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Bible Dictionary (Tyndale)</w:t>
      </w:r>
      <w:r>
        <w:t xml:space="preserve"> (Portuguese) is based on</w:t>
      </w:r>
      <w:r>
        <w:t xml:space="preserve">: </w:t>
      </w:r>
      <w:r>
        <w:t>Tyndale Open Bible Dictionary</w:t>
      </w:r>
      <w:r>
        <w:t xml:space="preserve">, </w:t>
      </w:r>
      <w:hyperlink r:id="rId13">
        <w:r>
          <w:rPr>
            <w:color w:val="0000EE"/>
            <w:u w:val="single"/>
          </w:rPr>
          <w:t>Tyndale House Publishers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Bible Dictionary (Tyndale)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 água amarga que traz maldição</w:t>
      </w:r>
      <w:r/>
    </w:p>
    <w:p>
      <w:r/>
      <w:r>
        <w:t xml:space="preserve">A água da amargura fazia parte de um "julgamento" usado no antigo Israel quando um marido suspeitava que sua esposa havia cometido adultério, mas não tinha provas. Esta cerimônia é descrita em </w:t>
      </w:r>
      <w:hyperlink r:id="rId15">
        <w:r>
          <w:rPr>
            <w:color w:val="0000EE"/>
            <w:u w:val="single"/>
          </w:rPr>
          <w:t>Nm 5.11–31.</w:t>
        </w:r>
      </w:hyperlink>
      <w:r>
        <w:t xml:space="preserve"> Alguns estudiosos acreditam que isso pertence a um grupo de procedimentos chamados "provas por ordálio". Nesses julgamentos, a pessoa acusada tinha que enfrentar algum desafio físico para determinar se era inocente ou culpada. As pessoas acreditavam que um poder superior que conhecia a verdade controlaria o resultado.</w:t>
      </w:r>
    </w:p>
    <w:p>
      <w:r/>
      <w:r>
        <w:t>No antiga Israel, assim como em muitas sociedades antigas, as mulheres tinham poucos direitos. Um marido israelita podia usar este teste quando não tinha provas de que sua esposa havia sido infiel, mas simplesmente tinha uma “desconfiança” em relação a ela (</w:t>
      </w:r>
      <w:hyperlink r:id="rId16">
        <w:r>
          <w:rPr>
            <w:color w:val="0000EE"/>
            <w:u w:val="single"/>
          </w:rPr>
          <w:t>Nm 5.11–14</w:t>
        </w:r>
      </w:hyperlink>
      <w:r>
        <w:t>). Muito provavelmente, uma esposa grávida passaria por um teste se seu marido suspeitasse que o bebê não fosse dele.</w:t>
      </w:r>
    </w:p>
    <w:p>
      <w:r/>
      <w:r>
        <w:t>O marido suspeito levaria sua esposa ao sacerdote com uma oferta especial da melhor farinha de cevada (</w:t>
      </w:r>
      <w:hyperlink r:id="rId17">
        <w:r>
          <w:rPr>
            <w:color w:val="0000EE"/>
            <w:u w:val="single"/>
          </w:rPr>
          <w:t>Nm 5.15</w:t>
        </w:r>
      </w:hyperlink>
      <w:r>
        <w:t xml:space="preserve">; cp. </w:t>
      </w:r>
      <w:hyperlink r:id="rId18">
        <w:r>
          <w:rPr>
            <w:color w:val="0000EE"/>
            <w:u w:val="single"/>
          </w:rPr>
          <w:t>Lv 2</w:t>
        </w:r>
      </w:hyperlink>
      <w:r>
        <w:t xml:space="preserve">; </w:t>
      </w:r>
      <w:hyperlink r:id="rId19">
        <w:r>
          <w:rPr>
            <w:color w:val="0000EE"/>
            <w:u w:val="single"/>
          </w:rPr>
          <w:t>5.11</w:t>
        </w:r>
      </w:hyperlink>
      <w:r>
        <w:t>). O sacerdote iria:</w:t>
      </w:r>
    </w:p>
    <w:p>
      <w:pPr>
        <w:pStyle w:val="ListNumber"/>
        <w:spacing w:line="240" w:lineRule="auto"/>
        <w:ind w:left="720"/>
      </w:pPr>
      <w:r/>
      <w:r>
        <w:t>Levar a mulher para ficar "na presença do Senhor"</w:t>
      </w:r>
    </w:p>
    <w:p>
      <w:pPr>
        <w:pStyle w:val="ListNumber"/>
        <w:spacing w:line="240" w:lineRule="auto"/>
        <w:ind w:left="720"/>
      </w:pPr>
      <w:r/>
      <w:r>
        <w:t>Misturar "água santa" (provavelmente da pia de água do tabernáculo) com terra do chão do tabernáculo</w:t>
      </w:r>
    </w:p>
    <w:p>
      <w:pPr>
        <w:pStyle w:val="ListNumber"/>
        <w:spacing w:line="240" w:lineRule="auto"/>
        <w:ind w:left="720"/>
      </w:pPr>
      <w:r/>
      <w:r>
        <w:t>Soltar o cabelo da mulher (possivelmente para demonstrar vergonha)</w:t>
      </w:r>
    </w:p>
    <w:p>
      <w:pPr>
        <w:pStyle w:val="ListNumber"/>
        <w:spacing w:line="240" w:lineRule="auto"/>
        <w:ind w:left="720"/>
      </w:pPr>
      <w:r/>
      <w:r>
        <w:t>Colocar parte da oferta de farinha de cevada nas mãos dela (</w:t>
      </w:r>
      <w:hyperlink r:id="rId20">
        <w:r>
          <w:rPr>
            <w:color w:val="0000EE"/>
            <w:u w:val="single"/>
          </w:rPr>
          <w:t>Nm 5.16–18</w:t>
        </w:r>
      </w:hyperlink>
      <w:r>
        <w:t>).</w:t>
      </w:r>
    </w:p>
    <w:p>
      <w:r/>
      <w:r>
        <w:t xml:space="preserve">Então o sacerdote faria com que ela jurasse que, se tivesse sido infiel, beber a "água da amargura" traria uma maldição sobre ela. Ela concordaria dizendo "Que assim seja!" (vv. </w:t>
      </w:r>
      <w:hyperlink r:id="rId21">
        <w:r>
          <w:rPr>
            <w:color w:val="0000EE"/>
            <w:u w:val="single"/>
          </w:rPr>
          <w:t>19–22</w:t>
        </w:r>
      </w:hyperlink>
      <w:r>
        <w:t xml:space="preserve">). Depois de escrever as palavras da maldição, o sacerdote as lavava na água. Após fazer uma oferta cerimonial de um punhado de farinha de cevada, o sacerdote faria a mulher beber a água (v. </w:t>
      </w:r>
      <w:hyperlink r:id="rId22">
        <w:r>
          <w:rPr>
            <w:color w:val="0000EE"/>
            <w:u w:val="single"/>
          </w:rPr>
          <w:t>23–26</w:t>
        </w:r>
      </w:hyperlink>
      <w:r>
        <w:t xml:space="preserve">). Se ela fosse culpada, o resultado seria um sofrimento amargo, que tornaria a mulher incapaz de ter filhos (v. </w:t>
      </w:r>
      <w:hyperlink r:id="rId23">
        <w:r>
          <w:rPr>
            <w:color w:val="0000EE"/>
            <w:u w:val="single"/>
          </w:rPr>
          <w:t>27</w:t>
        </w:r>
      </w:hyperlink>
      <w:r>
        <w:t>).</w:t>
      </w:r>
      <w:r/>
      <w:r/>
    </w:p>
    <w:p>
      <w:r/>
    </w:p>
    <w:p>
      <w:pPr>
        <w:pStyle w:val="Heading2"/>
      </w:pPr>
      <w:r>
        <w:t>A escada de Jacó</w:t>
      </w:r>
      <w:r/>
    </w:p>
    <w:p>
      <w:r/>
      <w:r>
        <w:t>Quando Jacó saiu de casa após enganar seu pai, Isaque, para receber a bênção que Isaque havia destinado a Esaú (</w:t>
      </w:r>
      <w:hyperlink r:id="rId24">
        <w:r>
          <w:rPr>
            <w:color w:val="0000EE"/>
            <w:u w:val="single"/>
          </w:rPr>
          <w:t>Gn 27.6–40</w:t>
        </w:r>
      </w:hyperlink>
      <w:r>
        <w:t xml:space="preserve">), ele não estava apenas desejando encontrar uma esposa entre as filhas do irmão de sua mãe, mas também estava literalmente fugindo para salvar sua vida, pois Esaú havia decidido matá-lo (v. </w:t>
      </w:r>
      <w:hyperlink r:id="rId25">
        <w:r>
          <w:rPr>
            <w:color w:val="0000EE"/>
            <w:u w:val="single"/>
          </w:rPr>
          <w:t>41</w:t>
        </w:r>
      </w:hyperlink>
      <w:r>
        <w:t>). Quando ele parou para descansar à noite no campo aberto, o Senhor apareceu a ele em um sonho e o abençoou (</w:t>
      </w:r>
      <w:hyperlink r:id="rId26">
        <w:r>
          <w:rPr>
            <w:color w:val="0000EE"/>
            <w:u w:val="single"/>
          </w:rPr>
          <w:t>28.10–22</w:t>
        </w:r>
      </w:hyperlink>
      <w:r>
        <w:t>). Na visão, Jacó viu uma escada alcançando da terra ao céu com anjos subindo e descendo sobre ela. No topo da escada estava o próprio Senhor, que confirmou a Jacó a promessa anteriormente dada a Abraão (</w:t>
      </w:r>
      <w:hyperlink r:id="rId27">
        <w:r>
          <w:rPr>
            <w:color w:val="0000EE"/>
            <w:u w:val="single"/>
          </w:rPr>
          <w:t>12.2–3,7</w:t>
        </w:r>
      </w:hyperlink>
      <w:r>
        <w:t>) e repetida a Isaque (</w:t>
      </w:r>
      <w:hyperlink r:id="rId28">
        <w:r>
          <w:rPr>
            <w:color w:val="0000EE"/>
            <w:u w:val="single"/>
          </w:rPr>
          <w:t>26.3–5</w:t>
        </w:r>
      </w:hyperlink>
      <w:r>
        <w:t xml:space="preserve">). No contexto, parece claro que a escada com os anjos subindo e descendo representa Deus alcançando Jacó e criando um caminho para Jacó ter um relacionamento com Ele. A comunhão que deveria existir entre Deus e Jacó é simbolizada na escada e no movimento dos anjos. Esta comunicação entre céu e terra parece ser o mesmo ponto que é feito em </w:t>
      </w:r>
      <w:hyperlink r:id="rId29">
        <w:r>
          <w:rPr>
            <w:color w:val="0000EE"/>
            <w:u w:val="single"/>
          </w:rPr>
          <w:t>João 1.50</w:t>
        </w:r>
      </w:hyperlink>
      <w:r>
        <w:t xml:space="preserve"> quando Jesus diz a Natanael e seus outros discípulos: “Vocês verão o céu aberto e os anjos de Deus subindo e descendo sobre o Filho do Homem” (NTLH). Jacó ficou tão impressionado com a graça de Deus ao se revelar a ele dessa maneira que nomeou o lugar onde isso aconteceu Betel — a Casa de Deus.</w:t>
      </w:r>
      <w:r/>
      <w:r/>
    </w:p>
    <w:p>
      <w:r/>
    </w:p>
    <w:p>
      <w:pPr>
        <w:pStyle w:val="Heading2"/>
      </w:pPr>
      <w:r>
        <w:t>Abadom</w:t>
      </w:r>
      <w:r/>
    </w:p>
    <w:p>
      <w:r/>
      <w:r>
        <w:t>Esta é a transliteração de uma palavra hebraica que significa "lugar de destruição". Ela aparece seis vezes no Antigo Testamento, geralmente referindo-se ao lugar para onde as pessoas vão após morrerem (</w:t>
      </w:r>
      <w:hyperlink r:id="rId30">
        <w:r>
          <w:rPr>
            <w:color w:val="0000EE"/>
            <w:u w:val="single"/>
          </w:rPr>
          <w:t>Jó 26.6</w:t>
        </w:r>
      </w:hyperlink>
      <w:r>
        <w:t xml:space="preserve">; </w:t>
      </w:r>
      <w:hyperlink r:id="rId31">
        <w:r>
          <w:rPr>
            <w:color w:val="0000EE"/>
            <w:u w:val="single"/>
          </w:rPr>
          <w:t>28.22</w:t>
        </w:r>
      </w:hyperlink>
      <w:r>
        <w:t xml:space="preserve">; </w:t>
      </w:r>
      <w:hyperlink r:id="rId32">
        <w:r>
          <w:rPr>
            <w:color w:val="0000EE"/>
            <w:u w:val="single"/>
          </w:rPr>
          <w:t>31.12</w:t>
        </w:r>
      </w:hyperlink>
      <w:r>
        <w:t xml:space="preserve">; </w:t>
      </w:r>
      <w:hyperlink r:id="rId33">
        <w:r>
          <w:rPr>
            <w:color w:val="0000EE"/>
            <w:u w:val="single"/>
          </w:rPr>
          <w:t>Sl 88.11</w:t>
        </w:r>
      </w:hyperlink>
      <w:r>
        <w:t xml:space="preserve">; </w:t>
      </w:r>
      <w:hyperlink r:id="rId34">
        <w:r>
          <w:rPr>
            <w:color w:val="0000EE"/>
            <w:u w:val="single"/>
          </w:rPr>
          <w:t>Pv 15.11</w:t>
        </w:r>
      </w:hyperlink>
      <w:r>
        <w:t xml:space="preserve">; </w:t>
      </w:r>
      <w:hyperlink r:id="rId35">
        <w:r>
          <w:rPr>
            <w:color w:val="0000EE"/>
            <w:u w:val="single"/>
          </w:rPr>
          <w:t>27.20</w:t>
        </w:r>
      </w:hyperlink>
      <w:r>
        <w:t>).</w:t>
      </w:r>
    </w:p>
    <w:p>
      <w:r/>
      <w:r>
        <w:t>Abadom tem o mesmo significado que Sheol (o submundo ou reino dos mortos). Algumas traduções da Bíblia utilizam palavras como "inferno", "morte", "a sepultura" ou "destruição" em vez de Abadom.</w:t>
      </w:r>
    </w:p>
    <w:p>
      <w:r/>
      <w:r>
        <w:t>A mesma palavra hebraica aparece uma vez no Novo Testamento em sua forma grega, Apoliom (</w:t>
      </w:r>
      <w:hyperlink r:id="rId36">
        <w:r>
          <w:rPr>
            <w:color w:val="0000EE"/>
            <w:u w:val="single"/>
          </w:rPr>
          <w:t>Ap 9.11</w:t>
        </w:r>
      </w:hyperlink>
      <w:r>
        <w:t>). Neste versículo, a ideia de destruição é apresentada como uma pessoa chamada de “anjo do Abismo [o poço sem fundo]”. Por causa disso, algumas traduções usam a palavra “destruidor” em vez de Abadom.</w:t>
      </w:r>
    </w:p>
    <w:p>
      <w:r/>
      <w:r>
        <w:t>No livro do Apocalipse, João tem uma visão em que Abadom (ou Apoliom) é descrito como o anjo que governa o lugar dos mortos. Este anjo aparece após a quinta trombeta soar (</w:t>
      </w:r>
      <w:hyperlink r:id="rId37">
        <w:r>
          <w:rPr>
            <w:color w:val="0000EE"/>
            <w:u w:val="single"/>
          </w:rPr>
          <w:t>Ap 9.1</w:t>
        </w:r>
      </w:hyperlink>
      <w:r>
        <w:t>).</w:t>
      </w:r>
    </w:p>
    <w:p>
      <w:r/>
      <w:r>
        <w:rPr>
          <w:i/>
        </w:rPr>
        <w:t>Veja também</w:t>
      </w:r>
      <w:r>
        <w:t xml:space="preserve"> </w:t>
      </w:r>
      <w:r>
        <w:t>Sheol</w:t>
      </w:r>
      <w:r>
        <w:t>.</w:t>
      </w:r>
      <w:r/>
      <w:r/>
    </w:p>
    <w:p>
      <w:r/>
    </w:p>
    <w:p>
      <w:pPr>
        <w:pStyle w:val="Heading2"/>
      </w:pPr>
      <w:r>
        <w:t>Abarim</w:t>
      </w:r>
      <w:r/>
    </w:p>
    <w:p>
      <w:r/>
      <w:r>
        <w:t>Uma área montanhosa localizada a leste do Rio Jordão e do Mar Morto, que se estende para o norte a partir das terras planas de Moabe.</w:t>
      </w:r>
    </w:p>
    <w:p>
      <w:r/>
      <w:r>
        <w:t>O ponto mais alto do Monte Nebo está em Abarim. É chamado Pisga e tem cerca de 805 metros de altura.</w:t>
      </w:r>
    </w:p>
    <w:p>
      <w:r/>
      <w:r>
        <w:t>Moisés olhou para a Terra Prometida desde Pisga pouco antes de morrer (</w:t>
      </w:r>
      <w:hyperlink r:id="rId38">
        <w:r>
          <w:rPr>
            <w:color w:val="0000EE"/>
            <w:u w:val="single"/>
          </w:rPr>
          <w:t>Dt 32.48</w:t>
        </w:r>
      </w:hyperlink>
      <w:r>
        <w:t>-</w:t>
      </w:r>
      <w:hyperlink r:id="rId38">
        <w:r>
          <w:rPr>
            <w:color w:val="0000EE"/>
            <w:u w:val="single"/>
          </w:rPr>
          <w:t>50</w:t>
        </w:r>
      </w:hyperlink>
      <w:r>
        <w:t xml:space="preserve">; </w:t>
      </w:r>
      <w:hyperlink r:id="rId39">
        <w:r>
          <w:rPr>
            <w:color w:val="0000EE"/>
            <w:u w:val="single"/>
          </w:rPr>
          <w:t>34.1</w:t>
        </w:r>
      </w:hyperlink>
      <w:r>
        <w:t>-</w:t>
      </w:r>
      <w:hyperlink r:id="rId39">
        <w:r>
          <w:rPr>
            <w:color w:val="0000EE"/>
            <w:u w:val="single"/>
          </w:rPr>
          <w:t>6</w:t>
        </w:r>
      </w:hyperlink>
      <w:r>
        <w:t>).</w:t>
      </w:r>
      <w:r/>
      <w:r/>
    </w:p>
    <w:p>
      <w:r/>
    </w:p>
    <w:p>
      <w:pPr>
        <w:pStyle w:val="Heading2"/>
      </w:pPr>
      <w:r>
        <w:t>Abel (Pessoa)</w:t>
      </w:r>
      <w:r/>
    </w:p>
    <w:p>
      <w:r/>
      <w:r>
        <w:t>O segundo filho homem de Adão e Eva (</w:t>
      </w:r>
      <w:hyperlink r:id="rId40">
        <w:r>
          <w:rPr>
            <w:color w:val="0000EE"/>
            <w:u w:val="single"/>
          </w:rPr>
          <w:t>Gn 4.2</w:t>
        </w:r>
      </w:hyperlink>
      <w:r>
        <w:t>). Seu nome provavelmente vem de palavras antigas sumérias e acádias que significam "filho". "Abel" era usado como um termo geral para todos os humanos.</w:t>
      </w:r>
    </w:p>
    <w:p>
      <w:r/>
      <w:r>
        <w:t>O irmão mais velho de Abel, Caim, era agricultor, enquanto Abel era pastor. Quando ambos trouxeram ofertas, Deus aceitou o sacrifício animal de Abel, mas rejeitou a oferta de vegetais de Caim. Por isso, Caim ficou com ciúmes de Abel e o matou.</w:t>
      </w:r>
    </w:p>
    <w:p>
      <w:r/>
      <w:r>
        <w:t>A história bíblica sugere que Abel tinha um caráter melhor, por isso Deus abençoou sua oferta e não a de Caim (</w:t>
      </w:r>
      <w:hyperlink r:id="rId41">
        <w:r>
          <w:rPr>
            <w:color w:val="0000EE"/>
            <w:u w:val="single"/>
          </w:rPr>
          <w:t>Gn 4.7</w:t>
        </w:r>
      </w:hyperlink>
      <w:r>
        <w:t>). A Bíblia não diz que ofertas de grãos ou vegetais eram inferiores às ofertas de animais para sacrifícios de pecado ou comunhão. A lei mosaica permite ambos. No Novo Testamento, Abel é considerado a primeira pessoa que morreu por causa de sua fé (</w:t>
      </w:r>
      <w:hyperlink r:id="rId42">
        <w:r>
          <w:rPr>
            <w:color w:val="0000EE"/>
            <w:u w:val="single"/>
          </w:rPr>
          <w:t>Mt 23.35</w:t>
        </w:r>
      </w:hyperlink>
      <w:r>
        <w:t xml:space="preserve">; </w:t>
      </w:r>
      <w:hyperlink r:id="rId43">
        <w:r>
          <w:rPr>
            <w:color w:val="0000EE"/>
            <w:u w:val="single"/>
          </w:rPr>
          <w:t>Lc 11.51</w:t>
        </w:r>
      </w:hyperlink>
      <w:r>
        <w:t xml:space="preserve">; </w:t>
      </w:r>
      <w:hyperlink r:id="rId44">
        <w:r>
          <w:rPr>
            <w:color w:val="0000EE"/>
            <w:u w:val="single"/>
          </w:rPr>
          <w:t>Hb 11.4</w:t>
        </w:r>
      </w:hyperlink>
      <w:r>
        <w:t>).</w:t>
      </w:r>
      <w:r/>
      <w:r/>
    </w:p>
    <w:p>
      <w:r/>
    </w:p>
    <w:p>
      <w:pPr>
        <w:pStyle w:val="Heading2"/>
      </w:pPr>
      <w:r>
        <w:t>Abel-Misraim</w:t>
      </w:r>
      <w:r/>
    </w:p>
    <w:p>
      <w:r/>
      <w:r>
        <w:t>Um nome alternativo para Atade, onde os filhos de Jacó pararam durante o funeral a caminho de Hebrom. Abel-Misraim era um lugar em Canaã (</w:t>
      </w:r>
      <w:hyperlink r:id="rId45">
        <w:r>
          <w:rPr>
            <w:color w:val="0000EE"/>
            <w:u w:val="single"/>
          </w:rPr>
          <w:t>Gn 50.11</w:t>
        </w:r>
      </w:hyperlink>
      <w:r>
        <w:t>).</w:t>
      </w:r>
    </w:p>
    <w:p>
      <w:r/>
      <w:r>
        <w:rPr>
          <w:i/>
        </w:rPr>
        <w:t>Veja também</w:t>
      </w:r>
      <w:r>
        <w:t xml:space="preserve"> </w:t>
      </w:r>
      <w:r>
        <w:t>Atade</w:t>
      </w:r>
      <w:r>
        <w:t>.</w:t>
      </w:r>
      <w:r/>
      <w:r/>
    </w:p>
    <w:p>
      <w:r/>
    </w:p>
    <w:p>
      <w:pPr>
        <w:pStyle w:val="Heading2"/>
      </w:pPr>
      <w:r>
        <w:t>Abel-Sitim</w:t>
      </w:r>
      <w:r/>
    </w:p>
    <w:p>
      <w:r/>
      <w:r>
        <w:t>Um nome alternativo para Sitim, um lugar nas planícies de Moabe (</w:t>
      </w:r>
      <w:hyperlink r:id="rId46">
        <w:r>
          <w:rPr>
            <w:color w:val="0000EE"/>
            <w:u w:val="single"/>
          </w:rPr>
          <w:t>Nm 33.49</w:t>
        </w:r>
      </w:hyperlink>
      <w:r>
        <w:t>).</w:t>
      </w:r>
    </w:p>
    <w:p>
      <w:r/>
      <w:r>
        <w:rPr>
          <w:i/>
        </w:rPr>
        <w:t>Veja</w:t>
      </w:r>
      <w:r>
        <w:t xml:space="preserve"> </w:t>
      </w:r>
      <w:r>
        <w:t>Sitim (Lugar)</w:t>
      </w:r>
      <w:r>
        <w:t>.</w:t>
      </w:r>
      <w:r/>
      <w:r/>
    </w:p>
    <w:p>
      <w:r/>
    </w:p>
    <w:p>
      <w:pPr>
        <w:pStyle w:val="Heading2"/>
      </w:pPr>
      <w:r>
        <w:t>Abençoar, Bênção</w:t>
      </w:r>
      <w:r/>
    </w:p>
    <w:p>
      <w:r/>
      <w:r>
        <w:t>Pronunciamento do favor de Deus sobre uma congregação reunida. Os serviços de adoração, especialmente observâncias da Eucaristia nas igrejas Ortodoxa Oriental, Católica Romana e a maioria das igrejas Protestantes, geralmente terminam com uma bênção falada pelo clérigo sênior presente. Este pronunciamento (chamado de “bênção” nas igrejas Católicas Romanas, Ortodoxas Orientais e Anglicanas e na maioria das igrejas protestantes) é baseado no precedente bíblico generalizado de bênção (</w:t>
      </w:r>
      <w:hyperlink r:id="rId47">
        <w:r>
          <w:rPr>
            <w:color w:val="0000EE"/>
            <w:u w:val="single"/>
          </w:rPr>
          <w:t>Gn 27.27–29</w:t>
        </w:r>
      </w:hyperlink>
      <w:r>
        <w:t xml:space="preserve">; </w:t>
      </w:r>
      <w:hyperlink r:id="rId48">
        <w:r>
          <w:rPr>
            <w:color w:val="0000EE"/>
            <w:u w:val="single"/>
          </w:rPr>
          <w:t>Nm 6.22–27</w:t>
        </w:r>
      </w:hyperlink>
      <w:r>
        <w:t xml:space="preserve">; </w:t>
      </w:r>
      <w:hyperlink r:id="rId49">
        <w:r>
          <w:rPr>
            <w:color w:val="0000EE"/>
            <w:u w:val="single"/>
          </w:rPr>
          <w:t>Lc 24.50</w:t>
        </w:r>
      </w:hyperlink>
      <w:r>
        <w:t xml:space="preserve">; </w:t>
      </w:r>
      <w:hyperlink r:id="rId50">
        <w:r>
          <w:rPr>
            <w:color w:val="0000EE"/>
            <w:u w:val="single"/>
          </w:rPr>
          <w:t>2Co 13.11,14</w:t>
        </w:r>
      </w:hyperlink>
      <w:r>
        <w:t xml:space="preserve">; </w:t>
      </w:r>
      <w:hyperlink r:id="rId51">
        <w:r>
          <w:rPr>
            <w:color w:val="0000EE"/>
            <w:u w:val="single"/>
          </w:rPr>
          <w:t>Fp 4.7</w:t>
        </w:r>
      </w:hyperlink>
      <w:r>
        <w:t xml:space="preserve">; </w:t>
      </w:r>
      <w:hyperlink r:id="rId52">
        <w:r>
          <w:rPr>
            <w:color w:val="0000EE"/>
            <w:u w:val="single"/>
          </w:rPr>
          <w:t>2Ts 2.16–17</w:t>
        </w:r>
      </w:hyperlink>
      <w:r>
        <w:t xml:space="preserve">; </w:t>
      </w:r>
      <w:hyperlink r:id="rId53">
        <w:r>
          <w:rPr>
            <w:color w:val="0000EE"/>
            <w:u w:val="single"/>
          </w:rPr>
          <w:t>Hb 13.20–21</w:t>
        </w:r>
      </w:hyperlink>
      <w:r>
        <w:t>).</w:t>
      </w:r>
    </w:p>
    <w:p>
      <w:r/>
      <w:r>
        <w:t>Embora frequentemente vista como um mero ritual de despedida, a prática da benção é, na verdade, uma proclamação do favor gracioso de Deus, a qual deve ser realizada somente por seus ministros, com base na autoridade das Escrituras Sagradas, para os crentes fiéis. Nesta ação, os cristãos são assegurados de que a graça de Deus, o Pai, o amor do Filho e a comunhão do Espírito Santo estão com eles.</w:t>
      </w:r>
    </w:p>
    <w:p>
      <w:r/>
      <w:r>
        <w:t>O termo “bênção” também é aplicado à ação de graças por comida e bebida (</w:t>
      </w:r>
      <w:hyperlink r:id="rId54">
        <w:r>
          <w:rPr>
            <w:color w:val="0000EE"/>
            <w:u w:val="single"/>
          </w:rPr>
          <w:t>Mt 14.19</w:t>
        </w:r>
      </w:hyperlink>
      <w:r>
        <w:t xml:space="preserve">; </w:t>
      </w:r>
      <w:hyperlink r:id="rId55">
        <w:r>
          <w:rPr>
            <w:color w:val="0000EE"/>
            <w:u w:val="single"/>
          </w:rPr>
          <w:t>Mc 8.7</w:t>
        </w:r>
      </w:hyperlink>
      <w:r>
        <w:t xml:space="preserve">; </w:t>
      </w:r>
      <w:hyperlink r:id="rId56">
        <w:r>
          <w:rPr>
            <w:color w:val="0000EE"/>
            <w:u w:val="single"/>
          </w:rPr>
          <w:t>Lc 24.30</w:t>
        </w:r>
      </w:hyperlink>
      <w:r>
        <w:t>).</w:t>
      </w:r>
    </w:p>
    <w:p>
      <w:r/>
      <w:r>
        <w:rPr>
          <w:i/>
        </w:rPr>
        <w:t>Veja também</w:t>
      </w:r>
      <w:r>
        <w:t xml:space="preserve"> </w:t>
      </w:r>
      <w:r>
        <w:t>Beatitudes, As</w:t>
      </w:r>
      <w:r>
        <w:t>.</w:t>
      </w:r>
      <w:r/>
      <w:r/>
    </w:p>
    <w:p>
      <w:r/>
    </w:p>
    <w:p>
      <w:pPr>
        <w:pStyle w:val="Heading2"/>
      </w:pPr>
      <w:r>
        <w:t>Abiail</w:t>
      </w:r>
      <w:r/>
    </w:p>
    <w:p>
      <w:r/>
      <w:r>
        <w:t>Um nome utilizado tanto para homens quanto para mulheres no Antigo Testamento.</w:t>
      </w:r>
    </w:p>
    <w:p>
      <w:pPr>
        <w:pStyle w:val="ListNumber"/>
        <w:spacing w:line="240" w:lineRule="auto"/>
        <w:ind w:left="720"/>
      </w:pPr>
      <w:r/>
      <w:r>
        <w:t>O pai de Zuriel é um líder da família Merari dos levitas durante a peregrinação de Israel no deserto (</w:t>
      </w:r>
      <w:hyperlink r:id="rId57">
        <w:r>
          <w:rPr>
            <w:color w:val="0000EE"/>
            <w:u w:val="single"/>
          </w:rPr>
          <w:t>Nm 3.35</w:t>
        </w:r>
      </w:hyperlink>
      <w:r>
        <w:t>).</w:t>
      </w:r>
    </w:p>
    <w:p>
      <w:pPr>
        <w:pStyle w:val="ListNumber"/>
        <w:spacing w:line="240" w:lineRule="auto"/>
        <w:ind w:left="720"/>
      </w:pPr>
      <w:r/>
      <w:r>
        <w:t>Esposa de Abisur e mãe de Abã e Molide (</w:t>
      </w:r>
      <w:hyperlink r:id="rId58">
        <w:r>
          <w:rPr>
            <w:color w:val="0000EE"/>
            <w:u w:val="single"/>
          </w:rPr>
          <w:t>1Cr 2.29</w:t>
        </w:r>
      </w:hyperlink>
      <w:r>
        <w:t>).</w:t>
      </w:r>
    </w:p>
    <w:p>
      <w:pPr>
        <w:pStyle w:val="ListNumber"/>
        <w:spacing w:line="240" w:lineRule="auto"/>
        <w:ind w:left="720"/>
      </w:pPr>
      <w:r/>
      <w:r>
        <w:t>O filho de Huri, um descendente de Gade, que viveu em Gileade e Basã (</w:t>
      </w:r>
      <w:hyperlink r:id="rId59">
        <w:r>
          <w:rPr>
            <w:color w:val="0000EE"/>
            <w:u w:val="single"/>
          </w:rPr>
          <w:t>1Cr 5.14</w:t>
        </w:r>
      </w:hyperlink>
      <w:r>
        <w:t>).</w:t>
      </w:r>
    </w:p>
    <w:p>
      <w:pPr>
        <w:pStyle w:val="ListNumber"/>
        <w:spacing w:line="240" w:lineRule="auto"/>
        <w:ind w:left="720"/>
      </w:pPr>
      <w:r/>
      <w:r>
        <w:t xml:space="preserve">Uma mulher mencionada em </w:t>
      </w:r>
      <w:hyperlink r:id="rId60">
        <w:r>
          <w:rPr>
            <w:color w:val="0000EE"/>
            <w:u w:val="single"/>
          </w:rPr>
          <w:t>2 Crônicas 11.18.</w:t>
        </w:r>
      </w:hyperlink>
      <w:r>
        <w:t xml:space="preserve"> Sua relação com o Rei Roboão não é clara. Em algumas traduções, Abiail parece ser a segunda esposa de Roboão. No entanto, apenas uma esposa é listada inicialmente. Abiail provavelmente era a mãe da primeira esposa de Roboão, Maalate. Assim, Abiail era filha de Eliabe, o irmão mais velho de Davi. Ela se casou com seu primo Jerimote, um dos filhos de Davi.</w:t>
      </w:r>
    </w:p>
    <w:p>
      <w:pPr>
        <w:pStyle w:val="ListNumber"/>
        <w:spacing w:line="240" w:lineRule="auto"/>
        <w:ind w:left="720"/>
      </w:pPr>
      <w:r/>
      <w:r>
        <w:t>Pai de Ester e tio de Mardoqueu (</w:t>
      </w:r>
      <w:hyperlink r:id="rId61">
        <w:r>
          <w:rPr>
            <w:color w:val="0000EE"/>
            <w:u w:val="single"/>
          </w:rPr>
          <w:t>Et 2.15</w:t>
        </w:r>
      </w:hyperlink>
      <w:r>
        <w:t xml:space="preserve">; </w:t>
      </w:r>
      <w:hyperlink r:id="rId62">
        <w:r>
          <w:rPr>
            <w:color w:val="0000EE"/>
            <w:u w:val="single"/>
          </w:rPr>
          <w:t>9.29</w:t>
        </w:r>
      </w:hyperlink>
      <w:r>
        <w:t>).</w:t>
      </w:r>
      <w:r/>
      <w:r/>
    </w:p>
    <w:p>
      <w:r/>
    </w:p>
    <w:p>
      <w:pPr>
        <w:pStyle w:val="Heading2"/>
      </w:pPr>
      <w:r>
        <w:t>Abiasafe</w:t>
      </w:r>
      <w:r/>
    </w:p>
    <w:p>
      <w:r/>
      <w:r>
        <w:t xml:space="preserve">Uma forma alternativa de Ebiasafe, um descendente de Corá, em </w:t>
      </w:r>
      <w:hyperlink r:id="rId63">
        <w:r>
          <w:rPr>
            <w:color w:val="0000EE"/>
            <w:u w:val="single"/>
          </w:rPr>
          <w:t>Êx 6.24</w:t>
        </w:r>
      </w:hyperlink>
      <w:r>
        <w:t>.</w:t>
      </w:r>
    </w:p>
    <w:p>
      <w:r/>
      <w:r>
        <w:rPr>
          <w:i/>
        </w:rPr>
        <w:t xml:space="preserve">Veja também </w:t>
      </w:r>
      <w:r>
        <w:t>Ebiasafe</w:t>
      </w:r>
      <w:r>
        <w:t>.</w:t>
      </w:r>
      <w:r/>
      <w:r/>
    </w:p>
    <w:p>
      <w:r/>
    </w:p>
    <w:p>
      <w:pPr>
        <w:pStyle w:val="Heading2"/>
      </w:pPr>
      <w:r>
        <w:t>Abiatar</w:t>
      </w:r>
      <w:r/>
    </w:p>
    <w:p>
      <w:r/>
      <w:r>
        <w:t>Um dos dois sumos sacerdotes durante o reinado do rei Davi. O outro sumo sacerdote era Zadoque, que foi evidentemente nomeado por Davi após sua conquista de Jerusalém.</w:t>
      </w:r>
    </w:p>
    <w:p>
      <w:r/>
      <w:r>
        <w:t>Apenas Abiatar escapou quando as famílias sacerdotais em Nobe foram massacradas pela instigação do rei Saul. Os sacerdotes de Nobe haviam dado comida e a espada de Golias a Davi durante sua fuga da ira de Saul, ganhando assim o ódio dele (</w:t>
      </w:r>
      <w:hyperlink r:id="rId64">
        <w:r>
          <w:rPr>
            <w:color w:val="0000EE"/>
            <w:u w:val="single"/>
          </w:rPr>
          <w:t>1Sm 21–22</w:t>
        </w:r>
      </w:hyperlink>
      <w:r>
        <w:t>). Quando Abiatar se juntou a Davi, ele trouxe o éfode, que Davi então usou para determinar a vontade de Deus (</w:t>
      </w:r>
      <w:hyperlink r:id="rId65">
        <w:r>
          <w:rPr>
            <w:color w:val="0000EE"/>
            <w:u w:val="single"/>
          </w:rPr>
          <w:t>1Sm 23.6, 9–11</w:t>
        </w:r>
      </w:hyperlink>
      <w:r>
        <w:t xml:space="preserve">; </w:t>
      </w:r>
      <w:hyperlink r:id="rId66">
        <w:r>
          <w:rPr>
            <w:color w:val="0000EE"/>
            <w:u w:val="single"/>
          </w:rPr>
          <w:t>30.7–8</w:t>
        </w:r>
      </w:hyperlink>
      <w:r>
        <w:t>). Abiatar foi uma das primeiras pessoas do governo de Saul a apoiar Davi. Seu apoio era formidável porque ele representava o sacerdócio da antiga liga tribal da linhagem de Eli.</w:t>
      </w:r>
    </w:p>
    <w:p>
      <w:r/>
      <w:r>
        <w:t>Durante os últimos dias do reinado de Davi, seus filhos lutaram pelo trono. Os dois principais rivais eram Adonias e Salomão. Abiatar, o sumo sacerdote, apoiou a reivindicação de Adonias ao trono, provavelmente porque Adonias era o herdeiro vivo mais antigo de Davi e porque o general de Davi, Joabe, um dos homens mais fortes no reino, apoiou Adonias (</w:t>
      </w:r>
      <w:hyperlink r:id="rId67">
        <w:r>
          <w:rPr>
            <w:color w:val="0000EE"/>
            <w:u w:val="single"/>
          </w:rPr>
          <w:t>1Rs 1.5–7</w:t>
        </w:r>
      </w:hyperlink>
      <w:r>
        <w:t>). Zadoque apoiou Salomão, que, na realidade, sucedeu a Davi no trono. Tendo caído em desgraça com o novo rei, Abiatar foi banido para sua propriedade em Anatote (</w:t>
      </w:r>
      <w:hyperlink r:id="rId68">
        <w:r>
          <w:rPr>
            <w:color w:val="0000EE"/>
            <w:u w:val="single"/>
          </w:rPr>
          <w:t>1Rs 2.26–27</w:t>
        </w:r>
      </w:hyperlink>
      <w:r>
        <w:t xml:space="preserve">), uma aldeia a cerca de 6,4 quilômetros a nordeste de Jerusalém. </w:t>
      </w:r>
    </w:p>
    <w:p>
      <w:r/>
      <w:r>
        <w:t>O relacionamento de Abiatar com Aimeleque é confuso. Aimeleque poderia ter sido o nome tanto do pai de Abiatar (</w:t>
      </w:r>
      <w:hyperlink r:id="rId69">
        <w:r>
          <w:rPr>
            <w:color w:val="0000EE"/>
            <w:u w:val="single"/>
          </w:rPr>
          <w:t>1Sm 22.20</w:t>
        </w:r>
      </w:hyperlink>
      <w:r>
        <w:t xml:space="preserve">; </w:t>
      </w:r>
      <w:hyperlink r:id="rId65">
        <w:r>
          <w:rPr>
            <w:color w:val="0000EE"/>
            <w:u w:val="single"/>
          </w:rPr>
          <w:t>23.6</w:t>
        </w:r>
      </w:hyperlink>
      <w:r>
        <w:t>) quanto do filho (</w:t>
      </w:r>
      <w:hyperlink r:id="rId70">
        <w:r>
          <w:rPr>
            <w:color w:val="0000EE"/>
            <w:u w:val="single"/>
          </w:rPr>
          <w:t>2Sm 8.17</w:t>
        </w:r>
      </w:hyperlink>
      <w:r>
        <w:t xml:space="preserve">; </w:t>
      </w:r>
      <w:hyperlink r:id="rId71">
        <w:r>
          <w:rPr>
            <w:color w:val="0000EE"/>
            <w:u w:val="single"/>
          </w:rPr>
          <w:t>1Cr 18.16</w:t>
        </w:r>
      </w:hyperlink>
      <w:r>
        <w:t xml:space="preserve">; </w:t>
      </w:r>
      <w:hyperlink r:id="rId72">
        <w:r>
          <w:rPr>
            <w:color w:val="0000EE"/>
            <w:u w:val="single"/>
          </w:rPr>
          <w:t>24.6</w:t>
        </w:r>
      </w:hyperlink>
      <w:r>
        <w:t>). Se cada uma das referências fosse ao mesmo Aimeleque, então os nomes foram invertidos nas passagens posteriores. No NT, Abiatar é mencionado como o sumo sacerdote quando Davi veio a Nobe precisando de comida e armas (</w:t>
      </w:r>
      <w:hyperlink r:id="rId73">
        <w:r>
          <w:rPr>
            <w:color w:val="0000EE"/>
            <w:u w:val="single"/>
          </w:rPr>
          <w:t>Mc 2.26</w:t>
        </w:r>
      </w:hyperlink>
      <w:r>
        <w:t>). O relato do AT diz que Aimeleque era o sacerdote naquela época (</w:t>
      </w:r>
      <w:hyperlink r:id="rId74">
        <w:r>
          <w:rPr>
            <w:color w:val="0000EE"/>
            <w:u w:val="single"/>
          </w:rPr>
          <w:t>1Sm 21.1–2</w:t>
        </w:r>
      </w:hyperlink>
      <w:r>
        <w:t>). A aparente discrepância pode ter resultado do erro de um copista ou do fato de que Abiatar como sumo sacerdote era mais proeminente do que Aimeleque.</w:t>
      </w:r>
      <w:r/>
      <w:r/>
    </w:p>
    <w:p>
      <w:r/>
    </w:p>
    <w:p>
      <w:pPr>
        <w:pStyle w:val="Heading2"/>
      </w:pPr>
      <w:r>
        <w:t>Abida</w:t>
      </w:r>
      <w:r/>
    </w:p>
    <w:p>
      <w:r/>
      <w:r>
        <w:t>Um dos filhos de Midiã. Midiã era filho de Abraão com sua concubina Quetura (</w:t>
      </w:r>
      <w:hyperlink r:id="rId75">
        <w:r>
          <w:rPr>
            <w:color w:val="0000EE"/>
            <w:u w:val="single"/>
          </w:rPr>
          <w:t>Gn 25.2,4</w:t>
        </w:r>
      </w:hyperlink>
      <w:r>
        <w:t xml:space="preserve">; </w:t>
      </w:r>
      <w:hyperlink r:id="rId76">
        <w:r>
          <w:rPr>
            <w:color w:val="0000EE"/>
            <w:u w:val="single"/>
          </w:rPr>
          <w:t>1Cr 1.33</w:t>
        </w:r>
      </w:hyperlink>
      <w:r>
        <w:t>).</w:t>
      </w:r>
      <w:r/>
      <w:r/>
    </w:p>
    <w:p>
      <w:r/>
    </w:p>
    <w:p>
      <w:pPr>
        <w:pStyle w:val="Heading2"/>
      </w:pPr>
      <w:r>
        <w:t>Abidã</w:t>
      </w:r>
      <w:r/>
    </w:p>
    <w:p>
      <w:r/>
      <w:r>
        <w:t>O filho de Gideoni era o líder da tribo de Benjamim quando os israelitas estavam vagando no deserto do Sinai após sua fuga do Egito (</w:t>
      </w:r>
      <w:hyperlink r:id="rId77">
        <w:r>
          <w:rPr>
            <w:color w:val="0000EE"/>
            <w:u w:val="single"/>
          </w:rPr>
          <w:t>Nm 1.11</w:t>
        </w:r>
      </w:hyperlink>
      <w:r>
        <w:t xml:space="preserve">; </w:t>
      </w:r>
      <w:hyperlink r:id="rId78">
        <w:r>
          <w:rPr>
            <w:color w:val="0000EE"/>
            <w:u w:val="single"/>
          </w:rPr>
          <w:t>2.22</w:t>
        </w:r>
      </w:hyperlink>
      <w:r>
        <w:t>). Como líder, ele apresentou a oferta de sua tribo na dedicação do Tabernáculo (</w:t>
      </w:r>
      <w:hyperlink r:id="rId79">
        <w:r>
          <w:rPr>
            <w:color w:val="0000EE"/>
            <w:u w:val="single"/>
          </w:rPr>
          <w:t>Nm 7.60</w:t>
        </w:r>
      </w:hyperlink>
      <w:r>
        <w:t>-</w:t>
      </w:r>
      <w:hyperlink r:id="rId79">
        <w:r>
          <w:rPr>
            <w:color w:val="0000EE"/>
            <w:u w:val="single"/>
          </w:rPr>
          <w:t>65</w:t>
        </w:r>
      </w:hyperlink>
      <w:r>
        <w:t>).</w:t>
      </w:r>
      <w:r/>
      <w:r/>
    </w:p>
    <w:p>
      <w:r/>
    </w:p>
    <w:p>
      <w:pPr>
        <w:pStyle w:val="Heading2"/>
      </w:pPr>
      <w:r>
        <w:t>Abiezer</w:t>
      </w:r>
      <w:r/>
    </w:p>
    <w:p>
      <w:pPr>
        <w:pStyle w:val="ListNumber"/>
        <w:spacing w:line="240" w:lineRule="auto"/>
        <w:ind w:left="720"/>
      </w:pPr>
      <w:r/>
      <w:r>
        <w:t>Um descendente de Manassés (</w:t>
      </w:r>
      <w:hyperlink r:id="rId80">
        <w:r>
          <w:rPr>
            <w:color w:val="0000EE"/>
            <w:u w:val="single"/>
          </w:rPr>
          <w:t>Js 17.1</w:t>
        </w:r>
      </w:hyperlink>
      <w:r>
        <w:t>-</w:t>
      </w:r>
      <w:hyperlink r:id="rId80">
        <w:r>
          <w:rPr>
            <w:color w:val="0000EE"/>
            <w:u w:val="single"/>
          </w:rPr>
          <w:t>2</w:t>
        </w:r>
      </w:hyperlink>
      <w:r>
        <w:t>). O pai de Abiezer não é nomeado, mas ele é listado entre os descendentes do irmão de sua mãe, Gileade (</w:t>
      </w:r>
      <w:hyperlink r:id="rId81">
        <w:r>
          <w:rPr>
            <w:color w:val="0000EE"/>
            <w:u w:val="single"/>
          </w:rPr>
          <w:t>1Cr 7.18</w:t>
        </w:r>
      </w:hyperlink>
      <w:r>
        <w:t xml:space="preserve">). Em </w:t>
      </w:r>
      <w:hyperlink r:id="rId82">
        <w:r>
          <w:rPr>
            <w:color w:val="0000EE"/>
            <w:u w:val="single"/>
          </w:rPr>
          <w:t>Números 26.30</w:t>
        </w:r>
      </w:hyperlink>
      <w:r>
        <w:t>, o nome de Abiezer é abreviado para Iezer, e sua família é chamada de iezeritas. Gideão fazia parte da família de Abiezer, e eles foram os primeiros a responder ao seu chamado para lutar contra os midianitas (</w:t>
      </w:r>
      <w:hyperlink r:id="rId83">
        <w:r>
          <w:rPr>
            <w:color w:val="0000EE"/>
            <w:u w:val="single"/>
          </w:rPr>
          <w:t>Jz 6.34</w:t>
        </w:r>
      </w:hyperlink>
      <w:r>
        <w:t>). Os descendentes de Abiezer foram chamados de abiezritas (</w:t>
      </w:r>
      <w:hyperlink r:id="rId84">
        <w:r>
          <w:rPr>
            <w:color w:val="0000EE"/>
            <w:u w:val="single"/>
          </w:rPr>
          <w:t>Jz 6.11,24,34</w:t>
        </w:r>
      </w:hyperlink>
      <w:r>
        <w:t xml:space="preserve">; </w:t>
      </w:r>
      <w:hyperlink r:id="rId85">
        <w:r>
          <w:rPr>
            <w:color w:val="0000EE"/>
            <w:u w:val="single"/>
          </w:rPr>
          <w:t>8.32</w:t>
        </w:r>
      </w:hyperlink>
      <w:r>
        <w:t>).</w:t>
      </w:r>
    </w:p>
    <w:p>
      <w:pPr>
        <w:pStyle w:val="ListNumber"/>
        <w:spacing w:line="240" w:lineRule="auto"/>
        <w:ind w:left="720"/>
      </w:pPr>
      <w:r/>
      <w:r>
        <w:t>Um membro da tribo de Benjamim de Anatote e guerreiro entre os valentes de Davi, conhecido como "os trinta" (</w:t>
      </w:r>
      <w:hyperlink r:id="rId86">
        <w:r>
          <w:rPr>
            <w:color w:val="0000EE"/>
            <w:u w:val="single"/>
          </w:rPr>
          <w:t>2Sm 23.27</w:t>
        </w:r>
      </w:hyperlink>
      <w:r>
        <w:t xml:space="preserve">; </w:t>
      </w:r>
      <w:hyperlink r:id="rId87">
        <w:r>
          <w:rPr>
            <w:color w:val="0000EE"/>
            <w:u w:val="single"/>
          </w:rPr>
          <w:t>1Cr 11.28</w:t>
        </w:r>
      </w:hyperlink>
      <w:r>
        <w:t>). Abiezer foi nomeado líder da nona divisão do exército no sistema de rodízio estabelecido por Davi (</w:t>
      </w:r>
      <w:hyperlink r:id="rId88">
        <w:r>
          <w:rPr>
            <w:color w:val="0000EE"/>
            <w:u w:val="single"/>
          </w:rPr>
          <w:t>1Cr 27.12</w:t>
        </w:r>
      </w:hyperlink>
      <w:r>
        <w:t>).</w:t>
      </w:r>
      <w:r/>
      <w:r/>
    </w:p>
    <w:p>
      <w:r/>
    </w:p>
    <w:p>
      <w:pPr>
        <w:pStyle w:val="Heading2"/>
      </w:pPr>
      <w:r>
        <w:t>Abimael</w:t>
      </w:r>
      <w:r/>
    </w:p>
    <w:p>
      <w:r/>
      <w:r>
        <w:t>Um dos muitos filhos ou descendentes de Joctã, e assim um descendente de Sem (</w:t>
      </w:r>
      <w:hyperlink r:id="rId89">
        <w:r>
          <w:rPr>
            <w:color w:val="0000EE"/>
            <w:u w:val="single"/>
          </w:rPr>
          <w:t>Gn 10.28</w:t>
        </w:r>
      </w:hyperlink>
      <w:r>
        <w:t xml:space="preserve">; </w:t>
      </w:r>
      <w:hyperlink r:id="rId90">
        <w:r>
          <w:rPr>
            <w:color w:val="0000EE"/>
            <w:u w:val="single"/>
          </w:rPr>
          <w:t>1Cr 1.22</w:t>
        </w:r>
      </w:hyperlink>
      <w:r>
        <w:t>).</w:t>
      </w:r>
      <w:r/>
      <w:r/>
    </w:p>
    <w:p>
      <w:r/>
    </w:p>
    <w:p>
      <w:pPr>
        <w:pStyle w:val="Heading2"/>
      </w:pPr>
      <w:r>
        <w:t>Abimeleque</w:t>
      </w:r>
      <w:r/>
    </w:p>
    <w:p>
      <w:r/>
      <w:r>
        <w:t>Um título real para governantes filisteus. É semelhante ao título "Faraó" usado pelos egípcios e "Agague" usado pelos amalequitas.</w:t>
      </w:r>
    </w:p>
    <w:p>
      <w:pPr>
        <w:pStyle w:val="ListNumber"/>
        <w:spacing w:line="240" w:lineRule="auto"/>
        <w:ind w:left="720"/>
      </w:pPr>
      <w:r/>
      <w:r>
        <w:t>O rei de Gerar no tempo de Abraão. Gerar era uma cidade perto de Gaza. Abraão, por medo de sua vida, disse às pessoas que sua esposa Sara era sua irmã (</w:t>
      </w:r>
      <w:hyperlink r:id="rId91">
        <w:r>
          <w:rPr>
            <w:color w:val="0000EE"/>
            <w:u w:val="single"/>
          </w:rPr>
          <w:t>Gn 20.1</w:t>
        </w:r>
      </w:hyperlink>
      <w:r>
        <w:t>–</w:t>
      </w:r>
      <w:hyperlink r:id="rId91">
        <w:r>
          <w:rPr>
            <w:color w:val="0000EE"/>
            <w:u w:val="single"/>
          </w:rPr>
          <w:t>18</w:t>
        </w:r>
      </w:hyperlink>
      <w:r>
        <w:t>). Ele já havia feito isso antes no Egito (</w:t>
      </w:r>
      <w:hyperlink r:id="rId92">
        <w:r>
          <w:rPr>
            <w:color w:val="0000EE"/>
            <w:u w:val="single"/>
          </w:rPr>
          <w:t>Gn 12.10</w:t>
        </w:r>
      </w:hyperlink>
      <w:r>
        <w:t>–</w:t>
      </w:r>
      <w:hyperlink r:id="rId92">
        <w:r>
          <w:rPr>
            <w:color w:val="0000EE"/>
            <w:u w:val="single"/>
          </w:rPr>
          <w:t>20</w:t>
        </w:r>
      </w:hyperlink>
      <w:r>
        <w:t>). Sara foi levada para o harém de Abimeleque, mas Deus avisou Abimeleque em um sonho que Sara era casada e ele morreria se a tocasse. Abimeleque devolveu Sara a Abraão. Mais tarde, Abraão e Abimeleque fizeram um tratado para esclarecer os direitos sobre a água no deserto do Neguebe em Berseba (</w:t>
      </w:r>
      <w:hyperlink r:id="rId93">
        <w:r>
          <w:rPr>
            <w:color w:val="0000EE"/>
            <w:u w:val="single"/>
          </w:rPr>
          <w:t>Gn 21.22</w:t>
        </w:r>
      </w:hyperlink>
      <w:r>
        <w:t>–</w:t>
      </w:r>
      <w:hyperlink r:id="rId93">
        <w:r>
          <w:rPr>
            <w:color w:val="0000EE"/>
            <w:u w:val="single"/>
          </w:rPr>
          <w:t>34</w:t>
        </w:r>
      </w:hyperlink>
      <w:r>
        <w:t>).</w:t>
      </w:r>
    </w:p>
    <w:p>
      <w:pPr>
        <w:pStyle w:val="ListNumber"/>
        <w:spacing w:line="240" w:lineRule="auto"/>
        <w:ind w:left="720"/>
      </w:pPr>
      <w:r/>
      <w:r>
        <w:t>O rei de Gerar no tempo de Isaque. Isaque, assim como seu pai Abraão, disse às pessoas que sua esposa Rebeca era sua irmã. Abimeleque estava ciente do perigo porque sabia o que aconteceu com o rei antes dele. Então Abimeleque protegeu Rebeca declarando que seria morto qualquer um que tocasse nela ou em Isaque (</w:t>
      </w:r>
      <w:hyperlink r:id="rId94">
        <w:r>
          <w:rPr>
            <w:color w:val="0000EE"/>
            <w:u w:val="single"/>
          </w:rPr>
          <w:t>Gn 26.1</w:t>
        </w:r>
      </w:hyperlink>
      <w:r>
        <w:t>–</w:t>
      </w:r>
      <w:hyperlink r:id="rId94">
        <w:r>
          <w:rPr>
            <w:color w:val="0000EE"/>
            <w:u w:val="single"/>
          </w:rPr>
          <w:t>11</w:t>
        </w:r>
      </w:hyperlink>
      <w:r>
        <w:t>). Devido a disputas por água e superlotação, Abimeleque pediu a Isaque que deixasse o território dos filisteus (</w:t>
      </w:r>
      <w:hyperlink r:id="rId95">
        <w:r>
          <w:rPr>
            <w:color w:val="0000EE"/>
            <w:u w:val="single"/>
          </w:rPr>
          <w:t>Gn 26.12</w:t>
        </w:r>
      </w:hyperlink>
      <w:r>
        <w:t>–</w:t>
      </w:r>
      <w:hyperlink r:id="rId95">
        <w:r>
          <w:rPr>
            <w:color w:val="0000EE"/>
            <w:u w:val="single"/>
          </w:rPr>
          <w:t>22</w:t>
        </w:r>
      </w:hyperlink>
      <w:r>
        <w:t>). Eles eventualmente fizeram um tratado de paz em Berseba, renovando o que foi feito entre Abraão e o Abimeleque anterior (</w:t>
      </w:r>
      <w:hyperlink r:id="rId96">
        <w:r>
          <w:rPr>
            <w:color w:val="0000EE"/>
            <w:u w:val="single"/>
          </w:rPr>
          <w:t>Gn 26.26</w:t>
        </w:r>
      </w:hyperlink>
      <w:r>
        <w:t>–</w:t>
      </w:r>
      <w:hyperlink r:id="rId96">
        <w:r>
          <w:rPr>
            <w:color w:val="0000EE"/>
            <w:u w:val="single"/>
          </w:rPr>
          <w:t>33</w:t>
        </w:r>
      </w:hyperlink>
      <w:r>
        <w:t>).</w:t>
      </w:r>
    </w:p>
    <w:p>
      <w:pPr>
        <w:pStyle w:val="ListNumber"/>
        <w:spacing w:line="240" w:lineRule="auto"/>
        <w:ind w:left="720"/>
      </w:pPr>
      <w:r/>
      <w:r>
        <w:t>Filho de Gideão com uma concubina em Siquém (</w:t>
      </w:r>
      <w:hyperlink r:id="rId97">
        <w:r>
          <w:rPr>
            <w:color w:val="0000EE"/>
            <w:u w:val="single"/>
          </w:rPr>
          <w:t>Jz 8.31</w:t>
        </w:r>
      </w:hyperlink>
      <w:r>
        <w:t>). Após a morte de seu pai, Abimeleque conspirou com a família de sua mãe para matar seus 70 meios-irmãos. Jotão foi o único que escapou (</w:t>
      </w:r>
      <w:hyperlink r:id="rId98">
        <w:r>
          <w:rPr>
            <w:color w:val="0000EE"/>
            <w:u w:val="single"/>
          </w:rPr>
          <w:t>Jz 9.1–5</w:t>
        </w:r>
      </w:hyperlink>
      <w:r>
        <w:t>). No terceiro ano como governante, ele reprimiu severamente uma rebelião (</w:t>
      </w:r>
      <w:hyperlink r:id="rId99">
        <w:r>
          <w:rPr>
            <w:color w:val="0000EE"/>
            <w:u w:val="single"/>
          </w:rPr>
          <w:t>Jz 9.22–49</w:t>
        </w:r>
      </w:hyperlink>
      <w:r>
        <w:t>). Por fim, ele foi morto quando uma mulher deixou cair uma pedra de moinho em sua cabeça. Abimeleque pediu ao seu escudeiro que o matasse com uma espada para que ninguém pudesse dizer que ele havia sido morto por uma mulher (</w:t>
      </w:r>
      <w:hyperlink r:id="rId100">
        <w:r>
          <w:rPr>
            <w:color w:val="0000EE"/>
            <w:u w:val="single"/>
          </w:rPr>
          <w:t>Jz 9.53–57</w:t>
        </w:r>
      </w:hyperlink>
      <w:r>
        <w:t>).</w:t>
      </w:r>
    </w:p>
    <w:p>
      <w:pPr>
        <w:pStyle w:val="ListNumber"/>
        <w:spacing w:line="240" w:lineRule="auto"/>
        <w:ind w:left="720"/>
      </w:pPr>
      <w:r/>
      <w:r>
        <w:t>Aquis, rei da cidade filisteia de Gate (</w:t>
      </w:r>
      <w:hyperlink r:id="rId101">
        <w:r>
          <w:rPr>
            <w:color w:val="0000EE"/>
            <w:u w:val="single"/>
          </w:rPr>
          <w:t>1Sm 21.10</w:t>
        </w:r>
      </w:hyperlink>
      <w:r>
        <w:t>–</w:t>
      </w:r>
      <w:hyperlink r:id="rId101">
        <w:r>
          <w:rPr>
            <w:color w:val="0000EE"/>
            <w:u w:val="single"/>
          </w:rPr>
          <w:t>15</w:t>
        </w:r>
      </w:hyperlink>
      <w:r>
        <w:t>).</w:t>
      </w:r>
    </w:p>
    <w:p>
      <w:pPr>
        <w:pStyle w:val="ListNumber"/>
        <w:spacing w:line="240" w:lineRule="auto"/>
        <w:ind w:left="720"/>
      </w:pPr>
      <w:r/>
      <w:r>
        <w:t>O filho de Abiatar, um sacerdote que serviu com Zadoque no tempo de Davi (</w:t>
      </w:r>
      <w:hyperlink r:id="rId71">
        <w:r>
          <w:rPr>
            <w:color w:val="0000EE"/>
            <w:u w:val="single"/>
          </w:rPr>
          <w:t>1Cr 18.16</w:t>
        </w:r>
      </w:hyperlink>
      <w:r>
        <w:t>).</w:t>
      </w:r>
      <w:r/>
      <w:r/>
    </w:p>
    <w:p>
      <w:r/>
    </w:p>
    <w:p>
      <w:pPr>
        <w:pStyle w:val="Heading2"/>
      </w:pPr>
      <w:r>
        <w:t>Abirão</w:t>
      </w:r>
      <w:r/>
    </w:p>
    <w:p>
      <w:pPr>
        <w:pStyle w:val="ListNumber"/>
        <w:spacing w:line="240" w:lineRule="auto"/>
        <w:ind w:left="720"/>
      </w:pPr>
      <w:r/>
      <w:r>
        <w:t>Um dos dois filhos de Eliabe. Abirão e seu irmão Datã se juntaram a uma rebelião contra Moisés e Arão. Moisés fez com que o chão se abrisse sob os dois irmãos e suas famílias. Eles morreram em um grande terremoto (</w:t>
      </w:r>
      <w:hyperlink r:id="rId102">
        <w:r>
          <w:rPr>
            <w:color w:val="0000EE"/>
            <w:u w:val="single"/>
          </w:rPr>
          <w:t>Nm 16.1</w:t>
        </w:r>
      </w:hyperlink>
      <w:r>
        <w:t>-</w:t>
      </w:r>
      <w:hyperlink r:id="rId102">
        <w:r>
          <w:rPr>
            <w:color w:val="0000EE"/>
            <w:u w:val="single"/>
          </w:rPr>
          <w:t>33</w:t>
        </w:r>
      </w:hyperlink>
      <w:r>
        <w:t>).</w:t>
      </w:r>
    </w:p>
    <w:p>
      <w:pPr>
        <w:pStyle w:val="ListNumber"/>
        <w:spacing w:line="240" w:lineRule="auto"/>
        <w:ind w:left="720"/>
      </w:pPr>
      <w:r/>
      <w:r>
        <w:t>O filho mais velho de Hiel. Ele morreu cedo quando seu pai reconstruiu Jericó contra a vontade de Deus (</w:t>
      </w:r>
      <w:hyperlink r:id="rId103">
        <w:r>
          <w:rPr>
            <w:color w:val="0000EE"/>
            <w:u w:val="single"/>
          </w:rPr>
          <w:t>1Rs 16.34</w:t>
        </w:r>
      </w:hyperlink>
      <w:r>
        <w:t>). Josué havia profetizado sobre este evento (</w:t>
      </w:r>
      <w:hyperlink r:id="rId104">
        <w:r>
          <w:rPr>
            <w:color w:val="0000EE"/>
            <w:u w:val="single"/>
          </w:rPr>
          <w:t>Js 6.26</w:t>
        </w:r>
      </w:hyperlink>
      <w:r>
        <w:t>).</w:t>
      </w:r>
      <w:r/>
      <w:r/>
    </w:p>
    <w:p>
      <w:r/>
    </w:p>
    <w:p>
      <w:pPr>
        <w:pStyle w:val="Heading2"/>
      </w:pPr>
      <w:r>
        <w:t>Abismo sem fundo</w:t>
      </w:r>
      <w:r/>
    </w:p>
    <w:p>
      <w:r/>
      <w:r>
        <w:t>Frase usada na Bíblia para denotar a morada dos mortos e das forças demoníacas. A palavra hebraica (literalmente “o profundo”) é traduzida como “abismo” em muitas versões da Bíblia. No mundo antigo, o conceito referia-se a qualquer coisa tão profunda a ponto de ser insondável — por exemplo, poços ou fontes. É usada dessa forma no AT para descrever o mar primordial (</w:t>
      </w:r>
      <w:hyperlink r:id="rId105">
        <w:r>
          <w:rPr>
            <w:color w:val="0000EE"/>
            <w:u w:val="single"/>
          </w:rPr>
          <w:t>Gênesis 1.2</w:t>
        </w:r>
      </w:hyperlink>
      <w:r>
        <w:t>) ou as profundezas do oceano (</w:t>
      </w:r>
      <w:hyperlink r:id="rId106">
        <w:r>
          <w:rPr>
            <w:color w:val="0000EE"/>
            <w:u w:val="single"/>
          </w:rPr>
          <w:t>Salmos 33.7</w:t>
        </w:r>
      </w:hyperlink>
      <w:r>
        <w:t xml:space="preserve">; </w:t>
      </w:r>
      <w:hyperlink r:id="rId107">
        <w:r>
          <w:rPr>
            <w:color w:val="0000EE"/>
            <w:u w:val="single"/>
          </w:rPr>
          <w:t>77.16</w:t>
        </w:r>
      </w:hyperlink>
      <w:r>
        <w:t>). Nas culturas do Oriente Próximo, o termo era usado para significar o inverso da Grande abóbada do céu; assim, passou a ser usado metaforicamente para a sepultura, sinônimo de Sheol (</w:t>
      </w:r>
      <w:hyperlink r:id="rId108">
        <w:r>
          <w:rPr>
            <w:color w:val="0000EE"/>
            <w:u w:val="single"/>
          </w:rPr>
          <w:t>Salmo 71.20</w:t>
        </w:r>
      </w:hyperlink>
      <w:r>
        <w:t>). Nos tempos intertestamentais, passou a ser usado para a morada dos espíritos malignos (Jubileus 5.6; 1 Enoque 10.4,11).</w:t>
      </w:r>
    </w:p>
    <w:p>
      <w:r/>
      <w:r>
        <w:t>No NT, o termo é usado de ambas as maneiras metafóricas. O demônio implorou para não ser lançado no “abismo” (</w:t>
      </w:r>
      <w:hyperlink r:id="rId109">
        <w:r>
          <w:rPr>
            <w:color w:val="0000EE"/>
            <w:u w:val="single"/>
          </w:rPr>
          <w:t>Lucas 8.31</w:t>
        </w:r>
      </w:hyperlink>
      <w:r>
        <w:t>), que muitos conectam com referências posteriores a uma “prisão” (</w:t>
      </w:r>
      <w:hyperlink r:id="rId110">
        <w:r>
          <w:rPr>
            <w:color w:val="0000EE"/>
            <w:u w:val="single"/>
          </w:rPr>
          <w:t>2 Pedro 2.4</w:t>
        </w:r>
      </w:hyperlink>
      <w:r>
        <w:t xml:space="preserve">; </w:t>
      </w:r>
      <w:hyperlink r:id="rId111">
        <w:r>
          <w:rPr>
            <w:color w:val="0000EE"/>
            <w:u w:val="single"/>
          </w:rPr>
          <w:t>Judas 1.6</w:t>
        </w:r>
      </w:hyperlink>
      <w:r>
        <w:t xml:space="preserve">). O significado exato de tal prisão é difícil de definir; estudos recentes de passagens como as acima e de </w:t>
      </w:r>
      <w:hyperlink r:id="rId112">
        <w:r>
          <w:rPr>
            <w:color w:val="0000EE"/>
            <w:u w:val="single"/>
          </w:rPr>
          <w:t>1 Pedro 3.19</w:t>
        </w:r>
      </w:hyperlink>
      <w:r>
        <w:t xml:space="preserve"> e </w:t>
      </w:r>
      <w:hyperlink r:id="rId113">
        <w:r>
          <w:rPr>
            <w:color w:val="0000EE"/>
            <w:u w:val="single"/>
          </w:rPr>
          <w:t>4.6</w:t>
        </w:r>
      </w:hyperlink>
      <w:r>
        <w:t xml:space="preserve"> sugerem que o abismo provavelmente não é sinônimo de Hades. Mais provavelmente, refere-se a um lugar onde espíritos malignos estão confinados. </w:t>
      </w:r>
      <w:hyperlink r:id="rId114">
        <w:r>
          <w:rPr>
            <w:color w:val="0000EE"/>
            <w:u w:val="single"/>
          </w:rPr>
          <w:t>Romanos 10.7</w:t>
        </w:r>
      </w:hyperlink>
      <w:r>
        <w:t xml:space="preserve">, por outro lado, usa o termo para o túmulo, contrastando a descida nele com a ascensão ao céu. Paulo ali adaptou livremente </w:t>
      </w:r>
      <w:hyperlink r:id="rId115">
        <w:r>
          <w:rPr>
            <w:color w:val="0000EE"/>
            <w:u w:val="single"/>
          </w:rPr>
          <w:t>Deuteronômio 30.12–13</w:t>
        </w:r>
      </w:hyperlink>
      <w:r>
        <w:t>.</w:t>
      </w:r>
    </w:p>
    <w:p>
      <w:r/>
      <w:r>
        <w:t>O uso principal do termo aparece no livro de Apocalipse. Lá, o “poço sem fundo” é a morada de gafanhotos semelhantes a escorpiões (</w:t>
      </w:r>
      <w:hyperlink r:id="rId116">
        <w:r>
          <w:rPr>
            <w:color w:val="0000EE"/>
            <w:u w:val="single"/>
          </w:rPr>
          <w:t>Apocalipse 9.1–11</w:t>
        </w:r>
      </w:hyperlink>
      <w:r>
        <w:t>); do príncipe do submundo, chamado “Abadom” ou “Destruição” (</w:t>
      </w:r>
      <w:hyperlink r:id="rId36">
        <w:r>
          <w:rPr>
            <w:color w:val="0000EE"/>
            <w:u w:val="single"/>
          </w:rPr>
          <w:t>9.11</w:t>
        </w:r>
      </w:hyperlink>
      <w:r>
        <w:t>); e da “Besta”, ou Anticristo (</w:t>
      </w:r>
      <w:hyperlink r:id="rId117">
        <w:r>
          <w:rPr>
            <w:color w:val="0000EE"/>
            <w:u w:val="single"/>
          </w:rPr>
          <w:t>11.7</w:t>
        </w:r>
      </w:hyperlink>
      <w:r>
        <w:t xml:space="preserve">; </w:t>
      </w:r>
      <w:hyperlink r:id="rId118">
        <w:r>
          <w:rPr>
            <w:color w:val="0000EE"/>
            <w:u w:val="single"/>
          </w:rPr>
          <w:t>17.8</w:t>
        </w:r>
      </w:hyperlink>
      <w:r>
        <w:t>). É também o lugar onde Satanás é confinado por 1.000 anos (</w:t>
      </w:r>
      <w:hyperlink r:id="rId119">
        <w:r>
          <w:rPr>
            <w:color w:val="0000EE"/>
            <w:u w:val="single"/>
          </w:rPr>
          <w:t>20.1,3</w:t>
        </w:r>
      </w:hyperlink>
      <w:r>
        <w:t>).</w:t>
      </w:r>
    </w:p>
    <w:p>
      <w:r/>
      <w:r>
        <w:t>Várias características devem ser observadas em um estudo do conceito de "abismo" em Apocalipse. Primeiro, está sob o controle absoluto de Deus. O anjo "recebeu a chave do abismo" para abri-lo (</w:t>
      </w:r>
      <w:hyperlink r:id="rId37">
        <w:r>
          <w:rPr>
            <w:color w:val="0000EE"/>
            <w:u w:val="single"/>
          </w:rPr>
          <w:t>9.1</w:t>
        </w:r>
      </w:hyperlink>
      <w:r>
        <w:t>, NTLH); a Besta irá "subir do abismo, e dali sairá, e será destruído" (</w:t>
      </w:r>
      <w:hyperlink r:id="rId118">
        <w:r>
          <w:rPr>
            <w:color w:val="0000EE"/>
            <w:u w:val="single"/>
          </w:rPr>
          <w:t>17.8</w:t>
        </w:r>
      </w:hyperlink>
      <w:r>
        <w:t>, NTLH). Satanás é capturado, amarrado, lançado e trancado nele (</w:t>
      </w:r>
      <w:hyperlink r:id="rId120">
        <w:r>
          <w:rPr>
            <w:color w:val="0000EE"/>
            <w:u w:val="single"/>
          </w:rPr>
          <w:t>20.2–3</w:t>
        </w:r>
      </w:hyperlink>
      <w:r>
        <w:t>). Segundo, desde o início é destinado à destruição eterna. Depois que foi aberto, "A estrela abriu o poço do abismo, e dele saiu fumaça, como se fosse de uma grande fornalha" (</w:t>
      </w:r>
      <w:hyperlink r:id="rId121">
        <w:r>
          <w:rPr>
            <w:color w:val="0000EE"/>
            <w:u w:val="single"/>
          </w:rPr>
          <w:t>9.2</w:t>
        </w:r>
      </w:hyperlink>
      <w:r>
        <w:t xml:space="preserve">, NTLH). Embora o abismo não seja o lugar de tormento (ou seja, "o lago de fogo" em </w:t>
      </w:r>
      <w:hyperlink r:id="rId122">
        <w:r>
          <w:rPr>
            <w:color w:val="0000EE"/>
            <w:u w:val="single"/>
          </w:rPr>
          <w:t>20.10–15</w:t>
        </w:r>
      </w:hyperlink>
      <w:r>
        <w:t xml:space="preserve">), será substituído por punição eterna após o Fim (cf. </w:t>
      </w:r>
      <w:hyperlink r:id="rId118">
        <w:r>
          <w:rPr>
            <w:color w:val="0000EE"/>
            <w:u w:val="single"/>
          </w:rPr>
          <w:t>17.8</w:t>
        </w:r>
      </w:hyperlink>
      <w:r>
        <w:t>). Finalmente, é a imagem inversa do céu, e dele jorra a maldade. Isso está de acordo com a metáfora e a imagem ao longo de Apocalipse, na qual o dragão (</w:t>
      </w:r>
      <w:hyperlink r:id="rId123">
        <w:r>
          <w:rPr>
            <w:color w:val="0000EE"/>
            <w:u w:val="single"/>
          </w:rPr>
          <w:t>12.9</w:t>
        </w:r>
      </w:hyperlink>
      <w:r>
        <w:t xml:space="preserve">) e a Besta tentam duplicar o poder e a glória reservados apenas para Deus. Assim como o céu é a fonte de tudo que é valioso, o abismo é a fonte de tudo que é maligno. </w:t>
        <w:br/>
        <w:br/>
      </w:r>
      <w:r>
        <w:rPr>
          <w:i/>
        </w:rPr>
        <w:t>Veja</w:t>
      </w:r>
      <w:r>
        <w:t xml:space="preserve"> </w:t>
      </w:r>
      <w:r>
        <w:t>Apocalipse, Livro de</w:t>
      </w:r>
      <w:r>
        <w:t>.</w:t>
      </w:r>
      <w:r/>
      <w:r/>
    </w:p>
    <w:p>
      <w:r/>
    </w:p>
    <w:p>
      <w:pPr>
        <w:pStyle w:val="Heading2"/>
      </w:pPr>
      <w:r>
        <w:t>Abiú</w:t>
      </w:r>
      <w:r/>
    </w:p>
    <w:p>
      <w:r/>
      <w:r>
        <w:t>O segundo filho de Arão e Eliseba (</w:t>
      </w:r>
      <w:hyperlink r:id="rId124">
        <w:r>
          <w:rPr>
            <w:color w:val="0000EE"/>
            <w:u w:val="single"/>
          </w:rPr>
          <w:t>Êx 6.23</w:t>
        </w:r>
      </w:hyperlink>
      <w:r>
        <w:t xml:space="preserve">; </w:t>
      </w:r>
      <w:hyperlink r:id="rId125">
        <w:r>
          <w:rPr>
            <w:color w:val="0000EE"/>
            <w:u w:val="single"/>
          </w:rPr>
          <w:t>Nm 26.60</w:t>
        </w:r>
      </w:hyperlink>
      <w:r>
        <w:t xml:space="preserve">; </w:t>
      </w:r>
      <w:hyperlink r:id="rId126">
        <w:r>
          <w:rPr>
            <w:color w:val="0000EE"/>
            <w:u w:val="single"/>
          </w:rPr>
          <w:t>1Cr 6.3</w:t>
        </w:r>
      </w:hyperlink>
      <w:r>
        <w:t>).</w:t>
      </w:r>
    </w:p>
    <w:p>
      <w:r/>
      <w:r>
        <w:t>Abiú e seu irmão Nadabe se juntaram a Moisés, Arão e os 70 anciãos de Israel para adorar a glória de Deus no Monte Sinai (</w:t>
      </w:r>
      <w:hyperlink r:id="rId127">
        <w:r>
          <w:rPr>
            <w:color w:val="0000EE"/>
            <w:u w:val="single"/>
          </w:rPr>
          <w:t>Êx 24.1</w:t>
        </w:r>
      </w:hyperlink>
      <w:r>
        <w:t>–</w:t>
      </w:r>
      <w:hyperlink r:id="rId127">
        <w:r>
          <w:rPr>
            <w:color w:val="0000EE"/>
            <w:u w:val="single"/>
          </w:rPr>
          <w:t>11</w:t>
        </w:r>
      </w:hyperlink>
      <w:r>
        <w:t>). Os quatro filhos de Arão foram nomeados sacerdotes junto com seu pai (</w:t>
      </w:r>
      <w:hyperlink r:id="rId128">
        <w:r>
          <w:rPr>
            <w:color w:val="0000EE"/>
            <w:u w:val="single"/>
          </w:rPr>
          <w:t>Êx 28.1</w:t>
        </w:r>
      </w:hyperlink>
      <w:r>
        <w:t>), mas, mais tarde, Abiú e Nadabe foram queimados até a morte por oferecerem “fogo estranho” perante o Senhor (</w:t>
      </w:r>
      <w:hyperlink r:id="rId129">
        <w:r>
          <w:rPr>
            <w:color w:val="0000EE"/>
            <w:u w:val="single"/>
          </w:rPr>
          <w:t>Lv 10.1</w:t>
        </w:r>
      </w:hyperlink>
      <w:r>
        <w:t xml:space="preserve">; veja também </w:t>
      </w:r>
      <w:hyperlink r:id="rId130">
        <w:r>
          <w:rPr>
            <w:color w:val="0000EE"/>
            <w:u w:val="single"/>
          </w:rPr>
          <w:t>Nm 3.2</w:t>
        </w:r>
      </w:hyperlink>
      <w:r>
        <w:t>–</w:t>
      </w:r>
      <w:hyperlink r:id="rId130">
        <w:r>
          <w:rPr>
            <w:color w:val="0000EE"/>
            <w:u w:val="single"/>
          </w:rPr>
          <w:t>4</w:t>
        </w:r>
      </w:hyperlink>
      <w:r>
        <w:t xml:space="preserve">; </w:t>
      </w:r>
      <w:hyperlink r:id="rId131">
        <w:r>
          <w:rPr>
            <w:color w:val="0000EE"/>
            <w:u w:val="single"/>
          </w:rPr>
          <w:t>26.61</w:t>
        </w:r>
      </w:hyperlink>
      <w:r>
        <w:t xml:space="preserve">; </w:t>
      </w:r>
      <w:hyperlink r:id="rId132">
        <w:r>
          <w:rPr>
            <w:color w:val="0000EE"/>
            <w:u w:val="single"/>
          </w:rPr>
          <w:t>1Cr 24.1</w:t>
        </w:r>
      </w:hyperlink>
      <w:r>
        <w:t>–</w:t>
      </w:r>
      <w:hyperlink r:id="rId132">
        <w:r>
          <w:rPr>
            <w:color w:val="0000EE"/>
            <w:u w:val="single"/>
          </w:rPr>
          <w:t>2</w:t>
        </w:r>
      </w:hyperlink>
      <w:r>
        <w:t>).</w:t>
      </w:r>
      <w:r/>
      <w:r/>
    </w:p>
    <w:p>
      <w:r/>
    </w:p>
    <w:p>
      <w:pPr>
        <w:pStyle w:val="Heading2"/>
      </w:pPr>
      <w:r>
        <w:t>Abominação</w:t>
      </w:r>
      <w:r/>
    </w:p>
    <w:p>
      <w:r/>
      <w:r>
        <w:t>Ato, pessoa ou coisa repugnante ou detestável. A ideia de abominação deriva das demandas específicas que a santidade de Deus faz sobre seu povo. Os adjetivos frequentemente usados para abominações no AT são “abomináveis”, “repugnantes”, “impuros” e “rejeitados”.</w:t>
      </w:r>
    </w:p>
    <w:p>
      <w:r/>
      <w:r>
        <w:t>Das quatro principais palavras hebraicas traduzidas, “abominação” sendo a mais frequentemente usada, indica violação de um costume ou ritual estabelecido que, por sua vez, traz o julgamento de Deus. Os exemplos variam de sacrifícios defeituosos (</w:t>
      </w:r>
      <w:hyperlink r:id="rId133">
        <w:r>
          <w:rPr>
            <w:color w:val="0000EE"/>
            <w:u w:val="single"/>
          </w:rPr>
          <w:t>Deuteronômio 17.1</w:t>
        </w:r>
      </w:hyperlink>
      <w:r>
        <w:t>) à magia e adivinhação (</w:t>
      </w:r>
      <w:hyperlink r:id="rId134">
        <w:r>
          <w:rPr>
            <w:color w:val="0000EE"/>
            <w:u w:val="single"/>
          </w:rPr>
          <w:t>Deuteronômio 18.12</w:t>
        </w:r>
      </w:hyperlink>
      <w:r>
        <w:t>) ou práticas idólatras (</w:t>
      </w:r>
      <w:hyperlink r:id="rId135">
        <w:r>
          <w:rPr>
            <w:color w:val="0000EE"/>
            <w:u w:val="single"/>
          </w:rPr>
          <w:t>2Rs 16.3</w:t>
        </w:r>
      </w:hyperlink>
      <w:r>
        <w:t>). Uma segunda palavra hebraica se refere à carne de certos tipos de animais que eram ritualmente impuros, caso fosse tocada ou comida (</w:t>
      </w:r>
      <w:hyperlink r:id="rId136">
        <w:r>
          <w:rPr>
            <w:color w:val="0000EE"/>
            <w:u w:val="single"/>
          </w:rPr>
          <w:t>Lv 11.10–13</w:t>
        </w:r>
      </w:hyperlink>
      <w:r>
        <w:t>). Uma terceira palavra designa carne sacrificial velha de três dias (</w:t>
      </w:r>
      <w:hyperlink r:id="rId137">
        <w:r>
          <w:rPr>
            <w:color w:val="0000EE"/>
            <w:u w:val="single"/>
          </w:rPr>
          <w:t>Lv 7.18</w:t>
        </w:r>
      </w:hyperlink>
      <w:r>
        <w:t>). Uma quarta palavra se refere quase exclusivamente a objetos idólatras de origem pagã (</w:t>
      </w:r>
      <w:hyperlink r:id="rId138">
        <w:r>
          <w:rPr>
            <w:color w:val="0000EE"/>
            <w:u w:val="single"/>
          </w:rPr>
          <w:t>Jr 4.1</w:t>
        </w:r>
      </w:hyperlink>
      <w:r>
        <w:t xml:space="preserve">; </w:t>
      </w:r>
      <w:hyperlink r:id="rId139">
        <w:r>
          <w:rPr>
            <w:color w:val="0000EE"/>
            <w:u w:val="single"/>
          </w:rPr>
          <w:t>7.30</w:t>
        </w:r>
      </w:hyperlink>
      <w:r>
        <w:t>). Além do uso especializado de “abominação da desolação”, a palavra grega para “abominação” é usada com pouca frequência no NT (</w:t>
      </w:r>
      <w:hyperlink r:id="rId140">
        <w:r>
          <w:rPr>
            <w:color w:val="0000EE"/>
            <w:u w:val="single"/>
          </w:rPr>
          <w:t>Lc 16.15</w:t>
        </w:r>
      </w:hyperlink>
      <w:r>
        <w:t xml:space="preserve">; </w:t>
      </w:r>
      <w:hyperlink r:id="rId141">
        <w:r>
          <w:rPr>
            <w:color w:val="0000EE"/>
            <w:u w:val="single"/>
          </w:rPr>
          <w:t>Rm 2.22</w:t>
        </w:r>
      </w:hyperlink>
      <w:r>
        <w:t xml:space="preserve">; </w:t>
      </w:r>
      <w:hyperlink r:id="rId142">
        <w:r>
          <w:rPr>
            <w:color w:val="0000EE"/>
            <w:u w:val="single"/>
          </w:rPr>
          <w:t>Tt 1.16</w:t>
        </w:r>
      </w:hyperlink>
      <w:r>
        <w:t xml:space="preserve">; </w:t>
      </w:r>
      <w:hyperlink r:id="rId143">
        <w:r>
          <w:rPr>
            <w:color w:val="0000EE"/>
            <w:u w:val="single"/>
          </w:rPr>
          <w:t>Ap 17.4–5</w:t>
        </w:r>
      </w:hyperlink>
      <w:r>
        <w:t xml:space="preserve">; </w:t>
      </w:r>
      <w:hyperlink r:id="rId144">
        <w:r>
          <w:rPr>
            <w:color w:val="0000EE"/>
            <w:u w:val="single"/>
          </w:rPr>
          <w:t>21.8,27</w:t>
        </w:r>
      </w:hyperlink>
      <w:r>
        <w:t>) e é traduzida por muitas palavras em inglês (ou no caso, português). A conotação primária é qualquer coisa que seja abominável para um Deus santo.</w:t>
      </w:r>
    </w:p>
    <w:p>
      <w:r/>
      <w:r>
        <w:rPr>
          <w:i/>
        </w:rPr>
        <w:t>Veja também</w:t>
      </w:r>
      <w:r>
        <w:t xml:space="preserve"> </w:t>
      </w:r>
      <w:r>
        <w:t>Pureza e Imundícia, Regulamentos a respeito</w:t>
      </w:r>
      <w:r>
        <w:t xml:space="preserve">; </w:t>
      </w:r>
      <w:r>
        <w:t>Leis da Dieta (Depois de Moisés)</w:t>
      </w:r>
      <w:r>
        <w:t>.</w:t>
      </w:r>
      <w:r/>
      <w:r/>
    </w:p>
    <w:p>
      <w:r/>
    </w:p>
    <w:p>
      <w:pPr>
        <w:pStyle w:val="Heading2"/>
      </w:pPr>
      <w:r>
        <w:t>Aborto espontâneo</w:t>
      </w:r>
      <w:r/>
    </w:p>
    <w:p>
      <w:r/>
      <w:r>
        <w:t>O aborto natural e repentino de uma gravidez antes que a criança possa sobreviver fora do útero. O aborto espontâneo ocorre tanto em gestações animais quanto humanas (</w:t>
      </w:r>
      <w:hyperlink r:id="rId145">
        <w:r>
          <w:rPr>
            <w:color w:val="0000EE"/>
            <w:u w:val="single"/>
          </w:rPr>
          <w:t>Gn 31.38</w:t>
        </w:r>
      </w:hyperlink>
      <w:r>
        <w:t xml:space="preserve">; </w:t>
      </w:r>
      <w:hyperlink r:id="rId146">
        <w:r>
          <w:rPr>
            <w:color w:val="0000EE"/>
            <w:u w:val="single"/>
          </w:rPr>
          <w:t>Jó 3.16</w:t>
        </w:r>
      </w:hyperlink>
      <w:r>
        <w:t xml:space="preserve">; </w:t>
      </w:r>
      <w:hyperlink r:id="rId147">
        <w:r>
          <w:rPr>
            <w:color w:val="0000EE"/>
            <w:u w:val="single"/>
          </w:rPr>
          <w:t>21.10</w:t>
        </w:r>
      </w:hyperlink>
      <w:r>
        <w:t xml:space="preserve">; </w:t>
      </w:r>
      <w:hyperlink r:id="rId148">
        <w:r>
          <w:rPr>
            <w:color w:val="0000EE"/>
            <w:u w:val="single"/>
          </w:rPr>
          <w:t>Os 9.14</w:t>
        </w:r>
      </w:hyperlink>
      <w:r>
        <w:t>). O principal problema não é a incapacidade de engravidar, mas a dificuldade em levar a gravidez até o tempo completo. A maldição de um "ventre que aborta" significa que uma mulher não pode ter filhos (</w:t>
      </w:r>
      <w:hyperlink r:id="rId148">
        <w:r>
          <w:rPr>
            <w:color w:val="0000EE"/>
            <w:u w:val="single"/>
          </w:rPr>
          <w:t>Os 9.14</w:t>
        </w:r>
      </w:hyperlink>
      <w:r>
        <w:t>). A bênção de Deus resulta em gestações bem-sucedidas e vida longa (</w:t>
      </w:r>
      <w:hyperlink r:id="rId149">
        <w:r>
          <w:rPr>
            <w:color w:val="0000EE"/>
            <w:u w:val="single"/>
          </w:rPr>
          <w:t>Êx 23.26</w:t>
        </w:r>
      </w:hyperlink>
      <w:r>
        <w:t>).</w:t>
      </w:r>
    </w:p>
    <w:p>
      <w:r/>
      <w:r>
        <w:t>A questão chave no aborto espontâneo é o tempo, mostrado por um parto prematuro ou o que a Bíblia chama de "nascimento inoportuno" (</w:t>
      </w:r>
      <w:hyperlink r:id="rId150">
        <w:r>
          <w:rPr>
            <w:color w:val="0000EE"/>
            <w:u w:val="single"/>
          </w:rPr>
          <w:t>Sl 58.8</w:t>
        </w:r>
      </w:hyperlink>
      <w:r>
        <w:t xml:space="preserve">; </w:t>
      </w:r>
      <w:hyperlink r:id="rId146">
        <w:r>
          <w:rPr>
            <w:color w:val="0000EE"/>
            <w:u w:val="single"/>
          </w:rPr>
          <w:t>Jó 3.16</w:t>
        </w:r>
      </w:hyperlink>
      <w:r>
        <w:t>). Embora abortos espontâneos ocorram por várias razões, a Bíblia menciona duas causas específicas:</w:t>
      </w:r>
    </w:p>
    <w:p>
      <w:pPr>
        <w:pStyle w:val="ListBullet"/>
        <w:spacing w:line="240" w:lineRule="auto"/>
        <w:ind w:left="720"/>
      </w:pPr>
      <w:r/>
      <w:r>
        <w:t>cuidados inadequados com animais grávidos (</w:t>
      </w:r>
      <w:hyperlink r:id="rId145">
        <w:r>
          <w:rPr>
            <w:color w:val="0000EE"/>
            <w:u w:val="single"/>
          </w:rPr>
          <w:t>Gn 31.38</w:t>
        </w:r>
      </w:hyperlink>
      <w:r>
        <w:t>), e;</w:t>
      </w:r>
    </w:p>
    <w:p>
      <w:pPr>
        <w:pStyle w:val="ListBullet"/>
        <w:spacing w:line="240" w:lineRule="auto"/>
        <w:ind w:left="720"/>
      </w:pPr>
      <w:r/>
      <w:r>
        <w:t>lesão física a uma mulher grávida (</w:t>
      </w:r>
      <w:hyperlink r:id="rId151">
        <w:r>
          <w:rPr>
            <w:color w:val="0000EE"/>
            <w:u w:val="single"/>
          </w:rPr>
          <w:t>Êx 21.22</w:t>
        </w:r>
      </w:hyperlink>
      <w:r>
        <w:t>).</w:t>
      </w:r>
    </w:p>
    <w:p>
      <w:r/>
      <w:hyperlink r:id="rId152">
        <w:r>
          <w:rPr>
            <w:color w:val="0000EE"/>
            <w:u w:val="single"/>
          </w:rPr>
          <w:t>Números 5</w:t>
        </w:r>
      </w:hyperlink>
      <w:r>
        <w:t xml:space="preserve"> descreve um teste para uma esposa suspeita de infidelidade. Se ela for culpada de adultério, “seu ventre inchará, sua coxa murchará” (</w:t>
      </w:r>
      <w:hyperlink r:id="rId23">
        <w:r>
          <w:rPr>
            <w:color w:val="0000EE"/>
            <w:u w:val="single"/>
          </w:rPr>
          <w:t>Nm 5.27</w:t>
        </w:r>
      </w:hyperlink>
      <w:r>
        <w:t>). Essas frases podem ser formas de descrever um aborto espontâneo ou a incapacidade de ter filhos.</w:t>
      </w:r>
    </w:p>
    <w:p>
      <w:r/>
      <w:r>
        <w:t>O apóstolo Paulo enfatiza sua indignidade de ser um apóstolo comparando seu nascimento espiritual a um nascimento físico prematuro (</w:t>
      </w:r>
      <w:hyperlink r:id="rId153">
        <w:r>
          <w:rPr>
            <w:color w:val="0000EE"/>
            <w:u w:val="single"/>
          </w:rPr>
          <w:t>1Co 15.8</w:t>
        </w:r>
      </w:hyperlink>
      <w:r>
        <w:t>).</w:t>
      </w:r>
    </w:p>
    <w:p>
      <w:r/>
      <w:r>
        <w:rPr>
          <w:i/>
        </w:rPr>
        <w:t>Veja também</w:t>
      </w:r>
      <w:r>
        <w:t xml:space="preserve"> </w:t>
      </w:r>
      <w:r>
        <w:t>Esterilidade</w:t>
      </w:r>
      <w:r>
        <w:t>.</w:t>
      </w:r>
      <w:r/>
      <w:r/>
    </w:p>
    <w:p>
      <w:r/>
    </w:p>
    <w:p>
      <w:pPr>
        <w:pStyle w:val="Heading2"/>
      </w:pPr>
      <w:r>
        <w:t>Abraão</w:t>
      </w:r>
      <w:r/>
    </w:p>
    <w:p>
      <w:r/>
      <w:r>
        <w:t>Uma das personalidades mais significativas da Bíblia, a quem Deus chamou da cidade de Ur para se tornar patriarca do povo de Deus.</w:t>
      </w:r>
    </w:p>
    <w:p>
      <w:r/>
      <w:r>
        <w:t>O nome de Abraão era originalmente Abrão, que significa "[o] pai é exaltado". Quando ele recebeu esse nome de seus pais, eles provavelmente eram participantes do culto lunar de Ur, então a divindade paterna sugerida em seu antigo nome poderia ter sido o deus da lua ou outra divindade pagã. Deus mudou o nome de Abrão para Abraão (</w:t>
      </w:r>
      <w:hyperlink r:id="rId154">
        <w:r>
          <w:rPr>
            <w:color w:val="0000EE"/>
            <w:u w:val="single"/>
          </w:rPr>
          <w:t>Gn 17.5</w:t>
        </w:r>
      </w:hyperlink>
      <w:r>
        <w:t>), em parte, sem dúvida, para indicar uma separação clara das raízes pagãs. O novo nome, interpretado pelo texto bíblico como significando "pai de muitas nações", também era uma declaração da promessa de Deus a Abraão de que ele teria muitos descendentes, bem como um teste significativo de sua fé em Deus — já que ele tinha 99 anos na época e sua esposa sem filhos tinha 90 (</w:t>
      </w:r>
      <w:hyperlink r:id="rId155">
        <w:r>
          <w:rPr>
            <w:color w:val="0000EE"/>
            <w:u w:val="single"/>
          </w:rPr>
          <w:t>Gn 11.30</w:t>
        </w:r>
      </w:hyperlink>
      <w:r>
        <w:t xml:space="preserve">; </w:t>
      </w:r>
      <w:hyperlink r:id="rId156">
        <w:r>
          <w:rPr>
            <w:color w:val="0000EE"/>
            <w:u w:val="single"/>
          </w:rPr>
          <w:t>17.1–4</w:t>
        </w:r>
      </w:hyperlink>
      <w:r>
        <w:t>,</w:t>
      </w:r>
      <w:hyperlink r:id="rId157">
        <w:r>
          <w:rPr>
            <w:color w:val="0000EE"/>
            <w:u w:val="single"/>
          </w:rPr>
          <w:t>17</w:t>
        </w:r>
      </w:hyperlink>
      <w:r>
        <w:t>).</w:t>
      </w:r>
    </w:p>
    <w:p>
      <w:pPr>
        <w:pStyle w:val="Heading3"/>
      </w:pPr>
      <w:r>
        <w:t>A Vida de Abraão</w:t>
      </w:r>
    </w:p>
    <w:p>
      <w:r/>
      <w:r>
        <w:t xml:space="preserve">A história de Abrão começa em </w:t>
      </w:r>
      <w:hyperlink r:id="rId158">
        <w:r>
          <w:rPr>
            <w:color w:val="0000EE"/>
            <w:u w:val="single"/>
          </w:rPr>
          <w:t>Gênesis 11</w:t>
        </w:r>
      </w:hyperlink>
      <w:r>
        <w:t>, onde seus relacionamentos familiares são registrados (</w:t>
      </w:r>
      <w:hyperlink r:id="rId159">
        <w:r>
          <w:rPr>
            <w:color w:val="0000EE"/>
            <w:u w:val="single"/>
          </w:rPr>
          <w:t>Gn 11.26–32</w:t>
        </w:r>
      </w:hyperlink>
      <w:r>
        <w:t xml:space="preserve">). Terá, o pai de Abrão, foi nomeado em homenagem à divindade lunar adorada em Ur. Terá teve três filhos, Abrão, Naor e Harã. Harã, o pai de Ló, morreu antes da família deixar Ur. Terá levou Ló, Abrão e a esposa de Abrão, Sarai, de Ur para ir a Canaã, mas se estabeleceram na cidade de Harã (v </w:t>
      </w:r>
      <w:hyperlink r:id="rId160">
        <w:r>
          <w:rPr>
            <w:color w:val="0000EE"/>
            <w:u w:val="single"/>
          </w:rPr>
          <w:t>31</w:t>
        </w:r>
      </w:hyperlink>
      <w:r>
        <w:t xml:space="preserve">). Afirma-se em </w:t>
      </w:r>
      <w:hyperlink r:id="rId161">
        <w:r>
          <w:rPr>
            <w:color w:val="0000EE"/>
            <w:u w:val="single"/>
          </w:rPr>
          <w:t>Atos 7.2–4</w:t>
        </w:r>
      </w:hyperlink>
      <w:r>
        <w:t xml:space="preserve"> que Abraão ouviu o chamado de Deus para partir para uma nova terra enquanto ainda estava em Ur.</w:t>
      </w:r>
    </w:p>
    <w:p>
      <w:r/>
      <w:r>
        <w:t xml:space="preserve">Uma nota de grande importância para o curso da vida de Abrão é encontrada em </w:t>
      </w:r>
      <w:hyperlink r:id="rId155">
        <w:r>
          <w:rPr>
            <w:color w:val="0000EE"/>
            <w:u w:val="single"/>
          </w:rPr>
          <w:t>Gênesis 11.30</w:t>
        </w:r>
      </w:hyperlink>
      <w:r>
        <w:t>: “Sarai não tinha filhos, pois era estéril” (NTLH). O problema da esterilidade de Sarai proporcionou a base para grandes crises de fé, promessa e cumprimento nas vidas de Abrão e Sarai.</w:t>
      </w:r>
    </w:p>
    <w:p>
      <w:r/>
      <w:r>
        <w:t>Após a morte de Terá, Deus disse a Abrão: “Deixe seu país, seus parentes e a casa de seu pai, e vá para a terra que eu lhe mostrarei”. Este comando foi a base de uma “aliança”, na qual Deus prometeu fazer de Abrão o fundador de uma nova nação naquela nova terra (</w:t>
      </w:r>
      <w:hyperlink r:id="rId162">
        <w:r>
          <w:rPr>
            <w:color w:val="0000EE"/>
            <w:u w:val="single"/>
          </w:rPr>
          <w:t>Gn 12.1–3</w:t>
        </w:r>
      </w:hyperlink>
      <w:r>
        <w:t>). Abrão, confiando na promessa de Deus, deixou Harã aos 74 anos. Entrando em Canaã, ele foi primeiro a Siquém, uma importante cidade real cananeia entre o Monte Gerizim e o Monte Ebal. Perto do carvalho de Moré, um santuário cananeu, Deus apareceu a ele (</w:t>
      </w:r>
      <w:hyperlink r:id="rId163">
        <w:r>
          <w:rPr>
            <w:color w:val="0000EE"/>
            <w:u w:val="single"/>
          </w:rPr>
          <w:t>12.7</w:t>
        </w:r>
      </w:hyperlink>
      <w:r>
        <w:t>). Abrão construiu um altar em Siquém, depois mudou-se para a vizinhança de Betel e novamente construiu um altar ao Senhor (</w:t>
      </w:r>
      <w:hyperlink r:id="rId164">
        <w:r>
          <w:rPr>
            <w:color w:val="0000EE"/>
            <w:u w:val="single"/>
          </w:rPr>
          <w:t>12.8</w:t>
        </w:r>
      </w:hyperlink>
      <w:r>
        <w:t>). A expressão "invocar o nome do Senhor" (ARA) significa mais do que apenas orar. Em vez disso, Abrão fez uma proclamação, declarando a realidade de Deus aos cananeus em seus centros de falsa adoração. Mais tarde, Abrão mudou-se para Hebrom, junto aos carvalhos de Manre, onde novamente construiu um altar para adorar a Deus. Outra bênção dada em uma visão (</w:t>
      </w:r>
      <w:hyperlink r:id="rId165">
        <w:r>
          <w:rPr>
            <w:color w:val="0000EE"/>
            <w:u w:val="single"/>
          </w:rPr>
          <w:t>15.1</w:t>
        </w:r>
      </w:hyperlink>
      <w:r>
        <w:t>) levou Abrão a exclamar que ainda estava sem filhos e que Eliezer de Damasco era seu herdeiro (</w:t>
      </w:r>
      <w:hyperlink r:id="rId166">
        <w:r>
          <w:rPr>
            <w:color w:val="0000EE"/>
            <w:u w:val="single"/>
          </w:rPr>
          <w:t>15.2</w:t>
        </w:r>
      </w:hyperlink>
      <w:r>
        <w:t>). A descoberta dos documentos de Nuzi ajudou a esclarecer essa declaração que, de outra forma, seria obscura. De acordo com o costume hurriano, um casal sem filhos de posição e substância adotaria um herdeiro. Frequentemente um escravo, o herdeiro seria responsável pelo enterro e luto de seus pais adotivos. Se um filho nascer após a adoção de um escravo-herdeiro, o filho natural naturalmente o substituiria. Assim, a resposta de Deus à pergunta de Abrão é direta: "Não, seu servo não será seu herdeiro, pois você terá um filho próprio para herdar tudo o que estou lhe dando" (</w:t>
      </w:r>
      <w:hyperlink r:id="rId167">
        <w:r>
          <w:rPr>
            <w:color w:val="0000EE"/>
            <w:u w:val="single"/>
          </w:rPr>
          <w:t>Gn 15.4</w:t>
        </w:r>
      </w:hyperlink>
      <w:r>
        <w:t>). Deus então fez uma aliança com Abrão garantindo um herdeiro, uma nação e a terra.</w:t>
      </w:r>
    </w:p>
    <w:p>
      <w:r/>
      <w:r>
        <w:t>Abrão tinha 86 anos quando Ismael nasceu. Quando Abrão tinha 99 anos, o Senhor apareceu ao patriarca idoso e novamente reafirmou sua promessa de aliança de um filho e bênção (</w:t>
      </w:r>
      <w:hyperlink r:id="rId168">
        <w:r>
          <w:rPr>
            <w:color w:val="0000EE"/>
            <w:u w:val="single"/>
          </w:rPr>
          <w:t>Gn 17</w:t>
        </w:r>
      </w:hyperlink>
      <w:r>
        <w:t>). A circuncisão foi adicionada como o selo da relação de aliança (</w:t>
      </w:r>
      <w:hyperlink r:id="rId169">
        <w:r>
          <w:rPr>
            <w:color w:val="0000EE"/>
            <w:u w:val="single"/>
          </w:rPr>
          <w:t>17.9–14</w:t>
        </w:r>
      </w:hyperlink>
      <w:r>
        <w:t>), e nesse ponto os nomes Abrão e Sarai foram mudados para Abraão e Sara (</w:t>
      </w:r>
      <w:hyperlink r:id="rId154">
        <w:r>
          <w:rPr>
            <w:color w:val="0000EE"/>
            <w:u w:val="single"/>
          </w:rPr>
          <w:t>17.5</w:t>
        </w:r>
      </w:hyperlink>
      <w:r>
        <w:t>,</w:t>
      </w:r>
      <w:hyperlink r:id="rId170">
        <w:r>
          <w:rPr>
            <w:color w:val="0000EE"/>
            <w:u w:val="single"/>
          </w:rPr>
          <w:t>15</w:t>
        </w:r>
      </w:hyperlink>
      <w:r>
        <w:t>). A resposta de Abraão à promessa de outro filho foi rir: "Abraão se ajoelhou, encostou o rosto no chão e começou a rir ao pensar assim: “Por acaso um homem de cem anos pode ser pai? E será que Sara, com os seus noventa anos, poderá ter um filho?”(</w:t>
      </w:r>
      <w:hyperlink r:id="rId157">
        <w:r>
          <w:rPr>
            <w:color w:val="0000EE"/>
            <w:u w:val="single"/>
          </w:rPr>
          <w:t>Gn 17.17</w:t>
        </w:r>
      </w:hyperlink>
      <w:r>
        <w:t>, NTLH).</w:t>
      </w:r>
    </w:p>
    <w:p>
      <w:r/>
      <w:hyperlink r:id="rId171">
        <w:r>
          <w:rPr>
            <w:color w:val="0000EE"/>
            <w:u w:val="single"/>
          </w:rPr>
          <w:t>Gênesis 18</w:t>
        </w:r>
      </w:hyperlink>
      <w:r>
        <w:t xml:space="preserve"> e </w:t>
      </w:r>
      <w:hyperlink r:id="rId172">
        <w:r>
          <w:rPr>
            <w:color w:val="0000EE"/>
            <w:u w:val="single"/>
          </w:rPr>
          <w:t>19</w:t>
        </w:r>
      </w:hyperlink>
      <w:r>
        <w:t xml:space="preserve"> relatam a destruição total de duas cidades da planície do Jordão, Sodoma e Gomorra. O capítulo </w:t>
      </w:r>
      <w:hyperlink r:id="rId171">
        <w:r>
          <w:rPr>
            <w:color w:val="0000EE"/>
            <w:u w:val="single"/>
          </w:rPr>
          <w:t>18</w:t>
        </w:r>
      </w:hyperlink>
      <w:r>
        <w:t xml:space="preserve"> começa com três indivíduos buscando conforto no calor do dia. Abraão ofereceu refresco e uma refeição aos seus convidados. Eles acabaram por não ser viajantes comuns, no entanto, mas o Anjo do Senhor junto com dois outros anjos (</w:t>
      </w:r>
      <w:hyperlink r:id="rId173">
        <w:r>
          <w:rPr>
            <w:color w:val="0000EE"/>
            <w:u w:val="single"/>
          </w:rPr>
          <w:t>18.1–2</w:t>
        </w:r>
      </w:hyperlink>
      <w:r>
        <w:t xml:space="preserve">; </w:t>
      </w:r>
      <w:hyperlink r:id="rId174">
        <w:r>
          <w:rPr>
            <w:color w:val="0000EE"/>
            <w:u w:val="single"/>
          </w:rPr>
          <w:t>19.1</w:t>
        </w:r>
      </w:hyperlink>
      <w:r>
        <w:t>). Há razão para acreditar que o Anjo do Senhor era o próprio Deus (</w:t>
      </w:r>
      <w:hyperlink r:id="rId175">
        <w:r>
          <w:rPr>
            <w:color w:val="0000EE"/>
            <w:u w:val="single"/>
          </w:rPr>
          <w:t>18.17</w:t>
        </w:r>
      </w:hyperlink>
      <w:r>
        <w:t>,</w:t>
      </w:r>
      <w:hyperlink r:id="rId176">
        <w:r>
          <w:rPr>
            <w:color w:val="0000EE"/>
            <w:u w:val="single"/>
          </w:rPr>
          <w:t>33</w:t>
        </w:r>
      </w:hyperlink>
      <w:r>
        <w:t>). Outro anúncio de um filho prometido fez Sara rir em descrença e depois negar ter rido (</w:t>
      </w:r>
      <w:hyperlink r:id="rId177">
        <w:r>
          <w:rPr>
            <w:color w:val="0000EE"/>
            <w:u w:val="single"/>
          </w:rPr>
          <w:t>18.12–15</w:t>
        </w:r>
      </w:hyperlink>
      <w:r>
        <w:t>).</w:t>
      </w:r>
    </w:p>
    <w:p>
      <w:r/>
      <w:hyperlink r:id="rId178">
        <w:r>
          <w:rPr>
            <w:color w:val="0000EE"/>
            <w:u w:val="single"/>
          </w:rPr>
          <w:t>Gênesis 21</w:t>
        </w:r>
      </w:hyperlink>
      <w:r>
        <w:t xml:space="preserve"> a </w:t>
      </w:r>
      <w:hyperlink r:id="rId179">
        <w:r>
          <w:rPr>
            <w:color w:val="0000EE"/>
            <w:u w:val="single"/>
          </w:rPr>
          <w:t>23</w:t>
        </w:r>
      </w:hyperlink>
      <w:r>
        <w:t xml:space="preserve"> formam o clímax da história de Abraão. Finalmente, quando Abraão tinha 100 anos e sua esposa 90, "o Senhor fez exatamente o que havia prometido" (</w:t>
      </w:r>
      <w:hyperlink r:id="rId180">
        <w:r>
          <w:rPr>
            <w:color w:val="0000EE"/>
            <w:u w:val="single"/>
          </w:rPr>
          <w:t>Gn 21.1</w:t>
        </w:r>
      </w:hyperlink>
      <w:r>
        <w:t>). A alegria do casal idoso com o nascimento de seu filho há muito prometido não podia ser contida. Tanto Abraão quanto Sara riram em descrença nos dias da promessa; agora eles riam de alegria, pois Deus "a riu por último". O bebê, nascido no tempo prometido por Deus, foi chamado de Isaque ("ele ri!"). Sarah disse: "Deus me deu motivo para rir. E todos os que ouvirem essa história vão rir comigo." (</w:t>
      </w:r>
      <w:hyperlink r:id="rId181">
        <w:r>
          <w:rPr>
            <w:color w:val="0000EE"/>
            <w:u w:val="single"/>
          </w:rPr>
          <w:t>Gn 21.6</w:t>
        </w:r>
      </w:hyperlink>
      <w:r>
        <w:t>, NTLH).</w:t>
      </w:r>
    </w:p>
    <w:p>
      <w:r/>
      <w:r>
        <w:t xml:space="preserve">O riso pelo nascimento de Isaque cessou completamente na prova de fé de Abraão descrita no capítulo </w:t>
      </w:r>
      <w:hyperlink r:id="rId182">
        <w:r>
          <w:rPr>
            <w:color w:val="0000EE"/>
            <w:u w:val="single"/>
          </w:rPr>
          <w:t>22</w:t>
        </w:r>
      </w:hyperlink>
      <w:r>
        <w:t>, o comando de Deus para sacrificar Isaque. Só quando alguém experimentou vicariamente com Abraão os longos 25 anos da promessa de Deus de um filho pode imaginar o trauma de um teste tão supremo. Assim que a faca estava prestes a cair, e só então, o anjo de Deus quebrou o silêncio do céu com o chamado: “Abraão!” (</w:t>
      </w:r>
      <w:hyperlink r:id="rId183">
        <w:r>
          <w:rPr>
            <w:color w:val="0000EE"/>
            <w:u w:val="single"/>
          </w:rPr>
          <w:t>22.11</w:t>
        </w:r>
      </w:hyperlink>
      <w:r>
        <w:t>). O nome da promessa, "pai de muitas nações", assumiu seu significado mais significativo quando o filho de Abraão foi poupado e o teste foi explicado: "Agora sei que você teme a Deus, pois não me negou o seu filho, o seu único filho.” (</w:t>
      </w:r>
      <w:hyperlink r:id="rId184">
        <w:r>
          <w:rPr>
            <w:color w:val="0000EE"/>
            <w:u w:val="single"/>
          </w:rPr>
          <w:t>Gn 22.12</w:t>
        </w:r>
      </w:hyperlink>
      <w:r>
        <w:t>, NTLH).</w:t>
      </w:r>
    </w:p>
    <w:p>
      <w:r/>
      <w:r>
        <w:t>Essas palavras foram acompanhadas por uma promessa implícita na descoberta de um carneiro preso na moita. O Senhor providenciou um sacrifício alternativo, um substituto. O lugar foi nomeado "o Senhor proverá." Os cristãos geralmente veem todo o episódio como uma antecipação da provisão de Deus de seu único Filho, Jesus Cristo, como um sacrifício pelos pecados do mundo.</w:t>
      </w:r>
    </w:p>
    <w:p>
      <w:r/>
      <w:r>
        <w:rPr>
          <w:i/>
        </w:rPr>
        <w:t>Veja também</w:t>
      </w:r>
      <w:r>
        <w:t xml:space="preserve"> </w:t>
      </w:r>
      <w:r>
        <w:t>Aliança</w:t>
      </w:r>
      <w:r>
        <w:t xml:space="preserve">; </w:t>
      </w:r>
      <w:r>
        <w:t>Patriarcas, Período dos</w:t>
      </w:r>
      <w:r>
        <w:t xml:space="preserve">; </w:t>
      </w:r>
      <w:r>
        <w:t>Israel, História de</w:t>
      </w:r>
      <w:r>
        <w:t xml:space="preserve">; </w:t>
      </w:r>
      <w:r>
        <w:t>Sara #1</w:t>
      </w:r>
      <w:r>
        <w:t>.</w:t>
      </w:r>
      <w:r/>
      <w:r/>
    </w:p>
    <w:p>
      <w:r/>
    </w:p>
    <w:p>
      <w:pPr>
        <w:pStyle w:val="Heading2"/>
      </w:pPr>
      <w:r>
        <w:t>Abrão</w:t>
      </w:r>
      <w:r/>
    </w:p>
    <w:p>
      <w:r/>
      <w:r>
        <w:t>O nome original do patriarca Abraão (</w:t>
      </w:r>
      <w:hyperlink r:id="rId185">
        <w:r>
          <w:rPr>
            <w:color w:val="0000EE"/>
            <w:u w:val="single"/>
          </w:rPr>
          <w:t>Gn 11.26</w:t>
        </w:r>
      </w:hyperlink>
      <w:r>
        <w:t>).</w:t>
      </w:r>
    </w:p>
    <w:p>
      <w:r/>
      <w:r>
        <w:rPr>
          <w:i/>
        </w:rPr>
        <w:t>Veja</w:t>
      </w:r>
      <w:r>
        <w:t xml:space="preserve"> </w:t>
      </w:r>
      <w:r>
        <w:t>Abraão</w:t>
      </w:r>
      <w:r>
        <w:t>.</w:t>
      </w:r>
      <w:r/>
      <w:r/>
    </w:p>
    <w:p>
      <w:r/>
    </w:p>
    <w:p>
      <w:pPr>
        <w:pStyle w:val="Heading2"/>
      </w:pPr>
      <w:r>
        <w:t>Abrona</w:t>
      </w:r>
      <w:r/>
    </w:p>
    <w:p>
      <w:r/>
      <w:r>
        <w:t>Um lugar perto de Elate onde os israelitas acamparam em sua jornada do Egito para Canaã (</w:t>
      </w:r>
      <w:hyperlink r:id="rId186">
        <w:r>
          <w:rPr>
            <w:color w:val="0000EE"/>
            <w:u w:val="single"/>
          </w:rPr>
          <w:t>Nm 33.34</w:t>
        </w:r>
      </w:hyperlink>
      <w:r>
        <w:t>-</w:t>
      </w:r>
      <w:hyperlink r:id="rId186">
        <w:r>
          <w:rPr>
            <w:color w:val="0000EE"/>
            <w:u w:val="single"/>
          </w:rPr>
          <w:t>35</w:t>
        </w:r>
      </w:hyperlink>
      <w:r>
        <w:t>).</w:t>
      </w:r>
    </w:p>
    <w:p>
      <w:r/>
      <w:r>
        <w:rPr>
          <w:i/>
        </w:rPr>
        <w:t>Veja</w:t>
      </w:r>
      <w:r>
        <w:t xml:space="preserve"> </w:t>
      </w:r>
      <w:r>
        <w:t>Peregrinações no Deserto</w:t>
      </w:r>
      <w:r>
        <w:t>.</w:t>
      </w:r>
      <w:r/>
      <w:r/>
    </w:p>
    <w:p>
      <w:r/>
    </w:p>
    <w:p>
      <w:pPr>
        <w:pStyle w:val="Heading2"/>
      </w:pPr>
      <w:r>
        <w:t>Abrona</w:t>
      </w:r>
      <w:r/>
    </w:p>
    <w:p>
      <w:r/>
      <w:r>
        <w:t>Um riacho ou leito de rio seco mencionado no Livro de Judite. Estava localizado no caminho que o general de Nabucodonosor, Holofernes, tomou durante seu ataque (</w:t>
      </w:r>
      <w:hyperlink r:id="rId187">
        <w:r>
          <w:rPr>
            <w:color w:val="0000EE"/>
            <w:u w:val="single"/>
          </w:rPr>
          <w:t>Jt 2.24</w:t>
        </w:r>
      </w:hyperlink>
      <w:r>
        <w:t>).</w:t>
      </w:r>
    </w:p>
    <w:p>
      <w:r/>
      <w:r>
        <w:t>Alguns estudiosos antigos pensaram que era o bíblico Jaboque (</w:t>
      </w:r>
      <w:hyperlink r:id="rId188">
        <w:r>
          <w:rPr>
            <w:color w:val="0000EE"/>
            <w:u w:val="single"/>
          </w:rPr>
          <w:t>Nm 21.24</w:t>
        </w:r>
      </w:hyperlink>
      <w:r>
        <w:t>). Outros o chamaram de Cherbona, talvez por causa de uma leitura equivocada de Habor (</w:t>
      </w:r>
      <w:hyperlink r:id="rId189">
        <w:r>
          <w:rPr>
            <w:color w:val="0000EE"/>
            <w:u w:val="single"/>
          </w:rPr>
          <w:t>2Rs 17.6</w:t>
        </w:r>
      </w:hyperlink>
      <w:r>
        <w:t>).</w:t>
      </w:r>
      <w:r/>
      <w:r/>
    </w:p>
    <w:p>
      <w:r/>
    </w:p>
    <w:p>
      <w:pPr>
        <w:pStyle w:val="Heading2"/>
      </w:pPr>
      <w:r>
        <w:t>Absalão</w:t>
      </w:r>
      <w:r/>
    </w:p>
    <w:p>
      <w:r/>
      <w:r>
        <w:t>O filho do rei Davi e sua esposa Maacá (</w:t>
      </w:r>
      <w:hyperlink r:id="rId190">
        <w:r>
          <w:rPr>
            <w:color w:val="0000EE"/>
            <w:u w:val="single"/>
          </w:rPr>
          <w:t>2Sm 3.3</w:t>
        </w:r>
      </w:hyperlink>
      <w:r>
        <w:t xml:space="preserve">). Em hebraico, seu nome possui uma pequena diferença na pronúncia em </w:t>
      </w:r>
      <w:hyperlink r:id="rId191">
        <w:r>
          <w:rPr>
            <w:color w:val="0000EE"/>
            <w:u w:val="single"/>
          </w:rPr>
          <w:t>1 Reis 15.2,10</w:t>
        </w:r>
      </w:hyperlink>
      <w:r>
        <w:t>. Absalão era um jovem príncipe bonito, famoso por seu cabelo longo e cheio (</w:t>
      </w:r>
      <w:hyperlink r:id="rId192">
        <w:r>
          <w:rPr>
            <w:color w:val="0000EE"/>
            <w:u w:val="single"/>
          </w:rPr>
          <w:t>2Sm 14.25</w:t>
        </w:r>
      </w:hyperlink>
      <w:r>
        <w:t>–</w:t>
      </w:r>
      <w:hyperlink r:id="rId192">
        <w:r>
          <w:rPr>
            <w:color w:val="0000EE"/>
            <w:u w:val="single"/>
          </w:rPr>
          <w:t>26</w:t>
        </w:r>
      </w:hyperlink>
      <w:r>
        <w:t>). Ele tinha uma irmã bonita, Tamar, que foi estuprada por seu meio-irmão Amnom. Após desonrar Tamar, Amnom se recusou a se casar com ela (</w:t>
      </w:r>
      <w:hyperlink r:id="rId193">
        <w:r>
          <w:rPr>
            <w:color w:val="0000EE"/>
            <w:u w:val="single"/>
          </w:rPr>
          <w:t>2Sm 13.1</w:t>
        </w:r>
      </w:hyperlink>
      <w:r>
        <w:t>–</w:t>
      </w:r>
      <w:hyperlink r:id="rId193">
        <w:r>
          <w:rPr>
            <w:color w:val="0000EE"/>
            <w:u w:val="single"/>
          </w:rPr>
          <w:t>20</w:t>
        </w:r>
      </w:hyperlink>
      <w:r>
        <w:t>).</w:t>
      </w:r>
    </w:p>
    <w:p>
      <w:r/>
      <w:r>
        <w:t>Absalão levou sua irmã magoada para sua própria casa. Ele esperava que seu pai, Davi, punisse Amnom por seu ato incestuoso. Após dois anos de raiva e ódio intensos, Absalão planejou sua vingança. Ele organizou um banquete para o rei Davi e seus príncipes em sua casa de campo. Davi não compareceu, mas Amnom sim, e foi assassinado pelos servos de Absalão depois que ele o embebedou. Absalão temia a ira do rei Davi, então ele fugiu através do Rio Jordão para o rei Talmai de Gesur, o pai de sua mãe (</w:t>
      </w:r>
      <w:hyperlink r:id="rId194">
        <w:r>
          <w:rPr>
            <w:color w:val="0000EE"/>
            <w:u w:val="single"/>
          </w:rPr>
          <w:t>2Sm 13.21</w:t>
        </w:r>
      </w:hyperlink>
      <w:r>
        <w:t>–</w:t>
      </w:r>
      <w:hyperlink r:id="rId194">
        <w:r>
          <w:rPr>
            <w:color w:val="0000EE"/>
            <w:u w:val="single"/>
          </w:rPr>
          <w:t>39</w:t>
        </w:r>
      </w:hyperlink>
      <w:r>
        <w:t>).</w:t>
      </w:r>
    </w:p>
    <w:p>
      <w:r/>
      <w:r>
        <w:t>Após três anos no exílio, Absalão foi chamado de volta a Jerusalém devido aos esforços do general de Davi, Joabe, e de uma mulher sábia de Tecoa. Depois de dois anos, ele foi totalmente perdoado pelo rei (</w:t>
      </w:r>
      <w:hyperlink r:id="rId195">
        <w:r>
          <w:rPr>
            <w:color w:val="0000EE"/>
            <w:u w:val="single"/>
          </w:rPr>
          <w:t>2Sm 14</w:t>
        </w:r>
      </w:hyperlink>
      <w:r>
        <w:t>). Ele começou a tentar tomar o trono de seu pai, ganhando apoio público enquanto minava a confiança no rei, seu pai (</w:t>
      </w:r>
      <w:hyperlink r:id="rId196">
        <w:r>
          <w:rPr>
            <w:color w:val="0000EE"/>
            <w:u w:val="single"/>
          </w:rPr>
          <w:t>2Sm 15.1–6</w:t>
        </w:r>
      </w:hyperlink>
      <w:r>
        <w:t>).</w:t>
      </w:r>
    </w:p>
    <w:p>
      <w:r/>
      <w:r>
        <w:t>Eventualmente, Absalão planejou uma rebelião contra Davi, indo para Hebrom para ganhar apoiadores de todo Israel. Depois que Aitofel, um dos conselheiros mais sábios de Davi, apoiou Absalão, o príncipe anunciou que agora era rei. Quando Davi ouviu o que Absalão havia feito, ele precisou fugir de Jerusalém (</w:t>
      </w:r>
      <w:hyperlink r:id="rId197">
        <w:r>
          <w:rPr>
            <w:color w:val="0000EE"/>
            <w:u w:val="single"/>
          </w:rPr>
          <w:t>2Sm 15</w:t>
        </w:r>
      </w:hyperlink>
      <w:r>
        <w:t xml:space="preserve">; </w:t>
      </w:r>
      <w:hyperlink r:id="rId198">
        <w:r>
          <w:rPr>
            <w:color w:val="0000EE"/>
            <w:u w:val="single"/>
          </w:rPr>
          <w:t>Sl 3</w:t>
        </w:r>
      </w:hyperlink>
      <w:r>
        <w:t>).</w:t>
      </w:r>
    </w:p>
    <w:p>
      <w:r/>
      <w:r>
        <w:t>Absalão chegou a Jerusalém sem lutar. Aitofel aconselhou-o a atacar Davi imediatamente com 12.000 tropas. Mas Husai, que era o espião de Davi na corte de Absalão, recomendou que Absalão tomasse algum tempo para reunir toda a nação contra Davi. Husai usou lisonjas ao sugerir que Absalão deveria liderar o ataque. Absalão preferiu o conselho de Husai, e Aitofel, em desespero, cometeu suicídio. Husai enviou os planos de Absalão para Davi por meio de dois sacerdotes, Zadoque e Abiatar. Com essa informação, Davi cruzou o Jordão e acampou em Maanaim (</w:t>
      </w:r>
      <w:hyperlink r:id="rId199">
        <w:r>
          <w:rPr>
            <w:color w:val="0000EE"/>
            <w:u w:val="single"/>
          </w:rPr>
          <w:t>2Sm 16–17</w:t>
        </w:r>
      </w:hyperlink>
      <w:r>
        <w:t>).</w:t>
      </w:r>
    </w:p>
    <w:p>
      <w:r/>
      <w:r>
        <w:t>Absalão trouxe seu exército através do Jordão para lutar contra Davi na floresta de Efraim. Joabe, Abisai e Itai, o geteu, lideraram o exército de Davi. Eles derrotaram as forças de Absalão. Absalão fugiu em uma mula, mas seu longo cabelo ficou preso nos galhos de um carvalho. Ele ficou pendurado pelos cabelos, sem poder fazer nada. Joabe estava perseguindo Absalão e, quando o encontrou, matou-o. Os homens de Joabe jogaram o corpo em uma cova e empilharam pedras sobre ele (</w:t>
      </w:r>
      <w:hyperlink r:id="rId200">
        <w:r>
          <w:rPr>
            <w:color w:val="0000EE"/>
            <w:u w:val="single"/>
          </w:rPr>
          <w:t>2Sm 18.1</w:t>
        </w:r>
      </w:hyperlink>
      <w:r>
        <w:t>–</w:t>
      </w:r>
      <w:hyperlink r:id="rId200">
        <w:r>
          <w:rPr>
            <w:color w:val="0000EE"/>
            <w:u w:val="single"/>
          </w:rPr>
          <w:t>18</w:t>
        </w:r>
      </w:hyperlink>
      <w:r>
        <w:t>).</w:t>
      </w:r>
    </w:p>
    <w:p>
      <w:r/>
      <w:r>
        <w:t>Davi havia ordenado a todos que não ferissem Absalão. Então, quando Absalão morreu, Davi ficou chocado e muito abalado. Davi chorou: “Ó meu filho! Meu filho Absalão! Absalão, meu filho! Eu preferiria ter morrido no seu lugar, meu filho!” (</w:t>
      </w:r>
      <w:hyperlink r:id="rId201">
        <w:r>
          <w:rPr>
            <w:color w:val="0000EE"/>
            <w:u w:val="single"/>
          </w:rPr>
          <w:t>2Sm 18.33</w:t>
        </w:r>
      </w:hyperlink>
      <w:r>
        <w:t>). Em sua dor, Davi não percebeu que a rebelião havia terminado até que Joabe o lembrou de que os seguidores de Davi haviam arriscado suas vidas por ele (</w:t>
      </w:r>
      <w:hyperlink r:id="rId202">
        <w:r>
          <w:rPr>
            <w:color w:val="0000EE"/>
            <w:u w:val="single"/>
          </w:rPr>
          <w:t>2Sm 19.1</w:t>
        </w:r>
      </w:hyperlink>
      <w:r>
        <w:t>–</w:t>
      </w:r>
      <w:hyperlink r:id="rId202">
        <w:r>
          <w:rPr>
            <w:color w:val="0000EE"/>
            <w:u w:val="single"/>
          </w:rPr>
          <w:t>8</w:t>
        </w:r>
      </w:hyperlink>
      <w:r>
        <w:t>).</w:t>
      </w:r>
    </w:p>
    <w:p>
      <w:r/>
      <w:r>
        <w:rPr>
          <w:i/>
        </w:rPr>
        <w:t>Veja</w:t>
      </w:r>
      <w:r>
        <w:t xml:space="preserve"> </w:t>
      </w:r>
      <w:r>
        <w:t>Davi</w:t>
      </w:r>
      <w:r>
        <w:t>.</w:t>
      </w:r>
      <w:r/>
      <w:r/>
    </w:p>
    <w:p>
      <w:r/>
    </w:p>
    <w:p>
      <w:pPr>
        <w:pStyle w:val="Heading2"/>
      </w:pPr>
      <w:r>
        <w:t>Absinto</w:t>
      </w:r>
      <w:r/>
    </w:p>
    <w:p>
      <w:r/>
      <w:r>
        <w:t>Absinto é um nome geral para um grupo de plantas lenhosas com um forte cheiro aromático. Essas plantas têm um sabor forte e amargo. Os brotos jovens e as pontas dos ramos das plantas de Absinto são usados para fazer o produto "absinto" vendido nos mercados. Devido ao seu sabor amargo, o absinto é frequentemente mencionado junto com o fel como um símbolo de calamidade amarga e tristeza (</w:t>
      </w:r>
      <w:hyperlink r:id="rId203">
        <w:r>
          <w:rPr>
            <w:color w:val="0000EE"/>
            <w:u w:val="single"/>
          </w:rPr>
          <w:t>Pv 5.4</w:t>
        </w:r>
      </w:hyperlink>
      <w:r>
        <w:t xml:space="preserve">; </w:t>
      </w:r>
      <w:hyperlink r:id="rId204">
        <w:r>
          <w:rPr>
            <w:color w:val="0000EE"/>
            <w:u w:val="single"/>
          </w:rPr>
          <w:t>Jr 9.15</w:t>
        </w:r>
      </w:hyperlink>
      <w:r>
        <w:t xml:space="preserve">; </w:t>
      </w:r>
      <w:hyperlink r:id="rId205">
        <w:r>
          <w:rPr>
            <w:color w:val="0000EE"/>
            <w:u w:val="single"/>
          </w:rPr>
          <w:t>23.15</w:t>
        </w:r>
      </w:hyperlink>
      <w:r>
        <w:t xml:space="preserve">; </w:t>
      </w:r>
      <w:hyperlink r:id="rId206">
        <w:r>
          <w:rPr>
            <w:color w:val="0000EE"/>
            <w:u w:val="single"/>
          </w:rPr>
          <w:t>Lm 3.15,19</w:t>
        </w:r>
      </w:hyperlink>
      <w:r>
        <w:t xml:space="preserve">; </w:t>
      </w:r>
      <w:hyperlink r:id="rId207">
        <w:r>
          <w:rPr>
            <w:color w:val="0000EE"/>
            <w:u w:val="single"/>
          </w:rPr>
          <w:t>Ap 8.11</w:t>
        </w:r>
      </w:hyperlink>
      <w:r>
        <w:t>).</w:t>
      </w:r>
    </w:p>
    <w:p>
      <w:r/>
      <w:r>
        <w:rPr>
          <w:i/>
        </w:rPr>
        <w:t>Artemisia herba-alba</w:t>
      </w:r>
      <w:r>
        <w:t xml:space="preserve"> é o tipo mais comum de absinto encontrado na Terra Santa atualmente. Possui um cheiro aromático forte, semelhante ao cânfora, e um sabor amargo. Outro tipo, </w:t>
      </w:r>
      <w:r>
        <w:rPr>
          <w:i/>
        </w:rPr>
        <w:t>Artemisia judaica</w:t>
      </w:r>
      <w:r>
        <w:t>, cresce apenas na região do Sinai.</w:t>
      </w:r>
    </w:p>
    <w:p>
      <w:r/>
      <w:r>
        <w:t>As pessoas fazem uma bebida chamada absinto a partir de plantas de absinto. No início, o absinto causa aumento de atividade e sensações agradáveis, enchendo a mente com grandes ideias (</w:t>
      </w:r>
      <w:hyperlink r:id="rId208">
        <w:r>
          <w:rPr>
            <w:color w:val="0000EE"/>
            <w:u w:val="single"/>
          </w:rPr>
          <w:t>Lm 3.15</w:t>
        </w:r>
      </w:hyperlink>
      <w:r>
        <w:t xml:space="preserve">). No entanto, o uso regular de absinto leva ao estupor e a uma diminuição gradual na capacidade de pensar. Eventualmente, causa delírio e, às vezes, morte. O absinto também é mencionado em </w:t>
      </w:r>
      <w:hyperlink r:id="rId209">
        <w:r>
          <w:rPr>
            <w:color w:val="0000EE"/>
            <w:u w:val="single"/>
          </w:rPr>
          <w:t>Amós 6.12</w:t>
        </w:r>
      </w:hyperlink>
      <w:r>
        <w:t>.</w:t>
      </w:r>
      <w:r/>
      <w:r/>
    </w:p>
    <w:p>
      <w:r/>
    </w:p>
    <w:p>
      <w:pPr>
        <w:pStyle w:val="Heading2"/>
      </w:pPr>
      <w:r>
        <w:t>Acã</w:t>
      </w:r>
      <w:r/>
    </w:p>
    <w:p>
      <w:r/>
      <w:r>
        <w:t>Um nome alternativo para Jaacã, um filho de Ezer (</w:t>
      </w:r>
      <w:hyperlink r:id="rId210">
        <w:r>
          <w:rPr>
            <w:color w:val="0000EE"/>
            <w:u w:val="single"/>
          </w:rPr>
          <w:t>Gn 36.27</w:t>
        </w:r>
      </w:hyperlink>
      <w:r>
        <w:t>).</w:t>
      </w:r>
    </w:p>
    <w:p>
      <w:r/>
      <w:r>
        <w:rPr>
          <w:i/>
        </w:rPr>
        <w:t>Veja</w:t>
      </w:r>
      <w:r>
        <w:t xml:space="preserve"> </w:t>
      </w:r>
      <w:r>
        <w:t>Jaacã.</w:t>
      </w:r>
      <w:r/>
      <w:r/>
    </w:p>
    <w:p>
      <w:r/>
    </w:p>
    <w:p>
      <w:pPr>
        <w:pStyle w:val="Heading2"/>
      </w:pPr>
      <w:r>
        <w:t>Acabe</w:t>
      </w:r>
      <w:r/>
    </w:p>
    <w:p>
      <w:pPr>
        <w:pStyle w:val="ListNumber"/>
        <w:spacing w:line="240" w:lineRule="auto"/>
        <w:ind w:left="720"/>
      </w:pPr>
      <w:r/>
      <w:r>
        <w:t>O oitavo rei do reino do norte de Israel. Ele reinou por volta de 874–853 a.C. Seu pai, Onri, estabeleceu uma família real (dinastia) que durou 40 anos, através dos reinados de Acabe e seus dois filhos, Acazias e Jeorão. Essa dinastia teve um impacto que foi além do que está escrito na Bíblia. Eles foram mencionados na conhecida Pedra Moabita e em vários escritos (inscrições) da Assíria.</w:t>
      </w:r>
    </w:p>
    <w:p>
      <w:r/>
      <w:r>
        <w:t>De acordo com 1 Reis, Onri era um general sob o comando do Rei Elá, filho de Baasa. Após o assassinato de Elá, as tropas de Onri o declararam rei (</w:t>
      </w:r>
      <w:hyperlink r:id="rId211">
        <w:r>
          <w:rPr>
            <w:color w:val="0000EE"/>
            <w:u w:val="single"/>
          </w:rPr>
          <w:t>1Rs 16.8</w:t>
        </w:r>
      </w:hyperlink>
      <w:r>
        <w:t>-</w:t>
      </w:r>
      <w:hyperlink r:id="rId211">
        <w:r>
          <w:rPr>
            <w:color w:val="0000EE"/>
            <w:u w:val="single"/>
          </w:rPr>
          <w:t>16</w:t>
        </w:r>
      </w:hyperlink>
      <w:r>
        <w:t>). Ele venceu a guerra civil resultante e tomou Tirza, a cidade capital (</w:t>
      </w:r>
      <w:hyperlink r:id="rId212">
        <w:r>
          <w:rPr>
            <w:color w:val="0000EE"/>
            <w:u w:val="single"/>
          </w:rPr>
          <w:t>1Rs 16.17</w:t>
        </w:r>
      </w:hyperlink>
      <w:r>
        <w:t>-</w:t>
      </w:r>
      <w:hyperlink r:id="rId212">
        <w:r>
          <w:rPr>
            <w:color w:val="0000EE"/>
            <w:u w:val="single"/>
          </w:rPr>
          <w:t>23</w:t>
        </w:r>
      </w:hyperlink>
      <w:r>
        <w:t>). Mais tarde, ele mudou sua capital para Samaria e construiu defesas ao redor dela (</w:t>
      </w:r>
      <w:hyperlink r:id="rId213">
        <w:r>
          <w:rPr>
            <w:color w:val="0000EE"/>
            <w:u w:val="single"/>
          </w:rPr>
          <w:t>1Rs 16.24</w:t>
        </w:r>
      </w:hyperlink>
      <w:r>
        <w:t>). Onri também fez uma aliança com os fenícios. Davi e Salomão fizeram o mesmo, mas foram criticados por isso posteriormente. Quando Acabe se tornou rei após seu pai (</w:t>
      </w:r>
      <w:hyperlink r:id="rId214">
        <w:r>
          <w:rPr>
            <w:color w:val="0000EE"/>
            <w:u w:val="single"/>
          </w:rPr>
          <w:t>1Rs 16.28</w:t>
        </w:r>
      </w:hyperlink>
      <w:r>
        <w:t>), ele continuou essa aliança casando-se com a filha do rei fenício, Jezabel (</w:t>
      </w:r>
      <w:hyperlink r:id="rId215">
        <w:r>
          <w:rPr>
            <w:color w:val="0000EE"/>
            <w:u w:val="single"/>
          </w:rPr>
          <w:t>1Rs 16.29</w:t>
        </w:r>
      </w:hyperlink>
      <w:r>
        <w:t>-</w:t>
      </w:r>
      <w:hyperlink r:id="rId215">
        <w:r>
          <w:rPr>
            <w:color w:val="0000EE"/>
            <w:u w:val="single"/>
          </w:rPr>
          <w:t>31</w:t>
        </w:r>
      </w:hyperlink>
      <w:r>
        <w:t>).</w:t>
      </w:r>
    </w:p>
    <w:p>
      <w:r/>
      <w:r>
        <w:t>Jezabel apoiava fortemente falsos deuses e não se comportava de maneira correta ou boa. O casamento de Acabe com ela teve um grande impacto em Israel (</w:t>
      </w:r>
      <w:hyperlink r:id="rId216">
        <w:r>
          <w:rPr>
            <w:color w:val="0000EE"/>
            <w:u w:val="single"/>
          </w:rPr>
          <w:t>1Rs 21.21</w:t>
        </w:r>
      </w:hyperlink>
      <w:r>
        <w:t>-</w:t>
      </w:r>
      <w:hyperlink r:id="rId216">
        <w:r>
          <w:rPr>
            <w:color w:val="0000EE"/>
            <w:u w:val="single"/>
          </w:rPr>
          <w:t>26</w:t>
        </w:r>
      </w:hyperlink>
      <w:r>
        <w:t>). Isso até afetou o reino do sul de Judá. A filha deles, Atalia, casou-se com Jeorão de Judá, e essa união levou a consequências terríveis (</w:t>
      </w:r>
      <w:hyperlink r:id="rId217">
        <w:r>
          <w:rPr>
            <w:color w:val="0000EE"/>
            <w:u w:val="single"/>
          </w:rPr>
          <w:t>2Rs 8.17</w:t>
        </w:r>
      </w:hyperlink>
      <w:r>
        <w:t>-</w:t>
      </w:r>
      <w:hyperlink r:id="rId217">
        <w:r>
          <w:rPr>
            <w:color w:val="0000EE"/>
            <w:u w:val="single"/>
          </w:rPr>
          <w:t>18,26</w:t>
        </w:r>
      </w:hyperlink>
      <w:r>
        <w:t>-</w:t>
      </w:r>
      <w:hyperlink r:id="rId217">
        <w:r>
          <w:rPr>
            <w:color w:val="0000EE"/>
            <w:u w:val="single"/>
          </w:rPr>
          <w:t>27</w:t>
        </w:r>
      </w:hyperlink>
      <w:r>
        <w:t xml:space="preserve">; </w:t>
      </w:r>
      <w:hyperlink r:id="rId218">
        <w:r>
          <w:rPr>
            <w:color w:val="0000EE"/>
            <w:u w:val="single"/>
          </w:rPr>
          <w:t>11.1</w:t>
        </w:r>
      </w:hyperlink>
      <w:r>
        <w:t>-</w:t>
      </w:r>
      <w:hyperlink r:id="rId218">
        <w:r>
          <w:rPr>
            <w:color w:val="0000EE"/>
            <w:u w:val="single"/>
          </w:rPr>
          <w:t>20</w:t>
        </w:r>
      </w:hyperlink>
      <w:r>
        <w:t>). Sob a influência de Jezabel, Acabe abandonou a adoração a Deus em favor da adoração a Baal. Esta nova religião era um culto de fertilidade que incluía ritos sexuais entre sacerdotes e "virgens" do templo, o que ia diretamente contra as leis de Deus. Ao casar-se com Jezabel, Acabe também quebrou o mandamento bíblico contra pagãos (</w:t>
      </w:r>
      <w:hyperlink r:id="rId219">
        <w:r>
          <w:rPr>
            <w:color w:val="0000EE"/>
            <w:u w:val="single"/>
          </w:rPr>
          <w:t>Dt 7.1</w:t>
        </w:r>
      </w:hyperlink>
      <w:r>
        <w:t>-</w:t>
      </w:r>
      <w:hyperlink r:id="rId219">
        <w:r>
          <w:rPr>
            <w:color w:val="0000EE"/>
            <w:u w:val="single"/>
          </w:rPr>
          <w:t>5</w:t>
        </w:r>
      </w:hyperlink>
      <w:r>
        <w:t>).</w:t>
      </w:r>
    </w:p>
    <w:p>
      <w:r/>
      <w:r>
        <w:t>A Bíblia nos informa que Acabe construiu muitas cidades e travou várias guerras (</w:t>
      </w:r>
      <w:hyperlink r:id="rId220">
        <w:r>
          <w:rPr>
            <w:color w:val="0000EE"/>
            <w:u w:val="single"/>
          </w:rPr>
          <w:t>1Rs 22.39</w:t>
        </w:r>
      </w:hyperlink>
      <w:r>
        <w:t>). No entanto, a maior parte da história se concentra no profeta Elias (</w:t>
      </w:r>
      <w:hyperlink r:id="rId221">
        <w:r>
          <w:rPr>
            <w:color w:val="0000EE"/>
            <w:u w:val="single"/>
          </w:rPr>
          <w:t>1Rs 17.1</w:t>
        </w:r>
      </w:hyperlink>
      <w:r>
        <w:t xml:space="preserve">; </w:t>
      </w:r>
      <w:hyperlink r:id="rId222">
        <w:r>
          <w:rPr>
            <w:color w:val="0000EE"/>
            <w:u w:val="single"/>
          </w:rPr>
          <w:t>18.1</w:t>
        </w:r>
      </w:hyperlink>
      <w:r>
        <w:t xml:space="preserve">; </w:t>
      </w:r>
      <w:hyperlink r:id="rId223">
        <w:r>
          <w:rPr>
            <w:color w:val="0000EE"/>
            <w:u w:val="single"/>
          </w:rPr>
          <w:t>19.1</w:t>
        </w:r>
      </w:hyperlink>
      <w:r>
        <w:t>). No início do reinado de Acabe, Deus enviou Elias para anunciar uma seca e fome como punição pelos pecados do rei (</w:t>
      </w:r>
      <w:hyperlink r:id="rId221">
        <w:r>
          <w:rPr>
            <w:color w:val="0000EE"/>
            <w:u w:val="single"/>
          </w:rPr>
          <w:t>1Rs 17.1</w:t>
        </w:r>
      </w:hyperlink>
      <w:r>
        <w:t xml:space="preserve">; </w:t>
      </w:r>
      <w:hyperlink r:id="rId224">
        <w:r>
          <w:rPr>
            <w:color w:val="0000EE"/>
            <w:u w:val="single"/>
          </w:rPr>
          <w:t>18.16</w:t>
        </w:r>
      </w:hyperlink>
      <w:r>
        <w:t>-</w:t>
      </w:r>
      <w:hyperlink r:id="rId224">
        <w:r>
          <w:rPr>
            <w:color w:val="0000EE"/>
            <w:u w:val="single"/>
          </w:rPr>
          <w:t>18</w:t>
        </w:r>
      </w:hyperlink>
      <w:r>
        <w:t>). Essa seca durou três anos e meio e foi tão significativa que foi lembrada no Novo Testamento (</w:t>
      </w:r>
      <w:hyperlink r:id="rId225">
        <w:r>
          <w:rPr>
            <w:color w:val="0000EE"/>
            <w:u w:val="single"/>
          </w:rPr>
          <w:t>Lc 4.25</w:t>
        </w:r>
      </w:hyperlink>
      <w:r>
        <w:t xml:space="preserve">; </w:t>
      </w:r>
      <w:hyperlink r:id="rId226">
        <w:r>
          <w:rPr>
            <w:color w:val="0000EE"/>
            <w:u w:val="single"/>
          </w:rPr>
          <w:t>Tg 5.17</w:t>
        </w:r>
      </w:hyperlink>
      <w:r>
        <w:t>). Causou sofrimento severo tanto para as pessoas quanto para os animais (</w:t>
      </w:r>
      <w:hyperlink r:id="rId227">
        <w:r>
          <w:rPr>
            <w:color w:val="0000EE"/>
            <w:u w:val="single"/>
          </w:rPr>
          <w:t>1Rs 18.5</w:t>
        </w:r>
      </w:hyperlink>
      <w:r>
        <w:t>).</w:t>
      </w:r>
    </w:p>
    <w:p>
      <w:r/>
      <w:r>
        <w:t>No final da seca, Elias desafiou Acabe a reunir todos os profetas pagãos para um confronto entre Deus e Baal. Elias zombou dos 450 profetas de Baal por sua falha em chamar a atenção de seu deus. Então ele orou a Deus, e fogo desceu do céu para consumir o altar de Deus. O povo então declarou sua fé em Deus e ajudou Elias a matar os falsos profetas (</w:t>
      </w:r>
      <w:hyperlink r:id="rId228">
        <w:r>
          <w:rPr>
            <w:color w:val="0000EE"/>
            <w:u w:val="single"/>
          </w:rPr>
          <w:t>1Rs 18.16</w:t>
        </w:r>
      </w:hyperlink>
      <w:r>
        <w:t>-</w:t>
      </w:r>
      <w:hyperlink r:id="rId228">
        <w:r>
          <w:rPr>
            <w:color w:val="0000EE"/>
            <w:u w:val="single"/>
          </w:rPr>
          <w:t>40</w:t>
        </w:r>
      </w:hyperlink>
      <w:r>
        <w:t>). A seca terminou imediatamente (</w:t>
      </w:r>
      <w:hyperlink r:id="rId229">
        <w:r>
          <w:rPr>
            <w:color w:val="0000EE"/>
            <w:u w:val="single"/>
          </w:rPr>
          <w:t>1Rs 18.41</w:t>
        </w:r>
      </w:hyperlink>
      <w:r>
        <w:t>-</w:t>
      </w:r>
      <w:hyperlink r:id="rId229">
        <w:r>
          <w:rPr>
            <w:color w:val="0000EE"/>
            <w:u w:val="single"/>
          </w:rPr>
          <w:t>46</w:t>
        </w:r>
      </w:hyperlink>
      <w:r>
        <w:t>).</w:t>
      </w:r>
    </w:p>
    <w:p>
      <w:r/>
      <w:r>
        <w:t>Quando Jezabel soube o que tinha acontecido com seus profetas, ela jurou se vingar. Elias fugiu, e no Monte Horebe, Deus o instruiu a ungir Jeú como o novo rei de Israel para substituir Acabe (</w:t>
      </w:r>
      <w:hyperlink r:id="rId230">
        <w:r>
          <w:rPr>
            <w:color w:val="0000EE"/>
            <w:u w:val="single"/>
          </w:rPr>
          <w:t>1Rs 19.1–16</w:t>
        </w:r>
      </w:hyperlink>
      <w:r>
        <w:t>). Isso foi feito mais tarde pelo sucessor de Elias, Eliseu (</w:t>
      </w:r>
      <w:hyperlink r:id="rId231">
        <w:r>
          <w:rPr>
            <w:color w:val="0000EE"/>
            <w:u w:val="single"/>
          </w:rPr>
          <w:t>1Rs 19.19</w:t>
        </w:r>
      </w:hyperlink>
      <w:r>
        <w:t>-</w:t>
      </w:r>
      <w:hyperlink r:id="rId231">
        <w:r>
          <w:rPr>
            <w:color w:val="0000EE"/>
            <w:u w:val="single"/>
          </w:rPr>
          <w:t>21</w:t>
        </w:r>
      </w:hyperlink>
      <w:r>
        <w:t xml:space="preserve">; </w:t>
      </w:r>
      <w:hyperlink r:id="rId232">
        <w:r>
          <w:rPr>
            <w:color w:val="0000EE"/>
            <w:u w:val="single"/>
          </w:rPr>
          <w:t>2Rs 9.1</w:t>
        </w:r>
      </w:hyperlink>
      <w:r>
        <w:t>-</w:t>
      </w:r>
      <w:hyperlink r:id="rId232">
        <w:r>
          <w:rPr>
            <w:color w:val="0000EE"/>
            <w:u w:val="single"/>
          </w:rPr>
          <w:t>10</w:t>
        </w:r>
      </w:hyperlink>
      <w:r>
        <w:t>).</w:t>
      </w:r>
    </w:p>
    <w:p>
      <w:r/>
      <w:r>
        <w:t>Elias também confrontou Acabe sobre a aquisição de uma vinha de um homem chamado Nabote (</w:t>
      </w:r>
      <w:hyperlink r:id="rId233">
        <w:r>
          <w:rPr>
            <w:color w:val="0000EE"/>
            <w:u w:val="single"/>
          </w:rPr>
          <w:t>1Rs 21.1</w:t>
        </w:r>
      </w:hyperlink>
      <w:r>
        <w:t>-</w:t>
      </w:r>
      <w:hyperlink r:id="rId233">
        <w:r>
          <w:rPr>
            <w:color w:val="0000EE"/>
            <w:u w:val="single"/>
          </w:rPr>
          <w:t>16</w:t>
        </w:r>
      </w:hyperlink>
      <w:r>
        <w:t>). Quando Nabote se recusou a vender sua terra, Jezabel organizou para que falsas testemunhas o acusassem de amaldiçoar Deus e o rei. Nabote foi então apedrejado até a morte por blasfêmia. Elias condenou Acabe, profetizando que Deus traria um fim sangrento à sua família (</w:t>
      </w:r>
      <w:hyperlink r:id="rId234">
        <w:r>
          <w:rPr>
            <w:color w:val="0000EE"/>
            <w:u w:val="single"/>
          </w:rPr>
          <w:t>1Rs 21.17</w:t>
        </w:r>
      </w:hyperlink>
      <w:r>
        <w:t>-</w:t>
      </w:r>
      <w:hyperlink r:id="rId234">
        <w:r>
          <w:rPr>
            <w:color w:val="0000EE"/>
            <w:u w:val="single"/>
          </w:rPr>
          <w:t>24</w:t>
        </w:r>
      </w:hyperlink>
      <w:r>
        <w:t>). Embora Acabe tenha se arrependido, isso fez com que Deus adiasse o julgamento até depois da morte de Acabe (</w:t>
      </w:r>
      <w:hyperlink r:id="rId235">
        <w:r>
          <w:rPr>
            <w:color w:val="0000EE"/>
            <w:u w:val="single"/>
          </w:rPr>
          <w:t>1Rs 21.27</w:t>
        </w:r>
      </w:hyperlink>
      <w:r>
        <w:t>-</w:t>
      </w:r>
      <w:hyperlink r:id="rId235">
        <w:r>
          <w:rPr>
            <w:color w:val="0000EE"/>
            <w:u w:val="single"/>
          </w:rPr>
          <w:t>29</w:t>
        </w:r>
      </w:hyperlink>
      <w:r>
        <w:t xml:space="preserve">; </w:t>
      </w:r>
      <w:hyperlink r:id="rId236">
        <w:r>
          <w:rPr>
            <w:color w:val="0000EE"/>
            <w:u w:val="single"/>
          </w:rPr>
          <w:t>2Rs 10.1</w:t>
        </w:r>
      </w:hyperlink>
      <w:r>
        <w:t>-</w:t>
      </w:r>
      <w:hyperlink r:id="rId236">
        <w:r>
          <w:rPr>
            <w:color w:val="0000EE"/>
            <w:u w:val="single"/>
          </w:rPr>
          <w:t>14</w:t>
        </w:r>
      </w:hyperlink>
      <w:r>
        <w:t>).</w:t>
      </w:r>
    </w:p>
    <w:p>
      <w:r/>
      <w:r>
        <w:t>Durante seu reinado, Acabe enfrentou vários conflitos militares com o Rei Ben-Hadade II da Síria (Aram), principalmente porque os sírios provocaram esses encontros. No primeiro confronto, Ben-Hadade sitiou Samaria, a capital de Israel, e exigiu um pesado tributo. Acabe se recusou a atender a essas exigências e consultou os anciãos de Israel. Enquanto os sírios se preparavam para atacar, um profeta aconselhou Acabe a atacar primeiro (</w:t>
      </w:r>
      <w:hyperlink r:id="rId237">
        <w:r>
          <w:rPr>
            <w:color w:val="0000EE"/>
            <w:u w:val="single"/>
          </w:rPr>
          <w:t>1Rs 20.1</w:t>
        </w:r>
      </w:hyperlink>
      <w:r>
        <w:t>-</w:t>
      </w:r>
      <w:hyperlink r:id="rId237">
        <w:r>
          <w:rPr>
            <w:color w:val="0000EE"/>
            <w:u w:val="single"/>
          </w:rPr>
          <w:t>14</w:t>
        </w:r>
      </w:hyperlink>
      <w:r>
        <w:t>). Os sírios foram derrotados, e Ben-Hadade mal escapou com vida (</w:t>
      </w:r>
      <w:hyperlink r:id="rId238">
        <w:r>
          <w:rPr>
            <w:color w:val="0000EE"/>
            <w:u w:val="single"/>
          </w:rPr>
          <w:t>1Rs 20.15</w:t>
        </w:r>
      </w:hyperlink>
      <w:r>
        <w:t>-</w:t>
      </w:r>
      <w:hyperlink r:id="rId238">
        <w:r>
          <w:rPr>
            <w:color w:val="0000EE"/>
            <w:u w:val="single"/>
          </w:rPr>
          <w:t>22</w:t>
        </w:r>
      </w:hyperlink>
      <w:r>
        <w:t>).</w:t>
      </w:r>
    </w:p>
    <w:p>
      <w:r/>
      <w:r>
        <w:t>No ano seguinte, Ben-Hadade lançou outro ataque contra as forças de Acabe, foi novamente derrotado e acabou se rendendo a Acabe (</w:t>
      </w:r>
      <w:hyperlink r:id="rId239">
        <w:r>
          <w:rPr>
            <w:color w:val="0000EE"/>
            <w:u w:val="single"/>
          </w:rPr>
          <w:t>1Rs 20.23</w:t>
        </w:r>
      </w:hyperlink>
      <w:r>
        <w:t>-</w:t>
      </w:r>
      <w:hyperlink r:id="rId239">
        <w:r>
          <w:rPr>
            <w:color w:val="0000EE"/>
            <w:u w:val="single"/>
          </w:rPr>
          <w:t>33</w:t>
        </w:r>
      </w:hyperlink>
      <w:r>
        <w:t>). Como parte dos termos, Ben-Hadade cedeu algumas cidades que seu pai havia tomado anteriormente de Israel e permitiu que Israel tivesse postos comerciais em Damasco (</w:t>
      </w:r>
      <w:hyperlink r:id="rId240">
        <w:r>
          <w:rPr>
            <w:color w:val="0000EE"/>
            <w:u w:val="single"/>
          </w:rPr>
          <w:t>1Rs 20.34</w:t>
        </w:r>
      </w:hyperlink>
      <w:r>
        <w:t>). No entanto, Deus mais tarde repreendeu Acabe através de um profeta por formar tal aliança com um poder pagão (</w:t>
      </w:r>
      <w:hyperlink r:id="rId241">
        <w:r>
          <w:rPr>
            <w:color w:val="0000EE"/>
            <w:u w:val="single"/>
          </w:rPr>
          <w:t>1Rs 20.35</w:t>
        </w:r>
      </w:hyperlink>
      <w:r>
        <w:t>-</w:t>
      </w:r>
      <w:hyperlink r:id="rId241">
        <w:r>
          <w:rPr>
            <w:color w:val="0000EE"/>
            <w:u w:val="single"/>
          </w:rPr>
          <w:t>43</w:t>
        </w:r>
      </w:hyperlink>
      <w:r>
        <w:t>).</w:t>
      </w:r>
    </w:p>
    <w:p>
      <w:r/>
      <w:r>
        <w:t>Na guerra final de Acabe com a Síria, ele contou com o apoio de uma aliança com o rei de Judá, Josafá (</w:t>
      </w:r>
      <w:hyperlink r:id="rId242">
        <w:r>
          <w:rPr>
            <w:color w:val="0000EE"/>
            <w:u w:val="single"/>
          </w:rPr>
          <w:t>1Rs 22.2</w:t>
        </w:r>
      </w:hyperlink>
      <w:r>
        <w:t>-</w:t>
      </w:r>
      <w:hyperlink r:id="rId242">
        <w:r>
          <w:rPr>
            <w:color w:val="0000EE"/>
            <w:u w:val="single"/>
          </w:rPr>
          <w:t>4</w:t>
        </w:r>
      </w:hyperlink>
      <w:r>
        <w:t xml:space="preserve">; </w:t>
      </w:r>
      <w:hyperlink r:id="rId243">
        <w:r>
          <w:rPr>
            <w:color w:val="0000EE"/>
            <w:u w:val="single"/>
          </w:rPr>
          <w:t>2Cr 18.1</w:t>
        </w:r>
      </w:hyperlink>
      <w:r>
        <w:t>-</w:t>
      </w:r>
      <w:hyperlink r:id="rId243">
        <w:r>
          <w:rPr>
            <w:color w:val="0000EE"/>
            <w:u w:val="single"/>
          </w:rPr>
          <w:t>3</w:t>
        </w:r>
      </w:hyperlink>
      <w:r>
        <w:t>). Esta aliança foi fortalecida pelo casamento da filha de Acabe, Atalia, com Jeorão, filho de Josafá. Acabe propôs uma campanha para recapturar Ramote-Gileade, localizada no nordeste de Israel. Quando Josafá duvidou das previsões otimistas dos 400 profetas de Acabe, o profeta Micaías foi chamado e previu a morte de Acabe (</w:t>
      </w:r>
      <w:hyperlink r:id="rId244">
        <w:r>
          <w:rPr>
            <w:color w:val="0000EE"/>
            <w:u w:val="single"/>
          </w:rPr>
          <w:t>1Rs 22.5</w:t>
        </w:r>
      </w:hyperlink>
      <w:r>
        <w:t>-</w:t>
      </w:r>
      <w:hyperlink r:id="rId244">
        <w:r>
          <w:rPr>
            <w:color w:val="0000EE"/>
            <w:u w:val="single"/>
          </w:rPr>
          <w:t>28</w:t>
        </w:r>
      </w:hyperlink>
      <w:r>
        <w:t xml:space="preserve">; </w:t>
      </w:r>
      <w:hyperlink r:id="rId245">
        <w:r>
          <w:rPr>
            <w:color w:val="0000EE"/>
            <w:u w:val="single"/>
          </w:rPr>
          <w:t>2Cr 18.4</w:t>
        </w:r>
      </w:hyperlink>
      <w:r>
        <w:t>-</w:t>
      </w:r>
      <w:hyperlink r:id="rId245">
        <w:r>
          <w:rPr>
            <w:color w:val="0000EE"/>
            <w:u w:val="single"/>
          </w:rPr>
          <w:t>27</w:t>
        </w:r>
      </w:hyperlink>
      <w:r>
        <w:t>).</w:t>
      </w:r>
    </w:p>
    <w:p>
      <w:r/>
      <w:r>
        <w:t>Para a batalha contra a Síria, Josafá vestiu suas vestes reais, enquanto Acabe se disfarçou como um soldado comum. Apesar disso, um arqueiro sírio conseguiu atingir Acabe entre as juntas de sua armadura. Acabe morreu naquela noite, e suas tropas abandonaram a batalha. Seu carro e armadura foram lavados ao lado do tanque de Samaria, onde, como Elias havia profetizado, cães lamberam o sangue de Acabe. Acabe foi sucedido por seu filho Acazias (</w:t>
      </w:r>
      <w:hyperlink r:id="rId246">
        <w:r>
          <w:rPr>
            <w:color w:val="0000EE"/>
            <w:u w:val="single"/>
          </w:rPr>
          <w:t>1Rs 22.29</w:t>
        </w:r>
      </w:hyperlink>
      <w:r>
        <w:t>-</w:t>
      </w:r>
      <w:hyperlink r:id="rId246">
        <w:r>
          <w:rPr>
            <w:color w:val="0000EE"/>
            <w:u w:val="single"/>
          </w:rPr>
          <w:t>40</w:t>
        </w:r>
      </w:hyperlink>
      <w:r>
        <w:t xml:space="preserve">; </w:t>
      </w:r>
      <w:hyperlink r:id="rId247">
        <w:r>
          <w:rPr>
            <w:color w:val="0000EE"/>
            <w:u w:val="single"/>
          </w:rPr>
          <w:t>2Cr 18.28</w:t>
        </w:r>
      </w:hyperlink>
      <w:r>
        <w:t>-</w:t>
      </w:r>
      <w:hyperlink r:id="rId247">
        <w:r>
          <w:rPr>
            <w:color w:val="0000EE"/>
            <w:u w:val="single"/>
          </w:rPr>
          <w:t>34</w:t>
        </w:r>
      </w:hyperlink>
      <w:r>
        <w:t>).</w:t>
      </w:r>
    </w:p>
    <w:p>
      <w:r/>
      <w:r>
        <w:rPr>
          <w:i/>
        </w:rPr>
        <w:t>Veja também</w:t>
      </w:r>
      <w:r>
        <w:t xml:space="preserve"> </w:t>
      </w:r>
      <w:r>
        <w:t>Elias #1</w:t>
      </w:r>
      <w:r>
        <w:t xml:space="preserve">; </w:t>
      </w:r>
      <w:r>
        <w:t>Jezabel</w:t>
      </w:r>
      <w:r>
        <w:t xml:space="preserve">; </w:t>
      </w:r>
      <w:r>
        <w:t>História de Israel</w:t>
      </w:r>
      <w:r>
        <w:t xml:space="preserve">; </w:t>
      </w:r>
      <w:r>
        <w:t>Rei</w:t>
      </w:r>
      <w:r>
        <w:t xml:space="preserve">; </w:t>
      </w:r>
      <w:r>
        <w:t>Livros de Primeiro e Segundo Reis</w:t>
      </w:r>
      <w:r>
        <w:t xml:space="preserve">; </w:t>
      </w:r>
      <w:r>
        <w:t>Cronologia da Bíblia (Antigo Testamento)</w:t>
      </w:r>
      <w:r>
        <w:t>.</w:t>
      </w:r>
    </w:p>
    <w:p>
      <w:pPr>
        <w:pStyle w:val="ListNumber"/>
        <w:spacing w:line="240" w:lineRule="auto"/>
        <w:ind w:left="720"/>
      </w:pPr>
      <w:r/>
      <w:r>
        <w:t>O filho de Colaías foi um infame falso profeta durante os últimos dias de Judá. Ele estava entre os judeus deportados para Babilônia durante o exílio de Jeoaquim em 598–597 a.C. Junto com seu colega Zedequias, Acabe foi condenado pelo profeta Jeremias por profetizar falsamente em nome de Deus e por sua imoralidade sexual. (</w:t>
      </w:r>
      <w:hyperlink r:id="rId248">
        <w:r>
          <w:rPr>
            <w:color w:val="0000EE"/>
            <w:u w:val="single"/>
          </w:rPr>
          <w:t>Jr 29.21</w:t>
        </w:r>
      </w:hyperlink>
      <w:r>
        <w:t>-</w:t>
      </w:r>
      <w:hyperlink r:id="rId248">
        <w:r>
          <w:rPr>
            <w:color w:val="0000EE"/>
            <w:u w:val="single"/>
          </w:rPr>
          <w:t>23</w:t>
        </w:r>
      </w:hyperlink>
      <w:r>
        <w:t>).</w:t>
      </w:r>
      <w:r/>
      <w:r/>
    </w:p>
    <w:p>
      <w:r/>
    </w:p>
    <w:p>
      <w:pPr>
        <w:pStyle w:val="Heading2"/>
      </w:pPr>
      <w:r>
        <w:t>Acácia</w:t>
      </w:r>
      <w:r/>
    </w:p>
    <w:p>
      <w:r/>
      <w:r>
        <w:t>Qualquer árvore ou arbusto da família das mimosas que cresce em regiões quentes. A planta chamada "cetim" (plural) na ARC é certamente, a árvore de acácia. Esta era a única árvore de madeira de tamanho significativo que crescia no deserto árabe. A madeira de acácia foi usada na construção da Arca da Aliança (</w:t>
      </w:r>
      <w:hyperlink r:id="rId249">
        <w:r>
          <w:rPr>
            <w:color w:val="0000EE"/>
            <w:u w:val="single"/>
          </w:rPr>
          <w:t>Êx 25.10</w:t>
        </w:r>
      </w:hyperlink>
      <w:r>
        <w:t>).</w:t>
      </w:r>
    </w:p>
    <w:p>
      <w:r/>
      <w:r>
        <w:rPr>
          <w:i/>
        </w:rPr>
        <w:t>Acacia tortilis</w:t>
      </w:r>
      <w:r>
        <w:t xml:space="preserve"> é a maior e mais comum árvore no deserto onde os israelitas vagaram por 40 anos. É especialmente notável no Monte Sinai e, provavelmente, foi o tipo de madeira usada para fazer os móveis do tabernáculo.</w:t>
      </w:r>
    </w:p>
    <w:p>
      <w:r/>
      <w:r>
        <w:rPr>
          <w:i/>
        </w:rPr>
        <w:t>Acacia seyal</w:t>
      </w:r>
      <w:r>
        <w:t xml:space="preserve"> é menos comum, atualmente. Ela pode crescer até 7,6 metros de altura. Possui flores amarelas em galhos retorcidos. A madeira é de grão fino, pesada e dura. Tem uma cor laranja-acastanhada e era altamente valorizada para a fabricação de armários. Os antigos egípcios usavam madeira de acácia para selar seus sarcófagos de múmias.</w:t>
      </w:r>
    </w:p>
    <w:p>
      <w:r/>
      <w:r>
        <w:rPr>
          <w:i/>
        </w:rPr>
        <w:t xml:space="preserve">Veja também </w:t>
      </w:r>
      <w:r>
        <w:t>Plantas</w:t>
      </w:r>
      <w:r>
        <w:t>.</w:t>
      </w:r>
      <w:r/>
      <w:r/>
    </w:p>
    <w:p>
      <w:r/>
    </w:p>
    <w:p>
      <w:pPr>
        <w:pStyle w:val="Heading2"/>
      </w:pPr>
      <w:r>
        <w:t>Acade</w:t>
      </w:r>
      <w:r/>
    </w:p>
    <w:p>
      <w:r/>
      <w:r>
        <w:t>Uma das três cidades (Babel, Ereque e Acade) que estão entre os rios Tigre e Eufrates.</w:t>
      </w:r>
    </w:p>
    <w:p>
      <w:r/>
      <w:r>
        <w:t>Dizia-se que foi fundada por Ninrode (</w:t>
      </w:r>
      <w:hyperlink r:id="rId250">
        <w:r>
          <w:rPr>
            <w:color w:val="0000EE"/>
            <w:u w:val="single"/>
          </w:rPr>
          <w:t>Gn 10.10</w:t>
        </w:r>
      </w:hyperlink>
      <w:r>
        <w:t>). "Acadiano" ou "acádio" (de Acade) é o nome da língua falada na Mesopotâmia desde os dias de Sargão (por volta de 2360 a.C.) até os tempos assírios e babilônicos.</w:t>
      </w:r>
      <w:r/>
      <w:r/>
    </w:p>
    <w:p>
      <w:r/>
    </w:p>
    <w:p>
      <w:pPr>
        <w:pStyle w:val="Heading2"/>
      </w:pPr>
      <w:r>
        <w:t>Acbor</w:t>
      </w:r>
      <w:r/>
    </w:p>
    <w:p>
      <w:pPr>
        <w:pStyle w:val="ListNumber"/>
        <w:spacing w:line="240" w:lineRule="auto"/>
        <w:ind w:left="720"/>
      </w:pPr>
      <w:r/>
      <w:r>
        <w:t>O pai de Baal-Hanã, rei de Edom, que governou antes do estabelecimento do reino de Israel (</w:t>
      </w:r>
      <w:hyperlink r:id="rId251">
        <w:r>
          <w:rPr>
            <w:color w:val="0000EE"/>
            <w:u w:val="single"/>
          </w:rPr>
          <w:t>Gn 36.38</w:t>
        </w:r>
      </w:hyperlink>
      <w:r>
        <w:t>–</w:t>
      </w:r>
      <w:hyperlink r:id="rId251">
        <w:r>
          <w:rPr>
            <w:color w:val="0000EE"/>
            <w:u w:val="single"/>
          </w:rPr>
          <w:t>39</w:t>
        </w:r>
      </w:hyperlink>
      <w:r>
        <w:t xml:space="preserve">; </w:t>
      </w:r>
      <w:hyperlink r:id="rId252">
        <w:r>
          <w:rPr>
            <w:color w:val="0000EE"/>
            <w:u w:val="single"/>
          </w:rPr>
          <w:t>1Cr 1.49</w:t>
        </w:r>
      </w:hyperlink>
      <w:r>
        <w:t>).</w:t>
      </w:r>
    </w:p>
    <w:p>
      <w:pPr>
        <w:pStyle w:val="ListNumber"/>
        <w:spacing w:line="240" w:lineRule="auto"/>
        <w:ind w:left="720"/>
      </w:pPr>
      <w:r/>
      <w:r>
        <w:t>O filho de Micaías, um cortesão (companheiro que trabalhava na corte de um rei) do Rei Josias do reino do sul de Judá. Josias enviou Acbor para consultar Hulda, a profetisa, sobre o recém-descoberto Livro da Lei (</w:t>
      </w:r>
      <w:hyperlink r:id="rId253">
        <w:r>
          <w:rPr>
            <w:color w:val="0000EE"/>
            <w:u w:val="single"/>
          </w:rPr>
          <w:t>2Rs 22.12</w:t>
        </w:r>
      </w:hyperlink>
      <w:r>
        <w:t>–</w:t>
      </w:r>
      <w:hyperlink r:id="rId253">
        <w:r>
          <w:rPr>
            <w:color w:val="0000EE"/>
            <w:u w:val="single"/>
          </w:rPr>
          <w:t>14</w:t>
        </w:r>
      </w:hyperlink>
      <w:r>
        <w:t>). Acbor também é chamado de Abdom, filho de Miquéias (</w:t>
      </w:r>
      <w:hyperlink r:id="rId254">
        <w:r>
          <w:rPr>
            <w:color w:val="0000EE"/>
            <w:u w:val="single"/>
          </w:rPr>
          <w:t>2Cr 34.20</w:t>
        </w:r>
      </w:hyperlink>
      <w:r>
        <w:t>). Ele foi o pai de Elnatã (</w:t>
      </w:r>
      <w:hyperlink r:id="rId255">
        <w:r>
          <w:rPr>
            <w:color w:val="0000EE"/>
            <w:u w:val="single"/>
          </w:rPr>
          <w:t>Jr 26.22</w:t>
        </w:r>
      </w:hyperlink>
      <w:r>
        <w:t xml:space="preserve">; </w:t>
      </w:r>
      <w:hyperlink r:id="rId256">
        <w:r>
          <w:rPr>
            <w:color w:val="0000EE"/>
            <w:u w:val="single"/>
          </w:rPr>
          <w:t>36.12</w:t>
        </w:r>
      </w:hyperlink>
      <w:r>
        <w:t>).</w:t>
      </w:r>
      <w:r/>
      <w:r/>
    </w:p>
    <w:p>
      <w:r/>
    </w:p>
    <w:p>
      <w:pPr>
        <w:pStyle w:val="Heading2"/>
      </w:pPr>
      <w:r>
        <w:t>Aceldama</w:t>
      </w:r>
      <w:r/>
    </w:p>
    <w:p>
      <w:r/>
      <w:r>
        <w:t>O nome dado ao campo onde Judas se matou após trair Jesus. É traduzido como "Campo de Sangue" (</w:t>
      </w:r>
      <w:hyperlink r:id="rId257">
        <w:r>
          <w:rPr>
            <w:color w:val="0000EE"/>
            <w:u w:val="single"/>
          </w:rPr>
          <w:t>At 1.19</w:t>
        </w:r>
      </w:hyperlink>
      <w:r>
        <w:t>).</w:t>
      </w:r>
    </w:p>
    <w:p>
      <w:r/>
      <w:r>
        <w:rPr>
          <w:i/>
        </w:rPr>
        <w:t>Veja</w:t>
      </w:r>
      <w:r>
        <w:t xml:space="preserve"> </w:t>
      </w:r>
      <w:r>
        <w:t>Sangue, Campo de</w:t>
      </w:r>
      <w:r>
        <w:t>.</w:t>
      </w:r>
      <w:r/>
      <w:r/>
    </w:p>
    <w:p>
      <w:r/>
    </w:p>
    <w:p>
      <w:pPr>
        <w:pStyle w:val="Heading2"/>
      </w:pPr>
      <w:r>
        <w:t>Aco</w:t>
      </w:r>
      <w:r/>
    </w:p>
    <w:p>
      <w:r/>
      <w:r>
        <w:t>Uma importante cidade portuária palestina desde o mais antigo período cananeu. O Antigo Testamento menciona que a tribo de Aser não conseguiu expulsar as pessoas que viviam em Aco na época da conquista de Canaã por Israel (</w:t>
      </w:r>
      <w:hyperlink r:id="rId258">
        <w:r>
          <w:rPr>
            <w:color w:val="0000EE"/>
            <w:u w:val="single"/>
          </w:rPr>
          <w:t>Jz 1.31</w:t>
        </w:r>
      </w:hyperlink>
      <w:r>
        <w:t>).</w:t>
      </w:r>
    </w:p>
    <w:p>
      <w:r/>
      <w:r>
        <w:t>Aco é mencionada frequentemente em textos egípcios do Médio e Novo Reino e em registros assírios. Aco provavelmente foi controlada por Israel quando Davi era rei, e foi uma das 20 cidades dadas por Salomão ao rei Hirão de Tiro (</w:t>
      </w:r>
      <w:hyperlink r:id="rId259">
        <w:r>
          <w:rPr>
            <w:color w:val="0000EE"/>
            <w:u w:val="single"/>
          </w:rPr>
          <w:t>1Rs 9.11</w:t>
        </w:r>
      </w:hyperlink>
      <w:r>
        <w:t>–</w:t>
      </w:r>
      <w:hyperlink r:id="rId259">
        <w:r>
          <w:rPr>
            <w:color w:val="0000EE"/>
            <w:u w:val="single"/>
          </w:rPr>
          <w:t>14</w:t>
        </w:r>
      </w:hyperlink>
      <w:r>
        <w:t>). Mais tarde, Alexandre, o Grande, da Macedônia, capturou Aco. Por fim, foi reconstruída e renomeada Ptolemaida (</w:t>
      </w:r>
      <w:hyperlink r:id="rId260">
        <w:r>
          <w:rPr>
            <w:color w:val="0000EE"/>
            <w:u w:val="single"/>
          </w:rPr>
          <w:t>At 21.7</w:t>
        </w:r>
      </w:hyperlink>
      <w:r>
        <w:t>).</w:t>
      </w:r>
      <w:r/>
      <w:r/>
    </w:p>
    <w:p>
      <w:r/>
    </w:p>
    <w:p>
      <w:pPr>
        <w:pStyle w:val="Heading2"/>
      </w:pPr>
      <w:r>
        <w:t>Açor</w:t>
      </w:r>
      <w:r/>
    </w:p>
    <w:p>
      <w:r/>
      <w:r>
        <w:t>Qualquer uma das várias aves de rapina consideradas ritualmente impuras (</w:t>
      </w:r>
      <w:hyperlink r:id="rId261">
        <w:r>
          <w:rPr>
            <w:color w:val="0000EE"/>
            <w:u w:val="single"/>
          </w:rPr>
          <w:t>Dt 14.13</w:t>
        </w:r>
      </w:hyperlink>
      <w:r>
        <w:t xml:space="preserve">). </w:t>
      </w:r>
      <w:r>
        <w:rPr>
          <w:i/>
        </w:rPr>
        <w:t>Veja</w:t>
      </w:r>
      <w:r>
        <w:t xml:space="preserve"> </w:t>
      </w:r>
      <w:r>
        <w:t>Aves</w:t>
      </w:r>
      <w:r>
        <w:t>.</w:t>
      </w:r>
      <w:r/>
      <w:r/>
    </w:p>
    <w:p>
      <w:r/>
    </w:p>
    <w:p>
      <w:pPr>
        <w:pStyle w:val="Heading2"/>
      </w:pPr>
      <w:r>
        <w:t>Acrabim</w:t>
      </w:r>
      <w:r/>
    </w:p>
    <w:p>
      <w:r/>
      <w:r>
        <w:t>Um desfiladeiro ou encosta no sul da Palestina entre o extremo sudoeste do Mar Morto e o Deserto de Zim. O desfiladeiro do Monte Acrabim fazia parte da fronteira sul da terra dada à tribo de Judá após conquistarem Canaã (</w:t>
      </w:r>
      <w:hyperlink r:id="rId262">
        <w:r>
          <w:rPr>
            <w:color w:val="0000EE"/>
            <w:u w:val="single"/>
          </w:rPr>
          <w:t>Nm 34.4</w:t>
        </w:r>
      </w:hyperlink>
      <w:r>
        <w:t xml:space="preserve">; </w:t>
      </w:r>
      <w:hyperlink r:id="rId263">
        <w:r>
          <w:rPr>
            <w:color w:val="0000EE"/>
            <w:u w:val="single"/>
          </w:rPr>
          <w:t>Js 15.3</w:t>
        </w:r>
      </w:hyperlink>
      <w:r>
        <w:t xml:space="preserve">; </w:t>
      </w:r>
      <w:hyperlink r:id="rId264">
        <w:r>
          <w:rPr>
            <w:color w:val="0000EE"/>
            <w:u w:val="single"/>
          </w:rPr>
          <w:t>Jz 1.36</w:t>
        </w:r>
      </w:hyperlink>
      <w:r>
        <w:t>). Durante o período entre o Antigo e o Novo Testamento, Judas Macabeu venceu uma batalha importante contra os idumeus neste desfiladeiro (</w:t>
      </w:r>
      <w:hyperlink r:id="rId265">
        <w:r>
          <w:rPr>
            <w:color w:val="0000EE"/>
            <w:u w:val="single"/>
          </w:rPr>
          <w:t>1Mc 5.3</w:t>
        </w:r>
      </w:hyperlink>
      <w:r>
        <w:t>).</w:t>
      </w:r>
    </w:p>
    <w:p>
      <w:r/>
      <w:r>
        <w:t>Também é conhecido como Passagem do Escorpião.</w:t>
      </w:r>
      <w:r/>
      <w:r/>
    </w:p>
    <w:p>
      <w:r/>
    </w:p>
    <w:p>
      <w:pPr>
        <w:pStyle w:val="Heading2"/>
      </w:pPr>
      <w:r>
        <w:t>Acrópole</w:t>
      </w:r>
      <w:r/>
    </w:p>
    <w:p>
      <w:r/>
      <w:r>
        <w:t xml:space="preserve">Um termo que combina o grego </w:t>
      </w:r>
      <w:r>
        <w:rPr>
          <w:i/>
        </w:rPr>
        <w:t>akros</w:t>
      </w:r>
      <w:r>
        <w:t xml:space="preserve"> (que significa “mais alto”) e </w:t>
      </w:r>
      <w:r>
        <w:rPr>
          <w:i/>
        </w:rPr>
        <w:t>polis</w:t>
      </w:r>
      <w:r>
        <w:t xml:space="preserve"> (que significa “cidade”). Na Grécia antiga, uma acrópole era um local fortificado e protegido. Geralmente, era construída em uma colina e servia como um local de refúgio. A área ao redor da base da colina frequentemente se desenvolvia em uma cidade.</w:t>
      </w:r>
    </w:p>
    <w:p>
      <w:r/>
      <w:r>
        <w:t>A acrópole em Atenas (a capital da Grécia) tinha um edifício famoso chamado Partenon. O Partenon era um templo construído para honrar Atena, que os antigos gregos acreditavam ser a deusa da sabedoria. As pessoas construíram este templo nos anos 500 a.C. (há mais de 2.500 anos). O Partenon foi construído em um estilo chamado Dórico, que é um tipo de design de construção grega. Muitas pessoas consideram que é um dos melhores exemplos das habilidades de construção grega da antiguidade.</w:t>
      </w:r>
    </w:p>
    <w:p>
      <w:r/>
      <w:hyperlink r:id="rId266">
        <w:r>
          <w:rPr>
            <w:color w:val="0000EE"/>
            <w:u w:val="single"/>
          </w:rPr>
          <w:t>Atos 17.34</w:t>
        </w:r>
      </w:hyperlink>
      <w:r>
        <w:t xml:space="preserve"> menciona que Paulo pregou no Areópago, que significa "colina de Ares", uma colina baixa a noroeste da acrópole. Quando Paulo falou lá, ele ajudou uma pessoa do conselho da cidade de Atenas a se tornar seguidora de Jesus.</w:t>
      </w:r>
      <w:r/>
      <w:r/>
    </w:p>
    <w:p>
      <w:r/>
    </w:p>
    <w:p>
      <w:pPr>
        <w:pStyle w:val="Heading2"/>
      </w:pPr>
      <w:r>
        <w:t>Acróstico</w:t>
      </w:r>
      <w:r/>
    </w:p>
    <w:p>
      <w:r/>
      <w:r>
        <w:t xml:space="preserve">Um recurso poético em que as primeiras letras de cada linha ou estrofe formam o alfabeto em sequência, uma palavra ou um lema. Os autores hebraicos frequentemente usavam um acróstico alfabético como um recurso poético ou mnemônico (de memória) (veja </w:t>
      </w:r>
      <w:hyperlink r:id="rId267">
        <w:r>
          <w:rPr>
            <w:color w:val="0000EE"/>
            <w:u w:val="single"/>
          </w:rPr>
          <w:t>Sl 9</w:t>
        </w:r>
      </w:hyperlink>
      <w:r>
        <w:t xml:space="preserve">; </w:t>
      </w:r>
      <w:hyperlink r:id="rId268">
        <w:r>
          <w:rPr>
            <w:color w:val="0000EE"/>
            <w:u w:val="single"/>
          </w:rPr>
          <w:t>10</w:t>
        </w:r>
      </w:hyperlink>
      <w:r>
        <w:t xml:space="preserve">; </w:t>
      </w:r>
      <w:hyperlink r:id="rId269">
        <w:r>
          <w:rPr>
            <w:color w:val="0000EE"/>
            <w:u w:val="single"/>
          </w:rPr>
          <w:t>25</w:t>
        </w:r>
      </w:hyperlink>
      <w:r>
        <w:t xml:space="preserve">; </w:t>
      </w:r>
      <w:hyperlink r:id="rId270">
        <w:r>
          <w:rPr>
            <w:color w:val="0000EE"/>
            <w:u w:val="single"/>
          </w:rPr>
          <w:t>34</w:t>
        </w:r>
      </w:hyperlink>
      <w:r>
        <w:t xml:space="preserve">; </w:t>
      </w:r>
      <w:hyperlink r:id="rId271">
        <w:r>
          <w:rPr>
            <w:color w:val="0000EE"/>
            <w:u w:val="single"/>
          </w:rPr>
          <w:t>37</w:t>
        </w:r>
      </w:hyperlink>
      <w:r>
        <w:t xml:space="preserve">; </w:t>
      </w:r>
      <w:hyperlink r:id="rId272">
        <w:r>
          <w:rPr>
            <w:color w:val="0000EE"/>
            <w:u w:val="single"/>
          </w:rPr>
          <w:t>111</w:t>
        </w:r>
      </w:hyperlink>
      <w:r>
        <w:t xml:space="preserve">; </w:t>
      </w:r>
      <w:hyperlink r:id="rId273">
        <w:r>
          <w:rPr>
            <w:color w:val="0000EE"/>
            <w:u w:val="single"/>
          </w:rPr>
          <w:t>112</w:t>
        </w:r>
      </w:hyperlink>
      <w:r>
        <w:t xml:space="preserve">; </w:t>
      </w:r>
      <w:hyperlink r:id="rId274">
        <w:r>
          <w:rPr>
            <w:color w:val="0000EE"/>
            <w:u w:val="single"/>
          </w:rPr>
          <w:t>119</w:t>
        </w:r>
      </w:hyperlink>
      <w:r>
        <w:t xml:space="preserve">; </w:t>
      </w:r>
      <w:hyperlink r:id="rId275">
        <w:r>
          <w:rPr>
            <w:color w:val="0000EE"/>
            <w:u w:val="single"/>
          </w:rPr>
          <w:t>145</w:t>
        </w:r>
      </w:hyperlink>
      <w:r>
        <w:t xml:space="preserve">; </w:t>
      </w:r>
      <w:hyperlink r:id="rId276">
        <w:r>
          <w:rPr>
            <w:color w:val="0000EE"/>
            <w:u w:val="single"/>
          </w:rPr>
          <w:t>Pv 31.10</w:t>
        </w:r>
      </w:hyperlink>
      <w:r>
        <w:t>–</w:t>
      </w:r>
      <w:hyperlink r:id="rId276">
        <w:r>
          <w:rPr>
            <w:color w:val="0000EE"/>
            <w:u w:val="single"/>
          </w:rPr>
          <w:t>31</w:t>
        </w:r>
      </w:hyperlink>
      <w:r>
        <w:t xml:space="preserve">; </w:t>
      </w:r>
      <w:hyperlink r:id="rId277">
        <w:r>
          <w:rPr>
            <w:color w:val="0000EE"/>
            <w:u w:val="single"/>
          </w:rPr>
          <w:t>Lm 1</w:t>
        </w:r>
      </w:hyperlink>
      <w:r>
        <w:t>–</w:t>
      </w:r>
      <w:hyperlink r:id="rId277">
        <w:r>
          <w:rPr>
            <w:color w:val="0000EE"/>
            <w:u w:val="single"/>
          </w:rPr>
          <w:t>4</w:t>
        </w:r>
      </w:hyperlink>
      <w:r>
        <w:t xml:space="preserve">; </w:t>
      </w:r>
      <w:hyperlink r:id="rId278">
        <w:r>
          <w:rPr>
            <w:color w:val="0000EE"/>
            <w:u w:val="single"/>
          </w:rPr>
          <w:t>Na 1</w:t>
        </w:r>
      </w:hyperlink>
      <w:r>
        <w:t>).</w:t>
      </w:r>
      <w:r/>
      <w:r/>
    </w:p>
    <w:p>
      <w:r/>
    </w:p>
    <w:p>
      <w:pPr>
        <w:pStyle w:val="Heading2"/>
      </w:pPr>
      <w:r>
        <w:t>Acsafe</w:t>
      </w:r>
      <w:r/>
    </w:p>
    <w:p>
      <w:r/>
      <w:r>
        <w:t>Uma cidade real cananeia na época de Josué. Seu rei se juntou a uma aliança com Jabim, rei de Hazor, contra Israel em uma batalha em Merom (</w:t>
      </w:r>
      <w:hyperlink r:id="rId279">
        <w:r>
          <w:rPr>
            <w:color w:val="0000EE"/>
            <w:u w:val="single"/>
          </w:rPr>
          <w:t>Js 11.1</w:t>
        </w:r>
      </w:hyperlink>
      <w:r>
        <w:t>). Após a vitória de Israel, o rei de Acsafe foi um dos 31 reis cananeus derrotados por Josué (</w:t>
      </w:r>
      <w:hyperlink r:id="rId280">
        <w:r>
          <w:rPr>
            <w:color w:val="0000EE"/>
            <w:u w:val="single"/>
          </w:rPr>
          <w:t>Js 12.20</w:t>
        </w:r>
      </w:hyperlink>
      <w:r>
        <w:t>). Isso cumpriu a promessa de Deus de dar reis a Israel (</w:t>
      </w:r>
      <w:hyperlink r:id="rId281">
        <w:r>
          <w:rPr>
            <w:color w:val="0000EE"/>
            <w:u w:val="single"/>
          </w:rPr>
          <w:t>Dt 7.24</w:t>
        </w:r>
      </w:hyperlink>
      <w:r>
        <w:t>). A cidade de Acsafe foi dada à tribo de Aser quando os israelitas estavam dividindo a terra de Canaã (</w:t>
      </w:r>
      <w:hyperlink r:id="rId282">
        <w:r>
          <w:rPr>
            <w:color w:val="0000EE"/>
            <w:u w:val="single"/>
          </w:rPr>
          <w:t>Js 19.25</w:t>
        </w:r>
      </w:hyperlink>
      <w:r>
        <w:t>).</w:t>
      </w:r>
      <w:r/>
      <w:r/>
    </w:p>
    <w:p>
      <w:r/>
    </w:p>
    <w:p>
      <w:pPr>
        <w:pStyle w:val="Heading2"/>
      </w:pPr>
      <w:r>
        <w:t>Aczibe</w:t>
      </w:r>
      <w:r/>
    </w:p>
    <w:p>
      <w:pPr>
        <w:pStyle w:val="ListNumber"/>
        <w:spacing w:line="240" w:lineRule="auto"/>
        <w:ind w:left="720"/>
      </w:pPr>
      <w:r/>
      <w:r>
        <w:t>Uma cidade em Judá (</w:t>
      </w:r>
      <w:hyperlink r:id="rId283">
        <w:r>
          <w:rPr>
            <w:color w:val="0000EE"/>
            <w:u w:val="single"/>
          </w:rPr>
          <w:t>Js 15.44</w:t>
        </w:r>
      </w:hyperlink>
      <w:r>
        <w:t>). O profeta Miquéias a listou junto com outras cidades que seriam destruídas com Samaria (</w:t>
      </w:r>
      <w:hyperlink r:id="rId284">
        <w:r>
          <w:rPr>
            <w:color w:val="0000EE"/>
            <w:u w:val="single"/>
          </w:rPr>
          <w:t>Mq 1.14</w:t>
        </w:r>
      </w:hyperlink>
      <w:r>
        <w:t>). Provavelmente, era a mesma cidade que Quezibe (</w:t>
      </w:r>
      <w:hyperlink r:id="rId285">
        <w:r>
          <w:rPr>
            <w:color w:val="0000EE"/>
            <w:u w:val="single"/>
          </w:rPr>
          <w:t>Gn 38.5</w:t>
        </w:r>
      </w:hyperlink>
      <w:r>
        <w:t>) e Cozeba (</w:t>
      </w:r>
      <w:hyperlink r:id="rId286">
        <w:r>
          <w:rPr>
            <w:color w:val="0000EE"/>
            <w:u w:val="single"/>
          </w:rPr>
          <w:t>1Cr 4.22</w:t>
        </w:r>
      </w:hyperlink>
      <w:r>
        <w:t>).</w:t>
      </w:r>
    </w:p>
    <w:p>
      <w:pPr>
        <w:pStyle w:val="ListNumber"/>
        <w:spacing w:line="240" w:lineRule="auto"/>
        <w:ind w:left="720"/>
      </w:pPr>
      <w:r/>
      <w:r>
        <w:t>Uma cidade em Aser (</w:t>
      </w:r>
      <w:hyperlink r:id="rId287">
        <w:r>
          <w:rPr>
            <w:color w:val="0000EE"/>
            <w:u w:val="single"/>
          </w:rPr>
          <w:t>Js 19.29</w:t>
        </w:r>
      </w:hyperlink>
      <w:r>
        <w:t>). Foi uma das sete cidades das quais Aser não conseguiu remover os habitantes cananeus (</w:t>
      </w:r>
      <w:hyperlink r:id="rId258">
        <w:r>
          <w:rPr>
            <w:color w:val="0000EE"/>
            <w:u w:val="single"/>
          </w:rPr>
          <w:t>Jz 1.31</w:t>
        </w:r>
      </w:hyperlink>
      <w:r>
        <w:t>). Escavações arqueológicas recentes em Aczibe (moderna ez-Zib) mostram que pessoas viveram na cidade do nono século ao século 3 a.C.</w:t>
      </w:r>
      <w:r/>
      <w:r/>
    </w:p>
    <w:p>
      <w:r/>
    </w:p>
    <w:p>
      <w:pPr>
        <w:pStyle w:val="Heading2"/>
      </w:pPr>
      <w:r>
        <w:t>Ada</w:t>
      </w:r>
      <w:r/>
    </w:p>
    <w:p>
      <w:pPr>
        <w:pStyle w:val="ListNumber"/>
        <w:spacing w:line="240" w:lineRule="auto"/>
        <w:ind w:left="720"/>
      </w:pPr>
      <w:r/>
      <w:r>
        <w:t>Uma das duas esposas de Lameque e mãe de seus dois filhos, Jabal e Jubal (</w:t>
      </w:r>
      <w:hyperlink r:id="rId288">
        <w:r>
          <w:rPr>
            <w:color w:val="0000EE"/>
            <w:u w:val="single"/>
          </w:rPr>
          <w:t>Gn 4.19</w:t>
        </w:r>
      </w:hyperlink>
      <w:r>
        <w:t>–</w:t>
      </w:r>
      <w:hyperlink r:id="rId288">
        <w:r>
          <w:rPr>
            <w:color w:val="0000EE"/>
            <w:u w:val="single"/>
          </w:rPr>
          <w:t>21,23</w:t>
        </w:r>
      </w:hyperlink>
      <w:r>
        <w:t>).</w:t>
      </w:r>
    </w:p>
    <w:p>
      <w:pPr>
        <w:pStyle w:val="ListNumber"/>
        <w:spacing w:line="240" w:lineRule="auto"/>
        <w:ind w:left="720"/>
      </w:pPr>
      <w:r/>
      <w:r>
        <w:t>A primeira esposa de Esaú, filha de Elom, o hitita, e mãe de Elifaz (</w:t>
      </w:r>
      <w:hyperlink r:id="rId289">
        <w:r>
          <w:rPr>
            <w:color w:val="0000EE"/>
            <w:u w:val="single"/>
          </w:rPr>
          <w:t>Gn 36.2</w:t>
        </w:r>
      </w:hyperlink>
      <w:r>
        <w:t>–</w:t>
      </w:r>
      <w:hyperlink r:id="rId289">
        <w:r>
          <w:rPr>
            <w:color w:val="0000EE"/>
            <w:u w:val="single"/>
          </w:rPr>
          <w:t>16</w:t>
        </w:r>
      </w:hyperlink>
      <w:r>
        <w:t>).</w:t>
      </w:r>
      <w:r/>
      <w:r/>
    </w:p>
    <w:p>
      <w:r/>
    </w:p>
    <w:p>
      <w:pPr>
        <w:pStyle w:val="Heading2"/>
      </w:pPr>
      <w:r>
        <w:t>Adam (Pessoa)</w:t>
      </w:r>
      <w:r/>
    </w:p>
    <w:p>
      <w:r/>
      <w:r>
        <w:t>Primeiro homem e pai da raça humana. O papel de Adão na história bíblica é significativo não apenas nas considerações do Antigo Testamento, mas também na compreensão do significado da salvação e da identidade e ações de Jesus Cristo.</w:t>
      </w:r>
    </w:p>
    <w:p>
      <w:r/>
      <w:r>
        <w:t>A criação de Adão e da primeira mulher, Eva, é descrita em dois relatos no livro de Gênesis. O propósito do primeiro relato (</w:t>
      </w:r>
      <w:hyperlink r:id="rId290">
        <w:r>
          <w:rPr>
            <w:color w:val="0000EE"/>
            <w:u w:val="single"/>
          </w:rPr>
          <w:t>1.26–31</w:t>
        </w:r>
      </w:hyperlink>
      <w:r>
        <w:t>) é apresentar o primeiro casal em sua relação com Deus e com o restante da ordem criada. Ensina que, em relação a Deus, os primeiros humanos foram criados homem e mulher à imagem de Deus com seu mandato específico de povoar e governar a terra. Em relação ao restante da criação, os primeiros humanos eram, por um lado, parte dela, sendo criados no mesmo dia que outros animais terrestres; por outro lado, eram distintamente superiores a ela, sendo o clímax do processo de criação e os únicos portadores da imagem de Deus.</w:t>
      </w:r>
    </w:p>
    <w:p>
      <w:r/>
      <w:r>
        <w:t>A intenção do segundo relato é muito mais específica (</w:t>
      </w:r>
      <w:hyperlink r:id="rId291">
        <w:r>
          <w:rPr>
            <w:color w:val="0000EE"/>
            <w:u w:val="single"/>
          </w:rPr>
          <w:t>2.4–3.24</w:t>
        </w:r>
      </w:hyperlink>
      <w:r>
        <w:t>); busca explicar a origem da condição humana atual de pecado e morte e preparar o cenário para o drama da redenção. A história trata em detalhe aspectos da criação de Adão omitidos na primeira história. Por exemplo, fala da formação de Adão do pó da terra e de seu recebimento do sopro de vida de Deus (</w:t>
      </w:r>
      <w:hyperlink r:id="rId292">
        <w:r>
          <w:rPr>
            <w:color w:val="0000EE"/>
            <w:u w:val="single"/>
          </w:rPr>
          <w:t>2.7</w:t>
        </w:r>
      </w:hyperlink>
      <w:r>
        <w:t>). Relata o plantio do jardim e a responsabilidade dada a Adão de cultivá-lo (</w:t>
      </w:r>
      <w:hyperlink r:id="rId293">
        <w:r>
          <w:rPr>
            <w:color w:val="0000EE"/>
            <w:u w:val="single"/>
          </w:rPr>
          <w:t>2.8–15</w:t>
        </w:r>
      </w:hyperlink>
      <w:r>
        <w:t>). A instrução de Deus a Adão de que o fruto de toda árvore no jardim era seu para alimento, exceto uma, é cuidadosamente registrada, bem como o aviso solene de que o fruto da “árvore do conhecimento do bem e do mal” nunca deveria ser comido, sob pena de morte (</w:t>
      </w:r>
      <w:hyperlink r:id="rId294">
        <w:r>
          <w:rPr>
            <w:color w:val="0000EE"/>
            <w:u w:val="single"/>
          </w:rPr>
          <w:t>2.16–17</w:t>
        </w:r>
      </w:hyperlink>
      <w:r>
        <w:t>). A solidão de Adão após nomear os animais e não encontrar uma companheira adequada também é descrita, introduzindo assim a criação da primeira mulher (</w:t>
      </w:r>
      <w:hyperlink r:id="rId295">
        <w:r>
          <w:rPr>
            <w:color w:val="0000EE"/>
            <w:u w:val="single"/>
          </w:rPr>
          <w:t>2.18–22</w:t>
        </w:r>
      </w:hyperlink>
      <w:r>
        <w:t>). A criação de Eva a partir da costela de Adão retrata de forma comovente a unidade essencial de espírito e propósito dos sexos pretendida por Deus.</w:t>
      </w:r>
    </w:p>
    <w:p>
      <w:r/>
      <w:r>
        <w:t xml:space="preserve">A história não termina em uma nota tão positiva, no entanto. Ela continua a registrar o grande engano que Satanás jogou sobre Eva através da serpente. Por meio de insinuações astutas e distorção do mandamento original de Deus (cf. </w:t>
      </w:r>
      <w:hyperlink r:id="rId296">
        <w:r>
          <w:rPr>
            <w:color w:val="0000EE"/>
            <w:u w:val="single"/>
          </w:rPr>
          <w:t>3.1</w:t>
        </w:r>
      </w:hyperlink>
      <w:r>
        <w:t xml:space="preserve"> com </w:t>
      </w:r>
      <w:hyperlink r:id="rId294">
        <w:r>
          <w:rPr>
            <w:color w:val="0000EE"/>
            <w:u w:val="single"/>
          </w:rPr>
          <w:t>2.16–17</w:t>
        </w:r>
      </w:hyperlink>
      <w:r>
        <w:t>), a serpente enganou Eva para que comesse o fruto proibido e o compartilhasse com Adão. Eva parece ter comido porque foi enganada (</w:t>
      </w:r>
      <w:hyperlink r:id="rId297">
        <w:r>
          <w:rPr>
            <w:color w:val="0000EE"/>
            <w:u w:val="single"/>
          </w:rPr>
          <w:t>1Tm 2.14</w:t>
        </w:r>
      </w:hyperlink>
      <w:r>
        <w:t>), Adão por uma rebelião voluntária e consciente. Ironicamente, os dois seres originalmente criados à imagem e semelhança de Deus acreditaram que poderiam se tornar “como” Deus desobedecendo a ele (</w:t>
      </w:r>
      <w:hyperlink r:id="rId298">
        <w:r>
          <w:rPr>
            <w:color w:val="0000EE"/>
            <w:u w:val="single"/>
          </w:rPr>
          <w:t>Gn 3.5</w:t>
        </w:r>
      </w:hyperlink>
      <w:r>
        <w:t>).</w:t>
      </w:r>
    </w:p>
    <w:p>
      <w:r/>
      <w:r>
        <w:t>As consequências de sua desobediência foram imediatas, embora não fossem de forma alguma o que Adão esperava. Pela primeira vez, uma barreira de vergonha interrompeu a unidade do homem e da mulher (</w:t>
      </w:r>
      <w:hyperlink r:id="rId299">
        <w:r>
          <w:rPr>
            <w:color w:val="0000EE"/>
            <w:u w:val="single"/>
          </w:rPr>
          <w:t>3.7</w:t>
        </w:r>
      </w:hyperlink>
      <w:r>
        <w:t>). Mais importante ainda, uma barreira de verdadeira culpa moral foi erguida entre o primeiro casal e Deus. A história explica que quando Deus veio procurar Adão após sua rebelião, ele estava se escondendo entre as árvores, já ciente de sua separação de Deus (</w:t>
      </w:r>
      <w:hyperlink r:id="rId300">
        <w:r>
          <w:rPr>
            <w:color w:val="0000EE"/>
            <w:u w:val="single"/>
          </w:rPr>
          <w:t>3.8</w:t>
        </w:r>
      </w:hyperlink>
      <w:r>
        <w:t>). Quando Deus o questionou, Adão jogou a culpa em Eva e, por implicação, de volta em Deus: “A mulher que me deste para ser a minha companheira me deu a fruta” (</w:t>
      </w:r>
      <w:hyperlink r:id="rId301">
        <w:r>
          <w:rPr>
            <w:color w:val="0000EE"/>
            <w:u w:val="single"/>
          </w:rPr>
          <w:t>3.12</w:t>
        </w:r>
      </w:hyperlink>
      <w:r>
        <w:t>, NTLH). Eva, por sua vez, culpou a serpente (</w:t>
      </w:r>
      <w:hyperlink r:id="rId302">
        <w:r>
          <w:rPr>
            <w:color w:val="0000EE"/>
            <w:u w:val="single"/>
          </w:rPr>
          <w:t>3.13</w:t>
        </w:r>
      </w:hyperlink>
      <w:r>
        <w:t>).</w:t>
      </w:r>
    </w:p>
    <w:p>
      <w:r/>
      <w:r>
        <w:t>De acordo com a história em Gênesis, Deus responsabilizou todos os três e informou a cada um sobre as trágicas consequências de sua rebelião (</w:t>
      </w:r>
      <w:hyperlink r:id="rId303">
        <w:r>
          <w:rPr>
            <w:color w:val="0000EE"/>
            <w:u w:val="single"/>
          </w:rPr>
          <w:t>3.14–19</w:t>
        </w:r>
      </w:hyperlink>
      <w:r>
        <w:t>). Os dois grandes mandatos, originalmente sinais de pura bênção, tornaram-se misturados com maldição e dor—a terra agora poderia ser povoada apenas através das dores de parto da mulher e poderia ser subjugada apenas pelo trabalho e suor do homem (</w:t>
      </w:r>
      <w:hyperlink r:id="rId304">
        <w:r>
          <w:rPr>
            <w:color w:val="0000EE"/>
            <w:u w:val="single"/>
          </w:rPr>
          <w:t>3.16–18</w:t>
        </w:r>
      </w:hyperlink>
      <w:r>
        <w:t>). Além disso, a unidade do homem e da mulher seria tensionada pela subjugação dela pelo homem, ou possivelmente pelo início de uma luta por domínio entre eles (</w:t>
      </w:r>
      <w:hyperlink r:id="rId305">
        <w:r>
          <w:rPr>
            <w:color w:val="0000EE"/>
            <w:u w:val="single"/>
          </w:rPr>
          <w:t>3.16b</w:t>
        </w:r>
      </w:hyperlink>
      <w:r>
        <w:t xml:space="preserve"> pode ser interpretado de ambas as maneiras). Finalmente, Deus pronunciou a consequência final: como ele havia originalmente avisado, Adão e Eva deveriam morrer. Algum dia o sopro de vida seria retirado deles, e seus corpos retornariam ao pó do qual foram feitos (</w:t>
      </w:r>
      <w:hyperlink r:id="rId306">
        <w:r>
          <w:rPr>
            <w:color w:val="0000EE"/>
            <w:u w:val="single"/>
          </w:rPr>
          <w:t>3.19</w:t>
        </w:r>
      </w:hyperlink>
      <w:r>
        <w:t>). Naquele mesmo dia, eles também experimentaram uma morte “espiritual”; foram separados de Deus, o doador da vida, e da árvore da vida, o símbolo da vida eterna (</w:t>
      </w:r>
      <w:hyperlink r:id="rId307">
        <w:r>
          <w:rPr>
            <w:color w:val="0000EE"/>
            <w:u w:val="single"/>
          </w:rPr>
          <w:t>3.22</w:t>
        </w:r>
      </w:hyperlink>
      <w:r>
        <w:t>). Deus os expulsou do Éden, e não havia caminho de volta. A entrada para o paraíso foi bloqueada pelos querubins e pela espada flamejante (</w:t>
      </w:r>
      <w:hyperlink r:id="rId308">
        <w:r>
          <w:rPr>
            <w:color w:val="0000EE"/>
            <w:u w:val="single"/>
          </w:rPr>
          <w:t>3.23–24</w:t>
        </w:r>
      </w:hyperlink>
      <w:r>
        <w:t>). Apenas Deus poderia restaurar o que eles haviam perdido.</w:t>
      </w:r>
    </w:p>
    <w:p>
      <w:r/>
      <w:r>
        <w:t>A história não é sem esperança. Deus foi misericordioso mesmo então. Ele fez roupas de pele para cobrir seus corpos e prometeu que um dia o poder de Satanás por trás da serpente seria derrotado pela "semente" da mulher (</w:t>
      </w:r>
      <w:hyperlink r:id="rId309">
        <w:r>
          <w:rPr>
            <w:color w:val="0000EE"/>
            <w:u w:val="single"/>
          </w:rPr>
          <w:t>Gn 3.15</w:t>
        </w:r>
      </w:hyperlink>
      <w:r>
        <w:t xml:space="preserve">; cf. </w:t>
      </w:r>
      <w:hyperlink r:id="rId310">
        <w:r>
          <w:rPr>
            <w:color w:val="0000EE"/>
            <w:u w:val="single"/>
          </w:rPr>
          <w:t>Rm 16.20</w:t>
        </w:r>
      </w:hyperlink>
      <w:r>
        <w:t>). Muitos estudiosos consideram essa promessa a primeira menção de redenção na Bíblia.</w:t>
      </w:r>
    </w:p>
    <w:p>
      <w:pPr>
        <w:pStyle w:val="Heading3"/>
      </w:pPr>
      <w:r>
        <w:t>O Significado de Adão</w:t>
      </w:r>
    </w:p>
    <w:p>
      <w:r/>
      <w:r>
        <w:t>A importância de Adão baseia-se em várias suposições, sendo a primeira que ele foi um indivíduo histórico. Essa suposição foi feita por muitos escritores do AT (</w:t>
      </w:r>
      <w:hyperlink r:id="rId311">
        <w:r>
          <w:rPr>
            <w:color w:val="0000EE"/>
            <w:u w:val="single"/>
          </w:rPr>
          <w:t>Gn 4.25</w:t>
        </w:r>
      </w:hyperlink>
      <w:r>
        <w:t xml:space="preserve">; </w:t>
      </w:r>
      <w:hyperlink r:id="rId312">
        <w:r>
          <w:rPr>
            <w:color w:val="0000EE"/>
            <w:u w:val="single"/>
          </w:rPr>
          <w:t>5.1–5</w:t>
        </w:r>
      </w:hyperlink>
      <w:r>
        <w:t xml:space="preserve">; </w:t>
      </w:r>
      <w:hyperlink r:id="rId313">
        <w:r>
          <w:rPr>
            <w:color w:val="0000EE"/>
            <w:u w:val="single"/>
          </w:rPr>
          <w:t>1Cr 1.1</w:t>
        </w:r>
      </w:hyperlink>
      <w:r>
        <w:t xml:space="preserve">; </w:t>
      </w:r>
      <w:hyperlink r:id="rId314">
        <w:r>
          <w:rPr>
            <w:color w:val="0000EE"/>
            <w:u w:val="single"/>
          </w:rPr>
          <w:t>Os 6.7</w:t>
        </w:r>
      </w:hyperlink>
      <w:r>
        <w:t>). Os escritores do NT concordaram (</w:t>
      </w:r>
      <w:hyperlink r:id="rId315">
        <w:r>
          <w:rPr>
            <w:color w:val="0000EE"/>
            <w:u w:val="single"/>
          </w:rPr>
          <w:t>Lc 3.38</w:t>
        </w:r>
      </w:hyperlink>
      <w:r>
        <w:t xml:space="preserve">; </w:t>
      </w:r>
      <w:hyperlink r:id="rId316">
        <w:r>
          <w:rPr>
            <w:color w:val="0000EE"/>
            <w:u w:val="single"/>
          </w:rPr>
          <w:t>Rm 5.14</w:t>
        </w:r>
      </w:hyperlink>
      <w:r>
        <w:t xml:space="preserve">; </w:t>
      </w:r>
      <w:hyperlink r:id="rId317">
        <w:r>
          <w:rPr>
            <w:color w:val="0000EE"/>
            <w:u w:val="single"/>
          </w:rPr>
          <w:t>1Cor 15.22,45</w:t>
        </w:r>
      </w:hyperlink>
      <w:r>
        <w:t xml:space="preserve">; </w:t>
      </w:r>
      <w:hyperlink r:id="rId318">
        <w:r>
          <w:rPr>
            <w:color w:val="0000EE"/>
            <w:u w:val="single"/>
          </w:rPr>
          <w:t>1Tm 2.13–14</w:t>
        </w:r>
      </w:hyperlink>
      <w:r>
        <w:t xml:space="preserve">; </w:t>
      </w:r>
      <w:hyperlink r:id="rId319">
        <w:r>
          <w:rPr>
            <w:color w:val="0000EE"/>
            <w:u w:val="single"/>
          </w:rPr>
          <w:t>Jd 1.14</w:t>
        </w:r>
      </w:hyperlink>
      <w:r>
        <w:t xml:space="preserve">). Igualmente essencial para a importância de Adão é uma segunda suposição, de que ele era mais do que um indivíduo. Para começar, a palavra hebraica adam (mais corretamente ’a–dha–m) não é apenas um nome próprio. Mesmo na história de Gênesis, não é usada como nome até </w:t>
      </w:r>
      <w:hyperlink r:id="rId311">
        <w:r>
          <w:rPr>
            <w:color w:val="0000EE"/>
            <w:u w:val="single"/>
          </w:rPr>
          <w:t>Gênesis 4.25</w:t>
        </w:r>
      </w:hyperlink>
      <w:r>
        <w:t>. A palavra é uma das várias palavras hebraicas que significam “homem” e é o termo genérico para “raça humana”. Na grande maioria dos casos, refere-se a um indivíduo masculino (</w:t>
      </w:r>
      <w:hyperlink r:id="rId320">
        <w:r>
          <w:rPr>
            <w:color w:val="0000EE"/>
            <w:u w:val="single"/>
          </w:rPr>
          <w:t>Lv 1.2</w:t>
        </w:r>
      </w:hyperlink>
      <w:r>
        <w:t xml:space="preserve">; </w:t>
      </w:r>
      <w:hyperlink r:id="rId321">
        <w:r>
          <w:rPr>
            <w:color w:val="0000EE"/>
            <w:u w:val="single"/>
          </w:rPr>
          <w:t>Js 14.15</w:t>
        </w:r>
      </w:hyperlink>
      <w:r>
        <w:t xml:space="preserve">; </w:t>
      </w:r>
      <w:hyperlink r:id="rId322">
        <w:r>
          <w:rPr>
            <w:color w:val="0000EE"/>
            <w:u w:val="single"/>
          </w:rPr>
          <w:t>Ne 9.29</w:t>
        </w:r>
      </w:hyperlink>
      <w:r>
        <w:t xml:space="preserve">; </w:t>
      </w:r>
      <w:hyperlink r:id="rId323">
        <w:r>
          <w:rPr>
            <w:color w:val="0000EE"/>
            <w:u w:val="single"/>
          </w:rPr>
          <w:t>Is 56.2</w:t>
        </w:r>
      </w:hyperlink>
      <w:r>
        <w:t>) ou à humanidade em geral (</w:t>
      </w:r>
      <w:hyperlink r:id="rId324">
        <w:r>
          <w:rPr>
            <w:color w:val="0000EE"/>
            <w:u w:val="single"/>
          </w:rPr>
          <w:t>Êx 4.11</w:t>
        </w:r>
      </w:hyperlink>
      <w:r>
        <w:t xml:space="preserve">; </w:t>
      </w:r>
      <w:hyperlink r:id="rId325">
        <w:r>
          <w:rPr>
            <w:color w:val="0000EE"/>
            <w:u w:val="single"/>
          </w:rPr>
          <w:t>Nm 12.3</w:t>
        </w:r>
      </w:hyperlink>
      <w:r>
        <w:t xml:space="preserve">; </w:t>
      </w:r>
      <w:hyperlink r:id="rId326">
        <w:r>
          <w:rPr>
            <w:color w:val="0000EE"/>
            <w:u w:val="single"/>
          </w:rPr>
          <w:t>16.29</w:t>
        </w:r>
      </w:hyperlink>
      <w:r>
        <w:t xml:space="preserve">; </w:t>
      </w:r>
      <w:hyperlink r:id="rId327">
        <w:r>
          <w:rPr>
            <w:color w:val="0000EE"/>
            <w:u w:val="single"/>
          </w:rPr>
          <w:t>Dt 4.28</w:t>
        </w:r>
      </w:hyperlink>
      <w:r>
        <w:t xml:space="preserve">; </w:t>
      </w:r>
      <w:hyperlink r:id="rId328">
        <w:r>
          <w:rPr>
            <w:color w:val="0000EE"/>
            <w:u w:val="single"/>
          </w:rPr>
          <w:t>1Rs 4.31</w:t>
        </w:r>
      </w:hyperlink>
      <w:r>
        <w:t xml:space="preserve">; </w:t>
      </w:r>
      <w:hyperlink r:id="rId329">
        <w:r>
          <w:rPr>
            <w:color w:val="0000EE"/>
            <w:u w:val="single"/>
          </w:rPr>
          <w:t>Jó 7.20</w:t>
        </w:r>
      </w:hyperlink>
      <w:r>
        <w:t xml:space="preserve">; </w:t>
      </w:r>
      <w:hyperlink r:id="rId330">
        <w:r>
          <w:rPr>
            <w:color w:val="0000EE"/>
            <w:u w:val="single"/>
          </w:rPr>
          <w:t>14.1</w:t>
        </w:r>
      </w:hyperlink>
      <w:r>
        <w:t xml:space="preserve">). O sentido genérico e coletivo da palavra </w:t>
      </w:r>
      <w:r>
        <w:rPr>
          <w:i/>
        </w:rPr>
        <w:t>adam</w:t>
      </w:r>
      <w:r>
        <w:t xml:space="preserve"> também está por trás da frase “filhos dos homens” (</w:t>
      </w:r>
      <w:hyperlink r:id="rId331">
        <w:r>
          <w:rPr>
            <w:color w:val="0000EE"/>
            <w:u w:val="single"/>
          </w:rPr>
          <w:t>2Sm 7.14</w:t>
        </w:r>
      </w:hyperlink>
      <w:r>
        <w:t xml:space="preserve">; </w:t>
      </w:r>
      <w:hyperlink r:id="rId332">
        <w:r>
          <w:rPr>
            <w:color w:val="0000EE"/>
            <w:u w:val="single"/>
          </w:rPr>
          <w:t>Sl 11.4</w:t>
        </w:r>
      </w:hyperlink>
      <w:r>
        <w:t xml:space="preserve">; </w:t>
      </w:r>
      <w:hyperlink r:id="rId333">
        <w:r>
          <w:rPr>
            <w:color w:val="0000EE"/>
            <w:u w:val="single"/>
          </w:rPr>
          <w:t>12.1</w:t>
        </w:r>
      </w:hyperlink>
      <w:r>
        <w:t xml:space="preserve">; </w:t>
      </w:r>
      <w:hyperlink r:id="rId334">
        <w:r>
          <w:rPr>
            <w:color w:val="0000EE"/>
            <w:u w:val="single"/>
          </w:rPr>
          <w:t>14.2</w:t>
        </w:r>
      </w:hyperlink>
      <w:r>
        <w:t xml:space="preserve">; </w:t>
      </w:r>
      <w:hyperlink r:id="rId335">
        <w:r>
          <w:rPr>
            <w:color w:val="0000EE"/>
            <w:u w:val="single"/>
          </w:rPr>
          <w:t>53.2</w:t>
        </w:r>
      </w:hyperlink>
      <w:r>
        <w:t xml:space="preserve">; </w:t>
      </w:r>
      <w:hyperlink r:id="rId336">
        <w:r>
          <w:rPr>
            <w:color w:val="0000EE"/>
            <w:u w:val="single"/>
          </w:rPr>
          <w:t>90.3</w:t>
        </w:r>
      </w:hyperlink>
      <w:r>
        <w:t xml:space="preserve">; </w:t>
      </w:r>
      <w:hyperlink r:id="rId337">
        <w:r>
          <w:rPr>
            <w:color w:val="0000EE"/>
            <w:u w:val="single"/>
          </w:rPr>
          <w:t>Ec 1.13</w:t>
        </w:r>
      </w:hyperlink>
      <w:r>
        <w:t xml:space="preserve">; </w:t>
      </w:r>
      <w:hyperlink r:id="rId338">
        <w:r>
          <w:rPr>
            <w:color w:val="0000EE"/>
            <w:u w:val="single"/>
          </w:rPr>
          <w:t>2.3</w:t>
        </w:r>
      </w:hyperlink>
      <w:r>
        <w:t>). Essa frase, literalmente “filhos de adam</w:t>
      </w:r>
      <w:r>
        <w:rPr>
          <w:i/>
        </w:rPr>
        <w:t>”,</w:t>
      </w:r>
      <w:r>
        <w:t xml:space="preserve"> simplesmente significa “homens” ou “seres humanos”, e quando é usada, toda a raça humana está em vista. De fato, a conotação humanística universal da palavra </w:t>
      </w:r>
      <w:r>
        <w:rPr>
          <w:i/>
        </w:rPr>
        <w:t>adam</w:t>
      </w:r>
      <w:r>
        <w:t xml:space="preserve"> indica uma preocupação no AT que vai muito além das esperanças nacionalistas de Israel e seu Deus—para todos os povos da terra e o Senhor de todas as nações (</w:t>
      </w:r>
      <w:hyperlink r:id="rId339">
        <w:r>
          <w:rPr>
            <w:color w:val="0000EE"/>
            <w:u w:val="single"/>
          </w:rPr>
          <w:t>Gn 9.5–7</w:t>
        </w:r>
      </w:hyperlink>
      <w:r>
        <w:t xml:space="preserve">; </w:t>
      </w:r>
      <w:hyperlink r:id="rId340">
        <w:r>
          <w:rPr>
            <w:color w:val="0000EE"/>
            <w:u w:val="single"/>
          </w:rPr>
          <w:t>Dt 5.24</w:t>
        </w:r>
      </w:hyperlink>
      <w:r>
        <w:t xml:space="preserve">; </w:t>
      </w:r>
      <w:hyperlink r:id="rId341">
        <w:r>
          <w:rPr>
            <w:color w:val="0000EE"/>
            <w:u w:val="single"/>
          </w:rPr>
          <w:t>8.3</w:t>
        </w:r>
      </w:hyperlink>
      <w:r>
        <w:t xml:space="preserve">; </w:t>
      </w:r>
      <w:hyperlink r:id="rId342">
        <w:r>
          <w:rPr>
            <w:color w:val="0000EE"/>
            <w:u w:val="single"/>
          </w:rPr>
          <w:t>1Rs 8.38–39</w:t>
        </w:r>
      </w:hyperlink>
      <w:r>
        <w:t xml:space="preserve">; </w:t>
      </w:r>
      <w:hyperlink r:id="rId343">
        <w:r>
          <w:rPr>
            <w:color w:val="0000EE"/>
            <w:u w:val="single"/>
          </w:rPr>
          <w:t>Sl 8.4</w:t>
        </w:r>
      </w:hyperlink>
      <w:r>
        <w:t xml:space="preserve">; </w:t>
      </w:r>
      <w:hyperlink r:id="rId344">
        <w:r>
          <w:rPr>
            <w:color w:val="0000EE"/>
            <w:u w:val="single"/>
          </w:rPr>
          <w:t>89.48</w:t>
        </w:r>
      </w:hyperlink>
      <w:r>
        <w:t xml:space="preserve">; </w:t>
      </w:r>
      <w:hyperlink r:id="rId345">
        <w:r>
          <w:rPr>
            <w:color w:val="0000EE"/>
            <w:u w:val="single"/>
          </w:rPr>
          <w:t>107.8–31</w:t>
        </w:r>
      </w:hyperlink>
      <w:r>
        <w:t xml:space="preserve">; </w:t>
      </w:r>
      <w:hyperlink r:id="rId346">
        <w:r>
          <w:rPr>
            <w:color w:val="0000EE"/>
            <w:u w:val="single"/>
          </w:rPr>
          <w:t>Pv 12.14</w:t>
        </w:r>
      </w:hyperlink>
      <w:r>
        <w:t xml:space="preserve">; </w:t>
      </w:r>
      <w:hyperlink r:id="rId347">
        <w:r>
          <w:rPr>
            <w:color w:val="0000EE"/>
            <w:u w:val="single"/>
          </w:rPr>
          <w:t>Mq 6.8</w:t>
        </w:r>
      </w:hyperlink>
      <w:r>
        <w:t>).</w:t>
      </w:r>
    </w:p>
    <w:p>
      <w:r/>
      <w:r>
        <w:t>Não é por acaso, então, que o primeiro homem foi chamado "Adão" ou "Homem". O nome sugere que falar sobre Adão é de alguma forma também falar sobre toda a raça humana. Tal uso pode ser melhor compreendido através do antigo conceito de personalidade corporativa e representação familiar aos hebreus e outros povos do Oriente Próximo. O pensamento moderno enfatiza o indivíduo; a existência do grupo social e todas as relações sociais têm sido vistas como secundárias e dependentes da existência e desejo do indivíduo. A compreensão hebraica era bastante diferente. Embora a personalidade separada do indivíduo fosse apreciada (</w:t>
      </w:r>
      <w:hyperlink r:id="rId348">
        <w:r>
          <w:rPr>
            <w:color w:val="0000EE"/>
            <w:u w:val="single"/>
          </w:rPr>
          <w:t>Jr 31.29–30</w:t>
        </w:r>
      </w:hyperlink>
      <w:r>
        <w:t xml:space="preserve">; </w:t>
      </w:r>
      <w:hyperlink r:id="rId349">
        <w:r>
          <w:rPr>
            <w:color w:val="0000EE"/>
            <w:u w:val="single"/>
          </w:rPr>
          <w:t>Ez 18.4</w:t>
        </w:r>
      </w:hyperlink>
      <w:r>
        <w:t>), havia uma forte tendência de ver o grupo social (família, tribo, nação) como um único organismo com uma identidade corporativa própria. Da mesma forma, o representante do grupo era visto como a encarnação ou personificação da personalidade corporativa do grupo. Dentro do representante, as qualidades e características essenciais do grupo social residiam de tal forma que as ações e decisões do representante eram vinculativas para todo o grupo. Se o grupo fosse uma família, o pai era geralmente considerado o representante corporativo; para o bem ou para o mal, sua família, e às vezes seus descendentes, recebiam os resultados de suas ações (</w:t>
      </w:r>
      <w:hyperlink r:id="rId350">
        <w:r>
          <w:rPr>
            <w:color w:val="0000EE"/>
            <w:u w:val="single"/>
          </w:rPr>
          <w:t>Gn 17.1–8</w:t>
        </w:r>
      </w:hyperlink>
      <w:r>
        <w:t xml:space="preserve">; cf. </w:t>
      </w:r>
      <w:hyperlink r:id="rId351">
        <w:r>
          <w:rPr>
            <w:color w:val="0000EE"/>
            <w:u w:val="single"/>
          </w:rPr>
          <w:t>Gn 20.1–9,18</w:t>
        </w:r>
      </w:hyperlink>
      <w:r>
        <w:t xml:space="preserve">; </w:t>
      </w:r>
      <w:hyperlink r:id="rId352">
        <w:r>
          <w:rPr>
            <w:color w:val="0000EE"/>
            <w:u w:val="single"/>
          </w:rPr>
          <w:t>Êx 20.5–6</w:t>
        </w:r>
      </w:hyperlink>
      <w:r>
        <w:t xml:space="preserve">; </w:t>
      </w:r>
      <w:hyperlink r:id="rId353">
        <w:r>
          <w:rPr>
            <w:color w:val="0000EE"/>
            <w:u w:val="single"/>
          </w:rPr>
          <w:t>Js 7.24–25</w:t>
        </w:r>
      </w:hyperlink>
      <w:r>
        <w:t xml:space="preserve">; </w:t>
      </w:r>
      <w:hyperlink r:id="rId354">
        <w:r>
          <w:rPr>
            <w:color w:val="0000EE"/>
            <w:u w:val="single"/>
          </w:rPr>
          <w:t>Rm 11.28</w:t>
        </w:r>
      </w:hyperlink>
      <w:r>
        <w:t xml:space="preserve">; </w:t>
      </w:r>
      <w:hyperlink r:id="rId355">
        <w:r>
          <w:rPr>
            <w:color w:val="0000EE"/>
            <w:u w:val="single"/>
          </w:rPr>
          <w:t>Hb 7.1–10</w:t>
        </w:r>
      </w:hyperlink>
      <w:r>
        <w:t>).</w:t>
      </w:r>
    </w:p>
    <w:p>
      <w:r/>
      <w:r>
        <w:t>Como o homem original e pai da humanidade, à imagem de quem todas as gerações subsequentes nasceriam (</w:t>
      </w:r>
      <w:hyperlink r:id="rId356">
        <w:r>
          <w:rPr>
            <w:color w:val="0000EE"/>
            <w:u w:val="single"/>
          </w:rPr>
          <w:t>Gn 5.3</w:t>
        </w:r>
      </w:hyperlink>
      <w:r>
        <w:t xml:space="preserve">), Adão era o representante corporativo da humanidade. Os relatos da criação em si dão a impressão de que os mandatos de </w:t>
      </w:r>
      <w:hyperlink r:id="rId357">
        <w:r>
          <w:rPr>
            <w:color w:val="0000EE"/>
            <w:u w:val="single"/>
          </w:rPr>
          <w:t>Gênesis 1.26–30</w:t>
        </w:r>
      </w:hyperlink>
      <w:r>
        <w:t xml:space="preserve"> (cf. </w:t>
      </w:r>
      <w:hyperlink r:id="rId358">
        <w:r>
          <w:rPr>
            <w:color w:val="0000EE"/>
            <w:u w:val="single"/>
          </w:rPr>
          <w:t>Gn 9.1,7</w:t>
        </w:r>
      </w:hyperlink>
      <w:r>
        <w:t xml:space="preserve">; </w:t>
      </w:r>
      <w:hyperlink r:id="rId357">
        <w:r>
          <w:rPr>
            <w:color w:val="0000EE"/>
            <w:u w:val="single"/>
          </w:rPr>
          <w:t>Sl 8.5–7</w:t>
        </w:r>
      </w:hyperlink>
      <w:r>
        <w:t xml:space="preserve">; </w:t>
      </w:r>
      <w:hyperlink r:id="rId359">
        <w:r>
          <w:rPr>
            <w:color w:val="0000EE"/>
            <w:u w:val="single"/>
          </w:rPr>
          <w:t>104.14</w:t>
        </w:r>
      </w:hyperlink>
      <w:r>
        <w:t xml:space="preserve">) assim como as maldições de </w:t>
      </w:r>
      <w:hyperlink r:id="rId357">
        <w:r>
          <w:rPr>
            <w:color w:val="0000EE"/>
            <w:u w:val="single"/>
          </w:rPr>
          <w:t>Gênesis 3.16–19</w:t>
        </w:r>
      </w:hyperlink>
      <w:r>
        <w:t xml:space="preserve"> (cf. </w:t>
      </w:r>
      <w:hyperlink r:id="rId357">
        <w:r>
          <w:rPr>
            <w:color w:val="0000EE"/>
            <w:u w:val="single"/>
          </w:rPr>
          <w:t>Sl 90.3</w:t>
        </w:r>
      </w:hyperlink>
      <w:r>
        <w:t xml:space="preserve">; </w:t>
      </w:r>
      <w:hyperlink r:id="rId357">
        <w:r>
          <w:rPr>
            <w:color w:val="0000EE"/>
            <w:u w:val="single"/>
          </w:rPr>
          <w:t>Ecl 12.7</w:t>
        </w:r>
      </w:hyperlink>
      <w:r>
        <w:t xml:space="preserve">; </w:t>
      </w:r>
      <w:hyperlink r:id="rId357">
        <w:r>
          <w:rPr>
            <w:color w:val="0000EE"/>
            <w:u w:val="single"/>
          </w:rPr>
          <w:t>Is 13.8</w:t>
        </w:r>
      </w:hyperlink>
      <w:r>
        <w:t xml:space="preserve">; </w:t>
      </w:r>
      <w:hyperlink r:id="rId357">
        <w:r>
          <w:rPr>
            <w:color w:val="0000EE"/>
            <w:u w:val="single"/>
          </w:rPr>
          <w:t>21.3</w:t>
        </w:r>
      </w:hyperlink>
      <w:r>
        <w:t>) foram destinados não apenas para Adão (e Eva), mas, através dele, para toda a raça.</w:t>
      </w:r>
    </w:p>
    <w:p>
      <w:r/>
      <w:r>
        <w:t xml:space="preserve">Em </w:t>
      </w:r>
      <w:hyperlink r:id="rId360">
        <w:r>
          <w:rPr>
            <w:color w:val="0000EE"/>
            <w:u w:val="single"/>
          </w:rPr>
          <w:t>Rm 5.12–21</w:t>
        </w:r>
      </w:hyperlink>
      <w:r>
        <w:t xml:space="preserve">, o apóstolo Paulo contrastou a morte e a condenação trazidas à humanidade pela desobediência de Adão com a vida e a justificação dadas à humanidade através da obediência de Cristo. Mais explicitamente, em </w:t>
      </w:r>
      <w:hyperlink r:id="rId361">
        <w:r>
          <w:rPr>
            <w:color w:val="0000EE"/>
            <w:u w:val="single"/>
          </w:rPr>
          <w:t>1Co 15.45–50</w:t>
        </w:r>
      </w:hyperlink>
      <w:r>
        <w:t xml:space="preserve"> (NTLH), Paulo chamou Cristo de “último Adão”, “segundo homem” e “homem do céu” em justaposição ao “primeiro Adão”, o “primeiro homem” e o “homem do pó”.</w:t>
      </w:r>
    </w:p>
    <w:p>
      <w:r/>
      <w:r>
        <w:t>Para Paulo, a raça humana estava dividida em dois grupos nas pessoas de Adão e Cristo. Aqueles que permanecem "incorporados" em Adão são a humanidade "antiga", carregando a imagem do "homem do pó" e participando de seu pecado e alienação de Deus e da Criação (</w:t>
      </w:r>
      <w:hyperlink r:id="rId362">
        <w:r>
          <w:rPr>
            <w:color w:val="0000EE"/>
            <w:u w:val="single"/>
          </w:rPr>
          <w:t>Rm 5.12–19</w:t>
        </w:r>
      </w:hyperlink>
      <w:r>
        <w:t xml:space="preserve">; </w:t>
      </w:r>
      <w:hyperlink r:id="rId363">
        <w:r>
          <w:rPr>
            <w:color w:val="0000EE"/>
            <w:u w:val="single"/>
          </w:rPr>
          <w:t>8.20–22</w:t>
        </w:r>
      </w:hyperlink>
      <w:r>
        <w:t>). Mas aqueles que são incorporados a Cristo pela fé tornam-se o "corpo" de Cristo (</w:t>
      </w:r>
      <w:hyperlink r:id="rId364">
        <w:r>
          <w:rPr>
            <w:color w:val="0000EE"/>
            <w:u w:val="single"/>
          </w:rPr>
          <w:t>Rm 12.4–5</w:t>
        </w:r>
      </w:hyperlink>
      <w:r>
        <w:t xml:space="preserve">; </w:t>
      </w:r>
      <w:hyperlink r:id="rId365">
        <w:r>
          <w:rPr>
            <w:color w:val="0000EE"/>
            <w:u w:val="single"/>
          </w:rPr>
          <w:t>1Co 12.12–13,27</w:t>
        </w:r>
      </w:hyperlink>
      <w:r>
        <w:t xml:space="preserve">; </w:t>
      </w:r>
      <w:hyperlink r:id="rId366">
        <w:r>
          <w:rPr>
            <w:color w:val="0000EE"/>
            <w:u w:val="single"/>
          </w:rPr>
          <w:t>Ef 1.22–23</w:t>
        </w:r>
      </w:hyperlink>
      <w:r>
        <w:t xml:space="preserve">; </w:t>
      </w:r>
      <w:hyperlink r:id="rId367">
        <w:r>
          <w:rPr>
            <w:color w:val="0000EE"/>
            <w:u w:val="single"/>
          </w:rPr>
          <w:t>Cl 1.18</w:t>
        </w:r>
      </w:hyperlink>
      <w:r>
        <w:t>); são recriados à imagem de Cristo (</w:t>
      </w:r>
      <w:hyperlink r:id="rId368">
        <w:r>
          <w:rPr>
            <w:color w:val="0000EE"/>
            <w:u w:val="single"/>
          </w:rPr>
          <w:t>Rm 8.29</w:t>
        </w:r>
      </w:hyperlink>
      <w:r>
        <w:t xml:space="preserve">; </w:t>
      </w:r>
      <w:hyperlink r:id="rId369">
        <w:r>
          <w:rPr>
            <w:color w:val="0000EE"/>
            <w:u w:val="single"/>
          </w:rPr>
          <w:t>1Co 15.49</w:t>
        </w:r>
      </w:hyperlink>
      <w:r>
        <w:t xml:space="preserve">; </w:t>
      </w:r>
      <w:hyperlink r:id="rId370">
        <w:r>
          <w:rPr>
            <w:color w:val="0000EE"/>
            <w:u w:val="single"/>
          </w:rPr>
          <w:t>2Co 3.18</w:t>
        </w:r>
      </w:hyperlink>
      <w:r>
        <w:t>); tornam-se um "novo homem" (</w:t>
      </w:r>
      <w:hyperlink r:id="rId371">
        <w:r>
          <w:rPr>
            <w:color w:val="0000EE"/>
            <w:u w:val="single"/>
          </w:rPr>
          <w:t>Ef 2.15</w:t>
        </w:r>
      </w:hyperlink>
      <w:r>
        <w:t xml:space="preserve">; </w:t>
      </w:r>
      <w:hyperlink r:id="rId372">
        <w:r>
          <w:rPr>
            <w:color w:val="0000EE"/>
            <w:u w:val="single"/>
          </w:rPr>
          <w:t>4.24</w:t>
        </w:r>
      </w:hyperlink>
      <w:r>
        <w:t xml:space="preserve">; </w:t>
      </w:r>
      <w:hyperlink r:id="rId373">
        <w:r>
          <w:rPr>
            <w:color w:val="0000EE"/>
            <w:u w:val="single"/>
          </w:rPr>
          <w:t>Cl 3.9–10</w:t>
        </w:r>
      </w:hyperlink>
      <w:r>
        <w:t>, acf); e participam da nova criação (</w:t>
      </w:r>
      <w:hyperlink r:id="rId374">
        <w:r>
          <w:rPr>
            <w:color w:val="0000EE"/>
            <w:u w:val="single"/>
          </w:rPr>
          <w:t>2Co 5.17</w:t>
        </w:r>
      </w:hyperlink>
      <w:r>
        <w:t xml:space="preserve">; </w:t>
      </w:r>
      <w:hyperlink r:id="rId375">
        <w:r>
          <w:rPr>
            <w:color w:val="0000EE"/>
            <w:u w:val="single"/>
          </w:rPr>
          <w:t>Gl 6.15</w:t>
        </w:r>
      </w:hyperlink>
      <w:r>
        <w:t>). As antigas barreiras levantadas por Adão são removidas por Cristo (</w:t>
      </w:r>
      <w:hyperlink r:id="rId376">
        <w:r>
          <w:rPr>
            <w:color w:val="0000EE"/>
            <w:u w:val="single"/>
          </w:rPr>
          <w:t>Rm 5.1</w:t>
        </w:r>
      </w:hyperlink>
      <w:r>
        <w:t xml:space="preserve">; </w:t>
      </w:r>
      <w:hyperlink r:id="rId377">
        <w:r>
          <w:rPr>
            <w:color w:val="0000EE"/>
            <w:u w:val="single"/>
          </w:rPr>
          <w:t>2Co 5.19</w:t>
        </w:r>
      </w:hyperlink>
      <w:r>
        <w:t xml:space="preserve">; </w:t>
      </w:r>
      <w:hyperlink r:id="rId378">
        <w:r>
          <w:rPr>
            <w:color w:val="0000EE"/>
            <w:u w:val="single"/>
          </w:rPr>
          <w:t>Gl 3.27–28</w:t>
        </w:r>
      </w:hyperlink>
      <w:r>
        <w:t xml:space="preserve">; </w:t>
      </w:r>
      <w:hyperlink r:id="rId379">
        <w:r>
          <w:rPr>
            <w:color w:val="0000EE"/>
            <w:u w:val="single"/>
          </w:rPr>
          <w:t>Ef 2.14–16</w:t>
        </w:r>
      </w:hyperlink>
      <w:r>
        <w:t>). Para Paulo, a semelhança funcional de Adão e Cristo como representantes significava que Cristo havia restaurado o que Adão havia perdido.</w:t>
      </w:r>
    </w:p>
    <w:p>
      <w:r/>
      <w:r>
        <w:rPr>
          <w:i/>
        </w:rPr>
        <w:t>Veja também</w:t>
      </w:r>
      <w:r>
        <w:t xml:space="preserve"> </w:t>
      </w:r>
      <w:r>
        <w:t>Eva</w:t>
      </w:r>
      <w:r>
        <w:t xml:space="preserve">; </w:t>
      </w:r>
      <w:r>
        <w:t>Homem, Velho e Novo</w:t>
      </w:r>
      <w:r>
        <w:t xml:space="preserve">; </w:t>
      </w:r>
      <w:r>
        <w:t>Nova Criação, Nova Criatura</w:t>
      </w:r>
      <w:r>
        <w:t>.</w:t>
      </w:r>
      <w:r/>
      <w:r/>
    </w:p>
    <w:p>
      <w:r/>
    </w:p>
    <w:p>
      <w:pPr>
        <w:pStyle w:val="Heading2"/>
      </w:pPr>
      <w:r>
        <w:t>Adar (Lugar)</w:t>
      </w:r>
      <w:r/>
    </w:p>
    <w:p>
      <w:r/>
      <w:r>
        <w:t>Uma cidade na fronteira sudoeste de Judá, a noroeste de Cades-Barneia (</w:t>
      </w:r>
      <w:hyperlink r:id="rId263">
        <w:r>
          <w:rPr>
            <w:color w:val="0000EE"/>
            <w:u w:val="single"/>
          </w:rPr>
          <w:t>Js 15.3</w:t>
        </w:r>
      </w:hyperlink>
      <w:r>
        <w:t>). As cidades Hezrom e Adar foram chamadas de Hazar-Adar (</w:t>
      </w:r>
      <w:hyperlink r:id="rId262">
        <w:r>
          <w:rPr>
            <w:color w:val="0000EE"/>
            <w:u w:val="single"/>
          </w:rPr>
          <w:t>Nm 34.4</w:t>
        </w:r>
      </w:hyperlink>
      <w:r>
        <w:t>).</w:t>
      </w:r>
      <w:r/>
      <w:r/>
    </w:p>
    <w:p>
      <w:r/>
    </w:p>
    <w:p>
      <w:pPr>
        <w:pStyle w:val="Heading2"/>
      </w:pPr>
      <w:r>
        <w:t>Adivinhos</w:t>
      </w:r>
      <w:r/>
    </w:p>
    <w:p>
      <w:r/>
      <w:r>
        <w:t>Adivinhos são pessoas que afirmam ter contato com forças sobrenaturais e dizem que podem interpretar o que essas forças desejam. O Antigo Testamento agrupa adivinhos com "médiuns". Estes eram indivíduos que afirmavam possibilitar a comunicação entre forças sobrenaturais e seres humanos. As Escrituras proíbem claramente o povo de Deus de usar os serviços de médiuns ou adivinhos (</w:t>
      </w:r>
      <w:hyperlink r:id="rId380">
        <w:r>
          <w:rPr>
            <w:color w:val="0000EE"/>
            <w:u w:val="single"/>
          </w:rPr>
          <w:t>Lv 19.31</w:t>
        </w:r>
      </w:hyperlink>
      <w:r>
        <w:t xml:space="preserve">; </w:t>
      </w:r>
      <w:hyperlink r:id="rId381">
        <w:r>
          <w:rPr>
            <w:color w:val="0000EE"/>
            <w:u w:val="single"/>
          </w:rPr>
          <w:t>20.6,27</w:t>
        </w:r>
      </w:hyperlink>
      <w:r>
        <w:t>).</w:t>
      </w:r>
    </w:p>
    <w:p>
      <w:r/>
      <w:r>
        <w:rPr>
          <w:i/>
        </w:rPr>
        <w:t>Veja também</w:t>
      </w:r>
      <w:r>
        <w:t xml:space="preserve"> </w:t>
      </w:r>
      <w:r>
        <w:t>Magia</w:t>
      </w:r>
      <w:r>
        <w:t>.</w:t>
      </w:r>
      <w:r/>
      <w:r/>
    </w:p>
    <w:p>
      <w:r/>
    </w:p>
    <w:p>
      <w:pPr>
        <w:pStyle w:val="Heading2"/>
      </w:pPr>
      <w:r>
        <w:t>Admá</w:t>
      </w:r>
      <w:r/>
    </w:p>
    <w:p>
      <w:r/>
      <w:r>
        <w:t>Uma cidade associada com Sodoma, Gomorra e Zeboim (</w:t>
      </w:r>
      <w:hyperlink r:id="rId382">
        <w:r>
          <w:rPr>
            <w:color w:val="0000EE"/>
            <w:u w:val="single"/>
          </w:rPr>
          <w:t>Gn 10.19</w:t>
        </w:r>
      </w:hyperlink>
      <w:r>
        <w:t xml:space="preserve">; </w:t>
      </w:r>
      <w:hyperlink r:id="rId383">
        <w:r>
          <w:rPr>
            <w:color w:val="0000EE"/>
            <w:u w:val="single"/>
          </w:rPr>
          <w:t>14.2,8</w:t>
        </w:r>
      </w:hyperlink>
      <w:r>
        <w:t>). Provavelmente foi destruída no julgamento de Deus sobre Sodoma e Gomorra (</w:t>
      </w:r>
      <w:hyperlink r:id="rId384">
        <w:r>
          <w:rPr>
            <w:color w:val="0000EE"/>
            <w:u w:val="single"/>
          </w:rPr>
          <w:t>Dt 29.23</w:t>
        </w:r>
      </w:hyperlink>
      <w:r>
        <w:t xml:space="preserve">; não é mencionada em </w:t>
      </w:r>
      <w:hyperlink r:id="rId385">
        <w:r>
          <w:rPr>
            <w:color w:val="0000EE"/>
            <w:u w:val="single"/>
          </w:rPr>
          <w:t>Gn 19.28</w:t>
        </w:r>
      </w:hyperlink>
      <w:r>
        <w:t>–</w:t>
      </w:r>
      <w:hyperlink r:id="rId385">
        <w:r>
          <w:rPr>
            <w:color w:val="0000EE"/>
            <w:u w:val="single"/>
          </w:rPr>
          <w:t>29</w:t>
        </w:r>
      </w:hyperlink>
      <w:r>
        <w:t>). Uma pesquisa recente da área leste e sul do Mar Morto revelou cinco cidades da Idade do Bronze Antiga (cerca de 3300 a 2000 a.C.) que provavelmente são as cinco “cidades da planície” mencionadas em Gênesis. Cada cidade estava localizada ao lado do vale de um rio que fluía para a planície ao redor do Mar Morto.</w:t>
      </w:r>
      <w:r/>
      <w:r/>
    </w:p>
    <w:p>
      <w:r/>
    </w:p>
    <w:p>
      <w:pPr>
        <w:pStyle w:val="Heading2"/>
      </w:pPr>
      <w:r>
        <w:t>Adoração</w:t>
      </w:r>
      <w:r/>
    </w:p>
    <w:p>
      <w:r/>
      <w:r>
        <w:t>Expressão de respeito e sentimento de profundo amor e admiração a Deus.</w:t>
      </w:r>
    </w:p>
    <w:p>
      <w:pPr>
        <w:pStyle w:val="Heading3"/>
      </w:pPr>
      <w:r>
        <w:t>Adoração no Antigo Testamento</w:t>
      </w:r>
    </w:p>
    <w:p>
      <w:r/>
      <w:r>
        <w:t>Os 1.500 anos desde os dias de Abraão até a época de Esdras (c. 1900–450 a.C.) testemunharam muitas mudanças significativas na forma de adoração no antigo Israel. Abraão, o nômade errante, construiu altares e ofereceu sacrifícios onde quer que Deus aparecesse para ele. No tempo de Moisés, o tabernáculo serviu como um santuário portátil para as tribos israelitas que viajavam pelo deserto. Salomão construiu um templo em Jerusalém que durou mais de três séculos até sua destruição pelos babilônios em 586 a.C. Quando os judeus retornaram do exílio, eles construíram um novo templo, que mais tarde foi renovado e ampliado por Herodes, o Grande. Embora todos os edifícios do templo tenham sido destruídos pelos romanos em 70 d.C., as fundações permaneceram. Os judeus ainda oram junto ao Muro Ocidental (chamado de Muro das Lamentações).</w:t>
      </w:r>
    </w:p>
    <w:p>
      <w:r/>
      <w:r>
        <w:t>Embora a forma de adoração tenha mudado ao longo do tempo e das situações, seu coração e centro permaneceram os mesmos. Deus se revelou a Abraão, prometendo que seus descendentes herdariam a terra de Canaã. Abraão demonstrou sua fé por meio da oração e do sacrifício. Durante o período bíblico, ouvir a Palavra de Deus, orar e sacrificar eram a essência da adoração no sentido de prestar culto a Deus. As promessas feitas a Abraão eram constantemente lembradas como a base da existência de Israel como nação e seu direito à terra de Canaã.</w:t>
      </w:r>
    </w:p>
    <w:p>
      <w:r/>
      <w:r>
        <w:t>De tempos em tempos, toda família visitava o templo em Jerusalém. Oito dias após o nascimento de um menino, ele era circuncidado para marcar sua adesão a Israel. Então, um ou dois meses depois, a mãe do bebê ia ao templo para oferecer sacrifício (</w:t>
      </w:r>
      <w:hyperlink r:id="rId386">
        <w:r>
          <w:rPr>
            <w:color w:val="0000EE"/>
            <w:u w:val="single"/>
          </w:rPr>
          <w:t>Lv 12</w:t>
        </w:r>
      </w:hyperlink>
      <w:r>
        <w:t xml:space="preserve">; cf. </w:t>
      </w:r>
      <w:hyperlink r:id="rId387">
        <w:r>
          <w:rPr>
            <w:color w:val="0000EE"/>
            <w:u w:val="single"/>
          </w:rPr>
          <w:t>Lc 2.22–24</w:t>
        </w:r>
      </w:hyperlink>
      <w:r>
        <w:t>).</w:t>
      </w:r>
    </w:p>
    <w:p>
      <w:r/>
      <w:r>
        <w:t>Animais eram sacrificados na época de parição de ovelhas e vacas. O primeiro cordeiro ou bezerro nascido de cada ovelha ou vaca era apresentado em sacrifício (</w:t>
      </w:r>
      <w:hyperlink r:id="rId388">
        <w:r>
          <w:rPr>
            <w:color w:val="0000EE"/>
            <w:u w:val="single"/>
          </w:rPr>
          <w:t>Êx 22.30</w:t>
        </w:r>
      </w:hyperlink>
      <w:r>
        <w:t>). Da mesma forma, no início da colheita, uma cesta com os primeiros frutos era oferecida, e no final, um décimo de toda a colheita, o dízimo, era dado aos sacerdotes como representantes de Deus (</w:t>
      </w:r>
      <w:hyperlink r:id="rId389">
        <w:r>
          <w:rPr>
            <w:color w:val="0000EE"/>
            <w:u w:val="single"/>
          </w:rPr>
          <w:t>Nm 18.21–32</w:t>
        </w:r>
      </w:hyperlink>
      <w:r>
        <w:t xml:space="preserve">). </w:t>
      </w:r>
      <w:hyperlink r:id="rId390">
        <w:r>
          <w:rPr>
            <w:color w:val="0000EE"/>
            <w:u w:val="single"/>
          </w:rPr>
          <w:t>Deuteronômio 26.5–15</w:t>
        </w:r>
      </w:hyperlink>
      <w:r>
        <w:t xml:space="preserve"> fornece uma oração típica para uso em tais ocasiões.</w:t>
      </w:r>
    </w:p>
    <w:p>
      <w:r/>
      <w:r>
        <w:t>Às vezes, uma pessoa decidia oferecer um sacrifício por razões mais pessoais. Em uma crise, votos podiam ser feitos e selados com um sacrifício (</w:t>
      </w:r>
      <w:hyperlink r:id="rId391">
        <w:r>
          <w:rPr>
            <w:color w:val="0000EE"/>
            <w:u w:val="single"/>
          </w:rPr>
          <w:t>Gn 28.18–22</w:t>
        </w:r>
      </w:hyperlink>
      <w:r>
        <w:t xml:space="preserve">; </w:t>
      </w:r>
      <w:hyperlink r:id="rId392">
        <w:r>
          <w:rPr>
            <w:color w:val="0000EE"/>
            <w:u w:val="single"/>
          </w:rPr>
          <w:t>1Sm 1.10–11</w:t>
        </w:r>
      </w:hyperlink>
      <w:r>
        <w:t>). Então, quando a oração era atendida, um segundo sacrifício era costumeiramente oferecido (</w:t>
      </w:r>
      <w:hyperlink r:id="rId393">
        <w:r>
          <w:rPr>
            <w:color w:val="0000EE"/>
            <w:u w:val="single"/>
          </w:rPr>
          <w:t>Gn 35.3,14</w:t>
        </w:r>
      </w:hyperlink>
      <w:r>
        <w:t xml:space="preserve">; </w:t>
      </w:r>
      <w:hyperlink r:id="rId394">
        <w:r>
          <w:rPr>
            <w:color w:val="0000EE"/>
            <w:u w:val="single"/>
          </w:rPr>
          <w:t>1Sm 1.24–25</w:t>
        </w:r>
      </w:hyperlink>
      <w:r>
        <w:t>). Pecado grave ou doença grave também eram ocasiões para sacrifício (</w:t>
      </w:r>
      <w:hyperlink r:id="rId395">
        <w:r>
          <w:rPr>
            <w:color w:val="0000EE"/>
            <w:u w:val="single"/>
          </w:rPr>
          <w:t>Lv 4–5</w:t>
        </w:r>
      </w:hyperlink>
      <w:r>
        <w:t xml:space="preserve">, </w:t>
      </w:r>
      <w:hyperlink r:id="rId396">
        <w:r>
          <w:rPr>
            <w:color w:val="0000EE"/>
            <w:u w:val="single"/>
          </w:rPr>
          <w:t>13–15</w:t>
        </w:r>
      </w:hyperlink>
      <w:r>
        <w:t>).</w:t>
      </w:r>
    </w:p>
    <w:p>
      <w:r/>
      <w:r>
        <w:t>O adorador trazia o animal para o pátio do templo. De pé diante do sacerdote, ele colocava uma mão sobre a cabeça do animal, identificando-se com ele, e confessava seu pecado ou explicava o motivo do sacrifício. Em seguida, o adorador matava o animal e o cortava para que o sacerdote o queimasse no grande altar de bronze. Alguns sacrifícios (holocaustos) envolviam o animal inteiro sendo queimado no altar. Em outros, parte da carne era reservada para os sacerdotes, enquanto o restante era compartilhado pelo adorador e sua família. Mas, em todos os casos, o adorador matava o animal de seu próprio rebanho com suas próprias mãos. Esses sacrifícios expressavam de maneira vívida e tangível o custo do pecado e a responsabilidade do adorador. Ao matar o animal, o adorador lembrava que o pecado teria causado sua própria morte, se Deus não tivesse providenciado uma saída através do sacrifício animal.</w:t>
      </w:r>
    </w:p>
    <w:p>
      <w:r/>
      <w:r>
        <w:t>Três vezes por ano, todos os homens adultos iam ao templo para celebrar as festas nacionais (</w:t>
      </w:r>
      <w:hyperlink r:id="rId397">
        <w:r>
          <w:rPr>
            <w:color w:val="0000EE"/>
            <w:u w:val="single"/>
          </w:rPr>
          <w:t>Êx 23.17</w:t>
        </w:r>
      </w:hyperlink>
      <w:r>
        <w:t xml:space="preserve">; </w:t>
      </w:r>
      <w:hyperlink r:id="rId398">
        <w:r>
          <w:rPr>
            <w:color w:val="0000EE"/>
            <w:u w:val="single"/>
          </w:rPr>
          <w:t>Dt 16.16</w:t>
        </w:r>
      </w:hyperlink>
      <w:r>
        <w:t>): Páscoa (realizada em abril), a Festa das Semanas (realizada em maio) e a Festa dos Tabernáculos (em outubro). Quando possível, toda a família acompanhava os homens. Mas se morassem longe de Jerusalém, iriam apenas para uma das festas (</w:t>
      </w:r>
      <w:hyperlink r:id="rId399">
        <w:r>
          <w:rPr>
            <w:color w:val="0000EE"/>
            <w:u w:val="single"/>
          </w:rPr>
          <w:t>1Sm 1.3</w:t>
        </w:r>
      </w:hyperlink>
      <w:r>
        <w:t xml:space="preserve">; </w:t>
      </w:r>
      <w:hyperlink r:id="rId400">
        <w:r>
          <w:rPr>
            <w:color w:val="0000EE"/>
            <w:u w:val="single"/>
          </w:rPr>
          <w:t>Lc 2.41</w:t>
        </w:r>
      </w:hyperlink>
      <w:r>
        <w:t>).</w:t>
      </w:r>
    </w:p>
    <w:p>
      <w:r/>
      <w:r>
        <w:t>Essas festas eram ocasiões extraordinárias. Centenas de milhares de pessoas convergiam para Jerusalém. Elas ficavam com parentes ou acampavam em tendas fora da cidade. Os pátios do templo ficavam lotados de adoradores. Os coros do templo cantavam salmos apropriados para o festival, enquanto os sacerdotes e levitas ofereciam centenas (na Páscoa, milhares) de animais em sacrifício. Grupos de adoradores, tomados pela emoção, irrompiam em danças. Aqueles de temperamento mais sóbrio contentavam-se em participar do canto ou simplesmente orar em silêncio.</w:t>
      </w:r>
    </w:p>
    <w:p>
      <w:r/>
      <w:r>
        <w:t>Os grandes festivais eram ocasiões alegres, pois celebravam a libertação de Israel do Egito. Na Páscoa, cada família comia cordeiro assado e ervas amargas para reencenar a última refeição que seus antepassados comeram antes de deixar o Egito (</w:t>
      </w:r>
      <w:hyperlink r:id="rId401">
        <w:r>
          <w:rPr>
            <w:color w:val="0000EE"/>
            <w:u w:val="single"/>
          </w:rPr>
          <w:t>Êx 12</w:t>
        </w:r>
      </w:hyperlink>
      <w:r>
        <w:t>). Na Festa dos Tabernáculos, eles construíam abrigos de ramos e viviam neles por uma semana, como um lembrete de que os israelitas acamparam em tendas durante os 40 anos de peregrinação no deserto (</w:t>
      </w:r>
      <w:hyperlink r:id="rId402">
        <w:r>
          <w:rPr>
            <w:color w:val="0000EE"/>
            <w:u w:val="single"/>
          </w:rPr>
          <w:t>Lv 23.39–43</w:t>
        </w:r>
      </w:hyperlink>
      <w:r>
        <w:t>). Esses grandes festivais serviam como lembretes de como Deus os havia libertado da escravidão no Egito e lhes dado a terra de Canaã, como havia prometido a Abraão.</w:t>
      </w:r>
    </w:p>
    <w:p>
      <w:r/>
      <w:r>
        <w:t>Cada um desses três festivais durava uma semana, mas havia um dia no ano que era totalmente diferente: o Dia da Expiação, quando todos jejuavam e lamentavam por seus pecados. Nesse dia, o sumo sacerdote confessava os pecados da nação enquanto pressionava sua mão sobre a cabeça de um bode. Em seguida, o bode era levado para o deserto, simbolizando a remoção do pecado do povo (</w:t>
      </w:r>
      <w:hyperlink r:id="rId403">
        <w:r>
          <w:rPr>
            <w:color w:val="0000EE"/>
            <w:u w:val="single"/>
          </w:rPr>
          <w:t>Lv 16</w:t>
        </w:r>
      </w:hyperlink>
      <w:r>
        <w:t>).</w:t>
      </w:r>
    </w:p>
    <w:p>
      <w:r/>
      <w:r>
        <w:t>Algum tempo após a destruição do primeiro templo, as sinagogas se desenvolveram para o culto público. Os serviços eram mais parecidos com o culto moderno nas igrejas, consistindo exclusivamente em oração, leitura da Bíblia e pregação. Não eram feitos sacrifícios nas sinagogas. Quando o segundo Templo foi destruído em 70 d.C., as sinagogas se tornaram os únicos lugares onde os judeus podiam adorar em público. Então, não houve mais sacrifícios. O NT retrata isso como adequado, pois Jesus era o verdadeiro Cordeiro de Deus (</w:t>
      </w:r>
      <w:hyperlink r:id="rId404">
        <w:r>
          <w:rPr>
            <w:color w:val="0000EE"/>
            <w:u w:val="single"/>
          </w:rPr>
          <w:t>Jo 1.29</w:t>
        </w:r>
      </w:hyperlink>
      <w:r>
        <w:t>); por causa de sua morte, não há necessidade de mais sacrifícios de animais (</w:t>
      </w:r>
      <w:hyperlink r:id="rId405">
        <w:r>
          <w:rPr>
            <w:color w:val="0000EE"/>
            <w:u w:val="single"/>
          </w:rPr>
          <w:t>Hb 10.11–12</w:t>
        </w:r>
      </w:hyperlink>
      <w:r>
        <w:t>).</w:t>
      </w:r>
    </w:p>
    <w:p>
      <w:pPr>
        <w:pStyle w:val="Heading3"/>
      </w:pPr>
      <w:r>
        <w:t>Adoração no Novo Testamento</w:t>
      </w:r>
    </w:p>
    <w:p>
      <w:r/>
      <w:r>
        <w:t xml:space="preserve">Os judeus tinham se tornado excessivamente dependentes de um lugar físico, o templo, para sua adoração. Quando Jesus chegou, ele proclamou que ele próprio era o templo de Deus; na ressurreição, ele proporcionaria a morada espiritual onde Deus, o Espírito, e as pessoas, em espírito, poderiam ter comunhão espiritual (veja </w:t>
      </w:r>
      <w:hyperlink r:id="rId406">
        <w:r>
          <w:rPr>
            <w:color w:val="0000EE"/>
            <w:u w:val="single"/>
          </w:rPr>
          <w:t>Mt 12.6</w:t>
        </w:r>
      </w:hyperlink>
      <w:r>
        <w:t xml:space="preserve">; </w:t>
      </w:r>
      <w:hyperlink r:id="rId407">
        <w:r>
          <w:rPr>
            <w:color w:val="0000EE"/>
            <w:u w:val="single"/>
          </w:rPr>
          <w:t>Jo 2.19–22</w:t>
        </w:r>
      </w:hyperlink>
      <w:r>
        <w:t xml:space="preserve">). Em outras palavras, a adoração não seria mais em um lugar, mas em uma pessoa — através de Jesus Cristo e seu Espírito, os adoradores poderiam ir diretamente a Deus (veja </w:t>
      </w:r>
      <w:hyperlink r:id="rId408">
        <w:r>
          <w:rPr>
            <w:color w:val="0000EE"/>
            <w:u w:val="single"/>
          </w:rPr>
          <w:t>Jo 14.6</w:t>
        </w:r>
      </w:hyperlink>
      <w:r>
        <w:t xml:space="preserve">; </w:t>
      </w:r>
      <w:hyperlink r:id="rId409">
        <w:r>
          <w:rPr>
            <w:color w:val="0000EE"/>
            <w:u w:val="single"/>
          </w:rPr>
          <w:t>Hb 10.19–20</w:t>
        </w:r>
      </w:hyperlink>
      <w:r>
        <w:t>).</w:t>
      </w:r>
    </w:p>
    <w:p>
      <w:r/>
      <w:r>
        <w:t xml:space="preserve">Essa mudança na adoração — do físico para o espiritual — é o tema de </w:t>
      </w:r>
      <w:hyperlink r:id="rId410">
        <w:r>
          <w:rPr>
            <w:color w:val="0000EE"/>
            <w:u w:val="single"/>
          </w:rPr>
          <w:t>João 4</w:t>
        </w:r>
      </w:hyperlink>
      <w:r>
        <w:t xml:space="preserve">, um capítulo que relata a visita de Jesus aos samaritanos. Após o encontro de Jesus com a mulher samaritana, ela reconheceu que ele devia ser um profeta e então iniciou uma discussão sobre o debate religioso entre os judeus e os samaritanos sobre qual lugar de adoração era o correto — Jerusalém ou o Monte Gerizim. Os samaritanos haviam estabelecido um local de adoração no Monte Gerizim de acordo com </w:t>
      </w:r>
      <w:hyperlink r:id="rId411">
        <w:r>
          <w:rPr>
            <w:color w:val="0000EE"/>
            <w:u w:val="single"/>
          </w:rPr>
          <w:t>Deuteronômio 11.26–29</w:t>
        </w:r>
      </w:hyperlink>
      <w:r>
        <w:t xml:space="preserve"> e </w:t>
      </w:r>
      <w:hyperlink r:id="rId412">
        <w:r>
          <w:rPr>
            <w:color w:val="0000EE"/>
            <w:u w:val="single"/>
          </w:rPr>
          <w:t>27.1–8</w:t>
        </w:r>
      </w:hyperlink>
      <w:r>
        <w:t>, enquanto os judeus seguiram Davi e Salomão ao fazer de Jerusalém o centro da adoração judaica. As Escrituras afirmavam Jerusalém como o verdadeiro centro de adoração (</w:t>
      </w:r>
      <w:hyperlink r:id="rId413">
        <w:r>
          <w:rPr>
            <w:color w:val="0000EE"/>
            <w:u w:val="single"/>
          </w:rPr>
          <w:t>Dt 12.5</w:t>
        </w:r>
      </w:hyperlink>
      <w:r>
        <w:t xml:space="preserve">; </w:t>
      </w:r>
      <w:hyperlink r:id="rId414">
        <w:r>
          <w:rPr>
            <w:color w:val="0000EE"/>
            <w:u w:val="single"/>
          </w:rPr>
          <w:t>2Cr 6.6</w:t>
        </w:r>
      </w:hyperlink>
      <w:r>
        <w:t xml:space="preserve">; </w:t>
      </w:r>
      <w:hyperlink r:id="rId415">
        <w:r>
          <w:rPr>
            <w:color w:val="0000EE"/>
            <w:u w:val="single"/>
          </w:rPr>
          <w:t>7.12</w:t>
        </w:r>
      </w:hyperlink>
      <w:r>
        <w:t xml:space="preserve">; </w:t>
      </w:r>
      <w:hyperlink r:id="rId416">
        <w:r>
          <w:rPr>
            <w:color w:val="0000EE"/>
            <w:u w:val="single"/>
          </w:rPr>
          <w:t>Sl 78.67–68</w:t>
        </w:r>
      </w:hyperlink>
      <w:r>
        <w:t>). Mas Jesus disse a ela que uma nova era havia chegado na qual a questão não dizia mais respeito a um local físico. Deus Pai não seria mais adorado em nenhum dos dois lugares. Uma nova era havia chegado na qual os verdadeiros adoradores (judeu, samaritano ou gentio) devem adorar o Pai em espírito e em verdade.</w:t>
      </w:r>
    </w:p>
    <w:p>
      <w:r/>
      <w:r>
        <w:t>“Em espírito” corresponde a Jerusalém, e “em verdade” corresponde às ideias desconhecidas dos samaritanos sobre adoração, Deus, etc. Anteriormente, Deus era adorado em Jerusalém, mas agora a verdadeira Jerusalém estaria no espírito de uma pessoa. De fato, a igreja é chamada de “a habitação de Deus em espírito” (</w:t>
      </w:r>
      <w:hyperlink r:id="rId417">
        <w:r>
          <w:rPr>
            <w:color w:val="0000EE"/>
            <w:u w:val="single"/>
          </w:rPr>
          <w:t>Ef 2.22</w:t>
        </w:r>
      </w:hyperlink>
      <w:r>
        <w:t>). A verdadeira adoração exige que um povo entre em contato com Deus, o Espírito, em seu espírito, bem como um povo que conheça a verdade. A adoração do Novo Testamento deve ser em espírito e em verdade. Como “Deus é Espírito”, ele deve ser adorado em espírito. Os seres humanos possuem um espírito humano, cuja natureza corresponde à natureza de Deus, que é espírito. Portanto, as pessoas podem ter comunhão com Deus e adorar a Deus na mesma esfera em que Deus existe.</w:t>
      </w:r>
    </w:p>
    <w:p>
      <w:r/>
      <w:r>
        <w:t xml:space="preserve">Em certo sentido, </w:t>
      </w:r>
      <w:hyperlink r:id="rId410">
        <w:r>
          <w:rPr>
            <w:color w:val="0000EE"/>
            <w:u w:val="single"/>
          </w:rPr>
          <w:t>João 4</w:t>
        </w:r>
      </w:hyperlink>
      <w:r>
        <w:t xml:space="preserve"> antecipa </w:t>
      </w:r>
      <w:hyperlink r:id="rId418">
        <w:r>
          <w:rPr>
            <w:color w:val="0000EE"/>
            <w:u w:val="single"/>
          </w:rPr>
          <w:t>Apocalipse 21</w:t>
        </w:r>
      </w:hyperlink>
      <w:r>
        <w:t xml:space="preserve"> e </w:t>
      </w:r>
      <w:hyperlink r:id="rId419">
        <w:r>
          <w:rPr>
            <w:color w:val="0000EE"/>
            <w:u w:val="single"/>
          </w:rPr>
          <w:t>22</w:t>
        </w:r>
      </w:hyperlink>
      <w:r>
        <w:t xml:space="preserve">, onde Deus oferece os rios da água da vida a todos os crentes e onde o Cordeiro e Deus são o templo na Nova Jerusalém. Os crentes recebem vida de Deus e adoram em Deus. Há uma conexão profunda, até mesmo mística, entre beber do Espírito e adorar a Deus no Espírito (veja </w:t>
      </w:r>
      <w:hyperlink r:id="rId420">
        <w:r>
          <w:rPr>
            <w:color w:val="0000EE"/>
            <w:u w:val="single"/>
          </w:rPr>
          <w:t>1Co 12.13</w:t>
        </w:r>
      </w:hyperlink>
      <w:r>
        <w:t xml:space="preserve">). Isso também é descrito em </w:t>
      </w:r>
      <w:hyperlink r:id="rId421">
        <w:r>
          <w:rPr>
            <w:color w:val="0000EE"/>
            <w:u w:val="single"/>
          </w:rPr>
          <w:t>Ezequiel 47</w:t>
        </w:r>
      </w:hyperlink>
      <w:r>
        <w:t xml:space="preserve">, que retrata o rio fluindo do templo de Deus como um símbolo do suprimento inesgotável de Deus. Em </w:t>
      </w:r>
      <w:hyperlink r:id="rId410">
        <w:r>
          <w:rPr>
            <w:color w:val="0000EE"/>
            <w:u w:val="single"/>
          </w:rPr>
          <w:t>João 4</w:t>
        </w:r>
      </w:hyperlink>
      <w:r>
        <w:t>, Jesus oferece as águas vivas a todos que recebem o dom de Deus, e ele direciona as pessoas para um novo templo, um espiritual, onde Deus é adorado em espírito.</w:t>
      </w:r>
      <w:r/>
      <w:r/>
    </w:p>
    <w:p>
      <w:r/>
    </w:p>
    <w:p>
      <w:pPr>
        <w:pStyle w:val="Heading2"/>
      </w:pPr>
      <w:r>
        <w:t>Adorão</w:t>
      </w:r>
      <w:r/>
    </w:p>
    <w:p>
      <w:r/>
      <w:r>
        <w:t>Há diferentes grafias para este nome nas Bíblia em potuguês: Adorão, Hadorão, Adonirão.</w:t>
      </w:r>
    </w:p>
    <w:p>
      <w:r/>
      <w:r>
        <w:t>1. Quinto filho de Joctã; Adorão e seus irmãos foram a sexta geração de Noé (</w:t>
      </w:r>
      <w:hyperlink r:id="rId422">
        <w:r>
          <w:rPr>
            <w:color w:val="0000EE"/>
            <w:u w:val="single"/>
          </w:rPr>
          <w:t>Gn 10.27</w:t>
        </w:r>
      </w:hyperlink>
      <w:r>
        <w:t xml:space="preserve">; </w:t>
      </w:r>
      <w:hyperlink r:id="rId423">
        <w:r>
          <w:rPr>
            <w:color w:val="0000EE"/>
            <w:u w:val="single"/>
          </w:rPr>
          <w:t>1Cr 1.21</w:t>
        </w:r>
      </w:hyperlink>
      <w:r>
        <w:t>).</w:t>
      </w:r>
    </w:p>
    <w:p>
      <w:r/>
      <w:r>
        <w:t xml:space="preserve">2. Grafia alternativa de Jorão em </w:t>
      </w:r>
      <w:hyperlink r:id="rId424">
        <w:r>
          <w:rPr>
            <w:color w:val="0000EE"/>
            <w:u w:val="single"/>
          </w:rPr>
          <w:t>1 Crônicas 18.10</w:t>
        </w:r>
      </w:hyperlink>
      <w:r>
        <w:t xml:space="preserve"> (em algumas Bíblias). </w:t>
      </w:r>
      <w:r>
        <w:rPr>
          <w:i/>
        </w:rPr>
        <w:t>Veja</w:t>
      </w:r>
      <w:r>
        <w:t xml:space="preserve"> </w:t>
      </w:r>
      <w:r>
        <w:t>Jorão #1</w:t>
      </w:r>
      <w:r>
        <w:t>.</w:t>
      </w:r>
    </w:p>
    <w:p>
      <w:r/>
      <w:r>
        <w:t xml:space="preserve">3. Grafia alternativa de Adonirão em </w:t>
      </w:r>
      <w:hyperlink r:id="rId425">
        <w:r>
          <w:rPr>
            <w:color w:val="0000EE"/>
            <w:u w:val="single"/>
          </w:rPr>
          <w:t>2 Crônicas 10.18</w:t>
        </w:r>
      </w:hyperlink>
      <w:r>
        <w:t xml:space="preserve"> (em algumas Bíblias). </w:t>
      </w:r>
      <w:r>
        <w:rPr>
          <w:i/>
        </w:rPr>
        <w:t>Veja</w:t>
      </w:r>
      <w:r>
        <w:t xml:space="preserve"> </w:t>
      </w:r>
      <w:r>
        <w:t>Adonirão</w:t>
      </w:r>
      <w:r>
        <w:t>.</w:t>
      </w:r>
      <w:r/>
      <w:r/>
    </w:p>
    <w:p>
      <w:r/>
    </w:p>
    <w:p>
      <w:pPr>
        <w:pStyle w:val="Heading2"/>
      </w:pPr>
      <w:r>
        <w:t>Adramítio</w:t>
      </w:r>
      <w:r/>
    </w:p>
    <w:p>
      <w:r/>
      <w:r>
        <w:t>Uma antiga cidade portuária na Ásia Menor. Quando viajava para Roma como prisioneiro, Paulo navegou em um navio de Adramítio (</w:t>
      </w:r>
      <w:hyperlink r:id="rId426">
        <w:r>
          <w:rPr>
            <w:color w:val="0000EE"/>
            <w:u w:val="single"/>
          </w:rPr>
          <w:t>At 27.2</w:t>
        </w:r>
      </w:hyperlink>
      <w:r>
        <w:t>). Adramítio é a atual cidade turca de Edremit. Moedas encontradas na área indicam que Adramítio pode ter sido um centro de adoração a Castor e Pólux (filhos gêmeos do deus pagão Zeus).</w:t>
      </w:r>
      <w:r/>
      <w:r/>
    </w:p>
    <w:p>
      <w:r/>
    </w:p>
    <w:p>
      <w:pPr>
        <w:pStyle w:val="Heading2"/>
      </w:pPr>
      <w:r>
        <w:t>Ádria</w:t>
      </w:r>
      <w:r/>
    </w:p>
    <w:p>
      <w:r/>
      <w:r>
        <w:t>O Mar Adriático é um braço do Mar Mediterrâneo entre a Itália, Grécia, Albânia, Montenegro e Croácia no leste. O apóstolo Paulo enfrentou uma violenta tempestade no Mar Adriático por 14 dias (</w:t>
      </w:r>
      <w:hyperlink r:id="rId427">
        <w:r>
          <w:rPr>
            <w:color w:val="0000EE"/>
            <w:u w:val="single"/>
          </w:rPr>
          <w:t>At 27.27</w:t>
        </w:r>
      </w:hyperlink>
      <w:r>
        <w:t>). Outros textos antigos também mencionam a violência do Mar Adriático. O historiador judeu Josefo naufragou no Adriático em 64 d.C., e o poeta grego Homero falou sobre essas tempestades violentas em seus escritos.</w:t>
      </w:r>
      <w:r/>
      <w:r/>
    </w:p>
    <w:p>
      <w:r/>
    </w:p>
    <w:p>
      <w:pPr>
        <w:pStyle w:val="Heading2"/>
      </w:pPr>
      <w:r>
        <w:t>Adulã, Adulamita</w:t>
      </w:r>
      <w:r/>
    </w:p>
    <w:p>
      <w:r/>
      <w:r>
        <w:t>Uma antiga cidade cananeia entre Laquis e Hebrom. Também é o nome de uma região de cavernas nas proximidades.</w:t>
      </w:r>
    </w:p>
    <w:p>
      <w:r/>
      <w:r>
        <w:t>A primeira referência à cidade na Bíblia está na palavra "adulamita" (alguém de Adulã). Ela é usada para descrever Hira, um amigo de Judá. Depois que Judá ajudou a vender seu irmão José como escravo, ele saiu de casa e viveu em Adulão com Hira (</w:t>
      </w:r>
      <w:hyperlink r:id="rId428">
        <w:r>
          <w:rPr>
            <w:color w:val="0000EE"/>
            <w:u w:val="single"/>
          </w:rPr>
          <w:t>Gn 38.1,12,20</w:t>
        </w:r>
      </w:hyperlink>
      <w:r>
        <w:t>).</w:t>
      </w:r>
    </w:p>
    <w:p>
      <w:r/>
      <w:r>
        <w:t>Adulã estava nas planícies da área tribal de Judá (</w:t>
      </w:r>
      <w:hyperlink r:id="rId429">
        <w:r>
          <w:rPr>
            <w:color w:val="0000EE"/>
            <w:u w:val="single"/>
          </w:rPr>
          <w:t>Js 15.35</w:t>
        </w:r>
      </w:hyperlink>
      <w:r>
        <w:t>). Josué a conquistou, junto com outras 31 cidades reais cananeias (</w:t>
      </w:r>
      <w:hyperlink r:id="rId430">
        <w:r>
          <w:rPr>
            <w:color w:val="0000EE"/>
            <w:u w:val="single"/>
          </w:rPr>
          <w:t>Js 12.15</w:t>
        </w:r>
      </w:hyperlink>
      <w:r>
        <w:t>). O rei Roboão a fortaleceu junto com outras 15 cidades (</w:t>
      </w:r>
      <w:hyperlink r:id="rId431">
        <w:r>
          <w:rPr>
            <w:color w:val="0000EE"/>
            <w:u w:val="single"/>
          </w:rPr>
          <w:t>2Cr 11.7</w:t>
        </w:r>
      </w:hyperlink>
      <w:r>
        <w:t>). Após o retorno dos exilados do cativeiro na Babilônia, pessoas de Judá voltaram a viver em Adulã (</w:t>
      </w:r>
      <w:hyperlink r:id="rId432">
        <w:r>
          <w:rPr>
            <w:color w:val="0000EE"/>
            <w:u w:val="single"/>
          </w:rPr>
          <w:t>Ne 11.30</w:t>
        </w:r>
      </w:hyperlink>
      <w:r>
        <w:t>).</w:t>
      </w:r>
    </w:p>
    <w:p>
      <w:r/>
      <w:r>
        <w:t>Uma caverna perto de Adulã foi importante várias vezes na vida de Davi. Ele se escondeu nela quando fugiu do Rei Saul (</w:t>
      </w:r>
      <w:hyperlink r:id="rId433">
        <w:r>
          <w:rPr>
            <w:color w:val="0000EE"/>
            <w:u w:val="single"/>
          </w:rPr>
          <w:t>1Sm 22.1</w:t>
        </w:r>
      </w:hyperlink>
      <w:r>
        <w:t>). Ele também a usou como base em sua guerra contra os filisteus (</w:t>
      </w:r>
      <w:hyperlink r:id="rId434">
        <w:r>
          <w:rPr>
            <w:color w:val="0000EE"/>
            <w:u w:val="single"/>
          </w:rPr>
          <w:t>2Sm 23.13</w:t>
        </w:r>
      </w:hyperlink>
      <w:r>
        <w:t>–</w:t>
      </w:r>
      <w:hyperlink r:id="rId434">
        <w:r>
          <w:rPr>
            <w:color w:val="0000EE"/>
            <w:u w:val="single"/>
          </w:rPr>
          <w:t>17</w:t>
        </w:r>
      </w:hyperlink>
      <w:r>
        <w:t xml:space="preserve">; </w:t>
      </w:r>
      <w:hyperlink r:id="rId435">
        <w:r>
          <w:rPr>
            <w:color w:val="0000EE"/>
            <w:u w:val="single"/>
          </w:rPr>
          <w:t>1Cr 11.15</w:t>
        </w:r>
      </w:hyperlink>
      <w:r>
        <w:t>–</w:t>
      </w:r>
      <w:hyperlink r:id="rId435">
        <w:r>
          <w:rPr>
            <w:color w:val="0000EE"/>
            <w:u w:val="single"/>
          </w:rPr>
          <w:t>19</w:t>
        </w:r>
      </w:hyperlink>
      <w:r>
        <w:t xml:space="preserve">). Davi escreveu </w:t>
      </w:r>
      <w:hyperlink r:id="rId436">
        <w:r>
          <w:rPr>
            <w:color w:val="0000EE"/>
            <w:u w:val="single"/>
          </w:rPr>
          <w:t>Sl 57</w:t>
        </w:r>
      </w:hyperlink>
      <w:r>
        <w:t xml:space="preserve"> e </w:t>
      </w:r>
      <w:hyperlink r:id="rId437">
        <w:r>
          <w:rPr>
            <w:color w:val="0000EE"/>
            <w:u w:val="single"/>
          </w:rPr>
          <w:t>142</w:t>
        </w:r>
      </w:hyperlink>
      <w:r>
        <w:t xml:space="preserve"> quando estava na caverna de Adulã. Adulã é a atual Tell esh-Sheikh Madhkur.</w:t>
      </w:r>
      <w:r/>
      <w:r/>
    </w:p>
    <w:p>
      <w:r/>
    </w:p>
    <w:p>
      <w:pPr>
        <w:pStyle w:val="Heading2"/>
      </w:pPr>
      <w:r>
        <w:t>Adultério</w:t>
      </w:r>
      <w:r/>
    </w:p>
    <w:p>
      <w:r/>
      <w:r>
        <w:t>Uma violação da unidade do casamento. Descreve qualquer ato de relação sexual entre uma mulher casada e um homem que não seja seu marido, e toda relação sexual envolvendo um homem casado e uma mulher que não seja sua esposa.</w:t>
      </w:r>
    </w:p>
    <w:p>
      <w:r/>
      <w:r>
        <w:t xml:space="preserve">Nos tempos do AT, as uniões poligâmicas não eram consideradas adúlteras (cf. </w:t>
      </w:r>
      <w:hyperlink r:id="rId438">
        <w:r>
          <w:rPr>
            <w:color w:val="0000EE"/>
            <w:u w:val="single"/>
          </w:rPr>
          <w:t>Dt 21.15</w:t>
        </w:r>
      </w:hyperlink>
      <w:r>
        <w:t>). Nem um marido era rotulado como adúltero se tivesse relações sexuais com uma mulher escrava (</w:t>
      </w:r>
      <w:hyperlink r:id="rId439">
        <w:r>
          <w:rPr>
            <w:color w:val="0000EE"/>
            <w:u w:val="single"/>
          </w:rPr>
          <w:t>Gn 16.1–4</w:t>
        </w:r>
      </w:hyperlink>
      <w:r>
        <w:t xml:space="preserve">; </w:t>
      </w:r>
      <w:hyperlink r:id="rId440">
        <w:r>
          <w:rPr>
            <w:color w:val="0000EE"/>
            <w:u w:val="single"/>
          </w:rPr>
          <w:t>30.1–5</w:t>
        </w:r>
      </w:hyperlink>
      <w:r>
        <w:t>).</w:t>
      </w:r>
    </w:p>
    <w:p>
      <w:r/>
      <w:r>
        <w:t>Qualquer desequilíbrio entre os sexos foi dissipado por Jesus em seu ensinamento sobre divórcio e novo casamento. Embora ele não tenha descartado a possibilidade de divórcio em casos de infidelidade sexual (</w:t>
      </w:r>
      <w:hyperlink r:id="rId441">
        <w:r>
          <w:rPr>
            <w:color w:val="0000EE"/>
            <w:u w:val="single"/>
          </w:rPr>
          <w:t>Mt 5.32</w:t>
        </w:r>
      </w:hyperlink>
      <w:r>
        <w:t xml:space="preserve">; </w:t>
      </w:r>
      <w:hyperlink r:id="rId442">
        <w:r>
          <w:rPr>
            <w:color w:val="0000EE"/>
            <w:u w:val="single"/>
          </w:rPr>
          <w:t>19.9</w:t>
        </w:r>
      </w:hyperlink>
      <w:r>
        <w:t>), ele advertiu que em todas as outras circunstâncias o novo casamento envolve tanto o (ex-)marido quanto a (ex-)esposa em adultério. Paulo acrescentou que a acusação de adultério só se aplica se o parceiro original do novo casamento ainda estiver vivo (</w:t>
      </w:r>
      <w:hyperlink r:id="rId443">
        <w:r>
          <w:rPr>
            <w:color w:val="0000EE"/>
            <w:u w:val="single"/>
          </w:rPr>
          <w:t>Rm 7.2–3</w:t>
        </w:r>
      </w:hyperlink>
      <w:r>
        <w:t>).</w:t>
      </w:r>
    </w:p>
    <w:p>
      <w:r/>
      <w:r>
        <w:t>Jesus também aprimorou a definição de adultério do AT ao aplicá-la à vida de pensamento de um homem. Qualquer homem que fantasia com luxúria (diferente de apenas ser tentado) cometeu adultério em pensamento e intenção, mesmo que não haja contato físico (</w:t>
      </w:r>
      <w:hyperlink r:id="rId444">
        <w:r>
          <w:rPr>
            <w:color w:val="0000EE"/>
            <w:u w:val="single"/>
          </w:rPr>
          <w:t>Mt 5.27–28</w:t>
        </w:r>
      </w:hyperlink>
      <w:r>
        <w:t xml:space="preserve">; cf. </w:t>
      </w:r>
      <w:hyperlink r:id="rId445">
        <w:r>
          <w:rPr>
            <w:color w:val="0000EE"/>
            <w:u w:val="single"/>
          </w:rPr>
          <w:t>Jó 31.1, 9</w:t>
        </w:r>
      </w:hyperlink>
      <w:r>
        <w:t>).</w:t>
      </w:r>
    </w:p>
    <w:p>
      <w:r/>
      <w:r>
        <w:t>A condenação do adultério na Bíblia está escrita no coração da lei do AT, profecia e literatura de sabedoria. Os Dez Mandamentos o proíbem inequivocamente (</w:t>
      </w:r>
      <w:hyperlink r:id="rId446">
        <w:r>
          <w:rPr>
            <w:color w:val="0000EE"/>
            <w:u w:val="single"/>
          </w:rPr>
          <w:t>Êx 20.14</w:t>
        </w:r>
      </w:hyperlink>
      <w:r>
        <w:t xml:space="preserve">; </w:t>
      </w:r>
      <w:hyperlink r:id="rId447">
        <w:r>
          <w:rPr>
            <w:color w:val="0000EE"/>
            <w:u w:val="single"/>
          </w:rPr>
          <w:t>Dt 5.18</w:t>
        </w:r>
      </w:hyperlink>
      <w:r>
        <w:t>). Os profetas o listam entre as ofensas que atraem a ira e o julgamento de Deus (</w:t>
      </w:r>
      <w:hyperlink r:id="rId448">
        <w:r>
          <w:rPr>
            <w:color w:val="0000EE"/>
            <w:u w:val="single"/>
          </w:rPr>
          <w:t>Jr 23.11–14</w:t>
        </w:r>
      </w:hyperlink>
      <w:r>
        <w:t xml:space="preserve">; </w:t>
      </w:r>
      <w:hyperlink r:id="rId449">
        <w:r>
          <w:rPr>
            <w:color w:val="0000EE"/>
            <w:u w:val="single"/>
          </w:rPr>
          <w:t>Ez 22.11</w:t>
        </w:r>
      </w:hyperlink>
      <w:r>
        <w:t xml:space="preserve">; </w:t>
      </w:r>
      <w:hyperlink r:id="rId450">
        <w:r>
          <w:rPr>
            <w:color w:val="0000EE"/>
            <w:u w:val="single"/>
          </w:rPr>
          <w:t>Ml 3.5</w:t>
        </w:r>
      </w:hyperlink>
      <w:r>
        <w:t>). E o livro de Provérbios o despreza como um ato insensato pelo qual um homem se destrói (</w:t>
      </w:r>
      <w:hyperlink r:id="rId451">
        <w:r>
          <w:rPr>
            <w:color w:val="0000EE"/>
            <w:u w:val="single"/>
          </w:rPr>
          <w:t>Pv 6.23–35</w:t>
        </w:r>
      </w:hyperlink>
      <w:r>
        <w:t xml:space="preserve">; cf. </w:t>
      </w:r>
      <w:hyperlink r:id="rId452">
        <w:r>
          <w:rPr>
            <w:color w:val="0000EE"/>
            <w:u w:val="single"/>
          </w:rPr>
          <w:t>7.6–27</w:t>
        </w:r>
      </w:hyperlink>
      <w:r>
        <w:t>).</w:t>
      </w:r>
    </w:p>
    <w:p>
      <w:r/>
      <w:r>
        <w:t>O NT ecoa essa clara condenação. Onde não há arrependimento, o adultério exclui aqueles que o praticam do reino de Deus (</w:t>
      </w:r>
      <w:hyperlink r:id="rId453">
        <w:r>
          <w:rPr>
            <w:color w:val="0000EE"/>
            <w:u w:val="single"/>
          </w:rPr>
          <w:t>1Co 6.9</w:t>
        </w:r>
      </w:hyperlink>
      <w:r>
        <w:t>). É o oposto do amor ao próximo (</w:t>
      </w:r>
      <w:hyperlink r:id="rId454">
        <w:r>
          <w:rPr>
            <w:color w:val="0000EE"/>
            <w:u w:val="single"/>
          </w:rPr>
          <w:t>Rm 13.9–10</w:t>
        </w:r>
      </w:hyperlink>
      <w:r>
        <w:t>), e está sob o juízo do próprio Deus (</w:t>
      </w:r>
      <w:hyperlink r:id="rId455">
        <w:r>
          <w:rPr>
            <w:color w:val="0000EE"/>
            <w:u w:val="single"/>
          </w:rPr>
          <w:t>Hb 13.4</w:t>
        </w:r>
      </w:hyperlink>
      <w:r>
        <w:t>).</w:t>
      </w:r>
    </w:p>
    <w:p>
      <w:r/>
      <w:r>
        <w:t>No AT, a pena para o adultério é a morte - tanto para o homem quanto para a mulher (</w:t>
      </w:r>
      <w:hyperlink r:id="rId456">
        <w:r>
          <w:rPr>
            <w:color w:val="0000EE"/>
            <w:u w:val="single"/>
          </w:rPr>
          <w:t>Lv 20.10</w:t>
        </w:r>
      </w:hyperlink>
      <w:r>
        <w:t xml:space="preserve">; </w:t>
      </w:r>
      <w:hyperlink r:id="rId457">
        <w:r>
          <w:rPr>
            <w:color w:val="0000EE"/>
            <w:u w:val="single"/>
          </w:rPr>
          <w:t>Dt 22.22</w:t>
        </w:r>
      </w:hyperlink>
      <w:r>
        <w:t xml:space="preserve">). O mesmo se aplica se a mulher for solteira, mas estiver noiva de outro homem, assumindo que ela não tenha sido estuprada (nesse caso, apenas o homem deve ser executado - </w:t>
      </w:r>
      <w:hyperlink r:id="rId458">
        <w:r>
          <w:rPr>
            <w:color w:val="0000EE"/>
            <w:u w:val="single"/>
          </w:rPr>
          <w:t>Dt 22.23–27</w:t>
        </w:r>
      </w:hyperlink>
      <w:r>
        <w:t>). O refrão "Você purificará a terra do mal" (</w:t>
      </w:r>
      <w:hyperlink r:id="rId459">
        <w:r>
          <w:rPr>
            <w:color w:val="0000EE"/>
            <w:u w:val="single"/>
          </w:rPr>
          <w:t>22.24</w:t>
        </w:r>
      </w:hyperlink>
      <w:r>
        <w:t>) mostra que o adultério era considerado uma séria ameaça à saúde da sociedade, não apenas um ataque à vida familiar das duas pessoas envolvidas.</w:t>
      </w:r>
    </w:p>
    <w:p>
      <w:r/>
      <w:r>
        <w:t>Com consequências tão sérias, era importante estabelecer a culpa além de qualquer dúvida. Em casos de séria suspeita, mas evidências insuficientes, a esposa em questão era submetida a um elaborado teste ritual que incluía prestar um juramento e beber água amarga. O resultado não era uma questão de acaso, pois ela estava diante do Senhor (</w:t>
      </w:r>
      <w:hyperlink r:id="rId15">
        <w:r>
          <w:rPr>
            <w:color w:val="0000EE"/>
            <w:u w:val="single"/>
          </w:rPr>
          <w:t>Nm 5.11–31</w:t>
        </w:r>
      </w:hyperlink>
      <w:r>
        <w:t>).</w:t>
      </w:r>
    </w:p>
    <w:p>
      <w:r/>
      <w:r>
        <w:t>Tanto no AT quanto no NT, a linguagem de adultério é usada figurativamente para descrever a infidelidade humana para com Deus. Os profetas do AT comparavam a relação de aliança de Deus com seu povo ao casamento (</w:t>
      </w:r>
      <w:hyperlink r:id="rId460">
        <w:r>
          <w:rPr>
            <w:color w:val="0000EE"/>
            <w:u w:val="single"/>
          </w:rPr>
          <w:t>Is 54.5–8</w:t>
        </w:r>
      </w:hyperlink>
      <w:r>
        <w:t xml:space="preserve">; cf. </w:t>
      </w:r>
      <w:hyperlink r:id="rId461">
        <w:r>
          <w:rPr>
            <w:color w:val="0000EE"/>
            <w:u w:val="single"/>
          </w:rPr>
          <w:t>Ap 21.2</w:t>
        </w:r>
      </w:hyperlink>
      <w:r>
        <w:t>), assim, aos olhos deles, a quebra dessa relação, especialmente pela idolatria, era equivalente a adultério espiritual (</w:t>
      </w:r>
      <w:hyperlink r:id="rId462">
        <w:r>
          <w:rPr>
            <w:color w:val="0000EE"/>
            <w:u w:val="single"/>
          </w:rPr>
          <w:t>Jr 5.7–8</w:t>
        </w:r>
      </w:hyperlink>
      <w:r>
        <w:t xml:space="preserve">; </w:t>
      </w:r>
      <w:hyperlink r:id="rId463">
        <w:r>
          <w:rPr>
            <w:color w:val="0000EE"/>
            <w:u w:val="single"/>
          </w:rPr>
          <w:t>13.22–27</w:t>
        </w:r>
      </w:hyperlink>
      <w:r>
        <w:t xml:space="preserve">; </w:t>
      </w:r>
      <w:hyperlink r:id="rId464">
        <w:r>
          <w:rPr>
            <w:color w:val="0000EE"/>
            <w:u w:val="single"/>
          </w:rPr>
          <w:t>Ez 23.37</w:t>
        </w:r>
      </w:hyperlink>
      <w:r>
        <w:t>).</w:t>
      </w:r>
    </w:p>
    <w:p>
      <w:r/>
      <w:r>
        <w:t>Jesus usou a mesma imagem para caracterizar aqueles que rejeitaram suas reivindicações ou mostraram sua falta de fé nele exigindo sinais extras desnecessários de sua divindade (</w:t>
      </w:r>
      <w:hyperlink r:id="rId465">
        <w:r>
          <w:rPr>
            <w:color w:val="0000EE"/>
            <w:u w:val="single"/>
          </w:rPr>
          <w:t>Mt 12.39</w:t>
        </w:r>
      </w:hyperlink>
      <w:r>
        <w:t xml:space="preserve">; </w:t>
      </w:r>
      <w:hyperlink r:id="rId466">
        <w:r>
          <w:rPr>
            <w:color w:val="0000EE"/>
            <w:u w:val="single"/>
          </w:rPr>
          <w:t>16.4</w:t>
        </w:r>
      </w:hyperlink>
      <w:r>
        <w:t xml:space="preserve">; </w:t>
      </w:r>
      <w:hyperlink r:id="rId467">
        <w:r>
          <w:rPr>
            <w:color w:val="0000EE"/>
            <w:u w:val="single"/>
          </w:rPr>
          <w:t>Mc 8.38</w:t>
        </w:r>
      </w:hyperlink>
      <w:r>
        <w:t>). E em outro trecho vívido do NT, Tiago descreve Deus como um marido amoroso e ciumento vindo lidar com seu povo adúltero que se tornou bom amigo do mundo e de seus falsos padrões (</w:t>
      </w:r>
      <w:hyperlink r:id="rId468">
        <w:r>
          <w:rPr>
            <w:color w:val="0000EE"/>
            <w:u w:val="single"/>
          </w:rPr>
          <w:t>Tg 4.4</w:t>
        </w:r>
      </w:hyperlink>
      <w:r>
        <w:t>).</w:t>
      </w:r>
    </w:p>
    <w:p>
      <w:r/>
      <w:r>
        <w:t>Este é o tema especial do profeta Oséias. Deus usou a própria experiência do profeta de um casamento quebrado por adultério para ensinar a seriedade da infidelidade do seu povo para com ele (</w:t>
      </w:r>
      <w:hyperlink r:id="rId469">
        <w:r>
          <w:rPr>
            <w:color w:val="0000EE"/>
            <w:u w:val="single"/>
          </w:rPr>
          <w:t>Os 2.2–6</w:t>
        </w:r>
      </w:hyperlink>
      <w:r>
        <w:t>) e seu intenso desejo por uma reconciliação completa (</w:t>
      </w:r>
      <w:hyperlink r:id="rId470">
        <w:r>
          <w:rPr>
            <w:color w:val="0000EE"/>
            <w:u w:val="single"/>
          </w:rPr>
          <w:t>3.1–5</w:t>
        </w:r>
      </w:hyperlink>
      <w:r>
        <w:t>). A infidelidade espiritual, assim como o adultério físico, traz o julgamento de Deus. Mas em ambos os casos, seu desejo avassalador é por um relacionamento restaurado após um arrependimento sincero (</w:t>
      </w:r>
      <w:hyperlink r:id="rId471">
        <w:r>
          <w:rPr>
            <w:color w:val="0000EE"/>
            <w:u w:val="single"/>
          </w:rPr>
          <w:t>Jr 3.1–14</w:t>
        </w:r>
      </w:hyperlink>
      <w:r>
        <w:t xml:space="preserve">; </w:t>
      </w:r>
      <w:hyperlink r:id="rId472">
        <w:r>
          <w:rPr>
            <w:color w:val="0000EE"/>
            <w:u w:val="single"/>
          </w:rPr>
          <w:t>Ez 16.1–63</w:t>
        </w:r>
      </w:hyperlink>
      <w:r>
        <w:t>).</w:t>
      </w:r>
    </w:p>
    <w:p>
      <w:r/>
      <w:r>
        <w:rPr>
          <w:i/>
        </w:rPr>
        <w:t>Veja também</w:t>
      </w:r>
      <w:r>
        <w:t xml:space="preserve"> </w:t>
      </w:r>
      <w:r>
        <w:t>Divórcio</w:t>
      </w:r>
      <w:r>
        <w:t xml:space="preserve">; </w:t>
      </w:r>
      <w:r>
        <w:t>Casamento, Costumes de casamento</w:t>
      </w:r>
      <w:r>
        <w:t xml:space="preserve">; </w:t>
      </w:r>
      <w:r>
        <w:t>Fornicação</w:t>
      </w:r>
      <w:r>
        <w:t>.</w:t>
      </w:r>
      <w:r/>
      <w:r/>
    </w:p>
    <w:p>
      <w:r/>
    </w:p>
    <w:p>
      <w:pPr>
        <w:pStyle w:val="Heading2"/>
      </w:pPr>
      <w:r>
        <w:t>Afeca</w:t>
      </w:r>
      <w:r/>
    </w:p>
    <w:p>
      <w:pPr>
        <w:pStyle w:val="ListNumber"/>
        <w:spacing w:line="240" w:lineRule="auto"/>
        <w:ind w:left="720"/>
      </w:pPr>
      <w:r/>
      <w:r>
        <w:t>Uma cidade cananeia a oeste do rio Jordão. Foi conquistada por Israel e mais tarde incluída no território de Efraim (</w:t>
      </w:r>
      <w:hyperlink r:id="rId473">
        <w:r>
          <w:rPr>
            <w:color w:val="0000EE"/>
            <w:u w:val="single"/>
          </w:rPr>
          <w:t>Js 12.18</w:t>
        </w:r>
      </w:hyperlink>
      <w:r>
        <w:t>). Estava localizada perto da nascente do rio Yarkon na planície de Sarom. Afeca foi posteriormente capturada pelos filisteus (</w:t>
      </w:r>
      <w:hyperlink r:id="rId474">
        <w:r>
          <w:rPr>
            <w:color w:val="0000EE"/>
            <w:u w:val="single"/>
          </w:rPr>
          <w:t>1Sm 4.1</w:t>
        </w:r>
      </w:hyperlink>
      <w:r>
        <w:t xml:space="preserve">; </w:t>
      </w:r>
      <w:hyperlink r:id="rId475">
        <w:r>
          <w:rPr>
            <w:color w:val="0000EE"/>
            <w:u w:val="single"/>
          </w:rPr>
          <w:t>29.1</w:t>
        </w:r>
      </w:hyperlink>
      <w:r>
        <w:t xml:space="preserve">). Nos tempos romanos, Herodes, o Grande, reconstruiu a cidade e a nomeou Antipátride. É mencionada em </w:t>
      </w:r>
      <w:hyperlink r:id="rId476">
        <w:r>
          <w:rPr>
            <w:color w:val="0000EE"/>
            <w:u w:val="single"/>
          </w:rPr>
          <w:t>Atos 23.31</w:t>
        </w:r>
      </w:hyperlink>
      <w:r>
        <w:t xml:space="preserve">. Seu nome moderno é Ras el-‘Ain. </w:t>
      </w:r>
      <w:r>
        <w:rPr>
          <w:i/>
        </w:rPr>
        <w:t>Veja também</w:t>
      </w:r>
      <w:r>
        <w:t xml:space="preserve"> </w:t>
      </w:r>
      <w:r>
        <w:t>Antipátride</w:t>
      </w:r>
      <w:r>
        <w:t>.</w:t>
      </w:r>
    </w:p>
    <w:p>
      <w:pPr>
        <w:pStyle w:val="ListNumber"/>
        <w:spacing w:line="240" w:lineRule="auto"/>
        <w:ind w:left="720"/>
      </w:pPr>
      <w:r/>
      <w:r>
        <w:t>Um lugar na Fenícia (atual Líbano). Permaneceu não conquistado após as campanhas de Josué (</w:t>
      </w:r>
      <w:hyperlink r:id="rId477">
        <w:r>
          <w:rPr>
            <w:color w:val="0000EE"/>
            <w:u w:val="single"/>
          </w:rPr>
          <w:t>Js 13.4</w:t>
        </w:r>
      </w:hyperlink>
      <w:r>
        <w:t>). Esta Afeca provavelmente estava localizada perto da nascente do rio Ibrahim, a leste de Biblos.</w:t>
      </w:r>
    </w:p>
    <w:p>
      <w:pPr>
        <w:pStyle w:val="ListNumber"/>
        <w:spacing w:line="240" w:lineRule="auto"/>
        <w:ind w:left="720"/>
      </w:pPr>
      <w:r/>
      <w:r>
        <w:t>Uma cidade dada à tribo de Aser na distribuição das cidades conquistadas (</w:t>
      </w:r>
      <w:hyperlink r:id="rId478">
        <w:r>
          <w:rPr>
            <w:color w:val="0000EE"/>
            <w:u w:val="single"/>
          </w:rPr>
          <w:t>Js 19.30</w:t>
        </w:r>
      </w:hyperlink>
      <w:r>
        <w:t>). A tribo de Aser não conseguiu expulsar os habitantes pagãos (</w:t>
      </w:r>
      <w:hyperlink r:id="rId258">
        <w:r>
          <w:rPr>
            <w:color w:val="0000EE"/>
            <w:u w:val="single"/>
          </w:rPr>
          <w:t>Jz 1.31</w:t>
        </w:r>
      </w:hyperlink>
      <w:r>
        <w:t>). Aqui algumas traduções traz o termo "Afeque". Afeca estava localizada na planície de Aco. Este é o local atual de Tell Kurdaneh, perto da nascente do rio Na'main.</w:t>
      </w:r>
    </w:p>
    <w:p>
      <w:pPr>
        <w:pStyle w:val="ListNumber"/>
        <w:spacing w:line="240" w:lineRule="auto"/>
        <w:ind w:left="720"/>
      </w:pPr>
      <w:r/>
      <w:r>
        <w:t>Uma cidade a leste do rio Jordão, localizada na estrada principal entre Damasco e o vale de Jezreel. O rei sírio Ben-Hadade foi derrotado pelo rei Acabe de Israel e recuou para Afeca. Lá, uma muralha que caiu destruiu o restante de seu exército (</w:t>
      </w:r>
      <w:hyperlink r:id="rId479">
        <w:r>
          <w:rPr>
            <w:color w:val="0000EE"/>
            <w:u w:val="single"/>
          </w:rPr>
          <w:t>1Rs 20.26,30</w:t>
        </w:r>
      </w:hyperlink>
      <w:r>
        <w:t>). Um século depois, Eliseu profetizou ao rei Joás de Israel que ele derrotaria os sírios na mesma cidade (</w:t>
      </w:r>
      <w:hyperlink r:id="rId480">
        <w:r>
          <w:rPr>
            <w:color w:val="0000EE"/>
            <w:u w:val="single"/>
          </w:rPr>
          <w:t>2Rs 13.17</w:t>
        </w:r>
      </w:hyperlink>
      <w:r>
        <w:t>).</w:t>
      </w:r>
      <w:r/>
      <w:r/>
    </w:p>
    <w:p>
      <w:r/>
    </w:p>
    <w:p>
      <w:pPr>
        <w:pStyle w:val="Heading2"/>
      </w:pPr>
      <w:r>
        <w:t>Ágabo</w:t>
      </w:r>
      <w:r/>
    </w:p>
    <w:p>
      <w:r/>
      <w:r>
        <w:t>Um profeta nos tempos do Novo Testamento. Ele fez duas predições registradas em Atos. Ele predisse corretamente uma grave fome, que aconteceu quando Cláudio era o Imperador de Roma (</w:t>
      </w:r>
      <w:hyperlink r:id="rId481">
        <w:r>
          <w:rPr>
            <w:color w:val="0000EE"/>
            <w:u w:val="single"/>
          </w:rPr>
          <w:t>At 11.27</w:t>
        </w:r>
      </w:hyperlink>
      <w:r>
        <w:t>–</w:t>
      </w:r>
      <w:hyperlink r:id="rId481">
        <w:r>
          <w:rPr>
            <w:color w:val="0000EE"/>
            <w:u w:val="single"/>
          </w:rPr>
          <w:t>28</w:t>
        </w:r>
      </w:hyperlink>
      <w:r>
        <w:t>). Ele também predisse que Paulo seria entregue aos gentios pelos judeus em Jerusalém se ele fosse para lá (</w:t>
      </w:r>
      <w:hyperlink r:id="rId482">
        <w:r>
          <w:rPr>
            <w:color w:val="0000EE"/>
            <w:u w:val="single"/>
          </w:rPr>
          <w:t>At 21.10</w:t>
        </w:r>
      </w:hyperlink>
      <w:r>
        <w:t>–</w:t>
      </w:r>
      <w:hyperlink r:id="rId482">
        <w:r>
          <w:rPr>
            <w:color w:val="0000EE"/>
            <w:u w:val="single"/>
          </w:rPr>
          <w:t>11</w:t>
        </w:r>
      </w:hyperlink>
      <w:r>
        <w:t>).</w:t>
      </w:r>
      <w:r/>
      <w:r/>
    </w:p>
    <w:p>
      <w:r/>
    </w:p>
    <w:p>
      <w:pPr>
        <w:pStyle w:val="Heading2"/>
      </w:pPr>
      <w:r>
        <w:t>Agague</w:t>
      </w:r>
      <w:r/>
    </w:p>
    <w:p>
      <w:pPr>
        <w:pStyle w:val="ListNumber"/>
        <w:spacing w:line="240" w:lineRule="auto"/>
        <w:ind w:left="720"/>
      </w:pPr>
      <w:r/>
      <w:r>
        <w:t>O nome de um rei amalequita. Pode ser um título geral para um rei amalequita, assim como o egípcio "Faraó". Balaão profetizou que o rei de Israel seria maior que Agague (</w:t>
      </w:r>
      <w:hyperlink r:id="rId483">
        <w:r>
          <w:rPr>
            <w:color w:val="0000EE"/>
            <w:u w:val="single"/>
          </w:rPr>
          <w:t>Nm 24.7</w:t>
        </w:r>
      </w:hyperlink>
      <w:r>
        <w:t>).</w:t>
      </w:r>
    </w:p>
    <w:p>
      <w:pPr>
        <w:pStyle w:val="ListNumber"/>
        <w:spacing w:line="240" w:lineRule="auto"/>
        <w:ind w:left="720"/>
      </w:pPr>
      <w:r/>
      <w:r>
        <w:t>O nome de outro rei amalequita. Deus disse a Samuel para enviar o Rei Saul para destruir todos os amalequitas, até a última ovelha. Saul os derrotou, mas poupou Agague, assim como as melhores ovelhas e bois dos amalequitas. Samuel então matou Agague e disse a Saul que sua desobediência significava que ele não poderia mais ser o rei de Israel (</w:t>
      </w:r>
      <w:hyperlink r:id="rId484">
        <w:r>
          <w:rPr>
            <w:color w:val="0000EE"/>
            <w:u w:val="single"/>
          </w:rPr>
          <w:t>1Sm 15</w:t>
        </w:r>
      </w:hyperlink>
      <w:r>
        <w:t>).</w:t>
      </w:r>
      <w:r/>
      <w:r/>
    </w:p>
    <w:p>
      <w:r/>
    </w:p>
    <w:p>
      <w:pPr>
        <w:pStyle w:val="Heading2"/>
      </w:pPr>
      <w:r>
        <w:t>Agar</w:t>
      </w:r>
      <w:r/>
    </w:p>
    <w:p>
      <w:r/>
      <w:r>
        <w:t>Uma serva do Egito que trabalhava para Sarai (mais tarde chamada Sara), a esposa de Abrão (mais tarde chamado Abraão). Abrão tomou Agar como sua concubina (uma segunda esposa com status inferior) porque Sarai insistiu que ele o fizesse. Agar tornou-se a mãe de Ismael, o primeiro filho de Abrão (</w:t>
      </w:r>
      <w:hyperlink r:id="rId485">
        <w:r>
          <w:rPr>
            <w:color w:val="0000EE"/>
            <w:u w:val="single"/>
          </w:rPr>
          <w:t>Gn 16.1–16</w:t>
        </w:r>
      </w:hyperlink>
      <w:r>
        <w:t xml:space="preserve">; </w:t>
      </w:r>
      <w:hyperlink r:id="rId486">
        <w:r>
          <w:rPr>
            <w:color w:val="0000EE"/>
            <w:u w:val="single"/>
          </w:rPr>
          <w:t>21.9</w:t>
        </w:r>
      </w:hyperlink>
      <w:hyperlink r:id="rId485">
        <w:r>
          <w:rPr>
            <w:color w:val="0000EE"/>
            <w:u w:val="single"/>
          </w:rPr>
          <w:t>-</w:t>
        </w:r>
      </w:hyperlink>
      <w:hyperlink r:id="rId486">
        <w:r>
          <w:rPr>
            <w:color w:val="0000EE"/>
            <w:u w:val="single"/>
          </w:rPr>
          <w:t>21</w:t>
        </w:r>
      </w:hyperlink>
      <w:r>
        <w:t>).</w:t>
      </w:r>
    </w:p>
    <w:p>
      <w:pPr>
        <w:pStyle w:val="Heading3"/>
      </w:pPr>
      <w:r>
        <w:t>A história de Agar</w:t>
      </w:r>
    </w:p>
    <w:p>
      <w:r/>
      <w:r>
        <w:t>Quando Deus ordenou a Abrão que deixasse a Mesopotâmia, Ele prometeu fazer de Abrão o pai de uma grande nação e dar aos seus filhos uma nova terra (</w:t>
      </w:r>
      <w:hyperlink r:id="rId487">
        <w:r>
          <w:rPr>
            <w:color w:val="0000EE"/>
            <w:u w:val="single"/>
          </w:rPr>
          <w:t>Gn 12.2,7</w:t>
        </w:r>
      </w:hyperlink>
      <w:r>
        <w:t xml:space="preserve">). Após dez anos em Canaã, Sarai e Abrão ainda não tinham filhos. Sarai sugeriu a Abrão que ele tomasse Agar como concubina e tivesse filhos com ela. Era costume no nordeste da Mesopotâmia que, se uma esposa não pudesse ter filhos, ela poderia dar ao marido uma escrava para esse propósito. Qualquer filho que a concubina desse à luz era considerado filho da esposa (cp. </w:t>
      </w:r>
      <w:hyperlink r:id="rId488">
        <w:r>
          <w:rPr>
            <w:color w:val="0000EE"/>
            <w:u w:val="single"/>
          </w:rPr>
          <w:t>30.1</w:t>
        </w:r>
      </w:hyperlink>
      <w:hyperlink r:id="rId485">
        <w:r>
          <w:rPr>
            <w:color w:val="0000EE"/>
            <w:u w:val="single"/>
          </w:rPr>
          <w:t>-</w:t>
        </w:r>
      </w:hyperlink>
      <w:hyperlink r:id="rId488">
        <w:r>
          <w:rPr>
            <w:color w:val="0000EE"/>
            <w:u w:val="single"/>
          </w:rPr>
          <w:t>6</w:t>
        </w:r>
      </w:hyperlink>
      <w:r>
        <w:t>).</w:t>
      </w:r>
    </w:p>
    <w:p>
      <w:r/>
      <w:r>
        <w:t>Quando Agar ficou grávida, ela começou a tratar Sarai com desrespeito. Sarai tornou-se muito severa com Agar, fazendo com que ela fugisse para o deserto. Um anjo de Deus apareceu a ela em um poço no deserto e disse a Agar para retornar à casa de Abrão. O anjo prometeu que ela teria um filho, Ismael (que significa "Deus ouve"). Este filho seria teimoso e frequentemente em conflito com os outros. Agar então nomeou o lugar Beer-lahai-roi, que significa "o poço de quem vê e vive".</w:t>
      </w:r>
    </w:p>
    <w:p>
      <w:r/>
      <w:r>
        <w:t>Ismael nasceu quando Abrão tinha 86 anos. Quatorze anos depois, Deus deu a Abraão e Sara o filho prometido, Isaque. Na época do desmame de Isaque (aproximadamente aos três anos de idade), foi realizada uma festa. Durante a festa de desmame, Ismael zombou de Isaque (</w:t>
      </w:r>
      <w:hyperlink r:id="rId489">
        <w:r>
          <w:rPr>
            <w:color w:val="0000EE"/>
            <w:u w:val="single"/>
          </w:rPr>
          <w:t>Gn 21.9</w:t>
        </w:r>
      </w:hyperlink>
      <w:r>
        <w:t xml:space="preserve">). Isso deixou Sara irritada. Então, ela pediu a Abraão que mandasse Agar e Ismael embora. Abraão não queria fazer isso a princípio, mas Deus falou com ele e disse para fazer o que Sara pediu (versículo </w:t>
      </w:r>
      <w:hyperlink r:id="rId490">
        <w:r>
          <w:rPr>
            <w:color w:val="0000EE"/>
            <w:u w:val="single"/>
          </w:rPr>
          <w:t>12</w:t>
        </w:r>
      </w:hyperlink>
      <w:r>
        <w:t>).</w:t>
      </w:r>
    </w:p>
    <w:p>
      <w:r/>
      <w:r>
        <w:t>Agar e Ismael então partiram e vagaram pelo deserto de Berseba. Quando não tinham mais água, Deus resgatou Agar e Ismael da morte. Deus prometeu a Agar que Ismael seria o pai de uma grande nação (</w:t>
      </w:r>
      <w:hyperlink r:id="rId491">
        <w:r>
          <w:rPr>
            <w:color w:val="0000EE"/>
            <w:u w:val="single"/>
          </w:rPr>
          <w:t>Gn 21.17</w:t>
        </w:r>
      </w:hyperlink>
      <w:hyperlink r:id="rId485">
        <w:r>
          <w:rPr>
            <w:color w:val="0000EE"/>
            <w:u w:val="single"/>
          </w:rPr>
          <w:t>-</w:t>
        </w:r>
      </w:hyperlink>
      <w:hyperlink r:id="rId491">
        <w:r>
          <w:rPr>
            <w:color w:val="0000EE"/>
            <w:u w:val="single"/>
          </w:rPr>
          <w:t>19</w:t>
        </w:r>
      </w:hyperlink>
      <w:r>
        <w:t>). Ismael viveu no deserto de Parã. Ele se tornou um caçador, casou-se com uma egípcia e se tornou o pai dos ismaelitas.</w:t>
      </w:r>
    </w:p>
    <w:p>
      <w:pPr>
        <w:pStyle w:val="Heading3"/>
      </w:pPr>
      <w:r>
        <w:t>O ensino de Paulo sobre Agar</w:t>
      </w:r>
    </w:p>
    <w:p>
      <w:r/>
      <w:r>
        <w:t>No Novo Testamento, Paulo usa a história de Agar para explicar uma importante verdade espiritual (</w:t>
      </w:r>
      <w:hyperlink r:id="rId492">
        <w:r>
          <w:rPr>
            <w:color w:val="0000EE"/>
            <w:u w:val="single"/>
          </w:rPr>
          <w:t>Gl 4.22</w:t>
        </w:r>
      </w:hyperlink>
      <w:hyperlink r:id="rId485">
        <w:r>
          <w:rPr>
            <w:color w:val="0000EE"/>
            <w:u w:val="single"/>
          </w:rPr>
          <w:t>-</w:t>
        </w:r>
      </w:hyperlink>
      <w:hyperlink r:id="rId492">
        <w:r>
          <w:rPr>
            <w:color w:val="0000EE"/>
            <w:u w:val="single"/>
          </w:rPr>
          <w:t>31</w:t>
        </w:r>
      </w:hyperlink>
      <w:r>
        <w:t>). Agar representa a antiga aliança que Deus fez com Moisés no Monte Sinai. Assim como Ismael nasceu através do planejamento humano, os cristãos judaizantes são como os filhos de Agar, nascidos na escravidão. Eles ensinavam que todos os crentes estavam obrigados a seguir a lei de Moisés e tinham que cumprir tudo o que ela dizia. Sara, a mulher livre, representa a nova aliança de Jesus Cristo. Assim como Isaque foi filho de Abraão pela fé na promessa de Deus, os cristãos que são livres da lei são filhos espirituais de Sara. O contraste é entre a salvação pelas obras, que é a escravidão à lei, e a salvação pela graça e fé, que é a liberdade.</w:t>
      </w:r>
    </w:p>
    <w:p>
      <w:r/>
      <w:r>
        <w:rPr>
          <w:i/>
        </w:rPr>
        <w:t>Veja também</w:t>
      </w:r>
      <w:r>
        <w:t xml:space="preserve"> </w:t>
      </w:r>
      <w:r>
        <w:t>Abraão</w:t>
      </w:r>
      <w:r>
        <w:t xml:space="preserve">; </w:t>
      </w:r>
      <w:r>
        <w:t>Sara #1</w:t>
      </w:r>
      <w:r>
        <w:t>.</w:t>
      </w:r>
      <w:r/>
      <w:r/>
    </w:p>
    <w:p>
      <w:r/>
    </w:p>
    <w:p>
      <w:pPr>
        <w:pStyle w:val="Heading2"/>
      </w:pPr>
      <w:r>
        <w:t>AGEU, Livro de</w:t>
      </w:r>
      <w:r/>
    </w:p>
    <w:p>
      <w:r/>
      <w:r>
        <w:t>O décimo livro em uma coleção de doze livros curtos no final do Antigo Testamento. Esses livros contêm mensagens dos profetas.</w:t>
      </w:r>
    </w:p>
    <w:p>
      <w:pPr>
        <w:pStyle w:val="Heading3"/>
      </w:pPr>
      <w:r>
        <w:t>Pré-visualização</w:t>
      </w:r>
    </w:p>
    <w:p>
      <w:pPr>
        <w:pStyle w:val="ListBullet"/>
        <w:spacing w:line="240" w:lineRule="auto"/>
        <w:ind w:left="720"/>
      </w:pPr>
      <w:r/>
      <w:r>
        <w:t>Quem escreveu o livro de Ageu? Quando foi escrito?</w:t>
      </w:r>
    </w:p>
    <w:p>
      <w:pPr>
        <w:pStyle w:val="ListBullet"/>
        <w:spacing w:line="240" w:lineRule="auto"/>
        <w:ind w:left="720"/>
      </w:pPr>
      <w:r/>
      <w:r>
        <w:t>Por que o livro de Ageu foi escrito?</w:t>
      </w:r>
    </w:p>
    <w:p>
      <w:pPr>
        <w:pStyle w:val="ListBullet"/>
        <w:spacing w:line="240" w:lineRule="auto"/>
        <w:ind w:left="720"/>
      </w:pPr>
      <w:r/>
      <w:r>
        <w:t>O que o livro de Ageu nos ensina?</w:t>
      </w:r>
    </w:p>
    <w:p>
      <w:pPr>
        <w:pStyle w:val="ListBullet"/>
        <w:spacing w:line="240" w:lineRule="auto"/>
        <w:ind w:left="720"/>
      </w:pPr>
      <w:r/>
      <w:r>
        <w:t>Qual é a mensagem do livro de Ageu?</w:t>
      </w:r>
    </w:p>
    <w:p>
      <w:pPr>
        <w:pStyle w:val="Heading3"/>
      </w:pPr>
      <w:r>
        <w:t>Quem escreveu o livro de Ageu? Quando foi escrito?</w:t>
      </w:r>
    </w:p>
    <w:p>
      <w:r/>
      <w:r>
        <w:t>Ageu era um dos colonos judeus em Jerusalém em 520 a.C. quando suas palavras proféticas foram registradas (</w:t>
      </w:r>
      <w:hyperlink r:id="rId493">
        <w:r>
          <w:rPr>
            <w:color w:val="0000EE"/>
            <w:u w:val="single"/>
          </w:rPr>
          <w:t>Ed 5.1–2</w:t>
        </w:r>
      </w:hyperlink>
      <w:r>
        <w:t xml:space="preserve">; </w:t>
      </w:r>
      <w:hyperlink r:id="rId494">
        <w:r>
          <w:rPr>
            <w:color w:val="0000EE"/>
            <w:u w:val="single"/>
          </w:rPr>
          <w:t>6.14</w:t>
        </w:r>
      </w:hyperlink>
      <w:r>
        <w:t>). O Senhor deu a Ageu quatro mensagens para pessoas específicas. A primeira mensagem foi para Zorobabel, o governador, e Josué, o sumo sacerdote (</w:t>
      </w:r>
      <w:hyperlink r:id="rId495">
        <w:r>
          <w:rPr>
            <w:color w:val="0000EE"/>
            <w:u w:val="single"/>
          </w:rPr>
          <w:t>Ag 1.1</w:t>
        </w:r>
      </w:hyperlink>
      <w:r>
        <w:t>). A segunda mensagem foi para Zorobabel, Josué e o restante do povo (</w:t>
      </w:r>
      <w:hyperlink r:id="rId496">
        <w:r>
          <w:rPr>
            <w:color w:val="0000EE"/>
            <w:u w:val="single"/>
          </w:rPr>
          <w:t>Ag 2.2</w:t>
        </w:r>
      </w:hyperlink>
      <w:r>
        <w:t>). A terceira mensagem foi para os sacerdotes (</w:t>
      </w:r>
      <w:hyperlink r:id="rId497">
        <w:r>
          <w:rPr>
            <w:color w:val="0000EE"/>
            <w:u w:val="single"/>
          </w:rPr>
          <w:t>Ag 2.11</w:t>
        </w:r>
      </w:hyperlink>
      <w:r>
        <w:t>). A mensagem final foi apenas para Zorobabel (</w:t>
      </w:r>
      <w:hyperlink r:id="rId498">
        <w:r>
          <w:rPr>
            <w:color w:val="0000EE"/>
            <w:u w:val="single"/>
          </w:rPr>
          <w:t>Ag 2.21</w:t>
        </w:r>
      </w:hyperlink>
      <w:r>
        <w:t>).</w:t>
      </w:r>
    </w:p>
    <w:p>
      <w:pPr>
        <w:pStyle w:val="Heading3"/>
      </w:pPr>
      <w:r>
        <w:t>Qual foi o propósito do livro de Ageu?</w:t>
      </w:r>
    </w:p>
    <w:p>
      <w:r/>
      <w:r>
        <w:t>A frase-chave nas profecias de Ageu é “Considerem cuidadosamente os seus caminhos” ou “Considerem” (</w:t>
      </w:r>
      <w:hyperlink r:id="rId499">
        <w:r>
          <w:rPr>
            <w:color w:val="0000EE"/>
            <w:u w:val="single"/>
          </w:rPr>
          <w:t>Ag 1.5,7</w:t>
        </w:r>
      </w:hyperlink>
      <w:r>
        <w:t xml:space="preserve">; </w:t>
      </w:r>
      <w:hyperlink r:id="rId500">
        <w:r>
          <w:rPr>
            <w:color w:val="0000EE"/>
            <w:u w:val="single"/>
          </w:rPr>
          <w:t>2.15,18</w:t>
        </w:r>
      </w:hyperlink>
      <w:r>
        <w:t>). Deus enviou mensagens para ajudar os líderes e o povo judeu a entenderem que haviam negligenciado seus deveres para com Deus. Havia dois grupos que precisavam mudar: verdadeiros crentes que haviam parado de seguir os mandamentos de Deus, e pessoas que seguiam Deus apenas por recompensas.</w:t>
      </w:r>
    </w:p>
    <w:p>
      <w:r/>
      <w:r>
        <w:t>Os verdadeiros crentes precisavam de um lembrete da misericórdia de Deus. Eles podiam corrigir a situação, mesmo que achassem que os pecados de seus ancestrais eram imperdoáveis. As pessoas que fingiam ser fiéis entre os judeus só queriam as bênçãos que Deus prometeu. Eles substituíram uma forma de idolatria por outra. Quando Deus não os abençoou, sentiram-se desapontados.</w:t>
      </w:r>
    </w:p>
    <w:p>
      <w:r/>
      <w:r>
        <w:t>A principal mensagem era que o hoje não prevê o que Deus fará amanhã. Você não pode julgar o cumprimento das promessas de Deus pelas aparências. A mensagem de Ageu tinha duas partes: correção e encorajamento. Os colonos precisavam ser repreendidos por sua falta de preocupação e confortados durante suas dificuldades.</w:t>
      </w:r>
    </w:p>
    <w:p>
      <w:pPr>
        <w:pStyle w:val="Heading3"/>
      </w:pPr>
      <w:r>
        <w:t>O que o Livro de Ageu nos ensina?</w:t>
      </w:r>
    </w:p>
    <w:p>
      <w:r/>
      <w:r>
        <w:t>Ageu é um livro prático sobre servir a Deus. Quando o povo de Deus adia o seu trabalho ou deixa de se importar com ele, isso causa danos. Isso aconteceu muitas vezes ao longo da história. Deus valoriza quando as pessoas agem prontamente e levam a sua obra a sério (</w:t>
      </w:r>
      <w:hyperlink r:id="rId501">
        <w:r>
          <w:rPr>
            <w:color w:val="0000EE"/>
            <w:u w:val="single"/>
          </w:rPr>
          <w:t>Rm 13.11–14</w:t>
        </w:r>
      </w:hyperlink>
      <w:r>
        <w:t>).</w:t>
      </w:r>
    </w:p>
    <w:p>
      <w:r/>
      <w:r>
        <w:t>A presença de Deus inspira coragem e ajuda as pessoas a não se sentirem desencorajadas (</w:t>
      </w:r>
      <w:hyperlink r:id="rId502">
        <w:r>
          <w:rPr>
            <w:color w:val="0000EE"/>
            <w:u w:val="single"/>
          </w:rPr>
          <w:t>Mt 28.19–20</w:t>
        </w:r>
      </w:hyperlink>
      <w:r>
        <w:t xml:space="preserve">; </w:t>
      </w:r>
      <w:hyperlink r:id="rId503">
        <w:r>
          <w:rPr>
            <w:color w:val="0000EE"/>
            <w:u w:val="single"/>
          </w:rPr>
          <w:t>Ef 3.8–21</w:t>
        </w:r>
      </w:hyperlink>
      <w:r>
        <w:t xml:space="preserve">; </w:t>
      </w:r>
      <w:hyperlink r:id="rId504">
        <w:r>
          <w:rPr>
            <w:color w:val="0000EE"/>
            <w:u w:val="single"/>
          </w:rPr>
          <w:t>Hb 13.5–6</w:t>
        </w:r>
      </w:hyperlink>
      <w:r>
        <w:t>).</w:t>
      </w:r>
    </w:p>
    <w:p>
      <w:r/>
      <w:r>
        <w:t>Todos os crentes devem se separar de influências negativas e do pecado (</w:t>
      </w:r>
      <w:hyperlink r:id="rId505">
        <w:r>
          <w:rPr>
            <w:color w:val="0000EE"/>
            <w:u w:val="single"/>
          </w:rPr>
          <w:t>2Co 6.14–7.1</w:t>
        </w:r>
      </w:hyperlink>
      <w:r>
        <w:t>). Sem viver dessa forma, um crente não pode estar pronto para o serviço de Deus (</w:t>
      </w:r>
      <w:hyperlink r:id="rId506">
        <w:r>
          <w:rPr>
            <w:color w:val="0000EE"/>
            <w:u w:val="single"/>
          </w:rPr>
          <w:t>2Tm 2.19–26</w:t>
        </w:r>
      </w:hyperlink>
      <w:r>
        <w:t>). Um filho desobediente de Deus pode esperar perder bênçãos e ser disciplinado por Deus (</w:t>
      </w:r>
      <w:hyperlink r:id="rId507">
        <w:r>
          <w:rPr>
            <w:color w:val="0000EE"/>
            <w:u w:val="single"/>
          </w:rPr>
          <w:t>Hb 12.3–13</w:t>
        </w:r>
      </w:hyperlink>
      <w:r>
        <w:t xml:space="preserve">; </w:t>
      </w:r>
      <w:hyperlink r:id="rId508">
        <w:r>
          <w:rPr>
            <w:color w:val="0000EE"/>
            <w:u w:val="single"/>
          </w:rPr>
          <w:t>Tg 4.1–3</w:t>
        </w:r>
      </w:hyperlink>
      <w:r>
        <w:t>).</w:t>
      </w:r>
    </w:p>
    <w:p>
      <w:r/>
      <w:r>
        <w:t>A mensagem sobre o julgamento de Deus sobre o pecado e a criação do reino messiânico traz esperança para os crentes do Novo Testamento e para os judeus no tempo de Ageu (</w:t>
      </w:r>
      <w:hyperlink r:id="rId509">
        <w:r>
          <w:rPr>
            <w:color w:val="0000EE"/>
            <w:u w:val="single"/>
          </w:rPr>
          <w:t>Rm 15.4–13</w:t>
        </w:r>
      </w:hyperlink>
      <w:r>
        <w:t xml:space="preserve">; </w:t>
      </w:r>
      <w:hyperlink r:id="rId510">
        <w:r>
          <w:rPr>
            <w:color w:val="0000EE"/>
            <w:u w:val="single"/>
          </w:rPr>
          <w:t>2Pe 3.10–18</w:t>
        </w:r>
      </w:hyperlink>
      <w:r>
        <w:t>).</w:t>
      </w:r>
    </w:p>
    <w:p>
      <w:r/>
      <w:r>
        <w:t xml:space="preserve">A frase-chave em Ageu "considerem os seus caminhos" é semelhante às mensagens em </w:t>
      </w:r>
      <w:hyperlink r:id="rId511">
        <w:r>
          <w:rPr>
            <w:color w:val="0000EE"/>
            <w:u w:val="single"/>
          </w:rPr>
          <w:t>1Co 11.28</w:t>
        </w:r>
      </w:hyperlink>
      <w:r>
        <w:t xml:space="preserve"> e </w:t>
      </w:r>
      <w:hyperlink r:id="rId512">
        <w:r>
          <w:rPr>
            <w:color w:val="0000EE"/>
            <w:u w:val="single"/>
          </w:rPr>
          <w:t>2Co 13.5</w:t>
        </w:r>
      </w:hyperlink>
      <w:r>
        <w:t xml:space="preserve">. Seus escritos também discutem o impacto do pecado e as bênçãos de Deus, como visto em </w:t>
      </w:r>
      <w:hyperlink r:id="rId513">
        <w:r>
          <w:rPr>
            <w:color w:val="0000EE"/>
            <w:u w:val="single"/>
          </w:rPr>
          <w:t>Jd 1.1–25</w:t>
        </w:r>
      </w:hyperlink>
      <w:r>
        <w:t>.</w:t>
      </w:r>
    </w:p>
    <w:p>
      <w:r/>
      <w:r>
        <w:t>No livro de Ageu, Deus é chamado de "Senhor dos Exércitos" ou "Senhor Todo-poderoso" 14 vezes. Este título é comum nos livros proféticos escritos após o exílio para Babilônia, incluindo Ageu, Zacarias e Malaquias. Este título é usado mais de 80 vezes. Ele demonstra que Deus é todo-poderoso e governa sobre todos os seres espirituais no céu e todas as criaturas na terra.</w:t>
      </w:r>
    </w:p>
    <w:p>
      <w:r/>
      <w:r>
        <w:t>Ageu demonstra que as Escrituras são inspiradas por Deus e possuem autoridade divina. O profeta afirma repetidamente que Deus falou com ele e é a fonte dessas mensagens, mencionando isso pelo menos 25 vezes em 28 versículos.</w:t>
      </w:r>
    </w:p>
    <w:p>
      <w:pPr>
        <w:pStyle w:val="Heading3"/>
      </w:pPr>
      <w:r>
        <w:t>Qual é a mensagem do livro de Ageu?</w:t>
      </w:r>
    </w:p>
    <w:p>
      <w:pPr>
        <w:pStyle w:val="Heading4"/>
      </w:pPr>
      <w:r>
        <w:t>Mensagem inicial</w:t>
      </w:r>
    </w:p>
    <w:p>
      <w:r/>
      <w:r>
        <w:t>Ageu recebeu sua primeira mensagem para os judeus no primeiro dia do mês (</w:t>
      </w:r>
      <w:hyperlink r:id="rId495">
        <w:r>
          <w:rPr>
            <w:color w:val="0000EE"/>
            <w:u w:val="single"/>
          </w:rPr>
          <w:t>Ag 1.1</w:t>
        </w:r>
      </w:hyperlink>
      <w:r>
        <w:t>). Neste dia, os judeus deveriam trazer ofertas especiais ao santuário (</w:t>
      </w:r>
      <w:hyperlink r:id="rId514">
        <w:r>
          <w:rPr>
            <w:color w:val="0000EE"/>
            <w:u w:val="single"/>
          </w:rPr>
          <w:t>Nm 28.11–15</w:t>
        </w:r>
      </w:hyperlink>
      <w:r>
        <w:t>). Deus escolheu este momento importante para revelar o pecado do povo relacionado ao santuário inacabado.</w:t>
      </w:r>
    </w:p>
    <w:p>
      <w:r/>
      <w:r>
        <w:t>O Senhor primeiramente se dirigiu aos líderes dos judeus (</w:t>
      </w:r>
      <w:hyperlink r:id="rId495">
        <w:r>
          <w:rPr>
            <w:color w:val="0000EE"/>
            <w:u w:val="single"/>
          </w:rPr>
          <w:t>Ag 1.1</w:t>
        </w:r>
      </w:hyperlink>
      <w:r>
        <w:t>). Zorobabel era o governador, e Josué era o sumo sacerdote. Juntos, eles eram responsáveis pelas ações do povo de Deus.</w:t>
      </w:r>
    </w:p>
    <w:p>
      <w:r/>
      <w:r>
        <w:t>A palavra do Senhor revelou a procrastinação do povo (</w:t>
      </w:r>
      <w:hyperlink r:id="rId515">
        <w:r>
          <w:rPr>
            <w:color w:val="0000EE"/>
            <w:u w:val="single"/>
          </w:rPr>
          <w:t>Ag 1.2</w:t>
        </w:r>
      </w:hyperlink>
      <w:r>
        <w:t>). Eles não haviam terminado o templo de Deus porque decidiram: "Ainda não chegou o tempo." O povo usou sua energia e dinheiro de forma egoísta para suas próprias casas (</w:t>
      </w:r>
      <w:hyperlink r:id="rId516">
        <w:r>
          <w:rPr>
            <w:color w:val="0000EE"/>
            <w:u w:val="single"/>
          </w:rPr>
          <w:t>Ag 1.4</w:t>
        </w:r>
      </w:hyperlink>
      <w:r>
        <w:t>).</w:t>
      </w:r>
    </w:p>
    <w:p>
      <w:r/>
      <w:r>
        <w:t>“Agora” (</w:t>
      </w:r>
      <w:hyperlink r:id="rId517">
        <w:r>
          <w:rPr>
            <w:color w:val="0000EE"/>
            <w:u w:val="single"/>
          </w:rPr>
          <w:t>Ag 1.5</w:t>
        </w:r>
      </w:hyperlink>
      <w:r>
        <w:t>) os judeus deviam prestar atenção ao que Deus queria que eles fizessem, porque haviam parado de se importar com a obra dele. Eles precisavam refletir sobre seu estado espiritual e material: “Considerem cuidadosamente os seus caminhos”. Esta frase-chave nas profecias de Ageu significa literalmente “Coloquem seu coração nos seus caminhos” ou “Levem seus caminhos ao seu coração.” Ao analisarem suas ações, veriam que seus atrasos na reconstrução lhes trouxeram muitos problemas, não apenas tempo desperdiçado (16 anos).</w:t>
      </w:r>
    </w:p>
    <w:p>
      <w:r/>
      <w:hyperlink r:id="rId518">
        <w:r>
          <w:rPr>
            <w:color w:val="0000EE"/>
            <w:u w:val="single"/>
          </w:rPr>
          <w:t>Ag 1.6</w:t>
        </w:r>
      </w:hyperlink>
      <w:r>
        <w:t xml:space="preserve"> mostra a pobreza que os judeus enfrentaram devido ao castigo de Deus por seu pecado. Deus retirou suas bênçãos de acordo com a sua aliança (veja </w:t>
      </w:r>
      <w:hyperlink r:id="rId519">
        <w:r>
          <w:rPr>
            <w:color w:val="0000EE"/>
            <w:u w:val="single"/>
          </w:rPr>
          <w:t>Dt 28.15–29.1</w:t>
        </w:r>
      </w:hyperlink>
      <w:r>
        <w:t>).</w:t>
      </w:r>
    </w:p>
    <w:p>
      <w:r/>
      <w:r>
        <w:t>Depois de instá-los novamente a "considerar" seus caminhos (</w:t>
      </w:r>
      <w:hyperlink r:id="rId520">
        <w:r>
          <w:rPr>
            <w:color w:val="0000EE"/>
            <w:u w:val="single"/>
          </w:rPr>
          <w:t>Ag 1.7</w:t>
        </w:r>
      </w:hyperlink>
      <w:r>
        <w:t>), o Senhor revelou a solução para o estado amaldiçoado dos judeus: "construam a casa" (</w:t>
      </w:r>
      <w:hyperlink r:id="rId521">
        <w:r>
          <w:rPr>
            <w:color w:val="0000EE"/>
            <w:u w:val="single"/>
          </w:rPr>
          <w:t>Ag 1.8</w:t>
        </w:r>
      </w:hyperlink>
      <w:r>
        <w:t>). O fracasso deles em completar o templo causou sua pobreza (</w:t>
      </w:r>
      <w:hyperlink r:id="rId522">
        <w:r>
          <w:rPr>
            <w:color w:val="0000EE"/>
            <w:u w:val="single"/>
          </w:rPr>
          <w:t>Ag 1.9–11</w:t>
        </w:r>
      </w:hyperlink>
      <w:r>
        <w:t>).</w:t>
      </w:r>
    </w:p>
    <w:p>
      <w:r/>
      <w:r>
        <w:t>Os líderes e o povo responderam positivamente. Reiniciar a construção do templo demonstrou sua crença na palavra de Deus (</w:t>
      </w:r>
      <w:hyperlink r:id="rId523">
        <w:r>
          <w:rPr>
            <w:color w:val="0000EE"/>
            <w:u w:val="single"/>
          </w:rPr>
          <w:t>Ag 1.12</w:t>
        </w:r>
      </w:hyperlink>
      <w:r>
        <w:t>). Sua rápida obediência também mostrou que aceitaram o papel de Ageu como "o mensageiro do Senhor" entregando "a mensagem do Senhor" (</w:t>
      </w:r>
      <w:hyperlink r:id="rId524">
        <w:r>
          <w:rPr>
            <w:color w:val="0000EE"/>
            <w:u w:val="single"/>
          </w:rPr>
          <w:t>Ag 1.13</w:t>
        </w:r>
      </w:hyperlink>
      <w:r>
        <w:t>).</w:t>
      </w:r>
    </w:p>
    <w:p>
      <w:pPr>
        <w:pStyle w:val="Heading4"/>
      </w:pPr>
      <w:r>
        <w:t>Segunda mensagem</w:t>
      </w:r>
    </w:p>
    <w:p>
      <w:r/>
      <w:r>
        <w:t>Cerca de um mês depois, o Senhor chamou Ageu novamente (</w:t>
      </w:r>
      <w:hyperlink r:id="rId525">
        <w:r>
          <w:rPr>
            <w:color w:val="0000EE"/>
            <w:u w:val="single"/>
          </w:rPr>
          <w:t>Ag 2.1</w:t>
        </w:r>
      </w:hyperlink>
      <w:r>
        <w:t>). A segunda mensagem continuou a encorajar, assim como a primeira terminou. Os construtores poderiam ter começado a sentir a pressão de seu trabalho. Velhas dúvidas e desânimos poderiam ter perturbado sua fé novamente. Inimigos haviam retornado para causar problemas (</w:t>
      </w:r>
      <w:hyperlink r:id="rId526">
        <w:r>
          <w:rPr>
            <w:color w:val="0000EE"/>
            <w:u w:val="single"/>
          </w:rPr>
          <w:t>Ed 5.3–6.12</w:t>
        </w:r>
      </w:hyperlink>
      <w:r>
        <w:t>). A segunda mensagem de Ageu foi como a afirmação de Esdras de que "o olho de seu Deus estava sobre os anciãos dos judeus" (</w:t>
      </w:r>
      <w:hyperlink r:id="rId527">
        <w:r>
          <w:rPr>
            <w:color w:val="0000EE"/>
            <w:u w:val="single"/>
          </w:rPr>
          <w:t>Ed 5.5</w:t>
        </w:r>
      </w:hyperlink>
      <w:r>
        <w:t>). O Senhor não apenas vê as necessidades de seus servos, mas também envia ajuda e encorajamento.</w:t>
      </w:r>
    </w:p>
    <w:p>
      <w:r/>
      <w:r>
        <w:t>A segunda mensagem veio no último dia da Festa dos Tabernáculos (</w:t>
      </w:r>
      <w:hyperlink r:id="rId528">
        <w:r>
          <w:rPr>
            <w:color w:val="0000EE"/>
            <w:u w:val="single"/>
          </w:rPr>
          <w:t>Lv 23.33–43</w:t>
        </w:r>
      </w:hyperlink>
      <w:r>
        <w:t>). Esta lembrança da presença de Deus com seus antepassados no deserto pode ter tornado a situação atual deles mais desanimadora. Então, o Senhor falou a todos, não apenas aos líderes (</w:t>
      </w:r>
      <w:hyperlink r:id="rId496">
        <w:r>
          <w:rPr>
            <w:color w:val="0000EE"/>
            <w:u w:val="single"/>
          </w:rPr>
          <w:t>Ag 2.2</w:t>
        </w:r>
      </w:hyperlink>
      <w:r>
        <w:t>).</w:t>
      </w:r>
    </w:p>
    <w:p>
      <w:r/>
      <w:r>
        <w:t>Havia alguém de antes do exílio que tinha visto a glória de Deus no templo de Salomão (</w:t>
      </w:r>
      <w:hyperlink r:id="rId529">
        <w:r>
          <w:rPr>
            <w:color w:val="0000EE"/>
            <w:u w:val="single"/>
          </w:rPr>
          <w:t>1Rs 8.1–11</w:t>
        </w:r>
      </w:hyperlink>
      <w:r>
        <w:t xml:space="preserve">; </w:t>
      </w:r>
      <w:hyperlink r:id="rId530">
        <w:r>
          <w:rPr>
            <w:color w:val="0000EE"/>
            <w:u w:val="single"/>
          </w:rPr>
          <w:t>Ez 9.1–11.23</w:t>
        </w:r>
      </w:hyperlink>
      <w:r>
        <w:t>)? O templo atual era insignificante em comparação (</w:t>
      </w:r>
      <w:hyperlink r:id="rId531">
        <w:r>
          <w:rPr>
            <w:color w:val="0000EE"/>
            <w:u w:val="single"/>
          </w:rPr>
          <w:t>Ag 2.3</w:t>
        </w:r>
      </w:hyperlink>
      <w:r>
        <w:t>)? O Talmude Babilônico (um texto importante da lei e tradição judaica) mencionou cinco coisas que estavam ausentes no novo templo que estavam no templo de Salomão:</w:t>
      </w:r>
    </w:p>
    <w:p>
      <w:pPr>
        <w:pStyle w:val="ListNumber"/>
        <w:spacing w:line="240" w:lineRule="auto"/>
        <w:ind w:left="720"/>
      </w:pPr>
      <w:r/>
      <w:r>
        <w:t>A Arca da Aliança</w:t>
      </w:r>
    </w:p>
    <w:p>
      <w:pPr>
        <w:pStyle w:val="ListNumber"/>
        <w:spacing w:line="240" w:lineRule="auto"/>
        <w:ind w:left="720"/>
      </w:pPr>
      <w:r/>
      <w:r>
        <w:t>O fogo sagrado</w:t>
      </w:r>
    </w:p>
    <w:p>
      <w:pPr>
        <w:pStyle w:val="ListNumber"/>
        <w:spacing w:line="240" w:lineRule="auto"/>
        <w:ind w:left="720"/>
      </w:pPr>
      <w:r/>
      <w:r>
        <w:t>A glória Shekinah</w:t>
      </w:r>
    </w:p>
    <w:p>
      <w:pPr>
        <w:pStyle w:val="ListNumber"/>
        <w:spacing w:line="240" w:lineRule="auto"/>
        <w:ind w:left="720"/>
      </w:pPr>
      <w:r/>
      <w:r>
        <w:t>O Espírito Santo</w:t>
      </w:r>
    </w:p>
    <w:p>
      <w:pPr>
        <w:pStyle w:val="ListNumber"/>
        <w:spacing w:line="240" w:lineRule="auto"/>
        <w:ind w:left="720"/>
      </w:pPr>
      <w:r/>
      <w:r>
        <w:t>O Urim e Tumim</w:t>
      </w:r>
    </w:p>
    <w:p>
      <w:r/>
      <w:r>
        <w:t>A palavra "agora" destaca a solução de Deus. O comando "seja forte" é repetido três vezes (</w:t>
      </w:r>
      <w:hyperlink r:id="rId532">
        <w:r>
          <w:rPr>
            <w:color w:val="0000EE"/>
            <w:u w:val="single"/>
          </w:rPr>
          <w:t>Ag 2.4</w:t>
        </w:r>
      </w:hyperlink>
      <w:r>
        <w:t>). Cada vez, ele se dirige a um destinatário da mensagem de Deus (</w:t>
      </w:r>
      <w:hyperlink r:id="rId496">
        <w:r>
          <w:rPr>
            <w:color w:val="0000EE"/>
            <w:u w:val="single"/>
          </w:rPr>
          <w:t>Ag 2.2</w:t>
        </w:r>
      </w:hyperlink>
      <w:r>
        <w:t>). O comando final foi "trabalhe". A razão para sua força e ação era a presença de Deus. O Espírito Santo pode parecer ausente do templo, mas ele permaneceria com o povo: "Esta é a promessa que fiz a vocês" (</w:t>
      </w:r>
      <w:hyperlink r:id="rId533">
        <w:r>
          <w:rPr>
            <w:color w:val="0000EE"/>
            <w:u w:val="single"/>
          </w:rPr>
          <w:t>Ag 2.5</w:t>
        </w:r>
      </w:hyperlink>
      <w:r>
        <w:t>).</w:t>
      </w:r>
    </w:p>
    <w:p>
      <w:r/>
      <w:r>
        <w:t>Para motivar ainda mais os trabalhadores, Deus revelou a futura glória de Sua casa (</w:t>
      </w:r>
      <w:hyperlink r:id="rId534">
        <w:r>
          <w:rPr>
            <w:color w:val="0000EE"/>
            <w:u w:val="single"/>
          </w:rPr>
          <w:t>Os 2.6–9</w:t>
        </w:r>
      </w:hyperlink>
      <w:r>
        <w:t>). Esta glória apareceria após um período de julgamento (</w:t>
      </w:r>
      <w:hyperlink r:id="rId535">
        <w:r>
          <w:rPr>
            <w:color w:val="0000EE"/>
            <w:u w:val="single"/>
          </w:rPr>
          <w:t>Ag 2.6–7a</w:t>
        </w:r>
      </w:hyperlink>
      <w:r>
        <w:t>) quando os tesouros de todas as nações chegassem (</w:t>
      </w:r>
      <w:hyperlink r:id="rId536">
        <w:r>
          <w:rPr>
            <w:color w:val="0000EE"/>
            <w:u w:val="single"/>
          </w:rPr>
          <w:t>Ag 2.7b</w:t>
        </w:r>
      </w:hyperlink>
      <w:r>
        <w:t>). O significado exato deste versículo tem diferentes interpretações. As visões se concentram em duas traduções:</w:t>
      </w:r>
    </w:p>
    <w:p>
      <w:pPr>
        <w:pStyle w:val="ListNumber"/>
        <w:spacing w:line="240" w:lineRule="auto"/>
        <w:ind w:left="720"/>
      </w:pPr>
      <w:r/>
      <w:r>
        <w:t>"</w:t>
      </w:r>
      <w:r>
        <w:t>e virá o Desejado de todas as nações</w:t>
      </w:r>
      <w:r>
        <w:t>" (ARC)</w:t>
      </w:r>
    </w:p>
    <w:p>
      <w:pPr>
        <w:pStyle w:val="ListNumber"/>
        <w:spacing w:line="240" w:lineRule="auto"/>
        <w:ind w:left="720"/>
      </w:pPr>
      <w:r/>
      <w:r>
        <w:t>"e as suas riquezas serão trazidas para o meu Templo" (NTLH)</w:t>
      </w:r>
    </w:p>
    <w:p>
      <w:r/>
      <w:r>
        <w:t>Os argumentos para a interpretação messiânica com base na primeira tradução podem ser resumidos da seguinte forma:</w:t>
      </w:r>
    </w:p>
    <w:p>
      <w:pPr>
        <w:pStyle w:val="ListNumber"/>
        <w:spacing w:line="240" w:lineRule="auto"/>
        <w:ind w:left="720"/>
      </w:pPr>
      <w:r/>
      <w:r>
        <w:t>A maioria dos intérpretes cristãos e judeus vê essa frase como uma referência ao Messias (o escolhido de Deus).</w:t>
      </w:r>
    </w:p>
    <w:p>
      <w:pPr>
        <w:pStyle w:val="ListNumber"/>
        <w:spacing w:line="240" w:lineRule="auto"/>
        <w:ind w:left="720"/>
      </w:pPr>
      <w:r/>
      <w:r>
        <w:t>O substantivo abstrato "desejo" pode significar aquilo ou aquele que é desejável.</w:t>
      </w:r>
    </w:p>
    <w:p>
      <w:pPr>
        <w:pStyle w:val="ListNumber"/>
        <w:spacing w:line="240" w:lineRule="auto"/>
        <w:ind w:left="720"/>
      </w:pPr>
      <w:r/>
      <w:r>
        <w:t>Embora o verbo hebraico esteja no plural, ele pode concordar com o segundo substantivo "nações" em uma relação genitiva (mostrando posse ou associação próxima).</w:t>
      </w:r>
    </w:p>
    <w:p>
      <w:pPr>
        <w:pStyle w:val="ListNumber"/>
        <w:spacing w:line="240" w:lineRule="auto"/>
        <w:ind w:left="720"/>
      </w:pPr>
      <w:r/>
      <w:r>
        <w:t>O momento é adequado porque Deus acabou de julgar as nações, e a vinda de Cristo está próxima.</w:t>
      </w:r>
    </w:p>
    <w:p>
      <w:pPr>
        <w:pStyle w:val="ListNumber"/>
        <w:spacing w:line="240" w:lineRule="auto"/>
        <w:ind w:left="720"/>
      </w:pPr>
      <w:r/>
      <w:r>
        <w:t>Uma tradução alternativa aborda as questões gramaticais, mas mantém o significado messiânico: "Elas [as nações] alcançaram o desejo de todas as nações".</w:t>
      </w:r>
    </w:p>
    <w:p>
      <w:r/>
      <w:r>
        <w:t>Apesar dos fortes argumentos a favor da primeira visão, a tradução e a perspectiva do segundo parecem melhores. As razões são:</w:t>
      </w:r>
    </w:p>
    <w:p>
      <w:pPr>
        <w:pStyle w:val="ListNumber"/>
        <w:spacing w:line="240" w:lineRule="auto"/>
        <w:ind w:left="720"/>
      </w:pPr>
      <w:r/>
      <w:r>
        <w:t>A maioria dos primeiros intérpretes cristãos e judeus dependia da tradução da Vulgata Latina, que foi escrita por volta de 400 d.C., enquanto a tradução da Septuaginta Grega data de cerca de 300 a.C..</w:t>
      </w:r>
    </w:p>
    <w:p>
      <w:pPr>
        <w:pStyle w:val="ListNumber"/>
        <w:spacing w:line="240" w:lineRule="auto"/>
        <w:ind w:left="720"/>
      </w:pPr>
      <w:r/>
      <w:r>
        <w:t>O singular "desejo" pode ser um substantivo coletivo para "características" ou "riqueza".</w:t>
      </w:r>
    </w:p>
    <w:p>
      <w:pPr>
        <w:pStyle w:val="ListNumber"/>
        <w:spacing w:line="240" w:lineRule="auto"/>
        <w:ind w:left="720"/>
      </w:pPr>
      <w:r/>
      <w:r>
        <w:t>A gramática hebraica permite que o substantivo "nações" concorde com o verbo, mas isso é raro em livros poéticos. É improvável que Ageu usasse tal expressão sem explicá-la claramente no contexto.</w:t>
      </w:r>
    </w:p>
    <w:p>
      <w:pPr>
        <w:pStyle w:val="ListNumber"/>
        <w:spacing w:line="240" w:lineRule="auto"/>
        <w:ind w:left="720"/>
      </w:pPr>
      <w:r/>
      <w:r>
        <w:t>O contexto imediato esclarece ao afirmar que a prata e o ouro pertencem ao Senhor (</w:t>
      </w:r>
      <w:hyperlink r:id="rId537">
        <w:r>
          <w:rPr>
            <w:color w:val="0000EE"/>
            <w:u w:val="single"/>
          </w:rPr>
          <w:t>2.8</w:t>
        </w:r>
      </w:hyperlink>
      <w:r>
        <w:t>).</w:t>
      </w:r>
    </w:p>
    <w:p>
      <w:pPr>
        <w:pStyle w:val="ListNumber"/>
        <w:spacing w:line="240" w:lineRule="auto"/>
        <w:ind w:left="720"/>
      </w:pPr>
      <w:r/>
      <w:r>
        <w:t xml:space="preserve">O contexto do reino nesses versículos se alinha bem com passagens semelhantes como </w:t>
      </w:r>
      <w:hyperlink r:id="rId538">
        <w:r>
          <w:rPr>
            <w:color w:val="0000EE"/>
            <w:u w:val="single"/>
          </w:rPr>
          <w:t>Is 60.5,11</w:t>
        </w:r>
      </w:hyperlink>
      <w:r>
        <w:t xml:space="preserve"> e </w:t>
      </w:r>
      <w:hyperlink r:id="rId539">
        <w:r>
          <w:rPr>
            <w:color w:val="0000EE"/>
            <w:u w:val="single"/>
          </w:rPr>
          <w:t>Ap 21.24</w:t>
        </w:r>
      </w:hyperlink>
      <w:r>
        <w:t>.</w:t>
      </w:r>
    </w:p>
    <w:p>
      <w:r/>
      <w:r>
        <w:t>A mensagem de encorajamento conclui que a glória do futuro templo superará a do templo de Salomão. A presença divina retornará, e o edifício será muito bonito. Deus também trará paz ao Seu reino durante esse período do futuro templo glorioso.</w:t>
      </w:r>
    </w:p>
    <w:p>
      <w:pPr>
        <w:pStyle w:val="Heading4"/>
      </w:pPr>
      <w:r>
        <w:t>Mensagem três</w:t>
      </w:r>
    </w:p>
    <w:p>
      <w:r/>
      <w:r>
        <w:t>Cerca de dois meses depois, Ageu recebeu uma terceira mensagem de Deus (</w:t>
      </w:r>
      <w:hyperlink r:id="rId540">
        <w:r>
          <w:rPr>
            <w:color w:val="0000EE"/>
            <w:u w:val="single"/>
          </w:rPr>
          <w:t>Ag 2.10</w:t>
        </w:r>
      </w:hyperlink>
      <w:r>
        <w:t>). Esta mensagem focava em encorajamento e era direcionada apenas aos sacerdotes (</w:t>
      </w:r>
      <w:hyperlink r:id="rId497">
        <w:r>
          <w:rPr>
            <w:color w:val="0000EE"/>
            <w:u w:val="single"/>
          </w:rPr>
          <w:t>Ag 2.11</w:t>
        </w:r>
      </w:hyperlink>
      <w:r>
        <w:t>). Ageu fez perguntas sobre a lei de Moisés para ensinar os sacerdotes sobre como o pecado pode contaminar. Algo limpo ou sagrado não pode tornar outra coisa sagrada (</w:t>
      </w:r>
      <w:hyperlink r:id="rId541">
        <w:r>
          <w:rPr>
            <w:color w:val="0000EE"/>
            <w:u w:val="single"/>
          </w:rPr>
          <w:t>Ag 2.12</w:t>
        </w:r>
      </w:hyperlink>
      <w:r>
        <w:t xml:space="preserve">). No entanto, algo impuro </w:t>
      </w:r>
      <w:r>
        <w:rPr>
          <w:i/>
        </w:rPr>
        <w:t>pode</w:t>
      </w:r>
      <w:r>
        <w:t xml:space="preserve"> tornar algo limpo impuro (</w:t>
      </w:r>
      <w:hyperlink r:id="rId542">
        <w:r>
          <w:rPr>
            <w:color w:val="0000EE"/>
            <w:u w:val="single"/>
          </w:rPr>
          <w:t>Ag 2.13</w:t>
        </w:r>
      </w:hyperlink>
      <w:r>
        <w:t xml:space="preserve">; veja também </w:t>
      </w:r>
      <w:hyperlink r:id="rId543">
        <w:r>
          <w:rPr>
            <w:color w:val="0000EE"/>
            <w:u w:val="single"/>
          </w:rPr>
          <w:t>Lv 22.4–6</w:t>
        </w:r>
      </w:hyperlink>
      <w:r>
        <w:t xml:space="preserve">; </w:t>
      </w:r>
      <w:hyperlink r:id="rId544">
        <w:r>
          <w:rPr>
            <w:color w:val="0000EE"/>
            <w:u w:val="single"/>
          </w:rPr>
          <w:t>Nm 19.11</w:t>
        </w:r>
      </w:hyperlink>
      <w:r>
        <w:t>).</w:t>
      </w:r>
    </w:p>
    <w:p>
      <w:r/>
      <w:r>
        <w:t>Este princípio era claro para os judeus: Deus não aceitava suas ofertas durante a desobediência deles porque Judá estava impuro (</w:t>
      </w:r>
      <w:hyperlink r:id="rId545">
        <w:r>
          <w:rPr>
            <w:color w:val="0000EE"/>
            <w:u w:val="single"/>
          </w:rPr>
          <w:t>Ag 2.14</w:t>
        </w:r>
      </w:hyperlink>
      <w:r>
        <w:t>).</w:t>
      </w:r>
    </w:p>
    <w:p>
      <w:r/>
      <w:r>
        <w:t>Ao lembrá-los da desobediência e punição passadas, Deus instou os judeus a sempre pensarem sobre (</w:t>
      </w:r>
      <w:hyperlink r:id="rId500">
        <w:r>
          <w:rPr>
            <w:color w:val="0000EE"/>
            <w:u w:val="single"/>
          </w:rPr>
          <w:t>Ag 2.15,18</w:t>
        </w:r>
      </w:hyperlink>
      <w:r>
        <w:t>) as consequências da desobediência. Essa reflexão deve prevenir a indiferença espiritual futura. A mensagem concluiu com um lembrete da bênção de Deus sobre aqueles que obedecem (</w:t>
      </w:r>
      <w:hyperlink r:id="rId546">
        <w:r>
          <w:rPr>
            <w:color w:val="0000EE"/>
            <w:u w:val="single"/>
          </w:rPr>
          <w:t>Ag 2.19</w:t>
        </w:r>
      </w:hyperlink>
      <w:r>
        <w:t>).</w:t>
      </w:r>
    </w:p>
    <w:p>
      <w:pPr>
        <w:pStyle w:val="Heading4"/>
      </w:pPr>
      <w:r>
        <w:t>Quarta mensagem</w:t>
      </w:r>
    </w:p>
    <w:p>
      <w:r/>
      <w:r>
        <w:t>No mesmo dia, Ageu recebeu outra mensagem de Deus (</w:t>
      </w:r>
      <w:hyperlink r:id="rId547">
        <w:r>
          <w:rPr>
            <w:color w:val="0000EE"/>
            <w:u w:val="single"/>
          </w:rPr>
          <w:t>Ag 2.20</w:t>
        </w:r>
      </w:hyperlink>
      <w:r>
        <w:t>). Esta mensagem era para Zorobabel (</w:t>
      </w:r>
      <w:hyperlink r:id="rId498">
        <w:r>
          <w:rPr>
            <w:color w:val="0000EE"/>
            <w:u w:val="single"/>
          </w:rPr>
          <w:t>Ag 2.21</w:t>
        </w:r>
      </w:hyperlink>
      <w:r>
        <w:t xml:space="preserve">), que deveria ser encorajado pela natureza duradoura de sua posição davídica herdada (veja </w:t>
      </w:r>
      <w:hyperlink r:id="rId495">
        <w:r>
          <w:rPr>
            <w:color w:val="0000EE"/>
            <w:u w:val="single"/>
          </w:rPr>
          <w:t>Ag 1.1</w:t>
        </w:r>
      </w:hyperlink>
      <w:r>
        <w:t xml:space="preserve">; </w:t>
      </w:r>
      <w:hyperlink r:id="rId548">
        <w:r>
          <w:rPr>
            <w:color w:val="0000EE"/>
            <w:u w:val="single"/>
          </w:rPr>
          <w:t>2Sm 7.4–17</w:t>
        </w:r>
      </w:hyperlink>
      <w:r>
        <w:t xml:space="preserve">; </w:t>
      </w:r>
      <w:hyperlink r:id="rId549">
        <w:r>
          <w:rPr>
            <w:color w:val="0000EE"/>
            <w:u w:val="single"/>
          </w:rPr>
          <w:t>1Cr 3.1,5,10,17–20</w:t>
        </w:r>
      </w:hyperlink>
      <w:r>
        <w:t>). As nações gentias enfrentariam julgamento, e os reinos do mundo seriam derrubados (</w:t>
      </w:r>
      <w:hyperlink r:id="rId550">
        <w:r>
          <w:rPr>
            <w:color w:val="0000EE"/>
            <w:u w:val="single"/>
          </w:rPr>
          <w:t>Ag 2.6–7,21–22</w:t>
        </w:r>
      </w:hyperlink>
      <w:r>
        <w:t xml:space="preserve">). Isso prepararia para o governo de Deus (veja </w:t>
      </w:r>
      <w:hyperlink r:id="rId551">
        <w:r>
          <w:rPr>
            <w:color w:val="0000EE"/>
            <w:u w:val="single"/>
          </w:rPr>
          <w:t>Ap 11.15–18</w:t>
        </w:r>
      </w:hyperlink>
      <w:r>
        <w:t>).</w:t>
      </w:r>
    </w:p>
    <w:p>
      <w:r/>
      <w:r>
        <w:t xml:space="preserve">A promessa a Zorobabel em </w:t>
      </w:r>
      <w:hyperlink r:id="rId552">
        <w:r>
          <w:rPr>
            <w:color w:val="0000EE"/>
            <w:u w:val="single"/>
          </w:rPr>
          <w:t>Ag 2.23</w:t>
        </w:r>
      </w:hyperlink>
      <w:r>
        <w:t xml:space="preserve"> mostrou que as promessas de Deus a Davi ainda eram válidas após o cativeiro babilônico de 70 anos e a pausa de 16 anos entre os judeus que retornaram a Jerusalém. Deus nomeou Zorobabel "Meu anel de sinete". Um sinete era um selo pessoal, como um anel ou cilindro, usado para mostrar a autenticidade de uma assinatura. Os reis os usavam para identificar seus decretos (</w:t>
      </w:r>
      <w:hyperlink r:id="rId553">
        <w:r>
          <w:rPr>
            <w:color w:val="0000EE"/>
            <w:u w:val="single"/>
          </w:rPr>
          <w:t>Et 3.10</w:t>
        </w:r>
      </w:hyperlink>
      <w:r>
        <w:t xml:space="preserve">; </w:t>
      </w:r>
      <w:hyperlink r:id="rId554">
        <w:r>
          <w:rPr>
            <w:color w:val="0000EE"/>
            <w:u w:val="single"/>
          </w:rPr>
          <w:t>8.8–10</w:t>
        </w:r>
      </w:hyperlink>
      <w:r>
        <w:t>) e para confirmar a autoridade de seus representantes (</w:t>
      </w:r>
      <w:hyperlink r:id="rId555">
        <w:r>
          <w:rPr>
            <w:color w:val="0000EE"/>
            <w:u w:val="single"/>
          </w:rPr>
          <w:t>Gn 41.42</w:t>
        </w:r>
      </w:hyperlink>
      <w:r>
        <w:t xml:space="preserve">). Ao nomear Zorobabel como "um anel de sinete" Deus quis dizer que Zorobabel seria o selo de autoridade de Deus na continuação da linhagem davídica, da qual o Messias viria e reinaria (veja </w:t>
      </w:r>
      <w:hyperlink r:id="rId556">
        <w:r>
          <w:rPr>
            <w:color w:val="0000EE"/>
            <w:u w:val="single"/>
          </w:rPr>
          <w:t>Mt 1.12</w:t>
        </w:r>
      </w:hyperlink>
      <w:r>
        <w:t xml:space="preserve">; </w:t>
      </w:r>
      <w:hyperlink r:id="rId557">
        <w:r>
          <w:rPr>
            <w:color w:val="0000EE"/>
            <w:u w:val="single"/>
          </w:rPr>
          <w:t>Lc 3.27</w:t>
        </w:r>
      </w:hyperlink>
      <w:r>
        <w:t>).</w:t>
      </w:r>
    </w:p>
    <w:p>
      <w:r/>
      <w:r>
        <w:rPr>
          <w:i/>
        </w:rPr>
        <w:t>Veja também</w:t>
      </w:r>
      <w:r>
        <w:t xml:space="preserve"> </w:t>
      </w:r>
      <w:r>
        <w:t>Ageu (pessoa)</w:t>
      </w:r>
      <w:r>
        <w:t xml:space="preserve">; </w:t>
      </w:r>
      <w:r>
        <w:t>Israel, História</w:t>
      </w:r>
      <w:r>
        <w:t xml:space="preserve">; </w:t>
      </w:r>
      <w:r>
        <w:t>Período Pós-exílico</w:t>
      </w:r>
      <w:r>
        <w:t xml:space="preserve">; </w:t>
      </w:r>
      <w:r>
        <w:t>Profecia</w:t>
      </w:r>
      <w:r>
        <w:t xml:space="preserve">; </w:t>
      </w:r>
      <w:r>
        <w:t>Profeta, Profetisa</w:t>
      </w:r>
      <w:r>
        <w:t>.</w:t>
      </w:r>
      <w:r/>
      <w:r/>
    </w:p>
    <w:p>
      <w:r/>
    </w:p>
    <w:p>
      <w:pPr>
        <w:pStyle w:val="Heading2"/>
      </w:pPr>
      <w:r>
        <w:t>Agricultura</w:t>
      </w:r>
      <w:r/>
    </w:p>
    <w:p>
      <w:r/>
      <w:r>
        <w:t>Nos tempos bíblicos, a agricultura na Palestina era organizada em três formas principais, semelhante ao que ocorre hoje. O foco em cada tipo de agricultura variava com base no desenvolvimento social e tecnológico da sociedade.</w:t>
      </w:r>
    </w:p>
    <w:p>
      <w:pPr>
        <w:pStyle w:val="Heading3"/>
      </w:pPr>
      <w:r>
        <w:t>Resumo</w:t>
      </w:r>
    </w:p>
    <w:p>
      <w:r/>
      <w:r>
        <w:t>• Pastoreio</w:t>
      </w:r>
    </w:p>
    <w:p>
      <w:r/>
      <w:r>
        <w:t>• Cultivo no campo</w:t>
      </w:r>
    </w:p>
    <w:p>
      <w:r/>
      <w:r>
        <w:t>• Cultivo de frutas</w:t>
      </w:r>
    </w:p>
    <w:p>
      <w:r/>
      <w:r>
        <w:t>• Cultivo</w:t>
      </w:r>
    </w:p>
    <w:p>
      <w:r/>
      <w:r>
        <w:t>• Colheita</w:t>
      </w:r>
    </w:p>
    <w:p>
      <w:pPr>
        <w:pStyle w:val="Heading3"/>
      </w:pPr>
      <w:r>
        <w:t>Pastoreio</w:t>
      </w:r>
    </w:p>
    <w:p>
      <w:r/>
      <w:r>
        <w:t>Criar gado é um dos primeiros trabalhos mencionados na Bíblia. Abel (</w:t>
      </w:r>
      <w:hyperlink r:id="rId40">
        <w:r>
          <w:rPr>
            <w:color w:val="0000EE"/>
            <w:u w:val="single"/>
          </w:rPr>
          <w:t>Gn 4.2</w:t>
        </w:r>
      </w:hyperlink>
      <w:r>
        <w:t>) e Jabal (</w:t>
      </w:r>
      <w:hyperlink r:id="rId558">
        <w:r>
          <w:rPr>
            <w:color w:val="0000EE"/>
            <w:u w:val="single"/>
          </w:rPr>
          <w:t>Gn 4.20</w:t>
        </w:r>
      </w:hyperlink>
      <w:r>
        <w:t>) eram pastores ou criadores de gado. Este trabalho se adequava ao seu estilo de vida seminômade (movendo-se de um lugar para outro), fornecendo tanto alimento quanto vestuário com apenas técnicas e equipamentos básicos.</w:t>
      </w:r>
    </w:p>
    <w:p>
      <w:r/>
      <w:r>
        <w:t>Os patriarcas Abraão, Isaque e Jacó eram principalmente pastores, cuidando de suas ovelhas e gado em terras comuns e geralmente não cultivando o solo. Jacó e seus filhos vieram para o Egito como pastores (</w:t>
      </w:r>
      <w:hyperlink r:id="rId559">
        <w:r>
          <w:rPr>
            <w:color w:val="0000EE"/>
            <w:u w:val="single"/>
          </w:rPr>
          <w:t>Gn 47.3</w:t>
        </w:r>
      </w:hyperlink>
      <w:r>
        <w:t>). Mais tarde, esse modo de vida continuou entre as tribos de Rúben, Gade e a meia tribo de Manassés em Transjordânia (</w:t>
      </w:r>
      <w:hyperlink r:id="rId560">
        <w:r>
          <w:rPr>
            <w:color w:val="0000EE"/>
            <w:u w:val="single"/>
          </w:rPr>
          <w:t>Nm 32.1</w:t>
        </w:r>
      </w:hyperlink>
      <w:r>
        <w:t>), assim como em algumas tribos que viviam nas colinas ocidentais da Palestina (</w:t>
      </w:r>
      <w:hyperlink r:id="rId561">
        <w:r>
          <w:rPr>
            <w:color w:val="0000EE"/>
            <w:u w:val="single"/>
          </w:rPr>
          <w:t>1Sm 25.2</w:t>
        </w:r>
      </w:hyperlink>
      <w:r>
        <w:t>). Mesmo após se estabelecerem, a criação de animais permaneceu parte da vida hebraica porque os animais podiam pastar em terras menos produtivas e devido a práticas tradicionais, incluindo os sacrifícios feitos no templo.</w:t>
      </w:r>
    </w:p>
    <w:p>
      <w:pPr>
        <w:pStyle w:val="Heading3"/>
      </w:pPr>
      <w:r>
        <w:t>Cultivo no campo</w:t>
      </w:r>
    </w:p>
    <w:p>
      <w:r/>
      <w:r>
        <w:t>A maioria dos especialistas acredita que os israelitas aprenderam a cultivar com os cananeus, pois estavam em contato com eles quando se estabeleceram na Terra Prometida. Embora se saiba que o cultivo de grãos existia antes disso, com Caim sendo um agricultor ou "lavrador da terra" (</w:t>
      </w:r>
      <w:hyperlink r:id="rId40">
        <w:r>
          <w:rPr>
            <w:color w:val="0000EE"/>
            <w:u w:val="single"/>
          </w:rPr>
          <w:t>Gn. 4.2</w:t>
        </w:r>
      </w:hyperlink>
      <w:r>
        <w:t>), não está claro o que exatamente ele cultivava. Arqueólogos encontraram evidências de cultivo de grãos datando de cerca de 6800 a.C. no Oriente Próximo. Isaque semeou grãos em Gerar (</w:t>
      </w:r>
      <w:hyperlink r:id="rId562">
        <w:r>
          <w:rPr>
            <w:color w:val="0000EE"/>
            <w:u w:val="single"/>
          </w:rPr>
          <w:t>Gn 26.12</w:t>
        </w:r>
      </w:hyperlink>
      <w:r>
        <w:t>), e José sonhou com feixes de grãos (</w:t>
      </w:r>
      <w:hyperlink r:id="rId563">
        <w:r>
          <w:rPr>
            <w:color w:val="0000EE"/>
            <w:u w:val="single"/>
          </w:rPr>
          <w:t>Gn 37.6</w:t>
        </w:r>
      </w:hyperlink>
      <w:r>
        <w:t>–</w:t>
      </w:r>
      <w:hyperlink r:id="rId563">
        <w:r>
          <w:rPr>
            <w:color w:val="0000EE"/>
            <w:u w:val="single"/>
          </w:rPr>
          <w:t>7</w:t>
        </w:r>
      </w:hyperlink>
      <w:r>
        <w:t>). José provavelmente aprendeu mais sobre o cultivo de grãos com os egípcios, que os cultivavam nos solos ricos do Nilo.</w:t>
      </w:r>
    </w:p>
    <w:p>
      <w:r/>
      <w:r>
        <w:t>No entanto, foram os cananeus que ensinaram os israelitas a cultivar grãos. Josué e Calebe relataram a produtividade de Canaã em Cades-Barneia (</w:t>
      </w:r>
      <w:hyperlink r:id="rId564">
        <w:r>
          <w:rPr>
            <w:color w:val="0000EE"/>
            <w:u w:val="single"/>
          </w:rPr>
          <w:t>Nn 13.26</w:t>
        </w:r>
      </w:hyperlink>
      <w:r>
        <w:t>), e os cananeus conquistados provavelmente ajudaram seus conquistadores a aprender técnicas agrícolas. Essa interação pode ter contribuído para as repetidas recaídas dos israelitas na idolatria (</w:t>
      </w:r>
      <w:hyperlink r:id="rId565">
        <w:r>
          <w:rPr>
            <w:color w:val="0000EE"/>
            <w:u w:val="single"/>
          </w:rPr>
          <w:t>Jz 9.27</w:t>
        </w:r>
      </w:hyperlink>
      <w:r>
        <w:t>). A rapidez com que eles fizeram a transição de um estilo de vida nômade não está clara. Algumas tribos permaneceram nômades, mas na época dos reis, muitos israelitas estavam cultivando a terra (</w:t>
      </w:r>
      <w:hyperlink r:id="rId566">
        <w:r>
          <w:rPr>
            <w:color w:val="0000EE"/>
            <w:u w:val="single"/>
          </w:rPr>
          <w:t>2Sm 14.30</w:t>
        </w:r>
      </w:hyperlink>
      <w:r>
        <w:t>).</w:t>
      </w:r>
    </w:p>
    <w:p>
      <w:r/>
      <w:r>
        <w:t>O trigo era uma das culturas mais importantes. Salomão enviou grandes quantidades de trigo, junto com cevada e óleo, para Hirão (</w:t>
      </w:r>
      <w:hyperlink r:id="rId567">
        <w:r>
          <w:rPr>
            <w:color w:val="0000EE"/>
            <w:u w:val="single"/>
          </w:rPr>
          <w:t>2Cr 2.10</w:t>
        </w:r>
      </w:hyperlink>
      <w:r>
        <w:t>), e continuou a ser uma grande exportação (</w:t>
      </w:r>
      <w:hyperlink r:id="rId568">
        <w:r>
          <w:rPr>
            <w:color w:val="0000EE"/>
            <w:u w:val="single"/>
          </w:rPr>
          <w:t>Ez 27.17</w:t>
        </w:r>
      </w:hyperlink>
      <w:r>
        <w:t>). A cevada era a segunda cultura mais importante. Foi o principal ingrediente do pão no início (</w:t>
      </w:r>
      <w:hyperlink r:id="rId569">
        <w:r>
          <w:rPr>
            <w:color w:val="0000EE"/>
            <w:u w:val="single"/>
          </w:rPr>
          <w:t>Jz 7.13</w:t>
        </w:r>
      </w:hyperlink>
      <w:r>
        <w:t>). Mais tarde, tornou-se um alimento significativo para pessoas mais pobres (</w:t>
      </w:r>
      <w:hyperlink r:id="rId570">
        <w:r>
          <w:rPr>
            <w:color w:val="0000EE"/>
            <w:u w:val="single"/>
          </w:rPr>
          <w:t>Jo. 6.9,13</w:t>
        </w:r>
      </w:hyperlink>
      <w:r>
        <w:t>). Também era usada como ração para gado.</w:t>
      </w:r>
    </w:p>
    <w:p>
      <w:r/>
      <w:r>
        <w:t>Outras culturas de campo incluíam feijões e lentilhas (</w:t>
      </w:r>
      <w:hyperlink r:id="rId571">
        <w:r>
          <w:rPr>
            <w:color w:val="0000EE"/>
            <w:u w:val="single"/>
          </w:rPr>
          <w:t>2Sm 17.28</w:t>
        </w:r>
      </w:hyperlink>
      <w:r>
        <w:t>), que eram moídos em farinha e às vezes usados para fazer pão (</w:t>
      </w:r>
      <w:hyperlink r:id="rId572">
        <w:r>
          <w:rPr>
            <w:color w:val="0000EE"/>
            <w:u w:val="single"/>
          </w:rPr>
          <w:t>Ez 4.9</w:t>
        </w:r>
      </w:hyperlink>
      <w:r>
        <w:t>). Alho-poró, alho e cebolas eram cultivados para dar sabor, enquanto cominho, coentro, endro, hortelã, arruda e mostarda eram usados como especiarias. O linho era importante (</w:t>
      </w:r>
      <w:hyperlink r:id="rId573">
        <w:r>
          <w:rPr>
            <w:color w:val="0000EE"/>
            <w:u w:val="single"/>
          </w:rPr>
          <w:t>Js 2.6</w:t>
        </w:r>
      </w:hyperlink>
      <w:r>
        <w:t>). Algodão era cultivado em pequena escala (</w:t>
      </w:r>
      <w:hyperlink r:id="rId574">
        <w:r>
          <w:rPr>
            <w:color w:val="0000EE"/>
            <w:u w:val="single"/>
          </w:rPr>
          <w:t>Is 19.9</w:t>
        </w:r>
      </w:hyperlink>
      <w:r>
        <w:t>). A lã era usada para complementar o fornecimento de fibras. Na época romana, o algodão havia se tornado mais importante do que o linho.</w:t>
      </w:r>
    </w:p>
    <w:p>
      <w:pPr>
        <w:pStyle w:val="Heading3"/>
      </w:pPr>
      <w:r>
        <w:t>Cultivo de frutas</w:t>
      </w:r>
    </w:p>
    <w:p>
      <w:r/>
      <w:r>
        <w:t>Depois que os israelitas se estabeleceram, começaram a plantar pomares e vinhedos, que se tornaram símbolos de prosperidade. Os vinhedos produziam vinho para beber, enquanto os olivais forneciam óleo usado na culinária, cosméticos e medicina. Eles também cultivavam figos e romãs. Cultivar essas culturas exigia mais habilidade e equipamentos em comparação com as práticas agrícolas anteriores.</w:t>
      </w:r>
    </w:p>
    <w:p>
      <w:pPr>
        <w:pStyle w:val="Heading3"/>
      </w:pPr>
      <w:r>
        <w:t>Cultivo</w:t>
      </w:r>
    </w:p>
    <w:p>
      <w:r/>
      <w:r>
        <w:t>Ao longo dos tempos bíblicos, grande parte do trabalho agrícola era realizado pelos próprios agricultores. Para começar a plantar, eles precisavam limpar a terra de florestas (</w:t>
      </w:r>
      <w:hyperlink r:id="rId575">
        <w:r>
          <w:rPr>
            <w:color w:val="0000EE"/>
            <w:u w:val="single"/>
          </w:rPr>
          <w:t>Js 17.18</w:t>
        </w:r>
      </w:hyperlink>
      <w:r>
        <w:t>), pedras (</w:t>
      </w:r>
      <w:hyperlink r:id="rId576">
        <w:r>
          <w:rPr>
            <w:color w:val="0000EE"/>
            <w:u w:val="single"/>
          </w:rPr>
          <w:t>Is 5.2</w:t>
        </w:r>
      </w:hyperlink>
      <w:r>
        <w:t>), ervas daninhas e espinhos. Às vezes, eles faziam terraços em terrenos montanhosos ou usavam irrigação. Essas tarefas limitavam o tamanho das fazendas, então apenas indivíduos ricos como Jó e Boaz podiam ter grandes propriedades.</w:t>
      </w:r>
    </w:p>
    <w:p>
      <w:r/>
      <w:r>
        <w:t>Para arar a terra, os agricultores usavam bois ou vacas para puxar arados muito básicos (</w:t>
      </w:r>
      <w:hyperlink r:id="rId577">
        <w:r>
          <w:rPr>
            <w:color w:val="0000EE"/>
            <w:u w:val="single"/>
          </w:rPr>
          <w:t>Jz 14.18</w:t>
        </w:r>
      </w:hyperlink>
      <w:r>
        <w:t xml:space="preserve">; </w:t>
      </w:r>
      <w:hyperlink r:id="rId209">
        <w:r>
          <w:rPr>
            <w:color w:val="0000EE"/>
            <w:u w:val="single"/>
          </w:rPr>
          <w:t>Am 6.12</w:t>
        </w:r>
      </w:hyperlink>
      <w:r>
        <w:t>). Ocasionalmente, burros eram usados (</w:t>
      </w:r>
      <w:hyperlink r:id="rId578">
        <w:r>
          <w:rPr>
            <w:color w:val="0000EE"/>
            <w:u w:val="single"/>
          </w:rPr>
          <w:t>Dt 22.10</w:t>
        </w:r>
      </w:hyperlink>
      <w:r>
        <w:t>). Eles quebravam torrões com uma enxada ou aguilhada e alisavam a superfície arrastando uma grade simples, que poderia ser um arbusto espinhoso ou uma prancha de pedra. As sementes eram semeadas à mão, cuidadosamente em sulcos ou espalhadas sobre a superfície e depois levemente cobertas com a grade ou prancha de pedra. As ervas daninhas eram controladas com o arado, a grade ou a enxada.</w:t>
      </w:r>
    </w:p>
    <w:p>
      <w:r/>
      <w:r>
        <w:t>As ferramentas agrícolas mudaram pouco durante os tempos bíblicos. O arado era uma simples peça de madeira dura em forma de J, presa aos bois em uma extremidade e segurada pelo condutor na outra. Esta ferramenta básica só conseguia romper de 10 a 13 centímetros de solo. Após o Êxodo, o ferro foi usado para a ponta do arado (</w:t>
      </w:r>
      <w:hyperlink r:id="rId579">
        <w:r>
          <w:rPr>
            <w:color w:val="0000EE"/>
            <w:u w:val="single"/>
          </w:rPr>
          <w:t>1Sm 13.20</w:t>
        </w:r>
      </w:hyperlink>
      <w:r>
        <w:t>), o que ajudou a reduzir principalmente o desgaste.</w:t>
      </w:r>
    </w:p>
    <w:p>
      <w:r/>
      <w:r>
        <w:t>O uso de fertilizantes era muito limitado nas fazendas palestinas. A lei exigia que os campos permanecessem em pouso a cada sétimo ano para ajudar a repor a água e os nutrientes do solo. A adubação dos campos era incomum porque o esterco era usado principalmente como combustível. No entanto, a Bíblia menciona algum uso de esterco ao redor das árvores (</w:t>
      </w:r>
      <w:hyperlink r:id="rId580">
        <w:r>
          <w:rPr>
            <w:color w:val="0000EE"/>
            <w:u w:val="single"/>
          </w:rPr>
          <w:t>Lc 13.8</w:t>
        </w:r>
      </w:hyperlink>
      <w:r>
        <w:t>). A Mishná observa o uso de cinzas de madeira, folhas, sangue animal e escória de óleo como fertilizantes.</w:t>
      </w:r>
    </w:p>
    <w:p>
      <w:pPr>
        <w:pStyle w:val="Heading3"/>
      </w:pPr>
      <w:r>
        <w:t>Colheita</w:t>
      </w:r>
    </w:p>
    <w:p>
      <w:r/>
      <w:r>
        <w:t>A semeadura era realizada no início da estação chuvosa, e a colheita começava no final. A colheita geralmente durava pelo menos sete semanas. Algumas culturas, como leguminosas, eram arrancadas pelas raízes, enquanto outras, como alguns grãos, eram cavadas com uma enxada. A maioria das culturas, no entanto, era cortada com uma foice. Arqueólogos encontraram foices de ferro, algumas com lascas de sílex inseridas nas bordas de corte. O grão colhido era amarrado em feixes (</w:t>
      </w:r>
      <w:hyperlink r:id="rId581">
        <w:r>
          <w:rPr>
            <w:color w:val="0000EE"/>
            <w:u w:val="single"/>
          </w:rPr>
          <w:t>Sl 126.6</w:t>
        </w:r>
      </w:hyperlink>
      <w:r>
        <w:t>) e empilhado em montes para ser levado à eira. A cevada era colhida primeiro, seguida pelo trigo.</w:t>
      </w:r>
    </w:p>
    <w:p>
      <w:r/>
      <w:r>
        <w:t>Pequenas quantidades de grãos, endro, cominho e outras pequenas colheitas eram batidas com um malho (</w:t>
      </w:r>
      <w:hyperlink r:id="rId582">
        <w:r>
          <w:rPr>
            <w:color w:val="0000EE"/>
            <w:u w:val="single"/>
          </w:rPr>
          <w:t>Jz 6.11</w:t>
        </w:r>
      </w:hyperlink>
      <w:r>
        <w:t xml:space="preserve">; </w:t>
      </w:r>
      <w:hyperlink r:id="rId583">
        <w:r>
          <w:rPr>
            <w:color w:val="0000EE"/>
            <w:u w:val="single"/>
          </w:rPr>
          <w:t>Rt 2.17</w:t>
        </w:r>
      </w:hyperlink>
      <w:r>
        <w:t>). A maioria dos grãos era debulhada em um piso elevado para que o vento levasse a palha. O método comum envolvia espalhar a palha solta no chão e conduzir bois sobre ela para liberar os grãos. Às vezes, ferramentas pesadas com pedras eram arrastadas sobre a palha (</w:t>
      </w:r>
      <w:hyperlink r:id="rId584">
        <w:r>
          <w:rPr>
            <w:color w:val="0000EE"/>
            <w:u w:val="single"/>
          </w:rPr>
          <w:t>Is 28.27</w:t>
        </w:r>
      </w:hyperlink>
      <w:r>
        <w:t xml:space="preserve">; </w:t>
      </w:r>
      <w:hyperlink r:id="rId585">
        <w:r>
          <w:rPr>
            <w:color w:val="0000EE"/>
            <w:u w:val="single"/>
          </w:rPr>
          <w:t>41.15</w:t>
        </w:r>
      </w:hyperlink>
      <w:r>
        <w:t>). Essas ferramentas eram montadas pelo condutor. A palha resultante era separada do grão através de um processo chamado joeiramento, onde a mistura era lançada ao ar com um garfo ou pá (</w:t>
      </w:r>
      <w:hyperlink r:id="rId586">
        <w:r>
          <w:rPr>
            <w:color w:val="0000EE"/>
            <w:u w:val="single"/>
          </w:rPr>
          <w:t>Is 30.24</w:t>
        </w:r>
      </w:hyperlink>
      <w:r>
        <w:t xml:space="preserve">; </w:t>
      </w:r>
      <w:hyperlink r:id="rId587">
        <w:r>
          <w:rPr>
            <w:color w:val="0000EE"/>
            <w:u w:val="single"/>
          </w:rPr>
          <w:t>Jr 15.7</w:t>
        </w:r>
      </w:hyperlink>
      <w:r>
        <w:t>). A palha mais leve era levada pelo vento, enquanto o grão mais pesado caía no chão. A palha era queimada ou usada como ração animal. O grão era peneirado (</w:t>
      </w:r>
      <w:hyperlink r:id="rId588">
        <w:r>
          <w:rPr>
            <w:color w:val="0000EE"/>
            <w:u w:val="single"/>
          </w:rPr>
          <w:t>Am 9.9</w:t>
        </w:r>
      </w:hyperlink>
      <w:r>
        <w:t>), reunido em montes e posteriormente armazenado em fossas cobertas no campo (</w:t>
      </w:r>
      <w:hyperlink r:id="rId589">
        <w:r>
          <w:rPr>
            <w:color w:val="0000EE"/>
            <w:u w:val="single"/>
          </w:rPr>
          <w:t>Jr 41.8</w:t>
        </w:r>
      </w:hyperlink>
      <w:r>
        <w:t>). Às vezes, era armazenado em celeiros (</w:t>
      </w:r>
      <w:hyperlink r:id="rId590">
        <w:r>
          <w:rPr>
            <w:color w:val="0000EE"/>
            <w:u w:val="single"/>
          </w:rPr>
          <w:t>Dt 28.8</w:t>
        </w:r>
      </w:hyperlink>
      <w:r>
        <w:t>).</w:t>
      </w:r>
    </w:p>
    <w:p>
      <w:r/>
      <w:r>
        <w:rPr>
          <w:i/>
        </w:rPr>
        <w:t>Veja também</w:t>
      </w:r>
      <w:r>
        <w:t xml:space="preserve"> </w:t>
      </w:r>
      <w:r>
        <w:t>Plantas</w:t>
      </w:r>
      <w:r>
        <w:t xml:space="preserve">; </w:t>
      </w:r>
      <w:r>
        <w:t>Colheita</w:t>
      </w:r>
      <w:r>
        <w:t xml:space="preserve">; </w:t>
      </w:r>
      <w:r>
        <w:t>Palestina</w:t>
      </w:r>
      <w:r>
        <w:t xml:space="preserve">; </w:t>
      </w:r>
      <w:r>
        <w:t>Videiras, Vinhedo</w:t>
      </w:r>
      <w:r>
        <w:t xml:space="preserve">; </w:t>
      </w:r>
      <w:r>
        <w:t>Alimentos e preparação de alimentos</w:t>
      </w:r>
      <w:r>
        <w:t>.</w:t>
      </w:r>
      <w:r/>
      <w:r/>
    </w:p>
    <w:p>
      <w:r/>
    </w:p>
    <w:p>
      <w:pPr>
        <w:pStyle w:val="Heading2"/>
      </w:pPr>
      <w:r>
        <w:t>Água</w:t>
      </w:r>
      <w:r/>
    </w:p>
    <w:p>
      <w:r/>
      <w:r>
        <w:t>Um dos essenciais da vida, que cobre grande parte da superfície da terra e é o componente principal do corpo humano. A vida não pode ser sustentada mais do que alguns dias sem ela.</w:t>
      </w:r>
    </w:p>
    <w:p>
      <w:r/>
      <w:r>
        <w:t>No começo, a água cobria a terra. Então Deus fez aparecer a terra seca da água (</w:t>
      </w:r>
      <w:hyperlink r:id="rId591">
        <w:r>
          <w:rPr>
            <w:color w:val="0000EE"/>
            <w:u w:val="single"/>
          </w:rPr>
          <w:t>Gn 1.9–10</w:t>
        </w:r>
      </w:hyperlink>
      <w:r>
        <w:t>). Como Pedro disse: “que há muito tempo Deus deu uma ordem, e os céus e a terra foram criados... a terra foi formada da água e no meio da água” (</w:t>
      </w:r>
      <w:hyperlink r:id="rId592">
        <w:r>
          <w:rPr>
            <w:color w:val="0000EE"/>
            <w:u w:val="single"/>
          </w:rPr>
          <w:t>2Pe 3.5</w:t>
        </w:r>
      </w:hyperlink>
      <w:r>
        <w:t>).</w:t>
      </w:r>
    </w:p>
    <w:p>
      <w:r/>
      <w:r>
        <w:t>Quando o Senhor criou o Jardim do Éden, ele fez um rio para regá-lo. Este rio se dividiu em quatro rios, dos quais dois são identificados com certeza, o Eufrates e o Tigre, que sustentaram a vida agrícola na área da Mesopotâmia tanto na antiguidade quanto hoje (</w:t>
      </w:r>
      <w:hyperlink r:id="rId593">
        <w:r>
          <w:rPr>
            <w:color w:val="0000EE"/>
            <w:u w:val="single"/>
          </w:rPr>
          <w:t>Gn 2.10–14</w:t>
        </w:r>
      </w:hyperlink>
      <w:r>
        <w:t xml:space="preserve">). A Bíblia também relata que no início da história da terra não havia chuva, mas apenas uma névoa que regava a terra (vv. </w:t>
      </w:r>
      <w:hyperlink r:id="rId594">
        <w:r>
          <w:rPr>
            <w:color w:val="0000EE"/>
            <w:u w:val="single"/>
          </w:rPr>
          <w:t>5–6</w:t>
        </w:r>
      </w:hyperlink>
      <w:r>
        <w:t>). No tempo de Noé, o Senhor usou um enorme volume de água para destruir “o mundo que então existia” (</w:t>
      </w:r>
      <w:hyperlink r:id="rId595">
        <w:r>
          <w:rPr>
            <w:color w:val="0000EE"/>
            <w:u w:val="single"/>
          </w:rPr>
          <w:t>2Pe 3.6</w:t>
        </w:r>
      </w:hyperlink>
      <w:r>
        <w:t>), como punição por sua maldade.</w:t>
      </w:r>
    </w:p>
    <w:p>
      <w:r/>
      <w:r>
        <w:t>No Oriente Próximo, a água é de importância especial, pois grande parte da área recebe apenas quantidades moderadas de chuva. No Egito, por exemplo, apenas 5.1 a 10.2 centímetros de chuva caem na área do Cairo, e em Assuã a precipitação média anual é zero. O Egito é dependente do Nilo, que é abastecido pelas chuvas equatoriais. Em contraste, a Palestina é bem regada pela “chuva do céu” (</w:t>
      </w:r>
      <w:hyperlink r:id="rId596">
        <w:r>
          <w:rPr>
            <w:color w:val="0000EE"/>
            <w:u w:val="single"/>
          </w:rPr>
          <w:t>Dt 11.10–11</w:t>
        </w:r>
      </w:hyperlink>
      <w:r>
        <w:t>).</w:t>
      </w:r>
    </w:p>
    <w:p>
      <w:r/>
      <w:r>
        <w:t>A água tem muitos usos simbólicos nas Escrituras (citados abaixo principalmente da NTLH). O homem justo é como uma árvore plantada perto da água (</w:t>
      </w:r>
      <w:hyperlink r:id="rId597">
        <w:r>
          <w:rPr>
            <w:color w:val="0000EE"/>
            <w:u w:val="single"/>
          </w:rPr>
          <w:t>Sl 1.3</w:t>
        </w:r>
      </w:hyperlink>
      <w:r>
        <w:t xml:space="preserve">; </w:t>
      </w:r>
      <w:hyperlink r:id="rId598">
        <w:r>
          <w:rPr>
            <w:color w:val="0000EE"/>
            <w:u w:val="single"/>
          </w:rPr>
          <w:t>Jr 17.8</w:t>
        </w:r>
      </w:hyperlink>
      <w:r>
        <w:t>). O anseio da alma por Deus é comparado à sede de água: “Todo o meu ser deseja estar contigo; eu tenho sede de ti como uma terra cansada, seca e sem água.” (</w:t>
      </w:r>
      <w:hyperlink r:id="rId599">
        <w:r>
          <w:rPr>
            <w:color w:val="0000EE"/>
            <w:u w:val="single"/>
          </w:rPr>
          <w:t>Sl 63.1</w:t>
        </w:r>
      </w:hyperlink>
      <w:r>
        <w:t>); “Como terra seca, eu tenho sede de ti.” (</w:t>
      </w:r>
      <w:hyperlink r:id="rId600">
        <w:r>
          <w:rPr>
            <w:color w:val="0000EE"/>
            <w:u w:val="single"/>
          </w:rPr>
          <w:t>143.6</w:t>
        </w:r>
      </w:hyperlink>
      <w:r>
        <w:t>). Jesus satisfaz esta necessidade e declara: “Se alguém tem sede, venha a mim e beba. Se você crê em mim, venha e beba!” (</w:t>
      </w:r>
      <w:hyperlink r:id="rId601">
        <w:r>
          <w:rPr>
            <w:color w:val="0000EE"/>
            <w:u w:val="single"/>
          </w:rPr>
          <w:t>Jo 7.37–38</w:t>
        </w:r>
      </w:hyperlink>
      <w:r>
        <w:t>). E Jesus disse: “A pessoa que beber da água que eu lhe der nunca mais terá sede. Porque a água que eu lhe der se tornará nela uma fonte de água que dará vida eterna (</w:t>
      </w:r>
      <w:hyperlink r:id="rId602">
        <w:r>
          <w:rPr>
            <w:color w:val="0000EE"/>
            <w:u w:val="single"/>
          </w:rPr>
          <w:t>4.14</w:t>
        </w:r>
      </w:hyperlink>
      <w:r>
        <w:t>). O Espírito de Jesus é a água espiritual que satisfaz a sede do espírito humano (</w:t>
      </w:r>
      <w:hyperlink r:id="rId603">
        <w:r>
          <w:rPr>
            <w:color w:val="0000EE"/>
            <w:u w:val="single"/>
          </w:rPr>
          <w:t>7.38–39</w:t>
        </w:r>
      </w:hyperlink>
      <w:r>
        <w:t>). A Palavra de Deus também é apresentada como água pela qual a limpeza espiritual é efetuada. O Senhor fala da purificação da igreja pela “lavagem com água e com a palavra” (</w:t>
      </w:r>
      <w:hyperlink r:id="rId604">
        <w:r>
          <w:rPr>
            <w:color w:val="0000EE"/>
            <w:u w:val="single"/>
          </w:rPr>
          <w:t>Ef 5.26</w:t>
        </w:r>
      </w:hyperlink>
      <w:r>
        <w:t>). E ele disse que as pessoas são salvas “por meio do Espírito Santo, que nos lavou, fazendo com que nascêssemos de novo e dando-nos uma nova vida” (</w:t>
      </w:r>
      <w:hyperlink r:id="rId605">
        <w:r>
          <w:rPr>
            <w:color w:val="0000EE"/>
            <w:u w:val="single"/>
          </w:rPr>
          <w:t>Tt 3.5</w:t>
        </w:r>
      </w:hyperlink>
      <w:r>
        <w:t>).</w:t>
      </w:r>
    </w:p>
    <w:p>
      <w:r/>
      <w:r>
        <w:t>Nos capítulos finais da Bíblia, o Senhor declara: “A quem tem sede darei água para beber, de graça, da fonte da água da vida” (</w:t>
      </w:r>
      <w:hyperlink r:id="rId606">
        <w:r>
          <w:rPr>
            <w:color w:val="0000EE"/>
            <w:u w:val="single"/>
          </w:rPr>
          <w:t>Ap 21.6</w:t>
        </w:r>
      </w:hyperlink>
      <w:r>
        <w:t>). Mesmo na descrição da Jerusalém celestial, há menção de água — o rio da água da vida: “O anjo também me mostrou o rio da água da vida, brilhante como cristal, que sai do trono de Deus e do Cordeiro e que passa no meio da rua principal da cidade.” (</w:t>
      </w:r>
      <w:hyperlink r:id="rId607">
        <w:r>
          <w:rPr>
            <w:color w:val="0000EE"/>
            <w:u w:val="single"/>
          </w:rPr>
          <w:t>22.1–2</w:t>
        </w:r>
      </w:hyperlink>
      <w:r>
        <w:t xml:space="preserve">). O convite final das Escrituras vem a nós em termos semelhantes: “Aquele que tem sede venha. E quem quiser receba de graça da água da vida.” (v. </w:t>
      </w:r>
      <w:hyperlink r:id="rId608">
        <w:r>
          <w:rPr>
            <w:color w:val="0000EE"/>
            <w:u w:val="single"/>
          </w:rPr>
          <w:t>17</w:t>
        </w:r>
      </w:hyperlink>
      <w:r>
        <w:t>).</w:t>
      </w:r>
      <w:r/>
      <w:r/>
    </w:p>
    <w:p>
      <w:r/>
    </w:p>
    <w:p>
      <w:pPr>
        <w:pStyle w:val="Heading2"/>
      </w:pPr>
      <w:r>
        <w:t>Água da Purificação</w:t>
      </w:r>
      <w:r/>
    </w:p>
    <w:p>
      <w:r/>
      <w:r>
        <w:t>Em traduções mais recentes da Bíblia, essa mesma água é chamada de "água da purificação" (NTLH) ou "água da separação" (ARC). Essa água especial era usada para purificar as pessoas do pecado ou impureza (</w:t>
      </w:r>
      <w:hyperlink r:id="rId609">
        <w:r>
          <w:rPr>
            <w:color w:val="0000EE"/>
            <w:u w:val="single"/>
          </w:rPr>
          <w:t>Nm 19.9,13,20–21</w:t>
        </w:r>
      </w:hyperlink>
      <w:r>
        <w:t xml:space="preserve">; </w:t>
      </w:r>
      <w:hyperlink r:id="rId610">
        <w:r>
          <w:rPr>
            <w:color w:val="0000EE"/>
            <w:u w:val="single"/>
          </w:rPr>
          <w:t>31.23</w:t>
        </w:r>
      </w:hyperlink>
      <w:r>
        <w:t>)</w:t>
      </w:r>
    </w:p>
    <w:p>
      <w:r/>
      <w:r>
        <w:rPr>
          <w:i/>
        </w:rPr>
        <w:t>Veja também</w:t>
      </w:r>
      <w:r>
        <w:t xml:space="preserve"> </w:t>
      </w:r>
      <w:r>
        <w:t>Limpeza e impureza, Regulamentos relacionados</w:t>
      </w:r>
      <w:r>
        <w:t>.</w:t>
      </w:r>
      <w:r/>
      <w:r/>
    </w:p>
    <w:p>
      <w:r/>
    </w:p>
    <w:p>
      <w:pPr>
        <w:pStyle w:val="Heading2"/>
      </w:pPr>
      <w:r>
        <w:t>Águia-marinha</w:t>
      </w:r>
      <w:r/>
    </w:p>
    <w:p>
      <w:r/>
      <w:r>
        <w:t>Grande ave predadora, às vezes confundida com o urubu, considerada impura (</w:t>
      </w:r>
      <w:hyperlink r:id="rId611">
        <w:r>
          <w:rPr>
            <w:color w:val="0000EE"/>
            <w:u w:val="single"/>
          </w:rPr>
          <w:t>Lv 11.13</w:t>
        </w:r>
      </w:hyperlink>
      <w:r>
        <w:t xml:space="preserve">; </w:t>
      </w:r>
      <w:hyperlink r:id="rId612">
        <w:r>
          <w:rPr>
            <w:color w:val="0000EE"/>
            <w:u w:val="single"/>
          </w:rPr>
          <w:t>Dt 14.12</w:t>
        </w:r>
      </w:hyperlink>
      <w:r>
        <w:t xml:space="preserve">, NTLH). </w:t>
      </w:r>
      <w:r>
        <w:rPr>
          <w:i/>
        </w:rPr>
        <w:t>Veja</w:t>
      </w:r>
      <w:r>
        <w:t xml:space="preserve"> </w:t>
      </w:r>
      <w:r>
        <w:t>Aves (Urubu)</w:t>
      </w:r>
      <w:r>
        <w:t>.</w:t>
      </w:r>
      <w:r/>
      <w:r/>
    </w:p>
    <w:p>
      <w:r/>
    </w:p>
    <w:p>
      <w:pPr>
        <w:pStyle w:val="Heading2"/>
      </w:pPr>
      <w:r>
        <w:t>Agulha</w:t>
      </w:r>
      <w:r/>
    </w:p>
    <w:p>
      <w:r/>
      <w:r>
        <w:t>Objeto usado na lição de Jesus sobre o homem rico e entrada no reino de Deus. Após sua conversa com o jovem governante rico, Jesus disse aos seus discípulos que “é mais difícil um rico entrar no Reino de Deus do que um camelo passar pelo fundo de uma agulha”. (</w:t>
      </w:r>
      <w:hyperlink r:id="rId613">
        <w:r>
          <w:rPr>
            <w:color w:val="0000EE"/>
            <w:u w:val="single"/>
          </w:rPr>
          <w:t>Mt 19.24</w:t>
        </w:r>
      </w:hyperlink>
      <w:r>
        <w:t xml:space="preserve">, NTLH; </w:t>
      </w:r>
      <w:hyperlink r:id="rId614">
        <w:r>
          <w:rPr>
            <w:color w:val="0000EE"/>
            <w:u w:val="single"/>
          </w:rPr>
          <w:t>Mc 10.25</w:t>
        </w:r>
      </w:hyperlink>
      <w:r>
        <w:t xml:space="preserve">; </w:t>
      </w:r>
      <w:hyperlink r:id="rId615">
        <w:r>
          <w:rPr>
            <w:color w:val="0000EE"/>
            <w:u w:val="single"/>
          </w:rPr>
          <w:t>Lc 18.25</w:t>
        </w:r>
      </w:hyperlink>
      <w:r>
        <w:t xml:space="preserve">). Jesus não estava condenando as riquezas ou prosperidade, mas sim a mudança da vontade e falsa segurança que eles podem gerar, como foi o caso do jovem governante rico (cf. </w:t>
      </w:r>
      <w:hyperlink r:id="rId616">
        <w:r>
          <w:rPr>
            <w:color w:val="0000EE"/>
            <w:u w:val="single"/>
          </w:rPr>
          <w:t>Mt 19.21–22</w:t>
        </w:r>
      </w:hyperlink>
      <w:r>
        <w:t xml:space="preserve">; </w:t>
      </w:r>
      <w:hyperlink r:id="rId617">
        <w:r>
          <w:rPr>
            <w:color w:val="0000EE"/>
            <w:u w:val="single"/>
          </w:rPr>
          <w:t>Mc 10.21–22</w:t>
        </w:r>
      </w:hyperlink>
      <w:r>
        <w:t xml:space="preserve">; </w:t>
      </w:r>
      <w:hyperlink r:id="rId618">
        <w:r>
          <w:rPr>
            <w:color w:val="0000EE"/>
            <w:u w:val="single"/>
          </w:rPr>
          <w:t>Lc 18.22–23</w:t>
        </w:r>
      </w:hyperlink>
      <w:r>
        <w:t>). A entrada no reino de Deus é um ato de Deus, não do homem. Usando o maior animal terrestre na Palestina, Jesus fez paralelo com a absurdo de um camelo passar pelo buraco de uma agulha com a tentativa de um homem rico de usar sua posição e bens para ganhar entrada no céu. Uma expressão semelhante é encontrada na literatura rabínica, onde o elefante é retratado como passando pelo buraco de uma agulha.</w:t>
      </w:r>
      <w:r/>
      <w:r/>
    </w:p>
    <w:p>
      <w:r/>
    </w:p>
    <w:p>
      <w:pPr>
        <w:pStyle w:val="Heading2"/>
      </w:pPr>
      <w:r>
        <w:t>Agur</w:t>
      </w:r>
      <w:r/>
    </w:p>
    <w:p>
      <w:r/>
      <w:r>
        <w:t xml:space="preserve">Filho de Jaque. Embora não fosse israelita, ele escreveu ou coletou os provérbios em </w:t>
      </w:r>
      <w:hyperlink r:id="rId619">
        <w:r>
          <w:rPr>
            <w:color w:val="0000EE"/>
            <w:u w:val="single"/>
          </w:rPr>
          <w:t>Provérbios 30</w:t>
        </w:r>
      </w:hyperlink>
      <w:r>
        <w:t>. Agur era de Massá (</w:t>
      </w:r>
      <w:hyperlink r:id="rId620">
        <w:r>
          <w:rPr>
            <w:color w:val="0000EE"/>
            <w:u w:val="single"/>
          </w:rPr>
          <w:t>Pv 30.1</w:t>
        </w:r>
      </w:hyperlink>
      <w:r>
        <w:t>), uma área do norte da Arábia que foi colonizada por um filho de Ismael (</w:t>
      </w:r>
      <w:hyperlink r:id="rId621">
        <w:r>
          <w:rPr>
            <w:color w:val="0000EE"/>
            <w:u w:val="single"/>
          </w:rPr>
          <w:t>Gn 25.14</w:t>
        </w:r>
      </w:hyperlink>
      <w:r>
        <w:t xml:space="preserve">; </w:t>
      </w:r>
      <w:hyperlink r:id="rId622">
        <w:r>
          <w:rPr>
            <w:color w:val="0000EE"/>
            <w:u w:val="single"/>
          </w:rPr>
          <w:t>1Cr 1.30</w:t>
        </w:r>
      </w:hyperlink>
      <w:r>
        <w:t>).</w:t>
      </w:r>
    </w:p>
    <w:p>
      <w:r/>
      <w:r>
        <w:rPr>
          <w:i/>
        </w:rPr>
        <w:t>Veja</w:t>
      </w:r>
      <w:r>
        <w:t xml:space="preserve"> </w:t>
      </w:r>
      <w:r>
        <w:t>Provérbios, Livro de</w:t>
      </w:r>
      <w:r>
        <w:t>.</w:t>
      </w:r>
      <w:r/>
      <w:r/>
    </w:p>
    <w:p>
      <w:r/>
    </w:p>
    <w:p>
      <w:pPr>
        <w:pStyle w:val="Heading2"/>
      </w:pPr>
      <w:r>
        <w:t>Ai</w:t>
      </w:r>
      <w:r/>
    </w:p>
    <w:p>
      <w:r/>
      <w:r>
        <w:t>Uma cidade cananeia que existia antes do tempo de Abraão (</w:t>
      </w:r>
      <w:hyperlink r:id="rId164">
        <w:r>
          <w:rPr>
            <w:color w:val="0000EE"/>
            <w:u w:val="single"/>
          </w:rPr>
          <w:t>Gn 12.8</w:t>
        </w:r>
      </w:hyperlink>
      <w:r>
        <w:t xml:space="preserve">; </w:t>
      </w:r>
      <w:hyperlink r:id="rId623">
        <w:r>
          <w:rPr>
            <w:color w:val="0000EE"/>
            <w:u w:val="single"/>
          </w:rPr>
          <w:t>13.3</w:t>
        </w:r>
      </w:hyperlink>
      <w:r>
        <w:t>). "Ai" significa "ruína", o que pode indicar que era um lugar importante ou notável em ruínas. Quando Abraão viajou pela área, o povo de Ai e outras cidades cananeias (Siquém, Betel, Jerusalém) não o impediram. Talvez Abraão tenha conversado com seus reis e mostrado que vinha em paz. Ou talvez Abraão tivesse tantas pessoas com ele que os cananeus ficaram com medo de enfrentá-lo.</w:t>
      </w:r>
    </w:p>
    <w:p>
      <w:r/>
      <w:r>
        <w:t>Mais tarde, quando Josué liderou os israelitas em Canaã, eles atacaram Ai. Foi a segunda cidade contra a qual lutaram. Na primeira vez que atacaram, eles perderam. Isso aconteceu porque um soldado israelita chamado Acã havia desobedecido a Deus ao pegar coisas de Jericó. Depois de lidar com Acã, os israelitas atacaram Ai novamente e venceram (</w:t>
      </w:r>
      <w:hyperlink r:id="rId624">
        <w:r>
          <w:rPr>
            <w:color w:val="0000EE"/>
            <w:u w:val="single"/>
          </w:rPr>
          <w:t>Js 7.1–8.2</w:t>
        </w:r>
      </w:hyperlink>
      <w:r>
        <w:t>). Josué capturou o rei de Ai, matou-o e queimou a cidade (</w:t>
      </w:r>
      <w:hyperlink r:id="rId625">
        <w:r>
          <w:rPr>
            <w:color w:val="0000EE"/>
            <w:u w:val="single"/>
          </w:rPr>
          <w:t>Js 10.1</w:t>
        </w:r>
      </w:hyperlink>
      <w:r>
        <w:t>).</w:t>
      </w:r>
    </w:p>
    <w:p>
      <w:r/>
      <w:r>
        <w:t>As pessoas reconstruíram e viveram em Ai novamente durante o tempo dos reis Saul, Davi e Salomão. A cidade parece ter tido nomes diferentes em épocas distintas:</w:t>
      </w:r>
    </w:p>
    <w:p>
      <w:pPr>
        <w:pStyle w:val="ListBullet"/>
        <w:spacing w:line="240" w:lineRule="auto"/>
        <w:ind w:left="720"/>
      </w:pPr>
      <w:r/>
      <w:r>
        <w:t>Aia, uma aldeia de Efraim (</w:t>
      </w:r>
      <w:hyperlink r:id="rId626">
        <w:r>
          <w:rPr>
            <w:color w:val="0000EE"/>
            <w:u w:val="single"/>
          </w:rPr>
          <w:t>1Cr 7.28</w:t>
        </w:r>
      </w:hyperlink>
      <w:r>
        <w:t>)</w:t>
      </w:r>
    </w:p>
    <w:p>
      <w:pPr>
        <w:pStyle w:val="ListBullet"/>
        <w:spacing w:line="240" w:lineRule="auto"/>
        <w:ind w:left="720"/>
      </w:pPr>
      <w:r/>
      <w:r>
        <w:t>Aiate, uma vila que os exércitos assírios atravessaram a caminho de Jerusalém (</w:t>
      </w:r>
      <w:hyperlink r:id="rId627">
        <w:r>
          <w:rPr>
            <w:color w:val="0000EE"/>
            <w:u w:val="single"/>
          </w:rPr>
          <w:t>Is 10.28</w:t>
        </w:r>
      </w:hyperlink>
      <w:r>
        <w:t>)</w:t>
      </w:r>
    </w:p>
    <w:p>
      <w:pPr>
        <w:pStyle w:val="ListBullet"/>
        <w:spacing w:line="240" w:lineRule="auto"/>
        <w:ind w:left="720"/>
      </w:pPr>
      <w:r/>
      <w:r>
        <w:t>Aia, uma aldeia onde pessoas da tribo de Benjamim viveram após retornarem do exílio (</w:t>
      </w:r>
      <w:hyperlink r:id="rId628">
        <w:r>
          <w:rPr>
            <w:color w:val="0000EE"/>
            <w:u w:val="single"/>
          </w:rPr>
          <w:t>Ne 11.31</w:t>
        </w:r>
      </w:hyperlink>
      <w:r>
        <w:t>)</w:t>
      </w:r>
    </w:p>
    <w:p>
      <w:r/>
      <w:r>
        <w:rPr>
          <w:i/>
        </w:rPr>
        <w:t>Veja também</w:t>
      </w:r>
      <w:r>
        <w:t xml:space="preserve"> </w:t>
      </w:r>
      <w:r>
        <w:t>Conquista e distribuição da terra</w:t>
      </w:r>
      <w:r>
        <w:t xml:space="preserve">; </w:t>
      </w:r>
      <w:r>
        <w:t>Josué, Livro de</w:t>
      </w:r>
      <w:r>
        <w:t>.</w:t>
      </w:r>
      <w:r/>
      <w:r/>
    </w:p>
    <w:p>
      <w:r/>
    </w:p>
    <w:p>
      <w:pPr>
        <w:pStyle w:val="Heading2"/>
      </w:pPr>
      <w:r>
        <w:t>Ai</w:t>
      </w:r>
      <w:r/>
    </w:p>
    <w:p>
      <w:r/>
      <w:r>
        <w:t xml:space="preserve">Cidade cananeia em </w:t>
      </w:r>
      <w:hyperlink r:id="rId164">
        <w:r>
          <w:rPr>
            <w:color w:val="0000EE"/>
            <w:u w:val="single"/>
          </w:rPr>
          <w:t>Gênesis 12.8</w:t>
        </w:r>
      </w:hyperlink>
      <w:r>
        <w:t xml:space="preserve"> e </w:t>
      </w:r>
      <w:hyperlink r:id="rId623">
        <w:r>
          <w:rPr>
            <w:color w:val="0000EE"/>
            <w:u w:val="single"/>
          </w:rPr>
          <w:t>13.3</w:t>
        </w:r>
      </w:hyperlink>
      <w:r>
        <w:t xml:space="preserve">. </w:t>
      </w:r>
      <w:r>
        <w:rPr>
          <w:i/>
        </w:rPr>
        <w:t>Veja</w:t>
      </w:r>
      <w:r>
        <w:t xml:space="preserve"> </w:t>
      </w:r>
      <w:r>
        <w:t>Ai</w:t>
      </w:r>
      <w:r>
        <w:t>.</w:t>
      </w:r>
      <w:r/>
      <w:r/>
    </w:p>
    <w:p>
      <w:r/>
    </w:p>
    <w:p>
      <w:pPr>
        <w:pStyle w:val="Heading2"/>
      </w:pPr>
      <w:r>
        <w:t>Aías</w:t>
      </w:r>
      <w:r/>
    </w:p>
    <w:p>
      <w:pPr>
        <w:pStyle w:val="ListNumber"/>
        <w:spacing w:line="240" w:lineRule="auto"/>
        <w:ind w:left="720"/>
      </w:pPr>
      <w:r/>
      <w:r>
        <w:t>O filho de Zibeão, que era um horita descendente de Seir. Aías está mencionado na lista de ancestrais de Esaú (</w:t>
      </w:r>
      <w:hyperlink r:id="rId629">
        <w:r>
          <w:rPr>
            <w:color w:val="0000EE"/>
            <w:u w:val="single"/>
          </w:rPr>
          <w:t>Gn 36.24</w:t>
        </w:r>
      </w:hyperlink>
      <w:r>
        <w:t xml:space="preserve">; </w:t>
      </w:r>
      <w:hyperlink r:id="rId630">
        <w:r>
          <w:rPr>
            <w:color w:val="0000EE"/>
            <w:u w:val="single"/>
          </w:rPr>
          <w:t>1Cr 1.35</w:t>
        </w:r>
      </w:hyperlink>
      <w:r>
        <w:t>–</w:t>
      </w:r>
      <w:hyperlink r:id="rId630">
        <w:r>
          <w:rPr>
            <w:color w:val="0000EE"/>
            <w:u w:val="single"/>
          </w:rPr>
          <w:t>40</w:t>
        </w:r>
      </w:hyperlink>
      <w:r>
        <w:t>).</w:t>
      </w:r>
    </w:p>
    <w:p>
      <w:pPr>
        <w:pStyle w:val="ListNumber"/>
        <w:spacing w:line="240" w:lineRule="auto"/>
        <w:ind w:left="720"/>
      </w:pPr>
      <w:r/>
      <w:r>
        <w:t>O pai (ou possivelmente a mãe) da concubina de Saul, Rispa (</w:t>
      </w:r>
      <w:hyperlink r:id="rId631">
        <w:r>
          <w:rPr>
            <w:color w:val="0000EE"/>
            <w:u w:val="single"/>
          </w:rPr>
          <w:t>2Sm 3.7</w:t>
        </w:r>
      </w:hyperlink>
      <w:r>
        <w:t xml:space="preserve">; </w:t>
      </w:r>
      <w:hyperlink r:id="rId632">
        <w:r>
          <w:rPr>
            <w:color w:val="0000EE"/>
            <w:u w:val="single"/>
          </w:rPr>
          <w:t>21.8</w:t>
        </w:r>
      </w:hyperlink>
      <w:r>
        <w:t>–</w:t>
      </w:r>
      <w:hyperlink r:id="rId632">
        <w:r>
          <w:rPr>
            <w:color w:val="0000EE"/>
            <w:u w:val="single"/>
          </w:rPr>
          <w:t>11</w:t>
        </w:r>
      </w:hyperlink>
      <w:r>
        <w:t>).</w:t>
      </w:r>
      <w:r/>
      <w:r/>
    </w:p>
    <w:p>
      <w:r/>
    </w:p>
    <w:p>
      <w:pPr>
        <w:pStyle w:val="Heading2"/>
      </w:pPr>
      <w:r>
        <w:t>Aías</w:t>
      </w:r>
      <w:r/>
    </w:p>
    <w:p>
      <w:r/>
      <w:r>
        <w:t>Forma alternativa na NTLH para o nome Aiá, um filho de Zibeão (</w:t>
      </w:r>
      <w:hyperlink r:id="rId629">
        <w:r>
          <w:rPr>
            <w:color w:val="0000EE"/>
            <w:u w:val="single"/>
          </w:rPr>
          <w:t>Gn 36.24</w:t>
        </w:r>
      </w:hyperlink>
      <w:r>
        <w:t>).</w:t>
      </w:r>
    </w:p>
    <w:p>
      <w:r/>
      <w:r>
        <w:rPr>
          <w:i/>
        </w:rPr>
        <w:t>Veja</w:t>
      </w:r>
      <w:r>
        <w:t xml:space="preserve"> </w:t>
      </w:r>
      <w:r>
        <w:t>Aías #1</w:t>
      </w:r>
      <w:r>
        <w:t>.</w:t>
      </w:r>
      <w:r/>
      <w:r/>
    </w:p>
    <w:p>
      <w:r/>
    </w:p>
    <w:p>
      <w:pPr>
        <w:pStyle w:val="Heading2"/>
      </w:pPr>
      <w:r>
        <w:t>Aiezer</w:t>
      </w:r>
      <w:r/>
    </w:p>
    <w:p>
      <w:pPr>
        <w:pStyle w:val="ListNumber"/>
        <w:spacing w:line="240" w:lineRule="auto"/>
        <w:ind w:left="720"/>
      </w:pPr>
      <w:r/>
      <w:r>
        <w:t>Filho de Amisadai. Ele era um líder da tribo de Dã quando Israel estava vagando no deserto do Sinai após escapar do Egito. Como líder de sua tribo, ele trouxe um presente especial quando o Tabernáculo foi consagrado para uso sagrado (</w:t>
      </w:r>
      <w:hyperlink r:id="rId633">
        <w:r>
          <w:rPr>
            <w:color w:val="0000EE"/>
            <w:u w:val="single"/>
          </w:rPr>
          <w:t>Nm 1.12</w:t>
        </w:r>
      </w:hyperlink>
      <w:r>
        <w:t xml:space="preserve">; </w:t>
      </w:r>
      <w:hyperlink r:id="rId634">
        <w:r>
          <w:rPr>
            <w:color w:val="0000EE"/>
            <w:u w:val="single"/>
          </w:rPr>
          <w:t>2.25</w:t>
        </w:r>
      </w:hyperlink>
      <w:r>
        <w:t xml:space="preserve">; </w:t>
      </w:r>
      <w:hyperlink r:id="rId635">
        <w:r>
          <w:rPr>
            <w:color w:val="0000EE"/>
            <w:u w:val="single"/>
          </w:rPr>
          <w:t>7.66,71</w:t>
        </w:r>
      </w:hyperlink>
      <w:r>
        <w:t xml:space="preserve">; </w:t>
      </w:r>
      <w:hyperlink r:id="rId636">
        <w:r>
          <w:rPr>
            <w:color w:val="0000EE"/>
            <w:u w:val="single"/>
          </w:rPr>
          <w:t>10.25</w:t>
        </w:r>
      </w:hyperlink>
      <w:r>
        <w:t>).</w:t>
      </w:r>
    </w:p>
    <w:p>
      <w:pPr>
        <w:pStyle w:val="ListNumber"/>
        <w:spacing w:line="240" w:lineRule="auto"/>
        <w:ind w:left="720"/>
      </w:pPr>
      <w:r/>
      <w:r>
        <w:t>Filho de Semaá. Um líder dos guerreiros da tribo de Benjamim que se juntou a Davi em Ziclague quando ele estava em conflito com o Rei Saul. Aiezer e seus homens podiam usar qualquer mão ao manejar um arco ou funda (</w:t>
      </w:r>
      <w:hyperlink r:id="rId637">
        <w:r>
          <w:rPr>
            <w:color w:val="0000EE"/>
            <w:u w:val="single"/>
          </w:rPr>
          <w:t>1Cr 12.2</w:t>
        </w:r>
      </w:hyperlink>
      <w:r>
        <w:t>-</w:t>
      </w:r>
      <w:hyperlink r:id="rId637">
        <w:r>
          <w:rPr>
            <w:color w:val="0000EE"/>
            <w:u w:val="single"/>
          </w:rPr>
          <w:t>3</w:t>
        </w:r>
      </w:hyperlink>
      <w:r>
        <w:t>).</w:t>
      </w:r>
      <w:r/>
      <w:r/>
    </w:p>
    <w:p>
      <w:r/>
    </w:p>
    <w:p>
      <w:pPr>
        <w:pStyle w:val="Heading2"/>
      </w:pPr>
      <w:r>
        <w:t>Aijeleth Shahar</w:t>
      </w:r>
      <w:r/>
    </w:p>
    <w:p>
      <w:r/>
      <w:r>
        <w:t xml:space="preserve">Uma frase em hebraico no título do </w:t>
      </w:r>
      <w:hyperlink r:id="rId638">
        <w:r>
          <w:rPr>
            <w:color w:val="0000EE"/>
            <w:u w:val="single"/>
          </w:rPr>
          <w:t>Salmo 22</w:t>
        </w:r>
      </w:hyperlink>
      <w:r>
        <w:t>, traduzida como “Para a melodia de 'A Corça da Manhã'”. Pode ter sido uma melodia antiga bem conhecida que acompanhava o salmo.</w:t>
      </w:r>
    </w:p>
    <w:p>
      <w:r/>
      <w:r>
        <w:rPr>
          <w:i/>
        </w:rPr>
        <w:t>Veja</w:t>
      </w:r>
      <w:r>
        <w:t xml:space="preserve"> </w:t>
      </w:r>
      <w:r>
        <w:t>Música</w:t>
      </w:r>
      <w:r>
        <w:t>.</w:t>
      </w:r>
      <w:r/>
      <w:r/>
    </w:p>
    <w:p>
      <w:r/>
    </w:p>
    <w:p>
      <w:pPr>
        <w:pStyle w:val="Heading2"/>
      </w:pPr>
      <w:r>
        <w:t>Aim</w:t>
      </w:r>
      <w:r/>
    </w:p>
    <w:p>
      <w:pPr>
        <w:pStyle w:val="ListNumber"/>
        <w:spacing w:line="240" w:lineRule="auto"/>
        <w:ind w:left="720"/>
      </w:pPr>
      <w:r/>
      <w:r>
        <w:t>Uma cidade na fronteira leste de Canaã (a Terra Prometida), a nordeste do Mar da Galileia (</w:t>
      </w:r>
      <w:hyperlink r:id="rId639">
        <w:r>
          <w:rPr>
            <w:color w:val="0000EE"/>
            <w:u w:val="single"/>
          </w:rPr>
          <w:t>Nm 34.11</w:t>
        </w:r>
      </w:hyperlink>
      <w:r>
        <w:t>). O nome significa "poço" ou "fonte". Pode ser a moderna Khirbet ‘Ayyun.</w:t>
      </w:r>
    </w:p>
    <w:p>
      <w:pPr>
        <w:pStyle w:val="ListNumber"/>
        <w:spacing w:line="240" w:lineRule="auto"/>
        <w:ind w:left="720"/>
      </w:pPr>
      <w:r/>
      <w:r>
        <w:t>Uma cidade no território de Simeão. Muitos estudiosos acreditam que é a mesma que Rimom (</w:t>
      </w:r>
      <w:hyperlink r:id="rId640">
        <w:r>
          <w:rPr>
            <w:color w:val="0000EE"/>
            <w:u w:val="single"/>
          </w:rPr>
          <w:t>Js 19.7</w:t>
        </w:r>
      </w:hyperlink>
      <w:r>
        <w:t xml:space="preserve">; cp. </w:t>
      </w:r>
      <w:hyperlink r:id="rId641">
        <w:r>
          <w:rPr>
            <w:color w:val="0000EE"/>
            <w:u w:val="single"/>
          </w:rPr>
          <w:t>Ne 11.29</w:t>
        </w:r>
      </w:hyperlink>
      <w:r>
        <w:t>). Isso implica que um copista cometeu um erro ao separar “Aim” ("</w:t>
      </w:r>
      <w:r>
        <w:rPr>
          <w:i/>
        </w:rPr>
        <w:t>En</w:t>
      </w:r>
      <w:r>
        <w:t>" - NTLH) de “Rimom.”</w:t>
      </w:r>
    </w:p>
    <w:p>
      <w:r/>
      <w:r>
        <w:rPr>
          <w:i/>
        </w:rPr>
        <w:t>Veja</w:t>
      </w:r>
      <w:r>
        <w:t xml:space="preserve"> </w:t>
      </w:r>
      <w:r>
        <w:t>Rimom</w:t>
      </w:r>
      <w:r>
        <w:t>.</w:t>
      </w:r>
    </w:p>
    <w:p>
      <w:pPr>
        <w:pStyle w:val="ListNumber"/>
        <w:spacing w:line="240" w:lineRule="auto"/>
        <w:ind w:left="720"/>
      </w:pPr>
      <w:r/>
      <w:r>
        <w:t xml:space="preserve">Um nome de lugar em </w:t>
      </w:r>
      <w:hyperlink r:id="rId642">
        <w:r>
          <w:rPr>
            <w:color w:val="0000EE"/>
            <w:u w:val="single"/>
          </w:rPr>
          <w:t xml:space="preserve">Josué 21.16. </w:t>
        </w:r>
      </w:hyperlink>
      <w:r>
        <w:t xml:space="preserve">Isso se deve a um erro de cópia porque as palavras hebraicas para “Aim” e “Asã” são semelhantes. O nome correto é Asã (cp. </w:t>
      </w:r>
      <w:hyperlink r:id="rId643">
        <w:r>
          <w:rPr>
            <w:color w:val="0000EE"/>
            <w:u w:val="single"/>
          </w:rPr>
          <w:t>1Cr 6.59</w:t>
        </w:r>
      </w:hyperlink>
      <w:r>
        <w:t>).</w:t>
      </w:r>
    </w:p>
    <w:p>
      <w:r/>
      <w:r>
        <w:rPr>
          <w:i/>
        </w:rPr>
        <w:t>Veja</w:t>
      </w:r>
      <w:r>
        <w:t xml:space="preserve"> </w:t>
      </w:r>
      <w:r>
        <w:t>Asã</w:t>
      </w:r>
      <w:r>
        <w:t>.</w:t>
      </w:r>
      <w:r/>
      <w:r/>
    </w:p>
    <w:p>
      <w:r/>
    </w:p>
    <w:p>
      <w:pPr>
        <w:pStyle w:val="Heading2"/>
      </w:pPr>
      <w:r>
        <w:t>Aimã</w:t>
      </w:r>
      <w:r/>
    </w:p>
    <w:p>
      <w:pPr>
        <w:pStyle w:val="ListNumber"/>
        <w:spacing w:line="240" w:lineRule="auto"/>
        <w:ind w:left="720"/>
      </w:pPr>
      <w:r/>
      <w:r>
        <w:t>Um dos três filhos de Anaque. Os aimanitas eram um dos clãs dos anaquins (uma raça de gigantes) que viviam em Hebrom quando os 12 espiões israelitas reuniram informações sobre a terra de Canaã (</w:t>
      </w:r>
      <w:hyperlink r:id="rId644">
        <w:r>
          <w:rPr>
            <w:color w:val="0000EE"/>
            <w:u w:val="single"/>
          </w:rPr>
          <w:t>Nm 13.22</w:t>
        </w:r>
      </w:hyperlink>
      <w:r>
        <w:t xml:space="preserve">; </w:t>
      </w:r>
      <w:hyperlink r:id="rId645">
        <w:r>
          <w:rPr>
            <w:color w:val="0000EE"/>
            <w:u w:val="single"/>
          </w:rPr>
          <w:t>Js 15.13</w:t>
        </w:r>
      </w:hyperlink>
      <w:r>
        <w:t>-</w:t>
      </w:r>
      <w:hyperlink r:id="rId645">
        <w:r>
          <w:rPr>
            <w:color w:val="0000EE"/>
            <w:u w:val="single"/>
          </w:rPr>
          <w:t>14</w:t>
        </w:r>
      </w:hyperlink>
      <w:r>
        <w:t xml:space="preserve">; </w:t>
      </w:r>
      <w:hyperlink r:id="rId646">
        <w:r>
          <w:rPr>
            <w:color w:val="0000EE"/>
            <w:u w:val="single"/>
          </w:rPr>
          <w:t>Jz 1.10</w:t>
        </w:r>
      </w:hyperlink>
      <w:r>
        <w:t>).</w:t>
      </w:r>
    </w:p>
    <w:p>
      <w:pPr>
        <w:pStyle w:val="ListNumber"/>
        <w:spacing w:line="240" w:lineRule="auto"/>
        <w:ind w:left="720"/>
      </w:pPr>
      <w:r/>
      <w:r>
        <w:t>Um levita que trabalhava como porteiro em Jerusalém (</w:t>
      </w:r>
      <w:hyperlink r:id="rId647">
        <w:r>
          <w:rPr>
            <w:color w:val="0000EE"/>
            <w:u w:val="single"/>
          </w:rPr>
          <w:t>1Cr 9.17</w:t>
        </w:r>
      </w:hyperlink>
      <w:r>
        <w:t>). Isso ocorreu após o período em que muitos judeus foram forçados a viver longe de sua terra natal e depois foram autorizados a retornar.</w:t>
      </w:r>
      <w:r/>
      <w:r/>
    </w:p>
    <w:p>
      <w:r/>
    </w:p>
    <w:p>
      <w:pPr>
        <w:pStyle w:val="Heading2"/>
      </w:pPr>
      <w:r>
        <w:t>Aimeleque</w:t>
      </w:r>
      <w:r/>
    </w:p>
    <w:p>
      <w:pPr>
        <w:pStyle w:val="ListNumber"/>
        <w:spacing w:line="240" w:lineRule="auto"/>
        <w:ind w:left="720"/>
      </w:pPr>
      <w:r/>
      <w:r>
        <w:t>Um sacerdote em Nobe ajudou Davi quando ele estava fugindo de Saul (</w:t>
      </w:r>
      <w:hyperlink r:id="rId648">
        <w:r>
          <w:rPr>
            <w:color w:val="0000EE"/>
            <w:u w:val="single"/>
          </w:rPr>
          <w:t>1Sm 21.1</w:t>
        </w:r>
      </w:hyperlink>
      <w:r>
        <w:t>–</w:t>
      </w:r>
      <w:hyperlink r:id="rId648">
        <w:r>
          <w:rPr>
            <w:color w:val="0000EE"/>
            <w:u w:val="single"/>
          </w:rPr>
          <w:t>9</w:t>
        </w:r>
      </w:hyperlink>
      <w:r>
        <w:t xml:space="preserve">). Quando Davi pediu comida, tudo o que ele tinha era o pão sagrado do tabernáculo (Jesus falou sobre isso em </w:t>
      </w:r>
      <w:hyperlink r:id="rId649">
        <w:r>
          <w:rPr>
            <w:color w:val="0000EE"/>
            <w:u w:val="single"/>
          </w:rPr>
          <w:t>Mt 12.1</w:t>
        </w:r>
      </w:hyperlink>
      <w:r>
        <w:t>–</w:t>
      </w:r>
      <w:hyperlink r:id="rId649">
        <w:r>
          <w:rPr>
            <w:color w:val="0000EE"/>
            <w:u w:val="single"/>
          </w:rPr>
          <w:t>8</w:t>
        </w:r>
      </w:hyperlink>
      <w:r>
        <w:t>). Doegue, o edomita, contou a Saul o que viu, e Saul ordenou que Aimeleque fosse morto. Mas os guardas de Saul não queriam matar um sacerdote. Doegue matou Aimeleque e outros 84 sacerdotes, junto com suas famílias e animais (</w:t>
      </w:r>
      <w:hyperlink r:id="rId650">
        <w:r>
          <w:rPr>
            <w:color w:val="0000EE"/>
            <w:u w:val="single"/>
          </w:rPr>
          <w:t>1Sm 22.9</w:t>
        </w:r>
      </w:hyperlink>
      <w:r>
        <w:t>–</w:t>
      </w:r>
      <w:hyperlink r:id="rId650">
        <w:r>
          <w:rPr>
            <w:color w:val="0000EE"/>
            <w:u w:val="single"/>
          </w:rPr>
          <w:t>19</w:t>
        </w:r>
      </w:hyperlink>
      <w:r>
        <w:t>). Apenas Abiatar, filho de Aimeleque, escapou e foi até Davi em busca de proteção (</w:t>
      </w:r>
      <w:hyperlink r:id="rId651">
        <w:r>
          <w:rPr>
            <w:color w:val="0000EE"/>
            <w:u w:val="single"/>
          </w:rPr>
          <w:t>1Sm 22.20</w:t>
        </w:r>
      </w:hyperlink>
      <w:r>
        <w:t>–</w:t>
      </w:r>
      <w:hyperlink r:id="rId651">
        <w:r>
          <w:rPr>
            <w:color w:val="0000EE"/>
            <w:u w:val="single"/>
          </w:rPr>
          <w:t>23</w:t>
        </w:r>
      </w:hyperlink>
      <w:r>
        <w:t xml:space="preserve">). Davi escreveu o </w:t>
      </w:r>
      <w:hyperlink r:id="rId652">
        <w:r>
          <w:rPr>
            <w:color w:val="0000EE"/>
            <w:u w:val="single"/>
          </w:rPr>
          <w:t>Sl 52</w:t>
        </w:r>
      </w:hyperlink>
      <w:r>
        <w:t xml:space="preserve"> sobre o que Doegue havia feito.</w:t>
      </w:r>
    </w:p>
    <w:p>
      <w:pPr>
        <w:pStyle w:val="ListNumber"/>
        <w:spacing w:line="240" w:lineRule="auto"/>
        <w:ind w:left="720"/>
      </w:pPr>
      <w:r/>
      <w:r>
        <w:t>Um hitita que se juntou aos homens de combate de Davi durante sua fuga de Saul (</w:t>
      </w:r>
      <w:hyperlink r:id="rId653">
        <w:r>
          <w:rPr>
            <w:color w:val="0000EE"/>
            <w:u w:val="single"/>
          </w:rPr>
          <w:t>1Sm 26.6</w:t>
        </w:r>
      </w:hyperlink>
      <w:r>
        <w:t>).</w:t>
      </w:r>
    </w:p>
    <w:p>
      <w:pPr>
        <w:pStyle w:val="ListNumber"/>
        <w:spacing w:line="240" w:lineRule="auto"/>
        <w:ind w:left="720"/>
      </w:pPr>
      <w:r/>
      <w:r>
        <w:t>O filho de Abiatar e neto de Aimeleque. Ele ajudou seu pai no sacerdócio sob o rei Davi (</w:t>
      </w:r>
      <w:hyperlink r:id="rId70">
        <w:r>
          <w:rPr>
            <w:color w:val="0000EE"/>
            <w:u w:val="single"/>
          </w:rPr>
          <w:t>2Sm 8.17</w:t>
        </w:r>
      </w:hyperlink>
      <w:r>
        <w:t xml:space="preserve">; </w:t>
      </w:r>
      <w:hyperlink r:id="rId654">
        <w:r>
          <w:rPr>
            <w:color w:val="0000EE"/>
            <w:u w:val="single"/>
          </w:rPr>
          <w:t>1Cr 24.3,5,31</w:t>
        </w:r>
      </w:hyperlink>
      <w:r>
        <w:t xml:space="preserve">; compare com </w:t>
      </w:r>
      <w:hyperlink r:id="rId71">
        <w:r>
          <w:rPr>
            <w:color w:val="0000EE"/>
            <w:u w:val="single"/>
          </w:rPr>
          <w:t>1Cr 18.16</w:t>
        </w:r>
      </w:hyperlink>
      <w:r>
        <w:t>, onde algumas traduções o chamam de Abimeleque).</w:t>
      </w:r>
      <w:r/>
      <w:r/>
    </w:p>
    <w:p>
      <w:r/>
    </w:p>
    <w:p>
      <w:pPr>
        <w:pStyle w:val="Heading2"/>
      </w:pPr>
      <w:r>
        <w:t>Aira</w:t>
      </w:r>
      <w:r/>
    </w:p>
    <w:p>
      <w:r/>
      <w:r>
        <w:t>Filho de Enã. Ele era o líder da tribo de Naftali quando os israelitas estavam vagando no deserto após sua fuga do Egito. Como líder, ele apresentou a oferta de sua tribo quando o Tabernáculo foi separado para uso sagrado (</w:t>
      </w:r>
      <w:hyperlink r:id="rId655">
        <w:r>
          <w:rPr>
            <w:color w:val="0000EE"/>
            <w:u w:val="single"/>
          </w:rPr>
          <w:t>Nm 1.15</w:t>
        </w:r>
      </w:hyperlink>
      <w:r>
        <w:t xml:space="preserve">; </w:t>
      </w:r>
      <w:hyperlink r:id="rId656">
        <w:r>
          <w:rPr>
            <w:color w:val="0000EE"/>
            <w:u w:val="single"/>
          </w:rPr>
          <w:t>2.29</w:t>
        </w:r>
      </w:hyperlink>
      <w:r>
        <w:t xml:space="preserve">; </w:t>
      </w:r>
      <w:hyperlink r:id="rId657">
        <w:r>
          <w:rPr>
            <w:color w:val="0000EE"/>
            <w:u w:val="single"/>
          </w:rPr>
          <w:t>7.78,83</w:t>
        </w:r>
      </w:hyperlink>
      <w:r>
        <w:t xml:space="preserve">; </w:t>
      </w:r>
      <w:hyperlink r:id="rId658">
        <w:r>
          <w:rPr>
            <w:color w:val="0000EE"/>
            <w:u w:val="single"/>
          </w:rPr>
          <w:t>10.27</w:t>
        </w:r>
      </w:hyperlink>
      <w:r>
        <w:t>).</w:t>
      </w:r>
      <w:r/>
      <w:r/>
    </w:p>
    <w:p>
      <w:r/>
    </w:p>
    <w:p>
      <w:pPr>
        <w:pStyle w:val="Heading2"/>
      </w:pPr>
      <w:r>
        <w:t>Airão, Airamita</w:t>
      </w:r>
      <w:r/>
    </w:p>
    <w:p>
      <w:r/>
      <w:r>
        <w:t>O terceiro filho de Benjamim. Ele foi o ancestral do clã dos Airamitas (</w:t>
      </w:r>
      <w:hyperlink r:id="rId659">
        <w:r>
          <w:rPr>
            <w:color w:val="0000EE"/>
            <w:u w:val="single"/>
          </w:rPr>
          <w:t>Nm 26.38</w:t>
        </w:r>
      </w:hyperlink>
      <w:r>
        <w:t xml:space="preserve">; </w:t>
      </w:r>
      <w:hyperlink r:id="rId660">
        <w:r>
          <w:rPr>
            <w:color w:val="0000EE"/>
            <w:u w:val="single"/>
          </w:rPr>
          <w:t>1Cr 8.1</w:t>
        </w:r>
      </w:hyperlink>
      <w:r>
        <w:t>, aqui chamado de "Aará"). Duas formas abreviadas de "Airão" em listas de ancestrais podem ser Eí (</w:t>
      </w:r>
      <w:hyperlink r:id="rId661">
        <w:r>
          <w:rPr>
            <w:color w:val="0000EE"/>
            <w:u w:val="single"/>
          </w:rPr>
          <w:t>Gn 46.21</w:t>
        </w:r>
      </w:hyperlink>
      <w:r>
        <w:t>) e Aer (</w:t>
      </w:r>
      <w:hyperlink r:id="rId662">
        <w:r>
          <w:rPr>
            <w:color w:val="0000EE"/>
            <w:u w:val="single"/>
          </w:rPr>
          <w:t>1Crônicas 7.12</w:t>
        </w:r>
      </w:hyperlink>
      <w:r>
        <w:t>).</w:t>
      </w:r>
      <w:r/>
      <w:r/>
    </w:p>
    <w:p>
      <w:r/>
    </w:p>
    <w:p>
      <w:pPr>
        <w:pStyle w:val="Heading2"/>
      </w:pPr>
      <w:r>
        <w:t>Aisamaque</w:t>
      </w:r>
      <w:r/>
    </w:p>
    <w:p>
      <w:r/>
      <w:r>
        <w:t>O pai do artesão Aoliabe, da tribo de Dã. Aoliabe ajudou a construir o tabernáculo e tudo dentro dele (</w:t>
      </w:r>
      <w:hyperlink r:id="rId663">
        <w:r>
          <w:rPr>
            <w:color w:val="0000EE"/>
            <w:u w:val="single"/>
          </w:rPr>
          <w:t>Êx 31.6</w:t>
        </w:r>
      </w:hyperlink>
      <w:r>
        <w:t xml:space="preserve">; </w:t>
      </w:r>
      <w:hyperlink r:id="rId664">
        <w:r>
          <w:rPr>
            <w:color w:val="0000EE"/>
            <w:u w:val="single"/>
          </w:rPr>
          <w:t>35.34</w:t>
        </w:r>
      </w:hyperlink>
      <w:r>
        <w:t xml:space="preserve">; </w:t>
      </w:r>
      <w:hyperlink r:id="rId665">
        <w:r>
          <w:rPr>
            <w:color w:val="0000EE"/>
            <w:u w:val="single"/>
          </w:rPr>
          <w:t>38.23</w:t>
        </w:r>
      </w:hyperlink>
      <w:r>
        <w:t>).</w:t>
      </w:r>
      <w:r/>
      <w:r/>
    </w:p>
    <w:p>
      <w:r/>
    </w:p>
    <w:p>
      <w:pPr>
        <w:pStyle w:val="Heading2"/>
      </w:pPr>
      <w:r>
        <w:t>Aiúde</w:t>
      </w:r>
      <w:r/>
    </w:p>
    <w:p>
      <w:pPr>
        <w:pStyle w:val="ListNumber"/>
        <w:spacing w:line="240" w:lineRule="auto"/>
        <w:ind w:left="720"/>
      </w:pPr>
      <w:r/>
      <w:r>
        <w:t>O filho de Selomi, um líder da tribo de Aser. Aiúde ajudou Eleazar e Josué a dividir o território de Canaã entre os israelitas (</w:t>
      </w:r>
      <w:hyperlink r:id="rId666">
        <w:r>
          <w:rPr>
            <w:color w:val="0000EE"/>
            <w:u w:val="single"/>
          </w:rPr>
          <w:t>Nm 34.17,27</w:t>
        </w:r>
      </w:hyperlink>
      <w:r>
        <w:t>).</w:t>
      </w:r>
    </w:p>
    <w:p>
      <w:pPr>
        <w:pStyle w:val="ListNumber"/>
        <w:spacing w:line="240" w:lineRule="auto"/>
        <w:ind w:left="720"/>
      </w:pPr>
      <w:r/>
      <w:r>
        <w:t>Algumas versões da Bíblia em português (NTLH, ARC) afirmam que Aiúde era um líder na tribo de Benjamim. Elas mencionam que seu pai era Gera, também chamado Heglam, que foi enviado para viver em Manaate (</w:t>
      </w:r>
      <w:hyperlink r:id="rId667">
        <w:r>
          <w:rPr>
            <w:color w:val="0000EE"/>
            <w:u w:val="single"/>
          </w:rPr>
          <w:t>1Cr 8.7</w:t>
        </w:r>
      </w:hyperlink>
      <w:r>
        <w:t xml:space="preserve">). </w:t>
        <w:br/>
        <w:br/>
      </w:r>
      <w:r>
        <w:t>Porém, o texto hebraico (conhecido como Texto Massorético) indica que o pai de Aiúde era Eúde. Nesta versão, foi Gera quem forçou Aiúde e sua mãe a deixarem sua casa e irem para Manaate (</w:t>
      </w:r>
      <w:hyperlink r:id="rId668">
        <w:r>
          <w:rPr>
            <w:color w:val="0000EE"/>
            <w:u w:val="single"/>
          </w:rPr>
          <w:t>1Cr 8.6</w:t>
        </w:r>
      </w:hyperlink>
      <w:r>
        <w:t>).</w:t>
      </w:r>
      <w:r/>
      <w:r/>
    </w:p>
    <w:p>
      <w:r/>
    </w:p>
    <w:p>
      <w:pPr>
        <w:pStyle w:val="Heading2"/>
      </w:pPr>
      <w:r>
        <w:t>Ajoelhado</w:t>
      </w:r>
      <w:r/>
    </w:p>
    <w:p>
      <w:r/>
      <w:r>
        <w:t xml:space="preserve">Posição que muitas vezes denota adoração, respeito ou submissão. Um joelho forte implicava simbolicamente um homem com força de fé e propósito, e assim dobrar o joelho indicava submissão a um superior. O joelho era dobrado diante de um rei, um governante, um governador ou Deus. </w:t>
      </w:r>
      <w:hyperlink r:id="rId669">
        <w:r>
          <w:rPr>
            <w:color w:val="0000EE"/>
            <w:u w:val="single"/>
          </w:rPr>
          <w:t>Gênesis 41.43</w:t>
        </w:r>
      </w:hyperlink>
      <w:r>
        <w:t xml:space="preserve"> descreve as pessoas que estavam se ajoelhando diante de Faraó e José. Ajoelhar-se em reverência diante do Senhor era comum (</w:t>
      </w:r>
      <w:hyperlink r:id="rId670">
        <w:r>
          <w:rPr>
            <w:color w:val="0000EE"/>
            <w:u w:val="single"/>
          </w:rPr>
          <w:t>Is 45.23</w:t>
        </w:r>
      </w:hyperlink>
      <w:r>
        <w:t xml:space="preserve">; </w:t>
      </w:r>
      <w:hyperlink r:id="rId671">
        <w:r>
          <w:rPr>
            <w:color w:val="0000EE"/>
            <w:u w:val="single"/>
          </w:rPr>
          <w:t>Rm 14.11</w:t>
        </w:r>
      </w:hyperlink>
      <w:r>
        <w:t xml:space="preserve">; </w:t>
      </w:r>
      <w:hyperlink r:id="rId672">
        <w:r>
          <w:rPr>
            <w:color w:val="0000EE"/>
            <w:u w:val="single"/>
          </w:rPr>
          <w:t>Fp 2.10</w:t>
        </w:r>
      </w:hyperlink>
      <w:r>
        <w:t>). Em um tempo de fome, quando os israelitas se afastaram do Senhor, aqueles que permaneceram fiéis foram descritos como “todos os joelhos que não se dobraram diante de Baal” (</w:t>
      </w:r>
      <w:hyperlink r:id="rId673">
        <w:r>
          <w:rPr>
            <w:color w:val="0000EE"/>
            <w:u w:val="single"/>
          </w:rPr>
          <w:t>1Rs 19.18</w:t>
        </w:r>
      </w:hyperlink>
      <w:r>
        <w:t xml:space="preserve">, NTLH; veja </w:t>
      </w:r>
      <w:hyperlink r:id="rId674">
        <w:r>
          <w:rPr>
            <w:color w:val="0000EE"/>
            <w:u w:val="single"/>
          </w:rPr>
          <w:t>Rm 11.4</w:t>
        </w:r>
      </w:hyperlink>
      <w:r>
        <w:t>).</w:t>
      </w:r>
    </w:p>
    <w:p>
      <w:r/>
      <w:r>
        <w:t>Joelhos firmes representavam força, então golpear esses joelhos representava a destruição do poder (</w:t>
      </w:r>
      <w:hyperlink r:id="rId675">
        <w:r>
          <w:rPr>
            <w:color w:val="0000EE"/>
            <w:u w:val="single"/>
          </w:rPr>
          <w:t>Dt 28.35</w:t>
        </w:r>
      </w:hyperlink>
      <w:r>
        <w:t>). Isaías suplicou ao Senhor pelo fortalecimento dos joelhos fracos (</w:t>
      </w:r>
      <w:hyperlink r:id="rId676">
        <w:r>
          <w:rPr>
            <w:color w:val="0000EE"/>
            <w:u w:val="single"/>
          </w:rPr>
          <w:t>Is 35.3</w:t>
        </w:r>
      </w:hyperlink>
      <w:r>
        <w:t>). As referências a joelhos fracos ou frágeis eram geralmente usadas para mostrar uma falta de firmeza de fé (</w:t>
      </w:r>
      <w:hyperlink r:id="rId677">
        <w:r>
          <w:rPr>
            <w:color w:val="0000EE"/>
            <w:u w:val="single"/>
          </w:rPr>
          <w:t>Jó 4.4</w:t>
        </w:r>
      </w:hyperlink>
      <w:r>
        <w:t xml:space="preserve">; </w:t>
      </w:r>
      <w:hyperlink r:id="rId678">
        <w:r>
          <w:rPr>
            <w:color w:val="0000EE"/>
            <w:u w:val="single"/>
          </w:rPr>
          <w:t>Hb 12.12</w:t>
        </w:r>
      </w:hyperlink>
      <w:r>
        <w:t>), mas às vezes poderiam se referir à saúde debilitada (</w:t>
      </w:r>
      <w:hyperlink r:id="rId679">
        <w:r>
          <w:rPr>
            <w:color w:val="0000EE"/>
            <w:u w:val="single"/>
          </w:rPr>
          <w:t>Sl 109.24</w:t>
        </w:r>
      </w:hyperlink>
      <w:r>
        <w:t>). Ezequiel se referiu àqueles que tinham joelhos “fracos como água” (</w:t>
      </w:r>
      <w:hyperlink r:id="rId680">
        <w:r>
          <w:rPr>
            <w:color w:val="0000EE"/>
            <w:u w:val="single"/>
          </w:rPr>
          <w:t>Ez 7.17</w:t>
        </w:r>
      </w:hyperlink>
      <w:r>
        <w:t xml:space="preserve">; </w:t>
      </w:r>
      <w:hyperlink r:id="rId681">
        <w:r>
          <w:rPr>
            <w:color w:val="0000EE"/>
            <w:u w:val="single"/>
          </w:rPr>
          <w:t>21.7</w:t>
        </w:r>
      </w:hyperlink>
      <w:r>
        <w:t>).</w:t>
      </w:r>
    </w:p>
    <w:p>
      <w:r/>
      <w:r>
        <w:t>Ajoelhar-se diante do Senhor era uma postura que representava adoração (</w:t>
      </w:r>
      <w:hyperlink r:id="rId682">
        <w:r>
          <w:rPr>
            <w:color w:val="0000EE"/>
            <w:u w:val="single"/>
          </w:rPr>
          <w:t>Sl 95.6</w:t>
        </w:r>
      </w:hyperlink>
      <w:r>
        <w:t>) e também oração (</w:t>
      </w:r>
      <w:hyperlink r:id="rId683">
        <w:r>
          <w:rPr>
            <w:color w:val="0000EE"/>
            <w:u w:val="single"/>
          </w:rPr>
          <w:t>Dn 6.10</w:t>
        </w:r>
      </w:hyperlink>
      <w:r>
        <w:t>). O próprio Cristo se ajoelhou para orar no jardim do Getsêmani (</w:t>
      </w:r>
      <w:hyperlink r:id="rId684">
        <w:r>
          <w:rPr>
            <w:color w:val="0000EE"/>
            <w:u w:val="single"/>
          </w:rPr>
          <w:t>Lc 22.41</w:t>
        </w:r>
      </w:hyperlink>
      <w:r>
        <w:t>), e Pedro, Paulo e Estêvão fizeram o mesmo (</w:t>
      </w:r>
      <w:hyperlink r:id="rId685">
        <w:r>
          <w:rPr>
            <w:color w:val="0000EE"/>
            <w:u w:val="single"/>
          </w:rPr>
          <w:t>Atos 7.60</w:t>
        </w:r>
      </w:hyperlink>
      <w:r>
        <w:t xml:space="preserve">; </w:t>
      </w:r>
      <w:hyperlink r:id="rId686">
        <w:r>
          <w:rPr>
            <w:color w:val="0000EE"/>
            <w:u w:val="single"/>
          </w:rPr>
          <w:t>9.40</w:t>
        </w:r>
      </w:hyperlink>
      <w:r>
        <w:t xml:space="preserve">; </w:t>
      </w:r>
      <w:hyperlink r:id="rId687">
        <w:r>
          <w:rPr>
            <w:color w:val="0000EE"/>
            <w:u w:val="single"/>
          </w:rPr>
          <w:t>20.36</w:t>
        </w:r>
      </w:hyperlink>
      <w:r>
        <w:t xml:space="preserve">; </w:t>
      </w:r>
      <w:hyperlink r:id="rId688">
        <w:r>
          <w:rPr>
            <w:color w:val="0000EE"/>
            <w:u w:val="single"/>
          </w:rPr>
          <w:t>21.5</w:t>
        </w:r>
      </w:hyperlink>
      <w:r>
        <w:t>). Salomão se ajoelhou em oração e súplica diante do Senhor (</w:t>
      </w:r>
      <w:hyperlink r:id="rId689">
        <w:r>
          <w:rPr>
            <w:color w:val="0000EE"/>
            <w:u w:val="single"/>
          </w:rPr>
          <w:t>1Rs 8.54</w:t>
        </w:r>
      </w:hyperlink>
      <w:r>
        <w:t>), e até mesmo em uma ocasião tinha uma plataforma construída para que ele pudesse subir e ser visto por toda a congregação de Israel se ajoelhando diante do Senhor (</w:t>
      </w:r>
      <w:hyperlink r:id="rId690">
        <w:r>
          <w:rPr>
            <w:color w:val="0000EE"/>
            <w:u w:val="single"/>
          </w:rPr>
          <w:t>2Cr 6.13</w:t>
        </w:r>
      </w:hyperlink>
      <w:r>
        <w:t>).</w:t>
      </w:r>
    </w:p>
    <w:p>
      <w:r/>
      <w:r>
        <w:t>Alguns se ajoelharam em penitência, como Esdras fez no sacrifício do anoitecer (</w:t>
      </w:r>
      <w:hyperlink r:id="rId691">
        <w:r>
          <w:rPr>
            <w:color w:val="0000EE"/>
            <w:u w:val="single"/>
          </w:rPr>
          <w:t>Ed 9.5</w:t>
        </w:r>
      </w:hyperlink>
      <w:r>
        <w:t>) e como Pedro fez quando implorou ao perdão do Senhor por sua falta de fé e confiança (</w:t>
      </w:r>
      <w:hyperlink r:id="rId692">
        <w:r>
          <w:rPr>
            <w:color w:val="0000EE"/>
            <w:u w:val="single"/>
          </w:rPr>
          <w:t>Lc 5.8</w:t>
        </w:r>
      </w:hyperlink>
      <w:r>
        <w:t>). Aqueles que estavam implorando ao profeta Elias se ajoelharam diante dele como representante de Deus (</w:t>
      </w:r>
      <w:hyperlink r:id="rId693">
        <w:r>
          <w:rPr>
            <w:color w:val="0000EE"/>
            <w:u w:val="single"/>
          </w:rPr>
          <w:t>2Rs 1.13</w:t>
        </w:r>
      </w:hyperlink>
      <w:r>
        <w:t>), e muitos vieram de joelhos e implorando ao Senhor por cura (</w:t>
      </w:r>
      <w:hyperlink r:id="rId694">
        <w:r>
          <w:rPr>
            <w:color w:val="0000EE"/>
            <w:u w:val="single"/>
          </w:rPr>
          <w:t>Mt 17.14</w:t>
        </w:r>
      </w:hyperlink>
      <w:r>
        <w:t xml:space="preserve">; </w:t>
      </w:r>
      <w:hyperlink r:id="rId695">
        <w:r>
          <w:rPr>
            <w:color w:val="0000EE"/>
            <w:u w:val="single"/>
          </w:rPr>
          <w:t>Mc 1.40</w:t>
        </w:r>
      </w:hyperlink>
      <w:r>
        <w:t>). Daniel se ajoelhou em admiração e temor diante de um anjo (</w:t>
      </w:r>
      <w:hyperlink r:id="rId696">
        <w:r>
          <w:rPr>
            <w:color w:val="0000EE"/>
            <w:u w:val="single"/>
          </w:rPr>
          <w:t>Dn 10.10</w:t>
        </w:r>
      </w:hyperlink>
      <w:r>
        <w:t>), e um sinal do medo de Beltessazar foi que "seus joelhos bateram um contra o outro" (</w:t>
      </w:r>
      <w:hyperlink r:id="rId697">
        <w:r>
          <w:rPr>
            <w:color w:val="0000EE"/>
            <w:u w:val="single"/>
          </w:rPr>
          <w:t>Dn 5.6</w:t>
        </w:r>
      </w:hyperlink>
      <w:r>
        <w:t>). No NT, um Cristo régio e paciente é submetido à zombaria e provocação dos soldados que se ajoelharam diante dele e gritaram sarcasticamente: “Viva o Rei dos judeus!” (</w:t>
      </w:r>
      <w:hyperlink r:id="rId698">
        <w:r>
          <w:rPr>
            <w:color w:val="0000EE"/>
            <w:u w:val="single"/>
          </w:rPr>
          <w:t>Mt 27.29</w:t>
        </w:r>
      </w:hyperlink>
      <w:r>
        <w:t xml:space="preserve">; </w:t>
      </w:r>
      <w:hyperlink r:id="rId699">
        <w:r>
          <w:rPr>
            <w:color w:val="0000EE"/>
            <w:u w:val="single"/>
          </w:rPr>
          <w:t>Mc 15.19</w:t>
        </w:r>
      </w:hyperlink>
      <w:r>
        <w:t>).</w:t>
      </w:r>
      <w:r/>
      <w:r/>
    </w:p>
    <w:p>
      <w:r/>
    </w:p>
    <w:p>
      <w:pPr>
        <w:pStyle w:val="Heading2"/>
      </w:pPr>
      <w:r>
        <w:t>Alamoth</w:t>
      </w:r>
      <w:r/>
    </w:p>
    <w:p>
      <w:r/>
      <w:r>
        <w:t xml:space="preserve">Um termo hebraico no título do </w:t>
      </w:r>
      <w:hyperlink r:id="rId700">
        <w:r>
          <w:rPr>
            <w:color w:val="0000EE"/>
            <w:u w:val="single"/>
          </w:rPr>
          <w:t>Salmo 46</w:t>
        </w:r>
      </w:hyperlink>
      <w:r>
        <w:t xml:space="preserve"> e também em </w:t>
      </w:r>
      <w:hyperlink r:id="rId701">
        <w:r>
          <w:rPr>
            <w:color w:val="0000EE"/>
            <w:u w:val="single"/>
          </w:rPr>
          <w:t>1 Crônicas 15.20</w:t>
        </w:r>
      </w:hyperlink>
      <w:r>
        <w:t>.</w:t>
      </w:r>
    </w:p>
    <w:p>
      <w:r/>
      <w:r>
        <w:rPr>
          <w:i/>
        </w:rPr>
        <w:t>Veja</w:t>
      </w:r>
      <w:r>
        <w:t xml:space="preserve"> </w:t>
      </w:r>
      <w:r>
        <w:t>Música</w:t>
      </w:r>
      <w:r>
        <w:t>.</w:t>
      </w:r>
      <w:r/>
      <w:r/>
    </w:p>
    <w:p>
      <w:r/>
    </w:p>
    <w:p>
      <w:pPr>
        <w:pStyle w:val="Heading2"/>
      </w:pPr>
      <w:r>
        <w:t>Alegria</w:t>
      </w:r>
      <w:r/>
    </w:p>
    <w:p>
      <w:r/>
      <w:r>
        <w:t>A condição humana positiva que é tanto um sentimento quanto uma ação. A Bíblia utiliza "alegria" em ambos os sentidos.</w:t>
      </w:r>
    </w:p>
    <w:p>
      <w:pPr>
        <w:pStyle w:val="Heading3"/>
      </w:pPr>
      <w:r>
        <w:t>Alegria como um sentimento</w:t>
      </w:r>
    </w:p>
    <w:p>
      <w:r/>
      <w:r>
        <w:t>A alegria é um sentimento causado pelo bem-estar, sucesso ou boa sorte. Uma pessoa a experimenta automaticamente devido a certas circunstâncias favoráveis. Não pode ser controlada.</w:t>
      </w:r>
    </w:p>
    <w:p>
      <w:pPr>
        <w:pStyle w:val="ListBullet"/>
        <w:spacing w:line="240" w:lineRule="auto"/>
        <w:ind w:left="720"/>
      </w:pPr>
      <w:r/>
      <w:r>
        <w:t>O pastor sentiu uma alegria genuína quando encontrou sua ovelha perdida (</w:t>
      </w:r>
      <w:hyperlink r:id="rId702">
        <w:r>
          <w:rPr>
            <w:color w:val="0000EE"/>
            <w:u w:val="single"/>
          </w:rPr>
          <w:t>Mt 18.13</w:t>
        </w:r>
      </w:hyperlink>
      <w:r>
        <w:t>);</w:t>
      </w:r>
    </w:p>
    <w:p>
      <w:pPr>
        <w:pStyle w:val="ListBullet"/>
        <w:spacing w:line="240" w:lineRule="auto"/>
        <w:ind w:left="720"/>
      </w:pPr>
      <w:r/>
      <w:r>
        <w:t>A multidão percebeu isso quando Jesus curou uma mulher judia que estava presa por Satanás por 18 anos (</w:t>
      </w:r>
      <w:hyperlink r:id="rId703">
        <w:r>
          <w:rPr>
            <w:color w:val="0000EE"/>
            <w:u w:val="single"/>
          </w:rPr>
          <w:t>Lc 13.17</w:t>
        </w:r>
      </w:hyperlink>
      <w:r>
        <w:t>);</w:t>
      </w:r>
    </w:p>
    <w:p>
      <w:pPr>
        <w:pStyle w:val="ListBullet"/>
        <w:spacing w:line="240" w:lineRule="auto"/>
        <w:ind w:left="720"/>
      </w:pPr>
      <w:r/>
      <w:r>
        <w:t>Os discípulos retornaram a Jerusalém regozijando-se após a ascensão de Jesus (retorno ao céu) (</w:t>
      </w:r>
      <w:hyperlink r:id="rId704">
        <w:r>
          <w:rPr>
            <w:color w:val="0000EE"/>
            <w:u w:val="single"/>
          </w:rPr>
          <w:t>Lc 24.52</w:t>
        </w:r>
      </w:hyperlink>
      <w:r>
        <w:t>);</w:t>
      </w:r>
    </w:p>
    <w:p>
      <w:pPr>
        <w:pStyle w:val="ListBullet"/>
        <w:spacing w:line="240" w:lineRule="auto"/>
        <w:ind w:left="720"/>
      </w:pPr>
      <w:r/>
      <w:r>
        <w:t>A igreja em Antioquia ficou alegre quando seus membros ouviram a decisão do Concílio de Jerusalém de que eles não precisavam ser circuncidados para obedecer à lei de Deus (</w:t>
      </w:r>
      <w:hyperlink r:id="rId705">
        <w:r>
          <w:rPr>
            <w:color w:val="0000EE"/>
            <w:u w:val="single"/>
          </w:rPr>
          <w:t>At 15.31</w:t>
        </w:r>
      </w:hyperlink>
      <w:r>
        <w:t>);</w:t>
      </w:r>
    </w:p>
    <w:p>
      <w:pPr>
        <w:pStyle w:val="ListBullet"/>
        <w:spacing w:line="240" w:lineRule="auto"/>
        <w:ind w:left="720"/>
      </w:pPr>
      <w:r/>
      <w:r>
        <w:t>Paulo mencionou sua alegria ao ouvir sobre como os cristãos romanos eram obedientes (</w:t>
      </w:r>
      <w:hyperlink r:id="rId706">
        <w:r>
          <w:rPr>
            <w:color w:val="0000EE"/>
            <w:u w:val="single"/>
          </w:rPr>
          <w:t>Rm 16.19</w:t>
        </w:r>
      </w:hyperlink>
      <w:r>
        <w:t>);</w:t>
      </w:r>
    </w:p>
    <w:p>
      <w:pPr>
        <w:pStyle w:val="ListBullet"/>
        <w:spacing w:line="240" w:lineRule="auto"/>
        <w:ind w:left="720"/>
      </w:pPr>
      <w:r/>
      <w:r>
        <w:t>Paulo escreveu aos Coríntios que o amor não se alegra com a injustiça, mas se alegra com a verdade (</w:t>
      </w:r>
      <w:hyperlink r:id="rId707">
        <w:r>
          <w:rPr>
            <w:color w:val="0000EE"/>
            <w:u w:val="single"/>
          </w:rPr>
          <w:t>1Co 13.6</w:t>
        </w:r>
      </w:hyperlink>
      <w:r>
        <w:t xml:space="preserve">; veja também </w:t>
      </w:r>
      <w:hyperlink r:id="rId708">
        <w:r>
          <w:rPr>
            <w:color w:val="0000EE"/>
            <w:u w:val="single"/>
          </w:rPr>
          <w:t>1Sm 2.1</w:t>
        </w:r>
      </w:hyperlink>
      <w:r>
        <w:t xml:space="preserve">; </w:t>
      </w:r>
      <w:hyperlink r:id="rId709">
        <w:r>
          <w:rPr>
            <w:color w:val="0000EE"/>
            <w:u w:val="single"/>
          </w:rPr>
          <w:t>11.9</w:t>
        </w:r>
      </w:hyperlink>
      <w:r>
        <w:t xml:space="preserve">; </w:t>
      </w:r>
      <w:hyperlink r:id="rId710">
        <w:r>
          <w:rPr>
            <w:color w:val="0000EE"/>
            <w:u w:val="single"/>
          </w:rPr>
          <w:t>18.6</w:t>
        </w:r>
      </w:hyperlink>
      <w:r>
        <w:t xml:space="preserve">; </w:t>
      </w:r>
      <w:hyperlink r:id="rId711">
        <w:r>
          <w:rPr>
            <w:color w:val="0000EE"/>
            <w:u w:val="single"/>
          </w:rPr>
          <w:t>2Sm 6.12</w:t>
        </w:r>
      </w:hyperlink>
      <w:r>
        <w:t xml:space="preserve">; </w:t>
      </w:r>
      <w:hyperlink r:id="rId712">
        <w:r>
          <w:rPr>
            <w:color w:val="0000EE"/>
            <w:u w:val="single"/>
          </w:rPr>
          <w:t>1Rs 1.40</w:t>
        </w:r>
      </w:hyperlink>
      <w:r>
        <w:t xml:space="preserve">; </w:t>
      </w:r>
      <w:hyperlink r:id="rId713">
        <w:r>
          <w:rPr>
            <w:color w:val="0000EE"/>
            <w:u w:val="single"/>
          </w:rPr>
          <w:t>Et 9.17–22</w:t>
        </w:r>
      </w:hyperlink>
      <w:r>
        <w:t>).</w:t>
      </w:r>
    </w:p>
    <w:p>
      <w:r/>
      <w:hyperlink r:id="rId714">
        <w:r>
          <w:rPr>
            <w:color w:val="0000EE"/>
            <w:u w:val="single"/>
          </w:rPr>
          <w:t>Salmos 137.1–6</w:t>
        </w:r>
      </w:hyperlink>
      <w:r>
        <w:t xml:space="preserve"> mostra que a emoção não pode ser controlada. Os captores do povo judeu queriam que eles cantassem na terra do seu exílio, algo que eles não conseguiam fazer porque Jerusalém era a fonte de sua alegria.</w:t>
      </w:r>
    </w:p>
    <w:p>
      <w:pPr>
        <w:pStyle w:val="Heading3"/>
      </w:pPr>
      <w:r>
        <w:t>Alegria como uma ação</w:t>
      </w:r>
    </w:p>
    <w:p>
      <w:r/>
      <w:r>
        <w:t xml:space="preserve">Há uma alegria que as Escrituras ordenam. Essa alegria é uma ação que pode ser praticada independentemente de como a pessoa se sente. </w:t>
      </w:r>
      <w:hyperlink r:id="rId715">
        <w:r>
          <w:rPr>
            <w:color w:val="0000EE"/>
            <w:u w:val="single"/>
          </w:rPr>
          <w:t>Provérbios 5.18</w:t>
        </w:r>
      </w:hyperlink>
      <w:r>
        <w:t xml:space="preserve"> instrui o leitor a alegrar-se com a esposa da sua juventude, sem referência a como ela possa ser. Cristo instruiu seus discípulos a se alegrarem na perseguição (</w:t>
      </w:r>
      <w:hyperlink r:id="rId716">
        <w:r>
          <w:rPr>
            <w:color w:val="0000EE"/>
            <w:u w:val="single"/>
          </w:rPr>
          <w:t>Mt 5.11–12</w:t>
        </w:r>
      </w:hyperlink>
      <w:r>
        <w:t>). O apóstolo Paulo ordenou alegria constante (</w:t>
      </w:r>
      <w:hyperlink r:id="rId717">
        <w:r>
          <w:rPr>
            <w:color w:val="0000EE"/>
            <w:u w:val="single"/>
          </w:rPr>
          <w:t>Fp 4.4</w:t>
        </w:r>
      </w:hyperlink>
      <w:r>
        <w:t xml:space="preserve">; </w:t>
      </w:r>
      <w:hyperlink r:id="rId718">
        <w:r>
          <w:rPr>
            <w:color w:val="0000EE"/>
            <w:u w:val="single"/>
          </w:rPr>
          <w:t>1Ts 5.16</w:t>
        </w:r>
      </w:hyperlink>
      <w:r>
        <w:t>). Tiago disse que os cristãos devem considerar as provações como alegria porque tais provações desenvolvem a perseverança (</w:t>
      </w:r>
      <w:hyperlink r:id="rId719">
        <w:r>
          <w:rPr>
            <w:color w:val="0000EE"/>
            <w:u w:val="single"/>
          </w:rPr>
          <w:t>Tg 1.2</w:t>
        </w:r>
      </w:hyperlink>
      <w:r>
        <w:t>). Alegria em tempos difíceis só é possível porque é um fruto do Espírito Santo, que está presente em todo cristão (</w:t>
      </w:r>
      <w:hyperlink r:id="rId720">
        <w:r>
          <w:rPr>
            <w:color w:val="0000EE"/>
            <w:u w:val="single"/>
          </w:rPr>
          <w:t>Gl 5.22</w:t>
        </w:r>
      </w:hyperlink>
      <w:r>
        <w:t>).</w:t>
      </w:r>
    </w:p>
    <w:p>
      <w:r/>
      <w:r>
        <w:rPr>
          <w:i/>
        </w:rPr>
        <w:t>Consulte também</w:t>
      </w:r>
      <w:r>
        <w:t xml:space="preserve"> </w:t>
      </w:r>
      <w:r>
        <w:t>Fruto do Espírito</w:t>
      </w:r>
      <w:r>
        <w:t>.</w:t>
      </w:r>
      <w:r/>
      <w:r/>
    </w:p>
    <w:p>
      <w:r/>
    </w:p>
    <w:p>
      <w:pPr>
        <w:pStyle w:val="Heading2"/>
      </w:pPr>
      <w:r>
        <w:t>Aleluia</w:t>
      </w:r>
      <w:r/>
    </w:p>
    <w:p>
      <w:r/>
      <w:r>
        <w:t>Uma frase cristã importante frequentemente utilizada na adoração e liturgia da igreja primitiva.</w:t>
      </w:r>
    </w:p>
    <w:p>
      <w:r/>
      <w:r>
        <w:t xml:space="preserve">“Aleluia” é uma palavra hebraica que significa "Louvai o Senhor". A palavra hebraica foi transliterada (soletrada) usando letras gregas e, depois, com letras do português. É usada como um chamado ao louvor. O povo judeu, desde antes de Cristo, já usava o termo na sinagoga. “Aleluia”, segundo a tradição, era escrita como uma só palavra, exceto em </w:t>
      </w:r>
      <w:hyperlink r:id="rId721">
        <w:r>
          <w:rPr>
            <w:color w:val="0000EE"/>
            <w:u w:val="single"/>
          </w:rPr>
          <w:t>Salmo 135.3</w:t>
        </w:r>
      </w:hyperlink>
      <w:r>
        <w:t xml:space="preserve">. No Antigo Testamento, é encontrada apenas nos Salmos, onde ocorre 23 vezes, e pela primeira vez em </w:t>
      </w:r>
      <w:hyperlink r:id="rId722">
        <w:r>
          <w:rPr>
            <w:color w:val="0000EE"/>
            <w:u w:val="single"/>
          </w:rPr>
          <w:t>Salmo 104.35</w:t>
        </w:r>
      </w:hyperlink>
      <w:r>
        <w:t xml:space="preserve">. </w:t>
      </w:r>
      <w:hyperlink r:id="rId272">
        <w:r>
          <w:rPr>
            <w:color w:val="0000EE"/>
            <w:u w:val="single"/>
          </w:rPr>
          <w:t>Salmos 111</w:t>
        </w:r>
      </w:hyperlink>
      <w:r>
        <w:t xml:space="preserve"> a </w:t>
      </w:r>
      <w:hyperlink r:id="rId723">
        <w:r>
          <w:rPr>
            <w:color w:val="0000EE"/>
            <w:u w:val="single"/>
          </w:rPr>
          <w:t>113</w:t>
        </w:r>
      </w:hyperlink>
      <w:r>
        <w:t xml:space="preserve"> começam com “Aleluia”; </w:t>
      </w:r>
      <w:hyperlink r:id="rId724">
        <w:r>
          <w:rPr>
            <w:color w:val="0000EE"/>
            <w:u w:val="single"/>
          </w:rPr>
          <w:t>Salmos 115</w:t>
        </w:r>
      </w:hyperlink>
      <w:r>
        <w:t xml:space="preserve"> a </w:t>
      </w:r>
      <w:hyperlink r:id="rId725">
        <w:r>
          <w:rPr>
            <w:color w:val="0000EE"/>
            <w:u w:val="single"/>
          </w:rPr>
          <w:t>117</w:t>
        </w:r>
      </w:hyperlink>
      <w:r>
        <w:t xml:space="preserve"> terminam com "Aleluia"; e </w:t>
      </w:r>
      <w:hyperlink r:id="rId726">
        <w:r>
          <w:rPr>
            <w:color w:val="0000EE"/>
            <w:u w:val="single"/>
          </w:rPr>
          <w:t>Salmos 146</w:t>
        </w:r>
      </w:hyperlink>
      <w:r>
        <w:t xml:space="preserve"> a </w:t>
      </w:r>
      <w:hyperlink r:id="rId727">
        <w:r>
          <w:rPr>
            <w:color w:val="0000EE"/>
            <w:u w:val="single"/>
          </w:rPr>
          <w:t>150</w:t>
        </w:r>
      </w:hyperlink>
      <w:r>
        <w:t xml:space="preserve"> começam e terminam com ela.</w:t>
      </w:r>
    </w:p>
    <w:p>
      <w:r/>
      <w:r>
        <w:t xml:space="preserve">Na Septuaginta (a tradução grega do Antigo Testamento) versão de </w:t>
      </w:r>
      <w:hyperlink r:id="rId728">
        <w:r>
          <w:rPr>
            <w:color w:val="0000EE"/>
            <w:u w:val="single"/>
          </w:rPr>
          <w:t>Salmos 113–118</w:t>
        </w:r>
      </w:hyperlink>
      <w:r>
        <w:t>, todos os salmos são intitulados “Aleluia”. A igreja adotou a forma "Aleluia" da Vulgata (a tradução latina da Bíblia). “Amém” e “Aleluia”, duas palavras hebraicas que foram adotadas para uso litúrgico, passaram do Antigo Testamento para o Novo Testamento e finalmente para a igreja. Em algumas traduções, o termo é traduzido como “Louvai ao Senhor” ou “Louvem o Senhor“.</w:t>
      </w:r>
    </w:p>
    <w:p>
      <w:r/>
      <w:r>
        <w:t xml:space="preserve">No culto judaico, </w:t>
      </w:r>
      <w:hyperlink r:id="rId728">
        <w:r>
          <w:rPr>
            <w:color w:val="0000EE"/>
            <w:u w:val="single"/>
          </w:rPr>
          <w:t>os Salmos 113–118,</w:t>
        </w:r>
      </w:hyperlink>
      <w:r>
        <w:t xml:space="preserve"> chamados de Hallel ou Hino de Louvor, são cantados nas festas de Páscoa, Pentecostes e Tabernáculos. Durante a Páscoa, </w:t>
      </w:r>
      <w:hyperlink r:id="rId723">
        <w:r>
          <w:rPr>
            <w:color w:val="0000EE"/>
            <w:u w:val="single"/>
          </w:rPr>
          <w:t>os Salmos 113</w:t>
        </w:r>
      </w:hyperlink>
      <w:r>
        <w:t xml:space="preserve"> e </w:t>
      </w:r>
      <w:hyperlink r:id="rId729">
        <w:r>
          <w:rPr>
            <w:color w:val="0000EE"/>
            <w:u w:val="single"/>
          </w:rPr>
          <w:t>114</w:t>
        </w:r>
      </w:hyperlink>
      <w:r>
        <w:t xml:space="preserve"> são cantados em casa antes da refeição, e </w:t>
      </w:r>
      <w:hyperlink r:id="rId730">
        <w:r>
          <w:rPr>
            <w:color w:val="0000EE"/>
            <w:u w:val="single"/>
          </w:rPr>
          <w:t>os Salmos 115–118</w:t>
        </w:r>
      </w:hyperlink>
      <w:r>
        <w:t xml:space="preserve"> são cantados depois dela. </w:t>
      </w:r>
      <w:hyperlink r:id="rId731">
        <w:r>
          <w:rPr>
            <w:color w:val="0000EE"/>
            <w:u w:val="single"/>
          </w:rPr>
          <w:t>Mateus 26.30</w:t>
        </w:r>
      </w:hyperlink>
      <w:r>
        <w:t xml:space="preserve"> e </w:t>
      </w:r>
      <w:hyperlink r:id="rId732">
        <w:r>
          <w:rPr>
            <w:color w:val="0000EE"/>
            <w:u w:val="single"/>
          </w:rPr>
          <w:t>Marcos 14.26</w:t>
        </w:r>
      </w:hyperlink>
      <w:r>
        <w:t xml:space="preserve"> referem-se </w:t>
      </w:r>
      <w:hyperlink r:id="rId730">
        <w:r>
          <w:rPr>
            <w:color w:val="0000EE"/>
            <w:u w:val="single"/>
          </w:rPr>
          <w:t>aos Salmos 115–118</w:t>
        </w:r>
      </w:hyperlink>
      <w:r>
        <w:t xml:space="preserve"> como “hino” quando são cantados por Jesus e seus discípulos na Santa Ceia.</w:t>
      </w:r>
    </w:p>
    <w:p>
      <w:r/>
      <w:r>
        <w:t xml:space="preserve">“Aleluia” aparece apenas no Novo Testamento em </w:t>
      </w:r>
      <w:hyperlink r:id="rId733">
        <w:r>
          <w:rPr>
            <w:color w:val="0000EE"/>
            <w:u w:val="single"/>
          </w:rPr>
          <w:t>Apocalipse 19.1</w:t>
        </w:r>
      </w:hyperlink>
      <w:r>
        <w:t>–</w:t>
      </w:r>
      <w:hyperlink r:id="rId733">
        <w:r>
          <w:rPr>
            <w:color w:val="0000EE"/>
            <w:u w:val="single"/>
          </w:rPr>
          <w:t>6</w:t>
        </w:r>
      </w:hyperlink>
      <w:r>
        <w:t xml:space="preserve">. É cantado pelos santos no céu. Desde cedo, foi adotado na liturgia da igreja. Tornou-se a expressão mais comum de alegria, sendo cantada na Páscoa, como menciona Agostinho. A igreja escolheu </w:t>
      </w:r>
      <w:hyperlink r:id="rId723">
        <w:r>
          <w:rPr>
            <w:color w:val="0000EE"/>
            <w:u w:val="single"/>
          </w:rPr>
          <w:t>Salmos 113</w:t>
        </w:r>
      </w:hyperlink>
      <w:r>
        <w:t xml:space="preserve">, </w:t>
      </w:r>
      <w:hyperlink r:id="rId729">
        <w:r>
          <w:rPr>
            <w:color w:val="0000EE"/>
            <w:u w:val="single"/>
          </w:rPr>
          <w:t>114</w:t>
        </w:r>
      </w:hyperlink>
      <w:r>
        <w:t xml:space="preserve"> e </w:t>
      </w:r>
      <w:hyperlink r:id="rId734">
        <w:r>
          <w:rPr>
            <w:color w:val="0000EE"/>
            <w:u w:val="single"/>
          </w:rPr>
          <w:t>118</w:t>
        </w:r>
      </w:hyperlink>
      <w:r>
        <w:t xml:space="preserve"> do Hallel hebraico para serem cantados no dia da Páscoa, conectando a Páscoa com a Páscoa judaica.</w:t>
      </w:r>
    </w:p>
    <w:p>
      <w:r/>
      <w:r>
        <w:rPr>
          <w:i/>
        </w:rPr>
        <w:t>Consulte também</w:t>
      </w:r>
      <w:r>
        <w:t xml:space="preserve"> </w:t>
      </w:r>
      <w:r>
        <w:t>Hallel</w:t>
      </w:r>
      <w:r>
        <w:t>.</w:t>
      </w:r>
      <w:r/>
      <w:r/>
    </w:p>
    <w:p>
      <w:r/>
    </w:p>
    <w:p>
      <w:pPr>
        <w:pStyle w:val="Heading2"/>
      </w:pPr>
      <w:r>
        <w:t>Alexandre</w:t>
      </w:r>
      <w:r/>
    </w:p>
    <w:p>
      <w:r/>
      <w:r>
        <w:t>1. O conquistador macedônio, Alexandre, o Grande (356–323 a.C.), cuja vida influenciou a história e a cultura por mais de dois milênios, até os dias atuais. Ele foi um brilhante organizador e estrategista militar, mas sua maior conquista foi a Helenização do império que conquistou. Essa influência cultural grega foi um elemento unificador entre muitos povos diversos.</w:t>
      </w:r>
    </w:p>
    <w:p>
      <w:r/>
      <w:r>
        <w:t>A introdução da língua grega em todo esse império também teve efeitos de longo alcance. O AT foi traduzido para o grego em Alexandria, Egito, e os livros do NT foram escritos nessa língua. Os primeiros missionários cristãos eram bilíngues, de modo que era possível levar o evangelho "primeiramente aos judeus e também aos gregos" (</w:t>
      </w:r>
      <w:hyperlink r:id="rId735">
        <w:r>
          <w:rPr>
            <w:color w:val="0000EE"/>
            <w:u w:val="single"/>
          </w:rPr>
          <w:t>Rom 1.16</w:t>
        </w:r>
      </w:hyperlink>
      <w:r>
        <w:t>).</w:t>
      </w:r>
    </w:p>
    <w:p>
      <w:r/>
      <w:r>
        <w:t>Alexandre era filho de um pai ilustre, Filipe II da Macedônia. Um líder militar experiente em sua adolescência, Alexandre sucedeu ao trono aos 20 anos após o assassinato de seu pai. Depois de reprimir as rebeliões que eclodiram na morte de seu pai, Alexandre cruzou o Dardanelos e conquistou a Ásia Menor. Em 333 a.C., ele encontrou e derrotou o exército persa renomado de Dario III em Issus, em uma batalha que teve uma significância histórica duradoura. Descendo pela costa do Mediterrâneo, ele capturou Sidon, Tiro e Gaza. Chegando ao Egito em 332 a.C., ele foi aclamado pelo oráculo de Amon em Siwa como o faraó divino. Ele fundou Alexandria, uma das mais de 60 cidades que estabeleceu com esse nome, e então avançou para o Leste. Em Arbela (331 a.C.), ele novamente derrotou os persas. Quando chegou à Pérsia, ele tomou as cidades de Susa, Persépolis e Ecbatana. Ele avançou para o leste até chegar ao rio Indo; aqui, com suas tropas exaustas e ameaçando se amotinar, ele voltou para o Oeste. Ele morreu em Babilônia em 323 a.C., vítima de febre, exaustão e dissipação, e mestre de um império que se estendia do Danúbio ao Indo e ao sul até o Nilo Egípcio.</w:t>
      </w:r>
    </w:p>
    <w:p>
      <w:r/>
      <w:r>
        <w:rPr>
          <w:i/>
        </w:rPr>
        <w:t>Ver também</w:t>
      </w:r>
      <w:r>
        <w:t xml:space="preserve"> </w:t>
      </w:r>
      <w:r>
        <w:t>Grécia, Grego</w:t>
      </w:r>
      <w:r>
        <w:t xml:space="preserve">; </w:t>
      </w:r>
      <w:r>
        <w:t>Helenismo</w:t>
      </w:r>
      <w:r>
        <w:t xml:space="preserve">; </w:t>
      </w:r>
      <w:r>
        <w:t>Helenistas</w:t>
      </w:r>
      <w:r>
        <w:t xml:space="preserve">; </w:t>
      </w:r>
      <w:r>
        <w:t>Judaísmo</w:t>
      </w:r>
      <w:r>
        <w:t xml:space="preserve">; </w:t>
      </w:r>
      <w:r>
        <w:t>Alexandria</w:t>
      </w:r>
      <w:r>
        <w:t>.</w:t>
      </w:r>
    </w:p>
    <w:p>
      <w:r/>
      <w:r>
        <w:t>2. Irmão de Rufus e filho de Simão de Cirene, o homem que passava no momento em que Jesus estava sendo levado ao Gólgota e a quem os soldados romanos obrigaram a carregar a cruz (</w:t>
      </w:r>
      <w:hyperlink r:id="rId736">
        <w:r>
          <w:rPr>
            <w:color w:val="0000EE"/>
            <w:u w:val="single"/>
          </w:rPr>
          <w:t>Mc 15.21</w:t>
        </w:r>
      </w:hyperlink>
      <w:r>
        <w:t>).</w:t>
      </w:r>
    </w:p>
    <w:p>
      <w:r/>
      <w:r>
        <w:t>3. Um membro da família sacerdotal juntamente com Caifás, Anás o sumo sacerdote, e João (</w:t>
      </w:r>
      <w:hyperlink r:id="rId737">
        <w:r>
          <w:rPr>
            <w:color w:val="0000EE"/>
            <w:u w:val="single"/>
          </w:rPr>
          <w:t>Atos 4.6</w:t>
        </w:r>
      </w:hyperlink>
      <w:r>
        <w:t>). Foi esse grupo que convocou Pedro e João para comparecerem diante deles para dar conta da cura do homem coxo à Porta Formosa do templo (</w:t>
      </w:r>
      <w:hyperlink r:id="rId738">
        <w:r>
          <w:rPr>
            <w:color w:val="0000EE"/>
            <w:u w:val="single"/>
          </w:rPr>
          <w:t>Atos 3</w:t>
        </w:r>
      </w:hyperlink>
      <w:r>
        <w:t>).</w:t>
      </w:r>
    </w:p>
    <w:p>
      <w:r/>
      <w:r>
        <w:t>4. Efésio que foi apresentado pelos judeus para servir como porta-voz deles quando o ourives Demétrio incitou os efésios à revolta (</w:t>
      </w:r>
      <w:hyperlink r:id="rId739">
        <w:r>
          <w:rPr>
            <w:color w:val="0000EE"/>
            <w:u w:val="single"/>
          </w:rPr>
          <w:t>Atos 19.33</w:t>
        </w:r>
      </w:hyperlink>
      <w:r>
        <w:t>). A pregação do evangelho por Paulo e seus companheiros resultou na conversão de muitas pessoas, que abandonaram a adoração à deusa Ártemis (Diana) e assim reduziram a renda dos ourives, cuja receita derivava da fabricação de imagens desta divindade (</w:t>
      </w:r>
      <w:hyperlink r:id="rId740">
        <w:r>
          <w:rPr>
            <w:color w:val="0000EE"/>
            <w:u w:val="single"/>
          </w:rPr>
          <w:t>Atos 19.23–41</w:t>
        </w:r>
      </w:hyperlink>
      <w:r>
        <w:t>).</w:t>
      </w:r>
    </w:p>
    <w:p>
      <w:r/>
      <w:r>
        <w:t>5. Aquele que, com Himeneu, foi mencionado como tendo naufragado na sua fé por causa da rejeição da consciência (</w:t>
      </w:r>
      <w:hyperlink r:id="rId741">
        <w:r>
          <w:rPr>
            <w:color w:val="0000EE"/>
            <w:u w:val="single"/>
          </w:rPr>
          <w:t>1Tm 1.20</w:t>
        </w:r>
      </w:hyperlink>
      <w:r>
        <w:t>). Paulo afirma que ele os tinha "entregue a Satanás para que aprendessem a não blasfemar contra Deus".</w:t>
      </w:r>
    </w:p>
    <w:p>
      <w:r/>
      <w:r>
        <w:t>6. Ferreiro (</w:t>
      </w:r>
      <w:hyperlink r:id="rId742">
        <w:r>
          <w:rPr>
            <w:color w:val="0000EE"/>
            <w:u w:val="single"/>
          </w:rPr>
          <w:t>2Tm 4.14</w:t>
        </w:r>
      </w:hyperlink>
      <w:r>
        <w:t xml:space="preserve">). Paulo adverte Timóteo a tomar cuidado com este homem, que causou muito mal a Paulo e se opôs fortemente à mensagem do evangelho. Alguns estudiosos pensam que este Alexandre é o mesmo Alexandre de </w:t>
      </w:r>
      <w:hyperlink r:id="rId741">
        <w:r>
          <w:rPr>
            <w:color w:val="0000EE"/>
            <w:u w:val="single"/>
          </w:rPr>
          <w:t>1 Timóteo 1.20</w:t>
        </w:r>
      </w:hyperlink>
      <w:r>
        <w:t xml:space="preserve"> (#5 acima).</w:t>
      </w:r>
      <w:r/>
      <w:r/>
    </w:p>
    <w:p>
      <w:r/>
    </w:p>
    <w:p>
      <w:pPr>
        <w:pStyle w:val="Heading2"/>
      </w:pPr>
      <w:r>
        <w:t>Alexandria</w:t>
      </w:r>
      <w:r/>
    </w:p>
    <w:p>
      <w:r/>
      <w:r>
        <w:t xml:space="preserve">Uma cidade egípcia estabelecida por Alexandre, o Grande, em 331 a.C. </w:t>
      </w:r>
    </w:p>
    <w:p>
      <w:r/>
      <w:r>
        <w:t xml:space="preserve">Alexandria foi a capital do Egito durante os períodos helenístico e romano. Ao lado de Roma, Alexandria era a cidade mais importante do mundo antigo. Alexandre construiu a cidade na extremidade oeste do delta do Rio Nilo, em uma península entre o continente do Egito e o Mar Mediterrâneo. </w:t>
      </w:r>
    </w:p>
    <w:p>
      <w:r/>
      <w:r>
        <w:t>Seu porto era protegido pela ilha de Pharos. Pharos foi o local de um enorme farol (o Farol de Alexandria). Era uma das sete maravilhas do mundo antigo. Pharos tinha a forma da parte superior da letra "T" em inglês. O tronco do "T" era uma estrutura longa e estreita construída a partir da península em direção à água. Esta estrutura (um quebra-mar) protegia o antigo porto, que ficava em ambos os lados do "T."</w:t>
      </w:r>
    </w:p>
    <w:p>
      <w:r/>
      <w:r>
        <w:t>Alexandre construiu a cidade para fornecer uma base militar, instalações portuárias e um centro comercial. Com esses recursos, ele poderia controlar o Egito e o Oriente. A cidade foi planejada em um padrão de grade, com duas ruas arborizadas, de cerca de 61 metros de largura, que se cruzavam no meio. Era dividida em três distritos. Os judeus viviam no nordeste. Os egípcios viviam no oeste. Os gregos viviam ao sul.</w:t>
      </w:r>
    </w:p>
    <w:p>
      <w:r/>
      <w:r>
        <w:t>Alexandria era famosa na antiguidade por sua arquitetura. Era conhecido pelo farol, o Museu, o mausoléu de Alexandre, o Serapeu e os edifícios comerciais. O Museu foi a maior biblioteca e centro de aprendizado da era helenística. Um dos generais de Alexandre, Ptolemeu, construiu o mausoléu (um grande túmulo) de Alexandre. O Serapeu era um templo dedicado ao deus grego Pã. De acordo com o geógrafo Estrabão, o Serapeu tinha a forma de um cone de pinheiro (redondo como um ovo com uma ponta no topo).</w:t>
      </w:r>
    </w:p>
    <w:p>
      <w:r/>
      <w:r>
        <w:t>As evidências arqueológicas dessas estruturas da cidade antiga são raras. Um terremoto danificou o farol em 796 d.C. Foi destruído cerca de 500 anos depois. Apenas um suporte de rolo e uma estátua foram encontrados no Museu.</w:t>
      </w:r>
    </w:p>
    <w:p>
      <w:r/>
      <w:r>
        <w:t>Alexandria desempenhou um papel fundamental na história do mundo greco-romano. Alexandre, o Grande, morreu em 323 a.C. Após sua morte, o Egito caiu nas mãos de Ptolemeu, cuja família governou até Cleópatra. Após Alexandre destruir a cidade de Tiro, Alexandria tornou-se o centro de comércio entre o mundo grego e o Oriente, assim como o centro do Egito. O romance de Júlio César com Cleópatra levou ao fim do governo da família de Ptolemeu.</w:t>
      </w:r>
    </w:p>
    <w:p>
      <w:r/>
      <w:r>
        <w:t>O Museu de Alexandria não era como os museus de hoje. Na verdade, era uma universidade e biblioteca. O Museu foi fundado por Ptolemeu Filadelfo. Isso fez de Alexandria o lugar mais importante para o aprendizado no mundo grego. O Museu focava em estudar gramática, analisar literatura e preservar textos importantes. Antes de ser parcialmente destruída pelos egípcios e pelas forças de Júlio César em 47 a.C., ela supostamente tinha 700.000 obras escritas, incluindo textos cuidadosamente editados dos clássicos gregos (escritos gregos populares). No final dos períodos helenístico e romano, o Museu começou a se concentrar nas novas ciências. Um exemplo desse novo foco científico foi um grande farol que eles construíram. Este podia ser visto pelo uso inteligente de espelhos a32 quilômetros no mar.</w:t>
      </w:r>
    </w:p>
    <w:p>
      <w:r/>
      <w:r>
        <w:t>Desde o início, Alexandria tinha uma grande população judaica. Com o apoio dos Ptolomeus, estudiosos judeus produziram a tradução grega do Antigo Testamento conhecida como a Septuaginta. A tensão étnica na cidade aumentou à medida que a população judaica cresceu e prosperou. Em 42 d.C., a tensão explodiu em tumultos pelos gregos e na expulsão dos judeus das seções gentias nas quais eles haviam se espalhado. O sucesso comercial dos judeus, particularmente no comércio de trigo, levou a uma hostilidade intensificada contra o povo judeu.</w:t>
      </w:r>
    </w:p>
    <w:p>
      <w:r/>
      <w:r>
        <w:t>Há apenas algumas referências a Alexandria nas Escrituras:</w:t>
      </w:r>
    </w:p>
    <w:p>
      <w:pPr>
        <w:pStyle w:val="ListBullet"/>
        <w:spacing w:line="240" w:lineRule="auto"/>
        <w:ind w:left="720"/>
      </w:pPr>
      <w:r/>
      <w:r>
        <w:t>Estevão, que se tornou o primeiro mártir cristão, debateu com "Alexandrinos" em Jerusalém sobre Jesus como o Messias (</w:t>
      </w:r>
      <w:hyperlink r:id="rId743">
        <w:r>
          <w:rPr>
            <w:color w:val="0000EE"/>
            <w:u w:val="single"/>
          </w:rPr>
          <w:t>Atos 6.9</w:t>
        </w:r>
      </w:hyperlink>
      <w:r>
        <w:t>). Algumas traduções identificam os Alexandrinos como "Judeus de Alexandria."</w:t>
      </w:r>
    </w:p>
    <w:p>
      <w:pPr>
        <w:pStyle w:val="ListBullet"/>
        <w:spacing w:line="240" w:lineRule="auto"/>
        <w:ind w:left="720"/>
      </w:pPr>
      <w:r/>
      <w:r>
        <w:t>Apolo, que era natural de Alexandria (</w:t>
      </w:r>
      <w:hyperlink r:id="rId744">
        <w:r>
          <w:rPr>
            <w:color w:val="0000EE"/>
            <w:u w:val="single"/>
          </w:rPr>
          <w:t>Atos 18.24</w:t>
        </w:r>
      </w:hyperlink>
      <w:r>
        <w:t>), foi descrito como “um homem eloquente, bem versado nas escrituras.”</w:t>
      </w:r>
    </w:p>
    <w:p>
      <w:pPr>
        <w:pStyle w:val="ListBullet"/>
        <w:spacing w:line="240" w:lineRule="auto"/>
        <w:ind w:left="720"/>
      </w:pPr>
      <w:r/>
      <w:r>
        <w:t>O apóstolo Paulo fez sua viagem marítima para Roma a bordo de dois navios Alexandrinos (</w:t>
      </w:r>
      <w:hyperlink r:id="rId745">
        <w:r>
          <w:rPr>
            <w:color w:val="0000EE"/>
            <w:u w:val="single"/>
          </w:rPr>
          <w:t>Atos 27.6</w:t>
        </w:r>
      </w:hyperlink>
      <w:r>
        <w:t xml:space="preserve">; </w:t>
      </w:r>
      <w:hyperlink r:id="rId746">
        <w:r>
          <w:rPr>
            <w:color w:val="0000EE"/>
            <w:u w:val="single"/>
          </w:rPr>
          <w:t>28.11</w:t>
        </w:r>
      </w:hyperlink>
      <w:r>
        <w:t>).</w:t>
      </w:r>
    </w:p>
    <w:p>
      <w:r/>
      <w:r>
        <w:t xml:space="preserve">A ênfase mais antiga nos estudos bíblicos em Alexandria era Gnóstica. Esta ênfase começou com um professor chamado Basílides e continuou com seu filho Isidoro. </w:t>
      </w:r>
    </w:p>
    <w:p>
      <w:r/>
      <w:r>
        <w:t>Mais tarde, desenvolveu-se uma escola alegorizante. O método alegórico tentava encontrar verdades espirituais em cada detalhe da Bíblia, mesmo em partes que podem parecer sem importância à primeira vista. Teve apoio regular de patrocinadores ricos e um currículo organizado. Clemente e Orígenes são os nomes mais frequentemente associados a esta escola. O ensino enfatizou três níveis de significado nas Escrituras: histórico, ético e espiritual.</w:t>
      </w:r>
    </w:p>
    <w:p>
      <w:r/>
      <w:r>
        <w:t xml:space="preserve">O arianismo era uma crença no cristianismo primitivo que mais tarde foi considerada heresia pela igreja. Foi desenvolvido em Alexandria, uma importante cidade do antigo Egito, por um homem chamado Ário, presbítero de Alexandria. Esta escola de pensamento disse que Cristo não era eterno. O arianismo argumentava que, como Cristo foi gerado, ele, portanto, teve um começo. </w:t>
      </w:r>
    </w:p>
    <w:p>
      <w:r/>
      <w:r>
        <w:t xml:space="preserve">O principal oponente do Arianismo foi Atanásio, que também era de Alexandria. Atanásio desempenhou um papel crucial na defesa da compreensão da igreja primitiva sobre quem é Jesus e como ele se relaciona com Deus Pai. Foi principalmente através dos esforços de Atanásio que esse ensino errado perdeu seu poder e influência no século IV, e o Símbolo de Niceia (uma declaração de crença cristã) foi confirmado no Concílio de Constantinopla em 381 d.C. </w:t>
      </w:r>
    </w:p>
    <w:p>
      <w:r/>
      <w:r>
        <w:rPr>
          <w:i/>
        </w:rPr>
        <w:t>Veja também</w:t>
      </w:r>
      <w:r>
        <w:t xml:space="preserve"> </w:t>
      </w:r>
      <w:r>
        <w:t>Alexandre #1</w:t>
      </w:r>
      <w:r>
        <w:t xml:space="preserve">; </w:t>
      </w:r>
      <w:r>
        <w:t>Helenismo</w:t>
      </w:r>
      <w:r>
        <w:t xml:space="preserve">; </w:t>
      </w:r>
      <w:r>
        <w:t>Filo, o judeu</w:t>
      </w:r>
      <w:r>
        <w:t xml:space="preserve">; </w:t>
      </w:r>
      <w:r>
        <w:t>Helenistas</w:t>
      </w:r>
      <w:r>
        <w:t>.</w:t>
      </w:r>
      <w:r/>
      <w:r/>
    </w:p>
    <w:p>
      <w:r/>
    </w:p>
    <w:p>
      <w:pPr>
        <w:pStyle w:val="Heading2"/>
      </w:pPr>
      <w:r>
        <w:t>Alfeu</w:t>
      </w:r>
      <w:r/>
    </w:p>
    <w:p>
      <w:r/>
      <w:r>
        <w:t>1. Pai de Tiago, um dos 12 apóstolos (</w:t>
      </w:r>
      <w:hyperlink r:id="rId747">
        <w:r>
          <w:rPr>
            <w:color w:val="0000EE"/>
            <w:u w:val="single"/>
          </w:rPr>
          <w:t>Mt 10.3</w:t>
        </w:r>
      </w:hyperlink>
      <w:r>
        <w:t xml:space="preserve">; </w:t>
      </w:r>
      <w:hyperlink r:id="rId748">
        <w:r>
          <w:rPr>
            <w:color w:val="0000EE"/>
            <w:u w:val="single"/>
          </w:rPr>
          <w:t>Mc 3.18</w:t>
        </w:r>
      </w:hyperlink>
      <w:r>
        <w:t xml:space="preserve">; </w:t>
      </w:r>
      <w:hyperlink r:id="rId749">
        <w:r>
          <w:rPr>
            <w:color w:val="0000EE"/>
            <w:u w:val="single"/>
          </w:rPr>
          <w:t>Lc 6.15</w:t>
        </w:r>
      </w:hyperlink>
      <w:r>
        <w:t xml:space="preserve">; </w:t>
      </w:r>
      <w:hyperlink r:id="rId750">
        <w:r>
          <w:rPr>
            <w:color w:val="0000EE"/>
            <w:u w:val="single"/>
          </w:rPr>
          <w:t>Atos 1.13</w:t>
        </w:r>
      </w:hyperlink>
      <w:r>
        <w:t xml:space="preserve">), considerado por alguns como sendo o mesmo que Clopas de </w:t>
      </w:r>
      <w:hyperlink r:id="rId751">
        <w:r>
          <w:rPr>
            <w:color w:val="0000EE"/>
            <w:u w:val="single"/>
          </w:rPr>
          <w:t>João 19.25</w:t>
        </w:r>
      </w:hyperlink>
      <w:r>
        <w:t>.</w:t>
      </w:r>
    </w:p>
    <w:p>
      <w:r/>
      <w:r>
        <w:t>2. Pai de Levi, o cobrador de impostos (</w:t>
      </w:r>
      <w:hyperlink r:id="rId752">
        <w:r>
          <w:rPr>
            <w:color w:val="0000EE"/>
            <w:u w:val="single"/>
          </w:rPr>
          <w:t>Mc 2.14</w:t>
        </w:r>
      </w:hyperlink>
      <w:r>
        <w:t>) que também é conhecido nos Evangelhos como Mateus (</w:t>
      </w:r>
      <w:hyperlink r:id="rId753">
        <w:r>
          <w:rPr>
            <w:color w:val="0000EE"/>
            <w:u w:val="single"/>
          </w:rPr>
          <w:t>Mt 9.9</w:t>
        </w:r>
      </w:hyperlink>
      <w:r>
        <w:t>).</w:t>
      </w:r>
      <w:r/>
      <w:r/>
    </w:p>
    <w:p>
      <w:r/>
    </w:p>
    <w:p>
      <w:pPr>
        <w:pStyle w:val="Heading2"/>
      </w:pPr>
      <w:r>
        <w:t>Alho</w:t>
      </w:r>
      <w:r/>
    </w:p>
    <w:p>
      <w:r/>
      <w:r>
        <w:t>Uma planta com um bulbo que as pessoas cultivam para cozinhar. Os israelitas lembraram-se de comer alho no Egito (</w:t>
      </w:r>
      <w:hyperlink r:id="rId754">
        <w:r>
          <w:rPr>
            <w:color w:val="0000EE"/>
            <w:u w:val="single"/>
          </w:rPr>
          <w:t>Nm 11.5</w:t>
        </w:r>
      </w:hyperlink>
      <w:r>
        <w:t>). Tem um sabor e cheiro fortes que muitas pessoas apreciam em sua comida. O alho tem sido usado por milhares de anos, tanto como alimento quanto como remédio.</w:t>
      </w:r>
    </w:p>
    <w:p>
      <w:r/>
      <w:r>
        <w:t>O alho comum (</w:t>
      </w:r>
      <w:r>
        <w:rPr>
          <w:i/>
        </w:rPr>
        <w:t>Allium sativum</w:t>
      </w:r>
      <w:r>
        <w:t>) é uma planta perene, bulbosa e resistente, cultivada na Europa, Ásia Ocidental e Egito. As folhas são estreitas, planas e em forma de fita. O alho é extremamente popular entre as pessoas que vivem na região do Mediterrâneo.</w:t>
      </w:r>
    </w:p>
    <w:p>
      <w:r/>
      <w:r>
        <w:t>O alho está intimamente relacionado às cebolas (</w:t>
      </w:r>
      <w:r>
        <w:rPr>
          <w:i/>
        </w:rPr>
        <w:t>Allium cepa</w:t>
      </w:r>
      <w:r>
        <w:t>).</w:t>
      </w:r>
    </w:p>
    <w:p>
      <w:r/>
      <w:r>
        <w:rPr>
          <w:i/>
        </w:rPr>
        <w:t>Veja</w:t>
      </w:r>
      <w:r>
        <w:t xml:space="preserve"> </w:t>
      </w:r>
      <w:r>
        <w:t>Alimentos e preparação de alimentos</w:t>
      </w:r>
      <w:r>
        <w:t xml:space="preserve">; </w:t>
      </w:r>
      <w:r>
        <w:t>Cebola</w:t>
      </w:r>
      <w:r>
        <w:t>.</w:t>
      </w:r>
      <w:r/>
      <w:r/>
    </w:p>
    <w:p>
      <w:r/>
    </w:p>
    <w:p>
      <w:pPr>
        <w:pStyle w:val="Heading2"/>
      </w:pPr>
      <w:r>
        <w:t>Alho-poró</w:t>
      </w:r>
      <w:r/>
    </w:p>
    <w:p>
      <w:r/>
      <w:r>
        <w:t>Uma erva de jardim relacionada a cebolas e alho (</w:t>
      </w:r>
      <w:hyperlink r:id="rId754">
        <w:r>
          <w:rPr>
            <w:color w:val="0000EE"/>
            <w:u w:val="single"/>
          </w:rPr>
          <w:t>Nm 11.5</w:t>
        </w:r>
      </w:hyperlink>
      <w:r>
        <w:t>). Alhos-porós (</w:t>
      </w:r>
      <w:r>
        <w:rPr>
          <w:i/>
        </w:rPr>
        <w:t>Allium porrum</w:t>
      </w:r>
      <w:r>
        <w:t>) têm folhas longas e retas que formam um feixe cilíndrico. A parte comestível é o caule ou talo branco que cresce no subsolo.</w:t>
      </w:r>
    </w:p>
    <w:p>
      <w:r/>
      <w:r>
        <w:t>O bulbo do alho-poró é diferente do da cebola e do alho porque é esguio, cilíndrico e tem mais de 15,2 centímetros (seis polegadas) de comprimento. O sabor é semelhante ao da cebola, mas mais forte. As pessoas consomem as folhas como condimento ou as cozinham em sopas. Elas cortam os bulbos em pequenos pedaços e os utilizam como tempero para carne.</w:t>
      </w:r>
    </w:p>
    <w:p>
      <w:r/>
      <w:r>
        <w:rPr>
          <w:i/>
        </w:rPr>
        <w:t xml:space="preserve">Veja </w:t>
      </w:r>
      <w:r>
        <w:t>Cebola</w:t>
      </w:r>
      <w:r>
        <w:t>.</w:t>
      </w:r>
      <w:r/>
      <w:r/>
    </w:p>
    <w:p>
      <w:r/>
    </w:p>
    <w:p>
      <w:pPr>
        <w:pStyle w:val="Heading2"/>
      </w:pPr>
      <w:r>
        <w:t>Aliança</w:t>
      </w:r>
      <w:r/>
    </w:p>
    <w:p>
      <w:r/>
      <w:r>
        <w:t>Uma aliança é uma associação próxima de indivíduos ou nações poderosas com um objetivo comum. Tais alianças foram confirmadas de várias maneiras:</w:t>
      </w:r>
    </w:p>
    <w:p>
      <w:pPr>
        <w:pStyle w:val="ListBullet"/>
        <w:spacing w:line="240" w:lineRule="auto"/>
        <w:ind w:left="720"/>
      </w:pPr>
      <w:r/>
      <w:r>
        <w:t>dando presentes</w:t>
      </w:r>
    </w:p>
    <w:p>
      <w:pPr>
        <w:pStyle w:val="ListBullet"/>
        <w:spacing w:line="240" w:lineRule="auto"/>
        <w:ind w:left="720"/>
      </w:pPr>
      <w:r/>
      <w:r>
        <w:t>fazendo promessas</w:t>
      </w:r>
    </w:p>
    <w:p>
      <w:pPr>
        <w:pStyle w:val="ListBullet"/>
        <w:spacing w:line="240" w:lineRule="auto"/>
        <w:ind w:left="720"/>
      </w:pPr>
      <w:r/>
      <w:r>
        <w:t>pagar dinheiro à família ao casar (dotes)</w:t>
      </w:r>
    </w:p>
    <w:p>
      <w:pPr>
        <w:pStyle w:val="ListBullet"/>
        <w:spacing w:line="240" w:lineRule="auto"/>
        <w:ind w:left="720"/>
      </w:pPr>
      <w:r/>
      <w:r>
        <w:t>organizando casamentos entre famílias importantes</w:t>
      </w:r>
    </w:p>
    <w:p>
      <w:pPr>
        <w:pStyle w:val="ListBullet"/>
        <w:spacing w:line="240" w:lineRule="auto"/>
        <w:ind w:left="720"/>
      </w:pPr>
      <w:r/>
      <w:r>
        <w:t>fazendo acordos especiais (pactos)</w:t>
      </w:r>
    </w:p>
    <w:p>
      <w:r/>
      <w:r>
        <w:t>No tempo dos patriarcas (quando Abraão, Isaque e Jacó viveram), os israelitas faziam alianças com nações estrangeiras com facilidade. Abraão fez alianças com:</w:t>
      </w:r>
    </w:p>
    <w:p>
      <w:pPr>
        <w:pStyle w:val="ListBullet"/>
        <w:spacing w:line="240" w:lineRule="auto"/>
        <w:ind w:left="720"/>
      </w:pPr>
      <w:r/>
      <w:r>
        <w:t>três amorreus: Manre, Escol e Aner (</w:t>
      </w:r>
      <w:hyperlink r:id="rId755">
        <w:r>
          <w:rPr>
            <w:color w:val="0000EE"/>
            <w:u w:val="single"/>
          </w:rPr>
          <w:t>Gn 14.13,24</w:t>
        </w:r>
      </w:hyperlink>
      <w:r>
        <w:t>)</w:t>
      </w:r>
    </w:p>
    <w:p>
      <w:pPr>
        <w:pStyle w:val="ListBullet"/>
        <w:spacing w:line="240" w:lineRule="auto"/>
        <w:ind w:left="720"/>
      </w:pPr>
      <w:r/>
      <w:r>
        <w:t>Abimeleque, rei de Gerar (</w:t>
      </w:r>
      <w:hyperlink r:id="rId93">
        <w:r>
          <w:rPr>
            <w:color w:val="0000EE"/>
            <w:u w:val="single"/>
          </w:rPr>
          <w:t>Gn 21.22–34</w:t>
        </w:r>
      </w:hyperlink>
      <w:r>
        <w:t>).</w:t>
      </w:r>
    </w:p>
    <w:p>
      <w:r/>
      <w:r>
        <w:t>Isaque, filho de Abraão, também se aliou a Abimeleque (</w:t>
      </w:r>
      <w:hyperlink r:id="rId756">
        <w:r>
          <w:rPr>
            <w:color w:val="0000EE"/>
            <w:u w:val="single"/>
          </w:rPr>
          <w:t>Gn 26.26</w:t>
        </w:r>
      </w:hyperlink>
      <w:r>
        <w:t>-</w:t>
      </w:r>
      <w:hyperlink r:id="rId756">
        <w:r>
          <w:rPr>
            <w:color w:val="0000EE"/>
            <w:u w:val="single"/>
          </w:rPr>
          <w:t>31</w:t>
        </w:r>
      </w:hyperlink>
      <w:r>
        <w:t>).</w:t>
      </w:r>
    </w:p>
    <w:p>
      <w:r/>
      <w:r>
        <w:t>Mais tarde, Moisés não permitiu alianças com os cananeus por razões religiosas (</w:t>
      </w:r>
      <w:hyperlink r:id="rId757">
        <w:r>
          <w:rPr>
            <w:color w:val="0000EE"/>
            <w:u w:val="single"/>
          </w:rPr>
          <w:t>Êx 23.31</w:t>
        </w:r>
      </w:hyperlink>
      <w:r>
        <w:t>-</w:t>
      </w:r>
      <w:hyperlink r:id="rId757">
        <w:r>
          <w:rPr>
            <w:color w:val="0000EE"/>
            <w:u w:val="single"/>
          </w:rPr>
          <w:t>33</w:t>
        </w:r>
      </w:hyperlink>
      <w:r>
        <w:t xml:space="preserve">; </w:t>
      </w:r>
      <w:hyperlink r:id="rId758">
        <w:r>
          <w:rPr>
            <w:color w:val="0000EE"/>
            <w:u w:val="single"/>
          </w:rPr>
          <w:t>34.12</w:t>
        </w:r>
      </w:hyperlink>
      <w:r>
        <w:t xml:space="preserve">; </w:t>
      </w:r>
      <w:hyperlink r:id="rId759">
        <w:r>
          <w:rPr>
            <w:color w:val="0000EE"/>
            <w:u w:val="single"/>
          </w:rPr>
          <w:t>Dt 7.1</w:t>
        </w:r>
      </w:hyperlink>
      <w:r>
        <w:t>-</w:t>
      </w:r>
      <w:hyperlink r:id="rId759">
        <w:r>
          <w:rPr>
            <w:color w:val="0000EE"/>
            <w:u w:val="single"/>
          </w:rPr>
          <w:t>4</w:t>
        </w:r>
      </w:hyperlink>
      <w:r>
        <w:t>). Na época dos juízes, os israelitas foram lembrados deste mandamento (</w:t>
      </w:r>
      <w:hyperlink r:id="rId760">
        <w:r>
          <w:rPr>
            <w:color w:val="0000EE"/>
            <w:u w:val="single"/>
          </w:rPr>
          <w:t>Jz 2.1</w:t>
        </w:r>
      </w:hyperlink>
      <w:r>
        <w:t>-</w:t>
      </w:r>
      <w:hyperlink r:id="rId760">
        <w:r>
          <w:rPr>
            <w:color w:val="0000EE"/>
            <w:u w:val="single"/>
          </w:rPr>
          <w:t>3</w:t>
        </w:r>
      </w:hyperlink>
      <w:r>
        <w:t xml:space="preserve">). Mas, </w:t>
      </w:r>
      <w:hyperlink r:id="rId761">
        <w:r>
          <w:rPr>
            <w:color w:val="0000EE"/>
            <w:u w:val="single"/>
          </w:rPr>
          <w:t>Josué 9</w:t>
        </w:r>
      </w:hyperlink>
      <w:r>
        <w:t xml:space="preserve"> conta como Israel foi enganado em uma aliança com os gibeonitas.</w:t>
      </w:r>
    </w:p>
    <w:p>
      <w:r/>
      <w:r>
        <w:t>Durante a monarquia, muitos reis formaram alianças e casaram-se com estrangeiros:</w:t>
      </w:r>
    </w:p>
    <w:p>
      <w:pPr>
        <w:pStyle w:val="ListBullet"/>
        <w:spacing w:line="240" w:lineRule="auto"/>
        <w:ind w:left="720"/>
      </w:pPr>
      <w:r/>
      <w:r>
        <w:t>Davi (antes de ser rei de todo Israel) concordou com Aquis, rei de Gate, em lutar com os filisteus contra o exército de Saul (</w:t>
      </w:r>
      <w:hyperlink r:id="rId762">
        <w:r>
          <w:rPr>
            <w:color w:val="0000EE"/>
            <w:u w:val="single"/>
          </w:rPr>
          <w:t>1Sm 27.1</w:t>
        </w:r>
      </w:hyperlink>
      <w:r>
        <w:t xml:space="preserve">; </w:t>
      </w:r>
      <w:hyperlink r:id="rId763">
        <w:r>
          <w:rPr>
            <w:color w:val="0000EE"/>
            <w:u w:val="single"/>
          </w:rPr>
          <w:t>28.2</w:t>
        </w:r>
      </w:hyperlink>
      <w:r>
        <w:t>).</w:t>
      </w:r>
    </w:p>
    <w:p>
      <w:pPr>
        <w:pStyle w:val="ListBullet"/>
        <w:spacing w:line="240" w:lineRule="auto"/>
        <w:ind w:left="720"/>
      </w:pPr>
      <w:r/>
      <w:r>
        <w:t>Salomão fez alianças comerciais com Hirão de Tiro (</w:t>
      </w:r>
      <w:hyperlink r:id="rId764">
        <w:r>
          <w:rPr>
            <w:color w:val="0000EE"/>
            <w:u w:val="single"/>
          </w:rPr>
          <w:t>1Rs 5.1</w:t>
        </w:r>
      </w:hyperlink>
      <w:r>
        <w:t>-</w:t>
      </w:r>
      <w:hyperlink r:id="rId764">
        <w:r>
          <w:rPr>
            <w:color w:val="0000EE"/>
            <w:u w:val="single"/>
          </w:rPr>
          <w:t>18</w:t>
        </w:r>
      </w:hyperlink>
      <w:r>
        <w:t xml:space="preserve">; </w:t>
      </w:r>
      <w:hyperlink r:id="rId765">
        <w:r>
          <w:rPr>
            <w:color w:val="0000EE"/>
            <w:u w:val="single"/>
          </w:rPr>
          <w:t>9.26</w:t>
        </w:r>
      </w:hyperlink>
      <w:r>
        <w:t>-</w:t>
      </w:r>
      <w:hyperlink r:id="rId765">
        <w:r>
          <w:rPr>
            <w:color w:val="0000EE"/>
            <w:u w:val="single"/>
          </w:rPr>
          <w:t>28</w:t>
        </w:r>
      </w:hyperlink>
      <w:r>
        <w:t>).</w:t>
      </w:r>
    </w:p>
    <w:p>
      <w:pPr>
        <w:pStyle w:val="ListBullet"/>
        <w:spacing w:line="240" w:lineRule="auto"/>
        <w:ind w:left="720"/>
      </w:pPr>
      <w:r/>
      <w:r>
        <w:t>Salomão também fez alianças comerciais com o rei do Egito (</w:t>
      </w:r>
      <w:hyperlink r:id="rId766">
        <w:r>
          <w:rPr>
            <w:color w:val="0000EE"/>
            <w:u w:val="single"/>
          </w:rPr>
          <w:t>1Rs 9.16</w:t>
        </w:r>
      </w:hyperlink>
      <w:r>
        <w:t>).</w:t>
      </w:r>
    </w:p>
    <w:p>
      <w:pPr>
        <w:pStyle w:val="ListBullet"/>
        <w:spacing w:line="240" w:lineRule="auto"/>
        <w:ind w:left="720"/>
      </w:pPr>
      <w:r/>
      <w:r>
        <w:t>Asa aliou-se a Ben-Hadade, rei da Síria (</w:t>
      </w:r>
      <w:hyperlink r:id="rId767">
        <w:r>
          <w:rPr>
            <w:color w:val="0000EE"/>
            <w:u w:val="single"/>
          </w:rPr>
          <w:t>1Rs 15.18</w:t>
        </w:r>
      </w:hyperlink>
      <w:r>
        <w:t>-</w:t>
      </w:r>
      <w:hyperlink r:id="rId767">
        <w:r>
          <w:rPr>
            <w:color w:val="0000EE"/>
            <w:u w:val="single"/>
          </w:rPr>
          <w:t>20</w:t>
        </w:r>
      </w:hyperlink>
      <w:r>
        <w:t>).</w:t>
      </w:r>
    </w:p>
    <w:p>
      <w:pPr>
        <w:pStyle w:val="ListBullet"/>
        <w:spacing w:line="240" w:lineRule="auto"/>
        <w:ind w:left="720"/>
      </w:pPr>
      <w:r/>
      <w:r>
        <w:t>O rei Acabe se aliou a Josafá para lutar contra a Síria (</w:t>
      </w:r>
      <w:hyperlink r:id="rId768">
        <w:r>
          <w:rPr>
            <w:color w:val="0000EE"/>
            <w:u w:val="single"/>
          </w:rPr>
          <w:t>1Rs 22.1</w:t>
        </w:r>
      </w:hyperlink>
      <w:r>
        <w:t>-</w:t>
      </w:r>
      <w:hyperlink r:id="rId768">
        <w:r>
          <w:rPr>
            <w:color w:val="0000EE"/>
            <w:u w:val="single"/>
          </w:rPr>
          <w:t>4</w:t>
        </w:r>
      </w:hyperlink>
      <w:r>
        <w:t xml:space="preserve">; </w:t>
      </w:r>
      <w:hyperlink r:id="rId769">
        <w:r>
          <w:rPr>
            <w:color w:val="0000EE"/>
            <w:u w:val="single"/>
          </w:rPr>
          <w:t>2Cr 18.1</w:t>
        </w:r>
      </w:hyperlink>
      <w:r>
        <w:t>-</w:t>
      </w:r>
      <w:hyperlink r:id="rId769">
        <w:r>
          <w:rPr>
            <w:color w:val="0000EE"/>
            <w:u w:val="single"/>
          </w:rPr>
          <w:t>13</w:t>
        </w:r>
      </w:hyperlink>
      <w:r>
        <w:t>).</w:t>
      </w:r>
    </w:p>
    <w:p>
      <w:pPr>
        <w:pStyle w:val="ListBullet"/>
        <w:spacing w:line="240" w:lineRule="auto"/>
        <w:ind w:left="720"/>
      </w:pPr>
      <w:r/>
      <w:r>
        <w:t>O rei Peca se aliou a Rezim, rei da Síria, para lutar contra Acaz, rei de Judá (</w:t>
      </w:r>
      <w:hyperlink r:id="rId770">
        <w:r>
          <w:rPr>
            <w:color w:val="0000EE"/>
            <w:u w:val="single"/>
          </w:rPr>
          <w:t>Is 7.1</w:t>
        </w:r>
      </w:hyperlink>
      <w:r>
        <w:t>-</w:t>
      </w:r>
      <w:hyperlink r:id="rId770">
        <w:r>
          <w:rPr>
            <w:color w:val="0000EE"/>
            <w:u w:val="single"/>
          </w:rPr>
          <w:t>9</w:t>
        </w:r>
      </w:hyperlink>
      <w:r>
        <w:t>).</w:t>
      </w:r>
    </w:p>
    <w:p>
      <w:pPr>
        <w:pStyle w:val="ListBullet"/>
        <w:spacing w:line="240" w:lineRule="auto"/>
        <w:ind w:left="720"/>
      </w:pPr>
      <w:r/>
      <w:r>
        <w:t>O rei Acaz aliou-se a Tiglate-Pileser, rei da Assíria, para lutar contra Peca e Rezim (</w:t>
      </w:r>
      <w:hyperlink r:id="rId771">
        <w:r>
          <w:rPr>
            <w:color w:val="0000EE"/>
            <w:u w:val="single"/>
          </w:rPr>
          <w:t>2Rs 16.7</w:t>
        </w:r>
      </w:hyperlink>
      <w:r>
        <w:t>-</w:t>
      </w:r>
      <w:hyperlink r:id="rId771">
        <w:r>
          <w:rPr>
            <w:color w:val="0000EE"/>
            <w:u w:val="single"/>
          </w:rPr>
          <w:t>9</w:t>
        </w:r>
      </w:hyperlink>
      <w:r>
        <w:t>).</w:t>
      </w:r>
    </w:p>
    <w:p>
      <w:pPr>
        <w:pStyle w:val="ListBullet"/>
        <w:spacing w:line="240" w:lineRule="auto"/>
        <w:ind w:left="720"/>
      </w:pPr>
      <w:r/>
      <w:r>
        <w:t>O rei Zedequias aliou-se com o Egito para lutar contra os babilônios (</w:t>
      </w:r>
      <w:hyperlink r:id="rId772">
        <w:r>
          <w:rPr>
            <w:color w:val="0000EE"/>
            <w:u w:val="single"/>
          </w:rPr>
          <w:t>2Rs 24.20</w:t>
        </w:r>
      </w:hyperlink>
      <w:r>
        <w:t xml:space="preserve">; </w:t>
      </w:r>
      <w:hyperlink r:id="rId773">
        <w:r>
          <w:rPr>
            <w:color w:val="0000EE"/>
            <w:u w:val="single"/>
          </w:rPr>
          <w:t>Ez 17.1</w:t>
        </w:r>
      </w:hyperlink>
      <w:r>
        <w:t>-</w:t>
      </w:r>
      <w:hyperlink r:id="rId773">
        <w:r>
          <w:rPr>
            <w:color w:val="0000EE"/>
            <w:u w:val="single"/>
          </w:rPr>
          <w:t>21</w:t>
        </w:r>
      </w:hyperlink>
      <w:r>
        <w:t>).</w:t>
      </w:r>
    </w:p>
    <w:p>
      <w:r/>
      <w:r>
        <w:t>Essas alianças frequentemente traziam religiões estrangeiras para Jerusalém (</w:t>
      </w:r>
      <w:hyperlink r:id="rId774">
        <w:r>
          <w:rPr>
            <w:color w:val="0000EE"/>
            <w:u w:val="single"/>
          </w:rPr>
          <w:t>2Rs 16.10</w:t>
        </w:r>
      </w:hyperlink>
      <w:r>
        <w:t>-</w:t>
      </w:r>
      <w:hyperlink r:id="rId774">
        <w:r>
          <w:rPr>
            <w:color w:val="0000EE"/>
            <w:u w:val="single"/>
          </w:rPr>
          <w:t>18</w:t>
        </w:r>
      </w:hyperlink>
      <w:r>
        <w:t>). Isso levou os profetas a criticá-las (</w:t>
      </w:r>
      <w:hyperlink r:id="rId775">
        <w:r>
          <w:rPr>
            <w:color w:val="0000EE"/>
            <w:u w:val="single"/>
          </w:rPr>
          <w:t>Os 8.8</w:t>
        </w:r>
      </w:hyperlink>
      <w:r>
        <w:t>-</w:t>
      </w:r>
      <w:hyperlink r:id="rId775">
        <w:r>
          <w:rPr>
            <w:color w:val="0000EE"/>
            <w:u w:val="single"/>
          </w:rPr>
          <w:t>10</w:t>
        </w:r>
      </w:hyperlink>
      <w:r>
        <w:t xml:space="preserve">; </w:t>
      </w:r>
      <w:hyperlink r:id="rId776">
        <w:r>
          <w:rPr>
            <w:color w:val="0000EE"/>
            <w:u w:val="single"/>
          </w:rPr>
          <w:t>Is 30.1</w:t>
        </w:r>
      </w:hyperlink>
      <w:r>
        <w:t>-</w:t>
      </w:r>
      <w:hyperlink r:id="rId776">
        <w:r>
          <w:rPr>
            <w:color w:val="0000EE"/>
            <w:u w:val="single"/>
          </w:rPr>
          <w:t>3,15</w:t>
        </w:r>
      </w:hyperlink>
      <w:r>
        <w:t>-</w:t>
      </w:r>
      <w:hyperlink r:id="rId776">
        <w:r>
          <w:rPr>
            <w:color w:val="0000EE"/>
            <w:u w:val="single"/>
          </w:rPr>
          <w:t>16</w:t>
        </w:r>
      </w:hyperlink>
      <w:r>
        <w:t xml:space="preserve">; </w:t>
      </w:r>
      <w:hyperlink r:id="rId777">
        <w:r>
          <w:rPr>
            <w:color w:val="0000EE"/>
            <w:u w:val="single"/>
          </w:rPr>
          <w:t>Jr 2.18</w:t>
        </w:r>
      </w:hyperlink>
      <w:r>
        <w:t>).</w:t>
      </w:r>
      <w:r/>
      <w:r/>
    </w:p>
    <w:p>
      <w:r/>
    </w:p>
    <w:p>
      <w:pPr>
        <w:pStyle w:val="Heading2"/>
      </w:pPr>
      <w:r>
        <w:t>Aliança</w:t>
      </w:r>
      <w:r/>
    </w:p>
    <w:p>
      <w:r/>
      <w:r>
        <w:t>Um acordo entre duas partes envolvendo obrigações mútuas; especialmente o acordo que estabeleceu o relacionamento entre Deus e seu povo, expresso em graça primeiro com Israel e depois com a igreja. Através dessa aliança, Deus revelou à humanidade o significado da vida humana e da salvação. A aliança é um dos temas centrais da Bíblia, onde algumas alianças são entre seres humanos e outras entre Deus e seres humanos.</w:t>
      </w:r>
    </w:p>
    <w:p>
      <w:r/>
      <w:r>
        <w:t>O tema da aliança no Antigo Testamento é desenvolvido de Noé a Abraão e atinge seu primeiro clímax na aliança formada entre Deus e Israel no Monte Sinai. Após o tempo do Rei Davi, a história da aliança torna-se um tema menos proeminente.</w:t>
      </w:r>
    </w:p>
    <w:p>
      <w:r/>
      <w:r>
        <w:t>Em um momento crítico na história da aliança, a Bíblia apresenta a profecia do profeta Jeremias sobre uma "nova aliança" no futuro de Israel. Os cristãos acreditam que a profecia de Jeremias se cumpriu na pessoa e obra de Jesus Cristo. Não é por acaso que os dois volumes da Bíblia cristã foram chamados de Antiga Aliança e Nova Aliança (a palavra comumente traduzida como "testamento" significa "aliança").</w:t>
      </w:r>
    </w:p>
    <w:p>
      <w:r/>
      <w:r>
        <w:t>Resumo</w:t>
      </w:r>
    </w:p>
    <w:p>
      <w:r/>
      <w:r>
        <w:t>• O Significado da Aliança</w:t>
      </w:r>
    </w:p>
    <w:p>
      <w:r/>
      <w:r>
        <w:t>• Acordos Humanos</w:t>
      </w:r>
    </w:p>
    <w:p>
      <w:r/>
      <w:r>
        <w:t>• Convênios Divino-Humanos</w:t>
      </w:r>
    </w:p>
    <w:p>
      <w:r/>
      <w:r>
        <w:t>• Inícios da Tradição da Aliança</w:t>
      </w:r>
    </w:p>
    <w:p>
      <w:r/>
      <w:r>
        <w:t>• A Aliança do Sinai</w:t>
      </w:r>
    </w:p>
    <w:p>
      <w:r/>
      <w:r>
        <w:t>• A aliança com Davi</w:t>
      </w:r>
    </w:p>
    <w:p>
      <w:r/>
      <w:r>
        <w:t>• A Nova Aliança Prevista no Antigo Testamento</w:t>
      </w:r>
    </w:p>
    <w:p>
      <w:pPr>
        <w:pStyle w:val="Heading3"/>
      </w:pPr>
      <w:r>
        <w:t>O significado de aliança</w:t>
      </w:r>
    </w:p>
    <w:p>
      <w:r/>
      <w:r>
        <w:t>A essência da aliança está em um tipo específico de relacionamento entre pessoas, caracterizado por obrigações mútuas. Portanto, um relacionamento de aliança não é apenas um conhecimento mútuo, mas um compromisso com responsabilidade e ação. Uma palavra-chave nas Escrituras para descrever esse compromisso é "fidelidade", que se manifesta em um contexto de amizade duradoura.</w:t>
      </w:r>
    </w:p>
    <w:p>
      <w:r/>
      <w:r>
        <w:t>No Antigo Testamento, a palavra "aliança" era usada tanto em um sentido humano comum quanto em um sentido teológico. Compreender as alianças humanas fornece um ponto de partida para entender a aliança entre Deus e os seres humanos.</w:t>
      </w:r>
    </w:p>
    <w:p>
      <w:pPr>
        <w:pStyle w:val="Heading3"/>
      </w:pPr>
      <w:r>
        <w:t>Alianças humanas</w:t>
      </w:r>
    </w:p>
    <w:p>
      <w:r/>
      <w:r>
        <w:t>Uma variedade de relações humanas, desde as profundamente pessoais até as distantes políticas, pode ser descrita como aliançais. O profundo amor fraternal que Davi e Jônatas compartilhavam levou a uma aliança formal entre eles (</w:t>
      </w:r>
      <w:hyperlink r:id="rId778">
        <w:r>
          <w:rPr>
            <w:color w:val="0000EE"/>
            <w:u w:val="single"/>
          </w:rPr>
          <w:t>1Sm 18.3</w:t>
        </w:r>
      </w:hyperlink>
      <w:r>
        <w:t>). A aliança de amizade deles era mais do que um símbolo de estima; ela os obrigava a demonstrar lealdade mútua e bondade amorosa de maneiras tangíveis. A fidelidade de Jônatas à aliança foi exemplificada em uma ocasião quando Davi estava em desgraça com o rei; Jônatas enfrentou a ira de seu pai para falar favoravelmente por seu amigo. Subsequentemente, ele avisou Davi secretamente para fugir e se esconder (</w:t>
      </w:r>
      <w:hyperlink r:id="rId779">
        <w:r>
          <w:rPr>
            <w:color w:val="0000EE"/>
            <w:u w:val="single"/>
          </w:rPr>
          <w:t>1Sm 19–20</w:t>
        </w:r>
      </w:hyperlink>
      <w:r>
        <w:t>).</w:t>
      </w:r>
    </w:p>
    <w:p>
      <w:r/>
      <w:r>
        <w:t>Para apreciar as muitas leis do AT sobre casamento e divórcio, é preciso entender que o casamento em si era uma relação de aliança (</w:t>
      </w:r>
      <w:hyperlink r:id="rId780">
        <w:r>
          <w:rPr>
            <w:color w:val="0000EE"/>
            <w:u w:val="single"/>
          </w:rPr>
          <w:t>Ml 2.14</w:t>
        </w:r>
      </w:hyperlink>
      <w:r>
        <w:t xml:space="preserve">). As promessas solenes trocadas por um homem e uma mulher tornavam-se suas obrigações de aliança. A fidelidade a essas promessas trazia bênção matrimonial (cf. </w:t>
      </w:r>
      <w:hyperlink r:id="rId781">
        <w:r>
          <w:rPr>
            <w:color w:val="0000EE"/>
            <w:u w:val="single"/>
          </w:rPr>
          <w:t>Sl 128</w:t>
        </w:r>
      </w:hyperlink>
      <w:r>
        <w:t xml:space="preserve">; </w:t>
      </w:r>
      <w:hyperlink r:id="rId782">
        <w:r>
          <w:rPr>
            <w:color w:val="0000EE"/>
            <w:u w:val="single"/>
          </w:rPr>
          <w:t>Pv 18.22</w:t>
        </w:r>
      </w:hyperlink>
      <w:r>
        <w:t>); a violação trazia uma maldição.</w:t>
      </w:r>
    </w:p>
    <w:p>
      <w:r/>
      <w:r>
        <w:t>Um indivíduo poderia, pelo menos figurativamente, fazer uma aliança ou voto consigo mesmo (algo como uma resolução de Ano Novo). Jó, defendendo sua integridade diante de Deus, mencionou uma aliança que havia feito com seus olhos para evitar olhar para as mulheres de forma lasciva (</w:t>
      </w:r>
      <w:hyperlink r:id="rId445">
        <w:r>
          <w:rPr>
            <w:color w:val="0000EE"/>
            <w:u w:val="single"/>
          </w:rPr>
          <w:t>Jó 31.1</w:t>
        </w:r>
      </w:hyperlink>
      <w:r>
        <w:t>).</w:t>
      </w:r>
    </w:p>
    <w:p>
      <w:r/>
      <w:r>
        <w:t>As alianças também podiam ter um caráter nacional ou internacional. Os anciãos de Israel fizeram uma aliança nacional com o Rei Davi em Hebrom (</w:t>
      </w:r>
      <w:hyperlink r:id="rId783">
        <w:r>
          <w:rPr>
            <w:color w:val="0000EE"/>
            <w:u w:val="single"/>
          </w:rPr>
          <w:t>2Sm 5.3</w:t>
        </w:r>
      </w:hyperlink>
      <w:r>
        <w:t>). Provavelmente continha promessas explícitas tanto dos anciãos, em nome do povo, para se submeterem à autoridade do rei, quanto de Davi para governar a nação de forma justa e de acordo com a lei de Deus (</w:t>
      </w:r>
      <w:hyperlink r:id="rId784">
        <w:r>
          <w:rPr>
            <w:color w:val="0000EE"/>
            <w:u w:val="single"/>
          </w:rPr>
          <w:t>Dt 17.15–20</w:t>
        </w:r>
      </w:hyperlink>
      <w:r>
        <w:t>). A relação de aliança descrevia obrigações mútuas entre um parceiro sênior (o rei) e parceiros juniores (os israelitas). Em relações internacionais, as alianças do AT eram semelhantes a tratados ou alianças modernas. O Rei Salomão entrou em tal aliança com Hirão, rei de Tiro; essa aliança, como muitos tratados internacionais modernos, era um acordo comercial entre as duas nações (</w:t>
      </w:r>
      <w:hyperlink r:id="rId785">
        <w:r>
          <w:rPr>
            <w:color w:val="0000EE"/>
            <w:u w:val="single"/>
          </w:rPr>
          <w:t>1Rs 5.12</w:t>
        </w:r>
      </w:hyperlink>
      <w:r>
        <w:t>).</w:t>
      </w:r>
    </w:p>
    <w:p>
      <w:r/>
      <w:r>
        <w:t>Aliança é, portanto, uma estrutura interpessoal de confiança, responsabilidades e benefícios, com ampla aplicação em quase todas as relações humanas, desde amizades pessoais até acordos comerciais internacionais. Nas Escrituras, aliança é também o conceito mais abrangente que engloba o relacionamento de um indivíduo com Deus.</w:t>
      </w:r>
    </w:p>
    <w:p>
      <w:pPr>
        <w:pStyle w:val="Heading3"/>
      </w:pPr>
      <w:r>
        <w:t>Alianças divino-humanas</w:t>
      </w:r>
    </w:p>
    <w:p>
      <w:r/>
      <w:r>
        <w:t>As mesmas características básicas de uma aliança estritamente humana estão presentes em uma aliança divina: (1) um relacionamento entre duas partes (Deus e um ser humano ou nação), e (2) obrigações mútuas entre os parceiros da aliança. Para o crente do AT, religião significava aliança. A religião do AT era a fidelidade ao relacionamento de aliança entre Deus e seu povo escolhido; as responsabilidades religiosas, tanto para a fé quanto para a prática de Israel, eram responsabilidades de aliança.</w:t>
      </w:r>
    </w:p>
    <w:p>
      <w:r/>
      <w:r>
        <w:t>O conceito de uma aliança divino-humana no AT não era estático. Embora o caráter fundamental da aliança permaneça o mesmo ao longo da Bíblia, a natureza específica e a forma da aliança mudaram e se desenvolveram ao longo da história do antigo Israel. Um breve levantamento da história da aliança esclarecerá ainda mais suas dimensões.</w:t>
      </w:r>
    </w:p>
    <w:p>
      <w:pPr>
        <w:pStyle w:val="Heading3"/>
      </w:pPr>
      <w:r>
        <w:t>Inícios da tradição da aliança</w:t>
      </w:r>
    </w:p>
    <w:p>
      <w:pPr>
        <w:pStyle w:val="Heading4"/>
      </w:pPr>
      <w:r>
        <w:t>Adão</w:t>
      </w:r>
    </w:p>
    <w:p>
      <w:r/>
      <w:r>
        <w:t>Adão e Eva foram colocados no Jardim. Deus era o Criador deles; eles eram suas criaturas. O significado de suas vidas estava em ser encontrado no relacionamento entre eles e com Deus, o doador do Jardim. A queda, no entanto, trouxe uma ruptura no relacionamento divino, e eles foram expulsos do Jardim.</w:t>
      </w:r>
    </w:p>
    <w:p>
      <w:r/>
      <w:r>
        <w:t>A queda influenciou substancialmente a natureza dos pactos religiosos subsequentes. A separação da humanidade de Deus esclarece a essência do dilema humano. Criados para um relacionamento com o Criador, os humanos pecadores são excluídos desse relacionamento e não podem, por conta própria, restabelecê-lo. Dessa circunstância surge uma característica distintiva das alianças divino-humanas: somente Deus pode iniciar o relacionamento de aliança.</w:t>
      </w:r>
    </w:p>
    <w:p>
      <w:pPr>
        <w:pStyle w:val="Heading4"/>
      </w:pPr>
      <w:r>
        <w:t>Noé</w:t>
      </w:r>
    </w:p>
    <w:p>
      <w:r/>
      <w:r>
        <w:t>A primeira menção explícita de aliança nas Escrituras refere-se à iniciativa de Deus para se reconectar com os seres humanos em uma aliança, apesar da infidelidade humana. Quando Deus avisou Noé para construir uma arca a fim de escapar do Dilúvio iminente, Ele também prometeu estabelecer uma aliança com ele (</w:t>
      </w:r>
      <w:hyperlink r:id="rId786">
        <w:r>
          <w:rPr>
            <w:color w:val="0000EE"/>
            <w:u w:val="single"/>
          </w:rPr>
          <w:t>Gn 6.18</w:t>
        </w:r>
      </w:hyperlink>
      <w:r>
        <w:t xml:space="preserve">). A corrupção e a violência da raça humana haviam provocado a ira de Deus, mas Sua graça foi demonstrada em Seu trato com Noé. A aliança prometida previa que Deus manteria um relacionamento com uma família, mesmo que outros relacionamentos divino-humanos estivessem sendo formalmente rompidos. Significativamente, a promessa de aliança de Deus a Noé veio em um contexto de demanda: Deus ordenou que Noé construísse uma arca (v </w:t>
      </w:r>
      <w:hyperlink r:id="rId787">
        <w:r>
          <w:rPr>
            <w:color w:val="0000EE"/>
            <w:u w:val="single"/>
          </w:rPr>
          <w:t>14</w:t>
        </w:r>
      </w:hyperlink>
      <w:r>
        <w:t>). O recebimento da bênção da aliança por Noé dependia de sua obediência a um comando divino.</w:t>
      </w:r>
    </w:p>
    <w:p>
      <w:r/>
      <w:r>
        <w:t>A aliança foi elaborada apenas após o Dilúvio, quando Noé fez uma oferta a Deus (</w:t>
      </w:r>
      <w:hyperlink r:id="rId788">
        <w:r>
          <w:rPr>
            <w:color w:val="0000EE"/>
            <w:u w:val="single"/>
          </w:rPr>
          <w:t>Gn 8.20–22</w:t>
        </w:r>
      </w:hyperlink>
      <w:r>
        <w:t>). A aliança com Noé foi, de fato, uma aliança universal com a humanidade e todas as criaturas vivas (</w:t>
      </w:r>
      <w:hyperlink r:id="rId789">
        <w:r>
          <w:rPr>
            <w:color w:val="0000EE"/>
            <w:u w:val="single"/>
          </w:rPr>
          <w:t>9.8–10</w:t>
        </w:r>
      </w:hyperlink>
      <w:r>
        <w:t>). Deus prometeu nunca mais enviar tal dilúvio como julgamento sobre o mundo. O sinal dessa aliança foi o arco-íris.</w:t>
      </w:r>
    </w:p>
    <w:p>
      <w:r/>
      <w:r>
        <w:t>A aliança com Noé oferece uma perspectiva para entender a "aliança de Deus". Embora os seres humanos possam merecer destruição por causa de sua maldade, Deus retém essa destruição. A aliança de Noé não estabeleceu uma relação íntima entre Deus e cada ser vivo; no entanto, deixou aberta a possibilidade de uma aliança mais próxima. Os seres humanos, apesar de sua maldade, têm permissão para viver por um tempo no mundo de Deus; durante esses anos, eles podem buscar um relacionamento mais profundo com o Criador desse mundo.</w:t>
      </w:r>
    </w:p>
    <w:p>
      <w:pPr>
        <w:pStyle w:val="Heading4"/>
      </w:pPr>
      <w:r>
        <w:t>Abraão</w:t>
      </w:r>
    </w:p>
    <w:p>
      <w:r/>
      <w:r>
        <w:t xml:space="preserve">A primeira referência explícita à aliança de Deus com Abraão está em </w:t>
      </w:r>
      <w:hyperlink r:id="rId790">
        <w:r>
          <w:rPr>
            <w:color w:val="0000EE"/>
            <w:u w:val="single"/>
          </w:rPr>
          <w:t>Gênesis 15</w:t>
        </w:r>
      </w:hyperlink>
      <w:r>
        <w:t>. Quando o Senhor chamou Abrão aos 75 anos (como ele foi inicialmente chamado), para deixar sua cidade natal de Ur e iniciar uma jornada, já existia uma relação entre Deus e Abrão. Nessa relação, que permitiu a Deus comandar a obediência de Abrão, Deus fez certas promessas a ele: “Os seus descendentes vão formar uma grande nação. Eu o abençoarei, o seu nome será famoso, e você será uma bênção para os outros” (</w:t>
      </w:r>
      <w:hyperlink r:id="rId791">
        <w:r>
          <w:rPr>
            <w:color w:val="0000EE"/>
            <w:u w:val="single"/>
          </w:rPr>
          <w:t>Gn 12.2</w:t>
        </w:r>
      </w:hyperlink>
      <w:r>
        <w:t>).</w:t>
      </w:r>
    </w:p>
    <w:p>
      <w:r/>
      <w:r>
        <w:t xml:space="preserve">O estabelecimento formal da aliança com Abrão é descrito em </w:t>
      </w:r>
      <w:hyperlink r:id="rId790">
        <w:r>
          <w:rPr>
            <w:color w:val="0000EE"/>
            <w:u w:val="single"/>
          </w:rPr>
          <w:t>Gênesis 15</w:t>
        </w:r>
      </w:hyperlink>
      <w:r>
        <w:t xml:space="preserve"> como uma experiência religiosa profunda. A iniciativa foi inteiramente de Deus, que se aproximou de Abrão em uma visão e falou com ele. Abrão levantou uma objeção fundamental: como poderia ele experimentar a bênção de Deus se ela viria a ele através de um filho que ele não tinha? Sua esposa Sarai estava além da idade de ter filhos, e ele próprio estava “como morto” (</w:t>
      </w:r>
      <w:hyperlink r:id="rId792">
        <w:r>
          <w:rPr>
            <w:color w:val="0000EE"/>
            <w:u w:val="single"/>
          </w:rPr>
          <w:t>Rm 4.19</w:t>
        </w:r>
      </w:hyperlink>
      <w:r>
        <w:t>). Deus assegurou ao idoso que ele teria um filho através do qual seus descendentes seriam eventualmente tão numerosos quanto as estrelas do céu. A crença de Abrão naquele momento introduziu o tema da justiça central ao conceito de aliança: Abrão “creu no Senhor, e isso lhe foi imputado como justiça” (</w:t>
      </w:r>
      <w:hyperlink r:id="rId793">
        <w:r>
          <w:rPr>
            <w:color w:val="0000EE"/>
            <w:u w:val="single"/>
          </w:rPr>
          <w:t>Gn 15.6</w:t>
        </w:r>
      </w:hyperlink>
      <w:r>
        <w:t xml:space="preserve">). Ao final daquele dia, Abrão sabia que seu próprio futuro e o futuro de seus descendentes estavam firmemente nas mãos do Deus da aliança. “Nessa mesma ocasião o SENHOR Deus fez uma aliança com Abrão. Ele disse: — Prometo dar aos seus descendentes esta terra” (v. </w:t>
      </w:r>
      <w:hyperlink r:id="rId794">
        <w:r>
          <w:rPr>
            <w:color w:val="0000EE"/>
            <w:u w:val="single"/>
          </w:rPr>
          <w:t>18</w:t>
        </w:r>
      </w:hyperlink>
      <w:r>
        <w:t>).</w:t>
      </w:r>
    </w:p>
    <w:p>
      <w:r/>
      <w:r>
        <w:t xml:space="preserve">A aliança é mais plenamente expressa em </w:t>
      </w:r>
      <w:hyperlink r:id="rId168">
        <w:r>
          <w:rPr>
            <w:color w:val="0000EE"/>
            <w:u w:val="single"/>
          </w:rPr>
          <w:t>Gênesis 17</w:t>
        </w:r>
      </w:hyperlink>
      <w:r>
        <w:t>, que provavelmente registra uma renovação da aliança de Deus com Abrão. A iniciativa mais uma vez partiu de Deus (</w:t>
      </w:r>
      <w:hyperlink r:id="rId795">
        <w:r>
          <w:rPr>
            <w:color w:val="0000EE"/>
            <w:u w:val="single"/>
          </w:rPr>
          <w:t>Gn 17.1</w:t>
        </w:r>
      </w:hyperlink>
      <w:r>
        <w:t>). Deus dirigiu-se a Abrão, que tinha 99 anos, com palavras que deixaram claro que a aliança não era um relacionamento entre parceiros iguais. Deus era o Todo-poderoso; Abrão era um ser humano a quem um privilégio extraordinário havia sido concedido.</w:t>
      </w:r>
    </w:p>
    <w:p>
      <w:r/>
      <w:r>
        <w:t xml:space="preserve">No entanto, os detalhes da aliança em </w:t>
      </w:r>
      <w:hyperlink r:id="rId168">
        <w:r>
          <w:rPr>
            <w:color w:val="0000EE"/>
            <w:u w:val="single"/>
          </w:rPr>
          <w:t>Gênesis 17</w:t>
        </w:r>
      </w:hyperlink>
      <w:r>
        <w:t xml:space="preserve"> mostram que ambos os parceiros assumiram responsabilidades. Deus comprometeu-se voluntariamente com Abrão e seus descendentes, enquanto exigia certos compromissos de Abrão. A bênção que Abrão receberia como parceiro da aliança tornou-se clara a partir do novo nome que Deus lhe deu. “Daqui em diante o seu nome será Abraão e não Abrão, pois eu vou fazer com que você seja pai de muitas nações” (</w:t>
      </w:r>
      <w:hyperlink r:id="rId154">
        <w:r>
          <w:rPr>
            <w:color w:val="0000EE"/>
            <w:u w:val="single"/>
          </w:rPr>
          <w:t>Gn 17.5</w:t>
        </w:r>
      </w:hyperlink>
      <w:r>
        <w:t xml:space="preserve">). Deus daria a Abraão, através de seus descendentes, a terra de Canaã como um presente eterno e seria o Deus pessoal de Abraão e sua família para sempre (vv. </w:t>
      </w:r>
      <w:hyperlink r:id="rId796">
        <w:r>
          <w:rPr>
            <w:color w:val="0000EE"/>
            <w:u w:val="single"/>
          </w:rPr>
          <w:t>7–8</w:t>
        </w:r>
      </w:hyperlink>
      <w:r>
        <w:t>).</w:t>
      </w:r>
    </w:p>
    <w:p>
      <w:r/>
      <w:r>
        <w:t>O presente de Deus exigia uma resposta de obediência de Abraão: “Viva uma vida de comunhão comigo e seja obediente a mim em tudo” (</w:t>
      </w:r>
      <w:hyperlink r:id="rId795">
        <w:r>
          <w:rPr>
            <w:color w:val="0000EE"/>
            <w:u w:val="single"/>
          </w:rPr>
          <w:t>Gn 17.1</w:t>
        </w:r>
      </w:hyperlink>
      <w:r>
        <w:t>). Essas palavras simples indicam a essência do relacionamento de aliança: relacionar-se com Deus é viver em sua presença; como Deus é santo, espera-se que quem o conhece viva uma vida de integridade e irrepreensibilidade.</w:t>
      </w:r>
    </w:p>
    <w:p>
      <w:r/>
      <w:r>
        <w:t>A aliança também tinha um aspecto mais formal. Abraão e os membros masculinos de sua casa deveriam passar pelo rito da circuncisão como um símbolo de compromisso com a aliança. Abraão era um homem idoso quando foi circuncidado (</w:t>
      </w:r>
      <w:hyperlink r:id="rId797">
        <w:r>
          <w:rPr>
            <w:color w:val="0000EE"/>
            <w:u w:val="single"/>
          </w:rPr>
          <w:t>Gn 17.24</w:t>
        </w:r>
      </w:hyperlink>
      <w:r>
        <w:t xml:space="preserve">), embora os meninos nascidos na família da aliança devessem ser circuncidados quando tivessem oito dias de idade (v </w:t>
      </w:r>
      <w:hyperlink r:id="rId798">
        <w:r>
          <w:rPr>
            <w:color w:val="0000EE"/>
            <w:u w:val="single"/>
          </w:rPr>
          <w:t>12</w:t>
        </w:r>
      </w:hyperlink>
      <w:r>
        <w:t>). A circuncisão não era um ritual exclusivo dos hebreus; era praticada na maioria das sociedades do antigo Oriente Próximo (os filisteus eram uma exceção). A distinção estava no que o ato simbolizava: entre outras coisas, um relacionamento contínuo e fiel com o Deus vivo.</w:t>
      </w:r>
    </w:p>
    <w:p>
      <w:r/>
      <w:r>
        <w:t>A aliança de Deus com Abraão foi caracterizada por realidades tanto presentes quanto futuras. A aliança estabeleceu um relacionamento contínuo entre Abraão e seu Criador. No entanto, seu propósito apontava para uma bênção futura — nos filhos que ainda nasceriam, o “povo escolhido”, e na terra que eventualmente seus descendentes chamariam de sua.</w:t>
      </w:r>
    </w:p>
    <w:p>
      <w:r/>
      <w:r>
        <w:t>Outra dimensão da aliança ainda está mais adiante no futuro: “E por meio de você eu abençoarei todos os povos do mundo” (</w:t>
      </w:r>
      <w:hyperlink r:id="rId799">
        <w:r>
          <w:rPr>
            <w:color w:val="0000EE"/>
            <w:u w:val="single"/>
          </w:rPr>
          <w:t>Gn 12.3</w:t>
        </w:r>
      </w:hyperlink>
      <w:r>
        <w:t xml:space="preserve">). No início do AT, a ideia de eleição (a preferência incondicional de Deus; cf. </w:t>
      </w:r>
      <w:hyperlink r:id="rId800">
        <w:r>
          <w:rPr>
            <w:color w:val="0000EE"/>
            <w:u w:val="single"/>
          </w:rPr>
          <w:t>2Ts 2.13</w:t>
        </w:r>
      </w:hyperlink>
      <w:r>
        <w:t xml:space="preserve">) está presente. Deus escolheu entrar em um relacionamento de aliança com um homem específico e seus descendentes específicos. No entanto, Deus sempre elege uma pessoa para servir: Adão, para cultivar o Jardim; Noé, para construir uma arca; Abraão, para deixar sua casa por outra terra e viver irrepreensivelmente diante de Deus (cf. </w:t>
      </w:r>
      <w:hyperlink r:id="rId801">
        <w:r>
          <w:rPr>
            <w:color w:val="0000EE"/>
            <w:u w:val="single"/>
          </w:rPr>
          <w:t>Ef 2.8–10</w:t>
        </w:r>
      </w:hyperlink>
      <w:r>
        <w:t>). Além disso, a “particularidade” da eleição de Abraão continha dentro de si uma universalidade: através de seus descendentes, a bênção de Deus seria oferecida a todos.</w:t>
      </w:r>
    </w:p>
    <w:p>
      <w:r/>
      <w:r>
        <w:t>Assim, os aspectos futuros da aliança de Abraão refletem duas etapas. Do ponto de vista de Abraão, em um futuro relativamente próximo, seus descendentes possuiriam uma terra dada por Deus. Mas em um futuro mais distante estava a perspectiva de uma bênção universal, a culminação do trabalho de Deus no mundo. O cumprimento inicial desse futuro distante é percebido no Novo Testamento, mas o cumprimento mais imediato da promessa de Deus foi a aliança do Sinai na época de Moisés.</w:t>
      </w:r>
    </w:p>
    <w:p>
      <w:pPr>
        <w:pStyle w:val="Heading3"/>
      </w:pPr>
      <w:r>
        <w:t>A aliança do Sinai</w:t>
      </w:r>
    </w:p>
    <w:p>
      <w:r/>
      <w:r>
        <w:t>A aliança estabelecida entre Deus e Israel no Monte Sinai é o ponto central da tradição da aliança no Antigo Testamento. Foi antecipada na aliança de Abraão e estava por trás da aliança de Davi e da proclamação dos profetas. Era central para a religião do Antigo Testamento, estabelecendo as bases do judaísmo que continuam no mundo moderno. A aliança do Sinai foi a instituição formal de um relacionamento entre Deus e seu povo escolhido, Israel.</w:t>
      </w:r>
    </w:p>
    <w:p>
      <w:r/>
      <w:r>
        <w:t>Para apreciar o impacto da aliança do Sinai, é necessário entender seu contexto histórico. Ela foi precedida pelo Êxodo do povo hebreu do Egito sob a liderança de Moisés. O Êxodo foi um ato extraordinário de libertação no qual Deus interveio no curso normal da história para libertar seu povo da escravidão no Egito. O Êxodo é interpretado no AT como um ato divino comparável à Criação, o ato através do qual Deus “criou” a nação de Israel. O exame das duas versões do quarto mandamento (</w:t>
      </w:r>
      <w:hyperlink r:id="rId802">
        <w:r>
          <w:rPr>
            <w:color w:val="0000EE"/>
            <w:u w:val="single"/>
          </w:rPr>
          <w:t>Ex 20.8–11</w:t>
        </w:r>
      </w:hyperlink>
      <w:r>
        <w:t xml:space="preserve">; </w:t>
      </w:r>
      <w:hyperlink r:id="rId803">
        <w:r>
          <w:rPr>
            <w:color w:val="0000EE"/>
            <w:u w:val="single"/>
          </w:rPr>
          <w:t>Dt 5.12–15</w:t>
        </w:r>
      </w:hyperlink>
      <w:r>
        <w:t>) mostra que o Êxodo do Egito paraleliza diretamente a criação do mundo como base para a observância do sábado. Embora Israel tenha sido criado no Êxodo, a nação não tinha nem uma constituição nem terra. A aliança proporcionou ao nascente estado de Israel uma constituição, tornando-o um estado teocrático (um estado governado por Deus).</w:t>
      </w:r>
    </w:p>
    <w:p>
      <w:r/>
      <w:r>
        <w:t xml:space="preserve">O relato básico da aliança do Sinai está contido em </w:t>
      </w:r>
      <w:hyperlink r:id="rId804">
        <w:r>
          <w:rPr>
            <w:color w:val="0000EE"/>
            <w:u w:val="single"/>
          </w:rPr>
          <w:t>Êxodo 19</w:t>
        </w:r>
      </w:hyperlink>
      <w:r>
        <w:t xml:space="preserve"> e </w:t>
      </w:r>
      <w:hyperlink r:id="rId805">
        <w:r>
          <w:rPr>
            <w:color w:val="0000EE"/>
            <w:u w:val="single"/>
          </w:rPr>
          <w:t>20</w:t>
        </w:r>
      </w:hyperlink>
      <w:r>
        <w:t>. A iniciativa veio de Deus, que deu instruções através de Moisés para se preparar para a aliança; Deus falou as palavras que continham a oferta da aliança. Não havia dúvida de que o Deus de Israel era o parceiro principal na relação formalizada no Sinai. O Deus que se revelou através de seus atos no Êxodo então se revelou em palavras. Esses dois aspectos — o Deus que age e fala — são centrais para a teologia do Antigo Testamento. E embora a aliança contivesse lei, ela foi precedida pelo Êxodo, um ato de graça divina.</w:t>
      </w:r>
    </w:p>
    <w:p>
      <w:r/>
      <w:r>
        <w:t>A oferta de aliança de Deus trazia consigo uma promessa divina: “Vocês são um povo separado somente para mim e me servirão como sacerdotes” (</w:t>
      </w:r>
      <w:hyperlink r:id="rId806">
        <w:r>
          <w:rPr>
            <w:color w:val="0000EE"/>
            <w:u w:val="single"/>
          </w:rPr>
          <w:t>Êx 19.6</w:t>
        </w:r>
      </w:hyperlink>
      <w:r>
        <w:t>). A promessa era de um privilégio extraordinário; uma nação inteira foi chamada para representar todas as outras nações perante o Deus do universo. Contudo, o ofício sacerdotal, embora carregasse privilégio, também era exigente. Um sacerdote precisava ser puro e conhecer o Deus em cuja presença ele era obrigado a entrar. Assim, Israel, a nação sacerdotal, recebeu uma lei que proporcionaria direção para viver, amar a Deus e servir a todas as pessoas. A lei dada com a aliança expressava os requisitos para o povo da aliança de Deus.</w:t>
      </w:r>
    </w:p>
    <w:p>
      <w:pPr>
        <w:pStyle w:val="Heading4"/>
      </w:pPr>
      <w:r>
        <w:t>A aliança da Lei</w:t>
      </w:r>
    </w:p>
    <w:p>
      <w:r/>
      <w:r>
        <w:t>A lei da aliança tinha duas partes principais. Primeiro, os Dez Mandamentos expressavam de forma concisa os requisitos de Deus para Israel (</w:t>
      </w:r>
      <w:hyperlink r:id="rId807">
        <w:r>
          <w:rPr>
            <w:color w:val="0000EE"/>
            <w:u w:val="single"/>
          </w:rPr>
          <w:t>Êx 20.2–17</w:t>
        </w:r>
      </w:hyperlink>
      <w:r>
        <w:t>). Os mandamentos especificavam o relacionamento do povo da aliança tanto com Deus quanto com outros seres humanos. Embora a tendência nos dias atuais seja ver os Dez Mandamentos como um sistema de ética ou moralidade, eles desempenhavam um papel diferente no antigo Israel. A lei da aliança era a fundação ou constituição de uma nova nação, uma especial "nação de sacerdotes". O chefe do estado-nação era Deus. Portanto, no antigo Israel, o status dos Dez Mandamentos era aproximadamente o de um código de lei criminal em um estado-nação moderno. Quebrar uma dessas leis era cometer um crime contra Deus, o chefe do estado. No entanto, as leis tinham um propósito positivo. Elas estabeleciam um modo de vida que resultaria em uma comunhão plena e rica com Deus e em comunidade com os outros.</w:t>
      </w:r>
    </w:p>
    <w:p>
      <w:r/>
      <w:r>
        <w:t xml:space="preserve">A segunda parte da aliança era um código de leis detalhado que cobria as atividades da vida cotidiana. Exemplos de tais leis são encontrados em </w:t>
      </w:r>
      <w:hyperlink r:id="rId808">
        <w:r>
          <w:rPr>
            <w:color w:val="0000EE"/>
            <w:u w:val="single"/>
          </w:rPr>
          <w:t>Êxodo 21–23</w:t>
        </w:r>
      </w:hyperlink>
      <w:r>
        <w:t>. Essas leis foram compiladas e registradas no “Livro da Aliança” (</w:t>
      </w:r>
      <w:hyperlink r:id="rId809">
        <w:r>
          <w:rPr>
            <w:color w:val="0000EE"/>
            <w:u w:val="single"/>
          </w:rPr>
          <w:t>Ex 24.7</w:t>
        </w:r>
      </w:hyperlink>
      <w:r>
        <w:t>). Embora muitas leis estivessem contidas neste livro, era impossível codificar todos os aspectos do comportamento humano. A diversidade dos exemplos dados indica que, para o membro da aliança, nenhuma área da vida humana estava além da influência da aliança. Pessoas que entravam em um relacionamento com Deus entravam em um relacionamento que afetava todos os possíveis aspectos de suas vidas.</w:t>
      </w:r>
    </w:p>
    <w:p>
      <w:pPr>
        <w:pStyle w:val="Heading4"/>
      </w:pPr>
      <w:r>
        <w:t>Renovação da Aliança</w:t>
      </w:r>
    </w:p>
    <w:p>
      <w:r/>
      <w:r>
        <w:t>A aliança no Sinai foi feita com um grupo específico de pessoas sob a liderança de Moisés, mas era obrigatória para as gerações futuras. Consequentemente, a aliança foi renovada de tempos em tempos. As renovações da aliança são registradas na época de Josué (</w:t>
      </w:r>
      <w:hyperlink r:id="rId810">
        <w:r>
          <w:rPr>
            <w:color w:val="0000EE"/>
            <w:u w:val="single"/>
          </w:rPr>
          <w:t>Jos 8.30–35</w:t>
        </w:r>
      </w:hyperlink>
      <w:r>
        <w:t xml:space="preserve">; </w:t>
      </w:r>
      <w:hyperlink r:id="rId811">
        <w:r>
          <w:rPr>
            <w:color w:val="0000EE"/>
            <w:u w:val="single"/>
          </w:rPr>
          <w:t>24.1–28</w:t>
        </w:r>
      </w:hyperlink>
      <w:r>
        <w:t>) e, muito mais tarde, durante o reinado do Rei Josias (</w:t>
      </w:r>
      <w:hyperlink r:id="rId812">
        <w:r>
          <w:rPr>
            <w:color w:val="0000EE"/>
            <w:u w:val="single"/>
          </w:rPr>
          <w:t>2 Reis 23.1–3</w:t>
        </w:r>
      </w:hyperlink>
      <w:r>
        <w:t>).</w:t>
      </w:r>
    </w:p>
    <w:p>
      <w:r/>
      <w:r>
        <w:t>A passagem mais importante na Bíblia para entender a renovação da aliança e a natureza da aliança é o livro de Deuteronômio. O livro inteiro descreve uma cerimônia específica de renovação da aliança que ocorreu em um momento crítico na história inicial de Israel. A aliança do Sinai foi renovada pouco antes da morte de Moisés, antes da transição de liderança para Josué e antes de uma grande campanha militar para conquistar a Terra Prometida.</w:t>
      </w:r>
    </w:p>
    <w:p>
      <w:r/>
      <w:r>
        <w:t>A aliança desde o tempo de Abraão continha uma promessa de terra. Imediatamente antes de entrarem nessa terra (c. 1250 a.C.), os votos da aliança foram renovados com uma nova geração de israelitas, a maioria dos quais não havia estado ao pé do Monte Sinai cerca de 40 anos antes. Embora a renovação da aliança seja o tema central de Deuteronômio, o escritor concentrou-se principalmente no sermão de Moisés, em vez de um relato detalhado da cerimônia de renovação.</w:t>
      </w:r>
    </w:p>
    <w:p>
      <w:r/>
      <w:r>
        <w:t>Muitos aspectos da cerimônia foram simplesmente uma repetição do que ocorreu na ratificação original da aliança. Os Dez Mandamentos foram repetidos (</w:t>
      </w:r>
      <w:hyperlink r:id="rId813">
        <w:r>
          <w:rPr>
            <w:color w:val="0000EE"/>
            <w:u w:val="single"/>
          </w:rPr>
          <w:t>Dt 5.6–21</w:t>
        </w:r>
      </w:hyperlink>
      <w:r>
        <w:t>), e as leis do Livro da Aliança foram expostas em maior detalhe (</w:t>
      </w:r>
      <w:hyperlink r:id="rId814">
        <w:r>
          <w:rPr>
            <w:color w:val="0000EE"/>
            <w:u w:val="single"/>
          </w:rPr>
          <w:t>Dt 12–26</w:t>
        </w:r>
      </w:hyperlink>
      <w:r>
        <w:t>). Dois pontos que emergem em Deuteronômio são particularmente significativos para a compreensão da aliança: uma declaração clara do amor da aliança e uma declaração detalhada das bênçãos e maldições que acompanharam a criação e renovação da aliança.</w:t>
      </w:r>
    </w:p>
    <w:p>
      <w:pPr>
        <w:pStyle w:val="Heading3"/>
      </w:pPr>
      <w:r>
        <w:t>A aliança com Davi</w:t>
      </w:r>
    </w:p>
    <w:p>
      <w:r/>
      <w:r>
        <w:t>A tradição da aliança passou por modificações durante o tempo do Rei Davi (c. 1000 a.C.). A aliança do Sinai havia sido estabelecida entre Deus e Israel, com Moisés atuando como mediador. No tempo de Davi, um elemento adicional foi introduzido: Deus fez uma aliança com Davi como rei. Essa aliança real foi comunicada a Davi através do profeta Natã (</w:t>
      </w:r>
      <w:hyperlink r:id="rId815">
        <w:r>
          <w:rPr>
            <w:color w:val="0000EE"/>
            <w:u w:val="single"/>
          </w:rPr>
          <w:t>2Sm 7.8–16</w:t>
        </w:r>
      </w:hyperlink>
      <w:r>
        <w:t>), indicando mais uma vez a iniciativa divina. Seria uma aliança eterna com a linhagem real de Davi (</w:t>
      </w:r>
      <w:hyperlink r:id="rId816">
        <w:r>
          <w:rPr>
            <w:color w:val="0000EE"/>
            <w:u w:val="single"/>
          </w:rPr>
          <w:t>23.5</w:t>
        </w:r>
      </w:hyperlink>
      <w:r>
        <w:t>).</w:t>
      </w:r>
    </w:p>
    <w:p>
      <w:r/>
      <w:r>
        <w:t>Os cristãos geralmente interpretam a aliança com Davi como uma aliança messiânica. Por vários séculos, a dinastia estabelecida por Davi governou um Israel unido e, posteriormente, o reino do sul restante de Judá. No entanto, em 586 a.C., Judá foi conquistado pelos babilônios. A partir desse momento, um descendente de Davi não governava mais um reino independente do povo escolhido de Deus. A natureza eterna da aliança com Davi foi destacada, não nas páginas da história antiga, mas na expectativa de um Messias que nasceria dos descendentes de Davi. Mateus e Lucas ambos apontaram para a descendência davídica de Jesus (</w:t>
      </w:r>
      <w:hyperlink r:id="rId817">
        <w:r>
          <w:rPr>
            <w:color w:val="0000EE"/>
            <w:u w:val="single"/>
          </w:rPr>
          <w:t>Mt 1.1</w:t>
        </w:r>
      </w:hyperlink>
      <w:r>
        <w:t xml:space="preserve">; </w:t>
      </w:r>
      <w:hyperlink r:id="rId818">
        <w:r>
          <w:rPr>
            <w:color w:val="0000EE"/>
            <w:u w:val="single"/>
          </w:rPr>
          <w:t>Lc 3.31</w:t>
        </w:r>
      </w:hyperlink>
      <w:r>
        <w:t>). O NT, assim, estende os atos de aliança de Deus para a nova era na pessoa de Jesus.</w:t>
      </w:r>
    </w:p>
    <w:p>
      <w:pPr>
        <w:pStyle w:val="Heading3"/>
      </w:pPr>
      <w:r>
        <w:t>A nova aliança prevista no Antigo Testamento</w:t>
      </w:r>
    </w:p>
    <w:p>
      <w:r/>
      <w:r>
        <w:t>Embora a aliança de Davi com Deus fosse eterna, de certo modo, a aliança estabelecida com Israel no Monte Sinai era temporária. A aliança do Sinai incluía cláusulas condicionais, expressas nas bênçãos e maldições de Deuteronômio. A desobediência de Israel à lei da aliança poderia, no pior dos casos, resultar no exílio da Terra Prometida, um tema central da aliança de Abraão a Moisés e além.</w:t>
      </w:r>
    </w:p>
    <w:p>
      <w:r/>
      <w:r>
        <w:t>Os profetas hebreus frequentemente percebiam o perigo de um fim da aliança como resultado dos pecados de Israel. Alguns dos profetas, especialmente Oseias e Jeremias, também perceberam uma verdade mais profunda: que a aliança estava enraizada no amor divino e que, portanto, mesmo a maldição de Deus não poderia ser definitiva.</w:t>
      </w:r>
    </w:p>
    <w:p>
      <w:r/>
      <w:r>
        <w:t>Oseias expressou dramaticamente essa verdade através da “parábola viva” de seu casamento (</w:t>
      </w:r>
      <w:hyperlink r:id="rId819">
        <w:r>
          <w:rPr>
            <w:color w:val="0000EE"/>
            <w:u w:val="single"/>
          </w:rPr>
          <w:t>Os 1–3</w:t>
        </w:r>
      </w:hyperlink>
      <w:r>
        <w:t>). Ele se casou com Gomer por ordem de Deus, mas depois, como resultado de sua infidelidade, a aliança matrimonial foi dissolvida pelo divórcio. Embora os atos adúlteros de Gomer tenham obrigado Oseias a divorciar-se dela, ele não deixou de amá-la. Deus mais tarde ordenou que Oseias voltasse para Gomer (</w:t>
      </w:r>
      <w:hyperlink r:id="rId820">
        <w:r>
          <w:rPr>
            <w:color w:val="0000EE"/>
            <w:u w:val="single"/>
          </w:rPr>
          <w:t>Os 3.1</w:t>
        </w:r>
      </w:hyperlink>
      <w:r>
        <w:t>). Apesar de sua infidelidade, o profeta deveria levá-la novamente para a relação de aliança do casamento. Essa parábola encenada retratou as ações de Deus com Israel. O pecado de Israel inevitavelmente culminaria em um divórcio de Deus, mas Oseias percebeu um novo casamento. Na nova aliança entre Deus e Israel, Israel seria graciosamente aceito de volta em um relacionamento com Deus (</w:t>
      </w:r>
      <w:hyperlink r:id="rId821">
        <w:r>
          <w:rPr>
            <w:color w:val="0000EE"/>
            <w:u w:val="single"/>
          </w:rPr>
          <w:t>2.14–18</w:t>
        </w:r>
      </w:hyperlink>
      <w:r>
        <w:t>).</w:t>
      </w:r>
    </w:p>
    <w:p>
      <w:r/>
      <w:r>
        <w:t>A nova aliança é expressa poderosamente nos escritos do profeta Jeremias, que viveu no final do sétimo e início do sexto séculos a.C. Durante sua vida, Jeremias testemunhou o reino de Judá ser derrotado na guerra. A nação perdeu sua independência e tornou-se vassala do Império Babilônico. Em um sentido externo, essa derrota em 586 a.C. marcou o fim da aliança do Sinai. Israel não podia mais chamar a Terra Prometida de sua. No entanto, Jeremias percebeu uma verdade além das realidades políticas contemporâneas. A obra de Deus no mundo, assim como seu amor pelo mundo, não havia terminado.</w:t>
      </w:r>
    </w:p>
    <w:p>
      <w:r/>
      <w:r>
        <w:t>Assim, Jeremias falou de uma nova aliança que Deus traria à tona: “Está chegando o tempo em que farei uma nova aliança com o povo de Israel e com o povo de Judá” (</w:t>
      </w:r>
      <w:hyperlink r:id="rId822">
        <w:r>
          <w:rPr>
            <w:color w:val="0000EE"/>
            <w:u w:val="single"/>
          </w:rPr>
          <w:t>Jr 31.31</w:t>
        </w:r>
      </w:hyperlink>
      <w:r>
        <w:t>). A nova aliança seria marcada por um ato de Deus nos corações humanos, uma transformação espiritual radical (</w:t>
      </w:r>
      <w:hyperlink r:id="rId823">
        <w:r>
          <w:rPr>
            <w:color w:val="0000EE"/>
            <w:u w:val="single"/>
          </w:rPr>
          <w:t>Jr 31.34</w:t>
        </w:r>
      </w:hyperlink>
      <w:r>
        <w:t>). Na Santa Ceia, Jesus declarou aos seus discípulos que “Este cálice é a nova aliança feita por Deus com o seu povo, aliança que é garantida pelo meu sangue, derramado em favor de vocês” (</w:t>
      </w:r>
      <w:hyperlink r:id="rId824">
        <w:r>
          <w:rPr>
            <w:color w:val="0000EE"/>
            <w:u w:val="single"/>
          </w:rPr>
          <w:t>Lc 22.20</w:t>
        </w:r>
      </w:hyperlink>
      <w:r>
        <w:t>). Para o escritor de Hebreus, a nova aliança era central para uma compreensão completa do ministério de Jesus Cristo (</w:t>
      </w:r>
      <w:hyperlink r:id="rId825">
        <w:r>
          <w:rPr>
            <w:color w:val="0000EE"/>
            <w:u w:val="single"/>
          </w:rPr>
          <w:t>Hb 8.8–12</w:t>
        </w:r>
      </w:hyperlink>
      <w:r>
        <w:t>).</w:t>
      </w:r>
    </w:p>
    <w:p>
      <w:pPr>
        <w:pStyle w:val="Heading3"/>
      </w:pPr>
      <w:r>
        <w:t>Conclusão</w:t>
      </w:r>
    </w:p>
    <w:p>
      <w:r/>
      <w:r>
        <w:t>Aliança é um conceito central para a mensagem e a história do AT. O tema da aliança continua no NT como uma forma de interpretar o evangelho cristão. O significado na vida humana é encontrado em um relacionamento de aliança com o Deus vivo. No entanto, seres humanos pecadores não podem trabalhar para entrar em tal relacionamento; somente Deus pode iniciá-lo. De acordo com o NT, o ato de Deus ao dar seu filho, Jesus, para morrer abriu o relacionamento de aliança para todos os seres humanos. O perdão disponibilizado pelo “sangue da nova aliança” de Jesus torna possível que qualquer indivíduo entre em um relacionamento de aliança com Deus. A entrada em tal relacionamento, hoje como no tempo de Abraão, depende da fé (</w:t>
      </w:r>
      <w:hyperlink r:id="rId826">
        <w:r>
          <w:rPr>
            <w:color w:val="0000EE"/>
            <w:u w:val="single"/>
          </w:rPr>
          <w:t>Gl 3.6–14</w:t>
        </w:r>
      </w:hyperlink>
      <w:r>
        <w:t>).</w:t>
      </w:r>
    </w:p>
    <w:p>
      <w:r/>
      <w:r>
        <w:rPr>
          <w:i/>
        </w:rPr>
        <w:t>Veja também</w:t>
      </w:r>
      <w:r>
        <w:t xml:space="preserve"> </w:t>
      </w:r>
      <w:r>
        <w:t>Aliança</w:t>
      </w:r>
      <w:r>
        <w:t xml:space="preserve">; </w:t>
      </w:r>
      <w:r>
        <w:t>Aliança, a Nova</w:t>
      </w:r>
      <w:r>
        <w:t xml:space="preserve">; </w:t>
      </w:r>
      <w:r>
        <w:t>Lei, conceito bíblico de</w:t>
      </w:r>
      <w:r>
        <w:t xml:space="preserve">; </w:t>
      </w:r>
      <w:r>
        <w:t>Juramento</w:t>
      </w:r>
      <w:r>
        <w:t xml:space="preserve">; </w:t>
      </w:r>
      <w:r>
        <w:t>Votos</w:t>
      </w:r>
      <w:r>
        <w:t>.</w:t>
      </w:r>
      <w:r/>
      <w:r/>
    </w:p>
    <w:p>
      <w:r/>
    </w:p>
    <w:p>
      <w:pPr>
        <w:pStyle w:val="Heading2"/>
      </w:pPr>
      <w:r>
        <w:t>Aliança de sal</w:t>
      </w:r>
      <w:r/>
    </w:p>
    <w:p>
      <w:r/>
      <w:r>
        <w:t>A aliança de sal é um tipo especial de acordo na Bíblia. O uso do sal simbolizava que o acordo (ou aliança) duraria para sempre e não poderia ser quebrado. No Oriente Médio, quando as pessoas diziam: "Há pão e sal entre nós", significava que tinham compartilhado uma refeição para confirmar sua amizade ou acordo. O sal era importante porque preservava os alimentos e lhes dava sabor, tornando-se assim um símbolo de relações duradouras.</w:t>
      </w:r>
    </w:p>
    <w:p>
      <w:r/>
      <w:r>
        <w:t>No Antigo Testamento, o sal aparece na relação entre Deus e Israel. Quando os israelitas traziam ofertas de cereais a Deus, eles tinham que adicionar sal para mostrar que sua aliança com Deus duraria para sempre (</w:t>
      </w:r>
      <w:hyperlink r:id="rId827">
        <w:r>
          <w:rPr>
            <w:color w:val="0000EE"/>
            <w:u w:val="single"/>
          </w:rPr>
          <w:t>Lv 2.13</w:t>
        </w:r>
      </w:hyperlink>
      <w:r>
        <w:t>). O sal ajudava a purificar a oferta e a preservá-la, assim como a aliança de Deus com Israel era destinada a perdurar.</w:t>
      </w:r>
    </w:p>
    <w:p>
      <w:r/>
      <w:r>
        <w:t>Deus fez uma "aliança de sal" eterna entre Ele e Arão (</w:t>
      </w:r>
      <w:hyperlink r:id="rId828">
        <w:r>
          <w:rPr>
            <w:color w:val="0000EE"/>
            <w:u w:val="single"/>
          </w:rPr>
          <w:t>Nm 18.19</w:t>
        </w:r>
      </w:hyperlink>
      <w:r>
        <w:t>). Arão representava todo o sacerdócio de Israel. Como os levitas (a tribo dos sacerdotes) não receberam terra como as outras tribos quando Israel se estabeleceu na terra prometida, Deus prometeu ser sua porção especial para sempre. A aliança que Deus fez com o rei Davi e seus filhos também foi uma aliança de sal (</w:t>
      </w:r>
      <w:hyperlink r:id="rId829">
        <w:r>
          <w:rPr>
            <w:color w:val="0000EE"/>
            <w:u w:val="single"/>
          </w:rPr>
          <w:t>2Cr 13.5</w:t>
        </w:r>
      </w:hyperlink>
      <w:r>
        <w:t>). Isso significava que a promessa de Deus de manter a linhagem real de Davi era permanente e não seria quebrada.</w:t>
      </w:r>
    </w:p>
    <w:p>
      <w:r/>
      <w:r>
        <w:rPr>
          <w:i/>
        </w:rPr>
        <w:t>Veja também</w:t>
      </w:r>
      <w:r>
        <w:t xml:space="preserve"> </w:t>
      </w:r>
      <w:r>
        <w:t>Aliança</w:t>
      </w:r>
      <w:r>
        <w:t>.</w:t>
      </w:r>
      <w:r/>
      <w:r/>
    </w:p>
    <w:p>
      <w:r/>
    </w:p>
    <w:p>
      <w:pPr>
        <w:pStyle w:val="Heading2"/>
      </w:pPr>
      <w:r>
        <w:t>Aliança, A Nova</w:t>
      </w:r>
      <w:r/>
    </w:p>
    <w:p>
      <w:r/>
      <w:r>
        <w:t>Uma provisão graciosa de Deus dada através de Jesus Cristo para a redenção da humanidade caída — substituindo e cumprindo a antiga aliança, que foi expressa principalmente através da lei mosaica. A expressão “nova aliança” é encontrada principalmente no NT.</w:t>
      </w:r>
    </w:p>
    <w:p>
      <w:r/>
      <w:r>
        <w:t>Embora o conceito de uma nova aliança seja encontrado em vários lugares no AT (</w:t>
      </w:r>
      <w:hyperlink r:id="rId830">
        <w:r>
          <w:rPr>
            <w:color w:val="0000EE"/>
            <w:u w:val="single"/>
          </w:rPr>
          <w:t>Ez 34.23–31</w:t>
        </w:r>
      </w:hyperlink>
      <w:r>
        <w:t xml:space="preserve">; </w:t>
      </w:r>
      <w:hyperlink r:id="rId831">
        <w:r>
          <w:rPr>
            <w:color w:val="0000EE"/>
            <w:u w:val="single"/>
          </w:rPr>
          <w:t>37.24–28</w:t>
        </w:r>
      </w:hyperlink>
      <w:r>
        <w:t xml:space="preserve">; </w:t>
      </w:r>
      <w:hyperlink r:id="rId832">
        <w:r>
          <w:rPr>
            <w:color w:val="0000EE"/>
            <w:u w:val="single"/>
          </w:rPr>
          <w:t>Jl 2.12–32</w:t>
        </w:r>
      </w:hyperlink>
      <w:r>
        <w:t>), a frase em si ocorre apenas uma vez (</w:t>
      </w:r>
      <w:hyperlink r:id="rId833">
        <w:r>
          <w:rPr>
            <w:color w:val="0000EE"/>
            <w:u w:val="single"/>
          </w:rPr>
          <w:t>Jr 31.31–34</w:t>
        </w:r>
      </w:hyperlink>
      <w:r>
        <w:t xml:space="preserve">). Essa passagem contrasta a nova aliança que o profeta Jeremias viu Deus fazendo com Israel “depois daqueles dias” (vv. </w:t>
      </w:r>
      <w:hyperlink r:id="rId834">
        <w:r>
          <w:rPr>
            <w:color w:val="0000EE"/>
            <w:u w:val="single"/>
          </w:rPr>
          <w:t>32–34</w:t>
        </w:r>
      </w:hyperlink>
      <w:r>
        <w:t>) com a aliança que Deus havia feito com seu povo nos dias de Moisés. O contraste é visto, em primeiro lugar, na natureza interna da nova aliança. Considerando que a antiga aliança foi escrita em tábuas de pedra (</w:t>
      </w:r>
      <w:hyperlink r:id="rId835">
        <w:r>
          <w:rPr>
            <w:color w:val="0000EE"/>
            <w:u w:val="single"/>
          </w:rPr>
          <w:t>Êx 31.18</w:t>
        </w:r>
      </w:hyperlink>
      <w:r>
        <w:t xml:space="preserve">; </w:t>
      </w:r>
      <w:hyperlink r:id="rId836">
        <w:r>
          <w:rPr>
            <w:color w:val="0000EE"/>
            <w:u w:val="single"/>
          </w:rPr>
          <w:t>34.27–32</w:t>
        </w:r>
      </w:hyperlink>
      <w:r>
        <w:t xml:space="preserve">; </w:t>
      </w:r>
      <w:hyperlink r:id="rId837">
        <w:r>
          <w:rPr>
            <w:color w:val="0000EE"/>
            <w:u w:val="single"/>
          </w:rPr>
          <w:t>Dt 4.13</w:t>
        </w:r>
      </w:hyperlink>
      <w:r>
        <w:t xml:space="preserve">; </w:t>
      </w:r>
      <w:hyperlink r:id="rId838">
        <w:r>
          <w:rPr>
            <w:color w:val="0000EE"/>
            <w:u w:val="single"/>
          </w:rPr>
          <w:t>5.22</w:t>
        </w:r>
      </w:hyperlink>
      <w:r>
        <w:t xml:space="preserve">; </w:t>
      </w:r>
      <w:hyperlink r:id="rId839">
        <w:r>
          <w:rPr>
            <w:color w:val="0000EE"/>
            <w:u w:val="single"/>
          </w:rPr>
          <w:t>9.11</w:t>
        </w:r>
      </w:hyperlink>
      <w:r>
        <w:t xml:space="preserve">; </w:t>
      </w:r>
      <w:hyperlink r:id="rId840">
        <w:r>
          <w:rPr>
            <w:color w:val="0000EE"/>
            <w:u w:val="single"/>
          </w:rPr>
          <w:t>10.3–4</w:t>
        </w:r>
      </w:hyperlink>
      <w:r>
        <w:t>) e em um livro (</w:t>
      </w:r>
      <w:hyperlink r:id="rId809">
        <w:r>
          <w:rPr>
            <w:color w:val="0000EE"/>
            <w:u w:val="single"/>
          </w:rPr>
          <w:t>Êx 24.7</w:t>
        </w:r>
      </w:hyperlink>
      <w:r>
        <w:t xml:space="preserve">; cf. a frase “caducidade da letra”, </w:t>
      </w:r>
      <w:hyperlink r:id="rId841">
        <w:r>
          <w:rPr>
            <w:color w:val="0000EE"/>
            <w:u w:val="single"/>
          </w:rPr>
          <w:t>Rm 7:6</w:t>
        </w:r>
      </w:hyperlink>
      <w:r>
        <w:t xml:space="preserve">, ARA), a nova aliança deve ser escrita no coração humano. Um resultado é uma revelação mais clara do que Deus exige; outro é a capacitação dos crentes para atender a essas demandas (veja </w:t>
      </w:r>
      <w:hyperlink r:id="rId842">
        <w:r>
          <w:rPr>
            <w:color w:val="0000EE"/>
            <w:u w:val="single"/>
          </w:rPr>
          <w:t>Rm 8.2–4</w:t>
        </w:r>
      </w:hyperlink>
      <w:r>
        <w:t>). A natureza interior da nova aliança é mencionada em várias outras passagens (</w:t>
      </w:r>
      <w:hyperlink r:id="rId843">
        <w:r>
          <w:rPr>
            <w:color w:val="0000EE"/>
            <w:u w:val="single"/>
          </w:rPr>
          <w:t>Ez 11.19–21</w:t>
        </w:r>
      </w:hyperlink>
      <w:r>
        <w:t xml:space="preserve">; </w:t>
      </w:r>
      <w:hyperlink r:id="rId844">
        <w:r>
          <w:rPr>
            <w:color w:val="0000EE"/>
            <w:u w:val="single"/>
          </w:rPr>
          <w:t>36.26–27</w:t>
        </w:r>
      </w:hyperlink>
      <w:r>
        <w:t>) e explicitada no profeta Joel de um tempo em que Deus “derramará [seu] espírito sobre toda a carne” (</w:t>
      </w:r>
      <w:hyperlink r:id="rId845">
        <w:r>
          <w:rPr>
            <w:color w:val="0000EE"/>
            <w:u w:val="single"/>
          </w:rPr>
          <w:t>Jl 2.28–32</w:t>
        </w:r>
      </w:hyperlink>
      <w:r>
        <w:t>).</w:t>
      </w:r>
    </w:p>
    <w:p>
      <w:r/>
      <w:r>
        <w:t>Um segundo contraste está na maneira como o povo de Deus o conhece sob as duas alianças. Não há dúvida de que Israel sob a antiga aliança “conhecia” a Deus; Deus havia se revelado, embora às vezes a nação tendia a esquecer isso (</w:t>
      </w:r>
      <w:hyperlink r:id="rId846">
        <w:r>
          <w:rPr>
            <w:color w:val="0000EE"/>
            <w:u w:val="single"/>
          </w:rPr>
          <w:t>Jz 2.10</w:t>
        </w:r>
      </w:hyperlink>
      <w:r>
        <w:t xml:space="preserve">; </w:t>
      </w:r>
      <w:hyperlink r:id="rId847">
        <w:r>
          <w:rPr>
            <w:color w:val="0000EE"/>
            <w:u w:val="single"/>
          </w:rPr>
          <w:t>Os 4.1, 6</w:t>
        </w:r>
      </w:hyperlink>
      <w:r>
        <w:t>). O que os profetas visionaram na nova aliança é um conhecimento pessoal único de Deus por cada membro individual da comunidade da aliança.</w:t>
      </w:r>
    </w:p>
    <w:p>
      <w:r/>
      <w:r>
        <w:t>Finalmente, as duas alianças diferem em relação ao tratamento de Deus com o pecado humano. Jeremias prometeu que Deus perdoaria a iniquidade de seu povo e apagaria seu pecado. Israel já sabia que Deus se deleitava em misericórdia e perdão (</w:t>
      </w:r>
      <w:hyperlink r:id="rId848">
        <w:r>
          <w:rPr>
            <w:color w:val="0000EE"/>
            <w:u w:val="single"/>
          </w:rPr>
          <w:t>Êx 34.6–7</w:t>
        </w:r>
      </w:hyperlink>
      <w:r>
        <w:t>), mas Jeremias estava dizendo que Deus nunca mais se lembraria de seu pecado (</w:t>
      </w:r>
      <w:hyperlink r:id="rId823">
        <w:r>
          <w:rPr>
            <w:color w:val="0000EE"/>
            <w:u w:val="single"/>
          </w:rPr>
          <w:t>Jr 31.34</w:t>
        </w:r>
      </w:hyperlink>
      <w:r>
        <w:t>). Sob a antiga aliança, havia um lembrete do pecado ano após ano (</w:t>
      </w:r>
      <w:hyperlink r:id="rId849">
        <w:r>
          <w:rPr>
            <w:color w:val="0000EE"/>
            <w:u w:val="single"/>
          </w:rPr>
          <w:t>Hb 10.3</w:t>
        </w:r>
      </w:hyperlink>
      <w:r>
        <w:t xml:space="preserve">); sob a nova aliança, nenhuma lembrança do pecado permanece (v. </w:t>
      </w:r>
      <w:hyperlink r:id="rId850">
        <w:r>
          <w:rPr>
            <w:color w:val="0000EE"/>
            <w:u w:val="single"/>
          </w:rPr>
          <w:t>14</w:t>
        </w:r>
      </w:hyperlink>
      <w:r>
        <w:t>).</w:t>
      </w:r>
    </w:p>
    <w:p>
      <w:pPr>
        <w:pStyle w:val="Heading3"/>
      </w:pPr>
      <w:r>
        <w:t>Uma Nova Aliança</w:t>
      </w:r>
    </w:p>
    <w:p>
      <w:r/>
      <w:r>
        <w:t>A expressão “nova aliança” é encontrada pelo menos seis vezes no NT (</w:t>
      </w:r>
      <w:hyperlink r:id="rId851">
        <w:r>
          <w:rPr>
            <w:color w:val="0000EE"/>
            <w:u w:val="single"/>
          </w:rPr>
          <w:t>1Co 11.25</w:t>
        </w:r>
      </w:hyperlink>
      <w:r>
        <w:t xml:space="preserve">; </w:t>
      </w:r>
      <w:hyperlink r:id="rId852">
        <w:r>
          <w:rPr>
            <w:color w:val="0000EE"/>
            <w:u w:val="single"/>
          </w:rPr>
          <w:t>2Co 3.6</w:t>
        </w:r>
      </w:hyperlink>
      <w:r>
        <w:t xml:space="preserve">; </w:t>
      </w:r>
      <w:hyperlink r:id="rId853">
        <w:r>
          <w:rPr>
            <w:color w:val="0000EE"/>
            <w:u w:val="single"/>
          </w:rPr>
          <w:t>Hb 8.8, 13</w:t>
        </w:r>
      </w:hyperlink>
      <w:r>
        <w:t xml:space="preserve">; </w:t>
      </w:r>
      <w:hyperlink r:id="rId854">
        <w:r>
          <w:rPr>
            <w:color w:val="0000EE"/>
            <w:u w:val="single"/>
          </w:rPr>
          <w:t>9.15</w:t>
        </w:r>
      </w:hyperlink>
      <w:r>
        <w:t xml:space="preserve">; </w:t>
      </w:r>
      <w:hyperlink r:id="rId855">
        <w:r>
          <w:rPr>
            <w:color w:val="0000EE"/>
            <w:u w:val="single"/>
          </w:rPr>
          <w:t>12.24</w:t>
        </w:r>
      </w:hyperlink>
      <w:r>
        <w:t xml:space="preserve">; e provavelmente </w:t>
      </w:r>
      <w:hyperlink r:id="rId824">
        <w:r>
          <w:rPr>
            <w:color w:val="0000EE"/>
            <w:u w:val="single"/>
          </w:rPr>
          <w:t>Lc 22.20</w:t>
        </w:r>
      </w:hyperlink>
      <w:r>
        <w:t xml:space="preserve">, de acordo com alguns manuscritos). Em certos manuscritos gregos, a frase também é encontrada em </w:t>
      </w:r>
      <w:hyperlink r:id="rId856">
        <w:r>
          <w:rPr>
            <w:color w:val="0000EE"/>
            <w:u w:val="single"/>
          </w:rPr>
          <w:t>Mateus 26.28</w:t>
        </w:r>
      </w:hyperlink>
      <w:r>
        <w:t xml:space="preserve"> e </w:t>
      </w:r>
      <w:hyperlink r:id="rId857">
        <w:r>
          <w:rPr>
            <w:color w:val="0000EE"/>
            <w:u w:val="single"/>
          </w:rPr>
          <w:t>Marcos 14.24</w:t>
        </w:r>
      </w:hyperlink>
      <w:r>
        <w:t>, onde “novo” parece ter sido adicionado por vários escribas ao “sangue da aliança”, para fazer esses relatos se conformarem com relatos paralelos da Ceia do Senhor em 1 Coríntios ou possivelmente em Lucas.</w:t>
      </w:r>
    </w:p>
    <w:p>
      <w:r/>
      <w:r>
        <w:t>Mesmo que o termo “novo” não seja encontrado nos relatos em Mateus e Marcos nos melhores manuscritos gregos, e, portanto, provavelmente não fazia parte do texto original, está claro a partir de todos os quatro relatos que Jesus viu a Ceia do Senhor como a instituição de uma aliança diferente e, portanto, “nova”. A aliança estava sendo selada por sua morte sacrificial, isto é, por seu sangue, assim como a aliança mosaica foi selada pelo “sangue da aliança” (</w:t>
      </w:r>
      <w:hyperlink r:id="rId858">
        <w:r>
          <w:rPr>
            <w:color w:val="0000EE"/>
            <w:u w:val="single"/>
          </w:rPr>
          <w:t>Êx 24.6–8</w:t>
        </w:r>
      </w:hyperlink>
      <w:r>
        <w:t>). O cálice da Ceia do Senhor simboliza o sangue do sacrifício de Cristo, selando a nova aliança que Deus finalmente fez com seu povo. A nova aliança, ratificada pela morte de Cristo, é o que a igreja, portanto, comemora cada vez que celebra a Ceia do Senhor.</w:t>
      </w:r>
    </w:p>
    <w:p>
      <w:r/>
      <w:r>
        <w:t>Em sua instituição da Ceia do Senhor, Jesus não elucidou o que a “novidade” da aliança implicava. Em outro lugar, ele mencionou um “batismo com o Espírito Santo” (</w:t>
      </w:r>
      <w:hyperlink r:id="rId859">
        <w:r>
          <w:rPr>
            <w:color w:val="0000EE"/>
            <w:u w:val="single"/>
          </w:rPr>
          <w:t>Atos 1.5</w:t>
        </w:r>
      </w:hyperlink>
      <w:r>
        <w:t xml:space="preserve">; </w:t>
      </w:r>
      <w:hyperlink r:id="rId860">
        <w:r>
          <w:rPr>
            <w:color w:val="0000EE"/>
            <w:u w:val="single"/>
          </w:rPr>
          <w:t>11.16</w:t>
        </w:r>
      </w:hyperlink>
      <w:r>
        <w:t xml:space="preserve">; cf. </w:t>
      </w:r>
      <w:hyperlink r:id="rId861">
        <w:r>
          <w:rPr>
            <w:color w:val="0000EE"/>
            <w:u w:val="single"/>
          </w:rPr>
          <w:t>Mt 3.11</w:t>
        </w:r>
      </w:hyperlink>
      <w:r>
        <w:t xml:space="preserve">; </w:t>
      </w:r>
      <w:hyperlink r:id="rId862">
        <w:r>
          <w:rPr>
            <w:color w:val="0000EE"/>
            <w:u w:val="single"/>
          </w:rPr>
          <w:t>Mc 1.8</w:t>
        </w:r>
      </w:hyperlink>
      <w:r>
        <w:t xml:space="preserve">; </w:t>
      </w:r>
      <w:hyperlink r:id="rId863">
        <w:r>
          <w:rPr>
            <w:color w:val="0000EE"/>
            <w:u w:val="single"/>
          </w:rPr>
          <w:t>Lc 3.16</w:t>
        </w:r>
      </w:hyperlink>
      <w:r>
        <w:t xml:space="preserve">; e </w:t>
      </w:r>
      <w:hyperlink r:id="rId864">
        <w:r>
          <w:rPr>
            <w:color w:val="0000EE"/>
            <w:u w:val="single"/>
          </w:rPr>
          <w:t>Jo 1.33</w:t>
        </w:r>
      </w:hyperlink>
      <w:r>
        <w:t xml:space="preserve">, onde esta promessa é encontrada nos lábios de João Batista; cf. também </w:t>
      </w:r>
      <w:hyperlink r:id="rId420">
        <w:r>
          <w:rPr>
            <w:color w:val="0000EE"/>
            <w:u w:val="single"/>
          </w:rPr>
          <w:t>1Co 12.13</w:t>
        </w:r>
      </w:hyperlink>
      <w:r>
        <w:t xml:space="preserve">). No entanto, ambas as profecias do AT se referem à mesma nova aliança que Deus estabeleceria no futuro, como mostrado em </w:t>
      </w:r>
      <w:hyperlink r:id="rId852">
        <w:r>
          <w:rPr>
            <w:color w:val="0000EE"/>
            <w:u w:val="single"/>
          </w:rPr>
          <w:t>2 Coríntios 3.6</w:t>
        </w:r>
      </w:hyperlink>
      <w:r>
        <w:t xml:space="preserve">. Lá, o apóstolo Paulo afirmou que Deus “nos habilitou para sermos ministros de uma nova aliança” (ARA; cf. </w:t>
      </w:r>
      <w:hyperlink r:id="rId822">
        <w:r>
          <w:rPr>
            <w:color w:val="0000EE"/>
            <w:u w:val="single"/>
          </w:rPr>
          <w:t>Jr 31.31</w:t>
        </w:r>
      </w:hyperlink>
      <w:r>
        <w:t xml:space="preserve">), não “da letra, mas no Espírito” (ARA; cf. </w:t>
      </w:r>
      <w:hyperlink r:id="rId845">
        <w:r>
          <w:rPr>
            <w:color w:val="0000EE"/>
            <w:u w:val="single"/>
          </w:rPr>
          <w:t>Jl 2.28–32</w:t>
        </w:r>
      </w:hyperlink>
      <w:r>
        <w:t>), pois “a letra mata, mas o espírito vivifica” (ARA).</w:t>
      </w:r>
    </w:p>
    <w:p>
      <w:pPr>
        <w:pStyle w:val="Heading3"/>
      </w:pPr>
      <w:r>
        <w:t>Superioridade da Nova Aliança</w:t>
      </w:r>
    </w:p>
    <w:p>
      <w:r/>
      <w:r>
        <w:t xml:space="preserve">Em </w:t>
      </w:r>
      <w:hyperlink r:id="rId865">
        <w:r>
          <w:rPr>
            <w:color w:val="0000EE"/>
            <w:u w:val="single"/>
          </w:rPr>
          <w:t>2 Coríntios 3</w:t>
        </w:r>
      </w:hyperlink>
      <w:r>
        <w:t xml:space="preserve">, Paulo estava mostrando que, em contraste com a antiga aliança (mosaica) (v. </w:t>
      </w:r>
      <w:hyperlink r:id="rId866">
        <w:r>
          <w:rPr>
            <w:color w:val="0000EE"/>
            <w:u w:val="single"/>
          </w:rPr>
          <w:t>14</w:t>
        </w:r>
      </w:hyperlink>
      <w:r>
        <w:t xml:space="preserve">), que era uma dispensação da morte, gravada em letras em pedra (v. </w:t>
      </w:r>
      <w:hyperlink r:id="rId867">
        <w:r>
          <w:rPr>
            <w:color w:val="0000EE"/>
            <w:u w:val="single"/>
          </w:rPr>
          <w:t>7</w:t>
        </w:r>
      </w:hyperlink>
      <w:r>
        <w:t xml:space="preserve">), a nova aliança instituída por Jesus é de esplendor muito maior (v. </w:t>
      </w:r>
      <w:hyperlink r:id="rId868">
        <w:r>
          <w:rPr>
            <w:color w:val="0000EE"/>
            <w:u w:val="single"/>
          </w:rPr>
          <w:t>8–9</w:t>
        </w:r>
      </w:hyperlink>
      <w:r>
        <w:t xml:space="preserve">), escrita no coração humano pelo Espírito do próprio Deus vivo (v. </w:t>
      </w:r>
      <w:hyperlink r:id="rId869">
        <w:r>
          <w:rPr>
            <w:color w:val="0000EE"/>
            <w:u w:val="single"/>
          </w:rPr>
          <w:t>3</w:t>
        </w:r>
      </w:hyperlink>
      <w:r>
        <w:t>).</w:t>
      </w:r>
    </w:p>
    <w:p>
      <w:r/>
      <w:r>
        <w:t xml:space="preserve">O conceito da nova aliança é tratado de forma mais exaustiva e sistemática no livro de Hebreus. Em </w:t>
      </w:r>
      <w:hyperlink r:id="rId825">
        <w:r>
          <w:rPr>
            <w:color w:val="0000EE"/>
            <w:u w:val="single"/>
          </w:rPr>
          <w:t>Hebreus 8.8–12</w:t>
        </w:r>
      </w:hyperlink>
      <w:r>
        <w:t xml:space="preserve">, a citação de </w:t>
      </w:r>
      <w:hyperlink r:id="rId833">
        <w:r>
          <w:rPr>
            <w:color w:val="0000EE"/>
            <w:u w:val="single"/>
          </w:rPr>
          <w:t>Jeremias 31.31–34</w:t>
        </w:r>
      </w:hyperlink>
      <w:r>
        <w:t xml:space="preserve"> é a citação mais longa do AT encontrada no NT. Em </w:t>
      </w:r>
      <w:hyperlink r:id="rId855">
        <w:r>
          <w:rPr>
            <w:color w:val="0000EE"/>
            <w:u w:val="single"/>
          </w:rPr>
          <w:t>Hebreus 12.24</w:t>
        </w:r>
      </w:hyperlink>
      <w:r>
        <w:t>, uma palavra grega diferente para “nova” é usada, mas o significado permanece o mesmo. O tema da nova aliança domina o livro de Hebreus, que foi escrito para encorajar os cristãos vacilantes demonstrando a superioridade da fé cristã sobre suas antigas crenças e práticas judaicas. Em Hebreus, a nova aliança é vista como melhor do que a antiga aliança “obsoleta” de várias maneiras.</w:t>
      </w:r>
    </w:p>
    <w:p>
      <w:r/>
      <w:r>
        <w:t>1. A nova aliança tem um sacerdócio melhor do que a antiga aliança, uma vez que não há mais necessidade de uma mudança contínua de sacerdotes devido à morte (</w:t>
      </w:r>
      <w:hyperlink r:id="rId870">
        <w:r>
          <w:rPr>
            <w:color w:val="0000EE"/>
            <w:u w:val="single"/>
          </w:rPr>
          <w:t>Hb 7.23</w:t>
        </w:r>
      </w:hyperlink>
      <w:r>
        <w:t xml:space="preserve">). Um sacerdote contínuo agora vive para sempre para fazer intercessão diante de Deus em nome de seu povo (vv. </w:t>
      </w:r>
      <w:hyperlink r:id="rId871">
        <w:r>
          <w:rPr>
            <w:color w:val="0000EE"/>
            <w:u w:val="single"/>
          </w:rPr>
          <w:t>24–25</w:t>
        </w:r>
      </w:hyperlink>
      <w:r>
        <w:t>).</w:t>
      </w:r>
    </w:p>
    <w:p>
      <w:r/>
      <w:r>
        <w:t>2. O sacerdote da nova aliança é melhor do que os da antiga aliança, uma vez que Jesus não tem que oferecer sacrifícios continuamente por seus próprios pecados e depois pelos pecados de seu povo. Ele, em vez disso, fez uma oferta completa e perfeita (</w:t>
      </w:r>
      <w:hyperlink r:id="rId872">
        <w:r>
          <w:rPr>
            <w:color w:val="0000EE"/>
            <w:u w:val="single"/>
          </w:rPr>
          <w:t>7.27</w:t>
        </w:r>
      </w:hyperlink>
      <w:r>
        <w:t xml:space="preserve">; </w:t>
      </w:r>
      <w:hyperlink r:id="rId873">
        <w:r>
          <w:rPr>
            <w:color w:val="0000EE"/>
            <w:u w:val="single"/>
          </w:rPr>
          <w:t>9.25–28</w:t>
        </w:r>
      </w:hyperlink>
      <w:r>
        <w:t xml:space="preserve">; </w:t>
      </w:r>
      <w:hyperlink r:id="rId874">
        <w:r>
          <w:rPr>
            <w:color w:val="0000EE"/>
            <w:u w:val="single"/>
          </w:rPr>
          <w:t>10.12</w:t>
        </w:r>
      </w:hyperlink>
      <w:r>
        <w:t>).</w:t>
      </w:r>
    </w:p>
    <w:p>
      <w:r/>
      <w:r>
        <w:t>3. A nova aliança tem um sacrifício melhor do que a antiga aliança; o que o sangue de touros e bodes não poderia fazer, uma vez que a expiação que eles traziam poderia, na melhor das hipóteses, ser apenas parcial (</w:t>
      </w:r>
      <w:hyperlink r:id="rId875">
        <w:r>
          <w:rPr>
            <w:color w:val="0000EE"/>
            <w:u w:val="single"/>
          </w:rPr>
          <w:t>10.2–3</w:t>
        </w:r>
      </w:hyperlink>
      <w:r>
        <w:t>), o sangue de Cristo fez uma vez por todas (</w:t>
      </w:r>
      <w:hyperlink r:id="rId876">
        <w:r>
          <w:rPr>
            <w:color w:val="0000EE"/>
            <w:u w:val="single"/>
          </w:rPr>
          <w:t>9.11–14</w:t>
        </w:r>
      </w:hyperlink>
      <w:r>
        <w:t xml:space="preserve">; </w:t>
      </w:r>
      <w:hyperlink r:id="rId877">
        <w:r>
          <w:rPr>
            <w:color w:val="0000EE"/>
            <w:u w:val="single"/>
          </w:rPr>
          <w:t>10.1–10</w:t>
        </w:r>
      </w:hyperlink>
      <w:r>
        <w:t>).</w:t>
      </w:r>
    </w:p>
    <w:p>
      <w:r/>
      <w:r>
        <w:t>4. A nova aliança é construída em “melhores promessas” do que a antiga (</w:t>
      </w:r>
      <w:hyperlink r:id="rId878">
        <w:r>
          <w:rPr>
            <w:color w:val="0000EE"/>
            <w:u w:val="single"/>
          </w:rPr>
          <w:t>8.6</w:t>
        </w:r>
      </w:hyperlink>
      <w:r>
        <w:t>).</w:t>
      </w:r>
    </w:p>
    <w:p>
      <w:r/>
      <w:r>
        <w:t>5. Considerando que a antiga aliança era imperfeita (</w:t>
      </w:r>
      <w:hyperlink r:id="rId879">
        <w:r>
          <w:rPr>
            <w:color w:val="0000EE"/>
            <w:u w:val="single"/>
          </w:rPr>
          <w:t>8.7</w:t>
        </w:r>
      </w:hyperlink>
      <w:r>
        <w:t>) e assim se tornou obsoleta (</w:t>
      </w:r>
      <w:hyperlink r:id="rId880">
        <w:r>
          <w:rPr>
            <w:color w:val="0000EE"/>
            <w:u w:val="single"/>
          </w:rPr>
          <w:t>8.13</w:t>
        </w:r>
      </w:hyperlink>
      <w:r>
        <w:t>), a nova aliança é perfeita e eterna (</w:t>
      </w:r>
      <w:hyperlink r:id="rId881">
        <w:r>
          <w:rPr>
            <w:color w:val="0000EE"/>
            <w:u w:val="single"/>
          </w:rPr>
          <w:t>13.20</w:t>
        </w:r>
      </w:hyperlink>
      <w:r>
        <w:t>).</w:t>
      </w:r>
    </w:p>
    <w:p>
      <w:r/>
      <w:r>
        <w:t>6. Considerando que a antiga aliança não fornecia ao crente nenhum acesso direto a Deus (</w:t>
      </w:r>
      <w:hyperlink r:id="rId882">
        <w:r>
          <w:rPr>
            <w:color w:val="0000EE"/>
            <w:u w:val="single"/>
          </w:rPr>
          <w:t>9.6–8</w:t>
        </w:r>
      </w:hyperlink>
      <w:r>
        <w:t xml:space="preserve">), a nova aliança fornece um acesso direto a Deus que pode purificar e aperfeiçoar a consciência (cf. </w:t>
      </w:r>
      <w:hyperlink r:id="rId883">
        <w:r>
          <w:rPr>
            <w:color w:val="0000EE"/>
            <w:u w:val="single"/>
          </w:rPr>
          <w:t>9.14</w:t>
        </w:r>
      </w:hyperlink>
      <w:r>
        <w:t xml:space="preserve"> com </w:t>
      </w:r>
      <w:hyperlink r:id="rId884">
        <w:r>
          <w:rPr>
            <w:color w:val="0000EE"/>
            <w:u w:val="single"/>
          </w:rPr>
          <w:t>9.9</w:t>
        </w:r>
      </w:hyperlink>
      <w:r>
        <w:t>).</w:t>
      </w:r>
    </w:p>
    <w:p>
      <w:r/>
      <w:r>
        <w:t>7. A nova aliança possui uma melhor “garantia”, ou certeza, um juramento feito pelo próprio Deus (</w:t>
      </w:r>
      <w:hyperlink r:id="rId885">
        <w:r>
          <w:rPr>
            <w:color w:val="0000EE"/>
            <w:u w:val="single"/>
          </w:rPr>
          <w:t>7.20–22</w:t>
        </w:r>
      </w:hyperlink>
      <w:r>
        <w:t>).</w:t>
      </w:r>
    </w:p>
    <w:p>
      <w:r/>
      <w:r>
        <w:t>8. A nova aliança assegura a presença do Espírito Santo na vida de cada crente. A comunidade da nova aliança foi tocada pelo Espírito prometido (</w:t>
      </w:r>
      <w:hyperlink r:id="rId886">
        <w:r>
          <w:rPr>
            <w:color w:val="0000EE"/>
            <w:u w:val="single"/>
          </w:rPr>
          <w:t>6.4</w:t>
        </w:r>
      </w:hyperlink>
      <w:r>
        <w:t xml:space="preserve">), que, de acordo com Paulo, é tanto o selo quanto a garantia de sua herança (veja </w:t>
      </w:r>
      <w:hyperlink r:id="rId887">
        <w:r>
          <w:rPr>
            <w:color w:val="0000EE"/>
            <w:u w:val="single"/>
          </w:rPr>
          <w:t>2Co 1.22</w:t>
        </w:r>
      </w:hyperlink>
      <w:r>
        <w:t xml:space="preserve">; </w:t>
      </w:r>
      <w:hyperlink r:id="rId888">
        <w:r>
          <w:rPr>
            <w:color w:val="0000EE"/>
            <w:u w:val="single"/>
          </w:rPr>
          <w:t>5.5</w:t>
        </w:r>
      </w:hyperlink>
      <w:r>
        <w:t xml:space="preserve">; </w:t>
      </w:r>
      <w:hyperlink r:id="rId889">
        <w:r>
          <w:rPr>
            <w:color w:val="0000EE"/>
            <w:u w:val="single"/>
          </w:rPr>
          <w:t>Ef 1.13–14</w:t>
        </w:r>
      </w:hyperlink>
      <w:r>
        <w:t>).</w:t>
      </w:r>
    </w:p>
    <w:p>
      <w:pPr>
        <w:pStyle w:val="Heading3"/>
      </w:pPr>
      <w:r>
        <w:t>Conclusão</w:t>
      </w:r>
    </w:p>
    <w:p>
      <w:r/>
      <w:r>
        <w:t>A nova aliança e seu novo mandamento que a acompanha são ambos cumprimentos do que estava implícito na antiga. A nova aliança é escrita no coração de cada membro da nova comunidade da aliança pelo Espírito Santo. O poder do Espírito de Deus no interior, permitindo que o crente cumpra o novo mandamento (</w:t>
      </w:r>
      <w:hyperlink r:id="rId842">
        <w:r>
          <w:rPr>
            <w:color w:val="0000EE"/>
            <w:u w:val="single"/>
          </w:rPr>
          <w:t>Rm 8.2–4</w:t>
        </w:r>
      </w:hyperlink>
      <w:r>
        <w:t xml:space="preserve">; </w:t>
      </w:r>
      <w:hyperlink r:id="rId890">
        <w:r>
          <w:rPr>
            <w:color w:val="0000EE"/>
            <w:u w:val="single"/>
          </w:rPr>
          <w:t>Gl 5.16–25</w:t>
        </w:r>
      </w:hyperlink>
      <w:r>
        <w:t>), é uma característica distintiva da nova aliança.</w:t>
      </w:r>
    </w:p>
    <w:p>
      <w:r/>
      <w:r>
        <w:rPr>
          <w:i/>
        </w:rPr>
        <w:t>Veja também</w:t>
      </w:r>
      <w:r>
        <w:t xml:space="preserve"> </w:t>
      </w:r>
      <w:r>
        <w:t>Aliança</w:t>
      </w:r>
      <w:r>
        <w:t>.</w:t>
      </w:r>
      <w:r/>
      <w:r/>
    </w:p>
    <w:p>
      <w:r/>
    </w:p>
    <w:p>
      <w:pPr>
        <w:pStyle w:val="Heading2"/>
      </w:pPr>
      <w:r>
        <w:t>ALIANÇA, Livro da</w:t>
      </w:r>
      <w:r/>
    </w:p>
    <w:p>
      <w:r/>
      <w:r>
        <w:t xml:space="preserve">Uma frase usada por Moisés. Refere-se aos Dez Mandamentos e às leis em </w:t>
      </w:r>
      <w:hyperlink r:id="rId891">
        <w:r>
          <w:rPr>
            <w:color w:val="0000EE"/>
            <w:u w:val="single"/>
          </w:rPr>
          <w:t>Êxodo 20.22–23.33</w:t>
        </w:r>
      </w:hyperlink>
      <w:r>
        <w:t>.</w:t>
      </w:r>
    </w:p>
    <w:p>
      <w:r/>
      <w:r>
        <w:rPr>
          <w:i/>
        </w:rPr>
        <w:t>Veja também</w:t>
      </w:r>
      <w:r>
        <w:t xml:space="preserve"> </w:t>
      </w:r>
      <w:r>
        <w:t>O Livro da aliança</w:t>
      </w:r>
      <w:r>
        <w:t>.</w:t>
      </w:r>
      <w:r/>
      <w:r/>
    </w:p>
    <w:p>
      <w:r/>
    </w:p>
    <w:p>
      <w:pPr>
        <w:pStyle w:val="Heading2"/>
      </w:pPr>
      <w:r>
        <w:t>Alma</w:t>
      </w:r>
      <w:r/>
    </w:p>
    <w:p>
      <w:r/>
      <w:r>
        <w:t xml:space="preserve">O termo que traduz a palavra grega psuche e o hebraico </w:t>
      </w:r>
      <w:r>
        <w:rPr>
          <w:i/>
        </w:rPr>
        <w:t>nephesh</w:t>
      </w:r>
      <w:r>
        <w:t>.</w:t>
      </w:r>
    </w:p>
    <w:p>
      <w:r/>
      <w:r>
        <w:t>O filósofo grego Platão (quarto século a.C.) percebeu a alma como o elemento eterno nos humanos; enquanto o corpo perece na morte, a alma é indestrutível. Na morte, a alma entra em outro corpo; se tiver sido ímpio nesta vida, pode ser enviado para um ser humano inferior ou até mesmo um animal, ou pássaro. Por meio da transmigração de um corpo para outro, a alma eventualmente se purifica do mal. Nos primeiros séculos da era cristã, o gnosticismo também ensinava que o corpo era a prisão da alma. A redenção vem àqueles que são iniciados nos segredos gnósticos, levando à libertação da alma do corpo.</w:t>
      </w:r>
    </w:p>
    <w:p>
      <w:r/>
      <w:r>
        <w:t>O pensamento bíblico sobre a alma é diferente. No AT, a alma significa aquilo que é vital para os seres humanos no sentido mais amplo. As palavras hebraicas e gregas para alma muitas vezes podem ser traduzidas como “vida”; ocasionalmente, elas podem ser usadas para a vida de criaturas (</w:t>
      </w:r>
      <w:hyperlink r:id="rId892">
        <w:r>
          <w:rPr>
            <w:color w:val="0000EE"/>
            <w:u w:val="single"/>
          </w:rPr>
          <w:t>Gn 1.20</w:t>
        </w:r>
      </w:hyperlink>
      <w:r>
        <w:t xml:space="preserve">; </w:t>
      </w:r>
      <w:hyperlink r:id="rId893">
        <w:r>
          <w:rPr>
            <w:color w:val="0000EE"/>
            <w:u w:val="single"/>
          </w:rPr>
          <w:t>Lv 11.10</w:t>
        </w:r>
      </w:hyperlink>
      <w:r>
        <w:t>). “Alma por alma” significa “vida por vida” (</w:t>
      </w:r>
      <w:hyperlink r:id="rId894">
        <w:r>
          <w:rPr>
            <w:color w:val="0000EE"/>
            <w:u w:val="single"/>
          </w:rPr>
          <w:t>Êx 21.23</w:t>
        </w:r>
      </w:hyperlink>
      <w:r>
        <w:t xml:space="preserve">). Em escritos legais, uma alma se refere a uma pessoa em relação a uma lei específica (p. ex., “Se uma alma pecar…”, </w:t>
      </w:r>
      <w:hyperlink r:id="rId895">
        <w:r>
          <w:rPr>
            <w:color w:val="0000EE"/>
            <w:u w:val="single"/>
          </w:rPr>
          <w:t>Lv 4.2</w:t>
        </w:r>
      </w:hyperlink>
      <w:r>
        <w:t>, KJV). Quando as pessoas eram contadas, elas eram contadas como almas, isto é, pessoas (</w:t>
      </w:r>
      <w:hyperlink r:id="rId896">
        <w:r>
          <w:rPr>
            <w:color w:val="0000EE"/>
            <w:u w:val="single"/>
          </w:rPr>
          <w:t>Êx 1.5</w:t>
        </w:r>
      </w:hyperlink>
      <w:r>
        <w:t xml:space="preserve">; </w:t>
      </w:r>
      <w:hyperlink r:id="rId897">
        <w:r>
          <w:rPr>
            <w:color w:val="0000EE"/>
            <w:u w:val="single"/>
          </w:rPr>
          <w:t>Dt 10.22</w:t>
        </w:r>
      </w:hyperlink>
      <w:r>
        <w:t>).</w:t>
      </w:r>
    </w:p>
    <w:p>
      <w:r/>
      <w:r>
        <w:t>Em um sentido mais restrito, a alma denota emoções humanas e capacidades internas. As pessoas são chamadas para amar a Deus com todo o seu coração e alma (</w:t>
      </w:r>
      <w:hyperlink r:id="rId898">
        <w:r>
          <w:rPr>
            <w:color w:val="0000EE"/>
            <w:u w:val="single"/>
          </w:rPr>
          <w:t>Dt 13.3</w:t>
        </w:r>
      </w:hyperlink>
      <w:r>
        <w:t>). Conhecimento e compreensão (</w:t>
      </w:r>
      <w:hyperlink r:id="rId899">
        <w:r>
          <w:rPr>
            <w:color w:val="0000EE"/>
            <w:u w:val="single"/>
          </w:rPr>
          <w:t>Sl 139.14</w:t>
        </w:r>
      </w:hyperlink>
      <w:r>
        <w:t>), pensamento (</w:t>
      </w:r>
      <w:hyperlink r:id="rId900">
        <w:r>
          <w:rPr>
            <w:color w:val="0000EE"/>
            <w:u w:val="single"/>
          </w:rPr>
          <w:t>1Sm 20.3</w:t>
        </w:r>
      </w:hyperlink>
      <w:r>
        <w:t>), amor (</w:t>
      </w:r>
      <w:hyperlink r:id="rId901">
        <w:r>
          <w:rPr>
            <w:color w:val="0000EE"/>
            <w:u w:val="single"/>
          </w:rPr>
          <w:t>1Sm 18.1</w:t>
        </w:r>
      </w:hyperlink>
      <w:r>
        <w:t>) e memória (</w:t>
      </w:r>
      <w:hyperlink r:id="rId902">
        <w:r>
          <w:rPr>
            <w:color w:val="0000EE"/>
            <w:u w:val="single"/>
          </w:rPr>
          <w:t>Lm 3.20</w:t>
        </w:r>
      </w:hyperlink>
      <w:r>
        <w:t>) todos se originam na alma. Aqui a alma se aproxima do que hoje seria chamado de "eu", a pessoa, personalidade ou ego.</w:t>
      </w:r>
    </w:p>
    <w:p>
      <w:r/>
      <w:r>
        <w:t xml:space="preserve">Não há sugestão no AT da transmigração da alma como uma entidade imaterial e imortal. O homem é uma unidade de corpo e alma — termos que descrevem não tanto duas entidades separadas em uma pessoa, mas sim uma pessoa a partir de diferentes perspectivas. Assim, na descrição da criação do homem em </w:t>
      </w:r>
      <w:hyperlink r:id="rId292">
        <w:r>
          <w:rPr>
            <w:color w:val="0000EE"/>
            <w:u w:val="single"/>
          </w:rPr>
          <w:t>Gênesis 2.7</w:t>
        </w:r>
      </w:hyperlink>
      <w:r>
        <w:t xml:space="preserve">, a frase “uma alma vivente” (KJV) é melhor traduzida como “um ser vivo”. A ideia não é que homens e mulheres se tornaram </w:t>
      </w:r>
      <w:r>
        <w:rPr>
          <w:i/>
        </w:rPr>
        <w:t>almas</w:t>
      </w:r>
      <w:r>
        <w:t>, pois claramente eles tinham corpos. O uso da palavra no original chama a atenção para o aspecto vital dos seres humanos como “seres vivos”. A visão hebraica da unidade da pessoa pode ajudar a explicar por que as pessoas no AT tinham uma visão vaga da vida após a morte, pois seria difícil conceber como as pessoas poderiam existir sem um corpo (</w:t>
      </w:r>
      <w:hyperlink r:id="rId903">
        <w:r>
          <w:rPr>
            <w:color w:val="0000EE"/>
            <w:u w:val="single"/>
          </w:rPr>
          <w:t>Sl 16.10</w:t>
        </w:r>
      </w:hyperlink>
      <w:r>
        <w:t xml:space="preserve">; </w:t>
      </w:r>
      <w:hyperlink r:id="rId904">
        <w:r>
          <w:rPr>
            <w:color w:val="0000EE"/>
            <w:u w:val="single"/>
          </w:rPr>
          <w:t>49.15</w:t>
        </w:r>
      </w:hyperlink>
      <w:r>
        <w:t xml:space="preserve">; </w:t>
      </w:r>
      <w:hyperlink r:id="rId905">
        <w:r>
          <w:rPr>
            <w:color w:val="0000EE"/>
            <w:u w:val="single"/>
          </w:rPr>
          <w:t>88.3–12</w:t>
        </w:r>
      </w:hyperlink>
      <w:r>
        <w:t>). Onde a esperança de uma vida após a morte existe, não é por causa do caráter intrínseco da própria alma (como em Platão). Está fundamentado na confiança no Deus com poder sobre a morte e a crença de que a comunhão com ele não pode ser quebrada até mesmo pela morte (</w:t>
      </w:r>
      <w:hyperlink r:id="rId906">
        <w:r>
          <w:rPr>
            <w:color w:val="0000EE"/>
            <w:u w:val="single"/>
          </w:rPr>
          <w:t>Êx 3.6</w:t>
        </w:r>
      </w:hyperlink>
      <w:r>
        <w:t xml:space="preserve">; </w:t>
      </w:r>
      <w:hyperlink r:id="rId907">
        <w:r>
          <w:rPr>
            <w:color w:val="0000EE"/>
            <w:u w:val="single"/>
          </w:rPr>
          <w:t>1Sm 2.6</w:t>
        </w:r>
      </w:hyperlink>
      <w:r>
        <w:t xml:space="preserve">; </w:t>
      </w:r>
      <w:hyperlink r:id="rId908">
        <w:r>
          <w:rPr>
            <w:color w:val="0000EE"/>
            <w:u w:val="single"/>
          </w:rPr>
          <w:t>Jó 19.25–26</w:t>
        </w:r>
      </w:hyperlink>
      <w:r>
        <w:t xml:space="preserve">; </w:t>
      </w:r>
      <w:hyperlink r:id="rId909">
        <w:r>
          <w:rPr>
            <w:color w:val="0000EE"/>
            <w:u w:val="single"/>
          </w:rPr>
          <w:t>Sl 16.10–11</w:t>
        </w:r>
      </w:hyperlink>
      <w:r>
        <w:t xml:space="preserve">; </w:t>
      </w:r>
      <w:hyperlink r:id="rId910">
        <w:r>
          <w:rPr>
            <w:color w:val="0000EE"/>
            <w:u w:val="single"/>
          </w:rPr>
          <w:t>73.24–25</w:t>
        </w:r>
      </w:hyperlink>
      <w:r>
        <w:t xml:space="preserve">; </w:t>
      </w:r>
      <w:hyperlink r:id="rId911">
        <w:r>
          <w:rPr>
            <w:color w:val="0000EE"/>
            <w:u w:val="single"/>
          </w:rPr>
          <w:t>Is 25.8</w:t>
        </w:r>
      </w:hyperlink>
      <w:r>
        <w:t xml:space="preserve">; </w:t>
      </w:r>
      <w:hyperlink r:id="rId912">
        <w:r>
          <w:rPr>
            <w:color w:val="0000EE"/>
            <w:u w:val="single"/>
          </w:rPr>
          <w:t>26.19</w:t>
        </w:r>
      </w:hyperlink>
      <w:r>
        <w:t xml:space="preserve">; </w:t>
      </w:r>
      <w:hyperlink r:id="rId913">
        <w:r>
          <w:rPr>
            <w:color w:val="0000EE"/>
            <w:u w:val="single"/>
          </w:rPr>
          <w:t>Dn 12.2</w:t>
        </w:r>
      </w:hyperlink>
      <w:r>
        <w:t xml:space="preserve">; </w:t>
      </w:r>
      <w:hyperlink r:id="rId914">
        <w:r>
          <w:rPr>
            <w:color w:val="0000EE"/>
            <w:u w:val="single"/>
          </w:rPr>
          <w:t>Os 6.1–3</w:t>
        </w:r>
      </w:hyperlink>
      <w:r>
        <w:t xml:space="preserve">; </w:t>
      </w:r>
      <w:hyperlink r:id="rId915">
        <w:r>
          <w:rPr>
            <w:color w:val="0000EE"/>
            <w:u w:val="single"/>
          </w:rPr>
          <w:t>13.14</w:t>
        </w:r>
      </w:hyperlink>
      <w:r>
        <w:t>).</w:t>
      </w:r>
    </w:p>
    <w:p>
      <w:r/>
      <w:r>
        <w:t>No NT, a palavra para alma (psuche) tem uma gama de significados semelhantes a isso no AT. Muitas vezes é sinônimo de vida em si. Diz-se que os seguidores de Jesus arriscaram suas vidas (almas) por sua causa (</w:t>
      </w:r>
      <w:hyperlink r:id="rId916">
        <w:r>
          <w:rPr>
            <w:color w:val="0000EE"/>
            <w:u w:val="single"/>
          </w:rPr>
          <w:t>At 15.26</w:t>
        </w:r>
      </w:hyperlink>
      <w:r>
        <w:t xml:space="preserve">; cf. </w:t>
      </w:r>
      <w:hyperlink r:id="rId917">
        <w:r>
          <w:rPr>
            <w:color w:val="0000EE"/>
            <w:u w:val="single"/>
          </w:rPr>
          <w:t>Jo 13.37</w:t>
        </w:r>
      </w:hyperlink>
      <w:r>
        <w:t xml:space="preserve">; </w:t>
      </w:r>
      <w:hyperlink r:id="rId918">
        <w:r>
          <w:rPr>
            <w:color w:val="0000EE"/>
            <w:u w:val="single"/>
          </w:rPr>
          <w:t>Rm 16.4</w:t>
        </w:r>
      </w:hyperlink>
      <w:r>
        <w:t xml:space="preserve">; </w:t>
      </w:r>
      <w:hyperlink r:id="rId919">
        <w:r>
          <w:rPr>
            <w:color w:val="0000EE"/>
            <w:u w:val="single"/>
          </w:rPr>
          <w:t>Fp 2.30</w:t>
        </w:r>
      </w:hyperlink>
      <w:r>
        <w:t>). Como o Filho do Homem, Jesus veio não para ser servido, mas para servir e dar sua vida (alma) como um resgate por muitos (</w:t>
      </w:r>
      <w:hyperlink r:id="rId920">
        <w:r>
          <w:rPr>
            <w:color w:val="0000EE"/>
            <w:u w:val="single"/>
          </w:rPr>
          <w:t>Mt 20.28</w:t>
        </w:r>
      </w:hyperlink>
      <w:r>
        <w:t xml:space="preserve">; </w:t>
      </w:r>
      <w:hyperlink r:id="rId921">
        <w:r>
          <w:rPr>
            <w:color w:val="0000EE"/>
            <w:u w:val="single"/>
          </w:rPr>
          <w:t>Mc 10.45</w:t>
        </w:r>
      </w:hyperlink>
      <w:r>
        <w:t>). Como o Bom Pastor, ele dá sua vida (alma) pelas ovelhas (</w:t>
      </w:r>
      <w:hyperlink r:id="rId922">
        <w:r>
          <w:rPr>
            <w:color w:val="0000EE"/>
            <w:u w:val="single"/>
          </w:rPr>
          <w:t>Jo 10.14,17–18</w:t>
        </w:r>
      </w:hyperlink>
      <w:r>
        <w:t xml:space="preserve">). Em </w:t>
      </w:r>
      <w:hyperlink r:id="rId923">
        <w:r>
          <w:rPr>
            <w:color w:val="0000EE"/>
            <w:u w:val="single"/>
          </w:rPr>
          <w:t>Lucas 14.26</w:t>
        </w:r>
      </w:hyperlink>
      <w:r>
        <w:t xml:space="preserve">, a condição do discipulado é odiar a alma, isto é, estar disposto a negar-se ao ponto de morrer por amor de Cristo (cf. </w:t>
      </w:r>
      <w:hyperlink r:id="rId924">
        <w:r>
          <w:rPr>
            <w:color w:val="0000EE"/>
            <w:u w:val="single"/>
          </w:rPr>
          <w:t>Lc 9.23</w:t>
        </w:r>
      </w:hyperlink>
      <w:r>
        <w:t xml:space="preserve">; </w:t>
      </w:r>
      <w:hyperlink r:id="rId925">
        <w:r>
          <w:rPr>
            <w:color w:val="0000EE"/>
            <w:u w:val="single"/>
          </w:rPr>
          <w:t>Ap 12.11</w:t>
        </w:r>
      </w:hyperlink>
      <w:r>
        <w:t>).</w:t>
      </w:r>
    </w:p>
    <w:p>
      <w:r/>
      <w:r>
        <w:t>Frequentemente “alma” pode significar “pessoa” (</w:t>
      </w:r>
      <w:hyperlink r:id="rId926">
        <w:r>
          <w:rPr>
            <w:color w:val="0000EE"/>
            <w:u w:val="single"/>
          </w:rPr>
          <w:t>At 2.43</w:t>
        </w:r>
      </w:hyperlink>
      <w:r>
        <w:t xml:space="preserve">; </w:t>
      </w:r>
      <w:hyperlink r:id="rId927">
        <w:r>
          <w:rPr>
            <w:color w:val="0000EE"/>
            <w:u w:val="single"/>
          </w:rPr>
          <w:t>3.23</w:t>
        </w:r>
      </w:hyperlink>
      <w:r>
        <w:t xml:space="preserve">; </w:t>
      </w:r>
      <w:hyperlink r:id="rId928">
        <w:r>
          <w:rPr>
            <w:color w:val="0000EE"/>
            <w:u w:val="single"/>
          </w:rPr>
          <w:t>7.14</w:t>
        </w:r>
      </w:hyperlink>
      <w:r>
        <w:t xml:space="preserve">; </w:t>
      </w:r>
      <w:hyperlink r:id="rId929">
        <w:r>
          <w:rPr>
            <w:color w:val="0000EE"/>
            <w:u w:val="single"/>
          </w:rPr>
          <w:t>Rm 2.9</w:t>
        </w:r>
      </w:hyperlink>
      <w:r>
        <w:t xml:space="preserve">; </w:t>
      </w:r>
      <w:hyperlink r:id="rId930">
        <w:r>
          <w:rPr>
            <w:color w:val="0000EE"/>
            <w:u w:val="single"/>
          </w:rPr>
          <w:t>13.1</w:t>
        </w:r>
      </w:hyperlink>
      <w:r>
        <w:t xml:space="preserve">; </w:t>
      </w:r>
      <w:hyperlink r:id="rId931">
        <w:r>
          <w:rPr>
            <w:color w:val="0000EE"/>
            <w:u w:val="single"/>
          </w:rPr>
          <w:t>1Pe 3.20</w:t>
        </w:r>
      </w:hyperlink>
      <w:r>
        <w:t>). A expressão “toda alma vivente” (</w:t>
      </w:r>
      <w:hyperlink r:id="rId932">
        <w:r>
          <w:rPr>
            <w:color w:val="0000EE"/>
            <w:u w:val="single"/>
          </w:rPr>
          <w:t>Ap 16.3</w:t>
        </w:r>
      </w:hyperlink>
      <w:r>
        <w:t>, KJV) reflete o aspecto vital dos seres vivos. Como no AT, a alma pode denotar não apenas o aspecto vital da pessoa no nível físico, mas também pode conotar as energias emocionais. Denota a própria pessoa, o assento de suas emoções, o ser mais íntimo de alguém. Por exemplo, quando Jesus estava agonizando sobre sua morte, ele falou de sua alma sendo esmagada (</w:t>
      </w:r>
      <w:hyperlink r:id="rId933">
        <w:r>
          <w:rPr>
            <w:color w:val="0000EE"/>
            <w:u w:val="single"/>
          </w:rPr>
          <w:t>Mt 26.38</w:t>
        </w:r>
      </w:hyperlink>
      <w:r>
        <w:t xml:space="preserve">; </w:t>
      </w:r>
      <w:hyperlink r:id="rId934">
        <w:r>
          <w:rPr>
            <w:color w:val="0000EE"/>
            <w:u w:val="single"/>
          </w:rPr>
          <w:t>Mc 14.34</w:t>
        </w:r>
      </w:hyperlink>
      <w:r>
        <w:t xml:space="preserve">; cf. </w:t>
      </w:r>
      <w:hyperlink r:id="rId935">
        <w:r>
          <w:rPr>
            <w:color w:val="0000EE"/>
            <w:u w:val="single"/>
          </w:rPr>
          <w:t>Sl 42.6</w:t>
        </w:r>
      </w:hyperlink>
      <w:r>
        <w:t>). Em um cenário inteiramente diferente, Jesus prometeu descanso às almas daqueles que vêm a ele (</w:t>
      </w:r>
      <w:hyperlink r:id="rId936">
        <w:r>
          <w:rPr>
            <w:color w:val="0000EE"/>
            <w:u w:val="single"/>
          </w:rPr>
          <w:t>Mt 11.29</w:t>
        </w:r>
      </w:hyperlink>
      <w:r>
        <w:t xml:space="preserve">). Aqui, como em outros lugares, “alma” denota a pessoa em essência (cf. </w:t>
      </w:r>
      <w:hyperlink r:id="rId937">
        <w:r>
          <w:rPr>
            <w:color w:val="0000EE"/>
            <w:u w:val="single"/>
          </w:rPr>
          <w:t>Lc 2.35</w:t>
        </w:r>
      </w:hyperlink>
      <w:r>
        <w:t xml:space="preserve">; </w:t>
      </w:r>
      <w:hyperlink r:id="rId938">
        <w:r>
          <w:rPr>
            <w:color w:val="0000EE"/>
            <w:u w:val="single"/>
          </w:rPr>
          <w:t>2Co 1.23</w:t>
        </w:r>
      </w:hyperlink>
      <w:r>
        <w:t xml:space="preserve">; </w:t>
      </w:r>
      <w:hyperlink r:id="rId939">
        <w:r>
          <w:rPr>
            <w:color w:val="0000EE"/>
            <w:u w:val="single"/>
          </w:rPr>
          <w:t>2Ts 2.8</w:t>
        </w:r>
      </w:hyperlink>
      <w:r>
        <w:t xml:space="preserve">; </w:t>
      </w:r>
      <w:hyperlink r:id="rId940">
        <w:r>
          <w:rPr>
            <w:color w:val="0000EE"/>
            <w:u w:val="single"/>
          </w:rPr>
          <w:t>3Jo 1.2</w:t>
        </w:r>
      </w:hyperlink>
      <w:r>
        <w:t>).</w:t>
      </w:r>
    </w:p>
    <w:p>
      <w:r/>
      <w:r>
        <w:t xml:space="preserve">Várias passagens colocam a alma ao lado do espírito. </w:t>
      </w:r>
      <w:hyperlink r:id="rId941">
        <w:r>
          <w:rPr>
            <w:color w:val="0000EE"/>
            <w:u w:val="single"/>
          </w:rPr>
          <w:t>Lucas 1.46–47</w:t>
        </w:r>
      </w:hyperlink>
      <w:r>
        <w:t xml:space="preserve"> é provavelmente um caso de paralelismo poético hebraico, que expressa a mesma ideia de duas maneiras diferentes. Ambos os termos denotam Maria como uma pessoa nas profundezas de seu ser. Da mesma forma, em </w:t>
      </w:r>
      <w:hyperlink r:id="rId942">
        <w:r>
          <w:rPr>
            <w:color w:val="0000EE"/>
            <w:u w:val="single"/>
          </w:rPr>
          <w:t>Hebreus 4.12</w:t>
        </w:r>
      </w:hyperlink>
      <w:r>
        <w:t xml:space="preserve">, dividir a alma e o espírito é uma maneira gráfica de dizer como a Palavra de Deus penetra nas mais íntimas profundezas do nosso ser. A oração em </w:t>
      </w:r>
      <w:hyperlink r:id="rId943">
        <w:r>
          <w:rPr>
            <w:color w:val="0000EE"/>
            <w:u w:val="single"/>
          </w:rPr>
          <w:t>1 Tessalonicenses 5.23</w:t>
        </w:r>
      </w:hyperlink>
      <w:r>
        <w:t xml:space="preserve"> — para que os leitores possam ser mantidos irrepreensíveis em espírito, alma e corpo — é uma maneira de falar de todo o ser. Aqui a alma provavelmente sugere existência física, como em </w:t>
      </w:r>
      <w:hyperlink r:id="rId292">
        <w:r>
          <w:rPr>
            <w:color w:val="0000EE"/>
            <w:u w:val="single"/>
          </w:rPr>
          <w:t>Gênesis 2.7</w:t>
        </w:r>
      </w:hyperlink>
      <w:r>
        <w:t xml:space="preserve"> e </w:t>
      </w:r>
      <w:hyperlink r:id="rId944">
        <w:r>
          <w:rPr>
            <w:color w:val="0000EE"/>
            <w:u w:val="single"/>
          </w:rPr>
          <w:t>1 Coríntios 2.14</w:t>
        </w:r>
      </w:hyperlink>
      <w:r>
        <w:t>, enquanto o espírito pode implicar o lado superior ou “espiritual” da vida.</w:t>
      </w:r>
    </w:p>
    <w:p>
      <w:r/>
      <w:r>
        <w:t>Em outras passagens, as emoções, a vontade e até a mente vêm à tona, embora em cada caso haja a ideia que acompanha o ser mais íntimo de uma pessoa. As pessoas devem amar a Deus com toda a alma (</w:t>
      </w:r>
      <w:hyperlink r:id="rId945">
        <w:r>
          <w:rPr>
            <w:color w:val="0000EE"/>
            <w:u w:val="single"/>
          </w:rPr>
          <w:t>Mt 22.37</w:t>
        </w:r>
      </w:hyperlink>
      <w:r>
        <w:t xml:space="preserve">; </w:t>
      </w:r>
      <w:hyperlink r:id="rId946">
        <w:r>
          <w:rPr>
            <w:color w:val="0000EE"/>
            <w:u w:val="single"/>
          </w:rPr>
          <w:t>Mc 12.30</w:t>
        </w:r>
      </w:hyperlink>
      <w:r>
        <w:t xml:space="preserve">; cf. </w:t>
      </w:r>
      <w:hyperlink r:id="rId947">
        <w:r>
          <w:rPr>
            <w:color w:val="0000EE"/>
            <w:u w:val="single"/>
          </w:rPr>
          <w:t>Dt 6.5</w:t>
        </w:r>
      </w:hyperlink>
      <w:r>
        <w:t>). A expressão “da alma” (</w:t>
      </w:r>
      <w:hyperlink r:id="rId948">
        <w:r>
          <w:rPr>
            <w:color w:val="0000EE"/>
            <w:u w:val="single"/>
          </w:rPr>
          <w:t>Ef 6.6</w:t>
        </w:r>
      </w:hyperlink>
      <w:r>
        <w:t xml:space="preserve">; </w:t>
      </w:r>
      <w:hyperlink r:id="rId949">
        <w:r>
          <w:rPr>
            <w:color w:val="0000EE"/>
            <w:u w:val="single"/>
          </w:rPr>
          <w:t>Cl 3.23</w:t>
        </w:r>
      </w:hyperlink>
      <w:r>
        <w:t xml:space="preserve">) significa “do coração”, com todo o ser. Em </w:t>
      </w:r>
      <w:hyperlink r:id="rId950">
        <w:r>
          <w:rPr>
            <w:color w:val="0000EE"/>
            <w:u w:val="single"/>
          </w:rPr>
          <w:t>Filipenses 1.27</w:t>
        </w:r>
      </w:hyperlink>
      <w:r>
        <w:t xml:space="preserve">, os crentes são chamados a ter um só pensamento (cf. </w:t>
      </w:r>
      <w:hyperlink r:id="rId951">
        <w:r>
          <w:rPr>
            <w:color w:val="0000EE"/>
            <w:u w:val="single"/>
          </w:rPr>
          <w:t>Atos 4.32</w:t>
        </w:r>
      </w:hyperlink>
      <w:r>
        <w:t>;</w:t>
      </w:r>
      <w:hyperlink r:id="rId952">
        <w:r>
          <w:rPr>
            <w:color w:val="0000EE"/>
            <w:u w:val="single"/>
          </w:rPr>
          <w:t>14.2</w:t>
        </w:r>
      </w:hyperlink>
      <w:r>
        <w:t xml:space="preserve">). As passagens que falam da alma em relação à salvação incluem </w:t>
      </w:r>
      <w:hyperlink r:id="rId953">
        <w:r>
          <w:rPr>
            <w:color w:val="0000EE"/>
            <w:u w:val="single"/>
          </w:rPr>
          <w:t>Mateus 10.28</w:t>
        </w:r>
      </w:hyperlink>
      <w:r>
        <w:t xml:space="preserve">; </w:t>
      </w:r>
      <w:hyperlink r:id="rId954">
        <w:r>
          <w:rPr>
            <w:color w:val="0000EE"/>
            <w:u w:val="single"/>
          </w:rPr>
          <w:t>Lucas 12.5</w:t>
        </w:r>
      </w:hyperlink>
      <w:r>
        <w:t xml:space="preserve">; </w:t>
      </w:r>
      <w:hyperlink r:id="rId955">
        <w:r>
          <w:rPr>
            <w:color w:val="0000EE"/>
            <w:u w:val="single"/>
          </w:rPr>
          <w:t>Hebreus 6.19</w:t>
        </w:r>
      </w:hyperlink>
      <w:r>
        <w:t xml:space="preserve">; </w:t>
      </w:r>
      <w:hyperlink r:id="rId956">
        <w:r>
          <w:rPr>
            <w:color w:val="0000EE"/>
            <w:u w:val="single"/>
          </w:rPr>
          <w:t>10.39</w:t>
        </w:r>
      </w:hyperlink>
      <w:r>
        <w:t xml:space="preserve">; </w:t>
      </w:r>
      <w:hyperlink r:id="rId957">
        <w:r>
          <w:rPr>
            <w:color w:val="0000EE"/>
            <w:u w:val="single"/>
          </w:rPr>
          <w:t>12.3</w:t>
        </w:r>
      </w:hyperlink>
      <w:r>
        <w:t xml:space="preserve">; </w:t>
      </w:r>
      <w:hyperlink r:id="rId958">
        <w:r>
          <w:rPr>
            <w:color w:val="0000EE"/>
            <w:u w:val="single"/>
          </w:rPr>
          <w:t>13.7</w:t>
        </w:r>
      </w:hyperlink>
      <w:r>
        <w:t xml:space="preserve">; </w:t>
      </w:r>
      <w:hyperlink r:id="rId959">
        <w:r>
          <w:rPr>
            <w:color w:val="0000EE"/>
            <w:u w:val="single"/>
          </w:rPr>
          <w:t>Tiago 1.21</w:t>
        </w:r>
      </w:hyperlink>
      <w:r>
        <w:t xml:space="preserve">; </w:t>
      </w:r>
      <w:hyperlink r:id="rId960">
        <w:r>
          <w:rPr>
            <w:color w:val="0000EE"/>
            <w:u w:val="single"/>
          </w:rPr>
          <w:t>5.20</w:t>
        </w:r>
      </w:hyperlink>
      <w:r>
        <w:t xml:space="preserve">; </w:t>
      </w:r>
      <w:hyperlink r:id="rId961">
        <w:r>
          <w:rPr>
            <w:color w:val="0000EE"/>
            <w:u w:val="single"/>
          </w:rPr>
          <w:t>1 Pedro 1.9,22–23</w:t>
        </w:r>
      </w:hyperlink>
      <w:r>
        <w:t xml:space="preserve">; </w:t>
      </w:r>
      <w:hyperlink r:id="rId962">
        <w:r>
          <w:rPr>
            <w:color w:val="0000EE"/>
            <w:u w:val="single"/>
          </w:rPr>
          <w:t>2.25</w:t>
        </w:r>
      </w:hyperlink>
      <w:r>
        <w:t xml:space="preserve">; </w:t>
      </w:r>
      <w:hyperlink r:id="rId963">
        <w:r>
          <w:rPr>
            <w:color w:val="0000EE"/>
            <w:u w:val="single"/>
          </w:rPr>
          <w:t>4.19</w:t>
        </w:r>
      </w:hyperlink>
      <w:r>
        <w:t xml:space="preserve">; e </w:t>
      </w:r>
      <w:hyperlink r:id="rId964">
        <w:r>
          <w:rPr>
            <w:color w:val="0000EE"/>
            <w:u w:val="single"/>
          </w:rPr>
          <w:t>Apocalipse 6.9</w:t>
        </w:r>
      </w:hyperlink>
      <w:r>
        <w:t xml:space="preserve">; </w:t>
      </w:r>
      <w:hyperlink r:id="rId965">
        <w:r>
          <w:rPr>
            <w:color w:val="0000EE"/>
            <w:u w:val="single"/>
          </w:rPr>
          <w:t>20.4</w:t>
        </w:r>
      </w:hyperlink>
      <w:r>
        <w:t>. Tais passagens falam da alma para enfatizar o ser humano em essência, como distinto do corpo físico, ou para expressar a existência contínua do homem com Deus antes da ressurreição.</w:t>
      </w:r>
    </w:p>
    <w:p>
      <w:r/>
      <w:r>
        <w:rPr>
          <w:i/>
        </w:rPr>
        <w:t>Veja também</w:t>
      </w:r>
      <w:r>
        <w:t xml:space="preserve"> </w:t>
      </w:r>
      <w:r>
        <w:t>Homem</w:t>
      </w:r>
      <w:r>
        <w:t xml:space="preserve">; </w:t>
      </w:r>
      <w:r>
        <w:t>Espírito do Homem</w:t>
      </w:r>
      <w:r>
        <w:t>.</w:t>
      </w:r>
      <w:r/>
      <w:r/>
    </w:p>
    <w:p>
      <w:r/>
    </w:p>
    <w:p>
      <w:pPr>
        <w:pStyle w:val="Heading2"/>
      </w:pPr>
      <w:r>
        <w:t>Almodá</w:t>
      </w:r>
      <w:r/>
    </w:p>
    <w:p>
      <w:r/>
      <w:r>
        <w:t>Um filho ou descendente de Joctã. Ele é um membro da família de Noé através do filho de Noé, Sem (</w:t>
      </w:r>
      <w:hyperlink r:id="rId966">
        <w:r>
          <w:rPr>
            <w:color w:val="0000EE"/>
            <w:u w:val="single"/>
          </w:rPr>
          <w:t>Gn 10.26</w:t>
        </w:r>
      </w:hyperlink>
      <w:r>
        <w:t xml:space="preserve">; </w:t>
      </w:r>
      <w:hyperlink r:id="rId967">
        <w:r>
          <w:rPr>
            <w:color w:val="0000EE"/>
            <w:u w:val="single"/>
          </w:rPr>
          <w:t>1Cr 1.20</w:t>
        </w:r>
      </w:hyperlink>
      <w:r>
        <w:t>).</w:t>
      </w:r>
      <w:r/>
      <w:r/>
    </w:p>
    <w:p>
      <w:r/>
    </w:p>
    <w:p>
      <w:pPr>
        <w:pStyle w:val="Heading2"/>
      </w:pPr>
      <w:r>
        <w:t>Almom-Diblataim</w:t>
      </w:r>
      <w:r/>
    </w:p>
    <w:p>
      <w:r/>
      <w:r>
        <w:t>Uma área em Moabe onde os israelitas acamparam durante seus 40 anos de peregrinação (</w:t>
      </w:r>
      <w:hyperlink r:id="rId968">
        <w:r>
          <w:rPr>
            <w:color w:val="0000EE"/>
            <w:u w:val="single"/>
          </w:rPr>
          <w:t>Nm 33.46–47</w:t>
        </w:r>
      </w:hyperlink>
      <w:r>
        <w:t>). Alguns a identificam com Bete-Diblataim (</w:t>
      </w:r>
      <w:hyperlink r:id="rId969">
        <w:r>
          <w:rPr>
            <w:color w:val="0000EE"/>
            <w:u w:val="single"/>
          </w:rPr>
          <w:t>Jr 48.22</w:t>
        </w:r>
      </w:hyperlink>
      <w:r>
        <w:t>).</w:t>
      </w:r>
    </w:p>
    <w:p>
      <w:r/>
      <w:r>
        <w:rPr>
          <w:i/>
        </w:rPr>
        <w:t>Veja também</w:t>
      </w:r>
      <w:r>
        <w:t xml:space="preserve"> </w:t>
      </w:r>
      <w:r>
        <w:t>Peregrinações no Deserto</w:t>
      </w:r>
      <w:r>
        <w:t>.</w:t>
      </w:r>
      <w:r/>
      <w:r/>
    </w:p>
    <w:p>
      <w:r/>
    </w:p>
    <w:p>
      <w:pPr>
        <w:pStyle w:val="Heading2"/>
      </w:pPr>
      <w:r>
        <w:t>Alom-Bacute, Alom-Bacuth</w:t>
      </w:r>
      <w:r/>
    </w:p>
    <w:p>
      <w:r/>
      <w:r>
        <w:t>Um carvalho perto de Betel sob o qual Débora foi enterrada (</w:t>
      </w:r>
      <w:hyperlink r:id="rId970">
        <w:r>
          <w:rPr>
            <w:color w:val="0000EE"/>
            <w:u w:val="single"/>
          </w:rPr>
          <w:t>Gn 35.8</w:t>
        </w:r>
      </w:hyperlink>
      <w:r>
        <w:t>). Débora era a idosa ama de Rebeca. A árvore foi chamada de "Árvore Sagrada das Lágrimas".</w:t>
      </w:r>
      <w:r/>
      <w:r/>
    </w:p>
    <w:p>
      <w:r/>
    </w:p>
    <w:p>
      <w:pPr>
        <w:pStyle w:val="Heading2"/>
      </w:pPr>
      <w:r>
        <w:t>Alpendre de Salomão</w:t>
      </w:r>
      <w:r/>
    </w:p>
    <w:p>
      <w:r/>
      <w:r>
        <w:t>Também chamado de "Pórtico de Salomão" em algumas Bíblias. Uma galeria coberta, apoiada em colunas, que pertencia ao pátio externo do templo de Herodes em Jerusalém (</w:t>
      </w:r>
      <w:hyperlink r:id="rId971">
        <w:r>
          <w:rPr>
            <w:color w:val="0000EE"/>
            <w:u w:val="single"/>
          </w:rPr>
          <w:t>Jo 10.23</w:t>
        </w:r>
      </w:hyperlink>
      <w:r>
        <w:t xml:space="preserve">; </w:t>
      </w:r>
      <w:hyperlink r:id="rId972">
        <w:r>
          <w:rPr>
            <w:color w:val="0000EE"/>
            <w:u w:val="single"/>
          </w:rPr>
          <w:t>At 3.11</w:t>
        </w:r>
      </w:hyperlink>
      <w:r>
        <w:t xml:space="preserve">; </w:t>
      </w:r>
      <w:hyperlink r:id="rId973">
        <w:r>
          <w:rPr>
            <w:color w:val="0000EE"/>
            <w:u w:val="single"/>
          </w:rPr>
          <w:t>5.12</w:t>
        </w:r>
      </w:hyperlink>
      <w:r>
        <w:t>).</w:t>
      </w:r>
    </w:p>
    <w:p>
      <w:r/>
      <w:r>
        <w:rPr>
          <w:i/>
        </w:rPr>
        <w:t>Veja também</w:t>
      </w:r>
      <w:r>
        <w:t xml:space="preserve"> </w:t>
      </w:r>
      <w:r>
        <w:t>Templo</w:t>
      </w:r>
      <w:r>
        <w:t>.</w:t>
      </w:r>
      <w:r/>
      <w:r/>
    </w:p>
    <w:p>
      <w:r/>
    </w:p>
    <w:p>
      <w:pPr>
        <w:pStyle w:val="Heading2"/>
      </w:pPr>
      <w:r>
        <w:t>Altar</w:t>
      </w:r>
      <w:r/>
    </w:p>
    <w:p>
      <w:r/>
      <w:r>
        <w:t>A plataforma usada para oferecer sacrifícios de animais ou holocaustos a um deus. Outros rituais de oferenda incluem queimar incenso (</w:t>
      </w:r>
      <w:hyperlink r:id="rId974">
        <w:r>
          <w:rPr>
            <w:color w:val="0000EE"/>
            <w:u w:val="single"/>
          </w:rPr>
          <w:t>Êx 30.1–10</w:t>
        </w:r>
      </w:hyperlink>
      <w:r>
        <w:t>). A palavra hebraica para altar e o verbo "abater" vêm da mesma raiz. O significado de ambas as palavras refere-se ao sacrifício ritual de animais a Deus como uma cobertura para o pecado. Muitas comunidades no antigo Oriente Médio praticavam esse tipo de sacrifício. Os vizinhos de Israel, os cananeus, tinham seus próprios altares e rituais. O altar era sempre um lugar elevado.</w:t>
      </w:r>
    </w:p>
    <w:p>
      <w:r/>
      <w:r>
        <w:t>A Bíblia menciona vários altares construídos por pessoas no Antigo Testamento:</w:t>
      </w:r>
    </w:p>
    <w:p>
      <w:pPr>
        <w:pStyle w:val="ListBullet"/>
        <w:spacing w:line="240" w:lineRule="auto"/>
        <w:ind w:left="720"/>
      </w:pPr>
      <w:r/>
      <w:r>
        <w:t>Noé ofereceu holocaustos (</w:t>
      </w:r>
      <w:hyperlink r:id="rId975">
        <w:r>
          <w:rPr>
            <w:color w:val="0000EE"/>
            <w:u w:val="single"/>
          </w:rPr>
          <w:t>Gn 8.20</w:t>
        </w:r>
      </w:hyperlink>
      <w:r>
        <w:t>).</w:t>
      </w:r>
    </w:p>
    <w:p>
      <w:pPr>
        <w:pStyle w:val="ListBullet"/>
        <w:spacing w:line="240" w:lineRule="auto"/>
        <w:ind w:left="720"/>
      </w:pPr>
      <w:r/>
      <w:r>
        <w:t>Abraão construiu um altar em Siquém, outro em Betel e um no Monte Moriá (</w:t>
      </w:r>
      <w:hyperlink r:id="rId163">
        <w:r>
          <w:rPr>
            <w:color w:val="0000EE"/>
            <w:u w:val="single"/>
          </w:rPr>
          <w:t>Gn 12.7,</w:t>
        </w:r>
      </w:hyperlink>
      <w:r>
        <w:t xml:space="preserve"> </w:t>
      </w:r>
      <w:hyperlink r:id="rId164">
        <w:r>
          <w:rPr>
            <w:color w:val="0000EE"/>
            <w:u w:val="single"/>
          </w:rPr>
          <w:t>12.8,</w:t>
        </w:r>
      </w:hyperlink>
      <w:r>
        <w:t xml:space="preserve"> </w:t>
      </w:r>
      <w:hyperlink r:id="rId976">
        <w:r>
          <w:rPr>
            <w:color w:val="0000EE"/>
            <w:u w:val="single"/>
          </w:rPr>
          <w:t>22.9</w:t>
        </w:r>
      </w:hyperlink>
      <w:r>
        <w:t>).</w:t>
      </w:r>
    </w:p>
    <w:p>
      <w:pPr>
        <w:pStyle w:val="ListBullet"/>
        <w:spacing w:line="240" w:lineRule="auto"/>
        <w:ind w:left="720"/>
      </w:pPr>
      <w:r/>
      <w:r>
        <w:t>Isaque construiu um altar em Berseba (</w:t>
      </w:r>
      <w:hyperlink r:id="rId977">
        <w:r>
          <w:rPr>
            <w:color w:val="0000EE"/>
            <w:u w:val="single"/>
          </w:rPr>
          <w:t>Gn. 26.25</w:t>
        </w:r>
      </w:hyperlink>
      <w:r>
        <w:t>).</w:t>
      </w:r>
    </w:p>
    <w:p>
      <w:pPr>
        <w:pStyle w:val="ListBullet"/>
        <w:spacing w:line="240" w:lineRule="auto"/>
        <w:ind w:left="720"/>
      </w:pPr>
      <w:r/>
      <w:r>
        <w:t>Jacó construiu um altar em Siquém e Betel (</w:t>
      </w:r>
      <w:hyperlink r:id="rId978">
        <w:r>
          <w:rPr>
            <w:color w:val="0000EE"/>
            <w:u w:val="single"/>
          </w:rPr>
          <w:t>Gn. 33.20,</w:t>
        </w:r>
      </w:hyperlink>
      <w:r>
        <w:t xml:space="preserve"> </w:t>
      </w:r>
      <w:hyperlink r:id="rId979">
        <w:r>
          <w:rPr>
            <w:color w:val="0000EE"/>
            <w:u w:val="single"/>
          </w:rPr>
          <w:t>35.7</w:t>
        </w:r>
      </w:hyperlink>
      <w:r>
        <w:t>).</w:t>
      </w:r>
    </w:p>
    <w:p>
      <w:pPr>
        <w:pStyle w:val="ListBullet"/>
        <w:spacing w:line="240" w:lineRule="auto"/>
        <w:ind w:left="720"/>
      </w:pPr>
      <w:r/>
      <w:r>
        <w:t>Moisés construiu um em Refidim e outro em Horebe (</w:t>
      </w:r>
      <w:hyperlink r:id="rId980">
        <w:r>
          <w:rPr>
            <w:color w:val="0000EE"/>
            <w:u w:val="single"/>
          </w:rPr>
          <w:t>Êx. 17.15,</w:t>
        </w:r>
      </w:hyperlink>
      <w:r>
        <w:t xml:space="preserve"> </w:t>
      </w:r>
      <w:hyperlink r:id="rId981">
        <w:r>
          <w:rPr>
            <w:color w:val="0000EE"/>
            <w:u w:val="single"/>
          </w:rPr>
          <w:t>24.4</w:t>
        </w:r>
      </w:hyperlink>
      <w:r>
        <w:t>).</w:t>
      </w:r>
    </w:p>
    <w:p>
      <w:r/>
      <w:r>
        <w:t>Em cada caso, a pessoa ergueu o altar para comemorar a ajuda recebida de Deus.</w:t>
      </w:r>
    </w:p>
    <w:p>
      <w:r/>
      <w:r>
        <w:t>A descrição do tabernáculo em Êxodo 25–27 incluía dois altares. O altar maior, feito de madeira de acácia revestida de bronze, media 5 por 5 por 3 côvados (2,3 por 2,3 por 1,4 metros). Este era o altar usado para ofertas queimadas (</w:t>
      </w:r>
      <w:hyperlink r:id="rId982">
        <w:r>
          <w:rPr>
            <w:color w:val="0000EE"/>
            <w:u w:val="single"/>
          </w:rPr>
          <w:t>Êx. 27.1–8</w:t>
        </w:r>
      </w:hyperlink>
      <w:r>
        <w:t xml:space="preserve">; </w:t>
      </w:r>
      <w:hyperlink r:id="rId983">
        <w:r>
          <w:rPr>
            <w:color w:val="0000EE"/>
            <w:u w:val="single"/>
          </w:rPr>
          <w:t>38.1–7</w:t>
        </w:r>
      </w:hyperlink>
      <w:r>
        <w:t>). O altar menor de ouro para queimar incenso media cerca de 45 centímetros quadrados e 90 centímetros de altura (</w:t>
      </w:r>
      <w:hyperlink r:id="rId974">
        <w:r>
          <w:rPr>
            <w:color w:val="0000EE"/>
            <w:u w:val="single"/>
          </w:rPr>
          <w:t>Êx. 30.1–10,</w:t>
        </w:r>
      </w:hyperlink>
      <w:r>
        <w:t xml:space="preserve"> </w:t>
      </w:r>
      <w:hyperlink r:id="rId984">
        <w:r>
          <w:rPr>
            <w:color w:val="0000EE"/>
            <w:u w:val="single"/>
          </w:rPr>
          <w:t>40.5</w:t>
        </w:r>
      </w:hyperlink>
      <w:r>
        <w:t>).</w:t>
      </w:r>
    </w:p>
    <w:p>
      <w:r/>
      <w:r>
        <w:t xml:space="preserve">Em </w:t>
      </w:r>
      <w:hyperlink r:id="rId985">
        <w:r>
          <w:rPr>
            <w:color w:val="0000EE"/>
            <w:u w:val="single"/>
          </w:rPr>
          <w:t>Êxodo 20.24–26</w:t>
        </w:r>
      </w:hyperlink>
      <w:r>
        <w:t>, Deus instruiu Israel a fazer um altar de terra ou pedras não cortadas. Deus ordenou a Israel que oferecesse holocaustos e ofertas pacíficas em "todo lugar onde Deus fizesse seu nome habitar". É por isso que indivíduos constroem altares ao longo do Antigo Testamento:</w:t>
      </w:r>
    </w:p>
    <w:p>
      <w:pPr>
        <w:pStyle w:val="ListBullet"/>
        <w:spacing w:line="240" w:lineRule="auto"/>
        <w:ind w:left="720"/>
      </w:pPr>
      <w:r/>
      <w:r>
        <w:t>Josué construiu um altar no Monte Ebal (</w:t>
      </w:r>
      <w:hyperlink r:id="rId986">
        <w:r>
          <w:rPr>
            <w:color w:val="0000EE"/>
            <w:u w:val="single"/>
          </w:rPr>
          <w:t>Js. 8.30–31</w:t>
        </w:r>
      </w:hyperlink>
      <w:r>
        <w:t>).</w:t>
      </w:r>
    </w:p>
    <w:p>
      <w:pPr>
        <w:pStyle w:val="ListBullet"/>
        <w:spacing w:line="240" w:lineRule="auto"/>
        <w:ind w:left="720"/>
      </w:pPr>
      <w:r/>
      <w:r>
        <w:t>Os rubenitas, gaditas e a meia tribo de Manassés construíram um altar na Transjordânia (</w:t>
      </w:r>
      <w:hyperlink r:id="rId987">
        <w:r>
          <w:rPr>
            <w:color w:val="0000EE"/>
            <w:u w:val="single"/>
          </w:rPr>
          <w:t>Js. 22.10–16</w:t>
        </w:r>
      </w:hyperlink>
      <w:r>
        <w:t>).</w:t>
      </w:r>
    </w:p>
    <w:p>
      <w:pPr>
        <w:pStyle w:val="ListBullet"/>
        <w:spacing w:line="240" w:lineRule="auto"/>
        <w:ind w:left="720"/>
      </w:pPr>
      <w:r/>
      <w:r>
        <w:t>Gideão construiu um altar em Ofra (</w:t>
      </w:r>
      <w:hyperlink r:id="rId988">
        <w:r>
          <w:rPr>
            <w:color w:val="0000EE"/>
            <w:u w:val="single"/>
          </w:rPr>
          <w:t>Jz. 6.24</w:t>
        </w:r>
      </w:hyperlink>
      <w:r>
        <w:t>).</w:t>
      </w:r>
    </w:p>
    <w:p>
      <w:pPr>
        <w:pStyle w:val="ListBullet"/>
        <w:spacing w:line="240" w:lineRule="auto"/>
        <w:ind w:left="720"/>
      </w:pPr>
      <w:r/>
      <w:r>
        <w:t>A família de Davi construiu um altar em Belém (</w:t>
      </w:r>
      <w:hyperlink r:id="rId989">
        <w:r>
          <w:rPr>
            <w:color w:val="0000EE"/>
            <w:u w:val="single"/>
          </w:rPr>
          <w:t>1Sm. 20.6,29</w:t>
        </w:r>
      </w:hyperlink>
      <w:r>
        <w:t>).</w:t>
      </w:r>
    </w:p>
    <w:p>
      <w:pPr>
        <w:pStyle w:val="ListBullet"/>
        <w:spacing w:line="240" w:lineRule="auto"/>
        <w:ind w:left="720"/>
      </w:pPr>
      <w:r/>
      <w:r>
        <w:t>Davi construiu um altar na eira de Araúna (</w:t>
      </w:r>
      <w:hyperlink r:id="rId990">
        <w:r>
          <w:rPr>
            <w:color w:val="0000EE"/>
            <w:u w:val="single"/>
          </w:rPr>
          <w:t>2Sm. 24.25</w:t>
        </w:r>
      </w:hyperlink>
      <w:r>
        <w:t>). Uma eira é uma área plana onde o grão é separado das hastes.</w:t>
      </w:r>
    </w:p>
    <w:p>
      <w:pPr>
        <w:pStyle w:val="ListBullet"/>
        <w:spacing w:line="240" w:lineRule="auto"/>
        <w:ind w:left="720"/>
      </w:pPr>
      <w:r/>
      <w:r>
        <w:t>Elias construiu um altar no Monte Carmelo (</w:t>
      </w:r>
      <w:hyperlink r:id="rId991">
        <w:r>
          <w:rPr>
            <w:color w:val="0000EE"/>
            <w:u w:val="single"/>
          </w:rPr>
          <w:t>1Rs. 18.30</w:t>
        </w:r>
      </w:hyperlink>
      <w:r>
        <w:t>).</w:t>
      </w:r>
    </w:p>
    <w:p>
      <w:r/>
      <w:r>
        <w:t>As pessoas construíram todos esses altares, exceto o de Elias no Monte Carmelo, antes de o templo de Salomão existir.</w:t>
      </w:r>
    </w:p>
    <w:p>
      <w:r/>
      <w:r>
        <w:t>Assim como o tabernáculo, o templo de Salomão incluía 2 altares. Um era de 20 côvados quadrados (cerca de 7,6 metros) e 10 côvados de altura (cerca de 3,8 metros). Feito de bronze e usado para holocaustos, este altar era o centro do culto no templo. O rei Acaz removeu o altar de bronze de seu lugar por ordem do governante assírio Tiglate-Pileser (</w:t>
      </w:r>
      <w:hyperlink r:id="rId992">
        <w:r>
          <w:rPr>
            <w:color w:val="0000EE"/>
            <w:u w:val="single"/>
          </w:rPr>
          <w:t>2Rs. 16.14</w:t>
        </w:r>
      </w:hyperlink>
      <w:r>
        <w:t>). Este altar foi posteriormente restaurado ao seu devido lugar por Ezequias (</w:t>
      </w:r>
      <w:hyperlink r:id="rId993">
        <w:r>
          <w:rPr>
            <w:color w:val="0000EE"/>
            <w:u w:val="single"/>
          </w:rPr>
          <w:t>2Cr. 29.18</w:t>
        </w:r>
      </w:hyperlink>
      <w:r>
        <w:t>). O segundo altar para incenso, feito de cedro e revestido de ouro, ficava em frente ao véu (</w:t>
      </w:r>
      <w:hyperlink r:id="rId994">
        <w:r>
          <w:rPr>
            <w:color w:val="0000EE"/>
            <w:u w:val="single"/>
          </w:rPr>
          <w:t>1Rs. 6.20–22</w:t>
        </w:r>
      </w:hyperlink>
      <w:r>
        <w:t>).</w:t>
      </w:r>
    </w:p>
    <w:p>
      <w:r/>
      <w:r>
        <w:t>A destruição do templo de Salomão e o exílio do povo judeu fizeram o profeta Ezequiel sonhar com a restauração do templo. Em sua visão, o altar sacrificial elevava-se em três níveis até 10 côvados de altura (5,3 metros). O alto altar repousava sobre uma base de cerca de 20 côvados (10,6 metros) quadrados. Este altar de grandes proporções enfatizava a necessidade de expiação em Israel (</w:t>
      </w:r>
      <w:hyperlink r:id="rId995">
        <w:r>
          <w:rPr>
            <w:color w:val="0000EE"/>
            <w:u w:val="single"/>
          </w:rPr>
          <w:t>Ez. 43.13–17</w:t>
        </w:r>
      </w:hyperlink>
      <w:r>
        <w:t>). Nenhuma referência a um altar de incenso apareceu na visão.</w:t>
      </w:r>
    </w:p>
    <w:p>
      <w:r/>
      <w:r>
        <w:t>Zorobabel construiu um altar de holocaustos (</w:t>
      </w:r>
      <w:hyperlink r:id="rId996">
        <w:r>
          <w:rPr>
            <w:color w:val="0000EE"/>
            <w:u w:val="single"/>
          </w:rPr>
          <w:t>Ed. 3.2</w:t>
        </w:r>
      </w:hyperlink>
      <w:r>
        <w:t>). Antíoco Epifânio profanou este altar (tornou-o impuro), provavelmente com uma imagem de Zeus (</w:t>
      </w:r>
      <w:hyperlink r:id="rId997">
        <w:r>
          <w:rPr>
            <w:color w:val="0000EE"/>
            <w:u w:val="single"/>
          </w:rPr>
          <w:t>1Mc. 1.54</w:t>
        </w:r>
      </w:hyperlink>
      <w:r>
        <w:t>). Havia também um altar de incenso. Antíoco Epifânio removeu o altar de ouro (</w:t>
      </w:r>
      <w:hyperlink r:id="rId998">
        <w:r>
          <w:rPr>
            <w:color w:val="0000EE"/>
            <w:u w:val="single"/>
          </w:rPr>
          <w:t>1Mc. 1.21</w:t>
        </w:r>
      </w:hyperlink>
      <w:r>
        <w:t>) em 169 a.C. Ambos foram posteriormente restaurados por Judas Macabeu (</w:t>
      </w:r>
      <w:hyperlink r:id="rId999">
        <w:r>
          <w:rPr>
            <w:color w:val="0000EE"/>
            <w:u w:val="single"/>
          </w:rPr>
          <w:t>1Mc. 4.44–49</w:t>
        </w:r>
      </w:hyperlink>
      <w:r>
        <w:t>).</w:t>
      </w:r>
    </w:p>
    <w:p>
      <w:r/>
      <w:r>
        <w:t>A adoração cristã não requer um altar sacrificial. A morte de Jesus Cristo serve como o sacrifício final pelo pecado. A Bíblia frequentemente se refere ao altar do holocausto e ao altar do incenso (</w:t>
      </w:r>
      <w:hyperlink r:id="rId1000">
        <w:r>
          <w:rPr>
            <w:color w:val="0000EE"/>
            <w:u w:val="single"/>
          </w:rPr>
          <w:t>Mt. 5.23–24</w:t>
        </w:r>
      </w:hyperlink>
      <w:r>
        <w:t xml:space="preserve">; </w:t>
      </w:r>
      <w:hyperlink r:id="rId1001">
        <w:r>
          <w:rPr>
            <w:color w:val="0000EE"/>
            <w:u w:val="single"/>
          </w:rPr>
          <w:t>23.18–20,35</w:t>
        </w:r>
      </w:hyperlink>
      <w:r>
        <w:t xml:space="preserve">; </w:t>
      </w:r>
      <w:hyperlink r:id="rId43">
        <w:r>
          <w:rPr>
            <w:color w:val="0000EE"/>
            <w:u w:val="single"/>
          </w:rPr>
          <w:t>Lc. 11.51</w:t>
        </w:r>
      </w:hyperlink>
      <w:r>
        <w:t xml:space="preserve">; </w:t>
      </w:r>
      <w:hyperlink r:id="rId1002">
        <w:r>
          <w:rPr>
            <w:color w:val="0000EE"/>
            <w:u w:val="single"/>
          </w:rPr>
          <w:t>1Co. 9.13</w:t>
        </w:r>
      </w:hyperlink>
      <w:r>
        <w:t xml:space="preserve">; </w:t>
      </w:r>
      <w:hyperlink r:id="rId1003">
        <w:r>
          <w:rPr>
            <w:color w:val="0000EE"/>
            <w:u w:val="single"/>
          </w:rPr>
          <w:t>10.18</w:t>
        </w:r>
      </w:hyperlink>
      <w:r>
        <w:t xml:space="preserve">; </w:t>
      </w:r>
      <w:hyperlink r:id="rId1004">
        <w:r>
          <w:rPr>
            <w:color w:val="0000EE"/>
            <w:u w:val="single"/>
          </w:rPr>
          <w:t>Hb. 7.13</w:t>
        </w:r>
      </w:hyperlink>
      <w:r>
        <w:t xml:space="preserve">; </w:t>
      </w:r>
      <w:hyperlink r:id="rId1005">
        <w:r>
          <w:rPr>
            <w:color w:val="0000EE"/>
            <w:u w:val="single"/>
          </w:rPr>
          <w:t>Ap. 11.1</w:t>
        </w:r>
      </w:hyperlink>
      <w:r>
        <w:t>). Algumas referências se aplicam ao templo terrestre (</w:t>
      </w:r>
      <w:hyperlink r:id="rId1006">
        <w:r>
          <w:rPr>
            <w:color w:val="0000EE"/>
            <w:u w:val="single"/>
          </w:rPr>
          <w:t>Lc. 1.11</w:t>
        </w:r>
      </w:hyperlink>
      <w:r>
        <w:t>). Outras referências se aplicam ao templo celestial (</w:t>
      </w:r>
      <w:hyperlink r:id="rId964">
        <w:r>
          <w:rPr>
            <w:color w:val="0000EE"/>
            <w:u w:val="single"/>
          </w:rPr>
          <w:t>Ap. 6.9,</w:t>
        </w:r>
      </w:hyperlink>
      <w:r>
        <w:t xml:space="preserve"> </w:t>
      </w:r>
      <w:hyperlink r:id="rId1007">
        <w:r>
          <w:rPr>
            <w:color w:val="0000EE"/>
            <w:u w:val="single"/>
          </w:rPr>
          <w:t>8.5,</w:t>
        </w:r>
      </w:hyperlink>
      <w:r>
        <w:t xml:space="preserve"> </w:t>
      </w:r>
      <w:hyperlink r:id="rId1008">
        <w:r>
          <w:rPr>
            <w:color w:val="0000EE"/>
            <w:u w:val="single"/>
          </w:rPr>
          <w:t>9.13</w:t>
        </w:r>
      </w:hyperlink>
      <w:r>
        <w:t>).</w:t>
      </w:r>
    </w:p>
    <w:p>
      <w:r/>
      <w:r>
        <w:rPr>
          <w:i/>
        </w:rPr>
        <w:t>Veja também</w:t>
      </w:r>
      <w:r>
        <w:t xml:space="preserve"> </w:t>
      </w:r>
      <w:r>
        <w:t>Tabernáculo</w:t>
      </w:r>
      <w:r>
        <w:t xml:space="preserve">; </w:t>
      </w:r>
      <w:r>
        <w:t>Templo</w:t>
      </w:r>
      <w:r>
        <w:t>.</w:t>
      </w:r>
      <w:r/>
      <w:r/>
    </w:p>
    <w:p>
      <w:r/>
    </w:p>
    <w:p>
      <w:pPr>
        <w:pStyle w:val="Heading2"/>
      </w:pPr>
      <w:r>
        <w:t>Al-Taschith</w:t>
      </w:r>
      <w:r/>
    </w:p>
    <w:p>
      <w:r/>
      <w:r>
        <w:t xml:space="preserve">Uma frase hebraica nos títulos dos </w:t>
      </w:r>
      <w:hyperlink r:id="rId436">
        <w:r>
          <w:rPr>
            <w:color w:val="0000EE"/>
            <w:u w:val="single"/>
          </w:rPr>
          <w:t>Salmos 57</w:t>
        </w:r>
      </w:hyperlink>
      <w:r>
        <w:t xml:space="preserve">, </w:t>
      </w:r>
      <w:hyperlink r:id="rId1009">
        <w:r>
          <w:rPr>
            <w:color w:val="0000EE"/>
            <w:u w:val="single"/>
          </w:rPr>
          <w:t>58</w:t>
        </w:r>
      </w:hyperlink>
      <w:r>
        <w:t xml:space="preserve">, </w:t>
      </w:r>
      <w:hyperlink r:id="rId1010">
        <w:r>
          <w:rPr>
            <w:color w:val="0000EE"/>
            <w:u w:val="single"/>
          </w:rPr>
          <w:t>59,</w:t>
        </w:r>
      </w:hyperlink>
      <w:r>
        <w:t xml:space="preserve"> e </w:t>
      </w:r>
      <w:hyperlink r:id="rId1011">
        <w:r>
          <w:rPr>
            <w:color w:val="0000EE"/>
            <w:u w:val="single"/>
          </w:rPr>
          <w:t>75</w:t>
        </w:r>
      </w:hyperlink>
      <w:r>
        <w:t xml:space="preserve"> é traduzida como "Não destruas!" Pode ser uma melodia antiga familiar à qual os salmos eram cantados.</w:t>
      </w:r>
    </w:p>
    <w:p>
      <w:r/>
      <w:r>
        <w:rPr>
          <w:i/>
        </w:rPr>
        <w:t>Veja</w:t>
      </w:r>
      <w:r>
        <w:t xml:space="preserve"> </w:t>
      </w:r>
      <w:r>
        <w:t>Música</w:t>
      </w:r>
      <w:r>
        <w:t>.</w:t>
      </w:r>
      <w:r/>
      <w:r/>
    </w:p>
    <w:p>
      <w:r/>
    </w:p>
    <w:p>
      <w:pPr>
        <w:pStyle w:val="Heading2"/>
      </w:pPr>
      <w:r>
        <w:t>Altissimo</w:t>
      </w:r>
      <w:r/>
    </w:p>
    <w:p>
      <w:r/>
      <w:r>
        <w:t>Um nome antigo para Deus usado tanto no Antigo quanto no Novo Testamento (</w:t>
      </w:r>
      <w:hyperlink r:id="rId1012">
        <w:r>
          <w:rPr>
            <w:color w:val="0000EE"/>
            <w:u w:val="single"/>
          </w:rPr>
          <w:t>Sl 21.7</w:t>
        </w:r>
      </w:hyperlink>
      <w:r>
        <w:t xml:space="preserve">; </w:t>
      </w:r>
      <w:hyperlink r:id="rId1013">
        <w:r>
          <w:rPr>
            <w:color w:val="0000EE"/>
            <w:u w:val="single"/>
          </w:rPr>
          <w:t>At 7.48</w:t>
        </w:r>
      </w:hyperlink>
      <w:r>
        <w:t>). Este título enfatiza a autoridade suprema de Deus e sua posição acima de todos os outros poderes.</w:t>
      </w:r>
    </w:p>
    <w:p>
      <w:r/>
      <w:r>
        <w:rPr>
          <w:i/>
        </w:rPr>
        <w:t>Veja</w:t>
      </w:r>
      <w:r>
        <w:t xml:space="preserve"> </w:t>
      </w:r>
      <w:r>
        <w:t>Deus, Nomes de</w:t>
      </w:r>
      <w:r>
        <w:t>.</w:t>
      </w:r>
      <w:r/>
      <w:r/>
    </w:p>
    <w:p>
      <w:r/>
    </w:p>
    <w:p>
      <w:pPr>
        <w:pStyle w:val="Heading2"/>
      </w:pPr>
      <w:r>
        <w:t>Alus</w:t>
      </w:r>
      <w:r/>
    </w:p>
    <w:p>
      <w:r/>
      <w:r>
        <w:t xml:space="preserve">Um lugar onde Israel montou acampamento durante sua jornada pelo deserto. </w:t>
      </w:r>
      <w:hyperlink r:id="rId1014">
        <w:r>
          <w:rPr>
            <w:color w:val="0000EE"/>
            <w:u w:val="single"/>
          </w:rPr>
          <w:t>Números 33.13–14</w:t>
        </w:r>
      </w:hyperlink>
      <w:r>
        <w:t xml:space="preserve"> menciona-o como estando entre Dofca e Refidim a caminho do Monte Sinai.</w:t>
      </w:r>
    </w:p>
    <w:p>
      <w:r/>
      <w:r>
        <w:rPr>
          <w:i/>
        </w:rPr>
        <w:t>Veja também</w:t>
      </w:r>
      <w:r>
        <w:t xml:space="preserve"> </w:t>
      </w:r>
      <w:r>
        <w:t>Peregrinações no Deserto</w:t>
      </w:r>
      <w:r>
        <w:t>.</w:t>
      </w:r>
      <w:r/>
      <w:r/>
    </w:p>
    <w:p>
      <w:r/>
    </w:p>
    <w:p>
      <w:pPr>
        <w:pStyle w:val="Heading2"/>
      </w:pPr>
      <w:r>
        <w:t>Alva</w:t>
      </w:r>
      <w:r/>
    </w:p>
    <w:p>
      <w:r/>
      <w:r>
        <w:t>Descendente de Esaú e um chefe de Edom (</w:t>
      </w:r>
      <w:hyperlink r:id="rId1015">
        <w:r>
          <w:rPr>
            <w:color w:val="0000EE"/>
            <w:u w:val="single"/>
          </w:rPr>
          <w:t>Gn 36.40</w:t>
        </w:r>
      </w:hyperlink>
      <w:r>
        <w:t xml:space="preserve">). </w:t>
      </w:r>
      <w:r/>
      <w:r/>
    </w:p>
    <w:p>
      <w:r/>
    </w:p>
    <w:p>
      <w:pPr>
        <w:pStyle w:val="Heading2"/>
      </w:pPr>
      <w:r>
        <w:t>Alvã</w:t>
      </w:r>
      <w:r/>
    </w:p>
    <w:p>
      <w:r/>
      <w:r>
        <w:t>Filho de Sobal e descendente de Esaú (</w:t>
      </w:r>
      <w:hyperlink r:id="rId1016">
        <w:r>
          <w:rPr>
            <w:color w:val="0000EE"/>
            <w:u w:val="single"/>
          </w:rPr>
          <w:t>Gn 36.23</w:t>
        </w:r>
      </w:hyperlink>
      <w:r>
        <w:t xml:space="preserve">). Alvã também é escrito como Aliã em </w:t>
      </w:r>
      <w:hyperlink r:id="rId1017">
        <w:r>
          <w:rPr>
            <w:color w:val="0000EE"/>
            <w:u w:val="single"/>
          </w:rPr>
          <w:t>1Cr 1.40</w:t>
        </w:r>
      </w:hyperlink>
      <w:r>
        <w:t>.</w:t>
      </w:r>
      <w:r/>
      <w:r/>
    </w:p>
    <w:p>
      <w:r/>
    </w:p>
    <w:p>
      <w:pPr>
        <w:pStyle w:val="Heading2"/>
      </w:pPr>
      <w:r>
        <w:t>Ama (Babá)</w:t>
      </w:r>
      <w:r/>
    </w:p>
    <w:p>
      <w:r/>
      <w:r>
        <w:t>Uma mulher que cuidava de um bebê que não era dela, ou um homem que cuidava de crianças pequenas. O trabalho era limitado à amamentação e ao cuidado de um bebê. As mulheres geralmente cuidavam de seus próprios filhos, como Sara (</w:t>
      </w:r>
      <w:hyperlink r:id="rId1018">
        <w:r>
          <w:rPr>
            <w:color w:val="0000EE"/>
            <w:u w:val="single"/>
          </w:rPr>
          <w:t>Gn 21.7</w:t>
        </w:r>
      </w:hyperlink>
      <w:r>
        <w:t>) e Ana (</w:t>
      </w:r>
      <w:hyperlink r:id="rId1019">
        <w:r>
          <w:rPr>
            <w:color w:val="0000EE"/>
            <w:u w:val="single"/>
          </w:rPr>
          <w:t>1Sm 1.23</w:t>
        </w:r>
      </w:hyperlink>
      <w:r>
        <w:t>). Uma babá frequentemente se tornava parte do círculo familiar e tinha um lugar especial. Rebeca tinha uma babá, e quando ela faleceu, a mulher foi até mencionada no texto bíblico: “</w:t>
      </w:r>
      <w:r>
        <w:t>Naquele lugar morreu Débora, a mulher que havia sido babá de Rebeca. Ela foi sepultada debaixo da árvore sagrada que fica ao sul de Betel</w:t>
      </w:r>
      <w:r>
        <w:t>” (</w:t>
      </w:r>
      <w:hyperlink r:id="rId970">
        <w:r>
          <w:rPr>
            <w:color w:val="0000EE"/>
            <w:u w:val="single"/>
          </w:rPr>
          <w:t>Gn 35.8</w:t>
        </w:r>
      </w:hyperlink>
      <w:r>
        <w:t>, NTLH). A mãe de Moisés tornou-se sua ama, pois estava sendo paga pela filha do Faraó (</w:t>
      </w:r>
      <w:hyperlink r:id="rId1020">
        <w:r>
          <w:rPr>
            <w:color w:val="0000EE"/>
            <w:u w:val="single"/>
          </w:rPr>
          <w:t>Êx 2.7</w:t>
        </w:r>
      </w:hyperlink>
      <w:r>
        <w:t>). Filhos reais eram cuidados por amas, como no caso de Joás, que foi escondido com sua babá por Jeoseba, sua tia (</w:t>
      </w:r>
      <w:hyperlink r:id="rId1021">
        <w:r>
          <w:rPr>
            <w:color w:val="0000EE"/>
            <w:u w:val="single"/>
          </w:rPr>
          <w:t>2Rs 11.2</w:t>
        </w:r>
      </w:hyperlink>
      <w:r>
        <w:t>). Como Joás foi escondido por seis anos e tinha sete quando ascendeu ao trono, Joás tinha cerca de um ano quando foi escondido — e sua babá deve ter sido uma ama de leite.</w:t>
      </w:r>
    </w:p>
    <w:p>
      <w:r/>
      <w:r>
        <w:t>Os filhos reais recebiam cuidados especiais e estavam sob a supervisão de uma ama após serem amamentados. As crianças eram amamentadas até os três anos de idade, e quando eram desmamadas, havia uma festa (</w:t>
      </w:r>
      <w:hyperlink r:id="rId1022">
        <w:r>
          <w:rPr>
            <w:color w:val="0000EE"/>
            <w:u w:val="single"/>
          </w:rPr>
          <w:t>Gn 21.8</w:t>
        </w:r>
      </w:hyperlink>
      <w:r>
        <w:t xml:space="preserve">; </w:t>
      </w:r>
      <w:hyperlink r:id="rId1023">
        <w:r>
          <w:rPr>
            <w:color w:val="0000EE"/>
            <w:u w:val="single"/>
          </w:rPr>
          <w:t>1Sm 1.23–24</w:t>
        </w:r>
      </w:hyperlink>
      <w:r>
        <w:t>). Depois disso, uma ama-professora assumia o cuidado do jovem. Mefibosete tinha cinco anos quando sua ama caiu com ele, fazendo com que ele ficasse coxo (</w:t>
      </w:r>
      <w:hyperlink r:id="rId1024">
        <w:r>
          <w:rPr>
            <w:color w:val="0000EE"/>
            <w:u w:val="single"/>
          </w:rPr>
          <w:t>2Sm 4.4</w:t>
        </w:r>
      </w:hyperlink>
      <w:r>
        <w:t>). Noemi cuidou de seu neto como ama (</w:t>
      </w:r>
      <w:hyperlink r:id="rId1025">
        <w:r>
          <w:rPr>
            <w:color w:val="0000EE"/>
            <w:u w:val="single"/>
          </w:rPr>
          <w:t>Rt 4.16</w:t>
        </w:r>
      </w:hyperlink>
      <w:r>
        <w:t xml:space="preserve">). É provável que servos encarregados dos cuidados fossem usados como professores para os jovens aristocratas, como encontramos em </w:t>
      </w:r>
      <w:hyperlink r:id="rId1026">
        <w:r>
          <w:rPr>
            <w:color w:val="0000EE"/>
            <w:u w:val="single"/>
          </w:rPr>
          <w:t>2 Reis 10.1</w:t>
        </w:r>
      </w:hyperlink>
      <w:r>
        <w:t xml:space="preserve">, quando se diz que os filhos de Acabe tinham babás (cf. também v. </w:t>
      </w:r>
      <w:hyperlink r:id="rId1027">
        <w:r>
          <w:rPr>
            <w:color w:val="0000EE"/>
            <w:u w:val="single"/>
          </w:rPr>
          <w:t>5</w:t>
        </w:r>
      </w:hyperlink>
      <w:r>
        <w:t>). Nesse sentido, devemos entender também a referência de Moisés a si mesmo como "babá": "</w:t>
      </w:r>
      <w:r>
        <w:t>Eu não fiz este povo, nem dei à luz esta gente! Por que me pedes que faça como uma babá e os carregue no colo como criancinhas para a terra que juraste dar aos seus antepassados?</w:t>
      </w:r>
      <w:r>
        <w:t>" (</w:t>
      </w:r>
      <w:hyperlink r:id="rId1028">
        <w:r>
          <w:rPr>
            <w:color w:val="0000EE"/>
            <w:u w:val="single"/>
          </w:rPr>
          <w:t>Nm 11.12</w:t>
        </w:r>
      </w:hyperlink>
      <w:r>
        <w:t>, NTLH). Paulo também se via como um "ama" para a igreja (</w:t>
      </w:r>
      <w:hyperlink r:id="rId1029">
        <w:r>
          <w:rPr>
            <w:color w:val="0000EE"/>
            <w:u w:val="single"/>
          </w:rPr>
          <w:t>1Ts 2.7</w:t>
        </w:r>
      </w:hyperlink>
      <w:r>
        <w:t>).</w:t>
      </w:r>
      <w:r/>
      <w:r/>
    </w:p>
    <w:p>
      <w:r/>
    </w:p>
    <w:p>
      <w:pPr>
        <w:pStyle w:val="Heading2"/>
      </w:pPr>
      <w:r>
        <w:t>Amaleque, Amalequitas</w:t>
      </w:r>
      <w:r/>
    </w:p>
    <w:p>
      <w:pPr>
        <w:pStyle w:val="Heading3"/>
      </w:pPr>
      <w:r>
        <w:t>Qual é a origem dos amalequitas e onde eles viviam?</w:t>
      </w:r>
    </w:p>
    <w:p>
      <w:r/>
      <w:r>
        <w:t>Amaleque era filho de Elifaz com sua concubina, Timna (</w:t>
      </w:r>
      <w:hyperlink r:id="rId1030">
        <w:r>
          <w:rPr>
            <w:color w:val="0000EE"/>
            <w:u w:val="single"/>
          </w:rPr>
          <w:t>Gn 36.12</w:t>
        </w:r>
      </w:hyperlink>
      <w:r>
        <w:t xml:space="preserve">; </w:t>
      </w:r>
      <w:hyperlink r:id="rId1031">
        <w:r>
          <w:rPr>
            <w:color w:val="0000EE"/>
            <w:u w:val="single"/>
          </w:rPr>
          <w:t>1Cr 1.36</w:t>
        </w:r>
      </w:hyperlink>
      <w:r>
        <w:t>). Elifaz era filho de Esaú. Amaleque era o chefe de Edom. Seus filhos eram conhecidos como amalequitas. Eles se estabeleceram no Deserto de Neguebe e se tornaram aliados dos edomitas, amonitas, moabitas, ismaelitas e midianitas. Os amalequitas eram inimigos de Israel. Amaleque fazia parte da disputa familiar que começou com seu avô Esaú. Esaú lutou com Jacó. Como Jacó era um dos patriarcas de Israel, o conflito entre Amaleque e Israel tinha tanto uma base teológica quanto política.</w:t>
      </w:r>
    </w:p>
    <w:p>
      <w:r/>
      <w:r>
        <w:t>Os amalequitas não permaneciam em uma área por muito tempo, mas se deslocavam de um lugar para outro. Às vezes, sua terra no Neguebe se estendia do sul de Berseba até o sudeste, chegando até Elate e Eziom-Geber. Eles lutaram para o oeste na planície costeira, para o leste nos desertos da Arabá e possivelmente até a Arábia. No Neguebe, eles bloquearam o caminho dos israelitas durante o Êxodo do Egito (</w:t>
      </w:r>
      <w:hyperlink r:id="rId1032">
        <w:r>
          <w:rPr>
            <w:color w:val="0000EE"/>
            <w:u w:val="single"/>
          </w:rPr>
          <w:t>Êx 17.8–16</w:t>
        </w:r>
      </w:hyperlink>
      <w:r>
        <w:t>).</w:t>
      </w:r>
    </w:p>
    <w:p>
      <w:pPr>
        <w:pStyle w:val="Heading3"/>
      </w:pPr>
      <w:r>
        <w:t>Conflitos com Israel.</w:t>
      </w:r>
    </w:p>
    <w:p>
      <w:r/>
      <w:r>
        <w:t>A primeira batalha de Israel com os guerreiros de Amaleque ocorreu em Refidim, perto do Sinai. Moisés ficou no topo de uma colina e ergueu a vara de Deus até que Israel vencesse a batalha. Ele construiu um altar e o nomeou "O Senhor Deus é a minha bandeira" (</w:t>
      </w:r>
      <w:hyperlink r:id="rId1033">
        <w:r>
          <w:rPr>
            <w:color w:val="0000EE"/>
            <w:u w:val="single"/>
          </w:rPr>
          <w:t>Êx 17.1,8–16</w:t>
        </w:r>
      </w:hyperlink>
      <w:r>
        <w:t>). Os amalequitas atacaram os israelitas que caminhavam mais devagar que o restante do grupo durante as andanças de Israel pelo deserto (</w:t>
      </w:r>
      <w:hyperlink r:id="rId1034">
        <w:r>
          <w:rPr>
            <w:color w:val="0000EE"/>
            <w:u w:val="single"/>
          </w:rPr>
          <w:t>Dt 25.17–18</w:t>
        </w:r>
      </w:hyperlink>
      <w:r>
        <w:t>). Quando os israelitas chegaram à fronteira da Terra Prometida, rejeitaram o relatório de Calebe e Josué. Os israelitas incrédulos atacaram os amalequitas e perderam (</w:t>
      </w:r>
      <w:hyperlink r:id="rId1035">
        <w:r>
          <w:rPr>
            <w:color w:val="0000EE"/>
            <w:u w:val="single"/>
          </w:rPr>
          <w:t>Nm 14.39–45</w:t>
        </w:r>
      </w:hyperlink>
      <w:r>
        <w:t>).</w:t>
      </w:r>
    </w:p>
    <w:p>
      <w:r/>
      <w:r>
        <w:t>Quando o rei Balaque de Moabe chamou Balaão para amaldiçoar Israel, ele voltou sua maldição contra Moabe. Em sua última mensagem divina, ele previu o fim da tribo de Amaleque (</w:t>
      </w:r>
      <w:hyperlink r:id="rId1036">
        <w:r>
          <w:rPr>
            <w:color w:val="0000EE"/>
            <w:u w:val="single"/>
          </w:rPr>
          <w:t>Nm 24.20</w:t>
        </w:r>
      </w:hyperlink>
      <w:r>
        <w:t>). Em seu discurso de despedida, Moisés lembrou aos filhos de Israel que o povo de Amaleque os havia atacado. Ele lhes disse para remover toda memória do nome Amaleque (</w:t>
      </w:r>
      <w:hyperlink r:id="rId1037">
        <w:r>
          <w:rPr>
            <w:color w:val="0000EE"/>
            <w:u w:val="single"/>
          </w:rPr>
          <w:t>Dt 25.17–19</w:t>
        </w:r>
      </w:hyperlink>
      <w:r>
        <w:t>).</w:t>
      </w:r>
    </w:p>
    <w:p>
      <w:r/>
      <w:r>
        <w:t>Durante o período dos juízes, os amalequitas continuaram a viver em sua área tradicional. Eles se conectaram com os queneus (</w:t>
      </w:r>
      <w:hyperlink r:id="rId1038">
        <w:r>
          <w:rPr>
            <w:color w:val="0000EE"/>
            <w:u w:val="single"/>
          </w:rPr>
          <w:t>1Sm 15.5–6</w:t>
        </w:r>
      </w:hyperlink>
      <w:r>
        <w:t>). Os queneus são descendentes do sogro de Moisés. Eles viviam no Neguebe ao sul de Arade (</w:t>
      </w:r>
      <w:hyperlink r:id="rId1039">
        <w:r>
          <w:rPr>
            <w:color w:val="0000EE"/>
            <w:u w:val="single"/>
          </w:rPr>
          <w:t>Jz 1.16</w:t>
        </w:r>
      </w:hyperlink>
      <w:r>
        <w:t>). Os amalequitas ainda estavam relacionados a outras tribos nômades ou grupos de pessoas que se moviam de um lugar para outro, como os moabitas, amonitas e midianitas.</w:t>
      </w:r>
    </w:p>
    <w:p>
      <w:r/>
      <w:r>
        <w:t>Eglom era o rei de Moabe. Eglom conseguiu unir essas tribos nômades para derrotar Israel e tomar Jericó (</w:t>
      </w:r>
      <w:hyperlink r:id="rId1040">
        <w:r>
          <w:rPr>
            <w:color w:val="0000EE"/>
            <w:u w:val="single"/>
          </w:rPr>
          <w:t>Jz 3.12–14</w:t>
        </w:r>
      </w:hyperlink>
      <w:r>
        <w:t>). O Cântico de Débora cita Amaleque como um dos grupos de tribos contra Israel (</w:t>
      </w:r>
      <w:hyperlink r:id="rId1041">
        <w:r>
          <w:rPr>
            <w:color w:val="0000EE"/>
            <w:u w:val="single"/>
          </w:rPr>
          <w:t>Jz 5.14</w:t>
        </w:r>
      </w:hyperlink>
      <w:r>
        <w:t>). O nome é omitido por muitas traduções modernas. Algumas traduções traduzem "Amaleque" como "para o vale" (NTLH). No entanto, os ataques dos amalequitas são mencionados em outras passagens do tempo de Débora e Baraque (</w:t>
      </w:r>
      <w:hyperlink r:id="rId1042">
        <w:r>
          <w:rPr>
            <w:color w:val="0000EE"/>
            <w:u w:val="single"/>
          </w:rPr>
          <w:t>Jz 6.3,33</w:t>
        </w:r>
      </w:hyperlink>
      <w:r>
        <w:t xml:space="preserve">; </w:t>
      </w:r>
      <w:hyperlink r:id="rId1043">
        <w:r>
          <w:rPr>
            <w:color w:val="0000EE"/>
            <w:u w:val="single"/>
          </w:rPr>
          <w:t>7.12</w:t>
        </w:r>
      </w:hyperlink>
      <w:r>
        <w:t>). Gideão derrotou o grupo (</w:t>
      </w:r>
      <w:hyperlink r:id="rId1044">
        <w:r>
          <w:rPr>
            <w:color w:val="0000EE"/>
            <w:u w:val="single"/>
          </w:rPr>
          <w:t>Jz 7.12–25</w:t>
        </w:r>
      </w:hyperlink>
      <w:r>
        <w:t>). Não há evidências de que os amalequitas foram expulsos do Neguebe.</w:t>
      </w:r>
    </w:p>
    <w:p>
      <w:pPr>
        <w:pStyle w:val="Heading3"/>
      </w:pPr>
      <w:r>
        <w:t>O declínio e a derrota dos amalequitas.</w:t>
      </w:r>
    </w:p>
    <w:p>
      <w:r/>
      <w:r>
        <w:t>De acordo com 1 Samuel, Saul enviou seus exércitos contra os amalequitas (</w:t>
      </w:r>
      <w:hyperlink r:id="rId1045">
        <w:r>
          <w:rPr>
            <w:color w:val="0000EE"/>
            <w:u w:val="single"/>
          </w:rPr>
          <w:t>14.47–48</w:t>
        </w:r>
      </w:hyperlink>
      <w:r>
        <w:t>). Deus ordenou que ele os destruísse e tudo o que possuíam (</w:t>
      </w:r>
      <w:hyperlink r:id="rId1046">
        <w:r>
          <w:rPr>
            <w:color w:val="0000EE"/>
            <w:u w:val="single"/>
          </w:rPr>
          <w:t>15.1–3</w:t>
        </w:r>
      </w:hyperlink>
      <w:r>
        <w:t>). Ele atacou a cidade deles (</w:t>
      </w:r>
      <w:hyperlink r:id="rId1047">
        <w:r>
          <w:rPr>
            <w:color w:val="0000EE"/>
            <w:u w:val="single"/>
          </w:rPr>
          <w:t>15.4–7</w:t>
        </w:r>
      </w:hyperlink>
      <w:r>
        <w:t>), mas não matou o rei deles, Agague (</w:t>
      </w:r>
      <w:hyperlink r:id="rId1048">
        <w:r>
          <w:rPr>
            <w:color w:val="0000EE"/>
            <w:u w:val="single"/>
          </w:rPr>
          <w:t>15.8</w:t>
        </w:r>
      </w:hyperlink>
      <w:r>
        <w:t>). Saul deu o melhor gado amalequita aos seus homens (</w:t>
      </w:r>
      <w:hyperlink r:id="rId1049">
        <w:r>
          <w:rPr>
            <w:color w:val="0000EE"/>
            <w:u w:val="single"/>
          </w:rPr>
          <w:t>15.9</w:t>
        </w:r>
      </w:hyperlink>
      <w:r>
        <w:t>). Deus o puniu. Ele enviou Samuel para dizer a Saul que seu reinado estava terminado por causa de seu pecado (</w:t>
      </w:r>
      <w:hyperlink r:id="rId1050">
        <w:r>
          <w:rPr>
            <w:color w:val="0000EE"/>
            <w:u w:val="single"/>
          </w:rPr>
          <w:t>15.10–31</w:t>
        </w:r>
      </w:hyperlink>
      <w:r>
        <w:t>). Samuel então matou Agague (</w:t>
      </w:r>
      <w:hyperlink r:id="rId1051">
        <w:r>
          <w:rPr>
            <w:color w:val="0000EE"/>
            <w:u w:val="single"/>
          </w:rPr>
          <w:t>15.32–35</w:t>
        </w:r>
      </w:hyperlink>
      <w:r>
        <w:t>).</w:t>
      </w:r>
    </w:p>
    <w:p>
      <w:r/>
      <w:r>
        <w:t>Alguns amalequitas permaneceram. Eles devem ter escapado. Eles aparecem mais tarde como inimigos de Davi enquanto ele ainda era um jovem guerreiro (</w:t>
      </w:r>
      <w:hyperlink r:id="rId1052">
        <w:r>
          <w:rPr>
            <w:color w:val="0000EE"/>
            <w:u w:val="single"/>
          </w:rPr>
          <w:t>27.8</w:t>
        </w:r>
      </w:hyperlink>
      <w:r>
        <w:t>). Alguns amalequitas levaram as duas esposas de Davi. Ele as resgatou e matou a maioria dos atacantes (</w:t>
      </w:r>
      <w:hyperlink r:id="rId1053">
        <w:r>
          <w:rPr>
            <w:color w:val="0000EE"/>
            <w:u w:val="single"/>
          </w:rPr>
          <w:t>30.1–20</w:t>
        </w:r>
      </w:hyperlink>
      <w:r>
        <w:t>).</w:t>
      </w:r>
    </w:p>
    <w:p>
      <w:r/>
      <w:r>
        <w:t>Os amalequitas foram inimigos declarados de Israel durante todo o reinado do Rei Davi (</w:t>
      </w:r>
      <w:hyperlink r:id="rId1054">
        <w:r>
          <w:rPr>
            <w:color w:val="0000EE"/>
            <w:u w:val="single"/>
          </w:rPr>
          <w:t>2Sm 1.1</w:t>
        </w:r>
      </w:hyperlink>
      <w:r>
        <w:t>). Eles estão listados entre os inimigos de Israel (</w:t>
      </w:r>
      <w:hyperlink r:id="rId1055">
        <w:r>
          <w:rPr>
            <w:color w:val="0000EE"/>
            <w:u w:val="single"/>
          </w:rPr>
          <w:t>2Sm 8.12</w:t>
        </w:r>
      </w:hyperlink>
      <w:r>
        <w:t xml:space="preserve">; </w:t>
      </w:r>
      <w:hyperlink r:id="rId1056">
        <w:r>
          <w:rPr>
            <w:color w:val="0000EE"/>
            <w:u w:val="single"/>
          </w:rPr>
          <w:t>1Cr 18.11</w:t>
        </w:r>
      </w:hyperlink>
      <w:r>
        <w:t xml:space="preserve">; </w:t>
      </w:r>
      <w:hyperlink r:id="rId1057">
        <w:r>
          <w:rPr>
            <w:color w:val="0000EE"/>
            <w:u w:val="single"/>
          </w:rPr>
          <w:t>Sl 83.7</w:t>
        </w:r>
      </w:hyperlink>
      <w:r>
        <w:t>). O restante dos amalequitas foi exterminado algumas centenas de anos após Davi, quando o Rei Ezequias governava o reino do sul de Judá (</w:t>
      </w:r>
      <w:hyperlink r:id="rId1058">
        <w:r>
          <w:rPr>
            <w:color w:val="0000EE"/>
            <w:u w:val="single"/>
          </w:rPr>
          <w:t>1Cr 4.41–43</w:t>
        </w:r>
      </w:hyperlink>
      <w:r>
        <w:t>).</w:t>
      </w:r>
      <w:r/>
      <w:r/>
    </w:p>
    <w:p>
      <w:r/>
    </w:p>
    <w:p>
      <w:pPr>
        <w:pStyle w:val="Heading2"/>
      </w:pPr>
      <w:r>
        <w:t>Amave</w:t>
      </w:r>
      <w:r/>
    </w:p>
    <w:p>
      <w:r/>
      <w:r>
        <w:t>Uma região perto do Rio Eufrates. Incluía a cidade de Petor, para a qual o Rei Balaque de Moabe enviou mensageiros em busca do profeta Balaão (</w:t>
      </w:r>
      <w:hyperlink r:id="rId1059">
        <w:r>
          <w:rPr>
            <w:color w:val="0000EE"/>
            <w:u w:val="single"/>
          </w:rPr>
          <w:t>Nm 22.5</w:t>
        </w:r>
      </w:hyperlink>
      <w:r>
        <w:t>). O nome de Amave aparece na Inscrição de Idrimi de 1450 a.C. Também aparece no túmulo de Qen-amun, que serviu sob Amenófis II do Egito perto do final do século XV a.C.</w:t>
      </w:r>
      <w:r/>
      <w:r/>
    </w:p>
    <w:p>
      <w:r/>
    </w:p>
    <w:p>
      <w:pPr>
        <w:pStyle w:val="Heading2"/>
      </w:pPr>
      <w:r>
        <w:t>Ameia</w:t>
      </w:r>
      <w:r/>
    </w:p>
    <w:p>
      <w:r/>
      <w:r>
        <w:t>Uma parede defensiva com aberturas para disparos, tipicamente encontrada no topo de uma fortaleza, também pode se referir a um parapeito ou uma grade ao redor de qualquer telhado plano.</w:t>
      </w:r>
    </w:p>
    <w:p>
      <w:r/>
      <w:r>
        <w:t>No Oriente Próximo, as casas eram frequentemente construídas com telhados planos, que eram usados para diversos fins:</w:t>
      </w:r>
    </w:p>
    <w:p>
      <w:pPr>
        <w:pStyle w:val="ListBullet"/>
        <w:spacing w:line="240" w:lineRule="auto"/>
        <w:ind w:left="720"/>
      </w:pPr>
      <w:r/>
      <w:r>
        <w:t>Raabe escondeu dois espiões israelitas em seu telhado (</w:t>
      </w:r>
      <w:hyperlink r:id="rId573">
        <w:r>
          <w:rPr>
            <w:color w:val="0000EE"/>
            <w:u w:val="single"/>
          </w:rPr>
          <w:t>Js 2.6</w:t>
        </w:r>
      </w:hyperlink>
      <w:r>
        <w:t>)</w:t>
      </w:r>
    </w:p>
    <w:p>
      <w:pPr>
        <w:pStyle w:val="ListBullet"/>
        <w:spacing w:line="240" w:lineRule="auto"/>
        <w:ind w:left="720"/>
      </w:pPr>
      <w:r/>
      <w:r>
        <w:t>Saul dormiu no telhado de Samuel (</w:t>
      </w:r>
      <w:hyperlink r:id="rId1060">
        <w:r>
          <w:rPr>
            <w:color w:val="0000EE"/>
            <w:u w:val="single"/>
          </w:rPr>
          <w:t>1Sm 9.25</w:t>
        </w:r>
      </w:hyperlink>
      <w:r>
        <w:t>)</w:t>
      </w:r>
    </w:p>
    <w:p>
      <w:pPr>
        <w:pStyle w:val="ListBullet"/>
        <w:spacing w:line="240" w:lineRule="auto"/>
        <w:ind w:left="720"/>
      </w:pPr>
      <w:r/>
      <w:r>
        <w:t>O rei Davi, do seu telhado, viu Bate-Seba tomando banho (</w:t>
      </w:r>
      <w:hyperlink r:id="rId1061">
        <w:r>
          <w:rPr>
            <w:color w:val="0000EE"/>
            <w:u w:val="single"/>
          </w:rPr>
          <w:t>2Sm 11.2</w:t>
        </w:r>
      </w:hyperlink>
      <w:r>
        <w:t>)</w:t>
      </w:r>
    </w:p>
    <w:p>
      <w:pPr>
        <w:pStyle w:val="ListBullet"/>
        <w:spacing w:line="240" w:lineRule="auto"/>
        <w:ind w:left="720"/>
      </w:pPr>
      <w:r/>
      <w:r>
        <w:t>As pessoas celebraram nos telhados (</w:t>
      </w:r>
      <w:hyperlink r:id="rId1062">
        <w:r>
          <w:rPr>
            <w:color w:val="0000EE"/>
            <w:u w:val="single"/>
          </w:rPr>
          <w:t>Is 22.1–2</w:t>
        </w:r>
      </w:hyperlink>
      <w:r>
        <w:t>)</w:t>
      </w:r>
    </w:p>
    <w:p>
      <w:pPr>
        <w:pStyle w:val="ListBullet"/>
        <w:spacing w:line="240" w:lineRule="auto"/>
        <w:ind w:left="720"/>
      </w:pPr>
      <w:r/>
      <w:r>
        <w:t>Pedro orou no telhado (</w:t>
      </w:r>
      <w:hyperlink r:id="rId1063">
        <w:r>
          <w:rPr>
            <w:color w:val="0000EE"/>
            <w:u w:val="single"/>
          </w:rPr>
          <w:t>At 10.9</w:t>
        </w:r>
      </w:hyperlink>
      <w:r>
        <w:t>)</w:t>
      </w:r>
    </w:p>
    <w:p>
      <w:r/>
      <w:r>
        <w:t>Com tanta atividade nos telhados, é fácil entender a necessidade da lei: "Quando você construir uma casa, coloque uma grade de madeira em volta do terraço. Assim você não será culpado se alguém cair dali e morrer" (</w:t>
      </w:r>
      <w:hyperlink r:id="rId1064">
        <w:r>
          <w:rPr>
            <w:color w:val="0000EE"/>
            <w:u w:val="single"/>
          </w:rPr>
          <w:t>Dt 22.8</w:t>
        </w:r>
      </w:hyperlink>
      <w:r>
        <w:t>).</w:t>
      </w:r>
    </w:p>
    <w:p>
      <w:r/>
      <w:r>
        <w:t>As muralhas da cidade frequentemente tinham ameias em portões e cantos para defesa contra ataques. As palavras hebraicas para essas fortificações são frequentemente traduzidas como "torres" (</w:t>
      </w:r>
      <w:hyperlink r:id="rId1065">
        <w:r>
          <w:rPr>
            <w:color w:val="0000EE"/>
            <w:u w:val="single"/>
          </w:rPr>
          <w:t>2Cr 26.15</w:t>
        </w:r>
      </w:hyperlink>
      <w:r>
        <w:t xml:space="preserve">; </w:t>
      </w:r>
      <w:hyperlink r:id="rId1066">
        <w:r>
          <w:rPr>
            <w:color w:val="0000EE"/>
            <w:u w:val="single"/>
          </w:rPr>
          <w:t>Sf 1.16</w:t>
        </w:r>
      </w:hyperlink>
      <w:r>
        <w:t>).</w:t>
      </w:r>
      <w:r/>
      <w:r/>
    </w:p>
    <w:p>
      <w:r/>
    </w:p>
    <w:p>
      <w:pPr>
        <w:pStyle w:val="Heading2"/>
      </w:pPr>
      <w:r>
        <w:t>Amém</w:t>
      </w:r>
      <w:r/>
    </w:p>
    <w:p>
      <w:r/>
      <w:r>
        <w:t>Uma palavra hebraica que significa "assim é" ou "que assim seja".</w:t>
      </w:r>
    </w:p>
    <w:p>
      <w:r/>
      <w:r>
        <w:t>Amém vem de um verbo que significa "ser firme ou certo". Algumas traduções da Bíblia sempre mantêm a palavra hebraica "amém" no texto. Outras a traduzem com uma declaração como "verdadeiramente" ou "eu digo a verdade". Algumas traduções a omitem completamente. Devido ao seu uso no Antigo Testamento, "amém" também foi utilizado na adoração cristã e em escritos religiosos, incluindo o Novo Testamento grego.</w:t>
      </w:r>
    </w:p>
    <w:p>
      <w:pPr>
        <w:pStyle w:val="Heading3"/>
      </w:pPr>
      <w:r>
        <w:t>Amém no Antigo Testamento</w:t>
      </w:r>
    </w:p>
    <w:p>
      <w:r/>
      <w:r>
        <w:t xml:space="preserve">“Amém” tem um significado muito mais profundo do que apenas ser a última palavra em uma oração. Na verdade, essa prática não é mostrada na Bíblia. Dizer "amém" no final de uma oração não era comum nos tempos antigos. Nas quase 30 vezes em que é usado no Antigo Testamento, “amém” quase sempre ocorre como uma resposta ao que foi dito anteriormente. Quando alguém diz isso como uma resposta, é como se o que foi dito fossem suas próprias palavras. Por exemplo, em </w:t>
      </w:r>
      <w:hyperlink r:id="rId1067">
        <w:r>
          <w:rPr>
            <w:color w:val="0000EE"/>
            <w:u w:val="single"/>
          </w:rPr>
          <w:t>Deuteronômio 27.15–26</w:t>
        </w:r>
      </w:hyperlink>
      <w:r>
        <w:t xml:space="preserve"> (onde “amém” aparece 12 vezes), o povo respondia com “amém” após cada declaração de uma maldição direcionada àqueles que desobedecem a Deus.</w:t>
      </w:r>
    </w:p>
    <w:p>
      <w:r/>
      <w:r>
        <w:t>Da mesma forma, "amém" é usado como uma resposta após declarações de promessa ou louvor e agradecimento (</w:t>
      </w:r>
      <w:hyperlink r:id="rId1068">
        <w:r>
          <w:rPr>
            <w:color w:val="0000EE"/>
            <w:u w:val="single"/>
          </w:rPr>
          <w:t>Jr 11.5</w:t>
        </w:r>
      </w:hyperlink>
      <w:r>
        <w:t xml:space="preserve">; </w:t>
      </w:r>
      <w:hyperlink r:id="rId1069">
        <w:r>
          <w:rPr>
            <w:color w:val="0000EE"/>
            <w:u w:val="single"/>
          </w:rPr>
          <w:t>1Cr 16.36</w:t>
        </w:r>
      </w:hyperlink>
      <w:r>
        <w:t>). Também foi usado como conclusão para os primeiros quatro dos cinco "livros" dos Salmos (</w:t>
      </w:r>
      <w:hyperlink r:id="rId1070">
        <w:r>
          <w:rPr>
            <w:color w:val="0000EE"/>
            <w:u w:val="single"/>
          </w:rPr>
          <w:t>Sl 41.13</w:t>
        </w:r>
      </w:hyperlink>
      <w:r>
        <w:t xml:space="preserve">; </w:t>
      </w:r>
      <w:hyperlink r:id="rId1071">
        <w:r>
          <w:rPr>
            <w:color w:val="0000EE"/>
            <w:u w:val="single"/>
          </w:rPr>
          <w:t>72.19</w:t>
        </w:r>
      </w:hyperlink>
      <w:r>
        <w:t xml:space="preserve">; </w:t>
      </w:r>
      <w:hyperlink r:id="rId1072">
        <w:r>
          <w:rPr>
            <w:color w:val="0000EE"/>
            <w:u w:val="single"/>
          </w:rPr>
          <w:t>89.52</w:t>
        </w:r>
      </w:hyperlink>
      <w:r>
        <w:t xml:space="preserve">; </w:t>
      </w:r>
      <w:hyperlink r:id="rId1073">
        <w:r>
          <w:rPr>
            <w:color w:val="0000EE"/>
            <w:u w:val="single"/>
          </w:rPr>
          <w:t>106.48</w:t>
        </w:r>
      </w:hyperlink>
      <w:r>
        <w:t xml:space="preserve">). As únicas exceções no Antigo Testamento são duas ocorrências em </w:t>
      </w:r>
      <w:hyperlink r:id="rId1074">
        <w:r>
          <w:rPr>
            <w:color w:val="0000EE"/>
            <w:u w:val="single"/>
          </w:rPr>
          <w:t>Is 65.16</w:t>
        </w:r>
      </w:hyperlink>
      <w:r>
        <w:t>. Lá, a frase "o Deus do amém" ou "o Deus da verdade" ("ao Deus fiel", NTLH) enfatiza que Deus é aquele que é "firme". Deus é completamente confiável e cumpre fielmente suas promessas.</w:t>
      </w:r>
    </w:p>
    <w:p>
      <w:pPr>
        <w:pStyle w:val="Heading3"/>
      </w:pPr>
      <w:r>
        <w:t>Amém no Novo Testamento</w:t>
      </w:r>
    </w:p>
    <w:p>
      <w:r/>
      <w:r>
        <w:t>O uso de "amém" como resposta a uma declaração anterior continua nas cartas do Novo Testamento e no livro de Apocalipse. Ele aparece após cada um dos seguintes:</w:t>
      </w:r>
    </w:p>
    <w:p>
      <w:pPr>
        <w:pStyle w:val="ListNumber"/>
        <w:spacing w:line="240" w:lineRule="auto"/>
        <w:ind w:left="720"/>
      </w:pPr>
      <w:r/>
      <w:r>
        <w:t>Doxologias ou declarações de louvor (</w:t>
      </w:r>
      <w:hyperlink r:id="rId1075">
        <w:r>
          <w:rPr>
            <w:color w:val="0000EE"/>
            <w:u w:val="single"/>
          </w:rPr>
          <w:t>Ef 3.21</w:t>
        </w:r>
      </w:hyperlink>
      <w:r>
        <w:t>)</w:t>
      </w:r>
    </w:p>
    <w:p>
      <w:pPr>
        <w:pStyle w:val="ListNumber"/>
        <w:spacing w:line="240" w:lineRule="auto"/>
        <w:ind w:left="720"/>
      </w:pPr>
      <w:r/>
      <w:r>
        <w:t>Bênçãos ou declarações de bênção (</w:t>
      </w:r>
      <w:hyperlink r:id="rId1076">
        <w:r>
          <w:rPr>
            <w:color w:val="0000EE"/>
            <w:u w:val="single"/>
          </w:rPr>
          <w:t>Gl 6.18</w:t>
        </w:r>
      </w:hyperlink>
      <w:r>
        <w:t>)</w:t>
      </w:r>
    </w:p>
    <w:p>
      <w:pPr>
        <w:pStyle w:val="ListNumber"/>
        <w:spacing w:line="240" w:lineRule="auto"/>
        <w:ind w:left="720"/>
      </w:pPr>
      <w:r/>
      <w:r>
        <w:t>Agradecimento (</w:t>
      </w:r>
      <w:hyperlink r:id="rId1077">
        <w:r>
          <w:rPr>
            <w:color w:val="0000EE"/>
            <w:u w:val="single"/>
          </w:rPr>
          <w:t>1Co 14.16</w:t>
        </w:r>
      </w:hyperlink>
      <w:r>
        <w:t>)</w:t>
      </w:r>
    </w:p>
    <w:p>
      <w:pPr>
        <w:pStyle w:val="ListNumber"/>
        <w:spacing w:line="240" w:lineRule="auto"/>
        <w:ind w:left="720"/>
      </w:pPr>
      <w:r/>
      <w:r>
        <w:t>Profecia (</w:t>
      </w:r>
      <w:hyperlink r:id="rId1078">
        <w:r>
          <w:rPr>
            <w:color w:val="0000EE"/>
            <w:u w:val="single"/>
          </w:rPr>
          <w:t>Ap 1.7</w:t>
        </w:r>
      </w:hyperlink>
      <w:r>
        <w:t>)</w:t>
      </w:r>
    </w:p>
    <w:p>
      <w:pPr>
        <w:pStyle w:val="ListNumber"/>
        <w:spacing w:line="240" w:lineRule="auto"/>
        <w:ind w:left="720"/>
      </w:pPr>
      <w:r/>
      <w:r>
        <w:t>Declarações de louvor (</w:t>
      </w:r>
      <w:hyperlink r:id="rId1079">
        <w:r>
          <w:rPr>
            <w:color w:val="0000EE"/>
            <w:u w:val="single"/>
          </w:rPr>
          <w:t>Ap 7.12</w:t>
        </w:r>
      </w:hyperlink>
      <w:r>
        <w:t>)</w:t>
      </w:r>
    </w:p>
    <w:p>
      <w:r/>
      <w:r>
        <w:t xml:space="preserve">Em </w:t>
      </w:r>
      <w:hyperlink r:id="rId1077">
        <w:r>
          <w:rPr>
            <w:color w:val="0000EE"/>
            <w:u w:val="single"/>
          </w:rPr>
          <w:t>1 Coríntios 14.16,</w:t>
        </w:r>
      </w:hyperlink>
      <w:r>
        <w:t xml:space="preserve"> fica claro que uma resposta de “amém” após uma declaração de agradecimento era uma forma de os adoradores participarem, mostrando concordância com o que havia sido dito.</w:t>
      </w:r>
      <w:r/>
      <w:r/>
    </w:p>
    <w:p>
      <w:r/>
    </w:p>
    <w:p>
      <w:pPr>
        <w:pStyle w:val="Heading2"/>
      </w:pPr>
      <w:r>
        <w:t>Amiel</w:t>
      </w:r>
      <w:r/>
    </w:p>
    <w:p>
      <w:pPr>
        <w:pStyle w:val="ListNumber"/>
        <w:spacing w:line="240" w:lineRule="auto"/>
        <w:ind w:left="720"/>
      </w:pPr>
      <w:r/>
      <w:r>
        <w:t>Filho de Gemali. Ele foi um dos 12 homens enviados por Moisés como espião à terra de Canaã. Amiel representou a tribo de Dã (</w:t>
      </w:r>
      <w:hyperlink r:id="rId1080">
        <w:r>
          <w:rPr>
            <w:color w:val="0000EE"/>
            <w:u w:val="single"/>
          </w:rPr>
          <w:t>Nm 13.12</w:t>
        </w:r>
      </w:hyperlink>
      <w:r>
        <w:t>). Mais tarde, ele morreu por causa de uma praga (</w:t>
      </w:r>
      <w:hyperlink r:id="rId1081">
        <w:r>
          <w:rPr>
            <w:color w:val="0000EE"/>
            <w:u w:val="single"/>
          </w:rPr>
          <w:t>Nm 14.37</w:t>
        </w:r>
      </w:hyperlink>
      <w:r>
        <w:t>).</w:t>
      </w:r>
    </w:p>
    <w:p>
      <w:pPr>
        <w:pStyle w:val="ListNumber"/>
        <w:spacing w:line="240" w:lineRule="auto"/>
        <w:ind w:left="720"/>
      </w:pPr>
      <w:r/>
      <w:r>
        <w:t>O pai de Maquir de Lo-Debar. Mefibosete, filho de Jônatas, foi escondido de Davi na casa de Maquir (</w:t>
      </w:r>
      <w:hyperlink r:id="rId1082">
        <w:r>
          <w:rPr>
            <w:color w:val="0000EE"/>
            <w:u w:val="single"/>
          </w:rPr>
          <w:t>2Sm 9.4–5</w:t>
        </w:r>
      </w:hyperlink>
      <w:r>
        <w:t>). Mais tarde, Maquir ajudou a suprir Davi em sua guerra com Absalão (</w:t>
      </w:r>
      <w:hyperlink r:id="rId1083">
        <w:r>
          <w:rPr>
            <w:color w:val="0000EE"/>
            <w:u w:val="single"/>
          </w:rPr>
          <w:t>2Sm 17.27–29</w:t>
        </w:r>
      </w:hyperlink>
      <w:r>
        <w:t>).</w:t>
      </w:r>
    </w:p>
    <w:p>
      <w:pPr>
        <w:pStyle w:val="ListNumber"/>
        <w:spacing w:line="240" w:lineRule="auto"/>
        <w:ind w:left="720"/>
      </w:pPr>
      <w:r/>
      <w:r>
        <w:t>O pai da esposa de Davi, Bate-Sua ou Bate-Seba. (</w:t>
      </w:r>
      <w:hyperlink r:id="rId1084">
        <w:r>
          <w:rPr>
            <w:color w:val="0000EE"/>
            <w:u w:val="single"/>
          </w:rPr>
          <w:t>1Cr 3.5</w:t>
        </w:r>
      </w:hyperlink>
      <w:r>
        <w:t>). Amiel também é chamado de Eliã (</w:t>
      </w:r>
      <w:hyperlink r:id="rId1085">
        <w:r>
          <w:rPr>
            <w:color w:val="0000EE"/>
            <w:u w:val="single"/>
          </w:rPr>
          <w:t>2Sm 11.3</w:t>
        </w:r>
      </w:hyperlink>
      <w:r>
        <w:t>).</w:t>
      </w:r>
    </w:p>
    <w:p>
      <w:pPr>
        <w:pStyle w:val="ListNumber"/>
        <w:spacing w:line="240" w:lineRule="auto"/>
        <w:ind w:left="720"/>
      </w:pPr>
      <w:r/>
      <w:r>
        <w:t>O sexto filho de Obede-Edom. Ele, junto com sua família, serviu como porteiro no Templo durante o reinado de Davi (</w:t>
      </w:r>
      <w:hyperlink r:id="rId1086">
        <w:r>
          <w:rPr>
            <w:color w:val="0000EE"/>
            <w:u w:val="single"/>
          </w:rPr>
          <w:t>1Cr 26.5,15</w:t>
        </w:r>
      </w:hyperlink>
      <w:r>
        <w:t>).</w:t>
      </w:r>
      <w:r/>
      <w:r/>
    </w:p>
    <w:p>
      <w:r/>
    </w:p>
    <w:p>
      <w:pPr>
        <w:pStyle w:val="Heading2"/>
      </w:pPr>
      <w:r>
        <w:t>Aminadabe</w:t>
      </w:r>
      <w:r/>
    </w:p>
    <w:p>
      <w:pPr>
        <w:pStyle w:val="ListNumber"/>
        <w:spacing w:line="240" w:lineRule="auto"/>
        <w:ind w:left="720"/>
      </w:pPr>
      <w:r/>
      <w:r>
        <w:t>O pai de Eliseba, que era esposa de Arão (</w:t>
      </w:r>
      <w:hyperlink r:id="rId124">
        <w:r>
          <w:rPr>
            <w:color w:val="0000EE"/>
            <w:u w:val="single"/>
          </w:rPr>
          <w:t>Êx 6.23</w:t>
        </w:r>
      </w:hyperlink>
      <w:r>
        <w:t>). Aminadabe também era o pai de Nasom, líder tribal de Judá no deserto (</w:t>
      </w:r>
      <w:hyperlink r:id="rId1087">
        <w:r>
          <w:rPr>
            <w:color w:val="0000EE"/>
            <w:u w:val="single"/>
          </w:rPr>
          <w:t>Nm 1.7</w:t>
        </w:r>
      </w:hyperlink>
      <w:r>
        <w:t xml:space="preserve">; </w:t>
      </w:r>
      <w:hyperlink r:id="rId1088">
        <w:r>
          <w:rPr>
            <w:color w:val="0000EE"/>
            <w:u w:val="single"/>
          </w:rPr>
          <w:t>2.3</w:t>
        </w:r>
      </w:hyperlink>
      <w:r>
        <w:t xml:space="preserve">; </w:t>
      </w:r>
      <w:hyperlink r:id="rId1089">
        <w:r>
          <w:rPr>
            <w:color w:val="0000EE"/>
            <w:u w:val="single"/>
          </w:rPr>
          <w:t>7.12,17</w:t>
        </w:r>
      </w:hyperlink>
      <w:r>
        <w:t xml:space="preserve">; </w:t>
      </w:r>
      <w:hyperlink r:id="rId1090">
        <w:r>
          <w:rPr>
            <w:color w:val="0000EE"/>
            <w:u w:val="single"/>
          </w:rPr>
          <w:t>10.14</w:t>
        </w:r>
      </w:hyperlink>
      <w:r>
        <w:t xml:space="preserve">; </w:t>
      </w:r>
      <w:hyperlink r:id="rId1091">
        <w:r>
          <w:rPr>
            <w:color w:val="0000EE"/>
            <w:u w:val="single"/>
          </w:rPr>
          <w:t>1Cr 2.10</w:t>
        </w:r>
      </w:hyperlink>
      <w:r>
        <w:t>). Aminadabe está listado entre os ancestrais de Davi (</w:t>
      </w:r>
      <w:hyperlink r:id="rId1092">
        <w:r>
          <w:rPr>
            <w:color w:val="0000EE"/>
            <w:u w:val="single"/>
          </w:rPr>
          <w:t>Rt 4.18–22</w:t>
        </w:r>
      </w:hyperlink>
      <w:r>
        <w:t>). Mais tarde, ele é mencionado entre os ancestrais de Jesus Cristo (</w:t>
      </w:r>
      <w:hyperlink r:id="rId1093">
        <w:r>
          <w:rPr>
            <w:color w:val="0000EE"/>
            <w:u w:val="single"/>
          </w:rPr>
          <w:t>Mt 1.4</w:t>
        </w:r>
      </w:hyperlink>
      <w:r>
        <w:t xml:space="preserve">; </w:t>
      </w:r>
      <w:hyperlink r:id="rId1094">
        <w:r>
          <w:rPr>
            <w:color w:val="0000EE"/>
            <w:u w:val="single"/>
          </w:rPr>
          <w:t>Lc 3.33</w:t>
        </w:r>
      </w:hyperlink>
      <w:r>
        <w:t xml:space="preserve">). </w:t>
      </w:r>
      <w:r>
        <w:rPr>
          <w:i/>
        </w:rPr>
        <w:t>Veja</w:t>
      </w:r>
      <w:r>
        <w:t xml:space="preserve"> </w:t>
      </w:r>
      <w:r>
        <w:t>Ancestralidade de Jesus Cristo</w:t>
      </w:r>
      <w:r>
        <w:t>.</w:t>
      </w:r>
    </w:p>
    <w:p>
      <w:pPr>
        <w:pStyle w:val="ListNumber"/>
        <w:spacing w:line="240" w:lineRule="auto"/>
        <w:ind w:left="720"/>
      </w:pPr>
      <w:r/>
      <w:r>
        <w:t>Um nome alternativo para Isar, um dos filhos de Coate (</w:t>
      </w:r>
      <w:hyperlink r:id="rId1095">
        <w:r>
          <w:rPr>
            <w:color w:val="0000EE"/>
            <w:u w:val="single"/>
          </w:rPr>
          <w:t>1Cr 6.22</w:t>
        </w:r>
      </w:hyperlink>
      <w:r>
        <w:t xml:space="preserve">). </w:t>
      </w:r>
      <w:r>
        <w:rPr>
          <w:i/>
        </w:rPr>
        <w:t>Veja</w:t>
      </w:r>
      <w:r>
        <w:t xml:space="preserve"> </w:t>
      </w:r>
      <w:r>
        <w:t>Isar #1</w:t>
      </w:r>
      <w:r>
        <w:t>.</w:t>
      </w:r>
    </w:p>
    <w:p>
      <w:pPr>
        <w:pStyle w:val="ListNumber"/>
        <w:spacing w:line="240" w:lineRule="auto"/>
        <w:ind w:left="720"/>
      </w:pPr>
      <w:r/>
      <w:r>
        <w:t>Um levita contemporâneo do Rei Davi que ajudou a trazer a arca do Senhor para Jerusalém (</w:t>
      </w:r>
      <w:hyperlink r:id="rId1096">
        <w:r>
          <w:rPr>
            <w:color w:val="0000EE"/>
            <w:u w:val="single"/>
          </w:rPr>
          <w:t>1Cr 15.1–4,10–11</w:t>
        </w:r>
      </w:hyperlink>
      <w:r>
        <w:t>).</w:t>
      </w:r>
      <w:r/>
      <w:r/>
    </w:p>
    <w:p>
      <w:r/>
    </w:p>
    <w:p>
      <w:pPr>
        <w:pStyle w:val="Heading2"/>
      </w:pPr>
      <w:r>
        <w:t>Amisadai</w:t>
      </w:r>
      <w:r/>
    </w:p>
    <w:p>
      <w:r/>
      <w:r>
        <w:t>Pai de Aiezer. Aiezer era o líder da tribo de Dã quando os israelitas estavam vagando no deserto do Sinai após sua fuga do Egito (</w:t>
      </w:r>
      <w:hyperlink r:id="rId633">
        <w:r>
          <w:rPr>
            <w:color w:val="0000EE"/>
            <w:u w:val="single"/>
          </w:rPr>
          <w:t>Nm 1.12</w:t>
        </w:r>
      </w:hyperlink>
      <w:r>
        <w:t xml:space="preserve">; </w:t>
      </w:r>
      <w:hyperlink r:id="rId634">
        <w:r>
          <w:rPr>
            <w:color w:val="0000EE"/>
            <w:u w:val="single"/>
          </w:rPr>
          <w:t>2.25</w:t>
        </w:r>
      </w:hyperlink>
      <w:r>
        <w:t xml:space="preserve">; </w:t>
      </w:r>
      <w:hyperlink r:id="rId636">
        <w:r>
          <w:rPr>
            <w:color w:val="0000EE"/>
            <w:u w:val="single"/>
          </w:rPr>
          <w:t>10.25</w:t>
        </w:r>
      </w:hyperlink>
      <w:r>
        <w:t>). Como líder, ele apresentou a oferta de sua tribo na dedicação do Tabernáculo (</w:t>
      </w:r>
      <w:hyperlink r:id="rId635">
        <w:r>
          <w:rPr>
            <w:color w:val="0000EE"/>
            <w:u w:val="single"/>
          </w:rPr>
          <w:t>Nm 7.66,71</w:t>
        </w:r>
      </w:hyperlink>
      <w:r>
        <w:t>).</w:t>
      </w:r>
      <w:r/>
      <w:r/>
    </w:p>
    <w:p>
      <w:r/>
    </w:p>
    <w:p>
      <w:pPr>
        <w:pStyle w:val="Heading2"/>
      </w:pPr>
      <w:r>
        <w:t>Amiúde</w:t>
      </w:r>
      <w:r/>
    </w:p>
    <w:p>
      <w:pPr>
        <w:pStyle w:val="ListNumber"/>
        <w:spacing w:line="240" w:lineRule="auto"/>
        <w:ind w:left="720"/>
      </w:pPr>
      <w:r/>
      <w:r>
        <w:t>O pai de um líder da tribo de Efraim, Elisama (</w:t>
      </w:r>
      <w:hyperlink r:id="rId1097">
        <w:r>
          <w:rPr>
            <w:color w:val="0000EE"/>
            <w:u w:val="single"/>
          </w:rPr>
          <w:t>Nm 1.10</w:t>
        </w:r>
      </w:hyperlink>
      <w:r>
        <w:t>). Frequentemente foi bisavô de Josué (</w:t>
      </w:r>
      <w:hyperlink r:id="rId1098">
        <w:r>
          <w:rPr>
            <w:color w:val="0000EE"/>
            <w:u w:val="single"/>
          </w:rPr>
          <w:t>1Cr 7.26</w:t>
        </w:r>
      </w:hyperlink>
      <w:r>
        <w:t>).</w:t>
      </w:r>
    </w:p>
    <w:p>
      <w:pPr>
        <w:pStyle w:val="ListNumber"/>
        <w:spacing w:line="240" w:lineRule="auto"/>
        <w:ind w:left="720"/>
      </w:pPr>
      <w:r/>
      <w:r>
        <w:t>O pai de Samuel era da tribo de Simeão. Samuel ajudou Moisés a dividir a Terra Prometida (</w:t>
      </w:r>
      <w:hyperlink r:id="rId1099">
        <w:r>
          <w:rPr>
            <w:color w:val="0000EE"/>
            <w:u w:val="single"/>
          </w:rPr>
          <w:t>Nm 34.20</w:t>
        </w:r>
      </w:hyperlink>
      <w:r>
        <w:t>).</w:t>
      </w:r>
    </w:p>
    <w:p>
      <w:pPr>
        <w:pStyle w:val="ListNumber"/>
        <w:spacing w:line="240" w:lineRule="auto"/>
        <w:ind w:left="720"/>
      </w:pPr>
      <w:r/>
      <w:r>
        <w:t>O pai de Pedael era da tribo de Naftali. Pedael também ajudou Moisés a dividir a Terra Prometida (</w:t>
      </w:r>
      <w:hyperlink r:id="rId1100">
        <w:r>
          <w:rPr>
            <w:color w:val="0000EE"/>
            <w:u w:val="single"/>
          </w:rPr>
          <w:t>Nm 34.28</w:t>
        </w:r>
      </w:hyperlink>
      <w:r>
        <w:t>).</w:t>
      </w:r>
    </w:p>
    <w:p>
      <w:pPr>
        <w:pStyle w:val="ListNumber"/>
        <w:spacing w:line="240" w:lineRule="auto"/>
        <w:ind w:left="720"/>
      </w:pPr>
      <w:r/>
      <w:r>
        <w:t>O pai do rei Talmai de Gesur. Talmai deu refúgio a Absalão quando ele fugiu após assassinar Amnom (</w:t>
      </w:r>
      <w:hyperlink r:id="rId1101">
        <w:r>
          <w:rPr>
            <w:color w:val="0000EE"/>
            <w:u w:val="single"/>
          </w:rPr>
          <w:t>2Sm 13.37</w:t>
        </w:r>
      </w:hyperlink>
      <w:r>
        <w:t>).</w:t>
      </w:r>
    </w:p>
    <w:p>
      <w:pPr>
        <w:pStyle w:val="ListNumber"/>
        <w:spacing w:line="240" w:lineRule="auto"/>
        <w:ind w:left="720"/>
      </w:pPr>
      <w:r/>
      <w:r>
        <w:t>Filho de Onri e pai de Utai da tribo de Judá (</w:t>
      </w:r>
      <w:hyperlink r:id="rId1102">
        <w:r>
          <w:rPr>
            <w:color w:val="0000EE"/>
            <w:u w:val="single"/>
          </w:rPr>
          <w:t>1Cr 9.4</w:t>
        </w:r>
      </w:hyperlink>
      <w:r>
        <w:t>).</w:t>
      </w:r>
      <w:r/>
      <w:r/>
    </w:p>
    <w:p>
      <w:r/>
    </w:p>
    <w:p>
      <w:pPr>
        <w:pStyle w:val="Heading2"/>
      </w:pPr>
      <w:r>
        <w:t>Ammi</w:t>
      </w:r>
      <w:r/>
    </w:p>
    <w:p>
      <w:r/>
      <w:r>
        <w:rPr>
          <w:i/>
        </w:rPr>
        <w:t>Ammi</w:t>
      </w:r>
      <w:r>
        <w:t xml:space="preserve"> é uma palavra hebraica que significa "meu povo". No Antigo Testamento, a expressão "povo de Deus" é a maneira mais comum de descrever a nação de Israel. Esta ideia vem da promessa de Deus a Moisés antes de os israelitas saírem do Egito: "Farei com que vocês sejam o meu povo (</w:t>
      </w:r>
      <w:r>
        <w:rPr>
          <w:i/>
        </w:rPr>
        <w:t>‘ammi</w:t>
      </w:r>
      <w:r>
        <w:t>) e eu serei o seu Deus" (</w:t>
      </w:r>
      <w:hyperlink r:id="rId1103">
        <w:r>
          <w:rPr>
            <w:color w:val="0000EE"/>
            <w:u w:val="single"/>
          </w:rPr>
          <w:t>Êx 6.7</w:t>
        </w:r>
      </w:hyperlink>
      <w:r>
        <w:t>, NTLH).</w:t>
      </w:r>
    </w:p>
    <w:p>
      <w:r/>
      <w:r>
        <w:t>Para Israel ser chamado de "meu povo" mostrava quão pessoal era o relacionamento deles com Deus. Isso era diferente de outras nações que adoravam muitos deuses (ídolos).</w:t>
      </w:r>
    </w:p>
    <w:p>
      <w:r/>
      <w:r>
        <w:t xml:space="preserve">A palavra </w:t>
      </w:r>
      <w:r>
        <w:rPr>
          <w:i/>
        </w:rPr>
        <w:t>ammi</w:t>
      </w:r>
      <w:r>
        <w:t xml:space="preserve"> simbolizava o amor de Deus por eles e sua fidelidade às promessas feitas aos seus antepassados (</w:t>
      </w:r>
      <w:hyperlink r:id="rId1104">
        <w:r>
          <w:rPr>
            <w:color w:val="0000EE"/>
            <w:u w:val="single"/>
          </w:rPr>
          <w:t>Dt 4.37</w:t>
        </w:r>
      </w:hyperlink>
      <w:r>
        <w:t xml:space="preserve">; </w:t>
      </w:r>
      <w:hyperlink r:id="rId1105">
        <w:r>
          <w:rPr>
            <w:color w:val="0000EE"/>
            <w:u w:val="single"/>
          </w:rPr>
          <w:t>7.8</w:t>
        </w:r>
      </w:hyperlink>
      <w:r>
        <w:t>). Deus concedeu aos israelitas privilégios especiais ao chamá-los de “meu povo”. No entanto, ele também esperava que fossem fiéis e obedientes. Os israelitas frequentemente falhavam nisso. Os profetas (pessoas que transmitiam as mensagens de Deus) frequentemente lembravam o povo de seu dever para com Deus.</w:t>
      </w:r>
    </w:p>
    <w:p>
      <w:pPr>
        <w:pStyle w:val="Heading3"/>
      </w:pPr>
      <w:r>
        <w:t>Ammi no livro de Oseias.</w:t>
      </w:r>
    </w:p>
    <w:p>
      <w:r/>
      <w:r>
        <w:t>Um exemplo de tal aviso profético é encontrado nos escritos de Oseias. O profeta viu seu próprio casamento com uma esposa infiel como uma imagem do relacionamento de Deus com seu povo. Deus havia se unido a um povo que o abandonou por outros deuses. Os nomes que Oseias deu a seus filhos refletiam a atitude de Deus em relação ao seu povo infiel.</w:t>
      </w:r>
    </w:p>
    <w:p>
      <w:r/>
      <w:r>
        <w:t>O primeiro filho foi chamado de Jezreel (</w:t>
      </w:r>
      <w:hyperlink r:id="rId1106">
        <w:r>
          <w:rPr>
            <w:color w:val="0000EE"/>
            <w:u w:val="single"/>
          </w:rPr>
          <w:t>Os 1.4</w:t>
        </w:r>
      </w:hyperlink>
      <w:r>
        <w:t>). Jezreel significa duas coisas:</w:t>
      </w:r>
    </w:p>
    <w:p>
      <w:pPr>
        <w:pStyle w:val="ListBullet"/>
        <w:spacing w:line="240" w:lineRule="auto"/>
        <w:ind w:left="720"/>
      </w:pPr>
      <w:r/>
      <w:r>
        <w:t>É o nome do lugar onde o Rei Acabe assassinou Nabote (</w:t>
      </w:r>
      <w:hyperlink r:id="rId233">
        <w:r>
          <w:rPr>
            <w:color w:val="0000EE"/>
            <w:u w:val="single"/>
          </w:rPr>
          <w:t>1Rs 21.1–16</w:t>
        </w:r>
      </w:hyperlink>
      <w:r>
        <w:t>). Isso remete a uma experiência terrível na história de Israel.</w:t>
      </w:r>
    </w:p>
    <w:p>
      <w:pPr>
        <w:pStyle w:val="ListBullet"/>
        <w:spacing w:line="240" w:lineRule="auto"/>
        <w:ind w:left="720"/>
      </w:pPr>
      <w:r/>
      <w:r>
        <w:t>O nome também significa "Deus semeia". Esse significado expressa a esperança de Oseias de que o povo de Israel, apesar de todas as suas falhas, em breve retornará a Deus.</w:t>
      </w:r>
    </w:p>
    <w:p>
      <w:r/>
      <w:r>
        <w:t xml:space="preserve">Um segundo filho foi chamado </w:t>
      </w:r>
      <w:r>
        <w:rPr>
          <w:i/>
        </w:rPr>
        <w:t>Lo-Ruama</w:t>
      </w:r>
      <w:r>
        <w:t>, que significa "Não-Amada" (</w:t>
      </w:r>
      <w:hyperlink r:id="rId1107">
        <w:r>
          <w:rPr>
            <w:color w:val="0000EE"/>
            <w:u w:val="single"/>
          </w:rPr>
          <w:t>Os 1.6</w:t>
        </w:r>
      </w:hyperlink>
      <w:r>
        <w:t>). Esse nome expressava a indignação de Deus pela desobediência e seu desejo de se afastar de um povo não arrependido.</w:t>
      </w:r>
    </w:p>
    <w:p>
      <w:r/>
      <w:r>
        <w:t xml:space="preserve">O terceiro filho de Oseias foi chamado de </w:t>
      </w:r>
      <w:r>
        <w:rPr>
          <w:i/>
        </w:rPr>
        <w:t>Lo-Ami</w:t>
      </w:r>
      <w:r>
        <w:t>, que significa "Não-Meu-Povo" (</w:t>
      </w:r>
      <w:hyperlink r:id="rId1108">
        <w:r>
          <w:rPr>
            <w:color w:val="0000EE"/>
            <w:u w:val="single"/>
          </w:rPr>
          <w:t>Os 1.9</w:t>
        </w:r>
      </w:hyperlink>
      <w:r>
        <w:t xml:space="preserve">). Esse nome representava a maior tragédia para Israel: o fim da aliança de Deus com eles. Deus estava dizendo a Israel: "Chame-o de </w:t>
      </w:r>
      <w:r>
        <w:rPr>
          <w:i/>
        </w:rPr>
        <w:t>Lo-Ami</w:t>
      </w:r>
      <w:r>
        <w:t>—'Não-Meu-Povo'—pois Israel não é meu povo, e eu não sou o seu Deus" (</w:t>
      </w:r>
      <w:hyperlink r:id="rId1108">
        <w:r>
          <w:rPr>
            <w:color w:val="0000EE"/>
            <w:u w:val="single"/>
          </w:rPr>
          <w:t>Os1.9</w:t>
        </w:r>
      </w:hyperlink>
      <w:r>
        <w:t>).</w:t>
      </w:r>
    </w:p>
    <w:p>
      <w:r/>
      <w:r>
        <w:t>Embora tudo parecesse sem esperança, a profecia de Oseias não terminou em uma nota de desgraça. Pelo contrário, ele previu que Israel se arrependeria. Em resposta, Deus restauraria sua relação de aliança com eles: “E àqueles que chamei de ‘Não são meu povo’, direi, ‘Agora vocês são meu povo.’ Então eles responderão, ‘Você é nosso Deus!’” (</w:t>
      </w:r>
      <w:hyperlink r:id="rId1109">
        <w:r>
          <w:rPr>
            <w:color w:val="0000EE"/>
            <w:u w:val="single"/>
          </w:rPr>
          <w:t>Os 2.23</w:t>
        </w:r>
      </w:hyperlink>
      <w:r>
        <w:t>).</w:t>
      </w:r>
      <w:r/>
      <w:r/>
    </w:p>
    <w:p>
      <w:r/>
    </w:p>
    <w:p>
      <w:pPr>
        <w:pStyle w:val="Heading2"/>
      </w:pPr>
      <w:r>
        <w:t>Amom, Amonitas</w:t>
      </w:r>
      <w:r/>
    </w:p>
    <w:p>
      <w:r/>
      <w:r>
        <w:t>Um povo de descendência semítica habitava uma região fértil a nordeste de Moabe, em Transjordânia, entre os rios Arnom e Jaboque, estendendo-se para o leste até o Deserto Sírio. A principal cidade era Rabá (Rabatá-Amom), conhecida hoje como Amã, a capital da Jordânia.</w:t>
      </w:r>
    </w:p>
    <w:p>
      <w:r/>
      <w:r>
        <w:t>Os amonitas traçaram sua ascendência até a filha mais nova de Ló (</w:t>
      </w:r>
      <w:hyperlink r:id="rId1110">
        <w:r>
          <w:rPr>
            <w:color w:val="0000EE"/>
            <w:u w:val="single"/>
          </w:rPr>
          <w:t>Gn 19.38</w:t>
        </w:r>
      </w:hyperlink>
      <w:r>
        <w:t>). O nome deles em hebraico originalmente significava "filho do meu clã paternal", preservando a lembrança de um clã real e nome pessoal, e sugerindo um parentesco entre os amonitas e os israelitas. O nome ocorreu frequentemente no antigo Oriente Próximo a partir do meio do segundo milênio em diante. Uma forma foi encontrada em inscrições assírias; outras formas são vistas em textos ugaríticos do século XV a.C., nos textos de Mari, nas tábuas de Amarna e nas tábuas de Alalakh.</w:t>
      </w:r>
    </w:p>
    <w:p>
      <w:r/>
      <w:r>
        <w:t>Os amonitas eram um grupo de pessoas que se originou na região sul da Transjordânia por volta do início do segundo milênio a.C. Embora fossem de ascendência mista, sua língua estava intimamente relacionada ao hebraico. A língua amonita era escrita na antiga caligrafia cananeu-fenício, que provavelmente poderia ser lido e entendido pelos israelitas. Os amonitas frequentemente se casavam com hebreus (</w:t>
      </w:r>
      <w:hyperlink r:id="rId1111">
        <w:r>
          <w:rPr>
            <w:color w:val="0000EE"/>
            <w:u w:val="single"/>
          </w:rPr>
          <w:t>1Rs 14.21,31</w:t>
        </w:r>
      </w:hyperlink>
      <w:r>
        <w:t xml:space="preserve">; </w:t>
      </w:r>
      <w:hyperlink r:id="rId1112">
        <w:r>
          <w:rPr>
            <w:color w:val="0000EE"/>
            <w:u w:val="single"/>
          </w:rPr>
          <w:t>2Cr 12.13</w:t>
        </w:r>
      </w:hyperlink>
      <w:r>
        <w:t>), e seus nomes pessoais refletiam influências árabes antigas.</w:t>
      </w:r>
    </w:p>
    <w:p>
      <w:r/>
      <w:r>
        <w:t>Em termos de linguagem, origem étnica e características físicas, os amonitas eram difíceis de distinguir dos amoritas e provavelmente eram intimamente relacionados. Ambos os grupos podem ter entrado na terra aproximadamente na mesma época, pois quando Josué liderou os israelitas em Canaã, tanto o reino amonita quanto o reino amorita de Hesbom já estavam bem estabelecidos.</w:t>
      </w:r>
    </w:p>
    <w:p>
      <w:r/>
      <w:r>
        <w:t>O Antigo Testamento afirma que o território de Amom foi anteriormente ocupado por uma raça de gigantes chamada refains ou zamzummim, sobre os quais quase nada se sabe (</w:t>
      </w:r>
      <w:hyperlink r:id="rId1113">
        <w:r>
          <w:rPr>
            <w:color w:val="0000EE"/>
            <w:u w:val="single"/>
          </w:rPr>
          <w:t>Dt 2.20–21</w:t>
        </w:r>
      </w:hyperlink>
      <w:r>
        <w:t xml:space="preserve">; “Zuzim,” </w:t>
      </w:r>
      <w:hyperlink r:id="rId1114">
        <w:r>
          <w:rPr>
            <w:color w:val="0000EE"/>
            <w:u w:val="single"/>
          </w:rPr>
          <w:t>Gn 14.5</w:t>
        </w:r>
      </w:hyperlink>
      <w:r>
        <w:t>). O Apócrifo de Gênesis, um texto encontrado entre os Rolos do Mar Morto, também menciona os refains como sendo derrotados por uma aliança de quatro reis (</w:t>
      </w:r>
      <w:hyperlink r:id="rId1115">
        <w:r>
          <w:rPr>
            <w:color w:val="0000EE"/>
            <w:u w:val="single"/>
          </w:rPr>
          <w:t>Gn 14.1,5</w:t>
        </w:r>
      </w:hyperlink>
      <w:r>
        <w:t>). A expedição de Quedorlaomer, rei de Elão (</w:t>
      </w:r>
      <w:hyperlink r:id="rId1116">
        <w:r>
          <w:rPr>
            <w:color w:val="0000EE"/>
            <w:u w:val="single"/>
          </w:rPr>
          <w:t>Gn 14</w:t>
        </w:r>
      </w:hyperlink>
      <w:r>
        <w:t>), quebrou o poder desses gigantes e provavelmente facilitou a ocupação da terra por Esaú, Amom e Moabe. Os amonitas conseguiram ocupar a terra mais facilmente após o poder dos gigantes ter sido quebrado pela expedição de Quedorlaomer, rei de Elão. O rei Ogue, que era conhecido pelos amonitas (</w:t>
      </w:r>
      <w:hyperlink r:id="rId1117">
        <w:r>
          <w:rPr>
            <w:color w:val="0000EE"/>
            <w:u w:val="single"/>
          </w:rPr>
          <w:t>Dt 3.11</w:t>
        </w:r>
      </w:hyperlink>
      <w:r>
        <w:t>), era considerado um descendente dos refains e sua cama era reverenciada devido ao seu grande tamanho.</w:t>
      </w:r>
    </w:p>
    <w:p>
      <w:r/>
      <w:r>
        <w:t>Quando os israelitas chegaram a Cades, encontraram o bem-organizado reino de Edom, mas foram recusados a permissão para passar pelo território edomita (</w:t>
      </w:r>
      <w:hyperlink r:id="rId1118">
        <w:r>
          <w:rPr>
            <w:color w:val="0000EE"/>
            <w:u w:val="single"/>
          </w:rPr>
          <w:t>Nm 20.14–21</w:t>
        </w:r>
      </w:hyperlink>
      <w:r>
        <w:t>). Eles viajaram para o norte, para o país dos amonitas, que então estava ocupado pelo rei amorita Seom. Ele também lhes recusou a permissão para passar por sua terra, mas os israelitas o derrotaram em batalha e ocuparam seu país (</w:t>
      </w:r>
      <w:hyperlink r:id="rId1119">
        <w:r>
          <w:rPr>
            <w:color w:val="0000EE"/>
            <w:u w:val="single"/>
          </w:rPr>
          <w:t>Nm 21.21–24</w:t>
        </w:r>
      </w:hyperlink>
      <w:r>
        <w:t>). Eles foram instruídos por Deus através de Moisés a não tentar ocupar o território amonita, pois já havia sido dado aos descendentes de Ló (</w:t>
      </w:r>
      <w:hyperlink r:id="rId1120">
        <w:r>
          <w:rPr>
            <w:color w:val="0000EE"/>
            <w:u w:val="single"/>
          </w:rPr>
          <w:t>Dt 2.19,37</w:t>
        </w:r>
      </w:hyperlink>
      <w:r>
        <w:t>).</w:t>
      </w:r>
    </w:p>
    <w:p>
      <w:r/>
      <w:r>
        <w:t>Continuando para o norte, os israelitas derrotaram o Rei Ogue de Basã (</w:t>
      </w:r>
      <w:hyperlink r:id="rId1121">
        <w:r>
          <w:rPr>
            <w:color w:val="0000EE"/>
            <w:u w:val="single"/>
          </w:rPr>
          <w:t>Dt 3.1–11</w:t>
        </w:r>
      </w:hyperlink>
      <w:r>
        <w:t>), depois desceram para o Vale do Jordão, onde acamparam nas Campinas de Moabe. Lá, Balaque, rei de Moabe, contratou um adivinho, Balaão, para pronunciar uma maldição sobre os israelitas, mas Balaão pronunciou uma bênção a cada vez (</w:t>
      </w:r>
      <w:hyperlink r:id="rId1122">
        <w:r>
          <w:rPr>
            <w:color w:val="0000EE"/>
            <w:u w:val="single"/>
          </w:rPr>
          <w:t>Nm 22–24</w:t>
        </w:r>
      </w:hyperlink>
      <w:r>
        <w:t>). Por apoiar os moabitas em suas ações, os amonitas foram excluídos da congregação do Senhor até a décima geração (</w:t>
      </w:r>
      <w:hyperlink r:id="rId1123">
        <w:r>
          <w:rPr>
            <w:color w:val="0000EE"/>
            <w:u w:val="single"/>
          </w:rPr>
          <w:t>Dt 23.3</w:t>
        </w:r>
      </w:hyperlink>
      <w:r>
        <w:t xml:space="preserve">; </w:t>
      </w:r>
      <w:hyperlink r:id="rId1124">
        <w:r>
          <w:rPr>
            <w:color w:val="0000EE"/>
            <w:u w:val="single"/>
          </w:rPr>
          <w:t>Ne 13.1–2</w:t>
        </w:r>
      </w:hyperlink>
      <w:r>
        <w:t>).</w:t>
      </w:r>
    </w:p>
    <w:p>
      <w:r/>
      <w:r>
        <w:t>As tribos israelitas de Gade, Rúben e a meia-tribo de Manassés foram atraídas para a fértil região de Transjordânia, que havia pertencido aos amorreus e a Basã, e decidiram se estabelecer ali na fronteira amonita (</w:t>
      </w:r>
      <w:hyperlink r:id="rId1125">
        <w:r>
          <w:rPr>
            <w:color w:val="0000EE"/>
            <w:u w:val="single"/>
          </w:rPr>
          <w:t>Nm 32</w:t>
        </w:r>
      </w:hyperlink>
      <w:r>
        <w:t xml:space="preserve">; </w:t>
      </w:r>
      <w:hyperlink r:id="rId1126">
        <w:r>
          <w:rPr>
            <w:color w:val="0000EE"/>
            <w:u w:val="single"/>
          </w:rPr>
          <w:t>Dt 3.16</w:t>
        </w:r>
      </w:hyperlink>
      <w:r>
        <w:t xml:space="preserve">; </w:t>
      </w:r>
      <w:hyperlink r:id="rId1127">
        <w:r>
          <w:rPr>
            <w:color w:val="0000EE"/>
            <w:u w:val="single"/>
          </w:rPr>
          <w:t>Js 13.8–32</w:t>
        </w:r>
      </w:hyperlink>
      <w:r>
        <w:t>). Posteriormente, construíram um altar no rio Jordão, que as outras tribos inicialmente interpretaram como um ato de rebelião, pois parecia que estavam estabelecendo um local de culto rival (</w:t>
      </w:r>
      <w:hyperlink r:id="rId1128">
        <w:r>
          <w:rPr>
            <w:color w:val="0000EE"/>
            <w:u w:val="single"/>
          </w:rPr>
          <w:t>Js 22.10–34</w:t>
        </w:r>
      </w:hyperlink>
      <w:r>
        <w:t>).</w:t>
      </w:r>
    </w:p>
    <w:p>
      <w:r/>
      <w:r>
        <w:t>Antes da conquista israelita de Canaã, os amonitas aparentemente não haviam alcançado o mesmo nível de organização política e vida assentada como os vizinhos moabitas e edomitas. Mesmo até o século VII a.C., a nação era essencialmente nômade. Pouco depois de Israel se estabelecer em Canaã, os amonitas se aliaram aos moabitas e amalequitas quando o rei Eglom de Moabe tentou recuperar o antigo território moabita na extremidade norte do Mar Morto (</w:t>
      </w:r>
      <w:hyperlink r:id="rId1129">
        <w:r>
          <w:rPr>
            <w:color w:val="0000EE"/>
            <w:u w:val="single"/>
          </w:rPr>
          <w:t>Jz 3.12–13</w:t>
        </w:r>
      </w:hyperlink>
      <w:r>
        <w:t>).</w:t>
      </w:r>
    </w:p>
    <w:p>
      <w:r/>
      <w:r>
        <w:t>No final do século XII a.C., os israelitas, já estabelecidos com segurança na terra de Canaã, irritaram Deus ao adorarem as divindades dos sírios, sidônios, moabitas, amonitas e filisteus (</w:t>
      </w:r>
      <w:hyperlink r:id="rId1130">
        <w:r>
          <w:rPr>
            <w:color w:val="0000EE"/>
            <w:u w:val="single"/>
          </w:rPr>
          <w:t>Jz 10.6</w:t>
        </w:r>
      </w:hyperlink>
      <w:r>
        <w:t>). Os amonitas, em sua primeira expansão política registrada, atacaram Israel e conseguiram se estabelecer em Gileade (</w:t>
      </w:r>
      <w:hyperlink r:id="rId1131">
        <w:r>
          <w:rPr>
            <w:color w:val="0000EE"/>
            <w:u w:val="single"/>
          </w:rPr>
          <w:t>Jz 10.7–8</w:t>
        </w:r>
      </w:hyperlink>
      <w:r>
        <w:t>). Eles então cruzaram o Jordão e atacaram as tribos de Judá, Benjamim e Efraim (</w:t>
      </w:r>
      <w:hyperlink r:id="rId1132">
        <w:r>
          <w:rPr>
            <w:color w:val="0000EE"/>
            <w:u w:val="single"/>
          </w:rPr>
          <w:t>Jz 10.9</w:t>
        </w:r>
      </w:hyperlink>
      <w:r>
        <w:t>). Em desespero, os anciãos de Gileade buscaram ajuda de Jefté, um excluído social, mas um líder militar habilidoso (</w:t>
      </w:r>
      <w:hyperlink r:id="rId1133">
        <w:r>
          <w:rPr>
            <w:color w:val="0000EE"/>
            <w:u w:val="single"/>
          </w:rPr>
          <w:t>Jz 11.1–11</w:t>
        </w:r>
      </w:hyperlink>
      <w:r>
        <w:t>). Ele derrotou os amonitas de forma tão decisiva que não foi necessário realizar mais campanhas contra os assentamentos amonitas a oeste do Jordão (</w:t>
      </w:r>
      <w:hyperlink r:id="rId1134">
        <w:r>
          <w:rPr>
            <w:color w:val="0000EE"/>
            <w:u w:val="single"/>
          </w:rPr>
          <w:t>Jz 11.12–33</w:t>
        </w:r>
      </w:hyperlink>
      <w:r>
        <w:t>).</w:t>
      </w:r>
    </w:p>
    <w:p>
      <w:r/>
      <w:r>
        <w:t>Perto do final do século 11, um rei amonita chamado Naás chegou ao poder, determinado a restabelecer o domínio amonita sobre os assentamentos israelitas em Transjordânia. Ele lançou uma campanha militar agressiva por volta de 1020 a.C., que o levou até o norte, em Jabes-Gileade. Os habitantes da cidade estavam dispostos a se render a ele, mas adiaram sua rendição para pedir ajuda a Saul, o recém-consagrado rei israelita. Saul rapidamente organizou um exército e derrotou decisivamente os amonitas (</w:t>
      </w:r>
      <w:hyperlink r:id="rId1135">
        <w:r>
          <w:rPr>
            <w:color w:val="0000EE"/>
            <w:u w:val="single"/>
          </w:rPr>
          <w:t>1Sm 11.1–11</w:t>
        </w:r>
      </w:hyperlink>
      <w:r>
        <w:t>). A vitória garantiu a liberdade do domínio amonita no Vale do Jordão por vários séculos, embora mais tarde em seu reinado Saul tenha sido forçado a lutar em outras batalhas com os inimigos de Israel, incluindo os amonitas (</w:t>
      </w:r>
      <w:hyperlink r:id="rId1045">
        <w:r>
          <w:rPr>
            <w:color w:val="0000EE"/>
            <w:u w:val="single"/>
          </w:rPr>
          <w:t>1Sm 14.47–48</w:t>
        </w:r>
      </w:hyperlink>
      <w:r>
        <w:t>).</w:t>
      </w:r>
    </w:p>
    <w:p>
      <w:r/>
      <w:r>
        <w:t>Quando Davi se tornou rei, ele tomou prata e ouro dos amonitas, filisteus e amalequitas, seja como despojos ou como tributo (</w:t>
      </w:r>
      <w:hyperlink r:id="rId1136">
        <w:r>
          <w:rPr>
            <w:color w:val="0000EE"/>
            <w:u w:val="single"/>
          </w:rPr>
          <w:t>2Sm 8.11–12</w:t>
        </w:r>
      </w:hyperlink>
      <w:r>
        <w:t xml:space="preserve">; </w:t>
      </w:r>
      <w:hyperlink r:id="rId1056">
        <w:r>
          <w:rPr>
            <w:color w:val="0000EE"/>
            <w:u w:val="single"/>
          </w:rPr>
          <w:t>1Cr 18.11</w:t>
        </w:r>
      </w:hyperlink>
      <w:r>
        <w:t>). Logo depois, Davi enviou Joabe à frente de um forte exército para devastar o campo amonita e sitiar a cidade capital de Rabá (</w:t>
      </w:r>
      <w:hyperlink r:id="rId1137">
        <w:r>
          <w:rPr>
            <w:color w:val="0000EE"/>
            <w:u w:val="single"/>
          </w:rPr>
          <w:t>2Sm 11.1</w:t>
        </w:r>
      </w:hyperlink>
      <w:r>
        <w:t xml:space="preserve">; </w:t>
      </w:r>
      <w:hyperlink r:id="rId1138">
        <w:r>
          <w:rPr>
            <w:color w:val="0000EE"/>
            <w:u w:val="single"/>
          </w:rPr>
          <w:t>1Cr 20.2</w:t>
        </w:r>
      </w:hyperlink>
      <w:r>
        <w:t>). O cerco durou muitos meses, mas Joabe enfraqueceu a cidade, e Davi então completou sua captura (</w:t>
      </w:r>
      <w:hyperlink r:id="rId1139">
        <w:r>
          <w:rPr>
            <w:color w:val="0000EE"/>
            <w:u w:val="single"/>
          </w:rPr>
          <w:t>2Sm 12.26–29</w:t>
        </w:r>
      </w:hyperlink>
      <w:r>
        <w:t>). Em uma cerimônia de capitulação, a enorme coroa de ouro do rei amonita foi colocada na cabeça de Davi (</w:t>
      </w:r>
      <w:hyperlink r:id="rId1140">
        <w:r>
          <w:rPr>
            <w:color w:val="0000EE"/>
            <w:u w:val="single"/>
          </w:rPr>
          <w:t>2Sm 12.30</w:t>
        </w:r>
      </w:hyperlink>
      <w:r>
        <w:t xml:space="preserve">; </w:t>
      </w:r>
      <w:hyperlink r:id="rId1141">
        <w:r>
          <w:rPr>
            <w:color w:val="0000EE"/>
            <w:u w:val="single"/>
          </w:rPr>
          <w:t>1Cr 20.1</w:t>
        </w:r>
      </w:hyperlink>
      <w:r>
        <w:t>). A cidade conquistada foi saqueada, e seus habitantes foram escravizados. Outras cidades amonitas foram tomadas, e a nação foi adicionada ao crescente número de estados vassalos de Israel (</w:t>
      </w:r>
      <w:hyperlink r:id="rId1142">
        <w:r>
          <w:rPr>
            <w:color w:val="0000EE"/>
            <w:u w:val="single"/>
          </w:rPr>
          <w:t>2Sm 12.31</w:t>
        </w:r>
      </w:hyperlink>
      <w:r>
        <w:t xml:space="preserve">; </w:t>
      </w:r>
      <w:hyperlink r:id="rId1143">
        <w:r>
          <w:rPr>
            <w:color w:val="0000EE"/>
            <w:u w:val="single"/>
          </w:rPr>
          <w:t>1Cr 20.3</w:t>
        </w:r>
      </w:hyperlink>
      <w:r>
        <w:t>). Davi nomeou um governador sobre os amonitas da família real amonita. Sobi, outro filho de Naás (e portanto irmão de Hanum), tornou-se governante dos amonitas e ajudou Davi durante sua fuga da rebelião de Absalão (</w:t>
      </w:r>
      <w:hyperlink r:id="rId1144">
        <w:r>
          <w:rPr>
            <w:color w:val="0000EE"/>
            <w:u w:val="single"/>
          </w:rPr>
          <w:t>2Sm 17.27</w:t>
        </w:r>
      </w:hyperlink>
      <w:r>
        <w:t>). Um dos melhores guerreiros de Davi era um amonita (</w:t>
      </w:r>
      <w:hyperlink r:id="rId1145">
        <w:r>
          <w:rPr>
            <w:color w:val="0000EE"/>
            <w:u w:val="single"/>
          </w:rPr>
          <w:t>2Sm 23.37</w:t>
        </w:r>
      </w:hyperlink>
      <w:r>
        <w:t>).</w:t>
      </w:r>
    </w:p>
    <w:p>
      <w:r/>
      <w:r>
        <w:t>As relações dos amonitas com Israel permaneceram geralmente pacíficas durante o reinado de Salomão, sucessor de Davi, com os amonitas indubitavelmente compartilhando da prosperidade e riqueza desse período. Após a morte de Salomão, o reino se dividiu sob Roboão e foi ainda mais enfraquecido por uma campanha de Sisaque, rei do Egito, que varreu a Palestina e também o território amonita. Aproveitando a situação, os amonitas declararam sua independência de Israel e Judá. Os amonitas juntaram-se aos moabitas e meunitas para fazer guerra contra o rei Josafá de Judá (reinando de 871–848 a.C.). Com medo, Josafá buscou ajuda de Deus em oração (</w:t>
      </w:r>
      <w:hyperlink r:id="rId1146">
        <w:r>
          <w:rPr>
            <w:color w:val="0000EE"/>
            <w:u w:val="single"/>
          </w:rPr>
          <w:t>2Cr 20.1–12</w:t>
        </w:r>
      </w:hyperlink>
      <w:r>
        <w:t>). Os amonitas e seus aliados começaram a lutar entre si e se destruíram, deixando para trás grandes despojos para Josafá e seu povo—o que levou três dias para ser levado (</w:t>
      </w:r>
      <w:hyperlink r:id="rId1147">
        <w:r>
          <w:rPr>
            <w:color w:val="0000EE"/>
            <w:u w:val="single"/>
          </w:rPr>
          <w:t>2Cr 20.22–25</w:t>
        </w:r>
      </w:hyperlink>
      <w:r>
        <w:t>). Eventualmente, os amonitas se recuperaram, de modo que, no final do século VII a.C., Amom havia se tornado novamente completamente independente e era o estado dominante do sul de Transjordânia. A independência amonita foi curta, no entanto, pois em 599 a.C., de acordo com a Crônica Babilônica, o rei babilônico Nabucodonosor liderou suas tropas para a Síria e começou a invadir o sul da Palestina. Em 593 a.C., os amonitas se reuniram em Jerusalém com o rei Zedequias de Judá e representantes de Edom, Moabe, Tiro e Sidom em uma conspiração para se rebelar contra a Babilônia (</w:t>
      </w:r>
      <w:hyperlink r:id="rId1148">
        <w:r>
          <w:rPr>
            <w:color w:val="0000EE"/>
            <w:u w:val="single"/>
          </w:rPr>
          <w:t>Jr 27.1–3</w:t>
        </w:r>
      </w:hyperlink>
      <w:r>
        <w:t>). O profeta Jeremias os advertiu que Deus faria seu plano falhar (</w:t>
      </w:r>
      <w:hyperlink r:id="rId1149">
        <w:r>
          <w:rPr>
            <w:color w:val="0000EE"/>
            <w:u w:val="single"/>
          </w:rPr>
          <w:t>Jr 27.4–22</w:t>
        </w:r>
      </w:hyperlink>
      <w:r>
        <w:t>). Nabucodonosor enviou um exército para esmagar a rebelião e atacou Jerusalém, que destruiu após um cerco longo e amargo (586 a.C.), deportando muitos judeus para a Babilônia. Amom não foi imediatamente invadida, no entanto, e muitos judeus buscaram refúgio lá (</w:t>
      </w:r>
      <w:hyperlink r:id="rId1150">
        <w:r>
          <w:rPr>
            <w:color w:val="0000EE"/>
            <w:u w:val="single"/>
          </w:rPr>
          <w:t>Jr 40.11</w:t>
        </w:r>
      </w:hyperlink>
      <w:r>
        <w:t>), incluindo um homem chamado Ismael (</w:t>
      </w:r>
      <w:hyperlink r:id="rId1151">
        <w:r>
          <w:rPr>
            <w:color w:val="0000EE"/>
            <w:u w:val="single"/>
          </w:rPr>
          <w:t>Jr 40.13–16</w:t>
        </w:r>
      </w:hyperlink>
      <w:r>
        <w:t>). Ismael conspirou com Baalis, rei de Amom, para assassinar Gedalias, a quem Nabucodonosor havia nomeado governador sobre a Judeia, agora reduzida a uma província da Babilônia. Após realizar o assassinato, Ismael fugiu para Amom (</w:t>
      </w:r>
      <w:hyperlink r:id="rId1152">
        <w:r>
          <w:rPr>
            <w:color w:val="0000EE"/>
            <w:u w:val="single"/>
          </w:rPr>
          <w:t>Jr 41.1–15</w:t>
        </w:r>
      </w:hyperlink>
      <w:r>
        <w:t>). Nabucodonosor então enviou tropas que saquearam Rabá e capturaram muitos dos amonitas. Embora a cidade não tenha sido destruída, a destruição do campo foi completa. No terceiro século a.C., invasores árabes invadiram e destruíram a estrutura política organizada restante, marcando assim o fim de Amom como um estado semi-independente.</w:t>
      </w:r>
      <w:r/>
      <w:r/>
    </w:p>
    <w:p>
      <w:r/>
    </w:p>
    <w:p>
      <w:pPr>
        <w:pStyle w:val="Heading2"/>
      </w:pPr>
      <w:r>
        <w:t>Amor</w:t>
      </w:r>
      <w:r/>
    </w:p>
    <w:p>
      <w:r/>
      <w:r>
        <w:t>Virtude proeminente na teologia e ética cristãs. Portanto, é importante entender claramente este termo extremamente importante.</w:t>
      </w:r>
    </w:p>
    <w:p>
      <w:pPr>
        <w:pStyle w:val="Heading3"/>
      </w:pPr>
      <w:r>
        <w:t>No Antigo Testamento</w:t>
      </w:r>
    </w:p>
    <w:p>
      <w:r/>
      <w:r>
        <w:t>O amor sexual (</w:t>
      </w:r>
      <w:r>
        <w:rPr>
          <w:i/>
        </w:rPr>
        <w:t>ahabah</w:t>
      </w:r>
      <w:r>
        <w:t xml:space="preserve"> e </w:t>
      </w:r>
      <w:r>
        <w:rPr>
          <w:i/>
        </w:rPr>
        <w:t>dod</w:t>
      </w:r>
      <w:r>
        <w:t xml:space="preserve">) é mencionado nas histórias de Adão e Eva e de Jacó e Raquel, bem como no livro Cântico dos Cânticos. Uma forma superior de amor, envolvendo lealdade, firmeza e bondade, é expressa pela palavra hebraica </w:t>
      </w:r>
      <w:r>
        <w:rPr>
          <w:i/>
        </w:rPr>
        <w:t>hesed</w:t>
      </w:r>
      <w:r>
        <w:t>, que às vezes é traduzida como “fiel” ou "leal" (</w:t>
      </w:r>
      <w:hyperlink r:id="rId1153">
        <w:r>
          <w:rPr>
            <w:color w:val="0000EE"/>
            <w:u w:val="single"/>
          </w:rPr>
          <w:t>2Sm 22.26</w:t>
        </w:r>
      </w:hyperlink>
      <w:r>
        <w:t>), mas mais frequentemente “amor constante” ou “bondade amorosa”.</w:t>
      </w:r>
    </w:p>
    <w:p>
      <w:r/>
      <w:r>
        <w:t xml:space="preserve">A conotação desta palavra significativa é clara em </w:t>
      </w:r>
      <w:hyperlink r:id="rId1154">
        <w:r>
          <w:rPr>
            <w:color w:val="0000EE"/>
            <w:u w:val="single"/>
          </w:rPr>
          <w:t>Os 2.19–20</w:t>
        </w:r>
      </w:hyperlink>
      <w:r>
        <w:t xml:space="preserve">. “Israel, eu casarei com você, e para sempre você será minha legítima esposa. Eu a tratarei com amor e carinho e serei um marido fiel. Então você se dedicará a mim, o SENHOR”; em </w:t>
      </w:r>
      <w:hyperlink r:id="rId1155">
        <w:r>
          <w:rPr>
            <w:color w:val="0000EE"/>
            <w:u w:val="single"/>
          </w:rPr>
          <w:t>Jó 6.14–15</w:t>
        </w:r>
      </w:hyperlink>
      <w:r>
        <w:t xml:space="preserve">, onde a bondade é comparada à traição; e em </w:t>
      </w:r>
      <w:hyperlink r:id="rId1156">
        <w:r>
          <w:rPr>
            <w:color w:val="0000EE"/>
            <w:u w:val="single"/>
          </w:rPr>
          <w:t>1Sm 20.8</w:t>
        </w:r>
      </w:hyperlink>
      <w:r>
        <w:t xml:space="preserve">, que fala de bondade da aliança. Este inabalável, firme amor de Deus é contrastado com os humores imprevisíveis e caprichosos das divindades pagãs. Hesed não é uma resposta emocional à beleza, mérito ou bondade, mas sim uma atitude moral dedicada ao bem do outro, ainda que seja ou não amável, digno ou responsivo (ver </w:t>
      </w:r>
      <w:hyperlink r:id="rId1157">
        <w:r>
          <w:rPr>
            <w:color w:val="0000EE"/>
            <w:u w:val="single"/>
          </w:rPr>
          <w:t>Dt 7.7–9</w:t>
        </w:r>
      </w:hyperlink>
      <w:r>
        <w:t>).</w:t>
      </w:r>
    </w:p>
    <w:p>
      <w:r/>
      <w:r>
        <w:t>Esta lealdade duradoura, enraizada em um propósito inabalável de bem, poderia ser severa, determinada a disciplinar um povo rebelde, como vários profetas advertiam. Mas o amor de Deus não muda. Através do exílio e fracasso, persistiu com paciência infinita, sem tolerar o mal nem abandonar os malfeitores. Tem dentro de si bondade, ternura e compaixão (</w:t>
      </w:r>
      <w:hyperlink r:id="rId1158">
        <w:r>
          <w:rPr>
            <w:color w:val="0000EE"/>
            <w:u w:val="single"/>
          </w:rPr>
          <w:t>Salmo 86.15</w:t>
        </w:r>
      </w:hyperlink>
      <w:r>
        <w:t xml:space="preserve">; </w:t>
      </w:r>
      <w:hyperlink r:id="rId1159">
        <w:r>
          <w:rPr>
            <w:color w:val="0000EE"/>
            <w:u w:val="single"/>
          </w:rPr>
          <w:t>103.1–18</w:t>
        </w:r>
      </w:hyperlink>
      <w:r>
        <w:t xml:space="preserve">; </w:t>
      </w:r>
      <w:hyperlink r:id="rId1160">
        <w:r>
          <w:rPr>
            <w:color w:val="0000EE"/>
            <w:u w:val="single"/>
          </w:rPr>
          <w:t>136</w:t>
        </w:r>
      </w:hyperlink>
      <w:r>
        <w:t xml:space="preserve">; </w:t>
      </w:r>
      <w:hyperlink r:id="rId1161">
        <w:r>
          <w:rPr>
            <w:color w:val="0000EE"/>
            <w:u w:val="single"/>
          </w:rPr>
          <w:t>Os 11.1–4</w:t>
        </w:r>
      </w:hyperlink>
      <w:r>
        <w:t>), mas sua principal característica é uma obrigação moral aceita pelo bem-estar dos outros.</w:t>
      </w:r>
    </w:p>
    <w:p>
      <w:r/>
      <w:r>
        <w:t>No entanto, a resposta era esperada. A Lei ordenava amor e gratidão de todo o coração pela escolha e redenção de Israel por Deus (</w:t>
      </w:r>
      <w:hyperlink r:id="rId1162">
        <w:r>
          <w:rPr>
            <w:color w:val="0000EE"/>
            <w:u w:val="single"/>
          </w:rPr>
          <w:t>Dt 6.20–25</w:t>
        </w:r>
      </w:hyperlink>
      <w:r>
        <w:t>). Isso deveria ser mostrado na adoração e especialmente no tratamento humano dos pobres, dos indefesos, dos estrangeiros residentes, dos escravos, das viúvas e de todo o sofrimento da opressão e crueldade. Oséias igualmente esperava que o amor constante entre as pessoas resultasse do amor constante de Deus pelas pessoas (</w:t>
      </w:r>
      <w:hyperlink r:id="rId1163">
        <w:r>
          <w:rPr>
            <w:color w:val="0000EE"/>
            <w:u w:val="single"/>
          </w:rPr>
          <w:t>Os 6.6</w:t>
        </w:r>
      </w:hyperlink>
      <w:r>
        <w:t xml:space="preserve">; </w:t>
      </w:r>
      <w:hyperlink r:id="rId1164">
        <w:r>
          <w:rPr>
            <w:color w:val="0000EE"/>
            <w:u w:val="single"/>
          </w:rPr>
          <w:t>7.1–7</w:t>
        </w:r>
      </w:hyperlink>
      <w:r>
        <w:t xml:space="preserve">; </w:t>
      </w:r>
      <w:hyperlink r:id="rId1165">
        <w:r>
          <w:rPr>
            <w:color w:val="0000EE"/>
            <w:u w:val="single"/>
          </w:rPr>
          <w:t>10.12–13</w:t>
        </w:r>
      </w:hyperlink>
      <w:r>
        <w:t>).</w:t>
      </w:r>
    </w:p>
    <w:p>
      <w:r/>
      <w:r>
        <w:t>Amar a Deus e “seu próximo como a si mesmo” (</w:t>
      </w:r>
      <w:hyperlink r:id="rId1166">
        <w:r>
          <w:rPr>
            <w:color w:val="0000EE"/>
            <w:u w:val="single"/>
          </w:rPr>
          <w:t>Lv 19.18</w:t>
        </w:r>
      </w:hyperlink>
      <w:r>
        <w:t>) está assim ligado na lei e profecia de Israel. Embora muitos tipos de amor estejam dentro da perspectiva de todo o AT, esses são os principais pontos: a iniciativa amorosa de Deus, a qualidade moral do amor e o relacionamento próximo entre o amor por Deus com amar os outros.</w:t>
      </w:r>
    </w:p>
    <w:p>
      <w:pPr>
        <w:pStyle w:val="Heading3"/>
      </w:pPr>
      <w:r>
        <w:t>No Novo Testamento</w:t>
      </w:r>
    </w:p>
    <w:p>
      <w:r/>
      <w:r>
        <w:t xml:space="preserve">Das palavras gregas disponíveis para descrever amor, eros (amor sexual) não ocorre no NT. </w:t>
      </w:r>
      <w:r>
        <w:rPr>
          <w:i/>
        </w:rPr>
        <w:t>Fileo</w:t>
      </w:r>
      <w:r>
        <w:t xml:space="preserve">, conotando afeto natural, ocorre cerca de 25 vezes, com philadelphia (amor fraterno) cinco vezes, e filia (amizade) apenas em </w:t>
      </w:r>
      <w:hyperlink r:id="rId468">
        <w:r>
          <w:rPr>
            <w:color w:val="0000EE"/>
            <w:u w:val="single"/>
          </w:rPr>
          <w:t>Tg 4.4</w:t>
        </w:r>
      </w:hyperlink>
      <w:r>
        <w:t xml:space="preserve">. </w:t>
      </w:r>
      <w:r>
        <w:rPr>
          <w:i/>
        </w:rPr>
        <w:t>Storge</w:t>
      </w:r>
      <w:r>
        <w:t xml:space="preserve">, conotando afeto natural entre parentes, aparece ocasionalmente em palavras compostas. De longe, a palavra mais frequente é </w:t>
      </w:r>
      <w:r>
        <w:rPr>
          <w:i/>
        </w:rPr>
        <w:t>ágape</w:t>
      </w:r>
      <w:r>
        <w:t>, geralmente assumida como significando boa vontade moral que procede da estima, princípio ou dever, em vez de atração de charme. Ágape é muito semelhante em significado a hesed em que ambos denotam dedicação. Ágape significa especificamente amar os imerecidos, apesar da decepção e rejeição. A diferença entre ágape e phileo é difícil de sustentar em todas as passagens. Ágape é especialmente apropriada para o amor divino. Ágape foi por muito tempo considerado como um termo cunhado pelos cristãos, mas ocorrências pagãs foram recentemente reivindicadas. O verbo agapao era frequente no AT grego. Embora o Ágape tenha mais a ver com princípio moral do que com inclinação ou gosto, nunca significa a fria bondade religiosa mostrada apenas pelo dever, como provam abundantemente os exemplos das Escrituras.</w:t>
      </w:r>
    </w:p>
    <w:p>
      <w:pPr>
        <w:pStyle w:val="Heading4"/>
      </w:pPr>
      <w:r>
        <w:t>Nos Evangelhos Sinópticos</w:t>
      </w:r>
    </w:p>
    <w:p>
      <w:r/>
      <w:r>
        <w:t>Num mundo pecaminoso e sofredor, o amor divino de Jesus manifestou-se supremamente na compaixão e na cura para os angustiados e na preocupação redentora para com os alienados e os que se desesperavam. Assim, o reino que Cristo proclamou oferecia boas novas aos pobres, cativos, cegos e oprimidos (</w:t>
      </w:r>
      <w:hyperlink r:id="rId1167">
        <w:r>
          <w:rPr>
            <w:color w:val="0000EE"/>
            <w:u w:val="single"/>
          </w:rPr>
          <w:t>Mt 11.2–5</w:t>
        </w:r>
      </w:hyperlink>
      <w:r>
        <w:t xml:space="preserve">; </w:t>
      </w:r>
      <w:hyperlink r:id="rId1168">
        <w:r>
          <w:rPr>
            <w:color w:val="0000EE"/>
            <w:u w:val="single"/>
          </w:rPr>
          <w:t>Lc 4.18</w:t>
        </w:r>
      </w:hyperlink>
      <w:r>
        <w:t>), enquanto a atitude de Jesus em relação aos que foram excluídos, desprezados ou enlutados pelo pecado em algum país distante da alma os assegurava de perdão e um retorno bem-vindo à casa do Pai (</w:t>
      </w:r>
      <w:hyperlink r:id="rId1169">
        <w:r>
          <w:rPr>
            <w:color w:val="0000EE"/>
            <w:u w:val="single"/>
          </w:rPr>
          <w:t>Lc 15</w:t>
        </w:r>
      </w:hyperlink>
      <w:r>
        <w:t>). Tal perdão era livre, sua única condição prévia era a prontidão para recebê-lo em arrependimento e fé.</w:t>
      </w:r>
    </w:p>
    <w:p>
      <w:r/>
      <w:r>
        <w:t>Além disso, as boas novas do amor divino impõem sua própria obrigação: amar a Deus e amar os outros como Deus faz (</w:t>
      </w:r>
      <w:hyperlink r:id="rId1170">
        <w:r>
          <w:rPr>
            <w:color w:val="0000EE"/>
            <w:u w:val="single"/>
          </w:rPr>
          <w:t>Mt 5.44–48</w:t>
        </w:r>
      </w:hyperlink>
      <w:r>
        <w:t>). O primeiro e maior mandamento na lei de Deus é: “Ame o Senhor, seu Deus... E o segundo mais importante é parecido com o primeiro: 'Ame os outros como você ama a você mesmo'. Toda a Lei de Moisés e os ensinamentos dos Profetas se baseiam nesses dois mandamentos” (</w:t>
      </w:r>
      <w:hyperlink r:id="rId1171">
        <w:r>
          <w:rPr>
            <w:color w:val="0000EE"/>
            <w:u w:val="single"/>
          </w:rPr>
          <w:t>Mt 22.35–40</w:t>
        </w:r>
      </w:hyperlink>
      <w:r>
        <w:t xml:space="preserve">; cf. </w:t>
      </w:r>
      <w:hyperlink r:id="rId1166">
        <w:r>
          <w:rPr>
            <w:color w:val="0000EE"/>
            <w:u w:val="single"/>
          </w:rPr>
          <w:t>Lv 19.18</w:t>
        </w:r>
      </w:hyperlink>
      <w:r>
        <w:t xml:space="preserve">; </w:t>
      </w:r>
      <w:hyperlink r:id="rId947">
        <w:r>
          <w:rPr>
            <w:color w:val="0000EE"/>
            <w:u w:val="single"/>
          </w:rPr>
          <w:t>Dt 6.5</w:t>
        </w:r>
      </w:hyperlink>
      <w:r>
        <w:t>).</w:t>
      </w:r>
    </w:p>
    <w:p>
      <w:r/>
      <w:r>
        <w:t>O primeiro mandamento não é idêntico, perdido ou apenas preenchido através do segundo; é separado e primário. O que Jesus quis dizer com amar a Deus é indicado por seus próprios hábitos de adoração pública, oração privada e obediência absoluta. O amor pelo próximo não está definido em lugar algum, mas ilustrado em todos os lugares. Na parábola do bom samaritano, “próximo” é mostrado como alguém perto o suficiente para ajudar, e o amor envolve qualquer serviço que a situação do próximo exija. A parábola das ovelhas e cabras mostra o amor que alimenta os famintos, veste os que estão nus, visita os doentes e os presos. No exemplo incansável de Jesus, o amor cura, ensina, adapta a instrução aos ouvintes através de parábola e linguagem simbólica, defende aqueles que são criticados ou desprezados, pronuncia perdão, conforta os enlutados, faz amizade com os solitários. Devemos amar os outros como ele nos amou e como nós nos amamos. Tal transferência imaginativa de amor-próprio faz o bem sem esperar retorno, nunca retorna tratamento doente, garante a cortesia infalível até mesmo para o mais humilde, sustenta uma compreensão sólida que equilibra o julgamento.</w:t>
      </w:r>
    </w:p>
    <w:p>
      <w:r/>
      <w:r>
        <w:t>Para Jesus, o pecado notável era a falta de amor, a omissão intencional de qualquer bem possível, passando do outro lado enquanto os outros sofrem, ignorando o destituído à porta, retendo o perdão. A falta de amor foi agravada pela autojustiça censura, a insensibilidade religiosa que ignora a angústia dos outros para preservar alguma regulação ritual mesquinha. No final, obediência ou negligência da lei do amor determinará o destino eterno de todos (</w:t>
      </w:r>
      <w:hyperlink r:id="rId1172">
        <w:r>
          <w:rPr>
            <w:color w:val="0000EE"/>
            <w:u w:val="single"/>
          </w:rPr>
          <w:t>Mt 25.31–46</w:t>
        </w:r>
      </w:hyperlink>
      <w:r>
        <w:t>).</w:t>
      </w:r>
    </w:p>
    <w:p>
      <w:pPr>
        <w:pStyle w:val="Heading4"/>
      </w:pPr>
      <w:r>
        <w:t>Nos escritos de Paulo</w:t>
      </w:r>
    </w:p>
    <w:p>
      <w:r/>
      <w:r>
        <w:t>A igreja apostólica rapidamente entendeu o princípio revolucionário de que o amor é suficiente. A declaração de Paulo que o amor preenche toda a lei é quase uma citação de Jesus. Sua exposição de vários mandamentos contra o adultério, matança, roubo e cobiça é resumida em amar, porque o amor não pode fazer nada de errado a um vizinho (</w:t>
      </w:r>
      <w:hyperlink r:id="rId1173">
        <w:r>
          <w:rPr>
            <w:color w:val="0000EE"/>
            <w:u w:val="single"/>
          </w:rPr>
          <w:t>Rm 13.8–10</w:t>
        </w:r>
      </w:hyperlink>
      <w:r>
        <w:t xml:space="preserve">). </w:t>
      </w:r>
      <w:hyperlink r:id="rId1174">
        <w:r>
          <w:rPr>
            <w:color w:val="0000EE"/>
            <w:u w:val="single"/>
          </w:rPr>
          <w:t>Efésios 4.25–5.2</w:t>
        </w:r>
      </w:hyperlink>
      <w:r>
        <w:t xml:space="preserve"> mostra o mesmo ponto de outra maneira: toda amargura, ira, mentira, roubo, calúnia e malícia devem ser substituídas por ternura, perdão e bondade.</w:t>
      </w:r>
    </w:p>
    <w:p>
      <w:r/>
      <w:r>
        <w:t>O amor é, para Paulo, “a lei de Cristo”, supremo e suficiente (</w:t>
      </w:r>
      <w:hyperlink r:id="rId1175">
        <w:r>
          <w:rPr>
            <w:color w:val="0000EE"/>
            <w:u w:val="single"/>
          </w:rPr>
          <w:t>Gl 5.14</w:t>
        </w:r>
      </w:hyperlink>
      <w:r>
        <w:t xml:space="preserve">; </w:t>
      </w:r>
      <w:hyperlink r:id="rId1176">
        <w:r>
          <w:rPr>
            <w:color w:val="0000EE"/>
            <w:u w:val="single"/>
          </w:rPr>
          <w:t>6.2</w:t>
        </w:r>
      </w:hyperlink>
      <w:r>
        <w:t>), e ele define claramente o que por si só “serve” no cristianismo como “a fé opera através do amor” (</w:t>
      </w:r>
      <w:hyperlink r:id="rId1177">
        <w:r>
          <w:rPr>
            <w:color w:val="0000EE"/>
            <w:u w:val="single"/>
          </w:rPr>
          <w:t>5.6</w:t>
        </w:r>
      </w:hyperlink>
      <w:r>
        <w:t>). Ele insiste que a manifestação suprema do Espírito que os cristãos devem cobiçar é “o caminho mais excelente” do amor (</w:t>
      </w:r>
      <w:hyperlink r:id="rId1178">
        <w:r>
          <w:rPr>
            <w:color w:val="0000EE"/>
            <w:u w:val="single"/>
          </w:rPr>
          <w:t>1Co 12.27–13.13</w:t>
        </w:r>
      </w:hyperlink>
      <w:r>
        <w:t xml:space="preserve">; cf. </w:t>
      </w:r>
      <w:hyperlink r:id="rId1179">
        <w:r>
          <w:rPr>
            <w:color w:val="0000EE"/>
            <w:u w:val="single"/>
          </w:rPr>
          <w:t>Rm 5.5</w:t>
        </w:r>
      </w:hyperlink>
      <w:r>
        <w:t xml:space="preserve">; </w:t>
      </w:r>
      <w:hyperlink r:id="rId720">
        <w:r>
          <w:rPr>
            <w:color w:val="0000EE"/>
            <w:u w:val="single"/>
          </w:rPr>
          <w:t>Gl 5.22</w:t>
        </w:r>
      </w:hyperlink>
      <w:r>
        <w:t>). Aqui também, ele contrasta o amor com cinco outras expressões de zelo religioso, muito valorizadas em Corinto, a fim de mostrar que cada uma é sem proveito sem amor (</w:t>
      </w:r>
      <w:hyperlink r:id="rId1180">
        <w:r>
          <w:rPr>
            <w:color w:val="0000EE"/>
            <w:u w:val="single"/>
          </w:rPr>
          <w:t>1Co 13.1–3</w:t>
        </w:r>
      </w:hyperlink>
      <w:r>
        <w:t>). Ele termina o capítulo comparando amor com fé e esperança, os outros elementos duradouros da experiência religiosa, e declara o amor como o maior.</w:t>
      </w:r>
    </w:p>
    <w:p>
      <w:r/>
      <w:r>
        <w:t>A descrição de Paulo de amor em ação inclui liberalidade, atos de misericórdia e hospitalidade; evitar a vingança; simpatia; regozijar-se com os outros; compartilhar de fraqueza, vergonha ou necessidade; restaurar, apoiar e edificar os outros, dando-lhes toda honra, bondade, perdão, encorajamento; restringindo as críticas, até mesmo do faccioso, excessivamente escrupuloso “irmão mais fraco” — a lista é quase infinita. De modo mais geral, o amor é revelado como uma qualidade de atividade, de pensamento e de sofrimento (</w:t>
      </w:r>
      <w:hyperlink r:id="rId1181">
        <w:r>
          <w:rPr>
            <w:color w:val="0000EE"/>
            <w:u w:val="single"/>
          </w:rPr>
          <w:t>1Co 13.4–8</w:t>
        </w:r>
      </w:hyperlink>
      <w:r>
        <w:t>). Em resumo, o amor não faz mal e não omite o bem; é a lei de Deus.</w:t>
      </w:r>
    </w:p>
    <w:p>
      <w:r/>
      <w:r>
        <w:t>De acordo com Paulo, Deus mostrou seu amor por nós de modo que Cristo morreu por nós. Por causa de seu grande amor, ele nos tornou vivos em Cristo; nesse amor vivemos, por ele conquistamos, e dele nada nos separará (</w:t>
      </w:r>
      <w:hyperlink r:id="rId1182">
        <w:r>
          <w:rPr>
            <w:color w:val="0000EE"/>
            <w:u w:val="single"/>
          </w:rPr>
          <w:t>Rm 5.8</w:t>
        </w:r>
      </w:hyperlink>
      <w:r>
        <w:t xml:space="preserve">; </w:t>
      </w:r>
      <w:hyperlink r:id="rId1183">
        <w:r>
          <w:rPr>
            <w:color w:val="0000EE"/>
            <w:u w:val="single"/>
          </w:rPr>
          <w:t>8.32–39</w:t>
        </w:r>
      </w:hyperlink>
      <w:r>
        <w:t xml:space="preserve">; </w:t>
      </w:r>
      <w:hyperlink r:id="rId1184">
        <w:r>
          <w:rPr>
            <w:color w:val="0000EE"/>
            <w:u w:val="single"/>
          </w:rPr>
          <w:t>2Co 13.14</w:t>
        </w:r>
      </w:hyperlink>
      <w:r>
        <w:t xml:space="preserve">; </w:t>
      </w:r>
      <w:hyperlink r:id="rId1185">
        <w:r>
          <w:rPr>
            <w:color w:val="0000EE"/>
            <w:u w:val="single"/>
          </w:rPr>
          <w:t>Ef 2.4</w:t>
        </w:r>
      </w:hyperlink>
      <w:r>
        <w:t xml:space="preserve">; </w:t>
      </w:r>
      <w:hyperlink r:id="rId1186">
        <w:r>
          <w:rPr>
            <w:color w:val="0000EE"/>
            <w:u w:val="single"/>
          </w:rPr>
          <w:t>2Ts 2.16</w:t>
        </w:r>
      </w:hyperlink>
      <w:r>
        <w:t xml:space="preserve">; </w:t>
      </w:r>
      <w:hyperlink r:id="rId1187">
        <w:r>
          <w:rPr>
            <w:color w:val="0000EE"/>
            <w:u w:val="single"/>
          </w:rPr>
          <w:t>Tt 3.4–5</w:t>
        </w:r>
      </w:hyperlink>
      <w:r>
        <w:t>). Nosso amor reflete o amor primeiro “derramado em nossos corações” (</w:t>
      </w:r>
      <w:hyperlink r:id="rId1179">
        <w:r>
          <w:rPr>
            <w:color w:val="0000EE"/>
            <w:u w:val="single"/>
          </w:rPr>
          <w:t>Rm 5.5</w:t>
        </w:r>
      </w:hyperlink>
      <w:r>
        <w:t>), e é dirigido a Cristo (</w:t>
      </w:r>
      <w:hyperlink r:id="rId1188">
        <w:r>
          <w:rPr>
            <w:color w:val="0000EE"/>
            <w:u w:val="single"/>
          </w:rPr>
          <w:t>1Co 7</w:t>
        </w:r>
      </w:hyperlink>
      <w:r>
        <w:t xml:space="preserve">; </w:t>
      </w:r>
      <w:hyperlink r:id="rId1189">
        <w:r>
          <w:rPr>
            <w:color w:val="0000EE"/>
            <w:u w:val="single"/>
          </w:rPr>
          <w:t>16.22</w:t>
        </w:r>
      </w:hyperlink>
      <w:r>
        <w:t xml:space="preserve">; </w:t>
      </w:r>
      <w:hyperlink r:id="rId1190">
        <w:r>
          <w:rPr>
            <w:color w:val="0000EE"/>
            <w:u w:val="single"/>
          </w:rPr>
          <w:t>Ef 6.24</w:t>
        </w:r>
      </w:hyperlink>
      <w:r>
        <w:t>) e aos outros, a quem amamos por ele.</w:t>
      </w:r>
    </w:p>
    <w:p>
      <w:pPr>
        <w:pStyle w:val="Heading4"/>
      </w:pPr>
      <w:r>
        <w:t>Nos escritos de João</w:t>
      </w:r>
    </w:p>
    <w:p>
      <w:r/>
      <w:r>
        <w:t>O que João mais tarde recordou, e refletiu, forma a coroa do ensino bíblico sobre amor. Para João, o amor era o fundamento de tudo o que havia acontecido — “Deus amava o mundo de tal maneira” (</w:t>
      </w:r>
      <w:hyperlink r:id="rId1191">
        <w:r>
          <w:rPr>
            <w:color w:val="0000EE"/>
            <w:u w:val="single"/>
          </w:rPr>
          <w:t>Jo 3.16</w:t>
        </w:r>
      </w:hyperlink>
      <w:r>
        <w:t xml:space="preserve">; </w:t>
      </w:r>
      <w:hyperlink r:id="rId1192">
        <w:r>
          <w:rPr>
            <w:color w:val="0000EE"/>
            <w:u w:val="single"/>
          </w:rPr>
          <w:t>16.27</w:t>
        </w:r>
      </w:hyperlink>
      <w:r>
        <w:t xml:space="preserve">; </w:t>
      </w:r>
      <w:hyperlink r:id="rId1193">
        <w:r>
          <w:rPr>
            <w:color w:val="0000EE"/>
            <w:u w:val="single"/>
          </w:rPr>
          <w:t>17.23</w:t>
        </w:r>
      </w:hyperlink>
      <w:r>
        <w:t>). É assim que conhecemos o amor: Cristo deu sua vida por nós (</w:t>
      </w:r>
      <w:hyperlink r:id="rId1194">
        <w:r>
          <w:rPr>
            <w:color w:val="0000EE"/>
            <w:u w:val="single"/>
          </w:rPr>
          <w:t>1Jo 3.16</w:t>
        </w:r>
      </w:hyperlink>
      <w:r>
        <w:t>). O amor mútuo de Pai, Filho e discípulos deve ser o fato fundamental no cristianismo, porque o próprio Deus é amor (</w:t>
      </w:r>
      <w:hyperlink r:id="rId1195">
        <w:r>
          <w:rPr>
            <w:color w:val="0000EE"/>
            <w:u w:val="single"/>
          </w:rPr>
          <w:t>4.8, 16</w:t>
        </w:r>
      </w:hyperlink>
      <w:r>
        <w:t>).</w:t>
      </w:r>
    </w:p>
    <w:p>
      <w:r/>
      <w:r>
        <w:t>Sabemos disso pela Encarnação e pela cruz (</w:t>
      </w:r>
      <w:hyperlink r:id="rId1196">
        <w:r>
          <w:rPr>
            <w:color w:val="0000EE"/>
            <w:u w:val="single"/>
          </w:rPr>
          <w:t>1Jo 4.9–10</w:t>
        </w:r>
      </w:hyperlink>
      <w:r>
        <w:t>). Assim conhecemos e acreditamos no amor que Deus tem por nós, e esse amor em si é divino (“de Deus”). Segue-se que “aquele que ama é nascido de Deus”. “Aquele que não ama não conhece a Deus”. Tal pessoa “está nas trevas”, “não é de Deus” e “permanece na morte”. Ninguém nunca viu Deus; no entanto, “se amarmos,.. Deus habita em nós” e nós em Deus.</w:t>
      </w:r>
    </w:p>
    <w:p>
      <w:r/>
      <w:r>
        <w:t>O amor de Deus é, portanto, anterior e original; se amamos, é “porque ele primeiro nos amou”. Nosso amor é dirigido primeiro a Deus, e João está buscando excessivamente isso em seus testes desse amor para Deus. Exige que “não amemos o mundo”, que “guardemos a sua palavra [e] os seus mandamentos” e amemos os nossos irmãos e irmãs cristãos. Este mandamento recebemos de Cristo: “Que aquele que ama a Deus ame também a seu irmão”, pois “se Deus nos amava assim, também devemos nos amar uns aos outros”. Doze vezes João enfatizou o dever de lealdade e amor mútuos. De fato, se alguém fechar seu coração contra seu irmão ou irmã, “como o amor de Deus habita nele?”</w:t>
      </w:r>
    </w:p>
    <w:p>
      <w:r/>
      <w:r>
        <w:t>Esta ênfase no amor mútuo entre os cristãos tem sido considerada uma séria limitação do amor que Jesus exigia. “Seu irmão” parece ter substituído “seu vizinho”. A este respeito, o mandamento dado no cenáculo (</w:t>
      </w:r>
      <w:hyperlink r:id="rId1197">
        <w:r>
          <w:rPr>
            <w:color w:val="0000EE"/>
            <w:u w:val="single"/>
          </w:rPr>
          <w:t>Jo 13.34</w:t>
        </w:r>
      </w:hyperlink>
      <w:r>
        <w:t xml:space="preserve">) é “novo” comparado com o que está em </w:t>
      </w:r>
      <w:hyperlink r:id="rId1198">
        <w:r>
          <w:rPr>
            <w:color w:val="0000EE"/>
            <w:u w:val="single"/>
          </w:rPr>
          <w:t>Mateus 22.39</w:t>
        </w:r>
      </w:hyperlink>
      <w:r>
        <w:t xml:space="preserve"> (citando </w:t>
      </w:r>
      <w:hyperlink r:id="rId1166">
        <w:r>
          <w:rPr>
            <w:color w:val="0000EE"/>
            <w:u w:val="single"/>
          </w:rPr>
          <w:t>Lv 19.18</w:t>
        </w:r>
      </w:hyperlink>
      <w:r>
        <w:t>), e as circunstâncias explicam o porquê. A noite em que Jesus foi traído foi sombreada pela hostilidade do mundo ao redor, pela crucificação iminente e pela deserção de Judas. Todo o futuro dependia da lealdade mútua dos 11 discípulos, estando juntos sob pressão social. Na época da carta de João, novas deserções haviam atingido a igreja. Uma perversão do evangelho chamada gnosticismo, essencialmente intelectualista, orgulhosa, “sem dar atenção ao amor” (Inácio), havia atraído líderes e adeptos (</w:t>
      </w:r>
      <w:hyperlink r:id="rId1199">
        <w:r>
          <w:rPr>
            <w:color w:val="0000EE"/>
            <w:u w:val="single"/>
          </w:rPr>
          <w:t>1Jo 2.19, 26</w:t>
        </w:r>
      </w:hyperlink>
      <w:r>
        <w:t>). Mais uma vez a lealdade mútua era muito importante, e João escreveu expressamente para consolidar e manter a comunhão apostólica (</w:t>
      </w:r>
      <w:hyperlink r:id="rId1200">
        <w:r>
          <w:rPr>
            <w:color w:val="0000EE"/>
            <w:u w:val="single"/>
          </w:rPr>
          <w:t>1Jo 1.3</w:t>
        </w:r>
      </w:hyperlink>
      <w:r>
        <w:t>).</w:t>
      </w:r>
    </w:p>
    <w:p>
      <w:r/>
      <w:r>
        <w:t xml:space="preserve">No entanto, o amor pelos companheiros cristãos não exclui, mas em vez disso leva a um amor mais amplo (compare </w:t>
      </w:r>
      <w:hyperlink r:id="rId1201">
        <w:r>
          <w:rPr>
            <w:color w:val="0000EE"/>
            <w:u w:val="single"/>
          </w:rPr>
          <w:t>2Pe 1.7</w:t>
        </w:r>
      </w:hyperlink>
      <w:r>
        <w:t>). João insiste que Deus amava o mundo inteiro (</w:t>
      </w:r>
      <w:hyperlink r:id="rId1191">
        <w:r>
          <w:rPr>
            <w:color w:val="0000EE"/>
            <w:u w:val="single"/>
          </w:rPr>
          <w:t>Jo 3.16</w:t>
        </w:r>
      </w:hyperlink>
      <w:r>
        <w:t xml:space="preserve">; </w:t>
      </w:r>
      <w:hyperlink r:id="rId1202">
        <w:r>
          <w:rPr>
            <w:color w:val="0000EE"/>
            <w:u w:val="single"/>
          </w:rPr>
          <w:t>1Jo 2.2</w:t>
        </w:r>
      </w:hyperlink>
      <w:r>
        <w:t xml:space="preserve">; </w:t>
      </w:r>
      <w:hyperlink r:id="rId1203">
        <w:r>
          <w:rPr>
            <w:color w:val="0000EE"/>
            <w:u w:val="single"/>
          </w:rPr>
          <w:t>4.14</w:t>
        </w:r>
      </w:hyperlink>
      <w:r>
        <w:t>). Além disso, se o amor falhar dentro da comunhão cristã, certamente não florescerá além dele, mas desaparecerá em meras palavras (</w:t>
      </w:r>
      <w:hyperlink r:id="rId1204">
        <w:r>
          <w:rPr>
            <w:color w:val="0000EE"/>
            <w:u w:val="single"/>
          </w:rPr>
          <w:t>1Jo 3.18</w:t>
        </w:r>
      </w:hyperlink>
      <w:r>
        <w:t>).</w:t>
      </w:r>
    </w:p>
    <w:p>
      <w:r/>
      <w:r>
        <w:t>Ao contrariar o conceito desamoroso do cristianismo gnóstico, a preocupação de João era com o mandamento básico do amor a Deus e às pessoas como sendo, ao mesmo tempo, o critério e a consumação da verdadeira vida cristã. Ele não detalha, portanto, as múltiplas expressões de amor. Para descrição do amor em ação, sua mente se lembra das palavras de Cristo sobre “guardar os mandamentos” e “dar a vida” em sacrifício (</w:t>
      </w:r>
      <w:hyperlink r:id="rId1205">
        <w:r>
          <w:rPr>
            <w:color w:val="0000EE"/>
            <w:u w:val="single"/>
          </w:rPr>
          <w:t>Jo 15.10, 13</w:t>
        </w:r>
      </w:hyperlink>
      <w:r>
        <w:t xml:space="preserve">; </w:t>
      </w:r>
      <w:hyperlink r:id="rId1194">
        <w:r>
          <w:rPr>
            <w:color w:val="0000EE"/>
            <w:u w:val="single"/>
          </w:rPr>
          <w:t>1Jo 3.16</w:t>
        </w:r>
      </w:hyperlink>
      <w:r>
        <w:t xml:space="preserve">), e ele mencionou especialmente o amor percebendo a necessidade de um irmão, e assim compartilhando os bens deste mundo (v. </w:t>
      </w:r>
      <w:hyperlink r:id="rId1206">
        <w:r>
          <w:rPr>
            <w:color w:val="0000EE"/>
            <w:u w:val="single"/>
          </w:rPr>
          <w:t>17</w:t>
        </w:r>
      </w:hyperlink>
      <w:r>
        <w:t>). Por mais concisas que sejam essas expressões, elas contêm o coração, o cerne do amor cristão. O realismo franco de João em testar todas as alegações religiosas garante que, para ele, o amor não poderia ser um sentimentalismo vago.</w:t>
      </w:r>
    </w:p>
    <w:p>
      <w:r/>
      <w:r>
        <w:t>O ideal cristão só pode ser socialmente realizado dentro de um grupo de discípulos, um reino divino, a família do Pai, a comunhão cristã. Nas Escrituras, o amor não é uma ideia abstrata, concebida para fornecer uma “norma” autoexplicativa e automotivadora para resolver o problema em todas as situações morais. Está enraizada na natureza divina, expressa na vinda e morte de Cristo, experimentada na salvação, e assim acesa dentro dos salvos. Assim, é central, essencial e indispensável ao cristianismo. Porque Deus é amor.</w:t>
      </w:r>
    </w:p>
    <w:p>
      <w:r/>
      <w:r>
        <w:rPr>
          <w:i/>
        </w:rPr>
        <w:t>Ver também</w:t>
      </w:r>
      <w:r>
        <w:t xml:space="preserve"> </w:t>
      </w:r>
      <w:r>
        <w:t>Deus, Ser e Atributos de</w:t>
      </w:r>
      <w:r>
        <w:t xml:space="preserve">; </w:t>
      </w:r>
      <w:r>
        <w:t>Graça</w:t>
      </w:r>
      <w:r>
        <w:t xml:space="preserve">; </w:t>
      </w:r>
      <w:r>
        <w:t>Misericórdia</w:t>
      </w:r>
      <w:r>
        <w:t xml:space="preserve">; </w:t>
      </w:r>
      <w:r>
        <w:t>Ira de Deus</w:t>
      </w:r>
      <w:r>
        <w:t>.</w:t>
      </w:r>
      <w:r/>
      <w:r/>
    </w:p>
    <w:p>
      <w:r/>
    </w:p>
    <w:p>
      <w:pPr>
        <w:pStyle w:val="Heading2"/>
      </w:pPr>
      <w:r>
        <w:t>Amorreus</w:t>
      </w:r>
      <w:r/>
    </w:p>
    <w:p>
      <w:r/>
      <w:r>
        <w:t>Povos semitas encontrados em todo o Crescente Fértil do Oriente Próximo no início do segundo milênio a.C. Os amorreus são mencionados pela primeira vez na Bíblia como descendentes de Canaã em uma lista de povos antigos (</w:t>
      </w:r>
      <w:hyperlink r:id="rId1207">
        <w:r>
          <w:rPr>
            <w:color w:val="0000EE"/>
            <w:u w:val="single"/>
          </w:rPr>
          <w:t>Gn 10.16</w:t>
        </w:r>
      </w:hyperlink>
      <w:r>
        <w:t xml:space="preserve">; cf. </w:t>
      </w:r>
      <w:hyperlink r:id="rId1208">
        <w:r>
          <w:rPr>
            <w:color w:val="0000EE"/>
            <w:u w:val="single"/>
          </w:rPr>
          <w:t>1Cr 1.13–16</w:t>
        </w:r>
      </w:hyperlink>
      <w:r>
        <w:t>). Alguns desses povos nômades parecem ter migrado do Deserto Sírio para a Mesopotâmia, enquanto outros foram para a Palestina.</w:t>
      </w:r>
    </w:p>
    <w:p>
      <w:r/>
      <w:r>
        <w:t xml:space="preserve">Inscrições cuneiformes acadianas mencionam um povo relativamente não civilizado chamado </w:t>
      </w:r>
      <w:r>
        <w:rPr>
          <w:i/>
        </w:rPr>
        <w:t>Amurru</w:t>
      </w:r>
      <w:r>
        <w:t xml:space="preserve"> (tradução do sumério </w:t>
      </w:r>
      <w:r>
        <w:rPr>
          <w:i/>
        </w:rPr>
        <w:t>Mar-tu</w:t>
      </w:r>
      <w:r>
        <w:t>), possivelmente nomeado em homenagem a um deus da tempestade. Eles dominaram os sumérios e, eventualmente, a maior parte da Mesopotâmia. A cidade de Mari, no alto do Rio Eufrates, caiu sob o domínio deles por volta de 2000 a.C.; Eshunna pouco tempo depois; Babilônia por 1830 a.C.; e finalmente Assur por volta de 1750 a.C.</w:t>
      </w:r>
    </w:p>
    <w:p>
      <w:r/>
      <w:r>
        <w:t>Mais a oeste, os amorreus estavam na Palestina e na Síria já no terceiro milênio a.C. Textos egípcios do início do século 19 a.C. mostram que ondas adicionais de nômades amorreus estavam entrando em Canaã naquela época. Muitos de seus nomes são semelhantes aos nomes amorreus da alta Mesopotâmia. De fato, muitos nomes das tábuas de Mari são idênticos ou semelhantes aos nomes nos relatos patriarcais em Gênesis. Pessoas chamadas Jacó, Abraão, Levi e Ismael eram conhecidas em Mari, e nomes semelhantes a Gade e Dã foram encontrados lá. Benjamim era conhecido como o nome de uma tribo. Naor foi encontrado como o nome de uma cidade perto de Harã. Segundo Gênesis, Abraão viveu em Harã muitos anos antes de ir para Canaã. Jacó passou 20 anos lá e casou-se com duas mulheres de Harã.</w:t>
      </w:r>
    </w:p>
    <w:p>
      <w:r/>
      <w:r>
        <w:t>Os amorreus aparecem de forma proeminente no AT como grandes obstáculos para a ocupação de Canaã (a Terra Prometida) pelos israelitas após o Êxodo. Quando chamou Moisés para liderar Israel para fora do Egito, o Senhor falou de Canaã, então ocupada por amorreus e outros, como uma boa terra (</w:t>
      </w:r>
      <w:hyperlink r:id="rId1209">
        <w:r>
          <w:rPr>
            <w:color w:val="0000EE"/>
            <w:u w:val="single"/>
          </w:rPr>
          <w:t>Êx 3.8,17</w:t>
        </w:r>
      </w:hyperlink>
      <w:r>
        <w:t xml:space="preserve">; </w:t>
      </w:r>
      <w:hyperlink r:id="rId1210">
        <w:r>
          <w:rPr>
            <w:color w:val="0000EE"/>
            <w:u w:val="single"/>
          </w:rPr>
          <w:t>13.5</w:t>
        </w:r>
      </w:hyperlink>
      <w:r>
        <w:t>). Quando os israelitas estavam no deserto, Deus prometeu destruir aquelas nações (</w:t>
      </w:r>
      <w:hyperlink r:id="rId1211">
        <w:r>
          <w:rPr>
            <w:color w:val="0000EE"/>
            <w:u w:val="single"/>
          </w:rPr>
          <w:t>Êx 23.23</w:t>
        </w:r>
      </w:hyperlink>
      <w:r>
        <w:t>) e expulsá-las da terra (</w:t>
      </w:r>
      <w:hyperlink r:id="rId1212">
        <w:r>
          <w:rPr>
            <w:color w:val="0000EE"/>
            <w:u w:val="single"/>
          </w:rPr>
          <w:t>Êx 33.2</w:t>
        </w:r>
      </w:hyperlink>
      <w:r>
        <w:t>). O povo hebreu foi avisado para não fazer alianças com nenhum deles, não se casar com eles, nem tolerar sua adoração a ídolos (</w:t>
      </w:r>
      <w:hyperlink r:id="rId1213">
        <w:r>
          <w:rPr>
            <w:color w:val="0000EE"/>
            <w:u w:val="single"/>
          </w:rPr>
          <w:t>Êx 34.11–17</w:t>
        </w:r>
      </w:hyperlink>
      <w:r>
        <w:t>).</w:t>
      </w:r>
    </w:p>
    <w:p>
      <w:r/>
      <w:r>
        <w:t>Os espiões enviados à terra encontraram amalequitas no sul; hititas, jebuseus e amorreus nas montanhas do norte e a oeste do rio Jordão; e cananeus junto ao mar e ao longo do Jordão (</w:t>
      </w:r>
      <w:hyperlink r:id="rId1214">
        <w:r>
          <w:rPr>
            <w:color w:val="0000EE"/>
            <w:u w:val="single"/>
          </w:rPr>
          <w:t>Nm 13.25–29</w:t>
        </w:r>
      </w:hyperlink>
      <w:r>
        <w:t>). Naquela época, havia amorreus a leste do Jordão também (</w:t>
      </w:r>
      <w:hyperlink r:id="rId1215">
        <w:r>
          <w:rPr>
            <w:color w:val="0000EE"/>
            <w:u w:val="single"/>
          </w:rPr>
          <w:t>Nm 21.13</w:t>
        </w:r>
      </w:hyperlink>
      <w:r>
        <w:t>).</w:t>
      </w:r>
    </w:p>
    <w:p>
      <w:r/>
      <w:r>
        <w:t>Deus havia instruído Israel a subir de Horebe e conquistar a montanha dos amorreus no lado oeste do Jordão até o Mar Mediterrâneo (</w:t>
      </w:r>
      <w:hyperlink r:id="rId1216">
        <w:r>
          <w:rPr>
            <w:color w:val="0000EE"/>
            <w:u w:val="single"/>
          </w:rPr>
          <w:t>Dt 1.7</w:t>
        </w:r>
      </w:hyperlink>
      <w:r>
        <w:t>). Quando chegaram a Cades-Barneia, estavam ao pé dessas montanhas (</w:t>
      </w:r>
      <w:hyperlink r:id="rId1217">
        <w:r>
          <w:rPr>
            <w:color w:val="0000EE"/>
            <w:u w:val="single"/>
          </w:rPr>
          <w:t>Dt 1.19–20</w:t>
        </w:r>
      </w:hyperlink>
      <w:r>
        <w:t>). Mas o povo murmurou e reclamou que Deus os havia tirado do Egito apenas para serem massacrados pelos amorreus. A partir dos relatórios dos espiões, imaginaram os amorreus como um povo impressionante, maior e mais alto que os israelitas (</w:t>
      </w:r>
      <w:hyperlink r:id="rId1218">
        <w:r>
          <w:rPr>
            <w:color w:val="0000EE"/>
            <w:u w:val="single"/>
          </w:rPr>
          <w:t>Dt 1.26–28</w:t>
        </w:r>
      </w:hyperlink>
      <w:r>
        <w:t>). A princípio, recusaram-se a confiar em Deus o suficiente para entrar, então Deus lhes disse para se virarem e voltarem para o deserto. Depois mudaram de ideia, teimosamente atacaram os amorreus contra a ordem de Deus, e foram severamente derrotados (</w:t>
      </w:r>
      <w:hyperlink r:id="rId1219">
        <w:r>
          <w:rPr>
            <w:color w:val="0000EE"/>
            <w:u w:val="single"/>
          </w:rPr>
          <w:t>Dt 1.34–44</w:t>
        </w:r>
      </w:hyperlink>
      <w:r>
        <w:t>). Finalmente, após 38 anos adicionais no deserto, os israelitas mais uma vez enfrentaram os amorreus, mas desta vez no lado leste do Mar Morto (</w:t>
      </w:r>
      <w:hyperlink r:id="rId1215">
        <w:r>
          <w:rPr>
            <w:color w:val="0000EE"/>
            <w:u w:val="single"/>
          </w:rPr>
          <w:t>Nm 21.13</w:t>
        </w:r>
      </w:hyperlink>
      <w:r>
        <w:t>). O rei amorreu, Seom, recusou-se a deixá-los passar por sua terra. Os israelitas estavam posicionados no rio Arnom, que deságua no Mar Morto cerca de dois terços do caminho ao longo de sua costa leste.</w:t>
      </w:r>
    </w:p>
    <w:p>
      <w:r/>
      <w:r>
        <w:t>A Transjordânia era controlada por dois reis amorreus, Seom e Ogue. Israel teve que enfrentar Seom primeiro. Sua cidade, Hesbom, ficava a leste do extremo norte do Mar Morto (</w:t>
      </w:r>
      <w:hyperlink r:id="rId1220">
        <w:r>
          <w:rPr>
            <w:color w:val="0000EE"/>
            <w:u w:val="single"/>
          </w:rPr>
          <w:t>Nm 21.21–26</w:t>
        </w:r>
      </w:hyperlink>
      <w:r>
        <w:t>). O próprio Seom havia tomado essa terra dos moabitas. Moisés conhecia a reputação de Seom e citou um poema que se gabava da vitória de Seom sobre Moabe (</w:t>
      </w:r>
      <w:hyperlink r:id="rId1221">
        <w:r>
          <w:rPr>
            <w:color w:val="0000EE"/>
            <w:u w:val="single"/>
          </w:rPr>
          <w:t>Nm 21.27–30</w:t>
        </w:r>
      </w:hyperlink>
      <w:r>
        <w:t>). No entanto, os israelitas derrotaram Seom e devastaram seu reino de Dibom, 6,4 quilômetros ao norte do Arnom, até Medeba, 11 quilômetros ao sul de Hesbom. O rei Ogue, mais ao norte, recebeu o mesmo tratamento (</w:t>
      </w:r>
      <w:hyperlink r:id="rId1222">
        <w:r>
          <w:rPr>
            <w:color w:val="0000EE"/>
            <w:u w:val="single"/>
          </w:rPr>
          <w:t>Nm 21.31–35</w:t>
        </w:r>
      </w:hyperlink>
      <w:r>
        <w:t>). O rei Balaque de Moabe ouviu sobre as vitórias israelitas e ficou apavorado (</w:t>
      </w:r>
      <w:hyperlink r:id="rId1223">
        <w:r>
          <w:rPr>
            <w:color w:val="0000EE"/>
            <w:u w:val="single"/>
          </w:rPr>
          <w:t>Nm 22.2–3</w:t>
        </w:r>
      </w:hyperlink>
      <w:r>
        <w:t>).</w:t>
      </w:r>
    </w:p>
    <w:p>
      <w:r/>
      <w:r>
        <w:t>Moisés lembrou ao povo que, confiando nas promessas de Deus, eles haviam tomado toda a terra dos amorreus a leste do Jordão (</w:t>
      </w:r>
      <w:hyperlink r:id="rId1224">
        <w:r>
          <w:rPr>
            <w:color w:val="0000EE"/>
            <w:u w:val="single"/>
          </w:rPr>
          <w:t>Dt 2.24–3.10</w:t>
        </w:r>
      </w:hyperlink>
      <w:r>
        <w:t>). O território conquistado foi dado às tribos de Gade e Rúben e à meia tribo de Manassés (</w:t>
      </w:r>
      <w:hyperlink r:id="rId1225">
        <w:r>
          <w:rPr>
            <w:color w:val="0000EE"/>
            <w:u w:val="single"/>
          </w:rPr>
          <w:t>Nm 32.33</w:t>
        </w:r>
      </w:hyperlink>
      <w:r>
        <w:t>). Então, 40 anos após o Êxodo começar, Israel estava de pé no lado leste do Jordão, tendo despojado as duas grandes nações dos amorreus ali (</w:t>
      </w:r>
      <w:hyperlink r:id="rId1226">
        <w:r>
          <w:rPr>
            <w:color w:val="0000EE"/>
            <w:u w:val="single"/>
          </w:rPr>
          <w:t>Dt 1.1–4</w:t>
        </w:r>
      </w:hyperlink>
      <w:r>
        <w:t>). Mas havia outros reinos amorreus nas colinas a oeste do Jordão, junto com outras nações (</w:t>
      </w:r>
      <w:hyperlink r:id="rId1227">
        <w:r>
          <w:rPr>
            <w:color w:val="0000EE"/>
            <w:u w:val="single"/>
          </w:rPr>
          <w:t>Dt 7.1–2</w:t>
        </w:r>
      </w:hyperlink>
      <w:r>
        <w:t>). Eles deveriam ser destruídos da mesma forma que Seom e Ogue foram derrotados (</w:t>
      </w:r>
      <w:hyperlink r:id="rId1228">
        <w:r>
          <w:rPr>
            <w:color w:val="0000EE"/>
            <w:u w:val="single"/>
          </w:rPr>
          <w:t>Dt 31.3–6</w:t>
        </w:r>
      </w:hyperlink>
      <w:r>
        <w:t>).</w:t>
      </w:r>
    </w:p>
    <w:p>
      <w:r/>
      <w:r>
        <w:t>A vitória de Israel a leste do Jordão foi tão famosa que Raabe e outros em Jericó, a oeste do Jordão, souberam dela e ficaram com medo (</w:t>
      </w:r>
      <w:hyperlink r:id="rId1229">
        <w:r>
          <w:rPr>
            <w:color w:val="0000EE"/>
            <w:u w:val="single"/>
          </w:rPr>
          <w:t>Js 2.8–11</w:t>
        </w:r>
      </w:hyperlink>
      <w:r>
        <w:t>). Os israelitas cruzaram o Jordão e tomaram Jericó, mas foram derrotados na cidade menor de Ai, na região montanhosa a oeste de Jericó. Eles imediatamente assumiram que seriam exterminados pelos amorreus naquelas colinas (</w:t>
      </w:r>
      <w:hyperlink r:id="rId1230">
        <w:r>
          <w:rPr>
            <w:color w:val="0000EE"/>
            <w:u w:val="single"/>
          </w:rPr>
          <w:t>Js 7.7</w:t>
        </w:r>
      </w:hyperlink>
      <w:r>
        <w:t>).</w:t>
      </w:r>
    </w:p>
    <w:p>
      <w:r/>
      <w:r>
        <w:t>No entanto, os israelitas recuperaram o favor de Deus e derrotaram Ai. Sua vitória impressionou os outros reinos a oeste do Jordão, nas colinas, vales e regiões costeiras até o Líbano, que se aliaram para lutar contra Josué (</w:t>
      </w:r>
      <w:hyperlink r:id="rId1231">
        <w:r>
          <w:rPr>
            <w:color w:val="0000EE"/>
            <w:u w:val="single"/>
          </w:rPr>
          <w:t>Js 9.1–2</w:t>
        </w:r>
      </w:hyperlink>
      <w:r>
        <w:t>). Gibeão, uma cidade dos amorreus a onze quilômetros a sudoeste de Ai, fez paz com Israel, aumentando o medo nos corações dos reis restantes (</w:t>
      </w:r>
      <w:hyperlink r:id="rId1232">
        <w:r>
          <w:rPr>
            <w:color w:val="0000EE"/>
            <w:u w:val="single"/>
          </w:rPr>
          <w:t>Js 10.1–2</w:t>
        </w:r>
      </w:hyperlink>
      <w:r>
        <w:t>). Adoni-Zedeque, rei de Jerusalém, era evidentemente o líder dos reis amorreus a oeste do Jordão (</w:t>
      </w:r>
      <w:hyperlink r:id="rId1233">
        <w:r>
          <w:rPr>
            <w:color w:val="0000EE"/>
            <w:u w:val="single"/>
          </w:rPr>
          <w:t>Js 10.3</w:t>
        </w:r>
      </w:hyperlink>
      <w:r>
        <w:t>). Jerusalém estava a apenas doze quilômetros a sudeste de Gibeão. Adoni-Zedeque convocou os reis de Hebrom, Jarmute, Laquis e Eglom, todos a menos de 80 quilômetros de Jerusalém, para lutar contra Gibeão e Josué (</w:t>
      </w:r>
      <w:hyperlink r:id="rId1234">
        <w:r>
          <w:rPr>
            <w:color w:val="0000EE"/>
            <w:u w:val="single"/>
          </w:rPr>
          <w:t>Js 10.3–5</w:t>
        </w:r>
      </w:hyperlink>
      <w:r>
        <w:t>).</w:t>
      </w:r>
    </w:p>
    <w:p>
      <w:r/>
      <w:r>
        <w:t>Josué veio em defesa de Gibeão e derrotou os amorreus, perseguindo-os para noroeste e sudoeste. O Senhor lutou por Israel, fazendo chover pedras de granizo sobre os amorreus em Azeca, a sudoeste de Gibeão, e fazendo o sol parar para proporcionar um dia de batalha mais longo (</w:t>
      </w:r>
      <w:hyperlink r:id="rId1235">
        <w:r>
          <w:rPr>
            <w:color w:val="0000EE"/>
            <w:u w:val="single"/>
          </w:rPr>
          <w:t>Js 10.6–14</w:t>
        </w:r>
      </w:hyperlink>
      <w:r>
        <w:t>).</w:t>
      </w:r>
    </w:p>
    <w:p>
      <w:r/>
      <w:r>
        <w:t>No extremo norte, Jabim, rei de Hazor, reuniu os cananeus e os amorreus restantes até o norte, no Monte Hermon (</w:t>
      </w:r>
      <w:hyperlink r:id="rId1236">
        <w:r>
          <w:rPr>
            <w:color w:val="0000EE"/>
            <w:u w:val="single"/>
          </w:rPr>
          <w:t>Js 11.1–5</w:t>
        </w:r>
      </w:hyperlink>
      <w:r>
        <w:t>). Mas eles também foram derrotados (</w:t>
      </w:r>
      <w:hyperlink r:id="rId1237">
        <w:r>
          <w:rPr>
            <w:color w:val="0000EE"/>
            <w:u w:val="single"/>
          </w:rPr>
          <w:t>Js 11.10–23</w:t>
        </w:r>
      </w:hyperlink>
      <w:r>
        <w:t>). Perto do fim da vida de Josué, ele lembrou ao povo que foi o Senhor quem lhes deu a terra dos amorreus (</w:t>
      </w:r>
      <w:hyperlink r:id="rId1238">
        <w:r>
          <w:rPr>
            <w:color w:val="0000EE"/>
            <w:u w:val="single"/>
          </w:rPr>
          <w:t>Js 24.1–18</w:t>
        </w:r>
      </w:hyperlink>
      <w:r>
        <w:t>).</w:t>
      </w:r>
    </w:p>
    <w:p>
      <w:r/>
      <w:r>
        <w:t>Após a ocupação de Canaã por Israel, os amorreus ainda presentes na terra perseguiram a tribo de Dã até as montanhas e continuaram a viver perto de Aijalom, a 27 quilômetros a oeste de Jerusalém. Eles ainda mantinham as encostas em direção ao extremo sul do Mar Morto também (</w:t>
      </w:r>
      <w:hyperlink r:id="rId1239">
        <w:r>
          <w:rPr>
            <w:color w:val="0000EE"/>
            <w:u w:val="single"/>
          </w:rPr>
          <w:t>Jz 1.34–36</w:t>
        </w:r>
      </w:hyperlink>
      <w:r>
        <w:t>). No período dos juízes, os amorreus e seus deuses representavam uma ameaça constante ao bem-estar de Israel (</w:t>
      </w:r>
      <w:hyperlink r:id="rId1240">
        <w:r>
          <w:rPr>
            <w:color w:val="0000EE"/>
            <w:u w:val="single"/>
          </w:rPr>
          <w:t>Jz 6.10</w:t>
        </w:r>
      </w:hyperlink>
      <w:r>
        <w:t>).</w:t>
      </w:r>
    </w:p>
    <w:p>
      <w:r/>
      <w:r>
        <w:t>No final do período dos juízes, as relações entre Israel e os amorreus melhoraram (</w:t>
      </w:r>
      <w:hyperlink r:id="rId1241">
        <w:r>
          <w:rPr>
            <w:color w:val="0000EE"/>
            <w:u w:val="single"/>
          </w:rPr>
          <w:t>1Sm 7.14</w:t>
        </w:r>
      </w:hyperlink>
      <w:r>
        <w:t>). Davi continuou a honrar o tratado de Josué com o remanescente amorreu de Gibeão (</w:t>
      </w:r>
      <w:hyperlink r:id="rId1242">
        <w:r>
          <w:rPr>
            <w:color w:val="0000EE"/>
            <w:u w:val="single"/>
          </w:rPr>
          <w:t>2Sm 21.2–6</w:t>
        </w:r>
      </w:hyperlink>
      <w:r>
        <w:t>). Salomão recrutou sua força de trabalho dos amorreus e de outros povos ainda sobreviventes da conquista israelita (</w:t>
      </w:r>
      <w:hyperlink r:id="rId1243">
        <w:r>
          <w:rPr>
            <w:color w:val="0000EE"/>
            <w:u w:val="single"/>
          </w:rPr>
          <w:t>1Rs 9.20–22</w:t>
        </w:r>
      </w:hyperlink>
      <w:r>
        <w:t>).</w:t>
      </w:r>
    </w:p>
    <w:p>
      <w:r/>
      <w:r>
        <w:t>O Antigo Testamento trata a libertação dos amorreus e sua terra nas mãos de Israel como um grande evento comparável ao próprio Êxodo, uma vitória a ser lembrada e celebrada (</w:t>
      </w:r>
      <w:hyperlink r:id="rId1244">
        <w:r>
          <w:rPr>
            <w:color w:val="0000EE"/>
            <w:u w:val="single"/>
          </w:rPr>
          <w:t>Sl 135.9–12</w:t>
        </w:r>
      </w:hyperlink>
      <w:r>
        <w:t xml:space="preserve">, </w:t>
      </w:r>
      <w:hyperlink r:id="rId1245">
        <w:r>
          <w:rPr>
            <w:color w:val="0000EE"/>
            <w:u w:val="single"/>
          </w:rPr>
          <w:t>136.13–26</w:t>
        </w:r>
      </w:hyperlink>
      <w:r>
        <w:t>). Se o povo esquecesse, o Senhor os lembrava através de seus profetas (</w:t>
      </w:r>
      <w:hyperlink r:id="rId1246">
        <w:r>
          <w:rPr>
            <w:color w:val="0000EE"/>
            <w:u w:val="single"/>
          </w:rPr>
          <w:t>Am 2.9–10</w:t>
        </w:r>
      </w:hyperlink>
      <w:r>
        <w:t>). Muito tempo depois de Seom e Ogue terem sido derrotados, a área a leste do Jordão ainda era lembrada como a terra de “Seom, rei dos amorreus” (</w:t>
      </w:r>
      <w:hyperlink r:id="rId1247">
        <w:r>
          <w:rPr>
            <w:color w:val="0000EE"/>
            <w:u w:val="single"/>
          </w:rPr>
          <w:t>1Rs 4.19</w:t>
        </w:r>
      </w:hyperlink>
      <w:r>
        <w:t>). Quando os reis de Israel e Judá começaram a falhar com Deus, a memória dos amorreus forneceu um padrão de comparação do mal. A contínua fascinação dos judeus pela idolatria levou Deus a se dirigir a Jerusalém, representando o povo judeu, através do profeta Ezequiel: “Sua mãe era uma hitita e seu pai um amorreu” (</w:t>
      </w:r>
      <w:hyperlink r:id="rId1248">
        <w:r>
          <w:rPr>
            <w:color w:val="0000EE"/>
            <w:u w:val="single"/>
          </w:rPr>
          <w:t>Ez 16.45</w:t>
        </w:r>
      </w:hyperlink>
      <w:r>
        <w:t>). Na visão bíblica, os amorreus representavam tudo o que é abominável aos olhos de Deus.</w:t>
      </w:r>
      <w:r/>
      <w:r/>
    </w:p>
    <w:p>
      <w:r/>
    </w:p>
    <w:p>
      <w:pPr>
        <w:pStyle w:val="Heading2"/>
      </w:pPr>
      <w:r>
        <w:t>Amós, Livro de</w:t>
      </w:r>
      <w:r/>
    </w:p>
    <w:p>
      <w:r/>
      <w:r>
        <w:t>Escritos do profeta Amós, um dos 12 profetas menores do Antigo Testamento Hebraico. O livro de Amós é chamado de menor apenas porque é relativamente curto. Sua mensagem é tão importante quanto a de qualquer um dos grandes profetas. De fato, Amós tem uma das declarações mais poderosas na Bíblia sobre o julgamento de Deus contra a injustiça, opressão e hipocrisia. O livro consiste principalmente em sermões proféticos pregados por Amós em Betel, santuário real do reino do norte de Israel no século VIII a.C.</w:t>
      </w:r>
    </w:p>
    <w:p>
      <w:r/>
    </w:p>
    <w:p>
      <w:r/>
      <w:r>
        <w:t>Resumo</w:t>
      </w:r>
    </w:p>
    <w:p>
      <w:r/>
      <w:r>
        <w:t>• Autor</w:t>
      </w:r>
    </w:p>
    <w:p>
      <w:r/>
      <w:r>
        <w:t>• Data, Origem e Destino</w:t>
      </w:r>
    </w:p>
    <w:p>
      <w:r/>
      <w:r>
        <w:t>• Contexto</w:t>
      </w:r>
    </w:p>
    <w:p>
      <w:r/>
      <w:r>
        <w:t>• Conteúdo</w:t>
      </w:r>
    </w:p>
    <w:p>
      <w:r/>
      <w:r>
        <w:t>• Significado</w:t>
      </w:r>
    </w:p>
    <w:p>
      <w:pPr>
        <w:pStyle w:val="Heading3"/>
      </w:pPr>
      <w:r>
        <w:t>Autor</w:t>
      </w:r>
    </w:p>
    <w:p>
      <w:r/>
      <w:r>
        <w:t>O pregador dos sermões (ou oráculos) no livro foi, sem dúvida, Amós, um pastor e cultivador (agricultor) de figueiras, da aldeia de Tecoa, ao sul de Jerusalém. Ele recebeu de Deus uma visão de julgamento sobre Israel e foi para o norte, até Betel, logo após a fronteira entre Judá e Israel, para pregar seus sermões. Tudo o que sabemos sobre o profeta está contido na introdução do livro (</w:t>
      </w:r>
      <w:hyperlink r:id="rId1249">
        <w:r>
          <w:rPr>
            <w:color w:val="0000EE"/>
            <w:u w:val="single"/>
          </w:rPr>
          <w:t>1.1–2</w:t>
        </w:r>
      </w:hyperlink>
      <w:r>
        <w:t>) e em uma seção biográfica (</w:t>
      </w:r>
      <w:hyperlink r:id="rId1250">
        <w:r>
          <w:rPr>
            <w:color w:val="0000EE"/>
            <w:u w:val="single"/>
          </w:rPr>
          <w:t>7.10–14</w:t>
        </w:r>
      </w:hyperlink>
      <w:r>
        <w:t>) do livro de Amós, além do que pode ser aprendido sobre ele a partir do estilo e conteúdo do restante do livro.</w:t>
      </w:r>
    </w:p>
    <w:p>
      <w:r/>
      <w:r>
        <w:t>Amós escreveu suas profecias ele mesmo? Embora os estudiosos tenham levantado muitas questões sobre a autoria de Amós, não há razão convincente para considerar o livro como obra de outra pessoa. Alguns sugeriram que os sermões foram transmitidos oralmente por muito tempo antes de serem escritos em sua forma final. O texto hebraico, no entanto, está em muito melhor estado do que se esperaria (se tivesse passado por uma transmissão oral prolongada). As muitas referências em primeira pessoa e o vigor da expressão implicam fortemente que o próprio Amós colocou grande parte de sua profecia por escrito logo após pregá-la em Betel.</w:t>
      </w:r>
    </w:p>
    <w:p>
      <w:r/>
      <w:r>
        <w:t>Outra proposta especulativa é que as visões descritas no livro (</w:t>
      </w:r>
      <w:hyperlink r:id="rId1251">
        <w:r>
          <w:rPr>
            <w:color w:val="0000EE"/>
            <w:u w:val="single"/>
          </w:rPr>
          <w:t>7.1–9</w:t>
        </w:r>
      </w:hyperlink>
      <w:r>
        <w:t xml:space="preserve">; </w:t>
      </w:r>
      <w:hyperlink r:id="rId1252">
        <w:r>
          <w:rPr>
            <w:color w:val="0000EE"/>
            <w:u w:val="single"/>
          </w:rPr>
          <w:t>8.1–3</w:t>
        </w:r>
      </w:hyperlink>
      <w:r>
        <w:t xml:space="preserve">; </w:t>
      </w:r>
      <w:hyperlink r:id="rId1253">
        <w:r>
          <w:rPr>
            <w:color w:val="0000EE"/>
            <w:u w:val="single"/>
          </w:rPr>
          <w:t>9.1–4</w:t>
        </w:r>
      </w:hyperlink>
      <w:r>
        <w:t xml:space="preserve">) foram compiladas por Amós antes de iniciar seu ministério no reino do norte, e os oráculos (caps </w:t>
      </w:r>
      <w:hyperlink r:id="rId1254">
        <w:r>
          <w:rPr>
            <w:color w:val="0000EE"/>
            <w:u w:val="single"/>
          </w:rPr>
          <w:t>1–6</w:t>
        </w:r>
      </w:hyperlink>
      <w:r>
        <w:t>) foram compostos após esse período. As duas seções poderiam ter sido unidas em um único livro muito mais tarde, durante ou após o exílio babilônico, com algumas seções inseridas naquela época. Outras profecias, no entanto, como Ezequiel e Jeremias, contêm tanto seções de oráculo quanto de visão que os estudiosos não tentaram dividir, e as evidências internas não tornam essa divisão necessária com Amós. Ambas as seções contêm preocupações semelhantes; em ambas as visões (</w:t>
      </w:r>
      <w:hyperlink r:id="rId1255">
        <w:r>
          <w:rPr>
            <w:color w:val="0000EE"/>
            <w:u w:val="single"/>
          </w:rPr>
          <w:t>7.1–3</w:t>
        </w:r>
      </w:hyperlink>
      <w:r>
        <w:t>) e os oráculos (</w:t>
      </w:r>
      <w:hyperlink r:id="rId1256">
        <w:r>
          <w:rPr>
            <w:color w:val="0000EE"/>
            <w:u w:val="single"/>
          </w:rPr>
          <w:t>5.1–7</w:t>
        </w:r>
      </w:hyperlink>
      <w:r>
        <w:t>), Amós aparece no papel de intercessor em favor de Israel.</w:t>
      </w:r>
    </w:p>
    <w:p>
      <w:pPr>
        <w:pStyle w:val="Heading3"/>
      </w:pPr>
      <w:r>
        <w:t>Data, Origem e Destino</w:t>
      </w:r>
    </w:p>
    <w:p>
      <w:r/>
      <w:r>
        <w:t>De acordo com a introdução do livro, Amós profetizou durante os reinados de Uzias, rei de Judá, e Jeroboão II, rei de Israel (</w:t>
      </w:r>
      <w:hyperlink r:id="rId1257">
        <w:r>
          <w:rPr>
            <w:color w:val="0000EE"/>
            <w:u w:val="single"/>
          </w:rPr>
          <w:t>1.1</w:t>
        </w:r>
      </w:hyperlink>
      <w:r>
        <w:t>), ou entre 792 e 740 a.C. O conteúdo de sua mensagem se encaixa no que se sabe sobre a situação em Israel naquele período. É difícil ser mais exato sobre o início e o fim do ministério profético de Amós dentro desse período de tempo. A visão veio a ele "dois anos antes do terremoto" (</w:t>
      </w:r>
      <w:hyperlink r:id="rId1257">
        <w:r>
          <w:rPr>
            <w:color w:val="0000EE"/>
            <w:u w:val="single"/>
          </w:rPr>
          <w:t>1.1</w:t>
        </w:r>
      </w:hyperlink>
      <w:r>
        <w:t>), mas outra referência bíblica ao presumivelmente mesmo terremoto o coloca durante os dias do Rei Uzias de Judá (</w:t>
      </w:r>
      <w:hyperlink r:id="rId1258">
        <w:r>
          <w:rPr>
            <w:color w:val="0000EE"/>
            <w:u w:val="single"/>
          </w:rPr>
          <w:t>Zc 14.5</w:t>
        </w:r>
      </w:hyperlink>
      <w:r>
        <w:t>). Escavações arqueológicas em Hazor parecem ter fornecido evidências de um terremoto, datado de aproximadamente 760 a.C. Amós também contém uma referência profética a um eclipse solar (</w:t>
      </w:r>
      <w:hyperlink r:id="rId1259">
        <w:r>
          <w:rPr>
            <w:color w:val="0000EE"/>
            <w:u w:val="single"/>
          </w:rPr>
          <w:t>8.9</w:t>
        </w:r>
      </w:hyperlink>
      <w:r>
        <w:t>); tal eclipse foi calculado para ter ocorrido por volta de 763 a.C. Depois que o rei Uzias foi acometido de lepra, ele viveu em isolamento enquanto Judá estava sob uma co-regência (</w:t>
      </w:r>
      <w:hyperlink r:id="rId1260">
        <w:r>
          <w:rPr>
            <w:color w:val="0000EE"/>
            <w:u w:val="single"/>
          </w:rPr>
          <w:t>2Cr 26.21</w:t>
        </w:r>
      </w:hyperlink>
      <w:r>
        <w:t>). Portanto, a menção de Uzias como rei por Amós (</w:t>
      </w:r>
      <w:hyperlink r:id="rId1257">
        <w:r>
          <w:rPr>
            <w:color w:val="0000EE"/>
            <w:u w:val="single"/>
          </w:rPr>
          <w:t>1.1</w:t>
        </w:r>
      </w:hyperlink>
      <w:r>
        <w:t>) provavelmente estabelece 760 a.C. como a data mais tardia possível para o ministério de Amós.</w:t>
      </w:r>
    </w:p>
    <w:p>
      <w:r/>
      <w:r>
        <w:t>A desgraça que se abateu sobre Israel após a profecia de Amós foi a conquista pelo rei assírio Tiglate-Pileser III (745–727 a.C.). Embora Amós tenha se referido ao cativeiro iminente, ele nunca mencionou a Assíria como o captor, embora tenha dito que o cativeiro levaria Israel a uma terra a leste de Damasco (</w:t>
      </w:r>
      <w:hyperlink r:id="rId1261">
        <w:r>
          <w:rPr>
            <w:color w:val="0000EE"/>
            <w:u w:val="single"/>
          </w:rPr>
          <w:t>5.27</w:t>
        </w:r>
      </w:hyperlink>
      <w:r>
        <w:t>). Provavelmente Amos não estava pensando especificamente no crescente poder da Assíria, mas apenas nas inevitáveis consequências da idolatria e hipocrisia de Israel. Quando todas as evidências são levadas em consideração, parece razoável datar o início das profecias de Amós em Betel por volta de 760 a.C., ou aproximadamente no meio do período durante o qual tanto Uzias quanto Jeroboão II estavam em seus tronos. Não sabemos quanto tempo durou seu ministério; pode ter sido apenas alguns meses.</w:t>
      </w:r>
    </w:p>
    <w:p>
      <w:r/>
      <w:r>
        <w:t>Amós estava cuidando de seus rebanhos nas colinas da Judeia ao sul de Jerusalém quando Deus lhe disse: “Vai e profetize ao meu povo Israel” (</w:t>
      </w:r>
      <w:hyperlink r:id="rId1262">
        <w:r>
          <w:rPr>
            <w:color w:val="0000EE"/>
            <w:u w:val="single"/>
          </w:rPr>
          <w:t>7.15</w:t>
        </w:r>
      </w:hyperlink>
      <w:r>
        <w:t>, ARC). Ele pode ter estado familiarizado com o norte mais urbano de viagens anteriores para vender lã ou frutas, ou a adoração pagã e as injustiças sociais lá podem ter causado um impacto repentino nele após seu chamado para profetizar. De qualquer forma, seus escritos revelam não apenas sua origem rural na Judeia, mas também um conhecimento de primeira mão das condições no reino do norte de Israel. Embora suas profecias fossem direcionadas principalmente a Israel, ele também denunciou o pecado de Judá, prevendo que sua capital, Jerusalém, seria queimada (</w:t>
      </w:r>
      <w:hyperlink r:id="rId1263">
        <w:r>
          <w:rPr>
            <w:color w:val="0000EE"/>
            <w:u w:val="single"/>
          </w:rPr>
          <w:t>2.4–5</w:t>
        </w:r>
      </w:hyperlink>
      <w:r>
        <w:t>). Várias passagens são direcionadas aos habitantes de Samaria, capital de Israel (</w:t>
      </w:r>
      <w:hyperlink r:id="rId1264">
        <w:r>
          <w:rPr>
            <w:color w:val="0000EE"/>
            <w:u w:val="single"/>
          </w:rPr>
          <w:t>4.1,11</w:t>
        </w:r>
      </w:hyperlink>
      <w:r>
        <w:t xml:space="preserve">; </w:t>
      </w:r>
      <w:hyperlink r:id="rId1265">
        <w:r>
          <w:rPr>
            <w:color w:val="0000EE"/>
            <w:u w:val="single"/>
          </w:rPr>
          <w:t>6.1</w:t>
        </w:r>
      </w:hyperlink>
      <w:r>
        <w:t>), com as quais Amós obviamente estava familiarizado. Ele poderia ter viajado para Samaria a partir de Betel, ou poderia ter aprendido sobre suas esplêndidas maravilhas através das vanglórias de seus cidadãos. Ele poderia tê-los abordado diretamente, pois eles vieram da capital para adorar em Betel.</w:t>
      </w:r>
    </w:p>
    <w:p>
      <w:pPr>
        <w:pStyle w:val="Heading3"/>
      </w:pPr>
      <w:r>
        <w:t>Contexto</w:t>
      </w:r>
    </w:p>
    <w:p>
      <w:r/>
      <w:r>
        <w:t>O oitavo século a.C. foi um período crítico na história judaica. Ambos os reinos da nação dividida haviam alcançado níveis de afluência econômica que não foram experimentados desde os dias de Salomão. Ainda assim, a decadência religiosa interna estava minando a força de ambos os reinos, e seu tecido social estava sendo destruído. Uma nova classe rica estava se beneficiando da riqueza da época, ficando cada vez mais rica enquanto os pobres se tornavam mais pobres do que nunca.</w:t>
      </w:r>
    </w:p>
    <w:p>
      <w:r/>
      <w:r>
        <w:t>Em 803 a.C., a conquista de Damasco na Síria pelo rei assírio Adad-nirari III havia silenciado um dos maiores inimigos de Israel. Com os sírios fora de cena, o reino de Israel conseguiu expandir suas fronteiras sob o reinado do Rei Joás (</w:t>
      </w:r>
      <w:hyperlink r:id="rId1266">
        <w:r>
          <w:rPr>
            <w:color w:val="0000EE"/>
            <w:u w:val="single"/>
          </w:rPr>
          <w:t>2Rs 13.25</w:t>
        </w:r>
      </w:hyperlink>
      <w:r>
        <w:t>), e por um tempo até mesmo o impulso do poder assírio para o oeste foi diminuído. Israel e Judá entraram em um período de descanso da guerra constante e voltaram sua atenção para os assuntos internos.</w:t>
      </w:r>
    </w:p>
    <w:p>
      <w:r/>
      <w:r>
        <w:t>O filho de Joás, Jeroboão II, tornou-se rei de Israel em 793 e reinou até 753 a.C. Uzias esteve no trono de Judá de 792 a 740 a.C. Sob esses dois reis, Judá e Israel controlavam um território quase tão grande quanto o império de Salomão havia sido. Sua riqueza havia crescido tanto pela expansão do comércio quanto pelo saque de territórios conquistados.</w:t>
      </w:r>
    </w:p>
    <w:p>
      <w:r/>
      <w:r>
        <w:t>A arqueologia revelou informações sobre a atividade industrial dentro das nações, como uma impressionante indústria de tingimento em Debir. Escavações em Samaria produziram grande quantidade de incrustações de marfim que confirmam a descrição de Amós sobre os ricos na capital (</w:t>
      </w:r>
      <w:hyperlink r:id="rId1267">
        <w:r>
          <w:rPr>
            <w:color w:val="0000EE"/>
            <w:u w:val="single"/>
          </w:rPr>
          <w:t>6.4</w:t>
        </w:r>
      </w:hyperlink>
      <w:r>
        <w:t>). A cidade de Samaria era protegida por uma enorme parede dupla de espessura incomum. Um palácio, provavelmente o de Jeroboão, dominava a cidade com uma torre maciça.</w:t>
      </w:r>
    </w:p>
    <w:p>
      <w:r/>
      <w:r>
        <w:t>O esplendor e a prosperidade da época, no entanto, estavam mascarando a disseminação da decadência interna. A opressão dos pobres por muitos nas classes ricas não só ameaçava a unidade da nação, mas também significava que as leis de Deus estavam sendo violadas. Em suas denúncias sobre o tratamento cruel dos pobres (</w:t>
      </w:r>
      <w:hyperlink r:id="rId1268">
        <w:r>
          <w:rPr>
            <w:color w:val="0000EE"/>
            <w:u w:val="single"/>
          </w:rPr>
          <w:t>5.11–13</w:t>
        </w:r>
      </w:hyperlink>
      <w:r>
        <w:t xml:space="preserve">; </w:t>
      </w:r>
      <w:hyperlink r:id="rId1269">
        <w:r>
          <w:rPr>
            <w:color w:val="0000EE"/>
            <w:u w:val="single"/>
          </w:rPr>
          <w:t>8.4–10</w:t>
        </w:r>
      </w:hyperlink>
      <w:r>
        <w:t>), Amós alertou sobre a punição inevitável por desobedecer às leis de Deus.</w:t>
      </w:r>
    </w:p>
    <w:p>
      <w:r/>
      <w:r>
        <w:t xml:space="preserve">A nação de Israel era culpada de mais do que pecados sociais contra o pacto. Também estava adotando práticas religiosas pagãs. A influência religiosa cananeia se infiltrou no tecido da nação de Israel. A escavação de um armazém do palácio em Samaria descobriu muitos </w:t>
      </w:r>
      <w:r>
        <w:rPr>
          <w:i/>
        </w:rPr>
        <w:t>ostraca</w:t>
      </w:r>
      <w:r>
        <w:t xml:space="preserve"> (pedaços de cerâmica quebrada usados para escrever mensagens curtas, como cartas, recibos, etc.) contendo nomes hebraicos compostos com "Baal", um dos principais deuses da religião cananeia.</w:t>
      </w:r>
    </w:p>
    <w:p>
      <w:r/>
      <w:r>
        <w:t>Apesar da deterioração gradual, o otimismo falso parece ter prevalecido. Amós encontrou pessoas desejando o Dia do Senhor (</w:t>
      </w:r>
      <w:hyperlink r:id="rId1270">
        <w:r>
          <w:rPr>
            <w:color w:val="0000EE"/>
            <w:u w:val="single"/>
          </w:rPr>
          <w:t>5.18</w:t>
        </w:r>
      </w:hyperlink>
      <w:r>
        <w:t>) e procurou corrigir seu mal-entendido: o Dia do Senhor profetizado nas Escrituras seria um tempo de julgamento para todos os pecadores. Um julgamento mais imediato estava por vir, no entanto. A Assíria começou a fortalecer sua posição no mundo e a retomar suas políticas expansionistas. Sob a liderança de Tiglate-Pileser III (745–727 a.C.), a Assíria recuperou uma posição de dominância mundial. Eventualmente, Israel foi atacado por Salmanaser V da Assíria. Logo depois, em 722 a.C., Samaria foi ocupada. Sem dúvida, quando os assírios estavam invadindo Israel, muitas pessoas que haviam ignorado a mensagem de Amós então perceberam que um profeta de Deus havia estado entre eles.</w:t>
      </w:r>
    </w:p>
    <w:p>
      <w:pPr>
        <w:pStyle w:val="Heading3"/>
      </w:pPr>
      <w:r>
        <w:t>Conteúdo</w:t>
      </w:r>
    </w:p>
    <w:p>
      <w:pPr>
        <w:pStyle w:val="Heading4"/>
      </w:pPr>
      <w:r>
        <w:t>Abertura (</w:t>
      </w:r>
      <w:hyperlink r:id="rId1257">
        <w:r>
          <w:rPr>
            <w:color w:val="0000EE"/>
            <w:u w:val="single"/>
          </w:rPr>
          <w:t>1.1</w:t>
        </w:r>
      </w:hyperlink>
      <w:r>
        <w:t>)</w:t>
      </w:r>
    </w:p>
    <w:p>
      <w:r/>
      <w:r>
        <w:t>O profeta se apresenta como um pastor, talvez insinuando que ele quer impedir mais do que apenas ovelhas de se desviarem.</w:t>
      </w:r>
    </w:p>
    <w:p>
      <w:pPr>
        <w:pStyle w:val="Heading4"/>
      </w:pPr>
      <w:r>
        <w:t>Oráculos Proféticos (</w:t>
      </w:r>
      <w:hyperlink r:id="rId1271">
        <w:r>
          <w:rPr>
            <w:color w:val="0000EE"/>
            <w:u w:val="single"/>
          </w:rPr>
          <w:t>1.2–6.14</w:t>
        </w:r>
      </w:hyperlink>
      <w:r>
        <w:t>)</w:t>
      </w:r>
    </w:p>
    <w:p>
      <w:r/>
      <w:r>
        <w:t>Esta seção começa com uma imagem do grande poder de Deus, que age na história para julgar as nações (</w:t>
      </w:r>
      <w:hyperlink r:id="rId1272">
        <w:r>
          <w:rPr>
            <w:color w:val="0000EE"/>
            <w:u w:val="single"/>
          </w:rPr>
          <w:t>1.2</w:t>
        </w:r>
      </w:hyperlink>
      <w:r>
        <w:t>).</w:t>
      </w:r>
    </w:p>
    <w:p>
      <w:r/>
      <w:r>
        <w:t>Julgamento sobre Nações Circunvizinhas (</w:t>
      </w:r>
      <w:hyperlink r:id="rId1273">
        <w:r>
          <w:rPr>
            <w:color w:val="0000EE"/>
            <w:u w:val="single"/>
          </w:rPr>
          <w:t>1.3–2.3</w:t>
        </w:r>
      </w:hyperlink>
      <w:r>
        <w:t>)</w:t>
      </w:r>
    </w:p>
    <w:p>
      <w:r/>
      <w:r>
        <w:t>O profeta fala primeiro contra Damasco, depois segue em frente, pronunciando a condenação sobre vários povos em círculos concêntricos cada vez mais próximos, “focando” em Israel. Pode-se imaginar os cidadãos de Israel aplaudindo o julgamento de Deus sobre outras nações até que, com efeito chocante, Amós acusa Israel de pecados semelhantes.</w:t>
      </w:r>
    </w:p>
    <w:p>
      <w:r/>
      <w:r>
        <w:t>Damasco era a capital da Síria, ao nordeste de Israel, e o centro da influência síria. A Síria maltratou Israel durante o reinado de Hazael em Damasco (842–806 a.C.). Hazael “reduziu” Israel em várias campanhas (</w:t>
      </w:r>
      <w:hyperlink r:id="rId1274">
        <w:r>
          <w:rPr>
            <w:color w:val="0000EE"/>
            <w:u w:val="single"/>
          </w:rPr>
          <w:t>2Rs 10.32–33</w:t>
        </w:r>
      </w:hyperlink>
      <w:r>
        <w:t xml:space="preserve">; </w:t>
      </w:r>
      <w:hyperlink r:id="rId1275">
        <w:r>
          <w:rPr>
            <w:color w:val="0000EE"/>
            <w:u w:val="single"/>
          </w:rPr>
          <w:t>13.3–5,22–24</w:t>
        </w:r>
      </w:hyperlink>
      <w:r>
        <w:t>). Em sua campanha no território de Gileade, os sírios destruíram a maior parte do exército de Israel como se fossem pó em uma eira (</w:t>
      </w:r>
      <w:hyperlink r:id="rId1276">
        <w:r>
          <w:rPr>
            <w:color w:val="0000EE"/>
            <w:u w:val="single"/>
          </w:rPr>
          <w:t>2Rs 13.7</w:t>
        </w:r>
      </w:hyperlink>
      <w:r>
        <w:t>). Portanto, Amós denuncia a Síria por trilhar Gileade como o grão é trilhado com varas de ferro (</w:t>
      </w:r>
      <w:hyperlink r:id="rId1277">
        <w:r>
          <w:rPr>
            <w:color w:val="0000EE"/>
            <w:u w:val="single"/>
          </w:rPr>
          <w:t>Am 1.3</w:t>
        </w:r>
      </w:hyperlink>
      <w:r>
        <w:t>). Ele prevê que a Síria será destruída e seu povo deportado para Kir, que Amós entendeu ser seu local de origem (</w:t>
      </w:r>
      <w:hyperlink r:id="rId1278">
        <w:r>
          <w:rPr>
            <w:color w:val="0000EE"/>
            <w:u w:val="single"/>
          </w:rPr>
          <w:t>9.7</w:t>
        </w:r>
      </w:hyperlink>
      <w:r>
        <w:t xml:space="preserve">). (Para o cumprimento desta profecia, veja </w:t>
      </w:r>
      <w:hyperlink r:id="rId1279">
        <w:r>
          <w:rPr>
            <w:color w:val="0000EE"/>
            <w:u w:val="single"/>
          </w:rPr>
          <w:t>2Rs 16.9</w:t>
        </w:r>
      </w:hyperlink>
      <w:r>
        <w:t>).</w:t>
      </w:r>
    </w:p>
    <w:p>
      <w:r/>
      <w:r>
        <w:t>Amós então se voltou para Gaza, uma cidade filisteia no sudoeste da Palestina. Gaza provavelmente representa os filisteus como um todo, já que três outras de suas cinco principais cidades também são mencionadas (</w:t>
      </w:r>
      <w:hyperlink r:id="rId1280">
        <w:r>
          <w:rPr>
            <w:color w:val="0000EE"/>
            <w:u w:val="single"/>
          </w:rPr>
          <w:t>1.8</w:t>
        </w:r>
      </w:hyperlink>
      <w:r>
        <w:t>). O quinto, Gate, já havia sido conquistado por Hazael (</w:t>
      </w:r>
      <w:hyperlink r:id="rId1281">
        <w:r>
          <w:rPr>
            <w:color w:val="0000EE"/>
            <w:u w:val="single"/>
          </w:rPr>
          <w:t>2Rs 12.17</w:t>
        </w:r>
      </w:hyperlink>
      <w:r>
        <w:t>). Amós denunciou os filisteus pelo que deve ter sido um ataque fronteiriço a Israel, no qual muitos foram levados à escravidão (</w:t>
      </w:r>
      <w:hyperlink r:id="rId1282">
        <w:r>
          <w:rPr>
            <w:color w:val="0000EE"/>
            <w:u w:val="single"/>
          </w:rPr>
          <w:t>1.6</w:t>
        </w:r>
      </w:hyperlink>
      <w:r>
        <w:t>).</w:t>
      </w:r>
    </w:p>
    <w:p>
      <w:r/>
      <w:r>
        <w:t>A cidade fenícia de Tiro é citada em seguida. Tiro estava no Mediterrâneo, ao norte de Israel e sudoeste de Damasco. A destruição de Tiro, assim como das cidades filisteias, é prevista como punição por fazer escravos dos israelitas conquistados.</w:t>
      </w:r>
    </w:p>
    <w:p>
      <w:r/>
      <w:r>
        <w:t>Edom é o próximo, ao sul do Mar Morto. Edom havia assediado os israelitas continuamente e é referido de maneira negativa muitas vezes no AT. Edom é dito ter sido impiedoso com Israel, seu irmão (</w:t>
      </w:r>
      <w:hyperlink r:id="rId1283">
        <w:r>
          <w:rPr>
            <w:color w:val="0000EE"/>
            <w:u w:val="single"/>
          </w:rPr>
          <w:t>1.11</w:t>
        </w:r>
      </w:hyperlink>
      <w:r>
        <w:t>).</w:t>
      </w:r>
    </w:p>
    <w:p>
      <w:r/>
      <w:r>
        <w:t>Amom, logo ao sudeste de Israel, também é julgado. O incidente particularmente violento referido (</w:t>
      </w:r>
      <w:hyperlink r:id="rId1284">
        <w:r>
          <w:rPr>
            <w:color w:val="0000EE"/>
            <w:u w:val="single"/>
          </w:rPr>
          <w:t>1.13</w:t>
        </w:r>
      </w:hyperlink>
      <w:r>
        <w:t>) evidentemente ocorreu em uma de suas muitas tentativas de avançar para o norte, no território israelita de Gileade.</w:t>
      </w:r>
    </w:p>
    <w:p>
      <w:r/>
      <w:r>
        <w:t>Moabe é a última das nações vizinhas a ser denunciada, com referência ao que pode ter sido um incidente bem conhecido de profanação dos mortos (</w:t>
      </w:r>
      <w:hyperlink r:id="rId1285">
        <w:r>
          <w:rPr>
            <w:color w:val="0000EE"/>
            <w:u w:val="single"/>
          </w:rPr>
          <w:t>2.1–3</w:t>
        </w:r>
      </w:hyperlink>
      <w:r>
        <w:t>).</w:t>
      </w:r>
    </w:p>
    <w:p>
      <w:r/>
      <w:r>
        <w:t>Oráculos contra Israel e Judá (</w:t>
      </w:r>
      <w:hyperlink r:id="rId1286">
        <w:r>
          <w:rPr>
            <w:color w:val="0000EE"/>
            <w:u w:val="single"/>
          </w:rPr>
          <w:t>2.4–16</w:t>
        </w:r>
      </w:hyperlink>
      <w:r>
        <w:t>)</w:t>
      </w:r>
    </w:p>
    <w:p>
      <w:r/>
      <w:r>
        <w:t>Embora Judá e Israel estivessem em paz na época, sua inimizade continuou após a dissolução do reino unido. Amós acusa Judá de rejeitar "a lei do Senhor" e prevê a queima de Jerusalém.</w:t>
      </w:r>
    </w:p>
    <w:p>
      <w:r/>
      <w:r>
        <w:t>O oráculo contra Israel é mais longo que os outros. Amós especifica cuidadosamente a natureza social do pecado de Israel, destacando que Israel não é melhor do que as nações vizinhas. Israel merece o mesmo castigo. Assim como algumas nações eram culpadas de levar pessoas à escravidão, Israel está vendendo seus próprios pobres que não podem pagar suas dívidas (</w:t>
      </w:r>
      <w:hyperlink r:id="rId1287">
        <w:r>
          <w:rPr>
            <w:color w:val="0000EE"/>
            <w:u w:val="single"/>
          </w:rPr>
          <w:t>2.6</w:t>
        </w:r>
      </w:hyperlink>
      <w:r>
        <w:t>). Sob a lei mosaica, era ilegal manter durante a noite uma vestimenta dada como garantia de um empréstimo, pois poderia ser a única fonte de calor que o devedor tinha (</w:t>
      </w:r>
      <w:hyperlink r:id="rId1288">
        <w:r>
          <w:rPr>
            <w:color w:val="0000EE"/>
            <w:u w:val="single"/>
          </w:rPr>
          <w:t>Ex 22.26–27</w:t>
        </w:r>
      </w:hyperlink>
      <w:r>
        <w:t>). Pessoas ricas em Israel estavam participando de festas religiosas com roupas "roubadas" dos pobres (</w:t>
      </w:r>
      <w:hyperlink r:id="rId1289">
        <w:r>
          <w:rPr>
            <w:color w:val="0000EE"/>
            <w:u w:val="single"/>
          </w:rPr>
          <w:t>2.8</w:t>
        </w:r>
      </w:hyperlink>
      <w:r>
        <w:t>).</w:t>
      </w:r>
    </w:p>
    <w:p>
      <w:r/>
      <w:r>
        <w:t>Amós lembra Israel de todas as coisas boas que Deus fez por eles (</w:t>
      </w:r>
      <w:hyperlink r:id="rId1290">
        <w:r>
          <w:rPr>
            <w:color w:val="0000EE"/>
            <w:u w:val="single"/>
          </w:rPr>
          <w:t>2.9–11</w:t>
        </w:r>
      </w:hyperlink>
      <w:r>
        <w:t>). Mas porque Israel escolheu continuar na desobediência, a nação não escapará do julgamento iminente (</w:t>
      </w:r>
      <w:hyperlink r:id="rId1291">
        <w:r>
          <w:rPr>
            <w:color w:val="0000EE"/>
            <w:u w:val="single"/>
          </w:rPr>
          <w:t>2.12–16</w:t>
        </w:r>
      </w:hyperlink>
      <w:r>
        <w:t>).</w:t>
      </w:r>
    </w:p>
    <w:p>
      <w:r/>
      <w:r>
        <w:t>Denúncia e Advertência contra Israel (</w:t>
      </w:r>
      <w:hyperlink r:id="rId1292">
        <w:r>
          <w:rPr>
            <w:color w:val="0000EE"/>
            <w:u w:val="single"/>
          </w:rPr>
          <w:t>3.1–6.14</w:t>
        </w:r>
      </w:hyperlink>
      <w:r>
        <w:t>)</w:t>
      </w:r>
    </w:p>
    <w:p>
      <w:r/>
      <w:r>
        <w:t>Amós comprova sua autoridade profética com uma lição sobre causa e efeito (</w:t>
      </w:r>
      <w:hyperlink r:id="rId1293">
        <w:r>
          <w:rPr>
            <w:color w:val="0000EE"/>
            <w:u w:val="single"/>
          </w:rPr>
          <w:t>3.1–8</w:t>
        </w:r>
      </w:hyperlink>
      <w:r>
        <w:t>). Um leão ruge quando tem uma presa, e as pessoas temem quando uma trombeta soa um alarme. Se uma calamidade atinge uma cidade, Deus permitiu isso. Deus, que revela seus segredos aos seus profetas, falou sobre a desgraça de Israel, e Amós deve proclamá-la.</w:t>
      </w:r>
    </w:p>
    <w:p>
      <w:r/>
      <w:r>
        <w:t>Em uma declaração dramática, Amós convoca Egito e Assíria, grandes centros de opressão e crueldade, para testemunhar os crimes de Israel, como se até mesmo eles ficassem espantados com o que veem (</w:t>
      </w:r>
      <w:hyperlink r:id="rId1294">
        <w:r>
          <w:rPr>
            <w:color w:val="0000EE"/>
            <w:u w:val="single"/>
          </w:rPr>
          <w:t>3.9–10</w:t>
        </w:r>
      </w:hyperlink>
      <w:r>
        <w:t>). Apenas um remanescente desgastado sobreviverá ao castigo que está por vir (</w:t>
      </w:r>
      <w:hyperlink r:id="rId1295">
        <w:r>
          <w:rPr>
            <w:color w:val="0000EE"/>
            <w:u w:val="single"/>
          </w:rPr>
          <w:t>3.11–12</w:t>
        </w:r>
      </w:hyperlink>
      <w:r>
        <w:t>). O julgamento cairá sobre objetos que simbolizam a desobediência religiosa de Israel (</w:t>
      </w:r>
      <w:hyperlink r:id="rId1296">
        <w:r>
          <w:rPr>
            <w:color w:val="0000EE"/>
            <w:u w:val="single"/>
          </w:rPr>
          <w:t>3.14</w:t>
        </w:r>
      </w:hyperlink>
      <w:r>
        <w:t>), bem como sobre símbolos da riqueza que afastaram Israel do Senhor (</w:t>
      </w:r>
      <w:hyperlink r:id="rId1297">
        <w:r>
          <w:rPr>
            <w:color w:val="0000EE"/>
            <w:u w:val="single"/>
          </w:rPr>
          <w:t>3.15</w:t>
        </w:r>
      </w:hyperlink>
      <w:r>
        <w:t>).</w:t>
      </w:r>
    </w:p>
    <w:p>
      <w:r/>
      <w:r>
        <w:t>Amós usa uma linguagem forte para denunciar a vida luxuosa e indolente comprada à custa dos pobres (</w:t>
      </w:r>
      <w:hyperlink r:id="rId1298">
        <w:r>
          <w:rPr>
            <w:color w:val="0000EE"/>
            <w:u w:val="single"/>
          </w:rPr>
          <w:t>4.1–3</w:t>
        </w:r>
      </w:hyperlink>
      <w:r>
        <w:t>). Mulheres ricas cujo amor por luxos leva seus maridos a apertar ainda mais os necessitados são chamadas de "vacas gordas" que um dia serão tratadas como gado. Então Amós zomba daqueles que adoram em Betel por seguirem os rituais com o espírito errado (</w:t>
      </w:r>
      <w:hyperlink r:id="rId1299">
        <w:r>
          <w:rPr>
            <w:color w:val="0000EE"/>
            <w:u w:val="single"/>
          </w:rPr>
          <w:t>4.4–5</w:t>
        </w:r>
      </w:hyperlink>
      <w:r>
        <w:t>).</w:t>
      </w:r>
    </w:p>
    <w:p>
      <w:r/>
      <w:r>
        <w:t>No restante do quarto capítulo, Amós relembra incidentes da história de Israel que tinham o objetivo de chamar o povo de volta a Deus: fome, seca, pragas, a destruição de algumas de suas cidades. Ainda assim, eles não se arrependem. “Prepare-se para encontrar o seu Deus!” adverte o profeta, seguindo seu aviso com um hino ao poderoso poder de Deus (</w:t>
      </w:r>
      <w:hyperlink r:id="rId1300">
        <w:r>
          <w:rPr>
            <w:color w:val="0000EE"/>
            <w:u w:val="single"/>
          </w:rPr>
          <w:t>4.6–13</w:t>
        </w:r>
      </w:hyperlink>
      <w:r>
        <w:t>).</w:t>
      </w:r>
    </w:p>
    <w:p>
      <w:r/>
      <w:r>
        <w:t>O quinto capítulo começa na forma de um cântico fúnebre, como se Israel já estivesse praticamente morto (</w:t>
      </w:r>
      <w:hyperlink r:id="rId1301">
        <w:r>
          <w:rPr>
            <w:color w:val="0000EE"/>
            <w:u w:val="single"/>
          </w:rPr>
          <w:t>5.1–2</w:t>
        </w:r>
      </w:hyperlink>
      <w:r>
        <w:t>). Não há ninguém para ajudar Israel, cujos próprios exércitos serão dizimados quando o desastre ocorrer (</w:t>
      </w:r>
      <w:hyperlink r:id="rId1302">
        <w:r>
          <w:rPr>
            <w:color w:val="0000EE"/>
            <w:u w:val="single"/>
          </w:rPr>
          <w:t>5.3</w:t>
        </w:r>
      </w:hyperlink>
      <w:r>
        <w:t>). Claro, Deus está lá para ajudar: “Buscai-me e vivei” (</w:t>
      </w:r>
      <w:hyperlink r:id="rId1303">
        <w:r>
          <w:rPr>
            <w:color w:val="0000EE"/>
            <w:u w:val="single"/>
          </w:rPr>
          <w:t>5.4–6</w:t>
        </w:r>
      </w:hyperlink>
      <w:r>
        <w:t>). A possibilidade de resgate, de "vida", contrasta fortemente com a "morte" da nação retratada anteriormente. Ídolos, como sempre, são uma falsa esperança (</w:t>
      </w:r>
      <w:hyperlink r:id="rId1304">
        <w:r>
          <w:rPr>
            <w:color w:val="0000EE"/>
            <w:u w:val="single"/>
          </w:rPr>
          <w:t>5.5</w:t>
        </w:r>
      </w:hyperlink>
      <w:r>
        <w:t>). O chamado para buscar o Senhor é novamente seguido por um hino ao seu poder (</w:t>
      </w:r>
      <w:hyperlink r:id="rId1305">
        <w:r>
          <w:rPr>
            <w:color w:val="0000EE"/>
            <w:u w:val="single"/>
          </w:rPr>
          <w:t>5.8–9</w:t>
        </w:r>
      </w:hyperlink>
      <w:r>
        <w:t>).</w:t>
      </w:r>
    </w:p>
    <w:p>
      <w:r/>
      <w:r>
        <w:t>Apesar da esperança oferecida a Israel, Amós tem que apresentar um quadro sombrio do que ele vê (</w:t>
      </w:r>
      <w:hyperlink r:id="rId1306">
        <w:r>
          <w:rPr>
            <w:color w:val="0000EE"/>
            <w:u w:val="single"/>
          </w:rPr>
          <w:t>5.10–13</w:t>
        </w:r>
      </w:hyperlink>
      <w:r>
        <w:t>). O sistema judicial é corrupto; impostos e altas taxas de juros (usura) esmagam os pobres. Essas injustiças poderiam ser corrigidas se as pessoas “odiassem o mal e amassem o bem” (</w:t>
      </w:r>
      <w:hyperlink r:id="rId1307">
        <w:r>
          <w:rPr>
            <w:color w:val="0000EE"/>
            <w:u w:val="single"/>
          </w:rPr>
          <w:t>5.15</w:t>
        </w:r>
      </w:hyperlink>
      <w:r>
        <w:t>), mas o julgamento já está a caminho (</w:t>
      </w:r>
      <w:hyperlink r:id="rId1308">
        <w:r>
          <w:rPr>
            <w:color w:val="0000EE"/>
            <w:u w:val="single"/>
          </w:rPr>
          <w:t>5.16–17</w:t>
        </w:r>
      </w:hyperlink>
      <w:r>
        <w:t>).</w:t>
      </w:r>
    </w:p>
    <w:p>
      <w:r/>
      <w:r>
        <w:t>As pessoas estão cheias de hipocrisia, afirmando ansiar pelo Dia do Senhor. Aquele dia será um dia de julgamento sobre seus pecados, diz Amós. Em vez de gestos vazios de ofertas e louvores, Deus quer que a justiça corra como águas, e a retidão como um riacho perene (</w:t>
      </w:r>
      <w:hyperlink r:id="rId1309">
        <w:r>
          <w:rPr>
            <w:color w:val="0000EE"/>
            <w:u w:val="single"/>
          </w:rPr>
          <w:t>5.18–24</w:t>
        </w:r>
      </w:hyperlink>
      <w:r>
        <w:t>). O espírito desobediente deles remonta à época do êxodo do Egito, quando o próprio povo de Deus foi atraído por deuses pagãos. O Senhor Deus dos Exércitos enviará esses falsos deuses para o cativeiro com as pessoas que os seguiram (</w:t>
      </w:r>
      <w:hyperlink r:id="rId1310">
        <w:r>
          <w:rPr>
            <w:color w:val="0000EE"/>
            <w:u w:val="single"/>
          </w:rPr>
          <w:t>5.25–27</w:t>
        </w:r>
      </w:hyperlink>
      <w:r>
        <w:t>).</w:t>
      </w:r>
    </w:p>
    <w:p>
      <w:r/>
      <w:r>
        <w:t>A autossatisfação sentida pelas classes altas em Israel evidentemente se espalhou para Judá, já que Jerusalém, assim como Samaria, recebe algumas palavras duras (</w:t>
      </w:r>
      <w:hyperlink r:id="rId1265">
        <w:r>
          <w:rPr>
            <w:color w:val="0000EE"/>
            <w:u w:val="single"/>
          </w:rPr>
          <w:t>6.1</w:t>
        </w:r>
      </w:hyperlink>
      <w:r>
        <w:t>). Amós diz àqueles que estão relaxando no luxo para dar uma olhada em três reinos vizinhos sobre os quais o julgamento já caiu: Calné, Hamate e Gate. Será que Israel pensa que escapará, já que eles não escaparam? Quando o Dia do Julgamento chegar, os ricos, que foram de "primeira classe", serão os primeiros a ir (</w:t>
      </w:r>
      <w:hyperlink r:id="rId1311">
        <w:r>
          <w:rPr>
            <w:color w:val="0000EE"/>
            <w:u w:val="single"/>
          </w:rPr>
          <w:t>6.2–7</w:t>
        </w:r>
      </w:hyperlink>
      <w:r>
        <w:t>). A destruição deixará poucos sobreviventes, mas eles saberão que o castigo veio de Deus (</w:t>
      </w:r>
      <w:hyperlink r:id="rId1312">
        <w:r>
          <w:rPr>
            <w:color w:val="0000EE"/>
            <w:u w:val="single"/>
          </w:rPr>
          <w:t>6.8–11</w:t>
        </w:r>
      </w:hyperlink>
      <w:r>
        <w:t>). Israel está se comportando de maneira estúpida ao se orgulhar de si mesmos quando na verdade estão tão completamente enganados (</w:t>
      </w:r>
      <w:hyperlink r:id="rId1313">
        <w:r>
          <w:rPr>
            <w:color w:val="0000EE"/>
            <w:u w:val="single"/>
          </w:rPr>
          <w:t>6.12–14</w:t>
        </w:r>
      </w:hyperlink>
      <w:r>
        <w:t>).</w:t>
      </w:r>
    </w:p>
    <w:p>
      <w:pPr>
        <w:pStyle w:val="Heading4"/>
      </w:pPr>
      <w:r>
        <w:t>Visões Proféticas (</w:t>
      </w:r>
      <w:hyperlink r:id="rId1314">
        <w:r>
          <w:rPr>
            <w:color w:val="0000EE"/>
            <w:u w:val="single"/>
          </w:rPr>
          <w:t>7.1–9.10</w:t>
        </w:r>
      </w:hyperlink>
      <w:r>
        <w:t>)</w:t>
      </w:r>
    </w:p>
    <w:p>
      <w:r/>
      <w:r>
        <w:t>Ao descrever três visões que Deus lhe deu, Amós então comunica dramaticamente a revelação de Deus.</w:t>
      </w:r>
    </w:p>
    <w:p>
      <w:r/>
      <w:r>
        <w:t>Destruição de Israel (</w:t>
      </w:r>
      <w:hyperlink r:id="rId1251">
        <w:r>
          <w:rPr>
            <w:color w:val="0000EE"/>
            <w:u w:val="single"/>
          </w:rPr>
          <w:t>7.1–9</w:t>
        </w:r>
      </w:hyperlink>
      <w:r>
        <w:t>)</w:t>
      </w:r>
    </w:p>
    <w:p>
      <w:r/>
      <w:r>
        <w:t>A primeira visão é em três partes. No primeiro, Amós imagina a ameaça de uma praga de gafanhotos na qual sua oração de intercessão faz com que Deus se arrependa e retire a ameaça (</w:t>
      </w:r>
      <w:hyperlink r:id="rId1255">
        <w:r>
          <w:rPr>
            <w:color w:val="0000EE"/>
            <w:u w:val="single"/>
          </w:rPr>
          <w:t>7.1–3</w:t>
        </w:r>
      </w:hyperlink>
      <w:r>
        <w:t>). Então ele vê um fogo devorador, e novamente sua oração evita uma catástrofe (</w:t>
      </w:r>
      <w:hyperlink r:id="rId1315">
        <w:r>
          <w:rPr>
            <w:color w:val="0000EE"/>
            <w:u w:val="single"/>
          </w:rPr>
          <w:t>7.4–6</w:t>
        </w:r>
      </w:hyperlink>
      <w:r>
        <w:t>). Na terceira parte da visão, Amós vê o Senhor em pé junto a um muro e segurando um prumo, implicando que ele tem um padrão para seu povo seguir, um elemento ausente nas duas imagens anteriores. Desta vez, porque as pessoas falharam em corresponder, a catástrofe não pode ser evitada (</w:t>
      </w:r>
      <w:hyperlink r:id="rId1316">
        <w:r>
          <w:rPr>
            <w:color w:val="0000EE"/>
            <w:u w:val="single"/>
          </w:rPr>
          <w:t>7.7–9</w:t>
        </w:r>
      </w:hyperlink>
      <w:r>
        <w:t>).</w:t>
      </w:r>
    </w:p>
    <w:p>
      <w:r/>
      <w:r>
        <w:t>Interlúdio Histórico (</w:t>
      </w:r>
      <w:hyperlink r:id="rId1317">
        <w:r>
          <w:rPr>
            <w:color w:val="0000EE"/>
            <w:u w:val="single"/>
          </w:rPr>
          <w:t>7.10–17</w:t>
        </w:r>
      </w:hyperlink>
      <w:r>
        <w:t>)</w:t>
      </w:r>
    </w:p>
    <w:p>
      <w:r/>
      <w:r>
        <w:t>Neste ponto, Amós encontra Amazias, sacerdote de Betel, porque ele disse que a visão do prumo significa a destruição dos altares de ídolos e templos de Israel e da casa de Jeroboão com a espada. Amazias envia uma mensagem a Jeroboão dizendo que Amós é um traidor e diz a Amós para voltar a Judá. Amós nega qualquer relação com profetas profissionais, depois inclui especificamente a família de Amazias em outra previsão do desastre de Israel.</w:t>
      </w:r>
    </w:p>
    <w:p>
      <w:r/>
      <w:r>
        <w:t>O Fruto Maduro (</w:t>
      </w:r>
      <w:hyperlink r:id="rId1318">
        <w:r>
          <w:rPr>
            <w:color w:val="0000EE"/>
            <w:u w:val="single"/>
          </w:rPr>
          <w:t>8:1–14</w:t>
        </w:r>
      </w:hyperlink>
      <w:r>
        <w:t>)</w:t>
      </w:r>
    </w:p>
    <w:p>
      <w:r/>
      <w:r>
        <w:t>Na segunda visão, Amós é mostrado um cesto de frutas maduras (ou de verão). A palavra hebraica para fruta de verão é quase a mesma que a palavra para "fim", então o trocadilho comunica que a nação está "madura para o castigo". Sua maturidade é realmente podridão moral. Comerciantes gananciosos mal podem esperar pelo fim dos feriados religiosos para que possam enganar os pobres ainda mais, usando pesos falsos, vendendo mercadorias inferiores e executando hipotecas sobre devedores. Quando o cativeiro chegar, suas festividades se transformarão em funerais. Uma fome, não apenas de pão e água, mas das palavras do Senhor, está chegando sobre eles, fazendo até os jovens mais fortes caírem no chão.</w:t>
      </w:r>
    </w:p>
    <w:p>
      <w:r/>
      <w:r>
        <w:t>Destruição do Templo (</w:t>
      </w:r>
      <w:hyperlink r:id="rId1319">
        <w:r>
          <w:rPr>
            <w:color w:val="0000EE"/>
            <w:u w:val="single"/>
          </w:rPr>
          <w:t>9.1–10</w:t>
        </w:r>
      </w:hyperlink>
      <w:r>
        <w:t>)</w:t>
      </w:r>
    </w:p>
    <w:p>
      <w:r/>
      <w:r>
        <w:t>A terceira visão é do Senhor destruindo o santuário em Betel quando está lotado de pessoas engajadas em sua adoração vazia. O lugar onde esperavam encontrar segurança é onde encontram destruição. Aqueles que não estiverem dentro serão destruídos também, não importa para onde tentem fugir. Eles não poderão se esconder de Deus no Sheol ou nas alturas do Carmelo ou nas profundezas do mar (</w:t>
      </w:r>
      <w:hyperlink r:id="rId1253">
        <w:r>
          <w:rPr>
            <w:color w:val="0000EE"/>
            <w:u w:val="single"/>
          </w:rPr>
          <w:t>9.1–4</w:t>
        </w:r>
      </w:hyperlink>
      <w:r>
        <w:t>). Outro hino ao poder de Deus segue a visão (</w:t>
      </w:r>
      <w:hyperlink r:id="rId1320">
        <w:r>
          <w:rPr>
            <w:color w:val="0000EE"/>
            <w:u w:val="single"/>
          </w:rPr>
          <w:t>9.5–6</w:t>
        </w:r>
      </w:hyperlink>
      <w:r>
        <w:t>).</w:t>
      </w:r>
    </w:p>
    <w:p>
      <w:r/>
      <w:r>
        <w:t xml:space="preserve">As palavras finais de denúncia no livro de Amós são encontradas em </w:t>
      </w:r>
      <w:hyperlink r:id="rId1321">
        <w:r>
          <w:rPr>
            <w:color w:val="0000EE"/>
            <w:u w:val="single"/>
          </w:rPr>
          <w:t>9.7–10</w:t>
        </w:r>
      </w:hyperlink>
      <w:r>
        <w:t>, mas são um prelúdio para uma mensagem de esperança. Amós mostra que Israel não é melhor do que qualquer outra nação aos olhos de Deus. Ele não trouxe Israel do Egito? Sim, mas ele também trouxe os filisteus de Caftor e os sírios de Quir. O significado religioso do Êxodo foi perdido por causa do pecado de Israel, então todos, exceto um remanescente fiel, serão perdidos.</w:t>
      </w:r>
    </w:p>
    <w:p>
      <w:r/>
      <w:r>
        <w:t xml:space="preserve">O conceito do remanescente foi importante na pregação profética do século VIII a.C. (cf. </w:t>
      </w:r>
      <w:hyperlink r:id="rId1322">
        <w:r>
          <w:rPr>
            <w:color w:val="0000EE"/>
            <w:u w:val="single"/>
          </w:rPr>
          <w:t>Is 6.12–13</w:t>
        </w:r>
      </w:hyperlink>
      <w:r>
        <w:t xml:space="preserve">; </w:t>
      </w:r>
      <w:hyperlink r:id="rId1323">
        <w:r>
          <w:rPr>
            <w:color w:val="0000EE"/>
            <w:u w:val="single"/>
          </w:rPr>
          <w:t>Mq 6.7–9</w:t>
        </w:r>
      </w:hyperlink>
      <w:r>
        <w:t>). Este conceito lembrava da promessa de Deus de manter a nação de Israel por causa da aliança dada aos patriarcas (</w:t>
      </w:r>
      <w:hyperlink r:id="rId1324">
        <w:r>
          <w:rPr>
            <w:color w:val="0000EE"/>
            <w:u w:val="single"/>
          </w:rPr>
          <w:t>Lv 26.44–45</w:t>
        </w:r>
      </w:hyperlink>
      <w:r>
        <w:t>). Na profecia de Amós, Israel será peneirado por outras nações como grãos em uma peneira; a "palha" ímpia será espalhada pelo mundo, mas o verdadeiro "grão" será preservado.</w:t>
      </w:r>
    </w:p>
    <w:p>
      <w:pPr>
        <w:pStyle w:val="Heading4"/>
      </w:pPr>
      <w:r>
        <w:t>A Esperança de Israel (</w:t>
      </w:r>
      <w:hyperlink r:id="rId1325">
        <w:r>
          <w:rPr>
            <w:color w:val="0000EE"/>
            <w:u w:val="single"/>
          </w:rPr>
          <w:t>9.11–15</w:t>
        </w:r>
      </w:hyperlink>
      <w:r>
        <w:t>)</w:t>
      </w:r>
    </w:p>
    <w:p>
      <w:r/>
      <w:r>
        <w:t>A expressão de esperança é ampliada na última seção do livro em uma série de metáforas surpreendentes e belas.</w:t>
      </w:r>
    </w:p>
    <w:p>
      <w:r/>
      <w:r>
        <w:t>Restauração da Cidade de Davi (</w:t>
      </w:r>
      <w:hyperlink r:id="rId1326">
        <w:r>
          <w:rPr>
            <w:color w:val="0000EE"/>
            <w:u w:val="single"/>
          </w:rPr>
          <w:t>9.11–12</w:t>
        </w:r>
      </w:hyperlink>
      <w:r>
        <w:t>)</w:t>
      </w:r>
    </w:p>
    <w:p>
      <w:r/>
      <w:r>
        <w:t>A primeira metáfora é da cidade (literalmente "casa") de Davi, uma casa em ruínas. A monarquia, que havia desmoronado devido à decadência interna e ameaças externas, é imaginada como sendo restaurada à sua antiga glória. Além disso, uma expansão do reino davídico incluirá todas as nações que pertencem ao Senhor.</w:t>
      </w:r>
    </w:p>
    <w:p>
      <w:r/>
      <w:r>
        <w:t>No NT, esta passagem foi citada por Tiago para apoiar a inclusão dos gentios na promessa (</w:t>
      </w:r>
      <w:hyperlink r:id="rId1327">
        <w:r>
          <w:rPr>
            <w:color w:val="0000EE"/>
            <w:u w:val="single"/>
          </w:rPr>
          <w:t>Atos 15.16–18</w:t>
        </w:r>
      </w:hyperlink>
      <w:r>
        <w:t>). A redação em Atos é ligeiramente diferente da de Amós porque foi baseada em uma tradução grega antiga do AT (chamada Septuaginta). Aqueles chamados pelo nome de Deus ou pertencentes a Deus incluem não apenas entidades geográficas como nações, mas também indivíduos em qualquer nação que tenham um relacionamento próximo com Deus. Tiago viu que Amos estava prevendo a inclusão dos gentios no reino de Deus, um reino muito maior do que a monarquia inicial. Esta profecia foi cumprida em parte na igreja cristã.</w:t>
      </w:r>
    </w:p>
    <w:p>
      <w:r/>
      <w:r>
        <w:t>Restauração do bem-estar de Israel (</w:t>
      </w:r>
      <w:hyperlink r:id="rId1328">
        <w:r>
          <w:rPr>
            <w:color w:val="0000EE"/>
            <w:u w:val="single"/>
          </w:rPr>
          <w:t>9.13–15</w:t>
        </w:r>
      </w:hyperlink>
      <w:r>
        <w:t>)</w:t>
      </w:r>
    </w:p>
    <w:p>
      <w:r/>
      <w:r>
        <w:t>Uma série de metáforas pastorais encerra o livro de Amós. Eles retratam a abundância de bênçãos no reino vindouro. O bem-estar de Israel será restaurado, muito além dos eventos sombrios do século em que Amós está falando. Os teólogos divergem em sua compreensão da aplicação desta profecia. Se se refere à era atual da igreja cristã, retrata as bênçãos da igreja agora como "Israel espiritual". Ou se isso se refere ao futuro, ao reinado milenar de Cristo, descrevendo o que acontecerá na terra naquela época.</w:t>
      </w:r>
    </w:p>
    <w:p>
      <w:r/>
      <w:r>
        <w:t>O conceito de uma terra rejuvenescida é encontrado em outras partes da Bíblia (</w:t>
      </w:r>
      <w:hyperlink r:id="rId363">
        <w:r>
          <w:rPr>
            <w:color w:val="0000EE"/>
            <w:u w:val="single"/>
          </w:rPr>
          <w:t>Rm 8.20–22</w:t>
        </w:r>
      </w:hyperlink>
      <w:r>
        <w:t>). Miqueias usa uma linguagem um pouco semelhante à de Amós para descrever a restauração do que parece ser a cidade literal de Jerusalém (</w:t>
      </w:r>
      <w:hyperlink r:id="rId1329">
        <w:r>
          <w:rPr>
            <w:color w:val="0000EE"/>
            <w:u w:val="single"/>
          </w:rPr>
          <w:t>Mq 3.12–4.4</w:t>
        </w:r>
      </w:hyperlink>
      <w:r>
        <w:t>). Pode ser melhor aplicar o final profético de Amós à restauração que será efetuada no retorno final de Cristo. Qualquer que seja a aplicação correta, o remanescente deve incluir os seguidores de Jesus Cristo, e as bênçãos devem ser vistas como destinadas a todos que pertencem ao reino de Deus.</w:t>
      </w:r>
    </w:p>
    <w:p>
      <w:pPr>
        <w:pStyle w:val="Heading3"/>
      </w:pPr>
      <w:r>
        <w:t>Significado</w:t>
      </w:r>
    </w:p>
    <w:p>
      <w:r/>
      <w:r>
        <w:t>O principal propósito de Amós em suas profecias era denunciar a desobediência de Israel ao pacto. Embora a promessa da aliança dada a Abraão (</w:t>
      </w:r>
      <w:hyperlink r:id="rId1330">
        <w:r>
          <w:rPr>
            <w:color w:val="0000EE"/>
            <w:u w:val="single"/>
          </w:rPr>
          <w:t>Gn 22.15–18</w:t>
        </w:r>
      </w:hyperlink>
      <w:r>
        <w:t>) e reiterada ao longo do AT não seja mencionada explicitamente em Amós, ela está implícita na mensagem total do livro. Amós manteve a natureza espiritual da aliança e enfatizou que sua bênção era mediada pela obediência.</w:t>
      </w:r>
    </w:p>
    <w:p>
      <w:r/>
      <w:r>
        <w:t>Olhando ao seu redor, Amós viu não apenas desobediência, mas hipocrisia. Um aspecto básico de seu ensinamento ético era a insistência de que a adesão externa às cerimônias religiosas sem uma resposta do coração à vontade de Deus (como expressa na lei) estava errada. A lei continha muitas injunções que buscavam gerar amor a Deus e ao próximo (</w:t>
      </w:r>
      <w:hyperlink r:id="rId1331">
        <w:r>
          <w:rPr>
            <w:color w:val="0000EE"/>
            <w:u w:val="single"/>
          </w:rPr>
          <w:t>Êx 23.1–13</w:t>
        </w:r>
      </w:hyperlink>
      <w:r>
        <w:t>). No tempo de Amós, esses aspectos sociais da lei estavam sendo deliberadamente desobedecidos pelos ricos, que, no entanto, se apegavam ao ritual religioso. Amós viu o que estava em seus corações e condenou isso. Para ele, obrigações religiosas não observadas no verdadeiro espírito de responsabilidade para com Deus poderiam realmente se tornar pecado (</w:t>
      </w:r>
      <w:hyperlink r:id="rId1332">
        <w:r>
          <w:rPr>
            <w:color w:val="0000EE"/>
            <w:u w:val="single"/>
          </w:rPr>
          <w:t>4.4</w:t>
        </w:r>
      </w:hyperlink>
      <w:r>
        <w:t>). A religião pode degenerar a ponto de se tornar uma maldição, uma zombaria da vontade de um Deus santo.</w:t>
      </w:r>
    </w:p>
    <w:p>
      <w:r/>
      <w:r>
        <w:t>Amós viu a desobediência e a hipocrisia de Israel culminando em um desastre nacional. Assim, sua profecia serviu como um aviso de desgraça iminente para a nação. Ele viu que outras nações além de Israel e Judá eram responsabilizadas por Deus por causa de seu mau tratamento aos outros (</w:t>
      </w:r>
      <w:hyperlink r:id="rId1273">
        <w:r>
          <w:rPr>
            <w:color w:val="0000EE"/>
            <w:u w:val="single"/>
          </w:rPr>
          <w:t>1.3–2.3</w:t>
        </w:r>
      </w:hyperlink>
      <w:r>
        <w:t>). Seus pecados sociais foram punidos por Deus na história. Amós assim viu um aspecto da lei se estendendo além de Israel e Judá para outras nações. Eles eram responsáveis perante Deus sob o que poderia ser chamado de uma lei moral universal, e foram julgados por seus crimes contra a humanidade.</w:t>
      </w:r>
    </w:p>
    <w:p>
      <w:r/>
      <w:r>
        <w:t>O conceito profético do Dia do Senhor, considerado pelo povo da época de Amós como um momento de vindicação para sua nação, foi visto por Amós como um tempo de punição para todos os pecadores. Tal punição não excluiria a nação de Israel.</w:t>
      </w:r>
    </w:p>
    <w:p>
      <w:r/>
      <w:r>
        <w:t>No entanto, a denúncia não era o único propósito da atividade profética de Amós. Ele proclamou um futuro de esperança para Israel na restauração da monarquia davídica, evidentemente sob o Messias, em um tempo que seria caracterizado pela paz (</w:t>
      </w:r>
      <w:hyperlink r:id="rId1333">
        <w:r>
          <w:rPr>
            <w:color w:val="0000EE"/>
            <w:u w:val="single"/>
          </w:rPr>
          <w:t>9.8–15</w:t>
        </w:r>
      </w:hyperlink>
      <w:r>
        <w:t>). A relação do reino davídico com o reino messiânico remonta à promessa dada a Davi (</w:t>
      </w:r>
      <w:hyperlink r:id="rId815">
        <w:r>
          <w:rPr>
            <w:color w:val="0000EE"/>
            <w:u w:val="single"/>
          </w:rPr>
          <w:t>2Sm 7.8–16</w:t>
        </w:r>
      </w:hyperlink>
      <w:r>
        <w:t>). Assim como aqueles de outras nações participaram por extensão nas exigências da lei e no julgamento, assim também aqueles de outras nações que pertenciam a Deus participariam nas bênçãos da promessa (</w:t>
      </w:r>
      <w:hyperlink r:id="rId1334">
        <w:r>
          <w:rPr>
            <w:color w:val="0000EE"/>
            <w:u w:val="single"/>
          </w:rPr>
          <w:t>9.12</w:t>
        </w:r>
      </w:hyperlink>
      <w:r>
        <w:t>).</w:t>
      </w:r>
    </w:p>
    <w:p>
      <w:r/>
      <w:r>
        <w:t>Os conceitos de Deus mais acentuados no livro de Amós são a soberania de Deus e a justiça de Deus. Ele é soberano sobre todas as nações do mundo, tipificadas por aquelas que cercam Israel, e ele as traz para o julgamento (</w:t>
      </w:r>
      <w:hyperlink r:id="rId1273">
        <w:r>
          <w:rPr>
            <w:color w:val="0000EE"/>
            <w:u w:val="single"/>
          </w:rPr>
          <w:t>1.3–2.3</w:t>
        </w:r>
      </w:hyperlink>
      <w:r>
        <w:t>). Ele também é soberano sobre a natureza, como reconhecido em seu controle do universo (</w:t>
      </w:r>
      <w:hyperlink r:id="rId1335">
        <w:r>
          <w:rPr>
            <w:color w:val="0000EE"/>
            <w:u w:val="single"/>
          </w:rPr>
          <w:t>4.13</w:t>
        </w:r>
      </w:hyperlink>
      <w:r>
        <w:t xml:space="preserve">; </w:t>
      </w:r>
      <w:hyperlink r:id="rId1336">
        <w:r>
          <w:rPr>
            <w:color w:val="0000EE"/>
            <w:u w:val="single"/>
          </w:rPr>
          <w:t>5.8</w:t>
        </w:r>
      </w:hyperlink>
      <w:r>
        <w:t xml:space="preserve">; </w:t>
      </w:r>
      <w:hyperlink r:id="rId1337">
        <w:r>
          <w:rPr>
            <w:color w:val="0000EE"/>
            <w:u w:val="single"/>
          </w:rPr>
          <w:t>9.13–14</w:t>
        </w:r>
      </w:hyperlink>
      <w:r>
        <w:t>). Sua justiça exige que ele não permita que sua lei continue a ser violada sem retribuição. Mas a sua justiça é também a garantia de esperança para o remanescente crente de Israel. Isso o obriga a manter sua promessa de preservar Israel como uma nação (</w:t>
      </w:r>
      <w:hyperlink r:id="rId1324">
        <w:r>
          <w:rPr>
            <w:color w:val="0000EE"/>
            <w:u w:val="single"/>
          </w:rPr>
          <w:t>Lv 26.44–45</w:t>
        </w:r>
      </w:hyperlink>
      <w:r>
        <w:t>).</w:t>
      </w:r>
    </w:p>
    <w:p>
      <w:r/>
      <w:r>
        <w:t>Amós manteve a possibilidade de evitar a catástrofe nacional que se avizinhava no horizonte dos eventos mundiais. No entanto, a partir de sua descrição sombria das condições sociais e da dureza dos corações das pessoas na época, parece provável que ele não previu nenhuma saída.</w:t>
      </w:r>
    </w:p>
    <w:p>
      <w:r/>
      <w:r>
        <w:t>Sua mensagem foi apresentada em metáforas ousadas e imagens vívidas que ficam na mente. Essa mensagem ainda é relevante, pois muitos dos pecados que caracterizavam o povo da época do profeta ainda são prevalentes na sociedade moderna e na vida dos indivíduos. Maltratar os semelhantes é uma característica do século XXI d.C. tanto quanto era do século VIII a.C.</w:t>
      </w:r>
    </w:p>
    <w:p>
      <w:r/>
      <w:r>
        <w:t>O leitor de hoje do livro de Amós deve notar a insistência do profeta nas consequências do pecado; sua ênfase na responsabilidade que sempre acompanha o privilégio; sua apresentação da fidelidade de Deus; e sua mensagem de esperança, expressa em parte hoje através da igreja.</w:t>
      </w:r>
    </w:p>
    <w:p>
      <w:r/>
      <w:r>
        <w:t xml:space="preserve">Se o livro parece ter uma perspectiva sombria, deve-se lembrar que o profeta enfrentava um quadro sombrio. Ele estava assistindo uma nação desmoronar por causa de sua infidelidade a Deus. Mas além da perspectiva sombria que Israel enfrentava, Amós viu um novo reino emergindo. Era um reino de paz no qual o povo de Deus perceberia o cumprimento das promessas de Deus. </w:t>
      </w:r>
      <w:r>
        <w:rPr>
          <w:i/>
        </w:rPr>
        <w:t>Veja</w:t>
      </w:r>
      <w:r>
        <w:t xml:space="preserve"> </w:t>
      </w:r>
      <w:r>
        <w:t>Profecia</w:t>
      </w:r>
      <w:r>
        <w:t xml:space="preserve">; </w:t>
      </w:r>
      <w:r>
        <w:t>Profeta, Profetisa</w:t>
      </w:r>
      <w:r>
        <w:t xml:space="preserve">; </w:t>
      </w:r>
      <w:r>
        <w:t>Israel, História de</w:t>
      </w:r>
      <w:r>
        <w:t>.</w:t>
      </w:r>
      <w:r/>
      <w:r/>
    </w:p>
    <w:p>
      <w:r/>
    </w:p>
    <w:p>
      <w:pPr>
        <w:pStyle w:val="Heading2"/>
      </w:pPr>
      <w:r>
        <w:t>Amuleto</w:t>
      </w:r>
      <w:r/>
    </w:p>
    <w:p>
      <w:r/>
      <w:r>
        <w:t>Um pequeno objeto utilizado por uma pessoa. Geralmente é usado ao redor do pescoço e serve como amuleto ou meio de proteção contra o mal, feitiçaria, doenças ou outras ameaças físicas e espirituais.</w:t>
      </w:r>
    </w:p>
    <w:p>
      <w:r/>
      <w:r>
        <w:t>A palavra "amuleto" provavelmente deriva de um termo latino ou árabe que significa "carregar". Amuletos também são conhecidos como talismãs. Eles têm sido feitos de várias substâncias e vêm em muitas formas. Peças de metal ou tiras de pergaminho (folhas finas de pele de animal tratada) são usadas com trechos de escritos sagrados (até mesmo Escrituras). Ervas e preparações de animais também foram usadas. Gemas semipreciosas (pedras valiosas) eram frequentemente inscritas com uma fórmula mágica.</w:t>
      </w:r>
    </w:p>
    <w:p>
      <w:r/>
      <w:r>
        <w:t>Nenhuma palavra hebraica ou grega na Bíblia é traduzida com certeza como "amuleto". A prática de usar amuletos é às vezes implícita e geralmente é vista com desaprovação. Alguns consideram os brincos de ouro usados pelos israelitas que escaparam do Egito como amuletos (</w:t>
      </w:r>
      <w:hyperlink r:id="rId1338">
        <w:r>
          <w:rPr>
            <w:color w:val="0000EE"/>
            <w:u w:val="single"/>
          </w:rPr>
          <w:t>Êx 32.2–4</w:t>
        </w:r>
      </w:hyperlink>
      <w:r>
        <w:t>). Arão transformou esses brincos em um bezerro de ouro. O profeta Isaías condenou os ornamentos usados pelas mulheres de sua época (</w:t>
      </w:r>
      <w:hyperlink r:id="rId1339">
        <w:r>
          <w:rPr>
            <w:color w:val="0000EE"/>
            <w:u w:val="single"/>
          </w:rPr>
          <w:t>Is 3.16–23</w:t>
        </w:r>
      </w:hyperlink>
      <w:r>
        <w:t>).</w:t>
      </w:r>
    </w:p>
    <w:p>
      <w:r/>
      <w:r>
        <w:t xml:space="preserve">A maioria dos estudiosos considera os filactérios e mezuzás usados pelos judeus como formas de amuletos. Filactérios são pequenas caixas que contêm versículos das Escrituras. Eles têm tiras de couro usadas para vestir os filactérios durante a oração. Da mesma forma, mezuzás são pequenos recipientes que contêm versículos das Escrituras e são colocados nos batentes das portas. Ambos são formas de viver os mandamentos em </w:t>
      </w:r>
      <w:hyperlink r:id="rId1340">
        <w:r>
          <w:rPr>
            <w:color w:val="0000EE"/>
            <w:u w:val="single"/>
          </w:rPr>
          <w:t>Dt 6.4–9</w:t>
        </w:r>
      </w:hyperlink>
      <w:r>
        <w:t xml:space="preserve">. </w:t>
      </w:r>
      <w:r>
        <w:rPr>
          <w:i/>
        </w:rPr>
        <w:t>Veja</w:t>
      </w:r>
      <w:r>
        <w:t xml:space="preserve"> </w:t>
      </w:r>
      <w:r>
        <w:t>Filactério</w:t>
      </w:r>
      <w:r>
        <w:t xml:space="preserve">; </w:t>
      </w:r>
      <w:r>
        <w:t>Magia</w:t>
      </w:r>
      <w:r>
        <w:t xml:space="preserve">; </w:t>
      </w:r>
      <w:r>
        <w:t>Frontal</w:t>
      </w:r>
      <w:r>
        <w:t>.</w:t>
      </w:r>
      <w:r/>
      <w:r/>
    </w:p>
    <w:p>
      <w:r/>
    </w:p>
    <w:p>
      <w:pPr>
        <w:pStyle w:val="Heading2"/>
      </w:pPr>
      <w:r>
        <w:t>Aná</w:t>
      </w:r>
      <w:r/>
    </w:p>
    <w:p>
      <w:pPr>
        <w:pStyle w:val="ListNumber"/>
        <w:spacing w:line="240" w:lineRule="auto"/>
        <w:ind w:left="720"/>
      </w:pPr>
      <w:r/>
      <w:r>
        <w:t>Filho de Zibeão, o heveu, e pai de Aolíbama. Aolíbama foi uma das esposas de Esaú (</w:t>
      </w:r>
      <w:hyperlink r:id="rId1341">
        <w:r>
          <w:rPr>
            <w:color w:val="0000EE"/>
            <w:u w:val="single"/>
          </w:rPr>
          <w:t>Gn 36.2,18</w:t>
        </w:r>
      </w:hyperlink>
      <w:r>
        <w:t>).</w:t>
      </w:r>
    </w:p>
    <w:p>
      <w:pPr>
        <w:pStyle w:val="ListNumber"/>
        <w:spacing w:line="240" w:lineRule="auto"/>
        <w:ind w:left="720"/>
      </w:pPr>
      <w:r/>
      <w:r>
        <w:t>O quarto filho de Seir, o horita. Aná foi um chefe entre os horitas que também tinha uma filha chamada Aolíbama (</w:t>
      </w:r>
      <w:hyperlink r:id="rId1342">
        <w:r>
          <w:rPr>
            <w:color w:val="0000EE"/>
            <w:u w:val="single"/>
          </w:rPr>
          <w:t>Gn 36.20,25</w:t>
        </w:r>
      </w:hyperlink>
      <w:r>
        <w:t xml:space="preserve">; </w:t>
      </w:r>
      <w:hyperlink r:id="rId1343">
        <w:r>
          <w:rPr>
            <w:color w:val="0000EE"/>
            <w:u w:val="single"/>
          </w:rPr>
          <w:t>1Cr 1.38,41</w:t>
        </w:r>
      </w:hyperlink>
      <w:r>
        <w:t>).</w:t>
      </w:r>
    </w:p>
    <w:p>
      <w:pPr>
        <w:pStyle w:val="ListNumber"/>
        <w:spacing w:line="240" w:lineRule="auto"/>
        <w:ind w:left="720"/>
      </w:pPr>
      <w:r/>
      <w:r>
        <w:t>O filho de Zibeão que encontrou fontes termais no deserto (</w:t>
      </w:r>
      <w:hyperlink r:id="rId629">
        <w:r>
          <w:rPr>
            <w:color w:val="0000EE"/>
            <w:u w:val="single"/>
          </w:rPr>
          <w:t>Gn 36.24</w:t>
        </w:r>
      </w:hyperlink>
      <w:r>
        <w:t xml:space="preserve">). Este Zibeão era irmão do #2 acima. </w:t>
      </w:r>
      <w:r>
        <w:rPr>
          <w:i/>
        </w:rPr>
        <w:t>Veja</w:t>
      </w:r>
      <w:r>
        <w:t xml:space="preserve"> </w:t>
      </w:r>
      <w:r>
        <w:t>Zibeão</w:t>
      </w:r>
      <w:r>
        <w:t>.</w:t>
      </w:r>
      <w:r/>
      <w:r/>
    </w:p>
    <w:p>
      <w:r/>
    </w:p>
    <w:p>
      <w:pPr>
        <w:pStyle w:val="Heading2"/>
      </w:pPr>
      <w:r>
        <w:t>Anamim, Anamitas</w:t>
      </w:r>
      <w:r/>
    </w:p>
    <w:p>
      <w:r/>
      <w:r>
        <w:t>Um grupo não identificado de pessoas, possivelmente relacionado aos egípcios. Eles são mencionados nos registros bíblicos das nações mais antigas (</w:t>
      </w:r>
      <w:hyperlink r:id="rId1344">
        <w:r>
          <w:rPr>
            <w:color w:val="0000EE"/>
            <w:u w:val="single"/>
          </w:rPr>
          <w:t>Gn 10.13,</w:t>
        </w:r>
      </w:hyperlink>
      <w:r>
        <w:t xml:space="preserve"> </w:t>
      </w:r>
      <w:hyperlink r:id="rId1345">
        <w:r>
          <w:rPr>
            <w:color w:val="0000EE"/>
            <w:u w:val="single"/>
          </w:rPr>
          <w:t>1Cr 1.11</w:t>
        </w:r>
      </w:hyperlink>
      <w:r>
        <w:t>).</w:t>
      </w:r>
      <w:r/>
      <w:r/>
    </w:p>
    <w:p>
      <w:r/>
    </w:p>
    <w:p>
      <w:pPr>
        <w:pStyle w:val="Heading2"/>
      </w:pPr>
      <w:r>
        <w:t>Ananias</w:t>
      </w:r>
      <w:r/>
    </w:p>
    <w:p>
      <w:pPr>
        <w:pStyle w:val="ListNumber"/>
        <w:spacing w:line="240" w:lineRule="auto"/>
        <w:ind w:left="720"/>
      </w:pPr>
      <w:r/>
      <w:r>
        <w:t>Um membro da igreja primitiva em Jerusalém. Sua esposa era Safira. Ele e Safira morreram subitamente como punição de Deus por mentirem sobre o dinheiro que haviam dado à igreja (</w:t>
      </w:r>
      <w:hyperlink r:id="rId1346">
        <w:r>
          <w:rPr>
            <w:color w:val="0000EE"/>
            <w:u w:val="single"/>
          </w:rPr>
          <w:t>At 5.1–5</w:t>
        </w:r>
      </w:hyperlink>
      <w:r>
        <w:t>).</w:t>
      </w:r>
    </w:p>
    <w:p>
      <w:pPr>
        <w:pStyle w:val="ListNumber"/>
        <w:spacing w:line="240" w:lineRule="auto"/>
        <w:ind w:left="720"/>
      </w:pPr>
      <w:r/>
      <w:r>
        <w:t>Um dos primeiros convertidos ao Cristianismo que vivia em Damasco. Saulo de Tarso (também chamado Paulo) chegou a Damasco para prender cristãos. Ananias sabia que Paulo estava ferindo e matando cristãos. Mas Deus disse a Ananias para não se preocupar, explicando que ele havia escolhido Paulo para contar a muitas pessoas sobre Jesus (</w:t>
      </w:r>
      <w:hyperlink r:id="rId1347">
        <w:r>
          <w:rPr>
            <w:color w:val="0000EE"/>
            <w:u w:val="single"/>
          </w:rPr>
          <w:t>At 9.13–16</w:t>
        </w:r>
      </w:hyperlink>
      <w:r>
        <w:t>).</w:t>
      </w:r>
    </w:p>
    <w:p>
      <w:r/>
      <w:r>
        <w:t>Deus enviou Ananias para ajudar Paulo, que havia ficado cego após encontrar Jesus no caminho para Damasco. Ananias ajudou Paulo a recuperar a visão (</w:t>
      </w:r>
      <w:hyperlink r:id="rId1348">
        <w:r>
          <w:rPr>
            <w:color w:val="0000EE"/>
            <w:u w:val="single"/>
          </w:rPr>
          <w:t>At 9.17–19</w:t>
        </w:r>
      </w:hyperlink>
      <w:r>
        <w:t>). Ele explicou a Paulo o significado de seu encontro com Jesus (</w:t>
      </w:r>
      <w:hyperlink r:id="rId1349">
        <w:r>
          <w:rPr>
            <w:color w:val="0000EE"/>
            <w:u w:val="single"/>
          </w:rPr>
          <w:t>At 22.12–16</w:t>
        </w:r>
      </w:hyperlink>
      <w:r>
        <w:t>).</w:t>
      </w:r>
    </w:p>
    <w:p>
      <w:r/>
      <w:r>
        <w:t>Ananias provavelmente apresentou Paulo à igreja em Damasco como um novo irmão cristão, em vez de alguém que queria atacar a igreja. Algumas tradições dizem que Ananias mais tarde se tornou um dos 70 discípulos de Jerusalém. Alguns o identificam como bispo de Damasco. Outros o identificam como mártir.</w:t>
      </w:r>
    </w:p>
    <w:p>
      <w:pPr>
        <w:pStyle w:val="ListNumber"/>
        <w:spacing w:line="240" w:lineRule="auto"/>
        <w:ind w:left="720"/>
      </w:pPr>
      <w:r/>
      <w:r>
        <w:t>Um sumo sacerdote que presidiu o Sinédrio (o tribunal religioso judaico) quando o apóstolo Paulo foi preso e interrogado por esse conselho em Jerusalém. Isso ocorreu no final da terceira viagem missionária de Paulo (</w:t>
      </w:r>
      <w:hyperlink r:id="rId1350">
        <w:r>
          <w:rPr>
            <w:color w:val="0000EE"/>
            <w:u w:val="single"/>
          </w:rPr>
          <w:t>At 22.30–23.10</w:t>
        </w:r>
      </w:hyperlink>
      <w:r>
        <w:t>).</w:t>
      </w:r>
    </w:p>
    <w:p>
      <w:r/>
      <w:r>
        <w:t>Ananias foi uma das testemunhas que depuseram contra Paulo em Cesareia. Paulo estava em julgamento perante Félix, o governador romano (</w:t>
      </w:r>
      <w:hyperlink r:id="rId1351">
        <w:r>
          <w:rPr>
            <w:color w:val="0000EE"/>
            <w:u w:val="single"/>
          </w:rPr>
          <w:t>At 24.1</w:t>
        </w:r>
      </w:hyperlink>
      <w:r>
        <w:t>). Este Ananias foi nomeado sumo sacerdote por Herodes Agripa II em 48 d.C. Ele serviu até 59 d.C.</w:t>
      </w:r>
    </w:p>
    <w:p>
      <w:r/>
      <w:r>
        <w:t>O historiador judeu Josefo escreveu que ele era rico, egoísta e corrupto. Era conhecido por sua colaboração com os romanos e também por ser severo e cruel. Ele era odiado pelos judeus que se revoltaram contra Roma e foi morto por eles quando a guerra com Roma estourou em 66 d.C.</w:t>
      </w:r>
      <w:r/>
      <w:r/>
    </w:p>
    <w:p>
      <w:r/>
    </w:p>
    <w:p>
      <w:pPr>
        <w:pStyle w:val="Heading2"/>
      </w:pPr>
      <w:r>
        <w:t>Anaque, anaquim, anaquitas</w:t>
      </w:r>
      <w:r/>
    </w:p>
    <w:p>
      <w:r/>
      <w:r>
        <w:t>Anaque foi o ancestral de um grupo de pessoas muito altas, chamadas gigantes, que viviam na antiga Canaã.</w:t>
      </w:r>
    </w:p>
    <w:p>
      <w:r/>
      <w:r>
        <w:t>Quando Israel chegou pela primeira vez a Canaã, os anaquins estavam bem estabelecidos em Hebrom. Dez dos 12 espiões que Moisés enviou a Canaã ficaram apavorados com o tamanho dos anaquins (</w:t>
      </w:r>
      <w:hyperlink r:id="rId1352">
        <w:r>
          <w:rPr>
            <w:color w:val="0000EE"/>
            <w:u w:val="single"/>
          </w:rPr>
          <w:t>Nm 13.17–22</w:t>
        </w:r>
      </w:hyperlink>
      <w:r>
        <w:t>,</w:t>
      </w:r>
      <w:hyperlink r:id="rId1353">
        <w:r>
          <w:rPr>
            <w:color w:val="0000EE"/>
            <w:u w:val="single"/>
          </w:rPr>
          <w:t>31</w:t>
        </w:r>
      </w:hyperlink>
      <w:r>
        <w:t>). O medo deles levou a uma rebelião em Cades-Barneia (</w:t>
      </w:r>
      <w:hyperlink r:id="rId1035">
        <w:r>
          <w:rPr>
            <w:color w:val="0000EE"/>
            <w:u w:val="single"/>
          </w:rPr>
          <w:t>Nm 14.39–45</w:t>
        </w:r>
      </w:hyperlink>
      <w:r>
        <w:t xml:space="preserve">; </w:t>
      </w:r>
      <w:hyperlink r:id="rId1354">
        <w:r>
          <w:rPr>
            <w:color w:val="0000EE"/>
            <w:u w:val="single"/>
          </w:rPr>
          <w:t>Dt 1.19–46</w:t>
        </w:r>
      </w:hyperlink>
      <w:r>
        <w:t>). Isso também resultou em mais 38 anos de peregrinação. Quando os israelitas finalmente estavam prontos para entrar em Canaã, Deus prometeu sua ajuda contra os famosos gigantes anaquitas (</w:t>
      </w:r>
      <w:hyperlink r:id="rId1355">
        <w:r>
          <w:rPr>
            <w:color w:val="0000EE"/>
            <w:u w:val="single"/>
          </w:rPr>
          <w:t>Dt 9.1–3</w:t>
        </w:r>
      </w:hyperlink>
      <w:r>
        <w:t>).</w:t>
      </w:r>
    </w:p>
    <w:p>
      <w:r/>
      <w:r>
        <w:t>Os dois espiões que não tinham medo dos anaquins estavam ambos envolvidos em sua derrota. Josué derrotou os anaquins que viviam em Hebrom, Debir, Anabe e toda a região de Judá (</w:t>
      </w:r>
      <w:hyperlink r:id="rId1356">
        <w:r>
          <w:rPr>
            <w:color w:val="0000EE"/>
            <w:u w:val="single"/>
          </w:rPr>
          <w:t>Js 11.21–23</w:t>
        </w:r>
      </w:hyperlink>
      <w:r>
        <w:t>). Os que sobreviveram foram deixados apenas nas cidades filisteias de Gaza, Gate e Asdode. O outro espião, Calebe, foi responsável pela derrota dos chefes anaquins Sesai, Aimã e Talmai em Hebrom. O sobrinho de Calebe, Otoniel, foi o herói de Debir (</w:t>
      </w:r>
      <w:hyperlink r:id="rId1357">
        <w:r>
          <w:rPr>
            <w:color w:val="0000EE"/>
            <w:u w:val="single"/>
          </w:rPr>
          <w:t>Js 15.14–17</w:t>
        </w:r>
      </w:hyperlink>
      <w:r>
        <w:t>).</w:t>
      </w:r>
    </w:p>
    <w:p>
      <w:r/>
      <w:r>
        <w:t>Hebrom anteriormente havia sido chamada de Quiriate-Arba por causa de Arba, pai de Anaque. Ele foi um grande herói dos anaquins (</w:t>
      </w:r>
      <w:hyperlink r:id="rId321">
        <w:r>
          <w:rPr>
            <w:color w:val="0000EE"/>
            <w:u w:val="single"/>
          </w:rPr>
          <w:t>Js 14.15</w:t>
        </w:r>
      </w:hyperlink>
      <w:r>
        <w:t xml:space="preserve">; </w:t>
      </w:r>
      <w:hyperlink r:id="rId1358">
        <w:r>
          <w:rPr>
            <w:color w:val="0000EE"/>
            <w:u w:val="single"/>
          </w:rPr>
          <w:t>21.11</w:t>
        </w:r>
      </w:hyperlink>
      <w:r>
        <w:t>). O fato de que os anaquins sobreviveram nas cidades filisteias de Gaza, Gate e Asdode leva à suposição de que Golias de Gate pode ter sido um descendente desses gigantes (</w:t>
      </w:r>
      <w:hyperlink r:id="rId1359">
        <w:r>
          <w:rPr>
            <w:color w:val="0000EE"/>
            <w:u w:val="single"/>
          </w:rPr>
          <w:t>1Sm 17.4–7</w:t>
        </w:r>
      </w:hyperlink>
      <w:r>
        <w:t>).</w:t>
      </w:r>
    </w:p>
    <w:p>
      <w:r/>
      <w:r>
        <w:rPr>
          <w:i/>
        </w:rPr>
        <w:t>Veja também</w:t>
      </w:r>
      <w:r>
        <w:t xml:space="preserve"> </w:t>
      </w:r>
      <w:r>
        <w:t>Gigantes</w:t>
      </w:r>
      <w:r>
        <w:t>.</w:t>
      </w:r>
      <w:r/>
      <w:r/>
    </w:p>
    <w:p>
      <w:r/>
    </w:p>
    <w:p>
      <w:pPr>
        <w:pStyle w:val="Heading2"/>
      </w:pPr>
      <w:r>
        <w:t>Anás</w:t>
      </w:r>
      <w:r/>
    </w:p>
    <w:p>
      <w:r/>
      <w:r>
        <w:t>Anás foi o sumo sacerdote judeu de 7 a 15 d.C.</w:t>
      </w:r>
    </w:p>
    <w:p>
      <w:r/>
      <w:r>
        <w:t>Quirino, que era o governador romano da Síria, nomeou-o para esta posição. Mais tarde, Valério Grato, o procurador (governador) da Judeia, removeu Anás de seu cargo como sumo sacerdote. Após Anás, três outras pessoas serviram brevemente como sumo sacerdote. Então Caifás, que era casado com a filha de Anás, tornou-se o sumo sacerdote (</w:t>
      </w:r>
      <w:hyperlink r:id="rId1360">
        <w:r>
          <w:rPr>
            <w:color w:val="0000EE"/>
            <w:u w:val="single"/>
          </w:rPr>
          <w:t>Jo 18.13,24</w:t>
        </w:r>
      </w:hyperlink>
      <w:r>
        <w:t>). Caifás foi o sumo sacerdote de 18 a 36 d.C. Isso significa que Caifás foi o sumo sacerdote durante o ministério público de Jesus.</w:t>
      </w:r>
    </w:p>
    <w:p>
      <w:r/>
      <w:r>
        <w:t>Anás continuou a ter poder e influência mesmo após sua remoção desse cargo. O sumo sacerdote tinha uma nomeação vitalícia. É provável que os judeus tenham ressentido fortemente a remoção de Anás como sumo sacerdote pelos romanos. Mesmo que Anás não fosse mais oficialmente o sumo sacerdote, muitas pessoas ainda o chamavam por esse título. Isso porque acreditavam que alguém escolhido como sumo sacerdote deveria manter essa honra por toda a vida. Exemplos disso são encontrados nos escritos do historiador judeu Josefo. Esses exemplos esclarecem as referências no Novo Testamento a Anás como sumo sacerdote durante o mesmo período que Caifás (</w:t>
      </w:r>
      <w:hyperlink r:id="rId1361">
        <w:r>
          <w:rPr>
            <w:color w:val="0000EE"/>
            <w:u w:val="single"/>
          </w:rPr>
          <w:t>Lc 3.2</w:t>
        </w:r>
      </w:hyperlink>
      <w:r>
        <w:t xml:space="preserve">; </w:t>
      </w:r>
      <w:hyperlink r:id="rId1362">
        <w:r>
          <w:rPr>
            <w:color w:val="0000EE"/>
            <w:u w:val="single"/>
          </w:rPr>
          <w:t>Jo 18.19,22–24</w:t>
        </w:r>
      </w:hyperlink>
      <w:r>
        <w:t xml:space="preserve">; </w:t>
      </w:r>
      <w:hyperlink r:id="rId737">
        <w:r>
          <w:rPr>
            <w:color w:val="0000EE"/>
            <w:u w:val="single"/>
          </w:rPr>
          <w:t>At 4.6</w:t>
        </w:r>
      </w:hyperlink>
      <w:r>
        <w:t>).</w:t>
      </w:r>
    </w:p>
    <w:p>
      <w:r/>
      <w:r>
        <w:t>Anás questionou Jesus em particular após ele ter sido preso, mas antes de levarem Jesus a Caifás (</w:t>
      </w:r>
      <w:hyperlink r:id="rId1363">
        <w:r>
          <w:rPr>
            <w:color w:val="0000EE"/>
            <w:u w:val="single"/>
          </w:rPr>
          <w:t>Jo 18.13,19–24</w:t>
        </w:r>
      </w:hyperlink>
      <w:r>
        <w:t>). Isso mostra que Anás ainda tinha influência entre os líderes religiosos judeus.</w:t>
      </w:r>
    </w:p>
    <w:p>
      <w:r/>
      <w:r>
        <w:t>O livro de Atos nos diz que Anás ajudou a questionar Pedro e João sobre seus ensinamentos (</w:t>
      </w:r>
      <w:hyperlink r:id="rId1364">
        <w:r>
          <w:rPr>
            <w:color w:val="0000EE"/>
            <w:u w:val="single"/>
          </w:rPr>
          <w:t>At 4.6–21</w:t>
        </w:r>
      </w:hyperlink>
      <w:r>
        <w:t>). Os líderes religiosos advertiram Pedro e João para pararem de ensinar sobre Jesus, mas então os deixaram ir livres. Isso foi muito diferente do que aconteceu com Jesus, que foi condenado à morte.</w:t>
      </w:r>
      <w:r/>
      <w:r/>
    </w:p>
    <w:p>
      <w:r/>
    </w:p>
    <w:p>
      <w:pPr>
        <w:pStyle w:val="Heading2"/>
      </w:pPr>
      <w:r>
        <w:t>Ancião</w:t>
      </w:r>
      <w:r/>
    </w:p>
    <w:p>
      <w:r/>
      <w:r>
        <w:t>Pessoa que exercia liderança e funções judiciais tanto nas esferas religiosas quanto nas laicas no mundo antigo. Eles geralmente exerciam esta liderança por causa de sua posição na família, no clã ou na tribo; devido à personalidade, destreza, estatura ou influência; ou por meio de um processo de nomeação e ordenação. As raízes do desenvolvimento do presbitério (grupo de anciãos) no NT e na igreja pós-apostólica se originam no judaísmo e no AT, embora a figura do ancião, ou grupos de anciãos, também possa ser encontrada no mundo que cercava o antigo Israel e no mundo greco-romano do período do NT.</w:t>
      </w:r>
    </w:p>
    <w:p>
      <w:pPr>
        <w:pStyle w:val="Heading3"/>
      </w:pPr>
      <w:r>
        <w:t>No Antigo Testamento</w:t>
      </w:r>
    </w:p>
    <w:p>
      <w:r/>
      <w:r>
        <w:t>O ancião, ou a instituição dos anciãos, está intimamente ligado com o sistema tribal. As tribos eram compostas de clãs, e clãs compostos por grandes unidades familiares. Em virtude de idade e função em uma sociedade patriarcal, o pai de uma família governava. Este fator da idade, bem como a sabedoria e maturidade investidas nas pessoas mais velhas, é certamente a origem da autoridade que esses anciãos exerciam. Um clã era governado pelos chefes das famílias que o compunham, formando um conselho de anciãos. Em tempo de guerra, cada clã fornecia um grupo; estes eram liderados por um chefe, provavelmente escolhido dentre os anciãos.</w:t>
      </w:r>
    </w:p>
    <w:p>
      <w:r/>
      <w:r>
        <w:t>No período pré-monárquico de Israel, a administração local e a ação judicial estava em grande parte nas mãos desses anciãos. Na narrativa do Êxodo, os anciãos de Israel (chefes de famílias) que foram instruídos por Moisés sobre a primeira refeição da Páscoa (</w:t>
      </w:r>
      <w:hyperlink r:id="rId1365">
        <w:r>
          <w:rPr>
            <w:color w:val="0000EE"/>
            <w:u w:val="single"/>
          </w:rPr>
          <w:t>Êxodo 12.21–22</w:t>
        </w:r>
      </w:hyperlink>
      <w:r>
        <w:t xml:space="preserve">). Foram esses anciãos que, em </w:t>
      </w:r>
      <w:hyperlink r:id="rId1366">
        <w:r>
          <w:rPr>
            <w:color w:val="0000EE"/>
            <w:u w:val="single"/>
          </w:rPr>
          <w:t>Êxodo 18.12</w:t>
        </w:r>
      </w:hyperlink>
      <w:r>
        <w:t>, se encontraram com Jetro, o sogro de Moisés, e entre eles foram escolhidos representantes dignos para assistir Moisés na interpretação da lei de Deus e na administração da justiça (</w:t>
      </w:r>
      <w:hyperlink r:id="rId1367">
        <w:r>
          <w:rPr>
            <w:color w:val="0000EE"/>
            <w:u w:val="single"/>
          </w:rPr>
          <w:t>18.13–23</w:t>
        </w:r>
      </w:hyperlink>
      <w:r>
        <w:t xml:space="preserve">). Similarmente, de acordo com </w:t>
      </w:r>
      <w:hyperlink r:id="rId1368">
        <w:r>
          <w:rPr>
            <w:color w:val="0000EE"/>
            <w:u w:val="single"/>
          </w:rPr>
          <w:t>Números 11.16–17</w:t>
        </w:r>
      </w:hyperlink>
      <w:r>
        <w:t>, Moisés foi instruído por Deus a selecionar 70 homens dos anciãos de Israel para assisti-lo na liderança do povo. Neste último relato, os anciãos eram marcados por um recebimento especial do Espírito de Deus. Naquele tempo, os anciãos — escolhidos como coadministradores com Moisés — eram aqueles conhecidos por serem confiáveis.</w:t>
      </w:r>
    </w:p>
    <w:p>
      <w:r/>
      <w:r>
        <w:t>Uma função central dos anciãos era a administração da justiça. Eles eram os “juízes”, que se sentavam “no portão”, o tribunal tradicional das aldeias e cidades antigas. Aqui os conflitos e julgamentos eram resolvidos pelos anciãos, os assuntos da comunidade eram debatidos e as decisões eram tomadas (</w:t>
      </w:r>
      <w:hyperlink r:id="rId1369">
        <w:r>
          <w:rPr>
            <w:color w:val="0000EE"/>
            <w:u w:val="single"/>
          </w:rPr>
          <w:t>Gênesis 23.10, 18</w:t>
        </w:r>
      </w:hyperlink>
      <w:r>
        <w:t xml:space="preserve">; </w:t>
      </w:r>
      <w:hyperlink r:id="rId1370">
        <w:r>
          <w:rPr>
            <w:color w:val="0000EE"/>
            <w:u w:val="single"/>
          </w:rPr>
          <w:t>Jó 29.7</w:t>
        </w:r>
      </w:hyperlink>
      <w:r>
        <w:t xml:space="preserve">; </w:t>
      </w:r>
      <w:hyperlink r:id="rId1371">
        <w:r>
          <w:rPr>
            <w:color w:val="0000EE"/>
            <w:u w:val="single"/>
          </w:rPr>
          <w:t>Provérbios 24.7</w:t>
        </w:r>
      </w:hyperlink>
      <w:r>
        <w:t xml:space="preserve">; </w:t>
      </w:r>
      <w:hyperlink r:id="rId1372">
        <w:r>
          <w:rPr>
            <w:color w:val="0000EE"/>
            <w:u w:val="single"/>
          </w:rPr>
          <w:t>31.23</w:t>
        </w:r>
      </w:hyperlink>
      <w:r>
        <w:t>). A preservação e aplicação da lei estava claramente nas mãos dos anciãos que se sentavam aos portões da cidade (</w:t>
      </w:r>
      <w:hyperlink r:id="rId1373">
        <w:r>
          <w:rPr>
            <w:color w:val="0000EE"/>
            <w:u w:val="single"/>
          </w:rPr>
          <w:t>Deuteronômio 19.12</w:t>
        </w:r>
      </w:hyperlink>
      <w:r>
        <w:t xml:space="preserve">; </w:t>
      </w:r>
      <w:hyperlink r:id="rId1374">
        <w:r>
          <w:rPr>
            <w:color w:val="0000EE"/>
            <w:u w:val="single"/>
          </w:rPr>
          <w:t>21.19</w:t>
        </w:r>
      </w:hyperlink>
      <w:r>
        <w:t xml:space="preserve">; </w:t>
      </w:r>
      <w:hyperlink r:id="rId1375">
        <w:r>
          <w:rPr>
            <w:color w:val="0000EE"/>
            <w:u w:val="single"/>
          </w:rPr>
          <w:t>22.15</w:t>
        </w:r>
      </w:hyperlink>
      <w:r>
        <w:t xml:space="preserve">; </w:t>
      </w:r>
      <w:hyperlink r:id="rId1376">
        <w:r>
          <w:rPr>
            <w:color w:val="0000EE"/>
            <w:u w:val="single"/>
          </w:rPr>
          <w:t>25.7–10</w:t>
        </w:r>
      </w:hyperlink>
      <w:r>
        <w:t xml:space="preserve">). </w:t>
      </w:r>
      <w:hyperlink r:id="rId1377">
        <w:r>
          <w:rPr>
            <w:color w:val="0000EE"/>
            <w:u w:val="single"/>
          </w:rPr>
          <w:t>Rute 4.1–12</w:t>
        </w:r>
      </w:hyperlink>
      <w:r>
        <w:t xml:space="preserve"> fornece uma excelente descrição de tal processo.</w:t>
      </w:r>
    </w:p>
    <w:p>
      <w:r/>
      <w:r>
        <w:t>Durante o período da monarquia, a administração local e a autoridade judicial continuaram a ser investidas através dos conselhos de anciãos. No final do reinado de Saul, Davi enviou mensagens e presentes aos anciãos das cidades de Judá (</w:t>
      </w:r>
      <w:hyperlink r:id="rId1378">
        <w:r>
          <w:rPr>
            <w:color w:val="0000EE"/>
            <w:u w:val="single"/>
          </w:rPr>
          <w:t>1 Samuel 30.26</w:t>
        </w:r>
      </w:hyperlink>
      <w:r>
        <w:t>), obviamente reconhecendo que seu governo eficiente dependeria da boa vontade e fidelidade deles. Para facilitar sua trama contra Nabote, Jezabel escreveu instruções aos anciãos e nobres de Jezreel (</w:t>
      </w:r>
      <w:hyperlink r:id="rId1379">
        <w:r>
          <w:rPr>
            <w:color w:val="0000EE"/>
            <w:u w:val="single"/>
          </w:rPr>
          <w:t>1 Reis 21.8–11</w:t>
        </w:r>
      </w:hyperlink>
      <w:r>
        <w:t>). Está claro que os anciãos de Israel eram agora responsáveis pela aplicação da lei dentro de suas jurisdições. Além das funções administrativas e judiciais, os anciãos também assumiam papéis cultuais (</w:t>
      </w:r>
      <w:hyperlink r:id="rId1380">
        <w:r>
          <w:rPr>
            <w:color w:val="0000EE"/>
            <w:u w:val="single"/>
          </w:rPr>
          <w:t>Êxodo 24.1,9</w:t>
        </w:r>
      </w:hyperlink>
      <w:r>
        <w:t xml:space="preserve">; </w:t>
      </w:r>
      <w:hyperlink r:id="rId1381">
        <w:r>
          <w:rPr>
            <w:color w:val="0000EE"/>
            <w:u w:val="single"/>
          </w:rPr>
          <w:t>Levítico 4.14–15</w:t>
        </w:r>
      </w:hyperlink>
      <w:r>
        <w:t>).</w:t>
      </w:r>
    </w:p>
    <w:p>
      <w:r/>
      <w:r>
        <w:t>A instituição dos anciãos sobreviveu ao colapso das instituições reais. Os anciãos estavam presentes durante o Exílio (</w:t>
      </w:r>
      <w:hyperlink r:id="rId1382">
        <w:r>
          <w:rPr>
            <w:color w:val="0000EE"/>
            <w:u w:val="single"/>
          </w:rPr>
          <w:t>Ezequiel 8.1</w:t>
        </w:r>
      </w:hyperlink>
      <w:r>
        <w:t xml:space="preserve">; </w:t>
      </w:r>
      <w:hyperlink r:id="rId1383">
        <w:r>
          <w:rPr>
            <w:color w:val="0000EE"/>
            <w:u w:val="single"/>
          </w:rPr>
          <w:t>14.1</w:t>
        </w:r>
      </w:hyperlink>
      <w:r>
        <w:t xml:space="preserve">; </w:t>
      </w:r>
      <w:hyperlink r:id="rId1384">
        <w:r>
          <w:rPr>
            <w:color w:val="0000EE"/>
            <w:u w:val="single"/>
          </w:rPr>
          <w:t>20.1–3</w:t>
        </w:r>
      </w:hyperlink>
      <w:r>
        <w:t xml:space="preserve">), e da mesma forma, estavam após o retorno (por exemplo, </w:t>
      </w:r>
      <w:hyperlink r:id="rId1385">
        <w:r>
          <w:rPr>
            <w:color w:val="0000EE"/>
            <w:u w:val="single"/>
          </w:rPr>
          <w:t>Esdras 10.16</w:t>
        </w:r>
      </w:hyperlink>
      <w:r>
        <w:t>).</w:t>
      </w:r>
    </w:p>
    <w:p>
      <w:pPr>
        <w:pStyle w:val="Heading3"/>
      </w:pPr>
      <w:r>
        <w:t>No judaísmo do período do Novo Testamento</w:t>
      </w:r>
    </w:p>
    <w:p>
      <w:r/>
      <w:r>
        <w:t>O ofício cristão (ou função) de ancião vem de uma instituição muito semelhante dentro do judaísmo, embora o uso do título “ancião” para designar oficiais de várias associações de culto gregas e magistrados de aldeia possa ter influenciado o desenvolvimento da estrutura da comunidade nas igrejas gentílicas. Nos primeiros três Evangelhos e em Atos, há numerosas referências aos anciãos como funcionários dentro da vida comunitária e religiosa do judaísmo. Geralmente eles são mencionados juntamente com um ou mais outros grupos de funcionários (citando a ARA): “dos anciãos, dos principais sacerdotes e dos escribas” (</w:t>
      </w:r>
      <w:hyperlink r:id="rId1386">
        <w:r>
          <w:rPr>
            <w:color w:val="0000EE"/>
            <w:u w:val="single"/>
          </w:rPr>
          <w:t>Mateus 16.21</w:t>
        </w:r>
      </w:hyperlink>
      <w:r>
        <w:t>); “principais sacerdotes e os anciãos do povo” (</w:t>
      </w:r>
      <w:hyperlink r:id="rId1387">
        <w:r>
          <w:rPr>
            <w:color w:val="0000EE"/>
            <w:u w:val="single"/>
          </w:rPr>
          <w:t>21.23</w:t>
        </w:r>
      </w:hyperlink>
      <w:r>
        <w:t xml:space="preserve">; </w:t>
      </w:r>
      <w:hyperlink r:id="rId1388">
        <w:r>
          <w:rPr>
            <w:color w:val="0000EE"/>
            <w:u w:val="single"/>
          </w:rPr>
          <w:t>26.3, 47</w:t>
        </w:r>
      </w:hyperlink>
      <w:r>
        <w:t>); “os escribas e os anciãos” (</w:t>
      </w:r>
      <w:hyperlink r:id="rId1389">
        <w:r>
          <w:rPr>
            <w:color w:val="0000EE"/>
            <w:u w:val="single"/>
          </w:rPr>
          <w:t>26.57</w:t>
        </w:r>
      </w:hyperlink>
      <w:r>
        <w:t xml:space="preserve">; </w:t>
      </w:r>
      <w:hyperlink r:id="rId1390">
        <w:r>
          <w:rPr>
            <w:color w:val="0000EE"/>
            <w:u w:val="single"/>
          </w:rPr>
          <w:t>27.41</w:t>
        </w:r>
      </w:hyperlink>
      <w:r>
        <w:t>); “principais sacerdotes e os anciãos” (</w:t>
      </w:r>
      <w:hyperlink r:id="rId1391">
        <w:r>
          <w:rPr>
            <w:color w:val="0000EE"/>
            <w:u w:val="single"/>
          </w:rPr>
          <w:t>27.1, 3, 12, 20</w:t>
        </w:r>
      </w:hyperlink>
      <w:r>
        <w:t>); “as autoridades, os anciãos e os escribas” (</w:t>
      </w:r>
      <w:hyperlink r:id="rId1392">
        <w:r>
          <w:rPr>
            <w:color w:val="0000EE"/>
            <w:u w:val="single"/>
          </w:rPr>
          <w:t>Atos 4.5</w:t>
        </w:r>
      </w:hyperlink>
      <w:r>
        <w:t xml:space="preserve">); “autoridades do povo e anciãos” (v </w:t>
      </w:r>
      <w:hyperlink r:id="rId1393">
        <w:r>
          <w:rPr>
            <w:color w:val="0000EE"/>
            <w:u w:val="single"/>
          </w:rPr>
          <w:t>8</w:t>
        </w:r>
      </w:hyperlink>
      <w:r>
        <w:t xml:space="preserve">). A partir dessas passagens do Novo Testamento, não podemos determinar exatamente quais eram suas funções, ou como elas diferiam dos governantes ou escribas. No entanto, os deveres dos anciãos judeus são claramente descritos no tratado </w:t>
      </w:r>
      <w:r>
        <w:rPr>
          <w:i/>
        </w:rPr>
        <w:t>Sinédrio</w:t>
      </w:r>
      <w:r>
        <w:t xml:space="preserve"> na Mishná, bem como nos livros de regras comunitárias dos ascetas de Qumran, descobertos entre os Manuscritos do Mar Morto.</w:t>
      </w:r>
    </w:p>
    <w:p>
      <w:r/>
      <w:r>
        <w:t xml:space="preserve">Cada comunidade judaica tinha seu conselho de anciãos, que tinham supervisão administrativa geral e representavam a comunidade nas relações com as autoridades romanas. Seu dever principal era judicial. Eles eram guardiões da lei e suas interpretações tradicionais (ver </w:t>
      </w:r>
      <w:hyperlink r:id="rId1394">
        <w:r>
          <w:rPr>
            <w:color w:val="0000EE"/>
            <w:u w:val="single"/>
          </w:rPr>
          <w:t>Mateus 15.2</w:t>
        </w:r>
      </w:hyperlink>
      <w:r>
        <w:t>), e eles eram encarregados de sua aplicação e da punição dos ofensores. O mais importante desses conselhos de anciãos era o Sinédrio em Jerusalém, um grupo de 71 homens que agia como a corte final para toda a nação.</w:t>
      </w:r>
    </w:p>
    <w:p>
      <w:pPr>
        <w:pStyle w:val="Heading3"/>
      </w:pPr>
      <w:r>
        <w:t>Na comunidade cristã</w:t>
      </w:r>
    </w:p>
    <w:p>
      <w:r/>
      <w:r>
        <w:t>Uma vez que a igreja primitiva eventualmente se considerava o novo Israel (</w:t>
      </w:r>
      <w:hyperlink r:id="rId1395">
        <w:r>
          <w:rPr>
            <w:color w:val="0000EE"/>
            <w:u w:val="single"/>
          </w:rPr>
          <w:t>Mateus 21.43</w:t>
        </w:r>
      </w:hyperlink>
      <w:r>
        <w:t xml:space="preserve">; </w:t>
      </w:r>
      <w:hyperlink r:id="rId1396">
        <w:r>
          <w:rPr>
            <w:color w:val="0000EE"/>
            <w:u w:val="single"/>
          </w:rPr>
          <w:t>Gálatas 6.16</w:t>
        </w:r>
      </w:hyperlink>
      <w:r>
        <w:t>), é fácil observar a razão dela gradualmente adotar a instituição dos anciãos. Embora seja difícil distinguir a ordem que prevalecia nas primeiras comunidades cristãs, porque aparentemente variava de acordo com o lugar e o período, tanto na forma quanto na extensão, a presença e o funcionamento dos anciãos compunha parte da realidade da vida da igreja primitiva.</w:t>
      </w:r>
    </w:p>
    <w:p>
      <w:r/>
      <w:r>
        <w:t>No relato de Lucas da origem e propagação do cristianismo, os anciãos já estão presentes na igreja em Jerusalém. Em Atos, vemos cristãos em Antioquia enviando suporte de alimentos “aos anciãos [das igrejas da Judeia] por Barnabé e Saulo” (</w:t>
      </w:r>
      <w:hyperlink r:id="rId1397">
        <w:r>
          <w:rPr>
            <w:color w:val="0000EE"/>
            <w:u w:val="single"/>
          </w:rPr>
          <w:t>Atos 11.30</w:t>
        </w:r>
      </w:hyperlink>
      <w:r>
        <w:t>). Em sua primeira viagem missionária, Paulo e Barnabé “designaram anciãos em todas as igrejas” (</w:t>
      </w:r>
      <w:hyperlink r:id="rId1398">
        <w:r>
          <w:rPr>
            <w:color w:val="0000EE"/>
            <w:u w:val="single"/>
          </w:rPr>
          <w:t>14.23</w:t>
        </w:r>
      </w:hyperlink>
      <w:r>
        <w:t>). Mais tarde, Paulo e Barnabé foram enviados de Antioquia para Jerusalém “aos apóstolos e anciãos” sobre a questão da circuncisão dos cristãos gentios (</w:t>
      </w:r>
      <w:hyperlink r:id="rId1399">
        <w:r>
          <w:rPr>
            <w:color w:val="0000EE"/>
            <w:u w:val="single"/>
          </w:rPr>
          <w:t>15.2</w:t>
        </w:r>
      </w:hyperlink>
      <w:r>
        <w:t xml:space="preserve">), e foram “recebidos pela igreja, e os apóstolos e os anciãos” (vs. </w:t>
      </w:r>
      <w:hyperlink r:id="rId1400">
        <w:r>
          <w:rPr>
            <w:color w:val="0000EE"/>
            <w:u w:val="single"/>
          </w:rPr>
          <w:t>4</w:t>
        </w:r>
      </w:hyperlink>
      <w:r>
        <w:t xml:space="preserve">), os quais se reuniram para ouvir o caso e resolver o problema (vs. </w:t>
      </w:r>
      <w:hyperlink r:id="rId1401">
        <w:r>
          <w:rPr>
            <w:color w:val="0000EE"/>
            <w:u w:val="single"/>
          </w:rPr>
          <w:t>6–23</w:t>
        </w:r>
      </w:hyperlink>
      <w:r>
        <w:t>).</w:t>
      </w:r>
    </w:p>
    <w:p>
      <w:r/>
      <w:r>
        <w:t xml:space="preserve">Quem esses anciãos eram, e como eles foram escolhidos, não somos informados. Parece possível argumentar, com base no precedente judaico, que a idade e proeminência lhes deram o privilégio de prestar um serviço especial dentro da comunidade. A veneração pela idade era um sentimento profundamente enraizado entre judeus, e o nome “presbítero” (ancião) foi derivado do uso judaico. Também é possível que, como a nomeação "dos sete” para o serviço especial pela imposição das mãos (Atos </w:t>
      </w:r>
      <w:hyperlink r:id="rId1402">
        <w:r>
          <w:rPr>
            <w:color w:val="0000EE"/>
            <w:u w:val="single"/>
          </w:rPr>
          <w:t>6.1–6</w:t>
        </w:r>
      </w:hyperlink>
      <w:r>
        <w:t>), os primeiros anciãos na igreja de Jerusalém foram nomeados pelos apóstolos. Aparentemente, eles funcionavam na comunidade cristã de maneiras comparáveis aos anciãos nas comunidades judaicas e no Sinédrio (</w:t>
      </w:r>
      <w:hyperlink r:id="rId1397">
        <w:r>
          <w:rPr>
            <w:color w:val="0000EE"/>
            <w:u w:val="single"/>
          </w:rPr>
          <w:t>11.30</w:t>
        </w:r>
      </w:hyperlink>
      <w:r>
        <w:t xml:space="preserve">; </w:t>
      </w:r>
      <w:hyperlink r:id="rId1403">
        <w:r>
          <w:rPr>
            <w:color w:val="0000EE"/>
            <w:u w:val="single"/>
          </w:rPr>
          <w:t>15.2–6, 22–23</w:t>
        </w:r>
      </w:hyperlink>
      <w:r>
        <w:t xml:space="preserve">; </w:t>
      </w:r>
      <w:hyperlink r:id="rId1404">
        <w:r>
          <w:rPr>
            <w:color w:val="0000EE"/>
            <w:u w:val="single"/>
          </w:rPr>
          <w:t>16.4</w:t>
        </w:r>
      </w:hyperlink>
      <w:r>
        <w:t xml:space="preserve">; </w:t>
      </w:r>
      <w:hyperlink r:id="rId1405">
        <w:r>
          <w:rPr>
            <w:color w:val="0000EE"/>
            <w:u w:val="single"/>
          </w:rPr>
          <w:t>21.18</w:t>
        </w:r>
      </w:hyperlink>
      <w:r>
        <w:t>).</w:t>
      </w:r>
    </w:p>
    <w:p>
      <w:r/>
      <w:r>
        <w:t>Aparentemente, Paulo continuou a prática entre as igrejas gentias, embora os anciãos não sejam mencionados nos primeiros escritos Paulinos. Eles são mencionados apenas nas Epístolas Pastorais (</w:t>
      </w:r>
      <w:hyperlink r:id="rId1406">
        <w:r>
          <w:rPr>
            <w:color w:val="0000EE"/>
            <w:u w:val="single"/>
          </w:rPr>
          <w:t>1 Timóteo 5.17, 19</w:t>
        </w:r>
      </w:hyperlink>
      <w:r>
        <w:t xml:space="preserve">; </w:t>
      </w:r>
      <w:hyperlink r:id="rId1407">
        <w:r>
          <w:rPr>
            <w:color w:val="0000EE"/>
            <w:u w:val="single"/>
          </w:rPr>
          <w:t>Tito 1.5</w:t>
        </w:r>
      </w:hyperlink>
      <w:r>
        <w:t>). Em sua última viagem para Jerusalém, Paulo convocou os anciãos da igreja em Éfeso a Mileto (</w:t>
      </w:r>
      <w:hyperlink r:id="rId1408">
        <w:r>
          <w:rPr>
            <w:color w:val="0000EE"/>
            <w:u w:val="single"/>
          </w:rPr>
          <w:t>Atos 20.17</w:t>
        </w:r>
      </w:hyperlink>
      <w:r>
        <w:t>) para se despedir deles, e instruí-los a serem fiéis em sua tarefa de supervisionar e zelar pelo rebanho cristão, a igreja de Deus (</w:t>
      </w:r>
      <w:hyperlink r:id="rId1409">
        <w:r>
          <w:rPr>
            <w:color w:val="0000EE"/>
            <w:u w:val="single"/>
          </w:rPr>
          <w:t>20.28</w:t>
        </w:r>
      </w:hyperlink>
      <w:r>
        <w:t>).</w:t>
      </w:r>
    </w:p>
    <w:p>
      <w:r/>
      <w:r>
        <w:t>Embora os anciãos não sejam explicitamente mencionados nas primeiras cartas de Paulo, eles podem estar entre os líderes que presidiam as congregações (</w:t>
      </w:r>
      <w:hyperlink r:id="rId1410">
        <w:r>
          <w:rPr>
            <w:color w:val="0000EE"/>
            <w:u w:val="single"/>
          </w:rPr>
          <w:t>Rm 12.8</w:t>
        </w:r>
      </w:hyperlink>
      <w:r>
        <w:t xml:space="preserve">; </w:t>
      </w:r>
      <w:hyperlink r:id="rId1411">
        <w:r>
          <w:rPr>
            <w:color w:val="0000EE"/>
            <w:u w:val="single"/>
          </w:rPr>
          <w:t>1Ts 5.12–13</w:t>
        </w:r>
      </w:hyperlink>
      <w:r>
        <w:t xml:space="preserve">). </w:t>
      </w:r>
      <w:hyperlink r:id="rId1412">
        <w:r>
          <w:rPr>
            <w:color w:val="0000EE"/>
            <w:u w:val="single"/>
          </w:rPr>
          <w:t>Filipenses 1.1</w:t>
        </w:r>
      </w:hyperlink>
      <w:r>
        <w:t xml:space="preserve"> certamente revela uma estratificação definida de liderança (“bispos e diáconos”) dentro de uma recente congregação Paulina. E </w:t>
      </w:r>
      <w:hyperlink r:id="rId1406">
        <w:r>
          <w:rPr>
            <w:color w:val="0000EE"/>
            <w:u w:val="single"/>
          </w:rPr>
          <w:t>1 Timóteo 5.17</w:t>
        </w:r>
      </w:hyperlink>
      <w:r>
        <w:t xml:space="preserve">, refletindo o que muitas vezes é considerado uma fase posterior no desenvolvimento do governo da igreja, atribui as funções de pregação e ensino aos anciãos governantes. Além disso, o fato dos anciãos cristãos exercerem funções pastorais pode ser inferido de </w:t>
      </w:r>
      <w:hyperlink r:id="rId1413">
        <w:r>
          <w:rPr>
            <w:color w:val="0000EE"/>
            <w:u w:val="single"/>
          </w:rPr>
          <w:t>1 Pedro 5.1–5</w:t>
        </w:r>
      </w:hyperlink>
      <w:r>
        <w:t xml:space="preserve"> e </w:t>
      </w:r>
      <w:hyperlink r:id="rId1414">
        <w:r>
          <w:rPr>
            <w:color w:val="0000EE"/>
            <w:u w:val="single"/>
          </w:rPr>
          <w:t>Tiago 5.14</w:t>
        </w:r>
      </w:hyperlink>
      <w:r>
        <w:t>.</w:t>
      </w:r>
    </w:p>
    <w:p>
      <w:r/>
      <w:r>
        <w:t>Há uma passagem onde encontramos uma possível identificação de um apóstolo (Pedro) como também sendo um ancião: “Eu, que também sou presbítero [ancião], dou agora conselhos aos outros presbíteros [anciãos] que estão entre vocês. Sou uma testemunha dos sofrimentos de Cristo” (</w:t>
      </w:r>
      <w:hyperlink r:id="rId1415">
        <w:r>
          <w:rPr>
            <w:color w:val="0000EE"/>
            <w:u w:val="single"/>
          </w:rPr>
          <w:t>1 Pedro 5.1a</w:t>
        </w:r>
      </w:hyperlink>
      <w:r>
        <w:t>). Este texto pode indicar que os anciãos foram apontados e funcionavam como extensões do serviço apostólico. A prática de Paulo de nomear anciãos nas igrejas antes de sua partida pode apoiar tal sugestão. O fato de que, na tradição da igreja mais tarde o “ancião” de 2 e 3 João foi identificado como o apóstolo João aponta em uma direção semelhante. Embora tal identificação esteja implícita, os apóstolos poderiam funcionar como anciãos, mas não o contrário.</w:t>
      </w:r>
    </w:p>
    <w:p>
      <w:r/>
      <w:r>
        <w:t xml:space="preserve">Os anciãos tinham várias funções. Por exemplo, </w:t>
      </w:r>
      <w:hyperlink r:id="rId1406">
        <w:r>
          <w:rPr>
            <w:color w:val="0000EE"/>
            <w:u w:val="single"/>
          </w:rPr>
          <w:t>1 Timóteo 5.17</w:t>
        </w:r>
      </w:hyperlink>
      <w:r>
        <w:t xml:space="preserve"> fala dos anciãos como envolvidos na pregação e ensino; </w:t>
      </w:r>
      <w:hyperlink r:id="rId1414">
        <w:r>
          <w:rPr>
            <w:color w:val="0000EE"/>
            <w:u w:val="single"/>
          </w:rPr>
          <w:t>Tiago 5.14</w:t>
        </w:r>
      </w:hyperlink>
      <w:r>
        <w:t xml:space="preserve"> os vê envolvidos em um ministério de cura; </w:t>
      </w:r>
      <w:hyperlink r:id="rId1416">
        <w:r>
          <w:rPr>
            <w:color w:val="0000EE"/>
            <w:u w:val="single"/>
          </w:rPr>
          <w:t>1 Pedro 5.2</w:t>
        </w:r>
      </w:hyperlink>
      <w:r>
        <w:t xml:space="preserve"> os exorta a apascentar o rebanho. Assim, os profetas e mestres que lideravam a igreja em Antioquia (de acordo com </w:t>
      </w:r>
      <w:hyperlink r:id="rId1417">
        <w:r>
          <w:rPr>
            <w:color w:val="0000EE"/>
            <w:u w:val="single"/>
          </w:rPr>
          <w:t>Atos 13.1–3</w:t>
        </w:r>
      </w:hyperlink>
      <w:r>
        <w:t>) podem muito bem ter sido os anciãos desta comunidade.</w:t>
      </w:r>
    </w:p>
    <w:p>
      <w:r/>
      <w:r>
        <w:t>Considerando que na igreja posterior os bispos e anciãos eram claramente distinguidos, o NT reflete um período inicial em que esses ofícios eram praticamente sinônimos. Na fala de despedida de Paulo em Mileto (</w:t>
      </w:r>
      <w:hyperlink r:id="rId1418">
        <w:r>
          <w:rPr>
            <w:color w:val="0000EE"/>
            <w:u w:val="single"/>
          </w:rPr>
          <w:t>Atos 20</w:t>
        </w:r>
      </w:hyperlink>
      <w:r>
        <w:t xml:space="preserve">), dirigida especificamente aos anciãos da igreja de Éfeso (v </w:t>
      </w:r>
      <w:hyperlink r:id="rId1408">
        <w:r>
          <w:rPr>
            <w:color w:val="0000EE"/>
            <w:u w:val="single"/>
          </w:rPr>
          <w:t>17</w:t>
        </w:r>
      </w:hyperlink>
      <w:r>
        <w:t xml:space="preserve">), ele lhes diz que o Espírito Santo os tornou “bispos [supervisores], a fim de cuidarem da igreja de Deus” (v </w:t>
      </w:r>
      <w:hyperlink r:id="rId1409">
        <w:r>
          <w:rPr>
            <w:color w:val="0000EE"/>
            <w:u w:val="single"/>
          </w:rPr>
          <w:t>28</w:t>
        </w:r>
      </w:hyperlink>
      <w:r>
        <w:t xml:space="preserve">). Se “supervisor” é usado aqui no sentido técnico posterior de bispo ou no sentido mais geral de guardião não é claro. No entanto, em </w:t>
      </w:r>
      <w:hyperlink r:id="rId1419">
        <w:r>
          <w:rPr>
            <w:color w:val="0000EE"/>
            <w:u w:val="single"/>
          </w:rPr>
          <w:t>Tito 1.5–7</w:t>
        </w:r>
      </w:hyperlink>
      <w:r>
        <w:t xml:space="preserve">, os anciãos do verso </w:t>
      </w:r>
      <w:hyperlink r:id="rId1407">
        <w:r>
          <w:rPr>
            <w:color w:val="0000EE"/>
            <w:u w:val="single"/>
          </w:rPr>
          <w:t>5</w:t>
        </w:r>
      </w:hyperlink>
      <w:r>
        <w:t xml:space="preserve"> são claramente as mesmas pessoas que os bispos do verso </w:t>
      </w:r>
      <w:hyperlink r:id="rId1420">
        <w:r>
          <w:rPr>
            <w:color w:val="0000EE"/>
            <w:u w:val="single"/>
          </w:rPr>
          <w:t>7</w:t>
        </w:r>
      </w:hyperlink>
      <w:r>
        <w:t xml:space="preserve">. Novamente, os bispos de </w:t>
      </w:r>
      <w:hyperlink r:id="rId1412">
        <w:r>
          <w:rPr>
            <w:color w:val="0000EE"/>
            <w:u w:val="single"/>
          </w:rPr>
          <w:t>Filipenses 1.1</w:t>
        </w:r>
      </w:hyperlink>
      <w:r>
        <w:t xml:space="preserve"> são provavelmente entendidos como os anciãos escolhidos por Paulo ao deixar este campo missionário.</w:t>
      </w:r>
    </w:p>
    <w:p>
      <w:r/>
      <w:r>
        <w:t>Fica claro que o governo da igreja no período do NT ainda era relativamente fluido, mas as sementes para as estruturas posteriores foram certamente plantadas. A instituição dos anciãos, com base no precedente judaico, era central. O episcopado (superintendentes/bispos) provavelmente emergiu do presbiterato (anciãos), um ancião sendo nomeado como superintendente por todo o conselho de anciãos.</w:t>
      </w:r>
    </w:p>
    <w:p>
      <w:r/>
      <w:r>
        <w:rPr>
          <w:i/>
        </w:rPr>
        <w:t>Veja também</w:t>
      </w:r>
      <w:r>
        <w:t xml:space="preserve"> </w:t>
      </w:r>
      <w:r>
        <w:t>Bispo</w:t>
      </w:r>
      <w:r>
        <w:t xml:space="preserve">; </w:t>
      </w:r>
      <w:r>
        <w:t>Diácono, Diaconisa</w:t>
      </w:r>
      <w:r>
        <w:t xml:space="preserve">; </w:t>
      </w:r>
      <w:r>
        <w:t>Pastor</w:t>
      </w:r>
      <w:r>
        <w:t xml:space="preserve">; </w:t>
      </w:r>
      <w:r>
        <w:t>Presbítero</w:t>
      </w:r>
      <w:r>
        <w:t xml:space="preserve">; </w:t>
      </w:r>
      <w:r>
        <w:t>Dons espirituais</w:t>
      </w:r>
      <w:r>
        <w:t>.</w:t>
      </w:r>
      <w:r/>
      <w:r/>
    </w:p>
    <w:p>
      <w:r/>
    </w:p>
    <w:p>
      <w:pPr>
        <w:pStyle w:val="Heading2"/>
      </w:pPr>
      <w:r>
        <w:t>Âncora</w:t>
      </w:r>
      <w:r/>
    </w:p>
    <w:p>
      <w:r/>
      <w:r>
        <w:t>Um objeto usado para manter um navio ou barco em um lugar na água. Uma âncora é presa a um navio por um cabo ou corrente. Quando lançada ao mar, seu peso e capacidade de se fixar no fundo do mar impedem o barco de derivar.</w:t>
      </w:r>
    </w:p>
    <w:p>
      <w:r/>
      <w:r>
        <w:t>Âncoras foram usadas muitos séculos antes da época de Cristo. Elas começaram como simples pesos de pedra e evoluíram para pesados ganchos de madeira com chumbo ou pedra.</w:t>
      </w:r>
    </w:p>
    <w:p>
      <w:r/>
      <w:r>
        <w:t>Não muito tempo depois da época de Cristo, âncoras de ferro com a forma moderna familiar foram usadas. As âncoras são mencionadas no relato de Lucas sobre a viagem do apóstolo Paulo a Roma (</w:t>
      </w:r>
      <w:hyperlink r:id="rId1421">
        <w:r>
          <w:rPr>
            <w:color w:val="0000EE"/>
            <w:u w:val="single"/>
          </w:rPr>
          <w:t>At 27.13</w:t>
        </w:r>
      </w:hyperlink>
      <w:r>
        <w:t>,</w:t>
      </w:r>
      <w:hyperlink r:id="rId1422">
        <w:r>
          <w:rPr>
            <w:color w:val="0000EE"/>
            <w:u w:val="single"/>
          </w:rPr>
          <w:t>29–30</w:t>
        </w:r>
      </w:hyperlink>
      <w:r>
        <w:t>,</w:t>
      </w:r>
      <w:hyperlink r:id="rId1423">
        <w:r>
          <w:rPr>
            <w:color w:val="0000EE"/>
            <w:u w:val="single"/>
          </w:rPr>
          <w:t>40</w:t>
        </w:r>
      </w:hyperlink>
      <w:r>
        <w:t xml:space="preserve">). </w:t>
      </w:r>
      <w:hyperlink r:id="rId955">
        <w:r>
          <w:rPr>
            <w:color w:val="0000EE"/>
            <w:u w:val="single"/>
          </w:rPr>
          <w:t>Hebreus 6.19</w:t>
        </w:r>
      </w:hyperlink>
      <w:r>
        <w:t xml:space="preserve"> usa "âncora" como um símbolo para indicar a estabilidade da promessa de salvação de Deus para aqueles que acreditam nele.</w:t>
      </w:r>
      <w:r/>
      <w:r/>
    </w:p>
    <w:p>
      <w:r/>
    </w:p>
    <w:p>
      <w:pPr>
        <w:pStyle w:val="Heading2"/>
      </w:pPr>
      <w:r>
        <w:t>André, O Apóstolo</w:t>
      </w:r>
      <w:r/>
    </w:p>
    <w:p>
      <w:r/>
      <w:r>
        <w:t>Um dos 12 apóstolos de Cristo. André aparece pela primeira vez no NT como um discípulo de João Batista (</w:t>
      </w:r>
      <w:hyperlink r:id="rId1424">
        <w:r>
          <w:rPr>
            <w:color w:val="0000EE"/>
            <w:u w:val="single"/>
          </w:rPr>
          <w:t>Jo 1.35, 40</w:t>
        </w:r>
      </w:hyperlink>
      <w:r>
        <w:t>). Após ouvir João dizer: “Veja, ali está o Cordeiro de Deus!” (</w:t>
      </w:r>
      <w:hyperlink r:id="rId1425">
        <w:r>
          <w:rPr>
            <w:color w:val="0000EE"/>
            <w:u w:val="single"/>
          </w:rPr>
          <w:t>Jo 1.36</w:t>
        </w:r>
      </w:hyperlink>
      <w:r>
        <w:t>), referindo-se a Jesus, André e outro discípulo sem nome seguiram Jesus e ficaram com ele por um dia (</w:t>
      </w:r>
      <w:hyperlink r:id="rId1426">
        <w:r>
          <w:rPr>
            <w:color w:val="0000EE"/>
            <w:u w:val="single"/>
          </w:rPr>
          <w:t>Jo 1.36–39</w:t>
        </w:r>
      </w:hyperlink>
      <w:r>
        <w:t>). André então disse a seu irmão, Simão Pedro, que ele havia encontrado o Messias e trouxe Pedro até Jesus (</w:t>
      </w:r>
      <w:hyperlink r:id="rId1427">
        <w:r>
          <w:rPr>
            <w:color w:val="0000EE"/>
            <w:u w:val="single"/>
          </w:rPr>
          <w:t>Jo 1.40–42</w:t>
        </w:r>
      </w:hyperlink>
      <w:r>
        <w:t>). A partir de então, André desapareceu em segundo plano, e seu irmão ganhou destaque. Sempre que o relacionamento dos dois é mencionado, André é sempre descrito como o irmão de Simão Pedro e nunca o contrário (</w:t>
      </w:r>
      <w:hyperlink r:id="rId1428">
        <w:r>
          <w:rPr>
            <w:color w:val="0000EE"/>
            <w:u w:val="single"/>
          </w:rPr>
          <w:t>Mt 4.18</w:t>
        </w:r>
      </w:hyperlink>
      <w:r>
        <w:t xml:space="preserve">; </w:t>
      </w:r>
      <w:hyperlink r:id="rId1429">
        <w:r>
          <w:rPr>
            <w:color w:val="0000EE"/>
            <w:u w:val="single"/>
          </w:rPr>
          <w:t>Mc 1.16</w:t>
        </w:r>
      </w:hyperlink>
      <w:r>
        <w:t xml:space="preserve">; </w:t>
      </w:r>
      <w:hyperlink r:id="rId1430">
        <w:r>
          <w:rPr>
            <w:color w:val="0000EE"/>
            <w:u w:val="single"/>
          </w:rPr>
          <w:t>Jo 1.40</w:t>
        </w:r>
      </w:hyperlink>
      <w:r>
        <w:t xml:space="preserve">; </w:t>
      </w:r>
      <w:hyperlink r:id="rId1431">
        <w:r>
          <w:rPr>
            <w:color w:val="0000EE"/>
            <w:u w:val="single"/>
          </w:rPr>
          <w:t>6.8</w:t>
        </w:r>
      </w:hyperlink>
      <w:r>
        <w:t>), embora André também seja mencionado sem referência ao seu relacionamento com Pedro (</w:t>
      </w:r>
      <w:hyperlink r:id="rId1432">
        <w:r>
          <w:rPr>
            <w:color w:val="0000EE"/>
            <w:u w:val="single"/>
          </w:rPr>
          <w:t>Mc 1.29</w:t>
        </w:r>
      </w:hyperlink>
      <w:r>
        <w:t xml:space="preserve">; </w:t>
      </w:r>
      <w:hyperlink r:id="rId748">
        <w:r>
          <w:rPr>
            <w:color w:val="0000EE"/>
            <w:u w:val="single"/>
          </w:rPr>
          <w:t>3.18</w:t>
        </w:r>
      </w:hyperlink>
      <w:r>
        <w:t xml:space="preserve">; </w:t>
      </w:r>
      <w:hyperlink r:id="rId1433">
        <w:r>
          <w:rPr>
            <w:color w:val="0000EE"/>
            <w:u w:val="single"/>
          </w:rPr>
          <w:t>13.3</w:t>
        </w:r>
      </w:hyperlink>
      <w:r>
        <w:t xml:space="preserve">; </w:t>
      </w:r>
      <w:hyperlink r:id="rId1434">
        <w:r>
          <w:rPr>
            <w:color w:val="0000EE"/>
            <w:u w:val="single"/>
          </w:rPr>
          <w:t>Jo 12.22</w:t>
        </w:r>
      </w:hyperlink>
      <w:r>
        <w:t>). O pai de André era João (</w:t>
      </w:r>
      <w:hyperlink r:id="rId1435">
        <w:r>
          <w:rPr>
            <w:color w:val="0000EE"/>
            <w:u w:val="single"/>
          </w:rPr>
          <w:t>Mt 16.17</w:t>
        </w:r>
      </w:hyperlink>
      <w:r>
        <w:t xml:space="preserve">; </w:t>
      </w:r>
      <w:hyperlink r:id="rId1436">
        <w:r>
          <w:rPr>
            <w:color w:val="0000EE"/>
            <w:u w:val="single"/>
          </w:rPr>
          <w:t>Jo 1.42</w:t>
        </w:r>
      </w:hyperlink>
      <w:r>
        <w:t xml:space="preserve">; </w:t>
      </w:r>
      <w:hyperlink r:id="rId1437">
        <w:r>
          <w:rPr>
            <w:color w:val="0000EE"/>
            <w:u w:val="single"/>
          </w:rPr>
          <w:t>21.15–17</w:t>
        </w:r>
      </w:hyperlink>
      <w:r>
        <w:t>), e sua cidade natal era Betsaida (</w:t>
      </w:r>
      <w:hyperlink r:id="rId1438">
        <w:r>
          <w:rPr>
            <w:color w:val="0000EE"/>
            <w:u w:val="single"/>
          </w:rPr>
          <w:t>Jo 1.44</w:t>
        </w:r>
      </w:hyperlink>
      <w:r>
        <w:t>), uma aldeia na margem norte do Mar da Galileia.</w:t>
      </w:r>
    </w:p>
    <w:p>
      <w:r/>
      <w:r>
        <w:t>O Evangelho de João menciona discípulos estando com Jesus (</w:t>
      </w:r>
      <w:hyperlink r:id="rId1439">
        <w:r>
          <w:rPr>
            <w:color w:val="0000EE"/>
            <w:u w:val="single"/>
          </w:rPr>
          <w:t>2.2</w:t>
        </w:r>
      </w:hyperlink>
      <w:r>
        <w:t xml:space="preserve">; </w:t>
      </w:r>
      <w:hyperlink r:id="rId1440">
        <w:r>
          <w:rPr>
            <w:color w:val="0000EE"/>
            <w:u w:val="single"/>
          </w:rPr>
          <w:t>4.2</w:t>
        </w:r>
      </w:hyperlink>
      <w:r>
        <w:t>), e é provável que André fosse um dos que fizeram parte desse grupo inicial. Evidentemente, no entanto, ele voltou para sua atividade como pescador no Mar da Galileia, onde ele dividiu uma casa com Pedro e sua família em Cafarnaum (</w:t>
      </w:r>
      <w:hyperlink r:id="rId1441">
        <w:r>
          <w:rPr>
            <w:color w:val="0000EE"/>
            <w:u w:val="single"/>
          </w:rPr>
          <w:t>Mt 4.18–20</w:t>
        </w:r>
      </w:hyperlink>
      <w:r>
        <w:t xml:space="preserve">; </w:t>
      </w:r>
      <w:hyperlink r:id="rId1442">
        <w:r>
          <w:rPr>
            <w:color w:val="0000EE"/>
            <w:u w:val="single"/>
          </w:rPr>
          <w:t>Mc 1.16–18, 29–33</w:t>
        </w:r>
      </w:hyperlink>
      <w:r>
        <w:t>). Enquanto eles estavam pescando, André e Pedro receberam um chamado claro para seguir Jesus e se tornarem pescadores de homens. Entre os discípulos de Jesus, um grupo de 12 foi mais tarde escolhido de forma especial como apóstolos. André é sempre listado entre os primeiros quatro nomeados, juntamente com Pedro e dois outros irmãos, João e Tiago (</w:t>
      </w:r>
      <w:hyperlink r:id="rId1443">
        <w:r>
          <w:rPr>
            <w:color w:val="0000EE"/>
            <w:u w:val="single"/>
          </w:rPr>
          <w:t>Mt 10.2–4</w:t>
        </w:r>
      </w:hyperlink>
      <w:r>
        <w:t xml:space="preserve">; </w:t>
      </w:r>
      <w:hyperlink r:id="rId1444">
        <w:r>
          <w:rPr>
            <w:color w:val="0000EE"/>
            <w:u w:val="single"/>
          </w:rPr>
          <w:t>Lc 6.13–16</w:t>
        </w:r>
      </w:hyperlink>
      <w:r>
        <w:t xml:space="preserve">; </w:t>
      </w:r>
      <w:hyperlink r:id="rId750">
        <w:r>
          <w:rPr>
            <w:color w:val="0000EE"/>
            <w:u w:val="single"/>
          </w:rPr>
          <w:t>Atos 1.13</w:t>
        </w:r>
      </w:hyperlink>
      <w:r>
        <w:t>).</w:t>
      </w:r>
    </w:p>
    <w:p>
      <w:r/>
      <w:r>
        <w:t>André é nomeado em apenas três outros contextos nos Evangelhos. Ao alimentar os 5.000, ele chamou a atenção para o menino que tinha cinco pães de cevada e dois peixes (</w:t>
      </w:r>
      <w:hyperlink r:id="rId1445">
        <w:r>
          <w:rPr>
            <w:color w:val="0000EE"/>
            <w:u w:val="single"/>
          </w:rPr>
          <w:t>Jo 6.8–9</w:t>
        </w:r>
      </w:hyperlink>
      <w:r>
        <w:t>). Quando certos gregos vieram a Filipe, pedindo para ver Jesus, Filipe comunicou a André e, em seguida, os dois informaram a Jesus (</w:t>
      </w:r>
      <w:hyperlink r:id="rId1446">
        <w:r>
          <w:rPr>
            <w:color w:val="0000EE"/>
            <w:u w:val="single"/>
          </w:rPr>
          <w:t>Jo 12.20–22</w:t>
        </w:r>
      </w:hyperlink>
      <w:r>
        <w:t>). Finalmente, André é listado entre aqueles que estavam questionando Jesus em particular no Monte das Oliveiras. (</w:t>
      </w:r>
      <w:hyperlink r:id="rId1447">
        <w:r>
          <w:rPr>
            <w:color w:val="0000EE"/>
            <w:u w:val="single"/>
          </w:rPr>
          <w:t>Mc 13.3–4</w:t>
        </w:r>
      </w:hyperlink>
      <w:r>
        <w:t>). A última menção do NT de André está na lista de apóstolos que esperam na sala superior em Jerusalém para o derramamento prometido do Espírito Santo (</w:t>
      </w:r>
      <w:hyperlink r:id="rId1448">
        <w:r>
          <w:rPr>
            <w:color w:val="0000EE"/>
            <w:u w:val="single"/>
          </w:rPr>
          <w:t>Atos 1.12–14</w:t>
        </w:r>
      </w:hyperlink>
      <w:r>
        <w:t>).</w:t>
      </w:r>
    </w:p>
    <w:p>
      <w:r/>
      <w:r>
        <w:t xml:space="preserve">Vários documentos associados com André, como os Atos de André mencionados pelo historiador da igreja primitiva Eusébio, são de valor duvidoso. Algumas tradições indicam que André ministrou na Cítia. De acordo com o Cânon Muratoriano, André recebeu uma revelação à noite de que o apóstolo João deveria escrever o quarto Evangelho. A tradição é bastante uniforme que André tenha morrido em Patras em Acaia. Surgiu uma história de que ele foi martirizado em uma cruz em forma de X (uma cruz "decussata" ou "saltério"), que ficou conhecida como Cruz de Santo André. Outra tradição é que um braço do falecido André foi levado para a Escócia como relíquia por Régulo, e assim André se tornou conhecido como padroeiro da Escócia. No calendário dos santos das igrejas romana e grega, a data de André é definida como 30 de novembro. </w:t>
      </w:r>
      <w:r>
        <w:rPr>
          <w:i/>
        </w:rPr>
        <w:t>Veja</w:t>
      </w:r>
      <w:r>
        <w:t xml:space="preserve"> </w:t>
      </w:r>
      <w:r>
        <w:t>Apócrifos (Titles Específicos dos Escritos Apócrifos): André, Atos de</w:t>
      </w:r>
      <w:r>
        <w:t>; André, História de; André e Matias, Atos de; André e Paulo, Atos de.</w:t>
      </w:r>
    </w:p>
    <w:p>
      <w:r/>
      <w:r>
        <w:rPr>
          <w:i/>
        </w:rPr>
        <w:t>Veja também</w:t>
      </w:r>
      <w:r>
        <w:t xml:space="preserve"> </w:t>
      </w:r>
      <w:r>
        <w:t>Apóstolo, Apostolado</w:t>
      </w:r>
      <w:r>
        <w:t>.</w:t>
      </w:r>
      <w:r/>
      <w:r/>
    </w:p>
    <w:p>
      <w:r/>
    </w:p>
    <w:p>
      <w:pPr>
        <w:pStyle w:val="Heading2"/>
      </w:pPr>
      <w:r>
        <w:t>Aner (Pessoa)</w:t>
      </w:r>
      <w:r/>
    </w:p>
    <w:p>
      <w:r/>
      <w:r>
        <w:t>Um aliado amorita de Abrão e irmão de Manre e Escol (</w:t>
      </w:r>
      <w:hyperlink r:id="rId1449">
        <w:r>
          <w:rPr>
            <w:color w:val="0000EE"/>
            <w:u w:val="single"/>
          </w:rPr>
          <w:t>Gn 14.13</w:t>
        </w:r>
      </w:hyperlink>
      <w:r>
        <w:t>). Junto com seus irmãos, Aner ajudou Abrão a derrotar um grupo de quatro reis que haviam saqueado Sodoma e Gomorra e capturado Ló, sobrinho de Abrão (</w:t>
      </w:r>
      <w:hyperlink r:id="rId1450">
        <w:r>
          <w:rPr>
            <w:color w:val="0000EE"/>
            <w:u w:val="single"/>
          </w:rPr>
          <w:t>Gn 14.14–16,21–24</w:t>
        </w:r>
      </w:hyperlink>
      <w:r>
        <w:t>).</w:t>
      </w:r>
      <w:r/>
      <w:r/>
    </w:p>
    <w:p>
      <w:r/>
    </w:p>
    <w:p>
      <w:pPr>
        <w:pStyle w:val="Heading2"/>
      </w:pPr>
      <w:r>
        <w:t>Anfípolis</w:t>
      </w:r>
      <w:r/>
    </w:p>
    <w:p>
      <w:r/>
      <w:r>
        <w:t>Uma cidade na antiga Grécia. Foi, em tempos passados, o lar da tribo Trácia dos Edônios. Anfípolis ocupava uma localização estratégica em uma área fértil na margem oriental do rio Estrímon. Seu nome significa "cidade ao redor", possivelmente referindo-se ao rio que circunda a cidade em três lados. Está localizada a cerca de 48,2 quilômetros de Filipos. Por fim, tornou-se uma importante estação na estrada romana chamada Via Egnátia. Em sua segunda viagem missionária, Paulo passou por este centro comercial a caminho de Tessalônica (</w:t>
      </w:r>
      <w:hyperlink r:id="rId1451">
        <w:r>
          <w:rPr>
            <w:color w:val="0000EE"/>
            <w:u w:val="single"/>
          </w:rPr>
          <w:t>At 17.1</w:t>
        </w:r>
      </w:hyperlink>
      <w:r>
        <w:t>).</w:t>
      </w:r>
      <w:r/>
      <w:r/>
    </w:p>
    <w:p>
      <w:r/>
    </w:p>
    <w:p>
      <w:pPr>
        <w:pStyle w:val="Heading2"/>
      </w:pPr>
      <w:r>
        <w:t>Animais</w:t>
      </w:r>
      <w:r/>
    </w:p>
    <w:p>
      <w:r/>
      <w:r>
        <w:t>No uso bíblico, todos os membros do reino animal. Os animais são mencionados em toda a Bíblia, de Gênesis até Apocalipse. Os animais figuraram em muitos eventos bíblicos importantes, incluindo a Criação, a queda do homem, o Dilúvio, as dez pragas no Egito, o sistema de adoração hebraico e a vida de Jesus Cristo. As pessoas dos tempos do AT e do NT viviam perto da terra e estavam bem familiarizadas com vários animais, de modo que os escritores das escrituras e o próprio Jesus frequentemente usavam animais como lições de objeto.</w:t>
      </w:r>
    </w:p>
    <w:p>
      <w:r/>
      <w:r>
        <w:t xml:space="preserve">A abordagem bíblica para classificar os animais é um pouco diferente do sistema de classificação usado pelos biólogos hoje. O atual sistema de classificação, que remonta a Carolus Linnaeus (um botânico sueco do século 18), é baseado na estrutura, tanto interna quanto externa. A base bíblica da classificação é o habitat. Assim </w:t>
      </w:r>
      <w:hyperlink r:id="rId1452">
        <w:r>
          <w:rPr>
            <w:color w:val="0000EE"/>
            <w:u w:val="single"/>
          </w:rPr>
          <w:t>Gênesis 1</w:t>
        </w:r>
      </w:hyperlink>
      <w:r>
        <w:t xml:space="preserve"> fala de organismos aquáticos (v. </w:t>
      </w:r>
      <w:hyperlink r:id="rId892">
        <w:r>
          <w:rPr>
            <w:color w:val="0000EE"/>
            <w:u w:val="single"/>
          </w:rPr>
          <w:t>20</w:t>
        </w:r>
      </w:hyperlink>
      <w:r>
        <w:t xml:space="preserve">); organismos aéreos (v. </w:t>
      </w:r>
      <w:hyperlink r:id="rId1453">
        <w:r>
          <w:rPr>
            <w:color w:val="0000EE"/>
            <w:u w:val="single"/>
          </w:rPr>
          <w:t>21</w:t>
        </w:r>
      </w:hyperlink>
      <w:r>
        <w:t xml:space="preserve">); animais que rastejam no chão (v. </w:t>
      </w:r>
      <w:hyperlink r:id="rId1454">
        <w:r>
          <w:rPr>
            <w:color w:val="0000EE"/>
            <w:u w:val="single"/>
          </w:rPr>
          <w:t>24</w:t>
        </w:r>
      </w:hyperlink>
      <w:r>
        <w:t xml:space="preserve">); gado ou animais domesticados (animais que vivem em associação com humanos) (v. </w:t>
      </w:r>
      <w:hyperlink r:id="rId1454">
        <w:r>
          <w:rPr>
            <w:color w:val="0000EE"/>
            <w:u w:val="single"/>
          </w:rPr>
          <w:t>24</w:t>
        </w:r>
      </w:hyperlink>
      <w:r>
        <w:t xml:space="preserve">); e animais selvagens (v. </w:t>
      </w:r>
      <w:hyperlink r:id="rId1454">
        <w:r>
          <w:rPr>
            <w:color w:val="0000EE"/>
            <w:u w:val="single"/>
          </w:rPr>
          <w:t>24</w:t>
        </w:r>
      </w:hyperlink>
      <w:r>
        <w:t xml:space="preserve">). O mesmo sistema de classificação é seguido em </w:t>
      </w:r>
      <w:hyperlink r:id="rId1455">
        <w:r>
          <w:rPr>
            <w:color w:val="0000EE"/>
            <w:u w:val="single"/>
          </w:rPr>
          <w:t>Levítico 11</w:t>
        </w:r>
      </w:hyperlink>
      <w:r>
        <w:t xml:space="preserve"> e ao longo das Escrituras.</w:t>
      </w:r>
    </w:p>
    <w:p>
      <w:r/>
      <w:r>
        <w:t>Por causa da divergência entre sistemas de classificação, os vários animais da Bíblia serão listados aqui em ordem alfabética — incluindo répteis, peixes e até invertebrados, como insetos, vermes, esponjas. As aves são abordadas em um artigo separado.</w:t>
      </w:r>
    </w:p>
    <w:p>
      <w:r/>
      <w:r>
        <w:t>Resumo</w:t>
      </w:r>
    </w:p>
    <w:p>
      <w:r/>
      <w:r>
        <w:t>• Víbora (Víbora-europeia-comum)</w:t>
      </w:r>
    </w:p>
    <w:p>
      <w:r/>
      <w:r>
        <w:t>• Formiga</w:t>
      </w:r>
    </w:p>
    <w:p>
      <w:r/>
      <w:r>
        <w:t>• Antílope</w:t>
      </w:r>
    </w:p>
    <w:p>
      <w:r/>
      <w:r>
        <w:t>• Macaco</w:t>
      </w:r>
    </w:p>
    <w:p>
      <w:r/>
      <w:r>
        <w:t>• Víbora</w:t>
      </w:r>
    </w:p>
    <w:p>
      <w:r/>
      <w:r>
        <w:t>• Asno</w:t>
      </w:r>
    </w:p>
    <w:p>
      <w:r/>
      <w:r>
        <w:t>• Texugo</w:t>
      </w:r>
    </w:p>
    <w:p>
      <w:r/>
      <w:r>
        <w:t>• Morcego</w:t>
      </w:r>
    </w:p>
    <w:p>
      <w:r/>
      <w:r>
        <w:t>• Urso</w:t>
      </w:r>
    </w:p>
    <w:p>
      <w:r/>
      <w:r>
        <w:t>• Abelha</w:t>
      </w:r>
    </w:p>
    <w:p>
      <w:r/>
      <w:r>
        <w:t>• Beemot</w:t>
      </w:r>
    </w:p>
    <w:p>
      <w:r/>
      <w:r>
        <w:t>• Camelo</w:t>
      </w:r>
    </w:p>
    <w:p>
      <w:r/>
      <w:r>
        <w:t>• Lagarta</w:t>
      </w:r>
    </w:p>
    <w:p>
      <w:r/>
      <w:r>
        <w:t>• Bovino</w:t>
      </w:r>
    </w:p>
    <w:p>
      <w:r/>
      <w:r>
        <w:t>• Camaleão</w:t>
      </w:r>
    </w:p>
    <w:p>
      <w:r/>
      <w:r>
        <w:t>• Coral</w:t>
      </w:r>
    </w:p>
    <w:p>
      <w:r/>
      <w:r>
        <w:t>• Grilo</w:t>
      </w:r>
    </w:p>
    <w:p>
      <w:r/>
      <w:r>
        <w:t>• Crocodilo</w:t>
      </w:r>
    </w:p>
    <w:p>
      <w:r/>
      <w:r>
        <w:t>• Cervo</w:t>
      </w:r>
    </w:p>
    <w:p>
      <w:r/>
      <w:r>
        <w:t>• Cão</w:t>
      </w:r>
    </w:p>
    <w:p>
      <w:r/>
      <w:r>
        <w:t>• Burro</w:t>
      </w:r>
    </w:p>
    <w:p>
      <w:r/>
      <w:r>
        <w:t>• Dragão</w:t>
      </w:r>
    </w:p>
    <w:p>
      <w:r/>
      <w:r>
        <w:t>• Peixe</w:t>
      </w:r>
    </w:p>
    <w:p>
      <w:r/>
      <w:r>
        <w:t>• Pulga</w:t>
      </w:r>
    </w:p>
    <w:p>
      <w:r/>
      <w:r>
        <w:t>• Inseto</w:t>
      </w:r>
    </w:p>
    <w:p>
      <w:r/>
      <w:r>
        <w:t>• Raposa</w:t>
      </w:r>
    </w:p>
    <w:p>
      <w:r/>
      <w:r>
        <w:t>• Rã</w:t>
      </w:r>
    </w:p>
    <w:p>
      <w:r/>
      <w:r>
        <w:t>• Gazela</w:t>
      </w:r>
    </w:p>
    <w:p>
      <w:r/>
      <w:r>
        <w:t>• Lagartixa</w:t>
      </w:r>
    </w:p>
    <w:p>
      <w:r/>
      <w:r>
        <w:t>• Mosquito</w:t>
      </w:r>
    </w:p>
    <w:p>
      <w:r/>
      <w:r>
        <w:t>• Cabra</w:t>
      </w:r>
    </w:p>
    <w:p>
      <w:r/>
      <w:r>
        <w:t>• Gafanhoto (solitário)</w:t>
      </w:r>
    </w:p>
    <w:p>
      <w:r/>
      <w:r>
        <w:t>• Lebre</w:t>
      </w:r>
    </w:p>
    <w:p>
      <w:r/>
      <w:r>
        <w:t>• Hipopótamo</w:t>
      </w:r>
    </w:p>
    <w:p>
      <w:r/>
      <w:r>
        <w:t>• Cavalo</w:t>
      </w:r>
    </w:p>
    <w:p>
      <w:r/>
      <w:r>
        <w:t>• Hiena</w:t>
      </w:r>
    </w:p>
    <w:p>
      <w:r/>
      <w:r>
        <w:t>• Chacal</w:t>
      </w:r>
    </w:p>
    <w:p>
      <w:r/>
      <w:r>
        <w:t>• Sanguessuga</w:t>
      </w:r>
    </w:p>
    <w:p>
      <w:r/>
      <w:r>
        <w:t>• Leopardo</w:t>
      </w:r>
    </w:p>
    <w:p>
      <w:r/>
      <w:r>
        <w:t>• Leviatã</w:t>
      </w:r>
    </w:p>
    <w:p>
      <w:r/>
      <w:r>
        <w:t>• Leão</w:t>
      </w:r>
    </w:p>
    <w:p>
      <w:r/>
      <w:r>
        <w:t>• Lagarto</w:t>
      </w:r>
    </w:p>
    <w:p>
      <w:r/>
      <w:r>
        <w:t>• Gafanhoto</w:t>
      </w:r>
    </w:p>
    <w:p>
      <w:r/>
      <w:r>
        <w:t>• Toupeira</w:t>
      </w:r>
    </w:p>
    <w:p>
      <w:r/>
      <w:r>
        <w:t>• Mariposa</w:t>
      </w:r>
    </w:p>
    <w:p>
      <w:r/>
      <w:r>
        <w:t>• Rato</w:t>
      </w:r>
    </w:p>
    <w:p>
      <w:r/>
      <w:r>
        <w:t>• Mula</w:t>
      </w:r>
    </w:p>
    <w:p>
      <w:r/>
      <w:r>
        <w:t>• Porco</w:t>
      </w:r>
    </w:p>
    <w:p>
      <w:r/>
      <w:r>
        <w:t>• Porco-Espinho</w:t>
      </w:r>
    </w:p>
    <w:p>
      <w:r/>
      <w:r>
        <w:t>• Escorpião</w:t>
      </w:r>
    </w:p>
    <w:p>
      <w:r/>
      <w:r>
        <w:t>• Ovelha</w:t>
      </w:r>
    </w:p>
    <w:p>
      <w:r/>
      <w:r>
        <w:t>• Caracol</w:t>
      </w:r>
    </w:p>
    <w:p>
      <w:r/>
      <w:r>
        <w:t>• Cobra</w:t>
      </w:r>
    </w:p>
    <w:p>
      <w:r/>
      <w:r>
        <w:t>• Aranha</w:t>
      </w:r>
    </w:p>
    <w:p>
      <w:r/>
      <w:r>
        <w:t>• Esponja do mar</w:t>
      </w:r>
    </w:p>
    <w:p>
      <w:r/>
      <w:r>
        <w:t>• Unicórnio</w:t>
      </w:r>
    </w:p>
    <w:p>
      <w:r/>
      <w:r>
        <w:t>• Vespa</w:t>
      </w:r>
    </w:p>
    <w:p>
      <w:r/>
      <w:r>
        <w:t>• Baleia</w:t>
      </w:r>
    </w:p>
    <w:p>
      <w:r/>
      <w:r>
        <w:t>• Boi Selvagem</w:t>
      </w:r>
    </w:p>
    <w:p>
      <w:r/>
      <w:r>
        <w:t>• Lobo</w:t>
      </w:r>
    </w:p>
    <w:p>
      <w:r/>
      <w:r>
        <w:t>• Minhoca</w:t>
      </w:r>
    </w:p>
    <w:p>
      <w:pPr>
        <w:pStyle w:val="Heading3"/>
      </w:pPr>
      <w:r>
        <w:t>Víbora (Víbora-europeia-comum)</w:t>
      </w:r>
    </w:p>
    <w:p>
      <w:r/>
      <w:r>
        <w:t xml:space="preserve">Uma das 20 cobras venenosas encontradas em Israel e países vizinhos, também referida como cocatrice e víbora. As verdadeiras víboras (gênero </w:t>
      </w:r>
      <w:r>
        <w:rPr>
          <w:i/>
        </w:rPr>
        <w:t>Cerastes, Echis colorata</w:t>
      </w:r>
      <w:r>
        <w:t xml:space="preserve"> e </w:t>
      </w:r>
      <w:r>
        <w:rPr>
          <w:i/>
        </w:rPr>
        <w:t>Vipera palestina</w:t>
      </w:r>
      <w:r>
        <w:t xml:space="preserve">) também existem lá, cobras venenosas com presas onduladas que entram em posição quando a cobra ataca. A víbora de chifres </w:t>
      </w:r>
      <w:r>
        <w:rPr>
          <w:i/>
        </w:rPr>
        <w:t>(Cerastes hasselquistii)</w:t>
      </w:r>
      <w:r>
        <w:t xml:space="preserve"> pode atacar cavalos. Tem 30 a 46 centímetros de comprimento e muitas vezes está em emboscada na areia, com apenas seus olhos e as saliências em forma de chifre em sua cabeça visíveis.</w:t>
      </w:r>
    </w:p>
    <w:p>
      <w:r/>
      <w:r>
        <w:t>Tanto Jesus quanto João Batista se referiram à víbora várias vezes (</w:t>
      </w:r>
      <w:hyperlink r:id="rId1456">
        <w:r>
          <w:rPr>
            <w:color w:val="0000EE"/>
            <w:u w:val="single"/>
          </w:rPr>
          <w:t>Mt 3.7</w:t>
        </w:r>
      </w:hyperlink>
      <w:r>
        <w:t xml:space="preserve">; </w:t>
      </w:r>
      <w:hyperlink r:id="rId1457">
        <w:r>
          <w:rPr>
            <w:color w:val="0000EE"/>
            <w:u w:val="single"/>
          </w:rPr>
          <w:t>12.34</w:t>
        </w:r>
      </w:hyperlink>
      <w:r>
        <w:t xml:space="preserve">; </w:t>
      </w:r>
      <w:hyperlink r:id="rId1458">
        <w:r>
          <w:rPr>
            <w:color w:val="0000EE"/>
            <w:u w:val="single"/>
          </w:rPr>
          <w:t>23.33</w:t>
        </w:r>
      </w:hyperlink>
      <w:r>
        <w:t xml:space="preserve">). A referência em </w:t>
      </w:r>
      <w:hyperlink r:id="rId1459">
        <w:r>
          <w:rPr>
            <w:color w:val="0000EE"/>
            <w:u w:val="single"/>
          </w:rPr>
          <w:t>Atos 28.3</w:t>
        </w:r>
      </w:hyperlink>
      <w:r>
        <w:t xml:space="preserve"> é provavelmente a uma pequena víbora </w:t>
      </w:r>
      <w:r>
        <w:rPr>
          <w:i/>
        </w:rPr>
        <w:t>(Vipera aspis)</w:t>
      </w:r>
      <w:r>
        <w:t xml:space="preserve"> que ataca rapidamente e é muito combativa. É encontrado no sul da Europa e chia cada vez que inspira e expira. O veneno das víboras ataca o sistema respiratório e desintegra os glóbulos vermelhos.</w:t>
      </w:r>
    </w:p>
    <w:p>
      <w:r/>
      <w:r>
        <w:rPr>
          <w:i/>
        </w:rPr>
        <w:t>Ver também</w:t>
      </w:r>
      <w:r>
        <w:t xml:space="preserve"> Cobra (abaixo).</w:t>
      </w:r>
    </w:p>
    <w:p>
      <w:pPr>
        <w:pStyle w:val="Heading3"/>
      </w:pPr>
      <w:r>
        <w:t>Formiga</w:t>
      </w:r>
    </w:p>
    <w:p>
      <w:r/>
      <w:r>
        <w:t>Mencionado apenas duas vezes na Bíblia, ambas as vezes no livro de Provérbios. Por muitos anos, Salomão foi indiciado por um erro biológico quando ele se referiu à formiga como fornecendo sua carne no verão e coletando sua comida na colheita (</w:t>
      </w:r>
      <w:hyperlink r:id="rId1460">
        <w:r>
          <w:rPr>
            <w:color w:val="0000EE"/>
            <w:u w:val="single"/>
          </w:rPr>
          <w:t>Pv 6.8</w:t>
        </w:r>
      </w:hyperlink>
      <w:r>
        <w:t>). Os críticos da Bíblia foram rápidos em apontar que, até onde era então conhecido, as formigas não armazenam comida. Eles assumiram que Salomão provavelmente havia chutado uma colina de formigas e confundido os casos de pupas (vagens nas quais as formigas imaturas crescem até a maturidade) com grãos ou havia observado formigas carregando pedaços de grãos, folhas e outras matérias para seus ninhos.</w:t>
      </w:r>
    </w:p>
    <w:p>
      <w:r/>
      <w:r>
        <w:t>Pelo menos três espécies de formigas armazenadoras de grãos são agora conhecidas — duas ocorrem em Israel e as outras nos países mediterrâneos. A espécie específica referida por Salomão (</w:t>
      </w:r>
      <w:hyperlink r:id="rId1461">
        <w:r>
          <w:rPr>
            <w:color w:val="0000EE"/>
            <w:u w:val="single"/>
          </w:rPr>
          <w:t>Pv 6.6–8</w:t>
        </w:r>
      </w:hyperlink>
      <w:r>
        <w:t xml:space="preserve">; </w:t>
      </w:r>
      <w:hyperlink r:id="rId1462">
        <w:r>
          <w:rPr>
            <w:color w:val="0000EE"/>
            <w:u w:val="single"/>
          </w:rPr>
          <w:t>30.24–25</w:t>
        </w:r>
      </w:hyperlink>
      <w:r>
        <w:t xml:space="preserve">) é provavelmente a formiga ceifeira </w:t>
      </w:r>
      <w:r>
        <w:rPr>
          <w:i/>
        </w:rPr>
        <w:t>(Messor semirufus).</w:t>
      </w:r>
      <w:r>
        <w:t xml:space="preserve"> Seus celeiros são câmaras planas conectadas por galerias irregularmente espalhadas sobre uma área de cerca de 1,8 metros de diâmetro e cerca de 0,3 metros de profundidade no solo. As sementes são coletadas do solo ou colhidas de plantas. A cabeça, ou radícula, que é a parte mais macia do grão, é mordida para evitar a germinação, e o joio e as cápsulas vazias são descartados nos intermediários da cozinha (pilhas de resíduos) fora do ninho. Os celeiros individuais podem ter 12,7 centímetros de diâmetro e 1,2 centímetros de altura. Alguns ninhos são conhecidos por terem 12 metros de diâmetro e aproximadamente 2 metros de profundidade com várias entradas.</w:t>
      </w:r>
    </w:p>
    <w:p>
      <w:pPr>
        <w:pStyle w:val="Heading3"/>
      </w:pPr>
      <w:r>
        <w:t>Antílope</w:t>
      </w:r>
    </w:p>
    <w:p>
      <w:r/>
      <w:r>
        <w:t xml:space="preserve">Várias criaturas semelhantes a antílope, são referidas nas Escrituras. Um parece ser o órix branco </w:t>
      </w:r>
      <w:r>
        <w:rPr>
          <w:i/>
        </w:rPr>
        <w:t>(Oryx leucoryx),</w:t>
      </w:r>
      <w:r>
        <w:t xml:space="preserve"> referido em </w:t>
      </w:r>
      <w:hyperlink r:id="rId1463">
        <w:r>
          <w:rPr>
            <w:color w:val="0000EE"/>
            <w:u w:val="single"/>
          </w:rPr>
          <w:t>Deuteronômio 14.5</w:t>
        </w:r>
      </w:hyperlink>
      <w:r>
        <w:t xml:space="preserve"> (“carneiro selvagem” NTLH) e </w:t>
      </w:r>
      <w:hyperlink r:id="rId1464">
        <w:r>
          <w:rPr>
            <w:color w:val="0000EE"/>
            <w:u w:val="single"/>
          </w:rPr>
          <w:t>Isaías 51.20</w:t>
        </w:r>
      </w:hyperlink>
      <w:r>
        <w:t xml:space="preserve"> (NTLH “carneiros selvagens”; ARA, “antílope”). O órix era provavelmente o antílope, comumente usado para comida porque seus longos chifres o tornavam relativamente fácil de capturar.</w:t>
      </w:r>
    </w:p>
    <w:p>
      <w:r/>
      <w:r>
        <w:t xml:space="preserve">Outro antílope mencionado na Bíblia é o addax </w:t>
      </w:r>
      <w:r>
        <w:rPr>
          <w:i/>
        </w:rPr>
        <w:t>(Addax nasomaculatus),</w:t>
      </w:r>
      <w:r>
        <w:t xml:space="preserve"> provavelmente o “antílope” de </w:t>
      </w:r>
      <w:hyperlink r:id="rId1463">
        <w:r>
          <w:rPr>
            <w:color w:val="0000EE"/>
            <w:u w:val="single"/>
          </w:rPr>
          <w:t>Deuteronômio 14.5</w:t>
        </w:r>
      </w:hyperlink>
      <w:r>
        <w:t xml:space="preserve"> (NTLH). É um nativo do norte da África com partes brancas acinzentadas, uma mancha branca na testa, e chifres torcidos e arulados. A palavra “pygarg” vem de uma palavra grega que significa “traseiro branco”. O addax é do tamanho de um jumento. Seu corpo está coberto de cabelos pequenos bem fechados. Tem uma pequena juba na parte inferior de seu pescoço que faz a cabeça parecer um pouco como a de uma cabra. Os cascos são largos e planos, e a cauda se assemelha a de um jumento. É comum na África e na Arábia, onde os árabes o caçam com falcões e cães.</w:t>
      </w:r>
    </w:p>
    <w:p>
      <w:r/>
      <w:r>
        <w:t>Os antílopes são muito graciosos e correm de cabeça erguida. Ambos os sexos têm chifres longos, permanentes e ocos. Com o órix, os chifres voltam-se para trás; os chifres de addax são torcidos e cercados. Os antílopes são alertas, cautelosos e perspicazes. Eles geralmente são encontrados em rebanhos de duas a uma dúzia. Se ferido ou encurralado, um antílope ataca com a cabeça abaixada para que os chifres afiados apontem para a frente. Os antílopes se alimentam de gramas e arbustos, bebendo de riachos e poços de água. Quando a água é escassa, eles comem melões e bulbos suculentos. Tanto addax quanto órix eram cerimonialmente limpos na lei judaica.</w:t>
      </w:r>
    </w:p>
    <w:p>
      <w:pPr>
        <w:pStyle w:val="Heading3"/>
      </w:pPr>
      <w:r>
        <w:t>Macaco</w:t>
      </w:r>
    </w:p>
    <w:p>
      <w:r/>
      <w:r>
        <w:t>Primaz não nativo da Palestina. As duas referências aos macacos no AT (</w:t>
      </w:r>
      <w:hyperlink r:id="rId1465">
        <w:r>
          <w:rPr>
            <w:color w:val="0000EE"/>
            <w:u w:val="single"/>
          </w:rPr>
          <w:t>1Rs 10.22</w:t>
        </w:r>
      </w:hyperlink>
      <w:r>
        <w:t xml:space="preserve">; </w:t>
      </w:r>
      <w:hyperlink r:id="rId1466">
        <w:r>
          <w:rPr>
            <w:color w:val="0000EE"/>
            <w:u w:val="single"/>
          </w:rPr>
          <w:t>2Cr 9.21</w:t>
        </w:r>
      </w:hyperlink>
      <w:r>
        <w:t>) se referem à sua importação pelo rei Salomão com outros tesouros a bordo dos navios de sua frota mercantil. Há alguma pergunta sobre a origem desses primatas. Alguns acreditam que a menção de “marfim” nos mesmos versos sugere que eles vieram da África Oriental e que eles eram de fato gorilas ou chimpanzés, isto é, primatas sem cauda. Outros, acreditando que eles vieram da Índia ou do Ceilão, sugerem que eles eram na verdade macacos de pequeno porte como micos ou macaco-aranha. Lá, o babuíno (gênero Papeio), um grande macaco, era considerado sagrado para o deus Thoth. Os machos desse gênero eram mantidos em templos, e as fêmeas mais dóceis eram muitas vezes mantidas como animais de estimação. Tais babuínos frequentemente tinham alguns de seus dentes removidos ou moídos para diminuir o perigo de sua mordida. Um número de babuínos mumificados foi encontrado no Egito, indicando a alta consideração com que eles foram mantidos.</w:t>
      </w:r>
    </w:p>
    <w:p>
      <w:pPr>
        <w:pStyle w:val="Heading3"/>
      </w:pPr>
      <w:r>
        <w:t>Áspide</w:t>
      </w:r>
    </w:p>
    <w:p>
      <w:r/>
      <w:r>
        <w:t>Serpente venenosa. A maioria das referências bíblicas à áspide (</w:t>
      </w:r>
      <w:hyperlink r:id="rId1467">
        <w:r>
          <w:rPr>
            <w:color w:val="0000EE"/>
            <w:u w:val="single"/>
          </w:rPr>
          <w:t>Dt 32.33</w:t>
        </w:r>
      </w:hyperlink>
      <w:r>
        <w:t xml:space="preserve">) parecem ser à cobra egípcia </w:t>
      </w:r>
      <w:r>
        <w:rPr>
          <w:i/>
        </w:rPr>
        <w:t>(Naja haje),</w:t>
      </w:r>
      <w:r>
        <w:t xml:space="preserve"> que se esconde em buracos, paredes e rochas e tem a capacidade de expandir seu pescoço levantando suas costelas anteriores para ampliar a frente de seu peito na forma de um disco plano. Seu potente veneno pode causar a morte em 30 minutos. Atinge um comprimento de cerca de 2 metros. As presas são permanentemente eretas, não móveis como nas víboras (as cobras venenosas comuns da América do Norte; apenas a cobra-coral na América tem presas permanentemente eretas). O veneno da cobra ataca o sistema nervoso, causando paralisia muscular. Os egípcios a viam como uma criatura sagrada; eles a consideravam uma protetora, uma vez que se alimentava dos roedores que comiam suas colheitas. As “serpentes de fogo” (</w:t>
      </w:r>
      <w:hyperlink r:id="rId1468">
        <w:r>
          <w:rPr>
            <w:color w:val="0000EE"/>
            <w:u w:val="single"/>
          </w:rPr>
          <w:t>Nm 21.6</w:t>
        </w:r>
      </w:hyperlink>
      <w:r>
        <w:t xml:space="preserve">; </w:t>
      </w:r>
      <w:hyperlink r:id="rId1469">
        <w:r>
          <w:rPr>
            <w:color w:val="0000EE"/>
            <w:u w:val="single"/>
          </w:rPr>
          <w:t>Dt 8.15</w:t>
        </w:r>
      </w:hyperlink>
      <w:r>
        <w:t xml:space="preserve">, ambos ARC) podem ter sido cobras; “ardente” provavelmente se refere à febre ardente causada por seu veneno. </w:t>
      </w:r>
      <w:hyperlink r:id="rId1470">
        <w:r>
          <w:rPr>
            <w:color w:val="0000EE"/>
            <w:u w:val="single"/>
          </w:rPr>
          <w:t>Isaías 14.29</w:t>
        </w:r>
      </w:hyperlink>
      <w:r>
        <w:t xml:space="preserve"> e </w:t>
      </w:r>
      <w:hyperlink r:id="rId1471">
        <w:r>
          <w:rPr>
            <w:color w:val="0000EE"/>
            <w:u w:val="single"/>
          </w:rPr>
          <w:t>30.6</w:t>
        </w:r>
      </w:hyperlink>
      <w:r>
        <w:t xml:space="preserve"> (“serpente voadora”) podem se referir ao capô da cobra.</w:t>
      </w:r>
    </w:p>
    <w:p>
      <w:r/>
      <w:r>
        <w:rPr>
          <w:i/>
        </w:rPr>
        <w:t>Ver também</w:t>
      </w:r>
      <w:r>
        <w:t xml:space="preserve"> Cobra (abaixo).</w:t>
      </w:r>
    </w:p>
    <w:p>
      <w:pPr>
        <w:pStyle w:val="Heading3"/>
      </w:pPr>
      <w:r>
        <w:t>Burro</w:t>
      </w:r>
    </w:p>
    <w:p>
      <w:r/>
      <w:r>
        <w:rPr>
          <w:i/>
        </w:rPr>
        <w:t>Veja</w:t>
      </w:r>
      <w:r>
        <w:t xml:space="preserve"> </w:t>
      </w:r>
      <w:r>
        <w:t>Asno (acima)</w:t>
      </w:r>
      <w:r>
        <w:t>.</w:t>
      </w:r>
    </w:p>
    <w:p>
      <w:pPr>
        <w:pStyle w:val="Heading3"/>
      </w:pPr>
      <w:r>
        <w:t>Texugo</w:t>
      </w:r>
    </w:p>
    <w:p>
      <w:r/>
      <w:r>
        <w:t>Pequeno mamífero de casco. O que a NTLH chama de “coelho selvagem”, algumas traduções modernas nomeiam “arganaz” (</w:t>
      </w:r>
      <w:hyperlink r:id="rId1472">
        <w:r>
          <w:rPr>
            <w:color w:val="0000EE"/>
            <w:u w:val="single"/>
          </w:rPr>
          <w:t>Lv 11.5</w:t>
        </w:r>
      </w:hyperlink>
      <w:r>
        <w:t xml:space="preserve">; </w:t>
      </w:r>
      <w:hyperlink r:id="rId1473">
        <w:r>
          <w:rPr>
            <w:color w:val="0000EE"/>
            <w:u w:val="single"/>
          </w:rPr>
          <w:t>Dt 14.7</w:t>
        </w:r>
      </w:hyperlink>
      <w:r>
        <w:t xml:space="preserve">; </w:t>
      </w:r>
      <w:hyperlink r:id="rId1474">
        <w:r>
          <w:rPr>
            <w:color w:val="0000EE"/>
            <w:u w:val="single"/>
          </w:rPr>
          <w:t>Sl 104.18</w:t>
        </w:r>
      </w:hyperlink>
      <w:r>
        <w:t xml:space="preserve">; </w:t>
      </w:r>
      <w:hyperlink r:id="rId1475">
        <w:r>
          <w:rPr>
            <w:color w:val="0000EE"/>
            <w:u w:val="single"/>
          </w:rPr>
          <w:t>Pv 30.26</w:t>
        </w:r>
      </w:hyperlink>
      <w:r>
        <w:t xml:space="preserve">). O texugo de rocha de que fala a Bíblia é provavelmente a hyrax rocha síria </w:t>
      </w:r>
      <w:r>
        <w:rPr>
          <w:i/>
        </w:rPr>
        <w:t>(Hyrax syriaca),</w:t>
      </w:r>
      <w:r>
        <w:t xml:space="preserve"> a única espécie de hyrax encontrada fora da África. Este pequeno ungulado (tendo unhas semelhantes a cascos) vive entre rochas do vale do Mar Morto até o Monte Hermon. É estritamente um animal herbívoro (comedor de plantas) do tamanho de um coelho. Assemelha-se a um porco-da-índia mais do que um coelho, tendo orelhas bastante inconsistentes e uma cauda muito pequena. Tem unhas largas com quatro dedos em suas patas dianteiras e três em suas patas traseiras, os dedos dos pés sendo conectados com a pele quase como uma teia. Almofadas que agem como discos sucção sob seus pés permitem que ele mantenha seu pé sobre rochas escorregadias. Com seu pelo amarelo e marrom, às vezes é chamado de rato-urso por causa de sua semelhança com um rato sem cauda. Também é equipado com bigodes pretos que podem ter 17,8 centímetros de comprimento.</w:t>
      </w:r>
    </w:p>
    <w:p>
      <w:r/>
      <w:r>
        <w:t>Esses texugos de rocha, ou hyraxes, vivem juntos em colônias de 6 a 50 animais, muitas vezes tomando sol em rochas. Eles são difíceis de pegar. Eles se organizam com alguns de guarda, e se avistarem um perigo próximo, todo o grupo correrá para se proteger, advertido pelos apitos afiados dos guardas. Assim, eles são elogiados por se refugiar nas rochas (</w:t>
      </w:r>
      <w:hyperlink r:id="rId1474">
        <w:r>
          <w:rPr>
            <w:color w:val="0000EE"/>
            <w:u w:val="single"/>
          </w:rPr>
          <w:t>Sl 104.18</w:t>
        </w:r>
      </w:hyperlink>
      <w:r>
        <w:t>) e são chamados de sábios por fazerem “suas casas nas pedras” (</w:t>
      </w:r>
      <w:hyperlink r:id="rId1476">
        <w:r>
          <w:rPr>
            <w:color w:val="0000EE"/>
            <w:u w:val="single"/>
          </w:rPr>
          <w:t>Pv 30.24, 26</w:t>
        </w:r>
      </w:hyperlink>
      <w:r>
        <w:t>, NTLH). O texugo não é um ruminante (não fica mastigando or vezes o mesmo alumento), mas o movimento de suas mandíbulas pode sugerir que ele rumina. É provavelmente por isso que ele foi incluído com outros animais ruminantes nas leis alimentares judaicas (</w:t>
      </w:r>
      <w:hyperlink r:id="rId1472">
        <w:r>
          <w:rPr>
            <w:color w:val="0000EE"/>
            <w:u w:val="single"/>
          </w:rPr>
          <w:t>Lv 11.5</w:t>
        </w:r>
      </w:hyperlink>
      <w:r>
        <w:t xml:space="preserve">; </w:t>
      </w:r>
      <w:hyperlink r:id="rId1473">
        <w:r>
          <w:rPr>
            <w:color w:val="0000EE"/>
            <w:u w:val="single"/>
          </w:rPr>
          <w:t>Dt 14.7</w:t>
        </w:r>
      </w:hyperlink>
      <w:r>
        <w:t>). Era proibido aos judeus como comida porque não tinha cascos fendidos. Alguns árabes comem e até mesmo valorizam sua carne.</w:t>
      </w:r>
    </w:p>
    <w:p>
      <w:pPr>
        <w:pStyle w:val="Heading3"/>
      </w:pPr>
      <w:r>
        <w:t>Morcego</w:t>
      </w:r>
    </w:p>
    <w:p>
      <w:r/>
      <w:r>
        <w:t>Mamíferos voadores de acordo com a classificação moderna. Eles têm cabelo e fornecem leite para seus filhotes. A Bíblia os classifica com outras criaturas aéreas. Os morcegos se abrigam em cavernas, fendas, cavidades de árvores, edifícios e também em lugares expostos nas árvores. Em áreas mais frias, eles hibernam ou migram. A posição normal de descanso para um morcego está pendurada de cabeça para baixo. Os morcegos “nadam” pelo ar em vez de voar, porque eles se movem com suas pernas, bem como com suas asas.</w:t>
      </w:r>
    </w:p>
    <w:p>
      <w:r/>
      <w:r>
        <w:t>O polegar do morcego está livre e termina em uma única garra de gancho usada para escalar e pendurar. Os pés posteriores têm cinco dedos, todos apontando na mesma direção. O grande baú acomoda os poderosos ossos necessários para voar. Como eles se orientam por localização de eco, o sentido de audição está muito bem desenvolvido.</w:t>
      </w:r>
    </w:p>
    <w:p>
      <w:r/>
      <w:r>
        <w:t>A maioria dos morcegos é comedora de insetos, catando insetos em voo. Muitos morcegos insetívoros também comem algumas frutas. Outros morcegos se alimentam exclusivamente, geralmente em grupos, de frutas e vegetação verde. Os morcegos comedores de frutas geralmente vivem nos trópicos, onde as frutas estão constantemente amadurecendo, embora alguns tenham sido encontrados na Terra Santa. Esses morcegos tendem a ser maiores do que os insetívoros, tendo uma envergadura de até 1,5 metros.</w:t>
      </w:r>
    </w:p>
    <w:p>
      <w:r/>
      <w:r>
        <w:t>Um terceiro grupo inclui morcegos comedores de flores que se alimentam de pólen e néctar. Esses pequenos morcegos com cabeças longas e línguas longas são encontrados apenas em regiões tropicais e semitropicais. Três espécies de morcegos vampiros, que não ocorrem na Terra Santa, comem sangue fazendo uma pequena incisão e lambendo-o. Os morcegos carnívoros (comedores de carne) atacam pássaros, lagartos e rãs. Os morcegos comedores de peixes capturam peixes na superfície da água ou perto dela.</w:t>
      </w:r>
    </w:p>
    <w:p>
      <w:r/>
      <w:r>
        <w:t xml:space="preserve">Oito variedades de morcegos são conhecidas na Terra Santa. Um deles, o pequeno morcego marrom (gênero </w:t>
      </w:r>
      <w:r>
        <w:rPr>
          <w:i/>
        </w:rPr>
        <w:t>myotis</w:t>
      </w:r>
      <w:r>
        <w:t>), está distribuído em todo o mundo. É insetívoro e provavelmente tem a maior distribuição de qualquer mamífero terrestre não humano. Os morcegos marrons são principalmente moradores das cavernas. As fêmeas formam colônias de maternidade que podem chegar às dezenas de milhares.</w:t>
      </w:r>
    </w:p>
    <w:p>
      <w:r/>
      <w:r>
        <w:t xml:space="preserve">Duas espécies de morcegos de cauda de rato (gênero </w:t>
      </w:r>
      <w:r>
        <w:rPr>
          <w:i/>
        </w:rPr>
        <w:t>Rhinopoma</w:t>
      </w:r>
      <w:r>
        <w:t xml:space="preserve">) são encontradas na Terra Santa. Suas caudas são quase tão longas quanto a cabeça e o corpo combinados. Eles são coloniais, descansando em cavernas, fendas de rocha, poços, pirâmides, palácios e casas. Como o morcego marrom, eles são insetívoros. Os morcegos de face vazia ou ocos (gênero </w:t>
      </w:r>
      <w:r>
        <w:rPr>
          <w:i/>
        </w:rPr>
        <w:t>Nycteris</w:t>
      </w:r>
      <w:r>
        <w:t>) também são encontrados na Terra Santa. Eles são insetívoros e se empoleiram em grupos de 6 a 20.</w:t>
      </w:r>
    </w:p>
    <w:p>
      <w:r/>
      <w:r>
        <w:t>Os morcegos encontrados na Terra Santa variam em tamanho do de um rato de pequeno porte ao tamanho de uma ratazana; a maior espécie mede mais de 51 centímetros nas asas. O morcego era imundo para os judeus (</w:t>
      </w:r>
      <w:hyperlink r:id="rId1477">
        <w:r>
          <w:rPr>
            <w:color w:val="0000EE"/>
            <w:u w:val="single"/>
          </w:rPr>
          <w:t>Lv 11.19</w:t>
        </w:r>
      </w:hyperlink>
      <w:r>
        <w:t xml:space="preserve">; </w:t>
      </w:r>
      <w:hyperlink r:id="rId1478">
        <w:r>
          <w:rPr>
            <w:color w:val="0000EE"/>
            <w:u w:val="single"/>
          </w:rPr>
          <w:t>Dt 14.18</w:t>
        </w:r>
      </w:hyperlink>
      <w:r>
        <w:t>).</w:t>
      </w:r>
    </w:p>
    <w:p>
      <w:pPr>
        <w:pStyle w:val="Heading3"/>
      </w:pPr>
      <w:r>
        <w:t>Urso</w:t>
      </w:r>
    </w:p>
    <w:p>
      <w:r/>
      <w:r>
        <w:t xml:space="preserve">Mamífero grande, pesado e de cabeça grande, com membros pequenos e poderosos, uma pequena cauda, e olhos e ouvidos pequenos. Os ursos têm uma caminhada “plantigrada”: eles andam tanto na sola quanto no calcanhar como os seres humanos. O urso palestino é uma versão síria do urso marrom </w:t>
      </w:r>
      <w:r>
        <w:rPr>
          <w:i/>
        </w:rPr>
        <w:t>(Ursus arctos syriacus).</w:t>
      </w:r>
      <w:r>
        <w:t xml:space="preserve"> Pode crescer até uma altura de 1,8 metros e pode pesar até 227 quilos.</w:t>
      </w:r>
    </w:p>
    <w:p>
      <w:r/>
      <w:r>
        <w:t>Os ursos têm um excelente sentido de olfato, mas sentidos menos desenvolvidos de visão e audição. Eles são onívoros (comendo qualquer tipo de alimento); eles subsistem em grande parte da vegetação, frutas, insetos e peixes.</w:t>
      </w:r>
    </w:p>
    <w:p>
      <w:r/>
      <w:r>
        <w:t>Os ursos geralmente são pacíficos e inofensivos, mas se eles pensam que devem se defender (</w:t>
      </w:r>
      <w:hyperlink r:id="rId1479">
        <w:r>
          <w:rPr>
            <w:color w:val="0000EE"/>
            <w:u w:val="single"/>
          </w:rPr>
          <w:t>Lm 3.10</w:t>
        </w:r>
      </w:hyperlink>
      <w:r>
        <w:t>) ou seus filhotes (</w:t>
      </w:r>
      <w:hyperlink r:id="rId1480">
        <w:r>
          <w:rPr>
            <w:color w:val="0000EE"/>
            <w:u w:val="single"/>
          </w:rPr>
          <w:t>2Sm 17.8</w:t>
        </w:r>
      </w:hyperlink>
      <w:r>
        <w:t xml:space="preserve">; </w:t>
      </w:r>
      <w:hyperlink r:id="rId1481">
        <w:r>
          <w:rPr>
            <w:color w:val="0000EE"/>
            <w:u w:val="single"/>
          </w:rPr>
          <w:t>Pv 17.12</w:t>
        </w:r>
      </w:hyperlink>
      <w:r>
        <w:t xml:space="preserve">; </w:t>
      </w:r>
      <w:hyperlink r:id="rId1482">
        <w:r>
          <w:rPr>
            <w:color w:val="0000EE"/>
            <w:u w:val="single"/>
          </w:rPr>
          <w:t>Os 13.8</w:t>
        </w:r>
      </w:hyperlink>
      <w:r>
        <w:t>), eles podem ser adversários formidáveis e perigosos. Davi se gabava de seu papel como um assassino de ursos (</w:t>
      </w:r>
      <w:hyperlink r:id="rId1483">
        <w:r>
          <w:rPr>
            <w:color w:val="0000EE"/>
            <w:u w:val="single"/>
          </w:rPr>
          <w:t>1Sm 17.34–37</w:t>
        </w:r>
      </w:hyperlink>
      <w:r>
        <w:t>). Uma vez que um golpe da pata de um urso pode ser fatal, a coragem e força de Davi como um jovem pastor correndo atrás de um urso e arrancando uma das ovelhas de seu pai de suas mandíbulas eram dignas de nota.</w:t>
      </w:r>
    </w:p>
    <w:p>
      <w:r/>
      <w:r>
        <w:t xml:space="preserve">Algumas passagens bíblicas parecem dar a entender que os ursos atacavam sem razão aparente (p. ex., </w:t>
      </w:r>
      <w:hyperlink r:id="rId1484">
        <w:r>
          <w:rPr>
            <w:color w:val="0000EE"/>
            <w:u w:val="single"/>
          </w:rPr>
          <w:t>Pv 28.15</w:t>
        </w:r>
      </w:hyperlink>
      <w:r>
        <w:t xml:space="preserve">; </w:t>
      </w:r>
      <w:hyperlink r:id="rId1485">
        <w:r>
          <w:rPr>
            <w:color w:val="0000EE"/>
            <w:u w:val="single"/>
          </w:rPr>
          <w:t>Am 5</w:t>
        </w:r>
      </w:hyperlink>
      <w:r>
        <w:t>.19). Em outras ocasiões, elas eram instrumentos de punição de Deus, como na história de Eliseu e as duas ursas (</w:t>
      </w:r>
      <w:hyperlink r:id="rId1486">
        <w:r>
          <w:rPr>
            <w:color w:val="0000EE"/>
            <w:u w:val="single"/>
          </w:rPr>
          <w:t>2Rs 2.24</w:t>
        </w:r>
      </w:hyperlink>
      <w:r>
        <w:t>). O urso e o leão, muitas vezes mencionados juntos na Bíblia (</w:t>
      </w:r>
      <w:hyperlink r:id="rId1487">
        <w:r>
          <w:rPr>
            <w:color w:val="0000EE"/>
            <w:u w:val="single"/>
          </w:rPr>
          <w:t>1Sm 17.37</w:t>
        </w:r>
      </w:hyperlink>
      <w:r>
        <w:t>), eram as duas maiores e mais fortes feras de rapina na Terra Santa. Assim, eles simbolizavam tanto força quanto terror (</w:t>
      </w:r>
      <w:hyperlink r:id="rId1485">
        <w:r>
          <w:rPr>
            <w:color w:val="0000EE"/>
            <w:u w:val="single"/>
          </w:rPr>
          <w:t>Am 5.19</w:t>
        </w:r>
      </w:hyperlink>
      <w:r>
        <w:t>).</w:t>
      </w:r>
    </w:p>
    <w:p>
      <w:r/>
      <w:r>
        <w:t>Nos tempos bíblicos, os ursos parecem ter percorrido toda a Palestina. Hoje eles são encontrados apenas nas Montanhas Líbano e Anti-Líbano, e até mesmo lá eles são raros.</w:t>
      </w:r>
    </w:p>
    <w:p>
      <w:pPr>
        <w:pStyle w:val="Heading3"/>
      </w:pPr>
      <w:r>
        <w:t>Abelha</w:t>
      </w:r>
    </w:p>
    <w:p>
      <w:r/>
      <w:r>
        <w:t xml:space="preserve">Um dos dois insetos domesticados </w:t>
      </w:r>
      <w:r>
        <w:rPr>
          <w:i/>
        </w:rPr>
        <w:t>(Apis mellifica),</w:t>
      </w:r>
      <w:r>
        <w:t xml:space="preserve"> o outro sendo o bicho-da-seda. As abelhas coletam néctar de flores, transferindo pólen de uma flor para outra no processo. Acredita-se que eles transmitem a localização de fontes de néctar para outras abelhas através de uma “dança” de abelhas, o que pode indicar tanto distância quanto direção. As abelhas são sensíveis a quatro cores: azul-verde, amarelo-verde, azul-violeta e ultravioleta (invisível para os humanos).</w:t>
      </w:r>
    </w:p>
    <w:p>
      <w:r/>
      <w:r>
        <w:t>As abelhas selvagens da Terra Santa são especialmente notadas por sua ferocidade no ataque. Apenas as abelhas “trabalhadoras” femininas picam pessoas e animais, a virulência de seu veneno aumentando em clima quente. Uma série de passagens bíblicas aludem à natureza irritável e vingativa das abelhas e às dolorosas picadas que elas infligem (</w:t>
      </w:r>
      <w:hyperlink r:id="rId1488">
        <w:r>
          <w:rPr>
            <w:color w:val="0000EE"/>
            <w:u w:val="single"/>
          </w:rPr>
          <w:t>Dt 1.44</w:t>
        </w:r>
      </w:hyperlink>
      <w:r>
        <w:t xml:space="preserve">; </w:t>
      </w:r>
      <w:hyperlink r:id="rId1489">
        <w:r>
          <w:rPr>
            <w:color w:val="0000EE"/>
            <w:u w:val="single"/>
          </w:rPr>
          <w:t>Sl 118.12</w:t>
        </w:r>
      </w:hyperlink>
      <w:r>
        <w:t xml:space="preserve">; </w:t>
      </w:r>
      <w:hyperlink r:id="rId1490">
        <w:r>
          <w:rPr>
            <w:color w:val="0000EE"/>
            <w:u w:val="single"/>
          </w:rPr>
          <w:t>Is 7.18</w:t>
        </w:r>
      </w:hyperlink>
      <w:r>
        <w:t>).</w:t>
      </w:r>
    </w:p>
    <w:p>
      <w:r/>
      <w:r>
        <w:t>Uma referência chama a atenção para o fato de que nas regiões semi-desertas as carcastas de um animal morto, despojadas até o osso por chacais ou abutres e secas ao sol, podem fornecer às abelhas selvagens um excelente lugar para começar uma nova colônia (</w:t>
      </w:r>
      <w:hyperlink r:id="rId1491">
        <w:r>
          <w:rPr>
            <w:color w:val="0000EE"/>
            <w:u w:val="single"/>
          </w:rPr>
          <w:t>Jz 14.5–9</w:t>
        </w:r>
      </w:hyperlink>
      <w:r>
        <w:t>).</w:t>
      </w:r>
    </w:p>
    <w:p>
      <w:r/>
      <w:r>
        <w:t xml:space="preserve">Os egípcios consideravam a abelha sagrada. Na Grécia antiga, as velas eram feitas de cera de abelha. Na Terra Santa, a apícultura provavelmente não era praticada até o período helenístico (segundo século a.C.), embora </w:t>
      </w:r>
      <w:hyperlink r:id="rId568">
        <w:r>
          <w:rPr>
            <w:color w:val="0000EE"/>
            <w:u w:val="single"/>
          </w:rPr>
          <w:t>Ezequiel 27.17</w:t>
        </w:r>
      </w:hyperlink>
      <w:r>
        <w:t xml:space="preserve"> sugira que pode ter sido praticada mais cedo. Se o mel doméstico não estivesse disponível para os hebreus, o mel selvagem certamente estava, e os viajantes estariam atentos aos cachos de mel em fendas rochosas e outros lugares prováveis. Os filisteus e os hititas praticavam a atividade apícola em suas cidades.</w:t>
      </w:r>
    </w:p>
    <w:p>
      <w:r/>
      <w:r>
        <w:t>A Bíblia contém muitas referências a abelhas e produtos derivados das abelhas. Um enxame de abelhas era um conjunto valioso, embora o preço do mel em si fosse baixo. O mel às vezes era comido com o favo de mel (</w:t>
      </w:r>
      <w:hyperlink r:id="rId1492">
        <w:r>
          <w:rPr>
            <w:color w:val="0000EE"/>
            <w:u w:val="single"/>
          </w:rPr>
          <w:t>Ct 5.1</w:t>
        </w:r>
      </w:hyperlink>
      <w:r>
        <w:t>). O mel também tinha usos diferentes de comida, por exemplo, no embalsamamento.</w:t>
      </w:r>
    </w:p>
    <w:p>
      <w:r/>
      <w:r>
        <w:t xml:space="preserve">A terra de Israel era descrita como uma terra que flui com leite e mel. O mel era uma grande fonte de adoçante no antigo Oriente Próximo — daí sua importância (cf. </w:t>
      </w:r>
      <w:hyperlink r:id="rId1493">
        <w:r>
          <w:rPr>
            <w:color w:val="0000EE"/>
            <w:u w:val="single"/>
          </w:rPr>
          <w:t>Jz 14.8–9</w:t>
        </w:r>
      </w:hyperlink>
      <w:r>
        <w:t>). Na verdade, a palavra hebraica para “mel” pode incluir não apenas mel de abelha, mas também o xarope doce extraído de frutas como figos, tâmaras e uvas. Assim, “uma terra que mana leite e mel” (</w:t>
      </w:r>
      <w:hyperlink r:id="rId1494">
        <w:r>
          <w:rPr>
            <w:color w:val="0000EE"/>
            <w:u w:val="single"/>
          </w:rPr>
          <w:t>Êx 3.8</w:t>
        </w:r>
      </w:hyperlink>
      <w:r>
        <w:t>, ARC) não significa necessariamente uma terra de abelhas, mas uma terra rica em doçura.</w:t>
      </w:r>
    </w:p>
    <w:p>
      <w:r/>
      <w:r>
        <w:rPr>
          <w:i/>
        </w:rPr>
        <w:t>Ver também</w:t>
      </w:r>
      <w:r>
        <w:t xml:space="preserve"> </w:t>
      </w:r>
      <w:r>
        <w:t>Alimentos e preparação de alimentos</w:t>
      </w:r>
      <w:r>
        <w:t xml:space="preserve"> </w:t>
      </w:r>
      <w:r>
        <w:t>Mel</w:t>
      </w:r>
      <w:r>
        <w:t>.</w:t>
      </w:r>
    </w:p>
    <w:p>
      <w:pPr>
        <w:pStyle w:val="Heading3"/>
      </w:pPr>
      <w:r>
        <w:t>Beemot</w:t>
      </w:r>
    </w:p>
    <w:p>
      <w:r/>
      <w:r>
        <w:rPr>
          <w:i/>
        </w:rPr>
        <w:t>Veja</w:t>
      </w:r>
      <w:r>
        <w:t xml:space="preserve"> </w:t>
      </w:r>
      <w:r>
        <w:t>Hipopótamo (abaixo)</w:t>
      </w:r>
      <w:r>
        <w:t>.</w:t>
      </w:r>
    </w:p>
    <w:p>
      <w:pPr>
        <w:pStyle w:val="Heading3"/>
      </w:pPr>
      <w:r>
        <w:t>Camelo</w:t>
      </w:r>
    </w:p>
    <w:p>
      <w:r/>
      <w:r>
        <w:t xml:space="preserve">Grande besta de carga. Ininteligente, mal-humorado e briguento, o camelo </w:t>
      </w:r>
      <w:r>
        <w:rPr>
          <w:i/>
        </w:rPr>
        <w:t>(Camelus dromedarius)</w:t>
      </w:r>
      <w:r>
        <w:t xml:space="preserve"> é, no entanto, uma bênção para as pessoas que vivem no deserto e em suas fronteiras, porque é especialmente adaptado a esse habitat. Tem sido chamado de navio do deserto. Tendo almofadas elásticas espessas de tecido fibroso em seus pés, pode andar nas areias quentes do deserto. Pode ficar sem água por longos períodos e pode subsistir na vegetação que cresce nos solos salinos. As narinas dos camelos são comprimidas juntas e podem ser fechadas à vontade para evitar a penetração de areia durante violentas tempestades de areia.</w:t>
      </w:r>
    </w:p>
    <w:p>
      <w:r/>
      <w:r>
        <w:t>Os camelos são usados para transportar bens e pessoas. Uma pessoa andando de camelo pode cobrir 96,5 a 121 quilômetros em um dia. Um camelo pode carregar uma carga pesando 272 quilos ou mais. Os camelos eram usados pesadamente no comércio de especiarias (</w:t>
      </w:r>
      <w:hyperlink r:id="rId1495">
        <w:r>
          <w:rPr>
            <w:color w:val="0000EE"/>
            <w:u w:val="single"/>
          </w:rPr>
          <w:t>Gn 37.25</w:t>
        </w:r>
      </w:hyperlink>
      <w:r>
        <w:t>) e viajavam regularmente em caravanas de camelos entre a Arábia, o Egito e a Assíria. Eles também foram montados em tempo de guerra (</w:t>
      </w:r>
      <w:hyperlink r:id="rId1496">
        <w:r>
          <w:rPr>
            <w:color w:val="0000EE"/>
            <w:u w:val="single"/>
          </w:rPr>
          <w:t>Jz 6.5</w:t>
        </w:r>
      </w:hyperlink>
      <w:r>
        <w:t>). Um camelo pode até ser acoplado a um arado em áreas onde a terra é plantada.</w:t>
      </w:r>
    </w:p>
    <w:p>
      <w:r/>
      <w:r>
        <w:t>O cabelo que cai dos camelos durante o início da primavera é preservado e usado na tecelagem de pano e fazendo tendas. Até 4,5 quilos de cabelo podem ser obtidos de um camelo. Um manto áspero de cabelo de camelo, usado por João Batista (</w:t>
      </w:r>
      <w:hyperlink r:id="rId1497">
        <w:r>
          <w:rPr>
            <w:color w:val="0000EE"/>
            <w:u w:val="single"/>
          </w:rPr>
          <w:t>Mt 3.4</w:t>
        </w:r>
      </w:hyperlink>
      <w:r>
        <w:t>), ainda é usado pelos beduínos hoje. A roupa de cabelo de um camelo também era o sinal do ofício profético (</w:t>
      </w:r>
      <w:hyperlink r:id="rId1498">
        <w:r>
          <w:rPr>
            <w:color w:val="0000EE"/>
            <w:u w:val="single"/>
          </w:rPr>
          <w:t>Zc 13.4</w:t>
        </w:r>
      </w:hyperlink>
      <w:r>
        <w:t>).</w:t>
      </w:r>
    </w:p>
    <w:p>
      <w:r/>
      <w:r>
        <w:t xml:space="preserve">Duas variedades de camelo ocorrem dentro das espécies de uma corcova só, o camelo lento que carrega carga referido em </w:t>
      </w:r>
      <w:hyperlink r:id="rId1495">
        <w:r>
          <w:rPr>
            <w:color w:val="0000EE"/>
            <w:u w:val="single"/>
          </w:rPr>
          <w:t>Gênesis 37.25</w:t>
        </w:r>
      </w:hyperlink>
      <w:r>
        <w:t xml:space="preserve"> e o dromedário rápido de </w:t>
      </w:r>
      <w:hyperlink r:id="rId1499">
        <w:r>
          <w:rPr>
            <w:color w:val="0000EE"/>
            <w:u w:val="single"/>
          </w:rPr>
          <w:t>1 Samuel 30.17</w:t>
        </w:r>
      </w:hyperlink>
      <w:r>
        <w:t>. O dromedário pode ter 2,1 metros de altura e medir até 2,7 metros do focinho até a ponta da cauda. Com seu estômago de três câmaras, que pode conter de 14 a 28 litros de líquido, pode durar até 5 dias durante o verão ou 25 dias no inverno sem beber. A corcova do camelo é um depósito de gordura de reserva, tornando possível que o animal subsista de pouca comida durante uma jornada no deserto.</w:t>
      </w:r>
    </w:p>
    <w:p>
      <w:r/>
      <w:r>
        <w:t xml:space="preserve">Outra espécie de camelo, o camelo bactriano </w:t>
      </w:r>
      <w:r>
        <w:rPr>
          <w:i/>
        </w:rPr>
        <w:t>(Camelus bactrianus),</w:t>
      </w:r>
      <w:r>
        <w:t xml:space="preserve"> também é residente na Terra Santa. Tem duas corcovas. É mais pesado, maior e tem pelo mais longo que o camelo de uma corcunda e é mais lento que o veloz dromedário. </w:t>
      </w:r>
      <w:hyperlink r:id="rId1500">
        <w:r>
          <w:rPr>
            <w:color w:val="0000EE"/>
            <w:u w:val="single"/>
          </w:rPr>
          <w:t>Isaías 21.7</w:t>
        </w:r>
      </w:hyperlink>
      <w:r>
        <w:t xml:space="preserve"> pode se referir ao camelo báctrio; ambos os tipos de camelo são referidos em </w:t>
      </w:r>
      <w:hyperlink r:id="rId1501">
        <w:r>
          <w:rPr>
            <w:color w:val="0000EE"/>
            <w:u w:val="single"/>
          </w:rPr>
          <w:t>Ester 8.10</w:t>
        </w:r>
      </w:hyperlink>
      <w:r>
        <w:t xml:space="preserve"> (NTLH). Os camelos eram classificados em importância com ovelhas, gado e jumentos nos tempos do AT. Um terço das 66 referências bíblicas ao camelo o lista com outros animais.</w:t>
      </w:r>
    </w:p>
    <w:p>
      <w:r/>
      <w:r>
        <w:t>Os camelos são ruminantes, mas não têm cascos fendidos. Assim, eles foram incluídos na lista de bestas imundas, proibidas pelos israelitas como alimento (</w:t>
      </w:r>
      <w:hyperlink r:id="rId1502">
        <w:r>
          <w:rPr>
            <w:color w:val="0000EE"/>
            <w:u w:val="single"/>
          </w:rPr>
          <w:t>Lv 11.4</w:t>
        </w:r>
      </w:hyperlink>
      <w:r>
        <w:t xml:space="preserve">; </w:t>
      </w:r>
      <w:hyperlink r:id="rId1473">
        <w:r>
          <w:rPr>
            <w:color w:val="0000EE"/>
            <w:u w:val="single"/>
          </w:rPr>
          <w:t>Dt 14.7</w:t>
        </w:r>
      </w:hyperlink>
      <w:r>
        <w:t xml:space="preserve">). Eles são comidos pelos árabes, no entanto, que também bebem seu leite (cf. </w:t>
      </w:r>
      <w:hyperlink r:id="rId1503">
        <w:r>
          <w:rPr>
            <w:color w:val="0000EE"/>
            <w:u w:val="single"/>
          </w:rPr>
          <w:t>Gn 32.15</w:t>
        </w:r>
      </w:hyperlink>
      <w:r>
        <w:t>).</w:t>
      </w:r>
    </w:p>
    <w:p>
      <w:r/>
      <w:r>
        <w:t>Abraão tinha camelos no Egito (</w:t>
      </w:r>
      <w:hyperlink r:id="rId1504">
        <w:r>
          <w:rPr>
            <w:color w:val="0000EE"/>
            <w:u w:val="single"/>
          </w:rPr>
          <w:t>Gn 12.16</w:t>
        </w:r>
      </w:hyperlink>
      <w:r>
        <w:t>). No início, Jó tinha 3.000 camelos (</w:t>
      </w:r>
      <w:hyperlink r:id="rId1505">
        <w:r>
          <w:rPr>
            <w:color w:val="0000EE"/>
            <w:u w:val="single"/>
          </w:rPr>
          <w:t>Jó 1.3</w:t>
        </w:r>
      </w:hyperlink>
      <w:r>
        <w:t>) e após sua restauração, 6.000 (</w:t>
      </w:r>
      <w:hyperlink r:id="rId1506">
        <w:r>
          <w:rPr>
            <w:color w:val="0000EE"/>
            <w:u w:val="single"/>
          </w:rPr>
          <w:t>Jó 42.12</w:t>
        </w:r>
      </w:hyperlink>
      <w:r>
        <w:t>). Embora o amplo uso de camelos não pareça ter começado até pouco antes de 1000 a.C. (</w:t>
      </w:r>
      <w:hyperlink r:id="rId1496">
        <w:r>
          <w:rPr>
            <w:color w:val="0000EE"/>
            <w:u w:val="single"/>
          </w:rPr>
          <w:t>Jz 6.5</w:t>
        </w:r>
      </w:hyperlink>
      <w:r>
        <w:t>), os textos sumérios do período babilônico antigo listam camelos e indicam que eles haviam sido domesticados. Ossos de camelo e estatuetas foram encontrados em vários sítios arqueológicos orientais que datam de bem antes de 1200 a.C.</w:t>
      </w:r>
    </w:p>
    <w:p>
      <w:r/>
      <w:r>
        <w:rPr>
          <w:i/>
        </w:rPr>
        <w:t>Ver também</w:t>
      </w:r>
      <w:r>
        <w:t xml:space="preserve"> </w:t>
      </w:r>
      <w:r>
        <w:t>Viagens</w:t>
      </w:r>
      <w:r>
        <w:t>.</w:t>
      </w:r>
    </w:p>
    <w:p>
      <w:pPr>
        <w:pStyle w:val="Heading3"/>
      </w:pPr>
      <w:r>
        <w:t>Lagarta</w:t>
      </w:r>
    </w:p>
    <w:p>
      <w:r/>
      <w:r>
        <w:t>Estágio larval de insetos caracterizado por metamorfose completa. Tais insetos passam por quatro estágios: ovo, larva ou lagarta, pupa e adulto. Abelhas, moscas, mariposas e borboletas passam por um estágio larval ou de lagarta.</w:t>
      </w:r>
    </w:p>
    <w:p>
      <w:r/>
      <w:r>
        <w:t>As traduções da Bíblia em português são inconsistentes, traduzindo o mesmo termo hebraico por "lagarta", "larva" e até por "gafanhoto" (</w:t>
      </w:r>
      <w:hyperlink r:id="rId1507">
        <w:r>
          <w:rPr>
            <w:color w:val="0000EE"/>
            <w:u w:val="single"/>
          </w:rPr>
          <w:t>1Rs 8.37</w:t>
        </w:r>
      </w:hyperlink>
      <w:r>
        <w:t xml:space="preserve">; </w:t>
      </w:r>
      <w:hyperlink r:id="rId1508">
        <w:r>
          <w:rPr>
            <w:color w:val="0000EE"/>
            <w:u w:val="single"/>
          </w:rPr>
          <w:t>2Cr 6.28</w:t>
        </w:r>
      </w:hyperlink>
      <w:r>
        <w:t xml:space="preserve">; </w:t>
      </w:r>
      <w:hyperlink r:id="rId1509">
        <w:r>
          <w:rPr>
            <w:color w:val="0000EE"/>
            <w:u w:val="single"/>
          </w:rPr>
          <w:t>Sl 78.46</w:t>
        </w:r>
      </w:hyperlink>
      <w:r>
        <w:t xml:space="preserve"> cf. ARA, NAA, NVI). No livro de Joel e alguns outros textos, essa mesma palavra hebraica é traduzida como “gafanhoto” (</w:t>
      </w:r>
      <w:hyperlink r:id="rId1510">
        <w:r>
          <w:rPr>
            <w:color w:val="0000EE"/>
            <w:u w:val="single"/>
          </w:rPr>
          <w:t>1.4</w:t>
        </w:r>
      </w:hyperlink>
      <w:r>
        <w:t xml:space="preserve">; </w:t>
      </w:r>
      <w:hyperlink r:id="rId1511">
        <w:r>
          <w:rPr>
            <w:color w:val="0000EE"/>
            <w:u w:val="single"/>
          </w:rPr>
          <w:t>2.25</w:t>
        </w:r>
      </w:hyperlink>
      <w:r>
        <w:t>). As duas espécies de gafanhoto a que a palavra hebraica se refere tem um tipo incompleto de metamorfose com apenas três estágios: ovo, ninfa e adulto. A ninfa é um adulto em miniatura em que as asas não estão totalmente desenvolvidas, embora seu contorno possa estar presente. Há vários estágios ninfa conhecidos como instares. A referência é a um dos últimos instares, em que as estruturas das asas ainda estão dobradas e fechadas em uma bolsa, mas são, no entanto, claramente reconhecíveis. Essa forma do inseto tem cerca de 2,5 centímetros de comprimento.</w:t>
      </w:r>
    </w:p>
    <w:p>
      <w:r/>
      <w:r>
        <w:rPr>
          <w:i/>
        </w:rPr>
        <w:t>Veja também</w:t>
      </w:r>
      <w:r>
        <w:t xml:space="preserve"> Gafanhotos (abaixo).</w:t>
      </w:r>
    </w:p>
    <w:p>
      <w:pPr>
        <w:pStyle w:val="Heading3"/>
      </w:pPr>
      <w:r>
        <w:t>Bovino</w:t>
      </w:r>
    </w:p>
    <w:p>
      <w:r/>
      <w:r>
        <w:t xml:space="preserve">Animais domésticos da espécie bovina </w:t>
      </w:r>
      <w:r>
        <w:rPr>
          <w:i/>
        </w:rPr>
        <w:t>(Bos primigenius).</w:t>
      </w:r>
      <w:r>
        <w:t xml:space="preserve"> O AT muitas vezes enfatizava a beleza do gado. O Egito era rico em gado, especialmente na área do delta do rio Nilo (Gosén), onde os hebreus se estabeleceram sob José.</w:t>
      </w:r>
    </w:p>
    <w:p>
      <w:r/>
      <w:r>
        <w:t>Alguns estudiosos acreditam que o leite, em vez de carne, era a principal consideração na domesticação do gado e que nas primeiras civilizações os suprimentos de carne vinham principalmente da caça selvagem. O gado também fornecia couros fortes que substituíam madeira na fabricação de proteções. Seu esterco era uma fonte de combustível quando a madeira estava escassa (</w:t>
      </w:r>
      <w:hyperlink r:id="rId1512">
        <w:r>
          <w:rPr>
            <w:color w:val="0000EE"/>
            <w:u w:val="single"/>
          </w:rPr>
          <w:t>Ez 4.15</w:t>
        </w:r>
      </w:hyperlink>
      <w:r>
        <w:t>). Eles eram usados como bestas de carga e para arar. O desenvolvimento do transporte de rodas estava associado mais estreitamente com o gado do que com qualquer outro animal.</w:t>
      </w:r>
    </w:p>
    <w:p>
      <w:r/>
      <w:r>
        <w:t>O termo bíblico “gado” muitas vezes se refere a todos os animais domesticados ou gado (</w:t>
      </w:r>
      <w:hyperlink r:id="rId1454">
        <w:r>
          <w:rPr>
            <w:color w:val="0000EE"/>
            <w:u w:val="single"/>
          </w:rPr>
          <w:t>Gn 1.24</w:t>
        </w:r>
      </w:hyperlink>
      <w:r>
        <w:t xml:space="preserve">; </w:t>
      </w:r>
      <w:hyperlink r:id="rId1513">
        <w:r>
          <w:rPr>
            <w:color w:val="0000EE"/>
            <w:u w:val="single"/>
          </w:rPr>
          <w:t>2.20</w:t>
        </w:r>
      </w:hyperlink>
      <w:r>
        <w:t xml:space="preserve">; </w:t>
      </w:r>
      <w:hyperlink r:id="rId1514">
        <w:r>
          <w:rPr>
            <w:color w:val="0000EE"/>
            <w:u w:val="single"/>
          </w:rPr>
          <w:t>7.23</w:t>
        </w:r>
      </w:hyperlink>
      <w:r>
        <w:t xml:space="preserve">; </w:t>
      </w:r>
      <w:hyperlink r:id="rId1515">
        <w:r>
          <w:rPr>
            <w:color w:val="0000EE"/>
            <w:u w:val="single"/>
          </w:rPr>
          <w:t>47.6, 16–17</w:t>
        </w:r>
      </w:hyperlink>
      <w:r>
        <w:t xml:space="preserve">; </w:t>
      </w:r>
      <w:hyperlink r:id="rId1516">
        <w:r>
          <w:rPr>
            <w:color w:val="0000EE"/>
            <w:u w:val="single"/>
          </w:rPr>
          <w:t>Êx 9.3–7</w:t>
        </w:r>
      </w:hyperlink>
      <w:r>
        <w:t xml:space="preserve">; </w:t>
      </w:r>
      <w:hyperlink r:id="rId1517">
        <w:r>
          <w:rPr>
            <w:color w:val="0000EE"/>
            <w:u w:val="single"/>
          </w:rPr>
          <w:t>Nm 3.41, 45</w:t>
        </w:r>
      </w:hyperlink>
      <w:r>
        <w:t>). Ocasionalmente, o termo era usado para se referir a todos os grandes animais domésticos (</w:t>
      </w:r>
      <w:hyperlink r:id="rId1518">
        <w:r>
          <w:rPr>
            <w:color w:val="0000EE"/>
            <w:u w:val="single"/>
          </w:rPr>
          <w:t>Nm 31.9</w:t>
        </w:r>
      </w:hyperlink>
      <w:r>
        <w:t xml:space="preserve">; </w:t>
      </w:r>
      <w:hyperlink r:id="rId1519">
        <w:r>
          <w:rPr>
            <w:color w:val="0000EE"/>
            <w:u w:val="single"/>
          </w:rPr>
          <w:t>32.26</w:t>
        </w:r>
      </w:hyperlink>
      <w:r>
        <w:t>), embora às vezes a palavra usada na versão KJV se refira apenas ovelhas e cabras (</w:t>
      </w:r>
      <w:hyperlink r:id="rId1520">
        <w:r>
          <w:rPr>
            <w:color w:val="0000EE"/>
            <w:u w:val="single"/>
          </w:rPr>
          <w:t>Gn 30.32,39,43</w:t>
        </w:r>
      </w:hyperlink>
      <w:r>
        <w:t xml:space="preserve">; </w:t>
      </w:r>
      <w:hyperlink r:id="rId1521">
        <w:r>
          <w:rPr>
            <w:color w:val="0000EE"/>
            <w:u w:val="single"/>
          </w:rPr>
          <w:t>31.8, 10</w:t>
        </w:r>
      </w:hyperlink>
      <w:r>
        <w:t xml:space="preserve">; </w:t>
      </w:r>
      <w:hyperlink r:id="rId1522">
        <w:r>
          <w:rPr>
            <w:color w:val="0000EE"/>
            <w:u w:val="single"/>
          </w:rPr>
          <w:t>Is 7.25</w:t>
        </w:r>
      </w:hyperlink>
      <w:r>
        <w:t xml:space="preserve">; </w:t>
      </w:r>
      <w:hyperlink r:id="rId1523">
        <w:r>
          <w:rPr>
            <w:color w:val="0000EE"/>
            <w:u w:val="single"/>
          </w:rPr>
          <w:t>43.23</w:t>
        </w:r>
      </w:hyperlink>
      <w:r>
        <w:t>).</w:t>
      </w:r>
    </w:p>
    <w:p>
      <w:r/>
      <w:r>
        <w:t>Provavelmente vários tipos de gado foram domesticados na Terra Santa. Gado pequeno, de pernas baixas, preto ou marrom de espinheiro foram encontrados na parte sul de Judá; esse tipo se submetia facilmente ao jugo e era proeminente em operações agrícolas. Ao longo da costa, uma variedade maior foi encontrada, e os distritos selvagens a leste do rio Jordão eram povoados com uma raça de enorme gado preto.</w:t>
      </w:r>
    </w:p>
    <w:p>
      <w:r/>
      <w:r>
        <w:t xml:space="preserve">A criação de gado era amplamente praticada pelos patriarcas (cf. </w:t>
      </w:r>
      <w:hyperlink r:id="rId1503">
        <w:r>
          <w:rPr>
            <w:color w:val="0000EE"/>
            <w:u w:val="single"/>
          </w:rPr>
          <w:t>Gn 32.15</w:t>
        </w:r>
      </w:hyperlink>
      <w:r>
        <w:t xml:space="preserve">; </w:t>
      </w:r>
      <w:hyperlink r:id="rId147">
        <w:r>
          <w:rPr>
            <w:color w:val="0000EE"/>
            <w:u w:val="single"/>
          </w:rPr>
          <w:t>Jó 21.10</w:t>
        </w:r>
      </w:hyperlink>
      <w:r>
        <w:t>). Leis rígidas na Mesopotâmia, bem como em Israel, penalizaram o proprietário de um touro que chifrou um homem ou outro gado (</w:t>
      </w:r>
      <w:hyperlink r:id="rId1524">
        <w:r>
          <w:rPr>
            <w:color w:val="0000EE"/>
            <w:u w:val="single"/>
          </w:rPr>
          <w:t>Êx 21.28–36</w:t>
        </w:r>
      </w:hyperlink>
      <w:r>
        <w:t>). Os touros às vezes eram empregados figurativamente como imagens de força ou violência (</w:t>
      </w:r>
      <w:hyperlink r:id="rId1525">
        <w:r>
          <w:rPr>
            <w:color w:val="0000EE"/>
            <w:u w:val="single"/>
          </w:rPr>
          <w:t>Dt 33.17</w:t>
        </w:r>
      </w:hyperlink>
      <w:r>
        <w:t xml:space="preserve">; </w:t>
      </w:r>
      <w:hyperlink r:id="rId1526">
        <w:r>
          <w:rPr>
            <w:color w:val="0000EE"/>
            <w:u w:val="single"/>
          </w:rPr>
          <w:t>Sl 22.12</w:t>
        </w:r>
      </w:hyperlink>
      <w:r>
        <w:t xml:space="preserve">; </w:t>
      </w:r>
      <w:hyperlink r:id="rId1527">
        <w:r>
          <w:rPr>
            <w:color w:val="0000EE"/>
            <w:u w:val="single"/>
          </w:rPr>
          <w:t>68.30</w:t>
        </w:r>
      </w:hyperlink>
      <w:r>
        <w:t xml:space="preserve">; </w:t>
      </w:r>
      <w:hyperlink r:id="rId1528">
        <w:r>
          <w:rPr>
            <w:color w:val="0000EE"/>
            <w:u w:val="single"/>
          </w:rPr>
          <w:t>Is 10.13</w:t>
        </w:r>
      </w:hyperlink>
      <w:r>
        <w:t>). Para fins de criação, um touro é normalmente adequado para cerca de 30 vacas, mas muitos mais foram mantidos desde que os touros eram amplamente usados em Israel para sacrifícios. Eles podem ser usados como um sacrifício geral (</w:t>
      </w:r>
      <w:hyperlink r:id="rId1529">
        <w:r>
          <w:rPr>
            <w:color w:val="0000EE"/>
            <w:u w:val="single"/>
          </w:rPr>
          <w:t>Lv 22.23</w:t>
        </w:r>
      </w:hyperlink>
      <w:r>
        <w:t xml:space="preserve">; </w:t>
      </w:r>
      <w:hyperlink r:id="rId1530">
        <w:r>
          <w:rPr>
            <w:color w:val="0000EE"/>
            <w:u w:val="single"/>
          </w:rPr>
          <w:t>Nm 23.1</w:t>
        </w:r>
      </w:hyperlink>
      <w:r>
        <w:t>) ou para sacrifícios especiais (</w:t>
      </w:r>
      <w:hyperlink r:id="rId1531">
        <w:r>
          <w:rPr>
            <w:color w:val="0000EE"/>
            <w:u w:val="single"/>
          </w:rPr>
          <w:t>Jz 6.25</w:t>
        </w:r>
      </w:hyperlink>
      <w:r>
        <w:t xml:space="preserve">; </w:t>
      </w:r>
      <w:hyperlink r:id="rId1532">
        <w:r>
          <w:rPr>
            <w:color w:val="0000EE"/>
            <w:u w:val="single"/>
          </w:rPr>
          <w:t>1Sm 1.24</w:t>
        </w:r>
      </w:hyperlink>
      <w:r>
        <w:t>). Sacrifícios especiais foram oferecidos na consagração dos sacerdotes (</w:t>
      </w:r>
      <w:hyperlink r:id="rId1533">
        <w:r>
          <w:rPr>
            <w:color w:val="0000EE"/>
            <w:u w:val="single"/>
          </w:rPr>
          <w:t>Êx 29.1</w:t>
        </w:r>
      </w:hyperlink>
      <w:r>
        <w:t>), consagração de um altar (</w:t>
      </w:r>
      <w:hyperlink r:id="rId1534">
        <w:r>
          <w:rPr>
            <w:color w:val="0000EE"/>
            <w:u w:val="single"/>
          </w:rPr>
          <w:t>Nm 7</w:t>
        </w:r>
      </w:hyperlink>
      <w:r>
        <w:t>), purificação dos levitas (</w:t>
      </w:r>
      <w:hyperlink r:id="rId1535">
        <w:r>
          <w:rPr>
            <w:color w:val="0000EE"/>
            <w:u w:val="single"/>
          </w:rPr>
          <w:t>Nm 8</w:t>
        </w:r>
      </w:hyperlink>
      <w:r>
        <w:t>), ofertas pelo pecado (</w:t>
      </w:r>
      <w:hyperlink r:id="rId403">
        <w:r>
          <w:rPr>
            <w:color w:val="0000EE"/>
            <w:u w:val="single"/>
          </w:rPr>
          <w:t>Lv 16</w:t>
        </w:r>
      </w:hyperlink>
      <w:r>
        <w:t>), dia da lua nova (</w:t>
      </w:r>
      <w:hyperlink r:id="rId1536">
        <w:r>
          <w:rPr>
            <w:color w:val="0000EE"/>
            <w:u w:val="single"/>
          </w:rPr>
          <w:t>Nm 28.11–14</w:t>
        </w:r>
      </w:hyperlink>
      <w:r>
        <w:t>), Páscoa (</w:t>
      </w:r>
      <w:hyperlink r:id="rId1537">
        <w:r>
          <w:rPr>
            <w:color w:val="0000EE"/>
            <w:u w:val="single"/>
          </w:rPr>
          <w:t>Nm 28.19</w:t>
        </w:r>
      </w:hyperlink>
      <w:r>
        <w:t>), Festa das Semanas (</w:t>
      </w:r>
      <w:hyperlink r:id="rId1538">
        <w:r>
          <w:rPr>
            <w:color w:val="0000EE"/>
            <w:u w:val="single"/>
          </w:rPr>
          <w:t>Nm 28.27</w:t>
        </w:r>
      </w:hyperlink>
      <w:r>
        <w:t>), Festa das Trombetas (</w:t>
      </w:r>
      <w:hyperlink r:id="rId1539">
        <w:r>
          <w:rPr>
            <w:color w:val="0000EE"/>
            <w:u w:val="single"/>
          </w:rPr>
          <w:t>Nm 29.1–2</w:t>
        </w:r>
      </w:hyperlink>
      <w:r>
        <w:t>), Dia da Expiação (</w:t>
      </w:r>
      <w:hyperlink r:id="rId1540">
        <w:r>
          <w:rPr>
            <w:color w:val="0000EE"/>
            <w:u w:val="single"/>
          </w:rPr>
          <w:t>Nm 29.7–9</w:t>
        </w:r>
      </w:hyperlink>
      <w:r>
        <w:t>) e Festa dos Tabernáculos (</w:t>
      </w:r>
      <w:hyperlink r:id="rId1541">
        <w:r>
          <w:rPr>
            <w:color w:val="0000EE"/>
            <w:u w:val="single"/>
          </w:rPr>
          <w:t>Nm 29.12–38</w:t>
        </w:r>
      </w:hyperlink>
      <w:r>
        <w:t>). A Festa dos Tabernáculos exigia o maior número de touros para ofertas queimadas de todas as festas anuais, com um total de 71 sendo abatidos durante o decorrer de oito dias.</w:t>
      </w:r>
    </w:p>
    <w:p>
      <w:r/>
      <w:r>
        <w:t>Os bezerros às vezes eram referidos como “filhos do rebanho” no hebraico original (</w:t>
      </w:r>
      <w:hyperlink r:id="rId1542">
        <w:r>
          <w:rPr>
            <w:color w:val="0000EE"/>
            <w:u w:val="single"/>
          </w:rPr>
          <w:t>Gn 18.8</w:t>
        </w:r>
      </w:hyperlink>
      <w:r>
        <w:t xml:space="preserve">; </w:t>
      </w:r>
      <w:hyperlink r:id="rId1543">
        <w:r>
          <w:rPr>
            <w:color w:val="0000EE"/>
            <w:u w:val="single"/>
          </w:rPr>
          <w:t>1Sm 6.7</w:t>
        </w:r>
      </w:hyperlink>
      <w:r>
        <w:t xml:space="preserve">; </w:t>
      </w:r>
      <w:hyperlink r:id="rId1544">
        <w:r>
          <w:rPr>
            <w:color w:val="0000EE"/>
            <w:u w:val="single"/>
          </w:rPr>
          <w:t>14.32</w:t>
        </w:r>
      </w:hyperlink>
      <w:r>
        <w:t>). O bezerro, um símbolo de paz (</w:t>
      </w:r>
      <w:hyperlink r:id="rId1545">
        <w:r>
          <w:rPr>
            <w:color w:val="0000EE"/>
            <w:u w:val="single"/>
          </w:rPr>
          <w:t>Is 11.6</w:t>
        </w:r>
      </w:hyperlink>
      <w:r>
        <w:t>), também era usado figurativamente para se referir aos fracos (</w:t>
      </w:r>
      <w:hyperlink r:id="rId1527">
        <w:r>
          <w:rPr>
            <w:color w:val="0000EE"/>
            <w:u w:val="single"/>
          </w:rPr>
          <w:t>Sl 68.30</w:t>
        </w:r>
      </w:hyperlink>
      <w:r>
        <w:t>). A cabeça de um bezerro decorava a parte de trás do trono de Salomão (</w:t>
      </w:r>
      <w:hyperlink r:id="rId1546">
        <w:r>
          <w:rPr>
            <w:color w:val="0000EE"/>
            <w:u w:val="single"/>
          </w:rPr>
          <w:t>1Rs 10.19</w:t>
        </w:r>
      </w:hyperlink>
      <w:r>
        <w:t>). Os bezerros às vezes eram engordados em barracas para mantê-los sem peso no campo (</w:t>
      </w:r>
      <w:hyperlink r:id="rId1267">
        <w:r>
          <w:rPr>
            <w:color w:val="0000EE"/>
            <w:u w:val="single"/>
          </w:rPr>
          <w:t>Am 6.4</w:t>
        </w:r>
      </w:hyperlink>
      <w:r>
        <w:t xml:space="preserve">; </w:t>
      </w:r>
      <w:hyperlink r:id="rId1547">
        <w:r>
          <w:rPr>
            <w:color w:val="0000EE"/>
            <w:u w:val="single"/>
          </w:rPr>
          <w:t>Ml 4.2</w:t>
        </w:r>
      </w:hyperlink>
      <w:r>
        <w:t xml:space="preserve">; </w:t>
      </w:r>
      <w:hyperlink r:id="rId1548">
        <w:r>
          <w:rPr>
            <w:color w:val="0000EE"/>
            <w:u w:val="single"/>
          </w:rPr>
          <w:t>Lc 15.23</w:t>
        </w:r>
      </w:hyperlink>
      <w:r>
        <w:t>) ou eram mantidos ao redor da casa; a médium de Endor mantinha um bezerro em sua casa que ela matou e serviu a Saul e seus homens (</w:t>
      </w:r>
      <w:hyperlink r:id="rId1549">
        <w:r>
          <w:rPr>
            <w:color w:val="0000EE"/>
            <w:u w:val="single"/>
          </w:rPr>
          <w:t>1Sm 28:24–25</w:t>
        </w:r>
      </w:hyperlink>
      <w:r>
        <w:t>). Os bezerros forneciam vitela (</w:t>
      </w:r>
      <w:hyperlink r:id="rId1550">
        <w:r>
          <w:rPr>
            <w:color w:val="0000EE"/>
            <w:u w:val="single"/>
          </w:rPr>
          <w:t>Gn 18.7</w:t>
        </w:r>
      </w:hyperlink>
      <w:r>
        <w:t>), considerada uma iguaria pelos ricos; Amós se referia aos bezerros engordados em uma denúncia de vida luxuosa e negligente (</w:t>
      </w:r>
      <w:hyperlink r:id="rId1267">
        <w:r>
          <w:rPr>
            <w:color w:val="0000EE"/>
            <w:u w:val="single"/>
          </w:rPr>
          <w:t>Am 6.4</w:t>
        </w:r>
      </w:hyperlink>
      <w:r>
        <w:t>). Os bezerros também forneciam carne para todos os exércitos de Saul na grande matança dos filisteus (</w:t>
      </w:r>
      <w:hyperlink r:id="rId1544">
        <w:r>
          <w:rPr>
            <w:color w:val="0000EE"/>
            <w:u w:val="single"/>
          </w:rPr>
          <w:t>1Sm 14.32</w:t>
        </w:r>
      </w:hyperlink>
      <w:r>
        <w:t>). O “bezerro cevado” servido assado ou cozido era um prato gourmet, adequado para o melhor banquete (</w:t>
      </w:r>
      <w:hyperlink r:id="rId1550">
        <w:r>
          <w:rPr>
            <w:color w:val="0000EE"/>
            <w:u w:val="single"/>
          </w:rPr>
          <w:t>Gn 18.7</w:t>
        </w:r>
      </w:hyperlink>
      <w:r>
        <w:t xml:space="preserve">; </w:t>
      </w:r>
      <w:hyperlink r:id="rId1551">
        <w:r>
          <w:rPr>
            <w:color w:val="0000EE"/>
            <w:u w:val="single"/>
          </w:rPr>
          <w:t>Mt 22.4</w:t>
        </w:r>
      </w:hyperlink>
      <w:r>
        <w:t xml:space="preserve">; </w:t>
      </w:r>
      <w:hyperlink r:id="rId1548">
        <w:r>
          <w:rPr>
            <w:color w:val="0000EE"/>
            <w:u w:val="single"/>
          </w:rPr>
          <w:t>Lc 15.23</w:t>
        </w:r>
      </w:hyperlink>
      <w:r>
        <w:t>).</w:t>
      </w:r>
    </w:p>
    <w:p>
      <w:r/>
      <w:r>
        <w:t>O gado estava sujeito à lei dos primogênitos (</w:t>
      </w:r>
      <w:hyperlink r:id="rId1552">
        <w:r>
          <w:rPr>
            <w:color w:val="0000EE"/>
            <w:u w:val="single"/>
          </w:rPr>
          <w:t>Êx 13.12</w:t>
        </w:r>
      </w:hyperlink>
      <w:r>
        <w:t>). Eles eram uma marca de riqueza (</w:t>
      </w:r>
      <w:hyperlink r:id="rId1553">
        <w:r>
          <w:rPr>
            <w:color w:val="0000EE"/>
            <w:u w:val="single"/>
          </w:rPr>
          <w:t>Gn 13.2</w:t>
        </w:r>
      </w:hyperlink>
      <w:r>
        <w:t>) e foram considerados saque adequado da guerra (</w:t>
      </w:r>
      <w:hyperlink r:id="rId1554">
        <w:r>
          <w:rPr>
            <w:color w:val="0000EE"/>
            <w:u w:val="single"/>
          </w:rPr>
          <w:t>Js 8.2</w:t>
        </w:r>
      </w:hyperlink>
      <w:r>
        <w:t>). Arão, o primeiro sumo sacerdote, fez um bezerro de ouro como um rival para a arca da aliança (</w:t>
      </w:r>
      <w:hyperlink r:id="rId1555">
        <w:r>
          <w:rPr>
            <w:color w:val="0000EE"/>
            <w:u w:val="single"/>
          </w:rPr>
          <w:t>Êx 32</w:t>
        </w:r>
      </w:hyperlink>
      <w:r>
        <w:t xml:space="preserve">; </w:t>
      </w:r>
      <w:hyperlink r:id="rId1556">
        <w:r>
          <w:rPr>
            <w:color w:val="0000EE"/>
            <w:u w:val="single"/>
          </w:rPr>
          <w:t>Dt 9.16,21</w:t>
        </w:r>
      </w:hyperlink>
      <w:r>
        <w:t>). Mesmo que ele representasse o bezerro como uma imagem do Deus invisível, era especialmente ofensivo porque o bezerro era um símbolo de fertilidade relacionado às práticas egípcias e cananeias. Dois bezerros foram mais tarde feitos por Jeroboão I de Israel (930–909 a.C.) para seus santuários em Betel e Dã (</w:t>
      </w:r>
      <w:hyperlink r:id="rId1557">
        <w:r>
          <w:rPr>
            <w:color w:val="0000EE"/>
            <w:u w:val="single"/>
          </w:rPr>
          <w:t>1Rs 12.28–33</w:t>
        </w:r>
      </w:hyperlink>
      <w:r>
        <w:t>). As denúncias proféticas de Oséias sobre a adoração aos bezerros foram dirigidas a esses santuários (</w:t>
      </w:r>
      <w:hyperlink r:id="rId1558">
        <w:r>
          <w:rPr>
            <w:color w:val="0000EE"/>
            <w:u w:val="single"/>
          </w:rPr>
          <w:t>Os 8.5–6</w:t>
        </w:r>
      </w:hyperlink>
      <w:r>
        <w:t xml:space="preserve">; </w:t>
      </w:r>
      <w:hyperlink r:id="rId1559">
        <w:r>
          <w:rPr>
            <w:color w:val="0000EE"/>
            <w:u w:val="single"/>
          </w:rPr>
          <w:t>13.2</w:t>
        </w:r>
      </w:hyperlink>
      <w:r>
        <w:t>).</w:t>
      </w:r>
    </w:p>
    <w:p>
      <w:r/>
      <w:r>
        <w:t>Um boi é um touro castrado adulto. Um novilho é um jovem boi. Os bois eram usados para trabalhar (</w:t>
      </w:r>
      <w:hyperlink r:id="rId1560">
        <w:r>
          <w:rPr>
            <w:color w:val="0000EE"/>
            <w:u w:val="single"/>
          </w:rPr>
          <w:t>Nm 7.3</w:t>
        </w:r>
      </w:hyperlink>
      <w:r>
        <w:t xml:space="preserve">; </w:t>
      </w:r>
      <w:hyperlink r:id="rId578">
        <w:r>
          <w:rPr>
            <w:color w:val="0000EE"/>
            <w:u w:val="single"/>
          </w:rPr>
          <w:t>Dt 22.10</w:t>
        </w:r>
      </w:hyperlink>
      <w:r>
        <w:t xml:space="preserve">; </w:t>
      </w:r>
      <w:hyperlink r:id="rId1561">
        <w:r>
          <w:rPr>
            <w:color w:val="0000EE"/>
            <w:u w:val="single"/>
          </w:rPr>
          <w:t>25.4</w:t>
        </w:r>
      </w:hyperlink>
      <w:r>
        <w:t>), embora para mover objetos pesados, as vacas fossem tipicamente favorecidas sobre os touros por causa de sua natureza mais dócil. Os bois também eram usados como animais de carga (</w:t>
      </w:r>
      <w:hyperlink r:id="rId1562">
        <w:r>
          <w:rPr>
            <w:color w:val="0000EE"/>
            <w:u w:val="single"/>
          </w:rPr>
          <w:t>1Cr 12.40</w:t>
        </w:r>
      </w:hyperlink>
      <w:r>
        <w:t>, embora eles não tivessem a resistência do jumento, camelo ou mula. Eles geralmente se alimentavam de capim (</w:t>
      </w:r>
      <w:hyperlink r:id="rId1563">
        <w:r>
          <w:rPr>
            <w:color w:val="0000EE"/>
            <w:u w:val="single"/>
          </w:rPr>
          <w:t>Nm 22.4</w:t>
        </w:r>
      </w:hyperlink>
      <w:r>
        <w:t xml:space="preserve">; </w:t>
      </w:r>
      <w:hyperlink r:id="rId1564">
        <w:r>
          <w:rPr>
            <w:color w:val="0000EE"/>
            <w:u w:val="single"/>
          </w:rPr>
          <w:t>Sl 106.20</w:t>
        </w:r>
      </w:hyperlink>
      <w:r>
        <w:t>), mas também comiam palha (</w:t>
      </w:r>
      <w:hyperlink r:id="rId1565">
        <w:r>
          <w:rPr>
            <w:color w:val="0000EE"/>
            <w:u w:val="single"/>
          </w:rPr>
          <w:t>Is 11.7</w:t>
        </w:r>
      </w:hyperlink>
      <w:r>
        <w:t>) e forragem salgada (</w:t>
      </w:r>
      <w:hyperlink r:id="rId586">
        <w:r>
          <w:rPr>
            <w:color w:val="0000EE"/>
            <w:u w:val="single"/>
          </w:rPr>
          <w:t>Is 30.24</w:t>
        </w:r>
      </w:hyperlink>
      <w:r>
        <w:t>) e poderiam ser mantidos em um estábulo (</w:t>
      </w:r>
      <w:hyperlink r:id="rId1566">
        <w:r>
          <w:rPr>
            <w:color w:val="0000EE"/>
            <w:u w:val="single"/>
          </w:rPr>
          <w:t>Lc 13.15</w:t>
        </w:r>
      </w:hyperlink>
      <w:r>
        <w:t>). Os bois não poderiam ser oferecidos como sacrifícios porque eles haviam sido castrados (</w:t>
      </w:r>
      <w:hyperlink r:id="rId1567">
        <w:r>
          <w:rPr>
            <w:color w:val="0000EE"/>
            <w:u w:val="single"/>
          </w:rPr>
          <w:t>Lv 22.24</w:t>
        </w:r>
      </w:hyperlink>
      <w:r>
        <w:t>). Eles poderiam ser usados para comida, mas raramente eram comidos. A posse de um boi e um jumento era considerada como o mínimo para a existência na antiga economia agrícola palestina (</w:t>
      </w:r>
      <w:hyperlink r:id="rId1568">
        <w:r>
          <w:rPr>
            <w:color w:val="0000EE"/>
            <w:u w:val="single"/>
          </w:rPr>
          <w:t>Jó 24.3</w:t>
        </w:r>
      </w:hyperlink>
      <w:r>
        <w:t xml:space="preserve">; </w:t>
      </w:r>
      <w:hyperlink r:id="rId1569">
        <w:r>
          <w:rPr>
            <w:color w:val="0000EE"/>
            <w:u w:val="single"/>
          </w:rPr>
          <w:t>cf. Êx 20.17</w:t>
        </w:r>
      </w:hyperlink>
      <w:r>
        <w:t>).</w:t>
      </w:r>
    </w:p>
    <w:p>
      <w:r/>
      <w:r>
        <w:rPr>
          <w:i/>
        </w:rPr>
        <w:t>Ver também</w:t>
      </w:r>
      <w:r>
        <w:t xml:space="preserve"> </w:t>
      </w:r>
      <w:r>
        <w:t>Agrícola</w:t>
      </w:r>
      <w:r>
        <w:t>; Alimentos e Preparação de</w:t>
      </w:r>
      <w:r>
        <w:t xml:space="preserve"> </w:t>
      </w:r>
      <w:r>
        <w:t>Alimentos; Ofertas e Sacrifícios</w:t>
      </w:r>
      <w:r>
        <w:t>.</w:t>
      </w:r>
    </w:p>
    <w:p>
      <w:pPr>
        <w:pStyle w:val="Heading3"/>
      </w:pPr>
      <w:r>
        <w:t>Camaleão</w:t>
      </w:r>
    </w:p>
    <w:p>
      <w:r/>
      <w:r>
        <w:t xml:space="preserve">Lagarto caracterizado por sua capacidade de mudar de cor de acordo com seus arredores </w:t>
      </w:r>
      <w:r>
        <w:rPr>
          <w:i/>
        </w:rPr>
        <w:t>(Camaleão vulgaris).</w:t>
      </w:r>
      <w:r>
        <w:t xml:space="preserve"> Para os israelitas, o camaleão era ritualmente impuro (</w:t>
      </w:r>
      <w:hyperlink r:id="rId1570">
        <w:r>
          <w:rPr>
            <w:color w:val="0000EE"/>
            <w:u w:val="single"/>
          </w:rPr>
          <w:t>Lv 11.30</w:t>
        </w:r>
      </w:hyperlink>
      <w:r>
        <w:t>). A palavra hebraica para camaleão é derivada de uma palavra que significa “ofegar”. Os pulmões de um lagarto são muito grandes, e nos tempos antigos acreditava-se que os lagartos viviam do ar. Os olhos de um camaleão se movem independentemente uns dos outros; então, às vezes, um olho pode ser virado para cima e o outro para baixo. Os camaleões vivem em árvores e arbustos, agarrando-se aos ramos com suas longas caudas.</w:t>
      </w:r>
    </w:p>
    <w:p>
      <w:r/>
      <w:r>
        <w:rPr>
          <w:i/>
        </w:rPr>
        <w:t>Ver também</w:t>
      </w:r>
      <w:r>
        <w:t xml:space="preserve"> Lagarto (abaixo).</w:t>
      </w:r>
    </w:p>
    <w:p>
      <w:pPr>
        <w:pStyle w:val="Heading3"/>
      </w:pPr>
      <w:r>
        <w:t>Coral</w:t>
      </w:r>
    </w:p>
    <w:p>
      <w:r/>
      <w:r>
        <w:t xml:space="preserve">Esqueletos calcários (contendo cal) de organismos marinhos relativamente simples </w:t>
      </w:r>
      <w:r>
        <w:rPr>
          <w:i/>
        </w:rPr>
        <w:t>(Corallium rubrum).</w:t>
      </w:r>
      <w:r>
        <w:t xml:space="preserve"> O coral vermelho dos mares mediterrâneos e vermelhos é amplamente usado para joias e para fins medicinais. Enquanto o animal está vivo, o coral é de cor verde e tem aparência arbustiva, parecendo uma planta subaquática, uma vez que os animais de coral são imobilizados. Quando o coral é removido da água, ele se torna duro e de cor vermelha.</w:t>
      </w:r>
    </w:p>
    <w:p>
      <w:r/>
      <w:r>
        <w:t xml:space="preserve">Nos tempos antigos, o coral às vezes era usado como dinheiro, juntamente com pedras preciosas, pérolas e ouro. Alguns acreditam que a referência bíblica em </w:t>
      </w:r>
      <w:hyperlink r:id="rId1571">
        <w:r>
          <w:rPr>
            <w:color w:val="0000EE"/>
            <w:u w:val="single"/>
          </w:rPr>
          <w:t>Lamentações 4.7</w:t>
        </w:r>
      </w:hyperlink>
      <w:r>
        <w:t xml:space="preserve"> (ARA) é às pérolas em vez de ao coral, mas é provável que as referências em </w:t>
      </w:r>
      <w:hyperlink r:id="rId1572">
        <w:r>
          <w:rPr>
            <w:color w:val="0000EE"/>
            <w:u w:val="single"/>
          </w:rPr>
          <w:t>Jó 28.18</w:t>
        </w:r>
      </w:hyperlink>
      <w:r>
        <w:t xml:space="preserve"> e </w:t>
      </w:r>
      <w:hyperlink r:id="rId1573">
        <w:r>
          <w:rPr>
            <w:color w:val="0000EE"/>
            <w:u w:val="single"/>
          </w:rPr>
          <w:t>Ezequiel 27.16</w:t>
        </w:r>
      </w:hyperlink>
      <w:r>
        <w:t xml:space="preserve"> sejam ao coral vermelho (ver NTLH).</w:t>
      </w:r>
    </w:p>
    <w:p>
      <w:pPr>
        <w:pStyle w:val="Heading3"/>
      </w:pPr>
      <w:r>
        <w:t>Grilo</w:t>
      </w:r>
    </w:p>
    <w:p>
      <w:r/>
      <w:r>
        <w:t xml:space="preserve">Inseto da ordem Ortópteros relacionado com os gafanhotos. De acordo com </w:t>
      </w:r>
      <w:hyperlink r:id="rId1574">
        <w:r>
          <w:rPr>
            <w:color w:val="0000EE"/>
            <w:u w:val="single"/>
          </w:rPr>
          <w:t>Levítico 11.22</w:t>
        </w:r>
      </w:hyperlink>
      <w:r>
        <w:t>, o grilo era comestível. A referência pode ser a um dos estágios de crescimento do gafanhoto.</w:t>
      </w:r>
    </w:p>
    <w:p>
      <w:r/>
      <w:r>
        <w:t>O KJV traduz a palavra hebraica como “besouro”. Os besouros são insetos com partes da boca mastigável e dois pares de asas, o par dianteiro é duro e semelhante a uma bainha e o par traseiro é membranoso e dobrado sob o par dianteiro. Alguns besouros são carnívoros, outros são principalmente herbívoros. Alguns são aquáticos, alguns produzem uma secreção que deixa bolhas na pele, alguns danificam os tecidos, alguns danificam as colheitas e alguns se alimentam de outros insetos que são prejudiciais para os seres humanos. No antigo Egito, o besouro, ou escaravelho-sagrado, era um símbolo do deus do sol Ra. Os selos e amuletos de escaravelho eram extremamente populares no Egito.</w:t>
      </w:r>
    </w:p>
    <w:p>
      <w:pPr>
        <w:pStyle w:val="Heading3"/>
      </w:pPr>
      <w:r>
        <w:t>Crocodilo</w:t>
      </w:r>
    </w:p>
    <w:p>
      <w:r/>
      <w:r>
        <w:t xml:space="preserve">O maior de todos os répteis existentes </w:t>
      </w:r>
      <w:r>
        <w:rPr>
          <w:i/>
        </w:rPr>
        <w:t>(Crocodilus vulgaris),</w:t>
      </w:r>
      <w:r>
        <w:t xml:space="preserve"> atingindo um comprimento de bem mais de 6 metros. Os crocodilos são caracterizados por grandes corpos semelhantes a lagartos apoiados por pernas pequenas. A cabeça termina em um focinho achatado armado com fortes dentes cônicos, cada um dos quais é implantado em uma tomada distinta. Novos dentes que crescem de baixo continuamente substituem aqueles em uso. Os dedos dos pés são palmados (com membranas). As costas e a cauda são protegidas por proteções quadrangulares de diferentes tamanhos dispostas em linhas regulares e em contato umas com as outras nas bordas. Os olhos são cobertos por pálpebras móveis que podem ser fechadas quando o animal entra na água.</w:t>
      </w:r>
    </w:p>
    <w:p>
      <w:r/>
      <w:r>
        <w:t>O crocodilo passa a maior parte de seu tempo na água, onde se alimenta principalmente de peixes, mas também de pássaros aquáticos e até mesmo pequenos animais que descem até a beira da água para beber. É surpreendentemente rápido e ágil em terra seca, mesmo que suas pernas sejam tão pequenas que sua barriga e cauda se arrastem pela terra, deixando um rastro distinto.</w:t>
      </w:r>
    </w:p>
    <w:p>
      <w:r/>
      <w:r>
        <w:t>Até o início do século 20, o crocodilo era encontrado nos pântanos e pequenos rios costeiros da Palestina ocidental. Um escritor romano do primeiro século, Plínio, se referiu a um lugar na Terra Santa chamado Crocodeilópolis (“cidade de crocodilos”) ao sul do Monte Carmelo, e os visitantes da Terra Santa no século 19, relataram ter visto crocodilos naquela região em geral.</w:t>
      </w:r>
    </w:p>
    <w:p>
      <w:r/>
      <w:r>
        <w:t xml:space="preserve">A descrição de “Leviatã” em </w:t>
      </w:r>
      <w:hyperlink r:id="rId1575">
        <w:r>
          <w:rPr>
            <w:color w:val="0000EE"/>
            <w:u w:val="single"/>
          </w:rPr>
          <w:t>Jó 41</w:t>
        </w:r>
      </w:hyperlink>
      <w:r>
        <w:t xml:space="preserve"> parece ser baseada no crocodilo (assim a tradução da ARA). O “dragão” de </w:t>
      </w:r>
      <w:hyperlink r:id="rId1576">
        <w:r>
          <w:rPr>
            <w:color w:val="0000EE"/>
            <w:u w:val="single"/>
          </w:rPr>
          <w:t>Ezequiel 29.3</w:t>
        </w:r>
      </w:hyperlink>
      <w:r>
        <w:t>, usado figurativamente do faraó egípcio, pode ser uma referência ao crocodilo.</w:t>
      </w:r>
    </w:p>
    <w:p>
      <w:pPr>
        <w:pStyle w:val="Heading3"/>
      </w:pPr>
      <w:r>
        <w:t>Cervo</w:t>
      </w:r>
    </w:p>
    <w:p>
      <w:r/>
      <w:r>
        <w:t>Grandes animais ruminantes (mastigadores). Apenas os machos têm chifres (chifres ramificados). Os chifres de cervo crescem anualmente e são sólidos, em contraste com os do antílope e da gazela. Os chifres totalmente desenvolvidas são desprovidas de qualquer cobertura de pele ou chifre e, para todos os propósitos práticos, podem ser consideradas como uma massa de osso morto transportada durante um certo tempo pelo animal vivo.</w:t>
      </w:r>
    </w:p>
    <w:p>
      <w:r/>
      <w:r>
        <w:t>A ponta do focinho do cervo está nua em todas as espécies. O estômago é dividido em uma série de compartimentos, alguns dos quais são usados para armazenar alimentos parcialmente mastigados. A comida é mais tarde regurgitada, remastigada e finalmente engolida em uma seção do estômago onde a verdadeira digestão ocorre.</w:t>
      </w:r>
    </w:p>
    <w:p>
      <w:r/>
      <w:r>
        <w:t xml:space="preserve">Três espécies de veados eram conhecidas na Palestina: o veado-vermelho </w:t>
      </w:r>
      <w:r>
        <w:rPr>
          <w:i/>
        </w:rPr>
        <w:t>(Cervus elaphus),</w:t>
      </w:r>
      <w:r>
        <w:t xml:space="preserve"> o gamo persa </w:t>
      </w:r>
      <w:r>
        <w:rPr>
          <w:i/>
        </w:rPr>
        <w:t>(Dama mesopotamica)</w:t>
      </w:r>
      <w:r>
        <w:t xml:space="preserve"> e o veado </w:t>
      </w:r>
      <w:r>
        <w:rPr>
          <w:i/>
        </w:rPr>
        <w:t>(Capreolus capreolus).</w:t>
      </w:r>
      <w:r>
        <w:t xml:space="preserve"> Todos estão agora extintos lá. Os últimos cervos foram caçados na Terra Santa em 1914. O veado vermelho referido na Bíblia como “cervo” (macho), “veado” (macho) ou “egua” (fêmea) estava a cerca de 1,2 metro de altura ao ombro. Era gregário (vivia em manadas ou bandos), cada grupo permanece em um território definido. Os cervos vermelhos pastava e alimentava-se durante a manhã e ao final da tarde (</w:t>
      </w:r>
      <w:hyperlink r:id="rId1577">
        <w:r>
          <w:rPr>
            <w:color w:val="0000EE"/>
            <w:u w:val="single"/>
          </w:rPr>
          <w:t>Lm 1.6</w:t>
        </w:r>
      </w:hyperlink>
      <w:r>
        <w:t>). Os sexos permaneceram em rebanhos separados. O cervo vermelho era conhecido por seu salto (</w:t>
      </w:r>
      <w:hyperlink r:id="rId1578">
        <w:r>
          <w:rPr>
            <w:color w:val="0000EE"/>
            <w:u w:val="single"/>
          </w:rPr>
          <w:t>Is 35.6</w:t>
        </w:r>
      </w:hyperlink>
      <w:r>
        <w:t>) e segurança nas montanhas (</w:t>
      </w:r>
      <w:hyperlink r:id="rId1579">
        <w:r>
          <w:rPr>
            <w:color w:val="0000EE"/>
            <w:u w:val="single"/>
          </w:rPr>
          <w:t>Sl 18.33</w:t>
        </w:r>
      </w:hyperlink>
      <w:r>
        <w:t xml:space="preserve">; </w:t>
      </w:r>
      <w:hyperlink r:id="rId1580">
        <w:r>
          <w:rPr>
            <w:color w:val="0000EE"/>
            <w:u w:val="single"/>
          </w:rPr>
          <w:t>Ct 2.8–9,17</w:t>
        </w:r>
      </w:hyperlink>
      <w:r>
        <w:t xml:space="preserve">; </w:t>
      </w:r>
      <w:hyperlink r:id="rId1581">
        <w:r>
          <w:rPr>
            <w:color w:val="0000EE"/>
            <w:u w:val="single"/>
          </w:rPr>
          <w:t>8.14</w:t>
        </w:r>
      </w:hyperlink>
      <w:r>
        <w:t xml:space="preserve">; </w:t>
      </w:r>
      <w:hyperlink r:id="rId1582">
        <w:r>
          <w:rPr>
            <w:color w:val="0000EE"/>
            <w:u w:val="single"/>
          </w:rPr>
          <w:t>Hb 3.19</w:t>
        </w:r>
      </w:hyperlink>
      <w:r>
        <w:t>).</w:t>
      </w:r>
    </w:p>
    <w:p>
      <w:r/>
      <w:r>
        <w:t>Os chifres do cervo persa (</w:t>
      </w:r>
      <w:hyperlink r:id="rId1583">
        <w:r>
          <w:rPr>
            <w:color w:val="0000EE"/>
            <w:u w:val="single"/>
          </w:rPr>
          <w:t>1Rs 4.23</w:t>
        </w:r>
      </w:hyperlink>
      <w:r>
        <w:t>) eram grandes, achatados e palmados (em forma de uma palma aberta com os dedos estendidos), e seu pelo era um marrom amarelo. Viajava em pequenos grupos, alimentando-se principalmente de grama de manhã e à noite.</w:t>
      </w:r>
    </w:p>
    <w:p>
      <w:r/>
      <w:r>
        <w:t>O corço (</w:t>
      </w:r>
      <w:hyperlink r:id="rId1463">
        <w:r>
          <w:rPr>
            <w:color w:val="0000EE"/>
            <w:u w:val="single"/>
          </w:rPr>
          <w:t>Dt 14.5</w:t>
        </w:r>
      </w:hyperlink>
      <w:r>
        <w:t xml:space="preserve">; </w:t>
      </w:r>
      <w:hyperlink r:id="rId1583">
        <w:r>
          <w:rPr>
            <w:color w:val="0000EE"/>
            <w:u w:val="single"/>
          </w:rPr>
          <w:t>1Rs 4.23</w:t>
        </w:r>
      </w:hyperlink>
      <w:r>
        <w:t>) era um animal pequeno e gracioso, marrom avermelhado escuro no verão e cinza amarelado no inverno. Seus chifres tinham cerca de 30,5 centímetros de comprimento e tinham três pontos. O corço preferia os vales escassamente arborizados e as encostas mais baixas das montanhas, pastando em campos abertos. Geralmente está associado em grupos familiares compostos pela corça e sua descendência. Eles eram tímidos, mas muito curiosos. O corços latiam como um cão quando perturbado, e eles eram excelentes nadadores.</w:t>
      </w:r>
    </w:p>
    <w:p>
      <w:r/>
      <w:r>
        <w:t xml:space="preserve">Há alguma pergunta sobre se o corço é realmente mencionado em passagens como </w:t>
      </w:r>
      <w:hyperlink r:id="rId1583">
        <w:r>
          <w:rPr>
            <w:color w:val="0000EE"/>
            <w:u w:val="single"/>
          </w:rPr>
          <w:t>1Rs 4.23</w:t>
        </w:r>
      </w:hyperlink>
      <w:r>
        <w:t>; as referências podem ser ao gamo, embora esse animal não pareça ter vivido na parte sul da Palestina ao redor do Deserto do Sinai por causa de sua necessidade de amplas quantidades de comida e água. Os gamos eram encontrados no norte da Palestina.</w:t>
      </w:r>
    </w:p>
    <w:p>
      <w:r/>
      <w:r>
        <w:t>O cervo (o veado vermelho macho) foi listado entre os animais limpos que a lei judaica permitia como alimento (</w:t>
      </w:r>
      <w:hyperlink r:id="rId1584">
        <w:r>
          <w:rPr>
            <w:color w:val="0000EE"/>
            <w:u w:val="single"/>
          </w:rPr>
          <w:t>Dt 12,15.22</w:t>
        </w:r>
      </w:hyperlink>
      <w:r>
        <w:t xml:space="preserve">; </w:t>
      </w:r>
      <w:hyperlink r:id="rId1463">
        <w:r>
          <w:rPr>
            <w:color w:val="0000EE"/>
            <w:u w:val="single"/>
          </w:rPr>
          <w:t>14,5</w:t>
        </w:r>
      </w:hyperlink>
      <w:r>
        <w:t>), mas o veado não figurava entre os animais apropriados para o sacrifício. A corça (cervo vermelho fêmea) dava normalmente à luz a uma cria de cada vez, embora os gêmeos nascessem com alguma regularidade (</w:t>
      </w:r>
      <w:hyperlink r:id="rId1585">
        <w:r>
          <w:rPr>
            <w:color w:val="0000EE"/>
            <w:u w:val="single"/>
          </w:rPr>
          <w:t>Jó 39.1</w:t>
        </w:r>
      </w:hyperlink>
      <w:r>
        <w:t xml:space="preserve">; </w:t>
      </w:r>
      <w:hyperlink r:id="rId1586">
        <w:r>
          <w:rPr>
            <w:color w:val="0000EE"/>
            <w:u w:val="single"/>
          </w:rPr>
          <w:t>Sl 29.9</w:t>
        </w:r>
      </w:hyperlink>
      <w:r>
        <w:t xml:space="preserve">, NVI; </w:t>
      </w:r>
      <w:hyperlink r:id="rId1587">
        <w:r>
          <w:rPr>
            <w:color w:val="0000EE"/>
            <w:u w:val="single"/>
          </w:rPr>
          <w:t>Jr 14.5</w:t>
        </w:r>
      </w:hyperlink>
      <w:r>
        <w:t xml:space="preserve">). O período de gestação era cerca de 40 semanas. Quando estava prestes a dar à luz, a corça buscava um esconderijo seguro, de preferência no denso bosque raso da floresta, onde poderia encontrar proteção natural para a pequena cria. Durante os primeiros dias após o nascimento, a mãe nunca se afastava de seus filhotes. O cervo era capaz de ficar em suas próprias pernas algumas horas após o nascimento. O cuidado solícito da corça para com a sua cria durante os primeiros dias de vida é sugerido de forma comovente em </w:t>
      </w:r>
      <w:hyperlink r:id="rId1588">
        <w:r>
          <w:rPr>
            <w:color w:val="0000EE"/>
            <w:u w:val="single"/>
          </w:rPr>
          <w:t>Jeremias 14.4–5</w:t>
        </w:r>
      </w:hyperlink>
      <w:r>
        <w:t xml:space="preserve">, onde se diz que só uma seca severa afasta a corça da sua cria. </w:t>
      </w:r>
      <w:hyperlink r:id="rId1589">
        <w:r>
          <w:rPr>
            <w:color w:val="0000EE"/>
            <w:u w:val="single"/>
          </w:rPr>
          <w:t>Jó 39.1–4</w:t>
        </w:r>
      </w:hyperlink>
      <w:r>
        <w:t xml:space="preserve"> descreve o nascimento das corças. A corça ilustrava graça e charme (</w:t>
      </w:r>
      <w:hyperlink r:id="rId1590">
        <w:r>
          <w:rPr>
            <w:color w:val="0000EE"/>
            <w:u w:val="single"/>
          </w:rPr>
          <w:t>Gn 49.21</w:t>
        </w:r>
      </w:hyperlink>
      <w:r>
        <w:t xml:space="preserve">; </w:t>
      </w:r>
      <w:hyperlink r:id="rId1591">
        <w:r>
          <w:rPr>
            <w:color w:val="0000EE"/>
            <w:u w:val="single"/>
          </w:rPr>
          <w:t>Pv 5.19</w:t>
        </w:r>
      </w:hyperlink>
      <w:r>
        <w:t>), e seus olhos escuros e suaves e os seus membros graciosos eram usados para descrever a beleza de uma mulher (</w:t>
      </w:r>
      <w:hyperlink r:id="rId1592">
        <w:r>
          <w:rPr>
            <w:color w:val="0000EE"/>
            <w:u w:val="single"/>
          </w:rPr>
          <w:t>Pv 5.18–19</w:t>
        </w:r>
      </w:hyperlink>
      <w:r>
        <w:t>).</w:t>
      </w:r>
    </w:p>
    <w:p>
      <w:pPr>
        <w:pStyle w:val="Heading3"/>
      </w:pPr>
      <w:r>
        <w:t>Cão</w:t>
      </w:r>
    </w:p>
    <w:p>
      <w:r/>
      <w:r>
        <w:t xml:space="preserve">Provavelmente o primeiro animal domesticado </w:t>
      </w:r>
      <w:r>
        <w:rPr>
          <w:i/>
        </w:rPr>
        <w:t>(Canis familiaris),</w:t>
      </w:r>
      <w:r>
        <w:t xml:space="preserve"> usado desde muito cedo na caça. Acredita-se que o cão moderno tenha vindo do lobo indiano </w:t>
      </w:r>
      <w:r>
        <w:rPr>
          <w:i/>
        </w:rPr>
        <w:t>(Canis lupus pallipes).</w:t>
      </w:r>
      <w:r>
        <w:t xml:space="preserve"> Os cães dos tempos bíblicos provavelmente pareciam um pastor alemão moderno, com orelhas pequenas pontudas, um nariz pontudo e uma longa cauda.</w:t>
      </w:r>
    </w:p>
    <w:p>
      <w:r/>
      <w:r>
        <w:t>O cão era geralmente desprezado nos tempos bíblicos (</w:t>
      </w:r>
      <w:hyperlink r:id="rId1593">
        <w:r>
          <w:rPr>
            <w:color w:val="0000EE"/>
            <w:u w:val="single"/>
          </w:rPr>
          <w:t>Pv 26.11</w:t>
        </w:r>
      </w:hyperlink>
      <w:r>
        <w:t xml:space="preserve">; </w:t>
      </w:r>
      <w:hyperlink r:id="rId1594">
        <w:r>
          <w:rPr>
            <w:color w:val="0000EE"/>
            <w:u w:val="single"/>
          </w:rPr>
          <w:t>2Pe 2.22</w:t>
        </w:r>
      </w:hyperlink>
      <w:r>
        <w:t>). Os escritores bíblicos não compartilhavam dos sentimentos modernos sobre os cães serem os melhores amigos do homem. O cão foi retratado como um necrófago, assombrando ruas e lixões (</w:t>
      </w:r>
      <w:hyperlink r:id="rId1595">
        <w:r>
          <w:rPr>
            <w:color w:val="0000EE"/>
            <w:u w:val="single"/>
          </w:rPr>
          <w:t>Êx 22.31</w:t>
        </w:r>
      </w:hyperlink>
      <w:r>
        <w:t xml:space="preserve">; </w:t>
      </w:r>
      <w:hyperlink r:id="rId1596">
        <w:r>
          <w:rPr>
            <w:color w:val="0000EE"/>
            <w:u w:val="single"/>
          </w:rPr>
          <w:t>1Rs 22.38</w:t>
        </w:r>
      </w:hyperlink>
      <w:r>
        <w:t xml:space="preserve">; </w:t>
      </w:r>
      <w:hyperlink r:id="rId1597">
        <w:r>
          <w:rPr>
            <w:color w:val="0000EE"/>
            <w:u w:val="single"/>
          </w:rPr>
          <w:t>Mt 15.26</w:t>
        </w:r>
      </w:hyperlink>
      <w:r>
        <w:t xml:space="preserve">; </w:t>
      </w:r>
      <w:hyperlink r:id="rId1598">
        <w:r>
          <w:rPr>
            <w:color w:val="0000EE"/>
            <w:u w:val="single"/>
          </w:rPr>
          <w:t>Lc 16.21</w:t>
        </w:r>
      </w:hyperlink>
      <w:r>
        <w:t>). Cadáveres humanos poderiam se tornar os despojos de cães (</w:t>
      </w:r>
      <w:hyperlink r:id="rId1599">
        <w:r>
          <w:rPr>
            <w:color w:val="0000EE"/>
            <w:u w:val="single"/>
          </w:rPr>
          <w:t>2Rs 9.35–36</w:t>
        </w:r>
      </w:hyperlink>
      <w:r>
        <w:t>). Em geral, os cães desenpenhavam a mesma função que os abutres e outras aves de rapina. A maioria das 41 referências nas Escrituras a cães mostra forte desfavor. Os cães eram considerados criaturas covardes e imundas.</w:t>
      </w:r>
    </w:p>
    <w:p>
      <w:r/>
      <w:r>
        <w:t xml:space="preserve">Os cães usados na caça aparecem em pinturas de tumbas egípcios, e há uma referência aos cães pastoreando ovelhas em </w:t>
      </w:r>
      <w:hyperlink r:id="rId1600">
        <w:r>
          <w:rPr>
            <w:color w:val="0000EE"/>
            <w:u w:val="single"/>
          </w:rPr>
          <w:t>Jó 30.1</w:t>
        </w:r>
      </w:hyperlink>
      <w:r>
        <w:t>. Uma boa qualidade de cães muito apreciada pelos israelitas era a vigilância (</w:t>
      </w:r>
      <w:hyperlink r:id="rId1601">
        <w:r>
          <w:rPr>
            <w:color w:val="0000EE"/>
            <w:u w:val="single"/>
          </w:rPr>
          <w:t>Is 56.10</w:t>
        </w:r>
      </w:hyperlink>
      <w:r>
        <w:t>). Em geral, no entanto, nos tempos bíblicos “cão” era um termo de desprezo (</w:t>
      </w:r>
      <w:hyperlink r:id="rId1602">
        <w:r>
          <w:rPr>
            <w:color w:val="0000EE"/>
            <w:u w:val="single"/>
          </w:rPr>
          <w:t>1Sm 17.43</w:t>
        </w:r>
      </w:hyperlink>
      <w:r>
        <w:t xml:space="preserve">; </w:t>
      </w:r>
      <w:hyperlink r:id="rId1603">
        <w:r>
          <w:rPr>
            <w:color w:val="0000EE"/>
            <w:u w:val="single"/>
          </w:rPr>
          <w:t>2Sm 16.9</w:t>
        </w:r>
      </w:hyperlink>
      <w:r>
        <w:t>) e era usado de pessoas excessivamente submissas (</w:t>
      </w:r>
      <w:hyperlink r:id="rId1604">
        <w:r>
          <w:rPr>
            <w:color w:val="0000EE"/>
            <w:u w:val="single"/>
          </w:rPr>
          <w:t>2Sm 9.8</w:t>
        </w:r>
      </w:hyperlink>
      <w:r>
        <w:t xml:space="preserve">; </w:t>
      </w:r>
      <w:hyperlink r:id="rId1605">
        <w:r>
          <w:rPr>
            <w:color w:val="0000EE"/>
            <w:u w:val="single"/>
          </w:rPr>
          <w:t>2Rs 8.13</w:t>
        </w:r>
      </w:hyperlink>
      <w:r>
        <w:t>) e de pessoas más (</w:t>
      </w:r>
      <w:hyperlink r:id="rId1606">
        <w:r>
          <w:rPr>
            <w:color w:val="0000EE"/>
            <w:u w:val="single"/>
          </w:rPr>
          <w:t>Is 56.10–11</w:t>
        </w:r>
      </w:hyperlink>
      <w:r>
        <w:t xml:space="preserve">; </w:t>
      </w:r>
      <w:hyperlink r:id="rId1607">
        <w:r>
          <w:rPr>
            <w:color w:val="0000EE"/>
            <w:u w:val="single"/>
          </w:rPr>
          <w:t>Mt 7.6</w:t>
        </w:r>
      </w:hyperlink>
      <w:r>
        <w:t xml:space="preserve">; </w:t>
      </w:r>
      <w:hyperlink r:id="rId1608">
        <w:r>
          <w:rPr>
            <w:color w:val="0000EE"/>
            <w:u w:val="single"/>
          </w:rPr>
          <w:t>Fp 3.2</w:t>
        </w:r>
      </w:hyperlink>
      <w:r>
        <w:t xml:space="preserve">; </w:t>
      </w:r>
      <w:hyperlink r:id="rId1609">
        <w:r>
          <w:rPr>
            <w:color w:val="0000EE"/>
            <w:u w:val="single"/>
          </w:rPr>
          <w:t>Ap 22.15</w:t>
        </w:r>
      </w:hyperlink>
      <w:r>
        <w:t>).</w:t>
      </w:r>
    </w:p>
    <w:p>
      <w:r/>
      <w:r>
        <w:t>Os cães, assim como os porcos, eram vorazes e onívoros (comiam qualquer tipo de comida). Em resposta ao pedido de uma mulher gentia para que ele pudesse curar sua filha, Jesus usou a metáfora de jogar restos de comida para cães (</w:t>
      </w:r>
      <w:hyperlink r:id="rId1610">
        <w:r>
          <w:rPr>
            <w:color w:val="0000EE"/>
            <w:u w:val="single"/>
          </w:rPr>
          <w:t>Mt 15.22–28</w:t>
        </w:r>
      </w:hyperlink>
      <w:r>
        <w:t xml:space="preserve">; </w:t>
      </w:r>
      <w:hyperlink r:id="rId1611">
        <w:r>
          <w:rPr>
            <w:color w:val="0000EE"/>
            <w:u w:val="single"/>
          </w:rPr>
          <w:t>Mc 7.25–30</w:t>
        </w:r>
      </w:hyperlink>
      <w:r>
        <w:t>). Na época de Jesus, a palavra “cachorro” era um termo judaico padrão de desprezo pelos gentios que, como cachorros, eram considerados impuros, embora a forma diminutiva da palavra, usada por Jesus, suavizasse isso consideravelmente. Vendo sua fé, Jesus atendeu ao pedido da mulher, dando a um não-judeu parte do “pão dos filhos”.</w:t>
      </w:r>
    </w:p>
    <w:p>
      <w:pPr>
        <w:pStyle w:val="Heading3"/>
      </w:pPr>
      <w:r>
        <w:t>Jumento</w:t>
      </w:r>
    </w:p>
    <w:p>
      <w:r/>
      <w:r>
        <w:t xml:space="preserve">Besta de carga. O jumento da Terra Santa </w:t>
      </w:r>
      <w:r>
        <w:rPr>
          <w:i/>
        </w:rPr>
        <w:t>(Equus asinus)</w:t>
      </w:r>
      <w:r>
        <w:t xml:space="preserve"> era bastante diferente do jumento europeu de hoje, que geralmente é um animal pequeno e teimoso. Nos tempos bíblicos, o jumento era um animal bonito, imponente e amigável. Sua cor geralmente era marrom avermelhado. Três raças selvagens foram descritas, todas da África. A raça do noroeste da África está extinta; a do nordeste da África, se não for extinta, está perto da extinção; a raça somaliana, que sobreviveu, não desempenhou um papel importante na domesticação. A raça do nordeste africano, o jumento núbio, foi evidentemente domesticada na região do rio Nilo nos primeiros tempos históricos. O jumento era usado como uma montaria desde o tempo da domesticação. É mencionado pela primeira vez na Bíblia entre os animais que Abraão adquiriu no Egito (</w:t>
      </w:r>
      <w:hyperlink r:id="rId1504">
        <w:r>
          <w:rPr>
            <w:color w:val="0000EE"/>
            <w:u w:val="single"/>
          </w:rPr>
          <w:t>Gn 12.16</w:t>
        </w:r>
      </w:hyperlink>
      <w:r>
        <w:t>). O jumento era principalmente uma besta de carga, conduzida, mas não refreada. Desde o tempo do Reino Médio (ca. 2040 a.C.), era usado para andar no Egito, mas apenas os judeus e os núbios montavam jumentos regularmente. O jumento também era usado para debulhar grãos e para puxar o arado. Nos países árabes de hoje, os camponeses aram com um jumento e uma vaca ou camelo amarrados. Em Israel, a lei proibia arar com um jumento e um boi amarrados (</w:t>
      </w:r>
      <w:hyperlink r:id="rId578">
        <w:r>
          <w:rPr>
            <w:color w:val="0000EE"/>
            <w:u w:val="single"/>
          </w:rPr>
          <w:t>Dt 22.10</w:t>
        </w:r>
      </w:hyperlink>
      <w:r>
        <w:t>). Até o tempo de Salomão (960 a.C.), cavalos não eram usados na Palestina. Daquele momento em diante, o cavalo era montado por guerreiros; o jumento era usado por aqueles que viajava pacificamente.</w:t>
      </w:r>
    </w:p>
    <w:p>
      <w:r/>
      <w:r>
        <w:t>O jumento era muito respeitado pelos judeus e era considerado um bem econômico. Um indivíduo precisava ter um jumento para uma existência mínima (</w:t>
      </w:r>
      <w:hyperlink r:id="rId1568">
        <w:r>
          <w:rPr>
            <w:color w:val="0000EE"/>
            <w:u w:val="single"/>
          </w:rPr>
          <w:t>Jó 24.3</w:t>
        </w:r>
      </w:hyperlink>
      <w:r>
        <w:t>), e a riqueza era frequentemente contada pelo número de jumentos que alguém possuía (</w:t>
      </w:r>
      <w:hyperlink r:id="rId1504">
        <w:r>
          <w:rPr>
            <w:color w:val="0000EE"/>
            <w:u w:val="single"/>
          </w:rPr>
          <w:t>Gn 12.16</w:t>
        </w:r>
      </w:hyperlink>
      <w:r>
        <w:t xml:space="preserve">; </w:t>
      </w:r>
      <w:hyperlink r:id="rId1612">
        <w:r>
          <w:rPr>
            <w:color w:val="0000EE"/>
            <w:u w:val="single"/>
          </w:rPr>
          <w:t>24.35</w:t>
        </w:r>
      </w:hyperlink>
      <w:r>
        <w:t>). O jumento era considerado um presente aceitável (</w:t>
      </w:r>
      <w:hyperlink r:id="rId1613">
        <w:r>
          <w:rPr>
            <w:color w:val="0000EE"/>
            <w:u w:val="single"/>
          </w:rPr>
          <w:t>Gn 32.13–15</w:t>
        </w:r>
      </w:hyperlink>
      <w:r>
        <w:t>). Era permitido descansar no sábado (</w:t>
      </w:r>
      <w:hyperlink r:id="rId1614">
        <w:r>
          <w:rPr>
            <w:color w:val="0000EE"/>
            <w:u w:val="single"/>
          </w:rPr>
          <w:t>Dt 5.14</w:t>
        </w:r>
      </w:hyperlink>
      <w:r>
        <w:t>). As mulheres nos tempos bíblicos muitas vezes usavam o jumento como um animal de montaria (</w:t>
      </w:r>
      <w:hyperlink r:id="rId1615">
        <w:r>
          <w:rPr>
            <w:color w:val="0000EE"/>
            <w:u w:val="single"/>
          </w:rPr>
          <w:t>Js 15.18</w:t>
        </w:r>
      </w:hyperlink>
      <w:r>
        <w:t xml:space="preserve">; </w:t>
      </w:r>
      <w:hyperlink r:id="rId1616">
        <w:r>
          <w:rPr>
            <w:color w:val="0000EE"/>
            <w:u w:val="single"/>
          </w:rPr>
          <w:t>1Sm 25.23</w:t>
        </w:r>
      </w:hyperlink>
      <w:r>
        <w:t xml:space="preserve">; </w:t>
      </w:r>
      <w:hyperlink r:id="rId1617">
        <w:r>
          <w:rPr>
            <w:color w:val="0000EE"/>
            <w:u w:val="single"/>
          </w:rPr>
          <w:t>2Rs 4.24</w:t>
        </w:r>
      </w:hyperlink>
      <w:r>
        <w:t>); muitas vezes um motorista especial ajudava uma mulher a guiar o animal, correndo ao seu lado. Se um casal possuísse apenas um jumento, o marido geralmente andava ao lado enquanto a esposa cavalgava (</w:t>
      </w:r>
      <w:hyperlink r:id="rId1618">
        <w:r>
          <w:rPr>
            <w:color w:val="0000EE"/>
            <w:u w:val="single"/>
          </w:rPr>
          <w:t>Êx 4.20</w:t>
        </w:r>
      </w:hyperlink>
      <w:r>
        <w:t>).</w:t>
      </w:r>
    </w:p>
    <w:p>
      <w:r/>
      <w:r>
        <w:t>O povo de Israel que retornava da Babilônia tinha dez vezes mais jumentos do que cavalos e camelos (</w:t>
      </w:r>
      <w:hyperlink r:id="rId1619">
        <w:r>
          <w:rPr>
            <w:color w:val="0000EE"/>
            <w:u w:val="single"/>
          </w:rPr>
          <w:t>Ed 2.66–67</w:t>
        </w:r>
      </w:hyperlink>
      <w:r>
        <w:t xml:space="preserve">; </w:t>
      </w:r>
      <w:hyperlink r:id="rId1620">
        <w:r>
          <w:rPr>
            <w:color w:val="0000EE"/>
            <w:u w:val="single"/>
          </w:rPr>
          <w:t>Ne 7.68–69</w:t>
        </w:r>
      </w:hyperlink>
      <w:r>
        <w:t>). A riqueza de Jó foi indicada pelo fato de que ele tinha 500 jumentos antes da catástrofe o atingir (</w:t>
      </w:r>
      <w:hyperlink r:id="rId1505">
        <w:r>
          <w:rPr>
            <w:color w:val="0000EE"/>
            <w:u w:val="single"/>
          </w:rPr>
          <w:t>Jó 1.3</w:t>
        </w:r>
      </w:hyperlink>
      <w:r>
        <w:t>); após sua restauração, ele tinha 1.000 jumentas (</w:t>
      </w:r>
      <w:hyperlink r:id="rId1506">
        <w:r>
          <w:rPr>
            <w:color w:val="0000EE"/>
            <w:u w:val="single"/>
          </w:rPr>
          <w:t>Jó 42.12</w:t>
        </w:r>
      </w:hyperlink>
      <w:r>
        <w:t>). Os irmãos de José usaram jumentos para transportar os grãos que compraram no Egito (</w:t>
      </w:r>
      <w:hyperlink r:id="rId1621">
        <w:r>
          <w:rPr>
            <w:color w:val="0000EE"/>
            <w:u w:val="single"/>
          </w:rPr>
          <w:t>Gn 42.26</w:t>
        </w:r>
      </w:hyperlink>
      <w:r>
        <w:t xml:space="preserve">; </w:t>
      </w:r>
      <w:hyperlink r:id="rId1622">
        <w:r>
          <w:rPr>
            <w:color w:val="0000EE"/>
            <w:u w:val="single"/>
          </w:rPr>
          <w:t>43.24</w:t>
        </w:r>
      </w:hyperlink>
      <w:r>
        <w:t>). Abigail transportou comida em jumentos para Davi e suas tropas durante seu conflito com Saul (</w:t>
      </w:r>
      <w:hyperlink r:id="rId1623">
        <w:r>
          <w:rPr>
            <w:color w:val="0000EE"/>
            <w:u w:val="single"/>
          </w:rPr>
          <w:t>1Sm 25.18</w:t>
        </w:r>
      </w:hyperlink>
      <w:r>
        <w:t>). Davi designou um dos 12 administradores de suas propriedades reais para tomar conta exclusivamente de seus jumentos (</w:t>
      </w:r>
      <w:hyperlink r:id="rId1624">
        <w:r>
          <w:rPr>
            <w:color w:val="0000EE"/>
            <w:u w:val="single"/>
          </w:rPr>
          <w:t>1Cr 27.30</w:t>
        </w:r>
      </w:hyperlink>
      <w:r>
        <w:t>).</w:t>
      </w:r>
    </w:p>
    <w:p>
      <w:r/>
      <w:r>
        <w:t xml:space="preserve">O onagro, ou jumento-selvagem-sírio </w:t>
      </w:r>
      <w:r>
        <w:rPr>
          <w:i/>
        </w:rPr>
        <w:t>(Equus hemionus hemihippus)</w:t>
      </w:r>
      <w:r>
        <w:t>, é um intermediário entre o verdadeiro cavalo e o verdadeiro jumento. Suas orelhas são mais longas do que as de um cavalo, mas menores do que as de um jumento. Os cascos da frente são estreitos; há calosidade (manchas calosas no interior dos joelhos) apenas nas pernas da frente, e a cauda é pequena por uma longa distância de sua raiz, de modo que parece ser tufada.</w:t>
      </w:r>
    </w:p>
    <w:p>
      <w:r/>
      <w:r>
        <w:t>Os sumérios (antigos mesopotâmicos) foram capazes de domesticar o onagro, que acabou sendo substituído pelo cavalo. Foi usado para puxar carros em Ur; vários onagros foram enterrados com seus carros em um túmulo real que data de cerca de 2500 a.C. Mais tarde, o onagro era o prêmio de um caçador favorito dos reis da Babilônia e da Assíria.</w:t>
      </w:r>
    </w:p>
    <w:p>
      <w:r/>
      <w:r>
        <w:t>O onagro era muito comum nas terras das estepes perto de Israel, onde era descrito como um animal do deserto amante da liberdade (</w:t>
      </w:r>
      <w:hyperlink r:id="rId1625">
        <w:r>
          <w:rPr>
            <w:color w:val="0000EE"/>
            <w:u w:val="single"/>
          </w:rPr>
          <w:t>Jó 24.5</w:t>
        </w:r>
      </w:hyperlink>
      <w:r>
        <w:t xml:space="preserve">; </w:t>
      </w:r>
      <w:hyperlink r:id="rId1626">
        <w:r>
          <w:rPr>
            <w:color w:val="0000EE"/>
            <w:u w:val="single"/>
          </w:rPr>
          <w:t>39.5–8</w:t>
        </w:r>
      </w:hyperlink>
      <w:r>
        <w:t xml:space="preserve">; </w:t>
      </w:r>
      <w:hyperlink r:id="rId1627">
        <w:r>
          <w:rPr>
            <w:color w:val="0000EE"/>
            <w:u w:val="single"/>
          </w:rPr>
          <w:t>Sl 104.11</w:t>
        </w:r>
      </w:hyperlink>
      <w:r>
        <w:t xml:space="preserve">; </w:t>
      </w:r>
      <w:hyperlink r:id="rId1628">
        <w:r>
          <w:rPr>
            <w:color w:val="0000EE"/>
            <w:u w:val="single"/>
          </w:rPr>
          <w:t>Is 32.14</w:t>
        </w:r>
      </w:hyperlink>
      <w:r>
        <w:t xml:space="preserve">; </w:t>
      </w:r>
      <w:hyperlink r:id="rId1629">
        <w:r>
          <w:rPr>
            <w:color w:val="0000EE"/>
            <w:u w:val="single"/>
          </w:rPr>
          <w:t>Jr 2.24</w:t>
        </w:r>
      </w:hyperlink>
      <w:r>
        <w:t xml:space="preserve">; </w:t>
      </w:r>
      <w:hyperlink r:id="rId1630">
        <w:r>
          <w:rPr>
            <w:color w:val="0000EE"/>
            <w:u w:val="single"/>
          </w:rPr>
          <w:t>Os 8.9</w:t>
        </w:r>
      </w:hyperlink>
      <w:r>
        <w:t>). Ismael foi descrito como “livre e indomado como um jumento selvagem” (</w:t>
      </w:r>
      <w:hyperlink r:id="rId1631">
        <w:r>
          <w:rPr>
            <w:color w:val="0000EE"/>
            <w:u w:val="single"/>
          </w:rPr>
          <w:t>Gn 16.12</w:t>
        </w:r>
      </w:hyperlink>
      <w:r>
        <w:t>, NTLH) — isto é, alguém que não poderia se ajustar à vida doméstica. A seca parece ter sido responsável pelo declínio populacional dos onagros nos tempos bíblicos (</w:t>
      </w:r>
      <w:hyperlink r:id="rId1632">
        <w:r>
          <w:rPr>
            <w:color w:val="0000EE"/>
            <w:u w:val="single"/>
          </w:rPr>
          <w:t>Jr 14.6</w:t>
        </w:r>
      </w:hyperlink>
      <w:r>
        <w:t xml:space="preserve">). O onagro moderno </w:t>
      </w:r>
      <w:r>
        <w:rPr>
          <w:i/>
        </w:rPr>
        <w:t>(Equus hemionus onager)</w:t>
      </w:r>
      <w:r>
        <w:t xml:space="preserve"> é ligeiramente maior do que o jumento selvagem sírio que está extinto.</w:t>
      </w:r>
    </w:p>
    <w:p>
      <w:r/>
      <w:r>
        <w:rPr>
          <w:i/>
        </w:rPr>
        <w:t>Ver também</w:t>
      </w:r>
      <w:r>
        <w:t xml:space="preserve"> </w:t>
      </w:r>
      <w:r>
        <w:t>Viagens</w:t>
      </w:r>
      <w:r>
        <w:t>.</w:t>
      </w:r>
    </w:p>
    <w:p>
      <w:pPr>
        <w:pStyle w:val="Heading3"/>
      </w:pPr>
      <w:r>
        <w:t>Dragão</w:t>
      </w:r>
    </w:p>
    <w:p>
      <w:r/>
      <w:r>
        <w:t>Qualquer uma das várias monstruosas criaturas terrestres e marinhas. No uso bíblico, “dragão” não se refere ao enorme, que sopra fogo, réptil alado do folclore europeu. Os tradutores da versão KJV usaram o termo para traduzir duas palavras hebraicas que geralmente são traduzidas com mais precisão em traduções modernas. Uma palavra se referia a animais do deserto; a maioria dos estudiosos concorda com a NVI de que “chacais” é seu significado próprio (</w:t>
      </w:r>
      <w:hyperlink r:id="rId1633">
        <w:r>
          <w:rPr>
            <w:color w:val="0000EE"/>
            <w:u w:val="single"/>
          </w:rPr>
          <w:t>Sl 44.19</w:t>
        </w:r>
      </w:hyperlink>
      <w:r>
        <w:t xml:space="preserve">; </w:t>
      </w:r>
      <w:hyperlink r:id="rId1634">
        <w:r>
          <w:rPr>
            <w:color w:val="0000EE"/>
            <w:u w:val="single"/>
          </w:rPr>
          <w:t>Is 13.22</w:t>
        </w:r>
      </w:hyperlink>
      <w:r>
        <w:t xml:space="preserve">; </w:t>
      </w:r>
      <w:hyperlink r:id="rId1635">
        <w:r>
          <w:rPr>
            <w:color w:val="0000EE"/>
            <w:u w:val="single"/>
          </w:rPr>
          <w:t>Jr 9.11</w:t>
        </w:r>
      </w:hyperlink>
      <w:r>
        <w:t xml:space="preserve">; </w:t>
      </w:r>
      <w:hyperlink r:id="rId1636">
        <w:r>
          <w:rPr>
            <w:color w:val="0000EE"/>
            <w:u w:val="single"/>
          </w:rPr>
          <w:t>Ml 1.3</w:t>
        </w:r>
      </w:hyperlink>
      <w:r>
        <w:t xml:space="preserve">). </w:t>
      </w:r>
      <w:r>
        <w:rPr>
          <w:i/>
        </w:rPr>
        <w:t>Veja</w:t>
      </w:r>
      <w:r>
        <w:t xml:space="preserve"> </w:t>
      </w:r>
      <w:r>
        <w:t>Chacal (abaixo)</w:t>
      </w:r>
      <w:r>
        <w:t>.</w:t>
      </w:r>
    </w:p>
    <w:p>
      <w:r/>
      <w:r>
        <w:t xml:space="preserve">A outra palavra hebraica traduzida como “dragão” é mais difícil de definir. Era frequentemente usado em referência a serpentes (assim traduzido no ARC: </w:t>
      </w:r>
      <w:hyperlink r:id="rId1637">
        <w:r>
          <w:rPr>
            <w:color w:val="0000EE"/>
            <w:u w:val="single"/>
          </w:rPr>
          <w:t>Êx 7.9–12</w:t>
        </w:r>
      </w:hyperlink>
      <w:r>
        <w:t xml:space="preserve">; </w:t>
      </w:r>
      <w:hyperlink r:id="rId1467">
        <w:r>
          <w:rPr>
            <w:color w:val="0000EE"/>
            <w:u w:val="single"/>
          </w:rPr>
          <w:t>Dt 32.33</w:t>
        </w:r>
      </w:hyperlink>
      <w:r>
        <w:t xml:space="preserve">; </w:t>
      </w:r>
      <w:hyperlink r:id="rId1638">
        <w:r>
          <w:rPr>
            <w:color w:val="0000EE"/>
            <w:u w:val="single"/>
          </w:rPr>
          <w:t>Sl 91.13</w:t>
        </w:r>
      </w:hyperlink>
      <w:r>
        <w:t>). Em outras passagens NTLH é traduzido como “monstro do mar” (</w:t>
      </w:r>
      <w:hyperlink r:id="rId1453">
        <w:r>
          <w:rPr>
            <w:color w:val="0000EE"/>
            <w:u w:val="single"/>
          </w:rPr>
          <w:t>Gn 1.21</w:t>
        </w:r>
      </w:hyperlink>
      <w:r>
        <w:t xml:space="preserve">; </w:t>
      </w:r>
      <w:hyperlink r:id="rId1639">
        <w:r>
          <w:rPr>
            <w:color w:val="0000EE"/>
            <w:u w:val="single"/>
          </w:rPr>
          <w:t>Jó 7:12</w:t>
        </w:r>
      </w:hyperlink>
      <w:r>
        <w:t xml:space="preserve">; </w:t>
      </w:r>
      <w:hyperlink r:id="rId1640">
        <w:r>
          <w:rPr>
            <w:color w:val="0000EE"/>
            <w:u w:val="single"/>
          </w:rPr>
          <w:t>Sl 148.7</w:t>
        </w:r>
      </w:hyperlink>
      <w:r>
        <w:t>). A identidade exata de tais monstros do mar não é conhecida. Várias passagens na KJV mantêm o termo “dragão”. Em dois deles (</w:t>
      </w:r>
      <w:hyperlink r:id="rId1641">
        <w:r>
          <w:rPr>
            <w:color w:val="0000EE"/>
            <w:u w:val="single"/>
          </w:rPr>
          <w:t>Sl 74.13</w:t>
        </w:r>
      </w:hyperlink>
      <w:r>
        <w:t xml:space="preserve">; </w:t>
      </w:r>
      <w:hyperlink r:id="rId1642">
        <w:r>
          <w:rPr>
            <w:color w:val="0000EE"/>
            <w:u w:val="single"/>
          </w:rPr>
          <w:t>Is 27.1</w:t>
        </w:r>
      </w:hyperlink>
      <w:r>
        <w:t>), o contexto indica que se referem a monstros do mar. Em três outros (</w:t>
      </w:r>
      <w:hyperlink r:id="rId1643">
        <w:r>
          <w:rPr>
            <w:color w:val="0000EE"/>
            <w:u w:val="single"/>
          </w:rPr>
          <w:t>Is 51.9</w:t>
        </w:r>
      </w:hyperlink>
      <w:r>
        <w:t xml:space="preserve">; </w:t>
      </w:r>
      <w:hyperlink r:id="rId1576">
        <w:r>
          <w:rPr>
            <w:color w:val="0000EE"/>
            <w:u w:val="single"/>
          </w:rPr>
          <w:t>Ez 29.3</w:t>
        </w:r>
      </w:hyperlink>
      <w:r>
        <w:t xml:space="preserve">; </w:t>
      </w:r>
      <w:hyperlink r:id="rId1644">
        <w:r>
          <w:rPr>
            <w:color w:val="0000EE"/>
            <w:u w:val="single"/>
          </w:rPr>
          <w:t>32.2</w:t>
        </w:r>
      </w:hyperlink>
      <w:r>
        <w:t xml:space="preserve">) “dragão” parece se referir ao crocodilo, uma referência figurativa ao faraó egípcio na época do Êxodo. </w:t>
      </w:r>
      <w:hyperlink r:id="rId1645">
        <w:r>
          <w:rPr>
            <w:color w:val="0000EE"/>
            <w:u w:val="single"/>
          </w:rPr>
          <w:t>Jeremias 51.34</w:t>
        </w:r>
      </w:hyperlink>
      <w:r>
        <w:t xml:space="preserve"> (traduzido como “monstro” na ARC) também pode se referir a uma criatura voraz, como um crocodilo. </w:t>
      </w:r>
      <w:r>
        <w:rPr>
          <w:i/>
        </w:rPr>
        <w:t>Veja</w:t>
      </w:r>
      <w:r>
        <w:t xml:space="preserve"> </w:t>
      </w:r>
      <w:r>
        <w:t>Crocodilo (acima)</w:t>
      </w:r>
      <w:r>
        <w:t>.</w:t>
      </w:r>
    </w:p>
    <w:p>
      <w:r/>
      <w:r>
        <w:t>Os mitos babilônicos descreviam monstros e dragões em conflito primordial com o deus Marduque; eles representavam o princípio do mal. Em seus usos figurativos nas Escrituras, “dragão” tem um significado semelhante, especialmente nos livros proféticos. No livro de Apocalipse, é um símbolo de Satanás, o arquiinimigo de Deus e seu povo (</w:t>
      </w:r>
      <w:hyperlink r:id="rId1646">
        <w:r>
          <w:rPr>
            <w:color w:val="0000EE"/>
            <w:u w:val="single"/>
          </w:rPr>
          <w:t>Ap 12.3–17</w:t>
        </w:r>
      </w:hyperlink>
      <w:r>
        <w:t xml:space="preserve">; </w:t>
      </w:r>
      <w:hyperlink r:id="rId1647">
        <w:r>
          <w:rPr>
            <w:color w:val="0000EE"/>
            <w:u w:val="single"/>
          </w:rPr>
          <w:t>13.2,4,11</w:t>
        </w:r>
      </w:hyperlink>
      <w:r>
        <w:t xml:space="preserve">; </w:t>
      </w:r>
      <w:hyperlink r:id="rId1648">
        <w:r>
          <w:rPr>
            <w:color w:val="0000EE"/>
            <w:u w:val="single"/>
          </w:rPr>
          <w:t>16.13</w:t>
        </w:r>
      </w:hyperlink>
      <w:r>
        <w:t xml:space="preserve">; </w:t>
      </w:r>
      <w:hyperlink r:id="rId1649">
        <w:r>
          <w:rPr>
            <w:color w:val="0000EE"/>
            <w:u w:val="single"/>
          </w:rPr>
          <w:t>20.2</w:t>
        </w:r>
      </w:hyperlink>
      <w:r>
        <w:t>).</w:t>
      </w:r>
    </w:p>
    <w:p>
      <w:pPr>
        <w:pStyle w:val="Heading3"/>
      </w:pPr>
      <w:r>
        <w:t>Peixe</w:t>
      </w:r>
    </w:p>
    <w:p>
      <w:r/>
      <w:r>
        <w:t>Animais aquáticos frequentemente mencionados na Bíblia sem nomes ou descrições que nos permitem identificar a espécie específica. Desde tempos imemoriais, os peixes constituem um dos alimentos básicos da humanidade, e eles ainda servem como a principal fonte de proteína em muitas partes do mundo. O comércio de peixes era altamente desenvolvido nos tempos bíblicos. Por exemplo, um dos portões em Jerusalém era chamado de Portão do Peixe (</w:t>
      </w:r>
      <w:hyperlink r:id="rId1650">
        <w:r>
          <w:rPr>
            <w:color w:val="0000EE"/>
            <w:u w:val="single"/>
          </w:rPr>
          <w:t>Ne 3.3</w:t>
        </w:r>
      </w:hyperlink>
      <w:r>
        <w:t xml:space="preserve">; </w:t>
      </w:r>
      <w:hyperlink r:id="rId1651">
        <w:r>
          <w:rPr>
            <w:color w:val="0000EE"/>
            <w:u w:val="single"/>
          </w:rPr>
          <w:t>Sf 1.10</w:t>
        </w:r>
      </w:hyperlink>
      <w:r>
        <w:t xml:space="preserve">). A lei em </w:t>
      </w:r>
      <w:hyperlink r:id="rId1652">
        <w:r>
          <w:rPr>
            <w:color w:val="0000EE"/>
            <w:u w:val="single"/>
          </w:rPr>
          <w:t>Levítico 11.9–12</w:t>
        </w:r>
      </w:hyperlink>
      <w:r>
        <w:t xml:space="preserve"> permitia que os judeus comessem peixes, mas apenas aqueles que tinham barbatanas e escamas. Peixes sem escamas, como bagres, eram proibidos, mesmo que tivessem barbatanas.</w:t>
      </w:r>
    </w:p>
    <w:p>
      <w:r/>
      <w:r>
        <w:t>As pinturas egípcias descrevem vários métodos de pesca, e os filisteus pescavam no Mar Mediterrâneo. Uma vez que o povo de Israel não era uma nação marítima, é seguro assumir que a maioria de seus peixes veio de lagos e rios de água doce, especialmente o Mar da Galileia. Foram identificadas cerca de 36 espécies de peixes neste lago, incluindo variedades de perca, carpa, barbo, "sardinha" e peixe-gato.</w:t>
      </w:r>
    </w:p>
    <w:p>
      <w:r/>
      <w:r>
        <w:t>O método de pesca característico dos tempos do NT era a rede de arrasto. Depois que um barco era lançado ao fundo do mar (</w:t>
      </w:r>
      <w:hyperlink r:id="rId1653">
        <w:r>
          <w:rPr>
            <w:color w:val="0000EE"/>
            <w:u w:val="single"/>
          </w:rPr>
          <w:t>Lc 5.4</w:t>
        </w:r>
      </w:hyperlink>
      <w:r>
        <w:t>), uma grande rede era lançada dele e então arrastada em direção à costa pelos remadores do barco, possivelmente com a ajuda de uma tripulação de outro barco. A captura era selecionada na costa (</w:t>
      </w:r>
      <w:hyperlink r:id="rId1654">
        <w:r>
          <w:rPr>
            <w:color w:val="0000EE"/>
            <w:u w:val="single"/>
          </w:rPr>
          <w:t>Mt 13.47–48</w:t>
        </w:r>
      </w:hyperlink>
      <w:r>
        <w:t>). A pesca geralmente era realizada à noite, quando o frescor da água trazia os peixes para mais perto da superfície e quando eles não podiam ver as redes que se aproximavam.</w:t>
      </w:r>
    </w:p>
    <w:p>
      <w:r/>
      <w:r>
        <w:t>Os judeus também pescavam com linha e anzol (</w:t>
      </w:r>
      <w:hyperlink r:id="rId1655">
        <w:r>
          <w:rPr>
            <w:color w:val="0000EE"/>
            <w:u w:val="single"/>
          </w:rPr>
          <w:t>Mt 17.27</w:t>
        </w:r>
      </w:hyperlink>
      <w:r>
        <w:t>), alguns com lança (</w:t>
      </w:r>
      <w:hyperlink r:id="rId1656">
        <w:r>
          <w:rPr>
            <w:color w:val="0000EE"/>
            <w:u w:val="single"/>
          </w:rPr>
          <w:t>Jó 41.7</w:t>
        </w:r>
      </w:hyperlink>
      <w:r>
        <w:t>), e alguns com rede de arremesso (</w:t>
      </w:r>
      <w:hyperlink r:id="rId1657">
        <w:r>
          <w:rPr>
            <w:color w:val="0000EE"/>
            <w:u w:val="single"/>
          </w:rPr>
          <w:t>Ez 47.10</w:t>
        </w:r>
      </w:hyperlink>
      <w:r>
        <w:t>). Habacuque refere-se à pesca com anzol, rede e cerco. (</w:t>
      </w:r>
      <w:hyperlink r:id="rId1658">
        <w:r>
          <w:rPr>
            <w:color w:val="0000EE"/>
            <w:u w:val="single"/>
          </w:rPr>
          <w:t>1.15</w:t>
        </w:r>
      </w:hyperlink>
      <w:r>
        <w:t>).</w:t>
      </w:r>
    </w:p>
    <w:p>
      <w:r/>
      <w:r>
        <w:t xml:space="preserve">Muito no início da história da igreja cristã, o peixe se tornou um símbolo de Cristo e da fé. Estava riscado nas paredes das catacumbas romanas e pode ser visto hoje decorando paredes, altares, bancos e paramentos. O símbolo passou a ser usado porque a palavra grega para “peixe” </w:t>
      </w:r>
      <w:r>
        <w:rPr>
          <w:i/>
        </w:rPr>
        <w:t>(</w:t>
      </w:r>
      <w:r>
        <w:t>ichthus</w:t>
      </w:r>
      <w:r>
        <w:rPr>
          <w:i/>
        </w:rPr>
        <w:t>)</w:t>
      </w:r>
      <w:r>
        <w:t xml:space="preserve"> é composta da primeira letra de cada palavra na frase grega “Jesus Cristo, Filho de Deus, Salvador”. </w:t>
      </w:r>
      <w:r>
        <w:rPr>
          <w:i/>
        </w:rPr>
        <w:t>Veja</w:t>
      </w:r>
      <w:r>
        <w:t xml:space="preserve"> </w:t>
      </w:r>
      <w:r>
        <w:t>Baleia (acima)</w:t>
      </w:r>
      <w:r>
        <w:t>.</w:t>
      </w:r>
    </w:p>
    <w:p>
      <w:pPr>
        <w:pStyle w:val="Heading3"/>
      </w:pPr>
      <w:r>
        <w:t>Pulga</w:t>
      </w:r>
    </w:p>
    <w:p>
      <w:r/>
      <w:r>
        <w:t>Inseto pequeno e irritante (</w:t>
      </w:r>
      <w:hyperlink r:id="rId1659">
        <w:r>
          <w:rPr>
            <w:color w:val="0000EE"/>
            <w:u w:val="single"/>
          </w:rPr>
          <w:t>1Sm 24.14</w:t>
        </w:r>
      </w:hyperlink>
      <w:r>
        <w:t xml:space="preserve">; </w:t>
      </w:r>
      <w:hyperlink r:id="rId1660">
        <w:r>
          <w:rPr>
            <w:color w:val="0000EE"/>
            <w:u w:val="single"/>
          </w:rPr>
          <w:t>26.20</w:t>
        </w:r>
      </w:hyperlink>
      <w:r>
        <w:t xml:space="preserve">, NTLH). Muitas espécies de pulgas surgiram na Palestina, sendo a mais comum a </w:t>
      </w:r>
      <w:r>
        <w:rPr>
          <w:i/>
        </w:rPr>
        <w:t>Pulex irritans.</w:t>
      </w:r>
      <w:r>
        <w:t xml:space="preserve"> Cerca de mil espécies são conhecidas em todo o mundo. As pulgas são parasitas sem asas que têm mandíbulas afiadas e sugam o sangue do corpos de humanos e animais. O corpo é em forma de cunha, permitindo que a pulga se enterre nas dobras da pele e se esconda lá. Os ovos, colocados pela fêmea em pilhas de poeira nos cantos dos compartimentos, eclodem em pequenas larvas brancas que se transformam em pupas (um estágio sem alimentação) em um casulo. Assim que pulgas adultas aparecem, elas imediatamente se ligam ao corpo de um hospedeiro. A fêmea requer sangue para o desenvolvimento de seus ovos.</w:t>
      </w:r>
    </w:p>
    <w:p>
      <w:r/>
      <w:r>
        <w:t>Uma picada de pulga é dolorosa e causa algum inchaço e coceira. As pulgas são atraídas pelo calor. Com umidade e temperatura favoráveis, as pulgas adultas podem viver um ano ou mais sem comida, mas elas são vorazes. As pulgas mais perigosas são as do rato, que transmitem o organismo responsável pela peste bubônica. Havia 41 epidemias registradas de peste bubônica antes da era cristã.</w:t>
      </w:r>
    </w:p>
    <w:p>
      <w:pPr>
        <w:pStyle w:val="Heading3"/>
      </w:pPr>
      <w:r>
        <w:t>Mosca</w:t>
      </w:r>
    </w:p>
    <w:p>
      <w:r/>
      <w:r>
        <w:t>Insetos da ordem Diptera, que têm um par de asas. Muitos insetos voadores de outras ordens, no entanto, também são chamados de moscas, como a libélula ou borboleta.</w:t>
      </w:r>
    </w:p>
    <w:p>
      <w:r/>
      <w:r>
        <w:t xml:space="preserve">Como em quase todas as partes do mundo, as moscas são abundantes na Palestina. Uma das mais numerosas é a mosca comum </w:t>
      </w:r>
      <w:r>
        <w:rPr>
          <w:i/>
        </w:rPr>
        <w:t>(Musca domestica),</w:t>
      </w:r>
      <w:r>
        <w:t xml:space="preserve"> encontrada principalmente em torno de montes de esterco e lixo. A fêmea põe seus ovos, dos quais emergem vermes brancos que se alimentam de lixo. Depois de alguns dias, o verme se desenvolve em um casulo do qual emerge a mosca adulta. No verão, todo o ciclo dura cerca de 12 dias, de modo que uma mosca passa se reproduzir cerca de 20 gerações por ano.</w:t>
      </w:r>
    </w:p>
    <w:p>
      <w:r/>
      <w:r>
        <w:t xml:space="preserve">Outra mosca comum na Palestina é a mosca varejeira (família Oestridae). Causa muito desconforto ao gado, irritando-o e espalhando doenças. As moscas tabânidas (família Tabanidae), incluindo a mutuca (gênero </w:t>
      </w:r>
      <w:r>
        <w:rPr>
          <w:i/>
        </w:rPr>
        <w:t>Tabanus</w:t>
      </w:r>
      <w:r>
        <w:t>) e espécies relacionadas, também são encontradas na Palestina. Tanto a mosca varejeira e a murissoca são conhecidas como moscas por causa da sofrimento persistente que causam. O rei Babilônico Nabucodonosor é mencionado como uma mosca em vista de sua invasão do Egito (</w:t>
      </w:r>
      <w:hyperlink r:id="rId1661">
        <w:r>
          <w:rPr>
            <w:color w:val="0000EE"/>
            <w:u w:val="single"/>
          </w:rPr>
          <w:t>Jr 46.20</w:t>
        </w:r>
      </w:hyperlink>
      <w:r>
        <w:t>).</w:t>
      </w:r>
    </w:p>
    <w:p>
      <w:r/>
      <w:r>
        <w:t>A quarta praga no Egito, pouco antes do Êxodo, apresentava “enxames de moscas” (</w:t>
      </w:r>
      <w:hyperlink r:id="rId1662">
        <w:r>
          <w:rPr>
            <w:color w:val="0000EE"/>
            <w:u w:val="single"/>
          </w:rPr>
          <w:t>Êx 8.21–31</w:t>
        </w:r>
      </w:hyperlink>
      <w:r>
        <w:t xml:space="preserve">, NTLH; cf. </w:t>
      </w:r>
      <w:hyperlink r:id="rId1663">
        <w:r>
          <w:rPr>
            <w:color w:val="0000EE"/>
            <w:u w:val="single"/>
          </w:rPr>
          <w:t>Sl 78.45</w:t>
        </w:r>
      </w:hyperlink>
      <w:r>
        <w:t xml:space="preserve">; </w:t>
      </w:r>
      <w:hyperlink r:id="rId1664">
        <w:r>
          <w:rPr>
            <w:color w:val="0000EE"/>
            <w:u w:val="single"/>
          </w:rPr>
          <w:t>105.31</w:t>
        </w:r>
      </w:hyperlink>
      <w:r>
        <w:t xml:space="preserve">). Esses enxames podem ter sido compostos de qualquer ou todas as moscas mencionadas acima. As larvas mencionadas em </w:t>
      </w:r>
      <w:hyperlink r:id="rId1665">
        <w:r>
          <w:rPr>
            <w:color w:val="0000EE"/>
            <w:u w:val="single"/>
          </w:rPr>
          <w:t>Jó 25.6</w:t>
        </w:r>
      </w:hyperlink>
      <w:r>
        <w:t xml:space="preserve"> e </w:t>
      </w:r>
      <w:hyperlink r:id="rId1666">
        <w:r>
          <w:rPr>
            <w:color w:val="0000EE"/>
            <w:u w:val="single"/>
          </w:rPr>
          <w:t>Isaías 14.11</w:t>
        </w:r>
      </w:hyperlink>
      <w:r>
        <w:t xml:space="preserve"> e os vermes em </w:t>
      </w:r>
      <w:hyperlink r:id="rId1667">
        <w:r>
          <w:rPr>
            <w:color w:val="0000EE"/>
            <w:u w:val="single"/>
          </w:rPr>
          <w:t>Êxodo 16.24</w:t>
        </w:r>
      </w:hyperlink>
      <w:r>
        <w:t xml:space="preserve"> e </w:t>
      </w:r>
      <w:hyperlink r:id="rId1668">
        <w:r>
          <w:rPr>
            <w:color w:val="0000EE"/>
            <w:u w:val="single"/>
          </w:rPr>
          <w:t>Jó 7.5</w:t>
        </w:r>
      </w:hyperlink>
      <w:r>
        <w:t xml:space="preserve"> e </w:t>
      </w:r>
      <w:hyperlink r:id="rId1669">
        <w:r>
          <w:rPr>
            <w:color w:val="0000EE"/>
            <w:u w:val="single"/>
          </w:rPr>
          <w:t>17.14</w:t>
        </w:r>
      </w:hyperlink>
      <w:r>
        <w:t xml:space="preserve"> provavelmente eram larvas de mosca.</w:t>
      </w:r>
    </w:p>
    <w:p>
      <w:r/>
      <w:r>
        <w:t xml:space="preserve">Um provérbio citado em </w:t>
      </w:r>
      <w:hyperlink r:id="rId1670">
        <w:r>
          <w:rPr>
            <w:color w:val="0000EE"/>
            <w:u w:val="single"/>
          </w:rPr>
          <w:t>Eclesiastes 10.1</w:t>
        </w:r>
      </w:hyperlink>
      <w:r>
        <w:t xml:space="preserve"> provavelmente se refere à mosca doméstica, que seria atraída por uma frasco de unguento perfumado aberto. Uma vez dentro, afogaria e eventualmente se deterioraria, fazendo com que o unguento estragasse e fedesse. A mosca também é referida em </w:t>
      </w:r>
      <w:hyperlink r:id="rId1490">
        <w:r>
          <w:rPr>
            <w:color w:val="0000EE"/>
            <w:u w:val="single"/>
          </w:rPr>
          <w:t>Isaías 7.18</w:t>
        </w:r>
      </w:hyperlink>
      <w:r>
        <w:t xml:space="preserve">, onde simboliza o Egito. Isaías pode ter tido em mente uma murissoca </w:t>
      </w:r>
      <w:r>
        <w:rPr>
          <w:i/>
        </w:rPr>
        <w:t>(Tabanus arenivagus)</w:t>
      </w:r>
      <w:r>
        <w:t xml:space="preserve"> que ataca seres humanos e animais.</w:t>
      </w:r>
    </w:p>
    <w:p>
      <w:r/>
      <w:r>
        <w:t>Os habitantes filisteus da cidade de Ecrom adoravam um deus chamado Baal-Zabul, que significa “Senhor dos lugares altos”. Os hebreus zombando falaram de Baal-Zebube, que significa “Senhor das moscas” (</w:t>
      </w:r>
      <w:hyperlink r:id="rId1671">
        <w:r>
          <w:rPr>
            <w:color w:val="0000EE"/>
            <w:u w:val="single"/>
          </w:rPr>
          <w:t>2Rs 1.2</w:t>
        </w:r>
      </w:hyperlink>
      <w:r>
        <w:t xml:space="preserve">). A forma do NT é Belzebu (p. ex., </w:t>
      </w:r>
      <w:hyperlink r:id="rId1672">
        <w:r>
          <w:rPr>
            <w:color w:val="0000EE"/>
            <w:u w:val="single"/>
          </w:rPr>
          <w:t>Mt 10.25</w:t>
        </w:r>
      </w:hyperlink>
      <w:r>
        <w:t xml:space="preserve">; </w:t>
      </w:r>
      <w:hyperlink r:id="rId1673">
        <w:r>
          <w:rPr>
            <w:color w:val="0000EE"/>
            <w:u w:val="single"/>
          </w:rPr>
          <w:t>12.24, 27</w:t>
        </w:r>
      </w:hyperlink>
      <w:r>
        <w:t>).</w:t>
      </w:r>
    </w:p>
    <w:p>
      <w:pPr>
        <w:pStyle w:val="Heading3"/>
      </w:pPr>
      <w:r>
        <w:t>Raposa</w:t>
      </w:r>
    </w:p>
    <w:p>
      <w:r/>
      <w:r>
        <w:t xml:space="preserve">Pequeno carnívoro semelhante a um cão com uma cauda espessa que tem cerca de metade de seu comprimento de corpo. A raposa-vermelha da Terra Santa </w:t>
      </w:r>
      <w:r>
        <w:rPr>
          <w:i/>
        </w:rPr>
        <w:t>(Vulpes palaetinae)</w:t>
      </w:r>
      <w:r>
        <w:t xml:space="preserve"> é semelhante à raposa-vermelha norte-americana; é menor do que um lobo e normalmente é um animal solitário noturno. A raposa onívora come quase qualquer tipo de alimento — frutas, plantas, ratos, besouros e pássaros — mas raramente toca em carniça. Ele ama o suco doce de uvas, mas também cava túneis subterrâneos que podem destruir as videiras (</w:t>
      </w:r>
      <w:hyperlink r:id="rId1674">
        <w:r>
          <w:rPr>
            <w:color w:val="0000EE"/>
            <w:u w:val="single"/>
          </w:rPr>
          <w:t>Ct 2.15</w:t>
        </w:r>
      </w:hyperlink>
      <w:r>
        <w:t>). A raposa é inteligente e conhecida por sua astúcia (</w:t>
      </w:r>
      <w:hyperlink r:id="rId1675">
        <w:r>
          <w:rPr>
            <w:color w:val="0000EE"/>
            <w:u w:val="single"/>
          </w:rPr>
          <w:t>Lc 13.32</w:t>
        </w:r>
      </w:hyperlink>
      <w:r>
        <w:t>). Tem resistência considerável e pode correr a velocidades de até 48 quilômetros por hora. Os judeus que reconstruíram o muro de Jerusalém foram insultados pela piada de que até mesmo uma raposa pulando em seu muro a derrubaria (</w:t>
      </w:r>
      <w:hyperlink r:id="rId1676">
        <w:r>
          <w:rPr>
            <w:color w:val="0000EE"/>
            <w:u w:val="single"/>
          </w:rPr>
          <w:t>Ne 4.3</w:t>
        </w:r>
      </w:hyperlink>
      <w:r>
        <w:t>).</w:t>
      </w:r>
    </w:p>
    <w:p>
      <w:r/>
      <w:r>
        <w:t xml:space="preserve">A raposa egípcia </w:t>
      </w:r>
      <w:r>
        <w:rPr>
          <w:i/>
        </w:rPr>
        <w:t>(Vulpes nilótico)</w:t>
      </w:r>
      <w:r>
        <w:t xml:space="preserve"> é encontrada nas partes central e sul da Terra Santa. É um pouco menor do que a raposa-vermelha comum. Suas costas é de cor de ferrugem e seu ventre claro. A raposa síria </w:t>
      </w:r>
      <w:r>
        <w:rPr>
          <w:i/>
        </w:rPr>
        <w:t>(Vulpes flavescens)</w:t>
      </w:r>
      <w:r>
        <w:t xml:space="preserve"> que vive na parte norte da Terra Santa é de cor dourada brilhante.</w:t>
      </w:r>
    </w:p>
    <w:p>
      <w:r/>
      <w:r>
        <w:t xml:space="preserve">Algumas referências do AT, como </w:t>
      </w:r>
      <w:hyperlink r:id="rId1677">
        <w:r>
          <w:rPr>
            <w:color w:val="0000EE"/>
            <w:u w:val="single"/>
          </w:rPr>
          <w:t>Salmo 63.10</w:t>
        </w:r>
      </w:hyperlink>
      <w:r>
        <w:t xml:space="preserve"> e </w:t>
      </w:r>
      <w:hyperlink r:id="rId1678">
        <w:r>
          <w:rPr>
            <w:color w:val="0000EE"/>
            <w:u w:val="single"/>
          </w:rPr>
          <w:t>Lamentações 5.18</w:t>
        </w:r>
      </w:hyperlink>
      <w:r>
        <w:t xml:space="preserve"> são traduzidas como “raposa” na Bíblia, mas provavelmente se referem aos chacais. Os chacais, não as raposas, caçam em bandos e tendem a agir como necrófagos.</w:t>
      </w:r>
    </w:p>
    <w:p>
      <w:pPr>
        <w:pStyle w:val="Heading3"/>
      </w:pPr>
      <w:r>
        <w:t>Rã</w:t>
      </w:r>
    </w:p>
    <w:p>
      <w:r/>
      <w:r>
        <w:t xml:space="preserve">Anfíbio (gênero </w:t>
      </w:r>
      <w:r>
        <w:rPr>
          <w:i/>
        </w:rPr>
        <w:t>Rana</w:t>
      </w:r>
      <w:r>
        <w:t>), vivendo parte de sua vida na água e parte em terra.</w:t>
      </w:r>
    </w:p>
    <w:p>
      <w:r/>
      <w:r>
        <w:t xml:space="preserve">Rãs e sapos estão cobertos de pele macia e sem pêlos e não têm uma cauda no estágio adulto. As patas traseiras são muito mais longas e desenvolvidas com mais força do que as patas dianteiras, para que os animais sejam capazes de saltar grandes distâncias. Foi sugerido que o sapo referido nas Escrituras é comestível, </w:t>
      </w:r>
      <w:r>
        <w:rPr>
          <w:i/>
        </w:rPr>
        <w:t>Rana ridibunda,</w:t>
      </w:r>
      <w:r>
        <w:t xml:space="preserve"> um dos sapos aquáticos encontrados no Egito e nas águas estagnadas da Terra Santa.</w:t>
      </w:r>
    </w:p>
    <w:p>
      <w:r/>
      <w:r>
        <w:t>A rã fêmea põe seus ovos na água; depois de cerca de uma semana, os ovos eclodem em girinos. Gradualmente através da metamorfose, a cauda é perdida e os membros são adquiridos. As rãs devem manter a pele úmida, pois absorvem oxigênio pela pele e também pelos pulmões; portanto, devem permanecer sempre perto da água. Eles se alimentam de insetos e vermes.</w:t>
      </w:r>
    </w:p>
    <w:p>
      <w:r/>
      <w:r>
        <w:t>Os sapos são encontrados em todas as terras baixas palestinas, onde seu coaxar é ouvido na primavera e nas noites de verão. Os israelitas parecem ter associado rãs principalmente com a viscosidade e imundície. Eles caíram na categoria de criaturas rastejantes ou enxameadas, que, em geral, eram ritualmente impuras (</w:t>
      </w:r>
      <w:hyperlink r:id="rId1679">
        <w:r>
          <w:rPr>
            <w:color w:val="0000EE"/>
            <w:u w:val="single"/>
          </w:rPr>
          <w:t>Lv 11.29–31</w:t>
        </w:r>
      </w:hyperlink>
      <w:r>
        <w:t>). Contudo, como o sapo não estava listado especificamente, os rabinos não o consideravam um dos animais que contaminavam os seres humanos por meio do contato.</w:t>
      </w:r>
    </w:p>
    <w:p>
      <w:r/>
      <w:r>
        <w:t xml:space="preserve">Em </w:t>
      </w:r>
      <w:hyperlink r:id="rId1648">
        <w:r>
          <w:rPr>
            <w:color w:val="0000EE"/>
            <w:u w:val="single"/>
          </w:rPr>
          <w:t>Apocalipse 16.13</w:t>
        </w:r>
      </w:hyperlink>
      <w:r>
        <w:t>, certos espíritos imundos são parecidos com rãs. Os antigos egípcios fizeram do sapo um símbolo de vida e nascimento e uma imagem de Heqet, a deusa patronal do nascimento. Ela é retratada com a cabeça de um sapo dando vida ao recém-nascido. Assim, essa divindade foi desacreditada quando o poder de Deus afligiu o Egito na segunda das dez pragas sobre os egípcios com o próprio animal que era seu símbolo (</w:t>
      </w:r>
      <w:hyperlink r:id="rId1680">
        <w:r>
          <w:rPr>
            <w:color w:val="0000EE"/>
            <w:u w:val="single"/>
          </w:rPr>
          <w:t>Êx 8.1–14</w:t>
        </w:r>
      </w:hyperlink>
      <w:r>
        <w:t xml:space="preserve">; </w:t>
      </w:r>
      <w:hyperlink r:id="rId1663">
        <w:r>
          <w:rPr>
            <w:color w:val="0000EE"/>
            <w:u w:val="single"/>
          </w:rPr>
          <w:t>Sl 78.45</w:t>
        </w:r>
      </w:hyperlink>
      <w:r>
        <w:t xml:space="preserve">; </w:t>
      </w:r>
      <w:hyperlink r:id="rId1681">
        <w:r>
          <w:rPr>
            <w:color w:val="0000EE"/>
            <w:u w:val="single"/>
          </w:rPr>
          <w:t>105.30</w:t>
        </w:r>
      </w:hyperlink>
      <w:r>
        <w:t xml:space="preserve">). O sapo em questão pode ter sido o sapo pintado do Egito </w:t>
      </w:r>
      <w:r>
        <w:rPr>
          <w:i/>
        </w:rPr>
        <w:t>(Rana punctata,</w:t>
      </w:r>
      <w:r>
        <w:t xml:space="preserve"> ou </w:t>
      </w:r>
      <w:r>
        <w:rPr>
          <w:i/>
        </w:rPr>
        <w:t>Rana ridibunda).</w:t>
      </w:r>
    </w:p>
    <w:p>
      <w:r/>
      <w:r>
        <w:rPr>
          <w:i/>
        </w:rPr>
        <w:t>Ver também</w:t>
      </w:r>
      <w:r>
        <w:t xml:space="preserve"> </w:t>
      </w:r>
      <w:r>
        <w:t>Pragas sobre o Egito</w:t>
      </w:r>
      <w:r>
        <w:t>.</w:t>
      </w:r>
    </w:p>
    <w:p>
      <w:pPr>
        <w:pStyle w:val="Heading3"/>
      </w:pPr>
      <w:r>
        <w:t>Gazela</w:t>
      </w:r>
    </w:p>
    <w:p>
      <w:r/>
      <w:r>
        <w:t xml:space="preserve">Pequeno, delicado e gracioso antílope com chifres ocos recorrentes em ambos os sexos. Duas variedades existem na Terra Santa, a gazela dorcas </w:t>
      </w:r>
      <w:r>
        <w:rPr>
          <w:i/>
        </w:rPr>
        <w:t>(Gazella dorcas),</w:t>
      </w:r>
      <w:r>
        <w:t xml:space="preserve"> que é de cor pálida e até 56 centímetros de altura, e a gazela árabe </w:t>
      </w:r>
      <w:r>
        <w:rPr>
          <w:i/>
        </w:rPr>
        <w:t>(Gazella arabica),</w:t>
      </w:r>
      <w:r>
        <w:t xml:space="preserve"> que é uma cor esfumaçada e até 63,5 centímetros de altura.</w:t>
      </w:r>
    </w:p>
    <w:p>
      <w:r/>
      <w:r>
        <w:t>As gazelas ainda são bastante comuns em todas as áreas do deserto e das estepes da Terra Santa, especialmente no Deserto do Negev. Os rebanhos geralmente consistem em 5 a 10 animais, mas algumas variedades se assemelham em grandes rebanhos migratórios no outono para se mudar para altitudes mais baixas e novas áreas de alimentação. As gazelas são herbívoras (comendo plantas). Eles são muito tímidos e colocam guardas para alertar o rebanho de se aproximar do perigo.</w:t>
      </w:r>
    </w:p>
    <w:p>
      <w:r/>
      <w:r>
        <w:t>Nos tempos bíblicos, a gazela era provavelmente o animal de caça mais caçado pelos judeus (</w:t>
      </w:r>
      <w:hyperlink r:id="rId1682">
        <w:r>
          <w:rPr>
            <w:color w:val="0000EE"/>
            <w:u w:val="single"/>
          </w:rPr>
          <w:t>Pv 6.5</w:t>
        </w:r>
      </w:hyperlink>
      <w:r>
        <w:t xml:space="preserve">; </w:t>
      </w:r>
      <w:hyperlink r:id="rId1683">
        <w:r>
          <w:rPr>
            <w:color w:val="0000EE"/>
            <w:u w:val="single"/>
          </w:rPr>
          <w:t>Is 13.14</w:t>
        </w:r>
      </w:hyperlink>
      <w:r>
        <w:t>). O faraó Tutancâmon caçou gazelas e avestruzes. Diz-se que a gazela enfeitou a mesa de Salomão (</w:t>
      </w:r>
      <w:hyperlink r:id="rId1583">
        <w:r>
          <w:rPr>
            <w:color w:val="0000EE"/>
            <w:u w:val="single"/>
          </w:rPr>
          <w:t>1Rs 4.23</w:t>
        </w:r>
      </w:hyperlink>
      <w:r>
        <w:t>). As gazelas não eram fáceis de capturar por causa de sua grande velocidade (</w:t>
      </w:r>
      <w:hyperlink r:id="rId1684">
        <w:r>
          <w:rPr>
            <w:color w:val="0000EE"/>
            <w:u w:val="single"/>
          </w:rPr>
          <w:t>2Sm 2.18</w:t>
        </w:r>
      </w:hyperlink>
      <w:r>
        <w:t xml:space="preserve">; </w:t>
      </w:r>
      <w:hyperlink r:id="rId1685">
        <w:r>
          <w:rPr>
            <w:color w:val="0000EE"/>
            <w:u w:val="single"/>
          </w:rPr>
          <w:t>1Cr 12.8</w:t>
        </w:r>
      </w:hyperlink>
      <w:r>
        <w:t xml:space="preserve">; </w:t>
      </w:r>
      <w:hyperlink r:id="rId1682">
        <w:r>
          <w:rPr>
            <w:color w:val="0000EE"/>
            <w:u w:val="single"/>
          </w:rPr>
          <w:t>Pv 6.5</w:t>
        </w:r>
      </w:hyperlink>
      <w:r>
        <w:t>); elas ultrapassam os cervos em rapidez. Elas estavam presas de várias maneiras — cercadas de redes, levadas para cercos com armadilhas, ou forçadas a vales estreitos e disparadas com flechas. Os beduínos caçam gazelas com falcões e cães; o falcão irrita a gazela, atingindo-a na cabeça e ferindo-a para que os cães possam ultrapassá-la.</w:t>
      </w:r>
    </w:p>
    <w:p>
      <w:r/>
      <w:r>
        <w:t xml:space="preserve">A gazela é referida em </w:t>
      </w:r>
      <w:hyperlink r:id="rId1686">
        <w:r>
          <w:rPr>
            <w:color w:val="0000EE"/>
            <w:u w:val="single"/>
          </w:rPr>
          <w:t>Cantares 2.9,17</w:t>
        </w:r>
      </w:hyperlink>
      <w:r>
        <w:t xml:space="preserve">; </w:t>
      </w:r>
      <w:hyperlink r:id="rId1687">
        <w:r>
          <w:rPr>
            <w:color w:val="0000EE"/>
            <w:u w:val="single"/>
          </w:rPr>
          <w:t>4.5</w:t>
        </w:r>
      </w:hyperlink>
      <w:r>
        <w:t xml:space="preserve">; </w:t>
      </w:r>
      <w:hyperlink r:id="rId1688">
        <w:r>
          <w:rPr>
            <w:color w:val="0000EE"/>
            <w:u w:val="single"/>
          </w:rPr>
          <w:t>7.3</w:t>
        </w:r>
      </w:hyperlink>
      <w:r>
        <w:t xml:space="preserve">; </w:t>
      </w:r>
      <w:hyperlink r:id="rId1581">
        <w:r>
          <w:rPr>
            <w:color w:val="0000EE"/>
            <w:u w:val="single"/>
          </w:rPr>
          <w:t>8.14</w:t>
        </w:r>
      </w:hyperlink>
      <w:r>
        <w:t>, onde é uma imagem de beleza feminina.</w:t>
      </w:r>
    </w:p>
    <w:p>
      <w:pPr>
        <w:pStyle w:val="Heading3"/>
      </w:pPr>
      <w:r>
        <w:t>Largatixa</w:t>
      </w:r>
    </w:p>
    <w:p>
      <w:r/>
      <w:r>
        <w:t xml:space="preserve">Réptil da família Gekkonidae, referido em </w:t>
      </w:r>
      <w:hyperlink r:id="rId1570">
        <w:r>
          <w:rPr>
            <w:color w:val="0000EE"/>
            <w:u w:val="single"/>
          </w:rPr>
          <w:t>Levítico 11.30</w:t>
        </w:r>
      </w:hyperlink>
      <w:r>
        <w:t xml:space="preserve">. Na lei de alimentos judaica, era um lagarto ritualmente impuro. Há sete espécies de lagartixas na Terra Santa (incluindo </w:t>
      </w:r>
      <w:r>
        <w:rPr>
          <w:i/>
        </w:rPr>
        <w:t>Hemidactylus turcicus</w:t>
      </w:r>
      <w:r>
        <w:t xml:space="preserve"> e </w:t>
      </w:r>
      <w:r>
        <w:rPr>
          <w:i/>
        </w:rPr>
        <w:t>Ptyodactylus hasselquistii,</w:t>
      </w:r>
      <w:r>
        <w:t xml:space="preserve"> todas insetívoras - comedoras de insetos). A lagartixa faz um som de luto baixo vibrando sua língua rapidamente contra o céu de sua boca. Na lenda, dizia-se que a lagartixa causava lepra rastejando pelo corpo de uma pessoa.</w:t>
      </w:r>
    </w:p>
    <w:p>
      <w:r/>
      <w:r>
        <w:t>Outro nome para a lagartixa é o lagarto da parede, assim chamado porque pode andar de cabeça para baixo nos tetos com a ajuda dos discos de sucção nos dedos dos pés — mas muitas vezes entra no meio da casa. Uma vez que era considerada impura, tal intrusão teria sido um incômodo repugnante para as famílias judaicas (</w:t>
      </w:r>
      <w:hyperlink r:id="rId1689">
        <w:r>
          <w:rPr>
            <w:color w:val="0000EE"/>
            <w:u w:val="single"/>
          </w:rPr>
          <w:t>Lv 11.31–38</w:t>
        </w:r>
      </w:hyperlink>
      <w:r>
        <w:t>).</w:t>
      </w:r>
    </w:p>
    <w:p>
      <w:r/>
      <w:r>
        <w:rPr>
          <w:i/>
        </w:rPr>
        <w:t>Ver também</w:t>
      </w:r>
      <w:r>
        <w:t xml:space="preserve"> Lagarto (abaixo).</w:t>
      </w:r>
    </w:p>
    <w:p>
      <w:pPr>
        <w:pStyle w:val="Heading3"/>
      </w:pPr>
      <w:r>
        <w:t>Mosquito</w:t>
      </w:r>
    </w:p>
    <w:p>
      <w:r/>
      <w:r>
        <w:t>Qualquer mosca muito pequena, em uso comum e bíblico. De acordo com uma nota da NVT, a terceira praga no Egito antes do Êxodo poderia consistir de mosquitos ao invés de piolhos, como está em outras versões (</w:t>
      </w:r>
      <w:hyperlink r:id="rId1690">
        <w:r>
          <w:rPr>
            <w:color w:val="0000EE"/>
            <w:u w:val="single"/>
          </w:rPr>
          <w:t>Êx 8.16–18</w:t>
        </w:r>
      </w:hyperlink>
      <w:r>
        <w:t xml:space="preserve">; </w:t>
      </w:r>
      <w:hyperlink r:id="rId1664">
        <w:r>
          <w:rPr>
            <w:color w:val="0000EE"/>
            <w:u w:val="single"/>
          </w:rPr>
          <w:t>Sl 105.31</w:t>
        </w:r>
      </w:hyperlink>
      <w:r>
        <w:t xml:space="preserve">). A palavra hebraica é traduzida como “piolhos” em várias versões, mas o padrão de reprodução descrito em </w:t>
      </w:r>
      <w:hyperlink r:id="rId1691">
        <w:r>
          <w:rPr>
            <w:color w:val="0000EE"/>
            <w:u w:val="single"/>
          </w:rPr>
          <w:t>Êxodo 8</w:t>
        </w:r>
      </w:hyperlink>
      <w:r>
        <w:t xml:space="preserve"> — insetos surgindo da poeira — parece se encaixar melhor com mosquitos do que nos piolhos. Uma vez que “mosquito” é um termo geral, as pequenas moscas dessa praga podem ter incluído várias espécies pequenas, como mosquitos, mosquitos colhedores, maruins ou moscas de areia.</w:t>
      </w:r>
    </w:p>
    <w:p>
      <w:r/>
      <w:r>
        <w:t>A mosca de areia inflige uma mordida muito mais dolorosa do que o mosquito. Além disso, não se revela por um barulho zumbido em voo e é tão pequeno que penetra na maioria das redes mosquiteiras.</w:t>
      </w:r>
    </w:p>
    <w:p>
      <w:r/>
      <w:r>
        <w:t>Os mosquitos eram atraídos para o vinho enquanto ele estava fermentando. Os fariseus em especial coariam seu vinho para evitar consumir insetos impuros (</w:t>
      </w:r>
      <w:hyperlink r:id="rId1692">
        <w:r>
          <w:rPr>
            <w:color w:val="0000EE"/>
            <w:u w:val="single"/>
          </w:rPr>
          <w:t>Mt 23.24</w:t>
        </w:r>
      </w:hyperlink>
      <w:r>
        <w:t>).</w:t>
      </w:r>
    </w:p>
    <w:p>
      <w:pPr>
        <w:pStyle w:val="Heading3"/>
      </w:pPr>
      <w:r>
        <w:t>Cabra</w:t>
      </w:r>
    </w:p>
    <w:p>
      <w:r/>
      <w:r>
        <w:t xml:space="preserve">Mamíferos de casco (gênero </w:t>
      </w:r>
      <w:r>
        <w:rPr>
          <w:i/>
        </w:rPr>
        <w:t>Capra</w:t>
      </w:r>
      <w:r>
        <w:t>) com olhos grandes e orelhas grandes e flexíveis que constantemente se contorcem. Tanto machos quanto fêmeas têm chifres arqueados para trás. A cabra palestina é um ruminante (animal mastigador) de estrutura mais leve do que as ovelhas.</w:t>
      </w:r>
    </w:p>
    <w:p>
      <w:r/>
      <w:r>
        <w:t xml:space="preserve">A cabra foi provavelmente o primeiro ruminante a ser domesticado. Seu ancestral selvagem parece ter sido a cabra Gezoar </w:t>
      </w:r>
      <w:r>
        <w:rPr>
          <w:i/>
        </w:rPr>
        <w:t>(Capra aegagrus).</w:t>
      </w:r>
      <w:r>
        <w:t xml:space="preserve"> Acredita-se que as cabras-selvagens tenham sido domesticadas muito cedo na Palestina. A cabra dos tempos bíblicos era provavelmente a variedade síria ou mambrina </w:t>
      </w:r>
      <w:r>
        <w:rPr>
          <w:i/>
        </w:rPr>
        <w:t>(Capra hircus mambrica).</w:t>
      </w:r>
      <w:r>
        <w:t xml:space="preserve"> As cabras domesticadas podem ter até quatro filhos em uma ninhada, enquanto as cabras-selvagens têm apenas um ou dois.</w:t>
      </w:r>
    </w:p>
    <w:p>
      <w:r/>
      <w:r>
        <w:t xml:space="preserve">A cabra palestina era comumente negra. As cabras salpicadas e manchadas eram uma raridade, e por essa razão o pedido de Jacó para essas cabras em </w:t>
      </w:r>
      <w:hyperlink r:id="rId1520">
        <w:r>
          <w:rPr>
            <w:color w:val="0000EE"/>
            <w:u w:val="single"/>
          </w:rPr>
          <w:t>Gênesis 30.32</w:t>
        </w:r>
      </w:hyperlink>
      <w:r>
        <w:t xml:space="preserve"> parecia muito modesto. Também pode ter havido cabras vermelhas (cf. </w:t>
      </w:r>
      <w:hyperlink r:id="rId1693">
        <w:r>
          <w:rPr>
            <w:color w:val="0000EE"/>
            <w:u w:val="single"/>
          </w:rPr>
          <w:t>1Sm 16.12</w:t>
        </w:r>
      </w:hyperlink>
      <w:r>
        <w:t xml:space="preserve">; </w:t>
      </w:r>
      <w:hyperlink r:id="rId1694">
        <w:r>
          <w:rPr>
            <w:color w:val="0000EE"/>
            <w:u w:val="single"/>
          </w:rPr>
          <w:t>19.13</w:t>
        </w:r>
      </w:hyperlink>
      <w:r>
        <w:t>, onde o cabelo de cabra era usado para imitar o cabelo de Davi, que era “avermelhado” ou ruivo).</w:t>
      </w:r>
    </w:p>
    <w:p>
      <w:r/>
      <w:r>
        <w:t>Quase todas as partes da cabra eram usadas pelos israelitas. A cabra inteira era usada para sacrifício. Comiam sua carne (</w:t>
      </w:r>
      <w:hyperlink r:id="rId1695">
        <w:r>
          <w:rPr>
            <w:color w:val="0000EE"/>
            <w:u w:val="single"/>
          </w:rPr>
          <w:t>Lv 7.23</w:t>
        </w:r>
      </w:hyperlink>
      <w:r>
        <w:t xml:space="preserve">; </w:t>
      </w:r>
      <w:hyperlink r:id="rId1696">
        <w:r>
          <w:rPr>
            <w:color w:val="0000EE"/>
            <w:u w:val="single"/>
          </w:rPr>
          <w:t>Dt 14.4</w:t>
        </w:r>
      </w:hyperlink>
      <w:r>
        <w:t>), e era a principal fonte de leite (</w:t>
      </w:r>
      <w:hyperlink r:id="rId1697">
        <w:r>
          <w:rPr>
            <w:color w:val="0000EE"/>
            <w:u w:val="single"/>
          </w:rPr>
          <w:t>Pv 27.27</w:t>
        </w:r>
      </w:hyperlink>
      <w:r>
        <w:t>). As cabras eram toscadas no final da primavera, e o cabelo de cabra era usado para tecer pano de tendas e para vários propósitos domésticos (</w:t>
      </w:r>
      <w:hyperlink r:id="rId1698">
        <w:r>
          <w:rPr>
            <w:color w:val="0000EE"/>
            <w:u w:val="single"/>
          </w:rPr>
          <w:t>Êx 36.14</w:t>
        </w:r>
      </w:hyperlink>
      <w:r>
        <w:t xml:space="preserve">; </w:t>
      </w:r>
      <w:hyperlink r:id="rId1694">
        <w:r>
          <w:rPr>
            <w:color w:val="0000EE"/>
            <w:u w:val="single"/>
          </w:rPr>
          <w:t>1Sm 19.13,16</w:t>
        </w:r>
      </w:hyperlink>
      <w:r>
        <w:t>). O tabernáculo no Monte Sinai era feito de cobertores de cabelo de cabra (</w:t>
      </w:r>
      <w:hyperlink r:id="rId1699">
        <w:r>
          <w:rPr>
            <w:color w:val="0000EE"/>
            <w:u w:val="single"/>
          </w:rPr>
          <w:t>Êx 26.7</w:t>
        </w:r>
      </w:hyperlink>
      <w:r>
        <w:t>).</w:t>
      </w:r>
    </w:p>
    <w:p>
      <w:r/>
      <w:r>
        <w:t>Os cabritos machos adultos geralmente não eram comidos por causa de seu forte sabor e tenacidade e também porque eram necessários para assegurar o aumento do rebanho. As filhotes, no entanto, geralmente eram a principal carne para uma festa e eram oferecidas aos visitantes como um símbolo de hospitalidade. O leite de cabra é mais rico do que o leite de vacas e ovelhas e, evidentemente, tinha usos mais amplos. Uma boa cabra dá três litros de leite por dia, com os quais se pode fazer uma rica manteiga e soro de leite coalhado. A família hebraica média poderia ter vivido quase inteiramente na produção de uma única cabra.</w:t>
      </w:r>
    </w:p>
    <w:p>
      <w:r/>
      <w:r>
        <w:t>Pele de cabra era transformado em couro, e toda a pele era transformada em um frasco de couro costurando as aberturas de perna e pescoço (</w:t>
      </w:r>
      <w:hyperlink r:id="rId1700">
        <w:r>
          <w:rPr>
            <w:color w:val="0000EE"/>
            <w:u w:val="single"/>
          </w:rPr>
          <w:t>Gn 21.14</w:t>
        </w:r>
      </w:hyperlink>
      <w:r>
        <w:t xml:space="preserve">; </w:t>
      </w:r>
      <w:hyperlink r:id="rId1701">
        <w:r>
          <w:rPr>
            <w:color w:val="0000EE"/>
            <w:u w:val="single"/>
          </w:rPr>
          <w:t>Js 9.4</w:t>
        </w:r>
      </w:hyperlink>
      <w:r>
        <w:t>). Pele de cabra tinha muitos usos, incluindo a construção de instrumentos musicais hebraicos. O nebal, uma grande harpa, era feito com pele de cabra para seu som básico. Os tambores tinham coberturas de pele de cabra.</w:t>
      </w:r>
    </w:p>
    <w:p>
      <w:r/>
      <w:r>
        <w:t>As cabras eram reunidas com ovelhas nos tempos bíblicos, mas cada grupo permanecia separado seguindo seu próprio líder carregado de sinos. Jesus estava evidentemente se referindo ao rebanho comum deles em sua descrição do Juízo Final (</w:t>
      </w:r>
      <w:hyperlink r:id="rId1172">
        <w:r>
          <w:rPr>
            <w:color w:val="0000EE"/>
            <w:u w:val="single"/>
          </w:rPr>
          <w:t>Mt 25.31–46</w:t>
        </w:r>
      </w:hyperlink>
      <w:r>
        <w:t>).</w:t>
      </w:r>
    </w:p>
    <w:p>
      <w:r/>
      <w:r>
        <w:t>Por causa de sua lã, as ovelhas são valorizadas mais do que as cabras. No entanto, onde pastagem e água são escassas e os arbustos espinhosos dominam sobre as ervas, as ovelhas são difíceis de manter e as cabras se tornam importantes. Eles podem viver sob condições que não se adequam nem às vacas, nem às ovelhas, produzindo grandes quantidades de leite. A cabra não fornece gordura como as ovelhas, e uma vez que seu cabelo é grosseiro, sua lã é bastante escassa. Pano de pêlo de cabra chamado cilício era usado para fazer tendas.</w:t>
      </w:r>
    </w:p>
    <w:p>
      <w:r/>
      <w:r>
        <w:t>As cabras têm apetites vorazes. Eles também foram responsáveis por muitos danos causados à terra da Palestina, derrubando terraços, destruindo florestas e trazendo a erosão do solo comendo toda a cobertura.</w:t>
      </w:r>
    </w:p>
    <w:p>
      <w:r/>
      <w:r>
        <w:t>A cabra era reconhecida como uma forma de riqueza, sujeita à lei dos primogênitos (</w:t>
      </w:r>
      <w:hyperlink r:id="rId1702">
        <w:r>
          <w:rPr>
            <w:color w:val="0000EE"/>
            <w:u w:val="single"/>
          </w:rPr>
          <w:t>Nm 18.17</w:t>
        </w:r>
      </w:hyperlink>
      <w:r>
        <w:t>). Tinha que ter oito dias antes de poder ser oferecido como um sacrifício. Um bode macho de um ano era um dos animais oferecidos na Páscoa (</w:t>
      </w:r>
      <w:hyperlink r:id="rId1703">
        <w:r>
          <w:rPr>
            <w:color w:val="0000EE"/>
            <w:u w:val="single"/>
          </w:rPr>
          <w:t>28; 22</w:t>
        </w:r>
      </w:hyperlink>
      <w:r>
        <w:t>), e dois bodes foram oferecidos no Dia da Expiação (</w:t>
      </w:r>
      <w:hyperlink r:id="rId1704">
        <w:r>
          <w:rPr>
            <w:color w:val="0000EE"/>
            <w:u w:val="single"/>
          </w:rPr>
          <w:t>Lv 16.7–10</w:t>
        </w:r>
      </w:hyperlink>
      <w:r>
        <w:t>). A cabra também era usada para outros sacrifícios específicos.</w:t>
      </w:r>
    </w:p>
    <w:p>
      <w:r/>
      <w:r>
        <w:t xml:space="preserve">O íbex, um tipo de cabra-selvagem </w:t>
      </w:r>
      <w:r>
        <w:rPr>
          <w:i/>
        </w:rPr>
        <w:t>(Capra ibex nubiana),</w:t>
      </w:r>
      <w:r>
        <w:t xml:space="preserve"> ainda vive em pequeno número nos penhascos perto do Mar Morto. Que era conhecido nos tempos antigos é evidente das gravuras rupestres. Distingue-se da verdadeira cabra-selvagem por ter uma alcatra e chifres mais compactos que são esbeltos e arredondados para trás. Suas pernas finas e cascos afiados permitem que ele se agarre, para pular entre elas e escalar penhascos íngremes.</w:t>
      </w:r>
    </w:p>
    <w:p>
      <w:r/>
      <w:r>
        <w:t>Geralmente o íbex é encontrado no país montanhoso acidentado entre penhascos e prados rochosos logo abaixo da linha de neve (</w:t>
      </w:r>
      <w:hyperlink r:id="rId1474">
        <w:r>
          <w:rPr>
            <w:color w:val="0000EE"/>
            <w:u w:val="single"/>
          </w:rPr>
          <w:t>Sl 104.18</w:t>
        </w:r>
      </w:hyperlink>
      <w:r>
        <w:t xml:space="preserve">). Em </w:t>
      </w:r>
      <w:hyperlink r:id="rId1585">
        <w:r>
          <w:rPr>
            <w:color w:val="0000EE"/>
            <w:u w:val="single"/>
          </w:rPr>
          <w:t>Jó 39.1</w:t>
        </w:r>
      </w:hyperlink>
      <w:r>
        <w:t>, eles são referidos como “cabras-montesas”. Eles frequentemente se reúnem em rebanhos de 5 a 20. Eles pastam e vagueia, sendo ativos à tarde e às vezes se alimentando durante a noite. O grande chifre do íbex estava em um período transformado no shofar que era soprado no segundo templo de Jerusalém para anunciar o ano novo e o ano do jubileu.</w:t>
      </w:r>
    </w:p>
    <w:p>
      <w:r/>
      <w:r>
        <w:t xml:space="preserve">A cabra era muitas vezes usada em um sentido figurativo e simbólico pelos escritores da Bíblia: em </w:t>
      </w:r>
      <w:hyperlink r:id="rId1705">
        <w:r>
          <w:rPr>
            <w:color w:val="0000EE"/>
            <w:u w:val="single"/>
          </w:rPr>
          <w:t>Cantares 4.1</w:t>
        </w:r>
      </w:hyperlink>
      <w:r>
        <w:t xml:space="preserve"> e </w:t>
      </w:r>
      <w:hyperlink r:id="rId1706">
        <w:r>
          <w:rPr>
            <w:color w:val="0000EE"/>
            <w:u w:val="single"/>
          </w:rPr>
          <w:t>6.5</w:t>
        </w:r>
      </w:hyperlink>
      <w:r>
        <w:t xml:space="preserve"> para o cabelo preto da noiva; em </w:t>
      </w:r>
      <w:hyperlink r:id="rId1172">
        <w:r>
          <w:rPr>
            <w:color w:val="0000EE"/>
            <w:u w:val="single"/>
          </w:rPr>
          <w:t>Mateus 25.31–46</w:t>
        </w:r>
      </w:hyperlink>
      <w:r>
        <w:t xml:space="preserve"> para os ímpios; e em </w:t>
      </w:r>
      <w:hyperlink r:id="rId1707">
        <w:r>
          <w:rPr>
            <w:color w:val="0000EE"/>
            <w:u w:val="single"/>
          </w:rPr>
          <w:t>Ezequiel 34.17</w:t>
        </w:r>
      </w:hyperlink>
      <w:r>
        <w:t xml:space="preserve"> e </w:t>
      </w:r>
      <w:hyperlink r:id="rId1708">
        <w:r>
          <w:rPr>
            <w:color w:val="0000EE"/>
            <w:u w:val="single"/>
          </w:rPr>
          <w:t>Daniel 8.5–8</w:t>
        </w:r>
      </w:hyperlink>
      <w:r>
        <w:t xml:space="preserve"> para vários líderes humanos.</w:t>
      </w:r>
    </w:p>
    <w:p>
      <w:pPr>
        <w:pStyle w:val="Heading3"/>
      </w:pPr>
      <w:r>
        <w:t>Gafanhoto-solitário</w:t>
      </w:r>
    </w:p>
    <w:p>
      <w:r/>
      <w:r>
        <w:t>Grandes insetos da ordem Orthoptera. Eles têm peças bucais para mastigar ou morder e dois pares de asas, sendo o par anterior estreito e um tanto espesso e o par posterior membranoso e usado para voar. Quando não estão em uso, as asas de voo são dobradas sob as asas dianteiras protetoras como um ventilador contra o corpo. Ao esfregar as asas, os gafanhotos machos produzem sons que tanto os machos quanto as fêmeas podem detectar. Os gafanhotos passam por uma metamorfose parcial; o ovo eclode em uma ninfa juvenil que se parece com um adulto, exceto por seu tamanho menor e asas subdesenvolvidas. Depois de vários meses, a ninfa se torna um adulto alado.</w:t>
      </w:r>
    </w:p>
    <w:p>
      <w:r/>
      <w:r>
        <w:t>Os termos “gafanhoto-solitário” e “gafanhoto” são muitas vezes usados de forma intercambiável. Na verdade, o gafanhoto é um tipo de gafanhoto-solitário. Também confuso é o fato de que outros insetos, como cigarras, às vezes são chamados de gafanhotos. A diferença entre gafanhoto-solitário e gafanhotos depende mais do comportamento do que da aparência. Os gafanhotos-solitários são insetos individuais que levam vidas solitárias e não migram. Os mesmos insetos quando migram em um enxame são chamados de gafanhotos-migratórios ou gafanhotos. A eliminação de seu suprimento de alimentos pela seca, inundação ou fogo pode levar à migração. Fatores climáticos, como um inverno quente e seco também estimulam as migrações.</w:t>
      </w:r>
    </w:p>
    <w:p>
      <w:r/>
      <w:r>
        <w:t>Os gafanhotos-solitários e os gafanhotos têm sido um alimento básico no Oriente Médio e também entre os índios do sudoeste americano. Para os israelitas, o gafanhoto-solitário era considerado ritualmente limpo e poderia ser comido (</w:t>
      </w:r>
      <w:hyperlink r:id="rId1574">
        <w:r>
          <w:rPr>
            <w:color w:val="0000EE"/>
            <w:u w:val="single"/>
          </w:rPr>
          <w:t>Lv 11.22</w:t>
        </w:r>
      </w:hyperlink>
      <w:r>
        <w:t>).</w:t>
      </w:r>
    </w:p>
    <w:p>
      <w:r/>
      <w:r>
        <w:rPr>
          <w:i/>
        </w:rPr>
        <w:t>Veja também</w:t>
      </w:r>
      <w:r>
        <w:t xml:space="preserve"> Gafanhoto (acima).</w:t>
      </w:r>
    </w:p>
    <w:p>
      <w:pPr>
        <w:pStyle w:val="Heading3"/>
      </w:pPr>
      <w:r>
        <w:t>Lebre</w:t>
      </w:r>
    </w:p>
    <w:p>
      <w:r/>
      <w:r>
        <w:t xml:space="preserve">Animal do gênero e espécies </w:t>
      </w:r>
      <w:r>
        <w:rPr>
          <w:i/>
        </w:rPr>
        <w:t>Lepus europaeus judaeus, Lepus capensis</w:t>
      </w:r>
      <w:r>
        <w:t xml:space="preserve"> e </w:t>
      </w:r>
      <w:r>
        <w:rPr>
          <w:i/>
        </w:rPr>
        <w:t>Lepus arabicus.</w:t>
      </w:r>
      <w:r>
        <w:t xml:space="preserve"> É encontrado em campo aberto, muitas vezes perto ou em terras plantadas, e em florestas, geralmente em àrvores que perdem suas folhas em vez de àrvores de folhas perenes. É um roedor herbívoro e é diferente do coelho, que não é encontrado na Palestina. Embora não seja um verdadeiro ruminante de acordo com a classificação moderna (porque não tem um estômago de quatro câmaras), a lebre remastiga sua comida. Tem um processo de regurgitação parcial de material muito difícil para as células no estômago absorverem inicialmente; assim, a lebre realmente mastiga a comida anteriormente engolida.</w:t>
      </w:r>
    </w:p>
    <w:p>
      <w:r/>
      <w:r>
        <w:t>As lebres orientais próximas têm orelhas muito longas e grandes pés traseiros; seus pés são bem peludos. Eles são semelhantes aos coelhos americanos, que são verdadeiras lebres. As lebres não cavam ou ocupam tocas da maneira que os coelhos. As lebres são principalmente noturnas e passam suas horas inativas escondidas na vegetação. Eles comem gramíneas e matéria herbácea, bem como galhos e casca jovem de plantas lenhosas. As lebres se reproduzem com grande rapidez — os jovens atingindo a maturidade sexual aos seis meses após o nascimento.</w:t>
      </w:r>
    </w:p>
    <w:p>
      <w:r/>
      <w:r>
        <w:t>A lebre era cerimonialmente impura (</w:t>
      </w:r>
      <w:hyperlink r:id="rId1709">
        <w:r>
          <w:rPr>
            <w:color w:val="0000EE"/>
            <w:u w:val="single"/>
          </w:rPr>
          <w:t>Lv 11.6</w:t>
        </w:r>
      </w:hyperlink>
      <w:r>
        <w:t xml:space="preserve">; </w:t>
      </w:r>
      <w:hyperlink r:id="rId1473">
        <w:r>
          <w:rPr>
            <w:color w:val="0000EE"/>
            <w:u w:val="single"/>
          </w:rPr>
          <w:t>Dt 14.7</w:t>
        </w:r>
      </w:hyperlink>
      <w:r>
        <w:t>), evidentemente porque, embora parecesse ruminar, não tinha cascos fendidos. O consumo de lebres também foi proibido entre os árabes, chineses e lapões, mas a lebre era amplamente caçada por outras pessoas nos tempos antigos e modernos. Sua grande velocidade, prolífica criação, timidez e cautela a salvaram do extermínio por seus muitos inimigos.</w:t>
      </w:r>
    </w:p>
    <w:p>
      <w:pPr>
        <w:pStyle w:val="Heading3"/>
      </w:pPr>
      <w:r>
        <w:t>Hipopótamo</w:t>
      </w:r>
    </w:p>
    <w:p>
      <w:r/>
      <w:r>
        <w:t xml:space="preserve">Grande besta de interpretação problemática. Alguns intérpretes antigos pensavam que se referia ao elefante, outros ao boi selvagem, ao mamute ou a qualquer animal de grande porte. Era chamado de “beemote” pelos tradutores da ARC, NVI e NAA. Hoje é geralmente aceito que a referência é ao hipopótamo </w:t>
      </w:r>
      <w:r>
        <w:rPr>
          <w:i/>
        </w:rPr>
        <w:t>(Hippopotamus amphibius),</w:t>
      </w:r>
      <w:r>
        <w:t xml:space="preserve"> um mamífero grande, anfíbio de pele grossa, um ungulado (tendo unhas semelhantes a cascos) com uma cabeça grande, um corpo volumoso e sem pêlos e pernas pequenas.</w:t>
      </w:r>
    </w:p>
    <w:p>
      <w:r/>
      <w:r>
        <w:t xml:space="preserve">A descrição em </w:t>
      </w:r>
      <w:hyperlink r:id="rId1710">
        <w:r>
          <w:rPr>
            <w:color w:val="0000EE"/>
            <w:u w:val="single"/>
          </w:rPr>
          <w:t>Jó 40.15–24</w:t>
        </w:r>
      </w:hyperlink>
      <w:r>
        <w:t xml:space="preserve"> se encaixa estreitamente no hipopótamo moderno (ver NTLH), exceto pela representação da cauda. No momento, o hipopótamo é encontrado apenas nos rios da África, mas há evidências fósseis de que ele existiu na Terra Santa, talvez nos pântanos do norte da Galileia e do Vale do Jordão.</w:t>
      </w:r>
    </w:p>
    <w:p>
      <w:r/>
      <w:r>
        <w:t>O hipopótamo tem órgãos sensoriais altamente desenvolvidos, colocados de tal maneira que pode ver, ouvir e cheirar quase sem ser visto; seus olhos, ouvidos e narinas podem chegar acima da água enquanto o resto do animal está submerso. Tem uma boca grande, presas grandes e uma garganta pequena e pesada. As pernas fortes são tão pequenas que o ventre quase chega ao chão quando o animal está em terra. O hipopótamo vive de plantas e ervas que crescem nos rios, mas se a comida for escassa lá, ela forrageia em terra, geralmente à noite. Apesar de seu corpo pesado, é surpreendentemente ágil em terra.</w:t>
      </w:r>
    </w:p>
    <w:p>
      <w:pPr>
        <w:pStyle w:val="Heading3"/>
      </w:pPr>
      <w:r>
        <w:t>Cavalo</w:t>
      </w:r>
    </w:p>
    <w:p>
      <w:r/>
      <w:r>
        <w:t>O cavalo de Przewalski (</w:t>
      </w:r>
      <w:r>
        <w:rPr>
          <w:i/>
        </w:rPr>
        <w:t>Equus przewalskii,</w:t>
      </w:r>
      <w:r>
        <w:t xml:space="preserve"> uma raça oriental que perambulava pela Mongolia até que as armas de fogo modernas destruíram a maioria deles após a Primeira Guerra Mundial) e o tarpan (uma raça ocidental do sul da Rússia que se extinguiu na Ucrânia em 1851). O cavalo domesticado </w:t>
      </w:r>
      <w:r>
        <w:rPr>
          <w:i/>
        </w:rPr>
        <w:t>(Equus caballus)</w:t>
      </w:r>
      <w:r>
        <w:t xml:space="preserve"> parece ter sido derivado do tarpan. Acredita-se que o local original de domesticação tenha sido o Turquestão, uma região ao norte do Afeganistão e da Índia, agora na Rússia. O cavalo difere do jumento na medida em que tem orelhas mais baixas, uma juba mais longa com um forelock, uma cauda longa e peluda, e um focinho macio e sensível.</w:t>
      </w:r>
    </w:p>
    <w:p>
      <w:r/>
      <w:r>
        <w:t>Os cavalos eram usados na guerra não apenas para cavalgar, mas também para puxar as carruagens de guerra pesadas e sem molas. Dois tipos de cavalos eram necessários para esses diferentes propósitos, e os hebreus distinguiam entre cavalos de carruagem e cavalos de cavalaria.</w:t>
      </w:r>
    </w:p>
    <w:p>
      <w:r/>
      <w:r>
        <w:t>O Senhor advertiu os primeiros israelitas contra o acúmulo desnecessário de força militar na forma de cavalos e, assim, seguindo as táticas opressivas dos poderosos egípcios (</w:t>
      </w:r>
      <w:hyperlink r:id="rId1711">
        <w:r>
          <w:rPr>
            <w:color w:val="0000EE"/>
            <w:u w:val="single"/>
          </w:rPr>
          <w:t>Dt 17.14–16</w:t>
        </w:r>
      </w:hyperlink>
      <w:r>
        <w:t>), mas as demandas da guerra fizeram com que Davi e Salomão importassem cavalos do Egito para seus reinos e os criassem. Salomão aumentou muito o número de cavalos no reino judaico e manteve grandes estábulos em várias cidades (</w:t>
      </w:r>
      <w:hyperlink r:id="rId1712">
        <w:r>
          <w:rPr>
            <w:color w:val="0000EE"/>
            <w:u w:val="single"/>
          </w:rPr>
          <w:t>1Rs 10.26</w:t>
        </w:r>
      </w:hyperlink>
      <w:r>
        <w:t>), como os centros de defesa regionais de Megido, Hazor e Gezer (</w:t>
      </w:r>
      <w:hyperlink r:id="rId1713">
        <w:r>
          <w:rPr>
            <w:color w:val="0000EE"/>
            <w:u w:val="single"/>
          </w:rPr>
          <w:t>1Rs 9.15–19</w:t>
        </w:r>
      </w:hyperlink>
      <w:r>
        <w:t xml:space="preserve">). Os cavalos de Acabe são mencionados em </w:t>
      </w:r>
      <w:hyperlink r:id="rId227">
        <w:r>
          <w:rPr>
            <w:color w:val="0000EE"/>
            <w:u w:val="single"/>
          </w:rPr>
          <w:t>1Reis 18.5</w:t>
        </w:r>
      </w:hyperlink>
      <w:r>
        <w:t>, e os registros de Salmaneser III afirmam que Acabe forneceu 2.000 carros para uma coalizão contra a Assíria.</w:t>
      </w:r>
    </w:p>
    <w:p>
      <w:r/>
      <w:r>
        <w:t>No início de Israel, o cavalo era resistido como um símbolo de luxo pagão e de dependência do poder físico para defesa (</w:t>
      </w:r>
      <w:hyperlink r:id="rId1714">
        <w:r>
          <w:rPr>
            <w:color w:val="0000EE"/>
            <w:u w:val="single"/>
          </w:rPr>
          <w:t>Dt 17.16</w:t>
        </w:r>
      </w:hyperlink>
      <w:r>
        <w:t xml:space="preserve">; </w:t>
      </w:r>
      <w:hyperlink r:id="rId1715">
        <w:r>
          <w:rPr>
            <w:color w:val="0000EE"/>
            <w:u w:val="single"/>
          </w:rPr>
          <w:t>1Sm 8.11</w:t>
        </w:r>
      </w:hyperlink>
      <w:r>
        <w:t xml:space="preserve">; </w:t>
      </w:r>
      <w:hyperlink r:id="rId1716">
        <w:r>
          <w:rPr>
            <w:color w:val="0000EE"/>
            <w:u w:val="single"/>
          </w:rPr>
          <w:t>Sl 20.7</w:t>
        </w:r>
      </w:hyperlink>
      <w:r>
        <w:t xml:space="preserve">; </w:t>
      </w:r>
      <w:hyperlink r:id="rId1717">
        <w:r>
          <w:rPr>
            <w:color w:val="0000EE"/>
            <w:u w:val="single"/>
          </w:rPr>
          <w:t>Is 31.1</w:t>
        </w:r>
      </w:hyperlink>
      <w:r>
        <w:t xml:space="preserve">). O comércio de cavalos, mencionado já em </w:t>
      </w:r>
      <w:hyperlink r:id="rId1718">
        <w:r>
          <w:rPr>
            <w:color w:val="0000EE"/>
            <w:u w:val="single"/>
          </w:rPr>
          <w:t>Gênesis 47.17</w:t>
        </w:r>
      </w:hyperlink>
      <w:r>
        <w:t>, era realizado por Salomão entre o Egito e os principados siro-hittitas (</w:t>
      </w:r>
      <w:hyperlink r:id="rId1719">
        <w:r>
          <w:rPr>
            <w:color w:val="0000EE"/>
            <w:u w:val="single"/>
          </w:rPr>
          <w:t>1Rs 10.28–29</w:t>
        </w:r>
      </w:hyperlink>
      <w:r>
        <w:t>). A maioria das referências bíblicas a cavalos se refere ao seu uso na guerra, mas os cavalos também eram usados para transporte. Cavalgar parece ter sido menos popular do que o uso de carros. As unidades de cavalaria não foram introduzidas até o século 12 a.C. pelos medos. José cavalgou na segunda carruagem puxada por cavalos de Faraó (</w:t>
      </w:r>
      <w:hyperlink r:id="rId669">
        <w:r>
          <w:rPr>
            <w:color w:val="0000EE"/>
            <w:u w:val="single"/>
          </w:rPr>
          <w:t>Gn 41.43</w:t>
        </w:r>
      </w:hyperlink>
      <w:r>
        <w:t>), e Absalão fez uma exibição montando uma carruagem puxada por cavalos (</w:t>
      </w:r>
      <w:hyperlink r:id="rId1720">
        <w:r>
          <w:rPr>
            <w:color w:val="0000EE"/>
            <w:u w:val="single"/>
          </w:rPr>
          <w:t>2Sm 15.1</w:t>
        </w:r>
      </w:hyperlink>
      <w:r>
        <w:t>). Naamã viajou de cavalo e em carrugagem (</w:t>
      </w:r>
      <w:hyperlink r:id="rId1721">
        <w:r>
          <w:rPr>
            <w:color w:val="0000EE"/>
            <w:u w:val="single"/>
          </w:rPr>
          <w:t>2Rs 5.9</w:t>
        </w:r>
      </w:hyperlink>
      <w:r>
        <w:t>). Mais tarde, os cavalos eram tão comuns em Jerusalém que o palácio real tinha um portão especial para cavalos (</w:t>
      </w:r>
      <w:hyperlink r:id="rId1722">
        <w:r>
          <w:rPr>
            <w:color w:val="0000EE"/>
            <w:u w:val="single"/>
          </w:rPr>
          <w:t>2Cr 23.15</w:t>
        </w:r>
      </w:hyperlink>
      <w:r>
        <w:t>), e um portão da própria cidade era conhecido como Portão do Cavalo (</w:t>
      </w:r>
      <w:hyperlink r:id="rId1723">
        <w:r>
          <w:rPr>
            <w:color w:val="0000EE"/>
            <w:u w:val="single"/>
          </w:rPr>
          <w:t>Ne 3.28</w:t>
        </w:r>
      </w:hyperlink>
      <w:r>
        <w:t xml:space="preserve">; </w:t>
      </w:r>
      <w:hyperlink r:id="rId1724">
        <w:r>
          <w:rPr>
            <w:color w:val="0000EE"/>
            <w:u w:val="single"/>
          </w:rPr>
          <w:t>Jr 31.40</w:t>
        </w:r>
      </w:hyperlink>
      <w:r>
        <w:t>). Mordecai montou um cavalo real do rei Xerxes como um sinal de honra (</w:t>
      </w:r>
      <w:hyperlink r:id="rId1725">
        <w:r>
          <w:rPr>
            <w:color w:val="0000EE"/>
            <w:u w:val="single"/>
          </w:rPr>
          <w:t>Et 6.8–11</w:t>
        </w:r>
      </w:hyperlink>
      <w:r>
        <w:t>). Os cavalos são frequentemente mencionados figurativamente (</w:t>
      </w:r>
      <w:hyperlink r:id="rId1726">
        <w:r>
          <w:rPr>
            <w:color w:val="0000EE"/>
            <w:u w:val="single"/>
          </w:rPr>
          <w:t>Sl 32.9</w:t>
        </w:r>
      </w:hyperlink>
      <w:r>
        <w:t xml:space="preserve">; “égua”, </w:t>
      </w:r>
      <w:hyperlink r:id="rId1727">
        <w:r>
          <w:rPr>
            <w:color w:val="0000EE"/>
            <w:u w:val="single"/>
          </w:rPr>
          <w:t>Ct 1.9</w:t>
        </w:r>
      </w:hyperlink>
      <w:r>
        <w:t xml:space="preserve">; “garanhões”, </w:t>
      </w:r>
      <w:hyperlink r:id="rId1728">
        <w:r>
          <w:rPr>
            <w:color w:val="0000EE"/>
            <w:u w:val="single"/>
          </w:rPr>
          <w:t>Jr 5.8</w:t>
        </w:r>
      </w:hyperlink>
      <w:r>
        <w:t xml:space="preserve">; </w:t>
      </w:r>
      <w:hyperlink r:id="rId1729">
        <w:r>
          <w:rPr>
            <w:color w:val="0000EE"/>
            <w:u w:val="single"/>
          </w:rPr>
          <w:t>12.5</w:t>
        </w:r>
      </w:hyperlink>
      <w:r>
        <w:t>), especialmente no contexto do julgamento (</w:t>
      </w:r>
      <w:hyperlink r:id="rId1730">
        <w:r>
          <w:rPr>
            <w:color w:val="0000EE"/>
            <w:u w:val="single"/>
          </w:rPr>
          <w:t>Hb 3.8</w:t>
        </w:r>
      </w:hyperlink>
      <w:r>
        <w:t xml:space="preserve">; </w:t>
      </w:r>
      <w:hyperlink r:id="rId1731">
        <w:r>
          <w:rPr>
            <w:color w:val="0000EE"/>
            <w:u w:val="single"/>
          </w:rPr>
          <w:t>Zc 1.8</w:t>
        </w:r>
      </w:hyperlink>
      <w:r>
        <w:t xml:space="preserve">; </w:t>
      </w:r>
      <w:hyperlink r:id="rId1732">
        <w:r>
          <w:rPr>
            <w:color w:val="0000EE"/>
            <w:u w:val="single"/>
          </w:rPr>
          <w:t>6.1–8</w:t>
        </w:r>
      </w:hyperlink>
      <w:r>
        <w:t xml:space="preserve">; </w:t>
      </w:r>
      <w:hyperlink r:id="rId1733">
        <w:r>
          <w:rPr>
            <w:color w:val="0000EE"/>
            <w:u w:val="single"/>
          </w:rPr>
          <w:t>Ap 6.2–8</w:t>
        </w:r>
      </w:hyperlink>
      <w:r>
        <w:t xml:space="preserve">; </w:t>
      </w:r>
      <w:hyperlink r:id="rId1734">
        <w:r>
          <w:rPr>
            <w:color w:val="0000EE"/>
            <w:u w:val="single"/>
          </w:rPr>
          <w:t>9.17</w:t>
        </w:r>
      </w:hyperlink>
      <w:r>
        <w:t xml:space="preserve">; </w:t>
      </w:r>
      <w:hyperlink r:id="rId1735">
        <w:r>
          <w:rPr>
            <w:color w:val="0000EE"/>
            <w:u w:val="single"/>
          </w:rPr>
          <w:t>19.11–16</w:t>
        </w:r>
      </w:hyperlink>
      <w:r>
        <w:t>).</w:t>
      </w:r>
    </w:p>
    <w:p>
      <w:r/>
      <w:r>
        <w:rPr>
          <w:i/>
        </w:rPr>
        <w:t>Ver também</w:t>
      </w:r>
      <w:r>
        <w:t xml:space="preserve"> </w:t>
      </w:r>
      <w:r>
        <w:t>Guerra</w:t>
      </w:r>
      <w:r>
        <w:t xml:space="preserve">; </w:t>
      </w:r>
      <w:r>
        <w:t>Viagens</w:t>
      </w:r>
      <w:r>
        <w:t>.</w:t>
      </w:r>
    </w:p>
    <w:p>
      <w:pPr>
        <w:pStyle w:val="Heading3"/>
      </w:pPr>
      <w:r>
        <w:t>Hiena</w:t>
      </w:r>
    </w:p>
    <w:p>
      <w:r/>
      <w:r>
        <w:t xml:space="preserve">Carnívoro robusto </w:t>
      </w:r>
      <w:r>
        <w:rPr>
          <w:i/>
        </w:rPr>
        <w:t>(Hyaena hyaena)</w:t>
      </w:r>
      <w:r>
        <w:t xml:space="preserve"> com cabelo grosso, uma juba ereta e cabelos longos ao longo do pescoço e das costas. As hienas vivem em buracos entre rochas e bancos. Eles são principalmente noturnos, mas geralmente não são barulhentos nem agressivos. Seu grito, no entanto, é um som desagradável e muito incomum. As hienas geralmente se alimentam de carniça, esmagando ossos com suas poderosas mandíbulas. Se o fornecimento de carniça for insuficiente, matarão ovelhas, cabras ou outros pequenos animais. Quando ameaçadas, as hienas rosnam e erguem a crina, mas raramente lutam. Eles são maciçamente construídos com patas dianteiras mais longas que as traseiras.</w:t>
      </w:r>
    </w:p>
    <w:p>
      <w:r/>
      <w:r>
        <w:t>Conhecidas como necrófagas na África, as hienas comem lixo doméstico nas aldeias. Na Palestina, a hiena-listrada é um predador comum, preferindo território rochoso e até mesmo túmulos de pedra. Visto que as hienas eram famosas por atacar os túmulos dos mortos, todos os israelitas que podiam pagar por isso providenciavam o enterro em túmulos protegidos por enormes portas de pedra. Absalão, o filho do rei Davi que foi morto por Joabe na natureza, foi enterrado sob uma enorme pilha de pedras para proteger seu corpo da molestação de hienas (</w:t>
      </w:r>
      <w:hyperlink r:id="rId1736">
        <w:r>
          <w:rPr>
            <w:color w:val="0000EE"/>
            <w:u w:val="single"/>
          </w:rPr>
          <w:t>2Sm 18.17</w:t>
        </w:r>
      </w:hyperlink>
      <w:r>
        <w:t>).</w:t>
      </w:r>
    </w:p>
    <w:p>
      <w:pPr>
        <w:pStyle w:val="Heading3"/>
      </w:pPr>
      <w:r>
        <w:t>Chacal</w:t>
      </w:r>
    </w:p>
    <w:p>
      <w:r/>
      <w:r>
        <w:t xml:space="preserve">Carnívoro </w:t>
      </w:r>
      <w:r>
        <w:rPr>
          <w:i/>
        </w:rPr>
        <w:t>(Canis aureus)</w:t>
      </w:r>
      <w:r>
        <w:t xml:space="preserve"> menor do que o verdadeiro lobo e com uma cauda menor. É semelhante à raposa, mas tem uma cabeça mais ampla, orelhas mais pequenas e pernas mais longas. A raposa é solitária; o chacal tende a ser gregário. Sua cauda pode estar caída ou ereta, em comparação com a longa cauda horizontal da raposa. Os chacais geralmente roncam à noite, isoladamente, em pares, ou em grupos através do campo aberto da savana. Eles comem pequenos mamíferos, aves, frutas, vegetais e carniça. Eles passam seus dias em matas e aglomerados de vegetação. Muitas vezes eles obtêm restos de mortes por carnívoros maiores. Os chacais podem correr a velocidades de cerca de 53 quilômetros por hora.</w:t>
      </w:r>
    </w:p>
    <w:p>
      <w:r/>
      <w:r>
        <w:t>O chacal pode atingir uma altura de cerca de 51 centímetros, aproximadamente do tamanho de um cão pastor alemão. Suas costas são amarelas pálidas, com flancos quase pretos. Seus lábios são escuros e suas orelhas brancas por dentro. O uivo do chacal soa como o choro de uma criança ou o lamento emocionante dos enlutados (</w:t>
      </w:r>
      <w:hyperlink r:id="rId1737">
        <w:r>
          <w:rPr>
            <w:color w:val="0000EE"/>
            <w:u w:val="single"/>
          </w:rPr>
          <w:t>Mq 1.8</w:t>
        </w:r>
      </w:hyperlink>
      <w:r>
        <w:t xml:space="preserve">; cf. </w:t>
      </w:r>
      <w:hyperlink r:id="rId1738">
        <w:r>
          <w:rPr>
            <w:color w:val="0000EE"/>
            <w:u w:val="single"/>
          </w:rPr>
          <w:t>Jó 30.29</w:t>
        </w:r>
      </w:hyperlink>
      <w:r>
        <w:t>). Para outros chacais, o uivo é meramente um convite que chama a alcateia para sua caça noturna.</w:t>
      </w:r>
    </w:p>
    <w:p>
      <w:r/>
      <w:r>
        <w:t>As referências do AT são principalmente aos chacais rondando em torno de cidades arruinadas e áreas selvagens (</w:t>
      </w:r>
      <w:hyperlink r:id="rId1739">
        <w:r>
          <w:rPr>
            <w:color w:val="0000EE"/>
            <w:u w:val="single"/>
          </w:rPr>
          <w:t>Ne 2.13</w:t>
        </w:r>
      </w:hyperlink>
      <w:r>
        <w:t xml:space="preserve">; </w:t>
      </w:r>
      <w:hyperlink r:id="rId1633">
        <w:r>
          <w:rPr>
            <w:color w:val="0000EE"/>
            <w:u w:val="single"/>
          </w:rPr>
          <w:t>Sl 44.19</w:t>
        </w:r>
      </w:hyperlink>
      <w:r>
        <w:t xml:space="preserve">; </w:t>
      </w:r>
      <w:hyperlink r:id="rId1634">
        <w:r>
          <w:rPr>
            <w:color w:val="0000EE"/>
            <w:u w:val="single"/>
          </w:rPr>
          <w:t>Is 13.22</w:t>
        </w:r>
      </w:hyperlink>
      <w:r>
        <w:t xml:space="preserve">; </w:t>
      </w:r>
      <w:hyperlink r:id="rId1740">
        <w:r>
          <w:rPr>
            <w:color w:val="0000EE"/>
            <w:u w:val="single"/>
          </w:rPr>
          <w:t>34.13</w:t>
        </w:r>
      </w:hyperlink>
      <w:r>
        <w:t xml:space="preserve">; </w:t>
      </w:r>
      <w:hyperlink r:id="rId1741">
        <w:r>
          <w:rPr>
            <w:color w:val="0000EE"/>
            <w:u w:val="single"/>
          </w:rPr>
          <w:t>35.7</w:t>
        </w:r>
      </w:hyperlink>
      <w:r>
        <w:t xml:space="preserve">; </w:t>
      </w:r>
      <w:hyperlink r:id="rId1635">
        <w:r>
          <w:rPr>
            <w:color w:val="0000EE"/>
            <w:u w:val="single"/>
          </w:rPr>
          <w:t>Jr 9.11</w:t>
        </w:r>
      </w:hyperlink>
      <w:r>
        <w:t xml:space="preserve">; </w:t>
      </w:r>
      <w:hyperlink r:id="rId1632">
        <w:r>
          <w:rPr>
            <w:color w:val="0000EE"/>
            <w:u w:val="single"/>
          </w:rPr>
          <w:t>14.6</w:t>
        </w:r>
      </w:hyperlink>
      <w:r>
        <w:t xml:space="preserve">; </w:t>
      </w:r>
      <w:hyperlink r:id="rId1742">
        <w:r>
          <w:rPr>
            <w:color w:val="0000EE"/>
            <w:u w:val="single"/>
          </w:rPr>
          <w:t>49.33</w:t>
        </w:r>
      </w:hyperlink>
      <w:r>
        <w:t xml:space="preserve">; </w:t>
      </w:r>
      <w:hyperlink r:id="rId1743">
        <w:r>
          <w:rPr>
            <w:color w:val="0000EE"/>
            <w:u w:val="single"/>
          </w:rPr>
          <w:t>51.37</w:t>
        </w:r>
      </w:hyperlink>
      <w:r>
        <w:t xml:space="preserve">; </w:t>
      </w:r>
      <w:hyperlink r:id="rId1744">
        <w:r>
          <w:rPr>
            <w:color w:val="0000EE"/>
            <w:u w:val="single"/>
          </w:rPr>
          <w:t>Lm 4.3</w:t>
        </w:r>
      </w:hyperlink>
      <w:r>
        <w:t xml:space="preserve">; </w:t>
      </w:r>
      <w:hyperlink r:id="rId1678">
        <w:r>
          <w:rPr>
            <w:color w:val="0000EE"/>
            <w:u w:val="single"/>
          </w:rPr>
          <w:t>5.18</w:t>
        </w:r>
      </w:hyperlink>
      <w:r>
        <w:t xml:space="preserve">; </w:t>
      </w:r>
      <w:hyperlink r:id="rId1636">
        <w:r>
          <w:rPr>
            <w:color w:val="0000EE"/>
            <w:u w:val="single"/>
          </w:rPr>
          <w:t>Ml 1.3</w:t>
        </w:r>
      </w:hyperlink>
      <w:r>
        <w:t>). Muitas dessas referências são traduzidas como “dragão” na KJV em inglês [aparentemente atualizado para chacal na KJV em português - N. do T.], mas “chacal” é mais apropriado.</w:t>
      </w:r>
    </w:p>
    <w:p>
      <w:pPr>
        <w:pStyle w:val="Heading3"/>
      </w:pPr>
      <w:r>
        <w:t>Sanguessuga</w:t>
      </w:r>
    </w:p>
    <w:p>
      <w:r/>
      <w:r>
        <w:t>Verme segmentado (classe Hirundinea) de até 12,7 centímetros de comprimento e corpo plano equipado com ventosas em cada extremidade. A boca, localizada na parte inferior da almofada de sucção frontal, tem três dentes que a sanguessuga usa para perfurar a pele de seu hospedeiro. A sanguessuga se alimenta de sangue, e suas glândulas secretam um anticoagulante para impedir que o sangue coagule. A sanguessuga medicinal comum (Hirudo medicinalis) é abundante em fontes e lagoas do deserto do Negev até a Galileia. Adere aos corpos de seres humanos e animais que submergem na água, injeta seu anticoagulante e sufoca seu sangue.</w:t>
      </w:r>
    </w:p>
    <w:p>
      <w:r/>
      <w:r>
        <w:t xml:space="preserve">A referência em </w:t>
      </w:r>
      <w:hyperlink r:id="rId1745">
        <w:r>
          <w:rPr>
            <w:color w:val="0000EE"/>
            <w:u w:val="single"/>
          </w:rPr>
          <w:t>Provérbios 30.15</w:t>
        </w:r>
      </w:hyperlink>
      <w:r>
        <w:t xml:space="preserve"> é incerta (veja NTLH), mas pode ser devido à natureza parasitária e gananciosa da sanguessuga-cavalo (gênero </w:t>
      </w:r>
      <w:r>
        <w:rPr>
          <w:i/>
        </w:rPr>
        <w:t>Haemopis</w:t>
      </w:r>
      <w:r>
        <w:t>). A pequena sanguessuga-cavalo, entra na boca e nas narinas do seu hospedeiro pela água, enquanto o animal está bebendo. Uma sanguessuga pesando 14,2 gramas) é conhecida por se devorar com 71 gramas de sangue concentrado e depois sobreviver por 15 meses sem mais comida.</w:t>
      </w:r>
    </w:p>
    <w:p>
      <w:pPr>
        <w:pStyle w:val="Heading3"/>
      </w:pPr>
      <w:r>
        <w:t>Leopardo</w:t>
      </w:r>
    </w:p>
    <w:p>
      <w:r/>
      <w:r>
        <w:t xml:space="preserve">Chamado </w:t>
      </w:r>
      <w:r>
        <w:rPr>
          <w:i/>
        </w:rPr>
        <w:t>Panthera pardus tulliana,</w:t>
      </w:r>
      <w:r>
        <w:t xml:space="preserve"> é o mais difundido de todos os grandes gatos selvagens. Em áreas rochosas, vive em cavernas, mas em regiões florestais vive em vegetação cerrada. Nos tempos do AT, muitos viviam nas proximidades de Mt Hermon (</w:t>
      </w:r>
      <w:hyperlink r:id="rId1746">
        <w:r>
          <w:rPr>
            <w:color w:val="0000EE"/>
            <w:u w:val="single"/>
          </w:rPr>
          <w:t>Ct 4.8</w:t>
        </w:r>
      </w:hyperlink>
      <w:r>
        <w:t>).</w:t>
      </w:r>
    </w:p>
    <w:p>
      <w:r/>
      <w:r>
        <w:t>O leopardo é um pouco menor do que o tigre, medindo até 1,5 metros de comprimento com uma cauda de cerca de 0,8 metros. Seu corpo é mais bem-proporcionado do que o do tigre. O leopardo toma sua vítima de surpresa de uma emboscada silenciosa, muitas vezes se escondendo perto de aldeias ou lugares regando e esperando por sua presa, permanecendo em um local por longos períodos de tempo. O leopardo é rápido no chão (</w:t>
      </w:r>
      <w:hyperlink r:id="rId1747">
        <w:r>
          <w:rPr>
            <w:color w:val="0000EE"/>
            <w:u w:val="single"/>
          </w:rPr>
          <w:t>Hb 1.8</w:t>
        </w:r>
      </w:hyperlink>
      <w:r>
        <w:t>), ágil nas árvores e muito gracioso em seus movimentos. Sua cor é amarelada salpicada de manchas pretas (</w:t>
      </w:r>
      <w:hyperlink r:id="rId1748">
        <w:r>
          <w:rPr>
            <w:color w:val="0000EE"/>
            <w:u w:val="single"/>
          </w:rPr>
          <w:t>Jr 13.23</w:t>
        </w:r>
      </w:hyperlink>
      <w:r>
        <w:t>). Daniel e João tiveram visões nas quais os leopardos eram símbolos das potências mundiais (</w:t>
      </w:r>
      <w:hyperlink r:id="rId1749">
        <w:r>
          <w:rPr>
            <w:color w:val="0000EE"/>
            <w:u w:val="single"/>
          </w:rPr>
          <w:t>Dn 7.6</w:t>
        </w:r>
      </w:hyperlink>
      <w:r>
        <w:t xml:space="preserve">; </w:t>
      </w:r>
      <w:hyperlink r:id="rId1647">
        <w:r>
          <w:rPr>
            <w:color w:val="0000EE"/>
            <w:u w:val="single"/>
          </w:rPr>
          <w:t>Ap 13.2</w:t>
        </w:r>
      </w:hyperlink>
      <w:r>
        <w:t>).</w:t>
      </w:r>
    </w:p>
    <w:p>
      <w:r/>
      <w:r>
        <w:t>O leopardo é um animal cauteloso e astuto, formidável e feroz (</w:t>
      </w:r>
      <w:hyperlink r:id="rId1750">
        <w:r>
          <w:rPr>
            <w:color w:val="0000EE"/>
            <w:u w:val="single"/>
          </w:rPr>
          <w:t>Jr 5.6</w:t>
        </w:r>
      </w:hyperlink>
      <w:r>
        <w:t xml:space="preserve">; </w:t>
      </w:r>
      <w:hyperlink r:id="rId1751">
        <w:r>
          <w:rPr>
            <w:color w:val="0000EE"/>
            <w:u w:val="single"/>
          </w:rPr>
          <w:t>Os 13.7</w:t>
        </w:r>
      </w:hyperlink>
      <w:r>
        <w:t xml:space="preserve">; cf. </w:t>
      </w:r>
      <w:hyperlink r:id="rId1545">
        <w:r>
          <w:rPr>
            <w:color w:val="0000EE"/>
            <w:u w:val="single"/>
          </w:rPr>
          <w:t>Is 11.6</w:t>
        </w:r>
      </w:hyperlink>
      <w:r>
        <w:t>). O leopardo é perigoso não apenas para os animais domésticos, mas também para os seres humanos. Com sua camuflagem natural, pode se esconder no chão da floresta, misturando-se com a luz e as sombras em mudança. Os israelitas estavam aterrorizados com o leopardo porque ele constantemente devastava suas ovelhas e cabras. Vários nomes de lugares bíblicos sugerem que eles eram conhecidos pelos leopardos em suas proximidades: Ninra, Bete-Ninra e Ninrim, um distrito a nordeste do Mar Morto. Sobreviveu na Terra Santa até o presente século; alguns leopardos ainda existem em áreas remotas perto do Monte Tabor e do Monte Carmelo.</w:t>
      </w:r>
    </w:p>
    <w:p>
      <w:pPr>
        <w:pStyle w:val="Heading3"/>
      </w:pPr>
      <w:r>
        <w:t>Leviatã</w:t>
      </w:r>
    </w:p>
    <w:p>
      <w:r/>
      <w:r>
        <w:t>Monstro marinho mencionado várias vezes na Bíblia (</w:t>
      </w:r>
      <w:hyperlink r:id="rId1752">
        <w:r>
          <w:rPr>
            <w:color w:val="0000EE"/>
            <w:u w:val="single"/>
          </w:rPr>
          <w:t>Sl 74.14</w:t>
        </w:r>
      </w:hyperlink>
      <w:r>
        <w:t xml:space="preserve">; </w:t>
      </w:r>
      <w:hyperlink r:id="rId1753">
        <w:r>
          <w:rPr>
            <w:color w:val="0000EE"/>
            <w:u w:val="single"/>
          </w:rPr>
          <w:t>104.26</w:t>
        </w:r>
      </w:hyperlink>
      <w:r>
        <w:t xml:space="preserve">; </w:t>
      </w:r>
      <w:hyperlink r:id="rId1642">
        <w:r>
          <w:rPr>
            <w:color w:val="0000EE"/>
            <w:u w:val="single"/>
          </w:rPr>
          <w:t>Is 27.1</w:t>
        </w:r>
      </w:hyperlink>
      <w:r>
        <w:t>, NTLH). Pode se referir a qualquer um dos animais marinhos maiores, como grandes águas-vivas, baleias ou tubarões, ou a um grande réptil como o crocodilo. Alguns estudiosos pensam que “Leviatã” pode se referir a animais agora extintos, como os ictiossauros e plesiossauros (répteis marinhos semelhantes aos dinossauros). O termo escritural também pode se referir a certos dinossauros que passaram parte de suas vidas meio submersos em lagos e oceanos rasos. Outros estudiosos acreditam que a maioria das referências é ao crocodilo.</w:t>
      </w:r>
    </w:p>
    <w:p>
      <w:r/>
      <w:r>
        <w:rPr>
          <w:i/>
        </w:rPr>
        <w:t>Ver também</w:t>
      </w:r>
      <w:r>
        <w:t xml:space="preserve"> Crocodilo (acima).</w:t>
      </w:r>
    </w:p>
    <w:p>
      <w:pPr>
        <w:pStyle w:val="Heading3"/>
      </w:pPr>
      <w:r>
        <w:t>Leão</w:t>
      </w:r>
    </w:p>
    <w:p>
      <w:r/>
      <w:r>
        <w:t xml:space="preserve">Grande carnívoro de cor parda </w:t>
      </w:r>
      <w:r>
        <w:rPr>
          <w:i/>
        </w:rPr>
        <w:t>(Panthera leo)</w:t>
      </w:r>
      <w:r>
        <w:t xml:space="preserve"> que ataca principalmente os mamíferos de casco e carrega por uma série de saltos e barrancos. Dentro dos tempos históricos, o leão estava na África, na Europa e na Terra Santa. Nos tempos antigos, os territórios dos leões africanos e persas se encontravam no Oriente Médio. O leão da Terra Santa era o leão asiático ou persa </w:t>
      </w:r>
      <w:r>
        <w:rPr>
          <w:i/>
        </w:rPr>
        <w:t>(Panthera leo persica).</w:t>
      </w:r>
    </w:p>
    <w:p>
      <w:r/>
      <w:r>
        <w:t>Os machos têm jubas pesadas que param nos ombros, mas cobrem grande parte do peito. O leão persa não pode escalar e é principalmente noturno, voltando para seu covil ou um bosque durante o dia (</w:t>
      </w:r>
      <w:hyperlink r:id="rId1754">
        <w:r>
          <w:rPr>
            <w:color w:val="0000EE"/>
            <w:u w:val="single"/>
          </w:rPr>
          <w:t>Jr 4.7</w:t>
        </w:r>
      </w:hyperlink>
      <w:r>
        <w:t xml:space="preserve">; </w:t>
      </w:r>
      <w:hyperlink r:id="rId1755">
        <w:r>
          <w:rPr>
            <w:color w:val="0000EE"/>
            <w:u w:val="single"/>
          </w:rPr>
          <w:t>25.38</w:t>
        </w:r>
      </w:hyperlink>
      <w:r>
        <w:t xml:space="preserve">; </w:t>
      </w:r>
      <w:hyperlink r:id="rId1756">
        <w:r>
          <w:rPr>
            <w:color w:val="0000EE"/>
            <w:u w:val="single"/>
          </w:rPr>
          <w:t>Na 2.11–12</w:t>
        </w:r>
      </w:hyperlink>
      <w:r>
        <w:t>). Este leão tem cerca de 1,5 metros de comprimento com uma cauda de mais ou menos 0,8 metros que tem uma pelagem maior e mais aberta na ponta; seus ombros podem atingir uma altura de 0,9 metros. É uma das menores raças de leão.</w:t>
      </w:r>
    </w:p>
    <w:p>
      <w:r/>
      <w:r>
        <w:t>Os leões geralmente são encontrados em pares, embora às vezes em números maiores. Um pequeno grupo é conhecido como alcatéia (ou simplesmente, bando). Eles geralmente preferem campos aberto, mas na Palestina evidentemente rondavam a vegetação subtropical do vale do rio Jordão. Os leões, que geralmente caçam ao entardecer, matam animais menores por um golpe de pata, os maiores por uma mordida na garganta. Um leão não permanece no mesmo lugar por mais de alguns dias. O animal está em seu auge com cerca de sete anos de idade, quando pesa de 180 a 272 quilos.</w:t>
      </w:r>
    </w:p>
    <w:p>
      <w:r/>
      <w:r>
        <w:t>O leão não ataca caracteristicamente os humanos, embora, como outros grandes gatos, possa se tornar um comedor de homens (</w:t>
      </w:r>
      <w:hyperlink r:id="rId1757">
        <w:r>
          <w:rPr>
            <w:color w:val="0000EE"/>
            <w:u w:val="single"/>
          </w:rPr>
          <w:t>1Rs 13.24–28</w:t>
        </w:r>
      </w:hyperlink>
      <w:r>
        <w:t xml:space="preserve">; </w:t>
      </w:r>
      <w:hyperlink r:id="rId1758">
        <w:r>
          <w:rPr>
            <w:color w:val="0000EE"/>
            <w:u w:val="single"/>
          </w:rPr>
          <w:t>20.36</w:t>
        </w:r>
      </w:hyperlink>
      <w:r>
        <w:t xml:space="preserve">; </w:t>
      </w:r>
      <w:hyperlink r:id="rId1759">
        <w:r>
          <w:rPr>
            <w:color w:val="0000EE"/>
            <w:u w:val="single"/>
          </w:rPr>
          <w:t>2Rs 17.25–26</w:t>
        </w:r>
      </w:hyperlink>
      <w:r>
        <w:t xml:space="preserve">; </w:t>
      </w:r>
      <w:hyperlink r:id="rId1760">
        <w:r>
          <w:rPr>
            <w:color w:val="0000EE"/>
            <w:u w:val="single"/>
          </w:rPr>
          <w:t>Sl 57.4</w:t>
        </w:r>
      </w:hyperlink>
      <w:r>
        <w:t xml:space="preserve">; </w:t>
      </w:r>
      <w:hyperlink r:id="rId1761">
        <w:r>
          <w:rPr>
            <w:color w:val="0000EE"/>
            <w:u w:val="single"/>
          </w:rPr>
          <w:t>Dn 6.7–27</w:t>
        </w:r>
      </w:hyperlink>
      <w:r>
        <w:t>). Normalmente, ataca apenas por grande fome ou em autodefesa. Um leão muito jovem que ataca seres humanos pode se tornar perigoso se desenvolver um gosto pela carne humana. Um leão muito velho, expulso do bando porque não pode mais acompanhar a busca de antílope ou gazelas, pode escolher os seres humanos como uma presa relativamente lenta.</w:t>
      </w:r>
    </w:p>
    <w:p>
      <w:r/>
      <w:r>
        <w:t>Um leão geralmente ruge apenas de estômago cheio — isto é, depois de ter consumido sua presa (</w:t>
      </w:r>
      <w:hyperlink r:id="rId1762">
        <w:r>
          <w:rPr>
            <w:color w:val="0000EE"/>
            <w:u w:val="single"/>
          </w:rPr>
          <w:t>Sl 22.13</w:t>
        </w:r>
      </w:hyperlink>
      <w:r>
        <w:t xml:space="preserve">; </w:t>
      </w:r>
      <w:hyperlink r:id="rId1763">
        <w:r>
          <w:rPr>
            <w:color w:val="0000EE"/>
            <w:u w:val="single"/>
          </w:rPr>
          <w:t>Ez 22.25</w:t>
        </w:r>
      </w:hyperlink>
      <w:r>
        <w:t xml:space="preserve">; </w:t>
      </w:r>
      <w:hyperlink r:id="rId1764">
        <w:r>
          <w:rPr>
            <w:color w:val="0000EE"/>
            <w:u w:val="single"/>
          </w:rPr>
          <w:t>Am 3.4</w:t>
        </w:r>
      </w:hyperlink>
      <w:r>
        <w:t>). No entanto, seu rugido desperta medo (</w:t>
      </w:r>
      <w:hyperlink r:id="rId1765">
        <w:r>
          <w:rPr>
            <w:color w:val="0000EE"/>
            <w:u w:val="single"/>
          </w:rPr>
          <w:t>Am 3.8</w:t>
        </w:r>
      </w:hyperlink>
      <w:r>
        <w:t xml:space="preserve">; </w:t>
      </w:r>
      <w:hyperlink r:id="rId1766">
        <w:r>
          <w:rPr>
            <w:color w:val="0000EE"/>
            <w:u w:val="single"/>
          </w:rPr>
          <w:t>1Pe 5.8</w:t>
        </w:r>
      </w:hyperlink>
      <w:r>
        <w:t>). O leão é ousado (</w:t>
      </w:r>
      <w:hyperlink r:id="rId1767">
        <w:r>
          <w:rPr>
            <w:color w:val="0000EE"/>
            <w:u w:val="single"/>
          </w:rPr>
          <w:t>2Sm 17.10</w:t>
        </w:r>
      </w:hyperlink>
      <w:r>
        <w:t xml:space="preserve">; </w:t>
      </w:r>
      <w:hyperlink r:id="rId1768">
        <w:r>
          <w:rPr>
            <w:color w:val="0000EE"/>
            <w:u w:val="single"/>
          </w:rPr>
          <w:t>Pv 28.1</w:t>
        </w:r>
      </w:hyperlink>
      <w:r>
        <w:t>), um animal destrutivo (</w:t>
      </w:r>
      <w:hyperlink r:id="rId1769">
        <w:r>
          <w:rPr>
            <w:color w:val="0000EE"/>
            <w:u w:val="single"/>
          </w:rPr>
          <w:t>Sl 7.2</w:t>
        </w:r>
      </w:hyperlink>
      <w:r>
        <w:t xml:space="preserve">; </w:t>
      </w:r>
      <w:hyperlink r:id="rId1770">
        <w:r>
          <w:rPr>
            <w:color w:val="0000EE"/>
            <w:u w:val="single"/>
          </w:rPr>
          <w:t>Jr 2.30</w:t>
        </w:r>
      </w:hyperlink>
      <w:r>
        <w:t xml:space="preserve">; </w:t>
      </w:r>
      <w:hyperlink r:id="rId1771">
        <w:r>
          <w:rPr>
            <w:color w:val="0000EE"/>
            <w:u w:val="single"/>
          </w:rPr>
          <w:t>Os 5.14</w:t>
        </w:r>
      </w:hyperlink>
      <w:r>
        <w:t xml:space="preserve">; </w:t>
      </w:r>
      <w:hyperlink r:id="rId1772">
        <w:r>
          <w:rPr>
            <w:color w:val="0000EE"/>
            <w:u w:val="single"/>
          </w:rPr>
          <w:t>Mq 5.8</w:t>
        </w:r>
      </w:hyperlink>
      <w:r>
        <w:t>) e o inimigo dos rebanhos (</w:t>
      </w:r>
      <w:hyperlink r:id="rId1773">
        <w:r>
          <w:rPr>
            <w:color w:val="0000EE"/>
            <w:u w:val="single"/>
          </w:rPr>
          <w:t>Am 3.12</w:t>
        </w:r>
      </w:hyperlink>
      <w:r>
        <w:t>).</w:t>
      </w:r>
    </w:p>
    <w:p>
      <w:r/>
      <w:r>
        <w:t>Os leões eram comuns nos tempos bíblicos em todas as partes da Terra Santa. Hebraico tem pelo menos sete palavras para leão e jovem leão. O leão é referido cerca de 130 vezes no AT — mais do que qualquer outro animal selvagem. Os leões eram, evidentemente, muito menos comuns nos tempos do NT. Depois de declinar gradualmente, eles se extinguiram na Palestina logo após 1300 d.C. O leão estava presente na Mesopotâmia, no entanto, até o final do século 19.</w:t>
      </w:r>
    </w:p>
    <w:p>
      <w:r/>
      <w:r>
        <w:t>Os leões desempenharam um papel importante no simbolismo político e religioso do Oriente Próximo (</w:t>
      </w:r>
      <w:hyperlink r:id="rId1774">
        <w:r>
          <w:rPr>
            <w:color w:val="0000EE"/>
            <w:u w:val="single"/>
          </w:rPr>
          <w:t>1Rs 10.19–20</w:t>
        </w:r>
      </w:hyperlink>
      <w:r>
        <w:t>). Na Assíria e Babilônia, o leão era considerado como uma besta real (</w:t>
      </w:r>
      <w:hyperlink r:id="rId1775">
        <w:r>
          <w:rPr>
            <w:color w:val="0000EE"/>
            <w:u w:val="single"/>
          </w:rPr>
          <w:t>Dn 7.4</w:t>
        </w:r>
      </w:hyperlink>
      <w:r>
        <w:t>). Os monarcas orientais mantinham poços artificiais de leões como lugares de execução (</w:t>
      </w:r>
      <w:hyperlink r:id="rId1776">
        <w:r>
          <w:rPr>
            <w:color w:val="0000EE"/>
            <w:u w:val="single"/>
          </w:rPr>
          <w:t>Ez 19.1–9</w:t>
        </w:r>
      </w:hyperlink>
      <w:r>
        <w:t xml:space="preserve">; </w:t>
      </w:r>
      <w:hyperlink r:id="rId1777">
        <w:r>
          <w:rPr>
            <w:color w:val="0000EE"/>
            <w:u w:val="single"/>
          </w:rPr>
          <w:t>Dn 6.7–16</w:t>
        </w:r>
      </w:hyperlink>
      <w:r>
        <w:t>). Os animais para esses fins eram capturados em redes ou poços camuflados. Para os judeus, o leão era a mais poderosa das feras (</w:t>
      </w:r>
      <w:hyperlink r:id="rId1778">
        <w:r>
          <w:rPr>
            <w:color w:val="0000EE"/>
            <w:u w:val="single"/>
          </w:rPr>
          <w:t>Pv 30.29–31</w:t>
        </w:r>
      </w:hyperlink>
      <w:r>
        <w:t>). Assim, simbolizava a liderança (</w:t>
      </w:r>
      <w:hyperlink r:id="rId1779">
        <w:r>
          <w:rPr>
            <w:color w:val="0000EE"/>
            <w:u w:val="single"/>
          </w:rPr>
          <w:t>Gn 49.9–10</w:t>
        </w:r>
      </w:hyperlink>
      <w:r>
        <w:t xml:space="preserve">; </w:t>
      </w:r>
      <w:hyperlink r:id="rId1780">
        <w:r>
          <w:rPr>
            <w:color w:val="0000EE"/>
            <w:u w:val="single"/>
          </w:rPr>
          <w:t>Nm 24.9</w:t>
        </w:r>
      </w:hyperlink>
      <w:r>
        <w:t>) e, portanto, eventualmente se tornou um título para Cristo (</w:t>
      </w:r>
      <w:hyperlink r:id="rId1781">
        <w:r>
          <w:rPr>
            <w:color w:val="0000EE"/>
            <w:u w:val="single"/>
          </w:rPr>
          <w:t>Ap 5.5</w:t>
        </w:r>
      </w:hyperlink>
      <w:r>
        <w:t>). Também era a insígnia da tribo de Judá e era usada pelo rei Salomão na decoração de sua casa e do templo.</w:t>
      </w:r>
    </w:p>
    <w:p>
      <w:pPr>
        <w:pStyle w:val="Heading3"/>
      </w:pPr>
      <w:r>
        <w:t>Lagarto</w:t>
      </w:r>
    </w:p>
    <w:p>
      <w:r/>
      <w:r>
        <w:t>Répteis da subordem Lacertilia. Sua pele é coberta de escamas. O lagarto é uma criatura útil porque captura insetos e vermes prejudiciais. Como outros répteis, coloca ovos com cascas mais macias do que as de um pássaro e sem divisão clara entre a gema e a clara. Os lagartos são organismos “de sangue-frio” sem um mecanismo de manutenção da temperatura; portanto, eles se tornam inativos no tempo frio.</w:t>
      </w:r>
    </w:p>
    <w:p>
      <w:r/>
      <w:r>
        <w:t>Os lagartos podem sobreviver em campos áridos e secos. No Oriente Próximo, eles são encontrados em grande número no deserto da Arábia, na Península do Sinai e no deserto da Judeia. Pode haver até 44 espécies diferentes de lagartos na Terra Santa.</w:t>
      </w:r>
    </w:p>
    <w:p>
      <w:r/>
      <w:r>
        <w:t xml:space="preserve">O lagarto Dabb (gênero </w:t>
      </w:r>
      <w:r>
        <w:rPr>
          <w:i/>
        </w:rPr>
        <w:t>Uromastyx</w:t>
      </w:r>
      <w:r>
        <w:t>), que atinge um comprimento de cerca de 61 centímetros, é encontrado no Deserto de Negev. É onívoro, uma característica incomum, uma vez que a maioria dos lagartos é insetívoro. Tem uma pele dura e áspera, verde com manchas marrons; uma cabeça pequena e arredondada; e uma poderosa cauda cercada por uma fileira de espinhos fortes que usa como uma arma de defesa.</w:t>
      </w:r>
    </w:p>
    <w:p>
      <w:r/>
      <w:r>
        <w:t>Os lagartos são listados como cerimonialmente impuros na lei judaica (</w:t>
      </w:r>
      <w:hyperlink r:id="rId1679">
        <w:r>
          <w:rPr>
            <w:color w:val="0000EE"/>
            <w:u w:val="single"/>
          </w:rPr>
          <w:t>Lv 11.29–31</w:t>
        </w:r>
      </w:hyperlink>
      <w:r>
        <w:t>). O fato de que lagartos rastejam em suas barrigas tornava eles impuros. O contato com as carcaça de um lagarto contaminava um judeu respeitador da lei (</w:t>
      </w:r>
      <w:hyperlink r:id="rId1782">
        <w:r>
          <w:rPr>
            <w:color w:val="0000EE"/>
            <w:u w:val="single"/>
          </w:rPr>
          <w:t>Lv 11.32–36</w:t>
        </w:r>
      </w:hyperlink>
      <w:r>
        <w:t xml:space="preserve">). A ARC traduz os “lagartos” de </w:t>
      </w:r>
      <w:hyperlink r:id="rId1455">
        <w:r>
          <w:rPr>
            <w:color w:val="0000EE"/>
            <w:u w:val="single"/>
          </w:rPr>
          <w:t>Levítico 11</w:t>
        </w:r>
      </w:hyperlink>
      <w:r>
        <w:t xml:space="preserve"> como “crocodilo da terra”, “geco”, “lagartixa” o "lagarto da areia" e “camaleão”. O lagarto-monitor é um grande lagarto que vive nos desertos do sul da Palestina, Sinai e Egito. Tem até 1,4 metros de comprimento, com um focinho longo e dentes afiados. Outros tradutores e comentaristas traduzem o hebraico original de uma ampla variedade de maneiras, incluindo “tartaruga”, “furão”, “lagarto”, “caracol”, “toupeira” e até “galinha d’água”. O fato de que a maioria das palavras hebraicas originais ocorre apenas uma vez nas Escrituras torna muito difícil ter certeza sobre sua tradução apropriada.</w:t>
      </w:r>
    </w:p>
    <w:p>
      <w:r/>
      <w:r>
        <w:rPr>
          <w:i/>
        </w:rPr>
        <w:t>Ver também</w:t>
      </w:r>
      <w:r>
        <w:t xml:space="preserve"> Lagartixa (acima).</w:t>
      </w:r>
    </w:p>
    <w:p>
      <w:pPr>
        <w:pStyle w:val="Heading3"/>
      </w:pPr>
      <w:r>
        <w:t>Gafanhoto</w:t>
      </w:r>
    </w:p>
    <w:p>
      <w:r/>
      <w:r>
        <w:t xml:space="preserve">Um inseto da família </w:t>
      </w:r>
      <w:r>
        <w:rPr>
          <w:i/>
        </w:rPr>
        <w:t>Acridiidae.</w:t>
      </w:r>
      <w:r>
        <w:t xml:space="preserve"> [Em inglês há dois termos para gafanhoto: locust e grasshopper. O locust é caracterizado por voar em grandes bandos, já o grasshopper é solitário. Por isso, no artigo sobre o grasshopper, foi acrescentada a descrição "(solitário)" ao seu nome. Este artigo diz respeito ao locust - N. do T.] É referido por pelo menos 12 nomes diferentes nas Escrituras. As várias palavras hebraicas podem se referir a diferentes estágios de seu desenvolvimento, de larva até adulto ou para o tipo de dano que causa. Os gafanhotos são caracterizados por enxame e migração de massa. Nos tempos modernos, eles causaram destruição extensa e desastrosa da vegetação. Os gafanhotos-solitários não enxameiam ou migram em massa, diferenciando-os dos verdadeiros gafanhotos.</w:t>
      </w:r>
    </w:p>
    <w:p>
      <w:r/>
      <w:r>
        <w:t xml:space="preserve">O AT menciona várias espécies diferentes de gafanhotos. </w:t>
      </w:r>
      <w:hyperlink r:id="rId1574">
        <w:r>
          <w:rPr>
            <w:color w:val="0000EE"/>
            <w:u w:val="single"/>
          </w:rPr>
          <w:t>Levítico 11.22</w:t>
        </w:r>
      </w:hyperlink>
      <w:r>
        <w:t xml:space="preserve"> parece se referir ao gafanhoto (careca) de face inclinada e também ao katídico, ou insetos de chifres longos. A referência em </w:t>
      </w:r>
      <w:hyperlink r:id="rId1783">
        <w:r>
          <w:rPr>
            <w:color w:val="0000EE"/>
            <w:u w:val="single"/>
          </w:rPr>
          <w:t>Deuteronômio 28.42</w:t>
        </w:r>
      </w:hyperlink>
      <w:r>
        <w:t xml:space="preserve"> pode ser ao grilo toupeira. Em </w:t>
      </w:r>
      <w:hyperlink r:id="rId1510">
        <w:r>
          <w:rPr>
            <w:color w:val="0000EE"/>
            <w:u w:val="single"/>
          </w:rPr>
          <w:t>Joel 1.4</w:t>
        </w:r>
      </w:hyperlink>
      <w:r>
        <w:t xml:space="preserve"> e </w:t>
      </w:r>
      <w:hyperlink r:id="rId1511">
        <w:r>
          <w:rPr>
            <w:color w:val="0000EE"/>
            <w:u w:val="single"/>
          </w:rPr>
          <w:t>2.25</w:t>
        </w:r>
      </w:hyperlink>
      <w:r>
        <w:t xml:space="preserve"> e em </w:t>
      </w:r>
      <w:hyperlink r:id="rId1784">
        <w:r>
          <w:rPr>
            <w:color w:val="0000EE"/>
            <w:u w:val="single"/>
          </w:rPr>
          <w:t>Naum 3.16–17</w:t>
        </w:r>
      </w:hyperlink>
      <w:r>
        <w:t>, estágios sucessivos do desenvolvimento do inseto são descritos. O gafanhoto devorador (kjv “taturana”) de Joel é provavelmente o primeiro estágio de larva (estágio de desenvolvimento), os gafanhotos enxames (kjv “locusta”) são estágios intermediários, e os gafanhotos saltitantes (kjv “lagarta verde”) estágio posterior de desenvolvimento, mas ainda não insetos totalmente amadurecidos. No estágio adulto, chamado de gafanhotos destruidores (kjv “lagarta de borboleta”), a cor do gafanhoto é marrom avermelhado, que se transforma em amarelo com uma rede acastanhada nas asas.</w:t>
      </w:r>
    </w:p>
    <w:p>
      <w:r/>
      <w:r>
        <w:t xml:space="preserve">Apenas três das centenas de variedades de gafanhotos encontrados nas terras bíblicas são capazes de se multiplicar em grandes enxames, e apenas o gafanhoto do deserto </w:t>
      </w:r>
      <w:r>
        <w:rPr>
          <w:i/>
        </w:rPr>
        <w:t>(Schistocerca gergaria)</w:t>
      </w:r>
      <w:r>
        <w:t xml:space="preserve"> pode ser considerado difundido em todas as terras bíblicas. O gafanhoto do deserto é nativo do Sudão (África). Tem um pouco mais de 5 centímetros de comprimento e tem uma envergadura de cerca de 12,7 centímetros. Mostra duas fases, uma fase solitária e uma fase gregária, com uma possível terceira fase conhecida como transientes. Há diferenças nas formas imaturas e adultas das fases em cor e fisiologia.</w:t>
      </w:r>
    </w:p>
    <w:p>
      <w:r/>
      <w:r>
        <w:t>A quantidade e distribuição das chuvas são fatores importantes na extensão do enxameamento. O solo úmido é necessário para depositar os ovos e permitir que eles se desenvolvam. Cada fêmea deposita de uma a seis vagens de ovos, contendo 28 a 146 ovos cada. As larvas emergem em 15 a 43 dias.</w:t>
      </w:r>
    </w:p>
    <w:p>
      <w:r/>
      <w:r>
        <w:t>Na fase gregária (do segundo estágio da metamorfose em diante), o gafanhoto é impulsionado por um forte instinto errante. Acúmulos deles formam uma procissão aleatória de corpos de gafanhotos transbordantes que ignoram qualquer obstrução. Eles enxameiam tudo (</w:t>
      </w:r>
      <w:hyperlink r:id="rId1785">
        <w:r>
          <w:rPr>
            <w:color w:val="0000EE"/>
            <w:u w:val="single"/>
          </w:rPr>
          <w:t>Jl 2.4–9</w:t>
        </w:r>
      </w:hyperlink>
      <w:r>
        <w:t>). O único regulador de suas atividades é a temperatura; eles são imobilizados por temperaturas altas ou baixas. Ao voar, eles podem se distanciar 1.900 quilômetros de sua casa nativa. Eles voam em formações compactas grandes o suficiente para apagar a luz do sol. Seu movimento parece ser controlado por hormônios, mas a direção é influenciada pelo vento. Os enxames consomem quase todas as plantas em seu caminho, poupando apenas a alfarrobeira, sicômoro, mamona e arbusto oleandro.</w:t>
      </w:r>
    </w:p>
    <w:p>
      <w:r/>
      <w:r>
        <w:t>Uma praga de gafanhotos era um dos males mais graves a vir sobre o mundo antigo (</w:t>
      </w:r>
      <w:hyperlink r:id="rId1786">
        <w:r>
          <w:rPr>
            <w:color w:val="0000EE"/>
            <w:u w:val="single"/>
          </w:rPr>
          <w:t>Dt 28.38</w:t>
        </w:r>
      </w:hyperlink>
      <w:r>
        <w:t xml:space="preserve">). </w:t>
      </w:r>
      <w:hyperlink r:id="rId1787">
        <w:r>
          <w:rPr>
            <w:color w:val="0000EE"/>
            <w:u w:val="single"/>
          </w:rPr>
          <w:t>Joel 2.1–11</w:t>
        </w:r>
      </w:hyperlink>
      <w:r>
        <w:t xml:space="preserve"> descreve uma praga de gafanhotos em termos gráficos, usando-o como um símbolo do julgamento destruidor de Deus. Dias especiais de oração, jejum e trombeta foram prescritos para remover as pragas de gafanhotos (</w:t>
      </w:r>
      <w:hyperlink r:id="rId1788">
        <w:r>
          <w:rPr>
            <w:color w:val="0000EE"/>
            <w:u w:val="single"/>
          </w:rPr>
          <w:t>1Rs 8.37–38</w:t>
        </w:r>
      </w:hyperlink>
      <w:r>
        <w:t xml:space="preserve">; </w:t>
      </w:r>
      <w:hyperlink r:id="rId1789">
        <w:r>
          <w:rPr>
            <w:color w:val="0000EE"/>
            <w:u w:val="single"/>
          </w:rPr>
          <w:t>2Cr 6.28–29</w:t>
        </w:r>
      </w:hyperlink>
      <w:r>
        <w:t xml:space="preserve">; </w:t>
      </w:r>
      <w:hyperlink r:id="rId1790">
        <w:r>
          <w:rPr>
            <w:color w:val="0000EE"/>
            <w:u w:val="single"/>
          </w:rPr>
          <w:t>Jl 2.12–17</w:t>
        </w:r>
      </w:hyperlink>
      <w:r>
        <w:t>). Gafanhotos simbolizavam inimigos poderosos e impiedosos que destruíram completamente os ganhos do trabalho humano (</w:t>
      </w:r>
      <w:hyperlink r:id="rId1496">
        <w:r>
          <w:rPr>
            <w:color w:val="0000EE"/>
            <w:u w:val="single"/>
          </w:rPr>
          <w:t>Jz 6.5</w:t>
        </w:r>
      </w:hyperlink>
      <w:r>
        <w:t xml:space="preserve">; </w:t>
      </w:r>
      <w:hyperlink r:id="rId1791">
        <w:r>
          <w:rPr>
            <w:color w:val="0000EE"/>
            <w:u w:val="single"/>
          </w:rPr>
          <w:t>Is 33.4</w:t>
        </w:r>
      </w:hyperlink>
      <w:r>
        <w:t xml:space="preserve">; </w:t>
      </w:r>
      <w:hyperlink r:id="rId1792">
        <w:r>
          <w:rPr>
            <w:color w:val="0000EE"/>
            <w:u w:val="single"/>
          </w:rPr>
          <w:t>Jr 46.23</w:t>
        </w:r>
      </w:hyperlink>
      <w:r>
        <w:t xml:space="preserve">; </w:t>
      </w:r>
      <w:hyperlink r:id="rId1793">
        <w:r>
          <w:rPr>
            <w:color w:val="0000EE"/>
            <w:u w:val="single"/>
          </w:rPr>
          <w:t>51.27</w:t>
        </w:r>
      </w:hyperlink>
      <w:r>
        <w:t xml:space="preserve">; </w:t>
      </w:r>
      <w:hyperlink r:id="rId1794">
        <w:r>
          <w:rPr>
            <w:color w:val="0000EE"/>
            <w:u w:val="single"/>
          </w:rPr>
          <w:t>Na 3:15</w:t>
        </w:r>
      </w:hyperlink>
      <w:r>
        <w:t>).</w:t>
      </w:r>
    </w:p>
    <w:p>
      <w:r/>
      <w:r>
        <w:t>Os beduínos comem gafanhotos crus, assados ou cozidos, preservando-os por meio de secagem. Eles também são esmagados e moídos, e o grão usado em cozinhar ou comido com pão, às vezes misturado com mel e tâmaras. Essa era a dieta de João Batista (</w:t>
      </w:r>
      <w:hyperlink r:id="rId1795">
        <w:r>
          <w:rPr>
            <w:color w:val="0000EE"/>
            <w:u w:val="single"/>
          </w:rPr>
          <w:t>Mc 1.6</w:t>
        </w:r>
      </w:hyperlink>
      <w:r>
        <w:t>). Os gregos moem gafanhotos em moedores de pedra para fazer farinha deles.</w:t>
      </w:r>
    </w:p>
    <w:p>
      <w:r/>
      <w:r>
        <w:t>Os antigos consideravam as duas grandes pernas traseiras, ou pernas saltantes, como membros separados e tinham um nome especial para elas. Daí os gafanhotos eram descritos como tendo quatro pernas, uma referência às quatro pernas menores. “Ir de quatro” assim se referia a rastejar ou andar em oposição a pular e não significava que os insetos impuros tinham apenas quatro pernas no total. Por causa de suas duas pernas saltantes, o gafanhoto estava isento da proibição contra insetos impuros (</w:t>
      </w:r>
      <w:hyperlink r:id="rId1796">
        <w:r>
          <w:rPr>
            <w:color w:val="0000EE"/>
            <w:u w:val="single"/>
          </w:rPr>
          <w:t>Lv 11.20–23</w:t>
        </w:r>
      </w:hyperlink>
      <w:r>
        <w:t>).</w:t>
      </w:r>
    </w:p>
    <w:p>
      <w:r/>
      <w:r>
        <w:rPr>
          <w:i/>
        </w:rPr>
        <w:t>Ver também</w:t>
      </w:r>
      <w:r>
        <w:t xml:space="preserve"> </w:t>
      </w:r>
      <w:r>
        <w:t>Pragas sobre o Egito</w:t>
      </w:r>
      <w:r>
        <w:t>.</w:t>
      </w:r>
    </w:p>
    <w:p>
      <w:pPr>
        <w:pStyle w:val="Heading3"/>
      </w:pPr>
      <w:r>
        <w:t>Toupeira</w:t>
      </w:r>
    </w:p>
    <w:p>
      <w:r/>
      <w:r>
        <w:t xml:space="preserve">Roedor </w:t>
      </w:r>
      <w:r>
        <w:rPr>
          <w:i/>
        </w:rPr>
        <w:t>(Spalax ehrenbergi)</w:t>
      </w:r>
      <w:r>
        <w:t xml:space="preserve"> de 15 a 23 centímetros de comprimento, que toca em qualquer área onde o solo seja adequado para cavar; deve ser chamado de rato toupeira. Comum na Terra Santa, grandes números são encontrados nas proximidades de Jerusalém. </w:t>
      </w:r>
      <w:hyperlink r:id="rId1797">
        <w:r>
          <w:rPr>
            <w:color w:val="0000EE"/>
            <w:u w:val="single"/>
          </w:rPr>
          <w:t>Isaías 2.20</w:t>
        </w:r>
      </w:hyperlink>
      <w:r>
        <w:t xml:space="preserve"> se refere à toupeira, assim como </w:t>
      </w:r>
      <w:hyperlink r:id="rId1798">
        <w:r>
          <w:rPr>
            <w:color w:val="0000EE"/>
            <w:u w:val="single"/>
          </w:rPr>
          <w:t>Levítico 11.29–30</w:t>
        </w:r>
      </w:hyperlink>
      <w:r>
        <w:t xml:space="preserve"> (ARC).</w:t>
      </w:r>
    </w:p>
    <w:p>
      <w:r/>
      <w:r>
        <w:t>O rato-toupeira não tem cauda e é parecido com toupeiras na aparência, mas nem toupeiras verdadeiras, nem musaranhos foram encontrados na Terra Santa. Os dentes do rato-toupeira são fortes e salientes como os de um esquilo. O pescoço é pequeno e grosso, com um corpo gordo em forma de uma linguiça. As pernas pequenas têm patas largas com garras adaptadas para escavação. O pelo é macio, grosso e cinza puro. Seus ouvidos e olhos quase sem visão, que não são maiores do que as sementes de papoula, estão escondidos na pele. O folclore ensinava que tocar em um rato-toupeira resultaria em cegueira.</w:t>
      </w:r>
    </w:p>
    <w:p>
      <w:r/>
      <w:r>
        <w:t>Na temporada de inverno úmido, o rato-toupeira constrói montes de reprodução que se assemelham aos de esquilo de bolso. Ele constrói montes de descanso menos complexos no verão, embora ambos tenham sistemas de túnel bastante elaborados. O rato-toupeira se alimenta de raízes, bulbos, tubos e várias outras partes de plantas subterrâneas, muitas vezes causando danos extensos à agrícola.</w:t>
      </w:r>
    </w:p>
    <w:p>
      <w:pPr>
        <w:pStyle w:val="Heading3"/>
      </w:pPr>
      <w:r>
        <w:t>Mariposa</w:t>
      </w:r>
    </w:p>
    <w:p>
      <w:r/>
      <w:r>
        <w:t xml:space="preserve">Inseto do gênero </w:t>
      </w:r>
      <w:r>
        <w:rPr>
          <w:i/>
        </w:rPr>
        <w:t>Tineola</w:t>
      </w:r>
      <w:r>
        <w:t xml:space="preserve"> que põe seus ovos em lã ou peles, suas larvas se alimentando desses materiais. As qualidades destrutivas das mariposas são referidas em várias passagens bíblicas (</w:t>
      </w:r>
      <w:hyperlink r:id="rId1799">
        <w:r>
          <w:rPr>
            <w:color w:val="0000EE"/>
            <w:u w:val="single"/>
          </w:rPr>
          <w:t>Jó 13.28</w:t>
        </w:r>
      </w:hyperlink>
      <w:r>
        <w:t xml:space="preserve">; </w:t>
      </w:r>
      <w:hyperlink r:id="rId1800">
        <w:r>
          <w:rPr>
            <w:color w:val="0000EE"/>
            <w:u w:val="single"/>
          </w:rPr>
          <w:t>Sl 39.11</w:t>
        </w:r>
      </w:hyperlink>
      <w:r>
        <w:t xml:space="preserve">; </w:t>
      </w:r>
      <w:hyperlink r:id="rId1801">
        <w:r>
          <w:rPr>
            <w:color w:val="0000EE"/>
            <w:u w:val="single"/>
          </w:rPr>
          <w:t>Is 50.9</w:t>
        </w:r>
      </w:hyperlink>
      <w:r>
        <w:t xml:space="preserve">; </w:t>
      </w:r>
      <w:hyperlink r:id="rId1802">
        <w:r>
          <w:rPr>
            <w:color w:val="0000EE"/>
            <w:u w:val="single"/>
          </w:rPr>
          <w:t>Os 5.12</w:t>
        </w:r>
      </w:hyperlink>
      <w:r>
        <w:t xml:space="preserve">; </w:t>
      </w:r>
      <w:hyperlink r:id="rId1803">
        <w:r>
          <w:rPr>
            <w:color w:val="0000EE"/>
            <w:u w:val="single"/>
          </w:rPr>
          <w:t>Mt 6.19–20</w:t>
        </w:r>
      </w:hyperlink>
      <w:r>
        <w:t xml:space="preserve">; </w:t>
      </w:r>
      <w:hyperlink r:id="rId1804">
        <w:r>
          <w:rPr>
            <w:color w:val="0000EE"/>
            <w:u w:val="single"/>
          </w:rPr>
          <w:t>Lc 12.33</w:t>
        </w:r>
      </w:hyperlink>
      <w:r>
        <w:t xml:space="preserve">; </w:t>
      </w:r>
      <w:hyperlink r:id="rId1805">
        <w:r>
          <w:rPr>
            <w:color w:val="0000EE"/>
            <w:u w:val="single"/>
          </w:rPr>
          <w:t>Tg 5:2</w:t>
        </w:r>
      </w:hyperlink>
      <w:r>
        <w:t xml:space="preserve">). Em </w:t>
      </w:r>
      <w:hyperlink r:id="rId1806">
        <w:r>
          <w:rPr>
            <w:color w:val="0000EE"/>
            <w:u w:val="single"/>
          </w:rPr>
          <w:t>Isaías 51.8</w:t>
        </w:r>
      </w:hyperlink>
      <w:r>
        <w:t>, “traça” (NTLH) se refere especificamente à larva da traça-da-roupa A mariposa simboliza desintegração, decadência e enfraquecimento. São apenas as larvas que causam o dano. O adulto é bastante inofensivo e se alimenta principalmente do néctar de flores. É facilmente esmagado (</w:t>
      </w:r>
      <w:hyperlink r:id="rId1807">
        <w:r>
          <w:rPr>
            <w:color w:val="0000EE"/>
            <w:u w:val="single"/>
          </w:rPr>
          <w:t>Jó 4.19</w:t>
        </w:r>
      </w:hyperlink>
      <w:r>
        <w:t>). A mariposa-de-roupas se reproduz em maio ou junho. Entra nas habitações humanas à noite. Uma semana após os ovos serem colocados, as larvas aparecem e imediatamente começam seu trabalho de destruição, comendo qualquer coisa ao alcance feita de fibras animais.</w:t>
      </w:r>
    </w:p>
    <w:p>
      <w:r/>
      <w:r>
        <w:t>A atividade destrutiva da mariposa é feita em segredo, sem qualquer som e sem qualquer aparência dramática, como um enxame que apaga o sol. Em uma era em que a riqueza era contada mais em posses do que em dinheiro, e quando entre essas posses as roupas de lã eram altamente valorizadas, as mariposas poderiam literalmente causar desastre econômico; daí as palavras de Jesus no Sermão do Monte (</w:t>
      </w:r>
      <w:hyperlink r:id="rId1803">
        <w:r>
          <w:rPr>
            <w:color w:val="0000EE"/>
            <w:u w:val="single"/>
          </w:rPr>
          <w:t>Mt 6.19–20</w:t>
        </w:r>
      </w:hyperlink>
      <w:r>
        <w:t>).</w:t>
      </w:r>
    </w:p>
    <w:p>
      <w:r/>
      <w:r>
        <w:t>Há centenas de espécies de mariposas diferentes da mariposa na Terra Santa; elas são inofensivas às folhas, flores, frutos, árvores e sementes. Assim como a mariposa-da-roupas, as larvas infligem o dano.</w:t>
      </w:r>
    </w:p>
    <w:p>
      <w:pPr>
        <w:pStyle w:val="Heading3"/>
      </w:pPr>
      <w:r>
        <w:t>Camundongo</w:t>
      </w:r>
    </w:p>
    <w:p>
      <w:r/>
      <w:r>
        <w:t xml:space="preserve">Roedor da família Muridae, especialmente o gênero </w:t>
      </w:r>
      <w:r>
        <w:rPr>
          <w:i/>
        </w:rPr>
        <w:t>Mus.</w:t>
      </w:r>
      <w:r>
        <w:t xml:space="preserve"> O camundongo era considerado imundo porque, sendo de pernas baixas, era considerado uma das criaturas rastejantes (</w:t>
      </w:r>
      <w:hyperlink r:id="rId1808">
        <w:r>
          <w:rPr>
            <w:color w:val="0000EE"/>
            <w:u w:val="single"/>
          </w:rPr>
          <w:t>Lv 11.29</w:t>
        </w:r>
      </w:hyperlink>
      <w:r>
        <w:t>). Ratos conhecidos como comensais vivem em habitações e tendem a ter caudas mais longas e serem de cor mais escura do que os ratos selvagens, que são ativos principalmente à noite. Os ratos são bons alpinistas e até bons nadadores. Os ratos selvagens comem muitos tipos de vegetação, incluindo sementes, raízes carnudas, folhas e caules. Às vezes, eles armazenam comida.</w:t>
      </w:r>
    </w:p>
    <w:p>
      <w:r/>
      <w:r>
        <w:t>A palavra hebraica para “rato” (</w:t>
      </w:r>
      <w:hyperlink r:id="rId1808">
        <w:r>
          <w:rPr>
            <w:color w:val="0000EE"/>
            <w:u w:val="single"/>
          </w:rPr>
          <w:t>Lv 11.29</w:t>
        </w:r>
      </w:hyperlink>
      <w:r>
        <w:t xml:space="preserve">; </w:t>
      </w:r>
      <w:hyperlink r:id="rId1809">
        <w:r>
          <w:rPr>
            <w:color w:val="0000EE"/>
            <w:u w:val="single"/>
          </w:rPr>
          <w:t>1Sm 6.4–5</w:t>
        </w:r>
      </w:hyperlink>
      <w:r>
        <w:t xml:space="preserve">; </w:t>
      </w:r>
      <w:hyperlink r:id="rId1810">
        <w:r>
          <w:rPr>
            <w:color w:val="0000EE"/>
            <w:u w:val="single"/>
          </w:rPr>
          <w:t>Is 66.17</w:t>
        </w:r>
      </w:hyperlink>
      <w:r>
        <w:t>) é provavelmente um termo geral para vários ratos e camundongos. O significado raiz da palavra hebraica “rato” é “destruição do milho”, uma referência ao dano que os ratos fazem às plantações de campo. Pelo menos 23 variedades de roedores semelhantes a camundongos são conhecidas na Terra Santa. Eles causam deterioração de alimentos, danificam artigos domésticos e transportam as pulgas hospedeiras que espalham o tifo, febre manchada e peste bubônica. As bactérias da peste podem ter causado os tumores ou inchaços entre os filisteus (</w:t>
      </w:r>
      <w:hyperlink r:id="rId1811">
        <w:r>
          <w:rPr>
            <w:color w:val="0000EE"/>
            <w:u w:val="single"/>
          </w:rPr>
          <w:t>1Sm 6.5</w:t>
        </w:r>
      </w:hyperlink>
      <w:r>
        <w:t xml:space="preserve">). </w:t>
      </w:r>
      <w:hyperlink r:id="rId1810">
        <w:r>
          <w:rPr>
            <w:color w:val="0000EE"/>
            <w:u w:val="single"/>
          </w:rPr>
          <w:t>Isaías 66.17</w:t>
        </w:r>
      </w:hyperlink>
      <w:r>
        <w:t xml:space="preserve"> se refere a uma prática cúltica cananeia pré-exílica na qual os ratos eram comidos; a referência pode realmente ser ao hamster. Um número de roedores é comido pelos árabes do Oriente Próximo; o gerbil é considerado uma iguaria especial. </w:t>
      </w:r>
      <w:r>
        <w:rPr>
          <w:i/>
        </w:rPr>
        <w:t>Veja</w:t>
      </w:r>
      <w:r>
        <w:t xml:space="preserve"> </w:t>
      </w:r>
      <w:r>
        <w:t>Toupeira (abaixo)</w:t>
      </w:r>
      <w:r>
        <w:t>.</w:t>
      </w:r>
    </w:p>
    <w:p>
      <w:pPr>
        <w:pStyle w:val="Heading3"/>
      </w:pPr>
      <w:r>
        <w:t>Mula</w:t>
      </w:r>
    </w:p>
    <w:p>
      <w:r/>
      <w:r>
        <w:t xml:space="preserve">Filhote híbrido de um burro macho e uma égua </w:t>
      </w:r>
      <w:r>
        <w:rPr>
          <w:i/>
        </w:rPr>
        <w:t>(Equus asinus mulus),</w:t>
      </w:r>
      <w:r>
        <w:t xml:space="preserve"> normalmente estéril. A prole de uma jumenta e um garanhão (cavalo, macho) é conhecida como bardoto e é de pouco valor por causa de seu tamanho inferior.</w:t>
      </w:r>
    </w:p>
    <w:p>
      <w:r/>
      <w:r>
        <w:t>Como a cruzamento era proibida na lei (</w:t>
      </w:r>
      <w:hyperlink r:id="rId1812">
        <w:r>
          <w:rPr>
            <w:color w:val="0000EE"/>
            <w:u w:val="single"/>
          </w:rPr>
          <w:t>Lv 19.19</w:t>
        </w:r>
      </w:hyperlink>
      <w:r>
        <w:t>), os israelitas adquiriram mulas dos gentios, talvez dos fenícios, uma vez que Tiro (um porto fenício no que é agora o sul do Líbano) importou cavalos e mulas (</w:t>
      </w:r>
      <w:hyperlink r:id="rId1813">
        <w:r>
          <w:rPr>
            <w:color w:val="0000EE"/>
            <w:u w:val="single"/>
          </w:rPr>
          <w:t>Ez 27.14</w:t>
        </w:r>
      </w:hyperlink>
      <w:r>
        <w:t>). As mulas não apareceram em Israel até o reinado de Davi (</w:t>
      </w:r>
      <w:hyperlink r:id="rId1814">
        <w:r>
          <w:rPr>
            <w:color w:val="0000EE"/>
            <w:u w:val="single"/>
          </w:rPr>
          <w:t>2Sm 13.29</w:t>
        </w:r>
      </w:hyperlink>
      <w:r>
        <w:t>), possivelmente por causa da raridade de cavalos entre os hebreus. As mulas eram usadas principalmente por membros da corte real e por outros nobres. O rei Davi montou em uma mula, e Salomão montou para sua inauguração na mula do rei Davi (</w:t>
      </w:r>
      <w:hyperlink r:id="rId1815">
        <w:r>
          <w:rPr>
            <w:color w:val="0000EE"/>
            <w:u w:val="single"/>
          </w:rPr>
          <w:t>1Rs 1.33</w:t>
        </w:r>
      </w:hyperlink>
      <w:r>
        <w:t>). Absalão encontrou sua morte montando em uma mula (</w:t>
      </w:r>
      <w:hyperlink r:id="rId1816">
        <w:r>
          <w:rPr>
            <w:color w:val="0000EE"/>
            <w:u w:val="single"/>
          </w:rPr>
          <w:t>2Sm 18.9</w:t>
        </w:r>
      </w:hyperlink>
      <w:r>
        <w:t>). As mulas eram menos comuns do que cavalos, camelos e burros na comunidade pós-exílica (</w:t>
      </w:r>
      <w:hyperlink r:id="rId1817">
        <w:r>
          <w:rPr>
            <w:color w:val="0000EE"/>
            <w:u w:val="single"/>
          </w:rPr>
          <w:t>Ed 2.66</w:t>
        </w:r>
      </w:hyperlink>
      <w:r>
        <w:t>). Na antiguidade, a Ásia Menor era especialmente conhecida por criar mulas de boa qualidade.</w:t>
      </w:r>
    </w:p>
    <w:p>
      <w:r/>
      <w:r>
        <w:t>As mulas há muito tempo gozam de uma fama de obstinação, mas esse traço não é mencionado na Bíblia. A mula é valorizada por andar e por carregar cargas pesadas, especialmente em regiões montanhosas quentes. Eles são seguros e prosperam melhor em climas quentes e secos. A mula tem a frugalidade, a resistência e o andar firme de um burro, juntamente com o tamanho, a força, a rapidez e a coragem de um cavalo. As mulas quase nunca estão doentes. Eles vivem mais do que cavalos. Eles podem carregar uma carga de até 136 quilos por até 48 quilômetros por dia.</w:t>
      </w:r>
    </w:p>
    <w:p>
      <w:r/>
      <w:r>
        <w:rPr>
          <w:i/>
        </w:rPr>
        <w:t>Ver também</w:t>
      </w:r>
      <w:r>
        <w:t xml:space="preserve"> </w:t>
      </w:r>
      <w:r>
        <w:t>Viagens</w:t>
      </w:r>
      <w:r>
        <w:t>.</w:t>
      </w:r>
    </w:p>
    <w:p>
      <w:pPr>
        <w:pStyle w:val="Heading3"/>
      </w:pPr>
      <w:r>
        <w:t>Porco</w:t>
      </w:r>
    </w:p>
    <w:p>
      <w:r/>
      <w:r>
        <w:t xml:space="preserve">Mais propriamente, suínos recém-nascidos. “Suíno” é tecnicamente o melhor nome para a espécie, mas não é tão comumente usado no dia-a-dia. Os porcos domésticos do Oriente Médio derivaram do porco selvagem </w:t>
      </w:r>
      <w:r>
        <w:rPr>
          <w:i/>
        </w:rPr>
        <w:t>(Sus scrofa).</w:t>
      </w:r>
      <w:r>
        <w:t xml:space="preserve"> O porco é o fornecedor mais prolífico e abundante de carne e gordura para comida. Uma camada espessa de gordura apenas sob a pele é especialmente substancial em raças domésticas. Os porcos não podem ser conduzidos, então eles são de valor apenas para o fazendeiro assentado. Os hebreus eram originalmente um povo nômade; portanto, eles tinham pouco uso para um animal intimamente associado com a vida estabelecida. Um príncipe egípcio de cerca de 1500 a.C., no entanto, é registrado como dono de um rebanho de 1.500 suínos.</w:t>
      </w:r>
    </w:p>
    <w:p>
      <w:r/>
      <w:r>
        <w:t>O porco tem uma estrutura desajeitada, mas é ativo e capaz de se mover com agilidade e velocidade. A característica mais notável do porco é um focinho truncado e móvel que termina em uma superfície em forma de disco na qual as narinas estão localizadas. A maioria dos porcos tem grandes presas em ambas as mandíbulas que crescem continuamente na vida. As presas do maxilar superior são únicas na medida em que elas se dobram para cima, em vez de apontar para baixo, como na maioria dos animais. O excremento de um porco tem um odor quase insuportável, que se agarra não apenas ao próprio porco, mas também à manada, que pode ser identificados de uma longa distância.</w:t>
      </w:r>
    </w:p>
    <w:p>
      <w:r/>
      <w:r>
        <w:t>Os porcos nunca foram criados na Terra Santa por judeus. O grande rebanho para o qual Jesus dirigiu os espíritos imundos, foi encontrado na terra dos gadarenos, uma área não-judaica a leste do Jordão. Os demônios Gadarenos se refugiaram em um rebanho de porcos que se alimentava em um penhasco com vista para o Mar da Galileia (</w:t>
      </w:r>
      <w:hyperlink r:id="rId1818">
        <w:r>
          <w:rPr>
            <w:color w:val="0000EE"/>
            <w:u w:val="single"/>
          </w:rPr>
          <w:t>Mt 8.28–32</w:t>
        </w:r>
      </w:hyperlink>
      <w:r>
        <w:t>).</w:t>
      </w:r>
    </w:p>
    <w:p>
      <w:r/>
      <w:r>
        <w:t xml:space="preserve">Os porcos selvagens foram encontrados na Terra Santa como em muitos países hoje. </w:t>
      </w:r>
      <w:hyperlink r:id="rId1819">
        <w:r>
          <w:rPr>
            <w:color w:val="0000EE"/>
            <w:u w:val="single"/>
          </w:rPr>
          <w:t>O Salmo 80.13</w:t>
        </w:r>
      </w:hyperlink>
      <w:r>
        <w:t xml:space="preserve"> se refere à destrutividade de um javali selvagem (o macho) atacando plantações crescentes. Um grupo de javalis pode destruir uma vinha inteira ou um campo de colheitas em uma única noite. Eles devoram, pisoteiam e devastam tudo ao seu alcance.</w:t>
      </w:r>
    </w:p>
    <w:p>
      <w:r/>
      <w:r>
        <w:t>As caçadas de javali eram comuns na antiga Mesopotâmia. Os javalis selvagens não atacam a menos que sejam molestados, mas eles são perigosos quando despertados. Eles viajam em bandas de 6 a 50 e são mais ativos às horas da noite e do início da manhã. O corpo está coberto de cerdas duras e geralmente um cabelo mais fino, mas a cobertura do corpo é muitas vezes bastante escassa. Os porcos selvagens são principalmente vegetarianos, se alimentando de raízes, nozes, grãos e hastes de plantas. Os javalis eram especialmente abundantes nas regiões montanhosas do Líbano e Anti-Líbano, no vale do rio Jordão, e em seções arborizadas como o Monte Tabor.</w:t>
      </w:r>
    </w:p>
    <w:p>
      <w:r/>
      <w:r>
        <w:t>Judeus rigorosos nem sequer mencionariam porcos pelo nome, mas sempre substigiriam o termo “abominação”. Os israelitas se consideravam poluídos se fossem tocados pela cerda de um suíno. Para os judeus, o porco simbolizava a sujeira e feiura. Os porcos comem material fecal, vermes, roedores, carniça e similares (</w:t>
      </w:r>
      <w:hyperlink r:id="rId1594">
        <w:r>
          <w:rPr>
            <w:color w:val="0000EE"/>
            <w:u w:val="single"/>
          </w:rPr>
          <w:t>2Pe 2.22</w:t>
        </w:r>
      </w:hyperlink>
      <w:r>
        <w:t xml:space="preserve">). </w:t>
      </w:r>
      <w:hyperlink r:id="rId1820">
        <w:r>
          <w:rPr>
            <w:color w:val="0000EE"/>
            <w:u w:val="single"/>
          </w:rPr>
          <w:t>Provérbios 11.22</w:t>
        </w:r>
      </w:hyperlink>
      <w:r>
        <w:t xml:space="preserve"> se refere à incongruência de um anel de ouro no nariz de um animal que mostra tais características. Uma metáfora semelhante ocorre na declaração de Jesus sobre lançar pérolas aos porcos (</w:t>
      </w:r>
      <w:hyperlink r:id="rId1607">
        <w:r>
          <w:rPr>
            <w:color w:val="0000EE"/>
            <w:u w:val="single"/>
          </w:rPr>
          <w:t>Mt 7.6</w:t>
        </w:r>
      </w:hyperlink>
      <w:r>
        <w:t>). A degeneração do filho pródigo foi mostrada por ele ser forçado em sua pobreza a alimentar os porcos e comer sua comida (</w:t>
      </w:r>
      <w:hyperlink r:id="rId1821">
        <w:r>
          <w:rPr>
            <w:color w:val="0000EE"/>
            <w:u w:val="single"/>
          </w:rPr>
          <w:t>Lc 15.15–16</w:t>
        </w:r>
      </w:hyperlink>
      <w:r>
        <w:t>).</w:t>
      </w:r>
    </w:p>
    <w:p>
      <w:r/>
      <w:r>
        <w:t>Comer a carne de porcos era proibido aos judeus (</w:t>
      </w:r>
      <w:hyperlink r:id="rId1822">
        <w:r>
          <w:rPr>
            <w:color w:val="0000EE"/>
            <w:u w:val="single"/>
          </w:rPr>
          <w:t>Lv 11.7</w:t>
        </w:r>
      </w:hyperlink>
      <w:r>
        <w:t xml:space="preserve">; </w:t>
      </w:r>
      <w:hyperlink r:id="rId1823">
        <w:r>
          <w:rPr>
            <w:color w:val="0000EE"/>
            <w:u w:val="single"/>
          </w:rPr>
          <w:t>Dt 14.8</w:t>
        </w:r>
      </w:hyperlink>
      <w:r>
        <w:t>). Os cananeus na Terra Santa mataram e comiam porcos livremente. Nos tempos intertestamentários, Antíoco IV (Epifânio), um rei sírio do qual o território incluía Israel, usou o porco para “helenizar” os judeus. Ele primeiro testou sua lealdade à fé judaica exigindo o consumo de carne de porco, considerada uma iguaria pelos gregos (</w:t>
      </w:r>
      <w:hyperlink r:id="rId1824">
        <w:r>
          <w:rPr>
            <w:color w:val="0000EE"/>
            <w:u w:val="single"/>
          </w:rPr>
          <w:t>2Mc 6.18</w:t>
        </w:r>
      </w:hyperlink>
      <w:r>
        <w:t>). O ato de profanação que levou os judeus à rebelião, no entanto, foi a aspersão de sangue de porco no altar do templo em um sacrifício a Zeus (</w:t>
      </w:r>
      <w:hyperlink r:id="rId1825">
        <w:r>
          <w:rPr>
            <w:color w:val="0000EE"/>
            <w:u w:val="single"/>
          </w:rPr>
          <w:t>1Mc 1.47</w:t>
        </w:r>
      </w:hyperlink>
      <w:r>
        <w:t>).</w:t>
      </w:r>
    </w:p>
    <w:p>
      <w:r/>
      <w:r>
        <w:t>Os porcos eram frequentemente usados na adoração pagã (</w:t>
      </w:r>
      <w:hyperlink r:id="rId1826">
        <w:r>
          <w:rPr>
            <w:color w:val="0000EE"/>
            <w:u w:val="single"/>
          </w:rPr>
          <w:t>Is 65.4</w:t>
        </w:r>
      </w:hyperlink>
      <w:r>
        <w:t xml:space="preserve">; </w:t>
      </w:r>
      <w:hyperlink r:id="rId1827">
        <w:r>
          <w:rPr>
            <w:color w:val="0000EE"/>
            <w:u w:val="single"/>
          </w:rPr>
          <w:t>66.3,17</w:t>
        </w:r>
      </w:hyperlink>
      <w:r>
        <w:t>), o que pode explicar por serem proibidos aos judeus como alimento. As evidências na Terra Santa mostram que os porcos eram sacrificados muito antes dos tempos helenísticos. Ossos de porco foram encontrados em uma gruta abaixo do lugar de sacrifício cortado na rocha em Gezer. Uma câmara subterrânea semelhante com vasos contendo ossos de leitão em Tirza data do meio da Idade do Bronze (cerca de 2000 a.C.).</w:t>
      </w:r>
    </w:p>
    <w:p>
      <w:r/>
      <w:r>
        <w:t xml:space="preserve">Fragmentos de alabastro de uma estatueta de um porco pronto para ser sacrificado foram desenterrados. Suínos foram sacrificados a Afrodite (Vênus) na Grécia e na Ásia Menor. Além disso, os porcos foram sacrificados em conexão com juramentos e tratados; na </w:t>
      </w:r>
      <w:r>
        <w:rPr>
          <w:i/>
        </w:rPr>
        <w:t>Ilíada,</w:t>
      </w:r>
      <w:r>
        <w:t xml:space="preserve"> Agamenon sacrificou um javali a Zeus e Hélios. Por isso, não é surpreendente que entre os judeus, o porco se tenha tornado um símbolo de imundície e paganismo.</w:t>
      </w:r>
    </w:p>
    <w:p>
      <w:r/>
      <w:r>
        <w:t>É possível que o consumo de carne de porco fosse proibido principalmente porque o porco pode carregar muitos parasitas de vermes, como a triquina, embora isso também seja verdade em alguns animais “limpos”. Outra razão para proibir seu consumo pode ter sido que os porcos comem carniça. Algumas pessoas são alérgicas à carne de porco em clima quente — outra razão sugerida por trás do tabu judaico. O mesmo tabu existe entre os muçulmanos e existia em certos estratos sociais no Egito.</w:t>
      </w:r>
    </w:p>
    <w:p>
      <w:pPr>
        <w:pStyle w:val="Heading3"/>
      </w:pPr>
      <w:r>
        <w:t>Porco-espinho</w:t>
      </w:r>
    </w:p>
    <w:p>
      <w:r/>
      <w:r>
        <w:t xml:space="preserve">Roedor, </w:t>
      </w:r>
      <w:r>
        <w:rPr>
          <w:i/>
        </w:rPr>
        <w:t>Hystrix cristata,</w:t>
      </w:r>
      <w:r>
        <w:t xml:space="preserve"> que vive em áreas florestadas, colinas rochosas, desfiladeiros e vales. O porco-espinho ainda é encontrado na Terra Santa hoje. Tem penas longas que podem ser levantadas para dar a aparência de uma crista. É quase inteiramente noturno. Ele se enterra durante o dia em uma cavidade ou fenda natural. O porco-espinho do Velho Mundo raramente escalava árvores, embora o porco-espinho do Novo Mundo frequentemente faça isso. Um porco-espinho pode pesar até 27 quilos. Come frutas, casca, raízes e outras vegetações, e carniça também. Embora sua carne seja comestível, o porco-espinho não era classificado entre os animais limpos para os israelitas. A referência em </w:t>
      </w:r>
      <w:hyperlink r:id="rId1828">
        <w:r>
          <w:rPr>
            <w:color w:val="0000EE"/>
            <w:u w:val="single"/>
          </w:rPr>
          <w:t>Isaías 34.11</w:t>
        </w:r>
      </w:hyperlink>
      <w:r>
        <w:t xml:space="preserve"> (ARC) é provavelmente ao porco-espinho, como é </w:t>
      </w:r>
      <w:hyperlink r:id="rId1829">
        <w:r>
          <w:rPr>
            <w:color w:val="0000EE"/>
            <w:u w:val="single"/>
          </w:rPr>
          <w:t>Isaías 14.23</w:t>
        </w:r>
      </w:hyperlink>
      <w:r>
        <w:t xml:space="preserve"> na NTLH. </w:t>
      </w:r>
      <w:r>
        <w:rPr>
          <w:i/>
        </w:rPr>
        <w:t>Ver</w:t>
      </w:r>
      <w:r>
        <w:t xml:space="preserve"> </w:t>
      </w:r>
      <w:r>
        <w:t>Ouriço</w:t>
      </w:r>
      <w:r>
        <w:t>.</w:t>
      </w:r>
    </w:p>
    <w:p>
      <w:pPr>
        <w:pStyle w:val="Heading3"/>
      </w:pPr>
      <w:r>
        <w:t>Escorpião</w:t>
      </w:r>
    </w:p>
    <w:p>
      <w:r/>
      <w:r>
        <w:t>Artrópode do mesmo grupo que aranhas (aracnídeos). Uma dúzia de espécies de escorpiões (ordem Scorpionida) são encontradas na Terra Santa, mas 90% dos escorpiões são escorpiões amarelos, geralmente de 7,6 a 12,7 centímetros de comprimento. O escorpião rochoso, também comum à Terra Santa, é tão espesso quanto o dedo de um homem e de 12,7 a 17,8 centímetros de comprimento. Os escorpiões são invertebrados lentos e noturnos que descansam sob pedras de dia e atacam insetos e outros aracnídeos à noite. No final de sua longa cauda, o escorpião carrega uma picada venenosa que é fatal para a maioria das presas e extremamente dolorosa para os seres humanos (</w:t>
      </w:r>
      <w:hyperlink r:id="rId1830">
        <w:r>
          <w:rPr>
            <w:color w:val="0000EE"/>
            <w:u w:val="single"/>
          </w:rPr>
          <w:t>Ap 9.3,5,10</w:t>
        </w:r>
      </w:hyperlink>
      <w:r>
        <w:t xml:space="preserve">; cf. </w:t>
      </w:r>
      <w:hyperlink r:id="rId1831">
        <w:r>
          <w:rPr>
            <w:color w:val="0000EE"/>
            <w:u w:val="single"/>
          </w:rPr>
          <w:t>1Rs 12.11,14</w:t>
        </w:r>
      </w:hyperlink>
      <w:r>
        <w:t>). Escorpiões simbolizam os compatriotas malignos de Ezequiel (</w:t>
      </w:r>
      <w:hyperlink r:id="rId1832">
        <w:r>
          <w:rPr>
            <w:color w:val="0000EE"/>
            <w:u w:val="single"/>
          </w:rPr>
          <w:t>Ez 2.6</w:t>
        </w:r>
      </w:hyperlink>
      <w:r>
        <w:t>) e as forças demoníacas de Satanás (</w:t>
      </w:r>
      <w:hyperlink r:id="rId1833">
        <w:r>
          <w:rPr>
            <w:color w:val="0000EE"/>
            <w:u w:val="single"/>
          </w:rPr>
          <w:t>Lc 10.19</w:t>
        </w:r>
      </w:hyperlink>
      <w:r>
        <w:t>). O escorpião é referido como frequentar o Deserto do Sinai (</w:t>
      </w:r>
      <w:hyperlink r:id="rId1469">
        <w:r>
          <w:rPr>
            <w:color w:val="0000EE"/>
            <w:u w:val="single"/>
          </w:rPr>
          <w:t>Dt 8.15</w:t>
        </w:r>
      </w:hyperlink>
      <w:r>
        <w:t>).</w:t>
      </w:r>
    </w:p>
    <w:p>
      <w:r/>
      <w:r>
        <w:t>Um escorpião tem de seis a oito olhos. Tem oito pernas como uma espada e duas garras de lagosta com as quais captura e segura sua presa. Alimenta-se especialmente de gafanhotos e besouros. Em muitas espécies, o escorpião fêmea come o macho após o acasalamento. Os escorpiões colocam ovos que eclodem muito pouco tempo após a postura. Os escorpiões preferem climas mais quentes, e por causa de seu desejo de calor, entram nas casas, especialmente à noite, se escondendo em camas, cobertores, calçados e roupas.</w:t>
      </w:r>
    </w:p>
    <w:p>
      <w:pPr>
        <w:pStyle w:val="Heading3"/>
      </w:pPr>
      <w:r>
        <w:t>Ovelhas</w:t>
      </w:r>
    </w:p>
    <w:p>
      <w:r/>
      <w:r>
        <w:t xml:space="preserve">Animal doméstico, </w:t>
      </w:r>
      <w:r>
        <w:rPr>
          <w:i/>
        </w:rPr>
        <w:t>Ovis orientalis,</w:t>
      </w:r>
      <w:r>
        <w:t xml:space="preserve"> referido diretamente ou por algum termo como ovelha, cordeiro, carneiro, ou por algum fato sobre eles mais de 700 vezes nas Escrituras.</w:t>
      </w:r>
    </w:p>
    <w:p>
      <w:r/>
      <w:r>
        <w:t>As ovelhas representavam a principal riqueza e o sustento total dos povos pastorais, fornecendo comida para comer, leite para beber, lã para a fabricação de pano, e couros e ossos para outros usos. Além disso, as ovelhas eram um meio de troca e um animal sacrificial. O número de ovelhas criadas nos tempos antigos era prodigioso. Mesa, rei de Moabe, pagava um tributo anualmente de 100.000 cordeiros e a lã de 100.000 carneiros (</w:t>
      </w:r>
      <w:hyperlink r:id="rId1834">
        <w:r>
          <w:rPr>
            <w:color w:val="0000EE"/>
            <w:u w:val="single"/>
          </w:rPr>
          <w:t>2Rs 3.4</w:t>
        </w:r>
      </w:hyperlink>
      <w:r>
        <w:t>). Os israelitas tomaram 250.000 ovelhas dos hagritas (</w:t>
      </w:r>
      <w:hyperlink r:id="rId1835">
        <w:r>
          <w:rPr>
            <w:color w:val="0000EE"/>
            <w:u w:val="single"/>
          </w:rPr>
          <w:t>1Cr 5.21</w:t>
        </w:r>
      </w:hyperlink>
      <w:r>
        <w:t>).</w:t>
      </w:r>
    </w:p>
    <w:p>
      <w:r/>
      <w:r>
        <w:t>A tosquia de ovelhas era muitas vezes feita para festivais (</w:t>
      </w:r>
      <w:hyperlink r:id="rId1836">
        <w:r>
          <w:rPr>
            <w:color w:val="0000EE"/>
            <w:u w:val="single"/>
          </w:rPr>
          <w:t>2Sm 13.23</w:t>
        </w:r>
      </w:hyperlink>
      <w:r>
        <w:t>). As ovelhas eram seguradas de lado e suas pernas eram amarradas; então ela deitava docilmente enquanto sua lã era cortada (</w:t>
      </w:r>
      <w:hyperlink r:id="rId1837">
        <w:r>
          <w:rPr>
            <w:color w:val="0000EE"/>
            <w:u w:val="single"/>
          </w:rPr>
          <w:t>Is 53.7</w:t>
        </w:r>
      </w:hyperlink>
      <w:r>
        <w:t>). As ovelhas reservadas para ofertas queimadas não eram tosquiadas; nada poderia ser contido de um sacrifício ao Senhor.</w:t>
      </w:r>
    </w:p>
    <w:p>
      <w:r/>
      <w:r>
        <w:t>A lã tinha que ser processada antes que pudesse ser usada para roupas. Primeiro era lavado, às vezes enquanto ainda nas ovelhas, depois cardado e talvez pesado para o mercado. A fiação de lã era considerada como o trabalho de uma mulher (</w:t>
      </w:r>
      <w:hyperlink r:id="rId1838">
        <w:r>
          <w:rPr>
            <w:color w:val="0000EE"/>
            <w:u w:val="single"/>
          </w:rPr>
          <w:t>Pv 31.19</w:t>
        </w:r>
      </w:hyperlink>
      <w:r>
        <w:t>), mas tecer o fio em um pano em um tear era principalmente a profissão de um homem.</w:t>
      </w:r>
    </w:p>
    <w:p>
      <w:r/>
      <w:r>
        <w:t>A Bíblia relata que Abel mantinha ovelhas (</w:t>
      </w:r>
      <w:hyperlink r:id="rId40">
        <w:r>
          <w:rPr>
            <w:color w:val="0000EE"/>
            <w:u w:val="single"/>
          </w:rPr>
          <w:t>Gn 4.2</w:t>
        </w:r>
      </w:hyperlink>
      <w:r>
        <w:t xml:space="preserve">). A primeira ovelha a ser domesticada foi provavelmente o argali </w:t>
      </w:r>
      <w:r>
        <w:rPr>
          <w:i/>
        </w:rPr>
        <w:t>(Ovis amon),</w:t>
      </w:r>
      <w:r>
        <w:t xml:space="preserve"> uma variedade do urial </w:t>
      </w:r>
      <w:r>
        <w:rPr>
          <w:i/>
        </w:rPr>
        <w:t>(Ovis vignei),</w:t>
      </w:r>
      <w:r>
        <w:t xml:space="preserve"> uma espécie montanhosa ainda existente no Turquestão e na Mongolia. Cinco raças haviam chegado à Mesopotâmia por volta de 2000 a.C.; todas eram da linhagem urial.</w:t>
      </w:r>
    </w:p>
    <w:p>
      <w:r/>
      <w:r>
        <w:t>A ovelha conhecida em Israel era a ovelha de cauda larga (</w:t>
      </w:r>
      <w:r>
        <w:rPr>
          <w:i/>
        </w:rPr>
        <w:t>Ovis orientalis vignei</w:t>
      </w:r>
      <w:r>
        <w:t xml:space="preserve"> ou </w:t>
      </w:r>
      <w:r>
        <w:rPr>
          <w:i/>
        </w:rPr>
        <w:t>laticaudata</w:t>
      </w:r>
      <w:r>
        <w:t>), da qual a cauda pesa de 4,5 a 6,8 quilos e sempre foi considerada uma iguaria. Assim, o Senhor pediu esta parte de escolha como um sacrifício (</w:t>
      </w:r>
      <w:hyperlink r:id="rId1839">
        <w:r>
          <w:rPr>
            <w:color w:val="0000EE"/>
            <w:u w:val="single"/>
          </w:rPr>
          <w:t>Êx 29.22–25</w:t>
        </w:r>
      </w:hyperlink>
      <w:r>
        <w:t>).</w:t>
      </w:r>
    </w:p>
    <w:p>
      <w:r/>
      <w:r>
        <w:t>Apenas o carneiro das ovelhas de cauda larga tem chifres, mas em outras variedades de ovelhas na Terra Santa, a ovelha também tem chifres. Os chifres, de 5 a 8 centímetros de diâmetro, podem ser armas potentes. Os chifres de carneiro poderiam ser usados como trombetas (</w:t>
      </w:r>
      <w:hyperlink r:id="rId1840">
        <w:r>
          <w:rPr>
            <w:color w:val="0000EE"/>
            <w:u w:val="single"/>
          </w:rPr>
          <w:t>Js 6.4</w:t>
        </w:r>
      </w:hyperlink>
      <w:r>
        <w:t>) ou como recipientes de óleo (</w:t>
      </w:r>
      <w:hyperlink r:id="rId1841">
        <w:r>
          <w:rPr>
            <w:color w:val="0000EE"/>
            <w:u w:val="single"/>
          </w:rPr>
          <w:t>1Sm 16.1</w:t>
        </w:r>
      </w:hyperlink>
      <w:r>
        <w:t>).</w:t>
      </w:r>
    </w:p>
    <w:p>
      <w:r/>
      <w:r>
        <w:t>Embora a ovelha seja muito semelhante à cabra, ela é diferenciada por uma testa inferior, seus chifres espirais angulados marcados com rugas transversais e ligeiramente arredondados para fora, sua cobertura de lã e sua falta de um “cavanhaque”. A maioria das ovelhas é branca (</w:t>
      </w:r>
      <w:hyperlink r:id="rId1842">
        <w:r>
          <w:rPr>
            <w:color w:val="0000EE"/>
            <w:u w:val="single"/>
          </w:rPr>
          <w:t>Sl 147.16</w:t>
        </w:r>
      </w:hyperlink>
      <w:r>
        <w:t xml:space="preserve">; </w:t>
      </w:r>
      <w:hyperlink r:id="rId1843">
        <w:r>
          <w:rPr>
            <w:color w:val="0000EE"/>
            <w:u w:val="single"/>
          </w:rPr>
          <w:t>Is 1.18</w:t>
        </w:r>
      </w:hyperlink>
      <w:r>
        <w:t xml:space="preserve">; </w:t>
      </w:r>
      <w:hyperlink r:id="rId1844">
        <w:r>
          <w:rPr>
            <w:color w:val="0000EE"/>
            <w:u w:val="single"/>
          </w:rPr>
          <w:t>Dn 7.9</w:t>
        </w:r>
      </w:hyperlink>
      <w:r>
        <w:t xml:space="preserve">; </w:t>
      </w:r>
      <w:hyperlink r:id="rId1845">
        <w:r>
          <w:rPr>
            <w:color w:val="0000EE"/>
            <w:u w:val="single"/>
          </w:rPr>
          <w:t>Ap 1.14</w:t>
        </w:r>
      </w:hyperlink>
      <w:r>
        <w:t>).</w:t>
      </w:r>
    </w:p>
    <w:p>
      <w:r/>
      <w:r>
        <w:t>A carne de ovelhas era um luxo na cultura bíblica. O rei Salomão exigiu uma provisão diária de 100 ovelhas para sua mesa (</w:t>
      </w:r>
      <w:hyperlink r:id="rId1583">
        <w:r>
          <w:rPr>
            <w:color w:val="0000EE"/>
            <w:u w:val="single"/>
          </w:rPr>
          <w:t>1Rs 4.23</w:t>
        </w:r>
      </w:hyperlink>
      <w:r>
        <w:t>), mas as pessoas comuns comiam cordeiro ou carneiro apenas em ocasiões festivas. Um jovem carneiro geralmente era escolhido porque as ovelhas eram mais importantes para as perspectivas futuras do rebanho. A carne era fervida em grandes caldeirões. O leite das ovelhas é extremamente rico; nos tempos bíblicos, geralmente era permitido coalhar antes de beber. Possivelmente alguns israelitas mantinham cordeiros em suas casas como animais de estimação (</w:t>
      </w:r>
      <w:hyperlink r:id="rId1846">
        <w:r>
          <w:rPr>
            <w:color w:val="0000EE"/>
            <w:u w:val="single"/>
          </w:rPr>
          <w:t>2Sm 12.3–4</w:t>
        </w:r>
      </w:hyperlink>
      <w:r>
        <w:t>).</w:t>
      </w:r>
    </w:p>
    <w:p>
      <w:r/>
      <w:r>
        <w:t>Para proteger o rebanho à noite contra ataques predatórios, o pastor tentava fazer um aprisco. Nos prados perto de aldeias, apriscos eram construídos e vigias eram contratados para aliviar os pastores. Os pastores da história do nascimento de Jesus estavam no campo (</w:t>
      </w:r>
      <w:hyperlink r:id="rId1847">
        <w:r>
          <w:rPr>
            <w:color w:val="0000EE"/>
            <w:u w:val="single"/>
          </w:rPr>
          <w:t>Lc 2.8</w:t>
        </w:r>
      </w:hyperlink>
      <w:r>
        <w:t>); eles não tinham aprisco, mas provavelmente haviam montado uma tenda para abrigo, consistindo simplesmente de cobertores de pêlo de cabra espalhados por suportes pequenas árvores. A escassez de fontes na Terra Santa fez da rega do rebanho um problema crucial para o pastor (</w:t>
      </w:r>
      <w:hyperlink r:id="rId1848">
        <w:r>
          <w:rPr>
            <w:color w:val="0000EE"/>
            <w:u w:val="single"/>
          </w:rPr>
          <w:t>Gn 13.8–11</w:t>
        </w:r>
      </w:hyperlink>
      <w:r>
        <w:t>).</w:t>
      </w:r>
    </w:p>
    <w:p>
      <w:r/>
      <w:r>
        <w:t xml:space="preserve">Ovelhas selvagens da montanha, variedades de </w:t>
      </w:r>
      <w:r>
        <w:rPr>
          <w:i/>
        </w:rPr>
        <w:t>Ovis orientalis,</w:t>
      </w:r>
      <w:r>
        <w:t xml:space="preserve"> são conhecidas na área do Mediterrâneo (</w:t>
      </w:r>
      <w:hyperlink r:id="rId1463">
        <w:r>
          <w:rPr>
            <w:color w:val="0000EE"/>
            <w:u w:val="single"/>
          </w:rPr>
          <w:t>Dt 14.5</w:t>
        </w:r>
      </w:hyperlink>
      <w:r>
        <w:t xml:space="preserve">). A passagem de Deuteronômio (KJV “carneiro montês”) também pode se referir a </w:t>
      </w:r>
      <w:r>
        <w:rPr>
          <w:i/>
        </w:rPr>
        <w:t>Ovis traelaphus,</w:t>
      </w:r>
      <w:r>
        <w:t xml:space="preserve"> uma ovelha com cerca de 1,5 metros de altura com longos chifres ondulados. Outra possibilidade é as ovelhas da Bárbara que vivem em pequenos rebanhos em áreas montanhosas escarpadas na Bárbara, no Egito e no Monte Sinai. A verdadeira cabra-montesa (ou camurça) é desconhecida na Palestina.</w:t>
      </w:r>
    </w:p>
    <w:p>
      <w:r/>
      <w:r>
        <w:t>As ovelhas também são usadas figurativamente nas Escrituras. O carneiro representava grande força e simbolizava adequadamente a Medo-Pérsia na visão de Daniel (</w:t>
      </w:r>
      <w:hyperlink r:id="rId1849">
        <w:r>
          <w:rPr>
            <w:color w:val="0000EE"/>
            <w:u w:val="single"/>
          </w:rPr>
          <w:t>Dn 8.3</w:t>
        </w:r>
      </w:hyperlink>
      <w:r>
        <w:t>). É a natureza das ovelhas ser gentis e submissas (</w:t>
      </w:r>
      <w:hyperlink r:id="rId1837">
        <w:r>
          <w:rPr>
            <w:color w:val="0000EE"/>
            <w:u w:val="single"/>
          </w:rPr>
          <w:t>Is 53.7</w:t>
        </w:r>
      </w:hyperlink>
      <w:r>
        <w:t xml:space="preserve">; </w:t>
      </w:r>
      <w:hyperlink r:id="rId1850">
        <w:r>
          <w:rPr>
            <w:color w:val="0000EE"/>
            <w:u w:val="single"/>
          </w:rPr>
          <w:t>Jr 11.19</w:t>
        </w:r>
      </w:hyperlink>
      <w:r>
        <w:t>), indefesas (</w:t>
      </w:r>
      <w:hyperlink r:id="rId1772">
        <w:r>
          <w:rPr>
            <w:color w:val="0000EE"/>
            <w:u w:val="single"/>
          </w:rPr>
          <w:t>Mq 5.8</w:t>
        </w:r>
      </w:hyperlink>
      <w:r>
        <w:t xml:space="preserve">; </w:t>
      </w:r>
      <w:hyperlink r:id="rId1851">
        <w:r>
          <w:rPr>
            <w:color w:val="0000EE"/>
            <w:u w:val="single"/>
          </w:rPr>
          <w:t>Mt 10.16</w:t>
        </w:r>
      </w:hyperlink>
      <w:r>
        <w:t>) e em constante necessidade de orientação e atenção (</w:t>
      </w:r>
      <w:hyperlink r:id="rId1852">
        <w:r>
          <w:rPr>
            <w:color w:val="0000EE"/>
            <w:u w:val="single"/>
          </w:rPr>
          <w:t>Nm 27.17</w:t>
        </w:r>
      </w:hyperlink>
      <w:r>
        <w:t xml:space="preserve">; </w:t>
      </w:r>
      <w:hyperlink r:id="rId1853">
        <w:r>
          <w:rPr>
            <w:color w:val="0000EE"/>
            <w:u w:val="single"/>
          </w:rPr>
          <w:t>Mt 9.36</w:t>
        </w:r>
      </w:hyperlink>
      <w:r>
        <w:t>). Tais qualidades são consideradas desejáveis nas vidas dos crentes em Cristo; daí as muitas referências figurativas a ovelhas no NT e a Jesus como pastor (</w:t>
      </w:r>
      <w:hyperlink r:id="rId1854">
        <w:r>
          <w:rPr>
            <w:color w:val="0000EE"/>
            <w:u w:val="single"/>
          </w:rPr>
          <w:t>Mc 6.34</w:t>
        </w:r>
      </w:hyperlink>
      <w:r>
        <w:t xml:space="preserve">; </w:t>
      </w:r>
      <w:hyperlink r:id="rId1855">
        <w:r>
          <w:rPr>
            <w:color w:val="0000EE"/>
            <w:u w:val="single"/>
          </w:rPr>
          <w:t>Jo 10.1–30</w:t>
        </w:r>
      </w:hyperlink>
      <w:r>
        <w:t xml:space="preserve">; </w:t>
      </w:r>
      <w:hyperlink r:id="rId1856">
        <w:r>
          <w:rPr>
            <w:color w:val="0000EE"/>
            <w:u w:val="single"/>
          </w:rPr>
          <w:t>Rm 8.35–37</w:t>
        </w:r>
      </w:hyperlink>
      <w:r>
        <w:t xml:space="preserve">; </w:t>
      </w:r>
      <w:hyperlink r:id="rId53">
        <w:r>
          <w:rPr>
            <w:color w:val="0000EE"/>
            <w:u w:val="single"/>
          </w:rPr>
          <w:t>Hb 13.20–21</w:t>
        </w:r>
      </w:hyperlink>
      <w:r>
        <w:t xml:space="preserve">; </w:t>
      </w:r>
      <w:hyperlink r:id="rId962">
        <w:r>
          <w:rPr>
            <w:color w:val="0000EE"/>
            <w:u w:val="single"/>
          </w:rPr>
          <w:t>1Pe 2.25</w:t>
        </w:r>
      </w:hyperlink>
      <w:r>
        <w:t>). O Cristo ressuscitado disse ao apóstolo Pedro para “apascentar meus cordeiros” e “apascentar minhas ovelhas” (</w:t>
      </w:r>
      <w:hyperlink r:id="rId1437">
        <w:r>
          <w:rPr>
            <w:color w:val="0000EE"/>
            <w:u w:val="single"/>
          </w:rPr>
          <w:t>Jo 21.15–17</w:t>
        </w:r>
      </w:hyperlink>
      <w:r>
        <w:t>).</w:t>
      </w:r>
    </w:p>
    <w:p>
      <w:r/>
      <w:r>
        <w:rPr>
          <w:i/>
        </w:rPr>
        <w:t>Ver também</w:t>
      </w:r>
      <w:r>
        <w:t xml:space="preserve"> </w:t>
      </w:r>
      <w:r>
        <w:t>Ofertas e sacrifícios</w:t>
      </w:r>
      <w:r>
        <w:t>.</w:t>
      </w:r>
    </w:p>
    <w:p>
      <w:pPr>
        <w:pStyle w:val="Heading3"/>
      </w:pPr>
      <w:r>
        <w:t>Caracol</w:t>
      </w:r>
    </w:p>
    <w:p>
      <w:r/>
      <w:r>
        <w:t>Gastópodes de invertebrados (moluscos). Os caracóis terrestres são muito numerosos no Oriente Próximo. Algumas formas de água doce servem como hospedeiras para o verme esquistosso, o parasita do acaso que causa a doença assustadora bilharzia (esquistossomose).</w:t>
      </w:r>
    </w:p>
    <w:p>
      <w:r/>
      <w:r>
        <w:t>Os corantes púrpuros de todos os tons eram altamente valorizados no mundo antigo. Um corante púrpura real foi obtido das secreções de um caracol do mar (</w:t>
      </w:r>
      <w:r>
        <w:rPr>
          <w:i/>
        </w:rPr>
        <w:t>Murex e</w:t>
      </w:r>
      <w:r>
        <w:t xml:space="preserve"> </w:t>
      </w:r>
      <w:r>
        <w:rPr>
          <w:i/>
        </w:rPr>
        <w:t>Murex brandaris</w:t>
      </w:r>
      <w:r>
        <w:t>). Evidentemente, esse processo foi desenvolvido por fenícios, egípcios e Assírios já em 1500 a.C. Os pescadores “púrpura” tinham sua própria guilda durante o tempo do Império Romano. Os caracóis eram colhidos durante as estações de outono e inverno; na primavera, quando a postura dos ovos ocorria, pouco corante estava disponível. Os caracóis tendiam a permanecer escondidos no verão. Eles habitavam as águas ao largo de Creta e Fenícia. Púrpura de Tiro, produzida na cidade fenícia de Tiro, o centro da indústria de corante púrpura, foi obtida por um tingimento duplo. Grandes depósitos de conchas de murex provenientes de operações de tingimento foram encontrados ao longo da costa mediterrânea. Os israelitas tinham que importar bens púrpuros (</w:t>
      </w:r>
      <w:hyperlink r:id="rId1573">
        <w:r>
          <w:rPr>
            <w:color w:val="0000EE"/>
            <w:u w:val="single"/>
          </w:rPr>
          <w:t>Ez 27.16</w:t>
        </w:r>
      </w:hyperlink>
      <w:r>
        <w:t>). Lídia era uma “vendedora de púrpura” ou de pano assim tingido (</w:t>
      </w:r>
      <w:hyperlink r:id="rId1857">
        <w:r>
          <w:rPr>
            <w:color w:val="0000EE"/>
            <w:u w:val="single"/>
          </w:rPr>
          <w:t>Atos 16.14</w:t>
        </w:r>
      </w:hyperlink>
      <w:r>
        <w:t xml:space="preserve">). Púrpura era um sinal de distinção, realeza e riqueza (cf. </w:t>
      </w:r>
      <w:hyperlink r:id="rId1858">
        <w:r>
          <w:rPr>
            <w:color w:val="0000EE"/>
            <w:u w:val="single"/>
          </w:rPr>
          <w:t>Êx 25.4</w:t>
        </w:r>
      </w:hyperlink>
      <w:r>
        <w:t xml:space="preserve">; </w:t>
      </w:r>
      <w:hyperlink r:id="rId1859">
        <w:r>
          <w:rPr>
            <w:color w:val="0000EE"/>
            <w:u w:val="single"/>
          </w:rPr>
          <w:t>28.5–6, 15</w:t>
        </w:r>
      </w:hyperlink>
      <w:r>
        <w:t xml:space="preserve">; </w:t>
      </w:r>
      <w:hyperlink r:id="rId1860">
        <w:r>
          <w:rPr>
            <w:color w:val="0000EE"/>
            <w:u w:val="single"/>
          </w:rPr>
          <w:t>Nm 15.38</w:t>
        </w:r>
      </w:hyperlink>
      <w:r>
        <w:t xml:space="preserve">; </w:t>
      </w:r>
      <w:hyperlink r:id="rId1861">
        <w:r>
          <w:rPr>
            <w:color w:val="0000EE"/>
            <w:u w:val="single"/>
          </w:rPr>
          <w:t>2Cr 2.7</w:t>
        </w:r>
      </w:hyperlink>
      <w:r>
        <w:t xml:space="preserve">; </w:t>
      </w:r>
      <w:hyperlink r:id="rId1862">
        <w:r>
          <w:rPr>
            <w:color w:val="0000EE"/>
            <w:u w:val="single"/>
          </w:rPr>
          <w:t>Et 8:15</w:t>
        </w:r>
      </w:hyperlink>
      <w:r>
        <w:t xml:space="preserve">; </w:t>
      </w:r>
      <w:hyperlink r:id="rId1863">
        <w:r>
          <w:rPr>
            <w:color w:val="0000EE"/>
            <w:u w:val="single"/>
          </w:rPr>
          <w:t>Pv 31.22</w:t>
        </w:r>
      </w:hyperlink>
      <w:r>
        <w:t xml:space="preserve">; </w:t>
      </w:r>
      <w:hyperlink r:id="rId1864">
        <w:r>
          <w:rPr>
            <w:color w:val="0000EE"/>
            <w:u w:val="single"/>
          </w:rPr>
          <w:t>Ct 3.10</w:t>
        </w:r>
      </w:hyperlink>
      <w:r>
        <w:t xml:space="preserve">; </w:t>
      </w:r>
      <w:hyperlink r:id="rId1865">
        <w:r>
          <w:rPr>
            <w:color w:val="0000EE"/>
            <w:u w:val="single"/>
          </w:rPr>
          <w:t>Ez 27.7</w:t>
        </w:r>
      </w:hyperlink>
      <w:r>
        <w:t xml:space="preserve">; </w:t>
      </w:r>
      <w:hyperlink r:id="rId1866">
        <w:r>
          <w:rPr>
            <w:color w:val="0000EE"/>
            <w:u w:val="single"/>
          </w:rPr>
          <w:t>Dn 5.7</w:t>
        </w:r>
      </w:hyperlink>
      <w:r>
        <w:t>).</w:t>
      </w:r>
    </w:p>
    <w:p>
      <w:r/>
      <w:hyperlink r:id="rId1867">
        <w:r>
          <w:rPr>
            <w:color w:val="0000EE"/>
            <w:u w:val="single"/>
          </w:rPr>
          <w:t>Êxodo 30.34–35</w:t>
        </w:r>
      </w:hyperlink>
      <w:r>
        <w:t xml:space="preserve"> se refere à “onicá”, que era um ingrediente importante do incenso. Onycha é o óvulo espinhoso e semelhante a uma garra (a placa que fecha a abertura de sua concha quando um caracol é retraído) de um membro do Oriente Próximo da família dos moluscos Strombidae. O óvulo às vezes é usado para ofensa ou locomoção, bem como para defesa. Quando queimado, o óvulo emite um aroma intenso, e quando misturado com substâncias mais perfumadas, mas menos poderosas, é ainda mais potente. O nome “onycha” é derivado de uma palavra grega </w:t>
      </w:r>
      <w:r>
        <w:rPr>
          <w:i/>
        </w:rPr>
        <w:t>(ônix)</w:t>
      </w:r>
      <w:r>
        <w:t xml:space="preserve"> para uma unha ou uma garra.</w:t>
      </w:r>
    </w:p>
    <w:p>
      <w:r/>
      <w:r>
        <w:rPr>
          <w:i/>
        </w:rPr>
        <w:t>Ver também</w:t>
      </w:r>
      <w:r>
        <w:t xml:space="preserve"> </w:t>
      </w:r>
      <w:r>
        <w:t>Tintura, Tingimento, Tintureiro</w:t>
      </w:r>
      <w:r>
        <w:t>.</w:t>
      </w:r>
    </w:p>
    <w:p>
      <w:pPr>
        <w:pStyle w:val="Heading3"/>
      </w:pPr>
      <w:r>
        <w:t>Serpente</w:t>
      </w:r>
    </w:p>
    <w:p>
      <w:r/>
      <w:r>
        <w:t xml:space="preserve">Várias espécies de cobra, subordem Ophidia (Serpentes). Na Bíblia, nove palavras hebraicas e quatro gregas se referem a cobras. A palavra hebraica mais comum é onomatopoética — isto é, é uma imitação de um silvo de cobra ou do som que ela produz enquanto raspa suas escamas ao longo do chão (cf. </w:t>
      </w:r>
      <w:hyperlink r:id="rId1868">
        <w:r>
          <w:rPr>
            <w:color w:val="0000EE"/>
            <w:u w:val="single"/>
          </w:rPr>
          <w:t>Jr 46.22</w:t>
        </w:r>
      </w:hyperlink>
      <w:r>
        <w:t>). Muitos tipos de cobras colocam ovos (</w:t>
      </w:r>
      <w:hyperlink r:id="rId1869">
        <w:r>
          <w:rPr>
            <w:color w:val="0000EE"/>
            <w:u w:val="single"/>
          </w:rPr>
          <w:t>Is 59.5</w:t>
        </w:r>
      </w:hyperlink>
      <w:r>
        <w:t>), embora algumas retenham os ovos no corpo até estarem prontas para chocar.</w:t>
      </w:r>
    </w:p>
    <w:p>
      <w:r/>
      <w:r>
        <w:t>As cobras estão entre os répteis mais difundidos e são encontradas em todos os continentes, exceto a Antártida; elas diminuem em número e espécies em direção aos pólos, mas aumentam à medida que se aproxima do equador. Trinta e três espécies de cobras são conhecidas na Palestina e países vizinhos, 20 das quais são venenosas. Duas características perigosas da cobra observadas pelos escritores bíblicos são sua maneira inconspicual de se mover e a facilidade com que ela se esconde.</w:t>
      </w:r>
    </w:p>
    <w:p>
      <w:r/>
      <w:r>
        <w:t>Muitas cobras são capazes de engolir animais várias vezes seu próprio diâmetro por causa de seu mecanismo de mandíbula incomumente flexível. Não são apenas pernas que elas não têm, mas também pálpebras móveis. As cobras periodicamente removem suas peles. A língua é, na verdade um aparato auditivo sensível às vibrações transmitidas pelo ar e provavelmente às ondas de calor.</w:t>
      </w:r>
    </w:p>
    <w:p>
      <w:r/>
      <w:r>
        <w:t>O veneno de espécies venenosas é uma secreção clara e fina, transmitida para a corrente sanguínea da vítima por meio de presas. Dois tipos de veneno são conhecidos: o das víboras, que afeta a respiração e desintegra os glóbulos vermelhos, e o das cobras, que paralisa o sistema nervoso.</w:t>
      </w:r>
    </w:p>
    <w:p>
      <w:r/>
      <w:r>
        <w:t>A “áspide” referido na Bíblia é provavelmente a cobra; a “serpente” é a víbora. A “basilisco” (ARC) é provavelmente a serpente. As serpentes eram associadas com a adoração na religião cananeia e simbolizavam divindades malignas entre muitos outros povos. Esteles (pedras verticais com inscrições) foram desenterradas em vários locais na Terra Santa e na Síria, representando um deus ou adorador com uma serpente sobre as pernas, ou o corpo. Porque os israelitas estavam queimando incenso na adoração pagã da serpente de bronze de Moisés (</w:t>
      </w:r>
      <w:hyperlink r:id="rId1870">
        <w:r>
          <w:rPr>
            <w:color w:val="0000EE"/>
            <w:u w:val="single"/>
          </w:rPr>
          <w:t>Nm 21.8–9</w:t>
        </w:r>
      </w:hyperlink>
      <w:r>
        <w:t>), o rei Ezequias o destruiu em sua reforma religiosa (</w:t>
      </w:r>
      <w:hyperlink r:id="rId1871">
        <w:r>
          <w:rPr>
            <w:color w:val="0000EE"/>
            <w:u w:val="single"/>
          </w:rPr>
          <w:t>2Rs 18.4</w:t>
        </w:r>
      </w:hyperlink>
      <w:r>
        <w:t>).</w:t>
      </w:r>
    </w:p>
    <w:p>
      <w:r/>
      <w:r>
        <w:t>Embora as serpentes tenham sido um objeto de veneração em algumas religiões, na tradição judaico-cristã, as serpentes representam o mal e, mais especificamente, o diabo. Essa associação começou no Jardim do Éden (</w:t>
      </w:r>
      <w:hyperlink r:id="rId1872">
        <w:r>
          <w:rPr>
            <w:color w:val="0000EE"/>
            <w:u w:val="single"/>
          </w:rPr>
          <w:t>Gn 3.1–15</w:t>
        </w:r>
      </w:hyperlink>
      <w:r>
        <w:t>) e também é encontrada no livro de Apocalipse (</w:t>
      </w:r>
      <w:hyperlink r:id="rId123">
        <w:r>
          <w:rPr>
            <w:color w:val="0000EE"/>
            <w:u w:val="single"/>
          </w:rPr>
          <w:t>12.9</w:t>
        </w:r>
      </w:hyperlink>
      <w:r>
        <w:t xml:space="preserve">; </w:t>
      </w:r>
      <w:hyperlink r:id="rId120">
        <w:r>
          <w:rPr>
            <w:color w:val="0000EE"/>
            <w:u w:val="single"/>
          </w:rPr>
          <w:t>20.2–3</w:t>
        </w:r>
      </w:hyperlink>
      <w:r>
        <w:t>).</w:t>
      </w:r>
    </w:p>
    <w:p>
      <w:r/>
      <w:r>
        <w:rPr>
          <w:i/>
        </w:rPr>
        <w:t>Veja também</w:t>
      </w:r>
      <w:r>
        <w:t xml:space="preserve"> Víbora (abaixo); Áspide (acima).</w:t>
      </w:r>
    </w:p>
    <w:p>
      <w:pPr>
        <w:pStyle w:val="Heading3"/>
      </w:pPr>
      <w:r>
        <w:t>Aranha</w:t>
      </w:r>
    </w:p>
    <w:p>
      <w:r/>
      <w:r>
        <w:t>Animal da ordem Araneida. Entre 600 e 700 espécies diferentes habitam a Terra Santa. As aranhas são diferentes dos insetos porque, como escorpiões, elas têm quatro pares de pernas em vez de três. As aranhas estão equipadas com glândulas venenosas — a eficácia varia de espécie para espécie. Alguns podem matar apenas insetos, mas outros também podem matar pássaros e ratos.</w:t>
      </w:r>
    </w:p>
    <w:p>
      <w:r/>
      <w:r>
        <w:t>A maioria das aranhas tem um par de fieiras presas às glândulas de seda na parte inferior do abdômen; delas sai uma teia. Na Bíblia, a teia é referida como um símbolo de fragilidade e insegurança (</w:t>
      </w:r>
      <w:hyperlink r:id="rId1873">
        <w:r>
          <w:rPr>
            <w:color w:val="0000EE"/>
            <w:u w:val="single"/>
          </w:rPr>
          <w:t>Jó 8.14</w:t>
        </w:r>
      </w:hyperlink>
      <w:r>
        <w:t xml:space="preserve">; </w:t>
      </w:r>
      <w:hyperlink r:id="rId1874">
        <w:r>
          <w:rPr>
            <w:color w:val="0000EE"/>
            <w:u w:val="single"/>
          </w:rPr>
          <w:t>Is 59.5–6</w:t>
        </w:r>
      </w:hyperlink>
      <w:r>
        <w:t>).</w:t>
      </w:r>
    </w:p>
    <w:p>
      <w:pPr>
        <w:pStyle w:val="Heading3"/>
      </w:pPr>
      <w:r>
        <w:t>Esponja</w:t>
      </w:r>
    </w:p>
    <w:p>
      <w:r/>
      <w:r>
        <w:t>Animais marinhos simples, filo Porifera. O termo “esponja” também se refere aos restos esqueléticos desses animais. A esponja tem um corpo poroso composto de túbulos e células.</w:t>
      </w:r>
    </w:p>
    <w:p>
      <w:r/>
      <w:r>
        <w:t>A pesca de esponja era bem conhecida na área do Mediterrâneo nos tempos antigos. Era praticado especialmente ao longo das costas da Anatólia e da Síria. Esponjas foram colhidas por mergulhadores. O uso de esponjas na absorção de líquidos é referido na Bíblia (</w:t>
      </w:r>
      <w:hyperlink r:id="rId1875">
        <w:r>
          <w:rPr>
            <w:color w:val="0000EE"/>
            <w:u w:val="single"/>
          </w:rPr>
          <w:t>Mt 27.48</w:t>
        </w:r>
      </w:hyperlink>
      <w:r>
        <w:t xml:space="preserve">; </w:t>
      </w:r>
      <w:hyperlink r:id="rId1876">
        <w:r>
          <w:rPr>
            <w:color w:val="0000EE"/>
            <w:u w:val="single"/>
          </w:rPr>
          <w:t>Mc 15.36</w:t>
        </w:r>
      </w:hyperlink>
      <w:r>
        <w:t>).</w:t>
      </w:r>
    </w:p>
    <w:p>
      <w:pPr>
        <w:pStyle w:val="Heading3"/>
      </w:pPr>
      <w:r>
        <w:t>Unicórnio</w:t>
      </w:r>
    </w:p>
    <w:p>
      <w:r/>
      <w:r>
        <w:rPr>
          <w:i/>
        </w:rPr>
        <w:t>Veja</w:t>
      </w:r>
      <w:r>
        <w:t xml:space="preserve"> </w:t>
      </w:r>
      <w:r>
        <w:t>Boi Selvagem (abaixo)</w:t>
      </w:r>
      <w:r>
        <w:t>.</w:t>
      </w:r>
    </w:p>
    <w:p>
      <w:pPr>
        <w:pStyle w:val="Heading3"/>
      </w:pPr>
      <w:r>
        <w:t>Vespa</w:t>
      </w:r>
    </w:p>
    <w:p>
      <w:r/>
      <w:r>
        <w:t>Insetos da família Vespidae. Os zangões são vespas sociais que constroem grandes casas de apartamentos aéreas nas quais 1.000 ou mais indivíduos podem viver. Na Bíblia, a vespa é usada como uma metáfora para o uso das forças militares por Deus (</w:t>
      </w:r>
      <w:hyperlink r:id="rId1877">
        <w:r>
          <w:rPr>
            <w:color w:val="0000EE"/>
            <w:u w:val="single"/>
          </w:rPr>
          <w:t>Êx 23.28</w:t>
        </w:r>
      </w:hyperlink>
      <w:r>
        <w:t xml:space="preserve">; </w:t>
      </w:r>
      <w:hyperlink r:id="rId1878">
        <w:r>
          <w:rPr>
            <w:color w:val="0000EE"/>
            <w:u w:val="single"/>
          </w:rPr>
          <w:t>Dt 7.20</w:t>
        </w:r>
      </w:hyperlink>
      <w:r>
        <w:t xml:space="preserve">; </w:t>
      </w:r>
      <w:hyperlink r:id="rId1879">
        <w:r>
          <w:rPr>
            <w:color w:val="0000EE"/>
            <w:u w:val="single"/>
          </w:rPr>
          <w:t>Js 24.12</w:t>
        </w:r>
      </w:hyperlink>
      <w:r>
        <w:t>).</w:t>
      </w:r>
    </w:p>
    <w:p>
      <w:pPr>
        <w:pStyle w:val="Heading3"/>
      </w:pPr>
      <w:r>
        <w:t>Baleia</w:t>
      </w:r>
    </w:p>
    <w:p>
      <w:r/>
      <w:r>
        <w:t>A maior de todas as criaturas vivas, incluindo aquelas que se tornaram extintas. As baleias são mamíferos que respiram ar da ordem Cetacea.</w:t>
      </w:r>
    </w:p>
    <w:p>
      <w:r/>
      <w:r>
        <w:t xml:space="preserve">Duas variedades de baleias visitam as margens da Terra Santa às vezes. A baleia-comum </w:t>
      </w:r>
      <w:r>
        <w:rPr>
          <w:i/>
        </w:rPr>
        <w:t>(Balaenoptera physalus)</w:t>
      </w:r>
      <w:r>
        <w:t xml:space="preserve"> pesa cerca de 200 toneladas (181 toneladas métricas) e vive principalmente na região do Ártico, mas às vezes atravessa o Estreito de Gibraltar para chegar ao leste do Mar Mediterrâneo. Alimenta-se de pequenos organismos marinhos que coam através de seu osso de baleia; elas não têm dentes. O esôfago da baleia-comum é estreito.</w:t>
      </w:r>
    </w:p>
    <w:p>
      <w:r/>
      <w:r>
        <w:t xml:space="preserve">A baleia cachalote </w:t>
      </w:r>
      <w:r>
        <w:rPr>
          <w:i/>
        </w:rPr>
        <w:t>(Physeter catodon),</w:t>
      </w:r>
      <w:r>
        <w:t xml:space="preserve"> com cerca de 18,3 metros de comprimento, tem uma cabeça em forma estranha que tem uma forma quadrada. Os dentes no maxilar inferior da cachalote macho têm cerca de 17,8 centímetros de comprimento. Alimenta-se de peixes grandes, até mesmo de tubarões. Tem uma grande abertura de garganta.</w:t>
      </w:r>
    </w:p>
    <w:p>
      <w:r/>
      <w:r>
        <w:t xml:space="preserve">As baleias são referidas em </w:t>
      </w:r>
      <w:hyperlink r:id="rId1453">
        <w:r>
          <w:rPr>
            <w:color w:val="0000EE"/>
            <w:u w:val="single"/>
          </w:rPr>
          <w:t>Gênesis 1.21</w:t>
        </w:r>
      </w:hyperlink>
      <w:r>
        <w:t xml:space="preserve"> e </w:t>
      </w:r>
      <w:hyperlink r:id="rId1639">
        <w:r>
          <w:rPr>
            <w:color w:val="0000EE"/>
            <w:u w:val="single"/>
          </w:rPr>
          <w:t>Jó 7.12</w:t>
        </w:r>
      </w:hyperlink>
      <w:r>
        <w:t xml:space="preserve"> (apenas kjv). O “grande peixe” de </w:t>
      </w:r>
      <w:hyperlink r:id="rId1880">
        <w:r>
          <w:rPr>
            <w:color w:val="0000EE"/>
            <w:u w:val="single"/>
          </w:rPr>
          <w:t>Jonas 2.1</w:t>
        </w:r>
      </w:hyperlink>
      <w:r>
        <w:t xml:space="preserve"> não precisava ter sido uma baleia, mas poderia ter sido um grande tubarão, como o tubarão-baleia </w:t>
      </w:r>
      <w:r>
        <w:rPr>
          <w:i/>
        </w:rPr>
        <w:t>(Rhineodon),</w:t>
      </w:r>
      <w:r>
        <w:t xml:space="preserve"> que cresce 21,3 metros de comprimento e não tem os dentes terríveis de outros tubarões. Seja qual for o organismo marinho real, a libertação de Jonas foi milagrosa. A palavra grega para “baleia” é às vezes usada como um termo geral para “monstro marinho” ou peixe enorme e pode ser usada nesse sentido em </w:t>
      </w:r>
      <w:hyperlink r:id="rId1881">
        <w:r>
          <w:rPr>
            <w:color w:val="0000EE"/>
            <w:u w:val="single"/>
          </w:rPr>
          <w:t>Mateus 12.40</w:t>
        </w:r>
      </w:hyperlink>
      <w:r>
        <w:t>.</w:t>
      </w:r>
    </w:p>
    <w:p>
      <w:pPr>
        <w:pStyle w:val="Heading3"/>
      </w:pPr>
      <w:r>
        <w:t>Boi selvagem</w:t>
      </w:r>
    </w:p>
    <w:p>
      <w:r/>
      <w:r>
        <w:t xml:space="preserve">Grande, feroz, veloz, animal intratável </w:t>
      </w:r>
      <w:r>
        <w:rPr>
          <w:i/>
        </w:rPr>
        <w:t>(Bos primigenius).</w:t>
      </w:r>
      <w:r>
        <w:t xml:space="preserve"> Tinha uma alcança longa e magra, com costas retas e uma cabeça longa e estreita. O animal descrito em </w:t>
      </w:r>
      <w:hyperlink r:id="rId1882">
        <w:r>
          <w:rPr>
            <w:color w:val="0000EE"/>
            <w:u w:val="single"/>
          </w:rPr>
          <w:t>Jó 39.9–12</w:t>
        </w:r>
      </w:hyperlink>
      <w:r>
        <w:t xml:space="preserve"> é claramente o boi selvagem. Os dois chifres (</w:t>
      </w:r>
      <w:hyperlink r:id="rId1525">
        <w:r>
          <w:rPr>
            <w:color w:val="0000EE"/>
            <w:u w:val="single"/>
          </w:rPr>
          <w:t>Dt 33.17</w:t>
        </w:r>
      </w:hyperlink>
      <w:r>
        <w:t>), sua característica excepcional, eram retos e tão longos quanto a cabeça (</w:t>
      </w:r>
      <w:hyperlink r:id="rId1883">
        <w:r>
          <w:rPr>
            <w:color w:val="0000EE"/>
            <w:u w:val="single"/>
          </w:rPr>
          <w:t>Nm 23.22</w:t>
        </w:r>
      </w:hyperlink>
      <w:r>
        <w:t xml:space="preserve">; </w:t>
      </w:r>
      <w:hyperlink r:id="rId1884">
        <w:r>
          <w:rPr>
            <w:color w:val="0000EE"/>
            <w:u w:val="single"/>
          </w:rPr>
          <w:t>24.8</w:t>
        </w:r>
      </w:hyperlink>
      <w:r>
        <w:t xml:space="preserve">; </w:t>
      </w:r>
      <w:hyperlink r:id="rId1885">
        <w:r>
          <w:rPr>
            <w:color w:val="0000EE"/>
            <w:u w:val="single"/>
          </w:rPr>
          <w:t>Sl 22:21</w:t>
        </w:r>
      </w:hyperlink>
      <w:r>
        <w:t xml:space="preserve">). Os reis muitas vezes simbolizavam seu domínio usando um capacete com dois chifres de boi selvagens (cf. </w:t>
      </w:r>
      <w:hyperlink r:id="rId1886">
        <w:r>
          <w:rPr>
            <w:color w:val="0000EE"/>
            <w:u w:val="single"/>
          </w:rPr>
          <w:t>Sl 92.10</w:t>
        </w:r>
      </w:hyperlink>
      <w:r>
        <w:t xml:space="preserve">; </w:t>
      </w:r>
      <w:hyperlink r:id="rId1887">
        <w:r>
          <w:rPr>
            <w:color w:val="0000EE"/>
            <w:u w:val="single"/>
          </w:rPr>
          <w:t>132.17–18</w:t>
        </w:r>
      </w:hyperlink>
      <w:r>
        <w:t>). Os chifres eram muitas vezes usados como vasos para beber pelos israelitas; alguns eram grandes o suficiente para conter quatro galões (15 litros).</w:t>
      </w:r>
    </w:p>
    <w:p>
      <w:r/>
      <w:r>
        <w:t xml:space="preserve">Caçar o boi selvagem era um esporte favorito dos reis Assírios. Tiglate-Pileser I caçou nas Montanhas do Líbano por volta de 1100 a.C. (cf. </w:t>
      </w:r>
      <w:hyperlink r:id="rId1888">
        <w:r>
          <w:rPr>
            <w:color w:val="0000EE"/>
            <w:u w:val="single"/>
          </w:rPr>
          <w:t>Sl 29.6</w:t>
        </w:r>
      </w:hyperlink>
      <w:r>
        <w:t xml:space="preserve">). Ao mesmo tempo, pensava-se que o animal referido em </w:t>
      </w:r>
      <w:hyperlink r:id="rId1882">
        <w:r>
          <w:rPr>
            <w:color w:val="0000EE"/>
            <w:u w:val="single"/>
          </w:rPr>
          <w:t>Jó 39.9–12</w:t>
        </w:r>
      </w:hyperlink>
      <w:r>
        <w:t xml:space="preserve"> fosse o oryx ou antílope por causa da semelhança entre a palavra hebraica em Jó e o nome árabe para oryx. Os tradutores da versão kjv chamaram o boi selvagem de “unicórnio” por causa das representações encontradas nos mosaicos babilônicos e desenhos egípcios. Essas representações o mostraram em perfil estrito, mostrando apenas um chifre — portanto, “unicórnio”. A Vulgata de Jerônimo, uma tradução latina da Bíblia (quarto século d.C.) e a versão alemã de Martinho Lutero a traduziram da mesma forma.</w:t>
      </w:r>
    </w:p>
    <w:p>
      <w:pPr>
        <w:pStyle w:val="Heading3"/>
      </w:pPr>
      <w:r>
        <w:t>Lobo</w:t>
      </w:r>
    </w:p>
    <w:p>
      <w:r/>
      <w:r>
        <w:t xml:space="preserve">Grande mamífero semelhante a um cão </w:t>
      </w:r>
      <w:r>
        <w:rPr>
          <w:i/>
        </w:rPr>
        <w:t>(Canis lupus)</w:t>
      </w:r>
      <w:r>
        <w:t xml:space="preserve"> que viaja em bandas de até 30 animais. Do nariz ao traseiro, o lobo mede cerca de 0,9 metros; sua cauda caída tem cerca de 0,5 metros de comprimento. Parece muito com um cão pastor alemão magro. A pele amarela acinzentada é grossa e de pelos curtos.</w:t>
      </w:r>
    </w:p>
    <w:p>
      <w:r/>
      <w:r>
        <w:t>Os lobos caçam isoladamente ou em revezamento, geralmente à noite (</w:t>
      </w:r>
      <w:hyperlink r:id="rId1750">
        <w:r>
          <w:rPr>
            <w:color w:val="0000EE"/>
            <w:u w:val="single"/>
          </w:rPr>
          <w:t>Jr 5.6</w:t>
        </w:r>
      </w:hyperlink>
      <w:r>
        <w:t>). Os lobos têm audição e visão agudas, mas confiam principalmente no cheiro e geralmente capturam suas presas em uma perseguição rápida e aberta. O lobo tem fama de ousadia, ferocidade e voracidade (</w:t>
      </w:r>
      <w:hyperlink r:id="rId1889">
        <w:r>
          <w:rPr>
            <w:color w:val="0000EE"/>
            <w:u w:val="single"/>
          </w:rPr>
          <w:t>Gn 49.27</w:t>
        </w:r>
      </w:hyperlink>
      <w:r>
        <w:t xml:space="preserve">; </w:t>
      </w:r>
      <w:hyperlink r:id="rId1747">
        <w:r>
          <w:rPr>
            <w:color w:val="0000EE"/>
            <w:u w:val="single"/>
          </w:rPr>
          <w:t>Hb 1.8</w:t>
        </w:r>
      </w:hyperlink>
      <w:r>
        <w:t>). Geralmente mata mais do que pode comer ou arrastar e, portanto, é conhecido por sua ganância.</w:t>
      </w:r>
    </w:p>
    <w:p>
      <w:r/>
      <w:r>
        <w:t>O lobo é um animal inquieto, sempre em movimento; a fome o leva de um lugar para outro em busca constante de novos campos de caça. Durante a primavera e o outono, os lobos geralmente vagam sozinhos ou em pares, enquanto que no verão eles podem viajar em grupos familiares. No inverno, vários desses grupos podem se unir para formar um grande grupo. Os lobos são criaturas inteligentes e sociais, fiéis à sua própria espécie. Eles acasalam para a vida. Individualmente, o lobo é um animal bastante tímido; preferiria evitar os seres humanos. Mas coletivamente, os lobos podem estar entre os animais vivos mais perigosos.</w:t>
      </w:r>
    </w:p>
    <w:p>
      <w:r/>
      <w:r>
        <w:t>No Egito, Roma e Grécia, o lobo era considerado sagrado. Os lobos eram bem conhecidos na Terra Santa e ainda são encontrados lá e também em muitos lugares na Ásia Menor. Os pastores continuamente lutavam com lobos que saqueavam seus rebanhos (</w:t>
      </w:r>
      <w:hyperlink r:id="rId1890">
        <w:r>
          <w:rPr>
            <w:color w:val="0000EE"/>
            <w:u w:val="single"/>
          </w:rPr>
          <w:t>Jo 10.12</w:t>
        </w:r>
      </w:hyperlink>
      <w:r>
        <w:t>).</w:t>
      </w:r>
    </w:p>
    <w:p>
      <w:r/>
      <w:r>
        <w:t>A Bíblia se refere aos lobos em um sentido literal em apenas três lugares (</w:t>
      </w:r>
      <w:hyperlink r:id="rId1545">
        <w:r>
          <w:rPr>
            <w:color w:val="0000EE"/>
            <w:u w:val="single"/>
          </w:rPr>
          <w:t>Is 11.6</w:t>
        </w:r>
      </w:hyperlink>
      <w:r>
        <w:t xml:space="preserve">; </w:t>
      </w:r>
      <w:hyperlink r:id="rId1891">
        <w:r>
          <w:rPr>
            <w:color w:val="0000EE"/>
            <w:u w:val="single"/>
          </w:rPr>
          <w:t>65.25</w:t>
        </w:r>
      </w:hyperlink>
      <w:r>
        <w:t xml:space="preserve">; </w:t>
      </w:r>
      <w:hyperlink r:id="rId1890">
        <w:r>
          <w:rPr>
            <w:color w:val="0000EE"/>
            <w:u w:val="single"/>
          </w:rPr>
          <w:t>Jo 10.12</w:t>
        </w:r>
      </w:hyperlink>
      <w:r>
        <w:t xml:space="preserve">), todas as outras referências sendo figurativas. Geralmente o lobo é um símbolo de inimigos ou os ímpios (p. ex., </w:t>
      </w:r>
      <w:hyperlink r:id="rId1892">
        <w:r>
          <w:rPr>
            <w:color w:val="0000EE"/>
            <w:u w:val="single"/>
          </w:rPr>
          <w:t>Ez 22.27</w:t>
        </w:r>
      </w:hyperlink>
      <w:r>
        <w:t xml:space="preserve">; </w:t>
      </w:r>
      <w:hyperlink r:id="rId1893">
        <w:r>
          <w:rPr>
            <w:color w:val="0000EE"/>
            <w:u w:val="single"/>
          </w:rPr>
          <w:t>Sf 3.3</w:t>
        </w:r>
      </w:hyperlink>
      <w:r>
        <w:t xml:space="preserve">; </w:t>
      </w:r>
      <w:hyperlink r:id="rId1894">
        <w:r>
          <w:rPr>
            <w:color w:val="0000EE"/>
            <w:u w:val="single"/>
          </w:rPr>
          <w:t>Atos 20.29</w:t>
        </w:r>
      </w:hyperlink>
      <w:r>
        <w:t>). Tanto a coragem do lobo quanto sua crueldade provavelmente estavam na mente do patriarca Jacó quando ele previu o destino da tribo de Benjamim (</w:t>
      </w:r>
      <w:hyperlink r:id="rId1889">
        <w:r>
          <w:rPr>
            <w:color w:val="0000EE"/>
            <w:u w:val="single"/>
          </w:rPr>
          <w:t>Gn 49.27</w:t>
        </w:r>
      </w:hyperlink>
      <w:r>
        <w:t>).</w:t>
      </w:r>
    </w:p>
    <w:p>
      <w:pPr>
        <w:pStyle w:val="Heading3"/>
      </w:pPr>
      <w:r>
        <w:t>Verme</w:t>
      </w:r>
    </w:p>
    <w:p>
      <w:r/>
      <w:r>
        <w:t>Na verdade, larvas de insetos na maioria das referências bíblicas, geralmente vermes, larvas de moscas (veja mosca, acima). Por exemplo, larvas são evidentemente referidos nos relatos de vermes que se alimentam de maná estragado (</w:t>
      </w:r>
      <w:hyperlink r:id="rId1895">
        <w:r>
          <w:rPr>
            <w:color w:val="0000EE"/>
            <w:u w:val="single"/>
          </w:rPr>
          <w:t>Êx 16.19–20),</w:t>
        </w:r>
      </w:hyperlink>
      <w:r>
        <w:t xml:space="preserve"> cadáveres (</w:t>
      </w:r>
      <w:hyperlink r:id="rId1896">
        <w:r>
          <w:rPr>
            <w:color w:val="0000EE"/>
            <w:u w:val="single"/>
          </w:rPr>
          <w:t>Jó 21.26</w:t>
        </w:r>
      </w:hyperlink>
      <w:r>
        <w:t xml:space="preserve">; </w:t>
      </w:r>
      <w:hyperlink r:id="rId1666">
        <w:r>
          <w:rPr>
            <w:color w:val="0000EE"/>
            <w:u w:val="single"/>
          </w:rPr>
          <w:t>Is 14.11</w:t>
        </w:r>
      </w:hyperlink>
      <w:r>
        <w:t>), ou feridas abertas (</w:t>
      </w:r>
      <w:hyperlink r:id="rId1668">
        <w:r>
          <w:rPr>
            <w:color w:val="0000EE"/>
            <w:u w:val="single"/>
          </w:rPr>
          <w:t>Jó 7.5</w:t>
        </w:r>
      </w:hyperlink>
      <w:r>
        <w:t xml:space="preserve">). </w:t>
      </w:r>
      <w:hyperlink r:id="rId1897">
        <w:r>
          <w:rPr>
            <w:color w:val="0000EE"/>
            <w:u w:val="single"/>
          </w:rPr>
          <w:t>Marcos 9.48</w:t>
        </w:r>
      </w:hyperlink>
      <w:r>
        <w:t xml:space="preserve"> se refere a um verme que come carne morta. Em </w:t>
      </w:r>
      <w:hyperlink r:id="rId1898">
        <w:r>
          <w:rPr>
            <w:color w:val="0000EE"/>
            <w:u w:val="single"/>
          </w:rPr>
          <w:t>Atos 12.23</w:t>
        </w:r>
      </w:hyperlink>
      <w:r>
        <w:t>, uma doença abdominal fatal e induzida por vermes do rei Herodes é mencionada. Em outros casos, a referência é às larvas de outros insetos (</w:t>
      </w:r>
      <w:hyperlink r:id="rId1806">
        <w:r>
          <w:rPr>
            <w:color w:val="0000EE"/>
            <w:u w:val="single"/>
          </w:rPr>
          <w:t>Is 51.8</w:t>
        </w:r>
      </w:hyperlink>
      <w:r>
        <w:t xml:space="preserve">). Em </w:t>
      </w:r>
      <w:hyperlink r:id="rId1899">
        <w:r>
          <w:rPr>
            <w:color w:val="0000EE"/>
            <w:u w:val="single"/>
          </w:rPr>
          <w:t>Deuteronômio 28.39</w:t>
        </w:r>
      </w:hyperlink>
      <w:r>
        <w:t xml:space="preserve"> e </w:t>
      </w:r>
      <w:hyperlink r:id="rId1900">
        <w:r>
          <w:rPr>
            <w:color w:val="0000EE"/>
            <w:u w:val="single"/>
          </w:rPr>
          <w:t>Jonas 4.7</w:t>
        </w:r>
      </w:hyperlink>
      <w:r>
        <w:t xml:space="preserve">, o gorgulho da videira </w:t>
      </w:r>
      <w:r>
        <w:rPr>
          <w:i/>
        </w:rPr>
        <w:t>(Cochylis ambiguella)</w:t>
      </w:r>
      <w:r>
        <w:t xml:space="preserve"> é provavelmente mencionado; destrói as videiras perfurando seus caules. Comparar um homem com um verme é uma metáfora para humilhação (</w:t>
      </w:r>
      <w:hyperlink r:id="rId1665">
        <w:r>
          <w:rPr>
            <w:color w:val="0000EE"/>
            <w:u w:val="single"/>
          </w:rPr>
          <w:t>Jó 25.6</w:t>
        </w:r>
      </w:hyperlink>
      <w:r>
        <w:t xml:space="preserve">; </w:t>
      </w:r>
      <w:hyperlink r:id="rId1901">
        <w:r>
          <w:rPr>
            <w:color w:val="0000EE"/>
            <w:u w:val="single"/>
          </w:rPr>
          <w:t>Sl 22.6</w:t>
        </w:r>
      </w:hyperlink>
      <w:r>
        <w:t>).</w:t>
      </w:r>
      <w:r/>
      <w:r/>
    </w:p>
    <w:p>
      <w:r/>
    </w:p>
    <w:p>
      <w:pPr>
        <w:pStyle w:val="Heading2"/>
      </w:pPr>
      <w:r>
        <w:t>Anjo</w:t>
      </w:r>
      <w:r/>
    </w:p>
    <w:p>
      <w:r/>
      <w:r>
        <w:t>Um mensageiro de Deus ou ser sobrenatural, seja bom ou mau. Anjos na Bíblia são mais poderosos que os humanos.</w:t>
      </w:r>
    </w:p>
    <w:p>
      <w:r/>
      <w:r>
        <w:t>O primeiro tipo de anjos mencionados na Bíblia são os querubins (plural de "querube", uma palavra hebraica). Eles eram seres celestiais enviados por Deus para guardar a árvore da vida no Jardim do Éden (</w:t>
      </w:r>
      <w:hyperlink r:id="rId1902">
        <w:r>
          <w:rPr>
            <w:color w:val="0000EE"/>
            <w:u w:val="single"/>
          </w:rPr>
          <w:t>Gn 3.24</w:t>
        </w:r>
      </w:hyperlink>
      <w:r>
        <w:t>).</w:t>
      </w:r>
    </w:p>
    <w:p>
      <w:r/>
      <w:r>
        <w:t>Autores dos livros bíblicos representaram anjos simbolicamente:</w:t>
      </w:r>
    </w:p>
    <w:p>
      <w:pPr>
        <w:pStyle w:val="ListBullet"/>
        <w:spacing w:line="240" w:lineRule="auto"/>
        <w:ind w:left="720"/>
      </w:pPr>
      <w:r/>
      <w:r>
        <w:t>na Arca da Aliança (</w:t>
      </w:r>
      <w:hyperlink r:id="rId1903">
        <w:r>
          <w:rPr>
            <w:color w:val="0000EE"/>
            <w:u w:val="single"/>
          </w:rPr>
          <w:t>Êxodo 25.18–22</w:t>
        </w:r>
      </w:hyperlink>
      <w:r>
        <w:t>);</w:t>
      </w:r>
    </w:p>
    <w:p>
      <w:pPr>
        <w:pStyle w:val="ListBullet"/>
        <w:spacing w:line="240" w:lineRule="auto"/>
        <w:ind w:left="720"/>
      </w:pPr>
      <w:r/>
      <w:r>
        <w:t>no tabernáculo (</w:t>
      </w:r>
      <w:hyperlink r:id="rId1904">
        <w:r>
          <w:rPr>
            <w:color w:val="0000EE"/>
            <w:u w:val="single"/>
          </w:rPr>
          <w:t>Êxodo 26.31</w:t>
        </w:r>
      </w:hyperlink>
      <w:r>
        <w:t>); e</w:t>
      </w:r>
    </w:p>
    <w:p>
      <w:pPr>
        <w:pStyle w:val="ListBullet"/>
        <w:spacing w:line="240" w:lineRule="auto"/>
        <w:ind w:left="720"/>
      </w:pPr>
      <w:r/>
      <w:r>
        <w:t>no templo (</w:t>
      </w:r>
      <w:hyperlink r:id="rId1905">
        <w:r>
          <w:rPr>
            <w:color w:val="0000EE"/>
            <w:u w:val="single"/>
          </w:rPr>
          <w:t>2 Crônicas 3.7</w:t>
        </w:r>
      </w:hyperlink>
      <w:r>
        <w:t>).</w:t>
      </w:r>
    </w:p>
    <w:p>
      <w:r/>
      <w:r>
        <w:t>O profeta Ezequiel viu anjos em uma visão da Jerusalém restaurada (</w:t>
      </w:r>
      <w:hyperlink r:id="rId1906">
        <w:r>
          <w:rPr>
            <w:color w:val="0000EE"/>
            <w:u w:val="single"/>
          </w:rPr>
          <w:t>Ez 41.18–20</w:t>
        </w:r>
      </w:hyperlink>
      <w:r>
        <w:t>). Dois anjos, Gabriel e o arcanjo (ou chefe) Miguel são mencionados na Bíblia (</w:t>
      </w:r>
      <w:hyperlink r:id="rId1907">
        <w:r>
          <w:rPr>
            <w:color w:val="0000EE"/>
            <w:u w:val="single"/>
          </w:rPr>
          <w:t>Dn 8.16</w:t>
        </w:r>
      </w:hyperlink>
      <w:r>
        <w:t xml:space="preserve">; </w:t>
      </w:r>
      <w:hyperlink r:id="rId1908">
        <w:r>
          <w:rPr>
            <w:color w:val="0000EE"/>
            <w:u w:val="single"/>
          </w:rPr>
          <w:t>9.21</w:t>
        </w:r>
      </w:hyperlink>
      <w:r>
        <w:t xml:space="preserve">; </w:t>
      </w:r>
      <w:hyperlink r:id="rId1909">
        <w:r>
          <w:rPr>
            <w:color w:val="0000EE"/>
            <w:u w:val="single"/>
          </w:rPr>
          <w:t>10.13</w:t>
        </w:r>
      </w:hyperlink>
      <w:r>
        <w:t xml:space="preserve">; </w:t>
      </w:r>
      <w:hyperlink r:id="rId1910">
        <w:r>
          <w:rPr>
            <w:color w:val="0000EE"/>
            <w:u w:val="single"/>
          </w:rPr>
          <w:t>Lc 1.19,26</w:t>
        </w:r>
      </w:hyperlink>
      <w:r>
        <w:t xml:space="preserve">; </w:t>
      </w:r>
      <w:hyperlink r:id="rId1911">
        <w:r>
          <w:rPr>
            <w:color w:val="0000EE"/>
            <w:u w:val="single"/>
          </w:rPr>
          <w:t>Jd 1.9</w:t>
        </w:r>
      </w:hyperlink>
      <w:r>
        <w:t xml:space="preserve">; </w:t>
      </w:r>
      <w:hyperlink r:id="rId1912">
        <w:r>
          <w:rPr>
            <w:color w:val="0000EE"/>
            <w:u w:val="single"/>
          </w:rPr>
          <w:t>Ap 12.7–9</w:t>
        </w:r>
      </w:hyperlink>
      <w:r>
        <w:t>).</w:t>
      </w:r>
    </w:p>
    <w:p>
      <w:r/>
      <w:r>
        <w:t xml:space="preserve">Na Bíblia, os anjos são seres espirituais que frequentemente servem como mensageiros. A palavra "anjo" vem diretamente de uma palavra grega que significa mensageiro. Em </w:t>
      </w:r>
      <w:hyperlink r:id="rId1913">
        <w:r>
          <w:rPr>
            <w:color w:val="0000EE"/>
            <w:u w:val="single"/>
          </w:rPr>
          <w:t>Lucas 9.52</w:t>
        </w:r>
      </w:hyperlink>
      <w:r>
        <w:t>, Jesus enviou "mensageiros" à sua frente. Normalmente, a mesma palavra é traduzida como "anjo" e indica um mensageiro espiritual de Deus.</w:t>
      </w:r>
    </w:p>
    <w:p>
      <w:r/>
      <w:r>
        <w:t xml:space="preserve">No Antigo Testamento também, uma palavra hebraica pode se referir tanto a um mensageiro humano quanto a um ser espiritual. Nem sempre é imediatamente claro a que se refere, especialmente porque os anjos às vezes apareciam em forma humana. Em certas passagens, "o anjo de Deus" ou uma frase semelhante pode se referir a Deus entregando sua própria mensagem (veja </w:t>
      </w:r>
      <w:hyperlink r:id="rId1914">
        <w:r>
          <w:rPr>
            <w:color w:val="0000EE"/>
            <w:u w:val="single"/>
          </w:rPr>
          <w:t>Gn 18.2–15</w:t>
        </w:r>
      </w:hyperlink>
      <w:r>
        <w:t>).</w:t>
      </w:r>
    </w:p>
    <w:p>
      <w:pPr>
        <w:pStyle w:val="Heading3"/>
      </w:pPr>
      <w:r>
        <w:t>Papéis e funções dos anjos na Bíblia</w:t>
      </w:r>
    </w:p>
    <w:p>
      <w:r/>
      <w:r>
        <w:t>Os anjos apareceram para as pessoas na Bíblia para:</w:t>
      </w:r>
    </w:p>
    <w:p>
      <w:pPr>
        <w:pStyle w:val="ListBullet"/>
        <w:spacing w:line="240" w:lineRule="auto"/>
        <w:ind w:left="720"/>
      </w:pPr>
      <w:r/>
      <w:r>
        <w:t>anunciar boas-novas (</w:t>
      </w:r>
      <w:hyperlink r:id="rId1915">
        <w:r>
          <w:rPr>
            <w:color w:val="0000EE"/>
            <w:u w:val="single"/>
          </w:rPr>
          <w:t>Juízes 13.3</w:t>
        </w:r>
      </w:hyperlink>
      <w:r>
        <w:t>);</w:t>
      </w:r>
    </w:p>
    <w:p>
      <w:pPr>
        <w:pStyle w:val="ListBullet"/>
        <w:spacing w:line="240" w:lineRule="auto"/>
        <w:ind w:left="720"/>
      </w:pPr>
      <w:r/>
      <w:r>
        <w:t>avisar do perigo (</w:t>
      </w:r>
      <w:hyperlink r:id="rId1916">
        <w:r>
          <w:rPr>
            <w:color w:val="0000EE"/>
            <w:u w:val="single"/>
          </w:rPr>
          <w:t>Gênesis 19.15</w:t>
        </w:r>
      </w:hyperlink>
      <w:r>
        <w:t>);</w:t>
      </w:r>
    </w:p>
    <w:p>
      <w:pPr>
        <w:pStyle w:val="ListBullet"/>
        <w:spacing w:line="240" w:lineRule="auto"/>
        <w:ind w:left="720"/>
      </w:pPr>
      <w:r/>
      <w:r>
        <w:t>protege do mal (</w:t>
      </w:r>
      <w:hyperlink r:id="rId1917">
        <w:r>
          <w:rPr>
            <w:color w:val="0000EE"/>
            <w:u w:val="single"/>
          </w:rPr>
          <w:t>Daniel 3.28</w:t>
        </w:r>
      </w:hyperlink>
      <w:r>
        <w:t xml:space="preserve">; </w:t>
      </w:r>
      <w:hyperlink r:id="rId1918">
        <w:r>
          <w:rPr>
            <w:color w:val="0000EE"/>
            <w:u w:val="single"/>
          </w:rPr>
          <w:t>6.22</w:t>
        </w:r>
      </w:hyperlink>
      <w:r>
        <w:t>);</w:t>
      </w:r>
    </w:p>
    <w:p>
      <w:pPr>
        <w:pStyle w:val="ListBullet"/>
        <w:spacing w:line="240" w:lineRule="auto"/>
        <w:ind w:left="720"/>
      </w:pPr>
      <w:r/>
      <w:r>
        <w:t>guia e protege (</w:t>
      </w:r>
      <w:hyperlink r:id="rId1919">
        <w:r>
          <w:rPr>
            <w:color w:val="0000EE"/>
            <w:u w:val="single"/>
          </w:rPr>
          <w:t>Êxodo 14.19</w:t>
        </w:r>
      </w:hyperlink>
      <w:r>
        <w:t>);</w:t>
      </w:r>
    </w:p>
    <w:p>
      <w:pPr>
        <w:pStyle w:val="ListBullet"/>
        <w:spacing w:line="240" w:lineRule="auto"/>
        <w:ind w:left="720"/>
      </w:pPr>
      <w:r/>
      <w:r>
        <w:t>nutrir (</w:t>
      </w:r>
      <w:hyperlink r:id="rId1920">
        <w:r>
          <w:rPr>
            <w:color w:val="0000EE"/>
            <w:u w:val="single"/>
          </w:rPr>
          <w:t>Gênesis 21.14–20</w:t>
        </w:r>
      </w:hyperlink>
      <w:r>
        <w:t xml:space="preserve">; </w:t>
      </w:r>
      <w:hyperlink r:id="rId1921">
        <w:r>
          <w:rPr>
            <w:color w:val="0000EE"/>
            <w:u w:val="single"/>
          </w:rPr>
          <w:t>1 Reis 19.4–7</w:t>
        </w:r>
      </w:hyperlink>
      <w:r>
        <w:t>);</w:t>
      </w:r>
    </w:p>
    <w:p>
      <w:pPr>
        <w:pStyle w:val="ListBullet"/>
        <w:spacing w:line="240" w:lineRule="auto"/>
        <w:ind w:left="720"/>
      </w:pPr>
      <w:r/>
      <w:r>
        <w:t>instruir (</w:t>
      </w:r>
      <w:hyperlink r:id="rId1922">
        <w:r>
          <w:rPr>
            <w:color w:val="0000EE"/>
            <w:u w:val="single"/>
          </w:rPr>
          <w:t>Atos 7.38</w:t>
        </w:r>
      </w:hyperlink>
      <w:r>
        <w:t xml:space="preserve">; </w:t>
      </w:r>
      <w:hyperlink r:id="rId1923">
        <w:r>
          <w:rPr>
            <w:color w:val="0000EE"/>
            <w:u w:val="single"/>
          </w:rPr>
          <w:t>Gálatas 3.19</w:t>
        </w:r>
      </w:hyperlink>
      <w:r>
        <w:t>).</w:t>
      </w:r>
    </w:p>
    <w:p>
      <w:r/>
      <w:r>
        <w:t>Quando Cristo veio à terra como o Salvador, os anjos:</w:t>
      </w:r>
    </w:p>
    <w:p>
      <w:pPr>
        <w:pStyle w:val="ListBullet"/>
        <w:spacing w:line="240" w:lineRule="auto"/>
        <w:ind w:left="720"/>
      </w:pPr>
      <w:r/>
      <w:r>
        <w:t>anunciou seu nascimento (</w:t>
      </w:r>
      <w:hyperlink r:id="rId1924">
        <w:r>
          <w:rPr>
            <w:color w:val="0000EE"/>
            <w:u w:val="single"/>
          </w:rPr>
          <w:t>Lucas 2.8–15</w:t>
        </w:r>
      </w:hyperlink>
      <w:r>
        <w:t>);</w:t>
      </w:r>
    </w:p>
    <w:p>
      <w:pPr>
        <w:pStyle w:val="ListBullet"/>
        <w:spacing w:line="240" w:lineRule="auto"/>
        <w:ind w:left="720"/>
      </w:pPr>
      <w:r/>
      <w:r>
        <w:t>guiou e avisou seus pais (</w:t>
      </w:r>
      <w:hyperlink r:id="rId1925">
        <w:r>
          <w:rPr>
            <w:color w:val="0000EE"/>
            <w:u w:val="single"/>
          </w:rPr>
          <w:t>Mateus 2.13</w:t>
        </w:r>
      </w:hyperlink>
      <w:r>
        <w:t>);</w:t>
      </w:r>
    </w:p>
    <w:p>
      <w:pPr>
        <w:pStyle w:val="ListBullet"/>
        <w:spacing w:line="240" w:lineRule="auto"/>
        <w:ind w:left="720"/>
      </w:pPr>
      <w:r/>
      <w:r>
        <w:t>fortaleceu-o quando ele foi tentado (</w:t>
      </w:r>
      <w:hyperlink r:id="rId1926">
        <w:r>
          <w:rPr>
            <w:color w:val="0000EE"/>
            <w:u w:val="single"/>
          </w:rPr>
          <w:t>Mateus 4.11</w:t>
        </w:r>
      </w:hyperlink>
      <w:r>
        <w:t>);</w:t>
      </w:r>
    </w:p>
    <w:p>
      <w:pPr>
        <w:pStyle w:val="ListBullet"/>
        <w:spacing w:line="240" w:lineRule="auto"/>
        <w:ind w:left="720"/>
      </w:pPr>
      <w:r/>
      <w:r>
        <w:t>fortaleceu-o em sua última angústia (</w:t>
      </w:r>
      <w:hyperlink r:id="rId1927">
        <w:r>
          <w:rPr>
            <w:color w:val="0000EE"/>
            <w:u w:val="single"/>
          </w:rPr>
          <w:t>Lucas 22.43–44</w:t>
        </w:r>
      </w:hyperlink>
      <w:r>
        <w:t xml:space="preserve"> em alguns manuscritos);</w:t>
      </w:r>
    </w:p>
    <w:p>
      <w:pPr>
        <w:pStyle w:val="ListBullet"/>
        <w:spacing w:line="240" w:lineRule="auto"/>
        <w:ind w:left="720"/>
      </w:pPr>
      <w:r/>
      <w:r>
        <w:t>observou sua ressurreição (</w:t>
      </w:r>
      <w:hyperlink r:id="rId1928">
        <w:r>
          <w:rPr>
            <w:color w:val="0000EE"/>
            <w:u w:val="single"/>
          </w:rPr>
          <w:t>Mateus 28.1–6</w:t>
        </w:r>
      </w:hyperlink>
      <w:r>
        <w:t>).</w:t>
      </w:r>
    </w:p>
    <w:p>
      <w:r/>
      <w:r>
        <w:t>O Novo Testamento inclui vários exemplos de anjos interagindo com humanos:</w:t>
      </w:r>
    </w:p>
    <w:p>
      <w:pPr>
        <w:pStyle w:val="ListBullet"/>
        <w:spacing w:line="240" w:lineRule="auto"/>
        <w:ind w:left="720"/>
      </w:pPr>
      <w:r/>
      <w:r>
        <w:t>Jesus falou sobre os anjos da guarda das crianças pequenas (</w:t>
      </w:r>
      <w:hyperlink r:id="rId1929">
        <w:r>
          <w:rPr>
            <w:color w:val="0000EE"/>
            <w:u w:val="single"/>
          </w:rPr>
          <w:t>Mateus 18.10</w:t>
        </w:r>
      </w:hyperlink>
      <w:r>
        <w:t>);</w:t>
      </w:r>
    </w:p>
    <w:p>
      <w:pPr>
        <w:pStyle w:val="ListBullet"/>
        <w:spacing w:line="240" w:lineRule="auto"/>
        <w:ind w:left="720"/>
      </w:pPr>
      <w:r/>
      <w:r>
        <w:t>Um anjo guiou Filipe (</w:t>
      </w:r>
      <w:hyperlink r:id="rId1930">
        <w:r>
          <w:rPr>
            <w:color w:val="0000EE"/>
            <w:u w:val="single"/>
          </w:rPr>
          <w:t>Atos 8.26</w:t>
        </w:r>
      </w:hyperlink>
      <w:r>
        <w:t>);</w:t>
      </w:r>
    </w:p>
    <w:p>
      <w:pPr>
        <w:pStyle w:val="ListBullet"/>
        <w:spacing w:line="240" w:lineRule="auto"/>
        <w:ind w:left="720"/>
      </w:pPr>
      <w:r/>
      <w:r>
        <w:t>Um anjo resgatou apóstolos da prisão (</w:t>
      </w:r>
      <w:hyperlink r:id="rId1931">
        <w:r>
          <w:rPr>
            <w:color w:val="0000EE"/>
            <w:u w:val="single"/>
          </w:rPr>
          <w:t>Atos 5.19</w:t>
        </w:r>
      </w:hyperlink>
      <w:r>
        <w:t xml:space="preserve">; </w:t>
      </w:r>
      <w:hyperlink r:id="rId1932">
        <w:r>
          <w:rPr>
            <w:color w:val="0000EE"/>
            <w:u w:val="single"/>
          </w:rPr>
          <w:t>12.7–11</w:t>
        </w:r>
      </w:hyperlink>
      <w:r>
        <w:t>);</w:t>
      </w:r>
    </w:p>
    <w:p>
      <w:pPr>
        <w:pStyle w:val="ListBullet"/>
        <w:spacing w:line="240" w:lineRule="auto"/>
        <w:ind w:left="720"/>
      </w:pPr>
      <w:r/>
      <w:r>
        <w:t>Em uma situação assustadora, um anjo encorajou o Apóstolo Paulo (</w:t>
      </w:r>
      <w:hyperlink r:id="rId1933">
        <w:r>
          <w:rPr>
            <w:color w:val="0000EE"/>
            <w:u w:val="single"/>
          </w:rPr>
          <w:t>Atos 27.21–25</w:t>
        </w:r>
      </w:hyperlink>
      <w:r>
        <w:t>).</w:t>
      </w:r>
    </w:p>
    <w:p>
      <w:pPr>
        <w:pStyle w:val="Heading3"/>
      </w:pPr>
      <w:r>
        <w:t>Descrições físicas e visões de anjos</w:t>
      </w:r>
    </w:p>
    <w:p>
      <w:r/>
      <w:r>
        <w:t>Os encontros bíblicos com anjos frequentemente descrevem diferenças físicas distintas em relação às pessoas comuns. O anjo que moveu a pedra da entrada do túmulo de Jesus tinha uma aparência como relâmpago e vestes brancas como a neve (</w:t>
      </w:r>
      <w:hyperlink r:id="rId1934">
        <w:r>
          <w:rPr>
            <w:color w:val="0000EE"/>
            <w:u w:val="single"/>
          </w:rPr>
          <w:t>Mt 28.3</w:t>
        </w:r>
      </w:hyperlink>
      <w:r>
        <w:t>).</w:t>
      </w:r>
    </w:p>
    <w:p>
      <w:r/>
      <w:r>
        <w:t>Muitas passagens sobre anjos são descrições de sonhos ou visões. "A escada de Jacó" com anjos subindo e descendo (</w:t>
      </w:r>
      <w:hyperlink r:id="rId1935">
        <w:r>
          <w:rPr>
            <w:color w:val="0000EE"/>
            <w:u w:val="single"/>
          </w:rPr>
          <w:t>Gn 28.12</w:t>
        </w:r>
      </w:hyperlink>
      <w:r>
        <w:t>) é um exemplo. Em outro sonho, um anjo falou com Jacó (</w:t>
      </w:r>
      <w:hyperlink r:id="rId1936">
        <w:r>
          <w:rPr>
            <w:color w:val="0000EE"/>
            <w:u w:val="single"/>
          </w:rPr>
          <w:t>Gn 31.11</w:t>
        </w:r>
      </w:hyperlink>
      <w:r>
        <w:t>). Um anjo apareceu a Cornélio em uma visão (</w:t>
      </w:r>
      <w:hyperlink r:id="rId1937">
        <w:r>
          <w:rPr>
            <w:color w:val="0000EE"/>
            <w:u w:val="single"/>
          </w:rPr>
          <w:t>At 10.1–3</w:t>
        </w:r>
      </w:hyperlink>
      <w:r>
        <w:t xml:space="preserve">). As principais passagens desse tipo incluem </w:t>
      </w:r>
      <w:hyperlink r:id="rId1938">
        <w:r>
          <w:rPr>
            <w:color w:val="0000EE"/>
            <w:u w:val="single"/>
          </w:rPr>
          <w:t>Is 6</w:t>
        </w:r>
      </w:hyperlink>
      <w:r>
        <w:t xml:space="preserve"> (os serafins), grande parte do livro de Ezequiel (os querubins), e grande parte de Daniel e Zacarias.</w:t>
      </w:r>
    </w:p>
    <w:p>
      <w:r/>
      <w:r>
        <w:t>No Novo Testamento, mais de um terço das referências a anjos estão no livro de Apocalipse. Na maioria dos casos, os seres angelicais são figuras gloriosas ou grotescas vistas em visões e não devem ser confundidas com pessoas humanas. A linguagem que descreve visões angelicais é frequentemente mística, metafórica e difícil de interpretar.</w:t>
      </w:r>
    </w:p>
    <w:p>
      <w:pPr>
        <w:pStyle w:val="Heading3"/>
      </w:pPr>
      <w:r>
        <w:t>Anjos na teologia cristã</w:t>
      </w:r>
    </w:p>
    <w:p>
      <w:r/>
      <w:r>
        <w:t>Angelologia, a doutrina dos anjos, não é um tema principal na teologia cristã, apesar das muitas referências a anjos na Bíblia. Anjos estão incluídos nas descrições de tudo o que Deus criou (</w:t>
      </w:r>
      <w:hyperlink r:id="rId1939">
        <w:r>
          <w:rPr>
            <w:color w:val="0000EE"/>
            <w:u w:val="single"/>
          </w:rPr>
          <w:t>Sl 148.2</w:t>
        </w:r>
      </w:hyperlink>
      <w:r>
        <w:t xml:space="preserve">; </w:t>
      </w:r>
      <w:hyperlink r:id="rId1940">
        <w:r>
          <w:rPr>
            <w:color w:val="0000EE"/>
            <w:u w:val="single"/>
          </w:rPr>
          <w:t>Cl 1.16</w:t>
        </w:r>
      </w:hyperlink>
      <w:r>
        <w:t>). Há indícios de que eles viram a criação do mundo (</w:t>
      </w:r>
      <w:hyperlink r:id="rId1941">
        <w:r>
          <w:rPr>
            <w:color w:val="0000EE"/>
            <w:u w:val="single"/>
          </w:rPr>
          <w:t>Jó 38.7</w:t>
        </w:r>
      </w:hyperlink>
      <w:r>
        <w:t>). Não importa quão próximos de Deus os anjos possam estar, eles compartilham com a humanidade o status de criaturas.</w:t>
      </w:r>
    </w:p>
    <w:p>
      <w:r/>
      <w:r>
        <w:t>Como criaturas totalmente espirituais, os anjos estão livres de muitas limitações humanas. Eles não morrem (</w:t>
      </w:r>
      <w:hyperlink r:id="rId1942">
        <w:r>
          <w:rPr>
            <w:color w:val="0000EE"/>
            <w:u w:val="single"/>
          </w:rPr>
          <w:t>Lc 20.36</w:t>
        </w:r>
      </w:hyperlink>
      <w:r>
        <w:t>). Eles não se casam, então podem ser considerados sem sexo (</w:t>
      </w:r>
      <w:hyperlink r:id="rId1943">
        <w:r>
          <w:rPr>
            <w:color w:val="0000EE"/>
            <w:u w:val="single"/>
          </w:rPr>
          <w:t>Mt 22.30</w:t>
        </w:r>
      </w:hyperlink>
      <w:r>
        <w:t>). Em todas as aparições, os anjos em forma humana foram tomados como homens, nunca mulheres ou crianças. A capacidade dos anjos de se comunicar em linguagem humana e de afetar a vida humana de outras maneiras é fundamental para o seu papel na Bíblia.</w:t>
      </w:r>
    </w:p>
    <w:p>
      <w:r/>
      <w:r>
        <w:t>O poder e a aparência impressionante dos anjos às vezes tentavam as pessoas a temê-los ou adorá-los (</w:t>
      </w:r>
      <w:hyperlink r:id="rId1944">
        <w:r>
          <w:rPr>
            <w:color w:val="0000EE"/>
            <w:u w:val="single"/>
          </w:rPr>
          <w:t>Mt 28.2–4</w:t>
        </w:r>
      </w:hyperlink>
      <w:r>
        <w:t>). O Novo Testamento não aprova a adoração de anjos (</w:t>
      </w:r>
      <w:hyperlink r:id="rId1945">
        <w:r>
          <w:rPr>
            <w:color w:val="0000EE"/>
            <w:u w:val="single"/>
          </w:rPr>
          <w:t>Cl 2.18</w:t>
        </w:r>
      </w:hyperlink>
      <w:r>
        <w:t xml:space="preserve">; </w:t>
      </w:r>
      <w:hyperlink r:id="rId1946">
        <w:r>
          <w:rPr>
            <w:color w:val="0000EE"/>
            <w:u w:val="single"/>
          </w:rPr>
          <w:t>Ap 22.8–9</w:t>
        </w:r>
      </w:hyperlink>
      <w:r>
        <w:t>). Embora os anjos sejam mais fortes e sábios do que os seres humanos, seu poder e conhecimento também são limitados por Deus (</w:t>
      </w:r>
      <w:hyperlink r:id="rId1947">
        <w:r>
          <w:rPr>
            <w:color w:val="0000EE"/>
            <w:u w:val="single"/>
          </w:rPr>
          <w:t>Sl 103.20</w:t>
        </w:r>
      </w:hyperlink>
      <w:r>
        <w:t xml:space="preserve">; </w:t>
      </w:r>
      <w:hyperlink r:id="rId1948">
        <w:r>
          <w:rPr>
            <w:color w:val="0000EE"/>
            <w:u w:val="single"/>
          </w:rPr>
          <w:t>Mt 24.36</w:t>
        </w:r>
      </w:hyperlink>
      <w:r>
        <w:t xml:space="preserve">; </w:t>
      </w:r>
      <w:hyperlink r:id="rId1949">
        <w:r>
          <w:rPr>
            <w:color w:val="0000EE"/>
            <w:u w:val="single"/>
          </w:rPr>
          <w:t>1Pe 1.11–12</w:t>
        </w:r>
      </w:hyperlink>
      <w:r>
        <w:t xml:space="preserve">; </w:t>
      </w:r>
      <w:hyperlink r:id="rId1950">
        <w:r>
          <w:rPr>
            <w:color w:val="0000EE"/>
            <w:u w:val="single"/>
          </w:rPr>
          <w:t>2Pe 2.11</w:t>
        </w:r>
      </w:hyperlink>
      <w:r>
        <w:t xml:space="preserve">). </w:t>
      </w:r>
      <w:r>
        <w:rPr>
          <w:i/>
        </w:rPr>
        <w:t>Veja</w:t>
      </w:r>
      <w:r>
        <w:t xml:space="preserve"> </w:t>
      </w:r>
      <w:r>
        <w:t>Querube, Querubins</w:t>
      </w:r>
      <w:r>
        <w:t xml:space="preserve">; </w:t>
      </w:r>
      <w:r>
        <w:t>Serafim, Serafins</w:t>
      </w:r>
      <w:r>
        <w:t xml:space="preserve">; </w:t>
      </w:r>
      <w:r>
        <w:t>Demônio</w:t>
      </w:r>
      <w:r>
        <w:t xml:space="preserve">; </w:t>
      </w:r>
      <w:r>
        <w:t>Possessão demoníaca</w:t>
      </w:r>
      <w:r>
        <w:t xml:space="preserve">; </w:t>
      </w:r>
      <w:r>
        <w:t>Satanás</w:t>
      </w:r>
      <w:r>
        <w:t>.</w:t>
      </w:r>
      <w:r/>
      <w:r/>
    </w:p>
    <w:p>
      <w:r/>
    </w:p>
    <w:p>
      <w:pPr>
        <w:pStyle w:val="Heading2"/>
      </w:pPr>
      <w:r>
        <w:t>Ano do Jubileu</w:t>
      </w:r>
      <w:r/>
    </w:p>
    <w:p>
      <w:r/>
      <w:r>
        <w:t>Ano de emancipação e restauração a ser mantido a cada 50 anos. Para Israel, o sétimo ano expressava em detalhes os valores do sábado do sétimo dia (</w:t>
      </w:r>
      <w:hyperlink r:id="rId1951">
        <w:r>
          <w:rPr>
            <w:color w:val="0000EE"/>
            <w:u w:val="single"/>
          </w:rPr>
          <w:t>Lv 25.1–7</w:t>
        </w:r>
      </w:hyperlink>
      <w:r>
        <w:t>). Quando uma série de sete anos alcançava a perfeição de sete sétimos, o 50º ano era anunciado pela trombeta do jubileu e um ano inteiro adicional era reservado como pertencente ao Senhor.</w:t>
      </w:r>
    </w:p>
    <w:p>
      <w:r/>
      <w:r>
        <w:t xml:space="preserve">A palavra "jubileu" simplesmente significa chifre de carneiro; passou a significar uma trombeta feita de ou em forma de chifre de carneiro. Esses chifres eram exclusivamente para uso religioso. A trombeta sagrada deu seu nome ao ano do chifre de carneiro, o ano do jubileu — um ano ao qual o povo de Deus era convocado de maneira marcante e sagrada. Não era simplesmente uma liberação do trabalho, não apenas um descanso, mas um ano pertencente ao Senhor. Em </w:t>
      </w:r>
      <w:hyperlink r:id="rId1952">
        <w:r>
          <w:rPr>
            <w:color w:val="0000EE"/>
            <w:u w:val="single"/>
          </w:rPr>
          <w:t>Levítico 25</w:t>
        </w:r>
      </w:hyperlink>
      <w:r>
        <w:t xml:space="preserve"> esta expressão exata ocorre em conexão com o sétimo ano, em vez de expressamente com o ano do jubileu. Funcionalmente, tal ano era um descanso sabático para a terra, e trazia prazer "ao Senhor" (</w:t>
      </w:r>
      <w:hyperlink r:id="rId1953">
        <w:r>
          <w:rPr>
            <w:color w:val="0000EE"/>
            <w:u w:val="single"/>
          </w:rPr>
          <w:t>Lv 25.4</w:t>
        </w:r>
      </w:hyperlink>
      <w:r>
        <w:t>). Mas nada poderia expressar mais diretamente as implicações e orientações do 50º ano.</w:t>
      </w:r>
    </w:p>
    <w:p>
      <w:pPr>
        <w:pStyle w:val="Heading3"/>
      </w:pPr>
      <w:r>
        <w:t>Senhorio</w:t>
      </w:r>
    </w:p>
    <w:p>
      <w:r/>
      <w:r>
        <w:t xml:space="preserve">O primeiro princípio do jubileu é o senhorio de Deus sobre toda a terra, reconhecido por seu povo em sua obediência ao seu comando de separar o ano dessa forma. Assim como o sábado expressava seu direito de ordenar a vida, dando-lhe a forma de seis dias de trabalho e um dia de descanso, e assim como o sétimo ano, ligado em </w:t>
      </w:r>
      <w:hyperlink r:id="rId1954">
        <w:r>
          <w:rPr>
            <w:color w:val="0000EE"/>
            <w:u w:val="single"/>
          </w:rPr>
          <w:t>Deuteronômio 31.9–13</w:t>
        </w:r>
      </w:hyperlink>
      <w:r>
        <w:t xml:space="preserve"> à leitura de sua lei, expressava seu direito de comandar a obediência de seu povo, assim o 50º ano expressava sua soberania sobre tudo: terra, pessoas, meios de produção e a própria vida. Considere o caso típico de devedor e credor. Quando Deus trouxe seu povo à posse da terra, ele deu a cada um sua herança. Em algumas circunstâncias um homem poderia ser compelido a vender sua terra em parte ou no todo, mas ela deve voltar para ele: “A terra é de Deus; portanto, ela não será para sempre daquele que a comprar. Deus é o dono dela, e para ele nós somos estrangeiros que moram por um pouco de tempo na terra dele” (</w:t>
      </w:r>
      <w:hyperlink r:id="rId1955">
        <w:r>
          <w:rPr>
            <w:color w:val="0000EE"/>
            <w:u w:val="single"/>
          </w:rPr>
          <w:t>Lv 25.23</w:t>
        </w:r>
      </w:hyperlink>
      <w:r>
        <w:t>, NTLH). Neste versículo, “estrangeiros” carrega o significado de “pessoas apátridas”, “refugiados”, “aqueles que buscaram asilo político” — em uma palavra, aqueles que não têm direitos exceto o que a misericórdia concede. Tais são os membros do povo de Deus e assim devem reconhecer-se quando o ano do jubileu chega. Quando um pedaço de imóvel mudava de mãos, o vendedor poderia se parabenizar pela astúcia com que resolveu seu problema, e o comprador poderia se alegrar em sua habilidade aquisitiva, mas no Ano do Jubileu, vendedor e comprador são obrigados a confessar uma verdade diferente: nenhum é senhor, nem de seu próprio bem-estar nem da pessoa e bens de outro. Cada um tem um Mestre no céu.</w:t>
      </w:r>
    </w:p>
    <w:p>
      <w:pPr>
        <w:pStyle w:val="Heading3"/>
      </w:pPr>
      <w:r>
        <w:t>Redenção</w:t>
      </w:r>
    </w:p>
    <w:p>
      <w:r/>
      <w:r>
        <w:t>De acordo com a ordenança, a trombeta que anunciava o ano era soada no Dia da Expiação (</w:t>
      </w:r>
      <w:hyperlink r:id="rId1956">
        <w:r>
          <w:rPr>
            <w:color w:val="0000EE"/>
            <w:u w:val="single"/>
          </w:rPr>
          <w:t>Lv 25.9</w:t>
        </w:r>
      </w:hyperlink>
      <w:r>
        <w:t>). Esse era o dia em que o Senhor proclamava seu povo limpo diante dele de todos os seus pecados (</w:t>
      </w:r>
      <w:hyperlink r:id="rId1957">
        <w:r>
          <w:rPr>
            <w:color w:val="0000EE"/>
            <w:u w:val="single"/>
          </w:rPr>
          <w:t>16.30</w:t>
        </w:r>
      </w:hyperlink>
      <w:r>
        <w:t>). O perdão dos pecados inaugurava o ano do jubileu. O verbo “redimir” e o substantivo “redenção” tinham um forte uso comercial na recuperação de propriedades empenhadas contra empréstimos de dinheiro, e no 50º ano essas palavras teriam soado e ressoado enquanto os devedores confessavam que não podiam “redimir” e os credores renunciavam aos seus direitos de “redenção”, cada um usando o próprio vocabulário da ação do Senhor no Êxodo (</w:t>
      </w:r>
      <w:hyperlink r:id="rId1958">
        <w:r>
          <w:rPr>
            <w:color w:val="0000EE"/>
            <w:u w:val="single"/>
          </w:rPr>
          <w:t>Êxodo 6.6</w:t>
        </w:r>
      </w:hyperlink>
      <w:r>
        <w:t>). Isso é o que o Senhor havia feito por seu povo, e a ação divina deve ser a norma da humana. A generosidade fraterna é incentivada (</w:t>
      </w:r>
      <w:hyperlink r:id="rId1959">
        <w:r>
          <w:rPr>
            <w:color w:val="0000EE"/>
            <w:u w:val="single"/>
          </w:rPr>
          <w:t>Lv 25.35–38</w:t>
        </w:r>
      </w:hyperlink>
      <w:r>
        <w:t xml:space="preserve">), a liberdade é concedida (v. </w:t>
      </w:r>
      <w:hyperlink r:id="rId1960">
        <w:r>
          <w:rPr>
            <w:color w:val="0000EE"/>
            <w:u w:val="single"/>
          </w:rPr>
          <w:t>39–43</w:t>
        </w:r>
      </w:hyperlink>
      <w:r>
        <w:t xml:space="preserve">), e a escravidão perpétua é proibida (v. </w:t>
      </w:r>
      <w:hyperlink r:id="rId1961">
        <w:r>
          <w:rPr>
            <w:color w:val="0000EE"/>
            <w:u w:val="single"/>
          </w:rPr>
          <w:t>47–55</w:t>
        </w:r>
      </w:hyperlink>
      <w:r>
        <w:t>) simplesmente porque o ato redentor divino transforma os redimidos em irmãos, os traz para a servidão do Senhor e cancela a escravidão que, de outra forma, seria deles para sempre.</w:t>
      </w:r>
    </w:p>
    <w:p>
      <w:pPr>
        <w:pStyle w:val="Heading3"/>
      </w:pPr>
      <w:r>
        <w:t>Descanso</w:t>
      </w:r>
    </w:p>
    <w:p>
      <w:r/>
      <w:r>
        <w:t>O correlativo da redenção é o descanso. Este descanso é vividamente ilustrado e reforçado quando Moisés legisla o descanso de todo o trabalho relacionado à promoção da colheita do próximo ano (</w:t>
      </w:r>
      <w:hyperlink r:id="rId1953">
        <w:r>
          <w:rPr>
            <w:color w:val="0000EE"/>
            <w:u w:val="single"/>
          </w:rPr>
          <w:t>Lv 25.4</w:t>
        </w:r>
      </w:hyperlink>
      <w:r>
        <w:t xml:space="preserve">); descanso do trabalho de colheita, pois o povo de Deus deveria viver apenas suprindo as necessidades imediatas, colhendo apenas o que e quando a necessidade ditasse (v. </w:t>
      </w:r>
      <w:hyperlink r:id="rId1962">
        <w:r>
          <w:rPr>
            <w:color w:val="0000EE"/>
            <w:u w:val="single"/>
          </w:rPr>
          <w:t>5–7</w:t>
        </w:r>
      </w:hyperlink>
      <w:r>
        <w:t xml:space="preserve">); descanso do fardo ansioso das dívidas contraídas; e descanso da escravidão (v. </w:t>
      </w:r>
      <w:hyperlink r:id="rId1963">
        <w:r>
          <w:rPr>
            <w:color w:val="0000EE"/>
            <w:u w:val="single"/>
          </w:rPr>
          <w:t>10</w:t>
        </w:r>
      </w:hyperlink>
      <w:r>
        <w:t xml:space="preserve">). Como o sábado, este descanso significava exatamente o que dizia: liberdade do trabalho; relaxamento, refresco e recreação. Muito provavelmente o cansaço era tão endêmico entre o povo de Deus naquela época quanto agora, e a graça se aproximava para lhes dar um feriado. Mas, assim como o sábado, a liberação das preocupações de se manter vivo criava tempo para se ocupar com o Senhor, sua adoração, sua Palavra e a vida que o agrada. Podemos entender </w:t>
      </w:r>
      <w:hyperlink r:id="rId1964">
        <w:r>
          <w:rPr>
            <w:color w:val="0000EE"/>
            <w:u w:val="single"/>
          </w:rPr>
          <w:t>Isaías 58</w:t>
        </w:r>
      </w:hyperlink>
      <w:r>
        <w:t xml:space="preserve"> como vinculando os ideais de sábado e jubileu juntos. O Senhor liberta seu povo não para uma ociosidade ininterrupta, mas para a redireção da vida em direção a ele. O ano do jubileu foi, portanto, uma opção deliberada de sair da corrida desenfreada; requeria uma pausa na ganância; abandonava a preocupação com a pressão de se manter vivo. Reordenava prioridades, dando uma chance de avaliar o uso do tempo e a seleção de objetivos. Por um ano inteiro, o povo de Deus recuava, descansava, cessava do bom para alcançar o melhor.</w:t>
      </w:r>
    </w:p>
    <w:p>
      <w:pPr>
        <w:pStyle w:val="Heading3"/>
      </w:pPr>
      <w:r>
        <w:t>Fé</w:t>
      </w:r>
    </w:p>
    <w:p>
      <w:r/>
      <w:r>
        <w:t>Mas esse afastamento da vida não era no estilo de um desistente. Era a ação de uma fé responsável. Ninguém na terra pode escapar de perguntas como “O que vamos comer?” O Senhor prevê e provê (</w:t>
      </w:r>
      <w:hyperlink r:id="rId1965">
        <w:r>
          <w:rPr>
            <w:color w:val="0000EE"/>
            <w:u w:val="single"/>
          </w:rPr>
          <w:t>Lv 25.20</w:t>
        </w:r>
      </w:hyperlink>
      <w:r>
        <w:t xml:space="preserve">); a graça provê para que o povo de Deus possa desfrutar das ordenanças da graça (cf. </w:t>
      </w:r>
      <w:hyperlink r:id="rId1966">
        <w:r>
          <w:rPr>
            <w:color w:val="0000EE"/>
            <w:u w:val="single"/>
          </w:rPr>
          <w:t>Êx 16.29</w:t>
        </w:r>
      </w:hyperlink>
      <w:r>
        <w:t>). Quando ele ordena um ano de descanso, ele os capacita a tirá-lo. O 50º ano era um testemunho vivo de sua fidelidade. A última temporada de semeadura e colheita teria sido o 49º ano; no último 7º ano da série, o povo viveria do crescimento casual; e no 50º ano, nada além da pura e atenta fidelidade de seu Deus poderia provê-los (</w:t>
      </w:r>
      <w:hyperlink r:id="rId1967">
        <w:r>
          <w:rPr>
            <w:color w:val="0000EE"/>
            <w:u w:val="single"/>
          </w:rPr>
          <w:t>Lv 25.21</w:t>
        </w:r>
      </w:hyperlink>
      <w:r>
        <w:t>). Aqui, de fato, sua fé seria posta à prova, pois Deus falou uma palavra de promessa majestosa e os chamou a acreditar. No coração de seu jubileu, eles confiavam na palavra de Deus e viam que ele era fiel.</w:t>
      </w:r>
    </w:p>
    <w:p>
      <w:pPr>
        <w:pStyle w:val="Heading3"/>
      </w:pPr>
      <w:r>
        <w:t>Obediência</w:t>
      </w:r>
    </w:p>
    <w:p>
      <w:r/>
      <w:r>
        <w:t xml:space="preserve">Biblicamente, é uma característica central do povo de Deus fazer o que ele ordena por nenhuma outra razão além de que ele o ordena. Na ordenança do 50º ano, o povo de Deus deve mostrar-se como seu povo obediente, e de fato sua obediência é a garantia de permanência na terra que ele lhes concedeu. Assim, por exemplo, </w:t>
      </w:r>
      <w:hyperlink r:id="rId1968">
        <w:r>
          <w:rPr>
            <w:color w:val="0000EE"/>
            <w:u w:val="single"/>
          </w:rPr>
          <w:t>Levítico 26.34–35</w:t>
        </w:r>
      </w:hyperlink>
      <w:r>
        <w:t xml:space="preserve"> ensina que a perda de posse e a perda de liberdade estão diretamente relacionadas à violação do princípio do sábado, encontrado no sétimo dia, sétimo ano e ano do jubileu. A recusa em obedecer anda de mãos dadas com a perda de posse, deixando para trás uma terra vazia, que então desfruta do descanso sabático que nunca recebeu de seus habitantes desobedientes.</w:t>
      </w:r>
    </w:p>
    <w:p>
      <w:pPr>
        <w:pStyle w:val="Heading3"/>
      </w:pPr>
      <w:r>
        <w:t>Esperança</w:t>
      </w:r>
    </w:p>
    <w:p>
      <w:r/>
      <w:r>
        <w:t>No 50º ano, o povo vivia na luz do perdão dos pecados, caminhava através da obediência em harmonia com o Deus que os redimiu, e em libertação do trabalho duro, recebia da terra seus benefícios sustentadores de vida sem qualquer suor em suas testas (</w:t>
      </w:r>
      <w:hyperlink r:id="rId1969">
        <w:r>
          <w:rPr>
            <w:color w:val="0000EE"/>
            <w:u w:val="single"/>
          </w:rPr>
          <w:t>Gn 2.16</w:t>
        </w:r>
      </w:hyperlink>
      <w:r>
        <w:t xml:space="preserve">; </w:t>
      </w:r>
      <w:hyperlink r:id="rId306">
        <w:r>
          <w:rPr>
            <w:color w:val="0000EE"/>
            <w:u w:val="single"/>
          </w:rPr>
          <w:t>3.19</w:t>
        </w:r>
      </w:hyperlink>
      <w:r>
        <w:t>). Era uma espécie de Éden restaurado, a maldição momentaneamente suspensa — mas também um prolongado antegosto do dia vindouro quando as promessas seriam todas cumpridas, o sangue da aliança eficaz sem impedimentos, os prisioneiros da esperança (ou seja, que esperaram com esperança por sua libertação) libertos, e a trombeta da libertação ouvida em todo o mundo (</w:t>
      </w:r>
      <w:hyperlink r:id="rId1970">
        <w:r>
          <w:rPr>
            <w:color w:val="0000EE"/>
            <w:u w:val="single"/>
          </w:rPr>
          <w:t>Is 27.13</w:t>
        </w:r>
      </w:hyperlink>
      <w:r>
        <w:t xml:space="preserve">; </w:t>
      </w:r>
      <w:hyperlink r:id="rId1971">
        <w:r>
          <w:rPr>
            <w:color w:val="0000EE"/>
            <w:u w:val="single"/>
          </w:rPr>
          <w:t>Zc 9.11–14</w:t>
        </w:r>
      </w:hyperlink>
      <w:r>
        <w:t>). O Ano do Jubileu de maneira limitada mas real prefigurava o que ainda seria a herança eterna e a bem-aventurança do povo de Deus.</w:t>
      </w:r>
    </w:p>
    <w:p>
      <w:r/>
      <w:r>
        <w:rPr>
          <w:i/>
        </w:rPr>
        <w:t>Veja também</w:t>
      </w:r>
      <w:r>
        <w:t xml:space="preserve"> </w:t>
      </w:r>
      <w:r>
        <w:t>Festas e Festivais de Israel</w:t>
      </w:r>
      <w:r>
        <w:t>.</w:t>
      </w:r>
      <w:r/>
      <w:r/>
    </w:p>
    <w:p>
      <w:r/>
    </w:p>
    <w:p>
      <w:pPr>
        <w:pStyle w:val="Heading2"/>
      </w:pPr>
      <w:r>
        <w:t>Anrafel</w:t>
      </w:r>
      <w:r/>
    </w:p>
    <w:p>
      <w:r/>
      <w:r>
        <w:t>O rei de Sinar ou Babilônia. Ele ajudou o rei Quedorlaomer de Elão a conter uma revolta de cinco cidades na Palestina (</w:t>
      </w:r>
      <w:hyperlink r:id="rId1972">
        <w:r>
          <w:rPr>
            <w:color w:val="0000EE"/>
            <w:u w:val="single"/>
          </w:rPr>
          <w:t>Gn 14.1–11</w:t>
        </w:r>
      </w:hyperlink>
      <w:r>
        <w:t>).</w:t>
      </w:r>
      <w:r/>
      <w:r/>
    </w:p>
    <w:p>
      <w:r/>
    </w:p>
    <w:p>
      <w:pPr>
        <w:pStyle w:val="Heading2"/>
      </w:pPr>
      <w:r>
        <w:t>Anramita</w:t>
      </w:r>
      <w:r/>
    </w:p>
    <w:p>
      <w:r/>
      <w:r>
        <w:t>Um descendente de Anrão. Ele é filho de Coate (</w:t>
      </w:r>
      <w:hyperlink r:id="rId1973">
        <w:r>
          <w:rPr>
            <w:color w:val="0000EE"/>
            <w:u w:val="single"/>
          </w:rPr>
          <w:t>Nm 3.27</w:t>
        </w:r>
      </w:hyperlink>
      <w:r>
        <w:t xml:space="preserve">; </w:t>
      </w:r>
      <w:hyperlink r:id="rId1974">
        <w:r>
          <w:rPr>
            <w:color w:val="0000EE"/>
            <w:u w:val="single"/>
          </w:rPr>
          <w:t>1Cr 26.23</w:t>
        </w:r>
      </w:hyperlink>
      <w:r>
        <w:t xml:space="preserve">). </w:t>
      </w:r>
      <w:r>
        <w:rPr>
          <w:i/>
        </w:rPr>
        <w:t>Veja</w:t>
      </w:r>
      <w:r>
        <w:t xml:space="preserve"> </w:t>
      </w:r>
      <w:r>
        <w:t>Anrão #1</w:t>
      </w:r>
      <w:r>
        <w:t>.</w:t>
      </w:r>
      <w:r/>
      <w:r/>
    </w:p>
    <w:p>
      <w:r/>
    </w:p>
    <w:p>
      <w:pPr>
        <w:pStyle w:val="Heading2"/>
      </w:pPr>
      <w:r>
        <w:t>Anrão</w:t>
      </w:r>
      <w:r/>
    </w:p>
    <w:p>
      <w:pPr>
        <w:pStyle w:val="ListNumber"/>
        <w:spacing w:line="240" w:lineRule="auto"/>
        <w:ind w:left="720"/>
      </w:pPr>
      <w:r/>
      <w:r>
        <w:t>Filho de Coate. Ele era membro da tribo de Levi. Anrão casou-se com Joquebede e teve três filhos famosos: Arão, Moisés e Miriã (</w:t>
      </w:r>
      <w:hyperlink r:id="rId1975">
        <w:r>
          <w:rPr>
            <w:color w:val="0000EE"/>
            <w:u w:val="single"/>
          </w:rPr>
          <w:t>Êx 6.16–20</w:t>
        </w:r>
      </w:hyperlink>
      <w:r>
        <w:t xml:space="preserve">; </w:t>
      </w:r>
      <w:hyperlink r:id="rId1976">
        <w:r>
          <w:rPr>
            <w:color w:val="0000EE"/>
            <w:u w:val="single"/>
          </w:rPr>
          <w:t>Nm 26.58–59</w:t>
        </w:r>
      </w:hyperlink>
      <w:r>
        <w:t>). Durante a jornada dos israelitas pelo deserto, os anramitas tinham uma responsabilidade especial. Eles eram encarregados de cuidar da Arca da Aliança, da mesa, do candelabro, dos altares e de outros móveis usados no tabernáculo (</w:t>
      </w:r>
      <w:hyperlink r:id="rId1977">
        <w:r>
          <w:rPr>
            <w:color w:val="0000EE"/>
            <w:u w:val="single"/>
          </w:rPr>
          <w:t>Nm 3.27,31</w:t>
        </w:r>
      </w:hyperlink>
      <w:r>
        <w:t>). Mais tarde, os amramitas foram um dos grupos responsáveis pelas ofertas colocadas no Tesouro do templo (</w:t>
      </w:r>
      <w:hyperlink r:id="rId1978">
        <w:r>
          <w:rPr>
            <w:color w:val="0000EE"/>
            <w:u w:val="single"/>
          </w:rPr>
          <w:t>1Cr 26.23–24</w:t>
        </w:r>
      </w:hyperlink>
      <w:r>
        <w:t>).</w:t>
      </w:r>
    </w:p>
    <w:p>
      <w:pPr>
        <w:pStyle w:val="ListNumber"/>
        <w:spacing w:line="240" w:lineRule="auto"/>
        <w:ind w:left="720"/>
      </w:pPr>
      <w:r/>
      <w:r>
        <w:t>Um sacerdote da família de Bani. Ele seguiu o forte conselho de Esdras para se divorciar de sua esposa não-judaica após o exílio para Babilônia (</w:t>
      </w:r>
      <w:hyperlink r:id="rId1979">
        <w:r>
          <w:rPr>
            <w:color w:val="0000EE"/>
            <w:u w:val="single"/>
          </w:rPr>
          <w:t>Ed 10.34</w:t>
        </w:r>
      </w:hyperlink>
      <w:r>
        <w:t>).</w:t>
      </w:r>
      <w:r/>
      <w:r/>
    </w:p>
    <w:p>
      <w:r/>
    </w:p>
    <w:p>
      <w:pPr>
        <w:pStyle w:val="Heading2"/>
      </w:pPr>
      <w:r>
        <w:t>Anti-Líbano</w:t>
      </w:r>
      <w:r/>
    </w:p>
    <w:p>
      <w:r/>
      <w:r>
        <w:t>Uma cadeia de montanhas que se estende do Monte Hermom no sul em direção ao norte-nordeste (</w:t>
      </w:r>
      <w:hyperlink r:id="rId1980">
        <w:r>
          <w:rPr>
            <w:color w:val="0000EE"/>
            <w:u w:val="single"/>
          </w:rPr>
          <w:t>Jt 1.7</w:t>
        </w:r>
      </w:hyperlink>
      <w:r>
        <w:t>). Ela corre paralela à cadeia do Líbano a oeste. A maior parte da água para o Rio Jordão vem da água que drena das duas cadeias de montanhas. No Antigo Testamento, a cadeia era conhecida como Siriom (</w:t>
      </w:r>
      <w:hyperlink r:id="rId1981">
        <w:r>
          <w:rPr>
            <w:color w:val="0000EE"/>
            <w:u w:val="single"/>
          </w:rPr>
          <w:t>Dt 3.9</w:t>
        </w:r>
      </w:hyperlink>
      <w:r>
        <w:t xml:space="preserve">; </w:t>
      </w:r>
      <w:hyperlink r:id="rId1982">
        <w:r>
          <w:rPr>
            <w:color w:val="0000EE"/>
            <w:u w:val="single"/>
          </w:rPr>
          <w:t>4.48</w:t>
        </w:r>
      </w:hyperlink>
      <w:r>
        <w:t xml:space="preserve">; </w:t>
      </w:r>
      <w:hyperlink r:id="rId1888">
        <w:r>
          <w:rPr>
            <w:color w:val="0000EE"/>
            <w:u w:val="single"/>
          </w:rPr>
          <w:t>Sl 29.6</w:t>
        </w:r>
      </w:hyperlink>
      <w:r>
        <w:t>) ou Senir (</w:t>
      </w:r>
      <w:hyperlink r:id="rId1983">
        <w:r>
          <w:rPr>
            <w:color w:val="0000EE"/>
            <w:u w:val="single"/>
          </w:rPr>
          <w:t>1Cr 5.23</w:t>
        </w:r>
      </w:hyperlink>
      <w:r>
        <w:t xml:space="preserve">; </w:t>
      </w:r>
      <w:hyperlink r:id="rId1746">
        <w:r>
          <w:rPr>
            <w:color w:val="0000EE"/>
            <w:u w:val="single"/>
          </w:rPr>
          <w:t>Ct 4.8</w:t>
        </w:r>
      </w:hyperlink>
      <w:r>
        <w:t xml:space="preserve">; </w:t>
      </w:r>
      <w:hyperlink r:id="rId1984">
        <w:r>
          <w:rPr>
            <w:color w:val="0000EE"/>
            <w:u w:val="single"/>
          </w:rPr>
          <w:t>Ez 27.5</w:t>
        </w:r>
      </w:hyperlink>
      <w:r>
        <w:t>).</w:t>
      </w:r>
      <w:r/>
      <w:r/>
    </w:p>
    <w:p>
      <w:r/>
    </w:p>
    <w:p>
      <w:pPr>
        <w:pStyle w:val="Heading2"/>
      </w:pPr>
      <w:r>
        <w:t>Antílope</w:t>
      </w:r>
      <w:r/>
    </w:p>
    <w:p>
      <w:r/>
      <w:r>
        <w:t>Um animal que corre rapidamente e se assemelha a um cervo.</w:t>
      </w:r>
    </w:p>
    <w:p>
      <w:r/>
      <w:r>
        <w:t xml:space="preserve">Várias criaturas semelhantes a antílopes são mencionadas nas Escrituras. Uma delas parece ser o órix branco </w:t>
      </w:r>
      <w:r>
        <w:rPr>
          <w:i/>
        </w:rPr>
        <w:t>(Oryx leucoryx),</w:t>
      </w:r>
      <w:r>
        <w:t xml:space="preserve"> referido como "antílope" em </w:t>
      </w:r>
      <w:hyperlink r:id="rId1463">
        <w:r>
          <w:rPr>
            <w:color w:val="0000EE"/>
            <w:u w:val="single"/>
          </w:rPr>
          <w:t>Deuteronômio 14.5</w:t>
        </w:r>
      </w:hyperlink>
      <w:r>
        <w:t xml:space="preserve"> e </w:t>
      </w:r>
      <w:hyperlink r:id="rId1464">
        <w:r>
          <w:rPr>
            <w:color w:val="0000EE"/>
            <w:u w:val="single"/>
          </w:rPr>
          <w:t>Isaías 51.20</w:t>
        </w:r>
      </w:hyperlink>
      <w:r>
        <w:t>. O órix provavelmente era o antílope. Seus longos chifres facilitavam a captura, tornando-o uma fonte comum de alimento.</w:t>
      </w:r>
    </w:p>
    <w:p>
      <w:r/>
      <w:r>
        <w:t xml:space="preserve">Outro antílope mencionado na Bíblia é o adax </w:t>
      </w:r>
      <w:r>
        <w:rPr>
          <w:i/>
        </w:rPr>
        <w:t>(Addax nasomaculatus).</w:t>
      </w:r>
      <w:r>
        <w:t xml:space="preserve"> Provavelmente é o “antílope” de </w:t>
      </w:r>
      <w:hyperlink r:id="rId1463">
        <w:r>
          <w:rPr>
            <w:color w:val="0000EE"/>
            <w:u w:val="single"/>
          </w:rPr>
          <w:t>Deuteronômio 14.5</w:t>
        </w:r>
      </w:hyperlink>
      <w:r>
        <w:t xml:space="preserve"> ("corços", NTLH; "corça", ARC; "pygarg", LXX). Ele vive no Norte da África. Possui partes traseiras acinzentadas, uma mancha branca na testa e chifres torcidos e anelados. A palavra “pygarg” vem de uma palavra grega que significa “garupa branca”. O adax tem aproximadamente o tamanho de um burro. Seu corpo é coberto de pelos curtos. Possui uma crina curta na parte inferior do pescoço que faz a cabeça parecer um pouco com a de uma cabra. As patas são largas e achatadas, e a cauda se assemelha à de um burro. É comum na África e na Arábia, onde os árabes o caçam com falcões e cães.</w:t>
      </w:r>
    </w:p>
    <w:p>
      <w:r/>
      <w:r>
        <w:t>Os antílopes são muito graciosos e correm com a cabeça erguida. Ambos os sexos possuem chifres longos, permanentes e ocos. Os chifres do órix vão diretamente para trás, enquanto os chifres do adax se torcem em anéis. Os antílopes são alertas, ariscos e perceptivos. Eles geralmente são encontrados em rebanhos de dois a uma dúzia. Se ferido ou encurralado, um antílope ataca com a cabeça baixa, com seus chifres afiados apontando para a frente. Os antílopes se alimentam de gramíneas e arbustos, bebendo de riachos e poços de água. Quando há pouca água, eles comem melões e bulbos suculentos. Tanto o adax quanto o órix eram considerados puros na lei judaica.</w:t>
      </w:r>
      <w:r/>
      <w:r/>
    </w:p>
    <w:p>
      <w:r/>
    </w:p>
    <w:p>
      <w:pPr>
        <w:pStyle w:val="Heading2"/>
      </w:pPr>
      <w:r>
        <w:t>Antioquia da Pisídia</w:t>
      </w:r>
      <w:r/>
    </w:p>
    <w:p>
      <w:r/>
      <w:r>
        <w:t>Uma cidade na Ásia Menor entre os distritos de Frígia e Pisídia. O apóstolo Paulo viajou até lá para introduzir o evangelho. Paulo foi convidado pelos anciãos da sinagoga em Antioquia. Eles o convidaram a trazer qualquer mensagem de encorajamento que tivesse na reunião de sábado (</w:t>
      </w:r>
      <w:hyperlink r:id="rId1985">
        <w:r>
          <w:rPr>
            <w:color w:val="0000EE"/>
            <w:u w:val="single"/>
          </w:rPr>
          <w:t>At 13.14–15</w:t>
        </w:r>
      </w:hyperlink>
      <w:r>
        <w:t>).</w:t>
      </w:r>
    </w:p>
    <w:p>
      <w:r/>
      <w:r>
        <w:t>De acordo com o registro em Atos, muitos imploraram para ouvir mais (</w:t>
      </w:r>
      <w:hyperlink r:id="rId1986">
        <w:r>
          <w:rPr>
            <w:color w:val="0000EE"/>
            <w:u w:val="single"/>
          </w:rPr>
          <w:t>13.42</w:t>
        </w:r>
      </w:hyperlink>
      <w:r>
        <w:t>). Alguns dos líderes judeus estavam com ciúmes de Paulo por causa de sua popularidade. Eles começaram a dizer coisas prejudiciais sobre ele (</w:t>
      </w:r>
      <w:hyperlink r:id="rId1987">
        <w:r>
          <w:rPr>
            <w:color w:val="0000EE"/>
            <w:u w:val="single"/>
          </w:rPr>
          <w:t>13.45</w:t>
        </w:r>
      </w:hyperlink>
      <w:r>
        <w:t>). Paulo então se voltou para os ouvintes gentios (</w:t>
      </w:r>
      <w:hyperlink r:id="rId1988">
        <w:r>
          <w:rPr>
            <w:color w:val="0000EE"/>
            <w:u w:val="single"/>
          </w:rPr>
          <w:t>13.46–48</w:t>
        </w:r>
      </w:hyperlink>
      <w:r>
        <w:t>). Algumas das autoridades judaicas o forçaram a deixar a cidade (</w:t>
      </w:r>
      <w:hyperlink r:id="rId1989">
        <w:r>
          <w:rPr>
            <w:color w:val="0000EE"/>
            <w:u w:val="single"/>
          </w:rPr>
          <w:t>13.50</w:t>
        </w:r>
      </w:hyperlink>
      <w:r>
        <w:t>). Os mesmos judeus de Antioquia continuaram a atacar Paulo enquanto ele viajava para Listra (</w:t>
      </w:r>
      <w:hyperlink r:id="rId1990">
        <w:r>
          <w:rPr>
            <w:color w:val="0000EE"/>
            <w:u w:val="single"/>
          </w:rPr>
          <w:t>At 14.19</w:t>
        </w:r>
      </w:hyperlink>
      <w:r>
        <w:t>). Paulo viajou por Antioquia uma segunda vez enquanto estava a caminho de Perge e Atália (</w:t>
      </w:r>
      <w:hyperlink r:id="rId1991">
        <w:r>
          <w:rPr>
            <w:color w:val="0000EE"/>
            <w:u w:val="single"/>
          </w:rPr>
          <w:t>14.21</w:t>
        </w:r>
      </w:hyperlink>
      <w:r>
        <w:t>).</w:t>
      </w:r>
    </w:p>
    <w:p>
      <w:r/>
      <w:r>
        <w:t>A cidade de Antioquia foi construída por volta de 300 a.C. por Seleuco Nicator, que a nomeou em homenagem a seu filho, Antíoco I. Como resultado da conquista romana em 188 a.C., a área foi declarada livre do domínio dos reis selêucidas. Os romanos começaram imediatamente a torná-la mais parecida com suas cidades. Por volta de 36 a.C., Antônio fez de Antioquia parte do território do rei da Galácia, Amintas. Com a morte de Amintas, 11 anos depois, a cidade recebeu o status de colônia e tornou-se Cesareia Antioquena. Essa foi a capital da Galácia meridional.</w:t>
      </w:r>
      <w:r/>
      <w:r/>
    </w:p>
    <w:p>
      <w:r/>
    </w:p>
    <w:p>
      <w:pPr>
        <w:pStyle w:val="Heading2"/>
      </w:pPr>
      <w:r>
        <w:t>Antioquia da Síria</w:t>
      </w:r>
      <w:r/>
    </w:p>
    <w:p>
      <w:r/>
      <w:r>
        <w:t>A principal cidade entre outras 16 com o mesmo nome. Foi construída por volta de 300 a.C. pelo imperador sírio Selêuco I, em honra a seu pai Antíoco. Essa Antioquia corresponde à atual Antáquia, na Turquia. Está localizada em uma planície fértil, em uma curva ocidental do rio Orontes, que deságua no mar Mediterrâneo.</w:t>
      </w:r>
    </w:p>
    <w:p>
      <w:pPr>
        <w:pStyle w:val="Heading3"/>
      </w:pPr>
      <w:r>
        <w:t>Onde ficava Antioquia e por que era importante?</w:t>
      </w:r>
    </w:p>
    <w:p>
      <w:r/>
      <w:r>
        <w:t>Nos tempos antigos, 500.000 pessoas viviam em Antioquia. Era uma cidade movimentada, localizada à beira d'água, onde barcos podiam viajar 24 quilômetros até um porto no Mediterrâneo. Também tinha fácil acesso por passagens nas Montanhas Taurus em direção ao leste, até a parte central da Síria. Sua localização a tornava um centro de comércio, atividade religiosa e altos níveis de vida intelectual e política. Sob a autoridade romana, Antioquia recebeu atenção especial com belas obras públicas, melhorias no porto e vantagens comerciais especiais.</w:t>
      </w:r>
    </w:p>
    <w:p>
      <w:pPr>
        <w:pStyle w:val="Heading3"/>
      </w:pPr>
      <w:r>
        <w:t>Como era a vida em Antioquia?</w:t>
      </w:r>
    </w:p>
    <w:p>
      <w:r/>
      <w:r>
        <w:t>A cidade tinha tanto aspectos bons quanto ruins. Enquanto algumas pessoas apreciavam arte e educação, outras participavam de esportes violentos e práticas religiosas perigosas. Algumas dessas práticas religiosas incluíam a adoração de deuses que as pessoas acreditavam ajudar no crescimento das colheitas, bem como grupos religiosos secretos chamados cultos de mistério. Dois outros grupos importantes viviam em Antioquia. Um era uma grande comunidade judaica que possuía direitos especiais e vivia bem na cidade. O outro era um grupo de funcionários do governo que ajudavam a administrar a cidade.</w:t>
      </w:r>
    </w:p>
    <w:p>
      <w:r/>
      <w:r>
        <w:t>Muitos judeus em Antioquia tornaram-se cristãos e membros da igreja primitiva em Antioquia. Os funcionários do governo forneciam proteção policial, estabilidade e ordem. Eles também tinham um forte desejo por estilos de vida caros. Participavam de jogos de azar, corridas de carruagens, bordéis, banquetes exóticos e coisas semelhantes.</w:t>
      </w:r>
    </w:p>
    <w:p>
      <w:pPr>
        <w:pStyle w:val="Heading3"/>
      </w:pPr>
      <w:r>
        <w:t>Como Antioquia contribuiu para a expansão do Cristianismo?</w:t>
      </w:r>
    </w:p>
    <w:p>
      <w:r/>
      <w:r>
        <w:t>Antioquia da Síria teve um papel importante no livro de Atos. Um homem chamado Nicolau de Antioquia tornou-se um dos primeiros diáconos na igreja primitiva (</w:t>
      </w:r>
      <w:hyperlink r:id="rId1992">
        <w:r>
          <w:rPr>
            <w:color w:val="0000EE"/>
            <w:u w:val="single"/>
          </w:rPr>
          <w:t>At 6.5</w:t>
        </w:r>
      </w:hyperlink>
      <w:r>
        <w:t>). Cristãos de Jerusalém fugiram para Antioquia devido à perseguição intensa (</w:t>
      </w:r>
      <w:hyperlink r:id="rId1993">
        <w:r>
          <w:rPr>
            <w:color w:val="0000EE"/>
            <w:u w:val="single"/>
          </w:rPr>
          <w:t>11.19</w:t>
        </w:r>
      </w:hyperlink>
      <w:r>
        <w:t xml:space="preserve">). </w:t>
      </w:r>
      <w:hyperlink r:id="rId1994">
        <w:r>
          <w:rPr>
            <w:color w:val="0000EE"/>
            <w:u w:val="single"/>
          </w:rPr>
          <w:t>Atos 11</w:t>
        </w:r>
      </w:hyperlink>
      <w:r>
        <w:t xml:space="preserve"> fornece detalhes do ensino de Barnabé e Paulo na igreja de Antioquia. A igreja de Antioquia foi generosa e uma bênção para os cristãos que sofriam em Jerusalém. O termo “cristãos” foi usado pela primeira vez em Antioquia (</w:t>
      </w:r>
      <w:hyperlink r:id="rId1995">
        <w:r>
          <w:rPr>
            <w:color w:val="0000EE"/>
            <w:u w:val="single"/>
          </w:rPr>
          <w:t>11.26</w:t>
        </w:r>
      </w:hyperlink>
      <w:r>
        <w:t xml:space="preserve">). </w:t>
      </w:r>
      <w:hyperlink r:id="rId1996">
        <w:r>
          <w:rPr>
            <w:color w:val="0000EE"/>
            <w:u w:val="single"/>
          </w:rPr>
          <w:t>Atos 13</w:t>
        </w:r>
      </w:hyperlink>
      <w:r>
        <w:t xml:space="preserve"> registra que os primeiros missionários foram enviados de lá. A declaração do conselho da igreja de Jerusalém sobre os requisitos para os crentes gentios foi em parte resultado do trabalho em Antioquia entre os gentios (veja </w:t>
      </w:r>
      <w:hyperlink r:id="rId1997">
        <w:r>
          <w:rPr>
            <w:color w:val="0000EE"/>
            <w:u w:val="single"/>
          </w:rPr>
          <w:t>At 15</w:t>
        </w:r>
      </w:hyperlink>
      <w:r>
        <w:t xml:space="preserve"> e </w:t>
      </w:r>
      <w:hyperlink r:id="rId1998">
        <w:r>
          <w:rPr>
            <w:color w:val="0000EE"/>
            <w:u w:val="single"/>
          </w:rPr>
          <w:t>Gl 2</w:t>
        </w:r>
      </w:hyperlink>
      <w:r>
        <w:t>).</w:t>
      </w:r>
    </w:p>
    <w:p>
      <w:r/>
      <w:r>
        <w:t>Do terceiro século até aproximadamente o oitavo século, Antioquia foi um centro importante para o desenvolvimento da teologia cristã. A abordagem das Escrituras e da natureza de Cristo adotada em Antioquia tendia a ser histórica e racional. Em contraste, a abordagem adotada em Alexandria (Egito) era excessivamente espiritualizada e alegórica. Teólogos como Orígenes e Clemente são representativos dessa interpretação simbólica ou não literal no Egito.</w:t>
      </w:r>
      <w:r/>
      <w:r/>
    </w:p>
    <w:p>
      <w:r/>
    </w:p>
    <w:p>
      <w:pPr>
        <w:pStyle w:val="Heading2"/>
      </w:pPr>
      <w:r>
        <w:t>Antipátride</w:t>
      </w:r>
      <w:r/>
    </w:p>
    <w:p>
      <w:r/>
      <w:r>
        <w:t>Uma cidade cerca de 41,8 quilômetros ao sul de Cesareia. Foi reconstruída por Herodes, o Grande, em 9 a.C., em homenagem a seu pai, Antípatro. Antes de Herodes reconstruí-la, a cidade era conhecida como Afeca. Quando Paulo era um prisioneiro romano, ele viajou por Antipátride em seu caminho de Jerusalém para Cesareia (</w:t>
      </w:r>
      <w:hyperlink r:id="rId476">
        <w:r>
          <w:rPr>
            <w:color w:val="0000EE"/>
            <w:u w:val="single"/>
          </w:rPr>
          <w:t>At 23.31</w:t>
        </w:r>
      </w:hyperlink>
      <w:r>
        <w:t>). Antipátride era uma estação de retransmissão militar romana. Também marcava a fronteira entre Judeia e Samaria.</w:t>
      </w:r>
    </w:p>
    <w:p>
      <w:r/>
      <w:r>
        <w:rPr>
          <w:i/>
        </w:rPr>
        <w:t>Veja também</w:t>
      </w:r>
      <w:r>
        <w:t xml:space="preserve"> </w:t>
      </w:r>
      <w:r>
        <w:t>Afeca</w:t>
      </w:r>
      <w:r>
        <w:t>.</w:t>
      </w:r>
      <w:r/>
      <w:r/>
    </w:p>
    <w:p>
      <w:r/>
    </w:p>
    <w:p>
      <w:pPr>
        <w:pStyle w:val="Heading2"/>
      </w:pPr>
      <w:r>
        <w:t>Anunciação</w:t>
      </w:r>
      <w:r/>
    </w:p>
    <w:p>
      <w:r/>
      <w:r>
        <w:t>A palavra Anunciação refere-se a um evento importante na fé cristã, quando um anjo chamado Gabriel veio a uma jovem chamada Maria. Gabriel disse a Maria que o Espírito Santo de Deus lhe daria um filho de maneira milagrosa (</w:t>
      </w:r>
      <w:hyperlink r:id="rId1999">
        <w:r>
          <w:rPr>
            <w:color w:val="0000EE"/>
            <w:u w:val="single"/>
          </w:rPr>
          <w:t>Lc 1.26–38</w:t>
        </w:r>
      </w:hyperlink>
      <w:r>
        <w:t>).</w:t>
      </w:r>
    </w:p>
    <w:p>
      <w:pPr>
        <w:pStyle w:val="Heading3"/>
      </w:pPr>
      <w:r>
        <w:t>A mensagem do anjo para Maria</w:t>
      </w:r>
    </w:p>
    <w:p>
      <w:r/>
      <w:r>
        <w:t>Maria enfrentaria muitas dificuldades porque engravidou antes do casamento. Mas o anjo Gabriel a saudou com palavras especiais, chamando-a de “muito favorecida” ou “muito abençoada” (</w:t>
      </w:r>
      <w:hyperlink r:id="rId2000">
        <w:r>
          <w:rPr>
            <w:color w:val="0000EE"/>
            <w:u w:val="single"/>
          </w:rPr>
          <w:t>Lc 1.28</w:t>
        </w:r>
      </w:hyperlink>
      <w:r>
        <w:t>). Como todas as pessoas que encontram anjos na Bíblia, Maria sentiu medo ao ver Gabriel. Maria “ficou pensando no que ele queria dizer” (</w:t>
      </w:r>
      <w:hyperlink r:id="rId2001">
        <w:r>
          <w:rPr>
            <w:color w:val="0000EE"/>
            <w:u w:val="single"/>
          </w:rPr>
          <w:t>Lc 1.29</w:t>
        </w:r>
      </w:hyperlink>
      <w:r>
        <w:t>). Gabriel a confortou e disse que Deus a havia escolhido para ter um filho, que se chamaria Jesus.</w:t>
      </w:r>
    </w:p>
    <w:p>
      <w:r/>
      <w:r>
        <w:t>“Jesus” é a forma grega do nome hebraico “Josué”. Significa “o Senhor é salvação”. Mateus descreveu a aparição de um anjo a José para anunciar que Maria estava grávida de uma criança concebida pelo Espírito Santo. Ele seria chamado Jesus, “pois ele salvará o seu povo dos pecados deles” (</w:t>
      </w:r>
      <w:hyperlink r:id="rId2002">
        <w:r>
          <w:rPr>
            <w:color w:val="0000EE"/>
            <w:u w:val="single"/>
          </w:rPr>
          <w:t>Mt 1.18–21</w:t>
        </w:r>
      </w:hyperlink>
      <w:r>
        <w:t>).</w:t>
      </w:r>
    </w:p>
    <w:p>
      <w:pPr>
        <w:pStyle w:val="Heading3"/>
      </w:pPr>
      <w:r>
        <w:t>A promessa de Deus sobre Jesus</w:t>
      </w:r>
    </w:p>
    <w:p>
      <w:r/>
      <w:r>
        <w:t>Usando figuras de linguagem retiradas do Antigo Testamento, Gabriel profetizou sobre a criança que Maria daria à luz (</w:t>
      </w:r>
      <w:hyperlink r:id="rId2003">
        <w:r>
          <w:rPr>
            <w:color w:val="0000EE"/>
            <w:u w:val="single"/>
          </w:rPr>
          <w:t>Lc 1.32–33</w:t>
        </w:r>
      </w:hyperlink>
      <w:r>
        <w:t>). Assim como João Batista, Jesus seria grande. No entanto, a grandeza de Jesus seria de um tipo diferente. João seria “para o Senhor Deus... um grande homem” (</w:t>
      </w:r>
      <w:hyperlink r:id="rId2004">
        <w:r>
          <w:rPr>
            <w:color w:val="0000EE"/>
            <w:u w:val="single"/>
          </w:rPr>
          <w:t>Lc 1.15</w:t>
        </w:r>
      </w:hyperlink>
      <w:r>
        <w:t>), mas Jesus seria grande e seria “chamado de Filho do Deus Altíssimo” (</w:t>
      </w:r>
      <w:hyperlink r:id="rId2005">
        <w:r>
          <w:rPr>
            <w:color w:val="0000EE"/>
            <w:u w:val="single"/>
          </w:rPr>
          <w:t>Lc 1.32</w:t>
        </w:r>
      </w:hyperlink>
      <w:r>
        <w:t>).</w:t>
      </w:r>
    </w:p>
    <w:p>
      <w:r/>
      <w:r>
        <w:t>Jesus receberia o trono de seu pai Davi (</w:t>
      </w:r>
      <w:hyperlink r:id="rId2005">
        <w:r>
          <w:rPr>
            <w:color w:val="0000EE"/>
            <w:u w:val="single"/>
          </w:rPr>
          <w:t>Lc 1.32</w:t>
        </w:r>
      </w:hyperlink>
      <w:r>
        <w:t>). Ele receberia o poder para governar, prometido no Antigo Testamento ao Messias-Rei da linhagem de Davi. O Messias ou "ungido" era uma figura semelhante a um rei ou sacerdote. Ao contrário de Davi, Jesus reinaria para sempre (</w:t>
      </w:r>
      <w:hyperlink r:id="rId2006">
        <w:r>
          <w:rPr>
            <w:color w:val="0000EE"/>
            <w:u w:val="single"/>
          </w:rPr>
          <w:t>2Sm 7.12–16</w:t>
        </w:r>
      </w:hyperlink>
      <w:r>
        <w:t xml:space="preserve">; </w:t>
      </w:r>
      <w:hyperlink r:id="rId2007">
        <w:r>
          <w:rPr>
            <w:color w:val="0000EE"/>
            <w:u w:val="single"/>
          </w:rPr>
          <w:t>Sl 2.7</w:t>
        </w:r>
      </w:hyperlink>
      <w:r>
        <w:t xml:space="preserve">; </w:t>
      </w:r>
      <w:hyperlink r:id="rId2008">
        <w:r>
          <w:rPr>
            <w:color w:val="0000EE"/>
            <w:u w:val="single"/>
          </w:rPr>
          <w:t>89.26–29</w:t>
        </w:r>
      </w:hyperlink>
      <w:r>
        <w:t>).</w:t>
      </w:r>
    </w:p>
    <w:p>
      <w:r/>
      <w:r>
        <w:t xml:space="preserve">A afirmação de Maria em </w:t>
      </w:r>
      <w:hyperlink r:id="rId2009">
        <w:r>
          <w:rPr>
            <w:color w:val="0000EE"/>
            <w:u w:val="single"/>
          </w:rPr>
          <w:t>Lucas 1.34</w:t>
        </w:r>
      </w:hyperlink>
      <w:r>
        <w:t>, “- Isso não é possível, pois eu sou virgem!” não expressou dúvida. Expressou curiosidade sobre como o evento ocorreria. Gabriel explicou que “o poder do Deus Altíssimo”, o Espírito Santo, “envolveria com a sua sombra” Maria. Seu filho seria concebido pelo poder de Deus, como nenhum outro antes dele.</w:t>
      </w:r>
    </w:p>
    <w:p>
      <w:r/>
      <w:r>
        <w:t>Gabriel tranquilizou Maria: “Porque para Deus nada é impossível”. Isso ecoa a palavra do Senhor para Sara quando ele anuncia o nascimento de Isaque (</w:t>
      </w:r>
      <w:hyperlink r:id="rId2010">
        <w:r>
          <w:rPr>
            <w:color w:val="0000EE"/>
            <w:u w:val="single"/>
          </w:rPr>
          <w:t>Gn 18.10–14</w:t>
        </w:r>
      </w:hyperlink>
      <w:r>
        <w:t>). Como Jesus foi concebido pelo Espírito Santo, Ele seria chamado de “santo” e reconhecido como “o Filho de Deus” (</w:t>
      </w:r>
      <w:hyperlink r:id="rId2011">
        <w:r>
          <w:rPr>
            <w:color w:val="0000EE"/>
            <w:u w:val="single"/>
          </w:rPr>
          <w:t>Lc 1.35</w:t>
        </w:r>
      </w:hyperlink>
      <w:r>
        <w:t>).</w:t>
      </w:r>
    </w:p>
    <w:p>
      <w:pPr>
        <w:pStyle w:val="Heading3"/>
      </w:pPr>
      <w:r>
        <w:t>Resposta e Legado de Maria</w:t>
      </w:r>
    </w:p>
    <w:p>
      <w:r/>
      <w:r>
        <w:t>Foi necessário coragem para Maria responder a Gabriel, “Eu sou uma serva de Deus” e “que aconteça comigo o que o senhor acabou de me dizer!” (</w:t>
      </w:r>
      <w:hyperlink r:id="rId2012">
        <w:r>
          <w:rPr>
            <w:color w:val="0000EE"/>
            <w:u w:val="single"/>
          </w:rPr>
          <w:t>Lc 1.38</w:t>
        </w:r>
      </w:hyperlink>
      <w:r>
        <w:t>). Como serva ou escrava, Maria não podia deixar de fazer a vontade de seu mestre. No entanto, como uma mulher grávida e solteira, ela enfrentava a possibilidade de desonra (</w:t>
      </w:r>
      <w:hyperlink r:id="rId2013">
        <w:r>
          <w:rPr>
            <w:color w:val="0000EE"/>
            <w:u w:val="single"/>
          </w:rPr>
          <w:t>Mt 1.19</w:t>
        </w:r>
      </w:hyperlink>
      <w:r>
        <w:t>). Ela até enfrentaria a pena de morte (</w:t>
      </w:r>
      <w:hyperlink r:id="rId2014">
        <w:r>
          <w:rPr>
            <w:color w:val="0000EE"/>
            <w:u w:val="single"/>
          </w:rPr>
          <w:t>Dt 22.20–24</w:t>
        </w:r>
      </w:hyperlink>
      <w:r>
        <w:t xml:space="preserve">; </w:t>
      </w:r>
      <w:hyperlink r:id="rId2015">
        <w:r>
          <w:rPr>
            <w:color w:val="0000EE"/>
            <w:u w:val="single"/>
          </w:rPr>
          <w:t>Jo 8.3–5</w:t>
        </w:r>
      </w:hyperlink>
      <w:r>
        <w:t>). Ainda assim, Maria percebeu que, por causa da grande coisa que Deus faria nela, “De agora em diante todos vão me chamar de mulher abençoada” (</w:t>
      </w:r>
      <w:hyperlink r:id="rId2016">
        <w:r>
          <w:rPr>
            <w:color w:val="0000EE"/>
            <w:u w:val="single"/>
          </w:rPr>
          <w:t>Lc 1.48</w:t>
        </w:r>
      </w:hyperlink>
      <w:r>
        <w:t>).</w:t>
      </w:r>
    </w:p>
    <w:p>
      <w:r/>
      <w:r>
        <w:t>Como o dia 25 de dezembro é celebrado como a data tradicional do nascimento de Cristo, as igrejas que seguem um calendário eclesiástico estruturado comemoram a Festa da Anunciação (Encarnação) nove meses antes, no dia 25 de março.</w:t>
      </w:r>
    </w:p>
    <w:p>
      <w:r/>
      <w:r>
        <w:rPr>
          <w:i/>
        </w:rPr>
        <w:t>Veja também</w:t>
      </w:r>
      <w:r>
        <w:t xml:space="preserve"> </w:t>
      </w:r>
      <w:r>
        <w:t>Nascimento virginal de Jesus</w:t>
      </w:r>
      <w:r>
        <w:t>.</w:t>
      </w:r>
      <w:r/>
      <w:r/>
    </w:p>
    <w:p>
      <w:r/>
    </w:p>
    <w:p>
      <w:pPr>
        <w:pStyle w:val="Heading2"/>
      </w:pPr>
      <w:r>
        <w:t>Aoliabe</w:t>
      </w:r>
      <w:r/>
    </w:p>
    <w:p>
      <w:r/>
      <w:r>
        <w:t>Um homem, Moisés, escolheu Aoliabe para ajudar Bezalel, o mestre artesão, na construção e decoração do tabernáculo. Aoliabe, filho de Aisamaque e da tribo de Dã, era um construtor e costureiro renomado. Ele ensinou, junto com Bezalel, as habilidades para construir o tabernáculo (</w:t>
      </w:r>
      <w:hyperlink r:id="rId663">
        <w:r>
          <w:rPr>
            <w:color w:val="0000EE"/>
            <w:u w:val="single"/>
          </w:rPr>
          <w:t>Êx 31.6</w:t>
        </w:r>
      </w:hyperlink>
      <w:r>
        <w:t xml:space="preserve">; </w:t>
      </w:r>
      <w:hyperlink r:id="rId664">
        <w:r>
          <w:rPr>
            <w:color w:val="0000EE"/>
            <w:u w:val="single"/>
          </w:rPr>
          <w:t>35.34</w:t>
        </w:r>
      </w:hyperlink>
      <w:r>
        <w:t xml:space="preserve">; </w:t>
      </w:r>
      <w:hyperlink r:id="rId2017">
        <w:r>
          <w:rPr>
            <w:color w:val="0000EE"/>
            <w:u w:val="single"/>
          </w:rPr>
          <w:t>36.1–2</w:t>
        </w:r>
      </w:hyperlink>
      <w:r>
        <w:t xml:space="preserve">; </w:t>
      </w:r>
      <w:hyperlink r:id="rId665">
        <w:r>
          <w:rPr>
            <w:color w:val="0000EE"/>
            <w:u w:val="single"/>
          </w:rPr>
          <w:t>38.23</w:t>
        </w:r>
      </w:hyperlink>
      <w:r>
        <w:t>; “Aholiab” na KJV).</w:t>
      </w:r>
      <w:r/>
      <w:r/>
    </w:p>
    <w:p>
      <w:r/>
    </w:p>
    <w:p>
      <w:pPr>
        <w:pStyle w:val="Heading2"/>
      </w:pPr>
      <w:r>
        <w:t>Apelo</w:t>
      </w:r>
      <w:r/>
    </w:p>
    <w:p>
      <w:r/>
      <w:r>
        <w:t>Um termo jurídico para solicitar a um tribunal superior que revise uma decisão de um tribunal inferior. A lei do Antigo Testamento não previa apelações. No Novo Testamento, o apóstolo Paulo apelou a César para uma audiência após sua prisão em Jerusalém (</w:t>
      </w:r>
      <w:hyperlink r:id="rId2018">
        <w:r>
          <w:rPr>
            <w:color w:val="0000EE"/>
            <w:u w:val="single"/>
          </w:rPr>
          <w:t>At 25.11</w:t>
        </w:r>
      </w:hyperlink>
      <w:r>
        <w:t>). Como Paulo era cidadão romano, ele podia ter seu caso removido dos tribunais judeus. Paulo temia um julgamento injusto nos tribunais judeus.</w:t>
      </w:r>
    </w:p>
    <w:p>
      <w:r/>
      <w:r>
        <w:rPr>
          <w:i/>
        </w:rPr>
        <w:t>Veja também</w:t>
      </w:r>
      <w:r>
        <w:t xml:space="preserve"> </w:t>
      </w:r>
      <w:r>
        <w:t>Lei civil e justiça</w:t>
      </w:r>
      <w:r>
        <w:t>.</w:t>
      </w:r>
      <w:r/>
      <w:r/>
    </w:p>
    <w:p>
      <w:r/>
    </w:p>
    <w:p>
      <w:pPr>
        <w:pStyle w:val="Heading2"/>
      </w:pPr>
      <w:r>
        <w:t>Apocalipse, Livro de</w:t>
      </w:r>
      <w:r/>
    </w:p>
    <w:p>
      <w:r/>
      <w:r>
        <w:t>Último livro da Bíblia, contendo revelações sobre os eventos dos últimos dias.</w:t>
      </w:r>
    </w:p>
    <w:p>
      <w:r/>
      <w:r>
        <w:t>Pré-visualização:</w:t>
      </w:r>
    </w:p>
    <w:p>
      <w:r/>
      <w:r>
        <w:t>• Autor</w:t>
      </w:r>
    </w:p>
    <w:p>
      <w:r/>
      <w:r>
        <w:t>• Data, origem, destino</w:t>
      </w:r>
    </w:p>
    <w:p>
      <w:r/>
      <w:r>
        <w:t>• Contexto</w:t>
      </w:r>
    </w:p>
    <w:p>
      <w:r/>
      <w:r>
        <w:t>• Métodos de interpretação do apocalipse</w:t>
      </w:r>
    </w:p>
    <w:p>
      <w:r/>
      <w:r>
        <w:t>• Propósito e ensino</w:t>
      </w:r>
    </w:p>
    <w:p>
      <w:r/>
      <w:r>
        <w:t>• Conteúdo</w:t>
      </w:r>
    </w:p>
    <w:p>
      <w:pPr>
        <w:pStyle w:val="Heading3"/>
      </w:pPr>
      <w:r>
        <w:t>Autor</w:t>
      </w:r>
    </w:p>
    <w:p>
      <w:r/>
      <w:r>
        <w:t>Os primeiros testemunhos atribuem a autoria de Apocalipse a João, o Apóstolo, filho de Zebedeu. Dionísio, o distinto bispo de Alexandria e aluno de Orígenes (início do terceiro século), foi o primeiro dentro da igreja a questionar sua autoria apostólica porque lhe parecia que o estilo de escrita diferia muito daquele encontrado no quarto Evangelho, atribuído a João. A partir do tempo de Dionísio, a origem apostólica do livro foi disputada no Leste até que Atanásio de Alexandria (c. 350) mudou a maré em direção à sua aceitação. No Ocidente, o livro foi amplamente aceito e foi incluído em todas as principais listas de livros canônicos desde pelo menos a metade do segundo século.</w:t>
      </w:r>
    </w:p>
    <w:p>
      <w:r/>
      <w:r>
        <w:t>A partir das evidências internas, as seguintes coisas podem ser ditas sobre o autor com alguma confiança. Ele se chama João (</w:t>
      </w:r>
      <w:hyperlink r:id="rId2019">
        <w:r>
          <w:rPr>
            <w:color w:val="0000EE"/>
            <w:u w:val="single"/>
          </w:rPr>
          <w:t>Apocalipse 1.4,9</w:t>
        </w:r>
      </w:hyperlink>
      <w:r>
        <w:t xml:space="preserve">; </w:t>
      </w:r>
      <w:hyperlink r:id="rId2020">
        <w:r>
          <w:rPr>
            <w:color w:val="0000EE"/>
            <w:u w:val="single"/>
          </w:rPr>
          <w:t>22.8</w:t>
        </w:r>
      </w:hyperlink>
      <w:r>
        <w:t>). Este provavelmente não é um pseudônimo, mas sim o nome de uma pessoa bem conhecida entre as igrejas asiáticas. Este João se identifica como um profeta (</w:t>
      </w:r>
      <w:hyperlink r:id="rId2021">
        <w:r>
          <w:rPr>
            <w:color w:val="0000EE"/>
            <w:u w:val="single"/>
          </w:rPr>
          <w:t>1.3</w:t>
        </w:r>
      </w:hyperlink>
      <w:r>
        <w:t xml:space="preserve">; </w:t>
      </w:r>
      <w:hyperlink r:id="rId2022">
        <w:r>
          <w:rPr>
            <w:color w:val="0000EE"/>
            <w:u w:val="single"/>
          </w:rPr>
          <w:t>22.6–10,18–19</w:t>
        </w:r>
      </w:hyperlink>
      <w:r>
        <w:t>) que estava no exílio por causa de seu testemunho profético (</w:t>
      </w:r>
      <w:hyperlink r:id="rId2023">
        <w:r>
          <w:rPr>
            <w:color w:val="0000EE"/>
            <w:u w:val="single"/>
          </w:rPr>
          <w:t>1.9</w:t>
        </w:r>
      </w:hyperlink>
      <w:r>
        <w:t>). Como tal, ele fala às igrejas com grande autoridade. Seu uso do AT e dos Targuns torna praticamente certo que ele era um judeu palestino, imerso no ritual do templo e da sinagoga. João, o Apóstolo, se encaixa nesse perfil. A diferença entre o estilo do quarto Evangelho e o de Apocalipse pode ser explicada pelos gêneros radicalmente diferentes dos dois livros. O Evangelho é uma narrativa histórica composta, enquanto o livro de Apocalipse é um registro de experiências visionárias e revelação divina direta. O escritor do Evangelho podia levar seu tempo para elaborar uma narrativa palavra por palavra e frase por frase. O escritor de Apocalipse foi compelido por Deus a escrever imediatamente tudo o que lhe foi dito ou mostrado. Assim, o Apóstolo João poderia facilmente ter sido o escritor de ambos. Em qualquer caso, nenhum argumento convincente foi apresentado contra sua autoria.</w:t>
      </w:r>
    </w:p>
    <w:p>
      <w:pPr>
        <w:pStyle w:val="Heading3"/>
      </w:pPr>
      <w:r>
        <w:t>Data, origem, destino</w:t>
      </w:r>
    </w:p>
    <w:p>
      <w:r/>
      <w:r>
        <w:t xml:space="preserve">Apenas duas datas para Apocalipse receberam apoio sério. Uma data anterior, logo após o reinado de Nero (54–68 d.C), é supostamente apoiada por referências no livro à perseguição dos cristãos, ao mito de </w:t>
      </w:r>
      <w:r>
        <w:rPr>
          <w:i/>
        </w:rPr>
        <w:t>Nero redivivus</w:t>
      </w:r>
      <w:r>
        <w:t xml:space="preserve"> (um Nero revivido seria a reencarnação do gênio maligno de todo o Império Romano), ao culto imperial (cap. </w:t>
      </w:r>
      <w:hyperlink r:id="rId2024">
        <w:r>
          <w:rPr>
            <w:color w:val="0000EE"/>
            <w:u w:val="single"/>
          </w:rPr>
          <w:t>13</w:t>
        </w:r>
      </w:hyperlink>
      <w:r>
        <w:t xml:space="preserve">) e ao templo (cap. </w:t>
      </w:r>
      <w:hyperlink r:id="rId2025">
        <w:r>
          <w:rPr>
            <w:color w:val="0000EE"/>
            <w:u w:val="single"/>
          </w:rPr>
          <w:t>11</w:t>
        </w:r>
      </w:hyperlink>
      <w:r>
        <w:t>), que foi destruído em 70 d.C. A data alternativa baseia-se principalmente no testemunho inicial de Irineu, que afirmou que o Apóstolo João “viu a revelação... no final do reinado de Domiciano” (81–96 d.C.).</w:t>
      </w:r>
    </w:p>
    <w:p>
      <w:r/>
      <w:r>
        <w:t>A origem do livro é claramente identificada com Patmos, uma das Ilhas Espórades, localizada a cerca de 37 milhas (59,5 quilômetros) a sudoeste de Mileto, no Mar Icário (</w:t>
      </w:r>
      <w:hyperlink r:id="rId2023">
        <w:r>
          <w:rPr>
            <w:color w:val="0000EE"/>
            <w:u w:val="single"/>
          </w:rPr>
          <w:t>1.9</w:t>
        </w:r>
      </w:hyperlink>
      <w:r>
        <w:t>). João aparentemente foi exilado na ilha devido a perseguições religiosas e/ou governamentais decorrentes de seu testemunho de Jesus (</w:t>
      </w:r>
      <w:hyperlink r:id="rId2023">
        <w:r>
          <w:rPr>
            <w:color w:val="0000EE"/>
            <w:u w:val="single"/>
          </w:rPr>
          <w:t>1.9</w:t>
        </w:r>
      </w:hyperlink>
      <w:r>
        <w:t>).</w:t>
      </w:r>
    </w:p>
    <w:p>
      <w:r/>
      <w:r>
        <w:t>Da mesma forma, os destinatários são claramente as sete igrejas históricas na província romana da Ásia (atual oeste da Turquia): Éfeso, Esmirna, Pérgamo, Tiatira, Sardes, Filadélfia e Laodiceia (</w:t>
      </w:r>
      <w:hyperlink r:id="rId2026">
        <w:r>
          <w:rPr>
            <w:color w:val="0000EE"/>
            <w:u w:val="single"/>
          </w:rPr>
          <w:t>1.4,11</w:t>
        </w:r>
      </w:hyperlink>
      <w:r>
        <w:t xml:space="preserve">; </w:t>
      </w:r>
      <w:hyperlink r:id="rId2027">
        <w:r>
          <w:rPr>
            <w:color w:val="0000EE"/>
            <w:u w:val="single"/>
          </w:rPr>
          <w:t>2.1,8,12,18</w:t>
        </w:r>
      </w:hyperlink>
      <w:r>
        <w:t xml:space="preserve">; </w:t>
      </w:r>
      <w:hyperlink r:id="rId2028">
        <w:r>
          <w:rPr>
            <w:color w:val="0000EE"/>
            <w:u w:val="single"/>
          </w:rPr>
          <w:t>3.1,7,14</w:t>
        </w:r>
      </w:hyperlink>
      <w:r>
        <w:t>).</w:t>
      </w:r>
    </w:p>
    <w:p>
      <w:pPr>
        <w:pStyle w:val="Heading3"/>
      </w:pPr>
      <w:r>
        <w:t>Contexto</w:t>
      </w:r>
    </w:p>
    <w:p>
      <w:r/>
      <w:r>
        <w:t>O livro de Apocalipse difere dos outros escritos do NT, não em doutrina, mas em gênero literário e assunto. É um livro de profecia (</w:t>
      </w:r>
      <w:hyperlink r:id="rId2021">
        <w:r>
          <w:rPr>
            <w:color w:val="0000EE"/>
            <w:u w:val="single"/>
          </w:rPr>
          <w:t>1.3</w:t>
        </w:r>
      </w:hyperlink>
      <w:r>
        <w:t xml:space="preserve">; </w:t>
      </w:r>
      <w:hyperlink r:id="rId2029">
        <w:r>
          <w:rPr>
            <w:color w:val="0000EE"/>
            <w:u w:val="single"/>
          </w:rPr>
          <w:t>22.7,18–19</w:t>
        </w:r>
      </w:hyperlink>
      <w:r>
        <w:t>) que contém tanto advertência quanto consolação — anúncios de julgamento e bênção futuros — comunicados por meio de símbolos e visões.</w:t>
      </w:r>
    </w:p>
    <w:p>
      <w:r/>
      <w:r>
        <w:t>A linguagem e as imagens não eram tão estranhas para os leitores do primeiro século como são hoje. Portanto, a familiaridade com os livros proféticos do AT, especialmente Daniel e Ezequiel, ajudará o leitor a compreender a mensagem do Apocalipse.</w:t>
      </w:r>
    </w:p>
    <w:p>
      <w:r/>
      <w:r>
        <w:t>Embora o modo de apresentação simbólico e visionário crie ambiguidade e frustração para muitos, ele na verdade confere à descrição de realidades invisíveis uma pungência e clareza inatingíveis por qualquer outro método. Essa linguagem pode desencadear uma variedade de ideias, associações, envolvimento existencial e respostas místicas que a prosa direta encontrada na maior parte do NT não consegue alcançar.</w:t>
      </w:r>
    </w:p>
    <w:p>
      <w:r/>
      <w:r>
        <w:t>As cartas às igrejas indicam que cinco das sete estavam em sérios problemas. O principal problema parecia ser a deslealdade a Cristo; isso pode indicar que o foco principal de Apocalipse não é sociopolítico, mas teológico. João estava mais preocupado em combater a heresia que estava se infiltrando nas igrejas no final do primeiro século do que em abordar a situação política. Essa heresia parece ter sido um tipo de ensino gnóstico.</w:t>
      </w:r>
    </w:p>
    <w:p>
      <w:r/>
      <w:r>
        <w:t>Apocalipse é também comumente visto como pertencente ao grupo de escritos conhecidos como literatura apocalíptica. O nome para este tipo de literatura é derivado da palavra grega para “revelação”: apokalupsis</w:t>
      </w:r>
      <w:r>
        <w:rPr>
          <w:i/>
        </w:rPr>
        <w:t>.</w:t>
      </w:r>
      <w:r>
        <w:t xml:space="preserve"> Os livros apocalípticos extrabíblicos foram escritos no período de 200 a.C. a 200 d.C. Embora existam inúmeras semelhanças, também há algumas diferenças claras.</w:t>
      </w:r>
    </w:p>
    <w:p>
      <w:r/>
      <w:r>
        <w:t>Muito mais importante do que as fontes apocalípticas judaicas é a dívida que João tem com o ensinamento escatológico de Jesus, como o discurso do Olival (</w:t>
      </w:r>
      <w:hyperlink r:id="rId2030">
        <w:r>
          <w:rPr>
            <w:color w:val="0000EE"/>
            <w:u w:val="single"/>
          </w:rPr>
          <w:t>Mateus 24–25</w:t>
        </w:r>
      </w:hyperlink>
      <w:r>
        <w:t xml:space="preserve">; </w:t>
      </w:r>
      <w:hyperlink r:id="rId2031">
        <w:r>
          <w:rPr>
            <w:color w:val="0000EE"/>
            <w:u w:val="single"/>
          </w:rPr>
          <w:t>Marcos 13</w:t>
        </w:r>
      </w:hyperlink>
      <w:r>
        <w:t xml:space="preserve">; </w:t>
      </w:r>
      <w:hyperlink r:id="rId2032">
        <w:r>
          <w:rPr>
            <w:color w:val="0000EE"/>
            <w:u w:val="single"/>
          </w:rPr>
          <w:t>Lucas 21</w:t>
        </w:r>
      </w:hyperlink>
      <w:r>
        <w:t>). Apocalipse é único em seu uso do AT. Dos 404 versículos do Apocalipse, 278 contêm referências às Escrituras Judaicas. João refere-se frequentemente a Isaías, Jeremias, Ezequiel e Daniel, e também repetidamente a Êxodo, Deuteronômio e os Salmos. No entanto, ele raramente cita o AT diretamente.</w:t>
      </w:r>
    </w:p>
    <w:p>
      <w:pPr>
        <w:pStyle w:val="Heading3"/>
      </w:pPr>
      <w:r>
        <w:t>Métodos de interpretar apocalipse</w:t>
      </w:r>
    </w:p>
    <w:p>
      <w:r/>
      <w:r>
        <w:t xml:space="preserve">Quatro maneiras tradicionais de entender </w:t>
      </w:r>
      <w:hyperlink r:id="rId2033">
        <w:r>
          <w:rPr>
            <w:color w:val="0000EE"/>
            <w:u w:val="single"/>
          </w:rPr>
          <w:t>Apocalipse 4–22</w:t>
        </w:r>
      </w:hyperlink>
      <w:r>
        <w:t xml:space="preserve"> surgiram na história da igreja:</w:t>
      </w:r>
    </w:p>
    <w:p>
      <w:pPr>
        <w:pStyle w:val="Heading4"/>
      </w:pPr>
      <w:r>
        <w:t>Futurista</w:t>
      </w:r>
    </w:p>
    <w:p>
      <w:r/>
      <w:r>
        <w:t xml:space="preserve">Essa visão sustenta que, com exceção dos capítulos </w:t>
      </w:r>
      <w:hyperlink r:id="rId2034">
        <w:r>
          <w:rPr>
            <w:color w:val="0000EE"/>
            <w:u w:val="single"/>
          </w:rPr>
          <w:t>1–3</w:t>
        </w:r>
      </w:hyperlink>
      <w:r>
        <w:t xml:space="preserve">, todas as visões em Apocalipse se referem a um período imediatamente anterior e posterior ao Segundo Advento de Cristo no fim dos tempos. As bestas (caps. </w:t>
      </w:r>
      <w:hyperlink r:id="rId2024">
        <w:r>
          <w:rPr>
            <w:color w:val="0000EE"/>
            <w:u w:val="single"/>
          </w:rPr>
          <w:t>13</w:t>
        </w:r>
      </w:hyperlink>
      <w:r>
        <w:t xml:space="preserve">, </w:t>
      </w:r>
      <w:hyperlink r:id="rId2035">
        <w:r>
          <w:rPr>
            <w:color w:val="0000EE"/>
            <w:u w:val="single"/>
          </w:rPr>
          <w:t>17</w:t>
        </w:r>
      </w:hyperlink>
      <w:r>
        <w:t>) são identificadas com o futuro Anticristo, que aparecerá no último momento da história mundial e será derrotado por Cristo em sua Segunda vinda para julgar o mundo e estabelecer seu reino milenar terrestre.</w:t>
      </w:r>
    </w:p>
    <w:p>
      <w:r/>
      <w:r>
        <w:t>Variações dessa visão foram mantidas pelos primeiros expositores, como Justino Mártir (m. 164), Irineu (m. c. 195), Hipólito (m. 236) e Victorino (m. c. 303). Essa abordagem futurista tem desfrutado de um renascimento desde o século 19 e é amplamente mantida entre os evangélicos hoje.</w:t>
      </w:r>
    </w:p>
    <w:p>
      <w:pPr>
        <w:pStyle w:val="Heading4"/>
      </w:pPr>
      <w:r>
        <w:t>Historicista</w:t>
      </w:r>
    </w:p>
    <w:p>
      <w:r/>
      <w:r>
        <w:t>Como a palavra sugere, esta visão vê no Apocalipse uma pesquisa profética da história. Ela se originou com Joaquim de Fiore (m. 1202), um monge que afirmou ter recebido uma visão especial que lhe revelou o plano de Deus para as eras. Ele atribuiu um valor de dia-ano aos 1.260 dias do Apocalipse. Em seu esquema, o livro é uma profecia dos eventos da história ocidental desde o tempo dos apóstolos até o próprio tempo de Joaquim. Nos vários esquemas que se desenvolveram à medida que esse método foi aplicado à história, um elemento tornou-se comum: o Anticristo e Babilônia foram conectados com Roma e o papado. Mais tarde, Lutero, Calvino e outros Reformadores adotaram essa visão.</w:t>
      </w:r>
    </w:p>
    <w:p>
      <w:pPr>
        <w:pStyle w:val="Heading4"/>
      </w:pPr>
      <w:r>
        <w:t>Preterista</w:t>
      </w:r>
    </w:p>
    <w:p>
      <w:r/>
      <w:r>
        <w:t xml:space="preserve">De acordo com essa visão, Apocalipse trata do tempo de seu autor; o conteúdo principal dos capítulos é, portanto, visto como descrevendo eventos totalmente limitados ao próprio dia de João. As bestas (cap. </w:t>
      </w:r>
      <w:hyperlink r:id="rId2024">
        <w:r>
          <w:rPr>
            <w:color w:val="0000EE"/>
            <w:u w:val="single"/>
          </w:rPr>
          <w:t>13</w:t>
        </w:r>
      </w:hyperlink>
      <w:r>
        <w:t>) são identificadas como Roma imperial e o sacerdócio imperial. Esta é a visão mantida por muitos estudiosos contemporâneos.</w:t>
      </w:r>
    </w:p>
    <w:p>
      <w:pPr>
        <w:pStyle w:val="Heading4"/>
      </w:pPr>
      <w:r>
        <w:t>Idealista</w:t>
      </w:r>
    </w:p>
    <w:p>
      <w:r/>
      <w:r>
        <w:t>Este método de interpretar Apocalipse vê-o como sendo basicamente poético, simbólico e espiritual por natureza. Assim, Apocalipse não prevê nenhum evento histórico específico; pelo contrário, apresenta verdades intemporais sobre a batalha entre o bem e o mal que continua ao longo da era da igreja. Como sistema de interpretação, é mais recente do que as outras três escolas.</w:t>
      </w:r>
    </w:p>
    <w:p>
      <w:pPr>
        <w:pStyle w:val="Heading3"/>
      </w:pPr>
      <w:r>
        <w:t>Propósito e Ensino</w:t>
      </w:r>
    </w:p>
    <w:p>
      <w:r/>
      <w:r>
        <w:t xml:space="preserve">O estudioso do NT H. B. Swete escreveu sobre Apocalipse: “Em forma, é uma epístola, contendo uma profecia apocalíptica; em espírito e propósito interno, é um pastoral”. Como profeta, João foi chamado para separar a verdadeira da falsa crença — para expor as falhas das congregações na Ásia. Ele desejava encorajar o discipulado cristão autêntico explicando o sofrimento e martírio cristão à luz da vitória sobre o mal conquistada pela morte e ressurreição de Jesus. João estava preocupado em mostrar que os mártires (por exemplo, Antipas, </w:t>
      </w:r>
      <w:hyperlink r:id="rId2036">
        <w:r>
          <w:rPr>
            <w:color w:val="0000EE"/>
            <w:u w:val="single"/>
          </w:rPr>
          <w:t>2.13</w:t>
        </w:r>
      </w:hyperlink>
      <w:r>
        <w:t>) serão vindicados. Ele revelou o fim tanto do mal quanto daqueles que seguem a Besta (</w:t>
      </w:r>
      <w:hyperlink r:id="rId2037">
        <w:r>
          <w:rPr>
            <w:color w:val="0000EE"/>
            <w:u w:val="single"/>
          </w:rPr>
          <w:t>19.20–21</w:t>
        </w:r>
      </w:hyperlink>
      <w:r>
        <w:t xml:space="preserve">; </w:t>
      </w:r>
      <w:hyperlink r:id="rId2038">
        <w:r>
          <w:rPr>
            <w:color w:val="0000EE"/>
            <w:u w:val="single"/>
          </w:rPr>
          <w:t>20.10,15</w:t>
        </w:r>
      </w:hyperlink>
      <w:r>
        <w:t>), e descreveu a vitória final do Cordeiro e daqueles que o seguem.</w:t>
      </w:r>
    </w:p>
    <w:p>
      <w:pPr>
        <w:pStyle w:val="Heading3"/>
      </w:pPr>
      <w:r>
        <w:t>Conteúdo</w:t>
      </w:r>
    </w:p>
    <w:p>
      <w:r/>
      <w:r>
        <w:t xml:space="preserve">Os principais conteúdos de Apocalipse estão organizados em séries de sete itens, alguns explícitos, outros implícitos: sete igrejas (caps. </w:t>
      </w:r>
      <w:hyperlink r:id="rId2039">
        <w:r>
          <w:rPr>
            <w:color w:val="0000EE"/>
            <w:u w:val="single"/>
          </w:rPr>
          <w:t>2–3</w:t>
        </w:r>
      </w:hyperlink>
      <w:r>
        <w:t xml:space="preserve">), sete selos (caps. </w:t>
      </w:r>
      <w:hyperlink r:id="rId2040">
        <w:r>
          <w:rPr>
            <w:color w:val="0000EE"/>
            <w:u w:val="single"/>
          </w:rPr>
          <w:t>6–7</w:t>
        </w:r>
      </w:hyperlink>
      <w:r>
        <w:t xml:space="preserve">), sete trombetas (caps. </w:t>
      </w:r>
      <w:hyperlink r:id="rId2041">
        <w:r>
          <w:rPr>
            <w:color w:val="0000EE"/>
            <w:u w:val="single"/>
          </w:rPr>
          <w:t>8–11</w:t>
        </w:r>
      </w:hyperlink>
      <w:r>
        <w:t xml:space="preserve">), sete taças (caps. </w:t>
      </w:r>
      <w:hyperlink r:id="rId2042">
        <w:r>
          <w:rPr>
            <w:color w:val="0000EE"/>
            <w:u w:val="single"/>
          </w:rPr>
          <w:t>16–18</w:t>
        </w:r>
      </w:hyperlink>
      <w:r>
        <w:t xml:space="preserve">), sete últimas coisas (caps. </w:t>
      </w:r>
      <w:hyperlink r:id="rId2043">
        <w:r>
          <w:rPr>
            <w:color w:val="0000EE"/>
            <w:u w:val="single"/>
          </w:rPr>
          <w:t>19–22</w:t>
        </w:r>
      </w:hyperlink>
      <w:r>
        <w:t xml:space="preserve">). Também é possível dividir os conteúdos em torno de quatro visões-chave: (1) a visão do Filho do Homem entre as sete igrejas (caps. </w:t>
      </w:r>
      <w:hyperlink r:id="rId2034">
        <w:r>
          <w:rPr>
            <w:color w:val="0000EE"/>
            <w:u w:val="single"/>
          </w:rPr>
          <w:t>1–3</w:t>
        </w:r>
      </w:hyperlink>
      <w:r>
        <w:t>); (2) a visão do rolo selado com sete selos, as sete trombetas e as sete taças (</w:t>
      </w:r>
      <w:hyperlink r:id="rId2044">
        <w:r>
          <w:rPr>
            <w:color w:val="0000EE"/>
            <w:u w:val="single"/>
          </w:rPr>
          <w:t>4.1–19.10</w:t>
        </w:r>
      </w:hyperlink>
      <w:r>
        <w:t>); (3) a visão do retorno de Cristo e a consumação desta era (</w:t>
      </w:r>
      <w:hyperlink r:id="rId2045">
        <w:r>
          <w:rPr>
            <w:color w:val="0000EE"/>
            <w:u w:val="single"/>
          </w:rPr>
          <w:t>19.11–20.15</w:t>
        </w:r>
      </w:hyperlink>
      <w:r>
        <w:t xml:space="preserve">); e (4) a visão do novo céu e nova terra (caps. </w:t>
      </w:r>
      <w:hyperlink r:id="rId2046">
        <w:r>
          <w:rPr>
            <w:color w:val="0000EE"/>
            <w:u w:val="single"/>
          </w:rPr>
          <w:t>21–22</w:t>
        </w:r>
      </w:hyperlink>
      <w:r>
        <w:t>).</w:t>
      </w:r>
    </w:p>
    <w:p>
      <w:pPr>
        <w:pStyle w:val="Heading4"/>
      </w:pPr>
      <w:r>
        <w:t>Introdução de João (</w:t>
      </w:r>
      <w:hyperlink r:id="rId2047">
        <w:r>
          <w:rPr>
            <w:color w:val="0000EE"/>
            <w:u w:val="single"/>
          </w:rPr>
          <w:t>1.1–8</w:t>
        </w:r>
      </w:hyperlink>
      <w:r>
        <w:t>)</w:t>
      </w:r>
    </w:p>
    <w:p>
      <w:r/>
      <w:r>
        <w:t>Os primeiros três capítulos de Apocalipse formam uma unidade e são comparativamente fáceis de entender. Eles são os mais familiares e contêm uma introdução ao livro todo (</w:t>
      </w:r>
      <w:hyperlink r:id="rId2047">
        <w:r>
          <w:rPr>
            <w:color w:val="0000EE"/>
            <w:u w:val="single"/>
          </w:rPr>
          <w:t>1.1–8</w:t>
        </w:r>
      </w:hyperlink>
      <w:r>
        <w:t>); a primeira visão, do Filho do Homem entre os sete candelabros (</w:t>
      </w:r>
      <w:hyperlink r:id="rId2048">
        <w:r>
          <w:rPr>
            <w:color w:val="0000EE"/>
            <w:u w:val="single"/>
          </w:rPr>
          <w:t>1.9–20</w:t>
        </w:r>
      </w:hyperlink>
      <w:r>
        <w:t>); e as cartas ou mensagens às sete igrejas na Ásia (</w:t>
      </w:r>
      <w:hyperlink r:id="rId2039">
        <w:r>
          <w:rPr>
            <w:color w:val="0000EE"/>
            <w:u w:val="single"/>
          </w:rPr>
          <w:t>2.1–3.22</w:t>
        </w:r>
      </w:hyperlink>
      <w:r>
        <w:t>).</w:t>
      </w:r>
    </w:p>
    <w:p>
      <w:r/>
      <w:r>
        <w:t>Os primeiros oito versículos introduzem todo o livro. Eles estão carregados de conteúdo teológico e detalhes. Após um breve prefácio (</w:t>
      </w:r>
      <w:hyperlink r:id="rId2049">
        <w:r>
          <w:rPr>
            <w:color w:val="0000EE"/>
            <w:u w:val="single"/>
          </w:rPr>
          <w:t>1.1–3</w:t>
        </w:r>
      </w:hyperlink>
      <w:r>
        <w:t xml:space="preserve">), João endereça o livro às sete igrejas da Ásia em uma forma expandida de carta antiga (v. </w:t>
      </w:r>
      <w:hyperlink r:id="rId2050">
        <w:r>
          <w:rPr>
            <w:color w:val="0000EE"/>
            <w:u w:val="single"/>
          </w:rPr>
          <w:t>4–8</w:t>
        </w:r>
      </w:hyperlink>
      <w:r>
        <w:t>).</w:t>
      </w:r>
    </w:p>
    <w:p>
      <w:pPr>
        <w:pStyle w:val="Heading4"/>
      </w:pPr>
      <w:r>
        <w:t>O Filho do Homem entre os candelabros (</w:t>
      </w:r>
      <w:hyperlink r:id="rId2048">
        <w:r>
          <w:rPr>
            <w:color w:val="0000EE"/>
            <w:u w:val="single"/>
          </w:rPr>
          <w:t>1.9–20</w:t>
        </w:r>
      </w:hyperlink>
      <w:r>
        <w:t>)</w:t>
      </w:r>
    </w:p>
    <w:p>
      <w:r/>
      <w:r>
        <w:t>Após uma breve indicação da situação histórica que a ocasionou (</w:t>
      </w:r>
      <w:hyperlink r:id="rId2051">
        <w:r>
          <w:rPr>
            <w:color w:val="0000EE"/>
            <w:u w:val="single"/>
          </w:rPr>
          <w:t>1.9–11</w:t>
        </w:r>
      </w:hyperlink>
      <w:r>
        <w:t xml:space="preserve">), João descreve sua visão de “alguém, semelhante a um filho de homem,” caminhando entre sete candelabros de ouro (v. </w:t>
      </w:r>
      <w:hyperlink r:id="rId2052">
        <w:r>
          <w:rPr>
            <w:color w:val="0000EE"/>
            <w:u w:val="single"/>
          </w:rPr>
          <w:t>12–16</w:t>
        </w:r>
      </w:hyperlink>
      <w:r>
        <w:t xml:space="preserve">). A pessoa se identifica como o exaltado Senhor, Jesus Cristo (v. </w:t>
      </w:r>
      <w:hyperlink r:id="rId2053">
        <w:r>
          <w:rPr>
            <w:color w:val="0000EE"/>
            <w:u w:val="single"/>
          </w:rPr>
          <w:t>17–18</w:t>
        </w:r>
      </w:hyperlink>
      <w:r>
        <w:t xml:space="preserve">), e então explica o significado da visão simbólica (v. </w:t>
      </w:r>
      <w:hyperlink r:id="rId2054">
        <w:r>
          <w:rPr>
            <w:color w:val="0000EE"/>
            <w:u w:val="single"/>
          </w:rPr>
          <w:t>19–20</w:t>
        </w:r>
      </w:hyperlink>
      <w:r>
        <w:t>). Finalmente, o Senhor dirige uma mensagem bastante detalhada e específica a cada uma das sete igrejas na Ásia (</w:t>
      </w:r>
      <w:hyperlink r:id="rId2039">
        <w:r>
          <w:rPr>
            <w:color w:val="0000EE"/>
            <w:u w:val="single"/>
          </w:rPr>
          <w:t>2.1–3.22</w:t>
        </w:r>
      </w:hyperlink>
      <w:r>
        <w:t>).</w:t>
      </w:r>
    </w:p>
    <w:p>
      <w:pPr>
        <w:pStyle w:val="Heading4"/>
      </w:pPr>
      <w:r>
        <w:t>As cartas às sete igrejas (</w:t>
      </w:r>
      <w:hyperlink r:id="rId2039">
        <w:r>
          <w:rPr>
            <w:color w:val="0000EE"/>
            <w:u w:val="single"/>
          </w:rPr>
          <w:t>2.1–3.22</w:t>
        </w:r>
      </w:hyperlink>
      <w:r>
        <w:t>)</w:t>
      </w:r>
    </w:p>
    <w:p>
      <w:r/>
      <w:r>
        <w:t xml:space="preserve">Essas sete igrejas continham qualidades típicas ou representativas de obediência e desobediência que são um lembrete constante para todas as igrejas em todas as épocas (cf. </w:t>
      </w:r>
      <w:hyperlink r:id="rId2055">
        <w:r>
          <w:rPr>
            <w:color w:val="0000EE"/>
            <w:u w:val="single"/>
          </w:rPr>
          <w:t>2.7,11,17,29</w:t>
        </w:r>
      </w:hyperlink>
      <w:r>
        <w:t xml:space="preserve">; </w:t>
      </w:r>
      <w:hyperlink r:id="rId2056">
        <w:r>
          <w:rPr>
            <w:color w:val="0000EE"/>
            <w:u w:val="single"/>
          </w:rPr>
          <w:t>3.6,13,22</w:t>
        </w:r>
      </w:hyperlink>
      <w:r>
        <w:t xml:space="preserve">; esp. </w:t>
      </w:r>
      <w:hyperlink r:id="rId2057">
        <w:r>
          <w:rPr>
            <w:color w:val="0000EE"/>
            <w:u w:val="single"/>
          </w:rPr>
          <w:t>2.23</w:t>
        </w:r>
      </w:hyperlink>
      <w:r>
        <w:t>). Sua ordem (</w:t>
      </w:r>
      <w:hyperlink r:id="rId2058">
        <w:r>
          <w:rPr>
            <w:color w:val="0000EE"/>
            <w:u w:val="single"/>
          </w:rPr>
          <w:t>1.11</w:t>
        </w:r>
      </w:hyperlink>
      <w:r>
        <w:t xml:space="preserve">; </w:t>
      </w:r>
      <w:hyperlink r:id="rId2039">
        <w:r>
          <w:rPr>
            <w:color w:val="0000EE"/>
            <w:u w:val="single"/>
          </w:rPr>
          <w:t>2.1–3.22</w:t>
        </w:r>
      </w:hyperlink>
      <w:r>
        <w:t>) reflete o circuito natural de viagem antiga começando em Éfeso e chegando finalmente a Laodiceia.</w:t>
      </w:r>
    </w:p>
    <w:p>
      <w:r/>
      <w:r>
        <w:t>Cada mensagem geralmente segue um plano literário comum composto por sete partes:</w:t>
      </w:r>
    </w:p>
    <w:p>
      <w:r/>
      <w:r>
        <w:t>1. O destinatário é mencionado primeiro, seguindo um padrão comum em todas as sete cartas: “Ao anjo da igreja em Éfeso, escreva...";</w:t>
      </w:r>
    </w:p>
    <w:p>
      <w:r/>
      <w:r>
        <w:t>2. Então o orador é mencionado. Em cada caso, alguma parte da Grande visão de Cristo e de sua autoidentificação (</w:t>
      </w:r>
      <w:hyperlink r:id="rId2059">
        <w:r>
          <w:rPr>
            <w:color w:val="0000EE"/>
            <w:u w:val="single"/>
          </w:rPr>
          <w:t>1.12–20</w:t>
        </w:r>
      </w:hyperlink>
      <w:r>
        <w:t>) é repetida enquanto o orador se identifica; por exemplo, “Esta é a mensagem daquele que segura as sete estrelas em sua mão direita, aquele que anda entre os sete candelabros de ouro” (</w:t>
      </w:r>
      <w:hyperlink r:id="rId2060">
        <w:r>
          <w:rPr>
            <w:color w:val="0000EE"/>
            <w:u w:val="single"/>
          </w:rPr>
          <w:t>2.1</w:t>
        </w:r>
      </w:hyperlink>
      <w:r>
        <w:t xml:space="preserve">; cf. </w:t>
      </w:r>
      <w:hyperlink r:id="rId2061">
        <w:r>
          <w:rPr>
            <w:color w:val="0000EE"/>
            <w:u w:val="single"/>
          </w:rPr>
          <w:t>1.13,16</w:t>
        </w:r>
      </w:hyperlink>
      <w:r>
        <w:t>);</w:t>
      </w:r>
    </w:p>
    <w:p>
      <w:r/>
      <w:r>
        <w:t>3. Em seguida, é dado o conhecimento do orador. Ele conhece intimamente as obras das igrejas e a realidade de sua lealdade a ele, apesar das aparências externas. Em dois casos (Sardes e Laodiceia), a avaliação se mostra totalmente negativa. O inimigo das igrejas de Cristo é o enganador, Satanás, que busca minar a lealdade das igrejas a Cristo (</w:t>
      </w:r>
      <w:hyperlink r:id="rId2062">
        <w:r>
          <w:rPr>
            <w:color w:val="0000EE"/>
            <w:u w:val="single"/>
          </w:rPr>
          <w:t>2.10,24</w:t>
        </w:r>
      </w:hyperlink>
      <w:r>
        <w:t>);</w:t>
      </w:r>
    </w:p>
    <w:p>
      <w:r/>
      <w:r>
        <w:t>4. Após sua avaliação das realizações das igrejas, o orador pronuncia seu veredicto sobre sua condição com palavras como “Você não me ama como amava no início” (</w:t>
      </w:r>
      <w:hyperlink r:id="rId2063">
        <w:r>
          <w:rPr>
            <w:color w:val="0000EE"/>
            <w:u w:val="single"/>
          </w:rPr>
          <w:t>2.4</w:t>
        </w:r>
      </w:hyperlink>
      <w:r>
        <w:t>) ou “Você está morto” (</w:t>
      </w:r>
      <w:hyperlink r:id="rId2064">
        <w:r>
          <w:rPr>
            <w:color w:val="0000EE"/>
            <w:u w:val="single"/>
          </w:rPr>
          <w:t>3.1</w:t>
        </w:r>
      </w:hyperlink>
      <w:r>
        <w:t>). Duas cartas não contêm veredicto desfavorável (Esmirna, Filadélfia) e duas não contêm palavra de elogio (Sardes, Laodiceia). Nas cartas, todas as negligências são vistas como formas de traições internas de uma relação anterior com Cristo;</w:t>
      </w:r>
    </w:p>
    <w:p>
      <w:r/>
      <w:r>
        <w:t>5. Para corrigir ou alertar cada congregação, Jesus emite um comando penetrante. Esses comandos expõem ainda mais a natureza exata do autoengano envolvido;</w:t>
      </w:r>
    </w:p>
    <w:p>
      <w:r/>
      <w:r>
        <w:t xml:space="preserve">6. Cada carta contém a exortação geral: “Quem estiver disposto a ouvir deve escutar o Espírito e entender o que o Espírito está dizendo às igrejas.” As palavras do Espírito são as palavras de Cristo (cf. </w:t>
      </w:r>
      <w:hyperlink r:id="rId2065">
        <w:r>
          <w:rPr>
            <w:color w:val="0000EE"/>
            <w:u w:val="single"/>
          </w:rPr>
          <w:t>19.10</w:t>
        </w:r>
      </w:hyperlink>
      <w:r>
        <w:t>);</w:t>
      </w:r>
    </w:p>
    <w:p>
      <w:r/>
      <w:r>
        <w:t xml:space="preserve">7. Finalmente, cada carta contém uma promessa de recompensa ao vencedor. Cada uma é escatológica e correlaciona-se com os dois últimos capítulos do livro. Além disso, as promessas são ecos de </w:t>
      </w:r>
      <w:hyperlink r:id="rId2066">
        <w:r>
          <w:rPr>
            <w:color w:val="0000EE"/>
            <w:u w:val="single"/>
          </w:rPr>
          <w:t>Gênesis 2–3</w:t>
        </w:r>
      </w:hyperlink>
      <w:r>
        <w:t>: o que foi perdido por Adão no Éden é mais do que recuperado por Cristo. Provavelmente devemos entender as sete promessas como diferentes facetas que se combinam para formar uma Grande promessa aos crentes: onde quer que Cristo esteja, lá estarão os “vencedores”.</w:t>
      </w:r>
    </w:p>
    <w:p>
      <w:pPr>
        <w:pStyle w:val="Heading4"/>
      </w:pPr>
      <w:r>
        <w:t>O Pergaminho com Sete Selos (</w:t>
      </w:r>
      <w:hyperlink r:id="rId2067">
        <w:r>
          <w:rPr>
            <w:color w:val="0000EE"/>
            <w:u w:val="single"/>
          </w:rPr>
          <w:t>4.1–8.1</w:t>
        </w:r>
      </w:hyperlink>
      <w:r>
        <w:t>)</w:t>
      </w:r>
    </w:p>
    <w:p>
      <w:r/>
      <w:r>
        <w:t xml:space="preserve">Em vista do uso elaborado de imagens e visões de </w:t>
      </w:r>
      <w:hyperlink r:id="rId2068">
        <w:r>
          <w:rPr>
            <w:color w:val="0000EE"/>
            <w:u w:val="single"/>
          </w:rPr>
          <w:t>4.1</w:t>
        </w:r>
      </w:hyperlink>
      <w:r>
        <w:t xml:space="preserve"> até o final de Apocalipse, e em vista da questão de como este material se relaciona com os capítulos </w:t>
      </w:r>
      <w:hyperlink r:id="rId2069">
        <w:r>
          <w:rPr>
            <w:color w:val="0000EE"/>
            <w:u w:val="single"/>
          </w:rPr>
          <w:t>1–3</w:t>
        </w:r>
      </w:hyperlink>
      <w:r>
        <w:t>, não é surpreendente que os comentaristas diferem amplamente em seu tratamento desses capítulos.</w:t>
      </w:r>
    </w:p>
    <w:p>
      <w:r/>
      <w:r>
        <w:t>O trono, o rolo e o cordeiro (</w:t>
      </w:r>
      <w:hyperlink r:id="rId2070">
        <w:r>
          <w:rPr>
            <w:color w:val="0000EE"/>
            <w:u w:val="single"/>
          </w:rPr>
          <w:t>4.1–5.14</w:t>
        </w:r>
      </w:hyperlink>
      <w:r>
        <w:t>)</w:t>
      </w:r>
    </w:p>
    <w:p>
      <w:r/>
      <w:r>
        <w:t xml:space="preserve">Os capítulos </w:t>
      </w:r>
      <w:hyperlink r:id="rId2071">
        <w:r>
          <w:rPr>
            <w:color w:val="0000EE"/>
            <w:u w:val="single"/>
          </w:rPr>
          <w:t>4–5</w:t>
        </w:r>
      </w:hyperlink>
      <w:r>
        <w:t xml:space="preserve"> formam uma visão composta por duas partes: o trono (cap. </w:t>
      </w:r>
      <w:hyperlink r:id="rId2072">
        <w:r>
          <w:rPr>
            <w:color w:val="0000EE"/>
            <w:u w:val="single"/>
          </w:rPr>
          <w:t>4</w:t>
        </w:r>
      </w:hyperlink>
      <w:r>
        <w:t xml:space="preserve">) e o Cordeiro e o rolo (cap. </w:t>
      </w:r>
      <w:hyperlink r:id="rId2073">
        <w:r>
          <w:rPr>
            <w:color w:val="0000EE"/>
            <w:u w:val="single"/>
          </w:rPr>
          <w:t>5</w:t>
        </w:r>
      </w:hyperlink>
      <w:r>
        <w:t xml:space="preserve">). Na verdade, a visão do trono (caps. </w:t>
      </w:r>
      <w:hyperlink r:id="rId2071">
        <w:r>
          <w:rPr>
            <w:color w:val="0000EE"/>
            <w:u w:val="single"/>
          </w:rPr>
          <w:t>4–5</w:t>
        </w:r>
      </w:hyperlink>
      <w:r>
        <w:t xml:space="preserve">) e a abertura de todos os sete selos (caps. </w:t>
      </w:r>
      <w:hyperlink r:id="rId2074">
        <w:r>
          <w:rPr>
            <w:color w:val="0000EE"/>
            <w:u w:val="single"/>
          </w:rPr>
          <w:t>6–8</w:t>
        </w:r>
      </w:hyperlink>
      <w:r>
        <w:t xml:space="preserve">) formam uma única visão contínua e não devem ser separadas; de fato, a visão do trono deve ser vista como dominando toda a visão do rolo com sete selos e, aliás, o restante do livro (cf. </w:t>
      </w:r>
      <w:hyperlink r:id="rId2075">
        <w:r>
          <w:rPr>
            <w:color w:val="0000EE"/>
            <w:u w:val="single"/>
          </w:rPr>
          <w:t>22.3</w:t>
        </w:r>
      </w:hyperlink>
      <w:r>
        <w:t>).</w:t>
      </w:r>
    </w:p>
    <w:p>
      <w:r/>
      <w:r>
        <w:t>Uma nova visão da majestade e poder de Deus é revelada a João para que ele possa entender os eventos na terra que se relacionam com a visão dos sete selos (</w:t>
      </w:r>
      <w:hyperlink r:id="rId2072">
        <w:r>
          <w:rPr>
            <w:color w:val="0000EE"/>
            <w:u w:val="single"/>
          </w:rPr>
          <w:t>4.1–11</w:t>
        </w:r>
      </w:hyperlink>
      <w:r>
        <w:t xml:space="preserve">; cf. </w:t>
      </w:r>
      <w:hyperlink r:id="rId2076">
        <w:r>
          <w:rPr>
            <w:color w:val="0000EE"/>
            <w:u w:val="single"/>
          </w:rPr>
          <w:t>1 Reis 22.19</w:t>
        </w:r>
      </w:hyperlink>
      <w:r>
        <w:t>). Pela primeira vez em Apocalipse, o leitor é apresentado à frequente troca entre céu e terra encontrada no restante do livro. O que acontece na terra tem seu inseparável contraparte celestial.</w:t>
      </w:r>
    </w:p>
    <w:p>
      <w:r/>
      <w:r>
        <w:t xml:space="preserve">O capítulo </w:t>
      </w:r>
      <w:hyperlink r:id="rId2073">
        <w:r>
          <w:rPr>
            <w:color w:val="0000EE"/>
            <w:u w:val="single"/>
          </w:rPr>
          <w:t>5</w:t>
        </w:r>
      </w:hyperlink>
      <w:r>
        <w:t xml:space="preserve"> faz parte da visão que começa com o capítulo </w:t>
      </w:r>
      <w:hyperlink r:id="rId2072">
        <w:r>
          <w:rPr>
            <w:color w:val="0000EE"/>
            <w:u w:val="single"/>
          </w:rPr>
          <w:t>4</w:t>
        </w:r>
      </w:hyperlink>
      <w:r>
        <w:t xml:space="preserve"> e continua através da abertura dos sete selos (</w:t>
      </w:r>
      <w:hyperlink r:id="rId2077">
        <w:r>
          <w:rPr>
            <w:color w:val="0000EE"/>
            <w:u w:val="single"/>
          </w:rPr>
          <w:t>Apocalipse 6.1–8.1</w:t>
        </w:r>
      </w:hyperlink>
      <w:r>
        <w:t xml:space="preserve">; cf. introdução ao cap </w:t>
      </w:r>
      <w:hyperlink r:id="rId2072">
        <w:r>
          <w:rPr>
            <w:color w:val="0000EE"/>
            <w:u w:val="single"/>
          </w:rPr>
          <w:t>4</w:t>
        </w:r>
      </w:hyperlink>
      <w:r>
        <w:t>). O movimento de toda a cena foca no Cordeiro imolado enquanto ele pega o rolo da mão daquele que está no trono. A ênfase culminante está na dignidade do Cordeiro para receber adoração por causa de sua morte.</w:t>
      </w:r>
    </w:p>
    <w:p>
      <w:r/>
      <w:r>
        <w:t>Abertura dos seis primeiros selos (</w:t>
      </w:r>
      <w:hyperlink r:id="rId2078">
        <w:r>
          <w:rPr>
            <w:color w:val="0000EE"/>
            <w:u w:val="single"/>
          </w:rPr>
          <w:t>6.1–17</w:t>
        </w:r>
      </w:hyperlink>
      <w:r>
        <w:t>)</w:t>
      </w:r>
    </w:p>
    <w:p>
      <w:r/>
      <w:r>
        <w:t xml:space="preserve">A abertura dos selos continua a visão iniciada nos capítulos </w:t>
      </w:r>
      <w:hyperlink r:id="rId2072">
        <w:r>
          <w:rPr>
            <w:color w:val="0000EE"/>
            <w:u w:val="single"/>
          </w:rPr>
          <w:t>4</w:t>
        </w:r>
      </w:hyperlink>
      <w:r>
        <w:t xml:space="preserve"> e </w:t>
      </w:r>
      <w:hyperlink r:id="rId2073">
        <w:r>
          <w:rPr>
            <w:color w:val="0000EE"/>
            <w:u w:val="single"/>
          </w:rPr>
          <w:t>5</w:t>
        </w:r>
      </w:hyperlink>
      <w:r>
        <w:t>. Agora a cena muda para eventos na terra. O próprio rolo envolve o restante do Apocalipse e tem a ver com a consumação do mistério de todas as coisas, o objetivo ou fim da história tanto para os vencedores quanto para os adoradores da besta. O escritor sugere, de forma provisória, que os selos representam eventos preparatórios para a consumação final. Se esses eventos ocorrem imediatamente antes do fim ou se representam condições gerais que prevalecerão durante o período que precede o fim é uma questão mais difícil.</w:t>
      </w:r>
    </w:p>
    <w:p>
      <w:r/>
      <w:r>
        <w:t>Os selos se assemelham de perto aos sinais dos tempos finais mencionados por Jesus em seu discurso do Monte das Oliveiras (</w:t>
      </w:r>
      <w:hyperlink r:id="rId2079">
        <w:r>
          <w:rPr>
            <w:color w:val="0000EE"/>
            <w:u w:val="single"/>
          </w:rPr>
          <w:t>Mateus 24.1–35</w:t>
        </w:r>
      </w:hyperlink>
      <w:r>
        <w:t xml:space="preserve">; </w:t>
      </w:r>
      <w:hyperlink r:id="rId2031">
        <w:r>
          <w:rPr>
            <w:color w:val="0000EE"/>
            <w:u w:val="single"/>
          </w:rPr>
          <w:t>Marcos 13.1–37</w:t>
        </w:r>
      </w:hyperlink>
      <w:r>
        <w:t xml:space="preserve">; </w:t>
      </w:r>
      <w:hyperlink r:id="rId2080">
        <w:r>
          <w:rPr>
            <w:color w:val="0000EE"/>
            <w:u w:val="single"/>
          </w:rPr>
          <w:t>Lucas 21.5–33</w:t>
        </w:r>
      </w:hyperlink>
      <w:r>
        <w:t>). Esta semelhança com partes importantes do Apocalipse é muito marcante para ser ignorada. Assim, os selos corresponderiam ao “princípio das dores” no discurso do Monte das Oliveiras. Os eventos são semelhantes aos que ocorrem sob as trombetas (</w:t>
      </w:r>
      <w:hyperlink r:id="rId2081">
        <w:r>
          <w:rPr>
            <w:color w:val="0000EE"/>
            <w:u w:val="single"/>
          </w:rPr>
          <w:t>Apocalipse 8.2–11.19</w:t>
        </w:r>
      </w:hyperlink>
      <w:r>
        <w:t>) e taças (</w:t>
      </w:r>
      <w:hyperlink r:id="rId2082">
        <w:r>
          <w:rPr>
            <w:color w:val="0000EE"/>
            <w:u w:val="single"/>
          </w:rPr>
          <w:t>15.1–16.21</w:t>
        </w:r>
      </w:hyperlink>
      <w:r>
        <w:t>), mas não devem ser confundidos com esses julgamentos tardios e mais severos.</w:t>
      </w:r>
    </w:p>
    <w:p>
      <w:r/>
      <w:r>
        <w:t>Primeiro interlúdio: os 144.000 israelitas e a multidão vestida de branco (</w:t>
      </w:r>
      <w:hyperlink r:id="rId2083">
        <w:r>
          <w:rPr>
            <w:color w:val="0000EE"/>
            <w:u w:val="single"/>
          </w:rPr>
          <w:t>7.1–17</w:t>
        </w:r>
      </w:hyperlink>
      <w:r>
        <w:t>)</w:t>
      </w:r>
    </w:p>
    <w:p>
      <w:r/>
      <w:r>
        <w:t xml:space="preserve">A mudança de tom do assunto no sexto selo, assim como o atraso até </w:t>
      </w:r>
      <w:hyperlink r:id="rId2084">
        <w:r>
          <w:rPr>
            <w:color w:val="0000EE"/>
            <w:u w:val="single"/>
          </w:rPr>
          <w:t>8.1</w:t>
        </w:r>
      </w:hyperlink>
      <w:r>
        <w:t xml:space="preserve"> na abertura do sétimo selo, indicam que o capítulo </w:t>
      </w:r>
      <w:hyperlink r:id="rId2083">
        <w:r>
          <w:rPr>
            <w:color w:val="0000EE"/>
            <w:u w:val="single"/>
          </w:rPr>
          <w:t>7</w:t>
        </w:r>
      </w:hyperlink>
      <w:r>
        <w:t xml:space="preserve"> é um verdadeiro interlúdio. João primeiro vê os anjos, que liberarão destruição na terra, contidos até que os 144.000 servos de Deus de cada tribo de Israel sejam selados (v. </w:t>
      </w:r>
      <w:hyperlink r:id="rId2085">
        <w:r>
          <w:rPr>
            <w:color w:val="0000EE"/>
            <w:u w:val="single"/>
          </w:rPr>
          <w:t>1–8</w:t>
        </w:r>
      </w:hyperlink>
      <w:r>
        <w:t xml:space="preserve">). Então ele vê uma multidão inumerável vestida de branco diante do trono de Deus; estes são identificados como aqueles que saíram da grande tribulação (v. </w:t>
      </w:r>
      <w:hyperlink r:id="rId2086">
        <w:r>
          <w:rPr>
            <w:color w:val="0000EE"/>
            <w:u w:val="single"/>
          </w:rPr>
          <w:t>9–17</w:t>
        </w:r>
      </w:hyperlink>
      <w:r>
        <w:t>).</w:t>
      </w:r>
    </w:p>
    <w:p>
      <w:r/>
      <w:r>
        <w:t>Alguns estudiosos separam os dois grupos em judeus e gentios em geral, enquanto outros veem os dois grupos como um só grupo visto de diferentes perspectivas.</w:t>
      </w:r>
    </w:p>
    <w:p>
      <w:r/>
      <w:r>
        <w:t>A abertura do sétimo selo (</w:t>
      </w:r>
      <w:hyperlink r:id="rId2084">
        <w:r>
          <w:rPr>
            <w:color w:val="0000EE"/>
            <w:u w:val="single"/>
          </w:rPr>
          <w:t>8.1</w:t>
        </w:r>
      </w:hyperlink>
      <w:r>
        <w:t>)</w:t>
      </w:r>
    </w:p>
    <w:p>
      <w:r/>
      <w:r>
        <w:t xml:space="preserve">Após o interlúdio (cap. </w:t>
      </w:r>
      <w:hyperlink r:id="rId2083">
        <w:r>
          <w:rPr>
            <w:color w:val="0000EE"/>
            <w:u w:val="single"/>
          </w:rPr>
          <w:t>7</w:t>
        </w:r>
      </w:hyperlink>
      <w:r>
        <w:t xml:space="preserve">), o selo final é aberto e ocorre silêncio por meia hora no céu para se preparar para o julgamento na terra ou para ouvir os clamores dos mártires na terra (cf. </w:t>
      </w:r>
      <w:hyperlink r:id="rId2087">
        <w:r>
          <w:rPr>
            <w:color w:val="0000EE"/>
            <w:u w:val="single"/>
          </w:rPr>
          <w:t>6.10</w:t>
        </w:r>
      </w:hyperlink>
      <w:r>
        <w:t>).</w:t>
      </w:r>
    </w:p>
    <w:p>
      <w:pPr>
        <w:pStyle w:val="Heading4"/>
      </w:pPr>
      <w:r>
        <w:t>As Seis Primeiras Trombetas (</w:t>
      </w:r>
      <w:hyperlink r:id="rId2088">
        <w:r>
          <w:rPr>
            <w:color w:val="0000EE"/>
            <w:u w:val="single"/>
          </w:rPr>
          <w:t>8.2–11.14</w:t>
        </w:r>
      </w:hyperlink>
      <w:r>
        <w:t>)</w:t>
      </w:r>
    </w:p>
    <w:p>
      <w:r/>
      <w:r>
        <w:t>Após uma cena preparatória no céu (</w:t>
      </w:r>
      <w:hyperlink r:id="rId2089">
        <w:r>
          <w:rPr>
            <w:color w:val="0000EE"/>
            <w:u w:val="single"/>
          </w:rPr>
          <w:t>8.2–5</w:t>
        </w:r>
      </w:hyperlink>
      <w:r>
        <w:t>), as seis trombetas são tocadas em sucessão (</w:t>
      </w:r>
      <w:hyperlink r:id="rId2090">
        <w:r>
          <w:rPr>
            <w:color w:val="0000EE"/>
            <w:u w:val="single"/>
          </w:rPr>
          <w:t>8.6–9.19</w:t>
        </w:r>
      </w:hyperlink>
      <w:r>
        <w:t>), seguidas novamente por um interlúdio (</w:t>
      </w:r>
      <w:hyperlink r:id="rId2091">
        <w:r>
          <w:rPr>
            <w:color w:val="0000EE"/>
            <w:u w:val="single"/>
          </w:rPr>
          <w:t>10.1–11.14</w:t>
        </w:r>
      </w:hyperlink>
      <w:r>
        <w:t>).</w:t>
      </w:r>
    </w:p>
    <w:p>
      <w:r/>
      <w:r>
        <w:t>As seis primeiras trombetas (</w:t>
      </w:r>
      <w:hyperlink r:id="rId2092">
        <w:r>
          <w:rPr>
            <w:color w:val="0000EE"/>
            <w:u w:val="single"/>
          </w:rPr>
          <w:t>8.6–9.21</w:t>
        </w:r>
      </w:hyperlink>
      <w:r>
        <w:t>)</w:t>
      </w:r>
    </w:p>
    <w:p>
      <w:r/>
      <w:r>
        <w:t>A opinião diverge, mas pode ser melhor ver os primeiros cinco selos como precedendo os eventos das trombetas e taças. Mas o sexto selo entra no período da manifestação da ira de Deus que é realizada nos julgamentos das trombetas e taças (</w:t>
      </w:r>
      <w:hyperlink r:id="rId2093">
        <w:r>
          <w:rPr>
            <w:color w:val="0000EE"/>
            <w:u w:val="single"/>
          </w:rPr>
          <w:t>6.12–17</w:t>
        </w:r>
      </w:hyperlink>
      <w:r>
        <w:t>). Os julgamentos das trombetas ocorrem assim durante o sétimo selo, e os julgamentos das taças (</w:t>
      </w:r>
      <w:hyperlink r:id="rId2094">
        <w:r>
          <w:rPr>
            <w:color w:val="0000EE"/>
            <w:u w:val="single"/>
          </w:rPr>
          <w:t>16.1–21</w:t>
        </w:r>
      </w:hyperlink>
      <w:r>
        <w:t>), durante o toque da sétima trombeta. Portanto, há alguma sobreposição, mas também sequência e avanço, entre os selos, trombetas e taças.</w:t>
      </w:r>
    </w:p>
    <w:p>
      <w:r/>
      <w:r>
        <w:t>Assim como nos selos, há um padrão literário discernível no desenrolar das trombetas. As quatro primeiras trombetas são separadas das três últimas, que são chamadas de “ais” (</w:t>
      </w:r>
      <w:hyperlink r:id="rId2095">
        <w:r>
          <w:rPr>
            <w:color w:val="0000EE"/>
            <w:u w:val="single"/>
          </w:rPr>
          <w:t>8.13</w:t>
        </w:r>
      </w:hyperlink>
      <w:r>
        <w:t xml:space="preserve">; </w:t>
      </w:r>
      <w:hyperlink r:id="rId2096">
        <w:r>
          <w:rPr>
            <w:color w:val="0000EE"/>
            <w:u w:val="single"/>
          </w:rPr>
          <w:t>9.12</w:t>
        </w:r>
      </w:hyperlink>
      <w:r>
        <w:t xml:space="preserve">; </w:t>
      </w:r>
      <w:hyperlink r:id="rId2097">
        <w:r>
          <w:rPr>
            <w:color w:val="0000EE"/>
            <w:u w:val="single"/>
          </w:rPr>
          <w:t>11.14</w:t>
        </w:r>
      </w:hyperlink>
      <w:r>
        <w:t>) e geralmente lembram as pragas no livro de Êxodo.</w:t>
      </w:r>
    </w:p>
    <w:p>
      <w:r/>
      <w:r>
        <w:t>As três últimas trombetas são enfatizadas e também são chamadas de "ais" (</w:t>
      </w:r>
      <w:hyperlink r:id="rId2095">
        <w:r>
          <w:rPr>
            <w:color w:val="0000EE"/>
            <w:u w:val="single"/>
          </w:rPr>
          <w:t>8.13</w:t>
        </w:r>
      </w:hyperlink>
      <w:r>
        <w:t>) porque são muito severas. A primeira delas envolve uma praga incomum de gafanhotos (</w:t>
      </w:r>
      <w:hyperlink r:id="rId116">
        <w:r>
          <w:rPr>
            <w:color w:val="0000EE"/>
            <w:u w:val="single"/>
          </w:rPr>
          <w:t>9.1–11</w:t>
        </w:r>
      </w:hyperlink>
      <w:r>
        <w:t xml:space="preserve">) e a segunda uma praga de criaturas semelhantes a escorpiões (v. </w:t>
      </w:r>
      <w:hyperlink r:id="rId2098">
        <w:r>
          <w:rPr>
            <w:color w:val="0000EE"/>
            <w:u w:val="single"/>
          </w:rPr>
          <w:t>13–19</w:t>
        </w:r>
      </w:hyperlink>
      <w:r>
        <w:t xml:space="preserve">). Ambas as pragas podem ser melhor vistas como hordas demoníacas (cf. v. </w:t>
      </w:r>
      <w:hyperlink r:id="rId2099">
        <w:r>
          <w:rPr>
            <w:color w:val="0000EE"/>
            <w:u w:val="single"/>
          </w:rPr>
          <w:t>1,11</w:t>
        </w:r>
      </w:hyperlink>
      <w:r>
        <w:t>).</w:t>
      </w:r>
    </w:p>
    <w:p>
      <w:r/>
      <w:r>
        <w:t>O segundo interlúdio: o pequeno livro e as duas testemunhas (</w:t>
      </w:r>
      <w:hyperlink r:id="rId2091">
        <w:r>
          <w:rPr>
            <w:color w:val="0000EE"/>
            <w:u w:val="single"/>
          </w:rPr>
          <w:t>10.1–11.14</w:t>
        </w:r>
      </w:hyperlink>
      <w:r>
        <w:t>)</w:t>
      </w:r>
    </w:p>
    <w:p>
      <w:r/>
      <w:r>
        <w:t xml:space="preserve">O ponto principal do capítulo </w:t>
      </w:r>
      <w:hyperlink r:id="rId2100">
        <w:r>
          <w:rPr>
            <w:color w:val="0000EE"/>
            <w:u w:val="single"/>
          </w:rPr>
          <w:t>10</w:t>
        </w:r>
      </w:hyperlink>
      <w:r>
        <w:t xml:space="preserve"> parece ser uma confirmação do chamado profético de João, como o versículo </w:t>
      </w:r>
      <w:hyperlink r:id="rId2101">
        <w:r>
          <w:rPr>
            <w:color w:val="0000EE"/>
            <w:u w:val="single"/>
          </w:rPr>
          <w:t>11</w:t>
        </w:r>
      </w:hyperlink>
      <w:r>
        <w:t xml:space="preserve"> indica: “É necessário que você profetize de novo acerca de muitos povos, nações, línguas e reis” (niv). Mais especificamente, o conteúdo do pequeno rolo (livro) pode incluir os capítulos </w:t>
      </w:r>
      <w:hyperlink r:id="rId2025">
        <w:r>
          <w:rPr>
            <w:color w:val="0000EE"/>
            <w:u w:val="single"/>
          </w:rPr>
          <w:t>11</w:t>
        </w:r>
      </w:hyperlink>
      <w:r>
        <w:t xml:space="preserve">, </w:t>
      </w:r>
      <w:hyperlink r:id="rId2102">
        <w:r>
          <w:rPr>
            <w:color w:val="0000EE"/>
            <w:u w:val="single"/>
          </w:rPr>
          <w:t>12</w:t>
        </w:r>
      </w:hyperlink>
      <w:r>
        <w:t xml:space="preserve"> e </w:t>
      </w:r>
      <w:hyperlink r:id="rId2024">
        <w:r>
          <w:rPr>
            <w:color w:val="0000EE"/>
            <w:u w:val="single"/>
          </w:rPr>
          <w:t>13</w:t>
        </w:r>
      </w:hyperlink>
      <w:r>
        <w:t>.</w:t>
      </w:r>
    </w:p>
    <w:p>
      <w:r/>
      <w:r>
        <w:t xml:space="preserve">O capítulo </w:t>
      </w:r>
      <w:hyperlink r:id="rId2025">
        <w:r>
          <w:rPr>
            <w:color w:val="0000EE"/>
            <w:u w:val="single"/>
          </w:rPr>
          <w:t>11</w:t>
        </w:r>
      </w:hyperlink>
      <w:r>
        <w:t xml:space="preserve"> é notoriamente difícil. Inclui uma referência à medição do templo, do altar e dos adoradores, e ao pisoteamento da Cidade Santa por 42 meses (</w:t>
      </w:r>
      <w:hyperlink r:id="rId2103">
        <w:r>
          <w:rPr>
            <w:color w:val="0000EE"/>
            <w:u w:val="single"/>
          </w:rPr>
          <w:t>11.1–2</w:t>
        </w:r>
      </w:hyperlink>
      <w:r>
        <w:t xml:space="preserve">), bem como a descrição dos dois profetas-testemunhas que são mortos e ressuscitados (v. </w:t>
      </w:r>
      <w:hyperlink r:id="rId2104">
        <w:r>
          <w:rPr>
            <w:color w:val="0000EE"/>
            <w:u w:val="single"/>
          </w:rPr>
          <w:t>3–13</w:t>
        </w:r>
      </w:hyperlink>
      <w:r>
        <w:t>). As opiniões variam consideravelmente aqui; alguns veem esta visão como retratando a nação judaica restaurada, com os profetas reais Moisés e Elias sendo revividos. Outros veem o templo como a verdadeira igreja sendo protegida por Deus durante a tribulação e as duas testemunhas representando toda a igreja fiel sob perseguição.</w:t>
      </w:r>
    </w:p>
    <w:p>
      <w:pPr>
        <w:pStyle w:val="Heading4"/>
      </w:pPr>
      <w:r>
        <w:t>A sétima trombeta (</w:t>
      </w:r>
      <w:hyperlink r:id="rId2105">
        <w:r>
          <w:rPr>
            <w:color w:val="0000EE"/>
            <w:u w:val="single"/>
          </w:rPr>
          <w:t>11.15–14.20</w:t>
        </w:r>
      </w:hyperlink>
      <w:r>
        <w:t>)</w:t>
      </w:r>
    </w:p>
    <w:p>
      <w:r/>
      <w:r>
        <w:t>A sétima trombeta soa, e no céu vozes altas proclamam o triunfo final de Deus e Cristo sobre o mundo. O tema é o reino de Deus e Cristo — um reino duplo, eterno em sua duração. A imagem sugere a transferência do império mundial antes dominado por um poder usurpador, agora tomado pela mão de seu verdadeiro Dono e Rei. O anúncio do reinado do Rei é feito aqui, mas a quebra final do domínio dos inimigos sobre o mundo não ocorre até o retorno de Cristo (</w:t>
      </w:r>
      <w:hyperlink r:id="rId2106">
        <w:r>
          <w:rPr>
            <w:color w:val="0000EE"/>
            <w:u w:val="single"/>
          </w:rPr>
          <w:t>19.11–21</w:t>
        </w:r>
      </w:hyperlink>
      <w:r>
        <w:t>).</w:t>
      </w:r>
    </w:p>
    <w:p>
      <w:r/>
      <w:r>
        <w:t>A mulher e o dragão (</w:t>
      </w:r>
      <w:hyperlink r:id="rId2107">
        <w:r>
          <w:rPr>
            <w:color w:val="0000EE"/>
            <w:u w:val="single"/>
          </w:rPr>
          <w:t>12.1–17</w:t>
        </w:r>
      </w:hyperlink>
      <w:r>
        <w:t>)</w:t>
      </w:r>
    </w:p>
    <w:p>
      <w:r/>
      <w:r>
        <w:t xml:space="preserve">Neste capítulo, há três figuras principais: a mulher, a criança e o dragão. Há também três cenas: o nascimento da criança (v. </w:t>
      </w:r>
      <w:hyperlink r:id="rId2108">
        <w:r>
          <w:rPr>
            <w:color w:val="0000EE"/>
            <w:u w:val="single"/>
          </w:rPr>
          <w:t>1–6</w:t>
        </w:r>
      </w:hyperlink>
      <w:r>
        <w:t xml:space="preserve">), a expulsão do dragão (v. </w:t>
      </w:r>
      <w:hyperlink r:id="rId2109">
        <w:r>
          <w:rPr>
            <w:color w:val="0000EE"/>
            <w:u w:val="single"/>
          </w:rPr>
          <w:t>7–12</w:t>
        </w:r>
      </w:hyperlink>
      <w:r>
        <w:t xml:space="preserve">) e o ataque do dragão à mulher e seus filhos (v. </w:t>
      </w:r>
      <w:hyperlink r:id="rId2110">
        <w:r>
          <w:rPr>
            <w:color w:val="0000EE"/>
            <w:u w:val="single"/>
          </w:rPr>
          <w:t>13–17</w:t>
        </w:r>
      </w:hyperlink>
      <w:r>
        <w:t>).</w:t>
      </w:r>
    </w:p>
    <w:p>
      <w:r/>
      <w:r>
        <w:t>Como o contexto indica que a mulher sob ataque representa uma entidade contínua desde o nascimento de Cristo até pelo menos o dia de João ou mais tarde, sua identidade na mente do autor deve ser a comunidade cristã.</w:t>
      </w:r>
    </w:p>
    <w:p>
      <w:r/>
      <w:r>
        <w:t xml:space="preserve">A mulher está nas dores do parto (v. </w:t>
      </w:r>
      <w:hyperlink r:id="rId2111">
        <w:r>
          <w:rPr>
            <w:color w:val="0000EE"/>
            <w:u w:val="single"/>
          </w:rPr>
          <w:t>2</w:t>
        </w:r>
      </w:hyperlink>
      <w:r>
        <w:t>). A ênfase está em sua dor e sofrimento, tanto físico quanto espiritual. O significado de sua angústia é que a comunidade cristã fiel tem sofrido como prelúdio para a vinda do próprio Messias e da nova era (</w:t>
      </w:r>
      <w:hyperlink r:id="rId2112">
        <w:r>
          <w:rPr>
            <w:color w:val="0000EE"/>
            <w:u w:val="single"/>
          </w:rPr>
          <w:t>Isaías 26.17</w:t>
        </w:r>
      </w:hyperlink>
      <w:r>
        <w:t xml:space="preserve">; </w:t>
      </w:r>
      <w:hyperlink r:id="rId2113">
        <w:r>
          <w:rPr>
            <w:color w:val="0000EE"/>
            <w:u w:val="single"/>
          </w:rPr>
          <w:t>66.7–8</w:t>
        </w:r>
      </w:hyperlink>
      <w:r>
        <w:t xml:space="preserve">; </w:t>
      </w:r>
      <w:hyperlink r:id="rId2114">
        <w:r>
          <w:rPr>
            <w:color w:val="0000EE"/>
            <w:u w:val="single"/>
          </w:rPr>
          <w:t>Miquéias 4.10</w:t>
        </w:r>
      </w:hyperlink>
      <w:r>
        <w:t xml:space="preserve">; </w:t>
      </w:r>
      <w:hyperlink r:id="rId2115">
        <w:r>
          <w:rPr>
            <w:color w:val="0000EE"/>
            <w:u w:val="single"/>
          </w:rPr>
          <w:t>5.3</w:t>
        </w:r>
      </w:hyperlink>
      <w:r>
        <w:t>).</w:t>
      </w:r>
    </w:p>
    <w:p>
      <w:r/>
      <w:r>
        <w:t>As duas bestas (</w:t>
      </w:r>
      <w:hyperlink r:id="rId2024">
        <w:r>
          <w:rPr>
            <w:color w:val="0000EE"/>
            <w:u w:val="single"/>
          </w:rPr>
          <w:t>13.1–18</w:t>
        </w:r>
      </w:hyperlink>
      <w:r>
        <w:t>)</w:t>
      </w:r>
    </w:p>
    <w:p>
      <w:r/>
      <w:r>
        <w:t xml:space="preserve">Virando-se das dinâmicas internas da luta (capítulo </w:t>
      </w:r>
      <w:hyperlink r:id="rId2102">
        <w:r>
          <w:rPr>
            <w:color w:val="0000EE"/>
            <w:u w:val="single"/>
          </w:rPr>
          <w:t>12</w:t>
        </w:r>
      </w:hyperlink>
      <w:r>
        <w:t xml:space="preserve">), o capítulo </w:t>
      </w:r>
      <w:hyperlink r:id="rId2024">
        <w:r>
          <w:rPr>
            <w:color w:val="0000EE"/>
            <w:u w:val="single"/>
          </w:rPr>
          <w:t>13</w:t>
        </w:r>
      </w:hyperlink>
      <w:r>
        <w:t xml:space="preserve"> muda para os instrumentos terrenos reais deste ataque contra o povo de Deus — ou seja, as duas bestas energizadas pelo dragão. As atividades das duas bestas constituem a maneira como o dragão realiza suas tentativas finais de guerrear contra a descendência da mulher (</w:t>
      </w:r>
      <w:hyperlink r:id="rId2116">
        <w:r>
          <w:rPr>
            <w:color w:val="0000EE"/>
            <w:u w:val="single"/>
          </w:rPr>
          <w:t>12.17</w:t>
        </w:r>
      </w:hyperlink>
      <w:r>
        <w:t>).</w:t>
      </w:r>
    </w:p>
    <w:p>
      <w:r/>
      <w:r>
        <w:t xml:space="preserve">O dragão e a primeira besta entram em uma conspiração para seduzir o mundo inteiro a adorar a besta. Os conspiradores convocam uma terceira figura para ajudá-los — a besta da terra, que deve ser suficientemente semelhante ao Cordeiro para atrair até mesmo os seguidores de Jesus. À medida que a batalha avança, o engano do dragão se torna cada vez mais sutil. Assim, os leitores são chamados a discernir os critérios que lhes permitirão separar a besta semelhante ao cordeiro do próprio Cordeiro (cf. </w:t>
      </w:r>
      <w:hyperlink r:id="rId2117">
        <w:r>
          <w:rPr>
            <w:color w:val="0000EE"/>
            <w:u w:val="single"/>
          </w:rPr>
          <w:t>13.11</w:t>
        </w:r>
      </w:hyperlink>
      <w:r>
        <w:t xml:space="preserve"> com </w:t>
      </w:r>
      <w:hyperlink r:id="rId2118">
        <w:r>
          <w:rPr>
            <w:color w:val="0000EE"/>
            <w:u w:val="single"/>
          </w:rPr>
          <w:t>14.1</w:t>
        </w:r>
      </w:hyperlink>
      <w:r>
        <w:t>).</w:t>
      </w:r>
    </w:p>
    <w:p>
      <w:r/>
      <w:r>
        <w:t>A colheita da terra (</w:t>
      </w:r>
      <w:hyperlink r:id="rId2119">
        <w:r>
          <w:rPr>
            <w:color w:val="0000EE"/>
            <w:u w:val="single"/>
          </w:rPr>
          <w:t>14.1–20</w:t>
        </w:r>
      </w:hyperlink>
      <w:r>
        <w:t>)</w:t>
      </w:r>
    </w:p>
    <w:p>
      <w:r/>
      <w:r>
        <w:t xml:space="preserve">Os dois capítulos anteriores prepararam os cristãos para a realidade de que, à medida que o fim se aproxima, eles serão perseguidos e sacrificados como ovelhas. Esta seção mostra que seu sacrifício não é sem sentido. No capítulo </w:t>
      </w:r>
      <w:hyperlink r:id="rId2083">
        <w:r>
          <w:rPr>
            <w:color w:val="0000EE"/>
            <w:u w:val="single"/>
          </w:rPr>
          <w:t>7</w:t>
        </w:r>
      </w:hyperlink>
      <w:r>
        <w:t>, os 144.000 foram apenas selados; aqui, no entanto, eles são vistos como já libertos. Quando as inundações passam, o Monte Sião aparece alto acima das águas; o Cordeiro está no trono da glória, cercado pelos cânticos triunfantes dos seus; a presença graciosa de Deus enche o universo.</w:t>
      </w:r>
    </w:p>
    <w:p>
      <w:r/>
      <w:r>
        <w:t xml:space="preserve">O capítulo </w:t>
      </w:r>
      <w:hyperlink r:id="rId2119">
        <w:r>
          <w:rPr>
            <w:color w:val="0000EE"/>
            <w:u w:val="single"/>
          </w:rPr>
          <w:t>14</w:t>
        </w:r>
      </w:hyperlink>
      <w:r>
        <w:t xml:space="preserve"> responde brevemente a duas perguntas urgentes: O que acontece com aqueles que se recusam a receber a marca da besta e são mortos (v. </w:t>
      </w:r>
      <w:hyperlink r:id="rId2120">
        <w:r>
          <w:rPr>
            <w:color w:val="0000EE"/>
            <w:u w:val="single"/>
          </w:rPr>
          <w:t>1–5</w:t>
        </w:r>
      </w:hyperlink>
      <w:r>
        <w:t xml:space="preserve">)? O que acontece com a besta e seus servos (v. </w:t>
      </w:r>
      <w:hyperlink r:id="rId2121">
        <w:r>
          <w:rPr>
            <w:color w:val="0000EE"/>
            <w:u w:val="single"/>
          </w:rPr>
          <w:t>6–20</w:t>
        </w:r>
      </w:hyperlink>
      <w:r>
        <w:t>)?</w:t>
      </w:r>
    </w:p>
    <w:p>
      <w:pPr>
        <w:pStyle w:val="Heading4"/>
      </w:pPr>
      <w:r>
        <w:t>As Sete Taças (</w:t>
      </w:r>
      <w:hyperlink r:id="rId2122">
        <w:r>
          <w:rPr>
            <w:color w:val="0000EE"/>
            <w:u w:val="single"/>
          </w:rPr>
          <w:t>15.1–19.10</w:t>
        </w:r>
      </w:hyperlink>
      <w:r>
        <w:t>)</w:t>
      </w:r>
    </w:p>
    <w:p>
      <w:r/>
      <w:r>
        <w:t xml:space="preserve">A série de julgamentos das taças constitui o “terceiro ai”, anunciado em </w:t>
      </w:r>
      <w:hyperlink r:id="rId2097">
        <w:r>
          <w:rPr>
            <w:color w:val="0000EE"/>
            <w:u w:val="single"/>
          </w:rPr>
          <w:t>11.14</w:t>
        </w:r>
      </w:hyperlink>
      <w:r>
        <w:t xml:space="preserve"> como “em breve” (veja comentários em </w:t>
      </w:r>
      <w:hyperlink r:id="rId2097">
        <w:r>
          <w:rPr>
            <w:color w:val="0000EE"/>
            <w:u w:val="single"/>
          </w:rPr>
          <w:t>11.14</w:t>
        </w:r>
      </w:hyperlink>
      <w:r>
        <w:t>). Essas últimas pragas ocorrem “imediatamente após a tribulação daqueles dias” referida por Jesus no discurso do Monte das Oliveiras e podem muito bem ser o cumprimento de suas palavras apocalípticas: “O sol escurecerá, e a lua não dará a sua luz; as estrelas cairão do céu, e os corpos celestes serão abalados” (</w:t>
      </w:r>
      <w:hyperlink r:id="rId2123">
        <w:r>
          <w:rPr>
            <w:color w:val="0000EE"/>
            <w:u w:val="single"/>
          </w:rPr>
          <w:t>Mateus 24.29</w:t>
        </w:r>
      </w:hyperlink>
      <w:r>
        <w:t>, niv).</w:t>
      </w:r>
    </w:p>
    <w:p>
      <w:r/>
      <w:r>
        <w:t>Preparação: os sete anjos com as sete últimas pragas (</w:t>
      </w:r>
      <w:hyperlink r:id="rId2124">
        <w:r>
          <w:rPr>
            <w:color w:val="0000EE"/>
            <w:u w:val="single"/>
          </w:rPr>
          <w:t>15.1–8</w:t>
        </w:r>
      </w:hyperlink>
      <w:r>
        <w:t>)</w:t>
      </w:r>
    </w:p>
    <w:p>
      <w:r/>
      <w:r>
        <w:t xml:space="preserve">O capítulo </w:t>
      </w:r>
      <w:hyperlink r:id="rId2124">
        <w:r>
          <w:rPr>
            <w:color w:val="0000EE"/>
            <w:u w:val="single"/>
          </w:rPr>
          <w:t>15</w:t>
        </w:r>
      </w:hyperlink>
      <w:r>
        <w:t xml:space="preserve"> está relacionado com o relato do AT do Êxodo e sugere fortemente a tradição litúrgica da antiga sinagoga. O capítulo tem duas visões principais: a primeira retrata os vencedores que emergiram triunfantes da Grande tribulação (v. </w:t>
      </w:r>
      <w:hyperlink r:id="rId2125">
        <w:r>
          <w:rPr>
            <w:color w:val="0000EE"/>
            <w:u w:val="single"/>
          </w:rPr>
          <w:t>2–4</w:t>
        </w:r>
      </w:hyperlink>
      <w:r>
        <w:t xml:space="preserve">); a segunda relata a saída do templo celestial dos sete anjos vestidos de branco e ouro que seguram as sete taças das últimas pragas (v. </w:t>
      </w:r>
      <w:hyperlink r:id="rId2126">
        <w:r>
          <w:rPr>
            <w:color w:val="0000EE"/>
            <w:u w:val="single"/>
          </w:rPr>
          <w:t>5–8</w:t>
        </w:r>
      </w:hyperlink>
      <w:r>
        <w:t>).</w:t>
      </w:r>
    </w:p>
    <w:p>
      <w:r/>
      <w:r>
        <w:t>A derramamento das taças do juízo (</w:t>
      </w:r>
      <w:hyperlink r:id="rId2094">
        <w:r>
          <w:rPr>
            <w:color w:val="0000EE"/>
            <w:u w:val="single"/>
          </w:rPr>
          <w:t>16.1–21</w:t>
        </w:r>
      </w:hyperlink>
      <w:r>
        <w:t>)</w:t>
      </w:r>
    </w:p>
    <w:p>
      <w:r/>
      <w:r>
        <w:t xml:space="preserve">Esses ocorrem em rápida sucessão com apenas uma breve pausa para um diálogo entre o terceiro anjo e o altar, acentuando a justiça dos castigos de Deus (v. </w:t>
      </w:r>
      <w:hyperlink r:id="rId2127">
        <w:r>
          <w:rPr>
            <w:color w:val="0000EE"/>
            <w:u w:val="single"/>
          </w:rPr>
          <w:t>5–7</w:t>
        </w:r>
      </w:hyperlink>
      <w:r>
        <w:t>). Essa rápida sucessão é provavelmente devido ao desejo de João de dar uma visão telescópica das primeiras seis taças e de apressar-se para a sétima, onde ocorre o julgamento muito mais interessante sobre Babilônia, sobre o qual o autor dará um relato detalhado. As três pragas finais são sociais e espirituais em seu efeito e mudam da natureza para a humanidade.</w:t>
      </w:r>
    </w:p>
    <w:p>
      <w:r/>
      <w:r>
        <w:t>A prostituta e a besta (</w:t>
      </w:r>
      <w:hyperlink r:id="rId2035">
        <w:r>
          <w:rPr>
            <w:color w:val="0000EE"/>
            <w:u w:val="single"/>
          </w:rPr>
          <w:t>17.1–18</w:t>
        </w:r>
      </w:hyperlink>
      <w:r>
        <w:t>)</w:t>
      </w:r>
    </w:p>
    <w:p>
      <w:r/>
      <w:r>
        <w:t xml:space="preserve">Para a maioria dos intérpretes modernos, Babilônia representa a cidade de Roma. A besta representa o Império Romano como um todo, incluindo suas províncias e povos. No entanto, não é suficiente simplesmente identificar Babilônia com Roma. De fato, Babilônia não pode ser confinada a nenhuma manifestação histórica única, passada ou futura; ela tem múltiplos equivalentes (cf. </w:t>
      </w:r>
      <w:hyperlink r:id="rId2128">
        <w:r>
          <w:rPr>
            <w:color w:val="0000EE"/>
            <w:u w:val="single"/>
          </w:rPr>
          <w:t>11.8</w:t>
        </w:r>
      </w:hyperlink>
      <w:r>
        <w:t>). Babilônia é encontrada onde quer que haja engano satânico. Babilônia é melhor entendida aqui como a cabeça arquetípica de toda resistência mundana entrincheirada contra Deus. Babilônia é uma realidade trans-histórica que inclui reinos idólatras tão diversos como Sodoma, Egito, Babilônia, Tiro, Nínive e Roma. Babilônia é um símbolo escatológico de engano e poder satânico; é um mistério divino que nunca pode ser totalmente reduzido a instituições terrenas empíricas. Babilônia representa a cultura total do mundo à parte de Deus, enquanto o sistema divino é representado pela Nova Jerusalém. Roma é simplesmente uma manifestação do sistema total.</w:t>
      </w:r>
    </w:p>
    <w:p>
      <w:r/>
      <w:r>
        <w:t>A queda da grande babilônia (</w:t>
      </w:r>
      <w:hyperlink r:id="rId2129">
        <w:r>
          <w:rPr>
            <w:color w:val="0000EE"/>
            <w:u w:val="single"/>
          </w:rPr>
          <w:t>18.1–24</w:t>
        </w:r>
      </w:hyperlink>
      <w:r>
        <w:t>)</w:t>
      </w:r>
    </w:p>
    <w:p>
      <w:r/>
      <w:r>
        <w:t xml:space="preserve">O capítulo </w:t>
      </w:r>
      <w:hyperlink r:id="rId2129">
        <w:r>
          <w:rPr>
            <w:color w:val="0000EE"/>
            <w:u w:val="single"/>
          </w:rPr>
          <w:t>18</w:t>
        </w:r>
      </w:hyperlink>
      <w:r>
        <w:t xml:space="preserve"> contém a descrição do julgamento previamente anunciado sobre a prostituta (</w:t>
      </w:r>
      <w:hyperlink r:id="rId2130">
        <w:r>
          <w:rPr>
            <w:color w:val="0000EE"/>
            <w:u w:val="single"/>
          </w:rPr>
          <w:t>17.1</w:t>
        </w:r>
      </w:hyperlink>
      <w:r>
        <w:t>). Sob a imagem da destruição de uma grande cidade comercial, João descreve a queda final da Grande prostituta, Babilônia.</w:t>
      </w:r>
    </w:p>
    <w:p>
      <w:r/>
      <w:r>
        <w:t>Ação de graças pela destruição de Babilônia (</w:t>
      </w:r>
      <w:hyperlink r:id="rId2131">
        <w:r>
          <w:rPr>
            <w:color w:val="0000EE"/>
            <w:u w:val="single"/>
          </w:rPr>
          <w:t>19.1–5</w:t>
        </w:r>
      </w:hyperlink>
      <w:r>
        <w:t>)</w:t>
      </w:r>
    </w:p>
    <w:p>
      <w:r/>
      <w:r>
        <w:t>Em forte contraste com os lamentos das consortes de Babilônia, os coros celestiais irrompem em uma grande liturgia de celebração a Deus.</w:t>
      </w:r>
    </w:p>
    <w:p>
      <w:r/>
      <w:r>
        <w:t>O casamento do cordeiro (</w:t>
      </w:r>
      <w:hyperlink r:id="rId2132">
        <w:r>
          <w:rPr>
            <w:color w:val="0000EE"/>
            <w:u w:val="single"/>
          </w:rPr>
          <w:t>19.6–10</w:t>
        </w:r>
      </w:hyperlink>
      <w:r>
        <w:t>)</w:t>
      </w:r>
    </w:p>
    <w:p>
      <w:r/>
      <w:r>
        <w:t xml:space="preserve">Finalmente, o ciclo de louvor é completado com os sons reverberantes de outra Grande multidão (v. </w:t>
      </w:r>
      <w:hyperlink r:id="rId2133">
        <w:r>
          <w:rPr>
            <w:color w:val="0000EE"/>
            <w:u w:val="single"/>
          </w:rPr>
          <w:t>6</w:t>
        </w:r>
      </w:hyperlink>
      <w:r>
        <w:t xml:space="preserve">): a multidão redimida (cf. </w:t>
      </w:r>
      <w:hyperlink r:id="rId2134">
        <w:r>
          <w:rPr>
            <w:color w:val="0000EE"/>
            <w:u w:val="single"/>
          </w:rPr>
          <w:t>7.9</w:t>
        </w:r>
      </w:hyperlink>
      <w:r>
        <w:t>). Eles proferem o Hallel final em palavras que lembram os Grandes salmos reais (</w:t>
      </w:r>
      <w:hyperlink r:id="rId2135">
        <w:r>
          <w:rPr>
            <w:color w:val="0000EE"/>
            <w:u w:val="single"/>
          </w:rPr>
          <w:t>Salmos 93.1</w:t>
        </w:r>
      </w:hyperlink>
      <w:r>
        <w:t xml:space="preserve">; </w:t>
      </w:r>
      <w:hyperlink r:id="rId2136">
        <w:r>
          <w:rPr>
            <w:color w:val="0000EE"/>
            <w:u w:val="single"/>
          </w:rPr>
          <w:t>97.1</w:t>
        </w:r>
      </w:hyperlink>
      <w:r>
        <w:t xml:space="preserve">; </w:t>
      </w:r>
      <w:hyperlink r:id="rId2137">
        <w:r>
          <w:rPr>
            <w:color w:val="0000EE"/>
            <w:u w:val="single"/>
          </w:rPr>
          <w:t>99.1</w:t>
        </w:r>
      </w:hyperlink>
      <w:r>
        <w:t>).</w:t>
      </w:r>
    </w:p>
    <w:p>
      <w:pPr>
        <w:pStyle w:val="Heading4"/>
      </w:pPr>
      <w:r>
        <w:t>A visão do retorno de cristo e a consumação da era (</w:t>
      </w:r>
      <w:hyperlink r:id="rId2045">
        <w:r>
          <w:rPr>
            <w:color w:val="0000EE"/>
            <w:u w:val="single"/>
          </w:rPr>
          <w:t>19.11–20.15</w:t>
        </w:r>
      </w:hyperlink>
      <w:r>
        <w:t>)</w:t>
      </w:r>
    </w:p>
    <w:p>
      <w:r/>
      <w:r>
        <w:t>As primeiras e segundas últimas coisas: o cavaleiro no cavalo branco e a destruição da besta (</w:t>
      </w:r>
      <w:hyperlink r:id="rId2106">
        <w:r>
          <w:rPr>
            <w:color w:val="0000EE"/>
            <w:u w:val="single"/>
          </w:rPr>
          <w:t>19.11–21</w:t>
        </w:r>
      </w:hyperlink>
      <w:r>
        <w:t>)</w:t>
      </w:r>
    </w:p>
    <w:p>
      <w:r/>
      <w:r>
        <w:t xml:space="preserve">Esta visão, que descreve o retorno de Cristo e a derrota final da besta, pode ser vista como o clímax da seção anterior (v. </w:t>
      </w:r>
      <w:hyperlink r:id="rId2138">
        <w:r>
          <w:rPr>
            <w:color w:val="0000EE"/>
            <w:u w:val="single"/>
          </w:rPr>
          <w:t>1–10</w:t>
        </w:r>
      </w:hyperlink>
      <w:r>
        <w:t>) ou como a primeira de uma série final de sete últimas coisas — ou seja, o retorno de Cristo; a derrota da besta; o aprisionamento de Satanás; o Milênio; a liberação e o fim final de Satanás; o último julgamento; e o novo céu, a nova terra, e a nova Jerusalém.</w:t>
      </w:r>
    </w:p>
    <w:p>
      <w:r/>
      <w:r>
        <w:t xml:space="preserve">Embora Satanás tenha recebido um golpe mortal na cruz (cf. </w:t>
      </w:r>
      <w:hyperlink r:id="rId2139">
        <w:r>
          <w:rPr>
            <w:color w:val="0000EE"/>
            <w:u w:val="single"/>
          </w:rPr>
          <w:t>João 12.31</w:t>
        </w:r>
      </w:hyperlink>
      <w:r>
        <w:t xml:space="preserve">; </w:t>
      </w:r>
      <w:hyperlink r:id="rId2140">
        <w:r>
          <w:rPr>
            <w:color w:val="0000EE"/>
            <w:u w:val="single"/>
          </w:rPr>
          <w:t>16.11</w:t>
        </w:r>
      </w:hyperlink>
      <w:r>
        <w:t xml:space="preserve">), ele continua a promover o mal e a enganação durante esta era presente (cf. </w:t>
      </w:r>
      <w:hyperlink r:id="rId2141">
        <w:r>
          <w:rPr>
            <w:color w:val="0000EE"/>
            <w:u w:val="single"/>
          </w:rPr>
          <w:t>Efésios 2.2</w:t>
        </w:r>
      </w:hyperlink>
      <w:r>
        <w:t xml:space="preserve">; </w:t>
      </w:r>
      <w:hyperlink r:id="rId2142">
        <w:r>
          <w:rPr>
            <w:color w:val="0000EE"/>
            <w:u w:val="single"/>
          </w:rPr>
          <w:t>1 Tessalonicenses 3.5</w:t>
        </w:r>
      </w:hyperlink>
      <w:r>
        <w:t xml:space="preserve">; </w:t>
      </w:r>
      <w:hyperlink r:id="rId2143">
        <w:r>
          <w:rPr>
            <w:color w:val="0000EE"/>
            <w:u w:val="single"/>
          </w:rPr>
          <w:t>1 Pe 5.8–9</w:t>
        </w:r>
      </w:hyperlink>
      <w:r>
        <w:t xml:space="preserve">; </w:t>
      </w:r>
      <w:hyperlink r:id="rId2144">
        <w:r>
          <w:rPr>
            <w:color w:val="0000EE"/>
            <w:u w:val="single"/>
          </w:rPr>
          <w:t>Ap 2.10</w:t>
        </w:r>
      </w:hyperlink>
      <w:r>
        <w:t>). No entanto, ele é um governante deposto que agora está sob a autoridade soberana de Cristo. Satanás é permitido continuar seu mal por um curto período até que os propósitos de Deus sejam concluídos. Nesta cena da derrota da besta, seus reis e seus exércitos, João nos mostra a destruição final e rápida dessas forças malignas pelo Rei dos reis e Senhor dos senhores. Eles encontraram seu Mestre nesta confrontação final e totalmente real (</w:t>
      </w:r>
      <w:hyperlink r:id="rId2145">
        <w:r>
          <w:rPr>
            <w:color w:val="0000EE"/>
            <w:u w:val="single"/>
          </w:rPr>
          <w:t>Apocalipse 19.17–21</w:t>
        </w:r>
      </w:hyperlink>
      <w:r>
        <w:t>).</w:t>
      </w:r>
    </w:p>
    <w:p>
      <w:r/>
      <w:r>
        <w:t>As Terceira e Quarta Últimas Coisas: O Aprisionamento de Satanás e o Milênio (</w:t>
      </w:r>
      <w:hyperlink r:id="rId2146">
        <w:r>
          <w:rPr>
            <w:color w:val="0000EE"/>
            <w:u w:val="single"/>
          </w:rPr>
          <w:t>20.1–6</w:t>
        </w:r>
      </w:hyperlink>
      <w:r>
        <w:t>)</w:t>
      </w:r>
    </w:p>
    <w:p>
      <w:r/>
      <w:r>
        <w:t>O Milênio tem sido chamado de uma das questões mais controversas e intrigantes da escatologia. O principal problema é se a referência a um Milênio (mil anos) indica um reinado histórico terrestre de paz que se manifestará no final desta era presente, ou se toda a passagem é simbólica de alguma experiência presente dos cristãos ou de alguma realidade futura não histórica. A primeira visão é chamada de pré-milenista (ou seja, a Segunda vinda de Cristo precede o Milênio), a última é amilenista (ou seja, não há um Milênio literal).</w:t>
      </w:r>
    </w:p>
    <w:p>
      <w:r/>
      <w:r>
        <w:t xml:space="preserve">A prisão de Satanás remove suas atividades enganosas da terra (v. </w:t>
      </w:r>
      <w:hyperlink r:id="rId2147">
        <w:r>
          <w:rPr>
            <w:color w:val="0000EE"/>
            <w:u w:val="single"/>
          </w:rPr>
          <w:t>1–3</w:t>
        </w:r>
      </w:hyperlink>
      <w:r>
        <w:t xml:space="preserve">) durante o tempo em que os santos martirizados são ressuscitados e reinam com Cristo (v. </w:t>
      </w:r>
      <w:hyperlink r:id="rId2148">
        <w:r>
          <w:rPr>
            <w:color w:val="0000EE"/>
            <w:u w:val="single"/>
          </w:rPr>
          <w:t>4–6</w:t>
        </w:r>
      </w:hyperlink>
      <w:r>
        <w:t>).</w:t>
      </w:r>
    </w:p>
    <w:p>
      <w:r/>
      <w:r>
        <w:t>A Quinta Última Coisa: A Libertação e o Fim Final de Satanás (</w:t>
      </w:r>
      <w:hyperlink r:id="rId2149">
        <w:r>
          <w:rPr>
            <w:color w:val="0000EE"/>
            <w:u w:val="single"/>
          </w:rPr>
          <w:t>20.7–10</w:t>
        </w:r>
      </w:hyperlink>
      <w:r>
        <w:t>)</w:t>
      </w:r>
    </w:p>
    <w:p>
      <w:r/>
      <w:r>
        <w:t xml:space="preserve">Em </w:t>
      </w:r>
      <w:hyperlink r:id="rId2150">
        <w:r>
          <w:rPr>
            <w:color w:val="0000EE"/>
            <w:u w:val="single"/>
          </w:rPr>
          <w:t>Ezequiel 38–39</w:t>
        </w:r>
      </w:hyperlink>
      <w:r>
        <w:t>, “Gogue” refere-se ao príncipe de um exército de invasores pagãos do Norte, especialmente as hordas citas da distante terra de Magogue. No Apocalipse, no entanto, os nomes são simbólicos dos inimigos finais de Cristo enganados por Satanás para atacar a comunidade dos santos.</w:t>
      </w:r>
    </w:p>
    <w:p>
      <w:r/>
      <w:r>
        <w:t>A sexta última coisa: o julgamento do grande trono branco (</w:t>
      </w:r>
      <w:hyperlink r:id="rId2151">
        <w:r>
          <w:rPr>
            <w:color w:val="0000EE"/>
            <w:u w:val="single"/>
          </w:rPr>
          <w:t>20.11–15</w:t>
        </w:r>
      </w:hyperlink>
      <w:r>
        <w:t>)</w:t>
      </w:r>
    </w:p>
    <w:p>
      <w:r/>
      <w:r>
        <w:t>A linguagem da imagem poética captura o caráter passageiro de tudo que é do mundo (</w:t>
      </w:r>
      <w:hyperlink r:id="rId2152">
        <w:r>
          <w:rPr>
            <w:color w:val="0000EE"/>
            <w:u w:val="single"/>
          </w:rPr>
          <w:t>1 João 2.15–17</w:t>
        </w:r>
      </w:hyperlink>
      <w:r>
        <w:t>). Agora a única realidade é Deus sentado no trono de julgamento, diante de quem todos devem comparecer (</w:t>
      </w:r>
      <w:hyperlink r:id="rId2153">
        <w:r>
          <w:rPr>
            <w:color w:val="0000EE"/>
            <w:u w:val="single"/>
          </w:rPr>
          <w:t>Hebreus 9.27</w:t>
        </w:r>
      </w:hyperlink>
      <w:r>
        <w:t>). Seu veredicto é santo e justo (expressado simbolicamente pelo trono branco). Esta visão declara que, embora possa ter parecido que o curso da história da terra correu contrário à sua santa vontade, nenhum único dia ou hora no drama do mundo jamais diminuiu a soberania absoluta de Deus.</w:t>
      </w:r>
    </w:p>
    <w:p>
      <w:r/>
      <w:r>
        <w:t>A sétima última coisa: o novo céu e a nova terra e a Nova Jerusalém (</w:t>
      </w:r>
      <w:hyperlink r:id="rId2154">
        <w:r>
          <w:rPr>
            <w:color w:val="0000EE"/>
            <w:u w:val="single"/>
          </w:rPr>
          <w:t>21.1–22.5</w:t>
        </w:r>
      </w:hyperlink>
      <w:r>
        <w:t>)</w:t>
      </w:r>
    </w:p>
    <w:p>
      <w:r/>
      <w:r>
        <w:t>João aqui revela uma teologia em pedra, ouro tão puro quanto vidro e cor. Imagens arquetípicas abundam. A igreja é chamada de noiva (</w:t>
      </w:r>
      <w:hyperlink r:id="rId461">
        <w:r>
          <w:rPr>
            <w:color w:val="0000EE"/>
            <w:u w:val="single"/>
          </w:rPr>
          <w:t>21.2</w:t>
        </w:r>
      </w:hyperlink>
      <w:r>
        <w:t xml:space="preserve">). Deus dá aos sedentos “as fontes da água da vida sem custo!” (v. </w:t>
      </w:r>
      <w:hyperlink r:id="rId606">
        <w:r>
          <w:rPr>
            <w:color w:val="0000EE"/>
            <w:u w:val="single"/>
          </w:rPr>
          <w:t>6</w:t>
        </w:r>
      </w:hyperlink>
      <w:r>
        <w:t xml:space="preserve">). A completude é implícita no número 12 e seus múltiplos (v. </w:t>
      </w:r>
      <w:hyperlink r:id="rId2155">
        <w:r>
          <w:rPr>
            <w:color w:val="0000EE"/>
            <w:u w:val="single"/>
          </w:rPr>
          <w:t>12–14,16–17,21</w:t>
        </w:r>
      </w:hyperlink>
      <w:r>
        <w:t xml:space="preserve">), e a plenitude na forma cúbica da cidade (v. </w:t>
      </w:r>
      <w:hyperlink r:id="rId2156">
        <w:r>
          <w:rPr>
            <w:color w:val="0000EE"/>
            <w:u w:val="single"/>
          </w:rPr>
          <w:t>16</w:t>
        </w:r>
      </w:hyperlink>
      <w:r>
        <w:t>). Joias coloridas abundam, assim como referências à luz e à glória de Deus (</w:t>
      </w:r>
      <w:hyperlink r:id="rId2157">
        <w:r>
          <w:rPr>
            <w:color w:val="0000EE"/>
            <w:u w:val="single"/>
          </w:rPr>
          <w:t>21.11,18–21,23–25</w:t>
        </w:r>
      </w:hyperlink>
      <w:r>
        <w:t xml:space="preserve">; </w:t>
      </w:r>
      <w:hyperlink r:id="rId2158">
        <w:r>
          <w:rPr>
            <w:color w:val="0000EE"/>
            <w:u w:val="single"/>
          </w:rPr>
          <w:t>22.5</w:t>
        </w:r>
      </w:hyperlink>
      <w:r>
        <w:t>). Há o “rio da água da vida” (</w:t>
      </w:r>
      <w:hyperlink r:id="rId2159">
        <w:r>
          <w:rPr>
            <w:color w:val="0000EE"/>
            <w:u w:val="single"/>
          </w:rPr>
          <w:t>22.1</w:t>
        </w:r>
      </w:hyperlink>
      <w:r>
        <w:t xml:space="preserve">) e a “árvore da vida” (v. </w:t>
      </w:r>
      <w:hyperlink r:id="rId2160">
        <w:r>
          <w:rPr>
            <w:color w:val="0000EE"/>
            <w:u w:val="single"/>
          </w:rPr>
          <w:t>2</w:t>
        </w:r>
      </w:hyperlink>
      <w:r>
        <w:t>). O “mar” desapareceu (</w:t>
      </w:r>
      <w:hyperlink r:id="rId2161">
        <w:r>
          <w:rPr>
            <w:color w:val="0000EE"/>
            <w:u w:val="single"/>
          </w:rPr>
          <w:t>21.1</w:t>
        </w:r>
      </w:hyperlink>
      <w:r>
        <w:t>).</w:t>
      </w:r>
    </w:p>
    <w:p>
      <w:r/>
      <w:r>
        <w:t xml:space="preserve">Alusões ao AT abundam. A maior parte da imagem de João neste capítulo reflete </w:t>
      </w:r>
      <w:hyperlink r:id="rId2162">
        <w:r>
          <w:rPr>
            <w:color w:val="0000EE"/>
            <w:u w:val="single"/>
          </w:rPr>
          <w:t>Isaías 60</w:t>
        </w:r>
      </w:hyperlink>
      <w:r>
        <w:t xml:space="preserve"> e </w:t>
      </w:r>
      <w:hyperlink r:id="rId2163">
        <w:r>
          <w:rPr>
            <w:color w:val="0000EE"/>
            <w:u w:val="single"/>
          </w:rPr>
          <w:t>65</w:t>
        </w:r>
      </w:hyperlink>
      <w:r>
        <w:t xml:space="preserve"> e </w:t>
      </w:r>
      <w:hyperlink r:id="rId2164">
        <w:r>
          <w:rPr>
            <w:color w:val="0000EE"/>
            <w:u w:val="single"/>
          </w:rPr>
          <w:t>Ezequiel 40–48</w:t>
        </w:r>
      </w:hyperlink>
      <w:r>
        <w:t xml:space="preserve">. João entrelaça a visão de Isaías da nova Jerusalém com a visão de Ezequiel do novo templo. As múltiplas promessas do AT convergindo na mente de João parecem indicar que ele via a nova Jerusalém como o cumprimento de todas essas vertentes de profecia. Há também alusões a </w:t>
      </w:r>
      <w:hyperlink r:id="rId2165">
        <w:r>
          <w:rPr>
            <w:color w:val="0000EE"/>
            <w:u w:val="single"/>
          </w:rPr>
          <w:t>Gênesis 1–3</w:t>
        </w:r>
      </w:hyperlink>
      <w:r>
        <w:t>: a ausência de morte e sofrimento, a morada de Deus com seu povo como no Éden, a árvore da vida, a remoção da maldição. A criação é restaurada ao seu caráter primitivo.</w:t>
      </w:r>
    </w:p>
    <w:p>
      <w:r/>
      <w:r>
        <w:t>A conexão desta visão com as promessas aos vencedores nas cartas às sete igrejas (</w:t>
      </w:r>
      <w:hyperlink r:id="rId2039">
        <w:r>
          <w:rPr>
            <w:color w:val="0000EE"/>
            <w:u w:val="single"/>
          </w:rPr>
          <w:t>Apocalipse 2–3</w:t>
        </w:r>
      </w:hyperlink>
      <w:r>
        <w:t>) é significativa. Por exemplo, aos vencedores em Éfeso foi concedido o direito à árvore da vida (</w:t>
      </w:r>
      <w:hyperlink r:id="rId2166">
        <w:r>
          <w:rPr>
            <w:color w:val="0000EE"/>
            <w:u w:val="single"/>
          </w:rPr>
          <w:t>2.7</w:t>
        </w:r>
      </w:hyperlink>
      <w:r>
        <w:t xml:space="preserve">; cf. </w:t>
      </w:r>
      <w:hyperlink r:id="rId2160">
        <w:r>
          <w:rPr>
            <w:color w:val="0000EE"/>
            <w:u w:val="single"/>
          </w:rPr>
          <w:t>22.2</w:t>
        </w:r>
      </w:hyperlink>
      <w:r>
        <w:t>); em Tiatira, o direito de governar as nações (</w:t>
      </w:r>
      <w:hyperlink r:id="rId2167">
        <w:r>
          <w:rPr>
            <w:color w:val="0000EE"/>
            <w:u w:val="single"/>
          </w:rPr>
          <w:t>2.26</w:t>
        </w:r>
      </w:hyperlink>
      <w:r>
        <w:t xml:space="preserve">; cf. </w:t>
      </w:r>
      <w:hyperlink r:id="rId2158">
        <w:r>
          <w:rPr>
            <w:color w:val="0000EE"/>
            <w:u w:val="single"/>
          </w:rPr>
          <w:t>22.5</w:t>
        </w:r>
      </w:hyperlink>
      <w:r>
        <w:t>); em Filadélfia, o nome da cidade de Deus, a nova Jerusalém (</w:t>
      </w:r>
      <w:hyperlink r:id="rId2168">
        <w:r>
          <w:rPr>
            <w:color w:val="0000EE"/>
            <w:u w:val="single"/>
          </w:rPr>
          <w:t>3.12</w:t>
        </w:r>
      </w:hyperlink>
      <w:r>
        <w:t xml:space="preserve">; cf. </w:t>
      </w:r>
      <w:hyperlink r:id="rId2169">
        <w:r>
          <w:rPr>
            <w:color w:val="0000EE"/>
            <w:u w:val="single"/>
          </w:rPr>
          <w:t>21.2,9–27</w:t>
        </w:r>
      </w:hyperlink>
      <w:r>
        <w:t xml:space="preserve">). Em certo sentido, um fio de cada seção principal do Apocalipse aparece nos capítulos </w:t>
      </w:r>
      <w:hyperlink r:id="rId2046">
        <w:r>
          <w:rPr>
            <w:color w:val="0000EE"/>
            <w:u w:val="single"/>
          </w:rPr>
          <w:t>21–22</w:t>
        </w:r>
      </w:hyperlink>
      <w:r>
        <w:t>.</w:t>
      </w:r>
    </w:p>
    <w:p>
      <w:pPr>
        <w:pStyle w:val="Heading4"/>
      </w:pPr>
      <w:r>
        <w:t>Conclusão de João (</w:t>
      </w:r>
      <w:hyperlink r:id="rId2170">
        <w:r>
          <w:rPr>
            <w:color w:val="0000EE"/>
            <w:u w:val="single"/>
          </w:rPr>
          <w:t>22.6–21</w:t>
        </w:r>
      </w:hyperlink>
      <w:r>
        <w:t>)</w:t>
      </w:r>
    </w:p>
    <w:p>
      <w:r/>
      <w:r>
        <w:t>Com consumada arte, as palavras da introdução (</w:t>
      </w:r>
      <w:hyperlink r:id="rId2047">
        <w:r>
          <w:rPr>
            <w:color w:val="0000EE"/>
            <w:u w:val="single"/>
          </w:rPr>
          <w:t>1.1–8</w:t>
        </w:r>
      </w:hyperlink>
      <w:r>
        <w:t>) são novamente ouvidas na conclusão: o livro termina com as vozes do anjo, Jesus, o Espírito, a noiva e, finalmente, João: “Amém. Vem, Senhor Jesus” (</w:t>
      </w:r>
      <w:hyperlink r:id="rId2171">
        <w:r>
          <w:rPr>
            <w:color w:val="0000EE"/>
            <w:u w:val="single"/>
          </w:rPr>
          <w:t>22.20</w:t>
        </w:r>
      </w:hyperlink>
      <w:r>
        <w:t>).</w:t>
      </w:r>
    </w:p>
    <w:p>
      <w:r/>
      <w:r>
        <w:rPr>
          <w:i/>
        </w:rPr>
        <w:t>Veja também</w:t>
      </w:r>
      <w:r>
        <w:t xml:space="preserve"> </w:t>
      </w:r>
      <w:r>
        <w:t>apocalíptico</w:t>
      </w:r>
      <w:r>
        <w:t xml:space="preserve">; </w:t>
      </w:r>
      <w:r>
        <w:t>Daniel, Livro de</w:t>
      </w:r>
      <w:r>
        <w:t xml:space="preserve">; </w:t>
      </w:r>
      <w:r>
        <w:t>Escatologia</w:t>
      </w:r>
      <w:r>
        <w:t xml:space="preserve">; </w:t>
      </w:r>
      <w:r>
        <w:t>João, o Apóstolo</w:t>
      </w:r>
      <w:r>
        <w:t>.</w:t>
      </w:r>
      <w:r/>
      <w:r/>
    </w:p>
    <w:p>
      <w:r/>
    </w:p>
    <w:p>
      <w:pPr>
        <w:pStyle w:val="Heading2"/>
      </w:pPr>
      <w:r>
        <w:t>Apocalíptico</w:t>
      </w:r>
      <w:r/>
    </w:p>
    <w:p>
      <w:r/>
      <w:r>
        <w:t>Termo derivado de uma palavra grega que significa “revelação” e usado para se referir a um padrão de pensamento e a uma forma de literatura, ambos lidando com o julgamento futuro (escatologia).</w:t>
      </w:r>
    </w:p>
    <w:p>
      <w:r/>
      <w:r>
        <w:t xml:space="preserve">A literatura designada como "apocalíptica" consiste em composições que são ou pretendem ser revelações divinas recebidas por seus autores. As revelações geralmente eram recebidas na forma de visões. Elas eram detalhadamente descritas e acompanhadas por uma interpretação. A segunda metade de Daniel (caps </w:t>
      </w:r>
      <w:hyperlink r:id="rId2172">
        <w:r>
          <w:rPr>
            <w:color w:val="0000EE"/>
            <w:u w:val="single"/>
          </w:rPr>
          <w:t>7–12</w:t>
        </w:r>
      </w:hyperlink>
      <w:r>
        <w:t xml:space="preserve">) está repleta de tais visões, assim como todo o Livro do Apocalipse. Embora visões revelatórias também ocorressem frequentemente na literatura profética do AT (p. ex., </w:t>
      </w:r>
      <w:hyperlink r:id="rId1938">
        <w:r>
          <w:rPr>
            <w:color w:val="0000EE"/>
            <w:u w:val="single"/>
          </w:rPr>
          <w:t>Is 6</w:t>
        </w:r>
      </w:hyperlink>
      <w:r>
        <w:t xml:space="preserve">; </w:t>
      </w:r>
      <w:hyperlink r:id="rId2173">
        <w:r>
          <w:rPr>
            <w:color w:val="0000EE"/>
            <w:u w:val="single"/>
          </w:rPr>
          <w:t>Am 7–9</w:t>
        </w:r>
      </w:hyperlink>
      <w:r>
        <w:t xml:space="preserve">; </w:t>
      </w:r>
      <w:hyperlink r:id="rId2174">
        <w:r>
          <w:rPr>
            <w:color w:val="0000EE"/>
            <w:u w:val="single"/>
          </w:rPr>
          <w:t>Zc 1–6</w:t>
        </w:r>
      </w:hyperlink>
      <w:r>
        <w:t xml:space="preserve">), elas eram particularmente proeminentes na literatura apocalíptica e determinavam a forma e a estrutura literária básica dessas escrituras. Às vezes (como em Daniel), a mensagem revelatória era recebida por meio de um sonho pelo vidente apocalíptico. Em outra forma de visão (como em Apocalipse), o apocaliptista era arrebatado para o mundo celestial, onde via e ouvia coisas a serem transmitidas ao mundo dos homens (cf. a experiência de Paulo, </w:t>
      </w:r>
      <w:hyperlink r:id="rId2175">
        <w:r>
          <w:rPr>
            <w:color w:val="0000EE"/>
            <w:u w:val="single"/>
          </w:rPr>
          <w:t>2Co 12.1–4</w:t>
        </w:r>
      </w:hyperlink>
      <w:r>
        <w:t>). Frequentemente, o apocaliptista não conseguia entender o significado das visões que recebia. Nessas instâncias, um "anjo intérprete" esclarecia o significado da visão (</w:t>
      </w:r>
      <w:hyperlink r:id="rId2176">
        <w:r>
          <w:rPr>
            <w:color w:val="0000EE"/>
            <w:u w:val="single"/>
          </w:rPr>
          <w:t>Dn 8.15–26</w:t>
        </w:r>
      </w:hyperlink>
      <w:r>
        <w:t xml:space="preserve">; </w:t>
      </w:r>
      <w:hyperlink r:id="rId2177">
        <w:r>
          <w:rPr>
            <w:color w:val="0000EE"/>
            <w:u w:val="single"/>
          </w:rPr>
          <w:t>9.20–27</w:t>
        </w:r>
      </w:hyperlink>
      <w:r>
        <w:t xml:space="preserve">; </w:t>
      </w:r>
      <w:hyperlink r:id="rId2178">
        <w:r>
          <w:rPr>
            <w:color w:val="0000EE"/>
            <w:u w:val="single"/>
          </w:rPr>
          <w:t>10.18–12.4</w:t>
        </w:r>
      </w:hyperlink>
      <w:r>
        <w:t xml:space="preserve">; </w:t>
      </w:r>
      <w:hyperlink r:id="rId2179">
        <w:r>
          <w:rPr>
            <w:color w:val="0000EE"/>
            <w:u w:val="single"/>
          </w:rPr>
          <w:t>Ap 7.13–17</w:t>
        </w:r>
      </w:hyperlink>
      <w:r>
        <w:t xml:space="preserve">; </w:t>
      </w:r>
      <w:hyperlink r:id="rId2180">
        <w:r>
          <w:rPr>
            <w:color w:val="0000EE"/>
            <w:u w:val="single"/>
          </w:rPr>
          <w:t>17.7–18</w:t>
        </w:r>
      </w:hyperlink>
      <w:r>
        <w:t>).</w:t>
      </w:r>
    </w:p>
    <w:p>
      <w:r/>
      <w:r>
        <w:t>Dois padrões principais de pensamento escatológico são encontrados na Bíblia, ambos centrados na convicção de que Deus agirá num futuro próximo para salvar seu povo e punir aqueles que os oprimem. Na escatologia profética, a forma dominante no AT, espera-se que Deus aja dentro da história para restaurar o homem e a natureza à condição perfeita que existia antes da queda do homem. Já a escatologia apocalíptica, por outro lado, espera que Deus destrua a antiga ordem imperfeita antes de restaurar o mundo ao paraíso.</w:t>
      </w:r>
    </w:p>
    <w:p>
      <w:r/>
      <w:r>
        <w:t>Em Israel, a escatologia apocalíptica evidentemente floresceu sob domínio estrangeiro. A partir do início do século VI a.C., a escatologia profética começou a declinar e a escatologia apocalíptica tornou-se cada vez mais popular. O livro de Daniel, escrito durante o século VI a.C., é o exemplo mais antigo de literatura apocalíptica em existência. O livro profético de Malaquias, escrito em algum momento durante o século V a.C., foi o último livro profético israelita. Depois disso, a voz profética se calou em Israel até o surgimento do Cristianismo. Com exceção de Daniel, toda a literatura apocalíptica judaica sobrevivente foi escrita do século III a.C. ao início do século II d.C.</w:t>
      </w:r>
    </w:p>
    <w:p>
      <w:r/>
      <w:r>
        <w:t>Na literatura apocalíptica, o antagonismo entre Deus e Satanás foi enfatizado de forma acentuada. Todas as pessoas, nações e seres sobrenaturais (anjos, demônios) eram vistos como aliados de Deus ou de Satanás. Embora Satanás sempre tenha sido considerado o adversário de Deus e da humanidade (</w:t>
      </w:r>
      <w:hyperlink r:id="rId2181">
        <w:r>
          <w:rPr>
            <w:color w:val="0000EE"/>
            <w:u w:val="single"/>
          </w:rPr>
          <w:t>Gn 3.1–19</w:t>
        </w:r>
      </w:hyperlink>
      <w:r>
        <w:t xml:space="preserve">; </w:t>
      </w:r>
      <w:hyperlink r:id="rId2182">
        <w:r>
          <w:rPr>
            <w:color w:val="0000EE"/>
            <w:u w:val="single"/>
          </w:rPr>
          <w:t>Jó 1.6–12</w:t>
        </w:r>
      </w:hyperlink>
      <w:r>
        <w:t xml:space="preserve">; </w:t>
      </w:r>
      <w:hyperlink r:id="rId2183">
        <w:r>
          <w:rPr>
            <w:color w:val="0000EE"/>
            <w:u w:val="single"/>
          </w:rPr>
          <w:t>2.1–8</w:t>
        </w:r>
      </w:hyperlink>
      <w:r>
        <w:t>), seu poder era contido enquanto Israel permanecesse fiel à lei da aliança de Deus. Quando Israel começou a vivenciar o longo pesadelo nacional de subjugação por inimigos estrangeiros, a realidade da dominação temporária de Satanás sobre o mundo foi trazida com grande força. Embora os escritores apocalípticos lidassem com nações específicas dominando Israel durante uma ou outra época de sua história, essas nações eram vistas como servas de Satanás cuja oposição a Deus (e ao povo de Deus) inevitavelmente resultaria em sua queda.</w:t>
      </w:r>
    </w:p>
    <w:p>
      <w:r/>
      <w:r>
        <w:t>O pensamento apocalíptico era dominado pela convicção de que, não importa quão ruins as circunstâncias pudessem estar em determinado momento, Deus e seu povo triunfariam em última instância sobre seus inimigos. O determinismo apocalíptico não era uma convicção fatalista de que tudo acontecia por uma espécie de necessidade sem sentido; ao contrário, ele se apegava à esperança em um Deus soberano que faria seu povo experimentar a vitória final sobre todos os inimigos temporais e espirituais. Muitos apocalipses continham previsões da experiência histórica futura de Israel (ou da igreja cristã), culminando em uma vitória final e decisiva de Deus e seu povo. No sonho de Nabucodonosor interpretado por Daniel, por exemplo, uma série de impérios estrangeiros foi referida sob o simbolismo de várias partes de uma imagem gigantesca construída com diversos materiais; a imagem foi destruída pelo reino de Deus, simbolizado por uma pedra cortada sem mãos de uma montanha (</w:t>
      </w:r>
      <w:hyperlink r:id="rId2184">
        <w:r>
          <w:rPr>
            <w:color w:val="0000EE"/>
            <w:u w:val="single"/>
          </w:rPr>
          <w:t>Dn 2:31–45</w:t>
        </w:r>
      </w:hyperlink>
      <w:r>
        <w:t>).</w:t>
      </w:r>
    </w:p>
    <w:p>
      <w:r/>
      <w:r>
        <w:t>Uma grande diferença entre a escatologia apocalíptica e a escatologia profética era que o apocalipticismo quase sempre previa uma catástrofe cósmica antes da vitória final e decisiva de Deus. Em alguns apocalipses, como o livro de Daniel, esperava-se que Deus interviesse decisivamente no curso da história, subjugar o mal e introduzir o reino de Deus. Em outros, como o Apocalipse de João, Deus primeiro destruiria o mundo antigo antes de criar um completamente novo (</w:t>
      </w:r>
      <w:hyperlink r:id="rId2161">
        <w:r>
          <w:rPr>
            <w:color w:val="0000EE"/>
            <w:u w:val="single"/>
          </w:rPr>
          <w:t>Ap 21.1</w:t>
        </w:r>
      </w:hyperlink>
      <w:r>
        <w:t xml:space="preserve">; cf. </w:t>
      </w:r>
      <w:hyperlink r:id="rId2185">
        <w:r>
          <w:rPr>
            <w:color w:val="0000EE"/>
            <w:u w:val="single"/>
          </w:rPr>
          <w:t>2Pe 3.10</w:t>
        </w:r>
      </w:hyperlink>
      <w:r>
        <w:t>). A visão geral era que as coisas iriam piorar muito antes de melhorar. Durante a era de ouro da independência israelita (do século X ao VII a.C.), a noção de uma catástrofe futura naturalmente não era enfatizada. No entanto, após a destruição de Jerusalém em 586 a.C., os apocaliptistas pensavam que os problemas dos judeus só poderiam ser revertidos por uma intervenção decisiva e drástica de Deus nos assuntos dos homens e das nações.</w:t>
      </w:r>
    </w:p>
    <w:p>
      <w:r/>
      <w:r>
        <w:t>Uma noção apocalíptica comum baseada tanto no dualismo quanto no pessimismo era o conceito de dois “períodos.” “Este período,” que é presente e mal, era dominado por Satanás e seus lacaios, mas “o período vindouro” traria as bênçãos do reino de Deus. Uma constelação de eventos escatológicos serviria para encerrar a velha era e inaugurar a nova era. Quando Paulo falou do “deus deste mundo maligno” (</w:t>
      </w:r>
      <w:hyperlink r:id="rId2186">
        <w:r>
          <w:rPr>
            <w:color w:val="0000EE"/>
            <w:u w:val="single"/>
          </w:rPr>
          <w:t>2Cor 4.4</w:t>
        </w:r>
      </w:hyperlink>
      <w:r>
        <w:t>), ele estava na verdade se referindo à dominação de Satanás sobre “este período.”</w:t>
      </w:r>
    </w:p>
    <w:p>
      <w:r/>
      <w:r>
        <w:t>Outra característica do apocalipticismo era a sua frequente expressão de intenso desejo para que Deus encurtasse os dias maus presentes e rapidamente inaugurasse o reino de Deus. Assim como Daniel pôde perguntar: “Que tempo haverá até ao fim das maravilhas?” (</w:t>
      </w:r>
      <w:hyperlink r:id="rId2187">
        <w:r>
          <w:rPr>
            <w:color w:val="0000EE"/>
            <w:u w:val="single"/>
          </w:rPr>
          <w:t>Dn 12.6</w:t>
        </w:r>
      </w:hyperlink>
      <w:r>
        <w:t>, ARC), assim também João pôde exclamar: “Vem, Senhor Jesus!” (</w:t>
      </w:r>
      <w:hyperlink r:id="rId2171">
        <w:r>
          <w:rPr>
            <w:color w:val="0000EE"/>
            <w:u w:val="single"/>
          </w:rPr>
          <w:t>Ap 22.20</w:t>
        </w:r>
      </w:hyperlink>
      <w:r>
        <w:t>). O desejo pela intervenção rápida de Deus e pela vitória tornou possível manter a esperança em circunstâncias totalmente adversas e encorajou o povo de Deus a conduzir suas vidas de maneira digna do reino vindouro (</w:t>
      </w:r>
      <w:hyperlink r:id="rId2188">
        <w:r>
          <w:rPr>
            <w:color w:val="0000EE"/>
            <w:u w:val="single"/>
          </w:rPr>
          <w:t>2Pe 3.11–13</w:t>
        </w:r>
      </w:hyperlink>
      <w:r>
        <w:t xml:space="preserve">; </w:t>
      </w:r>
      <w:hyperlink r:id="rId2189">
        <w:r>
          <w:rPr>
            <w:color w:val="0000EE"/>
            <w:u w:val="single"/>
          </w:rPr>
          <w:t>Ap 21.5–8</w:t>
        </w:r>
      </w:hyperlink>
      <w:r>
        <w:t>).</w:t>
      </w:r>
    </w:p>
    <w:p>
      <w:r/>
      <w:r>
        <w:t>O livro de Daniel é o único apocalipse no cânon do AT das Escrituras, e o livro de Apocalipse é o único apocalipse dentro do cânon do NT. No entanto, muitos apocalipses judaicos e cristãos não canônicos sobrevivem. Os apocalipses judaicos foram escritos entre o final do terceiro século a.C. e o início do segundo século d.C.; os apocalipses cristãos existentes, do segundo ao quarto século d.C. Além disso, muitos padrões e estruturas literárias apocalípticas são encontrados fora da categoria formal de literatura apocalíptica. O discurso do Monte das Oliveiras de Jesus, por exemplo (</w:t>
      </w:r>
      <w:hyperlink r:id="rId2031">
        <w:r>
          <w:rPr>
            <w:color w:val="0000EE"/>
            <w:u w:val="single"/>
          </w:rPr>
          <w:t>Mc 13</w:t>
        </w:r>
      </w:hyperlink>
      <w:r>
        <w:t xml:space="preserve">; </w:t>
      </w:r>
      <w:hyperlink r:id="rId2190">
        <w:r>
          <w:rPr>
            <w:color w:val="0000EE"/>
            <w:u w:val="single"/>
          </w:rPr>
          <w:t>Mt 24</w:t>
        </w:r>
      </w:hyperlink>
      <w:r>
        <w:t xml:space="preserve">; </w:t>
      </w:r>
      <w:hyperlink r:id="rId2032">
        <w:r>
          <w:rPr>
            <w:color w:val="0000EE"/>
            <w:u w:val="single"/>
          </w:rPr>
          <w:t>Lc 21</w:t>
        </w:r>
      </w:hyperlink>
      <w:r>
        <w:t>), frequentemente foi chamado de pequeno apocalipse por estudiosos bíblicos. Em geral, a maioria das características enumeradas abaixo deve estar presente para que uma obra literária seja considerada "um apocalipse".</w:t>
      </w:r>
    </w:p>
    <w:p>
      <w:r/>
      <w:r>
        <w:t>Com exceção de Daniel e Apocalipse, a maioria dos apocalipses sobreviventes são pseudônimos, ou seja, foram escritos sob um nome falso. Essa característica é uma constante tão marcante que a literatura apocalíptica é comumente referida como "pseudepígrafos" ("escritos falsos"). Um apocalipse composto (1 Enoque) escrito por vários autores desconhecidos do segundo século a.C. até provavelmente o primeiro século d.C. afirmava ter sido escrito por Enoque, que foi um descendente de Adão (</w:t>
      </w:r>
      <w:hyperlink r:id="rId2191">
        <w:r>
          <w:rPr>
            <w:color w:val="0000EE"/>
            <w:u w:val="single"/>
          </w:rPr>
          <w:t>Gn 5.21–24</w:t>
        </w:r>
      </w:hyperlink>
      <w:r>
        <w:t>). Outros apocalipses judaicos foram atribuídos a personagens importantes do AT, como Adão e Eva, Moisés, Isaías, Baruque, Salomão e Esdras. Como todos foram escritos após o fechamento do cânon do AT, seus verdadeiros autores provavelmente pensaram que a identificação com algum personagem importante do AT era necessária para uma recepção favorável. Os primeiros apocalipses cristãos frequentemente traziam os nomes de figuras importantes como Pedro, Paulo e Tomé.</w:t>
      </w:r>
    </w:p>
    <w:p>
      <w:r/>
      <w:r>
        <w:rPr>
          <w:i/>
        </w:rPr>
        <w:t>Veja também</w:t>
      </w:r>
      <w:r>
        <w:t xml:space="preserve"> </w:t>
      </w:r>
      <w:r>
        <w:t>Apócrifos</w:t>
      </w:r>
      <w:r>
        <w:t xml:space="preserve"> para uma discussão sobre cada um dos livros mencionados.</w:t>
      </w:r>
      <w:r/>
      <w:r/>
    </w:p>
    <w:p>
      <w:r/>
    </w:p>
    <w:p>
      <w:pPr>
        <w:pStyle w:val="Heading2"/>
      </w:pPr>
      <w:r>
        <w:t>Apócrifos</w:t>
      </w:r>
      <w:r/>
    </w:p>
    <w:p>
      <w:r/>
      <w:r>
        <w:t>Livros excluídos do cânon das Escrituras.</w:t>
      </w:r>
    </w:p>
    <w:p>
      <w:r/>
      <w:r>
        <w:t>Resumo:</w:t>
      </w:r>
    </w:p>
    <w:p>
      <w:r/>
      <w:r>
        <w:t>• Introdução</w:t>
      </w:r>
    </w:p>
    <w:p>
      <w:r/>
      <w:r>
        <w:t>• Evangelhos apócrifos</w:t>
      </w:r>
    </w:p>
    <w:p>
      <w:r/>
      <w:r>
        <w:t>• Atos apócrifos</w:t>
      </w:r>
    </w:p>
    <w:p>
      <w:r/>
      <w:r>
        <w:t>• Epístolas apócrifas</w:t>
      </w:r>
    </w:p>
    <w:p>
      <w:r/>
      <w:r>
        <w:t>• Apócrifas apocalipticos</w:t>
      </w:r>
    </w:p>
    <w:p>
      <w:r/>
      <w:r>
        <w:t>• Títulos específicos de escritos apócrifos</w:t>
      </w:r>
    </w:p>
    <w:p>
      <w:pPr>
        <w:pStyle w:val="Heading3"/>
      </w:pPr>
      <w:r>
        <w:t>Introdução</w:t>
      </w:r>
    </w:p>
    <w:p>
      <w:r/>
      <w:r>
        <w:t>Os escritos dos Testamentos Antigo e Novo tendiam a atrair certas composições adicionais na forma de livros, partes de livros, cartas, “evangelhos”, apocalipses e assim por diante. A maioria dos autores escrevia anonimamente, mas alguns apresentavam seus escritos ao público sob o nome de uma figura familiar do AT ou membro da igreja cristã. Várias dessas composições formaram uma pequena, mas importante parte do grande corpo da literatura judaica que surgiu durante o período entre os Testamentos Antigo e Novo. Muito disso foi resultado de agitação religiosa e política, pois os judeus sentiam sua fé e sua própria existência ameaçadas, primeiro pelas influências pagãs da cultura grega helenística, depois pela opressão das forças romanas invasoras.</w:t>
      </w:r>
    </w:p>
    <w:p>
      <w:r/>
      <w:r>
        <w:t>A maioria dos livros apócrifos também são pseudepígrafos—ou seja, são livros atribuídos a um autor pseudônimo. Em outras palavras, a principal característica desses escritos é a alegação fictícia de que o autor do livro era uma pessoa bíblica (Enoque, Abraão, Moisés, Salomão, Bartolomeu, Tomé, etc.) ou que a revelação contida no livro foi originalmente dada a um personagem bíblico (Adão e Eva, Isaías). Geralmente, os pseudepígrafos mostram um forte interesse no apocalíptico: a criação do mundo, o futuro de Israel e das nações, a glória de Deus e seus anjos, o reino messiânico e a vida após a morte. Muitos dos pseudepígrafos são escritos judaicos que nunca foram aceitos pelas comunidades judaicas ou cristãs. Eles foram escritos por volta da época dos Apócrifos (c. 200 a.C.–d.C. 110), mas pela natureza do conteúdo dos pseudepígrafos, foram reconhecidos apenas por certos grupos. Como alguns desses livros se aproximavam de contrapartes nas Escrituras canônicas, não há dúvida de que em alguns círculos sua autoridade e inspiração eram consideradas semelhantes às das composições escriturísticas veneradas pelos judeus e posteriormente pelos cristãos.</w:t>
      </w:r>
    </w:p>
    <w:p>
      <w:r/>
      <w:r>
        <w:t>Outros escritos religiosos desse período não reivindicavam ser escrituras. Tais composições preservavam as tradições familiares tanto do Judaísmo quanto do Cristianismo primitivo, embora ocasionalmente as enriquecessem ou embelezassem por meio de lendas e narrativas não históricas. Como muito poucos livros de qualquer tipo estavam em circulação naquela época, os palestinos tendiam a ler qualquer material literário que chegasse às suas mãos. Embora a Torá, ou lei de Moisés, sempre tenha sido reconhecida como o padrão de ortodoxia teológica para os judeus, narrativas de resistência sob perseguição ou relatos de como os inimigos do povo de Deus receberam sua justa recompensa tinham uma atração óbvia para aqueles sob as pressões de uma sociedade pagã.</w:t>
      </w:r>
    </w:p>
    <w:p>
      <w:r/>
      <w:r>
        <w:t>Da mesma forma, embora os Evangelhos e Epístolas — junto com o AT — compusessem o cânon básico ou lista aprovada de Escrituras para os cristãos, muitas narrativas adicionais chamaram a atenção dos primeiros seguidores de Cristo. Essas composições frequentemente tratavam das supostas atividades de Jesus e seus seguidores, bem como de martírios, revelações e ensinamentos espirituais. Algumas obras continham material que não era apenas não histórico, mas completamente bizarro, enquanto outras refletiam o espírito de Cristo e os ensinamentos apostólicos até certo ponto. Para os primeiros cristãos, assim como para os judeus, o estabelecimento de um cânon formal de escritos sagrados deve ter sido motivado em parte pela necessidade de separar o registro da verdade revelada de outras formas escritas de tradição religiosa, bem como da heresia real.</w:t>
      </w:r>
    </w:p>
    <w:p>
      <w:r/>
      <w:r>
        <w:t>Escritos que não conseguiram aceitação nos cânones do AT e NT foram descritos nos escritos de alguns primeiros estudiosos cristãos pelo termo "apócrifos". A palavra grega significa "coisas ocultas", e quando aplicada a livros, descrevia aquelas obras que as autoridades religiosas desejavam ocultar do público leitor. A razão era que tais livros eram considerados como contendo conhecimento misterioso ou secreto, significativo apenas para o iniciado e, portanto, inadequado para o leitor comum. Mas a palavra "apócrifos" também foi aplicada em um sentido menos elogioso a obras que mereciam ser ocultadas. Tais obras continham doutrinas prejudiciais ou ensinamentos falsos calculados para perturbar ou perverter, em vez de edificar aqueles que as liam. A supressão de escritos indesejáveis era comparativamente fácil em uma época em que apenas algumas cópias de qualquer livro estavam em circulação em um determinado momento.</w:t>
      </w:r>
    </w:p>
    <w:p>
      <w:r/>
      <w:r>
        <w:t xml:space="preserve">No final do primeiro século d.C., uma distinção clara estava sendo feita nos círculos judaicos entre escritos adequados para uso pelo público em geral e obras esotéricas que deveriam ser restritas aos conhecedores e iniciados. Assim, em </w:t>
      </w:r>
      <w:hyperlink r:id="rId2192">
        <w:r>
          <w:rPr>
            <w:color w:val="0000EE"/>
            <w:u w:val="single"/>
          </w:rPr>
          <w:t>2 Esdras 14.1–6</w:t>
        </w:r>
      </w:hyperlink>
      <w:r>
        <w:t xml:space="preserve">, o escritor relata como Esdras foi supostamente instruído por Deus a publicar abertamente certos escritos (entre eles a Torá) e manter outros em segredo (ou seja, tradições apocalípticas que tratam do fim iminente da era). Em </w:t>
      </w:r>
      <w:hyperlink r:id="rId2193">
        <w:r>
          <w:rPr>
            <w:color w:val="0000EE"/>
            <w:u w:val="single"/>
          </w:rPr>
          <w:t>2 Esdras 14.42–46</w:t>
        </w:r>
      </w:hyperlink>
      <w:r>
        <w:t>, é feita referência a 70 livros, evidentemente material não canônico, escritos após os 24 livros do cânon hebraico.</w:t>
      </w:r>
    </w:p>
    <w:p>
      <w:r/>
      <w:r>
        <w:t>O uso do termo "apócrifos" para significar "não canônico" remonta ao quinto século d.C., quando Jerônimo insistiu que os livros encontrados na Septuaginta e nas Bíblias Latinas que não ocorriam no cânon dos escritos hebraicos do AT deveriam ser tratados como apócrifos. Eles não deveriam ser totalmente desconsiderados, já que faziam parte da grande produção contemporânea da literatura nacional judaica. Ao mesmo tempo, não deveriam ser usados como fontes para a doutrina cristã, mas, no máximo, para leitura suplementar de natureza edificante ou inspiradora.</w:t>
      </w:r>
    </w:p>
    <w:p>
      <w:r/>
      <w:r>
        <w:t>Teólogos protestantes geralmente seguiram a tradição estabelecida por Jerônimo, considerando os apócrifos do AT como o excesso do cânon da Septuaginta sobre as Escrituras Hebraicas. Quando a Bíblia Hebraica começou a ser traduzida para o grego no Egito durante o reinado de Ptolomeu II (285–246 a.C.), os estudiosos envolvidos incluíram vários livros que, embora permanecessem fora da lista geralmente aceita de escritos canônicos hebraicos, ainda tinham relevância para a história e sociedade judaica. Esse procedimento refletia atitudes contemporâneas na Palestina, onde muitas pessoas não tentavam separar escritos canônicos de outras formas de literatura religiosa. A decisão tomada pelas autoridades judaicas sobre o que considerar como Escritura canônica naturalmente influenciou o que constituiria os apócrifos do AT.</w:t>
      </w:r>
    </w:p>
    <w:p>
      <w:r/>
      <w:r>
        <w:t>Evidências textuais representadas por certos manuscritos e fragmentos das cavernas do Mar Morto tornam razoavelmente certo que os últimos escritos hebraicos canônicos foram concluídos várias décadas antes da época em que Alexandre, o Grande (356–323 a.C.) iniciou suas conquistas no Oriente Próximo. No entanto, o processo pelo qual essas composições foram aceitas como canônicas foi mais prolongado. Somente quando foram circuladas, lidas e avaliadas favoravelmente em comparação com a espiritualidade da Torá, foram-lhes atribuídas canonicidade geral. Assim, a distinção entre os escritos canônicos e apócrifos surgiu tanto pelo uso e consentimento geral por parte do judaísmo ortodoxo quanto por qualquer outro meio. Estudos anteriores sugeriram que o chamado Concílio de Jâmnia, realizado na Palestina por volta de 100 d.C., foi responsável por elaborar uma lista de livros do AT adequados para uso pelos fiéis. No entanto, estudos subsequentes lançaram considerável dúvida sobre a historicidade de tal concílio, ao mesmo tempo mostrando que as autoridades judaicas daquele período consideravam seus escritos não canônicos mais um obstáculo do que uma ajuda à devoção.</w:t>
      </w:r>
    </w:p>
    <w:p>
      <w:r/>
      <w:r>
        <w:t>Os livros que os judeus consideravam especificamente fora do cânon, e portanto apócrifos, são os seguintes: 1 Esdras; 2 Esdras; Tobias; Judite; as adições a Ester; a Sabedoria de Salomão; Eclesiástico; Baruque; a Carta de Jeremias; as adições ao livro de Daniel (a Oração de Azarias e o Cântico dos Três Jovens, Suzana, Bel e o Dragão); a Oração de Manassés; 1 Macabeus; e 2 Macabeus. Vários manuscritos da Septuaginta incluíam algum material pseudohistórico sob os títulos de 3 e 4 Macabeus. Portanto, até mesmo os Apócrifos variavam um pouco em conteúdo, dependendo da tradição manuscrita seguida. Entre os primeiros estudiosos cristãos, também havia alguma diferença de opinião sobre os limites precisos das Escrituras Hebraicas canônicas, e portanto do material apócrifo. Uma ruptura séria com a tradição hebraica e rabínica ocorreu com os escritos de Agostinho, que avançou a visão de que os livros dos Apócrifos tinham autoridade igual aos outros escritos das Escrituras Hebraicas e Cristãs canônicas. Algumas vozes dissidentes foram levantadas em apoio à posição de Jerônimo, mas as opiniões de Agostinho foram abraçadas pelo Concílio de Trento (1546) e se tornaram o ensino oficial da Igreja Católica Romana.</w:t>
      </w:r>
    </w:p>
    <w:p>
      <w:r/>
      <w:r>
        <w:t>A Igreja Católica Romana inclui as seguintes obras como parte das Escrituras Deuterocanônicas: Tobias; Judite; as adições a Ester; a Sabedoria de Salomão; Eclesiástico, ou a Sabedoria de Jesus Ben Siraque; Baruque; as adições ao livro de Daniel (a Oração de Azarias e o Cântico dos Três Jovens, Suzana, Bel e o Dragão); 1 Macabeus; e 2 Macabeus. (Artigos sobre cada uma dessas estão intercalados ao longo deste dicionário.)</w:t>
      </w:r>
    </w:p>
    <w:p>
      <w:r/>
      <w:r>
        <w:t>Os cristãos do período do NT já estavam familiarizados com obras apócrifas judaicas, incluindo as especulações apocalípticas encontradas em 2 Esdras. Portanto, não foi surpreendente que um corpo semelhante de literatura surgisse em torno de suas próprias Escrituras quando começaram a ser compostas e circuladas. Os apócrifos do NT, no entanto, como seu equivalente do AT, só poderiam ser considerados em relação a um cânon estabelecido de escritos sagrados. Como o catálogo mais antigo de escritos do NT, o cânon Muratoriano, não foi compilado até cerca de 200 d.C., um período considerável de tempo se passou antes que uma declaração oficial da igreja pudesse aparecer sobre o que seria considerado apócrifo do NT. Enquanto isso, uma grande variedade de materiais de natureza predominantemente religiosa apareceu, pretendendo ser ortodoxa em natureza e lidando com vários aspectos do cristianismo histórico. Como os eventos se desenrolaram, essa literatura apócrifa frustrou os propósitos que pretendia servir.</w:t>
      </w:r>
    </w:p>
    <w:p>
      <w:pPr>
        <w:pStyle w:val="Heading3"/>
      </w:pPr>
      <w:r>
        <w:t>Evangelhos apócrifos</w:t>
      </w:r>
    </w:p>
    <w:p>
      <w:r/>
      <w:r>
        <w:t>Uma grande classe de apócrifos são os evangelhos apócrifos. Esses escritos preservaram histórias sobre Cristo e alguns ensinamentos, mas sendo principalmente fantasiosos por natureza, nunca se tornaram canônicos. Existem três grandes classes:</w:t>
      </w:r>
    </w:p>
    <w:p>
      <w:r/>
      <w:r>
        <w:t>1. Um tipo semelhante aos Evangelhos sinóticos, representado pelo Evangelho de Pedro e o Evangelho dos Egípcios, assim como fragmentos de papiro incluindo Oxirrinco (ou, Oxyrhynchus</w:t>
      </w:r>
      <w:r>
        <w:t>)</w:t>
      </w:r>
      <w:r>
        <w:t xml:space="preserve"> 840 e o Papiro Egerton 2. Outras coleções de ditos em papiro mostram afinidades com os Evangelhos canônicos.</w:t>
      </w:r>
    </w:p>
    <w:p>
      <w:r/>
      <w:r>
        <w:t xml:space="preserve">2. Evangelhos que disseminaram o gnosticismo, uma heresia do segundo século d.C. que enfatizava o conhecimento filosófico </w:t>
      </w:r>
      <w:r>
        <w:rPr>
          <w:i/>
        </w:rPr>
        <w:t>(</w:t>
      </w:r>
      <w:r>
        <w:t>gnose</w:t>
      </w:r>
      <w:r>
        <w:rPr>
          <w:i/>
        </w:rPr>
        <w:t>)</w:t>
      </w:r>
      <w:r>
        <w:t xml:space="preserve"> do cosmos e do homem. Eles frequentemente estão na forma de diálogos entre Jesus e seus discípulos, como o Evangelho Copta de Tomé, o Apócrifo de João, a Sabedoria de Jesus Cristo e o Diálogo do Redentor. Nesta categoria também estão aqueles “evangelhos” atribuídos aos Doze como um grupo, como por exemplo o Memórias dos Apóstolos.</w:t>
      </w:r>
    </w:p>
    <w:p>
      <w:r/>
      <w:r>
        <w:t>3. Evangelhos da infância, que pretendem fornecer informações desconhecidas de natureza lendária sobre os primeiros anos de Cristo. Evangelhos da paixão também se enquadram nesta categoria. Essas narrativas foram escritas para satisfazer a curiosidade sobre o nascimento e a infância de Cristo ou para embelezar os relatos canônicos de sua crucificação e ressurreição.</w:t>
      </w:r>
    </w:p>
    <w:p>
      <w:r/>
      <w:r>
        <w:t>Devido à escassez de informações sobre assuntos como a infância, adolescência e juventude de Jesus, os evangelhos da “infância” pretendem fornecer ao leitor o que se destinava a passar por fato histórico. Muito do material, no entanto, estava inteiramente no reino da fantasia e nunca poderia ter sido aceito como fato por qualquer leitor inteligente. Por exemplo, no Evangelho de Tomé, o Jesus de cinco anos é acusado de quebrar o sábado ao fazer pardais de barro ao lado de um riacho. Quando seu pai José investiga a situação, Jesus bate palmas e os pássaros de barro ganham vida e voam cantando.</w:t>
      </w:r>
    </w:p>
    <w:p>
      <w:r/>
      <w:r>
        <w:t xml:space="preserve">Os evangelhos de “Paixão” foram escritos para embelezar os relatos canônicos da crucificação e ressurreição de Cristo. Como suplementos ao ensino cristão, muitos dos escritos apócrifos pareciam proclamar ideias que estavam, na verdade, fora do escopo da doutrina do NT. Tentativas de preencher os “anos ocultos” da vida de Cristo não tinham qualquer fundamento nas tradições dos Evangelhos. Obras que tratavam do estado final dos incrédulos foram embelezadas de uma maneira que ia muito além de qualquer coisa declarada no NT. Em alguns casos notáveis, como nos escritos de várias seitas gnósticas, os autores se propuseram deliberadamente a propagar ensinamentos heréticos que haviam aceitado sob a autoridade de alguma figura apostólica. O Evangelho de Tomé, recuperado por volta de 1945 de Nag Hammadi (da aldeia de </w:t>
      </w:r>
      <w:r>
        <w:t xml:space="preserve">Quenobósquio, ou </w:t>
      </w:r>
      <w:r>
        <w:t>Chenoboskion) perto do Rio Nilo, é um exemplo de uma tentativa de perpetuar ditos e dogmas curiosos, atribuindo-os a Jesus, para que recebessem ampla divulgação e aceitação.</w:t>
      </w:r>
    </w:p>
    <w:p>
      <w:pPr>
        <w:pStyle w:val="Heading3"/>
      </w:pPr>
      <w:r>
        <w:t>Atos apócrifos</w:t>
      </w:r>
    </w:p>
    <w:p>
      <w:r/>
      <w:r>
        <w:t>Existem também alguns atos apócrifos, que são supostamente relatos de feitos apostólicos não registrados nas Escrituras. Tais “atos” são a fonte de muitas tradições, como a de Pedro ser crucificado de cabeça para baixo e a missão de Tomé na Índia. A confiabilidade das tradições é questionável porque os escritos contêm material claramente não ortodoxo. No entanto, pequenos fragmentos de informações precisas podem estar embutidos nesta massa de literatura em grande parte fictícia.</w:t>
      </w:r>
    </w:p>
    <w:p>
      <w:r/>
      <w:r>
        <w:t>Devido ao seu caráter frequentemente herético, a igreja consistentemente reagiu contra tais livros, às vezes até exigindo que fossem queimados (por exemplo, no Concílio de Niceia de 787). Os Atos de João retratavam Jesus conversando com João no Monte das Oliveiras durante a crucificação, explicando que era apenas um espetáculo. Nos Atos de Tomé, Jesus apareceu na forma de Tomé, exortando um casal recém-casado a se dedicar à virgindade. A abstinência sexual era um tema dominante, refletindo ideias platônicas, que menosprezavam o corpo físico.</w:t>
      </w:r>
    </w:p>
    <w:p>
      <w:r/>
      <w:r>
        <w:t>Muitos estudiosos datam a obra mais antiga, os Atos de João, antes de 150 d.C. Os principais Atos (de João, Paulo, Pedro, André e Tomé) foram provavelmente escritos durante os séculos segundo e terceiro. Estes deram origem a outros “atos” que eram principalmente histórias de milagres, escritas mais para entreter do que para ensinar.</w:t>
      </w:r>
    </w:p>
    <w:p>
      <w:pPr>
        <w:pStyle w:val="Heading3"/>
      </w:pPr>
      <w:r>
        <w:t>Epístolas apócrifas</w:t>
      </w:r>
    </w:p>
    <w:p>
      <w:r/>
      <w:r>
        <w:t>Uma série de obras apócrifas são classificadas como epístolas. Essas obras geralmente pseudônimas originaram-se de muitos períodos de tempo amplamente separados. Muitas outras obras apócrifas são apocalípticas por natureza. Essas obras são complementadas por materiais como as Constituições Apostólicas e Cânones. Acrescentadas a essas estão as composições gnósticas encontradas em Nag Hammadi, que incluem obras que pretendem representar os ensinamentos de Cristo, bem como instruções “secretas” compiladas pelos escritores gnósticos e algumas composições apócrifas.</w:t>
      </w:r>
    </w:p>
    <w:p>
      <w:pPr>
        <w:pStyle w:val="Heading3"/>
      </w:pPr>
      <w:r>
        <w:t>Apócrifos apocalípticos</w:t>
      </w:r>
    </w:p>
    <w:p>
      <w:r/>
      <w:r>
        <w:t xml:space="preserve">Outro grupo poderia ser chamado de apócrifos apocalípticos. O termo “Apocalipse” significa “divulgação” ou “revelação”, um termo geralmente aplicado à literatura cristã que se assemelhava ao Apocalipse de João, que se designa como um apocalipse (revelação) em </w:t>
      </w:r>
      <w:hyperlink r:id="rId2194">
        <w:r>
          <w:rPr>
            <w:color w:val="0000EE"/>
            <w:u w:val="single"/>
          </w:rPr>
          <w:t>Apocalipse 1.1</w:t>
        </w:r>
      </w:hyperlink>
      <w:r>
        <w:t>. A prática de escrever sob o nome de uma figura ilustre do passado, ou pseudonímia, era um dispositivo característico usado pela maioria dos autores desconhecidos de apocalipses judaicos e cristãos (o Apocalipse de João é uma exceção notável). Apocalipses judaicos foram atribuídos a figuras antigas como Adão, Enoque, Abraão, Moisés, Esdras e outros. Da mesma forma, apocalipses cristãos escritos no segundo século d.C. e posteriormente foram atribuídos a figuras importantes do cristianismo primitivo, como Pedro, Tomé, Tiago e outros.</w:t>
      </w:r>
    </w:p>
    <w:p>
      <w:r/>
      <w:r>
        <w:t>Nos tempos do NT, surgiram no judaísmo certos círculos que desenvolveram uma visão apocalíptica da história. Eles forneceram escritos como as cinco partes de 1 Enoque, a Assunção de Moisés, 2 Esdras e o Apocalipse de Baruque. Esses livros são importantes para o estudo do NT, pois fornecem uma ponte entre os conceitos do reino de Deus do AT e do NT.</w:t>
      </w:r>
    </w:p>
    <w:p>
      <w:r/>
      <w:r>
        <w:t>Os apocalipses foram escritos para responder aos problemas da teodiceia (a justiça de Deus). Após os dias de Esdras, a lei assumiu um papel mais importante na vida do povo do que antes. Nos tempos proféticos, Israel repetidamente apostatou da lei e adorou deuses estrangeiros. A mensagem principal dos profetas era desafiar Israel a se reconciliar com Deus e se voltar em arrependimento para cumprir a lei. Após Esdras e ao longo dos tempos do NT, Israel foi obediente à lei como nunca antes. Os judeus abominavam a idolatria e adoravam fielmente a Deus. Ainda assim, o reino não veio. Em vez disso, veio a temível perseguição nos tempos macabeus por Antíoco IV Epifânio, o domínio mundano dos hasmoneus, Pompeu e a hegemonia romana, e em 66–70 d.C., o cerco e destruição de Jerusalém. Onde estava Deus? Por que ele não libertou seu povo fiel? Por que o reino não veio? Os apocalipses foram escritos para responder a perguntas como essas.</w:t>
      </w:r>
    </w:p>
    <w:p>
      <w:r/>
      <w:r>
        <w:t>Um dos elementos mais importantes na religião apocalíptica é um dualismo explícito, expresso como "esta era" e "a era vindoura". Os profetas contrastaram o tempo presente com o futuro quando o reino de Deus seria estabelecido. Os apocalípticos radicalizaram esse contraste. Duas vezes encontramos fragmentos desse tipo de expressões idiomáticas em 1 Enoque. Encontramos essas expressões totalmente desenvolvidas em 2 Esdras e o Apocalipse de Baruque (final do primeiro século d.C.). "O Altíssimo não fez uma era, mas duas" (</w:t>
      </w:r>
      <w:hyperlink r:id="rId2195">
        <w:r>
          <w:rPr>
            <w:color w:val="0000EE"/>
            <w:u w:val="single"/>
          </w:rPr>
          <w:t>2 Esdras 7.50</w:t>
        </w:r>
      </w:hyperlink>
      <w:r>
        <w:t>); "o dia do julgamento será o fim desta era e o começo da era imortal que está por vir" (</w:t>
      </w:r>
      <w:hyperlink r:id="rId2196">
        <w:r>
          <w:rPr>
            <w:color w:val="0000EE"/>
            <w:u w:val="single"/>
          </w:rPr>
          <w:t>2 Esdras 7.113</w:t>
        </w:r>
      </w:hyperlink>
      <w:r>
        <w:t xml:space="preserve">); "esta era o Altíssimo fez para muitos, mas a era vindoura para poucos" ( </w:t>
      </w:r>
      <w:hyperlink r:id="rId2197">
        <w:r>
          <w:rPr>
            <w:color w:val="0000EE"/>
            <w:u w:val="single"/>
          </w:rPr>
          <w:t>2 Esdras 8.1</w:t>
        </w:r>
      </w:hyperlink>
      <w:r>
        <w:t xml:space="preserve">; veja também Apocalipse de Baruque 14.13; 15.7; </w:t>
      </w:r>
      <w:r>
        <w:rPr>
          <w:i/>
        </w:rPr>
        <w:t>Pirke Aboth</w:t>
      </w:r>
      <w:r>
        <w:t xml:space="preserve"> 4.1,21–22; 6.4–7). Além disso, a transição desta era para a era vindoura só pode ser realizada por um ato cósmico de Deus. No apócrifo Assunção de Moisés não há personagem messiânico; é Deus sozinho quem vem redimir Israel. Nas Similitudes de Enoque, a transição é realizada com a vinda de um Filho do Homem celestial e preexistente. Em 2 Esdras encontramos uma fusão dos conceitos de Messias Davídico e o Filho do Homem.</w:t>
      </w:r>
    </w:p>
    <w:p>
      <w:r/>
      <w:r>
        <w:t>Apocalíptica difere da religião profética do AT em que é pessimista em relação à era presente. Seria errado descrever os apocalipses como ultimamente pessimistas, pois sua mensagem básica é que, no devido tempo, Deus intervirá e salvará seu povo. Mas, para o momento presente, enquanto esta era durar, ele se afastou de intervir nos assuntos de Israel. A era presente está sob o poder de forças angelicais e demoníacas malignas e é irremediavelmente má. Deus abandonou esta era ao mal; a salvação só pode ser esperada na era vindoura.</w:t>
      </w:r>
    </w:p>
    <w:p>
      <w:r/>
      <w:r>
        <w:t>Os apocalípticos perderam completamente a tensão entre história e escatologia. Eles não esperavam mais nenhuma libertação nesta era. Deus havia, de fato, se tornado o Deus do futuro, não do presente.</w:t>
      </w:r>
    </w:p>
    <w:p>
      <w:r/>
      <w:r>
        <w:t>Nas visões de sonhos de Enoque (1 Enoque 83–90), Deus guiou fielmente Israel ao longo de sua história. Então Deus retirou sua liderança pessoal, abandonou o templo e entregou seu povo para ser rasgado e devorado. Deus “permaneceu impassível, embora visse, e se alegrou que eles fossem devorados, engolidos e roubados, e os deixou para serem devorados na mão de todas as feras” (1 Enoque 89.58). Após o cativeiro babilônico, Deus foi concebido como inativo na história. A história foi entregue ao mal. Toda a salvação foi lançada no futuro.</w:t>
      </w:r>
    </w:p>
    <w:p>
      <w:r/>
      <w:r>
        <w:t>Estudos comparativos mostraram que os escritos apócrifos do NT preservam, no melhor dos casos, uma série de tradições degradadas sobre o fundador e os ensinamentos do cristianismo primitivo. No pior dos casos, as narrativas são totalmente desprovidas de valor histórico e, em alguns aspectos, são totalmente alheias à espiritualidade do NT. Mesmo quando parecem apoiar uma tradição corrente em alguma parte da igreja primitiva, as evidências que apresentam são inferiores ao que muitas vezes pode ser obtido de outras fontes. Às vezes, as composições são tão triviais e inconsequentes que é difícil explicar sua sobrevivência. Certos escritos apócrifos de fato se perderam e agora são conhecidos apenas na forma de citações em obras maiores.</w:t>
      </w:r>
    </w:p>
    <w:p>
      <w:r/>
      <w:r>
        <w:t>No entanto, as composições apócrifas do NT são importantes para indicar o que era atraente para as pessoas comuns da época. Para elas, um elemento romântico parecia necessário para complementar o corpo da verdade espiritual recebida. Certas histórias contadas eram vívidas e imaginativas, e outras, como os apocalipses, proporcionavam uma forma de escapismo das duras realidades temporais. Não importa qual fosse a sua natureza, os escritos apócrifos do NT exerceram uma influência desproporcional ao seu valor fundamental.</w:t>
      </w:r>
    </w:p>
    <w:p>
      <w:pPr>
        <w:pStyle w:val="Heading3"/>
      </w:pPr>
      <w:r>
        <w:t>Títulos específicos de escritos apócrifos</w:t>
      </w:r>
    </w:p>
    <w:p>
      <w:pPr>
        <w:pStyle w:val="Heading4"/>
      </w:pPr>
      <w:r>
        <w:t>Abdias, História apostólica de</w:t>
      </w:r>
    </w:p>
    <w:p>
      <w:r/>
      <w:r>
        <w:t>Coleção de material extraído de escritos canônicos e apócrifos sobre as vidas dos apóstolos, incluindo Paulo. Abdias, um bispo inicial da Babilônia, foi supostamente o autor desta história que provavelmente foi compilada a partir de uma variedade de fontes no sexto século d.C. na França. Estes "atos" apócrifos, divididos em 10 livros, originalmente circulavam em grego como volumes individuais que foram coletados em um só quando uma versão em latim foi feita. O conteúdo é geralmente considerado como folclore ou lenda, mas tem algum valor onde nenhuma outra fonte está disponível.</w:t>
      </w:r>
    </w:p>
    <w:p>
      <w:r/>
      <w:r>
        <w:t>Abdias, um contemporâneo dos apóstolos, pode ter visto Cristo e supostamente viajou extensivamente com Simão e Judas. Não há base histórica para considerar Abdias como o autor do texto hebraico, ou para acreditar que seu discípulo Eutrópio o traduziu para o grego ou que Africano traduziu o grego para o latim — embora o prefácio da versão latina faça essas afirmações.</w:t>
      </w:r>
    </w:p>
    <w:p>
      <w:pPr>
        <w:pStyle w:val="Heading4"/>
      </w:pPr>
      <w:r>
        <w:t>Abgarus, Cartas de Cristo e</w:t>
      </w:r>
    </w:p>
    <w:p>
      <w:r/>
      <w:r>
        <w:t>Apócrifo composto por duas cartas curtas, uma supostamente escrita pelo rei sírio Abgar (Abgarus), a outra supostamente uma resposta de Jesus. Eusébio afirmou ter encontrado o material nos arquivos de Abgar em Edessa e traduziu-o do sírio para o grego juntamente com um relato das façanhas do discípulo Tadeu.</w:t>
      </w:r>
    </w:p>
    <w:p>
      <w:r/>
      <w:r>
        <w:t>Segundo a lenda, Abgar, sofrendo de uma doença grave, ouve falar dos milagres de Jesus e envia um mensageiro com uma carta pedindo a Jesus que venha curá-lo. Ao mesmo tempo, oferece a Jesus um refúgio da perigosa oposição dos judeus em Jerusalém. Em uma resposta escrita (mais tarde alterada para uma oral para cumprir a tradição de que não existiam escritos de Jesus), Jesus recusa a oferta de refúgio, mas promete que após sua ascensão atenderá ao pedido de cura de Abgar enviando um discípulo a ele. Tadeu, um dos Doze, é enviado a Edessa, o rei é curado e a comunidade se converte ao cristianismo. Em uma versão ligeiramente diferente na Doctrina Addaei (cerca de 400 d.C.), é dada uma resposta oral, e o mensageiro retorna com um retrato de Jesus que é exibido proeminentemente no palácio de Abgar.</w:t>
      </w:r>
    </w:p>
    <w:p>
      <w:r/>
      <w:r>
        <w:t>A lenda é essencialmente semelhante à descrita nos Atos Gregos de Tadeu (século quinto ou sexto d.C.), exceto que neste último Ananias retorna com um lenço no qual está uma impressão milagrosa do rosto de Cristo.</w:t>
      </w:r>
    </w:p>
    <w:p>
      <w:pPr>
        <w:pStyle w:val="Heading4"/>
      </w:pPr>
      <w:r>
        <w:t>Abraão, Apocalipse de</w:t>
      </w:r>
    </w:p>
    <w:p>
      <w:r/>
      <w:r>
        <w:t>Documento judaico existente em textos eslavônicos antigos que remontam através do grego a um original hebraico ou aramaico.</w:t>
      </w:r>
    </w:p>
    <w:p>
      <w:r/>
      <w:r>
        <w:t>O Apocalipse de Abraão começa com Abraão se afastando da idolatria. Incorporando antigas tradições rabínicas da juventude de Abraão, descreve seu despertar para o chamado de Deus e sua consciência de que Deus era único e santo. Um anjo chamado Jaoel (ou, Iaoel), cujas funções e poderes são retirados do folclore rabínico, leva Abraão ao sétimo céu, onde ele vê coisas passadas e coisas que ainda estão por vir. Ele vê a tentação de Adão e Eva através do pecado sexual e o assassinato de Caim. Azazel, um ser maligno, desempenha o papel de Satanás. Esses detalhes provavelmente refletem uma tradição de que Abraão foi o autor dos primeiros documentos da Bíblia. A revelação então se volta para o futuro e mostra a destruição do templo, pragas sobre os pagãos e a vinda do Messias. É provável que o documento composto tenha tomado forma final na última geração do primeiro século d.C.</w:t>
      </w:r>
    </w:p>
    <w:p>
      <w:r/>
      <w:r>
        <w:t>Fiel ao seu caráter revelado em Gênesis, Abraão levanta a questão do mal e por que Deus tolera o rebelde Azazel. Ele recebe a resposta de que o mal tem sua origem no livre arbítrio do homem. Este Apocalipse mostra como os judeus fiéis lutaram para entender o problema do mal durante um tempo de grande sofrimento no judaísmo. Também ilustra a curiosa “doutrina dos anjos” daquele período. Tanto a edição gnóstica quanto a cristã do texto foram notadas por alguns estudiosos.</w:t>
      </w:r>
    </w:p>
    <w:p>
      <w:pPr>
        <w:pStyle w:val="Heading4"/>
      </w:pPr>
      <w:r>
        <w:t>Abraão, Testamento de</w:t>
      </w:r>
    </w:p>
    <w:p>
      <w:r/>
      <w:r>
        <w:t>Escritos apócrifos judaicos descrevendo a morte de Abraão. No testamento, quando o anjo Miguel vem para levar a alma de Abraão, Abraão se recusa a morrer. Relutante em insistir na morte do velho, Miguel atende ao seu pedido de ver toda a criação antes de morrer. O anjo transporta Abraão de carruagem para os céus para que ele possa observar a humanidade. Abraão fica tão chocado com a perfídia da humanidade que amaldiçoa os pecadores, que morrem imediatamente. Ele então observa o julgamento de uma alma, e embora os anjos participem do julgamento, ele nota que o juiz presidente é Abel. Os méritos e deméritos da alma parecem igualmente equilibrados, mas devido à intervenção de Abraão, o julgamento é favorável. Abraão então percebe a gravidade de sua maldição aos pecadores, mas o anjo informa que a morte prematura daqueles que ele havia amaldiçoado foi o meio de expiação por seus pecados.</w:t>
      </w:r>
    </w:p>
    <w:p>
      <w:r/>
      <w:r>
        <w:t>Após seu retorno à terra, Abraão novamente se recusa a morrer. A morte aparece em todo o seu horror e mata 7.000 servos de Abraão (que são posteriormente ressuscitados), mas o santo idoso ainda não morre. Finalmente, a Morte agarra a mão de Abraão e os anjos elevam seu espírito aos céus.</w:t>
      </w:r>
    </w:p>
    <w:p>
      <w:r/>
      <w:r>
        <w:t>O relato é encontrado em vários manuscritos gregos, o mais antigo talvez datando do século treze d.C., assim como em eslavo, romeno, árabe, etíope e copta. A língua original provavelmente era hebraico, do primeiro século d.C., com a obra possivelmente traduzida para o grego por um cristão. O testamento também existe em uma versão mais curta na qual Deus vem para elevar a alma de Abraão durante um sonho. Não há tentativa na obra de fazer uma declaração teológica, mas a representação do anjo Miguel e da Morte são típicas do pensamento judaico do primeiro século.</w:t>
      </w:r>
    </w:p>
    <w:p>
      <w:pPr>
        <w:pStyle w:val="Heading4"/>
      </w:pPr>
      <w:r>
        <w:t>Atos apócrifos</w:t>
      </w:r>
    </w:p>
    <w:p>
      <w:r/>
      <w:r>
        <w:t>Escritos que supostamente são relatos de feitos apostólicos não registrados nas Escrituras.</w:t>
      </w:r>
    </w:p>
    <w:p>
      <w:pPr>
        <w:pStyle w:val="Heading4"/>
      </w:pPr>
      <w:r>
        <w:t>Atos de Pilatos</w:t>
      </w:r>
    </w:p>
    <w:p>
      <w:r/>
      <w:r>
        <w:rPr>
          <w:i/>
        </w:rPr>
        <w:t>Veja</w:t>
      </w:r>
      <w:r>
        <w:t xml:space="preserve"> Pilatos, Atos de (abaixo).</w:t>
      </w:r>
    </w:p>
    <w:p>
      <w:pPr>
        <w:pStyle w:val="Heading4"/>
      </w:pPr>
      <w:r>
        <w:t>Adão, Apocalipse de</w:t>
      </w:r>
    </w:p>
    <w:p>
      <w:r/>
      <w:r>
        <w:t>Um dos melhores exemplos de literatura apocalíptica gnóstica. Em 1946, um trabalhador rural descobriu vários textos antigos em uma caverna a cerca de 10 quilômetros ao norte da cidade egípcia de Nag Hammadi. A descoberta incluiu 13 códices (precursores dos livros encadernados) de origem cristã e não cristã. A descoberta não foi imediatamente divulgada, então foi somente em 1958 que um estudioso francês, Jean Doresse, revelou ao público a existência do Apocalipse de Adão. O Apocalipse está escrito em copta e é a última das cinco obras no Códice V.</w:t>
      </w:r>
    </w:p>
    <w:p>
      <w:r/>
      <w:r>
        <w:t>Embora a verdadeira identidade do autor seja desconhecida, o subtítulo atribui espuriamente o livro a Adão ou Sete: “Um Apocalipse que Adão revelou a seu filho Sete no ano setecentos”. Sete era frequentemente colocado no papel de transmissor da verdade pelos escritores da literatura gnóstica (por exemplo, o Evangelho dos Egípcios, a Paráfrase de Sem).</w:t>
      </w:r>
    </w:p>
    <w:p>
      <w:r/>
      <w:r>
        <w:t>A cópia mais antiga existente do Apocalipse de Adão é datada de cerca de 300 a 350 d.C., embora possa ter sido escrita muito antes. Suas frequentes referências gnósticas, sua dependência da história judaica e suas alusões ao batismo levaram alguns estudiosos a postular uma origem nas seitas judaicas batistas dos primeiros e segundos séculos. Também existem paralelos entre esta obra e a literatura maniqueísta do terceiro século (uma vertente do gnosticismo).</w:t>
      </w:r>
    </w:p>
    <w:p>
      <w:r/>
      <w:r>
        <w:t>O Apocalipse de Adão é de grande importância para os estudantes das origens cristãs. Durante muitos anos, estudiosos debateram se a religião gnóstica era um desdobramento herético do cristianismo ou se era um movimento de origens independentes. Alguns estudiosos argumentaram que o Apocalipse de Adão é um exemplo de um gnosticismo inicial e independente. Se isso se provar verdadeiro, o debate certamente será simplificado.</w:t>
      </w:r>
    </w:p>
    <w:p>
      <w:r/>
      <w:r>
        <w:t>Além de sua introdução e conclusão, o Apocalipse de Adão pode ser dividido em três partes: o resumo de Adão sobre eventos passados significativos, predições de tentativas de eliminar a humanidade pelo deus criador maligno e predições sobre a vinda do Iluminador que mostrará ao seu povo o caminho para o verdadeiro Deus.</w:t>
      </w:r>
    </w:p>
    <w:p>
      <w:r/>
      <w:r>
        <w:t>O Apocalipse começa com Adão, supostamente em seu leito de morte, revelando os segredos futuros do povo gnóstico a Sete. Estes foram comunicados a ele de forma mística por três seres angelicais. Adão lamenta sua condição de escravidão perpétua ao deus criador maligno, causada pela queda e pela subsequente perda de gnose (conhecimento) da humanidade. Típico da literatura gnóstica, uma distinção clara é feita entre o deus criador maligno que governa a terra e o verdadeiro Deus do universo, cujo conhecimento traz vida autêntica. Adão prevê que o deus criador tentará destruir a humanidade por ciúmes com um dilúvio (a história de Noé) e com fogo (a história de Sodoma e Gomorra) e, assim, impedir que a humanidade conheça o verdadeiro Deus. Essas tentativas, no entanto, serão frustradas pela intervenção de seres angelicais enviados pelo Deus da verdade. Finalmente, o verdadeiro Deus enviará o Iluminador que ensinará a gnose à humanidade para que possam conhecê-lo. O deus criador tentará derrotar o Iluminador, mas só conseguirá ferir seu corpo físico. Com a mensagem do Iluminador prevalecendo, a humanidade se afastará do deus criador e buscará o verdadeiro Deus através da gnose</w:t>
      </w:r>
      <w:r>
        <w:rPr>
          <w:i/>
        </w:rPr>
        <w:t>.</w:t>
      </w:r>
    </w:p>
    <w:p>
      <w:r/>
      <w:r>
        <w:rPr>
          <w:i/>
        </w:rPr>
        <w:t>Veja também</w:t>
      </w:r>
      <w:r>
        <w:t xml:space="preserve"> </w:t>
      </w:r>
      <w:r>
        <w:t>Gnosticismo</w:t>
      </w:r>
      <w:r>
        <w:t>.</w:t>
      </w:r>
    </w:p>
    <w:p>
      <w:pPr>
        <w:pStyle w:val="Heading4"/>
      </w:pPr>
      <w:r>
        <w:t>Adão, Livros apócrifos de</w:t>
      </w:r>
    </w:p>
    <w:p>
      <w:r/>
      <w:r>
        <w:t>Relato da vida e morte de Adão e Eva registrado em latim, e em uma versão grega conhecida como o Apocalipse de Moisés. Outras versões menores de origem cristã primitiva também existem. Como outros escritos apócrifos, a obra é fantasiosa e de autoria desconhecida.</w:t>
      </w:r>
    </w:p>
    <w:p>
      <w:r/>
      <w:r>
        <w:t>De acordo com o relato latino, após sua expulsão do Paraíso, Adão e Eva estão com fome e incapazes de encontrar comida por sete dias. Em desespero, uma Eva penitente, assumindo a responsabilidade por provar o fruto proibido, sugere que Adão a mate. Ele se recusa, e após uma busca, eles sobrevivem comendo a comida dos animais. Adão sugere que, como penitência, eles devem ficar jejuando dentro do rio, com água até o pescoço por 40 dias, ele no Tigre, ela no Jordão. Após 18 dias, Satanás vem a Eva disfarçado de anjo, diz a ela que o Senhor aceitou sua penitência e a persuade a sair do rio. Indo ao Tigre, onde Adão está, Eva percebe que foi Satanás quem havia falado com ela. Satanás então explica que a razão de sua queda foi sua recusa em adorar o homem, um ser inferior.</w:t>
      </w:r>
    </w:p>
    <w:p>
      <w:r/>
      <w:r>
        <w:t>O arcanjo Miguel é então enviado a Adão com sementes para que ele aprenda a cultivar a terra. Em um sonho, Eva vê Caim matar Abel, e na tentativa de evitar o assassinato separando os irmãos, Caim é feito agricultor e Abel pastor. Subsequentemente, um terceiro filho, Sete, nasce. Adão recebe uma mensagem de Deus de que ele deve morrer porque obedeceu à palavra de sua esposa em vez das instruções de Deus. Quando Adão está mais tarde com dor e perto da morte, ele explica a Sete que Satanás havia tentado Eva a comer o fruto proibido e que ela, por sua vez, o persuadiu a prová-lo. Sete e Eva viajam até os portões do Paraíso para implorar a Deus pela vida de Adão. No caminho, Sete é atacado e mordido por uma cobra. No Paraíso, Miguel explica a eles que Adão deve morrer. Sete observa o enterro de Adão e Abel.</w:t>
      </w:r>
    </w:p>
    <w:p>
      <w:r/>
      <w:r>
        <w:t>Antes da morte de Eva na semana seguinte, ela pede a Sete que faça um registro das vidas de seus pais em tábuas de pedra e argila, para que, se o Senhor mostrar sua ira com o mundo pela água, a argila se dissolva e a pedra permaneça; se for pelo fogo, a pedra se quebrará e a argila ficará endurecida. Eva também avisa Sete para lamentar por apenas seis dias e não no sábado.</w:t>
      </w:r>
    </w:p>
    <w:p>
      <w:r/>
      <w:r>
        <w:t>O texto da versão grega é semelhante ao da latina, exceto que a versão grega inclui uma descrição da ressurreição de Adão (adicionada posteriormente à latina) e um relato detalhado por Eva de sua tentação e queda. O sepultamento de Adão e a recusa inicial da terra em aceitar o corpo do Abel assassinado também são descritos de forma elaborada na narrativa grega. Ambas as versões provavelmente derivam de originais hebraicos datados do primeiro século d.C..</w:t>
      </w:r>
    </w:p>
    <w:p>
      <w:pPr>
        <w:pStyle w:val="Heading4"/>
      </w:pPr>
      <w:r>
        <w:t>Ahiqar, Livro de</w:t>
      </w:r>
    </w:p>
    <w:p>
      <w:r/>
      <w:r>
        <w:t>Conto folclórico do Oriente Próximo do sexto ou sétimo século a.C. mostrando a recompensa da ingratidão. Segundo a história, Ahiqar, secretário de Senaqueribe, rei da Assíria, era renomado por sua sabedoria. Sem filhos, embora tivesse 60 esposas, Ahiqar adotou o filho de sua irmã, Nadan, e o criou para ser seu sucessor na corte de Senaqueribe. Ahiqar educou diligentemente seu filho adotivo, que, no entanto, se revelou mau e até forjou documentos para condenar seu benfeitor à morte. Ahiqar foi poupado graças à sua amizade com o carrasco e foi escondido até que a ira do rei esfriasse. Mais tarde, quando Senaqueribe teve a oportunidade de desejar sua sabedoria, Ahiqar foi trazido à cena, com cabelos longos, desgrenhado e com unhas como garras de águia. Mais uma vez no favor do rei, Ahiqar repreendeu severamente seu sobrinho inescrupuloso. Em resposta à repreensão de Ahiqar, o corpo de Nadan inchou e seu estômago se abriu.</w:t>
      </w:r>
    </w:p>
    <w:p>
      <w:r/>
      <w:r>
        <w:t>A história de Ahiqar tem paralelos interessantes com os livros de sabedoria do AT e também com algumas das parábolas de Jesus. Referências a Ahiqar ocorrem no livro apócrifo de Tobias, no filósofo grego Demócrito, nos apocalípticos Testamentos dos Doze Patriarcas, bem como no Alcorão. A história, originalmente em aramaico, também sobrevive em siríaco, árabe, armênio, etíope e grego, embora com variações consideráveis nas versões.</w:t>
      </w:r>
    </w:p>
    <w:p>
      <w:pPr>
        <w:pStyle w:val="Heading4"/>
      </w:pPr>
      <w:r>
        <w:t>Fragmento de Akhmim</w:t>
      </w:r>
    </w:p>
    <w:p>
      <w:r/>
      <w:r>
        <w:t xml:space="preserve">Documento encontrado em uma tumba em Akhmim no Egito e contendo o apócrifo Evangelho de Pedro. </w:t>
      </w:r>
      <w:r>
        <w:rPr>
          <w:i/>
        </w:rPr>
        <w:t>Veja</w:t>
      </w:r>
      <w:r>
        <w:t xml:space="preserve"> Pedro, Pregação de (abaixo).</w:t>
      </w:r>
    </w:p>
    <w:p>
      <w:pPr>
        <w:pStyle w:val="Heading4"/>
      </w:pPr>
      <w:r>
        <w:t>Alógenes Supremo</w:t>
      </w:r>
    </w:p>
    <w:p>
      <w:r/>
      <w:r>
        <w:t>Trabalho gnóstico (“O Estranho Altíssimo”), descoberto em 1946 em uma urna perto de Nag Hammadi (Egito). O historiador neoplatonista Porfírio, assim como escritos cristãos siríacos posteriores contra a heresia, mencionaram as obras de Alógenes (cujo nome significa “estrangeiro” ou “forasteiro”). Alógenes Supremo, um “apocalipse” gnóstico escrito em copta, contém um relato da criação do mundo superior, exaltando Barbelo, a mãe celestial. A cópia existente foi feita durante o quarto século, mas o original pode datar do segundo século.</w:t>
      </w:r>
    </w:p>
    <w:p>
      <w:pPr>
        <w:pStyle w:val="Heading4"/>
      </w:pPr>
      <w:r>
        <w:t>André, Atos de</w:t>
      </w:r>
    </w:p>
    <w:p>
      <w:r/>
      <w:r>
        <w:t>Obra apócrifa descrevendo supostos milagres e o martírio na Grécia do apóstolo André, irmão de Pedro. Seu tema é a virtude de se afastar do materialismo e dos valores transitórios do mundo para um ascetismo associado à dedicação da vida a Deus. O fragmento mais antigo disponível está no Vaticano. O original provavelmente data do segundo século d.C. e era provavelmente longo, verboso e tedioso. Sentindo que tinha mérito, Gregório de Tours no século sexto escreveu um relato conciso dos milagres de André a partir de um original, agora perdido. O relato do martírio de André provavelmente circulou separadamente.</w:t>
      </w:r>
    </w:p>
    <w:p>
      <w:r/>
      <w:r>
        <w:t>Entre os muitos milagres que Gregório registrou, havia um concernente a Exoos, um jovem nobre de Tessalônica, que, tendo ouvido sobre a pregação e milagres de André, vai até ele em Filipos, se converte e permanece com ele. Percebendo que o suborno era inútil e recusando-se a ouvir André, os pais do jovem incendeiam a casa onde os cristãos estão hospedados. Enquanto as chamas rugem, Exoos ora para que o Senhor extinga o fogo e o borrifa com água. Então as chamas se apagam. Os pais e a multidão, alegando que o jovem agora é um feiticeiro, sobem escadas para entrar na casa e matar os habitantes, mas Deus cega os intrusos. Embora seja noite, uma luz brilha da casa, a visão é restaurada àqueles que foram cegados, e todos, exceto os pais do jovem, se convertem. Os pais morrem logo depois, e Exoos permanece com André, gastando sua herança com os pobres. Retornando a Tessalônica, Exoos cura um homem que estava paralisado há 23 anos e, posteriormente, Exoos e André realizam mais milagres e pregam ao povo.</w:t>
      </w:r>
    </w:p>
    <w:p>
      <w:r/>
      <w:r>
        <w:t>Em Patras, a serva de Maximilia, esposa do procônsul Ageates, vem até André e implora que ele cure sua senhora, cuja febre é tão grave que seu marido está ao lado da cama ameaçando se matar com uma espada no momento em que ela morrer. Dizendo ao procônsul para guardar sua espada, André pega a mão de Maximilia e a febre a deixa. Pedindo comida para ela, André então recusa a oferta de Ageates de 100 peças de prata. Depois de realizar muitos milagres na cidade, André recebe uma mensagem de Maximilia para vir e curar o escravo do irmão do procônsul, Estratocles. O Apóstolo restaura a saúde do menino, e seu mestre acredita.</w:t>
      </w:r>
    </w:p>
    <w:p>
      <w:r/>
      <w:r>
        <w:t>Maximilia, para a fúria de seu marido, passa um tempo considerável ouvindo a pregação de André e também se converte. Ela então se recusa a dormir com seu marido e uma noite até substitui-se por uma serva. Detalhes dos eventos subsequentes são encontrados no relato do martírio. Ageates, com raiva, responsabiliza André pelo afastamento de sua esposa e o manda prender. Após pregar na prisão, André é levado para ser crucificado à beira-mar. Quando o cristão Estratocles vê André sendo maltratado pelos soldados, ele luta para abrir caminho, e ele e André caminham juntos até o local da crucificação. Ageates, temendo seu irmão, ordena que os soldados não interfiram. À beira-mar, os soldados seguem a ordem do procônsul de que André seja amarrado, não pregado, à cruz para que sua morte seja lenta e ele seja devorado por cães. Após dois dias, ele ainda está falando com as pessoas da cruz, e muitos vão até Ageates exigindo a libertação de André. Chegando ao local, o procônsul vê que André está realmente vivo, e Ageates se aproxima do apóstolo para libertá-lo. André exige que lhe seja permitido morrer e encontrar seu Senhor. Enquanto assistem, André morre e os espectadores choram enquanto Maximilia e Estratocles retiram seu corpo da cruz. Maximilia permanece afastada de seu marido e continua como cristã.</w:t>
      </w:r>
    </w:p>
    <w:p>
      <w:pPr>
        <w:pStyle w:val="Heading4"/>
      </w:pPr>
      <w:r>
        <w:t>André, História de</w:t>
      </w:r>
    </w:p>
    <w:p>
      <w:r/>
      <w:r>
        <w:t>Fragmento lendário existente apenas na língua copta. Na lenda vinda do final do segundo século d.C., uma mulher mata seu filho no deserto e dá os restos a um cachorro. Ela foge quando o apóstolo André e Filemom se aproximam, mas o cachorro conta o que aconteceu. André ora e a criança, sendo vomitada, é restaurada à vida e ri e chora.</w:t>
      </w:r>
    </w:p>
    <w:p>
      <w:pPr>
        <w:pStyle w:val="Heading4"/>
      </w:pPr>
      <w:r>
        <w:t>André e Matias, Atos de</w:t>
      </w:r>
    </w:p>
    <w:p>
      <w:r/>
      <w:r>
        <w:t>Documento extenso de autenticidade altamente questionável, provavelmente datando do final do segundo século d.C. Este livro foi um dos muitos “atos” apócrifos destinados a complementar o livro de Atos do NT, fornecendo mais informações sobre os apóstolos. O historiador da igreja do quarto século, Eusébio, descreveu este trabalho e outros semelhantes como heréticos, absurdos e espúrios.</w:t>
      </w:r>
    </w:p>
    <w:p>
      <w:r/>
      <w:r>
        <w:t>Nesta história, os apóstolos lançam sortes para determinar para onde cada um deve ir. Matias (Mateus em algumas versões) é enviado ao país dos antropófagos, onde logo precisa ser resgatado de um banquete canibal. O Senhor então envia André para salvá-lo. André chega a tempo de fazê-lo, e Matias é então levado por uma nuvem. Agora sozinho, André é preso e torturado, sendo arrastado pela cidade que ele quase destrói ao invocar água de uma estátua. Eventualmente, impressionadas pelos milagres de André, as pessoas se arrependem e o libertam. André então desenha um plano para uma igreja, a faz construir, batiza as pessoas e lhes dá as ordenanças do Senhor.</w:t>
      </w:r>
    </w:p>
    <w:p>
      <w:pPr>
        <w:pStyle w:val="Heading4"/>
      </w:pPr>
      <w:r>
        <w:t>André e Paulo, Atos de</w:t>
      </w:r>
    </w:p>
    <w:p>
      <w:r/>
      <w:r>
        <w:t>História apócrifa fragmentária, existente apenas em fragmentos coptas, sobre a chegada dos apóstolos André e Paulo por mar a uma cidade. Na história, Paulo, instruindo André a resgatá-lo, visita o submundo. Lá ele encontra Judas, que explica que adorou Satanás depois que Jesus o perdoou pela traição. André resgata Paulo, que retorna carregando um pedaço de madeira. Embora André seja solicitado a curar uma criança, alguns judeus são céticos e os portões da cidade permanecem fechados para os apóstolos. Paulo atinge os portões com seu pedaço de madeira, e os portões são engolidos pela terra. Surpresos com o milagre, 27.000 judeus se convertem.</w:t>
      </w:r>
    </w:p>
    <w:p>
      <w:pPr>
        <w:pStyle w:val="Heading4"/>
      </w:pPr>
      <w:r>
        <w:t>Apóstolos, Epístola dos</w:t>
      </w:r>
    </w:p>
    <w:p>
      <w:r/>
      <w:r>
        <w:t>Carta que pretende vir dos 11 apóstolos para as igrejas "do Leste e do oeste, do norte e do sul, declarando e transmitindo a vocês o que diz respeito ao nosso Senhor Jesus Cristo". Alguns acreditam que a epístola foi escrita na Ásia Menor por volta de 160 d.C.; outros pensam que se originou no Egito. Provavelmente deve ser datada perto do meio do segundo século. Existem, um manuscrito copta mutilado do quarto ou quinto século, uma versão completa em etíope e um fragmento em latim. A epístola era desconhecida até a descoberta em 1895 do manuscrito copta.</w:t>
      </w:r>
    </w:p>
    <w:p>
      <w:r/>
      <w:r>
        <w:t>Após uma introdução, há uma declaração de que “nosso Senhor e redentor Jesus Cristo é Deus, o Filho de Deus que foi enviado de Deus, o Senhor de todo o mundo”. Em seguida, há um resumo de vários incidentes dos Evangelhos, incluindo uma declaração negativa da Regra de Ouro: “Amai vossos inimigos, e o que não quereis que os homens vos façam, não façais a eles". O capítulo 24 introduz o tema da ressurreição, seguido por uma série de perguntas dos discípulos com respostas de Jesus. Uma profecia da conversão de Paulo aparece no capítulo 31. No capítulo 43, as cinco virgens prudentes são identificadas como “Fé, Amor, Graça, Paz e Esperança”; os nomes das tolas são “Conhecimento, Entendimento (Percepção), Obediência, Paciência e Compaixão". O formato de perguntas e respostas de uma parte substancial do trabalho é reminiscente do estilo de alguns dos textos encontrados na biblioteca gnóstica de Nag Hammadi, especialmente o Apócrifo de João. No entanto, advertências de que Cerinto e Simão (cap. 7) são “inimigos de nosso Senhor Jesus Cristo” deixam claro que este não é um documento gnóstico. A epístola contém inúmeras evidências de influência ortodoxa, juntamente com indicações claras de um afastamento do cristianismo apostólico.</w:t>
      </w:r>
    </w:p>
    <w:p>
      <w:pPr>
        <w:pStyle w:val="Heading4"/>
      </w:pPr>
      <w:r>
        <w:t>Apóstolos, Evangelho dos Doze</w:t>
      </w:r>
    </w:p>
    <w:p>
      <w:r/>
      <w:r>
        <w:t xml:space="preserve">Um dos muitos "evangelhos" heréticos que circulavam nos primeiros séculos da igreja cristã junto com os Evangelhos de Mateus, Marcos, Lucas e João. O Evangelho dos Doze Apóstolos foi mencionado pelo nome pela primeira vez em comentários sobre </w:t>
      </w:r>
      <w:hyperlink r:id="rId2198">
        <w:r>
          <w:rPr>
            <w:color w:val="0000EE"/>
            <w:u w:val="single"/>
          </w:rPr>
          <w:t>Lucas 1.1</w:t>
        </w:r>
      </w:hyperlink>
      <w:r>
        <w:t xml:space="preserve"> pelo teólogo cristão Orígenes (ca. 185–254 d.C.). Alguns estudiosos acham que pode ter sido o mesmo que o Evangelho dos Ebionitas, citado em alguns escritos cristãos antigos. Nada se sabe diretamente sobre o Evangelho dos Doze Apóstolos.</w:t>
      </w:r>
    </w:p>
    <w:p>
      <w:pPr>
        <w:pStyle w:val="Heading4"/>
      </w:pPr>
      <w:r>
        <w:t>Evangelho árabe da infância</w:t>
      </w:r>
    </w:p>
    <w:p>
      <w:r/>
      <w:r>
        <w:t>Um dos vários “evangelhos da infância” encontrados no Novo Testamento apócrifo. Este, datado de cerca do quinto século, contém um relato do nascimento de Jesus, incluindo as visitas dos pastores e dos magos, a fuga para o Egito e milagres realizados por Jesus quando menino. São dados detalhes do período inicial da vida de Jesus, sobre o qual os evangelhos canônicos (Mateus, Marcos, Lucas, João) nada dizem. Um aspecto interessante das histórias de milagres é o papel em muitos deles de Maria, a mãe de Jesus, em contraste com o registro dos milagres nos evangelhos canônicos. O Evangelho Árabe pode ter sido escrito em siríaco e traduzido para o árabe. Algumas de suas histórias também são encontradas no Alcorão e em outros escritos islâmicos. O estudo deste evangelho apócrifo revela seu contraste acentuado com os relatos canônicos, mas também indica quanto este e escritos semelhantes contribuíram para a crescente veneração da virgem Maria.</w:t>
      </w:r>
    </w:p>
    <w:p>
      <w:pPr>
        <w:pStyle w:val="Heading4"/>
      </w:pPr>
      <w:r>
        <w:t>História árabe de José, o carpinteiro</w:t>
      </w:r>
    </w:p>
    <w:p>
      <w:r/>
      <w:r>
        <w:t>Relato do quarto século d.C. sobre a vida e morte de José — com informações supostamente fornecidas por Jesus. De acordo com este relato, José, o carpinteiro, torna-se viúvo após ter quatro filhos e duas filhas (cap. 2). Ele é encarregado do cuidado de Maria em quando já tem 90 anos de idade (cap. 14). Assim, de acordo com este relato, os irmãos e irmãs de Jesus são filhos de José de um casamento anterior. Diz-se que José morreu aos 111 anos. O documento, que existe em versões árabe e copta, contém a declaração de que Maria “deve procurar o mesmo fim de vida que outros mortais” (cap. 18). Portanto, foi datado como anterior ao século V, quando a ideia da “assunção de Maria ao céu” estava sendo promovida.</w:t>
      </w:r>
    </w:p>
    <w:p>
      <w:pPr>
        <w:pStyle w:val="Heading4"/>
      </w:pPr>
      <w:r>
        <w:t>Aristeias, Carta de</w:t>
      </w:r>
    </w:p>
    <w:p>
      <w:r/>
      <w:r>
        <w:t>Relato inicial das relações entre o judaísmo e o helenismo no Egito durante o período em que o AT hebraico foi traduzido para o grego (a Septuaginta). O autor, Aristeias, que se identifica como um atendente da corte alexandrina sob Ptolemeu Filadelfo II (governou de 283 a 247 a.C.), pretende fornecer informações sobre os procedimentos de tradução. A data mais provável para a Carta de Aristeias (as estimativas variam de 200 a.C. a 50 d.C.) é o final do segundo século a.C.</w:t>
      </w:r>
    </w:p>
    <w:p>
      <w:r/>
      <w:r>
        <w:t>Como parte de seu grande projeto de biblioteca, o Rei Ptolomeu demonstra interesse na lei judaica. Aristeias aproveita a ocasião para solicitar a emancipação com remuneração de todos os escravos judeus no reino, e o Rei Ptolomeu atende ao pedido. O rei pede que o sumo sacerdote em Jerusalém selecione tradutores para o projeto. Segue-se uma longa descrição dos presentes enviados a Eleazar, o sumo sacerdote, com especial ênfase em uma mesa requintada. E então Aristeias descreve o templo, os sacerdotes, as vestes do sumo sacerdote e o sistema de defesa do templo, seguido por uma breve descrição da Palestina e seus arredores.</w:t>
      </w:r>
    </w:p>
    <w:p>
      <w:r/>
      <w:r>
        <w:t>Na seção seguinte, o sumo sacerdote conversa com Aristeias e os tradutores antes de sua partida para Alexandria. Um resumo de seu discurso inclui uma defesa cuidadosa da lei de um ponto de vista filosófico. O rei oferece um banquete luxuoso para os 72 tradutores (6 de cada tribo) quando eles chegam a Alexandria. Cada tradutor dá uma resposta brilhante às perguntas específicas do rei nas sete noites sucessivas de celebração. O nome de cada tradutor e sua pergunta e resposta são registrados. Então, o trabalho é concluído na ilha de Faros em 72 dias e é elogiado pelos judeus alexandrinos e pelo rei. Os tradutores são dispensados com presentes luxuosos.</w:t>
      </w:r>
    </w:p>
    <w:p>
      <w:r/>
      <w:r>
        <w:t xml:space="preserve">No epílogo, o autor afirma ter sido uma testemunha ocular dos eventos e mantém que seu relato é preciso. Isso não é acreditado por estudiosos modernos. Sua qualidade embelezada e lendária foi reconhecida no quinto século d.C. A discussão de Aristeias sobre o procedimento de tradução foi obviamente uma moldura literária conveniente para sustentar uma defesa do judaísmo para o mundo pagão. O liberalismo religioso e a lealdade às crenças judaicas básicas foram habilmente combinados para pleitear a tolerância política para os judeus. Muitos detalhes da Carta de Aristeias são questionáveis, mas sua visão básica de como a tradução da Septuaginta foi feita é crível. </w:t>
      </w:r>
      <w:r>
        <w:rPr>
          <w:i/>
        </w:rPr>
        <w:t>Veja</w:t>
      </w:r>
      <w:r>
        <w:t xml:space="preserve"> a discussão da Septuaginta em </w:t>
      </w:r>
      <w:r>
        <w:t>Bíblia, Versões da (antiga)</w:t>
      </w:r>
      <w:r>
        <w:t>.</w:t>
      </w:r>
    </w:p>
    <w:p>
      <w:pPr>
        <w:pStyle w:val="Heading4"/>
      </w:pPr>
      <w:r>
        <w:t>Evangelho armênio da infância</w:t>
      </w:r>
    </w:p>
    <w:p>
      <w:r/>
      <w:r>
        <w:t>Relato lendário da infância e juventude de Jesus Cristo, um dos muitos evangelhos apócrifos destinados a complementar os quatro Evangelhos do NT, fornecendo mais detalhes sobre a vida inicial de Jesus. Provavelmente foi traduzido para o armênio a partir de um original em siríaco. Missionários nestorianos teriam trazido um “evangelho da infância” para a Armênia por volta de 590 d.C., mas evidentemente não o Evangelho Armênio em sua forma atual.</w:t>
      </w:r>
    </w:p>
    <w:p>
      <w:r/>
      <w:r>
        <w:t>Fontes para o Evangelho Armênio incluíam dois livros contendo material lendário sobre a infância de Cristo, o Protoevangelho de Tiago e o Evangelho da Infância de Tomé. O Evangelho Armênio amplia consideravelmente o material desses dois textos, fazendo muitas adições novas à vida de Jesus. Por exemplo, José procura uma parteira e encontra Eva, que veio testemunhar o cumprimento da semente do Redentor Prometido (</w:t>
      </w:r>
      <w:hyperlink r:id="rId309">
        <w:r>
          <w:rPr>
            <w:color w:val="0000EE"/>
            <w:u w:val="single"/>
          </w:rPr>
          <w:t>Gn 3.15</w:t>
        </w:r>
      </w:hyperlink>
      <w:r>
        <w:t>). Mais tarde, os magos trazem o testamento que Adão deu a Sete. Jesus, acusado de causar a morte de uma criança, é inocentado quando a criança é ressuscitada dos mortos.</w:t>
      </w:r>
    </w:p>
    <w:p>
      <w:pPr>
        <w:pStyle w:val="Heading4"/>
      </w:pPr>
      <w:r>
        <w:t>Ascensão de Isaías</w:t>
      </w:r>
    </w:p>
    <w:p>
      <w:r/>
      <w:r>
        <w:rPr>
          <w:i/>
        </w:rPr>
        <w:t>Veja</w:t>
      </w:r>
      <w:r>
        <w:t xml:space="preserve"> Isaías, Ascensão de (abaixo).</w:t>
      </w:r>
    </w:p>
    <w:p>
      <w:pPr>
        <w:pStyle w:val="Heading4"/>
      </w:pPr>
      <w:r>
        <w:t>Ascensões de Tiago</w:t>
      </w:r>
    </w:p>
    <w:p>
      <w:r/>
      <w:r>
        <w:rPr>
          <w:i/>
        </w:rPr>
        <w:t>Veja</w:t>
      </w:r>
      <w:r>
        <w:t xml:space="preserve"> Tiago, Ascensões de (abaixo).</w:t>
      </w:r>
    </w:p>
    <w:p>
      <w:pPr>
        <w:pStyle w:val="Heading4"/>
      </w:pPr>
      <w:r>
        <w:t>Asenate, Oração de</w:t>
      </w:r>
    </w:p>
    <w:p>
      <w:r/>
      <w:r>
        <w:t>História judaica sobre a esposa de José quando ele estava no Egito (</w:t>
      </w:r>
      <w:hyperlink r:id="rId2199">
        <w:r>
          <w:rPr>
            <w:color w:val="0000EE"/>
            <w:u w:val="single"/>
          </w:rPr>
          <w:t>Gn 41.45</w:t>
        </w:r>
      </w:hyperlink>
      <w:r>
        <w:t>) e conhecida por vários títulos — A vida e confissão de Asenate, O livro de José e Asenate, e variantes destes. Aparentemente, foi muito popular na igreja cristã primitiva e medieval. Versões em latim, siríaco, eslavo, romeno e etíope, além de 40 cópias armênias, foram encontradas.</w:t>
      </w:r>
    </w:p>
    <w:p>
      <w:r/>
      <w:r>
        <w:t>Os estudiosos modernos tendem a ver a origem do romance no judaísmo helenístico prevalecente no Egito de 100 a.C. a 100 d.C. Asenate parece servir como um modelo para qualquer prosélito ao judaísmo. Se essa compreensão estiver correta, a história oferece uma visão valiosa sobre as atitudes menos legalistas de um setor do judaísmo pré-cristão. A percepção daquele que está arrependido sobre a desesperança da condição pecaminosa de alguém e a entrega às misericórdias de Deus desempenham um grande papel na história.</w:t>
      </w:r>
    </w:p>
    <w:p>
      <w:r/>
      <w:r>
        <w:t>O original provavelmente foi escrito em grego e está dividido em duas partes principais. A Parte I trata da vida mimada de Asenate antes de conhecer José, sua rejeição inicial por causa da idolatria dela, e seu consequente arrependimento em cinzas. Asenate invoca Deus em oração, e ele envia um anjo para anunciar seu perdão e dizer que seu nome agora está escrito no Livro da Vida. José retorna e se maravilha com a nova beleza de Asenate, regozijando-se com sua conversão. Com a bênção de Faraó, eles se casam no dia seguinte.</w:t>
      </w:r>
    </w:p>
    <w:p>
      <w:r/>
      <w:r>
        <w:t>A Parte II descreve o período em que o pai de José, Jacó, e sua família chegaram ao Egito. Desejando Asenate, o filho mais velho do Faraó tenta os irmãos de José, Dã e Gade, a ajudá-lo a sequestrá-la. O plano é frustrado pelos outros irmãos de José, que então desejam matar Dã e Gade, mas Asenate implora com sucesso por suas vidas. O Faraó deixa a coroa para José, que governa por 40 anos e depois devolve o reinado ao filho mais novo do Faraó.</w:t>
      </w:r>
    </w:p>
    <w:p>
      <w:pPr>
        <w:pStyle w:val="Heading4"/>
      </w:pPr>
      <w:r>
        <w:t>Aser, Testamento de</w:t>
      </w:r>
    </w:p>
    <w:p>
      <w:r/>
      <w:r>
        <w:rPr>
          <w:i/>
        </w:rPr>
        <w:t>Veja</w:t>
      </w:r>
      <w:r>
        <w:t xml:space="preserve"> Testamentos dos Doze Patriarcas (abaixo).</w:t>
      </w:r>
    </w:p>
    <w:p>
      <w:pPr>
        <w:pStyle w:val="Heading4"/>
      </w:pPr>
      <w:r>
        <w:t>Assunção de Moisés</w:t>
      </w:r>
    </w:p>
    <w:p>
      <w:r/>
      <w:r>
        <w:rPr>
          <w:i/>
        </w:rPr>
        <w:t>Veja</w:t>
      </w:r>
      <w:r>
        <w:t xml:space="preserve"> Moisés, Assunção de (abaixo).</w:t>
      </w:r>
    </w:p>
    <w:p>
      <w:pPr>
        <w:pStyle w:val="Heading4"/>
      </w:pPr>
      <w:r>
        <w:t>Barnabé, Atos de</w:t>
      </w:r>
    </w:p>
    <w:p>
      <w:r/>
      <w:r>
        <w:t>Documento de um dos vários ciclos distintos de tradição sobre Barnabé, o companheiro do Apóstolo Paulo — este ligando-o com Chipre. Esta obra, cujo título completo é "As viagens e o martírio de São Barnabé o apóstolo", foi provavelmente composta em Chipre no final do quinto século ou início do sexto século d.C.</w:t>
      </w:r>
    </w:p>
    <w:p>
      <w:r/>
      <w:r>
        <w:t xml:space="preserve">O livro alega ser um relato em primeira pessoa escrito por João Marcos. Ele afirma ter deixado os apóstolos em Perge (cf. </w:t>
      </w:r>
      <w:hyperlink r:id="rId2200">
        <w:r>
          <w:rPr>
            <w:color w:val="0000EE"/>
            <w:u w:val="single"/>
          </w:rPr>
          <w:t>Atos 13.13</w:t>
        </w:r>
      </w:hyperlink>
      <w:r>
        <w:t>) para poder navegar para o Oeste, mas foi impedido. Quando tentou se reunir com eles em Antioquia, Paulo o proibiu. Consequentemente, após alguma disputa, João Marcos e Barnabé navegaram para Chipre. Depois de pregar e curar muitas pessoas, Barnabé encontrou seu antigo adversário, Barjesus, que finalmente incitou os judeus a capturá-lo. Levando Barnabé para fora da cidade de Salamina, eles o cercaram e o queimaram vivo. João Marcos e alguns outros crentes escaparam com suas cinzas e as enterraram em uma caverna junto com as escrituras que Barnabé havia recebido de Mateus. João Marcos então partiu para Alexandria para ministrar lá.</w:t>
      </w:r>
    </w:p>
    <w:p>
      <w:pPr>
        <w:pStyle w:val="Heading4"/>
      </w:pPr>
      <w:r>
        <w:t>Barnabé, Epístola de</w:t>
      </w:r>
    </w:p>
    <w:p>
      <w:r/>
      <w:r>
        <w:t>Esta carta anônima aborda uma questão comumente feita na igreja primitiva: Qual deve ser a relação do cristianismo com o judaísmo? Clemente de Alexandria citou frequentemente este documento e atribuiu-o a “Barnabé, que também pregou com o apóstolo [Paulo].” Jerônimo acreditava o mesmo. Mas o escritor não afirma ser Barnabé, e as primeiras alegações de autoria vêm apenas de líderes da igreja alexandrina. O estilo literário e interpretativo é inteiramente alexandrino, por isso se presume que a epístola foi escrita em Alexandria.</w:t>
      </w:r>
    </w:p>
    <w:p>
      <w:r/>
      <w:r>
        <w:t>O autor desta epístola nega inequivocamente qualquer conexão entre o judaísmo e o evangelho de Jesus Cristo. Ao mesmo tempo, ele não diz que o AT se opõe ao NT; em vez disso, ele vê o cristianismo em toda parte na Lei e nos Profetas. Ele sustenta que todos os ritos e cerimônias judaicas são indicadores místicos para Cristo e que um anjo maligno cegou os judeus para que não compreendessem isso.</w:t>
      </w:r>
    </w:p>
    <w:p>
      <w:r/>
      <w:r>
        <w:t>A epístola menciona a destruição de Jerusalém, então não foi escrita antes de 70 d.C. Houve uma segunda devastação de Jerusalém em 132 d.C. que encerrou a revolta de Bar-Kochba. Essa derrota teria servido tão bem aos propósitos do autor que ele certamente teria se referido a ela se estivesse escrevendo após o evento. Muitos estudiosos sugerem que a carta foi composta por volta de 130, já que este foi um período de forte nacionalismo judaico. Esse nacionalismo teria pressionado muitos cristãos judeus a retornarem ao judaísmo, e assim o autor da Epístola de Barnabé escreveu para defender o cristianismo contra o judaísmo.</w:t>
      </w:r>
    </w:p>
    <w:p>
      <w:r/>
      <w:r>
        <w:t>A Epístola de Barnabé é composta por duas partes. A primeira seção (caps. 1–17) contém interpretações alegóricas do AT. Essas interpretações altamente espirituais e místicas têm o objetivo de se opor ao legalismo judaico e explicar como o AT profetizou sobre Jesus Cristo. O autor concede que pessoas justas, como Moisés, Davi e os profetas, entenderam o verdadeiro significado da lei mosaica, mas ele argumenta que o restante da nação de Israel interpretou erroneamente a aliança de Deus. Portanto, os judeus perderam seu direito às bênçãos da aliança, que foram transferidas para os cristãos. Esse estilo alegórico de interpretação era muito popular entre os líderes da igreja alexandrina. A epístola do NT aos Hebreus também faz uso desse tipo de interpretação. O autor da Epístola de Barnabé frequentemente cita a Septuaginta, embora as citações sejam um tanto livremente recitadas.</w:t>
      </w:r>
    </w:p>
    <w:p>
      <w:r/>
      <w:r>
        <w:t>Uma versão latina da primeira seção era tudo o que se conhecia da Epístola de Barnabé até a descoberta do Códice Sinaiticus em 1859. Este códice continha a primeira versão grega conhecida da Epístola de Barnabé, que foi anexada aos livros do NT juntamente com O Pastor e a Didaquê. A versão grega contém uma segunda seção que começa: “Agora passemos a um tipo de instrução bastante diferente”. Esta seção contém preceitos morais que contrastam o caminho das trevas com o caminho da luz, muito do qual parece ser transcrito dos “Dois Caminhos” da Didaquê. Tem pouca conexão com a primeira seção. Isso levou muitos estudiosos a concluir que a segunda seção foi adicionada por outro escritor em uma data posterior.</w:t>
      </w:r>
    </w:p>
    <w:p>
      <w:pPr>
        <w:pStyle w:val="Heading4"/>
      </w:pPr>
      <w:r>
        <w:t>Barnabé, Evangelho de</w:t>
      </w:r>
    </w:p>
    <w:p>
      <w:r/>
      <w:r>
        <w:t>Longo trabalho italiano na verdade escrito por volta do século 14 d.C. por um prosélito ao Islã. Ele provavelmente procurou capitalizar a menção misteriosa de tal evangelho no Decreto Gelasiano, escrito não mais tarde do que o sexto século d.C. Até o momento, nenhuma outra evidência de um evangelho autêntico por Barnabé foi descoberta, um fato que levou muitos estudiosos a duvidar se ele realmente existiu.</w:t>
      </w:r>
    </w:p>
    <w:p>
      <w:pPr>
        <w:pStyle w:val="Heading4"/>
      </w:pPr>
      <w:r>
        <w:t>Bartolomeu, Atos de</w:t>
      </w:r>
    </w:p>
    <w:p>
      <w:r/>
      <w:r>
        <w:t>Romance cristão primitivo que pretende descrever os últimos dias e a morte do apóstolo Bartolomeu. A obra também é conhecida como "O martírio do santo e glorioso apóstolo Bartolomeu". Pode datar do quinto ou sexto século d.C. e foi evidentemente bem recebida, pois existem cópias em latim, grego, armênio e etíope.</w:t>
      </w:r>
    </w:p>
    <w:p>
      <w:r/>
      <w:r>
        <w:t>Nos Atos, Bartolomeu vai para a Índia, reside em um templo pagão e faz com que seu falso oráculo cesse. Bartolomeu então cura um endemoniado, atraindo a atenção do rei Polímio. Bartolomeu também cura a filha do rei, possuída por demônios. Em seguida, ele expulsa o falso deus do templo. Após essa demonstração de poder, muitos acreditam no evangelho. O irmão do rei, no entanto, fica enfurecido e faz com que Bartolomeu seja espancado e decapitado. Sua ação precipitada é logo punida, pois ele é estrangulado até a morte por um demônio. O bom rei Polímio torna-se bispo e serve por 20 anos.</w:t>
      </w:r>
    </w:p>
    <w:p>
      <w:pPr>
        <w:pStyle w:val="Heading4"/>
      </w:pPr>
      <w:r>
        <w:t>Bartolomeu, Apocalipse de</w:t>
      </w:r>
    </w:p>
    <w:p>
      <w:r/>
      <w:r>
        <w:t>Textos coptas fragmentários que têm algumas semelhanças com o apócrifo Evangelho de Bartolomeu. Alguns estudiosos entenderam que duas obras estavam representadas nesses fragmentos, um evangelho e também um apocalipse. Embora essa hipótese tenha sido geralmente abandonada, referências ao discutível Apocalipse de Bartolomeu ainda aparecem.</w:t>
      </w:r>
    </w:p>
    <w:p>
      <w:r/>
      <w:r>
        <w:rPr>
          <w:i/>
        </w:rPr>
        <w:t>Veja também</w:t>
      </w:r>
      <w:r>
        <w:t xml:space="preserve"> Bartolomeu, Evangelho de (abaixo).</w:t>
      </w:r>
    </w:p>
    <w:p>
      <w:pPr>
        <w:pStyle w:val="Heading4"/>
      </w:pPr>
      <w:r>
        <w:t>Bartolomeu, Livro da ressurreição de Cristo por</w:t>
      </w:r>
    </w:p>
    <w:p>
      <w:r/>
      <w:r>
        <w:t>Obra apócrifa existente apenas em copta e provavelmente datando do quinto ou sexto século d.C. Como muitos escritos semelhantes de autenticidade duvidosa, alega complementar os relatos de Jesus encontrados nos Evangelhos bíblicos. O livro foi supostamente dirigido por Bartolomeu a seu filho, Tadeu, que foi advertido nele para não deixar este livro “cair nas mãos de qualquer homem que seja um descrente e um herege.” O livro dificilmente pode ser considerado uma narrativa; seu objetivo é obviamente a glorificação de Bartolomeu, que vê coisas que estão ocultas dos outros. O texto contém muitas lacunas; contradições abundam e um desrespeito pela história é evidente. Duas pessoas diferentes enterram o corpo de Jesus: José e Filógenes, pai de um menino curado por Jesus. Maria, a mãe de Jesus, é confundida com Maria Madalena. No relato da Santa Ceia, o autor vai muito além das declarações bíblicas sobre o pão e o vinho: “Seu Corpo estava sobre a Mesa em torno da qual estavam reunidos; e eles o dividiram. Eles viram o sangue de Jesus jorrando como sangue vivo no cálice.” Detalhes imaginativos também embelezam o relato da ressurreição. Cristo, por exemplo, traz Adão de volta com ele do Hades. A história de Tomé duvidoso foi amplamente ampliada.</w:t>
      </w:r>
    </w:p>
    <w:p>
      <w:r/>
      <w:r>
        <w:t>O texto mais completo do Livro da Ressurreição está no Museu Britânico em Londres. Existem vários outros fragmentos, provavelmente de uma versão anterior.</w:t>
      </w:r>
    </w:p>
    <w:p>
      <w:pPr>
        <w:pStyle w:val="Heading4"/>
      </w:pPr>
      <w:r>
        <w:t>Bartolomeu, Evangelho de</w:t>
      </w:r>
    </w:p>
    <w:p>
      <w:r/>
      <w:r>
        <w:t>Um dos muitos evangelhos apócrifos que surgiram após o segundo século sob o nome de alguma figura ilustre. A igreja primitiva estava ciente não apenas da existência desses escritos, mas também de seu caráter fictício. No quarto século, o historiador da igreja Eusébio os descreveu como heréticos, espúrios, absurdos e ímpios. Mais tarde, um Evangelho de Bartolomeu foi mencionado pelo nome, junto com vários outros evangelhos gnósticos, no prólogo do comentário de Jerônimo sobre o Evangelho de Mateus. No entanto, não há evidências de que Jerônimo tenha visto tal livro ou que ele realmente existisse.</w:t>
      </w:r>
    </w:p>
    <w:p>
      <w:r/>
      <w:r>
        <w:t>Uma obra chamada Questões de Bartolomeu existe em textos gregos, latinos e eslavos — o grego possivelmente datando do quinto ou sexto século. Seu texto tem Bartolomeu perguntando a Jesus para onde ele foi após a crucificação e Jesus dizendo-lhe que foi para o Hades. Mais tarde, Bartolomeu é retratado pedindo a Maria que conte como ela concebeu o incompreensível ou deu à luz aquele que não pode ser carregado. Maria o avisa que, se ela começasse a contar, fogo sairia de sua boca e consumiria todo o mundo, mas o apóstolo persiste. Enquanto ela conta a história da visitação angelical e da Anunciação, fogo sai de sua boca. O mundo está prestes a chegar ao fim, mas Jesus intervém e coloca sua mão sobre a boca de Maria. O apóstolo também pede para ver o abismo sem fundo e “as coisas que estão nos céus”. É mostrado a Bartolomeu o adversário dos homens, Beliar, contido por 660 anjos e preso com correntes de fogo. Quando Bartolomeu pisa em seu pescoço, Beliar explica que primeiro foi chamado Satanael e depois Satanás, descreve a criação dos anjos e conta como caiu e como conseguiu enganar Eva. Finalmente, diz-se que Bartolomeu perguntou a Jesus sobre o maior pecado. Jesus responde que dizer algo mau contra um fiel adorador de Deus é pecar contra o Espírito Santo.</w:t>
      </w:r>
    </w:p>
    <w:p>
      <w:pPr>
        <w:pStyle w:val="Heading4"/>
      </w:pPr>
      <w:r>
        <w:t>Baruque, Apocalipse de</w:t>
      </w:r>
    </w:p>
    <w:p>
      <w:r/>
      <w:r>
        <w:t>Dois trabalhos pseudepígrafos diferentes.</w:t>
      </w:r>
    </w:p>
    <w:p>
      <w:r/>
      <w:r>
        <w:t>1. Documento judaico pseudepigráfico de 87 capítulos, escrito em hebraico e traduzido para o grego e do grego para o siríaco. Apenas algumas linhas do original hebraico ainda existem, citadas em escritos rabínicos. O manuscrito siríaco data do sexto ou sétimo século d.C. e é o único texto completo. Mostra evidências de autoria múltipla e dependência do livro de 2 Esdras nos Apócrifos. A semelhança de muitas expressões com as do NT sugere que o original pode ter sido composto na última metade do primeiro século ou na primeira metade do segundo século.</w:t>
      </w:r>
    </w:p>
    <w:p>
      <w:r/>
      <w:r>
        <w:t>O texto está em sete seções de comprimento desigual, contendo tanto material em prosa quanto poético. Os assuntos tratados são o Messias e seu futuro reino, as desgraças passadas de Israel e a destruição de Jerusalém pelos babilônios. Questões teológicas como pecado e sofrimento, livre arbítrio, o número de pessoas a serem salvas pelo Messias e a ressurreição dos justos nem sempre são tratadas de forma consistente dentro do texto. Algumas passagens pintam um quadro otimista do futuro de Israel; outras são profundamente pessimistas. Em geral, o mundo é uma cena de corrupção para a qual não existe remédio. Um novo e espiritual mundo está próximo: “Tudo o que é agora é nada, mas aquilo que será é excepcional. Pois tudo o que é corruptível passará, e tudo o que morre partirá e todo o tempo presente, que está contaminado com males”. O otimismo e o pessimismo alternados podem refletir as mudanças de fortuna do judaísmo nos primeiros e segundos séculos d.C. ou simplesmente a perspectiva dos diferentes autores. A mensagem de esperança é dirigida àqueles que guardam a lei de Moisés: “Pois os justos justamente esperam pelo fim, e sem medo partem desta habitação, porque têm contigo um depósito de obras preservadas em tesouros”.</w:t>
      </w:r>
    </w:p>
    <w:p>
      <w:r/>
      <w:r>
        <w:t>A seção final do livro é identificada como "a epístola que Baruque, filho de Nerias, enviou às nove tribos e meia". Foi enviada "amarrada ao pescoço da águia", provavelmente significando que era destinada aos judeus dispersos fora da Palestina (a Diáspora).</w:t>
      </w:r>
    </w:p>
    <w:p>
      <w:r/>
      <w:r>
        <w:t>Baruque foi o companheiro e secretário do profeta Jeremias (</w:t>
      </w:r>
      <w:hyperlink r:id="rId2201">
        <w:r>
          <w:rPr>
            <w:color w:val="0000EE"/>
            <w:u w:val="single"/>
          </w:rPr>
          <w:t>Jr 36.4–8</w:t>
        </w:r>
      </w:hyperlink>
      <w:r>
        <w:t>). Seu nome foi associado a vários escritos apócrifos e pseudepígrafos compostos muito tempo após sua morte. O Apocalipse Siríaco de Baruque também é chamado de 2 Baruque para distingui-lo claramente do livro de Baruque (1 Baruque) nos Apócrifos.</w:t>
      </w:r>
    </w:p>
    <w:p>
      <w:r/>
      <w:r>
        <w:t>2. Documento pseudepigráfico de 17 capítulos, também chamado de Apocalipse Grego de Baruque ou 3 Baruque. Está preservado em manuscritos gregos, etíopes, armênios e eslavos. Foi publicado pela primeira vez em Veneza em 1609 e depois em 1868, embora sua existência tenha sido sugerida pelo teólogo cristão primitivo Orígenes. Como 2 Baruque, este Apocalipse parece ser um documento composto do segundo século d.C., mas, em contraste, é um documento cristão destinado a alertar os judeus não convertidos e a encorajar os cristãos a serem pacientes ao lidar com eles.</w:t>
      </w:r>
    </w:p>
    <w:p>
      <w:pPr>
        <w:pStyle w:val="Heading4"/>
      </w:pPr>
      <w:r>
        <w:t>Basílides, Evangelho de</w:t>
      </w:r>
    </w:p>
    <w:p>
      <w:r/>
      <w:r>
        <w:t>Comentário polêmico sobre os Evangelhos por um gnóstico do segundo século. Os escritos de Basílides permanecem apenas como alusões e fragmentos em obras posteriores de vários pais da igreja. Basílides ensinou em Alexandria durante o reinado do imperador romano Adriano (117–138 d.C.). Seu professor, Glaucias, afirmava ser um intérprete direto do apóstolo Pedro. Basilides afirmou que seu esquema gnóstico surgiu das visões de Pedro sobre a relação entre Deus e Cristo. Ele descreveu Deus paradoxalmente como um Ser inexistente que “gerou” três Filiações. Através de sucessivas ascensões e iluminações, o evangelho do Deus supremo (o Evangelho da Luz) eventualmente desceu sobre Jesus.</w:t>
      </w:r>
    </w:p>
    <w:p>
      <w:r/>
      <w:r>
        <w:t>Orígenes afirmou que "Basílides ousou escrever um evangelho Segundo Basílides". Clemente de Alexandria e o autor de um fragmento do quarto século, Acta Arquelai, pensaram que Orígenes se referia a um evangelho apócrifo, cujo ensino foi deduzido do relato de Irineu. Hoje, mais alinhado com a compreensão de Hipólito sobre Basílides, esta obra é considerada apenas um comentário sobre os Evangelhos. Basílides provavelmente não foi responsável pelos ritos mágicos e libertinismo dos basilidianos, uma seita gnóstica liderada por seu filho Isidoro e que continuou no Egito até o final do século.</w:t>
      </w:r>
    </w:p>
    <w:p>
      <w:pPr>
        <w:pStyle w:val="Heading4"/>
      </w:pPr>
      <w:r>
        <w:t>Benjamim, Testamento de</w:t>
      </w:r>
    </w:p>
    <w:p>
      <w:r/>
      <w:r>
        <w:rPr>
          <w:i/>
        </w:rPr>
        <w:t>Veja</w:t>
      </w:r>
      <w:r>
        <w:t xml:space="preserve"> Testamentos dos Doze Patriarcas (abaixo).</w:t>
      </w:r>
    </w:p>
    <w:p>
      <w:pPr>
        <w:pStyle w:val="Heading4"/>
      </w:pPr>
      <w:r>
        <w:t>Nascimento de Maria</w:t>
      </w:r>
    </w:p>
    <w:p>
      <w:r/>
      <w:r>
        <w:t>Um escrito gnóstico antigo. “Os gnósticos têm um livro que chamam de Nascimento (ou Descida) de Maria, no qual há coisas horríveis e mortais”. Assim disse o bispo do quarto século, Epifânio, ao descrever o Nascimento de Maria, uma obra que não sobreviveu. O Nascimento de Maria afirmava revelar o que Zacarias, pai de João Batista, viu no templo — ou seja, o deus judeu na forma de um asno. Que judeus e cristãos adoravam um deus-asno era uma crença comum entre seus críticos naqueles dias. Esta obra blasfema não deve ser confundida com o Evangelho do Nascimento de Maria, um relato fantasioso mas relativamente inofensivo do nascimento de Maria, sua vida precoce e casamento com José.</w:t>
      </w:r>
    </w:p>
    <w:p>
      <w:pPr>
        <w:pStyle w:val="Heading4"/>
      </w:pPr>
      <w:r>
        <w:t>Nascimento de Maria, Evangelho do</w:t>
      </w:r>
    </w:p>
    <w:p>
      <w:r/>
      <w:r>
        <w:t xml:space="preserve">Coleção de lendas que pretendem contar a história de Maria desde o nascimento até a matança das crianças em Belém por ordem do Rei Herodes. O manuscrito mais antigo é chamado de Livro da Natividade de Maria ou Evangelho de Tiago, pois alegava ser escrito por Tiago, meio-irmão de Jesus. Foi escrito por volta de 150 d.C., já que Justino, um escritor cristão primitivo, o mencionou em seus </w:t>
      </w:r>
      <w:r>
        <w:rPr>
          <w:i/>
        </w:rPr>
        <w:t>Diálogos</w:t>
      </w:r>
      <w:r>
        <w:t xml:space="preserve"> (165). Foi redescoberto para o ocidente por Postel, que o traduziu do grego para o latim (</w:t>
      </w:r>
      <w:r>
        <w:rPr>
          <w:i/>
        </w:rPr>
        <w:t>Protevangelium Jacobi,</w:t>
      </w:r>
      <w:r>
        <w:t xml:space="preserve"> 1552). Antes de ser perdido, duas grandes revisões latinas dele foram produzidas: Pseudo-Mateus e o Evangelho da Natividade de Maria, compilados por volta dos séculos VI e IX, respectivamente. Essas revisões ampliaram o Livro da Natividade de Maria com lendas mais fantasiosas e foram a base para as Lendas Douradas de Tiago de Voragine (1230–1298), que por sua vez se tornaram instrumentais na promoção da veneração de Maria.</w:t>
      </w:r>
    </w:p>
    <w:p>
      <w:r/>
      <w:r>
        <w:t>De acordo com o Livro da Natividade de Maria, Maria nasce de pais ricos e estéreis (Joaquim e Ana) através da resposta angelical às suas orações. Eles dedicam Maria ao Senhor. Aos seis meses, Maria dá sete passos, então Ana transforma seu quarto em um santuário, não permitindo que nada impuro entre, e promete que Maria só voltará a andar no templo. Aos três anos, Maria é colocada no templo e recebe comida de um anjo. No décimo segundo aniversário de Maria, o sumo sacerdote pergunta a Deus o que fazer e é instruído a casá-la com um viúvo. O idoso José é escolhido quando uma pomba surge de sua vara. Meses depois, Maria "dá à luz" Jesus na caverna de Belém, através de uma luz tão brilhante que ninguém pode ver; a luz gradualmente se retira e a Criança aparece no peito de Maria. O Livro da Natividade de Maria termina com os magos e a matança dos inocentes por Herodes. Maria salva Jesus envolvendo-o em faixas e colocando-o em uma manjedoura.</w:t>
      </w:r>
    </w:p>
    <w:p>
      <w:r/>
      <w:r>
        <w:t>Recentemente, outro fragmento grego, este do Evangelho de Maria, foi encontrado (veja a foto). O fragmento é pequeno demais para nos dizer muito sobre o conteúdo deste evangelho.</w:t>
      </w:r>
    </w:p>
    <w:p>
      <w:pPr>
        <w:pStyle w:val="Heading4"/>
      </w:pPr>
      <w:r>
        <w:t>Livro do Galo</w:t>
      </w:r>
    </w:p>
    <w:p>
      <w:r/>
      <w:r>
        <w:t>História apócrifa preservada pela igreja da Etiópia e ainda lida lá na quinta-feira antes da Páscoa. De acordo com o Livro do Galo, na noite da Santa Ceia, Acrosina, esposa de Simão, o Fariseu, apresenta a Jesus um galo bem preparado para o jantar. Depois que Judas sai da sala, Jesus toca o galo e ele ganha vida. Ele instrui o galo a seguir Judas e relatar suas ações. O galo retorna e conta sobre a traição iminente, mencionando Paulo de Tarso como um dos envolvidos. Os discípulos choram. Jesus envia o galo para o céu por mil anos.</w:t>
      </w:r>
    </w:p>
    <w:p>
      <w:r/>
      <w:r>
        <w:t>Uma história semelhante existe como um fragmento em copta saídico. Na versão copta, a ressurreição do galo é um símbolo da ressurreição de Cristo.</w:t>
      </w:r>
    </w:p>
    <w:p>
      <w:pPr>
        <w:pStyle w:val="Heading4"/>
      </w:pPr>
      <w:r>
        <w:t>Vidas cópticas da Virgem</w:t>
      </w:r>
    </w:p>
    <w:p>
      <w:r/>
      <w:r>
        <w:t xml:space="preserve">Trabalhos apócrifos sobre Maria, a mãe de Jesus, na língua egípcia copta. </w:t>
      </w:r>
      <w:r>
        <w:rPr>
          <w:i/>
        </w:rPr>
        <w:t>Veja</w:t>
      </w:r>
      <w:r>
        <w:t xml:space="preserve"> Virgem, Vida da (abaixo).</w:t>
      </w:r>
    </w:p>
    <w:p>
      <w:pPr>
        <w:pStyle w:val="Heading4"/>
      </w:pPr>
      <w:r>
        <w:t>Coríntios, Terceira aos</w:t>
      </w:r>
    </w:p>
    <w:p>
      <w:r/>
      <w:r>
        <w:t xml:space="preserve">Correspondência apócrifa que alega ser entre o apóstolo Paulo e a igreja de Corinto. Escrita durante o segundo século e conhecida como 3 Coríntios, a obra consiste em três partes: uma epístola supostamente de Estéfano de Corinto para Paulo sobre dois falsos apóstolos, Simão e Cleóbio; uma breve narrativa contando sua entrega; e a resposta de Paulo e refutação da falsa doutrina. A sequência de cartas fazia parte originalmente dos Atos de Paulo, um documento apócrifo mais longo, mas também circulou por conta própria — chegou até a ser incluída no texto da Bíblia Armênia. Pretende explicar a referência em </w:t>
      </w:r>
      <w:hyperlink r:id="rId2202">
        <w:r>
          <w:rPr>
            <w:color w:val="0000EE"/>
            <w:u w:val="single"/>
          </w:rPr>
          <w:t>2 Coríntios 2.4</w:t>
        </w:r>
      </w:hyperlink>
      <w:r>
        <w:t xml:space="preserve"> a uma carta escrita em grande aflição.</w:t>
      </w:r>
    </w:p>
    <w:p>
      <w:r/>
      <w:r>
        <w:t xml:space="preserve">De acordo com um pai da igreja primitiva, Tertuliano </w:t>
      </w:r>
      <w:r>
        <w:rPr>
          <w:i/>
        </w:rPr>
        <w:t>(Sobre o batismo),</w:t>
      </w:r>
      <w:r>
        <w:t xml:space="preserve"> o autor de 3 Coríntios era um presbítero (líder da igreja) da Ásia que o forjou por amor a Paulo logo após 160 d.C. A remoção desse presbítero do cargo indica a atitude severa dos primeiros cristãos em relação à escrita de documentos que falsamente reivindicavam origem apostólica.</w:t>
      </w:r>
    </w:p>
    <w:p>
      <w:pPr>
        <w:pStyle w:val="Heading4"/>
      </w:pPr>
      <w:r>
        <w:t>Dã, Testamento de</w:t>
      </w:r>
    </w:p>
    <w:p>
      <w:r/>
      <w:r>
        <w:rPr>
          <w:i/>
        </w:rPr>
        <w:t>Veja</w:t>
      </w:r>
      <w:r>
        <w:t xml:space="preserve"> Testamentos dos Doze Patriarcas (abaixo).</w:t>
      </w:r>
    </w:p>
    <w:p>
      <w:pPr>
        <w:pStyle w:val="Heading4"/>
      </w:pPr>
      <w:r>
        <w:t>Diálogo do Redentor</w:t>
      </w:r>
    </w:p>
    <w:p>
      <w:r/>
      <w:r>
        <w:t>Documento gnóstico cristão, também chamado de Diálogo do Salvador. O documento foi encontrado na antiga Biblioteca de Nag Hammadi na moderna cidade de Nag Hammadi (Alto Egito) em 1946. O Diálogo é um relato fictício de uma conversa entre Jesus e alguns de seus discípulos, na qual discutem questões sobre o universo, a humanidade, os tempos finais e a salvação. O manuscrito está em mau estado. Sua autoria e origem são desconhecidas, embora tenha sido possivelmente escrito no Egito durante o segundo ou terceiro século d.C.</w:t>
      </w:r>
    </w:p>
    <w:p>
      <w:pPr>
        <w:pStyle w:val="Heading4"/>
      </w:pPr>
      <w:r>
        <w:t>Discurso de Teodósio</w:t>
      </w:r>
    </w:p>
    <w:p>
      <w:r/>
      <w:r>
        <w:t xml:space="preserve">Versão copta boárico da Assunção da Virgem e uma fonte principal para a forma copta dessa lenda. </w:t>
      </w:r>
      <w:r>
        <w:rPr>
          <w:i/>
        </w:rPr>
        <w:t>Veja</w:t>
      </w:r>
      <w:r>
        <w:t xml:space="preserve"> Virgem, Assunção da (abaixo).</w:t>
      </w:r>
    </w:p>
    <w:p>
      <w:pPr>
        <w:pStyle w:val="Heading4"/>
      </w:pPr>
      <w:r>
        <w:t>Doutrina de Addai</w:t>
      </w:r>
    </w:p>
    <w:p>
      <w:r/>
      <w:r>
        <w:t xml:space="preserve">Forma expandida siríaca das Epístolas de Cristo e Abgarus, escrita por volta de 400 d.C. A Doctrina Addai conta uma história sobre os contatos entre Abgar (Abgarus), rei de Edessa, e Jesus Cristo. Diz-se que o rei Abgar, sofrendo de uma doença não especificada, enviou um mensageiro a Jesus com o pedido escrito do rei por cura, juntamente com uma oferta de refúgio para Jesus em seu reino. Jesus responde oralmente, prometendo enviar um de seus seguidores a Abgar após sua própria ascensão ao céu. O enviado de Abgar também leva de volta um autorretrato de Jesus que se torna o orgulho de Edessa. Mais tarde, Addai visita o reino, cura Abgar e estabelece o Cristianismo ali. </w:t>
      </w:r>
      <w:r>
        <w:rPr>
          <w:i/>
        </w:rPr>
        <w:t>Veja</w:t>
      </w:r>
      <w:r>
        <w:t xml:space="preserve"> Abgarus, Cartas de Cristo e (acima).</w:t>
      </w:r>
    </w:p>
    <w:p>
      <w:pPr>
        <w:pStyle w:val="Heading4"/>
      </w:pPr>
      <w:r>
        <w:t>Ebionitas, Evangelho dos</w:t>
      </w:r>
    </w:p>
    <w:p>
      <w:r/>
      <w:r>
        <w:t>Evangelho citado por um escritor cristão primitivo, Epifânio (século IV), em uma obra contra heresias. O Evangelho dos Ebionitas é possivelmente o mesmo que o Evangelho apócrifo dos Hebreus, embora alguns estudiosos o associem ao Evangelho dos Nazarenos. Os Ebionitas eram vegetarianos; as citações de Epifânio enfatizam as dietas vegetarianas de João Batista e Jesus.</w:t>
      </w:r>
    </w:p>
    <w:p>
      <w:pPr>
        <w:pStyle w:val="Heading4"/>
      </w:pPr>
      <w:r>
        <w:t>Egípcios, Evangelho dos</w:t>
      </w:r>
    </w:p>
    <w:p>
      <w:r/>
      <w:r>
        <w:t>Dois trabalhos apócrifos com o mesmo nome.</w:t>
      </w:r>
    </w:p>
    <w:p>
      <w:r/>
      <w:r>
        <w:t>1. Escritos apócrifos do segundo século d.C. em grego, mencionados pelos primeiros escritores da igreja, Clemente e Orígenes. Usados no Egito, a composição parece ter contido e propagado ensinamentos gnósticos, especialmente aqueles defendidos na Síria por Simão e Menandro. De acordo com esses gnósticos, o casamento, comer carne e a procriação eram males. Clemente pode ter citado este escrito para refutar as crenças dos encratitas, que concordavam amplamente com os gnósticos sírios sobre esses assuntos. A depreciação das mulheres pelos gnósticos foi refletida nas citações usadas por Clemente.</w:t>
      </w:r>
    </w:p>
    <w:p>
      <w:r/>
      <w:r>
        <w:t>2. Composição descoberta em 1946 em Chenoboskion (Egito) na coleção de escritos gnósticos de Nag Hammadi. O título principal da obra, descrito no colofão como "Evangelho dos Egípcios", era "Livro Sagrado do Grande Espírito Invisível". Este trabalho tratava das emanações do "espírito primordial do cosmos" e talvez fosse um produto da seita gnóstica Barbelo.</w:t>
      </w:r>
    </w:p>
    <w:p>
      <w:pPr>
        <w:pStyle w:val="Heading4"/>
      </w:pPr>
      <w:r>
        <w:t>Eldade e Medade, Livro de</w:t>
      </w:r>
    </w:p>
    <w:p>
      <w:r/>
      <w:r>
        <w:t>Composição pseudepigráfica pré-cristã contendo as supostas profecias de Eldade e Medade, duas pessoas nomeadas como anciãos por Moisés (</w:t>
      </w:r>
      <w:hyperlink r:id="rId2203">
        <w:r>
          <w:rPr>
            <w:color w:val="0000EE"/>
            <w:u w:val="single"/>
          </w:rPr>
          <w:t>Nm 11.26</w:t>
        </w:r>
      </w:hyperlink>
      <w:r>
        <w:t>). Como a natureza de sua profecia não foi especificada, deu origem a uma obra perdida que é citada no Pastor de Hermas da seguinte forma: “O Senhor está perto daqueles que retornam a Ele, como está escrito em Eldade e Medade que profetizaram ao povo no deserto” (Visão II, cap 3). Essa é a única fonte de informação sobre o livro perdido.</w:t>
      </w:r>
    </w:p>
    <w:p>
      <w:pPr>
        <w:pStyle w:val="Heading4"/>
      </w:pPr>
      <w:r>
        <w:t>Eugnostos, Carta de</w:t>
      </w:r>
    </w:p>
    <w:p>
      <w:r/>
      <w:r>
        <w:t>Trabalho gnóstico. Encontrada perto da moderna cidade de Nag Hammadi, a Carta de Eugnostos foi escrita em copta por um professor para seu discípulo. Tanto o autor quanto a data de composição são desconhecidos. Um exemplo inicial de escrita gnóstica não cristã, talvez tenha servido como base para uma composição gnóstica cristã, “A Sabedoria de Jesus Cristo”.</w:t>
      </w:r>
    </w:p>
    <w:p>
      <w:r/>
      <w:r>
        <w:t>A Carta de Eugnostos tenta provar a existência de um reino espiritual invisível. Também enfatiza a distância de Deus em relação à humanidade.</w:t>
      </w:r>
    </w:p>
    <w:p>
      <w:pPr>
        <w:pStyle w:val="Heading4"/>
      </w:pPr>
      <w:r>
        <w:t>Eva, Evangelho de</w:t>
      </w:r>
    </w:p>
    <w:p>
      <w:r/>
      <w:r>
        <w:t>Escritos gnósticos e apocalípticos, conhecidos apenas por uma citação de Epifânio, um metropolitano do final do século IV de Chipre. Epifânio citou o Evangelho de Eva em uma refutação mordaz dos ensinamentos gnósticos e origenistas. Evidentemente, um culto havia se formado em torno de Eva como se seu nome implicasse revelação porque a serpente havia falado com ela no Jardim do Éden. A citação de Epifânio do Evangelho de Eva traduz-se aproximadamente: “Eu estava em uma alta montanha e vi um gigante e um homem fraco, e ouvi uma voz como trovão. ‘Aproxime-se de mim e ouça’, e ele me falou dizendo, ‘Eu sou você e você é eu. Onde quer que você esteja, lá estou eu. Estou espalhado por todas as coisas, e qualquer lugar que você possa se retirar ou se abrigar em mim; e, abrigando-se em mim, você se abriga em si mesmo’”.</w:t>
      </w:r>
    </w:p>
    <w:p>
      <w:pPr>
        <w:pStyle w:val="Heading4"/>
      </w:pPr>
      <w:r>
        <w:t>Ezequiel, Apócrifo</w:t>
      </w:r>
    </w:p>
    <w:p>
      <w:r/>
      <w:r>
        <w:t>Livro não canônico de Ezequiel mencionado por Josefo, historiador judeu do primeiro século. Um Ezequiel apócrifo é citado em cinco escritos cristãos antigos e uma recente descoberta arqueológica. O bispo Epifânio (quarto século) citou uma parábola de Ezequiel, como prova da ressurreição da alma e do corpo interdependentes, sobre um homem cego e um homem coxo colaborando para roubar um pomar. Clemente de Roma, escrevendo aos Coríntios (90 d.C.?), e Clemente de Alexandria em dois de seus escritos (200 d.C.?) têm citações do Ezequiel não canônico. Um apócrifo de Ezequiel é mencionado no cânon pseudo-atanasiano (pretendendo listar livros canônicos da Bíblia) e é nomeado na esticometria (prosa escrita em frases rítmicas) de Nicéforo, Patriarca de Constantinopla (806–815 d.C.). Em 1940, Campbell Bonner publicou fragmentos de papiro grego que confirmam a existência de um Ezequiel apócrifo.</w:t>
      </w:r>
    </w:p>
    <w:p>
      <w:pPr>
        <w:pStyle w:val="Heading4"/>
      </w:pPr>
      <w:r>
        <w:t>Esdras, Quarto livro de</w:t>
      </w:r>
    </w:p>
    <w:p>
      <w:r/>
      <w:r>
        <w:t xml:space="preserve">Nome alternativo para o livro apócrifo 2 Esdras. </w:t>
      </w:r>
      <w:r>
        <w:rPr>
          <w:i/>
        </w:rPr>
        <w:t>Veja</w:t>
      </w:r>
      <w:r>
        <w:t xml:space="preserve"> </w:t>
      </w:r>
      <w:r>
        <w:t>Esdras, Segundo Livro de</w:t>
      </w:r>
      <w:r>
        <w:t>.</w:t>
      </w:r>
    </w:p>
    <w:p>
      <w:pPr>
        <w:pStyle w:val="Heading4"/>
      </w:pPr>
      <w:r>
        <w:t>Gade, Testamento de</w:t>
      </w:r>
    </w:p>
    <w:p>
      <w:r/>
      <w:r>
        <w:rPr>
          <w:i/>
        </w:rPr>
        <w:t>Veja</w:t>
      </w:r>
      <w:r>
        <w:t xml:space="preserve"> Testamentos dos Doze Patriarcas (abaixo).</w:t>
      </w:r>
    </w:p>
    <w:p>
      <w:pPr>
        <w:pStyle w:val="Heading4"/>
      </w:pPr>
      <w:r>
        <w:t>Gênesis Apócrifo</w:t>
      </w:r>
    </w:p>
    <w:p>
      <w:r/>
      <w:r>
        <w:t>Nome dado a um dos sete grandes Rolos do Mar Morto recuperados da primeira caverna de Qumran em 1947. Com outros três, ele ficou na posse do arcebispo sírio de Jerusalém, mas não pôde ser desenrolado e fotografado porque estava mal preservado, não tendo sido guardado em um jarro de barro como os outros. No entanto, alguns pequenos pedaços foram destacados, e certas palavras neles indicavam que poderia ser uma obra apócrifa aramaica relacionada com o patriarca Enoque. Outros fragmentos mencionavam Lameque, assim, o rolo foi provisoriamente nomeado por essa antiga pessoa.</w:t>
      </w:r>
    </w:p>
    <w:p>
      <w:r/>
      <w:r>
        <w:t>Eventualmente, foi desenrolado e descobriu-se que estava não apenas danificado, mas incompleto; o início e o fim estavam faltando. A parte interna foi a melhor preservada, mas danos consideráveis foram causados ao texto pela tinta com que foi escrito. O pergaminho não tratava apenas de Enoque e Lameque, mas de outras pessoas mencionadas no livro de Gênesis. Provou ser uma forma aramaica de partes de Gênesis tratando dos patriarcas, mas incluía lendas e outros materiais apresentados em estilo de memórias, não encontrados na Bíblia Hebraica. Esse estilo era popular entre os judeus piedosos no início da era cristã, assim, seu original foi datado do primeiro século a.C. A cópia de Qumran foi provavelmente feita entre 50 a.C. e 70 d.C.</w:t>
      </w:r>
    </w:p>
    <w:p>
      <w:r/>
      <w:r>
        <w:t>As características literárias do rolo apresentaram alguns problemas de classificação. A expansão livre e a inclusão de material não bíblico levaram certos estudiosos a chamar o rolo de “targum” ou comentário-expansão do texto de Gênesis. Outros o consideraram como um “midrash” ou relato sermônico da narrativa hebraica. O rolo contém ambos os elementos e é melhor considerado como um relato independente de certas histórias de Gênesis, enriquecido pela inclusão de material imaginativo, como uma descrição da beleza da esposa do patriarca Abraão, Sara; sonhos; e relatos de pragas e jornadas.</w:t>
      </w:r>
    </w:p>
    <w:p>
      <w:r/>
      <w:r>
        <w:t>O aramaico deste apócrifo antecede um pouco o usado na Palestina no tempo de Cristo. Contém alguns hebraísmos, mas é principalmente escrito em bom aramaico, muito do qual se assemelha ao aramaico bíblico. A língua do rolo, no entanto, é posterior ao período do antigo aramaico (do décimo ao oitavo séculos a.C.) ou aramaico oficial (períodos assírio e persa), como indica a presença de certas formas gramaticais. A maioria dos estudiosos descreveu a língua como aramaico médio e a colocou entre o aramaico de Daniel e o aramaico ocidental posterior. Esses estudiosos geralmente atribuem uma data do segundo século a.C. a Daniel, mas essa conclusão precisa ser modificada porque o material de Qumran mostra que nenhuma obra canônica foi composta depois de cerca de 350 a.C. Com qualquer evidência, o aramaico de Daniel é anterior ao do Apócrifo e parece se encaixar adequadamente no período em que o aramaico oficial era a forma dominante da língua. O Apócrifo de Gênesis não apresenta razões válidas para datar o aramaico de Daniel ou Esdras mais tarde do que os séculos sexto a quinto a.C.</w:t>
      </w:r>
    </w:p>
    <w:p>
      <w:pPr>
        <w:pStyle w:val="Heading4"/>
      </w:pPr>
      <w:r>
        <w:t>Evangelho de Tomé</w:t>
      </w:r>
    </w:p>
    <w:p>
      <w:r/>
      <w:r>
        <w:rPr>
          <w:i/>
        </w:rPr>
        <w:t>Veja</w:t>
      </w:r>
      <w:r>
        <w:t xml:space="preserve"> Tomé, Evangelho de (abaixo).</w:t>
      </w:r>
    </w:p>
    <w:p>
      <w:pPr>
        <w:pStyle w:val="Heading4"/>
      </w:pPr>
      <w:r>
        <w:t>Isaías, Ascensão de</w:t>
      </w:r>
    </w:p>
    <w:p>
      <w:r/>
      <w:r>
        <w:t>Obra apocalíptica pseudepígrafa amplamente conhecida pelos primeiros cristãos; também conhecida como o Martírio de Isaías, o Testamento de Ezequias e a Visão de Isaías. Foi redescoberta quando uma versão etíope de parte do texto foi publicada em 1819. A versão etíope completa é a única versão completa existente. Um texto latino parcial publicado em 1832 já havia sido publicado em Veneza mais de três séculos antes. Versões eslavas e coptas também existem. Todas podem ser rastreadas até duas versões gregas dos séculos terceiro, quinto e sexto.</w:t>
      </w:r>
    </w:p>
    <w:p>
      <w:r/>
      <w:r>
        <w:t>Não está claro se o original era uma única composição ou mesmo se a autoria era cristã ou judaica com posterior edição cristã. A forma final pode datar da última parte do segundo século. Era conhecido por Ambrósio, Jerônimo, Orígenes, Tertuliano e possivelmente por Justino Mártir. O conteúdo se divide em três partes:</w:t>
      </w:r>
    </w:p>
    <w:p>
      <w:r/>
      <w:r>
        <w:t>1. O Martírio de Isaías. Este material consiste em pronunciamentos proféticos, incluindo a previsão do profeta sobre sua própria morte nas mãos do Rei Manassés de Judá. O documento trata da sombria apostasia do rei, que, possuído por Satanás e seguindo Beliar, leva seu povo a todo tipo de pecado. Jerusalém, cuja queda é profetizada, é chamada de “Sodoma” e seus príncipes de “Gomorra”. Na forma de um midrash (sermão devocional), esta seção se concentra na firme rejeição de Isaías ao compromisso ou retratação. O martírio de Isaías ao ser “serrado ao meio” é a parte com a qual os pais da igreja parecem estar familiarizados.</w:t>
      </w:r>
    </w:p>
    <w:p>
      <w:r/>
      <w:r>
        <w:t>2. O Testamento de Ezequias. Esta seção é apocalíptica, uma visão que Isaías transmite ao seu rei. Fala sobre a descida do “Amado”, um título usado neste documento para o Messias. A visão cobre a encarnação, vida, morte, ressurreição e ascensão do Messias, depois se volta para a história inicial da igreja e a apostasia que precede a segunda vinda do Senhor. O Anticristo é revelado como Beliar ou Satanás, que assume forma humana e mata sua mãe (sem dúvida dirigido ao Imperador Romano Nero, que assassinou sua mãe, Agripina). Toda a seção é baseada em Daniel e no Apocalipse bíblico e também foi influenciada pelo gnosticismo. A conclusão da visão (a vitória do Amado, as duas ressurreições e o julgamento final) paraleliza muito de perto a consumação de todas as coisas no livro do NT de Apocalipse.</w:t>
      </w:r>
    </w:p>
    <w:p>
      <w:r/>
      <w:r>
        <w:t>3. A Visão de Isaías. Esta seção se assemelha à #2 até mesmo linguisticamente, mas mostra mais influência gnóstica: Isaías é levado à morada da Trindade, o sétimo céu, e mostrado muitos mistérios de Cristo. Por causa desta visão, Manassés mata o profeta. A doutrina gnóstica, como propagada por Cerinto no final do primeiro século, é evidente. Jesus, nascido na terra, torna-se o hospedeiro do Cristo, que deixa sua morada terrena na crucificação.</w:t>
      </w:r>
    </w:p>
    <w:p>
      <w:r/>
      <w:r>
        <w:t>Historicamente, o valor da Ascensão de Isaías é mostrar a confusão de opiniões conflitantes que, reivindicando autoridade e inspiração, cercavam as mentes dos primeiros cristãos.</w:t>
      </w:r>
    </w:p>
    <w:p>
      <w:pPr>
        <w:pStyle w:val="Heading4"/>
      </w:pPr>
      <w:r>
        <w:t>Isaías, Martírio de</w:t>
      </w:r>
    </w:p>
    <w:p>
      <w:r/>
      <w:r>
        <w:rPr>
          <w:i/>
        </w:rPr>
        <w:t>Veja</w:t>
      </w:r>
      <w:r>
        <w:t xml:space="preserve"> Isaías, Ascensão de (acima).</w:t>
      </w:r>
    </w:p>
    <w:p>
      <w:pPr>
        <w:pStyle w:val="Heading4"/>
      </w:pPr>
      <w:r>
        <w:t>Issacar, Testamento de</w:t>
      </w:r>
    </w:p>
    <w:p>
      <w:r/>
      <w:r>
        <w:rPr>
          <w:i/>
        </w:rPr>
        <w:t>Veja</w:t>
      </w:r>
      <w:r>
        <w:t xml:space="preserve"> Testamentos dos Doze Patriarcas (abaixo).</w:t>
      </w:r>
    </w:p>
    <w:p>
      <w:pPr>
        <w:pStyle w:val="Heading4"/>
      </w:pPr>
      <w:r>
        <w:t>Tiago, Apocalipse de</w:t>
      </w:r>
    </w:p>
    <w:p>
      <w:r/>
      <w:r>
        <w:t>Havia dois apocalipses gnósticos de Tiago (designados "primeiro" e "segundo"). O primeiro, cobrindo mais de 20 páginas de texto, pretende ser uma revelação dada pelo Senhor, parte dela antes da crucificação e parte depois, a Tiago, seu irmão, que também era conhecido como Tiago o Justo. Os dois documentos referidos como o Apocalipse de Tiago estão no Códice V da literatura de Nag Hammadi descoberta em 1945 no Egito, a oeste do Rio Nilo, em frente à cidade de Chenoboskion, e são distintos do Apócrifo de Tiago, que está incluído nos escritos apócrifos do NT. O segundo apocalipse, composto por 20 páginas de texto copta, é supostamente um discurso proferido por Tiago o Justo no quinto degrau do templo e contém muitas referências ou ecos das Escrituras canônicas. A obra termina com a multidão lançando Tiago do templo e apedrejando-o de maneira reminiscentes do martírio de Estevão.</w:t>
      </w:r>
    </w:p>
    <w:p>
      <w:pPr>
        <w:pStyle w:val="Heading4"/>
      </w:pPr>
      <w:r>
        <w:t>Tiago, Ascensões de</w:t>
      </w:r>
    </w:p>
    <w:p>
      <w:r/>
      <w:r>
        <w:t xml:space="preserve">Livro perdido mencionado apenas por Epifânio (bispo da ilha grega de Salamina) em sua obra do quarto século </w:t>
      </w:r>
      <w:r>
        <w:rPr>
          <w:i/>
        </w:rPr>
        <w:t>Refutação de Todas as Heresias.</w:t>
      </w:r>
      <w:r>
        <w:t xml:space="preserve"> Segundo Epifânio, as Ascensões de Tiago eram usadas pelos ebionitas, uma seita ascética rígida de cristãos judeus. O livro representava Tiago, irmão de Jesus, como tendo falado contra o templo e os sacrifícios. Declarava que o apóstolo Paulo era um grego que foi a Jerusalém, procurou casar-se com a filha do sumo sacerdote e, para esse fim, tornou-se prosélito e foi circuncidado. Quando não conquistou a jovem, ele se insurgiu contra o sábado, a Lei e a circuncisão.</w:t>
      </w:r>
    </w:p>
    <w:p>
      <w:r/>
      <w:r>
        <w:t xml:space="preserve">Em um comentário sobre Gálatas (1865), J. B. Lightfoot sugeriu que o título do livro se referia às ascenções de Tiago pelos degraus do templo, de onde ele se dirigia ao povo. Lightfoot também sugeriu que a morte de Tiago foi o grande clímax das Ascenções. De acordo com uma citação do escritor cristão primitivo Hegésipo (conforme registrado na </w:t>
      </w:r>
      <w:r>
        <w:rPr>
          <w:i/>
        </w:rPr>
        <w:t>História Eclesiástica</w:t>
      </w:r>
      <w:r>
        <w:t xml:space="preserve"> de Eusébio), Tiago foi lançado à morte do pináculo do templo.</w:t>
      </w:r>
    </w:p>
    <w:p>
      <w:pPr>
        <w:pStyle w:val="Heading4"/>
      </w:pPr>
      <w:r>
        <w:t>Tiago, Protoevangelho de</w:t>
      </w:r>
    </w:p>
    <w:p>
      <w:r/>
      <w:r>
        <w:t>Este é um "evangelho" apócrifo que conta sobre o casamento simbólico e a gravidez de Maria e sobre o nascimento, infância e adolescência de Jesus. Este escrito apócrifo foi descoberto no século 16 por Guillaume Postel.</w:t>
      </w:r>
    </w:p>
    <w:p>
      <w:pPr>
        <w:pStyle w:val="Heading4"/>
      </w:pPr>
      <w:r>
        <w:t>Jó, Testamento de</w:t>
      </w:r>
    </w:p>
    <w:p>
      <w:r/>
      <w:r>
        <w:t>Literatura apocalíptica que se assemelha ao livro bíblico de Jó. O livro provavelmente foi escrito em grego no segundo século d.C. Como está desprovido de pensamento cristão, provavelmente foi escrito por um judeu.</w:t>
      </w:r>
    </w:p>
    <w:p>
      <w:r/>
      <w:r>
        <w:t>Nos capítulos 1–45, Jó é o orador. Ele entende que um templo próximo foi profanado por terem sido oferecidos nele sacrifícios a Satanás. Quando Jó o destrói, Satanás o ameaça. Os amigos de Jó vêm consolá-lo, mas seus discursos são bastante abreviados. Eliú é representado como o porta-voz de Satanás e ganha o desagrado de Deus. Mas Jó sacrifica por todos os três amigos. Ele se casa novamente e tem sete filhos e três filhas, que herdam sua riqueza. Os capítulos 46–51, nos quais o irmão de Jó é o orador, concluem a narrativa.</w:t>
      </w:r>
    </w:p>
    <w:p>
      <w:pPr>
        <w:pStyle w:val="Heading4"/>
      </w:pPr>
      <w:r>
        <w:t>João Batista, Vida de</w:t>
      </w:r>
    </w:p>
    <w:p>
      <w:r/>
      <w:r>
        <w:t>Um relato lendário supostamente escrito por Serapião tratando da vida inicial de João Batista e especialmente da morte de sua mãe, Isabel. Enquanto Jesus estava vivendo com seus pais no Egito, Isabel morre no mesmo dia em que Herodes, o Grande, morre. João, que é apenas um menino pequeno, não sabe como enterrá-la. As nuvens trazem Jesus, Maria e Salomé, que lavam o corpo. A sepultura é cavada por Miguel e Gabriel, que também trazem as almas de Zacarias e Simeão. João é então deixado para crescer no deserto sob os cuidados dos anjos, enquanto as nuvens levam Jesus e Maria para Nazaré, onde vivem.</w:t>
      </w:r>
    </w:p>
    <w:p>
      <w:pPr>
        <w:pStyle w:val="Heading4"/>
      </w:pPr>
      <w:r>
        <w:t>João, o Evangelista, Livro de</w:t>
      </w:r>
    </w:p>
    <w:p>
      <w:r/>
      <w:r>
        <w:t>Este escrito foi usado mais extensivamente pelos albigenses e era comumente considerado como originário dos bogomilos antes deles. Foi escrito na forma de perguntas e respostas supostamente vindas do apóstolo João enquanto ele se reclinava sobre o peito de Jesus na Santa Ceia. Este padrão de perguntas e respostas é encontrado em outros escritos gnósticos antigos, especialmente no Evangelho de Bartolomeu.</w:t>
      </w:r>
    </w:p>
    <w:p>
      <w:r/>
      <w:r>
        <w:t>A escrita contém teologia gnóstica. Ela retrata um mundo criado por Satanás e não por Deus. Cristo não nasceu de Maria, mas foi um anjo enviado à terra. Ele “entrou pelo ouvido e saiu pelo ouvido” de Maria. João Batista foi enviado por Satanás, e seus discípulos (a Igreja Católica Romana) não são os discípulos de Cristo. O batismo e aparentemente a Ceia do Senhor não têm valor.</w:t>
      </w:r>
    </w:p>
    <w:p>
      <w:r/>
      <w:r>
        <w:t xml:space="preserve">A escrita é preservada apenas em latim e, em sua forma atual, não é anterior ao século 12. Uma boa tradução para o inglês pode ser encontrada em M. R. James, </w:t>
      </w:r>
      <w:r>
        <w:rPr>
          <w:i/>
        </w:rPr>
        <w:t>The Apocryphal NT</w:t>
      </w:r>
      <w:r>
        <w:t xml:space="preserve"> (1924).</w:t>
      </w:r>
    </w:p>
    <w:p>
      <w:pPr>
        <w:pStyle w:val="Heading4"/>
      </w:pPr>
      <w:r>
        <w:t>José, Oração de</w:t>
      </w:r>
    </w:p>
    <w:p>
      <w:r/>
      <w:r>
        <w:t>Obra apocalíptica judaica. A Oração de José recebeu o elogio de Orígenes, um estudioso da igreja primitiva, como um documento “a não ser desprezado”. As citações de Orígenes fornecem quase a única informação sobrevivente sobre a obra, de modo que seu conteúdo total e significado são obscuros. Uma lista antiga de escritos apócrifos e canônicos do AT coloca a Oração de José em terceiro lugar e menciona seu comprimento como 1.100 versos. As citações de Orígenes dizem respeito principalmente ao pai de José, Jacó. Jacó existe na forma de um anjo, carregando o nome dado a Jacó, Israel. Ele é o orador nos fragmentos citados e prediz o destino da humanidade. Ele descreve como encontrou Uriel em uma jornada para a Mesopotâmia e como Uriel lutou com ele, alegando ser o maior dos anjos. O poeta apocalíptico tinha em mente a história da misteriosa luta de Jacó em Jaboque (</w:t>
      </w:r>
      <w:hyperlink r:id="rId2204">
        <w:r>
          <w:rPr>
            <w:color w:val="0000EE"/>
            <w:u w:val="single"/>
          </w:rPr>
          <w:t>Gn 32.22–29</w:t>
        </w:r>
      </w:hyperlink>
      <w:r>
        <w:t xml:space="preserve">) e passagens como </w:t>
      </w:r>
      <w:hyperlink r:id="rId1909">
        <w:r>
          <w:rPr>
            <w:color w:val="0000EE"/>
            <w:u w:val="single"/>
          </w:rPr>
          <w:t>Daniel 10.13</w:t>
        </w:r>
      </w:hyperlink>
      <w:r>
        <w:t>. Como Jacó afirma ser “o primogênito de todos os seres vivos” e, portanto, o chefe de todos os anjos, Uriel o desafia.</w:t>
      </w:r>
    </w:p>
    <w:p>
      <w:pPr>
        <w:pStyle w:val="Heading4"/>
      </w:pPr>
      <w:r>
        <w:t>José, Testamento de</w:t>
      </w:r>
    </w:p>
    <w:p>
      <w:r/>
      <w:r>
        <w:rPr>
          <w:i/>
        </w:rPr>
        <w:t>Veja</w:t>
      </w:r>
      <w:r>
        <w:t xml:space="preserve"> Testamentos dos Doze Patriarcas (abaixo).</w:t>
      </w:r>
    </w:p>
    <w:p>
      <w:pPr>
        <w:pStyle w:val="Heading4"/>
      </w:pPr>
      <w:r>
        <w:t>José o Carpinteiro, História de</w:t>
      </w:r>
    </w:p>
    <w:p>
      <w:r/>
      <w:r>
        <w:t>Documento glorificando o pai terreno de Jesus e promovendo um culto a José. Palavras no capítulo 18 da História de José apoiam uma data do quarto século paara ele. Lá Jesus diz à sua mãe: "Você também deve buscar o mesmo fim de vida que outros mortais". No século V, a doutrina da "Assunção da Virgem" era amplamente aceita.</w:t>
      </w:r>
    </w:p>
    <w:p>
      <w:r/>
      <w:r>
        <w:t>O documento, derivado do Protoevangelho de Tiago, foi contaminado tanto pelo gnosticismo quanto por outras crenças religiosas do Egito, o país em que foi escrito. Ele existe em copta e árabe e também em uma tradução do quarto século do texto copta.</w:t>
      </w:r>
    </w:p>
    <w:p>
      <w:r/>
      <w:r>
        <w:t>A História de José, o Carpinteiro, afirma dar um relato da vida de José e sua morte exemplar aos 111 anos. A história é supostamente contada por Jesus a seus discípulos no Monte das Oliveiras. José, um carpinteiro (</w:t>
      </w:r>
      <w:hyperlink r:id="rId2205">
        <w:r>
          <w:rPr>
            <w:color w:val="0000EE"/>
            <w:u w:val="single"/>
          </w:rPr>
          <w:t>Mt 13.55</w:t>
        </w:r>
      </w:hyperlink>
      <w:r>
        <w:t>), é um viúvo já avançado em anos quando se casa com Maria, que tem apenas 12 anos. (Ele teve seis filhos de um casamento anterior.) José é enterrado de acordo com os ritos do culto egípcio de Osíris após Jesus pronunciar uma eulogia.</w:t>
      </w:r>
    </w:p>
    <w:p>
      <w:pPr>
        <w:pStyle w:val="Heading4"/>
      </w:pPr>
      <w:r>
        <w:t>Jubileus, Livro de</w:t>
      </w:r>
    </w:p>
    <w:p>
      <w:r/>
      <w:r>
        <w:t>Jubileus é uma obra pseudepigráfica da última metade do segundo século a.C. durante o período dos Macabeus. É uma fonte inestimável para entender o ambiente na era anterior ao lançamento da igreja cristã. Jubileus está junto com o Livro de Enoque e os Testamentos dos Doze Patriarcas como a literatura hebraica ou aramaica mais importante da época. Como estes, foi traduzido para o grego e usado pelos pais da igreja. Muito provavelmente, Jubileus foi escrito em hebraico, já que alegava uma autoria mosaica e, dado seu ambiente nacionalista macabeu, isso seria necessário. Fragmentos de 10 manuscritos em hebraico encontrados em Qumran apoiam a tese de que foi originalmente nesse idioma.</w:t>
      </w:r>
    </w:p>
    <w:p>
      <w:r/>
      <w:r>
        <w:t>O trabalho é referido por escritores gregos posteriores seguindo fontes hebraicas como "Jubileus" e "o pequeno (menor) Gênesis". Também é intitulado "O apocalipse de Moisés" e o "Testamento de Moisés". Em formas revisadas, foi chamado de "O livro das filhas de Adão" e "A vida de Adão".</w:t>
      </w:r>
    </w:p>
    <w:p>
      <w:r/>
      <w:r>
        <w:t xml:space="preserve">Manuscritos completos de cinquenta capítulos existem em seis textos etíopes, dos quais os textos dos séculos quinto e sexto são os melhores. O texto latino é valioso, mas parcial, e apenas alguns fragmentos da versão grega permanecem. Os fragmentos hebraicos encontrados em Qumran são de especial importância, pois são do período da escrita original. A Bibliothèque Nationale possui "Ethiopien 51" e "Ethiopien 160". O Museu Britânico possui </w:t>
      </w:r>
      <w:r>
        <w:rPr>
          <w:i/>
        </w:rPr>
        <w:t>Kufale,</w:t>
      </w:r>
      <w:r>
        <w:t xml:space="preserve"> ou </w:t>
      </w:r>
      <w:r>
        <w:rPr>
          <w:i/>
        </w:rPr>
        <w:t>Liber Jubilaeorum,</w:t>
      </w:r>
      <w:r>
        <w:t xml:space="preserve"> e </w:t>
      </w:r>
      <w:r>
        <w:rPr>
          <w:i/>
        </w:rPr>
        <w:t>Enoque.</w:t>
      </w:r>
    </w:p>
    <w:p>
      <w:r/>
      <w:r>
        <w:t>O autor de Jubileus afirma uma fonte de revelação direta para o ensinamento que ele defende. Deus havia falado a Moisés no Pentateuco na "lei menor" neste "pequeno livro de Gênesis". No Sinai, Deus comunicou-se com Moisés pelo "Anjo da Presença", dizendo ao anjo: "Escreva para Moisés desde o início da criação até que meu santuário tenha sido construído entre eles por toda a eternidade" (1.27). Isso é suplementar à "primeira lei" (6.22).</w:t>
      </w:r>
    </w:p>
    <w:p>
      <w:r/>
      <w:r>
        <w:t>Após uma breve introdução, Jubileus segue o texto de Gênesis e Êxodo até 14.31. Este tratamento midráxico do material do Pentateuco tenta mostrar que o patriarcado aderiu à lei mesmo antes de Moisés. O objetivo do autor é fortalecer o judaísmo clássico diante das sérias intrusões da cultura helenística entre os povos judeus. Ao fazer isso, o autor não hesita em adicionar e subtrair da história do Pentateuco. Os patriarcas são adornados de todas as formas. Qualquer coisa que mostrasse suas fraquezas e pecados foi removida e conteúdo lendário foi inserido para glorificar esses pais. Os patriarcas são as fontes da cultura. Enoque inventou a escrita; Noé, a medicina; Abraão, o arado.</w:t>
      </w:r>
    </w:p>
    <w:p>
      <w:r/>
      <w:r>
        <w:t xml:space="preserve">Apelando para </w:t>
      </w:r>
      <w:hyperlink r:id="rId2206">
        <w:r>
          <w:rPr>
            <w:color w:val="0000EE"/>
            <w:u w:val="single"/>
          </w:rPr>
          <w:t>Levítico 25.8–12</w:t>
        </w:r>
      </w:hyperlink>
      <w:r>
        <w:t>, o trabalho enfatiza a importância do número sete. A história de Adão a Moisés é organizada de acordo com ciclos de sete. Esta maneira de compartimentar a história em períodos de jubileu foi revelada a Moisés no Sinai e, portanto, tem sanção divina e, de fato, é mandatória. A filosofia da história que emerge disso vê Deus agindo soberanamente e de forma única em Israel, em distinção ao seu relacionamento com o mundo gentio. As outras nações são governadas por anjos, mas não Israel, que está diretamente sob o comando de Deus (Jubileus 15.31ff.).</w:t>
      </w:r>
    </w:p>
    <w:p>
      <w:r/>
      <w:r>
        <w:t>A polêmica que Jubileus levanta contra o calendário lunar (6.36–38) e sua aceitação do calendário solar é apenas mais uma faceta do impulso por uma reforma profunda que purificará Israel. Israel deve ser separado para Deus de todas as formas, sem mistura em casamento ou sentar-se à mesa com gentios. Há uma surpreendente rigidez exigida na observância do sábado (50.1–13). A pena de morte é aplicada contra aqueles que viajam, compram ou vendem, tiram água, carregam fardos, capturam criaturas ou têm relações conjugais no sábado. Estas vão muito além dos requisitos bíblicos e pertencem àquele ambiente que produziu a comunidade de Qumran e os essênios.</w:t>
      </w:r>
    </w:p>
    <w:p>
      <w:r/>
      <w:r>
        <w:t>A declaração apocalíptica do Anjo da Presença contém uma verdade escatológica clara, mas limitada. Jubileus realmente contém a expectativa de um estabelecimento imediato da era messiânica. No entanto, toda a ênfase é tal que os propósitos éticos e culturais são preeminentes.</w:t>
      </w:r>
    </w:p>
    <w:p>
      <w:pPr>
        <w:pStyle w:val="Heading4"/>
      </w:pPr>
      <w:r>
        <w:t>Judá, Testamento de</w:t>
      </w:r>
    </w:p>
    <w:p>
      <w:r/>
      <w:r>
        <w:rPr>
          <w:i/>
        </w:rPr>
        <w:t>Veja</w:t>
      </w:r>
      <w:r>
        <w:t xml:space="preserve"> Testamentos dos Doze Patriarcas (abaixo).</w:t>
      </w:r>
    </w:p>
    <w:p>
      <w:pPr>
        <w:pStyle w:val="Heading4"/>
      </w:pPr>
      <w:r>
        <w:t>Judas Iscariotes, Evangelho de</w:t>
      </w:r>
    </w:p>
    <w:p>
      <w:r/>
      <w:r>
        <w:t>Escritos gnósticos muito antigos provavelmente produzidos pela seita cainita. Como não é preservado para nós hoje, conhecemos apenas através de citações nos escritos dos primeiros cristãos, especialmente Irineu. Assim, deve ter sido escrito antes de meados do segundo século d.C. Provavelmente continha um corpo de doutrina secreta supostamente revelada por Judas Iscariotes, resumindo a verdade do conhecimento superior e perfeito supostamente revelado a esta seita dos gnósticos. O evangelho apresenta o “mistério da traição”, explicando como Judas, através de sua traição, tornou possível a salvação de toda a humanidade. Isso foi realizado por ele ter antecipado a destruição da verdade proclamada por Cristo ou por ter frustrado os desígnios dos poderes malignos, os Arcontes, que desejavam impedir a crucificação de Cristo porque sabiam que isso destruiria seu poder maligno.</w:t>
      </w:r>
    </w:p>
    <w:p>
      <w:pPr>
        <w:pStyle w:val="Heading4"/>
      </w:pPr>
      <w:r>
        <w:t>Lentulus, Epístola de</w:t>
      </w:r>
    </w:p>
    <w:p>
      <w:r/>
      <w:r>
        <w:t>Lentulus, ostensivamente um predecessor de Pôncio Pilatos, é dito ter preparado um relatório para o Senado Romano conhecido como a Carta (ou Epístola) de Lentulus. Nesta carta ele incluiu uma descrição detalhada de Jesus: “alto e bonito, seu semblante inspirando reverência junto com amor e medo, seu cabelo escuro, brilhante, encaracolado, repartido no meio, seu rosto com uma delicada ruborização...” A autenticidade da carta é extremamente duvidosa.</w:t>
      </w:r>
    </w:p>
    <w:p>
      <w:pPr>
        <w:pStyle w:val="Heading4"/>
      </w:pPr>
      <w:r>
        <w:t>Levi, Testamento de</w:t>
      </w:r>
    </w:p>
    <w:p>
      <w:r/>
      <w:r>
        <w:rPr>
          <w:i/>
        </w:rPr>
        <w:t>Veja</w:t>
      </w:r>
      <w:r>
        <w:t xml:space="preserve"> Testamentos dos Doze Patriarcas (abaixo).</w:t>
      </w:r>
    </w:p>
    <w:p>
      <w:pPr>
        <w:pStyle w:val="Heading4"/>
      </w:pPr>
      <w:r>
        <w:t>Vidas de Adão e Eva</w:t>
      </w:r>
    </w:p>
    <w:p>
      <w:r/>
      <w:r>
        <w:t>Um título geral dado a um escrito não canônico existente em grego e latim. O livro é de natureza judaica, embora haja um sabor cristão que leva a maioria dos estudiosos a datar a obra original para o início da era cristã. O conteúdo do livro é uma expansão da história bíblica de Adão e Eva.</w:t>
      </w:r>
    </w:p>
    <w:p>
      <w:r/>
      <w:r>
        <w:t>A versão grega começa com a expulsão do Éden. Em um sonho, Eva vê o assassinato de Abel. Depois que Adão adoeceu, Sete e Eva foram obter óleo da árvore da vida. Miguel, o arcanjo, encontrou Sete e disse-lhe que Adão morreria. Após sua morte, ele foi levado ao terceiro céu. Sete testemunhou como os anjos enterraram seu pai e recebeu instruções sobre como enterrar sua mãe, que morreu uma semana após Adão.</w:t>
      </w:r>
    </w:p>
    <w:p>
      <w:r/>
      <w:r>
        <w:t>A versão latina fornece informações adicionais. Após a expulsão do Jardim, Eva pediu a Adão para matá-la, mas em vez disso, ele sugeriu que ambos fizessem um ato de penitência. Adão foi ficar no Jordão por 40 dias e Eva foi ficar na água do Eufrates por 37 dias. Enquanto estava lá, ela foi novamente tentada por Satanás, que estava disfarçado como um anjo de luz, mas acabou sendo desmascarado por Adão. Satanás então explicou a razão de sua hostilidade para com eles: quando os anjos foram ordenados a adorar o Senhor, ele se recusou a prestar reverência a Deus e foi consequentemente expulso do céu.</w:t>
      </w:r>
    </w:p>
    <w:p>
      <w:pPr>
        <w:pStyle w:val="Heading4"/>
      </w:pPr>
      <w:r>
        <w:t>Mateus, Martírio de</w:t>
      </w:r>
    </w:p>
    <w:p>
      <w:r/>
      <w:r>
        <w:t>História vagamente organizada do martírio de Mateus que se baseia fortemente nos “Atos de André e Matias” e assume que Matias era, de fato, Mateus. O documento representa o baixo impulso literário e teológico dos textos apócrifos posteriores.</w:t>
      </w:r>
    </w:p>
    <w:p>
      <w:r/>
      <w:r>
        <w:t>A história começa quando Mateus é comissionado por Jesus para plantar um cajado em Myrna, a cidade dos antropófagos. Mateus faz isso, após exorcizar o demônio Asmodeus da esposa e da família do rei. O cajado se transforma em uma árvore durante a noite, Mateus prega para o povo, e eles "se humanizam". Mas Asmodeus busca vingança, direcionando o rei a queimar Mateus. O fogo consome ídolos de ouro e muitos soldados, depois se transforma em um dragão e persegue o rei, que implora a Mateus por ajuda. Mas Mateus morre.</w:t>
      </w:r>
    </w:p>
    <w:p>
      <w:r/>
      <w:r>
        <w:t>Um rei um tanto arrependido, mas ainda não convertido, coloca o corpo de Mateus em um caixão de ferro e o afunda secretamente no mar. No dia seguinte, Mateus aparece no mar na presença de dois homens brilhantes e uma criança "bela". O rei finalmente se converte, é batizado e aceito na igreja. Mateus aparece para conferir ao rei seu próprio nome e para ordená-lo sacerdote e sua família, diáconos e diaconisas. Então Mateus ascende ao céu com dois anjos.</w:t>
      </w:r>
    </w:p>
    <w:p>
      <w:pPr>
        <w:pStyle w:val="Heading4"/>
      </w:pPr>
      <w:r>
        <w:t>Medade, Livro de Eldade e</w:t>
      </w:r>
    </w:p>
    <w:p>
      <w:r/>
      <w:r>
        <w:rPr>
          <w:i/>
        </w:rPr>
        <w:t>Veja</w:t>
      </w:r>
      <w:r>
        <w:t xml:space="preserve"> Eldade e Medade, Livro de (acima).</w:t>
      </w:r>
    </w:p>
    <w:p>
      <w:pPr>
        <w:pStyle w:val="Heading4"/>
      </w:pPr>
      <w:r>
        <w:t>Moisés, Assunção de</w:t>
      </w:r>
    </w:p>
    <w:p>
      <w:r/>
      <w:r>
        <w:t>Uma lenda judaica que Moisés foi levado corporalmente para o céu sem morrer. Provavelmente escrita entre 7 e 30 d.C., pode ser uma combinação de duas obras anteriores e parece emprestar muito do livro de Deuteronômio. A obra foi provavelmente produzida para fornecer um final miraculoso à vida terrena excepcional de Moisés, atribuindo a ele uma experiência semelhante à de Elias. Mas esta lenda judaica é contrária ao relato do AT sobre a morte de Moisés (</w:t>
      </w:r>
      <w:hyperlink r:id="rId38">
        <w:r>
          <w:rPr>
            <w:color w:val="0000EE"/>
            <w:u w:val="single"/>
          </w:rPr>
          <w:t>Dt 32.48–50</w:t>
        </w:r>
      </w:hyperlink>
      <w:r>
        <w:t xml:space="preserve">; </w:t>
      </w:r>
      <w:hyperlink r:id="rId2207">
        <w:r>
          <w:rPr>
            <w:color w:val="0000EE"/>
            <w:u w:val="single"/>
          </w:rPr>
          <w:t>34.5–7</w:t>
        </w:r>
      </w:hyperlink>
      <w:r>
        <w:t>).</w:t>
      </w:r>
    </w:p>
    <w:p>
      <w:r/>
      <w:r>
        <w:t>A Assunção Perdida de Moisés</w:t>
      </w:r>
    </w:p>
    <w:p>
      <w:r/>
      <w:r>
        <w:t>Três fatos indicam que houve um livro apócrifo que continha a lenda da assunção de Moisés: (1) listas antigas de obras apócrifas mencionam uma obra com este título; (2) vários pais da igreja referem-se a ela; e (3) alguns fragmentos em grego sobreviveram.</w:t>
      </w:r>
    </w:p>
    <w:p>
      <w:r/>
      <w:r>
        <w:t>Os seguintes itens apareceram na obra. Deus comissionou o arcanjo Miguel para enterrar o corpo de Moisés. Satanás se opôs ao enterro de Moisés porque ele reivindicava autoridade sobre toda a matéria e porque Moisés era um assassino. Miguel contestou as alegações de Satanás e o acusou de ter tentado Eva no Éden. Josué e Calebe então observaram a assunção de Moisés ocorrer de uma maneira estranha. Enquanto assistiam, viram o corpo morto de Moisés ser enterrado na montanha, mas também viram o próprio Moisés na companhia dos anjos. De fato, o corpo de Moisés morreu, mas o próprio Moisés não.</w:t>
      </w:r>
    </w:p>
    <w:p>
      <w:r/>
      <w:r>
        <w:t xml:space="preserve">Embora seja frequentemente afirmado que o texto de </w:t>
      </w:r>
      <w:hyperlink r:id="rId1911">
        <w:r>
          <w:rPr>
            <w:color w:val="0000EE"/>
            <w:u w:val="single"/>
          </w:rPr>
          <w:t>Judas 9</w:t>
        </w:r>
      </w:hyperlink>
      <w:r>
        <w:t xml:space="preserve"> é uma citação da Assunção de Moisés, isso é impossível de provar, simplesmente porque as partes relevantes dessa obra não sobreviveram. O máximo que se pode dizer é que vários pais da igreja, incluindo Clemente de Alexandria (m. 215 d.C.) e Orígenes (c. 185–254), sugeriram que a Assunção de Moisés foi a fonte para o relato em </w:t>
      </w:r>
      <w:hyperlink r:id="rId1911">
        <w:r>
          <w:rPr>
            <w:color w:val="0000EE"/>
            <w:u w:val="single"/>
          </w:rPr>
          <w:t>Judas 1.9</w:t>
        </w:r>
      </w:hyperlink>
      <w:r>
        <w:t xml:space="preserve">. Eles tinham ambas as obras. Nós temos apenas Judas, então não podemos verificar suas conclusões. A questão é ainda mais complicada porque há outra obra (veja a próxima seção) agora chamada de Assunção de Moisés. As pessoas frequentemente supõem que </w:t>
      </w:r>
      <w:hyperlink r:id="rId1911">
        <w:r>
          <w:rPr>
            <w:color w:val="0000EE"/>
            <w:u w:val="single"/>
          </w:rPr>
          <w:t>Judas 1.9</w:t>
        </w:r>
      </w:hyperlink>
      <w:r>
        <w:t xml:space="preserve"> é uma citação desse livro. Não é.</w:t>
      </w:r>
    </w:p>
    <w:p>
      <w:r/>
      <w:r>
        <w:t>A Assunção Moisés existente</w:t>
      </w:r>
    </w:p>
    <w:p>
      <w:r/>
      <w:r>
        <w:t>Este trabalho, talvez escrito durante a vida de Jesus, pretende ser uma descrição das previsões de Moisés para Josué sobre o destino da nação de Israel. É semelhante a outros escritos apócrifos e não históricos que foram escritos sob os nomes de grandes líderes judeus.</w:t>
      </w:r>
    </w:p>
    <w:p>
      <w:r/>
      <w:r>
        <w:t>Foi descoberto por acaso em 1861, na Biblioteca Ambrosiana em Milão, Itália. O manuscrito, datado do quinto século d.C., é uma cópia muito pobre de uma tradução latina, talvez derivada de uma tradução grega de um original hebraico. O início e o final estão perdidos. Há numerosos erros ortográficos e não há espaço entre as palavras. Não surpreendentemente, os estudiosos há muito disputam a leitura, interpretação e tradução até mesmo de versículos inteiros.</w:t>
      </w:r>
    </w:p>
    <w:p>
      <w:r/>
      <w:r>
        <w:t>As três linhas iniciais não sobreviveram, então o título original foi perdido. Quando descoberto, a obra foi assumida como a Assunção de Moisés há muito perdida, mas essa identificação agora é amplamente duvidada. Embora o livro ainda seja chamado por esse título, é muito mais provável que seja o Testamento de Moisés (que também é mencionado, junto com a Assunção de Moisés, em listas antigas de obras apócrifas) ou uma obra composta resultante da combinação do Testamento e da Assunção em uma única obra.</w:t>
      </w:r>
    </w:p>
    <w:p>
      <w:r/>
      <w:r>
        <w:t>Há apenas uma referência à assunção de Moisés no livro, e ela aparece em conexão com uma menção à sua morte (10.12). Como o final do livro também está perdido, é impossível saber o conteúdo da conclusão ou dizer se essa única referência restante à assunção de Moisés é original ou se foi adicionada por um escriba por engano ou por um editor combinando duas obras diferentes. É claro, no entanto, que o autor da seção sobrevivente acreditava que Moisés esperava morrer (1.15; 10.12–14) e que Josué assumiu que ele morreria (11.4–8).</w:t>
      </w:r>
    </w:p>
    <w:p>
      <w:r/>
      <w:r>
        <w:t>O trabalho começa no meio da frase (faltam três linhas) e data o discurso seguinte de Moisés para 2.500 anos após a Criação (1.2–5). Esperando morrer, Moisés convoca Josué, encoraja-o e diz-lhe que Deus criou o mundo para o seu povo (os israelitas), que se arrependerão antes da consumação no fim dos dias (1.6–18).</w:t>
      </w:r>
    </w:p>
    <w:p>
      <w:r/>
      <w:r>
        <w:t xml:space="preserve">Então Moisés prediz o futuro de Israel. O povo herdará a terra (Canaã) e será governado por magistrados locais, chefes (juízes?) e reis (2.1–3). O reino se dividirá, e o povo se voltará para a idolatria (2.4–9). Um rei do leste (Nabucodonosor) levará duas tribos para o cativeiro por cerca de 77 anos, onde eles se lembrarão dos avisos de Moisés (3.1–14; cf. </w:t>
      </w:r>
      <w:hyperlink r:id="rId2208">
        <w:r>
          <w:rPr>
            <w:color w:val="0000EE"/>
            <w:u w:val="single"/>
          </w:rPr>
          <w:t>Jr 25.11–12</w:t>
        </w:r>
      </w:hyperlink>
      <w:r>
        <w:t xml:space="preserve">; </w:t>
      </w:r>
      <w:hyperlink r:id="rId2209">
        <w:r>
          <w:rPr>
            <w:color w:val="0000EE"/>
            <w:u w:val="single"/>
          </w:rPr>
          <w:t>Dt 28.15–68</w:t>
        </w:r>
      </w:hyperlink>
      <w:r>
        <w:t xml:space="preserve">; </w:t>
      </w:r>
      <w:hyperlink r:id="rId2210">
        <w:r>
          <w:rPr>
            <w:color w:val="0000EE"/>
            <w:u w:val="single"/>
          </w:rPr>
          <w:t>30.15–20</w:t>
        </w:r>
      </w:hyperlink>
      <w:r>
        <w:t xml:space="preserve">). Alguém (Daniel) orará por libertação (cf. </w:t>
      </w:r>
      <w:hyperlink r:id="rId2211">
        <w:r>
          <w:rPr>
            <w:color w:val="0000EE"/>
            <w:u w:val="single"/>
          </w:rPr>
          <w:t>Dn 9.4–19</w:t>
        </w:r>
      </w:hyperlink>
      <w:r>
        <w:t xml:space="preserve">), e Deus persuadirá um rei (Ciro) a enviar os exilados de volta para casa (4.1–6; cf. </w:t>
      </w:r>
      <w:hyperlink r:id="rId2212">
        <w:r>
          <w:rPr>
            <w:color w:val="0000EE"/>
            <w:u w:val="single"/>
          </w:rPr>
          <w:t>Is 45.1–6</w:t>
        </w:r>
      </w:hyperlink>
      <w:r>
        <w:t xml:space="preserve">; </w:t>
      </w:r>
      <w:hyperlink r:id="rId2213">
        <w:r>
          <w:rPr>
            <w:color w:val="0000EE"/>
            <w:u w:val="single"/>
          </w:rPr>
          <w:t>Ed 1.1–4</w:t>
        </w:r>
      </w:hyperlink>
      <w:r>
        <w:t xml:space="preserve">). Alguns exilados retornarão ao seu lugar designado (Jerusalém) e reconstruirão o muro, mas não conseguirão oferecer [sacrifícios adequados] (4.7–8; contraste </w:t>
      </w:r>
      <w:hyperlink r:id="rId2214">
        <w:r>
          <w:rPr>
            <w:color w:val="0000EE"/>
            <w:u w:val="single"/>
          </w:rPr>
          <w:t>Ed 3.1–7</w:t>
        </w:r>
      </w:hyperlink>
      <w:r>
        <w:t>). Outros permanecerão no exílio, mas aumentarão em população (4.9). Isso conclui o período do AT e inicia o período intertestamentário (c. 400 a 1 a.C.).</w:t>
      </w:r>
    </w:p>
    <w:p>
      <w:r/>
      <w:r>
        <w:t>A ampla apostasia do período Selêucida (c. 201–267 a.C.) é descrita, com referência especial a sacerdotes e juízes (4.1–6). Os Macabeus, que ganharam e mantiveram independência política da Síria (em 164 a.C.), não são mencionados. Em vez disso, o foco está nos reis (os Hasmoneus) que se fizeram sumos sacerdotes (6.1). Em seguida, virá um rei insolente (Herodes, o Grande, 37–4 a.C.), que governará de forma implacável (6.2–7). Então, um poderoso rei do ocidente conquistará o povo, levará alguns cativos, crucificará outros e queimará parte do templo (6.8–9).</w:t>
      </w:r>
    </w:p>
    <w:p>
      <w:r/>
      <w:r>
        <w:t>A partir deste ponto, o autor, tendo alcançado seu próprio período, teve que adivinhar o futuro, então as previsões que ele colocou na boca de Moisés são gerais ou obscuras e muitas vezes não cumpridas. Os próximos governantes (saduceus?) seriam ímpios, traiçoeiros, glutões, enganadores e preocupados com a impureza ritual enquanto viviam no luxo às custas dos pobres (7.1–10). Um tempo de ira sem precedentes seguiria, quando um grande rei perseguiria os judeus, torturando, aprisionando e até crucificando-os por praticarem circuncisão (8.1–5). Durante esta perseguição, um homem, Taxo, um levita com sete filhos, permaneceria fiel a Deus e morreria em vez de adotar costumes gregos (8.1–7).</w:t>
      </w:r>
    </w:p>
    <w:p>
      <w:r/>
      <w:r>
        <w:t>A próxima seção (10.1–10), um poema apocalíptico (dez estrofes, cada uma com três linhas), é a única seção apocalíptica do livro. O reino do Senhor aparecerá, Satanás não existirá mais, e o anjo chefe (Miguel) vingará Israel (10.1–2). “O Celestial se levantará de Seu trono real”, e haverá sinais milagrosos na terra e no céu; até o oceano secará (10.3–6). O Altíssimo, o Deus Eterno, aparecerá e punirá os gentios, destruindo seus ídolos (10.7). Mas Israel será feliz e exaltada, regozijando-se ao ver seus inimigos no Geena (inferno) e agradecidamente louvando seu Criador (10.8–10). Com a menção de Moisés sobre sua morte e algumas palavras de consolo para Josué, a composição termina de forma incompleta.</w:t>
      </w:r>
    </w:p>
    <w:p>
      <w:r/>
      <w:r>
        <w:t>O livro deve ter sido escrito após a morte de Herodes e Varus ter subjugado uma rebelião na Judeia (4 a.C.) e antes do templo ser destruído (d.C. 70). O livro prevê que os filhos de Herodes não governarão tanto quanto o próprio Herodes (34 anos, 37–4 a.C.). Essa previsão pode se basear no fato de que um filho, Arquelau, foi deposto após um reinado de 10 anos (4 a.C.–6 d.C. ). Se é assim, o livro foi escrito após 6 d.C. Mas outros dois filhos (Filipe e Antipas) na verdade governaram mais tempo que o pai. Para o autor não saber disso, é necessário que o livro tenha sido escrito dentro de 34 anos da morte de Herodes — em outras palavras, antes de 30 d.C. Portanto, o livro provavelmente foi escrito em algum momento entre 6 e 30 d.C. Isso também significa que o livro reflete o pensamento judaico durante a vida de Jesus.</w:t>
      </w:r>
    </w:p>
    <w:p>
      <w:r/>
      <w:r>
        <w:t>O autor era evidentemente um judeu palestino, mas é duvidoso se ele era membro de alguma seita importante conhecida da época. Ele odeia o domínio romano (8.1–10.10) sem advogar a revolta, como fizeram os zelotes e seus predecessores. Seu interesse no templo (2.8–9; 5.3; 6.9; 8.5) não é típico de um essênio. Ele condena o estilo de vida saduceu (7.3–10). E seu uso de escrita apocalíptica (10.1–10) é considerado incomum para um fariseu.</w:t>
      </w:r>
    </w:p>
    <w:p>
      <w:pPr>
        <w:pStyle w:val="Heading4"/>
      </w:pPr>
      <w:r>
        <w:t>Naftali, Testamento de</w:t>
      </w:r>
    </w:p>
    <w:p>
      <w:r/>
      <w:r>
        <w:rPr>
          <w:i/>
        </w:rPr>
        <w:t>Veja</w:t>
      </w:r>
      <w:r>
        <w:t xml:space="preserve"> Testamentos dos Doze Patriarcas (abaixo).</w:t>
      </w:r>
    </w:p>
    <w:p>
      <w:pPr>
        <w:pStyle w:val="Heading4"/>
      </w:pPr>
      <w:r>
        <w:t>Nicodemos, Evangelho de</w:t>
      </w:r>
    </w:p>
    <w:p>
      <w:r/>
      <w:r>
        <w:t xml:space="preserve">Título alternativo para a obra apócrifa Atos de Pilatos. </w:t>
      </w:r>
      <w:r>
        <w:rPr>
          <w:i/>
        </w:rPr>
        <w:t>Veja</w:t>
      </w:r>
      <w:r>
        <w:t xml:space="preserve"> Pilatos, Atos de (abaixo).</w:t>
      </w:r>
    </w:p>
    <w:p>
      <w:pPr>
        <w:pStyle w:val="Heading4"/>
      </w:pPr>
      <w:r>
        <w:t>Noé, Livro de</w:t>
      </w:r>
    </w:p>
    <w:p>
      <w:r/>
      <w:r>
        <w:t>Alusão à escrita de Noé é feita no livro dos Jubileus, onde se diz: “Noé escreveu todas as coisas em um livro, conforme o instruímos sobre cada tipo de remédio. Assim, os espíritos malignos foram impedidos de (ferir) os filhos de Noé” (10.13; veja também 21.10). O livro de Noé empresta muito do livro de Enoque (veja caps 6–11, 54–55, 60, 65–69, 106–110). As outras seções se relacionam ao dilúvio de Noé e assuntos sobre os quais se poderia presumir que Noé tivesse conhecimento. Infelizmente, nenhum manuscrito separado do livro de Noé é conhecido até hoje.</w:t>
      </w:r>
    </w:p>
    <w:p>
      <w:pPr>
        <w:pStyle w:val="Heading4"/>
      </w:pPr>
      <w:r>
        <w:t>Odes de Salomão</w:t>
      </w:r>
    </w:p>
    <w:p>
      <w:r/>
      <w:r>
        <w:rPr>
          <w:i/>
        </w:rPr>
        <w:t>Veja</w:t>
      </w:r>
      <w:r>
        <w:t xml:space="preserve"> Salomão, Salmos de (abaixo).</w:t>
      </w:r>
    </w:p>
    <w:p>
      <w:pPr>
        <w:pStyle w:val="Heading4"/>
      </w:pPr>
      <w:r>
        <w:t>Patriarcas, Testamentos dos Doze</w:t>
      </w:r>
    </w:p>
    <w:p>
      <w:r/>
      <w:r>
        <w:rPr>
          <w:i/>
        </w:rPr>
        <w:t>Veja</w:t>
      </w:r>
      <w:r>
        <w:t xml:space="preserve"> Testamentos dos Doze Patriarcas (abaixo).</w:t>
      </w:r>
    </w:p>
    <w:p>
      <w:pPr>
        <w:pStyle w:val="Heading4"/>
      </w:pPr>
      <w:r>
        <w:t>Paulo, Atos de</w:t>
      </w:r>
    </w:p>
    <w:p>
      <w:r/>
      <w:r>
        <w:rPr>
          <w:i/>
        </w:rPr>
        <w:t>Veja</w:t>
      </w:r>
      <w:r>
        <w:t xml:space="preserve"> Paulo e Tecla, Atos de (abaixo).</w:t>
      </w:r>
    </w:p>
    <w:p>
      <w:pPr>
        <w:pStyle w:val="Heading4"/>
      </w:pPr>
      <w:r>
        <w:t>Paulo, Atos de André e</w:t>
      </w:r>
    </w:p>
    <w:p>
      <w:r/>
      <w:r>
        <w:rPr>
          <w:i/>
        </w:rPr>
        <w:t>Veja</w:t>
      </w:r>
      <w:r>
        <w:t xml:space="preserve"> André e Paulo, Atos de (acima).</w:t>
      </w:r>
    </w:p>
    <w:p>
      <w:pPr>
        <w:pStyle w:val="Heading4"/>
      </w:pPr>
      <w:r>
        <w:t>Paulo e Tecla, Atos de</w:t>
      </w:r>
    </w:p>
    <w:p>
      <w:r/>
      <w:r>
        <w:t>Os Atos de Paulo e Tecla é uma seção de uma obra apócrifa conhecida como os Atos de Paulo. Foi aparentemente escrita na segunda metade do segundo século d.C. por um ancião da igreja que vivia na Ásia. De acordo com Tertuliano (</w:t>
      </w:r>
      <w:r>
        <w:rPr>
          <w:i/>
        </w:rPr>
        <w:t>Sobre o batismo</w:t>
      </w:r>
      <w:r>
        <w:t xml:space="preserve"> 17.19–21), o motivo para a escrita foi “amor a Paulo”, mas o presbítero foi removido do cargo por produzir este documento. Não está claro se a razão para sua deposição foi que ele fez uma falsa alegação de autoria apostólica, ou se foi porque os pontos de vista expressos no documento foram considerados heréticos.</w:t>
      </w:r>
    </w:p>
    <w:p>
      <w:r/>
      <w:r>
        <w:t>A história se parece com um conto popular. Paulo chega em Icônio após fugir de Antioquia. Ele é recebido por Onesíforo, que o acolhe em sua casa. Um grupo de pessoas se reúne ali para ouvir a mensagem de Paulo. Ao lado da janela de uma casa vizinha, está sentada Tecla. Ela não pode ver Paulo, mas escuta atentamente sua mensagem. Sua mãe, Tecleia, exclama: “Minha filha, como uma aranha, está presa pelas palavras dele à janela, tomada por um novo desejo e uma terrível paixão”. Paulo está ensinando que, para “ver Deus”, uma pessoa deve viver uma vida de abstinência da atividade sexual.</w:t>
      </w:r>
    </w:p>
    <w:p>
      <w:r/>
      <w:r>
        <w:t>Tecla está noiva para se casar, mas fica tão impressionada com o ensino de Paulo que decide romper seu noivado com Tamiris. Tamiris, em desespero, apela ao governador da cidade, que prende e encarcerar Paulo. Tecla suborna o carcereiro com pulseiras e um espelho de prata e entra na cela de Paulo. Novamente, ela fica fascinada por seu ensino. No julgamento, Tecla é firme em sua recusa em se casar com Tamiris. Paulo é banido da cidade; Tecla é condenada a ser queimada até a morte. Milagrosamente, sua vida é poupada, e ela se reúne com Paulo e viaja com ele para Antioquia.</w:t>
      </w:r>
    </w:p>
    <w:p>
      <w:r/>
      <w:r>
        <w:t>Em Antioquia, Tecla rejeita as aproximações de um nobre, Alexandre, e pela segunda vez é condenada à morte. Mas as feras que deveriam devorá-la na arena pública em vez disso lambem seus pés e a protegem. Quando ela se joga em uma cisterna de água para realizar seu batismo, ela novamente é poupada da morte — um raio mata os peixes que espreitam na água, e eles flutuam sem vida na superfície. A rainha Trifena, que se tornou amiga de Tecla, desmaia de choque enquanto tentativas repetidas são feitas para tirar a vida de Tecla. Vendo isso, Alexandre finalmente implora ao governador para libertar Tecla.</w:t>
      </w:r>
    </w:p>
    <w:p>
      <w:r/>
      <w:r>
        <w:t>Livre mais uma vez, Tecla procura Paulo. Ela se disfarça de homem vestindo roupas masculinas. Ao chegar em Mirra, ela encontra Paulo e anuncia a ele que está retornando a Icônio. Paulo a comanda a “ensinar a palavra de Deus”. Depois de ensinar por um tempo em Icônio, Tecla viaja para Selêucia.</w:t>
      </w:r>
    </w:p>
    <w:p>
      <w:r/>
      <w:r>
        <w:t>O restante da vida de Tecla não está bem documentado. Alguns manuscritos registram que Tecla, com medo do povo de Selêucia, retirou-se para uma montanha e residiu em uma caverna. Lá, ela viveu uma vida ascética, ensinou certas mulheres que a procuravam e realizou um ministério de cura. Mais tarde, ela partiu para Roma, em busca de Paulo. Paulo, no entanto, já estava morto. Quando a própria Tecla morreu, aos 90 anos de idade, foi enterrada não muito longe do túmulo de seu amado mestre.</w:t>
      </w:r>
    </w:p>
    <w:p>
      <w:r/>
      <w:r>
        <w:t>Embora este trabalho seja considerado apócrifo e esteja excluído do cânon do NT, há alguns escritores antigos que o consideravam de grande valor. Os Atos de Paulo, dos quais este documento faz parte, são mencionados por Orígenes e por Hipólito com respeito. Eusébio tinha a opinião de que o documento era espúrio, mas ele o distinguia de obras heréticas inferiores. Há duas instâncias onde detalhes de informação encontraram seu caminho dos Atos de Paulo para manuscritos antigos de livros canônicos (</w:t>
      </w:r>
      <w:hyperlink r:id="rId2215">
        <w:r>
          <w:rPr>
            <w:color w:val="0000EE"/>
            <w:u w:val="single"/>
          </w:rPr>
          <w:t>2Tm 3.11</w:t>
        </w:r>
      </w:hyperlink>
      <w:r>
        <w:t xml:space="preserve">; </w:t>
      </w:r>
      <w:hyperlink r:id="rId2216">
        <w:r>
          <w:rPr>
            <w:color w:val="0000EE"/>
            <w:u w:val="single"/>
          </w:rPr>
          <w:t>4.19</w:t>
        </w:r>
      </w:hyperlink>
      <w:r>
        <w:t>). É provável que os pontos de vista indicados neste documento refletissem tradições religiosas populares amplamente mantidas no segundo século d.C.</w:t>
      </w:r>
    </w:p>
    <w:p>
      <w:r/>
      <w:r>
        <w:t>Tertuliano, no entanto, argumenta que o documento está bastante em desacordo com as atitudes de Paulo, conforme expressas no material canônico. Em particular, ele se opõe ao papel assumido por uma mulher nos Atos de Paulo e Tecla. Paulo, diz Tertuliano, nunca teria permitido que uma mulher ensinasse e batizasse (</w:t>
      </w:r>
      <w:r>
        <w:rPr>
          <w:i/>
        </w:rPr>
        <w:t>Sobre o batismo</w:t>
      </w:r>
      <w:r>
        <w:t xml:space="preserve"> 17.21–23). Os Atos de Paulo e Tecla diferem da posição paulina, mas não da maneira indicada por Tertuliano. O documento retrata Paulo como um defensor do ponto de vista encratita, ensinando que o celibato é necessário para a salvação. O Paulo canônico ensinou que a salvação é alcançada somente pela fé, e que o celibato é uma questão de chamado especial e certamente não a norma para todo cristão (</w:t>
      </w:r>
      <w:hyperlink r:id="rId2217">
        <w:r>
          <w:rPr>
            <w:color w:val="0000EE"/>
            <w:u w:val="single"/>
          </w:rPr>
          <w:t>1Co 7.1–7</w:t>
        </w:r>
      </w:hyperlink>
      <w:r>
        <w:t>). Os Atos de Paulo e Tecla sugerem que uma mulher deve assumir vestes masculinas e deve abster-se do casamento se quiser exercer um papel de liderança. O Paulo canônico instruiu que uma mulher em posição de liderança deveria se vestir como mulher (</w:t>
      </w:r>
      <w:hyperlink r:id="rId2218">
        <w:r>
          <w:rPr>
            <w:color w:val="0000EE"/>
            <w:u w:val="single"/>
          </w:rPr>
          <w:t>1Co 11.4–6</w:t>
        </w:r>
      </w:hyperlink>
      <w:r>
        <w:t>), e ele afirmou a função ministerial de mulheres casadas (</w:t>
      </w:r>
      <w:hyperlink r:id="rId2219">
        <w:r>
          <w:rPr>
            <w:color w:val="0000EE"/>
            <w:u w:val="single"/>
          </w:rPr>
          <w:t>Rm 16.3</w:t>
        </w:r>
      </w:hyperlink>
      <w:r>
        <w:t>). Os Atos de Paulo e Tecla emulam uma mulher cujo poder motivador era a devoção pessoal ao Apóstolo. Os escritos canônicos sugerem que Paulo desencorajava fortemente tal demonstração de lealdade pessoal a si mesmo (</w:t>
      </w:r>
      <w:hyperlink r:id="rId2220">
        <w:r>
          <w:rPr>
            <w:color w:val="0000EE"/>
            <w:u w:val="single"/>
          </w:rPr>
          <w:t>1Co 1.12–17</w:t>
        </w:r>
      </w:hyperlink>
      <w:r>
        <w:t>). Somente Cristo deveria ser a influência motivadora no serviço cristão.</w:t>
      </w:r>
    </w:p>
    <w:p>
      <w:r/>
      <w:r>
        <w:t>Os Atos de Paulo e Tecla nos oferecem uma descrição única da aparência física de Paulo: “um homem de pequena estatura, com cabeça calva e pernas tortas, em bom estado de corpo, com sobrancelhas unidas e nariz um tanto adunco, cheio de simpatia; pois ora parecia um homem, e ora tinha o rosto de um anjo”. Esta descrição provavelmente não é confiável em qualquer sentido histórico; mais provavelmente retrata um típico judeu do período. Mas como não há outra descrição preservada em documentos antigos, esta formou a base para os muitos retratos de Paulo que chegaram até nós ao longo dos séculos.</w:t>
      </w:r>
    </w:p>
    <w:p>
      <w:pPr>
        <w:pStyle w:val="Heading4"/>
      </w:pPr>
      <w:r>
        <w:t>Paulo, Apocalipse de</w:t>
      </w:r>
    </w:p>
    <w:p>
      <w:r/>
      <w:r>
        <w:t xml:space="preserve">Este documento, que se originou no final do quarto século d.C., pretende ser um relato escrito de algumas das experiências que o Apóstolo Paulo teve quando foi arrebatado ao terceiro céu, ou paraíso, de acordo com </w:t>
      </w:r>
      <w:hyperlink r:id="rId2221">
        <w:r>
          <w:rPr>
            <w:color w:val="0000EE"/>
            <w:u w:val="single"/>
          </w:rPr>
          <w:t>2 Coríntios 12.2–4</w:t>
        </w:r>
      </w:hyperlink>
      <w:r>
        <w:t>. O fato de Paulo não ter descrito o que viu ou ouviu durante aquela visão reveladora despertou a imaginação de algum cristão desconhecido do quarto século. Como o autor descreve com prazer as torturas no inferno sofridas por um presbítero, bispo e diácono (caps 34–36) e em outros lugares aprova a devoção e piedade de monges e freiras (caps 7–9) e daqueles que são virgens ou castos (cap 22), é seguro concluir que ele era um monge que desaprovava a religiosidade insincera e hipócrita de seus contemporâneos, tanto leigos quanto clérigos.</w:t>
      </w:r>
    </w:p>
    <w:p>
      <w:r/>
      <w:r>
        <w:t>Este livro, originalmente escrito em grego, sobrevive em forma relativamente completa em latim. Uma indicação parcial da grande popularidade desta peça de ficção religiosa é o fato de ter sido traduzida para o etíope, copta e siríaco, além do latim.</w:t>
      </w:r>
    </w:p>
    <w:p>
      <w:r/>
      <w:r>
        <w:t>O livro é vagamente estruturado em sete seções. A obra começa com uma breve seção introdutória que tenta explicar por que o livro era desconhecido do primeiro ao quarto século (caps 1–2): durante o consulado de (Imperador) Teodósio Augusto, o Jovem e Cinigio (o documento pode, portanto, ser datado de 388 d.C.), uma pessoa respeitável, mas sem nome, recebeu uma revelação através de um anjo. O homem estava morando em Tarso, em uma casa que já havia sido ocupada pelo próprio São Paulo. O anjo disse ao homem para quebrar as fundações e publicar o que quer que encontrasse. Após ser espancado pelo anjo por desobediência, ele finalmente quebrou as fundações apenas para descobrir uma caixa de mármore que imediatamente entregou ao Imperador. O Imperador abriu a caixa e encontrou a versão original do Apocalipse de Paulo (que ele copia) e um par de sapatos usados por Paulo em suas jornadas missionárias. A substância do misterioso documento segue então.</w:t>
      </w:r>
    </w:p>
    <w:p>
      <w:r/>
      <w:r>
        <w:t>Nos capítulos 3–6, diz-se que Paulo recebeu uma mensagem de Deus anunciando como toda a criação está sujeita a Deus, com exceção do próprio homem. Os capítulos 7–10 relatam como os anjos da guarda de cada homem e mulher relatam todas as manhãs e noites a Deus sobre as ações daqueles sob seus cuidados. Alguns são muito bons, enquanto outros são extremamente perversos. Nos capítulos 11–18, Paulo é levado no Espírito Santo ao terceiro céu e pede para ver as almas dos justos e dos pecadores ao deixarem o mundo. O anjo que acompanha Paulo mostra-lhe um homem justo deixando o mundo, um homem ímpio e a alma de alguém que se achava justo, mas na verdade não era.</w:t>
      </w:r>
    </w:p>
    <w:p>
      <w:r/>
      <w:r>
        <w:t xml:space="preserve">Os capítulos 19–30 descrevem Paulo sendo elevado ao terceiro céu (cf. </w:t>
      </w:r>
      <w:hyperlink r:id="rId2221">
        <w:r>
          <w:rPr>
            <w:color w:val="0000EE"/>
            <w:u w:val="single"/>
          </w:rPr>
          <w:t>2Co 12.2–4</w:t>
        </w:r>
      </w:hyperlink>
      <w:r>
        <w:t xml:space="preserve">), onde ele viu um portão dourado ladeado por pilares dourados sobre os quais estavam montadas tábuas douradas contendo os nomes dos justos. Ao entrar no paraíso, ele foi saudado por Enoque e Elias e mostrou coisas que ele não podia revelar a outros (cap. 21; cf. </w:t>
      </w:r>
      <w:hyperlink r:id="rId2222">
        <w:r>
          <w:rPr>
            <w:color w:val="0000EE"/>
            <w:u w:val="single"/>
          </w:rPr>
          <w:t>2Co 12.4</w:t>
        </w:r>
      </w:hyperlink>
      <w:r>
        <w:t>). De lá, ele foi levado ao segundo céu e depois ao firmamento cercado pelo Oceano (cap. 21). Lá ele viu as águas brancas como leite do Lago Aquerúsia, onde a cidade de Cristo estava localizada. Ele foi levado à cidade em um barco dourado enquanto 3.000 anjos cantavam um hino. No rio de mel, ele encontrou Isaías, Jeremias, Ezequiel e outros profetas (cap. 25); no rio de leite, ele viu os bebês mortos por Herodes (cap. 26); no rio de vinho, ele encontrou Abraão, Isaque, Jacó, Ló e Jó (cap. 27); no rio de óleo, ele encontrou aqueles completamente dedicados a Deus (cap. 28). No centro da cidade, junto a um Grande altar, Davi cantou o aleluia a Deus.</w:t>
      </w:r>
    </w:p>
    <w:p>
      <w:r/>
      <w:r>
        <w:t>A jornada de Paulo pelo inferno é descrita nos capítulos 31–44; é um lugar de tristeza e angústia onde flui um rio fervendo com fogo. No rio, alguns dos condenados estavam imersos até os joelhos, outros até o umbigo ou lábios, dependendo da gravidade de seus pecados (cap. 31). Os capítulos 34–36 descrevem as torturas de um presbítero, bispo e diácono. Ao longo desta seção, as torturas mais horríveis imagináveis são descritas em detalhes com grande prazer. Finalmente, no capítulo 44, Cristo decreta que, por causa de Paulo, não haverá tortura aos domingos daqui em diante.</w:t>
      </w:r>
    </w:p>
    <w:p>
      <w:r/>
      <w:r>
        <w:t>O guia de viagem angelical de Paulo então o acompanha ao paraíso (caps. 45–51), onde os justos de todas as eras estão ansiosos para conhecê-lo. Ele encontra a Virgem Maria (cap. 46), Abraão, Isaque e Jacó, bem como os 12 filhos de Jacó (cap. 47), Moisés, que chora pelos judeus não convertidos (cap. 48), Isaías, Jeremias e Ezequiel, cada um dos quais descreve seu martírio, Ló e Jó (cap. 49), Noé (cap. 50), Elias, Eliseu, Zacarias e seu filho, João Batista, e Adão (cap. 51). O documento ou terminou aqui ou, em versões alternativas, com a viagem milagrosa de Paulo ao Monte das Oliveiras, onde ele e os outros discípulos receberam a comissão divina.</w:t>
      </w:r>
    </w:p>
    <w:p>
      <w:r/>
      <w:r>
        <w:t>O documento está repleto de contradições e inconsistências, e muitas das versões traduzidas não concordam entre si em todos os detalhes. A principal importância do documento está em suas visões sobre o pensamento do cristianismo do final do quarto século.</w:t>
      </w:r>
    </w:p>
    <w:p>
      <w:pPr>
        <w:pStyle w:val="Heading4"/>
      </w:pPr>
      <w:r>
        <w:t>Paulo, Paixão de</w:t>
      </w:r>
    </w:p>
    <w:p>
      <w:r/>
      <w:r>
        <w:t>Uma versão latina revisada do apócrifo Martírio de Paulo, que fazia parte de um corpo maior de textos chamado Atos de Paulo. O Martírio original é a história da ressurreição de Pátroclo por Paulo, o copeiro de Nero, que havia caído de uma janela e morrido durante um dos sermões de Paulo. Pátroclo confessa sua nova lealdade a Cristo diante do espantado Nero, que rapidamente se move para reunir todos esses “soldados do Grande rei (Cristo).” Paulo é incluído na expulsão de todos. A Paixão elabora a história para incluir uma passagem sobre a admiração de Sêneca por Paulo e seus escritos, partes dos quais Sêneca supostamente leu para Nero. Além disso, Paulo a caminho de sua morte pega emprestado um lenço de Plautila, prometendo devolvê-lo. Quando os soldados que retornam zombam dela, ela mostra a eles o lenço ensanguentado.</w:t>
      </w:r>
    </w:p>
    <w:p>
      <w:pPr>
        <w:pStyle w:val="Heading4"/>
      </w:pPr>
      <w:r>
        <w:t>Paulo, Paixão de Pedro e</w:t>
      </w:r>
    </w:p>
    <w:p>
      <w:r/>
      <w:r>
        <w:rPr>
          <w:i/>
        </w:rPr>
        <w:t>Veja</w:t>
      </w:r>
      <w:r>
        <w:t xml:space="preserve"> Pedro e Paulo, Paixão de (abaixo).</w:t>
      </w:r>
    </w:p>
    <w:p>
      <w:pPr>
        <w:pStyle w:val="Heading4"/>
      </w:pPr>
      <w:r>
        <w:t>Pérola, Hino da</w:t>
      </w:r>
    </w:p>
    <w:p>
      <w:r/>
      <w:r>
        <w:rPr>
          <w:i/>
        </w:rPr>
        <w:t>Veja</w:t>
      </w:r>
      <w:r>
        <w:t xml:space="preserve"> Tomé, Atos de (abaixo).</w:t>
      </w:r>
    </w:p>
    <w:p>
      <w:pPr>
        <w:pStyle w:val="Heading4"/>
      </w:pPr>
      <w:r>
        <w:t>Pedro e Paulo, Paixão de</w:t>
      </w:r>
    </w:p>
    <w:p>
      <w:r/>
      <w:r>
        <w:t>Este escrito chegou a nós em duas formas, ambas consideradas como tendo sido escritas por Marcelo e datadas do quinto século. A primeira forma é essencialmente como os Atos de Pedro e Paulo. Dá ênfase à viagem de Paulo a Roma. A segunda dá mais atenção à residência desses homens em Roma, com ênfase na estadia na casa de um parente de Pôncio Pilatos. Ambas enfatizam a estreita relação entre Pedro e Paulo e sua contínua e bem-sucedida oposição a Simão Mago, que afirma ser o Cristo. As sentenças de morte estão incluídas nos escritos, mas com apenas um breve relato de seus martírios.</w:t>
      </w:r>
    </w:p>
    <w:p>
      <w:pPr>
        <w:pStyle w:val="Heading4"/>
      </w:pPr>
      <w:r>
        <w:t>Pedro, Evangelho de</w:t>
      </w:r>
    </w:p>
    <w:p>
      <w:r/>
      <w:r>
        <w:rPr>
          <w:i/>
        </w:rPr>
        <w:t>Veja</w:t>
      </w:r>
      <w:r>
        <w:t xml:space="preserve"> Fragmento de Akhmim (acima).</w:t>
      </w:r>
    </w:p>
    <w:p>
      <w:pPr>
        <w:pStyle w:val="Heading4"/>
      </w:pPr>
      <w:r>
        <w:t>Pedro, Pregação de</w:t>
      </w:r>
    </w:p>
    <w:p>
      <w:r/>
      <w:r>
        <w:t>Este documento, que sobreviveu apenas em fragmentos, parece ter sido escrito no início do segundo século d.C. no Egito. Embora o título não reivindique explicitamente a autoria de Pedro, foi entendido por Clemente de Alexandria (final do segundo século d.C.) como uma composição autêntica do Apóstolo Pedro (</w:t>
      </w:r>
      <w:r>
        <w:rPr>
          <w:i/>
        </w:rPr>
        <w:t>Stromata</w:t>
      </w:r>
      <w:r>
        <w:t xml:space="preserve"> 2.15.68). A maioria dos fragmentos da Pregação de Pedro é preservada na forma de breves citações nos escritos de Clemente de Alexandria.</w:t>
      </w:r>
    </w:p>
    <w:p>
      <w:r/>
      <w:r>
        <w:t>O historiador da igreja do quarto século, Eusébio de Cesareia, observou que a Pregação de Pedro não havia sido aceita por nenhuma autoridade antiga (</w:t>
      </w:r>
      <w:r>
        <w:rPr>
          <w:i/>
        </w:rPr>
        <w:t>História Eclesiástica</w:t>
      </w:r>
      <w:r>
        <w:t xml:space="preserve"> 3.3.1–4), embora ele provavelmente não estivesse ciente de sua aceitação por Clemente. Mesmo que apenas fragmentos do documento tenham sobrevivido, eles são importantes porque revelam um estágio de transição na história da literatura cristã primitiva. Durante o primeiro século, a literatura cristã, incluindo todo o NT, foi escrita para o consumo de outros cristãos. Durante o segundo século, escritores cristãos começaram a sentir a necessidade de defender sua fé contra as críticas de seus oponentes pagãos e judeus. Um novo tipo de literatura cristã, a apologia (que significa “defesa”), começou a aparecer no início do segundo século com os escritos dos primeiros apologistas cristãos Quadrato e Aristides. A Pregação de Pedro representa uma transição do tipo de escrita apologética encontrada nos Atos dos Apóstolos, os sermões que esse livro contém, e os escritos dos primeiros apologistas.</w:t>
      </w:r>
    </w:p>
    <w:p>
      <w:r/>
      <w:r>
        <w:t>Como Clemente cita aleatoriamente a Pregação de Pedro, não é possível determinar a ordem em que qualquer uma das citações apareceu na composição original. Algumas das principais ênfases do documento aparecerão nos seguintes resumos das citações de Clemente. Pedro, de acordo com Clemente, chamou o Senhor de “Lei e Palavra” na “Pregação” (</w:t>
      </w:r>
      <w:r>
        <w:rPr>
          <w:i/>
        </w:rPr>
        <w:t>Stromata</w:t>
      </w:r>
      <w:r>
        <w:t xml:space="preserve"> 1.29.182; 2.15.68). A humanidade deve reconhecer que </w:t>
      </w:r>
      <w:r>
        <w:rPr>
          <w:i/>
        </w:rPr>
        <w:t>um</w:t>
      </w:r>
      <w:r>
        <w:t xml:space="preserve"> Deus criou o início de todas as coisas e tem o poder de trazer todas as coisas a um fim (</w:t>
      </w:r>
      <w:r>
        <w:rPr>
          <w:i/>
        </w:rPr>
        <w:t>Stromata</w:t>
      </w:r>
      <w:r>
        <w:t xml:space="preserve"> 6.5.39–41). Os pagãos, a quem o autor da Pregação de Pedro se opôs, sustentavam que o universo era incriado e eterno. Deus, afirma o autor, é invisível, incompreensível, não precisa de nada, é inconcebível, eterno, imperecível e incriado. Este Deus não deve ser adorado à maneira dos gregos, pois eles tolos criaram imagens de materiais comuns e as adoram como deuses. Além disso, eles pegam animais que deveriam ser usados para alimentação e os sacrificam a esses ídolos. A adoração dos judeus também não deve ser emulada, pois eles reverenciam anjos, arcanjos, meses e a lua. Se algum da nação de Israel se arrepender, encontrará perdão (</w:t>
      </w:r>
      <w:r>
        <w:rPr>
          <w:i/>
        </w:rPr>
        <w:t>Stromata</w:t>
      </w:r>
      <w:r>
        <w:t xml:space="preserve"> 6.5.43). Em um lugar, a Pregação de Pedro narra como o Senhor enviou discípulos para pregar o evangelho por todo o mundo após a ressurreição (</w:t>
      </w:r>
      <w:r>
        <w:rPr>
          <w:i/>
        </w:rPr>
        <w:t>Stromata</w:t>
      </w:r>
      <w:r>
        <w:t xml:space="preserve"> 6.6.48), embora a conexão precisa entre esta narrativa e as declarações apologéticas anteriores não seja clara. Pode ser que o documento tenha começado com uma versão especial da Grande Comissão. Em outro lugar, o documento afirma que os profetas do AT falam de Cristo, às vezes em parábolas e enigmas, mas em outras ocasiões de forma muito clara e direta (</w:t>
      </w:r>
      <w:r>
        <w:rPr>
          <w:i/>
        </w:rPr>
        <w:t>Stromata</w:t>
      </w:r>
      <w:r>
        <w:t xml:space="preserve"> 6.15.128). De fato, os principais eventos da vida de Cristo, sua vinda, tortura, crucificação, morte, ressurreição e ascensão ao céu foram preditos em detalhes pelos profetas.</w:t>
      </w:r>
    </w:p>
    <w:p>
      <w:r/>
      <w:r>
        <w:t>A importância dos fragmentos sobreviventes da Pregação de Pedro reside na maneira como revelam que o cristianismo do início do segundo século passou de uma posição defensiva para uma ofensiva na sua proclamação do evangelho.</w:t>
      </w:r>
    </w:p>
    <w:p>
      <w:pPr>
        <w:pStyle w:val="Heading4"/>
      </w:pPr>
      <w:r>
        <w:t>Pedro, Atos Eslavos de</w:t>
      </w:r>
    </w:p>
    <w:p>
      <w:r/>
      <w:r>
        <w:t>Um relato das viagens posteriores de Pedro e sua subsequente morte em Roma preservado para nós apenas na língua eslava. De acordo com este relato, uma criança (Jesus) vem a Pedro e lhe ordena que vá a Roma. O anjo Miguel é o capitão do navio que os leva a Roma. Após a chegada em Roma, Pedro diz à criança para pegar alguns peixes, e então ele pega 12.000 em uma hora. Depois, a criança é vendida a um nobre romano, Aravisto, por 50 peças de ouro. A criança silencia seus professores. Após uma visão de anjos, toda a casa é batizada. Nero prende Pedro, e então a criança o repreende. Muitos mortos são ressuscitados, mas a criança os envia de volta para seus túmulos para aguardarem a ressurreição por Miguel. Pedro é crucificado de cabeça para baixo. Quando a criança revela que é Jesus, os pregos caem do corpo de Pedro, ele ora pelo perdão de seus executores, e então ele morre. Tais versões apócrifas dos atos dos primeiros líderes da igreja são caracteristicamente cheias de atos fantasiosos dos apóstolos e seu contato com o Cristo.</w:t>
      </w:r>
    </w:p>
    <w:p>
      <w:pPr>
        <w:pStyle w:val="Heading4"/>
      </w:pPr>
      <w:r>
        <w:t>Carta de Pedro para Filipe</w:t>
      </w:r>
    </w:p>
    <w:p>
      <w:r/>
      <w:r>
        <w:t>Esta carta faz parte do material gnóstico cristão descoberto em 1947 em Nag Hammadi. Provavelmente data do final do segundo ou início do terceiro século. A carta recebe seu nome de um segmento no início do tratado em que Pedro afirma ter enviado o material a Filipe. A carta é escrita em uma forma de diálogo comum na literatura gnóstica. O corpo do texto consiste em uma série de perguntas feitas pelos apóstolos ao Senhor ressuscitado e as respostas dadas por ele. As perguntas fornecem uma base para a exposição da filosofia gnóstica sobre a estrutura do mundo revelada pela Luz Divina. Essa Luz é o Cristo, que é o Redentor celestial.</w:t>
      </w:r>
    </w:p>
    <w:p>
      <w:pPr>
        <w:pStyle w:val="Heading4"/>
      </w:pPr>
      <w:r>
        <w:t>Pilatos, Atos de</w:t>
      </w:r>
    </w:p>
    <w:p>
      <w:r/>
      <w:r>
        <w:t>Este documento é um evangelho apócrifo da paixão que alcançou sua forma atual em meados do quarto século d.C. O primeiro escritor cristão a se referir aos Atos de Pilatos foi Epifânio, um caçador de heresias eclesiástico, que escreveu uma longa denúncia de várias heresias em 375 d.C., na qual ele definitivamente mencionou os Atos de Pilatos (</w:t>
      </w:r>
      <w:r>
        <w:rPr>
          <w:i/>
        </w:rPr>
        <w:t>Heresias</w:t>
      </w:r>
      <w:r>
        <w:t xml:space="preserve"> 50.1). Muito antes, Justino Mártir havia se referido ao relatório de Pilatos a Tibério sobre o julgamento de Jesus (</w:t>
      </w:r>
      <w:r>
        <w:rPr>
          <w:i/>
        </w:rPr>
        <w:t>I Apologia</w:t>
      </w:r>
      <w:r>
        <w:t xml:space="preserve"> 35; 48), mas ele não parece estar se referindo aos Atos de Pilatos. No final do segundo século d.C., uma geração após Justino, Tertuliano referiu-se a um relato enviado de Pilatos ao Imperador Tibério, mas este não pode ser os Atos de Pilatos, já que Jesus supostamente realizou muitos milagres diante do procurador. Embora não seja improvável que uma versão anterior dos Atos de Pilatos seja anterior ao quarto século, a versão atual deve ser datada de meados desse século. A língua original dos Atos de Pilatos era o grego, e traduções foram feitas para o latim, copta e armênio. Eusébio, o historiador da igreja do quarto século e bispo de Cesareia, condena o que ele considerava um relato blasfemo de Pilatos, aparentemente um documento pagão calculado para difamar Cristo (</w:t>
      </w:r>
      <w:r>
        <w:rPr>
          <w:i/>
        </w:rPr>
        <w:t>História Eclesiástica,</w:t>
      </w:r>
      <w:r>
        <w:t xml:space="preserve"> 1.9.3; 9.5.1). Os "Atos cristãos de Pilatos" foi provavelmente composto para contrariar o documento pagão.</w:t>
      </w:r>
    </w:p>
    <w:p>
      <w:r/>
      <w:r>
        <w:t xml:space="preserve">Os Atos de Pilatos é um documento composto por duas partes principais. A primeira parte (caps 1–16) alega ser uma tradução do hebraico para o grego de um relato escrito por Nicodemos sobre os eventos que cercam a paixão de Jesus. A segunda parte (caps 17–27), também chamada de “Descida de Cristo ao Inferno”, descreve vividamente a descida de Cristo ao Hades para libertar os justos mortos (uma expansão imaginativa de </w:t>
      </w:r>
      <w:hyperlink r:id="rId112">
        <w:r>
          <w:rPr>
            <w:color w:val="0000EE"/>
            <w:u w:val="single"/>
          </w:rPr>
          <w:t>1Pe 3.19</w:t>
        </w:r>
      </w:hyperlink>
      <w:r>
        <w:t xml:space="preserve"> que foi transformada no Credo dos Apóstolos na frase “ele desceu ao inferno”). Após o século 14 d.C., toda a composição foi comumente designada como o Evangelho de Nicodemos devido ao lugar proeminente que esse personagem ocupava no documento.</w:t>
      </w:r>
    </w:p>
    <w:p>
      <w:r/>
      <w:r>
        <w:t xml:space="preserve">No prólogo dos Atos de Pilatos, um soldado romano chamado Ananias afirma ter encontrado os Atos de Pilatos em hebraico e os traduzido para o grego no 18º ano do reinado do Imperador Flávio Teodósio (425 d.C.). Segue-se uma citação de todo o documento: No 15º ano de Tibério César (29 d.C.), Nicodemos escreveu um relato dos eventos que cercaram a paixão, morte e ressurreição de Jesus. Os sumos sacerdotes judeus acusaram Jesus de vários crimes religiosos a Pilatos e pediram que ele fosse julgado. Embora relutante, Pilatos mandou chamar Jesus de qualquer maneira, embora de forma bastante graciosa. Quando Jesus chegou, os estandartes romanos se inclinaram para ele por conta própria (cap. 1). No capítulo 2 as acusações judaicas contra Jesus incluíam: (1) que ele nasceu de fornicação, (2) que seu nascimento significou a morte das crianças de Belém, e (3) que José e Maria fugiram para o Egito porque eram insignificantes entre o povo de Israel. A acusação de fornicação foi imediatamente refutada por 12 judeus piedosos que testemunharam o noivado de Maria e José. Segue-se uma entrevista entre Pilatos e Jesus (baseada em </w:t>
      </w:r>
      <w:hyperlink r:id="rId2223">
        <w:r>
          <w:rPr>
            <w:color w:val="0000EE"/>
            <w:u w:val="single"/>
          </w:rPr>
          <w:t>Jo 18.33–38</w:t>
        </w:r>
      </w:hyperlink>
      <w:r>
        <w:t xml:space="preserve">) no capítulo 3. Os judeus acusam Jesus de blasfemar contra Deus, e Pilatos relutantemente entrega Jesus a eles (cap. 4). Nicodemos então se levanta no conselho judaico e os exorta a deixar Jesus ir, pois se ele não é de Deus, seu movimento falhará (cf. </w:t>
      </w:r>
      <w:hyperlink r:id="rId2224">
        <w:r>
          <w:rPr>
            <w:color w:val="0000EE"/>
            <w:u w:val="single"/>
          </w:rPr>
          <w:t>At 5.38–39</w:t>
        </w:r>
      </w:hyperlink>
      <w:r>
        <w:t>), mas os judeus se opõem a ele (cap. 5). Então três judeus curados por Jesus testemunham em seu favor (cap. 6), seguidos por Berenice, a mulher curada do fluxo de sangue (cap. 7). A multidão proclama Jesus como profeta (cap. 8). Quando Pilatos oferece libertar um prisioneiro, os judeus pedem por Barrabás, e Pilatos então lava as mãos do assunto e manda Jesus ser açoitado e crucificado com os dois criminosos, Dimas e Gestas (cap. 9). Jesus é zombado pelas multidões, enquanto um criminoso (Gestas) é repreendido pelo outro (cap. 10). A morte de Jesus é acompanhada por um escurecimento do sol, que os judeus consideram um eclipse normal (cap. 11). José de Arimateia é então capturado pelos judeus e preso; quando eles vêm para executá-lo, ele desapareceu (cap. 12). Os guardas relatam a aparição do anjo no túmulo, mas são subornados pelos judeus para manter silêncio (cap. 12). Três judeus então vêm da Galileia: Finéias, um sacerdote; Adas, um professor; e Angeo, um levita. Eles relatam que testemunharam a Grande Comissão e Ascensão de Jesus no Monte Malique (cap. 14). Nicodemos sugere que as montanhas ao redor sejam verificadas para ver se algum espírito não levou Jesus apenas para jogá-lo nas rochas; os judeus não encontram nada além de José de Arimateia em sua cidade natal (cap. 15). José é convocado para testemunhar perante o conselho e revela como o Jesus ressuscitado apareceu para ele quando estava preso e o libertou (cap. 15). O conselho decide, após ouvir outras testemunhas, que se Jesus ainda for lembrado após 50 anos, as histórias devem ser verdadeiras (cap. 16).</w:t>
      </w:r>
    </w:p>
    <w:p>
      <w:r/>
      <w:r>
        <w:t>O segundo documento começa com um relato de José falando ao conselho. Dois irmãos, ele afirma, foram criados ao mesmo tempo que Jesus. O conselho os convoca para contar suas histórias (cap. 17). Enquanto estavam no Hades, os irmãos afirmaram, uma Grande luz apareceu e Abraão e Isaías ficaram muito felizes (cap. 18). Satanás pensou que Jesus poderia ser contido no Hades (cap. 20); mas quando o Rei da Glória chegou, os portões foram derrubados. Satanás foi entregue aos anjos para ser amarrado (cap. 22) e foi repreendido por Hades por causar a ruína de seu reino (cap. 23). O Rei da Glória (Cristo) então levou Adão e o restante dos justos mortos para fora do Hades (cap. 24) e para o paraíso (cap. 25), onde até mesmo o criminoso arrependido foi visto (cap. 26). Os dois irmãos afirmam que foram enviados pelo anjo Miguel para pregar a ressurreição de Jesus a toda a humanidade.</w:t>
      </w:r>
    </w:p>
    <w:p>
      <w:r/>
      <w:r>
        <w:t>Os Atos de Pilatos são um pastiche (coleção) de citações e alusões dos quatro Evangelhos canônicos, misturados com adições imaginativas e até fantásticas. É basicamente um documento apologético que tenta defender a verdade da ressurreição de Jesus contra as alegações contrárias de adversários pagãos e judeus. Infelizmente, tem um tom antissemita que caracterizaria as dramatizações cristãs dos eventos da Semana da Paixão do quarto século até o final da Idade Média.</w:t>
      </w:r>
    </w:p>
    <w:p>
      <w:pPr>
        <w:pStyle w:val="Heading4"/>
      </w:pPr>
      <w:r>
        <w:t>Pistis Sophia</w:t>
      </w:r>
    </w:p>
    <w:p>
      <w:r/>
      <w:r>
        <w:t>Um manuscrito copta do quarto século (Códice Askewianus) que representa uma das principais obras gnósticas existentes hoje. A obra, contendo quatro capítulos, deriva seu nome da heroína, Sophia, embora apenas a primeira metade da obra se refira a ela. Esta parte relata como Jesus, durante os primeiros 11 anos após sua ressurreição, voltou para ensinar a seus discípulos o maior mistério de todos: a Tesouraria da Luz. Jesus voltou ao Monte das Oliveiras, onde é levado através dos eons e em sua jornada chega ao décimo terceiro eon, onde encontra Sophia. Ela está em tristeza porque teve um vislumbre da Tesouraria da Luz, mas é enganada por Autades (o auto-suficiente), que exibe um falso brilho diante dela, fazendo-a cair nas mãos dos poderes da matéria. Ela mantém sua esperança e fé, no entanto, e após 12 orações é libertada de Autades e do caos por Jesus, que a reinstala no limite inferior do décimo terceiro eon.</w:t>
      </w:r>
    </w:p>
    <w:p>
      <w:r/>
      <w:r>
        <w:t>O trabalho está em forma de diálogo — com Jesus respondendo perguntas feitas por seus discípulos. O tema é totalmente gnóstico em sua visão de salvação que vem por uma doutrina oculta que traz iluminação.</w:t>
      </w:r>
    </w:p>
    <w:p>
      <w:pPr>
        <w:pStyle w:val="Heading4"/>
      </w:pPr>
      <w:r>
        <w:t>Protoevangelho de Tiago</w:t>
      </w:r>
    </w:p>
    <w:p>
      <w:r/>
      <w:r>
        <w:rPr>
          <w:i/>
        </w:rPr>
        <w:t>Veja</w:t>
      </w:r>
      <w:r>
        <w:t xml:space="preserve"> Tiago, Protevangelium de (acima).</w:t>
      </w:r>
    </w:p>
    <w:p>
      <w:pPr>
        <w:pStyle w:val="Heading4"/>
      </w:pPr>
      <w:r>
        <w:t>Salmos de Salomão</w:t>
      </w:r>
    </w:p>
    <w:p>
      <w:r/>
      <w:r>
        <w:rPr>
          <w:i/>
        </w:rPr>
        <w:t>Veja</w:t>
      </w:r>
      <w:r>
        <w:t xml:space="preserve"> Salomão, Salmos de (abaixo).</w:t>
      </w:r>
    </w:p>
    <w:p>
      <w:pPr>
        <w:pStyle w:val="Heading4"/>
      </w:pPr>
      <w:r>
        <w:t>Ressurreição de Cristo por Bartolomeu, Livro da</w:t>
      </w:r>
    </w:p>
    <w:p>
      <w:r/>
      <w:r>
        <w:rPr>
          <w:i/>
        </w:rPr>
        <w:t>Veja</w:t>
      </w:r>
      <w:r>
        <w:t xml:space="preserve"> Bartolomeu, Livro da Ressurreição de Cristo por (acima).</w:t>
      </w:r>
    </w:p>
    <w:p>
      <w:pPr>
        <w:pStyle w:val="Heading4"/>
      </w:pPr>
      <w:r>
        <w:t>Rúben, Testamento de</w:t>
      </w:r>
    </w:p>
    <w:p>
      <w:r/>
      <w:r>
        <w:rPr>
          <w:i/>
        </w:rPr>
        <w:t>Veja</w:t>
      </w:r>
      <w:r>
        <w:t xml:space="preserve"> Testamentos dos Doze Patriarcas (abaixo).</w:t>
      </w:r>
    </w:p>
    <w:p>
      <w:pPr>
        <w:pStyle w:val="Heading4"/>
      </w:pPr>
      <w:r>
        <w:t>Oráculos sibilinos</w:t>
      </w:r>
    </w:p>
    <w:p>
      <w:r/>
      <w:r>
        <w:t xml:space="preserve">Um escrito pseudepigráfico composto originalmente por 15 livros, dos quais 12 estão preservados em manuscritos gregos tardios. A palavra </w:t>
      </w:r>
      <w:r>
        <w:rPr>
          <w:i/>
        </w:rPr>
        <w:t>sibilina</w:t>
      </w:r>
      <w:r>
        <w:t xml:space="preserve"> é de origem grega. Alegava ser um oráculo dos deuses e geralmente continha uma mensagem de um evento catastrófico iminente. Alguns judeus adotaram e usaram esse modo de escrita para fins de propagação.</w:t>
      </w:r>
    </w:p>
    <w:p>
      <w:r/>
      <w:r>
        <w:t>As sibilas surgiram no início do período dos Macabeus (165 a.C.) e cobrem um período até pouco depois da destruição do segundo templo (76 d.C.). Os autores, presumivelmente escrevendo em Alexandria, Egito, enfatizaram a unidade e soberania de Deus. Deus controlava todos os eventos, enquanto as divindades pagãs eram inúteis, incapazes de fazer qualquer coisa. “Mas Deus é um, o mais exaltado de todos, que fez o céu, o sol, as estrelas e a lua... Ele constituiu o homem como o governante divinamente designado de tudo. Vocês homens... tenham vergonha de fazer deuses” (livro 2). Deus controla a história das nações. As sibilas delineiam a história de 10 gerações desde o reino assírio até a destruição do segundo templo e o grande terremoto (livro 4.47ff.). O terceiro livro também contém uma seção sobre a devastação e problemas a serem experimentados antes do grande julgamento. Inclui duas passagens messiânicas nas quais o Messias introduz uma era de paz e prosperidade para os fiéis: “Ele levantará seu reino por todas as eras sobre os homens... Pois nada além de paz virá sobre a terra dos bons” (linhas 767, 780). O estado eterno será reservado para os fiéis que serão ressuscitados dos mortos em forma corporal: “Mas todos os que são piedosos viverão novamente na terra, quando Deus lhes der fôlego e vida e graça aos piedosos” (livro 4.187–190), enquanto os ímpios serão lançados no inferno, “E todos os que pecaram com atos de impiedade um monte de terra cobrirá novamente, e o sombrio Tártaro e os recessos negros do inferno” (linhas 183–186).</w:t>
      </w:r>
    </w:p>
    <w:p>
      <w:r/>
      <w:r>
        <w:t>O propósito expresso dos autores das sibilas era demonstrar a razoabilidade da fé judaica ao apresentar sua mensagem na forma da sibila, introduzida pelos gregos e apreciada pelos romanos. Na sua ênfase no Deus de Israel e na sua oposição ao paganismo, eles, no entanto, estão na corrente do apocalíptico, a revelação dos segredos de Deus sobre o passado e o futuro. A sibila como oráculo divino foi, assim, usada como uma forma literária para transmitir uma mensagem ao mundo não-judaico.</w:t>
      </w:r>
    </w:p>
    <w:p>
      <w:pPr>
        <w:pStyle w:val="Heading4"/>
      </w:pPr>
      <w:r>
        <w:t>Silvano, Ensinamentos de</w:t>
      </w:r>
    </w:p>
    <w:p>
      <w:r/>
      <w:r>
        <w:t>Obra literária dos gnósticos, atribuída a Silvano, o companheiro de Pedro e Paulo. Foi descoberta em Chenoboskion no Alto Egito em 1946.</w:t>
      </w:r>
    </w:p>
    <w:p>
      <w:pPr>
        <w:pStyle w:val="Heading4"/>
      </w:pPr>
      <w:r>
        <w:t>Simeão, Testamento de</w:t>
      </w:r>
    </w:p>
    <w:p>
      <w:r/>
      <w:r>
        <w:rPr>
          <w:i/>
        </w:rPr>
        <w:t>Veja</w:t>
      </w:r>
      <w:r>
        <w:t xml:space="preserve"> Testamentos dos Doze Patriarcas (abaixo).</w:t>
      </w:r>
    </w:p>
    <w:p>
      <w:pPr>
        <w:pStyle w:val="Heading4"/>
      </w:pPr>
      <w:r>
        <w:t>Atos Eslavos de Pedro</w:t>
      </w:r>
    </w:p>
    <w:p>
      <w:r/>
      <w:r>
        <w:rPr>
          <w:i/>
        </w:rPr>
        <w:t>Veja</w:t>
      </w:r>
      <w:r>
        <w:t xml:space="preserve"> Pedro, Atos Eslavos de (acima).</w:t>
      </w:r>
    </w:p>
    <w:p>
      <w:pPr>
        <w:pStyle w:val="Heading4"/>
      </w:pPr>
      <w:r>
        <w:t>Salomão, Salmos de</w:t>
      </w:r>
    </w:p>
    <w:p>
      <w:r/>
      <w:r>
        <w:t>Os Salmos de Salomão são uma coleção de 18 cânticos atribuídos a Salomão. Eles são considerados pseudepígrafos. Os salmos foram provavelmente escritos por um autor, que viveu durante o meio do primeiro século a.C. e escreveu em hebraico. A perspectiva teológica do autor é farisaica em suas visões sobre a lei, o julgamento e o futuro de Israel. Os Salmos de Salomão são derivados do livro canônico de Salmos em sua forma e fraseologia. Uma das semelhanças na forma e fraseologia é a ênfase na antítese entre os justos e os ímpios. Os ímpios são os gentios que profanam as coisas sagradas do Senhor (2.3) e judeus apóstatas que caíram em pecado (3.11,13).</w:t>
      </w:r>
    </w:p>
    <w:p>
      <w:r/>
      <w:r>
        <w:t>O caráter do pecador é o do tolo, em oposição ao homem sábio (cf. Literatura de Sabedoria). O tolo não se preocupa com o Senhor (4.1); suas palavras e ações traem sua injustiça (4.2ss.). Ele é conhecido por suas mentiras, julgamento dos outros, falsos juramentos, sua imoralidade, ilegalidade e ambições egoístas às custas dos outros (cf. 12). Os justos são os sábios, que temem o Senhor (4.26). Ele não se perturba com maus sonhos ou tempos perigosos (6.4–5). Ele é provocado com zelo pela justiça do Senhor, ao testemunhar a profanação do templo e da lei (8.28). O amor do Senhor por ele é expresso na disciplina, e ele responde à repreensão do Senhor com arrependimento por seus pecados. O autor compara os justos à árvore da vida no Paraíso. Eles são estáveis e não serão desenraizados (14.2ss.). Os ímpios, por outro lado, não serão lembrados nesta vida, e Deus lidará com eles de forma justa, lançando-os no “Sheol e escuridão e destruição” (14.6; 15.10).</w:t>
      </w:r>
    </w:p>
    <w:p>
      <w:r/>
      <w:r>
        <w:t>O autor vê Deus como o Rei que governa poderosamente sobre as nações (2.34ff.) com prontidão para julgar seus inimigos e os inimigos dos justos (2.38ff.; 4.9) e para vindicar os justos (2.39). Como o cuidado do Senhor é demonstrado em seu sustento da natureza (5.11–12), em ele levantar reis, governantes e nações (5.13), o autor assegura ao leitor que seu cuidado se estende particularmente aos pobres e àqueles que o invocam (5.2–3,13). Ele é a esperança dos justos (8.37).</w:t>
      </w:r>
    </w:p>
    <w:p>
      <w:r/>
      <w:r>
        <w:t>Em vista da crença anterior na realeza justa de Deus e em sua proteção aos justos, os salmos abundam na convicção de que o mal será superado pela intervenção de Deus em favor dos justos. O contexto particular em que esses salmos se originaram foi a entrada de Pompeu em Jerusalém e sua profanação do templo (63 a.C.), e esperava-se que, com a morte de Pompeu (48 a.C., cf. 2.30ss.), a era messiânica pudesse ser introduzida. Portanto, o autor lembra a Deus da aliança feita com Davi (17.5) e pede o perdão de Deus pelos pecados de Israel no passado. Israel sofreu invasões gentias e controle como resultado do julgamento de Deus (17.6). Como Pompeu havia morrido, o autor orou pela restauração da teocracia sob um rei davídico — “Eis, ó Senhor, e levanta-lhes seu rei, o filho de Davi. Todo o tempo em que Tu vês, ó Deus, que ele possa reinar sobre Israel Teu servo” (17.23). Por meio do Messias davídico, a terra será purificada dos pecadores, nações ímpias, e os justos serão santificados. O governo messiânico se estende apenas sobre o remanescente justo, que, quando restaurado à terra, será dividido nas 12 tribos; o Messias davídico governará sobre as tribos e as outras nações “na sabedoria de sua justiça” (17.29–31). O estrangeiro e as nações gentias não compartilharão da glória do reino. Em vez disso, sua posição será de servidão.</w:t>
      </w:r>
    </w:p>
    <w:p>
      <w:r/>
      <w:r>
        <w:t>A esperança do futuro glorioso de Israel é o elemento apocalíptico nos salmos. Eles surgiram em um contexto histórico, mas antecipam um futuro radicalmente novo. O salmista pronunciou uma bênção sobre todos aqueles que testemunhariam o julgamento de Deus sobre as nações, a restauração de Israel e a introdução do reino messiânico: “Bem-aventurados aqueles que estarão nesses dias, pois verão a boa fortuna de Israel que Deus realizará na reunião das tribos. Que o Senhor apresse Sua misericórdia sobre Israel! O próprio Senhor é nosso rei para todo o sempre” (17.50–51).</w:t>
      </w:r>
    </w:p>
    <w:p>
      <w:pPr>
        <w:pStyle w:val="Heading4"/>
      </w:pPr>
      <w:r>
        <w:t>Salomão, Testamento de</w:t>
      </w:r>
    </w:p>
    <w:p>
      <w:r/>
      <w:r>
        <w:t>O Testamento de Salomão é um escrito pseudepigráfico do segundo século a.C. O escrito afirma que Salomão foi o autor do testamento. Ele existe em manuscritos semíticos e em alguns textos gregos.</w:t>
      </w:r>
    </w:p>
    <w:p>
      <w:r/>
      <w:r>
        <w:t>O material é basicamente cristão com ênfase na cruz e no nascimento virginal, mas também contém material judaico. O testamento relata como Salomão, por meio de um anel dado a ele pelo arcanjo Miguel, é capaz de subjugar e usar as habilidades de demônios para construir seu templo. Após completar o templo, no entanto, Salomão é levado à idolatria por causa de sua paixão por uma jovem sunamita. Sua queda foi tomada pelo autor do testamento como uma ocasião para alertar os leitores sobre o poder e as formas do demônios e os anjos que têm poder sobre eles. A obra é escrita na forma de um testamento para permitir que Salomão reflita (em seu leito de morte) sobre como ele teve sucesso e falhou como um legado para Israel.</w:t>
      </w:r>
    </w:p>
    <w:p>
      <w:pPr>
        <w:pStyle w:val="Heading4"/>
      </w:pPr>
      <w:r>
        <w:t>Testamentos dos Doze Patriarcas</w:t>
      </w:r>
    </w:p>
    <w:p>
      <w:r/>
      <w:r>
        <w:t>Parte do pseudepígrafo judaico. Esta composição em particular é chamada de "testamento" porque representa os discursos de leito de morte de cada um dos filhos de Jacó. Os testamentos começam com o discurso de Rúben para seus filhos e terminam com o testamento de Benjamim para seus herdeiros. Cada patriarca é representado reunindo seus filhos ao seu redor e relatando os eventos importantes de sua vida. Durante o discurso, o patriarca adverte contra vícios e atitudes particulares e recomenda certas virtudes. O conselho e as advertências de cada patriarca frequentemente incluem percepções e previsões sobre pecado e salvação para seus filhos. O relato da vida do patriarca serve como um guia para o futuro de seus descendentes. No final do discurso, cada patriarca morre e é sepultado em Hebrom.</w:t>
      </w:r>
    </w:p>
    <w:p>
      <w:r/>
      <w:r>
        <w:t xml:space="preserve">Parece que o conceito de "testamento" encontra sua orientação em </w:t>
      </w:r>
      <w:hyperlink r:id="rId2225">
        <w:r>
          <w:rPr>
            <w:color w:val="0000EE"/>
            <w:u w:val="single"/>
          </w:rPr>
          <w:t>Josué 23–24</w:t>
        </w:r>
      </w:hyperlink>
      <w:r>
        <w:t>, onde Josué convoca os anciãos, chefes, juízes e oficiais de Israel (</w:t>
      </w:r>
      <w:hyperlink r:id="rId2226">
        <w:r>
          <w:rPr>
            <w:color w:val="0000EE"/>
            <w:u w:val="single"/>
          </w:rPr>
          <w:t>Js 23.2</w:t>
        </w:r>
      </w:hyperlink>
      <w:r>
        <w:t xml:space="preserve">; </w:t>
      </w:r>
      <w:hyperlink r:id="rId2227">
        <w:r>
          <w:rPr>
            <w:color w:val="0000EE"/>
            <w:u w:val="single"/>
          </w:rPr>
          <w:t>24.1</w:t>
        </w:r>
      </w:hyperlink>
      <w:r>
        <w:t xml:space="preserve">) e lhes dá uma incumbência antes de sua morte. </w:t>
      </w:r>
      <w:hyperlink r:id="rId2228">
        <w:r>
          <w:rPr>
            <w:color w:val="0000EE"/>
            <w:u w:val="single"/>
          </w:rPr>
          <w:t>Primeiro de Reis 2.1–12</w:t>
        </w:r>
      </w:hyperlink>
      <w:r>
        <w:t xml:space="preserve"> retrata Davi dando a Salomão conselhos no leito de morte para andar nos caminhos de Deus. Os discursos dos patriarcas encontram mais referência nas escrituras no capítulo </w:t>
      </w:r>
      <w:hyperlink r:id="rId2229">
        <w:r>
          <w:rPr>
            <w:color w:val="0000EE"/>
            <w:u w:val="single"/>
          </w:rPr>
          <w:t>49</w:t>
        </w:r>
      </w:hyperlink>
      <w:r>
        <w:t xml:space="preserve"> de Gênesis, onde Jacó chama seus filhos para ouvir sobre seu futuro. No final do discurso, Jacó morre (</w:t>
      </w:r>
      <w:hyperlink r:id="rId2230">
        <w:r>
          <w:rPr>
            <w:color w:val="0000EE"/>
            <w:u w:val="single"/>
          </w:rPr>
          <w:t>Gn 49.33</w:t>
        </w:r>
      </w:hyperlink>
      <w:r>
        <w:t>).</w:t>
      </w:r>
    </w:p>
    <w:p>
      <w:r/>
      <w:r>
        <w:t>A forma textual atual (versões eslava, armênia e grega) provavelmente surgiu em algum momento durante o segundo ou terceiro século d.C. No entanto, grande parte do material parece remontar ao segundo ou terceiro século a.C. O consenso acadêmico geral é que um texto original em uma língua semítica (hebraico ou aramaico) foi composto por um autor ou autores em algum momento no terceiro ou segundo século antes da era comum. Em um período posterior, seções cristãs foram adicionadas ao texto original. Para exemplos das seções cristãs, veja Testamento de Simeão 6.7; Testamento de Levi 10.2; Testamento de Dã 6.9; Testamento de Naftali 4.5; Testamento de Aser 7.3–4; Testamento de José 19.11; Testamento de Benjamim 3.8; 9.2–4. Parece que os testamentos podem ter sido retrabalhados por um(s) escritor(es) judeu(s) e por outros escritores cristãos ao longo dos séculos. Assim, temos um documento judaico de cerca do terceiro século antes da era comum que passou por redações judaicas e cristãs ao longo de um longo período de tempo. Esses testamentos tornaram-se bastante populares no décimo século, com especial interesse sendo demonstrado nas profecias dos patriarcas e seu conhecimento secreto.</w:t>
      </w:r>
    </w:p>
    <w:p>
      <w:r/>
      <w:r>
        <w:t xml:space="preserve">O seguinte é um resumo de cada um dos testamentos dos patriarcas. Os trechos são baseados em </w:t>
      </w:r>
      <w:r>
        <w:rPr>
          <w:i/>
        </w:rPr>
        <w:t>Pseudepigrapha</w:t>
      </w:r>
      <w:r>
        <w:t xml:space="preserve"> de R. H. Charles, pp 282–367.</w:t>
      </w:r>
    </w:p>
    <w:p>
      <w:r/>
      <w:r>
        <w:t>Rúben</w:t>
      </w:r>
    </w:p>
    <w:p>
      <w:r/>
      <w:r>
        <w:t>O testamento de Rúben é muito influenciado por uma memória avassaladora de ter profanado a cama de seu pai. Isso se refere a Rúben ter tomado a concubina de seu pai, Bila, enquanto ela estava em um estupor alcoólico. Rúben tem opiniões muito fortes sobre o que considera serem atributos negativos das mulheres e adverte seus filhos a serem cautelosos em seu relacionamento com elas. Seus comentários sobre as mulheres provavelmente refletem os sentimentos negativos que existiam entre ele e Jacó em relação a Bila. Rúben prevê que no futuro seus filhos teriam ciúmes dos filhos de Levi, mas não seriam capazes de derrubá-los. Ele admoesta seus descendentes a terem respeito e amor uns pelos outros e a praticarem a verdade com seus vizinhos. Rúben é enterrado em Hebrom.</w:t>
      </w:r>
    </w:p>
    <w:p>
      <w:r/>
      <w:r>
        <w:t>Simeão</w:t>
      </w:r>
    </w:p>
    <w:p>
      <w:r/>
      <w:r>
        <w:t>O patriarca Simeão é apresentado como um tipo de guerreiro forte. Refletindo o relato bíblico de José sendo vendido como escravo (</w:t>
      </w:r>
      <w:hyperlink r:id="rId2231">
        <w:r>
          <w:rPr>
            <w:color w:val="0000EE"/>
            <w:u w:val="single"/>
          </w:rPr>
          <w:t>Gn 37.25–28</w:t>
        </w:r>
      </w:hyperlink>
      <w:r>
        <w:t>), Simeão testemunha que queria matar José em vez de vendê-lo como escravo. Como punição por essa atitude, Deus secou sua mão direita por sete dias. Simeão adverte seus filhos contra a inveja, o engano e a fornicação. Ele prevê que eles tentarão prejudicar os filhos de Levi, mas profetiza que os filhos de Levi permanecerão superiores. Simeão aguardava uma era de bem-aventurança (6.4–7a), quando o “Altíssimo” seria bendito. O versículo 7b é uma interpolação cristã, “Porque Deus tomou um corpo e comeu com os homens e salvou os homens”. Ele admoesta seus filhos a obedecer aos filhos de Levi e Judá, pois seria deles que sua salvação seria realizada. Ele prevê que um sumo sacerdote viria de Levi e um rei desceria das linhas de Judá. Simeão conclui seu testamento prevendo que todos os gentios (uma interpolação) e Israel seriam salvos.</w:t>
      </w:r>
    </w:p>
    <w:p>
      <w:r/>
      <w:r>
        <w:t>Levi</w:t>
      </w:r>
    </w:p>
    <w:p>
      <w:r/>
      <w:r>
        <w:t>O testamento de leito de morte de Levi está na forma de sonhos que ele relata a seus filhos. Ele prediz que de seus descendentes e dos de Judá o Senhor “apareceria entre os homens” para salvar toda raça de homens (2.11). Os descendentes de Levi seriam “como o sol para toda a semente de Israel” (4.3b) e em um sonho é mostrado que as bênçãos do sacerdócio viriam para seus filhos (8.2–3). Levi prediz que um rei surgiria em Judá; este rei estabeleceria um novo sacerdócio que ministraria tanto para judeus quanto para gentios. O décimo capítulo tem uma interpolação cristã que, por causa da impiedade e transgressão, os filhos de Levi errariam contra “o Salvador do mundo, Cristo” (10.2) e que por isso seriam espalhados por todo o mundo. O capítulo 13 tem vários temas de sabedoria com ênfase na necessidade de seguir e obedecer a lei. O capítulo 16 introduz uma previsão escatológica de que os filhos de Levi se desviariam por 70 semanas. O capítulo seguinte dá um relato detalhado das 70 semanas nas quais haveria um sacerdócio para cada jubileu. O primeiro sacerdócio seria grande, e a relação do sacerdote com Deus seria tal que Deus seria chamado de pai. O segundo sacerdócio “seria concebido na tristeza dos amados” (17.3), mas este sacerdócio será glorificado por todos. Os cinco sacerdócios seguintes seriam caracterizados por tristeza, dor, ódio e trevas. No entanto, um novo sacerdócio eventualmente surgiria e a paz seria trazida a toda a terra (18.4); o pecado chegaria ao fim (18.9), pois este novo sacerdócio teria um espírito de entendimento e santificação repousando sobre ele. O testamento se encerra com uma advertência para escolher entre a lei do Senhor ou a obra de Beliar (variante de Belial). Os filhos se comprometem com a lei e, após a morte de Levi, eles o enterram em Hebrom.</w:t>
      </w:r>
    </w:p>
    <w:p>
      <w:r/>
      <w:r>
        <w:t>Judá</w:t>
      </w:r>
    </w:p>
    <w:p>
      <w:r/>
      <w:r>
        <w:t>No início do testamento de Judá, ele diz aos seus descendentes que havia sido prometido por seu pai que ele seria rei. “E aconteceu que, quando me tornei homem, meu pai me abençoou, dizendo: Você será um rei, prosperando em todas as coisas” (1.6). Judá relembra sua juventude e sua habilidade em conquistar animais selvagens. Ele obedeceu aos mandamentos e não cedeu à luxúria. Ele previu que seus descendentes cairiam na maldade por causa do amor ao dinheiro e da sedução de belas mulheres (cap. 17). No capítulo 21, Judá prevê que o Senhor daria a realeza aos seus descendentes e o sacerdócio aos filhos de Levi. O capítulo 24 inclui uma redação messiânica cristã. É previsto que da estrela de Jacó surgirá alguém que será sem pecado e dela crescerá uma vara de justiça para os gentios (24.6). O testamento conclui com esperança escatológica para o futuro quando “aqueles que são pobres por causa do Senhor serão enriquecidos e aqueles que são mortos por causa do Senhor despertarão para a vida” (25.4). Judá morre e é sepultado em Hebrom.</w:t>
      </w:r>
    </w:p>
    <w:p>
      <w:r/>
      <w:r>
        <w:t>Issacar</w:t>
      </w:r>
    </w:p>
    <w:p>
      <w:r/>
      <w:r>
        <w:t>As últimas palavras deste patriarca são um tanto únicas, pois Issacar é retratado como sendo “reto” e sem transgressão (ao contrário de muitos de seus irmãos). Ele prevê que o sacerdócio virá de Levi e a realeza surgirá da linhagem de Judá. No capítulo 6, Issacar prevê que seus filhos “aderirão” a Beliar. Se reconhecerem a misericórdia de Deus e seguirem a vida exemplar de Issacar, “todo espírito de Beliar fugirá deles”. Seu pedido final é ser enterrado em Hebrom com seus pais.</w:t>
      </w:r>
    </w:p>
    <w:p>
      <w:r/>
      <w:r>
        <w:t>Zebulom</w:t>
      </w:r>
    </w:p>
    <w:p>
      <w:r/>
      <w:r>
        <w:t>O patriarca Zebulom começa seu testamento caracterizando-se como um "bom presente" para seus pais. Ele, como Issacar, indica que não está consciente de pecar "exceto em pensamento" (e se ele tem alguma iniquidade, é apenas o pecado da ignorância). Zebulom afirma que não apoiou as ações tomadas contra José, e teria contado ao seu pai sobre a situação de José, exceto que os outros irmãos concordaram que se "alguém revelasse o segredo, ele deveria ser morto" (1.6). Em 1.7, ele declara que se não fosse por ele, os outros irmãos teriam matado José. Os irmãos estavam tão desconfiados de Zebulom que o vigiavam até que José fosse vendido. O versículo 5.3 tem um tema familiar encontrado no NT e nos rabinos: "Tenham compaixão em seus corações, meus filhos, porque assim como um homem faz ao seu próximo, assim o Senhor fará a ele". Zebulom acredita que esta lição é demonstrada em termos práticos. Os filhos dos outros irmãos adoeceram e morreram por causa da ação tomada contra José ("porque não mostraram misericórdia em seus corações", 5.5). Os filhos de Zebulom foram preservados sem doença. Ele continua seu ensinamento de sabedoria (8.3) declarando que na medida em que um homem tem compaixão por seu próximo, o Senhor na mesma medida terá misericórdia dele. Zebulom prevê a divisão entre os reinos do norte e do sul e a eventual conquista desses reinos pelos gentios. No entanto, o povo se arrependerá e o Senhor os trará de volta para "a terra" e Jerusalém (9.8). No capítulo 10, Zebulom prevê que após sua morte ele "surgirá como um governante no meio de seus filhos" (10.2), e promete recompensa para aqueles que guardam as leis e punição para os ímpios. Zebulom morre no final de seu testamento e é enterrado em Hebrom.</w:t>
      </w:r>
    </w:p>
    <w:p>
      <w:r/>
      <w:r>
        <w:t>Dan</w:t>
      </w:r>
    </w:p>
    <w:p>
      <w:r/>
      <w:r>
        <w:t>O patriarca Dã lamenta seu ciúme de José e indica que foi controlado pelo espírito de Beliar. Ele revela que queria matar José para ter o amor de seu pai. Dã adverte contra os espíritos de mentira e ira, e exorta seus descendentes a amarem a verdade e a longanimidade. Ele os admoesta a guardarem os mandamentos e a “amar o Senhor por toda a sua vida e uns aos outros com um coração verdadeiro” (5.3). Dã prediz que seus filhos “nos últimos dias” se afastarão do Senhor e assim provocarão a ira dos filhos de Levi. Eles também lutarão contra os filhos de Judá. Seus filhos não vencerão contra os filhos de Levi e Judá porque um anjo do Senhor os guiará. Dã é representado como tendo lido no livro de Enoque (uma referência favorita para os patriarcas) que Satanás e todos os espíritos de maldade e orgulho farão com que os filhos de Levi, Judá e Dã pequem. Eles serão levados ao cativeiro onde receberão as pragas do Egito e todos os males dos Gentios. No entanto, quando retornarem ao Senhor, receberão misericórdia e serão agraciados com paz. A previsão é de que haveria um que se levantaria da tribo de Judá e Levi que é chamado de “a salvação do Senhor”. Parece que o “que se levanta” faria guerra contra Beliar e executaria uma “vingança da Eternidade” contra seus inimigos (5.10). O aviso final de Dã é para ter cuidado com Satanás e seus espíritos e se aproximar de Deus e do anjo “que intercede por vocês” (6.2). A última seção admoesta os filhos de Dã a passarem para seus filhos tudo o que ouviram para que “o salvador dos Gentios possa recebê-los”. Segue-se uma polêmica cristã sobre o salvador ser verdadeiro, longânimo, manso e humilde (6.9). Quando Dã morre, ele é enterrado perto de Abraão, Isaque e Jacó.</w:t>
      </w:r>
    </w:p>
    <w:p>
      <w:r/>
      <w:r>
        <w:t>Naftali</w:t>
      </w:r>
    </w:p>
    <w:p>
      <w:r/>
      <w:r>
        <w:t>Diz-se que Naftali tem 130 anos quando dá suas últimas palavras. Ele é retratado como estando em boa saúde, mas na manhã após um banquete percebe que vai morrer. Assim, ele reúne seus filhos ao seu redor. Naftali tem um forte senso de ordem que contribui para a constituição e ações do homem, bem como do universo. Ele vê o “problema dos gentios” como o abandono do Senhor e a mudança de sua ordem para que obedecessem aos “troncos e pedras”. A mudança de ordem foi o problema em Sodoma e também causou o Dilúvio.</w:t>
      </w:r>
    </w:p>
    <w:p>
      <w:r/>
      <w:r>
        <w:t>Naftali lê do livro de Enoque que seus filhos se afastarão do Senhor e andarão “segundo toda a iniquidade dos gentios” (4.1). Ele prevê que seus descendentes serão levados cativos por causa de seus pecados e, posteriormente, um “pouco” retornará ao Senhor e ele os trará de volta à sua terra. Após o retorno à terra, Naftali prevê que seus filhos esquecerão o Senhor e “se tornarão ímpios”, resultando em sua dispersão por toda a terra. Eles permanecerão nesse estado até que a compaixão do Senhor venha e um homem que pratica justiça e misericórdia venha até eles. Naftali relata dois sonhos que teve em seu 40º ano. No primeiro sonho, ele viu o sol e a lua pararem. Isaque disse a seus netos para correrem e segurarem o sol e a lua, cada um de acordo com sua força. Levi segurou o sol, e Judá agarrou a lua. Ambos foram erguidos com o sol e a lua. Apareceu um touro no sonho com dois grandes chifres e asas de águia. Os outros filhos tentaram agarrar esse touro, mas não conseguiram. No entanto, José veio e segurou o touro e ascendeu “com ele nas alturas” (5.7).</w:t>
      </w:r>
    </w:p>
    <w:p>
      <w:r/>
      <w:r>
        <w:t>Segue-se uma previsão de que as 12 tribos de Israel seriam levadas cativas pelos assírios, medos, persas, caldeus e sírios. O outro sonho viu um navio navegando no mar de Jamnia sem marinheiros ou piloto. Escrito no navio estava a inscrição "O navio de Jacó" (6.2). Jacó e seus filhos estavam no navio, e quando uma tempestade surgiu, Jacó se afastou de sua presença. Eventualmente, o navio se despedaça com a força do mar, e enquanto José navega em um pequeno barco, o resto dos irmãos se divide entre nove tábuas, com Levi e Judá compartilhando uma tábua. Parece que, pelas orações de Levi, todos os irmãos eventualmente chegam em segurança à costa. Quando Naftali relata esses sonhos a seu pai, Jacó responde que todas essas coisas devem se cumprir.</w:t>
      </w:r>
    </w:p>
    <w:p>
      <w:r/>
      <w:r>
        <w:t>Naftali advertiu seus filhos para estarem unidos a Levi e Judá, pois através deles "a salvação surgirá para Israel" (8.2). Também através de Levi e Judá os justos dos gentios serão reunidos. Naftali morreu e foi sepultado em Hebrom.</w:t>
      </w:r>
    </w:p>
    <w:p>
      <w:r/>
      <w:r>
        <w:t>Gade</w:t>
      </w:r>
    </w:p>
    <w:p>
      <w:r/>
      <w:r>
        <w:t>O patriarca Gade é representado como odiando José porque José havia contado a seu pai que Gade e alguns dos outros irmãos estavam comendo do melhor dos rebanhos enquanto os cuidavam. Durante seu testamento, Gade confessa seu pecado de ódio a seus filhos e os adverte contra abrigar ódio, pois isso só traz angústia: “Pois assim como o amor vivificaria até os mortos e chamaria de volta aqueles que estão condenados a morrer, assim o ódio mataria os vivos e aqueles que pecaram venialmente não permitiria viver” (4.6).</w:t>
      </w:r>
    </w:p>
    <w:p>
      <w:r/>
      <w:r>
        <w:t>O arrependimento é entendido como algo que dá conhecimento à alma e leva a mente à salvação. Gade incentiva seus filhos a honrarem a linhagem de Levi e Judá, pois nela se encontra a salvação de Israel. Ele prevê que seus filhos andarão em toda maldade e corrupção e termina em uma nota um tanto pessimista pedindo para ser enterrado perto de seus pais. Gade é enterrado em Hebrom.</w:t>
      </w:r>
    </w:p>
    <w:p>
      <w:r/>
      <w:r>
        <w:t>Aser</w:t>
      </w:r>
    </w:p>
    <w:p>
      <w:r/>
      <w:r>
        <w:t>Aser está muito consciente dos bons e maus espíritos e da escolha que o homem deve fazer entre essas duas possibilidades. Aser prevê que seus descendentes agirão de forma ímpia e não darão atenção à lei de Deus. Assim, serão entregues nas mãos de seus inimigos e serão dispersos. Eles existirão nesse estado até que o “Altíssimo” visite a terra “vindo Ele mesmo [como homem entre os homens comendo e bebendo]... ele salvará Israel e todos os gentios” (7.3–4). Esta interpolação cristã é seguida por uma declaração de que o Senhor os reunirá por causa de sua misericórdia e por causa de Abraão, Isaque e Jacó. Quando Aser morre, ele é enterrado em Hebrom.</w:t>
      </w:r>
    </w:p>
    <w:p>
      <w:r/>
      <w:r>
        <w:t>José</w:t>
      </w:r>
    </w:p>
    <w:p>
      <w:r/>
      <w:r>
        <w:t>José se chama de "amado de Israel" (1.2) e, embora tenha visto inveja e morte, não se desviou. Durante seu testamento, ele conta sobre sua provação de ser vendido como escravo. Os versículos do capítulo 1 estão em paralelismo com a primeira metade do versículo contando a aflição de José e a segunda metade exaltando a segurança do Senhor: "Fui vendido como escravo, e o Senhor de todos me libertou: fui levado cativo, e sua mão forte me socorreu. Fui acometido pela fome e o próprio Senhor me alimentou" (1.5). José detalha suas experiências no Egito com oito capítulos dedicados às tentações da mulher egípcia. No entanto, José resistiu aos avanços dela e o Senhor o recompensou por suas convicções. Ele admoesta seus filhos a terem o temor do Senhor em todas as suas obras, porque quem faz a lei do Senhor será amado por ele. Este é o segredo de seu sucesso. José encoraja seus filhos a fazerem o bem a quem lhes fizer o mal e a orarem por seus inimigos. Ele dá sua atitude em relação a seus irmãos como exemplo de tal virtude.</w:t>
      </w:r>
    </w:p>
    <w:p>
      <w:r/>
      <w:r>
        <w:t>José admoesta seus filhos a observarem os mandamentos do Senhor e honrarem Levi e Judá, pois “o Cordeiro de Deus, que tira o pecado do mundo, que salva todos os gentios e Israel” (19.11) surgirá deles. Ele prevê a escravidão no Egito, mas também a libertação eventual. Ele instrui seus filhos a levarem seus ossos com eles quando saírem do Egito, e o testamento indica que José foi sepultado em Hebrom.</w:t>
      </w:r>
    </w:p>
    <w:p>
      <w:r/>
      <w:r>
        <w:t>Benjamin</w:t>
      </w:r>
    </w:p>
    <w:p>
      <w:r/>
      <w:r>
        <w:t>O último patriarca dá seu testamento quando tem 125 anos. Ele encoraja seus filhos a amarem o Senhor e guardarem seus mandamentos. Ele os exorta a seguir a bondade de José, pois ele não queria que as ações de seus irmãos contra ele fossem contadas como pecado. Benjamim prediz que em José se cumprirá a profecia “concernente ao Cordeiro de Deus e Salvador do mundo, e que um sem culpa será entregue por homens sem lei, e um sem pecado morrerá por homens ímpios no sangue da aliança, para a salvação dos gentios e de Israel e destruirá Beliar e seus servos” (3.8). Pode-se ver imediatamente como a interpolação cristã encontraria fácil acesso para uma polêmica neste testamento. José é retratado como sofrendo na inocência e sem remorso. Da mesma forma, o Messias cristão sofreria e morreria por homens ímpios.</w:t>
      </w:r>
    </w:p>
    <w:p>
      <w:r/>
      <w:r>
        <w:t>Benjamim acredita que há malfeitores entre seus filhos; de sua leitura do livro de Enoque, ele prevê que eles cometerão “fornicação com a fornicação de Sodoma” e apenas alguns sobreviverão (9.1). Parece haver um remanescente de cada tribo, pois as 12 tribos e os gentios se reunirão no último templo. A salvação deles será resultado do “Altíssimo” enviar seu único “profeta unigênito” (9.2), e ele será levantado sobre uma árvore e o véu do templo será rasgado e o Espírito de Deus será passado para os gentios. Benjamim admoesta seus filhos que, se andarem em santidade de acordo com os mandamentos do Senhor, todo Israel será reunido ao Senhor. Quando Benjamim morre, ele é enterrado em Hebrom.</w:t>
      </w:r>
    </w:p>
    <w:p>
      <w:r/>
      <w:r>
        <w:t>Do breve relato de cada patriarca, é evidente que os testamentos foram sujeitos a redação tanto judaica quanto cristã e vão além de mera interpolação. O texto reflete características como dois messias, um duplo mandamento de amor, ensinamentos éticos e teológicos, bem como salvação universal. No entanto, é muito difícil situar essas características em um período de tempo ou religião específicos.</w:t>
      </w:r>
    </w:p>
    <w:p>
      <w:pPr>
        <w:pStyle w:val="Heading4"/>
      </w:pPr>
      <w:r>
        <w:t>Tadeu, Atos de</w:t>
      </w:r>
    </w:p>
    <w:p>
      <w:r/>
      <w:r>
        <w:t>Uma versão do sexto século e extensão da Doutrina de Addai siríaca do quinto século, ou Lenda de Abgar. A Lenda contém uma suposta troca de cartas entre Abgar, rei de Edessa (9–46 d.C.), e Jesus. Essa troca resulta no envio de Tadeu, um dos apóstolos de Jesus, para Edessa. Enquanto está lá, ele realiza numerosos milagres, incluindo a cura de Abgar. Os Atos relatam que Abgar é curado quando Ananias, seu mensageiro, retorna antes da chegada de Tadeu. Os Atos se concentram na atividade de Tadeu ao estabelecer a igreja em Edessa.</w:t>
      </w:r>
    </w:p>
    <w:p>
      <w:pPr>
        <w:pStyle w:val="Heading4"/>
      </w:pPr>
      <w:r>
        <w:t>Tecla, Atos de Paulo e</w:t>
      </w:r>
    </w:p>
    <w:p>
      <w:r/>
      <w:r>
        <w:rPr>
          <w:i/>
        </w:rPr>
        <w:t>Veja</w:t>
      </w:r>
      <w:r>
        <w:t xml:space="preserve"> Paulo e Tecla, Atos de (acima).</w:t>
      </w:r>
    </w:p>
    <w:p>
      <w:pPr>
        <w:pStyle w:val="Heading4"/>
      </w:pPr>
      <w:r>
        <w:t>Tomé, Atos de</w:t>
      </w:r>
    </w:p>
    <w:p>
      <w:r/>
      <w:r>
        <w:t>Os Atos de Tomé é um dos vários atos dos apóstolos que têm três características comuns. Eles narram a propagação do evangelho pelo mundo antigo, promovem os feitos e palavras de um dos apóstolos e inevitavelmente narram o martírio desse Apóstolo. Os mais antigos desses “narrativas de atos” são os de Paulo, João, André, Pedro e Tomé. Os Atos de Tomé, como os outros, é uma mistura de piedade cristã, os romances helenísticos populares da época e ensinamentos moralísticos do tipo haggádico judaico.</w:t>
      </w:r>
    </w:p>
    <w:p>
      <w:r/>
      <w:r>
        <w:t>O estudo acadêmico dos Atos de Tomé sugere que provavelmente foi escrito no início do terceiro século. Foi definitivamente escrito primeiro em siríaco e provavelmente por alguém com fortes tendências à heresia gnóstica. Provou ser amplamente popular entre gnósticos, maniqueus e igrejas ortodoxas, tanto que foi rapidamente traduzido do siríaco original para o árabe, armênio e várias traduções gregas. A partir dessas diversas versões gregas, foram feitas traduções para o copta, latim e etíope. Porções significativas da versão copta foram, por sua vez, retraduzidas de volta para o árabe, etíope e grego, criando assim uma tradição textual bastante confusa. Apenas um texto siríaco completo e antigo sobrevive, e é considerado menos confiável do que algumas das traduções gregas existentes.</w:t>
      </w:r>
    </w:p>
    <w:p>
      <w:r/>
      <w:r>
        <w:t>Na edição crítica em inglês dos Atos de Tomé, a de A. F. J. Klijn publicada em 1962, a narrativa é dividida nos atos tradicionais (praxeis). Existem 13 destes numerados em 170 capítulos sequenciais que incluem o martírio conclusivo do Apóstolo. Várias peças litúrgicas, fragmentos de sermões e hinos são inseridos, incluindo dois hinos particularmente famosos na igreja primitiva — o da “Canção da Noiva” no ato 1 e o da “Canção da Pérola” no ato 9. Os primeiros seis atos não são entrelaçados por nenhum tema particular, e eles registram que Tomé embarcou em um navio para ir à Índia (ato 3), o que implicaria um ministério no sul da Índia. No entanto, o texto fala de ministério ao rei do norte da Índia, Gundaforo (ato 4). No entanto, os atos 7 a 13 e o martírio estão situados no reino do sul da Índia de Mazdai e são obviamente escritos por uma única mão. É provável que os primeiros seis atos representem materiais anteriores colocados no todo pelo escritor dos últimos sete atos e do martírio. Este documento é a primeira menção conhecida das tradições de que Tomé ministrou na Índia, foi martirizado lá, e que seus ossos foram retornados a Edessa. Atos de Tomé é escrito, assim como todos os atos apócrifos dos apóstolos, com a suposição de que o mundo foi dividido entre os apóstolos para evangelização e que a Índia coube a Tomé.</w:t>
      </w:r>
    </w:p>
    <w:p>
      <w:r/>
      <w:r>
        <w:t>Tomé é chamado Judas Tomé ao longo destes atos, seguindo o estilo sírio de se referir a esse apóstolo. Tomé é mencionado como o gêmeo de Jesus (o Dídimo do NT), como receptor de revelações divinas especiais e como sendo Jesus novamente encarnado — nos capítulos 10, 11, 39, 47 e 48 dos Atos. Muitos historiadores acreditam que estas são indicações claras do pensamento gnóstico. Outros acham que tais ideias são expressões da adaptação de Jesus à percepção humana e identificação com seus apóstolos — características frequentemente encontradas na literatura cristã primitiva. Parece não haver dúvida de que as tendências gnósticas ou maniqueístas foram gradualmente editadas dos textos gregos e latinos por copistas ortodoxos.</w:t>
      </w:r>
    </w:p>
    <w:p>
      <w:r/>
      <w:r>
        <w:t>Rapidamente se entende essa narrativa. Os Atos de Tomé começam com Judas Tomé recusando-se a ir para a Índia. Ele é então vendido como escravo — em paralelo à vinda de Cristo como escravo para redimir o homem. Assim, Tomé chega à Índia como carpinteiro (novamente o paralelo com Jesus) e construtor de casas. Ele atua como padrinho em um casamento no qual milagres convencem o flautista do papel de Tomé como apóstolo de Deus; então o rei pede a Tomé que ore por sua filha. Grande ênfase é colocada na pureza nos ensinamentos de Tomé, e isso geralmente envolve abstinência sexual também. Finalmente, muitos são convertidos, incluindo o rei, e eles formam uma assembleia de crentes em Sandaruque.</w:t>
      </w:r>
    </w:p>
    <w:p>
      <w:r/>
      <w:r>
        <w:t>No segundo ato, o rei, Gundofor, dá a Tomé uma grande soma de dinheiro para construir um palácio. Após surpreender o rei traçando o palácio no chão no inverno, Tomé constrói-lhe um palácio no céu ao dar o dinheiro aos pobres. O rei prende e decide matar Tomé pela suposta decepção; mas o irmão do rei, Gade, morre e vai ao céu onde vê o palácio e deseja comprá-lo. Gade é então reunido com seu corpo e tenta comprar o palácio de Gundofor, quando Gundofor descobre que não pode vendê-lo, liberta Tomé da prisão e aconselha Gade a providenciar a construção de seu próprio palácio no céu. Tomé dá uma grande doxologia (caps. 25 do ato 2), e os dois irmãos que passaram a acreditar em tudo isso querem ser batizados.</w:t>
      </w:r>
    </w:p>
    <w:p>
      <w:r/>
      <w:r>
        <w:t>Nestas narrativas de milagres e ensinamentos, todos os livros do NT parecem ser ecoados, embora haja relativamente poucas citações diretas. Passagens favoritas de milagres, como a jumenta falante de Balaão e a libertação de Pedro da prisão, são revividas na vida de Tomé com vasto embelezamento. A jumenta falante entra em uma casa e expulsa um demônio sob o comando de Tomé; Tomé causa grande consternação ao passar repetidamente para dentro e fora da prisão fechada com segurança. Tais milagres, sofrimentos e conversões compõem os atos 3 até 13 e continuam até o clímax do ministério de Judas Tomé. Seu martírio ocorre (cap. 168) nas mãos de quatro soldados com lanças que foram ordenados pelo rei de Mazdai a executar Tomé. Ele posteriormente aparece para seus seguidores, que têm os ossos de Tomé removidos para Edessa. Enquanto isso, o filho do rei de Mazdai adoece gravemente. Desesperado, o rei vai ao túmulo de Tomé, pensando em obter uma relíquia para curar seu filho. Ao encontrar o corpo desaparecido, ele usa o próprio pó sobre o qual o corpo de Judas Tomé repousava, e seu filho é curado. Depois disso, o rei se torna um crente e se junta à comunidade de crentes.</w:t>
      </w:r>
    </w:p>
    <w:p>
      <w:pPr>
        <w:pStyle w:val="Heading4"/>
      </w:pPr>
      <w:r>
        <w:t>Tomé, Evangelho de</w:t>
      </w:r>
    </w:p>
    <w:p>
      <w:r/>
      <w:r>
        <w:t>Um evangelho não canônico e herético de origem gnóstica que provavelmente data do segundo ou terceiro século d.C. É um de um grande número de escritos semelhantes que floresceram entre as primeiras seitas religiosas, como os marcosianos (um grupo do segundo século que construiu um elaborado sistema sacramental em torno de números) e os maniqueus (uma heresia dualista do terceiro século baseada no conflito primordial entre luz e trevas). De fato, Cirilo de Jerusalém, que morreu em 386 d.C., diz que o Evangelho de Tomé foi escrito por “um daqueles discípulos perversos de Mani” (o fundador do maniqueísmo). Junto com o Protoevangelho de Tiago, é um dos mais antigos e mais amplamente conhecidos dos mais de 50 evangelhos apócrifos que circularam dentro das igrejas durante o período de seu crescimento e expansão iniciais.</w:t>
      </w:r>
    </w:p>
    <w:p>
      <w:r/>
      <w:r>
        <w:t>Este Evangelho de Tomé (às vezes referido como um “evangelho da infância”) não deve ser confundido com a versão copta que foi desenterrada em 1945 perto de Nag Hammadi no Alto Egito. Esta última é uma coleção de 114 “ditos de Jesus”, que lançam muita luz sobre a influência do gnosticismo no cristianismo egípcio. Eles afirmam ser as “palavras secretas” de Jesus transmitidas por “Didimos Judas Tomé”. O Evangelho de Tomé, com o qual este artigo trata, é composto por uma série de milagres da infância de Jesus e é preservado para nós em quatro versões — duas em grego (uma consideravelmente mais longa que a outra), uma em latim e uma em siríaco.</w:t>
      </w:r>
    </w:p>
    <w:p>
      <w:r/>
      <w:r>
        <w:t>O Evangelho de Tomé era aparentemente conhecido já por Hipólito (155–235 d.C.), que o cita dizendo: “Aquele que me procura me encontrará em crianças a partir de sete anos; pois lá estarei, eu que estou escondido no décimo quarto eon, serei encontrado”. Hipólito afirmou que era usado pelos naassenos (uma seita gnóstica que adorava a serpente) para apoiar sua doutrina sobre a natureza do homem interior. A citação acima não é encontrada nas versões existentes, mas isso é compreensível porque há evidências da esticometria de Nicéforo (possivelmente do quarto século) de que uma versão anterior tinha mais do que o dobro do comprimento. O Evangelho de Tomé era conhecido tanto por Orígenes (c. 185–254 d.C.) quanto por Eusébio (c. 260–340 d.C.). Este último o classificou entre os escritos heréticos e disse que deveria ser “rejeitado como totalmente absurdo e ímpio” (</w:t>
      </w:r>
      <w:r>
        <w:rPr>
          <w:i/>
        </w:rPr>
        <w:t>História Eclesiástica</w:t>
      </w:r>
      <w:r>
        <w:t xml:space="preserve"> 3.25).</w:t>
      </w:r>
    </w:p>
    <w:p>
      <w:r/>
      <w:r>
        <w:t>As histórias que compõem o Evangelho de Tomé enfatizam o poder milagroso e a sabedoria sobrenatural do menino Jesus. Alguns estudiosos acreditam que foram originalmente fabricadas por cristãos ortodoxos em oposição à heresia gnóstica de que o “Cristo sobrenatural” veio sobre Jesus no momento de seu batismo. No entanto, é muito mais provável que devam sua origem à curiosidade das pessoas sobre como o menino Jesus deve ter sido. Algumas das histórias podem ter vindo de fontes pagãs.</w:t>
      </w:r>
    </w:p>
    <w:p>
      <w:r/>
      <w:r>
        <w:t>Além de três ou quatro milagres, que poderiam ser classificados como benéficos, os feitos sobrenaturais que se dizia serem realizados pelo menino Jesus eram destrutivos. Por exemplo, quando uma certa criança estragou algumas poças feitas por Jesus, ele foi amaldiçoado por Jesus e secou completamente. Outro menino que provocou Jesus ao esbarrar nele “imediatamente... caiu e morreu”. Um professor que bateu na cabeça de Jesus foi imediatamente amaldiçoado e caiu no chão. O escritor francês Renan referiu-se ao Jesus do Evangelho de Tomé como “um pequeno malandro perverso”.</w:t>
      </w:r>
    </w:p>
    <w:p>
      <w:r/>
      <w:r>
        <w:t>Ao longo do evangelho, Jesus é apresentado como infinitamente sábio. Ele ridiculariza seu professor Zaqueu dizendo: “Hipócrita, primeiro, se você sabe, ensine o Alfa, e então nós acreditaremos em você sobre o Beta”. Depois que Zaqueu se repreende por ser tão inferior àquele que pretendia tomar como discípulo, Jesus ri e anuncia: “Eu vim de cima para que eu possa amaldiçoá-los”. O texto continua: “E nenhum homem depois disso ousou provocá-lo, para que ele não o amaldiçoasse, e ele ficasse aleijado”.</w:t>
      </w:r>
    </w:p>
    <w:p>
      <w:r/>
      <w:r>
        <w:t>Outros milagres incluem fazer 12 pardais vivos de barro, golpear seus acusadores com cegueira, ressuscitar uma criança dos mortos, curar um pé cortado ao meio por um machado, carregar água em uma roupa de tecido, colher uma colheita enorme de um único grão de trigo, esticar um pedaço de madeira até seu comprimento adequado e curar seu irmão Tiago, que havia sido mordido por uma víbora enquanto recolhia gravetos (para fazer fogo). Mais milagres podem ser encontrados na versão latina mais longa.</w:t>
      </w:r>
    </w:p>
    <w:p>
      <w:r/>
      <w:r>
        <w:t>Não é surpresa que a igreja ortodoxa sempre tenha rejeitado do seu cânon das escrituras sagradas o apócrifo Evangelho de Tomé. No entanto, ele é citado em outros evangelhos posteriores do mesmo tipo. Por exemplo, o Evangelho de Pseudo-Mateus a partir do capítulo 18 é baseado no Evangelho de Tomé. Juntamente com outros materiais apócrifos, exerceu uma influência significativa na arte e literatura cristãs, especialmente a partir do décimo século. Por exemplo, o relato de Jesus fazendo os 12 pardais de barro aparece no Alcorão.</w:t>
      </w:r>
    </w:p>
    <w:p>
      <w:pPr>
        <w:pStyle w:val="Heading4"/>
      </w:pPr>
      <w:r>
        <w:t>Verdade, Evangelho da</w:t>
      </w:r>
    </w:p>
    <w:p>
      <w:r/>
      <w:r>
        <w:t>Por volta de 1945, um grupo de camponeses egípcios perto da moderna Nag Hammadi acidentalmente cavou em uma tumba da antiga vila conhecida como Shenesit-Chenoboskion e desenterrou um jarro contendo 13 livros (9 dos quais estavam em grande parte completos) e 15 fragmentos de obras. Esta descoberta era a biblioteca de uma antiga seita gnóstica e continha todos ou partes de 51 diferentes escritos gnósticos — todos, exceto dois, que nunca haviam chegado às mãos de estudiosos modernos antes. Agora chamados de textos de Nag Hammadi ou Chenoboskion, essas obras foram a primeira descoberta moderna de literatura gnóstica original. Todos são traduções coptas de originais gregos anteriores.</w:t>
      </w:r>
    </w:p>
    <w:p>
      <w:r/>
      <w:r>
        <w:t>O Códice I (intitulado o Códice Jung porque agora pertence ao Instituto Jung em Viena) é único entre as 13 obras porque está em copta sub-aquimímico, enquanto o restante das obras está no mais usual copta saídico. O Códice I contém cinco obras, duas das quais são o enormemente controverso Evangelho de Tomé e o Evangelho da Verdade.</w:t>
      </w:r>
    </w:p>
    <w:p>
      <w:r/>
      <w:r>
        <w:t>O Evangelho da Verdade não tem título, mas sim tira seu nome do incipit (primeira linha do texto); não tem autor; não contém destinatário. Na verdade, não é um evangelho, mas sim um tratado que expressa o gnosticismo valentiniano em seu estágio mais inicial. Como o gnosticismo expresso no Evangelho da Verdade carece de todo o desenvolvimento mitológico posterior de valentiniano e porque é declarado de forma simples e em formas de pensamento quase ortodoxas cristãs, a maioria dos estudiosos modernos o atribui ao próprio Valentim, embora nenhuma prova definitiva disso tenha sido descoberta até agora. Se o próprio Valentim não escreveu este documento, então teve que ser alguém no círculo imediato de seus discípulos iniciais.</w:t>
      </w:r>
    </w:p>
    <w:p>
      <w:r/>
      <w:r>
        <w:t>Valentim nasceu no Egito por volta de 100 a 110 d.C. Ele recebeu uma educação completa em Alexandria, tornou-se cristão e ensinou primeiro no Egito antes de se mudar para Roma por volta de 136 d.C., onde permaneceu até 154 ou 155. Tertuliano, em sua obra contra a heresia, parece implicar que Valentim foi expulso duas vezes da igreja romana; ele afirma que Valentim era um homem brilhante e eloquente que tinha esperanças de se tornar um bispo em Roma em algum momento. Valentim atraiu seguidores capazes que mais tarde expandiram seus ensinamentos quase além do reconhecimento. Mas quando ele deixou Roma em algum momento após 154 ou 155, ele havia rompido definitivamente com a ortodoxia e estava ensinando uma forma de heresia gnóstica cujo produto foi o Evangelho da Verdade, escrito por ele mesmo ou por alguém de seu círculo imediato. Há uma declaração sobrevivente de que Valentim ensinou posteriormente em Chipre, e então ele desaparece nas brumas da história.</w:t>
      </w:r>
    </w:p>
    <w:p>
      <w:r/>
      <w:r>
        <w:t>Ireneu disse que o Evangelho da Verdade não é evangelho, pois é diferente dos quatro Evangelhos (</w:t>
      </w:r>
      <w:r>
        <w:rPr>
          <w:i/>
        </w:rPr>
        <w:t>Contra as Heresias</w:t>
      </w:r>
      <w:r>
        <w:t xml:space="preserve"> 3.2.9). Ireneu estava certamente correto, pois a obra não é uma narrativa. Nem o Evangelho da Verdade contém qualquer história sobre Jesus, qualquer nome de lugar de qualquer tipo, qualquer data, ou qualquer menção de qualquer pessoa além de Jesus, que é mencionado apenas cinco vezes.</w:t>
      </w:r>
    </w:p>
    <w:p>
      <w:r/>
      <w:r>
        <w:t>Mais de 60 vezes, este breve trabalho utiliza as noções de conhecimento ou necessidade de saber. Este conhecimento nasce de dentro, à medida que a alma retorna a si mesma, encontrando ali o que a Divindade depositou nela — ou talvez melhor, encontrando ali o resíduo da Divindade ainda preso dentro dela. Assim, quem tem Gnose simplesmente tomou o que é seu e pode saber de onde vem e para onde está destinado. O papel de Cristo era apresentar o “Livro dos Vivos” ou o “Livro Vivo”. “Livro” é entendido, não como a proclamação do evangelho da vida e ensinamentos de Jesus, mas sim como o evangelho primordial ou verdade que existia antes da criação. Foi o erro e a ignorância que se rebelaram contra o Salvador e o pregaram no tronco. Implícito nisso, embora não explicitamente declarado, está o entendimento gnóstico de que também foi erro e ignorância divinos dos quais a matéria emergiu ou foi criada. A salvação para os seres vivos presos nesta matéria vem com o retorno à Divindade pura. O caminho deste retorno é a Gnose (conhecimento). O Pleroma, a plenitude da Divindade, saiu para as profundezas da matéria em busca dos eleitos entre os seres por meio de Jesus e da cruz.</w:t>
      </w:r>
    </w:p>
    <w:p>
      <w:r/>
      <w:r>
        <w:t>Embora essas características do gnosticismo sejam claras, este evangelho está muito mais próximo da ortodoxia do que a maioria dos escritos gnósticos de Chenoboskion, porque menciona apenas um Filho de Deus, não várias emanações; não divide Jesus em um Jesus físico e um Cristo divino; e, mais notavelmente, Sophia, a personagem central usual no drama cósmico gnóstico, não aparece de forma alguma. É por essas razões, entre outras, que o Evangelho da Verdade é colocado muito próximo da ruptura de Valentino com a ortodoxia.</w:t>
      </w:r>
    </w:p>
    <w:p>
      <w:r/>
      <w:r>
        <w:t>O Evangelho da Verdade assumiu algum grau de importância nos estudos do NT além do justificado por seu conteúdo herético, porque em toda parte assume nosso cânon completo do NT. Segundo a contagem de alguns estudiosos, há nada menos que 83 lugares onde o Evangelho da Verdade ecoa livros canônicos do NT — apesar do fato de não citar diretamente uma única fala de Jesus. Mais particularmente, ele se baseia fortemente no livro do Apocalipse e na Epístola aos Hebreus.</w:t>
      </w:r>
    </w:p>
    <w:p>
      <w:pPr>
        <w:pStyle w:val="Heading4"/>
      </w:pPr>
      <w:r>
        <w:t>Virgem, Assunção de</w:t>
      </w:r>
    </w:p>
    <w:p>
      <w:r/>
      <w:r>
        <w:t>Uma lenda amplamente divulgada trata da morte e translação da Virgem Maria. Nenhuma das muitas versões é anterior ao quarto século. A maioria remonta ao Egito. Nas versões coptas, o próprio Jesus aparece a Maria antes que os apóstolos partam para seus trabalhos missionários; Jesus anuncia sua morte e translação iminente. Em outra forma, um anjo faz o anúncio. Maria solicita a presença de todos os apóstolos, que são milagrosamente trazidos nas nuvens. Maria é transfigurada, e muitas curas resultam do contato com seu corpo morto. Ela é transportada para o céu por Jesus logo após sua morte.</w:t>
      </w:r>
    </w:p>
    <w:p>
      <w:r/>
      <w:r>
        <w:t>Esta lenda em si mesma ganhou um novo interesse e importância quando, em 1950, "A assunção da bendita Virgem" foi incorporada ao dogma oficial da Igreja Católica Romana.</w:t>
      </w:r>
    </w:p>
    <w:p>
      <w:pPr>
        <w:pStyle w:val="Heading4"/>
      </w:pPr>
      <w:r>
        <w:t>Virgem, Vida da</w:t>
      </w:r>
    </w:p>
    <w:p>
      <w:r/>
      <w:r>
        <w:t>Há vários relatos sobre a vida e existência inicial da Virgem Maria. A maioria deles nos chega através de textos coptas. Eles contam sobre o nascimento de Maria para Joaquim (também chamado Cleofas) e Ana, que foram zombados por amigos por não terem filhos. Maria nasceu após uma visão de uma pomba branca. Em alguns relatos, Maria foi dedicada ao Senhor e então confiada aos cuidados de um homem, José. Enquanto estava na casa tecendo o véu do templo, anjos vinham ministrar a ela. A anunciação por Gabriel é dada em grande detalhe. O nascimento de Jesus é descrito em detalhe enquanto José procura por uma parteira, Salomé. Outros relatos continuam a descrever cenas ternas entre Maria e o menino Jesus. Em algumas dessas versões, há uma identificação imprudente da Virgem Maria com todas as outras Marias dos Evangelhos.</w:t>
      </w:r>
    </w:p>
    <w:p>
      <w:pPr>
        <w:pStyle w:val="Heading4"/>
      </w:pPr>
      <w:r>
        <w:t>Zebulom, Testamento de</w:t>
      </w:r>
    </w:p>
    <w:p>
      <w:r/>
      <w:r>
        <w:rPr>
          <w:i/>
        </w:rPr>
        <w:t>Veja</w:t>
      </w:r>
      <w:r>
        <w:t xml:space="preserve"> Testamentos dos Doze Patriarcas (acima).</w:t>
      </w:r>
      <w:r/>
      <w:r/>
    </w:p>
    <w:p>
      <w:r/>
    </w:p>
    <w:p>
      <w:pPr>
        <w:pStyle w:val="Heading2"/>
      </w:pPr>
      <w:r>
        <w:t>Apolo</w:t>
      </w:r>
      <w:r/>
    </w:p>
    <w:p>
      <w:r/>
      <w:r>
        <w:t xml:space="preserve">Apolo era um judeu cristão e um pregador habilidoso na época das jornadas missionárias do apóstolo Paulo. Ele nasceu em Alexandria (Egito). A principal passagem bíblica sobre Apolo é </w:t>
      </w:r>
      <w:hyperlink r:id="rId2232">
        <w:r>
          <w:rPr>
            <w:color w:val="0000EE"/>
            <w:u w:val="single"/>
          </w:rPr>
          <w:t>Atos 18.24–19.1</w:t>
        </w:r>
      </w:hyperlink>
      <w:r>
        <w:t>.</w:t>
      </w:r>
    </w:p>
    <w:p>
      <w:pPr>
        <w:pStyle w:val="Heading3"/>
      </w:pPr>
      <w:r>
        <w:t>O início do ministério de Apolo</w:t>
      </w:r>
    </w:p>
    <w:p>
      <w:r/>
      <w:r>
        <w:t>De Alexandria, Apolo foi para Éfeso na Ásia Menor. Apolo era muito entusiasmado com sua fé. Ele era bem-educado e conhecia muito sobre cultura. Ele havia estudado cuidadosamente as Escrituras do Antigo Testamento. Ele conhecia o caminho do Senhor e falava com ousadia e abertamente na sinagoga em Éfeso. Apolo conhecia Jesus e ensinava sobre ele corretamente. No entanto, Apolo só sabia o que João Batista havia dito sobre Jesus. João Batista foi um homem que veio antes de Jesus para preparar as pessoas para a sua chegada.</w:t>
      </w:r>
    </w:p>
    <w:p>
      <w:pPr>
        <w:pStyle w:val="Heading3"/>
      </w:pPr>
      <w:r>
        <w:t>Apolo aprende com Priscila e Áquila</w:t>
      </w:r>
    </w:p>
    <w:p>
      <w:r/>
      <w:r>
        <w:t>Priscila e Áquila eram amigos e antigos associados de Paulo. Eles ouviram Apolo falar em Éfeso e perceberam que ele não conhecia o que havia acontecido com Jesus. Então o levaram consigo, em particular, e lhe explicaram o caminho de Deus de forma mais clara.</w:t>
      </w:r>
    </w:p>
    <w:p>
      <w:r/>
      <w:r>
        <w:t>Apolo estava convencido da importância do batismo de João e da mensagem de João de que Jesus era o Messias (o líder escolhido por Deus). Apolo não conhecia ensinamentos como a justificação pela fé em Cristo ou a obra do Espírito Santo na salvação. A justificação pela fé em Cristo é ser feito justo diante de Deus ao acreditar em Jesus. A obra do Espírito Santo na salvação é como o Espírito de Deus capacita as pessoas a se tornarem seguidores de Jesus. Priscila e Áquila ajudaram Apolo a aprender essas informações.</w:t>
      </w:r>
    </w:p>
    <w:p>
      <w:pPr>
        <w:pStyle w:val="Heading3"/>
      </w:pPr>
      <w:r>
        <w:t>O ministério de Apolo na Grécia</w:t>
      </w:r>
    </w:p>
    <w:p>
      <w:r/>
      <w:r>
        <w:t>Pouco depois dessa instrução, Apolo deixou Éfeso rumo à província romana da Acaia, na Grécia. Ele trouxe cartas dos cristãos de Éfeso, que instavam os discípulos na Acaia a receberem Apolo como um irmão cristão. Ao chegar, ele argumentou de forma contundente e pública com os judeus, usando seu conhecimento das Escrituras do Antigo Testamento para provar que Jesus era o Messias.</w:t>
      </w:r>
    </w:p>
    <w:p>
      <w:r/>
      <w:r>
        <w:t>Paulo considerou o trabalho de Apolo em Corinto valioso. Paulo descreveu Apolo como aquele que regou a semente que ele havia plantado como fundador da igreja (</w:t>
      </w:r>
      <w:hyperlink r:id="rId2233">
        <w:r>
          <w:rPr>
            <w:color w:val="0000EE"/>
            <w:u w:val="single"/>
          </w:rPr>
          <w:t>1Co 3.5–11</w:t>
        </w:r>
      </w:hyperlink>
      <w:r>
        <w:t>). Em 1 Coríntios, também fica claro que um dos grupos que dividia a igreja de Corinto era centrado em Apolo. No entanto, Apolo não era diretamente responsável por isso (</w:t>
      </w:r>
      <w:hyperlink r:id="rId2234">
        <w:r>
          <w:rPr>
            <w:color w:val="0000EE"/>
            <w:u w:val="single"/>
          </w:rPr>
          <w:t>1Co 1.12</w:t>
        </w:r>
      </w:hyperlink>
      <w:r>
        <w:t xml:space="preserve">; </w:t>
      </w:r>
      <w:hyperlink r:id="rId2235">
        <w:r>
          <w:rPr>
            <w:color w:val="0000EE"/>
            <w:u w:val="single"/>
          </w:rPr>
          <w:t>3.1–4</w:t>
        </w:r>
      </w:hyperlink>
      <w:r>
        <w:t>). Paulo teve dificuldade em convencer Apolo de que ele deveria retornar a Corinto. Isso pode ser porque Apolo não queria encorajar a continuação daquele pequeno grupo (</w:t>
      </w:r>
      <w:hyperlink r:id="rId2236">
        <w:r>
          <w:rPr>
            <w:color w:val="0000EE"/>
            <w:u w:val="single"/>
          </w:rPr>
          <w:t>1Co 16.12</w:t>
        </w:r>
      </w:hyperlink>
      <w:r>
        <w:t>).</w:t>
      </w:r>
      <w:r/>
      <w:r/>
    </w:p>
    <w:p>
      <w:r/>
    </w:p>
    <w:p>
      <w:pPr>
        <w:pStyle w:val="Heading2"/>
      </w:pPr>
      <w:r>
        <w:t>Apolônia</w:t>
      </w:r>
      <w:r/>
    </w:p>
    <w:p>
      <w:r/>
      <w:r>
        <w:t>Uma cidade localizada na via Egnácia, no leste da Macedônia. Paulo passou por Apolônia em sua segunda viagem missionária (</w:t>
      </w:r>
      <w:hyperlink r:id="rId1451">
        <w:r>
          <w:rPr>
            <w:color w:val="0000EE"/>
            <w:u w:val="single"/>
          </w:rPr>
          <w:t>At 17.1)</w:t>
        </w:r>
      </w:hyperlink>
      <w:r>
        <w:t>. Ele estava viajando do oeste de Filipos para Tessalônica, uma viagem de cerca de 145 quilômetros. Apolônia é geralmente identificada com a moderna Pollina.</w:t>
      </w:r>
      <w:r/>
      <w:r/>
    </w:p>
    <w:p>
      <w:r/>
    </w:p>
    <w:p>
      <w:pPr>
        <w:pStyle w:val="Heading2"/>
      </w:pPr>
      <w:r>
        <w:t>apostasia</w:t>
      </w:r>
      <w:r/>
    </w:p>
    <w:p>
      <w:r/>
      <w:r>
        <w:t>Virar-se contra Deus ao abandonar ou rejeitar crenças anteriores. O termo refere-se a uma rejeição deliberada da fé por alguém que costumava acreditar. Não se refere a não entender ou estar enganado. A apostasia é diferente da heresia (negação de uma parte da fé) e de mudar de denominação. Além disso, é possível negar a fé, como Pedro fez uma vez, e reafirmá-la posteriormente.</w:t>
      </w:r>
    </w:p>
    <w:p>
      <w:r/>
      <w:r>
        <w:t xml:space="preserve">Originalmente, </w:t>
      </w:r>
      <w:r>
        <w:rPr>
          <w:i/>
        </w:rPr>
        <w:t>apostasia</w:t>
      </w:r>
      <w:r>
        <w:t xml:space="preserve"> significava rebelião literal. Assim, o povo judeu foi descrito como "rebeldes" contra o rei Artaxerxes (</w:t>
      </w:r>
      <w:hyperlink r:id="rId2237">
        <w:r>
          <w:rPr>
            <w:color w:val="0000EE"/>
            <w:u w:val="single"/>
          </w:rPr>
          <w:t>1Ed 2.23</w:t>
        </w:r>
      </w:hyperlink>
      <w:r>
        <w:t>). Além disso, Jasão foi descrito como um "rebelde contra as leis" (</w:t>
      </w:r>
      <w:hyperlink r:id="rId2238">
        <w:r>
          <w:rPr>
            <w:color w:val="0000EE"/>
            <w:u w:val="single"/>
          </w:rPr>
          <w:t>2Mc 5.6</w:t>
        </w:r>
      </w:hyperlink>
      <w:r>
        <w:t>–</w:t>
      </w:r>
      <w:hyperlink r:id="rId2238">
        <w:r>
          <w:rPr>
            <w:color w:val="0000EE"/>
            <w:u w:val="single"/>
          </w:rPr>
          <w:t>8</w:t>
        </w:r>
      </w:hyperlink>
      <w:r>
        <w:t>). O Antigo Testamento lista muitos exemplos de rebelião espiritual:</w:t>
      </w:r>
    </w:p>
    <w:p>
      <w:pPr>
        <w:pStyle w:val="ListBullet"/>
        <w:spacing w:line="240" w:lineRule="auto"/>
        <w:ind w:left="720"/>
      </w:pPr>
      <w:r/>
      <w:r>
        <w:t>desvio da lei (</w:t>
      </w:r>
      <w:hyperlink r:id="rId2239">
        <w:r>
          <w:rPr>
            <w:color w:val="0000EE"/>
            <w:u w:val="single"/>
          </w:rPr>
          <w:t>Js 22.22</w:t>
        </w:r>
      </w:hyperlink>
      <w:r>
        <w:t>);</w:t>
      </w:r>
    </w:p>
    <w:p>
      <w:pPr>
        <w:pStyle w:val="ListBullet"/>
        <w:spacing w:line="240" w:lineRule="auto"/>
        <w:ind w:left="720"/>
      </w:pPr>
      <w:r/>
      <w:r>
        <w:t>abandonar o culto no templo (</w:t>
      </w:r>
      <w:hyperlink r:id="rId2240">
        <w:r>
          <w:rPr>
            <w:color w:val="0000EE"/>
            <w:u w:val="single"/>
          </w:rPr>
          <w:t>2Cr 29.19</w:t>
        </w:r>
      </w:hyperlink>
      <w:r>
        <w:t>);</w:t>
      </w:r>
    </w:p>
    <w:p>
      <w:pPr>
        <w:pStyle w:val="ListBullet"/>
        <w:spacing w:line="240" w:lineRule="auto"/>
        <w:ind w:left="720"/>
      </w:pPr>
      <w:r/>
      <w:r>
        <w:t>desobediência intencional para com Deus (</w:t>
      </w:r>
      <w:hyperlink r:id="rId2241">
        <w:r>
          <w:rPr>
            <w:color w:val="0000EE"/>
            <w:u w:val="single"/>
          </w:rPr>
          <w:t>Jr 2.19</w:t>
        </w:r>
      </w:hyperlink>
      <w:r>
        <w:t>).</w:t>
      </w:r>
    </w:p>
    <w:p>
      <w:r/>
      <w:r>
        <w:t>Isaías e Jeremias fornecem muitos exemplos das rebeliões de Israel (</w:t>
      </w:r>
      <w:hyperlink r:id="rId2242">
        <w:r>
          <w:rPr>
            <w:color w:val="0000EE"/>
            <w:u w:val="single"/>
          </w:rPr>
          <w:t>Is 1.2</w:t>
        </w:r>
      </w:hyperlink>
      <w:r>
        <w:t>–</w:t>
      </w:r>
      <w:hyperlink r:id="rId2242">
        <w:r>
          <w:rPr>
            <w:color w:val="0000EE"/>
            <w:u w:val="single"/>
          </w:rPr>
          <w:t>4</w:t>
        </w:r>
      </w:hyperlink>
      <w:r>
        <w:t xml:space="preserve">; </w:t>
      </w:r>
      <w:hyperlink r:id="rId2241">
        <w:r>
          <w:rPr>
            <w:color w:val="0000EE"/>
            <w:u w:val="single"/>
          </w:rPr>
          <w:t>Jr 2.19</w:t>
        </w:r>
      </w:hyperlink>
      <w:r>
        <w:t>). Os reis israelitas eram frequentemente culpados de apostasia:</w:t>
      </w:r>
    </w:p>
    <w:p>
      <w:pPr>
        <w:pStyle w:val="ListBullet"/>
        <w:spacing w:line="240" w:lineRule="auto"/>
        <w:ind w:left="720"/>
      </w:pPr>
      <w:r/>
      <w:r>
        <w:t>Roboão (</w:t>
      </w:r>
      <w:hyperlink r:id="rId2243">
        <w:r>
          <w:rPr>
            <w:color w:val="0000EE"/>
            <w:u w:val="single"/>
          </w:rPr>
          <w:t>1Rs 14.22</w:t>
        </w:r>
      </w:hyperlink>
      <w:r>
        <w:t>–</w:t>
      </w:r>
      <w:hyperlink r:id="rId2243">
        <w:r>
          <w:rPr>
            <w:color w:val="0000EE"/>
            <w:u w:val="single"/>
          </w:rPr>
          <w:t>24</w:t>
        </w:r>
      </w:hyperlink>
      <w:r>
        <w:t>);</w:t>
      </w:r>
    </w:p>
    <w:p>
      <w:pPr>
        <w:pStyle w:val="ListBullet"/>
        <w:spacing w:line="240" w:lineRule="auto"/>
        <w:ind w:left="720"/>
      </w:pPr>
      <w:r/>
      <w:r>
        <w:t>Acabe (</w:t>
      </w:r>
      <w:hyperlink r:id="rId2244">
        <w:r>
          <w:rPr>
            <w:color w:val="0000EE"/>
            <w:u w:val="single"/>
          </w:rPr>
          <w:t>1Rs 16.30</w:t>
        </w:r>
      </w:hyperlink>
      <w:r>
        <w:t>–</w:t>
      </w:r>
      <w:hyperlink r:id="rId2244">
        <w:r>
          <w:rPr>
            <w:color w:val="0000EE"/>
            <w:u w:val="single"/>
          </w:rPr>
          <w:t>33</w:t>
        </w:r>
      </w:hyperlink>
      <w:r>
        <w:t>);</w:t>
      </w:r>
    </w:p>
    <w:p>
      <w:pPr>
        <w:pStyle w:val="ListBullet"/>
        <w:spacing w:line="240" w:lineRule="auto"/>
        <w:ind w:left="720"/>
      </w:pPr>
      <w:r/>
      <w:r>
        <w:t>Acazias (</w:t>
      </w:r>
      <w:hyperlink r:id="rId2245">
        <w:r>
          <w:rPr>
            <w:color w:val="0000EE"/>
            <w:u w:val="single"/>
          </w:rPr>
          <w:t>1Rs 22.51</w:t>
        </w:r>
      </w:hyperlink>
      <w:r>
        <w:t>–</w:t>
      </w:r>
      <w:hyperlink r:id="rId2245">
        <w:r>
          <w:rPr>
            <w:color w:val="0000EE"/>
            <w:u w:val="single"/>
          </w:rPr>
          <w:t>53</w:t>
        </w:r>
      </w:hyperlink>
      <w:r>
        <w:t>);</w:t>
      </w:r>
    </w:p>
    <w:p>
      <w:pPr>
        <w:pStyle w:val="ListBullet"/>
        <w:spacing w:line="240" w:lineRule="auto"/>
        <w:ind w:left="720"/>
      </w:pPr>
      <w:r/>
      <w:r>
        <w:t>Jorão (</w:t>
      </w:r>
      <w:hyperlink r:id="rId2246">
        <w:r>
          <w:rPr>
            <w:color w:val="0000EE"/>
            <w:u w:val="single"/>
          </w:rPr>
          <w:t>2Cr 21.6,10</w:t>
        </w:r>
      </w:hyperlink>
      <w:r>
        <w:t>);</w:t>
      </w:r>
    </w:p>
    <w:p>
      <w:pPr>
        <w:pStyle w:val="ListBullet"/>
        <w:spacing w:line="240" w:lineRule="auto"/>
        <w:ind w:left="720"/>
      </w:pPr>
      <w:r/>
      <w:r>
        <w:t>Acaz (</w:t>
      </w:r>
      <w:hyperlink r:id="rId2247">
        <w:r>
          <w:rPr>
            <w:color w:val="0000EE"/>
            <w:u w:val="single"/>
          </w:rPr>
          <w:t>2Cr 28.1</w:t>
        </w:r>
      </w:hyperlink>
      <w:r>
        <w:t>–</w:t>
      </w:r>
      <w:hyperlink r:id="rId2247">
        <w:r>
          <w:rPr>
            <w:color w:val="0000EE"/>
            <w:u w:val="single"/>
          </w:rPr>
          <w:t>4</w:t>
        </w:r>
      </w:hyperlink>
      <w:r>
        <w:t>);</w:t>
      </w:r>
    </w:p>
    <w:p>
      <w:pPr>
        <w:pStyle w:val="ListBullet"/>
        <w:spacing w:line="240" w:lineRule="auto"/>
        <w:ind w:left="720"/>
      </w:pPr>
      <w:r/>
      <w:r>
        <w:t>Manassés (</w:t>
      </w:r>
      <w:hyperlink r:id="rId2248">
        <w:r>
          <w:rPr>
            <w:color w:val="0000EE"/>
            <w:u w:val="single"/>
          </w:rPr>
          <w:t>2Cr 33.1</w:t>
        </w:r>
      </w:hyperlink>
      <w:r>
        <w:t>–</w:t>
      </w:r>
      <w:hyperlink r:id="rId2248">
        <w:r>
          <w:rPr>
            <w:color w:val="0000EE"/>
            <w:u w:val="single"/>
          </w:rPr>
          <w:t>19</w:t>
        </w:r>
      </w:hyperlink>
      <w:r>
        <w:t>);</w:t>
      </w:r>
    </w:p>
    <w:p>
      <w:pPr>
        <w:pStyle w:val="ListBullet"/>
        <w:spacing w:line="240" w:lineRule="auto"/>
        <w:ind w:left="720"/>
      </w:pPr>
      <w:r/>
      <w:r>
        <w:t>Amom (</w:t>
      </w:r>
      <w:hyperlink r:id="rId2249">
        <w:r>
          <w:rPr>
            <w:color w:val="0000EE"/>
            <w:u w:val="single"/>
          </w:rPr>
          <w:t>2Cr 33.21</w:t>
        </w:r>
      </w:hyperlink>
      <w:r>
        <w:t>–</w:t>
      </w:r>
      <w:hyperlink r:id="rId2249">
        <w:r>
          <w:rPr>
            <w:color w:val="0000EE"/>
            <w:u w:val="single"/>
          </w:rPr>
          <w:t>23</w:t>
        </w:r>
      </w:hyperlink>
      <w:r>
        <w:t>).</w:t>
      </w:r>
    </w:p>
    <w:p>
      <w:r/>
      <w:r>
        <w:t>Nos tempos do Novo Testamento, muitos discípulos se afastaram de Cristo (</w:t>
      </w:r>
      <w:hyperlink r:id="rId2250">
        <w:r>
          <w:rPr>
            <w:color w:val="0000EE"/>
            <w:u w:val="single"/>
          </w:rPr>
          <w:t>Jo 6.66</w:t>
        </w:r>
      </w:hyperlink>
      <w:r>
        <w:t xml:space="preserve">). Judas Iscariotes é o exemplo mais conhecido. A palavra grega de onde obtemos </w:t>
      </w:r>
      <w:r>
        <w:rPr>
          <w:i/>
        </w:rPr>
        <w:t>apostasia</w:t>
      </w:r>
      <w:r>
        <w:t xml:space="preserve"> aparece em apenas duas passagens. O apóstolo Paulo foi acusado de apostasia por ensinar outros a “abandonar Moisés” (</w:t>
      </w:r>
      <w:hyperlink r:id="rId2251">
        <w:r>
          <w:rPr>
            <w:color w:val="0000EE"/>
            <w:u w:val="single"/>
          </w:rPr>
          <w:t>At 21.21</w:t>
        </w:r>
      </w:hyperlink>
      <w:r>
        <w:t>). A apostasia será significativa nos tempos do fim (</w:t>
      </w:r>
      <w:hyperlink r:id="rId2252">
        <w:r>
          <w:rPr>
            <w:color w:val="0000EE"/>
            <w:u w:val="single"/>
          </w:rPr>
          <w:t>2Ts 2.3)</w:t>
        </w:r>
      </w:hyperlink>
      <w:r>
        <w:t>. Os cristãos foram avisados para não serem levados e enganados pela apostasia que virá nos tempos do fim antes do retorno do Senhor. Esta apostasia ocorre devido ao surgimento de uma figura rebelde que será usada por Satanás para realizar seu trabalho (</w:t>
      </w:r>
      <w:hyperlink r:id="rId2253">
        <w:r>
          <w:rPr>
            <w:color w:val="0000EE"/>
            <w:u w:val="single"/>
          </w:rPr>
          <w:t>2Ts 2.3</w:t>
        </w:r>
      </w:hyperlink>
      <w:r>
        <w:t>–</w:t>
      </w:r>
      <w:hyperlink r:id="rId2253">
        <w:r>
          <w:rPr>
            <w:color w:val="0000EE"/>
            <w:u w:val="single"/>
          </w:rPr>
          <w:t>12</w:t>
        </w:r>
      </w:hyperlink>
      <w:r>
        <w:t xml:space="preserve">; compare </w:t>
      </w:r>
      <w:hyperlink r:id="rId2254">
        <w:r>
          <w:rPr>
            <w:color w:val="0000EE"/>
            <w:u w:val="single"/>
          </w:rPr>
          <w:t>1Tm 4.1</w:t>
        </w:r>
      </w:hyperlink>
      <w:r>
        <w:t>–</w:t>
      </w:r>
      <w:hyperlink r:id="rId2254">
        <w:r>
          <w:rPr>
            <w:color w:val="0000EE"/>
            <w:u w:val="single"/>
          </w:rPr>
          <w:t>3</w:t>
        </w:r>
      </w:hyperlink>
      <w:r>
        <w:t>).</w:t>
      </w:r>
      <w:r/>
      <w:r/>
    </w:p>
    <w:p>
      <w:r/>
    </w:p>
    <w:p>
      <w:pPr>
        <w:pStyle w:val="Heading2"/>
      </w:pPr>
      <w:r>
        <w:t>Apóstolo, Apostolado</w:t>
      </w:r>
      <w:r/>
    </w:p>
    <w:p>
      <w:r/>
      <w:r>
        <w:t>Designação oficial dada a certos indivíduos líderes nas igrejas do NT. Apostolado é o termo mais abrangente, denotando as funções daquele que serve em tal capacidade. Perguntas sobre origem, função e história do apostolado do NT são muito debatidas; não é possível dizer nada sobre algo como um consenso unindo as várias tradições da igreja. Alguma luz é colocada sobre nossa compreensão dos termos por um exame dos possíveis contextos linguísticos e conceituais.</w:t>
      </w:r>
    </w:p>
    <w:p>
      <w:r/>
      <w:r>
        <w:t>A palavra grega para “apóstolo” não é usada fora do NT no mesmo sentido que é no NT. É derivada do verbo “enviar” e é comumente usada na linguagem marítima, que significa um “navio” específico ou “grupo de navios”, uma “expedição marítima” ou “o líder” de tal grupo. Seu uso é quase sempre impessoal e completamente passivo. Não há nenhuma pista de iniciativa ou autorização pessoal, apenas a conotação de algo que está sendo enviado. Papiros posteriores usam a palavra para significar "conta" ou "fatura" ou até mesmo um "passaporte", continuando a refletir o vocabulário dos assuntos marítimos.</w:t>
      </w:r>
    </w:p>
    <w:p>
      <w:r/>
      <w:r>
        <w:t>No NT, a palavra foi usada para designar aqueles que haviam sido enviados por Jesus para proclamação do evangelho. Entre o grupo mais amplo daqueles que o seguiam, Jesus escolheu 12 homens (</w:t>
      </w:r>
      <w:hyperlink r:id="rId2255">
        <w:r>
          <w:rPr>
            <w:color w:val="0000EE"/>
            <w:u w:val="single"/>
          </w:rPr>
          <w:t>Mt 10.1–4</w:t>
        </w:r>
      </w:hyperlink>
      <w:r>
        <w:t xml:space="preserve">; </w:t>
      </w:r>
      <w:hyperlink r:id="rId2256">
        <w:r>
          <w:rPr>
            <w:color w:val="0000EE"/>
            <w:u w:val="single"/>
          </w:rPr>
          <w:t>Mc 3.13–19</w:t>
        </w:r>
      </w:hyperlink>
      <w:r>
        <w:t xml:space="preserve">; </w:t>
      </w:r>
      <w:hyperlink r:id="rId2257">
        <w:r>
          <w:rPr>
            <w:color w:val="0000EE"/>
            <w:u w:val="single"/>
          </w:rPr>
          <w:t>Lc 6.12–16</w:t>
        </w:r>
      </w:hyperlink>
      <w:r>
        <w:t>) que mantinham uma relação especialmente próxima com ele, recebendo instrução privada e testemunhando seus milagres e controvérsias com as autoridades judaicas. Em uma ocasião, Jesus enviou esses homens para pregar a mensagem de arrependimento, expulsar demônios e curar os doentes; isto é, para ministrar de maneiras que eram características de seu próprio trabalho (</w:t>
      </w:r>
      <w:hyperlink r:id="rId2258">
        <w:r>
          <w:rPr>
            <w:color w:val="0000EE"/>
            <w:u w:val="single"/>
          </w:rPr>
          <w:t>Mt 10.1–15</w:t>
        </w:r>
      </w:hyperlink>
      <w:r>
        <w:t xml:space="preserve">; </w:t>
      </w:r>
      <w:hyperlink r:id="rId2259">
        <w:r>
          <w:rPr>
            <w:color w:val="0000EE"/>
            <w:u w:val="single"/>
          </w:rPr>
          <w:t>Mc 6.7–13, 30</w:t>
        </w:r>
      </w:hyperlink>
      <w:r>
        <w:t xml:space="preserve">; </w:t>
      </w:r>
      <w:hyperlink r:id="rId2260">
        <w:r>
          <w:rPr>
            <w:color w:val="0000EE"/>
            <w:u w:val="single"/>
          </w:rPr>
          <w:t>Lc 9.1–6</w:t>
        </w:r>
      </w:hyperlink>
      <w:r>
        <w:t>). O mesmo relacionamento é expresso no ditado “Quem ouve vocês está me ouvindo; quem rejeita vocês está me rejeitando; e quem me rejeita está rejeitando aquele que me enviou.” (</w:t>
      </w:r>
      <w:hyperlink r:id="rId2261">
        <w:r>
          <w:rPr>
            <w:color w:val="0000EE"/>
            <w:u w:val="single"/>
          </w:rPr>
          <w:t>Lc 10.16</w:t>
        </w:r>
      </w:hyperlink>
      <w:r>
        <w:t xml:space="preserve">, NTLH; cf. </w:t>
      </w:r>
      <w:hyperlink r:id="rId2262">
        <w:r>
          <w:rPr>
            <w:color w:val="0000EE"/>
            <w:u w:val="single"/>
          </w:rPr>
          <w:t>Mt 10.40</w:t>
        </w:r>
      </w:hyperlink>
      <w:r>
        <w:t>). É evidente que os Doze não estão apenas encarregados de transmitir o ensinamento de Jesus, mas de representar sua própria pessoa. Após a ressurreição, Jesus comissionou os Doze (</w:t>
      </w:r>
      <w:hyperlink r:id="rId2263">
        <w:r>
          <w:rPr>
            <w:color w:val="0000EE"/>
            <w:u w:val="single"/>
          </w:rPr>
          <w:t>Mt 28</w:t>
        </w:r>
      </w:hyperlink>
      <w:r>
        <w:t xml:space="preserve">; </w:t>
      </w:r>
      <w:hyperlink r:id="rId2264">
        <w:r>
          <w:rPr>
            <w:color w:val="0000EE"/>
            <w:u w:val="single"/>
          </w:rPr>
          <w:t>Lc 24</w:t>
        </w:r>
      </w:hyperlink>
      <w:r>
        <w:t xml:space="preserve">; </w:t>
      </w:r>
      <w:hyperlink r:id="rId2265">
        <w:r>
          <w:rPr>
            <w:color w:val="0000EE"/>
            <w:u w:val="single"/>
          </w:rPr>
          <w:t>Jo 20–21</w:t>
        </w:r>
      </w:hyperlink>
      <w:r>
        <w:t>) para proclamar a ação de Deus em Cristo em nome de todos os homens. Apenas aqueles que haviam estado com Jesus desde o início de seu ministério até sua ressurreição estavam qualificados para ser suas testemunhas apostólicas (</w:t>
      </w:r>
      <w:hyperlink r:id="rId2266">
        <w:r>
          <w:rPr>
            <w:color w:val="0000EE"/>
            <w:u w:val="single"/>
          </w:rPr>
          <w:t>Atos 1:21–22</w:t>
        </w:r>
      </w:hyperlink>
      <w:r>
        <w:t>). Paulo se qualificou porque ele havia visto o Cristo ressuscitado (</w:t>
      </w:r>
      <w:hyperlink r:id="rId2267">
        <w:r>
          <w:rPr>
            <w:color w:val="0000EE"/>
            <w:u w:val="single"/>
          </w:rPr>
          <w:t>1Co 15.4–10</w:t>
        </w:r>
      </w:hyperlink>
      <w:r>
        <w:t>).</w:t>
      </w:r>
    </w:p>
    <w:p>
      <w:r/>
      <w:r>
        <w:t>Os escritos Paulinos demonstram dois usos característicos da palavra “apóstolo”. De vez em quando, se refere a pessoas autorizadas pelas congregações locais e confiadas a entrega segura de dons específicos para outros membros da comunidade cristã (</w:t>
      </w:r>
      <w:hyperlink r:id="rId2268">
        <w:r>
          <w:rPr>
            <w:color w:val="0000EE"/>
            <w:u w:val="single"/>
          </w:rPr>
          <w:t>2Co 8.23</w:t>
        </w:r>
      </w:hyperlink>
      <w:r>
        <w:t xml:space="preserve">; </w:t>
      </w:r>
      <w:hyperlink r:id="rId2269">
        <w:r>
          <w:rPr>
            <w:color w:val="0000EE"/>
            <w:u w:val="single"/>
          </w:rPr>
          <w:t>Fp 2.25</w:t>
        </w:r>
      </w:hyperlink>
      <w:r>
        <w:t>). Mais importantes são aquelas passagens nas quais “apóstolo” assume um sentido mais técnico através da frase qualificadora “de Jesus Cristo” (</w:t>
      </w:r>
      <w:hyperlink r:id="rId2270">
        <w:r>
          <w:rPr>
            <w:color w:val="0000EE"/>
            <w:u w:val="single"/>
          </w:rPr>
          <w:t>1Co 1.1</w:t>
        </w:r>
      </w:hyperlink>
      <w:r>
        <w:t xml:space="preserve">; </w:t>
      </w:r>
      <w:hyperlink r:id="rId2271">
        <w:r>
          <w:rPr>
            <w:color w:val="0000EE"/>
            <w:u w:val="single"/>
          </w:rPr>
          <w:t>2Co 1.1</w:t>
        </w:r>
      </w:hyperlink>
      <w:r>
        <w:t xml:space="preserve">; </w:t>
      </w:r>
      <w:hyperlink r:id="rId2272">
        <w:r>
          <w:rPr>
            <w:color w:val="0000EE"/>
            <w:u w:val="single"/>
          </w:rPr>
          <w:t>11.13</w:t>
        </w:r>
      </w:hyperlink>
      <w:r>
        <w:t xml:space="preserve">; </w:t>
      </w:r>
      <w:hyperlink r:id="rId2273">
        <w:r>
          <w:rPr>
            <w:color w:val="0000EE"/>
            <w:u w:val="single"/>
          </w:rPr>
          <w:t>Gl 1.1</w:t>
        </w:r>
      </w:hyperlink>
      <w:r>
        <w:t xml:space="preserve">; </w:t>
      </w:r>
      <w:hyperlink r:id="rId2274">
        <w:r>
          <w:rPr>
            <w:color w:val="0000EE"/>
            <w:u w:val="single"/>
          </w:rPr>
          <w:t>Ef 1.1</w:t>
        </w:r>
      </w:hyperlink>
      <w:r>
        <w:t xml:space="preserve">; </w:t>
      </w:r>
      <w:hyperlink r:id="rId2275">
        <w:r>
          <w:rPr>
            <w:color w:val="0000EE"/>
            <w:u w:val="single"/>
          </w:rPr>
          <w:t>Cl 1.1</w:t>
        </w:r>
      </w:hyperlink>
      <w:r>
        <w:t xml:space="preserve">; </w:t>
      </w:r>
      <w:hyperlink r:id="rId2276">
        <w:r>
          <w:rPr>
            <w:color w:val="0000EE"/>
            <w:u w:val="single"/>
          </w:rPr>
          <w:t>1Ts 2.6</w:t>
        </w:r>
      </w:hyperlink>
      <w:r>
        <w:t>). O “enviado” é o “enviado de Jesus Cristo” (</w:t>
      </w:r>
      <w:hyperlink r:id="rId2277">
        <w:r>
          <w:rPr>
            <w:color w:val="0000EE"/>
            <w:u w:val="single"/>
          </w:rPr>
          <w:t>Rm 16.7</w:t>
        </w:r>
      </w:hyperlink>
      <w:r>
        <w:t xml:space="preserve">; </w:t>
      </w:r>
      <w:hyperlink r:id="rId2278">
        <w:r>
          <w:rPr>
            <w:color w:val="0000EE"/>
            <w:u w:val="single"/>
          </w:rPr>
          <w:t>1Co 9.1</w:t>
        </w:r>
      </w:hyperlink>
      <w:r>
        <w:t xml:space="preserve">, 5; </w:t>
      </w:r>
      <w:hyperlink r:id="rId2279">
        <w:r>
          <w:rPr>
            <w:color w:val="0000EE"/>
            <w:u w:val="single"/>
          </w:rPr>
          <w:t>12.28</w:t>
        </w:r>
      </w:hyperlink>
      <w:r>
        <w:t xml:space="preserve">; </w:t>
      </w:r>
      <w:hyperlink r:id="rId2280">
        <w:r>
          <w:rPr>
            <w:color w:val="0000EE"/>
            <w:u w:val="single"/>
          </w:rPr>
          <w:t>Gl 1.17–19</w:t>
        </w:r>
      </w:hyperlink>
      <w:r>
        <w:t>). Nas declarações em que Paulo afirma seu próprio direito a este título, ele argumenta ao longo das linhas assumindo o mesmo conceito apostólico básico que Jesus tinha. Ele consistentemente liga esta alegação a um evento específico no passado em que o Senhor ressuscitado havia aparecido a ele (</w:t>
      </w:r>
      <w:hyperlink r:id="rId2278">
        <w:r>
          <w:rPr>
            <w:color w:val="0000EE"/>
            <w:u w:val="single"/>
          </w:rPr>
          <w:t>1Co 9.1</w:t>
        </w:r>
      </w:hyperlink>
      <w:r>
        <w:t xml:space="preserve">; </w:t>
      </w:r>
      <w:hyperlink r:id="rId2281">
        <w:r>
          <w:rPr>
            <w:color w:val="0000EE"/>
            <w:u w:val="single"/>
          </w:rPr>
          <w:t>Gl 1.12, 16</w:t>
        </w:r>
      </w:hyperlink>
      <w:r>
        <w:t>). Esta aparição ele classificou ao lado das aparições da ressurreição (</w:t>
      </w:r>
      <w:hyperlink r:id="rId2282">
        <w:r>
          <w:rPr>
            <w:color w:val="0000EE"/>
            <w:u w:val="single"/>
          </w:rPr>
          <w:t>1Co 15.3–8</w:t>
        </w:r>
      </w:hyperlink>
      <w:r>
        <w:t xml:space="preserve">). Paulo entendeu sua experiência fora de Damasco (cf. </w:t>
      </w:r>
      <w:hyperlink r:id="rId2283">
        <w:r>
          <w:rPr>
            <w:color w:val="0000EE"/>
            <w:u w:val="single"/>
          </w:rPr>
          <w:t>Atos 9.1–19a</w:t>
        </w:r>
      </w:hyperlink>
      <w:r>
        <w:t xml:space="preserve">; </w:t>
      </w:r>
      <w:hyperlink r:id="rId2284">
        <w:r>
          <w:rPr>
            <w:color w:val="0000EE"/>
            <w:u w:val="single"/>
          </w:rPr>
          <w:t>22.6–16</w:t>
        </w:r>
      </w:hyperlink>
      <w:r>
        <w:t xml:space="preserve">; </w:t>
      </w:r>
      <w:hyperlink r:id="rId2285">
        <w:r>
          <w:rPr>
            <w:color w:val="0000EE"/>
            <w:u w:val="single"/>
          </w:rPr>
          <w:t>26.12–18</w:t>
        </w:r>
      </w:hyperlink>
      <w:r>
        <w:t xml:space="preserve">; </w:t>
      </w:r>
      <w:hyperlink r:id="rId2286">
        <w:r>
          <w:rPr>
            <w:color w:val="0000EE"/>
            <w:u w:val="single"/>
          </w:rPr>
          <w:t>Gl 1.17</w:t>
        </w:r>
      </w:hyperlink>
      <w:r>
        <w:t>) como uma comissão para toda a vida para pregar aquele que agora estava ressuscitado (</w:t>
      </w:r>
      <w:hyperlink r:id="rId2287">
        <w:r>
          <w:rPr>
            <w:color w:val="0000EE"/>
            <w:u w:val="single"/>
          </w:rPr>
          <w:t>1Co 1.17</w:t>
        </w:r>
      </w:hyperlink>
      <w:r>
        <w:t xml:space="preserve">; </w:t>
      </w:r>
      <w:hyperlink r:id="rId2288">
        <w:r>
          <w:rPr>
            <w:color w:val="0000EE"/>
            <w:u w:val="single"/>
          </w:rPr>
          <w:t>2.1–2</w:t>
        </w:r>
      </w:hyperlink>
      <w:r>
        <w:t>) principalmente entre os gentios (</w:t>
      </w:r>
      <w:hyperlink r:id="rId2289">
        <w:r>
          <w:rPr>
            <w:color w:val="0000EE"/>
            <w:u w:val="single"/>
          </w:rPr>
          <w:t>Atos 9.15</w:t>
        </w:r>
      </w:hyperlink>
      <w:r>
        <w:t xml:space="preserve">; </w:t>
      </w:r>
      <w:hyperlink r:id="rId2290">
        <w:r>
          <w:rPr>
            <w:color w:val="0000EE"/>
            <w:u w:val="single"/>
          </w:rPr>
          <w:t>22.15</w:t>
        </w:r>
      </w:hyperlink>
      <w:r>
        <w:t xml:space="preserve">; </w:t>
      </w:r>
      <w:hyperlink r:id="rId2291">
        <w:r>
          <w:rPr>
            <w:color w:val="0000EE"/>
            <w:u w:val="single"/>
          </w:rPr>
          <w:t>26.17, 23</w:t>
        </w:r>
      </w:hyperlink>
      <w:r>
        <w:t xml:space="preserve">; </w:t>
      </w:r>
      <w:hyperlink r:id="rId2292">
        <w:r>
          <w:rPr>
            <w:color w:val="0000EE"/>
            <w:u w:val="single"/>
          </w:rPr>
          <w:t>Gl 1.15–16</w:t>
        </w:r>
      </w:hyperlink>
      <w:r>
        <w:t>). Foi através de seu ministério de pregação que Cristo continuou a trabalhar, criando o novo povo de Deus (</w:t>
      </w:r>
      <w:hyperlink r:id="rId2293">
        <w:r>
          <w:rPr>
            <w:color w:val="0000EE"/>
            <w:u w:val="single"/>
          </w:rPr>
          <w:t>1Co 9.1–2</w:t>
        </w:r>
      </w:hyperlink>
      <w:r>
        <w:t xml:space="preserve">; </w:t>
      </w:r>
      <w:hyperlink r:id="rId2294">
        <w:r>
          <w:rPr>
            <w:color w:val="0000EE"/>
            <w:u w:val="single"/>
          </w:rPr>
          <w:t>Gl 2.8</w:t>
        </w:r>
      </w:hyperlink>
      <w:r>
        <w:t>).</w:t>
      </w:r>
    </w:p>
    <w:p>
      <w:r/>
      <w:r>
        <w:rPr>
          <w:i/>
        </w:rPr>
        <w:t>Veja também</w:t>
      </w:r>
      <w:r>
        <w:t xml:space="preserve"> </w:t>
      </w:r>
      <w:r>
        <w:t>Atos dos Apóstolos, Livro dos</w:t>
      </w:r>
      <w:r>
        <w:t xml:space="preserve">; </w:t>
      </w:r>
      <w:r>
        <w:t>Paulo, O Apóstolo</w:t>
      </w:r>
      <w:r>
        <w:t>.</w:t>
      </w:r>
      <w:r/>
      <w:r/>
    </w:p>
    <w:p>
      <w:r/>
    </w:p>
    <w:p>
      <w:pPr>
        <w:pStyle w:val="Heading2"/>
      </w:pPr>
      <w:r>
        <w:t>Apotegma*</w:t>
      </w:r>
      <w:r/>
    </w:p>
    <w:p>
      <w:r/>
      <w:r>
        <w:t xml:space="preserve">Dito curto e conciso. Como usado por alguns estudiosos bíblicos, o termo “apotegma” denota breves histórias nos Evangelhos que terminam em um ditado de Jesus (p. ex., </w:t>
      </w:r>
      <w:hyperlink r:id="rId2295">
        <w:r>
          <w:rPr>
            <w:color w:val="0000EE"/>
            <w:u w:val="single"/>
          </w:rPr>
          <w:t>Mt 8.18–22</w:t>
        </w:r>
      </w:hyperlink>
      <w:r>
        <w:t xml:space="preserve">; </w:t>
      </w:r>
      <w:hyperlink r:id="rId2296">
        <w:r>
          <w:rPr>
            <w:color w:val="0000EE"/>
            <w:u w:val="single"/>
          </w:rPr>
          <w:t>9.10–13</w:t>
        </w:r>
      </w:hyperlink>
      <w:r>
        <w:t xml:space="preserve">; </w:t>
      </w:r>
      <w:hyperlink r:id="rId2297">
        <w:r>
          <w:rPr>
            <w:color w:val="0000EE"/>
            <w:u w:val="single"/>
          </w:rPr>
          <w:t>16.1–4</w:t>
        </w:r>
      </w:hyperlink>
      <w:r>
        <w:t xml:space="preserve">; </w:t>
      </w:r>
      <w:hyperlink r:id="rId2298">
        <w:r>
          <w:rPr>
            <w:color w:val="0000EE"/>
            <w:u w:val="single"/>
          </w:rPr>
          <w:t>Mc 2.18–22</w:t>
        </w:r>
      </w:hyperlink>
      <w:r>
        <w:t xml:space="preserve">; </w:t>
      </w:r>
      <w:hyperlink r:id="rId2299">
        <w:r>
          <w:rPr>
            <w:color w:val="0000EE"/>
            <w:u w:val="single"/>
          </w:rPr>
          <w:t>10.13–15</w:t>
        </w:r>
      </w:hyperlink>
      <w:r>
        <w:t xml:space="preserve">; </w:t>
      </w:r>
      <w:hyperlink r:id="rId2300">
        <w:r>
          <w:rPr>
            <w:color w:val="0000EE"/>
            <w:u w:val="single"/>
          </w:rPr>
          <w:t>Lc 6.1–5</w:t>
        </w:r>
      </w:hyperlink>
      <w:r>
        <w:t xml:space="preserve">; </w:t>
      </w:r>
      <w:hyperlink r:id="rId2301">
        <w:r>
          <w:rPr>
            <w:color w:val="0000EE"/>
            <w:u w:val="single"/>
          </w:rPr>
          <w:t>11.37–44</w:t>
        </w:r>
      </w:hyperlink>
      <w:r>
        <w:t>). Também conhecidos como “histórias de pronunciamento”, os apotegmas (plural) são desprovidos de um cenário histórico maior e contêm apenas detalhes suficientes para tornar a frase de Jesus inteligível. Porque tais histórias eram usadas na adoração, na educação de novos cristãos e na correção de falsos ensinamentos, elas eram de grande interesse para a igreja primitiva.</w:t>
      </w:r>
      <w:r/>
      <w:r/>
    </w:p>
    <w:p>
      <w:r/>
    </w:p>
    <w:p>
      <w:pPr>
        <w:pStyle w:val="Heading2"/>
      </w:pPr>
      <w:r>
        <w:t>Áquila</w:t>
      </w:r>
      <w:r/>
    </w:p>
    <w:p>
      <w:r/>
      <w:r>
        <w:t>O marido de Priscila (</w:t>
      </w:r>
      <w:hyperlink r:id="rId2302">
        <w:r>
          <w:rPr>
            <w:color w:val="0000EE"/>
            <w:u w:val="single"/>
          </w:rPr>
          <w:t>At 18.2,18,26</w:t>
        </w:r>
      </w:hyperlink>
      <w:r>
        <w:t xml:space="preserve">; </w:t>
      </w:r>
      <w:hyperlink r:id="rId2219">
        <w:r>
          <w:rPr>
            <w:color w:val="0000EE"/>
            <w:u w:val="single"/>
          </w:rPr>
          <w:t>Rm 16.3</w:t>
        </w:r>
      </w:hyperlink>
      <w:r>
        <w:t xml:space="preserve">; </w:t>
      </w:r>
      <w:hyperlink r:id="rId2303">
        <w:r>
          <w:rPr>
            <w:color w:val="0000EE"/>
            <w:u w:val="single"/>
          </w:rPr>
          <w:t>1Co 16.19</w:t>
        </w:r>
      </w:hyperlink>
      <w:r>
        <w:t xml:space="preserve">; </w:t>
      </w:r>
      <w:hyperlink r:id="rId2216">
        <w:r>
          <w:rPr>
            <w:color w:val="0000EE"/>
            <w:u w:val="single"/>
          </w:rPr>
          <w:t>2Tm 4.19</w:t>
        </w:r>
      </w:hyperlink>
      <w:r>
        <w:t xml:space="preserve">). </w:t>
      </w:r>
      <w:r>
        <w:rPr>
          <w:i/>
        </w:rPr>
        <w:t>Veja</w:t>
      </w:r>
      <w:r>
        <w:t xml:space="preserve"> </w:t>
      </w:r>
      <w:r>
        <w:t>Priscila e Áquila</w:t>
      </w:r>
      <w:r>
        <w:t>.</w:t>
      </w:r>
      <w:r/>
      <w:r/>
    </w:p>
    <w:p>
      <w:r/>
    </w:p>
    <w:p>
      <w:pPr>
        <w:pStyle w:val="Heading2"/>
      </w:pPr>
      <w:r>
        <w:t>Ar</w:t>
      </w:r>
      <w:r/>
    </w:p>
    <w:p>
      <w:r/>
      <w:r>
        <w:t>A capital de Moabe estava localizada na fronteira norte (</w:t>
      </w:r>
      <w:hyperlink r:id="rId2304">
        <w:r>
          <w:rPr>
            <w:color w:val="0000EE"/>
            <w:u w:val="single"/>
          </w:rPr>
          <w:t>Dt 2.18,29</w:t>
        </w:r>
      </w:hyperlink>
      <w:r>
        <w:t>). Ficava perto do rio Arnom (</w:t>
      </w:r>
      <w:hyperlink r:id="rId2305">
        <w:r>
          <w:rPr>
            <w:color w:val="0000EE"/>
            <w:u w:val="single"/>
          </w:rPr>
          <w:t>Nm 21.28</w:t>
        </w:r>
      </w:hyperlink>
      <w:r>
        <w:t>). Ar era às vezes usado figurativamente para se referir a toda Moabe (</w:t>
      </w:r>
      <w:hyperlink r:id="rId2306">
        <w:r>
          <w:rPr>
            <w:color w:val="0000EE"/>
            <w:u w:val="single"/>
          </w:rPr>
          <w:t>Dt 2.9</w:t>
        </w:r>
      </w:hyperlink>
      <w:r>
        <w:t>). O profeta Isaías previu a destruição das cidades moabitas Ar e Quir (</w:t>
      </w:r>
      <w:hyperlink r:id="rId2307">
        <w:r>
          <w:rPr>
            <w:color w:val="0000EE"/>
            <w:u w:val="single"/>
          </w:rPr>
          <w:t>Is 15.1</w:t>
        </w:r>
      </w:hyperlink>
      <w:r>
        <w:t>).</w:t>
      </w:r>
      <w:r/>
      <w:r/>
    </w:p>
    <w:p>
      <w:r/>
    </w:p>
    <w:p>
      <w:pPr>
        <w:pStyle w:val="Heading2"/>
      </w:pPr>
      <w:r>
        <w:t>Arã</w:t>
      </w:r>
      <w:r/>
    </w:p>
    <w:p>
      <w:r/>
      <w:r>
        <w:t>Arã é filho de Disã, neto de Seir, o horita, e descendente de Esaú (</w:t>
      </w:r>
      <w:hyperlink r:id="rId2308">
        <w:r>
          <w:rPr>
            <w:color w:val="0000EE"/>
            <w:u w:val="single"/>
          </w:rPr>
          <w:t>Gn 36.28</w:t>
        </w:r>
      </w:hyperlink>
      <w:r>
        <w:t xml:space="preserve">; </w:t>
      </w:r>
      <w:hyperlink r:id="rId2309">
        <w:r>
          <w:rPr>
            <w:color w:val="0000EE"/>
            <w:u w:val="single"/>
          </w:rPr>
          <w:t>1Cr 1.42</w:t>
        </w:r>
      </w:hyperlink>
      <w:r>
        <w:t>).</w:t>
      </w:r>
      <w:r/>
      <w:r/>
    </w:p>
    <w:p>
      <w:r/>
    </w:p>
    <w:p>
      <w:pPr>
        <w:pStyle w:val="Heading2"/>
      </w:pPr>
      <w:r>
        <w:t>Arã (Pessoa)</w:t>
      </w:r>
      <w:r/>
    </w:p>
    <w:p>
      <w:pPr>
        <w:pStyle w:val="ListNumber"/>
        <w:spacing w:line="240" w:lineRule="auto"/>
        <w:ind w:left="720"/>
      </w:pPr>
      <w:r/>
      <w:r>
        <w:t>Filho de Sem e neto de Noé (</w:t>
      </w:r>
      <w:hyperlink r:id="rId2310">
        <w:r>
          <w:rPr>
            <w:color w:val="0000EE"/>
            <w:u w:val="single"/>
          </w:rPr>
          <w:t>Gn 10.22–23,</w:t>
        </w:r>
      </w:hyperlink>
      <w:r>
        <w:t xml:space="preserve"> </w:t>
      </w:r>
      <w:hyperlink r:id="rId2311">
        <w:r>
          <w:rPr>
            <w:color w:val="0000EE"/>
            <w:u w:val="single"/>
          </w:rPr>
          <w:t>1Cr 1.17</w:t>
        </w:r>
      </w:hyperlink>
      <w:r>
        <w:t xml:space="preserve">). O ancestral dos arameus. </w:t>
      </w:r>
      <w:r>
        <w:rPr>
          <w:i/>
        </w:rPr>
        <w:t>Veja</w:t>
      </w:r>
      <w:r>
        <w:t xml:space="preserve"> </w:t>
      </w:r>
      <w:r>
        <w:t>Síria, Sírios</w:t>
      </w:r>
      <w:r>
        <w:t>.</w:t>
      </w:r>
    </w:p>
    <w:p>
      <w:pPr>
        <w:pStyle w:val="ListNumber"/>
        <w:spacing w:line="240" w:lineRule="auto"/>
        <w:ind w:left="720"/>
      </w:pPr>
      <w:r/>
      <w:r>
        <w:t>Filho de Quemuel, neto do irmão de Abraão, Naor (</w:t>
      </w:r>
      <w:hyperlink r:id="rId2312">
        <w:r>
          <w:rPr>
            <w:color w:val="0000EE"/>
            <w:u w:val="single"/>
          </w:rPr>
          <w:t>Gn 22.21</w:t>
        </w:r>
      </w:hyperlink>
      <w:r>
        <w:t>).</w:t>
      </w:r>
    </w:p>
    <w:p>
      <w:pPr>
        <w:pStyle w:val="ListNumber"/>
        <w:spacing w:line="240" w:lineRule="auto"/>
        <w:ind w:left="720"/>
      </w:pPr>
      <w:r/>
      <w:r>
        <w:t>Filho de Semer da tribo de Aser (</w:t>
      </w:r>
      <w:hyperlink r:id="rId2313">
        <w:r>
          <w:rPr>
            <w:color w:val="0000EE"/>
            <w:u w:val="single"/>
          </w:rPr>
          <w:t>1Cr 7.34</w:t>
        </w:r>
      </w:hyperlink>
      <w:r>
        <w:t>).</w:t>
      </w:r>
      <w:r/>
      <w:r/>
    </w:p>
    <w:p>
      <w:r/>
    </w:p>
    <w:p>
      <w:pPr>
        <w:pStyle w:val="Heading2"/>
      </w:pPr>
      <w:r>
        <w:t>Arabá</w:t>
      </w:r>
      <w:r/>
    </w:p>
    <w:p>
      <w:r/>
      <w:r>
        <w:t>O Arabá é um grande vale no Oriente Médio que divide a terra em partes oriental e ocidental.</w:t>
      </w:r>
    </w:p>
    <w:p>
      <w:pPr>
        <w:pStyle w:val="Heading3"/>
      </w:pPr>
      <w:r>
        <w:t>Onde está localizado o Vale da Arabá?</w:t>
      </w:r>
    </w:p>
    <w:p>
      <w:r/>
      <w:r>
        <w:t>O vale começa no Mar da Galileia ao norte e segue para o sul através do vale do Rio Jordão. Continua além do Mar Morto e termina no Golfo de Acaba. As pessoas costumam chamá-lo de Vale do Rifte.</w:t>
      </w:r>
    </w:p>
    <w:p>
      <w:r/>
      <w:r>
        <w:t>O vale tem aproximadamente 10 quilômetros de largura. Ele se estende por cerca de 322 quilômetros de norte a sul. O Mar Morto está dentro deste vale. Este mar é o ponto mais baixo da Terra que não está coberto por água do oceano, situando-se a 388 metros abaixo do nível do mar.</w:t>
      </w:r>
    </w:p>
    <w:p>
      <w:pPr>
        <w:pStyle w:val="Heading3"/>
      </w:pPr>
      <w:r>
        <w:t>Qual é o significado de "Arabá"?</w:t>
      </w:r>
    </w:p>
    <w:p>
      <w:r/>
      <w:r>
        <w:t>A palavra "Arabá" vem do hebraico e significa uma área seca e vazia onde poucas plantas podem crescer. O vale tem nomes diferentes em locais distintos. As pessoas que falam árabe chamam a parte norte do vale de "o Gor", que significa "depressão" (um lugar baixo). Esta seção norte vai do Mar Morto até o Mar da Galileia. A parte sul do vale, que se estende abaixo do Mar Morto, é chamada de "a Arabá".</w:t>
      </w:r>
    </w:p>
    <w:p>
      <w:r/>
      <w:r>
        <w:t>No Antigo Testamento, a Bíblia usa Arabá de diferentes maneiras:</w:t>
      </w:r>
    </w:p>
    <w:p>
      <w:pPr>
        <w:pStyle w:val="ListBullet"/>
        <w:spacing w:line="240" w:lineRule="auto"/>
        <w:ind w:left="720"/>
      </w:pPr>
      <w:r/>
      <w:r>
        <w:t>Arabá às vezes se refere a toda a extensão do vale.</w:t>
      </w:r>
    </w:p>
    <w:p>
      <w:pPr>
        <w:pStyle w:val="ListBullet"/>
        <w:spacing w:line="240" w:lineRule="auto"/>
        <w:ind w:left="720"/>
      </w:pPr>
      <w:r/>
      <w:r>
        <w:t xml:space="preserve">Em </w:t>
      </w:r>
      <w:hyperlink r:id="rId2314">
        <w:r>
          <w:rPr>
            <w:color w:val="0000EE"/>
            <w:u w:val="single"/>
          </w:rPr>
          <w:t>Deuteronômio 1.1</w:t>
        </w:r>
      </w:hyperlink>
      <w:r>
        <w:t xml:space="preserve">; </w:t>
      </w:r>
      <w:hyperlink r:id="rId2315">
        <w:r>
          <w:rPr>
            <w:color w:val="0000EE"/>
            <w:u w:val="single"/>
          </w:rPr>
          <w:t>2.8,</w:t>
        </w:r>
      </w:hyperlink>
      <w:r>
        <w:t xml:space="preserve"> Arabá refere-se à parte sul do vale.</w:t>
      </w:r>
    </w:p>
    <w:p>
      <w:pPr>
        <w:pStyle w:val="ListBullet"/>
        <w:spacing w:line="240" w:lineRule="auto"/>
        <w:ind w:left="720"/>
      </w:pPr>
      <w:r/>
      <w:r>
        <w:t xml:space="preserve">Em </w:t>
      </w:r>
      <w:hyperlink r:id="rId2316">
        <w:r>
          <w:rPr>
            <w:color w:val="0000EE"/>
            <w:u w:val="single"/>
          </w:rPr>
          <w:t>Deuteronômio 3.17</w:t>
        </w:r>
      </w:hyperlink>
      <w:r>
        <w:t xml:space="preserve">, </w:t>
      </w:r>
      <w:hyperlink r:id="rId2317">
        <w:r>
          <w:rPr>
            <w:color w:val="0000EE"/>
            <w:u w:val="single"/>
          </w:rPr>
          <w:t>4.49</w:t>
        </w:r>
      </w:hyperlink>
      <w:r>
        <w:t xml:space="preserve">, e </w:t>
      </w:r>
      <w:hyperlink r:id="rId2318">
        <w:r>
          <w:rPr>
            <w:color w:val="0000EE"/>
            <w:u w:val="single"/>
          </w:rPr>
          <w:t>Josué 11.2,</w:t>
        </w:r>
      </w:hyperlink>
      <w:r>
        <w:t xml:space="preserve"> Arabá refere-se à seção nordeste do vale.</w:t>
      </w:r>
    </w:p>
    <w:p>
      <w:pPr>
        <w:pStyle w:val="ListBullet"/>
        <w:spacing w:line="240" w:lineRule="auto"/>
        <w:ind w:left="720"/>
      </w:pPr>
      <w:r/>
      <w:r>
        <w:t>Arabá poderia também se referir à parte do vale a leste do Rio Jordão (</w:t>
      </w:r>
      <w:hyperlink r:id="rId2317">
        <w:r>
          <w:rPr>
            <w:color w:val="0000EE"/>
            <w:u w:val="single"/>
          </w:rPr>
          <w:t>Dt 4.49</w:t>
        </w:r>
      </w:hyperlink>
      <w:r>
        <w:t>).</w:t>
      </w:r>
    </w:p>
    <w:p>
      <w:pPr>
        <w:pStyle w:val="ListBullet"/>
        <w:spacing w:line="240" w:lineRule="auto"/>
        <w:ind w:left="720"/>
      </w:pPr>
      <w:r/>
      <w:r>
        <w:t xml:space="preserve">Em </w:t>
      </w:r>
      <w:hyperlink r:id="rId2319">
        <w:r>
          <w:rPr>
            <w:color w:val="0000EE"/>
            <w:u w:val="single"/>
          </w:rPr>
          <w:t>Josué 11.16</w:t>
        </w:r>
      </w:hyperlink>
      <w:r>
        <w:t>, Arabá refere-se à parte oeste do rio.</w:t>
      </w:r>
    </w:p>
    <w:p>
      <w:pPr>
        <w:pStyle w:val="ListBullet"/>
        <w:spacing w:line="240" w:lineRule="auto"/>
        <w:ind w:left="720"/>
      </w:pPr>
      <w:r/>
      <w:r>
        <w:t xml:space="preserve">Em </w:t>
      </w:r>
      <w:hyperlink r:id="rId2320">
        <w:r>
          <w:rPr>
            <w:color w:val="0000EE"/>
            <w:u w:val="single"/>
          </w:rPr>
          <w:t>2 Samuel 4.7</w:t>
        </w:r>
      </w:hyperlink>
      <w:r>
        <w:t>, Arabá refere-se ao vale do rio Jordão.</w:t>
      </w:r>
    </w:p>
    <w:p>
      <w:r/>
      <w:r>
        <w:t>A forma plural de Arabá (Arboth) é usada 17 vezes no Antigo Testamento Hebraico. Seu significado, "planícies", refere-se à seção da Arabá perto de Jericó ou Moabe. O Mar Morto é às vezes referido como o Mar da Arabá ou Mar da Planície (</w:t>
      </w:r>
      <w:hyperlink r:id="rId2321">
        <w:r>
          <w:rPr>
            <w:color w:val="0000EE"/>
            <w:u w:val="single"/>
          </w:rPr>
          <w:t>2 Rs 14.25</w:t>
        </w:r>
      </w:hyperlink>
      <w:r>
        <w:t>). Na maior parte, a seção da Arabá ao norte do Mar Morto era fértil e produtiva. Hoje também é.</w:t>
      </w:r>
    </w:p>
    <w:p>
      <w:pPr>
        <w:pStyle w:val="Heading3"/>
      </w:pPr>
      <w:r>
        <w:t>Quais eventos importantes ocorreram no Arabá?</w:t>
      </w:r>
    </w:p>
    <w:p>
      <w:r/>
      <w:r>
        <w:t>Foi da Arabá que Josué liderou a campanha para conquistar Jericó. Abner fugiu para a Arabá do norte após ser derrotado em Gibeão (</w:t>
      </w:r>
      <w:hyperlink r:id="rId2322">
        <w:r>
          <w:rPr>
            <w:color w:val="0000EE"/>
            <w:u w:val="single"/>
          </w:rPr>
          <w:t>2 Sm 2.29</w:t>
        </w:r>
      </w:hyperlink>
      <w:r>
        <w:t>). Os assassinos de Isbosete atravessaram a área para levar sua cabeça a Davi em Hebrom (</w:t>
      </w:r>
      <w:hyperlink r:id="rId2320">
        <w:r>
          <w:rPr>
            <w:color w:val="0000EE"/>
            <w:u w:val="single"/>
          </w:rPr>
          <w:t>2 Sm 4.7</w:t>
        </w:r>
      </w:hyperlink>
      <w:r>
        <w:t>). Zedequias fugiu para a área quando foi capturado pelos babilônios (</w:t>
      </w:r>
      <w:hyperlink r:id="rId2323">
        <w:r>
          <w:rPr>
            <w:color w:val="0000EE"/>
            <w:u w:val="single"/>
          </w:rPr>
          <w:t>2 Rs 25.4</w:t>
        </w:r>
      </w:hyperlink>
      <w:r>
        <w:t xml:space="preserve">; </w:t>
      </w:r>
      <w:hyperlink r:id="rId2324">
        <w:r>
          <w:rPr>
            <w:color w:val="0000EE"/>
            <w:u w:val="single"/>
          </w:rPr>
          <w:t>Jr 39.4</w:t>
        </w:r>
      </w:hyperlink>
      <w:r>
        <w:t>).</w:t>
      </w:r>
    </w:p>
    <w:p>
      <w:r/>
      <w:r>
        <w:t>O sul da Arabá foi o local das peregrinações de Israel antes de entrar na terra Prometida. Mais ao norte, a Arabá foi o cenário dos atos finais de Moisés (</w:t>
      </w:r>
      <w:hyperlink r:id="rId2325">
        <w:r>
          <w:rPr>
            <w:color w:val="0000EE"/>
            <w:u w:val="single"/>
          </w:rPr>
          <w:t>Nm 32–36</w:t>
        </w:r>
      </w:hyperlink>
      <w:r>
        <w:t>). Moisés morreu e foi sepultado na Arabá (</w:t>
      </w:r>
      <w:hyperlink r:id="rId2314">
        <w:r>
          <w:rPr>
            <w:color w:val="0000EE"/>
            <w:u w:val="single"/>
          </w:rPr>
          <w:t>Dt 1.1</w:t>
        </w:r>
      </w:hyperlink>
      <w:r>
        <w:t>). Ele foi enterrado nas campinas de Moabe a leste do Mar Morto (</w:t>
      </w:r>
      <w:hyperlink r:id="rId39">
        <w:r>
          <w:rPr>
            <w:color w:val="0000EE"/>
            <w:u w:val="single"/>
          </w:rPr>
          <w:t>Dt 34.1–6</w:t>
        </w:r>
      </w:hyperlink>
      <w:r>
        <w:t>).</w:t>
      </w:r>
    </w:p>
    <w:p>
      <w:pPr>
        <w:pStyle w:val="Heading3"/>
      </w:pPr>
      <w:r>
        <w:t>O que torna a terra especial e qual é o seu futuro?</w:t>
      </w:r>
    </w:p>
    <w:p>
      <w:r/>
      <w:r>
        <w:t xml:space="preserve">Ao sul do Mar Morto, havia depósitos de ferro e cobre. </w:t>
      </w:r>
      <w:hyperlink r:id="rId2326">
        <w:r>
          <w:rPr>
            <w:color w:val="0000EE"/>
            <w:u w:val="single"/>
          </w:rPr>
          <w:t>Deuteronômio 8.9</w:t>
        </w:r>
      </w:hyperlink>
      <w:r>
        <w:t xml:space="preserve"> pode aludir a esta área geral ao mencionar “uma terra onde as pedras têm ferro e as montanhas têm minas de cobre”. A terra aqui é geralmente árida. Nos tempos antigos, o uso cuidadoso da irrigação tornou a agricultura possível em uma extensão limitada. Várias rotas comerciais importantes passaram por esta área. A Arabá ao redor do Mar Morto foi outrora uma área especialmente fértil “como o Jardim do Senhor” (</w:t>
      </w:r>
      <w:hyperlink r:id="rId2327">
        <w:r>
          <w:rPr>
            <w:color w:val="0000EE"/>
            <w:u w:val="single"/>
          </w:rPr>
          <w:t>Gn 13.10</w:t>
        </w:r>
      </w:hyperlink>
      <w:r>
        <w:t>). Isso mudou após a destruição de Sodoma e Gomorra.</w:t>
      </w:r>
    </w:p>
    <w:p>
      <w:r/>
      <w:r>
        <w:t>A Bíblia contém promessas sobre o futuro desta área. O profeta Ezequiel escreveu sobre um rio especial que um dia fluirá do templo de Deus. De acordo com seus escritos, este rio descerá para o vale do Arabá. Quando isso acontecer, tornará a água salgada do mar em doce e limpa. Isso criará um bom lugar para peixes e outros seres vivos prosperarem (</w:t>
      </w:r>
      <w:hyperlink r:id="rId2328">
        <w:r>
          <w:rPr>
            <w:color w:val="0000EE"/>
            <w:u w:val="single"/>
          </w:rPr>
          <w:t>Ez 47.1–12</w:t>
        </w:r>
      </w:hyperlink>
      <w:r>
        <w:t xml:space="preserve">; </w:t>
      </w:r>
      <w:hyperlink r:id="rId2329">
        <w:r>
          <w:rPr>
            <w:color w:val="0000EE"/>
            <w:u w:val="single"/>
          </w:rPr>
          <w:t>Jl 3.18</w:t>
        </w:r>
      </w:hyperlink>
      <w:r>
        <w:t xml:space="preserve">; </w:t>
      </w:r>
      <w:hyperlink r:id="rId2330">
        <w:r>
          <w:rPr>
            <w:color w:val="0000EE"/>
            <w:u w:val="single"/>
          </w:rPr>
          <w:t>Zc 14.8</w:t>
        </w:r>
      </w:hyperlink>
      <w:r>
        <w:t xml:space="preserve">). </w:t>
      </w:r>
      <w:r>
        <w:rPr>
          <w:i/>
        </w:rPr>
        <w:t>Veja</w:t>
      </w:r>
      <w:r>
        <w:t xml:space="preserve"> </w:t>
      </w:r>
      <w:r>
        <w:t>Palestina</w:t>
      </w:r>
      <w:r>
        <w:t>.</w:t>
      </w:r>
      <w:r/>
      <w:r/>
    </w:p>
    <w:p>
      <w:r/>
    </w:p>
    <w:p>
      <w:pPr>
        <w:pStyle w:val="Heading2"/>
      </w:pPr>
      <w:r>
        <w:t>Arábia, Árabes</w:t>
      </w:r>
      <w:r/>
    </w:p>
    <w:p>
      <w:r/>
      <w:r>
        <w:t>A Arábia é uma grande península (uma porção de terra quase cercada por água) no sudoeste da Ásia. A água cerca a região por três lados: o Mar Vermelho a oeste, o Oceano Índico ao sul e o Golfo Pérsico a leste. Ao norte, é limitada por uma região fértil de vales fluviais e terras agrícolas chamada Crescente Fértil. Atualmente, os países da Jordânia e do Iraque formam a fronteira norte da Arábia. A Arábia é muito grande — cerca de 1,6 milhão de quilômetros quadrados (ou pouco mais de 1 milhão de milhas quadradas).</w:t>
      </w:r>
    </w:p>
    <w:p>
      <w:r/>
      <w:r>
        <w:t>Por volta de 150 d.C., um geógrafo chamado Ptolomeu desenvolveu uma forma de descrever diferentes partes da Arábia. Ele dividiu a terra em três regiões. Outros geógrafos antigos, como Estrabão, utilizaram essas mesmas divisões:</w:t>
      </w:r>
    </w:p>
    <w:p>
      <w:pPr>
        <w:pStyle w:val="ListNumber"/>
        <w:spacing w:line="240" w:lineRule="auto"/>
        <w:ind w:left="720"/>
      </w:pPr>
      <w:r/>
      <w:r>
        <w:rPr>
          <w:i/>
        </w:rPr>
        <w:t>Arábia Petreia</w:t>
      </w:r>
      <w:r>
        <w:t xml:space="preserve"> (significando "Arábia Rochosa") no noroeste. Esta região incluía a Península do Sinai (a ponte terrestre entre a África e a Ásia), as terras de Edom e Moabe (áreas a leste do Mar Morto) e a região a leste do Rio Jordão (chamada de Transjordânia).</w:t>
      </w:r>
    </w:p>
    <w:p>
      <w:pPr>
        <w:pStyle w:val="ListNumber"/>
        <w:spacing w:line="240" w:lineRule="auto"/>
        <w:ind w:left="720"/>
      </w:pPr>
      <w:r/>
      <w:r>
        <w:rPr>
          <w:i/>
        </w:rPr>
        <w:t>Arabia Deserta</w:t>
      </w:r>
      <w:r>
        <w:t xml:space="preserve"> (significando "Arábia Deserta"). Esta região correspondia principalmente ao Deserto Sírio.</w:t>
      </w:r>
    </w:p>
    <w:p>
      <w:pPr>
        <w:pStyle w:val="ListNumber"/>
        <w:spacing w:line="240" w:lineRule="auto"/>
        <w:ind w:left="720"/>
      </w:pPr>
      <w:r/>
      <w:r>
        <w:rPr>
          <w:i/>
        </w:rPr>
        <w:t>Arábia Felix</w:t>
      </w:r>
      <w:r>
        <w:t xml:space="preserve"> (significando "Arábia Feliz"). Esta região abrangia a parte sul da Arábia. Era chamada de "feliz" porque recebia mais chuvas e era mais adequada para a agricultura do que as outras regiões</w:t>
      </w:r>
    </w:p>
    <w:p>
      <w:pPr>
        <w:pStyle w:val="Heading3"/>
      </w:pPr>
      <w:r>
        <w:t>O que a Bíblia diz sobre a Arábia?</w:t>
      </w:r>
    </w:p>
    <w:p>
      <w:r/>
      <w:r>
        <w:t xml:space="preserve">“Arábia” é usada como um termo geográfico na Bíblia. Às vezes, inclui tanto as seções do norte quanto do sul. Por exemplo., </w:t>
      </w:r>
      <w:hyperlink r:id="rId2331">
        <w:r>
          <w:rPr>
            <w:color w:val="0000EE"/>
            <w:u w:val="single"/>
          </w:rPr>
          <w:t>2Cr 9.14</w:t>
        </w:r>
      </w:hyperlink>
      <w:r>
        <w:t xml:space="preserve"> diz que os reis da Arábia trouxeram ouro para Salomão como tributo, um pagamento feito por uma nação ou governante a outro como um sinal de submissão ou respeito. Em outras ocasiões, o nome Arábia refere-se apenas ao noroeste </w:t>
      </w:r>
      <w:r>
        <w:rPr>
          <w:i/>
        </w:rPr>
        <w:t>Arábia Petraea.</w:t>
      </w:r>
      <w:r>
        <w:t xml:space="preserve"> Por exemplo, Paulo disse que, após sua conversão, ele foi para os desertos da Arábia (</w:t>
      </w:r>
      <w:hyperlink r:id="rId2286">
        <w:r>
          <w:rPr>
            <w:color w:val="0000EE"/>
            <w:u w:val="single"/>
          </w:rPr>
          <w:t>Gl 1.17</w:t>
        </w:r>
      </w:hyperlink>
      <w:r>
        <w:t>) e referiu-se ao Monte Sinai (</w:t>
      </w:r>
      <w:hyperlink r:id="rId2332">
        <w:r>
          <w:rPr>
            <w:color w:val="0000EE"/>
            <w:u w:val="single"/>
          </w:rPr>
          <w:t>4.25</w:t>
        </w:r>
      </w:hyperlink>
      <w:r>
        <w:t>), que está nessa área noroeste.</w:t>
      </w:r>
    </w:p>
    <w:p>
      <w:r/>
      <w:r>
        <w:t xml:space="preserve">Muitos lugares mencionados na Bíblia como Arábia estão mais especificamente em </w:t>
      </w:r>
      <w:r>
        <w:rPr>
          <w:i/>
        </w:rPr>
        <w:t>Arábia Petraea.</w:t>
      </w:r>
      <w:r>
        <w:t xml:space="preserve"> Esses locais incluem Buz, Dedã, Dumá, Efá, o Hazor de </w:t>
      </w:r>
      <w:hyperlink r:id="rId2333">
        <w:r>
          <w:rPr>
            <w:color w:val="0000EE"/>
            <w:u w:val="single"/>
          </w:rPr>
          <w:t>Jr 49.28–33</w:t>
        </w:r>
      </w:hyperlink>
      <w:r>
        <w:t>, Massá, Messa e Midiã. Hazar-Mavé, Ofir, Sabtá, Sefar, Seba e Uzal estão no sul. Havilá e Parvaim estão possivelmente no nordeste. As autoridades debatem a localização de Seba. A terra de Uz é mencionada no livro de Jó. Muitos estudiosos acreditam que está localizada na área entre Edom e o norte da Arábia.</w:t>
      </w:r>
    </w:p>
    <w:p>
      <w:r/>
      <w:r>
        <w:t>Muitos pensam que a Arábia é um dos países mais quentes. Em algumas áreas, isso é correto. A península tem mares a leste e a oeste, mas esses corpos d'água são pequenos demais para quebrar a paisagem seca afro-asiática. Existem, no entanto, algumas regiões que desfrutam de clima ameno. No sul, grande parte da terra é suficientemente elevada para evitar a intensidade do calor tropical. As planícies ao longo da costa têm um ambiente semitropical. Névoas e orvalhos são comuns nas regiões úmidas. No interior da Arábia, o sol brilha o ano todo. Ele é ocasionalmente obscurecido por uma tempestade de areia ou uma chuva ainda mais rara.</w:t>
      </w:r>
    </w:p>
    <w:p>
      <w:r/>
      <w:r>
        <w:t>As pessoas desejavam a Arábia por seus recursos naturais. Faraós da primeira dinastia operavam minas de turquesa no Sinai. O ouro de Ofir e o incenso e mirra do sul da Arábia eram conhecidos mundialmente. A Rainha de Sabá trouxe essas especiarias preciosas para Salomão (</w:t>
      </w:r>
      <w:hyperlink r:id="rId2334">
        <w:r>
          <w:rPr>
            <w:color w:val="0000EE"/>
            <w:u w:val="single"/>
          </w:rPr>
          <w:t>1Rs 10.2,10</w:t>
        </w:r>
      </w:hyperlink>
      <w:r>
        <w:t>). O comércio entre Israel e Arábia floresceu. Salomão tinha um porto em Eziom-Geber no Mar Vermelho, que usava para negociar com Ofir (</w:t>
      </w:r>
      <w:hyperlink r:id="rId765">
        <w:r>
          <w:rPr>
            <w:color w:val="0000EE"/>
            <w:u w:val="single"/>
          </w:rPr>
          <w:t>1Rs 9.26–28</w:t>
        </w:r>
      </w:hyperlink>
      <w:r>
        <w:t>). O rei Josafá de Judá também recebia tributo dos árabes (</w:t>
      </w:r>
      <w:hyperlink r:id="rId2335">
        <w:r>
          <w:rPr>
            <w:color w:val="0000EE"/>
            <w:u w:val="single"/>
          </w:rPr>
          <w:t>2Cr 17.11</w:t>
        </w:r>
      </w:hyperlink>
      <w:r>
        <w:t>). Josafá tentou reviver o comércio com Ofir, mas falhou (</w:t>
      </w:r>
      <w:hyperlink r:id="rId2336">
        <w:r>
          <w:rPr>
            <w:color w:val="0000EE"/>
            <w:u w:val="single"/>
          </w:rPr>
          <w:t>1Rs 22.48</w:t>
        </w:r>
      </w:hyperlink>
      <w:r>
        <w:t>).</w:t>
      </w:r>
    </w:p>
    <w:p>
      <w:pPr>
        <w:pStyle w:val="Heading3"/>
      </w:pPr>
      <w:r>
        <w:t>Quem eram os povos e tribos da Arábia?</w:t>
      </w:r>
    </w:p>
    <w:p>
      <w:r/>
      <w:r>
        <w:t>Tribos associadas à Arábia desempenharam um papel significativo na história bíblica. Os ismaelitas ou midianitas levaram José ao Egito (</w:t>
      </w:r>
      <w:hyperlink r:id="rId2337">
        <w:r>
          <w:rPr>
            <w:color w:val="0000EE"/>
            <w:u w:val="single"/>
          </w:rPr>
          <w:t>Gn 37.25–36</w:t>
        </w:r>
      </w:hyperlink>
      <w:r>
        <w:t xml:space="preserve">). Eles eram árabes. Os amalequitas também eram árabes. Eles guerrearam com Moisés no deserto de </w:t>
      </w:r>
      <w:r>
        <w:rPr>
          <w:i/>
        </w:rPr>
        <w:t>Arábia Petraea</w:t>
      </w:r>
      <w:r>
        <w:t xml:space="preserve"> (</w:t>
      </w:r>
      <w:hyperlink r:id="rId1032">
        <w:r>
          <w:rPr>
            <w:color w:val="0000EE"/>
            <w:u w:val="single"/>
          </w:rPr>
          <w:t>Êx 17.8–16</w:t>
        </w:r>
      </w:hyperlink>
      <w:r>
        <w:t>). O sogro de Moisés era um midianita (</w:t>
      </w:r>
      <w:hyperlink r:id="rId2338">
        <w:r>
          <w:rPr>
            <w:color w:val="0000EE"/>
            <w:u w:val="single"/>
          </w:rPr>
          <w:t>Êx 18.1</w:t>
        </w:r>
      </w:hyperlink>
      <w:r>
        <w:t>). Seu nome era Jetro. O rei Uzias de Judá lutou contra os árabes (</w:t>
      </w:r>
      <w:hyperlink r:id="rId2339">
        <w:r>
          <w:rPr>
            <w:color w:val="0000EE"/>
            <w:u w:val="single"/>
          </w:rPr>
          <w:t>2Cr 26.7</w:t>
        </w:r>
      </w:hyperlink>
      <w:r>
        <w:t>). Os meunitas mencionados no mesmo versículo provavelmente também eram da Arábia. Gesém, o Árabe, resistiu à reconstrução do muro de Jerusalém (</w:t>
      </w:r>
      <w:hyperlink r:id="rId2340">
        <w:r>
          <w:rPr>
            <w:color w:val="0000EE"/>
            <w:u w:val="single"/>
          </w:rPr>
          <w:t>Ne 2.19</w:t>
        </w:r>
      </w:hyperlink>
      <w:r>
        <w:t xml:space="preserve">; </w:t>
      </w:r>
      <w:hyperlink r:id="rId2341">
        <w:r>
          <w:rPr>
            <w:color w:val="0000EE"/>
            <w:u w:val="single"/>
          </w:rPr>
          <w:t>6.1,6</w:t>
        </w:r>
      </w:hyperlink>
      <w:r>
        <w:t>). Ele também é conhecido por inscrições não religiosas.</w:t>
      </w:r>
    </w:p>
    <w:p>
      <w:r/>
      <w:r>
        <w:t>Quedar era uma importante tribo árabe do norte. Eles foram condenados na mensagem de Isaías sobre a Arábia (</w:t>
      </w:r>
      <w:hyperlink r:id="rId2342">
        <w:r>
          <w:rPr>
            <w:color w:val="0000EE"/>
            <w:u w:val="single"/>
          </w:rPr>
          <w:t>Is 21.13–17</w:t>
        </w:r>
      </w:hyperlink>
      <w:r>
        <w:t>). Jeremias também falou contra ela. Ele profetizou sua destruição por Nabucodonosor, que conquistou a Arábia (</w:t>
      </w:r>
      <w:hyperlink r:id="rId2333">
        <w:r>
          <w:rPr>
            <w:color w:val="0000EE"/>
            <w:u w:val="single"/>
          </w:rPr>
          <w:t>Jr 49.28–33</w:t>
        </w:r>
      </w:hyperlink>
      <w:r>
        <w:t>). Os árabes nabateus eram aliados próximos da tribo de Quedar (</w:t>
      </w:r>
      <w:hyperlink r:id="rId2343">
        <w:r>
          <w:rPr>
            <w:color w:val="0000EE"/>
            <w:u w:val="single"/>
          </w:rPr>
          <w:t>Is 60.7</w:t>
        </w:r>
      </w:hyperlink>
      <w:r>
        <w:t>). Os árabes nabateus tornaram-se muito importantes na história posterior. Eles capturaram Petra e cumpriram a profecia de Obadias sobre Edom. As referências à Arábia e aos árabes, na literatura apócrifa e no Novo Testamento, dizem respeito principalmente aos árabes nabateus (</w:t>
      </w:r>
      <w:hyperlink r:id="rId2344">
        <w:r>
          <w:rPr>
            <w:color w:val="0000EE"/>
            <w:u w:val="single"/>
          </w:rPr>
          <w:t>1Mc 11.16</w:t>
        </w:r>
      </w:hyperlink>
      <w:r>
        <w:t xml:space="preserve">; </w:t>
      </w:r>
      <w:hyperlink r:id="rId2286">
        <w:r>
          <w:rPr>
            <w:color w:val="0000EE"/>
            <w:u w:val="single"/>
          </w:rPr>
          <w:t>Gl 1.17</w:t>
        </w:r>
      </w:hyperlink>
      <w:r>
        <w:t>).</w:t>
      </w:r>
    </w:p>
    <w:p>
      <w:pPr>
        <w:pStyle w:val="Heading3"/>
      </w:pPr>
      <w:r>
        <w:t>Quais reinos se desenvolveram no sul da Arábia?</w:t>
      </w:r>
    </w:p>
    <w:p>
      <w:r/>
      <w:r>
        <w:t>No sul da Arábia, desenvolveram-se quatro reinos:</w:t>
      </w:r>
    </w:p>
    <w:p>
      <w:pPr>
        <w:pStyle w:val="ListNumber"/>
        <w:spacing w:line="240" w:lineRule="auto"/>
        <w:ind w:left="720"/>
      </w:pPr>
      <w:r/>
      <w:r>
        <w:t>O reino de Sabá (também chamado de Reino Sabeu);</w:t>
      </w:r>
    </w:p>
    <w:p>
      <w:pPr>
        <w:pStyle w:val="ListNumber"/>
        <w:spacing w:line="240" w:lineRule="auto"/>
        <w:ind w:left="720"/>
      </w:pPr>
      <w:r/>
      <w:r>
        <w:t>O reino de Ma'in (também chamado de Mineano);</w:t>
      </w:r>
    </w:p>
    <w:p>
      <w:pPr>
        <w:pStyle w:val="ListNumber"/>
        <w:spacing w:line="240" w:lineRule="auto"/>
        <w:ind w:left="720"/>
      </w:pPr>
      <w:r/>
      <w:r>
        <w:t>O reino de Catabã;</w:t>
      </w:r>
    </w:p>
    <w:p>
      <w:pPr>
        <w:pStyle w:val="ListNumber"/>
        <w:spacing w:line="240" w:lineRule="auto"/>
        <w:ind w:left="720"/>
      </w:pPr>
      <w:r/>
      <w:r>
        <w:t>O reino de Hadramaute.</w:t>
      </w:r>
    </w:p>
    <w:p>
      <w:r/>
      <w:r>
        <w:t>Por volta de 115 a.C., o reino Himiarita assumiu o controle do sul da Arábia. O reino Himiarita controlou a Arábia até cerca de 300 d.C. Três séculos depois, a península Arábica presenciou o início do Islã.</w:t>
      </w:r>
      <w:r/>
      <w:r/>
    </w:p>
    <w:p>
      <w:r/>
    </w:p>
    <w:p>
      <w:pPr>
        <w:pStyle w:val="Heading2"/>
      </w:pPr>
      <w:r>
        <w:t>Arade (Lugar)</w:t>
      </w:r>
      <w:r/>
    </w:p>
    <w:p>
      <w:r/>
      <w:r>
        <w:t>O nome de um assentamento ou região cananeia no Deserto de Neguebe na época da conquista israelita de Canaã.</w:t>
      </w:r>
    </w:p>
    <w:p>
      <w:r/>
      <w:r>
        <w:t>O rei de Arade lutou contra os israelitas, mas os israelitas o derrotaram (</w:t>
      </w:r>
      <w:hyperlink r:id="rId2345">
        <w:r>
          <w:rPr>
            <w:color w:val="0000EE"/>
            <w:u w:val="single"/>
          </w:rPr>
          <w:t>Nm 21.1–3</w:t>
        </w:r>
      </w:hyperlink>
      <w:r>
        <w:t xml:space="preserve">; </w:t>
      </w:r>
      <w:hyperlink r:id="rId2346">
        <w:r>
          <w:rPr>
            <w:color w:val="0000EE"/>
            <w:u w:val="single"/>
          </w:rPr>
          <w:t>33.40</w:t>
        </w:r>
      </w:hyperlink>
      <w:r>
        <w:t>). Após a vitória, eles nomearam o lugar "Horma," que significa "destruição" em hebraico. Mais tarde, Josué e seu exército conquistaram Arade (</w:t>
      </w:r>
      <w:hyperlink r:id="rId2347">
        <w:r>
          <w:rPr>
            <w:color w:val="0000EE"/>
            <w:u w:val="single"/>
          </w:rPr>
          <w:t>Js 12.14</w:t>
        </w:r>
      </w:hyperlink>
      <w:r>
        <w:t>).</w:t>
      </w:r>
    </w:p>
    <w:p>
      <w:pPr>
        <w:pStyle w:val="Heading3"/>
      </w:pPr>
      <w:r>
        <w:t>Onde ficava a antiga Arade?</w:t>
      </w:r>
    </w:p>
    <w:p>
      <w:r/>
      <w:r>
        <w:t>Por muitos anos, arqueólogos acreditaram que o Arade mencionado na Bíblia era o mesmo local que agora chamamos de Tel Arade (um tel é um monte antigo onde pessoas viveram no passado). No entanto, quando pesquisadores estudaram Tel Arade escavando seus restos, encontraram algo surpreendente. Ninguém estava vivendo lá quando os israelitas chegaram pela primeira vez à terra. Alguns estudiosos sugeriram que o Arade mencionado em Números e Josué era uma região e não um local específico.</w:t>
      </w:r>
    </w:p>
    <w:p>
      <w:r/>
      <w:r>
        <w:t>Outros dizem que havia dois Arades. Um Arade é a cidade cananeia localizada possivelmente em Tel Malhata, cerca de 12 quilômetros (7,5 milhas) a sudoeste de Tel Arade. O segundo Arade é a cidade israelita localizada no moderno Tel Arade. Esta sugestão do segundo é apoiada por uma inscrição de Sisaque, um faraó egípcio que governou de cerca de 940 a 915 a.C. Isso indica que duas cidades chamadas Arade existiam durante o início do primeiro milênio a.C.</w:t>
      </w:r>
    </w:p>
    <w:p>
      <w:pPr>
        <w:pStyle w:val="Heading3"/>
      </w:pPr>
      <w:r>
        <w:t>Qual foi o papel de Tel Arade no antigo Israel?</w:t>
      </w:r>
    </w:p>
    <w:p>
      <w:r/>
      <w:r>
        <w:t xml:space="preserve">A única possível menção da moderna Tel Arade está em </w:t>
      </w:r>
      <w:hyperlink r:id="rId1039">
        <w:r>
          <w:rPr>
            <w:color w:val="0000EE"/>
            <w:u w:val="single"/>
          </w:rPr>
          <w:t>Jz 1.16.</w:t>
        </w:r>
      </w:hyperlink>
      <w:r>
        <w:t xml:space="preserve"> Neste versículo, Arade é usada como ponto de referência para a terra ocupada pelos queneus. Tel Arade foi uma grande cidade importante durante a Idade do Bronze Antiga. Após ser destruída por volta de 2600 a.C., não foi reocupada até pouco antes de 1000 a.C. Tel Arade serviu como uma fortaleza na fronteira sul de Judá desde o tempo do Rei Salomão (970 a 930 a.C.) até que os judeus foram levados ao exílio.</w:t>
      </w:r>
    </w:p>
    <w:p>
      <w:pPr>
        <w:pStyle w:val="Heading3"/>
      </w:pPr>
      <w:r>
        <w:t>O que os pesquisadores descobriram em Tel Arade?</w:t>
      </w:r>
    </w:p>
    <w:p>
      <w:r/>
      <w:r>
        <w:t>Pesquisadores encontraram muitas coisas interessantes ao estudar Tel Arade. Uma de suas descobertas mais importantes foi um local especial de adoração que os israelitas haviam construído lá. Este edifício era muito semelhante a outros dois importantes locais de adoração:</w:t>
      </w:r>
    </w:p>
    <w:p>
      <w:pPr>
        <w:pStyle w:val="ListBullet"/>
        <w:spacing w:line="240" w:lineRule="auto"/>
        <w:ind w:left="720"/>
      </w:pPr>
      <w:r/>
      <w:r>
        <w:t>O tabernáculo (a tenda sagrada que os israelitas levavam com eles no deserto);</w:t>
      </w:r>
    </w:p>
    <w:p>
      <w:pPr>
        <w:pStyle w:val="ListBullet"/>
        <w:spacing w:line="240" w:lineRule="auto"/>
        <w:ind w:left="720"/>
      </w:pPr>
      <w:r/>
      <w:r>
        <w:t>O templo (o principal local de adoração que foi posteriormente construído em Jerusalém).</w:t>
      </w:r>
    </w:p>
    <w:p>
      <w:r/>
      <w:r>
        <w:t xml:space="preserve">O edifício tinha um altar (uma mesa especial para oferendas a Deus) que era do mesmo tamanho que o descrito em </w:t>
      </w:r>
      <w:hyperlink r:id="rId2348">
        <w:r>
          <w:rPr>
            <w:color w:val="0000EE"/>
            <w:u w:val="single"/>
          </w:rPr>
          <w:t>Êx 27.1</w:t>
        </w:r>
      </w:hyperlink>
      <w:r>
        <w:t>. Alguns estudiosos acreditam que este local de adoração pode ter sido usado por um grupo chamado queneus.</w:t>
      </w:r>
    </w:p>
    <w:p>
      <w:r/>
      <w:r>
        <w:t>Os pesquisadores também encontraram pedaços de cerâmica quebrada com escrita neles (os estudiosos chamam essas peças de "ostraca"). Um desses pedaços menciona a "casa de Yahweh" (outro nome para Deus). Isso pode estar se referindo ao templo em Jerusalém.</w:t>
      </w:r>
      <w:r/>
      <w:r/>
    </w:p>
    <w:p>
      <w:r/>
    </w:p>
    <w:p>
      <w:pPr>
        <w:pStyle w:val="Heading2"/>
      </w:pPr>
      <w:r>
        <w:t>Aramaico</w:t>
      </w:r>
      <w:r/>
    </w:p>
    <w:p>
      <w:r/>
      <w:r>
        <w:t>Uma das três línguas originais da Bíblia. O aramaico é encontrado em partes de Daniel (</w:t>
      </w:r>
      <w:hyperlink r:id="rId2349">
        <w:r>
          <w:rPr>
            <w:color w:val="0000EE"/>
            <w:u w:val="single"/>
          </w:rPr>
          <w:t>2.4b</w:t>
        </w:r>
      </w:hyperlink>
      <w:r>
        <w:t>–</w:t>
      </w:r>
      <w:hyperlink r:id="rId2349">
        <w:r>
          <w:rPr>
            <w:color w:val="0000EE"/>
            <w:u w:val="single"/>
          </w:rPr>
          <w:t>7.28</w:t>
        </w:r>
      </w:hyperlink>
      <w:r>
        <w:t>) e Esdras (</w:t>
      </w:r>
      <w:hyperlink r:id="rId2350">
        <w:r>
          <w:rPr>
            <w:color w:val="0000EE"/>
            <w:u w:val="single"/>
          </w:rPr>
          <w:t>4.8</w:t>
        </w:r>
      </w:hyperlink>
      <w:r>
        <w:t>–</w:t>
      </w:r>
      <w:hyperlink r:id="rId2350">
        <w:r>
          <w:rPr>
            <w:color w:val="0000EE"/>
            <w:u w:val="single"/>
          </w:rPr>
          <w:t>6.18</w:t>
        </w:r>
      </w:hyperlink>
      <w:r>
        <w:t xml:space="preserve">; </w:t>
      </w:r>
      <w:hyperlink r:id="rId2351">
        <w:r>
          <w:rPr>
            <w:color w:val="0000EE"/>
            <w:u w:val="single"/>
          </w:rPr>
          <w:t>7.12</w:t>
        </w:r>
      </w:hyperlink>
      <w:r>
        <w:t>–</w:t>
      </w:r>
      <w:hyperlink r:id="rId2351">
        <w:r>
          <w:rPr>
            <w:color w:val="0000EE"/>
            <w:u w:val="single"/>
          </w:rPr>
          <w:t>26</w:t>
        </w:r>
      </w:hyperlink>
      <w:r>
        <w:t>). Frases e expressões aramaicas também aparecem em Gênesis (</w:t>
      </w:r>
      <w:hyperlink r:id="rId2352">
        <w:r>
          <w:rPr>
            <w:color w:val="0000EE"/>
            <w:u w:val="single"/>
          </w:rPr>
          <w:t>31.47</w:t>
        </w:r>
      </w:hyperlink>
      <w:r>
        <w:t>), Jeremias (</w:t>
      </w:r>
      <w:hyperlink r:id="rId2353">
        <w:r>
          <w:rPr>
            <w:color w:val="0000EE"/>
            <w:u w:val="single"/>
          </w:rPr>
          <w:t>10.11</w:t>
        </w:r>
      </w:hyperlink>
      <w:r>
        <w:t>) e no Novo Testamento.</w:t>
      </w:r>
    </w:p>
    <w:p>
      <w:pPr>
        <w:pStyle w:val="Heading3"/>
      </w:pPr>
      <w:r>
        <w:t>Uso no Antigo Testamento.</w:t>
      </w:r>
    </w:p>
    <w:p>
      <w:r/>
      <w:r>
        <w:t>O aramaico é semelhante ao hebraico em estrutura e é escrito no mesmo alfabeto. Em contraste com o hebraico, o aramaico possui um vocabulário mais extenso, com muitas palavras emprestadas e uma maior variedade de palavras conectivas. Ele também contém muitos mais tempos verbais, utilizando particípios com pronomes ou com várias formas do verbo "ser". Embora o aramaico seja menos agradável ao ouvido e menos lírico que o hebraico, provavelmente é mais eficaz para a comunicação.</w:t>
      </w:r>
    </w:p>
    <w:p>
      <w:r/>
      <w:r>
        <w:t>O aramaico pode ter a história mais longa de qualquer idioma atual. Foi falado durante o período patriarcal da Bíblia (durante as vidas de Abraão, Isaque e Jacó) e ainda é usado hoje. O aramaico e a língua relacionada, o siríaco, desenvolveram-se em muitos dialetos (palavras e expressões únicas de uma região ou grupo social) em diferentes épocas e lugares. É simples, claro e preciso. Adaptou-se facilmente às necessidades diárias. Foi igualmente útil para estudiosos, alunos, advogados e comerciantes. Alguns o descreveram como o equivalente semítico do inglês.</w:t>
      </w:r>
    </w:p>
    <w:p>
      <w:r/>
      <w:r>
        <w:t>A origem do aramaico é desconhecida, mas parece estar intimamente relacionada ao amorita e, possivelmente, a outros dialetos perdidos do noroeste semítico (uma família de línguas que inclui o hebraico, o ugarítico e o cananeu). Embora nunca tenha existido um reino arameu, alguns "estados" arameus foram influentes. Alguns escritos curtos em aramaico dos séculos X a VIII a.C. foram encontrados e estudados.</w:t>
      </w:r>
    </w:p>
    <w:p>
      <w:r/>
      <w:r>
        <w:t>No século VIII a.C., os representantes do rei Ezequias pediram aos porta-vozes do rei assírio Senaqueribe: “Por favor, falem com seus servos em aramaico, pois entendemos. Não falem conosco em hebraico na presença do povo que está no muro” (</w:t>
      </w:r>
      <w:hyperlink r:id="rId2354">
        <w:r>
          <w:rPr>
            <w:color w:val="0000EE"/>
            <w:u w:val="single"/>
          </w:rPr>
          <w:t>2Rs 18.26</w:t>
        </w:r>
      </w:hyperlink>
      <w:r>
        <w:t>). No período persa, o aramaico era a língua do comércio internacional. O povo judeu provavelmente começou a usá-lo no exílio por conveniência (pelo menos no comércio), enquanto o hebraico passou a ser usado principalmente pela elite educada e líderes religiosos.</w:t>
      </w:r>
    </w:p>
    <w:p>
      <w:r/>
      <w:r>
        <w:t>Lentamente, começando após o exílio na Babilônia, o aramaico tornou-se amplamente falado na terra da Palestina. Neemias reclamou que crianças de casamentos mistos (com um dos pais que não era judeu) não conseguiam falar hebraico (</w:t>
      </w:r>
      <w:hyperlink r:id="rId2355">
        <w:r>
          <w:rPr>
            <w:color w:val="0000EE"/>
            <w:u w:val="single"/>
          </w:rPr>
          <w:t>Ne 13.24</w:t>
        </w:r>
      </w:hyperlink>
      <w:r>
        <w:t xml:space="preserve">). O povo judeu continuou a usar o aramaico amplamente durante os períodos persa, grego e romano. O Antigo Testamento foi eventualmente traduzido em paráfrases aramaicas. Essas traduções são chamadas de </w:t>
      </w:r>
      <w:r>
        <w:rPr>
          <w:i/>
        </w:rPr>
        <w:t>Targums</w:t>
      </w:r>
      <w:r>
        <w:t>, e algumas foram encontradas com os Manuscritos do Mar Morto.</w:t>
      </w:r>
    </w:p>
    <w:p>
      <w:pPr>
        <w:pStyle w:val="Heading3"/>
      </w:pPr>
      <w:r>
        <w:t>Uso no Novo Testamento.</w:t>
      </w:r>
    </w:p>
    <w:p>
      <w:r/>
      <w:r>
        <w:t>Acredita-se que o aramaico era a língua comum da Palestina durante o tempo de Jesus. No entanto, isso pode ser uma simplificação exagerada. Os nomes usados no Novo Testamento estão escritos em várias línguas:</w:t>
      </w:r>
    </w:p>
    <w:p>
      <w:pPr>
        <w:pStyle w:val="ListBullet"/>
        <w:spacing w:line="240" w:lineRule="auto"/>
        <w:ind w:left="720"/>
      </w:pPr>
      <w:r/>
      <w:r>
        <w:t>Aramaico (e.g., Bartolomeu, Barjonas, Barnabé);</w:t>
      </w:r>
    </w:p>
    <w:p>
      <w:pPr>
        <w:pStyle w:val="ListBullet"/>
        <w:spacing w:line="240" w:lineRule="auto"/>
        <w:ind w:left="720"/>
      </w:pPr>
      <w:r/>
      <w:r>
        <w:t>Grego (e.g., André, Filipe);</w:t>
      </w:r>
    </w:p>
    <w:p>
      <w:pPr>
        <w:pStyle w:val="ListBullet"/>
        <w:spacing w:line="240" w:lineRule="auto"/>
        <w:ind w:left="720"/>
      </w:pPr>
      <w:r/>
      <w:r>
        <w:t>Latim (e.g., Marcos);</w:t>
      </w:r>
    </w:p>
    <w:p>
      <w:pPr>
        <w:pStyle w:val="ListBullet"/>
        <w:spacing w:line="240" w:lineRule="auto"/>
        <w:ind w:left="720"/>
      </w:pPr>
      <w:r/>
      <w:r>
        <w:t>Hebraico.</w:t>
      </w:r>
    </w:p>
    <w:p>
      <w:r/>
      <w:r>
        <w:t>O aramaico era amplamente utilizado junto com o grego e o hebraico. O latim provavelmente era restrito a grupos militares e políticos. O dialeto hebraico cotidiano, o hebraico mishnaico, também era usado na época de Jesus. Documentos em hebraico mishnaico foram encontrados entre os Rolos do Mar Morto.</w:t>
      </w:r>
    </w:p>
    <w:p>
      <w:r/>
      <w:r>
        <w:t>O que era o “hebraico” mencionado em certas passagens do Novo Testamento (</w:t>
      </w:r>
      <w:hyperlink r:id="rId2356">
        <w:r>
          <w:rPr>
            <w:color w:val="0000EE"/>
            <w:u w:val="single"/>
          </w:rPr>
          <w:t>Jo 5.2</w:t>
        </w:r>
      </w:hyperlink>
      <w:r>
        <w:t xml:space="preserve">; </w:t>
      </w:r>
      <w:hyperlink r:id="rId2357">
        <w:r>
          <w:rPr>
            <w:color w:val="0000EE"/>
            <w:u w:val="single"/>
          </w:rPr>
          <w:t>19.13,17,20</w:t>
        </w:r>
      </w:hyperlink>
      <w:r>
        <w:t xml:space="preserve">; </w:t>
      </w:r>
      <w:hyperlink r:id="rId2358">
        <w:r>
          <w:rPr>
            <w:color w:val="0000EE"/>
            <w:u w:val="single"/>
          </w:rPr>
          <w:t>20.16</w:t>
        </w:r>
      </w:hyperlink>
      <w:r>
        <w:t xml:space="preserve">; </w:t>
      </w:r>
      <w:hyperlink r:id="rId36">
        <w:r>
          <w:rPr>
            <w:color w:val="0000EE"/>
            <w:u w:val="single"/>
          </w:rPr>
          <w:t>Ap 9.11</w:t>
        </w:r>
      </w:hyperlink>
      <w:r>
        <w:t xml:space="preserve">; </w:t>
      </w:r>
      <w:hyperlink r:id="rId2359">
        <w:r>
          <w:rPr>
            <w:color w:val="0000EE"/>
            <w:u w:val="single"/>
          </w:rPr>
          <w:t>16.16</w:t>
        </w:r>
      </w:hyperlink>
      <w:r>
        <w:t>)? As línguas na inscrição na cruz de Jesus foram escritas em “hebraico, latim e grego” (</w:t>
      </w:r>
      <w:hyperlink r:id="rId2360">
        <w:r>
          <w:rPr>
            <w:color w:val="0000EE"/>
            <w:u w:val="single"/>
          </w:rPr>
          <w:t>Jo 19.19–20</w:t>
        </w:r>
      </w:hyperlink>
      <w:r>
        <w:t>). Mais tarde, foi dito que o apóstolo Paulo falava “hebraico” (</w:t>
      </w:r>
      <w:hyperlink r:id="rId2361">
        <w:r>
          <w:rPr>
            <w:color w:val="0000EE"/>
            <w:u w:val="single"/>
          </w:rPr>
          <w:t>At 22.2</w:t>
        </w:r>
      </w:hyperlink>
      <w:r>
        <w:t xml:space="preserve">; </w:t>
      </w:r>
      <w:hyperlink r:id="rId2362">
        <w:r>
          <w:rPr>
            <w:color w:val="0000EE"/>
            <w:u w:val="single"/>
          </w:rPr>
          <w:t>26.14</w:t>
        </w:r>
      </w:hyperlink>
      <w:r>
        <w:t xml:space="preserve">). O dialeto exato que ele falava não é claro, mas ele era um fariseu e seria capaz de ler o hebraico do Antigo Testamento. A palavra grega para </w:t>
      </w:r>
      <w:r>
        <w:rPr>
          <w:i/>
        </w:rPr>
        <w:t>hebraico</w:t>
      </w:r>
      <w:r>
        <w:t xml:space="preserve"> é traduzida, às vezes, como </w:t>
      </w:r>
      <w:r>
        <w:rPr>
          <w:i/>
        </w:rPr>
        <w:t>aramaico</w:t>
      </w:r>
      <w:r>
        <w:t>. Pode ser um termo geral para semítico ou para uma mistura de hebraico-aramaico (como o iídiche é alemão misturado com hebraico). Em qualquer caso, o aramaico serviu como uma forma de conectar o hebraico ao grego como a língua falada pelo povo judeu nos dias de Jesus. Nesse sentido, o aramaico conecta o hebraico do Antigo Testamento com o grego do Novo Testamento.</w:t>
      </w:r>
      <w:r/>
      <w:r/>
    </w:p>
    <w:p>
      <w:r/>
    </w:p>
    <w:p>
      <w:pPr>
        <w:pStyle w:val="Heading2"/>
      </w:pPr>
      <w:r>
        <w:t>Aram-Naaraim</w:t>
      </w:r>
      <w:r/>
    </w:p>
    <w:p>
      <w:r/>
      <w:r>
        <w:t>Uma palavra hebraica que significa "Aram dos dois rios". Refere-se à área delimitada pelo alto Eufrates e pelos rios Habur. Às vezes é traduzida como "Mesopotâmia" (</w:t>
      </w:r>
      <w:hyperlink r:id="rId2363">
        <w:r>
          <w:rPr>
            <w:color w:val="0000EE"/>
            <w:u w:val="single"/>
          </w:rPr>
          <w:t>Dt 23.4</w:t>
        </w:r>
      </w:hyperlink>
      <w:r>
        <w:t>, NTLH).</w:t>
      </w:r>
    </w:p>
    <w:p>
      <w:r/>
      <w:r>
        <w:t>A principal cidade daquela área era Harã, onde Tera e Abrão pararam. Foi também onde Tera morreu (</w:t>
      </w:r>
      <w:hyperlink r:id="rId2364">
        <w:r>
          <w:rPr>
            <w:color w:val="0000EE"/>
            <w:u w:val="single"/>
          </w:rPr>
          <w:t>Gn 11.31–32</w:t>
        </w:r>
      </w:hyperlink>
      <w:r>
        <w:t>). Um servo de Abrão (mais tarde chamado Abraão) retornou à mesma região para buscar uma esposa para o filho de Abraão, Isaque (</w:t>
      </w:r>
      <w:hyperlink r:id="rId2365">
        <w:r>
          <w:rPr>
            <w:color w:val="0000EE"/>
            <w:u w:val="single"/>
          </w:rPr>
          <w:t>Gn 24.1–10</w:t>
        </w:r>
      </w:hyperlink>
      <w:r>
        <w:t>). O filho de Isaque, Jacó, também voltou a Harã para buscar uma esposa (</w:t>
      </w:r>
      <w:hyperlink r:id="rId2366">
        <w:r>
          <w:rPr>
            <w:color w:val="0000EE"/>
            <w:u w:val="single"/>
          </w:rPr>
          <w:t>Gn 28.1–5</w:t>
        </w:r>
      </w:hyperlink>
      <w:r>
        <w:t>). Padã-Arã é outro nome para Aram-Naaraim. Aram-Naaraim era a terra natal de Balaão, que era um profeta pagão (</w:t>
      </w:r>
      <w:hyperlink r:id="rId2363">
        <w:r>
          <w:rPr>
            <w:color w:val="0000EE"/>
            <w:u w:val="single"/>
          </w:rPr>
          <w:t>Dt 23.4</w:t>
        </w:r>
      </w:hyperlink>
      <w:r>
        <w:t>).</w:t>
      </w:r>
    </w:p>
    <w:p>
      <w:r/>
      <w:r>
        <w:t>Um opressor de Israel durante o período dos juízes foi Cusã-Risataim (ou, Cuchã-Risataim), rei de Aram-Naaraim (</w:t>
      </w:r>
      <w:hyperlink r:id="rId2367">
        <w:r>
          <w:rPr>
            <w:color w:val="0000EE"/>
            <w:u w:val="single"/>
          </w:rPr>
          <w:t>Jz 3.8–11</w:t>
        </w:r>
      </w:hyperlink>
      <w:r>
        <w:t>). Mais tarde, nas guerras do rei Davi com Amom, ele teve que enfrentar carros mercenários contratados dos centros arameus de Aram-Naaraim, Aram-Maacá e Zoba (</w:t>
      </w:r>
      <w:hyperlink r:id="rId2368">
        <w:r>
          <w:rPr>
            <w:color w:val="0000EE"/>
            <w:u w:val="single"/>
          </w:rPr>
          <w:t>1Cr 19.6</w:t>
        </w:r>
      </w:hyperlink>
      <w:r>
        <w:t xml:space="preserve">; cp. </w:t>
      </w:r>
      <w:hyperlink r:id="rId2369">
        <w:r>
          <w:rPr>
            <w:color w:val="0000EE"/>
            <w:u w:val="single"/>
          </w:rPr>
          <w:t>título do Sl 60</w:t>
        </w:r>
      </w:hyperlink>
      <w:r>
        <w:t xml:space="preserve">). </w:t>
      </w:r>
      <w:r>
        <w:rPr>
          <w:i/>
        </w:rPr>
        <w:t>Veja</w:t>
      </w:r>
      <w:r>
        <w:t xml:space="preserve"> </w:t>
      </w:r>
      <w:r>
        <w:t>Síria, Sírios</w:t>
      </w:r>
      <w:r>
        <w:t>.</w:t>
      </w:r>
      <w:r/>
      <w:r/>
    </w:p>
    <w:p>
      <w:r/>
    </w:p>
    <w:p>
      <w:pPr>
        <w:pStyle w:val="Heading2"/>
      </w:pPr>
      <w:r>
        <w:t>Arão</w:t>
      </w:r>
      <w:r/>
    </w:p>
    <w:p>
      <w:r/>
      <w:r>
        <w:t>O irmão de Moisés e o primeiro sumo sacerdote de Israel. Ele foi o representante e ajudante de Moisés durante o Êxodo dos israelitas do Egito.</w:t>
      </w:r>
    </w:p>
    <w:p>
      <w:pPr>
        <w:pStyle w:val="Heading3"/>
      </w:pPr>
      <w:r>
        <w:t>Primeiros anos de vida e família de Arão</w:t>
      </w:r>
    </w:p>
    <w:p>
      <w:r/>
      <w:r>
        <w:t>Arão era três anos mais velho que Moisés e tinha 83 anos quando eles se aproximaram do Faraó pela primeira vez (</w:t>
      </w:r>
      <w:hyperlink r:id="rId2370">
        <w:r>
          <w:rPr>
            <w:color w:val="0000EE"/>
            <w:u w:val="single"/>
          </w:rPr>
          <w:t>Êx 7.7</w:t>
        </w:r>
      </w:hyperlink>
      <w:r>
        <w:t>). A irmã deles, Miriã (</w:t>
      </w:r>
      <w:hyperlink r:id="rId2371">
        <w:r>
          <w:rPr>
            <w:color w:val="0000EE"/>
            <w:u w:val="single"/>
          </w:rPr>
          <w:t>Nm 26.59</w:t>
        </w:r>
      </w:hyperlink>
      <w:r>
        <w:t>), era a mais velha, madura o suficiente para enviar mensagens quando o bebê Moisés foi encontrado pela filha do Faraó (</w:t>
      </w:r>
      <w:hyperlink r:id="rId2372">
        <w:r>
          <w:rPr>
            <w:color w:val="0000EE"/>
            <w:u w:val="single"/>
          </w:rPr>
          <w:t>Êx 2.1–9</w:t>
        </w:r>
      </w:hyperlink>
      <w:r>
        <w:t>). Os pais de Arão eram Joquebede e Anrão, que pertenciam à família de Coate dentro da tribo de Levi (</w:t>
      </w:r>
      <w:hyperlink r:id="rId2373">
        <w:r>
          <w:rPr>
            <w:color w:val="0000EE"/>
            <w:u w:val="single"/>
          </w:rPr>
          <w:t>Êx 6.18–20</w:t>
        </w:r>
      </w:hyperlink>
      <w:r>
        <w:t>).</w:t>
      </w:r>
    </w:p>
    <w:p>
      <w:r/>
      <w:r>
        <w:t>Arão e sua esposa, Eliseba, tiveram quatro filhos (</w:t>
      </w:r>
      <w:hyperlink r:id="rId124">
        <w:r>
          <w:rPr>
            <w:color w:val="0000EE"/>
            <w:u w:val="single"/>
          </w:rPr>
          <w:t>Êx 6.23</w:t>
        </w:r>
      </w:hyperlink>
      <w:r>
        <w:t>), que deveriam sucedê-lo como sacerdotes (</w:t>
      </w:r>
      <w:hyperlink r:id="rId2374">
        <w:r>
          <w:rPr>
            <w:color w:val="0000EE"/>
            <w:u w:val="single"/>
          </w:rPr>
          <w:t>Levítico 1.5</w:t>
        </w:r>
      </w:hyperlink>
      <w:r>
        <w:t>). Dois deles, Nadabe e Abiú, desobedeceram a Deus ao realizar um ato impróprio enquanto queimavam incenso e foram mortos pelo fogo como consequência (</w:t>
      </w:r>
      <w:hyperlink r:id="rId2375">
        <w:r>
          <w:rPr>
            <w:color w:val="0000EE"/>
            <w:u w:val="single"/>
          </w:rPr>
          <w:t>Lv 10.1–5</w:t>
        </w:r>
      </w:hyperlink>
      <w:r>
        <w:t>). O sacerdócio continuou através dos outros dois filhos de Arão, Eleazar e Itamar, que também ocasionalmente falharam em seguir corretamente as instruções de Deus (</w:t>
      </w:r>
      <w:hyperlink r:id="rId2376">
        <w:r>
          <w:rPr>
            <w:color w:val="0000EE"/>
            <w:u w:val="single"/>
          </w:rPr>
          <w:t>Lv 10.6–20</w:t>
        </w:r>
      </w:hyperlink>
      <w:r>
        <w:t>).</w:t>
      </w:r>
    </w:p>
    <w:p>
      <w:pPr>
        <w:pStyle w:val="Heading3"/>
      </w:pPr>
      <w:r>
        <w:t>Eventos importantes na vida de Arão</w:t>
      </w:r>
    </w:p>
    <w:p>
      <w:pPr>
        <w:pStyle w:val="Heading4"/>
      </w:pPr>
      <w:r>
        <w:t>O êxodo do Egito.</w:t>
      </w:r>
    </w:p>
    <w:p>
      <w:r/>
      <w:r>
        <w:t>A importância de Arão durante o Êxodo foi, em parte, devido ao seu relacionamento com Moisés. Quando Moisés tentou evitar liderar Israel por causa de uma dificuldade na fala, Deus escolheu Arão, que era um orador habilidoso, para ajudá-lo (</w:t>
      </w:r>
      <w:hyperlink r:id="rId2377">
        <w:r>
          <w:rPr>
            <w:color w:val="0000EE"/>
            <w:u w:val="single"/>
          </w:rPr>
          <w:t>Êx 4.10–16</w:t>
        </w:r>
      </w:hyperlink>
      <w:r>
        <w:t>).</w:t>
      </w:r>
    </w:p>
    <w:p>
      <w:r/>
      <w:r>
        <w:t>Arão nasceu enquanto os hebreus estavam escravizados no Egito. Moisés, criado como egípcio pela filha do Faraó, fugiu para o deserto de Midiã após matar um capataz egípcio (</w:t>
      </w:r>
      <w:hyperlink r:id="rId2378">
        <w:r>
          <w:rPr>
            <w:color w:val="0000EE"/>
            <w:u w:val="single"/>
          </w:rPr>
          <w:t>Êx 1–2</w:t>
        </w:r>
      </w:hyperlink>
      <w:r>
        <w:t>). Quando Deus enviou Moisés de volta ao Egito para libertar os israelitas (</w:t>
      </w:r>
      <w:hyperlink r:id="rId2379">
        <w:r>
          <w:rPr>
            <w:color w:val="0000EE"/>
            <w:u w:val="single"/>
          </w:rPr>
          <w:t>Êx 3–4</w:t>
        </w:r>
      </w:hyperlink>
      <w:r>
        <w:t>), Arão foi enviado para encontrá-lo no deserto (</w:t>
      </w:r>
      <w:hyperlink r:id="rId2380">
        <w:r>
          <w:rPr>
            <w:color w:val="0000EE"/>
            <w:u w:val="single"/>
          </w:rPr>
          <w:t>Êx 4.27</w:t>
        </w:r>
      </w:hyperlink>
      <w:r>
        <w:t>). Como Moisés esteve ausente por muitos anos, Arão se uniu com os anciãos de Israel em nome de Moisés (</w:t>
      </w:r>
      <w:hyperlink r:id="rId2381">
        <w:r>
          <w:rPr>
            <w:color w:val="0000EE"/>
            <w:u w:val="single"/>
          </w:rPr>
          <w:t>Êx 4.29–31</w:t>
        </w:r>
      </w:hyperlink>
      <w:r>
        <w:t>). Juntos, eles confrontaram o Faraó, transmitindo a ordem de Deus para libertar os israelitas (</w:t>
      </w:r>
      <w:hyperlink r:id="rId2382">
        <w:r>
          <w:rPr>
            <w:color w:val="0000EE"/>
            <w:u w:val="single"/>
          </w:rPr>
          <w:t>Êx 5.1</w:t>
        </w:r>
      </w:hyperlink>
      <w:r>
        <w:t>). Quando o Faraó tornou a vida mais difícil para os escravos hebreus, Deus começou a demonstrar seu poder através de uma série de milagres (</w:t>
      </w:r>
      <w:hyperlink r:id="rId2383">
        <w:r>
          <w:rPr>
            <w:color w:val="0000EE"/>
            <w:u w:val="single"/>
          </w:rPr>
          <w:t>Êx 5–12</w:t>
        </w:r>
      </w:hyperlink>
      <w:r>
        <w:t>). Arão, usando uma vara (provavelmente, um cajado de pastor), realizou os três primeiros milagres. Após uma praga de mosquitos (traduzida, às vezes, como "piolhos") afetar todo o Egito, os magos do Faraó admitiram a derrota, dizendo: "Este é o dedo de Deus!" (</w:t>
      </w:r>
      <w:hyperlink r:id="rId2384">
        <w:r>
          <w:rPr>
            <w:color w:val="0000EE"/>
            <w:u w:val="single"/>
          </w:rPr>
          <w:t>Êx 8.19</w:t>
        </w:r>
      </w:hyperlink>
      <w:r>
        <w:t>). Deus trouxe, assim, mais pragas através de Moisés, levando à morte de todos os primogênitos egípcios. Arão estava com Moisés (</w:t>
      </w:r>
      <w:hyperlink r:id="rId2385">
        <w:r>
          <w:rPr>
            <w:color w:val="0000EE"/>
            <w:u w:val="single"/>
          </w:rPr>
          <w:t>Êx 12.1–28</w:t>
        </w:r>
      </w:hyperlink>
      <w:r>
        <w:t>) quando Deus revelou a Páscoa, onde as casas marcadas dos israelitas foram poupadas da morte. Este evento é a origem da festa da Páscoa ainda celebrada pelos judeus hoje (</w:t>
      </w:r>
      <w:hyperlink r:id="rId2386">
        <w:r>
          <w:rPr>
            <w:color w:val="0000EE"/>
            <w:u w:val="single"/>
          </w:rPr>
          <w:t>Êx 13.1–16</w:t>
        </w:r>
      </w:hyperlink>
      <w:r>
        <w:t>).</w:t>
      </w:r>
    </w:p>
    <w:p>
      <w:pPr>
        <w:pStyle w:val="Heading4"/>
      </w:pPr>
      <w:r>
        <w:t>Peregrinação no deserto.</w:t>
      </w:r>
    </w:p>
    <w:p>
      <w:r/>
      <w:r>
        <w:t>Depois que Deus conduziu os israelitas em segurança para fora do Egito e destruiu os egípcios que os perseguiam, Arão ajudou Moisés a governar o povo durante sua longa jornada para a Terra Prometida (</w:t>
      </w:r>
      <w:hyperlink r:id="rId2387">
        <w:r>
          <w:rPr>
            <w:color w:val="0000EE"/>
            <w:u w:val="single"/>
          </w:rPr>
          <w:t>Êx 16.1–6</w:t>
        </w:r>
      </w:hyperlink>
      <w:r>
        <w:t>). Em uma batalha contra o exército de Amaleque, Arão apoiou Moisés segurando seus braços cansados em oração, garantindo a bênção de Deus (</w:t>
      </w:r>
      <w:hyperlink r:id="rId1032">
        <w:r>
          <w:rPr>
            <w:color w:val="0000EE"/>
            <w:u w:val="single"/>
          </w:rPr>
          <w:t>Êx 17.8–16</w:t>
        </w:r>
      </w:hyperlink>
      <w:r>
        <w:t>). Embora Arão sempre fosse o segundo em relação a Moisés, ele foi reconhecido como um líder importante (</w:t>
      </w:r>
      <w:hyperlink r:id="rId1366">
        <w:r>
          <w:rPr>
            <w:color w:val="0000EE"/>
            <w:u w:val="single"/>
          </w:rPr>
          <w:t>Êx 18.12</w:t>
        </w:r>
      </w:hyperlink>
      <w:r>
        <w:t>). Deus chamou Arão para se juntar a Moisés quando ele deu a lei no Monte Sinai (</w:t>
      </w:r>
      <w:hyperlink r:id="rId2388">
        <w:r>
          <w:rPr>
            <w:color w:val="0000EE"/>
            <w:u w:val="single"/>
          </w:rPr>
          <w:t>Êx 19.24</w:t>
        </w:r>
      </w:hyperlink>
      <w:r>
        <w:t>). Arão estava entre os líderes que confirmaram as leis de Deus no Livro da Aliança (</w:t>
      </w:r>
      <w:hyperlink r:id="rId2389">
        <w:r>
          <w:rPr>
            <w:color w:val="0000EE"/>
            <w:u w:val="single"/>
          </w:rPr>
          <w:t>Êx 24.1–8</w:t>
        </w:r>
      </w:hyperlink>
      <w:r>
        <w:t>). Ele acompanhou esses líderes parcialmente até a montanha sagrada e viu uma visão do Deus de Israel (</w:t>
      </w:r>
      <w:hyperlink r:id="rId2390">
        <w:r>
          <w:rPr>
            <w:color w:val="0000EE"/>
            <w:u w:val="single"/>
          </w:rPr>
          <w:t>Êx 24.9–10</w:t>
        </w:r>
      </w:hyperlink>
      <w:r>
        <w:t>). Junto com Hur, Arão foi deixado no comando enquanto Moisés estava com Deus no topo da montanha (</w:t>
      </w:r>
      <w:hyperlink r:id="rId2391">
        <w:r>
          <w:rPr>
            <w:color w:val="0000EE"/>
            <w:u w:val="single"/>
          </w:rPr>
          <w:t>Êx 24.13–14</w:t>
        </w:r>
      </w:hyperlink>
      <w:r>
        <w:t>).</w:t>
      </w:r>
    </w:p>
    <w:p>
      <w:r/>
      <w:r>
        <w:t>Quando Moisés esteve ausente por mais de um mês, Arão cedeu à demanda do povo por um ídolo. Ele derreteu suas joias de ouro e fez um bezerro de ouro (</w:t>
      </w:r>
      <w:hyperlink r:id="rId2392">
        <w:r>
          <w:rPr>
            <w:color w:val="0000EE"/>
            <w:u w:val="single"/>
          </w:rPr>
          <w:t>Êx 32.1–4</w:t>
        </w:r>
      </w:hyperlink>
      <w:r>
        <w:t>) (Os israelitas podem ter sido influenciados pela adoração de Ápis no Egito, um deus da fertilidade na forma de um touro). A princípio, Arão parecia pensar que estava fazendo algo aceitável para Deus (</w:t>
      </w:r>
      <w:hyperlink r:id="rId2393">
        <w:r>
          <w:rPr>
            <w:color w:val="0000EE"/>
            <w:u w:val="single"/>
          </w:rPr>
          <w:t>Êx 32.5</w:t>
        </w:r>
      </w:hyperlink>
      <w:r>
        <w:t>). No entanto, as coisas rapidamente saíram do controle, levando a uma celebração selvagem e imoral em torno do ídolo (</w:t>
      </w:r>
      <w:hyperlink r:id="rId2394">
        <w:r>
          <w:rPr>
            <w:color w:val="0000EE"/>
            <w:u w:val="single"/>
          </w:rPr>
          <w:t>Êx 32.6</w:t>
        </w:r>
      </w:hyperlink>
      <w:r>
        <w:t>). Deus ficou tão irritado que considerou destruir o povo. Ainda assim, Moisés intercedeu, lembrando a Deus de sua promessa a Abraão (</w:t>
      </w:r>
      <w:hyperlink r:id="rId2395">
        <w:r>
          <w:rPr>
            <w:color w:val="0000EE"/>
            <w:u w:val="single"/>
          </w:rPr>
          <w:t>Êx 32.7–14</w:t>
        </w:r>
      </w:hyperlink>
      <w:r>
        <w:t>). Moisés confrontou Arão sobre a idolatria e a imoralidade, mas Arão culpou o povo em vez de admitir sua culpa (</w:t>
      </w:r>
      <w:hyperlink r:id="rId2396">
        <w:r>
          <w:rPr>
            <w:color w:val="0000EE"/>
            <w:u w:val="single"/>
          </w:rPr>
          <w:t>Êx 32.21–24</w:t>
        </w:r>
      </w:hyperlink>
      <w:r>
        <w:t>). Os idólatras foram punidos com a morte (</w:t>
      </w:r>
      <w:hyperlink r:id="rId2397">
        <w:r>
          <w:rPr>
            <w:color w:val="0000EE"/>
            <w:u w:val="single"/>
          </w:rPr>
          <w:t>Êx 32.25–28</w:t>
        </w:r>
      </w:hyperlink>
      <w:r>
        <w:t>), e todo o acampamento foi atingido por uma praga (</w:t>
      </w:r>
      <w:hyperlink r:id="rId2398">
        <w:r>
          <w:rPr>
            <w:color w:val="0000EE"/>
            <w:u w:val="single"/>
          </w:rPr>
          <w:t>Êx 32.35</w:t>
        </w:r>
      </w:hyperlink>
      <w:r>
        <w:t>). Embora Arão estivesse em grande perigo, ele foi poupado porque Moisés orou por ele (</w:t>
      </w:r>
      <w:hyperlink r:id="rId2399">
        <w:r>
          <w:rPr>
            <w:color w:val="0000EE"/>
            <w:u w:val="single"/>
          </w:rPr>
          <w:t>Dt 9.20</w:t>
        </w:r>
      </w:hyperlink>
      <w:r>
        <w:t>).</w:t>
      </w:r>
    </w:p>
    <w:p>
      <w:r/>
      <w:r>
        <w:t>No segundo ano de peregrinação, Arão ajudou Moisés a realizar um censo (</w:t>
      </w:r>
      <w:hyperlink r:id="rId2400">
        <w:r>
          <w:rPr>
            <w:color w:val="0000EE"/>
            <w:u w:val="single"/>
          </w:rPr>
          <w:t>Nm 1.1–3,17–18</w:t>
        </w:r>
      </w:hyperlink>
      <w:r>
        <w:t>). Mais tarde, Arão pode ter ficado com ciúmes da liderança de Moisés, pois tanto ele quanto Miriã começaram a falar contra seu irmão, mesmo que Moisés fosse agora o homem mais humilde da terra (</w:t>
      </w:r>
      <w:hyperlink r:id="rId2401">
        <w:r>
          <w:rPr>
            <w:color w:val="0000EE"/>
            <w:u w:val="single"/>
          </w:rPr>
          <w:t>Nm 12.1–4</w:t>
        </w:r>
      </w:hyperlink>
      <w:r>
        <w:t>). A oração de Moisés afastou a ira de Deus, mas Miriã sofreu por suas ações (</w:t>
      </w:r>
      <w:hyperlink r:id="rId2402">
        <w:r>
          <w:rPr>
            <w:color w:val="0000EE"/>
            <w:u w:val="single"/>
          </w:rPr>
          <w:t>Nm 12.5–15</w:t>
        </w:r>
      </w:hyperlink>
      <w:r>
        <w:t>). Mais uma vez, Arão não foi punido. Arão também apoiou Moisés contra rebeliões em Cades (</w:t>
      </w:r>
      <w:hyperlink r:id="rId2403">
        <w:r>
          <w:rPr>
            <w:color w:val="0000EE"/>
            <w:u w:val="single"/>
          </w:rPr>
          <w:t>Nm 14.1–5</w:t>
        </w:r>
      </w:hyperlink>
      <w:r>
        <w:t>) e mais tarde no deserto (</w:t>
      </w:r>
      <w:hyperlink r:id="rId2404">
        <w:r>
          <w:rPr>
            <w:color w:val="0000EE"/>
            <w:u w:val="single"/>
          </w:rPr>
          <w:t>Nm 16</w:t>
        </w:r>
      </w:hyperlink>
      <w:r>
        <w:t>). Após um incidente final em Meribá, onde os israelitas quase se rebelaram novamente, Deus acusou Moisés e Arão de não confiarem plenamente nele e negou-lhes a entrada na terra Prometida (</w:t>
      </w:r>
      <w:hyperlink r:id="rId2405">
        <w:r>
          <w:rPr>
            <w:color w:val="0000EE"/>
            <w:u w:val="single"/>
          </w:rPr>
          <w:t>Nm 20.1–12</w:t>
        </w:r>
      </w:hyperlink>
      <w:r>
        <w:t>). Arão morreu aos 123 anos no Monte Hor depois que Moisés removeu suas vestes sacerdotais e as deu ao filho de Arão, Eleazar (</w:t>
      </w:r>
      <w:hyperlink r:id="rId2406">
        <w:r>
          <w:rPr>
            <w:color w:val="0000EE"/>
            <w:u w:val="single"/>
          </w:rPr>
          <w:t>Nm 20.23–29</w:t>
        </w:r>
      </w:hyperlink>
      <w:r>
        <w:t xml:space="preserve">; </w:t>
      </w:r>
      <w:hyperlink r:id="rId2407">
        <w:r>
          <w:rPr>
            <w:color w:val="0000EE"/>
            <w:u w:val="single"/>
          </w:rPr>
          <w:t>33.38–39</w:t>
        </w:r>
      </w:hyperlink>
      <w:r>
        <w:t>).</w:t>
      </w:r>
    </w:p>
    <w:p>
      <w:r/>
      <w:r>
        <w:rPr>
          <w:i/>
        </w:rPr>
        <w:t>Veja também</w:t>
      </w:r>
      <w:r>
        <w:t xml:space="preserve"> </w:t>
      </w:r>
      <w:r>
        <w:t>Israel, História de</w:t>
      </w:r>
      <w:r>
        <w:t xml:space="preserve">; </w:t>
      </w:r>
      <w:r>
        <w:t>O Êxodo</w:t>
      </w:r>
      <w:r>
        <w:t xml:space="preserve">; </w:t>
      </w:r>
      <w:r>
        <w:t>Peregrinações no deserto</w:t>
      </w:r>
      <w:r>
        <w:t xml:space="preserve">; </w:t>
      </w:r>
      <w:r>
        <w:t>Sacerdotes e Levitas</w:t>
      </w:r>
      <w:r>
        <w:t xml:space="preserve">; </w:t>
      </w:r>
      <w:r>
        <w:t>Tribo de Levi</w:t>
      </w:r>
      <w:r>
        <w:t xml:space="preserve">; </w:t>
      </w:r>
      <w:r>
        <w:t>A vara de Arão</w:t>
      </w:r>
      <w:r>
        <w:t>.</w:t>
      </w:r>
      <w:r/>
      <w:r/>
    </w:p>
    <w:p>
      <w:r/>
    </w:p>
    <w:p>
      <w:pPr>
        <w:pStyle w:val="Heading2"/>
      </w:pPr>
      <w:r>
        <w:t>Ararat</w:t>
      </w:r>
      <w:r/>
    </w:p>
    <w:p>
      <w:r/>
      <w:r>
        <w:t>Ararate é uma cadeia montanhosa rochosa na Armênia (</w:t>
      </w:r>
      <w:hyperlink r:id="rId2408">
        <w:r>
          <w:rPr>
            <w:color w:val="0000EE"/>
            <w:u w:val="single"/>
          </w:rPr>
          <w:t>2Rs 19.37</w:t>
        </w:r>
      </w:hyperlink>
      <w:r>
        <w:t xml:space="preserve">; </w:t>
      </w:r>
      <w:hyperlink r:id="rId2409">
        <w:r>
          <w:rPr>
            <w:color w:val="0000EE"/>
            <w:u w:val="single"/>
          </w:rPr>
          <w:t>Is 37.38</w:t>
        </w:r>
      </w:hyperlink>
      <w:r>
        <w:t>).</w:t>
      </w:r>
    </w:p>
    <w:p>
      <w:r/>
      <w:r>
        <w:t>Ararat está localizado ao sul do Mar Negro e entre este e o Mar Cáspio. A cordilheira se estende até o leste da Turquia, sul da Geórgia e norte do Irã. De acordo com a Bíblia, a arca de Noé pousou nessas montanhas quando as águas do dilúvio começaram a baixar (</w:t>
      </w:r>
      <w:hyperlink r:id="rId2410">
        <w:r>
          <w:rPr>
            <w:color w:val="0000EE"/>
            <w:u w:val="single"/>
          </w:rPr>
          <w:t>Gn 8.4</w:t>
        </w:r>
      </w:hyperlink>
      <w:r>
        <w:t>). Muitas pessoas procuraram nesta área remota, na esperança de encontrar a arca.</w:t>
      </w:r>
    </w:p>
    <w:p>
      <w:r/>
      <w:r>
        <w:t xml:space="preserve">Não sabemos a localização exata de um único Monte Ararat. No entanto, há uma localização tradicional entre o Lago Van e o Lago Urmia, no que antes era chamado de Urartu (um nome antigo semelhante a "Ararat"). Esta área já fez parte da Assíria. A terra ao redor é um planalto elevado com poucas plantas, poucas pessoas vivendo lá e campos vazios de lava endurecida. Um pico de montanha nesta área é chamado de Agri Dagh, que significa "Montanha de Problemas" em turco. Tem 5.180 metros de altura. Os habitantes locais chamam-no de Kohl Nu, que significa "Monte de Noé". Por causa deste nome, a maioria das pessoas que procura a arca de Noé busca nesta área. </w:t>
      </w:r>
      <w:r>
        <w:rPr>
          <w:i/>
        </w:rPr>
        <w:t>Veja</w:t>
      </w:r>
      <w:r>
        <w:t xml:space="preserve"> </w:t>
      </w:r>
      <w:r>
        <w:t>Noé #1</w:t>
      </w:r>
      <w:r>
        <w:t xml:space="preserve">; </w:t>
      </w:r>
      <w:r>
        <w:t>Dilúvio, O</w:t>
      </w:r>
      <w:r>
        <w:t>.</w:t>
      </w:r>
      <w:r/>
      <w:r/>
    </w:p>
    <w:p>
      <w:r/>
    </w:p>
    <w:p>
      <w:pPr>
        <w:pStyle w:val="Heading2"/>
      </w:pPr>
      <w:r>
        <w:t>Arato</w:t>
      </w:r>
      <w:r/>
    </w:p>
    <w:p>
      <w:r/>
      <w:r>
        <w:t>Poeta grego (315?–245? a.C.). Arato nasceu em Soli, na Cilícia (região na Ásia Menor). Ele estudou em Atenas, onde foi influenciado por Zenão, o fundador do Estoicismo. O Estoicismo é uma filosofia que ensina as pessoas a manterem a calma e controlarem suas emoções, concentrando-se no que podem controlar e aceitando o que não podem. Mais tarde, Arato viveu no palácio de Antígono Gônatas, da Macedônia, e de Antíoco I, rei da Síria. A única obra existente de Arato é um poema sobre astronomia, "Fenômenos", dedicado a Zeus. O apóstolo Paulo citou esse poema em seu discurso no Areópago em Atenas: "Somos sua descendência" (</w:t>
      </w:r>
      <w:hyperlink r:id="rId2411">
        <w:r>
          <w:rPr>
            <w:color w:val="0000EE"/>
            <w:u w:val="single"/>
          </w:rPr>
          <w:t>At 17.28</w:t>
        </w:r>
      </w:hyperlink>
      <w:r>
        <w:t>).</w:t>
      </w:r>
      <w:r/>
      <w:r/>
    </w:p>
    <w:p>
      <w:r/>
    </w:p>
    <w:p>
      <w:pPr>
        <w:pStyle w:val="Heading2"/>
      </w:pPr>
      <w:r>
        <w:t>Araúna</w:t>
      </w:r>
      <w:r/>
    </w:p>
    <w:p>
      <w:r/>
      <w:r>
        <w:t>Araúna era um jebuseu cujo eirado (onde o grão era separado da palha) foi o cenário de eventos significativos na história bíblica. Jebus era o nome de uma antiga cidade cananeia que mais tarde se tornou Jerusalém.</w:t>
      </w:r>
    </w:p>
    <w:p>
      <w:r/>
      <w:r>
        <w:t>O Senhor impediu um anjo de continuar infligindo Israel com uma pestilência (doença ou praga) após a morte de 70.000 israelitas (</w:t>
      </w:r>
      <w:hyperlink r:id="rId2412">
        <w:r>
          <w:rPr>
            <w:color w:val="0000EE"/>
            <w:u w:val="single"/>
          </w:rPr>
          <w:t>2Sm 24.15–16</w:t>
        </w:r>
      </w:hyperlink>
      <w:r>
        <w:t>). Esta praga do Senhor foi o resultado do censo orgulhoso do Rei Davi. A eira de Araúna marcou o local deste evento.</w:t>
      </w:r>
    </w:p>
    <w:p>
      <w:r/>
      <w:r>
        <w:t>Por instrução do profeta Gade, o arrependido Davi comprou o terreno para construir um altar (</w:t>
      </w:r>
      <w:hyperlink r:id="rId2413">
        <w:r>
          <w:rPr>
            <w:color w:val="0000EE"/>
            <w:u w:val="single"/>
          </w:rPr>
          <w:t>2Sm 24.17–25</w:t>
        </w:r>
      </w:hyperlink>
      <w:r>
        <w:t>). Araúna ofereceu bois e tudo o que era necessário para o altar como presente. Davi insistiu em pagar, dizendo: "Eu não oferecer ao SENHOR, meu Deus, sacrifícios que não me custaram nada”. (</w:t>
      </w:r>
      <w:hyperlink r:id="rId2414">
        <w:r>
          <w:rPr>
            <w:color w:val="0000EE"/>
            <w:u w:val="single"/>
          </w:rPr>
          <w:t>2Sm 24.24</w:t>
        </w:r>
      </w:hyperlink>
      <w:r>
        <w:t>).</w:t>
      </w:r>
    </w:p>
    <w:p>
      <w:r/>
      <w:r>
        <w:t xml:space="preserve">Um relato paralelo usa a forma hebraica </w:t>
      </w:r>
      <w:r>
        <w:rPr>
          <w:i/>
        </w:rPr>
        <w:t>Ornã</w:t>
      </w:r>
      <w:r>
        <w:t xml:space="preserve"> para o nome estrangeiro dos jebuseus (</w:t>
      </w:r>
      <w:hyperlink r:id="rId2415">
        <w:r>
          <w:rPr>
            <w:color w:val="0000EE"/>
            <w:u w:val="single"/>
          </w:rPr>
          <w:t>1Cr 21.15–16</w:t>
        </w:r>
      </w:hyperlink>
      <w:r>
        <w:t>). A Tenda da Presença e o altar estavam muito distantes na colina de Gibeão (</w:t>
      </w:r>
      <w:hyperlink r:id="rId2416">
        <w:r>
          <w:rPr>
            <w:color w:val="0000EE"/>
            <w:u w:val="single"/>
          </w:rPr>
          <w:t>1Cr 21.27–30</w:t>
        </w:r>
      </w:hyperlink>
      <w:r>
        <w:t>). Este relato diz que Davi estava com muita pressa para ir à Tenda fazer seu sacrifício.</w:t>
      </w:r>
    </w:p>
    <w:p>
      <w:r/>
      <w:r>
        <w:t>Davi escolheu a eira como o local para o Templo (</w:t>
      </w:r>
      <w:hyperlink r:id="rId2417">
        <w:r>
          <w:rPr>
            <w:color w:val="0000EE"/>
            <w:u w:val="single"/>
          </w:rPr>
          <w:t>1Cr 22.1</w:t>
        </w:r>
      </w:hyperlink>
      <w:r>
        <w:t>). Salomão mais tarde construiu o Templo lá no Monte Moriá (</w:t>
      </w:r>
      <w:hyperlink r:id="rId2418">
        <w:r>
          <w:rPr>
            <w:color w:val="0000EE"/>
            <w:u w:val="single"/>
          </w:rPr>
          <w:t>2Cr 3.1</w:t>
        </w:r>
      </w:hyperlink>
      <w:r>
        <w:t>). A eira marcou a mesma área onde Deus havia ordenado que Abraão fosse para o sacrifício de Isaque (</w:t>
      </w:r>
      <w:hyperlink r:id="rId2419">
        <w:r>
          <w:rPr>
            <w:color w:val="0000EE"/>
            <w:u w:val="single"/>
          </w:rPr>
          <w:t>Gn 22.2</w:t>
        </w:r>
      </w:hyperlink>
      <w:r>
        <w:t>).</w:t>
      </w:r>
    </w:p>
    <w:p>
      <w:r/>
      <w:r>
        <w:t>Hoje, um importante santuário muçulmano chamado Domo da Rocha está onde muitos acreditam que a eira de Araúna estava localizada.</w:t>
      </w:r>
      <w:r/>
      <w:r/>
    </w:p>
    <w:p>
      <w:r/>
    </w:p>
    <w:p>
      <w:pPr>
        <w:pStyle w:val="Heading2"/>
      </w:pPr>
      <w:r>
        <w:t>Arã-Zobá</w:t>
      </w:r>
      <w:r/>
    </w:p>
    <w:p>
      <w:r/>
      <w:r>
        <w:t xml:space="preserve">Um território sírio governado no tempo de Davi pelo rei Hadadezer. Davi o derrotou em </w:t>
      </w:r>
      <w:hyperlink r:id="rId2420">
        <w:r>
          <w:rPr>
            <w:color w:val="0000EE"/>
            <w:u w:val="single"/>
          </w:rPr>
          <w:t>2 Samuel 8.3</w:t>
        </w:r>
      </w:hyperlink>
      <w:r>
        <w:t xml:space="preserve">. Esta forma do nome ocorre no título do </w:t>
      </w:r>
      <w:hyperlink r:id="rId2421">
        <w:r>
          <w:rPr>
            <w:color w:val="0000EE"/>
            <w:u w:val="single"/>
          </w:rPr>
          <w:t>Salmo 60</w:t>
        </w:r>
      </w:hyperlink>
      <w:r>
        <w:t xml:space="preserve">. </w:t>
      </w:r>
    </w:p>
    <w:p>
      <w:r/>
      <w:r>
        <w:rPr>
          <w:i/>
        </w:rPr>
        <w:t>Veja</w:t>
      </w:r>
      <w:r>
        <w:t xml:space="preserve"> </w:t>
      </w:r>
      <w:r>
        <w:t>Zobá</w:t>
      </w:r>
      <w:r>
        <w:t>.</w:t>
      </w:r>
      <w:r/>
      <w:r/>
    </w:p>
    <w:p>
      <w:r/>
    </w:p>
    <w:p>
      <w:pPr>
        <w:pStyle w:val="Heading2"/>
      </w:pPr>
      <w:r>
        <w:t>Arca da Aliança</w:t>
      </w:r>
      <w:r/>
    </w:p>
    <w:p>
      <w:r/>
      <w:r>
        <w:t>A peça de mobiliário mais importante no tabernáculo do deserto (o santuário-tenda) que Deus instruiu Moisés a construir (</w:t>
      </w:r>
      <w:hyperlink r:id="rId2422">
        <w:r>
          <w:rPr>
            <w:color w:val="0000EE"/>
            <w:u w:val="single"/>
          </w:rPr>
          <w:t>Êx 25.10</w:t>
        </w:r>
      </w:hyperlink>
      <w:r>
        <w:t>–</w:t>
      </w:r>
      <w:hyperlink r:id="rId2422">
        <w:r>
          <w:rPr>
            <w:color w:val="0000EE"/>
            <w:u w:val="single"/>
          </w:rPr>
          <w:t>22</w:t>
        </w:r>
      </w:hyperlink>
      <w:r>
        <w:t>). A palavra hebraica para arca também pode significar "cofre" (</w:t>
      </w:r>
      <w:hyperlink r:id="rId2423">
        <w:r>
          <w:rPr>
            <w:color w:val="0000EE"/>
            <w:u w:val="single"/>
          </w:rPr>
          <w:t>2Rs 12.9</w:t>
        </w:r>
      </w:hyperlink>
      <w:r>
        <w:t>–</w:t>
      </w:r>
      <w:hyperlink r:id="rId2423">
        <w:r>
          <w:rPr>
            <w:color w:val="0000EE"/>
            <w:u w:val="single"/>
          </w:rPr>
          <w:t>10</w:t>
        </w:r>
      </w:hyperlink>
      <w:r>
        <w:t>) ou "caixão" (</w:t>
      </w:r>
      <w:hyperlink r:id="rId2424">
        <w:r>
          <w:rPr>
            <w:color w:val="0000EE"/>
            <w:u w:val="single"/>
          </w:rPr>
          <w:t>Gn 50.26</w:t>
        </w:r>
      </w:hyperlink>
      <w:r>
        <w:t>). Esta não é a mesma palavra usada para a arca de Noé.</w:t>
      </w:r>
    </w:p>
    <w:p>
      <w:pPr>
        <w:pStyle w:val="Heading3"/>
      </w:pPr>
      <w:r>
        <w:t>Descrição da Arca</w:t>
      </w:r>
    </w:p>
    <w:p>
      <w:r/>
      <w:r>
        <w:t>Moisés instruiu Bezalel a fazer uma caixa especial chamada arca. Ela foi feita de madeira de acácia e coberta com ouro por dentro e por fora (</w:t>
      </w:r>
      <w:hyperlink r:id="rId2425">
        <w:r>
          <w:rPr>
            <w:color w:val="0000EE"/>
            <w:u w:val="single"/>
          </w:rPr>
          <w:t>Êx 31.1</w:t>
        </w:r>
      </w:hyperlink>
      <w:r>
        <w:t>–</w:t>
      </w:r>
      <w:hyperlink r:id="rId2425">
        <w:r>
          <w:rPr>
            <w:color w:val="0000EE"/>
            <w:u w:val="single"/>
          </w:rPr>
          <w:t>5</w:t>
        </w:r>
      </w:hyperlink>
      <w:r>
        <w:t xml:space="preserve">; </w:t>
      </w:r>
      <w:hyperlink r:id="rId2426">
        <w:r>
          <w:rPr>
            <w:color w:val="0000EE"/>
            <w:u w:val="single"/>
          </w:rPr>
          <w:t>37.1</w:t>
        </w:r>
      </w:hyperlink>
      <w:r>
        <w:t>–</w:t>
      </w:r>
      <w:hyperlink r:id="rId2426">
        <w:r>
          <w:rPr>
            <w:color w:val="0000EE"/>
            <w:u w:val="single"/>
          </w:rPr>
          <w:t>9</w:t>
        </w:r>
      </w:hyperlink>
      <w:r>
        <w:t>). O baú media cerca de 114 por 69 por 69 centímetros (ou 45 por 27 por 27 polegadas). A arca tinha argolas nas laterais. As pessoas podiam passar varas por essas argolas para carregá-la.</w:t>
      </w:r>
    </w:p>
    <w:p>
      <w:r/>
      <w:r>
        <w:t>A arca foi projetada para conter as duas tábuas da aliança dadas a Moisés (</w:t>
      </w:r>
      <w:hyperlink r:id="rId2427">
        <w:r>
          <w:rPr>
            <w:color w:val="0000EE"/>
            <w:u w:val="single"/>
          </w:rPr>
          <w:t>Êx 25.16</w:t>
        </w:r>
      </w:hyperlink>
      <w:r>
        <w:t>). Como as tábuas também eram chamadas de "testemunho", a arca, às vezes, era referida como a "arca do testemunho". Dentro da arca também foi colocado um pote de maná, o alimento milagroso de Deus (</w:t>
      </w:r>
      <w:hyperlink r:id="rId2428">
        <w:r>
          <w:rPr>
            <w:color w:val="0000EE"/>
            <w:u w:val="single"/>
          </w:rPr>
          <w:t>Êx 16.33</w:t>
        </w:r>
      </w:hyperlink>
      <w:r>
        <w:t>), e a vara de Arão que floresceu (</w:t>
      </w:r>
      <w:hyperlink r:id="rId2429">
        <w:r>
          <w:rPr>
            <w:color w:val="0000EE"/>
            <w:u w:val="single"/>
          </w:rPr>
          <w:t>Nm 17.10</w:t>
        </w:r>
      </w:hyperlink>
      <w:r>
        <w:t xml:space="preserve">; </w:t>
      </w:r>
      <w:hyperlink r:id="rId2430">
        <w:r>
          <w:rPr>
            <w:color w:val="0000EE"/>
            <w:u w:val="single"/>
          </w:rPr>
          <w:t>Hb 9.4</w:t>
        </w:r>
      </w:hyperlink>
      <w:r>
        <w:t>).</w:t>
      </w:r>
    </w:p>
    <w:p>
      <w:r/>
      <w:r>
        <w:t>A tampa da arca era chamada de "propiciatório" ou "lugar de misericórdia" (</w:t>
      </w:r>
      <w:hyperlink r:id="rId2431">
        <w:r>
          <w:rPr>
            <w:color w:val="0000EE"/>
            <w:u w:val="single"/>
          </w:rPr>
          <w:t>Êx 25.17</w:t>
        </w:r>
      </w:hyperlink>
      <w:r>
        <w:t>). Esta era uma placa de ouro que cobria o topo da arca e tinha seu próprio significado. Todo ano, o sumo sacerdote fazia expiação pelo povo de Israel aspergindo o propiciatório com o sangue de touros e bodes (</w:t>
      </w:r>
      <w:hyperlink r:id="rId2432">
        <w:r>
          <w:rPr>
            <w:color w:val="0000EE"/>
            <w:u w:val="single"/>
          </w:rPr>
          <w:t>Lv 16.2</w:t>
        </w:r>
      </w:hyperlink>
      <w:r>
        <w:t>–</w:t>
      </w:r>
      <w:hyperlink r:id="rId2432">
        <w:r>
          <w:rPr>
            <w:color w:val="0000EE"/>
            <w:u w:val="single"/>
          </w:rPr>
          <w:t>16</w:t>
        </w:r>
      </w:hyperlink>
      <w:r>
        <w:t>). O termo "propiciatório" está relacionado à palavra hebraica para "expiar". A tampa era chamada de “assento” porque acreditava-se que o Senhor se sentava entre dois querubins (criaturas aladas) posicionados em extremidades opostas do propiciatório (</w:t>
      </w:r>
      <w:hyperlink r:id="rId2137">
        <w:r>
          <w:rPr>
            <w:color w:val="0000EE"/>
            <w:u w:val="single"/>
          </w:rPr>
          <w:t>Sl 99.1</w:t>
        </w:r>
      </w:hyperlink>
      <w:r>
        <w:t>). O Senhor falava com Moisés de entre os querubins (</w:t>
      </w:r>
      <w:hyperlink r:id="rId2433">
        <w:r>
          <w:rPr>
            <w:color w:val="0000EE"/>
            <w:u w:val="single"/>
          </w:rPr>
          <w:t>Nm 7.89</w:t>
        </w:r>
      </w:hyperlink>
      <w:r>
        <w:t>).</w:t>
      </w:r>
    </w:p>
    <w:p>
      <w:r/>
      <w:r>
        <w:t>A arca às vezes era simplesmente chamada de "a arca" (</w:t>
      </w:r>
      <w:hyperlink r:id="rId2434">
        <w:r>
          <w:rPr>
            <w:color w:val="0000EE"/>
            <w:u w:val="single"/>
          </w:rPr>
          <w:t>Êx 37.1</w:t>
        </w:r>
      </w:hyperlink>
      <w:r>
        <w:t xml:space="preserve">; </w:t>
      </w:r>
      <w:hyperlink r:id="rId2435">
        <w:r>
          <w:rPr>
            <w:color w:val="0000EE"/>
            <w:u w:val="single"/>
          </w:rPr>
          <w:t>Nm 3.31</w:t>
        </w:r>
      </w:hyperlink>
      <w:r>
        <w:t>). Outras vezes, era chamada de "arca do testemunho" (</w:t>
      </w:r>
      <w:hyperlink r:id="rId2436">
        <w:r>
          <w:rPr>
            <w:color w:val="0000EE"/>
            <w:u w:val="single"/>
          </w:rPr>
          <w:t>Nm 4.5</w:t>
        </w:r>
      </w:hyperlink>
      <w:r>
        <w:t xml:space="preserve">; </w:t>
      </w:r>
      <w:hyperlink r:id="rId2437">
        <w:r>
          <w:rPr>
            <w:color w:val="0000EE"/>
            <w:u w:val="single"/>
          </w:rPr>
          <w:t>Js 4.16</w:t>
        </w:r>
      </w:hyperlink>
      <w:r>
        <w:t>). Os israelitas eram lembrados de que a santidade da arca não era mágica, mas vinha da santa lei de Deus contida nela. O nome "arca do testemunho" também os lembrava da necessidade de seguir os mandamentos dados na aliança de Deus.</w:t>
      </w:r>
    </w:p>
    <w:p>
      <w:r/>
      <w:r>
        <w:t>Esses comandos foram dados pelo Deus que fez a aliança (ou promessa) com eles. Ele era o mesmo Deus que resgatou Israel da escravidão no Egito e prometeu ser seu Deus sempre presente. (</w:t>
      </w:r>
      <w:hyperlink r:id="rId2438">
        <w:r>
          <w:rPr>
            <w:color w:val="0000EE"/>
            <w:u w:val="single"/>
          </w:rPr>
          <w:t>Êx 6.6</w:t>
        </w:r>
      </w:hyperlink>
      <w:r>
        <w:t>–</w:t>
      </w:r>
      <w:hyperlink r:id="rId2438">
        <w:r>
          <w:rPr>
            <w:color w:val="0000EE"/>
            <w:u w:val="single"/>
          </w:rPr>
          <w:t>7</w:t>
        </w:r>
      </w:hyperlink>
      <w:r>
        <w:t>). Assim, a arca era geralmente chamada de "Arca da Aliança." Às vezes, esse nome era "a arca da aliança do SENHOR" (</w:t>
      </w:r>
      <w:hyperlink r:id="rId2439">
        <w:r>
          <w:rPr>
            <w:color w:val="0000EE"/>
            <w:u w:val="single"/>
          </w:rPr>
          <w:t>1Cr 28.18</w:t>
        </w:r>
      </w:hyperlink>
      <w:r>
        <w:t>).</w:t>
      </w:r>
    </w:p>
    <w:p>
      <w:r/>
      <w:r>
        <w:t>Às vezes, a arca era chamada de "a arca do SENHOR". Era um sinal visível de que o Deus invisível estava presente entre os israelitas. A arca possuía uma santidade poderosa e muitas vezes mortal. Por exemplo, o povo de Bete-Semes foi severamente punido por não tratar a arca adequadamente (</w:t>
      </w:r>
      <w:hyperlink r:id="rId2440">
        <w:r>
          <w:rPr>
            <w:color w:val="0000EE"/>
            <w:u w:val="single"/>
          </w:rPr>
          <w:t>1Sm 6.19</w:t>
        </w:r>
      </w:hyperlink>
      <w:r>
        <w:t>).</w:t>
      </w:r>
    </w:p>
    <w:p>
      <w:r/>
      <w:r>
        <w:t>Da mesma forma, Uzá foi morto pelo Senhor quando tocou na arca para evitar que ela caísse de um carro (</w:t>
      </w:r>
      <w:hyperlink r:id="rId2441">
        <w:r>
          <w:rPr>
            <w:color w:val="0000EE"/>
            <w:u w:val="single"/>
          </w:rPr>
          <w:t>2Sm 6.6</w:t>
        </w:r>
      </w:hyperlink>
      <w:r>
        <w:t>–</w:t>
      </w:r>
      <w:hyperlink r:id="rId2441">
        <w:r>
          <w:rPr>
            <w:color w:val="0000EE"/>
            <w:u w:val="single"/>
          </w:rPr>
          <w:t>9</w:t>
        </w:r>
      </w:hyperlink>
      <w:r>
        <w:t>). A arca era perigosa de tocar porque simbolizava a presença de Deus. Por causa disso, Deus ordenou que a arca fosse colocada no santo dos santos, separada do restante do tabernáculo (e mais tarde do templo) por um véu pesado (</w:t>
      </w:r>
      <w:hyperlink r:id="rId2442">
        <w:r>
          <w:rPr>
            <w:color w:val="0000EE"/>
            <w:u w:val="single"/>
          </w:rPr>
          <w:t>Êx 26.31</w:t>
        </w:r>
      </w:hyperlink>
      <w:r>
        <w:t>–</w:t>
      </w:r>
      <w:hyperlink r:id="rId2442">
        <w:r>
          <w:rPr>
            <w:color w:val="0000EE"/>
            <w:u w:val="single"/>
          </w:rPr>
          <w:t>33</w:t>
        </w:r>
      </w:hyperlink>
      <w:r>
        <w:t xml:space="preserve">; </w:t>
      </w:r>
      <w:hyperlink r:id="rId2443">
        <w:r>
          <w:rPr>
            <w:color w:val="0000EE"/>
            <w:u w:val="single"/>
          </w:rPr>
          <w:t>Hb 9.3</w:t>
        </w:r>
      </w:hyperlink>
      <w:r>
        <w:t>–</w:t>
      </w:r>
      <w:hyperlink r:id="rId2443">
        <w:r>
          <w:rPr>
            <w:color w:val="0000EE"/>
            <w:u w:val="single"/>
          </w:rPr>
          <w:t>5</w:t>
        </w:r>
      </w:hyperlink>
      <w:r>
        <w:t>). Nenhuma pessoa pecadora poderia olhar para a glória de Deus acima da arca e viver (</w:t>
      </w:r>
      <w:hyperlink r:id="rId2444">
        <w:r>
          <w:rPr>
            <w:color w:val="0000EE"/>
            <w:u w:val="single"/>
          </w:rPr>
          <w:t>Lv 16.2</w:t>
        </w:r>
      </w:hyperlink>
      <w:r>
        <w:t>).</w:t>
      </w:r>
    </w:p>
    <w:p>
      <w:pPr>
        <w:pStyle w:val="Heading3"/>
      </w:pPr>
      <w:r>
        <w:t>História</w:t>
      </w:r>
    </w:p>
    <w:p>
      <w:r/>
      <w:r>
        <w:t>Quando os israelitas viajaram do Monte Sinai para Canaã, a arca os acompanhou pelo deserto. Ela servia como um lembrete constante da presença santa de Deus. Durante essa jornada, a arca foi descrita quase como se tivesse características pessoais (</w:t>
      </w:r>
      <w:hyperlink r:id="rId2445">
        <w:r>
          <w:rPr>
            <w:color w:val="0000EE"/>
            <w:u w:val="single"/>
          </w:rPr>
          <w:t>Nm 10.33</w:t>
        </w:r>
      </w:hyperlink>
      <w:r>
        <w:t>–</w:t>
      </w:r>
      <w:hyperlink r:id="rId2445">
        <w:r>
          <w:rPr>
            <w:color w:val="0000EE"/>
            <w:u w:val="single"/>
          </w:rPr>
          <w:t>36</w:t>
        </w:r>
      </w:hyperlink>
      <w:r>
        <w:t>). As instruções detalhadas para embrulhar e carregar a arca (</w:t>
      </w:r>
      <w:hyperlink r:id="rId2446">
        <w:r>
          <w:rPr>
            <w:color w:val="0000EE"/>
            <w:u w:val="single"/>
          </w:rPr>
          <w:t>Nm 4</w:t>
        </w:r>
      </w:hyperlink>
      <w:r>
        <w:t>) mostravam a relação próxima entre Deus e a arca, dando-lhe uma sensação de estar "viva".</w:t>
      </w:r>
    </w:p>
    <w:p>
      <w:r/>
      <w:r>
        <w:t>A arca desempenhou um papel significativo durante a jornada no deserto. Quando um grupo de israelitas tentou invadir Canaã por conta própria, sem a arca ou Moisés, foram derrotados por seus inimigos (</w:t>
      </w:r>
      <w:hyperlink r:id="rId2447">
        <w:r>
          <w:rPr>
            <w:color w:val="0000EE"/>
            <w:u w:val="single"/>
          </w:rPr>
          <w:t>Nm 14.44–45</w:t>
        </w:r>
      </w:hyperlink>
      <w:r>
        <w:t>). A arca teve um papel importante nos eventos seguintes:</w:t>
      </w:r>
    </w:p>
    <w:p>
      <w:pPr>
        <w:pStyle w:val="ListBullet"/>
        <w:spacing w:line="240" w:lineRule="auto"/>
        <w:ind w:left="720"/>
      </w:pPr>
      <w:r/>
      <w:r>
        <w:t>Atravessando o Rio Jordão (</w:t>
      </w:r>
      <w:hyperlink r:id="rId2448">
        <w:r>
          <w:rPr>
            <w:color w:val="0000EE"/>
            <w:u w:val="single"/>
          </w:rPr>
          <w:t>Js 3.13</w:t>
        </w:r>
      </w:hyperlink>
      <w:r>
        <w:t>–</w:t>
      </w:r>
      <w:hyperlink r:id="rId2448">
        <w:r>
          <w:rPr>
            <w:color w:val="0000EE"/>
            <w:u w:val="single"/>
          </w:rPr>
          <w:t>17</w:t>
        </w:r>
      </w:hyperlink>
      <w:r>
        <w:t xml:space="preserve">; </w:t>
      </w:r>
      <w:hyperlink r:id="rId2449">
        <w:r>
          <w:rPr>
            <w:color w:val="0000EE"/>
            <w:u w:val="single"/>
          </w:rPr>
          <w:t>4.9</w:t>
        </w:r>
      </w:hyperlink>
      <w:r>
        <w:t>–</w:t>
      </w:r>
      <w:hyperlink r:id="rId2449">
        <w:r>
          <w:rPr>
            <w:color w:val="0000EE"/>
            <w:u w:val="single"/>
          </w:rPr>
          <w:t>10</w:t>
        </w:r>
      </w:hyperlink>
      <w:r>
        <w:t>);</w:t>
      </w:r>
    </w:p>
    <w:p>
      <w:pPr>
        <w:pStyle w:val="ListBullet"/>
        <w:spacing w:line="240" w:lineRule="auto"/>
        <w:ind w:left="720"/>
      </w:pPr>
      <w:r/>
      <w:r>
        <w:t>A conquista de Jericó (</w:t>
      </w:r>
      <w:hyperlink r:id="rId2450">
        <w:r>
          <w:rPr>
            <w:color w:val="0000EE"/>
            <w:u w:val="single"/>
          </w:rPr>
          <w:t>Js 6.6</w:t>
        </w:r>
      </w:hyperlink>
      <w:r>
        <w:t>–</w:t>
      </w:r>
      <w:hyperlink r:id="rId2450">
        <w:r>
          <w:rPr>
            <w:color w:val="0000EE"/>
            <w:u w:val="single"/>
          </w:rPr>
          <w:t>11</w:t>
        </w:r>
      </w:hyperlink>
      <w:r>
        <w:t>);</w:t>
      </w:r>
    </w:p>
    <w:p>
      <w:pPr>
        <w:pStyle w:val="ListBullet"/>
        <w:spacing w:line="240" w:lineRule="auto"/>
        <w:ind w:left="720"/>
      </w:pPr>
      <w:r/>
      <w:r>
        <w:t>A vida dos israelitas em sua nova terra (</w:t>
      </w:r>
      <w:hyperlink r:id="rId2451">
        <w:r>
          <w:rPr>
            <w:color w:val="0000EE"/>
            <w:u w:val="single"/>
          </w:rPr>
          <w:t>Js 8.33</w:t>
        </w:r>
      </w:hyperlink>
      <w:r>
        <w:t xml:space="preserve">; </w:t>
      </w:r>
      <w:hyperlink r:id="rId2452">
        <w:r>
          <w:rPr>
            <w:color w:val="0000EE"/>
            <w:u w:val="single"/>
          </w:rPr>
          <w:t>Jz 20.27</w:t>
        </w:r>
      </w:hyperlink>
      <w:r>
        <w:t>).</w:t>
      </w:r>
    </w:p>
    <w:p>
      <w:r/>
      <w:r>
        <w:t>Os israelitas não usavam a arca de maneira supersticiosa ou mágica. Eles não a tratavam como um objeto de sorte ou algo com poderes especiais.</w:t>
      </w:r>
    </w:p>
    <w:p>
      <w:r/>
      <w:r>
        <w:t>Em vez disso, a arca era importante por duas razões principais:</w:t>
      </w:r>
    </w:p>
    <w:p>
      <w:pPr>
        <w:pStyle w:val="ListNumber"/>
        <w:spacing w:line="240" w:lineRule="auto"/>
        <w:ind w:left="720"/>
      </w:pPr>
      <w:r/>
      <w:r>
        <w:t>Ele continha as leis de Deus (chamadas de "testemunho").</w:t>
      </w:r>
    </w:p>
    <w:p>
      <w:pPr>
        <w:pStyle w:val="ListNumber"/>
        <w:spacing w:line="240" w:lineRule="auto"/>
        <w:ind w:left="720"/>
      </w:pPr>
      <w:r/>
      <w:r>
        <w:t>Isso mostrou que Deus estava com eles.</w:t>
      </w:r>
    </w:p>
    <w:p>
      <w:r/>
      <w:r>
        <w:t>Em contraste, na época de Eli e seus filhos, no final do período em que os juízes governavam Israel, o papel da arca havia mudado. Os israelitas ainda respeitavam a arca, mas não compreendiam seu propósito. Eles pensavam que era um objeto mágico que sempre lhes traria sucesso ou vitória. Quando os israelitas perderam uma batalha contra os filisteus, trouxeram a arca para o campo de batalha na esperança de que ela garantisse a vitória (</w:t>
      </w:r>
      <w:hyperlink r:id="rId2453">
        <w:r>
          <w:rPr>
            <w:color w:val="0000EE"/>
            <w:u w:val="single"/>
          </w:rPr>
          <w:t>1Sm 4.1</w:t>
        </w:r>
      </w:hyperlink>
      <w:r>
        <w:t>–</w:t>
      </w:r>
      <w:hyperlink r:id="rId2453">
        <w:r>
          <w:rPr>
            <w:color w:val="0000EE"/>
            <w:u w:val="single"/>
          </w:rPr>
          <w:t>10</w:t>
        </w:r>
      </w:hyperlink>
      <w:r>
        <w:t>). No entanto, esse uso indevido levou à captura da arca pelos filisteus (</w:t>
      </w:r>
      <w:hyperlink r:id="rId2454">
        <w:r>
          <w:rPr>
            <w:color w:val="0000EE"/>
            <w:u w:val="single"/>
          </w:rPr>
          <w:t>1Sm 4.11</w:t>
        </w:r>
      </w:hyperlink>
      <w:r>
        <w:t>) e causou derrota e morte entre os israelitas, incluindo a família do sumo sacerdote Eli (</w:t>
      </w:r>
      <w:hyperlink r:id="rId2455">
        <w:r>
          <w:rPr>
            <w:color w:val="0000EE"/>
            <w:u w:val="single"/>
          </w:rPr>
          <w:t>1Sm 4.13</w:t>
        </w:r>
      </w:hyperlink>
      <w:r>
        <w:t>–</w:t>
      </w:r>
      <w:hyperlink r:id="rId2455">
        <w:r>
          <w:rPr>
            <w:color w:val="0000EE"/>
            <w:u w:val="single"/>
          </w:rPr>
          <w:t>22</w:t>
        </w:r>
      </w:hyperlink>
      <w:r>
        <w:t>).</w:t>
      </w:r>
    </w:p>
    <w:p>
      <w:r/>
      <w:r>
        <w:t>Embora os israelitas tenham usado mal a arca, Deus ainda protegeu sua honra. Quando os filisteus colocaram a arca no templo de seu deus Dagom, coisas estranhas aconteceram (</w:t>
      </w:r>
      <w:hyperlink r:id="rId2456">
        <w:r>
          <w:rPr>
            <w:color w:val="0000EE"/>
            <w:u w:val="single"/>
          </w:rPr>
          <w:t>1Sm 5–6</w:t>
        </w:r>
      </w:hyperlink>
      <w:r>
        <w:t>). Esta história mostra duas coisas importantes:</w:t>
      </w:r>
    </w:p>
    <w:p>
      <w:pPr>
        <w:pStyle w:val="ListNumber"/>
        <w:spacing w:line="240" w:lineRule="auto"/>
        <w:ind w:left="720"/>
      </w:pPr>
      <w:r/>
      <w:r>
        <w:t>O povo de Deus não deve tratar a arca como se fosse um objeto mágico.</w:t>
      </w:r>
    </w:p>
    <w:p>
      <w:pPr>
        <w:pStyle w:val="ListNumber"/>
        <w:spacing w:line="240" w:lineRule="auto"/>
        <w:ind w:left="720"/>
      </w:pPr>
      <w:r/>
      <w:r>
        <w:t>Os inimigos de Deus não podem ridicularizar a arca.</w:t>
      </w:r>
    </w:p>
    <w:p>
      <w:r/>
      <w:r>
        <w:t>Samuel, um grande reformador e profeta, não tentou imediatamente tornar a arca importante novamente após seu retorno a Israel. Ele a deixou em Quiriate-Jearim até que Israel retornasse à obediência (</w:t>
      </w:r>
      <w:hyperlink r:id="rId2457">
        <w:r>
          <w:rPr>
            <w:color w:val="0000EE"/>
            <w:u w:val="single"/>
          </w:rPr>
          <w:t>1Sm 6.21</w:t>
        </w:r>
      </w:hyperlink>
      <w:r>
        <w:t xml:space="preserve">; </w:t>
      </w:r>
      <w:hyperlink r:id="rId2458">
        <w:r>
          <w:rPr>
            <w:color w:val="0000EE"/>
            <w:u w:val="single"/>
          </w:rPr>
          <w:t>7.2</w:t>
        </w:r>
      </w:hyperlink>
      <w:r>
        <w:t>). Samuel primeiro teve que fazer Israel obedecer à aliança de Deus antes que a arca fosse útil. Davi, que foi rei após Saul, trabalhou para trazer a arca de volta a um lugar importante na vida de Israel (</w:t>
      </w:r>
      <w:hyperlink r:id="rId2459">
        <w:r>
          <w:rPr>
            <w:color w:val="0000EE"/>
            <w:u w:val="single"/>
          </w:rPr>
          <w:t>2Sm 6.1</w:t>
        </w:r>
      </w:hyperlink>
      <w:r>
        <w:t>–</w:t>
      </w:r>
      <w:hyperlink r:id="rId2459">
        <w:r>
          <w:rPr>
            <w:color w:val="0000EE"/>
            <w:u w:val="single"/>
          </w:rPr>
          <w:t>17</w:t>
        </w:r>
      </w:hyperlink>
      <w:r>
        <w:t>).</w:t>
      </w:r>
    </w:p>
    <w:p>
      <w:r/>
      <w:r>
        <w:t xml:space="preserve">Embora a arca fosse uma vantagem para a nova capital de Davi, Jerusalém, </w:t>
      </w:r>
      <w:hyperlink r:id="rId2460">
        <w:r>
          <w:rPr>
            <w:color w:val="0000EE"/>
            <w:u w:val="single"/>
          </w:rPr>
          <w:t>Sl 132</w:t>
        </w:r>
      </w:hyperlink>
      <w:r>
        <w:t xml:space="preserve"> revela a profunda preocupação de Davi com a arca e a honra de Deus. Em um momento de grande alegria religiosa e entusiasmo, Davi orou diretamente a Deus, dizendo: "Levanta-te, ó Senhor, para o teu lugar de descanso, tu e a arca da tua força" (</w:t>
      </w:r>
      <w:hyperlink r:id="rId2461">
        <w:r>
          <w:rPr>
            <w:color w:val="0000EE"/>
            <w:u w:val="single"/>
          </w:rPr>
          <w:t>Sl 132.8</w:t>
        </w:r>
      </w:hyperlink>
      <w:r>
        <w:t>). Davi via a arca como "inquieta" porque Israel não estava em repouso. Canaã não estava completamente conquistada. Embora alguma paz tenha sido alcançada durante o tempo de Josué (</w:t>
      </w:r>
      <w:hyperlink r:id="rId2462">
        <w:r>
          <w:rPr>
            <w:color w:val="0000EE"/>
            <w:u w:val="single"/>
          </w:rPr>
          <w:t>Js 21.43</w:t>
        </w:r>
      </w:hyperlink>
      <w:r>
        <w:t>–</w:t>
      </w:r>
      <w:hyperlink r:id="rId2462">
        <w:r>
          <w:rPr>
            <w:color w:val="0000EE"/>
            <w:u w:val="single"/>
          </w:rPr>
          <w:t>45</w:t>
        </w:r>
      </w:hyperlink>
      <w:r>
        <w:t>), ainda havia trabalho a ser feito. Ao conquistar Jebus (Jerusalém), Davi quase completou a conquista da terra Prometida.</w:t>
      </w:r>
    </w:p>
    <w:p>
      <w:r/>
      <w:r>
        <w:t>Com a terra finalmente em repouso, o Senhor poderia agora "habitar" em seu templo, o local de descanso apropriado para a arca. Apesar do desejo de Davi de construir um templo para a arca, Deus não permitiu que ele o fizesse (</w:t>
      </w:r>
      <w:hyperlink r:id="rId2463">
        <w:r>
          <w:rPr>
            <w:color w:val="0000EE"/>
            <w:u w:val="single"/>
          </w:rPr>
          <w:t>2Sm 7.1</w:t>
        </w:r>
      </w:hyperlink>
      <w:r>
        <w:t>–</w:t>
      </w:r>
      <w:hyperlink r:id="rId2463">
        <w:r>
          <w:rPr>
            <w:color w:val="0000EE"/>
            <w:u w:val="single"/>
          </w:rPr>
          <w:t>17</w:t>
        </w:r>
      </w:hyperlink>
      <w:r>
        <w:t>). Em vez disso, foi dito a ele que seu filho Salomão construiria um templo. Salomão construiu um grande templo, colocando a arca na parte mais sagrada, atrás das cortinas (</w:t>
      </w:r>
      <w:hyperlink r:id="rId529">
        <w:r>
          <w:rPr>
            <w:color w:val="0000EE"/>
            <w:u w:val="single"/>
          </w:rPr>
          <w:t>1Rs 8.1</w:t>
        </w:r>
      </w:hyperlink>
      <w:r>
        <w:t>–</w:t>
      </w:r>
      <w:hyperlink r:id="rId529">
        <w:r>
          <w:rPr>
            <w:color w:val="0000EE"/>
            <w:u w:val="single"/>
          </w:rPr>
          <w:t>11</w:t>
        </w:r>
      </w:hyperlink>
      <w:r>
        <w:t>).</w:t>
      </w:r>
      <w:r/>
      <w:r/>
    </w:p>
    <w:p>
      <w:r/>
    </w:p>
    <w:p>
      <w:pPr>
        <w:pStyle w:val="Heading2"/>
      </w:pPr>
      <w:r>
        <w:t>Arco-íris</w:t>
      </w:r>
      <w:r/>
    </w:p>
    <w:p>
      <w:r/>
      <w:r>
        <w:t>Sinal da aliança de Deus com Noé após o dilúvio (</w:t>
      </w:r>
      <w:hyperlink r:id="rId2464">
        <w:r>
          <w:rPr>
            <w:color w:val="0000EE"/>
            <w:u w:val="single"/>
          </w:rPr>
          <w:t>Gn 9.8–17</w:t>
        </w:r>
      </w:hyperlink>
      <w:r>
        <w:t>). A palavra hebraica comum para "arco de guerra" é usada. A tradição judaica interpretou isso como um símbolo de que a ira de Deus havia cessado, já que o arco-íris apontava para baixo, assim como um antagonista abaixa seu arco para declarar paz. No NT, o arco-íris faz parte da visão celestial (</w:t>
      </w:r>
      <w:hyperlink r:id="rId2465">
        <w:r>
          <w:rPr>
            <w:color w:val="0000EE"/>
            <w:u w:val="single"/>
          </w:rPr>
          <w:t>Ap 4.3</w:t>
        </w:r>
      </w:hyperlink>
      <w:r>
        <w:t xml:space="preserve">; </w:t>
      </w:r>
      <w:hyperlink r:id="rId2466">
        <w:r>
          <w:rPr>
            <w:color w:val="0000EE"/>
            <w:u w:val="single"/>
          </w:rPr>
          <w:t>10.1</w:t>
        </w:r>
      </w:hyperlink>
      <w:r>
        <w:t>).</w:t>
      </w:r>
    </w:p>
    <w:p>
      <w:r/>
      <w:r>
        <w:rPr>
          <w:i/>
        </w:rPr>
        <w:t>Veja também</w:t>
      </w:r>
      <w:r>
        <w:t xml:space="preserve"> </w:t>
      </w:r>
      <w:r>
        <w:t>Dilúvio, O</w:t>
      </w:r>
      <w:r>
        <w:t>.</w:t>
      </w:r>
      <w:r/>
      <w:r/>
    </w:p>
    <w:p>
      <w:r/>
    </w:p>
    <w:p>
      <w:pPr>
        <w:pStyle w:val="Heading2"/>
      </w:pPr>
      <w:r>
        <w:t>Arde, Ardita</w:t>
      </w:r>
      <w:r/>
    </w:p>
    <w:p>
      <w:r/>
      <w:r>
        <w:t>O primogênito de Benjamim, Belá, teve nove filhos (</w:t>
      </w:r>
      <w:hyperlink r:id="rId660">
        <w:r>
          <w:rPr>
            <w:color w:val="0000EE"/>
            <w:u w:val="single"/>
          </w:rPr>
          <w:t>1Cr 8.1</w:t>
        </w:r>
      </w:hyperlink>
      <w:r>
        <w:t xml:space="preserve">; </w:t>
      </w:r>
      <w:hyperlink r:id="rId2467">
        <w:r>
          <w:rPr>
            <w:color w:val="0000EE"/>
            <w:u w:val="single"/>
          </w:rPr>
          <w:t>Nm 26.40</w:t>
        </w:r>
      </w:hyperlink>
      <w:r>
        <w:t>). Arde, um dos nove filhos, é chamado de filho de Benjamim no sentido hebraico, significando descendente (</w:t>
      </w:r>
      <w:hyperlink r:id="rId661">
        <w:r>
          <w:rPr>
            <w:color w:val="0000EE"/>
            <w:u w:val="single"/>
          </w:rPr>
          <w:t>Gn 46.21</w:t>
        </w:r>
      </w:hyperlink>
      <w:r>
        <w:t>). Ele foi o fundador da família Ardita, um grupo menor dentro da tribo maior de Benjamim. No livro de 1 Crônicas (</w:t>
      </w:r>
      <w:hyperlink r:id="rId2468">
        <w:r>
          <w:rPr>
            <w:color w:val="0000EE"/>
            <w:u w:val="single"/>
          </w:rPr>
          <w:t>8.3</w:t>
        </w:r>
      </w:hyperlink>
      <w:r>
        <w:t>), Arde é chamado de Adar. Essa diferença na grafia é provavelmente devido a um erro cometido ao copiar o texto há muito tempo.</w:t>
      </w:r>
      <w:r/>
      <w:r/>
    </w:p>
    <w:p>
      <w:r/>
    </w:p>
    <w:p>
      <w:pPr>
        <w:pStyle w:val="Heading2"/>
      </w:pPr>
      <w:r>
        <w:t>Areli, Arelita</w:t>
      </w:r>
      <w:r/>
    </w:p>
    <w:p>
      <w:r/>
      <w:r>
        <w:t>Um dos sete filhos de Gade (</w:t>
      </w:r>
      <w:hyperlink r:id="rId2469">
        <w:r>
          <w:rPr>
            <w:color w:val="0000EE"/>
            <w:u w:val="single"/>
          </w:rPr>
          <w:t>Gn 46.16</w:t>
        </w:r>
      </w:hyperlink>
      <w:r>
        <w:t>). Após a praga de Baal-Peor, Moisés realizou um censo para se preparar para a guerra com os midianitas (</w:t>
      </w:r>
      <w:hyperlink r:id="rId2470">
        <w:r>
          <w:rPr>
            <w:color w:val="0000EE"/>
            <w:u w:val="single"/>
          </w:rPr>
          <w:t>Nm 25.6–18</w:t>
        </w:r>
      </w:hyperlink>
      <w:r>
        <w:t xml:space="preserve">; </w:t>
      </w:r>
      <w:hyperlink r:id="rId2471">
        <w:r>
          <w:rPr>
            <w:color w:val="0000EE"/>
            <w:u w:val="single"/>
          </w:rPr>
          <w:t>26.17</w:t>
        </w:r>
      </w:hyperlink>
      <w:r>
        <w:t>). Os descendentes de Areli, chamados de Arelitas, foram contados no censo.</w:t>
      </w:r>
      <w:r/>
      <w:r/>
    </w:p>
    <w:p>
      <w:r/>
    </w:p>
    <w:p>
      <w:pPr>
        <w:pStyle w:val="Heading2"/>
      </w:pPr>
      <w:r>
        <w:t>Areopagita</w:t>
      </w:r>
      <w:r/>
    </w:p>
    <w:p>
      <w:r/>
      <w:r>
        <w:t>Um membro do conselho ou tribunal do Areópago em Atenas (</w:t>
      </w:r>
      <w:hyperlink r:id="rId266">
        <w:r>
          <w:rPr>
            <w:color w:val="0000EE"/>
            <w:u w:val="single"/>
          </w:rPr>
          <w:t>At 17.34</w:t>
        </w:r>
      </w:hyperlink>
      <w:r>
        <w:t xml:space="preserve">). </w:t>
      </w:r>
      <w:r>
        <w:rPr>
          <w:i/>
        </w:rPr>
        <w:t>Veja</w:t>
      </w:r>
      <w:r>
        <w:t xml:space="preserve"> </w:t>
      </w:r>
      <w:r>
        <w:t>Dionísio</w:t>
      </w:r>
      <w:r>
        <w:t>.</w:t>
      </w:r>
      <w:r/>
      <w:r/>
    </w:p>
    <w:p>
      <w:r/>
    </w:p>
    <w:p>
      <w:pPr>
        <w:pStyle w:val="Heading2"/>
      </w:pPr>
      <w:r>
        <w:t>Areópago</w:t>
      </w:r>
      <w:r/>
    </w:p>
    <w:p>
      <w:r/>
      <w:r>
        <w:t>Uma colina em Atenas, Grécia. Fica a noroeste da Acrópole e tem vista para o mercado (</w:t>
      </w:r>
      <w:hyperlink r:id="rId2472">
        <w:r>
          <w:rPr>
            <w:color w:val="0000EE"/>
            <w:u w:val="single"/>
          </w:rPr>
          <w:t>At 17.19</w:t>
        </w:r>
      </w:hyperlink>
      <w:r>
        <w:t>). "Areópago" também se refere ao conselho ou tribunal ateniense que se reunia lá. A formação irregular de calcário também era conhecida como Colina de Marte. Marte era o equivalente romano do deus grego Ares.</w:t>
      </w:r>
    </w:p>
    <w:p>
      <w:r/>
      <w:r>
        <w:t xml:space="preserve">Alguns filósofos epicuristas e estóicos levaram Paulo, o apóstolo, perante o conselho no Areópago. Paulo estava discutindo com judeus e gentios tementes a Deus na sinagoga e no mercado </w:t>
      </w:r>
      <w:r>
        <w:rPr>
          <w:i/>
        </w:rPr>
        <w:t xml:space="preserve">(ágora) </w:t>
      </w:r>
      <w:r>
        <w:t>ateniense por vários dias (</w:t>
      </w:r>
      <w:hyperlink r:id="rId2473">
        <w:r>
          <w:rPr>
            <w:color w:val="0000EE"/>
            <w:u w:val="single"/>
          </w:rPr>
          <w:t>At 17.16–21</w:t>
        </w:r>
      </w:hyperlink>
      <w:r>
        <w:t>).</w:t>
      </w:r>
    </w:p>
    <w:p>
      <w:r/>
      <w:r>
        <w:t>Embora o caso de Paulo não tenha sido um julgamento oficial, julgamentos eram realizados no Areópago. Sócrates enfrentou ali aqueles que o acusaram de depreciar os deuses gregos, cinco séculos antes. No tempo de Paulo, o conselho do Areópago era responsável por considerar questões políticas, educacionais, filosóficas e religiosas, além de alguns procedimentos legais.</w:t>
      </w:r>
    </w:p>
    <w:p>
      <w:r/>
      <w:r>
        <w:t>O tom geral do discurso de Paulo não sugere um julgamento. Ele falou como um cristão inteligente que foi capaz de encontrar os atenienses intelectuais em seu próprio terreno (</w:t>
      </w:r>
      <w:hyperlink r:id="rId2474">
        <w:r>
          <w:rPr>
            <w:color w:val="0000EE"/>
            <w:u w:val="single"/>
          </w:rPr>
          <w:t>At 17.22–31</w:t>
        </w:r>
      </w:hyperlink>
      <w:r>
        <w:t>). Alguns permaneceram céticos, mas seu discurso foi convincente para alguns que “se juntaram a ele e se tornaram crentes” (</w:t>
      </w:r>
      <w:hyperlink r:id="rId2475">
        <w:r>
          <w:rPr>
            <w:color w:val="0000EE"/>
            <w:u w:val="single"/>
          </w:rPr>
          <w:t>At 17.32–34</w:t>
        </w:r>
      </w:hyperlink>
      <w:r>
        <w:t>).</w:t>
      </w:r>
      <w:r/>
      <w:r/>
    </w:p>
    <w:p>
      <w:r/>
    </w:p>
    <w:p>
      <w:pPr>
        <w:pStyle w:val="Heading2"/>
      </w:pPr>
      <w:r>
        <w:t>Aretas</w:t>
      </w:r>
      <w:r/>
    </w:p>
    <w:p>
      <w:pPr>
        <w:pStyle w:val="ListNumber"/>
        <w:spacing w:line="240" w:lineRule="auto"/>
        <w:ind w:left="720"/>
      </w:pPr>
      <w:r/>
      <w:r>
        <w:t>O nome de vários reis de um povo árabe chamado nabateus. Essas pessoas provavelmente são descendentes de Nebaiote, o filho mais velho de Ismael (</w:t>
      </w:r>
      <w:hyperlink r:id="rId2476">
        <w:r>
          <w:rPr>
            <w:color w:val="0000EE"/>
            <w:u w:val="single"/>
          </w:rPr>
          <w:t>Gn 25.12–16</w:t>
        </w:r>
      </w:hyperlink>
      <w:r>
        <w:t xml:space="preserve">; </w:t>
      </w:r>
      <w:hyperlink r:id="rId2477">
        <w:r>
          <w:rPr>
            <w:color w:val="0000EE"/>
            <w:u w:val="single"/>
          </w:rPr>
          <w:t>1Cr 1.29</w:t>
        </w:r>
      </w:hyperlink>
      <w:r>
        <w:t>). De acordo com o historiador judeu Josefo, os descendentes de Ismael viviam em uma área chamada Nabatene. Nabatene se estendia do Rio Eufrates até o Mar Vermelho. A cidade capital, Sela, era chamada de Petra nos tempos do Novo Testamento.</w:t>
      </w:r>
    </w:p>
    <w:p>
      <w:pPr>
        <w:pStyle w:val="ListNumber"/>
        <w:spacing w:line="240" w:lineRule="auto"/>
        <w:ind w:left="720"/>
      </w:pPr>
      <w:r/>
      <w:r>
        <w:t xml:space="preserve">O Aretas de </w:t>
      </w:r>
      <w:hyperlink r:id="rId2478">
        <w:r>
          <w:rPr>
            <w:color w:val="0000EE"/>
            <w:u w:val="single"/>
          </w:rPr>
          <w:t>2 Macabeus 5.8</w:t>
        </w:r>
      </w:hyperlink>
      <w:r>
        <w:t>, diante de quem Jasão, o sacerdote, foi acusado, governou por volta de 170 a.C. Os nabateus eram evidentemente amigáveis com os Macabeus (</w:t>
      </w:r>
      <w:hyperlink r:id="rId2479">
        <w:r>
          <w:rPr>
            <w:color w:val="0000EE"/>
            <w:u w:val="single"/>
          </w:rPr>
          <w:t>1Mc 5.24–28</w:t>
        </w:r>
      </w:hyperlink>
      <w:r>
        <w:t xml:space="preserve">; </w:t>
      </w:r>
      <w:hyperlink r:id="rId2480">
        <w:r>
          <w:rPr>
            <w:color w:val="0000EE"/>
            <w:u w:val="single"/>
          </w:rPr>
          <w:t>9.35</w:t>
        </w:r>
      </w:hyperlink>
      <w:r>
        <w:t>). Josefo mencionou outros dois reis chamados Aretas. Aretas III, originalmente chamado Obodas, estendeu o controle nabateu e ocupou Damasco durante seu reinado de 87 a 62 a.C.</w:t>
      </w:r>
    </w:p>
    <w:p>
      <w:pPr>
        <w:pStyle w:val="ListNumber"/>
        <w:spacing w:line="240" w:lineRule="auto"/>
        <w:ind w:left="720"/>
      </w:pPr>
      <w:r/>
      <w:r>
        <w:t>O Novo Testamento faz referência a outro Aretas. O governador de Damasco sob o rei Aretas estava guardando a cidade para capturar o apóstolo Paulo (</w:t>
      </w:r>
      <w:hyperlink r:id="rId2481">
        <w:r>
          <w:rPr>
            <w:color w:val="0000EE"/>
            <w:u w:val="single"/>
          </w:rPr>
          <w:t>2Co 11.32–33</w:t>
        </w:r>
      </w:hyperlink>
      <w:r>
        <w:t>). Para escapar, os associados de Paulo o desceram em um cesto por uma janela na muralha da cidade. Esse Aretas foi identificado como Eneas, que tomou o título Aretas IV e governou de 9 a.C. a 40 d.C. Ele atacou e derrotou Herodes Antipas por uma disputa de fronteira e também como vingança, pois Antipas havia se divorciado da filha de Aretas para se casar com Herodias.</w:t>
      </w:r>
      <w:r/>
      <w:r/>
    </w:p>
    <w:p>
      <w:r/>
    </w:p>
    <w:p>
      <w:pPr>
        <w:pStyle w:val="Heading2"/>
      </w:pPr>
      <w:r>
        <w:t>Arfaxade</w:t>
      </w:r>
      <w:r/>
    </w:p>
    <w:p>
      <w:r/>
      <w:r>
        <w:t>Filho de Sem e neto de Noé. Os descendentes de Arfaxade foram provavelmente os caldeus (</w:t>
      </w:r>
      <w:hyperlink r:id="rId2482">
        <w:r>
          <w:rPr>
            <w:color w:val="0000EE"/>
            <w:u w:val="single"/>
          </w:rPr>
          <w:t>Gn 10.22–24</w:t>
        </w:r>
      </w:hyperlink>
      <w:r>
        <w:t xml:space="preserve">; </w:t>
      </w:r>
      <w:hyperlink r:id="rId2483">
        <w:r>
          <w:rPr>
            <w:color w:val="0000EE"/>
            <w:u w:val="single"/>
          </w:rPr>
          <w:t>11.10–13</w:t>
        </w:r>
      </w:hyperlink>
      <w:r>
        <w:t xml:space="preserve">; </w:t>
      </w:r>
      <w:hyperlink r:id="rId2484">
        <w:r>
          <w:rPr>
            <w:color w:val="0000EE"/>
            <w:u w:val="single"/>
          </w:rPr>
          <w:t>1Cr 1.17–18,24</w:t>
        </w:r>
      </w:hyperlink>
      <w:r>
        <w:t xml:space="preserve">; </w:t>
      </w:r>
      <w:hyperlink r:id="rId2485">
        <w:r>
          <w:rPr>
            <w:color w:val="0000EE"/>
            <w:u w:val="single"/>
          </w:rPr>
          <w:t>Lc 3.36</w:t>
        </w:r>
      </w:hyperlink>
      <w:r>
        <w:t>).</w:t>
      </w:r>
    </w:p>
    <w:p>
      <w:r/>
      <w:r>
        <w:t>Arfaxade nasceu dois anos após o dilúvio, quando seu pai tinha cem anos (</w:t>
      </w:r>
      <w:hyperlink r:id="rId2486">
        <w:r>
          <w:rPr>
            <w:color w:val="0000EE"/>
            <w:u w:val="single"/>
          </w:rPr>
          <w:t>Gn 11.10</w:t>
        </w:r>
      </w:hyperlink>
      <w:r>
        <w:t>). Ele foi o avô de Éber, que alguns acreditam ter sido o ancestral dos hebreus (</w:t>
      </w:r>
      <w:hyperlink r:id="rId2487">
        <w:r>
          <w:rPr>
            <w:color w:val="0000EE"/>
            <w:u w:val="single"/>
          </w:rPr>
          <w:t>1Cr 1.17–25</w:t>
        </w:r>
      </w:hyperlink>
      <w:r>
        <w:t xml:space="preserve">; </w:t>
      </w:r>
      <w:hyperlink r:id="rId2488">
        <w:r>
          <w:rPr>
            <w:color w:val="0000EE"/>
            <w:u w:val="single"/>
          </w:rPr>
          <w:t>Lc 3.35–36</w:t>
        </w:r>
      </w:hyperlink>
      <w:r>
        <w:t>).</w:t>
        <w:br/>
        <w:br/>
      </w:r>
      <w:r>
        <w:t>A Bíblia NTLH, diferente da maioria das Bíblias em português transcreve o nome como "Arpaxade".</w:t>
      </w:r>
      <w:r/>
      <w:r/>
    </w:p>
    <w:p>
      <w:r/>
    </w:p>
    <w:p>
      <w:pPr>
        <w:pStyle w:val="Heading2"/>
      </w:pPr>
      <w:r>
        <w:t>Argobe (Lugar)</w:t>
      </w:r>
      <w:r/>
    </w:p>
    <w:p>
      <w:r/>
      <w:r>
        <w:t>Uma região em Basã foi conquistada pelos israelitas quando derrotaram o Rei Ogue em Edrei (</w:t>
      </w:r>
      <w:hyperlink r:id="rId2489">
        <w:r>
          <w:rPr>
            <w:color w:val="0000EE"/>
            <w:u w:val="single"/>
          </w:rPr>
          <w:t>Nm 21.33–35</w:t>
        </w:r>
      </w:hyperlink>
      <w:r>
        <w:t xml:space="preserve">; </w:t>
      </w:r>
      <w:hyperlink r:id="rId2490">
        <w:r>
          <w:rPr>
            <w:color w:val="0000EE"/>
            <w:u w:val="single"/>
          </w:rPr>
          <w:t>Dt 3.4</w:t>
        </w:r>
      </w:hyperlink>
      <w:r>
        <w:t>). Argobe estava localizada a leste do Mar de Quinerete (mais tarde chamado de Mar da Galileia), além das regiões de Gesur e Maaca (</w:t>
      </w:r>
      <w:hyperlink r:id="rId2491">
        <w:r>
          <w:rPr>
            <w:color w:val="0000EE"/>
            <w:u w:val="single"/>
          </w:rPr>
          <w:t>Dt 3.14</w:t>
        </w:r>
      </w:hyperlink>
      <w:r>
        <w:t>). Moisés designou toda Basã, incluindo Argobe, para metade da tribo de Manassés (</w:t>
      </w:r>
      <w:hyperlink r:id="rId2492">
        <w:r>
          <w:rPr>
            <w:color w:val="0000EE"/>
            <w:u w:val="single"/>
          </w:rPr>
          <w:t>Dt 3.13–14</w:t>
        </w:r>
      </w:hyperlink>
      <w:r>
        <w:t>).</w:t>
      </w:r>
    </w:p>
    <w:p>
      <w:r/>
      <w:r>
        <w:t xml:space="preserve">Jair, da tribo de Manassés, subjugou as aldeias de Argobe e as nomeou Havote-Jair ("as cidades de Jair", NTLH). </w:t>
      </w:r>
      <w:hyperlink r:id="rId2493">
        <w:r>
          <w:rPr>
            <w:color w:val="0000EE"/>
            <w:u w:val="single"/>
          </w:rPr>
          <w:t>1 Reis 4.13</w:t>
        </w:r>
      </w:hyperlink>
      <w:r>
        <w:t xml:space="preserve"> distingue entre Argobe e as cidades de Jair. As cidades estão situadas em Gileade, ao sul de Argobe.</w:t>
      </w:r>
    </w:p>
    <w:p>
      <w:r/>
      <w:hyperlink r:id="rId2491">
        <w:r>
          <w:rPr>
            <w:color w:val="0000EE"/>
            <w:u w:val="single"/>
          </w:rPr>
          <w:t>Deuteronômio 3.14</w:t>
        </w:r>
      </w:hyperlink>
      <w:r>
        <w:t xml:space="preserve"> aparentemente contradiz essa localização. A localização das cidades de Jair na fronteira entre Argobe e Gileade pode ser responsável pela aparente discrepância. Essa fronteira pode ter mudado durante os três séculos entre as conquistas de Jair e o reinado de Salomão. Naquela época, o nome Havote-Jair poderia até ter se referido a um conjunto diferente de cidades.</w:t>
      </w:r>
      <w:r/>
      <w:r/>
    </w:p>
    <w:p>
      <w:r/>
    </w:p>
    <w:p>
      <w:pPr>
        <w:pStyle w:val="Heading2"/>
      </w:pPr>
      <w:r>
        <w:t>Arioque</w:t>
      </w:r>
      <w:r/>
    </w:p>
    <w:p>
      <w:pPr>
        <w:pStyle w:val="ListNumber"/>
        <w:spacing w:line="240" w:lineRule="auto"/>
        <w:ind w:left="720"/>
      </w:pPr>
      <w:r/>
      <w:r>
        <w:t>Nome do rei de Elasar. Junto com outros três reis, Arioque capturou cinco cidades e fez vários prisioneiros, incluindo Ló, sobrinho de Abraão (</w:t>
      </w:r>
      <w:hyperlink r:id="rId2494">
        <w:r>
          <w:rPr>
            <w:color w:val="0000EE"/>
            <w:u w:val="single"/>
          </w:rPr>
          <w:t>Gn 14.1–16</w:t>
        </w:r>
      </w:hyperlink>
      <w:r>
        <w:t>).</w:t>
      </w:r>
    </w:p>
    <w:p>
      <w:pPr>
        <w:pStyle w:val="ListNumber"/>
        <w:spacing w:line="240" w:lineRule="auto"/>
        <w:ind w:left="720"/>
      </w:pPr>
      <w:r/>
      <w:r>
        <w:t>Capitão da guarda de Nabucodonosor ou chefe dos carrascos. Arioque levou Daniel ao rei babilônico para interpretar seu sonho (</w:t>
      </w:r>
      <w:hyperlink r:id="rId2495">
        <w:r>
          <w:rPr>
            <w:color w:val="0000EE"/>
            <w:u w:val="single"/>
          </w:rPr>
          <w:t>Dn 2.14–25</w:t>
        </w:r>
      </w:hyperlink>
      <w:r>
        <w:t>).</w:t>
      </w:r>
      <w:r/>
      <w:r/>
    </w:p>
    <w:p>
      <w:r/>
    </w:p>
    <w:p>
      <w:pPr>
        <w:pStyle w:val="Heading2"/>
      </w:pPr>
      <w:r>
        <w:t>Aristarco</w:t>
      </w:r>
      <w:r/>
    </w:p>
    <w:p>
      <w:r/>
      <w:r>
        <w:t>Um companheiro do apóstolo Paulo. Aristarco era um macedônio de Tessalônica, possivelmente de ascendência judaica. Ele é mencionado pela primeira vez como um dos que foram capturados por uma multidão enfurecida em Éfeso (</w:t>
      </w:r>
      <w:hyperlink r:id="rId2496">
        <w:r>
          <w:rPr>
            <w:color w:val="0000EE"/>
            <w:u w:val="single"/>
          </w:rPr>
          <w:t>At 19.29</w:t>
        </w:r>
      </w:hyperlink>
      <w:r>
        <w:t>).</w:t>
      </w:r>
    </w:p>
    <w:p>
      <w:r/>
      <w:r>
        <w:t>Mais tarde, Aristarco acompanhou Paulo no retorno de sua terceira viagem missionária (</w:t>
      </w:r>
      <w:hyperlink r:id="rId2497">
        <w:r>
          <w:rPr>
            <w:color w:val="0000EE"/>
            <w:u w:val="single"/>
          </w:rPr>
          <w:t>At 20.4</w:t>
        </w:r>
      </w:hyperlink>
      <w:r>
        <w:t>). Ele também foi a Roma com Paulo para enfrentar César (</w:t>
      </w:r>
      <w:hyperlink r:id="rId2498">
        <w:r>
          <w:rPr>
            <w:color w:val="0000EE"/>
            <w:u w:val="single"/>
          </w:rPr>
          <w:t>At 27.1–2</w:t>
        </w:r>
      </w:hyperlink>
      <w:r>
        <w:t>).</w:t>
      </w:r>
    </w:p>
    <w:p>
      <w:r/>
      <w:r>
        <w:t>Paulo descreveu Aristarco como um colega de trabalho (</w:t>
      </w:r>
      <w:hyperlink r:id="rId2499">
        <w:r>
          <w:rPr>
            <w:color w:val="0000EE"/>
            <w:u w:val="single"/>
          </w:rPr>
          <w:t>Fm 1.24</w:t>
        </w:r>
      </w:hyperlink>
      <w:r>
        <w:t>) e companheiro de prisão. Paulo recebeu grande conforto da amizade de Aristarco (</w:t>
      </w:r>
      <w:hyperlink r:id="rId2500">
        <w:r>
          <w:rPr>
            <w:color w:val="0000EE"/>
            <w:u w:val="single"/>
          </w:rPr>
          <w:t>Cl 4.10–11</w:t>
        </w:r>
      </w:hyperlink>
      <w:r>
        <w:t>). A tradição diz que o Imperador Romano Nero matou Aristarco em Roma como mártir.</w:t>
      </w:r>
      <w:r/>
      <w:r/>
    </w:p>
    <w:p>
      <w:r/>
    </w:p>
    <w:p>
      <w:pPr>
        <w:pStyle w:val="Heading2"/>
      </w:pPr>
      <w:r>
        <w:t>Armadura e armas</w:t>
      </w:r>
      <w:r/>
    </w:p>
    <w:p>
      <w:r/>
      <w:r>
        <w:t>A localização da Palestina na encruzilhada de três continentes a tornava muito importante nos tempos antigos, apesar de seu pequeno tamanho. Ela era cercada por nações poderosas como o Egito, a Mesopotâmia e os hititas da Anatólia. Esta terra era frequentemente alvo das ambições dessas nações. O desenvolvimento de diferentes armas, defesas e táticas influenciava umas às outras. Quando um lado criava uma nova tática, o outro lado respondia com um contra-ataque.</w:t>
      </w:r>
    </w:p>
    <w:p>
      <w:r/>
      <w:r>
        <w:t>Existem três partes principais da guerra:</w:t>
      </w:r>
    </w:p>
    <w:p>
      <w:pPr>
        <w:pStyle w:val="ListBullet"/>
        <w:spacing w:line="240" w:lineRule="auto"/>
        <w:ind w:left="720"/>
      </w:pPr>
      <w:r/>
      <w:r>
        <w:t>movimento</w:t>
      </w:r>
    </w:p>
    <w:p>
      <w:pPr>
        <w:pStyle w:val="ListBullet"/>
        <w:spacing w:line="240" w:lineRule="auto"/>
        <w:ind w:left="720"/>
      </w:pPr>
      <w:r/>
      <w:r>
        <w:t>armas</w:t>
      </w:r>
    </w:p>
    <w:p>
      <w:pPr>
        <w:pStyle w:val="ListBullet"/>
        <w:spacing w:line="240" w:lineRule="auto"/>
        <w:ind w:left="720"/>
      </w:pPr>
      <w:r/>
      <w:r>
        <w:t>proteção</w:t>
      </w:r>
    </w:p>
    <w:p>
      <w:r/>
      <w:r>
        <w:t>Armas sozinhas raramente decidiam batalhas, especialmente quando ambos os lados eram equivalentes. O sucesso nas batalhas muitas vezes dependia de quão bem as estratégias e táticas eram empregadas. A liderança do comandante e a habilidade dos soldados também eram muito importantes em muitas batalhas mencionadas na Bíblia.</w:t>
      </w:r>
    </w:p>
    <w:p>
      <w:pPr>
        <w:pStyle w:val="Heading3"/>
      </w:pPr>
      <w:r>
        <w:t>Armas de ataque</w:t>
      </w:r>
    </w:p>
    <w:p>
      <w:r/>
      <w:r>
        <w:t>O arsenal de um comandante militar nos tempos antigos incluía muitas armas ofensivas para diferentes alcances. Para ataques de longo alcance, usavam arcos e fundas. Para ataques de médio alcance, utilizavam dardos e lanças. Para ataques de curto alcance, empregavam espadas, machados e maças.</w:t>
      </w:r>
    </w:p>
    <w:p>
      <w:pPr>
        <w:pStyle w:val="Heading4"/>
      </w:pPr>
      <w:r>
        <w:t>Arco</w:t>
      </w:r>
    </w:p>
    <w:p>
      <w:r/>
      <w:r>
        <w:t>Os primeiros arcos eram feitos de uma única peça de madeira temperada. Nenhum tipo de madeira era leve, resistente e elástica o suficiente. Com o tempo, as pessoas começaram a combinar diferentes materiais como madeira, chifre de animal, tendões, nervos e cola para fazer arcos melhores. Esses arcos compostos eram muito importantes porque eram leves, fortes e elásticos. Uma forma duplo-convexa lhes dava mais alcance e potência.</w:t>
      </w:r>
    </w:p>
    <w:p>
      <w:r/>
      <w:r>
        <w:t>As cordas dos arcos eram feitas de cipó, corda natural, couro ou intestinos de bois ou camelos. Encordoar um arco à mão (</w:t>
      </w:r>
      <w:hyperlink r:id="rId2501">
        <w:r>
          <w:rPr>
            <w:color w:val="0000EE"/>
            <w:u w:val="single"/>
          </w:rPr>
          <w:t>2Rs 13.16</w:t>
        </w:r>
      </w:hyperlink>
      <w:r>
        <w:t xml:space="preserve">) muitas vezes exigia dobrá-lo com o pé, o que necessitava de muita força (cp. </w:t>
      </w:r>
      <w:hyperlink r:id="rId2502">
        <w:r>
          <w:rPr>
            <w:color w:val="0000EE"/>
            <w:u w:val="single"/>
          </w:rPr>
          <w:t>2Sm 22.35</w:t>
        </w:r>
      </w:hyperlink>
      <w:r>
        <w:t xml:space="preserve">; </w:t>
      </w:r>
      <w:hyperlink r:id="rId2503">
        <w:r>
          <w:rPr>
            <w:color w:val="0000EE"/>
            <w:u w:val="single"/>
          </w:rPr>
          <w:t>Jr 51.3</w:t>
        </w:r>
      </w:hyperlink>
      <w:r>
        <w:t>). É por isso que os arqueiros eram chamados de "pisa-arcos" ou "aqueles que pisam um arco".</w:t>
      </w:r>
    </w:p>
    <w:p>
      <w:r/>
      <w:r>
        <w:t>A forma das pontas de flecha mudou de acordo com as defesas inimigas. No final da Idade do Bronze, as pontas de flecha eram geralmente feitas de bronze. Elas eram grossas no meio e afinavam até uma ponta para penetrar a armadura usada naquela época. Os eixos das flechas eram geralmente feitos de junco, que era tanto forte quanto flexível.</w:t>
      </w:r>
    </w:p>
    <w:p>
      <w:pPr>
        <w:pStyle w:val="Heading4"/>
      </w:pPr>
      <w:r>
        <w:t>Funda</w:t>
      </w:r>
    </w:p>
    <w:p>
      <w:r/>
      <w:r>
        <w:t xml:space="preserve">A funda, originalmente usada por pastores para proteger seus rebanhos (veja </w:t>
      </w:r>
      <w:hyperlink r:id="rId2504">
        <w:r>
          <w:rPr>
            <w:color w:val="0000EE"/>
            <w:u w:val="single"/>
          </w:rPr>
          <w:t>1Sm 17.40</w:t>
        </w:r>
      </w:hyperlink>
      <w:r>
        <w:t xml:space="preserve">), tornou-se uma importante arma de guerra. Sua principal vantagem era sua construção simples. Fazer uma funda exigia pouca habilidade, e as pedras usadas como projéteis eram fáceis de encontrar. Um fundeiro treinado podia lançar uma pedra a até 183 metros. A funda era muito útil para atacar cidades fortificadas porque podia disparar em um ângulo alto em encostas íngremes. No entanto, era necessário muito treinamento para usá-la com precisão (veja </w:t>
      </w:r>
      <w:hyperlink r:id="rId2505">
        <w:r>
          <w:rPr>
            <w:color w:val="0000EE"/>
            <w:u w:val="single"/>
          </w:rPr>
          <w:t>Jz 20.16</w:t>
        </w:r>
      </w:hyperlink>
      <w:r>
        <w:t>).</w:t>
      </w:r>
    </w:p>
    <w:p>
      <w:r/>
      <w:r>
        <w:t>Uma funda geralmente era feita de duas tiras de couro com um bolso para segurar a pedra. Quando as tiras eram puxadas, o bolso se transformava em uma bolsa. O fundeiro segurava a bolsa em uma mão e as extremidades das tiras na outra. Após girar a funda ao redor da cabeça para ganhar impulso, ele soltava uma extremidade das tiras para lançar a pedra. Bolinhas de chumbo e pedras lisas eram usadas como projéteis, carregadas em uma bolsa ou colocadas perto dos pés do fundeiro.</w:t>
      </w:r>
    </w:p>
    <w:p>
      <w:r/>
      <w:r>
        <w:t xml:space="preserve">A importância da funda como arma de longo alcance é destacada na história de Davi e Golias (veja </w:t>
      </w:r>
      <w:hyperlink r:id="rId2506">
        <w:r>
          <w:rPr>
            <w:color w:val="0000EE"/>
            <w:u w:val="single"/>
          </w:rPr>
          <w:t>1Sm 17.40</w:t>
        </w:r>
      </w:hyperlink>
      <w:r>
        <w:t>-</w:t>
      </w:r>
      <w:hyperlink r:id="rId2506">
        <w:r>
          <w:rPr>
            <w:color w:val="0000EE"/>
            <w:u w:val="single"/>
          </w:rPr>
          <w:t>51</w:t>
        </w:r>
      </w:hyperlink>
      <w:r>
        <w:t xml:space="preserve">). Os filisteus possuíam muitas armas avançadas, mas não utilizavam o arco ou a funda. Eles confiavam em armas de médio alcance como o dardo e de curto alcance como a espada (veja </w:t>
      </w:r>
      <w:hyperlink r:id="rId1359">
        <w:r>
          <w:rPr>
            <w:color w:val="0000EE"/>
            <w:u w:val="single"/>
          </w:rPr>
          <w:t>1Sm 17.4</w:t>
        </w:r>
      </w:hyperlink>
      <w:r>
        <w:t>-</w:t>
      </w:r>
      <w:hyperlink r:id="rId1359">
        <w:r>
          <w:rPr>
            <w:color w:val="0000EE"/>
            <w:u w:val="single"/>
          </w:rPr>
          <w:t>7,45,51</w:t>
        </w:r>
      </w:hyperlink>
      <w:r>
        <w:t>). O uso da funda por Davi proporcionou-lhe uma vantagem de alcance sobre as armas e armaduras superiores de Golias (</w:t>
      </w:r>
      <w:hyperlink r:id="rId2507">
        <w:r>
          <w:rPr>
            <w:color w:val="0000EE"/>
            <w:u w:val="single"/>
          </w:rPr>
          <w:t>1Sm 17.48</w:t>
        </w:r>
      </w:hyperlink>
      <w:r>
        <w:t>-</w:t>
      </w:r>
      <w:hyperlink r:id="rId2507">
        <w:r>
          <w:rPr>
            <w:color w:val="0000EE"/>
            <w:u w:val="single"/>
          </w:rPr>
          <w:t>49</w:t>
        </w:r>
      </w:hyperlink>
      <w:r>
        <w:t>).</w:t>
      </w:r>
    </w:p>
    <w:p>
      <w:pPr>
        <w:pStyle w:val="Heading4"/>
      </w:pPr>
      <w:r>
        <w:t>Dardo e lança</w:t>
      </w:r>
    </w:p>
    <w:p>
      <w:r/>
      <w:r>
        <w:t>As armas de média distância incluíam o dardo e a lança. Elas pareciam semelhantes, mas diferiam em comprimento e uso. O dardo era mais leve e mais curto, projetado para ser lançado como uma grande flecha. Soldados sumérios que conduziam carros de guerra (veículos de guerra puxados por cavalos) no terceiro milênio a.C. carregavam vários dardos. Um dardo é uma lança leve lançada à mão. Os soldados mantinham esses dardos em um recipiente chamado aljava em seus carros. As pontas dos dardos eram feitas para penetrar armaduras e frequentemente tinham ganchos ou farpas afiadas, tornando-os difíceis e dolorosos de remover de um ferimento.</w:t>
      </w:r>
    </w:p>
    <w:p>
      <w:r/>
      <w:r>
        <w:t xml:space="preserve">A lança parecia um dardo, mas era maior e mais pesada. Era usada principalmente para arremesso (veja </w:t>
      </w:r>
      <w:hyperlink r:id="rId2508">
        <w:r>
          <w:rPr>
            <w:color w:val="0000EE"/>
            <w:u w:val="single"/>
          </w:rPr>
          <w:t>Nm 25.7</w:t>
        </w:r>
      </w:hyperlink>
      <w:r>
        <w:t>-</w:t>
      </w:r>
      <w:hyperlink r:id="rId2508">
        <w:r>
          <w:rPr>
            <w:color w:val="0000EE"/>
            <w:u w:val="single"/>
          </w:rPr>
          <w:t>8</w:t>
        </w:r>
      </w:hyperlink>
      <w:r>
        <w:t>). Monumentos militares antigos mostram que a lança estava bem desenvolvida. Na paleta de ardósia do caçador egípcio e em uma estela de Warka de cerca de 3000 a.C., a arma do guerreiro é uma longa lança. Ao longo do terceiro milênio a.C., a lança era comum para a infantaria fortemente armada e eficaz para cargas de carros e infantaria. Escavações mostram que a lança também era amplamente utilizada por tribos seminômades que se mudaram para a Palestina durante a Idade do Bronze Médio.</w:t>
      </w:r>
    </w:p>
    <w:p>
      <w:r/>
      <w:r>
        <w:t>Nos tempos antigos, as lanças frequentemente tinham uma ponta de metal presa na parte inferior do cabo. Isso permitia que a lança fosse fincada verticalmente no chão quando não estava em uso. Essa característica perdurou em períodos posteriores e é mencionada na Bíblia. Por exemplo, a lança de Saul estava fincada no chão ao lado de sua cabeça enquanto ele dormia (</w:t>
      </w:r>
      <w:hyperlink r:id="rId2509">
        <w:r>
          <w:rPr>
            <w:color w:val="0000EE"/>
            <w:u w:val="single"/>
          </w:rPr>
          <w:t>1Sm 26.7</w:t>
        </w:r>
      </w:hyperlink>
      <w:r>
        <w:t>). Às vezes, a ponta de metal também era usada como arma. Isso é mostrado na história da morte de Asael (</w:t>
      </w:r>
      <w:hyperlink r:id="rId2510">
        <w:r>
          <w:rPr>
            <w:color w:val="0000EE"/>
            <w:u w:val="single"/>
          </w:rPr>
          <w:t>2Sm 2.23</w:t>
        </w:r>
      </w:hyperlink>
      <w:r>
        <w:t>).</w:t>
      </w:r>
    </w:p>
    <w:p>
      <w:pPr>
        <w:pStyle w:val="Heading4"/>
      </w:pPr>
      <w:r>
        <w:t>Espada</w:t>
      </w:r>
    </w:p>
    <w:p>
      <w:r/>
      <w:r>
        <w:t>Um dos primeiros objetos feitos de ferro foi a espada. Espadas eram feitas para perfurar ou golpear. A espada de perfuração tinha uma lâmina longa e reta que se afunilava até uma ponta. Suas bordas eram afiadas, então também podia cortar. A espada de golpe tinha uma borda afiada e uma borda grossa e cega. Muitas vezes era curva como uma foice, com a borda externa afiada. A primeira espada em forma de foice apareceu no final do terceiro milênio a.C. Tanto o cabo quanto a lâmina eram feitos de uma única peça de metal. No meio da Idade do Bronze, a espada curva de golpe era como um machado, com um cabo longo e lâmina curta.</w:t>
      </w:r>
    </w:p>
    <w:p>
      <w:r/>
      <w:r>
        <w:t xml:space="preserve">Esse tipo de espada desapareceu no final da Idade do Bronze porque não era eficaz contra capacetes e armaduras. Um novo modelo com uma lâmina curva, tão longa quanto ou mais longa que o cabo, a substituiu. Esta nova espada era eficaz para combates em carruagens e contra inimigos sem armadura. Isso explica por que a Bíblia diz que Josué feriu os cananeus com "o fio da espada" (e.g., </w:t>
      </w:r>
      <w:hyperlink r:id="rId2511">
        <w:r>
          <w:rPr>
            <w:color w:val="0000EE"/>
            <w:u w:val="single"/>
          </w:rPr>
          <w:t>Js 8.24</w:t>
        </w:r>
      </w:hyperlink>
      <w:r>
        <w:t xml:space="preserve">; </w:t>
      </w:r>
      <w:hyperlink r:id="rId2512">
        <w:r>
          <w:rPr>
            <w:color w:val="0000EE"/>
            <w:u w:val="single"/>
          </w:rPr>
          <w:t>10.28</w:t>
        </w:r>
      </w:hyperlink>
      <w:r>
        <w:t>-</w:t>
      </w:r>
      <w:hyperlink r:id="rId2512">
        <w:r>
          <w:rPr>
            <w:color w:val="0000EE"/>
            <w:u w:val="single"/>
          </w:rPr>
          <w:t>39</w:t>
        </w:r>
      </w:hyperlink>
      <w:r>
        <w:t>). Essa expressão seria inadequada para descrever um ataque de uma espada curta, reta e estreita que é cravada no inimigo. Uma fina espada curva foi encontrada em Gezer, datando do século XIV a.C., e outra é mostrada em uma escultura em marfim do século XIII a.C. de Megido.</w:t>
      </w:r>
    </w:p>
    <w:p>
      <w:r/>
      <w:r>
        <w:t>Os avanços na forja de ferro também melhoraram a espada reta. Os Povos do Mar, incluindo os filisteus, especializaram-se em armas de curto alcance. No século XIII a.C., eles tornaram a lâmina reta mais eficaz do que a espada curva.</w:t>
      </w:r>
    </w:p>
    <w:p>
      <w:r/>
      <w:r>
        <w:t xml:space="preserve">Na época de Saul, os filisteus tinham cidades fortificadas e eram a potência militar dominante. Sua força vinha dos carros de guerra e da infantaria bem armada. Eles controlavam a forja de ferro e não permitiam que os israelitas fizessem suas próprias armas (cp. </w:t>
      </w:r>
      <w:hyperlink r:id="rId2513">
        <w:r>
          <w:rPr>
            <w:color w:val="0000EE"/>
            <w:u w:val="single"/>
          </w:rPr>
          <w:t>1Sm 13.19</w:t>
        </w:r>
      </w:hyperlink>
      <w:r>
        <w:t>-</w:t>
      </w:r>
      <w:hyperlink r:id="rId2513">
        <w:r>
          <w:rPr>
            <w:color w:val="0000EE"/>
            <w:u w:val="single"/>
          </w:rPr>
          <w:t>22</w:t>
        </w:r>
      </w:hyperlink>
      <w:r>
        <w:t>). Israel não podia desafiar os filisteus até que isso mudasse.</w:t>
      </w:r>
    </w:p>
    <w:p>
      <w:pPr>
        <w:pStyle w:val="Heading4"/>
      </w:pPr>
      <w:r>
        <w:t>Maça e machado</w:t>
      </w:r>
    </w:p>
    <w:p>
      <w:r/>
      <w:r>
        <w:t>Antes que o metal duro fosse forjado, a maça e o machado eram usados em combates corpo a corpo. Eles tinham um cabo curto de madeira com uma cabeça pesada feita de pedra ou metal. Essas armas eram balançadas como martelos. Era importante fixar a cabeça firmemente ao cabo para evitar que se soltasse ou quebrasse. O cabo era mais largo na empunhadura e afinava em direção à cabeça para evitar escorregões. Essas armas eram carregadas na mão ou presas ao pulso com um laço. A maça era usada para esmagar, enquanto o machado era usado para cortar.</w:t>
      </w:r>
    </w:p>
    <w:p>
      <w:r/>
      <w:r>
        <w:t xml:space="preserve">A maça era uma arma muito antiga. Símbolos antigos que significavam </w:t>
      </w:r>
      <w:r>
        <w:rPr>
          <w:i/>
        </w:rPr>
        <w:t>lutar</w:t>
      </w:r>
      <w:r>
        <w:t xml:space="preserve"> mostram mãos segurando uma maça e um escudo. De 3500 a 2500 a.C., a maça era a principal arma para combate pessoal. Como os capacetes ainda não eram usados, o poder de impacto da maça era muito eficaz. Mesmo depois que a maça deixou de ser usada em combate, ela permaneceu como um símbolo da autoridade do rei ou do deus (cp. </w:t>
      </w:r>
      <w:hyperlink r:id="rId2514">
        <w:r>
          <w:rPr>
            <w:color w:val="0000EE"/>
            <w:u w:val="single"/>
          </w:rPr>
          <w:t>Sl 2.9</w:t>
        </w:r>
      </w:hyperlink>
      <w:r>
        <w:t>).</w:t>
      </w:r>
    </w:p>
    <w:p>
      <w:r/>
      <w:r>
        <w:t>Fazer um bom machado exigia resolver problemas técnicos complexos. A lâmina precisava estar firmemente fixada ao cabo. O machado de corte tinha uma lâmina curta e borda larga, sendo bom para lutar contra inimigos desarmados e derrubar muros de cidades, como visto em uma pintura do século 23 a.C. de Saqqarah. No entanto, não era eficaz contra armaduras. Para melhor penetração, o machado perfurante tinha uma lâmina longa e estreita com uma borda afiada.</w:t>
      </w:r>
    </w:p>
    <w:p>
      <w:pPr>
        <w:pStyle w:val="Heading3"/>
      </w:pPr>
      <w:r>
        <w:t>Proteção defensiva</w:t>
      </w:r>
    </w:p>
    <w:p>
      <w:r/>
      <w:r>
        <w:t>Sem proteção pessoal para soldados individuais no campo de batalha, o movimento e o poder de fogo de um exército podem ser grandemente enfraquecidos.</w:t>
      </w:r>
    </w:p>
    <w:p>
      <w:pPr>
        <w:pStyle w:val="Heading4"/>
      </w:pPr>
      <w:r>
        <w:t>Proteção</w:t>
      </w:r>
    </w:p>
    <w:p>
      <w:r/>
      <w:r>
        <w:t xml:space="preserve">O escudo era uma das formas mais antigas de proteção, destinado a criar uma barreira entre o corpo de um soldado e a arma de um inimigo. Durante o tempo dos juízes e dos primeiros reis israelitas, indivíduos de alta patente eram frequentemente protegidos por um escudo muito grande. Este escudo era carregado por uma pessoa especial chamada portador de escudo ou escudeiro, que permanecia constantemente ao lado direito desprotegido do guerreiro que ele foi designado para proteger (cp. </w:t>
      </w:r>
      <w:hyperlink r:id="rId2515">
        <w:r>
          <w:rPr>
            <w:color w:val="0000EE"/>
            <w:u w:val="single"/>
          </w:rPr>
          <w:t>Jz 9.54</w:t>
        </w:r>
      </w:hyperlink>
      <w:r>
        <w:t xml:space="preserve">; </w:t>
      </w:r>
      <w:hyperlink r:id="rId2516">
        <w:r>
          <w:rPr>
            <w:color w:val="0000EE"/>
            <w:u w:val="single"/>
          </w:rPr>
          <w:t>1Sm 14.1</w:t>
        </w:r>
      </w:hyperlink>
      <w:r>
        <w:t xml:space="preserve">; </w:t>
      </w:r>
      <w:hyperlink r:id="rId2517">
        <w:r>
          <w:rPr>
            <w:color w:val="0000EE"/>
            <w:u w:val="single"/>
          </w:rPr>
          <w:t>17.7</w:t>
        </w:r>
      </w:hyperlink>
      <w:r>
        <w:t xml:space="preserve">; </w:t>
      </w:r>
      <w:hyperlink r:id="rId2518">
        <w:r>
          <w:rPr>
            <w:color w:val="0000EE"/>
            <w:u w:val="single"/>
          </w:rPr>
          <w:t>2Sm 18.15</w:t>
        </w:r>
      </w:hyperlink>
      <w:r>
        <w:t>). O lado direito era vulnerável porque o soldado carregava suas armas na mão direita e segurava o escudo na mão esquerda. Assim, o portador do escudo ficava ao lado direito do guerreiro para protegê-lo (</w:t>
      </w:r>
      <w:hyperlink r:id="rId2519">
        <w:r>
          <w:rPr>
            <w:color w:val="0000EE"/>
            <w:u w:val="single"/>
          </w:rPr>
          <w:t>1Sm 17.41</w:t>
        </w:r>
      </w:hyperlink>
      <w:r>
        <w:t xml:space="preserve">; cp. </w:t>
      </w:r>
      <w:hyperlink r:id="rId2520">
        <w:r>
          <w:rPr>
            <w:color w:val="0000EE"/>
            <w:u w:val="single"/>
          </w:rPr>
          <w:t>Sl 16.8</w:t>
        </w:r>
      </w:hyperlink>
      <w:r>
        <w:t xml:space="preserve">). Naquela época, os escudos eram geralmente ungidos como parte do processo de preparação de um guerreiro israelita e suas armas para a batalha (cp. </w:t>
      </w:r>
      <w:hyperlink r:id="rId2521">
        <w:r>
          <w:rPr>
            <w:color w:val="0000EE"/>
            <w:u w:val="single"/>
          </w:rPr>
          <w:t>2Sm 1.21</w:t>
        </w:r>
      </w:hyperlink>
      <w:r>
        <w:t>).</w:t>
      </w:r>
    </w:p>
    <w:p>
      <w:pPr>
        <w:pStyle w:val="Heading4"/>
      </w:pPr>
      <w:r>
        <w:t>Armadura</w:t>
      </w:r>
    </w:p>
    <w:p>
      <w:r/>
      <w:r>
        <w:t>A armadura pessoal protegia o corpo de um combatente contra ferimentos, enquanto permitia que suas mãos ficassem livres para usar armas. O tipo mais antigo de armadura corporal era semelhante a um escudo longo. Era uma túnica de comprimento total feita de couro ou fibras resistentes. Esta armadura era fácil de fazer, leve o suficiente para permitir movimento total e protegia o peito, abdômen, costas, coxas e pernas. Com esta armadura, um soldado só precisava de um pequeno escudo para proteger seus braços e rosto.</w:t>
      </w:r>
    </w:p>
    <w:p>
      <w:r/>
      <w:r>
        <w:t>Durante o final da Idade do Bronze, a cota de malha foi desenvolvida. Esta armadura era feita de centenas de pequenas peças de metal que se sobrepunham como escamas de peixe e eram costuradas em uma túnica de tecido ou couro. Registros de Nuzi mostram que fazer uma cota exigia entre 400 e 600 escamas grandes e várias centenas de escamas menores. Escamas menores e fileiras mais estreitas eram usadas em áreas que precisavam de mais flexibilidade, como a garganta e o pescoço. Esta cota era flexível o suficiente para permitir movimento livre, e as escamas de metal proporcionavam uma proteção muito melhor do que apenas couro ou fibra.</w:t>
      </w:r>
    </w:p>
    <w:p>
      <w:pPr>
        <w:pStyle w:val="Heading4"/>
      </w:pPr>
      <w:r>
        <w:t>Capacete</w:t>
      </w:r>
    </w:p>
    <w:p>
      <w:r/>
      <w:r>
        <w:t>Como a cabeça era a parte mais vulnerável de um soldado em combate, a necessidade de capacetes de proteção remonta ao final do quarto milênio a.C.</w:t>
      </w:r>
    </w:p>
    <w:p>
      <w:r/>
      <w:r>
        <w:t>Capacetes de bronze foram usados tanto por Golias quanto por Saul (</w:t>
      </w:r>
      <w:hyperlink r:id="rId2522">
        <w:r>
          <w:rPr>
            <w:color w:val="0000EE"/>
            <w:u w:val="single"/>
          </w:rPr>
          <w:t>1Sm 17.5,38</w:t>
        </w:r>
      </w:hyperlink>
      <w:r>
        <w:t>). Embora capacetes fossem comuns entre a infantaria fortemente armada em exércitos estrangeiros por séculos, eles não eram amplamente usados por soldados no exército israelita durante o período do reino unido de Israel. No entanto, o Rei Uzias introduziu capacetes como parte das reformas militares no reino do sul de Judá no século IX a.C. (</w:t>
      </w:r>
      <w:hyperlink r:id="rId2523">
        <w:r>
          <w:rPr>
            <w:color w:val="0000EE"/>
            <w:u w:val="single"/>
          </w:rPr>
          <w:t>2Cr 26.14</w:t>
        </w:r>
      </w:hyperlink>
      <w:r>
        <w:t>).</w:t>
      </w:r>
    </w:p>
    <w:p>
      <w:r/>
      <w:r>
        <w:rPr>
          <w:i/>
        </w:rPr>
        <w:t>Veja também</w:t>
      </w:r>
      <w:r>
        <w:t xml:space="preserve"> </w:t>
      </w:r>
      <w:r>
        <w:t>Guerra</w:t>
      </w:r>
      <w:r>
        <w:t>.</w:t>
      </w:r>
      <w:r/>
      <w:r/>
    </w:p>
    <w:p>
      <w:r/>
    </w:p>
    <w:p>
      <w:pPr>
        <w:pStyle w:val="Heading2"/>
      </w:pPr>
      <w:r>
        <w:t>Arnom</w:t>
      </w:r>
      <w:r/>
    </w:p>
    <w:p>
      <w:r/>
      <w:r>
        <w:t>Um rio na área leste do Rio Jordão. O Arnom é conhecido hoje como Wadi el-Mojib. O rio corre de leste a oeste através de um cânion com paredes de 457 metros de altura até o Mar Morto.</w:t>
      </w:r>
    </w:p>
    <w:p>
      <w:r/>
      <w:r>
        <w:t>Na época da conquista israelita de Canaã, o desfiladeiro servia como uma fronteira natural entre Moabe ao sul e os reinos amonitas ao norte (</w:t>
      </w:r>
      <w:hyperlink r:id="rId2524">
        <w:r>
          <w:rPr>
            <w:color w:val="0000EE"/>
            <w:u w:val="single"/>
          </w:rPr>
          <w:t>Nm 21.13–15</w:t>
        </w:r>
      </w:hyperlink>
      <w:r>
        <w:t>).</w:t>
      </w:r>
    </w:p>
    <w:p>
      <w:r/>
      <w:r>
        <w:t>Após a divisão da terra sob Josué, o rio Arnom tornou-se o limite sul do território de Rúben (</w:t>
      </w:r>
      <w:hyperlink r:id="rId2525">
        <w:r>
          <w:rPr>
            <w:color w:val="0000EE"/>
            <w:u w:val="single"/>
          </w:rPr>
          <w:t>Dt 3.12,16</w:t>
        </w:r>
      </w:hyperlink>
      <w:r>
        <w:t xml:space="preserve">; </w:t>
      </w:r>
      <w:hyperlink r:id="rId2526">
        <w:r>
          <w:rPr>
            <w:color w:val="0000EE"/>
            <w:u w:val="single"/>
          </w:rPr>
          <w:t>Js 13.16</w:t>
        </w:r>
      </w:hyperlink>
      <w:r>
        <w:t>).</w:t>
      </w:r>
      <w:r/>
      <w:r/>
    </w:p>
    <w:p>
      <w:r/>
    </w:p>
    <w:p>
      <w:pPr>
        <w:pStyle w:val="Heading2"/>
      </w:pPr>
      <w:r>
        <w:t>Arode, Arodi, Aroditas</w:t>
      </w:r>
      <w:r/>
    </w:p>
    <w:p>
      <w:r/>
      <w:r>
        <w:t>Arode foi o sexto filho de Gade e o fundador da família dos Aroditas (</w:t>
      </w:r>
      <w:hyperlink r:id="rId2471">
        <w:r>
          <w:rPr>
            <w:color w:val="0000EE"/>
            <w:u w:val="single"/>
          </w:rPr>
          <w:t>Nm 26.17</w:t>
        </w:r>
      </w:hyperlink>
      <w:r>
        <w:t>). Ele é chamado de Arodi na lista dos que foram para o Egito com Jacó (</w:t>
      </w:r>
      <w:hyperlink r:id="rId2469">
        <w:r>
          <w:rPr>
            <w:color w:val="0000EE"/>
            <w:u w:val="single"/>
          </w:rPr>
          <w:t>Gn 46.16</w:t>
        </w:r>
      </w:hyperlink>
      <w:r>
        <w:t>).</w:t>
      </w:r>
      <w:r/>
      <w:r/>
    </w:p>
    <w:p>
      <w:r/>
    </w:p>
    <w:p>
      <w:pPr>
        <w:pStyle w:val="Heading2"/>
      </w:pPr>
      <w:r>
        <w:t>Aroer</w:t>
      </w:r>
      <w:r/>
    </w:p>
    <w:p>
      <w:pPr>
        <w:pStyle w:val="ListNumber"/>
        <w:spacing w:line="240" w:lineRule="auto"/>
        <w:ind w:left="720"/>
      </w:pPr>
      <w:r/>
      <w:r>
        <w:t>Uma cidade transjordaniana (leste do Rio Jordão) existente desde o tempo de Moisés até a queda de Jerusalém em 586 a.C. Aroer foi uma das cidades que Israel conquistou de Seom, o amorita, e de Ogue, o basanita. Aroer estava na fronteira sul da área atribuída às tribos de Gade e Rúben e à metade da tribo de Manassés (</w:t>
      </w:r>
      <w:hyperlink r:id="rId2527">
        <w:r>
          <w:rPr>
            <w:color w:val="0000EE"/>
            <w:u w:val="single"/>
          </w:rPr>
          <w:t>Js 13.9</w:t>
        </w:r>
      </w:hyperlink>
      <w:r>
        <w:t>). Estava localizada na borda norte do grande cânion do Arnom (</w:t>
      </w:r>
      <w:hyperlink r:id="rId2528">
        <w:r>
          <w:rPr>
            <w:color w:val="0000EE"/>
            <w:u w:val="single"/>
          </w:rPr>
          <w:t>Dt 2.36</w:t>
        </w:r>
      </w:hyperlink>
      <w:r>
        <w:t xml:space="preserve">; </w:t>
      </w:r>
      <w:hyperlink r:id="rId2529">
        <w:r>
          <w:rPr>
            <w:color w:val="0000EE"/>
            <w:u w:val="single"/>
          </w:rPr>
          <w:t>3.12</w:t>
        </w:r>
      </w:hyperlink>
      <w:r>
        <w:t xml:space="preserve">; </w:t>
      </w:r>
      <w:hyperlink r:id="rId1982">
        <w:r>
          <w:rPr>
            <w:color w:val="0000EE"/>
            <w:u w:val="single"/>
          </w:rPr>
          <w:t>4.48</w:t>
        </w:r>
      </w:hyperlink>
      <w:r>
        <w:t xml:space="preserve">; </w:t>
      </w:r>
      <w:hyperlink r:id="rId2527">
        <w:r>
          <w:rPr>
            <w:color w:val="0000EE"/>
            <w:u w:val="single"/>
          </w:rPr>
          <w:t>Js 13.9</w:t>
        </w:r>
      </w:hyperlink>
      <w:r>
        <w:t xml:space="preserve">). Aroer provavelmente foi reconstruída após Israel destruí-la (cp. </w:t>
      </w:r>
      <w:hyperlink r:id="rId2530">
        <w:r>
          <w:rPr>
            <w:color w:val="0000EE"/>
            <w:u w:val="single"/>
          </w:rPr>
          <w:t>Js 12.2</w:t>
        </w:r>
      </w:hyperlink>
      <w:r>
        <w:t xml:space="preserve">; </w:t>
      </w:r>
      <w:hyperlink r:id="rId2531">
        <w:r>
          <w:rPr>
            <w:color w:val="0000EE"/>
            <w:u w:val="single"/>
          </w:rPr>
          <w:t>Nm 32.34</w:t>
        </w:r>
      </w:hyperlink>
      <w:r>
        <w:t>).</w:t>
      </w:r>
    </w:p>
    <w:p>
      <w:r/>
      <w:r>
        <w:t>Aroer era a cidade central para várias aldeias (</w:t>
      </w:r>
      <w:hyperlink r:id="rId2532">
        <w:r>
          <w:rPr>
            <w:color w:val="0000EE"/>
            <w:u w:val="single"/>
          </w:rPr>
          <w:t>Jz 11.26</w:t>
        </w:r>
      </w:hyperlink>
      <w:r>
        <w:t>). Foi a cidade de onde o censo começou sob o reinado do Rei Davi (</w:t>
      </w:r>
      <w:hyperlink r:id="rId2533">
        <w:r>
          <w:rPr>
            <w:color w:val="0000EE"/>
            <w:u w:val="single"/>
          </w:rPr>
          <w:t>2Sm 24.5</w:t>
        </w:r>
      </w:hyperlink>
      <w:r>
        <w:t>). Os moabitas ganharam o controle dela durante a monarquia posterior e mantiveram até o tempo de Jeremias (</w:t>
      </w:r>
      <w:hyperlink r:id="rId2534">
        <w:r>
          <w:rPr>
            <w:color w:val="0000EE"/>
            <w:u w:val="single"/>
          </w:rPr>
          <w:t>Jr 48.19</w:t>
        </w:r>
      </w:hyperlink>
      <w:r>
        <w:t>). O Rei Hazael de Damasco capturou Aroer, assegurando o controle sírio de Transjordânia (</w:t>
      </w:r>
      <w:hyperlink r:id="rId2535">
        <w:r>
          <w:rPr>
            <w:color w:val="0000EE"/>
            <w:u w:val="single"/>
          </w:rPr>
          <w:t>2Rs 10.33</w:t>
        </w:r>
      </w:hyperlink>
      <w:r>
        <w:t>).</w:t>
      </w:r>
    </w:p>
    <w:p>
      <w:r/>
      <w:r>
        <w:t>Aroer foi identificada com um monte ao lado da vila 'Ara'ir. Esta localização está a cerca de 4,8 quilômetros a sudeste de Dibom, no lado leste da antiga rodovia norte-sul de Transjordânia.</w:t>
      </w:r>
    </w:p>
    <w:p>
      <w:pPr>
        <w:pStyle w:val="ListNumber"/>
        <w:spacing w:line="240" w:lineRule="auto"/>
        <w:ind w:left="720"/>
      </w:pPr>
      <w:r/>
      <w:r>
        <w:t>Uma cidade atribuída à tribo de Gade (</w:t>
      </w:r>
      <w:hyperlink r:id="rId2536">
        <w:r>
          <w:rPr>
            <w:color w:val="0000EE"/>
            <w:u w:val="single"/>
          </w:rPr>
          <w:t>Js 13.25</w:t>
        </w:r>
      </w:hyperlink>
      <w:r>
        <w:t>), mencionada como um ponto de referência na vitória de Jefté sobre os amonitas (</w:t>
      </w:r>
      <w:hyperlink r:id="rId2537">
        <w:r>
          <w:rPr>
            <w:color w:val="0000EE"/>
            <w:u w:val="single"/>
          </w:rPr>
          <w:t>Jz 11.33</w:t>
        </w:r>
      </w:hyperlink>
      <w:r>
        <w:t>). Este Aroer foi tentativamente localizado na área a noroeste de Amã e a leste de Rabá.</w:t>
      </w:r>
    </w:p>
    <w:p>
      <w:pPr>
        <w:pStyle w:val="ListNumber"/>
        <w:spacing w:line="240" w:lineRule="auto"/>
        <w:ind w:left="720"/>
      </w:pPr>
      <w:r/>
      <w:r>
        <w:t>Uma cidade na área do Deserto de Neguebe em Judá. Aroer foi uma das aldeias que receberam os despojos tomados na vitória de Davi sobre os amalequitas (</w:t>
      </w:r>
      <w:hyperlink r:id="rId2538">
        <w:r>
          <w:rPr>
            <w:color w:val="0000EE"/>
            <w:u w:val="single"/>
          </w:rPr>
          <w:t>1Sm 30.28</w:t>
        </w:r>
      </w:hyperlink>
      <w:r>
        <w:t>). Dois dos "valentes" de Davi eram filhos de Hotão, o aroerita (</w:t>
      </w:r>
      <w:hyperlink r:id="rId2539">
        <w:r>
          <w:rPr>
            <w:color w:val="0000EE"/>
            <w:u w:val="single"/>
          </w:rPr>
          <w:t>1Cr 11.44</w:t>
        </w:r>
      </w:hyperlink>
      <w:r>
        <w:t>). Este Aroer foi identificado com Khirbet ’Ar’areh, localizado cerca de 19 quilômetros a sudeste de Berseba.</w:t>
      </w:r>
    </w:p>
    <w:p>
      <w:pPr>
        <w:pStyle w:val="ListNumber"/>
        <w:spacing w:line="240" w:lineRule="auto"/>
        <w:ind w:left="720"/>
      </w:pPr>
      <w:r/>
      <w:r>
        <w:t>Uma cidade perto de Damasco (</w:t>
      </w:r>
      <w:hyperlink r:id="rId2540">
        <w:r>
          <w:rPr>
            <w:color w:val="0000EE"/>
            <w:u w:val="single"/>
          </w:rPr>
          <w:t>Is 17.2</w:t>
        </w:r>
      </w:hyperlink>
      <w:r>
        <w:t>). O texto hebraico diz "as cidades de Aroer", mas a Septuaginta (antigo Antigo Testamento grego) tem "abandonada para sempre" e a NTLH tem "as cidades da Síria fiarão abandonadas para sempre".</w:t>
      </w:r>
      <w:r/>
      <w:r/>
    </w:p>
    <w:p>
      <w:r/>
    </w:p>
    <w:p>
      <w:pPr>
        <w:pStyle w:val="Heading2"/>
      </w:pPr>
      <w:r>
        <w:t>Aronitas</w:t>
      </w:r>
      <w:r/>
    </w:p>
    <w:p>
      <w:r/>
      <w:r>
        <w:t>Esse é o nome coletivo para os sacerdotes que eram descendentes de Arão através de seus filhos Eleazar e Itamar. Arão era o irmão de Moisés e o primeiro sumo sacerdote de Israel.</w:t>
      </w:r>
    </w:p>
    <w:p>
      <w:r/>
      <w:r>
        <w:t>Tanto "casa de Arão" (</w:t>
      </w:r>
      <w:hyperlink r:id="rId2541">
        <w:r>
          <w:rPr>
            <w:color w:val="0000EE"/>
            <w:u w:val="single"/>
          </w:rPr>
          <w:t>Sl 115.10,12</w:t>
        </w:r>
      </w:hyperlink>
      <w:r>
        <w:t xml:space="preserve">; </w:t>
      </w:r>
      <w:hyperlink r:id="rId2542">
        <w:r>
          <w:rPr>
            <w:color w:val="0000EE"/>
            <w:u w:val="single"/>
          </w:rPr>
          <w:t>118.3</w:t>
        </w:r>
      </w:hyperlink>
      <w:r>
        <w:t xml:space="preserve">; </w:t>
      </w:r>
      <w:hyperlink r:id="rId2543">
        <w:r>
          <w:rPr>
            <w:color w:val="0000EE"/>
            <w:u w:val="single"/>
          </w:rPr>
          <w:t>135.19</w:t>
        </w:r>
      </w:hyperlink>
      <w:r>
        <w:t>) quanto "Arão" (</w:t>
      </w:r>
      <w:hyperlink r:id="rId2544">
        <w:r>
          <w:rPr>
            <w:color w:val="0000EE"/>
            <w:u w:val="single"/>
          </w:rPr>
          <w:t>1Cr 27.17</w:t>
        </w:r>
      </w:hyperlink>
      <w:r>
        <w:t>) são utilizados para se referir aos aronitas na versão ARC.</w:t>
      </w:r>
    </w:p>
    <w:p>
      <w:r/>
      <w:r>
        <w:rPr>
          <w:i/>
        </w:rPr>
        <w:t>Veja também</w:t>
      </w:r>
      <w:r>
        <w:t xml:space="preserve"> </w:t>
      </w:r>
      <w:r>
        <w:t>Arão</w:t>
      </w:r>
      <w:r>
        <w:t>.</w:t>
      </w:r>
      <w:r/>
      <w:r/>
    </w:p>
    <w:p>
      <w:r/>
    </w:p>
    <w:p>
      <w:pPr>
        <w:pStyle w:val="Heading2"/>
      </w:pPr>
      <w:r>
        <w:t>Arqueiro, Arco e flecha</w:t>
      </w:r>
      <w:r/>
    </w:p>
    <w:p>
      <w:r/>
      <w:r>
        <w:t>Arqueiros usavam arcos e flechas tanto em tempos de paz quanto de guerra. Nômades, caçadores, assaltantes que roubavam de outros e guerreiros (</w:t>
      </w:r>
      <w:hyperlink r:id="rId2545">
        <w:r>
          <w:rPr>
            <w:color w:val="0000EE"/>
            <w:u w:val="single"/>
          </w:rPr>
          <w:t>Gn 21.20</w:t>
        </w:r>
      </w:hyperlink>
      <w:r>
        <w:t xml:space="preserve">; </w:t>
      </w:r>
      <w:hyperlink r:id="rId2546">
        <w:r>
          <w:rPr>
            <w:color w:val="0000EE"/>
            <w:u w:val="single"/>
          </w:rPr>
          <w:t>27.3</w:t>
        </w:r>
      </w:hyperlink>
      <w:r>
        <w:t xml:space="preserve">; </w:t>
      </w:r>
      <w:hyperlink r:id="rId2547">
        <w:r>
          <w:rPr>
            <w:color w:val="0000EE"/>
            <w:u w:val="single"/>
          </w:rPr>
          <w:t>48.22</w:t>
        </w:r>
      </w:hyperlink>
      <w:r>
        <w:t>;</w:t>
      </w:r>
      <w:hyperlink r:id="rId2547">
        <w:r>
          <w:rPr>
            <w:color w:val="0000EE"/>
            <w:u w:val="single"/>
          </w:rPr>
          <w:t xml:space="preserve"> </w:t>
        </w:r>
      </w:hyperlink>
      <w:hyperlink r:id="rId1879">
        <w:r>
          <w:rPr>
            <w:color w:val="0000EE"/>
            <w:u w:val="single"/>
          </w:rPr>
          <w:t>Js 24.12</w:t>
        </w:r>
      </w:hyperlink>
      <w:r>
        <w:t xml:space="preserve">; </w:t>
      </w:r>
      <w:hyperlink r:id="rId2548">
        <w:r>
          <w:rPr>
            <w:color w:val="0000EE"/>
            <w:u w:val="single"/>
          </w:rPr>
          <w:t>Is 7.24</w:t>
        </w:r>
      </w:hyperlink>
      <w:r>
        <w:t xml:space="preserve">; </w:t>
      </w:r>
      <w:hyperlink r:id="rId2549">
        <w:r>
          <w:rPr>
            <w:color w:val="0000EE"/>
            <w:u w:val="single"/>
          </w:rPr>
          <w:t>Ez 39.9</w:t>
        </w:r>
      </w:hyperlink>
      <w:r>
        <w:t xml:space="preserve">; </w:t>
      </w:r>
      <w:hyperlink r:id="rId2550">
        <w:r>
          <w:rPr>
            <w:color w:val="0000EE"/>
            <w:u w:val="single"/>
          </w:rPr>
          <w:t>Os 1.7</w:t>
        </w:r>
      </w:hyperlink>
      <w:r>
        <w:t>) usavam o arco e flecha para caça e combate ao longo da Bíblia.</w:t>
      </w:r>
    </w:p>
    <w:p>
      <w:r/>
      <w:r>
        <w:t>Ao longo de séculos de uso, as pessoas aprimoraram a eficácia do arco e flecha. O arco mais avançado era o "arco composto". Os fabricantes colavam tiras de tendão de animal nas extremidades do arco e chifre de animal na superfície interna. Os melhores desses arcos podiam disparar flechas de 274 a 366 metros. Um arqueiro precisava ser uma pessoa forte para encordoá-lo e operá-lo.</w:t>
      </w:r>
    </w:p>
    <w:p>
      <w:r/>
      <w:r>
        <w:t>Embora os arqueiros usassem arcos para caça, a arma era mais útil na guerra. Saul e Jônatas lutaram com espada e arco, e o exército de Davi incluía arqueiros habilidosos (</w:t>
      </w:r>
      <w:hyperlink r:id="rId2551">
        <w:r>
          <w:rPr>
            <w:color w:val="0000EE"/>
            <w:u w:val="single"/>
          </w:rPr>
          <w:t>1Sm 18.4</w:t>
        </w:r>
      </w:hyperlink>
      <w:r>
        <w:t xml:space="preserve">; </w:t>
      </w:r>
      <w:hyperlink r:id="rId2552">
        <w:r>
          <w:rPr>
            <w:color w:val="0000EE"/>
            <w:u w:val="single"/>
          </w:rPr>
          <w:t>1Cr 12.2</w:t>
        </w:r>
      </w:hyperlink>
      <w:r>
        <w:t>). Os reis de Israel forneciam tropas com arcos (</w:t>
      </w:r>
      <w:hyperlink r:id="rId2553">
        <w:r>
          <w:rPr>
            <w:color w:val="0000EE"/>
            <w:u w:val="single"/>
          </w:rPr>
          <w:t>2Cr 17.17</w:t>
        </w:r>
      </w:hyperlink>
      <w:r>
        <w:t>). Os inimigos de Israel, incluindo egípcios, sírios, assírios, babilônios, persas, gregos e romanos, todos tinham arqueiros em seus exércitos. Excelentes imagens de arqueiros históricos ainda existem em esculturas.</w:t>
      </w:r>
    </w:p>
    <w:p>
      <w:r/>
      <w:r>
        <w:t>Jó descreveu seus sofrimentos físicos metaforicamente como os arqueiros de Deus o cercando (</w:t>
      </w:r>
      <w:hyperlink r:id="rId2554">
        <w:r>
          <w:rPr>
            <w:color w:val="0000EE"/>
            <w:u w:val="single"/>
          </w:rPr>
          <w:t>Jó 16.13</w:t>
        </w:r>
      </w:hyperlink>
      <w:r>
        <w:t>). Alguns Salmos referem-se ao arco de um arqueiro como uma metáfora para a violência (</w:t>
      </w:r>
      <w:hyperlink r:id="rId2555">
        <w:r>
          <w:rPr>
            <w:color w:val="0000EE"/>
            <w:u w:val="single"/>
          </w:rPr>
          <w:t>Sl 11.2</w:t>
        </w:r>
      </w:hyperlink>
      <w:r>
        <w:t xml:space="preserve">; </w:t>
      </w:r>
      <w:hyperlink r:id="rId1760">
        <w:r>
          <w:rPr>
            <w:color w:val="0000EE"/>
            <w:u w:val="single"/>
          </w:rPr>
          <w:t>57.4</w:t>
        </w:r>
      </w:hyperlink>
      <w:r>
        <w:t>). Outros referem-se ao arco de um arqueiro como uma metáfora para o julgamento divino (</w:t>
      </w:r>
      <w:hyperlink r:id="rId2556">
        <w:r>
          <w:rPr>
            <w:color w:val="0000EE"/>
            <w:u w:val="single"/>
          </w:rPr>
          <w:t>Sl 7.13</w:t>
        </w:r>
      </w:hyperlink>
      <w:r>
        <w:t xml:space="preserve">; </w:t>
      </w:r>
      <w:hyperlink r:id="rId2557">
        <w:r>
          <w:rPr>
            <w:color w:val="0000EE"/>
            <w:u w:val="single"/>
          </w:rPr>
          <w:t>38.2</w:t>
        </w:r>
      </w:hyperlink>
      <w:r>
        <w:t xml:space="preserve">; </w:t>
      </w:r>
      <w:hyperlink r:id="rId2558">
        <w:r>
          <w:rPr>
            <w:color w:val="0000EE"/>
            <w:u w:val="single"/>
          </w:rPr>
          <w:t>64.7</w:t>
        </w:r>
      </w:hyperlink>
      <w:r>
        <w:t>).</w:t>
      </w:r>
    </w:p>
    <w:p>
      <w:r/>
      <w:r>
        <w:rPr>
          <w:i/>
        </w:rPr>
        <w:t>Veja também</w:t>
      </w:r>
      <w:r>
        <w:t xml:space="preserve"> </w:t>
      </w:r>
      <w:r>
        <w:t>Armaduras e armas</w:t>
      </w:r>
      <w:r>
        <w:t>.</w:t>
      </w:r>
      <w:r/>
      <w:r/>
    </w:p>
    <w:p>
      <w:r/>
    </w:p>
    <w:p>
      <w:pPr>
        <w:pStyle w:val="Heading2"/>
      </w:pPr>
      <w:r>
        <w:t>Arqueologia e a Bíblia</w:t>
      </w:r>
      <w:r/>
    </w:p>
    <w:p>
      <w:r/>
      <w:r>
        <w:t>O estudo da história humana antiga através da recuperação e exame de restos físicos. A arqueologia bíblica foca em objetos e estruturas encontrados no Oriente Próximo (Oriente Médio) que se relacionam com a Bíblia. Esses restos incluem artefatos enterrados (objetos antigos), ruínas e monumentos. Alguns desses artefatos têm inscrições (escritos) em línguas antigas. Os estudiosos precisam estudar cuidadosamente essas inscrições para entendê-las. Outros itens incluem objetos do dia a dia, como cerâmica quebrada, madeira queimada, brinquedos e ferramentas. Todas essas peças devem ser compreendidas dentro do período histórico de onde vieram.</w:t>
      </w:r>
    </w:p>
    <w:p>
      <w:pPr>
        <w:pStyle w:val="Heading3"/>
      </w:pPr>
      <w:r>
        <w:rPr>
          <w:b/>
        </w:rPr>
        <w:t>Descobertas em arqueologia</w:t>
      </w:r>
    </w:p>
    <w:p>
      <w:r/>
      <w:r>
        <w:t>Muitas descobertas arqueológicas significativas aconteceram por acaso. Por exemplo, um fazendeiro na Síria desenterrou a antiga cidade de Ugarit enquanto arava. Um beduíno procurando uma cabra perdida descobriu os Manuscritos do Mar Morto em uma caverna. Em 1887, uma mulher egípcia encontrou as tábuas de Amarna enquanto procurava tijolos para usar como fertilizante. Em 1945, egípcios em busca de esterco de pássaros perto de Nag Hammadi encontraram importantes manuscritos gnósticos. No entanto, descobertas acidentais não substituem levantamentos arqueológicos cuidadosos e sistemáticos.</w:t>
      </w:r>
    </w:p>
    <w:p>
      <w:r/>
      <w:r>
        <w:t>Hoje, arqueólogos pesquisam cuidadosamente locais potenciais usando fotografia aérea e equipamentos eletrônicos. Esses métodos são usados para detectar objetos subterrâneos. Artefatos são datados com base na camada de terra em que foram encontrados e outros métodos, como a datação por radiocarbono. O objetivo é criar uma linha do tempo que reflita com precisão a história dos artefatos e do próprio local.</w:t>
      </w:r>
    </w:p>
    <w:p>
      <w:pPr>
        <w:pStyle w:val="Heading3"/>
      </w:pPr>
      <w:r>
        <w:rPr>
          <w:b/>
        </w:rPr>
        <w:t>O papel da arqueologia na compreensão da Bíblia</w:t>
      </w:r>
    </w:p>
    <w:p>
      <w:r/>
      <w:r>
        <w:t>Arqueólogos e estudiosos tratam esses artefatos como evidências reais e factuais da vida humana passada. Embora possam existir diferentes opiniões sobre como interpretá-los, esses objetos ainda são testemunhas diretas da história. É importante entender esses objetos de tempos passados como evidências e não manipulá-los para se adequarem a teorias pessoais sobre história, cultura ou religião. A arqueologia do Oriente Próximo nos ajuda a entender a Bíblia ao fornecer informações de fundo objetivas.</w:t>
      </w:r>
    </w:p>
    <w:p>
      <w:r/>
      <w:r>
        <w:t>Por exemplo, se um artefato com escrita é datado de cerca de 3000 a.C., isso mostra que a escrita existia naquela época. Isso significa que os primeiros autores do Antigo Testamento poderiam ter escrito as histórias atribuídas a eles. Descobertas arqueológicas mostraram que Moisés, o autor tradicional dos primeiros cinco livros da Bíblia, poderia ter escrito em:</w:t>
      </w:r>
    </w:p>
    <w:p>
      <w:pPr>
        <w:pStyle w:val="ListBullet"/>
        <w:spacing w:line="240" w:lineRule="auto"/>
        <w:ind w:left="720"/>
      </w:pPr>
      <w:r/>
      <w:r>
        <w:t>Hieróglifos egípcios;</w:t>
      </w:r>
    </w:p>
    <w:p>
      <w:pPr>
        <w:pStyle w:val="ListBullet"/>
        <w:spacing w:line="240" w:lineRule="auto"/>
        <w:ind w:left="720"/>
      </w:pPr>
      <w:r/>
      <w:r>
        <w:t>Cuneiforme babilônico; e</w:t>
      </w:r>
    </w:p>
    <w:p>
      <w:pPr>
        <w:pStyle w:val="ListBullet"/>
        <w:spacing w:line="240" w:lineRule="auto"/>
        <w:ind w:left="720"/>
      </w:pPr>
      <w:r/>
      <w:r>
        <w:t>Dialetos cananeus, incluindo o hebraico.</w:t>
      </w:r>
    </w:p>
    <w:p>
      <w:r/>
      <w:r>
        <w:t>Qualquer teoria sobre a Bíblia que ignore tais evidências provavelmente está incorreta.</w:t>
      </w:r>
    </w:p>
    <w:p>
      <w:pPr>
        <w:pStyle w:val="Heading3"/>
      </w:pPr>
      <w:r>
        <w:t>Resumo</w:t>
      </w:r>
    </w:p>
    <w:p>
      <w:pPr>
        <w:pStyle w:val="ListBullet"/>
        <w:spacing w:line="240" w:lineRule="auto"/>
        <w:ind w:left="720"/>
      </w:pPr>
      <w:r/>
      <w:r>
        <w:rPr>
          <w:b/>
          <w:u w:val="single"/>
        </w:rPr>
        <w:t>Arqueologia e vida cotidiana</w:t>
      </w:r>
    </w:p>
    <w:p>
      <w:pPr>
        <w:pStyle w:val="ListBullet"/>
        <w:spacing w:line="240" w:lineRule="auto"/>
        <w:ind w:left="720"/>
      </w:pPr>
      <w:r/>
      <w:r>
        <w:rPr>
          <w:b/>
          <w:u w:val="single"/>
        </w:rPr>
        <w:t>Arqueologia e religião</w:t>
      </w:r>
    </w:p>
    <w:p>
      <w:pPr>
        <w:pStyle w:val="ListBullet"/>
        <w:spacing w:line="240" w:lineRule="auto"/>
        <w:ind w:left="720"/>
      </w:pPr>
      <w:r/>
      <w:r>
        <w:rPr>
          <w:b/>
          <w:u w:val="single"/>
        </w:rPr>
        <w:t>Arqueologia e guerra</w:t>
      </w:r>
    </w:p>
    <w:p>
      <w:pPr>
        <w:pStyle w:val="ListBullet"/>
        <w:spacing w:line="240" w:lineRule="auto"/>
        <w:ind w:left="720"/>
      </w:pPr>
      <w:r/>
      <w:r>
        <w:rPr>
          <w:b/>
          <w:u w:val="single"/>
        </w:rPr>
        <w:t>Arqueologia e literatura</w:t>
      </w:r>
    </w:p>
    <w:p>
      <w:pPr>
        <w:pStyle w:val="ListBullet"/>
        <w:spacing w:line="240" w:lineRule="auto"/>
        <w:ind w:left="720"/>
      </w:pPr>
      <w:r/>
      <w:r>
        <w:rPr>
          <w:b/>
          <w:u w:val="single"/>
        </w:rPr>
        <w:t>Arqueologia e linguagem</w:t>
      </w:r>
    </w:p>
    <w:p>
      <w:pPr>
        <w:pStyle w:val="Heading3"/>
      </w:pPr>
      <w:r>
        <w:t>Arqueologia e vida cotidiana</w:t>
      </w:r>
    </w:p>
    <w:p>
      <w:r/>
      <w:r>
        <w:t>A arqueologia revelou muito sobre a vida diária dos povos antigos. Escavações (locais de escavação) mostram que durante o período Neolítico (final da Idade da Pedra), as pessoas viviam em cabanas simples feitas de varas entrelaçadas. Algumas dessas cabanas eram decoradas por dentro. As casas de classe média em Ur, na época de Abrão, eram elegantes, mesmo para os padrões modernos. As ruínas de palácios em lugares como Knossos, Persépolis, Mari e Qantir revelam sua antiga magnificência. A tecelagem é um dos ofícios humanos mais antigos e era praticada mesmo nos tempos antigos. As técnicas usadas para tecer tapetes orientais originaram-se na Mesopotâmia. A cerâmica, tanto simples quanto decorada, era outro ofício antigo.</w:t>
      </w:r>
    </w:p>
    <w:p>
      <w:pPr>
        <w:pStyle w:val="Heading4"/>
      </w:pPr>
      <w:r>
        <w:t>Costumes sociais</w:t>
      </w:r>
    </w:p>
    <w:p>
      <w:r/>
      <w:r>
        <w:t>A arqueologia também esclareceu costumes sociais mencionados na Bíblia. Por exemplo, Abrão ter um filho com Hagar, a serva de sua esposa, seguia os costumes locais em Nuzi e não era considerado imoral. Práticas de adoção, como a adoção de Eliezer por Abrão (</w:t>
      </w:r>
      <w:hyperlink r:id="rId2559">
        <w:r>
          <w:rPr>
            <w:color w:val="0000EE"/>
            <w:u w:val="single"/>
          </w:rPr>
          <w:t>Gn 15.2–4</w:t>
        </w:r>
      </w:hyperlink>
      <w:r>
        <w:t xml:space="preserve">), são melhor compreendidas através de textos de Nuzi. Esses textos descrevem casais sem filhos adotando um servo que herdaria sua propriedade. Esses adotados se tornariam o primogênito, embora o nascimento de um filho natural pudesse remover esses direitos. Textos de Nuzi, Ugarit e Alalakh também explicam os direitos dos filhos primogênitos e como esses direitos poderiam ser negociados, como visto em </w:t>
      </w:r>
      <w:hyperlink r:id="rId2560">
        <w:r>
          <w:rPr>
            <w:color w:val="0000EE"/>
            <w:u w:val="single"/>
          </w:rPr>
          <w:t>Gn</w:t>
        </w:r>
      </w:hyperlink>
      <w:hyperlink r:id="rId2561">
        <w:r>
          <w:rPr>
            <w:color w:val="0000EE"/>
            <w:u w:val="single"/>
          </w:rPr>
          <w:t xml:space="preserve"> 25.31–34</w:t>
        </w:r>
      </w:hyperlink>
      <w:r>
        <w:t>.</w:t>
      </w:r>
    </w:p>
    <w:p>
      <w:pPr>
        <w:pStyle w:val="Heading4"/>
      </w:pPr>
      <w:r>
        <w:t>Comércio</w:t>
      </w:r>
    </w:p>
    <w:p>
      <w:r/>
      <w:r>
        <w:t>O trabalho e os ofícios no período bíblico foram ilustrados por várias descobertas arqueológicas. Por exemplo, um tipo de imagem chamado "tableau" de Beni Hasan (feito por volta de 1900 a.C.) mostra semitas trazendo mercadorias para o Egito, possivelmente como metalúrgicos. Outras fontes retratam atividades como:</w:t>
      </w:r>
    </w:p>
    <w:p>
      <w:pPr>
        <w:pStyle w:val="ListBullet"/>
        <w:spacing w:line="240" w:lineRule="auto"/>
        <w:ind w:left="720"/>
      </w:pPr>
      <w:r/>
      <w:r>
        <w:t>Caça;</w:t>
      </w:r>
    </w:p>
    <w:p>
      <w:pPr>
        <w:pStyle w:val="ListBullet"/>
        <w:spacing w:line="240" w:lineRule="auto"/>
        <w:ind w:left="720"/>
      </w:pPr>
      <w:r/>
      <w:r>
        <w:t>Pescaria;</w:t>
      </w:r>
    </w:p>
    <w:p>
      <w:pPr>
        <w:pStyle w:val="ListBullet"/>
        <w:spacing w:line="240" w:lineRule="auto"/>
        <w:ind w:left="720"/>
      </w:pPr>
      <w:r/>
      <w:r>
        <w:t>Fabricação de tijolos;</w:t>
      </w:r>
    </w:p>
    <w:p>
      <w:pPr>
        <w:pStyle w:val="ListBullet"/>
        <w:spacing w:line="240" w:lineRule="auto"/>
        <w:ind w:left="720"/>
      </w:pPr>
      <w:r/>
      <w:r>
        <w:t>Agricultura;</w:t>
      </w:r>
    </w:p>
    <w:p>
      <w:pPr>
        <w:pStyle w:val="ListBullet"/>
        <w:spacing w:line="240" w:lineRule="auto"/>
        <w:ind w:left="720"/>
      </w:pPr>
      <w:r/>
      <w:r>
        <w:t>Fabricação de cerâmica.</w:t>
      </w:r>
    </w:p>
    <w:p>
      <w:r/>
      <w:r>
        <w:t>Essas fontes também fornecem informações sobre como as pessoas se vestiam, com exemplos de pinturas egípcias de 500 anos depois, com semitas dando presentes ao Faraó, mostrando estilos de vestuário que permaneceram inalterados por séculos. Os israelitas, no entanto, foram proibidos de fazer representações de seres humanos ou de Deus.</w:t>
      </w:r>
    </w:p>
    <w:p>
      <w:pPr>
        <w:pStyle w:val="Heading4"/>
      </w:pPr>
      <w:r>
        <w:t>Cacos de cerâmica</w:t>
      </w:r>
    </w:p>
    <w:p>
      <w:r/>
      <w:r>
        <w:t>Os artefatos diários mais comuns são cacos de cerâmica (pedaços quebrados de cerâmica), que muitas vezes eram usados como materiais de escrita. Por exemplo, as “cartas de Laquis”, uma série de cartas militares escritas de um posto avançado do norte em 587 a.C., foram escritas em cacos de cerâmica. Mesmo nos tempos do Novo Testamento, os cacos de cerâmica ainda eram usados para escrever. Isso ocorria porque eram mais duráveis que o papiro e mais convenientes que as tábuas de cera. Canetas, paletas e tinta foram encontradas no Egito. A tinta que foi usada para escrever os Rolos do Mar Morto foi recuperada de Qumran.</w:t>
      </w:r>
    </w:p>
    <w:p>
      <w:pPr>
        <w:pStyle w:val="Heading4"/>
      </w:pPr>
      <w:r>
        <w:t>Jogos</w:t>
      </w:r>
    </w:p>
    <w:p>
      <w:r/>
      <w:r>
        <w:t>Descobertas arqueológicas também incluem jogos e brinquedos de tempos antigos. Por exemplo, uma pintura de uma tumba em Beni Hasan (cerca de 2000 a.C.) mostra meninas egípcias jogando um jogo de bola. Um relevo de um templo em Tebas mostra Ramsés III jogando damas. Crianças egípcias de um período posterior jogavam um jogo usando seixos que talvez fosse uma versão inicial do gamão. Em Megido, foi encontrado um tabuleiro de jogo de marfim com buracos, presumivelmente para pinos, de cerca de 1200 a.C. Os brinquedos infantis do Oriente Próximo não eram tão diferentes dos modernos. Foram encontrados brinquedos como:</w:t>
      </w:r>
    </w:p>
    <w:p>
      <w:pPr>
        <w:pStyle w:val="ListBullet"/>
        <w:spacing w:line="240" w:lineRule="auto"/>
        <w:ind w:left="720"/>
      </w:pPr>
      <w:r/>
      <w:r>
        <w:t>Apitos;</w:t>
      </w:r>
    </w:p>
    <w:p>
      <w:pPr>
        <w:pStyle w:val="ListBullet"/>
        <w:spacing w:line="240" w:lineRule="auto"/>
        <w:ind w:left="720"/>
      </w:pPr>
      <w:r/>
      <w:r>
        <w:t>Bolas;</w:t>
      </w:r>
    </w:p>
    <w:p>
      <w:pPr>
        <w:pStyle w:val="ListBullet"/>
        <w:spacing w:line="240" w:lineRule="auto"/>
        <w:ind w:left="720"/>
      </w:pPr>
      <w:r/>
      <w:r>
        <w:t>Modelos de carruagens;</w:t>
      </w:r>
    </w:p>
    <w:p>
      <w:pPr>
        <w:pStyle w:val="ListBullet"/>
        <w:spacing w:line="240" w:lineRule="auto"/>
        <w:ind w:left="720"/>
      </w:pPr>
      <w:r/>
      <w:r>
        <w:t>Animais sobre rodas.</w:t>
      </w:r>
    </w:p>
    <w:p>
      <w:r/>
      <w:r>
        <w:t>Esportes para adultos como luta livre, arco e flecha e corrida também foram retratados em pinturas de tumbas egípcias.</w:t>
      </w:r>
    </w:p>
    <w:p>
      <w:pPr>
        <w:pStyle w:val="Heading4"/>
      </w:pPr>
      <w:r>
        <w:t>Embalsamamento</w:t>
      </w:r>
    </w:p>
    <w:p>
      <w:r/>
      <w:r>
        <w:t xml:space="preserve">O embalsamamento é um processo que preserva corpos mortos. O embalsamamento de Jacó e José, como descrito em </w:t>
      </w:r>
      <w:hyperlink r:id="rId2562">
        <w:r>
          <w:rPr>
            <w:color w:val="0000EE"/>
            <w:u w:val="single"/>
          </w:rPr>
          <w:t>Gn 50.2–3,26</w:t>
        </w:r>
      </w:hyperlink>
      <w:r>
        <w:t>, era um costume egípcio antigo. Jacó foi sepultado na caverna de Macpela com seus ancestrais. Embora o local seja conhecido, não pode ser escavado porque é um lugar sagrado para os árabes. Uma inscrição associada a um antigo local de sepultamento hebraico foi encontrada em 1931 no Monte das Oliveiras. Ela diz: “Aqui foram trazidos os ossos de Uzias, rei de Judá — não abra”. Esta inscrição data da época de Cristo. Sugere que a tumba do Rei Uzias foi encontrada durante escavações em Jerusalém e que seus restos foram movidos para outro local.</w:t>
      </w:r>
    </w:p>
    <w:p>
      <w:r/>
      <w:r>
        <w:t>Arqueólogos também mostraram que a porta de pedra cobrindo a entrada do túmulo de Cristo era comum de cerca de 100 a.C. a 100 d.C., o que coincide com os relatos dos Evangelhos.</w:t>
      </w:r>
    </w:p>
    <w:p>
      <w:pPr>
        <w:pStyle w:val="Heading3"/>
      </w:pPr>
      <w:r>
        <w:t>Arqueologia e Religião</w:t>
      </w:r>
    </w:p>
    <w:p>
      <w:r/>
      <w:r>
        <w:t>A arqueologia forneceu insights sobre a natureza da religião e adoração bíblica. Muito antes de Abrão deixar Ur para seguir o único Deus verdadeiro, os mesopotâmios não-judeus adoravam vários deuses. Eles reconheciam esses deuses como deuses do céu. Esse contexto torna mais compreensível a relação dos patriarcas hebreus com seu Deus. A adoração de deuses pagãos em santuários portáteis é ilustrada em um relevo de Ramsés II, mostrando uma tenda divina no acampamento egípcio. Escritos fenícios do sétimo século a.C. também mencionam um santuário portátil puxado por bois. Esse contexto apoia a ideia de que o tabernáculo israelita no deserto não foi uma invenção posterior.</w:t>
      </w:r>
    </w:p>
    <w:p>
      <w:r/>
      <w:r>
        <w:t xml:space="preserve">A arqueologia confirmou a tradição de cantores participando do culto antes do exílio babilônico. Por séculos, os palestinos foram conhecidos por suas habilidades musicais. Tábuas de Ras Shamra em Ugarit contêm poesia religiosa semelhante aos salmos hebraicos. O templo de Salomão, construído por operários fenícios, seguiu um plano (veja </w:t>
      </w:r>
      <w:hyperlink r:id="rId2563">
        <w:r>
          <w:rPr>
            <w:color w:val="0000EE"/>
            <w:u w:val="single"/>
          </w:rPr>
          <w:t>1 Reis 6</w:t>
        </w:r>
      </w:hyperlink>
      <w:r>
        <w:t>) semelhante a uma capela do oitavo século a.C. encontrada em Tel Tainat na Síria. O Muro das Lamentações em Jerusalém é pensado para incluir pedras do tempo de Neemias. No entanto, nenhum vestígio das fundações de Salomão foi encontrado na cidade. Peças de alvenaria do templo de Herodes, destruído em 70 d.C., foram encontradas. Essas peças fornecem informações valiosas sobre a estrutura do templo. Embora muitas sinagogas existissem na Palestina durante o tempo de Cristo, poucos vestígios foram encontrados.</w:t>
      </w:r>
    </w:p>
    <w:p>
      <w:pPr>
        <w:pStyle w:val="Heading3"/>
      </w:pPr>
      <w:r>
        <w:t>Arqueologia e guerra</w:t>
      </w:r>
    </w:p>
    <w:p>
      <w:r/>
      <w:r>
        <w:t>A arqueologia aumentou muito a nossa compreensão da guerra antiga, um tema bíblico significativo. Os povos do Antigo Oriente Próximo viam a guerra como um conflito entre os deuses das nações opostas. O serviço militar era considerado sagrado, e os soldados eram altamente respeitados. Deus, como o Senhor dos Exércitos, era visto como o comandante do exército hebreu. Ele podia ordenar a destruição completa de uma cidade, chamada de "o banimento", como no caso de Jericó (</w:t>
      </w:r>
      <w:hyperlink r:id="rId2564">
        <w:r>
          <w:rPr>
            <w:color w:val="0000EE"/>
            <w:u w:val="single"/>
          </w:rPr>
          <w:t>Js 6.17,24</w:t>
        </w:r>
      </w:hyperlink>
      <w:r>
        <w:t>). A guerra seguia regras compreendidas. Se uma cidade fosse ameaçada, seus habitantes poderiam se render e ter suas vidas poupadas, embora suas propriedades fossem tomadas. Se resistissem, corriam o risco de destruição total. As táticas de guerra incluíam:</w:t>
      </w:r>
    </w:p>
    <w:p>
      <w:pPr>
        <w:pStyle w:val="ListBullet"/>
        <w:spacing w:line="240" w:lineRule="auto"/>
        <w:ind w:left="720"/>
      </w:pPr>
      <w:r/>
      <w:r>
        <w:t>Ataques frontais (ataques diretos);</w:t>
      </w:r>
    </w:p>
    <w:p>
      <w:pPr>
        <w:pStyle w:val="ListBullet"/>
        <w:spacing w:line="240" w:lineRule="auto"/>
        <w:ind w:left="720"/>
      </w:pPr>
      <w:r/>
      <w:r>
        <w:t>Espiões;</w:t>
      </w:r>
    </w:p>
    <w:p>
      <w:pPr>
        <w:pStyle w:val="ListBullet"/>
        <w:spacing w:line="240" w:lineRule="auto"/>
        <w:ind w:left="720"/>
      </w:pPr>
      <w:r/>
      <w:r>
        <w:t>Emboscadas;</w:t>
      </w:r>
    </w:p>
    <w:p>
      <w:pPr>
        <w:pStyle w:val="ListBullet"/>
        <w:spacing w:line="240" w:lineRule="auto"/>
        <w:ind w:left="720"/>
      </w:pPr>
      <w:r/>
      <w:r>
        <w:t>Patrulhas.</w:t>
      </w:r>
    </w:p>
    <w:p>
      <w:r/>
      <w:r>
        <w:t>Às vezes, as batalhas eram decididas por combate individual, como na história de Davi e Golias (</w:t>
      </w:r>
      <w:hyperlink r:id="rId2565">
        <w:r>
          <w:rPr>
            <w:color w:val="0000EE"/>
            <w:u w:val="single"/>
          </w:rPr>
          <w:t>1Sm 17.38–54</w:t>
        </w:r>
      </w:hyperlink>
      <w:r>
        <w:t>).</w:t>
      </w:r>
    </w:p>
    <w:p>
      <w:r/>
      <w:r>
        <w:t>Armaduras e armas antigas são amplamente representadas em relevos e monumentos.</w:t>
      </w:r>
    </w:p>
    <w:p>
      <w:pPr>
        <w:pStyle w:val="ListBullet"/>
        <w:spacing w:line="240" w:lineRule="auto"/>
        <w:ind w:left="720"/>
      </w:pPr>
      <w:r/>
      <w:r>
        <w:t xml:space="preserve">Um capacete dourado de Ur é um exemplo notável do equipamento militar sumério. Em contraste, capacetes hititas menores são representados em uma parede de tumba em Karnak. No início, apenas líderes nos exércitos israelitas usavam capacetes de metal (veja </w:t>
      </w:r>
      <w:hyperlink r:id="rId2566">
        <w:r>
          <w:rPr>
            <w:color w:val="0000EE"/>
            <w:u w:val="single"/>
          </w:rPr>
          <w:t>1Sm 17.38</w:t>
        </w:r>
      </w:hyperlink>
      <w:r>
        <w:t>). Mas, na época do Império Selêucida, todos os soldados hebreus tinham capacetes de bronze (</w:t>
      </w:r>
      <w:hyperlink r:id="rId2567">
        <w:r>
          <w:rPr>
            <w:color w:val="0000EE"/>
            <w:u w:val="single"/>
          </w:rPr>
          <w:t>1Mc 6.35</w:t>
        </w:r>
      </w:hyperlink>
      <w:r>
        <w:t>). Soldados romanos comumente usavam capacetes de couro ou bronze.</w:t>
      </w:r>
    </w:p>
    <w:p>
      <w:pPr>
        <w:pStyle w:val="ListBullet"/>
        <w:spacing w:line="240" w:lineRule="auto"/>
        <w:ind w:left="720"/>
      </w:pPr>
      <w:r/>
      <w:r>
        <w:t>Os hebreus usavam dois tipos de escudos: um grande para infantaria e um menor para arqueiros (</w:t>
      </w:r>
      <w:hyperlink r:id="rId2568">
        <w:r>
          <w:rPr>
            <w:color w:val="0000EE"/>
            <w:u w:val="single"/>
          </w:rPr>
          <w:t>2Cr 14.8</w:t>
        </w:r>
      </w:hyperlink>
      <w:r>
        <w:t>). Esses escudos eram geralmente feitos de madeira e couro, embora alguns fossem feitos de bronze.</w:t>
      </w:r>
    </w:p>
    <w:p>
      <w:pPr>
        <w:pStyle w:val="ListBullet"/>
        <w:spacing w:line="240" w:lineRule="auto"/>
        <w:ind w:left="720"/>
      </w:pPr>
      <w:r/>
      <w:r>
        <w:t xml:space="preserve">Cotas de armadura de escamas, como em </w:t>
      </w:r>
      <w:hyperlink r:id="rId2569">
        <w:r>
          <w:rPr>
            <w:color w:val="0000EE"/>
            <w:u w:val="single"/>
          </w:rPr>
          <w:t>Jr 46.4</w:t>
        </w:r>
      </w:hyperlink>
      <w:r>
        <w:t>, foram usadas no Oriente Próximo desde pelo menos o século XV a.C., como mostrado por descobertas em Alalakh e Ugarit.</w:t>
      </w:r>
    </w:p>
    <w:p>
      <w:pPr>
        <w:pStyle w:val="ListBullet"/>
        <w:spacing w:line="240" w:lineRule="auto"/>
        <w:ind w:left="720"/>
      </w:pPr>
      <w:r/>
      <w:r>
        <w:t>Espadas e lanças, partes essenciais do armamento hebraico, vinham em várias formas e tamanhos. Fornos para fazer espadas foram encontrados em Gerar, e adagas da Idade do Bronze foram recuperadas de Laquis e Megido.</w:t>
      </w:r>
    </w:p>
    <w:p>
      <w:pPr>
        <w:pStyle w:val="ListBullet"/>
        <w:spacing w:line="240" w:lineRule="auto"/>
        <w:ind w:left="720"/>
      </w:pPr>
      <w:r/>
      <w:r>
        <w:t xml:space="preserve">O arco composto asiático foi uma melhoria em relação aos arcos mais simples representados em tempos anteriores. Pontas de flechas datadas entre 1300 e 900 a.C., inscritas com nomes, sugerem a existência de companhias de arqueiros (veja </w:t>
      </w:r>
      <w:hyperlink r:id="rId2570">
        <w:r>
          <w:rPr>
            <w:color w:val="0000EE"/>
            <w:u w:val="single"/>
          </w:rPr>
          <w:t>Is 21.17</w:t>
        </w:r>
      </w:hyperlink>
      <w:r>
        <w:t>).</w:t>
      </w:r>
    </w:p>
    <w:p>
      <w:r/>
      <w:r>
        <w:t>Muito pouco é dito no Novo Testamento sobre equipamento militar.</w:t>
      </w:r>
    </w:p>
    <w:p>
      <w:pPr>
        <w:pStyle w:val="Heading3"/>
      </w:pPr>
      <w:r>
        <w:t>Arqueologia e literatura</w:t>
      </w:r>
    </w:p>
    <w:p>
      <w:r/>
      <w:r>
        <w:t>Descobertas arqueológicas forneceram paralelos para muitos tipos de literatura bíblica. Por exemplo, escavadores em Ras Shamra encontraram tábuas poéticas e em prosa. Essas tábuas tinham formas gramaticais e literárias semelhantes às dos salmos hebraicos. Agora está claro que códigos de lei detalhados, como os do Pentateuco, existiam antes do tempo de Moisés.</w:t>
      </w:r>
    </w:p>
    <w:p>
      <w:r/>
      <w:r>
        <w:t>Códigos sumérios fragmentários de cerca do século XIX a.C., como o Código de Lei de Hamurábi, são semelhantes em forma e estilo à Lei Mosaica. O Código de Lei de Hamurábi explicava os princípios de justiça em 300 seções. O código foi uma tentativa de controlar a sociedade através da lei e da ordem. Seu estilo é interessante; começa com um prólogo em poema, seguido pela seção legal, e termina com um epílogo em linguagem não poética. Esse padrão de três partes também aparece no livro de Jó, assim como em escritos mais modernos.</w:t>
      </w:r>
    </w:p>
    <w:p>
      <w:r/>
      <w:r>
        <w:t xml:space="preserve">A estrutura da aliança de </w:t>
      </w:r>
      <w:hyperlink r:id="rId2571">
        <w:r>
          <w:rPr>
            <w:color w:val="0000EE"/>
            <w:u w:val="single"/>
          </w:rPr>
          <w:t>Êx 20.1–17</w:t>
        </w:r>
      </w:hyperlink>
      <w:r>
        <w:t xml:space="preserve"> e sua forma mais completa em Deuteronômio é semelhante à estrutura dos tratados de vassalagem hititas do segundo milênio a.C. de Boghazkôy. Os tratados eram escritos em um padrão que também pode ser visto em várias passagens do Antigo Testamento, como:</w:t>
      </w:r>
    </w:p>
    <w:p>
      <w:pPr>
        <w:pStyle w:val="ListBullet"/>
        <w:spacing w:line="240" w:lineRule="auto"/>
        <w:ind w:left="720"/>
      </w:pPr>
      <w:r/>
      <w:hyperlink r:id="rId2571">
        <w:r>
          <w:rPr>
            <w:color w:val="0000EE"/>
            <w:u w:val="single"/>
          </w:rPr>
          <w:t>Êxodo 20.1–17</w:t>
        </w:r>
      </w:hyperlink>
    </w:p>
    <w:p>
      <w:pPr>
        <w:pStyle w:val="ListBullet"/>
        <w:spacing w:line="240" w:lineRule="auto"/>
        <w:ind w:left="720"/>
      </w:pPr>
      <w:r/>
      <w:hyperlink r:id="rId2572">
        <w:r>
          <w:rPr>
            <w:color w:val="0000EE"/>
            <w:u w:val="single"/>
          </w:rPr>
          <w:t>Levítico 18.1–30</w:t>
        </w:r>
      </w:hyperlink>
    </w:p>
    <w:p>
      <w:pPr>
        <w:pStyle w:val="ListBullet"/>
        <w:spacing w:line="240" w:lineRule="auto"/>
        <w:ind w:left="720"/>
      </w:pPr>
      <w:r/>
      <w:hyperlink r:id="rId2573">
        <w:r>
          <w:rPr>
            <w:color w:val="0000EE"/>
            <w:u w:val="single"/>
          </w:rPr>
          <w:t>Deuteronômio 1.1–31.30</w:t>
        </w:r>
      </w:hyperlink>
    </w:p>
    <w:p>
      <w:pPr>
        <w:pStyle w:val="ListBullet"/>
        <w:spacing w:line="240" w:lineRule="auto"/>
        <w:ind w:left="720"/>
      </w:pPr>
      <w:r/>
      <w:hyperlink r:id="rId2574">
        <w:r>
          <w:rPr>
            <w:color w:val="0000EE"/>
            <w:u w:val="single"/>
          </w:rPr>
          <w:t>Jeremias 31.31–37</w:t>
        </w:r>
      </w:hyperlink>
    </w:p>
    <w:p>
      <w:r/>
      <w:r>
        <w:t>Gênesis contém elementos que são semelhantes às tradições literárias mesopotâmicas. Por exemplo, a frase repetida “estas são as gerações de”. Esta frase e o texto ao redor são usados como "colofões" (informações de publicação em livros modernos) em tábuas mesopotâmicas. Esta frase, juntamente com listas de famílias de locais como Nuzi, sugere que o estilo conciso do início de Gênesis é semelhante à escrita histórica suméria.</w:t>
      </w:r>
    </w:p>
    <w:p>
      <w:r/>
      <w:r>
        <w:t xml:space="preserve">A literatura de sabedoria hebraica, como Provérbios, também encontra paralelos em outros textos antigos. Por exemplo, a "Instrução de Amenemope", um texto egípcio, compartilha semelhanças com </w:t>
      </w:r>
      <w:hyperlink r:id="rId2575">
        <w:r>
          <w:rPr>
            <w:color w:val="0000EE"/>
            <w:u w:val="single"/>
          </w:rPr>
          <w:t>Pv 22.17–24.22</w:t>
        </w:r>
      </w:hyperlink>
      <w:r>
        <w:t>, embora os estudiosos debatam se um texto influenciou o outro ou se ambos derivam de uma fonte anterior perdida.</w:t>
      </w:r>
    </w:p>
    <w:p>
      <w:r/>
      <w:r>
        <w:t xml:space="preserve">A forma de cartas do mundo antigo é usada frequentemente na Bíblia (por exemplo, </w:t>
      </w:r>
      <w:hyperlink r:id="rId2576">
        <w:r>
          <w:rPr>
            <w:color w:val="0000EE"/>
            <w:u w:val="single"/>
          </w:rPr>
          <w:t>2Sm 11</w:t>
        </w:r>
      </w:hyperlink>
      <w:r>
        <w:t xml:space="preserve">; </w:t>
      </w:r>
      <w:hyperlink r:id="rId2577">
        <w:r>
          <w:rPr>
            <w:color w:val="0000EE"/>
            <w:u w:val="single"/>
          </w:rPr>
          <w:t>1Rs 21</w:t>
        </w:r>
      </w:hyperlink>
      <w:r>
        <w:t xml:space="preserve">; </w:t>
      </w:r>
      <w:hyperlink r:id="rId2578">
        <w:r>
          <w:rPr>
            <w:color w:val="0000EE"/>
            <w:u w:val="single"/>
          </w:rPr>
          <w:t>2Rs 5.10,20</w:t>
        </w:r>
      </w:hyperlink>
      <w:r>
        <w:t xml:space="preserve">; </w:t>
      </w:r>
      <w:hyperlink r:id="rId2579">
        <w:r>
          <w:rPr>
            <w:color w:val="0000EE"/>
            <w:u w:val="single"/>
          </w:rPr>
          <w:t>Ed 4.6–7</w:t>
        </w:r>
      </w:hyperlink>
      <w:r>
        <w:t xml:space="preserve">; </w:t>
      </w:r>
      <w:hyperlink r:id="rId2580">
        <w:r>
          <w:rPr>
            <w:color w:val="0000EE"/>
            <w:u w:val="single"/>
          </w:rPr>
          <w:t>Ne 2.7</w:t>
        </w:r>
      </w:hyperlink>
      <w:r>
        <w:t xml:space="preserve">). Esta forma foi usada em papiros egípcios, como os documentos de Zenon, e em escritos gregos, como as cartas de Platão. A </w:t>
      </w:r>
      <w:r>
        <w:rPr>
          <w:i/>
        </w:rPr>
        <w:t>Sétima Carta</w:t>
      </w:r>
      <w:r>
        <w:t xml:space="preserve"> de Platão, de cerca de 354 a.C., é semelhante às cartas do Apóstolo Paulo. A </w:t>
      </w:r>
      <w:r>
        <w:rPr>
          <w:i/>
        </w:rPr>
        <w:t>Sétima Carta</w:t>
      </w:r>
      <w:r>
        <w:t xml:space="preserve"> de Platão também tenta corrigir mal-entendidos sobre seu ensino. As cartas de Paulo também são às vezes semelhantes à natureza pessoal de algumas cartas egípcias, particularmente Filemom.</w:t>
      </w:r>
    </w:p>
    <w:p>
      <w:pPr>
        <w:pStyle w:val="Heading3"/>
      </w:pPr>
      <w:r>
        <w:t>Arqueologia e linguagem</w:t>
      </w:r>
    </w:p>
    <w:p>
      <w:r/>
      <w:r>
        <w:t xml:space="preserve">A recuperação de línguas antigas através da arqueologia nos ajudou a entender o Antigo Testamento. Muitas expressões no Antigo Testamento foram encontradas como originalmente sumérias ou acadianas. Por exemplo, a frase "o céu e a terra" em </w:t>
      </w:r>
      <w:hyperlink r:id="rId2581">
        <w:r>
          <w:rPr>
            <w:color w:val="0000EE"/>
            <w:u w:val="single"/>
          </w:rPr>
          <w:t>Gn 1.1</w:t>
        </w:r>
      </w:hyperlink>
      <w:r>
        <w:t xml:space="preserve">. Em sumério, a expressão é </w:t>
      </w:r>
      <w:r>
        <w:rPr>
          <w:i/>
        </w:rPr>
        <w:t xml:space="preserve">an-ki, </w:t>
      </w:r>
      <w:r>
        <w:t xml:space="preserve">significando "universo". Esta frase usa dois termos opostos para expressar totalidade, um recurso literário também visto em </w:t>
      </w:r>
      <w:hyperlink r:id="rId2582">
        <w:r>
          <w:rPr>
            <w:color w:val="0000EE"/>
            <w:u w:val="single"/>
          </w:rPr>
          <w:t>Ap 22.13</w:t>
        </w:r>
      </w:hyperlink>
      <w:r>
        <w:t>.</w:t>
      </w:r>
    </w:p>
    <w:p>
      <w:r/>
      <w:r>
        <w:t>O ugarítico e o eblaico são ambos dialetos semíticos ocidentais intimamente relacionados ao hebraico. Esses dialetos forneceram insights sobre a linguagem poética hebraica obscura, revelando que ela preserva expressões cananeias antigas. O aramaico é outra língua semítica do noroeste. O estudo do aramaico também esclareceu a linguagem usada em certas partes do Antigo Testamento, como os livros de Esdras e Daniel. Estes foram escritos em aramaico imperial. Os papiros de Elefantina dos séculos quinto e quarto a.C. apoiam a datação antiga desses textos.</w:t>
      </w:r>
    </w:p>
    <w:p>
      <w:r/>
      <w:r>
        <w:t>O Novo Testamento foi escrito em grego koiné, ou grego "comum", a língua comum do Oriente Próximo e do Império Romano. O grego do Novo Testamento frequentemente contém expressões semíticas subjacentes que, se não reconhecidas, podem levar a traduções incorretas.</w:t>
      </w:r>
    </w:p>
    <w:p>
      <w:pPr>
        <w:pStyle w:val="Heading3"/>
      </w:pPr>
      <w:r>
        <w:t>Significado para Estudos Bíblicos</w:t>
      </w:r>
    </w:p>
    <w:p>
      <w:r/>
      <w:r>
        <w:t>Descobertas arqueológicas expandiram significativamente nosso conhecimento do mundo antigo. Elas nos permitiram ver as pessoas da Bíblia como figuras históricas reais. Esses indivíduos viveram em tempos de estresse e realização cultural. Eles não eram figuras lendárias. Eles lutaram com os problemas da vida. Às vezes, recebiam visões de Deus como Todo-Poderoso e Todo-Santo, guiando-os e suas nações e ajudando-os a cumprir seu propósito na história.</w:t>
      </w:r>
    </w:p>
    <w:p>
      <w:r/>
      <w:r>
        <w:t>A arqueologia demonstra que os hebreus devem ser estudados dentro do contexto mais amplo do antigo Oriente Próximo como parte de uma grande cultura que incluía povos diversos como os sumérios e os egeus. Este estudo deve ser abordado objetivamente. Devemos usar evidências para entender eventos e a vida bíblica. Embora possa haver conflitos ocasionais entre interpretações arqueológicas e evidências bíblicas, estes são raros e tendem a diminuir à medida que mais informações são descobertas.</w:t>
      </w:r>
    </w:p>
    <w:p>
      <w:r/>
      <w:r>
        <w:t>A arqueologia não pode provar ou refutar as verdades espirituais das Escrituras. Mas, ela valida a história hebraica. Esclarece muitos termos e tradições anteriormente incertos tanto no Antigo quanto no Novo Testamento. Ao fazer isso, a arqueologia fornece um sólido pano de fundo histórico para as profecias que levam à vida de Jesus Cristo.</w:t>
      </w:r>
      <w:r/>
      <w:r/>
    </w:p>
    <w:p>
      <w:r/>
    </w:p>
    <w:p>
      <w:pPr>
        <w:pStyle w:val="Heading2"/>
      </w:pPr>
      <w:r>
        <w:t>Arqueus</w:t>
      </w:r>
      <w:r/>
    </w:p>
    <w:p>
      <w:r/>
      <w:r>
        <w:t>Nome de um clã descendente do filho de Cam, Canaã (</w:t>
      </w:r>
      <w:hyperlink r:id="rId2583">
        <w:r>
          <w:rPr>
            <w:color w:val="0000EE"/>
            <w:u w:val="single"/>
          </w:rPr>
          <w:t>Gn 10.17</w:t>
        </w:r>
      </w:hyperlink>
      <w:r>
        <w:t xml:space="preserve">; </w:t>
      </w:r>
      <w:hyperlink r:id="rId2584">
        <w:r>
          <w:rPr>
            <w:color w:val="0000EE"/>
            <w:u w:val="single"/>
          </w:rPr>
          <w:t>1Cr 1.15</w:t>
        </w:r>
      </w:hyperlink>
      <w:r>
        <w:t>). Os arqueus eram provavelmente residentes de Arca, uma cidade fenícia ao norte de Trípoli, na Síria.</w:t>
      </w:r>
    </w:p>
    <w:p>
      <w:r/>
      <w:r>
        <w:t>De acordo com uma inscrição antiga, Arca foi capturada pelo assírio Tiglate-Pileser III em 738 a.C. Outro ramo da tribo pode ter se estabelecido perto de Atarote, uma cidade na fronteira entre Efraim e Benjamim (</w:t>
      </w:r>
      <w:hyperlink r:id="rId2585">
        <w:r>
          <w:rPr>
            <w:color w:val="0000EE"/>
            <w:u w:val="single"/>
          </w:rPr>
          <w:t>Js 16.2</w:t>
        </w:r>
      </w:hyperlink>
      <w:r>
        <w:t>).</w:t>
      </w:r>
    </w:p>
    <w:p>
      <w:r/>
      <w:r>
        <w:rPr>
          <w:i/>
        </w:rPr>
        <w:t>Veja também</w:t>
      </w:r>
      <w:r>
        <w:t xml:space="preserve"> </w:t>
      </w:r>
      <w:r>
        <w:t>Arqui, Arquita</w:t>
      </w:r>
      <w:r>
        <w:t>.</w:t>
      </w:r>
      <w:r/>
      <w:r/>
    </w:p>
    <w:p>
      <w:r/>
    </w:p>
    <w:p>
      <w:pPr>
        <w:pStyle w:val="Heading2"/>
      </w:pPr>
      <w:r>
        <w:t>Arquitetura</w:t>
      </w:r>
      <w:r/>
    </w:p>
    <w:p>
      <w:r/>
      <w:r>
        <w:t>Ciência, arte ou profissão de projetar e construir edifícios, pontes, etc. A arquitetura é a prática de combinar construção e arte para produzir "beleza com propósito". A síntese do arquiteto de imaginação criativa e habilidade técnica produz estruturas de interesse, unidade, poder e conveniência. Quando olhamos para um edifício, monumento ou túmulo, estamos examinando sua arte, bem como sua estrutura.</w:t>
      </w:r>
    </w:p>
    <w:p>
      <w:r/>
      <w:r>
        <w:t>Tipos especiais de arquitetura são mencionados nas Escrituras, incluindo casas, estruturas em cidades específicas e, é claro, os templos. Todos foram influenciados pelos impérios que dominavam Israel na época. É, portanto, importante examinar a arquitetura dos impérios associados à história bíblica para entender a arquitetura da Palestina.</w:t>
      </w:r>
    </w:p>
    <w:p>
      <w:r/>
      <w:r>
        <w:t>Resumo</w:t>
      </w:r>
    </w:p>
    <w:p>
      <w:r/>
      <w:r>
        <w:t>• Arquitetura suméria</w:t>
      </w:r>
    </w:p>
    <w:p>
      <w:r/>
      <w:r>
        <w:t>• Arquitetura egípcia</w:t>
      </w:r>
    </w:p>
    <w:p>
      <w:r/>
      <w:r>
        <w:t>• Arquitetura assíria e hitita</w:t>
      </w:r>
    </w:p>
    <w:p>
      <w:r/>
      <w:r>
        <w:t>• Arquitetura grega</w:t>
      </w:r>
    </w:p>
    <w:p>
      <w:r/>
      <w:r>
        <w:t>• Arquitetura romana</w:t>
      </w:r>
    </w:p>
    <w:p>
      <w:r/>
      <w:r>
        <w:t>• Arquitetura palestina</w:t>
      </w:r>
    </w:p>
    <w:p>
      <w:pPr>
        <w:pStyle w:val="Heading3"/>
      </w:pPr>
      <w:r>
        <w:t>Arquitetura suméria</w:t>
      </w:r>
    </w:p>
    <w:p>
      <w:r/>
      <w:r>
        <w:t>A arquitetura foi desenvolvida pela primeira vez pelos sumérios, um povo de origem não semítica. Eles podem ter se estabelecido na ilha de Bahrein, no Golfo Pérsico, mil anos antes de se moverem para o continente. Desde o início de sua cultura, os sumérios consideravam a arquitetura uma importante empreitada artística. Encontrou sua expressão mais completa na construção de templos. O zigurate sumério, ou torre em estágios, tornou-se a contribuição mais distintiva da Mesopotâmia para a arquitetura, tanto secular quanto sagrada. O zigurate tem sido frequentemente comparado a uma catedral europeia medieval, cujo ponto mais alto pode parecer estar alcançando Deus como uma expressão das aspirações religiosas humanas. No entanto, esse não era o conceito que os sumérios tinham ao construir seus santuários. Para eles, o zigurate, erguido em seu monte ou plataforma, representava uma concentração de forças naturais e vitais. O deus já havia descido para sua casa, e era dever do adorador comungar com ele lá.</w:t>
      </w:r>
    </w:p>
    <w:p>
      <w:r/>
      <w:r>
        <w:t>Por volta de 2000 a.C., uma área de templo mesopotâmico geralmente abrigava o zigurate, vários armazéns, santuários, oficinas e alojamentos para sacerdotes. O zigurate geralmente consistia em três estágios: as paredes internas de tijolos de barro secos ao sol, as paredes externas de tijolos cozidos assentados em betume. Os níveis superiores eram alcançados por escadas ou rampas, e às vezes um pequeno santuário para uma divindade local coroava o estágio mais alto. Além de criar paredes e colunas decoradas, os arquitetos sumérios descobriram como usar arcos, cúpulas e abóbadas para dar a impressão de grandiosidade e espaço.</w:t>
      </w:r>
    </w:p>
    <w:p>
      <w:r/>
      <w:r>
        <w:t>A arquitetura doméstica suméria era bastante variada em estilo. A maioria das casas da cidade eram residências de dois andares construídas em três lados de um quadrado, com a abertura voltada para longe das ruas estreitas. Casas de pessoas ricas podem ter 20 cômodos; algumas incluem quartos para empregados. Instalações sanitárias internas foram conectadas por meio de canos de esgoto a uma fossa subterrânea. Muitas casas tinham um túmulo familiar no porão. Não há dúvida de que os acádios, hititas, egípcios e gregos se beneficiaram de várias maneiras das inovações arquitetônicas da Suméria.</w:t>
      </w:r>
    </w:p>
    <w:p>
      <w:pPr>
        <w:pStyle w:val="Heading3"/>
      </w:pPr>
      <w:r>
        <w:t>Arquitetura egípcia</w:t>
      </w:r>
    </w:p>
    <w:p>
      <w:r/>
      <w:r>
        <w:t>Os egípcios alcançaram as formas arquitetônicas mais duradouras já tentadas por qualquer civilização, e grande parte de sua arquitetura foi preservada. Tais formas incluíam templos, tumbas e pirâmides. Enormes pedras para construir essas estruturas tiveram que ser trazidas de pedreiras distantes. Os egípcios usavam trabalho escravo e construíam suas estruturas em homenagem aos seus governantes.</w:t>
      </w:r>
    </w:p>
    <w:p>
      <w:r/>
      <w:r>
        <w:t>Os exemplos notáveis da arquitetura egípcia são as pirâmides, praticamente todas construídas no período do Antigo Império (c. 2700–2200 a.C.). O princípio sumério do nicho recuado foi empregado para acomodar os enormes estresses da alvenaria de pedra. Sem essa técnica, teria sido impossível construir um edifício tão grande como a Grande Pirâmide, cujo peso estimado é de quase seis milhões de toneladas (5.448.000 toneladas métricas). A Grande Pirâmide é um dos edifícios mais perfeitamente orientados na Terra, estando a apenas alguns segundos de um grau da orientação norte-sul verdadeira. Muitos dos enormes blocos de pedra foram cortados e ajustados com tanta precisão que é impossível inserir a borda de uma folha de papel entre eles. As pirâmides foram feitas para servir como tumbas para os restos mortais das pessoas que as mandaram construir, mas as próprias estruturas se tornaram monumentos à criatividade humana.</w:t>
      </w:r>
    </w:p>
    <w:p>
      <w:r/>
      <w:r>
        <w:t>O principal estilo arquitetônico dos egípcios era "pilar e lintel", com peças horizontais apoiadas em colunas. Como resultado, edifícios de qualquer tamanho se tornaram uma floresta de colunas. As superfícies das paredes estavam cobertas com entalhes, pinturas e hieróglifos. Os templos foram planejados em um eixo longo com simetria quase perfeita. As estruturas parecem projetadas para desfiles imperiais e outras cerimônias encenadas para impressionar o povo com o poder e a autoridade de seus governantes.</w:t>
      </w:r>
    </w:p>
    <w:p>
      <w:pPr>
        <w:pStyle w:val="Heading3"/>
      </w:pPr>
      <w:r>
        <w:t>Arquitetura assíria e hitita</w:t>
      </w:r>
    </w:p>
    <w:p>
      <w:r/>
      <w:r>
        <w:t>Os assírios seguiram o padrão sumério de construção de templos, mas ampliaram os zigurates e adicionaram mais andares. O grande zigurate de Borsipa foi um exemplo notável de construção de templo de sete andares. A fundação tinha cerca de 83 metros quadrados, e o edifício tinha cerca de 49 metros de altura. Cada andar era recuado em relação ao nível abaixo dele em um efeito de terraço e pintado com uma cor diferente de tinta. Cada andar era destinado a representar um dos planetas. De acordo com a prática suméria posterior, o nível mais alto tinha um pequeno santuário construído em seu telhado, onde se pensava que o deus Nebo havia feito sua residência. Muitos acreditam que a Torre de Babel, que Deus destruiu, era uma torre zigurate (</w:t>
      </w:r>
      <w:hyperlink r:id="rId158">
        <w:r>
          <w:rPr>
            <w:color w:val="0000EE"/>
            <w:u w:val="single"/>
          </w:rPr>
          <w:t>Gn 11</w:t>
        </w:r>
      </w:hyperlink>
      <w:r>
        <w:t>).</w:t>
      </w:r>
    </w:p>
    <w:p>
      <w:r/>
      <w:r>
        <w:t>Os palácios reais assírios dos séculos VIII e VII a.C. eram grandes e elegantes, decorados com enormes baixos-relevos que retratavam o rei ocupado com uma variedade de atividades. A arte assíria estava em seu auge nesse período, e a atenção meticulosa aos detalhes trouxe um caráter forte à arquitetura assíria. Grandes esculturas de pedra de animais protetores foram colocadas nas entradas de edifícios públicos. Estátuas semelhantes eram uma característica da arquitetura hitita na Anatólia, a parte oriental da Ásia Menor.</w:t>
      </w:r>
    </w:p>
    <w:p>
      <w:r/>
      <w:r>
        <w:t>Edifícios hititas escavados em Boghazkôy e em outros lugares facilmente igualavam os dos assírios em extensão e grandiosidade. Colunas imponentes, longos corredores e salas expansivas eram típicos da construção de palácios hititas na Idade do Bronze.</w:t>
      </w:r>
    </w:p>
    <w:p>
      <w:r/>
      <w:r>
        <w:t>O design dos templos hititas seguia o que era comum na Babilônia, com vários edifícios agrupados em torno de um pátio aberto. Uma diferença era que o santuário principal era acessado através de uma série de entradas ou pórticos que se estendiam além do comprimento dos edifícios adjacentes. O design permitiu que pequenas janelas fossem colocadas no topo da projeção para fornecer luz adicional no santuário.</w:t>
      </w:r>
    </w:p>
    <w:p>
      <w:pPr>
        <w:pStyle w:val="Heading3"/>
      </w:pPr>
      <w:r>
        <w:t>Arquitetura grega</w:t>
      </w:r>
    </w:p>
    <w:p>
      <w:r/>
      <w:r>
        <w:t>A arquitetura alcançou grandes realizações no mundo grego. Muitos fatores se combinaram para produzir uma beleza arquitetônica que durou séculos. Esses fatores incluíam o clima, o ambiente, o governo e as pessoas. Talvez o fator mais importante fossem as pessoas, que pareciam livres para imaginar e desenvolver designs e estruturas que continuam a estimular nossa imaginação até hoje.</w:t>
      </w:r>
    </w:p>
    <w:p>
      <w:r/>
      <w:r>
        <w:t>Os gregos se esforçaram para alcançar a beleza em sua arquitetura. Este nobre motivo encontrou sua mais alta expressão no século V a.C. Na época de Péricles (461–429 a.C.), o Partenon e os Propileus na Acrópole foram remodelados a partir de originais anteriores, e o Erecteion também foi construído lá. Templos subsequentes em Atenas incluíam o de Hefesto, que era uma versão menos graciosa do Partenon, e o santuário de Ares. Fídias, o escultor que projetou o Partenon, também foi responsável, junto com seus alunos, por grande parte das estátuas do século V a.C. Embora os sumérios tenham sido os primeiros a executar estátuas de pedra autônomas e bastante estereotipadas, eles o fizeram em grande parte com considerações teológicas em mente. Para os escultores sumérios, a estátua representava um indivíduo diante de um deus, pronto para ser julgado. Para os gregos, no entanto, o objetivo de uma boa estatuária era a reprodução mais realista e precisa possível da anatomia humana, e, como os assírios, seus escultores estudavam anatomia. Eventualmente, os gregos se tornaram os escultores mais proficientes do mundo.</w:t>
      </w:r>
    </w:p>
    <w:p>
      <w:r/>
      <w:r>
        <w:t>Muitos edifícios gregos apresentavam combinações apropriadas de estrutura e ambiente. Por exemplo, teatros foram construídos em colinas para que a estrutura pudesse ter fileiras de assentos e ainda ter um belo cenário. O mármore foi usado extensivamente. Os edifícios foram colocados de forma que as sombras acrescentassem à sua beleza. Toda aquela beleza estrutural foi vista pelo apóstolo Paulo quando ele visitou a cidade de Atenas, mas "Paulo ficou revoltado ao ver a cidade tão cheia de ídolos" (</w:t>
      </w:r>
      <w:hyperlink r:id="rId2586">
        <w:r>
          <w:rPr>
            <w:color w:val="0000EE"/>
            <w:u w:val="single"/>
          </w:rPr>
          <w:t>Atos 17.16</w:t>
        </w:r>
      </w:hyperlink>
      <w:r>
        <w:t>, NTLH). Muitos dos edifícios mais bonitos, como o Partenon, foram construídos em homenagem aos deuses pagãos gregos. Em resposta, Paulo pregou seu famoso sermão no Areópago (Colina de Marte), uma colina que dava vista para os templos de Atenas.</w:t>
      </w:r>
    </w:p>
    <w:p>
      <w:pPr>
        <w:pStyle w:val="Heading3"/>
      </w:pPr>
      <w:r>
        <w:t>Arquitetura romana</w:t>
      </w:r>
    </w:p>
    <w:p>
      <w:r/>
      <w:r>
        <w:t>Os romanos foram grandes construtores que deixaram sua marca na arquitetura do mundo. Vários fatores influenciaram os estilos arquitetônicos romanos. Primeiro foi o fato de que os romanos assumiram impérios anteriores e formas anteriores de arquitetura. Alguma influência egípcia foi vista, mas o olhar grego para a beleza e o uso de mármore foram mais importantes. Outro fator foi a descoberta romana do cimento feito de terra vulcânica que, quando misturada com cal, formava uma argamassa de grande coesão. O cimento permitiu que os romanos construíssem arcos de alvenaria sem colunas de suporte. O efeito foi uma sensação de pompa e majestade. O uso de cimento também permitiu que os romanos construíssem estruturas de mais de um andar, como o Coliseu.</w:t>
      </w:r>
    </w:p>
    <w:p>
      <w:r/>
      <w:r>
        <w:t>Os arquitetos romanos usavam praças centrais ou fóruns públicos no centro de suas cidades. Ao redor destes foram construídos edifícios públicos, templos, lojas e pórticos. A praça central continha arcos e monumentos comemorando imperadores vitoriosos. O conceito romano de planejamento municipal foi copiado em todo o Império Romano, incluindo a Palestina.</w:t>
      </w:r>
    </w:p>
    <w:p>
      <w:r/>
      <w:r>
        <w:t>A escassez de água em vários países sobre os quais os romanos governavam os obrigou a criar meios de transportá-la por terra. Isso levou ao desenvolvimento do aqueduto. Os arquitetos romanos enfrentavam o problema de manter um grau suficiente de inclinação para permitir que a água fluísse por gravidade. Canais cimentados suportados por arcos de pedra forneceram grande parte da solução para o problema. O design arquitetônico dos sistemas de aquedutos permaneceu o mesmo durante todo o período imperial. Os pilares da fundação foram cobertos por arcos redondos. Um canal de pedra foi construído no topo do arco, revestido com cimento e frequentemente coberto por um telhado curvo.</w:t>
      </w:r>
    </w:p>
    <w:p>
      <w:pPr>
        <w:pStyle w:val="Heading3"/>
      </w:pPr>
      <w:r>
        <w:t>Arquitetura palestina</w:t>
      </w:r>
    </w:p>
    <w:p>
      <w:r/>
      <w:r>
        <w:t>Por uma geração, os israelitas foram habitantes de tendas, vivendo apenas vidas semissedentárias na melhor das hipóteses, sem necessidade de estruturas permanentes de qualquer tipo. Quando chegou a hora de se estabelecerem, foram prejudicados pela falta de habilidades de construção. Escavações arqueológicas em locais como Siló, Betel e Debir descobriram tentativas israelitas de reconstruir sobre fundações cananeias anteriores. O padrão de mão de obra deles era visivelmente inferior ao dos construtores cananeus, como demonstrado especialmente nas cidades reais cananeias. Até o século V a.C., os edifícios israelitas tendiam a ser pequenos e estreitos, em parte porque os arquitetos não haviam desenvolvido nenhum meio de cobrir uma habitação além de colocar vigas em sua largura e colocar uma cobertura plana no topo. O primeiro arco abobadado na Palestina foi construído no período persa, mas era tão inovador que os judeus conservadores se recusaram a adotá-lo como um estilo arquitetônico. Somente no período romano o arco e a abóbada ganharam aceitação, devido em grande parte à influência de Herodes, o Grande.</w:t>
      </w:r>
    </w:p>
    <w:p>
      <w:pPr>
        <w:pStyle w:val="Heading4"/>
      </w:pPr>
      <w:r>
        <w:t>Arquitetura do Antigo Testamento</w:t>
      </w:r>
    </w:p>
    <w:p>
      <w:r/>
      <w:r>
        <w:t>Cidades</w:t>
      </w:r>
    </w:p>
    <w:p>
      <w:r/>
      <w:r>
        <w:t>Na era do AT, as cidades eram construídas em colinas ou montes e cercadas por um muro para proteção. Geralmente, as casas eram colocadas de forma aleatória com caminhos sinuosos ou becos conectando-as. Pessoas que não podiam pagar pela vida na cidade viviam em vilarejos ao redor da cidade. Eles trabalhavam nos campos próximos e, em tempos de perigo, fugiam para a cidade em busca de proteção.</w:t>
      </w:r>
    </w:p>
    <w:p>
      <w:r/>
      <w:r>
        <w:t>O mais essencial para qualquer cidade era um abastecimento de água adequado. Por essa razão, as cidades foram construídas sobre ou perto de nascentes subterrâneas. Algumas cidades usavam cisternas rebocadas e bacias de captação para coletar água da chuva para complementar o abastecimento regular de água. Fontes subterrâneas eram protegidas por túneis em degraus para acesso quando a cidade estava sitiada.</w:t>
      </w:r>
    </w:p>
    <w:p>
      <w:r/>
      <w:r>
        <w:t>Fortificações</w:t>
      </w:r>
    </w:p>
    <w:p>
      <w:r/>
      <w:r>
        <w:t>Durante grande parte dos tempos do AT, os israelitas usavam as técnicas da Idade do Bronze Médio para defender suas cidades. A característica central era uma parede feita de pedra ou tijolo, de 7,5 a 9 metros de altura. A parede às vezes era feita com uma inclinação artificial e uma vala na parte inferior para fortificá-la contra aríetes inimigos.</w:t>
      </w:r>
    </w:p>
    <w:p>
      <w:r/>
      <w:r>
        <w:t>Durante a monarquia israelita, paredes de casamata também foram construídas. Estas consistiam em duas paredes paralelas conectadas por uma série de paredes transversais. Os quartos resultantes foram então preenchidos com terra para dar proteção adicional contra aríetes inimigos (</w:t>
      </w:r>
      <w:hyperlink r:id="rId2587">
        <w:r>
          <w:rPr>
            <w:color w:val="0000EE"/>
            <w:u w:val="single"/>
          </w:rPr>
          <w:t>Ez 26.9</w:t>
        </w:r>
      </w:hyperlink>
      <w:r>
        <w:t>). Às vezes, paredes de 6 metros de espessura eram construídas com saliências para que os atacantes pudessem ser subjugados. O apóstolo Paulo foi descido do muro de Damasco, em uma cesta à partir de um cômodo em tal muro (</w:t>
      </w:r>
      <w:hyperlink r:id="rId2588">
        <w:r>
          <w:rPr>
            <w:color w:val="0000EE"/>
            <w:u w:val="single"/>
          </w:rPr>
          <w:t>Atos 9.25</w:t>
        </w:r>
      </w:hyperlink>
      <w:r>
        <w:t xml:space="preserve">; </w:t>
      </w:r>
      <w:hyperlink r:id="rId2589">
        <w:r>
          <w:rPr>
            <w:color w:val="0000EE"/>
            <w:u w:val="single"/>
          </w:rPr>
          <w:t>2Co 11.33</w:t>
        </w:r>
      </w:hyperlink>
      <w:r>
        <w:t>).</w:t>
      </w:r>
    </w:p>
    <w:p>
      <w:r/>
      <w:r>
        <w:t>Portões</w:t>
      </w:r>
    </w:p>
    <w:p>
      <w:r/>
      <w:r>
        <w:t>A maioria das muralhas da cidade tinha dois portões. Um deles era para caravanas de camelos, carruagens e veículos maiores; o outro, do lado oposto da cidade, era usado para pedestres, burros e pequenos animais. Muitos portões consistiam em portas duplas (</w:t>
      </w:r>
      <w:hyperlink r:id="rId2590">
        <w:r>
          <w:rPr>
            <w:color w:val="0000EE"/>
            <w:u w:val="single"/>
          </w:rPr>
          <w:t>Is 45.1</w:t>
        </w:r>
      </w:hyperlink>
      <w:r>
        <w:t xml:space="preserve">; </w:t>
      </w:r>
      <w:hyperlink r:id="rId2591">
        <w:r>
          <w:rPr>
            <w:color w:val="0000EE"/>
            <w:u w:val="single"/>
          </w:rPr>
          <w:t>Ne 6.1</w:t>
        </w:r>
      </w:hyperlink>
      <w:r>
        <w:t>) feitas de madeira e revestidas com placas de bronze (</w:t>
      </w:r>
      <w:hyperlink r:id="rId2592">
        <w:r>
          <w:rPr>
            <w:color w:val="0000EE"/>
            <w:u w:val="single"/>
          </w:rPr>
          <w:t>Is 45.2</w:t>
        </w:r>
      </w:hyperlink>
      <w:r>
        <w:t>). As portas eram protegidas com barras horizontais de madeira, bronze (</w:t>
      </w:r>
      <w:hyperlink r:id="rId2493">
        <w:r>
          <w:rPr>
            <w:color w:val="0000EE"/>
            <w:u w:val="single"/>
          </w:rPr>
          <w:t>1Rs 4.13</w:t>
        </w:r>
      </w:hyperlink>
      <w:r>
        <w:t>) ou ferro (</w:t>
      </w:r>
      <w:hyperlink r:id="rId2593">
        <w:r>
          <w:rPr>
            <w:color w:val="0000EE"/>
            <w:u w:val="single"/>
          </w:rPr>
          <w:t>Sl 107.16</w:t>
        </w:r>
      </w:hyperlink>
      <w:r>
        <w:t>) que se encaixavam em aberturas nos postes do portão (</w:t>
      </w:r>
      <w:hyperlink r:id="rId2594">
        <w:r>
          <w:rPr>
            <w:color w:val="0000EE"/>
            <w:u w:val="single"/>
          </w:rPr>
          <w:t>Jz 16.3</w:t>
        </w:r>
      </w:hyperlink>
      <w:r>
        <w:t>).</w:t>
      </w:r>
    </w:p>
    <w:p>
      <w:r/>
      <w:r>
        <w:t>A localização dos portões era importante para a defesa da cidade. Frequentemente, a estrada que levava ao portão era planejada de forma que os atacantes, que carregavam seus escudos na mão esquerda, tivessem que enfrentar a parede da cidade e seus defensores no lado direito. Às vezes, o portão fazia parte de uma grande torre (</w:t>
      </w:r>
      <w:hyperlink r:id="rId2595">
        <w:r>
          <w:rPr>
            <w:color w:val="0000EE"/>
            <w:u w:val="single"/>
          </w:rPr>
          <w:t>2Cr 26.9</w:t>
        </w:r>
      </w:hyperlink>
      <w:r>
        <w:t>). Ocasionalmente, degraus eram construídos no interior da torre, para que os sentinelas pudessem alcançar o topo para vigiar (</w:t>
      </w:r>
      <w:hyperlink r:id="rId2596">
        <w:r>
          <w:rPr>
            <w:color w:val="0000EE"/>
            <w:u w:val="single"/>
          </w:rPr>
          <w:t>2Rs 9.17</w:t>
        </w:r>
      </w:hyperlink>
      <w:r>
        <w:t>). Em outras ocasiões, o portão estava posicionado de tal forma que girava 90 graus entre os portais, a fim de impedir que arqueiros inimigos fizessem um tiro direto através do portão.</w:t>
      </w:r>
    </w:p>
    <w:p>
      <w:r/>
      <w:r>
        <w:t>Casas</w:t>
      </w:r>
    </w:p>
    <w:p>
      <w:r/>
      <w:r>
        <w:t>Uma casa israelita acima da média consistia em vários cômodos voltados para um pátio aberto (</w:t>
      </w:r>
      <w:hyperlink r:id="rId2597">
        <w:r>
          <w:rPr>
            <w:color w:val="0000EE"/>
            <w:u w:val="single"/>
          </w:rPr>
          <w:t>2Sm 17.18</w:t>
        </w:r>
      </w:hyperlink>
      <w:r>
        <w:t>). O maior cômodo era para a família, outro era para o gado da família, e outro era usado como um depósito geral. Às vezes, as paredes eram feitas de pedras, com as juntas preenchidas com barro. Às vezes, as paredes internas eram revestidas com barro, embora as casas mais prósperas tivessem cipreste ou cedro. Os pisos eram feitos de argila ou pedras de gesso polido. Os telhados planos eram sustentados por vigas e impermeabilizados com madeira ou mato. Uma escada externa dava acesso ao telhado, e algumas pessoas construíam câmaras no telhado que, na prática, faziam uma casa de dois andares (</w:t>
      </w:r>
      <w:hyperlink r:id="rId2598">
        <w:r>
          <w:rPr>
            <w:color w:val="0000EE"/>
            <w:u w:val="single"/>
          </w:rPr>
          <w:t>1Rs 17.19</w:t>
        </w:r>
      </w:hyperlink>
      <w:r>
        <w:t>). Os telhados planos das casas forneciam espaço adicional para dormir e recreação para famílias com muitos membros. A lei mosaica exigia que esses telhados fossem cercados por um parapeito protetor para evitar que as pessoas caíssem e morressem (</w:t>
      </w:r>
      <w:hyperlink r:id="rId1064">
        <w:r>
          <w:rPr>
            <w:color w:val="0000EE"/>
            <w:u w:val="single"/>
          </w:rPr>
          <w:t>Dt 22.8</w:t>
        </w:r>
      </w:hyperlink>
      <w:r>
        <w:t>).</w:t>
      </w:r>
    </w:p>
    <w:p>
      <w:r/>
      <w:r>
        <w:t>Templo de Salomão</w:t>
      </w:r>
    </w:p>
    <w:p>
      <w:r/>
      <w:r>
        <w:t>Provavelmente a peça mais importante da arquitetura israelita foi o templo do Rei Salomão. O edifício estava localizado no local onde Abraão supostamente ofereceu seu filho Isaque (</w:t>
      </w:r>
      <w:hyperlink r:id="rId182">
        <w:r>
          <w:rPr>
            <w:color w:val="0000EE"/>
            <w:u w:val="single"/>
          </w:rPr>
          <w:t>Gn 22</w:t>
        </w:r>
      </w:hyperlink>
      <w:r>
        <w:t>). Levou sete anos e meio para construir e foi notável tanto pela sua beleza quanto pelo seu propósito. O plano do templo era semelhante ao do tabernáculo, exceto que as dimensões foram dobradas e a altura foi triplicada. As paredes eram feitas de pedra revestida de ouro (</w:t>
      </w:r>
      <w:hyperlink r:id="rId2599">
        <w:r>
          <w:rPr>
            <w:color w:val="0000EE"/>
            <w:u w:val="single"/>
          </w:rPr>
          <w:t>1Rs 6.22</w:t>
        </w:r>
      </w:hyperlink>
      <w:r>
        <w:t>), com ouro também cobrindo os tetos e o chão. A divisão entre o Santo dos Santos e o Lugar Santo era feita de madeira de cedro coberta de ouro. A entrada do Santo dos Santos consistia em uma porta dupla feita de madeira de oliveira esculpida revestida com ouro. A porta ficava aberta, mas era velada. Fora do templo havia dois pátios, um pátio interno para os sacerdotes e um pátio externo para o povo.</w:t>
      </w:r>
    </w:p>
    <w:p>
      <w:r/>
      <w:r>
        <w:t>A falta de expertise em construção em Israel obrigou Salomão a contratar trabalhadores fenícios. O resultado foi uma estrutura tipicamente fenícia, cujo plano de construção se assemelhava muito ao de uma capela cananeia do século VIII a.C. escavada em Tell Tainat, na Síria. Colunas e pórticos eram sem dúvida uma característica do templo de Salomão, embora a função exata dos pilares independentes chamados Jaquim e Boaz ainda esteja longe de ser certa. A alvenaria cuidadosamente vestida parece ter aparecido em Israel inicialmente na época de Salomão; excelentes exemplares de pedra talhada e quadrada foram recuperados de Samaria. O sítio samaritano, junto com Megido, também forneceu exemplos interessantes de um capitel de pilastra decorado que derivou seu design de representações artísticas cananeias.</w:t>
      </w:r>
    </w:p>
    <w:p>
      <w:r/>
      <w:r>
        <w:t>Quando Babilônia derrubou Jerusalém e arrasou a cidade em 586 a.C., o templo foi saqueado de sua riqueza e queimado até o chão. Depois que Israel retornou do cativeiro, o templo foi reconstruído, com a fundação sendo lançada em 525 a.C. No entanto, esse segundo templo era muito menos magnífico do que o de Salomão e estava em grande necessidade de reparo na época do Rei Herodes da Judeia (37–4 a.C.).</w:t>
      </w:r>
    </w:p>
    <w:p>
      <w:r/>
      <w:r>
        <w:t>Embora a tradição do AT dê considerável destaque ao templo de Salomão e exalte sua grandiosidade, o edifício era na verdade um anexo ao palácio real, servindo como uma capela. Somente no período pós-exílico o templo foi libertado das associações reais para se tornar um santuário independente onde as pessoas podiam observar os rituais prescritos. Tanto os templos pré-exílicos quanto os pós-exílicos eram bastante pequenos e estreitos em suas dimensões, sua largura sendo limitada pelo comprimento das vigas de madeira disponíveis para fins de cobertura. A única maneira de ampliar tal edifício era da maneira usual do Oriente Próximo, anexando salas adicionais ao exterior.</w:t>
      </w:r>
    </w:p>
    <w:p>
      <w:pPr>
        <w:pStyle w:val="Heading4"/>
      </w:pPr>
      <w:r>
        <w:t>Arquitetura do Novo Testamento</w:t>
      </w:r>
    </w:p>
    <w:p>
      <w:r/>
      <w:r>
        <w:t>A arquitetura dos tempos do NT consistia em estruturas gregas e romanas, já que esses governantes haviam dominado Israel mais recentemente. As cidades gregas eram modelos arquitetônicos, contendo ruas planejadas, arcos, teatros, banhos públicos, templos e um mercado central chamado ágora</w:t>
      </w:r>
      <w:r>
        <w:rPr>
          <w:i/>
        </w:rPr>
        <w:t>.</w:t>
      </w:r>
      <w:r>
        <w:t xml:space="preserve"> As casas judaicas, no entanto, continuavam pequenas, com telhados planos sobre quartos voltados para um pátio.</w:t>
      </w:r>
    </w:p>
    <w:p>
      <w:r/>
      <w:r>
        <w:t>Durante a dominação romana, Herodes, o Grande (37–4 a.C.) construiu algumas estruturas notáveis, incluindo aquedutos, cisternas, masmorras, palácios e cidades inteiras (por exemplo, Cesareia). Sua maior obra foi a reconstrução do templo, uma estrutura notável que levou 83 anos para ser concluída. Durou em seu estado completo apenas seis anos antes de ser destruído por Tito em 70 d.C.</w:t>
      </w:r>
    </w:p>
    <w:p>
      <w:r/>
      <w:r>
        <w:t xml:space="preserve">O templo de Herodes conseguiu misturar o antigo com o novo. Embora parecesse incorporar as últimas tendências arquitetônicas helenísticas em suas colunatas, colunas de mármore e fachadas, ainda estava firmemente enraizado nas tradições da Fenícia. A estrutura herodiana foi uma ampliação e, até certo ponto, uma reconstrução do templo do século VI a.C. Uma série de tribunais e pórticos cercavam o santuário reconstruído, que recebia uma ilusão de grandeza por meio de uma entrada ampliada. No meio daquela varanda havia uma porta enorme que dava acesso à porta interna muito menor do próprio santuário. Infelizmente, nada do próprio edifício sobreviveu à destruição de 70 d.C., deixando-nos quase completamente dependentes do relato de Josefo. </w:t>
      </w:r>
      <w:r>
        <w:rPr>
          <w:i/>
        </w:rPr>
        <w:t>Veja</w:t>
      </w:r>
      <w:r>
        <w:t xml:space="preserve"> </w:t>
      </w:r>
      <w:r>
        <w:t>Cidade</w:t>
      </w:r>
      <w:r>
        <w:t xml:space="preserve">; </w:t>
      </w:r>
      <w:r>
        <w:t>Casas e Moradias</w:t>
      </w:r>
      <w:r>
        <w:t xml:space="preserve">; </w:t>
      </w:r>
      <w:r>
        <w:t>Templo</w:t>
      </w:r>
      <w:r>
        <w:t>.</w:t>
      </w:r>
      <w:r/>
      <w:r/>
    </w:p>
    <w:p>
      <w:r/>
    </w:p>
    <w:p>
      <w:pPr>
        <w:pStyle w:val="Heading2"/>
      </w:pPr>
      <w:r>
        <w:t>Arrependimento</w:t>
      </w:r>
      <w:r/>
    </w:p>
    <w:p>
      <w:r/>
      <w:r>
        <w:t>Literalmente uma mudança de mente, não sobre planos, intenções ou crenças individuais, mas sim uma mudança na atitude de alguém sobre Deus. Tal arrependimento acompanha a fé salvadora em Cristo (</w:t>
      </w:r>
      <w:hyperlink r:id="rId2600">
        <w:r>
          <w:rPr>
            <w:color w:val="0000EE"/>
            <w:u w:val="single"/>
          </w:rPr>
          <w:t>Atos 20.21</w:t>
        </w:r>
      </w:hyperlink>
      <w:r>
        <w:t>). É inconsistente e ininteligível supor que alguém poderia crer em Cristo, mas não se arrepender. O arrependimento é um aspecto tão importante da conversão que muitas vezes é enfatizado em vez da fé salvadora, como quando Cristo disse que há alegria no céu entre os anjos por um pecador que se arrepende (</w:t>
      </w:r>
      <w:hyperlink r:id="rId2601">
        <w:r>
          <w:rPr>
            <w:color w:val="0000EE"/>
            <w:u w:val="single"/>
          </w:rPr>
          <w:t>Lc 15.7</w:t>
        </w:r>
      </w:hyperlink>
      <w:r>
        <w:t>). Os apóstolos descreveram a conversão dos gentios a Cristo como Deus lhes concedendo “arrependimento para vida” (</w:t>
      </w:r>
      <w:hyperlink r:id="rId2602">
        <w:r>
          <w:rPr>
            <w:color w:val="0000EE"/>
            <w:u w:val="single"/>
          </w:rPr>
          <w:t>Atos 11.18</w:t>
        </w:r>
      </w:hyperlink>
      <w:r>
        <w:t>). O arrependimento evangélico e a fé em Cristo são, de fato, inseparáveis, embora um convertido possa estar ciente de um aspecto mais do que outro.</w:t>
      </w:r>
    </w:p>
    <w:p>
      <w:r/>
      <w:r>
        <w:t>Tal penitência não é um ato isolado, mas uma disposição da mente, fornecendo um estímulo para o comportamento que está de acordo com a vontade declarada de Deus. O reconhecimento de pecados e deficiências diárias, fornece a ocasião para atos renovados de penitência e para novos exercícios de fé em Cristo. Uma das expressões mais profundas e notáveis de tal penitência é o relato de Davi sobre seu adultério com Bate-Seba (</w:t>
      </w:r>
      <w:hyperlink r:id="rId2603">
        <w:r>
          <w:rPr>
            <w:color w:val="0000EE"/>
            <w:u w:val="single"/>
          </w:rPr>
          <w:t>Sl 51</w:t>
        </w:r>
      </w:hyperlink>
      <w:r>
        <w:t>). Igrejas inteiras são, em ocasião, chamadas para se arrepender (</w:t>
      </w:r>
      <w:hyperlink r:id="rId2604">
        <w:r>
          <w:rPr>
            <w:color w:val="0000EE"/>
            <w:u w:val="single"/>
          </w:rPr>
          <w:t>Ap 2.5</w:t>
        </w:r>
      </w:hyperlink>
      <w:r>
        <w:t xml:space="preserve">). </w:t>
      </w:r>
      <w:hyperlink r:id="rId2605">
        <w:r>
          <w:rPr>
            <w:color w:val="0000EE"/>
            <w:u w:val="single"/>
          </w:rPr>
          <w:t>Segunda a Coríntios 7</w:t>
        </w:r>
      </w:hyperlink>
      <w:r>
        <w:t xml:space="preserve"> contém uma descrição interessante e completa de tal arrependimento coletivo envolvendo os elementos de tristeza pelo pecado e uma decisão determinada de abandonar antigos caminhos pecaminosos e portar-se corretamente. Embora o arrependimento seja muitas vezes acompanhado de sentimentos profundos, não é equivalente a tais sentimentos, mas está enraizado em convicções sobre a própria necessidade do pecador diante de um Deus santo.</w:t>
      </w:r>
    </w:p>
    <w:p>
      <w:r/>
      <w:r>
        <w:t>Tanto João Batista (</w:t>
      </w:r>
      <w:hyperlink r:id="rId2606">
        <w:r>
          <w:rPr>
            <w:color w:val="0000EE"/>
            <w:u w:val="single"/>
          </w:rPr>
          <w:t>Mt 3.2</w:t>
        </w:r>
      </w:hyperlink>
      <w:r>
        <w:t xml:space="preserve">; </w:t>
      </w:r>
      <w:hyperlink r:id="rId2607">
        <w:r>
          <w:rPr>
            <w:color w:val="0000EE"/>
            <w:u w:val="single"/>
          </w:rPr>
          <w:t>Mc 1.4</w:t>
        </w:r>
      </w:hyperlink>
      <w:r>
        <w:t>) quanto Cristo (</w:t>
      </w:r>
      <w:hyperlink r:id="rId2608">
        <w:r>
          <w:rPr>
            <w:color w:val="0000EE"/>
            <w:u w:val="single"/>
          </w:rPr>
          <w:t>Mc 1.15</w:t>
        </w:r>
      </w:hyperlink>
      <w:r>
        <w:t>) eram pregadores do arrependimento, chamando não os justos, mas pecadores a se arrepender. E de acordo com a Grande Comissão (</w:t>
      </w:r>
      <w:hyperlink r:id="rId2609">
        <w:r>
          <w:rPr>
            <w:color w:val="0000EE"/>
            <w:u w:val="single"/>
          </w:rPr>
          <w:t>Lc 24.44–49</w:t>
        </w:r>
      </w:hyperlink>
      <w:r>
        <w:t>), os apóstolos continuaram o mesmo tipo de pregação — começando com a pregação de Pedro no Dia de Pentecostes (</w:t>
      </w:r>
      <w:hyperlink r:id="rId2610">
        <w:r>
          <w:rPr>
            <w:color w:val="0000EE"/>
            <w:u w:val="single"/>
          </w:rPr>
          <w:t>Atos 2</w:t>
        </w:r>
      </w:hyperlink>
      <w:r>
        <w:t xml:space="preserve">), com resultados notáveis. </w:t>
      </w:r>
      <w:r>
        <w:rPr>
          <w:i/>
        </w:rPr>
        <w:t>Veja</w:t>
      </w:r>
      <w:r>
        <w:t xml:space="preserve"> </w:t>
      </w:r>
      <w:r>
        <w:t>Confissão</w:t>
      </w:r>
      <w:r>
        <w:t xml:space="preserve">; </w:t>
      </w:r>
      <w:r>
        <w:t>Conversão</w:t>
      </w:r>
      <w:r>
        <w:t xml:space="preserve">; </w:t>
      </w:r>
      <w:r>
        <w:t>Perdão</w:t>
      </w:r>
      <w:r>
        <w:t xml:space="preserve">; </w:t>
      </w:r>
      <w:r>
        <w:t>Regeneração</w:t>
      </w:r>
      <w:r>
        <w:t xml:space="preserve">; </w:t>
      </w:r>
      <w:r>
        <w:t>Salvação</w:t>
      </w:r>
      <w:r>
        <w:t>.</w:t>
      </w:r>
      <w:r/>
      <w:r/>
    </w:p>
    <w:p>
      <w:r/>
    </w:p>
    <w:p>
      <w:pPr>
        <w:pStyle w:val="Heading2"/>
      </w:pPr>
      <w:r>
        <w:t>Ártemas</w:t>
      </w:r>
      <w:r/>
    </w:p>
    <w:p>
      <w:r/>
      <w:r>
        <w:t>Companheiro no trabalho cristão com Paul, a quem o apóstolo considerava um substituto de Tito na ilha de Creta (</w:t>
      </w:r>
      <w:hyperlink r:id="rId2611">
        <w:r>
          <w:rPr>
            <w:color w:val="0000EE"/>
            <w:u w:val="single"/>
          </w:rPr>
          <w:t>Tt 3.12</w:t>
        </w:r>
      </w:hyperlink>
      <w:r>
        <w:t>). A tradição posterior descreve Ártemas como um bispo de Listra.</w:t>
      </w:r>
      <w:r/>
      <w:r/>
    </w:p>
    <w:p>
      <w:r/>
    </w:p>
    <w:p>
      <w:pPr>
        <w:pStyle w:val="Heading2"/>
      </w:pPr>
      <w:r>
        <w:t>Ártemis</w:t>
      </w:r>
      <w:r/>
    </w:p>
    <w:p>
      <w:r/>
      <w:r>
        <w:t>A deusa grega da lua, dos animais selvagens e da caça. O culto de Ártemis em Éfeso, onde ela é conhecida como Diana pelos romanos (</w:t>
      </w:r>
      <w:hyperlink r:id="rId740">
        <w:r>
          <w:rPr>
            <w:color w:val="0000EE"/>
            <w:u w:val="single"/>
          </w:rPr>
          <w:t>At 19.23–41</w:t>
        </w:r>
      </w:hyperlink>
      <w:r>
        <w:t>), a considerava especialmente como uma deusa da fertilidade.</w:t>
      </w:r>
    </w:p>
    <w:p>
      <w:r/>
      <w:r>
        <w:rPr>
          <w:i/>
        </w:rPr>
        <w:t>Veja também</w:t>
      </w:r>
      <w:r>
        <w:t xml:space="preserve"> </w:t>
      </w:r>
      <w:r>
        <w:t>Diana</w:t>
      </w:r>
      <w:r>
        <w:t>.</w:t>
      </w:r>
      <w:r/>
      <w:r/>
    </w:p>
    <w:p>
      <w:r/>
    </w:p>
    <w:p>
      <w:pPr>
        <w:pStyle w:val="Heading2"/>
      </w:pPr>
      <w:r>
        <w:t>Artífice</w:t>
      </w:r>
      <w:r/>
    </w:p>
    <w:p>
      <w:r/>
      <w:r>
        <w:t xml:space="preserve">Tradução da ARA e NAA da palavra para “artesão” em </w:t>
      </w:r>
      <w:hyperlink r:id="rId2612">
        <w:r>
          <w:rPr>
            <w:color w:val="0000EE"/>
            <w:u w:val="single"/>
          </w:rPr>
          <w:t>Gn 4.22</w:t>
        </w:r>
      </w:hyperlink>
      <w:r>
        <w:t xml:space="preserve">; </w:t>
      </w:r>
      <w:hyperlink r:id="rId2613">
        <w:r>
          <w:rPr>
            <w:color w:val="0000EE"/>
            <w:u w:val="single"/>
          </w:rPr>
          <w:t>1Cr 29.5</w:t>
        </w:r>
      </w:hyperlink>
      <w:r>
        <w:t xml:space="preserve">; </w:t>
      </w:r>
      <w:hyperlink r:id="rId2614">
        <w:r>
          <w:rPr>
            <w:color w:val="0000EE"/>
            <w:u w:val="single"/>
          </w:rPr>
          <w:t>2Cr 34.11</w:t>
        </w:r>
      </w:hyperlink>
      <w:r>
        <w:t xml:space="preserve">; e </w:t>
      </w:r>
      <w:hyperlink r:id="rId2615">
        <w:r>
          <w:rPr>
            <w:color w:val="0000EE"/>
            <w:u w:val="single"/>
          </w:rPr>
          <w:t>Is 3.3</w:t>
        </w:r>
      </w:hyperlink>
      <w:r>
        <w:t xml:space="preserve">. </w:t>
      </w:r>
      <w:r>
        <w:rPr>
          <w:i/>
        </w:rPr>
        <w:t>Veja</w:t>
      </w:r>
      <w:r>
        <w:t xml:space="preserve"> </w:t>
      </w:r>
      <w:r>
        <w:t>Trabalho</w:t>
      </w:r>
      <w:r>
        <w:t>.</w:t>
      </w:r>
      <w:r/>
      <w:r/>
    </w:p>
    <w:p>
      <w:r/>
    </w:p>
    <w:p>
      <w:pPr>
        <w:pStyle w:val="Heading2"/>
      </w:pPr>
      <w:r>
        <w:t>Arvade, Arvadita</w:t>
      </w:r>
      <w:r/>
    </w:p>
    <w:p>
      <w:r/>
      <w:r>
        <w:t>Uma pequena ilha fortificada a cerca de 3,2 quilômetros da costa da Síria (antiga Fenícia). Está a cerca de 48 quilômetros ao norte de Trípoli. Arvade desenvolveu uma grande frota de comércio e combate (um grupo de navios). Uma descrição do poder naval de Tiro menciona a fama dos marinheiros arvaditas (</w:t>
      </w:r>
      <w:hyperlink r:id="rId2616">
        <w:r>
          <w:rPr>
            <w:color w:val="0000EE"/>
            <w:u w:val="single"/>
          </w:rPr>
          <w:t>Ez 27.8,11</w:t>
        </w:r>
      </w:hyperlink>
      <w:r>
        <w:t>).</w:t>
      </w:r>
    </w:p>
    <w:p>
      <w:r/>
      <w:r>
        <w:t>Registros egípcios documentam a queda de Arvade para Tutemés III por volta de 1472 a.C. Registros assírios destacam a importância de Arvade e sua recorrente conquista por potências estrangeiras do século XI ao século VII a.C.</w:t>
      </w:r>
    </w:p>
    <w:p>
      <w:r/>
      <w:r>
        <w:t xml:space="preserve">Arvade foi posteriormente conhecida como Aradus ou Arados, e é referida por esse nome em </w:t>
      </w:r>
      <w:hyperlink r:id="rId2617">
        <w:r>
          <w:rPr>
            <w:color w:val="0000EE"/>
            <w:u w:val="single"/>
          </w:rPr>
          <w:t>1Mc 15.23</w:t>
        </w:r>
      </w:hyperlink>
      <w:r>
        <w:t>. Durante os períodos persa e helenístico, foi um importante porto mediterrâneo, mas depois entrou em declínio novamente. A tribo dos cananeus, os arvaditas, possivelmente tinha uma conexão étnica com a ilha de Arvade (</w:t>
      </w:r>
      <w:hyperlink r:id="rId2618">
        <w:r>
          <w:rPr>
            <w:color w:val="0000EE"/>
            <w:u w:val="single"/>
          </w:rPr>
          <w:t>Gn 10.18</w:t>
        </w:r>
      </w:hyperlink>
      <w:r>
        <w:t xml:space="preserve">; </w:t>
      </w:r>
      <w:hyperlink r:id="rId2619">
        <w:r>
          <w:rPr>
            <w:color w:val="0000EE"/>
            <w:u w:val="single"/>
          </w:rPr>
          <w:t>1Cr 1.16</w:t>
        </w:r>
      </w:hyperlink>
      <w:r>
        <w:t>). Arwad é o nome moderno da ilha.</w:t>
      </w:r>
      <w:r/>
      <w:r/>
    </w:p>
    <w:p>
      <w:r/>
    </w:p>
    <w:p>
      <w:pPr>
        <w:pStyle w:val="Heading2"/>
      </w:pPr>
      <w:r>
        <w:t>Árvore</w:t>
      </w:r>
      <w:r/>
    </w:p>
    <w:p>
      <w:r/>
      <w:r>
        <w:t>Uma árvore é uma planta com um caule lenhoso chamado tronco. A maioria das árvores possui galhos e folhas.</w:t>
      </w:r>
    </w:p>
    <w:p>
      <w:r/>
      <w:r>
        <w:t>A Bíblia menciona muitos tipos de árvores, como oliveira, palmeira e cedro. As árvores eram importantes para alimentação, abrigo, ferramentas e construção. Elas também aparecem frequentemente como símbolos e em histórias na Bíblia (</w:t>
      </w:r>
      <w:hyperlink r:id="rId2620">
        <w:r>
          <w:rPr>
            <w:color w:val="0000EE"/>
            <w:u w:val="single"/>
          </w:rPr>
          <w:t>Gn 2.9</w:t>
        </w:r>
      </w:hyperlink>
      <w:r>
        <w:t xml:space="preserve">; </w:t>
      </w:r>
      <w:hyperlink r:id="rId597">
        <w:r>
          <w:rPr>
            <w:color w:val="0000EE"/>
            <w:u w:val="single"/>
          </w:rPr>
          <w:t>Sl 1.3</w:t>
        </w:r>
      </w:hyperlink>
      <w:r>
        <w:t xml:space="preserve">; </w:t>
      </w:r>
      <w:hyperlink r:id="rId2160">
        <w:r>
          <w:rPr>
            <w:color w:val="0000EE"/>
            <w:u w:val="single"/>
          </w:rPr>
          <w:t>Ap 22.2</w:t>
        </w:r>
      </w:hyperlink>
      <w:r>
        <w:t>).</w:t>
      </w:r>
    </w:p>
    <w:p>
      <w:r/>
      <w:r>
        <w:rPr>
          <w:i/>
        </w:rPr>
        <w:t>Veja</w:t>
      </w:r>
      <w:r>
        <w:t xml:space="preserve"> </w:t>
      </w:r>
      <w:r>
        <w:t>Plantas</w:t>
      </w:r>
      <w:r>
        <w:t xml:space="preserve">; </w:t>
      </w:r>
      <w:r>
        <w:rPr>
          <w:i/>
        </w:rPr>
        <w:t>veja também</w:t>
      </w:r>
      <w:r>
        <w:t xml:space="preserve"> </w:t>
      </w:r>
      <w:r>
        <w:t>Árvore do conhecimento do bem e do mal</w:t>
      </w:r>
      <w:r>
        <w:t xml:space="preserve">; </w:t>
      </w:r>
      <w:r>
        <w:t>Árvore da vida</w:t>
      </w:r>
      <w:r>
        <w:t>.</w:t>
      </w:r>
      <w:r/>
      <w:r/>
    </w:p>
    <w:p>
      <w:r/>
    </w:p>
    <w:p>
      <w:pPr>
        <w:pStyle w:val="Heading2"/>
      </w:pPr>
      <w:r>
        <w:t>Árvore da Vida</w:t>
      </w:r>
      <w:r/>
    </w:p>
    <w:p>
      <w:r/>
      <w:r>
        <w:t>Árvore colocada por Deus no meio do Jardim do Éden (</w:t>
      </w:r>
      <w:hyperlink r:id="rId2621">
        <w:r>
          <w:rPr>
            <w:color w:val="0000EE"/>
            <w:u w:val="single"/>
          </w:rPr>
          <w:t>Gn 2.8–9</w:t>
        </w:r>
      </w:hyperlink>
      <w:r>
        <w:t xml:space="preserve">), uma árvore cujo fruto poderia dar vida eterna. Deus disse a Adão que ele poderia comer de toda árvore do Jardim, exceto da árvore do conhecimento do bem e do mal (v. </w:t>
      </w:r>
      <w:hyperlink r:id="rId294">
        <w:r>
          <w:rPr>
            <w:color w:val="0000EE"/>
            <w:u w:val="single"/>
          </w:rPr>
          <w:t>16–17</w:t>
        </w:r>
      </w:hyperlink>
      <w:r>
        <w:t>). Quando Adão e Eva desobedeceram a Deus comendo da árvore do conhecimento do bem e do mal, foram expulsos do jardim para que não “tomassem também da árvore da vida, e comessem, e vivessem para sempre” (</w:t>
      </w:r>
      <w:hyperlink r:id="rId307">
        <w:r>
          <w:rPr>
            <w:color w:val="0000EE"/>
            <w:u w:val="single"/>
          </w:rPr>
          <w:t>3.22</w:t>
        </w:r>
      </w:hyperlink>
      <w:r>
        <w:t>).</w:t>
      </w:r>
    </w:p>
    <w:p>
      <w:r/>
      <w:r>
        <w:t>A narrativa de Gênesis sugere que Deus pretendia que a árvore da vida fornecesse a Adão e Eva um símbolo de vida em comunhão com e dependência dele. A vida humana, distinguida da dos animais, é muito mais do que meramente biológica; é também espiritual — encontra seu cumprimento mais profundo em comunhão com Deus. A vida na plenitude de suas dimensões físicas e espirituais, no entanto, poderia permanecer com uma pessoa apenas enquanto ela permanecesse obediente ao mandamento de Deus (</w:t>
      </w:r>
      <w:hyperlink r:id="rId2622">
        <w:r>
          <w:rPr>
            <w:color w:val="0000EE"/>
            <w:u w:val="single"/>
          </w:rPr>
          <w:t>Gn 2.17</w:t>
        </w:r>
      </w:hyperlink>
      <w:r>
        <w:t xml:space="preserve">). Além de Gênesis, as únicas outras ocorrências no AT da frase “árvore da vida” são encontradas em Provérbios (citados aqui da ARC), onde simboliza o enriquecimento da vida de várias maneiras. Em </w:t>
      </w:r>
      <w:hyperlink r:id="rId2623">
        <w:r>
          <w:rPr>
            <w:color w:val="0000EE"/>
            <w:u w:val="single"/>
          </w:rPr>
          <w:t>Provérbios 3.18</w:t>
        </w:r>
      </w:hyperlink>
      <w:r>
        <w:t xml:space="preserve">, a sabedoria é referida como “uma árvore da vida para aqueles que a seguram”; em </w:t>
      </w:r>
      <w:hyperlink r:id="rId2624">
        <w:r>
          <w:rPr>
            <w:color w:val="0000EE"/>
            <w:u w:val="single"/>
          </w:rPr>
          <w:t>11.30</w:t>
        </w:r>
      </w:hyperlink>
      <w:r>
        <w:t xml:space="preserve">, “o fruto do justo é uma árvore da vida”; em </w:t>
      </w:r>
      <w:hyperlink r:id="rId2625">
        <w:r>
          <w:rPr>
            <w:color w:val="0000EE"/>
            <w:u w:val="single"/>
          </w:rPr>
          <w:t>13.12</w:t>
        </w:r>
      </w:hyperlink>
      <w:r>
        <w:t xml:space="preserve">, um desejo realizado é como “uma árvore da vida”; e em </w:t>
      </w:r>
      <w:hyperlink r:id="rId2626">
        <w:r>
          <w:rPr>
            <w:color w:val="0000EE"/>
            <w:u w:val="single"/>
          </w:rPr>
          <w:t>15.4</w:t>
        </w:r>
      </w:hyperlink>
      <w:r>
        <w:t>, “uma língua gentil é uma árvore da vida”.</w:t>
      </w:r>
    </w:p>
    <w:p>
      <w:r/>
      <w:r>
        <w:t>O livro de Apocalipse contém as únicas referências à árvore da vida no NT (</w:t>
      </w:r>
      <w:hyperlink r:id="rId2166">
        <w:r>
          <w:rPr>
            <w:color w:val="0000EE"/>
            <w:u w:val="single"/>
          </w:rPr>
          <w:t>Ap 2.7</w:t>
        </w:r>
      </w:hyperlink>
      <w:r>
        <w:t xml:space="preserve">; </w:t>
      </w:r>
      <w:hyperlink r:id="rId2627">
        <w:r>
          <w:rPr>
            <w:color w:val="0000EE"/>
            <w:u w:val="single"/>
          </w:rPr>
          <w:t>22.2,14,19</w:t>
        </w:r>
      </w:hyperlink>
      <w:r>
        <w:t xml:space="preserve">). A Bíblia começa e termina com um Paraíso no meio do qual está uma árvore da vida. O caminho para a árvore da vida, que foi fechado em </w:t>
      </w:r>
      <w:hyperlink r:id="rId2628">
        <w:r>
          <w:rPr>
            <w:color w:val="0000EE"/>
            <w:u w:val="single"/>
          </w:rPr>
          <w:t>Gênesis 3</w:t>
        </w:r>
      </w:hyperlink>
      <w:r>
        <w:t xml:space="preserve">, está aberto novamente para o povo crente de Deus. Isso foi possível pelo segundo Adão, Jesus Cristo. Aqueles que lavaram suas vestes no sangue de Cristo (cf. </w:t>
      </w:r>
      <w:hyperlink r:id="rId2629">
        <w:r>
          <w:rPr>
            <w:color w:val="0000EE"/>
            <w:u w:val="single"/>
          </w:rPr>
          <w:t>Ap 7.14</w:t>
        </w:r>
      </w:hyperlink>
      <w:r>
        <w:t>) e buscaram o perdão de seus pecados através da obra redentora de Cristo, recebem o direito à árvore da vida (</w:t>
      </w:r>
      <w:hyperlink r:id="rId2630">
        <w:r>
          <w:rPr>
            <w:color w:val="0000EE"/>
            <w:u w:val="single"/>
          </w:rPr>
          <w:t>22.14</w:t>
        </w:r>
      </w:hyperlink>
      <w:r>
        <w:t>), mas os desobedientes não terão acesso a ela.</w:t>
      </w:r>
    </w:p>
    <w:p>
      <w:r/>
      <w:r>
        <w:rPr>
          <w:i/>
        </w:rPr>
        <w:t>Veja também</w:t>
      </w:r>
      <w:r>
        <w:t xml:space="preserve"> </w:t>
      </w:r>
      <w:r>
        <w:t>Adão (Pessoa)</w:t>
      </w:r>
      <w:r>
        <w:t xml:space="preserve">; </w:t>
      </w:r>
      <w:r>
        <w:t>Eva</w:t>
      </w:r>
      <w:r>
        <w:t xml:space="preserve">; </w:t>
      </w:r>
      <w:r>
        <w:t>Queda do homem</w:t>
      </w:r>
      <w:r>
        <w:t xml:space="preserve">; </w:t>
      </w:r>
      <w:r>
        <w:t>Jardim do Éden</w:t>
      </w:r>
      <w:r>
        <w:t xml:space="preserve">; </w:t>
      </w:r>
      <w:r>
        <w:t>Árvore do conhecimento do bem e do mal</w:t>
      </w:r>
      <w:r>
        <w:t>.</w:t>
      </w:r>
      <w:r/>
      <w:r/>
    </w:p>
    <w:p>
      <w:r/>
    </w:p>
    <w:p>
      <w:pPr>
        <w:pStyle w:val="Heading2"/>
      </w:pPr>
      <w:r>
        <w:t>Árvore de Estoraque</w:t>
      </w:r>
      <w:r/>
    </w:p>
    <w:p>
      <w:r/>
      <w:r>
        <w:t>Uma árvore pequena com galhos rígidos. Era usada para fazer incenso. Estoraque era extraído dela (</w:t>
      </w:r>
      <w:hyperlink r:id="rId2631">
        <w:r>
          <w:rPr>
            <w:color w:val="0000EE"/>
            <w:u w:val="single"/>
          </w:rPr>
          <w:t>Êx 30.34</w:t>
        </w:r>
      </w:hyperlink>
      <w:r>
        <w:t>).</w:t>
      </w:r>
    </w:p>
    <w:p>
      <w:r/>
      <w:r>
        <w:rPr>
          <w:i/>
        </w:rPr>
        <w:t>Veja</w:t>
      </w:r>
      <w:r>
        <w:t xml:space="preserve"> </w:t>
      </w:r>
      <w:r>
        <w:t>Plantas</w:t>
      </w:r>
      <w:r>
        <w:t>.</w:t>
      </w:r>
      <w:r/>
      <w:r/>
    </w:p>
    <w:p>
      <w:r/>
    </w:p>
    <w:p>
      <w:pPr>
        <w:pStyle w:val="Heading2"/>
      </w:pPr>
      <w:r>
        <w:t>Árvore do conhecimento do bem e do mal</w:t>
      </w:r>
      <w:r/>
    </w:p>
    <w:p>
      <w:r/>
      <w:r>
        <w:t>Árvore proibida no Éden, cujo fruto conferiu conhecimento e subsequente morte, ou seja, separação de Deus e morte (</w:t>
      </w:r>
      <w:hyperlink r:id="rId2632">
        <w:r>
          <w:rPr>
            <w:color w:val="0000EE"/>
            <w:u w:val="single"/>
          </w:rPr>
          <w:t>Gn 2.9,15–17</w:t>
        </w:r>
      </w:hyperlink>
      <w:r>
        <w:t xml:space="preserve">; </w:t>
      </w:r>
      <w:hyperlink r:id="rId2628">
        <w:r>
          <w:rPr>
            <w:color w:val="0000EE"/>
            <w:u w:val="single"/>
          </w:rPr>
          <w:t>3.1–24</w:t>
        </w:r>
      </w:hyperlink>
      <w:r>
        <w:t>). A serpente tentadora prometeu a Eva igualdade com Deus se ela comesse o fruto. O resultado de Eva e Adão comerem desta árvore foi que eles de fato alcançaram o “conhecimento do bem e do mal”. De acordo com o uso da expressão “conhecer o bem e o mal” no restante da Bíblia (</w:t>
      </w:r>
      <w:hyperlink r:id="rId2633">
        <w:r>
          <w:rPr>
            <w:color w:val="0000EE"/>
            <w:u w:val="single"/>
          </w:rPr>
          <w:t>Dt 1.39</w:t>
        </w:r>
      </w:hyperlink>
      <w:r>
        <w:t xml:space="preserve">; </w:t>
      </w:r>
      <w:hyperlink r:id="rId2634">
        <w:r>
          <w:rPr>
            <w:color w:val="0000EE"/>
            <w:u w:val="single"/>
          </w:rPr>
          <w:t>Is 7.15–16</w:t>
        </w:r>
      </w:hyperlink>
      <w:r>
        <w:t xml:space="preserve">; </w:t>
      </w:r>
      <w:hyperlink r:id="rId2635">
        <w:r>
          <w:rPr>
            <w:color w:val="0000EE"/>
            <w:u w:val="single"/>
          </w:rPr>
          <w:t>Hb 5.14</w:t>
        </w:r>
      </w:hyperlink>
      <w:r>
        <w:t>), a ideia é que descreve uma fase na vida de uma criança quando ela passa da inocência para a consciência moral.</w:t>
      </w:r>
    </w:p>
    <w:p>
      <w:r/>
      <w:r>
        <w:t>Acompanhando esse conhecimento está a autoconsciência sexual. Assim, quando Adão e Eva comeram do fruto, eles se tornaram conscientes de sua própria sexualidade. Ao mesmo tempo, eles foram capazes de ver como Deus via e, assim, pensaram que Deus os envergonharia por sua nudez. A história veio a simbolizar a perda da inocência e da companhia divina através da desobediência deliberada na tentativa de alcançar a divindade.</w:t>
      </w:r>
    </w:p>
    <w:p>
      <w:r/>
      <w:r>
        <w:t>O triste resultado de comer o fruto da árvore do conhecimento do bem e do mal foi que Adão e Eva perderam sua inocência e foram posteriormente separados de Deus. O banimento do Éden seguiu-se para evitar que comessem o fruto de uma segunda árvore, “a árvore da vida”, que os teria tornado imortais. Mas eles teriam sido imortais em seu estado caído e pecaminoso. Assim, foi uma bênção bani-los.</w:t>
      </w:r>
    </w:p>
    <w:p>
      <w:r/>
      <w:r>
        <w:rPr>
          <w:i/>
        </w:rPr>
        <w:t>Veja também</w:t>
      </w:r>
      <w:r>
        <w:t xml:space="preserve"> </w:t>
      </w:r>
      <w:r>
        <w:t>Adão (Pessoa)</w:t>
      </w:r>
      <w:r>
        <w:t xml:space="preserve">; </w:t>
      </w:r>
      <w:r>
        <w:t>Eva</w:t>
      </w:r>
      <w:r>
        <w:t xml:space="preserve">; </w:t>
      </w:r>
      <w:r>
        <w:t>Jardim do Éden</w:t>
      </w:r>
      <w:r>
        <w:t xml:space="preserve">; </w:t>
      </w:r>
      <w:r>
        <w:t>Queda do homem</w:t>
      </w:r>
      <w:r>
        <w:t xml:space="preserve">; </w:t>
      </w:r>
      <w:r>
        <w:t>Árvore da Vida</w:t>
      </w:r>
      <w:r>
        <w:t>.</w:t>
      </w:r>
      <w:r/>
      <w:r/>
    </w:p>
    <w:p>
      <w:r/>
    </w:p>
    <w:p>
      <w:pPr>
        <w:pStyle w:val="Heading2"/>
      </w:pPr>
      <w:r>
        <w:t>Asã</w:t>
      </w:r>
      <w:r/>
    </w:p>
    <w:p>
      <w:r/>
      <w:r>
        <w:t>Uma cidade nas colinas do sudoeste da Judeia, um pouco a noroeste de Berseba.</w:t>
      </w:r>
    </w:p>
    <w:p>
      <w:r/>
      <w:r>
        <w:t>Asã estava originalmente na tribo de Judá (</w:t>
      </w:r>
      <w:hyperlink r:id="rId2636">
        <w:r>
          <w:rPr>
            <w:color w:val="0000EE"/>
            <w:u w:val="single"/>
          </w:rPr>
          <w:t>Js 15.42</w:t>
        </w:r>
      </w:hyperlink>
      <w:r>
        <w:t>). Depois, tornou-se parte de Simeão (</w:t>
      </w:r>
      <w:hyperlink r:id="rId640">
        <w:r>
          <w:rPr>
            <w:color w:val="0000EE"/>
            <w:u w:val="single"/>
          </w:rPr>
          <w:t>Js 19.7</w:t>
        </w:r>
      </w:hyperlink>
      <w:r>
        <w:t>). Finalmente, foi dada aos levitas como uma cidade de refúgio (</w:t>
      </w:r>
      <w:hyperlink r:id="rId643">
        <w:r>
          <w:rPr>
            <w:color w:val="0000EE"/>
            <w:u w:val="single"/>
          </w:rPr>
          <w:t>1Cr 6.59</w:t>
        </w:r>
      </w:hyperlink>
      <w:r>
        <w:t>). Davi viajou naquela área com seu grupo de homens que não estavam seguindo a lei (</w:t>
      </w:r>
      <w:hyperlink r:id="rId2637">
        <w:r>
          <w:rPr>
            <w:color w:val="0000EE"/>
            <w:u w:val="single"/>
          </w:rPr>
          <w:t>1Sm 30.30</w:t>
        </w:r>
      </w:hyperlink>
      <w:r>
        <w:t xml:space="preserve">). A cidade de Aim mencionada em </w:t>
      </w:r>
      <w:hyperlink r:id="rId642">
        <w:r>
          <w:rPr>
            <w:color w:val="0000EE"/>
            <w:u w:val="single"/>
          </w:rPr>
          <w:t>Josué 21.16</w:t>
        </w:r>
      </w:hyperlink>
      <w:r>
        <w:t xml:space="preserve"> provavelmente refere-se a Asã (esta é diferente da Aim no nordeste de Canaã, </w:t>
      </w:r>
      <w:hyperlink r:id="rId639">
        <w:r>
          <w:rPr>
            <w:color w:val="0000EE"/>
            <w:u w:val="single"/>
          </w:rPr>
          <w:t>Nm 34.11</w:t>
        </w:r>
      </w:hyperlink>
      <w:r>
        <w:t>).</w:t>
      </w:r>
    </w:p>
    <w:p>
      <w:r/>
      <w:r>
        <w:rPr>
          <w:i/>
        </w:rPr>
        <w:t>Veja</w:t>
      </w:r>
      <w:r>
        <w:t xml:space="preserve"> </w:t>
      </w:r>
      <w:r>
        <w:t>Cidades de Refúgio</w:t>
      </w:r>
      <w:r>
        <w:t>.</w:t>
      </w:r>
      <w:r/>
      <w:r/>
    </w:p>
    <w:p>
      <w:r/>
    </w:p>
    <w:p>
      <w:pPr>
        <w:pStyle w:val="Heading2"/>
      </w:pPr>
      <w:r>
        <w:t>Asafe</w:t>
      </w:r>
      <w:r/>
    </w:p>
    <w:p>
      <w:pPr>
        <w:pStyle w:val="ListNumber"/>
        <w:spacing w:line="240" w:lineRule="auto"/>
        <w:ind w:left="720"/>
      </w:pPr>
      <w:r/>
      <w:r>
        <w:t>O filho de Berequias foi um importante músico do tabernáculo durante o reinado do rei Davi (</w:t>
      </w:r>
      <w:hyperlink r:id="rId2638">
        <w:r>
          <w:rPr>
            <w:color w:val="0000EE"/>
            <w:u w:val="single"/>
          </w:rPr>
          <w:t>1Cr 6.31–32,39</w:t>
        </w:r>
      </w:hyperlink>
      <w:r>
        <w:t>). Davi nomeou Hemã como cantor principal, junto com Etã. Com eles, ele designou Asafe para tocar címbalos de bronze durante a cerimônia em que a arca foi levada para o novo tabernáculo (</w:t>
      </w:r>
      <w:hyperlink r:id="rId2639">
        <w:r>
          <w:rPr>
            <w:color w:val="0000EE"/>
            <w:u w:val="single"/>
          </w:rPr>
          <w:t>1Cr 15.1–19</w:t>
        </w:r>
      </w:hyperlink>
      <w:r>
        <w:t>). Davi encarregou Asafe para "honrar, agradecer e louvar ao Senhor Deus de Israel" (</w:t>
      </w:r>
      <w:hyperlink r:id="rId2640">
        <w:r>
          <w:rPr>
            <w:color w:val="0000EE"/>
            <w:u w:val="single"/>
          </w:rPr>
          <w:t>1Cr 16.4–5</w:t>
        </w:r>
      </w:hyperlink>
      <w:r>
        <w:t>). Asafe deveria liderar Israel em um salmo especial de louvor (</w:t>
      </w:r>
      <w:hyperlink r:id="rId2641">
        <w:r>
          <w:rPr>
            <w:color w:val="0000EE"/>
            <w:u w:val="single"/>
          </w:rPr>
          <w:t>1Cr 16.7–36</w:t>
        </w:r>
      </w:hyperlink>
      <w:r>
        <w:t>).</w:t>
      </w:r>
    </w:p>
    <w:p>
      <w:r/>
      <w:r>
        <w:t>Junto com seus parentes, Asafe ministrava diariamente diante da arca (</w:t>
      </w:r>
      <w:hyperlink r:id="rId2642">
        <w:r>
          <w:rPr>
            <w:color w:val="0000EE"/>
            <w:u w:val="single"/>
          </w:rPr>
          <w:t>1Cr 16.37</w:t>
        </w:r>
      </w:hyperlink>
      <w:r>
        <w:t xml:space="preserve">; </w:t>
      </w:r>
      <w:hyperlink r:id="rId2643">
        <w:r>
          <w:rPr>
            <w:color w:val="0000EE"/>
            <w:u w:val="single"/>
          </w:rPr>
          <w:t>25.6,9</w:t>
        </w:r>
      </w:hyperlink>
      <w:r>
        <w:t xml:space="preserve">; </w:t>
      </w:r>
      <w:hyperlink r:id="rId2644">
        <w:r>
          <w:rPr>
            <w:color w:val="0000EE"/>
            <w:u w:val="single"/>
          </w:rPr>
          <w:t>1Ed 1.15</w:t>
        </w:r>
      </w:hyperlink>
      <w:r>
        <w:t xml:space="preserve">; </w:t>
      </w:r>
      <w:hyperlink r:id="rId2645">
        <w:r>
          <w:rPr>
            <w:color w:val="0000EE"/>
            <w:u w:val="single"/>
          </w:rPr>
          <w:t>5.27,59</w:t>
        </w:r>
      </w:hyperlink>
      <w:r>
        <w:t>). Ele também foi descrito como o profeta particular de Davi (</w:t>
      </w:r>
      <w:hyperlink r:id="rId2646">
        <w:r>
          <w:rPr>
            <w:color w:val="0000EE"/>
            <w:u w:val="single"/>
          </w:rPr>
          <w:t>1Cr 25.1–2</w:t>
        </w:r>
      </w:hyperlink>
      <w:r>
        <w:t xml:space="preserve">). O nome de Asafe aparece nas inscrições dos </w:t>
      </w:r>
      <w:hyperlink r:id="rId2647">
        <w:r>
          <w:rPr>
            <w:color w:val="0000EE"/>
            <w:u w:val="single"/>
          </w:rPr>
          <w:t>Salmo 50</w:t>
        </w:r>
      </w:hyperlink>
      <w:r>
        <w:t xml:space="preserve"> e </w:t>
      </w:r>
      <w:hyperlink r:id="rId2648">
        <w:r>
          <w:rPr>
            <w:color w:val="0000EE"/>
            <w:u w:val="single"/>
          </w:rPr>
          <w:t>73–83</w:t>
        </w:r>
      </w:hyperlink>
      <w:r>
        <w:t xml:space="preserve"> e no grupo que ele estabeleceu, chamada "os filhos de Asafe" (</w:t>
      </w:r>
      <w:hyperlink r:id="rId2649">
        <w:r>
          <w:rPr>
            <w:color w:val="0000EE"/>
            <w:u w:val="single"/>
          </w:rPr>
          <w:t>1Cr 25.1</w:t>
        </w:r>
      </w:hyperlink>
      <w:r>
        <w:t xml:space="preserve">; </w:t>
      </w:r>
      <w:hyperlink r:id="rId2650">
        <w:r>
          <w:rPr>
            <w:color w:val="0000EE"/>
            <w:u w:val="single"/>
          </w:rPr>
          <w:t>2Cr 35.15</w:t>
        </w:r>
      </w:hyperlink>
      <w:r>
        <w:t xml:space="preserve">; </w:t>
      </w:r>
      <w:hyperlink r:id="rId2651">
        <w:r>
          <w:rPr>
            <w:color w:val="0000EE"/>
            <w:u w:val="single"/>
          </w:rPr>
          <w:t>Ed 2.41</w:t>
        </w:r>
      </w:hyperlink>
      <w:r>
        <w:t xml:space="preserve">; </w:t>
      </w:r>
      <w:hyperlink r:id="rId2652">
        <w:r>
          <w:rPr>
            <w:color w:val="0000EE"/>
            <w:u w:val="single"/>
          </w:rPr>
          <w:t>Ne 7.44</w:t>
        </w:r>
      </w:hyperlink>
      <w:r>
        <w:t xml:space="preserve">; </w:t>
      </w:r>
      <w:hyperlink r:id="rId2653">
        <w:r>
          <w:rPr>
            <w:color w:val="0000EE"/>
            <w:u w:val="single"/>
          </w:rPr>
          <w:t>11.22</w:t>
        </w:r>
      </w:hyperlink>
      <w:r>
        <w:t>).</w:t>
      </w:r>
    </w:p>
    <w:p>
      <w:pPr>
        <w:pStyle w:val="ListNumber"/>
        <w:spacing w:line="240" w:lineRule="auto"/>
        <w:ind w:left="720"/>
      </w:pPr>
      <w:r/>
      <w:r>
        <w:t>Pai de Joá. Joá era o cronista (historiador da corte ou escriba real) na administração do rei Ezequias (</w:t>
      </w:r>
      <w:hyperlink r:id="rId2654">
        <w:r>
          <w:rPr>
            <w:color w:val="0000EE"/>
            <w:u w:val="single"/>
          </w:rPr>
          <w:t>2Rs 18.18,27</w:t>
        </w:r>
      </w:hyperlink>
      <w:r>
        <w:t xml:space="preserve">; </w:t>
      </w:r>
      <w:hyperlink r:id="rId2655">
        <w:r>
          <w:rPr>
            <w:color w:val="0000EE"/>
            <w:u w:val="single"/>
          </w:rPr>
          <w:t>Is 36.22</w:t>
        </w:r>
      </w:hyperlink>
      <w:r>
        <w:t>).</w:t>
      </w:r>
    </w:p>
    <w:p>
      <w:pPr>
        <w:pStyle w:val="ListNumber"/>
        <w:spacing w:line="240" w:lineRule="auto"/>
        <w:ind w:left="720"/>
      </w:pPr>
      <w:r/>
      <w:r>
        <w:t>Guarda do templo ou porteiro, aparentemente a mesma pessoa que Ebiasafe (</w:t>
      </w:r>
      <w:hyperlink r:id="rId2656">
        <w:r>
          <w:rPr>
            <w:color w:val="0000EE"/>
            <w:u w:val="single"/>
          </w:rPr>
          <w:t>1Cr 9.18</w:t>
        </w:r>
      </w:hyperlink>
      <w:r>
        <w:t>).</w:t>
      </w:r>
    </w:p>
    <w:p>
      <w:pPr>
        <w:pStyle w:val="ListNumber"/>
        <w:spacing w:line="240" w:lineRule="auto"/>
        <w:ind w:left="720"/>
      </w:pPr>
      <w:r/>
      <w:r>
        <w:t>Um guardião da floresta do rei na Palestina sob Artaxerxes I Longímano (</w:t>
      </w:r>
      <w:hyperlink r:id="rId2657">
        <w:r>
          <w:rPr>
            <w:color w:val="0000EE"/>
            <w:u w:val="single"/>
          </w:rPr>
          <w:t>Ne 2.8</w:t>
        </w:r>
      </w:hyperlink>
      <w:r>
        <w:t>). Neemias pediu a este Asafe madeira para reconstruir o muro, os portões e as estruturas de Jerusalém.</w:t>
      </w:r>
      <w:r/>
      <w:r/>
    </w:p>
    <w:p>
      <w:r/>
    </w:p>
    <w:p>
      <w:pPr>
        <w:pStyle w:val="Heading2"/>
      </w:pPr>
      <w:r>
        <w:t>Asbel, Asbelitas</w:t>
      </w:r>
      <w:r/>
    </w:p>
    <w:p>
      <w:r/>
      <w:r>
        <w:t>O filho de Benjamim que se mudou para o Egito com seu avô Jacó (</w:t>
      </w:r>
      <w:hyperlink r:id="rId661">
        <w:r>
          <w:rPr>
            <w:color w:val="0000EE"/>
            <w:u w:val="single"/>
          </w:rPr>
          <w:t>Gn 46.21</w:t>
        </w:r>
      </w:hyperlink>
      <w:r>
        <w:t xml:space="preserve">; </w:t>
      </w:r>
      <w:hyperlink r:id="rId660">
        <w:r>
          <w:rPr>
            <w:color w:val="0000EE"/>
            <w:u w:val="single"/>
          </w:rPr>
          <w:t>1Cr 8.1</w:t>
        </w:r>
      </w:hyperlink>
      <w:r>
        <w:t>). Os asbelitas, seus descendentes, foram incluídos no censo de Moisés no deserto (</w:t>
      </w:r>
      <w:hyperlink r:id="rId659">
        <w:r>
          <w:rPr>
            <w:color w:val="0000EE"/>
            <w:u w:val="single"/>
          </w:rPr>
          <w:t>Nm 26.38</w:t>
        </w:r>
      </w:hyperlink>
      <w:r>
        <w:t>). Asbel também é chamado de Jediael (</w:t>
      </w:r>
      <w:hyperlink r:id="rId2658">
        <w:r>
          <w:rPr>
            <w:color w:val="0000EE"/>
            <w:u w:val="single"/>
          </w:rPr>
          <w:t>1Cr 7.6</w:t>
        </w:r>
      </w:hyperlink>
      <w:r>
        <w:t>).</w:t>
      </w:r>
      <w:r/>
      <w:r/>
    </w:p>
    <w:p>
      <w:r/>
    </w:p>
    <w:p>
      <w:pPr>
        <w:pStyle w:val="Heading2"/>
      </w:pPr>
      <w:r>
        <w:t>Ascensão de Cristo</w:t>
      </w:r>
      <w:r/>
    </w:p>
    <w:p>
      <w:r/>
      <w:r>
        <w:t>A ascensão é o evento em que Jesus subiu ao céu após sua ressurreição dos mortos.</w:t>
      </w:r>
    </w:p>
    <w:p>
      <w:pPr>
        <w:pStyle w:val="Heading3"/>
      </w:pPr>
      <w:r>
        <w:t>O que a Bíblia diz sobre a ascensão de Cristo?</w:t>
      </w:r>
    </w:p>
    <w:p>
      <w:r/>
      <w:r>
        <w:t xml:space="preserve">Entre os escritores do Novo Testamento, apenas Lucas descreveu a ascensão de Jesus. </w:t>
      </w:r>
      <w:hyperlink r:id="rId2659">
        <w:r>
          <w:rPr>
            <w:color w:val="0000EE"/>
            <w:u w:val="single"/>
          </w:rPr>
          <w:t>Atos 1.9–11</w:t>
        </w:r>
      </w:hyperlink>
      <w:r>
        <w:t xml:space="preserve"> descreve uma cena em que Jesus foi "elevado" e desapareceu em uma nuvem. </w:t>
      </w:r>
      <w:hyperlink r:id="rId2660">
        <w:r>
          <w:rPr>
            <w:color w:val="0000EE"/>
            <w:u w:val="single"/>
          </w:rPr>
          <w:t>Lucas 24.50–51</w:t>
        </w:r>
      </w:hyperlink>
      <w:r>
        <w:t xml:space="preserve"> e </w:t>
      </w:r>
      <w:hyperlink r:id="rId2661">
        <w:r>
          <w:rPr>
            <w:color w:val="0000EE"/>
            <w:u w:val="single"/>
          </w:rPr>
          <w:t>Atos 1.12</w:t>
        </w:r>
      </w:hyperlink>
      <w:r>
        <w:t xml:space="preserve"> situam esse evento final perto de Betânia. Betânia está a leste de Jerusalém no Monte das Oliveiras.</w:t>
      </w:r>
    </w:p>
    <w:p>
      <w:r/>
      <w:r>
        <w:t>Mateus terminou sua história antes do dia de Pentecostes. João não descreveu a ascensão diretamente, mas incluiu as próprias palavras de Jesus sobre isso. Jesus disse que partiria, mas retornaria mais tarde (</w:t>
      </w:r>
      <w:hyperlink r:id="rId2662">
        <w:r>
          <w:rPr>
            <w:color w:val="0000EE"/>
            <w:u w:val="single"/>
          </w:rPr>
          <w:t>Jo 21.22</w:t>
        </w:r>
      </w:hyperlink>
      <w:r>
        <w:t>). Ele não pode ser tocado, pois deve ascender (</w:t>
      </w:r>
      <w:hyperlink r:id="rId2663">
        <w:r>
          <w:rPr>
            <w:color w:val="0000EE"/>
            <w:u w:val="single"/>
          </w:rPr>
          <w:t>20.17</w:t>
        </w:r>
      </w:hyperlink>
      <w:r>
        <w:t>). Muitos acreditarão sem tê-lo visto (</w:t>
      </w:r>
      <w:hyperlink r:id="rId2664">
        <w:r>
          <w:rPr>
            <w:color w:val="0000EE"/>
            <w:u w:val="single"/>
          </w:rPr>
          <w:t>20.29</w:t>
        </w:r>
      </w:hyperlink>
      <w:r>
        <w:t>).</w:t>
      </w:r>
    </w:p>
    <w:p>
      <w:r/>
      <w:r>
        <w:t>Os Evangelhos nos dizem três coisas principais:</w:t>
      </w:r>
    </w:p>
    <w:p>
      <w:pPr>
        <w:pStyle w:val="ListNumber"/>
        <w:spacing w:line="240" w:lineRule="auto"/>
        <w:ind w:left="720"/>
      </w:pPr>
      <w:r/>
      <w:r>
        <w:t>Após ressuscitar, Jesus apareceu aos seus discípulos;</w:t>
      </w:r>
    </w:p>
    <w:p>
      <w:pPr>
        <w:pStyle w:val="ListNumber"/>
        <w:spacing w:line="240" w:lineRule="auto"/>
        <w:ind w:left="720"/>
      </w:pPr>
      <w:r/>
      <w:r>
        <w:t>Em determinado momento, essas aparições cessaram; e</w:t>
      </w:r>
    </w:p>
    <w:p>
      <w:pPr>
        <w:pStyle w:val="ListNumber"/>
        <w:spacing w:line="240" w:lineRule="auto"/>
        <w:ind w:left="720"/>
      </w:pPr>
      <w:r/>
      <w:r>
        <w:t>Embora Jesus não esteja fisicamente presente, ele está espiritualmente presente com sua igreja.</w:t>
      </w:r>
    </w:p>
    <w:p>
      <w:r/>
      <w:r>
        <w:t>Outros escritos do Novo Testamento concordam com isso. O apóstolo Paulo escreveu que Deus ressuscitou Cristo dos mortos “e o fez sentar-se à sua direita nas regiões celestiais” (</w:t>
      </w:r>
      <w:hyperlink r:id="rId2665">
        <w:r>
          <w:rPr>
            <w:color w:val="0000EE"/>
            <w:u w:val="single"/>
          </w:rPr>
          <w:t>Ef 1.20</w:t>
        </w:r>
      </w:hyperlink>
      <w:r>
        <w:t>). O escritor de Hebreus disse: “Ele se assentou à direita da Majestade nas alturas” (</w:t>
      </w:r>
      <w:hyperlink r:id="rId2666">
        <w:r>
          <w:rPr>
            <w:color w:val="0000EE"/>
            <w:u w:val="single"/>
          </w:rPr>
          <w:t>Hb 1.3</w:t>
        </w:r>
      </w:hyperlink>
      <w:r>
        <w:t>).</w:t>
      </w:r>
    </w:p>
    <w:p>
      <w:pPr>
        <w:pStyle w:val="Heading3"/>
      </w:pPr>
      <w:r>
        <w:t>Por que a ascensão é importante?</w:t>
      </w:r>
    </w:p>
    <w:p>
      <w:r/>
      <w:r>
        <w:t>A ascensão é importante por duas razões: o que ela significa para Cristo e o que ela significa para os cristãos.</w:t>
      </w:r>
    </w:p>
    <w:p>
      <w:pPr>
        <w:pStyle w:val="Heading4"/>
      </w:pPr>
      <w:r>
        <w:t>Qual é o significado da ascensão para Cristo?</w:t>
      </w:r>
    </w:p>
    <w:p>
      <w:r/>
      <w:r>
        <w:t xml:space="preserve">Para Cristo, a ascensão é a entrada necessária em sua "glorificação" celestial. Em sua glorificação, ele se senta à direita do Pai até que seus inimigos sejam completamente derrotados. </w:t>
      </w:r>
      <w:hyperlink r:id="rId2667">
        <w:r>
          <w:rPr>
            <w:color w:val="0000EE"/>
            <w:u w:val="single"/>
          </w:rPr>
          <w:t>Salmo 110.1</w:t>
        </w:r>
      </w:hyperlink>
      <w:r>
        <w:t xml:space="preserve"> usa linguagem simbólica para descrever isso: "Senta-te à minha direita até que eu faça dos teus inimigos um estrado para os teus pés". (Este Salmo é o texto do Antigo Testamento mais citado no Novo Testamento.) A ascensão é prova de sua glorificação e sua superioridade sobre heróis do Antigo Testamento como Davi (</w:t>
      </w:r>
      <w:hyperlink r:id="rId2668">
        <w:r>
          <w:rPr>
            <w:color w:val="0000EE"/>
            <w:u w:val="single"/>
          </w:rPr>
          <w:t>At 2.33–36</w:t>
        </w:r>
      </w:hyperlink>
      <w:r>
        <w:t>).</w:t>
      </w:r>
    </w:p>
    <w:p>
      <w:r/>
      <w:r>
        <w:t>Pela sua ascensão, Cristo se eleva sobre todos e preenche tudo (</w:t>
      </w:r>
      <w:hyperlink r:id="rId2669">
        <w:r>
          <w:rPr>
            <w:color w:val="0000EE"/>
            <w:u w:val="single"/>
          </w:rPr>
          <w:t>Ef 4.10</w:t>
        </w:r>
      </w:hyperlink>
      <w:r>
        <w:t>). Em sua ascensão, ele recebe “o nome que está acima de todo nome” (</w:t>
      </w:r>
      <w:hyperlink r:id="rId2670">
        <w:r>
          <w:rPr>
            <w:color w:val="0000EE"/>
            <w:u w:val="single"/>
          </w:rPr>
          <w:t>Fp 2.9–11</w:t>
        </w:r>
      </w:hyperlink>
      <w:r>
        <w:t>). Para o autor do livro de Hebreus, a ascensão também é prova da superioridade de Cristo sobre os anjos. Ele está entronizado enquanto eles são constantemente enviados para servir (</w:t>
      </w:r>
      <w:hyperlink r:id="rId2671">
        <w:r>
          <w:rPr>
            <w:color w:val="0000EE"/>
            <w:u w:val="single"/>
          </w:rPr>
          <w:t>Hb 1.13–14</w:t>
        </w:r>
      </w:hyperlink>
      <w:r>
        <w:t>). Anjos, autoridades e poderes estão todos sujeitos ao Cristo ressurreto (</w:t>
      </w:r>
      <w:hyperlink r:id="rId2672">
        <w:r>
          <w:rPr>
            <w:color w:val="0000EE"/>
            <w:u w:val="single"/>
          </w:rPr>
          <w:t>1Tm 3.16</w:t>
        </w:r>
      </w:hyperlink>
      <w:r>
        <w:t xml:space="preserve">; </w:t>
      </w:r>
      <w:hyperlink r:id="rId2673">
        <w:r>
          <w:rPr>
            <w:color w:val="0000EE"/>
            <w:u w:val="single"/>
          </w:rPr>
          <w:t>1Pe 3.22</w:t>
        </w:r>
      </w:hyperlink>
      <w:r>
        <w:t>).</w:t>
      </w:r>
    </w:p>
    <w:p>
      <w:pPr>
        <w:pStyle w:val="Heading4"/>
      </w:pPr>
      <w:r>
        <w:t>Qual é o significado da ascensão para os cristãos?</w:t>
      </w:r>
    </w:p>
    <w:p>
      <w:r/>
      <w:r>
        <w:t>Para o cristão, a ascensão de Cristo é significativa de quatro maneiras:</w:t>
      </w:r>
    </w:p>
    <w:p>
      <w:pPr>
        <w:pStyle w:val="ListNumber"/>
        <w:spacing w:line="240" w:lineRule="auto"/>
        <w:ind w:left="720"/>
      </w:pPr>
      <w:r/>
      <w:r>
        <w:t>Sem isso, não haveria o dom do Espírito Santo. O Espírito Santo não poderia vir até que Jesus tivesse ascendido e o enviado (</w:t>
      </w:r>
      <w:hyperlink r:id="rId2674">
        <w:r>
          <w:rPr>
            <w:color w:val="0000EE"/>
            <w:u w:val="single"/>
          </w:rPr>
          <w:t>Jo 16.7</w:t>
        </w:r>
      </w:hyperlink>
      <w:r>
        <w:t>). Sem a ascensão, a igreja teria Jesus localmente em um lugar, não presente espiritualmente “onde dois ou três se reunirem” (</w:t>
      </w:r>
      <w:hyperlink r:id="rId2675">
        <w:r>
          <w:rPr>
            <w:color w:val="0000EE"/>
            <w:u w:val="single"/>
          </w:rPr>
          <w:t>Mt 18.20</w:t>
        </w:r>
      </w:hyperlink>
      <w:r>
        <w:t xml:space="preserve">; cp. </w:t>
      </w:r>
      <w:hyperlink r:id="rId2676">
        <w:r>
          <w:rPr>
            <w:color w:val="0000EE"/>
            <w:u w:val="single"/>
          </w:rPr>
          <w:t>28.20</w:t>
        </w:r>
      </w:hyperlink>
      <w:r>
        <w:t>).</w:t>
      </w:r>
    </w:p>
    <w:p>
      <w:pPr>
        <w:pStyle w:val="ListNumber"/>
        <w:spacing w:line="240" w:lineRule="auto"/>
        <w:ind w:left="720"/>
      </w:pPr>
      <w:r/>
      <w:r>
        <w:t>Assim como um Jesus verdadeiramente humano ascendeu ao céu, os seres humanos também podem ascender para lá. Jesus foi "preparar um lugar" para seus seguidores (</w:t>
      </w:r>
      <w:hyperlink r:id="rId2677">
        <w:r>
          <w:rPr>
            <w:color w:val="0000EE"/>
            <w:u w:val="single"/>
          </w:rPr>
          <w:t>Jo 14.2</w:t>
        </w:r>
      </w:hyperlink>
      <w:r>
        <w:t>). A esperança daqueles que estão "em Cristo" é que eles eventualmente ascenderão para estar com ele (</w:t>
      </w:r>
      <w:hyperlink r:id="rId2678">
        <w:r>
          <w:rPr>
            <w:color w:val="0000EE"/>
            <w:u w:val="single"/>
          </w:rPr>
          <w:t>2Co 5.1–10</w:t>
        </w:r>
      </w:hyperlink>
      <w:r>
        <w:t>).</w:t>
      </w:r>
    </w:p>
    <w:p>
      <w:pPr>
        <w:pStyle w:val="ListNumber"/>
        <w:spacing w:line="240" w:lineRule="auto"/>
        <w:ind w:left="720"/>
      </w:pPr>
      <w:r/>
      <w:r>
        <w:t>A ascensão prova que o sacrifício de Cristo está concluído e aceito por Deus. Jesus passou pelos céus (</w:t>
      </w:r>
      <w:hyperlink r:id="rId2679">
        <w:r>
          <w:rPr>
            <w:color w:val="0000EE"/>
            <w:u w:val="single"/>
          </w:rPr>
          <w:t>Hb 4.14</w:t>
        </w:r>
      </w:hyperlink>
      <w:r>
        <w:t>). Ele entrou na presença de Deus (</w:t>
      </w:r>
      <w:hyperlink r:id="rId2680">
        <w:r>
          <w:rPr>
            <w:color w:val="0000EE"/>
            <w:u w:val="single"/>
          </w:rPr>
          <w:t>6.20</w:t>
        </w:r>
      </w:hyperlink>
      <w:r>
        <w:t>). Esta presença é descrita como o Lugar Santíssimo do templo celestial. É o verdadeiro templo do qual o da terra era uma cópia (</w:t>
      </w:r>
      <w:hyperlink r:id="rId2681">
        <w:r>
          <w:rPr>
            <w:color w:val="0000EE"/>
            <w:u w:val="single"/>
          </w:rPr>
          <w:t>9.24</w:t>
        </w:r>
      </w:hyperlink>
      <w:r>
        <w:t>). Cristo ofereceu um único e definitivo sacrifício a Deus que nunca precisa ser repetido (</w:t>
      </w:r>
      <w:hyperlink r:id="rId2682">
        <w:r>
          <w:rPr>
            <w:color w:val="0000EE"/>
            <w:u w:val="single"/>
          </w:rPr>
          <w:t>9.12</w:t>
        </w:r>
      </w:hyperlink>
      <w:r>
        <w:t>). Então Cristo se assentou, mostrando que nenhuma repetição de seu sacrifício é necessária (</w:t>
      </w:r>
      <w:hyperlink r:id="rId2666">
        <w:r>
          <w:rPr>
            <w:color w:val="0000EE"/>
            <w:u w:val="single"/>
          </w:rPr>
          <w:t>1.3</w:t>
        </w:r>
      </w:hyperlink>
      <w:r>
        <w:t xml:space="preserve">; </w:t>
      </w:r>
      <w:hyperlink r:id="rId874">
        <w:r>
          <w:rPr>
            <w:color w:val="0000EE"/>
            <w:u w:val="single"/>
          </w:rPr>
          <w:t>10.12</w:t>
        </w:r>
      </w:hyperlink>
      <w:r>
        <w:t xml:space="preserve">; </w:t>
      </w:r>
      <w:hyperlink r:id="rId2683">
        <w:r>
          <w:rPr>
            <w:color w:val="0000EE"/>
            <w:u w:val="single"/>
          </w:rPr>
          <w:t>12.2</w:t>
        </w:r>
      </w:hyperlink>
      <w:r>
        <w:t>).</w:t>
      </w:r>
    </w:p>
    <w:p>
      <w:pPr>
        <w:pStyle w:val="ListNumber"/>
        <w:spacing w:line="240" w:lineRule="auto"/>
        <w:ind w:left="720"/>
      </w:pPr>
      <w:r/>
      <w:r>
        <w:t>A ascensão significa que há um ser humano no céu que simpatiza com a humanidade e, portanto, pode falar em nome da humanidade (</w:t>
      </w:r>
      <w:hyperlink r:id="rId2684">
        <w:r>
          <w:rPr>
            <w:color w:val="0000EE"/>
            <w:u w:val="single"/>
          </w:rPr>
          <w:t>1Jo 2.1</w:t>
        </w:r>
      </w:hyperlink>
      <w:r>
        <w:t>). Jesus experimentou tudo o que os humanos vivenciam. Ele passou pelo nascimento, crescimento, tentação, sofrimento e morte. Jesus pode servir efetivamente como mediador diante de Deus no céu (</w:t>
      </w:r>
      <w:hyperlink r:id="rId2685">
        <w:r>
          <w:rPr>
            <w:color w:val="0000EE"/>
            <w:u w:val="single"/>
          </w:rPr>
          <w:t>Hb 2.17</w:t>
        </w:r>
      </w:hyperlink>
      <w:r>
        <w:t xml:space="preserve">; </w:t>
      </w:r>
      <w:hyperlink r:id="rId2686">
        <w:r>
          <w:rPr>
            <w:color w:val="0000EE"/>
            <w:u w:val="single"/>
          </w:rPr>
          <w:t>5.7–10</w:t>
        </w:r>
      </w:hyperlink>
      <w:r>
        <w:t>). A ascensão de Cristo assegura à igreja que Deus entende como é ser humano e que os cristãos podem se aproximar dele com confiança em suas orações (</w:t>
      </w:r>
      <w:hyperlink r:id="rId2687">
        <w:r>
          <w:rPr>
            <w:color w:val="0000EE"/>
            <w:u w:val="single"/>
          </w:rPr>
          <w:t>4.14–16</w:t>
        </w:r>
      </w:hyperlink>
      <w:r>
        <w:t>).</w:t>
      </w:r>
    </w:p>
    <w:p>
      <w:r/>
      <w:r>
        <w:t>A ascensão de Cristo é uma parte vital do ensino do Novo Testamento. Ela demonstra a posição exaltada de Cristo e oferece aos cristãos confiança e esperança.</w:t>
      </w:r>
    </w:p>
    <w:p>
      <w:r/>
      <w:r>
        <w:rPr>
          <w:i/>
        </w:rPr>
        <w:t>Veja também</w:t>
      </w:r>
      <w:r>
        <w:t xml:space="preserve"> </w:t>
      </w:r>
      <w:r>
        <w:t>Cristologia</w:t>
      </w:r>
      <w:r>
        <w:t xml:space="preserve">; </w:t>
      </w:r>
      <w:r>
        <w:t>Jesus Cristo, vida e ensinamentos</w:t>
      </w:r>
      <w:r>
        <w:t>.</w:t>
      </w:r>
      <w:r/>
      <w:r/>
    </w:p>
    <w:p>
      <w:r/>
    </w:p>
    <w:p>
      <w:pPr>
        <w:pStyle w:val="Heading2"/>
      </w:pPr>
      <w:r>
        <w:t>Asdode, Asdodita</w:t>
      </w:r>
      <w:r/>
    </w:p>
    <w:p>
      <w:r/>
      <w:r>
        <w:t>Uma das cinco principais cidades dos filisteus, também chamada de "pentápolis". As outras quatro cidades são Gaza, Asquelom, Gate e Ecrom (</w:t>
      </w:r>
      <w:hyperlink r:id="rId2688">
        <w:r>
          <w:rPr>
            <w:color w:val="0000EE"/>
            <w:u w:val="single"/>
          </w:rPr>
          <w:t>Js 13.3</w:t>
        </w:r>
      </w:hyperlink>
      <w:r>
        <w:t>).</w:t>
      </w:r>
    </w:p>
    <w:p>
      <w:r/>
      <w:r>
        <w:t>Estava em uma localização importante, cerca de 4,8 quilômetros para o interior, entre Jope e Gaza, e perto da costa. Seu antigo porto, Asdode Yam, era um importante porto marítimo, posteriormente superando a própria cidade interior. Escavações em Asdode revelaram sua ocupação inicial pelos cananeus, datando do século 17 a.C. Quando os israelitas entraram em Canaã, Asdode estava ocupada pelos anaquins, uma raça gigante (alta) (</w:t>
      </w:r>
      <w:hyperlink r:id="rId2689">
        <w:r>
          <w:rPr>
            <w:color w:val="0000EE"/>
            <w:u w:val="single"/>
          </w:rPr>
          <w:t>Js 11.21</w:t>
        </w:r>
      </w:hyperlink>
      <w:r>
        <w:t>–</w:t>
      </w:r>
      <w:hyperlink r:id="rId2689">
        <w:r>
          <w:rPr>
            <w:color w:val="0000EE"/>
            <w:u w:val="single"/>
          </w:rPr>
          <w:t>22</w:t>
        </w:r>
      </w:hyperlink>
      <w:r>
        <w:t>). Embora tenha sido atribuída à tribo de Judá, não foi inicialmente conquistada (</w:t>
      </w:r>
      <w:hyperlink r:id="rId2690">
        <w:r>
          <w:rPr>
            <w:color w:val="0000EE"/>
            <w:u w:val="single"/>
          </w:rPr>
          <w:t>Js 15.46</w:t>
        </w:r>
      </w:hyperlink>
      <w:r>
        <w:t>–</w:t>
      </w:r>
      <w:hyperlink r:id="rId2690">
        <w:r>
          <w:rPr>
            <w:color w:val="0000EE"/>
            <w:u w:val="single"/>
          </w:rPr>
          <w:t>47</w:t>
        </w:r>
      </w:hyperlink>
      <w:r>
        <w:t>). O povo de Asdode era chamado de asdoditas (</w:t>
      </w:r>
      <w:hyperlink r:id="rId477">
        <w:r>
          <w:rPr>
            <w:color w:val="0000EE"/>
            <w:u w:val="single"/>
          </w:rPr>
          <w:t>Js 13.4</w:t>
        </w:r>
      </w:hyperlink>
      <w:r>
        <w:t xml:space="preserve">; </w:t>
      </w:r>
      <w:hyperlink r:id="rId2691">
        <w:r>
          <w:rPr>
            <w:color w:val="0000EE"/>
            <w:u w:val="single"/>
          </w:rPr>
          <w:t>Ne 4.7</w:t>
        </w:r>
      </w:hyperlink>
      <w:r>
        <w:t>).</w:t>
      </w:r>
    </w:p>
    <w:p>
      <w:r/>
      <w:r>
        <w:t>No século 12 a.C., ocorreu a invasão dos Povos do Mar, incluindo os filisteus, que destruíram Asdode. Posteriormente, a cidade foi reocupada e desenvolvida como uma importante cidade filisteia. Arqueólogos encontraram três camadas de áreas de habitação filisteias em Asdode. Essas descobertas nos revelam como os filisteus viviam.</w:t>
      </w:r>
    </w:p>
    <w:p>
      <w:r/>
      <w:r>
        <w:t>Durante o período de Eli, o sacerdote, os filisteus capturaram a Arca da Aliança e a colocaram no templo de seu deus Dagom, em Asdode, e depois em Gate e Ecrom (</w:t>
      </w:r>
      <w:hyperlink r:id="rId2692">
        <w:r>
          <w:rPr>
            <w:color w:val="0000EE"/>
            <w:u w:val="single"/>
          </w:rPr>
          <w:t>1Sm 5</w:t>
        </w:r>
      </w:hyperlink>
      <w:r>
        <w:t>). Uma praga atingiu todos os lugares para onde a arca era levada, então os governantes filisteus a devolveram com uma oferta de ouro (</w:t>
      </w:r>
      <w:hyperlink r:id="rId2693">
        <w:r>
          <w:rPr>
            <w:color w:val="0000EE"/>
            <w:u w:val="single"/>
          </w:rPr>
          <w:t>1Sm 6.1</w:t>
        </w:r>
      </w:hyperlink>
      <w:r>
        <w:t>–</w:t>
      </w:r>
      <w:hyperlink r:id="rId2693">
        <w:r>
          <w:rPr>
            <w:color w:val="0000EE"/>
            <w:u w:val="single"/>
          </w:rPr>
          <w:t>18</w:t>
        </w:r>
      </w:hyperlink>
      <w:r>
        <w:t>). Apesar de estar sob o controle de Davi e Salomão, Asdode não foi totalmente conquistada até que o rei Uzias, de Judá, iniciou uma guerra contra ela por volta de 792–740 a.C. (</w:t>
      </w:r>
      <w:hyperlink r:id="rId2694">
        <w:r>
          <w:rPr>
            <w:color w:val="0000EE"/>
            <w:u w:val="single"/>
          </w:rPr>
          <w:t>2Cr 26.6</w:t>
        </w:r>
      </w:hyperlink>
      <w:r>
        <w:t>).</w:t>
      </w:r>
    </w:p>
    <w:p>
      <w:r/>
      <w:r>
        <w:t>Após o reinado de Uzias, a cidade recuperou a independência à medida que a influência de Judá se tornou menos forte. Asdode resistiu às invasões assírias até ser finalmente destruída por Sargão II em 711 a.C. Esta destruição é confirmada por achados arqueológicos (pessoas que estudam objetos antigos). Um desses achados é um pilar de pedra com inscrições. O pilar é feito de basalto (uma rocha escura e dura). Ele menciona Sargão e foi encontrado na cidade de Asdode em 1963. O profeta Isaías já havia alertado Judá contra depender de Asdode, Egito ou Etiópia como aliados contra os assírios (</w:t>
      </w:r>
      <w:hyperlink r:id="rId2695">
        <w:r>
          <w:rPr>
            <w:color w:val="0000EE"/>
            <w:u w:val="single"/>
          </w:rPr>
          <w:t>Is 20</w:t>
        </w:r>
      </w:hyperlink>
      <w:r>
        <w:t>). Arqueólogos encontraram evidências em Asdode de que tanto Uzias quanto Sargão II destruíram partes da cidade.</w:t>
      </w:r>
    </w:p>
    <w:p>
      <w:r/>
      <w:r>
        <w:t>Asdode permaneceu sob controle assírio até ser capturada pelo faraó egípcio Psamético I, que governou de 664 a 609 a.C. Asdode foi capturada após um longo cerco que durou 29 anos, possivelmente o cerco mais longo registrado na história. Depois disso, por volta da época da queda de Jerusalém em 586 a.C., Nabucodonosor II conquistou Asdode e levou seu rei para Babilônia. Profetas como Jeremias e Sofonias haviam predito o destino de Asdode e de seu povo (</w:t>
      </w:r>
      <w:hyperlink r:id="rId2696">
        <w:r>
          <w:rPr>
            <w:color w:val="0000EE"/>
            <w:u w:val="single"/>
          </w:rPr>
          <w:t>Jr 25.20</w:t>
        </w:r>
      </w:hyperlink>
      <w:r>
        <w:t xml:space="preserve">; </w:t>
      </w:r>
      <w:hyperlink r:id="rId2697">
        <w:r>
          <w:rPr>
            <w:color w:val="0000EE"/>
            <w:u w:val="single"/>
          </w:rPr>
          <w:t>Sf 2.4</w:t>
        </w:r>
      </w:hyperlink>
      <w:r>
        <w:t>). Os habitantes restantes de Asdode mais tarde resistiram aos esforços de Neemias para reconstruir Jerusalém, e algumas de suas mulheres se casaram com homens judeus (</w:t>
      </w:r>
      <w:hyperlink r:id="rId2691">
        <w:r>
          <w:rPr>
            <w:color w:val="0000EE"/>
            <w:u w:val="single"/>
          </w:rPr>
          <w:t>Ne 4.7</w:t>
        </w:r>
      </w:hyperlink>
      <w:r>
        <w:t xml:space="preserve">; </w:t>
      </w:r>
      <w:hyperlink r:id="rId2698">
        <w:r>
          <w:rPr>
            <w:color w:val="0000EE"/>
            <w:u w:val="single"/>
          </w:rPr>
          <w:t>13.23</w:t>
        </w:r>
      </w:hyperlink>
      <w:r>
        <w:t>–</w:t>
      </w:r>
      <w:hyperlink r:id="rId2698">
        <w:r>
          <w:rPr>
            <w:color w:val="0000EE"/>
            <w:u w:val="single"/>
          </w:rPr>
          <w:t>24</w:t>
        </w:r>
      </w:hyperlink>
      <w:r>
        <w:t>). O profeta Zacarias predisse mais destruição para Asdode (</w:t>
      </w:r>
      <w:hyperlink r:id="rId2699">
        <w:r>
          <w:rPr>
            <w:color w:val="0000EE"/>
            <w:u w:val="single"/>
          </w:rPr>
          <w:t>Zc 9.6</w:t>
        </w:r>
      </w:hyperlink>
      <w:r>
        <w:t>).</w:t>
      </w:r>
    </w:p>
    <w:p>
      <w:r/>
      <w:r>
        <w:t>Durante o período dos Macabeus (quando os Macabeus governavam), a cidade, então conhecida como Azoto, foi atacada, saqueada e destruída por Judas e Jônatas Macabeus devido à sua idolatria (</w:t>
      </w:r>
      <w:hyperlink r:id="rId2700">
        <w:r>
          <w:rPr>
            <w:color w:val="0000EE"/>
            <w:u w:val="single"/>
          </w:rPr>
          <w:t>1Mc 4.12</w:t>
        </w:r>
      </w:hyperlink>
      <w:r>
        <w:t>–</w:t>
      </w:r>
      <w:hyperlink r:id="rId2700">
        <w:r>
          <w:rPr>
            <w:color w:val="0000EE"/>
            <w:u w:val="single"/>
          </w:rPr>
          <w:t>15</w:t>
        </w:r>
      </w:hyperlink>
      <w:r>
        <w:t xml:space="preserve">; </w:t>
      </w:r>
      <w:hyperlink r:id="rId2701">
        <w:r>
          <w:rPr>
            <w:color w:val="0000EE"/>
            <w:u w:val="single"/>
          </w:rPr>
          <w:t>5.68</w:t>
        </w:r>
      </w:hyperlink>
      <w:r>
        <w:t xml:space="preserve">; </w:t>
      </w:r>
      <w:hyperlink r:id="rId2702">
        <w:r>
          <w:rPr>
            <w:color w:val="0000EE"/>
            <w:u w:val="single"/>
          </w:rPr>
          <w:t>10.77</w:t>
        </w:r>
      </w:hyperlink>
      <w:r>
        <w:t>–</w:t>
      </w:r>
      <w:hyperlink r:id="rId2702">
        <w:r>
          <w:rPr>
            <w:color w:val="0000EE"/>
            <w:u w:val="single"/>
          </w:rPr>
          <w:t>85</w:t>
        </w:r>
      </w:hyperlink>
      <w:r>
        <w:t xml:space="preserve">; </w:t>
      </w:r>
      <w:hyperlink r:id="rId2703">
        <w:r>
          <w:rPr>
            <w:color w:val="0000EE"/>
            <w:u w:val="single"/>
          </w:rPr>
          <w:t>11.4</w:t>
        </w:r>
      </w:hyperlink>
      <w:r>
        <w:t>). A cidade foi posteriormente libertada por Pompeu em 63 a.C. e tornou-se parte da província romana da Síria. Herodes, o Grande, posteriormente deu a cidade à sua irmã Salomé como presente após sua morte.</w:t>
      </w:r>
    </w:p>
    <w:p>
      <w:r/>
      <w:r>
        <w:t>O Novo Testamento observa que Filipe, o evangelista, pregou sobre Cristo em Azoto (</w:t>
      </w:r>
      <w:hyperlink r:id="rId2704">
        <w:r>
          <w:rPr>
            <w:color w:val="0000EE"/>
            <w:u w:val="single"/>
          </w:rPr>
          <w:t>At 8.40</w:t>
        </w:r>
      </w:hyperlink>
      <w:r>
        <w:t>). No quarto século d.C., o historiador cristão primitivo Eusébio reconheceu-a como uma cidade significativa, com bispos cristãos residindo lá, do quarto ao sexto séculos. No entanto, durante a Idade Média, Asdode, ou Azoto, declinou e agora é uma pequena vila chamada Esdud.</w:t>
      </w:r>
    </w:p>
    <w:p>
      <w:r/>
      <w:r>
        <w:t>Asdode estava situada a cerca de 4,8 quilômetros para o interior, mas tinha um porto separado conhecido como Asdode Yam, ou Asdode-no-Mar. Com o tempo, esta cidade costeira cresceu mais do que a cidade no interior. Escavações arqueológicas no porto revelaram camadas de ocupação dos períodos cananeu, israelita e helenístico. Uma descoberta notável inclui uma instalação de tingimento helenística onde um corante púrpura era produzido a partir da concha de murex, um corante de luxo usado para roupas pela realeza e pelos ricos. O porto permaneceu em uso durante o período Árabe. Hoje, um porto moderno foi estabelecido perto do local da antiga Asdode Yam.</w:t>
      </w:r>
      <w:r/>
      <w:r/>
    </w:p>
    <w:p>
      <w:r/>
    </w:p>
    <w:p>
      <w:pPr>
        <w:pStyle w:val="Heading2"/>
      </w:pPr>
      <w:r>
        <w:t>Asdote-Pisga</w:t>
      </w:r>
      <w:r/>
    </w:p>
    <w:p>
      <w:r/>
      <w:r>
        <w:t>A versão da NTLH (</w:t>
      </w:r>
      <w:hyperlink r:id="rId2316">
        <w:r>
          <w:rPr>
            <w:color w:val="0000EE"/>
            <w:u w:val="single"/>
          </w:rPr>
          <w:t>Dt 3.17</w:t>
        </w:r>
      </w:hyperlink>
      <w:r>
        <w:t xml:space="preserve">; </w:t>
      </w:r>
      <w:hyperlink r:id="rId2705">
        <w:r>
          <w:rPr>
            <w:color w:val="0000EE"/>
            <w:u w:val="single"/>
          </w:rPr>
          <w:t>Js 12.3</w:t>
        </w:r>
      </w:hyperlink>
      <w:r>
        <w:t xml:space="preserve">; </w:t>
      </w:r>
      <w:hyperlink r:id="rId2706">
        <w:r>
          <w:rPr>
            <w:color w:val="0000EE"/>
            <w:u w:val="single"/>
          </w:rPr>
          <w:t>13.20</w:t>
        </w:r>
      </w:hyperlink>
      <w:r>
        <w:t>) refere-se às encostas do Monte Pisga.</w:t>
      </w:r>
    </w:p>
    <w:p>
      <w:r/>
      <w:r>
        <w:rPr>
          <w:i/>
        </w:rPr>
        <w:t>Veja</w:t>
      </w:r>
      <w:r>
        <w:t xml:space="preserve"> </w:t>
      </w:r>
      <w:r>
        <w:t>o Monte Pisga</w:t>
      </w:r>
      <w:r>
        <w:t>.</w:t>
      </w:r>
      <w:r/>
      <w:r/>
    </w:p>
    <w:p>
      <w:r/>
    </w:p>
    <w:p>
      <w:pPr>
        <w:pStyle w:val="Heading2"/>
      </w:pPr>
      <w:r>
        <w:t>Aser (Pessoa)</w:t>
      </w:r>
      <w:r/>
    </w:p>
    <w:p>
      <w:r/>
      <w:r>
        <w:t>Filho de Jacó, nascido da serva de Lia, Zilpa (</w:t>
      </w:r>
      <w:hyperlink r:id="rId2707">
        <w:r>
          <w:rPr>
            <w:color w:val="0000EE"/>
            <w:u w:val="single"/>
          </w:rPr>
          <w:t>Gn 30.12</w:t>
        </w:r>
      </w:hyperlink>
      <w:r>
        <w:t>-</w:t>
      </w:r>
      <w:hyperlink r:id="rId2707">
        <w:r>
          <w:rPr>
            <w:color w:val="0000EE"/>
            <w:u w:val="single"/>
          </w:rPr>
          <w:t>13</w:t>
        </w:r>
      </w:hyperlink>
      <w:r>
        <w:t>). O nome Aser provavelmente significa "feliz". Foi escolhido por Lia para expressar sua alegria com o nascimento dele. Aser teve quatro filhos — Imna, Isva, Isvi e Berias — e uma filha chamada Sera (</w:t>
      </w:r>
      <w:hyperlink r:id="rId2708">
        <w:r>
          <w:rPr>
            <w:color w:val="0000EE"/>
            <w:u w:val="single"/>
          </w:rPr>
          <w:t>Gn 46.17</w:t>
        </w:r>
      </w:hyperlink>
      <w:r>
        <w:t xml:space="preserve">; </w:t>
      </w:r>
      <w:hyperlink r:id="rId2709">
        <w:r>
          <w:rPr>
            <w:color w:val="0000EE"/>
            <w:u w:val="single"/>
          </w:rPr>
          <w:t>1Cr 7.30</w:t>
        </w:r>
      </w:hyperlink>
      <w:r>
        <w:t>).</w:t>
      </w:r>
    </w:p>
    <w:p>
      <w:r/>
      <w:r>
        <w:t>Alguns acreditam que a tribo de Aser pode ter sido nomeada em homenagem a um local mencionado em textos egípcios do século XIII a.C. No entanto, é mais provável que a tribo tenha sido nomeada em homenagem ao seu ancestral. Aser e seus irmãos receberam bênçãos especiais e profecias de Jacó enquanto ele estava morrendo (</w:t>
      </w:r>
      <w:hyperlink r:id="rId2710">
        <w:r>
          <w:rPr>
            <w:color w:val="0000EE"/>
            <w:u w:val="single"/>
          </w:rPr>
          <w:t>Gn 49.20</w:t>
        </w:r>
      </w:hyperlink>
      <w:r>
        <w:t xml:space="preserve">; cp. </w:t>
      </w:r>
      <w:hyperlink r:id="rId2711">
        <w:r>
          <w:rPr>
            <w:color w:val="0000EE"/>
            <w:u w:val="single"/>
          </w:rPr>
          <w:t>Dt 33.24</w:t>
        </w:r>
      </w:hyperlink>
      <w:r>
        <w:t>-</w:t>
      </w:r>
      <w:hyperlink r:id="rId2711">
        <w:r>
          <w:rPr>
            <w:color w:val="0000EE"/>
            <w:u w:val="single"/>
          </w:rPr>
          <w:t>25</w:t>
        </w:r>
      </w:hyperlink>
      <w:r>
        <w:t>, onde Moisés também abençoou Aser e as outras tribos).</w:t>
      </w:r>
    </w:p>
    <w:p>
      <w:r/>
      <w:r>
        <w:rPr>
          <w:i/>
        </w:rPr>
        <w:t>Veja também</w:t>
      </w:r>
      <w:r>
        <w:t xml:space="preserve"> </w:t>
      </w:r>
      <w:r>
        <w:t>Aser (Tribo)</w:t>
      </w:r>
      <w:r>
        <w:t>.</w:t>
      </w:r>
      <w:r/>
      <w:r/>
    </w:p>
    <w:p>
      <w:r/>
    </w:p>
    <w:p>
      <w:pPr>
        <w:pStyle w:val="Heading2"/>
      </w:pPr>
      <w:r>
        <w:t>Aser (Tribo)</w:t>
      </w:r>
      <w:r/>
    </w:p>
    <w:p>
      <w:r/>
      <w:r>
        <w:t>A tribo de Aser vivia na fértil área costeira quando a Terra Prometida foi dividida. O território de Aser se estendia do norte do Monte Carmelo até um pouco acima de Sidom, com sua fronteira oriental correndo ao longo das encostas ocidentais das colinas da Galileia (</w:t>
      </w:r>
      <w:hyperlink r:id="rId2712">
        <w:r>
          <w:rPr>
            <w:color w:val="0000EE"/>
            <w:u w:val="single"/>
          </w:rPr>
          <w:t>Js 19.24</w:t>
        </w:r>
      </w:hyperlink>
      <w:r>
        <w:t>-</w:t>
      </w:r>
      <w:hyperlink r:id="rId2712">
        <w:r>
          <w:rPr>
            <w:color w:val="0000EE"/>
            <w:u w:val="single"/>
          </w:rPr>
          <w:t>34</w:t>
        </w:r>
      </w:hyperlink>
      <w:r>
        <w:t>). A leste, Aser fazia fronteira com as tribos de Zebulom e Naftali. Ao sul, a cordilheira do Carmelo separava Aser da tribo de Manassés. A terra de Aser era rica em agricultura e conhecida por seus olivais. Economicamente, os aseritas comerciavam com os fenícios de Tiro através de navios.</w:t>
      </w:r>
    </w:p>
    <w:p>
      <w:r/>
      <w:r>
        <w:t>O tamanho da tribo variou ao longo do tempo. Dos poucos que entraram no Egito com Jacó, Aser cresceu para 41.500 guerreiros adultos no Monte Sinai (</w:t>
      </w:r>
      <w:hyperlink r:id="rId2713">
        <w:r>
          <w:rPr>
            <w:color w:val="0000EE"/>
            <w:u w:val="single"/>
          </w:rPr>
          <w:t>Nm 1.40</w:t>
        </w:r>
      </w:hyperlink>
      <w:r>
        <w:t>-</w:t>
      </w:r>
      <w:hyperlink r:id="rId2713">
        <w:r>
          <w:rPr>
            <w:color w:val="0000EE"/>
            <w:u w:val="single"/>
          </w:rPr>
          <w:t>41</w:t>
        </w:r>
      </w:hyperlink>
      <w:r>
        <w:t>). Pelo segundo censo no deserto, a tribo tinha 53.400 soldados (</w:t>
      </w:r>
      <w:hyperlink r:id="rId2714">
        <w:r>
          <w:rPr>
            <w:color w:val="0000EE"/>
            <w:u w:val="single"/>
          </w:rPr>
          <w:t>Nm 26.47</w:t>
        </w:r>
      </w:hyperlink>
      <w:r>
        <w:t>). Durante o reinado do Rei Davi, o número de guerreiros variou de 26.000 a 40.000 (</w:t>
      </w:r>
      <w:hyperlink r:id="rId2715">
        <w:r>
          <w:rPr>
            <w:color w:val="0000EE"/>
            <w:u w:val="single"/>
          </w:rPr>
          <w:t>1Cr 7.40</w:t>
        </w:r>
      </w:hyperlink>
      <w:r>
        <w:t xml:space="preserve">; </w:t>
      </w:r>
      <w:hyperlink r:id="rId2716">
        <w:r>
          <w:rPr>
            <w:color w:val="0000EE"/>
            <w:u w:val="single"/>
          </w:rPr>
          <w:t>12.36</w:t>
        </w:r>
      </w:hyperlink>
      <w:r>
        <w:t>). Aser nunca foi mais do que a quinta maior tribo entre os israelitas.</w:t>
      </w:r>
    </w:p>
    <w:p>
      <w:r/>
      <w:r>
        <w:t>Aser, assim como as outras tribos, rejeitou os relatórios positivos de Calebe e Josué sobre Canaã (</w:t>
      </w:r>
      <w:hyperlink r:id="rId2717">
        <w:r>
          <w:rPr>
            <w:color w:val="0000EE"/>
            <w:u w:val="single"/>
          </w:rPr>
          <w:t>Nm 13.30–14.10</w:t>
        </w:r>
      </w:hyperlink>
      <w:r>
        <w:t>). Consequentemente, aquela geração pereceu no deserto após 40 anos (</w:t>
      </w:r>
      <w:hyperlink r:id="rId2718">
        <w:r>
          <w:rPr>
            <w:color w:val="0000EE"/>
            <w:u w:val="single"/>
          </w:rPr>
          <w:t>Nm 14.22</w:t>
        </w:r>
      </w:hyperlink>
      <w:r>
        <w:t>-</w:t>
      </w:r>
      <w:hyperlink r:id="rId2718">
        <w:r>
          <w:rPr>
            <w:color w:val="0000EE"/>
            <w:u w:val="single"/>
          </w:rPr>
          <w:t>25</w:t>
        </w:r>
      </w:hyperlink>
      <w:r>
        <w:t>).</w:t>
      </w:r>
    </w:p>
    <w:p>
      <w:r/>
      <w:r>
        <w:t>No final da campanha do norte na Terra Prometida, Josué atribuiu territórios às sete tribos restantes, incluindo Aser (</w:t>
      </w:r>
      <w:hyperlink r:id="rId2719">
        <w:r>
          <w:rPr>
            <w:color w:val="0000EE"/>
            <w:u w:val="single"/>
          </w:rPr>
          <w:t>Js 18.2</w:t>
        </w:r>
      </w:hyperlink>
      <w:r>
        <w:t>). Anteriormente, Deus havia designado Aiúde para distribuir terras dentro do território de Aser (</w:t>
      </w:r>
      <w:hyperlink r:id="rId2720">
        <w:r>
          <w:rPr>
            <w:color w:val="0000EE"/>
            <w:u w:val="single"/>
          </w:rPr>
          <w:t>Nm 34.16,27</w:t>
        </w:r>
      </w:hyperlink>
      <w:r>
        <w:t>). Certos levitas da tribo de Gérson receberam cidades dentro das fronteiras de Aser (</w:t>
      </w:r>
      <w:hyperlink r:id="rId2721">
        <w:r>
          <w:rPr>
            <w:color w:val="0000EE"/>
            <w:u w:val="single"/>
          </w:rPr>
          <w:t>Js 21.6,30</w:t>
        </w:r>
      </w:hyperlink>
      <w:r>
        <w:t xml:space="preserve">; </w:t>
      </w:r>
      <w:hyperlink r:id="rId2722">
        <w:r>
          <w:rPr>
            <w:color w:val="0000EE"/>
            <w:u w:val="single"/>
          </w:rPr>
          <w:t>1Cr 6.62,74</w:t>
        </w:r>
      </w:hyperlink>
      <w:r>
        <w:t>).</w:t>
      </w:r>
    </w:p>
    <w:p>
      <w:r/>
      <w:r>
        <w:t>Como o restante das tribos de Israel, Aser nunca possuía completamente toda a terra que lhe foi dada. A tribo falhou em expulsar os habitantes de cidades como Aco, Sidom e outras, o que levou a serem influenciados por culturas pagãs (</w:t>
      </w:r>
      <w:hyperlink r:id="rId258">
        <w:r>
          <w:rPr>
            <w:color w:val="0000EE"/>
            <w:u w:val="single"/>
          </w:rPr>
          <w:t>Jz 1.31</w:t>
        </w:r>
      </w:hyperlink>
      <w:r>
        <w:t>). O território "não possuído" dos sidônios e fenícios se estendia ao longo da região costeira por 322 quilômetros. Assim, "os aseritas viviam entre os habitantes cananeus da terra, porque não os expulsaram" (</w:t>
      </w:r>
      <w:hyperlink r:id="rId2723">
        <w:r>
          <w:rPr>
            <w:color w:val="0000EE"/>
            <w:u w:val="single"/>
          </w:rPr>
          <w:t>Jz 1.32</w:t>
        </w:r>
      </w:hyperlink>
      <w:r>
        <w:t>). É possível que seu envolvimento no comércio fenício tenha diminuído seu desejo de expulsar os fenícios de suas cidades.</w:t>
      </w:r>
    </w:p>
    <w:p>
      <w:r/>
      <w:r>
        <w:t>Após a morte do juiz Eúde, Israel foi oprimido por Jabim, rei de Canaã. Quando a juíza Débora incentivou Baraque a liderar as forças de Israel, eles obtiveram uma grande vitória e foram libertados da opressão (</w:t>
      </w:r>
      <w:hyperlink r:id="rId2724">
        <w:r>
          <w:rPr>
            <w:color w:val="0000EE"/>
            <w:u w:val="single"/>
          </w:rPr>
          <w:t>Jz 4</w:t>
        </w:r>
      </w:hyperlink>
      <w:r>
        <w:t>). Após a vitória, Débora reclamou que "Aser parou perto do mar e ficou na beira das praias" (</w:t>
      </w:r>
      <w:hyperlink r:id="rId2725">
        <w:r>
          <w:rPr>
            <w:color w:val="0000EE"/>
            <w:u w:val="single"/>
          </w:rPr>
          <w:t>Jz 5.17</w:t>
        </w:r>
      </w:hyperlink>
      <w:r>
        <w:t>). Com o tempo, a tribo foi influenciada pela religião e cultura fenícia, levando ao seu declínio.</w:t>
      </w:r>
    </w:p>
    <w:p>
      <w:r/>
      <w:r>
        <w:t>A Bíblia fornece pouca informação sobre a liderança de Aser. Na época do Êxodo do Egito, Pagiel, filho de Ocrã, era o chefe tribal (</w:t>
      </w:r>
      <w:hyperlink r:id="rId2726">
        <w:r>
          <w:rPr>
            <w:color w:val="0000EE"/>
            <w:u w:val="single"/>
          </w:rPr>
          <w:t>Nm 1.13</w:t>
        </w:r>
      </w:hyperlink>
      <w:r>
        <w:t xml:space="preserve">; </w:t>
      </w:r>
      <w:hyperlink r:id="rId2727">
        <w:r>
          <w:rPr>
            <w:color w:val="0000EE"/>
            <w:u w:val="single"/>
          </w:rPr>
          <w:t>2.27</w:t>
        </w:r>
      </w:hyperlink>
      <w:r>
        <w:t xml:space="preserve">; </w:t>
      </w:r>
      <w:hyperlink r:id="rId2728">
        <w:r>
          <w:rPr>
            <w:color w:val="0000EE"/>
            <w:u w:val="single"/>
          </w:rPr>
          <w:t>7.72</w:t>
        </w:r>
      </w:hyperlink>
      <w:r>
        <w:t xml:space="preserve">; </w:t>
      </w:r>
      <w:hyperlink r:id="rId2729">
        <w:r>
          <w:rPr>
            <w:color w:val="0000EE"/>
            <w:u w:val="single"/>
          </w:rPr>
          <w:t>10.26</w:t>
        </w:r>
      </w:hyperlink>
      <w:r>
        <w:t>). Após isso, não há mais menção aos líderes de Aser. Nenhum juiz de Israel veio de Aser, e durante o reinado do Rei Davi, Aser e Gade não foram incluídos entre os principais oficiais da nação (</w:t>
      </w:r>
      <w:hyperlink r:id="rId2730">
        <w:r>
          <w:rPr>
            <w:color w:val="0000EE"/>
            <w:u w:val="single"/>
          </w:rPr>
          <w:t>1Cr 27.16</w:t>
        </w:r>
      </w:hyperlink>
      <w:r>
        <w:t>-</w:t>
      </w:r>
      <w:hyperlink r:id="rId2730">
        <w:r>
          <w:rPr>
            <w:color w:val="0000EE"/>
            <w:u w:val="single"/>
          </w:rPr>
          <w:t>22</w:t>
        </w:r>
      </w:hyperlink>
      <w:r>
        <w:t>).</w:t>
      </w:r>
    </w:p>
    <w:p>
      <w:r/>
      <w:r>
        <w:t>Apesar desses desafios, Aser teve momentos notáveis:</w:t>
      </w:r>
    </w:p>
    <w:p>
      <w:pPr>
        <w:pStyle w:val="ListBullet"/>
        <w:spacing w:line="240" w:lineRule="auto"/>
        <w:ind w:left="720"/>
      </w:pPr>
      <w:r/>
      <w:r>
        <w:t>Eles apoiaram Gideão na derrota dos midianitas (</w:t>
      </w:r>
      <w:hyperlink r:id="rId2731">
        <w:r>
          <w:rPr>
            <w:color w:val="0000EE"/>
            <w:u w:val="single"/>
          </w:rPr>
          <w:t>Jz 6.1</w:t>
        </w:r>
      </w:hyperlink>
      <w:r>
        <w:t>-</w:t>
      </w:r>
      <w:hyperlink r:id="rId2731">
        <w:r>
          <w:rPr>
            <w:color w:val="0000EE"/>
            <w:u w:val="single"/>
          </w:rPr>
          <w:t>8,35</w:t>
        </w:r>
      </w:hyperlink>
      <w:r>
        <w:t xml:space="preserve">; </w:t>
      </w:r>
      <w:hyperlink r:id="rId2732">
        <w:r>
          <w:rPr>
            <w:color w:val="0000EE"/>
            <w:u w:val="single"/>
          </w:rPr>
          <w:t>7.23</w:t>
        </w:r>
      </w:hyperlink>
      <w:r>
        <w:t>).</w:t>
      </w:r>
    </w:p>
    <w:p>
      <w:pPr>
        <w:pStyle w:val="ListBullet"/>
        <w:spacing w:line="240" w:lineRule="auto"/>
        <w:ind w:left="720"/>
      </w:pPr>
      <w:r/>
      <w:r>
        <w:t>Defenderam Saul, seu primeiro rei (</w:t>
      </w:r>
      <w:hyperlink r:id="rId2733">
        <w:r>
          <w:rPr>
            <w:color w:val="0000EE"/>
            <w:u w:val="single"/>
          </w:rPr>
          <w:t>1Sm 11.7</w:t>
        </w:r>
      </w:hyperlink>
      <w:r>
        <w:t>).</w:t>
      </w:r>
    </w:p>
    <w:p>
      <w:pPr>
        <w:pStyle w:val="ListBullet"/>
        <w:spacing w:line="240" w:lineRule="auto"/>
        <w:ind w:left="720"/>
      </w:pPr>
      <w:r/>
      <w:r>
        <w:t>Quarenta mil aseritas apoiaram Davi na tomada do reino de Saul (</w:t>
      </w:r>
      <w:hyperlink r:id="rId2734">
        <w:r>
          <w:rPr>
            <w:color w:val="0000EE"/>
            <w:u w:val="single"/>
          </w:rPr>
          <w:t>1Cr 12.23</w:t>
        </w:r>
      </w:hyperlink>
      <w:r>
        <w:t>-</w:t>
      </w:r>
      <w:hyperlink r:id="rId2734">
        <w:r>
          <w:rPr>
            <w:color w:val="0000EE"/>
            <w:u w:val="single"/>
          </w:rPr>
          <w:t>36</w:t>
        </w:r>
      </w:hyperlink>
      <w:r>
        <w:t>).</w:t>
      </w:r>
    </w:p>
    <w:p>
      <w:r/>
      <w:r>
        <w:t>Após a queda de Samaria em 722 a.C., um pequeno remanescente de Aser veio a Jerusalém para a primeira festa da Páscoa em muitos anos (</w:t>
      </w:r>
      <w:hyperlink r:id="rId2735">
        <w:r>
          <w:rPr>
            <w:color w:val="0000EE"/>
            <w:u w:val="single"/>
          </w:rPr>
          <w:t>2Cr 30.5</w:t>
        </w:r>
      </w:hyperlink>
      <w:r>
        <w:t>) quando o Rei Ezequias (715–686 a.C.) convidou todas as tribos para se juntarem à celebração. (</w:t>
      </w:r>
      <w:hyperlink r:id="rId2736">
        <w:r>
          <w:rPr>
            <w:color w:val="0000EE"/>
            <w:u w:val="single"/>
          </w:rPr>
          <w:t>2Cr 30.10</w:t>
        </w:r>
      </w:hyperlink>
      <w:r>
        <w:t>-</w:t>
      </w:r>
      <w:hyperlink r:id="rId2736">
        <w:r>
          <w:rPr>
            <w:color w:val="0000EE"/>
            <w:u w:val="single"/>
          </w:rPr>
          <w:t>11</w:t>
        </w:r>
      </w:hyperlink>
      <w:r>
        <w:t>).</w:t>
      </w:r>
    </w:p>
    <w:p>
      <w:r/>
      <w:r>
        <w:t>O Novo Testamento menciona uma viúva de 84 anos chamada Ana, que era descendente de Aser. Ela era uma profetisa que reconheceu Jesus como "a libertação de Jerusalém" durante Sua dedicação no Templo (</w:t>
      </w:r>
      <w:hyperlink r:id="rId2737">
        <w:r>
          <w:rPr>
            <w:color w:val="0000EE"/>
            <w:u w:val="single"/>
          </w:rPr>
          <w:t>Lc 2.36</w:t>
        </w:r>
      </w:hyperlink>
      <w:r>
        <w:t>-</w:t>
      </w:r>
      <w:hyperlink r:id="rId2737">
        <w:r>
          <w:rPr>
            <w:color w:val="0000EE"/>
            <w:u w:val="single"/>
          </w:rPr>
          <w:t>38</w:t>
        </w:r>
      </w:hyperlink>
      <w:r>
        <w:t>).</w:t>
      </w:r>
    </w:p>
    <w:p>
      <w:r/>
      <w:r>
        <w:rPr>
          <w:i/>
        </w:rPr>
        <w:t>Veja também</w:t>
      </w:r>
      <w:r>
        <w:t xml:space="preserve"> </w:t>
      </w:r>
      <w:r>
        <w:t>História de Israel</w:t>
      </w:r>
      <w:r>
        <w:t>.</w:t>
      </w:r>
      <w:r/>
      <w:r/>
    </w:p>
    <w:p>
      <w:r/>
    </w:p>
    <w:p>
      <w:pPr>
        <w:pStyle w:val="Heading2"/>
      </w:pPr>
      <w:r>
        <w:t>Ásia</w:t>
      </w:r>
      <w:r/>
    </w:p>
    <w:p>
      <w:r/>
      <w:r>
        <w:t>Nos tempos do Novo Testamento, a Ásia era uma província romana. Estava localizada logo a leste do Mar Egeu. Os romanos criaram essa província em 133. Eles fizeram isso depois que Átalo III, o rei de Pérgamo, deixou seu reino para eles em seu testamento.</w:t>
      </w:r>
    </w:p>
    <w:p>
      <w:r/>
      <w:r>
        <w:t>Os cartógrafos gregos geralmente usavam o nome "Ásia" para se referir a todo o continente oriental. No entanto, a partir do segundo século, os romanos frequentemente chamavam os reis de Pérgamo de "reis da Ásia". Por causa disso, as pessoas lentamente começaram a usar "Ásia" para se referir apenas à península (Ásia Menor).</w:t>
      </w:r>
    </w:p>
    <w:p>
      <w:r/>
      <w:r>
        <w:t>A extensão da província da Ásia variou ao longo de sua história. Antes da ocupação romana, o termo referia-se ao reino da dinastia Selêucida, que Seleuco I fundou entre 305 e 281 a.C. Este uso é visto nos livros apócrifos (</w:t>
      </w:r>
      <w:hyperlink r:id="rId2738">
        <w:r>
          <w:rPr>
            <w:color w:val="0000EE"/>
            <w:u w:val="single"/>
          </w:rPr>
          <w:t>1Mc 8.6</w:t>
        </w:r>
      </w:hyperlink>
      <w:r>
        <w:t xml:space="preserve">; </w:t>
      </w:r>
      <w:hyperlink r:id="rId2739">
        <w:r>
          <w:rPr>
            <w:color w:val="0000EE"/>
            <w:u w:val="single"/>
          </w:rPr>
          <w:t>11.13</w:t>
        </w:r>
      </w:hyperlink>
      <w:r>
        <w:t xml:space="preserve">; </w:t>
      </w:r>
      <w:hyperlink r:id="rId2740">
        <w:r>
          <w:rPr>
            <w:color w:val="0000EE"/>
            <w:u w:val="single"/>
          </w:rPr>
          <w:t>12.39</w:t>
        </w:r>
      </w:hyperlink>
      <w:r>
        <w:t xml:space="preserve">; </w:t>
      </w:r>
      <w:hyperlink r:id="rId2741">
        <w:r>
          <w:rPr>
            <w:color w:val="0000EE"/>
            <w:u w:val="single"/>
          </w:rPr>
          <w:t>13.32</w:t>
        </w:r>
      </w:hyperlink>
      <w:r>
        <w:t xml:space="preserve">; </w:t>
      </w:r>
      <w:hyperlink r:id="rId2742">
        <w:r>
          <w:rPr>
            <w:color w:val="0000EE"/>
            <w:u w:val="single"/>
          </w:rPr>
          <w:t>2Mc 3.3</w:t>
        </w:r>
      </w:hyperlink>
      <w:r>
        <w:t>) e nas obras do antigo historiador judeu Josefo, em sua obra "Antiguidades". Os romanos tomaram o território dos selêucidas após a guerra contra Antíoco, o Grande. Como recompensa, eles o deram aos seus aliados, os atálidas. Átalo III eventualmente o legou aos romanos.</w:t>
      </w:r>
    </w:p>
    <w:p>
      <w:r/>
      <w:r>
        <w:t>As fronteiras do controle romano se estabilizaram apenas após uma grande revolta ser contida. A província então incluía regiões como Mísia, Lídia, Cária e Frígia. Também abrangia áreas próximas ao Mar Egeu, como Eólia, Jônia e Trôade. As ilhas costeiras, como Lesbos, Quios, Samos, Rodes e Patmos, também faziam parte da província. Esta área continental agora faz parte da Turquia moderna.</w:t>
      </w:r>
    </w:p>
    <w:p>
      <w:r/>
      <w:r>
        <w:t>Em 116 a.C., a província se expandiu e incluiu a Grande Frígia. Suas fronteiras eram a Bitínia ao norte, a Galácia ao leste, a Lícia ao sul e o Mar Egeu a oeste. No entanto, essas fronteiras mudaram ao longo do tempo. Em 25 a.C., Augusto César expandiu o controle de Roma ao adicionar outras partes da Frígia, Licônia, Pisídia e possivelmente Panfília a uma província chamada Galácia. Essas fronteiras permaneceram as mesmas até 285 d.C. Então, a província se tornou muito menor, e "Ásia" passou a se referir apenas às áreas costeiras e aos vales inferiores dos rios Meandro, Caister, Hermo e Cácio.</w:t>
      </w:r>
    </w:p>
    <w:p>
      <w:r/>
      <w:r>
        <w:t>Durante o domínio romano, Pérgamo era a capital da província. Na época de Augusto, o governador romano tinha se mudado para Éfeso.</w:t>
      </w:r>
    </w:p>
    <w:p>
      <w:r/>
      <w:r>
        <w:t>No Novo Testamento, "Ásia" geralmente se referia à província romana com esse nome. Às vezes, significava a área, e outras vezes, a região política. Por exemplo, na festa de Pentecostes em Jerusalém, havia judeus da "Ásia". Isso incluía outras províncias romanas como Capadócia, Frígia e Panfília (</w:t>
      </w:r>
      <w:hyperlink r:id="rId2743">
        <w:r>
          <w:rPr>
            <w:color w:val="0000EE"/>
            <w:u w:val="single"/>
          </w:rPr>
          <w:t>At 2.9</w:t>
        </w:r>
      </w:hyperlink>
      <w:r>
        <w:t>–</w:t>
      </w:r>
      <w:hyperlink r:id="rId2743">
        <w:r>
          <w:rPr>
            <w:color w:val="0000EE"/>
            <w:u w:val="single"/>
          </w:rPr>
          <w:t>10</w:t>
        </w:r>
      </w:hyperlink>
      <w:r>
        <w:t xml:space="preserve">). Isso sugere que Lucas, o escritor de Atos, usou o termo para descrever a província originalmente deixada aos romanos por Átalo III. Lucas usou a palavra novamente em </w:t>
      </w:r>
      <w:hyperlink r:id="rId743">
        <w:r>
          <w:rPr>
            <w:color w:val="0000EE"/>
            <w:u w:val="single"/>
          </w:rPr>
          <w:t>Atos 6.9</w:t>
        </w:r>
      </w:hyperlink>
      <w:r>
        <w:t>, indicando a força das comunidades judaicas na Ásia Menor e confirmando o uso de "Ásia" no sentido mais restrito da província romana.</w:t>
      </w:r>
    </w:p>
    <w:p>
      <w:r/>
      <w:r>
        <w:t>Na segunda viagem missionária de Paulo, o Espírito Santo impediu que ele e Timóteo pregassem na Ásia (</w:t>
      </w:r>
      <w:hyperlink r:id="rId2744">
        <w:r>
          <w:rPr>
            <w:color w:val="0000EE"/>
            <w:u w:val="single"/>
          </w:rPr>
          <w:t>At 16.6</w:t>
        </w:r>
      </w:hyperlink>
      <w:r>
        <w:t>–</w:t>
      </w:r>
      <w:hyperlink r:id="rId2744">
        <w:r>
          <w:rPr>
            <w:color w:val="0000EE"/>
            <w:u w:val="single"/>
          </w:rPr>
          <w:t>8</w:t>
        </w:r>
      </w:hyperlink>
      <w:r>
        <w:t>). Aqui, Lucas provavelmente estava se referindo às fronteiras originais da província. Quando Paulo retornou da Grécia, ele parou em Éfeso (</w:t>
      </w:r>
      <w:hyperlink r:id="rId2745">
        <w:r>
          <w:rPr>
            <w:color w:val="0000EE"/>
            <w:u w:val="single"/>
          </w:rPr>
          <w:t>At 18.19</w:t>
        </w:r>
      </w:hyperlink>
      <w:r>
        <w:t>–</w:t>
      </w:r>
      <w:hyperlink r:id="rId2745">
        <w:r>
          <w:rPr>
            <w:color w:val="0000EE"/>
            <w:u w:val="single"/>
          </w:rPr>
          <w:t>21</w:t>
        </w:r>
      </w:hyperlink>
      <w:r>
        <w:t>). Em sua terceira viagem missionária, ele permaneceu em Éfeso por mais de dois anos para que, a partir desta cidade capital, "todos os que viviam na província da Ásia, tanto judeus quanto gregos" ouvissem a palavra (</w:t>
      </w:r>
      <w:hyperlink r:id="rId2746">
        <w:r>
          <w:rPr>
            <w:color w:val="0000EE"/>
            <w:u w:val="single"/>
          </w:rPr>
          <w:t>At 19.10</w:t>
        </w:r>
      </w:hyperlink>
      <w:r>
        <w:t>).</w:t>
      </w:r>
    </w:p>
    <w:p>
      <w:r/>
      <w:r>
        <w:t xml:space="preserve">Lucas mencionou a Ásia novamente em </w:t>
      </w:r>
      <w:hyperlink r:id="rId2747">
        <w:r>
          <w:rPr>
            <w:color w:val="0000EE"/>
            <w:u w:val="single"/>
          </w:rPr>
          <w:t>Atos 19.26</w:t>
        </w:r>
      </w:hyperlink>
      <w:r>
        <w:t>–</w:t>
      </w:r>
      <w:hyperlink r:id="rId2747">
        <w:r>
          <w:rPr>
            <w:color w:val="0000EE"/>
            <w:u w:val="single"/>
          </w:rPr>
          <w:t>27</w:t>
        </w:r>
      </w:hyperlink>
      <w:r>
        <w:t xml:space="preserve">; </w:t>
      </w:r>
      <w:hyperlink r:id="rId2497">
        <w:r>
          <w:rPr>
            <w:color w:val="0000EE"/>
            <w:u w:val="single"/>
          </w:rPr>
          <w:t>20.4,16,18</w:t>
        </w:r>
      </w:hyperlink>
      <w:r>
        <w:t xml:space="preserve">; e </w:t>
      </w:r>
      <w:hyperlink r:id="rId426">
        <w:r>
          <w:rPr>
            <w:color w:val="0000EE"/>
            <w:u w:val="single"/>
          </w:rPr>
          <w:t>27.2</w:t>
        </w:r>
      </w:hyperlink>
      <w:r>
        <w:t>. Paulo se refere a ela várias vezes (</w:t>
      </w:r>
      <w:hyperlink r:id="rId2748">
        <w:r>
          <w:rPr>
            <w:color w:val="0000EE"/>
            <w:u w:val="single"/>
          </w:rPr>
          <w:t>Rm 16.5</w:t>
        </w:r>
      </w:hyperlink>
      <w:r>
        <w:t xml:space="preserve">; </w:t>
      </w:r>
      <w:hyperlink r:id="rId2303">
        <w:r>
          <w:rPr>
            <w:color w:val="0000EE"/>
            <w:u w:val="single"/>
          </w:rPr>
          <w:t>1Co 16.19</w:t>
        </w:r>
      </w:hyperlink>
      <w:r>
        <w:t xml:space="preserve">; </w:t>
      </w:r>
      <w:hyperlink r:id="rId2749">
        <w:r>
          <w:rPr>
            <w:color w:val="0000EE"/>
            <w:u w:val="single"/>
          </w:rPr>
          <w:t>2Co 1.8</w:t>
        </w:r>
      </w:hyperlink>
      <w:r>
        <w:t xml:space="preserve">; </w:t>
      </w:r>
      <w:hyperlink r:id="rId2750">
        <w:r>
          <w:rPr>
            <w:color w:val="0000EE"/>
            <w:u w:val="single"/>
          </w:rPr>
          <w:t>2Tm 1.15</w:t>
        </w:r>
      </w:hyperlink>
      <w:r>
        <w:t>). O apóstolo Pedro também usou o termo (</w:t>
      </w:r>
      <w:hyperlink r:id="rId2751">
        <w:r>
          <w:rPr>
            <w:color w:val="0000EE"/>
            <w:u w:val="single"/>
          </w:rPr>
          <w:t>1Pe 1.1</w:t>
        </w:r>
      </w:hyperlink>
      <w:r>
        <w:t>). No Novo Testamento, o Cristo ressuscitado foi o último a referir-se à Ásia. Ele instruiu o apóstolo João, que estava vivendo em exílio na ilha de Patmos, a escrever cartas para sete igrejas específicas na Ásia (</w:t>
      </w:r>
      <w:hyperlink r:id="rId2752">
        <w:r>
          <w:rPr>
            <w:color w:val="0000EE"/>
            <w:u w:val="single"/>
          </w:rPr>
          <w:t>Ap 1.1</w:t>
        </w:r>
      </w:hyperlink>
      <w:r>
        <w:t>–</w:t>
      </w:r>
      <w:hyperlink r:id="rId2752">
        <w:r>
          <w:rPr>
            <w:color w:val="0000EE"/>
            <w:u w:val="single"/>
          </w:rPr>
          <w:t>4</w:t>
        </w:r>
      </w:hyperlink>
      <w:r>
        <w:t>).</w:t>
      </w:r>
    </w:p>
    <w:p>
      <w:r/>
      <w:r>
        <w:t>Outras cidades mencionadas nesta província romana no Novo Testamento incluem:</w:t>
      </w:r>
    </w:p>
    <w:p>
      <w:pPr>
        <w:pStyle w:val="ListBullet"/>
        <w:spacing w:line="240" w:lineRule="auto"/>
        <w:ind w:left="720"/>
      </w:pPr>
      <w:r/>
      <w:r>
        <w:t>Laodiceia e Hierápolis (</w:t>
      </w:r>
      <w:hyperlink r:id="rId2753">
        <w:r>
          <w:rPr>
            <w:color w:val="0000EE"/>
            <w:u w:val="single"/>
          </w:rPr>
          <w:t>Cl 4.13</w:t>
        </w:r>
      </w:hyperlink>
      <w:r>
        <w:t>);</w:t>
      </w:r>
    </w:p>
    <w:p>
      <w:pPr>
        <w:pStyle w:val="ListBullet"/>
        <w:spacing w:line="240" w:lineRule="auto"/>
        <w:ind w:left="720"/>
      </w:pPr>
      <w:r/>
      <w:r>
        <w:t>Adramício (</w:t>
      </w:r>
      <w:hyperlink r:id="rId426">
        <w:r>
          <w:rPr>
            <w:color w:val="0000EE"/>
            <w:u w:val="single"/>
          </w:rPr>
          <w:t>At 27.2</w:t>
        </w:r>
      </w:hyperlink>
      <w:r>
        <w:t>);</w:t>
      </w:r>
    </w:p>
    <w:p>
      <w:pPr>
        <w:pStyle w:val="ListBullet"/>
        <w:spacing w:line="240" w:lineRule="auto"/>
        <w:ind w:left="720"/>
      </w:pPr>
      <w:r/>
      <w:r>
        <w:t>Assôs (</w:t>
      </w:r>
      <w:hyperlink r:id="rId2754">
        <w:r>
          <w:rPr>
            <w:color w:val="0000EE"/>
            <w:u w:val="single"/>
          </w:rPr>
          <w:t>At 20.13</w:t>
        </w:r>
      </w:hyperlink>
      <w:r>
        <w:t>–</w:t>
      </w:r>
      <w:hyperlink r:id="rId2754">
        <w:r>
          <w:rPr>
            <w:color w:val="0000EE"/>
            <w:u w:val="single"/>
          </w:rPr>
          <w:t>14</w:t>
        </w:r>
      </w:hyperlink>
      <w:r>
        <w:t>).</w:t>
      </w:r>
      <w:r/>
      <w:r/>
    </w:p>
    <w:p>
      <w:r/>
    </w:p>
    <w:p>
      <w:pPr>
        <w:pStyle w:val="Heading2"/>
      </w:pPr>
      <w:r>
        <w:t>Asiarca</w:t>
      </w:r>
      <w:r/>
    </w:p>
    <w:p>
      <w:r/>
      <w:r>
        <w:t>O título de um importante oficial na província romana da Ásia. Não sabemos exatamente qual era o seu papel. Vários asiarcas estavam preocupados com a segurança de Paulo durante um tumulto de ourives em Éfeso (</w:t>
      </w:r>
      <w:hyperlink r:id="rId2755">
        <w:r>
          <w:rPr>
            <w:color w:val="0000EE"/>
            <w:u w:val="single"/>
          </w:rPr>
          <w:t>At 19.31</w:t>
        </w:r>
      </w:hyperlink>
      <w:r>
        <w:t>).</w:t>
      </w:r>
    </w:p>
    <w:p>
      <w:r/>
      <w:r>
        <w:t>Não sabemos muito mais sobre os asiarcas. Não sabemos quais habilidades eram necessárias para o cargo, quanto tempo trabalhavam como asiarcas ou quais eram suas funções exatas.</w:t>
      </w:r>
    </w:p>
    <w:p>
      <w:r/>
      <w:r>
        <w:t>Não está claro por que havia muitos asiarcas em Éfeso durante o tumulto ou por que eles se preocupavam com a segurança de Paulo. Eles podem ter sido líderes da "Comuna da Ásia". Se assim fosse, seu trabalho era apoiar e proteger o culto imperial (a adoração de Roma e do Imperador).</w:t>
      </w:r>
    </w:p>
    <w:p>
      <w:r/>
      <w:r>
        <w:t>Os asiarcas mencionados em Atos não pareciam se opor ao Cristianismo. O Cristianismo estava desafiando o culto pagão popular de Ártemis (uma deusa grega).</w:t>
      </w:r>
    </w:p>
    <w:p>
      <w:r/>
      <w:r>
        <w:t xml:space="preserve">A longa história em </w:t>
      </w:r>
      <w:hyperlink r:id="rId2756">
        <w:r>
          <w:rPr>
            <w:color w:val="0000EE"/>
            <w:u w:val="single"/>
          </w:rPr>
          <w:t>Atos 19</w:t>
        </w:r>
      </w:hyperlink>
      <w:r>
        <w:t xml:space="preserve"> destaca uma das principais ideias de Lucas: o Cristianismo não estava tentando causar problemas, e Paulo não representava uma ameaça política. Se ele fosse, os asiarcas provavelmente não o teriam ajudado.</w:t>
      </w:r>
      <w:r/>
      <w:r/>
    </w:p>
    <w:p>
      <w:r/>
    </w:p>
    <w:p>
      <w:pPr>
        <w:pStyle w:val="Heading2"/>
      </w:pPr>
      <w:r>
        <w:t>Asquenaz</w:t>
      </w:r>
      <w:r/>
    </w:p>
    <w:p>
      <w:r/>
      <w:r>
        <w:t>Filho de Gomer e bisneto de Noé através de Jafé (</w:t>
      </w:r>
      <w:hyperlink r:id="rId2757">
        <w:r>
          <w:rPr>
            <w:color w:val="0000EE"/>
            <w:u w:val="single"/>
          </w:rPr>
          <w:t>Gn 10.1</w:t>
        </w:r>
      </w:hyperlink>
      <w:r>
        <w:t>–</w:t>
      </w:r>
      <w:hyperlink r:id="rId2757">
        <w:r>
          <w:rPr>
            <w:color w:val="0000EE"/>
            <w:u w:val="single"/>
          </w:rPr>
          <w:t>3</w:t>
        </w:r>
      </w:hyperlink>
      <w:r>
        <w:t xml:space="preserve">; </w:t>
      </w:r>
      <w:hyperlink r:id="rId2758">
        <w:r>
          <w:rPr>
            <w:color w:val="0000EE"/>
            <w:u w:val="single"/>
          </w:rPr>
          <w:t>1Cr 1.6</w:t>
        </w:r>
      </w:hyperlink>
      <w:r>
        <w:t>).</w:t>
      </w:r>
    </w:p>
    <w:p>
      <w:r/>
      <w:r>
        <w:t xml:space="preserve">Asquenaz é mencionado em </w:t>
      </w:r>
      <w:hyperlink r:id="rId1793">
        <w:r>
          <w:rPr>
            <w:color w:val="0000EE"/>
            <w:u w:val="single"/>
          </w:rPr>
          <w:t xml:space="preserve">Jeremias 51.27 </w:t>
        </w:r>
      </w:hyperlink>
      <w:r>
        <w:t>junto com Ararate e Mini. Isso sugere que Asquenaz foi o ancestral dos citas, que viviam na região de Ararate durante o tempo de Jeremias. Os citas eram conhecidos por serem ativos e belicosos. Eles causaram problemas para o Império Assírio e ajudaram a provocar sua queda.</w:t>
      </w:r>
    </w:p>
    <w:p>
      <w:r/>
      <w:r>
        <w:t>Hoje, o termo "Asquenazim" (a forma plural de Asquenaz) tem um significado diferente. Refere-se aos judeus que se estabeleceram na Europa Central e Oriental após serem forçados a deixar sua terra natal. Isso é diferente dos sefarditas, que são judeus que se estabeleceram na Espanha e em Portugal.</w:t>
      </w:r>
      <w:r/>
      <w:r/>
    </w:p>
    <w:p>
      <w:r/>
    </w:p>
    <w:p>
      <w:pPr>
        <w:pStyle w:val="Heading2"/>
      </w:pPr>
      <w:r>
        <w:t>Asriel, asrielita</w:t>
      </w:r>
      <w:r/>
    </w:p>
    <w:p>
      <w:r/>
      <w:r>
        <w:t>Filho de Manassés (</w:t>
      </w:r>
      <w:hyperlink r:id="rId2759">
        <w:r>
          <w:rPr>
            <w:color w:val="0000EE"/>
            <w:u w:val="single"/>
          </w:rPr>
          <w:t>1Cr 7.14</w:t>
        </w:r>
      </w:hyperlink>
      <w:r>
        <w:t>). Seus descendentes, os asrielitas, foram incluídos no censo de Moisés no deserto (</w:t>
      </w:r>
      <w:hyperlink r:id="rId2760">
        <w:r>
          <w:rPr>
            <w:color w:val="0000EE"/>
            <w:u w:val="single"/>
          </w:rPr>
          <w:t>Nm 26.31</w:t>
        </w:r>
      </w:hyperlink>
      <w:r>
        <w:t>). Mais tarde, eles receberam uma porção da terra da tribo de Manassés (</w:t>
      </w:r>
      <w:hyperlink r:id="rId2761">
        <w:r>
          <w:rPr>
            <w:color w:val="0000EE"/>
            <w:u w:val="single"/>
          </w:rPr>
          <w:t>Js 17.2</w:t>
        </w:r>
      </w:hyperlink>
      <w:r>
        <w:t>).</w:t>
      </w:r>
      <w:r/>
      <w:r/>
    </w:p>
    <w:p>
      <w:r/>
    </w:p>
    <w:p>
      <w:pPr>
        <w:pStyle w:val="Heading2"/>
      </w:pPr>
      <w:r>
        <w:t>Assento da misericórdia</w:t>
      </w:r>
      <w:r/>
    </w:p>
    <w:p>
      <w:r/>
      <w:r>
        <w:t xml:space="preserve">Placa de ouro colocada no topo da Arca da Aliança com querubins anexados em cada extremidade, denominada “propiciatório” em muitas versões em português da Bíblia (cf. </w:t>
      </w:r>
      <w:hyperlink r:id="rId2762">
        <w:r>
          <w:rPr>
            <w:color w:val="0000EE"/>
            <w:u w:val="single"/>
          </w:rPr>
          <w:t>Êx 25.17–22</w:t>
        </w:r>
      </w:hyperlink>
      <w:r>
        <w:t>). A palavra hebraica para a qual “assento da misericórdia” é a tradução é tecnicamente melhor traduzida como “propiciatório”, um termo que denota a remoção da ira pela oferta de um presente. A importância desta designação é encontrada na cerimônia realizada no Dia da Expiação, realizada uma vez por ano, quando o sangue era aspergido sobre o propiciatório para fazer expiação pelos pecados do povo de Israel (</w:t>
      </w:r>
      <w:hyperlink r:id="rId403">
        <w:r>
          <w:rPr>
            <w:color w:val="0000EE"/>
            <w:u w:val="single"/>
          </w:rPr>
          <w:t>Lv 16</w:t>
        </w:r>
      </w:hyperlink>
      <w:r>
        <w:t xml:space="preserve">). Devido à importância desta cobertura sobre a arca e à cerimônia associada a ela, o Santo dos Santos, onde a arca estava alojada no templo, é denominado “casa do propiciatório” em </w:t>
      </w:r>
      <w:hyperlink r:id="rId2763">
        <w:r>
          <w:rPr>
            <w:color w:val="0000EE"/>
            <w:u w:val="single"/>
          </w:rPr>
          <w:t>1Cr 28.11</w:t>
        </w:r>
      </w:hyperlink>
      <w:r>
        <w:t xml:space="preserve"> (ARC). O termo “propiciatório” entrou em uso em português a partir da tradução alemã de Lutero do termo hebraico, que é difícil de traduzir adequadamente do hebraico (cf. NVI “lugar do propiciatório” e NVT “lugar de expiação”).</w:t>
      </w:r>
    </w:p>
    <w:p>
      <w:r/>
      <w:r>
        <w:t>O propiciatório media dois côvados e meio (114,3 centímetros) por um côvado e meio (68,6 centímetros). Os querubins em cada extremidade também eram feitos de ouro e estavam voltados um para o outro, com suas asas estendidas para cima sobre a arca. Foi neste espaço acima da arca que a presença do Senhor com seu povo foi localizada de maneira especial, e de onde o Senhor fez seus mandamentos conhecidos a Moisés (</w:t>
      </w:r>
      <w:hyperlink r:id="rId2764">
        <w:r>
          <w:rPr>
            <w:color w:val="0000EE"/>
            <w:u w:val="single"/>
          </w:rPr>
          <w:t>Êx 25.22</w:t>
        </w:r>
      </w:hyperlink>
      <w:r>
        <w:t xml:space="preserve">; cf. também </w:t>
      </w:r>
      <w:hyperlink r:id="rId2444">
        <w:r>
          <w:rPr>
            <w:color w:val="0000EE"/>
            <w:u w:val="single"/>
          </w:rPr>
          <w:t>Lv 16.2</w:t>
        </w:r>
      </w:hyperlink>
      <w:r>
        <w:t>). Devido à estreita associação da presença do Senhor com o espaço acima da arca, diz-se que ele está entronizado entre os querubins (</w:t>
      </w:r>
      <w:hyperlink r:id="rId2765">
        <w:r>
          <w:rPr>
            <w:color w:val="0000EE"/>
            <w:u w:val="single"/>
          </w:rPr>
          <w:t>1Sm 4.4</w:t>
        </w:r>
      </w:hyperlink>
      <w:r>
        <w:t xml:space="preserve">; </w:t>
      </w:r>
      <w:hyperlink r:id="rId2766">
        <w:r>
          <w:rPr>
            <w:color w:val="0000EE"/>
            <w:u w:val="single"/>
          </w:rPr>
          <w:t>2Sm 6.2</w:t>
        </w:r>
      </w:hyperlink>
      <w:r>
        <w:t>). A própria arca continha as tábuas de pedra inscritas com os Dez Mandamentos, que resumiam as obrigações da aliança dos israelitas para com seu Rei divino. Quando os filhos de Israel não cumpriam suas obrigações da aliança, pecando contra Deus e quebrando seus mandamentos, o sangue do sacrifício aspergido sobre o propiciatório fazia expiação por seu pecado e os reconciliava com Deus.</w:t>
      </w:r>
    </w:p>
    <w:p>
      <w:r/>
      <w:r>
        <w:t>O propiciatório ou assento de misericórdia aponta para Jesus, que é denominado por Paulo (</w:t>
      </w:r>
      <w:hyperlink r:id="rId2767">
        <w:r>
          <w:rPr>
            <w:color w:val="0000EE"/>
            <w:u w:val="single"/>
          </w:rPr>
          <w:t>Rm 3.25</w:t>
        </w:r>
      </w:hyperlink>
      <w:r>
        <w:t xml:space="preserve">) como o “meio de propiciação” através da fé em seu sangue para todos os que pecaram e carecem da glória de Deus. Aqui em </w:t>
      </w:r>
      <w:hyperlink r:id="rId2767">
        <w:r>
          <w:rPr>
            <w:color w:val="0000EE"/>
            <w:u w:val="single"/>
          </w:rPr>
          <w:t>Romanos 3.25</w:t>
        </w:r>
      </w:hyperlink>
      <w:r>
        <w:t xml:space="preserve">, o termo grego traduzido como “propiciação” é a mesma palavra grega consistentemente usada na Septuaginta e em </w:t>
      </w:r>
      <w:hyperlink r:id="rId2768">
        <w:r>
          <w:rPr>
            <w:color w:val="0000EE"/>
            <w:u w:val="single"/>
          </w:rPr>
          <w:t>Hebreus 9.5</w:t>
        </w:r>
      </w:hyperlink>
      <w:r>
        <w:t xml:space="preserve"> para traduzir a palavra hebraica para assento de misericórdia no AT.</w:t>
      </w:r>
    </w:p>
    <w:p>
      <w:r/>
      <w:r>
        <w:rPr>
          <w:i/>
        </w:rPr>
        <w:t>Veja também</w:t>
      </w:r>
      <w:r>
        <w:t xml:space="preserve"> </w:t>
      </w:r>
      <w:r>
        <w:t>Arca da Aliança</w:t>
      </w:r>
      <w:r>
        <w:t xml:space="preserve">; </w:t>
      </w:r>
      <w:r>
        <w:t>Propiciação</w:t>
      </w:r>
      <w:r>
        <w:t xml:space="preserve">; </w:t>
      </w:r>
      <w:r>
        <w:t>Tabernáculo</w:t>
      </w:r>
      <w:r>
        <w:t xml:space="preserve">; </w:t>
      </w:r>
      <w:r>
        <w:t>Templo</w:t>
      </w:r>
      <w:r>
        <w:t>.</w:t>
      </w:r>
      <w:r/>
      <w:r/>
    </w:p>
    <w:p>
      <w:r/>
    </w:p>
    <w:p>
      <w:pPr>
        <w:pStyle w:val="Heading2"/>
      </w:pPr>
      <w:r>
        <w:t>Assir</w:t>
      </w:r>
      <w:r/>
    </w:p>
    <w:p>
      <w:pPr>
        <w:pStyle w:val="ListNumber"/>
        <w:spacing w:line="240" w:lineRule="auto"/>
        <w:ind w:left="720"/>
      </w:pPr>
      <w:r/>
      <w:r>
        <w:t>Filho de Corá e descendente de Levi através de Coate (</w:t>
      </w:r>
      <w:hyperlink r:id="rId63">
        <w:r>
          <w:rPr>
            <w:color w:val="0000EE"/>
            <w:u w:val="single"/>
          </w:rPr>
          <w:t>Êx 6.24</w:t>
        </w:r>
      </w:hyperlink>
      <w:r>
        <w:t xml:space="preserve">; </w:t>
      </w:r>
      <w:hyperlink r:id="rId1095">
        <w:r>
          <w:rPr>
            <w:color w:val="0000EE"/>
            <w:u w:val="single"/>
          </w:rPr>
          <w:t>1Cr 6.22</w:t>
        </w:r>
      </w:hyperlink>
      <w:r>
        <w:t>).</w:t>
      </w:r>
    </w:p>
    <w:p>
      <w:pPr>
        <w:pStyle w:val="ListNumber"/>
        <w:spacing w:line="240" w:lineRule="auto"/>
        <w:ind w:left="720"/>
      </w:pPr>
      <w:r/>
      <w:r>
        <w:t>Filho de Ebiasafe e descendente do primeiro Assir (</w:t>
      </w:r>
      <w:hyperlink r:id="rId2769">
        <w:r>
          <w:rPr>
            <w:color w:val="0000EE"/>
            <w:u w:val="single"/>
          </w:rPr>
          <w:t>1Cr 6.23,37</w:t>
        </w:r>
      </w:hyperlink>
      <w:r>
        <w:t>).</w:t>
      </w:r>
    </w:p>
    <w:p>
      <w:pPr>
        <w:pStyle w:val="ListNumber"/>
        <w:spacing w:line="240" w:lineRule="auto"/>
        <w:ind w:left="720"/>
      </w:pPr>
      <w:r/>
      <w:r>
        <w:t>O filho de Jeconias (também chamado de Jeoaquim), rei de Judá (</w:t>
      </w:r>
      <w:hyperlink r:id="rId2770">
        <w:r>
          <w:rPr>
            <w:color w:val="0000EE"/>
            <w:u w:val="single"/>
          </w:rPr>
          <w:t>1Cr 3.17</w:t>
        </w:r>
      </w:hyperlink>
      <w:r>
        <w:t xml:space="preserve">). A palavra hebraica </w:t>
      </w:r>
      <w:r>
        <w:rPr>
          <w:i/>
        </w:rPr>
        <w:t>Assir</w:t>
      </w:r>
      <w:r>
        <w:t xml:space="preserve"> pode ser um adjetivo descrevendo Jeconias. Isso significaria "enquanto cativo" (compare </w:t>
      </w:r>
      <w:hyperlink r:id="rId2771">
        <w:r>
          <w:rPr>
            <w:color w:val="0000EE"/>
            <w:u w:val="single"/>
          </w:rPr>
          <w:t>2Rs 24.15</w:t>
        </w:r>
      </w:hyperlink>
      <w:r>
        <w:t>). Se for assim, seus filhos nasceram enquanto ele estava cativo.</w:t>
      </w:r>
      <w:r/>
      <w:r/>
    </w:p>
    <w:p>
      <w:r/>
    </w:p>
    <w:p>
      <w:pPr>
        <w:pStyle w:val="Heading2"/>
      </w:pPr>
      <w:r>
        <w:t>Assíria, assírios</w:t>
      </w:r>
      <w:r/>
    </w:p>
    <w:p>
      <w:r/>
      <w:r>
        <w:t>Império antigo considerado o símbolo de terror e tirania no Oriente Próximo por mais de três séculos. Assíria recebeu seu nome da pequena cidade-estado Assur, na margem ocidental do Rio Tigre, no norte da Mesopotâmia (atual Iraque). A cidade era o centro de adoração do deus do sol Assur (também escrito Ashur). O nome hebraico ocorre frequentemente na Bíblia e é traduzido como Assíria (</w:t>
      </w:r>
      <w:hyperlink r:id="rId2772">
        <w:r>
          <w:rPr>
            <w:color w:val="0000EE"/>
            <w:u w:val="single"/>
          </w:rPr>
          <w:t>Gn 2.14</w:t>
        </w:r>
      </w:hyperlink>
      <w:r>
        <w:t>), às vezes transliterado como Assur. A forma do nome vem originalmente da língua acadiana.</w:t>
      </w:r>
    </w:p>
    <w:p>
      <w:r/>
      <w:r>
        <w:t>Originalmente, a Assíria era um pequeno distrito no norte da Mesopotâmia, situado em um triângulo irregular entre o Rio Tigre e o Alto Zab, um afluente do Tigre. Eventualmente, a Assíria ganhou controle do norte da Síria, garantindo uma saída para o Mar Mediterrâneo, e tomou posse da fértil planície mesopotâmica, estendendo o domínio assírio sobre toda a Babilônia até o Golfo Pérsico.</w:t>
      </w:r>
    </w:p>
    <w:p>
      <w:pPr>
        <w:pStyle w:val="Heading3"/>
      </w:pPr>
      <w:r>
        <w:t>História</w:t>
      </w:r>
    </w:p>
    <w:p>
      <w:pPr>
        <w:pStyle w:val="Heading4"/>
      </w:pPr>
      <w:r>
        <w:t>Antes do oitavo século a.C.</w:t>
      </w:r>
    </w:p>
    <w:p>
      <w:r/>
      <w:r>
        <w:t>No final do terceiro milênio a.C., os sumérios estavam comercializando com a Assíria e influenciando seu povo culturalmente. Periodicamente, reis sumérios reivindicavam controle político sobre a Assíria. Sargão de Agade (ca. 2350 a.C.) trouxe a Assíria para a esfera de suas atividades políticas e comerciais, e quando os amoritas derrubaram a terceira dinastia de Ur e estabeleceram seus próprios estados, um deles incorporou a Assíria em seu território. Durante o período de Hamurábi, um dos últimos grandes reis da primeira dinastia babilônica (ca. 2360–1600 a.C.), os assírios forneciam materiais de construção e outros bens para o reino babilônico.</w:t>
      </w:r>
    </w:p>
    <w:p>
      <w:r/>
      <w:r>
        <w:t>O comércio entre Assur e a colônia assíria de Kanish na Anatólia começou muito cedo na história assíria. As mercadorias eram transportadas por caravanas de até 200 burros de cada vez. A riqueza proveniente de tal comércio colocou a Assíria em uma posição econômica muito forte.</w:t>
      </w:r>
    </w:p>
    <w:p>
      <w:r/>
      <w:r>
        <w:t>A fase inicial do desenvolvimento comercial assírio foi seguida por um longo período de declínio, culminando no século quinze a.C. Naquela época, a Assíria foi reduzida a um estado de vassalagem por um povo não semita, os hurrianos (bíblico horeus) do estado de Mitani. No século quatorze, outro povo não semita, os hititas, derrubou o poder de Mitani. A Assíria foi gradualmente capaz de se reerguer e assumir o papel de uma grande potência no antigo Oriente Próximo, em grande parte através das políticas de um príncipe astuto, Assur-uballit. Seu reinado marcou o início de um longo processo pelo qual a Assíria finalmente se elevou à supremacia.</w:t>
      </w:r>
    </w:p>
    <w:p>
      <w:r/>
      <w:r>
        <w:t>Enlil-nirari (1329–1320 a.C.), filho e sucessor de Assur-uballit, atacou Babilônia e derrotou Kurigalzu II, o rei cassita de Babilônia (1345–1324 a.C.). Adad-nirari I (1307–1275 a.C.) expandiu a influência da Assíria ao conquistar vitórias sobre os cassitas na Babilônia. Ele também adicionou território ao noroeste.</w:t>
      </w:r>
    </w:p>
    <w:p>
      <w:r/>
      <w:r>
        <w:t>O período de consolidação e expansão no primeiro Império Assírio culminou na captura de Babilônia por Tukulti-ninurta I (1244–1208 a.C.), o que pela primeira vez colocou Babilônia sob domínio assírio. Após esse clímax, no entanto, o poder assírio declinou.</w:t>
      </w:r>
    </w:p>
    <w:p>
      <w:r/>
      <w:r>
        <w:t>Os três séculos de cerca de 1200 a 900 a.C. foram marcados por movimentos de diferentes povos, como os gregos, filisteus, arameus e hebreus. Sob pressão de pessoas migrando da Europa, o Império Hitita, que anteriormente havia dado estabilidade política à Ásia Menor e protegido as rotas comerciais, desmoronou rapidamente. Por volta de 1200 a.C., caiu sob ataques dos Povos do Mar vindos do continente grego.</w:t>
      </w:r>
    </w:p>
    <w:p>
      <w:r/>
      <w:r>
        <w:t>Durante o décimo século a.C., a Assíria começou a se recuperar lentamente. No reinado de Adad-nirari II (911–891 a.C.), a Assíria novamente iniciou um período de notável expansão econômica e militar. Nos 60 anos seguintes, os reis assírios seguiram uma política consistente de consolidar o trabalho de Adad-nirari II. Asurnasirpal II (885–860 a.C.) é considerado o primeiro grande monarca dessa nova era na história assíria. Ele possuía todas as qualidades e defeitos de seus sucessores ao extremo. Ele tinha a ambição, energia, coragem, vaidade e magnificência de um construtor de impérios implacável e incansável. As primeiras atividades de Asurnasirpal foram direcionadas à área montanhosa a Leste, onde ele estendeu o controle da Assíria entre os povos das montanhas. No oeste, ele subjugou os arameus com crueldade característica e fez o mesmo na Ásia Menor.</w:t>
      </w:r>
    </w:p>
    <w:p>
      <w:r/>
      <w:r>
        <w:t>Salmaneser III é bem conhecido pelos historiadores do mundo bíblico pela batalha de Qarqar (853 a.C.), considerada o evento mais bem documentado do mundo antigo. Ele lançou uma invasão da Síria que foi enfrentada por uma coalizão liderada por Ben-Hadade de Damasco e apoiada pelo rei Acabe de Israel e vários outros estados. Como Salmaneser não conseguiu derrotar as 60.000 tropas que se opunham a ele, passaram-se muitos anos antes que os assírios conseguissem conquistar Damasco e Samaria. O rei Jeú de Israel (841–814 a.C.), que mais tarde optou por pagar tributo em vez de lutar, está representado, talvez por um enviado, no Obelisco Negro de Salmaneser III, escavado na cidade capital de Salmaneser, Calá (agora chamada Nimrud). Jeú é retratado beijando o chão aos pés do monarca assírio e oferecendo um tributo de vasos de prata, ouro e chumbo.</w:t>
      </w:r>
    </w:p>
    <w:p>
      <w:r/>
      <w:r>
        <w:t>Perto do final de seu reinado, Salmaneser teve que suprimir uma rebelião em algumas das principais cidades assírias. Ele foi sucedido por seu herdeiro, Shamshi-adad V (823–811 a.C.). O filho de Shamshi-adad, Adad-nirari III (810–782 a.C.), construiu um novo palácio em Calá e atacou o rei Hazael de Damasco (Síria) em 804 a.C. A pressão assíria sobre os sírios foi, sem dúvida, um alívio para Israel, que havia sido oprimido por Hazael (</w:t>
      </w:r>
      <w:hyperlink r:id="rId2773">
        <w:r>
          <w:rPr>
            <w:color w:val="0000EE"/>
            <w:u w:val="single"/>
          </w:rPr>
          <w:t>2Rs 13.22–25</w:t>
        </w:r>
      </w:hyperlink>
      <w:r>
        <w:t>).</w:t>
      </w:r>
    </w:p>
    <w:p>
      <w:pPr>
        <w:pStyle w:val="Heading4"/>
      </w:pPr>
      <w:r>
        <w:t>Do oitavo século à batalha de Carquemis (605 a.C.)</w:t>
      </w:r>
    </w:p>
    <w:p>
      <w:r/>
      <w:r>
        <w:t>A partir de cerca de 800 a.C., a influência de Urartu (Ararat) começou a se expandir, especialmente no norte da Síria, às custas da Assíria. No meio século seguinte, houve um declínio drástico na sorte da Assíria. Em 746 a.C., durante uma revolta na cidade de Calá, toda a família real foi assassinada.</w:t>
      </w:r>
    </w:p>
    <w:p>
      <w:r/>
      <w:r>
        <w:t>A fase final do poder assírio foi instituída pelo usurpador Tiglate-Pileser III (745–727 a.C.), também conhecido pelo seu nome de trono babilônico adotado, Pul (</w:t>
      </w:r>
      <w:hyperlink r:id="rId2774">
        <w:r>
          <w:rPr>
            <w:color w:val="0000EE"/>
            <w:u w:val="single"/>
          </w:rPr>
          <w:t>2Rs 15.19</w:t>
        </w:r>
      </w:hyperlink>
      <w:r>
        <w:t xml:space="preserve">; </w:t>
      </w:r>
      <w:hyperlink r:id="rId2775">
        <w:r>
          <w:rPr>
            <w:color w:val="0000EE"/>
            <w:u w:val="single"/>
          </w:rPr>
          <w:t>1Cr 5.26</w:t>
        </w:r>
      </w:hyperlink>
      <w:r>
        <w:t>). Seu reinado iniciou o processo pelo qual a Assíria recuperou e consolidou o controle de todos os seus territórios e se estabeleceu firmemente como a potência militar e econômica dominante no Oriente Próximo. Tiglate-Pileser primeiro assegurou o controle das passagens montanhosas no norte para eliminar a ameaça de invasão daquela direção. Em seguida, ele submeteu a Síria e a Palestina no oeste e tomou controle da estrada para o Egito e o Mar Mediterrâneo. Finalmente, através da diplomacia, ele também conquistou o trono da Babilônia. Sob o nome de Pul, ele governou a Babilônia, criando a situação notável de duas coroas unidas em um governante com dois nomes diferentes. Sua prudência política não era geralmente encontrada nos monarcas assírios implacáveis.</w:t>
      </w:r>
    </w:p>
    <w:p>
      <w:r/>
      <w:r>
        <w:t>A partir do ano 743 a.C., Tiglate-Pileser III empreendeu várias campanhas na Síria e Palestina. O rei Menaém de Israel (752–742 a.C.) pagou-lhe tributo (</w:t>
      </w:r>
      <w:hyperlink r:id="rId2776">
        <w:r>
          <w:rPr>
            <w:color w:val="0000EE"/>
            <w:u w:val="single"/>
          </w:rPr>
          <w:t>2Rs 15.19–20</w:t>
        </w:r>
      </w:hyperlink>
      <w:r>
        <w:t>), assim como Tiro, Biblos e Damasco. Em 738, ele subjugou o estado norte-central de Hamate. Respondendo a um apelo do rei Acaz de Judá (735–715 a.C.) para ajudar a resistir às pressões de uma proposta de coalizão antiassíria, Tiglate-Pileser conquistou Damasco em 732 e Samaria, capital do reino do norte de Israel, uma década depois. Em ambas as ocasiões, ocorreram deportações de pessoas para a Assíria. A queda de Samaria em 722 a.C. marcou o fim do reino de Israel.</w:t>
      </w:r>
    </w:p>
    <w:p>
      <w:r/>
      <w:r>
        <w:t>Sargão II (722–705 a.C.) afirmou ser o governante assírio que capturou Samaria, mas o registro bíblico atribuiu a captura a Salmaneser (</w:t>
      </w:r>
      <w:hyperlink r:id="rId2777">
        <w:r>
          <w:rPr>
            <w:color w:val="0000EE"/>
            <w:u w:val="single"/>
          </w:rPr>
          <w:t>2Rs 17.2–6</w:t>
        </w:r>
      </w:hyperlink>
      <w:r>
        <w:t>). À política de deportação, Sargão e seus sucessores acrescentaram a de colonização. Para substituir os povos levados ao cativeiro, esses reis assírios trouxeram tribos da Babilônia, Elam, Síria e Arábia e as estabeleceram em Samaria e no território circundante. Os novos chegados se misturaram com o povo nativo que permaneceu na terra após a deportação e se tornaram os samaritanos.</w:t>
      </w:r>
    </w:p>
    <w:p>
      <w:r/>
      <w:r>
        <w:t xml:space="preserve">Após 10 anos de guerra contra seus inimigos a oeste na Síria e na Ásia Menor, e ao norte em Urartu, Sargão concentrou seus esforços na Babilônia. Ele perseguiu Merodaque-Baladã II (721–710 a.C.; cf. </w:t>
      </w:r>
      <w:hyperlink r:id="rId2778">
        <w:r>
          <w:rPr>
            <w:color w:val="0000EE"/>
            <w:u w:val="single"/>
          </w:rPr>
          <w:t>2Rs 20.12–19</w:t>
        </w:r>
      </w:hyperlink>
      <w:r>
        <w:t xml:space="preserve">; </w:t>
      </w:r>
      <w:hyperlink r:id="rId2779">
        <w:r>
          <w:rPr>
            <w:color w:val="0000EE"/>
            <w:u w:val="single"/>
          </w:rPr>
          <w:t>Is 39.1</w:t>
        </w:r>
      </w:hyperlink>
      <w:r>
        <w:t>) até Elam e se fez rei da Babilônia em 709. Ele começou a construir uma nova capital para si, Dur-Sharrukin (Khorsabad) perto de Nínive, mas foi morto em batalha antes que estivesse concluída.</w:t>
      </w:r>
    </w:p>
    <w:p>
      <w:r/>
      <w:r>
        <w:t>Sargão foi sucedido por seu filho Senaqueribe (705–681 a.C.), que esteve ocupado durante todo o seu reinado em uma série de guerras amargas. Ele é especialmente conhecido nos estudos bíblicos por sua campanha contra Judá e cerco de Jerusalém durante o reinado do Rei Ezequias (715–686 a.C.) e o ministério do profeta Isaías (</w:t>
      </w:r>
      <w:hyperlink r:id="rId2780">
        <w:r>
          <w:rPr>
            <w:color w:val="0000EE"/>
            <w:u w:val="single"/>
          </w:rPr>
          <w:t>2Rs 18.13–19.37</w:t>
        </w:r>
      </w:hyperlink>
      <w:r>
        <w:t xml:space="preserve">; </w:t>
      </w:r>
      <w:hyperlink r:id="rId2781">
        <w:r>
          <w:rPr>
            <w:color w:val="0000EE"/>
            <w:u w:val="single"/>
          </w:rPr>
          <w:t>Is 36–37</w:t>
        </w:r>
      </w:hyperlink>
      <w:r>
        <w:t>). Foi durante essa crise que o celebrado Túnel de Siloé foi construído para levar água à capital sitiada da fonte de Giom, fora da muralha da cidade, até o tanque de Siloé (</w:t>
      </w:r>
      <w:hyperlink r:id="rId2782">
        <w:r>
          <w:rPr>
            <w:color w:val="0000EE"/>
            <w:u w:val="single"/>
          </w:rPr>
          <w:t>2Rs 20.20</w:t>
        </w:r>
      </w:hyperlink>
      <w:r>
        <w:t>).</w:t>
      </w:r>
    </w:p>
    <w:p>
      <w:r/>
      <w:r>
        <w:t xml:space="preserve">Senaqueribe foi assassinado em 681 a.C. e foi sucedido por Esar-Hadom, que tentou sem sucesso estabelecer o controle assírio sobre o Egito. Esar-Hadom foi sucedido por Assurbanípal (669–626? a.C.), que conseguiu capturar No-Amom (Tebas), realizando assim a maior vitória da história assíria (cf. </w:t>
      </w:r>
      <w:hyperlink r:id="rId2783">
        <w:r>
          <w:rPr>
            <w:color w:val="0000EE"/>
            <w:u w:val="single"/>
          </w:rPr>
          <w:t>Na 3.3–10</w:t>
        </w:r>
      </w:hyperlink>
      <w:r>
        <w:t>). Assurbanipal estabeleceu uma Grande biblioteca em Nínive, que foi escavada em 1860. Muitas tábuas feitas do mais fino barro e variando em tamanho de 2,5 a 38 centímetros (1 a 15 polegadas) foram encontradas, contendo uma vasta seleção de material acádio. Algumas das tábuas contêm registros históricos; outras, relatórios astronômicos, cálculos matemáticos e cartas privadas ou públicas. Uma parte considerável da coleção trata de astrologia e medicina. Muitas das tábuas contêm orações, encantamentos, salmos e textos religiosos em geral. Também foi encontrada uma cópia do relato babilônico da criação. Esta biblioteca é agora um dos principais tesouros do Museu Britânico em Londres.</w:t>
      </w:r>
    </w:p>
    <w:p>
      <w:r/>
      <w:r>
        <w:t>Muito pouco se sabe sobre o reinado de Assurbanipal após 639 a.C., já que seus anais não se estendem além desse ano. No entanto, algumas informações sobre os eventos de seus últimos 13 anos podem ser obtidas a partir de alusões em correspondências estatais, documentos comerciais e orações dirigidas aos deuses. Evidentemente, a situação na Assíria estava se tornando cada vez mais séria, e quando Assurbanipal morreu em 626, seu império declinou rapidamente.</w:t>
      </w:r>
    </w:p>
    <w:p>
      <w:r/>
      <w:r>
        <w:t>Os medos entraram nos anais assírios durante o reinado de Esar-Hadom, quando ainda consistiam em um grande número de tribos associadas, mas separadas. Mais tarde, essas tribos começaram a ser unidas em um único reino. Heródoto afirma que Fraortes, seu rei, atacou a Assíria, mas perdeu a vida no campo de batalha e foi sucedido por seu filho Ciaxares.</w:t>
      </w:r>
    </w:p>
    <w:p>
      <w:r/>
      <w:r>
        <w:t>O ano 626 a.C. marcou vários eventos importantes no mundo antigo. Nabopolassar, um príncipe caldeu, tornou-se rei da Babilônia (626–605 a.C.) no final daquele ano. Uma aliança entre os medos e Nabopolassar foi concluída, e a partir de então, o sucesso de Nabopolassar contra a Assíria foi quase inevitável. No ano 617 a.C., ele havia limpado a Babilônia de todas as guarnições assírias. Ele então marchou pelo Eufrates até os distritos arameus que haviam sido parte do Império Assírio por dois séculos e meio. O plano era que Nabopolassar atacasse Nínive pelo oeste e os medos a atacassem ao mesmo tempo pelo leste; no entanto, as forças combinadas dos assírios e egípcios, agora aliados, obrigaram Nabopolassar a retirar-se para a Babilônia.</w:t>
      </w:r>
    </w:p>
    <w:p>
      <w:r/>
      <w:r>
        <w:t>Em 614 a.C. os medos realizaram um ataque massivo à Assíria. Embora Nínive fosse forte demais para ceder ao ataque, os medos capturaram algumas das cidades vizinhas, incluindo Assur, a antiga capital. Nesse ponto, Nabopolassar chegou com as forças babilônicas. Ele encontrou-se com Ciáxares em Assur, e eles estabeleceram amizade e paz mútuas. Sua aliança foi posteriormente confirmada pelo casamento de Nabucodonosor, filho de Nabopolassar, com Amitis, filha de Ciáxares. Em 612 a.C. suas forças combinadas lançaram um ataque final contra Nínive, e após três meses de cerco, a poderosa cidade caiu (</w:t>
      </w:r>
      <w:hyperlink r:id="rId2784">
        <w:r>
          <w:rPr>
            <w:color w:val="0000EE"/>
            <w:u w:val="single"/>
          </w:rPr>
          <w:t>Na 1.8</w:t>
        </w:r>
      </w:hyperlink>
      <w:r>
        <w:t>).</w:t>
      </w:r>
    </w:p>
    <w:p>
      <w:r/>
      <w:r>
        <w:t>Apesar da perda de sua capital, um reino assírio enfraquecido sobreviveu por mais três anos. As tropas assírias que conseguiram escapar de Nínive fugiram para o oeste, para Harã, onde um príncipe assírio, Assur-uballit, foi feito rei e buscou a ajuda do Egito para restaurar a realeza da Assíria. Neco II (609–593 a.C.), conhecido na Bíblia como Neco, respondeu e partiu com suas tropas egípcias para Harã para lutar contra os babilônios, que agora haviam aniquilado a Assíria. O rei Josias de Judá (640–609 a.C.), que evidentemente se considerava um vassalo do herdeiro da Assíria, Neo-Babilônia, marchou para se opor ao avanço egípcio e foi mortalmente ferido por uma flecha no campo de batalha de Megido (</w:t>
      </w:r>
      <w:hyperlink r:id="rId2785">
        <w:r>
          <w:rPr>
            <w:color w:val="0000EE"/>
            <w:u w:val="single"/>
          </w:rPr>
          <w:t>2Rs 23.29–30</w:t>
        </w:r>
      </w:hyperlink>
      <w:r>
        <w:t xml:space="preserve">; </w:t>
      </w:r>
      <w:hyperlink r:id="rId2786">
        <w:r>
          <w:rPr>
            <w:color w:val="0000EE"/>
            <w:u w:val="single"/>
          </w:rPr>
          <w:t>2Cr 35.20–24</w:t>
        </w:r>
      </w:hyperlink>
      <w:r>
        <w:t>).</w:t>
      </w:r>
    </w:p>
    <w:p>
      <w:r/>
      <w:r>
        <w:t>Quando Nabopolassar e seus aliados atacaram Harã em 610 a.C., Assur-uballit não tentou defendê-la, mas fugiu para o sudoeste para aguardar Neco e suas tropas. As forças conjuntas dos egípcios e dos assírios voltaram para montar um ataque a Harã com algum sucesso inicial. Mas o exército de Nabopolassar obrigou as forças assírio-egípcias a abandonar o cerco e retirar-se para Carquemis (atual Jarablus). Lá, sob a liderança de Nabucodonozor, os babilônios fizeram um ataque direto ao poderoso exército. A carnificina resultante de ambos os lados foi graficamente descrita pelo profeta Jeremias (</w:t>
      </w:r>
      <w:hyperlink r:id="rId2787">
        <w:r>
          <w:rPr>
            <w:color w:val="0000EE"/>
            <w:u w:val="single"/>
          </w:rPr>
          <w:t>46.1–12</w:t>
        </w:r>
      </w:hyperlink>
      <w:r>
        <w:t>). Nabucodonozor saiu vitorioso na batalha de Carquemis (605 a.C.). No entanto, devido à morte de seu pai, ele não perseguiu sua vitória, mas voltou para Babilônia para assumir o trono.</w:t>
      </w:r>
    </w:p>
    <w:p>
      <w:r/>
      <w:r>
        <w:t>Há uma tradição na igreja cristã assíria de que, após o colapso do Império Assírio sob o ataque dos medos e neobabilônios, um remanescente do povo assírio — principalmente príncipes, nobres e guerreiros — refugiou-se nas montanhas do Curdistão. Lá, construíram várias fortalezas armadas. Alexandre, o Grande (336–323 a.C.), seus sucessores e as legiões romanas não tentaram conquistar essas tribos. Trajano (98–117 d.C.) marchou à frente dos exércitos romanos através da Armênia, tocando a região norte do Curdistão, a caminho da Pérsia. Afirma-se que os sábios, ou magos, que visitaram o recém-nascido rei em Belém, o bebê Jesus, vieram de Edessa. Segundo essa tradição, os magos, ao retornarem de Belém, proclamaram as coisas incríveis que ouviram e viram em sua visita ao rei. Uma igreja cristã foi fundada entre os assírios e sobreviveu ao longo dos séculos.</w:t>
      </w:r>
    </w:p>
    <w:p>
      <w:r/>
      <w:r>
        <w:t>A região que era a Assíria, incluindo toda a Mesopotâmia, está dentro do atual Iraque, um país de língua árabe predominantemente muçulmano em religião.</w:t>
      </w:r>
    </w:p>
    <w:p>
      <w:r/>
      <w:r>
        <w:rPr>
          <w:i/>
        </w:rPr>
        <w:t>Veja também</w:t>
      </w:r>
      <w:r>
        <w:t xml:space="preserve"> </w:t>
      </w:r>
      <w:r>
        <w:t>Israel, História de</w:t>
      </w:r>
      <w:r>
        <w:t xml:space="preserve">; </w:t>
      </w:r>
      <w:r>
        <w:t>Reis, Livros de Primeiro e Segundo</w:t>
      </w:r>
      <w:r>
        <w:t xml:space="preserve">; </w:t>
      </w:r>
      <w:r>
        <w:t>Mesopotâmia</w:t>
      </w:r>
      <w:r>
        <w:t>.</w:t>
      </w:r>
      <w:r/>
      <w:r/>
    </w:p>
    <w:p>
      <w:r/>
    </w:p>
    <w:p>
      <w:pPr>
        <w:pStyle w:val="Heading2"/>
      </w:pPr>
      <w:r>
        <w:t>Assôs</w:t>
      </w:r>
      <w:r/>
    </w:p>
    <w:p>
      <w:r/>
      <w:r>
        <w:t xml:space="preserve">Assôs era um porto marítimo em Mísia, parte da província romana da Ásia Menor. O apóstolo Paulo e Lucas se reuniram em Assôs depois que Paulo viajou por terra de Troas, conforme descrito em </w:t>
      </w:r>
      <w:hyperlink r:id="rId2754">
        <w:r>
          <w:rPr>
            <w:color w:val="0000EE"/>
            <w:u w:val="single"/>
          </w:rPr>
          <w:t>Atos 20.13</w:t>
        </w:r>
      </w:hyperlink>
      <w:r>
        <w:t>–</w:t>
      </w:r>
      <w:hyperlink r:id="rId2754">
        <w:r>
          <w:rPr>
            <w:color w:val="0000EE"/>
            <w:u w:val="single"/>
          </w:rPr>
          <w:t>14</w:t>
        </w:r>
      </w:hyperlink>
      <w:r>
        <w:t xml:space="preserve">. O escritor romano Plínio observou que os reis de Pérgamo fundaram a cidade, que originalmente se chamava Apolônia. Assôs estava localizada no topo e ao longo dos lados em terraços de um cone vulcânico extinto que se eleva a 234,6 metros. O filósofo grego Aristóteles viveu lá por vários anos. Foi também onde nasceu Cleantes, um poeta estóico mencionado por Paulo em </w:t>
      </w:r>
      <w:hyperlink r:id="rId2411">
        <w:r>
          <w:rPr>
            <w:color w:val="0000EE"/>
            <w:u w:val="single"/>
          </w:rPr>
          <w:t>Atos 17.28</w:t>
        </w:r>
      </w:hyperlink>
      <w:r>
        <w:t>. Hoje, Assôs é conhecida como Behram Kevi.</w:t>
      </w:r>
      <w:r/>
      <w:r/>
    </w:p>
    <w:p>
      <w:r/>
    </w:p>
    <w:p>
      <w:pPr>
        <w:pStyle w:val="Heading2"/>
      </w:pPr>
      <w:r>
        <w:t>Assur</w:t>
      </w:r>
      <w:r/>
    </w:p>
    <w:p>
      <w:r/>
      <w:r>
        <w:t xml:space="preserve">Uma palavra hebraica que é difícil de traduzir. Nas Bíblias em português, é traduzida como Assíria, assírio, assírios, ou simplesmente "Assur". Todas essas traduções vêm da palavra assíria </w:t>
      </w:r>
      <w:r>
        <w:rPr>
          <w:i/>
        </w:rPr>
        <w:t>Assur.</w:t>
      </w:r>
    </w:p>
    <w:p>
      <w:pPr>
        <w:pStyle w:val="ListNumber"/>
        <w:spacing w:line="240" w:lineRule="auto"/>
        <w:ind w:left="720"/>
      </w:pPr>
      <w:r/>
      <w:r>
        <w:t xml:space="preserve">A palavra para Assíria em </w:t>
      </w:r>
      <w:hyperlink r:id="rId2788">
        <w:r>
          <w:rPr>
            <w:color w:val="0000EE"/>
            <w:u w:val="single"/>
          </w:rPr>
          <w:t>Gênesis 10.11</w:t>
        </w:r>
      </w:hyperlink>
      <w:r>
        <w:t xml:space="preserve"> não se refere a uma pessoa e deve ser traduzida como: “Dessa terra ele [Ninrode] partiu para a Assíria”. Nesse país, a leste do Rio Tigre, Ninrode construiu quatro cidades: Nínive, Reobote-Ir, Calá e Resém.</w:t>
      </w:r>
    </w:p>
    <w:p>
      <w:pPr>
        <w:pStyle w:val="ListNumber"/>
        <w:spacing w:line="240" w:lineRule="auto"/>
        <w:ind w:left="720"/>
      </w:pPr>
      <w:r/>
      <w:r>
        <w:t>Filho de Sem (</w:t>
      </w:r>
      <w:hyperlink r:id="rId2789">
        <w:r>
          <w:rPr>
            <w:color w:val="0000EE"/>
            <w:u w:val="single"/>
          </w:rPr>
          <w:t>Gn 10.22</w:t>
        </w:r>
      </w:hyperlink>
      <w:r>
        <w:t xml:space="preserve">; </w:t>
      </w:r>
      <w:hyperlink r:id="rId2311">
        <w:r>
          <w:rPr>
            <w:color w:val="0000EE"/>
            <w:u w:val="single"/>
          </w:rPr>
          <w:t>1Cr 1.17</w:t>
        </w:r>
      </w:hyperlink>
      <w:r>
        <w:t>). Isso pode significar todo o povo assírio, ou pode ser uma pessoa real. No entanto, outros nomes como Arfaxade parecem se referir a pessoas individuais, então Assur deve ser interpretado da mesma forma (</w:t>
      </w:r>
      <w:hyperlink r:id="rId2790">
        <w:r>
          <w:rPr>
            <w:color w:val="0000EE"/>
            <w:u w:val="single"/>
          </w:rPr>
          <w:t>Gn 10.24</w:t>
        </w:r>
      </w:hyperlink>
      <w:r>
        <w:t xml:space="preserve">; </w:t>
      </w:r>
      <w:hyperlink r:id="rId2791">
        <w:r>
          <w:rPr>
            <w:color w:val="0000EE"/>
            <w:u w:val="single"/>
          </w:rPr>
          <w:t>11.12</w:t>
        </w:r>
      </w:hyperlink>
      <w:r>
        <w:t>). Se isso for verdade, ele pode ter fundado a cidade de Assur, que foi nomeada em sua homenagem. O deus e a nação de Assur podem então ter sido nomeados após a cidade.</w:t>
      </w:r>
    </w:p>
    <w:p>
      <w:r/>
      <w:r>
        <w:rPr>
          <w:i/>
        </w:rPr>
        <w:t>Veja</w:t>
      </w:r>
      <w:r>
        <w:t xml:space="preserve"> </w:t>
      </w:r>
      <w:r>
        <w:t>Assur (Lugar)</w:t>
      </w:r>
      <w:r>
        <w:t>.</w:t>
      </w:r>
    </w:p>
    <w:p>
      <w:pPr>
        <w:pStyle w:val="ListNumber"/>
        <w:spacing w:line="240" w:lineRule="auto"/>
        <w:ind w:left="720"/>
      </w:pPr>
      <w:r/>
      <w:r>
        <w:t>O principal deus da cidade de Assur.</w:t>
      </w:r>
      <w:r/>
      <w:r/>
    </w:p>
    <w:p>
      <w:r/>
    </w:p>
    <w:p>
      <w:pPr>
        <w:pStyle w:val="Heading2"/>
      </w:pPr>
      <w:r>
        <w:t>Assur</w:t>
      </w:r>
      <w:r/>
    </w:p>
    <w:p>
      <w:r/>
      <w:r>
        <w:t>Transliteração do nome hebraico para a Assíria. É também o mesmo termo para um decendente de Sem em Gênesis 10.22 e Crônicas 1.17. Também é usado nas palavras de Balaão em Números 24.22,24.</w:t>
      </w:r>
    </w:p>
    <w:p>
      <w:r/>
      <w:r>
        <w:rPr>
          <w:i/>
        </w:rPr>
        <w:t>Veja</w:t>
      </w:r>
      <w:r>
        <w:t xml:space="preserve"> </w:t>
      </w:r>
      <w:r>
        <w:t>Assíria, Assírios</w:t>
      </w:r>
      <w:r>
        <w:t>.</w:t>
      </w:r>
      <w:r/>
      <w:r/>
    </w:p>
    <w:p>
      <w:r/>
    </w:p>
    <w:p>
      <w:pPr>
        <w:pStyle w:val="Heading2"/>
      </w:pPr>
      <w:r>
        <w:t>Assureus, Assuritas</w:t>
      </w:r>
      <w:r/>
    </w:p>
    <w:p>
      <w:r/>
      <w:r>
        <w:t>Os descendentes de Abraão e sua segunda esposa, Quetura, através de seu neto Dedã (</w:t>
      </w:r>
      <w:hyperlink r:id="rId2792">
        <w:r>
          <w:rPr>
            <w:color w:val="0000EE"/>
            <w:u w:val="single"/>
          </w:rPr>
          <w:t>Gn 25.3</w:t>
        </w:r>
      </w:hyperlink>
      <w:r>
        <w:t>). Os assureus viviam provavelmente na Arábia.</w:t>
      </w:r>
      <w:r/>
      <w:r/>
    </w:p>
    <w:p>
      <w:r/>
    </w:p>
    <w:p>
      <w:pPr>
        <w:pStyle w:val="Heading2"/>
      </w:pPr>
      <w:r>
        <w:t>Astarote</w:t>
      </w:r>
      <w:r/>
    </w:p>
    <w:p>
      <w:r/>
      <w:r>
        <w:t>Era uma cidade conhecida por seu culto pagão à deusa Astarote (</w:t>
      </w:r>
      <w:hyperlink r:id="rId2793">
        <w:r>
          <w:rPr>
            <w:color w:val="0000EE"/>
            <w:u w:val="single"/>
          </w:rPr>
          <w:t>Dt 1.4</w:t>
        </w:r>
      </w:hyperlink>
      <w:r>
        <w:t>).</w:t>
      </w:r>
    </w:p>
    <w:p>
      <w:r/>
      <w:r>
        <w:rPr>
          <w:i/>
        </w:rPr>
        <w:t>Veja</w:t>
      </w:r>
      <w:r>
        <w:t xml:space="preserve"> </w:t>
      </w:r>
      <w:r>
        <w:t>Astarote, Ashterathite</w:t>
      </w:r>
      <w:r>
        <w:t>.</w:t>
      </w:r>
      <w:r/>
      <w:r/>
    </w:p>
    <w:p>
      <w:r/>
    </w:p>
    <w:p>
      <w:pPr>
        <w:pStyle w:val="Heading2"/>
      </w:pPr>
      <w:r>
        <w:t>Astarote, Asteratita</w:t>
      </w:r>
      <w:r/>
    </w:p>
    <w:p>
      <w:r/>
      <w:r>
        <w:t>Uma cidade de Basã, que era a casa do Rei Ogue, assim como Edrei (</w:t>
      </w:r>
      <w:hyperlink r:id="rId2793">
        <w:r>
          <w:rPr>
            <w:color w:val="0000EE"/>
            <w:u w:val="single"/>
          </w:rPr>
          <w:t>Dt 1.4</w:t>
        </w:r>
      </w:hyperlink>
      <w:r>
        <w:t xml:space="preserve">; </w:t>
      </w:r>
      <w:hyperlink r:id="rId2794">
        <w:r>
          <w:rPr>
            <w:color w:val="0000EE"/>
            <w:u w:val="single"/>
          </w:rPr>
          <w:t>Js 9.10</w:t>
        </w:r>
      </w:hyperlink>
      <w:r>
        <w:t xml:space="preserve">; </w:t>
      </w:r>
      <w:hyperlink r:id="rId2795">
        <w:r>
          <w:rPr>
            <w:color w:val="0000EE"/>
            <w:u w:val="single"/>
          </w:rPr>
          <w:t>12.4</w:t>
        </w:r>
      </w:hyperlink>
      <w:r>
        <w:t xml:space="preserve">; </w:t>
      </w:r>
      <w:hyperlink r:id="rId2796">
        <w:r>
          <w:rPr>
            <w:color w:val="0000EE"/>
            <w:u w:val="single"/>
          </w:rPr>
          <w:t>13.12,31</w:t>
        </w:r>
      </w:hyperlink>
      <w:r>
        <w:t>).</w:t>
      </w:r>
    </w:p>
    <w:p>
      <w:r/>
      <w:r>
        <w:t>Astarote é a forma plural de Astarte, o nome de uma deusa da fertilidade cananeia que era adorada lá. Após Ogue ser derrotado pelos israelitas (</w:t>
      </w:r>
      <w:hyperlink r:id="rId1121">
        <w:r>
          <w:rPr>
            <w:color w:val="0000EE"/>
            <w:u w:val="single"/>
          </w:rPr>
          <w:t>Dt 3.1</w:t>
        </w:r>
      </w:hyperlink>
      <w:r>
        <w:t>–</w:t>
      </w:r>
      <w:hyperlink r:id="rId1121">
        <w:r>
          <w:rPr>
            <w:color w:val="0000EE"/>
            <w:u w:val="single"/>
          </w:rPr>
          <w:t>11</w:t>
        </w:r>
      </w:hyperlink>
      <w:r>
        <w:t>), Moisés deu Astarote à meia tribo de Manassés (</w:t>
      </w:r>
      <w:hyperlink r:id="rId2796">
        <w:r>
          <w:rPr>
            <w:color w:val="0000EE"/>
            <w:u w:val="single"/>
          </w:rPr>
          <w:t>Js 13.12,31</w:t>
        </w:r>
      </w:hyperlink>
      <w:r>
        <w:t xml:space="preserve">; </w:t>
      </w:r>
      <w:hyperlink r:id="rId2797">
        <w:r>
          <w:rPr>
            <w:color w:val="0000EE"/>
            <w:u w:val="single"/>
          </w:rPr>
          <w:t>Dt 3.13</w:t>
        </w:r>
      </w:hyperlink>
      <w:r>
        <w:t>). Mais tarde, tornou-se uma cidade levítica habitada pelos gersonitas (</w:t>
      </w:r>
      <w:hyperlink r:id="rId2798">
        <w:r>
          <w:rPr>
            <w:color w:val="0000EE"/>
            <w:u w:val="single"/>
          </w:rPr>
          <w:t>1Cr 6.71</w:t>
        </w:r>
      </w:hyperlink>
      <w:r>
        <w:t>).</w:t>
      </w:r>
    </w:p>
    <w:p>
      <w:r/>
      <w:r>
        <w:t>Asterote-Carnaim (</w:t>
      </w:r>
      <w:hyperlink r:id="rId1114">
        <w:r>
          <w:rPr>
            <w:color w:val="0000EE"/>
            <w:u w:val="single"/>
          </w:rPr>
          <w:t>Gn 14.5</w:t>
        </w:r>
      </w:hyperlink>
      <w:r>
        <w:t xml:space="preserve">) é provavelmente a mesma cidade que Astarote. Sua localização é geralmente identificada como a moderna Tell Ashtarah, a 34 quilômetros a leste do Mar da Galileia. Em </w:t>
      </w:r>
      <w:hyperlink r:id="rId2539">
        <w:r>
          <w:rPr>
            <w:color w:val="0000EE"/>
            <w:u w:val="single"/>
          </w:rPr>
          <w:t>1 Crônicas 11.44,</w:t>
        </w:r>
      </w:hyperlink>
      <w:r>
        <w:t xml:space="preserve"> um dos valentes de Davi, Uzias, é chamado de asteratita ("da cidade de Asterá" - NTLH).</w:t>
      </w:r>
      <w:r/>
      <w:r/>
    </w:p>
    <w:p>
      <w:r/>
    </w:p>
    <w:p>
      <w:pPr>
        <w:pStyle w:val="Heading2"/>
      </w:pPr>
      <w:r>
        <w:t>Asterote-Carnaim</w:t>
      </w:r>
      <w:r/>
    </w:p>
    <w:p>
      <w:r/>
      <w:r>
        <w:t>Uma cidade onde uma aliança de quatro reis liderada por Quedorlaomer, rei de Elão, derrotou os gigantes de Refaím (</w:t>
      </w:r>
      <w:hyperlink r:id="rId1114">
        <w:r>
          <w:rPr>
            <w:color w:val="0000EE"/>
            <w:u w:val="single"/>
          </w:rPr>
          <w:t>Gn 14.5</w:t>
        </w:r>
      </w:hyperlink>
      <w:r>
        <w:t xml:space="preserve">; compare </w:t>
      </w:r>
      <w:hyperlink r:id="rId1117">
        <w:r>
          <w:rPr>
            <w:color w:val="0000EE"/>
            <w:u w:val="single"/>
          </w:rPr>
          <w:t>Dt 3.11</w:t>
        </w:r>
      </w:hyperlink>
      <w:r>
        <w:t>). A área foi dada a Abraão e seus descendentes pelo Senhor (</w:t>
      </w:r>
      <w:hyperlink r:id="rId2799">
        <w:r>
          <w:rPr>
            <w:color w:val="0000EE"/>
            <w:u w:val="single"/>
          </w:rPr>
          <w:t>Gn 15.18</w:t>
        </w:r>
      </w:hyperlink>
      <w:r>
        <w:t>–</w:t>
      </w:r>
      <w:hyperlink r:id="rId2799">
        <w:r>
          <w:rPr>
            <w:color w:val="0000EE"/>
            <w:u w:val="single"/>
          </w:rPr>
          <w:t>20</w:t>
        </w:r>
      </w:hyperlink>
      <w:r>
        <w:t>). Provavelmente é a mesma que Astarote.</w:t>
      </w:r>
    </w:p>
    <w:p>
      <w:r/>
      <w:r>
        <w:rPr>
          <w:i/>
        </w:rPr>
        <w:t>Veja</w:t>
      </w:r>
      <w:r>
        <w:t xml:space="preserve"> </w:t>
      </w:r>
      <w:r>
        <w:t>Astarote, Astarotita</w:t>
      </w:r>
      <w:r>
        <w:t>.</w:t>
      </w:r>
      <w:r/>
      <w:r/>
    </w:p>
    <w:p>
      <w:r/>
    </w:p>
    <w:p>
      <w:pPr>
        <w:pStyle w:val="Heading2"/>
      </w:pPr>
      <w:r>
        <w:t>Astrologia</w:t>
      </w:r>
      <w:r/>
    </w:p>
    <w:p>
      <w:r/>
      <w:r>
        <w:t>Um sistema de crenças sobre como estrelas e planetas afetam a vida das pessoas. A astrologia não é uma ciência verdadeira. Ela afirma que a posição do sol, da lua e dos planetas pode influenciar o caráter e o futuro de uma pessoa.</w:t>
      </w:r>
    </w:p>
    <w:p>
      <w:r/>
      <w:r>
        <w:t>Os astrólogos (pessoas que praticam astrologia) utilizam um mapa do céu chamado "zodíaco". O zodíaco é dividido em 12 partes, cada uma nomeada em homenagem a um grupo de estrelas chamado constelação. À medida que o sol e os planetas se movem pelo céu, eles passam por diferentes partes do zodíaco. Os astrólogos observam esses movimentos e tentam interpretar o que significam para a vida das pessoas.</w:t>
      </w:r>
    </w:p>
    <w:p>
      <w:r/>
      <w:r>
        <w:t>Os 12 segmentos do zodíaco são chamados de "casas", e cada casa está associada a uma constelação ou "signo" (e.g., Leão, Virgem, Sagitário). A data de nascimento de uma pessoa determina o seu signo.</w:t>
      </w:r>
    </w:p>
    <w:p>
      <w:r/>
      <w:r>
        <w:t>Um astrólogo cria um mapa detalhado do céu chamado "horóscopo" para uma pessoa. Este é um processo complexo. O horóscopo mostra onde o sol, a lua e os planetas estavam no momento do nascimento da pessoa. Os astrólogos acreditam que as posições dos planetas em diferentes signos, ou o alinhamento do sol e da lua, podem indicar eventos positivos ou negativos que podem ocorrer.</w:t>
      </w:r>
    </w:p>
    <w:p>
      <w:r/>
      <w:r>
        <w:t>O registro mais antigo conhecido da astrologia vem da antiga Suméria. Suméria era uma região próxima ao Rio Eufrates, localizada no atual Iraque. A história é encontrada em cilindros de argila da Suméria. Esses cilindros narram um sonho que o Rei Gudea teve. No sonho, uma deusa chamada Nidaba veio até ele segurando uma tábua que mostrava um mapa do céu. O sonho sugeria que era um bom momento para o Rei Gudea construir o templo chamado "Eninnu".</w:t>
      </w:r>
    </w:p>
    <w:p>
      <w:r/>
      <w:r>
        <w:t>A astrologia tornou-se muito popular na antiga Babilônia. Os sacerdotes desempenharam um grande papel em seu crescimento. Eles estudavam o céu com seriedade, mas também procuravam sinais ou mensagens nele. Os babilônios eram muito supersticiosos, frequentemente buscando significados especiais nas coisas do dia a dia. Portanto, é compreensível que eles tentassem encontrar mensagens nos movimentos do sol, da lua, dos planetas e das estrelas.</w:t>
      </w:r>
    </w:p>
    <w:p>
      <w:r/>
      <w:r>
        <w:t>Até onde sabemos, os babilônios criaram o zodíaco. Eles também desenvolveram um calendário mensal. Este calendário indicava dias que consideravam propícios para realizar atividades, assim como dias em que acreditavam que as pessoas deveriam fazer muito pouco. Eles pensavam que realizar muitas atividades em certos dias poderia irritar seus deuses. Depois de estabelecerem esse padrão mensal, eles o aplicaram ao ano todo.</w:t>
      </w:r>
    </w:p>
    <w:p>
      <w:r/>
      <w:r>
        <w:t>No século IV a.C., as ideias sobre astronomia e astrologia da Babilônia se espalharam para a Grécia. Os gregos se tornaram muito interessados em astrologia por duas razões principais:</w:t>
      </w:r>
    </w:p>
    <w:p>
      <w:pPr>
        <w:pStyle w:val="ListNumber"/>
        <w:spacing w:line="240" w:lineRule="auto"/>
        <w:ind w:left="720"/>
      </w:pPr>
      <w:r/>
      <w:r>
        <w:t>Eles amavam a ciência e estudar a natureza.</w:t>
      </w:r>
    </w:p>
    <w:p>
      <w:pPr>
        <w:pStyle w:val="ListNumber"/>
        <w:spacing w:line="240" w:lineRule="auto"/>
        <w:ind w:left="720"/>
      </w:pPr>
      <w:r/>
      <w:r>
        <w:t>A religião deles acreditava em muitos deuses, o que facilitava para eles pensar que estrelas e planetas poderiam ser deuses ou ter poderes especiais.</w:t>
      </w:r>
    </w:p>
    <w:p>
      <w:r/>
      <w:r>
        <w:t>À medida que a cultura grega se espalhou, a astrologia chegou ao Egito, tornando-se muito popular e duradoura. Heródoto, um dos primeiros escritores gregos a estudar história, escreveu que os egípcios usavam datas de nascimento para tentar prever o futuro das pessoas e mantinham registros cuidadosos de eventos incomuns. Eles utilizavam esses registros para tentar prever o que poderia acontecer se eventos semelhantes ocorressem novamente. Os egípcios acrescentaram novas ideias à astrologia grega, como dividir o céu em 36 seções, cada uma com seu próprio deus, e dividir o dia em 24 horas, algo que ainda é usado hoje.</w:t>
      </w:r>
    </w:p>
    <w:p>
      <w:r/>
      <w:r>
        <w:t>A astrologia grega também se espalhou para Roma e tornou-se muito importante lá. Um astrólogo romano chamado Nigidius foi influenciado por ideias gregas. Ele fez previsões que eram inteligentes, mas também bastante imprecisas.</w:t>
      </w:r>
    </w:p>
    <w:p>
      <w:r/>
      <w:r>
        <w:t>Não sabemos muito sobre outros astrólogos romanos, mas a astrologia era uma parte importante da vida romana:</w:t>
      </w:r>
    </w:p>
    <w:p>
      <w:pPr>
        <w:pStyle w:val="ListBullet"/>
        <w:spacing w:line="240" w:lineRule="auto"/>
        <w:ind w:left="720"/>
      </w:pPr>
      <w:r/>
      <w:r>
        <w:t>Eles criaram um sistema de dias de sorte e de azar.</w:t>
      </w:r>
    </w:p>
    <w:p>
      <w:pPr>
        <w:pStyle w:val="ListBullet"/>
        <w:spacing w:line="240" w:lineRule="auto"/>
        <w:ind w:left="720"/>
      </w:pPr>
      <w:r/>
      <w:r>
        <w:t>Eles nomearam os dias da semana em homenagem aos planetas, que, por sua vez, foram nomeados em homenagem aos deuses. Essa prática provavelmente começou no período helenístico.</w:t>
      </w:r>
    </w:p>
    <w:p>
      <w:pPr>
        <w:pStyle w:val="ListBullet"/>
        <w:spacing w:line="240" w:lineRule="auto"/>
        <w:ind w:left="720"/>
      </w:pPr>
      <w:r/>
      <w:r>
        <w:t>Os romanos aprimoraram o calendário, o que facilitou para as pessoas comuns utilizarem a astrologia.</w:t>
      </w:r>
    </w:p>
    <w:p>
      <w:r/>
      <w:r>
        <w:t>Por exemplo, em 46 a.C., eles começaram a usar um calendário com 365 dias chamado calendário Juliano. Isso tornou mais simples realizar cálculos astrológicos.</w:t>
      </w:r>
    </w:p>
    <w:p>
      <w:r/>
      <w:r>
        <w:t>Alguns afirmam que a Bíblia contém referências astrológicas. Por exemplo, as bênçãos de Jacó sobre seus 12 filhos foram associadas aos signos do zodíaco. Algumas pessoas acreditam que descrições do espaço e das estrelas em histórias de fim do mundo (chamadas de "imagética apocalíptica") têm significados astrológicos. No entanto, essas ideias são apenas suposições. Não há prova concreta de que essas descrições sejam realmente sobre astrologia.</w:t>
      </w:r>
    </w:p>
    <w:p>
      <w:r/>
      <w:r>
        <w:t>O Antigo Testamento não permitia que as pessoas tentassem prever o futuro consultando falsos deuses, médiuns (pessoas que afirmam falar com espíritos) ou usando objetos. Fazer isso ignora Deus como a verdadeira fonte da revelação (conhecimento sobre o futuro). Pessoas como Daniel, que podiam interpretar sonhos, faziam isso com a ajuda de Deus (</w:t>
      </w:r>
      <w:hyperlink r:id="rId2800">
        <w:r>
          <w:rPr>
            <w:color w:val="0000EE"/>
            <w:u w:val="single"/>
          </w:rPr>
          <w:t>Dn 2.17</w:t>
        </w:r>
      </w:hyperlink>
      <w:r>
        <w:t>-</w:t>
      </w:r>
      <w:hyperlink r:id="rId2800">
        <w:r>
          <w:rPr>
            <w:color w:val="0000EE"/>
            <w:u w:val="single"/>
          </w:rPr>
          <w:t>23</w:t>
        </w:r>
      </w:hyperlink>
      <w:r>
        <w:t>).</w:t>
      </w:r>
    </w:p>
    <w:p>
      <w:r/>
      <w:hyperlink r:id="rId2801">
        <w:r>
          <w:rPr>
            <w:color w:val="0000EE"/>
            <w:u w:val="single"/>
          </w:rPr>
          <w:t>Isaías 47.12–13</w:t>
        </w:r>
      </w:hyperlink>
      <w:r>
        <w:t xml:space="preserve"> menciona especificamente informações sobre astrologia. Esta parte de Isaías fala sobre a queda da Babilônia, um império poderoso. Isaías descreve algumas práticas que eram comuns na Babilônia:</w:t>
      </w:r>
    </w:p>
    <w:p>
      <w:pPr>
        <w:pStyle w:val="ListBullet"/>
        <w:spacing w:line="240" w:lineRule="auto"/>
        <w:ind w:left="720"/>
      </w:pPr>
      <w:r/>
      <w:r>
        <w:t>Eles utilizaram encantamentos mágicos.</w:t>
      </w:r>
    </w:p>
    <w:p>
      <w:pPr>
        <w:pStyle w:val="ListBullet"/>
        <w:spacing w:line="240" w:lineRule="auto"/>
        <w:ind w:left="720"/>
      </w:pPr>
      <w:r/>
      <w:r>
        <w:t>Eles praticavam feitiçaria (magia).</w:t>
      </w:r>
    </w:p>
    <w:p>
      <w:pPr>
        <w:pStyle w:val="ListBullet"/>
        <w:spacing w:line="240" w:lineRule="auto"/>
        <w:ind w:left="720"/>
      </w:pPr>
      <w:r/>
      <w:r>
        <w:t>Eles tinham astrólogos (pessoas que estudam as estrelas para prever o futuro).</w:t>
      </w:r>
    </w:p>
    <w:p>
      <w:r/>
      <w:r>
        <w:t>Isaías menciona que os babilônios dividiram o céu em partes (provavelmente o zodíaco). Ele também diz que eles faziam previsões a cada lua nova. Isaías zomba dos babilônios e diz para continuarem usando essas práticas como se pudessem ajudar. Mas o que Isaías realmente quer dizer é que Babilônia será destruída, e nem mesmo seus famosos astrólogos poderão salvá-la.</w:t>
      </w:r>
    </w:p>
    <w:p>
      <w:r/>
      <w:r>
        <w:t>O profeta Jeremias advertiu os israelitas a não terem medo dos sinais no céu (</w:t>
      </w:r>
      <w:hyperlink r:id="rId2802">
        <w:r>
          <w:rPr>
            <w:color w:val="0000EE"/>
            <w:u w:val="single"/>
          </w:rPr>
          <w:t>Jr 10.1</w:t>
        </w:r>
      </w:hyperlink>
      <w:r>
        <w:t>-</w:t>
      </w:r>
      <w:hyperlink r:id="rId2802">
        <w:r>
          <w:rPr>
            <w:color w:val="0000EE"/>
            <w:u w:val="single"/>
          </w:rPr>
          <w:t>3</w:t>
        </w:r>
      </w:hyperlink>
      <w:r>
        <w:t>). Esses "sinais" eram provavelmente coisas incomuns que as pessoas viam no céu, como:</w:t>
      </w:r>
    </w:p>
    <w:p>
      <w:pPr>
        <w:pStyle w:val="ListBullet"/>
        <w:spacing w:line="240" w:lineRule="auto"/>
        <w:ind w:left="720"/>
      </w:pPr>
      <w:r/>
      <w:r>
        <w:t>eclipses (quando o Sol ou a Lua são bloqueados)</w:t>
      </w:r>
    </w:p>
    <w:p>
      <w:pPr>
        <w:pStyle w:val="ListBullet"/>
        <w:spacing w:line="240" w:lineRule="auto"/>
        <w:ind w:left="720"/>
      </w:pPr>
      <w:r/>
      <w:r>
        <w:t>Cometas (objetos brilhantes com caudas que se movem pelo céu)</w:t>
      </w:r>
    </w:p>
    <w:p>
      <w:pPr>
        <w:pStyle w:val="ListBullet"/>
        <w:spacing w:line="240" w:lineRule="auto"/>
        <w:ind w:left="720"/>
      </w:pPr>
      <w:r/>
      <w:r>
        <w:t>planetas aparecendo próximos</w:t>
      </w:r>
    </w:p>
    <w:p>
      <w:r/>
      <w:r>
        <w:t>Nos tempos antigos, muitas pessoas temiam esses eventos. Elas acreditavam que esses sinais indicavam o que aconteceria no futuro. No entanto, Jeremias afirmou que o povo de Deus não deveria acreditar que esses eventos celestes tinham poder mágico ou usá-los para tentar prever o futuro (</w:t>
      </w:r>
      <w:hyperlink r:id="rId2803">
        <w:r>
          <w:rPr>
            <w:color w:val="0000EE"/>
            <w:u w:val="single"/>
          </w:rPr>
          <w:t>Jr 10.3</w:t>
        </w:r>
      </w:hyperlink>
      <w:r>
        <w:t>). Jeremias ensinou que tentar prever o futuro a partir de coisas no céu era inútil.</w:t>
      </w:r>
    </w:p>
    <w:p>
      <w:r/>
      <w:r>
        <w:t xml:space="preserve">O livro de Daniel menciona um grupo de pessoas chamadas de "adivinhos" (assim como "astrólogos", NTLH, ARC; </w:t>
      </w:r>
      <w:hyperlink r:id="rId2804">
        <w:r>
          <w:rPr>
            <w:color w:val="0000EE"/>
            <w:u w:val="single"/>
          </w:rPr>
          <w:t>Dn 2.27</w:t>
        </w:r>
      </w:hyperlink>
      <w:r>
        <w:t xml:space="preserve">; </w:t>
      </w:r>
      <w:hyperlink r:id="rId2805">
        <w:r>
          <w:rPr>
            <w:color w:val="0000EE"/>
            <w:u w:val="single"/>
          </w:rPr>
          <w:t>5.11</w:t>
        </w:r>
      </w:hyperlink>
      <w:r>
        <w:t>). Muitos acreditam que eram astrólogos. O significado da palavra, no entanto, não é claro. A palavra vem de uma palavra aramaica que significa "cortar" ou "dividir". Esses adivinhos são listados junto com outras pessoas que tentavam prever o futuro. Isso torna provável que eles fossem de fato astrólogos. O ponto importante em Daniel é que essas pessoas, que usam métodos diferentes para tentar prever o futuro, não são eficazes.</w:t>
      </w:r>
    </w:p>
    <w:p>
      <w:r/>
      <w:r>
        <w:t>Os magos que visitaram Jesus no seu nascimento podem ter sido astrólogos, mas a palavra "magos" pode significar muitas coisas (</w:t>
      </w:r>
      <w:hyperlink r:id="rId2806">
        <w:r>
          <w:rPr>
            <w:color w:val="0000EE"/>
            <w:u w:val="single"/>
          </w:rPr>
          <w:t>Mt 2.1</w:t>
        </w:r>
      </w:hyperlink>
      <w:r>
        <w:t>-</w:t>
      </w:r>
      <w:hyperlink r:id="rId2806">
        <w:r>
          <w:rPr>
            <w:color w:val="0000EE"/>
            <w:u w:val="single"/>
          </w:rPr>
          <w:t>16</w:t>
        </w:r>
      </w:hyperlink>
      <w:r>
        <w:t>). Quando Jesus nasceu, alguns planetas podem ter parecido muito próximos no céu. Os magos podem ter pensado que essa visão incomum significava que um novo rei judeu havia nascido. Os magos podem ter conhecido as crenças judaicas de duas maneiras:</w:t>
      </w:r>
    </w:p>
    <w:p>
      <w:pPr>
        <w:pStyle w:val="ListNumber"/>
        <w:spacing w:line="240" w:lineRule="auto"/>
        <w:ind w:left="720"/>
      </w:pPr>
      <w:r/>
      <w:r>
        <w:t>Eles poderiam ter lido o livro de Daniel na Bíblia. Daniel foi um profeta judeu que viveu na Babilônia e na Pérsia há muito tempo.</w:t>
      </w:r>
    </w:p>
    <w:p>
      <w:pPr>
        <w:pStyle w:val="ListNumber"/>
        <w:spacing w:line="240" w:lineRule="auto"/>
        <w:ind w:left="720"/>
      </w:pPr>
      <w:r/>
      <w:r>
        <w:t>Eles podem ter conversado com judeus que trabalhavam para o governo persa. Muitos judeus viviam na Pérsia naquela época.</w:t>
      </w:r>
    </w:p>
    <w:p>
      <w:r/>
      <w:r>
        <w:t>Essas fontes poderiam ter ensinado aos magos sobre a esperança judaica de um rei especial (chamado Messias) que viria um dia.</w:t>
      </w:r>
    </w:p>
    <w:p>
      <w:r/>
      <w:r>
        <w:t xml:space="preserve">Uma tradição pode ter se desenvolvido a partir de </w:t>
      </w:r>
      <w:hyperlink r:id="rId2807">
        <w:r>
          <w:rPr>
            <w:color w:val="0000EE"/>
            <w:u w:val="single"/>
          </w:rPr>
          <w:t>Números 24.17</w:t>
        </w:r>
      </w:hyperlink>
      <w:r>
        <w:t xml:space="preserve"> de que uma estrela apareceria quando o Messias nascesse. No entanto, é muito importante entender que essa história na Bíblia não apoia a astrologia. A Bíblia não está dizendo que ler as estrelas pode nos revelar o futuro.</w:t>
      </w:r>
    </w:p>
    <w:p>
      <w:r/>
      <w:r>
        <w:rPr>
          <w:i/>
        </w:rPr>
        <w:t>Veja também</w:t>
      </w:r>
      <w:r>
        <w:t xml:space="preserve"> </w:t>
      </w:r>
      <w:r>
        <w:t>Astronomia</w:t>
      </w:r>
      <w:r>
        <w:t xml:space="preserve">; </w:t>
      </w:r>
      <w:r>
        <w:t>Calendários, Antigos e Modernos</w:t>
      </w:r>
      <w:r>
        <w:t>.</w:t>
      </w:r>
      <w:r/>
      <w:r/>
    </w:p>
    <w:p>
      <w:r/>
    </w:p>
    <w:p>
      <w:pPr>
        <w:pStyle w:val="Heading2"/>
      </w:pPr>
      <w:r>
        <w:t>Astronomia</w:t>
      </w:r>
      <w:r/>
    </w:p>
    <w:p>
      <w:r/>
      <w:r>
        <w:t>O estudo das coisas fora da atmosfera da Terra. Foca-se nas posições, movimentos e características dos objetos no espaço. A palavra "astronomia" vem de palavras gregas que significam "a lei das estrelas".</w:t>
      </w:r>
    </w:p>
    <w:p>
      <w:r/>
      <w:r>
        <w:t>Astronomia não é uma ciência moderna. As pessoas estão interessadas no espaço há muito tempo. As primeiras civilizações estudavam o céu para adivinhação (astrologia) e para ajudar na navegação.</w:t>
      </w:r>
    </w:p>
    <w:p>
      <w:r/>
      <w:r>
        <w:t xml:space="preserve">A Bíblia fala sobre astronomia de maneiras interessantes. De acordo com </w:t>
      </w:r>
      <w:hyperlink r:id="rId2808">
        <w:r>
          <w:rPr>
            <w:color w:val="0000EE"/>
            <w:u w:val="single"/>
          </w:rPr>
          <w:t>Gênesis 1.14</w:t>
        </w:r>
      </w:hyperlink>
      <w:r>
        <w:t>–</w:t>
      </w:r>
      <w:hyperlink r:id="rId2808">
        <w:r>
          <w:rPr>
            <w:color w:val="0000EE"/>
            <w:u w:val="single"/>
          </w:rPr>
          <w:t>19</w:t>
        </w:r>
      </w:hyperlink>
      <w:r>
        <w:t>, Deus fez o sol, a lua e as estrelas para:</w:t>
      </w:r>
    </w:p>
    <w:p>
      <w:pPr>
        <w:pStyle w:val="ListNumber"/>
        <w:spacing w:line="240" w:lineRule="auto"/>
        <w:ind w:left="720"/>
      </w:pPr>
      <w:r/>
      <w:r>
        <w:t>dê luz sobre a terra;</w:t>
      </w:r>
    </w:p>
    <w:p>
      <w:pPr>
        <w:pStyle w:val="ListNumber"/>
        <w:spacing w:line="240" w:lineRule="auto"/>
        <w:ind w:left="720"/>
      </w:pPr>
      <w:r/>
      <w:r>
        <w:t>marcos estações e festivais; e</w:t>
      </w:r>
    </w:p>
    <w:p>
      <w:pPr>
        <w:pStyle w:val="ListNumber"/>
        <w:spacing w:line="240" w:lineRule="auto"/>
        <w:ind w:left="720"/>
      </w:pPr>
      <w:r/>
      <w:r>
        <w:t>atuar como "sinais" para ajudar as pessoas a encontrar o caminho”.</w:t>
      </w:r>
    </w:p>
    <w:p>
      <w:r/>
      <w:r>
        <w:t>A palavra "estação" pode referir-se a festivais e às estações do ano. Como o calendário babilônico, o calendário hebraico era baseado nas fases da lua. Ele usava a lua para definir datas para festivais religiosos. A função das estrelas e planetas como sinais parece estar relacionada a como eles delineiam os céus. Isso permite que as pessoas na Terra encontrem seu caminho, naveguem e se orientem.</w:t>
      </w:r>
    </w:p>
    <w:p>
      <w:r/>
      <w:r>
        <w:t>A Bíblia não menciona diretamente eclipses. Mas algumas passagens sobre o sol e a lua escurecendo podem estar falando sobre eclipses (</w:t>
      </w:r>
      <w:hyperlink r:id="rId2809">
        <w:r>
          <w:rPr>
            <w:color w:val="0000EE"/>
            <w:u w:val="single"/>
          </w:rPr>
          <w:t>Jl 2.31</w:t>
        </w:r>
      </w:hyperlink>
      <w:r>
        <w:t xml:space="preserve">; </w:t>
      </w:r>
      <w:hyperlink r:id="rId1259">
        <w:r>
          <w:rPr>
            <w:color w:val="0000EE"/>
            <w:u w:val="single"/>
          </w:rPr>
          <w:t>Am 8.9</w:t>
        </w:r>
      </w:hyperlink>
      <w:r>
        <w:t xml:space="preserve">; </w:t>
      </w:r>
      <w:hyperlink r:id="rId2123">
        <w:r>
          <w:rPr>
            <w:color w:val="0000EE"/>
            <w:u w:val="single"/>
          </w:rPr>
          <w:t>Mt 24.29</w:t>
        </w:r>
      </w:hyperlink>
      <w:r>
        <w:t>).</w:t>
      </w:r>
    </w:p>
    <w:p>
      <w:r/>
      <w:r>
        <w:t>Algumas constelações são mencionadas no Antigo Testamento. Nem sempre é fácil determinar quais constelações estão sendo discutidas por palavras hebraicas específicas. A palavra traduzida como "Plêiades" (em muitas versões) significa um "aglomerado" ou "monte". Provavelmente se aplica ao aglomerado de estrelas mais visível na constelação de Touro (</w:t>
      </w:r>
      <w:hyperlink r:id="rId2810">
        <w:r>
          <w:rPr>
            <w:color w:val="0000EE"/>
            <w:u w:val="single"/>
          </w:rPr>
          <w:t>Jó 9.9</w:t>
        </w:r>
      </w:hyperlink>
      <w:r>
        <w:t xml:space="preserve">; </w:t>
      </w:r>
      <w:hyperlink r:id="rId2811">
        <w:r>
          <w:rPr>
            <w:color w:val="0000EE"/>
            <w:u w:val="single"/>
          </w:rPr>
          <w:t>38.31</w:t>
        </w:r>
      </w:hyperlink>
      <w:r>
        <w:t xml:space="preserve">; </w:t>
      </w:r>
      <w:hyperlink r:id="rId1336">
        <w:r>
          <w:rPr>
            <w:color w:val="0000EE"/>
            <w:u w:val="single"/>
          </w:rPr>
          <w:t>Am 5.8</w:t>
        </w:r>
      </w:hyperlink>
      <w:r>
        <w:t>). Uma palavra hebraica possivelmente relacionada à palavra "tolo" é frequentemente entendida como a constelação de Órion. A conexão entre essa constelação e a palavra "tolo" é desconhecida. Outras constelações são mencionadas como "as constelações do Sul" e "a Ursa" (</w:t>
      </w:r>
      <w:hyperlink r:id="rId2810">
        <w:r>
          <w:rPr>
            <w:color w:val="0000EE"/>
            <w:u w:val="single"/>
          </w:rPr>
          <w:t>Jó 9.9</w:t>
        </w:r>
      </w:hyperlink>
      <w:r>
        <w:t xml:space="preserve">; </w:t>
      </w:r>
      <w:hyperlink r:id="rId2812">
        <w:r>
          <w:rPr>
            <w:color w:val="0000EE"/>
            <w:u w:val="single"/>
          </w:rPr>
          <w:t>38.32</w:t>
        </w:r>
      </w:hyperlink>
      <w:r>
        <w:t>). Pode ser vista no céu do norte.</w:t>
      </w:r>
    </w:p>
    <w:p>
      <w:r/>
      <w:r>
        <w:t>A Bíblia frequentemente menciona estrelas. Deus disse a Abraão que seus descendentes seriam tão numerosos quanto as estrelas (</w:t>
      </w:r>
      <w:hyperlink r:id="rId2813">
        <w:r>
          <w:rPr>
            <w:color w:val="0000EE"/>
            <w:u w:val="single"/>
          </w:rPr>
          <w:t>Gn 15.5</w:t>
        </w:r>
      </w:hyperlink>
      <w:r>
        <w:t>). Paulo escreveu que as estrelas têm diferentes níveis de brilho (</w:t>
      </w:r>
      <w:hyperlink r:id="rId2814">
        <w:r>
          <w:rPr>
            <w:color w:val="0000EE"/>
            <w:u w:val="single"/>
          </w:rPr>
          <w:t>1Co 15.41</w:t>
        </w:r>
      </w:hyperlink>
      <w:r>
        <w:t>).</w:t>
      </w:r>
    </w:p>
    <w:p>
      <w:r/>
      <w:r>
        <w:t xml:space="preserve">O texto de </w:t>
      </w:r>
      <w:hyperlink r:id="rId2815">
        <w:r>
          <w:rPr>
            <w:color w:val="0000EE"/>
            <w:u w:val="single"/>
          </w:rPr>
          <w:t xml:space="preserve">Judas 1.13 </w:t>
        </w:r>
      </w:hyperlink>
      <w:r>
        <w:t>compara falsos mestres a "estrelas errantes". Alguns acham que essa metáfora se baseia em como as estrelas parecem se mover ao redor da estrela polar (a estrela estacionária mais próxima com base em sua proximidade com os polos). A estrela polar fixa fornece um ponto de referência para a navegação, enquanto as estrelas em movimento seriam guias não confiáveis, como falsos mestres.</w:t>
      </w:r>
    </w:p>
    <w:p>
      <w:r/>
      <w:r>
        <w:t>No entanto, é mais provável que a metáfora de Judas se refira aos planetas. Naquela época, as pessoas conheciam os movimentos regulares das estrelas e constelações ao redor da estrela polar, então não considerariam todas as estrelas, exceto a estrela polar, como "errantes". Os planetas, por outro lado, eram vistos como se movendo em caminhos erráticos, ao contrário da rotação fixa das estrelas. Alguns comentaristas acreditam que "estrelas errantes" também poderiam se referir a cometas.</w:t>
      </w:r>
    </w:p>
    <w:p>
      <w:r/>
      <w:r>
        <w:rPr>
          <w:i/>
        </w:rPr>
        <w:t>Veja também</w:t>
      </w:r>
      <w:r>
        <w:t xml:space="preserve"> </w:t>
      </w:r>
      <w:r>
        <w:t>Astrologia</w:t>
      </w:r>
      <w:r>
        <w:t>.</w:t>
      </w:r>
      <w:r/>
      <w:r/>
    </w:p>
    <w:p>
      <w:r/>
    </w:p>
    <w:p>
      <w:pPr>
        <w:pStyle w:val="Heading2"/>
      </w:pPr>
      <w:r>
        <w:t>Atade</w:t>
      </w:r>
      <w:r/>
    </w:p>
    <w:p>
      <w:r/>
      <w:r>
        <w:t>O local onde os filhos de Jacó pararam durante o funeral a caminho de Hebrom. Provavelmente estava localizado em Canaã. Lá, na eira (onde o trigo era separado da palha), a família de José e muitos egípcios da casa do Faraó passaram sete dias lamentando a morte de Jacó (</w:t>
      </w:r>
      <w:hyperlink r:id="rId2816">
        <w:r>
          <w:rPr>
            <w:color w:val="0000EE"/>
            <w:u w:val="single"/>
          </w:rPr>
          <w:t>Gn 50.10</w:t>
        </w:r>
      </w:hyperlink>
      <w:r>
        <w:t>–</w:t>
      </w:r>
      <w:hyperlink r:id="rId2816">
        <w:r>
          <w:rPr>
            <w:color w:val="0000EE"/>
            <w:u w:val="single"/>
          </w:rPr>
          <w:t>11</w:t>
        </w:r>
      </w:hyperlink>
      <w:r>
        <w:t>). Os cananeus ficaram impressionados com o luto e nomearam o lugar de “Abel-Mizraim”. O nome é um trocadilho, combinando “campo” e “pranto,” enquanto o segundo é a palavra hebraica para Egito.</w:t>
      </w:r>
      <w:r/>
      <w:r/>
    </w:p>
    <w:p>
      <w:r/>
    </w:p>
    <w:p>
      <w:pPr>
        <w:pStyle w:val="Heading2"/>
      </w:pPr>
      <w:r>
        <w:t>Atália</w:t>
      </w:r>
      <w:r/>
    </w:p>
    <w:p>
      <w:r/>
      <w:r>
        <w:t>Um porto marítimo no Mediterrâneo, localizado na Ásia Menor.</w:t>
      </w:r>
    </w:p>
    <w:p>
      <w:r/>
      <w:r>
        <w:t>O apóstolo Paulo e Barnabé navegaram de volta para Antioquia a partir de Atália no final da primeira viagem missionária de Paulo (</w:t>
      </w:r>
      <w:hyperlink r:id="rId2817">
        <w:r>
          <w:rPr>
            <w:color w:val="0000EE"/>
            <w:u w:val="single"/>
          </w:rPr>
          <w:t>At 14.25</w:t>
        </w:r>
      </w:hyperlink>
      <w:r>
        <w:t>). A cidade foi fundada por Átalo II Filadelfo, o rei da província de Pérgamo de 159 a 138 a.C. Pérgamo foi tomada pelos romanos em 79 a.C. e tornou-se uma província em 43 d.C. No tempo de Paulo, Atália fazia parte da província de Panfília.</w:t>
      </w:r>
    </w:p>
    <w:p>
      <w:r/>
      <w:r>
        <w:t>Hoje, apesar de seu porto ser raso, ainda é um importante porto marítimo turco (Antalya).</w:t>
      </w:r>
      <w:r/>
      <w:r/>
    </w:p>
    <w:p>
      <w:r/>
    </w:p>
    <w:p>
      <w:pPr>
        <w:pStyle w:val="Heading2"/>
      </w:pPr>
      <w:r>
        <w:t>Atarim</w:t>
      </w:r>
      <w:r/>
    </w:p>
    <w:p>
      <w:r/>
      <w:r>
        <w:t>O lugar onde os israelitas tentaram entrar em Canaã e foram atacados pelo rei de Arade em Atarim (</w:t>
      </w:r>
      <w:hyperlink r:id="rId2818">
        <w:r>
          <w:rPr>
            <w:color w:val="0000EE"/>
            <w:u w:val="single"/>
          </w:rPr>
          <w:t>Nm 21.1</w:t>
        </w:r>
      </w:hyperlink>
      <w:r>
        <w:t>). O nome significa “trilhas” e acredita-se que esteja localizado perto de Tamar, ou Hazazão-Tamar, vários quilômetros ao sul do Mar Morto. Uma possível leitura do texto sugere que seja o mesmo que Tamar. A ARC segue o Targum (uma tradução aramaica do Antigo Testamento) e a Vulgata (uma tradução latina da Bíblia) e traduz como “espias”.</w:t>
      </w:r>
      <w:r/>
      <w:r/>
    </w:p>
    <w:p>
      <w:r/>
    </w:p>
    <w:p>
      <w:pPr>
        <w:pStyle w:val="Heading2"/>
      </w:pPr>
      <w:r>
        <w:t>Atarote</w:t>
      </w:r>
      <w:r/>
    </w:p>
    <w:p>
      <w:pPr>
        <w:pStyle w:val="ListNumber"/>
        <w:spacing w:line="240" w:lineRule="auto"/>
        <w:ind w:left="720"/>
      </w:pPr>
      <w:r/>
      <w:r>
        <w:t>Uma cidade na região montanhosa a leste do Rio Jordão. Atarote foi reconstruída pela tribo de Gade (</w:t>
      </w:r>
      <w:hyperlink r:id="rId2819">
        <w:r>
          <w:rPr>
            <w:color w:val="0000EE"/>
            <w:u w:val="single"/>
          </w:rPr>
          <w:t>Nm 32.3,33</w:t>
        </w:r>
      </w:hyperlink>
      <w:r>
        <w:t>-</w:t>
      </w:r>
      <w:hyperlink r:id="rId2819">
        <w:r>
          <w:rPr>
            <w:color w:val="0000EE"/>
            <w:u w:val="single"/>
          </w:rPr>
          <w:t>36</w:t>
        </w:r>
      </w:hyperlink>
      <w:r>
        <w:t>). Foi mencionada na famosa Pedra Moabita pelo Rei Mesa, que afirmou ter trazido de volta o "altar de Davi" de Atarote. Esta Atarote é provavelmente a atual Khirbet Attarus.</w:t>
      </w:r>
    </w:p>
    <w:p>
      <w:pPr>
        <w:pStyle w:val="ListNumber"/>
        <w:spacing w:line="240" w:lineRule="auto"/>
        <w:ind w:left="720"/>
      </w:pPr>
      <w:r/>
      <w:r>
        <w:t>Uma cidade na fronteira sul da terra tribal de Efraim (</w:t>
      </w:r>
      <w:hyperlink r:id="rId2585">
        <w:r>
          <w:rPr>
            <w:color w:val="0000EE"/>
            <w:u w:val="single"/>
          </w:rPr>
          <w:t>Js 16.2</w:t>
        </w:r>
      </w:hyperlink>
      <w:r>
        <w:t>), possivelmente a mesma que Atarote-Adar (</w:t>
      </w:r>
      <w:hyperlink r:id="rId2820">
        <w:r>
          <w:rPr>
            <w:color w:val="0000EE"/>
            <w:u w:val="single"/>
          </w:rPr>
          <w:t>Js 16.5</w:t>
        </w:r>
      </w:hyperlink>
      <w:r>
        <w:t xml:space="preserve">; </w:t>
      </w:r>
      <w:hyperlink r:id="rId2821">
        <w:r>
          <w:rPr>
            <w:color w:val="0000EE"/>
            <w:u w:val="single"/>
          </w:rPr>
          <w:t>18.13</w:t>
        </w:r>
      </w:hyperlink>
      <w:r>
        <w:t>).</w:t>
      </w:r>
    </w:p>
    <w:p>
      <w:pPr>
        <w:pStyle w:val="ListNumber"/>
        <w:spacing w:line="240" w:lineRule="auto"/>
        <w:ind w:left="720"/>
      </w:pPr>
      <w:r/>
      <w:r>
        <w:t>Uma cidade no Vale do Jordão, na fronteira nordeste da terra tribal de Efraim (</w:t>
      </w:r>
      <w:hyperlink r:id="rId2822">
        <w:r>
          <w:rPr>
            <w:color w:val="0000EE"/>
            <w:u w:val="single"/>
          </w:rPr>
          <w:t>Js 16.7</w:t>
        </w:r>
      </w:hyperlink>
      <w:r>
        <w:t>).</w:t>
      </w:r>
    </w:p>
    <w:p>
      <w:pPr>
        <w:pStyle w:val="ListNumber"/>
        <w:spacing w:line="240" w:lineRule="auto"/>
        <w:ind w:left="720"/>
      </w:pPr>
      <w:r/>
      <w:r>
        <w:t>Uma cidade em Judá perto de Belém, pertencente à família de Joabe, filho de Salmã (</w:t>
      </w:r>
      <w:hyperlink r:id="rId2823">
        <w:r>
          <w:rPr>
            <w:color w:val="0000EE"/>
            <w:u w:val="single"/>
          </w:rPr>
          <w:t>1Cr 2.54</w:t>
        </w:r>
      </w:hyperlink>
      <w:r>
        <w:t>).</w:t>
      </w:r>
      <w:r/>
      <w:r/>
    </w:p>
    <w:p>
      <w:r/>
    </w:p>
    <w:p>
      <w:pPr>
        <w:pStyle w:val="Heading2"/>
      </w:pPr>
      <w:r>
        <w:t>Atarote-Sofã</w:t>
      </w:r>
      <w:r/>
    </w:p>
    <w:p>
      <w:r/>
      <w:r>
        <w:t>Uma cidade na Transjordânia na terra tribal de Gade (</w:t>
      </w:r>
      <w:hyperlink r:id="rId2824">
        <w:r>
          <w:rPr>
            <w:color w:val="0000EE"/>
            <w:u w:val="single"/>
          </w:rPr>
          <w:t>Nm 32.35</w:t>
        </w:r>
      </w:hyperlink>
      <w:r>
        <w:t>). Algumas traduções erroneamente listam Atarote-Sofã como duas cidades.</w:t>
      </w:r>
      <w:r/>
      <w:r/>
    </w:p>
    <w:p>
      <w:r/>
    </w:p>
    <w:p>
      <w:pPr>
        <w:pStyle w:val="Heading2"/>
      </w:pPr>
      <w:r>
        <w:t>Atenas</w:t>
      </w:r>
      <w:r/>
    </w:p>
    <w:p>
      <w:r/>
      <w:r>
        <w:t>Atenas é a capital da Grécia moderna. Por muitos séculos, foi a principal cidade de uma região chamada Ática. O ponto de referência mais famoso em Atenas é a Acrópole. A Acrópole é uma rocha plana que se eleva cerca de 61 metros acima da área circundante. Ainda possui vários edifícios antigos famosos. Muros de pedra de 1100 a.C. indicam que uma comunidade avançada viveu lá há muito tempo.</w:t>
      </w:r>
    </w:p>
    <w:p>
      <w:r/>
      <w:r>
        <w:t>Atenas começou a se tornar uma grande cidade nos anos 500 a.C. Primeiro, um líder chamado Sólon (que morreu em 559 a.C.) criou sistemas para o governo democrático. Mais tarde, outro líder chamado Péricles (que morreu em 429 a.C.) construiu os belos edifícios na Acrópole. Durante esse período, conhecido como a idade de ouro, Atenas se tornou um importante centro de filosofia, arte, arquitetura e drama.</w:t>
      </w:r>
    </w:p>
    <w:p>
      <w:r/>
      <w:r>
        <w:t>Quando Paulo levou a mensagem cristã para Atenas (</w:t>
      </w:r>
      <w:hyperlink r:id="rId2825">
        <w:r>
          <w:rPr>
            <w:color w:val="0000EE"/>
            <w:u w:val="single"/>
          </w:rPr>
          <w:t>At 17.15–34</w:t>
        </w:r>
      </w:hyperlink>
      <w:r>
        <w:t>), a cidade já não era tão grandiosa quanto antes. No entanto, os imperadores romanos ainda apoiavam Atenas. Eles construíram novas estruturas e reformaram a Ágora (o mercado). Atenas ainda possuía a melhor universidade do mundo grego. Dois grupos de pensadores, chamados epicureus e estóicos, ainda estavam ativos na cidade.</w:t>
      </w:r>
    </w:p>
    <w:p>
      <w:r/>
      <w:r>
        <w:t xml:space="preserve">O apóstolo Paulo trouxe o Cristianismo para Atenas pela primeira vez durante sua segunda viagem missionária por volta de 50 d.C. Ele menciona Atenas apenas uma vez em </w:t>
      </w:r>
      <w:hyperlink r:id="rId2826">
        <w:r>
          <w:rPr>
            <w:color w:val="0000EE"/>
            <w:u w:val="single"/>
          </w:rPr>
          <w:t>1 Tessalonicenses 3.1</w:t>
        </w:r>
      </w:hyperlink>
      <w:r>
        <w:t>, onde diz que ele e Timóteo chegaram juntos à cidade, mas ele enviou Timóteo de volta a Tessalônica enquanto ele permaneceu em Atenas.</w:t>
      </w:r>
    </w:p>
    <w:p>
      <w:r/>
      <w:r>
        <w:t>Lucas fornece um relato detalhado do trabalho de Paulo em Atenas (</w:t>
      </w:r>
      <w:hyperlink r:id="rId2827">
        <w:r>
          <w:rPr>
            <w:color w:val="0000EE"/>
            <w:u w:val="single"/>
          </w:rPr>
          <w:t>At 17.16</w:t>
        </w:r>
      </w:hyperlink>
      <w:r>
        <w:t>–</w:t>
      </w:r>
      <w:hyperlink r:id="rId2827">
        <w:r>
          <w:rPr>
            <w:color w:val="0000EE"/>
            <w:u w:val="single"/>
          </w:rPr>
          <w:t>34</w:t>
        </w:r>
      </w:hyperlink>
      <w:r>
        <w:t>). Paulo ficou perturbado com as muitas estátuas de deuses que viu na cidade. Como monoteísta judeu, ele via Atenas como um lugar pecaminoso, apesar de suas conquistas culturais.</w:t>
      </w:r>
    </w:p>
    <w:p>
      <w:r/>
      <w:r>
        <w:t>Como em outras cidades daquela época, Atenas tinha uma comunidade judaica. Paulo começou a pregar para seus companheiros judeus, como era seu costume. Ele então passou a falar no mercado sobre Jesus para qualquer um que quisesse ouvir, incluindo alguns filósofos que o zombavam como um "tagarela". Eles pensaram que Paulo estava introduzindo um novo deus, então o levaram perante o Areópago, um conselho responsável por assuntos religiosos e morais em Atenas. Este conselho recebeu seu nome de uma pequena colina perto da Acrópole onde costumava se reunir. Na época de Paulo, o conselho se reunia em um pórtico em uma extremidade do mercado.</w:t>
      </w:r>
    </w:p>
    <w:p>
      <w:r/>
      <w:r>
        <w:t>A maior parte da história de Lucas é sobre o discurso de Paulo no Areópago. Paulo mencionou seus muitos deuses, até mesmo um “deus desconhecido”, e disse que estava revelando a eles o verdadeiro Deus. Ele chamou ao arrependimento e advertiu sobre o julgamento. Algumas pessoas zombaram da ideia de ressurreição, mas outras queriam ouvir mais.</w:t>
      </w:r>
    </w:p>
    <w:p>
      <w:r/>
      <w:r>
        <w:t>Lucas menciona que apenas algumas pessoas seguiram Paulo, incluindo Dionísio, um membro do Areópago, e uma mulher chamada Dâmaris. Parece que Paulo não fundou uma igreja em Atenas, então a cidade não teve um papel significativo na história cristã primitiva.</w:t>
      </w:r>
      <w:r/>
      <w:r/>
    </w:p>
    <w:p>
      <w:r/>
    </w:p>
    <w:p>
      <w:pPr>
        <w:pStyle w:val="Heading2"/>
      </w:pPr>
      <w:r>
        <w:t>Atos dos Apóstolos, Livro dos</w:t>
      </w:r>
      <w:r/>
    </w:p>
    <w:p>
      <w:r/>
      <w:r>
        <w:t xml:space="preserve">Livro do NT que apresenta a história da igreja primitiva e escrito como uma sequência do Evangelho de Lucas. </w:t>
      </w:r>
    </w:p>
    <w:p>
      <w:r/>
      <w:r>
        <w:t>Na organização dos livros do NT, Atos vem após os quatro Evangelhos e antes das Epístolas.</w:t>
      </w:r>
    </w:p>
    <w:p>
      <w:r/>
      <w:r>
        <w:t>Resumo</w:t>
      </w:r>
    </w:p>
    <w:p>
      <w:r/>
      <w:r>
        <w:t>• Autor</w:t>
      </w:r>
    </w:p>
    <w:p>
      <w:r/>
      <w:r>
        <w:t>• Data, Origem, Destino</w:t>
      </w:r>
    </w:p>
    <w:p>
      <w:r/>
      <w:r>
        <w:t>• Contexto e Conteúdo</w:t>
      </w:r>
    </w:p>
    <w:p>
      <w:r/>
      <w:r>
        <w:t>• Propósito</w:t>
      </w:r>
    </w:p>
    <w:p>
      <w:pPr>
        <w:pStyle w:val="Heading3"/>
      </w:pPr>
      <w:r>
        <w:t>Autor</w:t>
      </w:r>
    </w:p>
    <w:p>
      <w:r/>
      <w:r>
        <w:t>O livro de Atos não declara claramente quem é seu escritor, mas o consenso geral é que Lucas foi seu autor.</w:t>
      </w:r>
    </w:p>
    <w:p>
      <w:r/>
      <w:r>
        <w:t xml:space="preserve">A tradição da igreja primitiva do segundo século afirma que Atos (assim como o terceiro Evangelho) foi escrito por um companheiro de viagem e colaborador do apóstolo Paulo. Esse companheiro é identificado em </w:t>
      </w:r>
      <w:hyperlink r:id="rId2828">
        <w:r>
          <w:rPr>
            <w:color w:val="0000EE"/>
            <w:u w:val="single"/>
          </w:rPr>
          <w:t>Colossenses 4.14</w:t>
        </w:r>
      </w:hyperlink>
      <w:r>
        <w:t xml:space="preserve"> como "Lucas, o médico amado" (ARA) e mencionado entre os colaboradores de Paulo (</w:t>
      </w:r>
      <w:hyperlink r:id="rId2829">
        <w:r>
          <w:rPr>
            <w:color w:val="0000EE"/>
            <w:u w:val="single"/>
          </w:rPr>
          <w:t>Cl 4.10–17</w:t>
        </w:r>
      </w:hyperlink>
      <w:r>
        <w:t xml:space="preserve">; veja também </w:t>
      </w:r>
      <w:hyperlink r:id="rId2830">
        <w:r>
          <w:rPr>
            <w:color w:val="0000EE"/>
            <w:u w:val="single"/>
          </w:rPr>
          <w:t>2Tm 4.11</w:t>
        </w:r>
      </w:hyperlink>
      <w:r>
        <w:t xml:space="preserve">; </w:t>
      </w:r>
      <w:hyperlink r:id="rId2499">
        <w:r>
          <w:rPr>
            <w:color w:val="0000EE"/>
            <w:u w:val="single"/>
          </w:rPr>
          <w:t>Fm 1.24</w:t>
        </w:r>
      </w:hyperlink>
      <w:r>
        <w:t>).</w:t>
      </w:r>
    </w:p>
    <w:p>
      <w:r/>
      <w:r>
        <w:t>Um forte apoio para a tradição de que o autor de Atos era um companheiro de Paulo vem da segunda metade do livro, que relata o ministério de Paulo. Lá, várias narrativas são contadas na primeira pessoa do plural:</w:t>
      </w:r>
    </w:p>
    <w:p>
      <w:r/>
      <w:r>
        <w:t>1. “Naquela noite Paulo teve uma visão. Ele viu um homem da província da Macedônia, que estava de pé e lhe pedia: “Venha para a Macedônia e nos ajude!" Logo depois dessa visão, nós resolvemos partir logo para a Macedônia, pois estávamos certos de que Deus nos havia chamado para anunciar o evangelho ao povo dali. (</w:t>
      </w:r>
      <w:hyperlink r:id="rId2831">
        <w:r>
          <w:rPr>
            <w:color w:val="0000EE"/>
            <w:u w:val="single"/>
          </w:rPr>
          <w:t>16.9–10</w:t>
        </w:r>
      </w:hyperlink>
      <w:r>
        <w:t>, NTLH).</w:t>
      </w:r>
    </w:p>
    <w:p>
      <w:r/>
      <w:r>
        <w:t>2. “Eles foram adiante e nos esperaram em Trôade... nós embarcamos em um navio em Filipos na Macedônia e cinco dias depois chegamos em Trôade, onde ficamos uma semana” (</w:t>
      </w:r>
      <w:hyperlink r:id="rId2832">
        <w:r>
          <w:rPr>
            <w:color w:val="0000EE"/>
            <w:u w:val="single"/>
          </w:rPr>
          <w:t>20.5–6</w:t>
        </w:r>
      </w:hyperlink>
      <w:r>
        <w:t>).</w:t>
      </w:r>
    </w:p>
    <w:p>
      <w:r/>
      <w:r>
        <w:t>3. “Ficou resolvido que devíamos embarcar para a Itália.” (</w:t>
      </w:r>
      <w:hyperlink r:id="rId2833">
        <w:r>
          <w:rPr>
            <w:color w:val="0000EE"/>
            <w:u w:val="single"/>
          </w:rPr>
          <w:t>27.1</w:t>
        </w:r>
      </w:hyperlink>
      <w:r>
        <w:t>, NTLH).</w:t>
      </w:r>
    </w:p>
    <w:p>
      <w:r/>
      <w:r>
        <w:t>Essas seções de “nós” (</w:t>
      </w:r>
      <w:hyperlink r:id="rId2834">
        <w:r>
          <w:rPr>
            <w:color w:val="0000EE"/>
            <w:u w:val="single"/>
          </w:rPr>
          <w:t>16.9–18</w:t>
        </w:r>
      </w:hyperlink>
      <w:r>
        <w:t xml:space="preserve">; </w:t>
      </w:r>
      <w:hyperlink r:id="rId2835">
        <w:r>
          <w:rPr>
            <w:color w:val="0000EE"/>
            <w:u w:val="single"/>
          </w:rPr>
          <w:t>20.5–21.18</w:t>
        </w:r>
      </w:hyperlink>
      <w:r>
        <w:t xml:space="preserve">; </w:t>
      </w:r>
      <w:hyperlink r:id="rId2836">
        <w:r>
          <w:rPr>
            <w:color w:val="0000EE"/>
            <w:u w:val="single"/>
          </w:rPr>
          <w:t>27.1–28.16</w:t>
        </w:r>
      </w:hyperlink>
      <w:r>
        <w:t xml:space="preserve">) soam como parte de um relato de viagem ou diário escrito por uma testemunha ocular que acompanhou Paulo de Trôade a Filipos em sua segunda viagem missionária; de Filipos a Mileto na terceira; de Mileto a Jerusalém; e de Cesareia a Roma. </w:t>
      </w:r>
    </w:p>
    <w:p>
      <w:r/>
      <w:r>
        <w:t>Como o estilo e o vocabulário dessas narrativas de viagem se assemelham aos do restante do livro, é altamente provável que o escritor também tenha sido o autor de todo o livro.</w:t>
      </w:r>
    </w:p>
    <w:p>
      <w:r/>
      <w:r>
        <w:t xml:space="preserve">O estilo literário sofisticado e o uso refinado da língua grega no livro, bem como o fato de ser dirigido a alguém chamado Teófilo (possivelmente um oficial romano de alta patente), fornecem um forte apoio à tradição de que Lucas era um gentio convertido ao cristianismo. </w:t>
      </w:r>
    </w:p>
    <w:p>
      <w:r/>
      <w:r>
        <w:t>Seu uso consistente e frequente da Septuaginta grega pode indicar que ele era um gentio "temente a Deus" antes de se converter à nova fé.</w:t>
      </w:r>
    </w:p>
    <w:p>
      <w:pPr>
        <w:pStyle w:val="Heading3"/>
      </w:pPr>
      <w:r>
        <w:t>Data, Origem, Destino</w:t>
      </w:r>
    </w:p>
    <w:p>
      <w:r/>
      <w:r>
        <w:t>A questão da data e do local de origem de Atos continua a ser debatida. Não há indicações claras no próprio livro. Com relação ao seu destino, no entanto, Lucas não deixou nenhuma dúvida. No versículo de abertura, ele se dirige a um certo Teófilo, a quem já havia escrito um livro anterior sobre a vida de Jesus. Não há dúvida de que ele estava se referindo ao trabalho que conhecemos como o Evangelho de Lucas. No prefácio desse Evangelho (</w:t>
      </w:r>
      <w:hyperlink r:id="rId2837">
        <w:r>
          <w:rPr>
            <w:color w:val="0000EE"/>
            <w:u w:val="single"/>
          </w:rPr>
          <w:t>Lc 1.1–4</w:t>
        </w:r>
      </w:hyperlink>
      <w:r>
        <w:t xml:space="preserve">), Lucas declarou claramente seu propósito ao escrever e dirigiu seu relato ao “excelentíssimo Teófilo.” Não está claro quem era essa pessoa. Alguns intérpretes acreditam que Teófilo (que significa "querido por Deus" ou "amante de Deus") representa os leitores cristãos em geral, em vez de qualquer indivíduo específico. No entanto, a designação "mais honrável" argumenta contra tal suposição. Essa atribuição era um título comum de honra, designando uma pessoa com posição oficial na ordem sociopolítica romana (cf. uso do título para Félix, </w:t>
      </w:r>
      <w:hyperlink r:id="rId2838">
        <w:r>
          <w:rPr>
            <w:color w:val="0000EE"/>
            <w:u w:val="single"/>
          </w:rPr>
          <w:t>At 23.26</w:t>
        </w:r>
      </w:hyperlink>
      <w:r>
        <w:t xml:space="preserve">; </w:t>
      </w:r>
      <w:hyperlink r:id="rId2839">
        <w:r>
          <w:rPr>
            <w:color w:val="0000EE"/>
            <w:u w:val="single"/>
          </w:rPr>
          <w:t>24.2</w:t>
        </w:r>
      </w:hyperlink>
      <w:r>
        <w:t xml:space="preserve">; e para Festo, </w:t>
      </w:r>
      <w:hyperlink r:id="rId2840">
        <w:r>
          <w:rPr>
            <w:color w:val="0000EE"/>
            <w:u w:val="single"/>
          </w:rPr>
          <w:t>26.25</w:t>
        </w:r>
      </w:hyperlink>
      <w:r>
        <w:t>). É, portanto, provável que Lucas tenha destinado sua obra em dois volumes para um representante oficial da sociedade romana.</w:t>
      </w:r>
    </w:p>
    <w:p>
      <w:r/>
      <w:r>
        <w:t>Quando Atos foi escrito? Alguns estudiosos datam-no no último quarto do primeiro século. Como o Evangelho foi escrito primeiro, e como Lucas baseou sua história de Jesus em relatos de testemunhas oculares e fontes escritas (entre as quais possivelmente estava o Evangelho de Marcos, provavelmente escrito nos anos 60), Atos não deve ser datado muito antes de 85 d.C. Proponentes de uma data tão tardia afirmam apoio na teologia de Atos, que eles veem como retratando uma igreja cristã estabelecida na história, ajustada à perspectiva de um longo período antes do retorno do Senhor. Já que a expectativa do retorno iminente do Senhor foi alimentada pela revolta judaica e pela queda de Jerusalém em 70 d.C., o período deve ter permitido que essa chama diminuísse um pouco.</w:t>
      </w:r>
    </w:p>
    <w:p>
      <w:r/>
      <w:r>
        <w:t>Outros estudiosos datam Atos por volta de 70 d.C. ou logo depois. A rebelião judaica de 66–70 d.C., que culminou na destruição de Jerusalém, causou à fé judaica — legal até então — descrédito. O movimento cristão, que havia sido aceito como uma seita judaica, tornou-se suspeito. Os cristãos foram cada vez mais acusados de serem inimigos de Roma. Um estudo de Atos mostra que, entre vários propósitos (veja abaixo), Lucas parece ter defendido os cristãos contra a acusação de hostilidade em relação ao estado. Ele mostrou como os oficiais romanos repetidamente testemunharam a completa inocência dos cristãos e, acima de tudo, de Paulo (</w:t>
      </w:r>
      <w:hyperlink r:id="rId2841">
        <w:r>
          <w:rPr>
            <w:color w:val="0000EE"/>
            <w:u w:val="single"/>
          </w:rPr>
          <w:t>16.39</w:t>
        </w:r>
      </w:hyperlink>
      <w:r>
        <w:t xml:space="preserve">; </w:t>
      </w:r>
      <w:hyperlink r:id="rId2842">
        <w:r>
          <w:rPr>
            <w:color w:val="0000EE"/>
            <w:u w:val="single"/>
          </w:rPr>
          <w:t>18.14–17</w:t>
        </w:r>
      </w:hyperlink>
      <w:r>
        <w:t xml:space="preserve">; </w:t>
      </w:r>
      <w:hyperlink r:id="rId2843">
        <w:r>
          <w:rPr>
            <w:color w:val="0000EE"/>
            <w:u w:val="single"/>
          </w:rPr>
          <w:t>19.37</w:t>
        </w:r>
      </w:hyperlink>
      <w:r>
        <w:t xml:space="preserve">; </w:t>
      </w:r>
      <w:hyperlink r:id="rId2844">
        <w:r>
          <w:rPr>
            <w:color w:val="0000EE"/>
            <w:u w:val="single"/>
          </w:rPr>
          <w:t>23.29</w:t>
        </w:r>
      </w:hyperlink>
      <w:r>
        <w:t xml:space="preserve">; </w:t>
      </w:r>
      <w:hyperlink r:id="rId2845">
        <w:r>
          <w:rPr>
            <w:color w:val="0000EE"/>
            <w:u w:val="single"/>
          </w:rPr>
          <w:t>25.25</w:t>
        </w:r>
      </w:hyperlink>
      <w:r>
        <w:t xml:space="preserve">; </w:t>
      </w:r>
      <w:hyperlink r:id="rId2846">
        <w:r>
          <w:rPr>
            <w:color w:val="0000EE"/>
            <w:u w:val="single"/>
          </w:rPr>
          <w:t>26.32</w:t>
        </w:r>
      </w:hyperlink>
      <w:r>
        <w:t>). Lucas também deixou claro que Paulo tinha permissão para continuar sua missão com total aprovação dos oficiais romanos no coração da capital imperial (</w:t>
      </w:r>
      <w:hyperlink r:id="rId2847">
        <w:r>
          <w:rPr>
            <w:color w:val="0000EE"/>
            <w:u w:val="single"/>
          </w:rPr>
          <w:t>28.16–31</w:t>
        </w:r>
      </w:hyperlink>
      <w:r>
        <w:t>).</w:t>
      </w:r>
    </w:p>
    <w:p>
      <w:r/>
      <w:r>
        <w:t>Uma data ainda mais antiga, mais próxima do encarceramento de Paulo em Roma (início dos anos 60), foi defendida por vários estudiosos. Há duas razões convincentes: (1) O final abrupto de Atos, descrevendo Paulo continuando um ministério em Roma antes de seu julgamento ter começado, pode indicar que Lucas estava escrevendo naquele momento. É possível, é claro, que Lucas tenha terminado sua história com Paulo pregando o evangelho em Roma porque um de seus propósitos havia sido alcançado: a saber, mostrar como o evangelho se espalhou de Jerusalém para Roma. Mas parece altamente improvável que Lucas encerrasse sua história sem a defesa do evangelho por Paulo diante do próprio César, se isso já tivesse acontecido. (2) O período mais apropriado para a história de Lucas, com sua defesa do movimento cristão contra todos os tipos de acusações tanto de judeus quanto de gentios, é o período em que o cristianismo estava se tornando suspeito, mas ainda não era proscrito. Esse foi o tempo antes do início das perseguições sob Nero em 64 d.C. A data inicial corresponderia à alegação de que Lucas estava com Paulo durante seu encarceramento em Roma e que ele escreveu sua história em Roma enquanto aguardava o início do julgamento de Paulo. É possível que o trabalho de Lucas tenha sido parcialmente destinado a influenciar o veredicto. Lucas apresentou uma imagem do Cristianismo e de Paulo que ele esperava que permitisse a Paulo continuar seu trabalho entre os gentios.</w:t>
      </w:r>
    </w:p>
    <w:p>
      <w:pPr>
        <w:pStyle w:val="Heading3"/>
      </w:pPr>
      <w:r>
        <w:t>Contexto e Conteúdo</w:t>
      </w:r>
    </w:p>
    <w:p>
      <w:r/>
      <w:r>
        <w:t>Lucas fundamenta seu documentário sobre a rápida expansão do Cristianismo na história do Império Romano e da Palestina durante as três décadas de 30 a 60 d.C. Algumas breves considerações históricas e geográficas ajudarão a entender a história de Lucas.</w:t>
      </w:r>
    </w:p>
    <w:p>
      <w:r/>
      <w:hyperlink r:id="rId2848">
        <w:r>
          <w:rPr>
            <w:color w:val="0000EE"/>
            <w:u w:val="single"/>
          </w:rPr>
          <w:t>Atos 1–12</w:t>
        </w:r>
      </w:hyperlink>
      <w:r>
        <w:t xml:space="preserve"> relata os primórdios do movimento cristão na província imperial da Síria, que incluía a Judeia e Samaria. No primeiro século d.C., essas regiões eram geralmente governadas por procuradores romanos ou reis marionetes. Na época da morte e ressurreição de Jesus (c. 30 d.C.), Pôncio Pilatos era procurador na Judeia e Samaria (26–36 d.C.). A Galileia era governada pelo Rei Herodes Antipas (4 a.C.–39 d.C.). Tibério foi imperador do Império Romano (14–37 d.C.). O relato de </w:t>
      </w:r>
      <w:hyperlink r:id="rId2848">
        <w:r>
          <w:rPr>
            <w:color w:val="0000EE"/>
            <w:u w:val="single"/>
          </w:rPr>
          <w:t>Atos 1–12</w:t>
        </w:r>
      </w:hyperlink>
      <w:r>
        <w:t xml:space="preserve"> ocorreu no período de 30–44 d.C.</w:t>
      </w:r>
    </w:p>
    <w:p>
      <w:r/>
      <w:r>
        <w:t>A conversão de Saulo (</w:t>
      </w:r>
      <w:hyperlink r:id="rId2849">
        <w:r>
          <w:rPr>
            <w:color w:val="0000EE"/>
            <w:u w:val="single"/>
          </w:rPr>
          <w:t>Atos 9</w:t>
        </w:r>
      </w:hyperlink>
      <w:r>
        <w:t>) é geralmente datada em 33 d.C. Após a conversão de Saulo e sua partida para sua terra natal, Tarso, a igreja evidentemente desfrutou de um período de tranquilidade, consolidando seus ganhos e crescendo constantemente (</w:t>
      </w:r>
      <w:hyperlink r:id="rId2850">
        <w:r>
          <w:rPr>
            <w:color w:val="0000EE"/>
            <w:u w:val="single"/>
          </w:rPr>
          <w:t>9.31–11.26</w:t>
        </w:r>
      </w:hyperlink>
      <w:r>
        <w:t xml:space="preserve">). Pode-se supor, a partir de </w:t>
      </w:r>
      <w:hyperlink r:id="rId2851">
        <w:r>
          <w:rPr>
            <w:color w:val="0000EE"/>
            <w:u w:val="single"/>
          </w:rPr>
          <w:t>Gálatas 1.18–21</w:t>
        </w:r>
      </w:hyperlink>
      <w:r>
        <w:t xml:space="preserve"> e da existência de comunidades cristãs que Paulo e Silas visitaram na segunda viagem missionária (</w:t>
      </w:r>
      <w:hyperlink r:id="rId2852">
        <w:r>
          <w:rPr>
            <w:color w:val="0000EE"/>
            <w:u w:val="single"/>
          </w:rPr>
          <w:t>At 15.40–41</w:t>
        </w:r>
      </w:hyperlink>
      <w:r>
        <w:t xml:space="preserve">), que Paulo não esteve ocioso durante aquela década, mas intensamente envolvido na missão aos gentios. (Depois de </w:t>
      </w:r>
      <w:hyperlink r:id="rId2853">
        <w:r>
          <w:rPr>
            <w:color w:val="0000EE"/>
            <w:u w:val="single"/>
          </w:rPr>
          <w:t>At 13.9</w:t>
        </w:r>
      </w:hyperlink>
      <w:r>
        <w:t>, o nome "Saulo" é retirado da narrativa.)</w:t>
      </w:r>
    </w:p>
    <w:p>
      <w:r/>
      <w:r>
        <w:t xml:space="preserve">Em 41 d.C., Cláudio tornou-se imperador de Roma e coroou Herodes Agripa I como rei dos judeus. (O procurador Pôncio Pilatos havia sido removido vários anos antes por administração inepta da região.) Agripa I era neto de Herodes, o Grande, e de sua princesa judia Mariamne. Por causa de suas raízes judaicas, ele era mais popular entre seus súditos do que os antigos Herodes. Sem dúvida, foi o seu desejo de aumentar essa popularidade e ganhar o apoio das autoridades religiosas judaicas que levou a um novo surto de violência contra a igreja de Jerusalém. </w:t>
      </w:r>
      <w:hyperlink r:id="rId2854">
        <w:r>
          <w:rPr>
            <w:color w:val="0000EE"/>
            <w:u w:val="single"/>
          </w:rPr>
          <w:t>Atos 12</w:t>
        </w:r>
      </w:hyperlink>
      <w:r>
        <w:t xml:space="preserve"> relata a execução de Tiago (o irmão do apóstolo João) e a prisão de Pedro. A história da morte de Agripa I (</w:t>
      </w:r>
      <w:hyperlink r:id="rId2855">
        <w:r>
          <w:rPr>
            <w:color w:val="0000EE"/>
            <w:u w:val="single"/>
          </w:rPr>
          <w:t>12.20–23</w:t>
        </w:r>
      </w:hyperlink>
      <w:r>
        <w:t>) é paralela a um relato do historiador judeu Josefo, que data o evento em 44 d.C.</w:t>
      </w:r>
    </w:p>
    <w:p>
      <w:r/>
      <w:r>
        <w:t>Um segundo evento que fornece uma referência temporal para o desenrolar da história da igreja primitiva é a coleta de ajuda para a fome em Antioquia para os cristãos na Judeia (</w:t>
      </w:r>
      <w:hyperlink r:id="rId2856">
        <w:r>
          <w:rPr>
            <w:color w:val="0000EE"/>
            <w:u w:val="single"/>
          </w:rPr>
          <w:t>11.27–29</w:t>
        </w:r>
      </w:hyperlink>
      <w:r>
        <w:t xml:space="preserve">). Lucas afirmou que uma grave fome ocorreu (v </w:t>
      </w:r>
      <w:hyperlink r:id="rId2857">
        <w:r>
          <w:rPr>
            <w:color w:val="0000EE"/>
            <w:u w:val="single"/>
          </w:rPr>
          <w:t>28</w:t>
        </w:r>
      </w:hyperlink>
      <w:r>
        <w:t xml:space="preserve">) durante o reinado do Imperador Cláudio (41–54 d.C.). Josefo, escrevendo a obra </w:t>
      </w:r>
      <w:r>
        <w:rPr>
          <w:i/>
        </w:rPr>
        <w:t>Antiguidades</w:t>
      </w:r>
      <w:r>
        <w:t xml:space="preserve"> no final do primeiro século, falou de uma severa fome na Palestina entre os anos 44 e 48 d.C. De acordo com </w:t>
      </w:r>
      <w:hyperlink r:id="rId2858">
        <w:r>
          <w:rPr>
            <w:color w:val="0000EE"/>
            <w:u w:val="single"/>
          </w:rPr>
          <w:t>Atos 12.25</w:t>
        </w:r>
      </w:hyperlink>
      <w:r>
        <w:t>, Barnabé e Paulo terminaram sua missão aos cristãos famintos na Judeia após a morte de Agripa I, tornando possível datar sua missão por volta de 45 d.C.</w:t>
      </w:r>
    </w:p>
    <w:p>
      <w:r/>
      <w:r>
        <w:t>Nesse ponto da narrativa de Atos, Paulo é oficialmente enviado em sua missão aos gentios (</w:t>
      </w:r>
      <w:hyperlink r:id="rId1417">
        <w:r>
          <w:rPr>
            <w:color w:val="0000EE"/>
            <w:u w:val="single"/>
          </w:rPr>
          <w:t>13.1–3</w:t>
        </w:r>
      </w:hyperlink>
      <w:r>
        <w:t>), para a qual a história e a geografia do grande Império Romano formam o pano de fundo. A política oficial romana em relação às várias religiões no império era de tolerância. Essa política, além do uso da língua grega em todo o império e uma rede fenomenal de estradas e rotas marítimas, abriu caminho para o trabalho missionário de longo alcance de Paulo.</w:t>
      </w:r>
    </w:p>
    <w:p>
      <w:r/>
      <w:r>
        <w:t xml:space="preserve">A primeira viagem (46–47 d.C.) levou Paulo e Barnabé pela província insular de Chipre, na ponta nordeste do Mar Mediterrâneo, e até a província da Galácia, onde igrejas foram estabelecidas em várias cidades do sul da Galácia (Antioquia da Pisídia, Icônio, Listra, Derbe). A Galácia fica localizada na Ásia Menor, sendo delimitada pelo Mar Negro, o Mar Egeu e o Mar Mediterrâneo em seus lados norte, oeste e sul. Essas cidades, importantes postos coloniais para os romanos, continham populações mistas, incluindo grandes comunidades judaicas. Foi nas sinagogas dessas comunidades que Paulo iniciou seus esforços missionários, quase sempre encontrando considerável oposição (cps </w:t>
      </w:r>
      <w:hyperlink r:id="rId2859">
        <w:r>
          <w:rPr>
            <w:color w:val="0000EE"/>
            <w:u w:val="single"/>
          </w:rPr>
          <w:t>13–14</w:t>
        </w:r>
      </w:hyperlink>
      <w:r>
        <w:t>).</w:t>
      </w:r>
    </w:p>
    <w:p>
      <w:r/>
      <w:r>
        <w:t>A deliberação do Concílio de Jerusalém sobre as diferenças entre cristãos judeus e gentios (</w:t>
      </w:r>
      <w:hyperlink r:id="rId1997">
        <w:r>
          <w:rPr>
            <w:color w:val="0000EE"/>
            <w:u w:val="single"/>
          </w:rPr>
          <w:t>cp 15</w:t>
        </w:r>
      </w:hyperlink>
      <w:r>
        <w:t>) pode ser datada no ano 48 d.C. Foi seguido pela segunda viagem missionária de Paulo, que o levou através do território já evangelizado de sua nativa Cilícia, Galácia, e através de Trôade na costa do Egeu até a Macedônia e descendo para Acaia, a Península Grega (</w:t>
      </w:r>
      <w:hyperlink r:id="rId2860">
        <w:r>
          <w:rPr>
            <w:color w:val="0000EE"/>
            <w:u w:val="single"/>
          </w:rPr>
          <w:t>15.40–18.22</w:t>
        </w:r>
      </w:hyperlink>
      <w:r>
        <w:t>). Igrejas foram estabelecidas nas importantes cidades macedônias de Filipos, Tessalônica e Bereia.</w:t>
      </w:r>
    </w:p>
    <w:p>
      <w:r/>
      <w:r>
        <w:t>O um ano e meio de Paulo em Corinto (</w:t>
      </w:r>
      <w:hyperlink r:id="rId2861">
        <w:r>
          <w:rPr>
            <w:color w:val="0000EE"/>
            <w:u w:val="single"/>
          </w:rPr>
          <w:t>18.11</w:t>
        </w:r>
      </w:hyperlink>
      <w:r>
        <w:t xml:space="preserve">) pode ser datado com alguma certeza em 51–52 d.C. Uma inscrição antiga entre as ruínas de Delfos, uma cidade na Grécia central, afirma que Gálio se tornou procônsul da Acaia em 51. </w:t>
      </w:r>
      <w:hyperlink r:id="rId2862">
        <w:r>
          <w:rPr>
            <w:color w:val="0000EE"/>
            <w:u w:val="single"/>
          </w:rPr>
          <w:t>Atos 18.12–17</w:t>
        </w:r>
      </w:hyperlink>
      <w:r>
        <w:t xml:space="preserve"> conta como Paulo foi acusado por judeus antagonistas diante de Gálio. A implicação é que os adversários de Paulo em Corinto sentiam que um novo procônsul poderia ser persuadido a apoiar sua causa. Assim, a estadia de Paulo em Corinto pode ser datada no início do procônsul de Gálio.</w:t>
      </w:r>
    </w:p>
    <w:p>
      <w:r/>
      <w:r>
        <w:t>O relato de Lucas sobre o retorno de Paulo à Palestina e o início de sua terceira viagem missionária levanta uma questão histórica fascinante sobre o que aconteceu com os seguidores de João Batista (</w:t>
      </w:r>
      <w:hyperlink r:id="rId2863">
        <w:r>
          <w:rPr>
            <w:color w:val="0000EE"/>
            <w:u w:val="single"/>
          </w:rPr>
          <w:t>13.13–19.7</w:t>
        </w:r>
      </w:hyperlink>
      <w:r>
        <w:t xml:space="preserve">). </w:t>
      </w:r>
      <w:hyperlink r:id="rId2864">
        <w:r>
          <w:rPr>
            <w:color w:val="0000EE"/>
            <w:u w:val="single"/>
          </w:rPr>
          <w:t>Atos 18.24–28</w:t>
        </w:r>
      </w:hyperlink>
      <w:r>
        <w:t xml:space="preserve"> refere-se a um judeu erudito, Apolo, que estava ativamente ensinando sobre Jesus na sinagoga em Éfeso, mas que aparentemente não era membro de uma comunidade distintamente cristã, não tendo sido batizado em nome de Jesus. Ele estava familiarizado apenas com o batismo de arrependimento praticado por João Batista. Depois que Apolo foi para Corinto para ministrar à jovem congregação que Paulo fundou no ano anterior, Paulo foi para Éfeso. Lá ele conheceu vários discípulos de Jesus que, como Apolo, tinham experimentado o batismo de arrependimento de João, mas que não tinham sido batizados como cristãos.</w:t>
      </w:r>
    </w:p>
    <w:p>
      <w:r/>
      <w:r>
        <w:t>A referência de Lucas a Apolo e aqueles discípulos, bem como várias passagens nos Evangelhos, indicam que o movimento iniciado por João Batista não simplesmente terminou quando Jesus começou seu ministério. Evidentemente, João continuou a batizar até sua morte (</w:t>
      </w:r>
      <w:hyperlink r:id="rId2865">
        <w:r>
          <w:rPr>
            <w:color w:val="0000EE"/>
            <w:u w:val="single"/>
          </w:rPr>
          <w:t>Jo 3.22–24</w:t>
        </w:r>
      </w:hyperlink>
      <w:r>
        <w:t>), e muitos de seus discípulos mantiveram o trabalho de João após sua morte. Provavelmente tanto Apolo quanto os discípulos em Éfeso eram produtos do ministério contínuo dos discípulos de João. Eventualmente, eles foram apresentados ao "caminho do Senhor" (</w:t>
      </w:r>
      <w:hyperlink r:id="rId2866">
        <w:r>
          <w:rPr>
            <w:color w:val="0000EE"/>
            <w:u w:val="single"/>
          </w:rPr>
          <w:t>18.25</w:t>
        </w:r>
      </w:hyperlink>
      <w:r>
        <w:t>). A falta de conhecimento deles sobre um batismo cristão distinto ou sobre a realidade do Espírito Santo (</w:t>
      </w:r>
      <w:hyperlink r:id="rId2867">
        <w:r>
          <w:rPr>
            <w:color w:val="0000EE"/>
            <w:u w:val="single"/>
          </w:rPr>
          <w:t>19.2–4</w:t>
        </w:r>
      </w:hyperlink>
      <w:r>
        <w:t>) mostra quanta diversidade tanto em crença quanto em prática existia no cristianismo primitivo.</w:t>
      </w:r>
    </w:p>
    <w:p>
      <w:r/>
      <w:r>
        <w:t>A terceira viagem missionária de Paulo começou com um ministério de três anos em Éfeso (</w:t>
      </w:r>
      <w:hyperlink r:id="rId2868">
        <w:r>
          <w:rPr>
            <w:color w:val="0000EE"/>
            <w:u w:val="single"/>
          </w:rPr>
          <w:t>19.1–20.1</w:t>
        </w:r>
      </w:hyperlink>
      <w:r>
        <w:t>), continuou com uma visita às igrejas estabelecidas na jornada anterior (</w:t>
      </w:r>
      <w:hyperlink r:id="rId2869">
        <w:r>
          <w:rPr>
            <w:color w:val="0000EE"/>
            <w:u w:val="single"/>
          </w:rPr>
          <w:t>20.2–12</w:t>
        </w:r>
      </w:hyperlink>
      <w:r>
        <w:t>), e culminou com sua prisão em Jerusalém (</w:t>
      </w:r>
      <w:hyperlink r:id="rId2870">
        <w:r>
          <w:rPr>
            <w:color w:val="0000EE"/>
            <w:u w:val="single"/>
          </w:rPr>
          <w:t>Atos 21</w:t>
        </w:r>
      </w:hyperlink>
      <w:r>
        <w:t>). Ocorreu em meados dos anos 50 (53–57 d.C.). A prisão de Paulo em Jerusalém e a acusação perante o governador provincial, Félix, em Cesareia (</w:t>
      </w:r>
      <w:hyperlink r:id="rId2871">
        <w:r>
          <w:rPr>
            <w:color w:val="0000EE"/>
            <w:u w:val="single"/>
          </w:rPr>
          <w:t>23.23–24.23</w:t>
        </w:r>
      </w:hyperlink>
      <w:r>
        <w:t>) deve ser datada por volta de 57. Depois que Paulo passou dois anos em prisão domiciliar, sem dúvida prolongada por Félix para ganhar favor com os súditos judeus, Félix foi substituído por Pórcio Festo (59–60 d.C.). Josefo observou que Félix foi chamado de volta por causa de um surto de conflito civil entre os habitantes judeus e gentios de Cesareia e a gestão imprudente de Félix da situação.</w:t>
      </w:r>
    </w:p>
    <w:p>
      <w:r/>
      <w:r>
        <w:t>O novo procurador, Festo, estava incerto sobre o que fazer com seu prisioneiro. A liderança judaica procurou aproveitar essa oportunidade, ciente do desejo dos novos procuradores de ganhar popularidade com seus súditos (</w:t>
      </w:r>
      <w:hyperlink r:id="rId2872">
        <w:r>
          <w:rPr>
            <w:color w:val="0000EE"/>
            <w:u w:val="single"/>
          </w:rPr>
          <w:t>25.1–9</w:t>
        </w:r>
      </w:hyperlink>
      <w:r>
        <w:t>). Percebendo a ameaça, Paulo apelou seu caso ao tribunal mais alto do império, presidido pelo próprio César (</w:t>
      </w:r>
      <w:hyperlink r:id="rId2873">
        <w:r>
          <w:rPr>
            <w:color w:val="0000EE"/>
            <w:u w:val="single"/>
          </w:rPr>
          <w:t>25.10–12</w:t>
        </w:r>
      </w:hyperlink>
      <w:r>
        <w:t>).</w:t>
      </w:r>
    </w:p>
    <w:p>
      <w:r/>
      <w:r>
        <w:t>Festo então tinha um problema. Ele teve que enviar com seu prisioneiro um relatório ao imperador, delineando claramente as acusações. Como ele realmente não compreendia o caso (</w:t>
      </w:r>
      <w:hyperlink r:id="rId2874">
        <w:r>
          <w:rPr>
            <w:color w:val="0000EE"/>
            <w:u w:val="single"/>
          </w:rPr>
          <w:t>25.25–27</w:t>
        </w:r>
      </w:hyperlink>
      <w:r>
        <w:t>), ele buscou o conselho de Herodes Agripa II, que com sua irmã tinha vindo a Cesareia para prestar seus respeitos ao novo governador imperial da Palestina (</w:t>
      </w:r>
      <w:hyperlink r:id="rId2875">
        <w:r>
          <w:rPr>
            <w:color w:val="0000EE"/>
            <w:u w:val="single"/>
          </w:rPr>
          <w:t>25.13</w:t>
        </w:r>
      </w:hyperlink>
      <w:r>
        <w:t>). Agripa II era filho de Herodes Agripa I e, pelo menos em teoria, um judeu. Ele governou partes da Palestina de 50 a 100 d.C. e recebeu o direito de nomear os sumos sacerdotes judeus. Sua familiaridade com as tradições religiosas judaicas e a Lei o colocava em uma posição melhor para entender o caso de Jerusalém contra Paulo. O resultado da aparição de Paulo perante Festo e Agripa (</w:t>
      </w:r>
      <w:hyperlink r:id="rId2876">
        <w:r>
          <w:rPr>
            <w:color w:val="0000EE"/>
            <w:u w:val="single"/>
          </w:rPr>
          <w:t>26.1–29</w:t>
        </w:r>
      </w:hyperlink>
      <w:r>
        <w:t>) foi o reconhecimento da inocência de Paulo (</w:t>
      </w:r>
      <w:hyperlink r:id="rId2877">
        <w:r>
          <w:rPr>
            <w:color w:val="0000EE"/>
            <w:u w:val="single"/>
          </w:rPr>
          <w:t>26.31</w:t>
        </w:r>
      </w:hyperlink>
      <w:r>
        <w:t>). No entanto, o apelo de Paulo a Roma teve que ser honrado; a lei que rege tais casos teve que ser seguida (</w:t>
      </w:r>
      <w:hyperlink r:id="rId2846">
        <w:r>
          <w:rPr>
            <w:color w:val="0000EE"/>
            <w:u w:val="single"/>
          </w:rPr>
          <w:t>26.32</w:t>
        </w:r>
      </w:hyperlink>
      <w:r>
        <w:t>).</w:t>
      </w:r>
    </w:p>
    <w:p>
      <w:r/>
      <w:r>
        <w:t>A relativa liberdade de Paulo durante o próximo período de dois anos (</w:t>
      </w:r>
      <w:hyperlink r:id="rId2878">
        <w:r>
          <w:rPr>
            <w:color w:val="0000EE"/>
            <w:u w:val="single"/>
          </w:rPr>
          <w:t>28.30</w:t>
        </w:r>
      </w:hyperlink>
      <w:r>
        <w:t>) parece incomum, mas era uma prática bastante comum nos procedimentos judiciais romanos, especialmente para cidadãos romanos que haviam apelado ao imperador. Não há uma boa razão para acreditar que Paulo foi executado na época em que a narrativa de Lucas termina (c. 61–62 d.C.). O grande incêndio de Roma e a subsequente perseguição aos cristãos por Nero ainda estavam a alguns anos de distância (64 d.C.). É provável que o caso contra Paulo tenha sido arquivado, especialmente à luz do veredicto favorável de Festo e do Rei Agripa. É também provável que Paulo tenha sido executado durante a perseguição mais geral aos cristãos. Tal sequência corresponderia à tradição citada por Eusébio, um historiador da igreja do século 4, de que Paulo retomou seu ministério e mais tarde sofreu martírio sob Nero.</w:t>
      </w:r>
    </w:p>
    <w:p>
      <w:pPr>
        <w:pStyle w:val="Heading3"/>
      </w:pPr>
      <w:r>
        <w:t>Propósito</w:t>
      </w:r>
    </w:p>
    <w:p>
      <w:r/>
      <w:r>
        <w:t>No prefácio do Evangelho, destinado a cobrir também o segundo volume, Lucas disse a Teófilo (e ao público que ele representava) que ele havia se proposto a escrever um relato preciso e ordenado sobre os primórdios do movimento cristão no ministério de Jesus de Nazaré (</w:t>
      </w:r>
      <w:hyperlink r:id="rId2837">
        <w:r>
          <w:rPr>
            <w:color w:val="0000EE"/>
            <w:u w:val="single"/>
          </w:rPr>
          <w:t>Lc 1.1–4</w:t>
        </w:r>
      </w:hyperlink>
      <w:r>
        <w:t>). As linhas iniciais em Atos indicam que a narrativa começando com Jesus de Nazaré (vol 1) está continuando e que o segundo volume de Lucas pretende traçar a história da Palestina até Roma (</w:t>
      </w:r>
      <w:hyperlink r:id="rId2879">
        <w:r>
          <w:rPr>
            <w:color w:val="0000EE"/>
            <w:u w:val="single"/>
          </w:rPr>
          <w:t>At 1.1–8</w:t>
        </w:r>
      </w:hyperlink>
      <w:r>
        <w:t>).</w:t>
      </w:r>
    </w:p>
    <w:p>
      <w:r/>
      <w:r>
        <w:t>Ao recontar essa história, Lucas tentou defender o movimento cristão contra falsas acusações feitas contra ele. Vários equívocos acompanharam o nascimento e o crescimento do movimento cristão. Um dizia respeito à relação entre a nova fé e o judaísmo. Muitos, tanto dentro da igreja quanto entre os oficiais romanos, entendiam a fé cristã como nada mais do que uma expressão particular de, ou seita dentro, do judaísmo. Contra essa noção restrita, Lucas-Atos adota um tom universal. O Evangelho proclama Jesus como Salvador do mundo (</w:t>
      </w:r>
      <w:hyperlink r:id="rId2880">
        <w:r>
          <w:rPr>
            <w:color w:val="0000EE"/>
            <w:u w:val="single"/>
          </w:rPr>
          <w:t>Lc 2.29–32</w:t>
        </w:r>
      </w:hyperlink>
      <w:r>
        <w:t>). Em Atos, a defesa de Estêvão perante o conselho judaico (</w:t>
      </w:r>
      <w:hyperlink r:id="rId2881">
        <w:r>
          <w:rPr>
            <w:color w:val="0000EE"/>
            <w:u w:val="single"/>
          </w:rPr>
          <w:t>cp 7</w:t>
        </w:r>
      </w:hyperlink>
      <w:r>
        <w:t>), a experiência de Pedro em Jope com Cornélio (</w:t>
      </w:r>
      <w:hyperlink r:id="rId2882">
        <w:r>
          <w:rPr>
            <w:color w:val="0000EE"/>
            <w:u w:val="single"/>
          </w:rPr>
          <w:t>cp 10</w:t>
        </w:r>
      </w:hyperlink>
      <w:r>
        <w:t>), e o discurso de Paulo em Atenas (</w:t>
      </w:r>
      <w:hyperlink r:id="rId2883">
        <w:r>
          <w:rPr>
            <w:color w:val="0000EE"/>
            <w:u w:val="single"/>
          </w:rPr>
          <w:t>cp 17</w:t>
        </w:r>
      </w:hyperlink>
      <w:r>
        <w:t>) demonstram que o Cristianismo não é meramente uma seita judaica, qualquer movimento messiânico restrito, mas sim uma fé universal. Outro problema foi a identificação popular da nova fé com os vários cultos religiosos e religiões de mistério no Império Romano. Os relatos do conflito da igreja primitiva com Simão, o mago (</w:t>
      </w:r>
      <w:hyperlink r:id="rId2884">
        <w:r>
          <w:rPr>
            <w:color w:val="0000EE"/>
            <w:u w:val="single"/>
          </w:rPr>
          <w:t>cp 8</w:t>
        </w:r>
      </w:hyperlink>
      <w:r>
        <w:t>), e da rejeição de Paulo e Barnabé a uma tentativa de adorá-los em Listra (</w:t>
      </w:r>
      <w:hyperlink r:id="rId2885">
        <w:r>
          <w:rPr>
            <w:color w:val="0000EE"/>
            <w:u w:val="single"/>
          </w:rPr>
          <w:t>cp 14</w:t>
        </w:r>
      </w:hyperlink>
      <w:r>
        <w:t xml:space="preserve">) enfraquecem a acusação popular de superstição. Além disso, o Cristianismo não é um culto de mistério em que ritos esotéricos e secretos trazem o adorador à união com o divino. O Senhor adorado pelos cristãos, disse Lucas, pertence à história real; ele viveu sua vida na Palestina no passado recente, abertamente, para todos observarem (veja os discursos de Pedro e Paulo em </w:t>
      </w:r>
      <w:hyperlink r:id="rId2610">
        <w:r>
          <w:rPr>
            <w:color w:val="0000EE"/>
            <w:u w:val="single"/>
          </w:rPr>
          <w:t>At 2</w:t>
        </w:r>
      </w:hyperlink>
      <w:r>
        <w:t xml:space="preserve">; </w:t>
      </w:r>
      <w:hyperlink r:id="rId2882">
        <w:r>
          <w:rPr>
            <w:color w:val="0000EE"/>
            <w:u w:val="single"/>
          </w:rPr>
          <w:t>10</w:t>
        </w:r>
      </w:hyperlink>
      <w:r>
        <w:t xml:space="preserve">; </w:t>
      </w:r>
      <w:hyperlink r:id="rId1996">
        <w:r>
          <w:rPr>
            <w:color w:val="0000EE"/>
            <w:u w:val="single"/>
          </w:rPr>
          <w:t>13</w:t>
        </w:r>
      </w:hyperlink>
      <w:r>
        <w:t>).</w:t>
      </w:r>
    </w:p>
    <w:p>
      <w:r/>
      <w:r>
        <w:t>O principal propósito de Lucas, no entanto, era a defesa do Cristianismo contra a acusação de que representava uma ameaça à ordem e estabilidade do Império Romano. Havia, é claro, motivos para tais suspeitas. Afinal, o fundador do movimento havia sido crucificado sob a acusação de sedição por um procurador romano, e o movimento que reivindicava seu nome parecia evocar tumulto, desordem e agitação onde quer que se espalhasse. A conta de Lucas enfrentou esses problemas de frente. No Evangelho, ele apresentou o julgamento de Jesus como um grave erro judicial. Pilatos havia entregado Jesus para crucificação, mas ele havia considerado Jesus inocente. Herodes Antipas também não encontrou substância nas acusações contra Jesus (</w:t>
      </w:r>
      <w:hyperlink r:id="rId2886">
        <w:r>
          <w:rPr>
            <w:color w:val="0000EE"/>
            <w:u w:val="single"/>
          </w:rPr>
          <w:t>Lc 23.13–16</w:t>
        </w:r>
      </w:hyperlink>
      <w:r>
        <w:t xml:space="preserve">; </w:t>
      </w:r>
      <w:hyperlink r:id="rId2887">
        <w:r>
          <w:rPr>
            <w:color w:val="0000EE"/>
            <w:u w:val="single"/>
          </w:rPr>
          <w:t>At 13.28</w:t>
        </w:r>
      </w:hyperlink>
      <w:r>
        <w:t>). Uma atitude neutra ou até amigável dos oficiais romanos em relação aos principais cristãos e ao movimento como um todo é documentada ao longo de Atos. O procônsul romano de Chipre, Sérgio Paulo, recebeu com alegria Paulo e Barnabé e respondeu positivamente à sua mensagem (</w:t>
      </w:r>
      <w:hyperlink r:id="rId2888">
        <w:r>
          <w:rPr>
            <w:color w:val="0000EE"/>
            <w:u w:val="single"/>
          </w:rPr>
          <w:t>At 13.7–12</w:t>
        </w:r>
      </w:hyperlink>
      <w:r>
        <w:t>). O magistrado-chefe em Filipos pediu desculpas pela surra e prisão ilegais de Paulo e Silas (</w:t>
      </w:r>
      <w:hyperlink r:id="rId2889">
        <w:r>
          <w:rPr>
            <w:color w:val="0000EE"/>
            <w:u w:val="single"/>
          </w:rPr>
          <w:t>16.37–39</w:t>
        </w:r>
      </w:hyperlink>
      <w:r>
        <w:t>). O procônsul da Acaia, Gálio, considerou Paulo inocente aos olhos da lei romana (</w:t>
      </w:r>
      <w:hyperlink r:id="rId2890">
        <w:r>
          <w:rPr>
            <w:color w:val="0000EE"/>
            <w:u w:val="single"/>
          </w:rPr>
          <w:t>18.12–16</w:t>
        </w:r>
      </w:hyperlink>
      <w:r>
        <w:t>). Em Éfeso, o magistrado interveio no ataque da multidão a Paulo e seus companheiros, rejeitando as acusações contra eles (</w:t>
      </w:r>
      <w:hyperlink r:id="rId2891">
        <w:r>
          <w:rPr>
            <w:color w:val="0000EE"/>
            <w:u w:val="single"/>
          </w:rPr>
          <w:t>19.35–39</w:t>
        </w:r>
      </w:hyperlink>
      <w:r>
        <w:t>). Um tribuno do contingente militar romano em Jerusalém prendeu Paulo, mas acabou salvando o apóstolo da ira de uma multidão; em sua carta ao procurador Félix, o tribuno reconheceu que Paulo não era culpado pela lei romana (</w:t>
      </w:r>
      <w:hyperlink r:id="rId2892">
        <w:r>
          <w:rPr>
            <w:color w:val="0000EE"/>
            <w:u w:val="single"/>
          </w:rPr>
          <w:t>23.26–29</w:t>
        </w:r>
      </w:hyperlink>
      <w:r>
        <w:t>). O mesmo veredicto foi repetido após a acusação de Paulo perante Félix, seu sucessor Festo, e Herodes Agripa II: “Este homem não fez nada digno de morte ou prisão” (</w:t>
      </w:r>
      <w:hyperlink r:id="rId2877">
        <w:r>
          <w:rPr>
            <w:color w:val="0000EE"/>
            <w:u w:val="single"/>
          </w:rPr>
          <w:t>26:31</w:t>
        </w:r>
      </w:hyperlink>
      <w:r>
        <w:t>). Lucas culminou sua história contando como Paulo continuou sua atividade missionária em Roma, o próprio coração do império, e com a permissão dos guardas imperiais (</w:t>
      </w:r>
      <w:hyperlink r:id="rId2893">
        <w:r>
          <w:rPr>
            <w:color w:val="0000EE"/>
            <w:u w:val="single"/>
          </w:rPr>
          <w:t>28.30–31</w:t>
        </w:r>
      </w:hyperlink>
      <w:r>
        <w:t>). É claro ao longo da defesa de Lucas que o conflito que acompanhou os inícios e o progresso do Cristianismo não se deveu principalmente a algo dentro do movimento, mas sim à oposição e falsificação judaica.</w:t>
      </w:r>
    </w:p>
    <w:p>
      <w:r/>
      <w:r>
        <w:t xml:space="preserve">Dentro de sua longa apologia pela integridade do Cristianismo, as perspectivas teológicas específicas de Lucas podem ser claramente vistas. A obra em dois volumes apresenta um grande esquema da história da redenção, estendendo-se desde o </w:t>
      </w:r>
      <w:r>
        <w:rPr>
          <w:i/>
        </w:rPr>
        <w:t>tempo de Israel</w:t>
      </w:r>
      <w:r>
        <w:t xml:space="preserve"> (</w:t>
      </w:r>
      <w:hyperlink r:id="rId2894">
        <w:r>
          <w:rPr>
            <w:color w:val="0000EE"/>
            <w:u w:val="single"/>
          </w:rPr>
          <w:t>Lc 1–2</w:t>
        </w:r>
      </w:hyperlink>
      <w:r>
        <w:t xml:space="preserve">) através do </w:t>
      </w:r>
      <w:r>
        <w:rPr>
          <w:i/>
        </w:rPr>
        <w:t>tempo de Jesus</w:t>
      </w:r>
      <w:r>
        <w:t xml:space="preserve">, e continuando através do </w:t>
      </w:r>
      <w:r>
        <w:rPr>
          <w:i/>
        </w:rPr>
        <w:t>tempo da igreja</w:t>
      </w:r>
      <w:r>
        <w:t>, quando as boas novas para Israel são estendidas a todas as nações. Paralelamente a essa ênfase, há uma insistência de que Deus está presente na história redentora através do Espírito Santo. No Evangelho, Jesus é apresentado como o Homem do Espírito; a realidade do Espírito o capacitou para sua obra (</w:t>
      </w:r>
      <w:hyperlink r:id="rId2895">
        <w:r>
          <w:rPr>
            <w:color w:val="0000EE"/>
            <w:u w:val="single"/>
          </w:rPr>
          <w:t>Lc 3.22</w:t>
        </w:r>
      </w:hyperlink>
      <w:r>
        <w:t xml:space="preserve">; </w:t>
      </w:r>
      <w:hyperlink r:id="rId2896">
        <w:r>
          <w:rPr>
            <w:color w:val="0000EE"/>
            <w:u w:val="single"/>
          </w:rPr>
          <w:t>4.1,14,18</w:t>
        </w:r>
      </w:hyperlink>
      <w:r>
        <w:t>). Em Atos, a comunhão dos discípulos de Jesus é apresentada como a comunidade do Espírito (</w:t>
      </w:r>
      <w:hyperlink r:id="rId2897">
        <w:r>
          <w:rPr>
            <w:color w:val="0000EE"/>
            <w:u w:val="single"/>
          </w:rPr>
          <w:t>1.8</w:t>
        </w:r>
      </w:hyperlink>
      <w:r>
        <w:t xml:space="preserve">; </w:t>
      </w:r>
      <w:hyperlink r:id="rId2898">
        <w:r>
          <w:rPr>
            <w:color w:val="0000EE"/>
            <w:u w:val="single"/>
          </w:rPr>
          <w:t>2.1–8</w:t>
        </w:r>
      </w:hyperlink>
      <w:r>
        <w:t>). O que Jesus no poder do Espírito havia começado em seu próprio ministério, a igreja no poder do Espírito continua a fazer.</w:t>
      </w:r>
    </w:p>
    <w:p>
      <w:r/>
      <w:r>
        <w:t>Para Lucas, a presença capacitadora do Espírito de Deus era uma realidade que dava à nova fé seu poder, integridade e perseverança. Isso permitiu um testemunho fiel (</w:t>
      </w:r>
      <w:hyperlink r:id="rId2897">
        <w:r>
          <w:rPr>
            <w:color w:val="0000EE"/>
            <w:u w:val="single"/>
          </w:rPr>
          <w:t>1.8</w:t>
        </w:r>
      </w:hyperlink>
      <w:r>
        <w:t>) e criou uma comunidade genuína (</w:t>
      </w:r>
      <w:hyperlink r:id="rId2899">
        <w:r>
          <w:rPr>
            <w:color w:val="0000EE"/>
            <w:u w:val="single"/>
          </w:rPr>
          <w:t>2.44–47</w:t>
        </w:r>
      </w:hyperlink>
      <w:r>
        <w:t xml:space="preserve">; </w:t>
      </w:r>
      <w:hyperlink r:id="rId2900">
        <w:r>
          <w:rPr>
            <w:color w:val="0000EE"/>
            <w:u w:val="single"/>
          </w:rPr>
          <w:t>4.32–37</w:t>
        </w:r>
      </w:hyperlink>
      <w:r>
        <w:t xml:space="preserve">), algo pelo qual o mundo antigo ansiava desesperadamente. O Espírito na nova comunidade produziu coragem e ousadia (veja as defesas de Pedro nos cps </w:t>
      </w:r>
      <w:hyperlink r:id="rId2901">
        <w:r>
          <w:rPr>
            <w:color w:val="0000EE"/>
            <w:u w:val="single"/>
          </w:rPr>
          <w:t>2–5</w:t>
        </w:r>
      </w:hyperlink>
      <w:r>
        <w:t>), capacitou para o serviço (</w:t>
      </w:r>
      <w:hyperlink r:id="rId2902">
        <w:r>
          <w:rPr>
            <w:color w:val="0000EE"/>
            <w:u w:val="single"/>
          </w:rPr>
          <w:t>cp 6</w:t>
        </w:r>
      </w:hyperlink>
      <w:r>
        <w:t>), superou o preconceito como na missão em Samaria (</w:t>
      </w:r>
      <w:hyperlink r:id="rId2884">
        <w:r>
          <w:rPr>
            <w:color w:val="0000EE"/>
            <w:u w:val="single"/>
          </w:rPr>
          <w:t>cp 8</w:t>
        </w:r>
      </w:hyperlink>
      <w:r>
        <w:t xml:space="preserve">), quebrou barreiras como no episódio de Cornélio (caps </w:t>
      </w:r>
      <w:hyperlink r:id="rId2903">
        <w:r>
          <w:rPr>
            <w:color w:val="0000EE"/>
            <w:u w:val="single"/>
          </w:rPr>
          <w:t>10–11</w:t>
        </w:r>
      </w:hyperlink>
      <w:r>
        <w:t>), e enviou crentes em missões (</w:t>
      </w:r>
      <w:hyperlink r:id="rId1996">
        <w:r>
          <w:rPr>
            <w:color w:val="0000EE"/>
            <w:u w:val="single"/>
          </w:rPr>
          <w:t>cp 13</w:t>
        </w:r>
      </w:hyperlink>
      <w:r>
        <w:t>).</w:t>
      </w:r>
    </w:p>
    <w:p>
      <w:r/>
      <w:r>
        <w:t xml:space="preserve">A história inteira também é pontuada pela centralidade da ressurreição de Jesus. Lucas, como Paulo (veja </w:t>
      </w:r>
      <w:hyperlink r:id="rId2904">
        <w:r>
          <w:rPr>
            <w:color w:val="0000EE"/>
            <w:u w:val="single"/>
          </w:rPr>
          <w:t>1Co 15.12–21</w:t>
        </w:r>
      </w:hyperlink>
      <w:r>
        <w:t>), deve ter sido convencido de que sem a ressurreição de Jesus não haveria fé cristã alguma. Mais do que isso, a ressurreição colocou o selo de aprovação de Deus na vida e no ministério de Jesus, autenticando a veracidade de suas afirmações. Lucas anunciou seu interesse nesse tema desde o início: o critério definitivo para um substituto apostólico de Judas era que ele devia ter sido, junto com os outros discípulos, uma testemunha da ressurreição de Jesus. Ao longo de Atos, desde o sermão de Pedro no Pentecostes e suas defesas perante o Sinédrio até os discursos de Paulo diante de Félix e Agripa, a igreja é mostrada testemunhando a ressurreição de Jesus como uma grande reversão executada por Deus (</w:t>
      </w:r>
      <w:hyperlink r:id="rId2905">
        <w:r>
          <w:rPr>
            <w:color w:val="0000EE"/>
            <w:u w:val="single"/>
          </w:rPr>
          <w:t>2.22–24, 36</w:t>
        </w:r>
      </w:hyperlink>
      <w:r>
        <w:t xml:space="preserve">; </w:t>
      </w:r>
      <w:hyperlink r:id="rId2906">
        <w:r>
          <w:rPr>
            <w:color w:val="0000EE"/>
            <w:u w:val="single"/>
          </w:rPr>
          <w:t>3.14–15</w:t>
        </w:r>
      </w:hyperlink>
      <w:r>
        <w:t xml:space="preserve">; </w:t>
      </w:r>
      <w:hyperlink r:id="rId2907">
        <w:r>
          <w:rPr>
            <w:color w:val="0000EE"/>
            <w:u w:val="single"/>
          </w:rPr>
          <w:t>5.30–31</w:t>
        </w:r>
      </w:hyperlink>
      <w:r>
        <w:t xml:space="preserve">; </w:t>
      </w:r>
      <w:hyperlink r:id="rId2908">
        <w:r>
          <w:rPr>
            <w:color w:val="0000EE"/>
            <w:u w:val="single"/>
          </w:rPr>
          <w:t>10.39–42</w:t>
        </w:r>
      </w:hyperlink>
      <w:r>
        <w:t>).</w:t>
      </w:r>
    </w:p>
    <w:p>
      <w:r/>
      <w:r>
        <w:t xml:space="preserve">Atos se divide naturalmente em duas partes, capítulos </w:t>
      </w:r>
      <w:hyperlink r:id="rId2848">
        <w:r>
          <w:rPr>
            <w:color w:val="0000EE"/>
            <w:u w:val="single"/>
          </w:rPr>
          <w:t>1–12,</w:t>
        </w:r>
      </w:hyperlink>
      <w:r>
        <w:t xml:space="preserve"> e </w:t>
      </w:r>
      <w:hyperlink r:id="rId2909">
        <w:r>
          <w:rPr>
            <w:color w:val="0000EE"/>
            <w:u w:val="single"/>
          </w:rPr>
          <w:t>13–28</w:t>
        </w:r>
      </w:hyperlink>
      <w:r>
        <w:t>. A primeira parte, a grosso modo, contém os "atos de Pedro". A segunda parte é amplamente preocupada com os "atos de Paulo". Nos primeiros 12 capítulos, Pedro é a figura central que inicia a escolha de um substituto para Judas Iscariotes (</w:t>
      </w:r>
      <w:hyperlink r:id="rId2910">
        <w:r>
          <w:rPr>
            <w:color w:val="0000EE"/>
            <w:u w:val="single"/>
          </w:rPr>
          <w:t>cp 1</w:t>
        </w:r>
      </w:hyperlink>
      <w:r>
        <w:t>); dirige-se às multidões no Pentecostes (</w:t>
      </w:r>
      <w:hyperlink r:id="rId2610">
        <w:r>
          <w:rPr>
            <w:color w:val="0000EE"/>
            <w:u w:val="single"/>
          </w:rPr>
          <w:t>cp 2</w:t>
        </w:r>
      </w:hyperlink>
      <w:r>
        <w:t>); interpreta o significado da cura de um homem coxo para uma multidão no templo (</w:t>
      </w:r>
      <w:hyperlink r:id="rId738">
        <w:r>
          <w:rPr>
            <w:color w:val="0000EE"/>
            <w:u w:val="single"/>
          </w:rPr>
          <w:t>cp 3</w:t>
        </w:r>
      </w:hyperlink>
      <w:r>
        <w:t>); faz uma defesa da proclamação cristã perante o supremo conselho judaico (</w:t>
      </w:r>
      <w:hyperlink r:id="rId2911">
        <w:r>
          <w:rPr>
            <w:color w:val="0000EE"/>
            <w:u w:val="single"/>
          </w:rPr>
          <w:t>cp 4</w:t>
        </w:r>
      </w:hyperlink>
      <w:r>
        <w:t>); lidera os apóstolos em um ministério de cura e fala por eles (</w:t>
      </w:r>
      <w:hyperlink r:id="rId2912">
        <w:r>
          <w:rPr>
            <w:color w:val="0000EE"/>
            <w:u w:val="single"/>
          </w:rPr>
          <w:t>cp 5</w:t>
        </w:r>
      </w:hyperlink>
      <w:r>
        <w:t>); está na linha de frente do conflito com um mágico samaritano, "Simão, o Grande" (</w:t>
      </w:r>
      <w:hyperlink r:id="rId2884">
        <w:r>
          <w:rPr>
            <w:color w:val="0000EE"/>
            <w:u w:val="single"/>
          </w:rPr>
          <w:t>cp 8</w:t>
        </w:r>
      </w:hyperlink>
      <w:r>
        <w:t xml:space="preserve">); expande — embora um tanto relutantemente — o movimento do evangelho para os gentios através de Cornélio (caps </w:t>
      </w:r>
      <w:hyperlink r:id="rId2903">
        <w:r>
          <w:rPr>
            <w:color w:val="0000EE"/>
            <w:u w:val="single"/>
          </w:rPr>
          <w:t>10–11</w:t>
        </w:r>
      </w:hyperlink>
      <w:r>
        <w:t>); e atrai a ira da campanha de Herodes contra a igreja, mas é milagrosamente libertado da prisão (</w:t>
      </w:r>
      <w:hyperlink r:id="rId2854">
        <w:r>
          <w:rPr>
            <w:color w:val="0000EE"/>
            <w:u w:val="single"/>
          </w:rPr>
          <w:t>cp 12</w:t>
        </w:r>
      </w:hyperlink>
      <w:r>
        <w:t>).</w:t>
      </w:r>
    </w:p>
    <w:p>
      <w:r/>
      <w:r>
        <w:t xml:space="preserve">A proclamação do evangelho aos gentios através do ministério de Paulo é o tema da segunda parte de Atos (caps </w:t>
      </w:r>
      <w:hyperlink r:id="rId2909">
        <w:r>
          <w:rPr>
            <w:color w:val="0000EE"/>
            <w:u w:val="single"/>
          </w:rPr>
          <w:t>13–28</w:t>
        </w:r>
      </w:hyperlink>
      <w:r>
        <w:t xml:space="preserve">). A história diz respeito principalmente a três grandes viagens missionárias, cada uma das quais levou o evangelho a territórios ainda intocados e expandiu os esforços missionários anteriores. O relato da vida e obra de Paulo culmina com sua prisão em Jerusalém (cps </w:t>
      </w:r>
      <w:hyperlink r:id="rId2913">
        <w:r>
          <w:rPr>
            <w:color w:val="0000EE"/>
            <w:u w:val="single"/>
          </w:rPr>
          <w:t>21–22</w:t>
        </w:r>
      </w:hyperlink>
      <w:r>
        <w:t xml:space="preserve">), uma longa prisão em Cesareia (cps </w:t>
      </w:r>
      <w:hyperlink r:id="rId2914">
        <w:r>
          <w:rPr>
            <w:color w:val="0000EE"/>
            <w:u w:val="single"/>
          </w:rPr>
          <w:t>23–26</w:t>
        </w:r>
      </w:hyperlink>
      <w:r>
        <w:t xml:space="preserve">), e uma viagem a Roma (cps </w:t>
      </w:r>
      <w:hyperlink r:id="rId2915">
        <w:r>
          <w:rPr>
            <w:color w:val="0000EE"/>
            <w:u w:val="single"/>
          </w:rPr>
          <w:t>27–28</w:t>
        </w:r>
      </w:hyperlink>
      <w:r>
        <w:t>).</w:t>
      </w:r>
    </w:p>
    <w:p>
      <w:r/>
      <w:r>
        <w:t>Outra maneira de abordar a estrutura e o conteúdo de Atos é temática. Tem seu ponto de partida na declaração de Jesus: "Vocês receberão poder quando o Espírito Santo descer sobre vocês; e serão minhas testemunhas em Jerusalém, em toda a Judeia e Samaria e até os confins da terra" (</w:t>
      </w:r>
      <w:hyperlink r:id="rId2897">
        <w:r>
          <w:rPr>
            <w:color w:val="0000EE"/>
            <w:u w:val="single"/>
          </w:rPr>
          <w:t>1:8</w:t>
        </w:r>
      </w:hyperlink>
      <w:r>
        <w:t xml:space="preserve">). Atos pode ser visto como a história do cumprimento daquela "Grande Comissão", desdobrando-se essencialmente em três etapas: (1) testemunho ao Judaísmo, focado em Jerusalém, mas também se expandindo para a Judeia circundante e ao norte, na Galileia (cps </w:t>
      </w:r>
      <w:hyperlink r:id="rId2916">
        <w:r>
          <w:rPr>
            <w:color w:val="0000EE"/>
            <w:u w:val="single"/>
          </w:rPr>
          <w:t>1–7</w:t>
        </w:r>
      </w:hyperlink>
      <w:r>
        <w:t>); (2) testemunho à Samaria através de Filipe, Pedro e João (</w:t>
      </w:r>
      <w:hyperlink r:id="rId2917">
        <w:r>
          <w:rPr>
            <w:color w:val="0000EE"/>
            <w:u w:val="single"/>
          </w:rPr>
          <w:t>8.1–9.31</w:t>
        </w:r>
      </w:hyperlink>
      <w:r>
        <w:t>); (3) testemunho ao mundo gentio, primeiro de forma hesitante através de Pedro (</w:t>
      </w:r>
      <w:hyperlink r:id="rId2918">
        <w:r>
          <w:rPr>
            <w:color w:val="0000EE"/>
            <w:u w:val="single"/>
          </w:rPr>
          <w:t>9.32–12.25</w:t>
        </w:r>
      </w:hyperlink>
      <w:r>
        <w:t xml:space="preserve">), e depois de forma decisiva através de Paulo (cps </w:t>
      </w:r>
      <w:hyperlink r:id="rId2909">
        <w:r>
          <w:rPr>
            <w:color w:val="0000EE"/>
            <w:u w:val="single"/>
          </w:rPr>
          <w:t>13–28</w:t>
        </w:r>
      </w:hyperlink>
      <w:r>
        <w:t>).</w:t>
      </w:r>
    </w:p>
    <w:p>
      <w:r/>
      <w:r>
        <w:rPr>
          <w:i/>
        </w:rPr>
        <w:t>Veja também</w:t>
      </w:r>
      <w:r>
        <w:t xml:space="preserve"> </w:t>
      </w:r>
      <w:r>
        <w:t>Lucas (Pessoa)</w:t>
      </w:r>
      <w:r>
        <w:t xml:space="preserve">; </w:t>
      </w:r>
      <w:r>
        <w:t>Paulo, O Apóstolo</w:t>
      </w:r>
      <w:r>
        <w:t xml:space="preserve">; </w:t>
      </w:r>
      <w:r>
        <w:t>Simão Pedro</w:t>
      </w:r>
      <w:r>
        <w:t xml:space="preserve">; </w:t>
      </w:r>
      <w:r>
        <w:t>Teófilo #1</w:t>
      </w:r>
      <w:r>
        <w:t xml:space="preserve">; </w:t>
      </w:r>
      <w:r>
        <w:t>Cronologia da Bíblia (Novo Testamento)</w:t>
      </w:r>
      <w:r>
        <w:t>.</w:t>
      </w:r>
      <w:r/>
      <w:r/>
    </w:p>
    <w:p>
      <w:r/>
    </w:p>
    <w:p>
      <w:pPr>
        <w:pStyle w:val="Heading2"/>
      </w:pPr>
      <w:r>
        <w:t>Auzate</w:t>
      </w:r>
      <w:r/>
    </w:p>
    <w:p>
      <w:r/>
      <w:r>
        <w:t>Um conselheiro real de Abimeleque de Gerar. Auzate foi com Abimeleque a Berseba para fazer um acordo com Isaque (</w:t>
      </w:r>
      <w:hyperlink r:id="rId2919">
        <w:r>
          <w:rPr>
            <w:color w:val="0000EE"/>
            <w:u w:val="single"/>
          </w:rPr>
          <w:t>Gn 26.26</w:t>
        </w:r>
      </w:hyperlink>
      <w:r>
        <w:t>).</w:t>
      </w:r>
      <w:r/>
      <w:r/>
    </w:p>
    <w:p>
      <w:r/>
    </w:p>
    <w:p>
      <w:pPr>
        <w:pStyle w:val="Heading2"/>
      </w:pPr>
      <w:r>
        <w:t>Aveleira</w:t>
      </w:r>
      <w:r/>
    </w:p>
    <w:p>
      <w:r/>
      <w:r>
        <w:t xml:space="preserve">Má tradução da ARC, ARA e NAA para amendoeira em </w:t>
      </w:r>
      <w:hyperlink r:id="rId2920">
        <w:r>
          <w:rPr>
            <w:color w:val="0000EE"/>
            <w:u w:val="single"/>
          </w:rPr>
          <w:t>Gênesis 30.37</w:t>
        </w:r>
      </w:hyperlink>
      <w:r>
        <w:t xml:space="preserve">. </w:t>
      </w:r>
      <w:r>
        <w:rPr>
          <w:i/>
        </w:rPr>
        <w:t>Veja</w:t>
      </w:r>
      <w:r>
        <w:t xml:space="preserve"> </w:t>
      </w:r>
      <w:r>
        <w:t>Plantas (Amêndoa)</w:t>
      </w:r>
      <w:r>
        <w:t>.</w:t>
      </w:r>
      <w:r/>
      <w:r/>
    </w:p>
    <w:p>
      <w:r/>
    </w:p>
    <w:p>
      <w:pPr>
        <w:pStyle w:val="Heading2"/>
      </w:pPr>
      <w:r>
        <w:t>Aves domésticas</w:t>
      </w:r>
      <w:r/>
    </w:p>
    <w:p>
      <w:r/>
      <w:r>
        <w:t>Aves domésticas são pássaros criados por pessoas para alimentação ou outros usos, como galinhas, patos e perus. A mais comum é a galinha doméstica (</w:t>
      </w:r>
      <w:r>
        <w:rPr>
          <w:i/>
        </w:rPr>
        <w:t>Gallus gallus domesticus</w:t>
      </w:r>
      <w:r>
        <w:t>), provavelmente descendente do galo selvagem vermelho da Índia.</w:t>
      </w:r>
    </w:p>
    <w:p>
      <w:r/>
      <w:r>
        <w:t>Parece que as pessoas já conheciam as aves domésticas nos tempos do Antigo Testamento (</w:t>
      </w:r>
      <w:hyperlink r:id="rId2921">
        <w:r>
          <w:rPr>
            <w:color w:val="0000EE"/>
            <w:u w:val="single"/>
          </w:rPr>
          <w:t>Pv 30.31</w:t>
        </w:r>
      </w:hyperlink>
      <w:r>
        <w:t xml:space="preserve">). Um selo de cerca de 600 a.C. mostra um galo de briga. Ele pertencia a um homem mencionado como Jazanias (veja </w:t>
      </w:r>
      <w:hyperlink r:id="rId2922">
        <w:r>
          <w:rPr>
            <w:color w:val="0000EE"/>
            <w:u w:val="single"/>
          </w:rPr>
          <w:t>2Rs 25.23</w:t>
        </w:r>
      </w:hyperlink>
      <w:r>
        <w:t xml:space="preserve">). </w:t>
      </w:r>
      <w:hyperlink r:id="rId2923">
        <w:r>
          <w:rPr>
            <w:color w:val="0000EE"/>
            <w:u w:val="single"/>
          </w:rPr>
          <w:t>Neemias 5.18</w:t>
        </w:r>
      </w:hyperlink>
      <w:r>
        <w:t xml:space="preserve"> pode referir-se a aves em sua mesa, mas isso também pode significar aves selvagens em vez de aves domésticas.</w:t>
      </w:r>
    </w:p>
    <w:p>
      <w:r/>
      <w:r>
        <w:t>Aves eram um símbolo de fertilidade. O costume judaico incluía carregar um galo e uma galinha na frente de uma noiva e um noivo em casamentos. Jesus falou sobre o cuidado de uma galinha com seus pintinhos (</w:t>
      </w:r>
      <w:hyperlink r:id="rId2924">
        <w:r>
          <w:rPr>
            <w:color w:val="0000EE"/>
            <w:u w:val="single"/>
          </w:rPr>
          <w:t>Mt 23.37</w:t>
        </w:r>
      </w:hyperlink>
      <w:r>
        <w:t xml:space="preserve">; </w:t>
      </w:r>
      <w:hyperlink r:id="rId2925">
        <w:r>
          <w:rPr>
            <w:color w:val="0000EE"/>
            <w:u w:val="single"/>
          </w:rPr>
          <w:t>Lc 13.34</w:t>
        </w:r>
      </w:hyperlink>
      <w:r>
        <w:t>).</w:t>
      </w:r>
    </w:p>
    <w:p>
      <w:r/>
      <w:r>
        <w:t>Os galos geralmente cantam uma ou duas horas antes do amanhecer. A terceira vigília da noite, da meia-noite às 3:00 da manhã, era chamada de "canto do galo". Conforme o Talmude (escritos judaicos que explicam e comentam a lei de Moisés), galinhas não eram permitidas em Jerusalém nos tempos do Novo Testamento. Isso era para evitar que insetos e larvas das fezes das galinhas tornassem a carne sacrificial impura. Por essa razão, o galo que Pedro ouviu (</w:t>
      </w:r>
      <w:hyperlink r:id="rId2926">
        <w:r>
          <w:rPr>
            <w:color w:val="0000EE"/>
            <w:u w:val="single"/>
          </w:rPr>
          <w:t>Mt 26.34</w:t>
        </w:r>
      </w:hyperlink>
      <w:r>
        <w:t xml:space="preserve">, </w:t>
      </w:r>
      <w:hyperlink r:id="rId2927">
        <w:r>
          <w:rPr>
            <w:color w:val="0000EE"/>
            <w:u w:val="single"/>
          </w:rPr>
          <w:t>74</w:t>
        </w:r>
      </w:hyperlink>
      <w:r>
        <w:t xml:space="preserve">; </w:t>
      </w:r>
      <w:hyperlink r:id="rId2928">
        <w:r>
          <w:rPr>
            <w:color w:val="0000EE"/>
            <w:u w:val="single"/>
          </w:rPr>
          <w:t>Lc 22.34</w:t>
        </w:r>
      </w:hyperlink>
      <w:r>
        <w:t xml:space="preserve">, </w:t>
      </w:r>
      <w:hyperlink r:id="rId2929">
        <w:r>
          <w:rPr>
            <w:color w:val="0000EE"/>
            <w:u w:val="single"/>
          </w:rPr>
          <w:t>60–61</w:t>
        </w:r>
      </w:hyperlink>
      <w:r>
        <w:t>) pertencia provavelmente a romanos ou a judeus que não seguiam essa regra.</w:t>
      </w:r>
    </w:p>
    <w:p>
      <w:r/>
      <w:r>
        <w:rPr>
          <w:i/>
        </w:rPr>
        <w:t>Consulte também</w:t>
      </w:r>
      <w:r>
        <w:t xml:space="preserve"> </w:t>
      </w:r>
      <w:r>
        <w:t>Aves</w:t>
      </w:r>
      <w:r>
        <w:t>.</w:t>
      </w:r>
      <w:r/>
      <w:r/>
    </w:p>
    <w:p>
      <w:r/>
    </w:p>
    <w:p>
      <w:pPr>
        <w:pStyle w:val="Heading2"/>
      </w:pPr>
      <w:r>
        <w:t>Avins, Avitas</w:t>
      </w:r>
      <w:r/>
    </w:p>
    <w:p>
      <w:r/>
      <w:r>
        <w:t>Versões de Avim e avitas ou aveus (</w:t>
      </w:r>
      <w:hyperlink r:id="rId2930">
        <w:r>
          <w:rPr>
            <w:color w:val="0000EE"/>
            <w:u w:val="single"/>
          </w:rPr>
          <w:t>Dt 2.23</w:t>
        </w:r>
      </w:hyperlink>
      <w:r>
        <w:t xml:space="preserve"> e </w:t>
      </w:r>
      <w:hyperlink r:id="rId2688">
        <w:r>
          <w:rPr>
            <w:color w:val="0000EE"/>
            <w:u w:val="single"/>
          </w:rPr>
          <w:t>Js 13.3</w:t>
        </w:r>
      </w:hyperlink>
      <w:r>
        <w:t>).</w:t>
      </w:r>
    </w:p>
    <w:p>
      <w:r/>
      <w:r>
        <w:rPr>
          <w:i/>
        </w:rPr>
        <w:t>Veja</w:t>
      </w:r>
      <w:r>
        <w:t xml:space="preserve"> </w:t>
      </w:r>
      <w:r>
        <w:t>Avitas</w:t>
      </w:r>
      <w:r>
        <w:t>.</w:t>
      </w:r>
      <w:r/>
      <w:r/>
    </w:p>
    <w:p>
      <w:r/>
    </w:p>
    <w:p>
      <w:pPr>
        <w:pStyle w:val="Heading2"/>
      </w:pPr>
      <w:r>
        <w:t>Avitas</w:t>
      </w:r>
      <w:r/>
    </w:p>
    <w:p>
      <w:pPr>
        <w:pStyle w:val="ListNumber"/>
        <w:spacing w:line="240" w:lineRule="auto"/>
        <w:ind w:left="720"/>
      </w:pPr>
      <w:r/>
      <w:r>
        <w:t>Um povo antigo que vivia em aldeias perto de Gaza antes de serem destruídas por uma invasão dos filisteus (</w:t>
      </w:r>
      <w:hyperlink r:id="rId2930">
        <w:r>
          <w:rPr>
            <w:color w:val="0000EE"/>
            <w:u w:val="single"/>
          </w:rPr>
          <w:t>Dt 2.23</w:t>
        </w:r>
      </w:hyperlink>
      <w:r>
        <w:t xml:space="preserve">; </w:t>
      </w:r>
      <w:hyperlink r:id="rId2688">
        <w:r>
          <w:rPr>
            <w:color w:val="0000EE"/>
            <w:u w:val="single"/>
          </w:rPr>
          <w:t>Js 13.3</w:t>
        </w:r>
      </w:hyperlink>
      <w:r>
        <w:t>).</w:t>
      </w:r>
    </w:p>
    <w:p>
      <w:pPr>
        <w:pStyle w:val="ListNumber"/>
        <w:spacing w:line="240" w:lineRule="auto"/>
        <w:ind w:left="720"/>
      </w:pPr>
      <w:r/>
      <w:r>
        <w:t>O nome dado às pessoas que viviam no distrito sírio de Ava ("Iva", NTLH). Salmaneser da Assíria os transferiu para Samaria após a conquista em 722 a.C. (</w:t>
      </w:r>
      <w:hyperlink r:id="rId2931">
        <w:r>
          <w:rPr>
            <w:color w:val="0000EE"/>
            <w:u w:val="single"/>
          </w:rPr>
          <w:t>2Rs 17.31</w:t>
        </w:r>
      </w:hyperlink>
      <w:r>
        <w:t>).</w:t>
      </w:r>
    </w:p>
    <w:p>
      <w:r/>
      <w:r>
        <w:rPr>
          <w:i/>
        </w:rPr>
        <w:t>Veja</w:t>
      </w:r>
      <w:r>
        <w:t xml:space="preserve"> </w:t>
      </w:r>
      <w:r>
        <w:t>Ava</w:t>
      </w:r>
      <w:r>
        <w:t>.</w:t>
      </w:r>
      <w:r/>
      <w:r/>
    </w:p>
    <w:p>
      <w:r/>
    </w:p>
    <w:p>
      <w:pPr>
        <w:pStyle w:val="Heading2"/>
      </w:pPr>
      <w:r>
        <w:t>Avite</w:t>
      </w:r>
      <w:r/>
    </w:p>
    <w:p>
      <w:r/>
      <w:r>
        <w:t>A capital de Hadade, o quarto rei de Edom (</w:t>
      </w:r>
      <w:hyperlink r:id="rId2932">
        <w:r>
          <w:rPr>
            <w:color w:val="0000EE"/>
            <w:u w:val="single"/>
          </w:rPr>
          <w:t>Gn 36.35</w:t>
        </w:r>
      </w:hyperlink>
      <w:r>
        <w:t xml:space="preserve">; </w:t>
      </w:r>
      <w:hyperlink r:id="rId2933">
        <w:r>
          <w:rPr>
            <w:color w:val="0000EE"/>
            <w:u w:val="single"/>
          </w:rPr>
          <w:t>1Cr 1.46</w:t>
        </w:r>
      </w:hyperlink>
      <w:r>
        <w:t>).</w:t>
      </w:r>
      <w:r/>
      <w:r/>
    </w:p>
    <w:p>
      <w:r/>
    </w:p>
    <w:p>
      <w:pPr>
        <w:pStyle w:val="Heading2"/>
      </w:pPr>
      <w:r>
        <w:t>Azã</w:t>
      </w:r>
      <w:r/>
    </w:p>
    <w:p>
      <w:r/>
      <w:r>
        <w:t>O pai de Paltiel é um membro da tribo de Issacar. Paltiel foi escolhido para ajudar Eleazar e Josué na divisão da Terra Prometida (</w:t>
      </w:r>
      <w:hyperlink r:id="rId2934">
        <w:r>
          <w:rPr>
            <w:color w:val="0000EE"/>
            <w:u w:val="single"/>
          </w:rPr>
          <w:t>Nm 34.26</w:t>
        </w:r>
      </w:hyperlink>
      <w:r>
        <w:t>).</w:t>
      </w:r>
      <w:r/>
      <w:r/>
    </w:p>
    <w:p>
      <w:r/>
    </w:p>
    <w:p>
      <w:pPr>
        <w:pStyle w:val="Heading2"/>
      </w:pPr>
      <w:r>
        <w:t>Azazel</w:t>
      </w:r>
      <w:r/>
    </w:p>
    <w:p>
      <w:r/>
      <w:r>
        <w:t xml:space="preserve">Uma palavra hebraica de origem e significado incertos. Aparece em </w:t>
      </w:r>
      <w:hyperlink r:id="rId2935">
        <w:r>
          <w:rPr>
            <w:color w:val="0000EE"/>
            <w:u w:val="single"/>
          </w:rPr>
          <w:t>Levítico 16.8,10,26</w:t>
        </w:r>
      </w:hyperlink>
      <w:r>
        <w:t>. Como há pouca informação sobre ela na Bíblia ou em outras fontes, estudiosos sugeriram pelo menos quatro interpretações:</w:t>
      </w:r>
    </w:p>
    <w:p>
      <w:pPr>
        <w:pStyle w:val="ListNumber"/>
        <w:spacing w:line="240" w:lineRule="auto"/>
        <w:ind w:left="720"/>
      </w:pPr>
      <w:r/>
      <w:r>
        <w:t>Bode expiatório: Alguns acreditam que Azazel se refere ao bode expiatório usado nas cerimônias do Dia da Expiação. No entanto, essa interpretação é improvável porque os versículos 10 e 26 dizem que o bode foi enviado para Azazel, e não como Azazel.</w:t>
      </w:r>
    </w:p>
    <w:p>
      <w:pPr>
        <w:pStyle w:val="ListNumber"/>
        <w:spacing w:line="240" w:lineRule="auto"/>
        <w:ind w:left="720"/>
      </w:pPr>
      <w:r/>
      <w:r>
        <w:t>Um lugar para onde o bode foi enviado: Muitos estudiosos judeus acreditam que Azazel é um local para onde o bode foi enviado, possivelmente um penhasco alto de onde o bode era lançado. Outros sugerem que significa "lugares desérticos".</w:t>
      </w:r>
    </w:p>
    <w:p>
      <w:pPr>
        <w:pStyle w:val="ListNumber"/>
        <w:spacing w:line="240" w:lineRule="auto"/>
        <w:ind w:left="720"/>
      </w:pPr>
      <w:r/>
      <w:r>
        <w:t xml:space="preserve">“Lugar” abstrato ou estado de ser: Alguns acreditam que Azazel vem de uma palavra hebraica que significa “partir” ou “remover”, e assim a interpretam como “remoção total”, “envio completo” ou “solidão”. Que “mandará esse bode para o deserto, a fim de conseguir o perdão dos pecados do povo” em </w:t>
      </w:r>
      <w:hyperlink r:id="rId2936">
        <w:r>
          <w:rPr>
            <w:color w:val="0000EE"/>
            <w:u w:val="single"/>
          </w:rPr>
          <w:t>Levítico 16.10</w:t>
        </w:r>
      </w:hyperlink>
      <w:r>
        <w:t xml:space="preserve"> pode ser interpretado como “enviado para se tornar nada” ou “totalmente removido”. Isso implica a remoção dos pecados: eles se tornam “nada”, já que são totalmente removidos. Enviar o bode embora seria então um ato simbólico e ritual através do qual Deus remove os pecados passados de alguém.</w:t>
      </w:r>
    </w:p>
    <w:p>
      <w:pPr>
        <w:pStyle w:val="ListNumber"/>
        <w:spacing w:line="240" w:lineRule="auto"/>
        <w:ind w:left="720"/>
      </w:pPr>
      <w:r/>
      <w:r>
        <w:t>O nome pessoal de um ser, provavelmente um demônio, para o qual o bode expiatório foi enviado: Muitos estudiosos modernos acreditam que Azazel é um ser, provavelmente um demônio, para o qual o bode expiatório foi enviado. O livro não canônico de Enoque descreve Azazel como um líder de anjos caídos que enganam os humanos. Esta interpretação sugere que um bode é dado ao Senhor, e o outro a um ser maligno, possivelmente Satanás.</w:t>
      </w:r>
      <w:r/>
      <w:r/>
    </w:p>
    <w:p>
      <w:r/>
    </w:p>
    <w:p>
      <w:pPr>
        <w:pStyle w:val="Heading2"/>
      </w:pPr>
      <w:r>
        <w:t>Azenate</w:t>
      </w:r>
      <w:r/>
    </w:p>
    <w:p>
      <w:r/>
      <w:r>
        <w:t>A esposa egípcia de José, que se tornou a mãe de Manassés e Efraim. Azenate era filha do sacerdote Potífera (</w:t>
      </w:r>
      <w:hyperlink r:id="rId2937">
        <w:r>
          <w:rPr>
            <w:color w:val="0000EE"/>
            <w:u w:val="single"/>
          </w:rPr>
          <w:t>Gn 41.45,50</w:t>
        </w:r>
      </w:hyperlink>
      <w:r>
        <w:t>–</w:t>
      </w:r>
      <w:hyperlink r:id="rId2937">
        <w:r>
          <w:rPr>
            <w:color w:val="0000EE"/>
            <w:u w:val="single"/>
          </w:rPr>
          <w:t>52</w:t>
        </w:r>
      </w:hyperlink>
      <w:r>
        <w:t xml:space="preserve">; </w:t>
      </w:r>
      <w:hyperlink r:id="rId2938">
        <w:r>
          <w:rPr>
            <w:color w:val="0000EE"/>
            <w:u w:val="single"/>
          </w:rPr>
          <w:t>46.20</w:t>
        </w:r>
      </w:hyperlink>
      <w:r>
        <w:t>).</w:t>
      </w:r>
      <w:r/>
      <w:r/>
    </w:p>
    <w:p>
      <w:r/>
    </w:p>
    <w:p>
      <w:pPr>
        <w:pStyle w:val="Heading2"/>
      </w:pPr>
      <w:r>
        <w:t>Azmom</w:t>
      </w:r>
      <w:r/>
    </w:p>
    <w:p>
      <w:r/>
      <w:r>
        <w:t>Uma cidade ao sul de Judá entre Cades-Barneia e o "ribeiro do Egito" (</w:t>
      </w:r>
      <w:hyperlink r:id="rId2939">
        <w:r>
          <w:rPr>
            <w:color w:val="0000EE"/>
            <w:u w:val="single"/>
          </w:rPr>
          <w:t>Nm 34.4–5</w:t>
        </w:r>
      </w:hyperlink>
      <w:r>
        <w:t xml:space="preserve">; </w:t>
      </w:r>
      <w:hyperlink r:id="rId2940">
        <w:r>
          <w:rPr>
            <w:color w:val="0000EE"/>
            <w:u w:val="single"/>
          </w:rPr>
          <w:t>Js 15.4</w:t>
        </w:r>
      </w:hyperlink>
      <w:r>
        <w:t>).</w:t>
      </w:r>
      <w:r/>
      <w:r/>
    </w:p>
    <w:p>
      <w:r/>
    </w:p>
    <w:p>
      <w:pPr>
        <w:pStyle w:val="Heading2"/>
      </w:pPr>
      <w:r>
        <w:t>Azoto</w:t>
      </w:r>
      <w:r/>
    </w:p>
    <w:p>
      <w:r/>
      <w:r>
        <w:t xml:space="preserve">A forma do Novo Testamento de Asdode em </w:t>
      </w:r>
      <w:hyperlink r:id="rId2704">
        <w:r>
          <w:rPr>
            <w:color w:val="0000EE"/>
            <w:u w:val="single"/>
          </w:rPr>
          <w:t>Atos 8.40</w:t>
        </w:r>
      </w:hyperlink>
      <w:r>
        <w:t>.</w:t>
      </w:r>
    </w:p>
    <w:p>
      <w:r/>
      <w:r>
        <w:rPr>
          <w:i/>
        </w:rPr>
        <w:t>Veja</w:t>
      </w:r>
      <w:r>
        <w:t xml:space="preserve"> </w:t>
      </w:r>
      <w:r>
        <w:t>Asdode, Asdodita.</w:t>
      </w:r>
      <w:r/>
      <w:r/>
    </w:p>
    <w:p>
      <w:r/>
    </w:p>
    <w:p>
      <w:pPr>
        <w:pStyle w:val="Heading2"/>
      </w:pPr>
      <w:r>
        <w:t>Baal-Hanã</w:t>
      </w:r>
      <w:r/>
    </w:p>
    <w:p>
      <w:pPr>
        <w:pStyle w:val="ListNumber"/>
        <w:spacing w:line="240" w:lineRule="auto"/>
        <w:ind w:left="720"/>
      </w:pPr>
      <w:r/>
      <w:r>
        <w:t>O filho de Acbor, um rei de Edom (</w:t>
      </w:r>
      <w:hyperlink r:id="rId251">
        <w:r>
          <w:rPr>
            <w:color w:val="0000EE"/>
            <w:u w:val="single"/>
          </w:rPr>
          <w:t>Gn 36.38–39</w:t>
        </w:r>
      </w:hyperlink>
      <w:r>
        <w:t xml:space="preserve">; </w:t>
      </w:r>
      <w:hyperlink r:id="rId2941">
        <w:r>
          <w:rPr>
            <w:color w:val="0000EE"/>
            <w:u w:val="single"/>
          </w:rPr>
          <w:t>1Cr 1.49–50</w:t>
        </w:r>
      </w:hyperlink>
      <w:r>
        <w:t>).</w:t>
      </w:r>
    </w:p>
    <w:p>
      <w:pPr>
        <w:pStyle w:val="ListNumber"/>
        <w:spacing w:line="240" w:lineRule="auto"/>
        <w:ind w:left="720"/>
      </w:pPr>
      <w:r/>
      <w:r>
        <w:t>Um oficial nomeado pelo Rei Davi para ser responsável pelo suprimento real de azeitonas e figos sicômoros nas planícies perto da terra dos filisteus (</w:t>
      </w:r>
      <w:hyperlink r:id="rId2942">
        <w:r>
          <w:rPr>
            <w:color w:val="0000EE"/>
            <w:u w:val="single"/>
          </w:rPr>
          <w:t>1Cr 27.28</w:t>
        </w:r>
      </w:hyperlink>
      <w:r>
        <w:t>). Ele veio de Geder, uma cidade na região.</w:t>
      </w:r>
      <w:r/>
      <w:r/>
    </w:p>
    <w:p>
      <w:r/>
    </w:p>
    <w:p>
      <w:pPr>
        <w:pStyle w:val="Heading2"/>
      </w:pPr>
      <w:r>
        <w:t>Baal-Meom</w:t>
      </w:r>
      <w:r/>
    </w:p>
    <w:p>
      <w:r/>
      <w:r>
        <w:t>Uma cidade no norte de Moabe dada à tribo de Rúben (</w:t>
      </w:r>
      <w:hyperlink r:id="rId2943">
        <w:r>
          <w:rPr>
            <w:color w:val="0000EE"/>
            <w:u w:val="single"/>
          </w:rPr>
          <w:t>Nm 32.38</w:t>
        </w:r>
      </w:hyperlink>
      <w:r>
        <w:t xml:space="preserve">; </w:t>
      </w:r>
      <w:hyperlink r:id="rId2944">
        <w:r>
          <w:rPr>
            <w:color w:val="0000EE"/>
            <w:u w:val="single"/>
          </w:rPr>
          <w:t>1Cr 5.8</w:t>
        </w:r>
      </w:hyperlink>
      <w:r>
        <w:t>).</w:t>
      </w:r>
    </w:p>
    <w:p>
      <w:r/>
      <w:r>
        <w:t xml:space="preserve">É chamado de Bete-Baal-Meom em </w:t>
      </w:r>
      <w:hyperlink r:id="rId2945">
        <w:r>
          <w:rPr>
            <w:color w:val="0000EE"/>
            <w:u w:val="single"/>
          </w:rPr>
          <w:t>Josué 13.17</w:t>
        </w:r>
      </w:hyperlink>
      <w:r>
        <w:t xml:space="preserve">, Bete-Meão em </w:t>
      </w:r>
      <w:hyperlink r:id="rId2946">
        <w:r>
          <w:rPr>
            <w:color w:val="0000EE"/>
            <w:u w:val="single"/>
          </w:rPr>
          <w:t>Jeremias 48.23</w:t>
        </w:r>
      </w:hyperlink>
      <w:r>
        <w:t xml:space="preserve">, e Beom em </w:t>
      </w:r>
      <w:hyperlink r:id="rId2947">
        <w:r>
          <w:rPr>
            <w:color w:val="0000EE"/>
            <w:u w:val="single"/>
          </w:rPr>
          <w:t>Números 32.3</w:t>
        </w:r>
      </w:hyperlink>
      <w:r>
        <w:t>. Por volta de 830 a.C., era propriedade de Mesa, o rei de Moabe. No século VI a.C., ainda era propriedade dos moabitas (</w:t>
      </w:r>
      <w:hyperlink r:id="rId2946">
        <w:r>
          <w:rPr>
            <w:color w:val="0000EE"/>
            <w:u w:val="single"/>
          </w:rPr>
          <w:t>Jr 48.23</w:t>
        </w:r>
      </w:hyperlink>
      <w:r>
        <w:t xml:space="preserve">; </w:t>
      </w:r>
      <w:hyperlink r:id="rId2948">
        <w:r>
          <w:rPr>
            <w:color w:val="0000EE"/>
            <w:u w:val="single"/>
          </w:rPr>
          <w:t>Ez 25.9</w:t>
        </w:r>
      </w:hyperlink>
      <w:r>
        <w:t>). Pode ter estado brevemente em posse israelita durante o século VIII a.C.</w:t>
      </w:r>
      <w:r/>
      <w:r/>
    </w:p>
    <w:p>
      <w:r/>
    </w:p>
    <w:p>
      <w:pPr>
        <w:pStyle w:val="Heading2"/>
      </w:pPr>
      <w:r>
        <w:t>Baal-Peor</w:t>
      </w:r>
      <w:r/>
    </w:p>
    <w:p>
      <w:r/>
      <w:r>
        <w:t>Um deus moabita venerado no Monte Peor.</w:t>
      </w:r>
    </w:p>
    <w:p>
      <w:r/>
      <w:r>
        <w:t>Este deus provavelmente era Quemos, a divindade nacional de Moabe. Enquanto acampados em Sitim, os israelitas foram seduzidos por mulheres moabitas que os persuadiram a adorar “Baal de Peor” (</w:t>
      </w:r>
      <w:hyperlink r:id="rId2949">
        <w:r>
          <w:rPr>
            <w:color w:val="0000EE"/>
            <w:u w:val="single"/>
          </w:rPr>
          <w:t>Nm 25.3</w:t>
        </w:r>
      </w:hyperlink>
      <w:r>
        <w:t>). Por sua idolatria, Deus atingiu Israel com uma praga que matou 24.000 pessoas (</w:t>
      </w:r>
      <w:hyperlink r:id="rId2950">
        <w:r>
          <w:rPr>
            <w:color w:val="0000EE"/>
            <w:u w:val="single"/>
          </w:rPr>
          <w:t>Nm 25.9</w:t>
        </w:r>
      </w:hyperlink>
      <w:r>
        <w:t xml:space="preserve">; </w:t>
      </w:r>
      <w:hyperlink r:id="rId2951">
        <w:r>
          <w:rPr>
            <w:color w:val="0000EE"/>
            <w:u w:val="single"/>
          </w:rPr>
          <w:t>Sl 106.28–31</w:t>
        </w:r>
      </w:hyperlink>
      <w:r>
        <w:t>). Baal-Peor é também o nome do lugar onde Israel adorou “o Baal de Peor” (</w:t>
      </w:r>
      <w:hyperlink r:id="rId2952">
        <w:r>
          <w:rPr>
            <w:color w:val="0000EE"/>
            <w:u w:val="single"/>
          </w:rPr>
          <w:t>Dt 4.3</w:t>
        </w:r>
      </w:hyperlink>
      <w:r>
        <w:t>).</w:t>
      </w:r>
    </w:p>
    <w:p>
      <w:r/>
      <w:r>
        <w:rPr>
          <w:i/>
        </w:rPr>
        <w:t>Veja também</w:t>
      </w:r>
      <w:r>
        <w:t xml:space="preserve"> </w:t>
      </w:r>
      <w:r>
        <w:t>Moabe, Moabitas</w:t>
      </w:r>
      <w:r>
        <w:t>.</w:t>
      </w:r>
      <w:r/>
      <w:r/>
    </w:p>
    <w:p>
      <w:r/>
    </w:p>
    <w:p>
      <w:pPr>
        <w:pStyle w:val="Heading2"/>
      </w:pPr>
      <w:r>
        <w:t>Baal-Zefom</w:t>
      </w:r>
      <w:r/>
    </w:p>
    <w:p>
      <w:r/>
      <w:r>
        <w:t>Uma área perto do acampamento dos israelitas pouco antes de atravessarem o Mar Vermelho (</w:t>
      </w:r>
      <w:hyperlink r:id="rId2953">
        <w:r>
          <w:rPr>
            <w:color w:val="0000EE"/>
            <w:u w:val="single"/>
          </w:rPr>
          <w:t>Êx 14.2,9</w:t>
        </w:r>
      </w:hyperlink>
      <w:r>
        <w:t xml:space="preserve">; </w:t>
      </w:r>
      <w:hyperlink r:id="rId2954">
        <w:r>
          <w:rPr>
            <w:color w:val="0000EE"/>
            <w:u w:val="single"/>
          </w:rPr>
          <w:t>Nm 33.7</w:t>
        </w:r>
      </w:hyperlink>
      <w:r>
        <w:t>). A localização exata de Baal-Zefom é desconhecida, mas provavelmente estava no nordeste do Egito. O nome significa "Senhor do norte", e supostamente havia um santuário para uma divindade semítica lá. O deus Baal-Zefom é mencionado em escritos ugaríticos, egípcios e fenícios como um deus do mar e da tempestade.</w:t>
      </w:r>
      <w:r/>
      <w:r/>
    </w:p>
    <w:p>
      <w:r/>
    </w:p>
    <w:p>
      <w:pPr>
        <w:pStyle w:val="Heading2"/>
      </w:pPr>
      <w:r>
        <w:t>Babel</w:t>
      </w:r>
      <w:r/>
    </w:p>
    <w:p>
      <w:r/>
      <w:r>
        <w:t xml:space="preserve">A tradução de uma palavra hebraica em </w:t>
      </w:r>
      <w:hyperlink r:id="rId250">
        <w:r>
          <w:rPr>
            <w:color w:val="0000EE"/>
            <w:u w:val="single"/>
          </w:rPr>
          <w:t>Gênesis 10.10</w:t>
        </w:r>
      </w:hyperlink>
      <w:r>
        <w:t xml:space="preserve"> e </w:t>
      </w:r>
      <w:hyperlink r:id="rId2955">
        <w:r>
          <w:rPr>
            <w:color w:val="0000EE"/>
            <w:u w:val="single"/>
          </w:rPr>
          <w:t>11.9</w:t>
        </w:r>
      </w:hyperlink>
      <w:r>
        <w:t xml:space="preserve"> em outras partes da Bíblia é feita como “Babilônia” (veja </w:t>
      </w:r>
      <w:hyperlink r:id="rId2956">
        <w:r>
          <w:rPr>
            <w:color w:val="0000EE"/>
            <w:u w:val="single"/>
          </w:rPr>
          <w:t>2Rs 17.24</w:t>
        </w:r>
      </w:hyperlink>
      <w:r>
        <w:t xml:space="preserve">). A tradução de “Babel” em Gênesis visa conectar o nome com o cenário cultural inicial de </w:t>
      </w:r>
      <w:hyperlink r:id="rId2957">
        <w:r>
          <w:rPr>
            <w:color w:val="0000EE"/>
            <w:u w:val="single"/>
          </w:rPr>
          <w:t>Gênesis 11.1–9</w:t>
        </w:r>
      </w:hyperlink>
      <w:r>
        <w:t>, particularmente a história da Torre de Babel. Esta tradução também liga o incidente da Torre de Babel à interpretação popular de que o nome Babel vem de uma raiz que significa “confundir” (</w:t>
      </w:r>
      <w:hyperlink r:id="rId2955">
        <w:r>
          <w:rPr>
            <w:color w:val="0000EE"/>
            <w:u w:val="single"/>
          </w:rPr>
          <w:t>Gn 11.9</w:t>
        </w:r>
      </w:hyperlink>
      <w:r>
        <w:t>).</w:t>
      </w:r>
    </w:p>
    <w:p>
      <w:r/>
      <w:r>
        <w:t>Escavações arqueológicas revelaram informações sobre a construção de zigurates, que eram torres construídas para templos. Esses zigurates consistiam em múltiplas plataformas, cada uma menor que a anterior, com um pequeno templo na plataforma superior dedicado à divindade do construtor ou da cidade.</w:t>
      </w:r>
    </w:p>
    <w:p>
      <w:r/>
      <w:r>
        <w:t>O primeiro zigurate na Babilônia foi construído por Shar-kali-sharri, rei de Acádia, na última parte do século 23 a.C. Este zigurate foi destruído e reconstruído várias vezes ao longo dos séculos. O zigurate esteve em ruínas por volta de 2000 a.C. até cerca de 1830 a.C. Então, um rei que governou antes de Hamurabi reconstruiu a cidade, nomeando-a Bab-ilu ou Babel. Hamurabi governou de 1728 a 1636 a.C.</w:t>
      </w:r>
    </w:p>
    <w:p>
      <w:r/>
      <w:r>
        <w:t>O Épico da Criação Babilônica descreve a construção de uma "cidade celestial" como a morada do deus Marduk. Nesse contexto, Babel, que significa "porta de deus", era um termo importante. A terminologia associada ao templo de Marduk e ao zigurate sugere que Babel era considerada a entrada terrena para o reino celestial.</w:t>
      </w:r>
    </w:p>
    <w:p>
      <w:r/>
      <w:r>
        <w:t>As tradições judaicas e árabes associam a Torre de Babel em Gênesis a uma grande ruína de templo dedicada a Nabu em Borsippa, também conhecida como Birs-Ninrode.</w:t>
      </w:r>
    </w:p>
    <w:p>
      <w:r/>
      <w:r>
        <w:rPr>
          <w:i/>
        </w:rPr>
        <w:t>Veja também</w:t>
      </w:r>
      <w:r>
        <w:t xml:space="preserve"> </w:t>
      </w:r>
      <w:r>
        <w:t>Babilônia, Babilônia</w:t>
      </w:r>
      <w:r>
        <w:t>.</w:t>
      </w:r>
      <w:r/>
      <w:r/>
    </w:p>
    <w:p>
      <w:r/>
    </w:p>
    <w:p>
      <w:pPr>
        <w:pStyle w:val="Heading2"/>
      </w:pPr>
      <w:r>
        <w:t>Baca, Vale de</w:t>
      </w:r>
      <w:r/>
    </w:p>
    <w:p>
      <w:r/>
      <w:r>
        <w:t xml:space="preserve">Uma frase no </w:t>
      </w:r>
      <w:hyperlink r:id="rId2958">
        <w:r>
          <w:rPr>
            <w:color w:val="0000EE"/>
            <w:u w:val="single"/>
          </w:rPr>
          <w:t>Salmo 84.6</w:t>
        </w:r>
      </w:hyperlink>
      <w:r>
        <w:t xml:space="preserve"> frequentemente traduzida como “vale das lágrimas” vem da palavra hebraica </w:t>
      </w:r>
      <w:r>
        <w:rPr>
          <w:i/>
        </w:rPr>
        <w:t>baca</w:t>
      </w:r>
      <w:r>
        <w:t xml:space="preserve">, que se refere a um tipo de árvore mencionada em </w:t>
      </w:r>
      <w:hyperlink r:id="rId2959">
        <w:r>
          <w:rPr>
            <w:color w:val="0000EE"/>
            <w:u w:val="single"/>
          </w:rPr>
          <w:t>2 Samuel 5.23–24</w:t>
        </w:r>
      </w:hyperlink>
      <w:r>
        <w:t xml:space="preserve"> e </w:t>
      </w:r>
      <w:hyperlink r:id="rId2960">
        <w:r>
          <w:rPr>
            <w:color w:val="0000EE"/>
            <w:u w:val="single"/>
          </w:rPr>
          <w:t>1 Crônicas 14.14–15</w:t>
        </w:r>
      </w:hyperlink>
      <w:r>
        <w:t xml:space="preserve">. Nestas passagens, é traduzida como amoreira, álamo ou bálsamo. Não é certo se o Vale de Baca no </w:t>
      </w:r>
      <w:hyperlink r:id="rId2961">
        <w:r>
          <w:rPr>
            <w:color w:val="0000EE"/>
            <w:u w:val="single"/>
          </w:rPr>
          <w:t>Salmo 84</w:t>
        </w:r>
      </w:hyperlink>
      <w:r>
        <w:t xml:space="preserve"> era uma localização geográfica real ou uma expressão simbólica para tempos de tristeza ou dificuldade na vida.</w:t>
      </w:r>
    </w:p>
    <w:p>
      <w:r/>
      <w:r>
        <w:t>Alguns estudiosos acreditam que foi um local específico perto de Jerusalém, possivelmente próximo ao Vale de Refaim. Pode simbolizar um período ou lugar de tristeza e dificuldade:</w:t>
      </w:r>
    </w:p>
    <w:p>
      <w:pPr>
        <w:pStyle w:val="ListNumber"/>
        <w:spacing w:line="240" w:lineRule="auto"/>
        <w:ind w:left="720"/>
      </w:pPr>
      <w:r/>
      <w:r>
        <w:t>As árvores de bálsamo no vale talvez tenham liberado uma resina, parecida com lágrimas.</w:t>
      </w:r>
    </w:p>
    <w:p>
      <w:pPr>
        <w:pStyle w:val="ListNumber"/>
        <w:spacing w:line="240" w:lineRule="auto"/>
        <w:ind w:left="720"/>
      </w:pPr>
      <w:r/>
      <w:r>
        <w:t>A jornada pelo vale poderia ter sido desafiadora.</w:t>
      </w:r>
    </w:p>
    <w:p>
      <w:pPr>
        <w:pStyle w:val="ListNumber"/>
        <w:spacing w:line="240" w:lineRule="auto"/>
        <w:ind w:left="720"/>
      </w:pPr>
      <w:r/>
      <w:r>
        <w:t>O vale pode ter sido caracterizado por rochas de onde a água escorria, semelhante a lágrimas.</w:t>
      </w:r>
      <w:r/>
      <w:r/>
    </w:p>
    <w:p>
      <w:r/>
    </w:p>
    <w:p>
      <w:pPr>
        <w:pStyle w:val="Heading2"/>
      </w:pPr>
      <w:r>
        <w:t>Balaão</w:t>
      </w:r>
      <w:r/>
    </w:p>
    <w:p>
      <w:r/>
      <w:r>
        <w:t>O filho de Beor, um profeta ou adivinho do norte da Mesopotâmia, foi contratado pelo rei moabita Balaque para amaldiçoar os israelitas.</w:t>
      </w:r>
    </w:p>
    <w:p>
      <w:r/>
      <w:r>
        <w:t>Após 40 anos de peregrinação, os israelitas chegaram ao Vale do Jordão, em frente a Jericó. Eles haviam derrotado os amorreus (</w:t>
      </w:r>
      <w:hyperlink r:id="rId2962">
        <w:r>
          <w:rPr>
            <w:color w:val="0000EE"/>
            <w:u w:val="single"/>
          </w:rPr>
          <w:t>Nm 21.21–25</w:t>
        </w:r>
      </w:hyperlink>
      <w:r>
        <w:t>). Balaque estava apavorado com os israelitas (</w:t>
      </w:r>
      <w:hyperlink r:id="rId2963">
        <w:r>
          <w:rPr>
            <w:color w:val="0000EE"/>
            <w:u w:val="single"/>
          </w:rPr>
          <w:t>22.3</w:t>
        </w:r>
      </w:hyperlink>
      <w:r>
        <w:t>). Maldições e bênçãos eram consideradas permanentes (</w:t>
      </w:r>
      <w:hyperlink r:id="rId2964">
        <w:r>
          <w:rPr>
            <w:color w:val="0000EE"/>
            <w:u w:val="single"/>
          </w:rPr>
          <w:t>Gn 27.34–38</w:t>
        </w:r>
      </w:hyperlink>
      <w:r>
        <w:t>). Assim, Balaque acreditava que, se pudesse contratar um profeta para amaldiçoar os israelitas em nome de seu Deus, Yahweh, ele poderia derrotá-los. Ele enviou mensageiros a Petor, onde Balaão vivia. Acredita-se que a cidade ficava perto de Harã, no rio Cabur. Ele fez a Balaão uma oferta substancial para amaldiçoar os israelitas.</w:t>
      </w:r>
    </w:p>
    <w:p>
      <w:r/>
      <w:r>
        <w:t>O Senhor inicialmente advertiu Balaão para não ir a Moabe. Apesar disso, Balaque persistiu e enviou mais mensageiros com ofertas maiores de riqueza e honra. O desejo de Balaão por riqueza levou-o a perguntar novamente ao Senhor se deveria ir. Suas palavras aos mensageiros, no entanto, foram muito piedosas: “Mesmo que Balaque me desse todo o ouro e toda a prata do seu palácio, eu não poderia fazer coisa alguma, grande ou pequena, que fosse contra as ordens do Senhor, meu Deus” (</w:t>
      </w:r>
      <w:hyperlink r:id="rId2965">
        <w:r>
          <w:rPr>
            <w:color w:val="0000EE"/>
            <w:u w:val="single"/>
          </w:rPr>
          <w:t>Nm 22.18</w:t>
        </w:r>
      </w:hyperlink>
      <w:r>
        <w:t>). Embora Deus tenha permitido que Balaão fosse, Ele instruiu Balaão a dizer apenas o que Ele ordenasse.</w:t>
      </w:r>
    </w:p>
    <w:p>
      <w:r/>
      <w:r>
        <w:t>Balaque havia enviado “o dinheiro para pagar as maldições” com seus mensageiros (</w:t>
      </w:r>
      <w:hyperlink r:id="rId2966">
        <w:r>
          <w:rPr>
            <w:color w:val="0000EE"/>
            <w:u w:val="single"/>
          </w:rPr>
          <w:t>Nm 22.7</w:t>
        </w:r>
      </w:hyperlink>
      <w:r>
        <w:t>). Isso mostra que ele via Balaão como um adivinho pagão (alguém que praticava a busca de conhecimento do futuro por meios sobrenaturais). Isso era proibido para os israelitas (</w:t>
      </w:r>
      <w:hyperlink r:id="rId2967">
        <w:r>
          <w:rPr>
            <w:color w:val="0000EE"/>
            <w:u w:val="single"/>
          </w:rPr>
          <w:t>Dt 18.10–11</w:t>
        </w:r>
      </w:hyperlink>
      <w:r>
        <w:t>). Um verdadeiro profeta não teria considerado a oferta de Balaque. A permissão de Deus para que Balaão fosse tinha o objetivo de frustrar os planos de Balaque e proteger Seu povo.</w:t>
      </w:r>
    </w:p>
    <w:p>
      <w:r/>
      <w:r>
        <w:t>Enquanto Balaão viajava, Deus ficou irado e enviou um anjo com uma espada desembainhada para bloquear seu caminho (</w:t>
      </w:r>
      <w:hyperlink r:id="rId2968">
        <w:r>
          <w:rPr>
            <w:color w:val="0000EE"/>
            <w:u w:val="single"/>
          </w:rPr>
          <w:t>Nm 22.22</w:t>
        </w:r>
      </w:hyperlink>
      <w:r>
        <w:t>). A jumenta de Balaão viu o anjo e se recusou a se mover, levando Balaão a espancar a jumenta. Milagrosamente, a jumenta falou com Balaão, reclamando das surras (</w:t>
      </w:r>
      <w:hyperlink r:id="rId2969">
        <w:r>
          <w:rPr>
            <w:color w:val="0000EE"/>
            <w:u w:val="single"/>
          </w:rPr>
          <w:t>Nm 22.28–30</w:t>
        </w:r>
      </w:hyperlink>
      <w:r>
        <w:t>).</w:t>
      </w:r>
    </w:p>
    <w:p>
      <w:r/>
      <w:r>
        <w:t xml:space="preserve">Olhando superficialmente, a história em </w:t>
      </w:r>
      <w:hyperlink r:id="rId2970">
        <w:r>
          <w:rPr>
            <w:color w:val="0000EE"/>
            <w:u w:val="single"/>
          </w:rPr>
          <w:t>Números 22</w:t>
        </w:r>
      </w:hyperlink>
      <w:r>
        <w:t xml:space="preserve"> mostra Balaão simplesmente seguindo o que o Senhor permitiu que ele fizesse. Mas </w:t>
      </w:r>
      <w:hyperlink r:id="rId2971">
        <w:r>
          <w:rPr>
            <w:color w:val="0000EE"/>
            <w:u w:val="single"/>
          </w:rPr>
          <w:t>Deuteronômio 23.5</w:t>
        </w:r>
      </w:hyperlink>
      <w:r>
        <w:t xml:space="preserve"> revela que o Senhor não atendeu Balaão e transformou sua maldição planejada em uma bênção. Quando o Senhor abriu os olhos de Balaão para ver o anjo, ele caiu com o rosto em terra (</w:t>
      </w:r>
      <w:hyperlink r:id="rId2972">
        <w:r>
          <w:rPr>
            <w:color w:val="0000EE"/>
            <w:u w:val="single"/>
          </w:rPr>
          <w:t>Nm 22.31</w:t>
        </w:r>
      </w:hyperlink>
      <w:r>
        <w:t xml:space="preserve">). Balaão reconheceu seu pecado e concordou em dizer apenas o que o Senhor colocasse em sua boca. Os poemas de Balaão em </w:t>
      </w:r>
      <w:hyperlink r:id="rId2973">
        <w:r>
          <w:rPr>
            <w:color w:val="0000EE"/>
            <w:u w:val="single"/>
          </w:rPr>
          <w:t>Números 23</w:t>
        </w:r>
      </w:hyperlink>
      <w:r>
        <w:t xml:space="preserve"> e </w:t>
      </w:r>
      <w:hyperlink r:id="rId2974">
        <w:r>
          <w:rPr>
            <w:color w:val="0000EE"/>
            <w:u w:val="single"/>
          </w:rPr>
          <w:t>24</w:t>
        </w:r>
      </w:hyperlink>
      <w:r>
        <w:t xml:space="preserve"> estão escritos em hebraico arcaico. Eles descrevem as bênçãos passadas de Deus sobre Seu povo e predizem bênçãos futuras para Israel.</w:t>
      </w:r>
    </w:p>
    <w:p>
      <w:r/>
      <w:r>
        <w:t>Balaão proferiu apenas bênçãos para Israel e nunca uma maldição. O rei moabita, Balaque, tentou fazer com que Balaão amaldiçoasse Israel de diferentes locais de observação com vista para o Vale do Jordão. Quando Balaão ainda não os amaldiçoou, Balaque, enfurecido, mandou Balaão embora sem qualquer recompensa.</w:t>
      </w:r>
    </w:p>
    <w:p>
      <w:r/>
      <w:hyperlink r:id="rId2975">
        <w:r>
          <w:rPr>
            <w:color w:val="0000EE"/>
            <w:u w:val="single"/>
          </w:rPr>
          <w:t>Números 25</w:t>
        </w:r>
      </w:hyperlink>
      <w:r>
        <w:t xml:space="preserve"> relata como o rei moabita quase conseguiu desviar os israelitas. Em Peor, homens israelitas se envolveram em comportamento imoral com mulheres moabitas, possivelmente envolvendo prostituição no templo, com base no conselho de Balaão para enfraquecer Israel (</w:t>
      </w:r>
      <w:hyperlink r:id="rId2976">
        <w:r>
          <w:rPr>
            <w:color w:val="0000EE"/>
            <w:u w:val="single"/>
          </w:rPr>
          <w:t>Nm 31.14–16</w:t>
        </w:r>
      </w:hyperlink>
      <w:r>
        <w:t>). Balaão foi posteriormente morto pelos israelitas durante sua campanha contra Midiã (</w:t>
      </w:r>
      <w:hyperlink r:id="rId2977">
        <w:r>
          <w:rPr>
            <w:color w:val="0000EE"/>
            <w:u w:val="single"/>
          </w:rPr>
          <w:t>Nm 31.8</w:t>
        </w:r>
      </w:hyperlink>
      <w:r>
        <w:t xml:space="preserve">; </w:t>
      </w:r>
      <w:hyperlink r:id="rId2978">
        <w:r>
          <w:rPr>
            <w:color w:val="0000EE"/>
            <w:u w:val="single"/>
          </w:rPr>
          <w:t>Js 13.22</w:t>
        </w:r>
      </w:hyperlink>
      <w:r>
        <w:t>).</w:t>
      </w:r>
    </w:p>
    <w:p>
      <w:r/>
      <w:r>
        <w:rPr>
          <w:i/>
        </w:rPr>
        <w:t>Veja também</w:t>
      </w:r>
      <w:r>
        <w:t xml:space="preserve"> </w:t>
      </w:r>
      <w:r>
        <w:t>Balaque</w:t>
      </w:r>
      <w:r>
        <w:t>.</w:t>
      </w:r>
      <w:r/>
      <w:r/>
    </w:p>
    <w:p>
      <w:r/>
    </w:p>
    <w:p>
      <w:pPr>
        <w:pStyle w:val="Heading2"/>
      </w:pPr>
      <w:r>
        <w:t>Balança, Balanças</w:t>
      </w:r>
      <w:r/>
    </w:p>
    <w:p>
      <w:r/>
      <w:r>
        <w:t>Dispositivos usados para pesar objetos, comparando-os com um peso conhecido. Balanças têm sido usadas desde pelo menos o meio do segundo milênio a.C. Representações e inscrições antigas em tumbas egípcias fornecem percepções sobre a aparência dessas balanças antigas. Um par de balanças encontrado em Ugarit data de cerca de 1400 a.C.</w:t>
      </w:r>
    </w:p>
    <w:p>
      <w:r/>
      <w:r>
        <w:t>As balanças geralmente tinham quatro partes principais:</w:t>
      </w:r>
    </w:p>
    <w:p>
      <w:pPr>
        <w:pStyle w:val="ListNumber"/>
        <w:spacing w:line="240" w:lineRule="auto"/>
        <w:ind w:left="720"/>
      </w:pPr>
      <w:r/>
      <w:r>
        <w:t>Um padrão vertical central;</w:t>
      </w:r>
    </w:p>
    <w:p>
      <w:pPr>
        <w:pStyle w:val="ListNumber"/>
        <w:spacing w:line="240" w:lineRule="auto"/>
        <w:ind w:left="720"/>
      </w:pPr>
      <w:r/>
      <w:r>
        <w:t>Uma barra transversal suspensa do padrão;</w:t>
      </w:r>
    </w:p>
    <w:p>
      <w:pPr>
        <w:pStyle w:val="ListNumber"/>
        <w:spacing w:line="240" w:lineRule="auto"/>
        <w:ind w:left="720"/>
      </w:pPr>
      <w:r/>
      <w:r>
        <w:t>Duas bandejas suspensas em cada extremidade da barra transversal por cordas; e</w:t>
      </w:r>
    </w:p>
    <w:p>
      <w:pPr>
        <w:pStyle w:val="ListNumber"/>
        <w:spacing w:line="240" w:lineRule="auto"/>
        <w:ind w:left="720"/>
      </w:pPr>
      <w:r/>
      <w:r>
        <w:t>Uma haste ou ponteiro preso em ângulos retos ao centro da barra transversal (em modelos mais elaborados). Esta haste se movia em frente ao padrão, indicando, por sua posição vertical, quando os dois pratos mantinham pesos iguais.</w:t>
      </w:r>
    </w:p>
    <w:p>
      <w:r/>
      <w:r>
        <w:t>No mundo antigo, balanças ou pesos eram usados principalmente para medir metais preciosos como prata ou ouro. No entanto, a "História do camponês eloquente" do Médio Reino do Egito também mencionava o uso figurativo de balanças para avaliar o coração e a língua de uma pessoa.</w:t>
      </w:r>
    </w:p>
    <w:p>
      <w:r/>
      <w:r>
        <w:t>As balanças são frequentemente mencionadas no Antigo Testamento, geralmente enfatizando o uso de pesos justos ao comprar e vender (</w:t>
      </w:r>
      <w:hyperlink r:id="rId2979">
        <w:r>
          <w:rPr>
            <w:color w:val="0000EE"/>
            <w:u w:val="single"/>
          </w:rPr>
          <w:t>Lv 19.36</w:t>
        </w:r>
      </w:hyperlink>
      <w:r>
        <w:t xml:space="preserve">; </w:t>
      </w:r>
      <w:hyperlink r:id="rId2980">
        <w:r>
          <w:rPr>
            <w:color w:val="0000EE"/>
            <w:u w:val="single"/>
          </w:rPr>
          <w:t>Pv 11.1</w:t>
        </w:r>
      </w:hyperlink>
      <w:r>
        <w:t xml:space="preserve">; </w:t>
      </w:r>
      <w:hyperlink r:id="rId2981">
        <w:r>
          <w:rPr>
            <w:color w:val="0000EE"/>
            <w:u w:val="single"/>
          </w:rPr>
          <w:t>16.11</w:t>
        </w:r>
      </w:hyperlink>
      <w:r>
        <w:t xml:space="preserve">; </w:t>
      </w:r>
      <w:hyperlink r:id="rId2982">
        <w:r>
          <w:rPr>
            <w:color w:val="0000EE"/>
            <w:u w:val="single"/>
          </w:rPr>
          <w:t>20.23</w:t>
        </w:r>
      </w:hyperlink>
      <w:r>
        <w:t xml:space="preserve">; </w:t>
      </w:r>
      <w:hyperlink r:id="rId2983">
        <w:r>
          <w:rPr>
            <w:color w:val="0000EE"/>
            <w:u w:val="single"/>
          </w:rPr>
          <w:t>Ez 45.10</w:t>
        </w:r>
      </w:hyperlink>
      <w:r>
        <w:t xml:space="preserve">; </w:t>
      </w:r>
      <w:hyperlink r:id="rId2984">
        <w:r>
          <w:rPr>
            <w:color w:val="0000EE"/>
            <w:u w:val="single"/>
          </w:rPr>
          <w:t>Os 12.7</w:t>
        </w:r>
      </w:hyperlink>
      <w:r>
        <w:t xml:space="preserve">; </w:t>
      </w:r>
      <w:hyperlink r:id="rId2985">
        <w:r>
          <w:rPr>
            <w:color w:val="0000EE"/>
            <w:u w:val="single"/>
          </w:rPr>
          <w:t>Am 8.5</w:t>
        </w:r>
      </w:hyperlink>
      <w:r>
        <w:t xml:space="preserve">; </w:t>
      </w:r>
      <w:hyperlink r:id="rId2986">
        <w:r>
          <w:rPr>
            <w:color w:val="0000EE"/>
            <w:u w:val="single"/>
          </w:rPr>
          <w:t>Mq 6.10–12</w:t>
        </w:r>
      </w:hyperlink>
      <w:r>
        <w:t>).</w:t>
      </w:r>
    </w:p>
    <w:p>
      <w:r/>
      <w:r>
        <w:t xml:space="preserve">A prata é pesada com uma balança, conforme descrito em </w:t>
      </w:r>
      <w:hyperlink r:id="rId2987">
        <w:r>
          <w:rPr>
            <w:color w:val="0000EE"/>
            <w:u w:val="single"/>
          </w:rPr>
          <w:t>Isaías 46.6.</w:t>
        </w:r>
      </w:hyperlink>
      <w:r>
        <w:t xml:space="preserve"> Da mesma forma, Jeremias pesou o dinheiro que pagou pelo campo de seu sobrinho (</w:t>
      </w:r>
      <w:hyperlink r:id="rId2988">
        <w:r>
          <w:rPr>
            <w:color w:val="0000EE"/>
            <w:u w:val="single"/>
          </w:rPr>
          <w:t>Jr 32.8–10</w:t>
        </w:r>
      </w:hyperlink>
      <w:r>
        <w:t>). Em uma profecia encenada, Ezequiel foi instruído a cortar todo o seu cabelo e barba, pesá-los em balanças e separá-los em três partes iguais (</w:t>
      </w:r>
      <w:hyperlink r:id="rId2989">
        <w:r>
          <w:rPr>
            <w:color w:val="0000EE"/>
            <w:u w:val="single"/>
          </w:rPr>
          <w:t>Ez 5.1–2</w:t>
        </w:r>
      </w:hyperlink>
      <w:r>
        <w:t>). Jó pediu “que Deus me pese numa balança justa”, para que Deus conhecesse sua integridade (</w:t>
      </w:r>
      <w:hyperlink r:id="rId2990">
        <w:r>
          <w:rPr>
            <w:color w:val="0000EE"/>
            <w:u w:val="single"/>
          </w:rPr>
          <w:t>Jó 31.6</w:t>
        </w:r>
      </w:hyperlink>
      <w:r>
        <w:t>). Daniel declarou que Belsazar havia sido pesado nas balanças (julgado) e encontrado em falta (</w:t>
      </w:r>
      <w:hyperlink r:id="rId2991">
        <w:r>
          <w:rPr>
            <w:color w:val="0000EE"/>
            <w:u w:val="single"/>
          </w:rPr>
          <w:t>Dn 5.27</w:t>
        </w:r>
      </w:hyperlink>
      <w:r>
        <w:t>).</w:t>
      </w:r>
    </w:p>
    <w:p>
      <w:r/>
      <w:r>
        <w:t xml:space="preserve">No Novo Testamento, </w:t>
      </w:r>
      <w:hyperlink r:id="rId2992">
        <w:r>
          <w:rPr>
            <w:color w:val="0000EE"/>
            <w:u w:val="single"/>
          </w:rPr>
          <w:t>Apocalipse 6.5</w:t>
        </w:r>
      </w:hyperlink>
      <w:r>
        <w:t xml:space="preserve"> fala de um cavaleiro em um cavalo preto segurando uma balança na mão. Esta profecia prediz uma fome severa onde a comida se torna escassa, a inflação aumenta os preços dos alimentos, e as pessoas verificam cuidadosamente as balanças para evitar serem enganadas, mesmo ao comprar os grãos mais baratos, como a cevada (</w:t>
      </w:r>
      <w:hyperlink r:id="rId2993">
        <w:r>
          <w:rPr>
            <w:color w:val="0000EE"/>
            <w:u w:val="single"/>
          </w:rPr>
          <w:t>Ap 6.6</w:t>
        </w:r>
      </w:hyperlink>
      <w:r>
        <w:t>).</w:t>
      </w:r>
    </w:p>
    <w:p>
      <w:r/>
      <w:r>
        <w:rPr>
          <w:i/>
        </w:rPr>
        <w:t>Veja também</w:t>
      </w:r>
      <w:r>
        <w:t xml:space="preserve"> </w:t>
      </w:r>
      <w:r>
        <w:t>Pesos e medidas</w:t>
      </w:r>
      <w:r>
        <w:t>.</w:t>
      </w:r>
      <w:r/>
      <w:r/>
    </w:p>
    <w:p>
      <w:r/>
    </w:p>
    <w:p>
      <w:pPr>
        <w:pStyle w:val="Heading2"/>
      </w:pPr>
      <w:r>
        <w:t>Balaque</w:t>
      </w:r>
      <w:r/>
    </w:p>
    <w:p>
      <w:r/>
      <w:r>
        <w:t>Filho de Zipor e rei de Moabe. Balaque ficou com medo depois que os israelitas derrotaram os amorreus, então ele contratou um profeta chamado Balaão para amaldiçoar Israel (</w:t>
      </w:r>
      <w:hyperlink r:id="rId2994">
        <w:r>
          <w:rPr>
            <w:color w:val="0000EE"/>
            <w:u w:val="single"/>
          </w:rPr>
          <w:t>Nm 22.1–7</w:t>
        </w:r>
      </w:hyperlink>
      <w:r>
        <w:t>). Balaque acompanhou Balaão a três montanhas diferentes e ofereceu três sacrifícios distintos. Mas, em cada ocasião, Balaão proferiu uma bênção aos israelitas em vez disso (</w:t>
      </w:r>
      <w:hyperlink r:id="rId1122">
        <w:r>
          <w:rPr>
            <w:color w:val="0000EE"/>
            <w:u w:val="single"/>
          </w:rPr>
          <w:t>Nm 22–24</w:t>
        </w:r>
      </w:hyperlink>
      <w:r>
        <w:t>). Enfurecido, Balaque mandou Balaão embora. Esse evento foi dado como exemplo da bênção especial de Deus sobre os israelitas e da inutilidade de tentar mudar a vontade de Deus (</w:t>
      </w:r>
      <w:hyperlink r:id="rId2995">
        <w:r>
          <w:rPr>
            <w:color w:val="0000EE"/>
            <w:u w:val="single"/>
          </w:rPr>
          <w:t>Js 24.9–10</w:t>
        </w:r>
      </w:hyperlink>
      <w:r>
        <w:t xml:space="preserve">; </w:t>
      </w:r>
      <w:hyperlink r:id="rId2996">
        <w:r>
          <w:rPr>
            <w:color w:val="0000EE"/>
            <w:u w:val="single"/>
          </w:rPr>
          <w:t>Jz 11.25</w:t>
        </w:r>
      </w:hyperlink>
      <w:r>
        <w:t xml:space="preserve">; </w:t>
      </w:r>
      <w:hyperlink r:id="rId2997">
        <w:r>
          <w:rPr>
            <w:color w:val="0000EE"/>
            <w:u w:val="single"/>
          </w:rPr>
          <w:t>Mq 6.5</w:t>
        </w:r>
      </w:hyperlink>
      <w:r>
        <w:t xml:space="preserve">; </w:t>
      </w:r>
      <w:hyperlink r:id="rId2998">
        <w:r>
          <w:rPr>
            <w:color w:val="0000EE"/>
            <w:u w:val="single"/>
          </w:rPr>
          <w:t>Ap 2.14</w:t>
        </w:r>
      </w:hyperlink>
      <w:r>
        <w:t>).</w:t>
      </w:r>
    </w:p>
    <w:p>
      <w:r/>
      <w:r>
        <w:rPr>
          <w:i/>
        </w:rPr>
        <w:t>Veja também</w:t>
      </w:r>
      <w:r>
        <w:t xml:space="preserve"> </w:t>
      </w:r>
      <w:r>
        <w:t>Balaão</w:t>
      </w:r>
      <w:r>
        <w:t>.</w:t>
      </w:r>
      <w:r/>
      <w:r/>
    </w:p>
    <w:p>
      <w:r/>
    </w:p>
    <w:p>
      <w:pPr>
        <w:pStyle w:val="Heading2"/>
      </w:pPr>
      <w:r>
        <w:t>Bamá</w:t>
      </w:r>
      <w:r/>
    </w:p>
    <w:p>
      <w:r/>
      <w:r>
        <w:t>A palavra hebraica que significa altura, cume ou elevação na paisagem (</w:t>
      </w:r>
      <w:hyperlink r:id="rId2999">
        <w:r>
          <w:rPr>
            <w:color w:val="0000EE"/>
            <w:u w:val="single"/>
          </w:rPr>
          <w:t>2Sm 1.19,25</w:t>
        </w:r>
      </w:hyperlink>
      <w:r>
        <w:t xml:space="preserve">; </w:t>
      </w:r>
      <w:hyperlink r:id="rId3000">
        <w:r>
          <w:rPr>
            <w:color w:val="0000EE"/>
            <w:u w:val="single"/>
          </w:rPr>
          <w:t>22.34</w:t>
        </w:r>
      </w:hyperlink>
      <w:r>
        <w:t>). Está escrito em português uma vez (</w:t>
      </w:r>
      <w:hyperlink r:id="rId3001">
        <w:r>
          <w:rPr>
            <w:color w:val="0000EE"/>
            <w:u w:val="single"/>
          </w:rPr>
          <w:t>Ez 20.29</w:t>
        </w:r>
      </w:hyperlink>
      <w:r>
        <w:t>, ARC). Refere-se a colinas ou montanhas com vista para o rio Arnom (</w:t>
      </w:r>
      <w:hyperlink r:id="rId2305">
        <w:r>
          <w:rPr>
            <w:color w:val="0000EE"/>
            <w:u w:val="single"/>
          </w:rPr>
          <w:t>Nm 21.28</w:t>
        </w:r>
      </w:hyperlink>
      <w:r>
        <w:t>). A forma plural, Bamote, é usada para o nome de cidades em Moabe (</w:t>
      </w:r>
      <w:hyperlink r:id="rId3002">
        <w:r>
          <w:rPr>
            <w:color w:val="0000EE"/>
            <w:u w:val="single"/>
          </w:rPr>
          <w:t>Nm 21.19–20</w:t>
        </w:r>
      </w:hyperlink>
      <w:r>
        <w:t xml:space="preserve">; </w:t>
      </w:r>
      <w:hyperlink r:id="rId3003">
        <w:r>
          <w:rPr>
            <w:color w:val="0000EE"/>
            <w:u w:val="single"/>
          </w:rPr>
          <w:t>22.41</w:t>
        </w:r>
      </w:hyperlink>
      <w:r>
        <w:t xml:space="preserve">; </w:t>
      </w:r>
      <w:hyperlink r:id="rId2945">
        <w:r>
          <w:rPr>
            <w:color w:val="0000EE"/>
            <w:u w:val="single"/>
          </w:rPr>
          <w:t>Js 13.17</w:t>
        </w:r>
      </w:hyperlink>
      <w:r>
        <w:t>).</w:t>
      </w:r>
    </w:p>
    <w:p>
      <w:r/>
      <w:r>
        <w:t>Metaforicamente, a palavra significa:</w:t>
      </w:r>
    </w:p>
    <w:p>
      <w:pPr>
        <w:pStyle w:val="ListBullet"/>
        <w:spacing w:line="240" w:lineRule="auto"/>
        <w:ind w:left="720"/>
      </w:pPr>
      <w:r/>
      <w:r>
        <w:t>Um lugar de segurança (</w:t>
      </w:r>
      <w:hyperlink r:id="rId3004">
        <w:r>
          <w:rPr>
            <w:color w:val="0000EE"/>
            <w:u w:val="single"/>
          </w:rPr>
          <w:t>Dt 32.13</w:t>
        </w:r>
      </w:hyperlink>
      <w:r>
        <w:t xml:space="preserve">; </w:t>
      </w:r>
      <w:hyperlink r:id="rId1582">
        <w:r>
          <w:rPr>
            <w:color w:val="0000EE"/>
            <w:u w:val="single"/>
          </w:rPr>
          <w:t>Hb 3.19</w:t>
        </w:r>
      </w:hyperlink>
      <w:r>
        <w:t>)</w:t>
      </w:r>
    </w:p>
    <w:p>
      <w:pPr>
        <w:pStyle w:val="ListBullet"/>
        <w:spacing w:line="240" w:lineRule="auto"/>
        <w:ind w:left="720"/>
      </w:pPr>
      <w:r/>
      <w:r>
        <w:t>O terreno elevado que um comandante militar busca controlar na batalha.</w:t>
      </w:r>
    </w:p>
    <w:p>
      <w:r/>
      <w:r>
        <w:t>Controlar as "alturas" de um inimigo significava subjugar esse inimigo (</w:t>
      </w:r>
      <w:hyperlink r:id="rId3005">
        <w:r>
          <w:rPr>
            <w:color w:val="0000EE"/>
            <w:u w:val="single"/>
          </w:rPr>
          <w:t>Dt 33.29</w:t>
        </w:r>
      </w:hyperlink>
      <w:r>
        <w:t xml:space="preserve">; </w:t>
      </w:r>
      <w:hyperlink r:id="rId3006">
        <w:r>
          <w:rPr>
            <w:color w:val="0000EE"/>
            <w:u w:val="single"/>
          </w:rPr>
          <w:t>Ez 36.2</w:t>
        </w:r>
      </w:hyperlink>
      <w:r>
        <w:t>). O termo frequentemente combina significados literais e figurativos ao se referir a Jerusalém, um "lugar alto" em ruínas coberto de plantas (</w:t>
      </w:r>
      <w:hyperlink r:id="rId3007">
        <w:r>
          <w:rPr>
            <w:color w:val="0000EE"/>
            <w:u w:val="single"/>
          </w:rPr>
          <w:t>Mq 3.12</w:t>
        </w:r>
      </w:hyperlink>
      <w:r>
        <w:t xml:space="preserve">; veja também </w:t>
      </w:r>
      <w:hyperlink r:id="rId3008">
        <w:r>
          <w:rPr>
            <w:color w:val="0000EE"/>
            <w:u w:val="single"/>
          </w:rPr>
          <w:t>Jr 26.18</w:t>
        </w:r>
      </w:hyperlink>
      <w:r>
        <w:t xml:space="preserve">; </w:t>
      </w:r>
      <w:hyperlink r:id="rId3009">
        <w:r>
          <w:rPr>
            <w:color w:val="0000EE"/>
            <w:u w:val="single"/>
          </w:rPr>
          <w:t>Ez 36.1–2</w:t>
        </w:r>
      </w:hyperlink>
      <w:r>
        <w:t>).</w:t>
      </w:r>
    </w:p>
    <w:p>
      <w:r/>
      <w:r>
        <w:t>Na religião Cananeia, um "lugar alto" era um santuário local situado em uma colina próxima a uma cidade ou vila, diferente dos templos maiores espalhados por toda a região.</w:t>
      </w:r>
    </w:p>
    <w:p>
      <w:r/>
      <w:r>
        <w:rPr>
          <w:i/>
        </w:rPr>
        <w:t>Veja também</w:t>
      </w:r>
      <w:r>
        <w:t xml:space="preserve"> </w:t>
      </w:r>
      <w:r>
        <w:t>Lugar alto</w:t>
      </w:r>
      <w:r>
        <w:t>.</w:t>
      </w:r>
      <w:r/>
      <w:r/>
    </w:p>
    <w:p>
      <w:r/>
    </w:p>
    <w:p>
      <w:pPr>
        <w:pStyle w:val="Heading2"/>
      </w:pPr>
      <w:r>
        <w:t>Bamote, Bamote-Baal</w:t>
      </w:r>
      <w:r/>
    </w:p>
    <w:p>
      <w:r/>
      <w:r>
        <w:t>Uma cidade em Moabe que Josué deu à tribo de Rúben (</w:t>
      </w:r>
      <w:hyperlink r:id="rId2945">
        <w:r>
          <w:rPr>
            <w:color w:val="0000EE"/>
            <w:u w:val="single"/>
          </w:rPr>
          <w:t>Js 13.17</w:t>
        </w:r>
      </w:hyperlink>
      <w:r>
        <w:t>, chamada Bamote-Baal). Foi um dos últimos pontos seguros de Israel na rota para Canaã, a Terra Prometida (</w:t>
      </w:r>
      <w:hyperlink r:id="rId3002">
        <w:r>
          <w:rPr>
            <w:color w:val="0000EE"/>
            <w:u w:val="single"/>
          </w:rPr>
          <w:t>Nm 21.19–20</w:t>
        </w:r>
      </w:hyperlink>
      <w:r>
        <w:t>).</w:t>
      </w:r>
    </w:p>
    <w:p>
      <w:r/>
      <w:r>
        <w:t>Bamote-Baal, uma montanha ou lugar elevado, provavelmente era um santuário para o deus cananeu Baal. O rei Balaque de Moabe levou o profeta Balaão até lá para tentar fazê-lo amaldiçoar os inimigos de Balaque, o povo de Israel (</w:t>
      </w:r>
      <w:hyperlink r:id="rId3010">
        <w:r>
          <w:rPr>
            <w:color w:val="0000EE"/>
            <w:u w:val="single"/>
          </w:rPr>
          <w:t>Nm 22.41–23.13</w:t>
        </w:r>
      </w:hyperlink>
      <w:r>
        <w:t>).</w:t>
      </w:r>
      <w:r/>
      <w:r/>
    </w:p>
    <w:p>
      <w:r/>
    </w:p>
    <w:p>
      <w:pPr>
        <w:pStyle w:val="Heading2"/>
      </w:pPr>
      <w:r>
        <w:t>Banhar, Banho</w:t>
      </w:r>
      <w:r/>
    </w:p>
    <w:p>
      <w:r/>
      <w:r>
        <w:t>Purificar com água ou lavar-se. Na Bíblia, os termos “banhar” e “lavar” traduzem, muitas vezes de forma intercambiável, várias palavras diferentes. Uma passagem do Antigo Testamento usa uma palavra hebraica para limpar roupas e outra para lavar outros objetos, incluindo o corpo (</w:t>
      </w:r>
      <w:hyperlink r:id="rId3011">
        <w:r>
          <w:rPr>
            <w:color w:val="0000EE"/>
            <w:u w:val="single"/>
          </w:rPr>
          <w:t>Lv 15.8–12</w:t>
        </w:r>
      </w:hyperlink>
      <w:r>
        <w:t>).</w:t>
      </w:r>
    </w:p>
    <w:p>
      <w:r/>
      <w:r>
        <w:t>O clima seco de Israel e a escassez de água desencorajavam o banho, exceto onde havia um riacho ou piscina disponível (</w:t>
      </w:r>
      <w:hyperlink r:id="rId2578">
        <w:r>
          <w:rPr>
            <w:color w:val="0000EE"/>
            <w:u w:val="single"/>
          </w:rPr>
          <w:t>2Rs 5.10</w:t>
        </w:r>
      </w:hyperlink>
      <w:r>
        <w:t xml:space="preserve">; </w:t>
      </w:r>
      <w:hyperlink r:id="rId3012">
        <w:r>
          <w:rPr>
            <w:color w:val="0000EE"/>
            <w:u w:val="single"/>
          </w:rPr>
          <w:t>Jo 9.7</w:t>
        </w:r>
      </w:hyperlink>
      <w:r>
        <w:t>). No entanto, as pessoas ainda lavavam bebês ao nascer (</w:t>
      </w:r>
      <w:hyperlink r:id="rId3013">
        <w:r>
          <w:rPr>
            <w:color w:val="0000EE"/>
            <w:u w:val="single"/>
          </w:rPr>
          <w:t>Ez 16.4</w:t>
        </w:r>
      </w:hyperlink>
      <w:r>
        <w:t>), corpos mortos em preparação para o enterro (</w:t>
      </w:r>
      <w:hyperlink r:id="rId3014">
        <w:r>
          <w:rPr>
            <w:color w:val="0000EE"/>
            <w:u w:val="single"/>
          </w:rPr>
          <w:t>At 9.37</w:t>
        </w:r>
      </w:hyperlink>
      <w:r>
        <w:t>) e ovelhas para a tosquia (</w:t>
      </w:r>
      <w:hyperlink r:id="rId3015">
        <w:r>
          <w:rPr>
            <w:color w:val="0000EE"/>
            <w:u w:val="single"/>
          </w:rPr>
          <w:t>Ct Sl 6.6</w:t>
        </w:r>
      </w:hyperlink>
      <w:r>
        <w:t>). Frequentemente, o banho de todo o corpo era provavelmente reservado para os ricos (</w:t>
      </w:r>
      <w:hyperlink r:id="rId3016">
        <w:r>
          <w:rPr>
            <w:color w:val="0000EE"/>
            <w:u w:val="single"/>
          </w:rPr>
          <w:t>Êx 2.5</w:t>
        </w:r>
      </w:hyperlink>
      <w:r>
        <w:t>). Mas a prevalência de poeira tornava necessário o lavar do rosto, mãos e pés de forma frequente (</w:t>
      </w:r>
      <w:hyperlink r:id="rId3017">
        <w:r>
          <w:rPr>
            <w:color w:val="0000EE"/>
            <w:u w:val="single"/>
          </w:rPr>
          <w:t>Gn 18.4</w:t>
        </w:r>
      </w:hyperlink>
      <w:r>
        <w:t xml:space="preserve">; </w:t>
      </w:r>
      <w:hyperlink r:id="rId3018">
        <w:r>
          <w:rPr>
            <w:color w:val="0000EE"/>
            <w:u w:val="single"/>
          </w:rPr>
          <w:t>19.2</w:t>
        </w:r>
      </w:hyperlink>
      <w:r>
        <w:t xml:space="preserve">; </w:t>
      </w:r>
      <w:hyperlink r:id="rId3019">
        <w:r>
          <w:rPr>
            <w:color w:val="0000EE"/>
            <w:u w:val="single"/>
          </w:rPr>
          <w:t>24.32</w:t>
        </w:r>
      </w:hyperlink>
      <w:r>
        <w:t xml:space="preserve">; </w:t>
      </w:r>
      <w:hyperlink r:id="rId1622">
        <w:r>
          <w:rPr>
            <w:color w:val="0000EE"/>
            <w:u w:val="single"/>
          </w:rPr>
          <w:t>43.24</w:t>
        </w:r>
      </w:hyperlink>
      <w:r>
        <w:t xml:space="preserve">; </w:t>
      </w:r>
      <w:hyperlink r:id="rId3020">
        <w:r>
          <w:rPr>
            <w:color w:val="0000EE"/>
            <w:u w:val="single"/>
          </w:rPr>
          <w:t>Jz 19.21</w:t>
        </w:r>
      </w:hyperlink>
      <w:r>
        <w:t xml:space="preserve">; </w:t>
      </w:r>
      <w:hyperlink r:id="rId3021">
        <w:r>
          <w:rPr>
            <w:color w:val="0000EE"/>
            <w:u w:val="single"/>
          </w:rPr>
          <w:t>Ct Sl 5.3</w:t>
        </w:r>
      </w:hyperlink>
      <w:r>
        <w:t>). Um bom cuidado pessoal para os privilegiados exigia lavar o corpo antes de ungir com óleo (</w:t>
      </w:r>
      <w:hyperlink r:id="rId3022">
        <w:r>
          <w:rPr>
            <w:color w:val="0000EE"/>
            <w:u w:val="single"/>
          </w:rPr>
          <w:t>Rt 3.3</w:t>
        </w:r>
      </w:hyperlink>
      <w:r>
        <w:t xml:space="preserve">; </w:t>
      </w:r>
      <w:hyperlink r:id="rId3023">
        <w:r>
          <w:rPr>
            <w:color w:val="0000EE"/>
            <w:u w:val="single"/>
          </w:rPr>
          <w:t>2Sm 12.20</w:t>
        </w:r>
      </w:hyperlink>
      <w:r>
        <w:t xml:space="preserve">; </w:t>
      </w:r>
      <w:hyperlink r:id="rId3024">
        <w:r>
          <w:rPr>
            <w:color w:val="0000EE"/>
            <w:u w:val="single"/>
          </w:rPr>
          <w:t>Ez 23.41</w:t>
        </w:r>
      </w:hyperlink>
      <w:r>
        <w:t>). Um bom anfitrião fornecia água para os pés de um convidado (</w:t>
      </w:r>
      <w:hyperlink r:id="rId3017">
        <w:r>
          <w:rPr>
            <w:color w:val="0000EE"/>
            <w:u w:val="single"/>
          </w:rPr>
          <w:t>Gn 18.4</w:t>
        </w:r>
      </w:hyperlink>
      <w:r>
        <w:t xml:space="preserve">; </w:t>
      </w:r>
      <w:hyperlink r:id="rId3020">
        <w:r>
          <w:rPr>
            <w:color w:val="0000EE"/>
            <w:u w:val="single"/>
          </w:rPr>
          <w:t>Jz 19.21</w:t>
        </w:r>
      </w:hyperlink>
      <w:r>
        <w:t xml:space="preserve">; </w:t>
      </w:r>
      <w:hyperlink r:id="rId3025">
        <w:r>
          <w:rPr>
            <w:color w:val="0000EE"/>
            <w:u w:val="single"/>
          </w:rPr>
          <w:t>Lc 7.44</w:t>
        </w:r>
      </w:hyperlink>
      <w:r>
        <w:t xml:space="preserve">; </w:t>
      </w:r>
      <w:hyperlink r:id="rId3026">
        <w:r>
          <w:rPr>
            <w:color w:val="0000EE"/>
            <w:u w:val="single"/>
          </w:rPr>
          <w:t>Jo 13.4–5</w:t>
        </w:r>
      </w:hyperlink>
      <w:r>
        <w:t>). Lavar os pés de alguém era tarefa de um servo. Para qualquer outra pessoa, fazê-lo era um sinal de humildade (</w:t>
      </w:r>
      <w:hyperlink r:id="rId3027">
        <w:r>
          <w:rPr>
            <w:color w:val="0000EE"/>
            <w:u w:val="single"/>
          </w:rPr>
          <w:t>1Sm 25.41</w:t>
        </w:r>
      </w:hyperlink>
      <w:r>
        <w:t xml:space="preserve">; </w:t>
      </w:r>
      <w:hyperlink r:id="rId3028">
        <w:r>
          <w:rPr>
            <w:color w:val="0000EE"/>
            <w:u w:val="single"/>
          </w:rPr>
          <w:t>Lc 7.44–47</w:t>
        </w:r>
      </w:hyperlink>
      <w:r>
        <w:t xml:space="preserve">; </w:t>
      </w:r>
      <w:hyperlink r:id="rId3029">
        <w:r>
          <w:rPr>
            <w:color w:val="0000EE"/>
            <w:u w:val="single"/>
          </w:rPr>
          <w:t>Jo 13.3–16</w:t>
        </w:r>
      </w:hyperlink>
      <w:r>
        <w:t xml:space="preserve">; </w:t>
      </w:r>
      <w:hyperlink r:id="rId3030">
        <w:r>
          <w:rPr>
            <w:color w:val="0000EE"/>
            <w:u w:val="single"/>
          </w:rPr>
          <w:t>1Tm 5.10</w:t>
        </w:r>
      </w:hyperlink>
      <w:r>
        <w:t>).</w:t>
      </w:r>
    </w:p>
    <w:p>
      <w:r/>
      <w:r>
        <w:t>A maioria das referências bíblicas a lavar ou banhar trata de purificação ritual. Sacerdotes e levitas eram obrigados a lavar suas roupas e rostos, e às vezes os corpos, antes de se aproximarem do altar e em ocasiões cerimoniais (</w:t>
      </w:r>
      <w:hyperlink r:id="rId3031">
        <w:r>
          <w:rPr>
            <w:color w:val="0000EE"/>
            <w:u w:val="single"/>
          </w:rPr>
          <w:t>Êx 29.4</w:t>
        </w:r>
      </w:hyperlink>
      <w:r>
        <w:t xml:space="preserve">; </w:t>
      </w:r>
      <w:hyperlink r:id="rId3032">
        <w:r>
          <w:rPr>
            <w:color w:val="0000EE"/>
            <w:u w:val="single"/>
          </w:rPr>
          <w:t>30.19–21</w:t>
        </w:r>
      </w:hyperlink>
      <w:r>
        <w:t xml:space="preserve">; </w:t>
      </w:r>
      <w:hyperlink r:id="rId3033">
        <w:r>
          <w:rPr>
            <w:color w:val="0000EE"/>
            <w:u w:val="single"/>
          </w:rPr>
          <w:t>40.7,12,30–32</w:t>
        </w:r>
      </w:hyperlink>
      <w:r>
        <w:t xml:space="preserve">; </w:t>
      </w:r>
      <w:hyperlink r:id="rId3034">
        <w:r>
          <w:rPr>
            <w:color w:val="0000EE"/>
            <w:u w:val="single"/>
          </w:rPr>
          <w:t>Nm 8.21</w:t>
        </w:r>
      </w:hyperlink>
      <w:r>
        <w:t>). Antes de um animal abatido ser sacrificado, suas pernas e intestinos eram lavados (</w:t>
      </w:r>
      <w:hyperlink r:id="rId3035">
        <w:r>
          <w:rPr>
            <w:color w:val="0000EE"/>
            <w:u w:val="single"/>
          </w:rPr>
          <w:t>Lv 1.9,13</w:t>
        </w:r>
      </w:hyperlink>
      <w:r>
        <w:t xml:space="preserve">; </w:t>
      </w:r>
      <w:hyperlink r:id="rId3036">
        <w:r>
          <w:rPr>
            <w:color w:val="0000EE"/>
            <w:u w:val="single"/>
          </w:rPr>
          <w:t>8.21</w:t>
        </w:r>
      </w:hyperlink>
      <w:r>
        <w:t xml:space="preserve">; </w:t>
      </w:r>
      <w:hyperlink r:id="rId3037">
        <w:r>
          <w:rPr>
            <w:color w:val="0000EE"/>
            <w:u w:val="single"/>
          </w:rPr>
          <w:t>9.14</w:t>
        </w:r>
      </w:hyperlink>
      <w:r>
        <w:t>). Qualquer pessoa que estivesse impura tinha que lavar suas roupas e se banhar para estar ritualmente pura (</w:t>
      </w:r>
      <w:hyperlink r:id="rId3038">
        <w:r>
          <w:rPr>
            <w:color w:val="0000EE"/>
            <w:u w:val="single"/>
          </w:rPr>
          <w:t>Lv 14.8–10</w:t>
        </w:r>
      </w:hyperlink>
      <w:r>
        <w:t xml:space="preserve">; </w:t>
      </w:r>
      <w:hyperlink r:id="rId3039">
        <w:r>
          <w:rPr>
            <w:color w:val="0000EE"/>
            <w:u w:val="single"/>
          </w:rPr>
          <w:t>15.5–11,21–27</w:t>
        </w:r>
      </w:hyperlink>
      <w:r>
        <w:t>). Por exemplo, um leproso que fosse curado ou alguém que tivesse tido um fluxo genital seria considerado impuro e precisaria lavar-se e banhar-se. Qualquer vestimenta que se tornasse contaminada tinha que ser cerimonialmente purificada (</w:t>
      </w:r>
      <w:hyperlink r:id="rId3040">
        <w:r>
          <w:rPr>
            <w:color w:val="0000EE"/>
            <w:u w:val="single"/>
          </w:rPr>
          <w:t>Lv 6.27</w:t>
        </w:r>
      </w:hyperlink>
      <w:r>
        <w:t xml:space="preserve">; </w:t>
      </w:r>
      <w:hyperlink r:id="rId3041">
        <w:r>
          <w:rPr>
            <w:color w:val="0000EE"/>
            <w:u w:val="single"/>
          </w:rPr>
          <w:t>13.54</w:t>
        </w:r>
      </w:hyperlink>
      <w:r>
        <w:t>).</w:t>
      </w:r>
    </w:p>
    <w:p>
      <w:r/>
      <w:r>
        <w:t>“Lavar” também é usada figurativamente para representar uma purificação do pecado (</w:t>
      </w:r>
      <w:hyperlink r:id="rId3042">
        <w:r>
          <w:rPr>
            <w:color w:val="0000EE"/>
            <w:u w:val="single"/>
          </w:rPr>
          <w:t>Sl 51.2</w:t>
        </w:r>
      </w:hyperlink>
      <w:r>
        <w:t xml:space="preserve">; </w:t>
      </w:r>
      <w:hyperlink r:id="rId3043">
        <w:r>
          <w:rPr>
            <w:color w:val="0000EE"/>
            <w:u w:val="single"/>
          </w:rPr>
          <w:t>Is 1.16</w:t>
        </w:r>
      </w:hyperlink>
      <w:r>
        <w:t xml:space="preserve">; </w:t>
      </w:r>
      <w:hyperlink r:id="rId3044">
        <w:r>
          <w:rPr>
            <w:color w:val="0000EE"/>
            <w:u w:val="single"/>
          </w:rPr>
          <w:t>4.4</w:t>
        </w:r>
      </w:hyperlink>
      <w:r>
        <w:t xml:space="preserve">; </w:t>
      </w:r>
      <w:hyperlink r:id="rId3045">
        <w:r>
          <w:rPr>
            <w:color w:val="0000EE"/>
            <w:u w:val="single"/>
          </w:rPr>
          <w:t>Jr 2.22</w:t>
        </w:r>
      </w:hyperlink>
      <w:r>
        <w:t xml:space="preserve">; </w:t>
      </w:r>
      <w:hyperlink r:id="rId3046">
        <w:r>
          <w:rPr>
            <w:color w:val="0000EE"/>
            <w:u w:val="single"/>
          </w:rPr>
          <w:t>4.14</w:t>
        </w:r>
      </w:hyperlink>
      <w:r>
        <w:t xml:space="preserve">; </w:t>
      </w:r>
      <w:hyperlink r:id="rId3047">
        <w:r>
          <w:rPr>
            <w:color w:val="0000EE"/>
            <w:u w:val="single"/>
          </w:rPr>
          <w:t>1Co 6.11</w:t>
        </w:r>
      </w:hyperlink>
      <w:r>
        <w:t xml:space="preserve">; </w:t>
      </w:r>
      <w:hyperlink r:id="rId3048">
        <w:r>
          <w:rPr>
            <w:color w:val="0000EE"/>
            <w:u w:val="single"/>
          </w:rPr>
          <w:t>Hb 10.22</w:t>
        </w:r>
      </w:hyperlink>
      <w:r>
        <w:t>).</w:t>
      </w:r>
      <w:r/>
      <w:r/>
    </w:p>
    <w:p>
      <w:r/>
    </w:p>
    <w:p>
      <w:pPr>
        <w:pStyle w:val="Heading2"/>
      </w:pPr>
      <w:r>
        <w:t>Banimento</w:t>
      </w:r>
      <w:r/>
    </w:p>
    <w:p>
      <w:r/>
      <w:r>
        <w:t>Uma prática religiosa que envolve dedicar à destruição aqueles que são hostis a Deus. Essa prática era usada em Israel durante a guerra. Eles destruíam completamente os cananeus por causa de sua maldade e práticas perversas.</w:t>
      </w:r>
    </w:p>
    <w:p>
      <w:r/>
      <w:r>
        <w:rPr>
          <w:i/>
        </w:rPr>
        <w:t>Veja também</w:t>
      </w:r>
      <w:r>
        <w:t xml:space="preserve"> </w:t>
      </w:r>
      <w:r>
        <w:t>Conquista e Distribuição da Terra</w:t>
      </w:r>
      <w:r>
        <w:t xml:space="preserve">; </w:t>
      </w:r>
      <w:r>
        <w:t>Livro de Josué</w:t>
      </w:r>
      <w:r>
        <w:t xml:space="preserve">; </w:t>
      </w:r>
      <w:r>
        <w:t>Guerra</w:t>
      </w:r>
      <w:r>
        <w:t xml:space="preserve">; </w:t>
      </w:r>
      <w:r>
        <w:t>Guerra Santa</w:t>
      </w:r>
      <w:r>
        <w:t>.</w:t>
      </w:r>
      <w:r/>
      <w:r/>
    </w:p>
    <w:p>
      <w:r/>
    </w:p>
    <w:p>
      <w:pPr>
        <w:pStyle w:val="Heading2"/>
      </w:pPr>
      <w:r>
        <w:t>Banir, Banimento</w:t>
      </w:r>
      <w:r/>
    </w:p>
    <w:p>
      <w:r/>
      <w:r>
        <w:t>A exclusão de uma pessoa de um país ou grupo como forma de punição.</w:t>
      </w:r>
    </w:p>
    <w:p>
      <w:r/>
      <w:r>
        <w:t>Na Bíblia, "banimento" ou palavras semelhantes são usadas várias vezes:</w:t>
      </w:r>
    </w:p>
    <w:p>
      <w:pPr>
        <w:pStyle w:val="ListBullet"/>
        <w:spacing w:line="240" w:lineRule="auto"/>
        <w:ind w:left="720"/>
      </w:pPr>
      <w:r/>
      <w:r>
        <w:t>O julgamento de Deus sobre Adão e Eva (</w:t>
      </w:r>
      <w:hyperlink r:id="rId308">
        <w:r>
          <w:rPr>
            <w:color w:val="0000EE"/>
            <w:u w:val="single"/>
          </w:rPr>
          <w:t>Gênesis 3.23–24</w:t>
        </w:r>
      </w:hyperlink>
      <w:r>
        <w:t>);</w:t>
      </w:r>
    </w:p>
    <w:p>
      <w:pPr>
        <w:pStyle w:val="ListBullet"/>
        <w:spacing w:line="240" w:lineRule="auto"/>
        <w:ind w:left="720"/>
      </w:pPr>
      <w:r/>
      <w:r>
        <w:t>O julgamento de Deus sobre Caim (</w:t>
      </w:r>
      <w:hyperlink r:id="rId3049">
        <w:r>
          <w:rPr>
            <w:color w:val="0000EE"/>
            <w:u w:val="single"/>
          </w:rPr>
          <w:t>Gênesis 4.9–14</w:t>
        </w:r>
      </w:hyperlink>
      <w:r>
        <w:t>);</w:t>
      </w:r>
    </w:p>
    <w:p>
      <w:pPr>
        <w:pStyle w:val="ListBullet"/>
        <w:spacing w:line="240" w:lineRule="auto"/>
        <w:ind w:left="720"/>
      </w:pPr>
      <w:r/>
      <w:r>
        <w:t>O exílio de Absalão de seu pai Davi (</w:t>
      </w:r>
      <w:hyperlink r:id="rId3050">
        <w:r>
          <w:rPr>
            <w:color w:val="0000EE"/>
            <w:u w:val="single"/>
          </w:rPr>
          <w:t>2 Samuel 13.37–39</w:t>
        </w:r>
      </w:hyperlink>
      <w:r>
        <w:t xml:space="preserve">; </w:t>
      </w:r>
      <w:hyperlink r:id="rId3051">
        <w:r>
          <w:rPr>
            <w:color w:val="0000EE"/>
            <w:u w:val="single"/>
          </w:rPr>
          <w:t>14.13–14</w:t>
        </w:r>
      </w:hyperlink>
      <w:r>
        <w:t>);</w:t>
      </w:r>
    </w:p>
    <w:p>
      <w:pPr>
        <w:pStyle w:val="ListBullet"/>
        <w:spacing w:line="240" w:lineRule="auto"/>
        <w:ind w:left="720"/>
      </w:pPr>
      <w:r/>
      <w:r>
        <w:t>O exílio de Israel da terra Prometida (</w:t>
      </w:r>
      <w:hyperlink r:id="rId3052">
        <w:r>
          <w:rPr>
            <w:color w:val="0000EE"/>
            <w:u w:val="single"/>
          </w:rPr>
          <w:t>Deuteronômio 30.1</w:t>
        </w:r>
      </w:hyperlink>
      <w:r>
        <w:t xml:space="preserve">; </w:t>
      </w:r>
      <w:hyperlink r:id="rId3053">
        <w:r>
          <w:rPr>
            <w:color w:val="0000EE"/>
            <w:u w:val="single"/>
          </w:rPr>
          <w:t>Isías 11.12</w:t>
        </w:r>
      </w:hyperlink>
      <w:r>
        <w:t xml:space="preserve">; </w:t>
      </w:r>
      <w:hyperlink r:id="rId3054">
        <w:r>
          <w:rPr>
            <w:color w:val="0000EE"/>
            <w:u w:val="single"/>
          </w:rPr>
          <w:t>Jeremias 16.15</w:t>
        </w:r>
      </w:hyperlink>
      <w:r>
        <w:t xml:space="preserve">; </w:t>
      </w:r>
      <w:hyperlink r:id="rId3055">
        <w:r>
          <w:rPr>
            <w:color w:val="0000EE"/>
            <w:u w:val="single"/>
          </w:rPr>
          <w:t>Ezequiel 4.13</w:t>
        </w:r>
      </w:hyperlink>
      <w:r>
        <w:t>).</w:t>
      </w:r>
    </w:p>
    <w:p>
      <w:r/>
      <w:r>
        <w:t>O banimento foi incluído em uma lista de punições no exílio na Babilônia para aqueles que desobedeceram a Deus ou ao rei persa Artaxerxes (</w:t>
      </w:r>
      <w:hyperlink r:id="rId3056">
        <w:r>
          <w:rPr>
            <w:color w:val="0000EE"/>
            <w:u w:val="single"/>
          </w:rPr>
          <w:t>Esdras 7.26</w:t>
        </w:r>
      </w:hyperlink>
      <w:r>
        <w:t>)</w:t>
      </w:r>
    </w:p>
    <w:p>
      <w:r/>
      <w:r>
        <w:t>A lei mosaica prescrevia que um israelita poderia ser "cortado" da comunidade por várias ofensas:</w:t>
      </w:r>
    </w:p>
    <w:p>
      <w:pPr>
        <w:pStyle w:val="ListBullet"/>
        <w:spacing w:line="240" w:lineRule="auto"/>
        <w:ind w:left="720"/>
      </w:pPr>
      <w:r/>
      <w:r>
        <w:t>falha em circuncidar um menino (</w:t>
      </w:r>
      <w:hyperlink r:id="rId3057">
        <w:r>
          <w:rPr>
            <w:color w:val="0000EE"/>
            <w:u w:val="single"/>
          </w:rPr>
          <w:t>Gênesis 17.12,14</w:t>
        </w:r>
      </w:hyperlink>
      <w:r>
        <w:t>);</w:t>
      </w:r>
    </w:p>
    <w:p>
      <w:pPr>
        <w:pStyle w:val="ListBullet"/>
        <w:spacing w:line="240" w:lineRule="auto"/>
        <w:ind w:left="720"/>
      </w:pPr>
      <w:r/>
      <w:r>
        <w:t>comer pão com fermento durante a Páscoa (</w:t>
      </w:r>
      <w:hyperlink r:id="rId3058">
        <w:r>
          <w:rPr>
            <w:color w:val="0000EE"/>
            <w:u w:val="single"/>
          </w:rPr>
          <w:t>Êxodo12.15</w:t>
        </w:r>
      </w:hyperlink>
      <w:r>
        <w:t>);</w:t>
      </w:r>
    </w:p>
    <w:p>
      <w:pPr>
        <w:pStyle w:val="ListBullet"/>
        <w:spacing w:line="240" w:lineRule="auto"/>
        <w:ind w:left="720"/>
      </w:pPr>
      <w:r/>
      <w:r>
        <w:t>fazer um sacrifício animal profano (</w:t>
      </w:r>
      <w:hyperlink r:id="rId3059">
        <w:r>
          <w:rPr>
            <w:color w:val="0000EE"/>
            <w:u w:val="single"/>
          </w:rPr>
          <w:t>Levítico 17.1–4</w:t>
        </w:r>
      </w:hyperlink>
      <w:r>
        <w:t>);</w:t>
      </w:r>
    </w:p>
    <w:p>
      <w:pPr>
        <w:pStyle w:val="ListBullet"/>
        <w:spacing w:line="240" w:lineRule="auto"/>
        <w:ind w:left="720"/>
      </w:pPr>
      <w:r/>
      <w:r>
        <w:t>comer sangue (</w:t>
      </w:r>
      <w:hyperlink r:id="rId3060">
        <w:r>
          <w:rPr>
            <w:color w:val="0000EE"/>
            <w:u w:val="single"/>
          </w:rPr>
          <w:t>Levítico 17.10</w:t>
        </w:r>
      </w:hyperlink>
      <w:r>
        <w:t>);</w:t>
      </w:r>
    </w:p>
    <w:p>
      <w:pPr>
        <w:pStyle w:val="ListBullet"/>
        <w:spacing w:line="240" w:lineRule="auto"/>
        <w:ind w:left="720"/>
      </w:pPr>
      <w:r/>
      <w:r>
        <w:t>pecar deliberadamente (</w:t>
      </w:r>
      <w:hyperlink r:id="rId3061">
        <w:r>
          <w:rPr>
            <w:color w:val="0000EE"/>
            <w:u w:val="single"/>
          </w:rPr>
          <w:t>Números 15.30–31</w:t>
        </w:r>
      </w:hyperlink>
      <w:r>
        <w:t>);</w:t>
      </w:r>
    </w:p>
    <w:p>
      <w:pPr>
        <w:pStyle w:val="ListBullet"/>
        <w:spacing w:line="240" w:lineRule="auto"/>
        <w:ind w:left="720"/>
      </w:pPr>
      <w:r/>
      <w:r>
        <w:t>não se submeter à purificação cerimonial após contato com um cadáver (</w:t>
      </w:r>
      <w:hyperlink r:id="rId3062">
        <w:r>
          <w:rPr>
            <w:color w:val="0000EE"/>
            <w:u w:val="single"/>
          </w:rPr>
          <w:t>Números 19.11–20</w:t>
        </w:r>
      </w:hyperlink>
      <w:r>
        <w:t>).</w:t>
      </w:r>
    </w:p>
    <w:p>
      <w:r/>
      <w:r>
        <w:t>Ser "cortado" provavelmente significava exclusão tanto da vida social quanto religiosa (</w:t>
      </w:r>
      <w:hyperlink r:id="rId3063">
        <w:r>
          <w:rPr>
            <w:color w:val="0000EE"/>
            <w:u w:val="single"/>
          </w:rPr>
          <w:t>João 9.18</w:t>
        </w:r>
      </w:hyperlink>
      <w:hyperlink r:id="rId3064">
        <w:r>
          <w:rPr>
            <w:color w:val="0000EE"/>
            <w:u w:val="single"/>
          </w:rPr>
          <w:t>–</w:t>
        </w:r>
      </w:hyperlink>
      <w:hyperlink r:id="rId3063">
        <w:r>
          <w:rPr>
            <w:color w:val="0000EE"/>
            <w:u w:val="single"/>
          </w:rPr>
          <w:t>23,34</w:t>
        </w:r>
      </w:hyperlink>
      <w:r>
        <w:t>). Após o exílio, quando a nação de Israel foi banida, a deserdação e a excomunhão permanente do povo de Deus tornaram-se punições formais (</w:t>
      </w:r>
      <w:hyperlink r:id="rId3065">
        <w:r>
          <w:rPr>
            <w:color w:val="0000EE"/>
            <w:u w:val="single"/>
          </w:rPr>
          <w:t>Ed 10.7–8</w:t>
        </w:r>
      </w:hyperlink>
      <w:r>
        <w:t>).</w:t>
      </w:r>
    </w:p>
    <w:p>
      <w:r/>
      <w:r>
        <w:t>Os romanos, como outros conquistadores, usavam a deportação como uma forma de punição. Por exemplo, os judeus foram banidos de Roma sob o Imperador Cláudio devido a controvérsias (</w:t>
      </w:r>
      <w:hyperlink r:id="rId3066">
        <w:r>
          <w:rPr>
            <w:color w:val="0000EE"/>
            <w:u w:val="single"/>
          </w:rPr>
          <w:t>At 18.2</w:t>
        </w:r>
      </w:hyperlink>
      <w:r>
        <w:t>). O autor de Apocalipse foi exilado para a ilha de Patmos durante a perseguição romana (</w:t>
      </w:r>
      <w:hyperlink r:id="rId2023">
        <w:r>
          <w:rPr>
            <w:color w:val="0000EE"/>
            <w:u w:val="single"/>
          </w:rPr>
          <w:t>Ap 1.9</w:t>
        </w:r>
      </w:hyperlink>
      <w:r>
        <w:t>). Formas mais severas de banimento incluíam a exclusão permanente de uma região, perda de cidadania e confisco de propriedade.</w:t>
      </w:r>
    </w:p>
    <w:p>
      <w:r/>
      <w:r>
        <w:rPr>
          <w:i/>
        </w:rPr>
        <w:t>Veja também</w:t>
      </w:r>
      <w:r>
        <w:t xml:space="preserve"> </w:t>
      </w:r>
      <w:r>
        <w:t>Diáspora dos Judeus</w:t>
      </w:r>
      <w:r>
        <w:t>.</w:t>
      </w:r>
      <w:r/>
      <w:r/>
    </w:p>
    <w:p>
      <w:r/>
    </w:p>
    <w:p>
      <w:pPr>
        <w:pStyle w:val="Heading2"/>
      </w:pPr>
      <w:r>
        <w:t>Banqueiro, Bancário</w:t>
      </w:r>
      <w:r/>
    </w:p>
    <w:p>
      <w:r/>
      <w:r>
        <w:t>Um banqueiro é alguém que trabalha com dinheiro. Essa pessoa empresta dinheiro, troca diferentes tipos de moeda e distribui novas cédulas.</w:t>
      </w:r>
    </w:p>
    <w:p>
      <w:r/>
      <w:r>
        <w:t>À medida que o comércio entre diferentes países crescia, as pessoas precisavam de uma maneira fácil de movimentar dinheiro. Isso levou à criação dos bancos. Quando as moedas foram cunhadas pela primeira vez no século VII a.C., os cambistas se tornaram importantes. Eram pessoas que trocavam um tipo de moeda por outro.</w:t>
      </w:r>
    </w:p>
    <w:p>
      <w:r/>
      <w:r>
        <w:t>No passado, reis e rainhas controlavam todo o comércio (</w:t>
      </w:r>
      <w:hyperlink r:id="rId3067">
        <w:r>
          <w:rPr>
            <w:color w:val="0000EE"/>
            <w:u w:val="single"/>
          </w:rPr>
          <w:t>2Sm 5.11</w:t>
        </w:r>
      </w:hyperlink>
      <w:r>
        <w:t xml:space="preserve">; </w:t>
      </w:r>
      <w:hyperlink r:id="rId3068">
        <w:r>
          <w:rPr>
            <w:color w:val="0000EE"/>
            <w:u w:val="single"/>
          </w:rPr>
          <w:t>1Rs 10.14</w:t>
        </w:r>
      </w:hyperlink>
      <w:r>
        <w:t>–</w:t>
      </w:r>
      <w:hyperlink r:id="rId3068">
        <w:r>
          <w:rPr>
            <w:color w:val="0000EE"/>
            <w:u w:val="single"/>
          </w:rPr>
          <w:t>29</w:t>
        </w:r>
      </w:hyperlink>
      <w:r>
        <w:t>). No entanto, com o tempo, isso mudou. Um novo sistema se desenvolveu, semelhante ao sistema bancário que temos hoje.</w:t>
      </w:r>
    </w:p>
    <w:p>
      <w:r/>
      <w:r>
        <w:t>Nos tempos do Novo Testamento, os cambistas faziam parte do sistema bancário. Seu trabalho era trocar dinheiro romano por moedas especiais para o templo. As pessoas precisavam dessas moedas especiais para pagar o imposto do templo. Esse imposto era um tipo de moeda chamado meio siclo. Os cambistas são mencionados em:</w:t>
      </w:r>
    </w:p>
    <w:p>
      <w:pPr>
        <w:pStyle w:val="ListBullet"/>
        <w:spacing w:line="240" w:lineRule="auto"/>
        <w:ind w:left="720"/>
      </w:pPr>
      <w:r/>
      <w:hyperlink r:id="rId3069">
        <w:r>
          <w:rPr>
            <w:color w:val="0000EE"/>
            <w:u w:val="single"/>
          </w:rPr>
          <w:t>Mt 17.24</w:t>
        </w:r>
      </w:hyperlink>
      <w:r>
        <w:t>;</w:t>
      </w:r>
    </w:p>
    <w:p>
      <w:pPr>
        <w:pStyle w:val="ListBullet"/>
        <w:spacing w:line="240" w:lineRule="auto"/>
        <w:ind w:left="720"/>
      </w:pPr>
      <w:r/>
      <w:hyperlink r:id="rId3070">
        <w:r>
          <w:rPr>
            <w:color w:val="0000EE"/>
            <w:u w:val="single"/>
          </w:rPr>
          <w:t>Mt 21.12</w:t>
        </w:r>
      </w:hyperlink>
      <w:r>
        <w:t>;</w:t>
      </w:r>
    </w:p>
    <w:p>
      <w:pPr>
        <w:pStyle w:val="ListBullet"/>
        <w:spacing w:line="240" w:lineRule="auto"/>
        <w:ind w:left="720"/>
      </w:pPr>
      <w:r/>
      <w:hyperlink r:id="rId3071">
        <w:r>
          <w:rPr>
            <w:color w:val="0000EE"/>
            <w:u w:val="single"/>
          </w:rPr>
          <w:t>Mt 25.27</w:t>
        </w:r>
      </w:hyperlink>
      <w:r>
        <w:t>;</w:t>
      </w:r>
    </w:p>
    <w:p>
      <w:pPr>
        <w:pStyle w:val="ListBullet"/>
        <w:spacing w:line="240" w:lineRule="auto"/>
        <w:ind w:left="720"/>
      </w:pPr>
      <w:r/>
      <w:hyperlink r:id="rId3072">
        <w:r>
          <w:rPr>
            <w:color w:val="0000EE"/>
            <w:u w:val="single"/>
          </w:rPr>
          <w:t>Mc 11.15</w:t>
        </w:r>
      </w:hyperlink>
      <w:r>
        <w:t>;</w:t>
      </w:r>
    </w:p>
    <w:p>
      <w:pPr>
        <w:pStyle w:val="ListBullet"/>
        <w:spacing w:line="240" w:lineRule="auto"/>
        <w:ind w:left="720"/>
      </w:pPr>
      <w:r/>
      <w:hyperlink r:id="rId3073">
        <w:r>
          <w:rPr>
            <w:color w:val="0000EE"/>
            <w:u w:val="single"/>
          </w:rPr>
          <w:t>Lc 19.23</w:t>
        </w:r>
      </w:hyperlink>
      <w:r>
        <w:t>;</w:t>
      </w:r>
    </w:p>
    <w:p>
      <w:pPr>
        <w:pStyle w:val="ListBullet"/>
        <w:spacing w:line="240" w:lineRule="auto"/>
        <w:ind w:left="720"/>
      </w:pPr>
      <w:r/>
      <w:hyperlink r:id="rId3074">
        <w:r>
          <w:rPr>
            <w:color w:val="0000EE"/>
            <w:u w:val="single"/>
          </w:rPr>
          <w:t>Jo 2.14</w:t>
        </w:r>
      </w:hyperlink>
      <w:r>
        <w:t>–</w:t>
      </w:r>
      <w:hyperlink r:id="rId3074">
        <w:r>
          <w:rPr>
            <w:color w:val="0000EE"/>
            <w:u w:val="single"/>
          </w:rPr>
          <w:t>15</w:t>
        </w:r>
      </w:hyperlink>
      <w:r>
        <w:t>.</w:t>
      </w:r>
    </w:p>
    <w:p>
      <w:r/>
      <w:r>
        <w:t>Pessoas que emprestavam dinheiro (credores) e aqueles que davam crédito (credores) foram protegidos. Os tomadores de empréstimo tinham que oferecer algo valioso como garantia de pagamento do empréstimo.</w:t>
      </w:r>
    </w:p>
    <w:p>
      <w:r/>
      <w:r>
        <w:t>A lei israelita determinava que as pessoas não deveriam cobrar juros sobre empréstimos (</w:t>
      </w:r>
      <w:hyperlink r:id="rId3075">
        <w:r>
          <w:rPr>
            <w:color w:val="0000EE"/>
            <w:u w:val="single"/>
          </w:rPr>
          <w:t>Êx 22.25</w:t>
        </w:r>
      </w:hyperlink>
      <w:r>
        <w:t xml:space="preserve">; </w:t>
      </w:r>
      <w:hyperlink r:id="rId3076">
        <w:r>
          <w:rPr>
            <w:color w:val="0000EE"/>
            <w:u w:val="single"/>
          </w:rPr>
          <w:t>Dt 15.1–18</w:t>
        </w:r>
      </w:hyperlink>
      <w:r>
        <w:t>). No entanto, algumas pessoas não seguiam essa lei e cobravam taxas de juros muito altas. Profetas e líderes condenaram essa prática (</w:t>
      </w:r>
      <w:hyperlink r:id="rId3077">
        <w:r>
          <w:rPr>
            <w:color w:val="0000EE"/>
            <w:u w:val="single"/>
          </w:rPr>
          <w:t>Ne 5.6</w:t>
        </w:r>
      </w:hyperlink>
      <w:r>
        <w:t>–</w:t>
      </w:r>
      <w:hyperlink r:id="rId3077">
        <w:r>
          <w:rPr>
            <w:color w:val="0000EE"/>
            <w:u w:val="single"/>
          </w:rPr>
          <w:t>13</w:t>
        </w:r>
      </w:hyperlink>
      <w:r>
        <w:t xml:space="preserve">; </w:t>
      </w:r>
      <w:hyperlink r:id="rId3078">
        <w:r>
          <w:rPr>
            <w:color w:val="0000EE"/>
            <w:u w:val="single"/>
          </w:rPr>
          <w:t>Ez 18.8,13,17</w:t>
        </w:r>
      </w:hyperlink>
      <w:r>
        <w:t xml:space="preserve">; </w:t>
      </w:r>
      <w:hyperlink r:id="rId3079">
        <w:r>
          <w:rPr>
            <w:color w:val="0000EE"/>
            <w:u w:val="single"/>
          </w:rPr>
          <w:t>22.12</w:t>
        </w:r>
      </w:hyperlink>
      <w:r>
        <w:t>).</w:t>
      </w:r>
    </w:p>
    <w:p>
      <w:r/>
      <w:r>
        <w:t>O povo de Israel muitas vezes temia os credores (</w:t>
      </w:r>
      <w:hyperlink r:id="rId3080">
        <w:r>
          <w:rPr>
            <w:color w:val="0000EE"/>
            <w:u w:val="single"/>
          </w:rPr>
          <w:t>2Rs 4.1</w:t>
        </w:r>
      </w:hyperlink>
      <w:r>
        <w:t xml:space="preserve">; </w:t>
      </w:r>
      <w:hyperlink r:id="rId3081">
        <w:r>
          <w:rPr>
            <w:color w:val="0000EE"/>
            <w:u w:val="single"/>
          </w:rPr>
          <w:t>Sl 109.11</w:t>
        </w:r>
      </w:hyperlink>
      <w:r>
        <w:t xml:space="preserve">; </w:t>
      </w:r>
      <w:hyperlink r:id="rId3082">
        <w:r>
          <w:rPr>
            <w:color w:val="0000EE"/>
            <w:u w:val="single"/>
          </w:rPr>
          <w:t>Is 24.2</w:t>
        </w:r>
      </w:hyperlink>
      <w:r>
        <w:t xml:space="preserve">; </w:t>
      </w:r>
      <w:hyperlink r:id="rId3083">
        <w:r>
          <w:rPr>
            <w:color w:val="0000EE"/>
            <w:u w:val="single"/>
          </w:rPr>
          <w:t>50.1</w:t>
        </w:r>
      </w:hyperlink>
      <w:r>
        <w:t>). Os credores podiam entrar nas casas das pessoas para retomar o que era devido. Eles podiam até mesmo levar crianças como escravos para pagar a dívida (</w:t>
      </w:r>
      <w:hyperlink r:id="rId3080">
        <w:r>
          <w:rPr>
            <w:color w:val="0000EE"/>
            <w:u w:val="single"/>
          </w:rPr>
          <w:t>2Rs 4.1</w:t>
        </w:r>
      </w:hyperlink>
      <w:r>
        <w:t xml:space="preserve">; </w:t>
      </w:r>
      <w:hyperlink r:id="rId3083">
        <w:r>
          <w:rPr>
            <w:color w:val="0000EE"/>
            <w:u w:val="single"/>
          </w:rPr>
          <w:t>Is 50.1</w:t>
        </w:r>
      </w:hyperlink>
      <w:r>
        <w:t xml:space="preserve">). Em </w:t>
      </w:r>
      <w:hyperlink r:id="rId3084">
        <w:r>
          <w:rPr>
            <w:color w:val="0000EE"/>
            <w:u w:val="single"/>
          </w:rPr>
          <w:t>Lc 7.41</w:t>
        </w:r>
      </w:hyperlink>
      <w:r>
        <w:t>–</w:t>
      </w:r>
      <w:hyperlink r:id="rId3084">
        <w:r>
          <w:rPr>
            <w:color w:val="0000EE"/>
            <w:u w:val="single"/>
          </w:rPr>
          <w:t xml:space="preserve">42, </w:t>
        </w:r>
      </w:hyperlink>
      <w:r>
        <w:t xml:space="preserve">Jesus conta uma história sobre um credor bondoso. Esta história é chamada de parábola. Outras histórias semelhantes estão em </w:t>
      </w:r>
      <w:hyperlink r:id="rId3085">
        <w:r>
          <w:rPr>
            <w:color w:val="0000EE"/>
            <w:u w:val="single"/>
          </w:rPr>
          <w:t>Mt 25.14</w:t>
        </w:r>
      </w:hyperlink>
      <w:r>
        <w:t>–</w:t>
      </w:r>
      <w:hyperlink r:id="rId3085">
        <w:r>
          <w:rPr>
            <w:color w:val="0000EE"/>
            <w:u w:val="single"/>
          </w:rPr>
          <w:t xml:space="preserve">30 </w:t>
        </w:r>
      </w:hyperlink>
      <w:r>
        <w:t xml:space="preserve">e </w:t>
      </w:r>
      <w:hyperlink r:id="rId3086">
        <w:r>
          <w:rPr>
            <w:color w:val="0000EE"/>
            <w:u w:val="single"/>
          </w:rPr>
          <w:t>Lc 19.11</w:t>
        </w:r>
      </w:hyperlink>
      <w:r>
        <w:t>–</w:t>
      </w:r>
      <w:hyperlink r:id="rId3086">
        <w:r>
          <w:rPr>
            <w:color w:val="0000EE"/>
            <w:u w:val="single"/>
          </w:rPr>
          <w:t>27</w:t>
        </w:r>
      </w:hyperlink>
      <w:r>
        <w:t>.</w:t>
      </w:r>
    </w:p>
    <w:p>
      <w:r/>
      <w:r>
        <w:rPr>
          <w:i/>
        </w:rPr>
        <w:t>Veja também</w:t>
      </w:r>
      <w:r>
        <w:t xml:space="preserve"> </w:t>
      </w:r>
      <w:r>
        <w:t>Dinheiro</w:t>
      </w:r>
      <w:r>
        <w:t xml:space="preserve">; </w:t>
      </w:r>
      <w:r>
        <w:t>Casa de Câmbio</w:t>
      </w:r>
      <w:r>
        <w:t>.</w:t>
      </w:r>
      <w:r/>
      <w:r/>
    </w:p>
    <w:p>
      <w:r/>
    </w:p>
    <w:p>
      <w:pPr>
        <w:pStyle w:val="Heading2"/>
      </w:pPr>
      <w:r>
        <w:t>Banquete</w:t>
      </w:r>
      <w:r/>
    </w:p>
    <w:p>
      <w:r/>
      <w:r>
        <w:t>Uma grandiosa refeição cerimonial realizada para celebrar um evento ou pessoa importante. Também simboliza o futuro banquete que Cristo oferecerá no reino de Deus.</w:t>
      </w:r>
    </w:p>
    <w:p>
      <w:r/>
      <w:r>
        <w:t>Nos tempos bíblicos, banquetes e festas eram centrais para a vida social e religiosa. Além das festas religiosas estabelecidas pela lei mosaica, as pessoas celebravam com banquetes em várias ocasiões alegres ou significativas, como:</w:t>
      </w:r>
    </w:p>
    <w:p>
      <w:pPr>
        <w:pStyle w:val="ListBullet"/>
        <w:spacing w:line="240" w:lineRule="auto"/>
        <w:ind w:left="720"/>
      </w:pPr>
      <w:r/>
      <w:r>
        <w:t>fazer acordos formais (</w:t>
      </w:r>
      <w:hyperlink r:id="rId3087">
        <w:r>
          <w:rPr>
            <w:color w:val="0000EE"/>
            <w:u w:val="single"/>
          </w:rPr>
          <w:t>Gn 26.30</w:t>
        </w:r>
      </w:hyperlink>
      <w:r>
        <w:t xml:space="preserve">; </w:t>
      </w:r>
      <w:hyperlink r:id="rId3088">
        <w:r>
          <w:rPr>
            <w:color w:val="0000EE"/>
            <w:u w:val="single"/>
          </w:rPr>
          <w:t>31.54</w:t>
        </w:r>
      </w:hyperlink>
      <w:r>
        <w:t xml:space="preserve">; </w:t>
      </w:r>
      <w:hyperlink r:id="rId3089">
        <w:r>
          <w:rPr>
            <w:color w:val="0000EE"/>
            <w:u w:val="single"/>
          </w:rPr>
          <w:t>Êx 24.11</w:t>
        </w:r>
      </w:hyperlink>
      <w:r>
        <w:t>);</w:t>
      </w:r>
    </w:p>
    <w:p>
      <w:pPr>
        <w:pStyle w:val="ListBullet"/>
        <w:spacing w:line="240" w:lineRule="auto"/>
        <w:ind w:left="720"/>
      </w:pPr>
      <w:r/>
      <w:r>
        <w:t>casamentos (</w:t>
      </w:r>
      <w:hyperlink r:id="rId3090">
        <w:r>
          <w:rPr>
            <w:color w:val="0000EE"/>
            <w:u w:val="single"/>
          </w:rPr>
          <w:t>Gn 29.22</w:t>
        </w:r>
      </w:hyperlink>
      <w:r>
        <w:t xml:space="preserve">; </w:t>
      </w:r>
      <w:hyperlink r:id="rId3091">
        <w:r>
          <w:rPr>
            <w:color w:val="0000EE"/>
            <w:u w:val="single"/>
          </w:rPr>
          <w:t>Jz 14.10</w:t>
        </w:r>
      </w:hyperlink>
      <w:r>
        <w:t>);</w:t>
      </w:r>
    </w:p>
    <w:p>
      <w:pPr>
        <w:pStyle w:val="ListBullet"/>
        <w:spacing w:line="240" w:lineRule="auto"/>
        <w:ind w:left="720"/>
      </w:pPr>
      <w:r/>
      <w:r>
        <w:t>colheita (</w:t>
      </w:r>
      <w:hyperlink r:id="rId565">
        <w:r>
          <w:rPr>
            <w:color w:val="0000EE"/>
            <w:u w:val="single"/>
          </w:rPr>
          <w:t>Jz 9.27</w:t>
        </w:r>
      </w:hyperlink>
      <w:r>
        <w:t xml:space="preserve">; </w:t>
      </w:r>
      <w:hyperlink r:id="rId3092">
        <w:r>
          <w:rPr>
            <w:color w:val="0000EE"/>
            <w:u w:val="single"/>
          </w:rPr>
          <w:t>Rt 3.1–3</w:t>
        </w:r>
      </w:hyperlink>
      <w:r>
        <w:t>);</w:t>
      </w:r>
    </w:p>
    <w:p>
      <w:pPr>
        <w:pStyle w:val="ListBullet"/>
        <w:spacing w:line="240" w:lineRule="auto"/>
        <w:ind w:left="720"/>
      </w:pPr>
      <w:r/>
      <w:r>
        <w:t>tosquia de ovelhas (</w:t>
      </w:r>
      <w:hyperlink r:id="rId3093">
        <w:r>
          <w:rPr>
            <w:color w:val="0000EE"/>
            <w:u w:val="single"/>
          </w:rPr>
          <w:t>1Sm 25.11</w:t>
        </w:r>
      </w:hyperlink>
      <w:r>
        <w:t xml:space="preserve">; </w:t>
      </w:r>
      <w:hyperlink r:id="rId3094">
        <w:r>
          <w:rPr>
            <w:color w:val="0000EE"/>
            <w:u w:val="single"/>
          </w:rPr>
          <w:t>2Sm 13.23–29</w:t>
        </w:r>
      </w:hyperlink>
      <w:r>
        <w:t>);</w:t>
      </w:r>
    </w:p>
    <w:p>
      <w:pPr>
        <w:pStyle w:val="ListBullet"/>
        <w:spacing w:line="240" w:lineRule="auto"/>
        <w:ind w:left="720"/>
      </w:pPr>
      <w:r/>
      <w:r>
        <w:t>recebendo convidados (</w:t>
      </w:r>
      <w:hyperlink r:id="rId3095">
        <w:r>
          <w:rPr>
            <w:color w:val="0000EE"/>
            <w:u w:val="single"/>
          </w:rPr>
          <w:t>Gn 19.3</w:t>
        </w:r>
      </w:hyperlink>
      <w:r>
        <w:t>);</w:t>
      </w:r>
    </w:p>
    <w:p>
      <w:pPr>
        <w:pStyle w:val="ListBullet"/>
        <w:spacing w:line="240" w:lineRule="auto"/>
        <w:ind w:left="720"/>
      </w:pPr>
      <w:r/>
      <w:r>
        <w:t>desmame de uma criança (</w:t>
      </w:r>
      <w:hyperlink r:id="rId1022">
        <w:r>
          <w:rPr>
            <w:color w:val="0000EE"/>
            <w:u w:val="single"/>
          </w:rPr>
          <w:t>Gn 21.8</w:t>
        </w:r>
      </w:hyperlink>
      <w:r>
        <w:t>);</w:t>
      </w:r>
    </w:p>
    <w:p>
      <w:pPr>
        <w:pStyle w:val="ListBullet"/>
        <w:spacing w:line="240" w:lineRule="auto"/>
        <w:ind w:left="720"/>
      </w:pPr>
      <w:r/>
      <w:r>
        <w:t>cerimônias para tornar alguém rei ou rainha (</w:t>
      </w:r>
      <w:hyperlink r:id="rId3096">
        <w:r>
          <w:rPr>
            <w:color w:val="0000EE"/>
            <w:u w:val="single"/>
          </w:rPr>
          <w:t>1Rs 1.9,19</w:t>
        </w:r>
      </w:hyperlink>
      <w:hyperlink r:id="rId3097">
        <w:r>
          <w:rPr>
            <w:color w:val="0000EE"/>
            <w:u w:val="single"/>
          </w:rPr>
          <w:t>–</w:t>
        </w:r>
      </w:hyperlink>
      <w:hyperlink r:id="rId3096">
        <w:r>
          <w:rPr>
            <w:color w:val="0000EE"/>
            <w:u w:val="single"/>
          </w:rPr>
          <w:t>25</w:t>
        </w:r>
      </w:hyperlink>
      <w:r>
        <w:t>);</w:t>
      </w:r>
    </w:p>
    <w:p>
      <w:pPr>
        <w:pStyle w:val="ListBullet"/>
        <w:spacing w:line="240" w:lineRule="auto"/>
        <w:ind w:left="720"/>
      </w:pPr>
      <w:r/>
      <w:r>
        <w:t>eventos de estado (</w:t>
      </w:r>
      <w:hyperlink r:id="rId3098">
        <w:r>
          <w:rPr>
            <w:color w:val="0000EE"/>
            <w:u w:val="single"/>
          </w:rPr>
          <w:t>Et 1.3–9</w:t>
        </w:r>
      </w:hyperlink>
      <w:r>
        <w:t xml:space="preserve">; </w:t>
      </w:r>
      <w:hyperlink r:id="rId3099">
        <w:r>
          <w:rPr>
            <w:color w:val="0000EE"/>
            <w:u w:val="single"/>
          </w:rPr>
          <w:t>2.18</w:t>
        </w:r>
      </w:hyperlink>
      <w:r>
        <w:t xml:space="preserve">; </w:t>
      </w:r>
      <w:hyperlink r:id="rId3100">
        <w:r>
          <w:rPr>
            <w:color w:val="0000EE"/>
            <w:u w:val="single"/>
          </w:rPr>
          <w:t>5.4–8</w:t>
        </w:r>
      </w:hyperlink>
      <w:r>
        <w:t>);</w:t>
      </w:r>
    </w:p>
    <w:p>
      <w:pPr>
        <w:pStyle w:val="ListBullet"/>
        <w:spacing w:line="240" w:lineRule="auto"/>
        <w:ind w:left="720"/>
      </w:pPr>
      <w:r/>
      <w:r>
        <w:t>assim como por muitos outros motivos.</w:t>
      </w:r>
    </w:p>
    <w:p>
      <w:r/>
      <w:r>
        <w:t xml:space="preserve">Os costumes de banquete das antigas culturas do Oriente Médio são retratados na Bíblia e em outros textos antigos. Objetos encontrados por pessoas que estudam culturas antigas mostram frequentemente cenas de banquetes. O processo de organizar um banquete em textos bíblicos, como </w:t>
      </w:r>
      <w:hyperlink r:id="rId3101">
        <w:r>
          <w:rPr>
            <w:color w:val="0000EE"/>
            <w:u w:val="single"/>
          </w:rPr>
          <w:t>Provérbios 9.2–5</w:t>
        </w:r>
      </w:hyperlink>
      <w:r>
        <w:t xml:space="preserve">, </w:t>
      </w:r>
      <w:hyperlink r:id="rId3102">
        <w:r>
          <w:rPr>
            <w:color w:val="0000EE"/>
            <w:u w:val="single"/>
          </w:rPr>
          <w:t>Mateus 22.1–14</w:t>
        </w:r>
      </w:hyperlink>
      <w:r>
        <w:t xml:space="preserve">, e </w:t>
      </w:r>
      <w:hyperlink r:id="rId3103">
        <w:r>
          <w:rPr>
            <w:color w:val="0000EE"/>
            <w:u w:val="single"/>
          </w:rPr>
          <w:t>Lucas 14.15–24,</w:t>
        </w:r>
      </w:hyperlink>
      <w:r>
        <w:t xml:space="preserve"> também é conhecido a partir da lenda do Rei Keret na literatura ugarítica:</w:t>
      </w:r>
    </w:p>
    <w:p>
      <w:pPr>
        <w:pStyle w:val="ListNumber"/>
        <w:spacing w:line="240" w:lineRule="auto"/>
        <w:ind w:left="720"/>
      </w:pPr>
      <w:r/>
      <w:r>
        <w:t>preparação dos alimentos</w:t>
      </w:r>
    </w:p>
    <w:p>
      <w:pPr>
        <w:pStyle w:val="ListNumber"/>
        <w:spacing w:line="240" w:lineRule="auto"/>
        <w:ind w:left="720"/>
      </w:pPr>
      <w:r/>
      <w:r>
        <w:t>enviando mensageiros com o convite e o anúncio de que tudo está pronto</w:t>
      </w:r>
    </w:p>
    <w:p>
      <w:pPr>
        <w:pStyle w:val="ListNumber"/>
        <w:spacing w:line="240" w:lineRule="auto"/>
        <w:ind w:left="720"/>
      </w:pPr>
      <w:r/>
      <w:r>
        <w:t>apresentação de comida e vinho na ordem correta</w:t>
      </w:r>
    </w:p>
    <w:p>
      <w:r/>
      <w:r>
        <w:t>O profeta Amós descreve grandes banquetes e destaca os principais costumes alimentares (</w:t>
      </w:r>
      <w:hyperlink r:id="rId3104">
        <w:r>
          <w:rPr>
            <w:color w:val="0000EE"/>
            <w:u w:val="single"/>
          </w:rPr>
          <w:t>Am 6.4–6</w:t>
        </w:r>
      </w:hyperlink>
      <w:r>
        <w:t>). As refeições eram geralmente apreciadas enquanto se reclinavam em um sofá, diante de uma mesa (</w:t>
      </w:r>
      <w:hyperlink r:id="rId3105">
        <w:r>
          <w:rPr>
            <w:color w:val="0000EE"/>
            <w:u w:val="single"/>
          </w:rPr>
          <w:t>Et 1.6</w:t>
        </w:r>
      </w:hyperlink>
      <w:r>
        <w:t xml:space="preserve">; </w:t>
      </w:r>
      <w:hyperlink r:id="rId3024">
        <w:r>
          <w:rPr>
            <w:color w:val="0000EE"/>
            <w:u w:val="single"/>
          </w:rPr>
          <w:t>Ez 23.41</w:t>
        </w:r>
      </w:hyperlink>
      <w:r>
        <w:t xml:space="preserve">; </w:t>
      </w:r>
      <w:hyperlink r:id="rId1267">
        <w:r>
          <w:rPr>
            <w:color w:val="0000EE"/>
            <w:u w:val="single"/>
          </w:rPr>
          <w:t>Am 6.4</w:t>
        </w:r>
      </w:hyperlink>
      <w:r>
        <w:t xml:space="preserve">; </w:t>
      </w:r>
      <w:hyperlink r:id="rId3106">
        <w:r>
          <w:rPr>
            <w:color w:val="0000EE"/>
            <w:u w:val="single"/>
          </w:rPr>
          <w:t>Mt 9.10</w:t>
        </w:r>
      </w:hyperlink>
      <w:r>
        <w:t xml:space="preserve">; </w:t>
      </w:r>
      <w:hyperlink r:id="rId3107">
        <w:r>
          <w:rPr>
            <w:color w:val="0000EE"/>
            <w:u w:val="single"/>
          </w:rPr>
          <w:t>Lc 7.49</w:t>
        </w:r>
      </w:hyperlink>
      <w:r>
        <w:t xml:space="preserve">; </w:t>
      </w:r>
      <w:hyperlink r:id="rId3108">
        <w:r>
          <w:rPr>
            <w:color w:val="0000EE"/>
            <w:u w:val="single"/>
          </w:rPr>
          <w:t>14.10,15</w:t>
        </w:r>
      </w:hyperlink>
      <w:r>
        <w:t>).</w:t>
      </w:r>
    </w:p>
    <w:p>
      <w:r/>
      <w:r>
        <w:t>A imagem do banquete é significativa tanto no Antigo quanto no Novo Testamento como um símbolo do reino de Deus. Isaías prevê um grande banquete após o julgamento das nações e a libertação de Israel, onde o Senhor reina sobre seu povo (</w:t>
      </w:r>
      <w:hyperlink r:id="rId3109">
        <w:r>
          <w:rPr>
            <w:color w:val="0000EE"/>
            <w:u w:val="single"/>
          </w:rPr>
          <w:t>Is 24.23</w:t>
        </w:r>
      </w:hyperlink>
      <w:r>
        <w:t>). O início desse reinado é celebrado por um enorme banquete com todas as pessoas (</w:t>
      </w:r>
      <w:hyperlink r:id="rId3110">
        <w:r>
          <w:rPr>
            <w:color w:val="0000EE"/>
            <w:u w:val="single"/>
          </w:rPr>
          <w:t>Is 25.6–8</w:t>
        </w:r>
      </w:hyperlink>
      <w:r>
        <w:t xml:space="preserve">; compare </w:t>
      </w:r>
      <w:hyperlink r:id="rId3111">
        <w:r>
          <w:rPr>
            <w:color w:val="0000EE"/>
            <w:u w:val="single"/>
          </w:rPr>
          <w:t>Lc 13.29</w:t>
        </w:r>
      </w:hyperlink>
      <w:r>
        <w:t>). As refeições de sacrifício animal do Antigo Testamento apontam para este grande banquete onde não haverá mais morte ou tristeza para o povo de Deus (</w:t>
      </w:r>
      <w:hyperlink r:id="rId3112">
        <w:r>
          <w:rPr>
            <w:color w:val="0000EE"/>
            <w:u w:val="single"/>
          </w:rPr>
          <w:t>Is 25.7</w:t>
        </w:r>
      </w:hyperlink>
      <w:r>
        <w:t xml:space="preserve">; compare </w:t>
      </w:r>
      <w:hyperlink r:id="rId3113">
        <w:r>
          <w:rPr>
            <w:color w:val="0000EE"/>
            <w:u w:val="single"/>
          </w:rPr>
          <w:t>Ap 21.4</w:t>
        </w:r>
      </w:hyperlink>
      <w:r>
        <w:t>). O banquete da nova aliança aponta para o futuro quando os redimidos compartilharão vinho fino (</w:t>
      </w:r>
      <w:hyperlink r:id="rId3114">
        <w:r>
          <w:rPr>
            <w:color w:val="0000EE"/>
            <w:u w:val="single"/>
          </w:rPr>
          <w:t>Is 25.6</w:t>
        </w:r>
      </w:hyperlink>
      <w:r>
        <w:t>) com Cristo no reino de Deus (</w:t>
      </w:r>
      <w:hyperlink r:id="rId3115">
        <w:r>
          <w:rPr>
            <w:color w:val="0000EE"/>
            <w:u w:val="single"/>
          </w:rPr>
          <w:t>Lc 22.14–20</w:t>
        </w:r>
      </w:hyperlink>
      <w:r>
        <w:t>). Participar da Ceia do Senhor (Comunhão) é uma maneira para os cristãos anteciparem este banquete futuro.</w:t>
      </w:r>
    </w:p>
    <w:p>
      <w:r/>
      <w:r>
        <w:t>Este banquete final no reino de Deus é também descrito como uma festa de casamento. Embora tudo esteja preparado e muitos sejam convidados, apenas alguns são escolhidos (</w:t>
      </w:r>
      <w:hyperlink r:id="rId3102">
        <w:r>
          <w:rPr>
            <w:color w:val="0000EE"/>
            <w:u w:val="single"/>
          </w:rPr>
          <w:t>Mt 22.1–14</w:t>
        </w:r>
      </w:hyperlink>
      <w:r>
        <w:t>). A igreja aguarda ansiosamente a festa de casamento do Cordeiro (</w:t>
      </w:r>
      <w:hyperlink r:id="rId3116">
        <w:r>
          <w:rPr>
            <w:color w:val="0000EE"/>
            <w:u w:val="single"/>
          </w:rPr>
          <w:t>Ap 19.7–9</w:t>
        </w:r>
      </w:hyperlink>
      <w:r>
        <w:t>).</w:t>
      </w:r>
      <w:r/>
      <w:r/>
    </w:p>
    <w:p>
      <w:r/>
    </w:p>
    <w:p>
      <w:pPr>
        <w:pStyle w:val="Heading2"/>
      </w:pPr>
      <w:r>
        <w:t>Baraquel</w:t>
      </w:r>
      <w:r/>
    </w:p>
    <w:p>
      <w:r/>
      <w:r>
        <w:t>Pai de Eliú. Ele é descrito como um buzita (</w:t>
      </w:r>
      <w:hyperlink r:id="rId3117">
        <w:r>
          <w:rPr>
            <w:color w:val="0000EE"/>
            <w:u w:val="single"/>
          </w:rPr>
          <w:t>Jó 32.2,6</w:t>
        </w:r>
      </w:hyperlink>
      <w:r>
        <w:t xml:space="preserve">; compare </w:t>
      </w:r>
      <w:hyperlink r:id="rId2312">
        <w:r>
          <w:rPr>
            <w:color w:val="0000EE"/>
            <w:u w:val="single"/>
          </w:rPr>
          <w:t>Gn 22.21</w:t>
        </w:r>
      </w:hyperlink>
      <w:r>
        <w:t xml:space="preserve">; </w:t>
      </w:r>
      <w:hyperlink r:id="rId3118">
        <w:r>
          <w:rPr>
            <w:color w:val="0000EE"/>
            <w:u w:val="single"/>
          </w:rPr>
          <w:t>Jr 25.23</w:t>
        </w:r>
      </w:hyperlink>
      <w:r>
        <w:t>). Eliú tentou aconselhar Jó após as tentativas fracassadas dos três amigos mais velhos de Jó.</w:t>
      </w:r>
      <w:r/>
      <w:r/>
    </w:p>
    <w:p>
      <w:r/>
    </w:p>
    <w:p>
      <w:pPr>
        <w:pStyle w:val="Heading2"/>
      </w:pPr>
      <w:r>
        <w:t>Barba</w:t>
      </w:r>
      <w:r/>
    </w:p>
    <w:p>
      <w:r/>
      <w:r>
        <w:t>O cabelo que cresce na parte inferior do rosto de um homem é chamado de barba.</w:t>
      </w:r>
    </w:p>
    <w:p>
      <w:r/>
      <w:r>
        <w:t>Uma barba era usada como um sinal de maturidade entre as pessoas do antigo Oriente Próximo, incluindo os israelitas. Em Israel, o cuidado com a barba tinha significado religioso (</w:t>
      </w:r>
      <w:hyperlink r:id="rId3119">
        <w:r>
          <w:rPr>
            <w:color w:val="0000EE"/>
            <w:u w:val="single"/>
          </w:rPr>
          <w:t>Lv 19.27</w:t>
        </w:r>
      </w:hyperlink>
      <w:r>
        <w:t>). As leis em Levítico ordenavam que os sacerdotes não raspassem suas cabeças nem aparassem suas barbas (</w:t>
      </w:r>
      <w:hyperlink r:id="rId3120">
        <w:r>
          <w:rPr>
            <w:color w:val="0000EE"/>
            <w:u w:val="single"/>
          </w:rPr>
          <w:t>Lv 21.5–6</w:t>
        </w:r>
      </w:hyperlink>
      <w:r>
        <w:t>). Davi enviou mensageiros a um rei amonita, que foram humilhados ao terem um lado de suas barbas raspado pelos amonitas. Esse insulto, entre outros, levou à guerra (</w:t>
      </w:r>
      <w:hyperlink r:id="rId3121">
        <w:r>
          <w:rPr>
            <w:color w:val="0000EE"/>
            <w:u w:val="single"/>
          </w:rPr>
          <w:t>2Sm 10.1–8</w:t>
        </w:r>
      </w:hyperlink>
      <w:r>
        <w:t>).</w:t>
      </w:r>
    </w:p>
    <w:p>
      <w:r/>
      <w:r>
        <w:t>Às vezes, era apropriado raspar a barba. Se alguém pudesse ter lepra na cabeça ou no rosto, era necessário raspar ao redor da mancha para verificar (</w:t>
      </w:r>
      <w:hyperlink r:id="rId3122">
        <w:r>
          <w:rPr>
            <w:color w:val="0000EE"/>
            <w:u w:val="single"/>
          </w:rPr>
          <w:t>Lv 13.29–37</w:t>
        </w:r>
      </w:hyperlink>
      <w:r>
        <w:t>). Uma cabeça raspada, lamentação e uso de pano de saco eram maneiras de sinalizar a desgraça futura (</w:t>
      </w:r>
      <w:hyperlink r:id="rId3123">
        <w:r>
          <w:rPr>
            <w:color w:val="0000EE"/>
            <w:u w:val="single"/>
          </w:rPr>
          <w:t>Is 15.1–3</w:t>
        </w:r>
      </w:hyperlink>
      <w:r>
        <w:t>). Esdras representou o desastre espiritual de Israel arrancando cabelo da cabeça e da barba (</w:t>
      </w:r>
      <w:hyperlink r:id="rId3124">
        <w:r>
          <w:rPr>
            <w:color w:val="0000EE"/>
            <w:u w:val="single"/>
          </w:rPr>
          <w:t>Ed 9.3</w:t>
        </w:r>
      </w:hyperlink>
      <w:r>
        <w:t>).</w:t>
      </w:r>
      <w:r/>
      <w:r/>
    </w:p>
    <w:p>
      <w:r/>
    </w:p>
    <w:p>
      <w:pPr>
        <w:pStyle w:val="Heading2"/>
      </w:pPr>
      <w:r>
        <w:t>Bárbaro</w:t>
      </w:r>
      <w:r/>
    </w:p>
    <w:p>
      <w:r/>
      <w:r>
        <w:t>Um estrangeiro, especialmente alguém de uma cultura não considerada avançada ou desenvolvida. A palavra grega "</w:t>
      </w:r>
      <w:r>
        <w:rPr>
          <w:i/>
        </w:rPr>
        <w:t>barbarous</w:t>
      </w:r>
      <w:r>
        <w:t>", que traduzimos como "bárbaro", originalmente veio do som repetido sem sentido "</w:t>
      </w:r>
      <w:r>
        <w:rPr>
          <w:i/>
        </w:rPr>
        <w:t>bar-bar</w:t>
      </w:r>
      <w:r>
        <w:t>". Esse som imita os sons desconhecidos das línguas estrangeiras. Os gregos se viam como o povo mais culto e usavam o termo para descrever qualquer pessoa que não fosse grega. Os romanos, que adotaram a cultura grega e se viam como iguais aos gregos, também usavam "bárbaro" para se referir a pessoas que não compartilhavam suas línguas ou costumes.</w:t>
      </w:r>
    </w:p>
    <w:p>
      <w:r/>
      <w:r>
        <w:t xml:space="preserve">No Novo Testamento, a palavra "bárbaro" revela seus diferentes significados. A relação com a linguagem é evidente em uma declaração sobre o falar em línguas do Espírito Santo. Em </w:t>
      </w:r>
      <w:hyperlink r:id="rId3125">
        <w:r>
          <w:rPr>
            <w:color w:val="0000EE"/>
            <w:u w:val="single"/>
          </w:rPr>
          <w:t>1 Coríntios 14.11,</w:t>
        </w:r>
      </w:hyperlink>
      <w:r>
        <w:t xml:space="preserve"> Paulo menciona que se a linguagem espiritual de um cristão não for entendida, isso faria do orador um "bárbaro" para Paulo e vice-versa. Em </w:t>
      </w:r>
      <w:hyperlink r:id="rId3126">
        <w:r>
          <w:rPr>
            <w:color w:val="0000EE"/>
            <w:u w:val="single"/>
          </w:rPr>
          <w:t>Atos 28.2–4</w:t>
        </w:r>
      </w:hyperlink>
      <w:r>
        <w:t>, Lucas descreve o povo de Malta como "bárbaro", mas isso não foi para ser insultante. Em vez disso, destacou a bondade deles para com Paulo após seu naufrágio.</w:t>
      </w:r>
    </w:p>
    <w:p>
      <w:r/>
      <w:r>
        <w:t>Paulo também usou o termo em um sentido mais amplo greco-romano, afirmando que estava em dívida tanto com gregos quanto com bárbaros (</w:t>
      </w:r>
      <w:hyperlink r:id="rId3127">
        <w:r>
          <w:rPr>
            <w:color w:val="0000EE"/>
            <w:u w:val="single"/>
          </w:rPr>
          <w:t>Rm 1.14</w:t>
        </w:r>
      </w:hyperlink>
      <w:r>
        <w:t>). Paulo enfatizou que o evangelho de Jesus Cristo é para todos, dizendo: “Aqui não há grego nem judeu, circuncidado ou incircuncidado, bárbaro, cita, escravo ou livre, mas Cristo é tudo e está em todos” (</w:t>
      </w:r>
      <w:hyperlink r:id="rId3128">
        <w:r>
          <w:rPr>
            <w:color w:val="0000EE"/>
            <w:u w:val="single"/>
          </w:rPr>
          <w:t>Cl 3.11</w:t>
        </w:r>
      </w:hyperlink>
      <w:r>
        <w:t>).</w:t>
      </w:r>
      <w:r/>
      <w:r/>
    </w:p>
    <w:p>
      <w:r/>
    </w:p>
    <w:p>
      <w:pPr>
        <w:pStyle w:val="Heading2"/>
      </w:pPr>
      <w:r>
        <w:t>Barjesus</w:t>
      </w:r>
      <w:r/>
    </w:p>
    <w:p>
      <w:r/>
      <w:r>
        <w:t>Um feiticeiro judeu e um “falso profeta” (alguém que falsamente afirmava falar por Deus). Ele trabalhava com o governador de Pafos na ilha de Chipre (</w:t>
      </w:r>
      <w:hyperlink r:id="rId3129">
        <w:r>
          <w:rPr>
            <w:color w:val="0000EE"/>
            <w:u w:val="single"/>
          </w:rPr>
          <w:t>At 13.6</w:t>
        </w:r>
      </w:hyperlink>
      <w:r>
        <w:t>). Quando o governador, Sérgio Paulo, se interessou pela mensagem de Paulo e Barnabé, Barjesus tentou afastá-lo dos ensinamentos deles. Paulo confrontou Barjesus, chamando-o de "filho do diabo" e prevendo que ele ficaria temporariamente cego como punição de Deus. Imediatamente, Barjesus foi atingido pela cegueira (</w:t>
      </w:r>
      <w:hyperlink r:id="rId2888">
        <w:r>
          <w:rPr>
            <w:color w:val="0000EE"/>
            <w:u w:val="single"/>
          </w:rPr>
          <w:t>At 13.7–12</w:t>
        </w:r>
      </w:hyperlink>
      <w:r>
        <w:t>). O governador parece ter se convertido ao Cristianismo.</w:t>
      </w:r>
    </w:p>
    <w:p>
      <w:r/>
      <w:r>
        <w:t xml:space="preserve">Naquela época, muitas pessoas que acreditavam facilmente em eventos sobrenaturais eram influenciadas por aqueles que afirmavam ter poderes especiais, como Barjesus (compare </w:t>
      </w:r>
      <w:hyperlink r:id="rId3130">
        <w:r>
          <w:rPr>
            <w:color w:val="0000EE"/>
            <w:u w:val="single"/>
          </w:rPr>
          <w:t>At 8.9–11</w:t>
        </w:r>
      </w:hyperlink>
      <w:r>
        <w:t>). O termo "feiticeiro" usado para ele significava mais do que apenas mágico; frequentemente se referia a um homem sábio cujo conhecimento era considerado superior ao da maioria dos outros na sociedade.</w:t>
      </w:r>
    </w:p>
    <w:p>
      <w:r/>
      <w:r>
        <w:t>Barjesus também era conhecido pelo seu nome grego, Elimas (</w:t>
      </w:r>
      <w:hyperlink r:id="rId3131">
        <w:r>
          <w:rPr>
            <w:color w:val="0000EE"/>
            <w:u w:val="single"/>
          </w:rPr>
          <w:t>At 13.8</w:t>
        </w:r>
      </w:hyperlink>
      <w:r>
        <w:t>). Judeus com conexões à cultura grega frequentemente adotavam nomes gregos. Alguns acreditam que Elimas vem de uma palavra aramaica para "forte" e uma palavra árabe para "sábio", que também pode significar "mágico".</w:t>
      </w:r>
      <w:r/>
      <w:r/>
    </w:p>
    <w:p>
      <w:r/>
    </w:p>
    <w:p>
      <w:pPr>
        <w:pStyle w:val="Heading2"/>
      </w:pPr>
      <w:r>
        <w:t>Barnabé</w:t>
      </w:r>
      <w:r/>
    </w:p>
    <w:p>
      <w:r/>
      <w:r>
        <w:t>Barnabé foi um dos primeiros convertidos ao Cristianismo em Jerusalém. Seu nome original era José. Barnabé recebeu seu novo nome devido à sua pregação e ensino influentes.</w:t>
      </w:r>
    </w:p>
    <w:p>
      <w:pPr>
        <w:pStyle w:val="Heading3"/>
      </w:pPr>
      <w:r>
        <w:t>Informações de fundo e primeiros anos</w:t>
      </w:r>
    </w:p>
    <w:p>
      <w:r/>
      <w:r>
        <w:t>Aprendemos mais sobre Barnabé a partir do livro de Atos e das cartas de Paulo na Bíblia. A "Epístola de Barnabé", escrita em meados do segundo século, não é de sua autoria. Da mesma forma, os "Atos de Barnabé", um texto do quinto século, não fornecem informações confiáveis sobre ele. Tertuliano afirmou erroneamente que Hebreus foi escrito por Barnabé, mas essa afirmação carece de evidências de apoio.</w:t>
      </w:r>
    </w:p>
    <w:p>
      <w:r/>
      <w:r>
        <w:t>Barnabé era um judeu de Chipre. Ele vinha de uma família de sacerdotes, o que provavelmente influenciou seu interesse por Jerusalém. Ele possivelmente se mudou para Jerusalém e pode ter conhecido Jesus, mas sua conversão ao Cristianismo foi provavelmente através do ensino dos apóstolos após a ressurreição de Cristo.</w:t>
      </w:r>
    </w:p>
    <w:p>
      <w:pPr>
        <w:pStyle w:val="Heading3"/>
      </w:pPr>
      <w:r>
        <w:t>Viagens missionárias com Paulo</w:t>
      </w:r>
    </w:p>
    <w:p>
      <w:r/>
      <w:r>
        <w:t>Barnabé aparece pela primeira vez em Atos como José, que vendeu um campo e doou o dinheiro para a comunidade cristã (</w:t>
      </w:r>
      <w:hyperlink r:id="rId3132">
        <w:r>
          <w:rPr>
            <w:color w:val="0000EE"/>
            <w:u w:val="single"/>
          </w:rPr>
          <w:t>At 4.36–37</w:t>
        </w:r>
      </w:hyperlink>
      <w:r>
        <w:t>). Quando a perseguição atingiu Jerusalém e as pessoas foram atacadas por suas crenças, Barnabé permaneceu na cidade, ao contrário de outros que fugiram (</w:t>
      </w:r>
      <w:hyperlink r:id="rId3133">
        <w:r>
          <w:rPr>
            <w:color w:val="0000EE"/>
            <w:u w:val="single"/>
          </w:rPr>
          <w:t>At 8.1–8</w:t>
        </w:r>
      </w:hyperlink>
      <w:r>
        <w:t xml:space="preserve">; </w:t>
      </w:r>
      <w:hyperlink r:id="rId3134">
        <w:r>
          <w:rPr>
            <w:color w:val="0000EE"/>
            <w:u w:val="single"/>
          </w:rPr>
          <w:t>11.19–22</w:t>
        </w:r>
      </w:hyperlink>
      <w:r>
        <w:t>). Sua boa reputação pode ter levado os apóstolos a escolhê-lo como companheiro para o trabalho missionário de Paulo (para espalhar o evangelho).</w:t>
      </w:r>
    </w:p>
    <w:p>
      <w:r/>
      <w:r>
        <w:t>Quando os cristãos fugiram para Antioquia na Síria, a igreja de Jerusalém enviou Barnabé para lá a fim de ajudar a crescente comunidade cristã (</w:t>
      </w:r>
      <w:hyperlink r:id="rId3135">
        <w:r>
          <w:rPr>
            <w:color w:val="0000EE"/>
            <w:u w:val="single"/>
          </w:rPr>
          <w:t>At 11.19–26</w:t>
        </w:r>
      </w:hyperlink>
      <w:r>
        <w:t>). O escritor de Atos disse que Barnabé “era um homem bom, cheio do Espírito Santo e de fé” (</w:t>
      </w:r>
      <w:hyperlink r:id="rId3136">
        <w:r>
          <w:rPr>
            <w:color w:val="0000EE"/>
            <w:u w:val="single"/>
          </w:rPr>
          <w:t>At 11.24</w:t>
        </w:r>
      </w:hyperlink>
      <w:r>
        <w:t>). Barnabé recrutou Paulo para ajudar em Antioquia. Eles trabalharam juntos por um ano, ensinando muitos cristãos (</w:t>
      </w:r>
      <w:hyperlink r:id="rId1995">
        <w:r>
          <w:rPr>
            <w:color w:val="0000EE"/>
            <w:u w:val="single"/>
          </w:rPr>
          <w:t>At 11.26</w:t>
        </w:r>
      </w:hyperlink>
      <w:r>
        <w:t>). Durante uma fome em Jerusalém, Barnabé e Paulo levaram fundos de ajuda de volta para a cidade, e João Marcos se juntou a eles em seu retorno a Antioquia (</w:t>
      </w:r>
      <w:hyperlink r:id="rId2858">
        <w:r>
          <w:rPr>
            <w:color w:val="0000EE"/>
            <w:u w:val="single"/>
          </w:rPr>
          <w:t>At 12.25</w:t>
        </w:r>
      </w:hyperlink>
      <w:r>
        <w:t>).</w:t>
      </w:r>
    </w:p>
    <w:p>
      <w:r/>
      <w:r>
        <w:t>Barnabé e Paulo foram posteriormente enviados para espalhar a mensagem cristã além de Antioquia (</w:t>
      </w:r>
      <w:hyperlink r:id="rId3137">
        <w:r>
          <w:rPr>
            <w:color w:val="0000EE"/>
            <w:u w:val="single"/>
          </w:rPr>
          <w:t>At 13.2–3</w:t>
        </w:r>
      </w:hyperlink>
      <w:r>
        <w:t>). Neste ponto, o nome de Barnabé é listado primeiro, possivelmente indicando seu papel de liderança. Eles viajaram para Chipre e várias localidades importantes na Ásia Menor. Em Listra, as pessoas confundiram Barnabé com o deus Zeus e Paulo com Hermes (</w:t>
      </w:r>
      <w:hyperlink r:id="rId3138">
        <w:r>
          <w:rPr>
            <w:color w:val="0000EE"/>
            <w:u w:val="single"/>
          </w:rPr>
          <w:t>At 14.8–12</w:t>
        </w:r>
      </w:hyperlink>
      <w:r>
        <w:t>). Isso mostra o quão impressionantes eles pareciam para as pessoas lá.</w:t>
      </w:r>
    </w:p>
    <w:p>
      <w:pPr>
        <w:pStyle w:val="Heading3"/>
      </w:pPr>
      <w:r>
        <w:t>Barnabé e Paulo se separaram</w:t>
      </w:r>
    </w:p>
    <w:p>
      <w:r/>
      <w:r>
        <w:t>No concílio de Jerusalém, Barnabé e Paulo relataram sobre sua missão aos gentios (</w:t>
      </w:r>
      <w:hyperlink r:id="rId1997">
        <w:r>
          <w:rPr>
            <w:color w:val="0000EE"/>
            <w:u w:val="single"/>
          </w:rPr>
          <w:t>At 15</w:t>
        </w:r>
      </w:hyperlink>
      <w:r>
        <w:t>). Após esse concílio, enquanto os dois homens planejavam outra missão, surgiu uma séria discordância que levou à separação deles (</w:t>
      </w:r>
      <w:hyperlink r:id="rId3139">
        <w:r>
          <w:rPr>
            <w:color w:val="0000EE"/>
            <w:u w:val="single"/>
          </w:rPr>
          <w:t>At 15.36–41</w:t>
        </w:r>
      </w:hyperlink>
      <w:r>
        <w:t>). Barnabé queria levar seu primo João Marcos (</w:t>
      </w:r>
      <w:hyperlink r:id="rId3140">
        <w:r>
          <w:rPr>
            <w:color w:val="0000EE"/>
            <w:u w:val="single"/>
          </w:rPr>
          <w:t>Cl 4.10</w:t>
        </w:r>
      </w:hyperlink>
      <w:r>
        <w:t>), mas Paulo recusou porque Marcos os havia abandonado na missão anterior (</w:t>
      </w:r>
      <w:hyperlink r:id="rId2200">
        <w:r>
          <w:rPr>
            <w:color w:val="0000EE"/>
            <w:u w:val="single"/>
          </w:rPr>
          <w:t>At 13.13</w:t>
        </w:r>
      </w:hyperlink>
      <w:r>
        <w:t>). Barnabé e João Marcos foram para Chipre, enquanto Paulo viajou com Silas para a Síria e Cilícia. Após essa separação, o foco da narrativa muda de Barnabé para Paulo.</w:t>
      </w:r>
    </w:p>
    <w:p>
      <w:r/>
      <w:r>
        <w:rPr>
          <w:i/>
        </w:rPr>
        <w:t>Veja também</w:t>
      </w:r>
      <w:r>
        <w:t xml:space="preserve"> </w:t>
      </w:r>
      <w:r>
        <w:t>Apócrifos (Barnabé, Epístola de)</w:t>
      </w:r>
      <w:r>
        <w:t>.</w:t>
      </w:r>
      <w:r/>
      <w:r/>
    </w:p>
    <w:p>
      <w:r/>
    </w:p>
    <w:p>
      <w:pPr>
        <w:pStyle w:val="Heading2"/>
      </w:pPr>
      <w:r>
        <w:t>Barrabás</w:t>
      </w:r>
      <w:r/>
    </w:p>
    <w:p>
      <w:r/>
      <w:r>
        <w:t>Um criminoso que foi libertado em vez de Jesus. Todos os quatro escritores dos evangelhos registraram esse evento (</w:t>
      </w:r>
      <w:hyperlink r:id="rId3141">
        <w:r>
          <w:rPr>
            <w:color w:val="0000EE"/>
            <w:u w:val="single"/>
          </w:rPr>
          <w:t>Mt 27.15–26</w:t>
        </w:r>
      </w:hyperlink>
      <w:r>
        <w:t xml:space="preserve">; </w:t>
      </w:r>
      <w:hyperlink r:id="rId3142">
        <w:r>
          <w:rPr>
            <w:color w:val="0000EE"/>
            <w:u w:val="single"/>
          </w:rPr>
          <w:t>Mc 15.6–15</w:t>
        </w:r>
      </w:hyperlink>
      <w:r>
        <w:t xml:space="preserve">; </w:t>
      </w:r>
      <w:hyperlink r:id="rId3143">
        <w:r>
          <w:rPr>
            <w:color w:val="0000EE"/>
            <w:u w:val="single"/>
          </w:rPr>
          <w:t>Lc 23.18–25</w:t>
        </w:r>
      </w:hyperlink>
      <w:r>
        <w:t xml:space="preserve">; </w:t>
      </w:r>
      <w:hyperlink r:id="rId3144">
        <w:r>
          <w:rPr>
            <w:color w:val="0000EE"/>
            <w:u w:val="single"/>
          </w:rPr>
          <w:t>Jo 18.39–40</w:t>
        </w:r>
      </w:hyperlink>
      <w:r>
        <w:t>). O apóstolo Pedro também mencionou isso em seu sermão no templo (</w:t>
      </w:r>
      <w:hyperlink r:id="rId3145">
        <w:r>
          <w:rPr>
            <w:color w:val="0000EE"/>
            <w:u w:val="single"/>
          </w:rPr>
          <w:t>At 3.14</w:t>
        </w:r>
      </w:hyperlink>
      <w:r>
        <w:t>).</w:t>
      </w:r>
    </w:p>
    <w:p>
      <w:r/>
      <w:r>
        <w:t>Barrabás era conhecido como um bandido ou revolucionário (Jo 18.40) e havia sido preso por assassinato durante uma rebelião (</w:t>
      </w:r>
      <w:hyperlink r:id="rId3146">
        <w:r>
          <w:rPr>
            <w:color w:val="0000EE"/>
            <w:u w:val="single"/>
          </w:rPr>
          <w:t>Mc 15.7</w:t>
        </w:r>
      </w:hyperlink>
      <w:r>
        <w:t xml:space="preserve">; </w:t>
      </w:r>
      <w:hyperlink r:id="rId3147">
        <w:r>
          <w:rPr>
            <w:color w:val="0000EE"/>
            <w:u w:val="single"/>
          </w:rPr>
          <w:t>Lc 23.19</w:t>
        </w:r>
      </w:hyperlink>
      <w:r>
        <w:t xml:space="preserve">). A palavra traduzida como “ladrão” em </w:t>
      </w:r>
      <w:hyperlink r:id="rId3148">
        <w:r>
          <w:rPr>
            <w:color w:val="0000EE"/>
            <w:u w:val="single"/>
          </w:rPr>
          <w:t>João18.40</w:t>
        </w:r>
      </w:hyperlink>
      <w:r>
        <w:t xml:space="preserve"> pode se referir tanto a um bandido quanto a um revolucionário. Ele era um prisioneiro bem conhecido (</w:t>
      </w:r>
      <w:hyperlink r:id="rId3149">
        <w:r>
          <w:rPr>
            <w:color w:val="0000EE"/>
            <w:u w:val="single"/>
          </w:rPr>
          <w:t>Mt 27.16</w:t>
        </w:r>
      </w:hyperlink>
      <w:r>
        <w:t>). Seu crime poderia ter sido um roubo violento ou uma revolta política contra as autoridades romanas em Jerusalém. Muitos estudiosos acreditam que Barrabás poderia ter sido membro dos Zelotes, um grupo judeu que buscava derrubar o domínio romano através da violência.</w:t>
      </w:r>
    </w:p>
    <w:p>
      <w:r/>
      <w:r>
        <w:t>Pôncio Pilatos, o governador romano, considerou Jesus inocente e queria libertá-lo. No entanto, Pilatos também precisava manter os líderes judeus satisfeitos para proteger sua própria posição. Para resolver isso, ele ofereceu libertar um prisioneiro para a multidão durante o festival da Páscoa (</w:t>
      </w:r>
      <w:hyperlink r:id="rId3150">
        <w:r>
          <w:rPr>
            <w:color w:val="0000EE"/>
            <w:u w:val="single"/>
          </w:rPr>
          <w:t>Jo 18.39</w:t>
        </w:r>
      </w:hyperlink>
      <w:r>
        <w:t>). Pilatos presumiu que a multidão escolheria libertar Jesus, mas ele subestimou o estado de espírito deles ou a influência dos líderes judeus, ou ambos. Em vez disso, a multidão exigiu que Barrabás fosse libertado e Jesus fosse crucificado (</w:t>
      </w:r>
      <w:hyperlink r:id="rId3151">
        <w:r>
          <w:rPr>
            <w:color w:val="0000EE"/>
            <w:u w:val="single"/>
          </w:rPr>
          <w:t>Mt 27.21–22</w:t>
        </w:r>
      </w:hyperlink>
      <w:r>
        <w:t>). Como resultado, Jesus foi crucificado, e Barrabás, após ser libertado, desapareceu tanto da Bíblia quanto dos registros históricos.</w:t>
      </w:r>
      <w:r/>
      <w:r/>
    </w:p>
    <w:p>
      <w:r/>
    </w:p>
    <w:p>
      <w:pPr>
        <w:pStyle w:val="Heading2"/>
      </w:pPr>
      <w:r>
        <w:t>Barsabás, Barsabbas</w:t>
      </w:r>
      <w:r/>
    </w:p>
    <w:p>
      <w:r/>
      <w:r>
        <w:t>Um sobrenome bíblico. Barsabás significa "filho de Sabá" em aramaico. Barsabbas, "filho do Sábado", é a grafia usada nas traduções modernas. Duas pessoas no Novo Testamento têm este sobrenome: José Barsabás e Judas Barsabás (</w:t>
      </w:r>
      <w:hyperlink r:id="rId3152">
        <w:r>
          <w:rPr>
            <w:color w:val="0000EE"/>
            <w:u w:val="single"/>
          </w:rPr>
          <w:t>At 1.23</w:t>
        </w:r>
      </w:hyperlink>
      <w:r>
        <w:t xml:space="preserve">; </w:t>
      </w:r>
      <w:hyperlink r:id="rId3153">
        <w:r>
          <w:rPr>
            <w:color w:val="0000EE"/>
            <w:u w:val="single"/>
          </w:rPr>
          <w:t>15.22</w:t>
        </w:r>
      </w:hyperlink>
      <w:r>
        <w:t>).</w:t>
      </w:r>
    </w:p>
    <w:p>
      <w:r/>
      <w:r>
        <w:rPr>
          <w:i/>
        </w:rPr>
        <w:t>Veja</w:t>
      </w:r>
      <w:r>
        <w:t xml:space="preserve"> </w:t>
      </w:r>
      <w:r>
        <w:t>José #12</w:t>
      </w:r>
      <w:r>
        <w:t xml:space="preserve">; </w:t>
      </w:r>
      <w:r>
        <w:t>Judas #6</w:t>
      </w:r>
      <w:r>
        <w:t>.</w:t>
      </w:r>
      <w:r/>
      <w:r/>
    </w:p>
    <w:p>
      <w:r/>
    </w:p>
    <w:p>
      <w:pPr>
        <w:pStyle w:val="Heading2"/>
      </w:pPr>
      <w:r>
        <w:t>Bartimeu</w:t>
      </w:r>
      <w:r/>
    </w:p>
    <w:p>
      <w:r/>
      <w:r>
        <w:t>Filho de Timeu; um mendigo cego que chamou a Jesus enquanto ele deixava Jericó em sua jornada final para Jerusalém (</w:t>
      </w:r>
      <w:hyperlink r:id="rId3154">
        <w:r>
          <w:rPr>
            <w:color w:val="0000EE"/>
            <w:u w:val="single"/>
          </w:rPr>
          <w:t>Mc 10.46–52</w:t>
        </w:r>
      </w:hyperlink>
      <w:r>
        <w:t>). Vendo a fé de Bartimeu, Jesus curou sua cegueira.</w:t>
      </w:r>
      <w:r/>
      <w:r/>
    </w:p>
    <w:p>
      <w:r/>
    </w:p>
    <w:p>
      <w:pPr>
        <w:pStyle w:val="Heading2"/>
      </w:pPr>
      <w:r>
        <w:t>Bartolomeu, O Apóstolo</w:t>
      </w:r>
      <w:r/>
    </w:p>
    <w:p>
      <w:r/>
      <w:r>
        <w:t>Discípulo de Jesus incluído em todas as quatro listas dos 12 apóstolos (</w:t>
      </w:r>
      <w:hyperlink r:id="rId1443">
        <w:r>
          <w:rPr>
            <w:color w:val="0000EE"/>
            <w:u w:val="single"/>
          </w:rPr>
          <w:t>Mt 10.2–4</w:t>
        </w:r>
      </w:hyperlink>
      <w:r>
        <w:t xml:space="preserve">; </w:t>
      </w:r>
      <w:hyperlink r:id="rId3155">
        <w:r>
          <w:rPr>
            <w:color w:val="0000EE"/>
            <w:u w:val="single"/>
          </w:rPr>
          <w:t>Mc 3.16–19</w:t>
        </w:r>
      </w:hyperlink>
      <w:r>
        <w:t xml:space="preserve">; </w:t>
      </w:r>
      <w:hyperlink r:id="rId3156">
        <w:r>
          <w:rPr>
            <w:color w:val="0000EE"/>
            <w:u w:val="single"/>
          </w:rPr>
          <w:t>Lc 6.14–16</w:t>
        </w:r>
      </w:hyperlink>
      <w:r>
        <w:t xml:space="preserve">; </w:t>
      </w:r>
      <w:hyperlink r:id="rId750">
        <w:r>
          <w:rPr>
            <w:color w:val="0000EE"/>
            <w:u w:val="single"/>
          </w:rPr>
          <w:t>Atos 1.13</w:t>
        </w:r>
      </w:hyperlink>
      <w:r>
        <w:t>), embora não seja mencionado de outra forma no NT. Nada é falado sobre ele em qualquer uma das listas. Como o nome significa “filho de Tolmai”, foi pensado que ele era conhecido por outro nome, além de seu nome “patronímico”. Nas listas em Mateus, Marcos e Lucas (os Evangelhos sinópticos), Bartolomeu é nomeado imediatamente depois de Filipe, sugerindo a possibilidade de que Natanael foi trazido por Filipe a Jesus (</w:t>
      </w:r>
      <w:hyperlink r:id="rId3157">
        <w:r>
          <w:rPr>
            <w:color w:val="0000EE"/>
            <w:u w:val="single"/>
          </w:rPr>
          <w:t>Jo 1.45–50</w:t>
        </w:r>
      </w:hyperlink>
      <w:r>
        <w:t>) — que parece estar ligado com alguns dos discípulos (</w:t>
      </w:r>
      <w:hyperlink r:id="rId3158">
        <w:r>
          <w:rPr>
            <w:color w:val="0000EE"/>
            <w:u w:val="single"/>
          </w:rPr>
          <w:t>Jo 21.2</w:t>
        </w:r>
      </w:hyperlink>
      <w:r>
        <w:t>) — era Bartolomeu. Assim, parece possível que o apóstolo Bartolomeu seja referido no quarto Evangelho por outro nome; não é certo, no entanto, que as referências de João a Natanael tenham a intenção de identificá-lo como um dos Doze.</w:t>
      </w:r>
    </w:p>
    <w:p>
      <w:r/>
      <w:r>
        <w:t>Eusébio, um historiador da igreja primitiva, registrou uma tradição inicial de que Panteno, o primeiro chefe da escola catequética em Alexandria (180 d.C.), foi para a Índia e encontrou cristãos que conheciam o Evangelho de Mateus em cartas hebraicas. De acordo com Eusébio, Bartolomeu havia pregado e deixado o Evangelho de Mateus com eles. Em outras tradições, Bartolomeu foi parceiro evangelístico de Filipe e Tomé e sofreu martírio na Armênia.</w:t>
      </w:r>
    </w:p>
    <w:p>
      <w:r/>
      <w:r>
        <w:t>Uma série de escritos falsos e apócrifos foram atribuídos a Bartolomeu; mas nenhum deles é genuíno. No quarto século, Jerônimo mencionou um Evangelho de Bartolomeu, que também é notado por alguns outros escritores. Há também referências às chamadas Perguntas de Bartolomeu (existentes em fragmentos gregos, latinos e eslavos) e a um Livro da Ressurreição de Jesus Cristo por Bartolomeu (existente em copta). Outras referências foram feitas a Atos de Bartolomeu e Apocalipse de Bartolomeu, ambos de outra forma desconhecidos.</w:t>
      </w:r>
    </w:p>
    <w:p>
      <w:r/>
      <w:r>
        <w:rPr>
          <w:i/>
        </w:rPr>
        <w:t>Veja também</w:t>
      </w:r>
      <w:r>
        <w:t xml:space="preserve"> </w:t>
      </w:r>
      <w:r>
        <w:t>Apóstolo, Apostolado</w:t>
      </w:r>
      <w:r>
        <w:t xml:space="preserve">; </w:t>
      </w:r>
      <w:r>
        <w:t>Apócrifos (vários títulos atribuídos a Bartolomeu)</w:t>
      </w:r>
      <w:r>
        <w:t>.</w:t>
      </w:r>
      <w:r/>
      <w:r/>
    </w:p>
    <w:p>
      <w:r/>
    </w:p>
    <w:p>
      <w:pPr>
        <w:pStyle w:val="Heading2"/>
      </w:pPr>
      <w:r>
        <w:t>Basã</w:t>
      </w:r>
      <w:r/>
    </w:p>
    <w:p>
      <w:r/>
      <w:r>
        <w:t>Uma região localizada a leste e nordeste do Mar da Galileia. Suas fronteiras exatas são incertas, mas ela se estendia por cerca de 55 a 64 quilômetros desde o sopé do Monte Hermom, no norte, até o Rio Yarmuk, no sul. Ela se estendia por cerca de 97 a 113 quilômetros a leste do Mar da Galileia.</w:t>
      </w:r>
    </w:p>
    <w:p>
      <w:r/>
      <w:r>
        <w:t xml:space="preserve">A região (também chamada de "Haurã", em </w:t>
      </w:r>
      <w:hyperlink r:id="rId3159">
        <w:r>
          <w:rPr>
            <w:color w:val="0000EE"/>
            <w:u w:val="single"/>
          </w:rPr>
          <w:t>Ez 47.16,18</w:t>
        </w:r>
      </w:hyperlink>
      <w:r>
        <w:t>) é principalmente uma planície fértil de 488 a 701 metros acima do nível do mar. Seu solo vulcânico rico é bem irrigado porque as colinas baixas do sul da Galileia a oeste permitem que as chuvas alcancem mais o interior do que em muitos outros lugares ao longo da costa Palestina. Hoje, como nos tempos antigos, é uma região agrícola produtiva. Nos tempos do Novo Testamento, era uma área produtora de grãos do Império Romano. Basã era conhecida por seu gado e ovelhas de alta qualidade (</w:t>
      </w:r>
      <w:hyperlink r:id="rId3160">
        <w:r>
          <w:rPr>
            <w:color w:val="0000EE"/>
            <w:u w:val="single"/>
          </w:rPr>
          <w:t>Dt 32.14</w:t>
        </w:r>
      </w:hyperlink>
      <w:r>
        <w:t xml:space="preserve">; </w:t>
      </w:r>
      <w:hyperlink r:id="rId3161">
        <w:r>
          <w:rPr>
            <w:color w:val="0000EE"/>
            <w:u w:val="single"/>
          </w:rPr>
          <w:t>Ez 39.18</w:t>
        </w:r>
      </w:hyperlink>
      <w:r>
        <w:t xml:space="preserve">; </w:t>
      </w:r>
      <w:hyperlink r:id="rId1264">
        <w:r>
          <w:rPr>
            <w:color w:val="0000EE"/>
            <w:u w:val="single"/>
          </w:rPr>
          <w:t>Am 4.1</w:t>
        </w:r>
      </w:hyperlink>
      <w:r>
        <w:t>).</w:t>
      </w:r>
    </w:p>
    <w:p>
      <w:r/>
      <w:r>
        <w:t>Nos dias do patriarca Abraão, os habitantes de Basã eram pessoas gigantescas chamadas de Refains (</w:t>
      </w:r>
      <w:hyperlink r:id="rId1114">
        <w:r>
          <w:rPr>
            <w:color w:val="0000EE"/>
            <w:u w:val="single"/>
          </w:rPr>
          <w:t>Gn 14.5</w:t>
        </w:r>
      </w:hyperlink>
      <w:r>
        <w:t>). Ogue, o último dos Refains, foi um inimigo dos israelitas quando eles estavam tentando entrar em Canaã após saírem do Egito e vagarem no deserto (</w:t>
      </w:r>
      <w:hyperlink r:id="rId3162">
        <w:r>
          <w:rPr>
            <w:color w:val="0000EE"/>
            <w:u w:val="single"/>
          </w:rPr>
          <w:t>Dt 29.7</w:t>
        </w:r>
      </w:hyperlink>
      <w:r>
        <w:t>). Ogue foi derrotado e morto pelos israelitas (</w:t>
      </w:r>
      <w:hyperlink r:id="rId2489">
        <w:r>
          <w:rPr>
            <w:color w:val="0000EE"/>
            <w:u w:val="single"/>
          </w:rPr>
          <w:t>Nm 21.33–35</w:t>
        </w:r>
      </w:hyperlink>
      <w:r>
        <w:t>).</w:t>
      </w:r>
    </w:p>
    <w:p>
      <w:r/>
      <w:r>
        <w:t>A prosperidade de Basã naquela época é demonstrada pelo fato de que uma de suas províncias, Argobe, possuía 60 grandes cidades muradas (</w:t>
      </w:r>
      <w:hyperlink r:id="rId3163">
        <w:r>
          <w:rPr>
            <w:color w:val="0000EE"/>
            <w:u w:val="single"/>
          </w:rPr>
          <w:t>Dt 3.4–5</w:t>
        </w:r>
      </w:hyperlink>
      <w:r>
        <w:t>). As principais cidades de Basã eram:</w:t>
      </w:r>
    </w:p>
    <w:p>
      <w:pPr>
        <w:pStyle w:val="ListBullet"/>
        <w:spacing w:line="240" w:lineRule="auto"/>
        <w:ind w:left="720"/>
      </w:pPr>
      <w:r/>
      <w:r>
        <w:t>Edrei</w:t>
      </w:r>
    </w:p>
    <w:p>
      <w:pPr>
        <w:pStyle w:val="ListBullet"/>
        <w:spacing w:line="240" w:lineRule="auto"/>
        <w:ind w:left="720"/>
      </w:pPr>
      <w:r/>
      <w:r>
        <w:t>Astarote</w:t>
      </w:r>
    </w:p>
    <w:p>
      <w:pPr>
        <w:pStyle w:val="ListBullet"/>
        <w:spacing w:line="240" w:lineRule="auto"/>
        <w:ind w:left="720"/>
      </w:pPr>
      <w:r/>
      <w:r>
        <w:t>Golã</w:t>
      </w:r>
    </w:p>
    <w:p>
      <w:pPr>
        <w:pStyle w:val="ListBullet"/>
        <w:spacing w:line="240" w:lineRule="auto"/>
        <w:ind w:left="720"/>
      </w:pPr>
      <w:r/>
      <w:r>
        <w:t>Salca</w:t>
      </w:r>
    </w:p>
    <w:p>
      <w:r/>
      <w:r>
        <w:t>Depois que os israelitas conquistaram a terra a leste do rio Jordão, Basã foi dada à meia-tribo de Manassés (</w:t>
      </w:r>
      <w:hyperlink r:id="rId3164">
        <w:r>
          <w:rPr>
            <w:color w:val="0000EE"/>
            <w:u w:val="single"/>
          </w:rPr>
          <w:t>Js 13.29–30</w:t>
        </w:r>
      </w:hyperlink>
      <w:r>
        <w:t>). Golã e Astarote, duas cidades em Basã, foram reservadas para os levitas (</w:t>
      </w:r>
      <w:hyperlink r:id="rId2798">
        <w:r>
          <w:rPr>
            <w:color w:val="0000EE"/>
            <w:u w:val="single"/>
          </w:rPr>
          <w:t>1Cr 6.71</w:t>
        </w:r>
      </w:hyperlink>
      <w:r>
        <w:t>). Ben-Geber de Ramote-Gileade administrava Argobe, uma região em Basã, para o rei Salomão (</w:t>
      </w:r>
      <w:hyperlink r:id="rId2493">
        <w:r>
          <w:rPr>
            <w:color w:val="0000EE"/>
            <w:u w:val="single"/>
          </w:rPr>
          <w:t>1Reis 4.13</w:t>
        </w:r>
      </w:hyperlink>
      <w:r>
        <w:t>).</w:t>
      </w:r>
    </w:p>
    <w:p>
      <w:r/>
      <w:r>
        <w:t>Nos dias de Jeú (841–814 a.C.), o rei Hazael da Síria conquistou a área (</w:t>
      </w:r>
      <w:hyperlink r:id="rId2535">
        <w:r>
          <w:rPr>
            <w:color w:val="0000EE"/>
            <w:u w:val="single"/>
          </w:rPr>
          <w:t>2Rs 10.33</w:t>
        </w:r>
      </w:hyperlink>
      <w:r>
        <w:t>). Tiglate-Pileser III mais tarde incorporou Basã ao Império Assírio no oitavo século a.C. (</w:t>
      </w:r>
      <w:hyperlink r:id="rId3165">
        <w:r>
          <w:rPr>
            <w:color w:val="0000EE"/>
            <w:u w:val="single"/>
          </w:rPr>
          <w:t>2 Rs 15.29</w:t>
        </w:r>
      </w:hyperlink>
      <w:r>
        <w:t>). Os nabateus a controlaram no segundo século a.C., e Herodes, o Grande (37–4 a.C.) governou sobre ela na época do nascimento de Jesus.</w:t>
      </w:r>
      <w:r/>
      <w:r/>
    </w:p>
    <w:p>
      <w:r/>
    </w:p>
    <w:p>
      <w:pPr>
        <w:pStyle w:val="Heading2"/>
      </w:pPr>
      <w:r>
        <w:t>Basã-Havote-Jair</w:t>
      </w:r>
      <w:r/>
    </w:p>
    <w:p>
      <w:r/>
      <w:r>
        <w:t xml:space="preserve">A ARC em </w:t>
      </w:r>
      <w:hyperlink r:id="rId2491">
        <w:r>
          <w:rPr>
            <w:color w:val="0000EE"/>
            <w:u w:val="single"/>
          </w:rPr>
          <w:t>Deuteronômio 3.14</w:t>
        </w:r>
      </w:hyperlink>
      <w:r>
        <w:t xml:space="preserve"> para Havote-Jair. Estas eram 60 aldeias na região de Basã.</w:t>
      </w:r>
    </w:p>
    <w:p>
      <w:r/>
      <w:r>
        <w:rPr>
          <w:i/>
        </w:rPr>
        <w:t>Veja</w:t>
      </w:r>
      <w:r>
        <w:t xml:space="preserve"> </w:t>
      </w:r>
      <w:r>
        <w:t>Havote-Jair</w:t>
      </w:r>
      <w:r>
        <w:t>.</w:t>
      </w:r>
      <w:r/>
      <w:r/>
    </w:p>
    <w:p>
      <w:r/>
    </w:p>
    <w:p>
      <w:pPr>
        <w:pStyle w:val="Heading2"/>
      </w:pPr>
      <w:r>
        <w:t>Basemate</w:t>
      </w:r>
      <w:r/>
    </w:p>
    <w:p>
      <w:r/>
      <w:r>
        <w:t>1. Filha de Elom, o hitita. Basemate era uma mulher cananeia com quem Esaú se casou contra a vontade de seus pais (</w:t>
      </w:r>
      <w:hyperlink r:id="rId3166">
        <w:r>
          <w:rPr>
            <w:color w:val="0000EE"/>
            <w:u w:val="single"/>
          </w:rPr>
          <w:t>Gn 26.34</w:t>
        </w:r>
      </w:hyperlink>
      <w:r>
        <w:t>). Basemate pode ser a mesma que Ada, filha de Elom, ou talvez fosse sua irmã (</w:t>
      </w:r>
      <w:hyperlink r:id="rId3167">
        <w:r>
          <w:rPr>
            <w:color w:val="0000EE"/>
            <w:u w:val="single"/>
          </w:rPr>
          <w:t>36.2</w:t>
        </w:r>
      </w:hyperlink>
      <w:r>
        <w:t>).</w:t>
      </w:r>
    </w:p>
    <w:p>
      <w:r/>
      <w:r>
        <w:t>2. A filha de Ismael, que se casou com Esaú (</w:t>
      </w:r>
      <w:hyperlink r:id="rId3168">
        <w:r>
          <w:rPr>
            <w:color w:val="0000EE"/>
            <w:u w:val="single"/>
          </w:rPr>
          <w:t>Gn 36.3</w:t>
        </w:r>
      </w:hyperlink>
      <w:r>
        <w:t xml:space="preserve">) e lhe deu Reuel (vv. </w:t>
      </w:r>
      <w:hyperlink r:id="rId3169">
        <w:r>
          <w:rPr>
            <w:color w:val="0000EE"/>
            <w:u w:val="single"/>
          </w:rPr>
          <w:t>4,10</w:t>
        </w:r>
      </w:hyperlink>
      <w:r>
        <w:t>). Esta Basemate é provavelmente a mesma que a filha de Ismael, Maalate (</w:t>
      </w:r>
      <w:hyperlink r:id="rId3170">
        <w:r>
          <w:rPr>
            <w:color w:val="0000EE"/>
            <w:u w:val="single"/>
          </w:rPr>
          <w:t>28.9</w:t>
        </w:r>
      </w:hyperlink>
      <w:r>
        <w:t>). Como Ismael era filho do patriarca Abraão, este casamento teria sido mais aceitável para Isaque e Rebeca (</w:t>
      </w:r>
      <w:hyperlink r:id="rId3171">
        <w:r>
          <w:rPr>
            <w:color w:val="0000EE"/>
            <w:u w:val="single"/>
          </w:rPr>
          <w:t>36.6–8</w:t>
        </w:r>
      </w:hyperlink>
      <w:r>
        <w:t>).</w:t>
      </w:r>
    </w:p>
    <w:p>
      <w:r/>
      <w:r>
        <w:rPr>
          <w:i/>
        </w:rPr>
        <w:t>Veja também</w:t>
      </w:r>
      <w:r>
        <w:t xml:space="preserve"> </w:t>
      </w:r>
      <w:r>
        <w:t>Maalate (Pessoa) #1</w:t>
      </w:r>
      <w:r>
        <w:t>.</w:t>
      </w:r>
    </w:p>
    <w:p>
      <w:r/>
      <w:r>
        <w:t>As identificações de #1 e #2 acima estão um pouco confusas. A maioria dos estudiosos suspeita que Esaú se casou com Ada, filha de Elom (</w:t>
      </w:r>
      <w:hyperlink r:id="rId3172">
        <w:r>
          <w:rPr>
            <w:color w:val="0000EE"/>
            <w:u w:val="single"/>
          </w:rPr>
          <w:t>Gn 36.2–4</w:t>
        </w:r>
      </w:hyperlink>
      <w:r>
        <w:t>), que também era chamada de Basemate (</w:t>
      </w:r>
      <w:hyperlink r:id="rId3166">
        <w:r>
          <w:rPr>
            <w:color w:val="0000EE"/>
            <w:u w:val="single"/>
          </w:rPr>
          <w:t>26.34</w:t>
        </w:r>
      </w:hyperlink>
      <w:r>
        <w:t>). Mais tarde, Esaú casou-se com Maalate, filha de Ismael (</w:t>
      </w:r>
      <w:hyperlink r:id="rId3170">
        <w:r>
          <w:rPr>
            <w:color w:val="0000EE"/>
            <w:u w:val="single"/>
          </w:rPr>
          <w:t>28.9</w:t>
        </w:r>
      </w:hyperlink>
      <w:r>
        <w:t>), que também era chamada de Basemate (</w:t>
      </w:r>
      <w:hyperlink r:id="rId3173">
        <w:r>
          <w:rPr>
            <w:color w:val="0000EE"/>
            <w:u w:val="single"/>
          </w:rPr>
          <w:t>36.3–4</w:t>
        </w:r>
      </w:hyperlink>
      <w:r>
        <w:t>). O fato de duas das esposas de Esaú se chamarem Basemate pode ser porque Esaú escolheu dar a ambas o mesmo nome carinhoso, que significa "perfumada".</w:t>
      </w:r>
    </w:p>
    <w:p>
      <w:r/>
      <w:r>
        <w:t>3. A filha do rei Salomão que se casou com Aimaás, o administrador do rei em Naftali (</w:t>
      </w:r>
      <w:hyperlink r:id="rId3174">
        <w:r>
          <w:rPr>
            <w:color w:val="0000EE"/>
            <w:u w:val="single"/>
          </w:rPr>
          <w:t>1Rs 4.15</w:t>
        </w:r>
      </w:hyperlink>
      <w:r>
        <w:t>).</w:t>
      </w:r>
      <w:r/>
      <w:r/>
    </w:p>
    <w:p>
      <w:r/>
    </w:p>
    <w:p>
      <w:pPr>
        <w:pStyle w:val="Heading2"/>
      </w:pPr>
      <w:r>
        <w:t>Basilisco</w:t>
      </w:r>
      <w:r/>
    </w:p>
    <w:p>
      <w:r/>
      <w:r>
        <w:t>Uma palavra usada em duas passagens de algumas traduções (</w:t>
      </w:r>
      <w:hyperlink r:id="rId3175">
        <w:r>
          <w:rPr>
            <w:color w:val="0000EE"/>
            <w:u w:val="single"/>
          </w:rPr>
          <w:t>Pv 23.32</w:t>
        </w:r>
      </w:hyperlink>
      <w:r>
        <w:t xml:space="preserve">; </w:t>
      </w:r>
      <w:hyperlink r:id="rId1470">
        <w:r>
          <w:rPr>
            <w:color w:val="0000EE"/>
            <w:u w:val="single"/>
          </w:rPr>
          <w:t>Is 14.29</w:t>
        </w:r>
      </w:hyperlink>
      <w:r>
        <w:t>). "Basilisco" refere-se a um tipo de lagarto. É uma tradução incorreta. Foi corrigida para "áspide" ou "víbora" em traduções mais recentes.</w:t>
      </w:r>
      <w:r/>
      <w:r/>
    </w:p>
    <w:p>
      <w:r/>
    </w:p>
    <w:p>
      <w:pPr>
        <w:pStyle w:val="Heading2"/>
      </w:pPr>
      <w:r>
        <w:t>Bate-Seba</w:t>
      </w:r>
      <w:r/>
    </w:p>
    <w:p>
      <w:r/>
      <w:r>
        <w:t>Esposa de Urias. O rei Davi cometeu adultério com Bate-Seba e mais tarde casou-se com ela. Bate-Seba, também grafada como Bathshua, era filha de Amiel ou Eliã (</w:t>
      </w:r>
      <w:hyperlink r:id="rId1085">
        <w:r>
          <w:rPr>
            <w:color w:val="0000EE"/>
            <w:u w:val="single"/>
          </w:rPr>
          <w:t>2Sm 11.3</w:t>
        </w:r>
      </w:hyperlink>
      <w:r>
        <w:t>). Ela era possivelmente neta de Aitofel, o conselheiro do rei (</w:t>
      </w:r>
      <w:hyperlink r:id="rId3176">
        <w:r>
          <w:rPr>
            <w:color w:val="0000EE"/>
            <w:u w:val="single"/>
          </w:rPr>
          <w:t>2Sm 15.12</w:t>
        </w:r>
      </w:hyperlink>
      <w:r>
        <w:t xml:space="preserve">; </w:t>
      </w:r>
      <w:hyperlink r:id="rId3177">
        <w:r>
          <w:rPr>
            <w:color w:val="0000EE"/>
            <w:u w:val="single"/>
          </w:rPr>
          <w:t>23.34</w:t>
        </w:r>
      </w:hyperlink>
      <w:r>
        <w:t>). Seu marido hitita era um dos principais heróis militares de Davi (</w:t>
      </w:r>
      <w:hyperlink r:id="rId3178">
        <w:r>
          <w:rPr>
            <w:color w:val="0000EE"/>
            <w:u w:val="single"/>
          </w:rPr>
          <w:t>2Sm 23.39</w:t>
        </w:r>
      </w:hyperlink>
      <w:r>
        <w:t>).</w:t>
      </w:r>
    </w:p>
    <w:p>
      <w:r/>
      <w:r>
        <w:t>Enquanto Urias lutava sob o comando de Joabe, o Rei Davi viu Bate-Seba tomando seu banho da tarde. Após saber seu nome e que seu marido estava fora, Davi mandou chamá-la e dormiu com ela (</w:t>
      </w:r>
      <w:hyperlink r:id="rId3179">
        <w:r>
          <w:rPr>
            <w:color w:val="0000EE"/>
            <w:u w:val="single"/>
          </w:rPr>
          <w:t>2Sm 11.1–4</w:t>
        </w:r>
      </w:hyperlink>
      <w:r>
        <w:t>). Quando Bate-Seba contou a Davi que estava grávida, Davi chamou Urias de volta a Jerusalém. Davi esperava que Urias dormisse com sua esposa e fizesse a gravidez parecer legítima. Mas Urias, sentindo-se ainda em serviço, dormiu com a guarda do palácio e não foi para casa (</w:t>
      </w:r>
      <w:hyperlink r:id="rId3180">
        <w:r>
          <w:rPr>
            <w:color w:val="0000EE"/>
            <w:u w:val="single"/>
          </w:rPr>
          <w:t>2Sm 11.5–13</w:t>
        </w:r>
      </w:hyperlink>
      <w:r>
        <w:t>). Frustrado, Davi enviou Urias de volta para a linha de frente e ordenou a Joabe que colocasse Urias na batalha mais feroz, onde ele foi morto (</w:t>
      </w:r>
      <w:hyperlink r:id="rId3181">
        <w:r>
          <w:rPr>
            <w:color w:val="0000EE"/>
            <w:u w:val="single"/>
          </w:rPr>
          <w:t>2Sm 11.14–25</w:t>
        </w:r>
      </w:hyperlink>
      <w:r>
        <w:t>).</w:t>
      </w:r>
    </w:p>
    <w:p>
      <w:r/>
      <w:r>
        <w:t>Após o período de luto de Bate-Seba, Davi a trouxe para o palácio como sua sétima esposa, e ela lhe deu um filho. O Senhor enviou o profeta Natã para pronunciar julgamento sobre o pecado de Davi através de uma parábola. Natã profetizou uma série de tragédias na casa de Davi, começando com a morte do bebê de Bate-Seba (</w:t>
      </w:r>
      <w:hyperlink r:id="rId3182">
        <w:r>
          <w:rPr>
            <w:color w:val="0000EE"/>
            <w:u w:val="single"/>
          </w:rPr>
          <w:t>2Sm 11.26–12.14</w:t>
        </w:r>
      </w:hyperlink>
      <w:r>
        <w:t xml:space="preserve">). Davi confessou seu pecado e se arrependeu, mas o bebê adoeceu e morreu. O </w:t>
      </w:r>
      <w:hyperlink r:id="rId2603">
        <w:r>
          <w:rPr>
            <w:color w:val="0000EE"/>
            <w:u w:val="single"/>
          </w:rPr>
          <w:t>Salmo 51</w:t>
        </w:r>
      </w:hyperlink>
      <w:r>
        <w:t xml:space="preserve"> é o salmo de arrependimento de Davi após Natã confrontá-lo sobre seu adultério com Bate-Seba e o assassinato de Urias. Davi confortou Bate-Seba, e eles eventualmente tiveram mais filhos (</w:t>
      </w:r>
      <w:hyperlink r:id="rId3183">
        <w:r>
          <w:rPr>
            <w:color w:val="0000EE"/>
            <w:u w:val="single"/>
          </w:rPr>
          <w:t>2Sm 12.15–25</w:t>
        </w:r>
      </w:hyperlink>
      <w:r>
        <w:t>).</w:t>
      </w:r>
    </w:p>
    <w:p>
      <w:r/>
      <w:r>
        <w:t>Davi teve 19 filhos com suas sete esposas (</w:t>
      </w:r>
      <w:hyperlink r:id="rId3184">
        <w:r>
          <w:rPr>
            <w:color w:val="0000EE"/>
            <w:u w:val="single"/>
          </w:rPr>
          <w:t>1Cr 3.1–9</w:t>
        </w:r>
      </w:hyperlink>
      <w:r>
        <w:t>). Bate-Seba teve quatro filhos:</w:t>
      </w:r>
    </w:p>
    <w:p>
      <w:pPr>
        <w:pStyle w:val="ListBullet"/>
        <w:spacing w:line="240" w:lineRule="auto"/>
        <w:ind w:left="720"/>
      </w:pPr>
      <w:r/>
      <w:r>
        <w:t xml:space="preserve">Simeia (também escrito Samua, </w:t>
      </w:r>
      <w:hyperlink r:id="rId3185">
        <w:r>
          <w:rPr>
            <w:color w:val="0000EE"/>
            <w:u w:val="single"/>
          </w:rPr>
          <w:t>2Sm 5.14</w:t>
        </w:r>
      </w:hyperlink>
      <w:r>
        <w:t xml:space="preserve">; </w:t>
      </w:r>
      <w:hyperlink r:id="rId3186">
        <w:r>
          <w:rPr>
            <w:color w:val="0000EE"/>
            <w:u w:val="single"/>
          </w:rPr>
          <w:t>1Cr 14.4</w:t>
        </w:r>
      </w:hyperlink>
      <w:r>
        <w:t>)</w:t>
      </w:r>
    </w:p>
    <w:p>
      <w:pPr>
        <w:pStyle w:val="ListBullet"/>
        <w:spacing w:line="240" w:lineRule="auto"/>
        <w:ind w:left="720"/>
      </w:pPr>
      <w:r/>
      <w:r>
        <w:t>Sobabe</w:t>
      </w:r>
    </w:p>
    <w:p>
      <w:pPr>
        <w:pStyle w:val="ListBullet"/>
        <w:spacing w:line="240" w:lineRule="auto"/>
        <w:ind w:left="720"/>
      </w:pPr>
      <w:r/>
      <w:r>
        <w:t>Natã</w:t>
      </w:r>
    </w:p>
    <w:p>
      <w:pPr>
        <w:pStyle w:val="ListBullet"/>
        <w:spacing w:line="240" w:lineRule="auto"/>
        <w:ind w:left="720"/>
      </w:pPr>
      <w:r/>
      <w:r>
        <w:t>Salomão</w:t>
      </w:r>
    </w:p>
    <w:p>
      <w:r/>
      <w:r>
        <w:t>Natã e Salomão estão nas listas do Novo Testamento dos ancestrais de Jesus (</w:t>
      </w:r>
      <w:hyperlink r:id="rId818">
        <w:r>
          <w:rPr>
            <w:color w:val="0000EE"/>
            <w:u w:val="single"/>
          </w:rPr>
          <w:t>Lc 3.31</w:t>
        </w:r>
      </w:hyperlink>
      <w:r>
        <w:t xml:space="preserve">; </w:t>
      </w:r>
      <w:hyperlink r:id="rId3187">
        <w:r>
          <w:rPr>
            <w:color w:val="0000EE"/>
            <w:u w:val="single"/>
          </w:rPr>
          <w:t>Mt 1.6</w:t>
        </w:r>
      </w:hyperlink>
      <w:r>
        <w:t>). Bate-Seba também aparece na lista de Mateus dos ancestrais de Jesus como “aquela que tinha sido a esposa de Urias”. Perto do fim da vida de Davi, o profeta Natã informou a Bate-Seba que o filho de Davi, Adonias (com sua esposa Hagite), estava planejando tomar o trono. Bate-Seba e Natã persuadiram Davi a fazer de Salomão rei, conforme ele havia prometido (</w:t>
      </w:r>
      <w:hyperlink r:id="rId3188">
        <w:r>
          <w:rPr>
            <w:color w:val="0000EE"/>
            <w:u w:val="single"/>
          </w:rPr>
          <w:t>1Rs 1</w:t>
        </w:r>
      </w:hyperlink>
      <w:r>
        <w:t>).</w:t>
      </w:r>
    </w:p>
    <w:p>
      <w:r/>
      <w:r>
        <w:rPr>
          <w:i/>
        </w:rPr>
        <w:t>Veja também</w:t>
      </w:r>
      <w:r>
        <w:t xml:space="preserve"> </w:t>
      </w:r>
      <w:r>
        <w:t>Davi</w:t>
      </w:r>
      <w:r>
        <w:t>.</w:t>
      </w:r>
      <w:r/>
      <w:r/>
    </w:p>
    <w:p>
      <w:r/>
    </w:p>
    <w:p>
      <w:pPr>
        <w:pStyle w:val="Heading2"/>
      </w:pPr>
      <w:r>
        <w:t>Bate-Sua, Suá</w:t>
      </w:r>
      <w:r/>
    </w:p>
    <w:p>
      <w:pPr>
        <w:pStyle w:val="ListNumber"/>
        <w:spacing w:line="240" w:lineRule="auto"/>
        <w:ind w:left="720"/>
      </w:pPr>
      <w:r/>
      <w:r>
        <w:t>A esposa cananeia de Judá lhe deu três filhos: Er, Onã e Selá (</w:t>
      </w:r>
      <w:hyperlink r:id="rId3189">
        <w:r>
          <w:rPr>
            <w:color w:val="0000EE"/>
            <w:u w:val="single"/>
          </w:rPr>
          <w:t>Gn 38.2–5</w:t>
        </w:r>
      </w:hyperlink>
      <w:r>
        <w:t xml:space="preserve">; </w:t>
      </w:r>
      <w:hyperlink r:id="rId3190">
        <w:r>
          <w:rPr>
            <w:color w:val="0000EE"/>
            <w:u w:val="single"/>
          </w:rPr>
          <w:t>1Cr 2.3</w:t>
        </w:r>
      </w:hyperlink>
      <w:r>
        <w:t>).</w:t>
      </w:r>
    </w:p>
    <w:p>
      <w:pPr>
        <w:pStyle w:val="ListNumber"/>
        <w:spacing w:line="240" w:lineRule="auto"/>
        <w:ind w:left="720"/>
      </w:pPr>
      <w:r/>
      <w:r>
        <w:t xml:space="preserve">Uma grafia alternativa de Bate-Seba em </w:t>
      </w:r>
      <w:hyperlink r:id="rId1084">
        <w:r>
          <w:rPr>
            <w:color w:val="0000EE"/>
            <w:u w:val="single"/>
          </w:rPr>
          <w:t>1Cr 3.5</w:t>
        </w:r>
      </w:hyperlink>
      <w:r>
        <w:t>.</w:t>
      </w:r>
    </w:p>
    <w:p>
      <w:pPr>
        <w:pStyle w:val="ListNumber"/>
        <w:spacing w:line="240" w:lineRule="auto"/>
        <w:ind w:left="720"/>
      </w:pPr>
      <w:r/>
      <w:r>
        <w:rPr>
          <w:i/>
        </w:rPr>
        <w:t xml:space="preserve">Veja </w:t>
      </w:r>
      <w:r>
        <w:t>Bate-Seba</w:t>
      </w:r>
      <w:r>
        <w:t>.</w:t>
      </w:r>
      <w:r/>
      <w:r/>
    </w:p>
    <w:p>
      <w:r/>
    </w:p>
    <w:p>
      <w:pPr>
        <w:pStyle w:val="Heading2"/>
      </w:pPr>
      <w:r>
        <w:t>Batismo</w:t>
      </w:r>
      <w:r/>
    </w:p>
    <w:p>
      <w:r/>
      <w:r>
        <w:t>Termo geralmente significa “mergulhar” ou “imergir”, mas representando um grupo de palavras empregadas para significar um rito religioso para purificação ritual. No NT, tornou-se o rito de iniciação na comunidade cristã, e era interpretado teologicamente como um morrer e ressuscitar com Cristo.</w:t>
      </w:r>
    </w:p>
    <w:p>
      <w:r/>
      <w:r>
        <w:t>Resumo</w:t>
      </w:r>
    </w:p>
    <w:p>
      <w:r/>
      <w:r>
        <w:t>• O batismo de João</w:t>
      </w:r>
    </w:p>
    <w:p>
      <w:r/>
      <w:r>
        <w:t>• O batismo de Jesus</w:t>
      </w:r>
    </w:p>
    <w:p>
      <w:r/>
      <w:r>
        <w:t>• Ordem para batizar na ressurreição de Jesus</w:t>
      </w:r>
    </w:p>
    <w:p>
      <w:r/>
      <w:r>
        <w:t>• Batismo na Igreja Primitiva</w:t>
      </w:r>
    </w:p>
    <w:p>
      <w:r/>
      <w:r>
        <w:t>• A teologia do batismo nas epístolas de Paulo e Pedro</w:t>
      </w:r>
    </w:p>
    <w:p>
      <w:pPr>
        <w:pStyle w:val="Heading3"/>
      </w:pPr>
      <w:r>
        <w:t>O batismo de João</w:t>
      </w:r>
    </w:p>
    <w:p>
      <w:r/>
      <w:r>
        <w:t>João pregou um “batismo de arrependimento para o perdão dos pecados” (</w:t>
      </w:r>
      <w:hyperlink r:id="rId3191">
        <w:r>
          <w:rPr>
            <w:color w:val="0000EE"/>
            <w:u w:val="single"/>
          </w:rPr>
          <w:t>Lc 3.3</w:t>
        </w:r>
      </w:hyperlink>
      <w:r>
        <w:t>). As origens de seu rito são difíceis de rastrear. Alguns alegaram que seu batismo era modelado por aquele praticado pelos que estavam em Qumran; outros insistiram que seu batismo era modelado por aquele praticado pelos judeus quando na iniciação de prosélitos ao judaísmo. Os membros da comunidade de Qumran viam-se como a comunidade da aliança dos últimos dias e assim habitavam no deserto, vivendo uma vida ascética e imergindo-se diariamente em atos de purificação cerimonial. Ao mesmo tempo, eles ensinavam que o arrependimento interno deve acompanhar o ato externo (1QS 2.3). Sua natureza sacramental é vista no fato de que apenas um membro pleno da comunidade poderia exercê-lo, e somente depois de dois anos de experiência (1QS 5.6). Os convertidos de religiões pagãs eram admitidos no judaísmo apenas após preencherem certas obrigações, o que incluía o estudo da Torá, a circuncisão e um banho cerimonial para lavar as impurezas da cultura gentílica.</w:t>
      </w:r>
    </w:p>
    <w:p>
      <w:r/>
      <w:r>
        <w:t>O batismo de João faz tanto um paralelo quanto também difere dessas formas de batismo. A gênese de seu batismo pode ser encontrada na parábola profética interpretada, que não apenas simbolizava a mensagem de Deus, como também pretendia realizá-la. A prática de João tinha várias ramificações teológicas: (1) Estava intimamente ligada ao arrependimento radical, não apenas dos gentios, mas espantosamente também (para seus contemporâneos) dos judeus. (2) Era escatológico em seu núcleo, preparando-se para o Messias, que batizaria com o Espírito Santo e com fogo (</w:t>
      </w:r>
      <w:hyperlink r:id="rId861">
        <w:r>
          <w:rPr>
            <w:color w:val="0000EE"/>
            <w:u w:val="single"/>
          </w:rPr>
          <w:t>Mt 3.11</w:t>
        </w:r>
      </w:hyperlink>
      <w:r>
        <w:t xml:space="preserve">), e, portanto, olhava para a separação final entre o povo de Deus e os ímpios no escaton (ou seja, “o Fim”, cf. </w:t>
      </w:r>
      <w:hyperlink r:id="rId3192">
        <w:r>
          <w:rPr>
            <w:color w:val="0000EE"/>
            <w:u w:val="single"/>
          </w:rPr>
          <w:t>Mt 3.12</w:t>
        </w:r>
      </w:hyperlink>
      <w:r>
        <w:t>). (3) Simbolizava a purificação moral e assim preparava as pessoas para o reino que estava por vir (</w:t>
      </w:r>
      <w:hyperlink r:id="rId2606">
        <w:r>
          <w:rPr>
            <w:color w:val="0000EE"/>
            <w:u w:val="single"/>
          </w:rPr>
          <w:t>Mt 3.2</w:t>
        </w:r>
      </w:hyperlink>
      <w:r>
        <w:t xml:space="preserve">; </w:t>
      </w:r>
      <w:hyperlink r:id="rId3193">
        <w:r>
          <w:rPr>
            <w:color w:val="0000EE"/>
            <w:u w:val="single"/>
          </w:rPr>
          <w:t>Lc 3.7–14</w:t>
        </w:r>
      </w:hyperlink>
      <w:r>
        <w:t>). Apesar da conexão óbvia entre a cerimônia de João e a da igreja primitiva, não podemos postular dependência absoluta. Na verdade, essa cerimônia desapareceu do ministério de Jesus. No início, Jesus permitiu que seus discípulos continuassem o rito (</w:t>
      </w:r>
      <w:hyperlink r:id="rId3194">
        <w:r>
          <w:rPr>
            <w:color w:val="0000EE"/>
            <w:u w:val="single"/>
          </w:rPr>
          <w:t>Jo 3.22</w:t>
        </w:r>
      </w:hyperlink>
      <w:r>
        <w:t>), porém, mais tarde, ele aparentemente descontinuou a prática (</w:t>
      </w:r>
      <w:hyperlink r:id="rId3195">
        <w:r>
          <w:rPr>
            <w:color w:val="0000EE"/>
            <w:u w:val="single"/>
          </w:rPr>
          <w:t>Jo 4.1–3</w:t>
        </w:r>
      </w:hyperlink>
      <w:r>
        <w:t>), provavelmente pelas seguintes razões: (1) A mensagem de João era funcional, enquanto a de Jesus era pessoal/ontológica. (2) João estava olhando para o futuro, esperando o reino que estava chegando, enquanto Jesus estava olhando para trás, celebrando este evento. (3) A de João era uma prática interina, enquanto a de Jesus era sacramental. O ministério de Jesus preencheu o de João, assim, ele rompeu com o modus operandi (modo de agir) deste último.</w:t>
      </w:r>
    </w:p>
    <w:p>
      <w:pPr>
        <w:pStyle w:val="Heading3"/>
      </w:pPr>
      <w:r>
        <w:t>O batismo de Jesus</w:t>
      </w:r>
    </w:p>
    <w:p>
      <w:r/>
      <w:r>
        <w:t xml:space="preserve">Este evento tem sua gênese em uma interação complexa de motivos, divinos e humanos, dentro da consciência messiânica de Jesus (ver </w:t>
      </w:r>
      <w:hyperlink r:id="rId3196">
        <w:r>
          <w:rPr>
            <w:color w:val="0000EE"/>
            <w:u w:val="single"/>
          </w:rPr>
          <w:t>Mc 1.9–11</w:t>
        </w:r>
      </w:hyperlink>
      <w:r>
        <w:t xml:space="preserve"> e paralelos). Para João, era o carimbo de aprovação de Jesus em sua mensagem e ministério. Jesus estava em continuidade com a proclamação do reino de João. Para Jesus, também era uma unção que significava a inauguração de seu ministério messiânico. Como visto na “voz celestial” de Deus de </w:t>
      </w:r>
      <w:hyperlink r:id="rId3197">
        <w:r>
          <w:rPr>
            <w:color w:val="0000EE"/>
            <w:u w:val="single"/>
          </w:rPr>
          <w:t>Marcos 1.11</w:t>
        </w:r>
      </w:hyperlink>
      <w:r>
        <w:t xml:space="preserve"> e paralelos, isso tem dois aspectos: (1) A voz alude ao </w:t>
      </w:r>
      <w:hyperlink r:id="rId2007">
        <w:r>
          <w:rPr>
            <w:color w:val="0000EE"/>
            <w:u w:val="single"/>
          </w:rPr>
          <w:t>Salmo 2.7</w:t>
        </w:r>
      </w:hyperlink>
      <w:r>
        <w:t xml:space="preserve">, estabelecendo a filiação única de Jesus. (2) Faz alusão a </w:t>
      </w:r>
      <w:hyperlink r:id="rId3198">
        <w:r>
          <w:rPr>
            <w:color w:val="0000EE"/>
            <w:u w:val="single"/>
          </w:rPr>
          <w:t>Isaías 42.1</w:t>
        </w:r>
      </w:hyperlink>
      <w:r>
        <w:t>, estabelecendo-o como o messiânico “servo de Yahweh”. (Isso é abordado com maior extensão no artigo abaixo).</w:t>
      </w:r>
    </w:p>
    <w:p>
      <w:pPr>
        <w:pStyle w:val="Heading3"/>
      </w:pPr>
      <w:r>
        <w:t>Ordem para batizar na ressurreição de Jesus</w:t>
      </w:r>
    </w:p>
    <w:p>
      <w:r/>
      <w:r>
        <w:t>Aqui encontramos a verdadeira base para a prática da igreja (</w:t>
      </w:r>
      <w:hyperlink r:id="rId3199">
        <w:r>
          <w:rPr>
            <w:color w:val="0000EE"/>
            <w:u w:val="single"/>
          </w:rPr>
          <w:t>Mt 28.19</w:t>
        </w:r>
      </w:hyperlink>
      <w:r>
        <w:t>). Como já dito, os discípulos pararam de empregá-lo, por isso é que, aqui, vemos a instituição reconstituída como uma ordenança baseada na morte e ressurreição de Cristo. Não era mais um fenômeno prospectivo, mas, agora, havia se tornado uma atividade realizada centrada na mensagem do evangelho, certificada pelo Cristo ressuscitado, que é exaltado ao senhorio universal. Também é um aspecto essencial da atividade do discipulado, como visto no uso do particípio “batizando” após o verbo principal “fazer discípulos”. Finalmente podemos notar que o ato significa a admissão do crente “na” união com (literalmente “no nome de”) a Divindade triuna.</w:t>
      </w:r>
    </w:p>
    <w:p>
      <w:pPr>
        <w:pStyle w:val="Heading3"/>
      </w:pPr>
      <w:r>
        <w:t>Batismo na Igreja Primitiva</w:t>
      </w:r>
    </w:p>
    <w:p>
      <w:r/>
      <w:hyperlink r:id="rId3200">
        <w:r>
          <w:rPr>
            <w:color w:val="0000EE"/>
            <w:u w:val="single"/>
          </w:rPr>
          <w:t>Atos 2.38</w:t>
        </w:r>
      </w:hyperlink>
      <w:r>
        <w:t xml:space="preserve"> mostra que o batismo era uma instituição sacra desde o início. Isso leva a prática até os primórdios da igreja. Na igreja primitiva, era uma parte importante do processo de salvação (</w:t>
      </w:r>
      <w:hyperlink r:id="rId3200">
        <w:r>
          <w:rPr>
            <w:color w:val="0000EE"/>
            <w:u w:val="single"/>
          </w:rPr>
          <w:t>Atos 2.38</w:t>
        </w:r>
      </w:hyperlink>
      <w:r>
        <w:t>, “arrependa-se e seja batizado”) e era realizado através de confissão e oração “em nome de Jesus Cristo” (</w:t>
      </w:r>
      <w:hyperlink r:id="rId3200">
        <w:r>
          <w:rPr>
            <w:color w:val="0000EE"/>
            <w:u w:val="single"/>
          </w:rPr>
          <w:t>Atos 2.38</w:t>
        </w:r>
      </w:hyperlink>
      <w:r>
        <w:t xml:space="preserve">; </w:t>
      </w:r>
      <w:hyperlink r:id="rId3201">
        <w:r>
          <w:rPr>
            <w:color w:val="0000EE"/>
            <w:u w:val="single"/>
          </w:rPr>
          <w:t>8.16</w:t>
        </w:r>
      </w:hyperlink>
      <w:r>
        <w:t xml:space="preserve">; </w:t>
      </w:r>
      <w:hyperlink r:id="rId3202">
        <w:r>
          <w:rPr>
            <w:color w:val="0000EE"/>
            <w:u w:val="single"/>
          </w:rPr>
          <w:t>10.48</w:t>
        </w:r>
      </w:hyperlink>
      <w:r>
        <w:t xml:space="preserve">; </w:t>
      </w:r>
      <w:hyperlink r:id="rId3203">
        <w:r>
          <w:rPr>
            <w:color w:val="0000EE"/>
            <w:u w:val="single"/>
          </w:rPr>
          <w:t>19.5</w:t>
        </w:r>
      </w:hyperlink>
      <w:r>
        <w:t>). Provavelmente havia um momento de perguntas e respostas no qual o crente confessava sua fé e dedicava-se a Cristo. O resultado era a recepção e identificação com a comunidade messiânica da nova aliança, significando tanto o perdão dos pecados (</w:t>
      </w:r>
      <w:hyperlink r:id="rId3200">
        <w:r>
          <w:rPr>
            <w:color w:val="0000EE"/>
            <w:u w:val="single"/>
          </w:rPr>
          <w:t>Atos 2.38</w:t>
        </w:r>
      </w:hyperlink>
      <w:r>
        <w:t xml:space="preserve">; </w:t>
      </w:r>
      <w:hyperlink r:id="rId3204">
        <w:r>
          <w:rPr>
            <w:color w:val="0000EE"/>
            <w:u w:val="single"/>
          </w:rPr>
          <w:t>5.31</w:t>
        </w:r>
      </w:hyperlink>
      <w:r>
        <w:t xml:space="preserve">; </w:t>
      </w:r>
      <w:hyperlink r:id="rId3205">
        <w:r>
          <w:rPr>
            <w:color w:val="0000EE"/>
            <w:u w:val="single"/>
          </w:rPr>
          <w:t>10.43</w:t>
        </w:r>
      </w:hyperlink>
      <w:r>
        <w:t xml:space="preserve">; </w:t>
      </w:r>
      <w:hyperlink r:id="rId3206">
        <w:r>
          <w:rPr>
            <w:color w:val="0000EE"/>
            <w:u w:val="single"/>
          </w:rPr>
          <w:t>13.38</w:t>
        </w:r>
      </w:hyperlink>
      <w:r>
        <w:t xml:space="preserve">; </w:t>
      </w:r>
      <w:hyperlink r:id="rId3207">
        <w:r>
          <w:rPr>
            <w:color w:val="0000EE"/>
            <w:u w:val="single"/>
          </w:rPr>
          <w:t>26.18</w:t>
        </w:r>
      </w:hyperlink>
      <w:r>
        <w:t>) quanto o recebimento do Espírito Santo (</w:t>
      </w:r>
      <w:hyperlink r:id="rId863">
        <w:r>
          <w:rPr>
            <w:color w:val="0000EE"/>
            <w:u w:val="single"/>
          </w:rPr>
          <w:t>Lc 3.16</w:t>
        </w:r>
      </w:hyperlink>
      <w:r>
        <w:t xml:space="preserve">; </w:t>
      </w:r>
      <w:hyperlink r:id="rId3200">
        <w:r>
          <w:rPr>
            <w:color w:val="0000EE"/>
            <w:u w:val="single"/>
          </w:rPr>
          <w:t>Atos 2.38, 41</w:t>
        </w:r>
      </w:hyperlink>
      <w:r>
        <w:t xml:space="preserve">; </w:t>
      </w:r>
      <w:hyperlink r:id="rId3208">
        <w:r>
          <w:rPr>
            <w:color w:val="0000EE"/>
            <w:u w:val="single"/>
          </w:rPr>
          <w:t>9.17</w:t>
        </w:r>
      </w:hyperlink>
      <w:r>
        <w:t xml:space="preserve">; </w:t>
      </w:r>
      <w:hyperlink r:id="rId3209">
        <w:r>
          <w:rPr>
            <w:color w:val="0000EE"/>
            <w:u w:val="single"/>
          </w:rPr>
          <w:t>10.47–48</w:t>
        </w:r>
      </w:hyperlink>
      <w:r>
        <w:t xml:space="preserve">; </w:t>
      </w:r>
      <w:hyperlink r:id="rId3210">
        <w:r>
          <w:rPr>
            <w:color w:val="0000EE"/>
            <w:u w:val="single"/>
          </w:rPr>
          <w:t>11.16–17</w:t>
        </w:r>
      </w:hyperlink>
      <w:r>
        <w:t xml:space="preserve">; </w:t>
      </w:r>
      <w:hyperlink r:id="rId3211">
        <w:r>
          <w:rPr>
            <w:color w:val="0000EE"/>
            <w:u w:val="single"/>
          </w:rPr>
          <w:t>19.5–7</w:t>
        </w:r>
      </w:hyperlink>
      <w:r>
        <w:t xml:space="preserve">). </w:t>
      </w:r>
      <w:r>
        <w:rPr>
          <w:i/>
        </w:rPr>
        <w:t>Veja</w:t>
      </w:r>
      <w:r>
        <w:t xml:space="preserve"> </w:t>
      </w:r>
      <w:r>
        <w:t>Batismo de fogo</w:t>
      </w:r>
      <w:r>
        <w:t xml:space="preserve">; </w:t>
      </w:r>
      <w:r>
        <w:t>Batismo de Jesus</w:t>
      </w:r>
      <w:r>
        <w:t xml:space="preserve">; </w:t>
      </w:r>
      <w:r>
        <w:t>Batismo do Espírito</w:t>
      </w:r>
      <w:r>
        <w:t>.</w:t>
      </w:r>
    </w:p>
    <w:p>
      <w:pPr>
        <w:pStyle w:val="Heading3"/>
      </w:pPr>
      <w:r>
        <w:t>A teologia do batismo nas epístolas de Paulo e Pedro</w:t>
      </w:r>
    </w:p>
    <w:p>
      <w:r/>
      <w:r>
        <w:t xml:space="preserve">A declaração básica de Paulo é encontrada em </w:t>
      </w:r>
      <w:hyperlink r:id="rId3212">
        <w:r>
          <w:rPr>
            <w:color w:val="0000EE"/>
            <w:u w:val="single"/>
          </w:rPr>
          <w:t>Gálatas 3.27</w:t>
        </w:r>
      </w:hyperlink>
      <w:r>
        <w:t xml:space="preserve">, “batizados em Cristo”. O rito do batismo é essencialmente cristológico, significando união com Cristo. Isso é esclarecido ainda mais por </w:t>
      </w:r>
      <w:hyperlink r:id="rId3213">
        <w:r>
          <w:rPr>
            <w:color w:val="0000EE"/>
            <w:u w:val="single"/>
          </w:rPr>
          <w:t>Romanos 6.3–8</w:t>
        </w:r>
      </w:hyperlink>
      <w:r>
        <w:t xml:space="preserve">, o que iguala o batismo com morrer e ressuscitar (cf. </w:t>
      </w:r>
      <w:hyperlink r:id="rId3214">
        <w:r>
          <w:rPr>
            <w:color w:val="0000EE"/>
            <w:u w:val="single"/>
          </w:rPr>
          <w:t>Cl 2.12–13</w:t>
        </w:r>
      </w:hyperlink>
      <w:r>
        <w:t xml:space="preserve">). Ao mesmo tempo, o batismo está relacionado com o Espírito; </w:t>
      </w:r>
      <w:hyperlink r:id="rId420">
        <w:r>
          <w:rPr>
            <w:color w:val="0000EE"/>
            <w:u w:val="single"/>
          </w:rPr>
          <w:t>1 Coríntios 12.13</w:t>
        </w:r>
      </w:hyperlink>
      <w:r>
        <w:t xml:space="preserve"> conecta “batismo pelo único Espírito” com ser "dado do mesmo Espírito”. Muitos veem o batismo como a confirmação externa do “selo” interior pelo Espírito (</w:t>
      </w:r>
      <w:hyperlink r:id="rId3215">
        <w:r>
          <w:rPr>
            <w:color w:val="0000EE"/>
            <w:u w:val="single"/>
          </w:rPr>
          <w:t>2Co 1.21–22</w:t>
        </w:r>
      </w:hyperlink>
      <w:r>
        <w:t xml:space="preserve">; </w:t>
      </w:r>
      <w:hyperlink r:id="rId3216">
        <w:r>
          <w:rPr>
            <w:color w:val="0000EE"/>
            <w:u w:val="single"/>
          </w:rPr>
          <w:t>Ef 1.13</w:t>
        </w:r>
      </w:hyperlink>
      <w:r>
        <w:t xml:space="preserve">; </w:t>
      </w:r>
      <w:hyperlink r:id="rId3217">
        <w:r>
          <w:rPr>
            <w:color w:val="0000EE"/>
            <w:u w:val="single"/>
          </w:rPr>
          <w:t>4.30</w:t>
        </w:r>
      </w:hyperlink>
      <w:r>
        <w:t>). Isso nos leva à dimensão escatológica do batismo. Em sua relação com a presente obra de Cristo e o Espírito, externaliza o derramamento da salvação na era da plenitude, porque é o rito de iniciação que significa o acesso do crente às bênçãos da nova era (</w:t>
      </w:r>
      <w:hyperlink r:id="rId605">
        <w:r>
          <w:rPr>
            <w:color w:val="0000EE"/>
            <w:u w:val="single"/>
          </w:rPr>
          <w:t>Tt 3.5</w:t>
        </w:r>
      </w:hyperlink>
      <w:r>
        <w:t>).</w:t>
      </w:r>
    </w:p>
    <w:p>
      <w:r/>
      <w:r>
        <w:t xml:space="preserve">Há também uma ligação definida entre o batismo e as alianças do AT. A principal conexão é com a abraâmica, especialmente com a circuncisão que a caracterizava. Paulo em </w:t>
      </w:r>
      <w:hyperlink r:id="rId3218">
        <w:r>
          <w:rPr>
            <w:color w:val="0000EE"/>
            <w:u w:val="single"/>
          </w:rPr>
          <w:t>Colossenses 2.11–12</w:t>
        </w:r>
      </w:hyperlink>
      <w:r>
        <w:t xml:space="preserve"> combina a circuncisão judaica com o batismo cristão como imagens da obra redentora de Cristo. O debate de hoje se concentra no grau de continuidade entre eles — o batismo desempenha a mesma função na Nova Aliança, isto é, forense e imputável? Quaisquer que sejam as ramificações teológicas, Paulo, no mínimo, não pode ser forçado a dizer isso. Em vez disso, ele toma aqui o imaginário judaico-cristão da “circuncisão do coração” (</w:t>
      </w:r>
      <w:hyperlink r:id="rId3219">
        <w:r>
          <w:rPr>
            <w:color w:val="0000EE"/>
            <w:u w:val="single"/>
          </w:rPr>
          <w:t>Dt 10.16</w:t>
        </w:r>
      </w:hyperlink>
      <w:r>
        <w:t xml:space="preserve">; </w:t>
      </w:r>
      <w:hyperlink r:id="rId3220">
        <w:r>
          <w:rPr>
            <w:color w:val="0000EE"/>
            <w:u w:val="single"/>
          </w:rPr>
          <w:t>30.6</w:t>
        </w:r>
      </w:hyperlink>
      <w:r>
        <w:t xml:space="preserve">; </w:t>
      </w:r>
      <w:hyperlink r:id="rId3221">
        <w:r>
          <w:rPr>
            <w:color w:val="0000EE"/>
            <w:u w:val="single"/>
          </w:rPr>
          <w:t>Jr 4.4</w:t>
        </w:r>
      </w:hyperlink>
      <w:r>
        <w:t xml:space="preserve">; </w:t>
      </w:r>
      <w:hyperlink r:id="rId3222">
        <w:r>
          <w:rPr>
            <w:color w:val="0000EE"/>
            <w:u w:val="single"/>
          </w:rPr>
          <w:t>Rm 2.28–29</w:t>
        </w:r>
      </w:hyperlink>
      <w:r>
        <w:t xml:space="preserve">; </w:t>
      </w:r>
      <w:hyperlink r:id="rId3223">
        <w:r>
          <w:rPr>
            <w:color w:val="0000EE"/>
            <w:u w:val="single"/>
          </w:rPr>
          <w:t>Fp 3.3</w:t>
        </w:r>
      </w:hyperlink>
      <w:r>
        <w:t>). Os cristãos experimentam a cumprimento daquilo que a circuncisão meramente prefigurava, uma realidade totalmente eficaz e espiritual.</w:t>
      </w:r>
    </w:p>
    <w:p>
      <w:r/>
      <w:r>
        <w:t xml:space="preserve">O batismo também está relacionado com a aliança de Noé em </w:t>
      </w:r>
      <w:hyperlink r:id="rId3224">
        <w:r>
          <w:rPr>
            <w:color w:val="0000EE"/>
            <w:u w:val="single"/>
          </w:rPr>
          <w:t>1 Pedro 3.19–21</w:t>
        </w:r>
      </w:hyperlink>
      <w:r>
        <w:t xml:space="preserve">. Lá a libertação de Noé através das águas é considerada uma imagem dos efeitos do batismo. O debate se concentra no significado de “o batismo agora salva vocês”. A resposta está conectada com o teor do esclarecimento que se seguiu, “um apelo a Deus por uma consciência limpa” (ARA, lit. “de uma boa consciência”). Embora o diálogo desenvolvido entre as visões sacramental e batista seja considerado abaixo, simplesmente comentaremos aqui que a interpretação “apelar </w:t>
      </w:r>
      <w:r>
        <w:rPr>
          <w:i/>
        </w:rPr>
        <w:t>por</w:t>
      </w:r>
      <w:r>
        <w:t xml:space="preserve"> uma boa consciência” encaixa-se melhor na posição enfática desta frase e na imagem deste verso de um convertido comprometido. O batismo é o selo da aliança de salvação que, em si, foi realizado de antemão pelo ato de Cristo e pela decisão de fé do indivíduo.</w:t>
      </w:r>
      <w:r/>
      <w:r/>
    </w:p>
    <w:p>
      <w:r/>
    </w:p>
    <w:p>
      <w:pPr>
        <w:pStyle w:val="Heading2"/>
      </w:pPr>
      <w:r>
        <w:t>Batismo De Fogo*</w:t>
      </w:r>
      <w:r/>
    </w:p>
    <w:p>
      <w:r/>
      <w:r>
        <w:t>Metáfora inventada por João Batista. João estava esperando a vinda daquele que “batizaria com Espírito e fogo” (</w:t>
      </w:r>
      <w:hyperlink r:id="rId861">
        <w:r>
          <w:rPr>
            <w:color w:val="0000EE"/>
            <w:u w:val="single"/>
          </w:rPr>
          <w:t>Mt 3.11</w:t>
        </w:r>
      </w:hyperlink>
      <w:r>
        <w:t xml:space="preserve">; </w:t>
      </w:r>
      <w:hyperlink r:id="rId863">
        <w:r>
          <w:rPr>
            <w:color w:val="0000EE"/>
            <w:u w:val="single"/>
          </w:rPr>
          <w:t>Lc 3.16</w:t>
        </w:r>
      </w:hyperlink>
      <w:r>
        <w:t xml:space="preserve">). O contexto deixa claro que o fogo nessa frase denota julgamento, um julgamento que presumivelmente purificaria o penitente (cf. </w:t>
      </w:r>
      <w:hyperlink r:id="rId3044">
        <w:r>
          <w:rPr>
            <w:color w:val="0000EE"/>
            <w:u w:val="single"/>
          </w:rPr>
          <w:t>Is 4.4</w:t>
        </w:r>
      </w:hyperlink>
      <w:r>
        <w:t xml:space="preserve">; </w:t>
      </w:r>
      <w:hyperlink r:id="rId3225">
        <w:r>
          <w:rPr>
            <w:color w:val="0000EE"/>
            <w:u w:val="single"/>
          </w:rPr>
          <w:t>Ml 3.2–3</w:t>
        </w:r>
      </w:hyperlink>
      <w:r>
        <w:t>), bem como destruiria o impenitente (</w:t>
      </w:r>
      <w:hyperlink r:id="rId3226">
        <w:r>
          <w:rPr>
            <w:color w:val="0000EE"/>
            <w:u w:val="single"/>
          </w:rPr>
          <w:t>Ml 4.1</w:t>
        </w:r>
      </w:hyperlink>
      <w:r>
        <w:t xml:space="preserve">; </w:t>
      </w:r>
      <w:hyperlink r:id="rId3227">
        <w:r>
          <w:rPr>
            <w:color w:val="0000EE"/>
            <w:u w:val="single"/>
          </w:rPr>
          <w:t>Mt 3.10,12</w:t>
        </w:r>
      </w:hyperlink>
      <w:r>
        <w:t>).</w:t>
      </w:r>
    </w:p>
    <w:p>
      <w:r/>
      <w:r>
        <w:t xml:space="preserve">Os profetas e escritores apocalípticos frequentemente falavam de um período de tribulação e sofrimento necessário antes que o novo tempo pudesse chegar: “os problemas messiânicos”, “as dores de parto do Messias”, “um rio de fogo”. Paralelos com a fraseologia de João são encontrados em </w:t>
      </w:r>
      <w:hyperlink r:id="rId3228">
        <w:r>
          <w:rPr>
            <w:color w:val="0000EE"/>
            <w:u w:val="single"/>
          </w:rPr>
          <w:t>Is 30.27–28</w:t>
        </w:r>
      </w:hyperlink>
      <w:r>
        <w:t xml:space="preserve"> e no pseudepígrafo </w:t>
      </w:r>
      <w:hyperlink r:id="rId3229">
        <w:r>
          <w:rPr>
            <w:color w:val="0000EE"/>
            <w:u w:val="single"/>
          </w:rPr>
          <w:t>2Ed 13.10–11</w:t>
        </w:r>
      </w:hyperlink>
      <w:r>
        <w:t>. João Batista provavelmente adotou esse uso e o reexpressou através de uma metáfora extraída de seu próprio ato mais característico (batismo). Seu “batismo de fogo” assim provavelmente simbolizava o julgamento purificador que daria início ao novo tempo e traria indivíduos para essa nova era.</w:t>
      </w:r>
    </w:p>
    <w:p>
      <w:r/>
      <w:r>
        <w:t>Não há mais referência bíblica especificamente ao batismo de fogo. Marcos e João abreviam a pregação de João Batista omitindo toda a menção de julgamento. Com Pentecostes e além, o batismo de João na água é visto como cumprido no batismo no Espírito. Mas Jesus parecia ecoar a convicção de João Batista de que uma purificação com fogo era necessária (</w:t>
      </w:r>
      <w:hyperlink r:id="rId3230">
        <w:r>
          <w:rPr>
            <w:color w:val="0000EE"/>
            <w:u w:val="single"/>
          </w:rPr>
          <w:t>Mc 9.49</w:t>
        </w:r>
      </w:hyperlink>
      <w:r>
        <w:t>). E ele claramente pegou a previsão de João Batista, mas se referiu ao batismo e presumivelmente o fogo à sua própria morte (</w:t>
      </w:r>
      <w:hyperlink r:id="rId3231">
        <w:r>
          <w:rPr>
            <w:color w:val="0000EE"/>
            <w:u w:val="single"/>
          </w:rPr>
          <w:t>Lc 12.49–50</w:t>
        </w:r>
      </w:hyperlink>
      <w:r>
        <w:t>). Sua morte é entendida como sofrendo o batismo de fogo em lugar de outros. Esse pensamento é acompanhado pelo apóstolo Paulo em sua compreensão do batismo em Cristo como um batismo na morte de Cristo (</w:t>
      </w:r>
      <w:hyperlink r:id="rId3232">
        <w:r>
          <w:rPr>
            <w:color w:val="0000EE"/>
            <w:u w:val="single"/>
          </w:rPr>
          <w:t>Rm 6.3</w:t>
        </w:r>
      </w:hyperlink>
      <w:r>
        <w:t>). Pode-se dizer que a expectativa de João de um batismo de fogo purificador para os penitentes é cumprida de forma mais completa quando o crente é unido a Cristo em sua morte e compartilha de seus sofrimentos; somente dessa maneira se pode participar plenamente da glória ressurreta de Cristo. (</w:t>
      </w:r>
      <w:hyperlink r:id="rId3233">
        <w:r>
          <w:rPr>
            <w:color w:val="0000EE"/>
            <w:u w:val="single"/>
          </w:rPr>
          <w:t>Rm 6.5</w:t>
        </w:r>
      </w:hyperlink>
      <w:r>
        <w:t xml:space="preserve">; </w:t>
      </w:r>
      <w:hyperlink r:id="rId3234">
        <w:r>
          <w:rPr>
            <w:color w:val="0000EE"/>
            <w:u w:val="single"/>
          </w:rPr>
          <w:t>8.17–23</w:t>
        </w:r>
      </w:hyperlink>
      <w:r>
        <w:t xml:space="preserve">; </w:t>
      </w:r>
      <w:hyperlink r:id="rId3235">
        <w:r>
          <w:rPr>
            <w:color w:val="0000EE"/>
            <w:u w:val="single"/>
          </w:rPr>
          <w:t>Fp 3.10–11</w:t>
        </w:r>
      </w:hyperlink>
      <w:r>
        <w:t>).</w:t>
      </w:r>
    </w:p>
    <w:p>
      <w:r/>
      <w:r>
        <w:rPr>
          <w:i/>
        </w:rPr>
        <w:t>Veja também</w:t>
      </w:r>
      <w:r>
        <w:t xml:space="preserve"> </w:t>
      </w:r>
      <w:r>
        <w:t>Batismo</w:t>
      </w:r>
      <w:r>
        <w:t xml:space="preserve">; </w:t>
      </w:r>
      <w:r>
        <w:t>Batismo do Espírito</w:t>
      </w:r>
      <w:r>
        <w:t>.</w:t>
      </w:r>
      <w:r/>
      <w:r/>
    </w:p>
    <w:p>
      <w:r/>
    </w:p>
    <w:p>
      <w:pPr>
        <w:pStyle w:val="Heading2"/>
      </w:pPr>
      <w:r>
        <w:t>Batismo De Jesus*</w:t>
      </w:r>
      <w:r/>
    </w:p>
    <w:p>
      <w:r/>
      <w:r>
        <w:t>Grande evento na vida de Jesus, que marcou o início de seu ministério. O fato de que João Batista batizou Jesus é contestado por pouquíssimos estudiosos hoje, mas o propósito e significado do batismo de Jesus permanecem controversos.</w:t>
      </w:r>
    </w:p>
    <w:p>
      <w:r/>
      <w:r>
        <w:t>Os relatos do Evangelho concordam que o batismo de João era um batismo de arrependimento (</w:t>
      </w:r>
      <w:hyperlink r:id="rId3236">
        <w:r>
          <w:rPr>
            <w:color w:val="0000EE"/>
            <w:u w:val="single"/>
          </w:rPr>
          <w:t>Mt 3.6–10</w:t>
        </w:r>
      </w:hyperlink>
      <w:r>
        <w:t xml:space="preserve">; </w:t>
      </w:r>
      <w:hyperlink r:id="rId3237">
        <w:r>
          <w:rPr>
            <w:color w:val="0000EE"/>
            <w:u w:val="single"/>
          </w:rPr>
          <w:t>Mc 1.4–5</w:t>
        </w:r>
      </w:hyperlink>
      <w:r>
        <w:t xml:space="preserve">; </w:t>
      </w:r>
      <w:hyperlink r:id="rId3238">
        <w:r>
          <w:rPr>
            <w:color w:val="0000EE"/>
            <w:u w:val="single"/>
          </w:rPr>
          <w:t>Lc 3.3–14</w:t>
        </w:r>
      </w:hyperlink>
      <w:r>
        <w:t>). Ele proclamou que o reino do céu estava próximo e o povo de Deus deveria se preparar para a vinda do Senhor por uma renovação da fé em Deus. Para João, isso significava arrependimento, confissão de pecados e prática da justiça. Sendo assim, por que Jesus foi batizado? Se Jesus estava sem pecado, como o NT declara (</w:t>
      </w:r>
      <w:hyperlink r:id="rId3239">
        <w:r>
          <w:rPr>
            <w:color w:val="0000EE"/>
            <w:u w:val="single"/>
          </w:rPr>
          <w:t>2Co 5.21</w:t>
        </w:r>
      </w:hyperlink>
      <w:r>
        <w:t xml:space="preserve">; </w:t>
      </w:r>
      <w:hyperlink r:id="rId3240">
        <w:r>
          <w:rPr>
            <w:color w:val="0000EE"/>
            <w:u w:val="single"/>
          </w:rPr>
          <w:t>Hb 4.15</w:t>
        </w:r>
      </w:hyperlink>
      <w:r>
        <w:t xml:space="preserve">; </w:t>
      </w:r>
      <w:hyperlink r:id="rId3241">
        <w:r>
          <w:rPr>
            <w:color w:val="0000EE"/>
            <w:u w:val="single"/>
          </w:rPr>
          <w:t>1Pe 2.22</w:t>
        </w:r>
      </w:hyperlink>
      <w:r>
        <w:t>), por que ele se submeteu a um batismo de arrependimento para o perdão de pecados? Os Evangelhos fornecem as respostas.</w:t>
      </w:r>
    </w:p>
    <w:p>
      <w:pPr>
        <w:pStyle w:val="Heading3"/>
      </w:pPr>
      <w:r>
        <w:t>O Evangelho de Marcos</w:t>
      </w:r>
    </w:p>
    <w:p>
      <w:r/>
      <w:r>
        <w:t>Marcos apresenta o batismo de Jesus como uma preparação necessária para seu período de tentação e ministério. Em seu batismo, Jesus recebeu a aprovação do Pai e a dádiva do Espírito Santo (</w:t>
      </w:r>
      <w:hyperlink r:id="rId3196">
        <w:r>
          <w:rPr>
            <w:color w:val="0000EE"/>
            <w:u w:val="single"/>
          </w:rPr>
          <w:t>1.9–11</w:t>
        </w:r>
      </w:hyperlink>
      <w:r>
        <w:t>). O foco de Marcos na relação especial de Jesus com o Pai: “Tu és o meu Filho querido e me dás muita alegria” (</w:t>
      </w:r>
      <w:hyperlink r:id="rId3197">
        <w:r>
          <w:rPr>
            <w:color w:val="0000EE"/>
            <w:u w:val="single"/>
          </w:rPr>
          <w:t>1.11</w:t>
        </w:r>
      </w:hyperlink>
      <w:r>
        <w:t>, NTLH), reúne duas importantes referências do AT. O messianismo de Jesus é apresentado de uma maneira radicalmente nova, na qual o Messias governante (</w:t>
      </w:r>
      <w:hyperlink r:id="rId2007">
        <w:r>
          <w:rPr>
            <w:color w:val="0000EE"/>
            <w:u w:val="single"/>
          </w:rPr>
          <w:t>Sl 2.7</w:t>
        </w:r>
      </w:hyperlink>
      <w:r>
        <w:t>) também é o Servo Sofredor do Senhor (</w:t>
      </w:r>
      <w:hyperlink r:id="rId3198">
        <w:r>
          <w:rPr>
            <w:color w:val="0000EE"/>
            <w:u w:val="single"/>
          </w:rPr>
          <w:t>Is 42.1</w:t>
        </w:r>
      </w:hyperlink>
      <w:r>
        <w:t>). A crença judaica popular esperava um Messias governante que estabeleceria o reino de Deus, não um Messias que sofreria pelo povo. Marcos pretendia mostrar que somente em Jesus havia chegado o tempo designado por Deus para o cumprimento de seu propósito.</w:t>
      </w:r>
    </w:p>
    <w:p>
      <w:r/>
      <w:r>
        <w:t>A declaração de que os céus se abriram no batismo de Jesus (</w:t>
      </w:r>
      <w:hyperlink r:id="rId3242">
        <w:r>
          <w:rPr>
            <w:color w:val="0000EE"/>
            <w:u w:val="single"/>
          </w:rPr>
          <w:t>Mc 1.10</w:t>
        </w:r>
      </w:hyperlink>
      <w:r>
        <w:t xml:space="preserve">) pode proclamar a chegada do “fim dos tempos” (o tempo de cumprimento e o estabelecimento do reino de Deus). Uma interpretação judaica daquela época </w:t>
      </w:r>
      <w:hyperlink r:id="rId3243">
        <w:r>
          <w:rPr>
            <w:color w:val="0000EE"/>
            <w:u w:val="single"/>
          </w:rPr>
          <w:t>Isaías 64.1</w:t>
        </w:r>
      </w:hyperlink>
      <w:r>
        <w:t xml:space="preserve"> sustentava que nos últimos dias Deus abriria os céus e desceria para seu povo. Na concepção judaica, o rasgar dos céus também estava associado à audição da voz de Deus e à concessão do Espírito de Deus.</w:t>
      </w:r>
    </w:p>
    <w:p>
      <w:pPr>
        <w:pStyle w:val="Heading3"/>
      </w:pPr>
      <w:r>
        <w:t>O Evangelho de Mateus</w:t>
      </w:r>
    </w:p>
    <w:p>
      <w:r/>
      <w:r>
        <w:t>O relato de Mateus do batismo de Jesus tem mais detalhes do que o de Marcos. Começa observando a relutância de João em batizar Jesus (</w:t>
      </w:r>
      <w:hyperlink r:id="rId3244">
        <w:r>
          <w:rPr>
            <w:color w:val="0000EE"/>
            <w:u w:val="single"/>
          </w:rPr>
          <w:t>3.14</w:t>
        </w:r>
      </w:hyperlink>
      <w:r>
        <w:t>). João foi persuadido somente depois que Jesus explicou a ele que o ato era para "cumprir toda a justiça” (</w:t>
      </w:r>
      <w:hyperlink r:id="rId3245">
        <w:r>
          <w:rPr>
            <w:color w:val="0000EE"/>
            <w:u w:val="single"/>
          </w:rPr>
          <w:t>3.15</w:t>
        </w:r>
      </w:hyperlink>
      <w:r>
        <w:t>, ARA). Embora o significado completo dessas palavras seja incerto, elas pelo menos sugerem que o batismo de Jesus era necessário para realizar a vontade de Deus. Tanto no Antigo quanto no Novo Testamento (</w:t>
      </w:r>
      <w:hyperlink r:id="rId3246">
        <w:r>
          <w:rPr>
            <w:color w:val="0000EE"/>
            <w:u w:val="single"/>
          </w:rPr>
          <w:t>Sl 98.2–3</w:t>
        </w:r>
      </w:hyperlink>
      <w:r>
        <w:t xml:space="preserve">; </w:t>
      </w:r>
      <w:hyperlink r:id="rId3247">
        <w:r>
          <w:rPr>
            <w:color w:val="0000EE"/>
            <w:u w:val="single"/>
          </w:rPr>
          <w:t>Rm 1.17</w:t>
        </w:r>
      </w:hyperlink>
      <w:r>
        <w:t>) a justiça de Deus é vista em sua salvação para seu povo. É por isso que o Messias pode ser chamado de “O Senhor É Nossa Justiça” (</w:t>
      </w:r>
      <w:hyperlink r:id="rId3248">
        <w:r>
          <w:rPr>
            <w:color w:val="0000EE"/>
            <w:u w:val="single"/>
          </w:rPr>
          <w:t>Jr 23.6</w:t>
        </w:r>
      </w:hyperlink>
      <w:r>
        <w:t xml:space="preserve">; cf. </w:t>
      </w:r>
      <w:hyperlink r:id="rId3249">
        <w:r>
          <w:rPr>
            <w:color w:val="0000EE"/>
            <w:u w:val="single"/>
          </w:rPr>
          <w:t>Is 11.1–5</w:t>
        </w:r>
      </w:hyperlink>
      <w:r>
        <w:t>). Jesus disse a João que seu batismo era necessário para fazer a vontade de Deus ao trazer a salvação para seu povo. Assim, a declaração do Pai no batismo de Jesus é apresentada na forma de um anúncio público, enfatizando que Jesus era o Servo ungido de Deus prestes a começar seu ministério como o portador da salvação do Senhor.</w:t>
      </w:r>
    </w:p>
    <w:p>
      <w:pPr>
        <w:pStyle w:val="Heading3"/>
      </w:pPr>
      <w:r>
        <w:t>O Evangelho de Lucas</w:t>
      </w:r>
    </w:p>
    <w:p>
      <w:r/>
      <w:r>
        <w:t>Lucas passa sobre o batismo de Jesus rapidamente, colocando-o ao lado do batismo de outros que vieram a João (</w:t>
      </w:r>
      <w:hyperlink r:id="rId3250">
        <w:r>
          <w:rPr>
            <w:color w:val="0000EE"/>
            <w:u w:val="single"/>
          </w:rPr>
          <w:t>3.21–22</w:t>
        </w:r>
      </w:hyperlink>
      <w:r>
        <w:t>). O contexto em Lucas também lança alguma luz sobre o propósito do batismo de Jesus. Lucas, ao contrário de Mateus, coloca a genealogia de Jesus após seu batismo e pouco antes de seu ministério começar. O paralelo com Moisés, que ocorre a genealogia pouco antes de sua obra primária começar (</w:t>
      </w:r>
      <w:hyperlink r:id="rId3251">
        <w:r>
          <w:rPr>
            <w:color w:val="0000EE"/>
            <w:u w:val="single"/>
          </w:rPr>
          <w:t>Êx 6.14–25</w:t>
        </w:r>
      </w:hyperlink>
      <w:r>
        <w:t>), parece mais do que coincidência. Provavelmente se destina a ilustrar o papel de Jesus em trazer libertação (salvação) para o povo de Deus, assim como Moisés fez no AT. Em seu batismo, pela descida do Espírito Santo sobre ele, Jesus foi preparado para fazer a missão que Deus o havia chamado para fazer. Após sua tentação (</w:t>
      </w:r>
      <w:hyperlink r:id="rId3252">
        <w:r>
          <w:rPr>
            <w:color w:val="0000EE"/>
            <w:u w:val="single"/>
          </w:rPr>
          <w:t>Lc 4.1–13</w:t>
        </w:r>
      </w:hyperlink>
      <w:r>
        <w:t>), Jesus entrou na sinagoga e declarou às pessoas que ele havia sido ungido pelo Espírito para proclamar boas novas (</w:t>
      </w:r>
      <w:hyperlink r:id="rId3253">
        <w:r>
          <w:rPr>
            <w:color w:val="0000EE"/>
            <w:u w:val="single"/>
          </w:rPr>
          <w:t>4.16–21</w:t>
        </w:r>
      </w:hyperlink>
      <w:r>
        <w:t xml:space="preserve">). Essa unção veio no batismo de Jesus (cf. </w:t>
      </w:r>
      <w:hyperlink r:id="rId3254">
        <w:r>
          <w:rPr>
            <w:color w:val="0000EE"/>
            <w:u w:val="single"/>
          </w:rPr>
          <w:t>Atos 10.37–38</w:t>
        </w:r>
      </w:hyperlink>
      <w:r>
        <w:t>).</w:t>
      </w:r>
    </w:p>
    <w:p>
      <w:r/>
      <w:r>
        <w:t xml:space="preserve">Em seu relato do Evangelho, Lucas tentou identificar Jesus com as pessoas comuns — por exemplo, na história do nascimento (com Jesus nascido em um estábulo e visitado por humildes pastores, </w:t>
      </w:r>
      <w:hyperlink r:id="rId3255">
        <w:r>
          <w:rPr>
            <w:color w:val="0000EE"/>
            <w:u w:val="single"/>
          </w:rPr>
          <w:t>Lc 2.8–20</w:t>
        </w:r>
      </w:hyperlink>
      <w:r>
        <w:t xml:space="preserve">) e através da colocação da genealogia (enfatizando a relação de Jesus com toda a humanidade, </w:t>
      </w:r>
      <w:hyperlink r:id="rId315">
        <w:r>
          <w:rPr>
            <w:color w:val="0000EE"/>
            <w:u w:val="single"/>
          </w:rPr>
          <w:t>3.38</w:t>
        </w:r>
      </w:hyperlink>
      <w:r>
        <w:t>) logo após o batismo. Assim, Lucas viu o batismo como o primeiro passo de Jesus para se identificar com aqueles que ele havia vindo para salvar.</w:t>
      </w:r>
    </w:p>
    <w:p>
      <w:r/>
      <w:r>
        <w:t xml:space="preserve">No AT, o Messias estava sempre ligado ao povo que ele representava. (ver especialmente </w:t>
      </w:r>
      <w:hyperlink r:id="rId3256">
        <w:r>
          <w:rPr>
            <w:color w:val="0000EE"/>
            <w:u w:val="single"/>
          </w:rPr>
          <w:t>Jr 30.21</w:t>
        </w:r>
      </w:hyperlink>
      <w:r>
        <w:t xml:space="preserve"> e </w:t>
      </w:r>
      <w:hyperlink r:id="rId3257">
        <w:r>
          <w:rPr>
            <w:color w:val="0000EE"/>
            <w:u w:val="single"/>
          </w:rPr>
          <w:t>Ez 45–46</w:t>
        </w:r>
      </w:hyperlink>
      <w:r>
        <w:t>). Embora o “servo” em Isaías seja às vezes visto corporativamente (</w:t>
      </w:r>
      <w:hyperlink r:id="rId3258">
        <w:r>
          <w:rPr>
            <w:color w:val="0000EE"/>
            <w:u w:val="single"/>
          </w:rPr>
          <w:t>Is 44.1</w:t>
        </w:r>
      </w:hyperlink>
      <w:r>
        <w:t>) e às vezes individualmente (</w:t>
      </w:r>
      <w:hyperlink r:id="rId3259">
        <w:r>
          <w:rPr>
            <w:color w:val="0000EE"/>
            <w:u w:val="single"/>
          </w:rPr>
          <w:t>53.3</w:t>
        </w:r>
      </w:hyperlink>
      <w:r>
        <w:t xml:space="preserve">), ele é sempre visto como o representante </w:t>
      </w:r>
      <w:r>
        <w:rPr>
          <w:i/>
        </w:rPr>
        <w:t>do povo</w:t>
      </w:r>
      <w:r>
        <w:t xml:space="preserve"> para o Senhor (</w:t>
      </w:r>
      <w:hyperlink r:id="rId3260">
        <w:r>
          <w:rPr>
            <w:color w:val="0000EE"/>
            <w:u w:val="single"/>
          </w:rPr>
          <w:t>49:5–26</w:t>
        </w:r>
      </w:hyperlink>
      <w:r>
        <w:t xml:space="preserve">), bem como o servo </w:t>
      </w:r>
      <w:r>
        <w:rPr>
          <w:i/>
        </w:rPr>
        <w:t>do Senhor</w:t>
      </w:r>
      <w:r>
        <w:t>.</w:t>
      </w:r>
    </w:p>
    <w:p>
      <w:r/>
      <w:r>
        <w:t>Evidentemente Lucas, juntamente com Marcos e Mateus, estava tentando mostrar que Jesus, como o representante divino do povo, havia se identificado com eles em seu batismo.</w:t>
      </w:r>
    </w:p>
    <w:p>
      <w:pPr>
        <w:pStyle w:val="Heading3"/>
      </w:pPr>
      <w:r>
        <w:t>O Evangelho de João</w:t>
      </w:r>
    </w:p>
    <w:p>
      <w:r/>
      <w:r>
        <w:t>O quarto Evangelho não diz que Jesus foi batizado, mas diz que João Batista viu o Espírito descer sobre Jesus (</w:t>
      </w:r>
      <w:hyperlink r:id="rId3261">
        <w:r>
          <w:rPr>
            <w:color w:val="0000EE"/>
            <w:u w:val="single"/>
          </w:rPr>
          <w:t>Jo 1.32–34</w:t>
        </w:r>
      </w:hyperlink>
      <w:r>
        <w:t>). O relato enfatiza que Jesus foi a João durante a pregação e ministério de batismo dele; João reconheceu que Jesus era o Cristo, que o Espírito de Deus estava sobre ele, e que ele era o Filho de Deus. João também reconheceu que Jesus, ao contrário de si mesmo, foi batizado com o Espírito Santo (</w:t>
      </w:r>
      <w:hyperlink r:id="rId3262">
        <w:r>
          <w:rPr>
            <w:color w:val="0000EE"/>
            <w:u w:val="single"/>
          </w:rPr>
          <w:t>1.29–36</w:t>
        </w:r>
      </w:hyperlink>
      <w:r>
        <w:t>).</w:t>
      </w:r>
    </w:p>
    <w:p>
      <w:r/>
      <w:r>
        <w:t>João Batista descreveu Jesus como o “Cordeiro de Deus que tira o pecado do mundo” (</w:t>
      </w:r>
      <w:hyperlink r:id="rId404">
        <w:r>
          <w:rPr>
            <w:color w:val="0000EE"/>
            <w:u w:val="single"/>
          </w:rPr>
          <w:t>1.29</w:t>
        </w:r>
      </w:hyperlink>
      <w:r>
        <w:t>, NTLH). O paralelo do AT mais próximo a essa declaração vem de uma passagem de “servo do Senhor” (</w:t>
      </w:r>
      <w:hyperlink r:id="rId3263">
        <w:r>
          <w:rPr>
            <w:color w:val="0000EE"/>
            <w:u w:val="single"/>
          </w:rPr>
          <w:t>Is 53.6–7</w:t>
        </w:r>
      </w:hyperlink>
      <w:r>
        <w:t>). É possível que “Cordeiro de Deus” possa ser uma tradução alternativa do termo aramaico “servo de Deus”.</w:t>
      </w:r>
    </w:p>
    <w:p>
      <w:r/>
      <w:r>
        <w:t>O sentido de Jesus como aquele que carrega os pecados das pessoas está obviamente em vista no quarto Evangelho. Que Jesus era o representante prometido e libertador do povo foi entendido por João Batista e transmitido pelo escritor do Evangelho.</w:t>
      </w:r>
    </w:p>
    <w:p>
      <w:pPr>
        <w:pStyle w:val="Heading3"/>
      </w:pPr>
      <w:r>
        <w:t>Conclusão</w:t>
      </w:r>
    </w:p>
    <w:p>
      <w:r/>
      <w:r>
        <w:t>Nos quatro Evangelhos, está claro que o Espírito Santo veio sobre Jesus em seu batismo para capacitá-lo a fazer a obra de Deus. Todos os quatro escritores dos Evangelhos viram que Jesus havia sido ungido por Deus para realizar sua missão de trazer a salvação ao povo. Essas ideias fornecem uma chave para entender por que Jesus foi batizado. Naquela ocasião, no início de seu ministério, Deus ungiu Jesus com o Espírito Santo para fazer sua obra de mediação entre Deus e as pessoas. Em seu batismo, Jesus foi identificado como aquele que levaria os pecados das pessoas; Jesus foi batizado para se identificar com pessoas pecadoras.</w:t>
      </w:r>
    </w:p>
    <w:p>
      <w:r/>
      <w:r>
        <w:rPr>
          <w:i/>
        </w:rPr>
        <w:t>Veja também</w:t>
      </w:r>
      <w:r>
        <w:t xml:space="preserve"> </w:t>
      </w:r>
      <w:r>
        <w:t>Jesus Cristo</w:t>
      </w:r>
      <w:r>
        <w:t>.</w:t>
      </w:r>
      <w:r/>
      <w:r/>
    </w:p>
    <w:p>
      <w:r/>
    </w:p>
    <w:p>
      <w:pPr>
        <w:pStyle w:val="Heading2"/>
      </w:pPr>
      <w:r>
        <w:t>Batismo Do Espírito*</w:t>
      </w:r>
      <w:r/>
    </w:p>
    <w:p>
      <w:r/>
      <w:r>
        <w:t>Uma frase usada popularmente, que nunca ocorre como tal na Bíblia. O NT sempre usa a frase verbal “batizar [ou batizado] no Espírito”. Isso lhe dá um caráter dinâmico que a frase substantiva não pode transmitir completamente.</w:t>
      </w:r>
    </w:p>
    <w:p>
      <w:r/>
      <w:r>
        <w:t>A frase parece ter sido inventada por João Batista: “Eu vos batizo com água; mas ele [Aquele que há de vir] vos batizará no Espírito Santo e em fogo” (</w:t>
      </w:r>
      <w:hyperlink r:id="rId861">
        <w:r>
          <w:rPr>
            <w:color w:val="0000EE"/>
            <w:u w:val="single"/>
          </w:rPr>
          <w:t>Mt 3.11</w:t>
        </w:r>
      </w:hyperlink>
      <w:r>
        <w:t xml:space="preserve">; </w:t>
      </w:r>
      <w:hyperlink r:id="rId863">
        <w:r>
          <w:rPr>
            <w:color w:val="0000EE"/>
            <w:u w:val="single"/>
          </w:rPr>
          <w:t>Lc 3.16</w:t>
        </w:r>
      </w:hyperlink>
      <w:r>
        <w:t xml:space="preserve">; mas </w:t>
      </w:r>
      <w:hyperlink r:id="rId862">
        <w:r>
          <w:rPr>
            <w:color w:val="0000EE"/>
            <w:u w:val="single"/>
          </w:rPr>
          <w:t>Mc 1.8</w:t>
        </w:r>
      </w:hyperlink>
      <w:r>
        <w:t xml:space="preserve"> e </w:t>
      </w:r>
      <w:hyperlink r:id="rId864">
        <w:r>
          <w:rPr>
            <w:color w:val="0000EE"/>
            <w:u w:val="single"/>
          </w:rPr>
          <w:t>Jo 1.33</w:t>
        </w:r>
      </w:hyperlink>
      <w:r>
        <w:t xml:space="preserve"> omitem as palavras “e fogo”). A frase é claramente uma metáfora: está em contraste com e como a realização do batismo em água de João. É uma metáfora de </w:t>
      </w:r>
      <w:r>
        <w:rPr>
          <w:i/>
        </w:rPr>
        <w:t>julgamento,</w:t>
      </w:r>
      <w:r>
        <w:t xml:space="preserve"> como o contexto em Mateus e Lucas deixa claro. Purificação ou destruição em um rio de fogo, por um espírito de purificação, no sopro ardente de Deus (“sopro” e “espírito” são a mesma palavra em hebraico), era uma imagem familiar no pensamento judaico (</w:t>
      </w:r>
      <w:hyperlink r:id="rId3044">
        <w:r>
          <w:rPr>
            <w:color w:val="0000EE"/>
            <w:u w:val="single"/>
          </w:rPr>
          <w:t>Is 4.4</w:t>
        </w:r>
      </w:hyperlink>
      <w:r>
        <w:t xml:space="preserve">; </w:t>
      </w:r>
      <w:hyperlink r:id="rId3228">
        <w:r>
          <w:rPr>
            <w:color w:val="0000EE"/>
            <w:u w:val="single"/>
          </w:rPr>
          <w:t>30.27–28</w:t>
        </w:r>
      </w:hyperlink>
      <w:r>
        <w:t xml:space="preserve">; </w:t>
      </w:r>
      <w:hyperlink r:id="rId3264">
        <w:r>
          <w:rPr>
            <w:color w:val="0000EE"/>
            <w:u w:val="single"/>
          </w:rPr>
          <w:t>Dn 7.10</w:t>
        </w:r>
      </w:hyperlink>
      <w:r>
        <w:t xml:space="preserve">). Também é uma metáfora de </w:t>
      </w:r>
      <w:r>
        <w:rPr>
          <w:i/>
        </w:rPr>
        <w:t>misericórdia,</w:t>
      </w:r>
      <w:r>
        <w:t xml:space="preserve"> uma vez que a purificação limpa; após a colheita, os grãos seriam reunidos no celeiro (</w:t>
      </w:r>
      <w:hyperlink r:id="rId3265">
        <w:r>
          <w:rPr>
            <w:color w:val="0000EE"/>
            <w:u w:val="single"/>
          </w:rPr>
          <w:t>Mt 3.11–12</w:t>
        </w:r>
      </w:hyperlink>
      <w:r>
        <w:t xml:space="preserve">). E, finalmente, é uma metáfora de </w:t>
      </w:r>
      <w:r>
        <w:rPr>
          <w:i/>
        </w:rPr>
        <w:t>iniciação</w:t>
      </w:r>
      <w:r>
        <w:t xml:space="preserve">— a variação de João Batista sobre “os problemas messiânicos”, a expectativa de que a era messiânica seria introduzida apenas através do sofrimento e tribulação (p. ex., </w:t>
      </w:r>
      <w:hyperlink r:id="rId3266">
        <w:r>
          <w:rPr>
            <w:color w:val="0000EE"/>
            <w:u w:val="single"/>
          </w:rPr>
          <w:t>Dn 7.19–22</w:t>
        </w:r>
      </w:hyperlink>
      <w:r>
        <w:t xml:space="preserve">; </w:t>
      </w:r>
      <w:hyperlink r:id="rId3267">
        <w:r>
          <w:rPr>
            <w:color w:val="0000EE"/>
            <w:u w:val="single"/>
          </w:rPr>
          <w:t>12.1</w:t>
        </w:r>
      </w:hyperlink>
      <w:r>
        <w:t xml:space="preserve">; </w:t>
      </w:r>
      <w:hyperlink r:id="rId3268">
        <w:r>
          <w:rPr>
            <w:color w:val="0000EE"/>
            <w:u w:val="single"/>
          </w:rPr>
          <w:t>Zc 14:12–15</w:t>
        </w:r>
      </w:hyperlink>
      <w:r>
        <w:t>; também o pseudepígrafo 1 Enoque 100.1–3).</w:t>
      </w:r>
    </w:p>
    <w:p>
      <w:r/>
      <w:r>
        <w:t xml:space="preserve">No livro de Atos, a metáfora mantém o significado inicial dado por João Batista. </w:t>
      </w:r>
      <w:hyperlink r:id="rId3269">
        <w:r>
          <w:rPr>
            <w:color w:val="0000EE"/>
            <w:u w:val="single"/>
          </w:rPr>
          <w:t>Atos 2.4</w:t>
        </w:r>
      </w:hyperlink>
      <w:r>
        <w:t xml:space="preserve"> realiza a promessa de </w:t>
      </w:r>
      <w:hyperlink r:id="rId859">
        <w:r>
          <w:rPr>
            <w:color w:val="0000EE"/>
            <w:u w:val="single"/>
          </w:rPr>
          <w:t>Atos 1.5</w:t>
        </w:r>
      </w:hyperlink>
      <w:r>
        <w:t xml:space="preserve">. Uma vez que o </w:t>
      </w:r>
      <w:r>
        <w:rPr>
          <w:i/>
        </w:rPr>
        <w:t>derramamento do Espírito</w:t>
      </w:r>
      <w:r>
        <w:t xml:space="preserve"> foi visto como a marca dos “últimos dias” (</w:t>
      </w:r>
      <w:hyperlink r:id="rId3270">
        <w:r>
          <w:rPr>
            <w:color w:val="0000EE"/>
            <w:u w:val="single"/>
          </w:rPr>
          <w:t>Is 44.3</w:t>
        </w:r>
      </w:hyperlink>
      <w:r>
        <w:t xml:space="preserve">; </w:t>
      </w:r>
      <w:hyperlink r:id="rId3271">
        <w:r>
          <w:rPr>
            <w:color w:val="0000EE"/>
            <w:u w:val="single"/>
          </w:rPr>
          <w:t>Ez 39.29</w:t>
        </w:r>
      </w:hyperlink>
      <w:r>
        <w:t xml:space="preserve">; </w:t>
      </w:r>
      <w:hyperlink r:id="rId3272">
        <w:r>
          <w:rPr>
            <w:color w:val="0000EE"/>
            <w:u w:val="single"/>
          </w:rPr>
          <w:t>Jl 2.28–29</w:t>
        </w:r>
      </w:hyperlink>
      <w:r>
        <w:t xml:space="preserve">), assim que foram batizados no Espírito os discípulos começaram a vivenciar os </w:t>
      </w:r>
      <w:r>
        <w:rPr>
          <w:i/>
        </w:rPr>
        <w:t>últimos dias</w:t>
      </w:r>
      <w:r>
        <w:t xml:space="preserve"> por si próprios (</w:t>
      </w:r>
      <w:hyperlink r:id="rId3273">
        <w:r>
          <w:rPr>
            <w:color w:val="0000EE"/>
            <w:u w:val="single"/>
          </w:rPr>
          <w:t>Atos 2.1–7, 18</w:t>
        </w:r>
      </w:hyperlink>
      <w:r>
        <w:t xml:space="preserve">). </w:t>
      </w:r>
      <w:hyperlink r:id="rId3274">
        <w:r>
          <w:rPr>
            <w:color w:val="0000EE"/>
            <w:u w:val="single"/>
          </w:rPr>
          <w:t>Atos 11.17</w:t>
        </w:r>
      </w:hyperlink>
      <w:r>
        <w:t xml:space="preserve"> fala de Pentecostes como a ocasião em que eles acreditaram em Jesus Cristo como Senhor. Da mesma forma, o apóstolo Paulo vê o dom do Espírito como o início da experiência cristã (</w:t>
      </w:r>
      <w:hyperlink r:id="rId887">
        <w:r>
          <w:rPr>
            <w:color w:val="0000EE"/>
            <w:u w:val="single"/>
          </w:rPr>
          <w:t>2Co 1.22</w:t>
        </w:r>
      </w:hyperlink>
      <w:r>
        <w:t xml:space="preserve">; </w:t>
      </w:r>
      <w:hyperlink r:id="rId3275">
        <w:r>
          <w:rPr>
            <w:color w:val="0000EE"/>
            <w:u w:val="single"/>
          </w:rPr>
          <w:t>Gl 3.3</w:t>
        </w:r>
      </w:hyperlink>
      <w:r>
        <w:t>), de modo que “ter o Espírito de Cristo” é a marca que define o cristão (</w:t>
      </w:r>
      <w:hyperlink r:id="rId3276">
        <w:r>
          <w:rPr>
            <w:color w:val="0000EE"/>
            <w:u w:val="single"/>
          </w:rPr>
          <w:t>Rm 8.9</w:t>
        </w:r>
      </w:hyperlink>
      <w:r>
        <w:t>). Ao ser batizado no Espírito, Cornélio e seus amigos receberam o perdão e salvação que Pedro lhes prometeu (</w:t>
      </w:r>
      <w:hyperlink r:id="rId3277">
        <w:r>
          <w:rPr>
            <w:color w:val="0000EE"/>
            <w:u w:val="single"/>
          </w:rPr>
          <w:t>Atos 10.43–45</w:t>
        </w:r>
      </w:hyperlink>
      <w:r>
        <w:t xml:space="preserve">; </w:t>
      </w:r>
      <w:hyperlink r:id="rId3278">
        <w:r>
          <w:rPr>
            <w:color w:val="0000EE"/>
            <w:u w:val="single"/>
          </w:rPr>
          <w:t>11.13–18</w:t>
        </w:r>
      </w:hyperlink>
      <w:r>
        <w:t>). "Batizados no Espírito" aqui é sinônimo de "arrependimento concedido para suas vidas" (</w:t>
      </w:r>
      <w:hyperlink r:id="rId2602">
        <w:r>
          <w:rPr>
            <w:color w:val="0000EE"/>
            <w:u w:val="single"/>
          </w:rPr>
          <w:t>11.18</w:t>
        </w:r>
      </w:hyperlink>
      <w:r>
        <w:t>) e “purificação de seus corações pela fé” (</w:t>
      </w:r>
      <w:hyperlink r:id="rId3279">
        <w:r>
          <w:rPr>
            <w:color w:val="0000EE"/>
            <w:u w:val="single"/>
          </w:rPr>
          <w:t>15.8–9</w:t>
        </w:r>
      </w:hyperlink>
      <w:r>
        <w:t xml:space="preserve">). </w:t>
      </w:r>
      <w:r>
        <w:rPr>
          <w:i/>
        </w:rPr>
        <w:t>Veja</w:t>
      </w:r>
      <w:r>
        <w:t xml:space="preserve"> </w:t>
      </w:r>
      <w:r>
        <w:t>Batismo</w:t>
      </w:r>
      <w:r>
        <w:t xml:space="preserve">; </w:t>
      </w:r>
      <w:r>
        <w:t>Batismo de Fogo</w:t>
      </w:r>
      <w:r>
        <w:t xml:space="preserve">; </w:t>
      </w:r>
      <w:r>
        <w:t>Dons Espirituais</w:t>
      </w:r>
      <w:r>
        <w:t>.</w:t>
      </w:r>
      <w:r/>
      <w:r/>
    </w:p>
    <w:p>
      <w:r/>
    </w:p>
    <w:p>
      <w:pPr>
        <w:pStyle w:val="Heading2"/>
      </w:pPr>
      <w:r>
        <w:t>Batismo pelos mortos</w:t>
      </w:r>
      <w:r/>
    </w:p>
    <w:p>
      <w:r/>
      <w:r>
        <w:t>Costume de significado incerto, mencionado uma vez no NT (</w:t>
      </w:r>
      <w:hyperlink r:id="rId3280">
        <w:r>
          <w:rPr>
            <w:color w:val="0000EE"/>
            <w:u w:val="single"/>
          </w:rPr>
          <w:t>1Co 15.29</w:t>
        </w:r>
      </w:hyperlink>
      <w:r>
        <w:t>). Muitas interpretações foram oferecidas para esse verso muito discutido. As questões importantes são a natureza da prática do batismo pelos mortos e se o apóstolo Paulo aprovava isso.</w:t>
      </w:r>
    </w:p>
    <w:p>
      <w:r/>
      <w:r>
        <w:t xml:space="preserve">A maioria das interpretações da frase "batizado pelos mortos" se encaixa em uma das três categorias: batismo metafórico, batismo normal ou batismo por procuração. Em </w:t>
      </w:r>
      <w:hyperlink r:id="rId3281">
        <w:r>
          <w:rPr>
            <w:color w:val="0000EE"/>
            <w:u w:val="single"/>
          </w:rPr>
          <w:t>Marcos 10:38</w:t>
        </w:r>
      </w:hyperlink>
      <w:r>
        <w:t xml:space="preserve"> e </w:t>
      </w:r>
      <w:hyperlink r:id="rId3282">
        <w:r>
          <w:rPr>
            <w:color w:val="0000EE"/>
            <w:u w:val="single"/>
          </w:rPr>
          <w:t>Lucas 12:50</w:t>
        </w:r>
      </w:hyperlink>
      <w:r>
        <w:t>, o batismo é usado como uma metáfora para o sofrimento ou martírio. Alguns estudiosos, interpretando "batismo pelos mortos" como uma metáfora para o martírio, traduziriam como "sendo batizado com vista à morte".</w:t>
      </w:r>
    </w:p>
    <w:p>
      <w:r/>
      <w:r>
        <w:t>Muitos preferem ler a frase no sentido normal de ser batizado em nome próprio. Martinho Lutero pensava que se referia à prática de batizar sobre os túmulos dos mortos. João Calvino acreditava que tinha a ver com cristãos que pediam batismo porque estavam em perigo de morte. Outros pensam que se referia a convertidos que eram batizados por causa do testemunho de mártires cristãos ou entes queridos falecidos.</w:t>
      </w:r>
    </w:p>
    <w:p>
      <w:r/>
      <w:r>
        <w:t>O significado mais natural das palavras aponta para uma prática de batismo por procuração. A frase parece indicar que certas pessoas em Corinto teriam sido batizadas vicariamente por pessoas falecidas. Os coríntios podem ter tido uma visão mágica do batismo. Isso pode explicar por que, para eles, Paulo diminuiu seu ministério como batizador (</w:t>
      </w:r>
      <w:hyperlink r:id="rId3283">
        <w:r>
          <w:rPr>
            <w:color w:val="0000EE"/>
            <w:u w:val="single"/>
          </w:rPr>
          <w:t>1Co 1:14–17</w:t>
        </w:r>
      </w:hyperlink>
      <w:r>
        <w:t>). Comparando a experiência dos coríntios com a de Israel no deserto (</w:t>
      </w:r>
      <w:hyperlink r:id="rId3284">
        <w:r>
          <w:rPr>
            <w:color w:val="0000EE"/>
            <w:u w:val="single"/>
          </w:rPr>
          <w:t>10.1–13</w:t>
        </w:r>
      </w:hyperlink>
      <w:r>
        <w:t>), Paulo descreveu a travessia do Mar Vermelho e a coleta de maná em termos que claramente sugerem o batismo e a Ceia do Senhor. Paulo lembrou aos seus leitores que nenhuma dessas experiências dramáticas impediu os israelitas de caírem em pecado. Talvez os coríntios considerassem os sacramentos cristãos como ritos que garantiam sua salvação. Se assim fosse, os praticantes do batismo por procuração provavelmente acreditavam que o rito tinha algum benefício para os falecidos.</w:t>
      </w:r>
    </w:p>
    <w:p>
      <w:r/>
      <w:r>
        <w:t xml:space="preserve">Paulo aprovava a prática do batismo pelos mortos? Provavelmente não. Deve-se notar que nos argumentos específicos para a ressurreição dos mortos em </w:t>
      </w:r>
      <w:hyperlink r:id="rId3285">
        <w:r>
          <w:rPr>
            <w:color w:val="0000EE"/>
            <w:u w:val="single"/>
          </w:rPr>
          <w:t>1 Coríntios 15.29–34</w:t>
        </w:r>
      </w:hyperlink>
      <w:r>
        <w:t xml:space="preserve">, Paulo se separou dos praticantes desse batismo. Sem implicar aprovação da prática, Paulo usou o batismo vicário meramente como um argumento ilustrativo: a menos que </w:t>
      </w:r>
      <w:r>
        <w:rPr>
          <w:i/>
        </w:rPr>
        <w:t>alguns</w:t>
      </w:r>
      <w:r>
        <w:t xml:space="preserve"> coríntios acreditassem na ressurreição real dos mortos, sua prática de batizar em nome dos mortos obviamente seria sem sentido.</w:t>
      </w:r>
      <w:r/>
      <w:r/>
    </w:p>
    <w:p>
      <w:r/>
    </w:p>
    <w:p>
      <w:pPr>
        <w:pStyle w:val="Heading2"/>
      </w:pPr>
      <w:r>
        <w:t>Bdélio</w:t>
      </w:r>
      <w:r/>
    </w:p>
    <w:p>
      <w:r/>
      <w:r>
        <w:t>Uma substância mencionada duas vezes no Antigo Testamento é a resina de um arbusto árabe (chamado Commiphora africana). A planta está relacionada ao arbusto de onde vem a mirra e talvez também à planta da qual o "bálsamo" bíblico era coletado.</w:t>
      </w:r>
    </w:p>
    <w:p>
      <w:r/>
      <w:r>
        <w:t>Além da Bíblia, o bdélio foi descrito por um herbalista inglês como uma goma perfumada de uma árvore encontrada na Pérsia e para o leste. No primeiro século d.C., o escritor romano Plínio mencionou a mesma árvore e descreveu a goma como cerosa e parecida com pérola.</w:t>
      </w:r>
    </w:p>
    <w:p>
      <w:r/>
      <w:r>
        <w:t>A Bíblia descreve o maná recolhido pelos israelitas como tendo a mesma cor que o bdélio (</w:t>
      </w:r>
      <w:hyperlink r:id="rId3286">
        <w:r>
          <w:rPr>
            <w:color w:val="0000EE"/>
            <w:u w:val="single"/>
          </w:rPr>
          <w:t>Nm 11.7</w:t>
        </w:r>
      </w:hyperlink>
      <w:r>
        <w:t>). O bdélio também é mencionado junto com o ouro e a pedra de ônix encontrados perto do Jardim do Éden (</w:t>
      </w:r>
      <w:hyperlink r:id="rId3287">
        <w:r>
          <w:rPr>
            <w:color w:val="0000EE"/>
            <w:u w:val="single"/>
          </w:rPr>
          <w:t>Gn 2.12</w:t>
        </w:r>
      </w:hyperlink>
      <w:r>
        <w:t>). Porque foi incluído nessa lista, as pessoas costumavam pensar que o bdélio era uma pérola ou uma pedra preciosa.</w:t>
      </w:r>
    </w:p>
    <w:p>
      <w:r/>
      <w:r>
        <w:rPr>
          <w:i/>
        </w:rPr>
        <w:t>Veja também</w:t>
      </w:r>
      <w:r>
        <w:t xml:space="preserve"> </w:t>
      </w:r>
      <w:r>
        <w:t>Plantas</w:t>
      </w:r>
      <w:r>
        <w:t>.</w:t>
      </w:r>
      <w:r/>
      <w:r/>
    </w:p>
    <w:p>
      <w:r/>
    </w:p>
    <w:p>
      <w:pPr>
        <w:pStyle w:val="Heading2"/>
      </w:pPr>
      <w:r>
        <w:t>Bebida forte</w:t>
      </w:r>
      <w:r/>
    </w:p>
    <w:p>
      <w:r/>
      <w:r>
        <w:t>Bebida forte refere-se a qualquer tipo de bebida alcoólica.</w:t>
      </w:r>
    </w:p>
    <w:p>
      <w:r/>
      <w:r>
        <w:t>Era proibido para:</w:t>
      </w:r>
    </w:p>
    <w:p>
      <w:pPr>
        <w:pStyle w:val="ListBullet"/>
        <w:spacing w:line="240" w:lineRule="auto"/>
        <w:ind w:left="720"/>
      </w:pPr>
      <w:r/>
      <w:r>
        <w:t>Levitas que estavam entrando na tenda da congregação (</w:t>
      </w:r>
      <w:hyperlink r:id="rId3288">
        <w:r>
          <w:rPr>
            <w:color w:val="0000EE"/>
            <w:u w:val="single"/>
          </w:rPr>
          <w:t>Lv 10.9</w:t>
        </w:r>
      </w:hyperlink>
      <w:r>
        <w:t>);</w:t>
      </w:r>
    </w:p>
    <w:p>
      <w:pPr>
        <w:pStyle w:val="ListBullet"/>
        <w:spacing w:line="240" w:lineRule="auto"/>
        <w:ind w:left="720"/>
      </w:pPr>
      <w:r/>
      <w:r>
        <w:t>Aqueles que faziam o voto de nazireu (</w:t>
      </w:r>
      <w:hyperlink r:id="rId3289">
        <w:r>
          <w:rPr>
            <w:color w:val="0000EE"/>
            <w:u w:val="single"/>
          </w:rPr>
          <w:t>Nm 6.3</w:t>
        </w:r>
      </w:hyperlink>
      <w:r>
        <w:t xml:space="preserve">; </w:t>
      </w:r>
      <w:hyperlink r:id="rId3290">
        <w:r>
          <w:rPr>
            <w:color w:val="0000EE"/>
            <w:u w:val="single"/>
          </w:rPr>
          <w:t>Jz 13.4–14</w:t>
        </w:r>
      </w:hyperlink>
      <w:r>
        <w:t>);</w:t>
      </w:r>
    </w:p>
    <w:p>
      <w:pPr>
        <w:pStyle w:val="ListBullet"/>
        <w:spacing w:line="240" w:lineRule="auto"/>
        <w:ind w:left="720"/>
      </w:pPr>
      <w:r/>
      <w:r>
        <w:t>Reis e governantes (</w:t>
      </w:r>
      <w:hyperlink r:id="rId3291">
        <w:r>
          <w:rPr>
            <w:color w:val="0000EE"/>
            <w:u w:val="single"/>
          </w:rPr>
          <w:t>Pv 31.4</w:t>
        </w:r>
      </w:hyperlink>
      <w:r>
        <w:t>);</w:t>
      </w:r>
    </w:p>
    <w:p>
      <w:pPr>
        <w:pStyle w:val="ListBullet"/>
        <w:spacing w:line="240" w:lineRule="auto"/>
        <w:ind w:left="720"/>
      </w:pPr>
      <w:r/>
      <w:r>
        <w:t>João Batista (</w:t>
      </w:r>
      <w:hyperlink r:id="rId2004">
        <w:r>
          <w:rPr>
            <w:color w:val="0000EE"/>
            <w:u w:val="single"/>
          </w:rPr>
          <w:t>Lucas 1.15</w:t>
        </w:r>
      </w:hyperlink>
      <w:r>
        <w:t>).</w:t>
      </w:r>
    </w:p>
    <w:p>
      <w:r/>
      <w:r>
        <w:t xml:space="preserve">O autor de </w:t>
      </w:r>
      <w:hyperlink r:id="rId3292">
        <w:r>
          <w:rPr>
            <w:color w:val="0000EE"/>
            <w:u w:val="single"/>
          </w:rPr>
          <w:t>Provérbios 20.1</w:t>
        </w:r>
      </w:hyperlink>
      <w:r>
        <w:t xml:space="preserve"> sugere que o homem sábio não se embriaga com isso. Isaías adverte contra aqueles que são viciados nisso (</w:t>
      </w:r>
      <w:hyperlink r:id="rId3293">
        <w:r>
          <w:rPr>
            <w:color w:val="0000EE"/>
            <w:u w:val="single"/>
          </w:rPr>
          <w:t>Is 5.11,22</w:t>
        </w:r>
      </w:hyperlink>
      <w:r>
        <w:t>). A bebida forte era usada como oferta no sacrifício levítico (</w:t>
      </w:r>
      <w:hyperlink r:id="rId3294">
        <w:r>
          <w:rPr>
            <w:color w:val="0000EE"/>
            <w:u w:val="single"/>
          </w:rPr>
          <w:t>Nm 28.7</w:t>
        </w:r>
      </w:hyperlink>
      <w:r>
        <w:t>). Era permitida durante a festa ao dizimar (</w:t>
      </w:r>
      <w:hyperlink r:id="rId3295">
        <w:r>
          <w:rPr>
            <w:color w:val="0000EE"/>
            <w:u w:val="single"/>
          </w:rPr>
          <w:t>Dt 14.26</w:t>
        </w:r>
      </w:hyperlink>
      <w:r>
        <w:t>).</w:t>
      </w:r>
    </w:p>
    <w:p>
      <w:r/>
      <w:r>
        <w:rPr>
          <w:i/>
        </w:rPr>
        <w:t>Veja</w:t>
      </w:r>
      <w:r>
        <w:t xml:space="preserve"> </w:t>
      </w:r>
      <w:r>
        <w:t>Vinho</w:t>
      </w:r>
      <w:r>
        <w:t>.</w:t>
      </w:r>
      <w:r/>
      <w:r/>
    </w:p>
    <w:p>
      <w:r/>
    </w:p>
    <w:p>
      <w:pPr>
        <w:pStyle w:val="Heading2"/>
      </w:pPr>
      <w:r>
        <w:t>Beca</w:t>
      </w:r>
      <w:r/>
    </w:p>
    <w:p>
      <w:r/>
      <w:r>
        <w:t>Um peso de seis gramas que era chamado de "meio siclo, conforme o siclo do santuário" (</w:t>
      </w:r>
      <w:hyperlink r:id="rId3296">
        <w:r>
          <w:rPr>
            <w:color w:val="0000EE"/>
            <w:u w:val="single"/>
          </w:rPr>
          <w:t>Êx 38.26</w:t>
        </w:r>
      </w:hyperlink>
      <w:r>
        <w:t>).</w:t>
      </w:r>
    </w:p>
    <w:p>
      <w:r/>
      <w:r>
        <w:rPr>
          <w:i/>
        </w:rPr>
        <w:t xml:space="preserve">Veja </w:t>
      </w:r>
      <w:r>
        <w:t>Pesos e Medidas</w:t>
      </w:r>
      <w:r>
        <w:t>.</w:t>
      </w:r>
      <w:r/>
      <w:r/>
    </w:p>
    <w:p>
      <w:r/>
    </w:p>
    <w:p>
      <w:pPr>
        <w:pStyle w:val="Heading2"/>
      </w:pPr>
      <w:r>
        <w:t>Bedade</w:t>
      </w:r>
      <w:r/>
    </w:p>
    <w:p>
      <w:r/>
      <w:r>
        <w:t>O pai de Hadade, um dos reis de Edom antes de Israel ter reis (</w:t>
      </w:r>
      <w:hyperlink r:id="rId2932">
        <w:r>
          <w:rPr>
            <w:color w:val="0000EE"/>
            <w:u w:val="single"/>
          </w:rPr>
          <w:t>Gn 36.35</w:t>
        </w:r>
      </w:hyperlink>
      <w:r>
        <w:t xml:space="preserve">; </w:t>
      </w:r>
      <w:hyperlink r:id="rId2933">
        <w:r>
          <w:rPr>
            <w:color w:val="0000EE"/>
            <w:u w:val="single"/>
          </w:rPr>
          <w:t>1Cr 1.46</w:t>
        </w:r>
      </w:hyperlink>
      <w:r>
        <w:t>).</w:t>
      </w:r>
      <w:r/>
      <w:r/>
    </w:p>
    <w:p>
      <w:r/>
    </w:p>
    <w:p>
      <w:pPr>
        <w:pStyle w:val="Heading2"/>
      </w:pPr>
      <w:r>
        <w:t>Beer</w:t>
      </w:r>
      <w:r/>
    </w:p>
    <w:p>
      <w:pPr>
        <w:pStyle w:val="ListNumber"/>
        <w:spacing w:line="240" w:lineRule="auto"/>
        <w:ind w:left="720"/>
      </w:pPr>
      <w:r/>
      <w:r>
        <w:t>Um lugar onde Israel acampou enquanto estava no deserto. Provavelmente ficava ao norte do rio Arnom, na fronteira de Moabe e os amorreus (</w:t>
      </w:r>
      <w:hyperlink r:id="rId3297">
        <w:r>
          <w:rPr>
            <w:color w:val="0000EE"/>
            <w:u w:val="single"/>
          </w:rPr>
          <w:t>Nm 21.16</w:t>
        </w:r>
      </w:hyperlink>
      <w:r>
        <w:t>). O nome significa "um poço". A água do poço que cavaram lá foi celebrada em canção (</w:t>
      </w:r>
      <w:hyperlink r:id="rId3298">
        <w:r>
          <w:rPr>
            <w:color w:val="0000EE"/>
            <w:u w:val="single"/>
          </w:rPr>
          <w:t>Nm 21.17–18</w:t>
        </w:r>
      </w:hyperlink>
      <w:r>
        <w:t xml:space="preserve">). Pode ter sido no mesmo local que o poço moabita chamado </w:t>
      </w:r>
      <w:r>
        <w:rPr>
          <w:i/>
        </w:rPr>
        <w:t>Beer-Elim</w:t>
      </w:r>
      <w:r>
        <w:t xml:space="preserve"> (</w:t>
      </w:r>
      <w:hyperlink r:id="rId3299">
        <w:r>
          <w:rPr>
            <w:color w:val="0000EE"/>
            <w:u w:val="single"/>
          </w:rPr>
          <w:t>Is 15.8</w:t>
        </w:r>
      </w:hyperlink>
      <w:r>
        <w:t>).</w:t>
      </w:r>
    </w:p>
    <w:p>
      <w:r/>
      <w:r>
        <w:rPr>
          <w:i/>
        </w:rPr>
        <w:t>Veja</w:t>
      </w:r>
      <w:r>
        <w:t xml:space="preserve"> </w:t>
      </w:r>
      <w:r>
        <w:t>Peregrinações no Deserto</w:t>
      </w:r>
      <w:r>
        <w:t>.</w:t>
      </w:r>
    </w:p>
    <w:p>
      <w:pPr>
        <w:pStyle w:val="ListNumber"/>
        <w:spacing w:line="240" w:lineRule="auto"/>
        <w:ind w:left="720"/>
      </w:pPr>
      <w:r/>
      <w:r>
        <w:t>O lugar para onde o filho de Gideão, Jotão, fugiu após criticar seu meio-irmão Abimeleque, que havia matado todos os seus meio-irmãos enquanto tentava se tornar rei de Israel (</w:t>
      </w:r>
      <w:hyperlink r:id="rId3300">
        <w:r>
          <w:rPr>
            <w:color w:val="0000EE"/>
            <w:u w:val="single"/>
          </w:rPr>
          <w:t>Jz 9.21</w:t>
        </w:r>
      </w:hyperlink>
      <w:r>
        <w:t>).</w:t>
      </w:r>
      <w:r/>
      <w:r/>
    </w:p>
    <w:p>
      <w:r/>
    </w:p>
    <w:p>
      <w:pPr>
        <w:pStyle w:val="Heading2"/>
      </w:pPr>
      <w:r>
        <w:t>Beer-Elim</w:t>
      </w:r>
      <w:r/>
    </w:p>
    <w:p>
      <w:r/>
      <w:r>
        <w:t>Uma das cidades de Moabe que Isaías previu que ouviria choro quando o reino moabita caísse (</w:t>
      </w:r>
      <w:hyperlink r:id="rId3299">
        <w:r>
          <w:rPr>
            <w:color w:val="0000EE"/>
            <w:u w:val="single"/>
          </w:rPr>
          <w:t>Is 15.8</w:t>
        </w:r>
      </w:hyperlink>
      <w:r>
        <w:t>). Pode ser a mesma que Beer (</w:t>
      </w:r>
      <w:hyperlink r:id="rId3297">
        <w:r>
          <w:rPr>
            <w:color w:val="0000EE"/>
            <w:u w:val="single"/>
          </w:rPr>
          <w:t>Nm 21.16</w:t>
        </w:r>
      </w:hyperlink>
      <w:r>
        <w:t>).</w:t>
      </w:r>
      <w:r/>
      <w:r/>
    </w:p>
    <w:p>
      <w:r/>
    </w:p>
    <w:p>
      <w:pPr>
        <w:pStyle w:val="Heading2"/>
      </w:pPr>
      <w:r>
        <w:t>Beeri</w:t>
      </w:r>
      <w:r/>
    </w:p>
    <w:p>
      <w:pPr>
        <w:pStyle w:val="ListNumber"/>
        <w:spacing w:line="240" w:lineRule="auto"/>
        <w:ind w:left="720"/>
      </w:pPr>
      <w:r/>
      <w:r>
        <w:t>O pai de Judite era um hitita (às vezes grafado como heteu). Judite foi uma das esposas de Esaú (</w:t>
      </w:r>
      <w:hyperlink r:id="rId3166">
        <w:r>
          <w:rPr>
            <w:color w:val="0000EE"/>
            <w:u w:val="single"/>
          </w:rPr>
          <w:t>Gn 26.34</w:t>
        </w:r>
      </w:hyperlink>
      <w:r>
        <w:t>).</w:t>
      </w:r>
    </w:p>
    <w:p>
      <w:pPr>
        <w:pStyle w:val="ListNumber"/>
        <w:spacing w:line="240" w:lineRule="auto"/>
        <w:ind w:left="720"/>
      </w:pPr>
      <w:r/>
      <w:r>
        <w:t>O pai do profeta Oseias (</w:t>
      </w:r>
      <w:hyperlink r:id="rId3301">
        <w:r>
          <w:rPr>
            <w:color w:val="0000EE"/>
            <w:u w:val="single"/>
          </w:rPr>
          <w:t>Os 1.1</w:t>
        </w:r>
      </w:hyperlink>
      <w:r>
        <w:t>).</w:t>
      </w:r>
      <w:r/>
      <w:r/>
    </w:p>
    <w:p>
      <w:r/>
    </w:p>
    <w:p>
      <w:pPr>
        <w:pStyle w:val="Heading2"/>
      </w:pPr>
      <w:r>
        <w:t>Beer-Lahai-Roi</w:t>
      </w:r>
      <w:r/>
    </w:p>
    <w:p>
      <w:r/>
      <w:r>
        <w:t>Um poço entre Cades e Berede onde Agar foi confrontada pelo anjo do Senhor quando estava grávida de Ismael (</w:t>
      </w:r>
      <w:hyperlink r:id="rId3302">
        <w:r>
          <w:rPr>
            <w:color w:val="0000EE"/>
            <w:u w:val="single"/>
          </w:rPr>
          <w:t>Gn 16.7–14</w:t>
        </w:r>
      </w:hyperlink>
      <w:r>
        <w:t>). Beer-Laai-Roi significa “Poço daquele que Vive e me vê”. Isso se refere à aparição de Deus à serva de Sarai. Mais tarde, Isaque frequentemente usava o poço como local de abastecimento de água em suas viagens (</w:t>
      </w:r>
      <w:hyperlink r:id="rId3303">
        <w:r>
          <w:rPr>
            <w:color w:val="0000EE"/>
            <w:u w:val="single"/>
          </w:rPr>
          <w:t>Gn 24.62</w:t>
        </w:r>
      </w:hyperlink>
      <w:r>
        <w:t xml:space="preserve">; </w:t>
      </w:r>
      <w:hyperlink r:id="rId3304">
        <w:r>
          <w:rPr>
            <w:color w:val="0000EE"/>
            <w:u w:val="single"/>
          </w:rPr>
          <w:t>25.11</w:t>
        </w:r>
      </w:hyperlink>
      <w:r>
        <w:t>).</w:t>
      </w:r>
      <w:r/>
      <w:r/>
    </w:p>
    <w:p>
      <w:r/>
    </w:p>
    <w:p>
      <w:pPr>
        <w:pStyle w:val="Heading2"/>
      </w:pPr>
      <w:r>
        <w:t>Beerote-Benê-Jaacã</w:t>
      </w:r>
      <w:r/>
    </w:p>
    <w:p>
      <w:r/>
      <w:r>
        <w:t>O local onde os israelitas acamparam durante sua jornada pelo deserto desde o Egito ficava perto de Mosera ou Moserote (</w:t>
      </w:r>
      <w:hyperlink r:id="rId3305">
        <w:r>
          <w:rPr>
            <w:color w:val="0000EE"/>
            <w:u w:val="single"/>
          </w:rPr>
          <w:t>Dt 10.6</w:t>
        </w:r>
      </w:hyperlink>
      <w:r>
        <w:t xml:space="preserve">). Também é chamado de Benê-Jaacã em </w:t>
      </w:r>
      <w:hyperlink r:id="rId3306">
        <w:r>
          <w:rPr>
            <w:color w:val="0000EE"/>
            <w:u w:val="single"/>
          </w:rPr>
          <w:t>Números 33.31–32</w:t>
        </w:r>
      </w:hyperlink>
      <w:r>
        <w:t>. Beerote-Benê-Jaacã significa "poço dos filhos de Jaacã".</w:t>
      </w:r>
    </w:p>
    <w:p>
      <w:r/>
      <w:r>
        <w:rPr>
          <w:i/>
        </w:rPr>
        <w:t>Veja</w:t>
      </w:r>
      <w:r>
        <w:t xml:space="preserve"> </w:t>
      </w:r>
      <w:r>
        <w:t>Peregrinações no deserto</w:t>
      </w:r>
      <w:r>
        <w:t>.</w:t>
      </w:r>
      <w:r/>
      <w:r/>
    </w:p>
    <w:p>
      <w:r/>
    </w:p>
    <w:p>
      <w:pPr>
        <w:pStyle w:val="Heading2"/>
      </w:pPr>
      <w:r>
        <w:t>Beerote-Benê-Jaacã</w:t>
      </w:r>
      <w:r/>
    </w:p>
    <w:p>
      <w:r/>
      <w:r>
        <w:t>Um lugar onde Israel acampou perto da fronteira de Edom (</w:t>
      </w:r>
      <w:hyperlink r:id="rId3306">
        <w:r>
          <w:rPr>
            <w:color w:val="0000EE"/>
            <w:u w:val="single"/>
          </w:rPr>
          <w:t>Nm 33.31–32</w:t>
        </w:r>
      </w:hyperlink>
      <w:r>
        <w:t>).</w:t>
      </w:r>
    </w:p>
    <w:p>
      <w:r/>
      <w:r>
        <w:rPr>
          <w:i/>
        </w:rPr>
        <w:t>Veja</w:t>
      </w:r>
      <w:r>
        <w:t xml:space="preserve"> </w:t>
      </w:r>
      <w:r>
        <w:t>Beerote-Benê-Jaacã</w:t>
      </w:r>
      <w:r>
        <w:t>.</w:t>
      </w:r>
      <w:r/>
      <w:r/>
    </w:p>
    <w:p>
      <w:r/>
    </w:p>
    <w:p>
      <w:pPr>
        <w:pStyle w:val="Heading2"/>
      </w:pPr>
      <w:r>
        <w:t>Behemoth</w:t>
      </w:r>
      <w:r/>
    </w:p>
    <w:p>
      <w:r/>
      <w:r>
        <w:t xml:space="preserve">Uma palavra hebraica plural geralmente traduzida como “bestas” ou “animais selvagens” (como em </w:t>
      </w:r>
      <w:hyperlink r:id="rId3307">
        <w:r>
          <w:rPr>
            <w:color w:val="0000EE"/>
            <w:u w:val="single"/>
          </w:rPr>
          <w:t>Dt 28.26</w:t>
        </w:r>
      </w:hyperlink>
      <w:r>
        <w:t xml:space="preserve">; </w:t>
      </w:r>
      <w:hyperlink r:id="rId3308">
        <w:r>
          <w:rPr>
            <w:color w:val="0000EE"/>
            <w:u w:val="single"/>
          </w:rPr>
          <w:t>32.24</w:t>
        </w:r>
      </w:hyperlink>
      <w:r>
        <w:t xml:space="preserve">; </w:t>
      </w:r>
      <w:hyperlink r:id="rId3309">
        <w:r>
          <w:rPr>
            <w:color w:val="0000EE"/>
            <w:u w:val="single"/>
          </w:rPr>
          <w:t>Sl 50.10</w:t>
        </w:r>
      </w:hyperlink>
      <w:r>
        <w:t xml:space="preserve">; </w:t>
      </w:r>
      <w:hyperlink r:id="rId3310">
        <w:r>
          <w:rPr>
            <w:color w:val="0000EE"/>
            <w:u w:val="single"/>
          </w:rPr>
          <w:t>Is 18.6</w:t>
        </w:r>
      </w:hyperlink>
      <w:r>
        <w:t xml:space="preserve">; </w:t>
      </w:r>
      <w:hyperlink r:id="rId3311">
        <w:r>
          <w:rPr>
            <w:color w:val="0000EE"/>
            <w:u w:val="single"/>
          </w:rPr>
          <w:t>2Ed 6.49,51</w:t>
        </w:r>
      </w:hyperlink>
      <w:r>
        <w:t xml:space="preserve">; </w:t>
      </w:r>
      <w:hyperlink r:id="rId3312">
        <w:r>
          <w:rPr>
            <w:color w:val="0000EE"/>
            <w:u w:val="single"/>
          </w:rPr>
          <w:t>Hc 2.17</w:t>
        </w:r>
      </w:hyperlink>
      <w:r>
        <w:t xml:space="preserve">). A maioria das traduções em português refere-se a um “beemote” apenas em </w:t>
      </w:r>
      <w:hyperlink r:id="rId3313">
        <w:r>
          <w:rPr>
            <w:color w:val="0000EE"/>
            <w:u w:val="single"/>
          </w:rPr>
          <w:t>Jó 40.15</w:t>
        </w:r>
      </w:hyperlink>
      <w:r>
        <w:t xml:space="preserve">, quando o contexto parece referir-se ao animal específico. O animal era grande e poderoso. Muitos estudiosos bíblicos acreditam que era um hipopótamo. Nos tempos antigos, o hipopótamo era bem conhecido no Egito e pode ter vivido no Vale do Jordão. </w:t>
      </w:r>
      <w:hyperlink r:id="rId3314">
        <w:r>
          <w:rPr>
            <w:color w:val="0000EE"/>
            <w:u w:val="single"/>
          </w:rPr>
          <w:t>Jó 40.23</w:t>
        </w:r>
      </w:hyperlink>
      <w:r>
        <w:t xml:space="preserve"> pode referir-se a qualquer rio que transbordasse como o Jordão na estação de cheia.</w:t>
      </w:r>
    </w:p>
    <w:p>
      <w:r/>
      <w:r>
        <w:rPr>
          <w:i/>
        </w:rPr>
        <w:t>Veja</w:t>
      </w:r>
      <w:r>
        <w:t xml:space="preserve"> Hipopótamo</w:t>
      </w:r>
      <w:r>
        <w:t>.</w:t>
      </w:r>
      <w:r/>
      <w:r/>
    </w:p>
    <w:p>
      <w:r/>
    </w:p>
    <w:p>
      <w:pPr>
        <w:pStyle w:val="Heading2"/>
      </w:pPr>
      <w:r>
        <w:t>Beijo, Beijo da Paz</w:t>
      </w:r>
      <w:r/>
    </w:p>
    <w:p>
      <w:r/>
      <w:r>
        <w:t>Uma maneira comum de demonstrar amor e comunhão nos tempos bíblicos.</w:t>
      </w:r>
    </w:p>
    <w:p>
      <w:r/>
      <w:r>
        <w:t>Beijar aparece na Bíblia em muitos contextos diferentes:</w:t>
      </w:r>
    </w:p>
    <w:p>
      <w:pPr>
        <w:pStyle w:val="ListBullet"/>
        <w:spacing w:line="240" w:lineRule="auto"/>
        <w:ind w:left="720"/>
      </w:pPr>
      <w:r/>
      <w:r>
        <w:t>Beijos eram compartilhados entre parentes e amigos como um sinal de afeto (</w:t>
      </w:r>
      <w:hyperlink r:id="rId3315">
        <w:r>
          <w:rPr>
            <w:color w:val="0000EE"/>
            <w:u w:val="single"/>
          </w:rPr>
          <w:t>Gn 29.11</w:t>
        </w:r>
      </w:hyperlink>
      <w:r>
        <w:t xml:space="preserve">; </w:t>
      </w:r>
      <w:hyperlink r:id="rId3316">
        <w:r>
          <w:rPr>
            <w:color w:val="0000EE"/>
            <w:u w:val="single"/>
          </w:rPr>
          <w:t>33.4</w:t>
        </w:r>
      </w:hyperlink>
      <w:r>
        <w:t>).</w:t>
      </w:r>
    </w:p>
    <w:p>
      <w:pPr>
        <w:pStyle w:val="ListBullet"/>
        <w:spacing w:line="240" w:lineRule="auto"/>
        <w:ind w:left="720"/>
      </w:pPr>
      <w:r/>
      <w:r>
        <w:t>Às vezes, os beijos tinham um significado sensual (</w:t>
      </w:r>
      <w:hyperlink r:id="rId3317">
        <w:r>
          <w:rPr>
            <w:color w:val="0000EE"/>
            <w:u w:val="single"/>
          </w:rPr>
          <w:t>Pv 7.6–13</w:t>
        </w:r>
      </w:hyperlink>
      <w:r>
        <w:t xml:space="preserve">; </w:t>
      </w:r>
      <w:hyperlink r:id="rId3318">
        <w:r>
          <w:rPr>
            <w:color w:val="0000EE"/>
            <w:u w:val="single"/>
          </w:rPr>
          <w:t>Ct 1.2</w:t>
        </w:r>
      </w:hyperlink>
      <w:r>
        <w:t>).</w:t>
      </w:r>
    </w:p>
    <w:p>
      <w:pPr>
        <w:pStyle w:val="ListBullet"/>
        <w:spacing w:line="240" w:lineRule="auto"/>
        <w:ind w:left="720"/>
      </w:pPr>
      <w:r/>
      <w:r>
        <w:t>Beijar também era uma forma de mostrar respeito ou adoração (</w:t>
      </w:r>
      <w:hyperlink r:id="rId3319">
        <w:r>
          <w:rPr>
            <w:color w:val="0000EE"/>
            <w:u w:val="single"/>
          </w:rPr>
          <w:t>1Sm 10.1</w:t>
        </w:r>
      </w:hyperlink>
      <w:r>
        <w:t xml:space="preserve">; </w:t>
      </w:r>
      <w:hyperlink r:id="rId3320">
        <w:r>
          <w:rPr>
            <w:color w:val="0000EE"/>
            <w:u w:val="single"/>
          </w:rPr>
          <w:t>Jó 31.27</w:t>
        </w:r>
      </w:hyperlink>
      <w:r>
        <w:t>), embora pudesse ser visto como errado em certas situações (</w:t>
      </w:r>
      <w:hyperlink r:id="rId673">
        <w:r>
          <w:rPr>
            <w:color w:val="0000EE"/>
            <w:u w:val="single"/>
          </w:rPr>
          <w:t>1Rs 19.18</w:t>
        </w:r>
      </w:hyperlink>
      <w:r>
        <w:t xml:space="preserve">; </w:t>
      </w:r>
      <w:hyperlink r:id="rId1559">
        <w:r>
          <w:rPr>
            <w:color w:val="0000EE"/>
            <w:u w:val="single"/>
          </w:rPr>
          <w:t>Os 13.2</w:t>
        </w:r>
      </w:hyperlink>
      <w:r>
        <w:t>).</w:t>
      </w:r>
    </w:p>
    <w:p>
      <w:pPr>
        <w:pStyle w:val="ListBullet"/>
        <w:spacing w:line="240" w:lineRule="auto"/>
        <w:ind w:left="720"/>
      </w:pPr>
      <w:r/>
      <w:r>
        <w:t>Um beijo poderia ser usado para trair alguém, como visto na história da traição de Jesus (</w:t>
      </w:r>
      <w:hyperlink r:id="rId3321">
        <w:r>
          <w:rPr>
            <w:color w:val="0000EE"/>
            <w:u w:val="single"/>
          </w:rPr>
          <w:t>Mt 26.48–49</w:t>
        </w:r>
      </w:hyperlink>
      <w:r>
        <w:t>).</w:t>
      </w:r>
    </w:p>
    <w:p>
      <w:r/>
      <w:r>
        <w:t>No Novo Testamento, há cinco menções de um "beijo de irmão" (NTLH) ou "ósculo santo" (ARA), também conhecido como "beijo de paz":</w:t>
      </w:r>
    </w:p>
    <w:p>
      <w:pPr>
        <w:pStyle w:val="ListNumber"/>
        <w:spacing w:line="240" w:lineRule="auto"/>
        <w:ind w:left="720"/>
      </w:pPr>
      <w:r/>
      <w:hyperlink r:id="rId3322">
        <w:r>
          <w:rPr>
            <w:color w:val="0000EE"/>
            <w:u w:val="single"/>
          </w:rPr>
          <w:t>Romanos 16.16</w:t>
        </w:r>
      </w:hyperlink>
    </w:p>
    <w:p>
      <w:pPr>
        <w:pStyle w:val="ListNumber"/>
        <w:spacing w:line="240" w:lineRule="auto"/>
        <w:ind w:left="720"/>
      </w:pPr>
      <w:r/>
      <w:hyperlink r:id="rId3323">
        <w:r>
          <w:rPr>
            <w:color w:val="0000EE"/>
            <w:u w:val="single"/>
          </w:rPr>
          <w:t>1 Coríntios 16.20</w:t>
        </w:r>
      </w:hyperlink>
    </w:p>
    <w:p>
      <w:pPr>
        <w:pStyle w:val="ListNumber"/>
        <w:spacing w:line="240" w:lineRule="auto"/>
        <w:ind w:left="720"/>
      </w:pPr>
      <w:r/>
      <w:hyperlink r:id="rId3324">
        <w:r>
          <w:rPr>
            <w:color w:val="0000EE"/>
            <w:u w:val="single"/>
          </w:rPr>
          <w:t>2 Coríntios 13.12</w:t>
        </w:r>
      </w:hyperlink>
    </w:p>
    <w:p>
      <w:pPr>
        <w:pStyle w:val="ListNumber"/>
        <w:spacing w:line="240" w:lineRule="auto"/>
        <w:ind w:left="720"/>
      </w:pPr>
      <w:r/>
      <w:hyperlink r:id="rId3325">
        <w:r>
          <w:rPr>
            <w:color w:val="0000EE"/>
            <w:u w:val="single"/>
          </w:rPr>
          <w:t>1 Tessalonicenses 5.26</w:t>
        </w:r>
      </w:hyperlink>
    </w:p>
    <w:p>
      <w:pPr>
        <w:pStyle w:val="ListNumber"/>
        <w:spacing w:line="240" w:lineRule="auto"/>
        <w:ind w:left="720"/>
      </w:pPr>
      <w:r/>
      <w:hyperlink r:id="rId3326">
        <w:r>
          <w:rPr>
            <w:color w:val="0000EE"/>
            <w:u w:val="single"/>
          </w:rPr>
          <w:t>1 Pedro 5.14</w:t>
        </w:r>
      </w:hyperlink>
    </w:p>
    <w:p>
      <w:r/>
      <w:r>
        <w:t>Esse beijo era um símbolo de amor e unidade cristã. Embora a Bíblia não forneça instruções detalhadas, era um gesto de amizade e compromisso entre os primeiros cristãos (</w:t>
      </w:r>
      <w:hyperlink r:id="rId3327">
        <w:r>
          <w:rPr>
            <w:color w:val="0000EE"/>
            <w:u w:val="single"/>
          </w:rPr>
          <w:t>1Ts 5.25–27</w:t>
        </w:r>
      </w:hyperlink>
      <w:r>
        <w:t>).</w:t>
      </w:r>
    </w:p>
    <w:p>
      <w:r/>
      <w:r>
        <w:t>No final do segundo século, essa prática tornou-se parte da liturgia da igreja. Justino Mártir a descreveu como um beijo trocado entre a congregação após a oração. Com o tempo, foi movida para antes da Sagrada Comunhão e, eventualmente, substituída por uma simples reverência em muitas igrejas. Hoje, algumas igrejas ainda mantêm diferentes formas dessa prática.</w:t>
      </w:r>
      <w:r/>
      <w:r/>
    </w:p>
    <w:p>
      <w:r/>
    </w:p>
    <w:p>
      <w:pPr>
        <w:pStyle w:val="Heading2"/>
      </w:pPr>
      <w:r>
        <w:t>Bela (Lugar)</w:t>
      </w:r>
      <w:r/>
    </w:p>
    <w:p>
      <w:r/>
      <w:r>
        <w:t xml:space="preserve">Nome alternativo para Zoar, uma cidade da planície, em </w:t>
      </w:r>
      <w:hyperlink r:id="rId3328">
        <w:r>
          <w:rPr>
            <w:color w:val="0000EE"/>
            <w:u w:val="single"/>
          </w:rPr>
          <w:t>Gênesis 14.2</w:t>
        </w:r>
      </w:hyperlink>
      <w:r>
        <w:t xml:space="preserve">. </w:t>
      </w:r>
      <w:r>
        <w:rPr>
          <w:i/>
        </w:rPr>
        <w:t>Veja</w:t>
      </w:r>
      <w:r>
        <w:t xml:space="preserve"> </w:t>
      </w:r>
      <w:r>
        <w:t>Cidades da Planície</w:t>
      </w:r>
      <w:r>
        <w:t xml:space="preserve">; </w:t>
      </w:r>
      <w:r>
        <w:t>Zoar</w:t>
      </w:r>
      <w:r>
        <w:t>.</w:t>
      </w:r>
      <w:r/>
      <w:r/>
    </w:p>
    <w:p>
      <w:r/>
    </w:p>
    <w:p>
      <w:pPr>
        <w:pStyle w:val="Heading2"/>
      </w:pPr>
      <w:r>
        <w:t>Belá (Pessoa)</w:t>
      </w:r>
      <w:r/>
    </w:p>
    <w:p>
      <w:pPr>
        <w:pStyle w:val="ListNumber"/>
        <w:spacing w:line="240" w:lineRule="auto"/>
        <w:ind w:left="720"/>
      </w:pPr>
      <w:r/>
      <w:r>
        <w:t>Filho de Beor, um rei de Edom que governou antes de Israel ter um rei (</w:t>
      </w:r>
      <w:hyperlink r:id="rId3329">
        <w:r>
          <w:rPr>
            <w:color w:val="0000EE"/>
            <w:u w:val="single"/>
          </w:rPr>
          <w:t>Gn 36.31–33</w:t>
        </w:r>
      </w:hyperlink>
      <w:r>
        <w:t>). Balaão, o profeta pagão do norte da Síria, também tinha um pai chamado Beor (</w:t>
      </w:r>
      <w:hyperlink r:id="rId1059">
        <w:r>
          <w:rPr>
            <w:color w:val="0000EE"/>
            <w:u w:val="single"/>
          </w:rPr>
          <w:t>Nm 22.5</w:t>
        </w:r>
      </w:hyperlink>
      <w:r>
        <w:t>). Assim, alguns estudiosos confundiram o edomita Belá com Balaão.</w:t>
      </w:r>
    </w:p>
    <w:p>
      <w:pPr>
        <w:pStyle w:val="ListNumber"/>
        <w:spacing w:line="240" w:lineRule="auto"/>
        <w:ind w:left="720"/>
      </w:pPr>
      <w:r/>
      <w:r>
        <w:t>O filho mais velho de Benjamim (</w:t>
      </w:r>
      <w:hyperlink r:id="rId661">
        <w:r>
          <w:rPr>
            <w:color w:val="0000EE"/>
            <w:u w:val="single"/>
          </w:rPr>
          <w:t>Gn 46.21</w:t>
        </w:r>
      </w:hyperlink>
      <w:r>
        <w:t xml:space="preserve">; </w:t>
      </w:r>
      <w:hyperlink r:id="rId660">
        <w:r>
          <w:rPr>
            <w:color w:val="0000EE"/>
            <w:u w:val="single"/>
          </w:rPr>
          <w:t>1Cr 8.1</w:t>
        </w:r>
      </w:hyperlink>
      <w:r>
        <w:t>), cujos descendentes eram chamados de belaítas (</w:t>
      </w:r>
      <w:hyperlink r:id="rId659">
        <w:r>
          <w:rPr>
            <w:color w:val="0000EE"/>
            <w:u w:val="single"/>
          </w:rPr>
          <w:t>Nm 26.38</w:t>
        </w:r>
      </w:hyperlink>
      <w:r>
        <w:t>).</w:t>
      </w:r>
    </w:p>
    <w:p>
      <w:pPr>
        <w:pStyle w:val="ListNumber"/>
        <w:spacing w:line="240" w:lineRule="auto"/>
        <w:ind w:left="720"/>
      </w:pPr>
      <w:r/>
      <w:r>
        <w:t>O filho de Azaz, um descendente de Rúben. Ele viveu em Gileade, na Transjordânia. Sua família possuía tanta terra que seu gado vivia perto do Rio Eufrates (</w:t>
      </w:r>
      <w:hyperlink r:id="rId3330">
        <w:r>
          <w:rPr>
            <w:color w:val="0000EE"/>
            <w:u w:val="single"/>
          </w:rPr>
          <w:t>1Cr 5.8–9</w:t>
        </w:r>
      </w:hyperlink>
      <w:r>
        <w:t>). No reinado de Saul, sua família defendeu suas terras contra a oposição dos hagaritas.</w:t>
      </w:r>
      <w:r/>
      <w:r/>
    </w:p>
    <w:p>
      <w:r/>
    </w:p>
    <w:p>
      <w:pPr>
        <w:pStyle w:val="Heading2"/>
      </w:pPr>
      <w:r>
        <w:t>Bela, Belaíta</w:t>
      </w:r>
      <w:r/>
    </w:p>
    <w:p>
      <w:r/>
      <w:r>
        <w:t>Grafia usada na Bíblia Tradução Brasileira 2010 para Belá. Ele era o filho mais velho do patriarca Benjamim (</w:t>
      </w:r>
      <w:hyperlink r:id="rId660">
        <w:r>
          <w:rPr>
            <w:color w:val="0000EE"/>
            <w:u w:val="single"/>
          </w:rPr>
          <w:t>1Cr 8.1</w:t>
        </w:r>
      </w:hyperlink>
      <w:r>
        <w:t>). Seus descendentes eram os belaítas (</w:t>
      </w:r>
      <w:hyperlink r:id="rId3331">
        <w:r>
          <w:rPr>
            <w:color w:val="0000EE"/>
            <w:u w:val="single"/>
          </w:rPr>
          <w:t>Nm 26.38–40</w:t>
        </w:r>
      </w:hyperlink>
      <w:r>
        <w:t>).</w:t>
      </w:r>
    </w:p>
    <w:p>
      <w:r/>
      <w:r>
        <w:rPr>
          <w:i/>
        </w:rPr>
        <w:t>Veja</w:t>
      </w:r>
      <w:r>
        <w:t xml:space="preserve"> </w:t>
      </w:r>
      <w:r>
        <w:t>Belá (Pessoa) nº 2</w:t>
      </w:r>
      <w:r>
        <w:t>.</w:t>
      </w:r>
      <w:r/>
      <w:r/>
    </w:p>
    <w:p>
      <w:r/>
    </w:p>
    <w:p>
      <w:pPr>
        <w:pStyle w:val="Heading2"/>
      </w:pPr>
      <w:r>
        <w:t>Belém</w:t>
      </w:r>
      <w:r/>
    </w:p>
    <w:p>
      <w:pPr>
        <w:pStyle w:val="ListNumber"/>
        <w:spacing w:line="240" w:lineRule="auto"/>
        <w:ind w:left="720"/>
      </w:pPr>
      <w:r/>
      <w:r>
        <w:t>“Cidade de Davi” e o local de nascimento de Jesus Cristo. Está localizada a oito quilômetros ao sul de Jerusalém. Para distingui-la de outra Belém na região de Zebulom, esta cidade é às vezes chamada de Belém-Judá ou Efrata (</w:t>
      </w:r>
      <w:hyperlink r:id="rId3332">
        <w:r>
          <w:rPr>
            <w:color w:val="0000EE"/>
            <w:u w:val="single"/>
          </w:rPr>
          <w:t>Gn 35.19</w:t>
        </w:r>
      </w:hyperlink>
      <w:r>
        <w:t xml:space="preserve">; </w:t>
      </w:r>
      <w:hyperlink r:id="rId3333">
        <w:r>
          <w:rPr>
            <w:color w:val="0000EE"/>
            <w:u w:val="single"/>
          </w:rPr>
          <w:t>Mq 5.2</w:t>
        </w:r>
      </w:hyperlink>
      <w:r>
        <w:t>).</w:t>
      </w:r>
    </w:p>
    <w:p>
      <w:r/>
      <w:r>
        <w:t>Belém era originalmente um assentamento cananeu ligado aos patriarcas. Raquel, a esposa de Jacó, morreu e foi enterrada perto de Belém (</w:t>
      </w:r>
      <w:hyperlink r:id="rId3334">
        <w:r>
          <w:rPr>
            <w:color w:val="0000EE"/>
            <w:u w:val="single"/>
          </w:rPr>
          <w:t>Gn 35.16,19</w:t>
        </w:r>
      </w:hyperlink>
      <w:r>
        <w:t xml:space="preserve">; </w:t>
      </w:r>
      <w:hyperlink r:id="rId3335">
        <w:r>
          <w:rPr>
            <w:color w:val="0000EE"/>
            <w:u w:val="single"/>
          </w:rPr>
          <w:t>48.7</w:t>
        </w:r>
      </w:hyperlink>
      <w:r>
        <w:t xml:space="preserve">). A menção histórica mais antiga de Belém vem das cartas de Amarna no século 14 a.C., onde é referida como </w:t>
      </w:r>
      <w:r>
        <w:rPr>
          <w:i/>
        </w:rPr>
        <w:t>bitil u-lahama</w:t>
      </w:r>
      <w:r>
        <w:t>, localizada ao sul de Jerusalém. O nome pode ter significado "casa da deusa Lahama". Um ramo da família de Calebe se estabeleceu lá, e seu filho Salma era conhecido como "o pai de Belém" (</w:t>
      </w:r>
      <w:hyperlink r:id="rId3336">
        <w:r>
          <w:rPr>
            <w:color w:val="0000EE"/>
            <w:u w:val="single"/>
          </w:rPr>
          <w:t>1Cr 2.51</w:t>
        </w:r>
      </w:hyperlink>
      <w:r>
        <w:t>). Belém também foi o lar de um jovem levita que serviu como sacerdote para Mica (</w:t>
      </w:r>
      <w:hyperlink r:id="rId3337">
        <w:r>
          <w:rPr>
            <w:color w:val="0000EE"/>
            <w:u w:val="single"/>
          </w:rPr>
          <w:t>Jz 17.7–8</w:t>
        </w:r>
      </w:hyperlink>
      <w:r>
        <w:t>), e de Boaz, Rute, Obede e Jessé — o pai de Davi (</w:t>
      </w:r>
      <w:hyperlink r:id="rId3338">
        <w:r>
          <w:rPr>
            <w:color w:val="0000EE"/>
            <w:u w:val="single"/>
          </w:rPr>
          <w:t>Rt 4.11,17</w:t>
        </w:r>
      </w:hyperlink>
      <w:r>
        <w:t xml:space="preserve">; </w:t>
      </w:r>
      <w:hyperlink r:id="rId3339">
        <w:r>
          <w:rPr>
            <w:color w:val="0000EE"/>
            <w:u w:val="single"/>
          </w:rPr>
          <w:t>1Sm 16.18</w:t>
        </w:r>
      </w:hyperlink>
      <w:r>
        <w:t>).</w:t>
      </w:r>
    </w:p>
    <w:p>
      <w:r/>
      <w:r>
        <w:t>Belém foi o local de nascimento de Davi (</w:t>
      </w:r>
      <w:hyperlink r:id="rId3340">
        <w:r>
          <w:rPr>
            <w:color w:val="0000EE"/>
            <w:u w:val="single"/>
          </w:rPr>
          <w:t>1Sm 17.12</w:t>
        </w:r>
      </w:hyperlink>
      <w:r>
        <w:t>) e a casa de um dos valentes de Davi, Elanã (</w:t>
      </w:r>
      <w:hyperlink r:id="rId3341">
        <w:r>
          <w:rPr>
            <w:color w:val="0000EE"/>
            <w:u w:val="single"/>
          </w:rPr>
          <w:t>2Sm 23.24</w:t>
        </w:r>
      </w:hyperlink>
      <w:r>
        <w:t xml:space="preserve">; </w:t>
      </w:r>
      <w:hyperlink r:id="rId3342">
        <w:r>
          <w:rPr>
            <w:color w:val="0000EE"/>
            <w:u w:val="single"/>
          </w:rPr>
          <w:t>1Cr 11.26</w:t>
        </w:r>
      </w:hyperlink>
      <w:r>
        <w:t>). Foi o local de um ato corajoso de três dos soldados de Davi, que romperam através de um grupo de invasores filisteus que ocupavam Belém, para trazer água do poço que ficava perto do portão da cidade até Davi (</w:t>
      </w:r>
      <w:hyperlink r:id="rId3343">
        <w:r>
          <w:rPr>
            <w:color w:val="0000EE"/>
            <w:u w:val="single"/>
          </w:rPr>
          <w:t>2Sm 23.14–17</w:t>
        </w:r>
      </w:hyperlink>
      <w:r>
        <w:t>). Muito mais tarde, Belém é mencionada como estando perto da aldeia de Gerute-Quimã, onde judeus fugindo dos babilônios ficaram a caminho do Egito (</w:t>
      </w:r>
      <w:hyperlink r:id="rId3344">
        <w:r>
          <w:rPr>
            <w:color w:val="0000EE"/>
            <w:u w:val="single"/>
          </w:rPr>
          <w:t>Jr 41.17</w:t>
        </w:r>
      </w:hyperlink>
      <w:r>
        <w:t>). Pessoas de Belém estavam entre aqueles que retornaram do exílio babilônico (</w:t>
      </w:r>
      <w:hyperlink r:id="rId3345">
        <w:r>
          <w:rPr>
            <w:color w:val="0000EE"/>
            <w:u w:val="single"/>
          </w:rPr>
          <w:t>Ed 2.21</w:t>
        </w:r>
      </w:hyperlink>
      <w:r>
        <w:t xml:space="preserve">; </w:t>
      </w:r>
      <w:hyperlink r:id="rId3346">
        <w:r>
          <w:rPr>
            <w:color w:val="0000EE"/>
            <w:u w:val="single"/>
          </w:rPr>
          <w:t>Ne 7.26</w:t>
        </w:r>
      </w:hyperlink>
      <w:r>
        <w:t xml:space="preserve">; </w:t>
      </w:r>
      <w:hyperlink r:id="rId3347">
        <w:r>
          <w:rPr>
            <w:color w:val="0000EE"/>
            <w:u w:val="single"/>
          </w:rPr>
          <w:t>1Ed 5.17</w:t>
        </w:r>
      </w:hyperlink>
      <w:r>
        <w:t>).</w:t>
      </w:r>
    </w:p>
    <w:p>
      <w:r/>
      <w:r>
        <w:t>Quando Jesus nasceu, Belém era apenas uma aldeia (</w:t>
      </w:r>
      <w:hyperlink r:id="rId2806">
        <w:r>
          <w:rPr>
            <w:color w:val="0000EE"/>
            <w:u w:val="single"/>
          </w:rPr>
          <w:t>Mt 2.1–16</w:t>
        </w:r>
      </w:hyperlink>
      <w:r>
        <w:t xml:space="preserve">; </w:t>
      </w:r>
      <w:hyperlink r:id="rId3348">
        <w:r>
          <w:rPr>
            <w:color w:val="0000EE"/>
            <w:u w:val="single"/>
          </w:rPr>
          <w:t>Lc 2.4</w:t>
        </w:r>
      </w:hyperlink>
      <w:hyperlink r:id="rId3349">
        <w:r>
          <w:rPr>
            <w:color w:val="0000EE"/>
            <w:u w:val="single"/>
          </w:rPr>
          <w:t>–</w:t>
        </w:r>
      </w:hyperlink>
      <w:hyperlink r:id="rId3348">
        <w:r>
          <w:rPr>
            <w:color w:val="0000EE"/>
            <w:u w:val="single"/>
          </w:rPr>
          <w:t>6,15</w:t>
        </w:r>
      </w:hyperlink>
      <w:r>
        <w:t xml:space="preserve">; </w:t>
      </w:r>
      <w:hyperlink r:id="rId3350">
        <w:r>
          <w:rPr>
            <w:color w:val="0000EE"/>
            <w:u w:val="single"/>
          </w:rPr>
          <w:t>Jo 7.42</w:t>
        </w:r>
      </w:hyperlink>
      <w:r>
        <w:t>). Por causa de um censo ordenado por César Augusto, José teve que ir a Belém, “visto que ele era da casa e linhagem de Davi” (</w:t>
      </w:r>
      <w:hyperlink r:id="rId3351">
        <w:r>
          <w:rPr>
            <w:color w:val="0000EE"/>
            <w:u w:val="single"/>
          </w:rPr>
          <w:t>Lc 2.4</w:t>
        </w:r>
      </w:hyperlink>
      <w:r>
        <w:t>). É possível que a família ainda possuísse propriedades lá. O nascimento de Jesus pode ter ocorrido em uma caverna fora da cidade, uma crença mantida por escritores cristãos primitivos como Justino Mártir e Orígenes. Orígenes, que viveu na Terra Santa, escreveu: “Em Belém, mostra-se a caverna onde ele nasceu e, dentro da caverna, a manjedoura onde foi envolto em faixas”.</w:t>
      </w:r>
    </w:p>
    <w:p>
      <w:r/>
      <w:r>
        <w:t>Mais tarde, Jerônimo descreveu a gruta (uma pequena caverna), que era uma basílica construída pelo Imperador Constantino. Escavações arqueológicas em 1934–35 revelaram que uma segunda fase do edifício ocorreu durante o reinado de Justiniano, de 527 a 565 d.C., quando a basílica de Constantino foi ampliada. Degraus levam até a gruta, que tem uma forma retangular, sugerindo que os construtores de Constantino alteraram a caverna original. No entanto, não há descrição da gruta antes da construção da basílica de Constantino.</w:t>
      </w:r>
    </w:p>
    <w:p>
      <w:pPr>
        <w:pStyle w:val="ListNumber"/>
        <w:spacing w:line="240" w:lineRule="auto"/>
        <w:ind w:left="720"/>
      </w:pPr>
      <w:r/>
      <w:r>
        <w:t>Uma cidade em Zebulom (</w:t>
      </w:r>
      <w:hyperlink r:id="rId3352">
        <w:r>
          <w:rPr>
            <w:color w:val="0000EE"/>
            <w:u w:val="single"/>
          </w:rPr>
          <w:t>Js 19.15</w:t>
        </w:r>
      </w:hyperlink>
      <w:r>
        <w:t>). Provavelmente foi a casa do juiz Ibsã, um dos primeiros governantes de Israel (</w:t>
      </w:r>
      <w:hyperlink r:id="rId3353">
        <w:r>
          <w:rPr>
            <w:color w:val="0000EE"/>
            <w:u w:val="single"/>
          </w:rPr>
          <w:t>Jz 12.8–10</w:t>
        </w:r>
      </w:hyperlink>
      <w:r>
        <w:t>). Hoje é identificada com a vila de Beit Lahm, cerca de 11,3 quilômetros a noroeste de Nazaré.</w:t>
      </w:r>
      <w:r/>
      <w:r/>
    </w:p>
    <w:p>
      <w:r/>
    </w:p>
    <w:p>
      <w:pPr>
        <w:pStyle w:val="Heading2"/>
      </w:pPr>
      <w:r>
        <w:t>Beleza</w:t>
      </w:r>
      <w:r/>
    </w:p>
    <w:p>
      <w:r/>
      <w:r>
        <w:t>Combinação harmoniosa de qualidades agradáveis de ver. Materiais arqueológicos indicam que os antigos hebreus estavam mais interessados com a utilidade do que com a beleza. A cerâmica hebraica, por exemplo, era geralmente mais volumosa do que a cerâmica Cananeia. No entanto, tais artefatos não significam que os hebreus não tinham apreciação estética.</w:t>
      </w:r>
    </w:p>
    <w:p>
      <w:r/>
      <w:r>
        <w:t>O AT fala da criação de Deus como bela (</w:t>
      </w:r>
      <w:hyperlink r:id="rId2620">
        <w:r>
          <w:rPr>
            <w:color w:val="0000EE"/>
            <w:u w:val="single"/>
          </w:rPr>
          <w:t>Gn 2.9</w:t>
        </w:r>
      </w:hyperlink>
      <w:r>
        <w:t xml:space="preserve">; </w:t>
      </w:r>
      <w:hyperlink r:id="rId3354">
        <w:r>
          <w:rPr>
            <w:color w:val="0000EE"/>
            <w:u w:val="single"/>
          </w:rPr>
          <w:t>Jó 26.13</w:t>
        </w:r>
      </w:hyperlink>
      <w:r>
        <w:t xml:space="preserve">; </w:t>
      </w:r>
      <w:hyperlink r:id="rId3355">
        <w:r>
          <w:rPr>
            <w:color w:val="0000EE"/>
            <w:u w:val="single"/>
          </w:rPr>
          <w:t>Sl 19.1–6</w:t>
        </w:r>
      </w:hyperlink>
      <w:r>
        <w:t xml:space="preserve">; </w:t>
      </w:r>
      <w:hyperlink r:id="rId3356">
        <w:r>
          <w:rPr>
            <w:color w:val="0000EE"/>
            <w:u w:val="single"/>
          </w:rPr>
          <w:t>Ct 6.10</w:t>
        </w:r>
      </w:hyperlink>
      <w:r>
        <w:t>). A terra de Canaã é uma “terra agradável” (</w:t>
      </w:r>
      <w:hyperlink r:id="rId3357">
        <w:r>
          <w:rPr>
            <w:color w:val="0000EE"/>
            <w:u w:val="single"/>
          </w:rPr>
          <w:t>Jr 3.19</w:t>
        </w:r>
      </w:hyperlink>
      <w:r>
        <w:t>). Jerusalém é chamada de “formosa” (</w:t>
      </w:r>
      <w:hyperlink r:id="rId3358">
        <w:r>
          <w:rPr>
            <w:color w:val="0000EE"/>
            <w:u w:val="single"/>
          </w:rPr>
          <w:t>Is 52.1</w:t>
        </w:r>
      </w:hyperlink>
      <w:r>
        <w:t xml:space="preserve">; </w:t>
      </w:r>
      <w:hyperlink r:id="rId3359">
        <w:r>
          <w:rPr>
            <w:color w:val="0000EE"/>
            <w:u w:val="single"/>
          </w:rPr>
          <w:t>Lm 2.15</w:t>
        </w:r>
      </w:hyperlink>
      <w:r>
        <w:t>), assim como o é um dos seus portões do templo (</w:t>
      </w:r>
      <w:hyperlink r:id="rId3360">
        <w:r>
          <w:rPr>
            <w:color w:val="0000EE"/>
            <w:u w:val="single"/>
          </w:rPr>
          <w:t>Atos 3.2, 10</w:t>
        </w:r>
      </w:hyperlink>
      <w:r>
        <w:t>). Os hebreus admiravam a grandeza silvestre da cordilheira do Líbano (</w:t>
      </w:r>
      <w:hyperlink r:id="rId3361">
        <w:r>
          <w:rPr>
            <w:color w:val="0000EE"/>
            <w:u w:val="single"/>
          </w:rPr>
          <w:t>Sl 104.16</w:t>
        </w:r>
      </w:hyperlink>
      <w:r>
        <w:t xml:space="preserve">; </w:t>
      </w:r>
      <w:hyperlink r:id="rId3362">
        <w:r>
          <w:rPr>
            <w:color w:val="0000EE"/>
            <w:u w:val="single"/>
          </w:rPr>
          <w:t>Is 60.13</w:t>
        </w:r>
      </w:hyperlink>
      <w:r>
        <w:t>). A cidade Cananeia de Tirza (“beleza”), a capital do rei Baasha no reino do norte (</w:t>
      </w:r>
      <w:hyperlink r:id="rId3363">
        <w:r>
          <w:rPr>
            <w:color w:val="0000EE"/>
            <w:u w:val="single"/>
          </w:rPr>
          <w:t>1Rs 15.33</w:t>
        </w:r>
      </w:hyperlink>
      <w:r>
        <w:t>), era assim chamada por sua localização atraente.</w:t>
      </w:r>
    </w:p>
    <w:p>
      <w:r/>
      <w:r>
        <w:t xml:space="preserve">Embora os hebreus não exaltassem a forma humana como os gregos antigos, o AT idealiza a atratividade física. A beleza de uma noiva é descrita eloquentemente por seu noivo nas letras de amor em </w:t>
      </w:r>
      <w:hyperlink r:id="rId3364">
        <w:r>
          <w:rPr>
            <w:color w:val="0000EE"/>
            <w:u w:val="single"/>
          </w:rPr>
          <w:t>Cântico dos Cânticos 4.1–15</w:t>
        </w:r>
      </w:hyperlink>
      <w:r>
        <w:t xml:space="preserve">; </w:t>
      </w:r>
      <w:hyperlink r:id="rId3365">
        <w:r>
          <w:rPr>
            <w:color w:val="0000EE"/>
            <w:u w:val="single"/>
          </w:rPr>
          <w:t>6.4</w:t>
        </w:r>
      </w:hyperlink>
      <w:r>
        <w:t>. Tal louvor da noiva pode ter sido uma característica tradicional dos casamentos israelitas. Várias mulheres proeminentes no AT são descritas como formosas (</w:t>
      </w:r>
      <w:hyperlink r:id="rId3366">
        <w:r>
          <w:rPr>
            <w:color w:val="0000EE"/>
            <w:u w:val="single"/>
          </w:rPr>
          <w:t>Gn 29.17</w:t>
        </w:r>
      </w:hyperlink>
      <w:r>
        <w:t xml:space="preserve">; </w:t>
      </w:r>
      <w:hyperlink r:id="rId1061">
        <w:r>
          <w:rPr>
            <w:color w:val="0000EE"/>
            <w:u w:val="single"/>
          </w:rPr>
          <w:t>2Sm 11.2</w:t>
        </w:r>
      </w:hyperlink>
      <w:r>
        <w:t xml:space="preserve">; </w:t>
      </w:r>
      <w:hyperlink r:id="rId3367">
        <w:r>
          <w:rPr>
            <w:color w:val="0000EE"/>
            <w:u w:val="single"/>
          </w:rPr>
          <w:t>Et 2.7</w:t>
        </w:r>
      </w:hyperlink>
      <w:r>
        <w:t>). Mas beleza sensual era segundária em relação à diligência, desenvoltura e piedade tradicional em uma mulher (</w:t>
      </w:r>
      <w:hyperlink r:id="rId276">
        <w:r>
          <w:rPr>
            <w:color w:val="0000EE"/>
            <w:u w:val="single"/>
          </w:rPr>
          <w:t>Pv 31.10–31</w:t>
        </w:r>
      </w:hyperlink>
      <w:r>
        <w:t>). Um número de homens também era conhecido por sua atratividade física — por exemplo, Davi (</w:t>
      </w:r>
      <w:hyperlink r:id="rId1693">
        <w:r>
          <w:rPr>
            <w:color w:val="0000EE"/>
            <w:u w:val="single"/>
          </w:rPr>
          <w:t>1Sm 16.12</w:t>
        </w:r>
      </w:hyperlink>
      <w:r>
        <w:t>) e Absalão (</w:t>
      </w:r>
      <w:hyperlink r:id="rId3368">
        <w:r>
          <w:rPr>
            <w:color w:val="0000EE"/>
            <w:u w:val="single"/>
          </w:rPr>
          <w:t>2Sm 14.25</w:t>
        </w:r>
      </w:hyperlink>
      <w:r>
        <w:t>). Cosméticos, joias e outros acessórios eram usados como adereços de beleza feminina nos tempos do AT. O profeta Isaías listou esses itens (</w:t>
      </w:r>
      <w:hyperlink r:id="rId3369">
        <w:r>
          <w:rPr>
            <w:color w:val="0000EE"/>
            <w:u w:val="single"/>
          </w:rPr>
          <w:t>Is 3.18–24</w:t>
        </w:r>
      </w:hyperlink>
      <w:r>
        <w:t>), e Ezequiel mencionou práticas estéticas comuns em seus dias (</w:t>
      </w:r>
      <w:hyperlink r:id="rId3370">
        <w:r>
          <w:rPr>
            <w:color w:val="0000EE"/>
            <w:u w:val="single"/>
          </w:rPr>
          <w:t>Ez 16.10–13</w:t>
        </w:r>
      </w:hyperlink>
      <w:r>
        <w:t>). A adoração israelita também era bela com as vestes cerimoniais elaboradas do sumo sacerdote, projetadas para glória e beleza (</w:t>
      </w:r>
      <w:hyperlink r:id="rId3371">
        <w:r>
          <w:rPr>
            <w:color w:val="0000EE"/>
            <w:u w:val="single"/>
          </w:rPr>
          <w:t>Êx 28.2, 40</w:t>
        </w:r>
      </w:hyperlink>
      <w:r>
        <w:t>).</w:t>
      </w:r>
    </w:p>
    <w:p>
      <w:r/>
      <w:r>
        <w:t>O conceito de beleza é aplicado também a Deus no AT. O favor do Senhor é chamado de sua “beleza” (</w:t>
      </w:r>
      <w:hyperlink r:id="rId3372">
        <w:r>
          <w:rPr>
            <w:color w:val="0000EE"/>
            <w:u w:val="single"/>
          </w:rPr>
          <w:t>Sl 90.17</w:t>
        </w:r>
      </w:hyperlink>
      <w:r>
        <w:t>). Isaías registrou a promessa de Deus de dar ao seu povo “beleza em vez de cinzas” (</w:t>
      </w:r>
      <w:hyperlink r:id="rId3373">
        <w:r>
          <w:rPr>
            <w:color w:val="0000EE"/>
            <w:u w:val="single"/>
          </w:rPr>
          <w:t>Is 61.3</w:t>
        </w:r>
      </w:hyperlink>
      <w:r>
        <w:t>). O salmista expressou um desejo de passar tempo no templo desfrutando da beleza do Senhor, suas “perfeições incomparáveis” (</w:t>
      </w:r>
      <w:hyperlink r:id="rId3374">
        <w:r>
          <w:rPr>
            <w:color w:val="0000EE"/>
            <w:u w:val="single"/>
          </w:rPr>
          <w:t>Sl 27.4</w:t>
        </w:r>
      </w:hyperlink>
      <w:r>
        <w:t>). Isaías descreveu Deus como um “diadema de beleza” para o remanescente israelita fiel (</w:t>
      </w:r>
      <w:hyperlink r:id="rId3375">
        <w:r>
          <w:rPr>
            <w:color w:val="0000EE"/>
            <w:u w:val="single"/>
          </w:rPr>
          <w:t>Is 28.5</w:t>
        </w:r>
      </w:hyperlink>
      <w:r>
        <w:t>), e o Messias era mencionado como um belo rei (</w:t>
      </w:r>
      <w:hyperlink r:id="rId3376">
        <w:r>
          <w:rPr>
            <w:color w:val="0000EE"/>
            <w:u w:val="single"/>
          </w:rPr>
          <w:t>33.17</w:t>
        </w:r>
      </w:hyperlink>
      <w:r>
        <w:t>). Assim, no AT, o conceito de beleza tinha um significado mais profundo do que simplesmente atratividade física. Tornou-se um conceito teológico afirmando a glória essencial de Deus.</w:t>
      </w:r>
    </w:p>
    <w:p>
      <w:r/>
      <w:r>
        <w:t>O NT insta os seguidores de Cristo a viver vidas que “adorna” o ensino do Salvador, tornando-o atraente para os não crentes (</w:t>
      </w:r>
      <w:hyperlink r:id="rId3377">
        <w:r>
          <w:rPr>
            <w:color w:val="0000EE"/>
            <w:u w:val="single"/>
          </w:rPr>
          <w:t>Tt 2.10</w:t>
        </w:r>
      </w:hyperlink>
      <w:r>
        <w:t>). Aqueles que pregam o evangelho de Cristo são mencionados como belos (</w:t>
      </w:r>
      <w:hyperlink r:id="rId3378">
        <w:r>
          <w:rPr>
            <w:color w:val="0000EE"/>
            <w:u w:val="single"/>
          </w:rPr>
          <w:t>Rm 10.15</w:t>
        </w:r>
      </w:hyperlink>
      <w:r>
        <w:t>). Os apóstolos Paulo e Pedro advertiram as mulheres a estarem satisfeitas com a beleza exterior (</w:t>
      </w:r>
      <w:hyperlink r:id="rId3379">
        <w:r>
          <w:rPr>
            <w:color w:val="0000EE"/>
            <w:u w:val="single"/>
          </w:rPr>
          <w:t>1Tm 2.9–10</w:t>
        </w:r>
      </w:hyperlink>
      <w:r>
        <w:t>), lembrando-as de que o caráter belo é o verdadeiro adorno da piedade (</w:t>
      </w:r>
      <w:hyperlink r:id="rId3380">
        <w:r>
          <w:rPr>
            <w:color w:val="0000EE"/>
            <w:u w:val="single"/>
          </w:rPr>
          <w:t>1Pe 3.3–5</w:t>
        </w:r>
      </w:hyperlink>
      <w:r>
        <w:t xml:space="preserve">). A beleza do lar final do crente no céu é refletida na descrição da “nova Jerusalém” como uma noiva e no simbolismo das pedras preciosas da antiguidade (ver </w:t>
      </w:r>
      <w:hyperlink r:id="rId2046">
        <w:r>
          <w:rPr>
            <w:color w:val="0000EE"/>
            <w:u w:val="single"/>
          </w:rPr>
          <w:t>Ap 21–22</w:t>
        </w:r>
      </w:hyperlink>
      <w:r>
        <w:t>).</w:t>
      </w:r>
      <w:r/>
      <w:r/>
    </w:p>
    <w:p>
      <w:r/>
    </w:p>
    <w:p>
      <w:pPr>
        <w:pStyle w:val="Heading2"/>
      </w:pPr>
      <w:r>
        <w:t>Belial, Beliar</w:t>
      </w:r>
      <w:r/>
    </w:p>
    <w:p>
      <w:r/>
      <w:r>
        <w:t>Um substantivo hebraico comum que significa "baixeza", "inutilidade", "maldade" ou "ilegalidade". Belial, no entanto, é frequentemente traduzido como um nome. Assim, às vezes é traduzido como "filhos de Belial" (</w:t>
      </w:r>
      <w:hyperlink r:id="rId3381">
        <w:r>
          <w:rPr>
            <w:color w:val="0000EE"/>
            <w:u w:val="single"/>
          </w:rPr>
          <w:t>Jz 19.22</w:t>
        </w:r>
      </w:hyperlink>
      <w:r>
        <w:t xml:space="preserve">; </w:t>
      </w:r>
      <w:hyperlink r:id="rId3382">
        <w:r>
          <w:rPr>
            <w:color w:val="0000EE"/>
            <w:u w:val="single"/>
          </w:rPr>
          <w:t>1Sm 2.12</w:t>
        </w:r>
      </w:hyperlink>
      <w:r>
        <w:t>), "filha de Belial" (</w:t>
      </w:r>
      <w:hyperlink r:id="rId3383">
        <w:r>
          <w:rPr>
            <w:color w:val="0000EE"/>
            <w:u w:val="single"/>
          </w:rPr>
          <w:t>1Sm 1.16</w:t>
        </w:r>
      </w:hyperlink>
      <w:r>
        <w:t>), ou "crianças de Belial" (</w:t>
      </w:r>
      <w:hyperlink r:id="rId3384">
        <w:r>
          <w:rPr>
            <w:color w:val="0000EE"/>
            <w:u w:val="single"/>
          </w:rPr>
          <w:t>Dt 13.13</w:t>
        </w:r>
      </w:hyperlink>
      <w:r>
        <w:t xml:space="preserve">; </w:t>
      </w:r>
      <w:hyperlink r:id="rId3385">
        <w:r>
          <w:rPr>
            <w:color w:val="0000EE"/>
            <w:u w:val="single"/>
          </w:rPr>
          <w:t>Jz 20.13</w:t>
        </w:r>
      </w:hyperlink>
      <w:r>
        <w:t>). Traduções mais recentes geralmente traduzem como "homens perversos" ou "imorais" (</w:t>
      </w:r>
      <w:hyperlink r:id="rId3384">
        <w:r>
          <w:rPr>
            <w:color w:val="0000EE"/>
            <w:u w:val="single"/>
          </w:rPr>
          <w:t>Dt 13.13</w:t>
        </w:r>
      </w:hyperlink>
      <w:r>
        <w:t xml:space="preserve">; </w:t>
      </w:r>
      <w:hyperlink r:id="rId3381">
        <w:r>
          <w:rPr>
            <w:color w:val="0000EE"/>
            <w:u w:val="single"/>
          </w:rPr>
          <w:t>Jz 19.22</w:t>
        </w:r>
      </w:hyperlink>
      <w:r>
        <w:t xml:space="preserve">; </w:t>
      </w:r>
      <w:hyperlink r:id="rId3385">
        <w:r>
          <w:rPr>
            <w:color w:val="0000EE"/>
            <w:u w:val="single"/>
          </w:rPr>
          <w:t>20.13</w:t>
        </w:r>
      </w:hyperlink>
      <w:r>
        <w:t xml:space="preserve">; </w:t>
      </w:r>
      <w:hyperlink r:id="rId3383">
        <w:r>
          <w:rPr>
            <w:color w:val="0000EE"/>
            <w:u w:val="single"/>
          </w:rPr>
          <w:t>1Sm 1.16</w:t>
        </w:r>
      </w:hyperlink>
      <w:r>
        <w:t xml:space="preserve">; </w:t>
      </w:r>
      <w:hyperlink r:id="rId3382">
        <w:r>
          <w:rPr>
            <w:color w:val="0000EE"/>
            <w:u w:val="single"/>
          </w:rPr>
          <w:t>2.12</w:t>
        </w:r>
      </w:hyperlink>
      <w:r>
        <w:t xml:space="preserve">; </w:t>
      </w:r>
      <w:hyperlink r:id="rId3386">
        <w:r>
          <w:rPr>
            <w:color w:val="0000EE"/>
            <w:u w:val="single"/>
          </w:rPr>
          <w:t>10.27</w:t>
        </w:r>
      </w:hyperlink>
      <w:r>
        <w:t xml:space="preserve">; </w:t>
      </w:r>
      <w:hyperlink r:id="rId3387">
        <w:r>
          <w:rPr>
            <w:color w:val="0000EE"/>
            <w:u w:val="single"/>
          </w:rPr>
          <w:t>Pv 6.12</w:t>
        </w:r>
      </w:hyperlink>
      <w:r>
        <w:t xml:space="preserve">). Uma exceção está em </w:t>
      </w:r>
      <w:hyperlink r:id="rId3388">
        <w:r>
          <w:rPr>
            <w:color w:val="0000EE"/>
            <w:u w:val="single"/>
          </w:rPr>
          <w:t>Naum 1.15</w:t>
        </w:r>
      </w:hyperlink>
      <w:r>
        <w:t>, que alguns estudiosos acham que deveria ser traduzido como "Belial". Este é um nome pessoal do conquistador assírio que ameaçou o reino do sul de Judá.</w:t>
      </w:r>
    </w:p>
    <w:p>
      <w:r/>
      <w:r>
        <w:t xml:space="preserve">Textos entre os dois Testamentos usam "Belial" como um nome e influenciaram como ele é usado no Novo Testamento. No Novo Testamento, o termo aparece uma vez como "Belial" (ou Beliar em </w:t>
      </w:r>
      <w:hyperlink r:id="rId3389">
        <w:r>
          <w:rPr>
            <w:color w:val="0000EE"/>
            <w:u w:val="single"/>
          </w:rPr>
          <w:t>2Co 6.15</w:t>
        </w:r>
      </w:hyperlink>
      <w:r>
        <w:t>) e é identificado com Satanás, a representação do mal. Escritos não bíblicos do período do Novo Testamento frequentemente usavam Belial como um nome para Satanás ou o Anticristo.</w:t>
      </w:r>
      <w:r/>
      <w:r/>
    </w:p>
    <w:p>
      <w:r/>
    </w:p>
    <w:p>
      <w:pPr>
        <w:pStyle w:val="Heading2"/>
      </w:pPr>
      <w:r>
        <w:t>Bema</w:t>
      </w:r>
      <w:r/>
    </w:p>
    <w:p>
      <w:r/>
      <w:r>
        <w:t>Uma palavra grega para um assento de julgamento ou tribunal de um oficial romano. Esta palavra, que literalmente significa "degrau" ou "passo", era comumente usada no primeiro século d.C. para se referir a uma plataforma elevada onde discursos políticos ou decisões judiciais eram proferidos. O bema era uma característica importante nas cidades antigas, muitas vezes localizado em áreas públicas significativas, como mercados.</w:t>
      </w:r>
    </w:p>
    <w:p>
      <w:r/>
      <w:r>
        <w:t>No Novo Testamento, a palavra é utilizada várias vezes:</w:t>
      </w:r>
    </w:p>
    <w:p>
      <w:pPr>
        <w:pStyle w:val="ListBullet"/>
        <w:spacing w:line="240" w:lineRule="auto"/>
        <w:ind w:left="720"/>
      </w:pPr>
      <w:r/>
      <w:r>
        <w:t>Jesus foi interrogado diante do tribunal de Pilatos (</w:t>
      </w:r>
      <w:hyperlink r:id="rId3390">
        <w:r>
          <w:rPr>
            <w:color w:val="0000EE"/>
            <w:u w:val="single"/>
          </w:rPr>
          <w:t>Mt 27.19</w:t>
        </w:r>
      </w:hyperlink>
      <w:r>
        <w:t xml:space="preserve">; </w:t>
      </w:r>
      <w:hyperlink r:id="rId3391">
        <w:r>
          <w:rPr>
            <w:color w:val="0000EE"/>
            <w:u w:val="single"/>
          </w:rPr>
          <w:t>Jo 19.13</w:t>
        </w:r>
      </w:hyperlink>
      <w:r>
        <w:t>).</w:t>
      </w:r>
    </w:p>
    <w:p>
      <w:pPr>
        <w:pStyle w:val="ListBullet"/>
        <w:spacing w:line="240" w:lineRule="auto"/>
        <w:ind w:left="720"/>
      </w:pPr>
      <w:r/>
      <w:r>
        <w:t>Herodes Agripa I dirigiu-se ao povo de Tiro e Sidom de um tribunal (</w:t>
      </w:r>
      <w:hyperlink r:id="rId3392">
        <w:r>
          <w:rPr>
            <w:color w:val="0000EE"/>
            <w:u w:val="single"/>
          </w:rPr>
          <w:t>At 12.21</w:t>
        </w:r>
      </w:hyperlink>
      <w:r>
        <w:t>).</w:t>
      </w:r>
    </w:p>
    <w:p>
      <w:pPr>
        <w:pStyle w:val="ListBullet"/>
        <w:spacing w:line="240" w:lineRule="auto"/>
        <w:ind w:left="720"/>
      </w:pPr>
      <w:r/>
      <w:r>
        <w:t>O apóstolo Paulo foi levado perante o tribunal de Gálio em Corinto (</w:t>
      </w:r>
      <w:hyperlink r:id="rId2862">
        <w:r>
          <w:rPr>
            <w:color w:val="0000EE"/>
            <w:u w:val="single"/>
          </w:rPr>
          <w:t>At 18.12–17</w:t>
        </w:r>
      </w:hyperlink>
      <w:r>
        <w:t>).</w:t>
      </w:r>
    </w:p>
    <w:p>
      <w:pPr>
        <w:pStyle w:val="ListBullet"/>
        <w:spacing w:line="240" w:lineRule="auto"/>
        <w:ind w:left="720"/>
      </w:pPr>
      <w:r/>
      <w:r>
        <w:t>O apóstolo Paulo foi novamente levado perante o tribunal de Festo em Cesareia (</w:t>
      </w:r>
      <w:hyperlink r:id="rId3393">
        <w:r>
          <w:rPr>
            <w:color w:val="0000EE"/>
            <w:u w:val="single"/>
          </w:rPr>
          <w:t>At 25.6,10,17</w:t>
        </w:r>
      </w:hyperlink>
      <w:r>
        <w:t>).</w:t>
      </w:r>
    </w:p>
    <w:p>
      <w:pPr>
        <w:pStyle w:val="ListBullet"/>
        <w:spacing w:line="240" w:lineRule="auto"/>
        <w:ind w:left="720"/>
      </w:pPr>
      <w:r/>
      <w:r>
        <w:t>Paulo usou a palavra para se referir ao tribunal de julgamento de Deus.</w:t>
      </w:r>
    </w:p>
    <w:p>
      <w:pPr>
        <w:pStyle w:val="ListBullet"/>
        <w:spacing w:line="240" w:lineRule="auto"/>
        <w:ind w:left="1440"/>
      </w:pPr>
      <w:r/>
      <w:r>
        <w:t xml:space="preserve">Em </w:t>
      </w:r>
      <w:hyperlink r:id="rId3394">
        <w:r>
          <w:rPr>
            <w:color w:val="0000EE"/>
            <w:u w:val="single"/>
          </w:rPr>
          <w:t>Romanos 14.10,</w:t>
        </w:r>
      </w:hyperlink>
      <w:r>
        <w:t xml:space="preserve"> ele advertiu que todos estarão diante do tribunal de Deus.</w:t>
      </w:r>
    </w:p>
    <w:p>
      <w:pPr>
        <w:pStyle w:val="ListBullet"/>
        <w:spacing w:line="240" w:lineRule="auto"/>
        <w:ind w:left="1440"/>
      </w:pPr>
      <w:r/>
      <w:r>
        <w:t xml:space="preserve">De acordo com </w:t>
      </w:r>
      <w:hyperlink r:id="rId3395">
        <w:r>
          <w:rPr>
            <w:color w:val="0000EE"/>
            <w:u w:val="single"/>
          </w:rPr>
          <w:t>2 Coríntios 5.10</w:t>
        </w:r>
      </w:hyperlink>
      <w:r>
        <w:t xml:space="preserve">, Paulo descreveu o tribunal de julgamento de Cristo, onde o valor do trabalho de cada pessoa será avaliado (compare </w:t>
      </w:r>
      <w:hyperlink r:id="rId3396">
        <w:r>
          <w:rPr>
            <w:color w:val="0000EE"/>
            <w:u w:val="single"/>
          </w:rPr>
          <w:t>1Co 3.13–15</w:t>
        </w:r>
      </w:hyperlink>
      <w:r>
        <w:t>).</w:t>
      </w:r>
    </w:p>
    <w:p>
      <w:r/>
      <w:r>
        <w:rPr>
          <w:i/>
        </w:rPr>
        <w:t>Veja também</w:t>
      </w:r>
      <w:r>
        <w:t xml:space="preserve"> </w:t>
      </w:r>
      <w:r>
        <w:t>Julgamento</w:t>
      </w:r>
      <w:r>
        <w:t xml:space="preserve">; </w:t>
      </w:r>
      <w:r>
        <w:t>Tribunal de julgamento</w:t>
      </w:r>
      <w:r>
        <w:t xml:space="preserve">; </w:t>
      </w:r>
      <w:r>
        <w:t>Julgamento final</w:t>
      </w:r>
      <w:r>
        <w:t>.</w:t>
      </w:r>
      <w:r/>
      <w:r/>
    </w:p>
    <w:p>
      <w:r/>
    </w:p>
    <w:p>
      <w:pPr>
        <w:pStyle w:val="Heading2"/>
      </w:pPr>
      <w:r>
        <w:t>Ben-Ami</w:t>
      </w:r>
      <w:r/>
    </w:p>
    <w:p>
      <w:r/>
      <w:r>
        <w:t>O filho de Ló e sua filha mais nova. Uma relação incestuosa semelhante entre Ló e sua filha mais velha resultou em um filho chamado Moabe. Os dois filhos são considerados os ancestrais dos povos amonitas e moabitas (</w:t>
      </w:r>
      <w:hyperlink r:id="rId1110">
        <w:r>
          <w:rPr>
            <w:color w:val="0000EE"/>
            <w:u w:val="single"/>
          </w:rPr>
          <w:t>Gn 19.38</w:t>
        </w:r>
      </w:hyperlink>
      <w:r>
        <w:t>).</w:t>
      </w:r>
    </w:p>
    <w:p>
      <w:r/>
      <w:r>
        <w:t>Embora Ló pudesse ter compartilhado da promessa feita a Abraão (</w:t>
      </w:r>
      <w:hyperlink r:id="rId160">
        <w:r>
          <w:rPr>
            <w:color w:val="0000EE"/>
            <w:u w:val="single"/>
          </w:rPr>
          <w:t>Gn 11.31</w:t>
        </w:r>
      </w:hyperlink>
      <w:r>
        <w:t xml:space="preserve">; </w:t>
      </w:r>
      <w:hyperlink r:id="rId3397">
        <w:r>
          <w:rPr>
            <w:color w:val="0000EE"/>
            <w:u w:val="single"/>
          </w:rPr>
          <w:t>12.1–4</w:t>
        </w:r>
      </w:hyperlink>
      <w:r>
        <w:t>), ele escolheu seguir seu próprio caminho (</w:t>
      </w:r>
      <w:hyperlink r:id="rId3398">
        <w:r>
          <w:rPr>
            <w:color w:val="0000EE"/>
            <w:u w:val="single"/>
          </w:rPr>
          <w:t>13.2–12</w:t>
        </w:r>
      </w:hyperlink>
      <w:r>
        <w:t>) e não confiou no Senhor (</w:t>
      </w:r>
      <w:hyperlink r:id="rId3399">
        <w:r>
          <w:rPr>
            <w:color w:val="0000EE"/>
            <w:u w:val="single"/>
          </w:rPr>
          <w:t>19.15–23</w:t>
        </w:r>
      </w:hyperlink>
      <w:r>
        <w:t>). No entanto, por causa de seu relacionamento com Abraão, os israelitas trataram os descendentes de Ló com respeito, apesar de os amonitas e moabitas às vezes serem fortes inimigos de Israel (</w:t>
      </w:r>
      <w:hyperlink r:id="rId1146">
        <w:r>
          <w:rPr>
            <w:color w:val="0000EE"/>
            <w:u w:val="single"/>
          </w:rPr>
          <w:t>2Cr 20.1–12</w:t>
        </w:r>
      </w:hyperlink>
      <w:r>
        <w:t>).</w:t>
      </w:r>
    </w:p>
    <w:p>
      <w:r/>
      <w:r>
        <w:rPr>
          <w:i/>
        </w:rPr>
        <w:t>Veja também</w:t>
      </w:r>
      <w:r>
        <w:t xml:space="preserve"> </w:t>
      </w:r>
      <w:r>
        <w:t>Amom, Amonitas</w:t>
      </w:r>
      <w:r>
        <w:t>.</w:t>
      </w:r>
      <w:r/>
      <w:r/>
    </w:p>
    <w:p>
      <w:r/>
    </w:p>
    <w:p>
      <w:pPr>
        <w:pStyle w:val="Heading2"/>
      </w:pPr>
      <w:r>
        <w:t>Bênção</w:t>
      </w:r>
      <w:r/>
    </w:p>
    <w:p>
      <w:r/>
      <w:r>
        <w:t>Um anúncio do favor de Deus sobre um grupo reunido de pessoas (</w:t>
      </w:r>
      <w:hyperlink r:id="rId47">
        <w:r>
          <w:rPr>
            <w:color w:val="0000EE"/>
            <w:u w:val="single"/>
          </w:rPr>
          <w:t>Gn 27.27–29</w:t>
        </w:r>
      </w:hyperlink>
      <w:r>
        <w:t xml:space="preserve">; </w:t>
      </w:r>
      <w:hyperlink r:id="rId49">
        <w:r>
          <w:rPr>
            <w:color w:val="0000EE"/>
            <w:u w:val="single"/>
          </w:rPr>
          <w:t>Lc 24.50</w:t>
        </w:r>
      </w:hyperlink>
      <w:r>
        <w:t xml:space="preserve">; </w:t>
      </w:r>
      <w:hyperlink r:id="rId3400">
        <w:r>
          <w:rPr>
            <w:color w:val="0000EE"/>
            <w:u w:val="single"/>
          </w:rPr>
          <w:t>2Cr 13.11,14</w:t>
        </w:r>
      </w:hyperlink>
      <w:r>
        <w:t>).</w:t>
      </w:r>
    </w:p>
    <w:p>
      <w:r/>
      <w:r>
        <w:rPr>
          <w:i/>
        </w:rPr>
        <w:t>Veja</w:t>
      </w:r>
      <w:r>
        <w:t xml:space="preserve"> </w:t>
      </w:r>
      <w:r>
        <w:t>Abençoar, bênção</w:t>
      </w:r>
      <w:r>
        <w:t>.</w:t>
      </w:r>
      <w:r/>
      <w:r/>
    </w:p>
    <w:p>
      <w:r/>
    </w:p>
    <w:p>
      <w:pPr>
        <w:pStyle w:val="Heading2"/>
      </w:pPr>
      <w:r>
        <w:t>Benjamim (Pessoa)</w:t>
      </w:r>
      <w:r/>
    </w:p>
    <w:p>
      <w:pPr>
        <w:pStyle w:val="ListNumber"/>
        <w:spacing w:line="240" w:lineRule="auto"/>
        <w:ind w:left="720"/>
      </w:pPr>
      <w:r/>
      <w:r>
        <w:t xml:space="preserve">O mais jovem dos 12 filhos de Jacó e irmão de pai e mãe de José. Jacó o nomeou Benjamim (“filho da minha mão direita”) depois que sua mãe moribunda, Raquel, o chamou de Benoni (“filho da minha tristeza,” </w:t>
      </w:r>
      <w:hyperlink r:id="rId3401">
        <w:r>
          <w:rPr>
            <w:color w:val="0000EE"/>
            <w:u w:val="single"/>
          </w:rPr>
          <w:t>Gn 35.18</w:t>
        </w:r>
      </w:hyperlink>
      <w:r>
        <w:t>). Depois que José foi vendido ao Egito por seus meios-irmãos, seu pai, Jacó, assumiu que José estava morto e tornou-se muito protetor de Benjamim. Mais tarde, devido a um plano criado por José, Benjamim foi usado para ajudar a reunir Jacó com seus 12 filhos no Egito (</w:t>
      </w:r>
      <w:hyperlink r:id="rId3402">
        <w:r>
          <w:rPr>
            <w:color w:val="0000EE"/>
            <w:u w:val="single"/>
          </w:rPr>
          <w:t>Gn 42–45</w:t>
        </w:r>
      </w:hyperlink>
      <w:r>
        <w:t>). Em uma profecia sobre seus filhos, Jacó falou da habilidade de Benjamim como guerreiro ou predisse o poder militar de sua tribo ao dizer: “Benjamim é um lobo voraz; pela manhã devora a presa, à tarde divide o despojo” (</w:t>
      </w:r>
      <w:hyperlink r:id="rId1889">
        <w:r>
          <w:rPr>
            <w:color w:val="0000EE"/>
            <w:u w:val="single"/>
          </w:rPr>
          <w:t>Gn 49.27</w:t>
        </w:r>
      </w:hyperlink>
      <w:r>
        <w:t>).</w:t>
      </w:r>
    </w:p>
    <w:p>
      <w:r/>
      <w:r>
        <w:rPr>
          <w:i/>
        </w:rPr>
        <w:t>Veja</w:t>
      </w:r>
      <w:r>
        <w:t xml:space="preserve"> </w:t>
      </w:r>
      <w:r>
        <w:t>Benjamim, Tribo de</w:t>
      </w:r>
      <w:r>
        <w:t>.</w:t>
      </w:r>
    </w:p>
    <w:p>
      <w:pPr>
        <w:pStyle w:val="ListNumber"/>
        <w:spacing w:line="240" w:lineRule="auto"/>
        <w:ind w:left="720"/>
      </w:pPr>
      <w:r/>
      <w:r>
        <w:t>Filho de Bilã e bisneto de Jacó (</w:t>
      </w:r>
      <w:hyperlink r:id="rId3403">
        <w:r>
          <w:rPr>
            <w:color w:val="0000EE"/>
            <w:u w:val="single"/>
          </w:rPr>
          <w:t>1Cr 7.10</w:t>
        </w:r>
      </w:hyperlink>
      <w:r>
        <w:t>).</w:t>
      </w:r>
    </w:p>
    <w:p>
      <w:pPr>
        <w:pStyle w:val="ListNumber"/>
        <w:spacing w:line="240" w:lineRule="auto"/>
        <w:ind w:left="720"/>
      </w:pPr>
      <w:r/>
      <w:r>
        <w:t>Membro do clã de Harim após o exílio na Babilônia, e que se casou com uma esposa não judia (</w:t>
      </w:r>
      <w:hyperlink r:id="rId3404">
        <w:r>
          <w:rPr>
            <w:color w:val="0000EE"/>
            <w:u w:val="single"/>
          </w:rPr>
          <w:t>Ed 10.32</w:t>
        </w:r>
      </w:hyperlink>
      <w:r>
        <w:t>).</w:t>
      </w:r>
    </w:p>
    <w:p>
      <w:pPr>
        <w:pStyle w:val="ListNumber"/>
        <w:spacing w:line="240" w:lineRule="auto"/>
        <w:ind w:left="720"/>
      </w:pPr>
      <w:r/>
      <w:r>
        <w:t>Aquele que reparou uma seção do muro ao lado de sua própria casa (</w:t>
      </w:r>
      <w:hyperlink r:id="rId3405">
        <w:r>
          <w:rPr>
            <w:color w:val="0000EE"/>
            <w:u w:val="single"/>
          </w:rPr>
          <w:t>Ne 3.23</w:t>
        </w:r>
      </w:hyperlink>
      <w:r>
        <w:t>).</w:t>
      </w:r>
    </w:p>
    <w:p>
      <w:pPr>
        <w:pStyle w:val="ListNumber"/>
        <w:spacing w:line="240" w:lineRule="auto"/>
        <w:ind w:left="720"/>
      </w:pPr>
      <w:r/>
      <w:r>
        <w:t>Um dos membros do grupo de judeus que participaram da dedicação do muro em Jerusalém (</w:t>
      </w:r>
      <w:hyperlink r:id="rId3406">
        <w:r>
          <w:rPr>
            <w:color w:val="0000EE"/>
            <w:u w:val="single"/>
          </w:rPr>
          <w:t>Ne 12.34</w:t>
        </w:r>
      </w:hyperlink>
      <w:r>
        <w:t>). Ele pode ser o mesmo que o número #4 acima.</w:t>
      </w:r>
      <w:r/>
      <w:r/>
    </w:p>
    <w:p>
      <w:r/>
    </w:p>
    <w:p>
      <w:pPr>
        <w:pStyle w:val="Heading2"/>
      </w:pPr>
      <w:r>
        <w:t>Benjamim, Tribo de</w:t>
      </w:r>
      <w:r/>
    </w:p>
    <w:p>
      <w:r/>
      <w:r>
        <w:t>Uma das menores das 12 tribos de Israel, composta por descendentes do filho mais novo de Jacó (</w:t>
      </w:r>
      <w:hyperlink r:id="rId3407">
        <w:r>
          <w:rPr>
            <w:color w:val="0000EE"/>
            <w:u w:val="single"/>
          </w:rPr>
          <w:t>Nm 1.36</w:t>
        </w:r>
      </w:hyperlink>
      <w:r>
        <w:t>). No Antigo Testamento, a tribo é frequentemente referida simplesmente como “Benjamim”. Apesar de seu pequeno tamanho, a tribo desempenhou um papel importante na história de Israel, particularmente em sua atuação como grandes guerreiros (</w:t>
      </w:r>
      <w:hyperlink r:id="rId3408">
        <w:r>
          <w:rPr>
            <w:color w:val="0000EE"/>
            <w:u w:val="single"/>
          </w:rPr>
          <w:t>Jz 20.13–16</w:t>
        </w:r>
      </w:hyperlink>
      <w:r>
        <w:t xml:space="preserve">; </w:t>
      </w:r>
      <w:hyperlink r:id="rId3409">
        <w:r>
          <w:rPr>
            <w:color w:val="0000EE"/>
            <w:u w:val="single"/>
          </w:rPr>
          <w:t>1Cr 12.1–2</w:t>
        </w:r>
      </w:hyperlink>
      <w:r>
        <w:t>).</w:t>
      </w:r>
    </w:p>
    <w:p>
      <w:pPr>
        <w:pStyle w:val="Heading3"/>
      </w:pPr>
      <w:r>
        <w:t>O território da tribo de Benjamim</w:t>
      </w:r>
    </w:p>
    <w:p>
      <w:r/>
      <w:r>
        <w:t>Quando os israelitas conquistaram Canaã, Benjamim foi a primeira tribo a receber sua terra após Judá e Efraim. O território de Benjamim estava localizado entre as terras de Judá e Efraim, estendendo-se das colinas do Monte Efraim até as colinas da Judeia. A fronteira sul com Judá estava bem definida, passando pelo vale de Hinom, logo ao sul de Jerusalém, até um ponto ao norte do Mar Morto. A fronteira oriental era o Rio Jordão, e a fronteira norte com Efraim ia do Jordão a Betel até Atarote-Adar, que fica ao sul de Bete-Horom-de-Baixo (</w:t>
      </w:r>
      <w:hyperlink r:id="rId3410">
        <w:r>
          <w:rPr>
            <w:color w:val="0000EE"/>
            <w:u w:val="single"/>
          </w:rPr>
          <w:t>Js 18.11–20</w:t>
        </w:r>
      </w:hyperlink>
      <w:r>
        <w:t>).</w:t>
      </w:r>
    </w:p>
    <w:p>
      <w:r/>
      <w:r>
        <w:t xml:space="preserve">O território de Benjamim se estendia por cerca de 45,1 quilômetros de oeste a leste e 19,3 quilômetros de norte a sul. Era uma região montanhosa, estrategicamente posicionada para controlar passagens de montanha chave, mas também possuía vales férteis. Algumas de suas cidades importantes, mencionadas em </w:t>
      </w:r>
      <w:hyperlink r:id="rId3411">
        <w:r>
          <w:rPr>
            <w:color w:val="0000EE"/>
            <w:u w:val="single"/>
          </w:rPr>
          <w:t>Josué 18.21–28</w:t>
        </w:r>
      </w:hyperlink>
      <w:r>
        <w:t>, incluíam:</w:t>
      </w:r>
    </w:p>
    <w:p>
      <w:pPr>
        <w:pStyle w:val="ListBullet"/>
        <w:spacing w:line="240" w:lineRule="auto"/>
        <w:ind w:left="720"/>
      </w:pPr>
      <w:r/>
      <w:r>
        <w:t>Jerusalém</w:t>
      </w:r>
    </w:p>
    <w:p>
      <w:pPr>
        <w:pStyle w:val="ListBullet"/>
        <w:spacing w:line="240" w:lineRule="auto"/>
        <w:ind w:left="720"/>
      </w:pPr>
      <w:r/>
      <w:r>
        <w:t>Jericó</w:t>
      </w:r>
    </w:p>
    <w:p>
      <w:pPr>
        <w:pStyle w:val="ListBullet"/>
        <w:spacing w:line="240" w:lineRule="auto"/>
        <w:ind w:left="720"/>
      </w:pPr>
      <w:r/>
      <w:r>
        <w:t>Betel</w:t>
      </w:r>
    </w:p>
    <w:p>
      <w:pPr>
        <w:pStyle w:val="ListBullet"/>
        <w:spacing w:line="240" w:lineRule="auto"/>
        <w:ind w:left="720"/>
      </w:pPr>
      <w:r/>
      <w:r>
        <w:t>Gibeão</w:t>
      </w:r>
    </w:p>
    <w:p>
      <w:pPr>
        <w:pStyle w:val="ListBullet"/>
        <w:spacing w:line="240" w:lineRule="auto"/>
        <w:ind w:left="720"/>
      </w:pPr>
      <w:r/>
      <w:r>
        <w:t>Gibeá</w:t>
      </w:r>
    </w:p>
    <w:p>
      <w:pPr>
        <w:pStyle w:val="ListBullet"/>
        <w:spacing w:line="240" w:lineRule="auto"/>
        <w:ind w:left="720"/>
      </w:pPr>
      <w:r/>
      <w:r>
        <w:t>Mispa</w:t>
      </w:r>
    </w:p>
    <w:p>
      <w:r/>
      <w:r>
        <w:t>Nem todas essas cidades foram tomadas imediatamente das pessoas que costumavam viver nelas; por exemplo, Jerusalém permaneceu nas mãos dos jebuseus até a época de Davi. O ambiente difícil produziu um povo resistente, descrito na bênção de Jacó a Benjamim como “um lobo voraz” (</w:t>
      </w:r>
      <w:hyperlink r:id="rId1889">
        <w:r>
          <w:rPr>
            <w:color w:val="0000EE"/>
            <w:u w:val="single"/>
          </w:rPr>
          <w:t>Gn 49.27</w:t>
        </w:r>
      </w:hyperlink>
      <w:r>
        <w:t>).</w:t>
      </w:r>
    </w:p>
    <w:p>
      <w:pPr>
        <w:pStyle w:val="Heading3"/>
      </w:pPr>
      <w:r>
        <w:t>Pessoas da tribo de Benjamim</w:t>
      </w:r>
    </w:p>
    <w:p>
      <w:r/>
      <w:r>
        <w:t>Um dos primeiros juízes em Canaã, Eúde, era da tribo de Benjamim. Ele libertou os israelitas ao matar Eglom, o rei de Moabe (</w:t>
      </w:r>
      <w:hyperlink r:id="rId3412">
        <w:r>
          <w:rPr>
            <w:color w:val="0000EE"/>
            <w:u w:val="single"/>
          </w:rPr>
          <w:t>Jz 3.15</w:t>
        </w:r>
      </w:hyperlink>
      <w:r>
        <w:t>). Mais tarde, membros da tribo ajudaram Débora e Baraque a derrotar Sísera (</w:t>
      </w:r>
      <w:hyperlink r:id="rId1041">
        <w:r>
          <w:rPr>
            <w:color w:val="0000EE"/>
            <w:u w:val="single"/>
          </w:rPr>
          <w:t>Jz 5.14</w:t>
        </w:r>
      </w:hyperlink>
      <w:r>
        <w:t>). A tribo deu origem a mais pessoas importantes:</w:t>
      </w:r>
    </w:p>
    <w:p>
      <w:pPr>
        <w:pStyle w:val="ListBullet"/>
        <w:spacing w:line="240" w:lineRule="auto"/>
        <w:ind w:left="720"/>
      </w:pPr>
      <w:r/>
      <w:r>
        <w:t>Líderes políticos (</w:t>
      </w:r>
      <w:hyperlink r:id="rId3413">
        <w:r>
          <w:rPr>
            <w:color w:val="0000EE"/>
            <w:u w:val="single"/>
          </w:rPr>
          <w:t>1Cr 27.21</w:t>
        </w:r>
      </w:hyperlink>
      <w:r>
        <w:t>)</w:t>
      </w:r>
    </w:p>
    <w:p>
      <w:pPr>
        <w:pStyle w:val="ListBullet"/>
        <w:spacing w:line="240" w:lineRule="auto"/>
        <w:ind w:left="720"/>
      </w:pPr>
      <w:r/>
      <w:r>
        <w:t>Capitães no exército de Saul (</w:t>
      </w:r>
      <w:hyperlink r:id="rId3414">
        <w:r>
          <w:rPr>
            <w:color w:val="0000EE"/>
            <w:u w:val="single"/>
          </w:rPr>
          <w:t>2Sm 4.2</w:t>
        </w:r>
      </w:hyperlink>
      <w:r>
        <w:t>) e no exército de Davi (</w:t>
      </w:r>
      <w:hyperlink r:id="rId3415">
        <w:r>
          <w:rPr>
            <w:color w:val="0000EE"/>
            <w:u w:val="single"/>
          </w:rPr>
          <w:t>2Sm 23.29</w:t>
        </w:r>
      </w:hyperlink>
      <w:r>
        <w:t>)</w:t>
      </w:r>
    </w:p>
    <w:p>
      <w:pPr>
        <w:pStyle w:val="ListBullet"/>
        <w:spacing w:line="240" w:lineRule="auto"/>
        <w:ind w:left="720"/>
      </w:pPr>
      <w:r/>
      <w:r>
        <w:t>Arqueiros habilidosos (</w:t>
      </w:r>
      <w:hyperlink r:id="rId3416">
        <w:r>
          <w:rPr>
            <w:color w:val="0000EE"/>
            <w:u w:val="single"/>
          </w:rPr>
          <w:t>1Cr 8.40</w:t>
        </w:r>
      </w:hyperlink>
      <w:r>
        <w:t>)</w:t>
      </w:r>
    </w:p>
    <w:p>
      <w:pPr>
        <w:pStyle w:val="ListBullet"/>
        <w:spacing w:line="240" w:lineRule="auto"/>
        <w:ind w:left="720"/>
      </w:pPr>
      <w:r/>
      <w:r>
        <w:t>Líderes na força de trabalho de Salomão (</w:t>
      </w:r>
      <w:hyperlink r:id="rId3417">
        <w:r>
          <w:rPr>
            <w:color w:val="0000EE"/>
            <w:u w:val="single"/>
          </w:rPr>
          <w:t>1Rs 4.18</w:t>
        </w:r>
      </w:hyperlink>
      <w:r>
        <w:t>)</w:t>
      </w:r>
    </w:p>
    <w:p>
      <w:r/>
      <w:r>
        <w:t>Os descendentes de Benjamim também demonstraram características menos nobres:</w:t>
      </w:r>
    </w:p>
    <w:p>
      <w:pPr>
        <w:pStyle w:val="ListBullet"/>
        <w:spacing w:line="240" w:lineRule="auto"/>
        <w:ind w:left="720"/>
      </w:pPr>
      <w:r/>
      <w:r>
        <w:t>Palti, um benjamita, fez um relatório negativo quando os 12 espiões retornaram de explorar a terra de Canaã (</w:t>
      </w:r>
      <w:hyperlink r:id="rId3418">
        <w:r>
          <w:rPr>
            <w:color w:val="0000EE"/>
            <w:u w:val="single"/>
          </w:rPr>
          <w:t>Nm 13.1</w:t>
        </w:r>
      </w:hyperlink>
      <w:hyperlink r:id="rId3419">
        <w:r>
          <w:rPr>
            <w:color w:val="0000EE"/>
            <w:u w:val="single"/>
          </w:rPr>
          <w:t>–</w:t>
        </w:r>
      </w:hyperlink>
      <w:hyperlink r:id="rId3418">
        <w:r>
          <w:rPr>
            <w:color w:val="0000EE"/>
            <w:u w:val="single"/>
          </w:rPr>
          <w:t>2,9,31</w:t>
        </w:r>
      </w:hyperlink>
      <w:hyperlink r:id="rId3419">
        <w:r>
          <w:rPr>
            <w:color w:val="0000EE"/>
            <w:u w:val="single"/>
          </w:rPr>
          <w:t>–</w:t>
        </w:r>
      </w:hyperlink>
      <w:hyperlink r:id="rId3418">
        <w:r>
          <w:rPr>
            <w:color w:val="0000EE"/>
            <w:u w:val="single"/>
          </w:rPr>
          <w:t>33</w:t>
        </w:r>
      </w:hyperlink>
      <w:r>
        <w:t>)</w:t>
      </w:r>
    </w:p>
    <w:p>
      <w:pPr>
        <w:pStyle w:val="ListBullet"/>
        <w:spacing w:line="240" w:lineRule="auto"/>
        <w:ind w:left="720"/>
      </w:pPr>
      <w:r/>
      <w:r>
        <w:t>A tribo foi desobediente e não foi corajosa ao falhar em limpar sua herança dos cananeus (</w:t>
      </w:r>
      <w:hyperlink r:id="rId3420">
        <w:r>
          <w:rPr>
            <w:color w:val="0000EE"/>
            <w:u w:val="single"/>
          </w:rPr>
          <w:t>Jz 1.21</w:t>
        </w:r>
      </w:hyperlink>
      <w:r>
        <w:t>)</w:t>
      </w:r>
    </w:p>
    <w:p>
      <w:pPr>
        <w:pStyle w:val="ListBullet"/>
        <w:spacing w:line="240" w:lineRule="auto"/>
        <w:ind w:left="720"/>
      </w:pPr>
      <w:r/>
      <w:r>
        <w:t>A tribo defendeu o comportamento lascivo e o assassinato de uma concubina por alguns de seus membros, o que levou a uma destruição quase total da tribo em uma guerra contra outra tribo (</w:t>
      </w:r>
      <w:hyperlink r:id="rId3421">
        <w:r>
          <w:rPr>
            <w:color w:val="0000EE"/>
            <w:u w:val="single"/>
          </w:rPr>
          <w:t>Jz 19–20</w:t>
        </w:r>
      </w:hyperlink>
      <w:r>
        <w:t>). Para evitar que a tribo se extinguisse, as outras tribos permitiram que os benjamitas sobreviventes capturassem várias centenas de mulheres que se tornaram suas esposas (</w:t>
      </w:r>
      <w:hyperlink r:id="rId3422">
        <w:r>
          <w:rPr>
            <w:color w:val="0000EE"/>
            <w:u w:val="single"/>
          </w:rPr>
          <w:t>Jz 21</w:t>
        </w:r>
      </w:hyperlink>
      <w:r>
        <w:t>)</w:t>
      </w:r>
    </w:p>
    <w:p>
      <w:r/>
      <w:r>
        <w:t>A tribo de Benjamim demonstrou ser confiável de várias maneiras:</w:t>
      </w:r>
    </w:p>
    <w:p>
      <w:pPr>
        <w:pStyle w:val="ListBullet"/>
        <w:spacing w:line="240" w:lineRule="auto"/>
        <w:ind w:left="720"/>
      </w:pPr>
      <w:r/>
      <w:r>
        <w:t>Durante o Êxodo do Egito, tomou seu lugar na organização (</w:t>
      </w:r>
      <w:hyperlink r:id="rId77">
        <w:r>
          <w:rPr>
            <w:color w:val="0000EE"/>
            <w:u w:val="single"/>
          </w:rPr>
          <w:t>Nm 1.11</w:t>
        </w:r>
      </w:hyperlink>
      <w:r>
        <w:t>) e no exército (</w:t>
      </w:r>
      <w:hyperlink r:id="rId78">
        <w:r>
          <w:rPr>
            <w:color w:val="0000EE"/>
            <w:u w:val="single"/>
          </w:rPr>
          <w:t>Nm 2.22</w:t>
        </w:r>
      </w:hyperlink>
      <w:r>
        <w:t>) e fez suas ofertas tribais (</w:t>
      </w:r>
      <w:hyperlink r:id="rId3423">
        <w:r>
          <w:rPr>
            <w:color w:val="0000EE"/>
            <w:u w:val="single"/>
          </w:rPr>
          <w:t>Nm 7.60</w:t>
        </w:r>
      </w:hyperlink>
      <w:r>
        <w:t>)</w:t>
      </w:r>
    </w:p>
    <w:p>
      <w:pPr>
        <w:pStyle w:val="ListBullet"/>
        <w:spacing w:line="240" w:lineRule="auto"/>
        <w:ind w:left="720"/>
      </w:pPr>
      <w:r/>
      <w:r>
        <w:t>Foi muito leal ao trono, inicialmente a Saul e sua família (</w:t>
      </w:r>
      <w:hyperlink r:id="rId3424">
        <w:r>
          <w:rPr>
            <w:color w:val="0000EE"/>
            <w:u w:val="single"/>
          </w:rPr>
          <w:t>2Sm 2.8–31</w:t>
        </w:r>
      </w:hyperlink>
      <w:r>
        <w:t>), mas também apoiou Davi e seus descendentes. Benjamim permaneceu leal ao filho de Salomão, Roboão, quando Jeroboão se separou de Judá (</w:t>
      </w:r>
      <w:hyperlink r:id="rId3425">
        <w:r>
          <w:rPr>
            <w:color w:val="0000EE"/>
            <w:u w:val="single"/>
          </w:rPr>
          <w:t>1Rs 12.21–24</w:t>
        </w:r>
      </w:hyperlink>
      <w:r>
        <w:t>)</w:t>
      </w:r>
    </w:p>
    <w:p>
      <w:r/>
      <w:r>
        <w:t>Outros homens de Benjamim (frequentemente chamados de benjamitas) mencionados no Antigo Testamento incluem:</w:t>
      </w:r>
    </w:p>
    <w:p>
      <w:pPr>
        <w:pStyle w:val="ListBullet"/>
        <w:spacing w:line="240" w:lineRule="auto"/>
        <w:ind w:left="720"/>
      </w:pPr>
      <w:r/>
      <w:r>
        <w:t xml:space="preserve">Cuxe, sobre quem Davi cantou (A inscrição do </w:t>
      </w:r>
      <w:hyperlink r:id="rId3426">
        <w:r>
          <w:rPr>
            <w:color w:val="0000EE"/>
            <w:u w:val="single"/>
          </w:rPr>
          <w:t>Sl 7</w:t>
        </w:r>
      </w:hyperlink>
      <w:r>
        <w:t>)</w:t>
      </w:r>
    </w:p>
    <w:p>
      <w:pPr>
        <w:pStyle w:val="ListBullet"/>
        <w:spacing w:line="240" w:lineRule="auto"/>
        <w:ind w:left="720"/>
      </w:pPr>
      <w:r/>
      <w:r>
        <w:t>Jeremias, o profeta que viveu em Benjamim apesar de ser um levita (</w:t>
      </w:r>
      <w:hyperlink r:id="rId3427">
        <w:r>
          <w:rPr>
            <w:color w:val="0000EE"/>
            <w:u w:val="single"/>
          </w:rPr>
          <w:t>Jr 1.1</w:t>
        </w:r>
      </w:hyperlink>
      <w:r>
        <w:t xml:space="preserve">; </w:t>
      </w:r>
      <w:hyperlink r:id="rId3428">
        <w:r>
          <w:rPr>
            <w:color w:val="0000EE"/>
            <w:u w:val="single"/>
          </w:rPr>
          <w:t>32.8</w:t>
        </w:r>
      </w:hyperlink>
      <w:r>
        <w:t>)</w:t>
      </w:r>
    </w:p>
    <w:p>
      <w:pPr>
        <w:pStyle w:val="ListBullet"/>
        <w:spacing w:line="240" w:lineRule="auto"/>
        <w:ind w:left="720"/>
      </w:pPr>
      <w:r/>
      <w:r>
        <w:t>Mardoqueu, tio e conselheiro da rainha Ester (</w:t>
      </w:r>
      <w:hyperlink r:id="rId3429">
        <w:r>
          <w:rPr>
            <w:color w:val="0000EE"/>
            <w:u w:val="single"/>
          </w:rPr>
          <w:t>Et 2.5</w:t>
        </w:r>
      </w:hyperlink>
      <w:r>
        <w:t>)</w:t>
      </w:r>
    </w:p>
    <w:p>
      <w:pPr>
        <w:pStyle w:val="Heading3"/>
      </w:pPr>
      <w:r>
        <w:t>A tribo de Benjamim no Novo Testamento</w:t>
      </w:r>
    </w:p>
    <w:p>
      <w:r/>
      <w:r>
        <w:t>No Novo Testamento, o apóstolo Paulo orgulhosamente se identificava como membro da tribo de Benjamim, mencionando isso duas vezes (</w:t>
      </w:r>
      <w:hyperlink r:id="rId3430">
        <w:r>
          <w:rPr>
            <w:color w:val="0000EE"/>
            <w:u w:val="single"/>
          </w:rPr>
          <w:t>Rm 11.1</w:t>
        </w:r>
      </w:hyperlink>
      <w:r>
        <w:t xml:space="preserve">; </w:t>
      </w:r>
      <w:hyperlink r:id="rId3431">
        <w:r>
          <w:rPr>
            <w:color w:val="0000EE"/>
            <w:u w:val="single"/>
          </w:rPr>
          <w:t>Fp 3.5</w:t>
        </w:r>
      </w:hyperlink>
      <w:r>
        <w:t>). Em seu sermão em Antioquia da Pisídia, Paulo também mencionou Benjamim como a tribo do rei Saul, em seu breve relato da história de Israel (</w:t>
      </w:r>
      <w:hyperlink r:id="rId3432">
        <w:r>
          <w:rPr>
            <w:color w:val="0000EE"/>
            <w:u w:val="single"/>
          </w:rPr>
          <w:t>At 13.21</w:t>
        </w:r>
      </w:hyperlink>
      <w:r>
        <w:t>). Em outra referência no Novo Testamento, Benjamim é mencionado junto com as outras 11 tribos na visão de João no livro de Apocalipse (</w:t>
      </w:r>
      <w:hyperlink r:id="rId3433">
        <w:r>
          <w:rPr>
            <w:color w:val="0000EE"/>
            <w:u w:val="single"/>
          </w:rPr>
          <w:t>Ap 7.8</w:t>
        </w:r>
      </w:hyperlink>
      <w:r>
        <w:t>).</w:t>
      </w:r>
    </w:p>
    <w:p>
      <w:r/>
      <w:r>
        <w:rPr>
          <w:i/>
        </w:rPr>
        <w:t>Veja</w:t>
      </w:r>
      <w:r>
        <w:t xml:space="preserve"> </w:t>
      </w:r>
      <w:r>
        <w:t>Benjamim (Pessoa) #1</w:t>
      </w:r>
      <w:r>
        <w:t>.</w:t>
      </w:r>
      <w:r/>
      <w:r/>
    </w:p>
    <w:p>
      <w:r/>
    </w:p>
    <w:p>
      <w:pPr>
        <w:pStyle w:val="Heading2"/>
      </w:pPr>
      <w:r>
        <w:t>Benoni</w:t>
      </w:r>
      <w:r/>
    </w:p>
    <w:p>
      <w:r/>
      <w:r>
        <w:t>O nome que Raquel deu ao seu último filho enquanto morria no parto (</w:t>
      </w:r>
      <w:hyperlink r:id="rId3401">
        <w:r>
          <w:rPr>
            <w:color w:val="0000EE"/>
            <w:u w:val="single"/>
          </w:rPr>
          <w:t>Gn 35.18</w:t>
        </w:r>
      </w:hyperlink>
      <w:r>
        <w:t>). Seu pai, Jacó, mudou seu nome de Benoni (“filho da minha tristeza”) para Benjamim (“filho da minha mão direita”).</w:t>
      </w:r>
    </w:p>
    <w:p>
      <w:r/>
      <w:r>
        <w:rPr>
          <w:i/>
        </w:rPr>
        <w:t>Veja</w:t>
      </w:r>
      <w:r>
        <w:t xml:space="preserve"> </w:t>
      </w:r>
      <w:r>
        <w:t>Benjamim (Pessoa) #1</w:t>
      </w:r>
      <w:r>
        <w:t>.</w:t>
      </w:r>
      <w:r/>
      <w:r/>
    </w:p>
    <w:p>
      <w:r/>
    </w:p>
    <w:p>
      <w:pPr>
        <w:pStyle w:val="Heading2"/>
      </w:pPr>
      <w:r>
        <w:t>Beom</w:t>
      </w:r>
      <w:r/>
    </w:p>
    <w:p>
      <w:r/>
      <w:r>
        <w:t>Outro nome para Baal-Meon, uma cidade a leste do rio Jordão (</w:t>
      </w:r>
      <w:hyperlink r:id="rId2947">
        <w:r>
          <w:rPr>
            <w:color w:val="0000EE"/>
            <w:u w:val="single"/>
          </w:rPr>
          <w:t>Nm 32.3</w:t>
        </w:r>
      </w:hyperlink>
      <w:r>
        <w:t>).</w:t>
      </w:r>
    </w:p>
    <w:p>
      <w:r/>
      <w:r>
        <w:rPr>
          <w:i/>
        </w:rPr>
        <w:t>Veja</w:t>
      </w:r>
      <w:r>
        <w:t xml:space="preserve"> </w:t>
      </w:r>
      <w:r>
        <w:t>Baal-Meon</w:t>
      </w:r>
      <w:r>
        <w:t>.</w:t>
      </w:r>
      <w:r/>
      <w:r/>
    </w:p>
    <w:p>
      <w:r/>
    </w:p>
    <w:p>
      <w:pPr>
        <w:pStyle w:val="Heading2"/>
      </w:pPr>
      <w:r>
        <w:t>Beor</w:t>
      </w:r>
      <w:r/>
    </w:p>
    <w:p>
      <w:pPr>
        <w:pStyle w:val="ListNumber"/>
        <w:spacing w:line="240" w:lineRule="auto"/>
        <w:ind w:left="720"/>
      </w:pPr>
      <w:r/>
      <w:r>
        <w:t>O pai de Belá (</w:t>
      </w:r>
      <w:hyperlink r:id="rId3434">
        <w:r>
          <w:rPr>
            <w:color w:val="0000EE"/>
            <w:u w:val="single"/>
          </w:rPr>
          <w:t>Gn 36.32</w:t>
        </w:r>
      </w:hyperlink>
      <w:r>
        <w:t>). Belá foi um rei de Edom.</w:t>
      </w:r>
    </w:p>
    <w:p>
      <w:pPr>
        <w:pStyle w:val="ListNumber"/>
        <w:spacing w:line="240" w:lineRule="auto"/>
        <w:ind w:left="720"/>
      </w:pPr>
      <w:r/>
      <w:r>
        <w:t>Pai de Balaão (</w:t>
      </w:r>
      <w:hyperlink r:id="rId1059">
        <w:r>
          <w:rPr>
            <w:color w:val="0000EE"/>
            <w:u w:val="single"/>
          </w:rPr>
          <w:t>Nm 22.5</w:t>
        </w:r>
      </w:hyperlink>
      <w:r>
        <w:t xml:space="preserve">; </w:t>
      </w:r>
      <w:hyperlink r:id="rId3435">
        <w:r>
          <w:rPr>
            <w:color w:val="0000EE"/>
            <w:u w:val="single"/>
          </w:rPr>
          <w:t>2Pe 2.15</w:t>
        </w:r>
      </w:hyperlink>
      <w:r>
        <w:t>, às vezes chamado de “Bosor”). Balaão foi solicitado por Balaque, rei de Moabe, para amaldiçoar Israel.</w:t>
      </w:r>
      <w:r/>
      <w:r/>
    </w:p>
    <w:p>
      <w:r/>
    </w:p>
    <w:p>
      <w:pPr>
        <w:pStyle w:val="Heading2"/>
      </w:pPr>
      <w:r>
        <w:t>Bequer, Bequerita</w:t>
      </w:r>
      <w:r/>
    </w:p>
    <w:p>
      <w:pPr>
        <w:pStyle w:val="ListNumber"/>
        <w:spacing w:line="240" w:lineRule="auto"/>
        <w:ind w:left="720"/>
      </w:pPr>
      <w:r/>
      <w:r>
        <w:t>O segundo filho de Benjamim, que se mudou para o Egito com seu avô Jacó (</w:t>
      </w:r>
      <w:hyperlink r:id="rId661">
        <w:r>
          <w:rPr>
            <w:color w:val="0000EE"/>
            <w:u w:val="single"/>
          </w:rPr>
          <w:t>Gn 46.21</w:t>
        </w:r>
      </w:hyperlink>
      <w:r>
        <w:t xml:space="preserve">; </w:t>
      </w:r>
      <w:hyperlink r:id="rId2658">
        <w:r>
          <w:rPr>
            <w:color w:val="0000EE"/>
            <w:u w:val="single"/>
          </w:rPr>
          <w:t>1Cr 7.6</w:t>
        </w:r>
      </w:hyperlink>
      <w:r>
        <w:t>).</w:t>
      </w:r>
    </w:p>
    <w:p>
      <w:pPr>
        <w:pStyle w:val="ListNumber"/>
        <w:spacing w:line="240" w:lineRule="auto"/>
        <w:ind w:left="720"/>
      </w:pPr>
      <w:r/>
      <w:r>
        <w:t>Segundo filho de Efraim. A família dos "bequeritas" veio de sua linhagem (</w:t>
      </w:r>
      <w:hyperlink r:id="rId3436">
        <w:r>
          <w:rPr>
            <w:color w:val="0000EE"/>
            <w:u w:val="single"/>
          </w:rPr>
          <w:t>Nm 26.35</w:t>
        </w:r>
      </w:hyperlink>
      <w:r>
        <w:t>). Ele também é chamado de Berede (</w:t>
      </w:r>
      <w:hyperlink r:id="rId3437">
        <w:r>
          <w:rPr>
            <w:color w:val="0000EE"/>
            <w:u w:val="single"/>
          </w:rPr>
          <w:t>1Cr 7.20</w:t>
        </w:r>
      </w:hyperlink>
      <w:r>
        <w:t>).</w:t>
      </w:r>
      <w:r/>
      <w:r/>
    </w:p>
    <w:p>
      <w:r/>
    </w:p>
    <w:p>
      <w:pPr>
        <w:pStyle w:val="Heading2"/>
      </w:pPr>
      <w:r>
        <w:t>Bequer, Bequerita</w:t>
      </w:r>
      <w:r/>
    </w:p>
    <w:p>
      <w:r/>
      <w:r>
        <w:t>Outra grafia para o segundo filho de Efraim. Um bequerita é um de seus descendentes (</w:t>
      </w:r>
      <w:hyperlink r:id="rId3436">
        <w:r>
          <w:rPr>
            <w:color w:val="0000EE"/>
            <w:u w:val="single"/>
          </w:rPr>
          <w:t>Nm 26.35</w:t>
        </w:r>
      </w:hyperlink>
      <w:r>
        <w:t>).</w:t>
      </w:r>
    </w:p>
    <w:p>
      <w:r/>
      <w:r>
        <w:rPr>
          <w:i/>
        </w:rPr>
        <w:t>Veja</w:t>
      </w:r>
      <w:r>
        <w:t xml:space="preserve"> </w:t>
      </w:r>
      <w:r>
        <w:t>Bequer, Bequerita #2</w:t>
      </w:r>
      <w:r>
        <w:t>.</w:t>
      </w:r>
      <w:r/>
      <w:r/>
    </w:p>
    <w:p>
      <w:r/>
    </w:p>
    <w:p>
      <w:pPr>
        <w:pStyle w:val="Heading2"/>
      </w:pPr>
      <w:r>
        <w:t>Bequerita</w:t>
      </w:r>
      <w:r/>
    </w:p>
    <w:p>
      <w:r/>
      <w:r>
        <w:t>A ARC usa a forma bequerita. Este era qualquer descendente de Bequer (</w:t>
      </w:r>
      <w:hyperlink r:id="rId3436">
        <w:r>
          <w:rPr>
            <w:color w:val="0000EE"/>
            <w:u w:val="single"/>
          </w:rPr>
          <w:t>Nm 26.35</w:t>
        </w:r>
      </w:hyperlink>
      <w:r>
        <w:t>).</w:t>
      </w:r>
    </w:p>
    <w:p>
      <w:r/>
      <w:r>
        <w:rPr>
          <w:i/>
        </w:rPr>
        <w:t>Veja</w:t>
      </w:r>
      <w:r>
        <w:t xml:space="preserve"> </w:t>
      </w:r>
      <w:r>
        <w:t>Bequer, Bequerita #2</w:t>
      </w:r>
      <w:r>
        <w:t>.</w:t>
      </w:r>
      <w:r/>
      <w:r/>
    </w:p>
    <w:p>
      <w:r/>
    </w:p>
    <w:p>
      <w:pPr>
        <w:pStyle w:val="Heading2"/>
      </w:pPr>
      <w:r>
        <w:t>Bera</w:t>
      </w:r>
      <w:r/>
    </w:p>
    <w:p>
      <w:r/>
      <w:r>
        <w:t>O governante de Sodoma durante os dias de Abraão e Ló. Bera foi um dos cinco reis das cidades cananeias que não conseguiram se rebelar contra o rei Quedorlaomer de Elão e seus três aliados (</w:t>
      </w:r>
      <w:hyperlink r:id="rId3328">
        <w:r>
          <w:rPr>
            <w:color w:val="0000EE"/>
            <w:u w:val="single"/>
          </w:rPr>
          <w:t>Gn 14.2</w:t>
        </w:r>
      </w:hyperlink>
      <w:r>
        <w:t>).</w:t>
      </w:r>
      <w:r/>
      <w:r/>
    </w:p>
    <w:p>
      <w:r/>
    </w:p>
    <w:p>
      <w:pPr>
        <w:pStyle w:val="Heading2"/>
      </w:pPr>
      <w:r>
        <w:t>Berede (Lugar)</w:t>
      </w:r>
      <w:r/>
    </w:p>
    <w:p>
      <w:r/>
      <w:r>
        <w:t>Um lugar na parte sul de Israel chamado Deserto de Neguebe. Não sabemos exatamente onde ficava Berede. Deus falou com Agar, a serva de Sarai, em um poço entre Cades e Berede (</w:t>
      </w:r>
      <w:hyperlink r:id="rId3438">
        <w:r>
          <w:rPr>
            <w:color w:val="0000EE"/>
            <w:u w:val="single"/>
          </w:rPr>
          <w:t>Gn 16.14</w:t>
        </w:r>
      </w:hyperlink>
      <w:r>
        <w:t>).</w:t>
      </w:r>
      <w:r/>
      <w:r/>
    </w:p>
    <w:p>
      <w:r/>
    </w:p>
    <w:p>
      <w:pPr>
        <w:pStyle w:val="Heading2"/>
      </w:pPr>
      <w:r>
        <w:t>Bereia</w:t>
      </w:r>
      <w:r/>
    </w:p>
    <w:p>
      <w:pPr>
        <w:pStyle w:val="ListNumber"/>
        <w:spacing w:line="240" w:lineRule="auto"/>
        <w:ind w:left="720"/>
      </w:pPr>
      <w:r/>
      <w:r>
        <w:t>Um lugar ao norte de Jerusalém onde o exército sírio acampou antes de atacar e matar Judas Macabeu em 161 a.C. (</w:t>
      </w:r>
      <w:hyperlink r:id="rId3439">
        <w:r>
          <w:rPr>
            <w:color w:val="0000EE"/>
            <w:u w:val="single"/>
          </w:rPr>
          <w:t>1Mc 9.4</w:t>
        </w:r>
      </w:hyperlink>
      <w:r>
        <w:t>).</w:t>
      </w:r>
    </w:p>
    <w:p>
      <w:pPr>
        <w:pStyle w:val="ListNumber"/>
        <w:spacing w:line="240" w:lineRule="auto"/>
        <w:ind w:left="720"/>
      </w:pPr>
      <w:r/>
      <w:r>
        <w:t>Uma cidade antiga na Macedônia, uma região agora dividida entre Grécia, Iugoslávia [atual Macedônia do Norte] e Bulgária. Provavelmente foi fundada no quinto século a.C. A cidade ficava cerca de 40 quilômetros para o interior do Mar Egeu, localizada em uma planície cênica e fértil a 183 metros de altura nas colinas ao norte da cordilheira do Olimpo. Roma conquistou Bereia em 168 a.C., e era uma das cidades macedônias mais populosas durante o tempo de Cristo. Hoje, a cidade é chamada de Verria.</w:t>
      </w:r>
    </w:p>
    <w:p>
      <w:r/>
      <w:r>
        <w:t>O apóstolo Paulo visitou Bereia durante sua segunda viagem missionária (</w:t>
      </w:r>
      <w:hyperlink r:id="rId3440">
        <w:r>
          <w:rPr>
            <w:color w:val="0000EE"/>
            <w:u w:val="single"/>
          </w:rPr>
          <w:t>At 17.10–15</w:t>
        </w:r>
      </w:hyperlink>
      <w:r>
        <w:t>). Era também a cidade natal de Sópatro, um dos companheiros de Paulo (</w:t>
      </w:r>
      <w:hyperlink r:id="rId2497">
        <w:r>
          <w:rPr>
            <w:color w:val="0000EE"/>
            <w:u w:val="single"/>
          </w:rPr>
          <w:t>At 20.4</w:t>
        </w:r>
      </w:hyperlink>
      <w:r>
        <w:t>). Paulo e Silas viajaram para Bereia, cerca de 81 quilômetros a sudoeste, após enfrentarem violenta oposição religiosa e política em Tessalônica. Em Bereia, tanto judeus quanto gregos aceitaram avidamente o evangelho, mas Paulo teve que partir quando judeus hostis de Tessalônica vieram causar problemas.</w:t>
      </w:r>
      <w:r/>
      <w:r/>
    </w:p>
    <w:p>
      <w:r/>
    </w:p>
    <w:p>
      <w:pPr>
        <w:pStyle w:val="Heading2"/>
      </w:pPr>
      <w:r>
        <w:t>Berenice</w:t>
      </w:r>
      <w:r/>
    </w:p>
    <w:p>
      <w:r/>
      <w:r>
        <w:t>A filha mais velha de Herodes Agripa I. Ela estava presente quando o apóstolo Paulo falou com seu irmão, o rei Agripa II (</w:t>
      </w:r>
      <w:hyperlink r:id="rId2875">
        <w:r>
          <w:rPr>
            <w:color w:val="0000EE"/>
            <w:u w:val="single"/>
          </w:rPr>
          <w:t>At 25.13,23</w:t>
        </w:r>
      </w:hyperlink>
      <w:r>
        <w:t xml:space="preserve">; </w:t>
      </w:r>
      <w:hyperlink r:id="rId3441">
        <w:r>
          <w:rPr>
            <w:color w:val="0000EE"/>
            <w:u w:val="single"/>
          </w:rPr>
          <w:t>26.30</w:t>
        </w:r>
      </w:hyperlink>
      <w:r>
        <w:t>).</w:t>
      </w:r>
    </w:p>
    <w:p>
      <w:r/>
      <w:r>
        <w:t>Berenice nasceu por volta de 28 d.C. Aos 13 anos, ela se casou com Marcus, filho de um oficial judeu chamado Alexandre. Após a morte de Marcus, seu pai arranjou para que ela se casasse com seu irmão mais velho, Herodes de Cálcis. Berenice teve dois filhos, Berniciano e Hircano, antes que seu segundo marido morresse em 48 d.C. Quando seu relacionamento com seu irmão, Agripa II, se tornou mais próximo, rumores de incesto começaram a se espalhar. Para contrariar esses rumores, Berenice convenceu Polemo, o rei da Cilícia, a se casar com ela, mas ela o deixou logo depois.</w:t>
      </w:r>
    </w:p>
    <w:p>
      <w:r/>
      <w:r>
        <w:t>No ano 66 d.C., Berenice corajosamente, mas sem sucesso, tentou impedir o procurador romano Gesio Floro de saquear o templo em Jerusalém. Ela apoiou seu irmão quando ele alertou o povo contra a guerra. Quando a guerra começou naquele mesmo ano, rebeldes judeus incendiaram seu palácio e o de seu irmão.</w:t>
      </w:r>
      <w:r/>
      <w:r/>
    </w:p>
    <w:p>
      <w:r/>
    </w:p>
    <w:p>
      <w:pPr>
        <w:pStyle w:val="Heading2"/>
      </w:pPr>
      <w:r>
        <w:t>Beriaítas</w:t>
      </w:r>
      <w:r/>
    </w:p>
    <w:p>
      <w:r/>
      <w:r>
        <w:t>Um membro de uma família descendente de Berias, um dos filhos de Aser (</w:t>
      </w:r>
      <w:hyperlink r:id="rId3442">
        <w:r>
          <w:rPr>
            <w:color w:val="0000EE"/>
            <w:u w:val="single"/>
          </w:rPr>
          <w:t>Nm 26.44</w:t>
        </w:r>
      </w:hyperlink>
      <w:r>
        <w:t>).</w:t>
      </w:r>
    </w:p>
    <w:p>
      <w:r/>
      <w:r>
        <w:rPr>
          <w:i/>
        </w:rPr>
        <w:t>Veja</w:t>
      </w:r>
      <w:r>
        <w:t xml:space="preserve"> </w:t>
      </w:r>
      <w:r>
        <w:t>Berias # 1</w:t>
      </w:r>
      <w:r>
        <w:t>.</w:t>
      </w:r>
      <w:r/>
      <w:r/>
    </w:p>
    <w:p>
      <w:r/>
    </w:p>
    <w:p>
      <w:pPr>
        <w:pStyle w:val="Heading2"/>
      </w:pPr>
      <w:r>
        <w:t>Berias</w:t>
      </w:r>
      <w:r/>
    </w:p>
    <w:p>
      <w:pPr>
        <w:pStyle w:val="ListNumber"/>
        <w:spacing w:line="240" w:lineRule="auto"/>
        <w:ind w:left="720"/>
      </w:pPr>
      <w:r/>
      <w:r>
        <w:t>O filho de Aser, que se mudou para o Egito com sua família, parentes e avô, Jacó (</w:t>
      </w:r>
      <w:hyperlink r:id="rId2708">
        <w:r>
          <w:rPr>
            <w:color w:val="0000EE"/>
            <w:u w:val="single"/>
          </w:rPr>
          <w:t>Gn 46.17</w:t>
        </w:r>
      </w:hyperlink>
      <w:r>
        <w:t xml:space="preserve">; </w:t>
      </w:r>
      <w:hyperlink r:id="rId2709">
        <w:r>
          <w:rPr>
            <w:color w:val="0000EE"/>
            <w:u w:val="single"/>
          </w:rPr>
          <w:t>1Cr 7.30</w:t>
        </w:r>
      </w:hyperlink>
      <w:r>
        <w:t>). Seus descendentes foram chamados de beriaítas (</w:t>
      </w:r>
      <w:hyperlink r:id="rId3442">
        <w:r>
          <w:rPr>
            <w:color w:val="0000EE"/>
            <w:u w:val="single"/>
          </w:rPr>
          <w:t>Nm 26.44</w:t>
        </w:r>
      </w:hyperlink>
      <w:r>
        <w:t>).</w:t>
      </w:r>
    </w:p>
    <w:p>
      <w:pPr>
        <w:pStyle w:val="ListNumber"/>
        <w:spacing w:line="240" w:lineRule="auto"/>
        <w:ind w:left="720"/>
      </w:pPr>
      <w:r/>
      <w:r>
        <w:t>O filho mais novo de Efraim, nascido após vários de seus irmãos terem sido mortos em Gate por roubo de gado (</w:t>
      </w:r>
      <w:hyperlink r:id="rId3443">
        <w:r>
          <w:rPr>
            <w:color w:val="0000EE"/>
            <w:u w:val="single"/>
          </w:rPr>
          <w:t>1Cr 7.20–23</w:t>
        </w:r>
      </w:hyperlink>
      <w:r>
        <w:t>).</w:t>
      </w:r>
    </w:p>
    <w:p>
      <w:pPr>
        <w:pStyle w:val="ListNumber"/>
        <w:spacing w:line="240" w:lineRule="auto"/>
        <w:ind w:left="720"/>
      </w:pPr>
      <w:r/>
      <w:r>
        <w:t>Filho de Elpaal, chefe de uma família na tribo de Benjamim. Este Berias viveu em Aijalom e ajudou a expulsar invasores de Gate (</w:t>
      </w:r>
      <w:hyperlink r:id="rId3444">
        <w:r>
          <w:rPr>
            <w:color w:val="0000EE"/>
            <w:u w:val="single"/>
          </w:rPr>
          <w:t>1Cr 8.13</w:t>
        </w:r>
      </w:hyperlink>
      <w:r>
        <w:t>).</w:t>
      </w:r>
    </w:p>
    <w:p>
      <w:pPr>
        <w:pStyle w:val="ListNumber"/>
        <w:spacing w:line="240" w:lineRule="auto"/>
        <w:ind w:left="720"/>
      </w:pPr>
      <w:r/>
      <w:r>
        <w:t>O filho de Simei, um levita do clã de Gérson que servia no templo em Jerusalém. Como nem Berias nem seu irmão Jeús tinham muitos filhos, suas famílias foram contadas como um único subclã dentro dos levitas (</w:t>
      </w:r>
      <w:hyperlink r:id="rId3445">
        <w:r>
          <w:rPr>
            <w:color w:val="0000EE"/>
            <w:u w:val="single"/>
          </w:rPr>
          <w:t>1Cr 23.10–11</w:t>
        </w:r>
      </w:hyperlink>
      <w:r>
        <w:t>).</w:t>
      </w:r>
      <w:r/>
      <w:r/>
    </w:p>
    <w:p>
      <w:r/>
    </w:p>
    <w:p>
      <w:pPr>
        <w:pStyle w:val="Heading2"/>
      </w:pPr>
      <w:r>
        <w:t>Berilo</w:t>
      </w:r>
      <w:r/>
    </w:p>
    <w:p>
      <w:r/>
      <w:r>
        <w:t>Um mineral duro e brilhante com muitas cores que a Bíblia chama de pedra preciosa (</w:t>
      </w:r>
      <w:hyperlink r:id="rId3446">
        <w:r>
          <w:rPr>
            <w:color w:val="0000EE"/>
            <w:u w:val="single"/>
          </w:rPr>
          <w:t>Êx 28.20</w:t>
        </w:r>
      </w:hyperlink>
      <w:r>
        <w:t xml:space="preserve">; </w:t>
      </w:r>
      <w:hyperlink r:id="rId3447">
        <w:r>
          <w:rPr>
            <w:color w:val="0000EE"/>
            <w:u w:val="single"/>
          </w:rPr>
          <w:t>Ap 21.20</w:t>
        </w:r>
      </w:hyperlink>
      <w:r>
        <w:t>).</w:t>
      </w:r>
    </w:p>
    <w:p>
      <w:r/>
      <w:r>
        <w:rPr>
          <w:i/>
        </w:rPr>
        <w:t>Veja</w:t>
      </w:r>
      <w:r>
        <w:t xml:space="preserve"> </w:t>
      </w:r>
      <w:r>
        <w:t>Minerais e metais</w:t>
      </w:r>
      <w:r>
        <w:t xml:space="preserve">; </w:t>
      </w:r>
      <w:r>
        <w:t>Pedras, Preciosas</w:t>
      </w:r>
      <w:r>
        <w:t>.</w:t>
      </w:r>
      <w:r/>
      <w:r/>
    </w:p>
    <w:p>
      <w:r/>
    </w:p>
    <w:p>
      <w:pPr>
        <w:pStyle w:val="Heading2"/>
      </w:pPr>
      <w:r>
        <w:t>Berseba</w:t>
      </w:r>
      <w:r/>
    </w:p>
    <w:p>
      <w:r/>
      <w:r>
        <w:t>Berseba é o nome usado na Bíblia para a parte mais ao sul da Terra Prometida. Está localizada a 45 quilômetros a sudoeste de Hebrom. Foi um lugar importante no deserto de Neguebe desde cedo. Agar vagou lá com Ismael, e Abraão também passou um tempo aqui. Mais tarde, tanto Isaque (</w:t>
      </w:r>
      <w:hyperlink r:id="rId3448">
        <w:r>
          <w:rPr>
            <w:color w:val="0000EE"/>
            <w:u w:val="single"/>
          </w:rPr>
          <w:t>Gn 26.23</w:t>
        </w:r>
      </w:hyperlink>
      <w:r>
        <w:t>) quanto Jacó (</w:t>
      </w:r>
      <w:hyperlink r:id="rId3449">
        <w:r>
          <w:rPr>
            <w:color w:val="0000EE"/>
            <w:u w:val="single"/>
          </w:rPr>
          <w:t>46.1</w:t>
        </w:r>
      </w:hyperlink>
      <w:r>
        <w:t>) tiveram experiências espirituais significativas nesta área. Permaneceu um local importante para muitos outros hebreus em tempos posteriores.</w:t>
      </w:r>
    </w:p>
    <w:p>
      <w:r/>
      <w:r>
        <w:t>Durante o período da monarquia hebraica, Berseba estava localizada em Tell Berseba, a 3 quilômetros a nordeste da cidade moderna. Escavações arqueológicas recentes indicam que os hebreus construíram a cidade no século XII ou XI a.C. Provavelmente foi onde os filhos de Samuel serviram como juízes para o povo (</w:t>
      </w:r>
      <w:hyperlink r:id="rId3450">
        <w:r>
          <w:rPr>
            <w:color w:val="0000EE"/>
            <w:u w:val="single"/>
          </w:rPr>
          <w:t>1Sm 8.2</w:t>
        </w:r>
      </w:hyperlink>
      <w:r>
        <w:t>).</w:t>
      </w:r>
    </w:p>
    <w:p>
      <w:r/>
      <w:r>
        <w:t>A cidade em si era pequena, cobrindo cerca de um hectare. Em suas ruínas, arqueólogos encontraram peças de um altar com chifres. Quando remontado, o altar tinha cerca de 1,5 metros de altura, a mesma altura do altar descoberto em Arade. Estes são os únicos dois altares hebraicos da época do primeiro Templo que foram encontrados. A altura desses altares corresponde àquela descrita na Tenda da Presença (</w:t>
      </w:r>
      <w:hyperlink r:id="rId2348">
        <w:r>
          <w:rPr>
            <w:color w:val="0000EE"/>
            <w:u w:val="single"/>
          </w:rPr>
          <w:t>Êx 27.1</w:t>
        </w:r>
      </w:hyperlink>
      <w:r>
        <w:t>) e provavelmente era a mesma do altar original no templo de Salomão (</w:t>
      </w:r>
      <w:hyperlink r:id="rId690">
        <w:r>
          <w:rPr>
            <w:color w:val="0000EE"/>
            <w:u w:val="single"/>
          </w:rPr>
          <w:t>2Cr 6.13</w:t>
        </w:r>
      </w:hyperlink>
      <w:r>
        <w:t>). Um grande sistema de água também foi descoberto em Berseba, semelhante aos encontrados nas antigas cidades de Megido e Hazor.</w:t>
      </w:r>
      <w:r/>
      <w:r/>
    </w:p>
    <w:p>
      <w:r/>
    </w:p>
    <w:p>
      <w:pPr>
        <w:pStyle w:val="Heading2"/>
      </w:pPr>
      <w:r>
        <w:t>Besouro</w:t>
      </w:r>
      <w:r/>
    </w:p>
    <w:p>
      <w:r/>
      <w:r>
        <w:t>Besouros são insetos que possuem peças bucais mastigadoras e dois pares de asas. Suas asas dianteiras são duras, enquanto as traseiras são macias e podem ser dobradas. Eles têm diferentes hábitos alimentares. Alguns besouros comem carne, enquanto outros se alimentam principalmente de plantas. Alguns vivem na água. Alguns podem causar bolhas na pele, enquanto outros podem danificar tecidos ou plantações. No entanto, alguns besouros são úteis porque se alimentam de insetos nocivos.</w:t>
      </w:r>
    </w:p>
    <w:p>
      <w:r/>
      <w:r>
        <w:t>No antigo Egito, o besouro, ou escaravelho sagrado, era um símbolo importante. Ele representava o deus do sol Rá. Os egípcios criavam selos e amuletos de escaravelho, que eram itens muito populares.</w:t>
      </w:r>
    </w:p>
    <w:p>
      <w:r/>
    </w:p>
    <w:p>
      <w:r/>
      <w:r>
        <w:rPr>
          <w:i/>
        </w:rPr>
        <w:t>Veja também</w:t>
      </w:r>
      <w:r>
        <w:t xml:space="preserve"> </w:t>
      </w:r>
      <w:r>
        <w:t>Grilo</w:t>
      </w:r>
      <w:r>
        <w:t>.</w:t>
      </w:r>
      <w:r/>
      <w:r/>
    </w:p>
    <w:p>
      <w:r/>
    </w:p>
    <w:p>
      <w:pPr>
        <w:pStyle w:val="Heading2"/>
      </w:pPr>
      <w:r>
        <w:t>Besta</w:t>
      </w:r>
      <w:r/>
    </w:p>
    <w:p>
      <w:r/>
      <w:r>
        <w:t>Um animal tanto no Antigo quanto no Novo Testamento. Às vezes é usado metaforicamente. A palavra tem muitos significados no Antigo Testamento. Isso às vezes é traduzido de forma diferente porque várias palavras hebraicas podem significar “criatura viva” assim como “besta”, mas são traduzidas apenas como “besta”. No Antigo Testamento, portanto, besta (ou, fera) pode se referir ao seguinte:</w:t>
      </w:r>
    </w:p>
    <w:p>
      <w:pPr>
        <w:pStyle w:val="ListNumber"/>
        <w:spacing w:line="240" w:lineRule="auto"/>
        <w:ind w:left="720"/>
      </w:pPr>
      <w:r/>
      <w:r>
        <w:t xml:space="preserve">Em geral, qualquer animal (por exemplo: </w:t>
      </w:r>
      <w:hyperlink r:id="rId1454">
        <w:r>
          <w:rPr>
            <w:color w:val="0000EE"/>
            <w:u w:val="single"/>
          </w:rPr>
          <w:t>Gênesis 1.24</w:t>
        </w:r>
      </w:hyperlink>
      <w:r>
        <w:t xml:space="preserve">; </w:t>
      </w:r>
      <w:hyperlink r:id="rId3451">
        <w:r>
          <w:rPr>
            <w:color w:val="0000EE"/>
            <w:u w:val="single"/>
          </w:rPr>
          <w:t>Salmo 36.6</w:t>
        </w:r>
      </w:hyperlink>
      <w:r>
        <w:t xml:space="preserve">), mas não peixes, aves e insetos (por exemplo, </w:t>
      </w:r>
      <w:hyperlink r:id="rId3452">
        <w:r>
          <w:rPr>
            <w:color w:val="0000EE"/>
            <w:u w:val="single"/>
          </w:rPr>
          <w:t>Gênesis 6.7</w:t>
        </w:r>
      </w:hyperlink>
      <w:r>
        <w:t xml:space="preserve">; </w:t>
      </w:r>
      <w:hyperlink r:id="rId3453">
        <w:r>
          <w:rPr>
            <w:color w:val="0000EE"/>
            <w:u w:val="single"/>
          </w:rPr>
          <w:t>Levítico 11.2</w:t>
        </w:r>
      </w:hyperlink>
      <w:r>
        <w:t xml:space="preserve">; </w:t>
      </w:r>
      <w:hyperlink r:id="rId3454">
        <w:r>
          <w:rPr>
            <w:color w:val="0000EE"/>
            <w:u w:val="single"/>
          </w:rPr>
          <w:t>Deuteronômio 4.17</w:t>
        </w:r>
      </w:hyperlink>
      <w:r>
        <w:t xml:space="preserve">; </w:t>
      </w:r>
      <w:hyperlink r:id="rId3455">
        <w:r>
          <w:rPr>
            <w:color w:val="0000EE"/>
            <w:u w:val="single"/>
          </w:rPr>
          <w:t>Jó 12.7</w:t>
        </w:r>
      </w:hyperlink>
      <w:r>
        <w:t xml:space="preserve">; </w:t>
      </w:r>
      <w:hyperlink r:id="rId3456">
        <w:r>
          <w:rPr>
            <w:color w:val="0000EE"/>
            <w:u w:val="single"/>
          </w:rPr>
          <w:t>35.11</w:t>
        </w:r>
      </w:hyperlink>
      <w:r>
        <w:t xml:space="preserve">; </w:t>
      </w:r>
      <w:hyperlink r:id="rId3457">
        <w:r>
          <w:rPr>
            <w:color w:val="0000EE"/>
            <w:u w:val="single"/>
          </w:rPr>
          <w:t>Sofonias 1.3</w:t>
        </w:r>
      </w:hyperlink>
      <w:r>
        <w:t>).</w:t>
      </w:r>
    </w:p>
    <w:p>
      <w:pPr>
        <w:pStyle w:val="ListNumber"/>
        <w:spacing w:line="240" w:lineRule="auto"/>
        <w:ind w:left="720"/>
      </w:pPr>
      <w:r/>
      <w:r>
        <w:t xml:space="preserve">Um animal de estimação ou treinado (por exemplo: </w:t>
      </w:r>
      <w:hyperlink r:id="rId3458">
        <w:r>
          <w:rPr>
            <w:color w:val="0000EE"/>
            <w:u w:val="single"/>
          </w:rPr>
          <w:t>Êxodo 19.13</w:t>
        </w:r>
      </w:hyperlink>
      <w:r>
        <w:t xml:space="preserve">; </w:t>
      </w:r>
      <w:hyperlink r:id="rId3459">
        <w:r>
          <w:rPr>
            <w:color w:val="0000EE"/>
            <w:u w:val="single"/>
          </w:rPr>
          <w:t>22.10</w:t>
        </w:r>
      </w:hyperlink>
      <w:r>
        <w:t xml:space="preserve">; </w:t>
      </w:r>
      <w:hyperlink r:id="rId3460">
        <w:r>
          <w:rPr>
            <w:color w:val="0000EE"/>
            <w:u w:val="single"/>
          </w:rPr>
          <w:t>Números 3.13</w:t>
        </w:r>
      </w:hyperlink>
      <w:r>
        <w:t xml:space="preserve">; </w:t>
      </w:r>
      <w:hyperlink r:id="rId3461">
        <w:r>
          <w:rPr>
            <w:color w:val="0000EE"/>
            <w:u w:val="single"/>
          </w:rPr>
          <w:t>31.47</w:t>
        </w:r>
      </w:hyperlink>
      <w:r>
        <w:t xml:space="preserve">; </w:t>
      </w:r>
      <w:hyperlink r:id="rId3462">
        <w:r>
          <w:rPr>
            <w:color w:val="0000EE"/>
            <w:u w:val="single"/>
          </w:rPr>
          <w:t>Juízes 20.48</w:t>
        </w:r>
      </w:hyperlink>
      <w:r>
        <w:t xml:space="preserve">; </w:t>
      </w:r>
      <w:hyperlink r:id="rId3463">
        <w:r>
          <w:rPr>
            <w:color w:val="0000EE"/>
            <w:u w:val="single"/>
          </w:rPr>
          <w:t>Provérbios 12.10</w:t>
        </w:r>
      </w:hyperlink>
      <w:r>
        <w:t xml:space="preserve">; </w:t>
      </w:r>
      <w:hyperlink r:id="rId3464">
        <w:r>
          <w:rPr>
            <w:color w:val="0000EE"/>
            <w:u w:val="single"/>
          </w:rPr>
          <w:t>Jeremias 21.6</w:t>
        </w:r>
      </w:hyperlink>
      <w:r>
        <w:t xml:space="preserve">; </w:t>
      </w:r>
      <w:hyperlink r:id="rId3465">
        <w:r>
          <w:rPr>
            <w:color w:val="0000EE"/>
            <w:u w:val="single"/>
          </w:rPr>
          <w:t>Zacarias 8.10</w:t>
        </w:r>
      </w:hyperlink>
      <w:r>
        <w:t>).</w:t>
      </w:r>
    </w:p>
    <w:p>
      <w:pPr>
        <w:pStyle w:val="ListNumber"/>
        <w:spacing w:line="240" w:lineRule="auto"/>
        <w:ind w:left="720"/>
      </w:pPr>
      <w:r/>
      <w:r>
        <w:t xml:space="preserve">Um animal selvagem e às vezes carnívoro (por exemplo: </w:t>
      </w:r>
      <w:hyperlink r:id="rId3466">
        <w:r>
          <w:rPr>
            <w:color w:val="0000EE"/>
            <w:u w:val="single"/>
          </w:rPr>
          <w:t>Gênesis 37.20</w:t>
        </w:r>
      </w:hyperlink>
      <w:r>
        <w:t xml:space="preserve">; </w:t>
      </w:r>
      <w:hyperlink r:id="rId3467">
        <w:r>
          <w:rPr>
            <w:color w:val="0000EE"/>
            <w:u w:val="single"/>
          </w:rPr>
          <w:t>Êxodo 23.11</w:t>
        </w:r>
      </w:hyperlink>
      <w:r>
        <w:t xml:space="preserve">; </w:t>
      </w:r>
      <w:hyperlink r:id="rId3307">
        <w:r>
          <w:rPr>
            <w:color w:val="0000EE"/>
            <w:u w:val="single"/>
          </w:rPr>
          <w:t>Deuteronômio 28.26</w:t>
        </w:r>
      </w:hyperlink>
      <w:r>
        <w:t xml:space="preserve">; </w:t>
      </w:r>
      <w:hyperlink r:id="rId3468">
        <w:r>
          <w:rPr>
            <w:color w:val="0000EE"/>
            <w:u w:val="single"/>
          </w:rPr>
          <w:t>1 Samuel 17.44</w:t>
        </w:r>
      </w:hyperlink>
      <w:r>
        <w:t xml:space="preserve">; </w:t>
      </w:r>
      <w:hyperlink r:id="rId3469">
        <w:r>
          <w:rPr>
            <w:color w:val="0000EE"/>
            <w:u w:val="single"/>
          </w:rPr>
          <w:t>Ezequiel 14.15</w:t>
        </w:r>
      </w:hyperlink>
      <w:r>
        <w:t>).</w:t>
      </w:r>
    </w:p>
    <w:p>
      <w:pPr>
        <w:pStyle w:val="ListNumber"/>
        <w:spacing w:line="240" w:lineRule="auto"/>
        <w:ind w:left="720"/>
      </w:pPr>
      <w:r/>
      <w:r>
        <w:t xml:space="preserve">Figurativamente, "besta" é usada mais em Daniel e Apocalipse. Em Daniel (especialmente </w:t>
      </w:r>
      <w:hyperlink r:id="rId3470">
        <w:r>
          <w:rPr>
            <w:color w:val="0000EE"/>
            <w:u w:val="single"/>
          </w:rPr>
          <w:t>Dn 7</w:t>
        </w:r>
      </w:hyperlink>
      <w:r>
        <w:t>), a besta é um símbolo de um governante mundial que persegue e oprime o povo de Deus. Em Apocalipse, o Apóstolo João aplica este conceito para falar sobre a perseguição final do povo de Deus no fim da história. A "besta" de João é semelhante ao "Anticristo" em suas cartas anteriores (</w:t>
      </w:r>
      <w:hyperlink r:id="rId3471">
        <w:r>
          <w:rPr>
            <w:color w:val="0000EE"/>
            <w:u w:val="single"/>
          </w:rPr>
          <w:t>1Jo 2.18,22</w:t>
        </w:r>
      </w:hyperlink>
      <w:r>
        <w:t xml:space="preserve">; </w:t>
      </w:r>
      <w:hyperlink r:id="rId3472">
        <w:r>
          <w:rPr>
            <w:color w:val="0000EE"/>
            <w:u w:val="single"/>
          </w:rPr>
          <w:t>4.3</w:t>
        </w:r>
      </w:hyperlink>
      <w:r>
        <w:t xml:space="preserve">; </w:t>
      </w:r>
      <w:hyperlink r:id="rId3473">
        <w:r>
          <w:rPr>
            <w:color w:val="0000EE"/>
            <w:u w:val="single"/>
          </w:rPr>
          <w:t>2Jo 1.7</w:t>
        </w:r>
      </w:hyperlink>
      <w:r>
        <w:t>) e ao "homem da iniquidade" de Paulo (</w:t>
      </w:r>
      <w:hyperlink r:id="rId2252">
        <w:r>
          <w:rPr>
            <w:color w:val="0000EE"/>
            <w:u w:val="single"/>
          </w:rPr>
          <w:t>2Ts 2.3</w:t>
        </w:r>
      </w:hyperlink>
      <w:r>
        <w:t>). Muitos comentaristas da Bíblia acham que os três termos referem-se à mesma pessoa.</w:t>
      </w:r>
    </w:p>
    <w:p>
      <w:r/>
      <w:r>
        <w:rPr>
          <w:i/>
        </w:rPr>
        <w:t>Veja</w:t>
      </w:r>
      <w:r>
        <w:t xml:space="preserve"> </w:t>
      </w:r>
      <w:r>
        <w:t>Anticristo</w:t>
      </w:r>
      <w:r>
        <w:t xml:space="preserve">; </w:t>
      </w:r>
      <w:r>
        <w:t>Armagedom</w:t>
      </w:r>
      <w:r>
        <w:t xml:space="preserve">; </w:t>
      </w:r>
      <w:r>
        <w:t>Marca da Besta</w:t>
      </w:r>
      <w:r>
        <w:t xml:space="preserve">; </w:t>
      </w:r>
      <w:r>
        <w:t>Apocalipse, Livro de</w:t>
      </w:r>
      <w:r>
        <w:t>.</w:t>
      </w:r>
      <w:r/>
      <w:r/>
    </w:p>
    <w:p>
      <w:r/>
    </w:p>
    <w:p>
      <w:pPr>
        <w:pStyle w:val="Heading2"/>
      </w:pPr>
      <w:r>
        <w:t>Bete-Arã, Bete-Harã</w:t>
      </w:r>
      <w:r/>
    </w:p>
    <w:p>
      <w:r/>
      <w:r>
        <w:t>Uma cidade dada à tribo de Gade na divisão de Canaã (</w:t>
      </w:r>
      <w:hyperlink r:id="rId3474">
        <w:r>
          <w:rPr>
            <w:color w:val="0000EE"/>
            <w:u w:val="single"/>
          </w:rPr>
          <w:t>Js 13.27</w:t>
        </w:r>
      </w:hyperlink>
      <w:r>
        <w:t>). Foi defendida e usada para abrigar rebanhos de ovelhas (</w:t>
      </w:r>
      <w:hyperlink r:id="rId3475">
        <w:r>
          <w:rPr>
            <w:color w:val="0000EE"/>
            <w:u w:val="single"/>
          </w:rPr>
          <w:t>Nm 32.36</w:t>
        </w:r>
      </w:hyperlink>
      <w:r>
        <w:t>).</w:t>
      </w:r>
    </w:p>
    <w:p>
      <w:r/>
      <w:r>
        <w:t>Provavelmente é a mesma que Beth-Aramphtha, uma cidade mencionada pelo historiador judeu Josefo.</w:t>
      </w:r>
      <w:r/>
      <w:r/>
    </w:p>
    <w:p>
      <w:r/>
    </w:p>
    <w:p>
      <w:pPr>
        <w:pStyle w:val="Heading2"/>
      </w:pPr>
      <w:r>
        <w:t>Bete-Jesimote</w:t>
      </w:r>
      <w:r/>
    </w:p>
    <w:p>
      <w:r/>
      <w:r>
        <w:t>Uma cidade dada à tribo de Rúben (</w:t>
      </w:r>
      <w:hyperlink r:id="rId2706">
        <w:r>
          <w:rPr>
            <w:color w:val="0000EE"/>
            <w:u w:val="single"/>
          </w:rPr>
          <w:t>Js 13.20</w:t>
        </w:r>
      </w:hyperlink>
      <w:r>
        <w:t>), que mais tarde é descrita como uma cidade moabita (</w:t>
      </w:r>
      <w:hyperlink r:id="rId2948">
        <w:r>
          <w:rPr>
            <w:color w:val="0000EE"/>
            <w:u w:val="single"/>
          </w:rPr>
          <w:t>Ez 25.9</w:t>
        </w:r>
      </w:hyperlink>
      <w:r>
        <w:t>). Antes da conquista de Israel da Terra Prometida, eles acamparam ao longo do Jordão, de Bete-Jesimote até Abel-Sitim (</w:t>
      </w:r>
      <w:hyperlink r:id="rId46">
        <w:r>
          <w:rPr>
            <w:color w:val="0000EE"/>
            <w:u w:val="single"/>
          </w:rPr>
          <w:t>Nm 33.49</w:t>
        </w:r>
      </w:hyperlink>
      <w:r>
        <w:t>). A cidade é geralmente identificada com Tell el-Azeimeh.</w:t>
      </w:r>
    </w:p>
    <w:p>
      <w:r/>
      <w:r>
        <w:rPr>
          <w:i/>
        </w:rPr>
        <w:t>Veja também</w:t>
      </w:r>
      <w:r>
        <w:t xml:space="preserve"> </w:t>
      </w:r>
      <w:r>
        <w:t>Peregrinações no Deserto</w:t>
      </w:r>
      <w:r>
        <w:t>.</w:t>
      </w:r>
      <w:r/>
      <w:r/>
    </w:p>
    <w:p>
      <w:r/>
    </w:p>
    <w:p>
      <w:pPr>
        <w:pStyle w:val="Heading2"/>
      </w:pPr>
      <w:r>
        <w:t>Betel (Lugar), Betelita</w:t>
      </w:r>
      <w:r/>
    </w:p>
    <w:p>
      <w:pPr>
        <w:pStyle w:val="ListNumber"/>
        <w:spacing w:line="240" w:lineRule="auto"/>
        <w:ind w:left="720"/>
      </w:pPr>
      <w:r/>
      <w:r>
        <w:t>Uma importante cidade do Antigo Testamento localizada a cerca de 17,7 quilômetros ao norte de Jerusalém, na estrada de cume norte-sul ao longo das fronteiras de Benjamim e Efraim (</w:t>
      </w:r>
      <w:hyperlink r:id="rId3476">
        <w:r>
          <w:rPr>
            <w:color w:val="0000EE"/>
            <w:u w:val="single"/>
          </w:rPr>
          <w:t>Js 16.1–2</w:t>
        </w:r>
      </w:hyperlink>
      <w:r>
        <w:t xml:space="preserve">; </w:t>
      </w:r>
      <w:hyperlink r:id="rId2821">
        <w:r>
          <w:rPr>
            <w:color w:val="0000EE"/>
            <w:u w:val="single"/>
          </w:rPr>
          <w:t>18.13</w:t>
        </w:r>
      </w:hyperlink>
      <w:r>
        <w:t xml:space="preserve">). Hiel, um residente da cidade, é referido como um betelita em </w:t>
      </w:r>
      <w:hyperlink r:id="rId103">
        <w:r>
          <w:rPr>
            <w:color w:val="0000EE"/>
            <w:u w:val="single"/>
          </w:rPr>
          <w:t>1 Reis 16.34</w:t>
        </w:r>
      </w:hyperlink>
      <w:r>
        <w:t>. Como centro comercial, Betel coletava mercadorias tanto da costa mediterrânea quanto de Transjordânia através de Jericó. Embora Betel estivesse em uma região seca e montanhosa, várias nascentes forneciam água suficiente para seus habitantes. O artefato mais antigo encontrado no local é um jarro de água de cerca de 3500 a.C.</w:t>
      </w:r>
    </w:p>
    <w:p>
      <w:r/>
      <w:r>
        <w:t>O nome "Betel", que significa "casa de El (deus)", pode ter sido usado pelos cananeus já no quarto milênio a.C. Descobertas arqueológicas entre a Idade da Pedra e a Idade do Bronze sugerem que os cananeus adoravam a divindade El no topo da colina.</w:t>
      </w:r>
    </w:p>
    <w:p>
      <w:r/>
      <w:r>
        <w:t>O patriarca Jacó nomeou o lugar Betel — ou deu ao nome antigo um novo significado — depois que Deus lhe enviou um sonho ali (</w:t>
      </w:r>
      <w:hyperlink r:id="rId26">
        <w:r>
          <w:rPr>
            <w:color w:val="0000EE"/>
            <w:u w:val="single"/>
          </w:rPr>
          <w:t>Gn 28.10–22</w:t>
        </w:r>
      </w:hyperlink>
      <w:r>
        <w:t>). O local era dito ser conhecido como Betel para o patriarca Abraão (</w:t>
      </w:r>
      <w:hyperlink r:id="rId164">
        <w:r>
          <w:rPr>
            <w:color w:val="0000EE"/>
            <w:u w:val="single"/>
          </w:rPr>
          <w:t>Gn 12.8</w:t>
        </w:r>
      </w:hyperlink>
      <w:r>
        <w:t>). No entanto, isso pode ser uma atualização posterior de um nome local mais antigo, já que Betel era anteriormente conhecida como Luz (</w:t>
      </w:r>
      <w:hyperlink r:id="rId3477">
        <w:r>
          <w:rPr>
            <w:color w:val="0000EE"/>
            <w:u w:val="single"/>
          </w:rPr>
          <w:t>Gn 28.19</w:t>
        </w:r>
      </w:hyperlink>
      <w:r>
        <w:t>). É possível que o santuário fosse conhecido como Betel e a cidade próxima fosse chamada de Luz.</w:t>
      </w:r>
    </w:p>
    <w:p>
      <w:r/>
      <w:r>
        <w:t>No início da Idade do Bronze Intermediário, por volta de 2200 a.C., o nome Betel já estava bem estabelecido e continuou ao longo de sua história. Uma passagem bíblica menciona ambos os nomes, afirmando que um homem de Luz fundou outra cidade com o mesmo nome no território hitita (</w:t>
      </w:r>
      <w:hyperlink r:id="rId3478">
        <w:r>
          <w:rPr>
            <w:color w:val="0000EE"/>
            <w:u w:val="single"/>
          </w:rPr>
          <w:t>Jz 1.26</w:t>
        </w:r>
      </w:hyperlink>
      <w:r>
        <w:t>).</w:t>
      </w:r>
    </w:p>
    <w:p>
      <w:r/>
      <w:r>
        <w:t>Embora Betel tenha sido atribuída à tribo de Benjamim, foi na verdade capturada pela tribo de Efraim de sua fortaleza cananeia (</w:t>
      </w:r>
      <w:hyperlink r:id="rId3479">
        <w:r>
          <w:rPr>
            <w:color w:val="0000EE"/>
            <w:u w:val="single"/>
          </w:rPr>
          <w:t>Jz 1.22–26</w:t>
        </w:r>
      </w:hyperlink>
      <w:r>
        <w:t xml:space="preserve">; </w:t>
      </w:r>
      <w:hyperlink r:id="rId626">
        <w:r>
          <w:rPr>
            <w:color w:val="0000EE"/>
            <w:u w:val="single"/>
          </w:rPr>
          <w:t>1Cr 7.28</w:t>
        </w:r>
      </w:hyperlink>
      <w:r>
        <w:t>). Durante o período dos juízes, a Arca da Aliança estava localizada em Betel, onde as práticas usuais de adoração israelita ocorriam sob o sumo sacerdote Fineias, filho de Eleazar (</w:t>
      </w:r>
      <w:hyperlink r:id="rId3480">
        <w:r>
          <w:rPr>
            <w:color w:val="0000EE"/>
            <w:u w:val="single"/>
          </w:rPr>
          <w:t>Jz 20.18–28</w:t>
        </w:r>
      </w:hyperlink>
      <w:r>
        <w:t xml:space="preserve">; </w:t>
      </w:r>
      <w:hyperlink r:id="rId3481">
        <w:r>
          <w:rPr>
            <w:color w:val="0000EE"/>
            <w:u w:val="single"/>
          </w:rPr>
          <w:t>21.2–4</w:t>
        </w:r>
      </w:hyperlink>
      <w:r>
        <w:t>). Não há evidências arqueológicas de que os filisteus viveram em Betel durante o tempo dos juízes.</w:t>
      </w:r>
    </w:p>
    <w:p>
      <w:r/>
      <w:r>
        <w:t xml:space="preserve">Durante o reinado do Rei Saul, Betel foi deixada em paz enquanto outras cidades israelitas eram atacadas (compare </w:t>
      </w:r>
      <w:hyperlink r:id="rId3482">
        <w:r>
          <w:rPr>
            <w:color w:val="0000EE"/>
            <w:u w:val="single"/>
          </w:rPr>
          <w:t>1Sm 12–14</w:t>
        </w:r>
      </w:hyperlink>
      <w:r>
        <w:t>). Evidências arqueológicas mostram que Betel era próspera nas primeiras partes do reinado de Saul, mas quando ele fez de Gibeá sua capital, começou a declinar.</w:t>
      </w:r>
    </w:p>
    <w:p>
      <w:r/>
      <w:r>
        <w:t>Quando os reinos de Israel e Judá se dividiram durante o reinado de Jeroboão I, Betel tornou-se novamente importante como a capital do reino do norte de Israel. Era a contraparte da capital de Judá, Jerusalém. Betel foi uma das duas cidades do norte onde bezerros de ouro eram adorados (</w:t>
      </w:r>
      <w:hyperlink r:id="rId1557">
        <w:r>
          <w:rPr>
            <w:color w:val="0000EE"/>
            <w:u w:val="single"/>
          </w:rPr>
          <w:t>1Rs 12.28–33</w:t>
        </w:r>
      </w:hyperlink>
      <w:r>
        <w:t>). A localização exata do santuário para essa prática não foi descoberta.</w:t>
      </w:r>
    </w:p>
    <w:p>
      <w:r/>
      <w:r>
        <w:t>A cidade também abrigava um profeta idoso (</w:t>
      </w:r>
      <w:hyperlink r:id="rId3483">
        <w:r>
          <w:rPr>
            <w:color w:val="0000EE"/>
            <w:u w:val="single"/>
          </w:rPr>
          <w:t>1Rs 13.11</w:t>
        </w:r>
      </w:hyperlink>
      <w:r>
        <w:t>) que pode ter feito parte de uma comunidade profética que existia em Betel durante o tempo de Elias e Eliseu (</w:t>
      </w:r>
      <w:hyperlink r:id="rId3484">
        <w:r>
          <w:rPr>
            <w:color w:val="0000EE"/>
            <w:u w:val="single"/>
          </w:rPr>
          <w:t>2Rs 2.2–3</w:t>
        </w:r>
      </w:hyperlink>
      <w:r>
        <w:t>). Durante o reinado do rei Abias de Judá, Betel caiu sob o controle de Judá (</w:t>
      </w:r>
      <w:hyperlink r:id="rId3485">
        <w:r>
          <w:rPr>
            <w:color w:val="0000EE"/>
            <w:u w:val="single"/>
          </w:rPr>
          <w:t>2Cr 13.19</w:t>
        </w:r>
      </w:hyperlink>
      <w:r>
        <w:t>), mas mais tarde foi devolvida a Israel. O profeta Amós fez duras críticas à vida social e religiosa de Israel em Betel, levando o sacerdote Amazias a expulsá-lo (</w:t>
      </w:r>
      <w:hyperlink r:id="rId3486">
        <w:r>
          <w:rPr>
            <w:color w:val="0000EE"/>
            <w:u w:val="single"/>
          </w:rPr>
          <w:t>Am 7.10–13</w:t>
        </w:r>
      </w:hyperlink>
      <w:r>
        <w:t>).</w:t>
      </w:r>
    </w:p>
    <w:p>
      <w:r/>
      <w:r>
        <w:t>Não há evidências arqueológicas de que Betel tenha sido destruída durante a conquista assíria de Israel em 722 a.C. Na verdade, um dos sacerdotes deportados foi devolvido a Betel para ensinar aos colonos mesopotâmicos sobre os caminhos do Senhor (</w:t>
      </w:r>
      <w:hyperlink r:id="rId3487">
        <w:r>
          <w:rPr>
            <w:color w:val="0000EE"/>
            <w:u w:val="single"/>
          </w:rPr>
          <w:t>2Rs 17.28</w:t>
        </w:r>
      </w:hyperlink>
      <w:r>
        <w:t>). Sob o reinado do rei Josias de Judá, o santuário pagão em Betel foi destruído (</w:t>
      </w:r>
      <w:hyperlink r:id="rId3488">
        <w:r>
          <w:rPr>
            <w:color w:val="0000EE"/>
            <w:u w:val="single"/>
          </w:rPr>
          <w:t>2Rs 23.15–20</w:t>
        </w:r>
      </w:hyperlink>
      <w:r>
        <w:t>), mas a cidade em si não foi danificada. No entanto, durante o reinado de Nabonido ou Dario I, Betel foi queimada, e na época de Esdras, havia se tornado uma pequena aldeia (</w:t>
      </w:r>
      <w:hyperlink r:id="rId3489">
        <w:r>
          <w:rPr>
            <w:color w:val="0000EE"/>
            <w:u w:val="single"/>
          </w:rPr>
          <w:t>Ed 2.28</w:t>
        </w:r>
      </w:hyperlink>
      <w:r>
        <w:t>).</w:t>
      </w:r>
    </w:p>
    <w:p>
      <w:pPr>
        <w:pStyle w:val="ListNumber"/>
        <w:spacing w:line="240" w:lineRule="auto"/>
        <w:ind w:left="720"/>
      </w:pPr>
      <w:r/>
      <w:r>
        <w:t>Um nome alternativo para Betuel, uma cidade no território de Judá (</w:t>
      </w:r>
      <w:hyperlink r:id="rId3490">
        <w:r>
          <w:rPr>
            <w:color w:val="0000EE"/>
            <w:u w:val="single"/>
          </w:rPr>
          <w:t>1Sm 30.27</w:t>
        </w:r>
      </w:hyperlink>
      <w:r>
        <w:t>).</w:t>
      </w:r>
    </w:p>
    <w:p>
      <w:r/>
      <w:r>
        <w:rPr>
          <w:i/>
        </w:rPr>
        <w:t>Veja</w:t>
      </w:r>
      <w:r>
        <w:t xml:space="preserve"> </w:t>
      </w:r>
      <w:r>
        <w:t>Betuel, Betul (Lugar)</w:t>
      </w:r>
      <w:r>
        <w:t>.</w:t>
      </w:r>
      <w:r/>
      <w:r/>
    </w:p>
    <w:p>
      <w:r/>
    </w:p>
    <w:p>
      <w:pPr>
        <w:pStyle w:val="Heading2"/>
      </w:pPr>
      <w:r>
        <w:t>Bete-Ninra</w:t>
      </w:r>
      <w:r/>
    </w:p>
    <w:p>
      <w:r/>
      <w:r>
        <w:t>Uma cidade moabita dada e reconstruída pela tribo de Gade na divisão da Terra Prometida (</w:t>
      </w:r>
      <w:hyperlink r:id="rId2947">
        <w:r>
          <w:rPr>
            <w:color w:val="0000EE"/>
            <w:u w:val="single"/>
          </w:rPr>
          <w:t>Nm 32.3</w:t>
        </w:r>
      </w:hyperlink>
      <w:r>
        <w:t xml:space="preserve">; </w:t>
      </w:r>
      <w:hyperlink r:id="rId3474">
        <w:r>
          <w:rPr>
            <w:color w:val="0000EE"/>
            <w:u w:val="single"/>
          </w:rPr>
          <w:t>Js 13.27</w:t>
        </w:r>
      </w:hyperlink>
      <w:r>
        <w:t>). Bete-Ninra foi identificada com a moderna Tell el-Bleibil, a 12,9 quilômetros a leste do Rio Jordão.</w:t>
      </w:r>
      <w:r/>
      <w:r/>
    </w:p>
    <w:p>
      <w:r/>
    </w:p>
    <w:p>
      <w:pPr>
        <w:pStyle w:val="Heading2"/>
      </w:pPr>
      <w:r>
        <w:t>Bete-Peor</w:t>
      </w:r>
      <w:r/>
    </w:p>
    <w:p>
      <w:r/>
      <w:r>
        <w:t>Uma cidade moabita que foi dada à tribo de Rúben quando a terra prometida foi dividida (</w:t>
      </w:r>
      <w:hyperlink r:id="rId2706">
        <w:r>
          <w:rPr>
            <w:color w:val="0000EE"/>
            <w:u w:val="single"/>
          </w:rPr>
          <w:t>Js 13.20</w:t>
        </w:r>
      </w:hyperlink>
      <w:r>
        <w:t>). Antes de os israelitas entrarem na terra de Canaã, eles acamparam em um vale em frente a Bete-Peor. O povo se reuniu para ouvir a mensagem final de Moisés depois que ele viu a terra do topo do Monte Pisga (</w:t>
      </w:r>
      <w:hyperlink r:id="rId3491">
        <w:r>
          <w:rPr>
            <w:color w:val="0000EE"/>
            <w:u w:val="single"/>
          </w:rPr>
          <w:t>Dt 3.29</w:t>
        </w:r>
      </w:hyperlink>
      <w:r>
        <w:t xml:space="preserve">; </w:t>
      </w:r>
      <w:hyperlink r:id="rId3492">
        <w:r>
          <w:rPr>
            <w:color w:val="0000EE"/>
            <w:u w:val="single"/>
          </w:rPr>
          <w:t>4.46</w:t>
        </w:r>
      </w:hyperlink>
      <w:r>
        <w:t>). Moisés foi enterrado aqui depois que lhe foi proibido entrar na terra prometida (</w:t>
      </w:r>
      <w:hyperlink r:id="rId3493">
        <w:r>
          <w:rPr>
            <w:color w:val="0000EE"/>
            <w:u w:val="single"/>
          </w:rPr>
          <w:t>Dt 34.6</w:t>
        </w:r>
      </w:hyperlink>
      <w:r>
        <w:t>). Baal-Peor (ou Baal de Peor) era o nome de uma divindade local adorada nesta área (</w:t>
      </w:r>
      <w:hyperlink r:id="rId3494">
        <w:r>
          <w:rPr>
            <w:color w:val="0000EE"/>
            <w:u w:val="single"/>
          </w:rPr>
          <w:t>Nm 25.3–5</w:t>
        </w:r>
      </w:hyperlink>
      <w:r>
        <w:t>).</w:t>
      </w:r>
      <w:r/>
      <w:r/>
    </w:p>
    <w:p>
      <w:r/>
    </w:p>
    <w:p>
      <w:pPr>
        <w:pStyle w:val="Heading2"/>
      </w:pPr>
      <w:r>
        <w:t>Bete-Reobe</w:t>
      </w:r>
      <w:r/>
    </w:p>
    <w:p>
      <w:r/>
      <w:r>
        <w:t xml:space="preserve">Uma cidade ou distrito mencionado em </w:t>
      </w:r>
      <w:hyperlink r:id="rId3495">
        <w:r>
          <w:rPr>
            <w:color w:val="0000EE"/>
            <w:u w:val="single"/>
          </w:rPr>
          <w:t>Juízes 18.28</w:t>
        </w:r>
      </w:hyperlink>
      <w:r>
        <w:t xml:space="preserve"> e </w:t>
      </w:r>
      <w:hyperlink r:id="rId3496">
        <w:r>
          <w:rPr>
            <w:color w:val="0000EE"/>
            <w:u w:val="single"/>
          </w:rPr>
          <w:t>2 Samuel 10.6.</w:t>
        </w:r>
      </w:hyperlink>
      <w:r>
        <w:t xml:space="preserve"> Provavelmente foi o ponto mais ao norte que os 12 espiões israelitas alcançaram quando exploraram a terra de Canaã. Provavelmente é o mesmo que Reobe (</w:t>
      </w:r>
      <w:hyperlink r:id="rId3497">
        <w:r>
          <w:rPr>
            <w:color w:val="0000EE"/>
            <w:u w:val="single"/>
          </w:rPr>
          <w:t>Nm 13.21</w:t>
        </w:r>
      </w:hyperlink>
      <w:r>
        <w:t xml:space="preserve">; </w:t>
      </w:r>
      <w:hyperlink r:id="rId3498">
        <w:r>
          <w:rPr>
            <w:color w:val="0000EE"/>
            <w:u w:val="single"/>
          </w:rPr>
          <w:t>2Sm 10.8</w:t>
        </w:r>
      </w:hyperlink>
      <w:r>
        <w:t>).</w:t>
      </w:r>
    </w:p>
    <w:p>
      <w:r/>
      <w:r>
        <w:rPr>
          <w:i/>
        </w:rPr>
        <w:t>Veja</w:t>
      </w:r>
      <w:r>
        <w:t xml:space="preserve"> </w:t>
      </w:r>
      <w:r>
        <w:t>Reobe (Lugar)</w:t>
      </w:r>
      <w:r>
        <w:t>.</w:t>
      </w:r>
      <w:r/>
      <w:r/>
    </w:p>
    <w:p>
      <w:r/>
    </w:p>
    <w:p>
      <w:pPr>
        <w:pStyle w:val="Heading2"/>
      </w:pPr>
      <w:r>
        <w:t>Bete-Seã</w:t>
      </w:r>
      <w:r/>
    </w:p>
    <w:p>
      <w:r/>
      <w:r>
        <w:t>Cidade Palestina estrategicamente localizada no subtropical Vale do Jordão, a 24,1 quilômetros ao sul do Mar da Galileia e a 6,4 quilômetros a oeste do rio Jordão. Bete-Seã ficava no extremo leste do vale de Jezreel, protegendo uma importante travessia do rio Jordão. Ficava na junção de duas rotas de comércio, uma levando para o norte em direção à Galileia e Damasco, a outra levando das montanhas de Gileade a oeste através do Vale de Jezreel e das colinas de Samaria.</w:t>
      </w:r>
    </w:p>
    <w:p>
      <w:r/>
      <w:r>
        <w:t>Quando os filisteus derrotaram Israel sob o rei Saul na batalha no Monte Gilboa, Bete-Seã era uma cidade filisteia. Os corpos mortos de Saul e seus filhos foram pendurados em desgraça no muro da cidade, e a cabeça de Saul foi exibida no templo de Dagom, uma divindade filisteia (</w:t>
      </w:r>
      <w:hyperlink r:id="rId3499">
        <w:r>
          <w:rPr>
            <w:color w:val="0000EE"/>
            <w:u w:val="single"/>
          </w:rPr>
          <w:t>1Sm 31.10–13</w:t>
        </w:r>
      </w:hyperlink>
      <w:r>
        <w:t xml:space="preserve">; </w:t>
      </w:r>
      <w:hyperlink r:id="rId3500">
        <w:r>
          <w:rPr>
            <w:color w:val="0000EE"/>
            <w:u w:val="single"/>
          </w:rPr>
          <w:t>2Sm 21.12–14</w:t>
        </w:r>
      </w:hyperlink>
      <w:r>
        <w:t xml:space="preserve">; </w:t>
      </w:r>
      <w:hyperlink r:id="rId3501">
        <w:r>
          <w:rPr>
            <w:color w:val="0000EE"/>
            <w:u w:val="single"/>
          </w:rPr>
          <w:t>1Cr 10.8–10</w:t>
        </w:r>
      </w:hyperlink>
      <w:r>
        <w:t>). A cidade mais tarde se tornou uma parte do reino de Davi.</w:t>
      </w:r>
    </w:p>
    <w:p>
      <w:r/>
      <w:r>
        <w:t>A identificação de Bete-Seã com Tell el-Husn é confirmada por dois textos egípcios encontrados lá que mencionam seu nome. O tell, ou morro, tem 64,9 metros de altura e cerca de 804,5 metros em circunferência em sua base. Na época da conquista de Israel de Canaã, a área que incluía Bete-Seã foi alocada à tribo de Issacar, mas a tribo de Manassés evidentemente a assumiu (</w:t>
      </w:r>
      <w:hyperlink r:id="rId3502">
        <w:r>
          <w:rPr>
            <w:color w:val="0000EE"/>
            <w:u w:val="single"/>
          </w:rPr>
          <w:t>Js 17.11</w:t>
        </w:r>
      </w:hyperlink>
      <w:r>
        <w:t>). Sob o rei Salomão, foi incorporada no distrito administrativo de Baaná (</w:t>
      </w:r>
      <w:hyperlink r:id="rId3503">
        <w:r>
          <w:rPr>
            <w:color w:val="0000EE"/>
            <w:u w:val="single"/>
          </w:rPr>
          <w:t>1Rs 4.12</w:t>
        </w:r>
      </w:hyperlink>
      <w:r>
        <w:t>). Acredita-se que a cidade tenha sido destruída por Sisaque (Sheshonk I), faraó do Egito no século 10 a.C. Sua importância foi mínima durante o restante do período do Antigo Testamento; a ocupação durante o exílio babilônico e o período persa pós-exílico parece ter ocorrido de forma esporádica.</w:t>
      </w:r>
    </w:p>
    <w:p>
      <w:r/>
      <w:r>
        <w:t>No período helenístico, Bete-Seã recebeu o nome Citópolis, presumivelmente porque foi colonizada por uma colônia de mercenários citas servindo ao rei egípcio Ptolomeu II. Os templos às divindades gregas Dionísio e Zeus foram construídos. Sob a dinastia dos asmoneus, Bete-Seã se tornou um importante centro administrativo. Prosperou como membro da liga das cidades greco-romanas chamadas Decápolis (</w:t>
      </w:r>
      <w:hyperlink r:id="rId3504">
        <w:r>
          <w:rPr>
            <w:color w:val="0000EE"/>
            <w:u w:val="single"/>
          </w:rPr>
          <w:t>Mt 4.25</w:t>
        </w:r>
      </w:hyperlink>
      <w:r>
        <w:t xml:space="preserve">; </w:t>
      </w:r>
      <w:hyperlink r:id="rId3505">
        <w:r>
          <w:rPr>
            <w:color w:val="0000EE"/>
            <w:u w:val="single"/>
          </w:rPr>
          <w:t>Mc 7.31</w:t>
        </w:r>
      </w:hyperlink>
      <w:r>
        <w:t>) e era o único membro da liga a oeste do Jordão.</w:t>
      </w:r>
      <w:r/>
      <w:r/>
    </w:p>
    <w:p>
      <w:r/>
    </w:p>
    <w:p>
      <w:pPr>
        <w:pStyle w:val="Heading2"/>
      </w:pPr>
      <w:r>
        <w:t>Betsaida</w:t>
      </w:r>
      <w:r/>
    </w:p>
    <w:p>
      <w:r/>
      <w:r>
        <w:t>1. Cidade a nordeste do Mar da Galileia. Betsaida era a casa de três dos discípulos de Jesus: André, Pedro e Filipe (</w:t>
      </w:r>
      <w:hyperlink r:id="rId1438">
        <w:r>
          <w:rPr>
            <w:color w:val="0000EE"/>
            <w:u w:val="single"/>
          </w:rPr>
          <w:t>Jo 1.44</w:t>
        </w:r>
      </w:hyperlink>
      <w:r>
        <w:t xml:space="preserve">; </w:t>
      </w:r>
      <w:hyperlink r:id="rId3506">
        <w:r>
          <w:rPr>
            <w:color w:val="0000EE"/>
            <w:u w:val="single"/>
          </w:rPr>
          <w:t>12.21</w:t>
        </w:r>
      </w:hyperlink>
      <w:r>
        <w:t>). Jesus anunciou que a calamidade viria sobre Betsaida por causa de sua incredulidade, apesar das poderosas obras que ele havia feito lá (</w:t>
      </w:r>
      <w:hyperlink r:id="rId3507">
        <w:r>
          <w:rPr>
            <w:color w:val="0000EE"/>
            <w:u w:val="single"/>
          </w:rPr>
          <w:t>Mt 11.21–22</w:t>
        </w:r>
      </w:hyperlink>
      <w:r>
        <w:t xml:space="preserve">; </w:t>
      </w:r>
      <w:hyperlink r:id="rId3508">
        <w:r>
          <w:rPr>
            <w:color w:val="0000EE"/>
            <w:u w:val="single"/>
          </w:rPr>
          <w:t>Lc 10.13</w:t>
        </w:r>
      </w:hyperlink>
      <w:r>
        <w:t>). Um homem cego foi curado em Betsaida (</w:t>
      </w:r>
      <w:hyperlink r:id="rId3509">
        <w:r>
          <w:rPr>
            <w:color w:val="0000EE"/>
            <w:u w:val="single"/>
          </w:rPr>
          <w:t>Mc 8.22–26</w:t>
        </w:r>
      </w:hyperlink>
      <w:r>
        <w:t>), e nas proximidades mais de 5.000 pessoas foram alimentadas pelo milagre da multiplicação dos pães e peixes (</w:t>
      </w:r>
      <w:hyperlink r:id="rId3510">
        <w:r>
          <w:rPr>
            <w:color w:val="0000EE"/>
            <w:u w:val="single"/>
          </w:rPr>
          <w:t>Mc 6.34–45</w:t>
        </w:r>
      </w:hyperlink>
      <w:r>
        <w:t xml:space="preserve">; </w:t>
      </w:r>
      <w:hyperlink r:id="rId3511">
        <w:r>
          <w:rPr>
            <w:color w:val="0000EE"/>
            <w:u w:val="single"/>
          </w:rPr>
          <w:t>Lc 9.10–17</w:t>
        </w:r>
      </w:hyperlink>
      <w:r>
        <w:t>).</w:t>
      </w:r>
    </w:p>
    <w:p>
      <w:r/>
      <w:r>
        <w:t>Betsaida é mencionada em várias fontes antigas, principalmente os escritos de Josefo, um historiador judeu do primeiro século d.C. Duas cidades com o nome de Betsaida, uma de cada lado do Mar da Galileia, foram sugeridas porque a referência em Marcos menciona a alimentação dos 5.000 como acontecendo do outro lado do lago de Betsaida, enquanto em Lucas parece ter ocorrido perto de Betsaida. Uma possível explicação é que o milagre ocorreu nos arredores de Betsaida, mas que a forma mais rápida de chegar à cidade era atravessar parte do lago. Tal interpretação questiona a localização tradicional do milagre (et-Tabgha na costa oeste, mais perto de Cafarnaum), mas é preferível à proposta de duas Betsaidas, bem próximas entre si.</w:t>
      </w:r>
    </w:p>
    <w:p>
      <w:r/>
      <w:r>
        <w:t>Betsaida era meramente uma aldeia de pescadores até que foi ampliada e embelezada por Filipe, o tetrarca (4 a.C. – 34 d.C.), filho de Herodes, o Grande, após a morte de César Augusto. Segundo Josefo, Filipe foi mais tarde sepultado naquele local. O nome de Betsaida foi alterado para Julias em honra de Júlia, filha de Augusto. Essa cidade foi defendida por Josefo quando ele era seu comandante militar durante a primeira revolta judaica contra Roma (66–70 d.C.).</w:t>
      </w:r>
    </w:p>
    <w:p>
      <w:r/>
      <w:r>
        <w:t>Josefo escreveu que Betsaida estava “no lago de Genesaré”, mas “perto do rio Jordão”. Ele também disse que estava na baixa Gaulanite, um distrito que tocava o bairro nordeste do Mar da Galileia. Há, no entanto, não há “relato” antigo ou ruína que se encaixe no tamanho ou na descrição da cidade perto do lago ou do rio. Uma sugestão de que o pequeno porto de el-’Araj é o local de Betsaida tem pouco apoio arqueológico, mas et-Tell, localizado a cerca de 3,2 quilômetros do lago, mostra evidências de extensa invasão romana e atividade de construção. No momento, et-Tell parece ser o candidato mais satisfatório para identificação de Betsaida.</w:t>
      </w:r>
    </w:p>
    <w:p>
      <w:r/>
      <w:r>
        <w:t xml:space="preserve">2. Um nome variante para o tanque em Jerusalém, também chamado de Betesda ou Betzata. </w:t>
      </w:r>
      <w:r>
        <w:rPr>
          <w:i/>
        </w:rPr>
        <w:t>Veja</w:t>
      </w:r>
      <w:r>
        <w:t xml:space="preserve"> </w:t>
      </w:r>
      <w:r>
        <w:t>Betesda</w:t>
      </w:r>
      <w:r>
        <w:t xml:space="preserve">; </w:t>
      </w:r>
      <w:r>
        <w:t>Betzata</w:t>
      </w:r>
      <w:r>
        <w:t>.</w:t>
      </w:r>
      <w:r/>
      <w:r/>
    </w:p>
    <w:p>
      <w:r/>
    </w:p>
    <w:p>
      <w:pPr>
        <w:pStyle w:val="Heading2"/>
      </w:pPr>
      <w:r>
        <w:t>Betuel (Pessoa)</w:t>
      </w:r>
      <w:r/>
    </w:p>
    <w:p>
      <w:r/>
      <w:r>
        <w:t>O filho mais novo do irmão de Abraão, Naor, e sua esposa, Milca. Betuel era sobrinho de Abraão e pai de Rebeca (</w:t>
      </w:r>
      <w:hyperlink r:id="rId3512">
        <w:r>
          <w:rPr>
            <w:color w:val="0000EE"/>
            <w:u w:val="single"/>
          </w:rPr>
          <w:t>Gn 22.23</w:t>
        </w:r>
      </w:hyperlink>
      <w:r>
        <w:t>;</w:t>
      </w:r>
      <w:hyperlink r:id="rId3513">
        <w:r>
          <w:rPr>
            <w:color w:val="0000EE"/>
            <w:u w:val="single"/>
          </w:rPr>
          <w:t xml:space="preserve"> 24.15,24</w:t>
        </w:r>
      </w:hyperlink>
      <w:r>
        <w:t>). Ele foi chamado de arameu de Padã-Arã (</w:t>
      </w:r>
      <w:hyperlink r:id="rId3514">
        <w:r>
          <w:rPr>
            <w:color w:val="0000EE"/>
            <w:u w:val="single"/>
          </w:rPr>
          <w:t>Gn 25.20</w:t>
        </w:r>
      </w:hyperlink>
      <w:r>
        <w:t xml:space="preserve">; </w:t>
      </w:r>
      <w:hyperlink r:id="rId3515">
        <w:r>
          <w:rPr>
            <w:color w:val="0000EE"/>
            <w:u w:val="single"/>
          </w:rPr>
          <w:t>28.5</w:t>
        </w:r>
      </w:hyperlink>
      <w:r>
        <w:t>).</w:t>
      </w:r>
      <w:r/>
      <w:r/>
    </w:p>
    <w:p>
      <w:r/>
    </w:p>
    <w:p>
      <w:pPr>
        <w:pStyle w:val="Heading2"/>
      </w:pPr>
      <w:r>
        <w:t>Betume</w:t>
      </w:r>
      <w:r/>
    </w:p>
    <w:p>
      <w:r/>
      <w:r>
        <w:t>Uma substância natural semelhante ao asfalto, breu ou alcatrão. É uma substância espessa e pegajosa encontrada naturalmente no solo. As pessoas na antiguidade a utilizavam como um tipo de cola ou selante.</w:t>
      </w:r>
    </w:p>
    <w:p>
      <w:r/>
      <w:r>
        <w:t>Betume (ou piche) foi utilizado como argamassa na construção da Torre de Babel (</w:t>
      </w:r>
      <w:hyperlink r:id="rId3516">
        <w:r>
          <w:rPr>
            <w:color w:val="0000EE"/>
            <w:u w:val="single"/>
          </w:rPr>
          <w:t>Gn 11.3</w:t>
        </w:r>
      </w:hyperlink>
      <w:r>
        <w:t>). Também foi usado para selar o cesto de junco em que o bebê Moisés foi escondido (</w:t>
      </w:r>
      <w:hyperlink r:id="rId3517">
        <w:r>
          <w:rPr>
            <w:color w:val="0000EE"/>
            <w:u w:val="single"/>
          </w:rPr>
          <w:t>Êx 2.3</w:t>
        </w:r>
      </w:hyperlink>
      <w:r>
        <w:t>). Em Israel, o vale de Sidim tinha muitos poços de betume. Alguns soldados caíram neles durante a guerra de Quedorlaomer contra Sodoma e Gomorra (</w:t>
      </w:r>
      <w:hyperlink r:id="rId3518">
        <w:r>
          <w:rPr>
            <w:color w:val="0000EE"/>
            <w:u w:val="single"/>
          </w:rPr>
          <w:t>Gn 14.10</w:t>
        </w:r>
      </w:hyperlink>
      <w:r>
        <w:t>).</w:t>
      </w:r>
    </w:p>
    <w:p>
      <w:r/>
      <w:r>
        <w:t>Betume é traduzido como "piche" na NTLH.</w:t>
      </w:r>
    </w:p>
    <w:p>
      <w:r/>
      <w:r>
        <w:rPr>
          <w:i/>
        </w:rPr>
        <w:t>Veja também</w:t>
      </w:r>
      <w:r>
        <w:t xml:space="preserve"> </w:t>
      </w:r>
      <w:r>
        <w:t>Asfalto</w:t>
      </w:r>
      <w:r>
        <w:t xml:space="preserve">; </w:t>
      </w:r>
      <w:r>
        <w:t>Minerais e metais</w:t>
      </w:r>
      <w:r>
        <w:t>.</w:t>
      </w:r>
      <w:r/>
      <w:r/>
    </w:p>
    <w:p>
      <w:r/>
    </w:p>
    <w:p>
      <w:pPr>
        <w:pStyle w:val="Heading2"/>
      </w:pPr>
      <w:r>
        <w:t>Bezalel</w:t>
      </w:r>
      <w:r/>
    </w:p>
    <w:p>
      <w:pPr>
        <w:pStyle w:val="ListNumber"/>
        <w:spacing w:line="240" w:lineRule="auto"/>
        <w:ind w:left="720"/>
      </w:pPr>
      <w:r/>
      <w:r>
        <w:t>O filho de Uri e o mestre artesão da tribo de Judá. Deus lhe deu habilidades especiais para estar encarregado da construção e do mobiliário do tabernáculo (</w:t>
      </w:r>
      <w:hyperlink r:id="rId3519">
        <w:r>
          <w:rPr>
            <w:color w:val="0000EE"/>
            <w:u w:val="single"/>
          </w:rPr>
          <w:t>Êx 31.2</w:t>
        </w:r>
      </w:hyperlink>
      <w:r>
        <w:t xml:space="preserve">; </w:t>
      </w:r>
      <w:hyperlink r:id="rId3520">
        <w:r>
          <w:rPr>
            <w:color w:val="0000EE"/>
            <w:u w:val="single"/>
          </w:rPr>
          <w:t>35.30–31</w:t>
        </w:r>
      </w:hyperlink>
      <w:r>
        <w:t xml:space="preserve">; </w:t>
      </w:r>
      <w:hyperlink r:id="rId2017">
        <w:r>
          <w:rPr>
            <w:color w:val="0000EE"/>
            <w:u w:val="single"/>
          </w:rPr>
          <w:t>36.1–2</w:t>
        </w:r>
      </w:hyperlink>
      <w:r>
        <w:t xml:space="preserve">; </w:t>
      </w:r>
      <w:hyperlink r:id="rId2434">
        <w:r>
          <w:rPr>
            <w:color w:val="0000EE"/>
            <w:u w:val="single"/>
          </w:rPr>
          <w:t>37.1</w:t>
        </w:r>
      </w:hyperlink>
      <w:r>
        <w:t xml:space="preserve">; </w:t>
      </w:r>
      <w:hyperlink r:id="rId3521">
        <w:r>
          <w:rPr>
            <w:color w:val="0000EE"/>
            <w:u w:val="single"/>
          </w:rPr>
          <w:t>38.22</w:t>
        </w:r>
      </w:hyperlink>
      <w:r>
        <w:t xml:space="preserve">; </w:t>
      </w:r>
      <w:hyperlink r:id="rId3522">
        <w:r>
          <w:rPr>
            <w:color w:val="0000EE"/>
            <w:u w:val="single"/>
          </w:rPr>
          <w:t>1Cr 2.20</w:t>
        </w:r>
      </w:hyperlink>
      <w:r>
        <w:t xml:space="preserve">; </w:t>
      </w:r>
      <w:hyperlink r:id="rId3523">
        <w:r>
          <w:rPr>
            <w:color w:val="0000EE"/>
            <w:u w:val="single"/>
          </w:rPr>
          <w:t>2Cr 1.5</w:t>
        </w:r>
      </w:hyperlink>
      <w:r>
        <w:t>).</w:t>
      </w:r>
    </w:p>
    <w:p>
      <w:pPr>
        <w:pStyle w:val="ListNumber"/>
        <w:spacing w:line="240" w:lineRule="auto"/>
        <w:ind w:left="720"/>
      </w:pPr>
      <w:r/>
      <w:r>
        <w:t>O filho de Paate-Moabe, que obedeceu à ordem de Esdras para se divorciar de sua esposa não judia após o exílio na Babilônia (</w:t>
      </w:r>
      <w:hyperlink r:id="rId3524">
        <w:r>
          <w:rPr>
            <w:color w:val="0000EE"/>
            <w:u w:val="single"/>
          </w:rPr>
          <w:t>Ed 10.30</w:t>
        </w:r>
      </w:hyperlink>
      <w:r>
        <w:t>).</w:t>
      </w:r>
      <w:r/>
      <w:r/>
    </w:p>
    <w:p>
      <w:r/>
    </w:p>
    <w:p>
      <w:pPr>
        <w:pStyle w:val="Heading2"/>
      </w:pPr>
      <w:r>
        <w:t>Bezer (Lugar)</w:t>
      </w:r>
      <w:r/>
    </w:p>
    <w:p>
      <w:r/>
      <w:r>
        <w:t>Uma cidade de refúgio na terra de Rúben no deserto, a leste do Rio Jordão (</w:t>
      </w:r>
      <w:hyperlink r:id="rId3525">
        <w:r>
          <w:rPr>
            <w:color w:val="0000EE"/>
            <w:u w:val="single"/>
          </w:rPr>
          <w:t>Dt 4.43</w:t>
        </w:r>
      </w:hyperlink>
      <w:r>
        <w:t xml:space="preserve">; </w:t>
      </w:r>
      <w:hyperlink r:id="rId3526">
        <w:r>
          <w:rPr>
            <w:color w:val="0000EE"/>
            <w:u w:val="single"/>
          </w:rPr>
          <w:t>Js 20.8</w:t>
        </w:r>
      </w:hyperlink>
      <w:r>
        <w:t>). Mais tarde, foi dada à família Merari dos levitas (</w:t>
      </w:r>
      <w:hyperlink r:id="rId3527">
        <w:r>
          <w:rPr>
            <w:color w:val="0000EE"/>
            <w:u w:val="single"/>
          </w:rPr>
          <w:t>Js 21.36</w:t>
        </w:r>
      </w:hyperlink>
      <w:r>
        <w:t xml:space="preserve">; </w:t>
      </w:r>
      <w:hyperlink r:id="rId3528">
        <w:r>
          <w:rPr>
            <w:color w:val="0000EE"/>
            <w:u w:val="single"/>
          </w:rPr>
          <w:t>1Cr 6.78</w:t>
        </w:r>
      </w:hyperlink>
      <w:r>
        <w:t xml:space="preserve">). Provavelmente é uma grafia diferente de Bosra em </w:t>
      </w:r>
      <w:hyperlink r:id="rId3529">
        <w:r>
          <w:rPr>
            <w:color w:val="0000EE"/>
            <w:u w:val="single"/>
          </w:rPr>
          <w:t>Jeremias 48.24</w:t>
        </w:r>
      </w:hyperlink>
      <w:r>
        <w:t>. De acordo com a Pedra Moabita, Bezer estava entre as cidades reconstruídas pelo Rei Messa de Moabe.</w:t>
      </w:r>
    </w:p>
    <w:p>
      <w:r/>
      <w:r>
        <w:rPr>
          <w:i/>
        </w:rPr>
        <w:t>Veja também</w:t>
      </w:r>
      <w:r>
        <w:t xml:space="preserve"> </w:t>
      </w:r>
      <w:r>
        <w:t>Bosra #2</w:t>
      </w:r>
      <w:r>
        <w:t xml:space="preserve">; </w:t>
      </w:r>
      <w:r>
        <w:t>Cidades de Refúgio</w:t>
      </w:r>
      <w:r>
        <w:t>.</w:t>
      </w:r>
      <w:r/>
      <w:r/>
    </w:p>
    <w:p>
      <w:r/>
    </w:p>
    <w:p>
      <w:pPr>
        <w:pStyle w:val="Heading2"/>
      </w:pPr>
      <w:r>
        <w:t>Bezerro de Ouro</w:t>
      </w:r>
      <w:r/>
    </w:p>
    <w:p>
      <w:r/>
      <w:r>
        <w:t>Um ídolo em forma de bezerro foi feito com joias de ouro dadas pelos israelitas (</w:t>
      </w:r>
      <w:hyperlink r:id="rId2392">
        <w:r>
          <w:rPr>
            <w:color w:val="0000EE"/>
            <w:u w:val="single"/>
          </w:rPr>
          <w:t>Êx 32.1–4</w:t>
        </w:r>
      </w:hyperlink>
      <w:r>
        <w:t>). O povo pediu a Arão que fizesse esse ídolo enquanto Moisés estava no Monte Sinai recebendo os Dez Mandamentos de Deus. Quando Moisés desceu da montanha, viu o povo adorando o bezerro de ouro e celebrando de maneiras imorais. Então, ele quebrou as tábuas de pedra que tinham os mandamentos escritos. Depois, ele moeu o bezerro de ouro em pó, espalhou-o sobre a água e fez o povo bebê-la (</w:t>
      </w:r>
      <w:hyperlink r:id="rId3530">
        <w:r>
          <w:rPr>
            <w:color w:val="0000EE"/>
            <w:u w:val="single"/>
          </w:rPr>
          <w:t>Êx 32.15–20</w:t>
        </w:r>
      </w:hyperlink>
      <w:r>
        <w:t>). Alguns dos que adoraram o ídolo foram mortos (</w:t>
      </w:r>
      <w:hyperlink r:id="rId3531">
        <w:r>
          <w:rPr>
            <w:color w:val="0000EE"/>
            <w:u w:val="single"/>
          </w:rPr>
          <w:t>Êx 32.25–29</w:t>
        </w:r>
      </w:hyperlink>
      <w:r>
        <w:t>). Outros foram punidos por Deus com uma praga (</w:t>
      </w:r>
      <w:hyperlink r:id="rId3532">
        <w:r>
          <w:rPr>
            <w:color w:val="0000EE"/>
            <w:u w:val="single"/>
          </w:rPr>
          <w:t>Êx 32.33–35</w:t>
        </w:r>
      </w:hyperlink>
      <w:r>
        <w:t>).</w:t>
      </w:r>
    </w:p>
    <w:p>
      <w:r/>
      <w:r>
        <w:t>O bezerro de ouro de Arão provavelmente foi inspirado em Ápis, um deus-touro egípcio. Ápis estava associado a outro deus egípcio chamado Osíris. Quando esses touros morriam, eram enterrados como Osíris-Ápis. Este nome mais tarde se tornou Serápis durante o período entre o Antigo e o Novo Testamento. A seriedade do bezerro de ouro de Arão é evidenciada por várias menções a ele em outras partes da Bíblia (</w:t>
      </w:r>
      <w:hyperlink r:id="rId3533">
        <w:r>
          <w:rPr>
            <w:color w:val="0000EE"/>
            <w:u w:val="single"/>
          </w:rPr>
          <w:t>Dt 9.16,21</w:t>
        </w:r>
      </w:hyperlink>
      <w:r>
        <w:t xml:space="preserve">; </w:t>
      </w:r>
      <w:hyperlink r:id="rId3534">
        <w:r>
          <w:rPr>
            <w:color w:val="0000EE"/>
            <w:u w:val="single"/>
          </w:rPr>
          <w:t>Ne 9.18</w:t>
        </w:r>
      </w:hyperlink>
      <w:r>
        <w:t xml:space="preserve">, </w:t>
      </w:r>
      <w:hyperlink r:id="rId3535">
        <w:r>
          <w:rPr>
            <w:color w:val="0000EE"/>
            <w:u w:val="single"/>
          </w:rPr>
          <w:t>Sl 106.19–20</w:t>
        </w:r>
      </w:hyperlink>
      <w:r>
        <w:t xml:space="preserve">; </w:t>
      </w:r>
      <w:hyperlink r:id="rId3536">
        <w:r>
          <w:rPr>
            <w:color w:val="0000EE"/>
            <w:u w:val="single"/>
          </w:rPr>
          <w:t>At 7.39–41</w:t>
        </w:r>
      </w:hyperlink>
      <w:r>
        <w:t>).</w:t>
      </w:r>
    </w:p>
    <w:p>
      <w:r/>
      <w:r>
        <w:t>Jeroboão I foi o primeiro rei do reino do norte de Israel após a divisão da nação. Ele governou de 930 a 909 a.C. Jeroboão estabeleceu centros de adoração (santuários) em Dã, no extremo norte, e em Betel, no sul. Ele colocou um bezerro de ouro em cada santuário (</w:t>
      </w:r>
      <w:hyperlink r:id="rId3537">
        <w:r>
          <w:rPr>
            <w:color w:val="0000EE"/>
            <w:u w:val="single"/>
          </w:rPr>
          <w:t>1Rs 12.26–33</w:t>
        </w:r>
      </w:hyperlink>
      <w:r>
        <w:t xml:space="preserve">; </w:t>
      </w:r>
      <w:hyperlink r:id="rId3538">
        <w:r>
          <w:rPr>
            <w:color w:val="0000EE"/>
            <w:u w:val="single"/>
          </w:rPr>
          <w:t>2Cr 11.1315</w:t>
        </w:r>
      </w:hyperlink>
      <w:r>
        <w:t>). Os profetas de Israel sabiam que esses bezerros não eram o único Deus verdadeiro (</w:t>
      </w:r>
      <w:hyperlink r:id="rId1558">
        <w:r>
          <w:rPr>
            <w:color w:val="0000EE"/>
            <w:u w:val="single"/>
          </w:rPr>
          <w:t>Os 8.5–6</w:t>
        </w:r>
      </w:hyperlink>
      <w:r>
        <w:t xml:space="preserve">). O profeta Oséias chamou o bezerro em Betel (que significa "casa de Deus") de bezerro de "Bete-Avém" (que significa "casa da maldade," </w:t>
      </w:r>
      <w:hyperlink r:id="rId3539">
        <w:r>
          <w:rPr>
            <w:color w:val="0000EE"/>
            <w:u w:val="single"/>
          </w:rPr>
          <w:t>Os 10.5–6</w:t>
        </w:r>
      </w:hyperlink>
      <w:r>
        <w:t>). Dentro de 200 anos do governo de Jeroboão, as pessoas começaram a demonstrar tanta devoção que até beijavam os bezerros (</w:t>
      </w:r>
      <w:hyperlink r:id="rId1559">
        <w:r>
          <w:rPr>
            <w:color w:val="0000EE"/>
            <w:u w:val="single"/>
          </w:rPr>
          <w:t>Os 13.2</w:t>
        </w:r>
      </w:hyperlink>
      <w:r>
        <w:t>). O ato pecaminoso de Jeroboão foi listado como uma das principais razões para a destruição de Samaria (a capital de Israel) e o exílio do reino do norte em 722 a.C. (</w:t>
      </w:r>
      <w:hyperlink r:id="rId3540">
        <w:r>
          <w:rPr>
            <w:color w:val="0000EE"/>
            <w:u w:val="single"/>
          </w:rPr>
          <w:t>2Rs 17.16</w:t>
        </w:r>
      </w:hyperlink>
      <w:r>
        <w:t>).</w:t>
      </w:r>
      <w:r/>
      <w:r/>
    </w:p>
    <w:p>
      <w:r/>
    </w:p>
    <w:p>
      <w:pPr>
        <w:pStyle w:val="Heading2"/>
      </w:pPr>
      <w:r>
        <w:t>Bíblia</w:t>
      </w:r>
      <w:r/>
    </w:p>
    <w:p>
      <w:r/>
      <w:r>
        <w:t>Derivado do grego biblia (“livros”), que, embora plural, passou a ser usado como um substantivo singular e a representar a coleção de livros conhecida como as Escrituras. A ideia de uma coleção de escritos sagrados desenvolveu-se cedo no pensamento hebraico-cristão. Daniel, no século VI a.C., falou de um escrito profético como “os livros” (</w:t>
      </w:r>
      <w:hyperlink r:id="rId3541">
        <w:r>
          <w:rPr>
            <w:color w:val="0000EE"/>
            <w:u w:val="single"/>
          </w:rPr>
          <w:t>Dn 9.2</w:t>
        </w:r>
      </w:hyperlink>
      <w:r>
        <w:t>). O escritor de 1 Macabeus (segundo século a.C.) referiu-se ao AT como “os livros sagrados” (</w:t>
      </w:r>
      <w:hyperlink r:id="rId3542">
        <w:r>
          <w:rPr>
            <w:color w:val="0000EE"/>
            <w:u w:val="single"/>
          </w:rPr>
          <w:t>12.9</w:t>
        </w:r>
      </w:hyperlink>
      <w:r>
        <w:t>). Jesus referiu-se aos livros do AT como “as escrituras” (</w:t>
      </w:r>
      <w:hyperlink r:id="rId3543">
        <w:r>
          <w:rPr>
            <w:color w:val="0000EE"/>
            <w:u w:val="single"/>
          </w:rPr>
          <w:t>Mt 21.42</w:t>
        </w:r>
      </w:hyperlink>
      <w:r>
        <w:t>), e Paulo falou deles como “as escrituras sagradas” (</w:t>
      </w:r>
      <w:hyperlink r:id="rId3544">
        <w:r>
          <w:rPr>
            <w:color w:val="0000EE"/>
            <w:u w:val="single"/>
          </w:rPr>
          <w:t>Rm 1.2</w:t>
        </w:r>
      </w:hyperlink>
      <w:r>
        <w:t>).</w:t>
      </w:r>
    </w:p>
    <w:p>
      <w:r/>
      <w:r>
        <w:t>A Bíblia está dividida em Antigo Testamento e Novo Testamento. Claro, não havia AT e NT antes da vinda de Cristo, apenas uma coleção de escritos sagrados. Mas depois que os apóstolos e seus associados produziram outro conjunto de literatura sagrada, a igreja começou a se referir ao AT e ao NT. Na verdade, "testamento" é a tradução de uma palavra grega que poderia ser melhor traduzida como "aliança". Denota um arranjo feito por Deus para a orientação espiritual e benefício dos seres humanos. A aliança é inalterável: a humanidade pode aceitá-la ou rejeitá-la, mas não pode mudá-la. "Aliança" é uma palavra comum no AT; de várias alianças descritas no AT, a mais proeminente foi a lei dada a Moisés. Enquanto Israel estava se irritando e falhando sob a aliança mosaica, Deus prometeu-lhes uma "nova aliança" (</w:t>
      </w:r>
      <w:hyperlink r:id="rId822">
        <w:r>
          <w:rPr>
            <w:color w:val="0000EE"/>
            <w:u w:val="single"/>
          </w:rPr>
          <w:t>Jr 31.31</w:t>
        </w:r>
      </w:hyperlink>
      <w:r>
        <w:t>).</w:t>
      </w:r>
    </w:p>
    <w:p>
      <w:r/>
      <w:r>
        <w:t>O termo "nova aliança" aparece várias vezes no NT. Jesus o utilizou ao instituir a Ceia do Senhor, com o objetivo de destacar a nova base de comunhão com Deus que pretendia estabelecer por meio de sua morte (</w:t>
      </w:r>
      <w:hyperlink r:id="rId824">
        <w:r>
          <w:rPr>
            <w:color w:val="0000EE"/>
            <w:u w:val="single"/>
          </w:rPr>
          <w:t>Lc 22.20</w:t>
        </w:r>
      </w:hyperlink>
      <w:r>
        <w:t xml:space="preserve">; </w:t>
      </w:r>
      <w:hyperlink r:id="rId851">
        <w:r>
          <w:rPr>
            <w:color w:val="0000EE"/>
            <w:u w:val="single"/>
          </w:rPr>
          <w:t>1Co 11.25</w:t>
        </w:r>
      </w:hyperlink>
      <w:r>
        <w:t>). O apóstolo Paulo também mencionou essa nova aliança (</w:t>
      </w:r>
      <w:hyperlink r:id="rId3545">
        <w:r>
          <w:rPr>
            <w:color w:val="0000EE"/>
            <w:u w:val="single"/>
          </w:rPr>
          <w:t>2Co 3.6,14</w:t>
        </w:r>
      </w:hyperlink>
      <w:r>
        <w:t>), assim como o autor de Hebreus (</w:t>
      </w:r>
      <w:hyperlink r:id="rId853">
        <w:r>
          <w:rPr>
            <w:color w:val="0000EE"/>
            <w:u w:val="single"/>
          </w:rPr>
          <w:t>Hb 8.8</w:t>
        </w:r>
      </w:hyperlink>
      <w:r>
        <w:t xml:space="preserve">; </w:t>
      </w:r>
      <w:hyperlink r:id="rId3546">
        <w:r>
          <w:rPr>
            <w:color w:val="0000EE"/>
            <w:u w:val="single"/>
          </w:rPr>
          <w:t>9.11–15</w:t>
        </w:r>
      </w:hyperlink>
      <w:r>
        <w:t xml:space="preserve">). A descrição detalhada do novo método de Deus de lidar com as pessoas (baseado na obra concluída de Cristo na cruz) é o tema dos 27 livros do NT. O relacionamento de Deus com as pessoas em antecipação à vinda do Messias (equivalente hebraico de "Cristo", que significa "Ungido") é certamente o tema principal dos 39 livros do AT, embora abordem muito mais do que isso. Escritores da igreja latina usaram </w:t>
      </w:r>
      <w:r>
        <w:rPr>
          <w:i/>
        </w:rPr>
        <w:t>testamentum</w:t>
      </w:r>
      <w:r>
        <w:t xml:space="preserve"> para traduzir "aliança", e deles o uso passou para o inglês; assim, antigas e novas alianças tornaram-se AT e NT.</w:t>
      </w:r>
    </w:p>
    <w:p>
      <w:r/>
      <w:r>
        <w:t>A primeira metade do AT segue uma disposição lógica e de fácil compreensão. De Gênesis a Ester, a história de Israel, de Abraão à restauração sob os auspícios persas, aparece em grande parte em ordem cronológica. Em seguida, vem um grupo de livros poéticos e os Profetas Maiores e Menores (“Maiores” significa os livros que são relativamente longos; “Menores” significa os livros que são relativamente curtos).</w:t>
      </w:r>
    </w:p>
    <w:p>
      <w:r/>
      <w:r>
        <w:t>O NT também segue uma organização geralmente lógica. Começa com os quatro Evangelhos, que descrevem o nascimento, vida, morte e ressurreição de Cristo e seu treinamento de discípulos para continuarem seu trabalho após sua ascensão. O livro de Atos continua a narrativa onde os Evangelhos terminam e detalha a fundação da igreja e sua expansão pelas terras do Mediterrâneo. Na parte final do livro, o foco se volta para o apóstolo Paulo e suas atividades de plantação de igrejas. Em seguida, vêm as cartas que Paulo dirigiu às igrejas que fundou ou a jovens ministros que ele procurou encorajar. Após as Epístolas Paulinas, vem um grupo comumente chamado de Epístolas Gerais. O último livro, Apocalipse, é uma obra apocalíptica.</w:t>
      </w:r>
    </w:p>
    <w:p>
      <w:r/>
      <w:r>
        <w:t>O AT foi escrito quase inteiramente em hebraico, com algumas passagens isoladas em aramaico nos livros posteriores. Se alguém aceita a visão de que Moisés escreveu os primeiros cinco livros do AT (a posição que a própria Escritura assume), os primeiros livros do AT foram escritos por volta de 1400 a.C. (desde que se aceite a data inicial proposta para o êxodo). Se o último livro escrito foi Malaquias (antes de 400 a.C.), a composição ocorreu ao longo de 1.000 anos. Todos os escritores (cerca de 30 no total) eram judeus: profetas, juízes, reis e outros líderes em Israel.</w:t>
      </w:r>
    </w:p>
    <w:p>
      <w:r/>
      <w:r>
        <w:t>O Novo Testamento foi provavelmente escrito inteiramente em grego. Se Tiago foi o primeiro a escrever um livro do Novo Testamento antes da metade do primeiro século, e se João foi o último (compondo Apocalipse por volta de 90 d.C.), o Novo Testamento foi escrito durante um período de 50 anos na segunda metade do primeiro século. Todos os escritores (provavelmente nove) eram judeus, com exceção de Lucas (autor de Lucas e Atos), e eles vieram de diversas origens: pescadores, médico, coletor de impostos e líderes religiosos.</w:t>
      </w:r>
    </w:p>
    <w:p>
      <w:r/>
      <w:r>
        <w:t>Apesar da grande diversidade de autores no AT e NT, e da composição que abrange mais de 1.500 anos, há uma unidade notável no propósito geral. Os cristãos acreditam que Deus deve ter supervisionado a produção de um livro divino-humano que apresentaria adequadamente sua mensagem à humanidade.</w:t>
      </w:r>
    </w:p>
    <w:p>
      <w:r/>
      <w:r>
        <w:t>O AT e o NT são partes de uma única revelação divina. O AT descreve o homem e a mulher no primeiro paraíso na antiga terra; o NT conclui com uma visão do novo céu e nova terra. O AT vê a humanidade como caída de uma condição sem pecado e separada de Deus; o NT vê os crentes como restaurados ao favor através do sacrifício de Cristo. O AT prediz um redentor vindouro que resgatará homens e mulheres da condenação eterna; o NT revela o Cristo que trouxe a salvação. Na maior parte do AT, o foco está em um sistema sacrificial no qual o sangue dos animais proporcionava uma solução temporária para o problema do pecado; no Novo, Cristo apareceu como aquele que veio para pôr fim a todo sacrifício — para ser ele mesmo o sacrifício supremo. No AT, numerosas predições previam um Messias vindouro que salvaria seu povo; no Novo, dezenas de passagens detalham como essas profecias foram minuciosamente cumpridas na pessoa de Jesus Cristo: o “filho de Abraão” e o “filho de Davi” (</w:t>
      </w:r>
      <w:hyperlink r:id="rId817">
        <w:r>
          <w:rPr>
            <w:color w:val="0000EE"/>
            <w:u w:val="single"/>
          </w:rPr>
          <w:t>Mt 1.1</w:t>
        </w:r>
      </w:hyperlink>
      <w:r>
        <w:t>). Como Agostinho disse há mais de 1.500 anos, “O Novo está contido no Antigo; o Antigo é explicado no Novo”.</w:t>
      </w:r>
    </w:p>
    <w:p>
      <w:pPr>
        <w:pStyle w:val="Heading3"/>
      </w:pPr>
      <w:r>
        <w:t>A autoridade da Bíblia</w:t>
      </w:r>
    </w:p>
    <w:p>
      <w:r/>
      <w:r>
        <w:t>Juiz de homens e nações, o Deus auto-revelado exerce autoridade e poder ilimitados. Toda autoridade e poder das criaturas derivam de Deus. Como o Criador soberano de tudo, o Deus da Bíblia deseja e tem o direito de ser obedecido. O poder que Deus concede é uma confiança divina, uma responsabilidade. As criaturas de Deus são moralmente responsáveis pelo uso ou abuso desse poder. Na sociedade humana caída, Deus deseja o governo civil para a promoção da justiça e da ordem. Ele aprova uma ordenação de relacionamentos autoritativos e criativos no lar, estipulando certas responsabilidades de maridos, esposas e filhos. Ele deseja um padrão de prioridades para a igreja também: Jesus Cristo como cabeça, profetas e apóstolos através dos quais a revelação redentora veio, e assim por diante. As Escrituras inspiradas, revelando a vontade transcendente de Deus em forma escrita objetiva, são a regra de fé e conduta através da qual Cristo exerce sua autoridade divina na vida dos cristãos.</w:t>
      </w:r>
    </w:p>
    <w:p>
      <w:r/>
      <w:r>
        <w:t>A revolta contra autoridades específicas em nosso tempo se expandiu para uma revolta contra toda autoridade transcendente e externa. O questionamento generalizado da autoridade é tolerado e promovido em muitos círculos acadêmicos. Filósofos com uma visão radicalmente secular afirmaram que Deus e o sobrenatural são concepções míticas, e que processos e eventos naturais compreendem a única realidade última. Toda existência é considerada temporal e mutável, e todas as crenças e ideais são declarados como relativos à época e à cultura em que aparecem. A religião bíblica, portanto, como todas as outras, é vista como meramente um fenômeno cultural. A reivindicação da Bíblia à autoridade divina é rejeitada por tais pensadores; apocalipse transcendente, verdades fixas e mandamentos imutáveis são descartados como ficções piedosas.</w:t>
      </w:r>
    </w:p>
    <w:p>
      <w:r/>
      <w:r>
        <w:t>Em nome do suposto "amadurecimento" do homem, o secularismo radical defende a autonomia humana e a individualidade criativa. Afirma-se que o homem é seu próprio senhor e o criador de seus próprios ideais e valores. Ele vive em um universo supostamente sem propósito, que presumivelmente surgiu de um acidente cósmico. Portanto, os seres humanos são declarados totalmente livres para impor à natureza e à história quaisquer critérios morais que desejarem. Nessa visão, insistir em verdades e valores dados divinamente, em princípios transcendentes, seria reprimir a autorrealização e retardar o desenvolvimento pessoal criativo. Assim, a visão radicalmente secular vai além de se opor a autoridades externas específicas cujas reivindicações são consideradas arbitrárias ou imorais; o secularismo radical é agressivamente hostil a toda autoridade externa e objetiva, vendo-a como intrinsecamente restritiva do espírito humano autônomo.</w:t>
      </w:r>
    </w:p>
    <w:p>
      <w:r/>
      <w:r>
        <w:t>Qualquer leitor da Bíblia reconhece a rejeição da autoridade divina e de um Apocalipse definitivo do que é certo e bom como um fenômeno antigo. Isso não é de forma alguma peculiar ao homem contemporâneo "amadurecer"; já foi encontrado no Éden. Adão e Eva se revoltaram contra a vontade de Deus em busca de preferência individual e interesse próprio. Mas sua revolta foi reconhecida como pecado, não racionalizada como gnose filosófica nas fronteiras do avanço evolutivo.</w:t>
      </w:r>
    </w:p>
    <w:p>
      <w:r/>
      <w:r>
        <w:t xml:space="preserve">Se alguém adota uma visão estritamente desenvolvimentista, que considera toda a realidade contingente e mutável, qual base permanece para o papel decisivamente criativo da humanidade no universo? Como um cosmos sem propósito poderia atender à autorrealização individual? Somente a alternativa bíblica do Deus Criador-Redentor, que formou os seres humanos para a obediência moral e um alto destino espiritual, preserva verdadeiramente a dignidade permanente e universal da espécie humana. A Bíblia faz isso, no entanto, por meio de um chamado exigente para a decisão espiritual pessoal. A Bíblia apresenta a superioridade do homem em relação aos animais, sua alta dignidade (“por um pouco, menor do que Deus”, </w:t>
      </w:r>
      <w:hyperlink r:id="rId3547">
        <w:r>
          <w:rPr>
            <w:color w:val="0000EE"/>
            <w:u w:val="single"/>
          </w:rPr>
          <w:t>Sl 8.5</w:t>
        </w:r>
      </w:hyperlink>
      <w:r>
        <w:t>, ARA) por causa da imagem divina racional e moral que ele carrega pela criação. No contexto do envolvimento humano universal no pecado adâmico, a Bíblia profere um chamado divino misericordioso para a renovação redentora através da pessoa mediadora e obra de Cristo. A humanidade caída é convidada a experimentar a obra renovadora do Espírito Santo, a ser conformada à imagem de Jesus Cristo e a antecipar um destino final na presença eterna do Deus de justiça e justificação.</w:t>
      </w:r>
    </w:p>
    <w:p>
      <w:r/>
      <w:r>
        <w:t>A rejeição contemporânea dos princípios bíblicos não se fundamenta em nenhuma demonstração lógica de que o argumento para o teísmo bíblico é falso; ela se baseia, ao contrário, em uma preferência subjetiva por visões alternativas de "a boa vida".</w:t>
      </w:r>
    </w:p>
    <w:p>
      <w:r/>
      <w:r>
        <w:t>A Bíblia não é o único lembrete significativo de que os seres humanos estão diariamente em um relacionamento responsável com o soberano Deus. O Criador revela sua autoridade no cosmos, na história e na consciência interior, uma revelação do Deus vivo que penetra na mente de cada ser humano (</w:t>
      </w:r>
      <w:hyperlink r:id="rId3548">
        <w:r>
          <w:rPr>
            <w:color w:val="0000EE"/>
            <w:u w:val="single"/>
          </w:rPr>
          <w:t>Rm 1.18–20</w:t>
        </w:r>
      </w:hyperlink>
      <w:r>
        <w:t xml:space="preserve">; </w:t>
      </w:r>
      <w:hyperlink r:id="rId3549">
        <w:r>
          <w:rPr>
            <w:color w:val="0000EE"/>
            <w:u w:val="single"/>
          </w:rPr>
          <w:t>2.12–15</w:t>
        </w:r>
      </w:hyperlink>
      <w:r>
        <w:t>). A supressão rebelde dessa “revelação divina geral” não consegue suspender totalmente um temível senso de responsabilidade divina final (</w:t>
      </w:r>
      <w:hyperlink r:id="rId3550">
        <w:r>
          <w:rPr>
            <w:color w:val="0000EE"/>
            <w:u w:val="single"/>
          </w:rPr>
          <w:t>1.32</w:t>
        </w:r>
      </w:hyperlink>
      <w:r>
        <w:t>). No entanto, é a Bíblia como “revelação especial” que mais claramente confronta nossa raça espiritualmente rebelde com a realidade e autoridade de Deus. Nas Escrituras, o caráter e a vontade de Deus, o significado da existência humana, a natureza do reino espiritual e os propósitos de Deus para os seres humanos em todas as eras são apresentados de forma proposicionalmente inteligível que todos podem entender. A Bíblia publica de forma objetiva os critérios pelos quais Deus julga indivíduos e nações, e os meios de recuperação moral e restauração para comunhão pessoal com ele.</w:t>
      </w:r>
    </w:p>
    <w:p>
      <w:r/>
      <w:r>
        <w:t>O respeito pela Bíblia é, portanto, decisivo para o curso da cultura ocidental e, a longo prazo, para a civilização humana em geral. A revelação divina inteligível, a base para a crença na autoridade soberana do Deus Criador e Redentor sobre toda a vida humana, repousa na confiabilidade do que as Escrituras dizem sobre Deus e seus propósitos. O naturalismo moderno questiona a autoridade da Bíblia e ataca a alegação de que a Bíblia é a Palavra de Deus escrita, ou seja, uma revelação transcendental da mente e vontade de Deus em forma literária objetiva. A autoridade das Escrituras é o centro da tempestade tanto na controvérsia sobre a religião revelada quanto no conflito moderno sobre os valores civilizacionais.</w:t>
      </w:r>
    </w:p>
    <w:p>
      <w:pPr>
        <w:pStyle w:val="Heading3"/>
      </w:pPr>
      <w:r>
        <w:t>A visão da Bíblia sobre ela mesma</w:t>
      </w:r>
    </w:p>
    <w:p>
      <w:r/>
      <w:r>
        <w:t>A natureza inteligível da revelação divina — o pressuposto de que a vontade de Deus é conhecida na forma de verdades válidas — é o pressuposto central da autoridade da Bíblia. Grande parte da teologia neo-protestante recente menosprezou a ênfase evangélica tradicional como doutrinária e estática. Em vez disso, insistiu que a autoridade das Escrituras deve ser experimentada internamente como um testemunho da graça divina que gera fé e obediência, renunciando assim ao seu caráter objetivo como verdade universalmente válida. De forma um tanto inconsistente, quase todos os teólogos neo-protestantes recorreram ao registro para apoiar cognitivamente quaisquer fragmentos do todo que pareçam coincidir com suas visões divergentes, mesmo que repudiem a Bíblia como um corpo especialmente revelado de ensino divino autoritativo. Se a revelação de Deus a profetas e apóstolos escolhidos deve ser considerada significativa e verdadeira, ela deve ser dada não apenas em conceitos isolados capazes de significados diversos, mas em sentenças ou proposições. Uma proposição — isto é, um sujeito, predicado e verbo de ligação (ou “cópula”) — constitui a unidade lógica mínima de comunicação inteligível. A fórmula profética do AT “Assim diz o Senhor” caracteristicamente introduzia a verdade revelada proposicionalmente. Jesus Cristo empregou a fórmula distintiva “Mas eu vos digo” para introduzir sentenças logicamente formadas que ele representava como a verdadeira palavra ou doutrina de Deus.</w:t>
      </w:r>
    </w:p>
    <w:p>
      <w:r/>
      <w:r>
        <w:t>A Bíblia é autoritativa porque é divinamente autorizada; em seus próprios termos, “toda a Escritura Sagrada é inspirada por Deus” (</w:t>
      </w:r>
      <w:hyperlink r:id="rId3551">
        <w:r>
          <w:rPr>
            <w:color w:val="0000EE"/>
            <w:u w:val="single"/>
          </w:rPr>
          <w:t>2Tm 3.16</w:t>
        </w:r>
      </w:hyperlink>
      <w:r>
        <w:t>, NTLH). De acordo com esta passagem, todo o AT (ou qualquer elemento dele) é divinamente inspirado. A extensão da mesma afirmação ao NT não é expressamente declarada, mas não é meramente implícita. O Novo Testamento contém indicações de que seu conteúdo deveria ser visto, e de fato foi visto, como não menos autoritativo que o Antigo. Os escritos do apóstolo Paulo são catalogados como “outras partes das Escrituras Sagradas” (</w:t>
      </w:r>
      <w:hyperlink r:id="rId3552">
        <w:r>
          <w:rPr>
            <w:color w:val="0000EE"/>
            <w:u w:val="single"/>
          </w:rPr>
          <w:t>2Pe 3.15–16</w:t>
        </w:r>
      </w:hyperlink>
      <w:r>
        <w:t xml:space="preserve">). Sob o título de “Escritura”, </w:t>
      </w:r>
      <w:hyperlink r:id="rId3553">
        <w:r>
          <w:rPr>
            <w:color w:val="0000EE"/>
            <w:u w:val="single"/>
          </w:rPr>
          <w:t>1 Timóteo 5.18</w:t>
        </w:r>
      </w:hyperlink>
      <w:r>
        <w:t xml:space="preserve"> cita </w:t>
      </w:r>
      <w:hyperlink r:id="rId3554">
        <w:r>
          <w:rPr>
            <w:color w:val="0000EE"/>
            <w:u w:val="single"/>
          </w:rPr>
          <w:t>Lucas 10.7</w:t>
        </w:r>
      </w:hyperlink>
      <w:r>
        <w:t xml:space="preserve"> ao lado de </w:t>
      </w:r>
      <w:hyperlink r:id="rId1561">
        <w:r>
          <w:rPr>
            <w:color w:val="0000EE"/>
            <w:u w:val="single"/>
          </w:rPr>
          <w:t>Deuteronômio 25.4</w:t>
        </w:r>
      </w:hyperlink>
      <w:r>
        <w:t xml:space="preserve"> (cp. </w:t>
      </w:r>
      <w:hyperlink r:id="rId3555">
        <w:r>
          <w:rPr>
            <w:color w:val="0000EE"/>
            <w:u w:val="single"/>
          </w:rPr>
          <w:t>1Co 9.9</w:t>
        </w:r>
      </w:hyperlink>
      <w:r>
        <w:t>). O livro de Apocalipse, além disso, reivindica origem divina (</w:t>
      </w:r>
      <w:hyperlink r:id="rId2049">
        <w:r>
          <w:rPr>
            <w:color w:val="0000EE"/>
            <w:u w:val="single"/>
          </w:rPr>
          <w:t>1.1–3</w:t>
        </w:r>
      </w:hyperlink>
      <w:r>
        <w:t>) e emprega o termo “profecia” no sentido do AT (</w:t>
      </w:r>
      <w:hyperlink r:id="rId3556">
        <w:r>
          <w:rPr>
            <w:color w:val="0000EE"/>
            <w:u w:val="single"/>
          </w:rPr>
          <w:t>22.9–10,18</w:t>
        </w:r>
      </w:hyperlink>
      <w:r>
        <w:t>). Os apóstolos não distinguiam seu ensino falado e escrito, mas declararam expressamente sua proclamação inspirada como a palavra de Deus (</w:t>
      </w:r>
      <w:hyperlink r:id="rId3557">
        <w:r>
          <w:rPr>
            <w:color w:val="0000EE"/>
            <w:u w:val="single"/>
          </w:rPr>
          <w:t>1Co 4.1</w:t>
        </w:r>
      </w:hyperlink>
      <w:r>
        <w:t xml:space="preserve">; </w:t>
      </w:r>
      <w:hyperlink r:id="rId3558">
        <w:r>
          <w:rPr>
            <w:color w:val="0000EE"/>
            <w:u w:val="single"/>
          </w:rPr>
          <w:t>2Co 5.20</w:t>
        </w:r>
      </w:hyperlink>
      <w:r>
        <w:t xml:space="preserve">; </w:t>
      </w:r>
      <w:hyperlink r:id="rId3559">
        <w:r>
          <w:rPr>
            <w:color w:val="0000EE"/>
            <w:u w:val="single"/>
          </w:rPr>
          <w:t>1Ts 2.13</w:t>
        </w:r>
      </w:hyperlink>
      <w:r>
        <w:t>).</w:t>
      </w:r>
    </w:p>
    <w:p>
      <w:r/>
      <w:r>
        <w:t>A Bíblia continua sendo o livro mais amplamente impresso, traduzido e lido no mundo. Suas palavras foram valorizadas nos corações de multidões como nenhuma outra. Todos os que receberam seus dons de sabedoria e promessas de nova vida e poder eram inicialmente estranhos à sua mensagem redentora, e muitos eram hostis ao seu ensino e exigências espirituais. Em todas as gerações, seu poder de desafiar pessoas de todas as raças e terras foi demonstrado. Aqueles que valorizam o Livro porque ele sustenta a esperança futura, traz significado e poder ao presente, e correlaciona um passado mal utilizado com a graça perdoadora de Deus não experimentariam por muito tempo tais recompensas internas se as Escrituras não fossem conhecidas por eles como a verdade autoritativa, divinamente revelada. Para o cristão, as Escrituras são a Palavra de Deus dada na forma objetiva de verdades proposicionais através de profetas e apóstolos divinamente inspirados, e o Espírito Santo é o doador da fé através dessa palavra.</w:t>
      </w:r>
    </w:p>
    <w:p>
      <w:r/>
      <w:r>
        <w:t>Resumo</w:t>
      </w:r>
    </w:p>
    <w:p>
      <w:r/>
      <w:r>
        <w:t>Vários outros artigos importantes sobre a Bíblia estão listados a seguir:</w:t>
      </w:r>
    </w:p>
    <w:p>
      <w:r/>
      <w:r>
        <w:t xml:space="preserve">• </w:t>
      </w:r>
      <w:r>
        <w:t>Bíblia, Cânone da</w:t>
      </w:r>
    </w:p>
    <w:p>
      <w:r/>
      <w:r>
        <w:t xml:space="preserve">• </w:t>
      </w:r>
      <w:r>
        <w:t>Bíblia, Inspiração da</w:t>
      </w:r>
    </w:p>
    <w:p>
      <w:r/>
      <w:r>
        <w:t xml:space="preserve">• </w:t>
      </w:r>
      <w:r>
        <w:t>Bíblia, Manuscritos e texto da (Antigo Testamento)</w:t>
      </w:r>
    </w:p>
    <w:p>
      <w:r/>
      <w:r>
        <w:t xml:space="preserve">• </w:t>
      </w:r>
      <w:r>
        <w:t>Bíblia, Manuscritos e texto da (Novo Testamento)</w:t>
      </w:r>
    </w:p>
    <w:p>
      <w:r/>
      <w:r>
        <w:t xml:space="preserve">• </w:t>
      </w:r>
      <w:r>
        <w:t>Bíblia, Citações do Antigo Testamento no Novo Testamento</w:t>
      </w:r>
    </w:p>
    <w:p>
      <w:r/>
      <w:r>
        <w:t xml:space="preserve">• </w:t>
      </w:r>
      <w:r>
        <w:t>Bíblia, Versões da (Antigas)</w:t>
      </w:r>
      <w:r/>
      <w:r/>
    </w:p>
    <w:p>
      <w:r/>
    </w:p>
    <w:p>
      <w:pPr>
        <w:pStyle w:val="Heading2"/>
      </w:pPr>
      <w:r>
        <w:t>Bíblia*, Citações Do Antigo Testamento No Novo Testamento</w:t>
      </w:r>
      <w:r/>
    </w:p>
    <w:p>
      <w:r/>
      <w:r>
        <w:t>As passagens do AT citadas ou aludidas nos escritos do NT.</w:t>
      </w:r>
    </w:p>
    <w:p>
      <w:r/>
      <w:r>
        <w:t>Um dos problemas mais complexos na interpretação da Bíblia se encontra em entender como os escritores do NT citaram o AT. Obviamente, nada é tão formativo e autoritário para os escritores do NT como as Escrituras. No entanto, a maneira que eles usavam as passagens do AT muitas vezes parece estranha para os leitores modernos.</w:t>
      </w:r>
    </w:p>
    <w:p>
      <w:r/>
      <w:r>
        <w:t>O AT forneceu as palavras e as ideias para grande parte do NT. A menos que alguém tenha uma Bíblia que mostre as citações do AT de forma muito clara, estas podem não ser facilmente vistas, pois os escritores do NT muitas vezes utilizam as palavras do AT sem indicar que estão tomando-as emprestadas do AT. Há mais de 400 passagens do AT que são explicitamente citadas no NT. Quase metade delas é introduzida por meio de uma declaração como “as Escrituras dizem” para chamar a atenção para o fato de que a autoridade e o pensamento do AT estão sendo implementados. Para os outros, no entanto, as palavras do AT são entrelaçadas no tecido da própria declaração do autor.</w:t>
      </w:r>
    </w:p>
    <w:p>
      <w:r/>
      <w:r>
        <w:t>Além das mais de 400 passagens citadas explicitamente, há bem mais de 1.000 lugares onde há uma alusão a um texto, evento ou pessoa do AT. A diferença entre uma citação e uma alusão é ocasionalmente debatida para textos específicos, mas geralmente a distinção é que em uma citação o autor usa conscientemente as palavras de uma passagem do AT, enquanto, em uma alusão, ele tem os textos em mente, mas não está conscientemente tentando usar as palavras.</w:t>
      </w:r>
    </w:p>
    <w:p>
      <w:r/>
      <w:r>
        <w:t xml:space="preserve">As citações são fáceis de identificar se houver uma fórmula introdutória como “as Escrituras dizem” (como em </w:t>
      </w:r>
      <w:hyperlink r:id="rId3560">
        <w:r>
          <w:rPr>
            <w:color w:val="0000EE"/>
            <w:u w:val="single"/>
          </w:rPr>
          <w:t>Rm 10.11</w:t>
        </w:r>
      </w:hyperlink>
      <w:r>
        <w:t xml:space="preserve">; cf. </w:t>
      </w:r>
      <w:hyperlink r:id="rId3561">
        <w:r>
          <w:rPr>
            <w:color w:val="0000EE"/>
            <w:u w:val="single"/>
          </w:rPr>
          <w:t>Is 28.16</w:t>
        </w:r>
      </w:hyperlink>
      <w:r>
        <w:t>). Onde não há fórmula introdutória, é fácil ignorar citações explícitas (</w:t>
      </w:r>
      <w:hyperlink r:id="rId3562">
        <w:r>
          <w:rPr>
            <w:color w:val="0000EE"/>
            <w:u w:val="single"/>
          </w:rPr>
          <w:t>Rm 10.13</w:t>
        </w:r>
      </w:hyperlink>
      <w:r>
        <w:t xml:space="preserve">; cf. </w:t>
      </w:r>
      <w:hyperlink r:id="rId3563">
        <w:r>
          <w:rPr>
            <w:color w:val="0000EE"/>
            <w:u w:val="single"/>
          </w:rPr>
          <w:t>Jl 2.32</w:t>
        </w:r>
      </w:hyperlink>
      <w:r>
        <w:t xml:space="preserve">). As alusões são, é claro, ainda mais difíceis de reconhecer, mas muitas vezes fornecem a chave para a interpretação. Por exemplo, </w:t>
      </w:r>
      <w:hyperlink r:id="rId3564">
        <w:r>
          <w:rPr>
            <w:color w:val="0000EE"/>
            <w:u w:val="single"/>
          </w:rPr>
          <w:t>João 1.14–18</w:t>
        </w:r>
      </w:hyperlink>
      <w:r>
        <w:t xml:space="preserve">— com sua menção de glória, graça e verdade, Moisés e o fato de que ninguém viu a Deus — é muito mais fácil e profundamente entendido quando lido em conexão com </w:t>
      </w:r>
      <w:hyperlink r:id="rId3565">
        <w:r>
          <w:rPr>
            <w:color w:val="0000EE"/>
            <w:u w:val="single"/>
          </w:rPr>
          <w:t>Êxodo 33.17–34.8</w:t>
        </w:r>
      </w:hyperlink>
      <w:r>
        <w:t>. Na passagem de Êxodo, a glória de Deus, sua graça e verdade são reveladas a Moisés. O autor estava mostrando que uma revelação muito mais completa de Deus foi dada em Jesus comparada àquela que havia sido dada a Moisés no relato registrado em Êxodo.</w:t>
      </w:r>
    </w:p>
    <w:p>
      <w:r/>
      <w:r>
        <w:t xml:space="preserve">Além disso, uma luz significativa é derramada sobre muitas passagens do NT a partir de passagens do AT com ideias e palavras semelhantes, até mesmo em textos nos quais o autor do NT pode não ter estado conscientemente aludindo a esses textos (p. ex. </w:t>
      </w:r>
      <w:hyperlink r:id="rId3566">
        <w:r>
          <w:rPr>
            <w:color w:val="0000EE"/>
            <w:u w:val="single"/>
          </w:rPr>
          <w:t>Mt 16.19</w:t>
        </w:r>
      </w:hyperlink>
      <w:r>
        <w:t xml:space="preserve">; </w:t>
      </w:r>
      <w:hyperlink r:id="rId3567">
        <w:r>
          <w:rPr>
            <w:color w:val="0000EE"/>
            <w:u w:val="single"/>
          </w:rPr>
          <w:t>Is 22.22</w:t>
        </w:r>
      </w:hyperlink>
      <w:r>
        <w:t>). O que estava por trás do pensamento do autor não fica claro, mas, em tais casos, o NT reflete o pensamento, a cultura e a linguagem do período do AT.</w:t>
      </w:r>
    </w:p>
    <w:p>
      <w:pPr>
        <w:pStyle w:val="Heading3"/>
      </w:pPr>
      <w:r>
        <w:t>Distribuição das citações do Antigo Testamento</w:t>
      </w:r>
    </w:p>
    <w:p>
      <w:r/>
      <w:r>
        <w:t>Os livros do NT que mostram mais dependência do AT são Mateus, João, Romanos, Hebreus, 1 Pedro e Apocalipse. Contudo, tal declaração pode ser errônea, considerando que os escritores têm métodos diferentes.</w:t>
      </w:r>
    </w:p>
    <w:p>
      <w:r/>
      <w:r>
        <w:t>Mateus cita ou reflete conscientemente a redação das passagens do AT cerca de 62 vezes, das quais quase metade possui uma fórmula introdutória. O livro de Apocalipse, por outro lado, em nenhum momento cita o AT e não tem nenhuma fórmula introdutória, mas, provavelmente, é mais dependente do AT do que qualquer outro livro do NT. O livro de Hebreus cita ou reflete conscientemente o AT cerca de 59 vezes, mais uma vez, cerca de metade destas citações tem uma fórmula introdutória, enquanto o Evangelho de João o faz apenas 18 vezes, quase sempre com uma fórmula introdutória. Todavia, as alusões ao AT estão presentes em praticamente todas as páginas do Evangelho de João, tanto que alguns estudiosos argumentaram que ele modelou seu relato na narrativa do êxodo, nas festas judaicas, ou pessoas e imagens do AT. A carta de Paulo aos Romanos usa o AT 54 vezes (cerca de três quartos destes usos têm fórmulas introdutórias), mas em nenhum outro lugar o AT é utilizado com tanta frequência (p. ex., em 1Co 16 vezes, Gl 11 vezes, Fp uma vez, 1Ts uma vez).</w:t>
      </w:r>
    </w:p>
    <w:p>
      <w:r/>
      <w:r>
        <w:t>Adicionalmente à indicação de que Filipenses e 1 Tessalonicenses usam o AT apenas uma vez cada, alguns outros livros fazem uso explícito do AT raramente ou, até mesmo, nunca. Colossenses, Tito, Filemom e as cartas joaninas não usam o AT; 2 Timóteo e Judas usam o AT apenas uma vez; enquanto 2 Pedro e 1 Timóteo fazem uso dele duas vezes.</w:t>
      </w:r>
    </w:p>
    <w:p>
      <w:r/>
      <w:r>
        <w:t>O ponto importante é perceber que o AT é usado com mais frequência em circunstâncias nas quais o público está familiarizado com o AT ou quando o AT é essencial para descrever os eventos relacionados com Cristo e a igreja. Os livros que usam o AT com mais frequência (Mt, Jo, Rm, Hb, 1Pe, Ap) derivam ou são direcionados a um contexto judaico, ou, como no caso de Romanos e João, lidam especificamente com a relação entre judeus e cristãos. Os Evangelhos fazem uso bastante extensivo do AT porque a linguagem do AT é necessária para transmitir a identificação e importância de Jesus nos propósitos de Deus. Similarmente, 1 Pedro usa o AT com frequência porque o autor está tentando transmitir ao seu público perseguido que eles são o povo de Deus e os herdeiros das promessas de Deus.</w:t>
      </w:r>
    </w:p>
    <w:p>
      <w:pPr>
        <w:pStyle w:val="Heading3"/>
      </w:pPr>
      <w:r>
        <w:t>Problemas na interpretação</w:t>
      </w:r>
    </w:p>
    <w:p>
      <w:r/>
      <w:r>
        <w:t>Muitas vezes quando as pessoas pensam nas citações do AT no NT pensam apenas em termos de profecia. Alguns têm sido responsáveis por contar as declarações do AT que o NT aplica a Cristo e à igreja e então alegar esses textos do AT como previsões que provam que Jesus é o Messias. Tal procedimento está cheio de problemas, pois é muito simplista e não faz justiça nem ao AT, nem à maneira como o NT o usa. É claro, a igreja primitiva de fato usou o AT para mostrar que Jesus cumpriu as promessas de Deus e realizou a obra de Deus, mas o uso que a igreja fazia do AT era bastante variado e grande parte não pode ser classificada como profecia preditiva. A própria profecia é muito complexa para ser limitada ao pensamento preditivo.</w:t>
      </w:r>
    </w:p>
    <w:p>
      <w:r/>
      <w:r>
        <w:t xml:space="preserve">Alguns dos exemplos mais óbvios destas dificuldades aparecem no Evangelho de Mateus, embora eles não estejam de forma alguma confinados lá. </w:t>
      </w:r>
      <w:hyperlink r:id="rId3568">
        <w:r>
          <w:rPr>
            <w:color w:val="0000EE"/>
            <w:u w:val="single"/>
          </w:rPr>
          <w:t>Mateus 2.15</w:t>
        </w:r>
      </w:hyperlink>
      <w:r>
        <w:t xml:space="preserve">— “Do Egito chamei meu filho” — é uma citação de </w:t>
      </w:r>
      <w:hyperlink r:id="rId3569">
        <w:r>
          <w:rPr>
            <w:color w:val="0000EE"/>
            <w:u w:val="single"/>
          </w:rPr>
          <w:t>Os 11.1</w:t>
        </w:r>
      </w:hyperlink>
      <w:r>
        <w:t xml:space="preserve">, mas em Oseias essas palavras não se referem ao Messias. Elas se referem à nação de Israel. Da mesma forma, </w:t>
      </w:r>
      <w:hyperlink r:id="rId3570">
        <w:r>
          <w:rPr>
            <w:color w:val="0000EE"/>
            <w:u w:val="single"/>
          </w:rPr>
          <w:t>Mateus 2.18</w:t>
        </w:r>
      </w:hyperlink>
      <w:r>
        <w:t xml:space="preserve"> cita </w:t>
      </w:r>
      <w:hyperlink r:id="rId3571">
        <w:r>
          <w:rPr>
            <w:color w:val="0000EE"/>
            <w:u w:val="single"/>
          </w:rPr>
          <w:t>Jeremias 31.15</w:t>
        </w:r>
      </w:hyperlink>
      <w:r>
        <w:t xml:space="preserve"> (“Uma voz é ouvida em Ramá, chorando e em grande pranto, Raquel está chorando por seus filhos e negando-se a ser confortada, porque eles não existem mais”) como se referindo ao massacre dos bebês inocentes em Belém, mas em Jeremias o choro é sobre a destruição de Jerusalém. </w:t>
      </w:r>
      <w:hyperlink r:id="rId3572">
        <w:r>
          <w:rPr>
            <w:color w:val="0000EE"/>
            <w:u w:val="single"/>
          </w:rPr>
          <w:t>João 12.40</w:t>
        </w:r>
      </w:hyperlink>
      <w:r>
        <w:t xml:space="preserve"> vê </w:t>
      </w:r>
      <w:hyperlink r:id="rId3573">
        <w:r>
          <w:rPr>
            <w:color w:val="0000EE"/>
            <w:u w:val="single"/>
          </w:rPr>
          <w:t>Isaías 6.10</w:t>
        </w:r>
      </w:hyperlink>
      <w:r>
        <w:t xml:space="preserve"> como cumprido no ministério de Jesus, mas este verso lida com o chamado de Isaías, e não é uma previsão que diz respeito ao ministério do Messias. Os exemplos poderiam ser múltiplos, mas esses devem ser suficientes para ilustrar o problema. Por esta razão, os escritores do NT têm sido frequentemente acusados de distorcer as Escrituras, mas esta acusação é tão simplista quanto o pensamento de que toda profecia é preditiva, e, de fato, brotam do mesmo erro. Portanto, qualquer tentativa de entender o uso do AT no NT terá que lidar com a variedade de maneiras pelas quais o AT é usado e com os métodos que foram empregados pelos escritores do NT.</w:t>
      </w:r>
    </w:p>
    <w:p>
      <w:r/>
      <w:r>
        <w:t xml:space="preserve">Há ainda outras dificuldades que podem ser encontradas. Às vezes, o escritor do NT indicará que algum fato relacionado a Cristo é um cumprimento do AT, mas o texto explícito que o autor tinha em mente não pode ser identificado. Por exemplo, </w:t>
      </w:r>
      <w:hyperlink r:id="rId3574">
        <w:r>
          <w:rPr>
            <w:color w:val="0000EE"/>
            <w:u w:val="single"/>
          </w:rPr>
          <w:t>João 7.38</w:t>
        </w:r>
      </w:hyperlink>
      <w:r>
        <w:t xml:space="preserve"> introduz as palavras “Do seu coração correrão rios de água viva” com a declaração “como as Escrituras disseram”. Nenhum texto do AT se lê desta maneira. Possivelmente a alusão seja à rocha que forneceu água no deserto (</w:t>
      </w:r>
      <w:hyperlink r:id="rId3575">
        <w:r>
          <w:rPr>
            <w:color w:val="0000EE"/>
            <w:u w:val="single"/>
          </w:rPr>
          <w:t>Êx 17.1</w:t>
        </w:r>
      </w:hyperlink>
      <w:r>
        <w:t>), ou às águas que fluíam do novo templo (</w:t>
      </w:r>
      <w:hyperlink r:id="rId2330">
        <w:r>
          <w:rPr>
            <w:color w:val="0000EE"/>
            <w:u w:val="single"/>
          </w:rPr>
          <w:t>Zc 14.8</w:t>
        </w:r>
      </w:hyperlink>
      <w:r>
        <w:t xml:space="preserve">) ou, de forma mais geral, pode ser uma referência a </w:t>
      </w:r>
      <w:hyperlink r:id="rId3576">
        <w:r>
          <w:rPr>
            <w:color w:val="0000EE"/>
            <w:u w:val="single"/>
          </w:rPr>
          <w:t>Isaías 58.11</w:t>
        </w:r>
      </w:hyperlink>
      <w:r>
        <w:t>. Similarmente, a dificuldade em determinar o texto do AT por trás da profecia de que Cristo será chamado de nazareno (</w:t>
      </w:r>
      <w:hyperlink r:id="rId3577">
        <w:r>
          <w:rPr>
            <w:color w:val="0000EE"/>
            <w:u w:val="single"/>
          </w:rPr>
          <w:t>Mt 2.23</w:t>
        </w:r>
      </w:hyperlink>
      <w:r>
        <w:t xml:space="preserve">) é notória. Provavelmente a referência é a </w:t>
      </w:r>
      <w:hyperlink r:id="rId3578">
        <w:r>
          <w:rPr>
            <w:color w:val="0000EE"/>
            <w:u w:val="single"/>
          </w:rPr>
          <w:t>Isaías 11.1</w:t>
        </w:r>
      </w:hyperlink>
      <w:r>
        <w:t xml:space="preserve"> e à palavra hebraica ali traduzida como “ramo”, mas esta conexão não é facilmente feita e não é certeira. Um terceiro exemplo deste tipo de problema está em </w:t>
      </w:r>
      <w:hyperlink r:id="rId3579">
        <w:r>
          <w:rPr>
            <w:color w:val="0000EE"/>
            <w:u w:val="single"/>
          </w:rPr>
          <w:t>1 Coríntios 14.34</w:t>
        </w:r>
      </w:hyperlink>
      <w:r>
        <w:t xml:space="preserve">, onde Paulo indica que as mulheres deveriam estar em submissão assim como a Lei diz, mas não há nenhum texto do AT expressando esta ideia. Sua declaração possivelmente deve ser entendida como um resumo, em vez de uma citação ou alusão. Da mesma forma, em algumas ocasiões, um texto de AT é aparentemente atribuído ao livro errado de AT. Em </w:t>
      </w:r>
      <w:hyperlink r:id="rId3580">
        <w:r>
          <w:rPr>
            <w:color w:val="0000EE"/>
            <w:u w:val="single"/>
          </w:rPr>
          <w:t>Marcos 1.2–3</w:t>
        </w:r>
      </w:hyperlink>
      <w:r>
        <w:t xml:space="preserve"> uma citação do AT é atribuída a Isaías, mas a citação é, na verdade, uma fusão (ou mistura) de</w:t>
      </w:r>
      <w:hyperlink r:id="rId3581">
        <w:r>
          <w:rPr>
            <w:color w:val="0000EE"/>
            <w:u w:val="single"/>
          </w:rPr>
          <w:t>Êxodo 23.20</w:t>
        </w:r>
      </w:hyperlink>
      <w:r>
        <w:t xml:space="preserve">, </w:t>
      </w:r>
      <w:hyperlink r:id="rId3582">
        <w:r>
          <w:rPr>
            <w:color w:val="0000EE"/>
            <w:u w:val="single"/>
          </w:rPr>
          <w:t>Malaquias 3.1</w:t>
        </w:r>
      </w:hyperlink>
      <w:r>
        <w:t xml:space="preserve"> e </w:t>
      </w:r>
      <w:hyperlink r:id="rId3583">
        <w:r>
          <w:rPr>
            <w:color w:val="0000EE"/>
            <w:u w:val="single"/>
          </w:rPr>
          <w:t>Isaías 40.3</w:t>
        </w:r>
      </w:hyperlink>
      <w:r>
        <w:t xml:space="preserve">. </w:t>
      </w:r>
      <w:hyperlink r:id="rId3584">
        <w:r>
          <w:rPr>
            <w:color w:val="0000EE"/>
            <w:u w:val="single"/>
          </w:rPr>
          <w:t>Mateus 27.9–10</w:t>
        </w:r>
      </w:hyperlink>
      <w:r>
        <w:t xml:space="preserve"> cita uma passagem aparentemente se referindo a Jeremias, enquanto, na verdade, é dependente de </w:t>
      </w:r>
      <w:hyperlink r:id="rId3585">
        <w:r>
          <w:rPr>
            <w:color w:val="0000EE"/>
            <w:u w:val="single"/>
          </w:rPr>
          <w:t>Zacarias 11.13</w:t>
        </w:r>
      </w:hyperlink>
      <w:r>
        <w:t xml:space="preserve"> e pode ser melhor descrita como um resumo de </w:t>
      </w:r>
      <w:hyperlink r:id="rId3586">
        <w:r>
          <w:rPr>
            <w:color w:val="0000EE"/>
            <w:u w:val="single"/>
          </w:rPr>
          <w:t>Zacarias 11.12–13</w:t>
        </w:r>
      </w:hyperlink>
      <w:r>
        <w:t xml:space="preserve">, com certas palavras incluídas de </w:t>
      </w:r>
      <w:hyperlink r:id="rId3587">
        <w:r>
          <w:rPr>
            <w:color w:val="0000EE"/>
            <w:u w:val="single"/>
          </w:rPr>
          <w:t>Jeremias 32.6–9</w:t>
        </w:r>
      </w:hyperlink>
      <w:r>
        <w:t>. Contudo, esses dois exemplos não criam um grande problema, pois a determinação da origem das palavras pode ser devido ao seu uso em coleções de citações de vários profetas, e nestes casos os profetas mais proeminentes seriam usados para designar origem.</w:t>
      </w:r>
    </w:p>
    <w:p>
      <w:r/>
      <w:r>
        <w:t>As citações do texto do AT nem sempre são redigidas de acordo com a forma moderna do AT. Assim como hoje existem numerosas traduções da Bíblia, quando o NT estava sendo escrito, já havia várias formas do texto do AT. Com relação ao texto hebraico (pois o AT foi escrito principalmente em hebraico), havia diferentes tradições. Tais diferenças nas tradições hebraicas provavelmente foram relativamente pequenas. Por causa da crescente importância do aramaico após o cativeiro babilônico, além do grego após as conquistas de Alexandre, o Grande, o AT também era conhecido e usado nestas duas línguas enquanto o NT estava sendo escrito. De fato, os judeus passaram a achar necessário que, em seus cultos na sinagoga, após a leitura do AT hebraico, se parafraseasse a leitura em aramaico para que todos pudessem entender. Essas paráfrases foram mais tarde escritas e são conhecidas como Targuns. A tradução grega do AT que decorre do terceiro século a.C. é conhecida como Septuaginta, mas também havia outras traduções gregas em uso. Sendo este o caso, a redação de uma citação do NT não é idêntica em todos os detalhes ao texto do AT hebraico.</w:t>
      </w:r>
    </w:p>
    <w:p>
      <w:r/>
      <w:r>
        <w:t>Adicionado ao fato de que havia várias formas do texto conhecidas na Palestina do primeiro século d.C. está o complicado fator de que os escritores do NT muitas vezes não pretendiam citar o AT de maneira exata. O uso formal de aspas é um artifício moderno, e os escritores antigos não eram tão levados pela precisão técnica. Eles estavam mais preocupados com a intenção de um texto e, consequentemente, poderiam copiá-lo ou citá-lo textualmente, citá-lo de memória, usar ou adaptar parte de um verso, ou até mesmo mudar certas palavras enquanto pegavam o verso emprestado a fim de expressar seus pontos. (Os escritores do NT frequentemente usam as palavras do AT que descrevem as ações de Deus no passado para explicar o que ele fez em seu tempo). A importância de quaisquer diferenças entre a citação do NT e o AT depende do uso para o qual a citação é colocada e do grau em que o uso é dependente de diferenças textuais.</w:t>
      </w:r>
    </w:p>
    <w:p>
      <w:r/>
      <w:r>
        <w:t xml:space="preserve">Alguns exemplos devem ilustrar a natureza dessas dificuldades. </w:t>
      </w:r>
      <w:hyperlink r:id="rId3588">
        <w:r>
          <w:rPr>
            <w:color w:val="0000EE"/>
            <w:u w:val="single"/>
          </w:rPr>
          <w:t>Efésios 4.8</w:t>
        </w:r>
      </w:hyperlink>
      <w:r>
        <w:t xml:space="preserve"> cita o </w:t>
      </w:r>
      <w:hyperlink r:id="rId3589">
        <w:r>
          <w:rPr>
            <w:color w:val="0000EE"/>
            <w:u w:val="single"/>
          </w:rPr>
          <w:t>Salmo 68.18</w:t>
        </w:r>
      </w:hyperlink>
      <w:r>
        <w:t xml:space="preserve">. Considerando que no hebraico e na Septuaginta se lia: “Você ascendeu às alturas, levou cativo o cativeiro, recebeu presentes entre a humanidade”, Efésios registra o verso como “Depois que ele ascendeu às alturas, </w:t>
      </w:r>
      <w:r>
        <w:rPr>
          <w:i/>
        </w:rPr>
        <w:t>ele</w:t>
      </w:r>
      <w:r>
        <w:t xml:space="preserve"> levou cativo o cativeiro; </w:t>
      </w:r>
      <w:r>
        <w:rPr>
          <w:i/>
        </w:rPr>
        <w:t>ele</w:t>
      </w:r>
      <w:r>
        <w:t xml:space="preserve"> deu presentes aos homens”. Paulo está enfatizando que Cristo deu graça às pessoas para o ministério. Ele adaptou a redação do AT para expressar seu ponto ou citou uma leitura variante: "</w:t>
      </w:r>
      <w:r>
        <w:rPr>
          <w:i/>
        </w:rPr>
        <w:t>ele deu</w:t>
      </w:r>
      <w:r>
        <w:t xml:space="preserve"> presentes”. Algumas versões têm esta leitura. Na verdade, o Targum entende este verso como Moisés dando as palavras da lei aos filhos dos homens, e Paulo pode estar adaptando este entendimento à nova revelação que veio em Cristo.</w:t>
      </w:r>
    </w:p>
    <w:p>
      <w:r/>
      <w:hyperlink r:id="rId3590">
        <w:r>
          <w:rPr>
            <w:color w:val="0000EE"/>
            <w:u w:val="single"/>
          </w:rPr>
          <w:t>Mateus 1.23</w:t>
        </w:r>
      </w:hyperlink>
      <w:r>
        <w:t xml:space="preserve"> cita </w:t>
      </w:r>
      <w:hyperlink r:id="rId3591">
        <w:r>
          <w:rPr>
            <w:color w:val="0000EE"/>
            <w:u w:val="single"/>
          </w:rPr>
          <w:t>Isaías 7.14</w:t>
        </w:r>
      </w:hyperlink>
      <w:r>
        <w:t xml:space="preserve">, mas há diferenças distintas entre o texto hebraico e a redação em Mateus. O hebraico diz: “Eis que a jovem mulher engravidará e dará à luz um filho e você chamará seu nome Emanuel”, enquanto o texto de Mateus registra “Eis que a </w:t>
      </w:r>
      <w:r>
        <w:rPr>
          <w:i/>
        </w:rPr>
        <w:t>virgem</w:t>
      </w:r>
      <w:r>
        <w:t xml:space="preserve"> engravidará e dará à luz um filho, e </w:t>
      </w:r>
      <w:r>
        <w:rPr>
          <w:i/>
        </w:rPr>
        <w:t>eles</w:t>
      </w:r>
      <w:r>
        <w:t xml:space="preserve"> chamarão seu nome Emanuel”. A Septuaginta de fato tem a palavra específica “virgem”, como em Mateus, mas não é a fonte da citação de Mateus, uma vez que existem outras diferenças. Alguns argumentaram que a mudança de “você chamará” para “eles chamarão” foi feita por Mateus quando ele aplicou as palavras a Jesus. No entanto, há várias tradições conhecidas para esta parte da citação e o apoio parcial para a leitura em Mateus é fornecido pelo texto de Isaías encontrado entre os Manuscritos do Mar Morto.</w:t>
      </w:r>
    </w:p>
    <w:p>
      <w:r/>
      <w:hyperlink r:id="rId3592">
        <w:r>
          <w:rPr>
            <w:color w:val="0000EE"/>
            <w:u w:val="single"/>
          </w:rPr>
          <w:t>Romanos 11.26–27</w:t>
        </w:r>
      </w:hyperlink>
      <w:r>
        <w:t xml:space="preserve"> é uma fusão de </w:t>
      </w:r>
      <w:hyperlink r:id="rId3593">
        <w:r>
          <w:rPr>
            <w:color w:val="0000EE"/>
            <w:u w:val="single"/>
          </w:rPr>
          <w:t>Isaías 59.20–21</w:t>
        </w:r>
      </w:hyperlink>
      <w:r>
        <w:t xml:space="preserve"> e parte de </w:t>
      </w:r>
      <w:hyperlink r:id="rId3594">
        <w:r>
          <w:rPr>
            <w:color w:val="0000EE"/>
            <w:u w:val="single"/>
          </w:rPr>
          <w:t>Isaías 27.9</w:t>
        </w:r>
      </w:hyperlink>
      <w:r>
        <w:t xml:space="preserve">, mas há diferenças importantes. Uma delas é que o AT tem “o redentor virá a Sião”, enquanto que Romanos tem “o libertador virá </w:t>
      </w:r>
      <w:r>
        <w:rPr>
          <w:i/>
        </w:rPr>
        <w:t>de</w:t>
      </w:r>
      <w:r>
        <w:t xml:space="preserve"> Sião”. A mudança para “de Sião” poderia indicar que Paulo tinha uma tradição textual diferente, poderia ser o resultado de uma mudança intencional de Paulo, ou, mais provavelmente, poderia refletir a redação do </w:t>
      </w:r>
      <w:hyperlink r:id="rId3595">
        <w:r>
          <w:rPr>
            <w:color w:val="0000EE"/>
            <w:u w:val="single"/>
          </w:rPr>
          <w:t>Salmo 14.7</w:t>
        </w:r>
      </w:hyperlink>
      <w:r>
        <w:t>.</w:t>
      </w:r>
    </w:p>
    <w:p>
      <w:r/>
      <w:r>
        <w:t>Uma consciência das dificuldades envolvidos nas citações do AT pelos escritores do NT proibirá uma abordagem simplista e prevenirá conclusões precipitadas. Importa perguntar não apenas qual texto foi usado, mas também qual forma do texto foi usada, como é obviamente essencial em qualquer estudo sério. Ademais, é necessário compreender a possibilidade de que os escritores do NT conheciam formas de um texto que agora estão perdidas.</w:t>
      </w:r>
    </w:p>
    <w:p>
      <w:pPr>
        <w:pStyle w:val="Heading3"/>
      </w:pPr>
      <w:r>
        <w:t>Os métodos dos escritores do Novo Testamento</w:t>
      </w:r>
    </w:p>
    <w:p>
      <w:r/>
      <w:r>
        <w:t xml:space="preserve">Os métodos usados pelos escritores do NT não eram únicos para eles. Muitos desses métodos também foram empregados no judaísmo do primeiro século. Na verdade, tanto a técnica usada nas citações quanto a compreensão do próprio texto do AT, em muitos casos, são paralelas no judaísmo. Por exemplo, do ponto de vista da técnica usada nas citações, os mesmos tipos de fórmulas de introdução são usados nos Manuscritos do Mar Morto, nos escritos rabínicos e em outros lugares. A técnica rabínica de “enfileiramento de pérolas”, isto é, de aplicar versos de várias partes do AT (a Lei, os Profetas, os Escritos) a um determinado assunto, pode ser vista especialmente nos escritos de Paulo (observe </w:t>
      </w:r>
      <w:hyperlink r:id="rId3596">
        <w:r>
          <w:rPr>
            <w:color w:val="0000EE"/>
            <w:u w:val="single"/>
          </w:rPr>
          <w:t>Rm 9.12–19</w:t>
        </w:r>
      </w:hyperlink>
      <w:r>
        <w:t xml:space="preserve"> ou </w:t>
      </w:r>
      <w:hyperlink r:id="rId3597">
        <w:r>
          <w:rPr>
            <w:color w:val="0000EE"/>
            <w:u w:val="single"/>
          </w:rPr>
          <w:t>11.8–10</w:t>
        </w:r>
      </w:hyperlink>
      <w:r>
        <w:t xml:space="preserve">). Consideravelmente relacionada está a prática de usar citações que contêm uma palavra-chave ou palavras-chave (observe </w:t>
      </w:r>
      <w:hyperlink r:id="rId3598">
        <w:r>
          <w:rPr>
            <w:color w:val="0000EE"/>
            <w:u w:val="single"/>
          </w:rPr>
          <w:t>1Pe 2.6–8</w:t>
        </w:r>
      </w:hyperlink>
      <w:r>
        <w:t xml:space="preserve">, que reúne citações usando a palavra “pedra”, ou </w:t>
      </w:r>
      <w:hyperlink r:id="rId3599">
        <w:r>
          <w:rPr>
            <w:color w:val="0000EE"/>
            <w:u w:val="single"/>
          </w:rPr>
          <w:t>Rm 15.9–12</w:t>
        </w:r>
      </w:hyperlink>
      <w:r>
        <w:t>, que une versos do AT que se referem às “nações”).</w:t>
      </w:r>
    </w:p>
    <w:p>
      <w:r/>
      <w:r>
        <w:t xml:space="preserve">Os métodos usados no NT para interpretar um texto do AT também são encontrados no judaísmo. Algumas passagens interpretam o AT “literalmente”, como as respostas de Jesus durante a tentação (veja as citações de </w:t>
      </w:r>
      <w:hyperlink r:id="rId341">
        <w:r>
          <w:rPr>
            <w:color w:val="0000EE"/>
            <w:u w:val="single"/>
          </w:rPr>
          <w:t>Dt 8.3</w:t>
        </w:r>
      </w:hyperlink>
      <w:r>
        <w:t xml:space="preserve">; </w:t>
      </w:r>
      <w:hyperlink r:id="rId3600">
        <w:r>
          <w:rPr>
            <w:color w:val="0000EE"/>
            <w:u w:val="single"/>
          </w:rPr>
          <w:t>6.16</w:t>
        </w:r>
      </w:hyperlink>
      <w:r>
        <w:t xml:space="preserve">; </w:t>
      </w:r>
      <w:hyperlink r:id="rId3601">
        <w:r>
          <w:rPr>
            <w:color w:val="0000EE"/>
            <w:u w:val="single"/>
          </w:rPr>
          <w:t>6.13</w:t>
        </w:r>
      </w:hyperlink>
      <w:r>
        <w:t xml:space="preserve">; em </w:t>
      </w:r>
      <w:hyperlink r:id="rId3602">
        <w:r>
          <w:rPr>
            <w:color w:val="0000EE"/>
            <w:u w:val="single"/>
          </w:rPr>
          <w:t>Mt 4.3–10</w:t>
        </w:r>
      </w:hyperlink>
      <w:r>
        <w:t xml:space="preserve">), seus ensinamentos sobre o casamento baseados em </w:t>
      </w:r>
      <w:hyperlink r:id="rId3603">
        <w:r>
          <w:rPr>
            <w:color w:val="0000EE"/>
            <w:u w:val="single"/>
          </w:rPr>
          <w:t>Gênesis 2.24</w:t>
        </w:r>
      </w:hyperlink>
      <w:r>
        <w:t xml:space="preserve"> (</w:t>
      </w:r>
      <w:hyperlink r:id="rId3604">
        <w:r>
          <w:rPr>
            <w:color w:val="0000EE"/>
            <w:u w:val="single"/>
          </w:rPr>
          <w:t>Mt 19.5</w:t>
        </w:r>
      </w:hyperlink>
      <w:r>
        <w:t xml:space="preserve">), ou o uso de </w:t>
      </w:r>
      <w:hyperlink r:id="rId3605">
        <w:r>
          <w:rPr>
            <w:color w:val="0000EE"/>
            <w:u w:val="single"/>
          </w:rPr>
          <w:t>Habacuque 2.4</w:t>
        </w:r>
      </w:hyperlink>
      <w:r>
        <w:t xml:space="preserve"> (</w:t>
      </w:r>
      <w:hyperlink r:id="rId3247">
        <w:r>
          <w:rPr>
            <w:color w:val="0000EE"/>
            <w:u w:val="single"/>
          </w:rPr>
          <w:t>Rm 1.17</w:t>
        </w:r>
      </w:hyperlink>
      <w:r>
        <w:t xml:space="preserve">) ou </w:t>
      </w:r>
      <w:hyperlink r:id="rId793">
        <w:r>
          <w:rPr>
            <w:color w:val="0000EE"/>
            <w:u w:val="single"/>
          </w:rPr>
          <w:t>Gênesis 15.6</w:t>
        </w:r>
      </w:hyperlink>
      <w:r>
        <w:t xml:space="preserve"> (</w:t>
      </w:r>
      <w:hyperlink r:id="rId3606">
        <w:r>
          <w:rPr>
            <w:color w:val="0000EE"/>
            <w:u w:val="single"/>
          </w:rPr>
          <w:t>Rm 4.3–9</w:t>
        </w:r>
      </w:hyperlink>
      <w:r>
        <w:t xml:space="preserve">). Muitos mais desses exemplos poderiam ser dados. Com relação à profecia, algumas dessas declarações são cumpridas de uma maneira “literal” ou “direta” de acordo com a intenção do AT (p. ex., </w:t>
      </w:r>
      <w:hyperlink r:id="rId3333">
        <w:r>
          <w:rPr>
            <w:color w:val="0000EE"/>
            <w:u w:val="single"/>
          </w:rPr>
          <w:t>Mq 5.2</w:t>
        </w:r>
      </w:hyperlink>
      <w:r>
        <w:t xml:space="preserve">, Belém como o local de nascimento do Messias; </w:t>
      </w:r>
      <w:hyperlink r:id="rId3607">
        <w:r>
          <w:rPr>
            <w:color w:val="0000EE"/>
            <w:u w:val="single"/>
          </w:rPr>
          <w:t>Mt 2.4–6</w:t>
        </w:r>
      </w:hyperlink>
      <w:r>
        <w:t xml:space="preserve">). </w:t>
      </w:r>
      <w:hyperlink r:id="rId833">
        <w:r>
          <w:rPr>
            <w:color w:val="0000EE"/>
            <w:u w:val="single"/>
          </w:rPr>
          <w:t>Jeremias 31.31–34</w:t>
        </w:r>
      </w:hyperlink>
      <w:r>
        <w:t>, a promessa da nova aliança, é visto como diretamente cumprido em Cristo (</w:t>
      </w:r>
      <w:hyperlink r:id="rId3608">
        <w:r>
          <w:rPr>
            <w:color w:val="0000EE"/>
            <w:u w:val="single"/>
          </w:rPr>
          <w:t>Hb 8.7–13</w:t>
        </w:r>
      </w:hyperlink>
      <w:r>
        <w:t xml:space="preserve">). A profecia de </w:t>
      </w:r>
      <w:hyperlink r:id="rId845">
        <w:r>
          <w:rPr>
            <w:color w:val="0000EE"/>
            <w:u w:val="single"/>
          </w:rPr>
          <w:t>Joel 2.28–32</w:t>
        </w:r>
      </w:hyperlink>
      <w:r>
        <w:t xml:space="preserve"> sobre o derramamento do Espírito do Senhor é diretamente cumprida no evento de Pentecostes (</w:t>
      </w:r>
      <w:hyperlink r:id="rId3609">
        <w:r>
          <w:rPr>
            <w:color w:val="0000EE"/>
            <w:u w:val="single"/>
          </w:rPr>
          <w:t>Atos 2.17–21</w:t>
        </w:r>
      </w:hyperlink>
      <w:r>
        <w:t>), mas a transformação do sol em trevas e a lua em sangue certamente não são entendidas literalmente em conexão com este evento.</w:t>
      </w:r>
    </w:p>
    <w:p>
      <w:r/>
      <w:r>
        <w:t xml:space="preserve">Um método diferente de interpretação é baseado no conceito de </w:t>
      </w:r>
      <w:r>
        <w:rPr>
          <w:i/>
        </w:rPr>
        <w:t>solidariedade corporativa.</w:t>
      </w:r>
      <w:r>
        <w:t xml:space="preserve"> Esta expressão técnica é uma tentativa de transmitir a ideia de que os indivíduos entre o povo de Deus não são meros indivíduos; eles fazem parte de um todo maior. Consequentemente, o que é dito sobre o indivíduo pode se aplicar ao todo e vice-versa. Esta é a razão pela qual o Servo do Senhor em Isaías é visto tanto como a nação (</w:t>
      </w:r>
      <w:hyperlink r:id="rId3258">
        <w:r>
          <w:rPr>
            <w:color w:val="0000EE"/>
            <w:u w:val="single"/>
          </w:rPr>
          <w:t>44.1</w:t>
        </w:r>
      </w:hyperlink>
      <w:r>
        <w:t>) quanto como um indivíduo (</w:t>
      </w:r>
      <w:hyperlink r:id="rId3610">
        <w:r>
          <w:rPr>
            <w:color w:val="0000EE"/>
            <w:u w:val="single"/>
          </w:rPr>
          <w:t>52.13–53.12</w:t>
        </w:r>
      </w:hyperlink>
      <w:r>
        <w:t>). Além disso, o rei é ocasionalmente visto como representante da nação. Os lugares mais fáceis de se observar o conceito de solidariedade corporativa se encontram no efeito do pecado de Acã em todo o povo (</w:t>
      </w:r>
      <w:hyperlink r:id="rId3611">
        <w:r>
          <w:rPr>
            <w:color w:val="0000EE"/>
            <w:u w:val="single"/>
          </w:rPr>
          <w:t>Js 7</w:t>
        </w:r>
      </w:hyperlink>
      <w:r>
        <w:t>) ou o pecado de Davi ao realizar o censo do povo (</w:t>
      </w:r>
      <w:hyperlink r:id="rId3612">
        <w:r>
          <w:rPr>
            <w:color w:val="0000EE"/>
            <w:u w:val="single"/>
          </w:rPr>
          <w:t>1Cr 21.3–8</w:t>
        </w:r>
      </w:hyperlink>
      <w:r>
        <w:t>).</w:t>
      </w:r>
    </w:p>
    <w:p>
      <w:r/>
      <w:r>
        <w:t xml:space="preserve">A </w:t>
      </w:r>
      <w:r>
        <w:rPr>
          <w:i/>
        </w:rPr>
        <w:t>correspondência na história</w:t>
      </w:r>
      <w:r>
        <w:t xml:space="preserve"> não é tanto um método de interpretação, mas sim, uma maneira de se pensar sobre Deus. Ela assume que as coisas que acontecem com o povo de Deus são as coisas que já aconteceram com as gerações anteriores, e que Deus é fiel e opera no presente da mesma maneira que fez no passado. Consequentemente, as tribulações e a libertação do povo de Deus são muitas vezes expressas com palavras emprestadas dos relatos anteriores do povo de Deus. Isaías descreve a antecipada libertação em termos de um segundo êxodo (</w:t>
      </w:r>
      <w:hyperlink r:id="rId3613">
        <w:r>
          <w:rPr>
            <w:color w:val="0000EE"/>
            <w:u w:val="single"/>
          </w:rPr>
          <w:t>11.15–16</w:t>
        </w:r>
      </w:hyperlink>
      <w:r>
        <w:t>). Ezequiel descreve o rei estabelecido sobre o povo em termos de um segundo Davi (</w:t>
      </w:r>
      <w:hyperlink r:id="rId3614">
        <w:r>
          <w:rPr>
            <w:color w:val="0000EE"/>
            <w:u w:val="single"/>
          </w:rPr>
          <w:t>Ez 37.25</w:t>
        </w:r>
      </w:hyperlink>
      <w:r>
        <w:t xml:space="preserve">). No NT, </w:t>
      </w:r>
      <w:hyperlink r:id="rId419">
        <w:r>
          <w:rPr>
            <w:color w:val="0000EE"/>
            <w:u w:val="single"/>
          </w:rPr>
          <w:t>Apocalipse 22</w:t>
        </w:r>
      </w:hyperlink>
      <w:r>
        <w:t xml:space="preserve"> descreve os novos céus e a nova terra em termos do Jardim do Éden (</w:t>
      </w:r>
      <w:hyperlink r:id="rId2066">
        <w:r>
          <w:rPr>
            <w:color w:val="0000EE"/>
            <w:u w:val="single"/>
          </w:rPr>
          <w:t>Gn 2–3</w:t>
        </w:r>
      </w:hyperlink>
      <w:r>
        <w:t>). Às vezes, esta técnica é descrita como “tipologia”, mas este termo já foi usado para tantas interpretações questionáveis que pode ser enganoso. A coisa mais importante sobre este conceito é que se trata de uma visão de Deus e sua obra entre seu povo.</w:t>
      </w:r>
    </w:p>
    <w:p>
      <w:r/>
      <w:r>
        <w:t xml:space="preserve">Com esses dois conceitos, a maneira que o AT é citado no NT pode ser entendida. A convicção de que Jesus era o libertador prometido e que os últimos dias começaram em seu ministério é evidente em todos os lugares. A citação de </w:t>
      </w:r>
      <w:hyperlink r:id="rId3569">
        <w:r>
          <w:rPr>
            <w:color w:val="0000EE"/>
            <w:u w:val="single"/>
          </w:rPr>
          <w:t>Oseias 11.1</w:t>
        </w:r>
      </w:hyperlink>
      <w:r>
        <w:t xml:space="preserve"> pode ser usada em </w:t>
      </w:r>
      <w:hyperlink r:id="rId3568">
        <w:r>
          <w:rPr>
            <w:color w:val="0000EE"/>
            <w:u w:val="single"/>
          </w:rPr>
          <w:t>Mateus 2.15</w:t>
        </w:r>
      </w:hyperlink>
      <w:r>
        <w:t xml:space="preserve"> por causa da solidariedade corporativa e correspondência na história. O que foi dito a respeito da nação é uma verdade sobre aquele que é seu representante, e há correspondência em suas respectivas histórias. </w:t>
      </w:r>
      <w:hyperlink r:id="rId3571">
        <w:r>
          <w:rPr>
            <w:color w:val="0000EE"/>
            <w:u w:val="single"/>
          </w:rPr>
          <w:t>Jeremias 31.15</w:t>
        </w:r>
      </w:hyperlink>
      <w:r>
        <w:t xml:space="preserve"> pode ser usado em </w:t>
      </w:r>
      <w:hyperlink r:id="rId3570">
        <w:r>
          <w:rPr>
            <w:color w:val="0000EE"/>
            <w:u w:val="single"/>
          </w:rPr>
          <w:t>Mateus 2:18</w:t>
        </w:r>
      </w:hyperlink>
      <w:r>
        <w:t xml:space="preserve"> por causa da correspondência na história e especialmente devido a Jeremias aguardar a intenção que Deus tinha para Israel e profetizar uma nova aliança (</w:t>
      </w:r>
      <w:hyperlink r:id="rId3615">
        <w:r>
          <w:rPr>
            <w:color w:val="0000EE"/>
            <w:u w:val="single"/>
          </w:rPr>
          <w:t>31.17,31–34</w:t>
        </w:r>
      </w:hyperlink>
      <w:r>
        <w:t xml:space="preserve">). Mateus viu não apenas a correspondência na história, mas acreditava que em Jesus esta salvação prometida havia sido concedida. </w:t>
      </w:r>
      <w:hyperlink r:id="rId3572">
        <w:r>
          <w:rPr>
            <w:color w:val="0000EE"/>
            <w:u w:val="single"/>
          </w:rPr>
          <w:t>João 12.40</w:t>
        </w:r>
      </w:hyperlink>
      <w:r>
        <w:t xml:space="preserve"> pode citar </w:t>
      </w:r>
      <w:hyperlink r:id="rId3573">
        <w:r>
          <w:rPr>
            <w:color w:val="0000EE"/>
            <w:u w:val="single"/>
          </w:rPr>
          <w:t>Isaías 6.10</w:t>
        </w:r>
      </w:hyperlink>
      <w:r>
        <w:t xml:space="preserve"> em relação ao ministério de Jesus, não porque ele altera o significado do texto do AT, mas sim porque João viu que aquilo que havia acontecido com o mensageiro de Deus no passado aconteceu novamente e, desta vez, </w:t>
      </w:r>
      <w:r>
        <w:rPr>
          <w:i/>
        </w:rPr>
        <w:t>completamente</w:t>
      </w:r>
      <w:r>
        <w:t xml:space="preserve"> no ministério de Jesus. Os exemplos de tais correspondências na história são numerosos.</w:t>
      </w:r>
    </w:p>
    <w:p>
      <w:r/>
      <w:r>
        <w:t xml:space="preserve">Existem outros textos onde parece haver uma </w:t>
      </w:r>
      <w:r>
        <w:rPr>
          <w:i/>
        </w:rPr>
        <w:t>atualização</w:t>
      </w:r>
      <w:r>
        <w:t xml:space="preserve"> do texto do AT. Algumas citações parecem ser “vividas” no ministério de Jesus. Por causa de sua convicção sobre Jesus e seu reino, os autores do NT muitas vezes viam certos textos do AT como apropriados e trazidos à vida por Jesus. O </w:t>
      </w:r>
      <w:hyperlink r:id="rId3616">
        <w:r>
          <w:rPr>
            <w:color w:val="0000EE"/>
            <w:u w:val="single"/>
          </w:rPr>
          <w:t>Salmo 118.22</w:t>
        </w:r>
      </w:hyperlink>
      <w:r>
        <w:t xml:space="preserve"> não tinha a intenção de ser uma profecia do Messias, mas Jesus viu este texto como descritivo de seu ministério (</w:t>
      </w:r>
      <w:hyperlink r:id="rId3543">
        <w:r>
          <w:rPr>
            <w:color w:val="0000EE"/>
            <w:u w:val="single"/>
          </w:rPr>
          <w:t>Mt 21.42</w:t>
        </w:r>
      </w:hyperlink>
      <w:r>
        <w:t>), e a igreja primitiva viu este verso como atualizado em sua morte e ressurreição (</w:t>
      </w:r>
      <w:hyperlink r:id="rId3617">
        <w:r>
          <w:rPr>
            <w:color w:val="0000EE"/>
            <w:u w:val="single"/>
          </w:rPr>
          <w:t>Atos 4.11</w:t>
        </w:r>
      </w:hyperlink>
      <w:r>
        <w:t xml:space="preserve">). </w:t>
      </w:r>
      <w:hyperlink r:id="rId3618">
        <w:r>
          <w:rPr>
            <w:color w:val="0000EE"/>
            <w:u w:val="single"/>
          </w:rPr>
          <w:t>Isaías 53</w:t>
        </w:r>
      </w:hyperlink>
      <w:r>
        <w:t xml:space="preserve"> é outro texto que o NT vê como atualizado no ministério de Jesus (veja </w:t>
      </w:r>
      <w:hyperlink r:id="rId3619">
        <w:r>
          <w:rPr>
            <w:color w:val="0000EE"/>
            <w:u w:val="single"/>
          </w:rPr>
          <w:t>Atos 8.32–35</w:t>
        </w:r>
      </w:hyperlink>
      <w:r>
        <w:t xml:space="preserve"> e </w:t>
      </w:r>
      <w:hyperlink r:id="rId3620">
        <w:r>
          <w:rPr>
            <w:color w:val="0000EE"/>
            <w:u w:val="single"/>
          </w:rPr>
          <w:t>1Pe 2.22–25</w:t>
        </w:r>
      </w:hyperlink>
      <w:r>
        <w:t xml:space="preserve">). Alguns cristãos teriam visto o </w:t>
      </w:r>
      <w:hyperlink r:id="rId638">
        <w:r>
          <w:rPr>
            <w:color w:val="0000EE"/>
            <w:u w:val="single"/>
          </w:rPr>
          <w:t>salmo 22</w:t>
        </w:r>
      </w:hyperlink>
      <w:r>
        <w:t xml:space="preserve"> como uma profecia da crucificação de Jesus, mas, em vez disso, parece ser o lamento de um justo sofredor do AT. Através da correspondência na história, e porque os cristãos viram grande parte da situação do salmista atualizada na crucificação de Jesus, o salmo se tornou a maneira mais fácil de descrever o que mais uma vez havia acontecido com o sofredor justo de Deus. As palavras de </w:t>
      </w:r>
      <w:hyperlink r:id="rId3583">
        <w:r>
          <w:rPr>
            <w:color w:val="0000EE"/>
            <w:u w:val="single"/>
          </w:rPr>
          <w:t>Isaías 40.3</w:t>
        </w:r>
      </w:hyperlink>
      <w:r>
        <w:t xml:space="preserve"> descrevem o ministério de João Batista (</w:t>
      </w:r>
      <w:hyperlink r:id="rId3621">
        <w:r>
          <w:rPr>
            <w:color w:val="0000EE"/>
            <w:u w:val="single"/>
          </w:rPr>
          <w:t>Mt 3.3</w:t>
        </w:r>
      </w:hyperlink>
      <w:r>
        <w:t>). Os judeus haviam chegado a ver este verso como uma profecia da salvação de Deus do fim dos tempos, e a igreja primitiva viu João Batista cumprindo a tarefa deste antecessor que havia de vir. Lucas fez esta identificação (</w:t>
      </w:r>
      <w:hyperlink r:id="rId3622">
        <w:r>
          <w:rPr>
            <w:color w:val="0000EE"/>
            <w:u w:val="single"/>
          </w:rPr>
          <w:t>Lc 3.4–6</w:t>
        </w:r>
      </w:hyperlink>
      <w:r>
        <w:t>), mas ele aplicou o mesmo papel aos discípulos de Jesus (</w:t>
      </w:r>
      <w:hyperlink r:id="rId1913">
        <w:r>
          <w:rPr>
            <w:color w:val="0000EE"/>
            <w:u w:val="single"/>
          </w:rPr>
          <w:t>9.52</w:t>
        </w:r>
      </w:hyperlink>
      <w:r>
        <w:t xml:space="preserve">; </w:t>
      </w:r>
      <w:hyperlink r:id="rId3623">
        <w:r>
          <w:rPr>
            <w:color w:val="0000EE"/>
            <w:u w:val="single"/>
          </w:rPr>
          <w:t>10.1</w:t>
        </w:r>
      </w:hyperlink>
      <w:r>
        <w:t xml:space="preserve">). Este parece ser mais um exemplo de atualização e correspondência na história. Em outros lugares, a igreja aplicou aos cristãos algumas ideias que foram entendidas primeiramente relacionadas a Cristo (p. ex., a pedra em </w:t>
      </w:r>
      <w:hyperlink r:id="rId3624">
        <w:r>
          <w:rPr>
            <w:color w:val="0000EE"/>
            <w:u w:val="single"/>
          </w:rPr>
          <w:t>1Pe 2.4–5</w:t>
        </w:r>
      </w:hyperlink>
      <w:r>
        <w:t xml:space="preserve">; o ministério do Servo Sofredor em </w:t>
      </w:r>
      <w:hyperlink r:id="rId3625">
        <w:r>
          <w:rPr>
            <w:color w:val="0000EE"/>
            <w:u w:val="single"/>
          </w:rPr>
          <w:t>Atos 13.46–47</w:t>
        </w:r>
      </w:hyperlink>
      <w:r>
        <w:t>).</w:t>
      </w:r>
    </w:p>
    <w:p>
      <w:r/>
      <w:r>
        <w:t>O termo mais conveniente para descrever a maneira como o AT é “cumprido” em Cristo é dizer que o AT encontra seu clímax em Jesus. Mesmo onde citações reais não estão envolvidas, as ideias do AT, como a do profeta, do sacerdote ou do rei têm o seu clímax nele como o ideal e a encarnação de todos os modelos do AT. Ele poderia dizer às autoridades religiosas que “aquele que é maior do que Salomão está aqui” (</w:t>
      </w:r>
      <w:hyperlink r:id="rId3626">
        <w:r>
          <w:rPr>
            <w:color w:val="0000EE"/>
            <w:u w:val="single"/>
          </w:rPr>
          <w:t>Mt 12.42</w:t>
        </w:r>
      </w:hyperlink>
      <w:r>
        <w:t>) ou “aquele que é maior do que o templo está aqui” (</w:t>
      </w:r>
      <w:hyperlink r:id="rId406">
        <w:r>
          <w:rPr>
            <w:color w:val="0000EE"/>
            <w:u w:val="single"/>
          </w:rPr>
          <w:t>Mt 12.6</w:t>
        </w:r>
      </w:hyperlink>
      <w:r>
        <w:t>). Essas passagens envolvendo correspondência na história ou atualização também levam à convicção de que ele é o clímax das Escrituras do AT.</w:t>
      </w:r>
    </w:p>
    <w:p>
      <w:pPr>
        <w:pStyle w:val="Heading3"/>
      </w:pPr>
      <w:r>
        <w:t>Os propósitos do uso do Antigo Testamento</w:t>
      </w:r>
    </w:p>
    <w:p>
      <w:r/>
      <w:r>
        <w:t>A variedade de métodos de interpretação e aplicação do AT é paralela ao fato de que o AT foi usado para uma variedade de propósitos. As pessoas tendem a pensar apenas em termos do uso do AT para mostrar que Jesus era o Messias, mas há uma série de outros usos com uma variedade de objetivos. Muitos textos do AT são usados para mostrar que Jesus é o Messias, o cumprimento das promessas do AT (</w:t>
      </w:r>
      <w:hyperlink r:id="rId3253">
        <w:r>
          <w:rPr>
            <w:color w:val="0000EE"/>
            <w:u w:val="single"/>
          </w:rPr>
          <w:t>Lc 4.16–21</w:t>
        </w:r>
      </w:hyperlink>
      <w:r>
        <w:t>). Sem diminuir a ênfase do cumprimento, no entanto, outros versos são aplicados a Jesus para outros propósitos: evangelizar (</w:t>
      </w:r>
      <w:hyperlink r:id="rId3619">
        <w:r>
          <w:rPr>
            <w:color w:val="0000EE"/>
            <w:u w:val="single"/>
          </w:rPr>
          <w:t>Atos 8.32–35</w:t>
        </w:r>
      </w:hyperlink>
      <w:r>
        <w:t>); demonstrar ou convencer (</w:t>
      </w:r>
      <w:hyperlink r:id="rId3627">
        <w:r>
          <w:rPr>
            <w:color w:val="0000EE"/>
            <w:u w:val="single"/>
          </w:rPr>
          <w:t>Atos 13.33–35</w:t>
        </w:r>
      </w:hyperlink>
      <w:r>
        <w:t>); repreender (</w:t>
      </w:r>
      <w:hyperlink r:id="rId3628">
        <w:r>
          <w:rPr>
            <w:color w:val="0000EE"/>
            <w:u w:val="single"/>
          </w:rPr>
          <w:t>Mc 7.6–7</w:t>
        </w:r>
      </w:hyperlink>
      <w:r>
        <w:t xml:space="preserve">; </w:t>
      </w:r>
      <w:hyperlink r:id="rId3629">
        <w:r>
          <w:rPr>
            <w:color w:val="0000EE"/>
            <w:u w:val="single"/>
          </w:rPr>
          <w:t>Rm 11.7–10</w:t>
        </w:r>
      </w:hyperlink>
      <w:r>
        <w:t>); e descrever (</w:t>
      </w:r>
      <w:hyperlink r:id="rId3630">
        <w:r>
          <w:rPr>
            <w:color w:val="0000EE"/>
            <w:u w:val="single"/>
          </w:rPr>
          <w:t>Ap 1.12–15</w:t>
        </w:r>
      </w:hyperlink>
      <w:r>
        <w:t xml:space="preserve">). Por outro lado, muitas citações do AT no NT não estão diretamente relacionadas com o Messias. As passagens do AT são adaptadas para fornecer uma palavra de Deus em algum aspecto da vida ou ética. Por exemplo, Jesus usou </w:t>
      </w:r>
      <w:hyperlink r:id="rId3603">
        <w:r>
          <w:rPr>
            <w:color w:val="0000EE"/>
            <w:u w:val="single"/>
          </w:rPr>
          <w:t>Gênesis 2.24</w:t>
        </w:r>
      </w:hyperlink>
      <w:r>
        <w:t xml:space="preserve"> para fundamentar seu ensino sobre o divórcio conforme ele tentava lidar com as questões levantadas pela regulamentação civil do divórcio (</w:t>
      </w:r>
      <w:hyperlink r:id="rId3631">
        <w:r>
          <w:rPr>
            <w:color w:val="0000EE"/>
            <w:u w:val="single"/>
          </w:rPr>
          <w:t>Dt 24.1</w:t>
        </w:r>
      </w:hyperlink>
      <w:r>
        <w:t xml:space="preserve">; </w:t>
      </w:r>
      <w:hyperlink r:id="rId3632">
        <w:r>
          <w:rPr>
            <w:color w:val="0000EE"/>
            <w:u w:val="single"/>
          </w:rPr>
          <w:t>Mt 19.1–12</w:t>
        </w:r>
      </w:hyperlink>
      <w:r>
        <w:t>). A ênfase nos mandamentos do AT mostra sua importância para os cristãos (</w:t>
      </w:r>
      <w:hyperlink r:id="rId3633">
        <w:r>
          <w:rPr>
            <w:color w:val="0000EE"/>
            <w:u w:val="single"/>
          </w:rPr>
          <w:t>Mt 19.16–22</w:t>
        </w:r>
      </w:hyperlink>
      <w:r>
        <w:t xml:space="preserve">; </w:t>
      </w:r>
      <w:hyperlink r:id="rId1173">
        <w:r>
          <w:rPr>
            <w:color w:val="0000EE"/>
            <w:u w:val="single"/>
          </w:rPr>
          <w:t>Rm 13.8–10</w:t>
        </w:r>
      </w:hyperlink>
      <w:r>
        <w:t xml:space="preserve">). Muitas vezes as declarações do AT lidam com problemas específicos. O problema do orgulho em Corinto é resolvido pela citação de </w:t>
      </w:r>
      <w:hyperlink r:id="rId3634">
        <w:r>
          <w:rPr>
            <w:color w:val="0000EE"/>
            <w:u w:val="single"/>
          </w:rPr>
          <w:t>Jeremias 9.24</w:t>
        </w:r>
      </w:hyperlink>
      <w:r>
        <w:t xml:space="preserve"> (“Quem se gloriar, que se glorie no Senhor”, </w:t>
      </w:r>
      <w:hyperlink r:id="rId3635">
        <w:r>
          <w:rPr>
            <w:color w:val="0000EE"/>
            <w:u w:val="single"/>
          </w:rPr>
          <w:t>1Co 1.31</w:t>
        </w:r>
      </w:hyperlink>
      <w:r>
        <w:t xml:space="preserve">). </w:t>
      </w:r>
      <w:hyperlink r:id="rId3636">
        <w:r>
          <w:rPr>
            <w:color w:val="0000EE"/>
            <w:u w:val="single"/>
          </w:rPr>
          <w:t>1 Pedro 3.10–12</w:t>
        </w:r>
      </w:hyperlink>
      <w:r>
        <w:t xml:space="preserve"> incorpora o </w:t>
      </w:r>
      <w:hyperlink r:id="rId3637">
        <w:r>
          <w:rPr>
            <w:color w:val="0000EE"/>
            <w:u w:val="single"/>
          </w:rPr>
          <w:t>Salmo 34.12–16</w:t>
        </w:r>
      </w:hyperlink>
      <w:r>
        <w:t xml:space="preserve"> como instruções éticas, e </w:t>
      </w:r>
      <w:hyperlink r:id="rId3638">
        <w:r>
          <w:rPr>
            <w:color w:val="0000EE"/>
            <w:u w:val="single"/>
          </w:rPr>
          <w:t>3.14–15</w:t>
        </w:r>
      </w:hyperlink>
      <w:r>
        <w:t xml:space="preserve"> toma emprestado de </w:t>
      </w:r>
      <w:hyperlink r:id="rId3639">
        <w:r>
          <w:rPr>
            <w:color w:val="0000EE"/>
            <w:u w:val="single"/>
          </w:rPr>
          <w:t>Isaías 8.12–13</w:t>
        </w:r>
      </w:hyperlink>
      <w:r>
        <w:t xml:space="preserve"> a fim de lidar com o medo do sofrimento. A armadura espiritual em </w:t>
      </w:r>
      <w:hyperlink r:id="rId3640">
        <w:r>
          <w:rPr>
            <w:color w:val="0000EE"/>
            <w:u w:val="single"/>
          </w:rPr>
          <w:t>Efésios 6.14–17</w:t>
        </w:r>
      </w:hyperlink>
      <w:r>
        <w:t xml:space="preserve"> é derivada em grande parte das passagens do AT. Tais exemplos são tão numerosos que não pode haver dúvida de que o AT é usado para descrever a existência cristã. Na verdade, quase todos os assuntos abordados no NT são apresentados em algum lugar através de termos e citações do AT. Frequentemente passagens do AT são utilizadas para descrever a igreja como a comunidade de Deus do fim dos tempos. </w:t>
      </w:r>
      <w:hyperlink r:id="rId1109">
        <w:r>
          <w:rPr>
            <w:color w:val="0000EE"/>
            <w:u w:val="single"/>
          </w:rPr>
          <w:t>Oseias 2.23</w:t>
        </w:r>
      </w:hyperlink>
      <w:r>
        <w:t xml:space="preserve"> é usado para mostrar que aqueles que anteriormente não eram o povo de Deus agora são (</w:t>
      </w:r>
      <w:hyperlink r:id="rId3641">
        <w:r>
          <w:rPr>
            <w:color w:val="0000EE"/>
            <w:u w:val="single"/>
          </w:rPr>
          <w:t>Rm 9.25–26</w:t>
        </w:r>
      </w:hyperlink>
      <w:r>
        <w:t xml:space="preserve">; </w:t>
      </w:r>
      <w:hyperlink r:id="rId3642">
        <w:r>
          <w:rPr>
            <w:color w:val="0000EE"/>
            <w:u w:val="single"/>
          </w:rPr>
          <w:t>1Pe 2.10</w:t>
        </w:r>
      </w:hyperlink>
      <w:r>
        <w:t xml:space="preserve">). Vários textos do AT contribuem para a descrição da igreja em </w:t>
      </w:r>
      <w:hyperlink r:id="rId3643">
        <w:r>
          <w:rPr>
            <w:color w:val="0000EE"/>
            <w:u w:val="single"/>
          </w:rPr>
          <w:t>1Pedro 2.9</w:t>
        </w:r>
      </w:hyperlink>
      <w:r>
        <w:t>. Textos do AT que falam da palavra de Deus descrevem a pregação dos apóstolos (</w:t>
      </w:r>
      <w:hyperlink r:id="rId3644">
        <w:r>
          <w:rPr>
            <w:color w:val="0000EE"/>
            <w:u w:val="single"/>
          </w:rPr>
          <w:t>Rm 10.8</w:t>
        </w:r>
      </w:hyperlink>
      <w:r>
        <w:t xml:space="preserve">; </w:t>
      </w:r>
      <w:hyperlink r:id="rId3645">
        <w:r>
          <w:rPr>
            <w:color w:val="0000EE"/>
            <w:u w:val="single"/>
          </w:rPr>
          <w:t>1Pe 1.24–25</w:t>
        </w:r>
      </w:hyperlink>
      <w:r>
        <w:t>). Citações do AT descrevem a condição pecaminosa da humanidade (</w:t>
      </w:r>
      <w:hyperlink r:id="rId3646">
        <w:r>
          <w:rPr>
            <w:color w:val="0000EE"/>
            <w:u w:val="single"/>
          </w:rPr>
          <w:t>Rm 3.10–20</w:t>
        </w:r>
      </w:hyperlink>
      <w:r>
        <w:t>). A salvação é explicada através dos conceitos e símbolos do AT e é baseada nas declarações do AT (</w:t>
      </w:r>
      <w:hyperlink r:id="rId3647">
        <w:r>
          <w:rPr>
            <w:color w:val="0000EE"/>
            <w:u w:val="single"/>
          </w:rPr>
          <w:t>Jo 6.31–33</w:t>
        </w:r>
      </w:hyperlink>
      <w:r>
        <w:t xml:space="preserve">; </w:t>
      </w:r>
      <w:hyperlink r:id="rId3648">
        <w:r>
          <w:rPr>
            <w:color w:val="0000EE"/>
            <w:u w:val="single"/>
          </w:rPr>
          <w:t>Gl 3.6–13</w:t>
        </w:r>
      </w:hyperlink>
      <w:r>
        <w:t>). As palavras de Daniel descrevem a Segunda Vinda (</w:t>
      </w:r>
      <w:hyperlink r:id="rId3649">
        <w:r>
          <w:rPr>
            <w:color w:val="0000EE"/>
            <w:u w:val="single"/>
          </w:rPr>
          <w:t>7.13–14</w:t>
        </w:r>
      </w:hyperlink>
      <w:r>
        <w:t xml:space="preserve">; cf. </w:t>
      </w:r>
      <w:hyperlink r:id="rId3650">
        <w:r>
          <w:rPr>
            <w:color w:val="0000EE"/>
            <w:u w:val="single"/>
          </w:rPr>
          <w:t>Mt 24.30</w:t>
        </w:r>
      </w:hyperlink>
      <w:r>
        <w:t xml:space="preserve">). Até a adoração dos primeiros cristãos era expressa através do uso do AT (veja </w:t>
      </w:r>
      <w:hyperlink r:id="rId3651">
        <w:r>
          <w:rPr>
            <w:color w:val="0000EE"/>
            <w:u w:val="single"/>
          </w:rPr>
          <w:t>Atos 4.24</w:t>
        </w:r>
      </w:hyperlink>
      <w:r>
        <w:t xml:space="preserve">; </w:t>
      </w:r>
      <w:hyperlink r:id="rId3652">
        <w:r>
          <w:rPr>
            <w:color w:val="0000EE"/>
            <w:u w:val="single"/>
          </w:rPr>
          <w:t>Rm 11.34–35</w:t>
        </w:r>
      </w:hyperlink>
      <w:r>
        <w:t>).</w:t>
      </w:r>
      <w:r/>
      <w:r/>
    </w:p>
    <w:p>
      <w:r/>
    </w:p>
    <w:p>
      <w:pPr>
        <w:pStyle w:val="Heading2"/>
      </w:pPr>
      <w:r>
        <w:t>Bíblia*, Manuscritos E Texto Do (Novo Testamento)</w:t>
      </w:r>
      <w:r/>
    </w:p>
    <w:p>
      <w:r/>
      <w:r>
        <w:t>Cópias dos livros do NT produzidas por escribas e edições feitas a partir dessas cópias. Nos séculos anteriores à produção simultânea de cópias por meio de ditado (onde muitos escribas em um scriptorium transcreviam um texto ditado a eles por um leitor), todas as cópias manuscritas eram feitas isoladamente — cada escriba produzindo uma cópia de um exemplar.</w:t>
      </w:r>
    </w:p>
    <w:p>
      <w:r/>
      <w:r>
        <w:t>Antes do século XV, quando Johannes Gutenberg inventou a imprensa em seu formato móvel, todas as cópias de qualquer obra de literatura eram feitas à mão (daí o nome “manuscrito”). De acordo com uma tabulação atual, há 99 manuscritos de papiro, 257 manuscritos unciais e 2.795 manuscritos minúsculos. Podemos adicionar 2.209 lecionários gregos a esta lista. Portanto, temos mais de 5.350 cópias manuscritas do NT grego ou porções dele. Nenhuma outra obra da literatura grega pode se vangloriar de tais números.</w:t>
      </w:r>
    </w:p>
    <w:p>
      <w:r/>
      <w:r>
        <w:t>Resumo</w:t>
      </w:r>
    </w:p>
    <w:p>
      <w:r/>
      <w:r>
        <w:t>• Importantes manuscritos de papiro</w:t>
      </w:r>
    </w:p>
    <w:p>
      <w:r/>
      <w:r>
        <w:t>• Importantes manuscritos unciais</w:t>
      </w:r>
    </w:p>
    <w:p>
      <w:r/>
      <w:r>
        <w:t>• O texto do Novo Testamento</w:t>
      </w:r>
    </w:p>
    <w:p>
      <w:pPr>
        <w:pStyle w:val="Heading3"/>
      </w:pPr>
      <w:r>
        <w:t>Importantes manuscritos de papiro</w:t>
      </w:r>
    </w:p>
    <w:p>
      <w:r/>
      <w:r>
        <w:t>Papiro é uma planta de junco alta e aquática, cujo miolo é cortado em tiras, colocado em um padrão cruzado e colado para fazer uma página para escrever. Os rolos de papiro do Egito têm sido usados como uma superfície de escrita desde o início do terceiro milênio a.C. Os gregos adotaram o papiro por volta de 900 a.C., e mais tarde os romanos adotaram seu uso. No entanto, os rolos gregos de papiro mais antigos existentes datam do quarto século a.C. Infelizmente, o papiro é perecível, exigindo um clima seco para sua preservação. É por isso que tantos papiros foram descobertos nas areias do deserto do Egito.</w:t>
      </w:r>
    </w:p>
    <w:p>
      <w:r/>
      <w:r>
        <w:t>Os manuscritos de papiro do NT (abreviados como “P”) geralmente são os mais antigos manuscritos do NT. De um modo geral, os mais importantes podem ser categorizados em três grupos: (1) o Papiro Oxirrinco (de Oxirrinco, Egito), (2) o Papiro Beatty (nomeado em homenagem ao proprietário); e (3) o Papiro Bodmer (nomeado em homenagem ao proprietário).</w:t>
      </w:r>
    </w:p>
    <w:p>
      <w:pPr>
        <w:pStyle w:val="Heading4"/>
      </w:pPr>
      <w:r>
        <w:t>O Papiro Oxirrinco</w:t>
      </w:r>
    </w:p>
    <w:p>
      <w:r/>
      <w:r>
        <w:t>Começando em 1898 B. P. Grenfell e A. S. Hunt descobriram milhares de fragmentos de papiro nas antigas pilhas de lixo de Oxirrinco, no Egito. Este local forneceu volumes de fragmentos de papiro contendo todos os tipos de material escrito (literatura, contratos de negócios e legais, cartas, etc.), bem como mais de 40 manuscritos contendo porções do NT. Alguns dos manuscritos de papiro mais notáveis de Oxirrinco são os seguintes:</w:t>
      </w:r>
    </w:p>
    <w:p>
      <w:r/>
      <w:r>
        <w:t>P1 (P. Oxy. 2)</w:t>
      </w:r>
    </w:p>
    <w:p>
      <w:r/>
      <w:r>
        <w:t xml:space="preserve">Este manuscrito do final do segundo século contém </w:t>
      </w:r>
      <w:hyperlink r:id="rId3653">
        <w:r>
          <w:rPr>
            <w:color w:val="0000EE"/>
            <w:u w:val="single"/>
          </w:rPr>
          <w:t>Mateus 1.1–9, 12, 14–20</w:t>
        </w:r>
      </w:hyperlink>
      <w:r>
        <w:t>. Grenfell e Hunt no inverno de 1896–97 foram para Oxirrinco (agora chamada El Bahnasa) em busca de antigos documentos cristãos. P1 foi descoberto no segundo dia da escavação. No momento desta descoberta, esta era a primeira cópia existente de qualquer parte do Novo Testamento — pelo menos 100 anos antes do Códice Vaticano. O copista do P1 parece ter seguido fielmente um exemplar muito confiável. Onde há grandes variantes, P1 concorda com as melhores testemunhas de Alexandria, especialmente B (Códice Vaticano), das quais raramente varia.</w:t>
      </w:r>
    </w:p>
    <w:p>
      <w:r/>
      <w:r>
        <w:t>P5 (P. Oxy. 208 e 1781)</w:t>
      </w:r>
    </w:p>
    <w:p>
      <w:r/>
      <w:r>
        <w:t xml:space="preserve">Duas porções separadas deste manuscrito do terceiro século foram desenterradas de Oxirrinco por Grenfell e Hunt, ambos do mesmo manuscrito de papiro. A primeira porção contém </w:t>
      </w:r>
      <w:hyperlink r:id="rId3654">
        <w:r>
          <w:rPr>
            <w:color w:val="0000EE"/>
            <w:u w:val="single"/>
          </w:rPr>
          <w:t>João 1.23–31, 33–40</w:t>
        </w:r>
      </w:hyperlink>
      <w:r>
        <w:t xml:space="preserve"> em um fragmento e </w:t>
      </w:r>
      <w:hyperlink r:id="rId3655">
        <w:r>
          <w:rPr>
            <w:color w:val="0000EE"/>
            <w:u w:val="single"/>
          </w:rPr>
          <w:t>João 20.11–17</w:t>
        </w:r>
      </w:hyperlink>
      <w:r>
        <w:t xml:space="preserve"> em outro — provavelmente no primeiro e último caderno de um manuscrito contendo apenas o Evangelho de João. Esta porção foi publicada no volume II de </w:t>
      </w:r>
      <w:r>
        <w:rPr>
          <w:i/>
        </w:rPr>
        <w:t>Papiros de Oxirrinco</w:t>
      </w:r>
      <w:r>
        <w:t xml:space="preserve"> em 1899; a segunda parte — contendo </w:t>
      </w:r>
      <w:hyperlink r:id="rId3656">
        <w:r>
          <w:rPr>
            <w:color w:val="0000EE"/>
            <w:u w:val="single"/>
          </w:rPr>
          <w:t>João 16.14–30</w:t>
        </w:r>
      </w:hyperlink>
      <w:r>
        <w:t xml:space="preserve"> — não foi publicada até 1922 no volume XV de </w:t>
      </w:r>
      <w:r>
        <w:rPr>
          <w:i/>
        </w:rPr>
        <w:t>Papiros de Oxirrinco</w:t>
      </w:r>
      <w:r>
        <w:t>.</w:t>
      </w:r>
    </w:p>
    <w:p>
      <w:r/>
      <w:r>
        <w:t>Depois de examinar a primeira parte, Grenfell e Hunt disseram: “O texto é bom, e parece ter afinidades com o do Códice Sinaítico, com o qual o papiro concorda em várias leituras não encontradas em outros lugares”. O papiro, em escrita documental, é marcado por sua brevidade.</w:t>
      </w:r>
    </w:p>
    <w:p>
      <w:r/>
      <w:r>
        <w:t>P13 (P. Oxy. 657 e PSI 1292)</w:t>
      </w:r>
    </w:p>
    <w:p>
      <w:r/>
      <w:r>
        <w:t xml:space="preserve">Este manuscrito, datado entre 175 e 225, contém 12 colunas de um rolo preservando o texto de </w:t>
      </w:r>
      <w:hyperlink r:id="rId3657">
        <w:r>
          <w:rPr>
            <w:color w:val="0000EE"/>
            <w:u w:val="single"/>
          </w:rPr>
          <w:t>Hebreus 2.14–5.5</w:t>
        </w:r>
      </w:hyperlink>
      <w:r>
        <w:t xml:space="preserve">; </w:t>
      </w:r>
      <w:hyperlink r:id="rId3658">
        <w:r>
          <w:rPr>
            <w:color w:val="0000EE"/>
            <w:u w:val="single"/>
          </w:rPr>
          <w:t>10.8–22</w:t>
        </w:r>
      </w:hyperlink>
      <w:r>
        <w:t xml:space="preserve">; </w:t>
      </w:r>
      <w:hyperlink r:id="rId3659">
        <w:r>
          <w:rPr>
            <w:color w:val="0000EE"/>
            <w:u w:val="single"/>
          </w:rPr>
          <w:t>10.29–11.13</w:t>
        </w:r>
      </w:hyperlink>
      <w:r>
        <w:t xml:space="preserve">; </w:t>
      </w:r>
      <w:hyperlink r:id="rId3660">
        <w:r>
          <w:rPr>
            <w:color w:val="0000EE"/>
            <w:u w:val="single"/>
          </w:rPr>
          <w:t>11.28–12.7</w:t>
        </w:r>
      </w:hyperlink>
      <w:r>
        <w:t xml:space="preserve">. O texto de Hebreus foi escrito em escrita documental reformada na parte de trás do papiro contendo o novo epítome de Tito Lívio. Por esta razão, alguns estudiosos pensam que o manuscrito possivelmente foi trazido para o Egito por um oficial romano e deixado para trás quando ele deixou seu posto. P13 muitas vezes concorda com B, e suplementa B onde é necessário — ou seja, de </w:t>
      </w:r>
      <w:hyperlink r:id="rId883">
        <w:r>
          <w:rPr>
            <w:color w:val="0000EE"/>
            <w:u w:val="single"/>
          </w:rPr>
          <w:t>Hebreus 9.14</w:t>
        </w:r>
      </w:hyperlink>
      <w:r>
        <w:t xml:space="preserve"> até o fim de Hebreus. P13 e P46 apresentam quase o mesmo texto. De um total de 88 unidades de variação, há 71 concordâncias e apenas 17 discordâncias.</w:t>
      </w:r>
    </w:p>
    <w:p>
      <w:r/>
      <w:r>
        <w:t>P77 (P. Oxy. 2683 + 4405)</w:t>
      </w:r>
    </w:p>
    <w:p>
      <w:r/>
      <w:r>
        <w:t>Datado aproximadamente de 150–175, este é o mais antigo manuscrito de Mateus (</w:t>
      </w:r>
      <w:hyperlink r:id="rId3661">
        <w:r>
          <w:rPr>
            <w:color w:val="0000EE"/>
            <w:u w:val="single"/>
          </w:rPr>
          <w:t>23.30–39</w:t>
        </w:r>
      </w:hyperlink>
      <w:r>
        <w:t>). O manuscrito é claramente uma produção literária. Foi escrito em letra cursiva elegante e possui o que era ou se tornou um sistema padrão de divisão de capítulos, bem como pontuação e marcas de aspiração. P77 tem afinidades textuais próximas com o Códice Sinaítico.</w:t>
      </w:r>
    </w:p>
    <w:p>
      <w:r/>
      <w:r>
        <w:t>P90 (P. Oxy. 3523)</w:t>
      </w:r>
    </w:p>
    <w:p>
      <w:r/>
      <w:r>
        <w:t xml:space="preserve">Este manuscrito do segundo século (ca. 150–175) contém </w:t>
      </w:r>
      <w:hyperlink r:id="rId3662">
        <w:r>
          <w:rPr>
            <w:color w:val="0000EE"/>
            <w:u w:val="single"/>
          </w:rPr>
          <w:t>João 18.36–19.7</w:t>
        </w:r>
      </w:hyperlink>
      <w:r>
        <w:t>. A escrita (vertical, arredondada e elegante) é muito parecida com a encontrada em P66. Além disso, P90 tem mais afinidade com P66 do que com qualquer outro manuscrito único, embora não concorde com P66 em sua totalidade.</w:t>
      </w:r>
    </w:p>
    <w:p>
      <w:r/>
      <w:r>
        <w:t>P. Oxy. 4404</w:t>
      </w:r>
    </w:p>
    <w:p>
      <w:r/>
      <w:r>
        <w:t xml:space="preserve">Contendo </w:t>
      </w:r>
      <w:hyperlink r:id="rId3663">
        <w:r>
          <w:rPr>
            <w:color w:val="0000EE"/>
            <w:u w:val="single"/>
          </w:rPr>
          <w:t>Mateus 21.34–37, 43, 45</w:t>
        </w:r>
      </w:hyperlink>
      <w:r>
        <w:t>, este manuscrito poderia ser o mais antigo manuscrito existente do NT já que a escrita é romana antiga e, portanto, poderia ser datado do início do segundo século.</w:t>
      </w:r>
    </w:p>
    <w:p>
      <w:pPr>
        <w:pStyle w:val="Heading4"/>
      </w:pPr>
      <w:r>
        <w:t>Os papiros Chester Beatty</w:t>
      </w:r>
    </w:p>
    <w:p>
      <w:r/>
      <w:r>
        <w:t xml:space="preserve">Esses manuscritos foram comprados de um comerciante no Egito durante a década de 1930 por Chester Beatty e pela Universidade de Michigan. Os três manuscritos nesta coleção são muito antigos e contêm uma grande parte do texto do NT. P45 (ca. 200) contém porções de todos os quatro Evangelhos e Atos; P46 (ca. 125) tem quase todas as epístolas de Paulo e Hebreus; e P47 (terceiro século) contém </w:t>
      </w:r>
      <w:hyperlink r:id="rId3664">
        <w:r>
          <w:rPr>
            <w:color w:val="0000EE"/>
            <w:u w:val="single"/>
          </w:rPr>
          <w:t>Apocalipse 9–17</w:t>
        </w:r>
      </w:hyperlink>
      <w:r>
        <w:t>.</w:t>
      </w:r>
    </w:p>
    <w:p>
      <w:r/>
      <w:r>
        <w:t>P45 (Papiro I Chester Beatty)</w:t>
      </w:r>
    </w:p>
    <w:p>
      <w:r/>
      <w:r>
        <w:t>Este códice tem os quatro Evangelhos e Atos (</w:t>
      </w:r>
      <w:hyperlink r:id="rId3665">
        <w:r>
          <w:rPr>
            <w:color w:val="0000EE"/>
            <w:u w:val="single"/>
          </w:rPr>
          <w:t>Mt 20.24–32</w:t>
        </w:r>
      </w:hyperlink>
      <w:r>
        <w:t xml:space="preserve">; </w:t>
      </w:r>
      <w:hyperlink r:id="rId3666">
        <w:r>
          <w:rPr>
            <w:color w:val="0000EE"/>
            <w:u w:val="single"/>
          </w:rPr>
          <w:t>21.13–19</w:t>
        </w:r>
      </w:hyperlink>
      <w:r>
        <w:t xml:space="preserve">; </w:t>
      </w:r>
      <w:hyperlink r:id="rId3667">
        <w:r>
          <w:rPr>
            <w:color w:val="0000EE"/>
            <w:u w:val="single"/>
          </w:rPr>
          <w:t>25.41–26.39</w:t>
        </w:r>
      </w:hyperlink>
      <w:r>
        <w:t xml:space="preserve">; </w:t>
      </w:r>
      <w:hyperlink r:id="rId3668">
        <w:r>
          <w:rPr>
            <w:color w:val="0000EE"/>
            <w:u w:val="single"/>
          </w:rPr>
          <w:t>Mc 4.36–9.31</w:t>
        </w:r>
      </w:hyperlink>
      <w:r>
        <w:t xml:space="preserve">; </w:t>
      </w:r>
      <w:hyperlink r:id="rId3669">
        <w:r>
          <w:rPr>
            <w:color w:val="0000EE"/>
            <w:u w:val="single"/>
          </w:rPr>
          <w:t>11.27–12.28</w:t>
        </w:r>
      </w:hyperlink>
      <w:r>
        <w:t xml:space="preserve">; </w:t>
      </w:r>
      <w:hyperlink r:id="rId3670">
        <w:r>
          <w:rPr>
            <w:color w:val="0000EE"/>
            <w:u w:val="single"/>
          </w:rPr>
          <w:t>Lc 6.31–7.7</w:t>
        </w:r>
      </w:hyperlink>
      <w:r>
        <w:t xml:space="preserve">; </w:t>
      </w:r>
      <w:hyperlink r:id="rId3671">
        <w:r>
          <w:rPr>
            <w:color w:val="0000EE"/>
            <w:u w:val="single"/>
          </w:rPr>
          <w:t>9.26–14.33</w:t>
        </w:r>
      </w:hyperlink>
      <w:r>
        <w:t xml:space="preserve">; </w:t>
      </w:r>
      <w:hyperlink r:id="rId3672">
        <w:r>
          <w:rPr>
            <w:color w:val="0000EE"/>
            <w:u w:val="single"/>
          </w:rPr>
          <w:t>Jo 4.51–5.2</w:t>
        </w:r>
      </w:hyperlink>
      <w:r>
        <w:t xml:space="preserve">, </w:t>
      </w:r>
      <w:hyperlink r:id="rId3673">
        <w:r>
          <w:rPr>
            <w:color w:val="0000EE"/>
            <w:u w:val="single"/>
          </w:rPr>
          <w:t>21–25</w:t>
        </w:r>
      </w:hyperlink>
      <w:r>
        <w:t xml:space="preserve">; </w:t>
      </w:r>
      <w:hyperlink r:id="rId3674">
        <w:r>
          <w:rPr>
            <w:color w:val="0000EE"/>
            <w:u w:val="single"/>
          </w:rPr>
          <w:t>10.7–25</w:t>
        </w:r>
      </w:hyperlink>
      <w:r>
        <w:t xml:space="preserve">; </w:t>
      </w:r>
      <w:hyperlink r:id="rId3675">
        <w:r>
          <w:rPr>
            <w:color w:val="0000EE"/>
            <w:u w:val="single"/>
          </w:rPr>
          <w:t>10.30–11.10</w:t>
        </w:r>
      </w:hyperlink>
      <w:r>
        <w:t>,</w:t>
      </w:r>
      <w:hyperlink r:id="rId3676">
        <w:r>
          <w:rPr>
            <w:color w:val="0000EE"/>
            <w:u w:val="single"/>
          </w:rPr>
          <w:t>18–36, 42–57</w:t>
        </w:r>
      </w:hyperlink>
      <w:r>
        <w:t xml:space="preserve">; </w:t>
      </w:r>
      <w:hyperlink r:id="rId3677">
        <w:r>
          <w:rPr>
            <w:color w:val="0000EE"/>
            <w:u w:val="single"/>
          </w:rPr>
          <w:t>Atos 4.27–17.17</w:t>
        </w:r>
      </w:hyperlink>
      <w:r>
        <w:t>). A ordem dos livros no manuscrito original intacto era provavelmente a seguinte: Mateus, João, Lucas, Marcos, Atos (a chamada ordem ocidental). Este manuscrito foi datado por Kenyon do início do terceiro século, uma data que foi confirmada pelos papirologistas W. Schubart e H. I. Bell. Esta continua a ser a data atribuída a este manuscrito nos manuais modernos sobre crítica textual e edições críticas do Novo Testamento grego, mas a formação consistente de certas cartas sugere uma data anterior — talvez em algum momento no final do século II.</w:t>
      </w:r>
    </w:p>
    <w:p>
      <w:r/>
      <w:r>
        <w:t>O escriba de P45 trabalhou sem qualquer intenção de reproduzir exatamente sua fonte. Ele escreveu com uma grande quantidade de liberdade — harmonizando, suavizando, substituindo à vontade. Em suma, o escriba, na verdade, não copiou as palavras. Ele olhou desde a linguagem até seu conteúdo de ideias, e copiou isso em palavras de sua própria escolha, ou em ordem rearranjada. Assim, nos escritos de P45, vemos um exegeta e alguém que faz uma paráfrase.</w:t>
      </w:r>
    </w:p>
    <w:p>
      <w:r/>
      <w:r>
        <w:t>P46 (Papiro II Chester Beatty)</w:t>
      </w:r>
    </w:p>
    <w:p>
      <w:r/>
      <w:r>
        <w:t xml:space="preserve">Este códice tem a maioria das epístolas de Paulo (excluindo as pastorais) nesta ordem: </w:t>
      </w:r>
      <w:hyperlink r:id="rId3678">
        <w:r>
          <w:rPr>
            <w:color w:val="0000EE"/>
            <w:u w:val="single"/>
          </w:rPr>
          <w:t>Romanos 5.17–6:14</w:t>
        </w:r>
      </w:hyperlink>
      <w:r>
        <w:t xml:space="preserve">; </w:t>
      </w:r>
      <w:hyperlink r:id="rId3679">
        <w:r>
          <w:rPr>
            <w:color w:val="0000EE"/>
            <w:u w:val="single"/>
          </w:rPr>
          <w:t>8.15–15:9</w:t>
        </w:r>
      </w:hyperlink>
      <w:r>
        <w:t xml:space="preserve">; </w:t>
      </w:r>
      <w:hyperlink r:id="rId3680">
        <w:r>
          <w:rPr>
            <w:color w:val="0000EE"/>
            <w:u w:val="single"/>
          </w:rPr>
          <w:t>15.11–16:27</w:t>
        </w:r>
      </w:hyperlink>
      <w:r>
        <w:t xml:space="preserve">; </w:t>
      </w:r>
      <w:hyperlink r:id="rId3681">
        <w:r>
          <w:rPr>
            <w:color w:val="0000EE"/>
            <w:u w:val="single"/>
          </w:rPr>
          <w:t>Hebreus 1.1–13.25</w:t>
        </w:r>
      </w:hyperlink>
      <w:r>
        <w:t xml:space="preserve">; </w:t>
      </w:r>
      <w:hyperlink r:id="rId3682">
        <w:r>
          <w:rPr>
            <w:color w:val="0000EE"/>
            <w:u w:val="single"/>
          </w:rPr>
          <w:t>1 Coríntios 1.1–16.22</w:t>
        </w:r>
      </w:hyperlink>
      <w:r>
        <w:t xml:space="preserve">; </w:t>
      </w:r>
      <w:hyperlink r:id="rId3683">
        <w:r>
          <w:rPr>
            <w:color w:val="0000EE"/>
            <w:u w:val="single"/>
          </w:rPr>
          <w:t>2 Coríntios 1.1–13.13</w:t>
        </w:r>
      </w:hyperlink>
      <w:r>
        <w:t xml:space="preserve">; </w:t>
      </w:r>
      <w:hyperlink r:id="rId3684">
        <w:r>
          <w:rPr>
            <w:color w:val="0000EE"/>
            <w:u w:val="single"/>
          </w:rPr>
          <w:t>Efésios 1.1–6.24</w:t>
        </w:r>
      </w:hyperlink>
      <w:r>
        <w:t xml:space="preserve">; </w:t>
      </w:r>
      <w:hyperlink r:id="rId3685">
        <w:r>
          <w:rPr>
            <w:color w:val="0000EE"/>
            <w:u w:val="single"/>
          </w:rPr>
          <w:t>Gálatas 1.1–6.18</w:t>
        </w:r>
      </w:hyperlink>
      <w:r>
        <w:t xml:space="preserve">; </w:t>
      </w:r>
      <w:hyperlink r:id="rId3686">
        <w:r>
          <w:rPr>
            <w:color w:val="0000EE"/>
            <w:u w:val="single"/>
          </w:rPr>
          <w:t>Filipenses 1.1–4.23</w:t>
        </w:r>
      </w:hyperlink>
      <w:r>
        <w:t xml:space="preserve">; </w:t>
      </w:r>
      <w:hyperlink r:id="rId3687">
        <w:r>
          <w:rPr>
            <w:color w:val="0000EE"/>
            <w:u w:val="single"/>
          </w:rPr>
          <w:t>Colossenses 1.1–4.18</w:t>
        </w:r>
      </w:hyperlink>
      <w:r>
        <w:t xml:space="preserve">; </w:t>
      </w:r>
      <w:hyperlink r:id="rId3688">
        <w:r>
          <w:rPr>
            <w:color w:val="0000EE"/>
            <w:u w:val="single"/>
          </w:rPr>
          <w:t>1 Tessalonicenses 1.1</w:t>
        </w:r>
      </w:hyperlink>
      <w:r>
        <w:t xml:space="preserve">; </w:t>
      </w:r>
      <w:hyperlink r:id="rId3689">
        <w:r>
          <w:rPr>
            <w:color w:val="0000EE"/>
            <w:u w:val="single"/>
          </w:rPr>
          <w:t>1.9–2.3</w:t>
        </w:r>
      </w:hyperlink>
      <w:r>
        <w:t xml:space="preserve">; </w:t>
      </w:r>
      <w:hyperlink r:id="rId3690">
        <w:r>
          <w:rPr>
            <w:color w:val="0000EE"/>
            <w:u w:val="single"/>
          </w:rPr>
          <w:t>5.5–9, 23–28</w:t>
        </w:r>
      </w:hyperlink>
      <w:r>
        <w:t xml:space="preserve"> (com pequenas lacunas em cada um dos livros).</w:t>
      </w:r>
    </w:p>
    <w:p>
      <w:r/>
      <w:r>
        <w:t>O manuscrito foi originalmente datado do início do século III. Mas outros, desde então, dataram o manuscrito do início do século II. O escriba que produziu este manuscrito usou um exemplar antigo e excelente. Ele era um escriba profissional porque há notas de esticometria no final de vários livros (veja a conclusão de Romanos, 2 Coríntios, Efésios, Filipenses). A esticometria era usada por profissionais para anotar quantas linhas haviam sido copiadas por pagamento proporcional. Muito provavelmente, o ex officio do scriptorium (talvez conectado com uma biblioteca da igreja) paginou o códice e indicou a esticometria. O próprio escriba fez algumas correções enquanto ele procedeu, e então vários outros leitores fizeram correções aqui e ali.</w:t>
      </w:r>
    </w:p>
    <w:p>
      <w:r/>
      <w:r>
        <w:t>O texto de P46 mostra uma forte afinidade com B (especialmente em Efésios, Colossenses e Hebreus) e o próximo com א (Códice Sinaítico). P46 concorda muito menos com os representantes posteriores do texto alexandrino. Em suma, P46 é proto-alexandrino. Em Hebreus, P46 e P13 exibem quase o mesmo texto. De um total de 88 unidades de variação, há 71 concordâncias e apenas 17 discordâncias.</w:t>
      </w:r>
    </w:p>
    <w:p>
      <w:r/>
      <w:r>
        <w:t>P47 (Papiro III Chester Beatty)</w:t>
      </w:r>
    </w:p>
    <w:p>
      <w:r/>
      <w:r>
        <w:t xml:space="preserve">Este códice do terceiro século contém </w:t>
      </w:r>
      <w:hyperlink r:id="rId3691">
        <w:r>
          <w:rPr>
            <w:color w:val="0000EE"/>
            <w:u w:val="single"/>
          </w:rPr>
          <w:t>Apocalipse 9.10–17.2</w:t>
        </w:r>
      </w:hyperlink>
      <w:r>
        <w:t>. O texto de P47 concorda mais frequentemente com o do Códice Sinaítico do que com qualquer outro manuscrito (incluindo o Códice Alexandrino e o Códice de Efrém Reescrito), embora muitas vezes mostre independência.</w:t>
      </w:r>
    </w:p>
    <w:p>
      <w:pPr>
        <w:pStyle w:val="Heading4"/>
      </w:pPr>
      <w:r>
        <w:t>O Papiro Bodmer</w:t>
      </w:r>
    </w:p>
    <w:p>
      <w:r/>
      <w:r>
        <w:t xml:space="preserve">Esses manuscritos foram comprados por M. Martin Bodmer de um comerciante no Egito durante as décadas de 1950 e 1960. Os três papiros importantes nesta coleção são P66 (ca. 175, contendo quase todo João), P72 (terceiro século, tendo a totalidade de 1 e 2 Pedro e Judas) e P75 (ca. 200, contendo grandes partes de </w:t>
      </w:r>
      <w:hyperlink r:id="rId3692">
        <w:r>
          <w:rPr>
            <w:color w:val="0000EE"/>
            <w:u w:val="single"/>
          </w:rPr>
          <w:t>Lucas 3</w:t>
        </w:r>
      </w:hyperlink>
      <w:r>
        <w:t xml:space="preserve"> — </w:t>
      </w:r>
      <w:hyperlink r:id="rId3693">
        <w:r>
          <w:rPr>
            <w:color w:val="0000EE"/>
            <w:u w:val="single"/>
          </w:rPr>
          <w:t>João 15</w:t>
        </w:r>
      </w:hyperlink>
      <w:r>
        <w:t>).</w:t>
      </w:r>
    </w:p>
    <w:p>
      <w:r/>
      <w:r>
        <w:t>P66 (Papiro Bodmer II)</w:t>
      </w:r>
    </w:p>
    <w:p>
      <w:r/>
      <w:r>
        <w:t>Este manuscrito contém a maior parte do Evangelho de João (</w:t>
      </w:r>
      <w:hyperlink r:id="rId3694">
        <w:r>
          <w:rPr>
            <w:color w:val="0000EE"/>
            <w:u w:val="single"/>
          </w:rPr>
          <w:t>1.1–6.11</w:t>
        </w:r>
      </w:hyperlink>
      <w:r>
        <w:t xml:space="preserve">; </w:t>
      </w:r>
      <w:hyperlink r:id="rId3695">
        <w:r>
          <w:rPr>
            <w:color w:val="0000EE"/>
            <w:u w:val="single"/>
          </w:rPr>
          <w:t>6.35–14.26</w:t>
        </w:r>
      </w:hyperlink>
      <w:r>
        <w:t xml:space="preserve">, </w:t>
      </w:r>
      <w:hyperlink r:id="rId3696">
        <w:r>
          <w:rPr>
            <w:color w:val="0000EE"/>
            <w:u w:val="single"/>
          </w:rPr>
          <w:t>29–30</w:t>
        </w:r>
      </w:hyperlink>
      <w:r>
        <w:t xml:space="preserve">; </w:t>
      </w:r>
      <w:hyperlink r:id="rId3697">
        <w:r>
          <w:rPr>
            <w:color w:val="0000EE"/>
            <w:u w:val="single"/>
          </w:rPr>
          <w:t>15.2–26</w:t>
        </w:r>
      </w:hyperlink>
      <w:r>
        <w:t xml:space="preserve">; </w:t>
      </w:r>
      <w:hyperlink r:id="rId3698">
        <w:r>
          <w:rPr>
            <w:color w:val="0000EE"/>
            <w:u w:val="single"/>
          </w:rPr>
          <w:t>16.2–4, 6–7</w:t>
        </w:r>
      </w:hyperlink>
      <w:r>
        <w:t xml:space="preserve">; </w:t>
      </w:r>
      <w:hyperlink r:id="rId3699">
        <w:r>
          <w:rPr>
            <w:color w:val="0000EE"/>
            <w:u w:val="single"/>
          </w:rPr>
          <w:t>16.10–20.20</w:t>
        </w:r>
      </w:hyperlink>
      <w:r>
        <w:t xml:space="preserve">, </w:t>
      </w:r>
      <w:hyperlink r:id="rId3700">
        <w:r>
          <w:rPr>
            <w:color w:val="0000EE"/>
            <w:u w:val="single"/>
          </w:rPr>
          <w:t>22–23</w:t>
        </w:r>
      </w:hyperlink>
      <w:r>
        <w:t xml:space="preserve">; </w:t>
      </w:r>
      <w:hyperlink r:id="rId3701">
        <w:r>
          <w:rPr>
            <w:color w:val="0000EE"/>
            <w:u w:val="single"/>
          </w:rPr>
          <w:t>20.25–21.9</w:t>
        </w:r>
      </w:hyperlink>
      <w:r>
        <w:t>). O manuscrito não inclui a perícope da mulher adúltera (</w:t>
      </w:r>
      <w:hyperlink r:id="rId3702">
        <w:r>
          <w:rPr>
            <w:color w:val="0000EE"/>
            <w:u w:val="single"/>
          </w:rPr>
          <w:t>7.53–8.11</w:t>
        </w:r>
      </w:hyperlink>
      <w:r>
        <w:t>), tornando-se a primeira testemunha a não incluir esta passagem espúria. O manuscrito geralmente é datado de cerca de 200, mas o renomado paleógrafo Herbert Hunger argumentou que P66 deve ser datado da primeira metade, se não do primeiro trimestre do segundo século.</w:t>
      </w:r>
    </w:p>
    <w:p>
      <w:r/>
      <w:r>
        <w:t xml:space="preserve">De acordo com estudos recentes, parece evidente que P66 preservou o trabalho de três indivíduos: o escriba original, um corretor minucioso e um corretor secundário. Com uma mão treinada em caligrafia, o escriba original de P66 escreveu em letras maiores enquanto ele procedia com o objetivo de preencher o códice. A grande impressão do códice indica que foi escrito para ser lido em voz alta para uma congregação cristã. O texto exibe o conhecimento do escriba de outras partes das Escrituras (na medida em que ele harmonizou </w:t>
      </w:r>
      <w:hyperlink r:id="rId3703">
        <w:r>
          <w:rPr>
            <w:color w:val="0000EE"/>
            <w:u w:val="single"/>
          </w:rPr>
          <w:t>João 6.69</w:t>
        </w:r>
      </w:hyperlink>
      <w:r>
        <w:t xml:space="preserve"> com </w:t>
      </w:r>
      <w:hyperlink r:id="rId3704">
        <w:r>
          <w:rPr>
            <w:color w:val="0000EE"/>
            <w:u w:val="single"/>
          </w:rPr>
          <w:t>Mateus 16.16</w:t>
        </w:r>
      </w:hyperlink>
      <w:r>
        <w:t xml:space="preserve"> e </w:t>
      </w:r>
      <w:hyperlink r:id="rId3705">
        <w:r>
          <w:rPr>
            <w:color w:val="0000EE"/>
            <w:u w:val="single"/>
          </w:rPr>
          <w:t>João 21.6</w:t>
        </w:r>
      </w:hyperlink>
      <w:r>
        <w:t xml:space="preserve"> com </w:t>
      </w:r>
      <w:hyperlink r:id="rId3706">
        <w:r>
          <w:rPr>
            <w:color w:val="0000EE"/>
            <w:u w:val="single"/>
          </w:rPr>
          <w:t>Lucas 5.5</w:t>
        </w:r>
      </w:hyperlink>
      <w:r>
        <w:t xml:space="preserve">), seu uso da </w:t>
      </w:r>
      <w:r>
        <w:rPr>
          <w:i/>
        </w:rPr>
        <w:t>nomina sacra</w:t>
      </w:r>
      <w:r>
        <w:t xml:space="preserve"> padrão (uma maneira de escrever nomes divinos), e seu uso especial da </w:t>
      </w:r>
      <w:r>
        <w:rPr>
          <w:i/>
        </w:rPr>
        <w:t>nomina sacra</w:t>
      </w:r>
      <w:r>
        <w:t xml:space="preserve"> para as palavras “cruz” e “crucificar”.</w:t>
      </w:r>
    </w:p>
    <w:p>
      <w:r/>
      <w:r>
        <w:t xml:space="preserve">O escriba original foi bastante livre em sua interação com o texto; ele produziu várias leituras singulares que revelam sua interpretação independente do texto. Enquanto os numerosos erros dos escritos parecem indicar que o escriba estava desatento, muitas das leituras singulares — antes da correção — revelam que ele não estava desconectado da narrativa do texto. Em vez disso, ele ficou tão absorto em sua leitura que muitas vezes esqueceu as palavras exatas que estava copiando. Sua tarefa como copista era duplicar o exemplar palavra por palavra, mas isso foi frustrado pelo fato de que ele estava lendo o texto em partes semânticas lógicas e muitas vezes se tornava um coprodutor de um novo texto. Como resultado, ele continuamente tinha que parar sua leitura e fazer muitas correções durante o processo. Mas ele deixou vários lugares sem correção, que mais tarde foram consertados pelos </w:t>
      </w:r>
      <w:r>
        <w:rPr>
          <w:i/>
        </w:rPr>
        <w:t>diorthotes</w:t>
      </w:r>
      <w:r>
        <w:t xml:space="preserve"> (corretores oficiais). O produto final é muito bom, apresentando um texto que está muito próximo das testemunhas de Alexandria.</w:t>
      </w:r>
    </w:p>
    <w:p>
      <w:r/>
      <w:r>
        <w:t>P72 (Papiro Bodmer VII–VIII)</w:t>
      </w:r>
    </w:p>
    <w:p>
      <w:r/>
      <w:r>
        <w:t xml:space="preserve">Este manuscrito, datado do final do terceiro século, tem uma interessante coleção de escritos em um códice: </w:t>
      </w:r>
      <w:hyperlink r:id="rId3707">
        <w:r>
          <w:rPr>
            <w:color w:val="0000EE"/>
            <w:u w:val="single"/>
          </w:rPr>
          <w:t>1 Pedro 1.1–5.14</w:t>
        </w:r>
      </w:hyperlink>
      <w:r>
        <w:t xml:space="preserve">; </w:t>
      </w:r>
      <w:hyperlink r:id="rId3708">
        <w:r>
          <w:rPr>
            <w:color w:val="0000EE"/>
            <w:u w:val="single"/>
          </w:rPr>
          <w:t>2 Pedro 1.1–3.18</w:t>
        </w:r>
      </w:hyperlink>
      <w:r>
        <w:t xml:space="preserve">; </w:t>
      </w:r>
      <w:hyperlink r:id="rId513">
        <w:r>
          <w:rPr>
            <w:color w:val="0000EE"/>
            <w:u w:val="single"/>
          </w:rPr>
          <w:t>Judas 1.1–25</w:t>
        </w:r>
      </w:hyperlink>
      <w:r>
        <w:t xml:space="preserve">; a Natividade de Maria, a correspondência apócrifa de Paulo aos Coríntios, a décima primeira ode de Salomão, a Homilia de Melito sobre a Páscoa, um fragmento de um hino, a Apologia de Phileas e os </w:t>
      </w:r>
      <w:hyperlink r:id="rId3709">
        <w:r>
          <w:rPr>
            <w:color w:val="0000EE"/>
            <w:u w:val="single"/>
          </w:rPr>
          <w:t>Salmos 33</w:t>
        </w:r>
      </w:hyperlink>
      <w:r>
        <w:t xml:space="preserve"> e </w:t>
      </w:r>
      <w:hyperlink r:id="rId270">
        <w:r>
          <w:rPr>
            <w:color w:val="0000EE"/>
            <w:u w:val="single"/>
          </w:rPr>
          <w:t>34</w:t>
        </w:r>
      </w:hyperlink>
      <w:r>
        <w:t>.</w:t>
      </w:r>
    </w:p>
    <w:p>
      <w:r/>
      <w:r>
        <w:t>Os estudiosos pensam que quatro escribas participaram da produção de todo o manuscrito. Primeira carta de Pedro tem afinidades alexandrinas claras — especialmente com B. Segunda carta de Pedro e (especialmente) Judas exibem mais de um texto do tipo descontrolado (geralmente associado ao texto “ocidental”), com várias leituras independentes.</w:t>
      </w:r>
    </w:p>
    <w:p>
      <w:r/>
      <w:r>
        <w:t>P75 (Papiro Bodmer XIV–XV)</w:t>
      </w:r>
    </w:p>
    <w:p>
      <w:r/>
      <w:r>
        <w:t>Este códice contém a maior parte de Lucas e João (</w:t>
      </w:r>
      <w:hyperlink r:id="rId3710">
        <w:r>
          <w:rPr>
            <w:color w:val="0000EE"/>
            <w:u w:val="single"/>
          </w:rPr>
          <w:t>Lc 3.18–4.2</w:t>
        </w:r>
      </w:hyperlink>
      <w:r>
        <w:t xml:space="preserve">; </w:t>
      </w:r>
      <w:hyperlink r:id="rId3711">
        <w:r>
          <w:rPr>
            <w:color w:val="0000EE"/>
            <w:u w:val="single"/>
          </w:rPr>
          <w:t>4.34–5.10</w:t>
        </w:r>
      </w:hyperlink>
      <w:r>
        <w:t xml:space="preserve">; </w:t>
      </w:r>
      <w:hyperlink r:id="rId3712">
        <w:r>
          <w:rPr>
            <w:color w:val="0000EE"/>
            <w:u w:val="single"/>
          </w:rPr>
          <w:t>5.37–18.18</w:t>
        </w:r>
      </w:hyperlink>
      <w:r>
        <w:t xml:space="preserve">; </w:t>
      </w:r>
      <w:hyperlink r:id="rId3713">
        <w:r>
          <w:rPr>
            <w:color w:val="0000EE"/>
            <w:u w:val="single"/>
          </w:rPr>
          <w:t>22.4–24.53</w:t>
        </w:r>
      </w:hyperlink>
      <w:r>
        <w:t xml:space="preserve">; </w:t>
      </w:r>
      <w:hyperlink r:id="rId3714">
        <w:r>
          <w:rPr>
            <w:color w:val="0000EE"/>
            <w:u w:val="single"/>
          </w:rPr>
          <w:t>João 1.1–11.45</w:t>
        </w:r>
      </w:hyperlink>
      <w:r>
        <w:t xml:space="preserve"> , </w:t>
      </w:r>
      <w:hyperlink r:id="rId3715">
        <w:r>
          <w:rPr>
            <w:color w:val="0000EE"/>
            <w:u w:val="single"/>
          </w:rPr>
          <w:t>48–57</w:t>
        </w:r>
      </w:hyperlink>
      <w:r>
        <w:t xml:space="preserve">; </w:t>
      </w:r>
      <w:hyperlink r:id="rId3716">
        <w:r>
          <w:rPr>
            <w:color w:val="0000EE"/>
            <w:u w:val="single"/>
          </w:rPr>
          <w:t>12.3–13.1</w:t>
        </w:r>
      </w:hyperlink>
      <w:r>
        <w:t xml:space="preserve">, </w:t>
      </w:r>
      <w:hyperlink r:id="rId3717">
        <w:r>
          <w:rPr>
            <w:color w:val="0000EE"/>
            <w:u w:val="single"/>
          </w:rPr>
          <w:t>8–9</w:t>
        </w:r>
      </w:hyperlink>
      <w:r>
        <w:t xml:space="preserve">; </w:t>
      </w:r>
      <w:hyperlink r:id="rId3718">
        <w:r>
          <w:rPr>
            <w:color w:val="0000EE"/>
            <w:u w:val="single"/>
          </w:rPr>
          <w:t>14.8–30</w:t>
        </w:r>
      </w:hyperlink>
      <w:r>
        <w:t xml:space="preserve">; </w:t>
      </w:r>
      <w:hyperlink r:id="rId3719">
        <w:r>
          <w:rPr>
            <w:color w:val="0000EE"/>
            <w:u w:val="single"/>
          </w:rPr>
          <w:t>15.7–8</w:t>
        </w:r>
      </w:hyperlink>
      <w:r>
        <w:t>). O manuscrito não inclui a perícope da mulher adúltera (</w:t>
      </w:r>
      <w:hyperlink r:id="rId3702">
        <w:r>
          <w:rPr>
            <w:color w:val="0000EE"/>
            <w:u w:val="single"/>
          </w:rPr>
          <w:t>7.53–8.11</w:t>
        </w:r>
      </w:hyperlink>
      <w:r>
        <w:t>). O manuscrito pode ser datado do final do segundo ou início do terceiro século.</w:t>
      </w:r>
    </w:p>
    <w:p>
      <w:r/>
      <w:r>
        <w:t xml:space="preserve">O copista de P75 era um escriba alfabetizado treinado em fazer livros. Seu trabalho artesanal mostra-se através de sua caligrafia apertada e cópia controlada. A escrita apresentada neste manuscrito é tipicamente chamada pelos paleógrafos de tipo angular comum do final do segundo ao início do terceiro século. O cristianismo do escriba mostra-se em suas abreviaturas da </w:t>
      </w:r>
      <w:r>
        <w:rPr>
          <w:i/>
        </w:rPr>
        <w:t>nomina sacra</w:t>
      </w:r>
      <w:r>
        <w:t>, bem como em sua abreviação da palavra “cruz”. Esses são sinais reveladores de um escriba que pertencia à comunidade cristã. Além disso, o tipo de letra grande indica que o manuscrito foi composto para ser lido em voz alta para uma congregação cristã. O escriba até acrescentou um sistema de divisões seccionais para ajudar qualquer aspirante a leitor. Assim, temos um manuscrito escrito por um cristão para outros cristãos.</w:t>
      </w:r>
    </w:p>
    <w:p>
      <w:r/>
      <w:r>
        <w:t>Há várias indicações da orientação Alexandrina do escriba. Em primeiro lugar está sua perspicácia escritural. Ele é o melhor de todos os primeiros escribas cristãos, e seu manuscrito é uma cópia extremamente precisa. P75 é o trabalho de um escriba extremamente disciplinado que copiou com a intenção de ser cauteloso e preciso. Os estudiosos geralmente concordam que P75 exibe o tipo de texto que foi usado na criação do Códice Vaticano (há 87 porcento de concordância entre P75 e B). Como tal, os estudiosos textuais têm uma alta consideração pela fidelidade textual da P75.</w:t>
      </w:r>
    </w:p>
    <w:p>
      <w:pPr>
        <w:pStyle w:val="Heading4"/>
      </w:pPr>
      <w:r>
        <w:t>Outros Manuscritos de Papiro</w:t>
      </w:r>
    </w:p>
    <w:p>
      <w:r/>
      <w:r>
        <w:t>P4 + P64 + P67</w:t>
      </w:r>
    </w:p>
    <w:p>
      <w:r/>
      <w:r>
        <w:t>Esses três manuscritos de papiro fazem parte de um códice datado de 150–175 d.C. O manuscrito é o trabalho de um escriba profissional, e o texto é extremamente preciso.</w:t>
      </w:r>
    </w:p>
    <w:p>
      <w:r/>
      <w:r>
        <w:t>P32 (Papiro 5 de Rylands)</w:t>
      </w:r>
    </w:p>
    <w:p>
      <w:r/>
      <w:r>
        <w:t xml:space="preserve">Este manuscrito, preservando </w:t>
      </w:r>
      <w:hyperlink r:id="rId3720">
        <w:r>
          <w:rPr>
            <w:color w:val="0000EE"/>
            <w:u w:val="single"/>
          </w:rPr>
          <w:t>Tito 1.11–15</w:t>
        </w:r>
      </w:hyperlink>
      <w:r>
        <w:t xml:space="preserve">; </w:t>
      </w:r>
      <w:hyperlink r:id="rId3721">
        <w:r>
          <w:rPr>
            <w:color w:val="0000EE"/>
            <w:u w:val="single"/>
          </w:rPr>
          <w:t>2.3–8</w:t>
        </w:r>
      </w:hyperlink>
      <w:r>
        <w:t>, é datado de ca. 175, tornando-se a primeira cópia existente de qualquer uma das Epístolas Pastorais. P32 mostra concordância com א e com F e G. Uma vez que F e G (manuscritos quase idênticos) retornam ao mesmo arquétipo, é possível que P32 possa estar ligado à mesma fonte.</w:t>
      </w:r>
    </w:p>
    <w:p>
      <w:r/>
      <w:r>
        <w:t>P52 (Papiro Rylands 457)</w:t>
      </w:r>
    </w:p>
    <w:p>
      <w:r/>
      <w:r>
        <w:t xml:space="preserve">Este fragmento, contendo </w:t>
      </w:r>
      <w:hyperlink r:id="rId3722">
        <w:r>
          <w:rPr>
            <w:color w:val="0000EE"/>
            <w:u w:val="single"/>
          </w:rPr>
          <w:t>João 18.31–34, 37–38</w:t>
        </w:r>
      </w:hyperlink>
      <w:r>
        <w:t>, é digno de atenção por causa de sua datação. ca. 110–125. Muitos estudiosos (F. Kenyon, H. I. Bell, A. Deissmann e W. H. P. Hatch) confirmaram esta datação. O manuscrito veio do sítio Faium ou Oxirrinco. Foi adquirido em 1920 por Grenfell, mas permaneceu despercebido entre centenas de papiros até 1934, quando C. H. Roberts reconheceu que este fragmento preserva alguns versos do Evangelho de João.</w:t>
      </w:r>
    </w:p>
    <w:p>
      <w:pPr>
        <w:pStyle w:val="Heading3"/>
      </w:pPr>
      <w:r>
        <w:t>Importantes manuscritos unciais</w:t>
      </w:r>
    </w:p>
    <w:p>
      <w:r/>
      <w:r>
        <w:t>Os manuscritos tipicamente classificados como “unciais” são nomeados assim para diferenciá-los dos manuscritos de papiro. De certo modo, este é um equívoco porque a verdadeira diferença tem a ver com o material em que estão escritos — velino (couro de animais tratados) em comparação com papiro — não o tipo de letras usadas. De fato, os papiros também estão escritos em unciais (letras maiúsculas), mas o termo “uncial” normalmente descreve as letras maiúsculas que eram proeminentes nos textos bíblicos do quarto século, como em א, A, B, C.</w:t>
      </w:r>
    </w:p>
    <w:p>
      <w:pPr>
        <w:pStyle w:val="Heading4"/>
      </w:pPr>
      <w:r>
        <w:t>Códice Sinaítico (ou א)</w:t>
      </w:r>
    </w:p>
    <w:p>
      <w:r/>
      <w:r>
        <w:t>Este códice contém todo o AT e o NT nesta ordem: os quatro Evangelhos, as Epístolas Paulinas (incluindo Hebreus), Atos, as Epístolas Gerais, Apocalipse. Também inclui a Epístola de Barnabé e o Pastor de Hermas. O códice não pode ser anterior a 340 (o ano em que Eusébio morreu) porque as seções eusebianas do texto são indicadas nas margens dos Evangelhos por alguém contemporâneo. A maioria dos estudiosos o data de 350–375.</w:t>
      </w:r>
    </w:p>
    <w:p>
      <w:r/>
      <w:r>
        <w:t>Este códice foi descoberto por Constantin von Tischendorf no Mosteiro de Santa Catarina (situado ao pé do Monte Sinai). Em uma visita ao mosteiro em 1844, ele notou em um cesto de lixo algumas folhas de pergaminho que estavam sendo usadas para acender as lâmpadas. Ele pôde pegar estes papéis, que provaram ser 43 folhas de várias partes da tradução grega do AT.</w:t>
      </w:r>
    </w:p>
    <w:p>
      <w:r/>
      <w:r>
        <w:t>Em 1853, ele fez uma segunda viagem para o mosteiro e não encontrou nada. Em 1859, no entanto, em sua terceira viagem, ele encontrou não apenas outras partes do AT, mas também o Novo Testamento completo. Ele finalmente foi capaz de persuadir as autoridades do mosteiro a apresentar o manuscrito ao czar, o grande patrono da Igreja Católica Grega, que o colocou na Biblioteca Imperial em São Petersburgo. O czar deu grandes honras ao mosteiro e suas autoridades, e todos pareciam bem satisfeitos. Mais tarde Tischendorf foi acusado de ter roubado o manuscrito de seus proprietários legais, mas os melhores estudiosos textuais não aceitam essa história.</w:t>
      </w:r>
    </w:p>
    <w:p>
      <w:r/>
      <w:r>
        <w:t>O manuscrito permaneceu na Biblioteca Imperial até 1933, quando foi comprado pelo Museu Britânico pela enorme quantia de £100.000 (cerca de US$ 500.000). A crítica textual ganhou destaque nas manchetes porque um manuscrito foi comprado por tanto dinheiro, levantado em grande parte por contribuição pública durante a Grande Depressão. O manuscrito está agora em exibição na sala de manuscritos do museu, onde é considerado um de seus bens mais valiosos.</w:t>
      </w:r>
    </w:p>
    <w:p>
      <w:r/>
      <w:r>
        <w:t>O texto do Sinaítico está proximamente relacionado ao do Códice Vaticano. Eles concordam em apresentar o tipo mais puro de texto, geralmente chamado de tipo de texto alexandrino. Tischendorf usou grandemente a evidência textual do Códice SinaÍtico na preparação de suas edições críticas do NT grego. Tischendorf pensou que quatro escribas haviam originalmente produzido o códice, a quem ele chamou de escribas A, B, C, D. Após uma nova investigação, H. J. Milne e T. C. Skeat identificaram apenas três escribas: O (que escreveu os livros históricos e poéticos do AT, bem como a maior parte do NT), B (que escreveu os profetas e o pastor de Hermas) e D (que escreveu alguns Salmos, Tobias, Judite e 4 Macabeus, e refez pequenas seções do NT). Milne e Skeat demonstraram que o escriba A do Códice Vaticano era provavelmente o mesmo escriba D do Códice Sinaítico. Se isso for verdade, então א é contemporâneo de B — talvez produzido no mesmo scriptorium em Alexandria. O Códice Sinaítico fornece um testemunho bastante confiável do NT; no entanto, o escriba não era tão cauteloso quanto o escriba de B.</w:t>
      </w:r>
    </w:p>
    <w:p>
      <w:pPr>
        <w:pStyle w:val="Heading4"/>
      </w:pPr>
      <w:r>
        <w:t>Códice Alexandrino (A)</w:t>
      </w:r>
    </w:p>
    <w:p>
      <w:r/>
      <w:r>
        <w:t>Este é um dos três códices mais importantes que contém as primeiras cópias de toda a Bíblia em grego (os outros dois são os códices do Vaticano e o Sinaítico). O nome Alexandrino vem de registros antigos que sugerem que foi copiado no Egito durante o início do quinto século d.C. A história inicial deste manuscrito e sua proveniência egípcia é parcialmente revelada em suas primeiras e últimas páginas. Uma nota de Cirilo Lucaris (patriarca de Alexandria e depois de Constantinopla na década de 1620) afirma que, de acordo com a tradição, foi escrita por Thecla, uma nobre dama do Egito logo após o Concílio de Niceia (325) e que seu nome estava originalmente inscrito no final do volume, mas a última página foi perdida devido a cortes. Uma nota árabe do século XIII ou XIV também diz que o manuscrito foi escrito por “Thecla, a mártir”. Outra nota árabe diz que foi apresentada à célula patriarcal de Alexandria (ca. 1098). Cirilo Lucaris levou o manuscrito de Alexandria para Constantinopla em 1621 e depois o deu a Carlos I da Inglaterra em 1627, onde se tornou parte da Biblioteca Real, então mais tarde do Museu Britânico.</w:t>
      </w:r>
    </w:p>
    <w:p>
      <w:r/>
      <w:r>
        <w:t>Apenas 773 das aproximadamente 820 páginas originais ainda existem. O resto foi perdido enquanto o livro era passado através dos séculos. As partes sobreviventes do Alexandrino contêm uma tradução grega de todo o AT, os apócrifos (incluindo quatro livros de Macabeus e o Salmo 151), a maior parte do NT e alguns primeiros escritos cristãos (dos quais a Primeira e a Segunda Epístolas de Clemente aos Coríntios são os mais importantes).</w:t>
      </w:r>
    </w:p>
    <w:p>
      <w:r/>
      <w:r>
        <w:t xml:space="preserve">Frederico Kenyon pensou que o códice era o trabalho de cinco escribas, para cada um dos quais ele atribuiu um numeral romano. De acordo com Kenyon, os escribas I e II copiaram o AT; o escriba III copiou Mateus, Marcos, </w:t>
      </w:r>
      <w:hyperlink r:id="rId3723">
        <w:r>
          <w:rPr>
            <w:color w:val="0000EE"/>
            <w:u w:val="single"/>
          </w:rPr>
          <w:t>1 Coríntios 10.8</w:t>
        </w:r>
      </w:hyperlink>
      <w:r>
        <w:t xml:space="preserve"> — </w:t>
      </w:r>
      <w:hyperlink r:id="rId3724">
        <w:r>
          <w:rPr>
            <w:color w:val="0000EE"/>
            <w:u w:val="single"/>
          </w:rPr>
          <w:t>Filemom 1.25</w:t>
        </w:r>
      </w:hyperlink>
      <w:r>
        <w:t xml:space="preserve">; o escriba IV copiou Lucas — Atos, Epístolas Gerais, </w:t>
      </w:r>
      <w:hyperlink r:id="rId3725">
        <w:r>
          <w:rPr>
            <w:color w:val="0000EE"/>
            <w:u w:val="single"/>
          </w:rPr>
          <w:t>Romanos 1.1 — 1 Coríntios 10.8</w:t>
        </w:r>
      </w:hyperlink>
      <w:r>
        <w:t>; e o escriba V copiou Apocalipse. Milne e Skeat, no entanto, argumentaram que todo o códice era o trabalho de dois copistas (I e II). W. H. P. Hatch observou que muitas correções foram feitas no manuscrito, a maioria delas num período próximo da criação do códice. Algumas dessas correções foram introduzidas pelo próprio escriba, e outras vieram de mãos posteriores.</w:t>
      </w:r>
    </w:p>
    <w:p>
      <w:r/>
      <w:r>
        <w:t>Evidentemente, os escribas deste códice usavam exemplares de qualidade variável para várias seções do NT. O exemplar usado para os Evangelhos era de baixa qualidade, refletindo um tipo de texto bizantino. Sua atestação nas Epístolas é muito melhor, e em Apocalipse fornece o melhor exemplar do texto original.</w:t>
      </w:r>
    </w:p>
    <w:p>
      <w:pPr>
        <w:pStyle w:val="Heading4"/>
      </w:pPr>
      <w:r>
        <w:t>Códice Vaticano (B)</w:t>
      </w:r>
    </w:p>
    <w:p>
      <w:r/>
      <w:r>
        <w:t>O Códice Vaticano, é o Manuscrito do Vaticano, assim chamado porque é o manuscrito mais famoso na Biblioteca do Vaticano em Roma. Este manuscrito está na biblioteca do Vaticano desde pelo menos 1475, mas não era disponibilizado para estudiosos, como Constantin von Tischendorf e Samuel Tregelles, até meados do século XIX.</w:t>
      </w:r>
    </w:p>
    <w:p>
      <w:r/>
      <w:r>
        <w:t xml:space="preserve">Ao mesmo tempo, o códice continha toda a Bíblia grega, incluindo a maioria dos livros dos Apócrifos, mas perdeu muitas de suas folhas. Originalmente, devia ter cerca de 820 folhas (1.640 páginas), mas agora tem 759—617 no AT e 142 no NT. As principais lacunas do manuscrito são </w:t>
      </w:r>
      <w:hyperlink r:id="rId3726">
        <w:r>
          <w:rPr>
            <w:color w:val="0000EE"/>
            <w:u w:val="single"/>
          </w:rPr>
          <w:t>Gênesis 1.1–46.28</w:t>
        </w:r>
      </w:hyperlink>
      <w:r>
        <w:t xml:space="preserve">; </w:t>
      </w:r>
      <w:hyperlink r:id="rId3727">
        <w:r>
          <w:rPr>
            <w:color w:val="0000EE"/>
            <w:u w:val="single"/>
          </w:rPr>
          <w:t>2 Samuel 2.5–7, 10–13</w:t>
        </w:r>
      </w:hyperlink>
      <w:r>
        <w:t xml:space="preserve">; </w:t>
      </w:r>
      <w:hyperlink r:id="rId3728">
        <w:r>
          <w:rPr>
            <w:color w:val="0000EE"/>
            <w:u w:val="single"/>
          </w:rPr>
          <w:t>Salmos 106.27–138.6</w:t>
        </w:r>
      </w:hyperlink>
      <w:r>
        <w:t xml:space="preserve">; </w:t>
      </w:r>
      <w:hyperlink r:id="rId3729">
        <w:r>
          <w:rPr>
            <w:color w:val="0000EE"/>
            <w:u w:val="single"/>
          </w:rPr>
          <w:t>Hebreus 9.14–13.25</w:t>
        </w:r>
      </w:hyperlink>
      <w:r>
        <w:t>; as Epístolas Pastorais; e Apocalipse. Cada folha mede 26,7 por 25,4 centímetros. Cada página tem três colunas (duas para os livros poéticos) com 40 a 44 linhas em cada coluna. O manuscrito foi escrito por dois escribas diferentes. É datado do início ao meio do quarto século. Não se sabe onde o manuscrito se originou, mas está na Biblioteca do Vaticano desde o tempo de sua primeira catalogação em 1475.</w:t>
      </w:r>
    </w:p>
    <w:p>
      <w:r/>
      <w:r>
        <w:t>Quando Napoleão conquistou Roma, ele trouxe seus tesouros para Paris, incluindo este manuscrito. O estudioso Hug o identificou e chamou a atenção de outros estudiosos para ele. Após a queda de Napoleão, o manuscrito foi devolvido para a Biblioteca do Vaticano. Estudiosos textuais competentes não podiam fazer um trabalho minucioso até que uma edição fotográfica foi publicada em 1890. Está agora em exposição na Biblioteca do Vaticano.</w:t>
      </w:r>
    </w:p>
    <w:p>
      <w:r/>
      <w:r>
        <w:t>O texto do Manuscrito do Vaticano é muito parecido com o do Códice Sinaítico. Esses são geralmente reconhecidos como os dois melhores exemplos do tipo alexandrino de texto grego do NT. O texto grego do AT é muito bom também, mas não é tão importante, pois a língua original do AT era hebraico. Praticamente todos os estudiosos textuais desde os dias de Brooke Westcott e Fenton Hort (que lançaram seu Testamento grego, incluindo sua teoria da crítica textual, em 1881), reconhecem este tipo neutro de texto como um texto muito antigo e muito puro, uma reprodução extremamente precisa do que o texto original deve ter sido. Westcott e Hort chamaram-no de um texto do século II preciso em 999 de 1.000 palavras até agora no que se refere a qualquer questão de diferença traduzível. Os manuscritos א e B são os melhores exemplos deste tipo de texto, mas ele também é encontrado em alguns outros manuscritos unciais gregos, algumas das primeiras traduções e nos escritos de alguns dos pais da igreja primitiva. Desde os dias de Westcott e Hort, sua teoria foi confirmada pela descoberta de alguns manuscritos de papiro, notavelmente o Papiro Bodmer, descoberto na década de 1950.</w:t>
      </w:r>
    </w:p>
    <w:p>
      <w:pPr>
        <w:pStyle w:val="Heading4"/>
      </w:pPr>
      <w:r>
        <w:t>Códice de Efrém Reescrito (C)</w:t>
      </w:r>
    </w:p>
    <w:p>
      <w:r/>
      <w:r>
        <w:t>Este códice é um palimpsesto (a escrita original foi apagada e palavras diferentes escritas no mesmo material). Originalmente continha toda a Bíblia, mas agora tem apenas partes de seis livros do AT e porções de todos os livros do NT, exceto 2 Tessalonicenses e 2 João. O texto da Bíblia de uma coluna só, escrito no quinto século d.C., foi apagado no século XII e substituído por um texto de duas colunas de uma tradução grega de sermões ou tratados de um certo Efrém, um líder da igreja síria do quarto século. Tal prática era comum em períodos de depressão econômica ou quando o pergaminho estava escasso. A escrita original era raspada da superfície de escrita e o material alisado. Então novas composições poderiam ser escritas na superfície preparada. Usando produtos químicos, Tischendorf era capaz de ler grande parte do documento apagado.</w:t>
      </w:r>
    </w:p>
    <w:p>
      <w:r/>
      <w:r>
        <w:t>O manuscrito pode ter sido trazido do leste para Florença por um homem instruído no grego chamado João Láscaris no tempo de Lourenço de Médici. Uma vez que Láscaris era conhecido como Rindaceno (do rio Ríndaco), ele provavelmente veio da região da Frígia (local da antiga Laodiceia). Onde o manuscrito estava antes disso não é conhecido. O manuscrito de Efrém foi trazido para a Itália no início do século XVI, onde se tornou propriedade da família Médici. Catarina de Médici o levou para a França, onde permanece hoje.</w:t>
      </w:r>
    </w:p>
    <w:p>
      <w:r/>
      <w:r>
        <w:t>O texto deste manuscrito é misturado — é composto de todos os principais tipos de texto, concordando frequentemente com o koiné posterior do tipo bizantino, que a maioria dos estudiosos considera o tipo menos valioso de texto do NT.</w:t>
      </w:r>
    </w:p>
    <w:p>
      <w:pPr>
        <w:pStyle w:val="Heading4"/>
      </w:pPr>
      <w:r>
        <w:t>Códice de Beza (D)</w:t>
      </w:r>
    </w:p>
    <w:p>
      <w:r/>
      <w:r>
        <w:t>Este é um diglota grego-latino contendo Mateus — Atos, 3 João, com lacunas. A maioria dos estudiosos data-o no final do quarto ou início do quinto século (ca. 400). Alguns estudiosos acreditam que o códice foi produzido no Egito ou no norte da África por um escriba que tinha latim como sua língua materna. Outro estudioso (D. C. Parker) argumentou que este códice foi copiado em Beirute, um centro de estudos jurídicos latinos durante o quinto século, onde tanto o latim quanto o grego eram usados. Evidentemente, o códice foi produzido por um escriba que conhecia o latim melhor do que o grego, e então foi corrigido por vários escribas. De qualquer forma, o códice de alguma forma chegou às mãos de Teodoro de Beza, estudioso francês e sucessor de Calvino. Beza o deu à Biblioteca da Universidade de Cambridge em 1581.</w:t>
      </w:r>
    </w:p>
    <w:p>
      <w:r/>
      <w:r>
        <w:t>Este códice é provavelmente o mais controverso dos unciais do NT por causa de sua independência marcada. Suas muitas adições, omissões e alterações (especialmente em Lucas e Atos) são o trabalho de um teólogo significativo. Alguns manuscritos anteriores (P29, P38, P48 e 0171) parecem ser antecessores do tipo de texto encontrado em D, que é considerado a principal testemunha do tipo de texto ocidental. Assim, o Códice de Beza poderia ser uma cópia de uma edição revisada anterior. Este revisor deve ter sido um estudioso que tinha uma propensão a adicionar detalhes históricos, biográficos e geográficos. Mais do que tudo, ele tinha a intenção de preencher lacunas na narrativa adicionando detalhes circunstanciais.</w:t>
      </w:r>
    </w:p>
    <w:p>
      <w:pPr>
        <w:pStyle w:val="Heading4"/>
      </w:pPr>
      <w:r>
        <w:t>Códice Washingtoniano, ou Os Evangelhos de Freer (W)</w:t>
      </w:r>
    </w:p>
    <w:p>
      <w:r/>
      <w:r>
        <w:t>Este códice, datado por volta de 400, tem os quatro Evangelhos e Atos. É muitas vezes referido como os Evangelhos de Freer — nomeados em homenagem ao seu proprietário, Charles Freer. O códice provavelmente veio das ruínas de um mosteiro perto de Gizé. A caligrafia é bastante semelhante à encontrada em um fragmento do quinto século do livro de Enoque encontrado em Acmim em 1886.</w:t>
      </w:r>
    </w:p>
    <w:p>
      <w:r/>
      <w:r>
        <w:t>O Códice W foi copiado de um manuscrito matriz (exemplar) que havia sido reunido de vários manuscritos diferentes. Isso é óbvio porque a apresentação textual de W é visivelmente diversificado e até mesmo a estratificação do texto é combinada com variações semelhantes nas quebras de parágrafos. O escriba que reuniu o manuscrito matriz se baseou em várias fontes para montar seu códice do Evangelho. É provável que o escriba do manuscrito matriz usou um texto que veio do norte da África (o texto “ocidental”) para a primeira parte de Marcos, e o escriba de W usou manuscritos de Antioquia para Mateus e a segunda parte de Lucas para preencher as lacunas no manuscrito mais antigo que ele estava copiando. A análise textual detalhada revela as estratificações textuais variadas de W, como segue. em Mateus, o texto é bizantino; em Marcos, o texto é primeiramente ocidental (</w:t>
      </w:r>
      <w:hyperlink r:id="rId3730">
        <w:r>
          <w:rPr>
            <w:color w:val="0000EE"/>
            <w:u w:val="single"/>
          </w:rPr>
          <w:t>1.1–5.30</w:t>
        </w:r>
      </w:hyperlink>
      <w:r>
        <w:t xml:space="preserve">), depois cesariano em </w:t>
      </w:r>
      <w:hyperlink r:id="rId3731">
        <w:r>
          <w:rPr>
            <w:color w:val="0000EE"/>
            <w:u w:val="single"/>
          </w:rPr>
          <w:t>Marcos 5.31–16.20</w:t>
        </w:r>
      </w:hyperlink>
      <w:r>
        <w:t xml:space="preserve"> (semelhante a P45); em Lucas, o texto é primeiramente alexandrino (</w:t>
      </w:r>
      <w:hyperlink r:id="rId3732">
        <w:r>
          <w:rPr>
            <w:color w:val="0000EE"/>
            <w:u w:val="single"/>
          </w:rPr>
          <w:t>1.1–8.12</w:t>
        </w:r>
      </w:hyperlink>
      <w:r>
        <w:t>), depois bizantino. João é mais complicado porque a primeira parte de João (</w:t>
      </w:r>
      <w:hyperlink r:id="rId3733">
        <w:r>
          <w:rPr>
            <w:color w:val="0000EE"/>
            <w:u w:val="single"/>
          </w:rPr>
          <w:t>1.1–5.11</w:t>
        </w:r>
      </w:hyperlink>
      <w:r>
        <w:t>), que preenche um caderno, era o trabalho de um escriba do sétimo século que deve ter reposto um caderno danificado. (Ws designa a obra deste escriba). Esta primeira seção tem uma mistura de leituras alexandrinas e ocidentais, assim como o resto de João.</w:t>
      </w:r>
    </w:p>
    <w:p>
      <w:pPr>
        <w:pStyle w:val="Heading4"/>
      </w:pPr>
      <w:r>
        <w:t>Códice 1739</w:t>
      </w:r>
    </w:p>
    <w:p>
      <w:r/>
      <w:r>
        <w:t>Este códice do século X tem Atos e as Epístolas. O manuscrito foi descoberto no Monte Atos em 1879 por E. von der Goltz. O manuscrito tem fortes afinidades textuais com P46, B, 1739, Copta Saídico, Copta Boárico, Clemente e Orígenes. A relação entre P46, B e 1739 é notável porque 1739 é um manuscrito do século X que foi copiado de um manuscrito do século IV de excelente qualidade. De acordo com um colofão, os escritos de 1739 das Epístolas Paulinas seguiam um manuscrito que veio de Cesareia na biblioteca de Pânfilo e que continha um texto de Orígenes. Os três manuscritos P46, B e 1739, formam uma linha textual clara: de P46 (início do segundo século) a B (início do quarto século) a 1739 (século X baseado no do quarto século).</w:t>
      </w:r>
    </w:p>
    <w:p>
      <w:pPr>
        <w:pStyle w:val="Heading3"/>
      </w:pPr>
      <w:r>
        <w:t>O texto do Novo Testamento</w:t>
      </w:r>
    </w:p>
    <w:p>
      <w:r/>
      <w:r>
        <w:t>O texto original do NT é o texto “publicado” — isto é, o texto como estava em sua forma final editada e lançado para circulação na comunidade cristã. Para alguns livros do NT, há pouca diferença entre a composição original e o texto publicado. Depois que o autor escreveu ou ditou seu trabalho, ele (ou um associado) fez as correções editoriais finais e depois o liberou para distribuição. Como é o caso dos livros publicados nos tempos modernos, nos tempos antigos, a escrita original do autor nem sempre é a mesma que o que é publicado — devido ao processo editorial. No entanto, o autor é creditado com o texto final editado, e o livro publicado é atribuído ao autor e considerado o autógrafo (ou seja, o texto original do autor). Este autógrafo é o texto original publicado. É claro, neste caso os autógrafos não existem, então os estudiosos têm que confiar nas cópias para restaurar ou reconstruir a redação original.</w:t>
      </w:r>
    </w:p>
    <w:p>
      <w:r/>
      <w:r>
        <w:t>Alguns estudiosos pensam que é impossível restaurar o texto original do NT grego porque eles não foram capazes de reconstruir a história inicial da transmissão textual. Outros estudiosos modernos são menos pessimistas, mas ainda bastante cautelosos ao afirmar a possibilidade. E ainda outros são otimistas porque possuímos muitos manuscritos iniciais de excelente qualidade e porque nossa visão do período inicial da transmissão textual está ficando cada vez mais clara.</w:t>
      </w:r>
    </w:p>
    <w:p>
      <w:r/>
      <w:r>
        <w:t>Quando falamos de restaurar o texto do NT, estamos nos referindo aos livros individuais do NT, não ao volume inteiro em si, porque cada livro (ou grupo de livros — como as Epístolas) teve sua própria história única de transmissão textual. A primeira cópia existente de um texto inteiro do NT é a preservada no Códice Sinaítico (escrito por volta de 375 d.C.). (Códice Vaticano não tem as Epístolas Pastorais e Apocalipse). Antes do quarto século, o NT era distribuído em suas várias partes. como um único livro ou um grupo de livros (como os quatro Evangelhos ou as Epístolas Paulinas). Os manuscritos do final do primeiro ao terceiro século foram encontrados com livros individuais, como Mateus (P1, P77), Marcos (P88), Lucas (P69), João (P5, 22, 52, 66), Atos (P91), Apocalipse (P18, 47), ou contendo grupos de livros, como os quatro Evangelhos com Atos (P45), as Epístolas Paulinas (P30, P46, P92), as Epístolas Petrinas e Judas (P72). Cada um dos livros do NT teve sua própria história textual e foi preservado com vários graus de precisão. No entanto, todos os livros foram alterados do estado original devido ao processo de cópia manual década após década e século após século. E o texto de cada um dos livros precisa ser restaurado.</w:t>
      </w:r>
    </w:p>
    <w:p>
      <w:r/>
      <w:r>
        <w:t>O texto do NT foi afetado com muitas variações na sua história primária. No final do primeiro e início do segundo século, as tradições orais e a palavra escrita existiam lado a lado com status igual — especialmente no que diz respeito ao material dos Evangelhos. Muitas vezes, o texto era alterado por escribas tentando conformar a mensagem escrita com a tradição oral ou tentando conformar um relato do Evangelho com outro. No final do segundo e no terceiro século, muitas leituras significativas variantes entraram no fluxo textual.</w:t>
      </w:r>
    </w:p>
    <w:p>
      <w:r/>
      <w:r>
        <w:t>O período inicial de transmissão textual, no entanto, não foi completamente marcado pela infidelidade textual e liberdade dos escribas. Havia aqueles escribas que copiavam o texto fiel e reverentemente — isto é, eles reconheciam que estavam copiando um texto sagrado escrito por um apóstolo. A formalização da canonização não atribuía esta sacralidade ao texto. A canonização surgiu como o resultado do reconhecimento comum e histórico da sacralidade de vários livros do NT. Certos livros do NT, como os quatro Evangelhos, Atos e as epístolas de Paulo eram considerados literatura inspirada desde o início. Como tal, certos escribas os copiaram com fidelidade reverente.</w:t>
      </w:r>
    </w:p>
    <w:p>
      <w:r/>
      <w:r>
        <w:t>Outros escribas, no entanto, se sentiram livres para fazer “melhorias” no texto — seja no interesse da doutrina e da harmonização, seja devido à influência de uma tradição oral competitiva. Os manuscritos produzidos de tal maneira criaram um tipo de “texto popular” — isto é, um texto descontrolado. (Este tipo de texto costumava ser chamado de “texto ocidental”, mas os estudiosos agora reconhecem isso como um nome impróprio).</w:t>
      </w:r>
    </w:p>
    <w:p>
      <w:r/>
      <w:r>
        <w:t>Durante o segundo século, havia alguns homens que produziam recensões do texto do NT. De acordo com Eusébio, Teódoto (e seus seguidores) alterou o texto para seus próprios propósitos. Em meados do segundo século, Marcião eliminou todas as referências ao contexto judaico de Jesus de suas cópias do Evangelho de acordo com Lucas e, a harmonia dos Evangelhos de Tatiano contém várias alterações textuais que deram suporte a visões ascéticas. E ainda outro criou o texto do tipo D para os Evangelhos e Atos. Este redator com pensamento teológico, vivendo no final do segundo ou terceiro século, criou um texto que tinha pouca popularidade. Papiros do terceiro século, P29, P38, P48, cada um contendo uma parte do livro de Atos, podem ser antecessores do texto do tipo D em Atos. Mas há outros papiros contendo porções de Atos que fornecem testemunho ainda mais anterior de uma forma mais pura de Atos — ou seja, P45 (ca. 150) e P91 (ca. 200), mostrando assim que o texto do tipo D de Atos não necessariamente antecede a forma mais pura.</w:t>
      </w:r>
    </w:p>
    <w:p>
      <w:r/>
      <w:r>
        <w:t>Além desses esforços — que são todos conhecidos por criar impurezas textuais — não havia nenhuma recensão do texto do NT no segundo século. Em vez disso, este foi um período em que havia escribas que exerciam liberdade ao copiar e aqueles que demonstravam perspicácia. Os manuscritos produzidos por estes são aqueles que mais se aproximam de preservar o texto original. Um excelente exemplo de um manuscrito preciso do final do segundo século é o P75.</w:t>
      </w:r>
    </w:p>
    <w:p>
      <w:r/>
      <w:r>
        <w:t xml:space="preserve">É um fato bem conhecido que o texto produzido pelo escriba de P75 é um manuscrito muito preciso. Também é bem conhecido que P75 foi o tipo de manuscrito usado na formulação do Códice Vaticano—as leituras de P75 e B são notavelmente semelhantes. Antes da descoberta de P75, certos estudiosos pensavam que o Códice Vaticano era o trabalho de uma recensão do quarto século; outros (principalmente Hort) pensavam que ele deveria remontar a uma cópia muito antiga e precisa. Hort disse que o Códice Vaticano preserva “não apenas um texto muito antigo, mas uma linha muito pura de um texto muito antigo” (Westcott e Hort, </w:t>
      </w:r>
      <w:r>
        <w:rPr>
          <w:i/>
        </w:rPr>
        <w:t>A</w:t>
      </w:r>
      <w:r>
        <w:t xml:space="preserve"> </w:t>
      </w:r>
      <w:r>
        <w:rPr>
          <w:i/>
        </w:rPr>
        <w:t>Introdução ao Novo Testamento no Grego Original</w:t>
      </w:r>
      <w:r>
        <w:t>, pp 250–51). P75 parece ter mostrado que Hort estava certo.</w:t>
      </w:r>
    </w:p>
    <w:p>
      <w:r/>
      <w:r>
        <w:t>Antes da descoberta de P75, muitos estudiosos textuais estavam convencidos de que os papiros do segundo e do terceiro século exibiam um texto fluído, caracterizado apenas pela independência individual. O Papiro Chester Beatty, P45, e os Papiros Bodmer, P66 e P72 (em 2 Pedro e Judas), mostram este tipo de independência. Os estudiosos pensavam que os escribas em Alexandria deveriam ter usado vários desses textos para produzir uma boa recensão — como é exibido no Códice Vaticano. Mas agora sabemos que o Códice Vaticano, não era o resultado de uma recensão acadêmica, resultante da seleção editorial entre as várias histórias textuais. Em vez disso, agora está bastante claro que o Códice Vaticano, era simplesmente uma cópia (com algumas modificações) de um manuscrito muito parecido com P75, não uma recensão do quarto século.</w:t>
      </w:r>
    </w:p>
    <w:p>
      <w:r/>
      <w:r>
        <w:t>Alguns estudiosos podem apontar que isso não significa automaticamente que P75 e B representam o texto original. O que significa, dizem eles, é que temos um manuscrito do segundo século mostrando grande afinidade com um manuscrito do quarto século cuja qualidade tem sido altamente estimada. Mas vários estudiosos demonstraram que não havia nenhuma recensão alexandrina antes do período de P75 (final do segundo século) e B (início do quarto século) e que ambos os manuscritos representam uma forma relativamente pura de preservação de uma linha relativamente pura de descendência a partir do texto original.</w:t>
      </w:r>
    </w:p>
    <w:p>
      <w:r/>
      <w:r>
        <w:t xml:space="preserve">A visão atual sobre o texto inicial é que certos escribas em Alexandria e/ou escribas familiarizados com as práticas escriturais alexandrinas (talvez aqueles em Oxirrinco) provavelmente eram responsáveis por manter um texto relativamente puro ao longo do segundo, terceiro e quarto século. Os escribas alexandrinos, associados ou realmente empregados pelo scriptorium da grande biblioteca alexandrina e/ou membros do scriptorium associados à escola catequética de Alexandria (chamada de </w:t>
      </w:r>
      <w:r>
        <w:rPr>
          <w:i/>
        </w:rPr>
        <w:t>Didaskaleion</w:t>
      </w:r>
      <w:r>
        <w:t>), eram filólogos, gramáticos e críticos textuais treinados. Seu trabalho no NT não era de recensão — isto é, não era uma emenda organizada do texto. Em vez disso, o trabalho de purificação e preservação provavelmente era feito aqui e ali por vários indivíduos treinados em crítica textual. Isso é aparente na produção de P66, que contém o Evangelho de João. Este manuscrito provavelmente foi produzido em um scriptorium egípcio por um escriba novato que cometeu muitos erros, que foram posteriormente corrigidos por outro escriba trabalhando no mesmo scriptorium. O primeiro texto produzido pelo novato poderia ser classificado como muito “livre”, mas o texto corrigido é muito mais preciso. (Veja o debate sobre este manuscrito, acima.)</w:t>
      </w:r>
    </w:p>
    <w:p>
      <w:r/>
      <w:r>
        <w:t xml:space="preserve">O que parece ter acontecido com a cópia do texto do NT no período antigo no Egito foi incisivamente caracterizado por Zuntz. Ele disse que quando um livro era imensamente popular (como a </w:t>
      </w:r>
      <w:r>
        <w:rPr>
          <w:i/>
        </w:rPr>
        <w:t>Ilíada</w:t>
      </w:r>
      <w:r>
        <w:t xml:space="preserve"> e a </w:t>
      </w:r>
      <w:r>
        <w:rPr>
          <w:i/>
        </w:rPr>
        <w:t>Odisseia</w:t>
      </w:r>
      <w:r>
        <w:t xml:space="preserve"> de Homero, ou os escritos de Platão), era copiado com entusiasmo exagerado por novatos e estudiosos. Mas quando gramáticos e escribas ficaram sabendo disso, eles tentaram se livrar da corrupção textual. No processo, no entanto, eles podem ter dissipado algumas leituras autênticas, mas não muitas. Assim, o texto popular (também conhecido como “texto ocidental”) poderia ter preservado a redação original em alguns casos. O tipo popular ou livre de texto é exibido em vários manuscritos do terceiro século: P9, P37, P40, P45, P72 e P78.</w:t>
      </w:r>
    </w:p>
    <w:p>
      <w:r/>
      <w:r>
        <w:t>Em resumo, este texto popular geralmente é exibido em qualquer tipo de manuscrito que não foi produzido pelas influências alexandrinas. Este texto, dado à independência, não é tão confiável quanto o tipo de texto alexandrino. Mas como o texto alexandrino é conhecido como um texto polido, o texto popular às vezes preservava a redação original. Quando uma leitura variante tem o apoio dos textos “ocidental” e alexandrino, é muito provável que seja original; mas quando os dois estão divididos, as testemunhas alexandrinas preservam com mais frequência a redação original.</w:t>
      </w:r>
    </w:p>
    <w:p>
      <w:r/>
      <w:r>
        <w:t xml:space="preserve">Um dilema ainda permanece para alguns críticos textuais. Eles não podem explicar como um texto do tipo P75/B coexistiu com um texto do tipo ocidental no segundo século. Tudo o que pode ser dito é que o texto ocidental geralmente parece ser inferior ao texto do tipo P75/B. É claro, este tipo de julgamento perturba certos estudiosos, que apontam que a estima dada a B e P75 é baseada em uma apreciação subjetiva do tipo de texto que eles contêm (contra o texto ocidental) em vez de em qualquer tipo de reconstrução teórica da transmissão inicial do texto. Esta mesma estimativa subjetiva estava em ação quando Westcott e Hort decidiram que B era intrinsecamente superior a D (veja sua </w:t>
      </w:r>
      <w:r>
        <w:rPr>
          <w:i/>
        </w:rPr>
        <w:t>Introdução,</w:t>
      </w:r>
      <w:r>
        <w:t xml:space="preserve"> pp 32–42). No entanto, a práxis da crítica textual demonstra repetidamente que o texto do tipo P75/B é intrinsecamente superior ao texto ocidental.</w:t>
      </w:r>
    </w:p>
    <w:p>
      <w:r/>
      <w:r>
        <w:t>Na análise final, os manuscritos que representam uma preservação pura do texto original são geralmente aqueles chamados de “Alexandrinos”. Alguns estudiosos, como Bruce Metzger, chamaram os manuscritos anteriores de “proto-alexandrinos”, pois eles (ou manuscritos como eles) são considerados como sendo usados para compor um texto do tipo alexandrino. No entanto, isso é olhar para as coisas da perspectiva do quarto século. Devemos olhar para as coisas do segundo século em diante e depois comparar os manuscritos do quarto século com os do segundo. Os manuscritos do segundo século ainda poderiam ser chamados de “alexandrinos” no sentido de que eles foram produzidos sob influências alexandrinas. Talvez uma terminologia distinta possa ser “alexandrino inicial” (pré-Constantino) e “alexandrino tardio” (pós-Constantino). Os manuscritos designados como “alexandrinos iniciais” geralmente seriam mais puros, menos editorializados. Os manuscritos designados “alexandrino tardio” exibiriam a editorialização, bem como a influência de outras tradições textuais.</w:t>
      </w:r>
    </w:p>
    <w:p>
      <w:r/>
      <w:r>
        <w:t>O texto “alexandrino inicial” é refletido em muitos manuscritos do segundo e do terceiro século. No topo da lista está P75 (ca. 175), o trabalho de um escriba competente e cauteloso. Não muito atrás em qualidade está P4 + P64 + P67 (ca. 150), a obra de um excelente copista. Outras cópias extremamente boas são P1 (ca. 200), P20 (início do terceiro século), P23 (ca. 200), P27 (terceiro século), P28 (terceiro século), P32 (ca. 150), P39 (terceiro século), P46 (ca. 125), P65 (terceiro século), P66 (em sua forma corrigida — P66c; ca. 150), P70 (terceiro século), P77 (ca. 150), P87 (ca. 125), P90 (ca. 175) e P91 (ca. 200). Vários desses manuscritos foram colocados na categoria “estrito” pelos críticos textuais Kurt e Barbara Aland — isto é, eles exibem controle de escrita “rigoroso” e, portanto, são cópias precisas de um exemplar, se não o original. Esses manuscritos são P1, P23, P35, P37, P39, P64/67, P65, P70 e P75.</w:t>
      </w:r>
    </w:p>
    <w:p>
      <w:r/>
      <w:r>
        <w:t>O texto "alexandrino tardio”, que exibe polimento editorial, é exibido em alguns manuscritos, como א (quarto século), T (quinto século), ע (sétimo século), L (oitavo século), 33 (nono século), 1739 (um manuscrito do décimo século copiado de um manuscrito alexandrino do quarto século parecido com P46) e 579 (século XIII). A partir do quinto século, os manuscritos do tipo bizantino começaram a causar sua influência no Egito. Alguns manuscritos datados de cerca de 400 que vieram do Egito refletem claramente esta influência; o Códice Alexandrino (A) é provavelmente o melhor exemplo. Outros manuscritos egípcios desta era, como o Códice Sinaítico (א) e o Códice Washingtoniano (W) exibem harmonização em larga escala, que não pode ser diretamente ligada a qualquer tipo de recensão.</w:t>
      </w:r>
    </w:p>
    <w:p>
      <w:r/>
      <w:r>
        <w:t>No final do terceiro século, outro tipo de texto grego surgiu e depois cresceu em popularidade até que se tornou o tipo de texto dominante em toda a cristandade. Este é o tipo de texto primeiro instigado por Luciano de Antioquia, de acordo com Jerônimo (em sua introdução à sua tradução latina dos Evangelhos). O texto de Luciano era uma recensão definida (ou seja, uma edição criada propositalmente) — em oposição ao tipo de texto alexandrino que surgiu como resultado de um processo em que os escribas alexandrinos, ao comparar muitos manuscritos, tentavam preservar o melhor texto — servindo assim mais como críticos textuais do que editores. Claro, os alexandrinos fizeram algumas edições — poderíamos chamá-las de cópias editadas. O texto de Luciano é o resultado e o ápice do texto popular; é caracterizado pela suavidade da linguagem, que é alcançada pela remoção de obscuridades e construções gramaticais esquisitas, e pela fusão de leituras variantes. Luciano (e/ou seus associados) deve ter usado muitos tipos diferentes de manuscritos de qualidades variadas para produzir um texto do NT harmonizado e editado. O tipo de trabalho editorial que entrou no texto de Luciano é o que chamaríamos de edição substantiva.</w:t>
      </w:r>
    </w:p>
    <w:p>
      <w:r/>
      <w:r>
        <w:t>O texto de Luciano foi produzido antes da perseguição de Diocleciano (ca. 303), período durante o qual muitas cópias do NT foram confiscadas e destruídas. Não muito tempo após este período de devastação, Constantino chegou ao poder e então reconheceu o cristianismo como a religião do estado. Havia, é claro, uma grande necessidade de cópias do NT serem feitas e distribuídas às igrejas em todo o mundo mediterrâneo. Foi neste momento que o texto de Luciano começou a ser propagado por bispos que saíam da escola de Antioquia para as igrejas em todo o Oriente, levando o texto com eles. O texto de Luciano logo se tornou o texto padrão da igreja oriental e formou a base para o texto bizantino — e é, portanto, a autoridade final para o Textus Receptus.</w:t>
      </w:r>
    </w:p>
    <w:p>
      <w:r/>
      <w:r>
        <w:t>Enquanto Luciano estava formando sua recensão do texto do NT, o texto alexandrino estava tomando sua forma final. Como foi mencionado anteriormente, a formação do tipo de texto alexandrino foi o resultado de um processo (em oposição a uma única recensão editorial). A formação do texto alexandrino envolvia uma crítica textual menor (ou seja, a seleção de leituras variantes entre vários manuscritos) e uma cópia editada (ou seja, a produção de um texto legível). Havia muito menos adulteração no tipo de texto alexandrino do que no de Luciano, e os manuscritos subjacentes para o tipo de texto alexandrino eram superiores aos usados por Luciano. Talvez Hesíquio tenha sido responsável por dar ao texto alexandrino sua forma final, e Atanásio de Alexandria pode ter sido quem fez deste texto o arquetípico para o Egito.</w:t>
      </w:r>
    </w:p>
    <w:p>
      <w:r/>
      <w:r>
        <w:t>Com o passar dos anos, havia cada vez menos manuscritos alexandrinos produzidos, e cada vez mais manuscritos bizantinos fabricados. Muito poucos egípcios continuaram a ler grego (com exceção daqueles no Mosteiro de Santa Catarina, o local da descoberta do Códice Sinaítico), e o resto do mundo mediterrâneo se voltou para o latim. Foram apenas aqueles nas igrejas de língua grega na Grécia e Bizâncio que continuaram a fazer cópias do texto grego. Por séculos após séculos — do VI ao XIV — a grande maioria dos manuscritos do NT foi produzida em Bizâncio, todos tendo o mesmo tipo de texto. Quando o primeiro NT grego foi impresso (ca. 1525), era baseado em um texto grego que Erasmo havia compilado, usando alguns manuscritos bizantinos tardios. Este texto impresso, com pequenas revisões, se tornou o Textus Receptus.</w:t>
      </w:r>
    </w:p>
    <w:p>
      <w:r/>
      <w:r>
        <w:t>A partir do século XVII, manuscritos anteriores começaram a ser descobertos — manuscritos com um texto que diferia do encontrado no Textus Receptus. Por volta de 1630, o Códice Alexandrino foi trazido para a Inglaterra. Um manuscrito do início do quinto século, contendo todo o NT, forneceu uma boa testemunha do texto do NT (é uma boa testemunha especialmente do texto original de Apocalipse). Duzentos anos depois, um estudioso alemão chamado Constantin von Tischendorf descobriu o Códice Sinaítico no Mosteiro de Santa Catarina (localizado perto do Monte Sinai). O manuscrito, datado por volta de 360 d.C., é um dos dois manuscritos de velino (couro de animal tratado) mais antigos do NT grego. O mais antigo manuscrito de velino, o Códice Vaticano, estava na biblioteca do Vaticano desde pelo menos 1481, mas não havia sido disponibilizado aos estudiosos até meados do século XIX. Este manuscrito, datado um pouco mais cedo (350 d.C.) do que o Códice Sinaítico, tinha tanto o AT quanto o NT em grego, excluindo a última parte do NT (</w:t>
      </w:r>
      <w:hyperlink r:id="rId854">
        <w:r>
          <w:rPr>
            <w:color w:val="0000EE"/>
            <w:u w:val="single"/>
          </w:rPr>
          <w:t>Hebreus 9.15</w:t>
        </w:r>
      </w:hyperlink>
      <w:r>
        <w:t xml:space="preserve"> até </w:t>
      </w:r>
      <w:hyperlink r:id="rId3734">
        <w:r>
          <w:rPr>
            <w:color w:val="0000EE"/>
            <w:u w:val="single"/>
          </w:rPr>
          <w:t>Apocalipse 22.21</w:t>
        </w:r>
      </w:hyperlink>
      <w:r>
        <w:t xml:space="preserve"> e as Epístolas Pastorais). Cem anos de crítica textual determinaram que este manuscrito é uma das testemunhas mais precisas e confiáveis do texto original.</w:t>
      </w:r>
    </w:p>
    <w:p>
      <w:r/>
      <w:r>
        <w:t>Outros manuscritos antigos e importantes foram descobertos no século XIX. Através dos trabalhos incansáveis de homens como Constantin von Tischendorf, Samuel Tregelles e F. H. A. Scrivener, manuscritos como o Códice de Efrém Reescrito, o Códice de Zacinto e o Códice Augiensis foram decifrados, agrupados e publicados.</w:t>
      </w:r>
    </w:p>
    <w:p>
      <w:r/>
      <w:r>
        <w:t>À medida que os vários manuscritos foram descobertos e tornados públicos, certos estudiosos trabalharam para compilar um texto grego que representaria mais de perto o texto original do que o Textus Receptus. Por volta de 1700, John Mill produziu um Textus Receptus melhorado, e na década de 1730 Johannes Albert Bengel (conhecido como o pai dos estudos textuais e filológicos modernos no NT) publicou um texto que se desviava do Textus Receptus de acordo com as evidências dos manuscritos anteriores.</w:t>
      </w:r>
    </w:p>
    <w:p>
      <w:r/>
      <w:r>
        <w:t xml:space="preserve">Nos anos 1800, certos estudiosos começaram a abandonar o Textus Receptus. Karl Lachman, um filólogo clássico, produziu um novo texto (em 1831) que representava os manuscritos do quarto século. Samuel Tregelles (autodidata em latim, hebraico e grego), trabalhando ao longo de toda sua vida, concentrou todos os seus esforços na publicação de um texto grego (que saiu em seis partes, de 1857 a 1872). Como é afirmado na introdução deste trabalho, o objetivo de Tregelles era “exibir o texto do NT nas próprias palavras nas quais foi transmitido nas evidências da autoridade antiga”. Henry Alford também compilou um texto grego baseado nos melhores e mais antigos manuscritos. Em seu prefácio de </w:t>
      </w:r>
      <w:r>
        <w:rPr>
          <w:i/>
        </w:rPr>
        <w:t>The Greek New Testament</w:t>
      </w:r>
      <w:r>
        <w:t xml:space="preserve"> (um comentário em vários volumes sobre o Novo Testamento grego, publicado em 1849), Alford disse que ele trabalhou pela “demolição da reverência indigna e pedante pelo texto recebido [Textus Receptus], que impedia todas as chances de descobrir a palavra de Deus genuína”.</w:t>
      </w:r>
    </w:p>
    <w:p>
      <w:r/>
      <w:r>
        <w:t>Durante esta mesma era, Tischendorf estava dedicando uma vida de trabalho à descoberta dos manuscritos e produzindo edições precisas do NT grego. Em uma carta a sua noiva, ele escreveu: “Sou confrontado com uma tarefa sagrada, a luta para reconquistar a forma original do NT”. Em satisfação de seu desejo, ele descobriu o Códice Sinaítico, decifrou o palimpsesto Códice de Efrém Reescrito, reuniu inúmeros manuscritos e produziu várias edições do NT grego (a oitava edição é considerada a melhor).</w:t>
      </w:r>
    </w:p>
    <w:p>
      <w:r/>
      <w:r>
        <w:t xml:space="preserve">Ajudados pelo trabalho dos estudiosos anteriores, dois homens britânicos, Brooke Westcott e Fenton Hort, trabalharam juntos por 28 anos para produzir um volume entitulado </w:t>
      </w:r>
      <w:r>
        <w:rPr>
          <w:i/>
        </w:rPr>
        <w:t>The New Testament in the Original Greek</w:t>
      </w:r>
      <w:r>
        <w:t xml:space="preserve"> [O Novo Testamento no grego original] (1881). Junto com esta publicação, eles fizeram conhecida sua teoria (que era principalmente de Hort) de que o Códice Vaticano, o Códice Sinaítico (juntamente com alguns outros manuscritos antigos) representavam um texto que replicava mais de perto a escrita original. Eles chamaram este texto de Texto Neutro. (De acordo com seus estudos, o Texto Neutro descrevia certos manuscritos que tinham a menor quantidade de corrupção textual). Este é o texto no qual Westcott e Hort confiaram para compilar seu volume.</w:t>
      </w:r>
    </w:p>
    <w:p>
      <w:r/>
      <w:r>
        <w:t>O século XIX foi uma era frutífera para a restauração do Novo Testamento grego; o século XX, não menos importante. Aqueles que viveram no século XX testemunharam a descoberta dos papiros Oxirrinco, de Chester Beatty e de Bodmer. Até o momento, há quase 100 papiros contendo porções do NT — vários dos quais datam do final do primeiro até o início do quarto século. Essas descobertas significativas, fornecendo aos estudiosos muitos manuscritos antigos, aumentaram muito o esforço para restaurar a redação original do NT.</w:t>
      </w:r>
    </w:p>
    <w:p>
      <w:r/>
      <w:r>
        <w:t xml:space="preserve">No início do século XX, Eberhard Nestle usou as melhores edições do NT grego produzidas no século XIX, para compilar um texto que representava o consenso da maioria. O trabalho de fazer novas edições foi realizado por seu filho por vários anos, e então ficou sob a guarda de Kurt Aland. A última edição (a 27ª) do </w:t>
      </w:r>
      <w:r>
        <w:rPr>
          <w:i/>
        </w:rPr>
        <w:t>Novum Testamentum Graece</w:t>
      </w:r>
      <w:r>
        <w:t xml:space="preserve"> de Nestle-Aland apareceu em 1993. O mesmo texto grego aparece em outro volume popular publicado pelas Sociedades Bíblicas Unidas, chamado </w:t>
      </w:r>
      <w:r>
        <w:rPr>
          <w:i/>
        </w:rPr>
        <w:t>O Novo Testamento Grego</w:t>
      </w:r>
      <w:r>
        <w:t xml:space="preserve"> (quarta edição). Aland argumentou que o texto de Nestle-Aland, 27ª edição (NA27), se aproxima mais do texto original do NT do que o de Tischendorf ou Westcott e Hort. E em vários escritos, ele insinua que NA27 pode muito bem ser o texto original. Embora poucos estudiosos (se algum) possam concordar com isso, a 27ª edição do texto Nestle-Aland é considerada por muitos como representando a mais recente e melhor na área textual acadêmica.</w:t>
      </w:r>
    </w:p>
    <w:p>
      <w:pPr>
        <w:pStyle w:val="Heading4"/>
      </w:pPr>
      <w:r>
        <w:t>Crítica textual do Novo Testamento</w:t>
      </w:r>
    </w:p>
    <w:p>
      <w:r/>
      <w:r>
        <w:t>Críticos textuais que trabalham com literatura antiga universalmente reconhecem a supremacia dos manuscritos iniciais sobre os tardios. Os críticos textuais que não trabalham com o NT adorariam ter o mesmo tipo de testemunhas que os estudiosos da Bíblia possuem. Na verdade, muitos deles trabalham com manuscritos escritos 1.000 anos após os autógrafos serem compostos! Todos nos espantamos que os Manuscritos do Mar Morto tenham fornecido um texto que está quase 800 anos mais perto dos originais do que os manuscritos massoréticos, e ainda muitos dos manuscritos do Mar Morto ainda estão mais de 600 a 800 anos longe do tempo da composição original. Os críticos textuais do NT têm uma grande vantagem!</w:t>
      </w:r>
    </w:p>
    <w:p>
      <w:r/>
      <w:r>
        <w:t>Os estudiosos textuais do NT do século XIX — como Lachmann, Tregelles, Tischendorf, Westcott e Hort — trabalharam com base em que as primeiras testemunhas são as melhores testemunhas. Alguns estudiosos textuais continuaram esta linha de restauração usando o testemunho das testemunhas iniciais. Mas muitos estudiosos textuais desde os tempos de Westcott e Hort têm sido menos inclinados a produzir edições baseadas na teoria de que a leitura mais antiga é a melhor. A maioria dos críticos textuais atuais está mais inclinada a endossar a máxima: a leitura que é provavelmente a original é a que melhor explica as variantes.</w:t>
      </w:r>
    </w:p>
    <w:p>
      <w:r/>
      <w:r>
        <w:t>Esta máxima (ou “cânon” como às vezes é chamada), por melhor que seja, produz resultados conflitantes. Por exemplo, dois estudiosos, usando este mesmo princípio para examinar a mesma unidade variante, não concordarão. Um argumentará que uma variante foi produzida por um copista tentando emular o estilo do autor; o outro alegará que a mesma variante tem que ser a original porque está de acordo com o estilo do autor. Talvez alguém argumente que uma variante foi produzida por um escriba ortodoxo tentando livrar o texto de uma leitura que poderia ser usada para promover heterodoxia ou heresia; outro alegará que a mesma variante é a original porque é ortodoxa e está de acordo com a doutrina cristã (assim, um escriba heterodoxo ou herético deve ter mudado). Além disso, este princípio permite a possibilidade de que a leitura selecionada para o texto possa ser tirada de qualquer manuscrito de qualquer data. Isso pode levar ao ecletismo subjetivo.</w:t>
      </w:r>
    </w:p>
    <w:p>
      <w:r/>
      <w:r>
        <w:t>Os estudiosos textuais modernos tentaram moderar o subjetivismo empregando um método chamado “ecletismo racional”. Este tipo de ecletismo aplica uma combinação de considerações internas e externas, nas quais o caráter das variantes é avaliado à luz das evidências dos manuscritos e vice-versa. Isso deveria produzir uma visão equilibrada e servir como um controle contra tendências puramente subjetivas.</w:t>
      </w:r>
    </w:p>
    <w:p>
      <w:r/>
      <w:r>
        <w:t>Os Alands favorecem o mesmo tipo de abordagem, chamando-o de método genealógico local, que é definido da seguinte forma:</w:t>
      </w:r>
    </w:p>
    <w:p>
      <w:r/>
      <w:r>
        <w:t xml:space="preserve">É impossível proceder da suposição de um stemma (genealogia de manuscritos), e com base em uma revisão completa e análise dos relacionamentos obtendo entre a variedade de ramos inter-relacionados na tradição de manuscritos, empreender uma recensão dos dados como se faria com outros textos gregos. As decisões devem ser tomadas uma a uma, caso a caso. Este método foi caracterizado como ecletismo, mas erroneamente. Depois de estabelecer atentamente a variedade de leituras oferecidas em uma passagem e as possibilidades de sua interpretação, deve sempre ser determinada novamente com base em critérios externos e internos qual dessas leituras (e frequentemente elas são bastante numerosas) é o original, do qual as outras podem ser consideradas derivadas. Da perspectiva de nosso conhecimento atual, este método “genealógico local” (se um nome deve ser dado) é o único que atende aos requisitos da tradição textual do NT. (Introdução ao </w:t>
      </w:r>
      <w:r>
        <w:rPr>
          <w:i/>
        </w:rPr>
        <w:t>Novum Testamentum Graece</w:t>
      </w:r>
      <w:r>
        <w:t>, 26ª edição)</w:t>
      </w:r>
    </w:p>
    <w:p>
      <w:r/>
      <w:r>
        <w:t>O método “genealógico local” assume que, para qualquer unidade de variante, qualquer manuscrito (ou manuscritos) pode ter preservado o texto original. A aplicação deste método produz uma apresentação documentária extremamente desigual do texto. Qualquer um que estude o aparato crítico da NA27 detectará que não há uma apresentação sequer documentária. O ecletismo está disperso ao longo do texto.</w:t>
      </w:r>
    </w:p>
    <w:p>
      <w:r/>
      <w:r>
        <w:t xml:space="preserve">“Ecletismo racional” e/ou o método “genealógico local” tendem a dar prioridade à evidência interna sobre evidência externa. Mas deve ser o contrário, se quisermos rever o texto original. Esta era a opinião de Westcott e Hort. Com relação à sua compilação do </w:t>
      </w:r>
      <w:r>
        <w:rPr>
          <w:i/>
        </w:rPr>
        <w:t>The New Testament in the Original Greek</w:t>
      </w:r>
      <w:r>
        <w:t>, Hort escreveu: “A evidência documentária foi, na maioria dos casos, autorizada a conferir o lugar de honra contra a evidência interna” (</w:t>
      </w:r>
      <w:r>
        <w:rPr>
          <w:i/>
        </w:rPr>
        <w:t>The Introduction to the New Testament in the Original Greek</w:t>
      </w:r>
      <w:r>
        <w:t>, p. 17).</w:t>
      </w:r>
    </w:p>
    <w:p>
      <w:r/>
      <w:r>
        <w:t>A este respeito, Westcott e Hort precisam ser revividos. Earnest Colwell tinha o mesmo em mente quando ele escreveu “Hort Redivivus: A Plea and a Program.” (Hort Redivivus: Um clamor e um programa). Colwell condenou a crescente tendência de confiar inteiramente nas evidências internas das leituras, sem considerar seriamente as evidências documentárias. Ele chamou os estudiosos para tentar reconstruir uma história da tradição de manuscritos. A abundância de manuscritos — vários dos quais são muito antigos — ajudará os estudiosos nesta tarefa em andamento.</w:t>
      </w:r>
      <w:r/>
      <w:r/>
    </w:p>
    <w:p>
      <w:r/>
    </w:p>
    <w:p>
      <w:pPr>
        <w:pStyle w:val="Heading2"/>
      </w:pPr>
      <w:r>
        <w:t>Bíblia, Inspiração da</w:t>
      </w:r>
      <w:r/>
    </w:p>
    <w:p>
      <w:r/>
      <w:r>
        <w:t>Termo teológico para a influência que Deus exerceu sobre os escritores das Escrituras, permitindo-lhes transmitir suas revelações por escrito.</w:t>
      </w:r>
    </w:p>
    <w:p>
      <w:r/>
      <w:r>
        <w:t xml:space="preserve">A própria Bíblia nos diz que é um texto inspirado. </w:t>
      </w:r>
    </w:p>
    <w:p>
      <w:r/>
      <w:r>
        <w:t>Diz, "Toda Escritura é dada pela inspiração de Deus" (</w:t>
      </w:r>
      <w:hyperlink r:id="rId3551">
        <w:r>
          <w:rPr>
            <w:color w:val="0000EE"/>
            <w:u w:val="single"/>
          </w:rPr>
          <w:t>2Tm 3.16</w:t>
        </w:r>
      </w:hyperlink>
      <w:r>
        <w:t xml:space="preserve">, KJV). Uma tradução mais próxima do idioma original (grego) seria: "Toda a Escritura é inspirada por Deus" (ARA). Isso nos diz que cada palavra da Bíblia foi soprada por Deus. As palavras da Bíblia vieram de Deus e foram escritas por homens. O apóstolo Pedro afirmou isso quando disse que "Acima de tudo, porém, lembrem disto: ninguém pode explicar, por si mesmo, uma </w:t>
      </w:r>
      <w:r>
        <w:rPr>
          <w:i/>
        </w:rPr>
        <w:t xml:space="preserve"> </w:t>
      </w:r>
      <w:r>
        <w:t>profecia das</w:t>
      </w:r>
      <w:r>
        <w:rPr>
          <w:i/>
        </w:rPr>
        <w:t xml:space="preserve"> </w:t>
      </w:r>
      <w:r>
        <w:t xml:space="preserve"> Escrituras Sagradas. Pois nenhuma mensagem profética veio da vontade humana, mas as pessoas eram guiadas pelo Espírito Santo quando anunciavam a mensagem que vinha de Deus” (</w:t>
      </w:r>
      <w:hyperlink r:id="rId3735">
        <w:r>
          <w:rPr>
            <w:color w:val="0000EE"/>
            <w:u w:val="single"/>
          </w:rPr>
          <w:t>2Pe 1.20–21</w:t>
        </w:r>
      </w:hyperlink>
      <w:r>
        <w:t>, NTLH).</w:t>
      </w:r>
    </w:p>
    <w:p>
      <w:r/>
    </w:p>
    <w:p>
      <w:r/>
      <w:r>
        <w:t>“Homens falaram da parte de Deus.” Esta frase curta é a chave para entender como a Bíblia surgiu. Milhares de anos atrás, Deus escolheu certos homens — como Moisés, Davi, Isaías, Jeremias, Ezequiel e Daniel — para receber suas palavras e escrevê-las. O que eles escreveram se tornou livros, ou seções, do AT. Há quase 2.000 anos, Deus escolheu outros homens — como Mateus, Marcos, Lucas, João e Paulo — para comunicar sua nova mensagem, a mensagem de salvação através de Jesus Cristo. O que eles escreveram tornou-se livros, ou seções, do NT.</w:t>
      </w:r>
    </w:p>
    <w:p>
      <w:r/>
      <w:r>
        <w:t>Deus deu suas palavras a esses homens de muitas maneiras diferentes. Certos escritores do AT receberam mensagens diretamente de Deus. Moisés recebeu os Dez Mandamentos inscritos em uma pedra quando estava na presença de Deus no Monte Sinai. Quando Davi estava compondo seus salmos para Deus, ele recebeu inspiração divina para prever certos eventos que ocorreriam 1.000 anos depois na vida de Jesus Cristo. Deus disse aos seus profetas — como Isaías e Jeremias — exatamente o que dizer; portanto, quando eles transmitiam uma mensagem, era a palavra de Deus, não a deles. É por isso que muitos profetas do AT frequentemente diziam: "Assim diz o Senhor." (Esta declaração aparece mais de 2.000 vezes no AT.) Para outros profetas, como Ezequiel e Daniel, Deus comunicou sua mensagem através de visões e sonhos. Eles registraram exatamente o que viram, entendendo ou não. E outros escritores do AT, como Samuel e Esdras, foram direcionados por Deus para registrar eventos na história de Israel.</w:t>
      </w:r>
    </w:p>
    <w:p>
      <w:r/>
      <w:r>
        <w:t xml:space="preserve">Quatrocentos anos após o último livro do AT (Malaquias) ser escrito, o Filho de Deus, Jesus Cristo, veio à terra. Em suas exposições, ele afirmava a autoria divina dos escritos do AT (veja </w:t>
      </w:r>
      <w:hyperlink r:id="rId3736">
        <w:r>
          <w:rPr>
            <w:color w:val="0000EE"/>
            <w:u w:val="single"/>
          </w:rPr>
          <w:t>Mt 5.17–19</w:t>
        </w:r>
      </w:hyperlink>
      <w:r>
        <w:t xml:space="preserve">; </w:t>
      </w:r>
      <w:hyperlink r:id="rId3737">
        <w:r>
          <w:rPr>
            <w:color w:val="0000EE"/>
            <w:u w:val="single"/>
          </w:rPr>
          <w:t>Lc 16.17</w:t>
        </w:r>
      </w:hyperlink>
      <w:r>
        <w:t xml:space="preserve">; </w:t>
      </w:r>
      <w:hyperlink r:id="rId3738">
        <w:r>
          <w:rPr>
            <w:color w:val="0000EE"/>
            <w:u w:val="single"/>
          </w:rPr>
          <w:t>Jo 10.35</w:t>
        </w:r>
      </w:hyperlink>
      <w:r>
        <w:t xml:space="preserve">). Além disso, ele frequentemente apontava para certas passagens no AT como tendo previsto certos eventos em sua vida (veja </w:t>
      </w:r>
      <w:hyperlink r:id="rId3739">
        <w:r>
          <w:rPr>
            <w:color w:val="0000EE"/>
            <w:u w:val="single"/>
          </w:rPr>
          <w:t>Lc 24.27,44</w:t>
        </w:r>
      </w:hyperlink>
      <w:r>
        <w:t>). Os escritores do NT também afirmaram a inspiração divina do texto do AT. Foi o apóstolo Paulo quem foi dirigido por Deus a escrever: "Toda a Escritura é inspirada por Deus". Especificamente, ele estava falando do AT. E, como já foi mencionado, Pedro disse que os profetas do AT foram motivados pelo Espírito Santo a falar da parte de Deus.</w:t>
      </w:r>
    </w:p>
    <w:p>
      <w:r/>
      <w:r>
        <w:t xml:space="preserve">O NT também é um livro inspirado por Deus. Antes de Jesus deixar esta terra e retornar ao seu Pai, ele disse aos discípulos que enviaria o Espírito Santo a eles. Ele lhes disse que uma das funções do Espírito Santo seria lembrá-los de todas as coisas que Jesus havia dito e depois guiá-los a mais verdade (veja </w:t>
      </w:r>
      <w:hyperlink r:id="rId3740">
        <w:r>
          <w:rPr>
            <w:color w:val="0000EE"/>
            <w:u w:val="single"/>
          </w:rPr>
          <w:t>Jo 14.26</w:t>
        </w:r>
      </w:hyperlink>
      <w:r>
        <w:t xml:space="preserve">; </w:t>
      </w:r>
      <w:hyperlink r:id="rId3741">
        <w:r>
          <w:rPr>
            <w:color w:val="0000EE"/>
            <w:u w:val="single"/>
          </w:rPr>
          <w:t>15.26</w:t>
        </w:r>
      </w:hyperlink>
      <w:r>
        <w:t xml:space="preserve">; </w:t>
      </w:r>
      <w:hyperlink r:id="rId3742">
        <w:r>
          <w:rPr>
            <w:color w:val="0000EE"/>
            <w:u w:val="single"/>
          </w:rPr>
          <w:t>16.13–15</w:t>
        </w:r>
      </w:hyperlink>
      <w:r>
        <w:t>). Aqueles que escreveram os Evangelhos foram ajudados pelo Espírito Santo a lembrar as palavras exatas de Jesus, e aqueles que escreveram outras partes do NT foram guiados pelo Espírito enquanto escreviam.</w:t>
      </w:r>
    </w:p>
    <w:p>
      <w:r/>
      <w:r>
        <w:t>A inspiração para escrever os Evangelhos não começou quando os autores colocaram a pena no papiro; a inspiração começou quando os discípulos Mateus, Pedro (para quem Marcos escreveu) e João foram iluminados por seus encontros com Jesus Cristo, o Filho de Deus. As experiências dos apóstolos com ele alteraram suas vidas para sempre, imprimindo em suas almas imagens inesquecíveis do Deus-homem revelado, Jesus Cristo.</w:t>
      </w:r>
    </w:p>
    <w:p>
      <w:r/>
      <w:r>
        <w:t>É disso que João estava falando no prólogo de seu Evangelho quando declarou: “O Verbo se fez carne e habitou entre nós, e vimos a sua glória” (</w:t>
      </w:r>
      <w:hyperlink r:id="rId3743">
        <w:r>
          <w:rPr>
            <w:color w:val="0000EE"/>
            <w:u w:val="single"/>
          </w:rPr>
          <w:t>1.14</w:t>
        </w:r>
      </w:hyperlink>
      <w:r>
        <w:t>, parafraseado). O "nós" refere-se àqueles que foram testemunhas oculares da glória de Jesus — os apóstolos que viveram com Jesus por mais de três anos. Esta reminiscência é expandida no prólogo de João à sua primeira epístola, onde ele diz "nós o ouvimos, tocamos, vimos e contemplamos" (</w:t>
      </w:r>
      <w:hyperlink r:id="rId3744">
        <w:r>
          <w:rPr>
            <w:color w:val="0000EE"/>
            <w:u w:val="single"/>
          </w:rPr>
          <w:t>1Jo 1.1–2</w:t>
        </w:r>
      </w:hyperlink>
      <w:r>
        <w:t xml:space="preserve">, parafraseado). Em ambos o Evangelho e a Epístola, os verbos estão no tempo perfeito, denotando uma ação passada com um efeito presente e duradouro. Aqueles encontros passados com Jesus nunca foram esquecidos por João; eles viveram com ele e permaneceram com ele como um espírito inspirador até o dia — muitos anos depois — em que ele escreveu sobre eles em seu Evangelho. O mesmo pode ser dito de Mateus, que escreveu um Evangelho importante, e Pedro, que foi realmente o autor por trás da composição de Marcos. Lucas não foi uma testemunha ocular, mas baseou seu Evangelho nos relatos daqueles que foram (veja </w:t>
      </w:r>
      <w:hyperlink r:id="rId2837">
        <w:r>
          <w:rPr>
            <w:color w:val="0000EE"/>
            <w:u w:val="single"/>
          </w:rPr>
          <w:t>Lc 1.1–4</w:t>
        </w:r>
      </w:hyperlink>
      <w:r>
        <w:t>).</w:t>
      </w:r>
    </w:p>
    <w:p>
      <w:r/>
      <w:r>
        <w:t xml:space="preserve">A inspiração para a escrita das Epístolas também pode ser rastreada até os encontros dos escritores com o Cristo vivo. O escritor de epístolas mais proeminente, Paulo, afirma repetidamente que sua inspiração e subsequente comissão vieram de seu encontro com o Cristo ressuscitado (veja, por exemplo, </w:t>
      </w:r>
      <w:hyperlink r:id="rId3745">
        <w:r>
          <w:rPr>
            <w:color w:val="0000EE"/>
            <w:u w:val="single"/>
          </w:rPr>
          <w:t>1Co 15.8–10</w:t>
        </w:r>
      </w:hyperlink>
      <w:r>
        <w:t xml:space="preserve">). Pedro também afirma que seus escritos foram baseados em suas experiências com o Cristo vivo (veja </w:t>
      </w:r>
      <w:hyperlink r:id="rId1415">
        <w:r>
          <w:rPr>
            <w:color w:val="0000EE"/>
            <w:u w:val="single"/>
          </w:rPr>
          <w:t>1Pe 5.1</w:t>
        </w:r>
      </w:hyperlink>
      <w:r>
        <w:t xml:space="preserve">; </w:t>
      </w:r>
      <w:hyperlink r:id="rId3746">
        <w:r>
          <w:rPr>
            <w:color w:val="0000EE"/>
            <w:u w:val="single"/>
          </w:rPr>
          <w:t>2Pe 1.16–18</w:t>
        </w:r>
      </w:hyperlink>
      <w:r>
        <w:t xml:space="preserve">). E assim faz João, que afirma ter experimentado o Deus-homem visivelmente, audivelmente e palpavelmente (veja </w:t>
      </w:r>
      <w:hyperlink r:id="rId3747">
        <w:r>
          <w:rPr>
            <w:color w:val="0000EE"/>
            <w:u w:val="single"/>
          </w:rPr>
          <w:t>1Jo 1.1–4</w:t>
        </w:r>
      </w:hyperlink>
      <w:r>
        <w:t xml:space="preserve">). Tiago e Judas não fazem tal afirmação diretamente, mas como eram irmãos de Jesus que se converteram quando viram o Cristo ressuscitado (isso é certo para Tiago — veja </w:t>
      </w:r>
      <w:hyperlink r:id="rId3748">
        <w:r>
          <w:rPr>
            <w:color w:val="0000EE"/>
            <w:u w:val="single"/>
          </w:rPr>
          <w:t xml:space="preserve">1Co 15.7 </w:t>
        </w:r>
      </w:hyperlink>
      <w:r>
        <w:t xml:space="preserve">— e presumido para Judas — veja </w:t>
      </w:r>
      <w:hyperlink r:id="rId3749">
        <w:r>
          <w:rPr>
            <w:color w:val="0000EE"/>
            <w:u w:val="single"/>
          </w:rPr>
          <w:t>At 1.14</w:t>
        </w:r>
      </w:hyperlink>
      <w:r>
        <w:t>), eles também tiraram sua inspiração de seus encontros com o Cristo vivo. Assim, todos os escritores das epístolas (com a possível exceção daquele que escreveu Hebreus, que é desconhecido) conheceram o Cristo vivo. Este é o relacionamento que os qualificou para escrever aqueles livros que se tornaram parte do cânon do NT. Isso os tornou distintos de todos os outros, não importava quão bons fossem seus escritos.</w:t>
      </w:r>
    </w:p>
    <w:p>
      <w:r/>
      <w:r>
        <w:t xml:space="preserve">Os escritores das epístolas do NT foram inspirados pelo Espírito quando escreveram. Falando por todos os apóstolos, Paulo indicou que os apóstolos do NT foram ensinados pelo Espírito Santo o que dizer. Os escritores do NT não falaram com palavras "ensinadas pela sabedoria humana", mas com "palavras ensinadas pelo Espírito Santo" (veja </w:t>
      </w:r>
      <w:hyperlink r:id="rId3750">
        <w:r>
          <w:rPr>
            <w:color w:val="0000EE"/>
            <w:u w:val="single"/>
          </w:rPr>
          <w:t>1Co 2.10–13</w:t>
        </w:r>
      </w:hyperlink>
      <w:r>
        <w:t xml:space="preserve">). O que eles escreveram foi ensinado pelo Espírito. Por exemplo, quando o apóstolo João viu que Jesus Cristo veio para dar a vida eterna aos homens, o Espírito o ajudou a expressar essa verdade de muitas maneiras diferentes. Assim, o leitor do Evangelho de João vê diferentes frases sobre Jesus dando vida: "nele estava a vida", "um poço de água viva jorrando para a vida eterna", "o pão da vida", "a luz da vida", "a ressurreição e a vida", etc. (veja </w:t>
      </w:r>
      <w:hyperlink r:id="rId3751">
        <w:r>
          <w:rPr>
            <w:color w:val="0000EE"/>
            <w:u w:val="single"/>
          </w:rPr>
          <w:t>Jo 1.4</w:t>
        </w:r>
      </w:hyperlink>
      <w:r>
        <w:t xml:space="preserve">; </w:t>
      </w:r>
      <w:hyperlink r:id="rId602">
        <w:r>
          <w:rPr>
            <w:color w:val="0000EE"/>
            <w:u w:val="single"/>
          </w:rPr>
          <w:t>4.14</w:t>
        </w:r>
      </w:hyperlink>
      <w:r>
        <w:t xml:space="preserve">; </w:t>
      </w:r>
      <w:hyperlink r:id="rId3752">
        <w:r>
          <w:rPr>
            <w:color w:val="0000EE"/>
            <w:u w:val="single"/>
          </w:rPr>
          <w:t>6.48</w:t>
        </w:r>
      </w:hyperlink>
      <w:r>
        <w:t xml:space="preserve">; </w:t>
      </w:r>
      <w:hyperlink r:id="rId3753">
        <w:r>
          <w:rPr>
            <w:color w:val="0000EE"/>
            <w:u w:val="single"/>
          </w:rPr>
          <w:t>8.12</w:t>
        </w:r>
      </w:hyperlink>
      <w:r>
        <w:t xml:space="preserve">; </w:t>
      </w:r>
      <w:hyperlink r:id="rId3754">
        <w:r>
          <w:rPr>
            <w:color w:val="0000EE"/>
            <w:u w:val="single"/>
          </w:rPr>
          <w:t>11.25</w:t>
        </w:r>
      </w:hyperlink>
      <w:r>
        <w:t xml:space="preserve">; </w:t>
      </w:r>
      <w:hyperlink r:id="rId408">
        <w:r>
          <w:rPr>
            <w:color w:val="0000EE"/>
            <w:u w:val="single"/>
          </w:rPr>
          <w:t>14.6</w:t>
        </w:r>
      </w:hyperlink>
      <w:r>
        <w:t xml:space="preserve">). Quando o apóstolo Paulo contemplou a plenitude da divindade de Cristo, ele foi inspirado pelo Espírito a usar frases como “nele habita corporalmente toda a plenitude da divindade”, “nele estão escondidos todos os tesouros da sabedoria e do conhecimento”, e “as insondáveis riquezas de Cristo” (veja </w:t>
      </w:r>
      <w:hyperlink r:id="rId3755">
        <w:r>
          <w:rPr>
            <w:color w:val="0000EE"/>
            <w:u w:val="single"/>
          </w:rPr>
          <w:t>Cl 2.3,9</w:t>
        </w:r>
      </w:hyperlink>
      <w:r>
        <w:t xml:space="preserve">; </w:t>
      </w:r>
      <w:hyperlink r:id="rId3756">
        <w:r>
          <w:rPr>
            <w:color w:val="0000EE"/>
            <w:u w:val="single"/>
          </w:rPr>
          <w:t>Ef 3.8</w:t>
        </w:r>
      </w:hyperlink>
      <w:r>
        <w:t>).</w:t>
      </w:r>
    </w:p>
    <w:p>
      <w:r/>
      <w:r>
        <w:t>À medida que o Espírito ensinava os escritores, eles usavam seu próprio vocabulário e estilo de escrita para expressar o pensamento do Espírito. Assim, as Escrituras vieram como resultado da cooperação divina e humana. As Escrituras não foram inspiradas mecanicamente — como se Deus usasse os homens como máquinas através das quais Ele ditava a expressão divina. Em vez disso, as Escrituras foram inspiradas por Deus, depois escritas por homens. A Bíblia, portanto, é tanto totalmente divina quanto totalmente humana.</w:t>
      </w:r>
      <w:r/>
      <w:r/>
    </w:p>
    <w:p>
      <w:r/>
    </w:p>
    <w:p>
      <w:pPr>
        <w:pStyle w:val="Heading2"/>
      </w:pPr>
      <w:r>
        <w:t>Bíblia, Manuscritos e Texto do (Antigo Testamento)</w:t>
      </w:r>
      <w:r/>
    </w:p>
    <w:p>
      <w:r/>
      <w:r>
        <w:t>Cópias dos livros do AT foram produzidas por escribas e edições feitas a partir dessas cópias. Os manuscritos antigos do AT são o material de trabalho básico usado para buscar o texto original da Bíblia com o maior grau de precisão possível. Este processo é chamado de crítica textual, às vezes designado como “crítica baixa” para distingui-lo da “crítica alta”, que é a análise da data, unidade e autoria dos escritos bíblicos.</w:t>
      </w:r>
    </w:p>
    <w:p>
      <w:r/>
      <w:r>
        <w:t>Resumo:</w:t>
      </w:r>
    </w:p>
    <w:p>
      <w:r/>
      <w:r>
        <w:t>• Manuscritos importantes do Antigo Testamento</w:t>
      </w:r>
    </w:p>
    <w:p>
      <w:r/>
      <w:r>
        <w:t>• Versões significativas do Antigo Testamento</w:t>
      </w:r>
    </w:p>
    <w:p>
      <w:r/>
      <w:r>
        <w:t>• O texto do Antigo Testamento</w:t>
      </w:r>
    </w:p>
    <w:p>
      <w:pPr>
        <w:pStyle w:val="Heading3"/>
      </w:pPr>
      <w:r>
        <w:t>Manuscritos importantes do Antigo Testamento</w:t>
      </w:r>
    </w:p>
    <w:p>
      <w:r/>
      <w:r>
        <w:t>A maioria dos manuscritos medievais do AT apresenta uma forma bastante padronizada do texto hebraico. Essa padronização reflete o trabalho dos escribas medievais conhecidos como massoretas (d.C 500–900); o texto resultante de seu trabalho é chamado de Texto Massorético. A maioria dos manuscritos importantes datados do século 11 d.C. ou posteriores reflete essa mesma tradição textual básica. No entanto, como o Texto Massorético não se estabilizou até bem depois de 500 d.C., muitas questões sobre seu desenvolvimento nos séculos anteriores permanecem sem resposta. Assim, a tarefa principal para os críticos textuais do AT tem sido comparar testemunhos anteriores para descobrir como o Texto Massorético surgiu e como ele e os testemunhos anteriores da Bíblia Hebraica estão relacionados. Isso nos leva à tarefa inicial da crítica textual: a coleta de todos os registros possíveis dos escritos bíblicos.</w:t>
      </w:r>
    </w:p>
    <w:p>
      <w:r/>
      <w:r>
        <w:t>Todas as fontes primárias das Escrituras Hebraicas são manuscritos escritos à mão, geralmente em peles de animais, papiro ou, às vezes, metal. O fato de serem escritos à mão é a origem de muitas dificuldades para a crítica textual. Erros humanos e alterações editoriais são frequentemente responsáveis pelas muitas leituras variantes nos manuscritos do AT e do NT. O fato de os manuscritos antigos serem escritos em peles ou papiro é outra fonte de dificuldade. Devido à decomposição natural, a maioria dos manuscritos antigos remanescentes encontra-se fragmentada e de difícil leitura.</w:t>
      </w:r>
    </w:p>
    <w:p>
      <w:r/>
      <w:r>
        <w:t>Existem muitas testemunhas secundárias do antigo texto do AT, incluindo traduções para outros idiomas, citações usadas tanto por amigos quanto por inimigos da religião bíblica, e evidências de textos impressos antigos. A maioria das testemunhas secundárias sofreu de maneiras semelhantes às primárias. Elas também contêm inúmeras variantes devido a erros de escribas, tanto intencionais quanto acidentais, e estão fragmentadas como resultado da decadência natural. Como existem leituras variantes nos manuscritos antigos remanescentes, estas devem ser coletadas e comparadas. A tarefa de comparar e listar as leituras variantes é conhecida como colação.</w:t>
      </w:r>
    </w:p>
    <w:p>
      <w:pPr>
        <w:pStyle w:val="Heading4"/>
      </w:pPr>
      <w:r>
        <w:t>Manuscritos com o Texto Massorético</w:t>
      </w:r>
    </w:p>
    <w:p>
      <w:r/>
      <w:r>
        <w:t xml:space="preserve">A história textual do Texto Massorético é uma narrativa significativa por si só. Este texto da Bíblia Hebraica é o mais completo existente. Ele forma a base para nossas Bíblias Hebraicas modernas e é o protótipo contra o qual todas as comparações são feitas nos estudos textuais do AT. É chamado de massorético porque, em sua forma atual, é baseado na </w:t>
      </w:r>
      <w:r>
        <w:rPr>
          <w:i/>
        </w:rPr>
        <w:t>Massorá,</w:t>
      </w:r>
      <w:r>
        <w:t xml:space="preserve"> a tradição textual dos estudiosos judeus conhecidos como os massoretas de Tiberíades. (Tiberíades era a localização de sua comunidade no Mar da Galileia). Os massoretas, cuja escola floresceu entre 500 e 1000 d.C., padronizaram o texto consonantal tradicional adicionando pontuação vocálica e notas marginais. (O antigo alfabeto hebraico não tinha vogais).</w:t>
      </w:r>
    </w:p>
    <w:p>
      <w:r/>
      <w:r>
        <w:t>O Texto Massorético, como existe hoje, deve muito à família Ben Asher. Por cinco ou seis gerações, desde a segunda metade do século oito até meados do século dez d.C., essa família desempenhou um papel de liderança no trabalho massorético em Tiberíades. Um registro fiel de seu trabalho pode ser encontrado nos manuscritos massoréticos mais antigos existentes, que remontam aos dois últimos membros dessa família. O manuscrito massorético datado mais antigo é o Códice Cairense (895 d.C), atribuído a Moses ben Asher (Moisés, filho de Asher). Este manuscrito continha tanto os Profetas Anteriores (Josué, Juízes, Samuel e Reis) quanto os Profetas Posteriores (Isaías, Jeremias, Ezequiel e os 12 Profetas Menores). O restante do AT está ausente deste manuscrito.</w:t>
      </w:r>
    </w:p>
    <w:p>
      <w:r/>
      <w:r>
        <w:t>O outro manuscrito importante remanescente atribuído à família Ben Asher é o Códice de Aleppo. De acordo com a nota conclusiva do manuscrito, Aaron ben Moses ben Asher (Aarão, filho de Moisés, filho de Asher) foi responsável por escrever as notas massoréticas e pontuar o texto. Este manuscrito continha todo o AT e data da primeira metade do século dez d.C. Foi supostamente destruído em tumultos anti-judaicos em 1947, mas isso provou ser apenas parcialmente verdadeiro. A maior parte do manuscrito foi preservada e será usada como base para uma nova edição crítica da Bíblia Hebraica a ser publicada pela Universidade Hebraica em Jerusalém.</w:t>
      </w:r>
    </w:p>
    <w:p>
      <w:r/>
      <w:r>
        <w:t xml:space="preserve">O manuscrito conhecido como Códice de Leningrado, atualmente armazenado na Biblioteca Pública de Leningrado, é de especial importância como testemunha do texto de Ben Asher. De acordo com uma nota no manuscrito, ele foi copiado em 1008 d.C. a partir de textos escritos por Aaron ben Moses ben Asher. Como o texto hebraico completo mais antigo do AT (o Códice de Aleppo) não estava disponível para os estudiosos no início deste século, o Códice de Leningrado foi usado como base textual para os textos hebraicos populares de hoje: </w:t>
      </w:r>
      <w:r>
        <w:rPr>
          <w:i/>
        </w:rPr>
        <w:t>Biblia Hebraica,</w:t>
      </w:r>
      <w:r>
        <w:t xml:space="preserve"> editada por R. Kittel, e sua revisão, </w:t>
      </w:r>
      <w:r>
        <w:rPr>
          <w:i/>
        </w:rPr>
        <w:t>Biblia Hebraica Stuttgartensia,</w:t>
      </w:r>
      <w:r>
        <w:t xml:space="preserve"> editada por K. Elliger e W. Rudolf.</w:t>
      </w:r>
    </w:p>
    <w:p>
      <w:r/>
      <w:r>
        <w:t>Há um número considerável de códices manuscritos menos importantes que refletem a tradição massorética: o Códice de Petersburgo dos Profetas e os Códices de Erfurt. Há também vários manuscritos que não existem mais, mas que foram utilizados por estudiosos no período massorético. Um dos mais proeminentes é o Códice Hillel, tradicionalmente atribuído ao Rabino Hillel ben Moses ben Hillel (Hillel, filho de Moisés, filho de Hillel) por volta de 600 d.C. Este códice era considerado muito preciso e foi usado para a revisão de outros manuscritos. Leituras deste códice são citadas repetidamente pelos massoretas medievais. O Códice Muga, o Códice de Jericó e o Códice de Jerusalém, também não mais existentes, foram igualmente citados pelos massoretas. Esses manuscritos eram provavelmente exemplos proeminentes de textos não pontuados que se tornaram parte de um consenso padronizador nos primeiros séculos d.C. Eles lançaram as bases para o trabalho dos massoretas de Tiberíades.</w:t>
      </w:r>
    </w:p>
    <w:p>
      <w:r/>
      <w:r>
        <w:t>Apesar da completude dos manuscritos massoréticos da Bíblia Hebraica, ainda há um grande problema para os críticos textuais do Antigo Testamento. Os manuscritos massoréticos, por mais antigos que sejam, foram escritos entre 1.000 e 2.000 anos após os autógrafos originais. Testemunhos anteriores do antigo texto hebraico eram necessários para confirmar a precisão do Texto Massorético.</w:t>
      </w:r>
    </w:p>
    <w:p>
      <w:pPr>
        <w:pStyle w:val="Heading4"/>
      </w:pPr>
      <w:r>
        <w:t>Os Rolos do Mar Morto</w:t>
      </w:r>
    </w:p>
    <w:p>
      <w:r/>
      <w:r>
        <w:t>Os testemunhos antigos mais importantes da Bíblia Hebraica são os textos descobertos em Wadi Qumran nas décadas de 1940 e 1950. (</w:t>
      </w:r>
      <w:r>
        <w:rPr>
          <w:i/>
        </w:rPr>
        <w:t>Wadi</w:t>
      </w:r>
      <w:r>
        <w:t xml:space="preserve"> é uma palavra árabe para um leito de rio que é seco, exceto na estação chuvosa). Antes das descobertas de Qumran, os manuscritos hebraicos mais antigos existentes do AT datavam de cerca de 900 d.C. A maior importância dos Rolos do Mar Morto, portanto, reside na descoberta de manuscritos bíblicos que remontam a apenas cerca de 300 anos após o fechamento do cânon do AT. Isso os torna 1.000 anos mais antigos do que os manuscritos mais antigos anteriormente conhecidos pelos estudiosos bíblicos. Os textos encontrados em Wadi Qumran foram todos concluídos antes da conquista romana da Palestina em 70 d.C., e muitos são anteriores a este evento por um bom tempo. Entre os Rolos do Mar Morto, o Rolo de Isaías recebeu mais publicidade, embora a coleção contenha fragmentos de todos os livros da Bíblia Hebraica, com exceção de Ester.</w:t>
      </w:r>
    </w:p>
    <w:p>
      <w:r/>
      <w:r>
        <w:t>Como a descoberta dos Manuscritos do Mar Morto é extremamente importante para a crítica textual do Antigo Testamento, uma breve história e descrição dessas descobertas recentes é apropriada. Os manuscritos agora conhecidos como Rolos do Mar Morto são uma coleção de textos bíblicos e extrabíblicos de Qumran, uma antiga comunidade religiosa judaica próxima ao Mar Morto.</w:t>
      </w:r>
    </w:p>
    <w:p>
      <w:r/>
      <w:r>
        <w:t>Antes da descoberta de Qumran, poucos manuscritos haviam sido encontrados na Terra Santa. O pai da igreja primitiva, Orígenes (terceiro século d.C.), mencionou o uso de manuscritos hebraicos e gregos que haviam sido armazenados em jarros em cavernas perto de Jericó. No século nove d.C., um patriarca da igreja oriental, Timóteo I, escreveu uma carta a Sérgio, metropolita (arcebispo) de Elão, na qual ele também se referiu a um grande número de manuscritos hebraicos encontrados em uma caverna perto de Jericó. No entanto, por mais de 1.000 anos desde então, nenhuma outra descoberta significativa de manuscritos foi feita em cavernas naquela região perto do Mar Morto.</w:t>
      </w:r>
    </w:p>
    <w:p>
      <w:pPr>
        <w:pStyle w:val="Heading4"/>
      </w:pPr>
      <w:r>
        <w:t>Descobertas de pergaminhos em Wadi Qumran</w:t>
      </w:r>
    </w:p>
    <w:p>
      <w:r/>
      <w:r>
        <w:t>A história dos manuscritos do Mar Morto, tanto sobre seu esconderijo quanto sobre sua descoberta, parece uma história de aventura e mistério. Tudo começou com um telefonema na tarde de quarta-feira, 18 de fevereiro de 1948, na conturbada cidade de Jerusalém. Butrus Sowmy, bibliotecário e monge do Mosteiro de São Marcos, no bairro armênio da Cidade Velha de Jerusalém, estava chamando por John C. Trever, diretor interino das Escolas Americanas de Pesquisa Oriental (ASOR). Sowmy estava preparando um catálogo da coleção de livros raros do mosteiro. Entre eles, ele encontrou alguns pergaminhos em hebraico antigo que, segundo ele, estavam no mosteiro há cerca de 40 anos. Será que a ASOR poderia fornecer-lhe algumas informações para o catálogo?</w:t>
      </w:r>
    </w:p>
    <w:p>
      <w:r/>
      <w:r>
        <w:t>No dia seguinte, Sowmy e seu irmão trouxeram uma mala contendo cinco pergaminhos ou partes de pergaminhos embrulhados em um jornal árabe. Ao puxar a ponta de um dos pergaminhos, Trever descobriu que estava escrito em uma escrita hebraica clara e quadrada. Ele copiou várias linhas desse pergaminho, examinou cuidadosamente outros três, mas não conseguiu desenrolar o quinto porque estava muito frágil. Depois que os sírios partiram, Trever contou a história dos pergaminhos a William H. Brownlee, um membro da ASOR. Trever observou ainda nas linhas que havia copiado do primeiro pergaminho a ocorrência dupla de uma construção negativa incomum em hebraico. Além disso, a escrita hebraica dos pergaminhos era mais arcaica do que qualquer coisa que ele já tinha visto.</w:t>
      </w:r>
    </w:p>
    <w:p>
      <w:r/>
      <w:r>
        <w:t xml:space="preserve">Trever então visitou o Mosteiro de São Marcos. Lá, ele foi apresentado ao arcebispo sírio Atanásio Samuel, que lhe deu permissão para fotografar os pergaminhos. Trever e Brownlee compararam o estilo de caligrafia nos pergaminhos com uma fotografia do Papiro de Nash, um pergaminho inscrito com os Dez Mandamentos e </w:t>
      </w:r>
      <w:hyperlink r:id="rId3757">
        <w:r>
          <w:rPr>
            <w:color w:val="0000EE"/>
            <w:u w:val="single"/>
          </w:rPr>
          <w:t>Deuteronômio 6.4</w:t>
        </w:r>
      </w:hyperlink>
      <w:r>
        <w:t>, datado por estudiosos do primeiro ou segundo século a.C. Os dois estudiosos da ASOR concluíram que a escrita nos manuscritos recém-descobertos pertencia ao mesmo período. Quando o diretor da ASOR, Millar Burrows, retornou a Jerusalém vindo de Bagdá alguns dias depois, ele viu os pergaminhos, e os três homens continuaram sua investigação. Só então os sírios revelaram que os pergaminhos haviam sido comprados no ano anterior, em 1947, e não estavam no mosteiro há 40 anos como foi inicialmente relatado.</w:t>
      </w:r>
    </w:p>
    <w:p>
      <w:r/>
      <w:r>
        <w:t>Como os sírios haviam conseguido os pergaminhos? Antes que essa pergunta pudesse ser respondida, muitos relatos fragmentados precisavam ser reunidos. Em algum momento durante o inverno de 1946–47, três beduínos estavam cuidando de suas ovelhas e cabras perto de uma nascente nas proximidades de Wadi Qumran. Um dos pastores, ao lançar uma pedra por uma pequena abertura no penhasco, ouviu o som da pedra aparentemente quebrando um jarro de cerâmica dentro. Outro beduíno mais tarde desceu até a caverna e encontrou dez jarros altos alinhados nas paredes. Três manuscritos (um deles em quatro partes) armazenados em dois dos jarros foram removidos da caverna e oferecidos a um negociante de antiguidades em Belém.</w:t>
      </w:r>
    </w:p>
    <w:p>
      <w:r/>
      <w:r>
        <w:t>Vários meses depois, os beduínos conseguiram mais quatro pergaminhos (um deles em duas partes) da caverna e os venderam para outro comerciante em Belém. Durante a Semana Santa de 1947, o Mosteiro Ortodoxo Sírio de São Marcos em Jerusalém foi informado sobre os quatro pergaminhos, e o metropolita Athanasius Samuel se ofereceu para comprá-los. A venda, no entanto, só foi concluída em julho de 1947, quando os quatro pergaminhos foram adquiridos pelo mosteiro. Eles incluíam um pergaminho completo de Isaías, um comentário sobre Habacuque, um pergaminho contendo um Manual de Disciplina da comunidade religiosa de Qumran e o Apócrifo de Gênesis (originalmente pensado ser o livro apócrifo de Lameque, mas na verdade uma paráfrase aramaica de Gênesis).</w:t>
      </w:r>
    </w:p>
    <w:p>
      <w:r/>
      <w:r>
        <w:t xml:space="preserve">Em novembro e dezembro de 1947, um negociante de antiguidades armênio em Jerusalém informou o falecido E. L. Sukenik, professor de arqueologia na Universidade Hebraica em Jerusalém, sobre os primeiros três pergaminhos encontrados na caverna pelos beduínos. Sukenik então adquiriu os três pergaminhos e dois jarros do negociante de antiguidades em Belém. Eles incluíam um pergaminho incompleto de Isaías, os Hinos de Ação de Graças (contendo 12 colunas de salmos originais) e o Rolo da Guerra. (Esse pergaminho descreve uma guerra, real ou espiritual, das tribos de Levi, Judá e Benjamim contra os moabitas e edomitas. </w:t>
      </w:r>
      <w:r>
        <w:rPr>
          <w:i/>
        </w:rPr>
        <w:t>Veja</w:t>
      </w:r>
      <w:r>
        <w:t xml:space="preserve"> </w:t>
      </w:r>
      <w:r>
        <w:t>Guerra dos Filhos da Luz contra os Filhos das Trevas</w:t>
      </w:r>
      <w:r>
        <w:t>).</w:t>
      </w:r>
    </w:p>
    <w:p>
      <w:r/>
      <w:r>
        <w:t>Em 1º de abril de 1948, o primeiro comunicado de imprensa apareceu em jornais ao redor do mundo, seguido por outro comunicado em 26 de abril por Sukenik sobre os manuscritos que ele já havia adquirido na Universidade Hebraica. Em 1949, Athanasius Samuel trouxe os quatro pergaminhos do Mosteiro de São Marcos para os Estados Unidos. Eles foram exibidos em vários lugares e finalmente foram comprados em 1º de julho de 1954, em Nova York, por 250.000 dólares, pelo filho de Sukenik, para a nação de Israel e enviados para a Universidade Hebraica em Jerusalém. Hoje, eles estão em exibição no museu Santuário do Livro, na Jerusalém Ocidental.</w:t>
      </w:r>
    </w:p>
    <w:p>
      <w:r/>
      <w:r>
        <w:t>Devido à importância da descoberta inicial dos Rolos do Mar Morto, tanto arqueólogos quanto beduínos continuaram a busca por mais manuscritos. No início de 1949, G. Lankester Harding, diretor de antiguidades do reino da Jordânia, e Roland G. de Vaux, da Escola Bíblica Dominicana em Jerusalém, escavaram a caverna (designada Caverna Um, ou 1Q) onde a descoberta inicial foi feita. Várias centenas de cavernas foram exploradas no mesmo ano. Até agora, 11 cavernas no Wadi Qumran revelaram tesouros. Quase 600 manuscritos foram recuperados, dos quais cerca de 200 são material bíblico. Os fragmentos somam entre 50.000 e 60.000 peças. Cerca de 85% dos fragmentos são de couro; os outros 15% são de papiro. O fato de que a maioria dos manuscritos é de couro contribuiu para a questão de sua preservação.</w:t>
      </w:r>
    </w:p>
    <w:p>
      <w:r/>
      <w:r>
        <w:t>Provavelmente, a caverna mais importante depois da Caverna Um é a Caverna Quatro (4Q), que forneceu cerca de 40.000 fragmentos de 400 manuscritos diferentes, dos quais 100 são bíblicos. Todos os livros do AT, exceto Ester, estão representados.</w:t>
      </w:r>
    </w:p>
    <w:p>
      <w:r/>
      <w:r>
        <w:t>Além dos manuscritos bíblicos, as descobertas incluíram obras apócrifas, como fragmentos hebraicos e aramaicos de Tobias, Eclesiástico e a Carta de Jeremias. Também foram encontrados fragmentos de livros pseudoepígrafos, como 1 Enoque, o Livro dos Jubileus e o Testamento de Levi.</w:t>
      </w:r>
    </w:p>
    <w:p>
      <w:r/>
      <w:r>
        <w:t>Muitos pergaminhos sectários peculiares à comunidade religiosa que vivia em Qumran também foram encontrados. Eles fornecem um contexto histórico sobre a natureza do judaísmo pré-cristão e ajudam a preencher as lacunas da história intertestamentária. Um dos pergaminhos, o Documento de Damasco, havia aparecido originalmente no Cairo, mas manuscritos dele agora foram encontrados em Qumran. O Manual de Disciplina foi um dos sete pergaminhos da Caverna Um. Manuscritos fragmentários dele foram encontrados em outras cavernas. O documento fornece os requisitos de entrada do grupo, além de regulamentos que regem a vida na comunidade de Qumran. Os Hinos de Ação de Graças incluem cerca de 30 hinos, provavelmente compostos por um único indivíduo.</w:t>
      </w:r>
    </w:p>
    <w:p>
      <w:r/>
      <w:r>
        <w:t>Havia também muitos comentários sobre diferentes livros do AT. O Comentário de Habacuque era uma cópia dos dois primeiros capítulos de Habacuque em hebraico, acompanhada por um comentário versículo por versículo. O comentário fornece muitos detalhes sobre uma figura apocalíptica chamada "Mestre da Justiça", que é perseguido por um sacerdote perverso.</w:t>
      </w:r>
    </w:p>
    <w:p>
      <w:r/>
      <w:r>
        <w:t>Uma descoberta única foi feita na Caverna Três (3Q) em 1952. Era um pergaminho de cobre, medindo cerca de oito pés (2,4 metros) de comprimento e um pé (30,5 centímetros) de largura. Como era frágil, não foi aberto até 1966, e então apenas cortando-o em tiras. Ele continha um inventário de cerca de 60 locais onde tesouros de ouro, prata e incenso estavam escondidos. Os arqueólogos não conseguiram encontrar nenhum deles. Essa lista de tesouros, possivelmente do templo de Jerusalém, pode ter sido armazenada na caverna pelos Zelotes (um partido político judeu revolucionário) durante sua luta com os romanos em 66–70 d.C.</w:t>
      </w:r>
    </w:p>
    <w:p>
      <w:r/>
      <w:r>
        <w:t>Durante a Guerra dos Seis Dias, em junho de 1967, o filho de Sukenik, Yigael Yadin, da Universidade Hebraica, adquiriu um documento de Qumran chamado Rolo do Templo. Esse rolo, enrolado de forma compacta, mede 28 pés (8,5 metros) e é o rolo mais longo encontrado até agora na área de Qumran. Uma grande parte dele é dedicada aos estatutos dos reis e questões de defesa. Ele também descreve festas sacrificiais e regras de limpeza. Quase metade do rolo fornece instruções detalhadas para a construção de um futuro templo, supostamente reveladas por Deus ao autor do rolo.</w:t>
      </w:r>
    </w:p>
    <w:p>
      <w:pPr>
        <w:pStyle w:val="Heading4"/>
      </w:pPr>
      <w:r>
        <w:t>Manuscritos importantes dos Rolos do Mar Morto</w:t>
      </w:r>
    </w:p>
    <w:p>
      <w:r/>
      <w:r>
        <w:t>Entre as centenas de manuscritos bíblicos descobertos nas 11 cavernas ao redor do Mar Morto, há alguns muito significativos, especialmente para estudos textuais. Estes estão listados abaixo. (O primeiro número indica a caverna, Q indica Qumran, e a abreviação para o livro bíblico segue, muitas vezes acompanhada por uma letra sobrescrita para manuscritos sucessivos contendo o mesmo livro).</w:t>
      </w:r>
    </w:p>
    <w:p>
      <w:r/>
      <w:r>
        <w:t>1QIsaᵃ</w:t>
      </w:r>
    </w:p>
    <w:p>
      <w:r/>
      <w:r>
        <w:t>Este é o primeiro Rolo do Mar Morto a receber ampla atenção. Ele é datado de cerca de 100 a.C. O texto, que inclui a maior parte de Isaías, é proto-massorético com algumas variantes significativas.</w:t>
      </w:r>
    </w:p>
    <w:p>
      <w:r/>
      <w:r>
        <w:t>1QIsaᵇ</w:t>
      </w:r>
    </w:p>
    <w:p>
      <w:r/>
      <w:r>
        <w:t>O texto, que inclui a maior parte de Isaías, é proto-massorético. É datado de um período entre 25 a.C. e 50 d.C.</w:t>
      </w:r>
    </w:p>
    <w:p>
      <w:r/>
      <w:r>
        <w:t>2QJer</w:t>
      </w:r>
    </w:p>
    <w:p>
      <w:r/>
      <w:r>
        <w:t xml:space="preserve">Este manuscrito é datado de um período entre 25 a.C. e 50 d.C. e contém partes dos capítulos de Jeremias </w:t>
      </w:r>
      <w:hyperlink r:id="rId3758">
        <w:r>
          <w:rPr>
            <w:color w:val="0000EE"/>
            <w:u w:val="single"/>
          </w:rPr>
          <w:t>42–49</w:t>
        </w:r>
      </w:hyperlink>
      <w:r>
        <w:t>. Ele apresenta algumas leituras que seguem a Septuaginta (LXX), enquanto segue a ordem dos capítulos encontrada nos textos proto-massoréticos. Para o livro de Jeremias, a Septuaginta e o Texto Massorético são bastante diferentes: a Septuaginta é um oitavo mais curta e possui uma disposição diferente dos capítulos.</w:t>
      </w:r>
    </w:p>
    <w:p>
      <w:r/>
      <w:r>
        <w:t>4QpaleoExodᵐ</w:t>
      </w:r>
    </w:p>
    <w:p>
      <w:r/>
      <w:r>
        <w:t>Este manuscrito, que contém a maior parte de Êxodo, é datado de um período bastante antigo: 200–175 a.C. Como tal, ele forneceu aos estudiosos algumas percepções interessantes sobre a história inicial da transmissão textual de Êxodo e do Pentateuco. O manuscrito apresenta muitas semelhanças com o Pentateuco Samaritano.</w:t>
      </w:r>
    </w:p>
    <w:p>
      <w:r/>
      <w:r>
        <w:t>4QNumb</w:t>
      </w:r>
    </w:p>
    <w:p>
      <w:r/>
      <w:r>
        <w:t>Este manuscrito, datado de 30 a.C.–20 d.C., contém a maior parte de Números. O livro de Números existia em três tradições textuais distintas: o Texto Massorético, o Pentateuco Samaritano e a Septuaginta. Este manuscrito, 4QNumb, mostra semelhanças com o Pentateuco Samaritano e a Septuaginta, enquanto possui suas próprias leituras únicas.</w:t>
      </w:r>
    </w:p>
    <w:p>
      <w:r/>
      <w:r>
        <w:t>4QSamᵃ</w:t>
      </w:r>
    </w:p>
    <w:p>
      <w:r/>
      <w:r>
        <w:t>Este manuscrito, contendo cerca de um décimo de 1 e 2 Samuel, é datado de aproximadamente 50–25 a.C. Acredita-se que este manuscrito, que mostra algumas semelhanças com a Septuaginta, possua várias leituras que são superiores ao Texto Massorético.</w:t>
      </w:r>
    </w:p>
    <w:p>
      <w:r/>
      <w:r>
        <w:t>4QJerᵃ</w:t>
      </w:r>
    </w:p>
    <w:p>
      <w:r/>
      <w:r>
        <w:t xml:space="preserve">Este manuscrito, contendo partes de </w:t>
      </w:r>
      <w:hyperlink r:id="rId3759">
        <w:r>
          <w:rPr>
            <w:color w:val="0000EE"/>
            <w:u w:val="single"/>
          </w:rPr>
          <w:t>Jeremias 7–22</w:t>
        </w:r>
      </w:hyperlink>
      <w:r>
        <w:t>, data de cerca de 200 a.C. Geralmente, concorda com o Texto Massorético.</w:t>
      </w:r>
    </w:p>
    <w:p>
      <w:r/>
      <w:r>
        <w:t>4QJerᵇ</w:t>
      </w:r>
    </w:p>
    <w:p>
      <w:r/>
      <w:r>
        <w:t>Este manuscrito, datado de cerca de 150–125 a.C., segue a disposição da Septuaginta, bem como sua brevidade. A importância disso é que dois textos diferentes de Jeremias foram usados na era pré-cristã — um que era proto-massorético (como o 4QJerᵃ) e outro que era semelhante à Septuaginta.</w:t>
      </w:r>
    </w:p>
    <w:p>
      <w:r/>
      <w:r>
        <w:t>11QPsᵃ</w:t>
      </w:r>
    </w:p>
    <w:p>
      <w:r/>
      <w:r>
        <w:t>Este manuscrito, datado de cerca de 25 a 50 d.C., preserva muitos salmos. No entanto, estes não estão na sequência tradicional encontrada na Bíblia Hebraica. Além disso, o manuscrito contém vários outros salmos, alguns dos quais eram conhecidos de outras versões antigas e outros que eram desconhecidos até serem encontrados neste manuscrito.</w:t>
      </w:r>
    </w:p>
    <w:p>
      <w:pPr>
        <w:pStyle w:val="Heading4"/>
      </w:pPr>
      <w:r>
        <w:t>Descobertas de rolos em Wadi Murabba'at</w:t>
      </w:r>
    </w:p>
    <w:p>
      <w:r/>
      <w:r>
        <w:t>Em 1951, os beduínos descobriram mais manuscritos em cavernas no Wadi Murabba’at, que se estende a sudeste de Belém em direção ao Mar Morto, cerca de 11 milhas (17,7 quilômetros) ao sul de Qumran. Quatro cavernas foram escavadas lá em 1952 sob a direção de Harding e de Vaux. Elas forneceram documentos bíblicos e materiais importantes, como cartas e moedas, da época da segunda revolta judaica sob Bar-Kochba em 132–135 d.C. Entre os manuscritos bíblicos estava um rolo contendo um texto hebraico dos Profetas Menores, datado do segundo século d.C. Este manuscrito corresponde quase perfeitamente ao Texto Massorético, sugerindo que, no segundo século, um texto consonantal padrão já estava se formando. Também foram encontrados em Wadi Murabba’at fragmentos do Pentateuco (os cinco livros de Moisés) e de Isaías.</w:t>
      </w:r>
    </w:p>
    <w:p>
      <w:r/>
      <w:r>
        <w:t>Além dos Rolos do Mar Morto, testemunhos antigos do Antigo Testamento Hebraico realmente escritos na língua hebraica são quase inexistentes. Por isso, os Rolos do Mar Morto podem facilmente ser uma das maiores descobertas arqueológicas de todos os tempos. Eles nos levam 1.000 anos mais fundo na história do Antigo Testamento Hebraico, permitindo-nos avaliar todas as outras testemunhas antigas com maior compreensão.</w:t>
      </w:r>
    </w:p>
    <w:p>
      <w:r/>
      <w:r>
        <w:t>Os livros do Antigo Testamento mais frequentemente representados entre os Rolos do Mar Morto são Gênesis, Êxodo, Deuteronômio, Salmos e Isaías. O texto mais antigo é um fragmento de Êxodo datado de cerca de 250 a.C. O Rolo de Isaías data de cerca de 100 a.C. Esses testemunhos antigos confirmam a precisão do Texto Massorético e o cuidado com que os escribas judeus manuseavam as Escrituras. Exceto por algumas instâncias em que a ortografia e a gramática diferem entre os Rolos do Mar Morto e o Texto Massorético, os dois são incrivelmente semelhantes. As diferenças não justificam grandes mudanças na substância do Antigo Testamento. No entanto, essas descobertas estão ajudando os estudiosos bíblicos a obter uma compreensão mais clara do texto em um momento anterior de sua história e desenvolvimento.</w:t>
      </w:r>
    </w:p>
    <w:p>
      <w:r/>
      <w:r>
        <w:t>As primeiras conclusões sobre a antiguidade dos primeiros Rolos do Mar Morto não foram aceitas por todos. Alguns estudiosos estavam convencidos de que os rolos eram de origem medieval. Uma série de questões está relacionada ao problema da datação. Quando os textos em Qumran foram compostos? Quando foram depositados nas cavernas? A maioria dos estudiosos acredita que os manuscritos foram colocados nas cavernas por membros da comunidade de Qumran quando as legiões romanas estavam sitiando fortalezas judaicas, pouco antes da destruição de Jerusalém em 70 d.C.</w:t>
      </w:r>
    </w:p>
    <w:p>
      <w:r/>
      <w:r>
        <w:t>O estudo cuidadoso do conteúdo de um documento às vezes revela sua autoria e a data em que foi escrito. Um exemplo de uso de tal evidência interna para datar uma obra não bíblica é encontrado no Comentário de Habacuque. Ele fornece pistas sobre as pessoas e eventos nos dias do autor do comentário, não nos dias do profeta Habacuque. O comentarista descreveu os inimigos do povo de Deus como os Quitim</w:t>
      </w:r>
      <w:r>
        <w:rPr>
          <w:i/>
        </w:rPr>
        <w:t>.</w:t>
      </w:r>
      <w:r>
        <w:t xml:space="preserve"> Originalmente, essa palavra denotava Chipre, mas mais tarde passou a se referir mais geralmente às ilhas gregas e às costas do Mediterrâneo oriental. Em </w:t>
      </w:r>
      <w:hyperlink r:id="rId3760">
        <w:r>
          <w:rPr>
            <w:color w:val="0000EE"/>
            <w:u w:val="single"/>
          </w:rPr>
          <w:t>Daniel 11.30</w:t>
        </w:r>
      </w:hyperlink>
      <w:r>
        <w:t>, o termo é usado profeticamente, e a maioria dos estudiosos identifica os Quitim com os romanos. Assim, o Comentário de Habacuque foi provavelmente escrito por volta da época da captura romana da Palestina sob Pompeu em 63 a.C.</w:t>
      </w:r>
    </w:p>
    <w:p>
      <w:r/>
      <w:r>
        <w:t>Outro item importante a considerar ao datar um manuscrito é a data de sua cópia. Embora a grande maioria dos manuscritos não tenha data, muitas vezes é possível determinar quando um manuscrito foi escrito por meio da paleografia, o estudo da escrita antiga. Esse foi o método inicialmente empregado por Trever quando ele comparou a escrita do Rolo de Isaías com o Papiro Nash, datando-o para a era pré-cristã. Suas conclusões foram confirmadas pelo falecido William F. Albright, que era o principal arqueólogo americano na época. Durante o tempo do cativeiro babilônico, a escrita quadrada tornou-se o estilo normal de escrita em hebraico (assim como em aramaico, um idioma relacionado ao hebraico). A evidência da paleografia claramente data a maioria dos rolos de Qumran para o período entre 200 a.C. e 200 d.C.</w:t>
      </w:r>
    </w:p>
    <w:p>
      <w:r/>
      <w:r>
        <w:t>A arqueologia fornece outro tipo de evidência externa. A cerâmica descoberta em Qumran data dos períodos helenístico tardio e romano inicial (200 a.C.–100 d.C.). Artigos de barro e ornamentos apontam para o mesmo período. Várias centenas de moedas foram encontradas em jarros datados do período greco-romano. Uma rachadura em um dos edifícios é atribuída a um terremoto que, segundo Josefo (um historiador judeu que escreveu durante o primeiro século d.C.), ocorreu em 31 a.C. As escavações em Khirbet Qumran indicam que o período geral de ocupação foi de cerca de 135 a.C. a 68 d.C., o ano em que a revolta zelote foi esmagada por Roma.</w:t>
      </w:r>
    </w:p>
    <w:p>
      <w:r/>
      <w:r>
        <w:t>Finalmente, a análise de radiocarbono ajudou a datar as descobertas. A análise de radiocarbono é um método para datar material com base na quantidade de carbono radioativo restante nele. O processo também é conhecido como datação por carbono-14. Aplicada ao tecido de linho que envolvia os pergaminhos, a análise forneceu uma data de 33 d.C., com uma margem de erro de mais ou menos 200 anos. Um teste posterior delimitou a data entre 250 a.C. e 50 d.C. Embora possam haver questões sobre a relação das envolturas de linho com a data dos próprios pergaminhos, o teste de carbono-14 está de acordo com as conclusões tanto da paleografia quanto da arqueologia. O período geral, então, no qual os Rolos do Mar Morto podem ser datados com segurança é entre cerca de 150 a.C. e 68 d.C.</w:t>
      </w:r>
    </w:p>
    <w:p>
      <w:pPr>
        <w:pStyle w:val="Heading4"/>
      </w:pPr>
      <w:r>
        <w:t>O Papiro de Nash</w:t>
      </w:r>
    </w:p>
    <w:p>
      <w:r/>
      <w:r>
        <w:t>Antes da descoberta dos Rolos do Mar Morto, o testemunho hebraico mais antigo do AT era o Papiro Nash. Este manuscrito foi adquirido no Egito por W. L. Nash em 1902 e foi doado à Biblioteca da Universidade de Cambridge. Ele contém uma cópia danificada dos Dez Mandamentos (</w:t>
      </w:r>
      <w:hyperlink r:id="rId807">
        <w:r>
          <w:rPr>
            <w:color w:val="0000EE"/>
            <w:u w:val="single"/>
          </w:rPr>
          <w:t>Êx 20.2–17</w:t>
        </w:r>
      </w:hyperlink>
      <w:r>
        <w:t xml:space="preserve">), parte de </w:t>
      </w:r>
      <w:hyperlink r:id="rId813">
        <w:r>
          <w:rPr>
            <w:color w:val="0000EE"/>
            <w:u w:val="single"/>
          </w:rPr>
          <w:t>Deuteronômio 5.6–21</w:t>
        </w:r>
      </w:hyperlink>
      <w:r>
        <w:t>, e também o Shemá (</w:t>
      </w:r>
      <w:hyperlink r:id="rId3761">
        <w:r>
          <w:rPr>
            <w:color w:val="0000EE"/>
            <w:u w:val="single"/>
          </w:rPr>
          <w:t xml:space="preserve">Dt 6.4 </w:t>
        </w:r>
      </w:hyperlink>
      <w:r>
        <w:t>em diante). Esta é claramente uma coleção de passagens usadas para devoção e culto, datada do mesmo período que os Rolos do Mar Morto, entre 150 a.C. e 68 d.C.</w:t>
      </w:r>
    </w:p>
    <w:p>
      <w:pPr>
        <w:pStyle w:val="Heading4"/>
      </w:pPr>
      <w:r>
        <w:t>Fragmentos da Genizá do Cairo</w:t>
      </w:r>
    </w:p>
    <w:p>
      <w:r/>
      <w:r>
        <w:t>Perto do final do século 19, muitos fragmentos dos séculos 6 ao 8 foram encontrados em uma antiga sinagoga no Cairo, Egito, que havia sido a Igreja de São Miguel até 882 d.C. Eles foram descobertos em uma genizá, uma sala de armazenamento onde manuscritos desgastados ou defeituosos eram guardados até que pudessem ser descartados adequadamente. Esta genizá aparentemente havia sido murada e esquecida até sua recente descoberta. Neste pequeno cômodo, foram preservados até 200.000 fragmentos, incluindo textos bíblicos em hebraico e aramaico. O fato de que os fragmentos bíblicos datam do século quinto d.C. os torna inestimáveis para lançar luz sobre o desenvolvimento do trabalho massorético antes da padronização instituída pelos grandes massoretas de Tiberíades.</w:t>
      </w:r>
    </w:p>
    <w:p>
      <w:pPr>
        <w:pStyle w:val="Heading3"/>
      </w:pPr>
      <w:r>
        <w:t>Versões significantes do Antigo Testamento</w:t>
      </w:r>
    </w:p>
    <w:p>
      <w:pPr>
        <w:pStyle w:val="Heading4"/>
      </w:pPr>
      <w:r>
        <w:t>O Pentateuco Samaritano</w:t>
      </w:r>
    </w:p>
    <w:p>
      <w:r/>
      <w:r>
        <w:t>O momento exato em que a comunidade samaritana se separou da comunidade judaica maior é uma questão de debate. No entanto, em algum momento durante o período pós-exílico (cerca de 540–100 a.C.), uma divisão clara entre samaritanos e judeus foi estabelecida. Nesse ponto, os samaritanos, que aceitavam apenas o Pentateuco como canônico, aparentemente canonizaram sua própria versão específica das Escrituras.</w:t>
      </w:r>
    </w:p>
    <w:p>
      <w:r/>
      <w:r>
        <w:t>Uma cópia do Pentateuco Samaritano chamou a atenção dos estudiosos em 1616. Inicialmente, causou grande entusiasmo, mas a maioria das primeiras avaliações sobre seu valor para a crítica textual foi negativa. Ele diferia do Texto Massorético em cerca de 6.000 casos, e muitos consideraram isso como resultado de diferenças sectárias entre samaritanos e judeus. Para alguns, era simplesmente visto como uma revisão sectária do Texto Massorético.</w:t>
      </w:r>
    </w:p>
    <w:p>
      <w:r/>
      <w:r>
        <w:t>No entanto, após uma avaliação mais aprofundada, ficou claro que o Pentateuco Samaritano representava um texto de origem muito mais antiga do que o Texto Massorético. E embora algumas das distinções do Pentateuco Samaritano fossem claramente resultado de preocupações sectárias, a maioria das diferenças era neutra nesse aspecto. Muitas delas estavam mais relacionadas à popularização do texto, em vez de alterar seu significado de qualquer forma. O fato de que o Pentateuco Samaritano tinha muito em comum com a Septuaginta, alguns dos Rolos do Mar Morto e o NT, revelou que a maioria de suas diferenças com o Texto Massorético não se devia a diferenças sectárias. Mais provavelmente, elas se deviam ao uso de uma base textual diferente, que provavelmente era amplamente utilizada no antigo Oriente Próximo até bem depois do tempo de Cristo. Essa percepção, embora não resolvesse nenhum problema real, fez muito para ilustrar a complexidade da tradição textual do AT que existia antes que o padrão massorético fosse concluído.</w:t>
      </w:r>
    </w:p>
    <w:p>
      <w:pPr>
        <w:pStyle w:val="Heading4"/>
      </w:pPr>
      <w:r>
        <w:t>A Septuaginta (LXX)</w:t>
      </w:r>
    </w:p>
    <w:p>
      <w:r/>
      <w:r>
        <w:t>A Septuaginta é a tradução grega mais antiga do AT, sendo seu testemunho significativamente mais antigo que o do Texto Massorético. Segundo a tradição, o Pentateuco da Septuaginta foi traduzido por uma equipe de 70 estudiosos em Alexandria, Egito. (Daí sua designação comum LXX, os numerais romanos para 70). A comunidade judaica no Egito falava grego, não hebraico, então uma tradução grega do AT era sinceramente necessária para essa comunidade de judeus. A data exata da tradução não é conhecida, mas evidências indicam que o Pentateuco da Septuaginta foi concluído no terceiro século a.C. O restante do AT provavelmente foi traduzido ao longo de um longo período, pois claramente representa o trabalho de muitos estudiosos diferentes.</w:t>
      </w:r>
    </w:p>
    <w:p>
      <w:r/>
      <w:r>
        <w:t>O valor da Septuaginta para a crítica textual varia amplamente de livro para livro. Pode-se dizer que a Septuaginta não é uma única versão, mas uma coleção de versões feitas por vários autores, que diferiam muito em seus métodos e em seu conhecimento do hebraico. As traduções dos livros individuais não são de forma alguma uniformes. Muitos livros são traduzidos quase literalmente, enquanto outros, como Jó e Daniel, são bastante dinâmicos. Portanto, o valor de cada livro para a crítica textual deve ser avaliado caso a caso. Os livros traduzidos mais literalmente são claramente mais úteis para comparações com o Texto Massorético do que os mais dinâmicos.</w:t>
      </w:r>
    </w:p>
    <w:p>
      <w:r/>
      <w:r>
        <w:t>O conteúdo de alguns livros é significativamente diferente ao comparar a Septuaginta e o Texto Massorético. Por exemplo, Jeremias na Septuaginta está faltando partes significativas encontradas no Texto Massorético, e a ordem do texto também é bastante diferente. O que essas diferenças realmente significam é difícil saber com certeza. Tem-se conjecturado que a Septuaginta é simplesmente uma tradução ruim e, portanto, está faltando partes do hebraico original. Mas essas mesmas diferenças também podem indicar que adições e mudanças editoriais foram incorporadas ao Texto Massorético durante sua longa história de desenvolvimento. Também é possível que houvesse várias tradições textuais válidas naquela época, uma seguida pela Septuaginta e outra pelo Texto Massorético. Isso ilustra algumas das dificuldades que surgem ao fazer crítica textual do Antigo Testamento.</w:t>
      </w:r>
    </w:p>
    <w:p>
      <w:r/>
      <w:r>
        <w:t>A Septuaginta era o texto padrão do Antigo Testamento usado pela igreja cristã primitiva. A igreja gentia em expansão precisava de uma tradução na língua comum da época — o grego. Na época de Cristo, mesmo entre os judeus, a maioria das pessoas falava aramaico e grego, não hebraico. Os escritores do Novo Testamento mostram sua preferência pela Septuaginta ao usá-la ao citar o Antigo Testamento.</w:t>
      </w:r>
    </w:p>
    <w:p>
      <w:pPr>
        <w:pStyle w:val="Heading4"/>
      </w:pPr>
      <w:r>
        <w:t>Outras versões em grego</w:t>
      </w:r>
    </w:p>
    <w:p>
      <w:r/>
      <w:r>
        <w:t>Devido à ampla aceitação e uso da Septuaginta entre os cristãos, os judeus a abandonaram em favor de várias outras versões gregas. Áquila, um prosélito e discípulo do Rabino Akiba, produziu uma nova tradução por volta de 130 d.C. No espírito de seu mestre, Áquila escreveu uma tradução extremamente literal, muitas vezes a ponto de se comunicar mal em grego. No entanto, essa abordagem literal fez com que essa versão fosse amplamente aceita entre os judeus. Apenas fragmentos dessa versão restaram, mas sua natureza literal revela muito sobre sua base textual hebraica.</w:t>
      </w:r>
    </w:p>
    <w:p>
      <w:r/>
      <w:r>
        <w:t xml:space="preserve">Symmachus produziu uma nova versão por volta de 170 d.C., projetada não apenas para precisão, mas também para se comunicar bem na língua grega. Sua versão permaneceu apenas em alguns fragmentos da </w:t>
      </w:r>
      <w:r>
        <w:rPr>
          <w:i/>
        </w:rPr>
        <w:t>Hexapla</w:t>
      </w:r>
      <w:r>
        <w:t>. Uma terceira versão grega veio de Teodócio, um prosélito judeu do final do segundo século d.C. Sua versão foi aparentemente uma revisão de uma versão grega anterior, possivelmente a Septuaginta. Esta versão permaneceu apenas em algumas citações cristãs primitivas, embora tenha sido amplamente utilizada.</w:t>
      </w:r>
    </w:p>
    <w:p>
      <w:r/>
      <w:r>
        <w:t xml:space="preserve">O teólogo cristão Orígenes (cerca de 185–255 d.C.) organizou o AT com seis versões paralelas para comparação em sua </w:t>
      </w:r>
      <w:r>
        <w:rPr>
          <w:i/>
        </w:rPr>
        <w:t>Hexapla.</w:t>
      </w:r>
      <w:r>
        <w:t xml:space="preserve"> Em seu esforço para encontrar o melhor texto da Septuaginta, Orígenes escreveu seis colunas paralelas contendo: primeiro, o hebraico; segundo, o hebraico transliterado em caracteres gregos; terceiro, o texto de Áquila; quarto, o texto de Symmachus; quinto, seu próprio texto corrigido da Septuaginta; e sexto, o texto de Teodócio. Jerônimo usou esta grande Bíblia em Cesareia, em seu trabalho na Vulgata (após 382 — veja abaixo). Quase quatro séculos após a morte de Orígenes, um bispo mesopotâmico, Paulo de Tella, também usou a </w:t>
      </w:r>
      <w:r>
        <w:rPr>
          <w:i/>
        </w:rPr>
        <w:t>Hexapla</w:t>
      </w:r>
      <w:r>
        <w:t xml:space="preserve"> na biblioteca em Cesareia (616–17) para fazer uma tradução para o siríaco da quinta coluna de Orígenes, a Septuaginta corrigida. Então, em 638, as hordas islâmicas varreram Cesareia e a </w:t>
      </w:r>
      <w:r>
        <w:rPr>
          <w:i/>
        </w:rPr>
        <w:t>Hexapla</w:t>
      </w:r>
      <w:r>
        <w:t xml:space="preserve"> desapareceu. Além de alguns fragmentos, permanece apenas a tradução siríaca do bispo Paulo da quinta coluna de Orígenes.</w:t>
      </w:r>
    </w:p>
    <w:p>
      <w:r/>
      <w:r>
        <w:t xml:space="preserve">Uma cópia do século oitavo da </w:t>
      </w:r>
      <w:r>
        <w:rPr>
          <w:i/>
        </w:rPr>
        <w:t>Hexapla</w:t>
      </w:r>
      <w:r>
        <w:t xml:space="preserve"> Siríaca do bispo Paulo está preservada em um museu de Milão. Outros famosos manuscritos unciais da Septuaginta são os códices: Vaticanus, do início do século quarto, agora na Biblioteca do Vaticano; Sinaiticus, de meados do século quarto; e Alexandrinus, provavelmente do século cinco — os dois últimos estão no Museu Britânico de Londres. Essas cópias são intensamente estudadas porque oferecem um testemunho grego de textos hebraicos muito anteriores ao texto massorético ou "texto recebido".</w:t>
      </w:r>
    </w:p>
    <w:p>
      <w:pPr>
        <w:pStyle w:val="Heading4"/>
      </w:pPr>
      <w:r>
        <w:t>Os targuns aramaicos</w:t>
      </w:r>
    </w:p>
    <w:p>
      <w:r/>
      <w:r>
        <w:t>Os targuns aramaicos eram traduções aramaicas do Antigo Testamento Hebraico. Como a língua comum dos judeus durante o período pós-exílico era o aramaico e não o hebraico, surgiu a necessidade de traduções aramaicas da Bíblia Hebraica. O hebraico permaneceu como a língua dos círculos religiosos acadêmicos, e as traduções para o povo comum eram frequentemente desprezadas pela liderança religiosa. No entanto, com o tempo, a leitura das Escrituras e dos comentários em aramaico tornou-se uma prática aceita nas sinagogas.</w:t>
      </w:r>
    </w:p>
    <w:p>
      <w:r/>
      <w:r>
        <w:t>O objetivo dessas traduções era transmitir a mensagem e edificar as pessoas. Assim, as traduções eram extremamente interpretativas. Os tradutores parafraseavam, adicionavam glossários explicativos e frequentemente reinterpretavam o texto de acordo com os vieses teológicos de sua época. Eles buscavam relacionar o texto bíblico à vida contemporânea e às circunstâncias políticas. Devido à abordagem dinâmica evidente nessas traduções, seu uso na crítica textual é limitado, mas elas contribuem para o conjunto de evidências a serem coletadas e organizadas para reconstruir o texto do Antigo Testamento.</w:t>
      </w:r>
    </w:p>
    <w:p>
      <w:pPr>
        <w:pStyle w:val="Heading4"/>
      </w:pPr>
      <w:r>
        <w:t>A versão siríaca</w:t>
      </w:r>
    </w:p>
    <w:p>
      <w:r/>
      <w:r>
        <w:t xml:space="preserve">Outra versão digna de nota é a versão siríaca. Esta versão era de uso comum na igreja siríaca (aramaico oriental), que a designou como </w:t>
      </w:r>
      <w:r>
        <w:rPr>
          <w:i/>
        </w:rPr>
        <w:t>Peshitta,</w:t>
      </w:r>
      <w:r>
        <w:t xml:space="preserve"> significando “simples ou clara”. O que eles pretendiam com essa designação é difícil de discernir. Pode indicar que era destinada ao consumo popular, que evitava adicionar glosas explicativas e outras adições, ou talvez que não era um texto anotado, como era o caso da </w:t>
      </w:r>
      <w:r>
        <w:rPr>
          <w:i/>
        </w:rPr>
        <w:t>Syro-Hexapla</w:t>
      </w:r>
      <w:r>
        <w:t xml:space="preserve"> anotada então em uso pela mesma comunidade.</w:t>
      </w:r>
    </w:p>
    <w:p>
      <w:r/>
      <w:r>
        <w:t xml:space="preserve">A história literária da versão siríaca não é bem conhecida, embora seja claramente complexa. Alguns a identificaram como uma reformulação de um targum aramaico em siríaco, enquanto outros afirmam que tem uma origem mais independente. Alguns a conectam à conversão dos líderes de Adiabene (leste do Rio Tigre) à fé judaica durante o primeiro século d.C. A necessidade deles por um AT pode ter levado ao desenvolvimento de uma versão em sua língua comum — o siríaco. Outros ainda a conectam às origens cristãs. Revisões posteriores óbvias à </w:t>
      </w:r>
      <w:r>
        <w:rPr>
          <w:i/>
        </w:rPr>
        <w:t>Peshitta</w:t>
      </w:r>
      <w:r>
        <w:t xml:space="preserve"> complicam ainda mais as questões. Mais estudos precisam ser realizados para avaliar a natureza desta versão antes que ela possa oferecer muitos insights sobre a história do texto hebraico.</w:t>
      </w:r>
    </w:p>
    <w:p>
      <w:pPr>
        <w:pStyle w:val="Heading4"/>
      </w:pPr>
      <w:r>
        <w:t>As versões em Latim</w:t>
      </w:r>
    </w:p>
    <w:p>
      <w:r/>
      <w:r>
        <w:t>O latim foi uma língua dominante nas regiões ocidentais do Império Romano muito antes da época de Cristo. Foi nas regiões ocidentais do sul da Gália e do Norte da África que as primeiras traduções latinas da Bíblia apareceram. Por volta de 160 d.C., Tertuliano aparentemente usou uma versão latina das Escrituras. Pouco tempo depois, o texto do Latim Antigo parece ter estado em circulação, evidenciado pelo uso que Cipriano fez dele antes de sua morte em 258 d.C. A versão do Latim Antigo foi traduzida da Septuaginta. Devido à sua datação precoce, é valiosa como testemunha do texto inicial da Septuaginta, antes que editores posteriores obscurecessem a natureza do original. Ela também fornece indiretamente pistas sobre a natureza do texto hebraico na época da tradução da Septuaginta. Manuscritos completos do texto do Latim Antigo não permaneceram. Após a conclusão da versão latina de Jerônimo, a Vulgata, o texto mais antigo caiu em desuso. No entanto, existem fragmentos suficientes dessa versão para fornecer informações significativas sobre o texto inicial do Antigo Testamento.</w:t>
      </w:r>
    </w:p>
    <w:p>
      <w:r/>
      <w:r>
        <w:t>Por volta do terceiro século d.C., o latim começou a substituir o grego como a língua de aprendizado no mundo romano mais amplo. Um texto uniforme e confiável era extremamente necessário para usos teológicos e litúrgicos. Para suprir essa necessidade, o Papa Dâmaso I (336–84 d.C.) encomendou a Jerônimo, um eminente estudioso em latim, grego e hebraico, a realização da tradução. Jerônimo iniciou este trabalho como uma tradução da Septuaginta grega, considerada inspirada por muitas autoridades da igreja, incluindo Agostinho. Porém mais tarde, e correndo o risco de grandes críticas, ele se voltou para o texto hebraico que estava sendo usado na Palestina naquela época como o texto base para sua tradução. Durante os anos entre 390 e 405 d.C., Jerônimo escreveu sua tradução latina do Antigo Testamento hebraico. No entanto, apesar do retorno de Jerônimo ao hebraico original, ele dependia fortemente das várias versões gregas como auxílio na tradução. Como resultado, a Vulgata reflete as outras traduções gregas e latinas tanto quanto o texto hebraico subjacente. O valor da Vulgata para a crítica textual é seu testemunho pré-massorético da Bíblia Hebraica, embora isso tenha sido comprometido em grande medida pela influência das traduções gregas já existentes.</w:t>
      </w:r>
    </w:p>
    <w:p>
      <w:pPr>
        <w:pStyle w:val="Heading3"/>
      </w:pPr>
      <w:r>
        <w:t>O texto do Antigo Testamento</w:t>
      </w:r>
    </w:p>
    <w:p>
      <w:r/>
      <w:r>
        <w:t>A tarefa do crítico textual pode ser dividida em várias etapas gerais: (1) a coleta e comparação de manuscritos existentes, traduções e citações; (2) o desenvolvimento de teoria e metodologia que permita ao crítico usar as informações coletadas para reconstruir o texto mais preciso dos materiais bíblicos; (3) a reconstrução da história da transmissão do texto para identificar as várias influências que afetam o texto; (4) a avaliação de leituras variantes específicas à luz de evidências textuais, teologia e história.</w:t>
      </w:r>
    </w:p>
    <w:p>
      <w:r/>
      <w:r>
        <w:t>Tanto os críticos textuais do AT quanto os do NT realizam tarefas semelhantes e enfrentam obstáculos similares. Ambos buscam desenterrar um texto "original" hipotético com recursos limitados que estão em vários graus de deterioração. No entanto, o crítico textual do AT enfrenta uma história textual mais complexa do que seu equivalente do NT. O NT foi escrito principalmente no primeiro século d.C., e existem manuscritos completos do NT que foram escritos apenas alguns séculos depois. O AT, no entanto, é composto por literatura escrita ao longo de um período de 1.000 anos, com as partes mais antigas datando do século 12 a.C., ou possivelmente até antes. Para tornar as coisas ainda mais difíceis, até recentemente, os manuscritos hebraicos mais antigos conhecidos do AT eram medievais. Isso deixava os estudiosos com poucos testemunhos sobre o desenvolvimento textual do AT desde os tempos antigos até a Idade Média, um período de mais de 2.000 anos.</w:t>
      </w:r>
    </w:p>
    <w:p>
      <w:r/>
      <w:r>
        <w:t>Até a descoberta dos Rolos do Mar Morto nas décadas de 1940 e 1950, traduções secundárias em aramaico, grego e latim serviam como os primeiros testemunhos significativos das antigas Escrituras Hebraicas. Como estas são traduções e estão sujeitas a alterações e interpolações sectárias e contextuais, seu valor para o crítico textual, embora significativo, é limitado. As recentes descobertas dos Rolos do Mar Morto e outros manuscritos antigos, no entanto, forneceram testemunhos primários do Antigo Testamento Hebraico em tempos anteriores. A avaliação acadêmica dessas descobertas ainda está longe de ser completa, e a disciplina de crítica textual do Antigo Testamento aguarda ansiosamente uma avaliação mais abrangente de seu significado. Em um sentido geral, no entanto, os Rolos do Mar Morto confirmaram a precisão do Texto Massorético que usamos hoje.</w:t>
      </w:r>
    </w:p>
    <w:p>
      <w:r/>
      <w:r>
        <w:t>A reconstrução da história da transmissão do texto é um elemento importante na avaliação de leituras variantes. Material de uma ampla variedade de fontes deve ser combinado para se chegar a uma reconstrução, mesmo que provisória, do texto. A seguir, um breve esboço da opinião acadêmica.</w:t>
      </w:r>
    </w:p>
    <w:p>
      <w:r/>
      <w:r>
        <w:t>A história inicial do texto do Antigo Testamento, conforme refletido nos Rolos do Mar Morto, no Pentateuco Samaritano, na Septuaginta e no antigo texto hebraico, mostra uma notável fluidez e diversidade. Evidentemente, o processo de padronização não começou nas fases mais iniciais. Por exemplo, os materiais da comunidade de Qumran, onde os Rolos do Mar Morto foram encontrados, não demonstram qualquer frustração com textos variados dentro dessa comunidade.</w:t>
      </w:r>
    </w:p>
    <w:p>
      <w:r/>
      <w:r>
        <w:t>Alguns estudiosos tentaram explicar essa diversidade por meio de teorias de textos locais. Eles teorizam que várias localidades no Oriente Próximo (p. ex. Babilônia, Palestina, Egito) tinham tipos de texto diferentes que se refletem nos vários textos e versões hebraicas remanescentes. Outros estudiosos explicam a diversidade reconhecendo uma fluidez pré-canônica. Eles acreditam que, até que o processo de canonização estivesse completo, a reprodução precisa dos manuscritos não era vista como muito importante. Deve-se notar, no entanto, que o texto básico que a erudição moderna identificou como mais próximo do original estava entre os textos do Mar Morto (por exemplo, o grande Rolo de Isaías).</w:t>
      </w:r>
    </w:p>
    <w:p>
      <w:r/>
      <w:r>
        <w:t>A destruição do templo em 70 d.C. impulsionou a padronização do texto consonantal. Os textos encontrados em Wadi Murabba’at, copiados durante os primeiros séculos d.C., refletem esse novo estágio. Os estudiosos que inicialmente relataram a descoberta ficaram desapontados ao encontrar nesses textos tão poucas variações em relação ao Texto Massorético padrão. Para eles, os textos muito antigos das descobertas dos Rolos do Mar Morto haviam se tornado o texto consonantal padrão, excluindo outras variantes. Os estudiosos agora chegaram ao ponto de identificar os textos de Wadi Murabba’at, apenas ligeiramente posteriores, como um padrão "proto-Massorético". Isso parece indicar que o texto consonantal hebraico já estava se aproximando de um padrão na Palestina nos primeiros séculos d.C.</w:t>
      </w:r>
    </w:p>
    <w:p>
      <w:r/>
      <w:r>
        <w:t xml:space="preserve">A padronização, conforme praticada pelos massoretas, significava identificar um texto como normativo e copiá-lo cuidadosamente. Também significava corrigir textos existentes de acordo com o texto normativo. O texto hebraico, é claro, era escrito apenas com consoantes, não com consoantes </w:t>
      </w:r>
      <w:r>
        <w:rPr>
          <w:i/>
        </w:rPr>
        <w:t>e</w:t>
      </w:r>
      <w:r>
        <w:t xml:space="preserve"> vogais, como escrevemos em português.</w:t>
      </w:r>
    </w:p>
    <w:p>
      <w:r/>
      <w:r>
        <w:t xml:space="preserve">A próxima etapa na transmissão do texto do AT foi a padronização da pontuação e dos padrões vocálicos. Esse processo, que começou relativamente cedo no período do NT, estendeu-se por um período de 1.000 anos. Uma longa série de massoretas forneceu anotações conhecidas como </w:t>
      </w:r>
      <w:r>
        <w:rPr>
          <w:i/>
        </w:rPr>
        <w:t>Masora,</w:t>
      </w:r>
      <w:r>
        <w:t xml:space="preserve"> que, em hebraico, significa "tradição". Duas motivações diferentes são evidentes em seu trabalho. Uma era a preocupação com a reprodução precisa do texto consonantal. Para esse propósito, uma coleção de anotações (sobre formas irregulares, padrões anormais, o número de vezes que uma forma ou palavra foi usada e outros assuntos) foi reunida e inserida nas margens ou no final do texto.</w:t>
      </w:r>
    </w:p>
    <w:p>
      <w:r/>
      <w:r>
        <w:t xml:space="preserve">Uma segunda preocupação dos massoretas era registrar e padronizar a vocalização do texto consonantal para fins de leitura. Até aquele momento, os escribas estavam proibidos de inserir vogais para tornar a vocalização do texto clara. Por causa disso, uma leitura adequada do texto dependia da tradição oral passada de geração em geração. As origens da vocalização refletem diferenças entre Babilônia e Palestina. Os massoretas de Tiberíades (eruditos que trabalhavam em Tiberíades, na Palestina) forneceram o sistema de vocalização mais completo e preciso. O manuscrito mais antigo datado dessa tradição é um códice dos Profetas da sinagoga caraíta do Cairo, datado de 896 d.C. Hoje, o texto hebraico padrão do AT, </w:t>
      </w:r>
      <w:r>
        <w:rPr>
          <w:i/>
        </w:rPr>
        <w:t>Biblia Hebraica Stuttgartensia,</w:t>
      </w:r>
      <w:r>
        <w:t xml:space="preserve"> uma versão atualizada da </w:t>
      </w:r>
      <w:r>
        <w:rPr>
          <w:i/>
        </w:rPr>
        <w:t>Biblia Hebraica</w:t>
      </w:r>
      <w:r>
        <w:t xml:space="preserve"> de Kittel, é construído com base na tradição massorética de Tiberíades.</w:t>
      </w:r>
    </w:p>
    <w:p>
      <w:r/>
      <w:r>
        <w:t>A padronização tanto do texto consonantal quanto da vocalização foi tão bem-sucedida que os manuscritos que subsistiram mostram uma concordância notável. A maioria das variantes, por serem menores e atribuíveis a erros de escribas, não afeta a interpretação.</w:t>
      </w:r>
    </w:p>
    <w:p>
      <w:pPr>
        <w:pStyle w:val="Heading4"/>
      </w:pPr>
      <w:r>
        <w:t>Metodologia da crítica textual do Antigo Testamento</w:t>
      </w:r>
    </w:p>
    <w:p>
      <w:r/>
      <w:r>
        <w:t>A busca por uma metodologia adequada para lidar com as muitas variantes encontradas nos manuscritos está inseparavelmente ligada ao nosso entendimento da história da transmissão. A questão básica na crítica textual é o método utilizado para decidir o valor relativo dessas variantes. Muitos fatores devem ser avaliados para se chegar a uma decisão válida.</w:t>
      </w:r>
    </w:p>
    <w:p>
      <w:r/>
      <w:r>
        <w:t>A ciência moderna forneceu uma série de auxílios para decifrar um manuscrito. Procedimentos científicos de datação ajudam a determinar a idade do material de escrita. Técnicas químicas ajudam a esclarecer a escrita que se deteriorou. A luz ultravioleta permite que um estudioso veja vestígios de tinta (carbono) em um manuscrito, mesmo depois que a escrita de superfície foi apagada.</w:t>
      </w:r>
    </w:p>
    <w:p>
      <w:r/>
      <w:r>
        <w:t>Cada manuscrito deve ser estudado como um todo, pois cada um tem uma "personalidade". É importante identificar os erros característicos, a negligência ou o cuidado característico, e outras peculiaridades do(s) escriba(s) que copiaram o material. Em seguida, o manuscrito deve ser comparado com outros manuscritos para identificar a tradição "familiar" com a qual concorda. A preservação de erros comuns ou inserções no texto é uma pista para os relacionamentos. Todos os possíveis detalhes de data, local de origem e autoria devem ser determinados.</w:t>
      </w:r>
    </w:p>
    <w:p>
      <w:r/>
      <w:r>
        <w:t xml:space="preserve">Os erros de escribas se dividem em várias categorias distintas. A primeira grande categoria é a de </w:t>
      </w:r>
      <w:r>
        <w:rPr>
          <w:i/>
        </w:rPr>
        <w:t>erros não intencionais:</w:t>
      </w:r>
      <w:r>
        <w:t xml:space="preserve"> (1) Confusão de consoantes semelhantes e a transposição de duas consoantes são erros frequentes. (2) Alterações textuais também resultaram de uma divisão incorreta de palavras (muitos manuscritos antigos omitiam espaços entre palavras para economizar espaço). (3) Confusão de sons ocorria particularmente quando um escriba lia para um grupo de escribas fazendo cópias múltiplas. (4) No AT, o método de vocalização (adição de vogais ao texto consonantal) criou alguns erros. (5) Omissões de uma letra, palavra ou frase criaram novas leituras. (6) Repetição de uma letra, palavra ou até mesmo uma frase inteira também era comum. (7) Omissão (chamada haplografia) ou repetição (chamada ditografia) poderia ser causada pelo deslize do olho de um escriba de uma palavra para uma palavra ou final semelhante. (8) Omissões por </w:t>
      </w:r>
      <w:r>
        <w:rPr>
          <w:i/>
        </w:rPr>
        <w:t>homoioteleuton</w:t>
      </w:r>
      <w:r>
        <w:t xml:space="preserve"> (do grego significando “finais semelhantes”) também eram bastante comuns. Isso ocorria quando duas palavras idênticas, semelhantes ou com finais idênticos eram encontradas próximas uma da outra, e o olho do copista se movia da primeira para a segunda, omitindo as palavras entre elas. (9) No AT, erros às vezes eram causados pelo uso de consoantes como letras vocálicas em alguns textos antigos. Copistas que desconheciam esse uso acabavam copiando essas letras como consoantes anômalas. Normalmente, erros não intencionais são relativamente fáceis de identificar porque criam leituras sem sentido.</w:t>
      </w:r>
    </w:p>
    <w:p>
      <w:r/>
      <w:r>
        <w:rPr>
          <w:i/>
        </w:rPr>
        <w:t>Erros intencionais</w:t>
      </w:r>
      <w:r>
        <w:t xml:space="preserve"> são muito mais difíceis de identificar e avaliar. Harmonizações de materiais semelhantes ocorreram regularmente. Leituras difíceis foram sujeitas a “melhorias” por um escriba atento. Expressões objetáveis foram, às vezes, eliminadas ou suavizadas. Ocasionalmente, sinônimos foram utilizados. A fusão (resolvendo uma discrepância entre duas leituras variantes ao incluir ambas) aparece frequentemente.</w:t>
      </w:r>
    </w:p>
    <w:p>
      <w:r/>
      <w:r>
        <w:t>A conscientização desses problemas comuns é o primeiro passo para detectar e eliminar os erros mais evidentes e identificar e eliminar as peculiaridades de um escriba específico. Em seguida, critérios mais sutis para identificar a leitura mais provável de ser a original devem ser empregados. Os procedimentos para aplicar tais critérios são semelhantes tanto no trabalho do AT quanto do NT.</w:t>
      </w:r>
    </w:p>
    <w:p>
      <w:pPr>
        <w:pStyle w:val="Heading4"/>
      </w:pPr>
      <w:r>
        <w:t>Princípios metodológicos gerais</w:t>
      </w:r>
    </w:p>
    <w:p>
      <w:r/>
      <w:r>
        <w:t>Através do trabalho dos críticos textuais nos últimos séculos, certos princípios básicos foram desenvolvidos. Os princípios fundamentais para o AT podem ser resumidos brevemente.</w:t>
      </w:r>
    </w:p>
    <w:p>
      <w:r/>
      <w:r>
        <w:t>1. O texto básico para consideração primária é o Texto Massorético devido à cuidadosa padronização que representa. Esse texto é comparado com o testemunho das versões antigas. A Septuaginta, por sua antiguidade e fidelidade básica ao texto hebraico, tem peso significativo em todas as decisões. Os Targuns (traduções aramaicas) também refletem a base hebraica, mas exibem uma tendência à expansão e paráfrase. As versões em Siríaco (</w:t>
      </w:r>
      <w:r>
        <w:rPr>
          <w:i/>
        </w:rPr>
        <w:t>Peshitta</w:t>
      </w:r>
      <w:r>
        <w:t>), Vulgata (Latim), Latim Antigo e Copta acrescentam evidências indiretas, embora as traduções nem sempre sejam testemunhas claras em detalhes técnicos. O uso dessas versões permite que os estudiosos utilizem a filologia comparativa em decisões textuais e, assim, identifiquem erros antigos para os quais a leitura original provavelmente não subsistiu.</w:t>
      </w:r>
    </w:p>
    <w:p>
      <w:r/>
      <w:r>
        <w:t>2. A leitura que melhor explica a origem de outras variantes é preferível. Informações sobre a reconstrução da história da transmissão frequentemente fornecem insights adicionais. O conhecimento dos erros típicos dos escribas permite que o crítico tome uma decisão informada sobre a sequência das variantes.</w:t>
      </w:r>
    </w:p>
    <w:p>
      <w:r/>
      <w:r>
        <w:t>3. A leitura mais curta é preferível. Os escribas frequentemente adicionavam material para resolver problemas de estilo ou sintaxe e raramente resumiam ou condensavam o material.</w:t>
      </w:r>
    </w:p>
    <w:p>
      <w:r/>
      <w:r>
        <w:t>4. A leitura mais difícil é mais provável de ser a original. Este princípio está intimamente relacionado ao terceiro. Os escribas não criavam intencionalmente leituras mais complexas. Erros não intencionais são geralmente fáceis de identificar. Assim, a leitura mais fácil é normalmente suspeita de ser uma alteração do escriba.</w:t>
      </w:r>
    </w:p>
    <w:p>
      <w:r/>
      <w:r>
        <w:t>5. Leituras que não são harmonizadas ou assimiladas a passagens semelhantes são preferíveis. Os copistas tinham a tendência de corrigir o material com base em material semelhante em outros lugares (às vezes até de forma inconsciente).</w:t>
      </w:r>
    </w:p>
    <w:p>
      <w:r/>
      <w:r>
        <w:t>6. Quando tudo mais falha, o crítico textual deve recorrer à emenda conjectural. Fazer um "palpite educado" requer um conhecimento profundo da língua hebraica, familiaridade com o estilo do autor e uma compreensão da cultura, costumes e teologia que possam influenciar a passagem. O uso de conjecturas deve ser limitado às passagens nas quais a leitura original definitivamente não nos foi transmitida.</w:t>
      </w:r>
    </w:p>
    <w:p>
      <w:pPr>
        <w:pStyle w:val="Heading4"/>
      </w:pPr>
      <w:r>
        <w:t>Conclusão</w:t>
      </w:r>
    </w:p>
    <w:p>
      <w:r/>
      <w:r>
        <w:t>É importante lembrar que a crítica textual atua apenas quando duas ou mais leituras são possíveis para uma palavra ou frase específica. Para a maior parte do texto bíblico, foi transmitida uma única leitura. A eliminação de erros de escribas e alterações intencionais deixa apenas uma pequena porcentagem do texto sobre a qual surgem dúvidas.</w:t>
      </w:r>
    </w:p>
    <w:p>
      <w:r/>
      <w:r>
        <w:t>O campo da crítica textual é complexo, exigindo a coleta e o uso habilidoso de uma ampla variedade de informações. Como lida com a fonte autoritativa da revelação para todos os cristãos, a argumentação textual muitas vezes tem sido acompanhada de emoção. No entanto, apesar da controvérsia, grandes progressos foram feitos, particularmente no último século. O refinamento da metodologia tem ajudado muito na nossa compreensão dos materiais acumulados. Ajuda adicional veio do acúmulo de informações em áreas de estudo relacionadas, como a história da igreja, teologia bíblica e a história do pensamento cristão.</w:t>
      </w:r>
    </w:p>
    <w:p>
      <w:r/>
      <w:r>
        <w:t>A coleta e organização de todas as leituras variantes permitiram que os críticos textuais modernos garantissem fortemente que a Palavra de Deus foi transmitida de forma precisa e confiável. Embora as leituras variantes tenham se tornado evidentes através da publicação de muitos manuscritos, leituras inadequadas, inferiores e secundárias foram amplamente eliminadas. Em relativamente poucos casos, a emenda conjectural é necessária. Em questões relacionadas à salvação do cristão, a transmissão clara e inequívoca fornece respostas autoritativas. Os cristãos estão, portanto, em dívida com os críticos textuais que trabalharam e continuam trabalhando para fornecer um texto bíblico confiável.</w:t>
      </w:r>
      <w:r/>
      <w:r/>
    </w:p>
    <w:p>
      <w:r/>
    </w:p>
    <w:p>
      <w:pPr>
        <w:pStyle w:val="Heading2"/>
      </w:pPr>
      <w:r>
        <w:t>Bíblia, Cânone da</w:t>
      </w:r>
      <w:r/>
    </w:p>
    <w:p>
      <w:r/>
      <w:r>
        <w:t>Os livros na Bíblia judaica e cristã que são considerados Escritura e, portanto, autoritativos em questões de fé e doutrina. O termo traduz tanto uma palavra grega quanto uma hebraica que significam "regra" ou "vara de medir". Trata-se de uma lista com a qual outros livros são comparados e pela qual são avaliados. Após o quarto século d.C., a igreja cristã ficou com apenas 66 livros que constituíam sua Escritura; 27 destes eram do NT e 39 eram do AT. Assim como Platão, Aristóteles e Homero formam um cânone da literatura grega, os livros do NT tornaram-se o cânone da literatura cristã. Os critérios para selecionar os livros no cânone judaico (o AT) não são conhecidos, mas claramente estavam relacionados ao seu valor na vida contínua e na religião da nação adoradora. Os critérios de seleção dos livros do NT giravam em torno de sua "apostolicidade", de acordo com os primeiros escritores da igreja. Assim como os do AT, esses livros foram coletados e preservados por igrejas locais no processo contínuo de sua adoração e necessidade de orientação autoritativa para a vida cristã. A formação do cânone foi um processo, em vez de um evento, que levou vários séculos para alcançar a finalização em todas as partes do Império Romano. Cânones locais foram a base para comparação, e deles eventualmente emergiu o cânone geral que existe na cristandade hoje, embora algumas das igrejas orientais tenham um NT que é ligeiramente menor do que o aceito no Ocidente. O judaísmo, assim como o cristianismo como um todo, acredita que o Espírito de Deus estava operando de alguma forma providencial na produção e preservação de sua Palavra.</w:t>
      </w:r>
    </w:p>
    <w:p>
      <w:pPr>
        <w:pStyle w:val="Heading3"/>
      </w:pPr>
      <w:r>
        <w:t>Cânone do Antigo Testamento</w:t>
      </w:r>
    </w:p>
    <w:p>
      <w:r/>
      <w:r>
        <w:t xml:space="preserve">O Antigo Testamento é um nome que não aparece na literatura judaica. Os judeus preferem chamar sua coleção de Escrituras de TANAK — um acrônimo formado pelas primeiras letras de </w:t>
      </w:r>
      <w:r>
        <w:rPr>
          <w:i/>
        </w:rPr>
        <w:t>Torah</w:t>
      </w:r>
      <w:r>
        <w:t xml:space="preserve"> (Lei), </w:t>
      </w:r>
      <w:r>
        <w:rPr>
          <w:i/>
        </w:rPr>
        <w:t>Nevi’im</w:t>
      </w:r>
      <w:r>
        <w:t xml:space="preserve"> (Profetas) e </w:t>
      </w:r>
      <w:r>
        <w:rPr>
          <w:i/>
        </w:rPr>
        <w:t>Kethubim</w:t>
      </w:r>
      <w:r>
        <w:t xml:space="preserve"> (Escritos). Em </w:t>
      </w:r>
      <w:hyperlink r:id="rId3762">
        <w:r>
          <w:rPr>
            <w:color w:val="0000EE"/>
            <w:u w:val="single"/>
          </w:rPr>
          <w:t>Lucas 24.44</w:t>
        </w:r>
      </w:hyperlink>
      <w:r>
        <w:t xml:space="preserve"> (NTLH), estes são chamados de “Lei de Moisés, nos livros dos Profetas e nos Salmos” (o primeiro livro da seção "Escritos" na Bíblia Hebraica). Os cristãos chamavam sua coleção de escritos de Novo Testamento. A palavra "testamento" significa aliança ou acordo. Na Bíblia, uma aliança é um acordo vinculativo entre Deus e seu povo. Deus fez uma aliança com Abraão e os patriarcas e, posteriormente, com Israel por meio de Moisés. Jesus falou de uma nova aliança com seus seguidores (</w:t>
      </w:r>
      <w:hyperlink r:id="rId856">
        <w:r>
          <w:rPr>
            <w:color w:val="0000EE"/>
            <w:u w:val="single"/>
          </w:rPr>
          <w:t>Mt 26.28</w:t>
        </w:r>
      </w:hyperlink>
      <w:r>
        <w:t>). Os cristãos do primeiro século acreditavam que a nova aliança de Cristo (</w:t>
      </w:r>
      <w:hyperlink r:id="rId851">
        <w:r>
          <w:rPr>
            <w:color w:val="0000EE"/>
            <w:u w:val="single"/>
          </w:rPr>
          <w:t>1Co 11.25</w:t>
        </w:r>
      </w:hyperlink>
      <w:r>
        <w:t>) introduzia os gentios nas promessas das alianças anteriores de Deus com Israel (</w:t>
      </w:r>
      <w:hyperlink r:id="rId3763">
        <w:r>
          <w:rPr>
            <w:color w:val="0000EE"/>
            <w:u w:val="single"/>
          </w:rPr>
          <w:t>Ef 2.12</w:t>
        </w:r>
      </w:hyperlink>
      <w:r>
        <w:t>). Ela é chamada de "nova" porque a Nova Aliança cumpre e substitui a aliança feita por meio de Moisés (</w:t>
      </w:r>
      <w:hyperlink r:id="rId833">
        <w:r>
          <w:rPr>
            <w:color w:val="0000EE"/>
            <w:u w:val="single"/>
          </w:rPr>
          <w:t>Jr 31.31–34</w:t>
        </w:r>
      </w:hyperlink>
      <w:r>
        <w:t>). Por essa razão, a aliança com Moisés é chamada de "antiga aliança" no Novo Testamento (</w:t>
      </w:r>
      <w:hyperlink r:id="rId3608">
        <w:r>
          <w:rPr>
            <w:color w:val="0000EE"/>
            <w:u w:val="single"/>
          </w:rPr>
          <w:t>Hb 8.7–13</w:t>
        </w:r>
      </w:hyperlink>
      <w:r>
        <w:t xml:space="preserve">; </w:t>
      </w:r>
      <w:hyperlink r:id="rId3764">
        <w:r>
          <w:rPr>
            <w:color w:val="0000EE"/>
            <w:u w:val="single"/>
          </w:rPr>
          <w:t>9.1,15–22</w:t>
        </w:r>
      </w:hyperlink>
      <w:r>
        <w:t>). Mais tarde, as pessoas passaram a usar o nome "Antigo Testamento" para a coleção de escritos anteriores.</w:t>
      </w:r>
    </w:p>
    <w:p>
      <w:r/>
      <w:r>
        <w:t>Os termos “Antigo” e “Novo” não aparecem nos pais apostólicos do primeiro e segundo século ou nos apologistas do início ao meio do segundo século, mas aparecem na segunda metade do segundo século em Justino Mártir (</w:t>
      </w:r>
      <w:r>
        <w:rPr>
          <w:i/>
        </w:rPr>
        <w:t>Diálogos</w:t>
      </w:r>
      <w:r>
        <w:t xml:space="preserve"> 11.2), Irineu (</w:t>
      </w:r>
      <w:r>
        <w:rPr>
          <w:i/>
        </w:rPr>
        <w:t>Contra Heresias</w:t>
      </w:r>
      <w:r>
        <w:t xml:space="preserve"> 4.9.1) e Clemente de Alexandria (</w:t>
      </w:r>
      <w:r>
        <w:rPr>
          <w:i/>
        </w:rPr>
        <w:t>Stromata</w:t>
      </w:r>
      <w:r>
        <w:t xml:space="preserve"> 1.5). Nestes autores, a expressão referia-se mais à aliança em si do que aos livros que a continham, embora a transferência eventualmente tenha sido feita. O termo “cânone” não foi usado no AT ou NT para se referir às Escrituras Judaicas. A ideia de limitação inerente à palavra não era apropriada à natureza da autoridade religiosa na religião judaica durante os mil anos em que os livros do AT estavam sendo escritos. Somente a Torah foi concebida como incapaz de ser adicionada ou retirada (</w:t>
      </w:r>
      <w:hyperlink r:id="rId3765">
        <w:r>
          <w:rPr>
            <w:color w:val="0000EE"/>
            <w:u w:val="single"/>
          </w:rPr>
          <w:t>Dt 4.2</w:t>
        </w:r>
      </w:hyperlink>
      <w:r>
        <w:t xml:space="preserve">). A religião judaica existiu por um milênio, de Moisés a Malaquias, sem um cânone fechado, ou seja, uma lista exclusiva de livros autoritativos. Nunca em sua história o povo do AT teve todos os 39 livros do AT. É difícil saber com certeza quando o cânon tomou sua forma final e os 39 livros do Antigo Testamento foram reconhecidos como autoritativos e os únicos livros com tal autoridade entre os escritos judaicos. Rabinos em Jabneel (também chamados de Yabneh, Yavneel e, posteriormente, Jâmnia) discutiram questões de autoridade religiosa cerca de 20 anos após a queda de Jerusalém em 70 d.C. No entanto, a lista mais antiga que inclui quase todos os 39 livros do Antigo Testamento é a produzida por Melito de Sardes por volta de 170 d.C. Esta lista não inclui nenhum livro escrito depois de Malaquias, a menos que Daniel seja datado do século II a.C. e a menção de Melito à "Sabedoria" de Salomão seja entendida como o livro grego Sabedoria de Salomão dos Apócrifos. Os Profetas e os Escritos sempre foram considerados secundários à Lei. Sua composição e coleção foi um processo em vez de um evento na vida do povo de Israel e funcionou amplamente como um registro da resposta da nação à Lei, que era tão sagrada que foi mantida (segundo a tradição rabínica: Talmude Babilônico, </w:t>
      </w:r>
      <w:r>
        <w:rPr>
          <w:i/>
        </w:rPr>
        <w:t>Baba Bathra</w:t>
      </w:r>
      <w:r>
        <w:t xml:space="preserve"> 14a; cf. também </w:t>
      </w:r>
      <w:r>
        <w:rPr>
          <w:i/>
        </w:rPr>
        <w:t>Documento do Cairo Damasco</w:t>
      </w:r>
      <w:r>
        <w:t xml:space="preserve"> 5.2) na Arca da Aliança que ficava no Santo dos Santos no tabernáculo. Em </w:t>
      </w:r>
      <w:hyperlink r:id="rId3766">
        <w:r>
          <w:rPr>
            <w:color w:val="0000EE"/>
            <w:u w:val="single"/>
          </w:rPr>
          <w:t>Dt 31.26</w:t>
        </w:r>
      </w:hyperlink>
      <w:r>
        <w:t>, no entanto, os levitas foram ordenados por Moisés apenas a colocar o Livro da Lei ao lado da arca. No entanto, sua própria presença no Santo dos Santos estabelece sua singularidade em relação a outros livros do AT.</w:t>
      </w:r>
    </w:p>
    <w:p>
      <w:r/>
      <w:r>
        <w:t>Os 39 livros do AT moderno foram originalmente divididos em apenas 24, de acordo com o testemunho uniforme da tradição hebraica antiga. O Talmude, a literatura rabínica e provavelmente 4 Esdras testemunham este arranjo que incluía cinco livros da Lei, oito Profetas e onze Escritos (Grego — Hagiographa). As Bíblias hebraicas modernas refletem este arranjo tripartido que foi usado nas três primeiras edições impressas (Soncino, 1488; Nápoles, 1491–1493; Brescia, 1492–1494). A Lei continha o Pentateuco na ordem como nós a conhecemos, de Gênesis a Deuteronômio. Os oito Profetas eram Josué, Juízes, Samuel (1 e 2), Reis (1 e 2), Isaías, Jeremias, Ezequiel e os Profetas Menores (todos os 12), que eram considerados como um único livro e organizados na mesma ordem das nossas Bíblias em português. Os onze livros dos Escritos continham três de poesia (Sl, Pv, Jó), os Cinco Rolos (Ct, Rt, Lm, Ec, Et), que eram lidos nas festas importantes e organizados na ordem cronológica de sua observância, e três de narrativa ou históricos (Dn, Ed-Ne, 1 e 2Cr).</w:t>
      </w:r>
    </w:p>
    <w:p>
      <w:r/>
      <w:r>
        <w:t>Desviando-se da tradição judaica autêntica, foram feitos esforços para dividir os livros em 21, combinando Rute com Juízes e Lamentações com Jeremias. Josefo foi o primeiro a fazê-lo, no primeiro século d.C., mas ele foi influenciado pelo Antigo Testamento grego, a Septuaginta. Orígenes observou no início do terceiro século que essa disposição também correspondia ao número de letras do alfabeto hebraico, assim como Atanásio no quarto século, e outros, incluindo Jerônimo. Concluiu-se, de forma duvidosa, que o número de livros na Bíblia Hebraica havia sido divinamente ordenado para concordar com o número de letras do alfabeto hebraico! Os pais da Igreja acrescentaram seu apoio a essa coincidência, que se tornou providência para eles. Todos esses esforços, no entanto, são de origem grega e não têm apoio na tradição hebraica.</w:t>
      </w:r>
    </w:p>
    <w:p>
      <w:r/>
      <w:r>
        <w:t>Os manuscritos mais antigos existentes do AT completo em hebraico são os Textos Massoréticos, que datam do oitavo século d.C. Apenas manuscritos de livros individuais foram encontrados nos Rolos do Mar Morto. Os escribas massoréticos aparentemente não estabeleceram regras sobre a disposição dos livros, pois não há uma ordem uniforme dos Profetas Posteriores ou dos Escritos nos primeiros manuscritos hebraicos. A situação também não é diferente nas antigas traduções gregas do hebraico. Existe uma grande diversidade na ordem dos livros em todos os três de nossos manuscritos mais antigos — Códice Alexandrino, Vaticano e Sinaítico. Todos os primeiros autores cristãos que pretendem apresentar a ordem e o conteúdo da Bíblia Hebraica, mas que não refletem a divisão tripartite hebraica, são claramente dependentes da ordem Alexandrina refletida nessas edições gregas, em vez da Bíblia Hebraica. As Bíblias protestantes modernas seguem a ordem da Vulgata Latina e o conteúdo do hebraico. Tanto a Vulgata quanto a Septuaginta (tradução grega) continham os Apócrifos, que nunca foram aceitos pelos judeus. A Igreja Católica Romana inclui os Apócrifos em suas traduções em português devido à influência da Vulgata na tradição católica. Eles são considerados Deuterocanônicos.</w:t>
      </w:r>
    </w:p>
    <w:p>
      <w:r/>
      <w:r>
        <w:t>Embora não tenha sido mantida uma uniformidade de ordem, a ordem Alexandrina, refletida nos manuscritos gregos, geralmente organizava os livros de acordo com seu assunto — narrativa, história, poesia e profecia, com os livros apócrifos devidamente intercalados nessas categorias. A divisão hebraica foi completamente ignorada.</w:t>
      </w:r>
    </w:p>
    <w:p>
      <w:r/>
      <w:r>
        <w:t>As primeiras Bíblias Hebraicas dividiam o texto em pequenos parágrafos e seções maiores, de forma semelhante aos nossos parágrafos. Estas eram indicadas por espaços deixados entre elas — três letras entre as pequenas seções e nove letras entre as maiores. O número de seções não é o mesmo em todos os manuscritos. Jesus provavelmente se referiu a essas seções em seu comentário do “espinheiro que estava em fogo” (ou sarça ardente) (</w:t>
      </w:r>
      <w:hyperlink r:id="rId3767">
        <w:r>
          <w:rPr>
            <w:color w:val="0000EE"/>
            <w:u w:val="single"/>
          </w:rPr>
          <w:t>Mc 12.26</w:t>
        </w:r>
      </w:hyperlink>
      <w:r>
        <w:t>). Mais tarde, necessidades litúrgicas levaram a divisões adicionais do texto para a leitura completa da Lei nas sinagogas babilônicas em um ano (54 seções) e nas sinagogas palestinas em três anos (154 seções). Estas estão refletidas nos ciclos de leituras marcados em algumas das primeiras Bíblias Hebraicas.</w:t>
      </w:r>
    </w:p>
    <w:p>
      <w:r/>
      <w:r>
        <w:t>A divisão do texto em capítulos modernos, realizada no século 13 (c. 1228) para a Vulgata Latina por Estevão Langton, foi aplicada à Bíblia Hebraica em 1518 (Edição Bomberg). No entanto, os números não foram atribuídos aos capítulos até 1571 no texto de Montanus, uma Bíblia Hebraica com tradução interlinear em latim. Os versículos foram introduzidos na Grande Bíblia de Bomberg de 1547–1548, na qual cada quinto versículo era designado por um numeral hebraico 1, 5, 10, e assim por diante. Os versículos foram inseridos na Vulgata Latina em 1555 na edição in-octavo reduzida de Stephanus.</w:t>
      </w:r>
    </w:p>
    <w:p>
      <w:pPr>
        <w:pStyle w:val="Heading3"/>
      </w:pPr>
      <w:r>
        <w:t>Cânone do Novo Testamento</w:t>
      </w:r>
    </w:p>
    <w:p>
      <w:r/>
      <w:r>
        <w:t>O NT foi escrito em um período de meio século, vários séculos após a conclusão do AT. Ambas as partes dessa afirmação seriam questionadas por críticos modernos, que estenderiam o período de conclusão de ambos os Testamentos. No entanto, o autor desta pesquisa está confiante na veracidade histórica dessa afirmação, e a abordagem adotada para a canonização tanto do AT quanto do NT é baseada solidamente nesse duplo pressuposto.</w:t>
      </w:r>
    </w:p>
    <w:p>
      <w:r/>
      <w:r>
        <w:t>Em certo sentido, possuímos uma certificação muito mais elevada do cânone do AT do que do NT. Nos referimos ao fato de que o imprimátur do nosso Senhor se manifesta pelo uso das Escrituras Hebraicas como a Palavra autoritativa de Deus. No entanto, há um sentido em que Jesus Cristo também estabeleceu o conteúdo ou cânon do NT, por meio de antecipação. Foi ele quem prometeu: “Mas o Auxiliador, o Espírito Santo, que o Pai vai enviar em meu nome, ensinará a vocês todas as coisas e fará com que lembrem de tudo o que eu disse a vocês” e “ele ensinará toda a verdade a vocês” (</w:t>
      </w:r>
      <w:hyperlink r:id="rId3740">
        <w:r>
          <w:rPr>
            <w:color w:val="0000EE"/>
            <w:u w:val="single"/>
          </w:rPr>
          <w:t>Jo 14.26</w:t>
        </w:r>
      </w:hyperlink>
      <w:r>
        <w:t xml:space="preserve">; </w:t>
      </w:r>
      <w:hyperlink r:id="rId3768">
        <w:r>
          <w:rPr>
            <w:color w:val="0000EE"/>
            <w:u w:val="single"/>
          </w:rPr>
          <w:t>16.13</w:t>
        </w:r>
      </w:hyperlink>
      <w:r>
        <w:t>, NTLH).</w:t>
      </w:r>
    </w:p>
    <w:p>
      <w:r/>
      <w:r>
        <w:t>A partir disso, podemos derivar o princípio básico de canonicidade para o NT. Ele é idêntico ao do AT, pois se resume a uma questão de inspiração divina. Quer pensemos nos profetas dos tempos do AT ou nos apóstolos e seus associados dados por Deus no Novo, o reconhecimento, no momento da escrita, de que eram porta-vozes autênticos de Deus é o que determina a canonicidade intrínseca de seus escritos. É totalmente a Palavra de Deus apenas se for inspirada por Deus. Podemos ter a certeza de que os livros em questão foram recebidos pela igreja da era apostólica precisamente quando foram certificados por um apóstolo como sendo assim inspirados. A aparente variação, em relação à área geográfica, no reconhecimento de algumas das epístolas do NT pode muito bem refletir o simples fato de que essa atestação era, por sua própria natureza, inicialmente localizada. Por outro lado, o fato de que todos os 27 livros do NT agora universalmente aceitos foram, em última análise, acordados é evidência de que a devida atestação foi de fato confirmada após investigação rigorosa.</w:t>
      </w:r>
    </w:p>
    <w:p>
      <w:r/>
      <w:r>
        <w:t>Tertuliano, um destacado escritor cristão nas duas primeiras décadas do terceiro século, foi um dos primeiros a chamar as Escrituras Cristãs de "Novo Testamento". Esse título já havia aparecido anteriormente (c. 190) em uma composição contra o Montanismo, cujo autor é desconhecido. Isso é significativo, pois seu uso colocou as Escrituras do NT em um nível de inspiração e autoridade equivalente ao AT.</w:t>
      </w:r>
    </w:p>
    <w:p>
      <w:r/>
      <w:r>
        <w:t>A partir das informações disponíveis, o processo gradual que levou ao reconhecimento público pleno e formal de um cânone fixo dos 27 livros que compõem o NT nos leva até o quarto século de nossa era. Isso não significa necessariamente que essas Escrituras não eram reconhecidas em sua totalidade antes desse tempo, mas que a necessidade de definir oficialmente o cânone não era urgente até então.</w:t>
      </w:r>
    </w:p>
    <w:p>
      <w:r/>
      <w:r>
        <w:t>Embora o período de tempo envolvido na escrita do NT tenha sido muito mais curto do que o do AT, a abrangência geográfica de sua origem é muito mais ampla. Essa circunstância, por si só, é suficiente para explicar a falta de reconhecimento espontâneo ou simultâneo da extensão precisa do cânone do NT. Devido ao isolamento geográfico dos diversos destinatários de partes do NT, era inevitável haver algum atraso e incerteza de uma região para outra no reconhecimento de alguns dos livros.</w:t>
      </w:r>
    </w:p>
    <w:p>
      <w:r/>
      <w:r>
        <w:t xml:space="preserve">Para compreender exatamente o que ocorreu no processo de canonização dos livros do NT, devemos revisar os fatos disponíveis para nós. Isso nos permitirá analisar </w:t>
      </w:r>
      <w:r>
        <w:rPr>
          <w:i/>
        </w:rPr>
        <w:t>como</w:t>
      </w:r>
      <w:r>
        <w:t xml:space="preserve"> e </w:t>
      </w:r>
      <w:r>
        <w:rPr>
          <w:i/>
        </w:rPr>
        <w:t>por que</w:t>
      </w:r>
      <w:r>
        <w:t xml:space="preserve"> nossos antepassados cristãos decidiram pelos 27 livros em nosso NT.</w:t>
      </w:r>
    </w:p>
    <w:p>
      <w:r/>
      <w:r>
        <w:t>O processo histórico foi gradual e contínuo, mas será mais fácil compreendê-lo se subdividirmos os quase três séculos e meio envolvidos em períodos de tempo mais curtos. Alguns mencionam três grandes etapas rumo à canonização, o que sugere, sem justificativa, que há passos facilmente discerníveis ao longo do caminho. Outros simplesmente apresentam uma longa lista de nomes de pessoas e documentos envolvidos, o que dificulta perceber qualquer progresso. Aqui, faremos uma divisão um tanto arbitrária em cinco períodos, lembrando que a disseminação do conhecimento da literatura sagrada e o crescente consenso sobre sua autenticidade como Escritura inspirada continuaram ininterruptamente. Os períodos são:</w:t>
      </w:r>
    </w:p>
    <w:p>
      <w:r/>
      <w:r>
        <w:t>1. Primeiro século</w:t>
      </w:r>
    </w:p>
    <w:p>
      <w:r/>
      <w:r>
        <w:t>2. Primeira metade do segundo século</w:t>
      </w:r>
    </w:p>
    <w:p>
      <w:r/>
      <w:r>
        <w:t>3. Segunda metade do segundo século</w:t>
      </w:r>
    </w:p>
    <w:p>
      <w:r/>
      <w:r>
        <w:t>4. Terceiro século</w:t>
      </w:r>
    </w:p>
    <w:p>
      <w:r/>
      <w:r>
        <w:t>5. Quarto século</w:t>
      </w:r>
    </w:p>
    <w:p>
      <w:r/>
      <w:r>
        <w:t>Novamente, sem querer insinuar que estas são etapas bem definidas, será útil observar as principais tendências observáveis em cada um dos períodos recém-identificados. No primeiro período, é claro, os vários livros foram escritos, mas também começaram a ser copiados e disseminados entre as igrejas. No segundo, à medida que se tornaram mais amplamente conhecidos e valorizados por seus conteúdos, começaram a ser citados como autoritativos. Ao final do terceiro período, eles ocupavam um lugar reconhecido ao lado do AT como "Escritura", e começaram a ser tanto traduzidos para línguas regionais quanto a ser objeto de comentários. Durante o terceiro século d.C., nosso quarto período, a coleta de livros em um todo "Novo Testamento" estava em andamento, juntamente com um processo de seleção que os separava de outras literaturas cristãs. O período final, ou quinto, encontra os pais da igreja do quarto século afirmando que as conclusões sobre o cânone foram alcançadas, indicando aceitação por toda a igreja. Assim, no sentido mais estrito e formal da palavra, o cânone havia se tornado fixo. Resta listar em maior detalhe as forças e indivíduos que produziram as fontes escritas testemunhando este processo notável através do qual, pela providência de Deus, herdamos nosso NT.</w:t>
      </w:r>
    </w:p>
    <w:p>
      <w:pPr>
        <w:pStyle w:val="Heading4"/>
      </w:pPr>
      <w:r>
        <w:t>Período um: primeiro século</w:t>
      </w:r>
    </w:p>
    <w:p>
      <w:r/>
      <w:r>
        <w:t>O princípio que determina o reconhecimento da autoridade dos escritos canônicos do NT foi estabelecido dentro do conteúdo desses próprios escritos. Há repetidas exortações para a leitura pública das comunicações apostólicas. No final de sua Primeira Carta aos Tessalonicenses, possivelmente o primeiro livro do NT a ser escrito, Paulo diz: “Peço com insistência, pela autoridade do Senhor, que esta carta seja lida para todos os irmãos” (</w:t>
      </w:r>
      <w:hyperlink r:id="rId3769">
        <w:r>
          <w:rPr>
            <w:color w:val="0000EE"/>
            <w:u w:val="single"/>
          </w:rPr>
          <w:t>1Ts 5.27</w:t>
        </w:r>
      </w:hyperlink>
      <w:r>
        <w:t>, NTLH). Mais cedo na mesma carta, Paulo elogia a pronta aceitação de sua palavra falada como “a mensagem de Deus” (</w:t>
      </w:r>
      <w:hyperlink r:id="rId3559">
        <w:r>
          <w:rPr>
            <w:color w:val="0000EE"/>
            <w:u w:val="single"/>
          </w:rPr>
          <w:t>2.13</w:t>
        </w:r>
      </w:hyperlink>
      <w:r>
        <w:t xml:space="preserve">), e em </w:t>
      </w:r>
      <w:hyperlink r:id="rId3770">
        <w:r>
          <w:rPr>
            <w:color w:val="0000EE"/>
            <w:u w:val="single"/>
          </w:rPr>
          <w:t>1 Coríntios 14.37</w:t>
        </w:r>
      </w:hyperlink>
      <w:r>
        <w:t xml:space="preserve"> ele fala de forma semelhante sobre seus “mandamentos”, insistindo que sua mensagem seja reconhecida como um mandamento do próprio Senhor. (Veja também </w:t>
      </w:r>
      <w:hyperlink r:id="rId3771">
        <w:r>
          <w:rPr>
            <w:color w:val="0000EE"/>
            <w:u w:val="single"/>
          </w:rPr>
          <w:t>Cl 4.16</w:t>
        </w:r>
      </w:hyperlink>
      <w:r>
        <w:t xml:space="preserve">; </w:t>
      </w:r>
      <w:hyperlink r:id="rId2021">
        <w:r>
          <w:rPr>
            <w:color w:val="0000EE"/>
            <w:u w:val="single"/>
          </w:rPr>
          <w:t>Ap 1.3</w:t>
        </w:r>
      </w:hyperlink>
      <w:r>
        <w:t xml:space="preserve">.) Em </w:t>
      </w:r>
      <w:hyperlink r:id="rId3552">
        <w:r>
          <w:rPr>
            <w:color w:val="0000EE"/>
            <w:u w:val="single"/>
          </w:rPr>
          <w:t>2 Pedro 3.15–16</w:t>
        </w:r>
      </w:hyperlink>
      <w:r>
        <w:t xml:space="preserve">, as cartas de Paulo são incluídas com “outras partes das Escrituras Sagradas". Como a carta de Pedro é global, o conhecimento difundido das cartas de Paulo é, portanto, implícito. Altamente indicativo também é o uso de Paulo em </w:t>
      </w:r>
      <w:hyperlink r:id="rId3553">
        <w:r>
          <w:rPr>
            <w:color w:val="0000EE"/>
            <w:u w:val="single"/>
          </w:rPr>
          <w:t>1 Timóteo 5.18</w:t>
        </w:r>
      </w:hyperlink>
      <w:r>
        <w:t>. Ele segue a fórmula “as Escrituras Sagradas dizem” com uma citação combinada sobre não amordaçar um boi (</w:t>
      </w:r>
      <w:hyperlink r:id="rId1561">
        <w:r>
          <w:rPr>
            <w:color w:val="0000EE"/>
            <w:u w:val="single"/>
          </w:rPr>
          <w:t>Dt 25.4</w:t>
        </w:r>
      </w:hyperlink>
      <w:r>
        <w:t xml:space="preserve">) e “o trabalhador merece seu salário” (cf. </w:t>
      </w:r>
      <w:hyperlink r:id="rId3554">
        <w:r>
          <w:rPr>
            <w:color w:val="0000EE"/>
            <w:u w:val="single"/>
          </w:rPr>
          <w:t>Lc 10.7</w:t>
        </w:r>
      </w:hyperlink>
      <w:r>
        <w:t>). Assim, uma equivalência é implícita entre a Escritura do AT e um Evangelho do NT.</w:t>
      </w:r>
    </w:p>
    <w:p>
      <w:r/>
      <w:r>
        <w:t>Em 95 d.C., Clemente de Roma escreveu aos cristãos em Corinto usando uma interpretação livre do material de Mateus e Lucas. Ele parece ser fortemente influenciado por Hebreus e obviamente está familiarizado com Romanos e as cartas aos Coríntios. Há também reflexos de Efésios, 1 Timóteo, Tito e 1 Pedro.</w:t>
      </w:r>
    </w:p>
    <w:p>
      <w:pPr>
        <w:pStyle w:val="Heading4"/>
      </w:pPr>
      <w:r>
        <w:t>Período dois: primeira metade do segundo século</w:t>
      </w:r>
    </w:p>
    <w:p>
      <w:r/>
      <w:r>
        <w:t>Um dos primeiros manuscritos do Novo Testamento já descobertos, um fragmento de João do Egito conhecido como o papiro João Rylands, demonstra como os escritos do apóstolo João eram reverenciados e copiados por volta de 125 d.C., dentro de 30 a 35 anos após sua morte. Há evidências de que, dentro de 30 anos após a morte do apóstolo, todos os Evangelhos e cartas paulinas eram conhecidos e usados em todos aqueles centros dos quais qualquer evidência chegou até nós. É verdade que algumas das cartas menores estavam sendo questionadas quanto à sua autoridade em alguns lugares por talvez mais 50 anos, mas isso se devia apenas à incerteza sobre sua autoria naquelas localidades específicas. Isso demonstra que a aceitação não estava sendo imposta pelas ações dos concílios, mas estava acontecendo espontaneamente através de uma resposta normal por parte daqueles que haviam aprendido os fatos sobre a autoria. Nos lugares onde as igrejas estavam incertas sobre a autoria ou aprovação apostólica de certos livros, a aceitação foi mais lenta.</w:t>
      </w:r>
    </w:p>
    <w:p>
      <w:r/>
      <w:r>
        <w:t>Os três primeiros pais da igreja notáveis, Clemente, Policarpo e Inácio, usaram a maior parte do material do NT de maneira reveladoramente casual — as Escrituras autenticadas estavam sendo aceitas como autoritativas sem discussão. Nos escritos desses homens, apenas Marcos (que se assemelha muito ao material de Mateus), 2 Pedro, 2 e 3 João, e Judas não são claramente atestados.</w:t>
      </w:r>
    </w:p>
    <w:p>
      <w:r/>
      <w:r>
        <w:t>As Epístolas de Inácio (c. 115 d.C.) apresentam correspondências em vários locais com os Evangelhos e parecem incorporar a linguagem de várias das cartas paulinas. A Didaquê (ou Ensino dos Doze), possivelmente ainda mais antiga, faz referências a um Evangelho escrito. O mais importante é que Clemente, Barnabé e Inácio fazem uma clara distinção entre seus próprios escritos e os escritos apostólicos inspirados e autoritativos.</w:t>
      </w:r>
    </w:p>
    <w:p>
      <w:r/>
      <w:r>
        <w:t>É na Epístola de Barnabé (c. 130 d.C) que encontramos pela primeira vez a fórmula “está escrito” (4.14) usada em referência a um livro do NT (</w:t>
      </w:r>
      <w:hyperlink r:id="rId3772">
        <w:r>
          <w:rPr>
            <w:color w:val="0000EE"/>
            <w:u w:val="single"/>
          </w:rPr>
          <w:t>Mt 22.14</w:t>
        </w:r>
      </w:hyperlink>
      <w:r>
        <w:t xml:space="preserve">). Mas mesmo antes disso, Policarpo, que tinha conhecimento pessoal com testemunhas oculares do ministério do nosso Senhor, usou uma citação combinada do AT e do NT. Citando a admoestação de Paulo em </w:t>
      </w:r>
      <w:hyperlink r:id="rId3773">
        <w:r>
          <w:rPr>
            <w:color w:val="0000EE"/>
            <w:u w:val="single"/>
          </w:rPr>
          <w:t>Efésios 4.26</w:t>
        </w:r>
      </w:hyperlink>
      <w:r>
        <w:t xml:space="preserve">, onde o apóstolo cita o </w:t>
      </w:r>
      <w:hyperlink r:id="rId3774">
        <w:r>
          <w:rPr>
            <w:color w:val="0000EE"/>
            <w:u w:val="single"/>
          </w:rPr>
          <w:t>Salmo 4.4</w:t>
        </w:r>
      </w:hyperlink>
      <w:r>
        <w:t xml:space="preserve"> e faz uma adição, Policarpo em sua Epístola aos Filipenses introduz a referência por “como é dito nestas Escrituras” (12.4). Então Pápias, bispo de Hierápolis (c. 130–140), em uma obra preservada para nós por Eusébio, menciona pelo nome os Evangelhos de Mateus e Marcos, e seu uso deles como base de exposição indica sua aceitação deles como canônicos. Também por volta de 140 d.C., o recentemente descoberto Evangelho da Verdade (uma obra de orientação gnóstica provavelmente autoria de Valentim) faz uma contribuição importante. Seu uso de fontes canônicas do NT, tratando-as como autoritativas, é abrangente o suficiente para justificar a conclusão de que em Roma, neste período, havia uma compilação do NT em existência que correspondia muito de perto à nossa. São feitas citações dos Evangelhos, Atos, cartas de Paulo, Hebreus e o livro de Apocalipse.</w:t>
      </w:r>
    </w:p>
    <w:p>
      <w:r/>
      <w:r>
        <w:t xml:space="preserve">O herege Marcião, ao definir um cânone limitado próprio (c. 140), efetivamente apressou o dia em que os crentes ortodoxos precisariam se posicionar sobre essa questão. Rejeitando todo o AT, Marcião optou pelo Evangelho de Lucas (eliminando os caps. </w:t>
      </w:r>
      <w:hyperlink r:id="rId3775">
        <w:r>
          <w:rPr>
            <w:color w:val="0000EE"/>
            <w:u w:val="single"/>
          </w:rPr>
          <w:t>1</w:t>
        </w:r>
      </w:hyperlink>
      <w:r>
        <w:t xml:space="preserve"> e </w:t>
      </w:r>
      <w:hyperlink r:id="rId3776">
        <w:r>
          <w:rPr>
            <w:color w:val="0000EE"/>
            <w:u w:val="single"/>
          </w:rPr>
          <w:t>2</w:t>
        </w:r>
      </w:hyperlink>
      <w:r>
        <w:t xml:space="preserve"> por serem muito judaicos) e pelas cartas de Paulo (exceto as pastorais). Curiosamente, especialmente à luz de </w:t>
      </w:r>
      <w:hyperlink r:id="rId3771">
        <w:r>
          <w:rPr>
            <w:color w:val="0000EE"/>
            <w:u w:val="single"/>
          </w:rPr>
          <w:t>Colossenses 4.16</w:t>
        </w:r>
      </w:hyperlink>
      <w:r>
        <w:t>, ele substitui o nome "Laodicenses" por Efésios.</w:t>
      </w:r>
    </w:p>
    <w:p>
      <w:r/>
      <w:r>
        <w:t>Perto do final deste período, Justino Mártir, ao descrever os cultos da igreja primitiva, coloca os escritos apostólicos no mesmo nível dos profetas do AT. Ele afirma que a voz que falou através dos apóstolos de Cristo no NT era a mesma que falou através dos profetas — a voz de Deus — e a mesma voz que Abraão ouviu, respondendo com fé e obediência. Justino também usava livremente a expressão "está escrito" ao citar as Escrituras do NT.</w:t>
      </w:r>
    </w:p>
    <w:p>
      <w:pPr>
        <w:pStyle w:val="Heading4"/>
      </w:pPr>
      <w:r>
        <w:t>Período três: segunda metade do segundo século</w:t>
      </w:r>
    </w:p>
    <w:p>
      <w:r/>
      <w:r>
        <w:t>Ireneu teve o privilégio de iniciar seu treinamento cristão sob Policarpo, um discípulo dos apóstolos. Depois, como presbítero em Lyon, ele teve associação com o bispo Potino, cuja própria formação também incluía contato com cristãos da primeira geração. Ireneu cita quase todo o Novo Testamento com base em sua autoridade e afirma que os apóstolos foram dotados de poder do alto. Ele diz que eles estavam “totalmente informados sobre todas as coisas, e tinham um conhecimento perfeito... tendo de fato todos em igual medida e cada um individualmente o Evangelho de Deus” (</w:t>
      </w:r>
      <w:r>
        <w:rPr>
          <w:i/>
        </w:rPr>
        <w:t>Contra as Heresias</w:t>
      </w:r>
      <w:r>
        <w:t xml:space="preserve"> 3.3). Ireneu dá razões para haver quatro Evangelhos. “A palavra”, ele diz, “nos deu o Evangelho em uma forma quádrupla, mas mantida unida por um Espírito”. Além dos Evangelhos, ele também faz referência a Atos, todas as cartas de Paulo, exceto Filemom, 1 Pedro, 1 João e o livro de Apocalipse.</w:t>
      </w:r>
    </w:p>
    <w:p>
      <w:r/>
      <w:r>
        <w:t xml:space="preserve">Tatiano, aluno de Justino Mártir, criou uma harmonia dos quatro Evangelhos, o </w:t>
      </w:r>
      <w:r>
        <w:rPr>
          <w:i/>
        </w:rPr>
        <w:t>Diatessaron</w:t>
      </w:r>
      <w:r>
        <w:t xml:space="preserve">, confirmando o status igual que eles tinham na igreja por volta de 170 d.C. Outros “evangelhos” já haviam surgido até então, mas ele reconheceu apenas os quatro. Também datando de cerca de 170 está o </w:t>
      </w:r>
      <w:r>
        <w:rPr>
          <w:i/>
        </w:rPr>
        <w:t>cânon Muratoriano</w:t>
      </w:r>
      <w:r>
        <w:t>. Uma cópia deste documento do século VIII foi descoberta e publicada em 1740 pelo bibliotecário L. A. Muratori. O manuscrito está mutilado em ambas as extremidades, mas o texto restante deixa evidente que Mateus e Marcos estavam incluídos na parte agora ausente. O fragmento começa com Lucas e João, cita Atos, 13 cartas Paulinas, 1 e 2 João, Judas e Apocalipse. Segue-se uma declaração: “Aceitamos apenas o Apocalipse de João e Pedro, embora alguns de nós não queiram que ele [Apocalipse de Pedro é 2 Pedro?] seja lido na Igreja”. A lista continua a rejeitar nominalmente vários líderes heréticos e seus escritos.</w:t>
      </w:r>
    </w:p>
    <w:p>
      <w:r/>
      <w:r>
        <w:t>Versões traduzidas existiam nesse período. Na forma de traduções em siríaco e latim antigo, temos, por volta de 170 d.C., um testemunho adequado dos ramos extremos oriental e ocidental da igreja, como poderíamos esperar de outras evidências em mãos. O cânone do NT é representado sem adições e com a omissão de apenas um livro, 2 Pedro.</w:t>
      </w:r>
    </w:p>
    <w:p>
      <w:pPr>
        <w:pStyle w:val="Heading4"/>
      </w:pPr>
      <w:r>
        <w:t>Período quatro: terceiro século</w:t>
      </w:r>
    </w:p>
    <w:p>
      <w:r/>
      <w:r>
        <w:t xml:space="preserve">Um nome cristão notável do terceiro século é Orígenes (185–254 d.C.). Um estudioso e intérprete prodigioso, ele realizou estudos críticos do texto do NT (junto com seu trabalho na </w:t>
      </w:r>
      <w:r>
        <w:rPr>
          <w:i/>
        </w:rPr>
        <w:t>Hexapla</w:t>
      </w:r>
      <w:r>
        <w:t>) e escreveu comentários e homilias sobre a maioria dos livros do NT, enfatizando sua inspiração divina.</w:t>
      </w:r>
    </w:p>
    <w:p>
      <w:r/>
      <w:r>
        <w:t>Dionísio de Alexandria, aluno de Orígenes, indica que, enquanto a igreja ocidental aceitou o livro do Apocalipse desde o início, sua posição no Oriente era variável. No caso da carta aos Hebreus, a situação era inversa. Ela se mostrou mais incerta no Ocidente do que no Oriente. Quando se trata de outros livros disputados (observe, aliás, que todos nessa categoria ocupam a última posição em nossas Bíblias atuais — de Hebreus a Apocalipse), entre as chamadas “Epístolas Católicas”, Dionísio apoia Tiago, 1, 2 e 3 João, mas não 2 Pedro ou Judas.</w:t>
      </w:r>
    </w:p>
    <w:p>
      <w:pPr>
        <w:pStyle w:val="Heading4"/>
      </w:pPr>
      <w:r>
        <w:t>Período cinco: quarto século</w:t>
      </w:r>
    </w:p>
    <w:p>
      <w:r/>
      <w:r>
        <w:t xml:space="preserve">No início deste período, a imagem começa a se esclarecer. Eusébio (c. 270–340, bispo de Cesareia antes de 315), o grande historiador da igreja, apresenta sua estimativa do cânone em sua </w:t>
      </w:r>
      <w:r>
        <w:rPr>
          <w:i/>
        </w:rPr>
        <w:t>História Eclesiástica</w:t>
      </w:r>
      <w:r>
        <w:t xml:space="preserve"> (3.3–25). Aqui ele faz uma declaração direta sobre o status do cânon na primeira parte do século IV: (1) Universalmente aceitos como canônicos eram os quatro Evangelhos, Atos, cartas de Paulo (incluindo Hebreus, com questionamento sobre sua autoria), 1 Pedro, 1 João e Apocalipse; (2) Admitidos pela maioria, incluindo o próprio Eusébio, mas contestados por alguns, estavam Tiago, 2 Pedro (o mais fortemente contestado), 2 e 3 João, e Judas; e (3) Os Atos de Paulo, o Didaquê e o Pastor de Hermas foram classificados como “espúrios”, e ainda outros escritos foram listados como “heréticos e absurdos”.</w:t>
      </w:r>
    </w:p>
    <w:p>
      <w:r/>
      <w:r>
        <w:t xml:space="preserve">É na segunda metade do quarto século, no entanto, que o cânon do NT encontra sua declaração completa e final. Em sua </w:t>
      </w:r>
      <w:r>
        <w:rPr>
          <w:i/>
        </w:rPr>
        <w:t>Carta Festiva</w:t>
      </w:r>
      <w:r>
        <w:t xml:space="preserve"> para a Páscoa de 367, o bispo Atanásio de Alexandria incluiu informações destinadas a eliminar de uma vez por todas o uso de certos livros apócrifos. Esta carta, com sua admoestação, “Que ninguém acrescente a estes; que nada seja retirado”, nos fornece o documento mais antigo existente que especifica nossos 27 livros sem qualificação. No final do século, o Concílio de Cartago (397 d.C.) decretou que “além das Escrituras canônicas, nada deve ser lido na igreja sob o Nome de Escrituras Divinas”. Isso também lista os 27 livros do NT.</w:t>
      </w:r>
    </w:p>
    <w:p>
      <w:r/>
      <w:r>
        <w:t>O avanço repentino do Cristianismo sob o Imperador Constantino (Édito de Milão, 313) teve grande influência na aceitação de todos os livros do NT no Oriente. Quando ele encarregou Eusébio de preparar "cinquenta cópias das Escrituras Divinas", o historiador, plenamente ciente de quais eram os livros sagrados pelos quais muitos crentes estavam dispostos a dar suas próprias vidas, efetivamente estabeleceu o padrão que deu reconhecimento a todos os livros que antes eram duvidosos. No Ocidente, é claro, Jerônimo e Agostinho foram os líderes que exerceram uma influência determinante. A publicação dos 27 livros na versão Vulgata praticamente resolveu a questão.</w:t>
      </w:r>
    </w:p>
    <w:p>
      <w:pPr>
        <w:pStyle w:val="Heading4"/>
      </w:pPr>
      <w:r>
        <w:t>Princípios e fatores que determinam o cânone</w:t>
      </w:r>
    </w:p>
    <w:p>
      <w:r/>
      <w:r>
        <w:t>Por sua própria natureza, a Sagrada Escritura, seja do AT ou do NT, é uma obra dada por Deus, não uma criação humana. A chave para a canonicidade é a inspiração divina. Portanto, o método de determinação não é uma seleção entre vários candidatos possíveis (na verdade, não há outros candidatos), mas sim a recepção de material autêntico e seu consequente reconhecimento por um círculo cada vez mais amplo à medida que os fatos de sua origem se tornam conhecidos.</w:t>
      </w:r>
    </w:p>
    <w:p>
      <w:r/>
      <w:r>
        <w:t xml:space="preserve">Em certo sentido, o movimento de Montano, que foi declarado herético pela igreja de sua época (meados do segundo século), impulsionou o reconhecimento de um cânone fechado da Palavra escrita de Deus. Ele ensinava que o dom profético foi concedido permanentemente à igreja e que ele próprio era um profeta. A pressão para lidar com o Montanismo, portanto, intensificou a busca por uma autoridade básica, e a autoria ou aprovação apostólica passou a ser reconhecida como o único padrão seguro para identificar a revelação de Deus. Mesmo dentro do registro das Escrituras, os profetas do primeiro século eram subordinados e sujeitos à autoridade apostólica (veja, e.g., </w:t>
      </w:r>
      <w:hyperlink r:id="rId3777">
        <w:r>
          <w:rPr>
            <w:color w:val="0000EE"/>
            <w:u w:val="single"/>
          </w:rPr>
          <w:t>1Co 14.29–30</w:t>
        </w:r>
      </w:hyperlink>
      <w:r>
        <w:t xml:space="preserve">; </w:t>
      </w:r>
      <w:hyperlink r:id="rId3778">
        <w:r>
          <w:rPr>
            <w:color w:val="0000EE"/>
            <w:u w:val="single"/>
          </w:rPr>
          <w:t>Ef 4.11</w:t>
        </w:r>
      </w:hyperlink>
      <w:r>
        <w:t>).</w:t>
      </w:r>
    </w:p>
    <w:p>
      <w:r/>
      <w:r>
        <w:t>Durante a Reforma Protestante, quando todas as coisas estavam sendo reexaminadas, alguns dos Reformadores procuraram maneiras de tranquilizar a si mesmos e seus seguidores sobre o cânon das Escrituras. Isso foi, de certa forma, um aspecto infeliz do pensamento da Reforma, pois uma vez que Deus, em sua providência, havia determinado para seu povo o conteúdo fixo das Escrituras, isso se tornou um fato histórico e não algo que pudesse ser repetido. No entanto, Lutero estabeleceu um teste teológico para os livros da Bíblia (e questionou alguns deles) — “Eles ensinam Cristo?” Igualmente subjetiva, ao que parece, foi a insistência de Calvino de que o Espírito de Deus dá testemunho a cada cristão individual em qualquer época da história da igreja sobre o que é sua Palavra e o que não é.</w:t>
      </w:r>
    </w:p>
    <w:p>
      <w:r/>
      <w:r>
        <w:t>Na verdade, mesmo para a aceitação inicial da Palavra escrita, não é seguro nem sensato (tanto quanto as Escrituras ou a história nos ensinam) dizer que o reconhecimento e a recepção foram uma questão intuitiva. Foi, na verdade, uma questão de simples obediência aos comandos conhecidos de Cristo e seus apóstolos. Como vimos no início, nosso Senhor prometeu (</w:t>
      </w:r>
      <w:hyperlink r:id="rId3740">
        <w:r>
          <w:rPr>
            <w:color w:val="0000EE"/>
            <w:u w:val="single"/>
          </w:rPr>
          <w:t>Jo 14.26</w:t>
        </w:r>
      </w:hyperlink>
      <w:r>
        <w:t xml:space="preserve">; </w:t>
      </w:r>
      <w:hyperlink r:id="rId3768">
        <w:r>
          <w:rPr>
            <w:color w:val="0000EE"/>
            <w:u w:val="single"/>
          </w:rPr>
          <w:t>16.13</w:t>
        </w:r>
      </w:hyperlink>
      <w:r>
        <w:t xml:space="preserve">) comunicar todas as coisas necessárias através de seus agentes. Os apóstolos estavam conscientes dessa responsabilidade e agência enquanto escreviam. A explicação de Paulo em </w:t>
      </w:r>
      <w:hyperlink r:id="rId3779">
        <w:r>
          <w:rPr>
            <w:color w:val="0000EE"/>
            <w:u w:val="single"/>
          </w:rPr>
          <w:t>1 Coríntios 2.13</w:t>
        </w:r>
      </w:hyperlink>
      <w:r>
        <w:t xml:space="preserve"> é apropriada: “Portanto, quando falamos, nós usamos palavras ensinadas pelo Espírito de Deus e não palavras ensinadas pela sabedoria humana. Assim explicamos as verdades espirituais aos que são espirituais” (NTLH).</w:t>
      </w:r>
    </w:p>
    <w:p>
      <w:r/>
      <w:r>
        <w:t>Portanto, a igreja primitiva, com laços mais estreitos e mais informações do que temos hoje, examinou o testemunho dos antigos. Eles foram capazes de discernir quais livros eram autênticos e autoritativos por sua origem apostólica. A associação de Marcos com Pedro e de Lucas com Paulo lhes conferiu tal aprovação apostólica, e epístolas como Hebreus e Judas também estavam ligadas à mensagem e ao ministério apostólico. A consistência incontestável da doutrina em todos os livros, incluindo os às vezes contestados, foi talvez um teste secundário. Mas, historicamente, o procedimento foi essencialmente de aceitação e aprovação daqueles livros que foram garantidos por líderes da igreja conhecedores. A aceitação plena pelos destinatários originais, seguida por um reconhecimento e uso contínuos, é um fator essencial no desenvolvimento do cânone.</w:t>
      </w:r>
    </w:p>
    <w:p>
      <w:r/>
      <w:r>
        <w:t>O conceito de cânone da igreja, derivado primeiramente da reverência dada às Escrituras do AT, baseava-se na convicção de que os apóstolos foram exclusivamente autorizados a falar em nome daquele que possuía toda autoridade — o Senhor Jesus Cristo. O desenvolvimento a partir daí é lógico e direto. Aqueles que ouviram Jesus pessoalmente estavam imediatamente sujeitos à sua autoridade. Ele autenticou pessoalmente suas palavras aos crentes. Esses mesmos crentes sabiam que Jesus autorizou seus apóstolos a falar em seu nome, tanto durante quanto (mais significativamente) após seu ministério terreno. Falar apostolicamente em nome de Cristo foi reconhecido na igreja, seja em pronunciamento pessoal ou em forma escrita. Tanto a palavra falada de um apóstolo quanto a carta de um apóstolo constituíam a palavra de Cristo.</w:t>
      </w:r>
    </w:p>
    <w:p>
      <w:r/>
      <w:r>
        <w:t>A geração que seguiu a dos próprios apóstolos recebeu o testemunho daqueles que sabiam que os apóstolos tinham o direito de falar e escrever em nome de Cristo. Consequentemente, a segunda e terceira geração de cristãos olhou para trás, para as palavras apostólicas (escritos) como as próprias palavras de Cristo. Isso é o que realmente se entende por canonização — o reconhecimento da Palavra divinamente autenticada. Assim, os crentes (a igreja) não estabeleceram o cânone, mas simplesmente testemunharam sua extensão ao reconhecer a autoridade da palavra de Cristo.</w:t>
      </w:r>
      <w:r/>
      <w:r/>
    </w:p>
    <w:p>
      <w:r/>
    </w:p>
    <w:p>
      <w:pPr>
        <w:pStyle w:val="Heading2"/>
      </w:pPr>
      <w:r>
        <w:t>Bilã</w:t>
      </w:r>
      <w:r/>
    </w:p>
    <w:p>
      <w:r/>
      <w:r>
        <w:t>1. O primogênito de Eser e um descendente de Seir (</w:t>
      </w:r>
      <w:hyperlink r:id="rId210">
        <w:r>
          <w:rPr>
            <w:color w:val="0000EE"/>
            <w:u w:val="single"/>
          </w:rPr>
          <w:t>Gn 36.27</w:t>
        </w:r>
      </w:hyperlink>
      <w:r>
        <w:t xml:space="preserve">; </w:t>
      </w:r>
      <w:hyperlink r:id="rId2309">
        <w:r>
          <w:rPr>
            <w:color w:val="0000EE"/>
            <w:u w:val="single"/>
          </w:rPr>
          <w:t>1Cr 1.42</w:t>
        </w:r>
      </w:hyperlink>
      <w:r>
        <w:t>).</w:t>
      </w:r>
    </w:p>
    <w:p>
      <w:r/>
      <w:r>
        <w:t>2. Filho de Jediael da tribo de Benjamim (</w:t>
      </w:r>
      <w:hyperlink r:id="rId3403">
        <w:r>
          <w:rPr>
            <w:color w:val="0000EE"/>
            <w:u w:val="single"/>
          </w:rPr>
          <w:t>1Cr 7.10</w:t>
        </w:r>
      </w:hyperlink>
      <w:r>
        <w:t>).</w:t>
      </w:r>
      <w:r/>
      <w:r/>
    </w:p>
    <w:p>
      <w:r/>
    </w:p>
    <w:p>
      <w:pPr>
        <w:pStyle w:val="Heading2"/>
      </w:pPr>
      <w:r>
        <w:t>Bila (Pessoa)</w:t>
      </w:r>
      <w:r/>
    </w:p>
    <w:p>
      <w:r/>
      <w:r>
        <w:t>Serva dada por Labão à sua filha Raquel quando ela se casou com Jacó (</w:t>
      </w:r>
      <w:hyperlink r:id="rId3780">
        <w:r>
          <w:rPr>
            <w:color w:val="0000EE"/>
            <w:u w:val="single"/>
          </w:rPr>
          <w:t>Gn 29.29</w:t>
        </w:r>
      </w:hyperlink>
      <w:r>
        <w:t>). Percebendo sua própria esterilidade, Raquel deu Bila ao seu marido como concubina e aceitou os dois filhos deles como seus, nomeando-os Dã e Naftali (</w:t>
      </w:r>
      <w:hyperlink r:id="rId3781">
        <w:r>
          <w:rPr>
            <w:color w:val="0000EE"/>
            <w:u w:val="single"/>
          </w:rPr>
          <w:t>30.3–8</w:t>
        </w:r>
      </w:hyperlink>
      <w:r>
        <w:t xml:space="preserve">; </w:t>
      </w:r>
      <w:hyperlink r:id="rId3782">
        <w:r>
          <w:rPr>
            <w:color w:val="0000EE"/>
            <w:u w:val="single"/>
          </w:rPr>
          <w:t>35.25</w:t>
        </w:r>
      </w:hyperlink>
      <w:r>
        <w:t xml:space="preserve">; </w:t>
      </w:r>
      <w:hyperlink r:id="rId3783">
        <w:r>
          <w:rPr>
            <w:color w:val="0000EE"/>
            <w:u w:val="single"/>
          </w:rPr>
          <w:t>46.25</w:t>
        </w:r>
      </w:hyperlink>
      <w:r>
        <w:t xml:space="preserve">). Investigações arqueológicas confirmaram o costume de uma esposa estéril fornecer uma concubina para garantir filhos ao marido. Tal arranjo é mencionado em documentos de contrato de casamento desenterrados em Nuzi e datados de aproximadamente a mesma época dos eventos de </w:t>
      </w:r>
      <w:hyperlink r:id="rId3784">
        <w:r>
          <w:rPr>
            <w:color w:val="0000EE"/>
            <w:u w:val="single"/>
          </w:rPr>
          <w:t>Gênesis 29</w:t>
        </w:r>
      </w:hyperlink>
      <w:r>
        <w:t>. O filho de Jacó, Rúben, mais tarde foi culpado de incesto com Bila (</w:t>
      </w:r>
      <w:hyperlink r:id="rId3785">
        <w:r>
          <w:rPr>
            <w:color w:val="0000EE"/>
            <w:u w:val="single"/>
          </w:rPr>
          <w:t>35.22</w:t>
        </w:r>
      </w:hyperlink>
      <w:r>
        <w:t>).</w:t>
      </w:r>
      <w:r/>
      <w:r/>
    </w:p>
    <w:p>
      <w:r/>
    </w:p>
    <w:p>
      <w:pPr>
        <w:pStyle w:val="Heading2"/>
      </w:pPr>
      <w:r>
        <w:t>Bildade</w:t>
      </w:r>
      <w:r/>
    </w:p>
    <w:p>
      <w:r/>
      <w:r>
        <w:t>Um dos três amigos que vieram confortar Jó em sua angústia, identificado como um suíta (</w:t>
      </w:r>
      <w:hyperlink r:id="rId3786">
        <w:r>
          <w:rPr>
            <w:color w:val="0000EE"/>
            <w:u w:val="single"/>
          </w:rPr>
          <w:t>Jó 2.11</w:t>
        </w:r>
      </w:hyperlink>
      <w:r>
        <w:t>). Esse termo sugere que ele era descendente de Sua, filho de Abraão e sua segunda esposa Quetura (</w:t>
      </w:r>
      <w:hyperlink r:id="rId3787">
        <w:r>
          <w:rPr>
            <w:color w:val="0000EE"/>
            <w:u w:val="single"/>
          </w:rPr>
          <w:t>Gn 25.1–2</w:t>
        </w:r>
      </w:hyperlink>
      <w:r>
        <w:t>). Bildade falou com Jó em três ocasiões. Em seu primeiro discurso, ele afirmou que Deus sustenta os justos e pune os ímpios (</w:t>
      </w:r>
      <w:hyperlink r:id="rId3788">
        <w:r>
          <w:rPr>
            <w:color w:val="0000EE"/>
            <w:u w:val="single"/>
          </w:rPr>
          <w:t>Jó 8</w:t>
        </w:r>
      </w:hyperlink>
      <w:r>
        <w:t xml:space="preserve">). Portanto, Jó deve ser um hipócrita ao dizer que está certo com Deus. Em seu segundo discurso, Bildade enfatizou a punição imediata dos ímpios nesta vida (cap. </w:t>
      </w:r>
      <w:hyperlink r:id="rId3789">
        <w:r>
          <w:rPr>
            <w:color w:val="0000EE"/>
            <w:u w:val="single"/>
          </w:rPr>
          <w:t>18</w:t>
        </w:r>
      </w:hyperlink>
      <w:r>
        <w:t xml:space="preserve">). Assim, Jó deve ser ímpio por causa de seu intenso sofrimento. Em seu terceiro discurso, Bildade proclamou a majestade de Deus e comparou o homem a um verme (cap. </w:t>
      </w:r>
      <w:hyperlink r:id="rId3790">
        <w:r>
          <w:rPr>
            <w:color w:val="0000EE"/>
            <w:u w:val="single"/>
          </w:rPr>
          <w:t>25</w:t>
        </w:r>
      </w:hyperlink>
      <w:r>
        <w:t>). Ele insinuou que Jó era tolo ao afirmar ser justo diante de um Deus tão santo.</w:t>
      </w:r>
    </w:p>
    <w:p>
      <w:r/>
      <w:r>
        <w:rPr>
          <w:i/>
        </w:rPr>
        <w:t>Veja também</w:t>
      </w:r>
      <w:r>
        <w:t xml:space="preserve"> </w:t>
      </w:r>
      <w:r>
        <w:t>Jó, Livro de</w:t>
      </w:r>
      <w:r>
        <w:t>.</w:t>
      </w:r>
      <w:r/>
      <w:r/>
    </w:p>
    <w:p>
      <w:r/>
    </w:p>
    <w:p>
      <w:pPr>
        <w:pStyle w:val="Heading2"/>
      </w:pPr>
      <w:r>
        <w:t>Birsa</w:t>
      </w:r>
      <w:r/>
    </w:p>
    <w:p>
      <w:r/>
      <w:r>
        <w:t>Governante de Gomorra nos dias de Abraão e Ló. Birsa foi um dos cinco reis-cidades cananeus que se rebelaram sem sucesso contra o rei Quedorlaomer de Elão e seus três aliados (</w:t>
      </w:r>
      <w:hyperlink r:id="rId3328">
        <w:r>
          <w:rPr>
            <w:color w:val="0000EE"/>
            <w:u w:val="single"/>
          </w:rPr>
          <w:t>Gn 14.2</w:t>
        </w:r>
      </w:hyperlink>
      <w:r>
        <w:t>).</w:t>
      </w:r>
      <w:r/>
      <w:r/>
    </w:p>
    <w:p>
      <w:r/>
    </w:p>
    <w:p>
      <w:pPr>
        <w:pStyle w:val="Heading2"/>
      </w:pPr>
      <w:r>
        <w:t>Birzavite</w:t>
      </w:r>
      <w:r/>
    </w:p>
    <w:p>
      <w:r/>
      <w:r>
        <w:t>Filho de Malquiel da tribo de Aser (</w:t>
      </w:r>
      <w:hyperlink r:id="rId3791">
        <w:r>
          <w:rPr>
            <w:color w:val="0000EE"/>
            <w:u w:val="single"/>
          </w:rPr>
          <w:t>1Cr 7.31</w:t>
        </w:r>
      </w:hyperlink>
      <w:r>
        <w:t>). Como listas paralelas não o mencionam (</w:t>
      </w:r>
      <w:hyperlink r:id="rId2708">
        <w:r>
          <w:rPr>
            <w:color w:val="0000EE"/>
            <w:u w:val="single"/>
          </w:rPr>
          <w:t>Gn 46.17</w:t>
        </w:r>
      </w:hyperlink>
      <w:r>
        <w:t xml:space="preserve">; </w:t>
      </w:r>
      <w:hyperlink r:id="rId3792">
        <w:r>
          <w:rPr>
            <w:color w:val="0000EE"/>
            <w:u w:val="single"/>
          </w:rPr>
          <w:t>Nm 26.44–47</w:t>
        </w:r>
      </w:hyperlink>
      <w:r>
        <w:t>), é possível que Birzavite fosse o nome de uma cidade fundada por Malquiel. Se for o caso, a cidade pode ter ficado a noroeste de Betel, perto de Tiro, e agora é chamada de Birzeit.</w:t>
      </w:r>
      <w:r/>
      <w:r/>
    </w:p>
    <w:p>
      <w:r/>
    </w:p>
    <w:p>
      <w:pPr>
        <w:pStyle w:val="Heading2"/>
      </w:pPr>
      <w:r>
        <w:t>Bispo*</w:t>
      </w:r>
      <w:r/>
    </w:p>
    <w:p>
      <w:r/>
      <w:r>
        <w:t xml:space="preserve">Oficial da igreja com as qualificações listadas em </w:t>
      </w:r>
      <w:hyperlink r:id="rId3793">
        <w:r>
          <w:rPr>
            <w:color w:val="0000EE"/>
            <w:u w:val="single"/>
          </w:rPr>
          <w:t>1 Timóteo 3.2–7</w:t>
        </w:r>
      </w:hyperlink>
      <w:r>
        <w:t xml:space="preserve"> e </w:t>
      </w:r>
      <w:hyperlink r:id="rId3794">
        <w:r>
          <w:rPr>
            <w:color w:val="0000EE"/>
            <w:u w:val="single"/>
          </w:rPr>
          <w:t>Tito 1.6–9</w:t>
        </w:r>
      </w:hyperlink>
      <w:r>
        <w:t>. A palavra grega da qual derivam o título “bispo” e o adjetivo “episcopal” é muitas vezes traduzida em versões modernas como “ancião”, “supervisor”, “pastor” ou “guardião”, correspondendo de perto ao termo atual “pastor”. Jesus é chamado de “ao Pastor e Bispo da vossa alma” (</w:t>
      </w:r>
      <w:hyperlink r:id="rId962">
        <w:r>
          <w:rPr>
            <w:color w:val="0000EE"/>
            <w:u w:val="single"/>
          </w:rPr>
          <w:t>1Pe 2.25</w:t>
        </w:r>
      </w:hyperlink>
      <w:r>
        <w:t>, ARA).</w:t>
      </w:r>
    </w:p>
    <w:p>
      <w:r/>
      <w:r>
        <w:t>No NT, “bispo” e “ancião” se referem ao mesmo ofício, como mostrado pelo apóstolo Paulo dizendo a Tito para nomear “anciãos em todas as cidades” e depois se referindo a esses mesmos indivíduos como “bispos” (</w:t>
      </w:r>
      <w:hyperlink r:id="rId1407">
        <w:r>
          <w:rPr>
            <w:color w:val="0000EE"/>
            <w:u w:val="single"/>
          </w:rPr>
          <w:t>Tt 1.5,7</w:t>
        </w:r>
      </w:hyperlink>
      <w:r>
        <w:t>). Enquanto estava em Mileto, Paulo chamou os anciãos da igreja em Éfeso e então se dirigiu a eles como “bispos” ou “guardiões” (</w:t>
      </w:r>
      <w:hyperlink r:id="rId1408">
        <w:r>
          <w:rPr>
            <w:color w:val="0000EE"/>
            <w:u w:val="single"/>
          </w:rPr>
          <w:t>Atos 20.17,28</w:t>
        </w:r>
      </w:hyperlink>
      <w:r>
        <w:t>). Em sua carta a Filipos, Paulo saudou os “bispos e diáconos” (</w:t>
      </w:r>
      <w:hyperlink r:id="rId1412">
        <w:r>
          <w:rPr>
            <w:color w:val="0000EE"/>
            <w:u w:val="single"/>
          </w:rPr>
          <w:t>Fl 1.1</w:t>
        </w:r>
      </w:hyperlink>
      <w:r>
        <w:t>). O fato de que havia numerosos bispos em Filipos, bem como em Éfeso, mostra que o ofício episcopal ainda não havia se desenvolvido para o que mais tarde se tornava: um único bispo governando uma ou mais igrejas.</w:t>
      </w:r>
    </w:p>
    <w:p>
      <w:r/>
      <w:r>
        <w:t>Os bispos obviamente tinham posições de autoridade, mas os deveres do ofício não estão claramente definidos no NT. Uma tarefa era combater heresias (</w:t>
      </w:r>
      <w:hyperlink r:id="rId3795">
        <w:r>
          <w:rPr>
            <w:color w:val="0000EE"/>
            <w:u w:val="single"/>
          </w:rPr>
          <w:t>Tt 1.9</w:t>
        </w:r>
      </w:hyperlink>
      <w:r>
        <w:t>) e ensinar e expor as Escrituras (</w:t>
      </w:r>
      <w:hyperlink r:id="rId3796">
        <w:r>
          <w:rPr>
            <w:color w:val="0000EE"/>
            <w:u w:val="single"/>
          </w:rPr>
          <w:t>1Tm 3.2</w:t>
        </w:r>
      </w:hyperlink>
      <w:r>
        <w:t xml:space="preserve">). Além disso, há algumas evidências de que um de seus principais interesses eram questões econômicas e cuidado com os pobres, bem como, geralmente, supervisionar a congregação. As listas de qualificações nas cartas de Timóteo e Tito indicam que um bispo era considerado um líder na congregação e um representante, para o mundo não cristão. </w:t>
      </w:r>
      <w:r>
        <w:rPr>
          <w:i/>
        </w:rPr>
        <w:t>Veja</w:t>
      </w:r>
      <w:r>
        <w:t xml:space="preserve"> </w:t>
      </w:r>
      <w:r>
        <w:t>Ancião</w:t>
      </w:r>
      <w:r>
        <w:t xml:space="preserve">; </w:t>
      </w:r>
      <w:r>
        <w:t>Pastor</w:t>
      </w:r>
      <w:r>
        <w:t xml:space="preserve">; </w:t>
      </w:r>
      <w:r>
        <w:t>Presbítero</w:t>
      </w:r>
      <w:r>
        <w:t>.</w:t>
      </w:r>
      <w:r/>
      <w:r/>
    </w:p>
    <w:p>
      <w:r/>
    </w:p>
    <w:p>
      <w:pPr>
        <w:pStyle w:val="Heading2"/>
      </w:pPr>
      <w:r>
        <w:t>Bitínia</w:t>
      </w:r>
      <w:r/>
    </w:p>
    <w:p>
      <w:r/>
      <w:r>
        <w:t>Província romana localizada no canto noroeste da Ásia Menor. O apóstolo Paulo e Silas queriam pregar o evangelho na Bitínia durante a segunda viagem missionária de Paulo, mas foram impedidos pelo Espírito Santo de fazê-lo (</w:t>
      </w:r>
      <w:hyperlink r:id="rId3797">
        <w:r>
          <w:rPr>
            <w:color w:val="0000EE"/>
            <w:u w:val="single"/>
          </w:rPr>
          <w:t>At 16.7</w:t>
        </w:r>
      </w:hyperlink>
      <w:r>
        <w:t>). O apóstolo Pedro pode ter ministrado na Bitínia e em outras províncias da Ásia Menor, já que ele dirigiu sua primeira carta aos crentes lá (</w:t>
      </w:r>
      <w:hyperlink r:id="rId2751">
        <w:r>
          <w:rPr>
            <w:color w:val="0000EE"/>
            <w:u w:val="single"/>
          </w:rPr>
          <w:t>1Pe 1.1</w:t>
        </w:r>
      </w:hyperlink>
      <w:r>
        <w:t>). O cristianismo entrou na Bitínia de alguma forma, possivelmente através de Pedro.</w:t>
      </w:r>
    </w:p>
    <w:p>
      <w:r/>
      <w:r>
        <w:t>A Bitínia foi ocupada por uma tribo trácia que estabeleceu um reino próspero ali no terceiro século a.C. Em 75 a.C., quando o último rei da Bitínia, Nicomedes III, deixou seu reino ao povo romano, tornou-se parte do Império Romano. Para fins administrativos, geralmente estava ligada à província do Ponto, a leste.</w:t>
      </w:r>
    </w:p>
    <w:p>
      <w:r/>
      <w:r>
        <w:t>Após os tempos do NT, a Bitínia desempenhou um papel significativo na história da igreja. No início do segundo século, seu governador romano, Plínio, o Jovem, obteve do Imperador Trajano a primeira política imperial declarada sobre a perseguição aos cristãos. Mais tarde, os concílios da igreja de Niceia (325 d.C.) e Calcedônia (451) foram realizados em duas das cidades ocidentais da Bitínia. O Concílio de Niceia declarou a plena divindade de Cristo; o Concílio de Calcedônia fez pronunciamentos sobre a natureza da pessoa de Cristo e a canonicidade dos 27 livros do NT.</w:t>
      </w:r>
    </w:p>
    <w:p>
      <w:r/>
      <w:r>
        <w:t>A província romana da Bitínia era limitada ao norte pelo Mar Negro, a oeste pela Propôntida (atual Mar de Mármara), ao sul pela província da Ásia, e a leste pela Galácia e Ponto. Bitínia era montanhosa, com o Monte Olimpo ao sul, elevando-se a 2.315,5 metros, mas possuía distritos de grande fertilidade perto da costa e em seus vales interiores. Além de produzir frutas e grãos, a província tinha excelentes pedreiras de mármore, boa madeira e pastagens de qualidade. O principal rio era o Sangário (atual Sakarya), que fluía de sul para norte até o Mar Negro. O transporte era feito principalmente ao longo dos vales dos rios.</w:t>
      </w:r>
      <w:r/>
      <w:r/>
    </w:p>
    <w:p>
      <w:r/>
    </w:p>
    <w:p>
      <w:pPr>
        <w:pStyle w:val="Heading2"/>
      </w:pPr>
      <w:r>
        <w:t>Blasfêmia</w:t>
      </w:r>
      <w:r/>
    </w:p>
    <w:p>
      <w:r/>
      <w:r>
        <w:t>Fala ou escrita profana, ou desdenhosa sobre (ou ação em relação a) Deus. Em um sentido geral, “blasfêmia” pode se referir a qualquer calúnia, incluindo qualquer palavra ou ação que insulte ou desvalorize outro ser. Na literatura grega, o termo era usado para insultar ou zombar de pessoas vivas, ou mortas. O uso do termo foi estendido para abarcar os deuses também, incluindo tanto duvidar do poder quanto zombar da natureza de um deus.</w:t>
      </w:r>
    </w:p>
    <w:p>
      <w:pPr>
        <w:pStyle w:val="Heading3"/>
      </w:pPr>
      <w:r>
        <w:t>Blasfêmia no Antigo Testamento</w:t>
      </w:r>
    </w:p>
    <w:p>
      <w:r/>
      <w:r>
        <w:t>No Antigo Testamento, “blasfêmia” sempre significa insultar a Deus, seja atacando-o diretamente ou zombando dele indiretamente. De qualquer modo, a glória e honra de Deus são diminuídas, então a blasfêmia é o oposto de louvor. Um israelita pode insultar diretamente o “Nome” (o nome pessoal de Deus, Yahweh) amaldiçoando a Deus (</w:t>
      </w:r>
      <w:hyperlink r:id="rId3798">
        <w:r>
          <w:rPr>
            <w:color w:val="0000EE"/>
            <w:u w:val="single"/>
          </w:rPr>
          <w:t>Levítico 24.10–16</w:t>
        </w:r>
      </w:hyperlink>
      <w:r>
        <w:t>) ou deliberadamente desobedece à lei de Deus (</w:t>
      </w:r>
      <w:hyperlink r:id="rId3799">
        <w:r>
          <w:rPr>
            <w:color w:val="0000EE"/>
            <w:u w:val="single"/>
          </w:rPr>
          <w:t>Números 15.30</w:t>
        </w:r>
      </w:hyperlink>
      <w:r>
        <w:t>). Qualquer uma dessas blasfêmias era punível com a morte, assim era a idolatria, a blasfêmia final (</w:t>
      </w:r>
      <w:hyperlink r:id="rId1827">
        <w:r>
          <w:rPr>
            <w:color w:val="0000EE"/>
            <w:u w:val="single"/>
          </w:rPr>
          <w:t>Isaías 66.3</w:t>
        </w:r>
      </w:hyperlink>
      <w:r>
        <w:t>).</w:t>
      </w:r>
    </w:p>
    <w:p>
      <w:r/>
      <w:r>
        <w:t>Pensava-se que os gentios, que nunca haviam experimentado o poder e majestade do Senhor, eram os blasfemadores mais prováveis. Assim, o rei de Assíria blasfemou ao igualar o Senhor aos deuses das nações que ele já havia conquistado (</w:t>
      </w:r>
      <w:hyperlink r:id="rId3800">
        <w:r>
          <w:rPr>
            <w:color w:val="0000EE"/>
            <w:u w:val="single"/>
          </w:rPr>
          <w:t>2 Reis 19.4–6, 22</w:t>
        </w:r>
      </w:hyperlink>
      <w:r>
        <w:t>). Por sua arrogância, o rei estava condenado pela palavra do profeta Isaías. Deus também foi zombado quando Israel foi exilado (</w:t>
      </w:r>
      <w:hyperlink r:id="rId3801">
        <w:r>
          <w:rPr>
            <w:color w:val="0000EE"/>
            <w:u w:val="single"/>
          </w:rPr>
          <w:t>Isaías 52.5</w:t>
        </w:r>
      </w:hyperlink>
      <w:r>
        <w:t>), quando Edom zombava das desoladas “montanhas de Israel” (</w:t>
      </w:r>
      <w:hyperlink r:id="rId3802">
        <w:r>
          <w:rPr>
            <w:color w:val="0000EE"/>
            <w:u w:val="single"/>
          </w:rPr>
          <w:t>Ezequiel 35.12</w:t>
        </w:r>
      </w:hyperlink>
      <w:r>
        <w:t>), e quando o inimigo zombava de que Deus não havia protegido Jerusalém (</w:t>
      </w:r>
      <w:hyperlink r:id="rId3803">
        <w:r>
          <w:rPr>
            <w:color w:val="0000EE"/>
            <w:u w:val="single"/>
          </w:rPr>
          <w:t>Salmo 74.18</w:t>
        </w:r>
      </w:hyperlink>
      <w:r>
        <w:t xml:space="preserve">; </w:t>
      </w:r>
      <w:hyperlink r:id="rId3804">
        <w:r>
          <w:rPr>
            <w:color w:val="0000EE"/>
            <w:u w:val="single"/>
          </w:rPr>
          <w:t>1 Macabeus 2.6</w:t>
        </w:r>
      </w:hyperlink>
      <w:r>
        <w:t>).</w:t>
      </w:r>
    </w:p>
    <w:p>
      <w:pPr>
        <w:pStyle w:val="Heading3"/>
      </w:pPr>
      <w:r>
        <w:t>Blasfêmia no Novo Testamento</w:t>
      </w:r>
    </w:p>
    <w:p>
      <w:r/>
      <w:r>
        <w:t>No Novo Testamento, a blasfêmia assume o significado grego mais amplo. Inclui caluniar um ser humano, bem como Deus (</w:t>
      </w:r>
      <w:hyperlink r:id="rId3805">
        <w:r>
          <w:rPr>
            <w:color w:val="0000EE"/>
            <w:u w:val="single"/>
          </w:rPr>
          <w:t>Mateus 15.19</w:t>
        </w:r>
      </w:hyperlink>
      <w:r>
        <w:t xml:space="preserve">; veja também </w:t>
      </w:r>
      <w:hyperlink r:id="rId3806">
        <w:r>
          <w:rPr>
            <w:color w:val="0000EE"/>
            <w:u w:val="single"/>
          </w:rPr>
          <w:t>Romanos 3.8</w:t>
        </w:r>
      </w:hyperlink>
      <w:r>
        <w:t xml:space="preserve">; </w:t>
      </w:r>
      <w:hyperlink r:id="rId3807">
        <w:r>
          <w:rPr>
            <w:color w:val="0000EE"/>
            <w:u w:val="single"/>
          </w:rPr>
          <w:t>1 Coríntios 10.30</w:t>
        </w:r>
      </w:hyperlink>
      <w:r>
        <w:t xml:space="preserve">; </w:t>
      </w:r>
      <w:hyperlink r:id="rId3808">
        <w:r>
          <w:rPr>
            <w:color w:val="0000EE"/>
            <w:u w:val="single"/>
          </w:rPr>
          <w:t>Efésios 4.31</w:t>
        </w:r>
      </w:hyperlink>
      <w:r>
        <w:t xml:space="preserve">; </w:t>
      </w:r>
      <w:hyperlink r:id="rId3809">
        <w:r>
          <w:rPr>
            <w:color w:val="0000EE"/>
            <w:u w:val="single"/>
          </w:rPr>
          <w:t>Tito 3.2</w:t>
        </w:r>
      </w:hyperlink>
      <w:r>
        <w:t>). Inclui até zombar dos poderes angelicais ou demoníacos, o que é tão errado quanto zombar de qualquer outro ser (</w:t>
      </w:r>
      <w:hyperlink r:id="rId3810">
        <w:r>
          <w:rPr>
            <w:color w:val="0000EE"/>
            <w:u w:val="single"/>
          </w:rPr>
          <w:t>2 Pedro 2.10–12</w:t>
        </w:r>
      </w:hyperlink>
      <w:r>
        <w:t xml:space="preserve">, </w:t>
      </w:r>
      <w:hyperlink r:id="rId3811">
        <w:r>
          <w:rPr>
            <w:color w:val="0000EE"/>
            <w:u w:val="single"/>
          </w:rPr>
          <w:t>Judas 1.8–10</w:t>
        </w:r>
      </w:hyperlink>
      <w:r>
        <w:t>). Em outras palavras, calúnia, escárnio e zombaria de qualquer tipo são totalmente condenadas no Novo Testamento.</w:t>
      </w:r>
    </w:p>
    <w:p>
      <w:r/>
      <w:r>
        <w:t>A forma mais comum de blasfêmia no Novo Testamento é a blasfêmia contra Deus. Pode-se insultar a Deus diretamente (</w:t>
      </w:r>
      <w:hyperlink r:id="rId3812">
        <w:r>
          <w:rPr>
            <w:color w:val="0000EE"/>
            <w:u w:val="single"/>
          </w:rPr>
          <w:t>Apocalipse 13.6</w:t>
        </w:r>
      </w:hyperlink>
      <w:r>
        <w:t xml:space="preserve">; </w:t>
      </w:r>
      <w:hyperlink r:id="rId3813">
        <w:r>
          <w:rPr>
            <w:color w:val="0000EE"/>
            <w:u w:val="single"/>
          </w:rPr>
          <w:t>16.9</w:t>
        </w:r>
      </w:hyperlink>
      <w:r>
        <w:t>), zombar de sua palavra (</w:t>
      </w:r>
      <w:hyperlink r:id="rId3814">
        <w:r>
          <w:rPr>
            <w:color w:val="0000EE"/>
            <w:u w:val="single"/>
          </w:rPr>
          <w:t>Tito 2.5</w:t>
        </w:r>
      </w:hyperlink>
      <w:r>
        <w:t>), ou rejeitar sua revelação e seu portador (</w:t>
      </w:r>
      <w:hyperlink r:id="rId3815">
        <w:r>
          <w:rPr>
            <w:color w:val="0000EE"/>
            <w:u w:val="single"/>
          </w:rPr>
          <w:t>Atos 6.11</w:t>
        </w:r>
      </w:hyperlink>
      <w:r>
        <w:t>). Jesus foi acusado de blasfêmia quando ele alegou ter uma prerrogativa que pertence a Deus — o poder de perdoar pecados (</w:t>
      </w:r>
      <w:hyperlink r:id="rId3816">
        <w:r>
          <w:rPr>
            <w:color w:val="0000EE"/>
            <w:u w:val="single"/>
          </w:rPr>
          <w:t>Marcos 2.7</w:t>
        </w:r>
      </w:hyperlink>
      <w:r>
        <w:t xml:space="preserve">). </w:t>
      </w:r>
      <w:hyperlink r:id="rId3817">
        <w:r>
          <w:rPr>
            <w:color w:val="0000EE"/>
            <w:u w:val="single"/>
          </w:rPr>
          <w:t>João 10.33–36</w:t>
        </w:r>
      </w:hyperlink>
      <w:r>
        <w:t xml:space="preserve"> relata uma tentativa de apedrejar Jesus. Seus agressores lhe disseram: “Tu, que és homem, declara-te Deus” (versículo </w:t>
      </w:r>
      <w:hyperlink r:id="rId3818">
        <w:r>
          <w:rPr>
            <w:color w:val="0000EE"/>
            <w:u w:val="single"/>
          </w:rPr>
          <w:t>33</w:t>
        </w:r>
      </w:hyperlink>
      <w:r>
        <w:t>). A mais alta corte judaica (o Sinédrio) condenou Jesus por blasfêmia, porque ele alegava ser o Filho do Homem (o Messias). Na opinião deles, Jesus não havia dado nenhuma evidência de que ele era uma pessoa tão exaltada. Jesus parecia estar zombando do Messias e, por extensão, zombando do próprio Deus (</w:t>
      </w:r>
      <w:hyperlink r:id="rId3819">
        <w:r>
          <w:rPr>
            <w:color w:val="0000EE"/>
            <w:u w:val="single"/>
          </w:rPr>
          <w:t>Marcos 14.64</w:t>
        </w:r>
      </w:hyperlink>
      <w:r>
        <w:t>).</w:t>
      </w:r>
    </w:p>
    <w:p>
      <w:r/>
      <w:r>
        <w:t>A Bíblia deixa claro que a blasfêmia é perdoável (</w:t>
      </w:r>
      <w:hyperlink r:id="rId3820">
        <w:r>
          <w:rPr>
            <w:color w:val="0000EE"/>
            <w:u w:val="single"/>
          </w:rPr>
          <w:t>Mateus 12.32</w:t>
        </w:r>
      </w:hyperlink>
      <w:r>
        <w:t xml:space="preserve">; </w:t>
      </w:r>
      <w:hyperlink r:id="rId3821">
        <w:r>
          <w:rPr>
            <w:color w:val="0000EE"/>
            <w:u w:val="single"/>
          </w:rPr>
          <w:t>Marcos 3.28–29</w:t>
        </w:r>
      </w:hyperlink>
      <w:r>
        <w:t>). Mas, se uma pessoa não se arrepender, a única solução é entregá-la “a Satanás para ser ensinada a não blasfemar” (</w:t>
      </w:r>
      <w:hyperlink r:id="rId741">
        <w:r>
          <w:rPr>
            <w:color w:val="0000EE"/>
            <w:u w:val="single"/>
          </w:rPr>
          <w:t>1 Timóteo 1.20</w:t>
        </w:r>
      </w:hyperlink>
      <w:r>
        <w:t>).</w:t>
      </w:r>
      <w:r/>
      <w:r/>
    </w:p>
    <w:p>
      <w:r/>
    </w:p>
    <w:p>
      <w:pPr>
        <w:pStyle w:val="Heading2"/>
      </w:pPr>
      <w:r>
        <w:t>Blasto</w:t>
      </w:r>
      <w:r/>
    </w:p>
    <w:p>
      <w:r/>
      <w:r>
        <w:t>Um secretário real do rei Herodes Agripa I (</w:t>
      </w:r>
      <w:hyperlink r:id="rId3822">
        <w:r>
          <w:rPr>
            <w:color w:val="0000EE"/>
            <w:u w:val="single"/>
          </w:rPr>
          <w:t>At 12.20</w:t>
        </w:r>
      </w:hyperlink>
      <w:r>
        <w:t xml:space="preserve">). O povo das cidades de Tiro e Sidom precisava de alimentos do território de Herodes, mas ele estava irado contra eles. Eles primeiro fizeram amizade com Blasto para que ele os ajudasse a conseguir uma reunião com o rei. Depois que Blasto organizou essa reunião, Herodes fez um discurso para os delegados. Durante esse discurso, Herodes aceitou adoração do povo em vez de dar glória a Deus. Por causa disso, um anjo do Senhor feriu Herodes com uma doença mortal (vv. </w:t>
      </w:r>
      <w:hyperlink r:id="rId3823">
        <w:r>
          <w:rPr>
            <w:color w:val="0000EE"/>
            <w:u w:val="single"/>
          </w:rPr>
          <w:t>21–23</w:t>
        </w:r>
      </w:hyperlink>
      <w:r>
        <w:t>).</w:t>
      </w:r>
      <w:r/>
      <w:r/>
    </w:p>
    <w:p>
      <w:r/>
    </w:p>
    <w:p>
      <w:pPr>
        <w:pStyle w:val="Heading2"/>
      </w:pPr>
      <w:r>
        <w:t>Boanerges*</w:t>
      </w:r>
      <w:r/>
    </w:p>
    <w:p>
      <w:r/>
      <w:r>
        <w:t>Nome que significa “filhos do trovão” dado por Jesus a Tiago e João, os filhos de Zebedeu (</w:t>
      </w:r>
      <w:hyperlink r:id="rId3824">
        <w:r>
          <w:rPr>
            <w:color w:val="0000EE"/>
            <w:u w:val="single"/>
          </w:rPr>
          <w:t>Mc 3.17</w:t>
        </w:r>
      </w:hyperlink>
      <w:r>
        <w:t>). Sua derivação é incerta. O nome pode ter se referido às personalidades voláteis dos dois irmãos (</w:t>
      </w:r>
      <w:hyperlink r:id="rId3825">
        <w:r>
          <w:rPr>
            <w:color w:val="0000EE"/>
            <w:u w:val="single"/>
          </w:rPr>
          <w:t>Lc 9.54</w:t>
        </w:r>
      </w:hyperlink>
      <w:r>
        <w:t>), ao seu possível passado revolucionário como zelotes, ou até mesmo a um estilo de fala “trovejante”.</w:t>
      </w:r>
    </w:p>
    <w:p>
      <w:r/>
      <w:r>
        <w:rPr>
          <w:i/>
        </w:rPr>
        <w:t>Ver também</w:t>
      </w:r>
      <w:r>
        <w:t xml:space="preserve"> </w:t>
      </w:r>
      <w:r>
        <w:t>Tiago (Pessoa)</w:t>
      </w:r>
      <w:r>
        <w:t xml:space="preserve">; </w:t>
      </w:r>
      <w:r>
        <w:t>João, O Apóstolo</w:t>
      </w:r>
      <w:r>
        <w:t>.</w:t>
      </w:r>
      <w:r/>
      <w:r/>
    </w:p>
    <w:p>
      <w:r/>
    </w:p>
    <w:p>
      <w:pPr>
        <w:pStyle w:val="Heading2"/>
      </w:pPr>
      <w:r>
        <w:t>Bode expiatório</w:t>
      </w:r>
      <w:r/>
    </w:p>
    <w:p>
      <w:r/>
      <w:r>
        <w:t>O bode do sacrifício era um bode utilizado em uma cerimônia especial no Dia da Expiação (ou, Dia do Perdão) . Durante este importante dia religioso, o sumo sacerdote colocava simbolicamente os pecados de todo o povo israelita neste bode. Em seguida, o bode era enviado para o deserto, simbolicamente levando embora os pecados do povo (</w:t>
      </w:r>
      <w:hyperlink r:id="rId403">
        <w:r>
          <w:rPr>
            <w:color w:val="0000EE"/>
            <w:u w:val="single"/>
          </w:rPr>
          <w:t>Lv 16</w:t>
        </w:r>
      </w:hyperlink>
      <w:r>
        <w:t>).</w:t>
      </w:r>
    </w:p>
    <w:p>
      <w:r/>
      <w:r>
        <w:rPr>
          <w:i/>
        </w:rPr>
        <w:t xml:space="preserve">Veja também </w:t>
      </w:r>
      <w:r>
        <w:t>Expiação, Dia da</w:t>
      </w:r>
      <w:r>
        <w:t>.</w:t>
      </w:r>
      <w:r/>
      <w:r/>
    </w:p>
    <w:p>
      <w:r/>
    </w:p>
    <w:p>
      <w:pPr>
        <w:pStyle w:val="Heading2"/>
      </w:pPr>
      <w:r>
        <w:t>Bolsa</w:t>
      </w:r>
      <w:r/>
    </w:p>
    <w:p>
      <w:r/>
      <w:r>
        <w:t>Uma pequena bolsa ou recipiente em que dinheiro e muitas vezes outros pequenos objetos seriam carregados. Há basicamente três palavras hebraicas e três palavras gregas que se referem a tal bolsa ou pochete. A primeira se refere a uma bolsa ou sacola na qual dinheiro ou pesos de pedra usados com as balanças de equilíbrio eram carregados (</w:t>
      </w:r>
      <w:hyperlink r:id="rId3826">
        <w:r>
          <w:rPr>
            <w:color w:val="0000EE"/>
            <w:u w:val="single"/>
          </w:rPr>
          <w:t>Dt 25.13</w:t>
        </w:r>
      </w:hyperlink>
      <w:r>
        <w:t xml:space="preserve">; </w:t>
      </w:r>
      <w:hyperlink r:id="rId3827">
        <w:r>
          <w:rPr>
            <w:color w:val="0000EE"/>
            <w:u w:val="single"/>
          </w:rPr>
          <w:t>Pv 1.14</w:t>
        </w:r>
      </w:hyperlink>
      <w:r>
        <w:t xml:space="preserve">; </w:t>
      </w:r>
      <w:hyperlink r:id="rId2987">
        <w:r>
          <w:rPr>
            <w:color w:val="0000EE"/>
            <w:u w:val="single"/>
          </w:rPr>
          <w:t>Is 46.6</w:t>
        </w:r>
      </w:hyperlink>
      <w:r>
        <w:t xml:space="preserve">; </w:t>
      </w:r>
      <w:hyperlink r:id="rId3828">
        <w:r>
          <w:rPr>
            <w:color w:val="0000EE"/>
            <w:u w:val="single"/>
          </w:rPr>
          <w:t>Mq 6.11</w:t>
        </w:r>
      </w:hyperlink>
      <w:r>
        <w:t xml:space="preserve">). Poderia ser feita de couro ou algodão robusto. Outra palavra hebraica que se refere ao mesmo tipo de pochete é encontrada em </w:t>
      </w:r>
      <w:hyperlink r:id="rId3829">
        <w:r>
          <w:rPr>
            <w:color w:val="0000EE"/>
            <w:u w:val="single"/>
          </w:rPr>
          <w:t>2 Reis 5.23</w:t>
        </w:r>
      </w:hyperlink>
      <w:r>
        <w:t xml:space="preserve">. Esta mesma palavra também aparece em uma lista de trajes luxuosos femininos em </w:t>
      </w:r>
      <w:hyperlink r:id="rId3830">
        <w:r>
          <w:rPr>
            <w:color w:val="0000EE"/>
            <w:u w:val="single"/>
          </w:rPr>
          <w:t>Is 3.22</w:t>
        </w:r>
      </w:hyperlink>
      <w:r>
        <w:t xml:space="preserve"> e pode, portanto, ter sido uma pochete mais ornamentalmente tecida do que a primeira descrita acima. A terceira palavra hebraica aparece em </w:t>
      </w:r>
      <w:hyperlink r:id="rId3831">
        <w:r>
          <w:rPr>
            <w:color w:val="0000EE"/>
            <w:u w:val="single"/>
          </w:rPr>
          <w:t>Gn 42.35</w:t>
        </w:r>
      </w:hyperlink>
      <w:r>
        <w:t xml:space="preserve"> e se refere a uma pequena sacola com uma boca aberta. Esta era a pequena sacola ou bolsa em que o dinheiro dos irmãos de José havia sido colocado antes de ser posto em suas sacas de grãos.</w:t>
      </w:r>
    </w:p>
    <w:p>
      <w:r/>
      <w:r>
        <w:t>A palavra grega correspondente para as palavras hebraicas abordadas acima significa uma sacola de dinheiro ou bolsa. Quando Jesus enviou seus discípulos de dois a dois, ele os proibiu de levar, entre outras coisas, uma bolsa (</w:t>
      </w:r>
      <w:hyperlink r:id="rId3832">
        <w:r>
          <w:rPr>
            <w:color w:val="0000EE"/>
            <w:u w:val="single"/>
          </w:rPr>
          <w:t>Lc 10.4</w:t>
        </w:r>
      </w:hyperlink>
      <w:r>
        <w:t xml:space="preserve">; </w:t>
      </w:r>
      <w:hyperlink r:id="rId3833">
        <w:r>
          <w:rPr>
            <w:color w:val="0000EE"/>
            <w:u w:val="single"/>
          </w:rPr>
          <w:t>22.35–36</w:t>
        </w:r>
      </w:hyperlink>
      <w:r>
        <w:t xml:space="preserve">). Em </w:t>
      </w:r>
      <w:hyperlink r:id="rId1804">
        <w:r>
          <w:rPr>
            <w:color w:val="0000EE"/>
            <w:u w:val="single"/>
          </w:rPr>
          <w:t>Lc 12.33</w:t>
        </w:r>
      </w:hyperlink>
      <w:r>
        <w:t>, esta mesma palavra para bolsa é usada figurativamente para tesouro no céu que não pode ser esgotado, roubado ou destruído.</w:t>
      </w:r>
    </w:p>
    <w:p>
      <w:r/>
      <w:r>
        <w:t>Outra palavra grega indica outro lugar normal para o transporte de dinheiro, o cinturão ou o cinto, que era uma parte essencial do vestido para homens e mulheres no antigo Oriente. Quando feitos de couro, eles eram feitos ocos ou com fendas com o propósito de carregar moedas. Quando feitos de pano, eles eram dobrados de tal maneira que o dinheiro poderia ser carregado nas dobras, que serviam como bolsos (</w:t>
      </w:r>
      <w:hyperlink r:id="rId3834">
        <w:r>
          <w:rPr>
            <w:color w:val="0000EE"/>
            <w:u w:val="single"/>
          </w:rPr>
          <w:t>Mt 10.9</w:t>
        </w:r>
      </w:hyperlink>
      <w:r>
        <w:t xml:space="preserve">; </w:t>
      </w:r>
      <w:hyperlink r:id="rId3835">
        <w:r>
          <w:rPr>
            <w:color w:val="0000EE"/>
            <w:u w:val="single"/>
          </w:rPr>
          <w:t>Mc 6.8</w:t>
        </w:r>
      </w:hyperlink>
      <w:r>
        <w:t>).</w:t>
      </w:r>
    </w:p>
    <w:p>
      <w:r/>
      <w:r>
        <w:t>A palavra grega para “sacola de dinheiro” que Judas disse ter guardado para os discípulos se refere a um estojo ou recipiente para o bocal de um instrumento de sopro. Nos tempos do NT, havia se tornado a palavra grega para uma caixa de dinheiro ou possivelmente uma sacola de dinheiro (</w:t>
      </w:r>
      <w:hyperlink r:id="rId3836">
        <w:r>
          <w:rPr>
            <w:color w:val="0000EE"/>
            <w:u w:val="single"/>
          </w:rPr>
          <w:t>Jo 12.6</w:t>
        </w:r>
      </w:hyperlink>
      <w:r>
        <w:t xml:space="preserve">; </w:t>
      </w:r>
      <w:hyperlink r:id="rId3837">
        <w:r>
          <w:rPr>
            <w:color w:val="0000EE"/>
            <w:u w:val="single"/>
          </w:rPr>
          <w:t>13.29</w:t>
        </w:r>
      </w:hyperlink>
      <w:r>
        <w:t>), e portanto outra palavra do NT para bolsa.</w:t>
      </w:r>
      <w:r/>
      <w:r/>
    </w:p>
    <w:p>
      <w:r/>
    </w:p>
    <w:p>
      <w:pPr>
        <w:pStyle w:val="Heading2"/>
      </w:pPr>
      <w:r>
        <w:t>Bondade</w:t>
      </w:r>
      <w:r/>
    </w:p>
    <w:p>
      <w:r/>
      <w:r>
        <w:t>Estado de ser que inclui os atributos de afeição amorosa, simpatia, amizade, paciência, agradabilidade, gentileza e bondade. Bondade é uma qualidade mostrada na maneira como uma pessoa fala e age. É mais intencional do que emocional.</w:t>
      </w:r>
    </w:p>
    <w:p>
      <w:r/>
      <w:r>
        <w:t>A Bíblia está cheia de ilustrações de bondade. José queria que o mordomo de Faraó mostrasse bondade lembrando-se dele ao monarca egípcio (</w:t>
      </w:r>
      <w:hyperlink r:id="rId3838">
        <w:r>
          <w:rPr>
            <w:color w:val="0000EE"/>
            <w:u w:val="single"/>
          </w:rPr>
          <w:t>Gn 40.14</w:t>
        </w:r>
      </w:hyperlink>
      <w:r>
        <w:t>). Raabe solicitou tratamento gentil da parte de Israel por proteger os dois espiões que haviam entrado em sua casa (</w:t>
      </w:r>
      <w:hyperlink r:id="rId3839">
        <w:r>
          <w:rPr>
            <w:color w:val="0000EE"/>
            <w:u w:val="single"/>
          </w:rPr>
          <w:t>Js 2.12</w:t>
        </w:r>
      </w:hyperlink>
      <w:r>
        <w:t>). Antes de atacar Amaleque, Saul pediu aos quenitas que deixassem o território amalequita, não querendo matar a ambos por causa da bondade que haviam mostrado a seu povo, Israel, quando vieram do Egito (</w:t>
      </w:r>
      <w:hyperlink r:id="rId3840">
        <w:r>
          <w:rPr>
            <w:color w:val="0000EE"/>
            <w:u w:val="single"/>
          </w:rPr>
          <w:t>1Sm 15.6</w:t>
        </w:r>
      </w:hyperlink>
      <w:r>
        <w:t>). Davi elogiou os homens de Jabes-Gileade pela bondade que haviam mostrado a Saul ao dar ao seu corpo um sepultamento digno (</w:t>
      </w:r>
      <w:hyperlink r:id="rId3841">
        <w:r>
          <w:rPr>
            <w:color w:val="0000EE"/>
            <w:u w:val="single"/>
          </w:rPr>
          <w:t>2Sm 2.5</w:t>
        </w:r>
      </w:hyperlink>
      <w:r>
        <w:t>). Jônatas pediu por “bondade constante” a Davi para que ele não fosse morto (</w:t>
      </w:r>
      <w:hyperlink r:id="rId3842">
        <w:r>
          <w:rPr>
            <w:color w:val="0000EE"/>
            <w:u w:val="single"/>
          </w:rPr>
          <w:t>1Sm 20.14–15</w:t>
        </w:r>
      </w:hyperlink>
      <w:r>
        <w:t>). Davi estendeu esta bondade ao filho de Jônatas, concedendo-lhe o direito de comer à mesa do rei (</w:t>
      </w:r>
      <w:hyperlink r:id="rId3843">
        <w:r>
          <w:rPr>
            <w:color w:val="0000EE"/>
            <w:u w:val="single"/>
          </w:rPr>
          <w:t>2Sm 9.1–7</w:t>
        </w:r>
      </w:hyperlink>
      <w:r>
        <w:t>).</w:t>
      </w:r>
    </w:p>
    <w:p>
      <w:r/>
      <w:r>
        <w:t>É o pior tipo de ingratidão retribuir a bondade com o mal. Abimeleque queria que Abraão jurasse que ele retribuiria bondade com bondade à sua descendência (</w:t>
      </w:r>
      <w:hyperlink r:id="rId3844">
        <w:r>
          <w:rPr>
            <w:color w:val="0000EE"/>
            <w:u w:val="single"/>
          </w:rPr>
          <w:t>Gn 21.23</w:t>
        </w:r>
      </w:hyperlink>
      <w:r>
        <w:t>). Abner mostrou bondade a Isbosete ao não entregá-lo a Davi, enquanto Isbosete, em troca, acusou Abner de culpa por ter relações com a concubina de Saul, Rispa (</w:t>
      </w:r>
      <w:hyperlink r:id="rId3845">
        <w:r>
          <w:rPr>
            <w:color w:val="0000EE"/>
            <w:u w:val="single"/>
          </w:rPr>
          <w:t>2Sm 3.8</w:t>
        </w:r>
      </w:hyperlink>
      <w:r>
        <w:t>). Hanum recebeu a bondade de Davi de enviar condolências pela morte de seu pai humilhando os mensageiros de Davi, trazendo assim a guerra entre as duas nações (</w:t>
      </w:r>
      <w:hyperlink r:id="rId3846">
        <w:r>
          <w:rPr>
            <w:color w:val="0000EE"/>
            <w:u w:val="single"/>
          </w:rPr>
          <w:t>10.2–19</w:t>
        </w:r>
      </w:hyperlink>
      <w:r>
        <w:t>). Absalão repreendeu Husai, o amigo de Davi, por ter supostamente saído do lado do Rei quando ele precisava dele. Absalão perguntou a Husai se era assim que ele estava retribuindo a amizade de Davi (</w:t>
      </w:r>
      <w:hyperlink r:id="rId3847">
        <w:r>
          <w:rPr>
            <w:color w:val="0000EE"/>
            <w:u w:val="single"/>
          </w:rPr>
          <w:t>2Sm 16.17</w:t>
        </w:r>
      </w:hyperlink>
      <w:r>
        <w:t xml:space="preserve">; ver também </w:t>
      </w:r>
      <w:hyperlink r:id="rId3848">
        <w:r>
          <w:rPr>
            <w:color w:val="0000EE"/>
            <w:u w:val="single"/>
          </w:rPr>
          <w:t>2Cr 24.22</w:t>
        </w:r>
      </w:hyperlink>
      <w:r>
        <w:t>).</w:t>
      </w:r>
    </w:p>
    <w:p>
      <w:r/>
      <w:r>
        <w:t>As ações de Deus fornecem as excelentes ilustrações de bondade na Bíblia. Os levitas louvaram a Deus porque ele havia provado ser um Deus de perdão, graça, compaixão e bondade abundante (</w:t>
      </w:r>
      <w:hyperlink r:id="rId3849">
        <w:r>
          <w:rPr>
            <w:color w:val="0000EE"/>
            <w:u w:val="single"/>
          </w:rPr>
          <w:t>Ne 9.17–31</w:t>
        </w:r>
      </w:hyperlink>
      <w:r>
        <w:t>). Para destacar ainda mais a virtude de Deus, eles declararam sua bondade contra o pano de fundo da infidelidade de Israel. Deus não abandonou seu povo, mesmo que eles o abandonaram por um bezerro de ouro. Ele lhes deu seu Espírito para instruí-los. Ele lhes deu maná para comer e água para beber por 40 anos no deserto. Ele lhes deu Canaã, uma terra para habitar.</w:t>
      </w:r>
    </w:p>
    <w:p>
      <w:r/>
      <w:r>
        <w:t>O ponto alto da bondade de Deus era sua provisão de salvação para pecadores, não com base em suas obras, mas com base em sua misericórdia (</w:t>
      </w:r>
      <w:hyperlink r:id="rId3850">
        <w:r>
          <w:rPr>
            <w:color w:val="0000EE"/>
            <w:u w:val="single"/>
          </w:rPr>
          <w:t>Tt 3.4</w:t>
        </w:r>
      </w:hyperlink>
      <w:r>
        <w:t xml:space="preserve">; ver também </w:t>
      </w:r>
      <w:hyperlink r:id="rId3851">
        <w:r>
          <w:rPr>
            <w:color w:val="0000EE"/>
            <w:u w:val="single"/>
          </w:rPr>
          <w:t>Ef 2.7</w:t>
        </w:r>
      </w:hyperlink>
      <w:r>
        <w:t>). Por causa da grande bondade de Deus para com eles, ao dar bênçãos tanto físicas quanto espirituais, os cristãos são exortados, como eleitos de Deus, a colocar corações de compaixão, bondade, humildade, gentileza e paciência; isto é, mostrar bondade aos outros em troca da bondade de Deus (</w:t>
      </w:r>
      <w:hyperlink r:id="rId3852">
        <w:r>
          <w:rPr>
            <w:color w:val="0000EE"/>
            <w:u w:val="single"/>
          </w:rPr>
          <w:t>Cl 3.12</w:t>
        </w:r>
      </w:hyperlink>
      <w:r>
        <w:t>). O apóstolo Pedro ordenou aos cristãos que acrescentassem à sua fé, juntamente com outras excelências, a excelência da bondade fraterna (</w:t>
      </w:r>
      <w:hyperlink r:id="rId1201">
        <w:r>
          <w:rPr>
            <w:color w:val="0000EE"/>
            <w:u w:val="single"/>
          </w:rPr>
          <w:t>2Pe 1.7</w:t>
        </w:r>
      </w:hyperlink>
      <w:r>
        <w:t>).</w:t>
      </w:r>
      <w:r/>
      <w:r/>
    </w:p>
    <w:p>
      <w:r/>
    </w:p>
    <w:p>
      <w:pPr>
        <w:pStyle w:val="Heading2"/>
      </w:pPr>
      <w:r>
        <w:t>Bons Portos</w:t>
      </w:r>
      <w:r/>
    </w:p>
    <w:p>
      <w:r/>
      <w:r>
        <w:t>Um pequeno porto localizado ao longo da costa sul de Creta, uma ilha no Mar Mediterrâneo. Hoje é conhecido como Limenes Kali. Bons Portos está a cerca de 8 quilômetros a leste do Cabo Matala e fica próximo à cidade de Laséia.</w:t>
      </w:r>
    </w:p>
    <w:p>
      <w:r/>
      <w:r>
        <w:t>Este porto é mencionado na Bíblia quando o navio do apóstolo Paulo parou ali para encontrar proteção contra ventos fortes durante sua jornada para Roma (</w:t>
      </w:r>
      <w:hyperlink r:id="rId3853">
        <w:r>
          <w:rPr>
            <w:color w:val="0000EE"/>
            <w:u w:val="single"/>
          </w:rPr>
          <w:t>At 27.8</w:t>
        </w:r>
      </w:hyperlink>
      <w:r>
        <w:t>). A tripulação do navio procurou abrigo neste porto porque o clima tornava perigoso continuar navegando.</w:t>
      </w:r>
      <w:r/>
      <w:r/>
    </w:p>
    <w:p>
      <w:r/>
    </w:p>
    <w:p>
      <w:pPr>
        <w:pStyle w:val="Heading2"/>
      </w:pPr>
      <w:r>
        <w:t>Bordador, bordado</w:t>
      </w:r>
      <w:r/>
    </w:p>
    <w:p>
      <w:r/>
      <w:r>
        <w:t>A arte de criar desenhos decorativos em roupas era praticada tanto em casa quanto como profissão. O bordado podia ser feito em um tear ou com uma agulha. O tabernáculo e o templo possuíam tecidos delicados e bordados (</w:t>
      </w:r>
      <w:hyperlink r:id="rId3854">
        <w:r>
          <w:rPr>
            <w:color w:val="0000EE"/>
            <w:u w:val="single"/>
          </w:rPr>
          <w:t>Êx 26.1,31</w:t>
        </w:r>
      </w:hyperlink>
      <w:r>
        <w:t>). As vestes dos sacerdotes eram lindamente bordadas (</w:t>
      </w:r>
      <w:hyperlink r:id="rId3855">
        <w:r>
          <w:rPr>
            <w:color w:val="0000EE"/>
            <w:u w:val="single"/>
          </w:rPr>
          <w:t>Êx 28.6,8</w:t>
        </w:r>
      </w:hyperlink>
      <w:r>
        <w:t xml:space="preserve">; </w:t>
      </w:r>
      <w:hyperlink r:id="rId3856">
        <w:r>
          <w:rPr>
            <w:color w:val="0000EE"/>
            <w:u w:val="single"/>
          </w:rPr>
          <w:t>39.2</w:t>
        </w:r>
      </w:hyperlink>
      <w:r>
        <w:t>). O bordado era praticado em:</w:t>
      </w:r>
    </w:p>
    <w:p>
      <w:pPr>
        <w:pStyle w:val="ListBullet"/>
        <w:spacing w:line="240" w:lineRule="auto"/>
        <w:ind w:left="720"/>
      </w:pPr>
      <w:r/>
      <w:r>
        <w:t>Canaã (</w:t>
      </w:r>
      <w:hyperlink r:id="rId3857">
        <w:r>
          <w:rPr>
            <w:color w:val="0000EE"/>
            <w:u w:val="single"/>
          </w:rPr>
          <w:t>Jz 5.30</w:t>
        </w:r>
      </w:hyperlink>
      <w:r>
        <w:t>);</w:t>
      </w:r>
    </w:p>
    <w:p>
      <w:pPr>
        <w:pStyle w:val="ListBullet"/>
        <w:spacing w:line="240" w:lineRule="auto"/>
        <w:ind w:left="720"/>
      </w:pPr>
      <w:r/>
      <w:r>
        <w:t>Egito (</w:t>
      </w:r>
      <w:hyperlink r:id="rId1865">
        <w:r>
          <w:rPr>
            <w:color w:val="0000EE"/>
            <w:u w:val="single"/>
          </w:rPr>
          <w:t>Ez 27.7</w:t>
        </w:r>
      </w:hyperlink>
      <w:r>
        <w:t>);</w:t>
      </w:r>
    </w:p>
    <w:p>
      <w:pPr>
        <w:pStyle w:val="ListBullet"/>
        <w:spacing w:line="240" w:lineRule="auto"/>
        <w:ind w:left="720"/>
      </w:pPr>
      <w:r/>
      <w:r>
        <w:t>Síria (</w:t>
      </w:r>
      <w:hyperlink r:id="rId3858">
        <w:r>
          <w:rPr>
            <w:color w:val="0000EE"/>
            <w:u w:val="single"/>
          </w:rPr>
          <w:t>Ez 27.16</w:t>
        </w:r>
      </w:hyperlink>
      <w:r>
        <w:t>);</w:t>
      </w:r>
    </w:p>
    <w:p>
      <w:pPr>
        <w:pStyle w:val="ListBullet"/>
        <w:spacing w:line="240" w:lineRule="auto"/>
        <w:ind w:left="720"/>
      </w:pPr>
      <w:r/>
      <w:r>
        <w:t>Babilônia (</w:t>
      </w:r>
      <w:hyperlink r:id="rId3859">
        <w:r>
          <w:rPr>
            <w:color w:val="0000EE"/>
            <w:u w:val="single"/>
          </w:rPr>
          <w:t>Js 7.21</w:t>
        </w:r>
      </w:hyperlink>
      <w:r>
        <w:t>);</w:t>
      </w:r>
    </w:p>
    <w:p>
      <w:pPr>
        <w:pStyle w:val="ListBullet"/>
        <w:spacing w:line="240" w:lineRule="auto"/>
        <w:ind w:left="720"/>
      </w:pPr>
      <w:r/>
      <w:r>
        <w:t>Assíria;</w:t>
      </w:r>
    </w:p>
    <w:p>
      <w:pPr>
        <w:pStyle w:val="ListBullet"/>
        <w:spacing w:line="240" w:lineRule="auto"/>
        <w:ind w:left="720"/>
      </w:pPr>
      <w:r/>
      <w:r>
        <w:t>Pérsia (</w:t>
      </w:r>
      <w:hyperlink r:id="rId3105">
        <w:r>
          <w:rPr>
            <w:color w:val="0000EE"/>
            <w:u w:val="single"/>
          </w:rPr>
          <w:t>Es 1.6</w:t>
        </w:r>
      </w:hyperlink>
      <w:r>
        <w:t>).</w:t>
      </w:r>
    </w:p>
    <w:p>
      <w:r/>
      <w:r>
        <w:rPr>
          <w:i/>
        </w:rPr>
        <w:t>Veja também</w:t>
      </w:r>
      <w:r>
        <w:t xml:space="preserve"> </w:t>
      </w:r>
      <w:r>
        <w:t>Tecido e fabricação de tecidos</w:t>
      </w:r>
      <w:r>
        <w:t>.</w:t>
      </w:r>
      <w:r/>
      <w:r/>
    </w:p>
    <w:p>
      <w:r/>
    </w:p>
    <w:p>
      <w:pPr>
        <w:pStyle w:val="Heading2"/>
      </w:pPr>
      <w:r>
        <w:t>Bosque</w:t>
      </w:r>
      <w:r/>
    </w:p>
    <w:p>
      <w:r/>
      <w:r>
        <w:t>Uma tradução equivocada de algumas versões bíblicas de uma palavra hebraica que era o nome de uma deusa cananeia, Aserá. Muitas vezes, árvores sagradas eram símbolos dessa deusa da fertilidade. Às vezes, postes de madeira eram erguidos. Deus ordenou aos israelitas que destruíssem esses símbolos. Eles eram chamados de "Asherim" e "Asheroth".</w:t>
      </w:r>
    </w:p>
    <w:p>
      <w:r/>
      <w:r>
        <w:t>Eles tiveram que cortá-los e queimá-los (</w:t>
      </w:r>
      <w:hyperlink r:id="rId3860">
        <w:r>
          <w:rPr>
            <w:color w:val="0000EE"/>
            <w:u w:val="single"/>
          </w:rPr>
          <w:t>Êx 34.13</w:t>
        </w:r>
      </w:hyperlink>
      <w:r>
        <w:t xml:space="preserve">; </w:t>
      </w:r>
      <w:hyperlink r:id="rId3861">
        <w:r>
          <w:rPr>
            <w:color w:val="0000EE"/>
            <w:u w:val="single"/>
          </w:rPr>
          <w:t>Dt 12.3</w:t>
        </w:r>
      </w:hyperlink>
      <w:r>
        <w:t>). Os postes eram de madeira e não deixavam restos que pudessem ser identificados. No entanto, pesquisadores descobriram um grande pedaço de madeira carbonizada entre queimadores de incenso em um antigo santuário em Ai. Pode ter sido um tronco de árvore do qual os galhos foram podados. Alguns pesquisadores sugerem que era um poste de Aserá.</w:t>
      </w:r>
    </w:p>
    <w:p>
      <w:r/>
      <w:r>
        <w:t>Deus proibiu estritamente os israelitas de adorar Aserá ou de construir seus símbolos sagrados. De tempos em tempos, Israel desobedecia a Deus e se envolvia em adoração falsa. Um relato sobre a queda do reino do norte atribui isso aos bosques e à adoração da deusa pagã e seu equivalente masculino, Baal (</w:t>
      </w:r>
      <w:hyperlink r:id="rId3862">
        <w:r>
          <w:rPr>
            <w:color w:val="0000EE"/>
            <w:u w:val="single"/>
          </w:rPr>
          <w:t>2Rs 17.7–18</w:t>
        </w:r>
      </w:hyperlink>
      <w:r>
        <w:t>). Jezabel, uma sacerdotisa do Baal de Tiro, promoveu a disseminação de tal idolatria.</w:t>
      </w:r>
    </w:p>
    <w:p>
      <w:r/>
      <w:r>
        <w:t xml:space="preserve">O "bosque" de </w:t>
      </w:r>
      <w:hyperlink r:id="rId3863">
        <w:r>
          <w:rPr>
            <w:color w:val="0000EE"/>
            <w:u w:val="single"/>
          </w:rPr>
          <w:t>Gn 21.33</w:t>
        </w:r>
      </w:hyperlink>
      <w:r>
        <w:t xml:space="preserve"> que se encontra em algumas versões bíblicas era, na verdade, uma árvore tamargueira.</w:t>
      </w:r>
    </w:p>
    <w:p>
      <w:r/>
      <w:r>
        <w:rPr>
          <w:i/>
        </w:rPr>
        <w:t>Veja também</w:t>
      </w:r>
      <w:r>
        <w:t xml:space="preserve"> </w:t>
      </w:r>
      <w:r>
        <w:t>Deidades e religião cananeia</w:t>
      </w:r>
      <w:r>
        <w:t xml:space="preserve">; </w:t>
      </w:r>
      <w:r>
        <w:t>Deuses e deusas</w:t>
      </w:r>
      <w:r>
        <w:t xml:space="preserve">; </w:t>
      </w:r>
      <w:r>
        <w:t>Lugares altos</w:t>
      </w:r>
      <w:r>
        <w:t xml:space="preserve">; </w:t>
      </w:r>
      <w:r>
        <w:t>Ídolos, Idolatria</w:t>
      </w:r>
      <w:r>
        <w:t>.</w:t>
      </w:r>
      <w:r/>
      <w:r/>
    </w:p>
    <w:p>
      <w:r/>
    </w:p>
    <w:p>
      <w:pPr>
        <w:pStyle w:val="Heading2"/>
      </w:pPr>
      <w:r>
        <w:t>Bosra</w:t>
      </w:r>
      <w:r/>
    </w:p>
    <w:p>
      <w:r/>
      <w:r>
        <w:t>1. Cidade bem fortificada no norte de Edom (</w:t>
      </w:r>
      <w:hyperlink r:id="rId3864">
        <w:r>
          <w:rPr>
            <w:color w:val="0000EE"/>
            <w:u w:val="single"/>
          </w:rPr>
          <w:t>Gn 36.33</w:t>
        </w:r>
      </w:hyperlink>
      <w:r>
        <w:t xml:space="preserve">; </w:t>
      </w:r>
      <w:hyperlink r:id="rId3865">
        <w:r>
          <w:rPr>
            <w:color w:val="0000EE"/>
            <w:u w:val="single"/>
          </w:rPr>
          <w:t>1Cr 1.44</w:t>
        </w:r>
      </w:hyperlink>
      <w:r>
        <w:t>), considerada impossível de conquistar porque era protegida por penhascos em três lados. Localizada a 48,3 quilômetros ao norte de Petra, na moderna Buseirah, controlava o tráfego na Estrada Real. Bosra foi mencionada como uma das fortalezas que cairiam quando Deus julgasse Edom (</w:t>
      </w:r>
      <w:hyperlink r:id="rId3866">
        <w:r>
          <w:rPr>
            <w:color w:val="0000EE"/>
            <w:u w:val="single"/>
          </w:rPr>
          <w:t>Is 34.6</w:t>
        </w:r>
      </w:hyperlink>
      <w:r>
        <w:t xml:space="preserve">; </w:t>
      </w:r>
      <w:hyperlink r:id="rId3867">
        <w:r>
          <w:rPr>
            <w:color w:val="0000EE"/>
            <w:u w:val="single"/>
          </w:rPr>
          <w:t>63.1</w:t>
        </w:r>
      </w:hyperlink>
      <w:r>
        <w:t xml:space="preserve">; </w:t>
      </w:r>
      <w:hyperlink r:id="rId3868">
        <w:r>
          <w:rPr>
            <w:color w:val="0000EE"/>
            <w:u w:val="single"/>
          </w:rPr>
          <w:t>Jr 49.13</w:t>
        </w:r>
      </w:hyperlink>
      <w:r>
        <w:t xml:space="preserve">; </w:t>
      </w:r>
      <w:hyperlink r:id="rId3869">
        <w:r>
          <w:rPr>
            <w:color w:val="0000EE"/>
            <w:u w:val="single"/>
          </w:rPr>
          <w:t>Am 1.12</w:t>
        </w:r>
      </w:hyperlink>
      <w:r>
        <w:t>).</w:t>
      </w:r>
    </w:p>
    <w:p>
      <w:r/>
      <w:r>
        <w:t>2. Uma das cidades mencionadas pelo profeta Jeremias como colapsando com a nação moabita (</w:t>
      </w:r>
      <w:hyperlink r:id="rId3529">
        <w:r>
          <w:rPr>
            <w:color w:val="0000EE"/>
            <w:u w:val="single"/>
          </w:rPr>
          <w:t>Jr 48.24</w:t>
        </w:r>
      </w:hyperlink>
      <w:r>
        <w:t xml:space="preserve">); provavelmente uma variação ortográfica de Bezer. </w:t>
      </w:r>
      <w:r>
        <w:rPr>
          <w:i/>
        </w:rPr>
        <w:t>Veja</w:t>
      </w:r>
      <w:r>
        <w:t xml:space="preserve"> </w:t>
      </w:r>
      <w:r>
        <w:t>Bezer (Lugar)</w:t>
      </w:r>
      <w:r>
        <w:t>.</w:t>
      </w:r>
    </w:p>
    <w:p>
      <w:r/>
      <w:r>
        <w:t>3. Cidade também chamada Bosorá, capturada por Judas Macabeu durante sua campanha em Gileade (</w:t>
      </w:r>
      <w:hyperlink r:id="rId3870">
        <w:r>
          <w:rPr>
            <w:color w:val="0000EE"/>
            <w:u w:val="single"/>
          </w:rPr>
          <w:t>1Mc 5.26,28</w:t>
        </w:r>
      </w:hyperlink>
      <w:r>
        <w:t>). Talvez seja o mesmo lugar mencionado no item #2 acima.</w:t>
      </w:r>
      <w:r/>
      <w:r/>
    </w:p>
    <w:p>
      <w:r/>
    </w:p>
    <w:p>
      <w:pPr>
        <w:pStyle w:val="Heading2"/>
      </w:pPr>
      <w:r>
        <w:t>Braça</w:t>
      </w:r>
      <w:r/>
    </w:p>
    <w:p>
      <w:r/>
      <w:r>
        <w:t>Uma unidade de medida de água equivalente a cerca de 1,8 metros. Os marinheiros usavam braças para medir a profundidade da água. Durante a jornada de Paulo para Roma, os marinheiros mediram a profundidade da água quando seu navio se aproximava da terra durante uma tempestade (</w:t>
      </w:r>
      <w:hyperlink r:id="rId3871">
        <w:r>
          <w:rPr>
            <w:color w:val="0000EE"/>
            <w:u w:val="single"/>
          </w:rPr>
          <w:t>At 27.28</w:t>
        </w:r>
      </w:hyperlink>
      <w:r>
        <w:t>).</w:t>
      </w:r>
    </w:p>
    <w:p>
      <w:r/>
      <w:r>
        <w:rPr>
          <w:i/>
        </w:rPr>
        <w:t>Veja</w:t>
      </w:r>
      <w:r>
        <w:t xml:space="preserve"> </w:t>
      </w:r>
      <w:r>
        <w:t>Pesos e Medidas</w:t>
      </w:r>
      <w:r>
        <w:t>.</w:t>
      </w:r>
      <w:r/>
      <w:r/>
    </w:p>
    <w:p>
      <w:r/>
    </w:p>
    <w:p>
      <w:pPr>
        <w:pStyle w:val="Heading2"/>
      </w:pPr>
      <w:r>
        <w:t>Buqui</w:t>
      </w:r>
      <w:r/>
    </w:p>
    <w:p>
      <w:pPr>
        <w:pStyle w:val="ListNumber"/>
        <w:spacing w:line="240" w:lineRule="auto"/>
        <w:ind w:left="720"/>
      </w:pPr>
      <w:r/>
      <w:r>
        <w:t>Um líder da tribo de Dã que ajudou Josué a dividir a terra de Canaã entre os israelitas (</w:t>
      </w:r>
      <w:hyperlink r:id="rId3872">
        <w:r>
          <w:rPr>
            <w:color w:val="0000EE"/>
            <w:u w:val="single"/>
          </w:rPr>
          <w:t>Nm 34.22</w:t>
        </w:r>
      </w:hyperlink>
      <w:r>
        <w:t>).</w:t>
      </w:r>
    </w:p>
    <w:p>
      <w:pPr>
        <w:pStyle w:val="ListNumber"/>
        <w:spacing w:line="240" w:lineRule="auto"/>
        <w:ind w:left="720"/>
      </w:pPr>
      <w:r/>
      <w:r>
        <w:t>Um ancestral de Esdras (</w:t>
      </w:r>
      <w:hyperlink r:id="rId3873">
        <w:r>
          <w:rPr>
            <w:color w:val="0000EE"/>
            <w:u w:val="single"/>
          </w:rPr>
          <w:t>1Cr 6.5,51</w:t>
        </w:r>
      </w:hyperlink>
      <w:r>
        <w:t xml:space="preserve">; </w:t>
      </w:r>
      <w:hyperlink r:id="rId3874">
        <w:r>
          <w:rPr>
            <w:color w:val="0000EE"/>
            <w:u w:val="single"/>
          </w:rPr>
          <w:t>Ed 7.1,4–5</w:t>
        </w:r>
      </w:hyperlink>
      <w:r>
        <w:t>).</w:t>
      </w:r>
      <w:r/>
      <w:r/>
    </w:p>
    <w:p>
      <w:r/>
    </w:p>
    <w:p>
      <w:pPr>
        <w:pStyle w:val="Heading2"/>
      </w:pPr>
      <w:r>
        <w:t>Bushel</w:t>
      </w:r>
      <w:r/>
    </w:p>
    <w:p>
      <w:r/>
      <w:r>
        <w:t>1. Pequeno vaso (“cesto”, NTLH) que poderia cobrir uma luz (</w:t>
      </w:r>
      <w:hyperlink r:id="rId3875">
        <w:r>
          <w:rPr>
            <w:color w:val="0000EE"/>
            <w:u w:val="single"/>
          </w:rPr>
          <w:t>Mt 5.15</w:t>
        </w:r>
      </w:hyperlink>
      <w:r>
        <w:t xml:space="preserve">; </w:t>
      </w:r>
      <w:hyperlink r:id="rId3876">
        <w:r>
          <w:rPr>
            <w:color w:val="0000EE"/>
            <w:u w:val="single"/>
          </w:rPr>
          <w:t>Mc 4.21</w:t>
        </w:r>
      </w:hyperlink>
      <w:r>
        <w:t xml:space="preserve">; </w:t>
      </w:r>
      <w:hyperlink r:id="rId3877">
        <w:r>
          <w:rPr>
            <w:color w:val="0000EE"/>
            <w:u w:val="single"/>
          </w:rPr>
          <w:t>Lc 11.33</w:t>
        </w:r>
      </w:hyperlink>
      <w:r>
        <w:t xml:space="preserve">). </w:t>
      </w:r>
      <w:r>
        <w:rPr>
          <w:i/>
        </w:rPr>
        <w:t>Veja</w:t>
      </w:r>
      <w:r>
        <w:t xml:space="preserve"> </w:t>
      </w:r>
      <w:r>
        <w:t>Pesos e Medidas</w:t>
      </w:r>
      <w:r>
        <w:t>.</w:t>
      </w:r>
    </w:p>
    <w:p>
      <w:r/>
      <w:r>
        <w:t>2. Unidade de medida (efa hebraica) aproximadamente igual a 18 litros.</w:t>
      </w:r>
      <w:r/>
      <w:r/>
    </w:p>
    <w:p>
      <w:r/>
    </w:p>
    <w:p>
      <w:pPr>
        <w:pStyle w:val="Heading2"/>
      </w:pPr>
      <w:r>
        <w:t>Buz (Pessoa)</w:t>
      </w:r>
      <w:r/>
    </w:p>
    <w:p>
      <w:pPr>
        <w:pStyle w:val="ListNumber"/>
        <w:spacing w:line="240" w:lineRule="auto"/>
        <w:ind w:left="720"/>
      </w:pPr>
      <w:r/>
      <w:r>
        <w:t>Sobrinho de Abraão e um dos oito filhos de Naor (</w:t>
      </w:r>
      <w:hyperlink r:id="rId2312">
        <w:r>
          <w:rPr>
            <w:color w:val="0000EE"/>
            <w:u w:val="single"/>
          </w:rPr>
          <w:t>Gn 22.21</w:t>
        </w:r>
      </w:hyperlink>
      <w:r>
        <w:t>).</w:t>
      </w:r>
    </w:p>
    <w:p>
      <w:pPr>
        <w:pStyle w:val="ListNumber"/>
        <w:spacing w:line="240" w:lineRule="auto"/>
        <w:ind w:left="720"/>
      </w:pPr>
      <w:r/>
      <w:r>
        <w:t>Um membro da tribo de Gade (</w:t>
      </w:r>
      <w:hyperlink r:id="rId59">
        <w:r>
          <w:rPr>
            <w:color w:val="0000EE"/>
            <w:u w:val="single"/>
          </w:rPr>
          <w:t>1Cr 5.14</w:t>
        </w:r>
      </w:hyperlink>
      <w:r>
        <w:t>).</w:t>
      </w:r>
      <w:r/>
      <w:r/>
    </w:p>
    <w:p>
      <w:r/>
    </w:p>
    <w:p>
      <w:pPr>
        <w:pStyle w:val="Heading2"/>
      </w:pPr>
      <w:r>
        <w:t>Cabana</w:t>
      </w:r>
      <w:r/>
    </w:p>
    <w:p>
      <w:r/>
      <w:r>
        <w:t>Uma pequena barraca ou abrigo temporário feito de galhos e paus. As cabanas eram construídas quando edifícios permanentes não estavam disponíveis. Elas ofereciam sombra durante o dia e proteção contra o orvalho e os ventos à noite (</w:t>
      </w:r>
      <w:hyperlink r:id="rId3878">
        <w:r>
          <w:rPr>
            <w:color w:val="0000EE"/>
            <w:u w:val="single"/>
          </w:rPr>
          <w:t>Gn 33.17</w:t>
        </w:r>
      </w:hyperlink>
      <w:r>
        <w:t xml:space="preserve">; </w:t>
      </w:r>
      <w:hyperlink r:id="rId3879">
        <w:r>
          <w:rPr>
            <w:color w:val="0000EE"/>
            <w:u w:val="single"/>
          </w:rPr>
          <w:t>Jn 4.5</w:t>
        </w:r>
      </w:hyperlink>
      <w:r>
        <w:t>).</w:t>
      </w:r>
    </w:p>
    <w:p>
      <w:r/>
      <w:r>
        <w:t xml:space="preserve">A palavra também é usada como uma figura de linguagem para algo frágil e facilmente destruído. Por exemplo, a palavra é traduzida como "cabana" em </w:t>
      </w:r>
      <w:hyperlink r:id="rId3880">
        <w:r>
          <w:rPr>
            <w:color w:val="0000EE"/>
            <w:u w:val="single"/>
          </w:rPr>
          <w:t>Jó 27.18</w:t>
        </w:r>
      </w:hyperlink>
      <w:r>
        <w:t xml:space="preserve"> e "abrigo" em </w:t>
      </w:r>
      <w:hyperlink r:id="rId3881">
        <w:r>
          <w:rPr>
            <w:color w:val="0000EE"/>
            <w:u w:val="single"/>
          </w:rPr>
          <w:t>Isaías 1.8</w:t>
        </w:r>
      </w:hyperlink>
      <w:r>
        <w:t>.</w:t>
      </w:r>
    </w:p>
    <w:p>
      <w:r/>
      <w:r>
        <w:rPr>
          <w:i/>
        </w:rPr>
        <w:t>Veja também</w:t>
      </w:r>
      <w:r>
        <w:t xml:space="preserve"> </w:t>
      </w:r>
      <w:r>
        <w:t>Festas e festivais de Israel</w:t>
      </w:r>
      <w:r>
        <w:t>.</w:t>
      </w:r>
      <w:r/>
      <w:r/>
    </w:p>
    <w:p>
      <w:r/>
    </w:p>
    <w:p>
      <w:pPr>
        <w:pStyle w:val="Heading2"/>
      </w:pPr>
      <w:r>
        <w:t>Cabeça</w:t>
      </w:r>
      <w:r/>
    </w:p>
    <w:p>
      <w:r/>
      <w:r>
        <w:t xml:space="preserve">A parte superior do corpo, contendo o cérebro, os principais órgãos dos sentidos e a boca. Aparece muitas vezes na Bíblia como uma descrição física. O termo hebraico para </w:t>
      </w:r>
      <w:r>
        <w:rPr>
          <w:i/>
        </w:rPr>
        <w:t>cabeça</w:t>
      </w:r>
      <w:r>
        <w:t xml:space="preserve"> também é usado figurativamente no Antigo Testamento. Frequentemente, designa proeminência ou autoridade.</w:t>
      </w:r>
    </w:p>
    <w:p>
      <w:r/>
      <w:r>
        <w:t>Levantar a cabeça era considerado um ato de orgulho (</w:t>
      </w:r>
      <w:hyperlink r:id="rId3882">
        <w:r>
          <w:rPr>
            <w:color w:val="0000EE"/>
            <w:u w:val="single"/>
          </w:rPr>
          <w:t>Sl 140.9</w:t>
        </w:r>
      </w:hyperlink>
      <w:r>
        <w:t>) ou honra (</w:t>
      </w:r>
      <w:hyperlink r:id="rId3883">
        <w:r>
          <w:rPr>
            <w:color w:val="0000EE"/>
            <w:u w:val="single"/>
          </w:rPr>
          <w:t>Gn 40.20</w:t>
        </w:r>
      </w:hyperlink>
      <w:r>
        <w:t xml:space="preserve">; </w:t>
      </w:r>
      <w:hyperlink r:id="rId3884">
        <w:r>
          <w:rPr>
            <w:color w:val="0000EE"/>
            <w:u w:val="single"/>
          </w:rPr>
          <w:t>Sl 3.3</w:t>
        </w:r>
      </w:hyperlink>
      <w:r>
        <w:t xml:space="preserve">; </w:t>
      </w:r>
      <w:hyperlink r:id="rId3885">
        <w:r>
          <w:rPr>
            <w:color w:val="0000EE"/>
            <w:u w:val="single"/>
          </w:rPr>
          <w:t>27.6</w:t>
        </w:r>
      </w:hyperlink>
      <w:r>
        <w:t>). Abaixar a cabeça significava humilhação (</w:t>
      </w:r>
      <w:hyperlink r:id="rId3886">
        <w:r>
          <w:rPr>
            <w:color w:val="0000EE"/>
            <w:u w:val="single"/>
          </w:rPr>
          <w:t>Is 58.5</w:t>
        </w:r>
      </w:hyperlink>
      <w:r>
        <w:t>) ou tristeza (</w:t>
      </w:r>
      <w:hyperlink r:id="rId3887">
        <w:r>
          <w:rPr>
            <w:color w:val="0000EE"/>
            <w:u w:val="single"/>
          </w:rPr>
          <w:t>Lm 2.10</w:t>
        </w:r>
      </w:hyperlink>
      <w:r>
        <w:t>). A palavra hebraica é usada metaforicamente de picos das montanhas (</w:t>
      </w:r>
      <w:hyperlink r:id="rId3888">
        <w:r>
          <w:rPr>
            <w:color w:val="0000EE"/>
            <w:u w:val="single"/>
          </w:rPr>
          <w:t>Gn 8.5</w:t>
        </w:r>
      </w:hyperlink>
      <w:r>
        <w:t>), os topos dos edifícios (</w:t>
      </w:r>
      <w:hyperlink r:id="rId3889">
        <w:r>
          <w:rPr>
            <w:color w:val="0000EE"/>
            <w:u w:val="single"/>
          </w:rPr>
          <w:t>Gn 11.4</w:t>
        </w:r>
      </w:hyperlink>
      <w:r>
        <w:t>) ou árvores (</w:t>
      </w:r>
      <w:hyperlink r:id="rId3890">
        <w:r>
          <w:rPr>
            <w:color w:val="0000EE"/>
            <w:u w:val="single"/>
          </w:rPr>
          <w:t>2Sm 5.24</w:t>
        </w:r>
      </w:hyperlink>
      <w:r>
        <w:t>), e fontes de rios (</w:t>
      </w:r>
      <w:hyperlink r:id="rId3891">
        <w:r>
          <w:rPr>
            <w:color w:val="0000EE"/>
            <w:u w:val="single"/>
          </w:rPr>
          <w:t>Gn 2.10</w:t>
        </w:r>
      </w:hyperlink>
      <w:r>
        <w:t>). O termo era comumente usado para designar posições de autoridade política, militar ou familiar. Neste sentido, o “cabeça” exercia controle sobre todos os que estavam sujeitos a ele (</w:t>
      </w:r>
      <w:hyperlink r:id="rId3892">
        <w:r>
          <w:rPr>
            <w:color w:val="0000EE"/>
            <w:u w:val="single"/>
          </w:rPr>
          <w:t>Jz 10.18</w:t>
        </w:r>
      </w:hyperlink>
      <w:r>
        <w:t xml:space="preserve">; </w:t>
      </w:r>
      <w:hyperlink r:id="rId3893">
        <w:r>
          <w:rPr>
            <w:color w:val="0000EE"/>
            <w:u w:val="single"/>
          </w:rPr>
          <w:t>1Sm 15.17</w:t>
        </w:r>
      </w:hyperlink>
      <w:r>
        <w:t xml:space="preserve">; </w:t>
      </w:r>
      <w:hyperlink r:id="rId3894">
        <w:r>
          <w:rPr>
            <w:color w:val="0000EE"/>
            <w:u w:val="single"/>
          </w:rPr>
          <w:t>Sl 18.43</w:t>
        </w:r>
      </w:hyperlink>
      <w:r>
        <w:t xml:space="preserve">; </w:t>
      </w:r>
      <w:hyperlink r:id="rId3895">
        <w:r>
          <w:rPr>
            <w:color w:val="0000EE"/>
            <w:u w:val="single"/>
          </w:rPr>
          <w:t>Is 7.8–9</w:t>
        </w:r>
      </w:hyperlink>
      <w:r>
        <w:t xml:space="preserve">; </w:t>
      </w:r>
      <w:hyperlink r:id="rId3896">
        <w:r>
          <w:rPr>
            <w:color w:val="0000EE"/>
            <w:u w:val="single"/>
          </w:rPr>
          <w:t>Jr 31.7</w:t>
        </w:r>
      </w:hyperlink>
      <w:r>
        <w:t xml:space="preserve">; </w:t>
      </w:r>
      <w:hyperlink r:id="rId3897">
        <w:r>
          <w:rPr>
            <w:color w:val="0000EE"/>
            <w:u w:val="single"/>
          </w:rPr>
          <w:t>Os 1.11</w:t>
        </w:r>
      </w:hyperlink>
      <w:r>
        <w:t>). Davi foi chamado de “guarda da minha cabeça” (ARC) quando ele serviu como o guarda-costas de Aquis (</w:t>
      </w:r>
      <w:hyperlink r:id="rId763">
        <w:r>
          <w:rPr>
            <w:color w:val="0000EE"/>
            <w:u w:val="single"/>
          </w:rPr>
          <w:t>1Sm 28.2</w:t>
        </w:r>
      </w:hyperlink>
      <w:r>
        <w:t xml:space="preserve">; cf. </w:t>
      </w:r>
      <w:hyperlink r:id="rId3898">
        <w:r>
          <w:rPr>
            <w:color w:val="0000EE"/>
            <w:u w:val="single"/>
          </w:rPr>
          <w:t>Jz 9.53</w:t>
        </w:r>
      </w:hyperlink>
      <w:r>
        <w:t xml:space="preserve">; </w:t>
      </w:r>
      <w:hyperlink r:id="rId3899">
        <w:r>
          <w:rPr>
            <w:color w:val="0000EE"/>
            <w:u w:val="single"/>
          </w:rPr>
          <w:t>Sl 68.21</w:t>
        </w:r>
      </w:hyperlink>
      <w:r>
        <w:t>).</w:t>
      </w:r>
    </w:p>
    <w:p>
      <w:r/>
      <w:r>
        <w:t>Os filósofos gregos usaram a imagem do corpo para representar o universo. A cabeça deste corpo — chamado Zeus ou Razão — era considerada responsável pela criação e sustento dos membros remanescentes (seres celestiais, humanos, animais, plantas e objetos inanimados). O universo, ou “corpo”, deve sua existência à “cabeça”.</w:t>
      </w:r>
    </w:p>
    <w:p>
      <w:r/>
      <w:r>
        <w:t>Entre 460 a.C. (a data geralmente atribuída aos primeiros escritos de Hipócrates) e 200 d.C. (a morte de Galeno, que desenvolveu as descobertas de Hipócrates), a ciência médica grega entendeu a cabeça como a sede da inteligência. O corpo era capaz de operar de forma eficiente apenas porque o cérebro era capaz de interpretar os dados recebidos do corpo (olhos, ouvidos, pele e assim por diante), e porque era capaz de enviar impulsos apropriados aos vários membros do corpo, com base nos dados recebidos. A capacidade do cérebro de interpretar e direcionar tornava a existência do corpo completamente dependente dele.</w:t>
      </w:r>
    </w:p>
    <w:p>
      <w:r/>
      <w:r>
        <w:t>No NT, o termo se refere à cabeça humana real (</w:t>
      </w:r>
      <w:hyperlink r:id="rId3900">
        <w:r>
          <w:rPr>
            <w:color w:val="0000EE"/>
            <w:u w:val="single"/>
          </w:rPr>
          <w:t>Mt 5.36</w:t>
        </w:r>
      </w:hyperlink>
      <w:r>
        <w:t xml:space="preserve">; </w:t>
      </w:r>
      <w:hyperlink r:id="rId3901">
        <w:r>
          <w:rPr>
            <w:color w:val="0000EE"/>
            <w:u w:val="single"/>
          </w:rPr>
          <w:t>6.17</w:t>
        </w:r>
      </w:hyperlink>
      <w:r>
        <w:t xml:space="preserve">; </w:t>
      </w:r>
      <w:hyperlink r:id="rId3902">
        <w:r>
          <w:rPr>
            <w:color w:val="0000EE"/>
            <w:u w:val="single"/>
          </w:rPr>
          <w:t>14.8</w:t>
        </w:r>
      </w:hyperlink>
      <w:r>
        <w:t xml:space="preserve">; </w:t>
      </w:r>
      <w:hyperlink r:id="rId3903">
        <w:r>
          <w:rPr>
            <w:color w:val="0000EE"/>
            <w:u w:val="single"/>
          </w:rPr>
          <w:t>26.7</w:t>
        </w:r>
      </w:hyperlink>
      <w:r>
        <w:t xml:space="preserve">; </w:t>
      </w:r>
      <w:hyperlink r:id="rId3904">
        <w:r>
          <w:rPr>
            <w:color w:val="0000EE"/>
            <w:u w:val="single"/>
          </w:rPr>
          <w:t>Mc 6.27</w:t>
        </w:r>
      </w:hyperlink>
      <w:r>
        <w:t xml:space="preserve">; </w:t>
      </w:r>
      <w:hyperlink r:id="rId3905">
        <w:r>
          <w:rPr>
            <w:color w:val="0000EE"/>
            <w:u w:val="single"/>
          </w:rPr>
          <w:t>14.3</w:t>
        </w:r>
      </w:hyperlink>
      <w:r>
        <w:t xml:space="preserve">; </w:t>
      </w:r>
      <w:hyperlink r:id="rId3906">
        <w:r>
          <w:rPr>
            <w:color w:val="0000EE"/>
            <w:u w:val="single"/>
          </w:rPr>
          <w:t>Lc 7.46</w:t>
        </w:r>
      </w:hyperlink>
      <w:r>
        <w:t xml:space="preserve">; </w:t>
      </w:r>
      <w:hyperlink r:id="rId3907">
        <w:r>
          <w:rPr>
            <w:color w:val="0000EE"/>
            <w:u w:val="single"/>
          </w:rPr>
          <w:t>Jo 13.9</w:t>
        </w:r>
      </w:hyperlink>
      <w:r>
        <w:t xml:space="preserve">; </w:t>
      </w:r>
      <w:hyperlink r:id="rId3908">
        <w:r>
          <w:rPr>
            <w:color w:val="0000EE"/>
            <w:u w:val="single"/>
          </w:rPr>
          <w:t>20.7</w:t>
        </w:r>
      </w:hyperlink>
      <w:r>
        <w:t>), aos seres apocalípticos (</w:t>
      </w:r>
      <w:hyperlink r:id="rId1845">
        <w:r>
          <w:rPr>
            <w:color w:val="0000EE"/>
            <w:u w:val="single"/>
          </w:rPr>
          <w:t>Ap 1.14</w:t>
        </w:r>
      </w:hyperlink>
      <w:r>
        <w:t xml:space="preserve">; </w:t>
      </w:r>
      <w:hyperlink r:id="rId3909">
        <w:r>
          <w:rPr>
            <w:color w:val="0000EE"/>
            <w:u w:val="single"/>
          </w:rPr>
          <w:t>4.4</w:t>
        </w:r>
      </w:hyperlink>
      <w:r>
        <w:t xml:space="preserve">; </w:t>
      </w:r>
      <w:hyperlink r:id="rId3910">
        <w:r>
          <w:rPr>
            <w:color w:val="0000EE"/>
            <w:u w:val="single"/>
          </w:rPr>
          <w:t>12.1</w:t>
        </w:r>
      </w:hyperlink>
      <w:r>
        <w:t>) e aos animais (</w:t>
      </w:r>
      <w:hyperlink r:id="rId3911">
        <w:r>
          <w:rPr>
            <w:color w:val="0000EE"/>
            <w:u w:val="single"/>
          </w:rPr>
          <w:t>Ap 9.7,17,19</w:t>
        </w:r>
      </w:hyperlink>
      <w:r>
        <w:t xml:space="preserve">; </w:t>
      </w:r>
      <w:hyperlink r:id="rId3912">
        <w:r>
          <w:rPr>
            <w:color w:val="0000EE"/>
            <w:u w:val="single"/>
          </w:rPr>
          <w:t>12.3</w:t>
        </w:r>
      </w:hyperlink>
      <w:r>
        <w:t>). Além disso, aparece em expressões como “amontoar brasas de fogo sobre a cabeça”, ou seja, retribuir o bem pelo mal (</w:t>
      </w:r>
      <w:hyperlink r:id="rId3913">
        <w:r>
          <w:rPr>
            <w:color w:val="0000EE"/>
            <w:u w:val="single"/>
          </w:rPr>
          <w:t>Rm 12.20</w:t>
        </w:r>
      </w:hyperlink>
      <w:r>
        <w:t xml:space="preserve">; cf. </w:t>
      </w:r>
      <w:hyperlink r:id="rId3914">
        <w:r>
          <w:rPr>
            <w:color w:val="0000EE"/>
            <w:u w:val="single"/>
          </w:rPr>
          <w:t>Mt 5.44</w:t>
        </w:r>
      </w:hyperlink>
      <w:r>
        <w:t>); “raspar” ou “ungir a cabeça” expressando um voto (</w:t>
      </w:r>
      <w:hyperlink r:id="rId3915">
        <w:r>
          <w:rPr>
            <w:color w:val="0000EE"/>
            <w:u w:val="single"/>
          </w:rPr>
          <w:t>At 21.24</w:t>
        </w:r>
      </w:hyperlink>
      <w:r>
        <w:t>); e “deitar a cabeça”, ou seja, dormir (</w:t>
      </w:r>
      <w:hyperlink r:id="rId3916">
        <w:r>
          <w:rPr>
            <w:color w:val="0000EE"/>
            <w:u w:val="single"/>
          </w:rPr>
          <w:t>Mt 8.20</w:t>
        </w:r>
      </w:hyperlink>
      <w:r>
        <w:t xml:space="preserve">; </w:t>
      </w:r>
      <w:hyperlink r:id="rId3917">
        <w:r>
          <w:rPr>
            <w:color w:val="0000EE"/>
            <w:u w:val="single"/>
          </w:rPr>
          <w:t>Lc 9.58</w:t>
        </w:r>
      </w:hyperlink>
      <w:r>
        <w:t>).</w:t>
      </w:r>
    </w:p>
    <w:p>
      <w:r/>
      <w:r>
        <w:t>O apóstolo Paulo se baseou na compreensão metafórica do AT do termo para expressar a liderança de Deus sobre Cristo, Cristo sobre o homem e o homem sobre a mulher (</w:t>
      </w:r>
      <w:hyperlink r:id="rId3918">
        <w:r>
          <w:rPr>
            <w:color w:val="0000EE"/>
            <w:u w:val="single"/>
          </w:rPr>
          <w:t>1Co 11.3–16</w:t>
        </w:r>
      </w:hyperlink>
      <w:r>
        <w:t xml:space="preserve">; cf. </w:t>
      </w:r>
      <w:hyperlink r:id="rId3919">
        <w:r>
          <w:rPr>
            <w:color w:val="0000EE"/>
            <w:u w:val="single"/>
          </w:rPr>
          <w:t>Ef 5.23</w:t>
        </w:r>
      </w:hyperlink>
      <w:r>
        <w:t>). À luz desses relacionamentos, Paulo encorajou as mulheres em Corinto a usar véus na adoração. O véu dava a uma mulher a autoridade para adorar como igual aos homens diante de Deus. O termo é usado novamente com o significado “autoridade” para expressar o senhorio de Cristo sobre o universo (</w:t>
      </w:r>
      <w:hyperlink r:id="rId3920">
        <w:r>
          <w:rPr>
            <w:color w:val="0000EE"/>
            <w:u w:val="single"/>
          </w:rPr>
          <w:t>Ef 1.21–22</w:t>
        </w:r>
      </w:hyperlink>
      <w:r>
        <w:t xml:space="preserve">; </w:t>
      </w:r>
      <w:hyperlink r:id="rId3921">
        <w:r>
          <w:rPr>
            <w:color w:val="0000EE"/>
            <w:u w:val="single"/>
          </w:rPr>
          <w:t>Cl 2.10</w:t>
        </w:r>
      </w:hyperlink>
      <w:r>
        <w:t>).</w:t>
      </w:r>
    </w:p>
    <w:p>
      <w:r/>
      <w:r>
        <w:t>Paulo usou a figura da cabeça e do corpo para expressar o relacionamento entre Cristo e sua igreja (</w:t>
      </w:r>
      <w:hyperlink r:id="rId3922">
        <w:r>
          <w:rPr>
            <w:color w:val="0000EE"/>
            <w:u w:val="single"/>
          </w:rPr>
          <w:t>Ef 4.15</w:t>
        </w:r>
      </w:hyperlink>
      <w:r>
        <w:t xml:space="preserve">; </w:t>
      </w:r>
      <w:hyperlink r:id="rId3919">
        <w:r>
          <w:rPr>
            <w:color w:val="0000EE"/>
            <w:u w:val="single"/>
          </w:rPr>
          <w:t>5.23</w:t>
        </w:r>
      </w:hyperlink>
      <w:r>
        <w:t xml:space="preserve">; cf. </w:t>
      </w:r>
      <w:hyperlink r:id="rId3923">
        <w:r>
          <w:rPr>
            <w:color w:val="0000EE"/>
            <w:u w:val="single"/>
          </w:rPr>
          <w:t>1Co 12.12–27</w:t>
        </w:r>
      </w:hyperlink>
      <w:r>
        <w:t>). Além do sentido do AT, as contribuições da ciência médica nos dias de Paulo podem fornecer informações sobre esta figura, pois Cristo não é apenas o governante dominante sobre a igreja, mas também a força dinâmica que fornece sua direção e unidade. A capacidade da igreja de existir e o ponto focal de sua atividade estão enraizados na obra de seu “cabeça”, Jesus Cristo. Nessa perspectiva, vários exegetas modernos argumentaram que liderança não significa “autoridade” tanto quanto significa “fonte”, como no termo “fonte primordial”. Portanto, aquele que é a cabeça é a fonte, o provedor. Esses intérpretes veem Deus como sendo o provedor de Cristo, e Cristo sendo o provedor da igreja, e o homem sendo o provedor da mulher.</w:t>
      </w:r>
      <w:r/>
      <w:r/>
    </w:p>
    <w:p>
      <w:r/>
    </w:p>
    <w:p>
      <w:pPr>
        <w:pStyle w:val="Heading2"/>
      </w:pPr>
      <w:r>
        <w:t>Cabelos e Barbas</w:t>
      </w:r>
      <w:r/>
    </w:p>
    <w:p>
      <w:r/>
      <w:r>
        <w:t xml:space="preserve">Na Palestina e no Oriente Próximo, as mulheres geralmente tinham cabelos longos. Na era do Novo Testamento, cortar o cabelo poderia ser visto como um sinal de ser uma sacerdotisa pagã, levando à desgraça (veja </w:t>
      </w:r>
      <w:hyperlink r:id="rId3924">
        <w:r>
          <w:rPr>
            <w:color w:val="0000EE"/>
            <w:u w:val="single"/>
          </w:rPr>
          <w:t>1Co 11.15</w:t>
        </w:r>
      </w:hyperlink>
      <w:r>
        <w:t>). O apóstolo Pedro aconselhou as mulheres cristãs a não se concentrarem excessivamente em penteados elaborados (</w:t>
      </w:r>
      <w:hyperlink r:id="rId3925">
        <w:r>
          <w:rPr>
            <w:color w:val="0000EE"/>
            <w:u w:val="single"/>
          </w:rPr>
          <w:t>1Pe 3.3</w:t>
        </w:r>
      </w:hyperlink>
      <w:r>
        <w:t>). Quando uma mulher se casava, ela frequentemente alterava seu penteado para refletir uma aparência mais madura, com algumas usando ferros de ondulação e óleos capilares.</w:t>
      </w:r>
    </w:p>
    <w:p>
      <w:r/>
      <w:r>
        <w:t>Cabelo escuro é frequentemente mencionado na Bíblia, embora o cabelo grisalho fosse respeitado como um sinal de maturidade. Algumas pessoas usavam tinturas de cabelo pretas e vermelhas, e a tradição diz que Herodes, o Grande, tingia seu cabelo grisalho com henna.</w:t>
      </w:r>
    </w:p>
    <w:p>
      <w:r/>
      <w:r>
        <w:t>Na cultura judaica, o corte de barba e cabelo seguia regras específicas. Os israelitas foram instruídos a não cortar o cabelo nas têmporas nem aparar as extremidades de suas barbas (</w:t>
      </w:r>
      <w:hyperlink r:id="rId3119">
        <w:r>
          <w:rPr>
            <w:color w:val="0000EE"/>
            <w:u w:val="single"/>
          </w:rPr>
          <w:t>Lv 19.27</w:t>
        </w:r>
      </w:hyperlink>
      <w:r>
        <w:t>). Essa prática ajudava a distinguir os israelitas dos cananeus adoradores de ídolos e outros (</w:t>
      </w:r>
      <w:hyperlink r:id="rId3926">
        <w:r>
          <w:rPr>
            <w:color w:val="0000EE"/>
            <w:u w:val="single"/>
          </w:rPr>
          <w:t>Dt 12.29</w:t>
        </w:r>
      </w:hyperlink>
      <w:r>
        <w:t>–</w:t>
      </w:r>
      <w:hyperlink r:id="rId3926">
        <w:r>
          <w:rPr>
            <w:color w:val="0000EE"/>
            <w:u w:val="single"/>
          </w:rPr>
          <w:t>30</w:t>
        </w:r>
      </w:hyperlink>
      <w:r>
        <w:t>). As barbas diferenciavam os hebreus dos egípcios, que geralmente eram barbeados, mas às vezes usavam barbas falsas para cerimônias. Raspar ou cortar a barba dos cativos era visto como uma humilhação severa, enquanto uma cabeça raspada era um símbolo de purificação após completar um voto (</w:t>
      </w:r>
      <w:hyperlink r:id="rId3927">
        <w:r>
          <w:rPr>
            <w:color w:val="0000EE"/>
            <w:u w:val="single"/>
          </w:rPr>
          <w:t>Lv 14.8–9</w:t>
        </w:r>
      </w:hyperlink>
      <w:r>
        <w:t xml:space="preserve">; </w:t>
      </w:r>
      <w:hyperlink r:id="rId3928">
        <w:r>
          <w:rPr>
            <w:color w:val="0000EE"/>
            <w:u w:val="single"/>
          </w:rPr>
          <w:t>At 18.18</w:t>
        </w:r>
      </w:hyperlink>
      <w:r>
        <w:t>). Raspar a barba era o sinal usual de luto (</w:t>
      </w:r>
      <w:hyperlink r:id="rId3929">
        <w:r>
          <w:rPr>
            <w:color w:val="0000EE"/>
            <w:u w:val="single"/>
          </w:rPr>
          <w:t>Is 15.2</w:t>
        </w:r>
      </w:hyperlink>
      <w:r>
        <w:t>). Também podia simbolizar a aproximação da desgraça (</w:t>
      </w:r>
      <w:hyperlink r:id="rId3930">
        <w:r>
          <w:rPr>
            <w:color w:val="0000EE"/>
            <w:u w:val="single"/>
          </w:rPr>
          <w:t>Is 7.20</w:t>
        </w:r>
      </w:hyperlink>
      <w:r>
        <w:t xml:space="preserve">; </w:t>
      </w:r>
      <w:hyperlink r:id="rId3931">
        <w:r>
          <w:rPr>
            <w:color w:val="0000EE"/>
            <w:u w:val="single"/>
          </w:rPr>
          <w:t>Jr 41.5</w:t>
        </w:r>
      </w:hyperlink>
      <w:r>
        <w:t xml:space="preserve">; </w:t>
      </w:r>
      <w:hyperlink r:id="rId3932">
        <w:r>
          <w:rPr>
            <w:color w:val="0000EE"/>
            <w:u w:val="single"/>
          </w:rPr>
          <w:t>48.37</w:t>
        </w:r>
      </w:hyperlink>
      <w:r>
        <w:t>).</w:t>
      </w:r>
      <w:r/>
      <w:r/>
    </w:p>
    <w:p>
      <w:r/>
    </w:p>
    <w:p>
      <w:pPr>
        <w:pStyle w:val="Heading2"/>
      </w:pPr>
      <w:r>
        <w:t>Cabra montês</w:t>
      </w:r>
      <w:r/>
    </w:p>
    <w:p>
      <w:r/>
      <w:r>
        <w:t xml:space="preserve">Pequeno antílope semelhante a uma cabra que vive principalmente nas altas montanhas da Europa. Definições modernas deste animal o chamam de "camurça", que não é usado em traduções da Bíblia. Em </w:t>
      </w:r>
      <w:hyperlink r:id="rId1463">
        <w:r>
          <w:rPr>
            <w:color w:val="0000EE"/>
            <w:u w:val="single"/>
          </w:rPr>
          <w:t>Dt 14.5</w:t>
        </w:r>
      </w:hyperlink>
      <w:r>
        <w:t xml:space="preserve">, a cabra montês é traduzida de diferentes formas como "ovelha montês", "ovelha selvagem", "bode selvagem", etc. </w:t>
      </w:r>
    </w:p>
    <w:p>
      <w:r/>
      <w:r>
        <w:rPr>
          <w:i/>
        </w:rPr>
        <w:t>Veja</w:t>
      </w:r>
      <w:r>
        <w:t xml:space="preserve"> </w:t>
      </w:r>
      <w:r>
        <w:t>Animais (Ovelhas)</w:t>
      </w:r>
      <w:r>
        <w:t>.</w:t>
      </w:r>
      <w:r/>
      <w:r/>
    </w:p>
    <w:p>
      <w:r/>
    </w:p>
    <w:p>
      <w:pPr>
        <w:pStyle w:val="Heading2"/>
      </w:pPr>
      <w:r>
        <w:t>Cabra Montês</w:t>
      </w:r>
      <w:r/>
    </w:p>
    <w:p>
      <w:r/>
      <w:r>
        <w:t>É uma espécie de cabra selvagem, declarada cerimonialmente limpa na Lei (</w:t>
      </w:r>
      <w:hyperlink r:id="rId1463">
        <w:r>
          <w:rPr>
            <w:color w:val="0000EE"/>
            <w:u w:val="single"/>
          </w:rPr>
          <w:t>Dt 14.5</w:t>
        </w:r>
      </w:hyperlink>
      <w:r>
        <w:t xml:space="preserve">). </w:t>
      </w:r>
      <w:r>
        <w:rPr>
          <w:i/>
        </w:rPr>
        <w:t>Veja</w:t>
      </w:r>
      <w:r>
        <w:t xml:space="preserve"> </w:t>
      </w:r>
      <w:r>
        <w:t>Animais (Cabra)</w:t>
      </w:r>
      <w:r>
        <w:t>.</w:t>
      </w:r>
      <w:r/>
      <w:r/>
    </w:p>
    <w:p>
      <w:r/>
    </w:p>
    <w:p>
      <w:pPr>
        <w:pStyle w:val="Heading2"/>
      </w:pPr>
      <w:r>
        <w:t>Caça</w:t>
      </w:r>
      <w:r/>
    </w:p>
    <w:p>
      <w:r/>
      <w:r>
        <w:t xml:space="preserve">A prática de rastrear e perseguir animais para alimentação, produtos animais ou esporte é tão antiga quanto a humanidade. Nos tempos bíblicos, a caça era praticada em todo o mundo bíblico. </w:t>
      </w:r>
      <w:hyperlink r:id="rId3933">
        <w:r>
          <w:rPr>
            <w:color w:val="0000EE"/>
            <w:u w:val="single"/>
          </w:rPr>
          <w:t>Gênesis 10.9</w:t>
        </w:r>
      </w:hyperlink>
      <w:r>
        <w:t xml:space="preserve"> refere-se a um certo Ninrode que “Com a ajuda de Deus, o Senhor, ele se tornou um caçador famoso” (NTLH); isso ocorreu muito antes dos patriarcas. Na história humana mais antiga, a caça era um meio essencial de obter alimentos, roupas e ferramentas, e mesmo quando a civilização se desenvolveu, a caça fornecia alimentos suplementares para uma dieta agrícola.</w:t>
      </w:r>
    </w:p>
    <w:p>
      <w:r/>
      <w:r>
        <w:t>Nas terras ao redor de Israel, a caça está bem representada em pinturas e baixos-relevos. No antigo Egito, a caça tornou-se um esporte, e os egípcios frequentemente caçavam animais e pássaros com a ajuda de cães e gatos. Animais selvagens eram conduzidos por cães ou humanos para cercados ou em direção a fossos e armadilhas. Da mesma forma, na Mesopotâmia, a caça era amplamente praticada, como é evidente em muitos baixos-relevos que retratam veados e cervos capturados em redes. Na Assíria, animais selvagens, como leões, eram comumente caçados. Os baixos-relevos de Nínive fornecem muitas belas imagens da habilidade do caçador.</w:t>
      </w:r>
    </w:p>
    <w:p>
      <w:r/>
      <w:r>
        <w:t>A Palestina era uma terra onde a caça era praticada desde muito cedo. Isso é evidente a partir dos ossos de animais caçados encontrados na escavação de sítios antigos. Certamente, na Idade do Bronze Médio (c. 1800–1500 a.C.), que se aproxima da era patriarcal, a caça era amplamente praticada. A referência a Esaú como um caçador habilidoso (</w:t>
      </w:r>
      <w:hyperlink r:id="rId3934">
        <w:r>
          <w:rPr>
            <w:color w:val="0000EE"/>
            <w:u w:val="single"/>
          </w:rPr>
          <w:t>Gn 25.27</w:t>
        </w:r>
      </w:hyperlink>
      <w:r>
        <w:t>) seria típica de uma época em que tanto atividades agrícolas quanto de caça eram seguidas. O “Conto de Sinuhe” egípcio, do século 20 a.C., menciona a caça com cães.</w:t>
      </w:r>
    </w:p>
    <w:p>
      <w:r/>
      <w:r>
        <w:t xml:space="preserve">O texto da Bíblia oferece várias visões sobre os tipos de pássaros e animais que eram caçados. Listas de animais que eram "puros" são fornecidas em </w:t>
      </w:r>
      <w:hyperlink r:id="rId3935">
        <w:r>
          <w:rPr>
            <w:color w:val="0000EE"/>
            <w:u w:val="single"/>
          </w:rPr>
          <w:t>Deuteronômio 14.4–6</w:t>
        </w:r>
      </w:hyperlink>
      <w:r>
        <w:t xml:space="preserve">. Uma variedade interessante de animais estava disponível para o povo de Israel; muitos eram domésticos, mas havia uma variedade de animais selvagens para testar a engenhosidade do caçador: a cabra, a lebre, a gazela, o corço (cf. </w:t>
      </w:r>
      <w:hyperlink r:id="rId1583">
        <w:r>
          <w:rPr>
            <w:color w:val="0000EE"/>
            <w:u w:val="single"/>
          </w:rPr>
          <w:t>1Reis 4.23</w:t>
        </w:r>
      </w:hyperlink>
      <w:r>
        <w:t>), a cabra selvagem, o íbex, o antílope e a ovelha montanhesa. Em todos os casos, o sangue do animal tinha que ser derramado. Havia um provérbio corrente em Israel sobre um homem preguiçoso que não pegava nenhuma presa — ou se pegava, não a cozinhava (</w:t>
      </w:r>
      <w:hyperlink r:id="rId3936">
        <w:r>
          <w:rPr>
            <w:color w:val="0000EE"/>
            <w:u w:val="single"/>
          </w:rPr>
          <w:t>Pv 12.27</w:t>
        </w:r>
      </w:hyperlink>
      <w:r>
        <w:t>).</w:t>
      </w:r>
    </w:p>
    <w:p>
      <w:r/>
      <w:r>
        <w:t>Algumas passagens no AT registram a matança de animais em autodefesa (</w:t>
      </w:r>
      <w:hyperlink r:id="rId3937">
        <w:r>
          <w:rPr>
            <w:color w:val="0000EE"/>
            <w:u w:val="single"/>
          </w:rPr>
          <w:t>Jz 14.6</w:t>
        </w:r>
      </w:hyperlink>
      <w:r>
        <w:t xml:space="preserve">; </w:t>
      </w:r>
      <w:hyperlink r:id="rId1483">
        <w:r>
          <w:rPr>
            <w:color w:val="0000EE"/>
            <w:u w:val="single"/>
          </w:rPr>
          <w:t>1Sm 17.34–37</w:t>
        </w:r>
      </w:hyperlink>
      <w:r>
        <w:t xml:space="preserve">; </w:t>
      </w:r>
      <w:hyperlink r:id="rId3938">
        <w:r>
          <w:rPr>
            <w:color w:val="0000EE"/>
            <w:u w:val="single"/>
          </w:rPr>
          <w:t>2Sm 23.20</w:t>
        </w:r>
      </w:hyperlink>
      <w:r>
        <w:t>). Os pastores normalmente carregavam um bastão e uma funda para proteger seus rebanhos de animais predadores (</w:t>
      </w:r>
      <w:hyperlink r:id="rId2504">
        <w:r>
          <w:rPr>
            <w:color w:val="0000EE"/>
            <w:u w:val="single"/>
          </w:rPr>
          <w:t>1Sm 17.40</w:t>
        </w:r>
      </w:hyperlink>
      <w:r>
        <w:t xml:space="preserve">; </w:t>
      </w:r>
      <w:hyperlink r:id="rId3939">
        <w:r>
          <w:rPr>
            <w:color w:val="0000EE"/>
            <w:u w:val="single"/>
          </w:rPr>
          <w:t>Sl 23.4</w:t>
        </w:r>
      </w:hyperlink>
      <w:r>
        <w:t>).</w:t>
      </w:r>
    </w:p>
    <w:p>
      <w:r/>
      <w:r>
        <w:t xml:space="preserve">Uma variedade de pássaros foi caçada, como, por exemplo, a perdiz mencionada em </w:t>
      </w:r>
      <w:hyperlink r:id="rId1660">
        <w:r>
          <w:rPr>
            <w:color w:val="0000EE"/>
            <w:u w:val="single"/>
          </w:rPr>
          <w:t>1 Samuel 26.20</w:t>
        </w:r>
      </w:hyperlink>
      <w:r>
        <w:t xml:space="preserve"> (cf. </w:t>
      </w:r>
      <w:hyperlink r:id="rId3940">
        <w:r>
          <w:rPr>
            <w:color w:val="0000EE"/>
            <w:u w:val="single"/>
          </w:rPr>
          <w:t>Dt 14.11–18</w:t>
        </w:r>
      </w:hyperlink>
      <w:r>
        <w:t>). Há referências também a alguns dos dispositivos usados na caça: arcos e flechas (</w:t>
      </w:r>
      <w:hyperlink r:id="rId2546">
        <w:r>
          <w:rPr>
            <w:color w:val="0000EE"/>
            <w:u w:val="single"/>
          </w:rPr>
          <w:t>Gn 27.3</w:t>
        </w:r>
      </w:hyperlink>
      <w:r>
        <w:t>), clavas (</w:t>
      </w:r>
      <w:hyperlink r:id="rId3941">
        <w:r>
          <w:rPr>
            <w:color w:val="0000EE"/>
            <w:u w:val="single"/>
          </w:rPr>
          <w:t>Jó 41.29</w:t>
        </w:r>
      </w:hyperlink>
      <w:r>
        <w:t>), pedras de funda (</w:t>
      </w:r>
      <w:hyperlink r:id="rId2504">
        <w:r>
          <w:rPr>
            <w:color w:val="0000EE"/>
            <w:u w:val="single"/>
          </w:rPr>
          <w:t>1Sm 17.40</w:t>
        </w:r>
      </w:hyperlink>
      <w:r>
        <w:t>), redes (</w:t>
      </w:r>
      <w:hyperlink r:id="rId3942">
        <w:r>
          <w:rPr>
            <w:color w:val="0000EE"/>
            <w:u w:val="single"/>
          </w:rPr>
          <w:t>Jó 19.6</w:t>
        </w:r>
      </w:hyperlink>
      <w:r>
        <w:t>), armadilhas para pássaros (</w:t>
      </w:r>
      <w:hyperlink r:id="rId3943">
        <w:r>
          <w:rPr>
            <w:color w:val="0000EE"/>
            <w:u w:val="single"/>
          </w:rPr>
          <w:t>Sl 91.3</w:t>
        </w:r>
      </w:hyperlink>
      <w:r>
        <w:t>), fossas camufladas (</w:t>
      </w:r>
      <w:hyperlink r:id="rId3944">
        <w:r>
          <w:rPr>
            <w:color w:val="0000EE"/>
            <w:u w:val="single"/>
          </w:rPr>
          <w:t>Sl 7.15</w:t>
        </w:r>
      </w:hyperlink>
      <w:r>
        <w:t xml:space="preserve">; </w:t>
      </w:r>
      <w:hyperlink r:id="rId3945">
        <w:r>
          <w:rPr>
            <w:color w:val="0000EE"/>
            <w:u w:val="single"/>
          </w:rPr>
          <w:t>35.7</w:t>
        </w:r>
      </w:hyperlink>
      <w:r>
        <w:t xml:space="preserve">; </w:t>
      </w:r>
      <w:hyperlink r:id="rId3946">
        <w:r>
          <w:rPr>
            <w:color w:val="0000EE"/>
            <w:u w:val="single"/>
          </w:rPr>
          <w:t>Pv 22.14</w:t>
        </w:r>
      </w:hyperlink>
      <w:r>
        <w:t xml:space="preserve">; </w:t>
      </w:r>
      <w:hyperlink r:id="rId3947">
        <w:r>
          <w:rPr>
            <w:color w:val="0000EE"/>
            <w:u w:val="single"/>
          </w:rPr>
          <w:t>26.27</w:t>
        </w:r>
      </w:hyperlink>
      <w:r>
        <w:t xml:space="preserve">; </w:t>
      </w:r>
      <w:hyperlink r:id="rId3948">
        <w:r>
          <w:rPr>
            <w:color w:val="0000EE"/>
            <w:u w:val="single"/>
          </w:rPr>
          <w:t>Is 24.17–18</w:t>
        </w:r>
      </w:hyperlink>
      <w:r>
        <w:t>). Das armadilhas mencionadas na Bíblia, uma parece ter sido um dispositivo automático (</w:t>
      </w:r>
      <w:hyperlink r:id="rId3949">
        <w:r>
          <w:rPr>
            <w:color w:val="0000EE"/>
            <w:u w:val="single"/>
          </w:rPr>
          <w:t>Am 3.5</w:t>
        </w:r>
      </w:hyperlink>
      <w:r>
        <w:t xml:space="preserve">) que saltava do chão quando um animal o tocava (cf. </w:t>
      </w:r>
      <w:hyperlink r:id="rId3950">
        <w:r>
          <w:rPr>
            <w:color w:val="0000EE"/>
            <w:u w:val="single"/>
          </w:rPr>
          <w:t>Sl 69.22</w:t>
        </w:r>
      </w:hyperlink>
      <w:r>
        <w:t xml:space="preserve">; </w:t>
      </w:r>
      <w:hyperlink r:id="rId3951">
        <w:r>
          <w:rPr>
            <w:color w:val="0000EE"/>
            <w:u w:val="single"/>
          </w:rPr>
          <w:t>Os 9.8</w:t>
        </w:r>
      </w:hyperlink>
      <w:r>
        <w:t>) ou quando o caçador puxava uma corda (</w:t>
      </w:r>
      <w:hyperlink r:id="rId3952">
        <w:r>
          <w:rPr>
            <w:color w:val="0000EE"/>
            <w:u w:val="single"/>
          </w:rPr>
          <w:t>Sl 140.5</w:t>
        </w:r>
      </w:hyperlink>
      <w:r>
        <w:t xml:space="preserve">; </w:t>
      </w:r>
      <w:hyperlink r:id="rId3953">
        <w:r>
          <w:rPr>
            <w:color w:val="0000EE"/>
            <w:u w:val="single"/>
          </w:rPr>
          <w:t>Jr 5.26</w:t>
        </w:r>
      </w:hyperlink>
      <w:r>
        <w:t xml:space="preserve">). O método de conduzir animais para uma armadilha parece ser referido em </w:t>
      </w:r>
      <w:hyperlink r:id="rId3954">
        <w:r>
          <w:rPr>
            <w:color w:val="0000EE"/>
            <w:u w:val="single"/>
          </w:rPr>
          <w:t>Jeremias 16.16</w:t>
        </w:r>
      </w:hyperlink>
      <w:r>
        <w:t xml:space="preserve"> e </w:t>
      </w:r>
      <w:hyperlink r:id="rId3955">
        <w:r>
          <w:rPr>
            <w:color w:val="0000EE"/>
            <w:u w:val="single"/>
          </w:rPr>
          <w:t>Ezequiel 19.8</w:t>
        </w:r>
      </w:hyperlink>
      <w:r>
        <w:t>.</w:t>
      </w:r>
      <w:r/>
      <w:r/>
    </w:p>
    <w:p>
      <w:r/>
    </w:p>
    <w:p>
      <w:pPr>
        <w:pStyle w:val="Heading2"/>
      </w:pPr>
      <w:r>
        <w:t>Caçador de Aves</w:t>
      </w:r>
      <w:r/>
    </w:p>
    <w:p>
      <w:r/>
      <w:r>
        <w:t>Aquele que captura ou atira em pássaros selvagens. A captura de pássaros para animais de estimação, comida e sacrifícios era a atividade do caçador de aves. Isso era realizado usando arco e flecha, funda ou rede (</w:t>
      </w:r>
      <w:hyperlink r:id="rId3956">
        <w:r>
          <w:rPr>
            <w:color w:val="0000EE"/>
            <w:u w:val="single"/>
          </w:rPr>
          <w:t>Pv 1.17</w:t>
        </w:r>
      </w:hyperlink>
      <w:r>
        <w:t xml:space="preserve">; </w:t>
      </w:r>
      <w:hyperlink r:id="rId3957">
        <w:r>
          <w:rPr>
            <w:color w:val="0000EE"/>
            <w:u w:val="single"/>
          </w:rPr>
          <w:t>Ez 12.13</w:t>
        </w:r>
      </w:hyperlink>
      <w:r>
        <w:t xml:space="preserve">; </w:t>
      </w:r>
      <w:hyperlink r:id="rId3958">
        <w:r>
          <w:rPr>
            <w:color w:val="0000EE"/>
            <w:u w:val="single"/>
          </w:rPr>
          <w:t>17.20</w:t>
        </w:r>
      </w:hyperlink>
      <w:r>
        <w:t xml:space="preserve">; </w:t>
      </w:r>
      <w:hyperlink r:id="rId3959">
        <w:r>
          <w:rPr>
            <w:color w:val="0000EE"/>
            <w:u w:val="single"/>
          </w:rPr>
          <w:t>Os 7.12</w:t>
        </w:r>
      </w:hyperlink>
      <w:r>
        <w:t xml:space="preserve">; </w:t>
      </w:r>
      <w:hyperlink r:id="rId3951">
        <w:r>
          <w:rPr>
            <w:color w:val="0000EE"/>
            <w:u w:val="single"/>
          </w:rPr>
          <w:t>9.8</w:t>
        </w:r>
      </w:hyperlink>
      <w:r>
        <w:t>). Outros métodos incluíam o uso de visgo, uma substância pegajosa à qual os pássaros aderem, e um bastão de arremesso que quebrava as pernas dos pássaros. Os caçadores de aves ficavam à espera perto de sua armadilha, colocando os pássaros capturados em um cesto (</w:t>
      </w:r>
      <w:hyperlink r:id="rId3960">
        <w:r>
          <w:rPr>
            <w:color w:val="0000EE"/>
            <w:u w:val="single"/>
          </w:rPr>
          <w:t>Jr 5.26–27</w:t>
        </w:r>
      </w:hyperlink>
      <w:r>
        <w:t>). O termo "caçador de aves" também aparece como uma metáfora para homens perversos que armam ciladas para outros homens (</w:t>
      </w:r>
      <w:hyperlink r:id="rId3943">
        <w:r>
          <w:rPr>
            <w:color w:val="0000EE"/>
            <w:u w:val="single"/>
          </w:rPr>
          <w:t>Sl 91.3</w:t>
        </w:r>
      </w:hyperlink>
      <w:r>
        <w:t xml:space="preserve">; </w:t>
      </w:r>
      <w:hyperlink r:id="rId3961">
        <w:r>
          <w:rPr>
            <w:color w:val="0000EE"/>
            <w:u w:val="single"/>
          </w:rPr>
          <w:t>124.7</w:t>
        </w:r>
      </w:hyperlink>
      <w:r>
        <w:t xml:space="preserve">; </w:t>
      </w:r>
      <w:hyperlink r:id="rId3953">
        <w:r>
          <w:rPr>
            <w:color w:val="0000EE"/>
            <w:u w:val="single"/>
          </w:rPr>
          <w:t>Jr 5.26</w:t>
        </w:r>
      </w:hyperlink>
      <w:r>
        <w:t xml:space="preserve">; </w:t>
      </w:r>
      <w:hyperlink r:id="rId3951">
        <w:r>
          <w:rPr>
            <w:color w:val="0000EE"/>
            <w:u w:val="single"/>
          </w:rPr>
          <w:t>Os 9.8</w:t>
        </w:r>
      </w:hyperlink>
      <w:r>
        <w:t>).</w:t>
      </w:r>
    </w:p>
    <w:p>
      <w:r/>
      <w:r>
        <w:rPr>
          <w:i/>
        </w:rPr>
        <w:t>Consulte também</w:t>
      </w:r>
      <w:r>
        <w:t xml:space="preserve"> </w:t>
      </w:r>
      <w:r>
        <w:t>Caça</w:t>
      </w:r>
      <w:r>
        <w:t>.</w:t>
      </w:r>
      <w:r/>
      <w:r/>
    </w:p>
    <w:p>
      <w:r/>
    </w:p>
    <w:p>
      <w:pPr>
        <w:pStyle w:val="Heading2"/>
      </w:pPr>
      <w:r>
        <w:t>Caco de cerâmica</w:t>
      </w:r>
      <w:r/>
    </w:p>
    <w:p>
      <w:r/>
      <w:r>
        <w:t xml:space="preserve">Pedaço de cerâmica quebrada usado nos tempos do Antigo Testamento para carregar brasas ou para retirar água. Cacos de cerâmica também eram usados como tampas para recipientes de armazenamento ou chaleiras de cozinha, como meio de comunicação escrita, ou para adicionar areia a compostos impermeabilizantes. A importância simbólica dos cacos é clara em </w:t>
      </w:r>
      <w:hyperlink r:id="rId3962">
        <w:r>
          <w:rPr>
            <w:color w:val="0000EE"/>
            <w:u w:val="single"/>
          </w:rPr>
          <w:t>Salmo 22.15</w:t>
        </w:r>
      </w:hyperlink>
      <w:r>
        <w:t xml:space="preserve">, </w:t>
      </w:r>
      <w:hyperlink r:id="rId3963">
        <w:r>
          <w:rPr>
            <w:color w:val="0000EE"/>
            <w:u w:val="single"/>
          </w:rPr>
          <w:t>Isaías 30.14</w:t>
        </w:r>
      </w:hyperlink>
      <w:r>
        <w:t xml:space="preserve">, </w:t>
      </w:r>
      <w:hyperlink r:id="rId3964">
        <w:r>
          <w:rPr>
            <w:color w:val="0000EE"/>
            <w:u w:val="single"/>
          </w:rPr>
          <w:t>45.9</w:t>
        </w:r>
      </w:hyperlink>
      <w:r>
        <w:t xml:space="preserve">, e </w:t>
      </w:r>
      <w:hyperlink r:id="rId3965">
        <w:r>
          <w:rPr>
            <w:color w:val="0000EE"/>
            <w:u w:val="single"/>
          </w:rPr>
          <w:t>Ezequiel 23.34</w:t>
        </w:r>
      </w:hyperlink>
      <w:r>
        <w:t>.</w:t>
      </w:r>
    </w:p>
    <w:p>
      <w:r/>
      <w:r>
        <w:rPr>
          <w:i/>
        </w:rPr>
        <w:t>Veja também</w:t>
      </w:r>
      <w:r>
        <w:t xml:space="preserve"> </w:t>
      </w:r>
      <w:r>
        <w:t>Cerâmica</w:t>
      </w:r>
      <w:r>
        <w:t xml:space="preserve">; </w:t>
      </w:r>
      <w:r>
        <w:t>Escrita (Cacos de Cerâmica)</w:t>
      </w:r>
      <w:r>
        <w:t>.</w:t>
      </w:r>
      <w:r/>
      <w:r/>
    </w:p>
    <w:p>
      <w:r/>
    </w:p>
    <w:p>
      <w:pPr>
        <w:pStyle w:val="Heading2"/>
      </w:pPr>
      <w:r>
        <w:t>Cades Meribá</w:t>
      </w:r>
      <w:r/>
    </w:p>
    <w:p>
      <w:r/>
      <w:r>
        <w:t>Nome alternativo para Cades-Barneia (</w:t>
      </w:r>
      <w:hyperlink r:id="rId3966">
        <w:r>
          <w:rPr>
            <w:color w:val="0000EE"/>
            <w:u w:val="single"/>
          </w:rPr>
          <w:t>Dt 32.51</w:t>
        </w:r>
      </w:hyperlink>
      <w:r>
        <w:t xml:space="preserve">; </w:t>
      </w:r>
      <w:hyperlink r:id="rId3967">
        <w:r>
          <w:rPr>
            <w:color w:val="0000EE"/>
            <w:u w:val="single"/>
          </w:rPr>
          <w:t>Ez 47.19</w:t>
        </w:r>
      </w:hyperlink>
      <w:r>
        <w:t xml:space="preserve">; </w:t>
      </w:r>
      <w:hyperlink r:id="rId3968">
        <w:r>
          <w:rPr>
            <w:color w:val="0000EE"/>
            <w:u w:val="single"/>
          </w:rPr>
          <w:t>48.28</w:t>
        </w:r>
      </w:hyperlink>
      <w:r>
        <w:t xml:space="preserve">), um local de acampamento prolongado pelos israelitas durante as peregrinações no deserto. </w:t>
      </w:r>
      <w:r>
        <w:rPr>
          <w:i/>
        </w:rPr>
        <w:t>Consulte</w:t>
      </w:r>
      <w:r>
        <w:t xml:space="preserve"> </w:t>
      </w:r>
      <w:r>
        <w:t>Cades, Cades-Barneia</w:t>
      </w:r>
      <w:r>
        <w:t>.</w:t>
      </w:r>
      <w:r/>
      <w:r/>
    </w:p>
    <w:p>
      <w:r/>
    </w:p>
    <w:p>
      <w:pPr>
        <w:pStyle w:val="Heading2"/>
      </w:pPr>
      <w:r>
        <w:t>Cades, Cades-Barneia</w:t>
      </w:r>
      <w:r/>
    </w:p>
    <w:p>
      <w:r/>
      <w:r>
        <w:t>Lar dos israelitas errantes por quase 38 anos. Na vasta área do Sinai, há dois principais oásis: no sul está Wadi Feiran, perto da montanha de Moisés (Monte Sinai ou Horebe); no norte está Cades, ou Cades-Barneia. O primeiro foi o local onde a lei foi dada; o segundo, o principal acampamento das 12 tribos durante seu Êxodo do Egito (</w:t>
      </w:r>
      <w:hyperlink r:id="rId3969">
        <w:r>
          <w:rPr>
            <w:color w:val="0000EE"/>
            <w:u w:val="single"/>
          </w:rPr>
          <w:t>Dt 1.46</w:t>
        </w:r>
      </w:hyperlink>
      <w:r>
        <w:t>).</w:t>
      </w:r>
    </w:p>
    <w:p>
      <w:r/>
      <w:r>
        <w:t>Cades-Barneia (</w:t>
      </w:r>
      <w:hyperlink r:id="rId3970">
        <w:r>
          <w:rPr>
            <w:color w:val="0000EE"/>
            <w:u w:val="single"/>
          </w:rPr>
          <w:t>Gn 14.7</w:t>
        </w:r>
      </w:hyperlink>
      <w:r>
        <w:t>, “En-Mispate”) foi invadida por Quedorlaomer, rei de Elão, durante o tempo de Abraão. Nesta área, Agar foi expulsa da tenda de Sara, sua senhora (</w:t>
      </w:r>
      <w:hyperlink r:id="rId3438">
        <w:r>
          <w:rPr>
            <w:color w:val="0000EE"/>
            <w:u w:val="single"/>
          </w:rPr>
          <w:t>16.14</w:t>
        </w:r>
      </w:hyperlink>
      <w:r>
        <w:t>), e aqui Miriã morreu e foi sepultada (</w:t>
      </w:r>
      <w:hyperlink r:id="rId3971">
        <w:r>
          <w:rPr>
            <w:color w:val="0000EE"/>
            <w:u w:val="single"/>
          </w:rPr>
          <w:t>Nm 20.1</w:t>
        </w:r>
      </w:hyperlink>
      <w:r>
        <w:t>). A grande contenda sobre a água ocorreu aqui, dando origem ao nome Meribá ou Meribate-Cades (</w:t>
      </w:r>
      <w:hyperlink r:id="rId3972">
        <w:r>
          <w:rPr>
            <w:color w:val="0000EE"/>
            <w:u w:val="single"/>
          </w:rPr>
          <w:t>Nm 20.2–24</w:t>
        </w:r>
      </w:hyperlink>
      <w:r>
        <w:t xml:space="preserve">; </w:t>
      </w:r>
      <w:hyperlink r:id="rId3966">
        <w:r>
          <w:rPr>
            <w:color w:val="0000EE"/>
            <w:u w:val="single"/>
          </w:rPr>
          <w:t>Dt 32.51</w:t>
        </w:r>
      </w:hyperlink>
      <w:r>
        <w:t xml:space="preserve">; </w:t>
      </w:r>
      <w:hyperlink r:id="rId3967">
        <w:r>
          <w:rPr>
            <w:color w:val="0000EE"/>
            <w:u w:val="single"/>
          </w:rPr>
          <w:t>Ez 47.19</w:t>
        </w:r>
      </w:hyperlink>
      <w:r>
        <w:t xml:space="preserve">; </w:t>
      </w:r>
      <w:hyperlink r:id="rId3968">
        <w:r>
          <w:rPr>
            <w:color w:val="0000EE"/>
            <w:u w:val="single"/>
          </w:rPr>
          <w:t>48.28</w:t>
        </w:r>
      </w:hyperlink>
      <w:r>
        <w:t>). Este também foi o cenário da rebelião de Corá contra a liderança de Moisés e Arão (</w:t>
      </w:r>
      <w:hyperlink r:id="rId3973">
        <w:r>
          <w:rPr>
            <w:color w:val="0000EE"/>
            <w:u w:val="single"/>
          </w:rPr>
          <w:t>Nm 16–17</w:t>
        </w:r>
      </w:hyperlink>
      <w:r>
        <w:t>). Esta área permaneceria por muito tempo na memória das tribos israelitas como o lugar de sua incredulidade após o relatório dos 10 espiões e um atraso de 38 anos antes de ocuparem a Terra Prometida (</w:t>
      </w:r>
      <w:hyperlink r:id="rId3974">
        <w:r>
          <w:rPr>
            <w:color w:val="0000EE"/>
            <w:u w:val="single"/>
          </w:rPr>
          <w:t>Sl 95.8–11</w:t>
        </w:r>
      </w:hyperlink>
      <w:r>
        <w:t xml:space="preserve">; cf. </w:t>
      </w:r>
      <w:hyperlink r:id="rId3975">
        <w:r>
          <w:rPr>
            <w:color w:val="0000EE"/>
            <w:u w:val="single"/>
          </w:rPr>
          <w:t>Hb 3.7–19</w:t>
        </w:r>
      </w:hyperlink>
      <w:r>
        <w:t>).</w:t>
      </w:r>
    </w:p>
    <w:p>
      <w:r/>
      <w:r>
        <w:t>Devido à água, pastagens e terras agrícolas, além de sua proximidade com Canaã, os israelitas consideraram esta área o melhor lugar para passar a maior parte do tempo antes de entrar na Terra Prometida.</w:t>
      </w:r>
    </w:p>
    <w:p>
      <w:r/>
      <w:r>
        <w:rPr>
          <w:i/>
        </w:rPr>
        <w:t>Veja também</w:t>
      </w:r>
      <w:r>
        <w:t xml:space="preserve"> </w:t>
      </w:r>
      <w:r>
        <w:t>Meribá #2</w:t>
      </w:r>
      <w:r>
        <w:t xml:space="preserve">; </w:t>
      </w:r>
      <w:r>
        <w:t>Peregrinações no deserto</w:t>
      </w:r>
      <w:r>
        <w:t>.</w:t>
      </w:r>
      <w:r/>
      <w:r/>
    </w:p>
    <w:p>
      <w:r/>
    </w:p>
    <w:p>
      <w:pPr>
        <w:pStyle w:val="Heading2"/>
      </w:pPr>
      <w:r>
        <w:t>Cadmoneus</w:t>
      </w:r>
      <w:r/>
    </w:p>
    <w:p>
      <w:r/>
      <w:r>
        <w:t>Uma tribo semítica cuja terra Deus prometeu aos descendentes de Abraão (</w:t>
      </w:r>
      <w:hyperlink r:id="rId3976">
        <w:r>
          <w:rPr>
            <w:color w:val="0000EE"/>
            <w:u w:val="single"/>
          </w:rPr>
          <w:t>Gn 15.19</w:t>
        </w:r>
      </w:hyperlink>
      <w:r>
        <w:t xml:space="preserve">). Os povos semíticos são grupos antigos do Oriente Médio e Norte da África, conhecidos por suas línguas compartilhadas (como hebraico, aramaico ou árabe) e tradições culturais. O nome "cadmoneus" significa "oriental" em hebraico. Isso pode ser o motivo pelo qual a Bíblia às vezes fala sobre a "terra do Oriente" (e.g. em </w:t>
      </w:r>
      <w:hyperlink r:id="rId3977">
        <w:r>
          <w:rPr>
            <w:color w:val="0000EE"/>
            <w:u w:val="single"/>
          </w:rPr>
          <w:t>Gn 25.6</w:t>
        </w:r>
      </w:hyperlink>
      <w:r>
        <w:t xml:space="preserve">; </w:t>
      </w:r>
      <w:hyperlink r:id="rId3978">
        <w:r>
          <w:rPr>
            <w:color w:val="0000EE"/>
            <w:u w:val="single"/>
          </w:rPr>
          <w:t>Jz 8.10</w:t>
        </w:r>
      </w:hyperlink>
      <w:r>
        <w:t xml:space="preserve">; </w:t>
      </w:r>
      <w:hyperlink r:id="rId3979">
        <w:r>
          <w:rPr>
            <w:color w:val="0000EE"/>
            <w:u w:val="single"/>
          </w:rPr>
          <w:t>1Rs 4.30</w:t>
        </w:r>
      </w:hyperlink>
      <w:r>
        <w:t xml:space="preserve">; </w:t>
      </w:r>
      <w:hyperlink r:id="rId1505">
        <w:r>
          <w:rPr>
            <w:color w:val="0000EE"/>
            <w:u w:val="single"/>
          </w:rPr>
          <w:t>Jó 1.3</w:t>
        </w:r>
      </w:hyperlink>
      <w:r>
        <w:t>).</w:t>
      </w:r>
      <w:r/>
      <w:r/>
    </w:p>
    <w:p>
      <w:r/>
    </w:p>
    <w:p>
      <w:pPr>
        <w:pStyle w:val="Heading2"/>
      </w:pPr>
      <w:r>
        <w:t>Cafarnaum</w:t>
      </w:r>
      <w:r/>
    </w:p>
    <w:p>
      <w:r/>
      <w:r>
        <w:t>Cidade da Galileia, mencionada apenas nos Evangelhos, que era a sede de grande parte do ministério de Jesus. Ficava no lado noroeste do Mar da Galileia (ou Lago de Genesaré). Seu nome significa “aldeia de Naum”, mas é impossível dizer quem era este Naum, se era o escritor do AT ou outro. Mateus nos dá as seguintes informações: Cafarnaum ficava localizada perto do Mar da Galileia, no território de Zebulom e Naftali. (</w:t>
      </w:r>
      <w:hyperlink r:id="rId3980">
        <w:r>
          <w:rPr>
            <w:color w:val="0000EE"/>
            <w:u w:val="single"/>
          </w:rPr>
          <w:t>Mt 4.13</w:t>
        </w:r>
      </w:hyperlink>
      <w:r>
        <w:t>). A costa oeste do lago foi colonizada pela tribo de Naftali. Dois dos personagens descritos como estando em Cafarnaum ajudam a identificar sua localização como sendo perto da fronteira do Jordão e da fronteira política. A história do centurião (</w:t>
      </w:r>
      <w:hyperlink r:id="rId3981">
        <w:r>
          <w:rPr>
            <w:color w:val="0000EE"/>
            <w:u w:val="single"/>
          </w:rPr>
          <w:t>Mt 8.5</w:t>
        </w:r>
      </w:hyperlink>
      <w:r>
        <w:t xml:space="preserve">; </w:t>
      </w:r>
      <w:hyperlink r:id="rId3982">
        <w:r>
          <w:rPr>
            <w:color w:val="0000EE"/>
            <w:u w:val="single"/>
          </w:rPr>
          <w:t>Lc 7.2</w:t>
        </w:r>
      </w:hyperlink>
      <w:r>
        <w:t>) aponta para a pequena guarnição de cerca de 100 homens encontrados em uma cidade de fronteira. A história do chamado de Levi para deixar o posto alfandegário controlando a tributação da área reflete no mesmo caráter de fronteira da cidade (</w:t>
      </w:r>
      <w:hyperlink r:id="rId753">
        <w:r>
          <w:rPr>
            <w:color w:val="0000EE"/>
            <w:u w:val="single"/>
          </w:rPr>
          <w:t>Mt 9.9</w:t>
        </w:r>
      </w:hyperlink>
      <w:r>
        <w:t xml:space="preserve">; </w:t>
      </w:r>
      <w:hyperlink r:id="rId752">
        <w:r>
          <w:rPr>
            <w:color w:val="0000EE"/>
            <w:u w:val="single"/>
          </w:rPr>
          <w:t>Mc 2.14</w:t>
        </w:r>
      </w:hyperlink>
      <w:r>
        <w:t xml:space="preserve">; </w:t>
      </w:r>
      <w:hyperlink r:id="rId3983">
        <w:r>
          <w:rPr>
            <w:color w:val="0000EE"/>
            <w:u w:val="single"/>
          </w:rPr>
          <w:t>Lc 5.27</w:t>
        </w:r>
      </w:hyperlink>
      <w:r>
        <w:t>).</w:t>
      </w:r>
    </w:p>
    <w:p>
      <w:r/>
      <w:r>
        <w:t>As evidências judaicas argumentavam para Tell-Hum como o local da antiga Cafarnaum. O grego Cafarnaum é traduzido pelo hebraico Kaphar nahum em Midrash Kohelet 1.8 e 7.26 (ca. 110 d.C.), provando que Cafarnaum ainda existia no segundo século. Não há mais menção até 1160, quando Benjamim de Tudela se refere a “Cafarnaum que é Kaphar Nahum.” Os franciscanos, que adquiriram o local, encontraram um número considerável de moedas daquele período em Tell-Hum, e as ruínas da sinagoga lá podem muito bem datar do terceiro século d.C. Escavações recentes de Tell-Hum tem revelado que é inquestionavelmente o local da antiga Cafarnaum. Durante as escavações, uma casa privada foi descoberta sob um lugar judaico-cristão do quarto século. Já na primeira metade do segundo século, teria servido como um salão de reuniões para os primeiros cristãos. As inscrições e os relatórios dos primeiros viajantes cristãos tornam provável que fosse a casa de Pedro.</w:t>
      </w:r>
    </w:p>
    <w:p>
      <w:r/>
      <w:r>
        <w:t>Cafarnaum era um povoado importante, com uma guarnição romana, adotada por Jesus como sua própria cidade após sua rejeição por Nazaré (</w:t>
      </w:r>
      <w:hyperlink r:id="rId3984">
        <w:r>
          <w:rPr>
            <w:color w:val="0000EE"/>
            <w:u w:val="single"/>
          </w:rPr>
          <w:t>Mt 9.1</w:t>
        </w:r>
      </w:hyperlink>
      <w:r>
        <w:t>). Aqui, ele estava em casa (</w:t>
      </w:r>
      <w:hyperlink r:id="rId3985">
        <w:r>
          <w:rPr>
            <w:color w:val="0000EE"/>
            <w:u w:val="single"/>
          </w:rPr>
          <w:t>Mc 2.1</w:t>
        </w:r>
      </w:hyperlink>
      <w:r>
        <w:t>) e realizou muitos milagres (</w:t>
      </w:r>
      <w:hyperlink r:id="rId3986">
        <w:r>
          <w:rPr>
            <w:color w:val="0000EE"/>
            <w:u w:val="single"/>
          </w:rPr>
          <w:t>Mc 1.34</w:t>
        </w:r>
      </w:hyperlink>
      <w:r>
        <w:t>): a cura do servo do centurião (</w:t>
      </w:r>
      <w:hyperlink r:id="rId3981">
        <w:r>
          <w:rPr>
            <w:color w:val="0000EE"/>
            <w:u w:val="single"/>
          </w:rPr>
          <w:t>Mt 8.5</w:t>
        </w:r>
      </w:hyperlink>
      <w:r>
        <w:t>); a cura da sogra de Pedro (</w:t>
      </w:r>
      <w:hyperlink r:id="rId3987">
        <w:r>
          <w:rPr>
            <w:color w:val="0000EE"/>
            <w:u w:val="single"/>
          </w:rPr>
          <w:t>Mc 1.31</w:t>
        </w:r>
      </w:hyperlink>
      <w:r>
        <w:t>); e o exorcismo do espírito imundo (</w:t>
      </w:r>
      <w:hyperlink r:id="rId3988">
        <w:r>
          <w:rPr>
            <w:color w:val="0000EE"/>
            <w:u w:val="single"/>
          </w:rPr>
          <w:t>Mc 1.23</w:t>
        </w:r>
      </w:hyperlink>
      <w:r>
        <w:t xml:space="preserve">; </w:t>
      </w:r>
      <w:hyperlink r:id="rId3989">
        <w:r>
          <w:rPr>
            <w:color w:val="0000EE"/>
            <w:u w:val="single"/>
          </w:rPr>
          <w:t>Lc 4.33</w:t>
        </w:r>
      </w:hyperlink>
      <w:r>
        <w:t>). Assim altamente favorecida pelo ministério de Jesus, também houve uma pesada maldição imposta à cidade por causa de seu impenitente: “E você, Cafarnaum, será exaltado ao céu? Sereis trazidos para o Hades” (</w:t>
      </w:r>
      <w:hyperlink r:id="rId3990">
        <w:r>
          <w:rPr>
            <w:color w:val="0000EE"/>
            <w:u w:val="single"/>
          </w:rPr>
          <w:t>Mt 11.23</w:t>
        </w:r>
      </w:hyperlink>
      <w:r>
        <w:t>, ARA).</w:t>
      </w:r>
      <w:r/>
      <w:r/>
    </w:p>
    <w:p>
      <w:r/>
    </w:p>
    <w:p>
      <w:pPr>
        <w:pStyle w:val="Heading2"/>
      </w:pPr>
      <w:r>
        <w:t>Caftor, Caftorim, Caftoritas</w:t>
      </w:r>
      <w:r/>
    </w:p>
    <w:p>
      <w:r/>
      <w:r>
        <w:t>Nome do lugar e o nome das pessoas associadas ao lugar. Os caftoritas entre os povos hamíticos na “tabela das nações” são listados como os “filhos” do Egito (</w:t>
      </w:r>
      <w:hyperlink r:id="rId3991">
        <w:r>
          <w:rPr>
            <w:color w:val="0000EE"/>
            <w:u w:val="single"/>
          </w:rPr>
          <w:t>Gn 10.13–14</w:t>
        </w:r>
      </w:hyperlink>
      <w:r>
        <w:t xml:space="preserve">; </w:t>
      </w:r>
      <w:hyperlink r:id="rId3992">
        <w:r>
          <w:rPr>
            <w:color w:val="0000EE"/>
            <w:u w:val="single"/>
          </w:rPr>
          <w:t>1Cr 1.12</w:t>
        </w:r>
      </w:hyperlink>
      <w:r>
        <w:t>, NVI “caftoritas”). O texto apresenta os casluítas como o povo ancestral dos filisteus. No entanto, os profetas referiram-se aos filisteus como colonos de Caftor (</w:t>
      </w:r>
      <w:hyperlink r:id="rId3993">
        <w:r>
          <w:rPr>
            <w:color w:val="0000EE"/>
            <w:u w:val="single"/>
          </w:rPr>
          <w:t>Jr 47.4</w:t>
        </w:r>
      </w:hyperlink>
      <w:r>
        <w:t xml:space="preserve">; veja </w:t>
      </w:r>
      <w:hyperlink r:id="rId1278">
        <w:r>
          <w:rPr>
            <w:color w:val="0000EE"/>
            <w:u w:val="single"/>
          </w:rPr>
          <w:t>Am 9.7</w:t>
        </w:r>
      </w:hyperlink>
      <w:r>
        <w:t xml:space="preserve">). Isso tem sido a base para alguns tradutores transporem a cláusula de </w:t>
      </w:r>
      <w:hyperlink r:id="rId3994">
        <w:r>
          <w:rPr>
            <w:color w:val="0000EE"/>
            <w:u w:val="single"/>
          </w:rPr>
          <w:t>Gênesis 10.14</w:t>
        </w:r>
      </w:hyperlink>
      <w:r>
        <w:t xml:space="preserve"> e traduzirem “caftoritas, dos quais os filisteus descendiam”. Outros entendem que, embora os filisteus possam originalmente ter sido uma colônia casluíta, eles se estabeleceram em regiões que se tornaram conhecidas principalmente como aquelas dos caftoritas.</w:t>
      </w:r>
    </w:p>
    <w:p>
      <w:r/>
      <w:r>
        <w:t xml:space="preserve">Caftor é referido como </w:t>
      </w:r>
      <w:r>
        <w:rPr>
          <w:i/>
        </w:rPr>
        <w:t>Kaptara</w:t>
      </w:r>
      <w:r>
        <w:t xml:space="preserve"> em Acádio, </w:t>
      </w:r>
      <w:r>
        <w:rPr>
          <w:i/>
        </w:rPr>
        <w:t>kptr</w:t>
      </w:r>
      <w:r>
        <w:t xml:space="preserve"> em Ugarítico, e </w:t>
      </w:r>
      <w:r>
        <w:rPr>
          <w:i/>
        </w:rPr>
        <w:t>Keftiu</w:t>
      </w:r>
      <w:r>
        <w:t xml:space="preserve"> em Egípcio. Essas referências datam de 2200 a.C. até cerca de 1200 a.C. As fontes egípcias são especialmente úteis para identificar Caftor como Creta. Por outro lado, há uma tradição judaica de que os caftorim eram da Capadócia; a Septuaginta lê “Capadócia” em vez de “Caftor”. Isso levou alguns a sugerirem que Caftor deve ser identificado com uma região costeira da Ásia Menor ou com a ilha de Carpathos. Talvez no século XIII a.C., “Caftor” fosse usado em um sentido amplo para a área do Egeu de onde os filisteus vieram.</w:t>
      </w:r>
    </w:p>
    <w:p>
      <w:r/>
      <w:r>
        <w:t>Os caftoritas são mencionados também como um povo que invadiu a região ao redor de Gaza, desalojou os avins e se estabeleceu lá (</w:t>
      </w:r>
      <w:hyperlink r:id="rId2930">
        <w:r>
          <w:rPr>
            <w:color w:val="0000EE"/>
            <w:u w:val="single"/>
          </w:rPr>
          <w:t>Dt 2.23</w:t>
        </w:r>
      </w:hyperlink>
      <w:r>
        <w:t xml:space="preserve">). Parece que os caftoritas estavam firmemente estabelecidos ao redor de Gaza antes de Israel cruzar o Jordão na época da Conquista. </w:t>
      </w:r>
      <w:r>
        <w:rPr>
          <w:i/>
        </w:rPr>
        <w:t>Veja</w:t>
      </w:r>
      <w:r>
        <w:t xml:space="preserve"> </w:t>
      </w:r>
      <w:r>
        <w:t>Casluins, Casluitas</w:t>
      </w:r>
      <w:r>
        <w:t>.</w:t>
      </w:r>
      <w:r/>
      <w:r/>
    </w:p>
    <w:p>
      <w:r/>
    </w:p>
    <w:p>
      <w:pPr>
        <w:pStyle w:val="Heading2"/>
      </w:pPr>
      <w:r>
        <w:t>Caifás</w:t>
      </w:r>
      <w:r/>
    </w:p>
    <w:p>
      <w:r/>
      <w:r>
        <w:t>Caifás foi o sumo sacerdote durante a vida e o ministério de Jesus. Como líder da nação judaica, ele presidia o Sinédrio, o tribunal mais alto. Junto com o governador romano, Caifás era o homem mais poderoso na Judeia, sendo responsável perante os romanos pelo comportamento da nação. Ele estava particularmente preocupado com a agitação e inquietação em torno de Jesus, especialmente com as atividades crescentes dos Zelotes, que em breve iniciariam uma rebelião.</w:t>
      </w:r>
    </w:p>
    <w:p>
      <w:r/>
      <w:r>
        <w:t>A ressurreição de Lázaro (</w:t>
      </w:r>
      <w:hyperlink r:id="rId3995">
        <w:r>
          <w:rPr>
            <w:color w:val="0000EE"/>
            <w:u w:val="single"/>
          </w:rPr>
          <w:t>Jo 11</w:t>
        </w:r>
      </w:hyperlink>
      <w:r>
        <w:t>) causou grande agitação, elevando as tensões ao máximo. Caifás, temendo que aqueles que buscavam um messias político pudessem desencadear uma repressão romana, sugeriu que Jesus fosse condenado à morte (</w:t>
      </w:r>
      <w:hyperlink r:id="rId3996">
        <w:r>
          <w:rPr>
            <w:color w:val="0000EE"/>
            <w:u w:val="single"/>
          </w:rPr>
          <w:t>Jo 11.48–50</w:t>
        </w:r>
      </w:hyperlink>
      <w:r>
        <w:t>). O Evangelho de João observa que, ao fazer isso, Caifás profetizou inconscientemente sobre a natureza expiatória da morte de Jesus (</w:t>
      </w:r>
      <w:hyperlink r:id="rId3997">
        <w:r>
          <w:rPr>
            <w:color w:val="0000EE"/>
            <w:u w:val="single"/>
          </w:rPr>
          <w:t>Jo 11.51–52</w:t>
        </w:r>
      </w:hyperlink>
      <w:r>
        <w:t>).</w:t>
      </w:r>
    </w:p>
    <w:p>
      <w:r/>
      <w:r>
        <w:t>Caifás teve um papel central na prisão e julgamento de Jesus. Os líderes religiosos fizeram seus planos em seu palácio (</w:t>
      </w:r>
      <w:hyperlink r:id="rId3998">
        <w:r>
          <w:rPr>
            <w:color w:val="0000EE"/>
            <w:u w:val="single"/>
          </w:rPr>
          <w:t>Mt 26.3–5</w:t>
        </w:r>
      </w:hyperlink>
      <w:r>
        <w:t>), e parte do julgamento de Jesus ocorreu lá, com Caifás presidindo (</w:t>
      </w:r>
      <w:hyperlink r:id="rId3999">
        <w:r>
          <w:rPr>
            <w:color w:val="0000EE"/>
            <w:u w:val="single"/>
          </w:rPr>
          <w:t>Mt 26.57–68</w:t>
        </w:r>
      </w:hyperlink>
      <w:r>
        <w:t>). Antes disso, Jesus foi levado primeiro a Anás, sogro de Caifás (</w:t>
      </w:r>
      <w:hyperlink r:id="rId4000">
        <w:r>
          <w:rPr>
            <w:color w:val="0000EE"/>
            <w:u w:val="single"/>
          </w:rPr>
          <w:t>Jo 18.13</w:t>
        </w:r>
      </w:hyperlink>
      <w:r>
        <w:t>). Embora Mateus, Marcos e Lucas não mencionem a visita a Anás, e Marcos e Lucas não se refiram a Caifás pelo nome, o relato de João mostra que Anás ainda era influente.</w:t>
      </w:r>
    </w:p>
    <w:p>
      <w:r/>
      <w:r>
        <w:t>Quando Jesus admitiu que era "o Cristo, o Filho de Deus", Caifás rasgou suas vestes e o acusou de blasfêmia (</w:t>
      </w:r>
      <w:hyperlink r:id="rId4001">
        <w:r>
          <w:rPr>
            <w:color w:val="0000EE"/>
            <w:u w:val="single"/>
          </w:rPr>
          <w:t>Mt 26.63–66</w:t>
        </w:r>
      </w:hyperlink>
      <w:r>
        <w:t>). Após o Pentecostes, Caifás, junto com outros líderes judeus, conduziu o julgamento de Pedro e João, tentando parar a pregação dos apóstolos (</w:t>
      </w:r>
      <w:hyperlink r:id="rId4002">
        <w:r>
          <w:rPr>
            <w:color w:val="0000EE"/>
            <w:u w:val="single"/>
          </w:rPr>
          <w:t>At 4.5–6</w:t>
        </w:r>
      </w:hyperlink>
      <w:r>
        <w:t>).</w:t>
      </w:r>
    </w:p>
    <w:p>
      <w:r/>
      <w:r>
        <w:t>Anás, um ex-sumo sacerdote, manteve-se importante nos assuntos judaicos, o que explica por que Lucas menciona tanto Anás quanto Caifás em conexão com o ministério de João Batista (</w:t>
      </w:r>
      <w:hyperlink r:id="rId1361">
        <w:r>
          <w:rPr>
            <w:color w:val="0000EE"/>
            <w:u w:val="single"/>
          </w:rPr>
          <w:t>Lc 3.2</w:t>
        </w:r>
      </w:hyperlink>
      <w:r>
        <w:t>) e em Atos chamou Anás de sumo sacerdote (</w:t>
      </w:r>
      <w:hyperlink r:id="rId737">
        <w:r>
          <w:rPr>
            <w:color w:val="0000EE"/>
            <w:u w:val="single"/>
          </w:rPr>
          <w:t>At 4.6</w:t>
        </w:r>
      </w:hyperlink>
      <w:r>
        <w:t>). O Evangelho de João também mostra que Anás ainda era comumente chamado de "sumo sacerdote" (</w:t>
      </w:r>
      <w:hyperlink r:id="rId4003">
        <w:r>
          <w:rPr>
            <w:color w:val="0000EE"/>
            <w:u w:val="single"/>
          </w:rPr>
          <w:t>Jo 18.22</w:t>
        </w:r>
      </w:hyperlink>
      <w:r>
        <w:t>).</w:t>
      </w:r>
    </w:p>
    <w:p>
      <w:r/>
      <w:r>
        <w:t>De acordo com o historiador Josefo, Caifás foi nomeado sumo sacerdote por volta de 18 d.C. e serviu até ser removido por volta de 36 d.C. Como o sumo sacerdote servia à discrição dos romanos, o longo mandato de Caifás sugere que ele era politicamente habilidoso. Após ser removido pelo procônsul romano Vitélio, nada mais se sabe sobre ele.</w:t>
      </w:r>
      <w:r/>
      <w:r/>
    </w:p>
    <w:p>
      <w:r/>
    </w:p>
    <w:p>
      <w:pPr>
        <w:pStyle w:val="Heading2"/>
      </w:pPr>
      <w:r>
        <w:t>Caim (Pessoa)</w:t>
      </w:r>
      <w:r/>
    </w:p>
    <w:p>
      <w:r/>
      <w:r>
        <w:t xml:space="preserve">O primeiro filho de </w:t>
      </w:r>
      <w:r>
        <w:t>Adão</w:t>
      </w:r>
      <w:r>
        <w:t xml:space="preserve"> e </w:t>
      </w:r>
      <w:r>
        <w:t>Eva.</w:t>
      </w:r>
      <w:r>
        <w:t xml:space="preserve"> Ele se tornou um lavrador, enquanto seu irmão, </w:t>
      </w:r>
      <w:r>
        <w:t>Abel</w:t>
      </w:r>
      <w:r>
        <w:t>, era pastor de ovelhas. Quando as pessoas falam sobre atos terríveis de violência, muitas vezes mencionam o assassinato de Abel por Caim como exemplo (</w:t>
      </w:r>
      <w:hyperlink r:id="rId4004">
        <w:r>
          <w:rPr>
            <w:color w:val="0000EE"/>
            <w:u w:val="single"/>
          </w:rPr>
          <w:t>Jd 1.11</w:t>
        </w:r>
      </w:hyperlink>
      <w:r>
        <w:t xml:space="preserve">). Cada um dos dois irmãos trouxe um </w:t>
      </w:r>
      <w:r>
        <w:t>sacrifício</w:t>
      </w:r>
      <w:r>
        <w:t xml:space="preserve"> ao Senhor (</w:t>
      </w:r>
      <w:hyperlink r:id="rId4005">
        <w:r>
          <w:rPr>
            <w:color w:val="0000EE"/>
            <w:u w:val="single"/>
          </w:rPr>
          <w:t>Gn 4.3–4</w:t>
        </w:r>
      </w:hyperlink>
      <w:r>
        <w:t xml:space="preserve">). De acordo com </w:t>
      </w:r>
      <w:hyperlink r:id="rId44">
        <w:r>
          <w:rPr>
            <w:color w:val="0000EE"/>
            <w:u w:val="single"/>
          </w:rPr>
          <w:t>Hebreus 11.4</w:t>
        </w:r>
      </w:hyperlink>
      <w:r>
        <w:t>, Abel agiu com fé ao trazer um sacrifício mais aceitável do que o de Caim. Caim ficou muito irritado porque Deus não aceitou sua oferta. Como Deus aceitou a oferta de Abel, mas não a sua, Caim matou seu irmão (</w:t>
      </w:r>
      <w:hyperlink r:id="rId4006">
        <w:r>
          <w:rPr>
            <w:color w:val="0000EE"/>
            <w:u w:val="single"/>
          </w:rPr>
          <w:t>Gn 4.5–8</w:t>
        </w:r>
      </w:hyperlink>
      <w:r>
        <w:t>).</w:t>
      </w:r>
    </w:p>
    <w:p>
      <w:r/>
      <w:r>
        <w:t>Ao explicar por que Caim agiu com violência, a Bíblia nos diz que ele pertencia ao maligno (</w:t>
      </w:r>
      <w:hyperlink r:id="rId4007">
        <w:r>
          <w:rPr>
            <w:color w:val="0000EE"/>
            <w:u w:val="single"/>
          </w:rPr>
          <w:t>1Jo 3.12</w:t>
        </w:r>
      </w:hyperlink>
      <w:r>
        <w:t xml:space="preserve">). O Senhor confrontou Caim com sua culpa, julgou-o e pronunciou uma </w:t>
      </w:r>
      <w:r>
        <w:t>maldição</w:t>
      </w:r>
      <w:r>
        <w:t xml:space="preserve"> sobre ele. Deus fez Caim deixar a terra de </w:t>
      </w:r>
      <w:r>
        <w:t>Node</w:t>
      </w:r>
      <w:r>
        <w:t xml:space="preserve">, a leste de </w:t>
      </w:r>
      <w:r>
        <w:t>Éden</w:t>
      </w:r>
      <w:r>
        <w:t xml:space="preserve"> (</w:t>
      </w:r>
      <w:hyperlink r:id="rId4008">
        <w:r>
          <w:rPr>
            <w:color w:val="0000EE"/>
            <w:u w:val="single"/>
          </w:rPr>
          <w:t>Gn 4.9–16</w:t>
        </w:r>
      </w:hyperlink>
      <w:r>
        <w:t>). Caim reclamou a Deus que sua punição era maior do que ele podia suportar. Ele tinha medo de que alguém o encontrasse e o matasse. Então, o Senhor colocou um sinal em Caim para protegê-lo. O Senhor também prometeu que, se alguém matasse Caim, essa pessoa receberia um castigo sete vezes pior.</w:t>
      </w:r>
    </w:p>
    <w:p>
      <w:r/>
      <w:r>
        <w:t xml:space="preserve">Na terra de Node, Caim construiu uma cidade e a nomeou em homenagem a seu filho </w:t>
      </w:r>
      <w:r>
        <w:t>Enoque</w:t>
      </w:r>
      <w:r>
        <w:t xml:space="preserve"> (</w:t>
      </w:r>
      <w:hyperlink r:id="rId4009">
        <w:r>
          <w:rPr>
            <w:color w:val="0000EE"/>
            <w:u w:val="single"/>
          </w:rPr>
          <w:t>Gn 4.17</w:t>
        </w:r>
      </w:hyperlink>
      <w:r>
        <w:t xml:space="preserve">). Através de Enoque, Caim teve muitos descendentes. Nas primeiras gerações, esses descendentes desenvolveram diferentes habilidades. Alguns viviam em tendas e cuidavam de animais. Outros se tornaram </w:t>
      </w:r>
      <w:r>
        <w:t>músicos</w:t>
      </w:r>
      <w:r>
        <w:t xml:space="preserve">, e alguns aprenderam a fazer coisas de metal (versículos </w:t>
      </w:r>
      <w:hyperlink r:id="rId4010">
        <w:r>
          <w:rPr>
            <w:color w:val="0000EE"/>
            <w:u w:val="single"/>
          </w:rPr>
          <w:t>18–22</w:t>
        </w:r>
      </w:hyperlink>
      <w:r>
        <w:t>).</w:t>
      </w:r>
      <w:r/>
      <w:r/>
    </w:p>
    <w:p>
      <w:r/>
    </w:p>
    <w:p>
      <w:pPr>
        <w:pStyle w:val="Heading2"/>
      </w:pPr>
      <w:r>
        <w:t>Caim (tribo)</w:t>
      </w:r>
      <w:r/>
    </w:p>
    <w:p>
      <w:r/>
      <w:r>
        <w:t>Caim era uma tribo de pessoas que eram as mesmas que os queneus (</w:t>
      </w:r>
      <w:hyperlink r:id="rId4011">
        <w:r>
          <w:rPr>
            <w:color w:val="0000EE"/>
            <w:u w:val="single"/>
          </w:rPr>
          <w:t>Nm 24.22</w:t>
        </w:r>
      </w:hyperlink>
      <w:r>
        <w:t xml:space="preserve">; </w:t>
      </w:r>
      <w:hyperlink r:id="rId4012">
        <w:r>
          <w:rPr>
            <w:color w:val="0000EE"/>
            <w:u w:val="single"/>
          </w:rPr>
          <w:t>Jz 4.11</w:t>
        </w:r>
      </w:hyperlink>
      <w:r>
        <w:t>). O nome Caim em hebraico significa "lança", o que sugere que eles podem ter sido habilidosos na fabricação de ferramentas e armas de metal. A tribo vivia como nômades, mudando-se de lugar em lugar em vez de se estabelecerem em uma área. Eles eram amigáveis com Israel (</w:t>
      </w:r>
      <w:hyperlink r:id="rId3840">
        <w:r>
          <w:rPr>
            <w:color w:val="0000EE"/>
            <w:u w:val="single"/>
          </w:rPr>
          <w:t>1Sm 15.6</w:t>
        </w:r>
      </w:hyperlink>
      <w:r>
        <w:t>). Mais tarde, tornaram-se parte de Judá.</w:t>
      </w:r>
    </w:p>
    <w:p>
      <w:r/>
      <w:r>
        <w:rPr>
          <w:i/>
        </w:rPr>
        <w:t xml:space="preserve">Veja </w:t>
      </w:r>
      <w:r>
        <w:rPr>
          <w:i/>
        </w:rPr>
        <w:t>O</w:t>
      </w:r>
      <w:r>
        <w:t>s queneus</w:t>
      </w:r>
      <w:r>
        <w:t>.</w:t>
      </w:r>
      <w:r/>
      <w:r/>
    </w:p>
    <w:p>
      <w:r/>
    </w:p>
    <w:p>
      <w:pPr>
        <w:pStyle w:val="Heading2"/>
      </w:pPr>
      <w:r>
        <w:t>Cainã</w:t>
      </w:r>
      <w:r/>
    </w:p>
    <w:p>
      <w:pPr>
        <w:pStyle w:val="ListNumber"/>
        <w:spacing w:line="240" w:lineRule="auto"/>
        <w:ind w:left="720"/>
      </w:pPr>
      <w:r/>
      <w:r>
        <w:t>Um filho de Arfaxade (</w:t>
      </w:r>
      <w:hyperlink r:id="rId2485">
        <w:r>
          <w:rPr>
            <w:color w:val="0000EE"/>
            <w:u w:val="single"/>
          </w:rPr>
          <w:t>Lc 3.36</w:t>
        </w:r>
      </w:hyperlink>
      <w:r>
        <w:t xml:space="preserve">; </w:t>
      </w:r>
      <w:hyperlink r:id="rId2790">
        <w:r>
          <w:rPr>
            <w:color w:val="0000EE"/>
            <w:u w:val="single"/>
          </w:rPr>
          <w:t>Gn 10.24</w:t>
        </w:r>
      </w:hyperlink>
      <w:r>
        <w:t xml:space="preserve">, na Septuaginta; </w:t>
      </w:r>
      <w:hyperlink r:id="rId4013">
        <w:r>
          <w:rPr>
            <w:color w:val="0000EE"/>
            <w:u w:val="single"/>
          </w:rPr>
          <w:t>11.12–13</w:t>
        </w:r>
      </w:hyperlink>
      <w:r>
        <w:t>).</w:t>
      </w:r>
    </w:p>
    <w:p>
      <w:pPr>
        <w:pStyle w:val="ListNumber"/>
        <w:spacing w:line="240" w:lineRule="auto"/>
        <w:ind w:left="720"/>
      </w:pPr>
      <w:r/>
      <w:r>
        <w:t>Bisneto de Adão, também chamado Cainã (</w:t>
      </w:r>
      <w:hyperlink r:id="rId4014">
        <w:r>
          <w:rPr>
            <w:color w:val="0000EE"/>
            <w:u w:val="single"/>
          </w:rPr>
          <w:t>Gn 5.9–14</w:t>
        </w:r>
      </w:hyperlink>
      <w:r>
        <w:t xml:space="preserve">; </w:t>
      </w:r>
      <w:hyperlink r:id="rId4015">
        <w:r>
          <w:rPr>
            <w:color w:val="0000EE"/>
            <w:u w:val="single"/>
          </w:rPr>
          <w:t>1Cr 1.2</w:t>
        </w:r>
      </w:hyperlink>
      <w:r>
        <w:t xml:space="preserve">; </w:t>
      </w:r>
      <w:hyperlink r:id="rId4016">
        <w:r>
          <w:rPr>
            <w:color w:val="0000EE"/>
            <w:u w:val="single"/>
          </w:rPr>
          <w:t>Lc 3.37</w:t>
        </w:r>
      </w:hyperlink>
      <w:r>
        <w:t>).</w:t>
      </w:r>
      <w:r/>
      <w:r/>
    </w:p>
    <w:p>
      <w:r/>
    </w:p>
    <w:p>
      <w:pPr>
        <w:pStyle w:val="Heading2"/>
      </w:pPr>
      <w:r>
        <w:t>Calá</w:t>
      </w:r>
      <w:r/>
    </w:p>
    <w:p>
      <w:r/>
      <w:r>
        <w:t>Uma das antigas capitais da Assíria, construída por Ninrode (</w:t>
      </w:r>
      <w:hyperlink r:id="rId4017">
        <w:r>
          <w:rPr>
            <w:color w:val="0000EE"/>
            <w:u w:val="single"/>
          </w:rPr>
          <w:t>Gn 10.11–12</w:t>
        </w:r>
      </w:hyperlink>
      <w:r>
        <w:t>). Calá é o nome antigo para a moderna Nimrud, localizada a 38 quilômetros ao sul de Nínive, na margem leste do Rio Tigre. Foi escavada por Henry Layard de 1845 a 1849 e pela Escola Britânica de Arqueologia no Iraque de 1949 a 1964. O local foi ocupado desde tempos pré-históricos até o período helenístico.</w:t>
      </w:r>
    </w:p>
    <w:p>
      <w:r/>
      <w:r>
        <w:t>Escavações em Calá revelaram um grande zigurate e templos dedicados a Ninurta e Nabu. Uma grande cidadela construída por Salmanaser I no século XIII a.C. e um palácio construído por Assurnasirpal II (883–859 a.C.) também foram descobertos lá. Palácios de Salmanaser III (858–824 a.C.) e Esar-Hadom (680–669 a.C.) foram parcialmente desobstruídos. Entre outras descobertas notáveis da cidade está o obelisco negro de Salmanaser III, que atualmente está no Museu Britânico. O monumento é importante para os estudos bíblicos devido ao registro do tributo pago pelo Rei Jeú de Israel aos assírios.</w:t>
      </w:r>
    </w:p>
    <w:p>
      <w:r/>
      <w:r>
        <w:t>Tiglate-Pileser III (745–727 a.C.) e Sargão II (721–705 a.C.) lançaram seus ataques contra Israel e Judá a partir de Calá. Sargão capturou Samaria. Tiglate-Pileser esteve envolvido com Judá quando Acaz formou uma coalizão com ele contra Israel e Síria (</w:t>
      </w:r>
      <w:hyperlink r:id="rId4018">
        <w:r>
          <w:rPr>
            <w:color w:val="0000EE"/>
            <w:u w:val="single"/>
          </w:rPr>
          <w:t>Is 7.1–17</w:t>
        </w:r>
      </w:hyperlink>
      <w:r>
        <w:t>). Calá foi eventualmente destruída pelos babilônios e medos em 612 a.C.</w:t>
      </w:r>
      <w:r/>
      <w:r/>
    </w:p>
    <w:p>
      <w:r/>
    </w:p>
    <w:p>
      <w:pPr>
        <w:pStyle w:val="Heading2"/>
      </w:pPr>
      <w:r>
        <w:t>Cálamo</w:t>
      </w:r>
      <w:r/>
    </w:p>
    <w:p>
      <w:r/>
      <w:r>
        <w:t>Uma planta de cana de cheiro doce (</w:t>
      </w:r>
      <w:hyperlink r:id="rId4019">
        <w:r>
          <w:rPr>
            <w:color w:val="0000EE"/>
            <w:u w:val="single"/>
          </w:rPr>
          <w:t>Êx 30.23</w:t>
        </w:r>
      </w:hyperlink>
      <w:r>
        <w:t xml:space="preserve">; </w:t>
      </w:r>
      <w:hyperlink r:id="rId4020">
        <w:r>
          <w:rPr>
            <w:color w:val="0000EE"/>
            <w:u w:val="single"/>
          </w:rPr>
          <w:t>Ez 27.19</w:t>
        </w:r>
      </w:hyperlink>
      <w:r>
        <w:t>). Cálamo refere-se a uma planta ou sua raiz aromática. Era uma das plantas que cresciam no jardim de Salomão (</w:t>
      </w:r>
      <w:hyperlink r:id="rId4021">
        <w:r>
          <w:rPr>
            <w:color w:val="0000EE"/>
            <w:u w:val="single"/>
          </w:rPr>
          <w:t>Ct Sl 4.14</w:t>
        </w:r>
      </w:hyperlink>
      <w:r>
        <w:t>). Em alguns textos a NTLH traduz por "cana cheirosa".</w:t>
      </w:r>
    </w:p>
    <w:p>
      <w:r/>
      <w:r>
        <w:t>Duas plantas foram sugeridas como a origem do cálamo bíblico:</w:t>
      </w:r>
    </w:p>
    <w:p>
      <w:pPr>
        <w:pStyle w:val="ListBullet"/>
        <w:spacing w:line="240" w:lineRule="auto"/>
        <w:ind w:left="720"/>
      </w:pPr>
      <w:r/>
      <w:r>
        <w:t>a cana aromática (</w:t>
      </w:r>
      <w:r>
        <w:rPr>
          <w:i/>
        </w:rPr>
        <w:t>Acorus calamus</w:t>
      </w:r>
      <w:r>
        <w:t>), e</w:t>
      </w:r>
    </w:p>
    <w:p>
      <w:pPr>
        <w:pStyle w:val="ListBullet"/>
        <w:spacing w:line="240" w:lineRule="auto"/>
        <w:ind w:left="720"/>
      </w:pPr>
      <w:r/>
      <w:r>
        <w:t>o capim-barba (</w:t>
      </w:r>
      <w:r>
        <w:rPr>
          <w:i/>
        </w:rPr>
        <w:t>Andropogon aromaticus</w:t>
      </w:r>
      <w:r>
        <w:t>).</w:t>
      </w:r>
    </w:p>
    <w:p>
      <w:r/>
      <w:r>
        <w:t>A cana aromática possui um cheiro forte e agradável, crescendo na Europa e na Ásia, mas não é encontrado em Israel e nas áreas circundantes. O capim-barba, originário da Índia, libera uma fragrância intensa quando esmagado e acredita-se que seja o cálamo mencionado na Bíblia. O capim-barba produz um óleo chamado óleo de capim-gengibre.</w:t>
      </w:r>
      <w:r/>
      <w:r/>
    </w:p>
    <w:p>
      <w:r/>
    </w:p>
    <w:p>
      <w:pPr>
        <w:pStyle w:val="Heading2"/>
      </w:pPr>
      <w:r>
        <w:t>Cálamo-aromático</w:t>
      </w:r>
      <w:r/>
    </w:p>
    <w:p>
      <w:r/>
      <w:r>
        <w:t>Uma espécie de junco perfumado era usada pelos israelitas como perfume (</w:t>
      </w:r>
      <w:hyperlink r:id="rId4021">
        <w:r>
          <w:rPr>
            <w:color w:val="0000EE"/>
            <w:u w:val="single"/>
          </w:rPr>
          <w:t>Ct 4.14</w:t>
        </w:r>
      </w:hyperlink>
      <w:r>
        <w:t>). Também foi utilizada como ingrediente do óleo da unção (</w:t>
      </w:r>
      <w:hyperlink r:id="rId4019">
        <w:r>
          <w:rPr>
            <w:color w:val="0000EE"/>
            <w:u w:val="single"/>
          </w:rPr>
          <w:t>Êx 30.23</w:t>
        </w:r>
      </w:hyperlink>
      <w:r>
        <w:t>).</w:t>
      </w:r>
    </w:p>
    <w:p>
      <w:r/>
      <w:r>
        <w:rPr>
          <w:i/>
        </w:rPr>
        <w:t>Veja</w:t>
      </w:r>
      <w:r>
        <w:t xml:space="preserve"> </w:t>
      </w:r>
      <w:r>
        <w:t>Canaã</w:t>
      </w:r>
      <w:r>
        <w:t>.</w:t>
      </w:r>
      <w:r/>
      <w:r/>
    </w:p>
    <w:p>
      <w:r/>
    </w:p>
    <w:p>
      <w:pPr>
        <w:pStyle w:val="Heading2"/>
      </w:pPr>
      <w:r>
        <w:t>Caldeia, Caldeus</w:t>
      </w:r>
      <w:r/>
    </w:p>
    <w:p>
      <w:r/>
      <w:r>
        <w:t>Região antiga na Mesopotâmia e seus habitantes. O nome vem das tribos caldeias (ou Kaldu) que compartilhavam a Babilônia no sudeste da Mesopotâmia com vários outros povos, especialmente os sumérios e acádios. Após o antigo Império Babilônico ser absorvido pelos assírios, os caldeus, sob a liderança de Nabucodonosor, tomaram o controle e construíram um Império Neo-Babilônico que dominou o Oriente Próximo por quase um século. A região chamada Caldeia também está associada ao patriarca Abraão, cujo lar mesopotâmico era "Ur dos Caldeus" (</w:t>
      </w:r>
      <w:hyperlink r:id="rId4022">
        <w:r>
          <w:rPr>
            <w:color w:val="0000EE"/>
            <w:u w:val="single"/>
          </w:rPr>
          <w:t>Gn 11.28</w:t>
        </w:r>
      </w:hyperlink>
      <w:r>
        <w:t>).</w:t>
      </w:r>
    </w:p>
    <w:p>
      <w:pPr>
        <w:pStyle w:val="Heading3"/>
      </w:pPr>
      <w:r>
        <w:t>A terra e o povo</w:t>
      </w:r>
    </w:p>
    <w:p>
      <w:r/>
      <w:r>
        <w:t>Até o final do século VIII a.C., Caldeia referia-se apenas a um pequeno território no sul da Babilônia. Dentro de 100 anos, após uma rápida e bem-sucedida busca pelo poder, passou a abranger toda a Babilônia. Naquela época, incluía o território de Bagdá no Rio Tigre até o Golfo Pérsico e se estendia pelo Rio Eufrates até a cidade de Hit. Embora Caldeia seja geralmente situada entre o Tigre e o Eufrates, ela alcançava as planícies entre o Tigre e as Montanhas Zagros a leste e também incluía algumas terras a oeste do Eufrates. O deserto da Arábia formava sua fronteira ocidental. Caldeia raramente excedeu 64 quilômetros de largura, tendo uma área de cerca de 13.000 quilômetros quadrados. No mapa atual, Caldeia está dentro do Iraque, com sua ponta sudoeste tocando o pequeno reino do Kuwait.</w:t>
      </w:r>
    </w:p>
    <w:p>
      <w:pPr>
        <w:pStyle w:val="Heading3"/>
      </w:pPr>
      <w:r>
        <w:t>História</w:t>
      </w:r>
    </w:p>
    <w:p>
      <w:r/>
      <w:r>
        <w:t>A primeira menção dos caldeus é encontrada nos anais assírios de Assurnasirpal II (885–860 a.C.), levando algumas autoridades a sugerirem que eles entraram na Babilônia por volta de 1000 a.C. Eles são geralmente associados (embora não identificados) com as tribos semíticas arameias que estavam constantemente avançando dos desertos ocidentais para a Mesopotâmia. Eles se estabeleceram principalmente na ponta sul da Babilônia, no extremo norte do Golfo Pérsico, possivelmente séculos antes dos anais assírios mencioná-los.</w:t>
      </w:r>
    </w:p>
    <w:p>
      <w:r/>
      <w:hyperlink r:id="rId4023">
        <w:r>
          <w:rPr>
            <w:color w:val="0000EE"/>
            <w:u w:val="single"/>
          </w:rPr>
          <w:t>Jó 1.17</w:t>
        </w:r>
      </w:hyperlink>
      <w:r>
        <w:t xml:space="preserve"> menciona três bandos de caldeus que participaram de um ataque contra os camelos e servos de Jó, provavelmente nas proximidades de Edom ou do norte da Arábia. A presença deles nessas regiões não significa necessariamente que viviam por perto, já que exércitos da Babilônia (Sinar) e Elão chegaram até a Palestina séculos antes (</w:t>
      </w:r>
      <w:hyperlink r:id="rId4024">
        <w:r>
          <w:rPr>
            <w:color w:val="0000EE"/>
            <w:u w:val="single"/>
          </w:rPr>
          <w:t>Gn 14.1–2</w:t>
        </w:r>
      </w:hyperlink>
      <w:r>
        <w:t>).</w:t>
      </w:r>
    </w:p>
    <w:p>
      <w:pPr>
        <w:pStyle w:val="Heading4"/>
      </w:pPr>
      <w:r>
        <w:t>Sob o domínio assírio</w:t>
      </w:r>
    </w:p>
    <w:p>
      <w:r/>
      <w:r>
        <w:t>Vivendo nas áreas pantanosas e lagos do extremo sul, os caldeus mantinham um alto grau de independência, mesmo quando o domínio assírio se estendia sobre eles. Era difícil para os exércitos invasores manobrarem nos pântanos caldeus. Como resultado, os caldeus resistiam a pagar impostos ou fornecer qualquer forma de serviço ao governo assírio. Quando os assírios tentavam limitar sua liberdade, os caldeus recorriam à guerra de guerrilha e intriga política. Eles rapidamente desconsideravam tratados ou mudavam de alianças conforme as circunstâncias ditavam. Sob o domínio assírio, enquanto os residentes nativos das cidades babilônicas geralmente estavam contentes, os caldeus tornaram-se líderes de um movimento nacional de independência. Durante 250 anos, os assírios tiveram que impor seu domínio contra as persistentes tentativas caldeias de afirmar sua autonomia e influência.</w:t>
      </w:r>
    </w:p>
    <w:p>
      <w:r/>
      <w:r>
        <w:t xml:space="preserve">Finalmente, em 721 a.C., o líder caldeu Marduk-apla-iddina II (conhecido como Merodaque-Baladã em </w:t>
      </w:r>
      <w:hyperlink r:id="rId4025">
        <w:r>
          <w:rPr>
            <w:color w:val="0000EE"/>
            <w:u w:val="single"/>
          </w:rPr>
          <w:t>2Rs 20.12</w:t>
        </w:r>
      </w:hyperlink>
      <w:r>
        <w:t xml:space="preserve"> e </w:t>
      </w:r>
      <w:hyperlink r:id="rId2779">
        <w:r>
          <w:rPr>
            <w:color w:val="0000EE"/>
            <w:u w:val="single"/>
          </w:rPr>
          <w:t>Is 39.1</w:t>
        </w:r>
      </w:hyperlink>
      <w:r>
        <w:t>, que enviou uma embaixada a Ezequias, rei de Judá) entrou na Babilônia e reivindicou o reinado da Babilônia, uma posição há muito nomeada pelo rei assírio. Astuto e engenhoso, ele manteve com sucesso sua reivindicação por 10 anos antes de ser repelido de volta ao seu próprio território sulista por Sargão II da Assíria. Com a morte de Sargão em 705 a.C., ele reafirmou sua reivindicação, mas foi derrotado pelo novo rei assírio, Senaqueribe, que destruiu Babilônia como uma lição para os caldeus e seus aliados.</w:t>
      </w:r>
    </w:p>
    <w:p>
      <w:r/>
      <w:r>
        <w:t>O filho e sucessor de Senaqueribe, Esar-Hadom, adotou uma política de conciliação com os babilônios e reconstruiu sua capital, um gesto que efetivamente neutralizou a agitação caldeia e iniciou um período de paz que durou mais de 30 anos. A última revolta malsucedida ocorreu sob o reinado de Assurbanípal e foi, na verdade, instigada por seu irmão, a quem o rei assírio havia nomeado para o trono babilônico. Os caldeus alegremente se juntaram à rebelião, que foi esmagada em 648 a.C.</w:t>
      </w:r>
    </w:p>
    <w:p>
      <w:pPr>
        <w:pStyle w:val="Heading4"/>
      </w:pPr>
      <w:r>
        <w:t>O império neobabilônico</w:t>
      </w:r>
    </w:p>
    <w:p>
      <w:r/>
      <w:r>
        <w:t>Duas décadas depois, na época da morte de Assurbanípal, o poder assírio enfraqueceu subitamente e de forma dramática. Nabopolassar, um governador caldeu, aproveitou a oportunidade para expulsar os assírios da Babilônia. Ele se tornou rei da Babilônia em 625 a.C. Aliados aos medos, os babilônios destruíram o Império Assírio, capturando as cidades capitais de Assur em 614 e Nínive em 612. Eles dividiram as terras conquistadas com os medos e anexaram as regiões assírias a oeste e ao sul do Tigre, criando um novo Império Babilônico. (O primeiro Império Babilônico, com o qual Hamurabi está associado, havia florescido mais de 1.000 anos antes.) Por todo o Oriente Próximo, Caldeia e Babilônia tornaram-se sinônimos.</w:t>
      </w:r>
    </w:p>
    <w:p>
      <w:r/>
      <w:r>
        <w:t xml:space="preserve">Durante o longo e brilhante reinado do filho de Nabopolassar, Nabucodonosor II, o império atingiu seu auge. Como príncipe herdeiro, ele obteve uma vitória decisiva em 605 a.C. sobre os egípcios em Carquemis (a batalha mencionada em </w:t>
      </w:r>
      <w:hyperlink r:id="rId4026">
        <w:r>
          <w:rPr>
            <w:color w:val="0000EE"/>
            <w:u w:val="single"/>
          </w:rPr>
          <w:t>2Cr 35.20</w:t>
        </w:r>
      </w:hyperlink>
      <w:r>
        <w:t xml:space="preserve">), o que efetivamente estabeleceu a supremacia babilônica no Oriente Próximo (veja </w:t>
      </w:r>
      <w:hyperlink r:id="rId4027">
        <w:r>
          <w:rPr>
            <w:color w:val="0000EE"/>
            <w:u w:val="single"/>
          </w:rPr>
          <w:t>2Rs 24.7</w:t>
        </w:r>
      </w:hyperlink>
      <w:r>
        <w:t>). Nesse mesmo ano, o reino do sul de Judá tornou-se uma nação vassala da Babilônia. Nabucodonosor obteve a submissão do rei Jeoaquim, levou os artigos mais preciosos do templo para seu próprio templo na Babilônia e capturou os principais líderes e jovens de Judá (</w:t>
      </w:r>
      <w:hyperlink r:id="rId4028">
        <w:r>
          <w:rPr>
            <w:color w:val="0000EE"/>
            <w:u w:val="single"/>
          </w:rPr>
          <w:t>2Rs 24.1</w:t>
        </w:r>
      </w:hyperlink>
      <w:r>
        <w:t xml:space="preserve">; </w:t>
      </w:r>
      <w:hyperlink r:id="rId4029">
        <w:r>
          <w:rPr>
            <w:color w:val="0000EE"/>
            <w:u w:val="single"/>
          </w:rPr>
          <w:t>2Cr 36.5–7</w:t>
        </w:r>
      </w:hyperlink>
      <w:r>
        <w:t xml:space="preserve">; </w:t>
      </w:r>
      <w:hyperlink r:id="rId4030">
        <w:r>
          <w:rPr>
            <w:color w:val="0000EE"/>
            <w:u w:val="single"/>
          </w:rPr>
          <w:t>Dn 1.1–4</w:t>
        </w:r>
      </w:hyperlink>
      <w:r>
        <w:t>). Quando Judá se revoltou vários anos depois, sob a instigação do Egito, o exército caldeu capturou Jerusalém em 597 a.C. O novo rei de Judá, Jeoaquim, foi deposto naquela época junto com mais de seus líderes (</w:t>
      </w:r>
      <w:hyperlink r:id="rId4031">
        <w:r>
          <w:rPr>
            <w:color w:val="0000EE"/>
            <w:u w:val="single"/>
          </w:rPr>
          <w:t>2Rs 24.8–16</w:t>
        </w:r>
      </w:hyperlink>
      <w:r>
        <w:t>). Uma segunda revolta em 594 a.C. pelo rei nomeado pelos caldeus (Zedequias) resultou em uma terceira invasão, a destruição de Jerusalém em 586 a.C., e o exílio da maioria dos cidadãos de Judá (</w:t>
      </w:r>
      <w:hyperlink r:id="rId4032">
        <w:r>
          <w:rPr>
            <w:color w:val="0000EE"/>
            <w:u w:val="single"/>
          </w:rPr>
          <w:t>2Rs 24.20–25.12</w:t>
        </w:r>
      </w:hyperlink>
      <w:r>
        <w:t xml:space="preserve">; </w:t>
      </w:r>
      <w:hyperlink r:id="rId4033">
        <w:r>
          <w:rPr>
            <w:color w:val="0000EE"/>
            <w:u w:val="single"/>
          </w:rPr>
          <w:t>2Cr 36.11–21</w:t>
        </w:r>
      </w:hyperlink>
      <w:r>
        <w:t>). Com o saque dessa e de outras conquistas, Nabucodonosor construiu Babilônia como uma das cidades mais deslumbrantes do mundo antigo. Seus projetos incluíram os Jardins Suspensos (uma das sete maravilhas do mundo antigo), o Portão de Ishtar e uma muralha externa de 27 quilômetros projetada para a defesa da cidade. Seu orgulho em tais realizações eventualmente trouxe o julgamento de Deus (</w:t>
      </w:r>
      <w:hyperlink r:id="rId4034">
        <w:r>
          <w:rPr>
            <w:color w:val="0000EE"/>
            <w:u w:val="single"/>
          </w:rPr>
          <w:t>Dn 4.30–33</w:t>
        </w:r>
      </w:hyperlink>
      <w:r>
        <w:t>).</w:t>
      </w:r>
    </w:p>
    <w:p>
      <w:r/>
      <w:r>
        <w:t xml:space="preserve">Nabucodonosor foi sucedido por seu filho Amel-Marduque (Evil-Merodaque em </w:t>
      </w:r>
      <w:hyperlink r:id="rId4035">
        <w:r>
          <w:rPr>
            <w:color w:val="0000EE"/>
            <w:u w:val="single"/>
          </w:rPr>
          <w:t>2Rs 25.27</w:t>
        </w:r>
      </w:hyperlink>
      <w:r>
        <w:t xml:space="preserve"> e </w:t>
      </w:r>
      <w:hyperlink r:id="rId4036">
        <w:r>
          <w:rPr>
            <w:color w:val="0000EE"/>
            <w:u w:val="single"/>
          </w:rPr>
          <w:t>Jr 52.31</w:t>
        </w:r>
      </w:hyperlink>
      <w:r>
        <w:t xml:space="preserve">, lembrado ali por sua especial bondade para com o rei exilado Jeoaquim). Após dois anos, ele foi morto em uma rebelião armada liderada por seu cunhado, Nergal-shar-usur (Nergal-Sarezer de </w:t>
      </w:r>
      <w:hyperlink r:id="rId4037">
        <w:r>
          <w:rPr>
            <w:color w:val="0000EE"/>
            <w:u w:val="single"/>
          </w:rPr>
          <w:t>Jr 39.3</w:t>
        </w:r>
      </w:hyperlink>
      <w:r>
        <w:t>), que tentou estabelecer sua própria dinastia. Após um reinado de quatro anos, Nergal-shar-usur foi sucedido por seu filho, que durou apenas alguns meses antes de ser deposto por um usurpador, Nabonido.</w:t>
      </w:r>
    </w:p>
    <w:p>
      <w:pPr>
        <w:pStyle w:val="Heading4"/>
      </w:pPr>
      <w:r>
        <w:t>A queda da Babilônia</w:t>
      </w:r>
    </w:p>
    <w:p>
      <w:r/>
      <w:r>
        <w:t xml:space="preserve">Nabonido foi o último dos monarcas caldeus. Sua ascensão ao trono foi apoiada por muitos oficiais babilônicos. Eles observavam seus antigos aliados, os medos, gradualmente se tornarem uma potência rival e viam em Nabonido um governante forte o suficiente para enfrentar essa ameaça. Forte ou não, suas tentativas de reformar a religião babilônica provaram ser extremamente impopulares, e seus esforços para fortalecer a economia foram malsucedidos. Ambos os fatos tornaram Babilônia um lugar desagradável para Nabonido; durante uma ausência prolongada da cidade capital, ele nomeou seu filho Belsazar como co-regente. (A posição de Belsazar explica por que ele é descrito como o rei de Babilônia no livro de Daniel do AT e por que em </w:t>
      </w:r>
      <w:hyperlink r:id="rId1866">
        <w:r>
          <w:rPr>
            <w:color w:val="0000EE"/>
            <w:u w:val="single"/>
          </w:rPr>
          <w:t>Daniel 5.7</w:t>
        </w:r>
      </w:hyperlink>
      <w:r>
        <w:t xml:space="preserve"> ele só pôde fazer de Daniel “o terceiro governante no reino").</w:t>
      </w:r>
    </w:p>
    <w:p>
      <w:r/>
      <w:r>
        <w:t>Enquanto Belsazar cuidava dos assuntos do governo, ocorreu o famoso incidente da “escrita na parede”, que previu de forma ameaçadora a queda de Babilônia (</w:t>
      </w:r>
      <w:hyperlink r:id="rId4038">
        <w:r>
          <w:rPr>
            <w:color w:val="0000EE"/>
            <w:u w:val="single"/>
          </w:rPr>
          <w:t>Dn 5</w:t>
        </w:r>
      </w:hyperlink>
      <w:r>
        <w:t>). Os elamitas, de fato, já estavam atacando a ala leste do império. Rumores sobre o poder persa no norte trouxeram Nabonido de volta a Babilônia, justo a tempo para uma invasão pelo rei persa, Ciro, o Grande. Ciro tomou Babilônia sem luta, pondo fim tanto ao poder caldeu quanto ao Império Neo-Babilônico.</w:t>
      </w:r>
    </w:p>
    <w:p>
      <w:r/>
      <w:r>
        <w:rPr>
          <w:i/>
        </w:rPr>
        <w:t>Veja também</w:t>
      </w:r>
      <w:r>
        <w:t xml:space="preserve"> </w:t>
      </w:r>
      <w:r>
        <w:t>Assíria, Assírios</w:t>
      </w:r>
      <w:r>
        <w:t xml:space="preserve">; </w:t>
      </w:r>
      <w:r>
        <w:t>Astrologia</w:t>
      </w:r>
      <w:r>
        <w:t xml:space="preserve">; </w:t>
      </w:r>
      <w:r>
        <w:t>Babilônia</w:t>
      </w:r>
      <w:r>
        <w:t xml:space="preserve">; </w:t>
      </w:r>
      <w:r>
        <w:t>Livro de Daniel</w:t>
      </w:r>
      <w:r>
        <w:t xml:space="preserve">; </w:t>
      </w:r>
      <w:r>
        <w:t>Diáspora dos judeus</w:t>
      </w:r>
      <w:r>
        <w:t xml:space="preserve">; </w:t>
      </w:r>
      <w:r>
        <w:t>Nabucodonosor</w:t>
      </w:r>
      <w:r>
        <w:t xml:space="preserve">; </w:t>
      </w:r>
      <w:r>
        <w:t>Ur (Lugar)</w:t>
      </w:r>
      <w:r>
        <w:t>.</w:t>
      </w:r>
      <w:r/>
      <w:r/>
    </w:p>
    <w:p>
      <w:r/>
    </w:p>
    <w:p>
      <w:pPr>
        <w:pStyle w:val="Heading2"/>
      </w:pPr>
      <w:r>
        <w:t>Calebe</w:t>
      </w:r>
      <w:r/>
    </w:p>
    <w:p>
      <w:pPr>
        <w:pStyle w:val="ListNumber"/>
        <w:spacing w:line="240" w:lineRule="auto"/>
        <w:ind w:left="720"/>
      </w:pPr>
      <w:r/>
      <w:r>
        <w:t>Filho de Jefoné, o quenezeu (</w:t>
      </w:r>
      <w:hyperlink r:id="rId4039">
        <w:r>
          <w:rPr>
            <w:color w:val="0000EE"/>
            <w:u w:val="single"/>
          </w:rPr>
          <w:t>Nm 32.12</w:t>
        </w:r>
      </w:hyperlink>
      <w:r>
        <w:t xml:space="preserve">; </w:t>
      </w:r>
      <w:hyperlink r:id="rId4040">
        <w:r>
          <w:rPr>
            <w:color w:val="0000EE"/>
            <w:u w:val="single"/>
          </w:rPr>
          <w:t>Js 14.6</w:t>
        </w:r>
      </w:hyperlink>
      <w:r>
        <w:t>). Ele era o irmão mais velho de Quenaz (</w:t>
      </w:r>
      <w:hyperlink r:id="rId4041">
        <w:r>
          <w:rPr>
            <w:color w:val="0000EE"/>
            <w:u w:val="single"/>
          </w:rPr>
          <w:t>Jz 1.13</w:t>
        </w:r>
      </w:hyperlink>
      <w:r>
        <w:t>). Calebe foi um dos 12 espiões enviados para explorar a terra de Canaã. Enquanto a maioria dos espiões tinha medo de atacar, Calebe e Josué recomendaram avançar imediatamente. Os israelitas rejeitaram seu conselho porque temiam as cidades fortemente defendidas. Por causa dessa falta de fé, Deus adiou a entrada de Israel em Canaã, a terra prometida, por muitos anos (</w:t>
      </w:r>
      <w:hyperlink r:id="rId4042">
        <w:r>
          <w:rPr>
            <w:color w:val="0000EE"/>
            <w:u w:val="single"/>
          </w:rPr>
          <w:t>Nm 14.21–23,34–35</w:t>
        </w:r>
      </w:hyperlink>
      <w:r>
        <w:t>).</w:t>
      </w:r>
    </w:p>
    <w:p>
      <w:r/>
      <w:r>
        <w:t>Quando Israel finalmente entrou em Canaã sob a liderança de Josué, Calebe tinha 85 anos (</w:t>
      </w:r>
      <w:hyperlink r:id="rId4043">
        <w:r>
          <w:rPr>
            <w:color w:val="0000EE"/>
            <w:u w:val="single"/>
          </w:rPr>
          <w:t>Js 14.6–7,10</w:t>
        </w:r>
      </w:hyperlink>
      <w:r>
        <w:t xml:space="preserve">). Josué designou Hebrom como o território de Calebe. Calebe conquistou os anaquins que viviam lá (vv. </w:t>
      </w:r>
      <w:hyperlink r:id="rId4044">
        <w:r>
          <w:rPr>
            <w:color w:val="0000EE"/>
            <w:u w:val="single"/>
          </w:rPr>
          <w:t>13–14</w:t>
        </w:r>
      </w:hyperlink>
      <w:r>
        <w:t>). Calebe ofereceu sua filha Acsa em casamento a quem conquistasse a cidade próxima de Quiriate-Sefer (também chamada Debir). Seu sobrinho Otniel (que era primo de Acsa) conquistou a cidade e casou-se com Acsa (</w:t>
      </w:r>
      <w:hyperlink r:id="rId4045">
        <w:r>
          <w:rPr>
            <w:color w:val="0000EE"/>
            <w:u w:val="single"/>
          </w:rPr>
          <w:t>15.16–17</w:t>
        </w:r>
      </w:hyperlink>
      <w:r>
        <w:t>).</w:t>
      </w:r>
    </w:p>
    <w:p>
      <w:r/>
      <w:r>
        <w:t>Hebrom mais tarde se tornou uma cidade de refúgio para os levitas (</w:t>
      </w:r>
      <w:hyperlink r:id="rId4046">
        <w:r>
          <w:rPr>
            <w:color w:val="0000EE"/>
            <w:u w:val="single"/>
          </w:rPr>
          <w:t>Js 21.13</w:t>
        </w:r>
      </w:hyperlink>
      <w:r>
        <w:t xml:space="preserve">; </w:t>
      </w:r>
      <w:hyperlink r:id="rId4047">
        <w:r>
          <w:rPr>
            <w:color w:val="0000EE"/>
            <w:u w:val="single"/>
          </w:rPr>
          <w:t>1Cr 6.55–57</w:t>
        </w:r>
      </w:hyperlink>
      <w:r>
        <w:t>). Em parte do território de Calebe, Davi passou um tempo se escondendo do rei Saul. Ali, Davi conheceu sua futura esposa Abigail, que na época era casada com Nabal, um descendente de Calebe (</w:t>
      </w:r>
      <w:hyperlink r:id="rId4048">
        <w:r>
          <w:rPr>
            <w:color w:val="0000EE"/>
            <w:u w:val="single"/>
          </w:rPr>
          <w:t>1Sm 25.3</w:t>
        </w:r>
      </w:hyperlink>
      <w:r>
        <w:t>). Esta área também foi onde as esposas de Davi foram capturadas por invasores amalequitas que haviam atacado o sul de Judá e "o Neguebe de Calebe" (</w:t>
      </w:r>
      <w:hyperlink r:id="rId4049">
        <w:r>
          <w:rPr>
            <w:color w:val="0000EE"/>
            <w:u w:val="single"/>
          </w:rPr>
          <w:t>1Sm 30.14</w:t>
        </w:r>
      </w:hyperlink>
      <w:r>
        <w:t>).</w:t>
      </w:r>
    </w:p>
    <w:p>
      <w:pPr>
        <w:pStyle w:val="ListNumber"/>
        <w:spacing w:line="240" w:lineRule="auto"/>
        <w:ind w:left="720"/>
      </w:pPr>
      <w:r/>
      <w:r>
        <w:t>Um filho de Hezrom e irmão de Jerameel (</w:t>
      </w:r>
      <w:hyperlink r:id="rId4050">
        <w:r>
          <w:rPr>
            <w:color w:val="0000EE"/>
            <w:u w:val="single"/>
          </w:rPr>
          <w:t>1Cr 2.18,42</w:t>
        </w:r>
      </w:hyperlink>
      <w:r>
        <w:t xml:space="preserve">). Este Calebe também é chamado de Quelubai (v. </w:t>
      </w:r>
      <w:hyperlink r:id="rId4051">
        <w:r>
          <w:rPr>
            <w:color w:val="0000EE"/>
            <w:u w:val="single"/>
          </w:rPr>
          <w:t>9</w:t>
        </w:r>
      </w:hyperlink>
      <w:r>
        <w:t>). Muitos estudiosos acham que pode ser a mesma pessoa que o Calebe mencionado acima. Eles acreditam nisso porque:</w:t>
      </w:r>
    </w:p>
    <w:p>
      <w:pPr>
        <w:pStyle w:val="ListNumber"/>
        <w:spacing w:line="240" w:lineRule="auto"/>
        <w:ind w:left="1440"/>
      </w:pPr>
      <w:r/>
      <w:r>
        <w:t xml:space="preserve">Ambos os homens têm uma filha chamada Acsa (v. </w:t>
      </w:r>
      <w:hyperlink r:id="rId4052">
        <w:r>
          <w:rPr>
            <w:color w:val="0000EE"/>
            <w:u w:val="single"/>
          </w:rPr>
          <w:t>49</w:t>
        </w:r>
      </w:hyperlink>
      <w:r>
        <w:t>).</w:t>
      </w:r>
    </w:p>
    <w:p>
      <w:pPr>
        <w:pStyle w:val="ListNumber"/>
        <w:spacing w:line="240" w:lineRule="auto"/>
        <w:ind w:left="1440"/>
      </w:pPr>
      <w:r/>
      <w:r>
        <w:t>Seria incomum para um Calebe, de outra forma desconhecido, ocupar um lugar tão importante nos registros da família.</w:t>
      </w:r>
    </w:p>
    <w:p>
      <w:r/>
      <w:r>
        <w:t>De acordo com esses estudiosos, Calebe é filho de Hezrom e neto de Judá, o que estabeleceu sua posição e herança na tribo de Judá. No entanto, Calebe era estrangeiro, sendo filho de Jefoné, um quenezeu, que se juntou, junto com seu clã, à tribo de Judá. Alguns estudiosos apoiam essa visão, argumentando que o nome Calebe é horita, não israelita.</w:t>
      </w:r>
    </w:p>
    <w:p>
      <w:pPr>
        <w:pStyle w:val="ListNumber"/>
        <w:spacing w:line="240" w:lineRule="auto"/>
        <w:ind w:left="720"/>
      </w:pPr>
      <w:r/>
      <w:r>
        <w:t>A Nova Tradução na Linguagem de Hoje chama Calebe de filho de Hur (</w:t>
      </w:r>
      <w:hyperlink r:id="rId4053">
        <w:r>
          <w:rPr>
            <w:color w:val="0000EE"/>
            <w:u w:val="single"/>
          </w:rPr>
          <w:t>1Cr 2.50</w:t>
        </w:r>
      </w:hyperlink>
      <w:r>
        <w:t>). No entanto, é provável que essa versão combine o que deveriam ser duas frases separadas. A Almeida Revista e Atualizada (ARA mostra corretamente isso como duas declarações separadas: “Estes foram os filhos de Calebe. Os filhos de Hur…”.</w:t>
      </w:r>
      <w:r/>
      <w:r/>
    </w:p>
    <w:p>
      <w:r/>
    </w:p>
    <w:p>
      <w:pPr>
        <w:pStyle w:val="Heading2"/>
      </w:pPr>
      <w:r>
        <w:t>Calendários, Antigos e modernos</w:t>
      </w:r>
      <w:r/>
    </w:p>
    <w:p>
      <w:r/>
      <w:r>
        <w:t>Representação visual do início e duração de cada ano e sua divisão em dias, semanas e meses. O calendário moderno geralmente é considerado algo outorgado. No entanto, sem um calendário, seria difícil concordar com uma linha do tempo uniforme de eventos. Além disso, seria impossível prever as estações.</w:t>
      </w:r>
    </w:p>
    <w:p>
      <w:r/>
      <w:r>
        <w:t>O calendário moderno (gregoriano) passou por várias etapas de desenvolvimento.</w:t>
      </w:r>
    </w:p>
    <w:p>
      <w:pPr>
        <w:pStyle w:val="Heading3"/>
      </w:pPr>
      <w:r>
        <w:t>Resumo:</w:t>
      </w:r>
    </w:p>
    <w:p>
      <w:r/>
      <w:r>
        <w:t>• Dias e suas divisões</w:t>
      </w:r>
    </w:p>
    <w:p>
      <w:r/>
      <w:r>
        <w:t>• Astronomia e o calendário</w:t>
      </w:r>
    </w:p>
    <w:p>
      <w:r/>
      <w:r>
        <w:t>• Calendário judaico</w:t>
      </w:r>
    </w:p>
    <w:p>
      <w:r/>
      <w:r>
        <w:t>• Festivais judaicos</w:t>
      </w:r>
    </w:p>
    <w:p>
      <w:r/>
      <w:r>
        <w:t>• Conclusão</w:t>
      </w:r>
    </w:p>
    <w:p>
      <w:pPr>
        <w:pStyle w:val="Heading3"/>
      </w:pPr>
      <w:r>
        <w:t>Dias e suas divisões</w:t>
      </w:r>
    </w:p>
    <w:p>
      <w:r/>
      <w:r>
        <w:t>A maneira mais antiga de registrar o tempo provavelmente foi contando os dias, o que levou à divisão de cada dia em vinte e quatro partes iguais chamadas horas. Os sumérios parecem ter sido os primeiros a medir o tempo em minutos, horas e dias. Eles também conheciam a definição mais restrita de "dia" como um período de doze horas.</w:t>
      </w:r>
    </w:p>
    <w:p>
      <w:r/>
      <w:r>
        <w:t>Nos dias do rei Acaz, o tempo era medido com relógios solares (</w:t>
      </w:r>
      <w:hyperlink r:id="rId4054">
        <w:r>
          <w:rPr>
            <w:color w:val="0000EE"/>
            <w:u w:val="single"/>
          </w:rPr>
          <w:t>2Rs 20.9</w:t>
        </w:r>
      </w:hyperlink>
      <w:r>
        <w:t xml:space="preserve">; </w:t>
      </w:r>
      <w:hyperlink r:id="rId4055">
        <w:r>
          <w:rPr>
            <w:color w:val="0000EE"/>
            <w:u w:val="single"/>
          </w:rPr>
          <w:t>Is 38.8</w:t>
        </w:r>
      </w:hyperlink>
      <w:r>
        <w:t>). A divisão do dia em horas surgiu mais tarde. Tanto os primeiros europeus quanto os antigos egípcios começavam o dia à meia-noite, dividindo-o em dois segmentos de doze horas. No segundo século a.C., o astrônomo egípcio Ptolomeu e seus seguidores calcularam o início do dia ao meio-dia, quando o sol estava em seu ponto mais alto. Em Roma, o dia começava ao nascer do sol, e a segunda parte do dia começava ao pôr do sol.</w:t>
      </w:r>
    </w:p>
    <w:p>
      <w:pPr>
        <w:pStyle w:val="Heading3"/>
      </w:pPr>
      <w:r>
        <w:t>Astronomia e o calendário</w:t>
      </w:r>
    </w:p>
    <w:p>
      <w:r/>
      <w:r>
        <w:t>Os povos antigos baseavam seus calendários nos "ciclos" do sol e da lua. Um ano solar é o tempo que a Terra leva para completar sua órbita ao redor do sol.</w:t>
      </w:r>
    </w:p>
    <w:p>
      <w:r/>
      <w:r>
        <w:t>A vida dos povos antigos estava intimamente ligada às mudanças de temperatura e à duração relativa dos dias e noites, características das quatro estações. A inclinação da Terra enquanto orbita o sol cria as estações do ano. No hemisfério norte, o dia mais longo do ano é chamado de solstício de verão (cerca de 21 de junho), enquanto o dia mais curto do ano é chamado de solstício de inverno (21 ou 22 de dezembro). Durante o solstício de inverno (21 ou 22 de dezembro), o sol do meio-dia aparece mais baixo (mais ao sul). No entanto, no hemisfério sul, verão e inverno são invertidos.</w:t>
      </w:r>
    </w:p>
    <w:p>
      <w:r/>
      <w:r>
        <w:t>O equinócio vernal (primavera) ocorre por volta de 21 de março, e o equinócio outonal (outono) acontece por volta de 23 de setembro. Nesses momentos, o sol está diretamente sobre o equador, fazendo com que os dias e as noites tenham a mesma duração. O termo “equinócio” vem da palavra latina que significa “noite igual”. Um ano solar era medido por povos antigos acompanhando o período entre dois solstícios ou equinócios semelhantes.</w:t>
      </w:r>
    </w:p>
    <w:p>
      <w:r/>
      <w:r>
        <w:t>O calendário solar define os dias acompanhando o tempo que o sol leva para retornar ao mesmo lugar acima da terra (por exemplo: o nascer, o pôr do sol ou o ponto mais alto ao meio-dia). Assim, um “dia” é uma rotação completa da Terra em seu eixo, agora dividida em vinte e quatro horas. A rotação da Terra em torno de seu eixo não está relacionada à órbita anual da Terra ao redor do sol. Por essa razão, surgem alguns problemas porque um ano solar não pode ser facilmente dividido em um número exato de dias. Na verdade, um ano solar tem 365 dias mais uma fração de um dia.</w:t>
      </w:r>
    </w:p>
    <w:p>
      <w:r/>
      <w:r>
        <w:t>Definir um ano por mais fatores do que apenas a rotação ao redor da Terra causa grandes problemas com o calendário. Os antigos enfrentaram dificuldades consideráveis ao tentar combinar períodos solares e lunares. Isso foi agravado pelo fato de que os meses correspondiam às fases da lua, que são pouco confiáveis. As órbitas do sol, da lua e da Terra causam muitas complicações.</w:t>
      </w:r>
    </w:p>
    <w:p>
      <w:r/>
      <w:r>
        <w:t>O calendário lunar mede o tempo por lunações (o número de dias entre luas novas). Um mês lunar tem pouco mais de vinte e nove dias e meio, começando com a lua nova. Na realidade, a órbita da lua em torno da Terra é de cerca de vinte e sete dias e um terço. No entanto, a rotação da Terra ao redor do sol faz com que a lua leve dois dias extras para chegar à mesma posição entre o sol e a Terra e produzir uma "lua nova".</w:t>
      </w:r>
    </w:p>
    <w:p>
      <w:r/>
      <w:r>
        <w:t>Doze meses lunares eram aproximadamente 11 dias mais curtos que o ano solar. Portanto, mais dias eram adicionados para compensar a diferença. A prática de adicionar dias é chamada de intercalação. Era um método comum usado em calendários lunares. Por exemplo, os antigos chineses adicionavam um mês extra a cada 30 anos ao seu calendário. Este ano seria composto por 12 meses de 29 ou 30 dias cada. O calendário lunar muçulmano, que ainda é usado no Islã, também tem um ciclo de 30 anos. O segundo ano de cada ciclo, e a cada três anos depois disso, contém um "ano bissexto" (um ano de duração anormal). No calendário muçulmano, um ano bissexto tem 355 dias, em vez do ano muçulmano comum de 354 dias. O antigo calendário hebraico tinha os mesmos problemas que outros calendários lunares.</w:t>
      </w:r>
    </w:p>
    <w:p>
      <w:pPr>
        <w:pStyle w:val="Heading3"/>
      </w:pPr>
      <w:r>
        <w:t>Calendário judaico</w:t>
      </w:r>
    </w:p>
    <w:p>
      <w:r/>
      <w:r>
        <w:t>As vidas dos antigos israelitas foram profundamente afetadas pelo calendário. O calendário judaico começa a partir da data suposta da Criação: 3.760 anos e três meses antes da era cristã. O ano atual no calendário judaico é 3.759 em relação à data no calendário gregoriano. No entanto, isso não leva em consideração os meses, já que o ano judaico começa no outono, em vez de 1º de janeiro.</w:t>
      </w:r>
    </w:p>
    <w:p>
      <w:pPr>
        <w:pStyle w:val="Heading4"/>
      </w:pPr>
      <w:r>
        <w:t>Meses</w:t>
      </w:r>
    </w:p>
    <w:p>
      <w:r/>
      <w:r>
        <w:t>O calendário judaico após o exílio babilônico possui doze meses. Os nomes dos meses foram emprestados dos babilônios. Os meses não se alinham com os meses do calendário romano.</w:t>
      </w:r>
    </w:p>
    <w:p>
      <w:r/>
      <w:r>
        <w:t>Mais da metade dos meses são mencionados no Antigo Testamento:</w:t>
      </w:r>
    </w:p>
    <w:p>
      <w:pPr>
        <w:pStyle w:val="ListBullet"/>
        <w:spacing w:line="240" w:lineRule="auto"/>
        <w:ind w:left="720"/>
      </w:pPr>
      <w:r/>
      <w:r>
        <w:t>Quisleu (</w:t>
      </w:r>
      <w:hyperlink r:id="rId4056">
        <w:r>
          <w:rPr>
            <w:color w:val="0000EE"/>
            <w:u w:val="single"/>
          </w:rPr>
          <w:t>Ne 1.1</w:t>
        </w:r>
      </w:hyperlink>
      <w:r>
        <w:t xml:space="preserve">; </w:t>
      </w:r>
      <w:hyperlink r:id="rId4057">
        <w:r>
          <w:rPr>
            <w:color w:val="0000EE"/>
            <w:u w:val="single"/>
          </w:rPr>
          <w:t>Zc 7</w:t>
        </w:r>
      </w:hyperlink>
      <w:r>
        <w:t>);</w:t>
      </w:r>
    </w:p>
    <w:p>
      <w:pPr>
        <w:pStyle w:val="ListBullet"/>
        <w:spacing w:line="240" w:lineRule="auto"/>
        <w:ind w:left="720"/>
      </w:pPr>
      <w:r/>
      <w:r>
        <w:t>Tebete (</w:t>
      </w:r>
      <w:hyperlink r:id="rId4058">
        <w:r>
          <w:rPr>
            <w:color w:val="0000EE"/>
            <w:u w:val="single"/>
          </w:rPr>
          <w:t>Et 2.16</w:t>
        </w:r>
      </w:hyperlink>
      <w:r>
        <w:t>);</w:t>
      </w:r>
    </w:p>
    <w:p>
      <w:pPr>
        <w:pStyle w:val="ListBullet"/>
        <w:spacing w:line="240" w:lineRule="auto"/>
        <w:ind w:left="720"/>
      </w:pPr>
      <w:r/>
      <w:r>
        <w:t>Sebate (</w:t>
      </w:r>
      <w:hyperlink r:id="rId4059">
        <w:r>
          <w:rPr>
            <w:color w:val="0000EE"/>
            <w:u w:val="single"/>
          </w:rPr>
          <w:t>Zc 1.7</w:t>
        </w:r>
      </w:hyperlink>
      <w:r>
        <w:t>);</w:t>
      </w:r>
    </w:p>
    <w:p>
      <w:pPr>
        <w:pStyle w:val="ListBullet"/>
        <w:spacing w:line="240" w:lineRule="auto"/>
        <w:ind w:left="720"/>
      </w:pPr>
      <w:r/>
      <w:r>
        <w:t>Adar (</w:t>
      </w:r>
      <w:hyperlink r:id="rId4060">
        <w:r>
          <w:rPr>
            <w:color w:val="0000EE"/>
            <w:u w:val="single"/>
          </w:rPr>
          <w:t>Et 3.7, 8.12</w:t>
        </w:r>
      </w:hyperlink>
      <w:r>
        <w:t>);</w:t>
      </w:r>
    </w:p>
    <w:p>
      <w:pPr>
        <w:pStyle w:val="ListBullet"/>
        <w:spacing w:line="240" w:lineRule="auto"/>
        <w:ind w:left="720"/>
      </w:pPr>
      <w:r/>
      <w:r>
        <w:t>Nissan (</w:t>
      </w:r>
      <w:hyperlink r:id="rId4061">
        <w:r>
          <w:rPr>
            <w:color w:val="0000EE"/>
            <w:u w:val="single"/>
          </w:rPr>
          <w:t>Ne 2.1</w:t>
        </w:r>
      </w:hyperlink>
      <w:r>
        <w:t xml:space="preserve">; </w:t>
      </w:r>
      <w:hyperlink r:id="rId4062">
        <w:r>
          <w:rPr>
            <w:color w:val="0000EE"/>
            <w:u w:val="single"/>
          </w:rPr>
          <w:t>Et 3.7</w:t>
        </w:r>
      </w:hyperlink>
      <w:r>
        <w:t>);</w:t>
      </w:r>
    </w:p>
    <w:p>
      <w:pPr>
        <w:pStyle w:val="ListBullet"/>
        <w:spacing w:line="240" w:lineRule="auto"/>
        <w:ind w:left="720"/>
      </w:pPr>
      <w:r/>
      <w:r>
        <w:t>Sivã (</w:t>
      </w:r>
      <w:hyperlink r:id="rId4063">
        <w:r>
          <w:rPr>
            <w:color w:val="0000EE"/>
            <w:u w:val="single"/>
          </w:rPr>
          <w:t>Et 8.9</w:t>
        </w:r>
      </w:hyperlink>
      <w:r>
        <w:t>);</w:t>
      </w:r>
    </w:p>
    <w:p>
      <w:pPr>
        <w:pStyle w:val="ListBullet"/>
        <w:spacing w:line="240" w:lineRule="auto"/>
        <w:ind w:left="720"/>
      </w:pPr>
      <w:r/>
      <w:r>
        <w:t>Elul (</w:t>
      </w:r>
      <w:hyperlink r:id="rId4064">
        <w:r>
          <w:rPr>
            <w:color w:val="0000EE"/>
            <w:u w:val="single"/>
          </w:rPr>
          <w:t>Ne 6.15</w:t>
        </w:r>
      </w:hyperlink>
      <w:r>
        <w:t>).</w:t>
      </w:r>
    </w:p>
    <w:p>
      <w:r/>
      <w:r>
        <w:t>O mês judaico sempre começa com a lua nova. Como os meses têm aproximadamente vinte e nove dias e meio, o ano judaico tem 354 dias. Não temos certeza de como o povo judeu originalmente ajustou o calendário lunar para se alinhar novamente com o ano solar real. Finalmente, eles adicionaram um mês extra chamado Veader ("segundo Adar") entre Adar e Nissan sete vezes em um ciclo de 19 anos. No século 19, Adar receberia meio dia extra.</w:t>
      </w:r>
    </w:p>
    <w:p>
      <w:r/>
      <w:r>
        <w:t>Os nomes dos meses judaicos, como são conhecidos atualmente, originaram-se após o retorno da Babilônia para a Palestina. Antes do exílio babilônico, pelo menos quatro outros nomes eram usados:</w:t>
      </w:r>
    </w:p>
    <w:p>
      <w:pPr>
        <w:pStyle w:val="ListBullet"/>
        <w:spacing w:line="240" w:lineRule="auto"/>
        <w:ind w:left="720"/>
      </w:pPr>
      <w:r/>
      <w:r>
        <w:t>Abibe (</w:t>
      </w:r>
      <w:hyperlink r:id="rId4065">
        <w:r>
          <w:rPr>
            <w:color w:val="0000EE"/>
            <w:u w:val="single"/>
          </w:rPr>
          <w:t>Êx 13.4</w:t>
        </w:r>
      </w:hyperlink>
      <w:r>
        <w:t>);</w:t>
      </w:r>
    </w:p>
    <w:p>
      <w:pPr>
        <w:pStyle w:val="ListBullet"/>
        <w:spacing w:line="240" w:lineRule="auto"/>
        <w:ind w:left="720"/>
      </w:pPr>
      <w:r/>
      <w:r>
        <w:t>Zive (</w:t>
      </w:r>
      <w:hyperlink r:id="rId4066">
        <w:r>
          <w:rPr>
            <w:color w:val="0000EE"/>
            <w:u w:val="single"/>
          </w:rPr>
          <w:t>1Rs 6.1,37</w:t>
        </w:r>
      </w:hyperlink>
      <w:r>
        <w:t>);</w:t>
      </w:r>
    </w:p>
    <w:p>
      <w:pPr>
        <w:pStyle w:val="ListBullet"/>
        <w:spacing w:line="240" w:lineRule="auto"/>
        <w:ind w:left="720"/>
      </w:pPr>
      <w:r/>
      <w:r>
        <w:t>Etanim (</w:t>
      </w:r>
      <w:hyperlink r:id="rId4067">
        <w:r>
          <w:rPr>
            <w:color w:val="0000EE"/>
            <w:u w:val="single"/>
          </w:rPr>
          <w:t>8.2</w:t>
        </w:r>
      </w:hyperlink>
      <w:r>
        <w:t>);</w:t>
      </w:r>
    </w:p>
    <w:p>
      <w:pPr>
        <w:pStyle w:val="ListBullet"/>
        <w:spacing w:line="240" w:lineRule="auto"/>
        <w:ind w:left="720"/>
      </w:pPr>
      <w:r/>
      <w:r>
        <w:t>Bul (</w:t>
      </w:r>
      <w:hyperlink r:id="rId4068">
        <w:r>
          <w:rPr>
            <w:color w:val="0000EE"/>
            <w:u w:val="single"/>
          </w:rPr>
          <w:t>6.38</w:t>
        </w:r>
      </w:hyperlink>
      <w:r>
        <w:t>).</w:t>
      </w:r>
    </w:p>
    <w:p>
      <w:r/>
      <w:r>
        <w:t>Após o cativeiro babilônico, esses meses foram renomeados para Nissan, Iyar, Tishri e Heshvan, respectivamente. Os nomes originais estavam relacionados à agricultura. Por exemplo, em Abibe, as espigas do grão amadureciam, e em Zive, as flores do deserto floresciam.</w:t>
      </w:r>
    </w:p>
    <w:p>
      <w:r/>
      <w:r>
        <w:t>O calendário hebraico mais antigo foi encontrado em Gezer (sudeste de Tel Aviv) em 1908. Foi criado no século dez a.C. Nele, os meses são divididos por atividades agrícolas como semeadura, colheita, poda e armazenamento. Provavelmente foi feito por um estudante judeu.</w:t>
      </w:r>
    </w:p>
    <w:p>
      <w:r/>
      <w:r>
        <w:t>Os meses tinham um significado religioso para o povo judeu, permitindo-lhes lembrar de eventos importantes em sua história. O início de cada mês era considerado sagrado. A lua era um símbolo espiritual para os antigos israelitas, representando Israel, enquanto o sol eventualmente se tornou simbólico do Messias, o ungido de Deus (</w:t>
      </w:r>
      <w:hyperlink r:id="rId1547">
        <w:r>
          <w:rPr>
            <w:color w:val="0000EE"/>
            <w:u w:val="single"/>
          </w:rPr>
          <w:t>Ml 4.2</w:t>
        </w:r>
      </w:hyperlink>
      <w:r>
        <w:t>). Assim como a lua não produz luz própria, Israel deveria refletir a luz do Messias para o mundo.</w:t>
      </w:r>
    </w:p>
    <w:p>
      <w:r/>
      <w:r>
        <w:t>O calendário judaico permaneceu inalterado durante os quatrocentos anos entre o Antigo Testamento e o Novo Testamento, mesmo com as tentativas dos governantes gregos de modificá-lo. No calendário grego, cinco dias foram adicionados ao último mês do ano, com cada um dos 12 meses contendo 30 dias. Mesmo assim, não correspondia à duração de um ano solar.</w:t>
      </w:r>
    </w:p>
    <w:p>
      <w:pPr>
        <w:pStyle w:val="Heading4"/>
      </w:pPr>
      <w:r>
        <w:t>Contagem de datas</w:t>
      </w:r>
    </w:p>
    <w:p>
      <w:r/>
      <w:r>
        <w:t>Os antigos israelitas não registravam datas por mês e dia. Eles registravam datas referenciando eventos significativos, como o ano em que o rei governante subiu ao poder. Nos tempos do Novo Testamento, os judeus continuaram esse método sincronizando datas com seu calendário religioso ou o calendário romano. Os escritores do Novo Testamento seguiram o mesmo princípio (</w:t>
      </w:r>
      <w:hyperlink r:id="rId4069">
        <w:r>
          <w:rPr>
            <w:color w:val="0000EE"/>
            <w:u w:val="single"/>
          </w:rPr>
          <w:t>Lc 1.5</w:t>
        </w:r>
      </w:hyperlink>
      <w:r>
        <w:t xml:space="preserve">; </w:t>
      </w:r>
      <w:hyperlink r:id="rId4070">
        <w:r>
          <w:rPr>
            <w:color w:val="0000EE"/>
            <w:u w:val="single"/>
          </w:rPr>
          <w:t>Jo 12.1</w:t>
        </w:r>
      </w:hyperlink>
      <w:r>
        <w:t xml:space="preserve">; </w:t>
      </w:r>
      <w:hyperlink r:id="rId4071">
        <w:r>
          <w:rPr>
            <w:color w:val="0000EE"/>
            <w:u w:val="single"/>
          </w:rPr>
          <w:t>At 18.12</w:t>
        </w:r>
      </w:hyperlink>
      <w:r>
        <w:t>). O calendário criado por Júlio César fez com que as pessoas mudassem desse método para um sistema mais padronizado.</w:t>
      </w:r>
    </w:p>
    <w:p>
      <w:pPr>
        <w:pStyle w:val="Heading3"/>
      </w:pPr>
      <w:r>
        <w:t>Festas judaicas</w:t>
      </w:r>
    </w:p>
    <w:p>
      <w:r/>
      <w:r>
        <w:t>Além de guardar o sábado, os judeus observam sete festivais anuais.</w:t>
      </w:r>
    </w:p>
    <w:p>
      <w:r/>
      <w:r>
        <w:t xml:space="preserve">1. </w:t>
      </w:r>
      <w:r>
        <w:rPr>
          <w:b/>
        </w:rPr>
        <w:t>Páscoa</w:t>
      </w:r>
      <w:r>
        <w:t xml:space="preserve"> começa na noite do 14º dia de Nissan. Isto marca o Êxodo do Egito. O primeiro dia de Nissan determina a data para o Páscoa. A Páscoa é observada por sete dias e inclui a Festa dos Pães Asmos, que simboliza a rápida preparação de Israel para a fuga do Egito (</w:t>
      </w:r>
      <w:hyperlink r:id="rId3058">
        <w:r>
          <w:rPr>
            <w:color w:val="0000EE"/>
            <w:u w:val="single"/>
          </w:rPr>
          <w:t>Êx 12.15</w:t>
        </w:r>
      </w:hyperlink>
      <w:r>
        <w:t>). O festival dos primeiros frutos da colheita de cevada ocorre em seguida (</w:t>
      </w:r>
      <w:hyperlink r:id="rId4072">
        <w:r>
          <w:rPr>
            <w:color w:val="0000EE"/>
            <w:u w:val="single"/>
          </w:rPr>
          <w:t>Lv 23.10</w:t>
        </w:r>
      </w:hyperlink>
      <w:r>
        <w:t>).</w:t>
      </w:r>
    </w:p>
    <w:p>
      <w:r/>
      <w:r>
        <w:t xml:space="preserve">2. </w:t>
      </w:r>
      <w:r>
        <w:rPr>
          <w:b/>
        </w:rPr>
        <w:t>Pentecostes</w:t>
      </w:r>
      <w:r>
        <w:t xml:space="preserve"> é observado 50 dias após a Páscoa. Pentecostes é um tempo de celebração em que os primeiros frutos da colheita de trigo são recolhidos (</w:t>
      </w:r>
      <w:hyperlink r:id="rId4073">
        <w:r>
          <w:rPr>
            <w:color w:val="0000EE"/>
            <w:u w:val="single"/>
          </w:rPr>
          <w:t>Êx 34.22</w:t>
        </w:r>
      </w:hyperlink>
      <w:r>
        <w:t xml:space="preserve">; </w:t>
      </w:r>
      <w:hyperlink r:id="rId4074">
        <w:r>
          <w:rPr>
            <w:color w:val="0000EE"/>
            <w:u w:val="single"/>
          </w:rPr>
          <w:t>Lv 23.15–17</w:t>
        </w:r>
      </w:hyperlink>
      <w:r>
        <w:t>).</w:t>
      </w:r>
    </w:p>
    <w:p>
      <w:r/>
      <w:r>
        <w:t xml:space="preserve">3. </w:t>
      </w:r>
      <w:r>
        <w:rPr>
          <w:b/>
        </w:rPr>
        <w:t>Rosh Hashaná</w:t>
      </w:r>
      <w:r>
        <w:t xml:space="preserve"> é observado no 1º de Tishri. De acordo com os rabinos, o dia 1º de Tishri foi o dia em que o Senhor criou o mundo. Rosh Hashaná significa "cabeça do ano" ou “início do ano”.</w:t>
      </w:r>
    </w:p>
    <w:p>
      <w:r/>
      <w:r>
        <w:t xml:space="preserve">4. </w:t>
      </w:r>
      <w:r>
        <w:rPr>
          <w:b/>
        </w:rPr>
        <w:t>Yom Kipur</w:t>
      </w:r>
      <w:r>
        <w:t xml:space="preserve"> é observado no 10º dia de Tishri. É o dia mais solene de Israel, um dia sagrado conhecido como "o Sábado dos Sábados". O ritual complexo necessário para observá-lo é descrito na Bíblia (</w:t>
      </w:r>
      <w:hyperlink r:id="rId403">
        <w:r>
          <w:rPr>
            <w:color w:val="0000EE"/>
            <w:u w:val="single"/>
          </w:rPr>
          <w:t>Lv 16</w:t>
        </w:r>
      </w:hyperlink>
      <w:r>
        <w:t>).</w:t>
      </w:r>
    </w:p>
    <w:p>
      <w:r/>
      <w:r>
        <w:t xml:space="preserve">5. </w:t>
      </w:r>
      <w:r>
        <w:rPr>
          <w:b/>
        </w:rPr>
        <w:t>Sucote</w:t>
      </w:r>
      <w:r>
        <w:t xml:space="preserve"> é observado dos dias 15º–22º de Tishri. Também é conhecido como a Festa dos Tabernáculos. É um festival baseado em costumes agrícolas e celebra a colheita do outono. O apóstolo João a chamou de “a festa” (</w:t>
      </w:r>
      <w:hyperlink r:id="rId4075">
        <w:r>
          <w:rPr>
            <w:color w:val="0000EE"/>
            <w:u w:val="single"/>
          </w:rPr>
          <w:t>Jo 7.37</w:t>
        </w:r>
      </w:hyperlink>
      <w:r>
        <w:t>). A Festa dos Tabernáculos também é chamada de Festa das Cabanas (Abrigos) e lembra o cuidado de Deus com seu povo durante os 40 anos de Israel no deserto (</w:t>
      </w:r>
      <w:hyperlink r:id="rId402">
        <w:r>
          <w:rPr>
            <w:color w:val="0000EE"/>
            <w:u w:val="single"/>
          </w:rPr>
          <w:t>Lv 23.39–43</w:t>
        </w:r>
      </w:hyperlink>
      <w:r>
        <w:t>).</w:t>
      </w:r>
    </w:p>
    <w:p>
      <w:r/>
      <w:r>
        <w:t xml:space="preserve">6. </w:t>
      </w:r>
      <w:r>
        <w:rPr>
          <w:b/>
        </w:rPr>
        <w:t>Hanucá</w:t>
      </w:r>
      <w:r>
        <w:t xml:space="preserve"> é observado no dia 25 de quisleu e nos sete dias seguintes. Foi adicionado ao calendário mais tarde na história judaica. Também é chamado de Festa da Dedicação. Comemora a vitória de Judas Macabeu sobre Antíoco Epifânio e os sírios, 150 anos antes de Cristo. O tempo de Judas Macabeu ocorreu após o último dos profetas do Antigo Testamento. Assim, a tradição determina como Hanucá é celebrado. Durante a semana de Hanucá, atividades alegres marcam o calendário judaico.</w:t>
      </w:r>
    </w:p>
    <w:p>
      <w:r/>
      <w:r>
        <w:t xml:space="preserve">7. </w:t>
      </w:r>
      <w:r>
        <w:rPr>
          <w:b/>
        </w:rPr>
        <w:t>Purim</w:t>
      </w:r>
      <w:r>
        <w:t xml:space="preserve"> é celebrado nos dias 14 e 15 de Adar. A festa, que começou na antiga Pérsia, comemora a libertação trazida por Mordecai e Ester quando eles impediram o plano de Hamã de destruir os judeus (</w:t>
      </w:r>
      <w:hyperlink r:id="rId4076">
        <w:r>
          <w:rPr>
            <w:color w:val="0000EE"/>
            <w:u w:val="single"/>
          </w:rPr>
          <w:t>Et 9</w:t>
        </w:r>
      </w:hyperlink>
      <w:r>
        <w:t>).</w:t>
      </w:r>
    </w:p>
    <w:p>
      <w:pPr>
        <w:pStyle w:val="Heading3"/>
      </w:pPr>
      <w:r>
        <w:t>Conclusão</w:t>
      </w:r>
    </w:p>
    <w:p>
      <w:r/>
      <w:r>
        <w:t>Assim como os antigos relógios solares e os relógios modernos marcam minutos e horas, um calendário marca dias, semanas, meses, anos e até séculos. Uma maneira uniforme de medir o tempo ajuda na agricultura, nos negócios e no governo. Também é útil para historiadores e unifica a celebração de festivais religiosos. O desenvolvimento do calendário moderno (gregoriano) reflete tanto a ciência quanto as tradições religiosas. Para os cristãos, o calendário destaca o contraste bíblico entre a atemporalidade de Deus e a mortalidade humana (</w:t>
      </w:r>
      <w:hyperlink r:id="rId4077">
        <w:r>
          <w:rPr>
            <w:color w:val="0000EE"/>
            <w:u w:val="single"/>
          </w:rPr>
          <w:t>Sl 90</w:t>
        </w:r>
      </w:hyperlink>
      <w:r>
        <w:t>). O Salmo 90 pede a Deus para “nos ensinar a contar nossos dias, para que possamos apresentar um coração sábio” (</w:t>
      </w:r>
      <w:hyperlink r:id="rId4078">
        <w:r>
          <w:rPr>
            <w:color w:val="0000EE"/>
            <w:u w:val="single"/>
          </w:rPr>
          <w:t>Sl 90.12</w:t>
        </w:r>
      </w:hyperlink>
      <w:r>
        <w:t>).</w:t>
      </w:r>
    </w:p>
    <w:p>
      <w:r/>
      <w:r>
        <w:rPr>
          <w:i/>
        </w:rPr>
        <w:t>Veja também</w:t>
      </w:r>
      <w:r>
        <w:t xml:space="preserve"> </w:t>
      </w:r>
      <w:r>
        <w:t>Astrologia</w:t>
      </w:r>
      <w:r>
        <w:t xml:space="preserve">; </w:t>
      </w:r>
      <w:r>
        <w:t>Astronomia</w:t>
      </w:r>
      <w:r>
        <w:t xml:space="preserve">; </w:t>
      </w:r>
      <w:r>
        <w:t>Dia</w:t>
      </w:r>
      <w:r>
        <w:t xml:space="preserve">; </w:t>
      </w:r>
      <w:r>
        <w:t>Festas e festivais de Israel</w:t>
      </w:r>
      <w:r>
        <w:t xml:space="preserve">; </w:t>
      </w:r>
      <w:r>
        <w:t>Ano do Jubileu</w:t>
      </w:r>
      <w:r>
        <w:t xml:space="preserve">; </w:t>
      </w:r>
      <w:r>
        <w:t>Lua</w:t>
      </w:r>
      <w:r>
        <w:t xml:space="preserve">; </w:t>
      </w:r>
      <w:r>
        <w:t>Noite</w:t>
      </w:r>
      <w:r>
        <w:t xml:space="preserve">; </w:t>
      </w:r>
      <w:r>
        <w:t>Sol</w:t>
      </w:r>
      <w:r>
        <w:t>.</w:t>
      </w:r>
      <w:r/>
      <w:r/>
    </w:p>
    <w:p>
      <w:r/>
    </w:p>
    <w:p>
      <w:pPr>
        <w:pStyle w:val="Heading2"/>
      </w:pPr>
      <w:r>
        <w:t>Cálice</w:t>
      </w:r>
      <w:r/>
    </w:p>
    <w:p>
      <w:r/>
      <w:r>
        <w:t>A palavra pode se referir tanto ao recipiente em si quanto ao seu conteúdo e pode ser usada de forma literal ou figurativa.</w:t>
      </w:r>
    </w:p>
    <w:p>
      <w:r/>
      <w:r>
        <w:t>1. Um pequeno recipiente para beber, feito de vários materiais (couro, metal ou cerâmica), tamanhos e modelos.</w:t>
      </w:r>
    </w:p>
    <w:p>
      <w:r/>
      <w:r>
        <w:t>2. Uma figura de linguagem que representa a porção ou a participação de alguém em algo. Está associado com consolação (</w:t>
      </w:r>
      <w:hyperlink r:id="rId4079">
        <w:r>
          <w:rPr>
            <w:color w:val="0000EE"/>
            <w:u w:val="single"/>
          </w:rPr>
          <w:t>Jr 16.7</w:t>
        </w:r>
      </w:hyperlink>
      <w:r>
        <w:t>), demônios (</w:t>
      </w:r>
      <w:hyperlink r:id="rId4080">
        <w:r>
          <w:rPr>
            <w:color w:val="0000EE"/>
            <w:u w:val="single"/>
          </w:rPr>
          <w:t>1Co 10.21</w:t>
        </w:r>
      </w:hyperlink>
      <w:r>
        <w:t>), adivinhação (</w:t>
      </w:r>
      <w:hyperlink r:id="rId4081">
        <w:r>
          <w:rPr>
            <w:color w:val="0000EE"/>
            <w:u w:val="single"/>
          </w:rPr>
          <w:t>Gn 44.2,5</w:t>
        </w:r>
      </w:hyperlink>
      <w:r>
        <w:t>), embriaguez (</w:t>
      </w:r>
      <w:hyperlink r:id="rId4082">
        <w:r>
          <w:rPr>
            <w:color w:val="0000EE"/>
            <w:u w:val="single"/>
          </w:rPr>
          <w:t>Pv 23.31</w:t>
        </w:r>
      </w:hyperlink>
      <w:r>
        <w:t>), imoralidade (</w:t>
      </w:r>
      <w:hyperlink r:id="rId4083">
        <w:r>
          <w:rPr>
            <w:color w:val="0000EE"/>
            <w:u w:val="single"/>
          </w:rPr>
          <w:t>Ap 17.4</w:t>
        </w:r>
      </w:hyperlink>
      <w:r>
        <w:t xml:space="preserve">; </w:t>
      </w:r>
      <w:hyperlink r:id="rId4084">
        <w:r>
          <w:rPr>
            <w:color w:val="0000EE"/>
            <w:u w:val="single"/>
          </w:rPr>
          <w:t>18.6</w:t>
        </w:r>
      </w:hyperlink>
      <w:r>
        <w:t>), herança (</w:t>
      </w:r>
      <w:hyperlink r:id="rId4085">
        <w:r>
          <w:rPr>
            <w:color w:val="0000EE"/>
            <w:u w:val="single"/>
          </w:rPr>
          <w:t>Sl 16.5</w:t>
        </w:r>
      </w:hyperlink>
      <w:r>
        <w:t>), julgamento (</w:t>
      </w:r>
      <w:hyperlink r:id="rId4086">
        <w:r>
          <w:rPr>
            <w:color w:val="0000EE"/>
            <w:u w:val="single"/>
          </w:rPr>
          <w:t>Sl 11.6</w:t>
        </w:r>
      </w:hyperlink>
      <w:r>
        <w:t xml:space="preserve">; </w:t>
      </w:r>
      <w:hyperlink r:id="rId4087">
        <w:r>
          <w:rPr>
            <w:color w:val="0000EE"/>
            <w:u w:val="single"/>
          </w:rPr>
          <w:t>75.8</w:t>
        </w:r>
      </w:hyperlink>
      <w:r>
        <w:t xml:space="preserve">; </w:t>
      </w:r>
      <w:hyperlink r:id="rId4088">
        <w:r>
          <w:rPr>
            <w:color w:val="0000EE"/>
            <w:u w:val="single"/>
          </w:rPr>
          <w:t>Is 51.17,22</w:t>
        </w:r>
      </w:hyperlink>
      <w:r>
        <w:t xml:space="preserve">; </w:t>
      </w:r>
      <w:hyperlink r:id="rId4089">
        <w:r>
          <w:rPr>
            <w:color w:val="0000EE"/>
            <w:u w:val="single"/>
          </w:rPr>
          <w:t>Jr 49.12</w:t>
        </w:r>
      </w:hyperlink>
      <w:r>
        <w:t xml:space="preserve">; </w:t>
      </w:r>
      <w:hyperlink r:id="rId4090">
        <w:r>
          <w:rPr>
            <w:color w:val="0000EE"/>
            <w:u w:val="single"/>
          </w:rPr>
          <w:t>Ez 23.33</w:t>
        </w:r>
      </w:hyperlink>
      <w:r>
        <w:t xml:space="preserve">; </w:t>
      </w:r>
      <w:hyperlink r:id="rId4091">
        <w:r>
          <w:rPr>
            <w:color w:val="0000EE"/>
            <w:u w:val="single"/>
          </w:rPr>
          <w:t>Zc 12.2</w:t>
        </w:r>
      </w:hyperlink>
      <w:r>
        <w:t xml:space="preserve">; </w:t>
      </w:r>
      <w:hyperlink r:id="rId4092">
        <w:r>
          <w:rPr>
            <w:color w:val="0000EE"/>
            <w:u w:val="single"/>
          </w:rPr>
          <w:t>Ap 14.10</w:t>
        </w:r>
      </w:hyperlink>
      <w:r>
        <w:t xml:space="preserve">; </w:t>
      </w:r>
      <w:hyperlink r:id="rId4093">
        <w:r>
          <w:rPr>
            <w:color w:val="0000EE"/>
            <w:u w:val="single"/>
          </w:rPr>
          <w:t>16.19</w:t>
        </w:r>
      </w:hyperlink>
      <w:r>
        <w:t xml:space="preserve">; </w:t>
      </w:r>
      <w:hyperlink r:id="rId4084">
        <w:r>
          <w:rPr>
            <w:color w:val="0000EE"/>
            <w:u w:val="single"/>
          </w:rPr>
          <w:t>18.6</w:t>
        </w:r>
      </w:hyperlink>
      <w:r>
        <w:t>), o Senhor (</w:t>
      </w:r>
      <w:hyperlink r:id="rId4080">
        <w:r>
          <w:rPr>
            <w:color w:val="0000EE"/>
            <w:u w:val="single"/>
          </w:rPr>
          <w:t>1Co 10.21</w:t>
        </w:r>
      </w:hyperlink>
      <w:r>
        <w:t>), prosperidade ou bênção (</w:t>
      </w:r>
      <w:hyperlink r:id="rId4094">
        <w:r>
          <w:rPr>
            <w:color w:val="0000EE"/>
            <w:u w:val="single"/>
          </w:rPr>
          <w:t>Sl 23.5</w:t>
        </w:r>
      </w:hyperlink>
      <w:r>
        <w:t>), salvação (</w:t>
      </w:r>
      <w:hyperlink r:id="rId4095">
        <w:r>
          <w:rPr>
            <w:color w:val="0000EE"/>
            <w:u w:val="single"/>
          </w:rPr>
          <w:t>Sl 116.13</w:t>
        </w:r>
      </w:hyperlink>
      <w:r>
        <w:t>), sofrimento (</w:t>
      </w:r>
      <w:hyperlink r:id="rId4096">
        <w:r>
          <w:rPr>
            <w:color w:val="0000EE"/>
            <w:u w:val="single"/>
          </w:rPr>
          <w:t>Mt 20.22</w:t>
        </w:r>
      </w:hyperlink>
      <w:r>
        <w:t xml:space="preserve">; </w:t>
      </w:r>
      <w:hyperlink r:id="rId4097">
        <w:r>
          <w:rPr>
            <w:color w:val="0000EE"/>
            <w:u w:val="single"/>
          </w:rPr>
          <w:t>26.39</w:t>
        </w:r>
      </w:hyperlink>
      <w:r>
        <w:t xml:space="preserve">; </w:t>
      </w:r>
      <w:hyperlink r:id="rId4098">
        <w:r>
          <w:rPr>
            <w:color w:val="0000EE"/>
            <w:u w:val="single"/>
          </w:rPr>
          <w:t>Mc 10.39</w:t>
        </w:r>
      </w:hyperlink>
      <w:r>
        <w:t xml:space="preserve">; </w:t>
      </w:r>
      <w:hyperlink r:id="rId4099">
        <w:r>
          <w:rPr>
            <w:color w:val="0000EE"/>
            <w:u w:val="single"/>
          </w:rPr>
          <w:t>14.36</w:t>
        </w:r>
      </w:hyperlink>
      <w:r>
        <w:t xml:space="preserve">; </w:t>
      </w:r>
      <w:hyperlink r:id="rId4100">
        <w:r>
          <w:rPr>
            <w:color w:val="0000EE"/>
            <w:u w:val="single"/>
          </w:rPr>
          <w:t>Lc 22.42</w:t>
        </w:r>
      </w:hyperlink>
      <w:r>
        <w:t xml:space="preserve">; </w:t>
      </w:r>
      <w:hyperlink r:id="rId4101">
        <w:r>
          <w:rPr>
            <w:color w:val="0000EE"/>
            <w:u w:val="single"/>
          </w:rPr>
          <w:t>Jo 18.11</w:t>
        </w:r>
      </w:hyperlink>
      <w:r>
        <w:t>) e ação de graças (</w:t>
      </w:r>
      <w:hyperlink r:id="rId4102">
        <w:r>
          <w:rPr>
            <w:color w:val="0000EE"/>
            <w:u w:val="single"/>
          </w:rPr>
          <w:t>1Co 10.16</w:t>
        </w:r>
      </w:hyperlink>
      <w:r>
        <w:t>).</w:t>
      </w:r>
    </w:p>
    <w:p>
      <w:r/>
      <w:r>
        <w:rPr>
          <w:i/>
        </w:rPr>
        <w:t>Veja também</w:t>
      </w:r>
      <w:r>
        <w:t xml:space="preserve"> </w:t>
      </w:r>
      <w:r>
        <w:t>Cálice de Bênção</w:t>
      </w:r>
      <w:r>
        <w:t>.</w:t>
      </w:r>
      <w:r/>
      <w:r/>
    </w:p>
    <w:p>
      <w:r/>
    </w:p>
    <w:p>
      <w:pPr>
        <w:pStyle w:val="Heading2"/>
      </w:pPr>
      <w:r>
        <w:t>Calné</w:t>
      </w:r>
      <w:r/>
    </w:p>
    <w:p>
      <w:r/>
      <w:r>
        <w:t>1. Cidade na Babilônia (</w:t>
      </w:r>
      <w:hyperlink r:id="rId250">
        <w:r>
          <w:rPr>
            <w:color w:val="0000EE"/>
            <w:u w:val="single"/>
          </w:rPr>
          <w:t>Gn 10.10</w:t>
        </w:r>
      </w:hyperlink>
      <w:r>
        <w:t>). A Bíblia NTLH omite o nome Calné da lista de cidade no texto referido.</w:t>
      </w:r>
    </w:p>
    <w:p>
      <w:r/>
      <w:r>
        <w:t xml:space="preserve">2. Cidade identificada como Kullani (Kullan Koy), cerca de 32 quilômetros ao norte de Aleppo, no norte da Síria. Esta identificação ao norte é sugerida em </w:t>
      </w:r>
      <w:hyperlink r:id="rId4103">
        <w:r>
          <w:rPr>
            <w:color w:val="0000EE"/>
            <w:u w:val="single"/>
          </w:rPr>
          <w:t>Isaías 10.9</w:t>
        </w:r>
      </w:hyperlink>
      <w:r>
        <w:t xml:space="preserve">, onde Calno é associada a Carquemis, cerca de 80 quilômetros a nordeste, bem como no contexto de </w:t>
      </w:r>
      <w:hyperlink r:id="rId4104">
        <w:r>
          <w:rPr>
            <w:color w:val="0000EE"/>
            <w:u w:val="single"/>
          </w:rPr>
          <w:t>Amós 6.2</w:t>
        </w:r>
      </w:hyperlink>
      <w:r>
        <w:t xml:space="preserve"> (note a progressão de norte a sul—Calné, Hamate, Gate). Cane em </w:t>
      </w:r>
      <w:hyperlink r:id="rId4105">
        <w:r>
          <w:rPr>
            <w:color w:val="0000EE"/>
            <w:u w:val="single"/>
          </w:rPr>
          <w:t>Ezequiel 27.23</w:t>
        </w:r>
      </w:hyperlink>
      <w:r>
        <w:t xml:space="preserve"> parece referir-se à mesma localização geral e talvez deva ser ligada a Calné. Kullani foi capturada por Tiglate-Pileser II, rei da Assíria, por volta de 741 a.C.</w:t>
      </w:r>
      <w:r/>
      <w:r/>
    </w:p>
    <w:p>
      <w:r/>
    </w:p>
    <w:p>
      <w:pPr>
        <w:pStyle w:val="Heading2"/>
      </w:pPr>
      <w:r>
        <w:t>Calvície</w:t>
      </w:r>
      <w:r/>
    </w:p>
    <w:p>
      <w:r/>
      <w:r>
        <w:t>A condição de ter pouco ou nenhum cabelo no couro cabeludo.</w:t>
      </w:r>
    </w:p>
    <w:p>
      <w:r/>
      <w:r>
        <w:t>A Bíblia refere-se indiretamente à calvície natural devido à idade, contrastando-a com a calvície causada pela lepra (</w:t>
      </w:r>
      <w:hyperlink r:id="rId4106">
        <w:r>
          <w:rPr>
            <w:color w:val="0000EE"/>
            <w:u w:val="single"/>
          </w:rPr>
          <w:t>Lv 13.40–42</w:t>
        </w:r>
      </w:hyperlink>
      <w:r>
        <w:t>). Os israelitas eram proibidos de raspar a cabeça ou moldar a barba de maneiras que imitassem práticas religiosas pagãs (</w:t>
      </w:r>
      <w:hyperlink r:id="rId4107">
        <w:r>
          <w:rPr>
            <w:color w:val="0000EE"/>
            <w:u w:val="single"/>
          </w:rPr>
          <w:t>Dt 14.1</w:t>
        </w:r>
      </w:hyperlink>
      <w:r>
        <w:t>), com tais restrições aplicando-se particularmente aos sacerdotes israelitas (</w:t>
      </w:r>
      <w:hyperlink r:id="rId4108">
        <w:r>
          <w:rPr>
            <w:color w:val="0000EE"/>
            <w:u w:val="single"/>
          </w:rPr>
          <w:t>Lv 21.5</w:t>
        </w:r>
      </w:hyperlink>
      <w:r>
        <w:t>). No entanto, raspar o cabelo e oferecê-lo como sacrifício a Deus era um ato prescrito para aqueles que faziam um voto de nazireu (</w:t>
      </w:r>
      <w:hyperlink r:id="rId4109">
        <w:r>
          <w:rPr>
            <w:color w:val="0000EE"/>
            <w:u w:val="single"/>
          </w:rPr>
          <w:t>Nm 6.1</w:t>
        </w:r>
      </w:hyperlink>
      <w:hyperlink r:id="rId4110">
        <w:r>
          <w:rPr>
            <w:color w:val="0000EE"/>
            <w:u w:val="single"/>
          </w:rPr>
          <w:t>-</w:t>
        </w:r>
      </w:hyperlink>
      <w:hyperlink r:id="rId4109">
        <w:r>
          <w:rPr>
            <w:color w:val="0000EE"/>
            <w:u w:val="single"/>
          </w:rPr>
          <w:t>5,18</w:t>
        </w:r>
      </w:hyperlink>
      <w:r>
        <w:t xml:space="preserve">; </w:t>
      </w:r>
      <w:hyperlink r:id="rId3928">
        <w:r>
          <w:rPr>
            <w:color w:val="0000EE"/>
            <w:u w:val="single"/>
          </w:rPr>
          <w:t>At 18.18</w:t>
        </w:r>
      </w:hyperlink>
      <w:r>
        <w:t>).</w:t>
      </w:r>
    </w:p>
    <w:p>
      <w:r/>
      <w:r>
        <w:t>Em culturas antigas como o Egito, raspar o cabelo e as sobrancelhas era um sinal de respeito pelos mortos. A Bíblia faz referência a esse costume entre os não-israelitas como um sinal de luto ou angústia (</w:t>
      </w:r>
      <w:hyperlink r:id="rId4111">
        <w:r>
          <w:rPr>
            <w:color w:val="0000EE"/>
            <w:u w:val="single"/>
          </w:rPr>
          <w:t>Jr 16.6</w:t>
        </w:r>
      </w:hyperlink>
      <w:r>
        <w:t xml:space="preserve">; </w:t>
      </w:r>
      <w:hyperlink r:id="rId3932">
        <w:r>
          <w:rPr>
            <w:color w:val="0000EE"/>
            <w:u w:val="single"/>
          </w:rPr>
          <w:t>48.37</w:t>
        </w:r>
      </w:hyperlink>
      <w:r>
        <w:t xml:space="preserve">; </w:t>
      </w:r>
      <w:hyperlink r:id="rId4112">
        <w:r>
          <w:rPr>
            <w:color w:val="0000EE"/>
            <w:u w:val="single"/>
          </w:rPr>
          <w:t>Ez 27.31</w:t>
        </w:r>
      </w:hyperlink>
      <w:r>
        <w:t xml:space="preserve">; </w:t>
      </w:r>
      <w:hyperlink r:id="rId4113">
        <w:r>
          <w:rPr>
            <w:color w:val="0000EE"/>
            <w:u w:val="single"/>
          </w:rPr>
          <w:t>Mq 1.16</w:t>
        </w:r>
      </w:hyperlink>
      <w:r>
        <w:t>). Isso ocorre frequentemente no contexto do julgamento de Deus contra cidades ou nações pagãs. Como a calvície estava associada à lepra, doenças venéreas, idolatria ou morte, advertências proféticas às vezes incluíam previsões ou ameaças de calvície (</w:t>
      </w:r>
      <w:hyperlink r:id="rId4114">
        <w:r>
          <w:rPr>
            <w:color w:val="0000EE"/>
            <w:u w:val="single"/>
          </w:rPr>
          <w:t>Is 3.16–24</w:t>
        </w:r>
      </w:hyperlink>
      <w:r>
        <w:t>).</w:t>
      </w:r>
      <w:r/>
      <w:r/>
    </w:p>
    <w:p>
      <w:r/>
    </w:p>
    <w:p>
      <w:pPr>
        <w:pStyle w:val="Heading2"/>
      </w:pPr>
      <w:r>
        <w:t>Cam (Pessoa)</w:t>
      </w:r>
      <w:r/>
    </w:p>
    <w:p>
      <w:r/>
      <w:r>
        <w:t>Segundo filho de Noé (</w:t>
      </w:r>
      <w:hyperlink r:id="rId4115">
        <w:r>
          <w:rPr>
            <w:color w:val="0000EE"/>
            <w:u w:val="single"/>
          </w:rPr>
          <w:t>Gn 5.32</w:t>
        </w:r>
      </w:hyperlink>
      <w:r>
        <w:t xml:space="preserve">; </w:t>
      </w:r>
      <w:hyperlink r:id="rId4116">
        <w:r>
          <w:rPr>
            <w:color w:val="0000EE"/>
            <w:u w:val="single"/>
          </w:rPr>
          <w:t>6.10</w:t>
        </w:r>
      </w:hyperlink>
      <w:r>
        <w:t xml:space="preserve">; </w:t>
      </w:r>
      <w:hyperlink r:id="rId4117">
        <w:r>
          <w:rPr>
            <w:color w:val="0000EE"/>
            <w:u w:val="single"/>
          </w:rPr>
          <w:t>7.13</w:t>
        </w:r>
      </w:hyperlink>
      <w:r>
        <w:t xml:space="preserve">; </w:t>
      </w:r>
      <w:hyperlink r:id="rId4118">
        <w:r>
          <w:rPr>
            <w:color w:val="0000EE"/>
            <w:u w:val="single"/>
          </w:rPr>
          <w:t>9.18,22</w:t>
        </w:r>
      </w:hyperlink>
      <w:r>
        <w:t xml:space="preserve">; </w:t>
      </w:r>
      <w:hyperlink r:id="rId4119">
        <w:r>
          <w:rPr>
            <w:color w:val="0000EE"/>
            <w:u w:val="single"/>
          </w:rPr>
          <w:t>10.1,6,20</w:t>
        </w:r>
      </w:hyperlink>
      <w:r>
        <w:t>). Cam teve quatro filhos, cujos nomes eram Cuxe, Mizraim (hebraico para Egito), Pute e Canaã (</w:t>
      </w:r>
      <w:hyperlink r:id="rId4120">
        <w:r>
          <w:rPr>
            <w:color w:val="0000EE"/>
            <w:u w:val="single"/>
          </w:rPr>
          <w:t>Gn 10.6</w:t>
        </w:r>
      </w:hyperlink>
      <w:r>
        <w:t xml:space="preserve">; </w:t>
      </w:r>
      <w:hyperlink r:id="rId4121">
        <w:r>
          <w:rPr>
            <w:color w:val="0000EE"/>
            <w:u w:val="single"/>
          </w:rPr>
          <w:t>1Cr 1.8</w:t>
        </w:r>
      </w:hyperlink>
      <w:r>
        <w:t>). Cam é, portanto, visto como o ancestral dos egípcios (embora aparentemente uma raça mista tenha surgido mais tarde), assim como de povos na África, Arábia e Canaã.</w:t>
      </w:r>
    </w:p>
    <w:p>
      <w:r/>
      <w:r>
        <w:t>Após o Dilúvio, Noé começou a cultivar vinhedos e, em uma ocasião, expôs-se enquanto estava embriagado (</w:t>
      </w:r>
      <w:hyperlink r:id="rId4122">
        <w:r>
          <w:rPr>
            <w:color w:val="0000EE"/>
            <w:u w:val="single"/>
          </w:rPr>
          <w:t>Gn 9.20–24</w:t>
        </w:r>
      </w:hyperlink>
      <w:r>
        <w:t xml:space="preserve">). Cam viu seu pai deitado nu e relatou o incidente a Sem e Jafé, que cobriram Noé discretamente. Quando Noé acordou e soube o que “seu filho mais novo” (visto por alguns como Cam) havia feito, ele amaldiçoou o filho de Cam, Canaã, dizendo que seus irmãos (Cuxe, Mizraim e Pute) e Sem e Jafé governariam sobre ele. Mas se Cam é o referido em </w:t>
      </w:r>
      <w:hyperlink r:id="rId4123">
        <w:r>
          <w:rPr>
            <w:color w:val="0000EE"/>
            <w:u w:val="single"/>
          </w:rPr>
          <w:t>9.24</w:t>
        </w:r>
      </w:hyperlink>
      <w:r>
        <w:t xml:space="preserve"> como ofendendo Noé, por que a maldição recairia sobre seu filho Canaã? A resposta mais provável é que Cam não está sendo referido no versículo </w:t>
      </w:r>
      <w:hyperlink r:id="rId4123">
        <w:r>
          <w:rPr>
            <w:color w:val="0000EE"/>
            <w:u w:val="single"/>
          </w:rPr>
          <w:t>24</w:t>
        </w:r>
      </w:hyperlink>
      <w:r>
        <w:t>. A expressão é “seu filho mais novo” ou "filho mais moço", enquanto Cam é repetidamente visto como o segundo dos irmãos, não o mais novo (</w:t>
      </w:r>
      <w:hyperlink r:id="rId4115">
        <w:r>
          <w:rPr>
            <w:color w:val="0000EE"/>
            <w:u w:val="single"/>
          </w:rPr>
          <w:t>5.32</w:t>
        </w:r>
      </w:hyperlink>
      <w:r>
        <w:t xml:space="preserve">; </w:t>
      </w:r>
      <w:hyperlink r:id="rId4116">
        <w:r>
          <w:rPr>
            <w:color w:val="0000EE"/>
            <w:u w:val="single"/>
          </w:rPr>
          <w:t>6.10</w:t>
        </w:r>
      </w:hyperlink>
      <w:r>
        <w:t xml:space="preserve">; </w:t>
      </w:r>
      <w:hyperlink r:id="rId4117">
        <w:r>
          <w:rPr>
            <w:color w:val="0000EE"/>
            <w:u w:val="single"/>
          </w:rPr>
          <w:t>7.13</w:t>
        </w:r>
      </w:hyperlink>
      <w:r>
        <w:t xml:space="preserve">; </w:t>
      </w:r>
      <w:hyperlink r:id="rId4124">
        <w:r>
          <w:rPr>
            <w:color w:val="0000EE"/>
            <w:u w:val="single"/>
          </w:rPr>
          <w:t>9.18</w:t>
        </w:r>
      </w:hyperlink>
      <w:r>
        <w:t xml:space="preserve">; </w:t>
      </w:r>
      <w:hyperlink r:id="rId4125">
        <w:r>
          <w:rPr>
            <w:color w:val="0000EE"/>
            <w:u w:val="single"/>
          </w:rPr>
          <w:t>10.1</w:t>
        </w:r>
      </w:hyperlink>
      <w:r>
        <w:t>), a ordem explícita dos filhos indicando idade. Em vez disso, “seu filho mais novo” refere-se a Canaã, e a algum ato vil não registrado, sobre quem a maldição recai. “Filho” usado para “neto” é comum no material semítico, e parece ter sido usado aqui dessa forma, já que Canaã é o “mais novo” dos (netos) filhos. A maldição, então, como o texto claramente diz, é sobre Canaã em vez de Cam. Canaã (e sua posteridade) deve ser subjugado por Jafé e Sem com os cananeus, desaparecendo finalmente nos tempos do NT.</w:t>
      </w:r>
    </w:p>
    <w:p>
      <w:r/>
      <w:r>
        <w:rPr>
          <w:i/>
        </w:rPr>
        <w:t>Veja também</w:t>
      </w:r>
      <w:r>
        <w:t xml:space="preserve"> </w:t>
      </w:r>
      <w:r>
        <w:t>Nações</w:t>
      </w:r>
      <w:r>
        <w:t xml:space="preserve">; </w:t>
      </w:r>
      <w:r>
        <w:t>Noé #1</w:t>
      </w:r>
      <w:r>
        <w:t>.</w:t>
      </w:r>
      <w:r/>
      <w:r/>
    </w:p>
    <w:p>
      <w:r/>
    </w:p>
    <w:p>
      <w:pPr>
        <w:pStyle w:val="Heading2"/>
      </w:pPr>
      <w:r>
        <w:t>Camaleão</w:t>
      </w:r>
      <w:r/>
    </w:p>
    <w:p>
      <w:r/>
      <w:r>
        <w:t>Um tipo de lagarto é conhecido por mudar de cor rapidamente. Os camaleões podem mover seus olhos separadamente, permitindo que um olho olhe para cima enquanto o outro olha para baixo. Eles vivem em árvores e arbustos e usam suas longas caudas para se segurar nos galhos.</w:t>
      </w:r>
    </w:p>
    <w:p>
      <w:r/>
      <w:r>
        <w:t>No Antigo Testamento, os camaleões são listados como animais cerimonialmente impuros. Isso significa que os israelitas não podiam comê-los (</w:t>
      </w:r>
      <w:hyperlink r:id="rId1570">
        <w:r>
          <w:rPr>
            <w:color w:val="0000EE"/>
            <w:u w:val="single"/>
          </w:rPr>
          <w:t>Lv 11.30</w:t>
        </w:r>
      </w:hyperlink>
      <w:r>
        <w:t>). A palavra hebraica traduzida como “camaleão” pode derivar de uma palavra que significa "arfar". Isso pode ser devido à forma como o animal respira. Alguns povos antigos acreditavam que os lagartos viviam apenas respirando ar.</w:t>
      </w:r>
    </w:p>
    <w:p>
      <w:r/>
      <w:r>
        <w:rPr>
          <w:i/>
        </w:rPr>
        <w:t>Veja também</w:t>
      </w:r>
      <w:r>
        <w:t xml:space="preserve"> </w:t>
      </w:r>
      <w:r>
        <w:t>Lagarto</w:t>
      </w:r>
      <w:r>
        <w:t>.</w:t>
      </w:r>
      <w:r/>
      <w:r/>
    </w:p>
    <w:p>
      <w:r/>
    </w:p>
    <w:p>
      <w:pPr>
        <w:pStyle w:val="Heading2"/>
      </w:pPr>
      <w:r>
        <w:t>Camarista</w:t>
      </w:r>
      <w:r/>
    </w:p>
    <w:p>
      <w:r/>
      <w:r>
        <w:t>Um oficial real responsável pelos aposentos privados do rei. Às vezes, eles tinham tarefas importantes e exerciam influência sobre aqueles no poder (</w:t>
      </w:r>
      <w:hyperlink r:id="rId3822">
        <w:r>
          <w:rPr>
            <w:color w:val="0000EE"/>
            <w:u w:val="single"/>
          </w:rPr>
          <w:t>At 12.20</w:t>
        </w:r>
      </w:hyperlink>
      <w:r>
        <w:t>). O camarista Erasto era, na verdade, o tesoureiro da cidade (</w:t>
      </w:r>
      <w:hyperlink r:id="rId4126">
        <w:r>
          <w:rPr>
            <w:color w:val="0000EE"/>
            <w:u w:val="single"/>
          </w:rPr>
          <w:t>Rm 16.23</w:t>
        </w:r>
      </w:hyperlink>
      <w:r>
        <w:t>). Natã-Meleque, o camarista, era um oficial da corte na época de Josias (</w:t>
      </w:r>
      <w:hyperlink r:id="rId4127">
        <w:r>
          <w:rPr>
            <w:color w:val="0000EE"/>
            <w:u w:val="single"/>
          </w:rPr>
          <w:t>2Rs 23.11</w:t>
        </w:r>
      </w:hyperlink>
      <w:r>
        <w:t>). Os reis persas usavam eunucos (homens que eram fisicamente incapazes de ter filhos) como camaristas (</w:t>
      </w:r>
      <w:hyperlink r:id="rId4128">
        <w:r>
          <w:rPr>
            <w:color w:val="0000EE"/>
            <w:u w:val="single"/>
          </w:rPr>
          <w:t>Et 1.10,12,15</w:t>
        </w:r>
      </w:hyperlink>
      <w:r>
        <w:t xml:space="preserve">; </w:t>
      </w:r>
      <w:hyperlink r:id="rId4129">
        <w:r>
          <w:rPr>
            <w:color w:val="0000EE"/>
            <w:u w:val="single"/>
          </w:rPr>
          <w:t>2.3,14–15</w:t>
        </w:r>
      </w:hyperlink>
      <w:r>
        <w:t xml:space="preserve">; </w:t>
      </w:r>
      <w:hyperlink r:id="rId4130">
        <w:r>
          <w:rPr>
            <w:color w:val="0000EE"/>
            <w:u w:val="single"/>
          </w:rPr>
          <w:t>4.4–5</w:t>
        </w:r>
      </w:hyperlink>
      <w:r>
        <w:t xml:space="preserve">; </w:t>
      </w:r>
      <w:hyperlink r:id="rId4131">
        <w:r>
          <w:rPr>
            <w:color w:val="0000EE"/>
            <w:u w:val="single"/>
          </w:rPr>
          <w:t>6.2,14</w:t>
        </w:r>
      </w:hyperlink>
      <w:r>
        <w:t xml:space="preserve">; </w:t>
      </w:r>
      <w:hyperlink r:id="rId4132">
        <w:r>
          <w:rPr>
            <w:color w:val="0000EE"/>
            <w:u w:val="single"/>
          </w:rPr>
          <w:t>7.9</w:t>
        </w:r>
      </w:hyperlink>
      <w:r>
        <w:t>).</w:t>
      </w:r>
      <w:r/>
      <w:r/>
    </w:p>
    <w:p>
      <w:r/>
    </w:p>
    <w:p>
      <w:pPr>
        <w:pStyle w:val="Heading2"/>
      </w:pPr>
      <w:r>
        <w:t>Cambista (Trocador De Dinheiro)</w:t>
      </w:r>
      <w:r/>
    </w:p>
    <w:p>
      <w:r/>
      <w:r>
        <w:t>Profissão antiga que empreendia muitos dos serviços realizados pelo banqueiro moderno, especialmente na área de troca da moeda de um país ou província para a de outro, ou de troca de pequenas moedas por moedas de maior valor ou vice-versa. Naturalmente, uma taxa era cobrada por tal serviço.</w:t>
      </w:r>
    </w:p>
    <w:p>
      <w:r/>
      <w:r>
        <w:t>Moedas padronizadas como tal não remontam ao sétimo século a.C. Em períodos anteriores, peças de prata eram pesadas em pagamento por mercadorias (</w:t>
      </w:r>
      <w:hyperlink r:id="rId4133">
        <w:r>
          <w:rPr>
            <w:color w:val="0000EE"/>
            <w:u w:val="single"/>
          </w:rPr>
          <w:t>Gn 20.16</w:t>
        </w:r>
      </w:hyperlink>
      <w:r>
        <w:t xml:space="preserve">; </w:t>
      </w:r>
      <w:hyperlink r:id="rId4134">
        <w:r>
          <w:rPr>
            <w:color w:val="0000EE"/>
            <w:u w:val="single"/>
          </w:rPr>
          <w:t>37.28</w:t>
        </w:r>
      </w:hyperlink>
      <w:r>
        <w:t xml:space="preserve">; </w:t>
      </w:r>
      <w:hyperlink r:id="rId4135">
        <w:r>
          <w:rPr>
            <w:color w:val="0000EE"/>
            <w:u w:val="single"/>
          </w:rPr>
          <w:t>Jz 17.2</w:t>
        </w:r>
      </w:hyperlink>
      <w:r>
        <w:t>). Uma vez que a moeda padronizada foi adotada na Ásia Menor, a ideia foi copiada em outras terras, mas como as moedas diferiam de país para país, equivalências tiveram que ser calculadas pelos cambistas.</w:t>
      </w:r>
    </w:p>
    <w:p>
      <w:r/>
      <w:r>
        <w:t>A necessidade de tais procedimentos era especialmente importante na Palestina, onde cada homem judeu adulto tinha que pagar uma oferta de meio shekel (</w:t>
      </w:r>
      <w:hyperlink r:id="rId4136">
        <w:r>
          <w:rPr>
            <w:color w:val="0000EE"/>
            <w:u w:val="single"/>
          </w:rPr>
          <w:t>Êx 30.11–16</w:t>
        </w:r>
      </w:hyperlink>
      <w:r>
        <w:t xml:space="preserve">). Judeus de vários países que vinham para pagar esta quantia poderiam trazer uma variedade de tipos de moedas. As autoridades do Templo tinham que autorizar uma moeda apropriada para o propósito. Este era o meio-shekel de prata de Tiro ou tetradracma (cf. </w:t>
      </w:r>
      <w:hyperlink r:id="rId1655">
        <w:r>
          <w:rPr>
            <w:color w:val="0000EE"/>
            <w:u w:val="single"/>
          </w:rPr>
          <w:t>Mt 17.27</w:t>
        </w:r>
      </w:hyperlink>
      <w:r>
        <w:t>, onde Pedro foi instruído a pagar o imposto do templo por Jesus e a si mesmo com a moeda que ele encontrou na boca de um peixe). A Mishná afirma (</w:t>
      </w:r>
      <w:r>
        <w:rPr>
          <w:i/>
        </w:rPr>
        <w:t>Shekalim</w:t>
      </w:r>
      <w:r>
        <w:t xml:space="preserve"> 1.3) que os cambistas operavam nas províncias no dia 15 do mês de Adar (o mês antes da Páscoa) para coletar este imposto. Dez dias antes da Páscoa, os cambistas se mudavam para os pátios do templo para auxiliar judeus de países estrangeiros.</w:t>
      </w:r>
    </w:p>
    <w:p>
      <w:r/>
      <w:r>
        <w:t>Jesus encontrou os cambistas no pátio do templo quando ele “purificou o templo” (</w:t>
      </w:r>
      <w:hyperlink r:id="rId4137">
        <w:r>
          <w:rPr>
            <w:color w:val="0000EE"/>
            <w:u w:val="single"/>
          </w:rPr>
          <w:t>Mt 21.12–13</w:t>
        </w:r>
      </w:hyperlink>
      <w:r>
        <w:t xml:space="preserve">; </w:t>
      </w:r>
      <w:hyperlink r:id="rId4138">
        <w:r>
          <w:rPr>
            <w:color w:val="0000EE"/>
            <w:u w:val="single"/>
          </w:rPr>
          <w:t>Mc 11.15–16</w:t>
        </w:r>
      </w:hyperlink>
      <w:r>
        <w:t xml:space="preserve">; </w:t>
      </w:r>
      <w:hyperlink r:id="rId4139">
        <w:r>
          <w:rPr>
            <w:color w:val="0000EE"/>
            <w:u w:val="single"/>
          </w:rPr>
          <w:t>Lc 19.45–46</w:t>
        </w:r>
      </w:hyperlink>
      <w:r>
        <w:t xml:space="preserve">; </w:t>
      </w:r>
      <w:hyperlink r:id="rId4140">
        <w:r>
          <w:rPr>
            <w:color w:val="0000EE"/>
            <w:u w:val="single"/>
          </w:rPr>
          <w:t>Jo 2.13–22</w:t>
        </w:r>
      </w:hyperlink>
      <w:r>
        <w:t xml:space="preserve">). A razão para esta ação tem sido uma questão de debate. Os adoradores precisavam obter o meio shekel para pagar seu imposto. Mas eles precisavam também comprar pássaros, animais ou ofertas de bolo em alguns casos. Esta atividade comercial de compra e troca de dinheiro parecia inadequada nos recintos do templo, que constituíam uma área sagrada (cf. </w:t>
      </w:r>
      <w:hyperlink r:id="rId4141">
        <w:r>
          <w:rPr>
            <w:color w:val="0000EE"/>
            <w:u w:val="single"/>
          </w:rPr>
          <w:t>Mc 11.16</w:t>
        </w:r>
      </w:hyperlink>
      <w:r>
        <w:t>), embora Jesus tenha evidentemente aprovado o pagamento do imposto do templo como tal (</w:t>
      </w:r>
      <w:hyperlink r:id="rId4142">
        <w:r>
          <w:rPr>
            <w:color w:val="0000EE"/>
            <w:u w:val="single"/>
          </w:rPr>
          <w:t>Mt 8.4</w:t>
        </w:r>
      </w:hyperlink>
      <w:r>
        <w:t xml:space="preserve">; </w:t>
      </w:r>
      <w:hyperlink r:id="rId4143">
        <w:r>
          <w:rPr>
            <w:color w:val="0000EE"/>
            <w:u w:val="single"/>
          </w:rPr>
          <w:t>17.24–26</w:t>
        </w:r>
      </w:hyperlink>
      <w:r>
        <w:t xml:space="preserve">; </w:t>
      </w:r>
      <w:hyperlink r:id="rId4144">
        <w:r>
          <w:rPr>
            <w:color w:val="0000EE"/>
            <w:u w:val="single"/>
          </w:rPr>
          <w:t>Mc 1.44</w:t>
        </w:r>
      </w:hyperlink>
      <w:r>
        <w:t xml:space="preserve">; </w:t>
      </w:r>
      <w:hyperlink r:id="rId4145">
        <w:r>
          <w:rPr>
            <w:color w:val="0000EE"/>
            <w:u w:val="single"/>
          </w:rPr>
          <w:t>Lc 5.14</w:t>
        </w:r>
      </w:hyperlink>
      <w:r>
        <w:t xml:space="preserve">). Há também a possibilidade de que a cobrança feita pelos cambistas e por aqueles que vendiam pássaros e animais sacrificiais fosse exorbitante, seja para seu próprio lucro ou para o lucro das autoridades do templo. Tais operações poderiam ser realizadas a uma distância adequada da área sagrada, para que o barganha e o barulho associados a tais atividades em um cenário oriental não perturbasse desnecessariamente a oração e a oferta de sacrifícios realizados nos pátios do templo (cf. </w:t>
      </w:r>
      <w:hyperlink r:id="rId4146">
        <w:r>
          <w:rPr>
            <w:color w:val="0000EE"/>
            <w:u w:val="single"/>
          </w:rPr>
          <w:t>Jr 7.11</w:t>
        </w:r>
      </w:hyperlink>
      <w:r>
        <w:t>).</w:t>
      </w:r>
    </w:p>
    <w:p>
      <w:r/>
      <w:r>
        <w:rPr>
          <w:i/>
        </w:rPr>
        <w:t>Veja também</w:t>
      </w:r>
      <w:r>
        <w:t xml:space="preserve"> </w:t>
      </w:r>
      <w:r>
        <w:t>Moedas</w:t>
      </w:r>
      <w:r>
        <w:t xml:space="preserve">; </w:t>
      </w:r>
      <w:r>
        <w:t>Dinheiro</w:t>
      </w:r>
      <w:r>
        <w:t>.</w:t>
      </w:r>
      <w:r/>
      <w:r/>
    </w:p>
    <w:p>
      <w:r/>
    </w:p>
    <w:p>
      <w:pPr>
        <w:pStyle w:val="Heading2"/>
      </w:pPr>
      <w:r>
        <w:t>Caminho</w:t>
      </w:r>
      <w:r/>
    </w:p>
    <w:p>
      <w:r/>
      <w:r>
        <w:t>Uma rota ou estrada desgastada. “Caminho(s)” e estrada(s)” são usados para traduzir uma variedade de palavras utilizadas na Bíblia: (1) uma estrada bem feita e muito usada (</w:t>
      </w:r>
      <w:hyperlink r:id="rId4147">
        <w:r>
          <w:rPr>
            <w:color w:val="0000EE"/>
            <w:u w:val="single"/>
          </w:rPr>
          <w:t>Gn 49.17</w:t>
        </w:r>
      </w:hyperlink>
      <w:r>
        <w:t xml:space="preserve">; </w:t>
      </w:r>
      <w:hyperlink r:id="rId4148">
        <w:r>
          <w:rPr>
            <w:color w:val="0000EE"/>
            <w:u w:val="single"/>
          </w:rPr>
          <w:t>Sl 16.11</w:t>
        </w:r>
      </w:hyperlink>
      <w:r>
        <w:t xml:space="preserve">; </w:t>
      </w:r>
      <w:hyperlink r:id="rId4149">
        <w:r>
          <w:rPr>
            <w:color w:val="0000EE"/>
            <w:u w:val="single"/>
          </w:rPr>
          <w:t>139.3</w:t>
        </w:r>
      </w:hyperlink>
      <w:r>
        <w:t xml:space="preserve">; </w:t>
      </w:r>
      <w:hyperlink r:id="rId4150">
        <w:r>
          <w:rPr>
            <w:color w:val="0000EE"/>
            <w:u w:val="single"/>
          </w:rPr>
          <w:t>Pv 2.8,19</w:t>
        </w:r>
      </w:hyperlink>
      <w:r>
        <w:t>); (2) uma via ou rodovia (</w:t>
      </w:r>
      <w:hyperlink r:id="rId4151">
        <w:r>
          <w:rPr>
            <w:color w:val="0000EE"/>
            <w:u w:val="single"/>
          </w:rPr>
          <w:t>Is 59.7</w:t>
        </w:r>
      </w:hyperlink>
      <w:r>
        <w:t xml:space="preserve">; </w:t>
      </w:r>
      <w:hyperlink r:id="rId4152">
        <w:r>
          <w:rPr>
            <w:color w:val="0000EE"/>
            <w:u w:val="single"/>
          </w:rPr>
          <w:t>Jl 2.8</w:t>
        </w:r>
      </w:hyperlink>
      <w:r>
        <w:t>); (3) uma via batida entre os campos, colinas e através dos vales (</w:t>
      </w:r>
      <w:hyperlink r:id="rId4153">
        <w:r>
          <w:rPr>
            <w:color w:val="0000EE"/>
            <w:u w:val="single"/>
          </w:rPr>
          <w:t>Jó 30.13</w:t>
        </w:r>
      </w:hyperlink>
      <w:r>
        <w:t xml:space="preserve">; </w:t>
      </w:r>
      <w:hyperlink r:id="rId4154">
        <w:r>
          <w:rPr>
            <w:color w:val="0000EE"/>
            <w:u w:val="single"/>
          </w:rPr>
          <w:t>Sl 119.35</w:t>
        </w:r>
      </w:hyperlink>
      <w:r>
        <w:t xml:space="preserve">; </w:t>
      </w:r>
      <w:hyperlink r:id="rId4155">
        <w:r>
          <w:rPr>
            <w:color w:val="0000EE"/>
            <w:u w:val="single"/>
          </w:rPr>
          <w:t>Pv 3.17</w:t>
        </w:r>
      </w:hyperlink>
      <w:r>
        <w:t>); (4) uma trilha ou passagem na qual a ideia de fluir ao longo dela está inclusa (</w:t>
      </w:r>
      <w:hyperlink r:id="rId4156">
        <w:r>
          <w:rPr>
            <w:color w:val="0000EE"/>
            <w:u w:val="single"/>
          </w:rPr>
          <w:t>Sl 77.19</w:t>
        </w:r>
      </w:hyperlink>
      <w:r>
        <w:t xml:space="preserve">. </w:t>
      </w:r>
      <w:hyperlink r:id="rId4157">
        <w:r>
          <w:rPr>
            <w:color w:val="0000EE"/>
            <w:u w:val="single"/>
          </w:rPr>
          <w:t>Jr 18.15</w:t>
        </w:r>
      </w:hyperlink>
      <w:r>
        <w:t>); (5) um caminho circular, como em uma trincheira ou em um parapeito (</w:t>
      </w:r>
      <w:hyperlink r:id="rId4158">
        <w:r>
          <w:rPr>
            <w:color w:val="0000EE"/>
            <w:u w:val="single"/>
          </w:rPr>
          <w:t>Sl 65.11</w:t>
        </w:r>
      </w:hyperlink>
      <w:r>
        <w:t xml:space="preserve">; </w:t>
      </w:r>
      <w:hyperlink r:id="rId4159">
        <w:r>
          <w:rPr>
            <w:color w:val="0000EE"/>
            <w:u w:val="single"/>
          </w:rPr>
          <w:t>Pv 2.9</w:t>
        </w:r>
      </w:hyperlink>
      <w:r>
        <w:t>); e (6) uma passagem estreita, como através de um buraco (</w:t>
      </w:r>
      <w:hyperlink r:id="rId4160">
        <w:r>
          <w:rPr>
            <w:color w:val="0000EE"/>
            <w:u w:val="single"/>
          </w:rPr>
          <w:t>Nm 22.24</w:t>
        </w:r>
      </w:hyperlink>
      <w:r>
        <w:t>). “Caminho” é usado para traduzir as palavras gregas que significam uma trilha desgastada (</w:t>
      </w:r>
      <w:hyperlink r:id="rId3621">
        <w:r>
          <w:rPr>
            <w:color w:val="0000EE"/>
            <w:u w:val="single"/>
          </w:rPr>
          <w:t>Mt 3.3</w:t>
        </w:r>
      </w:hyperlink>
      <w:r>
        <w:t xml:space="preserve">; </w:t>
      </w:r>
      <w:hyperlink r:id="rId4161">
        <w:r>
          <w:rPr>
            <w:color w:val="0000EE"/>
            <w:u w:val="single"/>
          </w:rPr>
          <w:t>Mc 1.3</w:t>
        </w:r>
      </w:hyperlink>
      <w:r>
        <w:t xml:space="preserve">; </w:t>
      </w:r>
      <w:hyperlink r:id="rId4162">
        <w:r>
          <w:rPr>
            <w:color w:val="0000EE"/>
            <w:u w:val="single"/>
          </w:rPr>
          <w:t>Lc 3.4</w:t>
        </w:r>
      </w:hyperlink>
      <w:r>
        <w:t>) e barrancos formados pela passagem de rodas (</w:t>
      </w:r>
      <w:hyperlink r:id="rId4163">
        <w:r>
          <w:rPr>
            <w:color w:val="0000EE"/>
            <w:u w:val="single"/>
          </w:rPr>
          <w:t>Hb 12.13</w:t>
        </w:r>
      </w:hyperlink>
      <w:r>
        <w:t>).</w:t>
      </w:r>
    </w:p>
    <w:p>
      <w:r/>
      <w:r>
        <w:t>Uma revisão minuciosa do uso dos termos “caminho(s)” e “estrada(s)” revela que a Bíblia os usa literalmente para falar de um trecho de terreno sobre o qual o tráfego passa. Poderiam se encontrar na forma de um caminho de montanha tortuoso, um caminho não pavimentado e muito viajado, ou um pavimento bem preparado. Os escritores bíblicos também usaram as palavras metaforicamente para falar ou descrever a maneira como a vida humana é vivida em relação a Deus, e como Deus dirige, pode e de fato e enriquece ou empobrece a vida humana. Os escritores usaram os termos figurativamente para se referir à conduta e experiências humanas no meio das várias dimensões da vida humana. Especialmente coloridos nos últimos dois usos são expressões como o caminho da vida (</w:t>
      </w:r>
      <w:hyperlink r:id="rId4148">
        <w:r>
          <w:rPr>
            <w:color w:val="0000EE"/>
            <w:u w:val="single"/>
          </w:rPr>
          <w:t>Sl 16.11</w:t>
        </w:r>
      </w:hyperlink>
      <w:r>
        <w:t>), o caminho seguro (nível) (</w:t>
      </w:r>
      <w:hyperlink r:id="rId4164">
        <w:r>
          <w:rPr>
            <w:color w:val="0000EE"/>
            <w:u w:val="single"/>
          </w:rPr>
          <w:t>27.11</w:t>
        </w:r>
      </w:hyperlink>
      <w:r>
        <w:t>), o bom caminho (</w:t>
      </w:r>
      <w:hyperlink r:id="rId4159">
        <w:r>
          <w:rPr>
            <w:color w:val="0000EE"/>
            <w:u w:val="single"/>
          </w:rPr>
          <w:t>Pv 2.9</w:t>
        </w:r>
      </w:hyperlink>
      <w:r>
        <w:t>), o caminho dos ímpios (</w:t>
      </w:r>
      <w:hyperlink r:id="rId4165">
        <w:r>
          <w:rPr>
            <w:color w:val="0000EE"/>
            <w:u w:val="single"/>
          </w:rPr>
          <w:t>4.14</w:t>
        </w:r>
      </w:hyperlink>
      <w:r>
        <w:t xml:space="preserve">), o caminho dos justos (v. </w:t>
      </w:r>
      <w:hyperlink r:id="rId4166">
        <w:r>
          <w:rPr>
            <w:color w:val="0000EE"/>
            <w:u w:val="single"/>
          </w:rPr>
          <w:t>18</w:t>
        </w:r>
      </w:hyperlink>
      <w:r>
        <w:t>), o caminho do julgamento (</w:t>
      </w:r>
      <w:hyperlink r:id="rId4167">
        <w:r>
          <w:rPr>
            <w:color w:val="0000EE"/>
            <w:u w:val="single"/>
          </w:rPr>
          <w:t>Is 40.14</w:t>
        </w:r>
      </w:hyperlink>
      <w:r>
        <w:t>), os caminhos certos (</w:t>
      </w:r>
      <w:hyperlink r:id="rId4168">
        <w:r>
          <w:rPr>
            <w:color w:val="0000EE"/>
            <w:u w:val="single"/>
          </w:rPr>
          <w:t>Pv 4:11</w:t>
        </w:r>
      </w:hyperlink>
      <w:r>
        <w:t>) e os caminhos da paz (</w:t>
      </w:r>
      <w:hyperlink r:id="rId4155">
        <w:r>
          <w:rPr>
            <w:color w:val="0000EE"/>
            <w:u w:val="single"/>
          </w:rPr>
          <w:t>3.17</w:t>
        </w:r>
      </w:hyperlink>
      <w:r>
        <w:t>).</w:t>
      </w:r>
      <w:r/>
      <w:r/>
    </w:p>
    <w:p>
      <w:r/>
    </w:p>
    <w:p>
      <w:pPr>
        <w:pStyle w:val="Heading2"/>
      </w:pPr>
      <w:r>
        <w:t>Canaã, Cananeus</w:t>
      </w:r>
      <w:r/>
    </w:p>
    <w:p>
      <w:r/>
      <w:r>
        <w:t>Território palestino (a Terra Prometida) a oeste do rio Jordão, colonizado pelos israelitas na época da liderança de Josué. Partes do sul da Síria também eram frequentemente consideradas parte do território cananeu, as fronteiras do norte das quais nunca foram claramente delimitadas. Os povos pré-israelitas da Palestina ocidental, excluindo o norte da Síria e lugares como Ugarite (Ras Shamra) na costa mediterrânea da Síria, carregavam a ampla designação de cananeus.</w:t>
      </w:r>
    </w:p>
    <w:p>
      <w:r/>
      <w:r>
        <w:t>Resumo</w:t>
      </w:r>
    </w:p>
    <w:p>
      <w:r/>
      <w:r>
        <w:t>• Terra e povo</w:t>
      </w:r>
    </w:p>
    <w:p>
      <w:r/>
      <w:r>
        <w:t>• Idioma</w:t>
      </w:r>
    </w:p>
    <w:p>
      <w:r/>
      <w:r>
        <w:t>• Literatura</w:t>
      </w:r>
    </w:p>
    <w:p>
      <w:r/>
      <w:r>
        <w:t>• História</w:t>
      </w:r>
    </w:p>
    <w:p>
      <w:r/>
      <w:r>
        <w:t>• Religião</w:t>
      </w:r>
    </w:p>
    <w:p>
      <w:r/>
      <w:r>
        <w:t>• Influência sobre Israel</w:t>
      </w:r>
    </w:p>
    <w:p>
      <w:pPr>
        <w:pStyle w:val="Heading3"/>
      </w:pPr>
      <w:r>
        <w:t>Terra e povo</w:t>
      </w:r>
    </w:p>
    <w:p>
      <w:r/>
      <w:r>
        <w:t>Na “tabela das nações” (</w:t>
      </w:r>
      <w:hyperlink r:id="rId4169">
        <w:r>
          <w:rPr>
            <w:color w:val="0000EE"/>
            <w:u w:val="single"/>
          </w:rPr>
          <w:t>Gn 10.15–19</w:t>
        </w:r>
      </w:hyperlink>
      <w:r>
        <w:t>), o neto de Noé, Canaã, era o antepassado de 11 grupos que viveram na área da Síria e da Palestina. Os primeiros seis, aparentemente, ocuparam território em ou ao sul de Sidom, enquanto os outros viveram mais ao norte. Os povos do norte se estabeleceram principalmente na borda da planície costeira; no sul, o assentamento se espalhou para leste, até as áreas de planície. As referências do AT colocaram especificamente os cananeus nos vales e áreas costeiras ocidentais da Palestina; o território montanhoso era habitado por amorreus e outros povos (</w:t>
      </w:r>
      <w:hyperlink r:id="rId4170">
        <w:r>
          <w:rPr>
            <w:color w:val="0000EE"/>
            <w:u w:val="single"/>
          </w:rPr>
          <w:t>Nm 13.29</w:t>
        </w:r>
      </w:hyperlink>
      <w:r>
        <w:t xml:space="preserve">; </w:t>
      </w:r>
      <w:hyperlink r:id="rId4171">
        <w:r>
          <w:rPr>
            <w:color w:val="0000EE"/>
            <w:u w:val="single"/>
          </w:rPr>
          <w:t>Js 5.1</w:t>
        </w:r>
      </w:hyperlink>
      <w:r>
        <w:t xml:space="preserve">; </w:t>
      </w:r>
      <w:hyperlink r:id="rId4172">
        <w:r>
          <w:rPr>
            <w:color w:val="0000EE"/>
            <w:u w:val="single"/>
          </w:rPr>
          <w:t>7.9</w:t>
        </w:r>
      </w:hyperlink>
      <w:r>
        <w:t xml:space="preserve">; </w:t>
      </w:r>
      <w:hyperlink r:id="rId4173">
        <w:r>
          <w:rPr>
            <w:color w:val="0000EE"/>
            <w:u w:val="single"/>
          </w:rPr>
          <w:t>Jz 1.27–36</w:t>
        </w:r>
      </w:hyperlink>
      <w:r>
        <w:t>).</w:t>
      </w:r>
    </w:p>
    <w:p>
      <w:r/>
      <w:r>
        <w:t>Uma das mais antigas referências conhecidas ao povo de Canaã está em uma tabuleta de Mari (séc. 15 a.C.), na qual um oficial militar relatou sua vigilância de “ladrões e cananeus”. Os cananeus foram listados como um grupo na Estela de Mênfis (coluna inscrita) do faraó egípcio Amenófis II (ca. 1440 a.C.). A terra de Canaã foi mencionada em uma inscrição do século 15 de Idrimi, rei de Alepo (a oeste de Ugarite), que fugiu para o porto cananeu de Amiya e então se tornou governante de Alalaque (ao norte de Ugarite). Durante a Era de Amarna (séculos 15–14 a.C.), a Palestina era politicamente dominada pelo Egito, de acordo com as tabuletas egípcias de Amarna.</w:t>
      </w:r>
    </w:p>
    <w:p>
      <w:r/>
      <w:r>
        <w:t>Assim como o termo “Canaã” designava toda a área da Palestina ocidental, o termo “cananeu” descrevia seus habitantes pré-israelitas sem especificar raça. Entre os povos que viviam na Palestina, os amorreus apareceram pela primeira vez no segundo milênio a.C. como imigrantes da Mesopotâmia.</w:t>
      </w:r>
    </w:p>
    <w:p>
      <w:r/>
      <w:r>
        <w:t>Várias referências do AT parecem igualar o território amorreu e a terra de Canaã (</w:t>
      </w:r>
      <w:hyperlink r:id="rId4174">
        <w:r>
          <w:rPr>
            <w:color w:val="0000EE"/>
            <w:u w:val="single"/>
          </w:rPr>
          <w:t>Gn 12.5–6</w:t>
        </w:r>
      </w:hyperlink>
      <w:r>
        <w:t xml:space="preserve">; </w:t>
      </w:r>
      <w:hyperlink r:id="rId4175">
        <w:r>
          <w:rPr>
            <w:color w:val="0000EE"/>
            <w:u w:val="single"/>
          </w:rPr>
          <w:t>15.18–21</w:t>
        </w:r>
      </w:hyperlink>
      <w:r>
        <w:t xml:space="preserve">; </w:t>
      </w:r>
      <w:hyperlink r:id="rId2547">
        <w:r>
          <w:rPr>
            <w:color w:val="0000EE"/>
            <w:u w:val="single"/>
          </w:rPr>
          <w:t>48.22</w:t>
        </w:r>
      </w:hyperlink>
      <w:r>
        <w:t>), uma tradição refletida nas tabuletas de Alalaque, que descreviam “Amurru” como parte da Síria-Palestina. As tabuletas de Mari do mesmo período falam de um governante amorreu de Hazor no norte da Palestina. Os textos de Tell el-Amarna (séc. 14–13 a.C.) indicam que o reino de Amurru da região do Líbano estava monopolizando o comércio e as transações ao longo da costa; portanto, referências aos dois povos (amorreus e cananeus) juntos no tempo de Moisés e durante o final da Idade do Bronze (ca. 1550–1200 a.C.) não são surpreendentes.</w:t>
      </w:r>
    </w:p>
    <w:p>
      <w:r/>
      <w:r>
        <w:t xml:space="preserve">No final desse período, os “Povos do mar” (em grande parte filisteus) destruíram o Império hitita, e no tempo de Ramsés III (ca. 1180 a.C.) tomaram a Palestina ocidental. A conquista israelita da Palestina quebrou o poder de muitas cidades-estados dos cananeus e amorreus, enquanto a ascensão de uma confederação filisteia na costa sul da Palestina restringiu ainda mais a extensão do território especificamente cananeu. Desde o início da Idade do Ferro, os herdeiros dos cananeus eram os fenícios, centrados nas cidades-estado de Tiro e Sidom, que gostavam de ser conhecidos como cananeus (cf. </w:t>
      </w:r>
      <w:hyperlink r:id="rId4176">
        <w:r>
          <w:rPr>
            <w:color w:val="0000EE"/>
            <w:u w:val="single"/>
          </w:rPr>
          <w:t>Mt 15.21–22</w:t>
        </w:r>
      </w:hyperlink>
      <w:r>
        <w:t xml:space="preserve">; </w:t>
      </w:r>
      <w:hyperlink r:id="rId4177">
        <w:r>
          <w:rPr>
            <w:color w:val="0000EE"/>
            <w:u w:val="single"/>
          </w:rPr>
          <w:t>Mc 7.24–26</w:t>
        </w:r>
      </w:hyperlink>
      <w:r>
        <w:t>).</w:t>
      </w:r>
    </w:p>
    <w:p>
      <w:pPr>
        <w:pStyle w:val="Heading3"/>
      </w:pPr>
      <w:r>
        <w:t>Idioma</w:t>
      </w:r>
    </w:p>
    <w:p>
      <w:r/>
      <w:r>
        <w:t>Os vários grupos que habitavam a Palestina ocidental no período pré-israelita provavelmente falavam dialetos relacionados da família linguística semítica do Noroeste. O grande território coberto por esses povos e a possível influência das línguas hurritas ugaríticas e dos amorreus complicam as teorias modernas sobre o que é devidamente entendido por “cananeu” como uma língua.</w:t>
      </w:r>
    </w:p>
    <w:p>
      <w:pPr>
        <w:pStyle w:val="Heading3"/>
      </w:pPr>
      <w:r>
        <w:t>Literatura</w:t>
      </w:r>
    </w:p>
    <w:p>
      <w:r/>
      <w:r>
        <w:t>Assim como o idioma, é difícil ser preciso quanto à literatura cananeia. Um fato claro é que nosso próprio alfabeto se originou na Canaã da Idade do Bronze Médio. Antes desse tempo, a escrita era pictográfica (palavras ou ideias representadas por imagens), cuneiforme (impressões em forma de cunha em argila macia que representam sílabas e palavras inteiras), ou hieroglífica (escrita pictórica egípcia). A escrita alfabética foi passada através dos hebreus e fenícios aos gregos, que deram ao nosso alfabeto presente sua forma clássica.</w:t>
      </w:r>
    </w:p>
    <w:p>
      <w:r/>
      <w:r>
        <w:t>Até 1929 pouca literatura cananeia era conhecida, mas com as descobertas em Ugarite, um grande corpo de material literário veio à luz. As descobertas incluíram porções de um poema épico sobre o deus Baal e sua esposa, a deusa Anate (possivelmente de cerca de 2000 a.C.); uma lenda sobre um personagem real chamado Aqhat (de cerca de 1800 a.C.); as atividades lendárias do rei Keret (escrito cerca de 1500 a.C.) e material religioso, médico e administrativo em fragmentos.</w:t>
      </w:r>
    </w:p>
    <w:p>
      <w:pPr>
        <w:pStyle w:val="Heading3"/>
      </w:pPr>
      <w:r>
        <w:t>História</w:t>
      </w:r>
    </w:p>
    <w:p>
      <w:r/>
      <w:r>
        <w:t>As evidências arqueológicas indicam que a Palestina ocidental foi ocupada desde a Idade da Pedra Antiga. Os depósitos mesolítico, neolítico e calcolítico também foram encontrados em vários locais. É possível que os povos de língua semítica habitassem lugares como Jericó, Megido e Biblos por volta de 3000 a.C. As descobertas em Tell Mardikh (Ebla) mostram que um vigoroso Império cananeu existiu na Síria por volta de 2500 a.C., e não há dúvida de que tanto os povos amorreus quanto os cananeus estavam firmemente estabelecidos na Síria e na Palestina em 2000 a.C. A melhor evidência da invasão cananeia da Palestina ocidental veio da Idade do Bronze Média e Tardia (ca. 1950–1200 a.C.), período em que a terra estava repleta de cidades-estado cananeias e amoritas.</w:t>
      </w:r>
    </w:p>
    <w:p>
      <w:r/>
      <w:r>
        <w:t>Os egípcios fizeram ofensivas periódicas para a Palestina durante sua 5ª e 6ª dinastias; na 13ª dinastia (segundo milênio a.C.), eles controlavam grande parte da Síria-Palestina tanto política quanto economicamente.</w:t>
      </w:r>
    </w:p>
    <w:p>
      <w:r/>
      <w:r>
        <w:t>Os contatos cananeus com a Mesopotâmia a partir de aproximadamente 2000 a.C. são evidenciados em textos descobertos nas cidades de Mari e de Ugarite. Evidentemente, os amorreus, os hurritas, os primeiros Assírios e outros povos migravam periodicamente para Canaã, trazendo com eles uma diversidade de formas políticas e sociais. No final do séc. 16 a.C., a maioria dos pequenos reinos cananeus estava firmemente sob controle egípcio. Dentro de dois séculos, aqueles que estavam mais ao norte estavam sujeitos à influência política hitita.</w:t>
      </w:r>
    </w:p>
    <w:p>
      <w:r/>
      <w:r>
        <w:t>A história cananeia é ainda mais complicada pelas atividades dos hicsos, entre cerca de 1800 e 1500 a.C. De origem asiática mista, os hicsos deviam grande parte de sua influência política ao seu uso militar de carros equipados com ferro e o arco asiático composto. De locais cananeus como Hazor e Jericó, eles invadiram o Egito e estabeleceram o controle lá de cerca de 1776 a cerca de 1570 a.C. Quando eles foram expulsos no início do Novo Reino do Egito (1570–1100 a.C.), eles se retiraram para locais fortificados no sul de Canaã.</w:t>
      </w:r>
    </w:p>
    <w:p>
      <w:r/>
      <w:r>
        <w:t>O controle egípcio sobre a Palestina ocidental havia desaparecido na época da conquista israelita de Canaã; Josué encontrou predominantemente oposição dos cananeus e dos amorreus. A invasão israelita de Canaã foi favorecida pelo estado de decadência em que haviam caído os pequenos reinos palestinos. Com a destruição da cultura hitita pelos povos do mar e sua posse das regiões do norte e costeira, as cidades-estados tradicionais entraram em colapso. Por volta de 1100 a.C., a cultura cananeia era restrita a Tiro, Sidom e alguns outros lugares.</w:t>
      </w:r>
    </w:p>
    <w:p>
      <w:pPr>
        <w:pStyle w:val="Heading3"/>
      </w:pPr>
      <w:r>
        <w:t>Religião</w:t>
      </w:r>
    </w:p>
    <w:p>
      <w:r/>
      <w:r>
        <w:t>Antes das descobertas ugaríticas, pouco se sabia sobre a religião cananeia além das referências que o AT contém. Do que agora é conhecido da cultura cananeia, o chefe da lista cananeia de deuses era um personagem sombrio chamado El, que era adorado como o “pai do homem”. Suas esposas eram: Athirat, conhecida pelos israelitas como Aserá; Astarte e Baaltis. El tinha um filho, Baal, um deus da fertilidade descrito nos mitos como o senhor da chuva e da tempestade. Baal sucedeu seu pai como chefe do panteão (lista de deuses) e supostamente residia nos céus distantes do norte. Um monumento encontrado em Ugarite o representava carregando um raio em seu lado esquerdo e um bastão em sua mão direita.</w:t>
      </w:r>
    </w:p>
    <w:p>
      <w:r/>
      <w:r>
        <w:t xml:space="preserve">Pequenas e numerosas estatuetas de terracota com características sexuais exageradas, representando uma ou a outra das divindades femininas, foram restauradas dos locais da Idade do Bronze médio e final da Idade do Bronze na Palestina ocidental. Um local dedicado ao culto de Anate, escavado em Biblos na Fenícia, era claramente conhecido por prostituição religiosa e rituais de fertilidade sexual; muitas figuras femininas nuas foram descobertas no local. Outros objetos de culto cananeu incluíam algum tipo de </w:t>
      </w:r>
      <w:r>
        <w:rPr>
          <w:i/>
        </w:rPr>
        <w:t>pilar sagrado</w:t>
      </w:r>
      <w:r>
        <w:t xml:space="preserve"> (</w:t>
      </w:r>
      <w:r>
        <w:rPr>
          <w:i/>
        </w:rPr>
        <w:t>massebá</w:t>
      </w:r>
      <w:r>
        <w:t xml:space="preserve">) e uma </w:t>
      </w:r>
      <w:r>
        <w:rPr>
          <w:i/>
        </w:rPr>
        <w:t>imagem de madeira</w:t>
      </w:r>
      <w:r>
        <w:t xml:space="preserve"> (</w:t>
      </w:r>
      <w:r>
        <w:rPr>
          <w:i/>
        </w:rPr>
        <w:t>Aserá</w:t>
      </w:r>
      <w:r>
        <w:t>), provavelmente da própria deusa.</w:t>
      </w:r>
    </w:p>
    <w:p>
      <w:r/>
      <w:r>
        <w:t>Na Era de Amarna, a religião orgiástica cananeia era especialmente influente no Oriente Próximo; se infiltrou, em certa medida, até mesmo as religiões conservadoras do Egito e da Babilônia. Quatro festivais principais associados com a atividade agrícola parecem ter sido celebrados pelos cananeus, invariavelmente ocasiões de folia, embriaguez e excesso sexual. A religião cananeia era, evidentemente, a mais sexualmente depravada de qualquer outra no mundo antigo.</w:t>
      </w:r>
    </w:p>
    <w:p>
      <w:pPr>
        <w:pStyle w:val="Heading3"/>
      </w:pPr>
      <w:r>
        <w:t>Influência sobre Israel</w:t>
      </w:r>
    </w:p>
    <w:p>
      <w:r/>
      <w:r>
        <w:t>A moralidade israelita, como definida pelas leis da aliança do Monte Sinai, era muito diferente das tradições cúlticas da vida cananeia. O monoteísmo ético hebraico era, de muitas maneiras, oposto à adoração depravada da natureza politeísta da religião cananeia. Ficava claro que os dois sistemas não poderiam coexistir. Consequentemente a lei continha instruções estritas de que os cananeus e seus costumes deveriam ser eliminados da Terra Prometida (</w:t>
      </w:r>
      <w:hyperlink r:id="rId4178">
        <w:r>
          <w:rPr>
            <w:color w:val="0000EE"/>
            <w:u w:val="single"/>
          </w:rPr>
          <w:t>Êx 23.24</w:t>
        </w:r>
      </w:hyperlink>
      <w:r>
        <w:t xml:space="preserve">; </w:t>
      </w:r>
      <w:hyperlink r:id="rId4179">
        <w:r>
          <w:rPr>
            <w:color w:val="0000EE"/>
            <w:u w:val="single"/>
          </w:rPr>
          <w:t>34.13–16</w:t>
        </w:r>
      </w:hyperlink>
      <w:r>
        <w:t xml:space="preserve">; </w:t>
      </w:r>
      <w:hyperlink r:id="rId219">
        <w:r>
          <w:rPr>
            <w:color w:val="0000EE"/>
            <w:u w:val="single"/>
          </w:rPr>
          <w:t>Dt 7.1–5</w:t>
        </w:r>
      </w:hyperlink>
      <w:r>
        <w:t>) e que os hebreus deveriam permanecer separados da religião cananeia em lealdade à aliança de Deus. Isso estava longe de ser fácil, porque ambos os povos falavam dialetos relacionados estreitamente e, portanto, usavam expressões semelhantes de fala. Além disso, os israelitas invasores sob Josué descobriram que os cananeus eram superiores a eles na construção de estruturas de pedra e na fabricação de ferramentas de metal, utensílios e armas. Os hebreus, em uma desvantagem, certamente tiveram que enfrentar a possibilidade de necessitar de ajuda técnica dos cananeus. No tempo do rei Salomão, os cananeus da Fenícia foram alistados para projetar e construir o templo do Senhor em Jerusalém. Uma semelhança superficial entre alguns aspectos da religião cananeia e hebraica, como ofertas de paz e certos títulos divinos, também dificultou a manutenção da distinção cultural de Israel.</w:t>
      </w:r>
    </w:p>
    <w:p>
      <w:r/>
      <w:r>
        <w:t xml:space="preserve">Exceto pela “proibição” imposta em Jericó, os israelitas foram capazes de usar equipamentos cananeus capturados na batalha. Daí sua determinação em destruir todos os vestígios dos cananeus, incluindo sua religião corrupta, foi gradualmente enfraquecida. Durante o reinado de Acabe, quando o culto ao Baal de Tiro estava profundamente enraizado no reino do Norte de Israel, os hebreus corriam um grave risco de perder sua identidade espiritual e teológica. Seus sacerdotes, que deveriam ter desempenhado um papel importante na manutenção da singularidade da fé da aliança, frequentemente sucumbiam aos costumes cananeus, imitando a imoralidade de seus vizinhos pagãos e encorajando o povo israelita a fazer o mesmo (cf. </w:t>
      </w:r>
      <w:hyperlink r:id="rId4180">
        <w:r>
          <w:rPr>
            <w:color w:val="0000EE"/>
            <w:u w:val="single"/>
          </w:rPr>
          <w:t>1Sm 2.22</w:t>
        </w:r>
      </w:hyperlink>
      <w:r>
        <w:t>).</w:t>
      </w:r>
    </w:p>
    <w:p>
      <w:r/>
      <w:r>
        <w:t>Como resultado, os profetas hebreus proclamaram que sua nação, que havia quase completamente sucumbido às seduções cananeias, teria que ser purificada pelo exílio antes que uma fé renovada pudesse se tornar uma possibilidade para Israel.</w:t>
      </w:r>
    </w:p>
    <w:p>
      <w:r/>
      <w:r>
        <w:rPr>
          <w:i/>
        </w:rPr>
        <w:t>Veja também</w:t>
      </w:r>
      <w:r>
        <w:t xml:space="preserve"> </w:t>
      </w:r>
      <w:r>
        <w:t>Deidades cananeias e Religião</w:t>
      </w:r>
      <w:r>
        <w:t xml:space="preserve">; </w:t>
      </w:r>
      <w:r>
        <w:t>Israel, História de</w:t>
      </w:r>
      <w:r>
        <w:t xml:space="preserve">; </w:t>
      </w:r>
      <w:r>
        <w:t>Palestina</w:t>
      </w:r>
      <w:r>
        <w:t>.</w:t>
      </w:r>
      <w:r/>
      <w:r/>
    </w:p>
    <w:p>
      <w:r/>
    </w:p>
    <w:p>
      <w:pPr>
        <w:pStyle w:val="Heading2"/>
      </w:pPr>
      <w:r>
        <w:t>Canais do Mar</w:t>
      </w:r>
      <w:r/>
    </w:p>
    <w:p>
      <w:r/>
      <w:r>
        <w:t>Vales ou leitos de riachos no fundo do oceano. O Senhor salvou Davi de todos os seus inimigos e do rei Saul. Então, Davi louvou o grande poder de Deus. Este poder poderia expor o fundo do oceano com um sopro de sua respiração (</w:t>
      </w:r>
      <w:hyperlink r:id="rId4181">
        <w:r>
          <w:rPr>
            <w:color w:val="0000EE"/>
            <w:u w:val="single"/>
          </w:rPr>
          <w:t>2Sm 22.16</w:t>
        </w:r>
      </w:hyperlink>
      <w:r>
        <w:t xml:space="preserve">; </w:t>
      </w:r>
      <w:hyperlink r:id="rId4182">
        <w:r>
          <w:rPr>
            <w:color w:val="0000EE"/>
            <w:u w:val="single"/>
          </w:rPr>
          <w:t>Sl 18.15</w:t>
        </w:r>
      </w:hyperlink>
      <w:r>
        <w:t>).</w:t>
      </w:r>
      <w:r/>
      <w:r/>
    </w:p>
    <w:p>
      <w:r/>
    </w:p>
    <w:p>
      <w:pPr>
        <w:pStyle w:val="Heading2"/>
      </w:pPr>
      <w:r>
        <w:t>Candace</w:t>
      </w:r>
      <w:r/>
    </w:p>
    <w:p>
      <w:r/>
      <w:r>
        <w:t>Um título dado às antigas rainhas etíopes. Filipe, um líder na igreja primitiva, encontrou e batizou um eunuco etíope que era ministro sob o comando de Candace, rainha dos etíopes (</w:t>
      </w:r>
      <w:hyperlink r:id="rId4183">
        <w:r>
          <w:rPr>
            <w:color w:val="0000EE"/>
            <w:u w:val="single"/>
          </w:rPr>
          <w:t>At 8.27</w:t>
        </w:r>
      </w:hyperlink>
      <w:r>
        <w:t>). Essa Candace em particular governou a região da Núbia (atual Sudão) de 25 a 41 d.C. Seu nome provavelmente era Amanitere.</w:t>
      </w:r>
      <w:r/>
      <w:r/>
    </w:p>
    <w:p>
      <w:r/>
    </w:p>
    <w:p>
      <w:pPr>
        <w:pStyle w:val="Heading2"/>
      </w:pPr>
      <w:r>
        <w:t>Cântico de Débora</w:t>
      </w:r>
      <w:r/>
    </w:p>
    <w:p>
      <w:r/>
      <w:r>
        <w:t xml:space="preserve">O Cântico de Débora é um poema antigo encontrado em </w:t>
      </w:r>
      <w:hyperlink r:id="rId4184">
        <w:r>
          <w:rPr>
            <w:color w:val="0000EE"/>
            <w:u w:val="single"/>
          </w:rPr>
          <w:t>Juízes 5</w:t>
        </w:r>
      </w:hyperlink>
      <w:r>
        <w:t xml:space="preserve">. Celebra uma vitória israelita sobre os cananeus. Este cântico é semelhante ao cântico de Moisés em </w:t>
      </w:r>
      <w:hyperlink r:id="rId4185">
        <w:r>
          <w:rPr>
            <w:color w:val="0000EE"/>
            <w:u w:val="single"/>
          </w:rPr>
          <w:t>Êxodo 15.1–18</w:t>
        </w:r>
      </w:hyperlink>
      <w:r>
        <w:t xml:space="preserve">. Também narra a mesma história que o relato em prosa em </w:t>
      </w:r>
      <w:hyperlink r:id="rId2724">
        <w:r>
          <w:rPr>
            <w:color w:val="0000EE"/>
            <w:u w:val="single"/>
          </w:rPr>
          <w:t xml:space="preserve">Juízes 4. </w:t>
        </w:r>
      </w:hyperlink>
      <w:r>
        <w:t>O cântico descreve como os israelitas derrotaram o poderoso rei cananeu Jabim de Hazor e seu general Sísera com a ajuda de Deus. O estilo poético do cântico e o uso de formas antigas do hebraico podem ser observados nas traduções ligeiramente diferentes encontradas nas versões modernas da Bíblia. A linguagem forte do poema sugere que uma testemunha ocular da batalha o escreveu, provavelmente a própria Débora.</w:t>
      </w:r>
    </w:p>
    <w:p>
      <w:r/>
      <w:hyperlink r:id="rId4186">
        <w:r>
          <w:rPr>
            <w:color w:val="0000EE"/>
            <w:u w:val="single"/>
          </w:rPr>
          <w:t>Juízes 5.2</w:t>
        </w:r>
      </w:hyperlink>
      <w:r>
        <w:t xml:space="preserve"> dirige-se a Israel com um convite para louvar a Deus. A canção também diz aos reis estrangeiros para aprenderem sobre o Deus de Israel e o que Ele fez. Os versículos</w:t>
      </w:r>
      <w:hyperlink r:id="rId4187">
        <w:r>
          <w:rPr>
            <w:color w:val="0000EE"/>
            <w:u w:val="single"/>
          </w:rPr>
          <w:t xml:space="preserve"> 4–5</w:t>
        </w:r>
      </w:hyperlink>
      <w:r>
        <w:t xml:space="preserve"> podem descrever a batalha atual ou a aparição anterior de Deus a Moisés no Monte Sinai. O versículo </w:t>
      </w:r>
      <w:hyperlink r:id="rId4188">
        <w:r>
          <w:rPr>
            <w:color w:val="0000EE"/>
            <w:u w:val="single"/>
          </w:rPr>
          <w:t>5</w:t>
        </w:r>
      </w:hyperlink>
      <w:r>
        <w:t xml:space="preserve"> poderia ser traduzido como: “As montanhas tremeram diante do Senhor, o Deus do monte Sinai”.</w:t>
      </w:r>
    </w:p>
    <w:p>
      <w:r/>
      <w:r>
        <w:t xml:space="preserve">Débora é apresentada pela primeira vez no versículo </w:t>
      </w:r>
      <w:hyperlink r:id="rId4189">
        <w:r>
          <w:rPr>
            <w:color w:val="0000EE"/>
            <w:u w:val="single"/>
          </w:rPr>
          <w:t>7</w:t>
        </w:r>
      </w:hyperlink>
      <w:r>
        <w:t xml:space="preserve">. O versículo </w:t>
      </w:r>
      <w:hyperlink r:id="rId4190">
        <w:r>
          <w:rPr>
            <w:color w:val="0000EE"/>
            <w:u w:val="single"/>
          </w:rPr>
          <w:t>8</w:t>
        </w:r>
      </w:hyperlink>
      <w:r>
        <w:t xml:space="preserve"> pode significar que os cananeus impediram os israelitas de portar armas abertamente. Mais provavelmente, significa que os cananeus destruíram toda a fabricação de armas em Israel (compare </w:t>
      </w:r>
      <w:hyperlink r:id="rId4191">
        <w:r>
          <w:rPr>
            <w:color w:val="0000EE"/>
            <w:u w:val="single"/>
          </w:rPr>
          <w:t>1Sm 13.19</w:t>
        </w:r>
      </w:hyperlink>
      <w:r>
        <w:t>). Durante um tempo de medo e divisão, Débora, que era uma juíza, incentivou as tribos israelitas a lutar. Quando Débora pediu ajuda a todas as tribos, algumas não responderam, mas outras vieram para ajudar.</w:t>
      </w:r>
    </w:p>
    <w:p>
      <w:r/>
      <w:r>
        <w:t>A batalha ocorreu em Taanaque, 24,1 quilômetros (15 milhas) a sudoeste do Monte Tabor. Os cananeus haviam reunido suas forças lá (</w:t>
      </w:r>
      <w:hyperlink r:id="rId4192">
        <w:r>
          <w:rPr>
            <w:color w:val="0000EE"/>
            <w:u w:val="single"/>
          </w:rPr>
          <w:t>Jz 4.13</w:t>
        </w:r>
      </w:hyperlink>
      <w:r>
        <w:t>). Isso significava que os israelitas perderam a vantagem de lutar de sua posição montanhosa. No entanto, a canção de Débora sugere que Deus os ajudou, possivelmente através de uma forte tempestade.</w:t>
      </w:r>
    </w:p>
    <w:p>
      <w:r/>
      <w:r>
        <w:t xml:space="preserve">A ajuda de Deus também é mencionada em </w:t>
      </w:r>
      <w:hyperlink r:id="rId4193">
        <w:r>
          <w:rPr>
            <w:color w:val="0000EE"/>
            <w:u w:val="single"/>
          </w:rPr>
          <w:t>Juízes 4.14</w:t>
        </w:r>
      </w:hyperlink>
      <w:r>
        <w:t xml:space="preserve"> (O Senhor está com você!”). A canção descreve estrelas lutando contra Sísera e o rio Quisom transbordando. Estes representam forças naturais ajudando Israel (</w:t>
      </w:r>
      <w:hyperlink r:id="rId4194">
        <w:r>
          <w:rPr>
            <w:color w:val="0000EE"/>
            <w:u w:val="single"/>
          </w:rPr>
          <w:t>Jz 5.20,21</w:t>
        </w:r>
      </w:hyperlink>
      <w:r>
        <w:t>). Além disso, os carros dos cananeus perderam sua vantagem quando Jael, uma corajosa mulher hebreia, matou Sísera, o líder dos carros (</w:t>
      </w:r>
      <w:hyperlink r:id="rId4195">
        <w:r>
          <w:rPr>
            <w:color w:val="0000EE"/>
            <w:u w:val="single"/>
          </w:rPr>
          <w:t>Jz 5.24–27</w:t>
        </w:r>
      </w:hyperlink>
      <w:r>
        <w:t>). A morte de Sísera cumpriu a profecia de Débora a Baraque, o comandante israelita. Uma mulher, e não ele, receberia a glória por esse feito (</w:t>
      </w:r>
      <w:hyperlink r:id="rId4196">
        <w:r>
          <w:rPr>
            <w:color w:val="0000EE"/>
            <w:u w:val="single"/>
          </w:rPr>
          <w:t>Jz 4.9</w:t>
        </w:r>
      </w:hyperlink>
      <w:r>
        <w:t>).</w:t>
      </w:r>
    </w:p>
    <w:p>
      <w:r/>
      <w:r>
        <w:t>A canção retrata a mãe de Sísera tristemente aguardando seu retorno. Em contraste com essa imagem melancólica da mulher cananeia, a canção de Débora termina com uma poderosa oração por segurança futura. Embora Jael tenha sido abençoada (</w:t>
      </w:r>
      <w:hyperlink r:id="rId4197">
        <w:r>
          <w:rPr>
            <w:color w:val="0000EE"/>
            <w:u w:val="single"/>
          </w:rPr>
          <w:t>Jz 5.24</w:t>
        </w:r>
      </w:hyperlink>
      <w:r>
        <w:t>) e Débora tenha sido elogiada, o Deus de Israel recebeu a glória (</w:t>
      </w:r>
      <w:hyperlink r:id="rId4198">
        <w:r>
          <w:rPr>
            <w:color w:val="0000EE"/>
            <w:u w:val="single"/>
          </w:rPr>
          <w:t>Jz 5.1–3</w:t>
        </w:r>
      </w:hyperlink>
      <w:r>
        <w:t>).</w:t>
      </w:r>
      <w:r/>
      <w:r/>
    </w:p>
    <w:p>
      <w:r/>
    </w:p>
    <w:p>
      <w:pPr>
        <w:pStyle w:val="Heading2"/>
      </w:pPr>
      <w:r>
        <w:t>Cântico de Moisés</w:t>
      </w:r>
      <w:r/>
    </w:p>
    <w:p>
      <w:r/>
      <w:r>
        <w:t>Um dos dois poemas antigos:</w:t>
      </w:r>
    </w:p>
    <w:p>
      <w:pPr>
        <w:pStyle w:val="ListBullet"/>
        <w:spacing w:line="240" w:lineRule="auto"/>
        <w:ind w:left="720"/>
      </w:pPr>
      <w:r/>
      <w:r>
        <w:t xml:space="preserve">A Bênção de Moisés em </w:t>
      </w:r>
      <w:hyperlink r:id="rId4199">
        <w:r>
          <w:rPr>
            <w:color w:val="0000EE"/>
            <w:u w:val="single"/>
          </w:rPr>
          <w:t>Deuteronômio 33;</w:t>
        </w:r>
      </w:hyperlink>
    </w:p>
    <w:p>
      <w:pPr>
        <w:pStyle w:val="ListBullet"/>
        <w:spacing w:line="240" w:lineRule="auto"/>
        <w:ind w:left="720"/>
      </w:pPr>
      <w:r/>
      <w:r>
        <w:t xml:space="preserve">O Cântico de Moisés em </w:t>
      </w:r>
      <w:hyperlink r:id="rId4200">
        <w:r>
          <w:rPr>
            <w:color w:val="0000EE"/>
            <w:u w:val="single"/>
          </w:rPr>
          <w:t>Deuteronômio 32.</w:t>
        </w:r>
      </w:hyperlink>
    </w:p>
    <w:p>
      <w:r/>
      <w:r>
        <w:t>O Cântico do Mar (</w:t>
      </w:r>
      <w:hyperlink r:id="rId4201">
        <w:r>
          <w:rPr>
            <w:color w:val="0000EE"/>
            <w:u w:val="single"/>
          </w:rPr>
          <w:t>Êx 15</w:t>
        </w:r>
      </w:hyperlink>
      <w:r>
        <w:t>) é de um período anterior na vida de Moisés, enquanto esses dois poemas são como sua "mensagem final" antes da morte.</w:t>
      </w:r>
    </w:p>
    <w:p>
      <w:r/>
      <w:r>
        <w:t>Moisés já havia escrito livros da Lei como testemunho contra Israel caso eles se afastassem de Deus. Mas a própria lei exigia pelo menos duas testemunhas para estabelecer qualquer acusação (</w:t>
      </w:r>
      <w:hyperlink r:id="rId4202">
        <w:r>
          <w:rPr>
            <w:color w:val="0000EE"/>
            <w:u w:val="single"/>
          </w:rPr>
          <w:t>Dt 17.6</w:t>
        </w:r>
      </w:hyperlink>
      <w:r>
        <w:t>). Moisés foi então ordenado a escrever a canção como uma testemunha adicional contra Israel (</w:t>
      </w:r>
      <w:hyperlink r:id="rId4203">
        <w:r>
          <w:rPr>
            <w:color w:val="0000EE"/>
            <w:u w:val="single"/>
          </w:rPr>
          <w:t>Dt 31.19</w:t>
        </w:r>
      </w:hyperlink>
      <w:r>
        <w:t>).</w:t>
      </w:r>
    </w:p>
    <w:p>
      <w:r/>
      <w:r>
        <w:t>A canção serve como testemunho da grandeza e bondade de Deus, especialmente sua bondade para com Israel (</w:t>
      </w:r>
      <w:hyperlink r:id="rId4204">
        <w:r>
          <w:rPr>
            <w:color w:val="0000EE"/>
            <w:u w:val="single"/>
          </w:rPr>
          <w:t>Dt 32.10–14</w:t>
        </w:r>
      </w:hyperlink>
      <w:r>
        <w:t>). Essa bondade torna a resposta pecaminosa de Israel ainda pior, o que traz a ira e o castigo de Deus. Deus usará desastres na natureza, animais selvagens e guerras para realizar seus propósitos. No entanto, este não é o fim. Deus, em sua graça, se voltará contra os inimigos de Israel e resgatará seu próprio povo (</w:t>
      </w:r>
      <w:hyperlink r:id="rId4205">
        <w:r>
          <w:rPr>
            <w:color w:val="0000EE"/>
            <w:u w:val="single"/>
          </w:rPr>
          <w:t>Dt 32.36</w:t>
        </w:r>
      </w:hyperlink>
      <w:r>
        <w:t>).</w:t>
      </w:r>
    </w:p>
    <w:p>
      <w:r/>
      <w:r>
        <w:t xml:space="preserve">Esta canção carrega a mesma mensagem de todos os grandes profetas do Antigo Testamento. </w:t>
      </w:r>
      <w:hyperlink r:id="rId4206">
        <w:r>
          <w:rPr>
            <w:color w:val="0000EE"/>
            <w:u w:val="single"/>
          </w:rPr>
          <w:t>Salmo 78</w:t>
        </w:r>
      </w:hyperlink>
      <w:r>
        <w:t xml:space="preserve"> expressa essa mensagem através de exemplos da história de Israel. A canção descreve a própria natureza de Deus, então faz sentido que no céu as pessoas cantem “a canção do servo de Deus Moisés e do Cordeiro” (</w:t>
      </w:r>
      <w:hyperlink r:id="rId4207">
        <w:r>
          <w:rPr>
            <w:color w:val="0000EE"/>
            <w:u w:val="single"/>
          </w:rPr>
          <w:t>Ap 15.3</w:t>
        </w:r>
      </w:hyperlink>
      <w:r>
        <w:t>).</w:t>
      </w:r>
    </w:p>
    <w:p>
      <w:r/>
      <w:r>
        <w:rPr>
          <w:i/>
        </w:rPr>
        <w:t>Veja também</w:t>
      </w:r>
      <w:r>
        <w:t xml:space="preserve"> </w:t>
      </w:r>
      <w:r>
        <w:t>Moisés</w:t>
      </w:r>
      <w:r>
        <w:t>.</w:t>
      </w:r>
      <w:r/>
      <w:r/>
    </w:p>
    <w:p>
      <w:r/>
    </w:p>
    <w:p>
      <w:pPr>
        <w:pStyle w:val="Heading2"/>
      </w:pPr>
      <w:r>
        <w:t>Cântico de Salomão</w:t>
      </w:r>
      <w:r/>
    </w:p>
    <w:p>
      <w:r/>
      <w:r>
        <w:t xml:space="preserve">Um livro curto do AT (oito capítulos) contendo apenas poesia. Suas belas passagens poéticas descrevem as muitas dimensões do amor humano; há pouco neste livro que é explicitamente religioso. Além do título popular, o livro às vezes é referido como “Cântico dos Cânticos”. Esta é a tradução mais literal do título curto do livro na língua original e significa “o melhor de todos os possíveis cânticos”. Alguns escritores também intitulam o livro de “Cânticos”; este título é baseado no nome da versão latina do livro, </w:t>
      </w:r>
      <w:r>
        <w:rPr>
          <w:i/>
        </w:rPr>
        <w:t>Canticum Canticorum.</w:t>
      </w:r>
    </w:p>
    <w:p>
      <w:r/>
      <w:r>
        <w:t>Resumo:</w:t>
      </w:r>
    </w:p>
    <w:p>
      <w:r/>
      <w:r>
        <w:t>• Autor;</w:t>
      </w:r>
    </w:p>
    <w:p>
      <w:r/>
      <w:r>
        <w:t>• Data;</w:t>
      </w:r>
    </w:p>
    <w:p>
      <w:r/>
      <w:r>
        <w:t>• Várias interpretações;</w:t>
      </w:r>
    </w:p>
    <w:p>
      <w:r/>
      <w:r>
        <w:t>• Propósito e ensino teológico;</w:t>
      </w:r>
    </w:p>
    <w:p>
      <w:r/>
      <w:r>
        <w:t>• Conteúdo.</w:t>
      </w:r>
    </w:p>
    <w:p>
      <w:pPr>
        <w:pStyle w:val="Heading3"/>
      </w:pPr>
      <w:r>
        <w:t>Autor</w:t>
      </w:r>
    </w:p>
    <w:p>
      <w:r/>
      <w:r>
        <w:t>Havia uma antiga tradição entre os judeus de que o rei Salomão (c. 970–930 a.C.) escreveu o Cântico dos Cânticos. Essa visão é baseada em uma das várias possíveis traduções do primeiro versículo do Cântico: “Cântico dos Cânticos, a mais bela das canções de Salomão” (</w:t>
      </w:r>
      <w:hyperlink r:id="rId4208">
        <w:r>
          <w:rPr>
            <w:color w:val="0000EE"/>
            <w:u w:val="single"/>
          </w:rPr>
          <w:t>1.1</w:t>
        </w:r>
      </w:hyperlink>
      <w:r>
        <w:t>, NTLH). Essa visão pode estar correta, embora não haja certeza absoluta, pois as últimas palavras do versículo na língua original podem ser traduzidas de várias maneiras. Uma tradução para o português que preserva a ambiguidade do original seria “Cântico de cânticos, que é de Salomão” (ARC); as últimas palavras poderiam significar que Salomão foi o autor, mas igualmente poderiam indicar que o cântico foi “dedicado a Salomão” ou “escrito para Salomão”. Como é frequentemente o caso com os escritos do AT, a autoria não pode ser conhecida com certeza absoluta.</w:t>
      </w:r>
    </w:p>
    <w:p>
      <w:pPr>
        <w:pStyle w:val="Heading3"/>
      </w:pPr>
      <w:r>
        <w:t>Data</w:t>
      </w:r>
    </w:p>
    <w:p>
      <w:r/>
      <w:r>
        <w:t>Segue que, se a autoria é incerta, também deve haver incerteza quanto à data em que o cântico foi escrito. Se Salomão foi o autor, ele foi escrito durante a segunda metade do décimo século a.C. Se ele não foi o autor, então o cântico provavelmente foi escrito em uma data posterior. Mas o conteúdo indica que o cântico deve ter sido escrito e concluído em algum momento durante a monarquia hebraica (antes de 586 a.C.). Para aqueles que não aceitam Salomão como autor, a data precisa dependerá, em certa medida, da teoria adotada em relação à interpretação do cântico. Se o cântico é uma antologia de poesia amorosa israelita, então os muitos poemas que compõem o cântico teriam sido escritos em datas diferentes e reunidos em um único volume no final da monarquia hebraica.</w:t>
      </w:r>
    </w:p>
    <w:p>
      <w:pPr>
        <w:pStyle w:val="Heading3"/>
      </w:pPr>
      <w:r>
        <w:t>Várias interpretações</w:t>
      </w:r>
    </w:p>
    <w:p>
      <w:r/>
      <w:r>
        <w:t xml:space="preserve">Existem duas grandes dificuldades em interpretar este livro. Primeiro, o cântico parece ser secular em sua forma atual e o nome de Deus não aparece; a única exceção a essa afirmação está em </w:t>
      </w:r>
      <w:hyperlink r:id="rId4209">
        <w:r>
          <w:rPr>
            <w:color w:val="0000EE"/>
            <w:u w:val="single"/>
          </w:rPr>
          <w:t>8.6</w:t>
        </w:r>
      </w:hyperlink>
      <w:r>
        <w:t>, onde algumas versões em português traduzem o texto para mostrar o nome de Deus, embora o texto original use o nome de uma forma incomum (adjetival). O segundo problema é que, tomado ao pé da letra, o cântico contém apenas poesia secular do amor humano. Qual é o significado teológico da poesia de amor? Essas e outras dificuldades levaram a uma infinidade de diferentes interpretações do cântico. Um breve levantamento de algumas das interpretações mais significativas esclarecerá não apenas o problema de entender o livro, mas também seu conteúdo e significado.</w:t>
      </w:r>
    </w:p>
    <w:p>
      <w:pPr>
        <w:pStyle w:val="Heading4"/>
      </w:pPr>
      <w:r>
        <w:t>O cântico como alegoria</w:t>
      </w:r>
    </w:p>
    <w:p>
      <w:r/>
      <w:r>
        <w:t>Uma das interpretações mais antigas do cântico o vê como uma alegoria. Essa visão foi sustentada tanto por estudiosos judeus quanto cristãos desde cedo. A descrição do amor humano no cântico é visto como uma alegoria do amor entre Cristo e a igreja. Agostinho de Hipona (354–430 d.C.) acreditava que o casamento mencionado no cântico era uma alegoria do casamento entre Cristo e a igreja.</w:t>
      </w:r>
    </w:p>
    <w:p>
      <w:r/>
      <w:r>
        <w:t>Essa teoria foi valorizada por muito tempo. Ela influenciou os tradutores da versão inglesa King James. Eles adicionaram cabeçalhos de capítulos às suas traduções como uma ajuda para os leitores entenderem a Bíblia. Por exemplo, no início do primeiro capítulo do Cântico de Salomão, eles escreveram: “1. O amor da Igreja por Cristo, 5. Ela confessa sua deformidade, 7. e ora para ser guiada ao seu rebanho”. É importante enfatizar, no entanto, que o texto hebraico não menciona Cristo ou a igreja. Os cabeçalhos representam o entendimento dos tradutores, não o conteúdo do hebraico original.</w:t>
      </w:r>
    </w:p>
    <w:p>
      <w:pPr>
        <w:pStyle w:val="Heading4"/>
      </w:pPr>
      <w:r>
        <w:t>O cântico como drama</w:t>
      </w:r>
    </w:p>
    <w:p>
      <w:r/>
      <w:r>
        <w:t>A ideia de que o cântico é um drama também é antiga. Aqueles que apoiam essa teoria começam observando que há vários oradores ou atores. Talvez, então, o cântico seja o roteiro de uma antiga peça teatral.</w:t>
      </w:r>
    </w:p>
    <w:p>
      <w:r/>
      <w:r>
        <w:t>Esta teoria possui alguns pontos fortes. No manuscrito de uma antiga tradução grega do AT, foram adicionados títulos ao Cântico de Salomão que identificam os oradores. O elenco inclui a noiva, o noivo e os companheiros. No entanto, os títulos provavelmente não faziam parte do texto hebraico original. Eles refletem a interpretação dos primeiros tradutores gregos.</w:t>
      </w:r>
    </w:p>
    <w:p>
      <w:r/>
      <w:r>
        <w:t>Há uma grande dificuldade com essa teoria: não há evidências claras de que o drama era uma forma de arte usada pelos hebreus. Embora o drama fosse comum entre os gregos, não parece ter sido empregado no Oriente Próximo. É possível, no entanto, sugerir uma ligeira variação na teoria do drama. Talvez o Cântico de Salomão não seja um drama, mas simplesmente poesia dramática, semelhante ao livro de Jó. Essa possibilidade é mais plausível, mas também apresenta dificuldades. Seria natural esperar uma narrativa ou enredo em um drama ou mesmo em uma poesia de caráter dramático, mas não fica evidente que realmente exista uma história ali.</w:t>
      </w:r>
    </w:p>
    <w:p>
      <w:r/>
      <w:r>
        <w:t>De acordo com uma interpretação, a história pode ser a seguinte. A canção narra o amor verdadeiro. Uma donzela estava apaixonada por um jovem pastor. O rei Salomão, no entanto, se apaixonou pela donzela e a levou para seu palácio. Lá, ele tentou conquistar seu amor com belas palavras, mas não teve sucesso. Ela permaneceu fiel ao jovem pastor que amava. Não conseguindo conquistá-la, Salomão a liberou e permitiu que ela retornasse ao seu verdadeiro amor. A história é bela e simples, mas não é fácil de perceber no texto sem títulos e explicações adicionais. Outros intérpretes discerniram uma história bastante diferente no Cântico de Salomão. Em conclusão, não é absolutamente claro que há uma única história sendo contada.</w:t>
      </w:r>
    </w:p>
    <w:p>
      <w:pPr>
        <w:pStyle w:val="Heading4"/>
      </w:pPr>
      <w:r>
        <w:t>O cântico como reflexo de um culto à fertilidade</w:t>
      </w:r>
    </w:p>
    <w:p>
      <w:r/>
      <w:r>
        <w:t>Alguns estudiosos modernos afirmam que a origem do Cântico de Salomão pode ser encontrada nos cultos de fertilidade do antigo Oriente Próximo. Nesses cultos, havia grande ênfase na fertilidade da terra, que se manifestava em colheitas abundantes. Os cultos eram projetados para garantir que a terra permanecesse fértil e eram acompanhados por uma mitologia que descrevia os deuses responsáveis pela fertilidade. Essa mitologia incluía poesia de amor sobre os deuses, e essa poesia tem alguma semelhança com o Cântico de Salomão.</w:t>
      </w:r>
    </w:p>
    <w:p>
      <w:r/>
      <w:r>
        <w:t>A teoria pode ser a seguinte: originalmente, os hebreus também tinham um culto à fertilidade. O Cântico de Salomão contém poesia de amor associada a esse culto. Mais tarde, as referências mitológicas foram omitidas, fazendo com que o cântico atual pareça poesia de amor secular.</w:t>
      </w:r>
    </w:p>
    <w:p>
      <w:r/>
      <w:r>
        <w:t>A principal dificuldade com essa teoria é a falta de qualquer evidência concreta. Não há referência a Deus ou a outros deuses no Cântico de Salomão. Não há menção a um culto de fertilidade ou a qualquer outro tipo de culto. E, mesmo que a teoria tivesse algum fundamento, já não restam evidências que a confirmem.</w:t>
      </w:r>
    </w:p>
    <w:p>
      <w:pPr>
        <w:pStyle w:val="Heading4"/>
      </w:pPr>
      <w:r>
        <w:t>O cântico como coleção de poemas</w:t>
      </w:r>
    </w:p>
    <w:p>
      <w:r/>
      <w:r>
        <w:t>Esta última e mais provável teoria de interpretação envolve dois princípios básicos. Primeiro, o cântico deve ser interpretado literalmente; é o que parece ser — poesia celebrando o amor humano. Segundo, o Cântico de Salomão é uma coleção, não uma única peça de poesia. Assim como o livro dos Salmos contém cânticos, hinos e orações de muitos períodos diferentes da história de Israel, o Cântico de Salomão também contém poesia de diferentes períodos e diferentes autores. O tema comum que une todas as passagens é o amor humano. As opiniões divergem sobre onde um cântico termina e o próximo começa. Pode haver até 29 cânticos no livro, alguns consistindo de apenas um versículo e outros muito mais longos.</w:t>
      </w:r>
    </w:p>
    <w:p>
      <w:pPr>
        <w:pStyle w:val="Heading3"/>
      </w:pPr>
      <w:r>
        <w:t>Propósito e ensino teológico</w:t>
      </w:r>
    </w:p>
    <w:p>
      <w:r/>
      <w:r>
        <w:t>Se entendermos o Cântico de Salomão principalmente como uma coletânea de poemas que celebram o amor humano, qual é o seu significado como um livro bíblico? Quais são suas implicações teológicas? Primeiro, a presença do cântico na Bíblia fornece uma visão valiosa sobre o amor humano. O amor entre um homem e uma mulher é algo nobre e belo; é um presente de Deus. É caracterizado por um certo mistério e não pode ser comprado. No entanto, porque o amor humano é algo belo e nobre, pode facilmente ser degradado. No mundo moderno, o Cântico de Salomão oferece uma perspectiva adequada e uma visão equilibrada do amor humano. Além disso, um alto valor do amor humano é essencial. Já que o amor humano e o casamento são usados na Bíblia como uma analogia do amor de Deus pela humanidade, o amor em si deve ser bom e puro.</w:t>
      </w:r>
    </w:p>
    <w:p>
      <w:pPr>
        <w:pStyle w:val="Heading3"/>
      </w:pPr>
      <w:r>
        <w:t>Conteúdo</w:t>
      </w:r>
    </w:p>
    <w:p>
      <w:pPr>
        <w:pStyle w:val="Heading4"/>
      </w:pPr>
      <w:r>
        <w:t>A mulher canta seu cântico de amor (</w:t>
      </w:r>
      <w:hyperlink r:id="rId4210">
        <w:r>
          <w:rPr>
            <w:color w:val="0000EE"/>
            <w:u w:val="single"/>
          </w:rPr>
          <w:t>1.2–7</w:t>
        </w:r>
      </w:hyperlink>
      <w:r>
        <w:t>)</w:t>
      </w:r>
    </w:p>
    <w:p>
      <w:r/>
      <w:r>
        <w:t xml:space="preserve">Em cada um dos cânticos, o leitor é como um curioso ouvindo as palavras de amor faladas, às vezes em particular e às vezes para a pessoa amada. O cântico de abertura é uma canção de louvor, regozijando-se no amor e deleitando-se em uma pessoa amada em particular: “Que os seus lábios me cubram de beijos! O seu amor é melhor do que o vinho” (v. </w:t>
      </w:r>
      <w:hyperlink r:id="rId3318">
        <w:r>
          <w:rPr>
            <w:color w:val="0000EE"/>
            <w:u w:val="single"/>
          </w:rPr>
          <w:t>2</w:t>
        </w:r>
      </w:hyperlink>
      <w:r>
        <w:t>, NTLH). Este cântico, como muitos outros, é caracterizado por um cenário campestre, aqui destacado por um contraste com a cidade. A jovem é do campo e está bronzeada de trabalhar ao ar livre; isso a deixa consciente de si mesma entre as mulheres da cidade de Jerusalém. Mas o amor supera a falta de autoconfiança, e é no campo que ela encontrará seu amado.</w:t>
      </w:r>
    </w:p>
    <w:p>
      <w:pPr>
        <w:pStyle w:val="Heading4"/>
      </w:pPr>
      <w:r>
        <w:t>O rei conversa com a mulher (</w:t>
      </w:r>
      <w:hyperlink r:id="rId4211">
        <w:r>
          <w:rPr>
            <w:color w:val="0000EE"/>
            <w:u w:val="single"/>
          </w:rPr>
          <w:t>1.8–2.7</w:t>
        </w:r>
      </w:hyperlink>
      <w:r>
        <w:t>)</w:t>
      </w:r>
    </w:p>
    <w:p>
      <w:r/>
      <w:r>
        <w:t>Nesta passagem, homem e mulher estão falando, mas não se trata de uma conversa comum. Eles não falam diretamente um com o outro, mas descrevem um ao outro. Assim, a beleza de ambos aparece, não de forma abstrata, mas através do olhar de quem ama. Afinal, embora a beleza possa ser definida de modo abstrato, a beleza percebida por dois amantes é diferente: ela nasce do olhar de quem ama e da relação de amor, que funciona como uma lente capaz de intensificar essa percepção.</w:t>
      </w:r>
    </w:p>
    <w:p>
      <w:pPr>
        <w:pStyle w:val="Heading4"/>
      </w:pPr>
      <w:r>
        <w:t>Um cântico da primavera (</w:t>
      </w:r>
      <w:hyperlink r:id="rId4212">
        <w:r>
          <w:rPr>
            <w:color w:val="0000EE"/>
            <w:u w:val="single"/>
          </w:rPr>
          <w:t>2.8–13</w:t>
        </w:r>
      </w:hyperlink>
      <w:r>
        <w:t>)</w:t>
      </w:r>
    </w:p>
    <w:p>
      <w:r/>
      <w:r>
        <w:t>Este belo cântico descreve a jovem donzela observando seu amado vindo até ela. Ele a convida para se juntar a ele no campo, onde o inverno já passou e a nova vida da primavera pode ser vista na terra. A beleza do amor jovem é comparada ao florescimento de nova vida e fragrância que caracteriza a Palestina na primavera.</w:t>
      </w:r>
    </w:p>
    <w:p>
      <w:pPr>
        <w:pStyle w:val="Heading4"/>
      </w:pPr>
      <w:r>
        <w:t>A mulher procura por seu amado (</w:t>
      </w:r>
      <w:hyperlink r:id="rId4213">
        <w:r>
          <w:rPr>
            <w:color w:val="0000EE"/>
            <w:u w:val="single"/>
          </w:rPr>
          <w:t>2.14–3.5</w:t>
        </w:r>
      </w:hyperlink>
      <w:r>
        <w:t>)</w:t>
      </w:r>
    </w:p>
    <w:p>
      <w:r/>
      <w:r>
        <w:t>Agora a mulher canta e uma nova dimensão de seu amor emerge das palavras de sua canção. O amor é pleno quando os parceiros estão juntos, mas a separação cria tristeza e solidão. As palavras da donzela evocam o desespero dos amantes separados, um desespero que só poderia se desfazer quando ela tivesse seu amado de volta em seus braços e não o soltasse mais (</w:t>
      </w:r>
      <w:hyperlink r:id="rId4214">
        <w:r>
          <w:rPr>
            <w:color w:val="0000EE"/>
            <w:u w:val="single"/>
          </w:rPr>
          <w:t>3.4</w:t>
        </w:r>
      </w:hyperlink>
      <w:r>
        <w:t>).</w:t>
      </w:r>
    </w:p>
    <w:p>
      <w:pPr>
        <w:pStyle w:val="Heading4"/>
      </w:pPr>
      <w:r>
        <w:t>O cortejo de casamento do rei (</w:t>
      </w:r>
      <w:hyperlink r:id="rId4215">
        <w:r>
          <w:rPr>
            <w:color w:val="0000EE"/>
            <w:u w:val="single"/>
          </w:rPr>
          <w:t>3.6–11</w:t>
        </w:r>
      </w:hyperlink>
      <w:r>
        <w:t>)</w:t>
      </w:r>
    </w:p>
    <w:p>
      <w:r/>
      <w:r>
        <w:t xml:space="preserve">O cântico começa com uma descrição da aproximação do cortejo nupcial real, um palanquim cercado por homens de guerra. O rei se aproxima da cidade para seu casamento, e as jovens da cidade saem para saudá-lo. O cântico pode ser comparada com </w:t>
      </w:r>
      <w:hyperlink r:id="rId4216">
        <w:r>
          <w:rPr>
            <w:color w:val="0000EE"/>
            <w:u w:val="single"/>
          </w:rPr>
          <w:t>Salmos 45</w:t>
        </w:r>
      </w:hyperlink>
      <w:r>
        <w:t>, outro cântico de casamento.</w:t>
      </w:r>
    </w:p>
    <w:p>
      <w:pPr>
        <w:pStyle w:val="Heading4"/>
      </w:pPr>
      <w:r>
        <w:t>A beleza da mulher, como um jardim (</w:t>
      </w:r>
      <w:hyperlink r:id="rId4217">
        <w:r>
          <w:rPr>
            <w:color w:val="0000EE"/>
            <w:u w:val="single"/>
          </w:rPr>
          <w:t>4.1–5.1</w:t>
        </w:r>
      </w:hyperlink>
      <w:r>
        <w:t>)</w:t>
      </w:r>
    </w:p>
    <w:p>
      <w:r/>
      <w:r>
        <w:t>Em linguagem suntuosa, o homem descreve a beleza de sua donzela. Para o leitor moderno, a linguagem às vezes parece estranha: “O teu pescoço é como a torre de Davi” (</w:t>
      </w:r>
      <w:hyperlink r:id="rId4218">
        <w:r>
          <w:rPr>
            <w:color w:val="0000EE"/>
            <w:u w:val="single"/>
          </w:rPr>
          <w:t>4.4</w:t>
        </w:r>
      </w:hyperlink>
      <w:r>
        <w:t xml:space="preserve">, ARC). Mas a estranheza está principalmente em nossa falta de familiaridade com as metáforas antigas. No entanto, grande parte da linguagem aqui se baseia na imagem da natureza e da vida selvagem, que pode ser apreciada por todos. Novamente, a beleza não é descrita apenas como algo estético, pois está intimamente ligada ao relacionamento de amor: “Como são deliciosas as suas carícias, minha namorada, minha noiva! O seu amor é melhor do que o vinho” (v. </w:t>
      </w:r>
      <w:hyperlink r:id="rId4219">
        <w:r>
          <w:rPr>
            <w:color w:val="0000EE"/>
            <w:u w:val="single"/>
          </w:rPr>
          <w:t>10</w:t>
        </w:r>
      </w:hyperlink>
      <w:r>
        <w:t xml:space="preserve">, NTLH). E novamente, a beleza da donzela não é simplesmente para ser admirada; é para ser dada ao amado. Assim, quando o homem conclui suas palavras de adoração, a mulher se oferece a ele (v. </w:t>
      </w:r>
      <w:hyperlink r:id="rId4220">
        <w:r>
          <w:rPr>
            <w:color w:val="0000EE"/>
            <w:u w:val="single"/>
          </w:rPr>
          <w:t>16</w:t>
        </w:r>
      </w:hyperlink>
      <w:r>
        <w:t>) e ele aceita (</w:t>
      </w:r>
      <w:hyperlink r:id="rId1492">
        <w:r>
          <w:rPr>
            <w:color w:val="0000EE"/>
            <w:u w:val="single"/>
          </w:rPr>
          <w:t>5.1</w:t>
        </w:r>
      </w:hyperlink>
      <w:r>
        <w:t>).</w:t>
      </w:r>
    </w:p>
    <w:p>
      <w:pPr>
        <w:pStyle w:val="Heading4"/>
      </w:pPr>
      <w:r>
        <w:t>A mulher fala de seu amado (</w:t>
      </w:r>
      <w:hyperlink r:id="rId4221">
        <w:r>
          <w:rPr>
            <w:color w:val="0000EE"/>
            <w:u w:val="single"/>
          </w:rPr>
          <w:t>5.2–6.3</w:t>
        </w:r>
      </w:hyperlink>
      <w:r>
        <w:t>)</w:t>
      </w:r>
    </w:p>
    <w:p>
      <w:r/>
      <w:r>
        <w:t>Neste cântico, a mulher está conversando com outras mulheres, e o homem não está presente. Enquanto ela fala sobre seu amado, há uma mudança nas palavras que expressam um sentimento de solidão e separação (</w:t>
      </w:r>
      <w:hyperlink r:id="rId4222">
        <w:r>
          <w:rPr>
            <w:color w:val="0000EE"/>
            <w:u w:val="single"/>
          </w:rPr>
          <w:t>5.4–8</w:t>
        </w:r>
      </w:hyperlink>
      <w:r>
        <w:t xml:space="preserve">) para um ressurgimento de alegria ao contemplar seu amado. A tristeza da separação de seu amado é dissipada enquanto ela descreve a elas a beleza de seu homem (vv. </w:t>
      </w:r>
      <w:hyperlink r:id="rId4223">
        <w:r>
          <w:rPr>
            <w:color w:val="0000EE"/>
            <w:u w:val="single"/>
          </w:rPr>
          <w:t>10–16</w:t>
        </w:r>
      </w:hyperlink>
      <w:r>
        <w:t>).</w:t>
      </w:r>
    </w:p>
    <w:p>
      <w:pPr>
        <w:pStyle w:val="Heading4"/>
      </w:pPr>
      <w:r>
        <w:t>O homem fala da beleza de sua amada (</w:t>
      </w:r>
      <w:hyperlink r:id="rId4224">
        <w:r>
          <w:rPr>
            <w:color w:val="0000EE"/>
            <w:u w:val="single"/>
          </w:rPr>
          <w:t>6.4–7.9</w:t>
        </w:r>
      </w:hyperlink>
      <w:r>
        <w:t>)</w:t>
      </w:r>
    </w:p>
    <w:p>
      <w:r/>
      <w:r>
        <w:t>Esta longa passagem pode conter mais de uma única canção; há palavras do homem, da donzela e das companheiras. O tema principal é uma descrição adicional feita pelo homem sobre a beleza de sua amada (</w:t>
      </w:r>
      <w:hyperlink r:id="rId4225">
        <w:r>
          <w:rPr>
            <w:color w:val="0000EE"/>
            <w:u w:val="single"/>
          </w:rPr>
          <w:t>6.4–10</w:t>
        </w:r>
      </w:hyperlink>
      <w:r>
        <w:t xml:space="preserve">; </w:t>
      </w:r>
      <w:hyperlink r:id="rId4226">
        <w:r>
          <w:rPr>
            <w:color w:val="0000EE"/>
            <w:u w:val="single"/>
          </w:rPr>
          <w:t>7.1–9</w:t>
        </w:r>
      </w:hyperlink>
      <w:r>
        <w:t>), um tema já conhecido de uma passagem anterior (</w:t>
      </w:r>
      <w:hyperlink r:id="rId4217">
        <w:r>
          <w:rPr>
            <w:color w:val="0000EE"/>
            <w:u w:val="single"/>
          </w:rPr>
          <w:t>4.1–5.1</w:t>
        </w:r>
      </w:hyperlink>
      <w:r>
        <w:t>). Cada parte do corpo da donzela é extremamente bela aos olhos de quem a ama.</w:t>
      </w:r>
    </w:p>
    <w:p>
      <w:pPr>
        <w:pStyle w:val="Heading4"/>
      </w:pPr>
      <w:r>
        <w:t>A mulher e o homem refletem sobre o amor (</w:t>
      </w:r>
      <w:hyperlink r:id="rId4227">
        <w:r>
          <w:rPr>
            <w:color w:val="0000EE"/>
            <w:u w:val="single"/>
          </w:rPr>
          <w:t>7.10–8.14</w:t>
        </w:r>
      </w:hyperlink>
      <w:r>
        <w:t>)</w:t>
      </w:r>
    </w:p>
    <w:p>
      <w:r/>
      <w:r>
        <w:t xml:space="preserve">Ambos os parceiros falam nesta passagem complexa, que pode conter uma série de pequenas canções de amor. Enquanto algumas partes são difíceis de interpretar (especialmente </w:t>
      </w:r>
      <w:hyperlink r:id="rId4228">
        <w:r>
          <w:rPr>
            <w:color w:val="0000EE"/>
            <w:u w:val="single"/>
          </w:rPr>
          <w:t>8.8–14</w:t>
        </w:r>
      </w:hyperlink>
      <w:r>
        <w:t>), outros versos revelam na linguagem mais profunda o significado do amor. O amor, o mais poderoso de todos os relacionamentos humanos, cria um senso de pertencimento e posse mútuos: “Eu sou do meu amado, e ele me quer” (</w:t>
      </w:r>
      <w:hyperlink r:id="rId4229">
        <w:r>
          <w:rPr>
            <w:color w:val="0000EE"/>
            <w:u w:val="single"/>
          </w:rPr>
          <w:t>7.10</w:t>
        </w:r>
      </w:hyperlink>
      <w:r>
        <w:t>, NTLH). E mais tarde, a moça fala do amor com palavras que transmitem uma das compreensões mais poderosas do amor em toda a Bíblia: “O amor é tão poderoso como a morte... Nenhuma quantidade de água pode apagar o amor, e nenhum rio pode afogá-lo. Se alguém quisesse comprar o amor e por ele oferecesse as suas riquezas, receberia somente o desprezo” (</w:t>
      </w:r>
      <w:hyperlink r:id="rId4230">
        <w:r>
          <w:rPr>
            <w:color w:val="0000EE"/>
            <w:u w:val="single"/>
          </w:rPr>
          <w:t>8.6–7</w:t>
        </w:r>
      </w:hyperlink>
      <w:r>
        <w:t>, NTLH).</w:t>
      </w:r>
    </w:p>
    <w:p>
      <w:r/>
      <w:r>
        <w:rPr>
          <w:i/>
        </w:rPr>
        <w:t>Veja também</w:t>
      </w:r>
      <w:r>
        <w:t xml:space="preserve"> </w:t>
      </w:r>
      <w:r>
        <w:t>Salomão (Pessoa)</w:t>
      </w:r>
      <w:r>
        <w:t>.</w:t>
      </w:r>
      <w:r/>
      <w:r/>
    </w:p>
    <w:p>
      <w:r/>
    </w:p>
    <w:p>
      <w:pPr>
        <w:pStyle w:val="Heading2"/>
      </w:pPr>
      <w:r>
        <w:t>Cântico de subida</w:t>
      </w:r>
      <w:r/>
    </w:p>
    <w:p>
      <w:r/>
      <w:r>
        <w:t xml:space="preserve">A inscrição (título ou cabeçalho) dos </w:t>
      </w:r>
      <w:hyperlink r:id="rId4231">
        <w:r>
          <w:rPr>
            <w:color w:val="0000EE"/>
            <w:u w:val="single"/>
          </w:rPr>
          <w:t>Salmos 120–134</w:t>
        </w:r>
      </w:hyperlink>
      <w:r>
        <w:t>. Estes salmos também recebem o nome de "Cânticos de peregrinação" ou "Cânticos de romagem". Além disso, alguns interpretam esse nome como "Cântico dos degraus".</w:t>
      </w:r>
    </w:p>
    <w:p>
      <w:r/>
      <w:r>
        <w:rPr>
          <w:i/>
        </w:rPr>
        <w:t>Veja</w:t>
      </w:r>
      <w:r>
        <w:t xml:space="preserve"> </w:t>
      </w:r>
      <w:r>
        <w:t>Cântico dos degraus, Cântico das subidas</w:t>
      </w:r>
      <w:r>
        <w:t>.</w:t>
      </w:r>
      <w:r/>
      <w:r/>
    </w:p>
    <w:p>
      <w:r/>
    </w:p>
    <w:p>
      <w:pPr>
        <w:pStyle w:val="Heading2"/>
      </w:pPr>
      <w:r>
        <w:t>Cantor</w:t>
      </w:r>
      <w:r/>
    </w:p>
    <w:p>
      <w:r/>
      <w:r>
        <w:t>O cantor profissional era importante no culto do Templo. Davi foi o primeiro a organizar cantores para o culto no Tabernáculo (</w:t>
      </w:r>
      <w:hyperlink r:id="rId4232">
        <w:r>
          <w:rPr>
            <w:color w:val="0000EE"/>
            <w:u w:val="single"/>
          </w:rPr>
          <w:t>1Cr 9.33</w:t>
        </w:r>
      </w:hyperlink>
      <w:r>
        <w:t xml:space="preserve">; </w:t>
      </w:r>
      <w:hyperlink r:id="rId4233">
        <w:r>
          <w:rPr>
            <w:color w:val="0000EE"/>
            <w:u w:val="single"/>
          </w:rPr>
          <w:t>15.16,19,27</w:t>
        </w:r>
      </w:hyperlink>
      <w:r>
        <w:t>). Mais tarde, eles ministraram no Templo de Salomão (</w:t>
      </w:r>
      <w:hyperlink r:id="rId4234">
        <w:r>
          <w:rPr>
            <w:color w:val="0000EE"/>
            <w:u w:val="single"/>
          </w:rPr>
          <w:t>2Cr 5.12–13</w:t>
        </w:r>
      </w:hyperlink>
      <w:r>
        <w:t>) e para outros reis (</w:t>
      </w:r>
      <w:hyperlink r:id="rId4235">
        <w:r>
          <w:rPr>
            <w:color w:val="0000EE"/>
            <w:u w:val="single"/>
          </w:rPr>
          <w:t>20.21</w:t>
        </w:r>
      </w:hyperlink>
      <w:r>
        <w:t xml:space="preserve">; </w:t>
      </w:r>
      <w:hyperlink r:id="rId4236">
        <w:r>
          <w:rPr>
            <w:color w:val="0000EE"/>
            <w:u w:val="single"/>
          </w:rPr>
          <w:t>23.13</w:t>
        </w:r>
      </w:hyperlink>
      <w:r>
        <w:t xml:space="preserve">; </w:t>
      </w:r>
      <w:hyperlink r:id="rId2650">
        <w:r>
          <w:rPr>
            <w:color w:val="0000EE"/>
            <w:u w:val="single"/>
          </w:rPr>
          <w:t>35.15</w:t>
        </w:r>
      </w:hyperlink>
      <w:r>
        <w:t>). Após o exílio, os cantores estavam novamente ativos (</w:t>
      </w:r>
      <w:hyperlink r:id="rId4237">
        <w:r>
          <w:rPr>
            <w:color w:val="0000EE"/>
            <w:u w:val="single"/>
          </w:rPr>
          <w:t>Ed 2.41,70</w:t>
        </w:r>
      </w:hyperlink>
      <w:r>
        <w:t xml:space="preserve">; </w:t>
      </w:r>
      <w:hyperlink r:id="rId4238">
        <w:r>
          <w:rPr>
            <w:color w:val="0000EE"/>
            <w:u w:val="single"/>
          </w:rPr>
          <w:t>Ne 7.1,44,73</w:t>
        </w:r>
      </w:hyperlink>
      <w:r>
        <w:t xml:space="preserve">; </w:t>
      </w:r>
      <w:hyperlink r:id="rId4239">
        <w:r>
          <w:rPr>
            <w:color w:val="0000EE"/>
            <w:u w:val="single"/>
          </w:rPr>
          <w:t>10.28,39</w:t>
        </w:r>
      </w:hyperlink>
      <w:r>
        <w:t>). Eles cantavam salmos para o culto no Templo (</w:t>
      </w:r>
      <w:hyperlink r:id="rId4240">
        <w:r>
          <w:rPr>
            <w:color w:val="0000EE"/>
            <w:u w:val="single"/>
          </w:rPr>
          <w:t>Sl 68.25</w:t>
        </w:r>
      </w:hyperlink>
      <w:r>
        <w:t xml:space="preserve">; </w:t>
      </w:r>
      <w:hyperlink r:id="rId4241">
        <w:r>
          <w:rPr>
            <w:color w:val="0000EE"/>
            <w:u w:val="single"/>
          </w:rPr>
          <w:t>87.7</w:t>
        </w:r>
      </w:hyperlink>
      <w:r>
        <w:t>). Alguns foram nomeados "principais cantores" (</w:t>
      </w:r>
      <w:hyperlink r:id="rId1582">
        <w:r>
          <w:rPr>
            <w:color w:val="0000EE"/>
            <w:u w:val="single"/>
          </w:rPr>
          <w:t>Hc 3.19</w:t>
        </w:r>
      </w:hyperlink>
      <w:r>
        <w:t>). Os filhos de Asafe eram proeminentes entre eles.</w:t>
      </w:r>
    </w:p>
    <w:p>
      <w:r/>
      <w:r>
        <w:rPr>
          <w:i/>
        </w:rPr>
        <w:t>Veja também</w:t>
      </w:r>
      <w:r>
        <w:t xml:space="preserve"> </w:t>
      </w:r>
      <w:r>
        <w:t>Música</w:t>
      </w:r>
      <w:r>
        <w:t>.</w:t>
      </w:r>
      <w:r/>
      <w:r/>
    </w:p>
    <w:p>
      <w:r/>
    </w:p>
    <w:p>
      <w:pPr>
        <w:pStyle w:val="Heading2"/>
      </w:pPr>
      <w:r>
        <w:t>Caos, Águas do</w:t>
      </w:r>
      <w:r/>
    </w:p>
    <w:p>
      <w:r/>
      <w:r>
        <w:t>No pensamento antigo, os mares primordiais que foram divididos. O mundo estava então situado entre as “águas acima” e “águas abaixo”, ou “o Abismo” (</w:t>
      </w:r>
      <w:hyperlink r:id="rId4242">
        <w:r>
          <w:rPr>
            <w:color w:val="0000EE"/>
            <w:u w:val="single"/>
          </w:rPr>
          <w:t>Gênesis 1.1–2,6–7</w:t>
        </w:r>
      </w:hyperlink>
      <w:r>
        <w:t>).</w:t>
      </w:r>
      <w:r/>
      <w:r/>
    </w:p>
    <w:p>
      <w:r/>
    </w:p>
    <w:p>
      <w:pPr>
        <w:pStyle w:val="Heading2"/>
      </w:pPr>
      <w:r>
        <w:t>Capadócia</w:t>
      </w:r>
      <w:r/>
    </w:p>
    <w:p>
      <w:r/>
      <w:r>
        <w:t>Região do planalto do leste da Ásia Menor, cortada por cadeias de montanhas. O nome Capadócia não aparece no Antigo Testamento hebraico. Passagens que mencionam Caftor ou Caftorim (</w:t>
      </w:r>
      <w:hyperlink r:id="rId2930">
        <w:r>
          <w:rPr>
            <w:color w:val="0000EE"/>
            <w:u w:val="single"/>
          </w:rPr>
          <w:t>Dt 2.23</w:t>
        </w:r>
      </w:hyperlink>
      <w:r>
        <w:t xml:space="preserve">; </w:t>
      </w:r>
      <w:hyperlink r:id="rId1278">
        <w:r>
          <w:rPr>
            <w:color w:val="0000EE"/>
            <w:u w:val="single"/>
          </w:rPr>
          <w:t>Am 9.7</w:t>
        </w:r>
      </w:hyperlink>
      <w:r>
        <w:t>), no entanto, foram traduzidas como “Capadócia” na Septuaginta (antiga tradução grega do AT). Alguns estudiosos sugerem que a Capadócia foi o lar original dos filisteus.</w:t>
      </w:r>
    </w:p>
    <w:p>
      <w:r/>
      <w:r>
        <w:t>No NT, a Capadócia era a terra natal de alguns dos visitantes a Jerusalém que ficaram maravilhados ao ouvir suas próprias línguas sendo faladas no dia de Pentecostes (</w:t>
      </w:r>
      <w:hyperlink r:id="rId4243">
        <w:r>
          <w:rPr>
            <w:color w:val="0000EE"/>
            <w:u w:val="single"/>
          </w:rPr>
          <w:t>At 2.5–13</w:t>
        </w:r>
      </w:hyperlink>
      <w:r>
        <w:t>). A Capadócia foi mais tarde um dos lugares na Ásia Menor onde os cristãos se estabeleceram, pessoas a quem o apóstolo Pedro dirigiu sua primeira carta (</w:t>
      </w:r>
      <w:hyperlink r:id="rId2751">
        <w:r>
          <w:rPr>
            <w:color w:val="0000EE"/>
            <w:u w:val="single"/>
          </w:rPr>
          <w:t>1Pe 1.1</w:t>
        </w:r>
      </w:hyperlink>
      <w:r>
        <w:t>).</w:t>
      </w:r>
    </w:p>
    <w:p>
      <w:r/>
      <w:r>
        <w:t>A Capadócia fazia fronteira com o Ponto ao norte, a Síria e a Armênia a leste, a Cilícia ao sul e a Licônia a oeste. Conhecida por seu trigo, gado e cavalos, também exportava alabastro, mica, prata e chumbo. A região era atravessada por importantes rotas comerciais, como a rota através dos Portões Cilícios em direção ao norte até o Ponto. A área foi controlada ou dominada sucessivamente por hititas, assírios, babilônios, persas, gregos, selêucidas e romanos.</w:t>
      </w:r>
    </w:p>
    <w:p>
      <w:r/>
      <w:r>
        <w:t>Referência a uma carta para Ariarates, rei da Capadócia (</w:t>
      </w:r>
      <w:hyperlink r:id="rId4244">
        <w:r>
          <w:rPr>
            <w:color w:val="0000EE"/>
            <w:u w:val="single"/>
          </w:rPr>
          <w:t>1Mc 15.22</w:t>
        </w:r>
      </w:hyperlink>
      <w:r>
        <w:t>), pode indicar que havia um assentamento judaico significativo lá no início do século II a.C. Judeus dessa comunidade aparentemente estavam visitando Jerusalém na época de Pentecostes. O cristianismo parece ter se espalhado para o norte na Capadócia ao longo da estrada de Tarso. A Capadócia tornou-se uma região de fortes líderes da igreja cristã no século IV d.C.</w:t>
      </w:r>
      <w:r/>
      <w:r/>
    </w:p>
    <w:p>
      <w:r/>
    </w:p>
    <w:p>
      <w:pPr>
        <w:pStyle w:val="Heading2"/>
      </w:pPr>
      <w:r>
        <w:t>Capataz</w:t>
      </w:r>
      <w:r/>
    </w:p>
    <w:p>
      <w:r/>
      <w:r>
        <w:t>Um capataz era uma pessoa que supervisionava os trabalhadores e os obrigava a trabalhar arduamente. Esculturas egípcias em pedra mostram capatazes segurando chicotes, que usavam para punir trabalhadores que não trabalhavam rápido o suficiente (</w:t>
      </w:r>
      <w:hyperlink r:id="rId4245">
        <w:r>
          <w:rPr>
            <w:color w:val="0000EE"/>
            <w:u w:val="single"/>
          </w:rPr>
          <w:t>Êx 1.11</w:t>
        </w:r>
      </w:hyperlink>
      <w:r>
        <w:t xml:space="preserve">; </w:t>
      </w:r>
      <w:hyperlink r:id="rId4246">
        <w:r>
          <w:rPr>
            <w:color w:val="0000EE"/>
            <w:u w:val="single"/>
          </w:rPr>
          <w:t>3.7</w:t>
        </w:r>
      </w:hyperlink>
      <w:r>
        <w:t xml:space="preserve">; </w:t>
      </w:r>
      <w:hyperlink r:id="rId4247">
        <w:r>
          <w:rPr>
            <w:color w:val="0000EE"/>
            <w:u w:val="single"/>
          </w:rPr>
          <w:t>5.6–14</w:t>
        </w:r>
      </w:hyperlink>
      <w:r>
        <w:t xml:space="preserve">; </w:t>
      </w:r>
      <w:hyperlink r:id="rId4248">
        <w:r>
          <w:rPr>
            <w:color w:val="0000EE"/>
            <w:u w:val="single"/>
          </w:rPr>
          <w:t>Jó 3.18</w:t>
        </w:r>
      </w:hyperlink>
      <w:r>
        <w:t>). A palavra hebraica usada para capataz na Bíblia significa "oprimir", mostrando quão mal eles tratavam seus trabalhadores. Os reis Davi e Salomão tinham capatazes. Um homem chamado Adorão estava encarregado do trabalho forçado durante o tempo deles (</w:t>
      </w:r>
      <w:hyperlink r:id="rId4249">
        <w:r>
          <w:rPr>
            <w:color w:val="0000EE"/>
            <w:u w:val="single"/>
          </w:rPr>
          <w:t>2Sm 20.24</w:t>
        </w:r>
      </w:hyperlink>
      <w:r>
        <w:t xml:space="preserve">; </w:t>
      </w:r>
      <w:hyperlink r:id="rId4250">
        <w:r>
          <w:rPr>
            <w:color w:val="0000EE"/>
            <w:u w:val="single"/>
          </w:rPr>
          <w:t>1Rs 4.6</w:t>
        </w:r>
      </w:hyperlink>
      <w:r>
        <w:t xml:space="preserve">; </w:t>
      </w:r>
      <w:hyperlink r:id="rId4251">
        <w:r>
          <w:rPr>
            <w:color w:val="0000EE"/>
            <w:u w:val="single"/>
          </w:rPr>
          <w:t>12.18</w:t>
        </w:r>
      </w:hyperlink>
      <w:r>
        <w:t xml:space="preserve">; </w:t>
      </w:r>
      <w:hyperlink r:id="rId425">
        <w:r>
          <w:rPr>
            <w:color w:val="0000EE"/>
            <w:u w:val="single"/>
          </w:rPr>
          <w:t>2Cr 10.18</w:t>
        </w:r>
      </w:hyperlink>
      <w:r>
        <w:t>). O tratamento cruel por parte desses capatazes tornou-se uma das razões pelas quais as tribos do norte de Israel se separaram das tribos do sul após a morte de Salomão (</w:t>
      </w:r>
      <w:hyperlink r:id="rId4252">
        <w:r>
          <w:rPr>
            <w:color w:val="0000EE"/>
            <w:u w:val="single"/>
          </w:rPr>
          <w:t>1Rs 12.3–14</w:t>
        </w:r>
      </w:hyperlink>
      <w:r>
        <w:t>).</w:t>
      </w:r>
      <w:r/>
      <w:r/>
    </w:p>
    <w:p>
      <w:r/>
    </w:p>
    <w:p>
      <w:pPr>
        <w:pStyle w:val="Heading2"/>
      </w:pPr>
      <w:r>
        <w:t>Capitel</w:t>
      </w:r>
      <w:r/>
    </w:p>
    <w:p>
      <w:r/>
      <w:r>
        <w:t>Na arquitetura (projeto de edifícios), o capitel é a parte superior de uma coluna. Os capitéis são frequentemente decorados com desenhos detalhados. Capitéis (“capitel” na Versão da ARC) estavam no topo das cinco colunas do Tabernáculo durante a peregrinação dos israelitas no deserto (</w:t>
      </w:r>
      <w:hyperlink r:id="rId4253">
        <w:r>
          <w:rPr>
            <w:color w:val="0000EE"/>
            <w:u w:val="single"/>
          </w:rPr>
          <w:t>Êx 36.38</w:t>
        </w:r>
      </w:hyperlink>
      <w:r>
        <w:t>). Eles também estavam no topo das colunas chamadas “Boaz” e “Jaquim” no Templo de Salomão (</w:t>
      </w:r>
      <w:hyperlink r:id="rId4254">
        <w:r>
          <w:rPr>
            <w:color w:val="0000EE"/>
            <w:u w:val="single"/>
          </w:rPr>
          <w:t>1Rs 7.16–22,40–42</w:t>
        </w:r>
      </w:hyperlink>
      <w:r>
        <w:t>).</w:t>
      </w:r>
    </w:p>
    <w:p>
      <w:r/>
      <w:r>
        <w:rPr>
          <w:i/>
        </w:rPr>
        <w:t>Veja também</w:t>
      </w:r>
      <w:r>
        <w:t xml:space="preserve"> </w:t>
      </w:r>
      <w:r>
        <w:t>Arquitetura</w:t>
      </w:r>
      <w:r>
        <w:t>.</w:t>
      </w:r>
      <w:r/>
      <w:r/>
    </w:p>
    <w:p>
      <w:r/>
    </w:p>
    <w:p>
      <w:pPr>
        <w:pStyle w:val="Heading2"/>
      </w:pPr>
      <w:r>
        <w:t>Caravana</w:t>
      </w:r>
      <w:r/>
    </w:p>
    <w:p>
      <w:r/>
      <w:r>
        <w:t>Nos tempos bíblicos, um grupo itinerante de mercadores, peregrinos ou outros se unia para proteção mútua. Geralmente, os viajantes usavam animais de carga para transportar suas mercadorias ou pertences pessoais. Para transportar bens de um distrito a outro, os jumentos eram principalmente usados até cerca de 1100 a.C., quando o uso de camelos se tornou mais comum. A antiga Palestina, situada entre o Mar Mediterrâneo e o Egito de um lado e a Síria, Mesopotâmia, Arábia e terras mais ao leste do outro, era atravessada por rotas comerciais. A nação de Israel estava, assim, intimamente familiarizada com caravanas, muitas nos tempos do AT vindas de Transjordânia e Arábia. As caravanas árabes frequentemente transportavam especiarias e incenso, produtos que eram particularmente lucrativos. Os governantes de Seba estavam envolvidos nesse empreendimento (</w:t>
      </w:r>
      <w:hyperlink r:id="rId4255">
        <w:r>
          <w:rPr>
            <w:color w:val="0000EE"/>
            <w:u w:val="single"/>
          </w:rPr>
          <w:t>1Rs 10.2</w:t>
        </w:r>
      </w:hyperlink>
      <w:r>
        <w:t>). O tamanho de uma caravana dependia da quantidade de tráfego, precariedade da rota e disponibilidade de camelos. Talvez 40 camelos pudessem ser unidos por cordas presas da sela de um camelo ao anel nasal do camelo que o seguia. As caravanas podiam viajar em fila única ou com três a quatro camelos lado a lado. Em clima quente ou em uma jornada extensa, um camelo podia carregar cerca de 159 quilos (350 libras); em viagens curtas e frescas, podia carregar muito mais. José foi vendido como escravo para uma caravana de especiarias indo para o Egito (</w:t>
      </w:r>
      <w:hyperlink r:id="rId2231">
        <w:r>
          <w:rPr>
            <w:color w:val="0000EE"/>
            <w:u w:val="single"/>
          </w:rPr>
          <w:t>Gn 37.25–28</w:t>
        </w:r>
      </w:hyperlink>
      <w:r>
        <w:t>). Expedições de saque também formavam caravanas às vezes (</w:t>
      </w:r>
      <w:hyperlink r:id="rId4256">
        <w:r>
          <w:rPr>
            <w:color w:val="0000EE"/>
            <w:u w:val="single"/>
          </w:rPr>
          <w:t>Jz 6.3–5</w:t>
        </w:r>
      </w:hyperlink>
      <w:r>
        <w:t xml:space="preserve">; </w:t>
      </w:r>
      <w:hyperlink r:id="rId1053">
        <w:r>
          <w:rPr>
            <w:color w:val="0000EE"/>
            <w:u w:val="single"/>
          </w:rPr>
          <w:t>1Sm 30.1–20</w:t>
        </w:r>
      </w:hyperlink>
      <w:r>
        <w:t>).</w:t>
      </w:r>
    </w:p>
    <w:p>
      <w:r/>
      <w:r>
        <w:rPr>
          <w:i/>
        </w:rPr>
        <w:t>Veja também</w:t>
      </w:r>
      <w:r>
        <w:t xml:space="preserve"> </w:t>
      </w:r>
      <w:r>
        <w:t>Viagem</w:t>
      </w:r>
      <w:r>
        <w:t>.</w:t>
      </w:r>
      <w:r/>
      <w:r/>
    </w:p>
    <w:p>
      <w:r/>
    </w:p>
    <w:p>
      <w:pPr>
        <w:pStyle w:val="Heading2"/>
      </w:pPr>
      <w:r>
        <w:t>Carbúnculo</w:t>
      </w:r>
      <w:r/>
    </w:p>
    <w:p>
      <w:r/>
      <w:r>
        <w:t>Uma pedra de cor vermelha ou ardente, como uma granada ou rubi. É mencionada como uma das pedras preciosas no peitoral do sumo sacerdote (</w:t>
      </w:r>
      <w:hyperlink r:id="rId4257">
        <w:r>
          <w:rPr>
            <w:color w:val="0000EE"/>
            <w:u w:val="single"/>
          </w:rPr>
          <w:t>Êx 28.17</w:t>
        </w:r>
      </w:hyperlink>
      <w:r>
        <w:t>).</w:t>
      </w:r>
    </w:p>
    <w:p>
      <w:r/>
      <w:r>
        <w:rPr>
          <w:i/>
        </w:rPr>
        <w:t>Veja</w:t>
      </w:r>
      <w:r>
        <w:t xml:space="preserve"> </w:t>
      </w:r>
      <w:r>
        <w:t>Pedras, Preciosas</w:t>
      </w:r>
      <w:r>
        <w:t>.</w:t>
      </w:r>
      <w:r/>
      <w:r/>
    </w:p>
    <w:p>
      <w:r/>
    </w:p>
    <w:p>
      <w:pPr>
        <w:pStyle w:val="Heading2"/>
      </w:pPr>
      <w:r>
        <w:t>Carmi</w:t>
      </w:r>
      <w:r/>
    </w:p>
    <w:p>
      <w:pPr>
        <w:pStyle w:val="ListNumber"/>
        <w:spacing w:line="240" w:lineRule="auto"/>
        <w:ind w:left="720"/>
      </w:pPr>
      <w:r/>
      <w:r>
        <w:t>Um dos filhos de Rúben; ele se juntou ao seu avô Jacó na mudança para o Egito (</w:t>
      </w:r>
      <w:hyperlink r:id="rId4258">
        <w:r>
          <w:rPr>
            <w:color w:val="0000EE"/>
            <w:u w:val="single"/>
          </w:rPr>
          <w:t>Gn 46.9</w:t>
        </w:r>
      </w:hyperlink>
      <w:r>
        <w:t xml:space="preserve">; </w:t>
      </w:r>
      <w:hyperlink r:id="rId4259">
        <w:r>
          <w:rPr>
            <w:color w:val="0000EE"/>
            <w:u w:val="single"/>
          </w:rPr>
          <w:t>Êx 6.14</w:t>
        </w:r>
      </w:hyperlink>
      <w:r>
        <w:t xml:space="preserve">; </w:t>
      </w:r>
      <w:hyperlink r:id="rId4260">
        <w:r>
          <w:rPr>
            <w:color w:val="0000EE"/>
            <w:u w:val="single"/>
          </w:rPr>
          <w:t>1Cr 5.3</w:t>
        </w:r>
      </w:hyperlink>
      <w:r>
        <w:t>). Ele fundou a família dos carmitas (</w:t>
      </w:r>
      <w:hyperlink r:id="rId4261">
        <w:r>
          <w:rPr>
            <w:color w:val="0000EE"/>
            <w:u w:val="single"/>
          </w:rPr>
          <w:t>Nm 26.5–7</w:t>
        </w:r>
      </w:hyperlink>
      <w:r>
        <w:t>).</w:t>
      </w:r>
    </w:p>
    <w:p>
      <w:pPr>
        <w:pStyle w:val="ListNumber"/>
        <w:spacing w:line="240" w:lineRule="auto"/>
        <w:ind w:left="720"/>
      </w:pPr>
      <w:r/>
      <w:r>
        <w:t>Pai de Acã e membro da tribo de Judá (</w:t>
      </w:r>
      <w:hyperlink r:id="rId4262">
        <w:r>
          <w:rPr>
            <w:color w:val="0000EE"/>
            <w:u w:val="single"/>
          </w:rPr>
          <w:t>Js 7.1,18</w:t>
        </w:r>
      </w:hyperlink>
      <w:r>
        <w:t xml:space="preserve">; </w:t>
      </w:r>
      <w:hyperlink r:id="rId4263">
        <w:r>
          <w:rPr>
            <w:color w:val="0000EE"/>
            <w:u w:val="single"/>
          </w:rPr>
          <w:t>1Cr 2.7</w:t>
        </w:r>
      </w:hyperlink>
      <w:r>
        <w:t xml:space="preserve">; </w:t>
      </w:r>
      <w:hyperlink r:id="rId4264">
        <w:r>
          <w:rPr>
            <w:color w:val="0000EE"/>
            <w:u w:val="single"/>
          </w:rPr>
          <w:t>4.1</w:t>
        </w:r>
      </w:hyperlink>
      <w:r>
        <w:t>).</w:t>
      </w:r>
      <w:r/>
      <w:r/>
    </w:p>
    <w:p>
      <w:r/>
    </w:p>
    <w:p>
      <w:pPr>
        <w:pStyle w:val="Heading2"/>
      </w:pPr>
      <w:r>
        <w:t>Carmita</w:t>
      </w:r>
      <w:r/>
    </w:p>
    <w:p>
      <w:r/>
      <w:r>
        <w:t>Um nome para um descendente de Carmi. Carmi foi um dos filhos de Rúben (</w:t>
      </w:r>
      <w:hyperlink r:id="rId4265">
        <w:r>
          <w:rPr>
            <w:color w:val="0000EE"/>
            <w:u w:val="single"/>
          </w:rPr>
          <w:t>Nm 26.6</w:t>
        </w:r>
      </w:hyperlink>
      <w:r>
        <w:t>).</w:t>
      </w:r>
    </w:p>
    <w:p>
      <w:r/>
      <w:r>
        <w:rPr>
          <w:i/>
        </w:rPr>
        <w:t>Veja</w:t>
      </w:r>
      <w:r>
        <w:t xml:space="preserve"> </w:t>
      </w:r>
      <w:r>
        <w:t>Carmi #1</w:t>
      </w:r>
      <w:r>
        <w:t>.</w:t>
      </w:r>
      <w:r/>
      <w:r/>
    </w:p>
    <w:p>
      <w:r/>
    </w:p>
    <w:p>
      <w:pPr>
        <w:pStyle w:val="Heading2"/>
      </w:pPr>
      <w:r>
        <w:t>Carne</w:t>
      </w:r>
      <w:r/>
    </w:p>
    <w:p>
      <w:r/>
      <w:r>
        <w:t>O corpo; o ser físico dos humanos; a pessoa humana e a existência humana; a natureza carnal dos humanos.</w:t>
      </w:r>
    </w:p>
    <w:p>
      <w:pPr>
        <w:pStyle w:val="Heading3"/>
      </w:pPr>
      <w:r>
        <w:t>No Antigo Testamento</w:t>
      </w:r>
    </w:p>
    <w:p>
      <w:r/>
      <w:r>
        <w:t>Termo comumente usado para designar a substância material do corpo, seja de pessoas (</w:t>
      </w:r>
      <w:hyperlink r:id="rId4266">
        <w:r>
          <w:rPr>
            <w:color w:val="0000EE"/>
            <w:u w:val="single"/>
          </w:rPr>
          <w:t>Gn 40.19</w:t>
        </w:r>
      </w:hyperlink>
      <w:r>
        <w:t>) ou de animais (</w:t>
      </w:r>
      <w:hyperlink r:id="rId3040">
        <w:r>
          <w:rPr>
            <w:color w:val="0000EE"/>
            <w:u w:val="single"/>
          </w:rPr>
          <w:t>Lv 6.27</w:t>
        </w:r>
      </w:hyperlink>
      <w:r>
        <w:t>). No entanto, "carne" é usada no AT com uma variedade de significados. Às vezes, é usada como equivalente para o corpo inteiro (</w:t>
      </w:r>
      <w:hyperlink r:id="rId4267">
        <w:r>
          <w:rPr>
            <w:color w:val="0000EE"/>
            <w:u w:val="single"/>
          </w:rPr>
          <w:t>Pv 14.30</w:t>
        </w:r>
      </w:hyperlink>
      <w:r>
        <w:t xml:space="preserve">), e o significado é estendido para designar a pessoa inteira ("minha carne também descansará em esperança", </w:t>
      </w:r>
      <w:hyperlink r:id="rId4268">
        <w:r>
          <w:rPr>
            <w:color w:val="0000EE"/>
            <w:u w:val="single"/>
          </w:rPr>
          <w:t>Sl 16.9</w:t>
        </w:r>
      </w:hyperlink>
      <w:r>
        <w:t>, ARC). Esta ideia leva à união de duas pessoas diferentes, homem e mulher como "uma só carne" (</w:t>
      </w:r>
      <w:hyperlink r:id="rId3603">
        <w:r>
          <w:rPr>
            <w:color w:val="0000EE"/>
            <w:u w:val="single"/>
          </w:rPr>
          <w:t>Gn 2.24</w:t>
        </w:r>
      </w:hyperlink>
      <w:r>
        <w:t>), e um homem pode dizer de seus parentes, "Eu sou osso e carne de vocês" (</w:t>
      </w:r>
      <w:hyperlink r:id="rId4269">
        <w:r>
          <w:rPr>
            <w:color w:val="0000EE"/>
            <w:u w:val="single"/>
          </w:rPr>
          <w:t>Jz 9.2</w:t>
        </w:r>
      </w:hyperlink>
      <w:r>
        <w:t>). A ideia de carne como a pessoa inteira leva à expressão "toda carne", denotando a totalidade da humanidade, às vezes incluindo também o mundo animal.</w:t>
      </w:r>
    </w:p>
    <w:p>
      <w:r/>
      <w:r>
        <w:t>Talvez o uso mais distintivo de “carne” no AT seja encontrado naquelas passagens onde designa a fraqueza e fragilidade humana em oposição a Deus. “Não contenderá o meu Espírito para sempre com o homem, porque ele também é carne” (</w:t>
      </w:r>
      <w:hyperlink r:id="rId4270">
        <w:r>
          <w:rPr>
            <w:color w:val="0000EE"/>
            <w:u w:val="single"/>
          </w:rPr>
          <w:t>Gn 6.3</w:t>
        </w:r>
      </w:hyperlink>
      <w:r>
        <w:t xml:space="preserve">, ARC). Em </w:t>
      </w:r>
      <w:hyperlink r:id="rId4271">
        <w:r>
          <w:rPr>
            <w:color w:val="0000EE"/>
            <w:u w:val="single"/>
          </w:rPr>
          <w:t>Salmo 78.39</w:t>
        </w:r>
      </w:hyperlink>
      <w:r>
        <w:t xml:space="preserve">, Deus atribui o pecado ao fato de que os homens são apenas carne. Em </w:t>
      </w:r>
      <w:hyperlink r:id="rId4272">
        <w:r>
          <w:rPr>
            <w:color w:val="0000EE"/>
            <w:u w:val="single"/>
          </w:rPr>
          <w:t>2 Crônicas 32.8</w:t>
        </w:r>
      </w:hyperlink>
      <w:r>
        <w:t>, o braço de carne do rei da Assíria (ou seja, sua fraqueza) é contrastado com o Deus todo-poderoso. Aquele que confia em Deus não precisa temer o que a “carne” pode fazer (</w:t>
      </w:r>
      <w:hyperlink r:id="rId4273">
        <w:r>
          <w:rPr>
            <w:color w:val="0000EE"/>
            <w:u w:val="single"/>
          </w:rPr>
          <w:t>Sl 56.4</w:t>
        </w:r>
      </w:hyperlink>
      <w:r>
        <w:t>), mas aquele que confia na carne humana em vez de em Deus está sob uma maldição (</w:t>
      </w:r>
      <w:hyperlink r:id="rId4274">
        <w:r>
          <w:rPr>
            <w:color w:val="0000EE"/>
            <w:u w:val="single"/>
          </w:rPr>
          <w:t>Jr 17.5</w:t>
        </w:r>
      </w:hyperlink>
      <w:r>
        <w:t xml:space="preserve">). Em </w:t>
      </w:r>
      <w:hyperlink r:id="rId4275">
        <w:r>
          <w:rPr>
            <w:color w:val="0000EE"/>
            <w:u w:val="single"/>
          </w:rPr>
          <w:t>Isaías 31.3</w:t>
        </w:r>
      </w:hyperlink>
      <w:r>
        <w:t>, carne é contrastada com espírito, assim como fraqueza é com força.</w:t>
      </w:r>
    </w:p>
    <w:p>
      <w:r/>
      <w:r>
        <w:t>No entanto, em nenhum lugar no AT a carne é vista como pecaminosa. A carne é concebida como sendo criada por Deus do pó da terra (</w:t>
      </w:r>
      <w:hyperlink r:id="rId292">
        <w:r>
          <w:rPr>
            <w:color w:val="0000EE"/>
            <w:u w:val="single"/>
          </w:rPr>
          <w:t>Gn 2.7</w:t>
        </w:r>
      </w:hyperlink>
      <w:r>
        <w:t>), e como criação de Deus, é boa.</w:t>
      </w:r>
    </w:p>
    <w:p>
      <w:pPr>
        <w:pStyle w:val="Heading3"/>
      </w:pPr>
      <w:r>
        <w:t>No Novo Testamento</w:t>
      </w:r>
    </w:p>
    <w:p>
      <w:r/>
      <w:r>
        <w:t>Paulo atribui muitas — frequentemente únicas — definições à palavra "carne" (grego sarx).</w:t>
      </w:r>
    </w:p>
    <w:p>
      <w:pPr>
        <w:pStyle w:val="Heading4"/>
      </w:pPr>
      <w:r>
        <w:t>Carne como a substância do corpo</w:t>
      </w:r>
    </w:p>
    <w:p>
      <w:r/>
      <w:r>
        <w:t>“Carne” é frequentemente usada para descrever os tecidos que constituem o corpo. Existem diferentes tipos de carne — “de homens”, “de animais”, “de aves”, “de peixes” (</w:t>
      </w:r>
      <w:hyperlink r:id="rId4276">
        <w:r>
          <w:rPr>
            <w:color w:val="0000EE"/>
            <w:u w:val="single"/>
          </w:rPr>
          <w:t>1Co 15.39</w:t>
        </w:r>
      </w:hyperlink>
      <w:r>
        <w:t>). Dor e sofrimento podem ser experimentados na carne (</w:t>
      </w:r>
      <w:hyperlink r:id="rId4277">
        <w:r>
          <w:rPr>
            <w:color w:val="0000EE"/>
            <w:u w:val="single"/>
          </w:rPr>
          <w:t>2Co 12.7</w:t>
        </w:r>
      </w:hyperlink>
      <w:r>
        <w:t>). A circuncisão é feita na carne (</w:t>
      </w:r>
      <w:hyperlink r:id="rId4278">
        <w:r>
          <w:rPr>
            <w:color w:val="0000EE"/>
            <w:u w:val="single"/>
          </w:rPr>
          <w:t>Rm 2.28</w:t>
        </w:r>
      </w:hyperlink>
      <w:r>
        <w:t>). Embora “carne” em tais referências não seja pecaminosa, é corruptível e não pode herdar o reino de Deus (</w:t>
      </w:r>
      <w:hyperlink r:id="rId4279">
        <w:r>
          <w:rPr>
            <w:color w:val="0000EE"/>
            <w:u w:val="single"/>
          </w:rPr>
          <w:t>1Co 15.50</w:t>
        </w:r>
      </w:hyperlink>
      <w:r>
        <w:t>). O corpo de Jesus também era um corpo de carne (</w:t>
      </w:r>
      <w:hyperlink r:id="rId4280">
        <w:r>
          <w:rPr>
            <w:color w:val="0000EE"/>
            <w:u w:val="single"/>
          </w:rPr>
          <w:t>Cl 1.22</w:t>
        </w:r>
      </w:hyperlink>
      <w:r>
        <w:t>).</w:t>
      </w:r>
    </w:p>
    <w:p>
      <w:pPr>
        <w:pStyle w:val="Heading4"/>
      </w:pPr>
      <w:r>
        <w:t>Carne como o próprio corpo</w:t>
      </w:r>
    </w:p>
    <w:p>
      <w:r/>
      <w:r>
        <w:t>Por uma transição natural, a parte é usada para o todo, e em muitos lugares "carne" é sinônimo do corpo como um todo, em vez de designar a parte carnuda do corpo. Paulo pode assim falar tanto de estar ausente no corpo (</w:t>
      </w:r>
      <w:hyperlink r:id="rId4281">
        <w:r>
          <w:rPr>
            <w:color w:val="0000EE"/>
            <w:u w:val="single"/>
          </w:rPr>
          <w:t>1Co 5.3</w:t>
        </w:r>
      </w:hyperlink>
      <w:r>
        <w:t>) quanto na carne (</w:t>
      </w:r>
      <w:hyperlink r:id="rId4282">
        <w:r>
          <w:rPr>
            <w:color w:val="0000EE"/>
            <w:u w:val="single"/>
          </w:rPr>
          <w:t>Cl 2.5</w:t>
        </w:r>
      </w:hyperlink>
      <w:r>
        <w:t>). Paulo pode dizer que a vida de Jesus pode ser manifestada em nosso corpo ou em nossa carne mortal (</w:t>
      </w:r>
      <w:hyperlink r:id="rId4283">
        <w:r>
          <w:rPr>
            <w:color w:val="0000EE"/>
            <w:u w:val="single"/>
          </w:rPr>
          <w:t>2Co 4.10–11</w:t>
        </w:r>
      </w:hyperlink>
      <w:r>
        <w:t>). "Ou não sabeis que o que se ajunta com a meretriz faz-se um corpo com ela? Porque serão, disse, dois numa só carne" (</w:t>
      </w:r>
      <w:hyperlink r:id="rId4284">
        <w:r>
          <w:rPr>
            <w:color w:val="0000EE"/>
            <w:u w:val="single"/>
          </w:rPr>
          <w:t>1Co 6.16</w:t>
        </w:r>
      </w:hyperlink>
      <w:r>
        <w:t>, ARC).</w:t>
      </w:r>
    </w:p>
    <w:p>
      <w:pPr>
        <w:pStyle w:val="Heading4"/>
      </w:pPr>
      <w:r>
        <w:t>Carne como pessoa com referência à origem</w:t>
      </w:r>
    </w:p>
    <w:p>
      <w:r/>
      <w:r>
        <w:t>Seguindo o uso do AT, "carne" foi usado por Paulo para se referir não apenas à substância do corpo ou ao próprio corpo, mas concretamente à pessoa constituída pela carne. Neste uso, a palavra pode se referir ao relacionamento humano da pessoa, à origem física e aos laços naturais que a unem a outros humanos. Paulo fala de seus parentes "segundo a carne", seus companheiros judeus (</w:t>
      </w:r>
      <w:hyperlink r:id="rId4285">
        <w:r>
          <w:rPr>
            <w:color w:val="0000EE"/>
            <w:u w:val="single"/>
          </w:rPr>
          <w:t>Rm 9.3</w:t>
        </w:r>
      </w:hyperlink>
      <w:r>
        <w:t>), e até usa "minha carne" (</w:t>
      </w:r>
      <w:hyperlink r:id="rId4286">
        <w:r>
          <w:rPr>
            <w:color w:val="0000EE"/>
            <w:u w:val="single"/>
          </w:rPr>
          <w:t>11.14</w:t>
        </w:r>
      </w:hyperlink>
      <w:r>
        <w:t>) como sinônimo para esses parentes. Os "filhos da carne" (</w:t>
      </w:r>
      <w:hyperlink r:id="rId4287">
        <w:r>
          <w:rPr>
            <w:color w:val="0000EE"/>
            <w:u w:val="single"/>
          </w:rPr>
          <w:t>9.8</w:t>
        </w:r>
      </w:hyperlink>
      <w:r>
        <w:t>) são aqueles nascidos por geração natural em contraste com aqueles nascidos como resultado de intervenção divina. Cristo era descendente de Davi segundo a carne (</w:t>
      </w:r>
      <w:hyperlink r:id="rId4288">
        <w:r>
          <w:rPr>
            <w:color w:val="0000EE"/>
            <w:u w:val="single"/>
          </w:rPr>
          <w:t>1.3</w:t>
        </w:r>
      </w:hyperlink>
      <w:r>
        <w:t>). A frase não designa apenas a fonte de sua vida corporal, mas de toda a sua existência humana, incluindo tanto seu corpo quanto seu espírito humano.</w:t>
      </w:r>
    </w:p>
    <w:p>
      <w:pPr>
        <w:pStyle w:val="Heading4"/>
      </w:pPr>
      <w:r>
        <w:t>Carne como existência humana</w:t>
      </w:r>
    </w:p>
    <w:p>
      <w:r/>
      <w:r>
        <w:t>Outro uso de "carne" simplesmente designa a existência humana. Enquanto uma pessoa vive no corpo, essa pessoa está "na carne". Assim, Paulo pode falar da vida que ele vive "na carne" como vivida pela fé no Filho de Deus (</w:t>
      </w:r>
      <w:hyperlink r:id="rId4289">
        <w:r>
          <w:rPr>
            <w:color w:val="0000EE"/>
            <w:u w:val="single"/>
          </w:rPr>
          <w:t>Gl 2.20</w:t>
        </w:r>
      </w:hyperlink>
      <w:r>
        <w:t>). Referindo-se ao ministério terreno de Jesus, Paulo diz que ele aboliu "na carne" a inimizade entre judeu e gentio (</w:t>
      </w:r>
      <w:hyperlink r:id="rId371">
        <w:r>
          <w:rPr>
            <w:color w:val="0000EE"/>
            <w:u w:val="single"/>
          </w:rPr>
          <w:t>Ef 2.15</w:t>
        </w:r>
      </w:hyperlink>
      <w:r>
        <w:t>). Pedro tem o mesmo significado quando fala de Jesus tendo sido morto "na carne" (</w:t>
      </w:r>
      <w:hyperlink r:id="rId4290">
        <w:r>
          <w:rPr>
            <w:color w:val="0000EE"/>
            <w:u w:val="single"/>
          </w:rPr>
          <w:t>1Pe 3.18</w:t>
        </w:r>
      </w:hyperlink>
      <w:r>
        <w:t>). Assim também João: "Jesus Cristo veio em carne" (</w:t>
      </w:r>
      <w:hyperlink r:id="rId4291">
        <w:r>
          <w:rPr>
            <w:color w:val="0000EE"/>
            <w:u w:val="single"/>
          </w:rPr>
          <w:t>1Jo 4.2</w:t>
        </w:r>
      </w:hyperlink>
      <w:r>
        <w:t>). Este uso é refletido mais notavelmente na declaração joanina "O Verbo se fez carne e habitou entre nós" (</w:t>
      </w:r>
      <w:hyperlink r:id="rId3743">
        <w:r>
          <w:rPr>
            <w:color w:val="0000EE"/>
            <w:u w:val="single"/>
          </w:rPr>
          <w:t>Jo 1.14</w:t>
        </w:r>
      </w:hyperlink>
      <w:r>
        <w:t>).</w:t>
      </w:r>
    </w:p>
    <w:p>
      <w:pPr>
        <w:pStyle w:val="Heading4"/>
      </w:pPr>
      <w:r>
        <w:t>Carne como existência humana em termos de apresentação externa</w:t>
      </w:r>
    </w:p>
    <w:p>
      <w:r/>
      <w:r>
        <w:t>“Carne” também se estende além dos humanos em sua vida corporal para incluir outros fatores cruciais para a existência humana. Assim, “não confiamos na carne” (</w:t>
      </w:r>
      <w:hyperlink r:id="rId3223">
        <w:r>
          <w:rPr>
            <w:color w:val="0000EE"/>
            <w:u w:val="single"/>
          </w:rPr>
          <w:t>Fp 3.3</w:t>
        </w:r>
      </w:hyperlink>
      <w:r>
        <w:t>, ARC) não significa confiança no corpo, mas confiança em todo o complexo do reino externo da existência humana. Inclui a ascendência judaica de Paulo, seu rigoroso treinamento religioso, seu zelo e sua proeminência nos círculos religiosos judaicos. A frase “se gloriam segundo a carne” (</w:t>
      </w:r>
      <w:hyperlink r:id="rId4292">
        <w:r>
          <w:rPr>
            <w:color w:val="0000EE"/>
            <w:u w:val="single"/>
          </w:rPr>
          <w:t>2Co 11.18</w:t>
        </w:r>
      </w:hyperlink>
      <w:r>
        <w:t>, ARC) é traduzida como “se gabam por motivos apenas humanos” na NTLH. Uma boa aparência “na carne” é praticamente sinônimo de proeminência mundana (</w:t>
      </w:r>
      <w:hyperlink r:id="rId4293">
        <w:r>
          <w:rPr>
            <w:color w:val="0000EE"/>
            <w:u w:val="single"/>
          </w:rPr>
          <w:t>Gl 6.11–14</w:t>
        </w:r>
      </w:hyperlink>
      <w:r>
        <w:t>). Os judaizantes insistiam na circuncisão para promover um senso de realização orgulhosa na vida religiosa, para que pudessem ter um motivo de glória. Mas essas distinções externas e motivos de glória não atraíam mais Paulo, porque o mundo havia sido crucificado para ele e ele para o mundo.</w:t>
      </w:r>
    </w:p>
    <w:p>
      <w:r/>
      <w:r>
        <w:t>“Carne” também é usada para descrever relações externas, como ao descrever os laços sociais existentes entre escravo e mestre (</w:t>
      </w:r>
      <w:hyperlink r:id="rId4294">
        <w:r>
          <w:rPr>
            <w:color w:val="0000EE"/>
            <w:u w:val="single"/>
          </w:rPr>
          <w:t>Ef 6.5</w:t>
        </w:r>
      </w:hyperlink>
      <w:r>
        <w:t xml:space="preserve">; </w:t>
      </w:r>
      <w:hyperlink r:id="rId4295">
        <w:r>
          <w:rPr>
            <w:color w:val="0000EE"/>
            <w:u w:val="single"/>
          </w:rPr>
          <w:t>Cl 3.22</w:t>
        </w:r>
      </w:hyperlink>
      <w:r>
        <w:t xml:space="preserve">; </w:t>
      </w:r>
      <w:hyperlink r:id="rId4296">
        <w:r>
          <w:rPr>
            <w:color w:val="0000EE"/>
            <w:u w:val="single"/>
          </w:rPr>
          <w:t>Fm 1.16</w:t>
        </w:r>
      </w:hyperlink>
      <w:r>
        <w:t>). “Na carne” também descreve o âmbito das relações conjugais, que envolve certos problemas complexos (</w:t>
      </w:r>
      <w:hyperlink r:id="rId4297">
        <w:r>
          <w:rPr>
            <w:color w:val="0000EE"/>
            <w:u w:val="single"/>
          </w:rPr>
          <w:t>1Co 7.28</w:t>
        </w:r>
      </w:hyperlink>
      <w:r>
        <w:t>).</w:t>
      </w:r>
    </w:p>
    <w:p>
      <w:r/>
      <w:r>
        <w:t>Este uso ilumina uma declaração de outra forma difícil: “Daqui em diante, a ninguém conhecemos segundo a carne; e, ainda que tenhamos conhecido Cristo segundo a carne, contudo agora já não o conhecemos assim” (</w:t>
      </w:r>
      <w:hyperlink r:id="rId4298">
        <w:r>
          <w:rPr>
            <w:color w:val="0000EE"/>
            <w:u w:val="single"/>
          </w:rPr>
          <w:t>2Co 5.16</w:t>
        </w:r>
      </w:hyperlink>
      <w:r>
        <w:t>, ACF). A NTLH traduz corretamente a frase como “com regras humanas”. O versículo não significa que Paulo tinha ouvido e visto Jesus em Jerusalém em algum momento anterior e tinha adquirido algum conhecimento de Cristo “segundo a carne”. “Segundo a carne” modifica o verbo “conhecer”, não o substantivo “Cristo”. Antes de sua conversão, Paulo conhecia todas as pessoas “segundo a carne”; isto é, ele as julgava por padrões mundanos e humanos. Conhecer Cristo “segundo a carne” significa vê-lo apenas com olhos humanos. Como judeu, Paulo sentia que Jesus era um pretenso messiânico iludido. Segundo o entendimento judaico, o Messias deveria reinar sobre a terra como um rei davídico, salvar seu povo Israel e punir os odiados gentios. Mas Paulo abandonou essa visão humana falsa e passou a conhecer Cristo como ele realmente é — o Filho de Deus encarnado, o Salvador de todos os que creem. Como cristão, Paulo não mais julgava os outros segundo a carne.</w:t>
      </w:r>
    </w:p>
    <w:p>
      <w:pPr>
        <w:pStyle w:val="Heading4"/>
      </w:pPr>
      <w:r>
        <w:t>Carne como humanidade caída</w:t>
      </w:r>
    </w:p>
    <w:p>
      <w:r/>
      <w:r>
        <w:t>Quando Paulo diz que “o que é feito de carne e de sangue não pode ter parte no Reino de Deus” (</w:t>
      </w:r>
      <w:hyperlink r:id="rId4279">
        <w:r>
          <w:rPr>
            <w:color w:val="0000EE"/>
            <w:u w:val="single"/>
          </w:rPr>
          <w:t>1Co 15.50</w:t>
        </w:r>
      </w:hyperlink>
      <w:r>
        <w:t>), ele não quer dizer que os humanos não podem herdar o reino de Deus, mas sim que a queda humana não pode; como a próxima cláusula mostra, “e o que é mortal não pode ter a imortalidade”. O corpo fraco, caído e corruptível não pode herdar o reino de Deus; deve haver uma mudança; o “este corpo mortal precisa se vestir com o que é imortal; este corpo que vai morrer precisa se vestir com o que não pode morrer” (</w:t>
      </w:r>
      <w:hyperlink r:id="rId4299">
        <w:r>
          <w:rPr>
            <w:color w:val="0000EE"/>
            <w:u w:val="single"/>
          </w:rPr>
          <w:t>1Co 15.53</w:t>
        </w:r>
      </w:hyperlink>
      <w:r>
        <w:t>, NTLH). Isso não é a salvação da alma ou do espírito, mas a troca de um tipo de corpo por outro que é adequado ao reino glorioso final de Deus.</w:t>
      </w:r>
    </w:p>
    <w:p>
      <w:r/>
      <w:r>
        <w:t>Quando Pedro confessou a messianidade de Jesus, Jesus respondeu: “não foi carne e sangue quem to revelou, mas meu Pai, que está nos céus” (</w:t>
      </w:r>
      <w:hyperlink r:id="rId1435">
        <w:r>
          <w:rPr>
            <w:color w:val="0000EE"/>
            <w:u w:val="single"/>
          </w:rPr>
          <w:t>Mt 16.17</w:t>
        </w:r>
      </w:hyperlink>
      <w:r>
        <w:t>, ARC). O significado deste versículo é óbvio. Este conhecimento da messianidade de Jesus não foi uma dedução humana; só poderia ser alcançado por revelação divina.</w:t>
      </w:r>
    </w:p>
    <w:p>
      <w:pPr>
        <w:pStyle w:val="Heading4"/>
      </w:pPr>
      <w:r>
        <w:t>Carne como humanidade pecaminosa</w:t>
      </w:r>
    </w:p>
    <w:p>
      <w:r/>
      <w:r>
        <w:t xml:space="preserve">Resta um grupo de referências éticas que são distintamente paulinas. A característica mais importante desse uso é que o homem é visto não apenas como caído e fraco diante de Deus, mas como caído e pecador. A carne é contrastada com o espírito humano regenerado pelo Espírito divino, e sem a ajuda do Espírito, não se pode agradar a Deus. A passagem mais vívida é a primeira parte de </w:t>
      </w:r>
      <w:hyperlink r:id="rId4300">
        <w:r>
          <w:rPr>
            <w:color w:val="0000EE"/>
            <w:u w:val="single"/>
          </w:rPr>
          <w:t>Romanos 8</w:t>
        </w:r>
      </w:hyperlink>
      <w:r>
        <w:t>, onde Paulo contrasta fortemente aqueles que estão “na carne” com aqueles que estão “no Espírito”. Estar “no Espírito” nesse sentido não significa estar em um estado de êxtase, mas viver a vida naquele reino espiritual que é controlado pelo Espírito de Deus. Aqueles que estão “na carne”, isto é, não regenerados, não podem agradar a Deus. Existem dois reinos contrastantes e mutuamente exclusivos: “na carne” e “no Espírito”. Estar “no Espírito” significa ser habitado pelo Espírito Santo de Deus, ou seja, ser uma pessoa regenerada.</w:t>
      </w:r>
    </w:p>
    <w:p>
      <w:r/>
      <w:r>
        <w:t xml:space="preserve">Em </w:t>
      </w:r>
      <w:hyperlink r:id="rId4301">
        <w:r>
          <w:rPr>
            <w:color w:val="0000EE"/>
            <w:u w:val="single"/>
          </w:rPr>
          <w:t>Romanos 7–8</w:t>
        </w:r>
      </w:hyperlink>
      <w:r>
        <w:t>, Paulo deixa claro que a pessoa não regenerada não pode agradar a Deus amando e servindo-o como Deus requer. Assim, a Lei foi incapaz de tornar a humanidade verdadeiramente justa, porque a carne é fraca (</w:t>
      </w:r>
      <w:hyperlink r:id="rId4302">
        <w:r>
          <w:rPr>
            <w:color w:val="0000EE"/>
            <w:u w:val="single"/>
          </w:rPr>
          <w:t>8.2</w:t>
        </w:r>
      </w:hyperlink>
      <w:r>
        <w:t>). Viver segundo a carne é morte; viver segundo o Espírito é vida (</w:t>
      </w:r>
      <w:hyperlink r:id="rId4303">
        <w:r>
          <w:rPr>
            <w:color w:val="0000EE"/>
            <w:u w:val="single"/>
          </w:rPr>
          <w:t>8.6</w:t>
        </w:r>
      </w:hyperlink>
      <w:r>
        <w:t>). Em outro lugar, Paulo diz: “Pois eu sei que aquilo que é bom não vive em mim, isto é, na minha natureza humana” (literalmente: "na minha carne") (</w:t>
      </w:r>
      <w:hyperlink r:id="rId4304">
        <w:r>
          <w:rPr>
            <w:color w:val="0000EE"/>
            <w:u w:val="single"/>
          </w:rPr>
          <w:t>7.18</w:t>
        </w:r>
      </w:hyperlink>
      <w:r>
        <w:t>). Carne aqui não pode ser a carne física, pois o corpo de carne é o templo do Espírito (</w:t>
      </w:r>
      <w:hyperlink r:id="rId4305">
        <w:r>
          <w:rPr>
            <w:color w:val="0000EE"/>
            <w:u w:val="single"/>
          </w:rPr>
          <w:t>1Co 6.19</w:t>
        </w:r>
      </w:hyperlink>
      <w:r>
        <w:t>) e um membro de Cristo (</w:t>
      </w:r>
      <w:hyperlink r:id="rId4306">
        <w:r>
          <w:rPr>
            <w:color w:val="0000EE"/>
            <w:u w:val="single"/>
          </w:rPr>
          <w:t>6.15</w:t>
        </w:r>
      </w:hyperlink>
      <w:r>
        <w:t>) e deve ser o meio de glorificar a Deus (</w:t>
      </w:r>
      <w:hyperlink r:id="rId4307">
        <w:r>
          <w:rPr>
            <w:color w:val="0000EE"/>
            <w:u w:val="single"/>
          </w:rPr>
          <w:t>6.20</w:t>
        </w:r>
      </w:hyperlink>
      <w:r>
        <w:t>). Paulo, portanto, quer dizer que em sua natureza não regenerada não habita nenhuma das bondades que Deus exige.</w:t>
      </w:r>
    </w:p>
    <w:p>
      <w:r/>
      <w:r>
        <w:t>Enquanto Paulo faz um contraste nítido e absoluto entre estar "na carne" (não regenerado) e "no Espírito" (regenerado), quando alguém se torna regenerado e passa a estar "no Espírito", essa pessoa não está mais na carne, mas a carne ainda está nela. De fato, permanece no crente uma luta entre a carne e o Espírito. Escrevendo para pessoas que estão "no Espírito", Paulo diz: "Porque a carne cobiça contra o Espírito, e o Espírito, contra a carne; e estes opõem-se um ao outro; para que não façais o que quereis" (</w:t>
      </w:r>
      <w:hyperlink r:id="rId4308">
        <w:r>
          <w:rPr>
            <w:color w:val="0000EE"/>
            <w:u w:val="single"/>
          </w:rPr>
          <w:t>Gl 5.17</w:t>
        </w:r>
      </w:hyperlink>
      <w:r>
        <w:t>, ARC). Porque a vida cristã é o campo de batalha desses dois princípios opostos, é impossível ser a pessoa perfeita que se gostaria de ser.</w:t>
      </w:r>
    </w:p>
    <w:p>
      <w:r/>
      <w:r>
        <w:t xml:space="preserve">A mesma situação é refletida em </w:t>
      </w:r>
      <w:hyperlink r:id="rId4309">
        <w:r>
          <w:rPr>
            <w:color w:val="0000EE"/>
            <w:u w:val="single"/>
          </w:rPr>
          <w:t>1 Coríntios 2.14–3.3</w:t>
        </w:r>
      </w:hyperlink>
      <w:r>
        <w:t>, onde Paulo descreve três classes de pessoas: o “homem natural” (</w:t>
      </w:r>
      <w:hyperlink r:id="rId944">
        <w:r>
          <w:rPr>
            <w:color w:val="0000EE"/>
            <w:u w:val="single"/>
          </w:rPr>
          <w:t>2.14</w:t>
        </w:r>
      </w:hyperlink>
      <w:r>
        <w:t>, ARC); o “carnal”, ou seja, o homem carnal (</w:t>
      </w:r>
      <w:hyperlink r:id="rId4310">
        <w:r>
          <w:rPr>
            <w:color w:val="0000EE"/>
            <w:u w:val="single"/>
          </w:rPr>
          <w:t>3.1,3</w:t>
        </w:r>
      </w:hyperlink>
      <w:r>
        <w:t>, ARC); e o “homem espiritual” (</w:t>
      </w:r>
      <w:hyperlink r:id="rId4311">
        <w:r>
          <w:rPr>
            <w:color w:val="0000EE"/>
            <w:u w:val="single"/>
          </w:rPr>
          <w:t>3.1</w:t>
        </w:r>
      </w:hyperlink>
      <w:r>
        <w:t>, ARC). O “homem natural” é não regenerado. Aqueles que estão “na carne” (</w:t>
      </w:r>
      <w:hyperlink r:id="rId3276">
        <w:r>
          <w:rPr>
            <w:color w:val="0000EE"/>
            <w:u w:val="single"/>
          </w:rPr>
          <w:t>Rm 8.9</w:t>
        </w:r>
      </w:hyperlink>
      <w:r>
        <w:t>) dedicaram toda a sua vida ao nível humano e, portanto, são incapazes de conhecer as coisas de Deus. “Homem espiritual” refere-se àqueles cuja vida é governada pelo Espírito de Deus, de modo que os frutos do Espírito (</w:t>
      </w:r>
      <w:hyperlink r:id="rId4312">
        <w:r>
          <w:rPr>
            <w:color w:val="0000EE"/>
            <w:u w:val="single"/>
          </w:rPr>
          <w:t>Gl 5.22–23</w:t>
        </w:r>
      </w:hyperlink>
      <w:r>
        <w:t>) são evidentes em sua vida. Entre esses dois, há uma terceira classe — aqueles que são “carnais” mas que são bebês em Cristo. Portanto, devem estar “no Espírito”, mas não andam “segundo o Espírito”. Porque são “bebês em Cristo”, o Espírito de Deus habita neles, mas o Espírito Santo não tem controle total sobre eles, e ainda andam “como homens” (</w:t>
      </w:r>
      <w:hyperlink r:id="rId4313">
        <w:r>
          <w:rPr>
            <w:color w:val="0000EE"/>
            <w:u w:val="single"/>
          </w:rPr>
          <w:t>1Co 3.3</w:t>
        </w:r>
      </w:hyperlink>
      <w:r>
        <w:t>), manifestando as obras da carne em ciúmes e contendas.</w:t>
      </w:r>
    </w:p>
    <w:p>
      <w:pPr>
        <w:pStyle w:val="Heading4"/>
      </w:pPr>
      <w:r>
        <w:t>Obras da carne</w:t>
      </w:r>
    </w:p>
    <w:p>
      <w:r/>
      <w:r>
        <w:t xml:space="preserve">Em </w:t>
      </w:r>
      <w:hyperlink r:id="rId4314">
        <w:r>
          <w:rPr>
            <w:color w:val="0000EE"/>
            <w:u w:val="single"/>
          </w:rPr>
          <w:t>Gálatas 5.19–23</w:t>
        </w:r>
      </w:hyperlink>
      <w:r>
        <w:t>, Paulo contrasta a vida na carne e a vida no Espírito: “Porque as obras da carne são manifestas, as quais são: prostituição, impureza, lascívia, idolatria, feitiçarias, inimizades, porfias, emulações, iras, pelejas, dissensões, heresias, invejas, homicídios, bebedices, glutonarias e coisas semelhantes a estas” (</w:t>
      </w:r>
      <w:hyperlink r:id="rId4315">
        <w:r>
          <w:rPr>
            <w:color w:val="0000EE"/>
            <w:u w:val="single"/>
          </w:rPr>
          <w:t>Gl 5.19–21</w:t>
        </w:r>
      </w:hyperlink>
      <w:r>
        <w:t>, ARC). O importante a notar sobre esta lista é que, enquanto alguns desses são pecados de apetite corporal e sexual, outros são pecados religiosos — idolatria, feitiçaria — e vários são pecados “do espírito”, isto é, da disposição — ódio, discórdias, emulações, ira, contendas. As palavras “dissensões” e “heresias” não se referem a heresias teológicas, mas a um espírito faccioso e divisivo. Isso prova conclusivamente que, para Paulo, a “carne” não é sinônimo de corpo, mas inclui a pessoa inteira, com todas as atitudes e disposições internas.</w:t>
      </w:r>
    </w:p>
    <w:p>
      <w:pPr>
        <w:pStyle w:val="Heading4"/>
      </w:pPr>
      <w:r>
        <w:t>Vitória sobre a carne</w:t>
      </w:r>
    </w:p>
    <w:p>
      <w:r/>
      <w:r>
        <w:t>Embora uma luta permaneça no cristão entre o Espírito e a carne, Paulo conhece um caminho de vitória para o Espírito. A carne do corpo está dentro do âmbito da santificação (</w:t>
      </w:r>
      <w:hyperlink r:id="rId943">
        <w:r>
          <w:rPr>
            <w:color w:val="0000EE"/>
            <w:u w:val="single"/>
          </w:rPr>
          <w:t>1Ts 5.23</w:t>
        </w:r>
      </w:hyperlink>
      <w:r>
        <w:t>), mas a carne como a natureza humana não regenerada só pode ser morta.</w:t>
      </w:r>
    </w:p>
    <w:p>
      <w:r/>
      <w:r>
        <w:t>Isso é chamado de tensão entre o objetivo e o subjetivo. Porque certas coisas aconteceram em Cristo (objetivo), certos resultados inevitáveis devem ocorrer (subjetivo). Na visão de Paulo, a carne já foi colocada à morte na morte de Cristo. Aqueles que pertencem a Cristo já crucificaram a carne com suas paixões e desejos (</w:t>
      </w:r>
      <w:hyperlink r:id="rId4316">
        <w:r>
          <w:rPr>
            <w:color w:val="0000EE"/>
            <w:u w:val="single"/>
          </w:rPr>
          <w:t>Gl 5.24</w:t>
        </w:r>
      </w:hyperlink>
      <w:r>
        <w:t>). Paulo diz em outro lugar: “Fui crucificado com Cristo” (</w:t>
      </w:r>
      <w:hyperlink r:id="rId4289">
        <w:r>
          <w:rPr>
            <w:color w:val="0000EE"/>
            <w:u w:val="single"/>
          </w:rPr>
          <w:t>2.20</w:t>
        </w:r>
      </w:hyperlink>
      <w:r>
        <w:t>) e “nosso velho eu foi crucificado com ele” (</w:t>
      </w:r>
      <w:hyperlink r:id="rId4317">
        <w:r>
          <w:rPr>
            <w:color w:val="0000EE"/>
            <w:u w:val="single"/>
          </w:rPr>
          <w:t>Rm 6.6</w:t>
        </w:r>
      </w:hyperlink>
      <w:r>
        <w:t xml:space="preserve">). Tais referências deixam claro que “carne” e o “eu” devem ser identificados de alguma forma. Essa identidade é ainda mais apoiada no ensino sobre a crucificação, pois Paulo quer dizer a mesma coisa com a crucificação da carne que ele quer dizer quando diz: “Como viveremos ainda no pecado, nós que para ele morremos? Fomos batizados na sua morte. Fomos sepultados com ele pelo batismo na morte” (v. </w:t>
      </w:r>
      <w:hyperlink r:id="rId4318">
        <w:r>
          <w:rPr>
            <w:color w:val="0000EE"/>
            <w:u w:val="single"/>
          </w:rPr>
          <w:t>1–4</w:t>
        </w:r>
      </w:hyperlink>
      <w:r>
        <w:t>). Sou eu mesmo que morri com Cristo.</w:t>
      </w:r>
    </w:p>
    <w:p>
      <w:r/>
      <w:r>
        <w:t>Esta crucificação e morte da carne não funciona automaticamente. É um evento que deve ser apropriado pela fé. Isso envolve dois aspectos. Primeiro, os crentes devem reconhecer que a carne foi crucificada com Cristo. “Assim também vocês devem se considerar mortos para o pecado; mas, por estarem unidos com Cristo Jesus, devem se considerar vivos para Deus” (</w:t>
      </w:r>
      <w:hyperlink r:id="rId4319">
        <w:r>
          <w:rPr>
            <w:color w:val="0000EE"/>
            <w:u w:val="single"/>
          </w:rPr>
          <w:t>Rm 6.11</w:t>
        </w:r>
      </w:hyperlink>
      <w:r>
        <w:t>, NTLH). Não se pode considerar o eu morto com Cristo para o pecado a menos que essa pessoa tenha realmente morrido e sido crucificada com Cristo, mas como isso já aconteceu no momento da fé salvadora, pode ser colocado em prática diária. Aqueles que morreram com Cristo devem “mortificardes as obras do corpo” (</w:t>
      </w:r>
      <w:hyperlink r:id="rId4320">
        <w:r>
          <w:rPr>
            <w:color w:val="0000EE"/>
            <w:u w:val="single"/>
          </w:rPr>
          <w:t>8.13</w:t>
        </w:r>
      </w:hyperlink>
      <w:r>
        <w:t>, ARC). “Corpo” é aqui usado como um veículo para as obras da “carne” — a vida sensual da natureza não regenerada. Aqueles que foram trazidos da morte para a vida devem oferecer seus membros a Deus como instrumentos de justiça (</w:t>
      </w:r>
      <w:hyperlink r:id="rId4321">
        <w:r>
          <w:rPr>
            <w:color w:val="0000EE"/>
            <w:u w:val="single"/>
          </w:rPr>
          <w:t>6.13</w:t>
        </w:r>
      </w:hyperlink>
      <w:r>
        <w:t>). Quem morreu com Cristo deve “mortificar” (ARC), isto é, matar o que é terreno — prostituição, impureza, cobiça (</w:t>
      </w:r>
      <w:hyperlink r:id="rId4322">
        <w:r>
          <w:rPr>
            <w:color w:val="0000EE"/>
            <w:u w:val="single"/>
          </w:rPr>
          <w:t>Cl 3.5</w:t>
        </w:r>
      </w:hyperlink>
      <w:r>
        <w:t>). Tendo já despido a velha natureza e vestido a nova, o crente deve vestir compaixão, bondade, humildade e semelhantes.</w:t>
      </w:r>
    </w:p>
    <w:p>
      <w:r/>
      <w:r>
        <w:t>A vitória sobre a carne é às vezes descrita como andar no Espírito. “deixem que o Espírito de Deus dirija a vida de vocês e não obedeçam aos desejos da natureza humana” (</w:t>
      </w:r>
      <w:hyperlink r:id="rId4323">
        <w:r>
          <w:rPr>
            <w:color w:val="0000EE"/>
            <w:u w:val="single"/>
          </w:rPr>
          <w:t>Gl 5.16</w:t>
        </w:r>
      </w:hyperlink>
      <w:r>
        <w:t xml:space="preserve">, NTLH; cf. </w:t>
      </w:r>
      <w:hyperlink r:id="rId4324">
        <w:r>
          <w:rPr>
            <w:color w:val="0000EE"/>
            <w:u w:val="single"/>
          </w:rPr>
          <w:t>Rm 8.4</w:t>
        </w:r>
      </w:hyperlink>
      <w:r>
        <w:t>). Andar no Espírito significa viver cada momento sob o controle do Espírito Santo.</w:t>
      </w:r>
    </w:p>
    <w:p>
      <w:r/>
      <w:r>
        <w:rPr>
          <w:i/>
        </w:rPr>
        <w:t>Veja também</w:t>
      </w:r>
      <w:r>
        <w:t xml:space="preserve"> </w:t>
      </w:r>
      <w:r>
        <w:t>Corpo</w:t>
      </w:r>
      <w:r>
        <w:t xml:space="preserve">; </w:t>
      </w:r>
      <w:r>
        <w:t>Pecado</w:t>
      </w:r>
      <w:r>
        <w:t>.</w:t>
      </w:r>
      <w:r/>
      <w:r/>
    </w:p>
    <w:p>
      <w:r/>
    </w:p>
    <w:p>
      <w:pPr>
        <w:pStyle w:val="Heading2"/>
      </w:pPr>
      <w:r>
        <w:t>Carpinteiro</w:t>
      </w:r>
      <w:r/>
    </w:p>
    <w:p>
      <w:r/>
      <w:r>
        <w:t>Aquele que trabalhava com madeira, construindo a estrutura das casas, os telhados, janelas e portas. Muitas vezes pequenas estruturas como casas eram construídas pelo proprietário. A construção de templos e palácios exigia trabalhadores qualificados. Para essas estruturas maiores, os carpinteiros trabalhavam ao lado de pedreiros, trabalhadores qualificados que sabiam como cortar e preparar pedras para construir (</w:t>
      </w:r>
      <w:hyperlink r:id="rId4325">
        <w:r>
          <w:rPr>
            <w:color w:val="0000EE"/>
            <w:u w:val="single"/>
          </w:rPr>
          <w:t>2Rs 12.11</w:t>
        </w:r>
      </w:hyperlink>
      <w:r>
        <w:t xml:space="preserve">; </w:t>
      </w:r>
      <w:hyperlink r:id="rId4326">
        <w:r>
          <w:rPr>
            <w:color w:val="0000EE"/>
            <w:u w:val="single"/>
          </w:rPr>
          <w:t>22.6</w:t>
        </w:r>
      </w:hyperlink>
      <w:r>
        <w:t xml:space="preserve">; </w:t>
      </w:r>
      <w:hyperlink r:id="rId4327">
        <w:r>
          <w:rPr>
            <w:color w:val="0000EE"/>
            <w:u w:val="single"/>
          </w:rPr>
          <w:t>1Cr 14.1</w:t>
        </w:r>
      </w:hyperlink>
      <w:r>
        <w:t xml:space="preserve">; </w:t>
      </w:r>
      <w:hyperlink r:id="rId4328">
        <w:r>
          <w:rPr>
            <w:color w:val="0000EE"/>
            <w:u w:val="single"/>
          </w:rPr>
          <w:t>22.15</w:t>
        </w:r>
      </w:hyperlink>
      <w:r>
        <w:t xml:space="preserve">; </w:t>
      </w:r>
      <w:hyperlink r:id="rId4329">
        <w:r>
          <w:rPr>
            <w:color w:val="0000EE"/>
            <w:u w:val="single"/>
          </w:rPr>
          <w:t>2Cr 24.12</w:t>
        </w:r>
      </w:hyperlink>
      <w:r>
        <w:t xml:space="preserve">; </w:t>
      </w:r>
      <w:hyperlink r:id="rId2614">
        <w:r>
          <w:rPr>
            <w:color w:val="0000EE"/>
            <w:u w:val="single"/>
          </w:rPr>
          <w:t>34.11</w:t>
        </w:r>
      </w:hyperlink>
      <w:r>
        <w:t xml:space="preserve">; </w:t>
      </w:r>
      <w:hyperlink r:id="rId4330">
        <w:r>
          <w:rPr>
            <w:color w:val="0000EE"/>
            <w:u w:val="single"/>
          </w:rPr>
          <w:t>Ed 3.7</w:t>
        </w:r>
      </w:hyperlink>
      <w:r>
        <w:t>). A carpintaria é raramente mencionada no Novo Testamento, embora fosse a profissão de Jesus e seu pai José (</w:t>
      </w:r>
      <w:hyperlink r:id="rId2205">
        <w:r>
          <w:rPr>
            <w:color w:val="0000EE"/>
            <w:u w:val="single"/>
          </w:rPr>
          <w:t>Mt 13.55</w:t>
        </w:r>
      </w:hyperlink>
      <w:r>
        <w:t xml:space="preserve">; </w:t>
      </w:r>
      <w:hyperlink r:id="rId4331">
        <w:r>
          <w:rPr>
            <w:color w:val="0000EE"/>
            <w:u w:val="single"/>
          </w:rPr>
          <w:t>Mc 6.3</w:t>
        </w:r>
      </w:hyperlink>
      <w:r>
        <w:t>).</w:t>
      </w:r>
      <w:r/>
      <w:r/>
    </w:p>
    <w:p>
      <w:r/>
    </w:p>
    <w:p>
      <w:pPr>
        <w:pStyle w:val="Heading2"/>
      </w:pPr>
      <w:r>
        <w:t>Carta aos Gálatas</w:t>
      </w:r>
      <w:r/>
    </w:p>
    <w:p>
      <w:r/>
      <w:r>
        <w:t>A carta de Paulo aos Gálatas é uma das mais importantes do Novo Testamento. Ela nos ensina muito sobre a personalidade e os ensinamentos de Paulo. Muitas pessoas a consideram a mensagem fundamental da liberdade cristã.</w:t>
      </w:r>
    </w:p>
    <w:p>
      <w:pPr>
        <w:pStyle w:val="Heading3"/>
      </w:pPr>
      <w:r>
        <w:t>Resumo</w:t>
      </w:r>
    </w:p>
    <w:p>
      <w:r/>
      <w:r>
        <w:t>• Quem escreveu a carta aos Gálatas?</w:t>
      </w:r>
    </w:p>
    <w:p>
      <w:r/>
      <w:r>
        <w:t>• Para onde foi enviada a carta aos Gálatas? Quem eram os destinatários?</w:t>
      </w:r>
    </w:p>
    <w:p>
      <w:r/>
      <w:r>
        <w:t>• Por que a carta aos Gálatas foi escrita? O que ela ensina sobre Deus?</w:t>
      </w:r>
    </w:p>
    <w:p>
      <w:r/>
      <w:r>
        <w:t>• Qual é a mensagem da carta aos Gálatas?</w:t>
      </w:r>
    </w:p>
    <w:p>
      <w:pPr>
        <w:pStyle w:val="Heading3"/>
      </w:pPr>
      <w:r>
        <w:t>Quem escreveu a carta aos Gálatas?</w:t>
      </w:r>
    </w:p>
    <w:p>
      <w:r/>
      <w:r>
        <w:t>O apóstolo Paulo escreveu esta carta (</w:t>
      </w:r>
      <w:hyperlink r:id="rId2273">
        <w:r>
          <w:rPr>
            <w:color w:val="0000EE"/>
            <w:u w:val="single"/>
          </w:rPr>
          <w:t>Gl 1.1</w:t>
        </w:r>
      </w:hyperlink>
      <w:r>
        <w:t>). Ele compartilha alguns detalhes importantes sobre sua vida antes de se tornar seguidor de Jesus. Ele descreve sua vida passada como um judeu devoto (</w:t>
      </w:r>
      <w:hyperlink r:id="rId4332">
        <w:r>
          <w:rPr>
            <w:color w:val="0000EE"/>
            <w:u w:val="single"/>
          </w:rPr>
          <w:t>Gl 1.13</w:t>
        </w:r>
      </w:hyperlink>
      <w:r>
        <w:t>).</w:t>
      </w:r>
    </w:p>
    <w:p>
      <w:r/>
      <w:r>
        <w:t>O forte pano de fundo judaico de Paulo é importante para entender o que ele escreve nesta carta. Ele era tão comprometido com sua fé judaica que atacava ativamente a igreja cristã primitiva. Ele conta isso aos gálatas porque suas tradições judaicas eram muito importantes para ele. Ele acreditava que combater a igreja era a coisa certa a fazer.</w:t>
      </w:r>
    </w:p>
    <w:p>
      <w:r/>
      <w:r>
        <w:t>A profunda devoção de Paulo ao Judaísmo torna sua conversão ao Cristianismo ainda mais notável. Ele acreditava que Deus lhe havia concedido uma mensagem especial (uma revelação) que lhe conferia a autoridade para escrever esta carta.</w:t>
      </w:r>
    </w:p>
    <w:p>
      <w:r/>
      <w:r>
        <w:t>Nesta carta, Paulo fala sobre duas etapas importantes de como ele se tornou cristão. Primeiro, ele percebeu que Deus tinha um plano para sua vida mesmo antes de ele nascer (</w:t>
      </w:r>
      <w:hyperlink r:id="rId4333">
        <w:r>
          <w:rPr>
            <w:color w:val="0000EE"/>
            <w:u w:val="single"/>
          </w:rPr>
          <w:t>Gl 1.15</w:t>
        </w:r>
      </w:hyperlink>
      <w:r>
        <w:t>). Embora Paulo não explique isso em detalhes, ele frequentemente falava sobre a bondade de Deus. Ele não acreditava mais que precisava ganhar a aprovação de Deus através de suas próprias boas obras.</w:t>
      </w:r>
    </w:p>
    <w:p>
      <w:r/>
      <w:r>
        <w:t>A segunda parte importante foi entender que Deus o havia escolhido para ser um pregador ao mesmo tempo em que ele se tornou cristão. Quando Paulo pregou aos Gálatas, ele o fez com a autoridade de Deus porque sabia que Deus lhe havia dado essa tarefa. Os líderes da igreja (os apóstolos e anciãos) não decidiram que Paulo deveria pregar as boas-novas sobre Jesus. Esse era o plano de Deus.</w:t>
      </w:r>
    </w:p>
    <w:p>
      <w:r/>
      <w:r>
        <w:t>Paulo também tinha certeza de que sua mensagem vinha de Deus, não dele mesmo. Ele havia recebido essa mensagem diretamente de Jesus Cristo (</w:t>
      </w:r>
      <w:hyperlink r:id="rId2281">
        <w:r>
          <w:rPr>
            <w:color w:val="0000EE"/>
            <w:u w:val="single"/>
          </w:rPr>
          <w:t>Gl 1.12</w:t>
        </w:r>
      </w:hyperlink>
      <w:r>
        <w:t>).</w:t>
      </w:r>
    </w:p>
    <w:p>
      <w:r/>
      <w:r>
        <w:t>Paulo teve grande cuidado em mostrar que Deus o havia escolhido como mensageiro (</w:t>
      </w:r>
      <w:hyperlink r:id="rId2273">
        <w:r>
          <w:rPr>
            <w:color w:val="0000EE"/>
            <w:u w:val="single"/>
          </w:rPr>
          <w:t>Gl 1.1</w:t>
        </w:r>
      </w:hyperlink>
      <w:r>
        <w:t>). Ele sabia que Deus o havia chamado não apenas para pregar, mas também para ser um apóstolo (ou mensageiro) com a mesma autoridade que os seguidores de Jesus em Jerusalém. Pode parecer que ele está se defendendo, mas isso foi por causa de problemas específicos entre os Gálatas que o fizeram escrever esta carta.</w:t>
      </w:r>
    </w:p>
    <w:p>
      <w:r/>
      <w:r>
        <w:t>Nesta carta, Paulo compartilha algo sobre sua vida que ele não menciona em nenhum outro lugar. Após se tornar cristão, ele foi para um lugar chamado Arábia (</w:t>
      </w:r>
      <w:hyperlink r:id="rId2286">
        <w:r>
          <w:rPr>
            <w:color w:val="0000EE"/>
            <w:u w:val="single"/>
          </w:rPr>
          <w:t>Gl 1.17</w:t>
        </w:r>
      </w:hyperlink>
      <w:r>
        <w:t>). Paulo não nos diz o que fez lá, mas provavelmente passou um tempo refletindo profundamente sobre suas novas crenças.</w:t>
      </w:r>
    </w:p>
    <w:p>
      <w:r/>
      <w:r>
        <w:t>O livro de Atos nos conta que quando Paulo retornou à cidade de Damasco, ele demonstrou vigorosamente às pessoas que Jesus era o Messias, o líder escolhido por Deus (</w:t>
      </w:r>
      <w:hyperlink r:id="rId4334">
        <w:r>
          <w:rPr>
            <w:color w:val="0000EE"/>
            <w:u w:val="single"/>
          </w:rPr>
          <w:t>At 9.22</w:t>
        </w:r>
      </w:hyperlink>
      <w:r>
        <w:t>). Paulo também menciona que viajou pelas regiões da Síria e Cilícia (</w:t>
      </w:r>
      <w:hyperlink r:id="rId4335">
        <w:r>
          <w:rPr>
            <w:color w:val="0000EE"/>
            <w:u w:val="single"/>
          </w:rPr>
          <w:t>Gl 1.21</w:t>
        </w:r>
      </w:hyperlink>
      <w:r>
        <w:t>). Isso aconteceu antes de sua primeira viagem como missionário.</w:t>
      </w:r>
    </w:p>
    <w:p>
      <w:pPr>
        <w:pStyle w:val="Heading3"/>
      </w:pPr>
      <w:r>
        <w:t>Para onde foi enviada a carta aos Gálatas? Quando foi escrita?</w:t>
      </w:r>
    </w:p>
    <w:p>
      <w:r/>
      <w:r>
        <w:t>Antes de descobrirmos quando esta carta foi escrita, precisamos entender para onde Paulo a enviou.</w:t>
      </w:r>
    </w:p>
    <w:p>
      <w:pPr>
        <w:pStyle w:val="Heading4"/>
      </w:pPr>
      <w:r>
        <w:t>Para onde foi enviada a carta aos Gálatas?</w:t>
      </w:r>
    </w:p>
    <w:p>
      <w:r/>
      <w:r>
        <w:t>Paulo escreveu sua carta aos Gálatas, mas os estudiosos debatem exatamente onde essas pessoas viviam, pois a palavra "Galácia" era usada de duas maneiras diferentes.</w:t>
      </w:r>
    </w:p>
    <w:p>
      <w:r/>
      <w:r>
        <w:t>De uma forma, Galácia referia-se a uma grande área chamada província. Esta província se estendia de uma região chamada Panfília, no sul, até um lugar chamado Ponto, perto da costa norte. De outra forma, "Galácia" referia-se apenas à parte norte desta área, onde pessoas de um lugar chamado Gália se estabeleceram há muito tempo. Esses colonos deram seu nome à região.</w:t>
      </w:r>
    </w:p>
    <w:p>
      <w:r/>
      <w:r>
        <w:t>Então, quando Paulo usa a palavra "Galácia," isso pode significar apenas a região norte ou toda a província. Os estudiosos têm duas principais interpretações sobre isso:</w:t>
      </w:r>
    </w:p>
    <w:p>
      <w:pPr>
        <w:pStyle w:val="ListNumber"/>
        <w:spacing w:line="240" w:lineRule="auto"/>
        <w:ind w:left="720"/>
      </w:pPr>
      <w:r/>
      <w:r>
        <w:t>A Teoria da Galácia do Norte: sugere que Paulo estava escrevendo para igrejas na região norte.</w:t>
      </w:r>
    </w:p>
    <w:p>
      <w:pPr>
        <w:pStyle w:val="ListNumber"/>
        <w:spacing w:line="240" w:lineRule="auto"/>
        <w:ind w:left="720"/>
      </w:pPr>
      <w:r/>
      <w:r>
        <w:t>A Teoria da Galácia do Sul: sugere que Paulo estava escrevendo para igrejas que ele fundou no sul da Galácia durante sua primeira viagem missionária.</w:t>
      </w:r>
    </w:p>
    <w:p>
      <w:r/>
      <w:r>
        <w:t>Isso pode parecer um pequeno detalhe, mas na verdade é importante. Saber para onde Paulo enviou sua carta nos ajuda a entender quando e por que ele a escreveu.</w:t>
      </w:r>
    </w:p>
    <w:p>
      <w:r/>
      <w:r>
        <w:t>Até o início do século 20, acreditava-se que Paulo estava escrevendo para pessoas que viviam no norte da Galácia. Isso fazia sentido por várias razões. A área do norte havia sido chamada de Galácia por muito tempo. O nome veio de pessoas chamadas Gálatas que viviam lá. Somente muito mais tarde, em 25 a.C., os romanos transformaram uma área maior em uma província e também a chamaram de Galácia.</w:t>
      </w:r>
    </w:p>
    <w:p>
      <w:r/>
      <w:r>
        <w:t>Muitos estudiosos acreditam que as pessoas que viviam na parte sul da província provavelmente não gostariam de ser chamadas de "Gálatas". Naquela época, quando as pessoas ouviam o nome "Gálatas", geralmente pensavam nas pessoas que viviam no norte.</w:t>
      </w:r>
    </w:p>
    <w:p>
      <w:r/>
      <w:r>
        <w:t>Lucas, que escreveu o livro de Atos, geralmente descrevia os lugares por suas regiões geográficas em vez de suas áreas políticas. Por exemplo, ele chama as cidades de Listra e Derbe de parte da Licaônia, não parte da Galácia.</w:t>
      </w:r>
    </w:p>
    <w:p>
      <w:r/>
      <w:r>
        <w:t xml:space="preserve">Por causa desse padrão, quando Lucas menciona Frígia e Galácia em </w:t>
      </w:r>
      <w:hyperlink r:id="rId4336">
        <w:r>
          <w:rPr>
            <w:color w:val="0000EE"/>
            <w:u w:val="single"/>
          </w:rPr>
          <w:t>Atos 16.6</w:t>
        </w:r>
      </w:hyperlink>
      <w:r>
        <w:t xml:space="preserve"> e </w:t>
      </w:r>
      <w:hyperlink r:id="rId4337">
        <w:r>
          <w:rPr>
            <w:color w:val="0000EE"/>
            <w:u w:val="single"/>
          </w:rPr>
          <w:t>18.23</w:t>
        </w:r>
      </w:hyperlink>
      <w:r>
        <w:t>, ele provavelmente quer dizer que Paulo viajou pela área norte. Essa região norte tinha três principais cidades: Ancira, Távio e Pesino. Isso sugere que Paulo provavelmente fundou igrejas nessas cidades do norte.</w:t>
      </w:r>
    </w:p>
    <w:p>
      <w:r/>
      <w:r>
        <w:t>No entanto, alguns estudiosos discordam da visão da Galácia do Norte. Eles apontam que, enquanto Lucas descreve lugares por suas regiões, Paulo geralmente usa nomes de províncias romanas oficiais ao falar sobre grupos de igrejas. Por exemplo, Paulo se refere:</w:t>
      </w:r>
    </w:p>
    <w:p>
      <w:pPr>
        <w:pStyle w:val="ListBullet"/>
        <w:spacing w:line="240" w:lineRule="auto"/>
        <w:ind w:left="720"/>
      </w:pPr>
      <w:r/>
      <w:r>
        <w:t>As “igrejas de Cristo na Judeia” (</w:t>
      </w:r>
      <w:hyperlink r:id="rId4338">
        <w:r>
          <w:rPr>
            <w:color w:val="0000EE"/>
            <w:u w:val="single"/>
          </w:rPr>
          <w:t>Gl 1.22</w:t>
        </w:r>
      </w:hyperlink>
      <w:r>
        <w:t>);</w:t>
      </w:r>
    </w:p>
    <w:p>
      <w:pPr>
        <w:pStyle w:val="ListBullet"/>
        <w:spacing w:line="240" w:lineRule="auto"/>
        <w:ind w:left="720"/>
      </w:pPr>
      <w:r/>
      <w:r>
        <w:t>As “igrejas da Ásia” (</w:t>
      </w:r>
      <w:hyperlink r:id="rId2303">
        <w:r>
          <w:rPr>
            <w:color w:val="0000EE"/>
            <w:u w:val="single"/>
          </w:rPr>
          <w:t>1Co 16.19</w:t>
        </w:r>
      </w:hyperlink>
      <w:r>
        <w:t>); e</w:t>
      </w:r>
    </w:p>
    <w:p>
      <w:pPr>
        <w:pStyle w:val="ListBullet"/>
        <w:spacing w:line="240" w:lineRule="auto"/>
        <w:ind w:left="720"/>
      </w:pPr>
      <w:r/>
      <w:r>
        <w:t xml:space="preserve">Ele também menciona os crentes na Macedônia e Acaia várias vezes (e.g., </w:t>
      </w:r>
      <w:hyperlink r:id="rId4339">
        <w:r>
          <w:rPr>
            <w:color w:val="0000EE"/>
            <w:u w:val="single"/>
          </w:rPr>
          <w:t>2Co 8.1</w:t>
        </w:r>
      </w:hyperlink>
      <w:r>
        <w:t xml:space="preserve">; </w:t>
      </w:r>
      <w:hyperlink r:id="rId4340">
        <w:r>
          <w:rPr>
            <w:color w:val="0000EE"/>
            <w:u w:val="single"/>
          </w:rPr>
          <w:t>9.2</w:t>
        </w:r>
      </w:hyperlink>
      <w:r>
        <w:t xml:space="preserve">; </w:t>
      </w:r>
      <w:hyperlink r:id="rId4341">
        <w:r>
          <w:rPr>
            <w:color w:val="0000EE"/>
            <w:u w:val="single"/>
          </w:rPr>
          <w:t xml:space="preserve">1Ts 4.10; </w:t>
        </w:r>
      </w:hyperlink>
      <w:hyperlink r:id="rId4342">
        <w:r>
          <w:rPr>
            <w:color w:val="0000EE"/>
            <w:u w:val="single"/>
          </w:rPr>
          <w:t>1Co 16.15</w:t>
        </w:r>
      </w:hyperlink>
      <w:r>
        <w:t xml:space="preserve">; </w:t>
      </w:r>
      <w:hyperlink r:id="rId2271">
        <w:r>
          <w:rPr>
            <w:color w:val="0000EE"/>
            <w:u w:val="single"/>
          </w:rPr>
          <w:t>2Co 1.1</w:t>
        </w:r>
      </w:hyperlink>
      <w:r>
        <w:t xml:space="preserve">; assim como </w:t>
      </w:r>
      <w:hyperlink r:id="rId4343">
        <w:r>
          <w:rPr>
            <w:color w:val="0000EE"/>
            <w:u w:val="single"/>
          </w:rPr>
          <w:t>Rm 15.26;</w:t>
        </w:r>
      </w:hyperlink>
      <w:r>
        <w:t xml:space="preserve"> </w:t>
      </w:r>
      <w:hyperlink r:id="rId4340">
        <w:r>
          <w:rPr>
            <w:color w:val="0000EE"/>
            <w:u w:val="single"/>
          </w:rPr>
          <w:t>2Co 9.2;</w:t>
        </w:r>
      </w:hyperlink>
      <w:r>
        <w:t xml:space="preserve"> </w:t>
      </w:r>
      <w:hyperlink r:id="rId4344">
        <w:r>
          <w:rPr>
            <w:color w:val="0000EE"/>
            <w:u w:val="single"/>
          </w:rPr>
          <w:t>1 Ts 1.7</w:t>
        </w:r>
      </w:hyperlink>
      <w:r>
        <w:t>).</w:t>
      </w:r>
    </w:p>
    <w:p>
      <w:r/>
      <w:r>
        <w:t>Como este parece ser o modo usual de escrita de Paulo, esses estudiosos acreditam que sua carta aos Gálatas foi destinada a todas as igrejas na província romana da Galácia, não apenas àquelas na região norte.</w:t>
      </w:r>
    </w:p>
    <w:p>
      <w:r/>
      <w:r>
        <w:t>As pessoas que apoiam a visão da Galácia do Sul têm dois argumentos principais. Primeiro, afirmam que as pessoas no sul da Galácia não se importariam de serem chamadas de gálatas porque não havia outro nome para chamá-las.</w:t>
      </w:r>
    </w:p>
    <w:p>
      <w:r/>
      <w:r>
        <w:t>Em segundo lugar, eles destacam algo que Paulo escreveu em sua carta. Ele menciona que pregou pela primeira vez aos gálatas quando estava doente (</w:t>
      </w:r>
      <w:hyperlink r:id="rId4345">
        <w:r>
          <w:rPr>
            <w:color w:val="0000EE"/>
            <w:u w:val="single"/>
          </w:rPr>
          <w:t>Gl 4.13</w:t>
        </w:r>
      </w:hyperlink>
      <w:r>
        <w:t>). Olhar para um mapa revela que isso é uma pista importante. A estrada para o norte da Galácia passava por montanhas e teria sido muito difícil para alguém doente. Mas a jornada para o sul da Galácia teria sido muito mais curta e fácil. Isso sugere que Paulo provavelmente foi para o sul em vez de para o norte quando estava doente.</w:t>
      </w:r>
    </w:p>
    <w:p>
      <w:r/>
      <w:r>
        <w:t xml:space="preserve">Existem mais duas razões que apoiam a Teoria da Galácia do Sul. Primeiro, </w:t>
      </w:r>
      <w:hyperlink r:id="rId2497">
        <w:r>
          <w:rPr>
            <w:color w:val="0000EE"/>
            <w:u w:val="single"/>
          </w:rPr>
          <w:t xml:space="preserve">Atos 20.4 </w:t>
        </w:r>
      </w:hyperlink>
      <w:r>
        <w:t>lista pessoas que viajaram com Paulo para Jerusalém. Muitos estudiosos acreditam que essas pessoas foram escolhidas por suas igrejas para ajudar a entregar dinheiro às igrejas pobres na Judeia. A lista inclui Gaio e Timóteo, que eram do sul da Galácia, mas ninguém do norte da Galácia. No entanto, esse argumento seria mais forte se Atos mencionasse especificamente essa coleta de dinheiro.</w:t>
      </w:r>
    </w:p>
    <w:p>
      <w:r/>
      <w:r>
        <w:t>Em segundo lugar, Paulo menciona um homem chamado Barnabé três vezes em sua carta (</w:t>
      </w:r>
      <w:hyperlink r:id="rId4346">
        <w:r>
          <w:rPr>
            <w:color w:val="0000EE"/>
            <w:u w:val="single"/>
          </w:rPr>
          <w:t>Gl 2.1,9,13</w:t>
        </w:r>
      </w:hyperlink>
      <w:r>
        <w:t>). Isso sugere que os gálatas sabiam quem era Barnabé. De acordo com o livro de Atos, Barnabé viajou com Paulo apenas durante sua primeira viagem missionária, que passou pelo sul da Galácia.</w:t>
      </w:r>
    </w:p>
    <w:p>
      <w:r/>
      <w:r>
        <w:t>Embora ambos os pontos de vista apresentem bons argumentos, as evidências parecem apoiar mais fortemente a Teoria da Galácia do Sul do que a Teoria da Galácia do Norte.</w:t>
      </w:r>
    </w:p>
    <w:p>
      <w:pPr>
        <w:pStyle w:val="Heading4"/>
      </w:pPr>
      <w:r>
        <w:t>Quando a carta aos Gálatas foi escrita?</w:t>
      </w:r>
    </w:p>
    <w:p>
      <w:r/>
      <w:r>
        <w:t xml:space="preserve">De acordo com a Teoria da Galácia do Norte, Paulo escreveu esta carta por volta do ano 56 d.C., durante sua terceira viagem missionária. Isso ocorreu após os eventos descritos em </w:t>
      </w:r>
      <w:hyperlink r:id="rId4337">
        <w:r>
          <w:rPr>
            <w:color w:val="0000EE"/>
            <w:u w:val="single"/>
          </w:rPr>
          <w:t>Atos 18.23</w:t>
        </w:r>
      </w:hyperlink>
      <w:r>
        <w:t>. Ele pode tê-la escrito enquanto estava na cidade de Éfeso ou logo após sair de lá.</w:t>
      </w:r>
    </w:p>
    <w:p>
      <w:r/>
      <w:r>
        <w:t>A Teoria da Galácia do Sul nos oferece diferentes possibilidades sobre quando Paulo escreveu a carta. Ele poderia tê-la escrito a qualquer momento após sua primeira viagem missionária, quando iniciou igrejas no sul da Galácia. Isso inclui o período durante sua terceira viagem.</w:t>
      </w:r>
    </w:p>
    <w:p>
      <w:r/>
      <w:r>
        <w:t>No entanto, há indícios na carta que sugerem que ela pode ter sido escrita muito antes. Na verdade, esta pode ser uma das primeiras cartas que Paulo escreveu.</w:t>
      </w:r>
    </w:p>
    <w:p>
      <w:r/>
      <w:r>
        <w:t xml:space="preserve">É difícil determinar quando Paulo escreveu esta carta devido às diferenças entre o que Paulo diz e o que o livro de Atos relata sobre as visitas a Jerusalém. Em </w:t>
      </w:r>
      <w:hyperlink r:id="rId4347">
        <w:r>
          <w:rPr>
            <w:color w:val="0000EE"/>
            <w:u w:val="single"/>
          </w:rPr>
          <w:t>Gálatas 1–2</w:t>
        </w:r>
      </w:hyperlink>
      <w:r>
        <w:t>, Paulo menciona duas visitas a Jerusalém (</w:t>
      </w:r>
      <w:hyperlink r:id="rId4348">
        <w:r>
          <w:rPr>
            <w:color w:val="0000EE"/>
            <w:u w:val="single"/>
          </w:rPr>
          <w:t>1.18</w:t>
        </w:r>
      </w:hyperlink>
      <w:r>
        <w:t xml:space="preserve">; </w:t>
      </w:r>
      <w:hyperlink r:id="rId4346">
        <w:r>
          <w:rPr>
            <w:color w:val="0000EE"/>
            <w:u w:val="single"/>
          </w:rPr>
          <w:t>2.1</w:t>
        </w:r>
      </w:hyperlink>
      <w:r>
        <w:t>). Mas Atos fala sobre três visitas (</w:t>
      </w:r>
      <w:hyperlink r:id="rId4349">
        <w:r>
          <w:rPr>
            <w:color w:val="0000EE"/>
            <w:u w:val="single"/>
          </w:rPr>
          <w:t>At 9.26</w:t>
        </w:r>
      </w:hyperlink>
      <w:r>
        <w:t xml:space="preserve">; </w:t>
      </w:r>
      <w:hyperlink r:id="rId4350">
        <w:r>
          <w:rPr>
            <w:color w:val="0000EE"/>
            <w:u w:val="single"/>
          </w:rPr>
          <w:t>11.29–30</w:t>
        </w:r>
      </w:hyperlink>
      <w:r>
        <w:t xml:space="preserve">; </w:t>
      </w:r>
      <w:hyperlink r:id="rId1399">
        <w:r>
          <w:rPr>
            <w:color w:val="0000EE"/>
            <w:u w:val="single"/>
          </w:rPr>
          <w:t>15.2</w:t>
        </w:r>
      </w:hyperlink>
      <w:r>
        <w:t>).</w:t>
      </w:r>
    </w:p>
    <w:p>
      <w:r/>
      <w:r>
        <w:t>Muitas pessoas acreditam que a segunda visita de Paulo (</w:t>
      </w:r>
      <w:hyperlink r:id="rId4346">
        <w:r>
          <w:rPr>
            <w:color w:val="0000EE"/>
            <w:u w:val="single"/>
          </w:rPr>
          <w:t>Gl 2.1</w:t>
        </w:r>
      </w:hyperlink>
      <w:r>
        <w:t xml:space="preserve">) foi a mesma visita descrita em </w:t>
      </w:r>
      <w:hyperlink r:id="rId1997">
        <w:r>
          <w:rPr>
            <w:color w:val="0000EE"/>
            <w:u w:val="single"/>
          </w:rPr>
          <w:t>Atos 15</w:t>
        </w:r>
      </w:hyperlink>
      <w:r>
        <w:t>. Isso significaria que Paulo estava fornecendo seu próprio relato do que ocorreu em uma reunião importante chamada Concílio de Jerusalém. Existem várias razões para apoiar essa ideia:</w:t>
      </w:r>
    </w:p>
    <w:p>
      <w:pPr>
        <w:pStyle w:val="ListBullet"/>
        <w:spacing w:line="240" w:lineRule="auto"/>
        <w:ind w:left="720"/>
      </w:pPr>
      <w:r/>
      <w:r>
        <w:t>Ambas as narrativas mencionam Barnabé;</w:t>
      </w:r>
    </w:p>
    <w:p>
      <w:pPr>
        <w:pStyle w:val="ListBullet"/>
        <w:spacing w:line="240" w:lineRule="auto"/>
        <w:ind w:left="720"/>
      </w:pPr>
      <w:r/>
      <w:r>
        <w:t>Ambos discutem se os crentes não-judeus (gentios) precisavam ser circuncidados; e</w:t>
      </w:r>
    </w:p>
    <w:p>
      <w:pPr>
        <w:pStyle w:val="ListBullet"/>
        <w:spacing w:line="240" w:lineRule="auto"/>
        <w:ind w:left="720"/>
      </w:pPr>
      <w:r/>
      <w:r>
        <w:t>Ambos mostram Paulo e Barnabé relatando aos líderes em Jerusalém.</w:t>
      </w:r>
    </w:p>
    <w:p>
      <w:r/>
      <w:r>
        <w:t>No entanto, há alguns problemas com essa visão:</w:t>
      </w:r>
    </w:p>
    <w:p>
      <w:pPr>
        <w:pStyle w:val="ListBullet"/>
        <w:spacing w:line="240" w:lineRule="auto"/>
        <w:ind w:left="720"/>
      </w:pPr>
      <w:r/>
      <w:r>
        <w:t xml:space="preserve">As palavras de Paulo em </w:t>
      </w:r>
      <w:hyperlink r:id="rId4346">
        <w:r>
          <w:rPr>
            <w:color w:val="0000EE"/>
            <w:u w:val="single"/>
          </w:rPr>
          <w:t>Gálatas 2.1</w:t>
        </w:r>
      </w:hyperlink>
      <w:r>
        <w:t xml:space="preserve"> sugerem que esta foi sua segunda visita a Jerusalém, mas em </w:t>
      </w:r>
      <w:hyperlink r:id="rId1997">
        <w:r>
          <w:rPr>
            <w:color w:val="0000EE"/>
            <w:u w:val="single"/>
          </w:rPr>
          <w:t>Atos 15</w:t>
        </w:r>
      </w:hyperlink>
      <w:r>
        <w:t xml:space="preserve"> foi sua terceira visita. Alguns explicam isso dizendo que durante sua segunda visita (</w:t>
      </w:r>
      <w:hyperlink r:id="rId1397">
        <w:r>
          <w:rPr>
            <w:color w:val="0000EE"/>
            <w:u w:val="single"/>
          </w:rPr>
          <w:t>At 11.30</w:t>
        </w:r>
      </w:hyperlink>
      <w:r>
        <w:t>), Paulo e Barnabé apenas entregaram dinheiro aos anciãos da igreja e não se encontraram com os apóstolos;</w:t>
      </w:r>
    </w:p>
    <w:p>
      <w:pPr>
        <w:pStyle w:val="ListBullet"/>
        <w:spacing w:line="240" w:lineRule="auto"/>
        <w:ind w:left="720"/>
      </w:pPr>
      <w:r/>
      <w:r>
        <w:t xml:space="preserve">Em </w:t>
      </w:r>
      <w:hyperlink r:id="rId1998">
        <w:r>
          <w:rPr>
            <w:color w:val="0000EE"/>
            <w:u w:val="single"/>
          </w:rPr>
          <w:t>Gálatas 2</w:t>
        </w:r>
      </w:hyperlink>
      <w:r>
        <w:t xml:space="preserve">, Paulo apenas menciona seu encontro com três líderes principais em Jerusalém. Ele não fala sobre uma reunião com toda a igreja, como </w:t>
      </w:r>
      <w:hyperlink r:id="rId1997">
        <w:r>
          <w:rPr>
            <w:color w:val="0000EE"/>
            <w:u w:val="single"/>
          </w:rPr>
          <w:t>Atos 15</w:t>
        </w:r>
      </w:hyperlink>
      <w:r>
        <w:t xml:space="preserve"> descreve. Alguns sugerem que Paulo e Barnabé podem ter tido uma reunião privada com esses líderes antes da reunião maior da igreja em 50 d.C;</w:t>
      </w:r>
    </w:p>
    <w:p>
      <w:pPr>
        <w:pStyle w:val="ListBullet"/>
        <w:spacing w:line="240" w:lineRule="auto"/>
        <w:ind w:left="720"/>
      </w:pPr>
      <w:r/>
      <w:r>
        <w:t>Paulo não menciona as regras que a igreja de Jerusalém fez para os crentes não-judeus (</w:t>
      </w:r>
      <w:hyperlink r:id="rId4351">
        <w:r>
          <w:rPr>
            <w:color w:val="0000EE"/>
            <w:u w:val="single"/>
          </w:rPr>
          <w:t>At 15.20</w:t>
        </w:r>
      </w:hyperlink>
      <w:r>
        <w:t>). Em vez disso, ele apenas menciona o acordo deles para ajudar os pobres (</w:t>
      </w:r>
      <w:hyperlink r:id="rId4352">
        <w:r>
          <w:rPr>
            <w:color w:val="0000EE"/>
            <w:u w:val="single"/>
          </w:rPr>
          <w:t>Gl 2.10</w:t>
        </w:r>
      </w:hyperlink>
      <w:r>
        <w:t>); e</w:t>
      </w:r>
    </w:p>
    <w:p>
      <w:pPr>
        <w:pStyle w:val="ListBullet"/>
        <w:spacing w:line="240" w:lineRule="auto"/>
        <w:ind w:left="720"/>
      </w:pPr>
      <w:r/>
      <w:r>
        <w:t>Paulo escreve sobre sua discussão com Pedro a respeito da comunhão entre crentes judeus e não judeus (</w:t>
      </w:r>
      <w:hyperlink r:id="rId4353">
        <w:r>
          <w:rPr>
            <w:color w:val="0000EE"/>
            <w:u w:val="single"/>
          </w:rPr>
          <w:t>Gl 2.11–14</w:t>
        </w:r>
      </w:hyperlink>
      <w:r>
        <w:t>) após descrever seu acordo em Jerusalém. Isso é intrigante porque mostra Pedro agindo contra o que eles haviam concordado. Talvez Pedro tenha concordado que os não judeus não precisavam ser circuncidados, mas estava inseguro sobre comer com eles.</w:t>
      </w:r>
    </w:p>
    <w:p>
      <w:r/>
      <w:r>
        <w:t xml:space="preserve">Alguns estudiosos têm uma ideia diferente sobre o que aconteceu. Eles acreditam que quando Paulo e Barnabé trouxeram dinheiro para Jerusalém, também tiveram reuniões privadas com os principais apóstolos. Isso pode ter ocorrido durante o período descrito em </w:t>
      </w:r>
      <w:hyperlink r:id="rId4350">
        <w:r>
          <w:rPr>
            <w:color w:val="0000EE"/>
            <w:u w:val="single"/>
          </w:rPr>
          <w:t>Atos 11.29–30</w:t>
        </w:r>
      </w:hyperlink>
      <w:r>
        <w:t>.</w:t>
      </w:r>
    </w:p>
    <w:p>
      <w:r/>
      <w:r>
        <w:t xml:space="preserve">Nessa época, havia uma forte oposição aos apóstolos. </w:t>
      </w:r>
      <w:hyperlink r:id="rId2854">
        <w:r>
          <w:rPr>
            <w:color w:val="0000EE"/>
            <w:u w:val="single"/>
          </w:rPr>
          <w:t>Atos 12</w:t>
        </w:r>
      </w:hyperlink>
      <w:r>
        <w:t xml:space="preserve"> relata que Tiago foi morto e Pedro foi preso. Isso pode explicar por que Paulo e Barnabé se reuniram com os líderes em particular, em vez de com toda a igreja.</w:t>
      </w:r>
    </w:p>
    <w:p>
      <w:r/>
      <w:r>
        <w:t>Esta explicação nos ajuda a compreender duas coisas:</w:t>
      </w:r>
    </w:p>
    <w:p>
      <w:pPr>
        <w:pStyle w:val="ListNumber"/>
        <w:spacing w:line="240" w:lineRule="auto"/>
        <w:ind w:left="720"/>
      </w:pPr>
      <w:r/>
      <w:r>
        <w:t>Paulo não menciona a decisão da igreja porque essa reunião ocorreu antes da grande reunião em Jerusalém (conhecida como o Concílio de Jerusalém) e</w:t>
      </w:r>
    </w:p>
    <w:p>
      <w:pPr>
        <w:pStyle w:val="ListNumber"/>
        <w:spacing w:line="240" w:lineRule="auto"/>
        <w:ind w:left="720"/>
      </w:pPr>
      <w:r/>
      <w:r>
        <w:t>Mais tarde, Pedro agiu de forma diferente em Antioquia ao se misturar com crentes não judeus, porque toda a igreja ainda não havia discutido e decidido o que fazer sobre essa questão.</w:t>
      </w:r>
    </w:p>
    <w:p>
      <w:r/>
      <w:r>
        <w:t>Se essa visão estiver correta, Paulo pode ter escrito sua carta aos Gálatas antes de 50 d.C., tornando-a sua carta mais antiga.</w:t>
      </w:r>
    </w:p>
    <w:p>
      <w:r/>
      <w:r>
        <w:t>No entanto, existem três problemas com essa ideia:</w:t>
      </w:r>
    </w:p>
    <w:p>
      <w:pPr>
        <w:pStyle w:val="ListBullet"/>
        <w:spacing w:line="240" w:lineRule="auto"/>
        <w:ind w:left="720"/>
      </w:pPr>
      <w:r/>
      <w:r>
        <w:t xml:space="preserve">Quando </w:t>
      </w:r>
      <w:hyperlink r:id="rId1397">
        <w:r>
          <w:rPr>
            <w:color w:val="0000EE"/>
            <w:u w:val="single"/>
          </w:rPr>
          <w:t>At 11.30</w:t>
        </w:r>
      </w:hyperlink>
      <w:r>
        <w:t xml:space="preserve"> fala sobre a visita de Paulo e Barnabé a Jerusalém, não menciona nenhum encontro com os apóstolos.</w:t>
      </w:r>
    </w:p>
    <w:p>
      <w:pPr>
        <w:pStyle w:val="ListBullet"/>
        <w:spacing w:line="240" w:lineRule="auto"/>
        <w:ind w:left="720"/>
      </w:pPr>
      <w:r/>
      <w:r>
        <w:t>Paulo diz que ele e Barnabé levaram um homem chamado Tito com eles (</w:t>
      </w:r>
      <w:hyperlink r:id="rId4346">
        <w:r>
          <w:rPr>
            <w:color w:val="0000EE"/>
            <w:u w:val="single"/>
          </w:rPr>
          <w:t>Gl 2.1</w:t>
        </w:r>
      </w:hyperlink>
      <w:r>
        <w:t>), mas Atos não menciona Tito de forma alguma durante esta visita.</w:t>
      </w:r>
    </w:p>
    <w:p>
      <w:pPr>
        <w:pStyle w:val="ListBullet"/>
        <w:spacing w:line="240" w:lineRule="auto"/>
        <w:ind w:left="720"/>
      </w:pPr>
      <w:r/>
      <w:r>
        <w:t>Paulo fala sobre pregar para pessoas não judias (</w:t>
      </w:r>
      <w:hyperlink r:id="rId4354">
        <w:r>
          <w:rPr>
            <w:color w:val="0000EE"/>
            <w:u w:val="single"/>
          </w:rPr>
          <w:t>Gl 2.2</w:t>
        </w:r>
      </w:hyperlink>
      <w:r>
        <w:t>). Isso sugere que ele escreveu a carta após sua primeira viagem como missionário. A única maneira de isso ter ocorrido mais cedo é se ele estivesse falando sobre seu trabalho em Antioquia, onde tanto crentes judeus quanto não judeus adoravam juntos.</w:t>
      </w:r>
    </w:p>
    <w:p>
      <w:r/>
      <w:r>
        <w:t>É difícil saber qual visão está correta. Quando Paulo menciona esperar 14 anos (</w:t>
      </w:r>
      <w:hyperlink r:id="rId4346">
        <w:r>
          <w:rPr>
            <w:color w:val="0000EE"/>
            <w:u w:val="single"/>
          </w:rPr>
          <w:t>Gl 2.1</w:t>
        </w:r>
      </w:hyperlink>
      <w:r>
        <w:t>), isso sugere que ele escreveu a carta mais tarde. Mas, ao compararmos o que Paulo escreve nesta carta com o que foi decidido no Concílio de Jerusalém em 50 d.C., parece que ele pode tê-la escrito mais cedo.</w:t>
      </w:r>
    </w:p>
    <w:p>
      <w:pPr>
        <w:pStyle w:val="Heading3"/>
      </w:pPr>
      <w:r>
        <w:t>Por que a carta aos Gálatas foi escrita? O que ela ensina sobre Deus?</w:t>
      </w:r>
    </w:p>
    <w:p>
      <w:r/>
      <w:r>
        <w:t>As igrejas na Galácia estavam enfrentando sérios problemas. Um grupo de pessoas estava causando dificuldades ao afirmar que os crentes não judeus precisavam ser circuncidados (passar por uma cerimônia religiosa judaica) para serem salvos. Esses causadores de problemas eram cristãos judeus (chamados de judaizantes) que acreditavam que as pessoas não judias só poderiam ser salvas se seguissem os costumes judaicos.</w:t>
      </w:r>
    </w:p>
    <w:p>
      <w:r/>
      <w:r>
        <w:t>Essas mesmas pessoas também estavam atacando a autoridade de Paulo como apóstolo de Jesus. Elas afirmavam que os apóstolos em Jerusalém eram mais importantes do que Paulo e apoiavam suas opiniões. Por isso, Paulo levou a situação tão a sério. Elas estavam desafiando a mensagem básica sobre Jesus (o Evangelho) que ele havia ensinado. Sua carta mostra o quanto ele estava preocupado com esse problema.</w:t>
      </w:r>
    </w:p>
    <w:p>
      <w:r/>
      <w:r>
        <w:t>Como interpretamos esta carta depende de quando Paulo a escreveu. Se Paulo escreveu a carta antes do Concílio de Jerusalém, a igreja ainda não havia decidido o que fazer sobre a circuncisão (</w:t>
      </w:r>
      <w:hyperlink r:id="rId1997">
        <w:r>
          <w:rPr>
            <w:color w:val="0000EE"/>
            <w:u w:val="single"/>
          </w:rPr>
          <w:t>At 15</w:t>
        </w:r>
      </w:hyperlink>
      <w:r>
        <w:t>). Isso significaria que o problema na Galácia foi o primeiro grande debate sobre essa questão.</w:t>
      </w:r>
    </w:p>
    <w:p>
      <w:r/>
      <w:r>
        <w:t>No entanto, se Paulo tivesse escrito a carta após o Concílio de Jerusalém, as igrejas do sul da Galácia já teriam recebido as decisões do concílio (</w:t>
      </w:r>
      <w:hyperlink r:id="rId1404">
        <w:r>
          <w:rPr>
            <w:color w:val="0000EE"/>
            <w:u w:val="single"/>
          </w:rPr>
          <w:t>At 16.4</w:t>
        </w:r>
      </w:hyperlink>
      <w:r>
        <w:t>). Mas elas ainda ouviam os cristãos judeus que tinham regras mais rígidas do que aquelas decididas pelos apóstolos em Jerusalém. Se ele estava escrevendo para igrejas no norte da Galácia, não sabemos se elas tinham ouvido falar sobre a decisão da igreja.</w:t>
      </w:r>
    </w:p>
    <w:p>
      <w:r/>
      <w:r>
        <w:t>Paulo escreveu esta carta com dois objetivos principais:</w:t>
      </w:r>
    </w:p>
    <w:p>
      <w:pPr>
        <w:pStyle w:val="ListNumber"/>
        <w:spacing w:line="240" w:lineRule="auto"/>
        <w:ind w:left="720"/>
      </w:pPr>
      <w:r/>
      <w:r>
        <w:t>Para demonstrar que ele era um verdadeiro apóstolo de Jesus com autoridade legítima e</w:t>
      </w:r>
    </w:p>
    <w:p>
      <w:pPr>
        <w:pStyle w:val="ListNumber"/>
        <w:spacing w:line="240" w:lineRule="auto"/>
        <w:ind w:left="720"/>
      </w:pPr>
      <w:r/>
      <w:r>
        <w:t>Para defender sua mensagem sobre Jesus como a verdadeira mensagem (o Evangelho).</w:t>
      </w:r>
    </w:p>
    <w:p>
      <w:r/>
      <w:r>
        <w:t>Em sua carta, Paulo ensina algumas ideias importantes sobre Deus. Sua principal mensagem adverte contra o pensamento de que as pessoas devem seguir regras religiosas rígidas para serem salvas (chamado legalismo). Isso não era apenas um problema para as igrejas da Galácia, mas é relevante em qualquer lugar onde as pessoas acreditam que precisam seguir certas regras para serem aceitas por Deus.</w:t>
      </w:r>
    </w:p>
    <w:p>
      <w:r/>
      <w:r>
        <w:t>Paulo explicou por que esse pensamento estava errado. Se as pessoas não-judias tivessem que ser circuncidadas para se tornarem cristãs, isso significaria dois problemas:</w:t>
      </w:r>
    </w:p>
    <w:p>
      <w:pPr>
        <w:pStyle w:val="ListNumber"/>
        <w:spacing w:line="240" w:lineRule="auto"/>
        <w:ind w:left="720"/>
      </w:pPr>
      <w:r/>
      <w:r>
        <w:t>Isso tornaria uma cerimônia física necessária para a salvação e</w:t>
      </w:r>
    </w:p>
    <w:p>
      <w:pPr>
        <w:pStyle w:val="ListNumber"/>
        <w:spacing w:line="240" w:lineRule="auto"/>
        <w:ind w:left="720"/>
      </w:pPr>
      <w:r/>
      <w:r>
        <w:t>Isso obrigaria as pessoas a seguirem todas as leis judaicas.</w:t>
      </w:r>
    </w:p>
    <w:p>
      <w:r/>
      <w:r>
        <w:t>Paulo ensinou que as pessoas são justificadas diante de Deus pela fé, e não por seguir regras religiosas. Ao longo de sua carta, ele enfatiza que a salvação vem pela graça de Deus, e não pelo esforço humano.</w:t>
      </w:r>
    </w:p>
    <w:p>
      <w:r/>
      <w:r>
        <w:t>Embora Paulo argumentasse contra seguir regras religiosas para alcançar a salvação, ele não afirmou que as pessoas poderiam agir conforme desejassem. Ele ensinou que existe um caminho intermediário entre seguir regras estritas e não ter diretrizes.</w:t>
      </w:r>
    </w:p>
    <w:p>
      <w:r/>
      <w:r>
        <w:t>Jesus dá liberdade aos crentes, mas Paulo adverte que essa liberdade não deve ser usada como desculpa para fazer coisas erradas (</w:t>
      </w:r>
      <w:hyperlink r:id="rId4355">
        <w:r>
          <w:rPr>
            <w:color w:val="0000EE"/>
            <w:u w:val="single"/>
          </w:rPr>
          <w:t>Gl 5.13</w:t>
        </w:r>
      </w:hyperlink>
      <w:r>
        <w:t>). Na verdade, Paulo estabelece padrões muito elevados para como os cristãos devem viver. Ele usa a si mesmo como exemplo, dizendo que seu antigo eu morreu (ele foi "crucificado com Cristo") e agora vive para Cristo (</w:t>
      </w:r>
      <w:hyperlink r:id="rId4289">
        <w:r>
          <w:rPr>
            <w:color w:val="0000EE"/>
            <w:u w:val="single"/>
          </w:rPr>
          <w:t>Gl 2.20</w:t>
        </w:r>
      </w:hyperlink>
      <w:r>
        <w:t>).</w:t>
      </w:r>
    </w:p>
    <w:p>
      <w:r/>
      <w:r>
        <w:t>Portanto, esta carta ensina duas coisas importantes:</w:t>
      </w:r>
    </w:p>
    <w:p>
      <w:pPr>
        <w:pStyle w:val="ListNumber"/>
        <w:spacing w:line="240" w:lineRule="auto"/>
        <w:ind w:left="720"/>
      </w:pPr>
      <w:r/>
      <w:r>
        <w:t>Como os cristãos podem ser realmente livres e</w:t>
      </w:r>
    </w:p>
    <w:p>
      <w:pPr>
        <w:pStyle w:val="ListNumber"/>
        <w:spacing w:line="240" w:lineRule="auto"/>
        <w:ind w:left="720"/>
      </w:pPr>
      <w:r/>
      <w:r>
        <w:t>Como os cristãos devem usar essa liberdade para viver bem</w:t>
      </w:r>
    </w:p>
    <w:p>
      <w:pPr>
        <w:pStyle w:val="Heading3"/>
      </w:pPr>
      <w:r>
        <w:t>Qual é a mensagem da carta aos Gálatas?</w:t>
      </w:r>
    </w:p>
    <w:p>
      <w:pPr>
        <w:pStyle w:val="Heading4"/>
      </w:pPr>
      <w:r>
        <w:t>Introdução (</w:t>
      </w:r>
      <w:hyperlink r:id="rId4356">
        <w:r>
          <w:rPr>
            <w:color w:val="0000EE"/>
            <w:u w:val="single"/>
          </w:rPr>
          <w:t>1.1–5</w:t>
        </w:r>
      </w:hyperlink>
      <w:r>
        <w:t>)</w:t>
      </w:r>
    </w:p>
    <w:p>
      <w:r/>
      <w:r>
        <w:t>Paulo inicia esta carta de maneira diferente das suas outras. Normalmente, ele começa suas cartas agradecendo a Deus e fazendo uma breve saudação. No entanto, nesta carta, ele omite o agradecimento e faz uma saudação mais longa. Desde o início, ele enfatiza fortemente que Deus o escolheu para ser seu apóstolo. (Um apóstolo é alguém escolhido e enviado por Jesus para ser seu mensageiro e representante especial).</w:t>
      </w:r>
    </w:p>
    <w:p>
      <w:pPr>
        <w:pStyle w:val="Heading4"/>
      </w:pPr>
      <w:r>
        <w:t>Os oponentes (</w:t>
      </w:r>
      <w:hyperlink r:id="rId4357">
        <w:r>
          <w:rPr>
            <w:color w:val="0000EE"/>
            <w:u w:val="single"/>
          </w:rPr>
          <w:t>1.6–10</w:t>
        </w:r>
      </w:hyperlink>
      <w:r>
        <w:t>)</w:t>
      </w:r>
    </w:p>
    <w:p>
      <w:r/>
      <w:r>
        <w:t>Paulo está surpreso que os gálatas tão rapidamente começaram a ouvir pessoas que estão distorcendo o evangelho (as boas-novas sobre Jesus). Ele adverte fortemente contra qualquer um que ensine uma mensagem diferente.</w:t>
      </w:r>
    </w:p>
    <w:p>
      <w:pPr>
        <w:pStyle w:val="Heading4"/>
      </w:pPr>
      <w:r>
        <w:t>Uma defesa de seu apostolado (</w:t>
      </w:r>
      <w:hyperlink r:id="rId4358">
        <w:r>
          <w:rPr>
            <w:color w:val="0000EE"/>
            <w:u w:val="single"/>
          </w:rPr>
          <w:t>1.11–2.14</w:t>
        </w:r>
      </w:hyperlink>
      <w:r>
        <w:t>)</w:t>
      </w:r>
    </w:p>
    <w:p>
      <w:r/>
      <w:r>
        <w:t>Paulo defende sua posição em várias etapas:</w:t>
      </w:r>
    </w:p>
    <w:p>
      <w:pPr>
        <w:pStyle w:val="ListNumber"/>
        <w:spacing w:line="240" w:lineRule="auto"/>
        <w:ind w:left="720"/>
      </w:pPr>
      <w:r/>
      <w:r>
        <w:t>Ele explica que seu ensino vem diretamente de Deus, não de qualquer pessoa. Isso revela duas coisas importantes:</w:t>
      </w:r>
    </w:p>
    <w:p>
      <w:pPr>
        <w:pStyle w:val="ListBullet"/>
        <w:spacing w:line="240" w:lineRule="auto"/>
        <w:ind w:left="1440"/>
      </w:pPr>
      <w:r/>
      <w:r>
        <w:t>Deus o escolheu para ser apóstolo e</w:t>
      </w:r>
    </w:p>
    <w:p>
      <w:pPr>
        <w:pStyle w:val="ListBullet"/>
        <w:spacing w:line="240" w:lineRule="auto"/>
        <w:ind w:left="1440"/>
      </w:pPr>
      <w:r/>
      <w:r>
        <w:t>Deus aprovou a sua mensagem sobre Jesus.</w:t>
      </w:r>
    </w:p>
    <w:p>
      <w:pPr>
        <w:pStyle w:val="ListNumber"/>
        <w:spacing w:line="240" w:lineRule="auto"/>
        <w:ind w:left="720"/>
      </w:pPr>
      <w:r/>
      <w:r>
        <w:t>Paulo quer deixar claro que sua autoridade não depende de outras pessoas. No entanto, ele também demonstra que ensina as mesmas coisas que os outros apóstolos (</w:t>
      </w:r>
      <w:hyperlink r:id="rId4359">
        <w:r>
          <w:rPr>
            <w:color w:val="0000EE"/>
            <w:u w:val="single"/>
          </w:rPr>
          <w:t>Gl 1.11–12</w:t>
        </w:r>
      </w:hyperlink>
      <w:r>
        <w:t>).</w:t>
      </w:r>
    </w:p>
    <w:p>
      <w:pPr>
        <w:pStyle w:val="ListNumber"/>
        <w:spacing w:line="240" w:lineRule="auto"/>
        <w:ind w:left="720"/>
      </w:pPr>
      <w:r/>
      <w:r>
        <w:t>Então, Paulo fala sobre como sua vida mudou. Ele descreve como passou de uma pessoa muito devota ao Judaísmo para alguém que prega as boas-novas sobre Jesus. Isso ajuda a mostrar que foi Deus quem o chamou para este trabalho (</w:t>
      </w:r>
      <w:hyperlink r:id="rId4360">
        <w:r>
          <w:rPr>
            <w:color w:val="0000EE"/>
            <w:u w:val="single"/>
          </w:rPr>
          <w:t>Gl 1.13–17</w:t>
        </w:r>
      </w:hyperlink>
      <w:r>
        <w:t>).</w:t>
      </w:r>
    </w:p>
    <w:p>
      <w:r/>
      <w:r>
        <w:t>Paulo então descreve duas reuniões importantes que teve com os apóstolos em Jerusalém. Nessas reuniões, eles o acolheram como um colega apóstolo, mostrando que todos estavam de acordo entre si.</w:t>
      </w:r>
    </w:p>
    <w:p>
      <w:r/>
      <w:r>
        <w:t>Eles elaboraram um plano juntos:</w:t>
      </w:r>
    </w:p>
    <w:p>
      <w:pPr>
        <w:pStyle w:val="ListBullet"/>
        <w:spacing w:line="240" w:lineRule="auto"/>
        <w:ind w:left="720"/>
      </w:pPr>
      <w:r/>
      <w:r>
        <w:t>Paulo ensinaria os gentios sobre Jesus;</w:t>
      </w:r>
    </w:p>
    <w:p>
      <w:pPr>
        <w:pStyle w:val="ListBullet"/>
        <w:spacing w:line="240" w:lineRule="auto"/>
        <w:ind w:left="720"/>
      </w:pPr>
      <w:r/>
      <w:r>
        <w:t>Pedro ensinaria o povo judeu;</w:t>
      </w:r>
    </w:p>
    <w:p>
      <w:pPr>
        <w:pStyle w:val="ListBullet"/>
        <w:spacing w:line="240" w:lineRule="auto"/>
        <w:ind w:left="720"/>
      </w:pPr>
      <w:r/>
      <w:r>
        <w:t>Todos concordaram que Paulo era um verdadeiro apóstolo de Jesus; e</w:t>
      </w:r>
    </w:p>
    <w:p>
      <w:pPr>
        <w:pStyle w:val="ListBullet"/>
        <w:spacing w:line="240" w:lineRule="auto"/>
        <w:ind w:left="720"/>
      </w:pPr>
      <w:r/>
      <w:r>
        <w:t>Todos eles prometeram ajudar os pobres, já que os cristãos são responsáveis por fazer isso (</w:t>
      </w:r>
      <w:hyperlink r:id="rId4361">
        <w:r>
          <w:rPr>
            <w:color w:val="0000EE"/>
            <w:u w:val="single"/>
          </w:rPr>
          <w:t>1.18–2.10</w:t>
        </w:r>
      </w:hyperlink>
      <w:r>
        <w:t>).</w:t>
      </w:r>
    </w:p>
    <w:p>
      <w:r/>
      <w:r>
        <w:t>Paulo dá um exemplo real para mostrar sua autoridade como apóstolo. Ele conta sobre uma ocasião em que corrigiu publicamente Pedro. Pedro havia mudado seu comportamento porque estava com medo de algumas pessoas que vieram de Tiago em Jerusalém. Essas pessoas pertenciam a um grupo que insistia em seguir os costumes judaicos (chamado "o grupo da circuncisão"). Quando Paulo desafiou Pedro sobre isso, isso levou aos principais ensinamentos de sua carta (</w:t>
      </w:r>
      <w:hyperlink r:id="rId4353">
        <w:r>
          <w:rPr>
            <w:color w:val="0000EE"/>
            <w:u w:val="single"/>
          </w:rPr>
          <w:t>Gl 2.11–14</w:t>
        </w:r>
      </w:hyperlink>
      <w:r>
        <w:t>).</w:t>
      </w:r>
    </w:p>
    <w:p>
      <w:pPr>
        <w:pStyle w:val="Heading4"/>
      </w:pPr>
      <w:r>
        <w:t>Uma defesa do evangelho (</w:t>
      </w:r>
      <w:hyperlink r:id="rId4362">
        <w:r>
          <w:rPr>
            <w:color w:val="0000EE"/>
            <w:u w:val="single"/>
          </w:rPr>
          <w:t>2.15–4.31</w:t>
        </w:r>
      </w:hyperlink>
      <w:r>
        <w:t>)</w:t>
      </w:r>
    </w:p>
    <w:p>
      <w:r/>
      <w:r>
        <w:t xml:space="preserve">Paulo introduz a questão da justificação pelas obras da lei e mostra como ela é diferente da justificação pela fé. Paulo diz que as pessoas devem escolher entre Jesus (ser justificado com Deus pela fé) e a lei (ser justificado pelas obras da lei; </w:t>
      </w:r>
      <w:hyperlink r:id="rId4363">
        <w:r>
          <w:rPr>
            <w:color w:val="0000EE"/>
            <w:u w:val="single"/>
          </w:rPr>
          <w:t>Gl 2.15–21</w:t>
        </w:r>
      </w:hyperlink>
      <w:r>
        <w:t>).</w:t>
      </w:r>
    </w:p>
    <w:p>
      <w:r/>
      <w:r>
        <w:t>Paulo quer mostrar que a fé em Jesus é superior a seguir as leis judaicas para alcançar a salvação. Ele lembra aos gálatas que eles se tornaram cristãos através do Espírito de Deus, e não por seguir regras. Ele está confuso sobre por que agora eles querem voltar a seguir estritamente a lei, que ele diz ser fruto do esforço humano (a "carne") em vez do Espírito de Deus (</w:t>
      </w:r>
      <w:hyperlink r:id="rId4364">
        <w:r>
          <w:rPr>
            <w:color w:val="0000EE"/>
            <w:u w:val="single"/>
          </w:rPr>
          <w:t>Gl 3.1–5</w:t>
        </w:r>
      </w:hyperlink>
      <w:r>
        <w:t>).</w:t>
      </w:r>
    </w:p>
    <w:p>
      <w:r/>
      <w:r>
        <w:t>Paulo então fala sobre Abraão. Ele menciona Abraão porque seus oponentes estavam afirmando que apenas as pessoas descendentes de Abraão poderiam ser salvas e que a circuncisão era o sinal necessário de pertencimento à família da aliança de Deus.</w:t>
      </w:r>
    </w:p>
    <w:p>
      <w:r/>
      <w:r>
        <w:t>Mas Paulo explica algo importante. Até mesmo Abraão foi justificado diante de Deus pela fé, não por seguir a lei (</w:t>
      </w:r>
      <w:hyperlink r:id="rId4365">
        <w:r>
          <w:rPr>
            <w:color w:val="0000EE"/>
            <w:u w:val="single"/>
          </w:rPr>
          <w:t>Gl 3.6–9</w:t>
        </w:r>
      </w:hyperlink>
      <w:r>
        <w:t>).</w:t>
      </w:r>
    </w:p>
    <w:p>
      <w:r/>
      <w:r>
        <w:t>Paulo explica que seguir a lei só pode trazer uma maldição porque ninguém pode obedecê-la perfeitamente. Então, ele ensina como Jesus se tornou uma maldição por nós. Por causa disso, Paulo diz que através de Jesus podemos receber as bênçãos que Deus prometeu a Abraão (</w:t>
      </w:r>
      <w:hyperlink r:id="rId4366">
        <w:r>
          <w:rPr>
            <w:color w:val="0000EE"/>
            <w:u w:val="single"/>
          </w:rPr>
          <w:t>Gl 3.10–14</w:t>
        </w:r>
      </w:hyperlink>
      <w:r>
        <w:t>).</w:t>
      </w:r>
    </w:p>
    <w:p>
      <w:r/>
      <w:r>
        <w:t>Paulo sabe que algumas pessoas podem argumentar contra seu ensinamento sobre Abraão. Elas podem dizer que ele não deveria usar a promessa de Deus a Abraão para argumentar contra a observância da lei. Mas Paulo explica que Deus fez essa promessa a Abraão 400 anos antes de dar a lei. Portanto, a lei posterior não pode cancelar a promessa anterior de Deus (</w:t>
      </w:r>
      <w:hyperlink r:id="rId4367">
        <w:r>
          <w:rPr>
            <w:color w:val="0000EE"/>
            <w:u w:val="single"/>
          </w:rPr>
          <w:t>Gl 3.15–18</w:t>
        </w:r>
      </w:hyperlink>
      <w:r>
        <w:t>).</w:t>
      </w:r>
    </w:p>
    <w:p>
      <w:r/>
      <w:r>
        <w:t>Em seguida, Paulo explica por que Deus deu a lei inicialmente. Ele afirma que a lei tinha dois propósitos importantes:</w:t>
      </w:r>
    </w:p>
    <w:p>
      <w:pPr>
        <w:pStyle w:val="ListNumber"/>
        <w:spacing w:line="240" w:lineRule="auto"/>
        <w:ind w:left="720"/>
      </w:pPr>
      <w:r/>
      <w:r>
        <w:t>Para mostrar às pessoas que elas precisavam da ajuda de Deus e</w:t>
      </w:r>
    </w:p>
    <w:p>
      <w:pPr>
        <w:pStyle w:val="ListNumber"/>
        <w:spacing w:line="240" w:lineRule="auto"/>
        <w:ind w:left="720"/>
      </w:pPr>
      <w:r/>
      <w:r>
        <w:t>Para demonstrar que seguir a lei por si só não pode proporcionar vida espiritual.</w:t>
      </w:r>
    </w:p>
    <w:p>
      <w:r/>
      <w:r>
        <w:t>Paulo compara a lei a um guardião (ou tutor) que cuida de uma criança. Nos tempos antigos, famílias ricas tinham alguém para vigiar seus filhos até que fossem suficientemente velhos para serem independentes. Paulo usa este exemplo para explicar como a lei funcionava antes de Jesus vir (</w:t>
      </w:r>
      <w:hyperlink r:id="rId4368">
        <w:r>
          <w:rPr>
            <w:color w:val="0000EE"/>
            <w:u w:val="single"/>
          </w:rPr>
          <w:t>Gl 3.19–29</w:t>
        </w:r>
      </w:hyperlink>
      <w:r>
        <w:t>).</w:t>
      </w:r>
    </w:p>
    <w:p>
      <w:r/>
      <w:r>
        <w:t>Paulo compara duas situações diferentes:</w:t>
      </w:r>
    </w:p>
    <w:p>
      <w:pPr>
        <w:pStyle w:val="ListNumber"/>
        <w:spacing w:line="240" w:lineRule="auto"/>
        <w:ind w:left="720"/>
      </w:pPr>
      <w:r/>
      <w:r>
        <w:t>Ser como uma criança sob a supervisão de um guardião e</w:t>
      </w:r>
    </w:p>
    <w:p>
      <w:pPr>
        <w:pStyle w:val="ListNumber"/>
        <w:spacing w:line="240" w:lineRule="auto"/>
        <w:ind w:left="720"/>
      </w:pPr>
      <w:r/>
      <w:r>
        <w:t>Ser como uma criança crescida com todos os direitos na família.</w:t>
      </w:r>
    </w:p>
    <w:p>
      <w:r/>
      <w:r>
        <w:t>Ele explica que o Espírito de Deus ajuda os crentes a terem um relacionamento próximo com Deus, permitindo que eles O chamem de "Abba" (que significa "Pai" em aramaico). Esse tipo de relacionamento próximo não era possível apenas seguindo a lei (</w:t>
      </w:r>
      <w:hyperlink r:id="rId4369">
        <w:r>
          <w:rPr>
            <w:color w:val="0000EE"/>
            <w:u w:val="single"/>
          </w:rPr>
          <w:t>Gl 4.1–7</w:t>
        </w:r>
      </w:hyperlink>
      <w:r>
        <w:t>).</w:t>
      </w:r>
    </w:p>
    <w:p>
      <w:r/>
      <w:r>
        <w:t>Após apresentar seus principais pontos, Paulo faz um apelo pessoal aos Gálatas. Primeiro, ele os lembra de seu passado:</w:t>
      </w:r>
    </w:p>
    <w:p>
      <w:pPr>
        <w:pStyle w:val="ListBullet"/>
        <w:spacing w:line="240" w:lineRule="auto"/>
        <w:ind w:left="720"/>
      </w:pPr>
      <w:r/>
      <w:r>
        <w:t>Antes de se tornarem cristãos, eles eram como escravos da Lei.</w:t>
      </w:r>
    </w:p>
    <w:p>
      <w:pPr>
        <w:pStyle w:val="ListBullet"/>
        <w:spacing w:line="240" w:lineRule="auto"/>
        <w:ind w:left="720"/>
      </w:pPr>
      <w:r/>
      <w:r>
        <w:t>Agora eles estão retornando ao mesmo tipo de escravidão ao tentar seguir os festivais religiosos judaicos. Paulo está muito triste com essa mudança.</w:t>
      </w:r>
    </w:p>
    <w:p>
      <w:r/>
      <w:r>
        <w:t>Então, ele os lembra sobre o relacionamento deles:</w:t>
      </w:r>
    </w:p>
    <w:p>
      <w:pPr>
        <w:pStyle w:val="ListBullet"/>
        <w:spacing w:line="240" w:lineRule="auto"/>
        <w:ind w:left="720"/>
      </w:pPr>
      <w:r/>
      <w:r>
        <w:t>Quando se tornaram cristãos pela primeira vez, amavam e respeitavam Paulo.</w:t>
      </w:r>
    </w:p>
    <w:p>
      <w:pPr>
        <w:pStyle w:val="ListBullet"/>
        <w:spacing w:line="240" w:lineRule="auto"/>
        <w:ind w:left="720"/>
      </w:pPr>
      <w:r/>
      <w:r>
        <w:t>Agora a atitude deles em relação a ele mudou. Isso perturba profundamente Paulo (</w:t>
      </w:r>
      <w:hyperlink r:id="rId4370">
        <w:r>
          <w:rPr>
            <w:color w:val="0000EE"/>
            <w:u w:val="single"/>
          </w:rPr>
          <w:t>Gl 4.8–20</w:t>
        </w:r>
      </w:hyperlink>
      <w:r>
        <w:t>).</w:t>
      </w:r>
    </w:p>
    <w:p>
      <w:r/>
      <w:r>
        <w:t>Finalmente, Paulo utiliza uma história da Bíblia para tornar seu ponto mais claro. Ele menciona os dois filhos de Abraão, Isaque e Ismael. Ele usa a história deles como exemplo para demonstrar a diferença entre:</w:t>
      </w:r>
    </w:p>
    <w:p>
      <w:pPr>
        <w:pStyle w:val="ListBullet"/>
        <w:spacing w:line="240" w:lineRule="auto"/>
        <w:ind w:left="720"/>
      </w:pPr>
      <w:r/>
      <w:r>
        <w:t>Isaque, cuja mãe era Sara, uma mulher livre (Paulo o usa como exemplo de filhos livres de Deus).</w:t>
      </w:r>
    </w:p>
    <w:p>
      <w:pPr>
        <w:pStyle w:val="ListBullet"/>
        <w:spacing w:line="240" w:lineRule="auto"/>
        <w:ind w:left="720"/>
      </w:pPr>
      <w:r/>
      <w:r>
        <w:t>Ismael, cuja mãe era Hagar, uma escrava (Paulo o usa como exemplo de sermos escravos da lei)</w:t>
      </w:r>
    </w:p>
    <w:p>
      <w:r/>
      <w:r>
        <w:t>Este exemplo apoia o que Paulo tem dito sobre liberdade versus escravidão às regras (</w:t>
      </w:r>
      <w:hyperlink r:id="rId4371">
        <w:r>
          <w:rPr>
            <w:color w:val="0000EE"/>
            <w:u w:val="single"/>
          </w:rPr>
          <w:t>Gl 4.21–31</w:t>
        </w:r>
      </w:hyperlink>
      <w:r>
        <w:t>).</w:t>
      </w:r>
    </w:p>
    <w:p>
      <w:pPr>
        <w:pStyle w:val="Heading4"/>
      </w:pPr>
      <w:r>
        <w:t>Conselhos práticos (</w:t>
      </w:r>
      <w:hyperlink r:id="rId4372">
        <w:r>
          <w:rPr>
            <w:color w:val="0000EE"/>
            <w:u w:val="single"/>
          </w:rPr>
          <w:t>5.1–6.10</w:t>
        </w:r>
      </w:hyperlink>
      <w:r>
        <w:t>)</w:t>
      </w:r>
    </w:p>
    <w:p>
      <w:r/>
      <w:r>
        <w:t>Após explicar seus principais ensinamentos, Paulo instrui os Gálatas sobre como devem viver como pessoas livres em Cristo:</w:t>
      </w:r>
    </w:p>
    <w:p>
      <w:pPr>
        <w:pStyle w:val="ListBullet"/>
        <w:spacing w:line="240" w:lineRule="auto"/>
        <w:ind w:left="720"/>
      </w:pPr>
      <w:r/>
      <w:r>
        <w:t>Não abdique da liberdade concordando em ser circuncidado e seguir as leis judaicas (</w:t>
      </w:r>
      <w:hyperlink r:id="rId4373">
        <w:r>
          <w:rPr>
            <w:color w:val="0000EE"/>
            <w:u w:val="single"/>
          </w:rPr>
          <w:t>Gl 5.1–6</w:t>
        </w:r>
      </w:hyperlink>
      <w:r>
        <w:t>).</w:t>
      </w:r>
    </w:p>
    <w:p>
      <w:pPr>
        <w:pStyle w:val="ListBullet"/>
        <w:spacing w:line="240" w:lineRule="auto"/>
        <w:ind w:left="720"/>
      </w:pPr>
      <w:r/>
      <w:r>
        <w:t>Tenha cuidado com pessoas que estão ensinando coisas erradas (</w:t>
      </w:r>
      <w:hyperlink r:id="rId4374">
        <w:r>
          <w:rPr>
            <w:color w:val="0000EE"/>
            <w:u w:val="single"/>
          </w:rPr>
          <w:t>Gl 5.7–12</w:t>
        </w:r>
      </w:hyperlink>
      <w:r>
        <w:t>).</w:t>
      </w:r>
    </w:p>
    <w:p>
      <w:pPr>
        <w:pStyle w:val="ListBullet"/>
        <w:spacing w:line="240" w:lineRule="auto"/>
        <w:ind w:left="720"/>
      </w:pPr>
      <w:r/>
      <w:r>
        <w:t>Substitua a obediência estrita às regras pelo amor. O Espírito de Deus ajuda as pessoas a evitar fazer coisas erradas e a desenvolver boas qualidades em suas vidas (</w:t>
      </w:r>
      <w:hyperlink r:id="rId4375">
        <w:r>
          <w:rPr>
            <w:color w:val="0000EE"/>
            <w:u w:val="single"/>
          </w:rPr>
          <w:t>Gl 5.13</w:t>
        </w:r>
      </w:hyperlink>
      <w:r>
        <w:t>–</w:t>
      </w:r>
      <w:hyperlink r:id="rId4375">
        <w:r>
          <w:rPr>
            <w:color w:val="0000EE"/>
            <w:u w:val="single"/>
          </w:rPr>
          <w:t>26</w:t>
        </w:r>
      </w:hyperlink>
      <w:r>
        <w:t>).</w:t>
      </w:r>
    </w:p>
    <w:p>
      <w:pPr>
        <w:pStyle w:val="ListBullet"/>
        <w:spacing w:line="240" w:lineRule="auto"/>
        <w:ind w:left="720"/>
      </w:pPr>
      <w:r/>
      <w:r>
        <w:t>Viva com cuidado pelos outros. Ajude as pessoas que estão enfrentando problemas. Seja especialmente prestativo com outros cristãos. Procure maneiras de fazer o bem a todos (</w:t>
      </w:r>
      <w:hyperlink r:id="rId4376">
        <w:r>
          <w:rPr>
            <w:color w:val="0000EE"/>
            <w:u w:val="single"/>
          </w:rPr>
          <w:t>Gl 6.1–10</w:t>
        </w:r>
      </w:hyperlink>
      <w:r>
        <w:t>).</w:t>
      </w:r>
    </w:p>
    <w:p>
      <w:pPr>
        <w:pStyle w:val="Heading4"/>
      </w:pPr>
      <w:r>
        <w:t>Conclusão (</w:t>
      </w:r>
      <w:hyperlink r:id="rId4377">
        <w:r>
          <w:rPr>
            <w:color w:val="0000EE"/>
            <w:u w:val="single"/>
          </w:rPr>
          <w:t>6.11–18</w:t>
        </w:r>
      </w:hyperlink>
      <w:r>
        <w:t>)</w:t>
      </w:r>
    </w:p>
    <w:p>
      <w:r/>
      <w:r>
        <w:t>Paulo escreve a parte final da carta pessoalmente. Ele faz um último contraste entre:</w:t>
      </w:r>
    </w:p>
    <w:p>
      <w:pPr>
        <w:pStyle w:val="ListBullet"/>
        <w:spacing w:line="240" w:lineRule="auto"/>
        <w:ind w:left="720"/>
      </w:pPr>
      <w:r/>
      <w:r>
        <w:t>Seu foco em se orgulhar apenas da morte de Jesus na cruz ("gloriar-se na cruz")</w:t>
      </w:r>
    </w:p>
    <w:p>
      <w:pPr>
        <w:pStyle w:val="ListBullet"/>
        <w:spacing w:line="240" w:lineRule="auto"/>
        <w:ind w:left="720"/>
      </w:pPr>
      <w:r/>
      <w:r>
        <w:t>O foco dos seus oponentes em se orgulhar de seguir a lei e as cerimônias religiosas ("vangloriar-se na carne")</w:t>
      </w:r>
    </w:p>
    <w:p>
      <w:r/>
      <w:r>
        <w:t>Ao contrário de suas outras cartas, Paulo não termina com saudações. Em vez disso, ele simplesmente pede que ninguém o incomode mais sobre esses assuntos.</w:t>
      </w:r>
    </w:p>
    <w:p>
      <w:r/>
      <w:r>
        <w:rPr>
          <w:i/>
        </w:rPr>
        <w:t>Veja também</w:t>
      </w:r>
      <w:r>
        <w:t xml:space="preserve"> </w:t>
      </w:r>
      <w:r>
        <w:t>Galácia</w:t>
      </w:r>
      <w:r>
        <w:t xml:space="preserve">; </w:t>
      </w:r>
      <w:r>
        <w:t>Judaizantes</w:t>
      </w:r>
      <w:r>
        <w:t xml:space="preserve">; </w:t>
      </w:r>
      <w:r>
        <w:t>LEI, Conceito bíblico de</w:t>
      </w:r>
      <w:r>
        <w:t xml:space="preserve">; </w:t>
      </w:r>
      <w:r>
        <w:t>Paulo, O apóstolo</w:t>
      </w:r>
      <w:r>
        <w:t>.</w:t>
      </w:r>
      <w:r/>
      <w:r/>
    </w:p>
    <w:p>
      <w:r/>
    </w:p>
    <w:p>
      <w:pPr>
        <w:pStyle w:val="Heading2"/>
      </w:pPr>
      <w:r>
        <w:t>Carta aos Romanos</w:t>
      </w:r>
      <w:r/>
    </w:p>
    <w:p>
      <w:r/>
      <w:r>
        <w:t>O sexto livro do Novo Testamento é a carta mais longa do apóstolo Paulo na Bíblia.</w:t>
      </w:r>
    </w:p>
    <w:p>
      <w:pPr>
        <w:pStyle w:val="Heading3"/>
      </w:pPr>
      <w:r>
        <w:t>Resumo</w:t>
      </w:r>
    </w:p>
    <w:p>
      <w:pPr>
        <w:pStyle w:val="ListBullet"/>
        <w:spacing w:line="240" w:lineRule="auto"/>
        <w:ind w:left="720"/>
      </w:pPr>
      <w:r/>
      <w:r>
        <w:t>Quem escreveu a Carta aos Romanos?</w:t>
      </w:r>
    </w:p>
    <w:p>
      <w:pPr>
        <w:pStyle w:val="ListBullet"/>
        <w:spacing w:line="240" w:lineRule="auto"/>
        <w:ind w:left="720"/>
      </w:pPr>
      <w:r/>
      <w:r>
        <w:t>Quando e onde a Carta aos Romanos foi escrita? Para quem foi destinada?</w:t>
      </w:r>
    </w:p>
    <w:p>
      <w:pPr>
        <w:pStyle w:val="ListBullet"/>
        <w:spacing w:line="240" w:lineRule="auto"/>
        <w:ind w:left="720"/>
      </w:pPr>
      <w:r/>
      <w:r>
        <w:t>Qual é o contexto da Carta?</w:t>
      </w:r>
    </w:p>
    <w:p>
      <w:pPr>
        <w:pStyle w:val="ListBullet"/>
        <w:spacing w:line="240" w:lineRule="auto"/>
        <w:ind w:left="720"/>
      </w:pPr>
      <w:r/>
      <w:r>
        <w:t>Quem eram as pessoas que receberam a Carta?</w:t>
      </w:r>
    </w:p>
    <w:p>
      <w:pPr>
        <w:pStyle w:val="ListBullet"/>
        <w:spacing w:line="240" w:lineRule="auto"/>
        <w:ind w:left="720"/>
      </w:pPr>
      <w:r/>
      <w:r>
        <w:t>Por que a Carta aos Romanos foi escrita?</w:t>
      </w:r>
    </w:p>
    <w:p>
      <w:pPr>
        <w:pStyle w:val="ListBullet"/>
        <w:spacing w:line="240" w:lineRule="auto"/>
        <w:ind w:left="720"/>
      </w:pPr>
      <w:r/>
      <w:r>
        <w:t>O que a Carta aos Romanos ensina sobre Deus?</w:t>
      </w:r>
    </w:p>
    <w:p>
      <w:pPr>
        <w:pStyle w:val="ListBullet"/>
        <w:spacing w:line="240" w:lineRule="auto"/>
        <w:ind w:left="720"/>
      </w:pPr>
      <w:r/>
      <w:r>
        <w:t>Qual é a mensagem da Carta aos Romanos?</w:t>
      </w:r>
    </w:p>
    <w:p>
      <w:pPr>
        <w:pStyle w:val="Heading3"/>
      </w:pPr>
      <w:r>
        <w:t>Quem escreveu a Carta?</w:t>
      </w:r>
    </w:p>
    <w:p>
      <w:r/>
      <w:r>
        <w:t>O apóstolo Paulo escreveu esta carta, o que se evidencia ao longo dela o uso recorrente da forma de primeira pessoa e o uso inclusivo do plural (</w:t>
      </w:r>
      <w:hyperlink r:id="rId4378">
        <w:r>
          <w:rPr>
            <w:color w:val="0000EE"/>
            <w:u w:val="single"/>
          </w:rPr>
          <w:t>Rm 1.5,10</w:t>
        </w:r>
      </w:hyperlink>
      <w:r>
        <w:t xml:space="preserve"> e outros versículos). A carta começa com "Paulo, servo de Cristo Jesus, chamado para ser apóstolo". Embora Paulo tenha falado as palavras, um homem chamado Tércio as escreveu (</w:t>
      </w:r>
      <w:hyperlink r:id="rId4379">
        <w:r>
          <w:rPr>
            <w:color w:val="0000EE"/>
            <w:u w:val="single"/>
          </w:rPr>
          <w:t>16.22</w:t>
        </w:r>
      </w:hyperlink>
      <w:r>
        <w:t>). Estudiosos de todos os pontos de vista concordam que Paulo escreveu esta carta. De fato, Romanos aparece primeiro em quase todas as listas antigas das cartas de Paulo.</w:t>
      </w:r>
    </w:p>
    <w:p>
      <w:pPr>
        <w:pStyle w:val="Heading3"/>
      </w:pPr>
      <w:r>
        <w:t>Para quem a Carta foi escrita? De onde a Carta foi escrita?</w:t>
      </w:r>
    </w:p>
    <w:p>
      <w:r/>
      <w:r>
        <w:t>Paulo enviou esta carta aos cristãos em Roma (</w:t>
      </w:r>
      <w:hyperlink r:id="rId4380">
        <w:r>
          <w:rPr>
            <w:color w:val="0000EE"/>
            <w:u w:val="single"/>
          </w:rPr>
          <w:t>Rm 1.7</w:t>
        </w:r>
      </w:hyperlink>
      <w:r>
        <w:t>). Ele a escreveu enquanto estava na cidade de Corinto. Sabemos disso porque ele menciona Erasto, que era o tesoureiro da cidade de Corinto (</w:t>
      </w:r>
      <w:hyperlink r:id="rId4126">
        <w:r>
          <w:rPr>
            <w:color w:val="0000EE"/>
            <w:u w:val="single"/>
          </w:rPr>
          <w:t>16.23</w:t>
        </w:r>
      </w:hyperlink>
      <w:r>
        <w:t>). Há uma inscrição (uma escrita esculpida no pavimento de pedra) ao lado do grande teatro em Corinto. A inscrição afirma que Erasto, o tesoureiro da cidade, a colocou lá em agradecimento por sua eleição. Parece que Erasto permaneceu em Corinto porque era sua casa (</w:t>
      </w:r>
      <w:hyperlink r:id="rId4381">
        <w:r>
          <w:rPr>
            <w:color w:val="0000EE"/>
            <w:u w:val="single"/>
          </w:rPr>
          <w:t>2Tm 4.20</w:t>
        </w:r>
      </w:hyperlink>
      <w:r>
        <w:t>).</w:t>
      </w:r>
    </w:p>
    <w:p>
      <w:r/>
      <w:r>
        <w:t>Além disso, quando Paulo escreveu esta carta, ele estava hospedado com um homem chamado Gaio (</w:t>
      </w:r>
      <w:hyperlink r:id="rId4126">
        <w:r>
          <w:rPr>
            <w:color w:val="0000EE"/>
            <w:u w:val="single"/>
          </w:rPr>
          <w:t>Rm 16.23</w:t>
        </w:r>
      </w:hyperlink>
      <w:r>
        <w:t>). Este era provavelmente o mesmo Gaio que vivia em Corinto (</w:t>
      </w:r>
      <w:hyperlink r:id="rId4382">
        <w:r>
          <w:rPr>
            <w:color w:val="0000EE"/>
            <w:u w:val="single"/>
          </w:rPr>
          <w:t>1Co 1.14</w:t>
        </w:r>
      </w:hyperlink>
      <w:r>
        <w:t>). Uma mulher chamada Febe provavelmente levou a carta para Roma. Ela era uma diaconisa que servia na igreja em Cencreia, que era o porto oriental de Corinto (</w:t>
      </w:r>
      <w:hyperlink r:id="rId4383">
        <w:r>
          <w:rPr>
            <w:color w:val="0000EE"/>
            <w:u w:val="single"/>
          </w:rPr>
          <w:t>Rm 16.1</w:t>
        </w:r>
      </w:hyperlink>
      <w:r>
        <w:t>).</w:t>
      </w:r>
    </w:p>
    <w:p>
      <w:pPr>
        <w:pStyle w:val="Heading3"/>
      </w:pPr>
      <w:r>
        <w:t>Quando a Carta foi escrita?</w:t>
      </w:r>
    </w:p>
    <w:p>
      <w:r/>
      <w:r>
        <w:t xml:space="preserve">Podemos determinar quando Paulo escreveu esta carta examinando o que ele diz nela, como referências a pessoas, eventos e suas viagens. Em </w:t>
      </w:r>
      <w:hyperlink r:id="rId4384">
        <w:r>
          <w:rPr>
            <w:color w:val="0000EE"/>
            <w:u w:val="single"/>
          </w:rPr>
          <w:t>Romanos 15.23–28</w:t>
        </w:r>
      </w:hyperlink>
      <w:r>
        <w:t>, Paulo indica que estava prestes a visitar Jerusalém. Ele estava levando dinheiro que as igrejas na Macedônia e Acaia haviam coletado para os cristãos pobres lá. Depois disso, ele planejava visitar Roma a caminho da Espanha (</w:t>
      </w:r>
      <w:hyperlink r:id="rId4384">
        <w:r>
          <w:rPr>
            <w:color w:val="0000EE"/>
            <w:u w:val="single"/>
          </w:rPr>
          <w:t>15.23–28</w:t>
        </w:r>
      </w:hyperlink>
      <w:r>
        <w:t>). Ele levou esse dinheiro com ele de Corinto no final de sua terceira visita de três meses a essa cidade (</w:t>
      </w:r>
      <w:hyperlink r:id="rId4385">
        <w:r>
          <w:rPr>
            <w:color w:val="0000EE"/>
            <w:u w:val="single"/>
          </w:rPr>
          <w:t>At 20.2,23</w:t>
        </w:r>
      </w:hyperlink>
      <w:r>
        <w:t xml:space="preserve">; </w:t>
      </w:r>
      <w:hyperlink r:id="rId4386">
        <w:r>
          <w:rPr>
            <w:color w:val="0000EE"/>
            <w:u w:val="single"/>
          </w:rPr>
          <w:t>24.17</w:t>
        </w:r>
      </w:hyperlink>
      <w:r>
        <w:t>).</w:t>
      </w:r>
    </w:p>
    <w:p>
      <w:r/>
      <w:r>
        <w:t>Algumas pessoas viajaram com Paulo de Corinto nessa época. O livro de Atos lista seus nomes (</w:t>
      </w:r>
      <w:hyperlink r:id="rId2497">
        <w:r>
          <w:rPr>
            <w:color w:val="0000EE"/>
            <w:u w:val="single"/>
          </w:rPr>
          <w:t>20.4</w:t>
        </w:r>
      </w:hyperlink>
      <w:r>
        <w:t>). Quatro dessas pessoas estavam com Paulo quando ele escreveu esta carta: Timóteo, Sosípatro, Gaio e Erasto (</w:t>
      </w:r>
      <w:hyperlink r:id="rId4387">
        <w:r>
          <w:rPr>
            <w:color w:val="0000EE"/>
            <w:u w:val="single"/>
          </w:rPr>
          <w:t>Rm 16.21,23</w:t>
        </w:r>
      </w:hyperlink>
      <w:r>
        <w:t>). Paulo visitou Jerusalém por volta de 57–58 d.C. Assim, Paulo escreveu esta carta por volta dessa mesma época.</w:t>
      </w:r>
    </w:p>
    <w:p>
      <w:pPr>
        <w:pStyle w:val="Heading3"/>
      </w:pPr>
      <w:r>
        <w:t>Qual é o contexto da Carta?</w:t>
      </w:r>
    </w:p>
    <w:p>
      <w:r/>
      <w:r>
        <w:t>Durante sua segunda viagem missionária, Paulo visitou Corinto e iniciou uma igreja lá. Ele permaneceu na cidade por 18 meses (</w:t>
      </w:r>
      <w:hyperlink r:id="rId4388">
        <w:r>
          <w:rPr>
            <w:color w:val="0000EE"/>
            <w:u w:val="single"/>
          </w:rPr>
          <w:t>At 18.1,11</w:t>
        </w:r>
      </w:hyperlink>
      <w:r>
        <w:t>). Ele chegou ao mesmo tempo que Priscila e Áquila, que tinham vindo recentemente de Roma. Depois que Paulo esteve em Corinto por 18 meses, ele foi levado perante o novo procônsul (governador) Gálio (</w:t>
      </w:r>
      <w:hyperlink r:id="rId4071">
        <w:r>
          <w:rPr>
            <w:color w:val="0000EE"/>
            <w:u w:val="single"/>
          </w:rPr>
          <w:t>At 18.12</w:t>
        </w:r>
      </w:hyperlink>
      <w:r>
        <w:t>). Sabemos quando isso aconteceu porque arqueólogos encontraram uma inscrição sobre Gálio em Delfos que mostra que ele se tornou governador na primavera de 51 d.C. Isso significa que Paulo deve ter chegado em Corinto no inverno de 49 d.C.</w:t>
      </w:r>
    </w:p>
    <w:p>
      <w:r/>
      <w:r>
        <w:t>Depois de deixar Corinto, Paulo voltou para Antioquia a fim de relatar sobre seu trabalho. Em seguida, ele iniciou sua jornada final para coletar dinheiro das igrejas não judaicas (gentias) para os pobres em Jerusalém (</w:t>
      </w:r>
      <w:hyperlink r:id="rId4389">
        <w:r>
          <w:rPr>
            <w:color w:val="0000EE"/>
            <w:u w:val="single"/>
          </w:rPr>
          <w:t>Rm 15.25–29</w:t>
        </w:r>
      </w:hyperlink>
      <w:r>
        <w:t>). Ele havia planejado essa coleta anteriormente (</w:t>
      </w:r>
      <w:hyperlink r:id="rId4390">
        <w:r>
          <w:rPr>
            <w:color w:val="0000EE"/>
            <w:u w:val="single"/>
          </w:rPr>
          <w:t>1Co 16.1</w:t>
        </w:r>
      </w:hyperlink>
      <w:r>
        <w:t xml:space="preserve">; </w:t>
      </w:r>
      <w:hyperlink r:id="rId4391">
        <w:r>
          <w:rPr>
            <w:color w:val="0000EE"/>
            <w:u w:val="single"/>
          </w:rPr>
          <w:t>2Co 9.5</w:t>
        </w:r>
      </w:hyperlink>
      <w:r>
        <w:t>). Paulo teve que retornar a Corinto por causa de problemas contínuos lá (</w:t>
      </w:r>
      <w:hyperlink r:id="rId4392">
        <w:r>
          <w:rPr>
            <w:color w:val="0000EE"/>
            <w:u w:val="single"/>
          </w:rPr>
          <w:t>1Co 1.11</w:t>
        </w:r>
      </w:hyperlink>
      <w:r>
        <w:t xml:space="preserve">; </w:t>
      </w:r>
      <w:hyperlink r:id="rId4393">
        <w:r>
          <w:rPr>
            <w:color w:val="0000EE"/>
            <w:u w:val="single"/>
          </w:rPr>
          <w:t>7.1</w:t>
        </w:r>
      </w:hyperlink>
      <w:r>
        <w:t>;</w:t>
      </w:r>
      <w:hyperlink r:id="rId4393">
        <w:r>
          <w:rPr>
            <w:color w:val="0000EE"/>
            <w:u w:val="single"/>
          </w:rPr>
          <w:t xml:space="preserve"> </w:t>
        </w:r>
      </w:hyperlink>
      <w:hyperlink r:id="rId4394">
        <w:r>
          <w:rPr>
            <w:color w:val="0000EE"/>
            <w:u w:val="single"/>
          </w:rPr>
          <w:t>At 20.3</w:t>
        </w:r>
      </w:hyperlink>
      <w:r>
        <w:t>). Foi quando ele escreveu a carta aos Romanos. Os dois últimos capítulos mostram que Paulo planejava levar o dinheiro para Jerusalém em breve e, em seguida, viajar para Roma (</w:t>
      </w:r>
      <w:hyperlink r:id="rId4395">
        <w:r>
          <w:rPr>
            <w:color w:val="0000EE"/>
            <w:u w:val="single"/>
          </w:rPr>
          <w:t>Rm 15.23–24</w:t>
        </w:r>
      </w:hyperlink>
      <w:r>
        <w:t>).</w:t>
      </w:r>
    </w:p>
    <w:p>
      <w:r/>
      <w:r>
        <w:t>Ele escreveu esta carta para informar aos romanos que estava vindo, para que pudessem ajudá-lo a continuar sua jornada até a Espanha (</w:t>
      </w:r>
      <w:hyperlink r:id="rId4396">
        <w:r>
          <w:rPr>
            <w:color w:val="0000EE"/>
            <w:u w:val="single"/>
          </w:rPr>
          <w:t>Rm 15.24,28</w:t>
        </w:r>
      </w:hyperlink>
      <w:r>
        <w:t>). Ao contrário da maioria das outras igrejas, Paulo não fundou as igrejas em Roma ou Colossos. É por isso que sua carta não menciona problemas específicos entre os cristãos romanos.</w:t>
      </w:r>
    </w:p>
    <w:p>
      <w:pPr>
        <w:pStyle w:val="Heading3"/>
      </w:pPr>
      <w:r>
        <w:t>Quem eram as pessoas que receberam a Carta?</w:t>
      </w:r>
    </w:p>
    <w:p>
      <w:r/>
      <w:r>
        <w:t>A igreja em Roma tinha tanto cristãos judeus quanto não judeus. A igreja provavelmente começou quando alguns crentes judeus que estavam em Jerusalém no Dia de Pentecostes se tornaram cristãos (</w:t>
      </w:r>
      <w:hyperlink r:id="rId4397">
        <w:r>
          <w:rPr>
            <w:color w:val="0000EE"/>
            <w:u w:val="single"/>
          </w:rPr>
          <w:t>At 2.10</w:t>
        </w:r>
      </w:hyperlink>
      <w:r>
        <w:t>). Eles estavam entre as 3.000 pessoas que acreditaram em Jesus naquele dia. Alguns desses novos crentes provavelmente levaram as boas-novas sobre Jesus de volta para Roma. Alguns dos cristãos que Paulo saúda em sua carta podem ter seguido Jesus por muitos anos. Eles podem ter estado entre as primeiras pessoas a se tornarem cristãs. Até a chegada de Paulo, a igreja romana provavelmente cresceu através de seus próprios membros compartilhando sua fé, com ajuda ocasional de mestres visitantes.</w:t>
      </w:r>
    </w:p>
    <w:p>
      <w:r/>
      <w:r>
        <w:t>As boas-novas sobre Jesus claramente se espalharam para os gentios, já que havia crentes não judeus na igreja romana. Podemos ver isso pelo que Paulo diz ao longo de sua carta. De fato, Paulo escreve para eles como se a maioria dos membros da igreja fosse gentia (</w:t>
      </w:r>
      <w:hyperlink r:id="rId4398">
        <w:r>
          <w:rPr>
            <w:color w:val="0000EE"/>
            <w:u w:val="single"/>
          </w:rPr>
          <w:t>Rm 1.13,15</w:t>
        </w:r>
      </w:hyperlink>
      <w:r>
        <w:t xml:space="preserve">; </w:t>
      </w:r>
      <w:hyperlink r:id="rId4399">
        <w:r>
          <w:rPr>
            <w:color w:val="0000EE"/>
            <w:u w:val="single"/>
          </w:rPr>
          <w:t>15.15–16</w:t>
        </w:r>
      </w:hyperlink>
      <w:r>
        <w:t xml:space="preserve">). Muitos desses membros não judeus eram provavelmente pessoas "tementes a Deus" não judias que seguiam práticas religiosas judaicas, mas não haviam se convertido totalmente ao Judaísmo (como Cornélio em </w:t>
      </w:r>
      <w:hyperlink r:id="rId4400">
        <w:r>
          <w:rPr>
            <w:color w:val="0000EE"/>
            <w:u w:val="single"/>
          </w:rPr>
          <w:t>At 10.2</w:t>
        </w:r>
      </w:hyperlink>
      <w:r>
        <w:t>).</w:t>
      </w:r>
    </w:p>
    <w:p>
      <w:pPr>
        <w:pStyle w:val="Heading3"/>
      </w:pPr>
      <w:r>
        <w:t>Por que a Carta foi escrita?</w:t>
      </w:r>
    </w:p>
    <w:p>
      <w:r/>
      <w:r>
        <w:t>Esta é a carta mais detalhada e apaixonada de Paulo. Ela se apresenta tanto como um documento de ensino cuidadoso quanto como uma carta pessoal e sincera. A mensagem principal ao longo é que tanto judeus quanto gentios falharam em viver de acordo com os padrões de Deus e precisam ser salvos (</w:t>
      </w:r>
      <w:hyperlink r:id="rId4401">
        <w:r>
          <w:rPr>
            <w:color w:val="0000EE"/>
            <w:u w:val="single"/>
          </w:rPr>
          <w:t>Rm 3.21–31</w:t>
        </w:r>
      </w:hyperlink>
      <w:r>
        <w:t>). Deus mostrou seu modo de tornar as pessoas justas com ele para todos — não apenas para o povo judeu. Isso porque Deus é o Deus de todas as pessoas, já que há apenas um Deus (</w:t>
      </w:r>
      <w:hyperlink r:id="rId4402">
        <w:r>
          <w:rPr>
            <w:color w:val="0000EE"/>
            <w:u w:val="single"/>
          </w:rPr>
          <w:t>3.29</w:t>
        </w:r>
      </w:hyperlink>
      <w:r>
        <w:t xml:space="preserve">). Ele torna o povo judeu justo consigo mesmo através da morte de Jesus na cruz. Ele faz o mesmo para os não judeus, mantendo sua promessa a Abraão (v. </w:t>
      </w:r>
      <w:hyperlink r:id="rId4403">
        <w:r>
          <w:rPr>
            <w:color w:val="0000EE"/>
            <w:u w:val="single"/>
          </w:rPr>
          <w:t>30</w:t>
        </w:r>
      </w:hyperlink>
      <w:r>
        <w:t>). Ambos os grupos podem receber a bênção de Deus através de sua fé (</w:t>
      </w:r>
      <w:hyperlink r:id="rId4404">
        <w:r>
          <w:rPr>
            <w:color w:val="0000EE"/>
            <w:u w:val="single"/>
          </w:rPr>
          <w:t>5.2</w:t>
        </w:r>
      </w:hyperlink>
      <w:r>
        <w:t xml:space="preserve">). Estas boas-novas são para o povo judeu primeiro, e também para os gregos (que Paulo usa para significar todas as pessoas não judias; </w:t>
      </w:r>
      <w:hyperlink r:id="rId735">
        <w:r>
          <w:rPr>
            <w:color w:val="0000EE"/>
            <w:u w:val="single"/>
          </w:rPr>
          <w:t>1.16</w:t>
        </w:r>
      </w:hyperlink>
      <w:r>
        <w:t>).</w:t>
      </w:r>
    </w:p>
    <w:p>
      <w:pPr>
        <w:pStyle w:val="Heading3"/>
      </w:pPr>
      <w:r>
        <w:t>O que a Carta ensina sobre Deus?</w:t>
      </w:r>
    </w:p>
    <w:p>
      <w:r/>
      <w:r>
        <w:t>Uma vez que uma pessoa acredita em Jesus, ela é justificada diante de Deus (</w:t>
      </w:r>
      <w:hyperlink r:id="rId4405">
        <w:r>
          <w:rPr>
            <w:color w:val="0000EE"/>
            <w:u w:val="single"/>
          </w:rPr>
          <w:t>Rm 1–3</w:t>
        </w:r>
      </w:hyperlink>
      <w:r>
        <w:t xml:space="preserve">). Isso significa que Deus a aceita como estando em conformidade com ele. Este novo relacionamento com Deus dá aos crentes uma nova vida através de Jesus e os torna parte do povo de Deus (caps. </w:t>
      </w:r>
      <w:hyperlink r:id="rId4406">
        <w:r>
          <w:rPr>
            <w:color w:val="0000EE"/>
            <w:u w:val="single"/>
          </w:rPr>
          <w:t>4–8</w:t>
        </w:r>
      </w:hyperlink>
      <w:r>
        <w:t>). Esses capítulos são a parte mais complexa da carta. Eles explicam verdades profundas sobre a bondade infinita de Deus, seu amor supremo e seus planos misteriosos para as pessoas.</w:t>
      </w:r>
    </w:p>
    <w:p>
      <w:r/>
      <w:r>
        <w:t>Depois disso, Paulo fala sobre como as pessoas não judias estão se tornando parte da família de Deus. Ele explica que, embora muitos judeus não tenham acreditado em Jesus, alguns permaneceram fiéis. Ele diz que um dia, todo o verdadeiro povo de Deus (tanto judeus quanto gentios) será unido como uma só igreja na terra (</w:t>
      </w:r>
      <w:hyperlink r:id="rId4407">
        <w:r>
          <w:rPr>
            <w:color w:val="0000EE"/>
            <w:u w:val="single"/>
          </w:rPr>
          <w:t>Rm 9–11</w:t>
        </w:r>
      </w:hyperlink>
      <w:r>
        <w:t>).</w:t>
      </w:r>
    </w:p>
    <w:p>
      <w:r/>
      <w:r>
        <w:t xml:space="preserve">Nas próximas seções, Paulo explica como esses ensinamentos devem mudar a maneira como os cristãos vivem e trabalham juntos (caps. </w:t>
      </w:r>
      <w:hyperlink r:id="rId4408">
        <w:r>
          <w:rPr>
            <w:color w:val="0000EE"/>
            <w:u w:val="single"/>
          </w:rPr>
          <w:t>12–15</w:t>
        </w:r>
      </w:hyperlink>
      <w:r>
        <w:t xml:space="preserve">). A carta termina com as saudações pessoais de Paulo a vários cristãos em Roma (cap. </w:t>
      </w:r>
      <w:hyperlink r:id="rId4409">
        <w:r>
          <w:rPr>
            <w:color w:val="0000EE"/>
            <w:u w:val="single"/>
          </w:rPr>
          <w:t>16</w:t>
        </w:r>
      </w:hyperlink>
      <w:r>
        <w:t>).</w:t>
      </w:r>
    </w:p>
    <w:p>
      <w:pPr>
        <w:pStyle w:val="Heading3"/>
      </w:pPr>
      <w:r>
        <w:t>Qual é a mensagem da Carta?</w:t>
      </w:r>
    </w:p>
    <w:p>
      <w:pPr>
        <w:pStyle w:val="Heading4"/>
      </w:pPr>
      <w:r>
        <w:t>Visão geral</w:t>
      </w:r>
    </w:p>
    <w:p>
      <w:r/>
      <w:hyperlink r:id="rId3247">
        <w:r>
          <w:rPr>
            <w:color w:val="0000EE"/>
            <w:u w:val="single"/>
          </w:rPr>
          <w:t xml:space="preserve">Romanos 1.17 </w:t>
        </w:r>
      </w:hyperlink>
      <w:r>
        <w:t xml:space="preserve">declara a mensagem principal dos primeiros oito capítulos: “O justo viverá pela fé”. Paulo cita essas palavras de </w:t>
      </w:r>
      <w:hyperlink r:id="rId3605">
        <w:r>
          <w:rPr>
            <w:color w:val="0000EE"/>
            <w:u w:val="single"/>
          </w:rPr>
          <w:t>Habacuque 2.4</w:t>
        </w:r>
      </w:hyperlink>
      <w:r>
        <w:t xml:space="preserve"> para mostrar que ser justificado por Deus pela fé sempre fez parte do plano de Deus. Isso foi ensinado pelos profetas do Antigo Testamento. O que era novo no ensino de Paulo era que os gentios poderiam se tornar parte da família de Deus junto com o povo judeu ao crerem em Jesus (</w:t>
      </w:r>
      <w:hyperlink r:id="rId4410">
        <w:r>
          <w:rPr>
            <w:color w:val="0000EE"/>
            <w:u w:val="single"/>
          </w:rPr>
          <w:t>Ef 3.5–6</w:t>
        </w:r>
      </w:hyperlink>
      <w:r>
        <w:t>). Alguns cristãos judeus diziam que os gentios tinham que se converter ao Judaísmo primeiro para serem aceitos por Deus (</w:t>
      </w:r>
      <w:hyperlink r:id="rId4411">
        <w:r>
          <w:rPr>
            <w:color w:val="0000EE"/>
            <w:u w:val="single"/>
          </w:rPr>
          <w:t>At 15.1</w:t>
        </w:r>
      </w:hyperlink>
      <w:r>
        <w:t>). Mas Paulo explicou em Efésios que o plano de Deus era aceitar ambos os grupos através de sua fé em Jesus (</w:t>
      </w:r>
      <w:hyperlink r:id="rId4412">
        <w:r>
          <w:rPr>
            <w:color w:val="0000EE"/>
            <w:u w:val="single"/>
          </w:rPr>
          <w:t>Ef 3.6</w:t>
        </w:r>
      </w:hyperlink>
      <w:r>
        <w:t>).</w:t>
      </w:r>
    </w:p>
    <w:p>
      <w:r/>
      <w:r>
        <w:t>A primeira parte da carta explica como as pessoas são justificadas diante de Deus pela fé. Os primeiros três capítulos mostram que tanto judeus quanto gentios pecaram, e que a obra de Jesus para salvar as pessoas se aplica a ambos os grupos (</w:t>
      </w:r>
      <w:hyperlink r:id="rId4413">
        <w:r>
          <w:rPr>
            <w:color w:val="0000EE"/>
            <w:u w:val="single"/>
          </w:rPr>
          <w:t>Rm 3.21–22</w:t>
        </w:r>
      </w:hyperlink>
      <w:r>
        <w:t xml:space="preserve">). O capítulo </w:t>
      </w:r>
      <w:hyperlink r:id="rId4414">
        <w:r>
          <w:rPr>
            <w:color w:val="0000EE"/>
            <w:u w:val="single"/>
          </w:rPr>
          <w:t>4</w:t>
        </w:r>
      </w:hyperlink>
      <w:r>
        <w:t xml:space="preserve"> mostra que Abraão é o pai espiritual de todos os que creem em Deus — tanto judeus quanto não judeus.</w:t>
      </w:r>
    </w:p>
    <w:p>
      <w:r/>
      <w:r>
        <w:t xml:space="preserve">Então, nos capítulos </w:t>
      </w:r>
      <w:hyperlink r:id="rId4415">
        <w:r>
          <w:rPr>
            <w:color w:val="0000EE"/>
            <w:u w:val="single"/>
          </w:rPr>
          <w:t>5–8</w:t>
        </w:r>
      </w:hyperlink>
      <w:r>
        <w:t>, Paulo explica como as pessoas que foram justificadas por Deus devem viver pela fé. Qualquer pessoa (seja judeu ou gentio) que aceita o que Deus fez através da morte de Jesus na cruz estará livre de:</w:t>
      </w:r>
    </w:p>
    <w:p>
      <w:pPr>
        <w:pStyle w:val="ListBullet"/>
        <w:spacing w:line="240" w:lineRule="auto"/>
        <w:ind w:left="720"/>
      </w:pPr>
      <w:r/>
      <w:r>
        <w:t xml:space="preserve">A ira de Deus (cap. </w:t>
      </w:r>
      <w:hyperlink r:id="rId4416">
        <w:r>
          <w:rPr>
            <w:color w:val="0000EE"/>
            <w:u w:val="single"/>
          </w:rPr>
          <w:t>5</w:t>
        </w:r>
      </w:hyperlink>
      <w:r>
        <w:t>);</w:t>
      </w:r>
    </w:p>
    <w:p>
      <w:pPr>
        <w:pStyle w:val="ListBullet"/>
        <w:spacing w:line="240" w:lineRule="auto"/>
        <w:ind w:left="720"/>
      </w:pPr>
      <w:r/>
      <w:r>
        <w:t xml:space="preserve">O poder do pecado (cap. </w:t>
      </w:r>
      <w:hyperlink r:id="rId4417">
        <w:r>
          <w:rPr>
            <w:color w:val="0000EE"/>
            <w:u w:val="single"/>
          </w:rPr>
          <w:t>6</w:t>
        </w:r>
      </w:hyperlink>
      <w:r>
        <w:t>);</w:t>
      </w:r>
    </w:p>
    <w:p>
      <w:pPr>
        <w:pStyle w:val="ListBullet"/>
        <w:spacing w:line="240" w:lineRule="auto"/>
        <w:ind w:left="720"/>
      </w:pPr>
      <w:r/>
      <w:r>
        <w:t xml:space="preserve">A força obrigatória da lei (cap. </w:t>
      </w:r>
      <w:hyperlink r:id="rId4418">
        <w:r>
          <w:rPr>
            <w:color w:val="0000EE"/>
            <w:u w:val="single"/>
          </w:rPr>
          <w:t>7</w:t>
        </w:r>
      </w:hyperlink>
      <w:r>
        <w:t>);</w:t>
      </w:r>
    </w:p>
    <w:p>
      <w:pPr>
        <w:pStyle w:val="ListBullet"/>
        <w:spacing w:line="240" w:lineRule="auto"/>
        <w:ind w:left="720"/>
      </w:pPr>
      <w:r/>
      <w:r>
        <w:t xml:space="preserve">O poder da morte (cap. </w:t>
      </w:r>
      <w:hyperlink r:id="rId4300">
        <w:r>
          <w:rPr>
            <w:color w:val="0000EE"/>
            <w:u w:val="single"/>
          </w:rPr>
          <w:t>8</w:t>
        </w:r>
      </w:hyperlink>
      <w:r>
        <w:t>).</w:t>
      </w:r>
    </w:p>
    <w:p>
      <w:r/>
      <w:r>
        <w:t xml:space="preserve">Em </w:t>
      </w:r>
      <w:hyperlink r:id="rId4407">
        <w:r>
          <w:rPr>
            <w:color w:val="0000EE"/>
            <w:u w:val="single"/>
          </w:rPr>
          <w:t>Romanos 9–11</w:t>
        </w:r>
      </w:hyperlink>
      <w:r>
        <w:t>, Paulo trata da nação de Israel "segundo a carne" (judeus físicos) em relação ao propósito futuro de Deus. Ele conclui que Deus não rejeitou seu povo que veio da linhagem da família de Abraão (</w:t>
      </w:r>
      <w:hyperlink r:id="rId4419">
        <w:r>
          <w:rPr>
            <w:color w:val="0000EE"/>
            <w:u w:val="single"/>
          </w:rPr>
          <w:t>11.1–2</w:t>
        </w:r>
      </w:hyperlink>
      <w:r>
        <w:t xml:space="preserve">). Usando a imagem de uma árvore, Paulo explica que Deus pode trazê-los de volta à sua família se aceitarem Jesus como seu salvador prometido (v. </w:t>
      </w:r>
      <w:hyperlink r:id="rId4420">
        <w:r>
          <w:rPr>
            <w:color w:val="0000EE"/>
            <w:u w:val="single"/>
          </w:rPr>
          <w:t>23</w:t>
        </w:r>
      </w:hyperlink>
      <w:r>
        <w:t>).</w:t>
      </w:r>
    </w:p>
    <w:p>
      <w:r/>
      <w:r>
        <w:t>Nos capítulos finais (</w:t>
      </w:r>
      <w:hyperlink r:id="rId4421">
        <w:r>
          <w:rPr>
            <w:color w:val="0000EE"/>
            <w:u w:val="single"/>
          </w:rPr>
          <w:t>12–16</w:t>
        </w:r>
      </w:hyperlink>
      <w:r>
        <w:t xml:space="preserve">), Paulo explica como os ensinamentos dos primeiros 11 capítulos devem afetar a forma como os cristãos vivem diariamente. Ele conclui lembrando aos leitores a importância de os gentios terem chegado a Deus através de seu ministério (cap. </w:t>
      </w:r>
      <w:hyperlink r:id="rId4422">
        <w:r>
          <w:rPr>
            <w:color w:val="0000EE"/>
            <w:u w:val="single"/>
          </w:rPr>
          <w:t>15</w:t>
        </w:r>
      </w:hyperlink>
      <w:r>
        <w:t>).</w:t>
      </w:r>
    </w:p>
    <w:p>
      <w:pPr>
        <w:pStyle w:val="Heading4"/>
      </w:pPr>
      <w:r>
        <w:t>Detalhadamente</w:t>
      </w:r>
    </w:p>
    <w:p>
      <w:r/>
      <w:r>
        <w:t>No primeiro capítulo, Paulo argumenta que os gentios pagãos estavam se rebelando contra Deus. Deus havia revelado sua ira contra seus caminhos malignos (</w:t>
      </w:r>
      <w:hyperlink r:id="rId4423">
        <w:r>
          <w:rPr>
            <w:color w:val="0000EE"/>
            <w:u w:val="single"/>
          </w:rPr>
          <w:t>Rm 1.18</w:t>
        </w:r>
      </w:hyperlink>
      <w:r>
        <w:t xml:space="preserve">). Deus lhes havia dado evidências suficientes de sua existência através do mundo natural. Mas eles ainda escolheram adorar muitos deuses e ídolos, o que levou a um comportamento imoral (vv. </w:t>
      </w:r>
      <w:hyperlink r:id="rId4424">
        <w:r>
          <w:rPr>
            <w:color w:val="0000EE"/>
            <w:u w:val="single"/>
          </w:rPr>
          <w:t>20–23</w:t>
        </w:r>
      </w:hyperlink>
      <w:r>
        <w:t xml:space="preserve">). Três vezes, Paulo diz que “Deus os entregou aos desejos de seus corações” (v. </w:t>
      </w:r>
      <w:hyperlink r:id="rId4425">
        <w:r>
          <w:rPr>
            <w:color w:val="0000EE"/>
            <w:u w:val="single"/>
          </w:rPr>
          <w:t>24</w:t>
        </w:r>
      </w:hyperlink>
      <w:r>
        <w:t>). Isso incluía:</w:t>
      </w:r>
    </w:p>
    <w:p>
      <w:pPr>
        <w:pStyle w:val="ListBullet"/>
        <w:spacing w:line="240" w:lineRule="auto"/>
        <w:ind w:left="720"/>
      </w:pPr>
      <w:r/>
      <w:r>
        <w:t xml:space="preserve">“paixões vergonhosas” (v. </w:t>
      </w:r>
      <w:hyperlink r:id="rId4426">
        <w:r>
          <w:rPr>
            <w:color w:val="0000EE"/>
            <w:u w:val="single"/>
          </w:rPr>
          <w:t>26</w:t>
        </w:r>
      </w:hyperlink>
      <w:r>
        <w:t>);</w:t>
      </w:r>
    </w:p>
    <w:p>
      <w:pPr>
        <w:pStyle w:val="ListBullet"/>
        <w:spacing w:line="240" w:lineRule="auto"/>
        <w:ind w:left="720"/>
      </w:pPr>
      <w:r/>
      <w:r>
        <w:t xml:space="preserve">“uma mente depravada” (v. </w:t>
      </w:r>
      <w:hyperlink r:id="rId4427">
        <w:r>
          <w:rPr>
            <w:color w:val="0000EE"/>
            <w:u w:val="single"/>
          </w:rPr>
          <w:t>28</w:t>
        </w:r>
      </w:hyperlink>
      <w:r>
        <w:t>), e</w:t>
      </w:r>
    </w:p>
    <w:p>
      <w:pPr>
        <w:pStyle w:val="ListBullet"/>
        <w:spacing w:line="240" w:lineRule="auto"/>
        <w:ind w:left="720"/>
      </w:pPr>
      <w:r/>
      <w:r>
        <w:t xml:space="preserve">fazendo “o que não deveria ser feito” (v. </w:t>
      </w:r>
      <w:hyperlink r:id="rId4427">
        <w:r>
          <w:rPr>
            <w:color w:val="0000EE"/>
            <w:u w:val="single"/>
          </w:rPr>
          <w:t>28</w:t>
        </w:r>
      </w:hyperlink>
      <w:r>
        <w:t>).</w:t>
      </w:r>
    </w:p>
    <w:p>
      <w:r/>
      <w:r>
        <w:t>Isso significa que Deus permitiu que seus pecados continuassem como um ato de julgamento divino (</w:t>
      </w:r>
      <w:hyperlink r:id="rId2767">
        <w:r>
          <w:rPr>
            <w:color w:val="0000EE"/>
            <w:u w:val="single"/>
          </w:rPr>
          <w:t>3.25</w:t>
        </w:r>
      </w:hyperlink>
      <w:r>
        <w:t>). Ele não puniu a falta de entendimento deles sobre ele (</w:t>
      </w:r>
      <w:hyperlink r:id="rId4428">
        <w:r>
          <w:rPr>
            <w:color w:val="0000EE"/>
            <w:u w:val="single"/>
          </w:rPr>
          <w:t>At 17.30</w:t>
        </w:r>
      </w:hyperlink>
      <w:r>
        <w:t>). Ele não os impediu de adorar falsos deuses (</w:t>
      </w:r>
      <w:hyperlink r:id="rId4429">
        <w:r>
          <w:rPr>
            <w:color w:val="0000EE"/>
            <w:u w:val="single"/>
          </w:rPr>
          <w:t>7.42</w:t>
        </w:r>
      </w:hyperlink>
      <w:r>
        <w:t>).</w:t>
      </w:r>
    </w:p>
    <w:p>
      <w:r/>
      <w:r>
        <w:t>O povo judeu não era muito melhor. Eles haviam recebido a lei de Deus através de Moisés, que mostrava a vontade de Deus para sua nação, mas não a obedeceram (</w:t>
      </w:r>
      <w:hyperlink r:id="rId4430">
        <w:r>
          <w:rPr>
            <w:color w:val="0000EE"/>
            <w:u w:val="single"/>
          </w:rPr>
          <w:t>Rm 2.17–29</w:t>
        </w:r>
      </w:hyperlink>
      <w:r>
        <w:t xml:space="preserve">). Mesmo os gentios, que não têm a lei, às vezes fazem por natureza o que a lei exige. Eles mostram que a lei está “escrita em seus corações, suas consciências também testemunhando, e seus pensamentos os acusando ou defendendo” (vv. </w:t>
      </w:r>
      <w:hyperlink r:id="rId4431">
        <w:r>
          <w:rPr>
            <w:color w:val="0000EE"/>
            <w:u w:val="single"/>
          </w:rPr>
          <w:t>14–15</w:t>
        </w:r>
      </w:hyperlink>
      <w:r>
        <w:t xml:space="preserve">). Para um judeu, obedecer à lei não era suficiente. Eles tinham que obedecer porque realmente desejavam, não apenas porque era exigido (v. </w:t>
      </w:r>
      <w:hyperlink r:id="rId4432">
        <w:r>
          <w:rPr>
            <w:color w:val="0000EE"/>
            <w:u w:val="single"/>
          </w:rPr>
          <w:t>29</w:t>
        </w:r>
      </w:hyperlink>
      <w:r>
        <w:t>).</w:t>
      </w:r>
    </w:p>
    <w:p>
      <w:r/>
      <w:r>
        <w:t>Alguns gentios respeitavam Deus e seguiam os principais ensinamentos de suas leis. Eles se tornaram exemplos que mostraram como era errado quando os judeus não obedeciam (</w:t>
      </w:r>
      <w:hyperlink r:id="rId4433">
        <w:r>
          <w:rPr>
            <w:color w:val="0000EE"/>
            <w:u w:val="single"/>
          </w:rPr>
          <w:t>Rm 2.14,27</w:t>
        </w:r>
      </w:hyperlink>
      <w:r>
        <w:t>). Mesmo que o povo escolhido de Deus não tenha sido fiel, isso não impediu Deus de cumprir sua promessa a Abraão (</w:t>
      </w:r>
      <w:hyperlink r:id="rId4434">
        <w:r>
          <w:rPr>
            <w:color w:val="0000EE"/>
            <w:u w:val="single"/>
          </w:rPr>
          <w:t>3.3</w:t>
        </w:r>
      </w:hyperlink>
      <w:r>
        <w:t xml:space="preserve">). Os judeus tinham muitas vantagens sobre os não judeus, mas isso não os ajudou porque ambos os grupos se renderam ao pecado (v. </w:t>
      </w:r>
      <w:hyperlink r:id="rId4435">
        <w:r>
          <w:rPr>
            <w:color w:val="0000EE"/>
            <w:u w:val="single"/>
          </w:rPr>
          <w:t>1,9</w:t>
        </w:r>
      </w:hyperlink>
      <w:r>
        <w:t xml:space="preserve">). A situação agora era que “todos pecaram e estão destituídos da glória de Deus” (v. </w:t>
      </w:r>
      <w:hyperlink r:id="rId4436">
        <w:r>
          <w:rPr>
            <w:color w:val="0000EE"/>
            <w:u w:val="single"/>
          </w:rPr>
          <w:t>23</w:t>
        </w:r>
      </w:hyperlink>
      <w:r>
        <w:t>).</w:t>
      </w:r>
    </w:p>
    <w:p>
      <w:r/>
      <w:r>
        <w:t>Então, Deus enviou Jesus para redimir o mundo de seus pecados (</w:t>
      </w:r>
      <w:hyperlink r:id="rId4401">
        <w:r>
          <w:rPr>
            <w:color w:val="0000EE"/>
            <w:u w:val="single"/>
          </w:rPr>
          <w:t>Rm 3.21–31</w:t>
        </w:r>
      </w:hyperlink>
      <w:r>
        <w:t xml:space="preserve">). Deus revelou sua justiça independentemente da lei através da "fé em Jesus Cristo" (v. </w:t>
      </w:r>
      <w:hyperlink r:id="rId4437">
        <w:r>
          <w:rPr>
            <w:color w:val="0000EE"/>
            <w:u w:val="single"/>
          </w:rPr>
          <w:t>22</w:t>
        </w:r>
      </w:hyperlink>
      <w:r>
        <w:t>). Estudiosos e tradutores da Bíblia têm duas maneiras diferentes de entender essa frase:</w:t>
      </w:r>
    </w:p>
    <w:p>
      <w:pPr>
        <w:pStyle w:val="ListNumber"/>
        <w:spacing w:line="240" w:lineRule="auto"/>
        <w:ind w:left="720"/>
      </w:pPr>
      <w:r/>
      <w:r>
        <w:t>"Fé em Jesus Cristo" (também chamada de visão do genitivo objetivo): esta visão interpreta a frase para significar nossa fé, com Cristo sendo o objeto dessa fé. Isso significa que somos salvos por acreditar em Jesus e no que ele fez por nós. A maioria das traduções da Bíblia em português adota esse entendimento.</w:t>
      </w:r>
    </w:p>
    <w:p>
      <w:pPr>
        <w:pStyle w:val="ListNumber"/>
        <w:spacing w:line="240" w:lineRule="auto"/>
        <w:ind w:left="720"/>
      </w:pPr>
      <w:r/>
      <w:r>
        <w:t>"Fé de Jesus Cristo" (também chamada de visão do genitivo subjetivo): esta visão entende a frase como uma referência à própria fidelidade de Jesus a Deus. Significa que Jesus foi fiel em seguir o plano de Deus e cumprir sua missão, mesmo até a morte na cruz. Sob esta perspectiva, somos salvos através da obediência fiel de Cristo a Deus.</w:t>
      </w:r>
    </w:p>
    <w:p>
      <w:r/>
      <w:r>
        <w:t>Muitos estudiosos hoje acreditam que ambos os significados podem ser pretendidos, mostrando como a fidelidade de Jesus e nossa fé trabalham juntas no plano de salvação de Deus. Ambas as visões concordam que "fé de Cristo" ou "fé em Cristo" estão disponíveis para todos, tanto judeus quanto não judeus, com base em sua confiança em Deus.</w:t>
      </w:r>
    </w:p>
    <w:p>
      <w:r/>
      <w:r>
        <w:t>A lei é "santa, justa e boa" (</w:t>
      </w:r>
      <w:hyperlink r:id="rId4438">
        <w:r>
          <w:rPr>
            <w:color w:val="0000EE"/>
            <w:u w:val="single"/>
          </w:rPr>
          <w:t>7.12</w:t>
        </w:r>
      </w:hyperlink>
      <w:r>
        <w:t>). No entanto, essa justiça não estava disponível apenas através da obediência aos mandamentos da lei. Isso faria de Deus apenas o Deus dos judeus, já que Deus deu a lei especificamente ao povo judeu (</w:t>
      </w:r>
      <w:hyperlink r:id="rId4402">
        <w:r>
          <w:rPr>
            <w:color w:val="0000EE"/>
            <w:u w:val="single"/>
          </w:rPr>
          <w:t>3.29</w:t>
        </w:r>
      </w:hyperlink>
      <w:r>
        <w:t>).</w:t>
      </w:r>
    </w:p>
    <w:p>
      <w:r/>
      <w:r>
        <w:t xml:space="preserve">Mas Deus também é o Deus dos gentios. Ele torna todos justos consigo mesmo através de Jesus Cristo. De acordo com o texto grego de </w:t>
      </w:r>
      <w:hyperlink r:id="rId4437">
        <w:r>
          <w:rPr>
            <w:color w:val="0000EE"/>
            <w:u w:val="single"/>
          </w:rPr>
          <w:t>Romanos 3.22</w:t>
        </w:r>
      </w:hyperlink>
      <w:r>
        <w:t xml:space="preserve">, essa justiça vem para "todos que são fiéis" ou "continuam na fé". Assim, a justiça de Deus vem através da fé em (ou da fidelidade de) Jesus Cristo (vv. </w:t>
      </w:r>
      <w:hyperlink r:id="rId4439">
        <w:r>
          <w:rPr>
            <w:color w:val="0000EE"/>
            <w:u w:val="single"/>
          </w:rPr>
          <w:t>3,22</w:t>
        </w:r>
      </w:hyperlink>
      <w:r>
        <w:t>). Ela fornece a base da salvação para todos que creem (</w:t>
      </w:r>
      <w:hyperlink r:id="rId4440">
        <w:r>
          <w:rPr>
            <w:color w:val="0000EE"/>
            <w:u w:val="single"/>
          </w:rPr>
          <w:t>5.9</w:t>
        </w:r>
      </w:hyperlink>
      <w:r>
        <w:t>).</w:t>
      </w:r>
    </w:p>
    <w:p>
      <w:r/>
      <w:r>
        <w:t xml:space="preserve">Várias vezes no </w:t>
      </w:r>
      <w:hyperlink r:id="rId4414">
        <w:r>
          <w:rPr>
            <w:color w:val="0000EE"/>
            <w:u w:val="single"/>
          </w:rPr>
          <w:t>capítulo 4</w:t>
        </w:r>
      </w:hyperlink>
      <w:r>
        <w:t>, Paulo enfatiza que Abraão foi o pai dos judeus e dos gentios (</w:t>
      </w:r>
      <w:hyperlink r:id="rId4441">
        <w:r>
          <w:rPr>
            <w:color w:val="0000EE"/>
            <w:u w:val="single"/>
          </w:rPr>
          <w:t>Rm 4.11–12</w:t>
        </w:r>
      </w:hyperlink>
      <w:r>
        <w:t>,</w:t>
      </w:r>
      <w:hyperlink r:id="rId4442">
        <w:r>
          <w:rPr>
            <w:color w:val="0000EE"/>
            <w:u w:val="single"/>
          </w:rPr>
          <w:t>16–18</w:t>
        </w:r>
      </w:hyperlink>
      <w:r>
        <w:t xml:space="preserve">). Deus prometeu a Abraão que, através de seus descendentes, todas as nações (gentios) seriam abençoadas. Abraão foi justificado pela fé, e essa promessa se estende a todos que compartilham a mesma fé (tanto judeus quanto gentios). A fidelidade de Jesus Cristo tornou isso possível, e é para todos que acreditam e permanecem fiéis (v. </w:t>
      </w:r>
      <w:hyperlink r:id="rId4443">
        <w:r>
          <w:rPr>
            <w:color w:val="0000EE"/>
            <w:u w:val="single"/>
          </w:rPr>
          <w:t>11</w:t>
        </w:r>
      </w:hyperlink>
      <w:r>
        <w:t>).</w:t>
      </w:r>
    </w:p>
    <w:p>
      <w:r/>
      <w:r>
        <w:t>Paulo explicou uma verdade importante sobre o plano de Deus. Ele ensinou que, quando as pessoas confiam em Jesus Cristo, elas são reconciliadas com Deus. Isso é chamado de justificação. Os cristãos compreendem a justificação de três maneiras principais:</w:t>
      </w:r>
    </w:p>
    <w:p>
      <w:pPr>
        <w:pStyle w:val="ListBullet"/>
        <w:spacing w:line="240" w:lineRule="auto"/>
        <w:ind w:left="720"/>
      </w:pPr>
      <w:r/>
      <w:r>
        <w:t>Alguns entendem a justificação como Deus declarando os crentes justos por meio da fé em Cristo. De acordo com essa visão, a justificação é uma declaração legal. A justiça de Cristo é imputada (creditada) aos crentes;</w:t>
      </w:r>
    </w:p>
    <w:p>
      <w:pPr>
        <w:pStyle w:val="ListBullet"/>
        <w:spacing w:line="240" w:lineRule="auto"/>
        <w:ind w:left="720"/>
      </w:pPr>
      <w:r/>
      <w:r>
        <w:t>Alguns entendem a justificação como Deus tornando as pessoas verdadeiramente justas por meio de sua graça, o que transforma suas vidas. De acordo com essa visão, a justificação inclui tanto a declaração de Deus quanto uma transformação interior através da graça e das boas obras. A justiça é infundida (derramada) nos crentes, especialmente através do batismo e dos outros sacramentos (meios de graça), que possibilitam esse processo transformador;</w:t>
      </w:r>
    </w:p>
    <w:p>
      <w:pPr>
        <w:pStyle w:val="ListBullet"/>
        <w:spacing w:line="240" w:lineRule="auto"/>
        <w:ind w:left="720"/>
      </w:pPr>
      <w:r/>
      <w:r>
        <w:t>Alguns entendem a justificação como parte do processo maior de salvação, onde os crentes são unidos a Deus de uma maneira profunda e transformadora. Nesta visão, a justificação não é apenas uma declaração legal ou uma transformação interna, mas uma participação completa na vida divina de Deus (chamada de theosis). Os crentes são gradualmente transformados à semelhança de Deus, experimentando uma união profunda e contínua com ele.</w:t>
      </w:r>
    </w:p>
    <w:p>
      <w:r/>
      <w:r>
        <w:t>Todos concordam que, através de Jesus, os crentes são salvos do julgamento de Deus contra o pecado e encontram paz com Deus (</w:t>
      </w:r>
      <w:hyperlink r:id="rId4444">
        <w:r>
          <w:rPr>
            <w:color w:val="0000EE"/>
            <w:u w:val="single"/>
          </w:rPr>
          <w:t>Rm 5.1,9</w:t>
        </w:r>
      </w:hyperlink>
      <w:r>
        <w:t>).</w:t>
      </w:r>
    </w:p>
    <w:p>
      <w:r/>
      <w:r>
        <w:t xml:space="preserve">O pecado entrou no mundo através do primeiro pecado e a morte veio a todas as pessoas (v. </w:t>
      </w:r>
      <w:hyperlink r:id="rId4445">
        <w:r>
          <w:rPr>
            <w:color w:val="0000EE"/>
            <w:u w:val="single"/>
          </w:rPr>
          <w:t>12</w:t>
        </w:r>
      </w:hyperlink>
      <w:r>
        <w:t xml:space="preserve">). No entanto, a justificação veio através do segundo Adão, Jesus. Ele oferece salvação àqueles que são fiéis e recebem a abundância de sua graça (vv. </w:t>
      </w:r>
      <w:hyperlink r:id="rId4446">
        <w:r>
          <w:rPr>
            <w:color w:val="0000EE"/>
            <w:u w:val="single"/>
          </w:rPr>
          <w:t>16–18</w:t>
        </w:r>
      </w:hyperlink>
      <w:r>
        <w:t>).</w:t>
      </w:r>
    </w:p>
    <w:p>
      <w:r/>
      <w:r>
        <w:t>A lei não foi feita para salvar o judeu. “Ela foi acrescentada por causa das transgressões” (</w:t>
      </w:r>
      <w:hyperlink r:id="rId1923">
        <w:r>
          <w:rPr>
            <w:color w:val="0000EE"/>
            <w:u w:val="single"/>
          </w:rPr>
          <w:t>Gl 3.19</w:t>
        </w:r>
      </w:hyperlink>
      <w:r>
        <w:t>). Serviu para tornar todos os tipos de pessoas mais conscientes do pecado. “A lei veio para que a transgressão aumentasse” (</w:t>
      </w:r>
      <w:hyperlink r:id="rId4447">
        <w:r>
          <w:rPr>
            <w:color w:val="0000EE"/>
            <w:u w:val="single"/>
          </w:rPr>
          <w:t>Rm 5.20</w:t>
        </w:r>
      </w:hyperlink>
      <w:r>
        <w:t>). O pecado usou a lei para enganar e destruir aqueles que tentaram obedecê-la (</w:t>
      </w:r>
      <w:hyperlink r:id="rId4448">
        <w:r>
          <w:rPr>
            <w:color w:val="0000EE"/>
            <w:u w:val="single"/>
          </w:rPr>
          <w:t>7.11</w:t>
        </w:r>
      </w:hyperlink>
      <w:r>
        <w:t>).</w:t>
      </w:r>
    </w:p>
    <w:p>
      <w:r/>
      <w:r>
        <w:t>Paulo sabia o que era cobiçar (desejar coisas que pertencem a outros) antes de conhecer a lei. Quando completou 12 ou 13 anos, tornou-se responsável por seguir a lei e seus requisitos. O mandamento que dizia "não cobiçarás" mostrou a Paulo o quanto a lei exigia dele, e esse entendimento lhe trouxe grande angústia (</w:t>
      </w:r>
      <w:hyperlink r:id="rId4448">
        <w:r>
          <w:rPr>
            <w:color w:val="0000EE"/>
            <w:u w:val="single"/>
          </w:rPr>
          <w:t>7.11</w:t>
        </w:r>
      </w:hyperlink>
      <w:r>
        <w:t>). Uma vez que as pessoas sabiam o que a lei exigia, eram totalmente responsáveis por obedecê-la. O pecado se tornou ainda mais sério porque agora significava quebrar a lei de Deus que as pessoas conheciam.</w:t>
      </w:r>
    </w:p>
    <w:p>
      <w:r/>
      <w:r>
        <w:t>Essa situação fez com que as pessoas precisassem ainda mais da graça de Deus. Como a Bíblia diz, “onde o pecado aumentou, a graça aumentou ainda mais” (</w:t>
      </w:r>
      <w:hyperlink r:id="rId4447">
        <w:r>
          <w:rPr>
            <w:color w:val="0000EE"/>
            <w:u w:val="single"/>
          </w:rPr>
          <w:t>Rm 5.20</w:t>
        </w:r>
      </w:hyperlink>
      <w:r>
        <w:t>). Alguns argumentaram que deveriam “continuar pecando para que a graça aumentasse”. Mas essa ideia compreende completamente errado o que significa estar livre da ira de Deus, livre da lei, livre do pecado e livre da morte (</w:t>
      </w:r>
      <w:hyperlink r:id="rId4449">
        <w:r>
          <w:rPr>
            <w:color w:val="0000EE"/>
            <w:u w:val="single"/>
          </w:rPr>
          <w:t>6.1</w:t>
        </w:r>
      </w:hyperlink>
      <w:r>
        <w:t>).</w:t>
      </w:r>
    </w:p>
    <w:p>
      <w:r/>
      <w:r>
        <w:t xml:space="preserve">Paulo explica que as pessoas que foram justificadas com Deus e salvas do pecado por Jesus morreram para o poder do pecado. O pecado não pode mais controlá-las como um mestre controla um escravo (vv. </w:t>
      </w:r>
      <w:hyperlink r:id="rId4450">
        <w:r>
          <w:rPr>
            <w:color w:val="0000EE"/>
            <w:u w:val="single"/>
          </w:rPr>
          <w:t>2,6</w:t>
        </w:r>
      </w:hyperlink>
      <w:r>
        <w:t xml:space="preserve">). O ponto principal é que o pecado e Satanás não podem dominar as pessoas que acreditam em Jesus (vv. </w:t>
      </w:r>
      <w:hyperlink r:id="rId4451">
        <w:r>
          <w:rPr>
            <w:color w:val="0000EE"/>
            <w:u w:val="single"/>
          </w:rPr>
          <w:t>9,14</w:t>
        </w:r>
      </w:hyperlink>
      <w:r>
        <w:t xml:space="preserve">). O pecado não pode ser seu mestre (v. </w:t>
      </w:r>
      <w:hyperlink r:id="rId4452">
        <w:r>
          <w:rPr>
            <w:color w:val="0000EE"/>
            <w:u w:val="single"/>
          </w:rPr>
          <w:t>12</w:t>
        </w:r>
      </w:hyperlink>
      <w:r>
        <w:t xml:space="preserve">). O pecado não pode torná-las suas escravas (vv. </w:t>
      </w:r>
      <w:hyperlink r:id="rId4453">
        <w:r>
          <w:rPr>
            <w:color w:val="0000EE"/>
            <w:u w:val="single"/>
          </w:rPr>
          <w:t>17,20</w:t>
        </w:r>
      </w:hyperlink>
      <w:r>
        <w:t>).</w:t>
      </w:r>
    </w:p>
    <w:p>
      <w:r/>
      <w:r>
        <w:t>As pessoas que estão em paz com Deus estão livres de três coisas:</w:t>
      </w:r>
    </w:p>
    <w:p>
      <w:pPr>
        <w:pStyle w:val="ListBullet"/>
        <w:spacing w:line="240" w:lineRule="auto"/>
        <w:ind w:left="720"/>
      </w:pPr>
      <w:r/>
      <w:r>
        <w:t>Elas estão livres do julgamento de Deus sobre o pecado.</w:t>
      </w:r>
    </w:p>
    <w:p>
      <w:pPr>
        <w:pStyle w:val="ListBullet"/>
        <w:spacing w:line="240" w:lineRule="auto"/>
        <w:ind w:left="720"/>
      </w:pPr>
      <w:r/>
      <w:r>
        <w:t>Elas estão isentas das exigências da lei.</w:t>
      </w:r>
    </w:p>
    <w:p>
      <w:pPr>
        <w:pStyle w:val="ListBullet"/>
        <w:spacing w:line="240" w:lineRule="auto"/>
        <w:ind w:left="720"/>
      </w:pPr>
      <w:r/>
      <w:r>
        <w:t>Elas estão livres do domínio do pecado.</w:t>
      </w:r>
    </w:p>
    <w:p>
      <w:r/>
      <w:r>
        <w:t>Através da obediência fiel de Jesus, Deus libertou essas pessoas da morte. Deus promete dar nova vida aos seus corpos físicos através do seu Espírito Santo (</w:t>
      </w:r>
      <w:hyperlink r:id="rId4454">
        <w:r>
          <w:rPr>
            <w:color w:val="0000EE"/>
            <w:u w:val="single"/>
          </w:rPr>
          <w:t>Rm 8.2,11</w:t>
        </w:r>
      </w:hyperlink>
      <w:r>
        <w:t xml:space="preserve">). Se as pessoas viverem de acordo com seus desejos egoístas (“segundo a carne”), elas enfrentarão a morte. Mas se permitirem o Espírito Santo guiar suas vidas, experimentarão verdadeira liberdade e vida (vv. </w:t>
      </w:r>
      <w:hyperlink r:id="rId4455">
        <w:r>
          <w:rPr>
            <w:color w:val="0000EE"/>
            <w:u w:val="single"/>
          </w:rPr>
          <w:t>6–13</w:t>
        </w:r>
      </w:hyperlink>
      <w:r>
        <w:t xml:space="preserve">). Nem mesmo a morte poderá separá-los do amor de Deus em Jesus Cristo (vv. </w:t>
      </w:r>
      <w:hyperlink r:id="rId4456">
        <w:r>
          <w:rPr>
            <w:color w:val="0000EE"/>
            <w:u w:val="single"/>
          </w:rPr>
          <w:t>38–39</w:t>
        </w:r>
      </w:hyperlink>
      <w:r>
        <w:t xml:space="preserve">). O Espírito Santo guia e ajuda-os quando estão fracos. Tanto o Espírito Santo quanto Jesus intercedem por eles (vv. </w:t>
      </w:r>
      <w:hyperlink r:id="rId4457">
        <w:r>
          <w:rPr>
            <w:color w:val="0000EE"/>
            <w:u w:val="single"/>
          </w:rPr>
          <w:t>14,26,34</w:t>
        </w:r>
      </w:hyperlink>
      <w:r>
        <w:t>).</w:t>
      </w:r>
    </w:p>
    <w:p>
      <w:r/>
      <w:r>
        <w:t xml:space="preserve">Paulo não discute como aplicar esses princípios teológicos até </w:t>
      </w:r>
      <w:hyperlink r:id="rId4458">
        <w:r>
          <w:rPr>
            <w:color w:val="0000EE"/>
            <w:u w:val="single"/>
          </w:rPr>
          <w:t>Romanos 12</w:t>
        </w:r>
      </w:hyperlink>
      <w:r>
        <w:t xml:space="preserve">. Nos capítulos </w:t>
      </w:r>
      <w:hyperlink r:id="rId4407">
        <w:r>
          <w:rPr>
            <w:color w:val="0000EE"/>
            <w:u w:val="single"/>
          </w:rPr>
          <w:t>9–11</w:t>
        </w:r>
      </w:hyperlink>
      <w:r>
        <w:t xml:space="preserve">, ele explica como e por que os judeus rejeitaram Jesus, o Messias (o escolhido de Deus). Como o povo judeu poderia rejeitar Jesus quando Deus havia trabalhado tão de perto com eles por tanto tempo? Eles tinham um relacionamento especial com Deus, diferente de todos os outros povos na terra. Paulo explora essa questão difícil nos capítulos </w:t>
      </w:r>
      <w:hyperlink r:id="rId4407">
        <w:r>
          <w:rPr>
            <w:color w:val="0000EE"/>
            <w:u w:val="single"/>
          </w:rPr>
          <w:t>9–11</w:t>
        </w:r>
      </w:hyperlink>
      <w:r>
        <w:t>.</w:t>
      </w:r>
    </w:p>
    <w:p>
      <w:r/>
      <w:r>
        <w:t>Paulo apresenta quatro razões pelas quais os judeus rejeitaram Jesus, o Messias:</w:t>
      </w:r>
    </w:p>
    <w:p>
      <w:pPr>
        <w:pStyle w:val="ListNumber"/>
        <w:spacing w:line="240" w:lineRule="auto"/>
        <w:ind w:left="720"/>
      </w:pPr>
      <w:r/>
      <w:r>
        <w:t>Deus escolheu Israel intencionalmente, sabendo o que aconteceria no futuro. Estes eram descendentes físicos de Israel que desfrutavam de todos os relacionamentos especiais com Deus que um povo escolhido poderia experimentar:</w:t>
      </w:r>
    </w:p>
    <w:p>
      <w:pPr>
        <w:pStyle w:val="ListBullet"/>
        <w:spacing w:line="240" w:lineRule="auto"/>
        <w:ind w:left="1440"/>
      </w:pPr>
      <w:r/>
      <w:r>
        <w:t>Eles eram filhos de Deus.</w:t>
      </w:r>
    </w:p>
    <w:p>
      <w:pPr>
        <w:pStyle w:val="ListBullet"/>
        <w:spacing w:line="240" w:lineRule="auto"/>
        <w:ind w:left="1440"/>
      </w:pPr>
      <w:r/>
      <w:r>
        <w:t>Eles vivenciaram a glória de Deus.</w:t>
      </w:r>
    </w:p>
    <w:p>
      <w:pPr>
        <w:pStyle w:val="ListBullet"/>
        <w:spacing w:line="240" w:lineRule="auto"/>
        <w:ind w:left="1440"/>
      </w:pPr>
      <w:r/>
      <w:r>
        <w:t>Eles receberam os pactos de Deus (acordos especiais).</w:t>
      </w:r>
    </w:p>
    <w:p>
      <w:pPr>
        <w:pStyle w:val="ListBullet"/>
        <w:spacing w:line="240" w:lineRule="auto"/>
        <w:ind w:left="1440"/>
      </w:pPr>
      <w:r/>
      <w:r>
        <w:t>Eles receberam a Lei de Deus.</w:t>
      </w:r>
    </w:p>
    <w:p>
      <w:pPr>
        <w:pStyle w:val="ListBullet"/>
        <w:spacing w:line="240" w:lineRule="auto"/>
        <w:ind w:left="1440"/>
      </w:pPr>
      <w:r/>
      <w:r>
        <w:t>Eles aprenderam a adorar a Deus.</w:t>
      </w:r>
    </w:p>
    <w:p>
      <w:pPr>
        <w:pStyle w:val="ListBullet"/>
        <w:spacing w:line="240" w:lineRule="auto"/>
        <w:ind w:left="1440"/>
      </w:pPr>
      <w:r/>
      <w:r>
        <w:t>Eles receberam as promessas de Deus.</w:t>
      </w:r>
    </w:p>
    <w:p>
      <w:pPr>
        <w:pStyle w:val="ListBullet"/>
        <w:spacing w:line="240" w:lineRule="auto"/>
        <w:ind w:left="1440"/>
      </w:pPr>
      <w:r/>
      <w:r>
        <w:t>Eles vieram dos patriarcas: Abraão, Isaque e Jacó.</w:t>
      </w:r>
    </w:p>
    <w:p>
      <w:pPr>
        <w:pStyle w:val="ListBullet"/>
        <w:spacing w:line="240" w:lineRule="auto"/>
        <w:ind w:left="1440"/>
      </w:pPr>
      <w:r/>
      <w:r>
        <w:t>Eles eram as pessoas das quais Jesus veio (</w:t>
      </w:r>
      <w:hyperlink r:id="rId4459">
        <w:r>
          <w:rPr>
            <w:color w:val="0000EE"/>
            <w:u w:val="single"/>
          </w:rPr>
          <w:t>Rm 9.1–5)</w:t>
        </w:r>
      </w:hyperlink>
      <w:r>
        <w:t>.</w:t>
      </w:r>
    </w:p>
    <w:p>
      <w:r/>
      <w:r>
        <w:t>Deus os havia escolhido assim como escolheu Jacó em vez de Esaú antes de qualquer um deles nascer. Isso foi semelhante a quando Deus tornou Faraó teimoso (“endureceu” seu coração), ou como um oleiro molda o barro no tipo de vaso que deseja fazer (</w:t>
      </w:r>
      <w:hyperlink r:id="rId4460">
        <w:r>
          <w:rPr>
            <w:color w:val="0000EE"/>
            <w:u w:val="single"/>
          </w:rPr>
          <w:t>9.6–26</w:t>
        </w:r>
      </w:hyperlink>
      <w:r>
        <w:t>).</w:t>
      </w:r>
    </w:p>
    <w:p>
      <w:r/>
      <w:r>
        <w:t>Deus não os escolheu por causa de algo que eles fizeram ou deixaram de fazer. Ele os escolheu porque tinha um propósito especial para eles.</w:t>
      </w:r>
    </w:p>
    <w:p>
      <w:r/>
      <w:r>
        <w:t>Isso não significa que Deus foi injusto. Ele precisava mostrar seu poder através do povo judeu para que todos na terra soubessem sobre ele. Deus escolheu Israel para servir aos seus propósitos, assim como escolheu Faraó, Jacó e Moisés. Essas pessoas foram salvas porque tinham fé em Deus (</w:t>
      </w:r>
      <w:hyperlink r:id="rId4461">
        <w:r>
          <w:rPr>
            <w:color w:val="0000EE"/>
            <w:u w:val="single"/>
          </w:rPr>
          <w:t>Hb 11</w:t>
        </w:r>
      </w:hyperlink>
      <w:r>
        <w:t>).</w:t>
      </w:r>
    </w:p>
    <w:p>
      <w:pPr>
        <w:pStyle w:val="ListNumber"/>
        <w:spacing w:line="240" w:lineRule="auto"/>
        <w:ind w:left="720"/>
      </w:pPr>
      <w:r/>
      <w:r>
        <w:t>Israel rejeitou Jesus, o Messias, e seu evangelho. Paulo argumenta que isso segue um padrão que aparece repetidamente ao longo da história (</w:t>
      </w:r>
      <w:hyperlink r:id="rId4462">
        <w:r>
          <w:rPr>
            <w:color w:val="0000EE"/>
            <w:u w:val="single"/>
          </w:rPr>
          <w:t>Rm 9.30–10.21</w:t>
        </w:r>
      </w:hyperlink>
      <w:r>
        <w:t>). O povo judeu tentou estar em conformidade com Deus seguindo regras em vez de ter fé nele. Por causa disso, eles não reconheceram a justiça que vem pela fé. Eles basearam sua justiça na lei e, assim, "tropeçaram" em seu próprio Messias (</w:t>
      </w:r>
      <w:hyperlink r:id="rId4463">
        <w:r>
          <w:rPr>
            <w:color w:val="0000EE"/>
            <w:u w:val="single"/>
          </w:rPr>
          <w:t>9.30–33</w:t>
        </w:r>
      </w:hyperlink>
      <w:r>
        <w:t>). Eles rejeitaram Jesus como Messias e não entenderam como as pessoas são justificadas diante de Deus.</w:t>
      </w:r>
    </w:p>
    <w:p>
      <w:pPr>
        <w:pStyle w:val="ListNumber"/>
        <w:spacing w:line="240" w:lineRule="auto"/>
        <w:ind w:left="720"/>
      </w:pPr>
      <w:r/>
      <w:r>
        <w:t>Ele diz que alguns judeus (um pequeno grupo chamado de "remanescente") já haviam acreditado nas boas-novas sobre Jesus (</w:t>
      </w:r>
      <w:hyperlink r:id="rId4464">
        <w:r>
          <w:rPr>
            <w:color w:val="0000EE"/>
            <w:u w:val="single"/>
          </w:rPr>
          <w:t>Rm 11.1–16,26</w:t>
        </w:r>
      </w:hyperlink>
      <w:r>
        <w:t>). Isso mostra que um dia, muitos mais judeus também acreditarão. Embora Paulo diga que Deus rejeitou Israel por enquanto, essa rejeição não é permanente ou definitiva.</w:t>
      </w:r>
    </w:p>
    <w:p>
      <w:r/>
      <w:r>
        <w:t>Paulo utiliza a imagem de uma oliveira para explicar isso. Ele afirma que Deus cortou Israel da árvore da promessa feita a Abraão por um período. No entanto, Deus não rejeitou completamente seu povo. O remanescente que acreditou alcançou o que procurava, mas os outros foram endurecidos por um tempo. Deus fez isso para que eles ficassem com ciúmes ao verem pessoas não judias sendo aceitas no reino de Deus. Isso significa que a separação de Israel de Deus não precisa ser permanente.</w:t>
      </w:r>
    </w:p>
    <w:p>
      <w:pPr>
        <w:pStyle w:val="ListNumber"/>
        <w:spacing w:line="240" w:lineRule="auto"/>
        <w:ind w:left="720"/>
      </w:pPr>
      <w:r/>
      <w:r>
        <w:t>Paulo afirma que Deus utilizou a rejeição de Jesus por Israel para trazer coisas boas. Quando o povo judeu rejeitou Jesus, isso abriu o caminho para que pessoas não judias (gentios) se tornassem parte da família de Deus. Paulo menciona que, se muitos judeus mais tarde aceitarem Jesus, isso seria tão incrível quanto ver pessoas mortas voltarem à vida! Ele desenvolve essa ideia ao longo do restante do capítulo (</w:t>
      </w:r>
      <w:hyperlink r:id="rId4465">
        <w:r>
          <w:rPr>
            <w:color w:val="0000EE"/>
            <w:u w:val="single"/>
          </w:rPr>
          <w:t>Rm 11.17–36</w:t>
        </w:r>
      </w:hyperlink>
      <w:r>
        <w:t>).</w:t>
      </w:r>
    </w:p>
    <w:p>
      <w:r/>
      <w:r>
        <w:t xml:space="preserve">Paulo adverte os gentios para não serem orgulhosos sobre isso. O povo judeu tropeçou para que os gentios pudessem ser incluídos no plano de Deus (vv. </w:t>
      </w:r>
      <w:hyperlink r:id="rId4466">
        <w:r>
          <w:rPr>
            <w:color w:val="0000EE"/>
            <w:u w:val="single"/>
          </w:rPr>
          <w:t>17–19</w:t>
        </w:r>
      </w:hyperlink>
      <w:r>
        <w:t xml:space="preserve">). Israel não “tropeçou para cair de modo irrecuperável” (v. </w:t>
      </w:r>
      <w:hyperlink r:id="rId4467">
        <w:r>
          <w:rPr>
            <w:color w:val="0000EE"/>
            <w:u w:val="single"/>
          </w:rPr>
          <w:t>11</w:t>
        </w:r>
      </w:hyperlink>
      <w:r>
        <w:t>). A “queda” deles foi uma bênção para os gentios e fazia parte do plano de Deus. Paulo usa novamente a imagem de uma oliveira. Ele diz que Deus cortou o povo judeu da árvore porque eles não acreditaram. Mas Deus pode inseri-los de volta na árvore se começarem a acreditar em Jesus.</w:t>
      </w:r>
    </w:p>
    <w:p>
      <w:r/>
      <w:r>
        <w:t xml:space="preserve">Em </w:t>
      </w:r>
      <w:hyperlink r:id="rId4421">
        <w:r>
          <w:rPr>
            <w:color w:val="0000EE"/>
            <w:u w:val="single"/>
          </w:rPr>
          <w:t>Romanos 12–16</w:t>
        </w:r>
      </w:hyperlink>
      <w:r>
        <w:t>, Paulo explica como os cristãos devem viver com base em tudo o que ele ensinou anteriormente. Paulo começa dizendo: “Portanto, rogo-vos…” (</w:t>
      </w:r>
      <w:hyperlink r:id="rId4468">
        <w:r>
          <w:rPr>
            <w:color w:val="0000EE"/>
            <w:u w:val="single"/>
          </w:rPr>
          <w:t>12.1</w:t>
        </w:r>
      </w:hyperlink>
      <w:r>
        <w:t>). Ele então lista muitas virtudes e responsabilidades cristãs. Paulo frequentemente oferece esse tipo de conselho em suas cartas. Ele deseja ajudar novos crentes a entender como viver como cristãos, independentemente de terem vindo de um contexto judaico ou não judaico.</w:t>
      </w:r>
    </w:p>
    <w:p>
      <w:r/>
      <w:hyperlink r:id="rId4469">
        <w:r>
          <w:rPr>
            <w:color w:val="0000EE"/>
            <w:u w:val="single"/>
          </w:rPr>
          <w:t>Romanos 13</w:t>
        </w:r>
      </w:hyperlink>
      <w:r>
        <w:t xml:space="preserve"> foca em como os cristãos em Roma devem se relacionar com os oficiais do governo. Paulo ensina que Deus estabelece o governo civil, e os cristãos devem reconhecer que o governo civil tem o direito de existir, mesmo que aqueles que estão no poder sejam corruptos. Esses oficiais servem a Deus punindo aqueles que fazem o mal (</w:t>
      </w:r>
      <w:hyperlink r:id="rId4470">
        <w:r>
          <w:rPr>
            <w:color w:val="0000EE"/>
            <w:u w:val="single"/>
          </w:rPr>
          <w:t>13.4</w:t>
        </w:r>
      </w:hyperlink>
      <w:r>
        <w:t>).</w:t>
      </w:r>
    </w:p>
    <w:p>
      <w:r/>
      <w:r>
        <w:t xml:space="preserve">No capítulo </w:t>
      </w:r>
      <w:hyperlink r:id="rId4471">
        <w:r>
          <w:rPr>
            <w:color w:val="0000EE"/>
            <w:u w:val="single"/>
          </w:rPr>
          <w:t>14</w:t>
        </w:r>
      </w:hyperlink>
      <w:r>
        <w:t>, Paulo aborda como os cristãos devem tratar uns aos outros quando discordam sobre certas práticas, como comer determinados alimentos. Ele ensina que:</w:t>
      </w:r>
    </w:p>
    <w:p>
      <w:pPr>
        <w:pStyle w:val="ListBullet"/>
        <w:spacing w:line="240" w:lineRule="auto"/>
        <w:ind w:left="720"/>
      </w:pPr>
      <w:r/>
      <w:r>
        <w:t>Cristãos que se sentem livres para fazer essas coisas (por causa de sua liberdade em Cristo) não devem pressionar outros a agirem contra a própria consciência.</w:t>
      </w:r>
    </w:p>
    <w:p>
      <w:pPr>
        <w:pStyle w:val="ListBullet"/>
        <w:spacing w:line="240" w:lineRule="auto"/>
        <w:ind w:left="720"/>
      </w:pPr>
      <w:r/>
      <w:r>
        <w:t>Cristãos que evitam essas coisas não devem julgar aqueles que as praticam.</w:t>
      </w:r>
    </w:p>
    <w:p>
      <w:pPr>
        <w:pStyle w:val="ListBullet"/>
        <w:spacing w:line="240" w:lineRule="auto"/>
        <w:ind w:left="720"/>
      </w:pPr>
      <w:r/>
      <w:r>
        <w:t>Todos devem demonstrar amor e respeito uns pelos outros, o que mostra que são verdadeiros seguidores de Jesus.</w:t>
      </w:r>
    </w:p>
    <w:p>
      <w:r/>
      <w:r>
        <w:t xml:space="preserve">No capítulo </w:t>
      </w:r>
      <w:hyperlink r:id="rId4422">
        <w:r>
          <w:rPr>
            <w:color w:val="0000EE"/>
            <w:u w:val="single"/>
          </w:rPr>
          <w:t>15</w:t>
        </w:r>
      </w:hyperlink>
      <w:r>
        <w:t>, Paulo compartilha seus planos de viagem e explica seu papel especial. Ele se vê como um ministro sacerdotal servindo aos gentios. Ele planeja levar o dinheiro coletado das igrejas gentias para Jerusalém como uma oferta especial a Deus, mostrando como os gentios se tornaram crentes.</w:t>
      </w:r>
    </w:p>
    <w:p>
      <w:r/>
      <w:r>
        <w:t xml:space="preserve">O Capítulo </w:t>
      </w:r>
      <w:hyperlink r:id="rId4409">
        <w:r>
          <w:rPr>
            <w:color w:val="0000EE"/>
            <w:u w:val="single"/>
          </w:rPr>
          <w:t>16</w:t>
        </w:r>
      </w:hyperlink>
      <w:r>
        <w:t xml:space="preserve"> termina de maneira típica com saudações e recomendações de diferentes indivíduos. Ele menciona 27 pessoas pelo nome, mostrando sua profunda conexão com a comunidade da igreja em Roma.</w:t>
      </w:r>
    </w:p>
    <w:p>
      <w:r/>
      <w:r>
        <w:rPr>
          <w:i/>
        </w:rPr>
        <w:t>Veja também</w:t>
      </w:r>
      <w:r>
        <w:t xml:space="preserve"> </w:t>
      </w:r>
      <w:r>
        <w:t>Paulo, O apóstolo</w:t>
      </w:r>
      <w:r>
        <w:t>.</w:t>
      </w:r>
      <w:r/>
      <w:r/>
    </w:p>
    <w:p>
      <w:r/>
    </w:p>
    <w:p>
      <w:pPr>
        <w:pStyle w:val="Heading2"/>
      </w:pPr>
      <w:r>
        <w:t>Carvalhais de Manre</w:t>
      </w:r>
      <w:r/>
    </w:p>
    <w:p>
      <w:r/>
      <w:r>
        <w:t>Lugar associado a Abraão e Isaque (</w:t>
      </w:r>
      <w:hyperlink r:id="rId4472">
        <w:r>
          <w:rPr>
            <w:color w:val="0000EE"/>
            <w:u w:val="single"/>
          </w:rPr>
          <w:t>Gn 13.18</w:t>
        </w:r>
      </w:hyperlink>
      <w:r>
        <w:t xml:space="preserve">). </w:t>
      </w:r>
      <w:r>
        <w:rPr>
          <w:i/>
        </w:rPr>
        <w:t>Veja</w:t>
      </w:r>
      <w:r>
        <w:t xml:space="preserve"> </w:t>
      </w:r>
      <w:r>
        <w:t>Manre (Lugar)</w:t>
      </w:r>
      <w:r>
        <w:t>.</w:t>
      </w:r>
      <w:r/>
      <w:r/>
    </w:p>
    <w:p>
      <w:r/>
    </w:p>
    <w:p>
      <w:pPr>
        <w:pStyle w:val="Heading2"/>
      </w:pPr>
      <w:r>
        <w:t>Carvalho do pranto</w:t>
      </w:r>
      <w:r/>
    </w:p>
    <w:p>
      <w:r/>
      <w:r>
        <w:t>Árvore perto de Betel sob a qual Débora, a ama de Rebeca, foi enterrada (</w:t>
      </w:r>
      <w:hyperlink r:id="rId970">
        <w:r>
          <w:rPr>
            <w:color w:val="0000EE"/>
            <w:u w:val="single"/>
          </w:rPr>
          <w:t>Gn 35.8</w:t>
        </w:r>
      </w:hyperlink>
      <w:r>
        <w:t>), daí chamada Alom-Bacute</w:t>
      </w:r>
      <w:r>
        <w:rPr>
          <w:i/>
        </w:rPr>
        <w:t>,</w:t>
      </w:r>
      <w:r>
        <w:t xml:space="preserve"> que significa "Carvalho do Pranto".</w:t>
      </w:r>
      <w:r/>
      <w:r/>
    </w:p>
    <w:p>
      <w:r/>
    </w:p>
    <w:p>
      <w:pPr>
        <w:pStyle w:val="Heading2"/>
      </w:pPr>
      <w:r>
        <w:t>Carvão</w:t>
      </w:r>
      <w:r/>
    </w:p>
    <w:p>
      <w:r/>
      <w:r>
        <w:t>Na Bíblia, "carvão" é a tradução de várias palavras hebraicas e gregas. Refere-se principalmente ao carvão vegetal produzido pela queima de madeira. O carvão mineral, extraído do solo, não é encontrado na Palestina (a Terra Santa). As pessoas utilizavam brasas incandescentes de fogueiras de madeira para diversos fins:</w:t>
      </w:r>
    </w:p>
    <w:p>
      <w:pPr>
        <w:pStyle w:val="ListBullet"/>
        <w:spacing w:line="240" w:lineRule="auto"/>
        <w:ind w:left="720"/>
      </w:pPr>
      <w:r/>
      <w:r>
        <w:t>Para aquecer casas (</w:t>
      </w:r>
      <w:hyperlink r:id="rId4473">
        <w:r>
          <w:rPr>
            <w:color w:val="0000EE"/>
            <w:u w:val="single"/>
          </w:rPr>
          <w:t>Is 47.14</w:t>
        </w:r>
      </w:hyperlink>
      <w:r>
        <w:t xml:space="preserve">; </w:t>
      </w:r>
      <w:hyperlink r:id="rId4474">
        <w:r>
          <w:rPr>
            <w:color w:val="0000EE"/>
            <w:u w:val="single"/>
          </w:rPr>
          <w:t>Jo 18.18</w:t>
        </w:r>
      </w:hyperlink>
      <w:r>
        <w:t>)</w:t>
      </w:r>
    </w:p>
    <w:p>
      <w:pPr>
        <w:pStyle w:val="ListBullet"/>
        <w:spacing w:line="240" w:lineRule="auto"/>
        <w:ind w:left="720"/>
      </w:pPr>
      <w:r/>
      <w:r>
        <w:t>Para cozinhar alimentos (</w:t>
      </w:r>
      <w:hyperlink r:id="rId4475">
        <w:r>
          <w:rPr>
            <w:color w:val="0000EE"/>
            <w:u w:val="single"/>
          </w:rPr>
          <w:t>Is 44.19</w:t>
        </w:r>
      </w:hyperlink>
      <w:r>
        <w:t xml:space="preserve">; </w:t>
      </w:r>
      <w:hyperlink r:id="rId4476">
        <w:r>
          <w:rPr>
            <w:color w:val="0000EE"/>
            <w:u w:val="single"/>
          </w:rPr>
          <w:t>Jo 21.9</w:t>
        </w:r>
      </w:hyperlink>
      <w:r>
        <w:t>)</w:t>
      </w:r>
    </w:p>
    <w:p>
      <w:pPr>
        <w:pStyle w:val="ListBullet"/>
        <w:spacing w:line="240" w:lineRule="auto"/>
        <w:ind w:left="720"/>
      </w:pPr>
      <w:r/>
      <w:r>
        <w:t>Por ferreiros para metalurgia (</w:t>
      </w:r>
      <w:hyperlink r:id="rId4477">
        <w:r>
          <w:rPr>
            <w:color w:val="0000EE"/>
            <w:u w:val="single"/>
          </w:rPr>
          <w:t>Is 54.16</w:t>
        </w:r>
      </w:hyperlink>
      <w:r>
        <w:t>)</w:t>
      </w:r>
    </w:p>
    <w:p>
      <w:pPr>
        <w:pStyle w:val="ListBullet"/>
        <w:spacing w:line="240" w:lineRule="auto"/>
        <w:ind w:left="720"/>
      </w:pPr>
      <w:r/>
      <w:r>
        <w:t>Em cerimônias religiosas, onde as brasas do altar tinham usos especiais (</w:t>
      </w:r>
      <w:hyperlink r:id="rId4478">
        <w:r>
          <w:rPr>
            <w:color w:val="0000EE"/>
            <w:u w:val="single"/>
          </w:rPr>
          <w:t>Lv 16.12</w:t>
        </w:r>
      </w:hyperlink>
      <w:r>
        <w:t xml:space="preserve">; </w:t>
      </w:r>
      <w:hyperlink r:id="rId4479">
        <w:r>
          <w:rPr>
            <w:color w:val="0000EE"/>
            <w:u w:val="single"/>
          </w:rPr>
          <w:t>Is 6.6–7</w:t>
        </w:r>
      </w:hyperlink>
      <w:r>
        <w:t>)</w:t>
      </w:r>
    </w:p>
    <w:p>
      <w:r/>
      <w:r>
        <w:t>A Bíblia também usa o carvão como símbolo de várias maneiras. Ele representa:</w:t>
      </w:r>
    </w:p>
    <w:p>
      <w:pPr>
        <w:pStyle w:val="ListBullet"/>
        <w:spacing w:line="240" w:lineRule="auto"/>
        <w:ind w:left="720"/>
      </w:pPr>
      <w:r/>
      <w:r>
        <w:t>A infinita luminosidade e glória de Deus (</w:t>
      </w:r>
      <w:hyperlink r:id="rId4480">
        <w:r>
          <w:rPr>
            <w:color w:val="0000EE"/>
            <w:u w:val="single"/>
          </w:rPr>
          <w:t>2Sm 22.9,13</w:t>
        </w:r>
      </w:hyperlink>
      <w:r>
        <w:t>)</w:t>
      </w:r>
    </w:p>
    <w:p>
      <w:pPr>
        <w:pStyle w:val="ListBullet"/>
        <w:spacing w:line="240" w:lineRule="auto"/>
        <w:ind w:left="720"/>
      </w:pPr>
      <w:r/>
      <w:r>
        <w:t>Revelação de Deus (</w:t>
      </w:r>
      <w:hyperlink r:id="rId4481">
        <w:r>
          <w:rPr>
            <w:color w:val="0000EE"/>
            <w:u w:val="single"/>
          </w:rPr>
          <w:t>Sl 18.8</w:t>
        </w:r>
      </w:hyperlink>
      <w:r>
        <w:t>)</w:t>
      </w:r>
    </w:p>
    <w:p>
      <w:pPr>
        <w:pStyle w:val="ListBullet"/>
        <w:spacing w:line="240" w:lineRule="auto"/>
        <w:ind w:left="720"/>
      </w:pPr>
      <w:r/>
      <w:r>
        <w:t>Julgamento de Deus (</w:t>
      </w:r>
      <w:hyperlink r:id="rId4482">
        <w:r>
          <w:rPr>
            <w:color w:val="0000EE"/>
            <w:u w:val="single"/>
          </w:rPr>
          <w:t>140.10</w:t>
        </w:r>
      </w:hyperlink>
      <w:r>
        <w:t>)</w:t>
      </w:r>
    </w:p>
    <w:p>
      <w:pPr>
        <w:pStyle w:val="ListBullet"/>
        <w:spacing w:line="240" w:lineRule="auto"/>
        <w:ind w:left="720"/>
      </w:pPr>
      <w:r/>
      <w:r>
        <w:t>Criaturas celestiais associadas com o trono de Deus (</w:t>
      </w:r>
      <w:hyperlink r:id="rId4483">
        <w:r>
          <w:rPr>
            <w:color w:val="0000EE"/>
            <w:u w:val="single"/>
          </w:rPr>
          <w:t>Ez 1.13</w:t>
        </w:r>
      </w:hyperlink>
      <w:r>
        <w:t xml:space="preserve">; </w:t>
      </w:r>
      <w:hyperlink r:id="rId4484">
        <w:r>
          <w:rPr>
            <w:color w:val="0000EE"/>
            <w:u w:val="single"/>
          </w:rPr>
          <w:t>10.2</w:t>
        </w:r>
      </w:hyperlink>
      <w:r>
        <w:t>).</w:t>
      </w:r>
    </w:p>
    <w:p>
      <w:r/>
      <w:r>
        <w:t>Em outros contextos, carvões em brasa representam:</w:t>
      </w:r>
    </w:p>
    <w:p>
      <w:pPr>
        <w:pStyle w:val="ListBullet"/>
        <w:spacing w:line="240" w:lineRule="auto"/>
        <w:ind w:left="720"/>
      </w:pPr>
      <w:r/>
      <w:r>
        <w:t>A própria vida (</w:t>
      </w:r>
      <w:hyperlink r:id="rId4485">
        <w:r>
          <w:rPr>
            <w:color w:val="0000EE"/>
            <w:u w:val="single"/>
          </w:rPr>
          <w:t>2Sm 14.7</w:t>
        </w:r>
      </w:hyperlink>
      <w:r>
        <w:t>)</w:t>
      </w:r>
    </w:p>
    <w:p>
      <w:pPr>
        <w:pStyle w:val="ListBullet"/>
        <w:spacing w:line="240" w:lineRule="auto"/>
        <w:ind w:left="720"/>
      </w:pPr>
      <w:r/>
      <w:r>
        <w:t>O hálito quente de uma enorme besta (</w:t>
      </w:r>
      <w:hyperlink r:id="rId4486">
        <w:r>
          <w:rPr>
            <w:color w:val="0000EE"/>
            <w:u w:val="single"/>
          </w:rPr>
          <w:t>Jó 41.21</w:t>
        </w:r>
      </w:hyperlink>
      <w:r>
        <w:t>)</w:t>
      </w:r>
    </w:p>
    <w:p>
      <w:pPr>
        <w:pStyle w:val="ListBullet"/>
        <w:spacing w:line="240" w:lineRule="auto"/>
        <w:ind w:left="720"/>
      </w:pPr>
      <w:r/>
      <w:r>
        <w:t>O perigo de ser prejudicado pelo pecado sexual (</w:t>
      </w:r>
      <w:hyperlink r:id="rId4487">
        <w:r>
          <w:rPr>
            <w:color w:val="0000EE"/>
            <w:u w:val="single"/>
          </w:rPr>
          <w:t>Pv 6.28</w:t>
        </w:r>
      </w:hyperlink>
      <w:r>
        <w:t>)</w:t>
      </w:r>
      <w:r/>
      <w:r/>
    </w:p>
    <w:p>
      <w:r/>
    </w:p>
    <w:p>
      <w:pPr>
        <w:pStyle w:val="Heading2"/>
      </w:pPr>
      <w:r>
        <w:t>Casa</w:t>
      </w:r>
      <w:r/>
    </w:p>
    <w:p>
      <w:r/>
      <w:r>
        <w:t>Pessoas que vivem no mesmo lugar e formam uma família ou família estendida. Nos tempos bíblicos, uma casa incluía pai, mãe(s), filhos, avós, escravos, concubinas e peregrinos. A casa de Jacó, por exemplo, incluía 66 pessoas, sem contar as esposas de seus filhos (</w:t>
      </w:r>
      <w:hyperlink r:id="rId4488">
        <w:r>
          <w:rPr>
            <w:color w:val="0000EE"/>
            <w:u w:val="single"/>
          </w:rPr>
          <w:t>Gn 46.26</w:t>
        </w:r>
      </w:hyperlink>
      <w:r>
        <w:t>). Os integrantes da casa eram vistos como responsáveis coletivamente pela honra da família (</w:t>
      </w:r>
      <w:hyperlink r:id="rId4489">
        <w:r>
          <w:rPr>
            <w:color w:val="0000EE"/>
            <w:u w:val="single"/>
          </w:rPr>
          <w:t>2Sm 3.27</w:t>
        </w:r>
      </w:hyperlink>
      <w:r>
        <w:t xml:space="preserve"> dá um exemplo de vingança por um membro da família). Os membros masculinos de toda a casa eram circuncidados como sinal da aliança (</w:t>
      </w:r>
      <w:hyperlink r:id="rId4490">
        <w:r>
          <w:rPr>
            <w:color w:val="0000EE"/>
            <w:u w:val="single"/>
          </w:rPr>
          <w:t>Gn 17.23</w:t>
        </w:r>
      </w:hyperlink>
      <w:r>
        <w:t>). Na era do NT, algumas famílias inteiras foram batizadas (</w:t>
      </w:r>
      <w:hyperlink r:id="rId4491">
        <w:r>
          <w:rPr>
            <w:color w:val="0000EE"/>
            <w:u w:val="single"/>
          </w:rPr>
          <w:t>At 11.14</w:t>
        </w:r>
      </w:hyperlink>
      <w:r>
        <w:t>).</w:t>
      </w:r>
    </w:p>
    <w:p>
      <w:r/>
      <w:r>
        <w:rPr>
          <w:i/>
        </w:rPr>
        <w:t>Veja também</w:t>
      </w:r>
      <w:r>
        <w:t xml:space="preserve"> </w:t>
      </w:r>
      <w:r>
        <w:t>Vida familiar e relações</w:t>
      </w:r>
      <w:r>
        <w:t>.</w:t>
      </w:r>
      <w:r/>
      <w:r/>
    </w:p>
    <w:p>
      <w:r/>
    </w:p>
    <w:p>
      <w:pPr>
        <w:pStyle w:val="Heading2"/>
      </w:pPr>
      <w:r>
        <w:t>Casa de César</w:t>
      </w:r>
      <w:r/>
    </w:p>
    <w:p>
      <w:r/>
      <w:r>
        <w:t>A casa de César era o grupo de pessoas que trabalhavam para o imperador Romano, incluindo tanto escravos quanto pessoas livres. Eles viviam em Roma e em outras partes do Império Romano.</w:t>
      </w:r>
    </w:p>
    <w:p>
      <w:r/>
      <w:r>
        <w:t>O apóstolo Paulo saudou "os da casa de César" em uma de suas cartas (</w:t>
      </w:r>
      <w:hyperlink r:id="rId4492">
        <w:r>
          <w:rPr>
            <w:color w:val="0000EE"/>
            <w:u w:val="single"/>
          </w:rPr>
          <w:t>Fp 4.22</w:t>
        </w:r>
      </w:hyperlink>
      <w:r>
        <w:t>). César era o título do imperador de Roma. A casa do imperador tinha centenas de trabalhadores. Muitos de seus trabalhos eram respeitados e importantes na sociedade romana.</w:t>
      </w:r>
    </w:p>
    <w:p>
      <w:r/>
      <w:r>
        <w:t>Quando Paulo chegou a Roma, muitas pessoas da casa de César o receberam. Isso é relatado em um escrito do segundo século chamado o Martírio de Paulo. Paulo também conversou com líderes judeus em Roma e ensinou abertamente sobre Jesus. Ele pregou sem ser impedido (</w:t>
      </w:r>
      <w:hyperlink r:id="rId4493">
        <w:r>
          <w:rPr>
            <w:color w:val="0000EE"/>
            <w:u w:val="single"/>
          </w:rPr>
          <w:t>At 28.17,31</w:t>
        </w:r>
      </w:hyperlink>
      <w:r>
        <w:t>). Alguns homens e mulheres acreditaram em sua mensagem (</w:t>
      </w:r>
      <w:hyperlink r:id="rId4494">
        <w:r>
          <w:rPr>
            <w:color w:val="0000EE"/>
            <w:u w:val="single"/>
          </w:rPr>
          <w:t>At 28.23–24</w:t>
        </w:r>
      </w:hyperlink>
      <w:r>
        <w:t>). Alguns desses novos crentes provavelmente eram da casa de César. A mensagem sobre Jesus chegou até mesmo a toda a Guarda Pretoriana (</w:t>
      </w:r>
      <w:hyperlink r:id="rId4495">
        <w:r>
          <w:rPr>
            <w:color w:val="0000EE"/>
            <w:u w:val="single"/>
          </w:rPr>
          <w:t>Fp 1.13</w:t>
        </w:r>
      </w:hyperlink>
      <w:r>
        <w:t>), um grupo especial de soldados romanos que guardavam o imperador.</w:t>
      </w:r>
    </w:p>
    <w:p>
      <w:r/>
      <w:r>
        <w:t xml:space="preserve">Alguns estudiosos da Bíblia acreditam que certas pessoas mencionadas em </w:t>
      </w:r>
      <w:hyperlink r:id="rId4409">
        <w:r>
          <w:rPr>
            <w:color w:val="0000EE"/>
            <w:u w:val="single"/>
          </w:rPr>
          <w:t>Romanos 16</w:t>
        </w:r>
      </w:hyperlink>
      <w:r>
        <w:t xml:space="preserve"> podem ter pertencido à casa do imperador.</w:t>
      </w:r>
    </w:p>
    <w:p>
      <w:r/>
      <w:r>
        <w:rPr>
          <w:i/>
        </w:rPr>
        <w:t>Veja também</w:t>
      </w:r>
      <w:r>
        <w:t xml:space="preserve"> </w:t>
      </w:r>
      <w:r>
        <w:t>Césares, Os</w:t>
      </w:r>
      <w:r>
        <w:t>.</w:t>
      </w:r>
      <w:r/>
      <w:r/>
    </w:p>
    <w:p>
      <w:r/>
    </w:p>
    <w:p>
      <w:pPr>
        <w:pStyle w:val="Heading2"/>
      </w:pPr>
      <w:r>
        <w:t>Casa De Deus</w:t>
      </w:r>
      <w:r/>
    </w:p>
    <w:p>
      <w:r/>
      <w:r>
        <w:t>Frase comum usada no mundo antigo do Oriente Próximo para uma estrutura usada para acomodar uma divindade ou seus servos. No AT, se referia ao tabernáculo (</w:t>
      </w:r>
      <w:hyperlink r:id="rId4496">
        <w:r>
          <w:rPr>
            <w:color w:val="0000EE"/>
            <w:u w:val="single"/>
          </w:rPr>
          <w:t>Dt 23.18</w:t>
        </w:r>
      </w:hyperlink>
      <w:r>
        <w:t xml:space="preserve">; </w:t>
      </w:r>
      <w:hyperlink r:id="rId4497">
        <w:r>
          <w:rPr>
            <w:color w:val="0000EE"/>
            <w:u w:val="single"/>
          </w:rPr>
          <w:t>1Cr 6.31–32</w:t>
        </w:r>
      </w:hyperlink>
      <w:r>
        <w:t>), o templo de Salomão (</w:t>
      </w:r>
      <w:hyperlink r:id="rId4498">
        <w:r>
          <w:rPr>
            <w:color w:val="0000EE"/>
            <w:u w:val="single"/>
          </w:rPr>
          <w:t>1Rs 8.11–20</w:t>
        </w:r>
      </w:hyperlink>
      <w:r>
        <w:t xml:space="preserve">; </w:t>
      </w:r>
      <w:hyperlink r:id="rId4499">
        <w:r>
          <w:rPr>
            <w:color w:val="0000EE"/>
            <w:u w:val="single"/>
          </w:rPr>
          <w:t>12.27</w:t>
        </w:r>
      </w:hyperlink>
      <w:r>
        <w:t xml:space="preserve">; </w:t>
      </w:r>
      <w:hyperlink r:id="rId4500">
        <w:r>
          <w:rPr>
            <w:color w:val="0000EE"/>
            <w:u w:val="single"/>
          </w:rPr>
          <w:t>Jr 20.1</w:t>
        </w:r>
      </w:hyperlink>
      <w:r>
        <w:t>), santuários nacionais, ou templos pagãos (</w:t>
      </w:r>
      <w:hyperlink r:id="rId4501">
        <w:r>
          <w:rPr>
            <w:color w:val="0000EE"/>
            <w:u w:val="single"/>
          </w:rPr>
          <w:t>Jz 9.4</w:t>
        </w:r>
      </w:hyperlink>
      <w:r>
        <w:t xml:space="preserve">; </w:t>
      </w:r>
      <w:hyperlink r:id="rId4502">
        <w:r>
          <w:rPr>
            <w:color w:val="0000EE"/>
            <w:u w:val="single"/>
          </w:rPr>
          <w:t>2Rs 10.21</w:t>
        </w:r>
      </w:hyperlink>
      <w:r>
        <w:t>).</w:t>
      </w:r>
    </w:p>
    <w:p>
      <w:r/>
      <w:r>
        <w:t>Nos tempos do NT, o costume do AT de se referir ao templo como a “casa de Deus” ainda era usado (</w:t>
      </w:r>
      <w:hyperlink r:id="rId4503">
        <w:r>
          <w:rPr>
            <w:color w:val="0000EE"/>
            <w:u w:val="single"/>
          </w:rPr>
          <w:t>Mt 12.4</w:t>
        </w:r>
      </w:hyperlink>
      <w:r>
        <w:t xml:space="preserve">; </w:t>
      </w:r>
      <w:hyperlink r:id="rId73">
        <w:r>
          <w:rPr>
            <w:color w:val="0000EE"/>
            <w:u w:val="single"/>
          </w:rPr>
          <w:t>Mc 2.26</w:t>
        </w:r>
      </w:hyperlink>
      <w:r>
        <w:t xml:space="preserve">; </w:t>
      </w:r>
      <w:hyperlink r:id="rId4504">
        <w:r>
          <w:rPr>
            <w:color w:val="0000EE"/>
            <w:u w:val="single"/>
          </w:rPr>
          <w:t>11.17</w:t>
        </w:r>
      </w:hyperlink>
      <w:r>
        <w:t xml:space="preserve">; </w:t>
      </w:r>
      <w:hyperlink r:id="rId4505">
        <w:r>
          <w:rPr>
            <w:color w:val="0000EE"/>
            <w:u w:val="single"/>
          </w:rPr>
          <w:t>Lc 6.4</w:t>
        </w:r>
      </w:hyperlink>
      <w:r>
        <w:t xml:space="preserve">; </w:t>
      </w:r>
      <w:hyperlink r:id="rId4506">
        <w:r>
          <w:rPr>
            <w:color w:val="0000EE"/>
            <w:u w:val="single"/>
          </w:rPr>
          <w:t>Jo 2.16–17</w:t>
        </w:r>
      </w:hyperlink>
      <w:r>
        <w:t>), mas com algumas mudanças significativas. Após a ascensão de Cristo, a igreja se via como a casa de Deus (</w:t>
      </w:r>
      <w:hyperlink r:id="rId4507">
        <w:r>
          <w:rPr>
            <w:color w:val="0000EE"/>
            <w:u w:val="single"/>
          </w:rPr>
          <w:t>1Co 3.9</w:t>
        </w:r>
      </w:hyperlink>
      <w:r>
        <w:t xml:space="preserve">; </w:t>
      </w:r>
      <w:hyperlink r:id="rId4508">
        <w:r>
          <w:rPr>
            <w:color w:val="0000EE"/>
            <w:u w:val="single"/>
          </w:rPr>
          <w:t>Hb 3.6</w:t>
        </w:r>
      </w:hyperlink>
      <w:r>
        <w:t xml:space="preserve">; </w:t>
      </w:r>
      <w:hyperlink r:id="rId4509">
        <w:r>
          <w:rPr>
            <w:color w:val="0000EE"/>
            <w:u w:val="single"/>
          </w:rPr>
          <w:t>1Pe 2.5</w:t>
        </w:r>
      </w:hyperlink>
      <w:r>
        <w:t xml:space="preserve">; </w:t>
      </w:r>
      <w:hyperlink r:id="rId4510">
        <w:r>
          <w:rPr>
            <w:color w:val="0000EE"/>
            <w:u w:val="single"/>
          </w:rPr>
          <w:t>4.17</w:t>
        </w:r>
      </w:hyperlink>
      <w:r>
        <w:t>). Deus não habitava mais em edifícios feitos por mãos humanas, mas nas vidas daqueles que confessam Jesus como Senhor.</w:t>
      </w:r>
    </w:p>
    <w:p>
      <w:r/>
      <w:r>
        <w:rPr>
          <w:i/>
        </w:rPr>
        <w:t>Veja também</w:t>
      </w:r>
      <w:r>
        <w:t xml:space="preserve"> </w:t>
      </w:r>
      <w:r>
        <w:t>Tabernáculo</w:t>
      </w:r>
      <w:r>
        <w:t xml:space="preserve">; </w:t>
      </w:r>
      <w:r>
        <w:t>Templo</w:t>
      </w:r>
      <w:r>
        <w:t>.</w:t>
      </w:r>
      <w:r/>
      <w:r/>
    </w:p>
    <w:p>
      <w:r/>
    </w:p>
    <w:p>
      <w:pPr>
        <w:pStyle w:val="Heading2"/>
      </w:pPr>
      <w:r>
        <w:t>Casamento misto</w:t>
      </w:r>
      <w:r/>
    </w:p>
    <w:p>
      <w:r/>
      <w:r>
        <w:t>Um casamento misto ocorre quando uma pessoa judia se casa com uma pessoa não judia (um gentio). Deus deu instruções específicas sobre esses casamentos. Ele proibiu os israelitas de se casarem com os povos originais que viviam em Canaã. Essa regra existia porque Deus estava preocupado que os israelitas pudessem começar a adorar ídolos em vez dele (</w:t>
      </w:r>
      <w:hyperlink r:id="rId219">
        <w:r>
          <w:rPr>
            <w:color w:val="0000EE"/>
            <w:u w:val="single"/>
          </w:rPr>
          <w:t>Dt 7.1–5</w:t>
        </w:r>
      </w:hyperlink>
      <w:r>
        <w:t>). O Novo Testamento também adverte os crentes a não se colocarem em "jugo desigual" com descrentes (</w:t>
      </w:r>
      <w:hyperlink r:id="rId4511">
        <w:r>
          <w:rPr>
            <w:color w:val="0000EE"/>
            <w:u w:val="single"/>
          </w:rPr>
          <w:t>2Co 6.14</w:t>
        </w:r>
      </w:hyperlink>
      <w:r>
        <w:t>).</w:t>
      </w:r>
    </w:p>
    <w:p>
      <w:r/>
      <w:r>
        <w:t>Apesar dessa regra, muitos israelitas se casaram com estrangeiros durante o tempo dos juízes (</w:t>
      </w:r>
      <w:hyperlink r:id="rId4512">
        <w:r>
          <w:rPr>
            <w:color w:val="0000EE"/>
            <w:u w:val="single"/>
          </w:rPr>
          <w:t>Jz 3.6</w:t>
        </w:r>
      </w:hyperlink>
      <w:r>
        <w:t>). Isso também ocorreu mais tarde (</w:t>
      </w:r>
      <w:hyperlink r:id="rId1085">
        <w:r>
          <w:rPr>
            <w:color w:val="0000EE"/>
            <w:u w:val="single"/>
          </w:rPr>
          <w:t>2Sm 11.3</w:t>
        </w:r>
      </w:hyperlink>
      <w:r>
        <w:t xml:space="preserve">; </w:t>
      </w:r>
      <w:hyperlink r:id="rId4513">
        <w:r>
          <w:rPr>
            <w:color w:val="0000EE"/>
            <w:u w:val="single"/>
          </w:rPr>
          <w:t>1Rs 11.1–8</w:t>
        </w:r>
      </w:hyperlink>
      <w:r>
        <w:t>).</w:t>
      </w:r>
    </w:p>
    <w:p>
      <w:r/>
      <w:r>
        <w:t>Deus não deu uma proibição clara contra casamentos com pessoas de outras nacionalidades (</w:t>
      </w:r>
      <w:hyperlink r:id="rId4514">
        <w:r>
          <w:rPr>
            <w:color w:val="0000EE"/>
            <w:u w:val="single"/>
          </w:rPr>
          <w:t>Nm 12.1</w:t>
        </w:r>
      </w:hyperlink>
      <w:r>
        <w:t xml:space="preserve">; </w:t>
      </w:r>
      <w:hyperlink r:id="rId4515">
        <w:r>
          <w:rPr>
            <w:color w:val="0000EE"/>
            <w:u w:val="single"/>
          </w:rPr>
          <w:t>Dt 23.7</w:t>
        </w:r>
      </w:hyperlink>
      <w:r>
        <w:t xml:space="preserve">; </w:t>
      </w:r>
      <w:hyperlink r:id="rId4516">
        <w:r>
          <w:rPr>
            <w:color w:val="0000EE"/>
            <w:u w:val="single"/>
          </w:rPr>
          <w:t>Rt 1.4</w:t>
        </w:r>
      </w:hyperlink>
      <w:r>
        <w:t>). Após o retorno do povo judeu do exílio na Babilônia, os líderes Esdras e Neemias se opuseram fortemente aos casamentos entre judeus e não-judeus (</w:t>
      </w:r>
      <w:hyperlink r:id="rId4517">
        <w:r>
          <w:rPr>
            <w:color w:val="0000EE"/>
            <w:u w:val="single"/>
          </w:rPr>
          <w:t>Ed 9.1–4</w:t>
        </w:r>
      </w:hyperlink>
      <w:r>
        <w:t xml:space="preserve">; </w:t>
      </w:r>
      <w:hyperlink r:id="rId4518">
        <w:r>
          <w:rPr>
            <w:color w:val="0000EE"/>
            <w:u w:val="single"/>
          </w:rPr>
          <w:t>Ne 13.23–27</w:t>
        </w:r>
      </w:hyperlink>
      <w:r>
        <w:t>).</w:t>
      </w:r>
    </w:p>
    <w:p>
      <w:r/>
      <w:r>
        <w:rPr>
          <w:i/>
        </w:rPr>
        <w:t>Veja também</w:t>
      </w:r>
      <w:r>
        <w:t xml:space="preserve"> </w:t>
      </w:r>
      <w:r>
        <w:t>Casamento, Costumes de casamento</w:t>
      </w:r>
      <w:r>
        <w:t>.</w:t>
      </w:r>
      <w:r/>
      <w:r/>
    </w:p>
    <w:p>
      <w:r/>
    </w:p>
    <w:p>
      <w:pPr>
        <w:pStyle w:val="Heading2"/>
      </w:pPr>
      <w:r>
        <w:t>Casamento, Costumes matrimoniais</w:t>
      </w:r>
      <w:r/>
    </w:p>
    <w:p>
      <w:r/>
      <w:r>
        <w:t>A união de homem e mulher no matrimônio, como praticado por várias culturas.</w:t>
      </w:r>
    </w:p>
    <w:p>
      <w:r/>
      <w:r>
        <w:t>A ideia de casamento foi ordenada por Deus em sua instrução a Adão de que um homem deveria deixar seu pai e mãe, e que ele e sua esposa deveriam ser como uma só carne (</w:t>
      </w:r>
      <w:hyperlink r:id="rId3603">
        <w:r>
          <w:rPr>
            <w:color w:val="0000EE"/>
            <w:u w:val="single"/>
          </w:rPr>
          <w:t>Gn 2.24</w:t>
        </w:r>
      </w:hyperlink>
      <w:r>
        <w:t>).</w:t>
      </w:r>
    </w:p>
    <w:p>
      <w:r/>
      <w:r>
        <w:t>Várias formas de casamento são referidas no AT, a primeira das quais parece ser baseada em um princípio matrilinear. Embora pareça haver algumas evidências para isso na Idade Média do Bronze e na monarquia primitiva, é difícil ter certeza sobre o assunto, apesar da importância no Egito, e talvez em outros lugares, do papel da mãe na determinação da descendência.</w:t>
      </w:r>
    </w:p>
    <w:p>
      <w:r/>
      <w:r>
        <w:t>Geralmente, a noiva deixa seus pais quando ela se casou e foi viver com o clã de seu marido, como Rebeca fez (</w:t>
      </w:r>
      <w:hyperlink r:id="rId4519">
        <w:r>
          <w:rPr>
            <w:color w:val="0000EE"/>
            <w:u w:val="single"/>
          </w:rPr>
          <w:t>Gn 24.58–59</w:t>
        </w:r>
      </w:hyperlink>
      <w:r>
        <w:t>). A frase “se casar com uma esposa” é de um significado raiz para “se tornar mestre” (</w:t>
      </w:r>
      <w:hyperlink r:id="rId4520">
        <w:r>
          <w:rPr>
            <w:color w:val="0000EE"/>
            <w:u w:val="single"/>
          </w:rPr>
          <w:t>Dt 21.13</w:t>
        </w:r>
      </w:hyperlink>
      <w:r>
        <w:t>), e a esposa frequentemente tratava seu marido - e se referia a ele - como mestre.</w:t>
      </w:r>
    </w:p>
    <w:p>
      <w:r/>
      <w:r>
        <w:t>As listas genealógicas hebraicas indicam que a descendência foi contada através da linhagem dos homens (</w:t>
      </w:r>
      <w:hyperlink r:id="rId4521">
        <w:r>
          <w:rPr>
            <w:color w:val="0000EE"/>
            <w:u w:val="single"/>
          </w:rPr>
          <w:t>Gn 5.10</w:t>
        </w:r>
      </w:hyperlink>
      <w:r>
        <w:t xml:space="preserve">; </w:t>
      </w:r>
      <w:hyperlink r:id="rId4522">
        <w:r>
          <w:rPr>
            <w:color w:val="0000EE"/>
            <w:u w:val="single"/>
          </w:rPr>
          <w:t>36.9–43</w:t>
        </w:r>
      </w:hyperlink>
      <w:r>
        <w:t xml:space="preserve">; </w:t>
      </w:r>
      <w:hyperlink r:id="rId4523">
        <w:r>
          <w:rPr>
            <w:color w:val="0000EE"/>
            <w:u w:val="single"/>
          </w:rPr>
          <w:t>Nm 1.1–15</w:t>
        </w:r>
      </w:hyperlink>
      <w:r>
        <w:t xml:space="preserve">; </w:t>
      </w:r>
      <w:hyperlink r:id="rId1092">
        <w:r>
          <w:rPr>
            <w:color w:val="0000EE"/>
            <w:u w:val="single"/>
          </w:rPr>
          <w:t>Rt 4.18–22</w:t>
        </w:r>
      </w:hyperlink>
      <w:r>
        <w:t xml:space="preserve">; </w:t>
      </w:r>
      <w:hyperlink r:id="rId4524">
        <w:r>
          <w:rPr>
            <w:color w:val="0000EE"/>
            <w:u w:val="single"/>
          </w:rPr>
          <w:t>1Cr 1.1–9</w:t>
        </w:r>
      </w:hyperlink>
      <w:r>
        <w:t xml:space="preserve">). O importante direito de nomear uma criança, indicando poder e autoridade sobre essa criança, foi exercido quase igualmente entre pai e mãe nas referências bíblicas (cf. </w:t>
      </w:r>
      <w:hyperlink r:id="rId4525">
        <w:r>
          <w:rPr>
            <w:color w:val="0000EE"/>
            <w:u w:val="single"/>
          </w:rPr>
          <w:t>Gn 4.1, 25–26</w:t>
        </w:r>
      </w:hyperlink>
      <w:r>
        <w:t xml:space="preserve">; </w:t>
      </w:r>
      <w:hyperlink r:id="rId4526">
        <w:r>
          <w:rPr>
            <w:color w:val="0000EE"/>
            <w:u w:val="single"/>
          </w:rPr>
          <w:t>5.29</w:t>
        </w:r>
      </w:hyperlink>
      <w:r>
        <w:t xml:space="preserve">; </w:t>
      </w:r>
      <w:hyperlink r:id="rId3401">
        <w:r>
          <w:rPr>
            <w:color w:val="0000EE"/>
            <w:u w:val="single"/>
          </w:rPr>
          <w:t>35.18</w:t>
        </w:r>
      </w:hyperlink>
      <w:r>
        <w:t xml:space="preserve">; </w:t>
      </w:r>
      <w:hyperlink r:id="rId4527">
        <w:r>
          <w:rPr>
            <w:color w:val="0000EE"/>
            <w:u w:val="single"/>
          </w:rPr>
          <w:t>1Sm 1.20</w:t>
        </w:r>
      </w:hyperlink>
      <w:r>
        <w:t xml:space="preserve">; </w:t>
      </w:r>
      <w:hyperlink r:id="rId4528">
        <w:r>
          <w:rPr>
            <w:color w:val="0000EE"/>
            <w:u w:val="single"/>
          </w:rPr>
          <w:t>4.21</w:t>
        </w:r>
      </w:hyperlink>
      <w:r>
        <w:t xml:space="preserve">; </w:t>
      </w:r>
      <w:hyperlink r:id="rId4529">
        <w:r>
          <w:rPr>
            <w:color w:val="0000EE"/>
            <w:u w:val="single"/>
          </w:rPr>
          <w:t>Is 8.3</w:t>
        </w:r>
      </w:hyperlink>
      <w:r>
        <w:t xml:space="preserve">; </w:t>
      </w:r>
      <w:hyperlink r:id="rId4530">
        <w:r>
          <w:rPr>
            <w:color w:val="0000EE"/>
            <w:u w:val="single"/>
          </w:rPr>
          <w:t>Os 1.4–9</w:t>
        </w:r>
      </w:hyperlink>
      <w:r>
        <w:t>). Os filhos eram frequentemente nomeados em homenagem a seus pais e eram identificados com eles.</w:t>
      </w:r>
    </w:p>
    <w:p>
      <w:r/>
      <w:r>
        <w:t>O pai era a figura de autoridade no lar em uma sociedade patriarcal. Sua esposa e filhos eram considerados como seus bens, de certa forma equiparando-se aos seus campos e gado (</w:t>
      </w:r>
      <w:hyperlink r:id="rId1569">
        <w:r>
          <w:rPr>
            <w:color w:val="0000EE"/>
            <w:u w:val="single"/>
          </w:rPr>
          <w:t>Êx 20.17</w:t>
        </w:r>
      </w:hyperlink>
      <w:r>
        <w:t xml:space="preserve">; </w:t>
      </w:r>
      <w:hyperlink r:id="rId4531">
        <w:r>
          <w:rPr>
            <w:color w:val="0000EE"/>
            <w:u w:val="single"/>
          </w:rPr>
          <w:t>Dt 5.21</w:t>
        </w:r>
      </w:hyperlink>
      <w:r>
        <w:t>). Ele tinha o direito de vender suas filhas (</w:t>
      </w:r>
      <w:hyperlink r:id="rId4532">
        <w:r>
          <w:rPr>
            <w:color w:val="0000EE"/>
            <w:u w:val="single"/>
          </w:rPr>
          <w:t>Êx 21.7</w:t>
        </w:r>
      </w:hyperlink>
      <w:r>
        <w:t xml:space="preserve">; </w:t>
      </w:r>
      <w:hyperlink r:id="rId4533">
        <w:r>
          <w:rPr>
            <w:color w:val="0000EE"/>
            <w:u w:val="single"/>
          </w:rPr>
          <w:t>Ne 5.5</w:t>
        </w:r>
      </w:hyperlink>
      <w:r>
        <w:t>), e até tinha o poder da vida e da morte sobre seus filhos.</w:t>
      </w:r>
    </w:p>
    <w:p>
      <w:r/>
      <w:r>
        <w:t>A facilidade com que um homem poderia terminar um casamento divorciando-se de sua esposa também mostra a medida de sua autoridade na família (</w:t>
      </w:r>
      <w:hyperlink r:id="rId4534">
        <w:r>
          <w:rPr>
            <w:color w:val="0000EE"/>
            <w:u w:val="single"/>
          </w:rPr>
          <w:t>Dt 24.1–4</w:t>
        </w:r>
      </w:hyperlink>
      <w:r>
        <w:t xml:space="preserve">; cf. </w:t>
      </w:r>
      <w:hyperlink r:id="rId4535">
        <w:r>
          <w:rPr>
            <w:color w:val="0000EE"/>
            <w:u w:val="single"/>
          </w:rPr>
          <w:t>22.13–21</w:t>
        </w:r>
      </w:hyperlink>
      <w:r>
        <w:t>).</w:t>
      </w:r>
    </w:p>
    <w:p>
      <w:r/>
      <w:r>
        <w:t xml:space="preserve">O casamento levirato era um costume no antigo Israel, destinado a preservar a linhagem familiar e os bens de um homem. Se um homem morresse sem filhos, esperava-se que seu irmão (ou parente masculino mais próximo) se casasse com a viúva. Isso é descrito em </w:t>
      </w:r>
      <w:hyperlink r:id="rId4536">
        <w:r>
          <w:rPr>
            <w:color w:val="0000EE"/>
            <w:u w:val="single"/>
          </w:rPr>
          <w:t>Deuteronômio 25.5–10</w:t>
        </w:r>
      </w:hyperlink>
      <w:r>
        <w:t>. O primeiro filho nascido desse novo casamento seria contado como filho do falecido, para que seu nome e herança continuassem. O costume também ajudava a cuidar da viúva, que, de outra forma, poderia ficar sem sustento. Práticas semelhantes eram conhecidas entre os cananeus, assírios e hititas.</w:t>
      </w:r>
    </w:p>
    <w:p>
      <w:r/>
      <w:r>
        <w:t xml:space="preserve">A situação de levirato mais familiar no AT, embora não se conformando estritamente com a lei de </w:t>
      </w:r>
      <w:hyperlink r:id="rId4537">
        <w:r>
          <w:rPr>
            <w:color w:val="0000EE"/>
            <w:u w:val="single"/>
          </w:rPr>
          <w:t>Deuteronômio 25</w:t>
        </w:r>
      </w:hyperlink>
      <w:r>
        <w:t>, é descrita no livro de Rute. Era essencial que Rute encontrasse algum parente homem próximo para se casar com ela, para que o nome de família e a propriedade pudessem ser preservados. O parente homem mais próximo declinou a responsabilidade, sentindo que era uma dupla imposição, primeiro, ter que comprar a terra e apoiar Rute, e segundo, saber que o primeiro filho seria considerado como o filho de seu marido morto, levando seu nome e herdando a terra. Boaz concordou em assumir a responsabilidade (</w:t>
      </w:r>
      <w:hyperlink r:id="rId4538">
        <w:r>
          <w:rPr>
            <w:color w:val="0000EE"/>
            <w:u w:val="single"/>
          </w:rPr>
          <w:t>Rt 2.20–4.10</w:t>
        </w:r>
      </w:hyperlink>
      <w:r>
        <w:t>).</w:t>
      </w:r>
    </w:p>
    <w:p>
      <w:r/>
      <w:r>
        <w:t>Apesar de numerosos exemplos de poligamia citados no AT, não há dúvida de que a grande maioria dos israelitas era monogâmica. Não há exemplos de grandes casamentos polígamos nas famílias dos plebeus.</w:t>
      </w:r>
    </w:p>
    <w:p>
      <w:r/>
      <w:r>
        <w:t>A instrução original a Adão era que um “homem... apegar-se-á à sua esposa” (</w:t>
      </w:r>
      <w:hyperlink r:id="rId3603">
        <w:r>
          <w:rPr>
            <w:color w:val="0000EE"/>
            <w:u w:val="single"/>
          </w:rPr>
          <w:t>Gn 2.24</w:t>
        </w:r>
      </w:hyperlink>
      <w:r>
        <w:t>). As leis hebraicas geralmente implicam que um casamento com uma esposa é a forma mais aceitável de casamento (</w:t>
      </w:r>
      <w:hyperlink r:id="rId1569">
        <w:r>
          <w:rPr>
            <w:color w:val="0000EE"/>
            <w:u w:val="single"/>
          </w:rPr>
          <w:t>Êx 20.17</w:t>
        </w:r>
      </w:hyperlink>
      <w:r>
        <w:t xml:space="preserve">; </w:t>
      </w:r>
      <w:hyperlink r:id="rId4539">
        <w:r>
          <w:rPr>
            <w:color w:val="0000EE"/>
            <w:u w:val="single"/>
          </w:rPr>
          <w:t>21.5</w:t>
        </w:r>
      </w:hyperlink>
      <w:r>
        <w:t xml:space="preserve">; </w:t>
      </w:r>
      <w:hyperlink r:id="rId4540">
        <w:r>
          <w:rPr>
            <w:color w:val="0000EE"/>
            <w:u w:val="single"/>
          </w:rPr>
          <w:t>Lv 18.8, 16–20</w:t>
        </w:r>
      </w:hyperlink>
      <w:r>
        <w:t xml:space="preserve">; </w:t>
      </w:r>
      <w:hyperlink r:id="rId456">
        <w:r>
          <w:rPr>
            <w:color w:val="0000EE"/>
            <w:u w:val="single"/>
          </w:rPr>
          <w:t>20.10</w:t>
        </w:r>
      </w:hyperlink>
      <w:r>
        <w:t xml:space="preserve">; </w:t>
      </w:r>
      <w:hyperlink r:id="rId4541">
        <w:r>
          <w:rPr>
            <w:color w:val="0000EE"/>
            <w:u w:val="single"/>
          </w:rPr>
          <w:t>Nm 5.12</w:t>
        </w:r>
      </w:hyperlink>
      <w:r>
        <w:t xml:space="preserve">; </w:t>
      </w:r>
      <w:hyperlink r:id="rId4531">
        <w:r>
          <w:rPr>
            <w:color w:val="0000EE"/>
            <w:u w:val="single"/>
          </w:rPr>
          <w:t>Dt 5.21</w:t>
        </w:r>
      </w:hyperlink>
      <w:r>
        <w:t>). Embora isso pareça ter se tornado a norma na época da monarquia, um rei como Salomão não seguia as tradições hebraicas neste assunto. No período pós-exílico, os casamentos eram predominantemente monogâmicos, embora estivessem, cada vez mais, extinguidos em razão de divórcio. No período do NT, a monogamia parece ter sido a regra, embora pessoas como Herodes, o Grande, fossem polígamos. Cristo ensinou que o casamento deve durar perpetuamente entre os parceiros, e se um homem se divorciou de sua esposa e se casou com outra mulher durante a vida de seu cônjuge anterior, ele cometeu adultério (</w:t>
      </w:r>
      <w:hyperlink r:id="rId4542">
        <w:r>
          <w:rPr>
            <w:color w:val="0000EE"/>
            <w:u w:val="single"/>
          </w:rPr>
          <w:t>Mt 5.31–32</w:t>
        </w:r>
      </w:hyperlink>
      <w:r>
        <w:t>).</w:t>
      </w:r>
    </w:p>
    <w:p>
      <w:r/>
      <w:r>
        <w:t>O casamento geralmente ocorria com aqueles que estavam perto do ciclo familiar imediato, e era imperativo, portanto, que os limites à consanguinidade aceitável fossem impostos. Nos tempos patriarcais, um homem poderia se casar com sua meia-irmã do lado de seu pai (</w:t>
      </w:r>
      <w:hyperlink r:id="rId4543">
        <w:r>
          <w:rPr>
            <w:color w:val="0000EE"/>
            <w:u w:val="single"/>
          </w:rPr>
          <w:t>Gn 20.12</w:t>
        </w:r>
      </w:hyperlink>
      <w:r>
        <w:t>), e isso continuou a ser o mesmo caso sob o governo de Davi (</w:t>
      </w:r>
      <w:hyperlink r:id="rId4544">
        <w:r>
          <w:rPr>
            <w:color w:val="0000EE"/>
            <w:u w:val="single"/>
          </w:rPr>
          <w:t>2Sm 13.13</w:t>
        </w:r>
      </w:hyperlink>
      <w:r>
        <w:t xml:space="preserve">), embora fosse especificamente proibido em </w:t>
      </w:r>
      <w:hyperlink r:id="rId4545">
        <w:r>
          <w:rPr>
            <w:color w:val="0000EE"/>
            <w:u w:val="single"/>
          </w:rPr>
          <w:t>Levítico 20.17</w:t>
        </w:r>
      </w:hyperlink>
      <w:r>
        <w:t>. Como há alguma contradição entre as leis do casamento de Deuteronômio e aquelas na Lei da Santidade (</w:t>
      </w:r>
      <w:hyperlink r:id="rId4546">
        <w:r>
          <w:rPr>
            <w:color w:val="0000EE"/>
            <w:u w:val="single"/>
          </w:rPr>
          <w:t>Dt 25.5</w:t>
        </w:r>
      </w:hyperlink>
      <w:r>
        <w:t xml:space="preserve">; </w:t>
      </w:r>
      <w:hyperlink r:id="rId4547">
        <w:r>
          <w:rPr>
            <w:color w:val="0000EE"/>
            <w:u w:val="single"/>
          </w:rPr>
          <w:t>Lv 18.16</w:t>
        </w:r>
      </w:hyperlink>
      <w:r>
        <w:t>), é possível ter havido alguma modificação dos regulamentos levíticos mais estritos. Os casamentos entre primos, como Isaque com Rebeca, e Jacó com Raquel e Lia, eram comuns. Quando um parente próximo estava interessado no casamento, era quase impossível negar (</w:t>
      </w:r>
      <w:hyperlink r:id="rId4548">
        <w:r>
          <w:rPr>
            <w:color w:val="0000EE"/>
            <w:u w:val="single"/>
          </w:rPr>
          <w:t>Tb 6.13</w:t>
        </w:r>
      </w:hyperlink>
      <w:r>
        <w:t xml:space="preserve">; </w:t>
      </w:r>
      <w:hyperlink r:id="rId4549">
        <w:r>
          <w:rPr>
            <w:color w:val="0000EE"/>
            <w:u w:val="single"/>
          </w:rPr>
          <w:t>7.11–12</w:t>
        </w:r>
      </w:hyperlink>
      <w:r>
        <w:t>). Moisés era o filho de um casamento entre sobrinho e tia (</w:t>
      </w:r>
      <w:hyperlink r:id="rId4550">
        <w:r>
          <w:rPr>
            <w:color w:val="0000EE"/>
            <w:u w:val="single"/>
          </w:rPr>
          <w:t>Êx 6.20</w:t>
        </w:r>
      </w:hyperlink>
      <w:r>
        <w:t xml:space="preserve">; </w:t>
      </w:r>
      <w:hyperlink r:id="rId2371">
        <w:r>
          <w:rPr>
            <w:color w:val="0000EE"/>
            <w:u w:val="single"/>
          </w:rPr>
          <w:t>Nm 26.59</w:t>
        </w:r>
      </w:hyperlink>
      <w:r>
        <w:t xml:space="preserve">), que teria sido proibido em </w:t>
      </w:r>
      <w:hyperlink r:id="rId4551">
        <w:r>
          <w:rPr>
            <w:color w:val="0000EE"/>
            <w:u w:val="single"/>
          </w:rPr>
          <w:t>Levítico 18.12–13</w:t>
        </w:r>
      </w:hyperlink>
      <w:r>
        <w:t xml:space="preserve"> e </w:t>
      </w:r>
      <w:hyperlink r:id="rId4552">
        <w:r>
          <w:rPr>
            <w:color w:val="0000EE"/>
            <w:u w:val="single"/>
          </w:rPr>
          <w:t>20.19</w:t>
        </w:r>
      </w:hyperlink>
      <w:r>
        <w:t>, assim como o casamento de Jacó com duas irmãs ao mesmo tempo (</w:t>
      </w:r>
      <w:hyperlink r:id="rId4553">
        <w:r>
          <w:rPr>
            <w:color w:val="0000EE"/>
            <w:u w:val="single"/>
          </w:rPr>
          <w:t>Gn 29.30</w:t>
        </w:r>
      </w:hyperlink>
      <w:r>
        <w:t>).</w:t>
      </w:r>
    </w:p>
    <w:p>
      <w:r/>
      <w:r>
        <w:t>Quando os israelitas se estabeleceram em Canaã, muitos deles se casaram com mulheres cananeias, para grande consternação daqueles que desejavam manter a pureza da religião hebraica (</w:t>
      </w:r>
      <w:hyperlink r:id="rId4554">
        <w:r>
          <w:rPr>
            <w:color w:val="0000EE"/>
            <w:u w:val="single"/>
          </w:rPr>
          <w:t>1Rs 11.4</w:t>
        </w:r>
      </w:hyperlink>
      <w:r>
        <w:t>). Tal casamento foi proibido sob a lei mosaica (</w:t>
      </w:r>
      <w:hyperlink r:id="rId4555">
        <w:r>
          <w:rPr>
            <w:color w:val="0000EE"/>
            <w:u w:val="single"/>
          </w:rPr>
          <w:t>Êx 34.15–16</w:t>
        </w:r>
      </w:hyperlink>
      <w:r>
        <w:t xml:space="preserve">; </w:t>
      </w:r>
      <w:hyperlink r:id="rId4556">
        <w:r>
          <w:rPr>
            <w:color w:val="0000EE"/>
            <w:u w:val="single"/>
          </w:rPr>
          <w:t>Dt 7.3–4</w:t>
        </w:r>
      </w:hyperlink>
      <w:r>
        <w:t>), embora muitos israelitas tenham ignorado esses regulamentos e continuado a se entregar a casamentos mistos. Se uma mulher fosse capturada na guerra uma exceção poderia ser feita (</w:t>
      </w:r>
      <w:hyperlink r:id="rId4557">
        <w:r>
          <w:rPr>
            <w:color w:val="0000EE"/>
            <w:u w:val="single"/>
          </w:rPr>
          <w:t>Dt 21.10–14</w:t>
        </w:r>
      </w:hyperlink>
      <w:r>
        <w:t>). Em contraste, Sansão se casou com uma mulher filisteia que permaneceu com seu próprio povo, mas que recebia visitas conjugais de seu marido, periodicamente (</w:t>
      </w:r>
      <w:hyperlink r:id="rId4558">
        <w:r>
          <w:rPr>
            <w:color w:val="0000EE"/>
            <w:u w:val="single"/>
          </w:rPr>
          <w:t>Jz 14.8–15.2</w:t>
        </w:r>
      </w:hyperlink>
      <w:r>
        <w:t>).</w:t>
      </w:r>
    </w:p>
    <w:p>
      <w:r/>
      <w:r>
        <w:t>O perigo de casamentos entre si, afetando a pureza da religião hebraica, foi considerado com tal gravidade que, no período pós-exílico, o divórcio foi ordenado para os judeus que haviam se casado com esposas estrangeiras (</w:t>
      </w:r>
      <w:hyperlink r:id="rId4559">
        <w:r>
          <w:rPr>
            <w:color w:val="0000EE"/>
            <w:u w:val="single"/>
          </w:rPr>
          <w:t>Ed 9.2</w:t>
        </w:r>
      </w:hyperlink>
      <w:r>
        <w:t xml:space="preserve">; </w:t>
      </w:r>
      <w:hyperlink r:id="rId4560">
        <w:r>
          <w:rPr>
            <w:color w:val="0000EE"/>
            <w:u w:val="single"/>
          </w:rPr>
          <w:t>10.3, 16–17</w:t>
        </w:r>
      </w:hyperlink>
      <w:r>
        <w:t>). A intenção era que a religião nacional permanecesse pura, mesmo que casas e famílias fossem destruídas. Mesmo nos tempos do NT, Paulo denunciou o casamento com os não-cristãos (</w:t>
      </w:r>
      <w:hyperlink r:id="rId4561">
        <w:r>
          <w:rPr>
            <w:color w:val="0000EE"/>
            <w:u w:val="single"/>
          </w:rPr>
          <w:t>2Co 6.14–15</w:t>
        </w:r>
      </w:hyperlink>
      <w:r>
        <w:t>).</w:t>
      </w:r>
    </w:p>
    <w:p>
      <w:r/>
      <w:r>
        <w:t>É difícil estimar com que idade os jovens se casavam. Um menino era considerado um homem ao alcançar em sua adolescência, e a tradição judaica, mais tarde, celebrava esta transição através do bar mitzvah, que geralmente ocorria quando o menino tinha 13 anos.</w:t>
      </w:r>
    </w:p>
    <w:p>
      <w:r/>
      <w:r>
        <w:t>Normalmente os pais do jovem escolhiam a noiva. A conversa resultante sobre o casamento ocorria entre os pais do noivo e os pais da noiva, e muitas vezes nenhum dos jovens era consultado. Era essencial que o mais velho na família se casasse primeiro (</w:t>
      </w:r>
      <w:hyperlink r:id="rId4562">
        <w:r>
          <w:rPr>
            <w:color w:val="0000EE"/>
            <w:u w:val="single"/>
          </w:rPr>
          <w:t>Gn 29.26</w:t>
        </w:r>
      </w:hyperlink>
      <w:r>
        <w:t>). Quando Abraão decidiu que Isaque deveria se casar, um servo foi enviado para escolher uma noiva entre os parentes de Abraão na Mesopotâmia. O servo fez contato com o irmão e a mãe da noiva (</w:t>
      </w:r>
      <w:hyperlink r:id="rId4563">
        <w:r>
          <w:rPr>
            <w:color w:val="0000EE"/>
            <w:u w:val="single"/>
          </w:rPr>
          <w:t>24.33–53</w:t>
        </w:r>
      </w:hyperlink>
      <w:r>
        <w:t xml:space="preserve">), e apenas depois que Rebeca foi convidada a dar seu consentimento (vv. </w:t>
      </w:r>
      <w:hyperlink r:id="rId4564">
        <w:r>
          <w:rPr>
            <w:color w:val="0000EE"/>
            <w:u w:val="single"/>
          </w:rPr>
          <w:t>57–58</w:t>
        </w:r>
      </w:hyperlink>
      <w:r>
        <w:t>). Seu pai estava possivelmente incapacitado; caso contrário, teria sido improvável que seu consentimento tivesse sido pedido.</w:t>
      </w:r>
    </w:p>
    <w:p>
      <w:r/>
      <w:r>
        <w:t>Os jovens frequentemente não podiam sustentar mais de uma esposa, pois tinham que pagar um preço de noiva ao pai da noiva. Em alguns casos, um homem podia oferecer anos de serviço em vez de dinheiro (</w:t>
      </w:r>
      <w:hyperlink r:id="rId4565">
        <w:r>
          <w:rPr>
            <w:color w:val="0000EE"/>
            <w:u w:val="single"/>
          </w:rPr>
          <w:t>Gn 29.15–30</w:t>
        </w:r>
      </w:hyperlink>
      <w:r>
        <w:t>). Ou então, podiam completar uma tarefa específica exigida pelo pai da noiva (</w:t>
      </w:r>
      <w:hyperlink r:id="rId4566">
        <w:r>
          <w:rPr>
            <w:color w:val="0000EE"/>
            <w:u w:val="single"/>
          </w:rPr>
          <w:t>1Sm 18.25–27</w:t>
        </w:r>
      </w:hyperlink>
      <w:r>
        <w:t>). Se um homem estuprasse uma virgem, era obrigado a pagar ao pai dela 50 siclos de prata e se casar com ela, se o pai permitisse (</w:t>
      </w:r>
      <w:hyperlink r:id="rId4567">
        <w:r>
          <w:rPr>
            <w:color w:val="0000EE"/>
            <w:u w:val="single"/>
          </w:rPr>
          <w:t>Dt 22:28–29</w:t>
        </w:r>
      </w:hyperlink>
      <w:r>
        <w:t>). Esse pagamento era uma forma de punição e compensação, não um preço de noiva típico.</w:t>
      </w:r>
    </w:p>
    <w:p>
      <w:r/>
      <w:r>
        <w:t>Na época do segundo templo, uma noiva virgem era tomada pelo valor de 50 siclos, e uma viúva ou mulher divorciada cerca de metade dessa quantia. Durante este período, uma noiva virgem era normalmente casada no meio da semana para que, se seu marido a encontrasse não sendo virgem, ele poderia trazer a prova ao tribunal no dia seguinte, e ainda seria antes da chegada do Sábado. Uma viúva ou uma mulher divorciada normalmente se casou em dia equivalente a uma quinta-feira, dando-lhe um dia inteiro com seu marido antes do Sábado.</w:t>
      </w:r>
    </w:p>
    <w:p>
      <w:r/>
      <w:r>
        <w:t>O casamento era um pacto ou aliança entre duas famílias. Assim os uniu, e ao ampliar o parentesco, o tamanho geral do grupo foi aumentado. Isso era importante em uma sociedade onde as responsabilidades por parentes, por mais distantes, eram aceitas sem hesitar. O conceito da aliança também poderia ter conotações políticas, como o casamento entre Salomão e a princesa egípcia (</w:t>
      </w:r>
      <w:hyperlink r:id="rId4568">
        <w:r>
          <w:rPr>
            <w:color w:val="0000EE"/>
            <w:u w:val="single"/>
          </w:rPr>
          <w:t>1Rs 11.1</w:t>
        </w:r>
      </w:hyperlink>
      <w:r>
        <w:t>) ou Acabe de Israel e Jezabel de Tiro (</w:t>
      </w:r>
      <w:hyperlink r:id="rId4569">
        <w:r>
          <w:rPr>
            <w:color w:val="0000EE"/>
            <w:u w:val="single"/>
          </w:rPr>
          <w:t>16.31</w:t>
        </w:r>
      </w:hyperlink>
      <w:r>
        <w:t>).</w:t>
      </w:r>
    </w:p>
    <w:p>
      <w:r/>
      <w:r>
        <w:t>A confirmação da aliança incluía a transferência de presentes, que estabeleceria a riqueza e o status do doador e da noiva (</w:t>
      </w:r>
      <w:hyperlink r:id="rId4570">
        <w:r>
          <w:rPr>
            <w:color w:val="0000EE"/>
            <w:u w:val="single"/>
          </w:rPr>
          <w:t>Gn 34.12</w:t>
        </w:r>
      </w:hyperlink>
      <w:r>
        <w:t>). No antigo Oriente Próximo, acredita-se que a doação de um presente incluía uma parte do doador, de modo que o doador estava realmente oferecendo uma parte de si. O presente que selava a aliança também estabelecia a autoridade do doador sobre a noiva.</w:t>
      </w:r>
    </w:p>
    <w:p>
      <w:r/>
      <w:r>
        <w:t xml:space="preserve">A próxima etapa no procedimento de casamento era o noivado. Mencionado pela primeira vez em </w:t>
      </w:r>
      <w:hyperlink r:id="rId4571">
        <w:r>
          <w:rPr>
            <w:color w:val="0000EE"/>
            <w:u w:val="single"/>
          </w:rPr>
          <w:t>Êxodo 22.16</w:t>
        </w:r>
      </w:hyperlink>
      <w:r>
        <w:t>, o termo é usado várias vezes em Deuteronômio (</w:t>
      </w:r>
      <w:hyperlink r:id="rId4572">
        <w:r>
          <w:rPr>
            <w:color w:val="0000EE"/>
            <w:u w:val="single"/>
          </w:rPr>
          <w:t>Dt 20.7</w:t>
        </w:r>
      </w:hyperlink>
      <w:r>
        <w:t xml:space="preserve">; </w:t>
      </w:r>
      <w:hyperlink r:id="rId4573">
        <w:r>
          <w:rPr>
            <w:color w:val="0000EE"/>
            <w:u w:val="single"/>
          </w:rPr>
          <w:t>22.23–24</w:t>
        </w:r>
      </w:hyperlink>
      <w:r>
        <w:t>). O noivado tinha o status legal de um casamento (</w:t>
      </w:r>
      <w:hyperlink r:id="rId4574">
        <w:r>
          <w:rPr>
            <w:color w:val="0000EE"/>
            <w:u w:val="single"/>
          </w:rPr>
          <w:t>Dt 28.30</w:t>
        </w:r>
      </w:hyperlink>
      <w:r>
        <w:t xml:space="preserve">; </w:t>
      </w:r>
      <w:hyperlink r:id="rId4575">
        <w:r>
          <w:rPr>
            <w:color w:val="0000EE"/>
            <w:u w:val="single"/>
          </w:rPr>
          <w:t>2Sm 3.14</w:t>
        </w:r>
      </w:hyperlink>
      <w:r>
        <w:t>), e qualquer um que violasse uma virgem prometida seria apedrejado, de acordo com a lei de Deuteronômio, por violar a “esposa” de seu próximo (</w:t>
      </w:r>
      <w:hyperlink r:id="rId4573">
        <w:r>
          <w:rPr>
            <w:color w:val="0000EE"/>
            <w:u w:val="single"/>
          </w:rPr>
          <w:t>Dt 22.23–24</w:t>
        </w:r>
      </w:hyperlink>
      <w:r>
        <w:t>). O significado de um noivado envolvia a tomada de posse, de forma semelhante à de receber tributo. No entanto, permaneceu uma distinção entre noivar uma mulher e tomá-la como esposa (</w:t>
      </w:r>
      <w:hyperlink r:id="rId4572">
        <w:r>
          <w:rPr>
            <w:color w:val="0000EE"/>
            <w:u w:val="single"/>
          </w:rPr>
          <w:t>20.7</w:t>
        </w:r>
      </w:hyperlink>
      <w:r>
        <w:t>). Durante o período de noivado, o noivo em potencial estava isento do serviço militar. Foi assumido que o noivado era uma parte formal de um relacionamento permanente (</w:t>
      </w:r>
      <w:hyperlink r:id="rId4576">
        <w:r>
          <w:rPr>
            <w:color w:val="0000EE"/>
            <w:u w:val="single"/>
          </w:rPr>
          <w:t>Mt 1.18</w:t>
        </w:r>
      </w:hyperlink>
      <w:r>
        <w:t xml:space="preserve">; </w:t>
      </w:r>
      <w:hyperlink r:id="rId4577">
        <w:r>
          <w:rPr>
            <w:color w:val="0000EE"/>
            <w:u w:val="single"/>
          </w:rPr>
          <w:t>Lc 1.27</w:t>
        </w:r>
      </w:hyperlink>
      <w:r>
        <w:t xml:space="preserve">; </w:t>
      </w:r>
      <w:hyperlink r:id="rId4578">
        <w:r>
          <w:rPr>
            <w:color w:val="0000EE"/>
            <w:u w:val="single"/>
          </w:rPr>
          <w:t>2.5</w:t>
        </w:r>
      </w:hyperlink>
      <w:r>
        <w:t>).</w:t>
      </w:r>
    </w:p>
    <w:p>
      <w:r/>
      <w:r>
        <w:t>Um homem que deveria se casar com a filha de outro já era considerado como um genro na época do noivado (</w:t>
      </w:r>
      <w:hyperlink r:id="rId4579">
        <w:r>
          <w:rPr>
            <w:color w:val="0000EE"/>
            <w:u w:val="single"/>
          </w:rPr>
          <w:t>Gn 19.14</w:t>
        </w:r>
      </w:hyperlink>
      <w:r>
        <w:t>). Maria, como prometida de José, era, na verdade, considerada sua esposa, embora ele não tivesse relacionamento sexual com ela até após o nascimento de Jesus.</w:t>
      </w:r>
    </w:p>
    <w:p>
      <w:r/>
      <w:r>
        <w:t>O primeiro registro bíblico de um casamento celebrado por uma festa está na história de Jacó (</w:t>
      </w:r>
      <w:hyperlink r:id="rId3090">
        <w:r>
          <w:rPr>
            <w:color w:val="0000EE"/>
            <w:u w:val="single"/>
          </w:rPr>
          <w:t>Gn 29.22</w:t>
        </w:r>
      </w:hyperlink>
      <w:r>
        <w:t>). Não havia, factualmente, um registro de contrato de casamento, até sua menção no livro de Tobias (</w:t>
      </w:r>
      <w:hyperlink r:id="rId4580">
        <w:r>
          <w:rPr>
            <w:color w:val="0000EE"/>
            <w:u w:val="single"/>
          </w:rPr>
          <w:t>Tb 7.12</w:t>
        </w:r>
      </w:hyperlink>
      <w:r>
        <w:t>). Este contrato não era considerado válido até que o casal tivesse coabitado por uma semana (</w:t>
      </w:r>
      <w:hyperlink r:id="rId4581">
        <w:r>
          <w:rPr>
            <w:color w:val="0000EE"/>
            <w:u w:val="single"/>
          </w:rPr>
          <w:t>Gn 29.27</w:t>
        </w:r>
      </w:hyperlink>
      <w:r>
        <w:t xml:space="preserve">; </w:t>
      </w:r>
      <w:hyperlink r:id="rId4582">
        <w:r>
          <w:rPr>
            <w:color w:val="0000EE"/>
            <w:u w:val="single"/>
          </w:rPr>
          <w:t>Jz 14.12, 18</w:t>
        </w:r>
      </w:hyperlink>
      <w:r>
        <w:t>). Quando Sansão deixou sua noiva antes do final do período de sete dias, os pais da noiva consideraram nulo o casamento, e a deram em noivado a outro homem (</w:t>
      </w:r>
      <w:hyperlink r:id="rId4583">
        <w:r>
          <w:rPr>
            <w:color w:val="0000EE"/>
            <w:u w:val="single"/>
          </w:rPr>
          <w:t>Jz 14.20</w:t>
        </w:r>
      </w:hyperlink>
      <w:r>
        <w:t>).</w:t>
      </w:r>
    </w:p>
    <w:p>
      <w:r/>
      <w:r>
        <w:t>O casamento era uma ocasião de grande alegria familiar. A roupa especial da noiva e do noivo (</w:t>
      </w:r>
      <w:hyperlink r:id="rId4584">
        <w:r>
          <w:rPr>
            <w:color w:val="0000EE"/>
            <w:u w:val="single"/>
          </w:rPr>
          <w:t>Is 61.10</w:t>
        </w:r>
      </w:hyperlink>
      <w:r>
        <w:t xml:space="preserve">; </w:t>
      </w:r>
      <w:hyperlink r:id="rId4585">
        <w:r>
          <w:rPr>
            <w:color w:val="0000EE"/>
            <w:u w:val="single"/>
          </w:rPr>
          <w:t>Ez 16.9–13</w:t>
        </w:r>
      </w:hyperlink>
      <w:r>
        <w:t>) incluía para a noiva um vestido fino, muitas vezes adornado com joias (</w:t>
      </w:r>
      <w:hyperlink r:id="rId4586">
        <w:r>
          <w:rPr>
            <w:color w:val="0000EE"/>
            <w:u w:val="single"/>
          </w:rPr>
          <w:t>Sl 45.14–15</w:t>
        </w:r>
      </w:hyperlink>
      <w:r>
        <w:t xml:space="preserve">; </w:t>
      </w:r>
      <w:hyperlink r:id="rId4584">
        <w:r>
          <w:rPr>
            <w:color w:val="0000EE"/>
            <w:u w:val="single"/>
          </w:rPr>
          <w:t>Is 61.10</w:t>
        </w:r>
      </w:hyperlink>
      <w:r>
        <w:t>) e outros ornamentos, enquanto o noivo tinha roupas finas e usava um diadema (</w:t>
      </w:r>
      <w:hyperlink r:id="rId4587">
        <w:r>
          <w:rPr>
            <w:color w:val="0000EE"/>
            <w:u w:val="single"/>
          </w:rPr>
          <w:t>Ct 3.11</w:t>
        </w:r>
      </w:hyperlink>
      <w:r>
        <w:t xml:space="preserve">; </w:t>
      </w:r>
      <w:hyperlink r:id="rId4584">
        <w:r>
          <w:rPr>
            <w:color w:val="0000EE"/>
            <w:u w:val="single"/>
          </w:rPr>
          <w:t>Is 61.10</w:t>
        </w:r>
      </w:hyperlink>
      <w:r>
        <w:t>). A noiva usava um véu (</w:t>
      </w:r>
      <w:hyperlink r:id="rId4588">
        <w:r>
          <w:rPr>
            <w:color w:val="0000EE"/>
            <w:u w:val="single"/>
          </w:rPr>
          <w:t>Gn 24.65</w:t>
        </w:r>
      </w:hyperlink>
      <w:r>
        <w:t xml:space="preserve">; </w:t>
      </w:r>
      <w:hyperlink r:id="rId4589">
        <w:r>
          <w:rPr>
            <w:color w:val="0000EE"/>
            <w:u w:val="single"/>
          </w:rPr>
          <w:t>Ct 4.3</w:t>
        </w:r>
      </w:hyperlink>
      <w:r>
        <w:t>), que era removido na câmara nupcial. Isso explicaria a necessidade de Rebeca de se velar na presença de Isaque, seu noivo (</w:t>
      </w:r>
      <w:hyperlink r:id="rId4588">
        <w:r>
          <w:rPr>
            <w:color w:val="0000EE"/>
            <w:u w:val="single"/>
          </w:rPr>
          <w:t>Gn 24.65</w:t>
        </w:r>
      </w:hyperlink>
      <w:r>
        <w:t>), e também pela facilidade com que Labão foi capaz de substituir Raquel por Lia na noite de núpcias de Jacó (</w:t>
      </w:r>
      <w:hyperlink r:id="rId4590">
        <w:r>
          <w:rPr>
            <w:color w:val="0000EE"/>
            <w:u w:val="single"/>
          </w:rPr>
          <w:t>29.23–25</w:t>
        </w:r>
      </w:hyperlink>
      <w:r>
        <w:t>).</w:t>
      </w:r>
    </w:p>
    <w:p>
      <w:r/>
      <w:r>
        <w:t>Cerimônias simbólicas, às vezes, podem ter sido incluídas como parte do noivado ou cerimônias de casamento, como o pedido de Rute de que Boaz estendeu sua capa sobre ela para indicar que ele estava a tomá-la como sua esposa (</w:t>
      </w:r>
      <w:hyperlink r:id="rId4591">
        <w:r>
          <w:rPr>
            <w:color w:val="0000EE"/>
            <w:u w:val="single"/>
          </w:rPr>
          <w:t>Rt 3.9</w:t>
        </w:r>
      </w:hyperlink>
      <w:r>
        <w:t>). Outro ritual pode ter sido a remoção cerimonial do cinto da noiva pelo noivo na câmara nupcial, que era um cômodo ou tenda especialmente preparado para o casal recém-casado. O casamento era normalmente consumado na primeira noite (</w:t>
      </w:r>
      <w:hyperlink r:id="rId4592">
        <w:r>
          <w:rPr>
            <w:color w:val="0000EE"/>
            <w:u w:val="single"/>
          </w:rPr>
          <w:t>Gn 29.23</w:t>
        </w:r>
      </w:hyperlink>
      <w:r>
        <w:t xml:space="preserve">; </w:t>
      </w:r>
      <w:hyperlink r:id="rId4593">
        <w:r>
          <w:rPr>
            <w:color w:val="0000EE"/>
            <w:u w:val="single"/>
          </w:rPr>
          <w:t>Tb 8.1</w:t>
        </w:r>
      </w:hyperlink>
      <w:r>
        <w:t>), e o linho manchado seria mantido como evidência da virgindade da noiva.</w:t>
      </w:r>
    </w:p>
    <w:p>
      <w:r/>
      <w:r>
        <w:t>Em um contraste com a elaborada procissão e festa do casamento, o divórcio era simples. Um homem poderia se divorciar de sua esposa se ele encontrasse falha em qualquer assunto específico, e este direito não foi abolido até o século 11 d.C. O divórcio era desencorajado, no entanto, e gradualmente o procedimento se tornou mais complexo, sendo cercado com uma série de impedimentos.</w:t>
      </w:r>
    </w:p>
    <w:p>
      <w:r/>
      <w:r>
        <w:t>À medida que as leis sobre o divórcio se tornaram mais complexas, o procedimento se tornou cada vez mais caro. Em um momento posterior, um advogado, ou às vezes um rabino, daria conselhos, especialmente em assuntos como o retorno da propriedade que pertence corretamente à noiva ou sua família.</w:t>
      </w:r>
    </w:p>
    <w:p>
      <w:r/>
      <w:r>
        <w:t>Se uma noiva fosse encontrada por cometer adultério, pensava-se que o marido estava legitimado a requisitar divórcio. Este também era o caso se ele suspeitasse de infidelidade. Ele também poderia se divorciar de sua esposa se ele sentisse que ela havia violado a moralidade comum, havia se tornado apóstata, ou havia sido menos do que eficiente no gerenciamento de sua casa. Se uma mulher rejeitar ao seu marido os seus direitos conjugais por um período de, pelo menos um ano, ela poderia ser divorciada. Outros motivos para se divorciar de uma esposa incluíam comportamento insultante a um marido ou seus parentes, contrair uma doença incurável, ou se negar a acompanhar seu marido quando ele mudou o domicílio para uma nova área.</w:t>
      </w:r>
    </w:p>
    <w:p>
      <w:r/>
      <w:r>
        <w:t>Em geral, a posição da esposa era baixa. Apesar do fato de que ela dava conselhos, administrava a casa, educava as crianças pequenas e trabalhava ao lado de seu marido quando necessário, ele ainda era seu mestre, e seu papel era obedecer. Ela era pouco mais do que uma serva, embora melhor do que uma escrava, pois ela não poderia ser vendida, mesmo que ela pudesse ser divorciada.</w:t>
      </w:r>
    </w:p>
    <w:p>
      <w:r/>
      <w:r>
        <w:t>Nos frequentes usos figurados do casamento no AT, o povo hebreu e Deus são referidos em termos de noiva e noivo (</w:t>
      </w:r>
      <w:hyperlink r:id="rId4594">
        <w:r>
          <w:rPr>
            <w:color w:val="0000EE"/>
            <w:u w:val="single"/>
          </w:rPr>
          <w:t>Is 62.4–5</w:t>
        </w:r>
      </w:hyperlink>
      <w:r>
        <w:t xml:space="preserve">; </w:t>
      </w:r>
      <w:hyperlink r:id="rId4595">
        <w:r>
          <w:rPr>
            <w:color w:val="0000EE"/>
            <w:u w:val="single"/>
          </w:rPr>
          <w:t>Jr 2.2</w:t>
        </w:r>
      </w:hyperlink>
      <w:r>
        <w:t>). A desolação que está prestes a dominar Judá é contrastada por Jeremias com a celebração de uma festa de casamento (</w:t>
      </w:r>
      <w:hyperlink r:id="rId4596">
        <w:r>
          <w:rPr>
            <w:color w:val="0000EE"/>
            <w:u w:val="single"/>
          </w:rPr>
          <w:t>Jr 7.34</w:t>
        </w:r>
      </w:hyperlink>
      <w:r>
        <w:t xml:space="preserve">; </w:t>
      </w:r>
      <w:hyperlink r:id="rId4597">
        <w:r>
          <w:rPr>
            <w:color w:val="0000EE"/>
            <w:u w:val="single"/>
          </w:rPr>
          <w:t>16.9</w:t>
        </w:r>
      </w:hyperlink>
      <w:r>
        <w:t xml:space="preserve">; </w:t>
      </w:r>
      <w:hyperlink r:id="rId4598">
        <w:r>
          <w:rPr>
            <w:color w:val="0000EE"/>
            <w:u w:val="single"/>
          </w:rPr>
          <w:t>25.10</w:t>
        </w:r>
      </w:hyperlink>
      <w:r>
        <w:t>). As formas figuradas são usadas novamente em Oseias, onde Deus rejeita o relacionamento com sua esposa, Israel (</w:t>
      </w:r>
      <w:hyperlink r:id="rId4599">
        <w:r>
          <w:rPr>
            <w:color w:val="0000EE"/>
            <w:u w:val="single"/>
          </w:rPr>
          <w:t>Os 2.2</w:t>
        </w:r>
      </w:hyperlink>
      <w:r>
        <w:t xml:space="preserve">), mas está preparado para aceitá-la novamente se ela retomar suas práticas fiéis (vv. </w:t>
      </w:r>
      <w:hyperlink r:id="rId1154">
        <w:r>
          <w:rPr>
            <w:color w:val="0000EE"/>
            <w:u w:val="single"/>
          </w:rPr>
          <w:t>19–20</w:t>
        </w:r>
      </w:hyperlink>
      <w:r>
        <w:t>).</w:t>
      </w:r>
    </w:p>
    <w:p>
      <w:r/>
      <w:r>
        <w:t>No NT, João Batista compara seu senso de alegria com o de um amigo do noivo em um casamento (</w:t>
      </w:r>
      <w:hyperlink r:id="rId4600">
        <w:r>
          <w:rPr>
            <w:color w:val="0000EE"/>
            <w:u w:val="single"/>
          </w:rPr>
          <w:t>Jo 3.29</w:t>
        </w:r>
      </w:hyperlink>
      <w:r>
        <w:t>), enquanto o próprio Jesus fez referência aos preparativos do casamento na parábola das virgens sábias e tolas (</w:t>
      </w:r>
      <w:hyperlink r:id="rId4601">
        <w:r>
          <w:rPr>
            <w:color w:val="0000EE"/>
            <w:u w:val="single"/>
          </w:rPr>
          <w:t>Mt 25.1–12</w:t>
        </w:r>
      </w:hyperlink>
      <w:r>
        <w:t>). Na história da festa de casamento (</w:t>
      </w:r>
      <w:hyperlink r:id="rId3102">
        <w:r>
          <w:rPr>
            <w:color w:val="0000EE"/>
            <w:u w:val="single"/>
          </w:rPr>
          <w:t>22.1–14</w:t>
        </w:r>
      </w:hyperlink>
      <w:r>
        <w:t>) Cristo menciona incidentalmente o fato de que as vestes de casamento foram fornecidas para os convidados em tais cerimônias. O tema da igreja cristã como a noiva de Cristo ocorre em livros como 2 Coríntios, Efésios e Apocalipse.</w:t>
      </w:r>
    </w:p>
    <w:p>
      <w:pPr>
        <w:pStyle w:val="Heading3"/>
      </w:pPr>
      <w:r>
        <w:t>Os ensinamentos de Jesus sobre casamento e adultério</w:t>
      </w:r>
    </w:p>
    <w:p>
      <w:r/>
      <w:r>
        <w:t>Em questões de direito civil, os ensinamentos de Jesus frequentemente reorientam ou intensificam a ênfase encontrada no Antigo Testamento. Por exemplo, o adultério na lei do Antigo Testamento parece ter sido entendido principalmente como a violação do casamento de outro homem, em vez de uma quebra da fidelidade conjugal mútua. No entanto, quando questionado pelos fariseus, Jesus apontou para o desígnio original de Deus na criação: um homem e uma mulher unidos em um vínculo permanente (</w:t>
      </w:r>
      <w:hyperlink r:id="rId4602">
        <w:r>
          <w:rPr>
            <w:color w:val="0000EE"/>
            <w:u w:val="single"/>
          </w:rPr>
          <w:t>Mc 10.2–9</w:t>
        </w:r>
      </w:hyperlink>
      <w:r>
        <w:t xml:space="preserve">). Ele foi além, declarando que se um homem se divorciar de sua esposa e se casar com outra, ele "comete adultério contra ela" (v. </w:t>
      </w:r>
      <w:hyperlink r:id="rId4603">
        <w:r>
          <w:rPr>
            <w:color w:val="0000EE"/>
            <w:u w:val="single"/>
          </w:rPr>
          <w:t>11</w:t>
        </w:r>
      </w:hyperlink>
      <w:r>
        <w:t xml:space="preserve">) — uma reversão impressionante das premissas predominantes. Ao fazê-lo, Jesus afirmou a igualdade moral entre homens e mulheres em questões de fidelidade conjugal: um marido infiel é tão culpado de adultério quanto uma esposa infiel. Este ensinamento, que os discípulos acharam surpreendentemente rigoroso (veja </w:t>
      </w:r>
      <w:hyperlink r:id="rId4604">
        <w:r>
          <w:rPr>
            <w:color w:val="0000EE"/>
            <w:u w:val="single"/>
          </w:rPr>
          <w:t>Mt 19.10</w:t>
        </w:r>
      </w:hyperlink>
      <w:r>
        <w:t>), exemplifica o chamado de Jesus por uma justiça mais profunda do que a dos líderes religiosos de sua época (</w:t>
      </w:r>
      <w:hyperlink r:id="rId4605">
        <w:r>
          <w:rPr>
            <w:color w:val="0000EE"/>
            <w:u w:val="single"/>
          </w:rPr>
          <w:t>5.20</w:t>
        </w:r>
      </w:hyperlink>
      <w:r>
        <w:t>).</w:t>
      </w:r>
    </w:p>
    <w:p>
      <w:r/>
      <w:r>
        <w:t xml:space="preserve">Há uma pequena diferença no relato de Mateus do ensino de Jesus, o que levou alguns estudiosos a argumentar que Jesus não era tão rígido quanto o resumo acima sugere. De acordo com </w:t>
      </w:r>
      <w:hyperlink r:id="rId442">
        <w:r>
          <w:rPr>
            <w:color w:val="0000EE"/>
            <w:u w:val="single"/>
          </w:rPr>
          <w:t>Mateus 19.9</w:t>
        </w:r>
      </w:hyperlink>
      <w:r>
        <w:t>, a “falta de castidade” de uma esposa (provavelmente alguma má conduta sexual) permite que um marido prejudicado se divorcie dela e se case novamente. Se esta observação concluísse a passagem, esta interpretação seria a mais simples. No entanto, do contexto, é provável que Jesus tenha permitido que cônjuges inocentes se separassem de suas esposas, mas não para se casar novamente. Isso explica por que os discípulos ficaram tão chocados e por que Jesus continuou falando sobre alguns que se negam a se casar por causa do reino do céu (</w:t>
      </w:r>
      <w:hyperlink r:id="rId4606">
        <w:r>
          <w:rPr>
            <w:color w:val="0000EE"/>
            <w:u w:val="single"/>
          </w:rPr>
          <w:t>Mt 19.12</w:t>
        </w:r>
      </w:hyperlink>
      <w:r>
        <w:t xml:space="preserve">). Esta também foi a maneira como a igreja interpretou a passagem dos primeiros cinco séculos. Eles permitiram que os cristãos se separassem, mas não se casassem novamente (cf. </w:t>
      </w:r>
      <w:hyperlink r:id="rId4607">
        <w:r>
          <w:rPr>
            <w:color w:val="0000EE"/>
            <w:u w:val="single"/>
          </w:rPr>
          <w:t>1Co 7.11</w:t>
        </w:r>
      </w:hyperlink>
      <w:r>
        <w:t>).</w:t>
      </w:r>
    </w:p>
    <w:p>
      <w:r/>
      <w:r>
        <w:rPr>
          <w:i/>
        </w:rPr>
        <w:t>Veja também</w:t>
      </w:r>
      <w:r>
        <w:t xml:space="preserve"> </w:t>
      </w:r>
      <w:r>
        <w:t>Adultério</w:t>
      </w:r>
      <w:r>
        <w:t xml:space="preserve">; </w:t>
      </w:r>
      <w:r>
        <w:t>Lei civil e justiça</w:t>
      </w:r>
      <w:r>
        <w:t xml:space="preserve">; </w:t>
      </w:r>
      <w:r>
        <w:t>Concubinato, Concubinas</w:t>
      </w:r>
      <w:r>
        <w:t xml:space="preserve">; </w:t>
      </w:r>
      <w:r>
        <w:t>Divórcio</w:t>
      </w:r>
      <w:r>
        <w:t xml:space="preserve">; </w:t>
      </w:r>
      <w:r>
        <w:t>Vida familiar e relações</w:t>
      </w:r>
      <w:r>
        <w:t xml:space="preserve">; </w:t>
      </w:r>
      <w:r>
        <w:t>Sexo, Sexualidade</w:t>
      </w:r>
      <w:r>
        <w:t xml:space="preserve">; </w:t>
      </w:r>
      <w:r>
        <w:t>Virgem</w:t>
      </w:r>
      <w:r>
        <w:t>.</w:t>
      </w:r>
      <w:r/>
      <w:r/>
    </w:p>
    <w:p>
      <w:r/>
    </w:p>
    <w:p>
      <w:pPr>
        <w:pStyle w:val="Heading2"/>
      </w:pPr>
      <w:r>
        <w:t>Casas E Habitações</w:t>
      </w:r>
      <w:r/>
    </w:p>
    <w:p>
      <w:r/>
      <w:r>
        <w:t>Resumo</w:t>
      </w:r>
    </w:p>
    <w:p>
      <w:r/>
      <w:r>
        <w:t>• Casas da Idade do Bronze Médio</w:t>
      </w:r>
    </w:p>
    <w:p>
      <w:r/>
      <w:r>
        <w:t>• Casas da Idade do Bronze Final</w:t>
      </w:r>
    </w:p>
    <w:p>
      <w:r/>
      <w:r>
        <w:t>• Casas israelitas da Idade do Ferro</w:t>
      </w:r>
    </w:p>
    <w:p>
      <w:r/>
      <w:r>
        <w:t>• Casas nos tempos do Novo Testamento</w:t>
      </w:r>
    </w:p>
    <w:p>
      <w:pPr>
        <w:pStyle w:val="Heading3"/>
      </w:pPr>
      <w:r>
        <w:t>Casas da Idade do Bronze Médio (ca. 1800–1500 a.C.)</w:t>
      </w:r>
    </w:p>
    <w:p>
      <w:r/>
      <w:r>
        <w:t>Os primeiros antepassados de Israel viviam principalmente em tendas ou habitações temporárias, mas os cananeus da Idade do Bronze Médio (para a terra de quem os israelitas foram) viviam em casas substanciais de várias salas construídas em torno de um pátio.</w:t>
      </w:r>
    </w:p>
    <w:p>
      <w:r/>
      <w:r>
        <w:t>A forma mais simples deste novo tipo de casa tinha um pátio com um único cômodo de um lado, geralmente no oeste do pátio, para evitar que os ventos predominantes de oeste soprassem fumaça para cômodo. Os silos para armazenar grãos ficavam normalmente no cômodo, em vez de no pátio. Bons exemplos de tais casas de um cômodo foram encontrados em Tel Nagila, a noroeste de Berseba, que datam de cerca de 1700 a.C. Três dessas casas tinham um cômodo de 3 por 2,1 metros e um pátio de 3 por 4,9 metros. Partições às vezes dividiam a sala. As paredes eram feitas de pedra bruta e tijolos de barro cobertos por reboco de lama e quase não eram grossas o suficiente para suportar um segundo andar. As casas eram construídas juntas para tirar proveito de uma parede traseira comum com entradas para o pátio em ruas aproximadamente paralelas. Cada casa continha um banco de pedra e argila ao longo das paredes.</w:t>
      </w:r>
    </w:p>
    <w:p>
      <w:r/>
      <w:r>
        <w:t>Às vezes, vários cômodos eram construídos de um lado do pátio. O maior deles ainda encontrado vem de Tel Beit Mirsim, que data de cerca de 1600 a.C., provavelmente a casa de um governador local ou patrício. Havia nada menos do que seis cômodos no lado ocidental do pátio, que tinha cerca de 10,7 por 5,8 metros. O espaço habitável coberto, incluindo tanto o térreo quanto os segundos andares, era de cerca de 139 metros quadrados; um segundo andar é suposto devido à espessura das paredes ao redor. O piso térreo pode ter sido multifuncional, com dois cômodos estáveis e duas áreas de armazenamento. Outras variantes menos imponentes da casa do pátio com cômodos de um lado apenas vêm desta mesmo tel no Estrato E (ca. 1700 a.C.).</w:t>
      </w:r>
    </w:p>
    <w:p>
      <w:r/>
      <w:r>
        <w:t>O segundo tipo de casa na Idade do Bronze Médio tinha um salão coberto com cômodos em um ou dois lados. Um bom exemplo de tal casa com cômodos de um lado vem de Tel Beit Mirsim, que data de cerca de 1800 a.C. O grande salão retangular e coberto continha três grandes pedras planas, posicionadas ao longo do longo eixo para servir como fundações para os suportes do telhado de madeira. Vigas de madeira e um telhado de juncos cobertos de lama foram encontradas nos detritos. Cada uma dos três cômodos no oeste poderia ser acessado pelo salão. As fundações de pedra e as paredes de tijolos de barro eram substanciais o suficiente para suportar um segundo andar que poderia ser acessado por uma escadaria ou escada de madeira exterior. O chão de terra, cinzas e palha foi cuidadosamente alisada.</w:t>
      </w:r>
    </w:p>
    <w:p>
      <w:r/>
      <w:r>
        <w:t>Um terceiro tipo de casa consistia em um pátio aberto com cômodos em dois lados adjacentes do pátio. Um bom exemplo vem de Tel Beit Mirsim, construída sobre as ruínas da casa com o salão coberto. O salão coberto se tornou o pátio. Uma casa em Tel Tanach do período do Bronze Médio IIB (ca. 1700 a.C.) era de construção muito forte, com paredes de mais de 90cm de espessura posicionadas com argamassa. O pátio continha uma cisterna, e um forno foi encontrado em um cômodo no lado leste da casa. Os andares térreos eram rebocados e cobriam de 214 metros quadrados. Uma escadaria interior levaria a um segundo andar.</w:t>
      </w:r>
    </w:p>
    <w:p>
      <w:r/>
      <w:r>
        <w:t>Em algumas casas, os cômodos eram colocados em lados opostos do pátio. Bons exemplos vêm de Bete-Semes (Tel er-Rumeileh) e Megido. Em Bete-Semes, a muralha da cidade formava a parede sul da casa, e os cômodos ficavam a leste e a oeste do pátio. A entrada era da rua para um dos cômodos. As outras salas podiam ser acessadas atravessando o pátio. As paredes externas tinham mais de 91,4 centímetros de espessura e paredes interiores de 45,7 centímetros de espessura. Lama e reboco de cal revestiam as paredes.</w:t>
      </w:r>
    </w:p>
    <w:p>
      <w:r/>
      <w:r>
        <w:t>Em Megido, as casas foram construídas contra o muro do norte da cidade. No nível XII (ca. 1750–1700 a.C.), três casas bem preservadas deste tipo foram encontradas. As casas eram separadas por paredes em ângulos retos em relação ao muro da cidade. O acesso para cada casa era através de uma porta na rua, através de um cômodo, e para um pátio pavimentado com pequenas pedras e seixos. Os pátios abrigavam os fornos, e uma casa tinha uma cisterna.</w:t>
      </w:r>
    </w:p>
    <w:p>
      <w:r/>
      <w:r>
        <w:t xml:space="preserve">Um quarto tipo de casa da Idade do Bronze Médio tinha cômodos em três lados do pátio. Esses cômodos variavam muito em tamanho e uso. Um bom exemplo que data de cerca de 1600 a.C. vem de Megido, nível IX. A casa tinha 12,8 por 11,9 metros de tamanho e continha nove cômodos de tamanhos variados. O pátio era rebocado de cal e tinha um grande forno no centro. Um segundo forno foi encontrado em uma sala mais ao leste. Cada cômodo tinha uma porta para o pátio. Esta casa, como outras da Idade do Bronze Médio, tinha locais de sepultamento sob os pisos (cf. </w:t>
      </w:r>
      <w:hyperlink r:id="rId4608">
        <w:r>
          <w:rPr>
            <w:color w:val="0000EE"/>
            <w:u w:val="single"/>
          </w:rPr>
          <w:t>1Sm 25.1</w:t>
        </w:r>
      </w:hyperlink>
      <w:r>
        <w:t xml:space="preserve">; </w:t>
      </w:r>
      <w:hyperlink r:id="rId4609">
        <w:r>
          <w:rPr>
            <w:color w:val="0000EE"/>
            <w:u w:val="single"/>
          </w:rPr>
          <w:t>1Rs 2.34</w:t>
        </w:r>
      </w:hyperlink>
      <w:r>
        <w:t xml:space="preserve"> para referências bíblicas na Idade do Ferro).</w:t>
      </w:r>
    </w:p>
    <w:p>
      <w:r/>
      <w:r>
        <w:t>A grande variedade de casas palestinas durante a Idade do Bronze Médio aponta para um nível de prosperidade muito maior do que o da Idade do Bronze Inicial. Ambas as casas e túmulos apresentaram quantidades de utensílios domésticos graciosos e bem feitos.</w:t>
      </w:r>
    </w:p>
    <w:p>
      <w:pPr>
        <w:pStyle w:val="Heading3"/>
      </w:pPr>
      <w:r>
        <w:t>Casas da Idade do Bronze Final (ca. 1550–1200 a.C.)</w:t>
      </w:r>
    </w:p>
    <w:p>
      <w:r/>
      <w:r>
        <w:t>As informações são limitadas para este período, devido, em parte, aos acidentes de escavação e em parte à destruição severa de muitos locais no final da era pelas mãos dos israelitas, povos do mar, egípcios e outros.</w:t>
      </w:r>
    </w:p>
    <w:p>
      <w:pPr>
        <w:pStyle w:val="Heading3"/>
      </w:pPr>
      <w:r>
        <w:t>Casas israelitas da Idade do Ferro (ca. 1200–600 a.C.)</w:t>
      </w:r>
    </w:p>
    <w:p>
      <w:r/>
      <w:r>
        <w:t>Muitos exemplos de edifícios domésticos vêm deste período. As estruturas israelitas eram, a princípio, bastante grosseiras, mas a qualidade melhorou. Assim, em Tel Qasile, no século 12, havia casas pobres com um pátio e um único cômodo de um lado. Na contemporânea Bete-Semes, uma casa maior tinha uma fundação de grandes pedras não cortadas, um pátio de cerca de 10,4 por 6,1 metros e três cômodos de um lado de 3,4 por 3,2 metros. Havia pavimentação de pedra bruta no pátio e em dois dos cômodos. Em Hazor, uma casa foi descoberta que tinha um pátio e cômodos de um lado que datam de cerca de 900 a.C. Metade do pátio estava coberto, o telhado sendo apoiado em pilares de pedra. Esses pilares de pedra são muito característicos das casas da Idade do Ferro na Palestina e foram encontrados em sítios [arqueológicos] em todo o país.</w:t>
      </w:r>
    </w:p>
    <w:p>
      <w:r/>
      <w:r>
        <w:t>O tipo mais comum de casa nos dias dos reis de Judá e Israel era aquele em que os cômodos eram construídos em três lados de um pátio. Este tipo de casa às vezes tem sido chamado de “casa de quatro cômodos”. Um longo cômodo foi construído em todo o eixo pequeno do pátio, e outros dois cômodos, um de cada lado do pátio, foram construídos no eixo longo. O pátio era dividido em três por duas fileiras de pilares que se estendiam pelo longo eixo do pátio. Esses pilares apoiavam o telhado e davam apoio para paredes, tanto de meia altura quanto de altura total. A entrada da casa era da rua para o pátio, onde fornos e silos eram normalmente colocados, embora isso variasse. Tal estrutura poderia ser expandida adicionando uma fileira de cômodos fora dos cômodos existentes no longo eixo do pátio. Havia muitas maneiras de dividir cômodos longos em cômodos menores. Em alguns casos em que as paredes eram fortes o suficiente, um segundo andar era adicionado. Um excelente exemplo de uma casa de quatro cômodos que mais tarde foi ampliada foi encontrado em Siquém e datada do período por volta de 748–724 a.C. O pátio continha um caixote de armazenamento, uma grande lareira aberta, um quern (moinho manual), moedores de pedra e as bases de frascos de cerâmica apoiados em pedestais de pedra. Nos cômodos que haviam sido adicionados, havia um dispositivo para capturar água do telhado e entregá-la a um sistema de água subterrâneo. Um grande silo em um cômodo se conectava a uma cozinha.</w:t>
      </w:r>
    </w:p>
    <w:p>
      <w:r/>
      <w:r>
        <w:t>Há evidências de que as casas maiores da Idade do Ferro serviam como edifícios industriais ou de comércio. Certas casas em Tel Beit Mirsim continham tinteiros e pesos de tear. Em outros lugares, o grande número de moinhos manuais sugere uma indústria de moagem de trigo. Há evidências também de tanques de vinho, ou equipamentos de oleiro, e de lojas. Algumas casas tinham cômodos separados para fins religiosos e continham incenso, estatuetas, pequenos altares e coisas similares.</w:t>
      </w:r>
    </w:p>
    <w:p>
      <w:r/>
      <w:r>
        <w:t>As escavações de Kathleen Kenyon em Jerusalém trouxeram à tona casas dos últimos dias de Judá. Elas eram bem pequenas e irregularmente planejadas, mas do mesmo projeto geral que aqueles nos locais das colinas de Judá — um pátio dividido por uma fileira de pilares de pedra que sustentavam o telhado.</w:t>
      </w:r>
    </w:p>
    <w:p>
      <w:r/>
      <w:r>
        <w:t>O contraste entre grandes casas e pequenas casas em algumas cidades provavelmente indica a desigualdade social referida pelos profetas. Nos séculos 10 e 9 a.C. havia uma imagem bastante uniforme de muitas casas pequenas e algumas grandes. No século 8 a.C., em uma cidade como Tirza, havia três ou quatro casas grandes e muitas estruturas frágeis.</w:t>
      </w:r>
    </w:p>
    <w:p>
      <w:pPr>
        <w:pStyle w:val="Heading3"/>
      </w:pPr>
      <w:r>
        <w:t>Casas nos tempos do Novo Testamento</w:t>
      </w:r>
    </w:p>
    <w:p>
      <w:r/>
      <w:r>
        <w:t>Há referências no NT a casas, telhados, portas, fundações, uma sala superior e lâmpadas. Uma das parábolas de Jesus se refere a fundamentos bons e ruins (</w:t>
      </w:r>
      <w:hyperlink r:id="rId4610">
        <w:r>
          <w:rPr>
            <w:color w:val="0000EE"/>
            <w:u w:val="single"/>
          </w:rPr>
          <w:t>Mt 7.25</w:t>
        </w:r>
      </w:hyperlink>
      <w:r>
        <w:t>). Em um incidente, amigos levaram um homem paralítico para o telhado, que eles baixaram para a sala onde Jesus estava (</w:t>
      </w:r>
      <w:hyperlink r:id="rId4611">
        <w:r>
          <w:rPr>
            <w:color w:val="0000EE"/>
            <w:u w:val="single"/>
          </w:rPr>
          <w:t>Mc 2.4</w:t>
        </w:r>
      </w:hyperlink>
      <w:r>
        <w:t>). Jesus se referiu às proclamações feitas dos telhados (</w:t>
      </w:r>
      <w:hyperlink r:id="rId4612">
        <w:r>
          <w:rPr>
            <w:color w:val="0000EE"/>
            <w:u w:val="single"/>
          </w:rPr>
          <w:t>Mt 10.27</w:t>
        </w:r>
      </w:hyperlink>
      <w:r>
        <w:t xml:space="preserve">; </w:t>
      </w:r>
      <w:hyperlink r:id="rId4613">
        <w:r>
          <w:rPr>
            <w:color w:val="0000EE"/>
            <w:u w:val="single"/>
          </w:rPr>
          <w:t>Lc 123</w:t>
        </w:r>
      </w:hyperlink>
      <w:r>
        <w:t>), e Pedro subiu no telhado para orar (</w:t>
      </w:r>
      <w:hyperlink r:id="rId1063">
        <w:r>
          <w:rPr>
            <w:color w:val="0000EE"/>
            <w:u w:val="single"/>
          </w:rPr>
          <w:t>Atos 10.9</w:t>
        </w:r>
      </w:hyperlink>
      <w:r>
        <w:t>). As casas eram varridas para encontrar objetos perdidos (</w:t>
      </w:r>
      <w:hyperlink r:id="rId4614">
        <w:r>
          <w:rPr>
            <w:color w:val="0000EE"/>
            <w:u w:val="single"/>
          </w:rPr>
          <w:t>Lc 15.8</w:t>
        </w:r>
      </w:hyperlink>
      <w:r>
        <w:t>) e iluminadas por lâmpadas (</w:t>
      </w:r>
      <w:hyperlink r:id="rId3875">
        <w:r>
          <w:rPr>
            <w:color w:val="0000EE"/>
            <w:u w:val="single"/>
          </w:rPr>
          <w:t>Mt 5.15</w:t>
        </w:r>
      </w:hyperlink>
      <w:r>
        <w:t>). Há várias referências a casas de indivíduos específicos (</w:t>
      </w:r>
      <w:hyperlink r:id="rId4615">
        <w:r>
          <w:rPr>
            <w:color w:val="0000EE"/>
            <w:u w:val="single"/>
          </w:rPr>
          <w:t>Mc 8.3</w:t>
        </w:r>
      </w:hyperlink>
      <w:r>
        <w:t xml:space="preserve">; </w:t>
      </w:r>
      <w:hyperlink r:id="rId4616">
        <w:r>
          <w:rPr>
            <w:color w:val="0000EE"/>
            <w:u w:val="single"/>
          </w:rPr>
          <w:t>Lc 10.5</w:t>
        </w:r>
      </w:hyperlink>
      <w:r>
        <w:t xml:space="preserve">; </w:t>
      </w:r>
      <w:hyperlink r:id="rId4617">
        <w:r>
          <w:rPr>
            <w:color w:val="0000EE"/>
            <w:u w:val="single"/>
          </w:rPr>
          <w:t>16.4</w:t>
        </w:r>
      </w:hyperlink>
      <w:r>
        <w:t xml:space="preserve">; </w:t>
      </w:r>
      <w:hyperlink r:id="rId4618">
        <w:r>
          <w:rPr>
            <w:color w:val="0000EE"/>
            <w:u w:val="single"/>
          </w:rPr>
          <w:t>19.9</w:t>
        </w:r>
      </w:hyperlink>
      <w:r>
        <w:t xml:space="preserve">; </w:t>
      </w:r>
      <w:hyperlink r:id="rId4619">
        <w:r>
          <w:rPr>
            <w:color w:val="0000EE"/>
            <w:u w:val="single"/>
          </w:rPr>
          <w:t>Jo 11.20</w:t>
        </w:r>
      </w:hyperlink>
      <w:r>
        <w:t xml:space="preserve">; </w:t>
      </w:r>
      <w:hyperlink r:id="rId4620">
        <w:r>
          <w:rPr>
            <w:color w:val="0000EE"/>
            <w:u w:val="single"/>
          </w:rPr>
          <w:t>Atos 4.34</w:t>
        </w:r>
      </w:hyperlink>
      <w:r>
        <w:t xml:space="preserve">; </w:t>
      </w:r>
      <w:hyperlink r:id="rId4621">
        <w:r>
          <w:rPr>
            <w:color w:val="0000EE"/>
            <w:u w:val="single"/>
          </w:rPr>
          <w:t>9.11</w:t>
        </w:r>
      </w:hyperlink>
      <w:r>
        <w:t xml:space="preserve">; </w:t>
      </w:r>
      <w:hyperlink r:id="rId4622">
        <w:r>
          <w:rPr>
            <w:color w:val="0000EE"/>
            <w:u w:val="single"/>
          </w:rPr>
          <w:t>10.32</w:t>
        </w:r>
      </w:hyperlink>
      <w:r>
        <w:t>). Algumas casas tinham quartos superiores no telhado com acesso por uma escada externa. A refeição de Páscoa foi preparada em um cômodo grande no andar de cima (</w:t>
      </w:r>
      <w:hyperlink r:id="rId4623">
        <w:r>
          <w:rPr>
            <w:color w:val="0000EE"/>
            <w:u w:val="single"/>
          </w:rPr>
          <w:t>Mc 14.12–15</w:t>
        </w:r>
      </w:hyperlink>
      <w:r>
        <w:t>). Os discípulos se hospedaram em um cômodo semelhante após a morte e ressurreição de Jesus (</w:t>
      </w:r>
      <w:hyperlink r:id="rId750">
        <w:r>
          <w:rPr>
            <w:color w:val="0000EE"/>
            <w:u w:val="single"/>
          </w:rPr>
          <w:t>Atos 1.13</w:t>
        </w:r>
      </w:hyperlink>
      <w:r>
        <w:t>). Em tais casas, às vezes havia servos (</w:t>
      </w:r>
      <w:hyperlink r:id="rId4624">
        <w:r>
          <w:rPr>
            <w:color w:val="0000EE"/>
            <w:u w:val="single"/>
          </w:rPr>
          <w:t>10.7</w:t>
        </w:r>
      </w:hyperlink>
      <w:r>
        <w:t>), e alguns tinham um quarto de hóspedes (</w:t>
      </w:r>
      <w:hyperlink r:id="rId4625">
        <w:r>
          <w:rPr>
            <w:color w:val="0000EE"/>
            <w:u w:val="single"/>
          </w:rPr>
          <w:t>Mc 14:14</w:t>
        </w:r>
      </w:hyperlink>
      <w:r>
        <w:t>). Concluímos a partir dos dados do NT que havia uma variedade no tamanho e elegância das casas dos dias de Jesus. Uma rua típica na Judeia ou Galileia teria casas que variavam de casa pequena (2,3 a 2,8 metros quadrados) até as mansões das classes superiores, que poderiam ter dois ou mais andares embelezadas por fileiras de pilares e adornos arquitetônicos.</w:t>
      </w:r>
    </w:p>
    <w:p>
      <w:r/>
      <w:r>
        <w:t>Para o caráter preciso dessas casas, temos que nos voltar para evidências arqueológicas e literárias. Os escritos dos rabinos e Josefo acrescentam muitos detalhes. As escavações em locais do período romano (herodiano) (37 a.C. a 70 d.C.) forneceram evidências mais tangíveis. Uma fonte rica de informações é a escavação no antigo bairro judeu em Jerusalém. Uma grande casa de cerca de 209 metros quadrados tinha um pátio central onde três fornos de cozinha e uma cisterna de água foram encontrados. Grandes nichos estabelecidos em algumas das paredes continham cerâmica quebrada e podem ter sido armários. Vestígios de pisos de mosaico e paredes rebocadas dão uma ideia da beleza desta casa. Havia vários cômodos fora do pátio, talvez até dez. Os restos de outras belas casas do final do período do segundo templo foram encontrados mais a oeste, notavelmente na área do cemitério armênio no Monte Sião, no qual belos afrescos foram preservados exibindo uma representação única de pássaros. Outras casas apresentaram pavimentos de mosaico com padrões puramente geométricos, aderindo assim à injunção contra desenhar formas animais.</w:t>
      </w:r>
    </w:p>
    <w:p>
      <w:r/>
      <w:r>
        <w:rPr>
          <w:i/>
        </w:rPr>
        <w:t>Veja também</w:t>
      </w:r>
      <w:r>
        <w:t xml:space="preserve"> </w:t>
      </w:r>
      <w:r>
        <w:t>Arquitetura</w:t>
      </w:r>
      <w:r>
        <w:t>.</w:t>
      </w:r>
      <w:r/>
      <w:r/>
    </w:p>
    <w:p>
      <w:r/>
    </w:p>
    <w:p>
      <w:pPr>
        <w:pStyle w:val="Heading2"/>
      </w:pPr>
      <w:r>
        <w:t>Casluim, Casluítas</w:t>
      </w:r>
      <w:r/>
    </w:p>
    <w:p>
      <w:r/>
      <w:r>
        <w:t>Descendentes de Noé através de seu filho Cam e neto Mizraim (“Egito” em algumas versões), e ancestrais dos filisteus (</w:t>
      </w:r>
      <w:hyperlink r:id="rId3994">
        <w:r>
          <w:rPr>
            <w:color w:val="0000EE"/>
            <w:u w:val="single"/>
          </w:rPr>
          <w:t>Gn 10.14</w:t>
        </w:r>
      </w:hyperlink>
      <w:r>
        <w:t xml:space="preserve">; </w:t>
      </w:r>
      <w:hyperlink r:id="rId3992">
        <w:r>
          <w:rPr>
            <w:color w:val="0000EE"/>
            <w:u w:val="single"/>
          </w:rPr>
          <w:t>1Cr 1.12</w:t>
        </w:r>
      </w:hyperlink>
      <w:r>
        <w:t>).</w:t>
      </w:r>
      <w:r/>
      <w:r/>
    </w:p>
    <w:p>
      <w:r/>
    </w:p>
    <w:p>
      <w:pPr>
        <w:pStyle w:val="Heading2"/>
      </w:pPr>
      <w:r>
        <w:t>Cássia</w:t>
      </w:r>
      <w:r/>
    </w:p>
    <w:p>
      <w:r/>
      <w:r>
        <w:t>Um tipo de árvore que cresce na Ásia tropical. A casca da cássia é usada como especiaria e tem um sabor semelhante ao da canela, mas não é de qualidade tão alta.</w:t>
      </w:r>
    </w:p>
    <w:p>
      <w:r/>
      <w:r>
        <w:t>A "cássia" mencionada na Bíblia vem da árvore de casca de cássia (</w:t>
      </w:r>
      <w:r>
        <w:rPr>
          <w:i/>
        </w:rPr>
        <w:t>Cinnamomum cassia</w:t>
      </w:r>
      <w:r>
        <w:t>). É um dos ingredientes usados no óleo sagrado de unção (</w:t>
      </w:r>
      <w:hyperlink r:id="rId4626">
        <w:r>
          <w:rPr>
            <w:color w:val="0000EE"/>
            <w:u w:val="single"/>
          </w:rPr>
          <w:t>Êx 30.24</w:t>
        </w:r>
      </w:hyperlink>
      <w:r>
        <w:t>). Também era um item valioso de comércio (</w:t>
      </w:r>
      <w:hyperlink r:id="rId4020">
        <w:r>
          <w:rPr>
            <w:color w:val="0000EE"/>
            <w:u w:val="single"/>
          </w:rPr>
          <w:t>Ez 27.19</w:t>
        </w:r>
      </w:hyperlink>
      <w:r>
        <w:t>). Em algumas versões da Bíblia em português, "cássia" aparece como "cana aromática" ou outro termo similar, mas a maioria das versões usam o termo "cássia" (e.g., NAA, ARA, NVI).</w:t>
      </w:r>
    </w:p>
    <w:p>
      <w:r/>
      <w:r>
        <w:t xml:space="preserve">Em </w:t>
      </w:r>
      <w:hyperlink r:id="rId4627">
        <w:r>
          <w:rPr>
            <w:color w:val="0000EE"/>
            <w:u w:val="single"/>
          </w:rPr>
          <w:t>Salmo 45.8</w:t>
        </w:r>
      </w:hyperlink>
      <w:r>
        <w:t>, a referência parece ser a uma planta diferente chamada íris indiana (</w:t>
      </w:r>
      <w:r>
        <w:rPr>
          <w:i/>
        </w:rPr>
        <w:t>Saussurea lappa</w:t>
      </w:r>
      <w:r>
        <w:t>).</w:t>
      </w:r>
    </w:p>
    <w:p>
      <w:r/>
      <w:r/>
      <w:r/>
    </w:p>
    <w:p>
      <w:r/>
    </w:p>
    <w:p>
      <w:pPr>
        <w:pStyle w:val="Heading2"/>
      </w:pPr>
      <w:r>
        <w:t>Castanheiro</w:t>
      </w:r>
      <w:r/>
    </w:p>
    <w:p>
      <w:r/>
      <w:r>
        <w:t>Má tradução da ARC para plátano, uma árvore nativa da Palestina (</w:t>
      </w:r>
      <w:hyperlink r:id="rId2920">
        <w:r>
          <w:rPr>
            <w:color w:val="0000EE"/>
            <w:u w:val="single"/>
          </w:rPr>
          <w:t>Gn 30.37</w:t>
        </w:r>
      </w:hyperlink>
      <w:r>
        <w:t xml:space="preserve">; </w:t>
      </w:r>
      <w:hyperlink r:id="rId4628">
        <w:r>
          <w:rPr>
            <w:color w:val="0000EE"/>
            <w:u w:val="single"/>
          </w:rPr>
          <w:t>Ez 31.8</w:t>
        </w:r>
      </w:hyperlink>
      <w:r>
        <w:t xml:space="preserve">). </w:t>
      </w:r>
      <w:r>
        <w:rPr>
          <w:i/>
        </w:rPr>
        <w:t>Veja</w:t>
      </w:r>
      <w:r>
        <w:t xml:space="preserve"> </w:t>
      </w:r>
      <w:r>
        <w:t>Plantas (Plátano)</w:t>
      </w:r>
      <w:r>
        <w:t>.</w:t>
      </w:r>
      <w:r/>
      <w:r/>
    </w:p>
    <w:p>
      <w:r/>
    </w:p>
    <w:p>
      <w:pPr>
        <w:pStyle w:val="Heading2"/>
      </w:pPr>
      <w:r>
        <w:t>Castigar, Castigo</w:t>
      </w:r>
      <w:r/>
    </w:p>
    <w:p>
      <w:r/>
      <w:r>
        <w:t>Esses termos indicam correção ou disciplina que visa tornar uma pessoa justa (</w:t>
      </w:r>
      <w:hyperlink r:id="rId4629">
        <w:r>
          <w:rPr>
            <w:color w:val="0000EE"/>
            <w:u w:val="single"/>
          </w:rPr>
          <w:t>Dt 21.18</w:t>
        </w:r>
      </w:hyperlink>
      <w:r>
        <w:t xml:space="preserve">; </w:t>
      </w:r>
      <w:hyperlink r:id="rId4630">
        <w:r>
          <w:rPr>
            <w:color w:val="0000EE"/>
            <w:u w:val="single"/>
          </w:rPr>
          <w:t>Jó 5.17</w:t>
        </w:r>
      </w:hyperlink>
      <w:r>
        <w:t xml:space="preserve">; </w:t>
      </w:r>
      <w:hyperlink r:id="rId4631">
        <w:r>
          <w:rPr>
            <w:color w:val="0000EE"/>
            <w:u w:val="single"/>
          </w:rPr>
          <w:t>2Tm 2.25</w:t>
        </w:r>
      </w:hyperlink>
      <w:r>
        <w:t>).</w:t>
      </w:r>
    </w:p>
    <w:p>
      <w:r/>
      <w:r>
        <w:rPr>
          <w:i/>
        </w:rPr>
        <w:t>Veja</w:t>
      </w:r>
      <w:r>
        <w:t xml:space="preserve"> </w:t>
      </w:r>
      <w:r>
        <w:t>Disciplina</w:t>
      </w:r>
      <w:r>
        <w:t>.</w:t>
      </w:r>
      <w:r/>
      <w:r/>
    </w:p>
    <w:p>
      <w:r/>
    </w:p>
    <w:p>
      <w:pPr>
        <w:pStyle w:val="Heading2"/>
      </w:pPr>
      <w:r>
        <w:t>Cástor e Pólux</w:t>
      </w:r>
      <w:r/>
    </w:p>
    <w:p>
      <w:r/>
      <w:r>
        <w:t>De acordo com a mitologia grega e romana, eles eram filhos gêmeos de Zeus. O apóstolo Paulo navegou de Malta para Puteóli em um navio cujo sinal ou figura de proa era os "Irmãos Gêmeos" (</w:t>
      </w:r>
      <w:hyperlink r:id="rId746">
        <w:r>
          <w:rPr>
            <w:color w:val="0000EE"/>
            <w:u w:val="single"/>
          </w:rPr>
          <w:t>At 28.11</w:t>
        </w:r>
      </w:hyperlink>
      <w:r>
        <w:t>). Esses irmãos gêmeos também eram conhecidos como Dióscuros (que significa "filhos de Zeus").</w:t>
      </w:r>
    </w:p>
    <w:p>
      <w:r/>
      <w:r>
        <w:rPr>
          <w:i/>
        </w:rPr>
        <w:t>Veja</w:t>
      </w:r>
      <w:r>
        <w:t xml:space="preserve"> </w:t>
      </w:r>
      <w:r>
        <w:t>Dióscuros</w:t>
      </w:r>
      <w:r>
        <w:t>.</w:t>
      </w:r>
      <w:r/>
      <w:r/>
    </w:p>
    <w:p>
      <w:r/>
    </w:p>
    <w:p>
      <w:pPr>
        <w:pStyle w:val="Heading2"/>
      </w:pPr>
      <w:r>
        <w:t>Cauda</w:t>
      </w:r>
      <w:r/>
    </w:p>
    <w:p>
      <w:r/>
      <w:r>
        <w:t>Cauda era uma pequena ilha ao sul de Creta. O navio que levava o apóstolo Paulo a Roma parou em Cauda durante uma tempestade para encontrar proteção temporária (</w:t>
      </w:r>
      <w:hyperlink r:id="rId4632">
        <w:r>
          <w:rPr>
            <w:color w:val="0000EE"/>
            <w:u w:val="single"/>
          </w:rPr>
          <w:t>At 27.16</w:t>
        </w:r>
      </w:hyperlink>
      <w:r>
        <w:t>).</w:t>
      </w:r>
    </w:p>
    <w:p>
      <w:r/>
      <w:r>
        <w:t>Por trás da ilha, a água estava mais calma. Nesta área protegida, os marinheiros içaram a bordo um pequeno barco que estavam rebocando atrás do navio. Eles também trabalharam para reforçar o casco do navio.</w:t>
      </w:r>
    </w:p>
    <w:p>
      <w:r/>
      <w:r>
        <w:t>Mesmo depois de baixarem as velas, os ventos fortes os empurraram além da ilha. Por fim, o navio afundou.</w:t>
      </w:r>
    </w:p>
    <w:p>
      <w:r/>
      <w:r>
        <w:t>Cauda é a ilha moderna de Gaudos (também chamada de Gozzo). Antigas cópias manuscritas da Bíblia soletram o nome de maneiras diferentes. Algumas usam "Cauda" (como na maioria das versões modernas da Bíblia), enquanto outras usam "Clauda".</w:t>
      </w:r>
      <w:r/>
      <w:r/>
    </w:p>
    <w:p>
      <w:r/>
    </w:p>
    <w:p>
      <w:pPr>
        <w:pStyle w:val="Heading2"/>
      </w:pPr>
      <w:r>
        <w:t>Cegueira</w:t>
      </w:r>
      <w:r/>
    </w:p>
    <w:p>
      <w:r/>
      <w:r>
        <w:t>Estado de incapacidade de enxergar. A cegueira física era comum no antigo Oriente Próximo e ainda é predominante entre os povos pobres e tribais que não têm os benefícios da medicina moderna.</w:t>
      </w:r>
    </w:p>
    <w:p>
      <w:r/>
      <w:r>
        <w:t>As causas médicas de cegueira não são especificadas na Bíblia, mas má higiene pessoal e condições de vida insalubres eram, sem dúvida, fatores contribuintes. Os bebês recém-nascidos eram especialmente suscetíveis. Grande incidência de cegueira desde o nascimento (</w:t>
      </w:r>
      <w:hyperlink r:id="rId4633">
        <w:r>
          <w:rPr>
            <w:color w:val="0000EE"/>
            <w:u w:val="single"/>
          </w:rPr>
          <w:t>Jo 9.1–3</w:t>
        </w:r>
      </w:hyperlink>
      <w:r>
        <w:t xml:space="preserve">) era provavelmente a gonorreia dos olhos. No processo de nascimento, os germes da mãe passavam para os olhos do bebê, onde eles encontraram um meio ideal para crescimento. Dentro de três dias inflamação, pus e inchaço seriam evidentes. Em tais casos, o tratamento primitivo não poderia impedir algum dano permanente ou até mesmo total ao olho. A prática médica moderna trata todos os bebês recém-nascidos com colírios antissépticos; mas tal tratamento nem sempre está disponível para os pobres, ou é rejeitado por eles em partes do Oriente Médio hoje. Os bebês e crianças pequenas também foram ameaçados por infecções oftálmicas. Carregada por moscas, essa doença causa crosta pesada, pálpebras caídas, perda de cílios e eventualmente turvação da córnea, muitas vezes levando à cegueira total. Em certas partes do mundo, é possível ver mães (por causa de superstições locais) permitindo que moscas estejam constantemente no rosto de seus bebês enquanto os mantêm em seu colo. A cegueira entre adultos pode ser causada devido a efeitos colaterais de doenças como malária, longa exposição a tempestades de areia e brilho do sol no deserto, acidentes, punição (como com Sansão, </w:t>
      </w:r>
      <w:hyperlink r:id="rId4634">
        <w:r>
          <w:rPr>
            <w:color w:val="0000EE"/>
            <w:u w:val="single"/>
          </w:rPr>
          <w:t>Jz 16.21</w:t>
        </w:r>
      </w:hyperlink>
      <w:r>
        <w:t>), ou velhice (</w:t>
      </w:r>
      <w:hyperlink r:id="rId4635">
        <w:r>
          <w:rPr>
            <w:color w:val="0000EE"/>
            <w:u w:val="single"/>
          </w:rPr>
          <w:t>Gn 27.1</w:t>
        </w:r>
      </w:hyperlink>
      <w:r>
        <w:t xml:space="preserve">; </w:t>
      </w:r>
      <w:hyperlink r:id="rId4636">
        <w:r>
          <w:rPr>
            <w:color w:val="0000EE"/>
            <w:u w:val="single"/>
          </w:rPr>
          <w:t>1Sm 4.15</w:t>
        </w:r>
      </w:hyperlink>
      <w:r>
        <w:t xml:space="preserve">; </w:t>
      </w:r>
      <w:hyperlink r:id="rId4637">
        <w:r>
          <w:rPr>
            <w:color w:val="0000EE"/>
            <w:u w:val="single"/>
          </w:rPr>
          <w:t>1Rs 14.4</w:t>
        </w:r>
      </w:hyperlink>
      <w:r>
        <w:t>).</w:t>
      </w:r>
    </w:p>
    <w:p>
      <w:r/>
      <w:r>
        <w:t>O AT exigiu consideração especial pelos cegos (</w:t>
      </w:r>
      <w:hyperlink r:id="rId4638">
        <w:r>
          <w:rPr>
            <w:color w:val="0000EE"/>
            <w:u w:val="single"/>
          </w:rPr>
          <w:t>Lv 19.14</w:t>
        </w:r>
      </w:hyperlink>
      <w:r>
        <w:t>) e impôs punição para quem enganasse uma pessoa cega (</w:t>
      </w:r>
      <w:hyperlink r:id="rId4639">
        <w:r>
          <w:rPr>
            <w:color w:val="0000EE"/>
            <w:u w:val="single"/>
          </w:rPr>
          <w:t>Dt 27.18</w:t>
        </w:r>
      </w:hyperlink>
      <w:r>
        <w:t>). Um homem cego, considerado defeituoso, não era permitido servir como sacerdote (</w:t>
      </w:r>
      <w:hyperlink r:id="rId4640">
        <w:r>
          <w:rPr>
            <w:color w:val="0000EE"/>
            <w:u w:val="single"/>
          </w:rPr>
          <w:t>Lv 21.18</w:t>
        </w:r>
      </w:hyperlink>
      <w:r>
        <w:t>).</w:t>
      </w:r>
    </w:p>
    <w:p>
      <w:r/>
      <w:r>
        <w:t>O ministério de cura de Jesus trouxe visão aos cegos no cumprimento da profecia (</w:t>
      </w:r>
      <w:hyperlink r:id="rId1168">
        <w:r>
          <w:rPr>
            <w:color w:val="0000EE"/>
            <w:u w:val="single"/>
          </w:rPr>
          <w:t>Lc 4.18</w:t>
        </w:r>
      </w:hyperlink>
      <w:r>
        <w:t>). Sua capacidade de restaurar a visão era uma das provas dadas a João Batista de que Jesus era o Messias (</w:t>
      </w:r>
      <w:hyperlink r:id="rId4641">
        <w:r>
          <w:rPr>
            <w:color w:val="0000EE"/>
            <w:u w:val="single"/>
          </w:rPr>
          <w:t>Mt 11.5</w:t>
        </w:r>
      </w:hyperlink>
      <w:r>
        <w:t>). Jesus curou dois homens cegos na Galileia (</w:t>
      </w:r>
      <w:hyperlink r:id="rId4642">
        <w:r>
          <w:rPr>
            <w:color w:val="0000EE"/>
            <w:u w:val="single"/>
          </w:rPr>
          <w:t>9.27–30</w:t>
        </w:r>
      </w:hyperlink>
      <w:r>
        <w:t>), um homem cego em Betsaida (</w:t>
      </w:r>
      <w:hyperlink r:id="rId3509">
        <w:r>
          <w:rPr>
            <w:color w:val="0000EE"/>
            <w:u w:val="single"/>
          </w:rPr>
          <w:t>Mc 8.22–26</w:t>
        </w:r>
      </w:hyperlink>
      <w:r>
        <w:t>), um homem cego de nascimento em Jerusalém (</w:t>
      </w:r>
      <w:hyperlink r:id="rId4643">
        <w:r>
          <w:rPr>
            <w:color w:val="0000EE"/>
            <w:u w:val="single"/>
          </w:rPr>
          <w:t>Jo 9</w:t>
        </w:r>
      </w:hyperlink>
      <w:r>
        <w:t>), e um mendigo cego chamado Bartimeu e seu amigo em Jericó (</w:t>
      </w:r>
      <w:hyperlink r:id="rId3154">
        <w:r>
          <w:rPr>
            <w:color w:val="0000EE"/>
            <w:u w:val="single"/>
          </w:rPr>
          <w:t>Mc 10.46–52</w:t>
        </w:r>
      </w:hyperlink>
      <w:r>
        <w:t xml:space="preserve">; cf. </w:t>
      </w:r>
      <w:hyperlink r:id="rId4644">
        <w:r>
          <w:rPr>
            <w:color w:val="0000EE"/>
            <w:u w:val="single"/>
          </w:rPr>
          <w:t>Mt 20.30–34</w:t>
        </w:r>
      </w:hyperlink>
      <w:r>
        <w:t xml:space="preserve">; </w:t>
      </w:r>
      <w:hyperlink r:id="rId4645">
        <w:r>
          <w:rPr>
            <w:color w:val="0000EE"/>
            <w:u w:val="single"/>
          </w:rPr>
          <w:t>Lc 18.35–43</w:t>
        </w:r>
      </w:hyperlink>
      <w:r>
        <w:t>). Às vezes, Jesus ordenava a restauração imediata (</w:t>
      </w:r>
      <w:hyperlink r:id="rId4646">
        <w:r>
          <w:rPr>
            <w:color w:val="0000EE"/>
            <w:u w:val="single"/>
          </w:rPr>
          <w:t>Mc 10.52</w:t>
        </w:r>
      </w:hyperlink>
      <w:r>
        <w:t>). Em outras ocasiões, ele usou “meios”, como argila e água (</w:t>
      </w:r>
      <w:hyperlink r:id="rId4647">
        <w:r>
          <w:rPr>
            <w:color w:val="0000EE"/>
            <w:u w:val="single"/>
          </w:rPr>
          <w:t>Jo 9.6–11</w:t>
        </w:r>
      </w:hyperlink>
      <w:r>
        <w:t>) ou sua própria saliva (</w:t>
      </w:r>
      <w:hyperlink r:id="rId4648">
        <w:r>
          <w:rPr>
            <w:color w:val="0000EE"/>
            <w:u w:val="single"/>
          </w:rPr>
          <w:t>Mc 8.23</w:t>
        </w:r>
      </w:hyperlink>
      <w:r>
        <w:t>). O apóstolo Paulo ficou cego durante sua conversão e recebeu uma cura milagrosa na presença de Ananias (</w:t>
      </w:r>
      <w:hyperlink r:id="rId4649">
        <w:r>
          <w:rPr>
            <w:color w:val="0000EE"/>
            <w:u w:val="single"/>
          </w:rPr>
          <w:t>At 9.1–9,18</w:t>
        </w:r>
      </w:hyperlink>
      <w:r>
        <w:t>). Paulo mais tarde afligiu um feiticeiro, Elimas, com cegueira temporária por se opor ao seu ministério na ilha de Chipre (</w:t>
      </w:r>
      <w:hyperlink r:id="rId4650">
        <w:r>
          <w:rPr>
            <w:color w:val="0000EE"/>
            <w:u w:val="single"/>
          </w:rPr>
          <w:t>13.11</w:t>
        </w:r>
      </w:hyperlink>
      <w:r>
        <w:t>).</w:t>
      </w:r>
    </w:p>
    <w:p>
      <w:r/>
      <w:r>
        <w:rPr>
          <w:i/>
        </w:rPr>
        <w:t>Veja também</w:t>
      </w:r>
      <w:r>
        <w:t xml:space="preserve"> </w:t>
      </w:r>
      <w:r>
        <w:t>Medicina e Prática Médica</w:t>
      </w:r>
      <w:r>
        <w:t xml:space="preserve">; </w:t>
      </w:r>
      <w:r>
        <w:t>Doença</w:t>
      </w:r>
      <w:r>
        <w:t>.</w:t>
      </w:r>
      <w:r/>
      <w:r/>
    </w:p>
    <w:p>
      <w:r/>
    </w:p>
    <w:p>
      <w:pPr>
        <w:pStyle w:val="Heading2"/>
      </w:pPr>
      <w:r>
        <w:t>Ceia Do Senhor, A</w:t>
      </w:r>
      <w:r/>
    </w:p>
    <w:p>
      <w:r/>
      <w:r>
        <w:t>A ceia que Jesus compartilhou com seus discípulos, algumas horas antes de ser preso e levado para seu julgamento e morte (muitas vezes chamada, assim, de “A Última Ceia”); a cerimônia de participar do pão e do vinho que os cristãos vieram chamar de Ceia do Senhor (</w:t>
      </w:r>
      <w:hyperlink r:id="rId4651">
        <w:r>
          <w:rPr>
            <w:color w:val="0000EE"/>
            <w:u w:val="single"/>
          </w:rPr>
          <w:t>1Co 11.20</w:t>
        </w:r>
      </w:hyperlink>
      <w:r>
        <w:t>), o partir do pão (</w:t>
      </w:r>
      <w:hyperlink r:id="rId4652">
        <w:r>
          <w:rPr>
            <w:color w:val="0000EE"/>
            <w:u w:val="single"/>
          </w:rPr>
          <w:t>Atos 2.42, 46</w:t>
        </w:r>
      </w:hyperlink>
      <w:r>
        <w:t xml:space="preserve">; </w:t>
      </w:r>
      <w:hyperlink r:id="rId4653">
        <w:r>
          <w:rPr>
            <w:color w:val="0000EE"/>
            <w:u w:val="single"/>
          </w:rPr>
          <w:t>20.7</w:t>
        </w:r>
      </w:hyperlink>
      <w:r>
        <w:t xml:space="preserve">), a Santa Comunhão (da expressão de </w:t>
      </w:r>
      <w:hyperlink r:id="rId4102">
        <w:r>
          <w:rPr>
            <w:color w:val="0000EE"/>
            <w:u w:val="single"/>
          </w:rPr>
          <w:t>1Co 10.16</w:t>
        </w:r>
      </w:hyperlink>
      <w:r>
        <w:t xml:space="preserve">), a Eucaristia (a palavra grega para “ação de graças”, veja </w:t>
      </w:r>
      <w:hyperlink r:id="rId4654">
        <w:r>
          <w:rPr>
            <w:color w:val="0000EE"/>
            <w:u w:val="single"/>
          </w:rPr>
          <w:t>Mc 14.23</w:t>
        </w:r>
      </w:hyperlink>
      <w:r>
        <w:t>), ou a Missa. O apóstolo Paulo fala de entregar o que ele havia “recebido do Senhor” sobre a instituição desta ceia “na noite em que ele foi traído”. Tal como Lucas, Paulo dá a ordem do Senhor aos seus discípulos: “Fazei isso em memória de mim” (</w:t>
      </w:r>
      <w:hyperlink r:id="rId4655">
        <w:r>
          <w:rPr>
            <w:color w:val="0000EE"/>
            <w:u w:val="single"/>
          </w:rPr>
          <w:t>1Co 11.24–25</w:t>
        </w:r>
      </w:hyperlink>
      <w:r>
        <w:t xml:space="preserve">). De acordo com </w:t>
      </w:r>
      <w:hyperlink r:id="rId2610">
        <w:r>
          <w:rPr>
            <w:color w:val="0000EE"/>
            <w:u w:val="single"/>
          </w:rPr>
          <w:t>Atos 2</w:t>
        </w:r>
      </w:hyperlink>
      <w:r>
        <w:t>, os primeiros cristãos desde o início da vida da igreja se reuniam regularmente para “partir o pão”.</w:t>
      </w:r>
    </w:p>
    <w:p>
      <w:r/>
      <w:r>
        <w:t>Resumo</w:t>
      </w:r>
    </w:p>
    <w:p>
      <w:r/>
      <w:r>
        <w:t>• Os relatos da Instituição</w:t>
      </w:r>
    </w:p>
    <w:p>
      <w:r/>
      <w:r>
        <w:t>• A história da Instituição</w:t>
      </w:r>
    </w:p>
    <w:p>
      <w:r/>
      <w:r>
        <w:t>• Palavras e ações da Instituição</w:t>
      </w:r>
    </w:p>
    <w:p>
      <w:r/>
      <w:r>
        <w:t>• A prática da Igreja Primitiva</w:t>
      </w:r>
    </w:p>
    <w:p>
      <w:r/>
      <w:r>
        <w:t>• O ensino de Paulo</w:t>
      </w:r>
    </w:p>
    <w:p>
      <w:pPr>
        <w:pStyle w:val="Heading3"/>
      </w:pPr>
      <w:r>
        <w:t>Os relatos da Instituição</w:t>
      </w:r>
    </w:p>
    <w:p>
      <w:r/>
      <w:r>
        <w:t xml:space="preserve">A instituição da Ceia do Senhor é registrada em </w:t>
      </w:r>
      <w:hyperlink r:id="rId4656">
        <w:r>
          <w:rPr>
            <w:color w:val="0000EE"/>
            <w:u w:val="single"/>
          </w:rPr>
          <w:t>Mateus 26.26–30</w:t>
        </w:r>
      </w:hyperlink>
      <w:r>
        <w:t xml:space="preserve">; </w:t>
      </w:r>
      <w:hyperlink r:id="rId4657">
        <w:r>
          <w:rPr>
            <w:color w:val="0000EE"/>
            <w:u w:val="single"/>
          </w:rPr>
          <w:t>Marcos 14.22–26</w:t>
        </w:r>
      </w:hyperlink>
      <w:r>
        <w:t xml:space="preserve">; e </w:t>
      </w:r>
      <w:hyperlink r:id="rId3115">
        <w:r>
          <w:rPr>
            <w:color w:val="0000EE"/>
            <w:u w:val="single"/>
          </w:rPr>
          <w:t>Lucas 22.14–20</w:t>
        </w:r>
      </w:hyperlink>
      <w:r>
        <w:t xml:space="preserve">. O Evangelho de João (capítulo </w:t>
      </w:r>
      <w:hyperlink r:id="rId4658">
        <w:r>
          <w:rPr>
            <w:color w:val="0000EE"/>
            <w:u w:val="single"/>
          </w:rPr>
          <w:t>13</w:t>
        </w:r>
      </w:hyperlink>
      <w:r>
        <w:t xml:space="preserve">) fala da Última Ceia que Jesus compartilhou com seus discípulos, de sua lavagem dos pés dos discípulos e o ensino associado a isso, mas não menciona sua instituição de Comunhão. Muitos veem a Ceia do Senhor refletida no ensino de </w:t>
      </w:r>
      <w:hyperlink r:id="rId4659">
        <w:r>
          <w:rPr>
            <w:color w:val="0000EE"/>
            <w:u w:val="single"/>
          </w:rPr>
          <w:t>João 6</w:t>
        </w:r>
      </w:hyperlink>
      <w:r>
        <w:t xml:space="preserve">, seguindo o milagre da multiplicação para alimentar a multidão de 5.000 pessoas, e a fala de Jesus de si mesmo como “o pão da vida”, mas isso está aberto a questionamentos. </w:t>
      </w:r>
      <w:hyperlink r:id="rId4660">
        <w:r>
          <w:rPr>
            <w:color w:val="0000EE"/>
            <w:u w:val="single"/>
          </w:rPr>
          <w:t>Primeira Coríntios 11.23–26</w:t>
        </w:r>
      </w:hyperlink>
      <w:r>
        <w:t xml:space="preserve"> dá a versão de Paulo da instituição, da qual ele fala como “receber” e “entregar” aos cristãos coríntios.</w:t>
      </w:r>
    </w:p>
    <w:p>
      <w:r/>
      <w:r>
        <w:t xml:space="preserve">Em </w:t>
      </w:r>
      <w:hyperlink r:id="rId4661">
        <w:r>
          <w:rPr>
            <w:color w:val="0000EE"/>
            <w:u w:val="single"/>
          </w:rPr>
          <w:t>Lucas 22.17–18</w:t>
        </w:r>
      </w:hyperlink>
      <w:r>
        <w:t xml:space="preserve"> diz-se que Jesus passou o cálice para os discípulos com as palavras “Tomem isso, e dividam entre si” antes de tomar o pão e dar a eles. Na maioria dos manuscritos antigos, há um segundo cálice, por fim, após a distribuição do pão. Esta diferença de Lucas ante os outros Evangelhos e de Paulo foi explicada de várias maneiras, mas se há dois cálices de vinho na ceia ou uma ordem diferente na distribuição do pão e do vinho, não faz diferença essencial para o fato e o significado da instituição.</w:t>
      </w:r>
    </w:p>
    <w:p>
      <w:pPr>
        <w:pStyle w:val="Heading3"/>
      </w:pPr>
      <w:r>
        <w:t>A história da Instituição</w:t>
      </w:r>
    </w:p>
    <w:p>
      <w:r/>
      <w:r>
        <w:t>Todas as narrativas — os três Evangelhos e 1 Coríntios — falam da Última Ceia quando a Eucaristia foi instituída, como que ocorrendo algumas horas antes da prisão de Jesus. Todos os quatro Evangelhos relatam, neste contexto, das palavras de Jesus aos seus discípulos, sobre a traição de Judas, e sobre Jesus dizendo a Pedro que ele negaria seu Mestre. Mateus (</w:t>
      </w:r>
      <w:hyperlink r:id="rId4662">
        <w:r>
          <w:rPr>
            <w:color w:val="0000EE"/>
            <w:u w:val="single"/>
          </w:rPr>
          <w:t>Mt 26.17–20</w:t>
        </w:r>
      </w:hyperlink>
      <w:r>
        <w:t>), Marcos (</w:t>
      </w:r>
      <w:hyperlink r:id="rId4663">
        <w:r>
          <w:rPr>
            <w:color w:val="0000EE"/>
            <w:u w:val="single"/>
          </w:rPr>
          <w:t>Mc 14.12–17</w:t>
        </w:r>
      </w:hyperlink>
      <w:r>
        <w:t>) e Lucas (</w:t>
      </w:r>
      <w:hyperlink r:id="rId4664">
        <w:r>
          <w:rPr>
            <w:color w:val="0000EE"/>
            <w:u w:val="single"/>
          </w:rPr>
          <w:t>Lc 22.7–14</w:t>
        </w:r>
      </w:hyperlink>
      <w:r>
        <w:t>) dizem, claramente, que esta Última Ceia foi preparada pelos discípulos e guardada por Jesus, com eles, como uma refeição da Páscoa João fala disso como acontecendo “antes da festa da Páscoa” e, então, relata que, na época do julgamento de Jesus diante de Pilatos, os líderes judeus “não entraram no pretório, para que eles não pudessem ser contaminados, mas poderiam comer a Páscoa” (</w:t>
      </w:r>
      <w:hyperlink r:id="rId4665">
        <w:r>
          <w:rPr>
            <w:color w:val="0000EE"/>
            <w:u w:val="single"/>
          </w:rPr>
          <w:t>Jo 13.1</w:t>
        </w:r>
      </w:hyperlink>
      <w:r>
        <w:t xml:space="preserve">; </w:t>
      </w:r>
      <w:hyperlink r:id="rId4666">
        <w:r>
          <w:rPr>
            <w:color w:val="0000EE"/>
            <w:u w:val="single"/>
          </w:rPr>
          <w:t>18.28</w:t>
        </w:r>
      </w:hyperlink>
      <w:r>
        <w:t>, ARA).</w:t>
      </w:r>
    </w:p>
    <w:p>
      <w:r/>
      <w:r>
        <w:t xml:space="preserve">Várias explicações desta diferença entre João e os outros Evangelhos foram sugeridas, tais como os diferentes grupos de judeus que mantinham a Páscoa em momentos diferentes, que a refeição na sala superior não era estritamente uma Páscoa, mas uma refeição de comunhão na temporada da Páscoa, ou que Jesus escolheu deliberadamente por suas próprias razões especiais para celebrar a Páscoa antes do tempo normal. </w:t>
      </w:r>
      <w:hyperlink r:id="rId4667">
        <w:r>
          <w:rPr>
            <w:color w:val="0000EE"/>
            <w:u w:val="single"/>
          </w:rPr>
          <w:t>Lucas 22.15</w:t>
        </w:r>
      </w:hyperlink>
      <w:r>
        <w:t xml:space="preserve"> concede suas palavras: “Eu, sinceramente, desejei comer esta Páscoa com vocês antes de sofrer” (ARA). No entanto, as diferenças entre os Evangelhos podem ser explicadas, e sempre que a reunião ao redor da mesa ocorria, fica claro que a Última Ceia tinha o significado de uma refeição da Páscoa.</w:t>
      </w:r>
    </w:p>
    <w:p>
      <w:r/>
      <w:r>
        <w:t>Assim, há uma semelhança inevitável entre a celebração da Páscoa como uma festa da antiga aliança, e a Ceia do Senhor como uma festa da nova. A primeira olha para trás com gratidão, uma lembrança à redenção do povo e libertação do Egito pelo ato de Deus, associado com o sacrifício do cordeiro da Páscoa. Esta última recorda com gratidão a redenção realizada por Deus através do sacrifício de Cristo. O apóstolo Paulo conecta os dois: “Cristo, nosso cordeiro da Páscoa, foi sacrificado” (</w:t>
      </w:r>
      <w:hyperlink r:id="rId4668">
        <w:r>
          <w:rPr>
            <w:color w:val="0000EE"/>
            <w:u w:val="single"/>
          </w:rPr>
          <w:t>1Co 5.7</w:t>
        </w:r>
      </w:hyperlink>
      <w:r>
        <w:t>, NVI).</w:t>
      </w:r>
    </w:p>
    <w:p>
      <w:pPr>
        <w:pStyle w:val="Heading3"/>
      </w:pPr>
      <w:r>
        <w:t>Palavras e ações da Instituição</w:t>
      </w:r>
    </w:p>
    <w:p>
      <w:r/>
      <w:r>
        <w:t>A associação da Última Ceia com a Páscoa aponta para a importância do pano de fundo do AT para nossa compreensão do significado da Ceia do Senhor. Este contexto do AT é igualmente importante para entender as palavras e ações de Jesus na sala superior.</w:t>
      </w:r>
    </w:p>
    <w:p>
      <w:pPr>
        <w:pStyle w:val="Heading4"/>
      </w:pPr>
      <w:r>
        <w:t>“Este é meu corpo”.</w:t>
      </w:r>
    </w:p>
    <w:p>
      <w:r/>
      <w:r>
        <w:t>As ações de Jesus ao tomar o pão são descritas da mesma forma em Mateus (</w:t>
      </w:r>
      <w:hyperlink r:id="rId4669">
        <w:r>
          <w:rPr>
            <w:color w:val="0000EE"/>
            <w:u w:val="single"/>
          </w:rPr>
          <w:t>Mt 26.26</w:t>
        </w:r>
      </w:hyperlink>
      <w:r>
        <w:t>), Marcos (</w:t>
      </w:r>
      <w:hyperlink r:id="rId4670">
        <w:r>
          <w:rPr>
            <w:color w:val="0000EE"/>
            <w:u w:val="single"/>
          </w:rPr>
          <w:t>Mc 14.22</w:t>
        </w:r>
      </w:hyperlink>
      <w:r>
        <w:t>), Lucas (</w:t>
      </w:r>
      <w:hyperlink r:id="rId4671">
        <w:r>
          <w:rPr>
            <w:color w:val="0000EE"/>
            <w:u w:val="single"/>
          </w:rPr>
          <w:t>Lc 22.19</w:t>
        </w:r>
      </w:hyperlink>
      <w:r>
        <w:t>) e 1 Coríntios (</w:t>
      </w:r>
      <w:hyperlink r:id="rId4672">
        <w:r>
          <w:rPr>
            <w:color w:val="0000EE"/>
            <w:u w:val="single"/>
          </w:rPr>
          <w:t>1Co 11.23–24</w:t>
        </w:r>
      </w:hyperlink>
      <w:r>
        <w:t>). Jesus tomou o pão, deu graças a Deus (“bênção” tem o mesmo significado no contexto bíblico), e o partiu. Vale ressaltar que as mesmas três ações são descritas nos registros do milagre da multiplicação dos pães, com as multidões de 5.000 pessoas, e das 4.000 pessoas (</w:t>
      </w:r>
      <w:hyperlink r:id="rId4673">
        <w:r>
          <w:rPr>
            <w:color w:val="0000EE"/>
            <w:u w:val="single"/>
          </w:rPr>
          <w:t>Mc 6.41</w:t>
        </w:r>
      </w:hyperlink>
      <w:r>
        <w:t xml:space="preserve">; </w:t>
      </w:r>
      <w:hyperlink r:id="rId4674">
        <w:r>
          <w:rPr>
            <w:color w:val="0000EE"/>
            <w:u w:val="single"/>
          </w:rPr>
          <w:t>8.6</w:t>
        </w:r>
      </w:hyperlink>
      <w:r>
        <w:t xml:space="preserve">). O que ele disse, de acordo com todos os quatro relatos da Última Ceia, foi “Este é meu corpo”. Os cristãos nas tradições católicas, ortodoxas e várias tradições protestantes têm divergências em sua compreensão do significado preciso dessas palavras. O que fica claro é que, no tomar o pão, há a percepção de Jesus se entregar, seu corpo a ser quebrado na cruz, sua vida oferecida para que nós, em e através dele, possamos ter vida. </w:t>
      </w:r>
      <w:hyperlink r:id="rId4675">
        <w:r>
          <w:rPr>
            <w:color w:val="0000EE"/>
            <w:u w:val="single"/>
          </w:rPr>
          <w:t>Primeira Coríntios 11.24</w:t>
        </w:r>
      </w:hyperlink>
      <w:r>
        <w:t xml:space="preserve"> registra as palavras como “Este é meu corpo que é para vocês”, e alguns manuscritos iniciais “quebrado por vocês”.</w:t>
      </w:r>
    </w:p>
    <w:p>
      <w:pPr>
        <w:pStyle w:val="Heading4"/>
      </w:pPr>
      <w:r>
        <w:t>“Faça isso em memória de mim”.</w:t>
      </w:r>
    </w:p>
    <w:p>
      <w:r/>
      <w:r>
        <w:t xml:space="preserve">Esta instrução específica é encontrada apenas em </w:t>
      </w:r>
      <w:hyperlink r:id="rId4671">
        <w:r>
          <w:rPr>
            <w:color w:val="0000EE"/>
            <w:u w:val="single"/>
          </w:rPr>
          <w:t>Lucas 22.19</w:t>
        </w:r>
      </w:hyperlink>
      <w:r>
        <w:t xml:space="preserve"> e </w:t>
      </w:r>
      <w:hyperlink r:id="rId4675">
        <w:r>
          <w:rPr>
            <w:color w:val="0000EE"/>
            <w:u w:val="single"/>
          </w:rPr>
          <w:t>1 Coríntios 11.24</w:t>
        </w:r>
      </w:hyperlink>
      <w:r>
        <w:t>. Alguns argumentaram que a ausência das palavras nos outros registros do Evangelho indica que não era a intenção explícita do Senhor que o que ele fez na Última Ceia deveria ser repetido como um sacramento cristão. No entanto, todos os Evangelhos foram escritos quando o partir do pão havia sido uma prática regular na vida da igreja por anos. Mateus e Marcos, portanto, podem ter pensado que era desnecessário expressar a intenção de Jesus com essas palavras. Elas foram tomadas como certas.</w:t>
      </w:r>
    </w:p>
    <w:p>
      <w:r/>
      <w:r>
        <w:t xml:space="preserve">Também deve ser dito que essas palavras foram interpretadas de forma diferente em várias tradições cristãs. Muitos cristãos protestantes entenderam que elas significavam que, na Santa Comunhão, devemos lembrar com grande gratidão que Cristo nos amou e se deu para morrer por nós. Na Igreja Católica Romana, a palavra “lembrança” foi entendida como um memorial diante de Deus, uma representação do sacrifício de Cristo diante do Pai. “Faça isso” foi interpretado como significado “oferecer isso”, e até mesmo no segundo século os escritores cristãos falavam da Eucaristia como um “sacrifício”. Os cristãos protestantes, geralmente, sentiram o perigo desta maneira de falar; pode prejudicar, ou até mesmo negar, a compreensão bíblica do sacrifício de Cristo tendo sido oferecido de uma vez por todas, suficientemente expiação pelos pecados do mundo (cf. </w:t>
      </w:r>
      <w:hyperlink r:id="rId872">
        <w:r>
          <w:rPr>
            <w:color w:val="0000EE"/>
            <w:u w:val="single"/>
          </w:rPr>
          <w:t>Hb 7.27</w:t>
        </w:r>
      </w:hyperlink>
      <w:r>
        <w:t xml:space="preserve">; </w:t>
      </w:r>
      <w:hyperlink r:id="rId2682">
        <w:r>
          <w:rPr>
            <w:color w:val="0000EE"/>
            <w:u w:val="single"/>
          </w:rPr>
          <w:t>9.12</w:t>
        </w:r>
      </w:hyperlink>
      <w:r>
        <w:t xml:space="preserve">). Deve ser dito, no entanto, que muitas declarações católicas romanas enfatizam, hoje, a suficiência e integridade do sacrifício de Cristo na cruz; e muitos estudiosos protestantes, embora não desejem introduzir uma compreensão sacrificial da Ceia do Senhor, enfatizam que “lembrança” é mais do que simplesmente trazer à mente de uma ação do passado. No pensamento bíblico, “lembrança” muitas vezes envolve uma realização e apropriação no presente do que foi feito ou o que se provou verdadeiro no passado (veja </w:t>
      </w:r>
      <w:hyperlink r:id="rId4676">
        <w:r>
          <w:rPr>
            <w:color w:val="0000EE"/>
            <w:u w:val="single"/>
          </w:rPr>
          <w:t>Sl 98.3</w:t>
        </w:r>
      </w:hyperlink>
      <w:r>
        <w:t xml:space="preserve">; </w:t>
      </w:r>
      <w:hyperlink r:id="rId4677">
        <w:r>
          <w:rPr>
            <w:color w:val="0000EE"/>
            <w:u w:val="single"/>
          </w:rPr>
          <w:t>106.45</w:t>
        </w:r>
      </w:hyperlink>
      <w:r>
        <w:t xml:space="preserve">; </w:t>
      </w:r>
      <w:hyperlink r:id="rId4678">
        <w:r>
          <w:rPr>
            <w:color w:val="0000EE"/>
            <w:u w:val="single"/>
          </w:rPr>
          <w:t>112.6</w:t>
        </w:r>
      </w:hyperlink>
      <w:r>
        <w:t xml:space="preserve">; </w:t>
      </w:r>
      <w:hyperlink r:id="rId4679">
        <w:r>
          <w:rPr>
            <w:color w:val="0000EE"/>
            <w:u w:val="single"/>
          </w:rPr>
          <w:t>Ec 12.1</w:t>
        </w:r>
      </w:hyperlink>
      <w:r>
        <w:t xml:space="preserve">; </w:t>
      </w:r>
      <w:hyperlink r:id="rId4680">
        <w:r>
          <w:rPr>
            <w:color w:val="0000EE"/>
            <w:u w:val="single"/>
          </w:rPr>
          <w:t>Is 57.11</w:t>
        </w:r>
      </w:hyperlink>
      <w:r>
        <w:t>).</w:t>
      </w:r>
    </w:p>
    <w:p>
      <w:pPr>
        <w:pStyle w:val="Heading4"/>
      </w:pPr>
      <w:r>
        <w:t>“Este é meu sangue da [nova] aliança”.</w:t>
      </w:r>
    </w:p>
    <w:p>
      <w:r/>
      <w:r>
        <w:t>Jesus tomou o cálice de vinho, deu graças e o entregou aos seus discípulos para que todos eles bebessem. Em essência, os quatro relatos da instituição concordam. Mateus (</w:t>
      </w:r>
      <w:hyperlink r:id="rId856">
        <w:r>
          <w:rPr>
            <w:color w:val="0000EE"/>
            <w:u w:val="single"/>
          </w:rPr>
          <w:t>Mt 26.28</w:t>
        </w:r>
      </w:hyperlink>
      <w:r>
        <w:t>) e Marcos (</w:t>
      </w:r>
      <w:hyperlink r:id="rId857">
        <w:r>
          <w:rPr>
            <w:color w:val="0000EE"/>
            <w:u w:val="single"/>
          </w:rPr>
          <w:t>Mc 14.24</w:t>
        </w:r>
      </w:hyperlink>
      <w:r>
        <w:t xml:space="preserve">) registram as palavras de Jesus como “Este é meu sangue da [nova] aliança”. </w:t>
      </w:r>
      <w:hyperlink r:id="rId824">
        <w:r>
          <w:rPr>
            <w:color w:val="0000EE"/>
            <w:u w:val="single"/>
          </w:rPr>
          <w:t>Lucas 22.20</w:t>
        </w:r>
      </w:hyperlink>
      <w:r>
        <w:t xml:space="preserve"> tem “Este cálice que é derramado por vocês é a nova aliança em meu sangue”, e </w:t>
      </w:r>
      <w:hyperlink r:id="rId851">
        <w:r>
          <w:rPr>
            <w:color w:val="0000EE"/>
            <w:u w:val="single"/>
          </w:rPr>
          <w:t>1 Coríntios 11.25</w:t>
        </w:r>
      </w:hyperlink>
      <w:r>
        <w:t xml:space="preserve"> é semelhante a isso. Isso se refere ao ritual de fazer uma aliança com a oferta do sacrifício, como a aliança entre Deus e Israel após o Êxodo (</w:t>
      </w:r>
      <w:hyperlink r:id="rId2389">
        <w:r>
          <w:rPr>
            <w:color w:val="0000EE"/>
            <w:u w:val="single"/>
          </w:rPr>
          <w:t>Êx 24.1–8</w:t>
        </w:r>
      </w:hyperlink>
      <w:r>
        <w:t>). Implícito também está que a esperança profética da nova aliança (</w:t>
      </w:r>
      <w:hyperlink r:id="rId833">
        <w:r>
          <w:rPr>
            <w:color w:val="0000EE"/>
            <w:u w:val="single"/>
          </w:rPr>
          <w:t>Jr 31.31–34</w:t>
        </w:r>
      </w:hyperlink>
      <w:r>
        <w:t xml:space="preserve">) foi cumprida em Jesus, como </w:t>
      </w:r>
      <w:hyperlink r:id="rId4681">
        <w:r>
          <w:rPr>
            <w:color w:val="0000EE"/>
            <w:u w:val="single"/>
          </w:rPr>
          <w:t>Hebreus 8–9</w:t>
        </w:r>
      </w:hyperlink>
      <w:r>
        <w:t xml:space="preserve"> descreve.</w:t>
      </w:r>
    </w:p>
    <w:p>
      <w:pPr>
        <w:pStyle w:val="Heading4"/>
      </w:pPr>
      <w:r>
        <w:t>“Derramado por muitos pelo perdão dos pecados”.</w:t>
      </w:r>
    </w:p>
    <w:p>
      <w:r/>
      <w:r>
        <w:t xml:space="preserve">O significado da morte de Jesus como um sacrifício está ligado com a compreensão da Páscoa e da aliança. Também está relacionado com o que </w:t>
      </w:r>
      <w:hyperlink r:id="rId3618">
        <w:r>
          <w:rPr>
            <w:color w:val="0000EE"/>
            <w:u w:val="single"/>
          </w:rPr>
          <w:t>Isaías 53</w:t>
        </w:r>
      </w:hyperlink>
      <w:r>
        <w:t xml:space="preserve"> diz sobre o Servo sofredor se fazendo “uma oferta pelo pecado” (</w:t>
      </w:r>
      <w:hyperlink r:id="rId4682">
        <w:r>
          <w:rPr>
            <w:color w:val="0000EE"/>
            <w:u w:val="single"/>
          </w:rPr>
          <w:t>Is 53.10</w:t>
        </w:r>
      </w:hyperlink>
      <w:r>
        <w:t xml:space="preserve">). </w:t>
      </w:r>
      <w:hyperlink r:id="rId4683">
        <w:r>
          <w:rPr>
            <w:color w:val="0000EE"/>
            <w:u w:val="single"/>
          </w:rPr>
          <w:t>Lucas 22.37</w:t>
        </w:r>
      </w:hyperlink>
      <w:r>
        <w:t xml:space="preserve"> inclui entre as palavras de Jesus na sala superior a declaração: “Esta escritura deve ser cumprida em mim: ‘E ele foi contado com os transgressores’. ” Esse verso, </w:t>
      </w:r>
      <w:hyperlink r:id="rId4684">
        <w:r>
          <w:rPr>
            <w:color w:val="0000EE"/>
            <w:u w:val="single"/>
          </w:rPr>
          <w:t>Isaías 53.12</w:t>
        </w:r>
      </w:hyperlink>
      <w:r>
        <w:t xml:space="preserve">, também diz: “ele derramou sua alma na morte” e “ele levou sobre si o pecado de muitos”. </w:t>
      </w:r>
      <w:hyperlink r:id="rId857">
        <w:r>
          <w:rPr>
            <w:color w:val="0000EE"/>
            <w:u w:val="single"/>
          </w:rPr>
          <w:t>Marcos 14.24</w:t>
        </w:r>
      </w:hyperlink>
      <w:r>
        <w:t xml:space="preserve"> parece aludir a essas Escrituras quando Jesus fala de seu sangue “derramado por muitos”, e </w:t>
      </w:r>
      <w:hyperlink r:id="rId856">
        <w:r>
          <w:rPr>
            <w:color w:val="0000EE"/>
            <w:u w:val="single"/>
          </w:rPr>
          <w:t>Mateus 26.28</w:t>
        </w:r>
      </w:hyperlink>
      <w:r>
        <w:t xml:space="preserve"> acrescenta “para o perdão dos pecados”.</w:t>
      </w:r>
    </w:p>
    <w:p>
      <w:pPr>
        <w:pStyle w:val="Heading4"/>
      </w:pPr>
      <w:r>
        <w:t>Expectativa para o Futuro</w:t>
      </w:r>
    </w:p>
    <w:p>
      <w:r/>
      <w:r>
        <w:t xml:space="preserve">Todos os quatro relatos da Última Ceia se associam, embora de maneiras diferentes, uma expectativa pelo futuro com a instituição da Eucaristia. Em </w:t>
      </w:r>
      <w:hyperlink r:id="rId4685">
        <w:r>
          <w:rPr>
            <w:color w:val="0000EE"/>
            <w:u w:val="single"/>
          </w:rPr>
          <w:t>Marcos 14.25</w:t>
        </w:r>
      </w:hyperlink>
      <w:r>
        <w:t xml:space="preserve">, vem nas palavras de Jesus: “Em verdade, eu digo a vocês que não beberei novamente do fruto da videira até aquele dia em que beberei novo no reino de Deus” (ARA). Em </w:t>
      </w:r>
      <w:hyperlink r:id="rId4686">
        <w:r>
          <w:rPr>
            <w:color w:val="0000EE"/>
            <w:u w:val="single"/>
          </w:rPr>
          <w:t>Mateus 26.29</w:t>
        </w:r>
      </w:hyperlink>
      <w:r>
        <w:t xml:space="preserve"> que o futuro desfrutar da bebida do fruto da videira é dito que será “com vocês no reino de meu Pai”. Em </w:t>
      </w:r>
      <w:hyperlink r:id="rId4687">
        <w:r>
          <w:rPr>
            <w:color w:val="0000EE"/>
            <w:u w:val="single"/>
          </w:rPr>
          <w:t>Lucas 22.18</w:t>
        </w:r>
      </w:hyperlink>
      <w:r>
        <w:t xml:space="preserve">, há palavras semelhantes, e dois versos anteriores a declaração sobre cumprimento da Páscoa “no reino de Deus”. Tudo isso pode ser entendido como a realização final de outra esperança que tanto o AT quanto os escritos apocalípticos judaicos posteriores estabeleceram adiante: o banquete messiânico, a festa no monte do Senhor da qual </w:t>
      </w:r>
      <w:hyperlink r:id="rId3114">
        <w:r>
          <w:rPr>
            <w:color w:val="0000EE"/>
            <w:u w:val="single"/>
          </w:rPr>
          <w:t>Isaías 25.6</w:t>
        </w:r>
      </w:hyperlink>
      <w:r>
        <w:t xml:space="preserve"> fala. Em </w:t>
      </w:r>
      <w:hyperlink r:id="rId4688">
        <w:r>
          <w:rPr>
            <w:color w:val="0000EE"/>
            <w:u w:val="single"/>
          </w:rPr>
          <w:t>1 Coríntios 11.26</w:t>
        </w:r>
      </w:hyperlink>
      <w:r>
        <w:t xml:space="preserve"> essa esperança futura é bastante explícita que se trata da segunda vinda de Cristo; pois, diz o apóstolo: “Todas as vezes que você come este pão e bebe o cálice, você proclama a morte do Senhor até que ele venha” (ARA).</w:t>
      </w:r>
    </w:p>
    <w:p>
      <w:pPr>
        <w:pStyle w:val="Heading3"/>
      </w:pPr>
      <w:r>
        <w:t>A prática da Igreja Primitiva</w:t>
      </w:r>
    </w:p>
    <w:p>
      <w:r/>
      <w:r>
        <w:t xml:space="preserve">Em </w:t>
      </w:r>
      <w:hyperlink r:id="rId4652">
        <w:r>
          <w:rPr>
            <w:color w:val="0000EE"/>
            <w:u w:val="single"/>
          </w:rPr>
          <w:t>Atos 2.42</w:t>
        </w:r>
      </w:hyperlink>
      <w:r>
        <w:t>, após o registro do que aconteceu em Pentecostes, é dito que “eles se dedicaram ao ensino e comunhão dos apóstolos, ao partir do pão e às orações” (ARA). Além disso, “diariamente perseveravam unânimes no templo, partiam pão de casa em casa e tomavam as suas refeições com alegria e singeleza de coração” (</w:t>
      </w:r>
      <w:hyperlink r:id="rId4689">
        <w:r>
          <w:rPr>
            <w:color w:val="0000EE"/>
            <w:u w:val="single"/>
          </w:rPr>
          <w:t>Atos 2.46</w:t>
        </w:r>
      </w:hyperlink>
      <w:r>
        <w:t xml:space="preserve">, ARA). Duas perguntas são levantadas sobre essas palavras e a prática que estava por trás delas. Eles simplesmente querem dizer que os cristãos compartilhavam refeições comunais juntos? </w:t>
      </w:r>
      <w:hyperlink r:id="rId4689">
        <w:r>
          <w:rPr>
            <w:color w:val="0000EE"/>
            <w:u w:val="single"/>
          </w:rPr>
          <w:t>Atos 2.46</w:t>
        </w:r>
      </w:hyperlink>
      <w:r>
        <w:t xml:space="preserve"> parece falar de partir o pão e participar de refeições como duas ações separadas. Além disso, </w:t>
      </w:r>
      <w:hyperlink r:id="rId4653">
        <w:r>
          <w:rPr>
            <w:color w:val="0000EE"/>
            <w:u w:val="single"/>
          </w:rPr>
          <w:t>Atos 20.7</w:t>
        </w:r>
      </w:hyperlink>
      <w:r>
        <w:t xml:space="preserve"> ao falar dos cristãos em Trôade “no primeiro dia da semana . . . reunidos para partir o pão” parece claramente aludir a um culto cristão e não apenas uma refeição. De </w:t>
      </w:r>
      <w:hyperlink r:id="rId4690">
        <w:r>
          <w:rPr>
            <w:color w:val="0000EE"/>
            <w:u w:val="single"/>
          </w:rPr>
          <w:t>1 Coríntios 10</w:t>
        </w:r>
      </w:hyperlink>
      <w:r>
        <w:t xml:space="preserve"> e talvez da referência a “festas de amor” em </w:t>
      </w:r>
      <w:hyperlink r:id="rId4691">
        <w:r>
          <w:rPr>
            <w:color w:val="0000EE"/>
            <w:u w:val="single"/>
          </w:rPr>
          <w:t>Judas 12</w:t>
        </w:r>
      </w:hyperlink>
      <w:r>
        <w:t>, podemos deduzir razoavelmente que uma refeição na comunhão cristã e a celebração da Ceia do Senhor, muitas vezes, ocorriam juntas. Uma segunda pergunta é se o primitivo “partir do pão”, como na igreja de Jerusalém, pode ter sido um rito diferente daquele com o pão e o vinho, o primeiro lembrando a comunhão dos discípulos com o Senhor ressuscitado, este último especialmente lembrando sua morte sacrificial. Não há evidências diretas para apoiar tal visão. A Ceia do Senhor, da qual os Evangelhos dão testemunho, envolveu o partir do pão e o compartilhar do cálice em memória do sangue de Cristo “derramado por muitos”. Podemos assumir, também, que a tradição que o apóstolo Paulo recebeu, seguiu e passou para os outros remonta a seus primeiros anos como cristão e assim envolveu o partir do pão e o compartilhar do cálice em memória de Cristo, e assim proclamando a morte do Senhor até seu retorno.</w:t>
      </w:r>
    </w:p>
    <w:p>
      <w:pPr>
        <w:pStyle w:val="Heading3"/>
      </w:pPr>
      <w:r>
        <w:t>O ensino de Paulo</w:t>
      </w:r>
    </w:p>
    <w:p>
      <w:r/>
      <w:r>
        <w:t xml:space="preserve">No ensino de Paulo, como nos Evangelhos, a Ceia do Senhor envolve claramente o olhar para trás em lembrança grata pelo sacrifício de Cristo oferecido de uma vez por todas pelos pecados do mundo, a realização de o Senhor estar com seu povo no presente, e a expectativa em esperança. Outros aspectos do ensino relacionados com a Eucaristia são trazidos em </w:t>
      </w:r>
      <w:hyperlink r:id="rId4692">
        <w:r>
          <w:rPr>
            <w:color w:val="0000EE"/>
            <w:u w:val="single"/>
          </w:rPr>
          <w:t>1 Coríntios 10–11</w:t>
        </w:r>
      </w:hyperlink>
      <w:r>
        <w:t>. O ensino surge de aspectos práticos da situação na igreja de Coríntio; a necessidade de estar ciente do perigo de voltar para trás de qualquer maneira para a adoração dos ídolos; e as divisões potenciais na comunhão cristã, incluindo entre ricos e pobres.</w:t>
      </w:r>
    </w:p>
    <w:p>
      <w:pPr>
        <w:pStyle w:val="Heading4"/>
      </w:pPr>
      <w:r>
        <w:t>Comunhão com Cristo</w:t>
      </w:r>
    </w:p>
    <w:p>
      <w:r/>
      <w:r>
        <w:t>Comer do pão e beber do cálice é mencionado como tendo parte com Cristo, pois compartilhar em refeições sacrificiais significaria participar da “mesa dos demônios” (</w:t>
      </w:r>
      <w:hyperlink r:id="rId4080">
        <w:r>
          <w:rPr>
            <w:color w:val="0000EE"/>
            <w:u w:val="single"/>
          </w:rPr>
          <w:t>1Co 10.21</w:t>
        </w:r>
      </w:hyperlink>
      <w:r>
        <w:t xml:space="preserve">). “O cálice da bênção que abençoamos não é a comunhão do sangue de Cristo? O pão que partimos não é a comunhão do corpo de Cristo?” (v. </w:t>
      </w:r>
      <w:hyperlink r:id="rId4102">
        <w:r>
          <w:rPr>
            <w:color w:val="0000EE"/>
            <w:u w:val="single"/>
          </w:rPr>
          <w:t>16</w:t>
        </w:r>
      </w:hyperlink>
      <w:r>
        <w:t xml:space="preserve">, ARA). “Comunhão” é a tradução da palavra grega </w:t>
      </w:r>
      <w:r>
        <w:rPr>
          <w:i/>
        </w:rPr>
        <w:t>koinonia</w:t>
      </w:r>
      <w:r>
        <w:t>, tão frequentemente traduzida como “aliança” nas passagens do NT. Quando a Ceia do Senhor foi celebrada, deve ter havido muitas vezes uma reminiscência não apenas da Última Ceia na noite antes de Jesus morrer, mas também de sua presença com seus discípulos na primeira Páscoa e seu dar-se a conhecer a eles no partir do pão (</w:t>
      </w:r>
      <w:hyperlink r:id="rId4693">
        <w:r>
          <w:rPr>
            <w:color w:val="0000EE"/>
            <w:u w:val="single"/>
          </w:rPr>
          <w:t>Lc 24.30–35</w:t>
        </w:r>
      </w:hyperlink>
      <w:r>
        <w:t>). Eles continuaram a experimentar essa comunhão com ele.</w:t>
      </w:r>
    </w:p>
    <w:p>
      <w:pPr>
        <w:pStyle w:val="Heading4"/>
      </w:pPr>
      <w:r>
        <w:t>Alimentando-se de Cristo</w:t>
      </w:r>
    </w:p>
    <w:p>
      <w:r/>
      <w:r>
        <w:t xml:space="preserve">Dos dois sacramentos cristãos, o batismo tem uma natureza de ser realizada uma única vez por todas, enquanto a Santa Comunhão é repetida. A vida de Cristo foi oferecida pelos pecados de uma vez por todas na cruz, e encontramos vida ao nos voltar a ele — o batismo significa isso. Ao mesmo tempo, a vida também é oferecida a nós constantemente para o alimento de nossas vidas espirituais dia a dia — desta alimentação regular em Cristo, que a Eucaristia fala. </w:t>
      </w:r>
      <w:hyperlink r:id="rId4694">
        <w:r>
          <w:rPr>
            <w:color w:val="0000EE"/>
            <w:u w:val="single"/>
          </w:rPr>
          <w:t>Primeira Coríntios 10.3–4</w:t>
        </w:r>
      </w:hyperlink>
      <w:r>
        <w:t xml:space="preserve"> fala de “comida sobrenatural” e “bebida sobrenatural” e encontra nos eventos no mar e no deserto, nos dias de Moisés, prenúncios do que os cristãos encontram em Cristo. Cristo disse: “Eu sou o pão da vida”, e “Minha carne é verdadeira comida, e o meu sangue é verdadeira bebida”; assim o que temos no Evangelho de João (</w:t>
      </w:r>
      <w:hyperlink r:id="rId4695">
        <w:r>
          <w:rPr>
            <w:color w:val="0000EE"/>
            <w:u w:val="single"/>
          </w:rPr>
          <w:t>Jo 6.35,55</w:t>
        </w:r>
      </w:hyperlink>
      <w:r>
        <w:t>, ARA) está perto do que Paulo implica sobre a Ceia do Senhor, expressando a verdade de que os cristãos espiritualmente se alimentam de Cristo.</w:t>
      </w:r>
      <w:r/>
      <w:r/>
    </w:p>
    <w:p>
      <w:r/>
    </w:p>
    <w:p>
      <w:pPr>
        <w:pStyle w:val="Heading2"/>
      </w:pPr>
      <w:r>
        <w:t>Cencreia</w:t>
      </w:r>
      <w:r/>
    </w:p>
    <w:p>
      <w:r/>
      <w:r>
        <w:t>Cidade portuária que atendia às necessidades marítimas da grande cidade de Corinto, localizada a cerca de 12,9 quilômetros a oeste. Cencreia é conhecida desde o século V a.C. em conexão com um ataque ateniense a Corinto. Antes que o Canal de Corinto fosse aberto através do istmo, o tráfego para a Europa vindo da Ásia frequentemente passava de Cencreia por Corinto até Lequeu.</w:t>
      </w:r>
    </w:p>
    <w:p>
      <w:r/>
      <w:r>
        <w:t>Escavações iniciadas em 1963 localizaram o molhe do porto (quebra-mar), restos de armazéns datando do início do primeiro século e um grande edifício de pedra do segundo século. Uma igreja do quarto século testemunha a influência do Cristianismo na cidade. Porções da antiga estrada que leva ao sudeste do Portão de Cencreia, em Corinto, ainda podem ser vistas entre as ruínas da ágora (mercado) dessa cidade.</w:t>
      </w:r>
    </w:p>
    <w:p>
      <w:r/>
      <w:r>
        <w:t>Cencreia é mencionada duas vezes no NT. O apóstolo Paulo fez um voto que exigia o corte de seu cabelo antes de deixar Cencreia durante sua terceira viagem missionária (</w:t>
      </w:r>
      <w:hyperlink r:id="rId3928">
        <w:r>
          <w:rPr>
            <w:color w:val="0000EE"/>
            <w:u w:val="single"/>
          </w:rPr>
          <w:t>At 18.18</w:t>
        </w:r>
      </w:hyperlink>
      <w:r>
        <w:t>). Em sua carta à igreja em Roma, Paulo recomendou Febe, uma diaconisa da igreja em Cencreia, bem conhecida por seu serviço cristão (</w:t>
      </w:r>
      <w:hyperlink r:id="rId4383">
        <w:r>
          <w:rPr>
            <w:color w:val="0000EE"/>
            <w:u w:val="single"/>
          </w:rPr>
          <w:t>Rm 16.1</w:t>
        </w:r>
      </w:hyperlink>
      <w:r>
        <w:t>).</w:t>
      </w:r>
      <w:r/>
      <w:r/>
    </w:p>
    <w:p>
      <w:r/>
    </w:p>
    <w:p>
      <w:pPr>
        <w:pStyle w:val="Heading2"/>
      </w:pPr>
      <w:r>
        <w:t>Censo</w:t>
      </w:r>
      <w:r/>
    </w:p>
    <w:p>
      <w:r/>
      <w:r>
        <w:t>O registro e a contagem de pessoas são geralmente realizados para fins de guerra ou impostos. A Bíblia menciona alguns censos. Em algumas versões da Bíblia em português, "censo" aparece como "recenseamento", "contagem" ou outro termo similar.</w:t>
      </w:r>
    </w:p>
    <w:p>
      <w:r/>
      <w:r>
        <w:t>O primeiro censo foi realizado no Monte Sinai dois anos após o êxodo. Ele contou os homens israelitas com mais de 20 anos para avaliar a força militar — 603.550 no total (</w:t>
      </w:r>
      <w:hyperlink r:id="rId2400">
        <w:r>
          <w:rPr>
            <w:color w:val="0000EE"/>
            <w:u w:val="single"/>
          </w:rPr>
          <w:t>Nm 1.1–3,46</w:t>
        </w:r>
      </w:hyperlink>
      <w:r>
        <w:t>). Um censo especial dos levitas, que serviam no Tabernáculo em vez de deveres militares, contou 22.000 homens, com apenas 8.580 elegíveis para o serviço sacerdotal (</w:t>
      </w:r>
      <w:hyperlink r:id="rId4696">
        <w:r>
          <w:rPr>
            <w:color w:val="0000EE"/>
            <w:u w:val="single"/>
          </w:rPr>
          <w:t>Nm 3.15,39</w:t>
        </w:r>
      </w:hyperlink>
      <w:r>
        <w:t xml:space="preserve">; </w:t>
      </w:r>
      <w:hyperlink r:id="rId4697">
        <w:r>
          <w:rPr>
            <w:color w:val="0000EE"/>
            <w:u w:val="single"/>
          </w:rPr>
          <w:t>4.46–48</w:t>
        </w:r>
      </w:hyperlink>
      <w:r>
        <w:t>).</w:t>
      </w:r>
    </w:p>
    <w:p>
      <w:r/>
      <w:r>
        <w:t xml:space="preserve">O segundo censo ocorreu no final dos 40 anos de Israel no deserto. Isso está registrado em </w:t>
      </w:r>
      <w:hyperlink r:id="rId4698">
        <w:r>
          <w:rPr>
            <w:color w:val="0000EE"/>
            <w:u w:val="single"/>
          </w:rPr>
          <w:t>Números 26</w:t>
        </w:r>
      </w:hyperlink>
      <w:r>
        <w:t>. Foi também um censo militar, realizado pouco antes dos israelitas invadirem a Terra Prometida. O censo encontrou 601.730 homens aptos para lutar (</w:t>
      </w:r>
      <w:hyperlink r:id="rId4699">
        <w:r>
          <w:rPr>
            <w:color w:val="0000EE"/>
            <w:u w:val="single"/>
          </w:rPr>
          <w:t>Nm 26.51</w:t>
        </w:r>
      </w:hyperlink>
      <w:r>
        <w:t>), sem incluir os levitas. Os 23.000 levitas foram contados separadamente porque não receberiam terra (</w:t>
      </w:r>
      <w:hyperlink r:id="rId4700">
        <w:r>
          <w:rPr>
            <w:color w:val="0000EE"/>
            <w:u w:val="single"/>
          </w:rPr>
          <w:t>Nm 26.62</w:t>
        </w:r>
      </w:hyperlink>
      <w:r>
        <w:t>). Os israelitas pagaram meio siclo cada, cerca de 6 gramas de prata, como parte deste censo (</w:t>
      </w:r>
      <w:hyperlink r:id="rId4136">
        <w:r>
          <w:rPr>
            <w:color w:val="0000EE"/>
            <w:u w:val="single"/>
          </w:rPr>
          <w:t>Êx 30.11–16</w:t>
        </w:r>
      </w:hyperlink>
      <w:r>
        <w:t>).</w:t>
      </w:r>
    </w:p>
    <w:p>
      <w:r/>
      <w:r>
        <w:t>O terceiro censo ocorreu perto do final do reinado do Rei Davi (</w:t>
      </w:r>
      <w:hyperlink r:id="rId4701">
        <w:r>
          <w:rPr>
            <w:color w:val="0000EE"/>
            <w:u w:val="single"/>
          </w:rPr>
          <w:t>2Sm 24</w:t>
        </w:r>
      </w:hyperlink>
      <w:r>
        <w:t xml:space="preserve">). Deus ordenou os dois primeiros censos, mas o censo de Davi aconteceu quando Deus estava irritado com Israel. A Bíblia diz que o Senhor “levou Davi a prejudicá-los”, mas não explica as razões de Davi (veja </w:t>
      </w:r>
      <w:hyperlink r:id="rId4702">
        <w:r>
          <w:rPr>
            <w:color w:val="0000EE"/>
            <w:u w:val="single"/>
          </w:rPr>
          <w:t>1Cr 21.1</w:t>
        </w:r>
      </w:hyperlink>
      <w:r>
        <w:t xml:space="preserve"> para uma interpretação posterior). Davi pode ter desejado o censo para recrutamento, tributação ou para medir seu poder. Joabe, o principal comandante militar de Davi, sentiu que realizar o censo era errado e tentou impedir Davi. Após o censo — embora haja alguma incerteza sobre se foi concluído (veja </w:t>
      </w:r>
      <w:hyperlink r:id="rId4703">
        <w:r>
          <w:rPr>
            <w:color w:val="0000EE"/>
            <w:u w:val="single"/>
          </w:rPr>
          <w:t>1Cr 21.6</w:t>
        </w:r>
      </w:hyperlink>
      <w:r>
        <w:t xml:space="preserve">; </w:t>
      </w:r>
      <w:hyperlink r:id="rId4704">
        <w:r>
          <w:rPr>
            <w:color w:val="0000EE"/>
            <w:u w:val="single"/>
          </w:rPr>
          <w:t>27.23–24</w:t>
        </w:r>
      </w:hyperlink>
      <w:r>
        <w:t>) — Davi percebeu seu erro e se arrependeu. Mas Deus ainda estava irritado e deu a Davi a escolha de três punições: três anos de fome, três meses fugindo de um inimigo ou três dias de uma praga mortal. Davi escolheu a praga, que matou 70.000 homens. O censo encontrou 800.000 homens aptos em Israel e 500.000 em Judá (</w:t>
      </w:r>
      <w:hyperlink r:id="rId4705">
        <w:r>
          <w:rPr>
            <w:color w:val="0000EE"/>
            <w:u w:val="single"/>
          </w:rPr>
          <w:t>2Sm 24.9</w:t>
        </w:r>
      </w:hyperlink>
      <w:r>
        <w:t>). Um relato diferente menciona uma potencial milícia de 1.100.000 em Israel e 470.000 em Judá (</w:t>
      </w:r>
      <w:hyperlink r:id="rId4706">
        <w:r>
          <w:rPr>
            <w:color w:val="0000EE"/>
            <w:u w:val="single"/>
          </w:rPr>
          <w:t>1Cr 21.5</w:t>
        </w:r>
      </w:hyperlink>
      <w:r>
        <w:t>), além de 38.000 levitas que poderiam servir no Templo (</w:t>
      </w:r>
      <w:hyperlink r:id="rId4707">
        <w:r>
          <w:rPr>
            <w:color w:val="0000EE"/>
            <w:u w:val="single"/>
          </w:rPr>
          <w:t>1Cr 23.3</w:t>
        </w:r>
      </w:hyperlink>
      <w:r>
        <w:t>).</w:t>
      </w:r>
    </w:p>
    <w:p>
      <w:r/>
      <w:r>
        <w:t>Os estudiosos questionaram por que os números do terceiro censo são quase o dobro dos dois primeiros. Muitas explicações foram sugeridas, mas nenhuma é completamente satisfatória.</w:t>
      </w:r>
    </w:p>
    <w:p>
      <w:r/>
      <w:r>
        <w:t xml:space="preserve">Um quarto censo é registrado em </w:t>
      </w:r>
      <w:hyperlink r:id="rId4708">
        <w:r>
          <w:rPr>
            <w:color w:val="0000EE"/>
            <w:u w:val="single"/>
          </w:rPr>
          <w:t>Ed 2</w:t>
        </w:r>
      </w:hyperlink>
      <w:r>
        <w:t>, que ocorreu quando os exilados retornaram a Jerusalém. Incluía 42.360 israelitas do sexo masculino, 7.337 escravos (homens e mulheres) e 200 cantores (homens e mulheres).</w:t>
      </w:r>
    </w:p>
    <w:p>
      <w:r/>
      <w:r>
        <w:t>No Novo Testamento, um censo desempenhou um papel nos eventos do nascimento de Jesus. “Naquele tempo o imperador Augusto mandou uma ordem para todos os povos do império. Todas as pessoas deviam se registrar a fim de ser feita uma contagem da população. Quando foi feito esse primeiro recenseamento, Cirênio era governador da Síria. Então todos foram se registrar, cada um na sua própria cidade" (</w:t>
      </w:r>
      <w:hyperlink r:id="rId4709">
        <w:r>
          <w:rPr>
            <w:color w:val="0000EE"/>
            <w:u w:val="single"/>
          </w:rPr>
          <w:t>Lc 2.1–3</w:t>
        </w:r>
      </w:hyperlink>
      <w:r>
        <w:t>).</w:t>
      </w:r>
    </w:p>
    <w:p>
      <w:r/>
      <w:r>
        <w:t xml:space="preserve">Josefo, um historiador judeu do primeiro século d.C., observa que Cirênio completou um censo logo após se tornar governador da Síria em 6 d.C. Mas </w:t>
      </w:r>
      <w:hyperlink r:id="rId4710">
        <w:r>
          <w:rPr>
            <w:color w:val="0000EE"/>
            <w:u w:val="single"/>
          </w:rPr>
          <w:t>Mateus 2</w:t>
        </w:r>
      </w:hyperlink>
      <w:r>
        <w:t xml:space="preserve"> coloca o nascimento de Jesus durante o reinado de Herodes, o Grande, que morreu em 4 a.C., sugerindo que provavelmente houve dois censos diferentes naquela época. A referência de Lucas ao “primeiro recenseamento” (</w:t>
      </w:r>
      <w:hyperlink r:id="rId4711">
        <w:r>
          <w:rPr>
            <w:color w:val="0000EE"/>
            <w:u w:val="single"/>
          </w:rPr>
          <w:t>Lc 2.2</w:t>
        </w:r>
      </w:hyperlink>
      <w:r>
        <w:t xml:space="preserve">) provavelmente o distingue do censo de 6–7 d.C. Lucas provavelmente sabia sobre o censo posterior, que ele menciona em </w:t>
      </w:r>
      <w:hyperlink r:id="rId4712">
        <w:r>
          <w:rPr>
            <w:color w:val="0000EE"/>
            <w:u w:val="single"/>
          </w:rPr>
          <w:t>Atos 5.37</w:t>
        </w:r>
      </w:hyperlink>
      <w:r>
        <w:t>. Uma série de censos no Egito por volta da mesma época apoia a ideia de que uma série semelhante ocorreu na Palestina. A explicação mais provável é que um censo anterior ocorreu durante a liderança de Cirênio antes de ele se tornar oficialmente governador.</w:t>
      </w:r>
    </w:p>
    <w:p>
      <w:r/>
      <w:r>
        <w:t>A menção de Lucas ao censo sob Cirênio serve a dois propósitos. Ela data o nascimento de Jesus e explica por que José e Maria estavam em Belém. O censo provavelmente tinha fins fiscais, já que os romanos não exigiam que os judeus servissem no exército. A exigência de retornar à cidade natal reflete tanto as tradições hebraicas quanto a disposição do imperador Romano César Augusto em permitir que os judeus seguissem seus costumes.</w:t>
      </w:r>
      <w:r/>
      <w:r/>
    </w:p>
    <w:p>
      <w:r/>
    </w:p>
    <w:p>
      <w:pPr>
        <w:pStyle w:val="Heading2"/>
      </w:pPr>
      <w:r>
        <w:t>Centeio</w:t>
      </w:r>
      <w:r/>
    </w:p>
    <w:p>
      <w:r/>
      <w:r>
        <w:t>Uma forma comum de trigo nos tempos bíblicos.</w:t>
      </w:r>
    </w:p>
    <w:p>
      <w:r/>
      <w:r>
        <w:rPr>
          <w:i/>
        </w:rPr>
        <w:t>Veja</w:t>
      </w:r>
      <w:r>
        <w:t xml:space="preserve"> </w:t>
      </w:r>
      <w:r>
        <w:t>Alimentos e preparação de alimentos</w:t>
      </w:r>
      <w:r>
        <w:t xml:space="preserve">; </w:t>
      </w:r>
      <w:r>
        <w:t>Plantas (Espelta)</w:t>
      </w:r>
      <w:r>
        <w:t>.</w:t>
      </w:r>
      <w:r/>
      <w:r/>
    </w:p>
    <w:p>
      <w:r/>
    </w:p>
    <w:p>
      <w:pPr>
        <w:pStyle w:val="Heading2"/>
      </w:pPr>
      <w:r>
        <w:t>Centurião</w:t>
      </w:r>
      <w:r/>
    </w:p>
    <w:p>
      <w:r/>
      <w:r>
        <w:t xml:space="preserve">Um centurião era um líder no exército romano que comandava 100 soldados. O exército romano organizava seus soldados em grupos. Cada unidade grande (chamada de legião) tinha 10 grupos de 1.000 soldados. Cada grupo tinha seis centuriões que reportavam a oficiais superiores chamados tribunos. Por exemplo, em </w:t>
      </w:r>
      <w:hyperlink r:id="rId4713">
        <w:r>
          <w:rPr>
            <w:color w:val="0000EE"/>
            <w:u w:val="single"/>
          </w:rPr>
          <w:t>Atos 22.26</w:t>
        </w:r>
      </w:hyperlink>
      <w:r>
        <w:t>, um centurião perguntou ao seu oficial o que fazer sobre Paulo. Os centuriões tinham muito poder porque trabalhavam diretamente com os soldados. Eles iam para as batalhas com eles e tomavam decisões rápidas com base no que estava acontecendo.</w:t>
      </w:r>
    </w:p>
    <w:p>
      <w:r/>
      <w:r>
        <w:t>Ser um centurião era frequentemente a posição mais alta que um soldado comum podia alcançar. Muitos centuriões começaram como soldados regulares e subiram de posição devido à sua experiência. Depois de se tornarem centuriões, eles podiam conseguir empregos ainda melhores ao se moverem para posições mais importantes. O melhor trabalho era ser o centurião principal do primeiro grupo de 1.000 soldados em uma legião. Isso significava que os centuriões frequentemente se deslocavam pelo Império Romano.</w:t>
      </w:r>
    </w:p>
    <w:p>
      <w:r/>
      <w:r>
        <w:t>Os centuriões tinham muitas responsabilidades além de manter os soldados na linha. Eles eram responsáveis por sentenças de morte (</w:t>
      </w:r>
      <w:hyperlink r:id="rId4714">
        <w:r>
          <w:rPr>
            <w:color w:val="0000EE"/>
            <w:u w:val="single"/>
          </w:rPr>
          <w:t>Mt 27.54</w:t>
        </w:r>
      </w:hyperlink>
      <w:r>
        <w:t xml:space="preserve">; </w:t>
      </w:r>
      <w:hyperlink r:id="rId4715">
        <w:r>
          <w:rPr>
            <w:color w:val="0000EE"/>
            <w:u w:val="single"/>
          </w:rPr>
          <w:t>Mc 15.39,44–45</w:t>
        </w:r>
      </w:hyperlink>
      <w:r>
        <w:t xml:space="preserve">; </w:t>
      </w:r>
      <w:hyperlink r:id="rId4716">
        <w:r>
          <w:rPr>
            <w:color w:val="0000EE"/>
            <w:u w:val="single"/>
          </w:rPr>
          <w:t>Lc 23.47</w:t>
        </w:r>
      </w:hyperlink>
      <w:r>
        <w:t>). Eles estavam no comando de seus soldados o tempo todo, fossem os soldados romanos ou contratados de outros lugares. Ser um centurião era uma posição respeitada e bem remunerada. A maioria das pessoas que se tornava centurião permanecia nesse trabalho por muito tempo.</w:t>
      </w:r>
    </w:p>
    <w:p>
      <w:r/>
      <w:r>
        <w:t>O Novo Testamento menciona seis centuriões. Pelo menos dois deles parecem ter se tornado seguidores de Cristo.</w:t>
      </w:r>
    </w:p>
    <w:p>
      <w:pPr>
        <w:pStyle w:val="ListNumber"/>
        <w:spacing w:line="240" w:lineRule="auto"/>
        <w:ind w:left="720"/>
      </w:pPr>
      <w:r/>
      <w:r>
        <w:t>Um centurião em Cafarnaum pediu a Jesus para salvar seu servo que estava à beira da morte. Ele acreditava que as doenças obedeceriam a Jesus assim como seus soldados o obedeciam (</w:t>
      </w:r>
      <w:hyperlink r:id="rId4717">
        <w:r>
          <w:rPr>
            <w:color w:val="0000EE"/>
            <w:u w:val="single"/>
          </w:rPr>
          <w:t>Mt 8.5–13</w:t>
        </w:r>
      </w:hyperlink>
      <w:r>
        <w:t xml:space="preserve">; </w:t>
      </w:r>
      <w:hyperlink r:id="rId4718">
        <w:r>
          <w:rPr>
            <w:color w:val="0000EE"/>
            <w:u w:val="single"/>
          </w:rPr>
          <w:t>Lc 7.2–10</w:t>
        </w:r>
      </w:hyperlink>
      <w:r>
        <w:t>). Mesmo sendo uma pessoa importante, ele era humilde e reconhecia que precisava de ajuda. Ele se importava com seu servo. Jesus ficou maravilhado com sua fé e curou o homem doente.</w:t>
      </w:r>
    </w:p>
    <w:p>
      <w:pPr>
        <w:pStyle w:val="ListNumber"/>
        <w:spacing w:line="240" w:lineRule="auto"/>
        <w:ind w:left="720"/>
      </w:pPr>
      <w:r/>
      <w:r>
        <w:t>O centurião encarregado do grupo que matou Jesus disse: “Verdadeiramente este homem era o Filho de Deus!” (</w:t>
      </w:r>
      <w:hyperlink r:id="rId4719">
        <w:r>
          <w:rPr>
            <w:color w:val="0000EE"/>
            <w:u w:val="single"/>
          </w:rPr>
          <w:t>Mc 15.39</w:t>
        </w:r>
      </w:hyperlink>
      <w:r>
        <w:t>) e “Certamente este era um homem justo” (</w:t>
      </w:r>
      <w:hyperlink r:id="rId4716">
        <w:r>
          <w:rPr>
            <w:color w:val="0000EE"/>
            <w:u w:val="single"/>
          </w:rPr>
          <w:t>Lc 23.47</w:t>
        </w:r>
      </w:hyperlink>
      <w:r>
        <w:t>). Os Atos apócrifos de Pilatos, provavelmente do século quarto, chamaram este centurião de Longino. Os católicos romanos o consideram um santo. Há uma estátua de pedra dele na Basílica de São Pedro em Roma, feita pelo artista do século 17 Gian Lorenzo Bernini.</w:t>
      </w:r>
    </w:p>
    <w:p>
      <w:pPr>
        <w:pStyle w:val="ListNumber"/>
        <w:spacing w:line="240" w:lineRule="auto"/>
        <w:ind w:left="720"/>
      </w:pPr>
      <w:r/>
      <w:r>
        <w:t>Um centurião em Cesareia chamado Cornélio tornou-se seguidor de Jesus depois que Pedro lhe contou sobre o evangelho. Inicialmente, Pedro não queria compartilhar o evangelho com não-judeus, mas Deus lhe mostrou uma visão que mudou sua opinião (</w:t>
      </w:r>
      <w:hyperlink r:id="rId2882">
        <w:r>
          <w:rPr>
            <w:color w:val="0000EE"/>
            <w:u w:val="single"/>
          </w:rPr>
          <w:t>At 10</w:t>
        </w:r>
      </w:hyperlink>
      <w:r>
        <w:t>).</w:t>
      </w:r>
    </w:p>
    <w:p>
      <w:pPr>
        <w:pStyle w:val="ListNumber"/>
        <w:spacing w:line="240" w:lineRule="auto"/>
        <w:ind w:left="720"/>
      </w:pPr>
      <w:r/>
      <w:r>
        <w:t xml:space="preserve">Um centurião em </w:t>
      </w:r>
      <w:hyperlink r:id="rId4720">
        <w:r>
          <w:rPr>
            <w:color w:val="0000EE"/>
            <w:u w:val="single"/>
          </w:rPr>
          <w:t>Atos 22.25–26</w:t>
        </w:r>
      </w:hyperlink>
      <w:r>
        <w:t xml:space="preserve"> ajudou a salvar Paulo de ser espancado ao informar seu oficial superior que Paulo era um cidadão romano.</w:t>
      </w:r>
    </w:p>
    <w:p>
      <w:pPr>
        <w:pStyle w:val="ListNumber"/>
        <w:spacing w:line="240" w:lineRule="auto"/>
        <w:ind w:left="720"/>
      </w:pPr>
      <w:r/>
      <w:r>
        <w:t>Outro centurião ajudou a salvar Paulo dos judeus que queriam matá-lo (</w:t>
      </w:r>
      <w:hyperlink r:id="rId4721">
        <w:r>
          <w:rPr>
            <w:color w:val="0000EE"/>
            <w:u w:val="single"/>
          </w:rPr>
          <w:t>At 23.17–22</w:t>
        </w:r>
      </w:hyperlink>
      <w:r>
        <w:t>).</w:t>
      </w:r>
    </w:p>
    <w:p>
      <w:pPr>
        <w:pStyle w:val="ListNumber"/>
        <w:spacing w:line="240" w:lineRule="auto"/>
        <w:ind w:left="720"/>
      </w:pPr>
      <w:r/>
      <w:r>
        <w:t>Um centurião chamado Júlio foi encarregado de guardar Paulo em sua viagem de Cesareia a Roma (</w:t>
      </w:r>
      <w:hyperlink r:id="rId2833">
        <w:r>
          <w:rPr>
            <w:color w:val="0000EE"/>
            <w:u w:val="single"/>
          </w:rPr>
          <w:t>At 27.1</w:t>
        </w:r>
      </w:hyperlink>
      <w:r>
        <w:t>). Quando o navio deles naufragou em uma tempestade, Júlio impediu os soldados de matarem todos os prisioneiros, incluindo Paulo (</w:t>
      </w:r>
      <w:hyperlink r:id="rId4722">
        <w:r>
          <w:rPr>
            <w:color w:val="0000EE"/>
            <w:u w:val="single"/>
          </w:rPr>
          <w:t>At 27.42–43</w:t>
        </w:r>
      </w:hyperlink>
      <w:r>
        <w:t>).</w:t>
      </w:r>
    </w:p>
    <w:p>
      <w:r/>
      <w:r>
        <w:rPr>
          <w:i/>
        </w:rPr>
        <w:t>Veja também</w:t>
      </w:r>
      <w:r>
        <w:t xml:space="preserve"> </w:t>
      </w:r>
      <w:r>
        <w:t>Guerra</w:t>
      </w:r>
      <w:r>
        <w:t>.</w:t>
      </w:r>
      <w:r/>
      <w:r/>
    </w:p>
    <w:p>
      <w:r/>
    </w:p>
    <w:p>
      <w:pPr>
        <w:pStyle w:val="Heading2"/>
      </w:pPr>
      <w:r>
        <w:t>Cesareia</w:t>
      </w:r>
      <w:r/>
    </w:p>
    <w:p>
      <w:r/>
      <w:r>
        <w:t>Cidade nomeada em homenagem a Augusto César, construída por Herodes, o Grande, de 22 a 10 a.C. O sítio de 3.240 hectares fica a 40 quilômetros ao sul da moderna Haifa, na bela planície de Sarom, na costa mediterrânea de Israel. Conhecida como Cesareia Marítima, tornou-se o centro administrativo do país durante o período de ocupação romana. Três governadores romanos da Palestina viveram lá: Félix (</w:t>
      </w:r>
      <w:hyperlink r:id="rId4723">
        <w:r>
          <w:rPr>
            <w:color w:val="0000EE"/>
            <w:u w:val="single"/>
          </w:rPr>
          <w:t>At 24</w:t>
        </w:r>
      </w:hyperlink>
      <w:r>
        <w:t>), Festo (</w:t>
      </w:r>
      <w:hyperlink r:id="rId4724">
        <w:r>
          <w:rPr>
            <w:color w:val="0000EE"/>
            <w:u w:val="single"/>
          </w:rPr>
          <w:t>25.1,4–6,13</w:t>
        </w:r>
      </w:hyperlink>
      <w:r>
        <w:t xml:space="preserve">) e Pôncio Pilatos, que visitava Jerusalém em ocasiões especiais (como em </w:t>
      </w:r>
      <w:hyperlink r:id="rId4725">
        <w:r>
          <w:rPr>
            <w:color w:val="0000EE"/>
            <w:u w:val="single"/>
          </w:rPr>
          <w:t>Jo 19</w:t>
        </w:r>
      </w:hyperlink>
      <w:r>
        <w:t>). Arqueólogos encontraram o nome de Pilatos esculpido em pedra no teatro de Cesareia.</w:t>
      </w:r>
    </w:p>
    <w:p>
      <w:r/>
      <w:r>
        <w:t>Cesareia serviu como o principal porto marítimo da Judeia nos tempos do NT. Como a costa sul da Palestina não possuía um bom porto, Herodes criou um ao construir dois enormes quebra-mares que podiam abrigar navios das tempestades mediterrâneas.</w:t>
      </w:r>
    </w:p>
    <w:p>
      <w:r/>
      <w:r>
        <w:t>Um oficial romano chamado Cornélio foi convertido ao Cristianismo em Cesareia (</w:t>
      </w:r>
      <w:hyperlink r:id="rId4726">
        <w:r>
          <w:rPr>
            <w:color w:val="0000EE"/>
            <w:u w:val="single"/>
          </w:rPr>
          <w:t>At 10.1,24</w:t>
        </w:r>
      </w:hyperlink>
      <w:r>
        <w:t>). Mais tarde, o apóstolo Pedro visitou Filipe, um líder cristão proeminente que morava lá (</w:t>
      </w:r>
      <w:hyperlink r:id="rId4727">
        <w:r>
          <w:rPr>
            <w:color w:val="0000EE"/>
            <w:u w:val="single"/>
          </w:rPr>
          <w:t>21.8</w:t>
        </w:r>
      </w:hyperlink>
      <w:r>
        <w:t>). Paulo passou mais de dois anos preso em Cesareia (</w:t>
      </w:r>
      <w:hyperlink r:id="rId4728">
        <w:r>
          <w:rPr>
            <w:color w:val="0000EE"/>
            <w:u w:val="single"/>
          </w:rPr>
          <w:t>24.27–25.1</w:t>
        </w:r>
      </w:hyperlink>
      <w:r>
        <w:t xml:space="preserve">) e embarcou de lá em sua jornada para Roma (cap. </w:t>
      </w:r>
      <w:hyperlink r:id="rId4729">
        <w:r>
          <w:rPr>
            <w:color w:val="0000EE"/>
            <w:u w:val="single"/>
          </w:rPr>
          <w:t>27</w:t>
        </w:r>
      </w:hyperlink>
      <w:r>
        <w:t>). Em 70 d.C., o general romano Tito retornou a Cesareia após conquistar Jerusalém, assim como Flávio Silva em 73 d.C. após derrotar as cidades-fortaleza de Massada e Heródio (ambas no leste da Judeia).</w:t>
      </w:r>
    </w:p>
    <w:p>
      <w:r/>
      <w:r>
        <w:t xml:space="preserve">Escavações contínuas desde 1971 têm acrescentado à riqueza de informações sobre Cesareia. Herodes construiu um aqueduto elevado para trazer água doce do Monte Carmelo para Cesareia; a água originava-se de nascentes ao nordeste e viajava em um aqueduto subterrâneo até o Monte Carmelo. Um aqueduto menor trazia água salobra de uma nascente ao norte da cidade para irrigação. Grandes esgotos (mencionados pelo historiador judeu Josefo), lavados pela ação do mar, foram encontrados correndo sob a cidade. Um hipódromo (pista de corrida) com capacidade para 30.000 pessoas ficava no lado leste da cidade. Parece ter sido construído no segundo século d.C., mas foi destruído durante a invasão muçulmana de 640, junto com um grande edifício de arquivos na costa. A escavação do edifício de arquivos produziu várias inscrições em seus pisos de mosaico, entre as quais estavam duas citações do texto grego de </w:t>
      </w:r>
      <w:hyperlink r:id="rId4730">
        <w:r>
          <w:rPr>
            <w:color w:val="0000EE"/>
            <w:u w:val="single"/>
          </w:rPr>
          <w:t>Romanos 13.3</w:t>
        </w:r>
      </w:hyperlink>
      <w:r>
        <w:t>. Ainda soterrado e visível apenas em fotografia infravermelha está um grande anfiteatro, a noroeste do hipódromo.</w:t>
      </w:r>
    </w:p>
    <w:p>
      <w:r/>
      <w:r>
        <w:t>Escavações em 1976 produziram as primeiras evidências da Torre de Estrato, o sítio helenístico perto do qual Herodes construiu Cesareia, segundo Josefo. Uma pequena sinagoga foi escavada ao norte de um grande forte construído no porto herodiano durante as Cruzadas. A área do porto continha muitos armazéns de pedra; embora 7 tenham sido explorados, até 73 podem ainda estar não escavados. Um armazém foi reutilizado pelas legiões romanas como um mitreu (um centro cultual dedicado ao deus persa Mitras), o único já encontrado na Palestina. A cidade de Cesareia não foi reconstruída após sua destruição pelos muçulmanos no século 13.</w:t>
      </w:r>
      <w:r/>
      <w:r/>
    </w:p>
    <w:p>
      <w:r/>
    </w:p>
    <w:p>
      <w:pPr>
        <w:pStyle w:val="Heading2"/>
      </w:pPr>
      <w:r>
        <w:t>Cesareia De Filipe</w:t>
      </w:r>
      <w:r/>
    </w:p>
    <w:p>
      <w:r/>
      <w:r>
        <w:t>Cidade na extremidade norte da Palestina, nas encostas do sul do Monte Hermom, perto da antiga cidade de Dã. Cesareia de Filipe fica em uma bela área em uma das três fontes do rio Jordão, o Vale de Banias.</w:t>
      </w:r>
    </w:p>
    <w:p>
      <w:r/>
      <w:r>
        <w:t>No segundo século a.C., o lugar foi chamado de Panias porque o deus grego Pan era adorado em uma caverna lá. É mencionado por Políbio, um historiador grego, como o lugar onde o rei sírio Antíoco III derrotou os Ptolomeus do Egito em uma importante batalha por volta de 200 a.C. O historiador judeu Josefo (</w:t>
      </w:r>
      <w:r>
        <w:rPr>
          <w:i/>
        </w:rPr>
        <w:t>Antiguidades</w:t>
      </w:r>
      <w:r>
        <w:t xml:space="preserve"> 15.10.3) escreveu que a cidade de “Pânio” era governada por Zenodoro; seu local cúltico era “uma caverna muito fina em uma montanha, abaixo da qual existe uma grande cavidade na terra, e a caverna é íngreme, extraordinariamente profunda e cheia de água parada; sobre ela se ergue uma grande montanha, e sob as cavernas surgem as nascentes do rio Jordão".</w:t>
      </w:r>
    </w:p>
    <w:p>
      <w:r/>
      <w:r>
        <w:t>Após a morte de Zenodoro, César Augusto deu a cidade a Herodes, o Grande, que, de acordo com Josefo, “adornou este lugar, que já era muito notável” com um “templo mais bonito da pedra mais branca”. Quando Herodes morreu em 4 a.C., seu filho Filipe recebeu o território que cercava Panias, uma área conhecida como Paneias. Josefo (</w:t>
      </w:r>
      <w:r>
        <w:rPr>
          <w:i/>
        </w:rPr>
        <w:t>Guerra 2.9.1</w:t>
      </w:r>
      <w:r>
        <w:t>) relatou que “Filipe construiu a cidade Cesareia, nas fontes do Jordão, e na região de Paneias”. Filipe tornou-a sua capital e a nomeou Cesareia de Filipe em homenagem ao imperador romano Tibério César e a si mesmo, diferenciando-a da maior Cesareia Marítima na costa do Mediterrâneo. Josefo (</w:t>
      </w:r>
      <w:r>
        <w:rPr>
          <w:i/>
        </w:rPr>
        <w:t>Guerra</w:t>
      </w:r>
      <w:r>
        <w:t xml:space="preserve"> 3.9.7) escreveu que os imperadores Vespasiano e Tito “marcharam daquela Cesareia que ficava à beira-mar, e vieram para aquela chamada de Cesareia de Filipe”.</w:t>
      </w:r>
    </w:p>
    <w:p>
      <w:r/>
      <w:r>
        <w:t>Foi em Cesareia de Filipe que o apóstolo Pedro confessou Jesus como sendo “o Cristo, o Filho do Deus vivo” (</w:t>
      </w:r>
      <w:hyperlink r:id="rId4731">
        <w:r>
          <w:rPr>
            <w:color w:val="0000EE"/>
            <w:u w:val="single"/>
          </w:rPr>
          <w:t>Mt 16.13–16</w:t>
        </w:r>
      </w:hyperlink>
      <w:r>
        <w:t xml:space="preserve">; </w:t>
      </w:r>
      <w:hyperlink r:id="rId4732">
        <w:r>
          <w:rPr>
            <w:color w:val="0000EE"/>
            <w:u w:val="single"/>
          </w:rPr>
          <w:t>Mc 8.27–29</w:t>
        </w:r>
      </w:hyperlink>
      <w:r>
        <w:t>).</w:t>
      </w:r>
    </w:p>
    <w:p>
      <w:r/>
      <w:r>
        <w:t>Por volta de 50 d.C., Agripa II ampliou Cesareia de Filipe e a nomeou Neronias em homenagem ao imperador Nero. O nome moderno, Banias, deriva do árabe, difícil de pronunciar Paneias.</w:t>
      </w:r>
      <w:r/>
      <w:r/>
    </w:p>
    <w:p>
      <w:r/>
    </w:p>
    <w:p>
      <w:pPr>
        <w:pStyle w:val="Heading2"/>
      </w:pPr>
      <w:r>
        <w:t>Cetro</w:t>
      </w:r>
      <w:r/>
    </w:p>
    <w:p>
      <w:r/>
      <w:r>
        <w:t>Um cetro é um bastão especial que reis e governantes usavam para demonstrar seu poder. Era tipicamente um bastão longo com ornamentos decorativos no topo. Os reis seguravam esses cetros durante cerimônias importantes para mostrar que estavam no comando. Às vezes, uma versão mais curta do cetro era usada como arma em batalha, simbolizando também a força militar de um governante.</w:t>
      </w:r>
    </w:p>
    <w:p>
      <w:r/>
      <w:r>
        <w:t>Na Bíblia, o cetro é mencionado em muitas histórias como um símbolo de autoridade real e poder militar.</w:t>
      </w:r>
    </w:p>
    <w:p>
      <w:r/>
      <w:r>
        <w:t>Exemplos do cetro como símbolo de autoridade real incluem:</w:t>
      </w:r>
    </w:p>
    <w:p>
      <w:pPr>
        <w:pStyle w:val="ListBullet"/>
        <w:spacing w:line="240" w:lineRule="auto"/>
        <w:ind w:left="720"/>
      </w:pPr>
      <w:r/>
      <w:r>
        <w:t>Quando Jacó abençoou seus filhos, ele disse que os descendentes de Judá teriam autoridade real (</w:t>
      </w:r>
      <w:hyperlink r:id="rId4733">
        <w:r>
          <w:rPr>
            <w:color w:val="0000EE"/>
            <w:u w:val="single"/>
          </w:rPr>
          <w:t>Gn 49.10</w:t>
        </w:r>
      </w:hyperlink>
      <w:r>
        <w:t xml:space="preserve">; veja também </w:t>
      </w:r>
      <w:hyperlink r:id="rId4734">
        <w:r>
          <w:rPr>
            <w:color w:val="0000EE"/>
            <w:u w:val="single"/>
          </w:rPr>
          <w:t>Sl 45.6</w:t>
        </w:r>
      </w:hyperlink>
      <w:r>
        <w:t xml:space="preserve"> e </w:t>
      </w:r>
      <w:hyperlink r:id="rId4735">
        <w:r>
          <w:rPr>
            <w:color w:val="0000EE"/>
            <w:u w:val="single"/>
          </w:rPr>
          <w:t>Hb 1.8</w:t>
        </w:r>
      </w:hyperlink>
      <w:r>
        <w:t>);</w:t>
      </w:r>
    </w:p>
    <w:p>
      <w:pPr>
        <w:pStyle w:val="ListBullet"/>
        <w:spacing w:line="240" w:lineRule="auto"/>
        <w:ind w:left="720"/>
      </w:pPr>
      <w:r/>
      <w:r>
        <w:t>O profeta Amós refere-se à autoridade real dos reis da Síria e Filístia (</w:t>
      </w:r>
      <w:hyperlink r:id="rId4736">
        <w:r>
          <w:rPr>
            <w:color w:val="0000EE"/>
            <w:u w:val="single"/>
          </w:rPr>
          <w:t>Am 1.5,8</w:t>
        </w:r>
      </w:hyperlink>
      <w:r>
        <w:t>);</w:t>
      </w:r>
    </w:p>
    <w:p>
      <w:pPr>
        <w:pStyle w:val="ListBullet"/>
        <w:spacing w:line="240" w:lineRule="auto"/>
        <w:ind w:left="720"/>
      </w:pPr>
      <w:r/>
      <w:r>
        <w:t>O profeta Zacarias refere-se à autoridade real do Egito (</w:t>
      </w:r>
      <w:hyperlink r:id="rId4737">
        <w:r>
          <w:rPr>
            <w:color w:val="0000EE"/>
            <w:u w:val="single"/>
          </w:rPr>
          <w:t>Zc 10.11</w:t>
        </w:r>
      </w:hyperlink>
      <w:r>
        <w:t>);</w:t>
      </w:r>
    </w:p>
    <w:p>
      <w:pPr>
        <w:pStyle w:val="ListBullet"/>
        <w:spacing w:line="240" w:lineRule="auto"/>
        <w:ind w:left="720"/>
      </w:pPr>
      <w:r/>
      <w:r>
        <w:t>O rei Assuero (também chamado de Xerxes) estendeu um cetro (um símbolo de sua autoridade real) para Ester (</w:t>
      </w:r>
      <w:hyperlink r:id="rId4738">
        <w:r>
          <w:rPr>
            <w:color w:val="0000EE"/>
            <w:u w:val="single"/>
          </w:rPr>
          <w:t>Et 4.11</w:t>
        </w:r>
      </w:hyperlink>
      <w:r>
        <w:t xml:space="preserve">; </w:t>
      </w:r>
      <w:hyperlink r:id="rId4739">
        <w:r>
          <w:rPr>
            <w:color w:val="0000EE"/>
            <w:u w:val="single"/>
          </w:rPr>
          <w:t>5.2</w:t>
        </w:r>
      </w:hyperlink>
      <w:r>
        <w:t xml:space="preserve">; </w:t>
      </w:r>
      <w:hyperlink r:id="rId4740">
        <w:r>
          <w:rPr>
            <w:color w:val="0000EE"/>
            <w:u w:val="single"/>
          </w:rPr>
          <w:t>8.4</w:t>
        </w:r>
      </w:hyperlink>
      <w:r>
        <w:t>).</w:t>
      </w:r>
    </w:p>
    <w:p>
      <w:r/>
      <w:r>
        <w:t>Exemplos do cetro como símbolo de poder militar incluem:</w:t>
      </w:r>
    </w:p>
    <w:p>
      <w:pPr>
        <w:pStyle w:val="ListBullet"/>
        <w:spacing w:line="240" w:lineRule="auto"/>
        <w:ind w:left="720"/>
      </w:pPr>
      <w:r/>
      <w:r>
        <w:t>O livro de Números fala sobre um cetro que pertenceria ao rei escolhido por Deus (o Messias) que foi prometido para vir no futuro (</w:t>
      </w:r>
      <w:hyperlink r:id="rId2807">
        <w:r>
          <w:rPr>
            <w:color w:val="0000EE"/>
            <w:u w:val="single"/>
          </w:rPr>
          <w:t>Nm 24.17</w:t>
        </w:r>
      </w:hyperlink>
      <w:r>
        <w:t>);</w:t>
      </w:r>
    </w:p>
    <w:p>
      <w:pPr>
        <w:pStyle w:val="ListBullet"/>
        <w:spacing w:line="240" w:lineRule="auto"/>
        <w:ind w:left="720"/>
      </w:pPr>
      <w:r/>
      <w:r>
        <w:t>O profeta Isaías fala sobre como Deus quebraria o cetro da Babilônia (</w:t>
      </w:r>
      <w:hyperlink r:id="rId4741">
        <w:r>
          <w:rPr>
            <w:color w:val="0000EE"/>
            <w:u w:val="single"/>
          </w:rPr>
          <w:t>Is 14.5</w:t>
        </w:r>
      </w:hyperlink>
      <w:r>
        <w:t>). Deus destruiria o poder que a Babilônia usava para controlar e prejudicar outras nações;</w:t>
      </w:r>
    </w:p>
    <w:p>
      <w:pPr>
        <w:pStyle w:val="ListBullet"/>
        <w:spacing w:line="240" w:lineRule="auto"/>
        <w:ind w:left="720"/>
      </w:pPr>
      <w:r/>
      <w:r>
        <w:t>O profeta Ezequiel usou a imagem de um cetro para explicar como Israel havia perdido seu poder e não conseguia recuperá-lo (</w:t>
      </w:r>
      <w:hyperlink r:id="rId4742">
        <w:r>
          <w:rPr>
            <w:color w:val="0000EE"/>
            <w:u w:val="single"/>
          </w:rPr>
          <w:t>Ez 19.11,14</w:t>
        </w:r>
      </w:hyperlink>
      <w:r>
        <w:t>).</w:t>
      </w:r>
    </w:p>
    <w:p>
      <w:r/>
      <w:r/>
      <w:r/>
    </w:p>
    <w:p>
      <w:r/>
    </w:p>
    <w:p>
      <w:pPr>
        <w:pStyle w:val="Heading2"/>
      </w:pPr>
      <w:r>
        <w:t>Céu</w:t>
      </w:r>
      <w:r/>
    </w:p>
    <w:p>
      <w:r/>
      <w:r>
        <w:t>Ambiente ou domínio (ou ambientes/domínios) designado por um termo hebraico usado para representar o céu e o ar e também céu no sentido de lugar divino ou espiritual. A forma da palavra em hebraico é dual (indicando ou sugerindo dois de algo). Embora essa forma dual possa apenas representar um dispositivo antigo para expressar o plural, supõe-se por alguns que implica a existência de um céu inferior e um superior — um céu físico e um céu espiritual.</w:t>
      </w:r>
    </w:p>
    <w:p>
      <w:pPr>
        <w:pStyle w:val="Heading3"/>
      </w:pPr>
      <w:r>
        <w:t>No Antigo Testamento</w:t>
      </w:r>
    </w:p>
    <w:p>
      <w:r/>
      <w:r>
        <w:t>Os escritores do AT viam os céus físicos como um "firmamento" aparecendo como um grande arco apoiado em fundações e pilares (</w:t>
      </w:r>
      <w:hyperlink r:id="rId4743">
        <w:r>
          <w:rPr>
            <w:color w:val="0000EE"/>
            <w:u w:val="single"/>
          </w:rPr>
          <w:t>2 Samuel 22.8</w:t>
        </w:r>
      </w:hyperlink>
      <w:r>
        <w:t>) e espalhado acima da terra, com a chuva descendo através de suas portas (</w:t>
      </w:r>
      <w:hyperlink r:id="rId4744">
        <w:r>
          <w:rPr>
            <w:color w:val="0000EE"/>
            <w:u w:val="single"/>
          </w:rPr>
          <w:t>Salmo 78.23</w:t>
        </w:r>
      </w:hyperlink>
      <w:r>
        <w:t xml:space="preserve">). A nota-chave da revelação do AT sobre os céus físicos é apresentada em </w:t>
      </w:r>
      <w:hyperlink r:id="rId4745">
        <w:r>
          <w:rPr>
            <w:color w:val="0000EE"/>
            <w:u w:val="single"/>
          </w:rPr>
          <w:t>Salmos 8</w:t>
        </w:r>
      </w:hyperlink>
      <w:r>
        <w:t xml:space="preserve"> e </w:t>
      </w:r>
      <w:hyperlink r:id="rId3355">
        <w:r>
          <w:rPr>
            <w:color w:val="0000EE"/>
            <w:u w:val="single"/>
          </w:rPr>
          <w:t>19.1–6</w:t>
        </w:r>
      </w:hyperlink>
      <w:r>
        <w:t>. Em outros lugares, o AT fala dos céus atmosféricos como a região das nuvens (</w:t>
      </w:r>
      <w:hyperlink r:id="rId4746">
        <w:r>
          <w:rPr>
            <w:color w:val="0000EE"/>
            <w:u w:val="single"/>
          </w:rPr>
          <w:t>Salmo 147.8</w:t>
        </w:r>
      </w:hyperlink>
      <w:r>
        <w:t>), ventos (</w:t>
      </w:r>
      <w:hyperlink r:id="rId4747">
        <w:r>
          <w:rPr>
            <w:color w:val="0000EE"/>
            <w:u w:val="single"/>
          </w:rPr>
          <w:t>Zacarias 2.6</w:t>
        </w:r>
      </w:hyperlink>
      <w:r>
        <w:t>), chuva (</w:t>
      </w:r>
      <w:hyperlink r:id="rId4748">
        <w:r>
          <w:rPr>
            <w:color w:val="0000EE"/>
            <w:u w:val="single"/>
          </w:rPr>
          <w:t>Deuteronômio 11.11</w:t>
        </w:r>
      </w:hyperlink>
      <w:r>
        <w:t>), trovão (</w:t>
      </w:r>
      <w:hyperlink r:id="rId4749">
        <w:r>
          <w:rPr>
            <w:color w:val="0000EE"/>
            <w:u w:val="single"/>
          </w:rPr>
          <w:t>1 Samuel 2.10</w:t>
        </w:r>
      </w:hyperlink>
      <w:r>
        <w:t>), orvalho (</w:t>
      </w:r>
      <w:hyperlink r:id="rId4750">
        <w:r>
          <w:rPr>
            <w:color w:val="0000EE"/>
            <w:u w:val="single"/>
          </w:rPr>
          <w:t>Deuteronômio 33.13</w:t>
        </w:r>
      </w:hyperlink>
      <w:r>
        <w:t>), geada (</w:t>
      </w:r>
      <w:hyperlink r:id="rId4751">
        <w:r>
          <w:rPr>
            <w:color w:val="0000EE"/>
            <w:u w:val="single"/>
          </w:rPr>
          <w:t>Jó 38.29</w:t>
        </w:r>
      </w:hyperlink>
      <w:r>
        <w:t>) e o habitat das aves (</w:t>
      </w:r>
      <w:hyperlink r:id="rId4752">
        <w:r>
          <w:rPr>
            <w:color w:val="0000EE"/>
            <w:u w:val="single"/>
          </w:rPr>
          <w:t>Gênesis 1.26,30</w:t>
        </w:r>
      </w:hyperlink>
      <w:r>
        <w:t>). É também o local de forças destrutivas como granizo (</w:t>
      </w:r>
      <w:hyperlink r:id="rId4753">
        <w:r>
          <w:rPr>
            <w:color w:val="0000EE"/>
            <w:u w:val="single"/>
          </w:rPr>
          <w:t>Josué 10.11</w:t>
        </w:r>
      </w:hyperlink>
      <w:r>
        <w:t>), fogo e enxofre (</w:t>
      </w:r>
      <w:hyperlink r:id="rId4754">
        <w:r>
          <w:rPr>
            <w:color w:val="0000EE"/>
            <w:u w:val="single"/>
          </w:rPr>
          <w:t>Gênesis 19.24</w:t>
        </w:r>
      </w:hyperlink>
      <w:r>
        <w:t>). No NT, essa noção da expansão abobadada do céu como a região onde os elementos, nuvens e tempestades se reúnem (</w:t>
      </w:r>
      <w:hyperlink r:id="rId4755">
        <w:r>
          <w:rPr>
            <w:color w:val="0000EE"/>
            <w:u w:val="single"/>
          </w:rPr>
          <w:t>Mateus 16.2</w:t>
        </w:r>
      </w:hyperlink>
      <w:r>
        <w:t xml:space="preserve">; </w:t>
      </w:r>
      <w:hyperlink r:id="rId225">
        <w:r>
          <w:rPr>
            <w:color w:val="0000EE"/>
            <w:u w:val="single"/>
          </w:rPr>
          <w:t>Lucas 4.25</w:t>
        </w:r>
      </w:hyperlink>
      <w:r>
        <w:t>) e as aves voam (</w:t>
      </w:r>
      <w:hyperlink r:id="rId3917">
        <w:r>
          <w:rPr>
            <w:color w:val="0000EE"/>
            <w:u w:val="single"/>
          </w:rPr>
          <w:t>Lucas 9.58</w:t>
        </w:r>
      </w:hyperlink>
      <w:r>
        <w:t>) é continuada.</w:t>
      </w:r>
    </w:p>
    <w:p>
      <w:r/>
      <w:r>
        <w:t>Além das regiões atmosféricas, a ideia hebraica dos céus físicos inclui o espaço estelar, que, em última análise, abrange o universo. Os corpos celestes dos céus estelares eram vistos pelos hebreus como manifestações inexpressivelmente gloriosas da obra de Deus, sem ter qualquer poder ou vitalidade próprios. Estes incluem o sol, a lua, os planetas e as estrelas, que eram apenas luzes no firmamento dos céus (</w:t>
      </w:r>
      <w:hyperlink r:id="rId4756">
        <w:r>
          <w:rPr>
            <w:color w:val="0000EE"/>
            <w:u w:val="single"/>
          </w:rPr>
          <w:t>Gênesis 1.14</w:t>
        </w:r>
      </w:hyperlink>
      <w:r>
        <w:t xml:space="preserve">; </w:t>
      </w:r>
      <w:hyperlink r:id="rId2813">
        <w:r>
          <w:rPr>
            <w:color w:val="0000EE"/>
            <w:u w:val="single"/>
          </w:rPr>
          <w:t>15.5</w:t>
        </w:r>
      </w:hyperlink>
      <w:r>
        <w:t>). Como tal, eram considerados indignos de adoração porque Deus, por sua própria vontade e graça, fez os humanos superiores a eles. De fato, os hebreus foram expressamente proibidos de adorar os corpos estelares (</w:t>
      </w:r>
      <w:hyperlink r:id="rId4757">
        <w:r>
          <w:rPr>
            <w:color w:val="0000EE"/>
            <w:u w:val="single"/>
          </w:rPr>
          <w:t>Êxodo 20.4</w:t>
        </w:r>
      </w:hyperlink>
      <w:r>
        <w:t>), os deuses e deusas que os representavam (</w:t>
      </w:r>
      <w:hyperlink r:id="rId4758">
        <w:r>
          <w:rPr>
            <w:color w:val="0000EE"/>
            <w:u w:val="single"/>
          </w:rPr>
          <w:t>Jeremias 44.17–25</w:t>
        </w:r>
      </w:hyperlink>
      <w:r>
        <w:t>), ou de participar em especulações astrológicas (</w:t>
      </w:r>
      <w:hyperlink r:id="rId4759">
        <w:r>
          <w:rPr>
            <w:color w:val="0000EE"/>
            <w:u w:val="single"/>
          </w:rPr>
          <w:t>Isaías 47.13</w:t>
        </w:r>
      </w:hyperlink>
      <w:r>
        <w:t>). Assim, esta ordenança teológica única diferenciava os hebreus, que viam os corpos celestes como feitos e movidos pela vontade de Deus, dos supersticiosos pagãos, que os adoravam.</w:t>
      </w:r>
    </w:p>
    <w:p>
      <w:r/>
      <w:r>
        <w:t>O termo “céus dos céus” (</w:t>
      </w:r>
      <w:hyperlink r:id="rId4760">
        <w:r>
          <w:rPr>
            <w:color w:val="0000EE"/>
            <w:u w:val="single"/>
          </w:rPr>
          <w:t>Deuteronômio 10.14</w:t>
        </w:r>
      </w:hyperlink>
      <w:r>
        <w:t xml:space="preserve">; veja também </w:t>
      </w:r>
      <w:hyperlink r:id="rId4761">
        <w:r>
          <w:rPr>
            <w:color w:val="0000EE"/>
            <w:u w:val="single"/>
          </w:rPr>
          <w:t>1 Reis 8.27</w:t>
        </w:r>
      </w:hyperlink>
      <w:r>
        <w:t xml:space="preserve">; </w:t>
      </w:r>
      <w:hyperlink r:id="rId4762">
        <w:r>
          <w:rPr>
            <w:color w:val="0000EE"/>
            <w:u w:val="single"/>
          </w:rPr>
          <w:t>Salmo 68.33</w:t>
        </w:r>
      </w:hyperlink>
      <w:r>
        <w:t xml:space="preserve">; </w:t>
      </w:r>
      <w:hyperlink r:id="rId4763">
        <w:r>
          <w:rPr>
            <w:color w:val="0000EE"/>
            <w:u w:val="single"/>
          </w:rPr>
          <w:t>148.4</w:t>
        </w:r>
      </w:hyperlink>
      <w:r>
        <w:t>) é a tradução literal em português do idioma hebraico para o superlativo “o mais alto céu”. Alguns consideram isso como equivalente à expressão de Paulo “o terceiro céu” (</w:t>
      </w:r>
      <w:hyperlink r:id="rId4764">
        <w:r>
          <w:rPr>
            <w:color w:val="0000EE"/>
            <w:u w:val="single"/>
          </w:rPr>
          <w:t>2 Coríntios 12.2</w:t>
        </w:r>
      </w:hyperlink>
      <w:r>
        <w:t xml:space="preserve">), que se assemelha à concepção grega clássica de três céus. Essa noção foi posteriormente adotada pela igreja medieval católica romana e na forma latina de </w:t>
      </w:r>
      <w:r>
        <w:rPr>
          <w:i/>
        </w:rPr>
        <w:t>Coelum Aqueum, Coelum Sidereum,</w:t>
      </w:r>
      <w:r>
        <w:t xml:space="preserve"> e </w:t>
      </w:r>
      <w:r>
        <w:rPr>
          <w:i/>
        </w:rPr>
        <w:t>Coelum Empyreum.</w:t>
      </w:r>
      <w:r>
        <w:t xml:space="preserve"> O conceito básico seguiu a visão grega, e coincide com a visão do AT dos céus físicos e espirituais, conforme indicado anteriormente. Aqueles que seguem essa abordagem tendem a considerar esse terceiro céu como o lugar alcançado pelas almas dos bem-aventurados ao passarem pelas duas regiões inferiores da atmosfera e do espaço sideral contendo os corpos celestes, e entrarem nos confins do universo.</w:t>
      </w:r>
    </w:p>
    <w:p>
      <w:pPr>
        <w:pStyle w:val="Heading3"/>
      </w:pPr>
      <w:r>
        <w:t>No Novo Testamento</w:t>
      </w:r>
    </w:p>
    <w:p>
      <w:r/>
      <w:r>
        <w:t>O Senhor Jesus indicou que céu é a morada de Deus (</w:t>
      </w:r>
      <w:hyperlink r:id="rId4765">
        <w:r>
          <w:rPr>
            <w:color w:val="0000EE"/>
            <w:u w:val="single"/>
          </w:rPr>
          <w:t>Mateus 6.9</w:t>
        </w:r>
      </w:hyperlink>
      <w:r>
        <w:t>). Jesus, durante seu ministério terrestre, repetidamente afirmou que tinha vindo do céu (</w:t>
      </w:r>
      <w:hyperlink r:id="rId4766">
        <w:r>
          <w:rPr>
            <w:color w:val="0000EE"/>
            <w:u w:val="single"/>
          </w:rPr>
          <w:t>João 3.13</w:t>
        </w:r>
      </w:hyperlink>
      <w:r>
        <w:t xml:space="preserve">; </w:t>
      </w:r>
      <w:hyperlink r:id="rId4767">
        <w:r>
          <w:rPr>
            <w:color w:val="0000EE"/>
            <w:u w:val="single"/>
          </w:rPr>
          <w:t>6.33–51</w:t>
        </w:r>
      </w:hyperlink>
      <w:r>
        <w:t>); e em pelo menos três ocasiões, declarações do céu confirmaram essas afirmações (</w:t>
      </w:r>
      <w:hyperlink r:id="rId4768">
        <w:r>
          <w:rPr>
            <w:color w:val="0000EE"/>
            <w:u w:val="single"/>
          </w:rPr>
          <w:t>Mateus 3.16–17</w:t>
        </w:r>
      </w:hyperlink>
      <w:r>
        <w:t xml:space="preserve">; </w:t>
      </w:r>
      <w:hyperlink r:id="rId4769">
        <w:r>
          <w:rPr>
            <w:color w:val="0000EE"/>
            <w:u w:val="single"/>
          </w:rPr>
          <w:t>17.5</w:t>
        </w:r>
      </w:hyperlink>
      <w:r>
        <w:t xml:space="preserve">; </w:t>
      </w:r>
      <w:hyperlink r:id="rId4770">
        <w:r>
          <w:rPr>
            <w:color w:val="0000EE"/>
            <w:u w:val="single"/>
          </w:rPr>
          <w:t>João 12.28</w:t>
        </w:r>
      </w:hyperlink>
      <w:r>
        <w:t xml:space="preserve">). É onde o verdadeiro tabernáculo está, do qual o tabernáculo terrestre era apenas uma sombra (cf. </w:t>
      </w:r>
      <w:hyperlink r:id="rId4771">
        <w:r>
          <w:rPr>
            <w:color w:val="0000EE"/>
            <w:u w:val="single"/>
          </w:rPr>
          <w:t>Hebreus 8.1–5</w:t>
        </w:r>
      </w:hyperlink>
      <w:r>
        <w:t>). Essa morada de Deus estava em vista quando o apóstolo Paulo escreveu sobre “o terceiro céu” (</w:t>
      </w:r>
      <w:hyperlink r:id="rId4764">
        <w:r>
          <w:rPr>
            <w:color w:val="0000EE"/>
            <w:u w:val="single"/>
          </w:rPr>
          <w:t>2 Coríntios 12.2</w:t>
        </w:r>
      </w:hyperlink>
      <w:r>
        <w:t xml:space="preserve">). Como tal, muitas vezes é visto como um sinônimo para o próprio Deus (cf. </w:t>
      </w:r>
      <w:hyperlink r:id="rId4772">
        <w:r>
          <w:rPr>
            <w:color w:val="0000EE"/>
            <w:u w:val="single"/>
          </w:rPr>
          <w:t>Mateus 23.22</w:t>
        </w:r>
      </w:hyperlink>
      <w:r>
        <w:t xml:space="preserve">; </w:t>
      </w:r>
      <w:hyperlink r:id="rId4773">
        <w:r>
          <w:rPr>
            <w:color w:val="0000EE"/>
            <w:u w:val="single"/>
          </w:rPr>
          <w:t>Lucas 15.18</w:t>
        </w:r>
      </w:hyperlink>
      <w:r>
        <w:t>).</w:t>
      </w:r>
    </w:p>
    <w:p>
      <w:r/>
      <w:r>
        <w:t xml:space="preserve">Após a ascensão de Jesus, registrada em </w:t>
      </w:r>
      <w:hyperlink r:id="rId4774">
        <w:r>
          <w:rPr>
            <w:color w:val="0000EE"/>
            <w:u w:val="single"/>
          </w:rPr>
          <w:t>Atos 1.6–11</w:t>
        </w:r>
      </w:hyperlink>
      <w:r>
        <w:t>, dois anjos lembraram aos discípulos que Jesus retornaria novamente do céu. Isso foi posteriormente confirmado pelo apóstolo Paulo (</w:t>
      </w:r>
      <w:hyperlink r:id="rId4775">
        <w:r>
          <w:rPr>
            <w:color w:val="0000EE"/>
            <w:u w:val="single"/>
          </w:rPr>
          <w:t>1 Coríntios 15.1–11</w:t>
        </w:r>
      </w:hyperlink>
      <w:r>
        <w:t xml:space="preserve">; </w:t>
      </w:r>
      <w:hyperlink r:id="rId4776">
        <w:r>
          <w:rPr>
            <w:color w:val="0000EE"/>
            <w:u w:val="single"/>
          </w:rPr>
          <w:t>Efésios 4.7–16</w:t>
        </w:r>
      </w:hyperlink>
      <w:r>
        <w:t xml:space="preserve">; </w:t>
      </w:r>
      <w:hyperlink r:id="rId2672">
        <w:r>
          <w:rPr>
            <w:color w:val="0000EE"/>
            <w:u w:val="single"/>
          </w:rPr>
          <w:t>1 Timóteo 3.16</w:t>
        </w:r>
      </w:hyperlink>
      <w:r>
        <w:t>) e reiterado no resumo dos ensinamentos do NT conhecido como o Credo Apostólico. Em suma, a relação de Jesus Cristo com a morada celestial de Deus está intrinsicamente entrelaçada no NT e é inseparável da mensagem do evangelho em si. De fato, é da “mão direita de Deus” que Cristo vive para sempre para interceder por aqueles que vieram a ele pela fé (</w:t>
      </w:r>
      <w:hyperlink r:id="rId4777">
        <w:r>
          <w:rPr>
            <w:color w:val="0000EE"/>
            <w:u w:val="single"/>
          </w:rPr>
          <w:t>Hebreus 7.25</w:t>
        </w:r>
      </w:hyperlink>
      <w:r>
        <w:t xml:space="preserve">; cf. </w:t>
      </w:r>
      <w:hyperlink r:id="rId4778">
        <w:r>
          <w:rPr>
            <w:color w:val="0000EE"/>
            <w:u w:val="single"/>
          </w:rPr>
          <w:t>Marcos 14.62</w:t>
        </w:r>
      </w:hyperlink>
      <w:r>
        <w:t>).</w:t>
      </w:r>
    </w:p>
    <w:p>
      <w:r/>
      <w:r>
        <w:t>Paulo afirma que o corpo do crente será conformado ao corpo glorioso de Jesus Cristo quando Cristo retornar do céu (</w:t>
      </w:r>
      <w:hyperlink r:id="rId4779">
        <w:r>
          <w:rPr>
            <w:color w:val="0000EE"/>
            <w:u w:val="single"/>
          </w:rPr>
          <w:t>Filipenses 3.20–21</w:t>
        </w:r>
      </w:hyperlink>
      <w:r>
        <w:t xml:space="preserve">). Os crentes precisam de tal corpo celestial para corresponder à sua cidadania celestial. O termo “cidadãos” (NTLH) ou “cidadania” (NVI) implica uma colônia de indivíduos que vivem em um país estrangeiro enquanto observam as leis de sua pátria em vez da terra em que residem (cf. </w:t>
      </w:r>
      <w:hyperlink r:id="rId4780">
        <w:r>
          <w:rPr>
            <w:color w:val="0000EE"/>
            <w:u w:val="single"/>
          </w:rPr>
          <w:t>Atos 22.28</w:t>
        </w:r>
      </w:hyperlink>
      <w:r>
        <w:t>). A implicação para os crentes é bastante clara: Eles devem viver de acordo com os princípios morais e éticos de Deus, conforme revelado do céu, independentemente dos padrões proclamados pelo mundo. Eles foram ressuscitados juntamente com Cristo e foram instruídos a “buscar as coisas que são de cima, onde Cristo está, assentado à direita de Deus” (</w:t>
      </w:r>
      <w:hyperlink r:id="rId4781">
        <w:r>
          <w:rPr>
            <w:color w:val="0000EE"/>
            <w:u w:val="single"/>
          </w:rPr>
          <w:t>Colossenses 3.1</w:t>
        </w:r>
      </w:hyperlink>
      <w:r>
        <w:t>). De lá, Cristo abençoou seus seguidores “com toda bênção espiritual nas regiões celestiais” (</w:t>
      </w:r>
      <w:hyperlink r:id="rId4782">
        <w:r>
          <w:rPr>
            <w:color w:val="0000EE"/>
            <w:u w:val="single"/>
          </w:rPr>
          <w:t>Efésios 1.3</w:t>
        </w:r>
      </w:hyperlink>
      <w:r>
        <w:t xml:space="preserve">). A expressão “nas regiões celestiais” é peculiar a Efésios (veja </w:t>
      </w:r>
      <w:hyperlink r:id="rId4783">
        <w:r>
          <w:rPr>
            <w:color w:val="0000EE"/>
            <w:u w:val="single"/>
          </w:rPr>
          <w:t>1.3,20</w:t>
        </w:r>
      </w:hyperlink>
      <w:r>
        <w:t xml:space="preserve">; </w:t>
      </w:r>
      <w:hyperlink r:id="rId4784">
        <w:r>
          <w:rPr>
            <w:color w:val="0000EE"/>
            <w:u w:val="single"/>
          </w:rPr>
          <w:t>2.6</w:t>
        </w:r>
      </w:hyperlink>
      <w:r>
        <w:t xml:space="preserve">; </w:t>
      </w:r>
      <w:hyperlink r:id="rId4785">
        <w:r>
          <w:rPr>
            <w:color w:val="0000EE"/>
            <w:u w:val="single"/>
          </w:rPr>
          <w:t>3.10</w:t>
        </w:r>
      </w:hyperlink>
      <w:r>
        <w:t xml:space="preserve">; </w:t>
      </w:r>
      <w:hyperlink r:id="rId4786">
        <w:r>
          <w:rPr>
            <w:color w:val="0000EE"/>
            <w:u w:val="single"/>
          </w:rPr>
          <w:t>6.12</w:t>
        </w:r>
      </w:hyperlink>
      <w:r>
        <w:t>), sugerindo que as bênçãos do mundo espiritual não estão relegadas a algum tempo ou lugar remoto no futuro, mas podem ser percebidas pela fé aqui e agora. É por isso que se diz que os crentes já foram feitos participantes do chamado celestial (</w:t>
      </w:r>
      <w:hyperlink r:id="rId4787">
        <w:r>
          <w:rPr>
            <w:color w:val="0000EE"/>
            <w:u w:val="single"/>
          </w:rPr>
          <w:t>Hebreus 3.1</w:t>
        </w:r>
      </w:hyperlink>
      <w:r>
        <w:t xml:space="preserve">; </w:t>
      </w:r>
      <w:hyperlink r:id="rId886">
        <w:r>
          <w:rPr>
            <w:color w:val="0000EE"/>
            <w:u w:val="single"/>
          </w:rPr>
          <w:t>6.4</w:t>
        </w:r>
      </w:hyperlink>
      <w:r>
        <w:t>).</w:t>
      </w:r>
    </w:p>
    <w:p>
      <w:r/>
      <w:r>
        <w:t>Enquanto isso, os crentes aguardam um novo céu e uma nova terra com a nova Jerusalém. Não haverá lágrimas, tristeza, dor, morte e noite lá porque o Filho de Deus estará lá (</w:t>
      </w:r>
      <w:hyperlink r:id="rId4788">
        <w:r>
          <w:rPr>
            <w:color w:val="0000EE"/>
            <w:u w:val="single"/>
          </w:rPr>
          <w:t>Apocalipse 21.1–4,27</w:t>
        </w:r>
      </w:hyperlink>
      <w:r>
        <w:t xml:space="preserve">; </w:t>
      </w:r>
      <w:hyperlink r:id="rId4789">
        <w:r>
          <w:rPr>
            <w:color w:val="0000EE"/>
            <w:u w:val="single"/>
          </w:rPr>
          <w:t>22.1–5</w:t>
        </w:r>
      </w:hyperlink>
      <w:r>
        <w:t>), e no estado ressuscitado não haverá casamento nem se dar em casamento (</w:t>
      </w:r>
      <w:hyperlink r:id="rId4790">
        <w:r>
          <w:rPr>
            <w:color w:val="0000EE"/>
            <w:u w:val="single"/>
          </w:rPr>
          <w:t>Lucas 20.27–38</w:t>
        </w:r>
      </w:hyperlink>
      <w:r>
        <w:t>). Pelo menos dois santos do AT, Enoque (</w:t>
      </w:r>
      <w:hyperlink r:id="rId4791">
        <w:r>
          <w:rPr>
            <w:color w:val="0000EE"/>
            <w:u w:val="single"/>
          </w:rPr>
          <w:t>Gênesis 5.22–24</w:t>
        </w:r>
      </w:hyperlink>
      <w:r>
        <w:t xml:space="preserve">; </w:t>
      </w:r>
      <w:hyperlink r:id="rId4792">
        <w:r>
          <w:rPr>
            <w:color w:val="0000EE"/>
            <w:u w:val="single"/>
          </w:rPr>
          <w:t>Hebreus 11.5</w:t>
        </w:r>
      </w:hyperlink>
      <w:r>
        <w:t>) e Elias (</w:t>
      </w:r>
      <w:hyperlink r:id="rId4793">
        <w:r>
          <w:rPr>
            <w:color w:val="0000EE"/>
            <w:u w:val="single"/>
          </w:rPr>
          <w:t>2 Reis 2.11</w:t>
        </w:r>
      </w:hyperlink>
      <w:r>
        <w:t>), foram transladados diretamente para a presença de Deus — para o céu. Além da declaração de Paulo sobre o terceiro céu, João foi chamado ao céu (</w:t>
      </w:r>
      <w:hyperlink r:id="rId2068">
        <w:r>
          <w:rPr>
            <w:color w:val="0000EE"/>
            <w:u w:val="single"/>
          </w:rPr>
          <w:t>Apocalipse 4.1</w:t>
        </w:r>
      </w:hyperlink>
      <w:r>
        <w:t xml:space="preserve">), um céu que se destina a ser povoado (cf. </w:t>
      </w:r>
      <w:hyperlink r:id="rId4794">
        <w:r>
          <w:rPr>
            <w:color w:val="0000EE"/>
            <w:u w:val="single"/>
          </w:rPr>
          <w:t>19.1</w:t>
        </w:r>
      </w:hyperlink>
      <w:r>
        <w:t>). Todos os crentes habitarão finalmente no céu em seus corpos de ressurreição, que receberão quando o Senhor vier buscá-los do céu (</w:t>
      </w:r>
      <w:hyperlink r:id="rId4795">
        <w:r>
          <w:rPr>
            <w:color w:val="0000EE"/>
            <w:u w:val="single"/>
          </w:rPr>
          <w:t>1 Tessalonicenses 4.16–17</w:t>
        </w:r>
      </w:hyperlink>
      <w:r>
        <w:t xml:space="preserve">; </w:t>
      </w:r>
      <w:hyperlink r:id="rId4796">
        <w:r>
          <w:rPr>
            <w:color w:val="0000EE"/>
            <w:u w:val="single"/>
          </w:rPr>
          <w:t>Apocalipse 19.1–4</w:t>
        </w:r>
      </w:hyperlink>
      <w:r>
        <w:t>). O Senhor também dará tesouros e recompensas naquele tempo (</w:t>
      </w:r>
      <w:hyperlink r:id="rId4797">
        <w:r>
          <w:rPr>
            <w:color w:val="0000EE"/>
            <w:u w:val="single"/>
          </w:rPr>
          <w:t>Mateus 5.12</w:t>
        </w:r>
      </w:hyperlink>
      <w:r>
        <w:t xml:space="preserve">; </w:t>
      </w:r>
      <w:hyperlink r:id="rId4798">
        <w:r>
          <w:rPr>
            <w:color w:val="0000EE"/>
            <w:u w:val="single"/>
          </w:rPr>
          <w:t>1 Coríntios 9.25</w:t>
        </w:r>
      </w:hyperlink>
      <w:r>
        <w:t xml:space="preserve">; </w:t>
      </w:r>
      <w:hyperlink r:id="rId4799">
        <w:r>
          <w:rPr>
            <w:color w:val="0000EE"/>
            <w:u w:val="single"/>
          </w:rPr>
          <w:t>2 Coríntios 5.1</w:t>
        </w:r>
      </w:hyperlink>
      <w:r>
        <w:t xml:space="preserve">; </w:t>
      </w:r>
      <w:hyperlink r:id="rId4800">
        <w:r>
          <w:rPr>
            <w:color w:val="0000EE"/>
            <w:u w:val="single"/>
          </w:rPr>
          <w:t>2 Timóteo 4.8</w:t>
        </w:r>
      </w:hyperlink>
      <w:r>
        <w:t xml:space="preserve">; </w:t>
      </w:r>
      <w:hyperlink r:id="rId4801">
        <w:r>
          <w:rPr>
            <w:color w:val="0000EE"/>
            <w:u w:val="single"/>
          </w:rPr>
          <w:t>Tiago 1.12</w:t>
        </w:r>
      </w:hyperlink>
      <w:r>
        <w:t xml:space="preserve">; </w:t>
      </w:r>
      <w:hyperlink r:id="rId4802">
        <w:r>
          <w:rPr>
            <w:color w:val="0000EE"/>
            <w:u w:val="single"/>
          </w:rPr>
          <w:t>1 Pedro 1.4</w:t>
        </w:r>
      </w:hyperlink>
      <w:r>
        <w:t xml:space="preserve">; </w:t>
      </w:r>
      <w:hyperlink r:id="rId4803">
        <w:r>
          <w:rPr>
            <w:color w:val="0000EE"/>
            <w:u w:val="single"/>
          </w:rPr>
          <w:t>5.4</w:t>
        </w:r>
      </w:hyperlink>
      <w:r>
        <w:t xml:space="preserve">; </w:t>
      </w:r>
      <w:hyperlink r:id="rId2144">
        <w:r>
          <w:rPr>
            <w:color w:val="0000EE"/>
            <w:u w:val="single"/>
          </w:rPr>
          <w:t>Apocalipse 2.10</w:t>
        </w:r>
      </w:hyperlink>
      <w:r>
        <w:t xml:space="preserve">; </w:t>
      </w:r>
      <w:hyperlink r:id="rId4804">
        <w:r>
          <w:rPr>
            <w:color w:val="0000EE"/>
            <w:u w:val="single"/>
          </w:rPr>
          <w:t>4.10</w:t>
        </w:r>
      </w:hyperlink>
      <w:r>
        <w:t>).</w:t>
      </w:r>
    </w:p>
    <w:p>
      <w:r/>
      <w:r>
        <w:rPr>
          <w:i/>
        </w:rPr>
        <w:t>Veja também</w:t>
      </w:r>
      <w:r>
        <w:t xml:space="preserve"> </w:t>
      </w:r>
      <w:r>
        <w:t>“Seio de Abraão”</w:t>
      </w:r>
      <w:r>
        <w:t xml:space="preserve">; </w:t>
      </w:r>
      <w:r>
        <w:t>Novos céus e nova terra</w:t>
      </w:r>
      <w:r>
        <w:t xml:space="preserve">; </w:t>
      </w:r>
      <w:r>
        <w:t>Paraíso</w:t>
      </w:r>
      <w:r>
        <w:t>.</w:t>
      </w:r>
      <w:r/>
      <w:r/>
    </w:p>
    <w:p>
      <w:r/>
    </w:p>
    <w:p>
      <w:pPr>
        <w:pStyle w:val="Heading2"/>
      </w:pPr>
      <w:r>
        <w:t>Ceva</w:t>
      </w:r>
      <w:r/>
    </w:p>
    <w:p>
      <w:r/>
      <w:r>
        <w:t>O pai de sete filhos. Ele era um sumo sacerdote judeu em Éfeso quando o apóstolo Paulo visitou a cidade em sua terceira viagem missionária. Os filhos de Ceva tentaram imitar Paulo, expulsando espíritos malignos em nome de Jesus. No entanto, suas tentativas de exorcismo falharam porque sua autoridade não foi reconhecida. Assim, os espíritos malignos atacaram e feriram esses filhos de Ceva que tentaram repreendê-los (</w:t>
      </w:r>
      <w:hyperlink r:id="rId4805">
        <w:r>
          <w:rPr>
            <w:color w:val="0000EE"/>
            <w:u w:val="single"/>
          </w:rPr>
          <w:t>At 19.14</w:t>
        </w:r>
      </w:hyperlink>
      <w:r>
        <w:t>).</w:t>
      </w:r>
      <w:r/>
      <w:r/>
    </w:p>
    <w:p>
      <w:r/>
    </w:p>
    <w:p>
      <w:pPr>
        <w:pStyle w:val="Heading2"/>
      </w:pPr>
      <w:r>
        <w:t>Chefe Da Sinagoga*</w:t>
      </w:r>
      <w:r/>
    </w:p>
    <w:p>
      <w:r/>
      <w:r>
        <w:t>Oficial sênior em uma sinagoga dos tempos do NT. É geralmente entendido que havia apenas um oficial desse tipo em qualquer sinagoga.</w:t>
      </w:r>
    </w:p>
    <w:p>
      <w:r/>
      <w:r>
        <w:t>Suas funções eram tomar conta dos arranjos físicos para os serviços de adoração, gerenciar a manutenção do edifício e determinar quem seria chamado para ler a Lei e os Profetas ou conduzir as orações. O ofício era às vezes mantido por um período específico, às vezes pela vida toda.</w:t>
      </w:r>
    </w:p>
    <w:p>
      <w:r/>
      <w:r>
        <w:t>O NT se refere a este oficial em quatro ocasiões diferentes. Jairo aparentemente era o chefe de uma sinagoga em Cafarnaum. Quando sua filha estava doente, ele foi a Jesus para obter ajuda, e Jesus a ressuscitou dos mortos (</w:t>
      </w:r>
      <w:hyperlink r:id="rId4806">
        <w:r>
          <w:rPr>
            <w:color w:val="0000EE"/>
            <w:u w:val="single"/>
          </w:rPr>
          <w:t>Mt 9.18–26</w:t>
        </w:r>
      </w:hyperlink>
      <w:r>
        <w:t xml:space="preserve">; </w:t>
      </w:r>
      <w:hyperlink r:id="rId4807">
        <w:r>
          <w:rPr>
            <w:color w:val="0000EE"/>
            <w:u w:val="single"/>
          </w:rPr>
          <w:t>Mc 5.21–43</w:t>
        </w:r>
      </w:hyperlink>
      <w:r>
        <w:t xml:space="preserve">; </w:t>
      </w:r>
      <w:hyperlink r:id="rId4808">
        <w:r>
          <w:rPr>
            <w:color w:val="0000EE"/>
            <w:u w:val="single"/>
          </w:rPr>
          <w:t>Lc 8.41–56</w:t>
        </w:r>
      </w:hyperlink>
      <w:r>
        <w:t xml:space="preserve">). </w:t>
      </w:r>
      <w:hyperlink r:id="rId4809">
        <w:r>
          <w:rPr>
            <w:color w:val="0000EE"/>
            <w:u w:val="single"/>
          </w:rPr>
          <w:t>Lucas 13.14</w:t>
        </w:r>
      </w:hyperlink>
      <w:r>
        <w:t xml:space="preserve"> registra a hostilidade de outro chefe de uma sinagoga que se opôs à cura de Jesus no Sábado após ensinar naquela sinagoga.</w:t>
      </w:r>
    </w:p>
    <w:p>
      <w:r/>
      <w:r>
        <w:t>Em suas viagens missionárias, Paulo geralmente começou seu ministério em cada lugar que ele visitava indo para a sinagoga. Na Antioquia da Pisídia (</w:t>
      </w:r>
      <w:hyperlink r:id="rId4810">
        <w:r>
          <w:rPr>
            <w:color w:val="0000EE"/>
            <w:u w:val="single"/>
          </w:rPr>
          <w:t>Atos 13.15</w:t>
        </w:r>
      </w:hyperlink>
      <w:r>
        <w:t>), os chefes da sinagoga o receberam e o encorajaram a pregar o evangelho e voltar novamente na semana seguinte. Crispo, o chefe da sinagoga em Corinto, foi convertido (</w:t>
      </w:r>
      <w:hyperlink r:id="rId4811">
        <w:r>
          <w:rPr>
            <w:color w:val="0000EE"/>
            <w:u w:val="single"/>
          </w:rPr>
          <w:t>18.8</w:t>
        </w:r>
      </w:hyperlink>
      <w:r>
        <w:t>), e mais tarde Sóstenes (o sucessor de Crispo) foi espancado pela multidão depois que os judeus haviam feito uma denúncia contra Paulo perante Gálio, o governador de Acaia.</w:t>
      </w:r>
    </w:p>
    <w:p>
      <w:r/>
      <w:r>
        <w:rPr>
          <w:i/>
        </w:rPr>
        <w:t>Veja também</w:t>
      </w:r>
      <w:r>
        <w:t xml:space="preserve"> </w:t>
      </w:r>
      <w:r>
        <w:t>Sinagoga</w:t>
      </w:r>
      <w:r>
        <w:t>.</w:t>
      </w:r>
      <w:r/>
      <w:r/>
    </w:p>
    <w:p>
      <w:r/>
    </w:p>
    <w:p>
      <w:pPr>
        <w:pStyle w:val="Heading2"/>
      </w:pPr>
      <w:r>
        <w:t>Chifre</w:t>
      </w:r>
      <w:r/>
    </w:p>
    <w:p>
      <w:pPr>
        <w:pStyle w:val="ListNumber"/>
        <w:spacing w:line="240" w:lineRule="auto"/>
        <w:ind w:left="720"/>
      </w:pPr>
      <w:r/>
      <w:r>
        <w:t xml:space="preserve">Um instrumento musical frequentemente feito de chifre de carneiro. </w:t>
      </w:r>
      <w:r>
        <w:rPr>
          <w:i/>
        </w:rPr>
        <w:t>Consulte</w:t>
      </w:r>
      <w:r>
        <w:t xml:space="preserve"> </w:t>
      </w:r>
      <w:r>
        <w:t>Instrumentos musicais (Hatzotzrot)</w:t>
      </w:r>
      <w:r>
        <w:t>.</w:t>
      </w:r>
    </w:p>
    <w:p>
      <w:pPr>
        <w:pStyle w:val="ListNumber"/>
        <w:spacing w:line="240" w:lineRule="auto"/>
        <w:ind w:left="720"/>
      </w:pPr>
      <w:r/>
      <w:r>
        <w:t>Um símbolo de poder na Bíblia (</w:t>
      </w:r>
      <w:hyperlink r:id="rId4812">
        <w:r>
          <w:rPr>
            <w:color w:val="0000EE"/>
            <w:u w:val="single"/>
          </w:rPr>
          <w:t>1Rs 22.11</w:t>
        </w:r>
      </w:hyperlink>
      <w:r>
        <w:t>). Chifres podem representar:</w:t>
      </w:r>
    </w:p>
    <w:p>
      <w:pPr>
        <w:pStyle w:val="ListBullet"/>
        <w:spacing w:line="240" w:lineRule="auto"/>
        <w:ind w:left="1440"/>
      </w:pPr>
      <w:r/>
      <w:r>
        <w:t>domínio sobre os fracos (</w:t>
      </w:r>
      <w:hyperlink r:id="rId4813">
        <w:r>
          <w:rPr>
            <w:color w:val="0000EE"/>
            <w:u w:val="single"/>
          </w:rPr>
          <w:t>Ez 34.21</w:t>
        </w:r>
      </w:hyperlink>
      <w:r>
        <w:t>),</w:t>
      </w:r>
    </w:p>
    <w:p>
      <w:pPr>
        <w:pStyle w:val="ListBullet"/>
        <w:spacing w:line="240" w:lineRule="auto"/>
        <w:ind w:left="1440"/>
      </w:pPr>
      <w:r/>
      <w:r>
        <w:t>forças de destruição (</w:t>
      </w:r>
      <w:hyperlink r:id="rId4814">
        <w:r>
          <w:rPr>
            <w:color w:val="0000EE"/>
            <w:u w:val="single"/>
          </w:rPr>
          <w:t>Zc 1.18–21</w:t>
        </w:r>
      </w:hyperlink>
      <w:r>
        <w:t>), e</w:t>
      </w:r>
    </w:p>
    <w:p>
      <w:pPr>
        <w:pStyle w:val="ListBullet"/>
        <w:spacing w:line="240" w:lineRule="auto"/>
        <w:ind w:left="1440"/>
      </w:pPr>
      <w:r/>
      <w:r>
        <w:t>liberdade da opressão (</w:t>
      </w:r>
      <w:hyperlink r:id="rId4812">
        <w:r>
          <w:rPr>
            <w:color w:val="0000EE"/>
            <w:u w:val="single"/>
          </w:rPr>
          <w:t>1Rs 22.11</w:t>
        </w:r>
      </w:hyperlink>
      <w:r>
        <w:t xml:space="preserve">; </w:t>
      </w:r>
      <w:hyperlink r:id="rId4815">
        <w:r>
          <w:rPr>
            <w:color w:val="0000EE"/>
            <w:u w:val="single"/>
          </w:rPr>
          <w:t>2Cr 18.10</w:t>
        </w:r>
      </w:hyperlink>
      <w:r>
        <w:t>).</w:t>
      </w:r>
    </w:p>
    <w:p>
      <w:r/>
      <w:r>
        <w:t>Assim, o chifre tem dois significados: resgate e força (</w:t>
      </w:r>
      <w:hyperlink r:id="rId4816">
        <w:r>
          <w:rPr>
            <w:color w:val="0000EE"/>
            <w:u w:val="single"/>
          </w:rPr>
          <w:t>2Sm 22.3</w:t>
        </w:r>
      </w:hyperlink>
      <w:r>
        <w:t xml:space="preserve">; </w:t>
      </w:r>
      <w:hyperlink r:id="rId4817">
        <w:r>
          <w:rPr>
            <w:color w:val="0000EE"/>
            <w:u w:val="single"/>
          </w:rPr>
          <w:t>Sl 18.2</w:t>
        </w:r>
      </w:hyperlink>
      <w:r>
        <w:t xml:space="preserve">). O crescimento do chifre referido em </w:t>
      </w:r>
      <w:hyperlink r:id="rId4818">
        <w:r>
          <w:rPr>
            <w:color w:val="0000EE"/>
            <w:u w:val="single"/>
          </w:rPr>
          <w:t>Sl 132.17</w:t>
        </w:r>
      </w:hyperlink>
      <w:r>
        <w:t xml:space="preserve"> pode significar a continuação da linhagem real. </w:t>
      </w:r>
      <w:hyperlink r:id="rId4819">
        <w:r>
          <w:rPr>
            <w:color w:val="0000EE"/>
            <w:u w:val="single"/>
          </w:rPr>
          <w:t>Sl 75.10</w:t>
        </w:r>
      </w:hyperlink>
      <w:r>
        <w:t xml:space="preserve"> diz que os chifres dos ímpios serão cortados, mas os chifres dos justos serão exaltados. A imagem simbólica em Daniel e Apocalipse mostra que os chifres representam poder e autoridade (</w:t>
      </w:r>
      <w:hyperlink r:id="rId4820">
        <w:r>
          <w:rPr>
            <w:color w:val="0000EE"/>
            <w:u w:val="single"/>
          </w:rPr>
          <w:t>Dn 7–8</w:t>
        </w:r>
      </w:hyperlink>
      <w:r>
        <w:t xml:space="preserve">; </w:t>
      </w:r>
      <w:hyperlink r:id="rId2024">
        <w:r>
          <w:rPr>
            <w:color w:val="0000EE"/>
            <w:u w:val="single"/>
          </w:rPr>
          <w:t>Ap 13</w:t>
        </w:r>
      </w:hyperlink>
      <w:r>
        <w:t>,</w:t>
      </w:r>
      <w:hyperlink r:id="rId2035">
        <w:r>
          <w:rPr>
            <w:color w:val="0000EE"/>
            <w:u w:val="single"/>
          </w:rPr>
          <w:t>17</w:t>
        </w:r>
      </w:hyperlink>
      <w:r>
        <w:t>).</w:t>
      </w:r>
    </w:p>
    <w:p>
      <w:pPr>
        <w:pStyle w:val="ListNumber"/>
        <w:spacing w:line="240" w:lineRule="auto"/>
        <w:ind w:left="720"/>
      </w:pPr>
      <w:r/>
      <w:r>
        <w:t>Um recipiente para líquidos. As pessoas usavam chifres de carneiro, chifres de cabra e chifres de boi selvagem para armazenar líquidos. Esses chifres também eram recipientes especiais para óleo usado em cerimônias (</w:t>
      </w:r>
      <w:hyperlink r:id="rId4821">
        <w:r>
          <w:rPr>
            <w:color w:val="0000EE"/>
            <w:u w:val="single"/>
          </w:rPr>
          <w:t>1Sm 16.1,13</w:t>
        </w:r>
      </w:hyperlink>
      <w:r>
        <w:t xml:space="preserve">; </w:t>
      </w:r>
      <w:hyperlink r:id="rId4822">
        <w:r>
          <w:rPr>
            <w:color w:val="0000EE"/>
            <w:u w:val="single"/>
          </w:rPr>
          <w:t>1Rs 1.39</w:t>
        </w:r>
      </w:hyperlink>
      <w:r>
        <w:t>). Chifres de vaca não eram permitidos para uso religioso ou cerimonial.</w:t>
      </w:r>
    </w:p>
    <w:p>
      <w:pPr>
        <w:pStyle w:val="ListNumber"/>
        <w:spacing w:line="240" w:lineRule="auto"/>
        <w:ind w:left="720"/>
      </w:pPr>
      <w:r/>
      <w:r>
        <w:t>Quatro projeções em forma de chifre se destacavam dos quatro cantos dos altares do tabernáculo e do templo (</w:t>
      </w:r>
      <w:hyperlink r:id="rId4823">
        <w:r>
          <w:rPr>
            <w:color w:val="0000EE"/>
            <w:u w:val="single"/>
          </w:rPr>
          <w:t>Êx 27.2</w:t>
        </w:r>
      </w:hyperlink>
      <w:r>
        <w:t xml:space="preserve">; </w:t>
      </w:r>
      <w:hyperlink r:id="rId4824">
        <w:r>
          <w:rPr>
            <w:color w:val="0000EE"/>
            <w:u w:val="single"/>
          </w:rPr>
          <w:t>30.2–3</w:t>
        </w:r>
      </w:hyperlink>
      <w:r>
        <w:t>). Esses chifres do altar eram cobertos com sangue sacrificial e delimitavam uma área de santuário (</w:t>
      </w:r>
      <w:hyperlink r:id="rId4825">
        <w:r>
          <w:rPr>
            <w:color w:val="0000EE"/>
            <w:u w:val="single"/>
          </w:rPr>
          <w:t>Êx 29.12</w:t>
        </w:r>
      </w:hyperlink>
      <w:r>
        <w:t xml:space="preserve">; </w:t>
      </w:r>
      <w:hyperlink r:id="rId4826">
        <w:r>
          <w:rPr>
            <w:color w:val="0000EE"/>
            <w:u w:val="single"/>
          </w:rPr>
          <w:t>Lv 4.7,18</w:t>
        </w:r>
      </w:hyperlink>
      <w:r>
        <w:t xml:space="preserve">; </w:t>
      </w:r>
      <w:hyperlink r:id="rId4827">
        <w:r>
          <w:rPr>
            <w:color w:val="0000EE"/>
            <w:u w:val="single"/>
          </w:rPr>
          <w:t>1Rs 1.50–51</w:t>
        </w:r>
      </w:hyperlink>
      <w:r>
        <w:t>).</w:t>
      </w:r>
      <w:r/>
      <w:r/>
    </w:p>
    <w:p>
      <w:r/>
    </w:p>
    <w:p>
      <w:pPr>
        <w:pStyle w:val="Heading2"/>
      </w:pPr>
      <w:r>
        <w:t>Chipre</w:t>
      </w:r>
      <w:r/>
    </w:p>
    <w:p>
      <w:r/>
      <w:r>
        <w:t>Um país insular localizado no nordeste do Mar Mediterrâneo. Chipre está a 80 quilômetros ao sul da Turquia (Ásia Menor), 112 quilômetros a oeste da Síria e 394 quilômetros ao norte do Egito. A ilha tem cerca de 177 quilômetros de comprimento e 80 quilômetros de largura. A fértil Planície de Mesaoria divide duas cadeias de montanhas, as cadeias de Kyrenia e Troodas Massif. Uma faixa estreita de terra de 64 quilômetros de comprimento e 8 quilômetros de largura se estende a partir da parte nordeste da ilha.</w:t>
      </w:r>
    </w:p>
    <w:p>
      <w:r/>
      <w:r>
        <w:t>Chipre possui muitos portos naturais. Nos tempos antigos, esses portos eram um ponto de conexão estratégico para rotas marítimas da Ásia Menor, Síria, Palestina e Egito. As minas de cobre cipriotas estão agora em grande parte esgotadas, mas historicamente foram uma indústria importante para a ilha.</w:t>
      </w:r>
    </w:p>
    <w:p>
      <w:pPr>
        <w:pStyle w:val="Heading3"/>
      </w:pPr>
      <w:r>
        <w:t>Chipre histórica</w:t>
      </w:r>
    </w:p>
    <w:p>
      <w:r/>
      <w:r>
        <w:t xml:space="preserve">A população e a importância econômica de Chipre cresceram durante a Idade do Bronze, no final do quarto ao segundo milênio a.C. A ilha foi primeiramente chamada de Alashiya, de acordo com documentos antigos de Ebla do século 24 a.C. Documentos de Mari no século 18 a.C., assim como de Ugarit e Tel el-Amarna no século 14 a.C., também a identificam por esse nome. Elisá parece ser um nome do Antigo Testamento para a ilha. O nome pode ser uma interpretação hebraica de Alashiya (cp. </w:t>
      </w:r>
      <w:hyperlink r:id="rId1865">
        <w:r>
          <w:rPr>
            <w:color w:val="0000EE"/>
            <w:u w:val="single"/>
          </w:rPr>
          <w:t>Ez 27.7</w:t>
        </w:r>
      </w:hyperlink>
      <w:r>
        <w:t>).</w:t>
      </w:r>
    </w:p>
    <w:p>
      <w:r/>
      <w:r>
        <w:t>As redes de comércio com a Síria, Palestina e Egito tornaram a ilha conhecida por suas exportações, especialmente de cobre, óleo, madeira e cerâmica. Fragmentos de cerâmica de Alashiya foram encontrados no Egito, Palestina e Síria. Os textos antigos de Ebla, Mari e Amarna registram detalhes comerciais sobre valiosas trocas de cobre. No final da Idade do Bronze, gregos de Micenas e Acaia começaram a migrar para Chipre. As colônias gregas de Salamina e Pafos foram fundadas por volta de 1270 a 1190 a.C.</w:t>
      </w:r>
    </w:p>
    <w:p>
      <w:r/>
      <w:r>
        <w:t>Nos séculos IX e VIII a.C., os fenícios se estabeleceram e afirmaram sua dominação em Chipre. O rei Hirão II de Tiro governou sobre Chipre, de acordo com as inscrições encontradas no Monte Sinoas. Ele foi rei de 741 a 738 a.C.. Kition, perto da moderna Larnaka, era um assentamento fenício cujos residentes eram chamados Quitim. Os hebreus nomearam toda a ilha de Quitim (</w:t>
      </w:r>
      <w:hyperlink r:id="rId4828">
        <w:r>
          <w:rPr>
            <w:color w:val="0000EE"/>
            <w:u w:val="single"/>
          </w:rPr>
          <w:t>Nm 24.24</w:t>
        </w:r>
      </w:hyperlink>
      <w:r>
        <w:t>, ARC). Textos hebraicos eventualmente referiram-se a qualquer país marítimo por este nome (</w:t>
      </w:r>
      <w:hyperlink r:id="rId4829">
        <w:r>
          <w:rPr>
            <w:color w:val="0000EE"/>
            <w:u w:val="single"/>
          </w:rPr>
          <w:t>Jr 2.10</w:t>
        </w:r>
      </w:hyperlink>
      <w:r>
        <w:t xml:space="preserve">; </w:t>
      </w:r>
      <w:hyperlink r:id="rId3760">
        <w:r>
          <w:rPr>
            <w:color w:val="0000EE"/>
            <w:u w:val="single"/>
          </w:rPr>
          <w:t>Dn 11.30</w:t>
        </w:r>
      </w:hyperlink>
      <w:r>
        <w:t xml:space="preserve">; </w:t>
      </w:r>
      <w:hyperlink r:id="rId4830">
        <w:r>
          <w:rPr>
            <w:color w:val="0000EE"/>
            <w:u w:val="single"/>
          </w:rPr>
          <w:t>1Mc 1.1</w:t>
        </w:r>
      </w:hyperlink>
      <w:r>
        <w:t>). Isaías anunciou que relatos da destruição de Tiro seriam confirmados a partir dos portos de Quitim (Chipre) (</w:t>
      </w:r>
      <w:hyperlink r:id="rId4831">
        <w:r>
          <w:rPr>
            <w:color w:val="0000EE"/>
            <w:u w:val="single"/>
          </w:rPr>
          <w:t>Is 23.1,12</w:t>
        </w:r>
      </w:hyperlink>
      <w:r>
        <w:t>).</w:t>
      </w:r>
    </w:p>
    <w:p>
      <w:r/>
      <w:r>
        <w:t>Assíria, a potência dominante em ascensão no Oriente Próximo durante os séculos VIII e VII a.C., fez de Chipre um de seus tributários. A estela do Rei Sargão II, que governou de 721 a 705 a.C., é um monumento de pedra que registra dinheiro e presentes recebidos por sete reis de Chipre. O Rei Esar-Hadom manteve registros em um objeto de argila em forma de prisma. Ele governou por volta de 670 a.C. O prisma lista dez reis que governaram diferentes cidades em Chipre. Durante a ocupação assíria, Chipre era chamado de Iadnan. Após o fim do Império Assírio, Chipre foi governado por Amasis, que governou o Egito de 569 a 527 a.C. Mais tarde, Chipre foi governado pelo Rei Cambises II da Pérsia, que governou de 529 a 522 a.C.</w:t>
      </w:r>
    </w:p>
    <w:p>
      <w:r/>
      <w:r>
        <w:t>Alexandre, o Grande, derrotou o exército persa em Isso em 333 a.C. Após isso, Chipre enviou 120 navios para ajudar a apoiar seu cerco contra Tiro. Os Ptolomeus do Egito (uma subdivisão do Império Grego) ganharam posse da ilha após a morte de Alexandre em 323. O Egito manteve o controle de Chipre de 294 a 258 a.C. Este período trouxe relativa paz e prosperidade para a ilha. O nome Chipre, que significa cobre em grego, foi então atribuído a ela.</w:t>
      </w:r>
    </w:p>
    <w:p>
      <w:r/>
      <w:r>
        <w:t>Chipre foi anexado a Roma em 58 a.C. Cícero foi nomeado governador de Chipre em 52 a.C.. Em 22 a.C., Roma transformou Chipre em uma província senatorial; Sérgio Paulo foi escolhido como seu procônsul em 46 d.C. Mais tarde, Adriano suprimiu uma violenta revolta judaica em 117, após a qual ele baniu todos os judeus da ilha.</w:t>
      </w:r>
    </w:p>
    <w:p>
      <w:pPr>
        <w:pStyle w:val="Heading3"/>
      </w:pPr>
      <w:r>
        <w:t>Chipre no Novo Testamento</w:t>
      </w:r>
    </w:p>
    <w:p>
      <w:r/>
      <w:r>
        <w:t>No Novo Testamento, Chipre é mencionado pela primeira vez como o local de nascimento de Barnabé (</w:t>
      </w:r>
      <w:hyperlink r:id="rId4832">
        <w:r>
          <w:rPr>
            <w:color w:val="0000EE"/>
            <w:u w:val="single"/>
          </w:rPr>
          <w:t>At 4.36</w:t>
        </w:r>
      </w:hyperlink>
      <w:r>
        <w:t>). Mais tarde, crentes judeus buscaram refúgio em Chipre da perseguição em Jerusalém por causa de Estevão (</w:t>
      </w:r>
      <w:hyperlink r:id="rId4833">
        <w:r>
          <w:rPr>
            <w:color w:val="0000EE"/>
            <w:u w:val="single"/>
          </w:rPr>
          <w:t>11.19–20</w:t>
        </w:r>
      </w:hyperlink>
      <w:r>
        <w:t>). Paulo e Barnabé zarparam de Selêucia, atravessando para Chipre antes de seguir para a Ásia Menor (por volta de 47 d.C.) na primeira viagem missionária de Paulo.</w:t>
      </w:r>
    </w:p>
    <w:p>
      <w:r/>
      <w:r>
        <w:t>Ao desembarcarem em Salamina, eles viajaram pela ilha até a cidade portuária ocidental de Pafos. Aqui, encontraram Barjesus, o falso profeta, e converteram o procônsul romano Sérgio Paulo. De Pafos, Paulo e Barnabé navegaram para a Ásia Menor, atracando em Perge na Panfília (</w:t>
      </w:r>
      <w:hyperlink r:id="rId4834">
        <w:r>
          <w:rPr>
            <w:color w:val="0000EE"/>
            <w:u w:val="single"/>
          </w:rPr>
          <w:t>13.4–13</w:t>
        </w:r>
      </w:hyperlink>
      <w:r>
        <w:t>).</w:t>
      </w:r>
    </w:p>
    <w:p>
      <w:r/>
      <w:r>
        <w:t>Paulo passou ao largo de Chipre em sua segunda viagem missionária. Barnabé e João Marcos revisitaram a ilha (</w:t>
      </w:r>
      <w:hyperlink r:id="rId4835">
        <w:r>
          <w:rPr>
            <w:color w:val="0000EE"/>
            <w:u w:val="single"/>
          </w:rPr>
          <w:t>15.39</w:t>
        </w:r>
      </w:hyperlink>
      <w:r>
        <w:t>). Na viagem final de Paulo a Jerusalém, Chipre foi um ponto de referência ao cruzar de Pátara para Tiro (</w:t>
      </w:r>
      <w:hyperlink r:id="rId4836">
        <w:r>
          <w:rPr>
            <w:color w:val="0000EE"/>
            <w:u w:val="single"/>
          </w:rPr>
          <w:t>21.3</w:t>
        </w:r>
      </w:hyperlink>
      <w:r>
        <w:t>). Na viagem para Roma, o navio de Paulo navegou sob a proteção de Chipre para evitar ventos fortes (</w:t>
      </w:r>
      <w:hyperlink r:id="rId4837">
        <w:r>
          <w:rPr>
            <w:color w:val="0000EE"/>
            <w:u w:val="single"/>
          </w:rPr>
          <w:t>27.4</w:t>
        </w:r>
      </w:hyperlink>
      <w:r>
        <w:t>).</w:t>
      </w:r>
      <w:r/>
      <w:r/>
    </w:p>
    <w:p>
      <w:r/>
    </w:p>
    <w:p>
      <w:pPr>
        <w:pStyle w:val="Heading2"/>
      </w:pPr>
      <w:r>
        <w:t>Chuva temporã</w:t>
      </w:r>
      <w:r/>
    </w:p>
    <w:p>
      <w:r/>
      <w:r>
        <w:t>Termo encontrado em algumas versões em português (e.g. ARC) para a chuva importante que inicia o ano agrícola na Palestina, geralmente em outubro (</w:t>
      </w:r>
      <w:hyperlink r:id="rId4838">
        <w:r>
          <w:rPr>
            <w:color w:val="0000EE"/>
            <w:u w:val="single"/>
          </w:rPr>
          <w:t>Dt 11.14</w:t>
        </w:r>
      </w:hyperlink>
      <w:r>
        <w:t xml:space="preserve">; </w:t>
      </w:r>
      <w:hyperlink r:id="rId4839">
        <w:r>
          <w:rPr>
            <w:color w:val="0000EE"/>
            <w:u w:val="single"/>
          </w:rPr>
          <w:t>Jr 5.24</w:t>
        </w:r>
      </w:hyperlink>
      <w:r>
        <w:t xml:space="preserve">; </w:t>
      </w:r>
      <w:hyperlink r:id="rId4840">
        <w:r>
          <w:rPr>
            <w:color w:val="0000EE"/>
            <w:u w:val="single"/>
          </w:rPr>
          <w:t>Tg 5.7</w:t>
        </w:r>
      </w:hyperlink>
      <w:r>
        <w:t xml:space="preserve">). </w:t>
      </w:r>
    </w:p>
    <w:p>
      <w:r/>
      <w:r>
        <w:rPr>
          <w:i/>
        </w:rPr>
        <w:t>Veja</w:t>
      </w:r>
      <w:r>
        <w:t xml:space="preserve"> </w:t>
      </w:r>
      <w:r>
        <w:t>Palestina</w:t>
      </w:r>
      <w:r>
        <w:t>.</w:t>
      </w:r>
      <w:r/>
      <w:r/>
    </w:p>
    <w:p>
      <w:r/>
    </w:p>
    <w:p>
      <w:pPr>
        <w:pStyle w:val="Heading2"/>
      </w:pPr>
      <w:r>
        <w:t>Chuvas de primavera</w:t>
      </w:r>
      <w:r/>
    </w:p>
    <w:p>
      <w:r/>
      <w:r>
        <w:t>As chuvas anuais de primavera na Palestina ocorrem do final de março ao início de abril. As chuvas de primavera (ou chuvas tardias) acontecem após a colheita de cítricos e antes das colheitas de trigo e cevada. As chuvas de primavera geralmente indicam o fim da estação chuvosa até que as chuvas de outono comecem novamente em outubro.</w:t>
      </w:r>
    </w:p>
    <w:p>
      <w:r/>
      <w:r>
        <w:t>Na Bíblia, as chuvas da primavera estavam associadas ao favor ou desagrado de Deus com Israel (</w:t>
      </w:r>
      <w:hyperlink r:id="rId4841">
        <w:r>
          <w:rPr>
            <w:color w:val="0000EE"/>
            <w:u w:val="single"/>
          </w:rPr>
          <w:t>Dt 11.13–17</w:t>
        </w:r>
      </w:hyperlink>
      <w:r>
        <w:t xml:space="preserve">; </w:t>
      </w:r>
      <w:hyperlink r:id="rId4842">
        <w:r>
          <w:rPr>
            <w:color w:val="0000EE"/>
            <w:u w:val="single"/>
          </w:rPr>
          <w:t>Jó 29.23</w:t>
        </w:r>
      </w:hyperlink>
      <w:r>
        <w:t xml:space="preserve">; </w:t>
      </w:r>
      <w:hyperlink r:id="rId4843">
        <w:r>
          <w:rPr>
            <w:color w:val="0000EE"/>
            <w:u w:val="single"/>
          </w:rPr>
          <w:t>Pv 16.15</w:t>
        </w:r>
      </w:hyperlink>
      <w:r>
        <w:t xml:space="preserve">; </w:t>
      </w:r>
      <w:hyperlink r:id="rId4844">
        <w:r>
          <w:rPr>
            <w:color w:val="0000EE"/>
            <w:u w:val="single"/>
          </w:rPr>
          <w:t>Jr 3.3</w:t>
        </w:r>
      </w:hyperlink>
      <w:r>
        <w:t xml:space="preserve">; </w:t>
      </w:r>
      <w:hyperlink r:id="rId4845">
        <w:r>
          <w:rPr>
            <w:color w:val="0000EE"/>
            <w:u w:val="single"/>
          </w:rPr>
          <w:t>Os 6.3</w:t>
        </w:r>
      </w:hyperlink>
      <w:r>
        <w:t xml:space="preserve">; </w:t>
      </w:r>
      <w:hyperlink r:id="rId4846">
        <w:r>
          <w:rPr>
            <w:color w:val="0000EE"/>
            <w:u w:val="single"/>
          </w:rPr>
          <w:t>Jl 2.23</w:t>
        </w:r>
      </w:hyperlink>
      <w:r>
        <w:t xml:space="preserve">; </w:t>
      </w:r>
      <w:hyperlink r:id="rId4847">
        <w:r>
          <w:rPr>
            <w:color w:val="0000EE"/>
            <w:u w:val="single"/>
          </w:rPr>
          <w:t>Zc 10.1</w:t>
        </w:r>
      </w:hyperlink>
      <w:r>
        <w:t xml:space="preserve">; </w:t>
      </w:r>
      <w:hyperlink r:id="rId4840">
        <w:r>
          <w:rPr>
            <w:color w:val="0000EE"/>
            <w:u w:val="single"/>
          </w:rPr>
          <w:t>Tg 5.7</w:t>
        </w:r>
      </w:hyperlink>
      <w:r>
        <w:t>).</w:t>
      </w:r>
      <w:r/>
      <w:r/>
    </w:p>
    <w:p>
      <w:r/>
    </w:p>
    <w:p>
      <w:pPr>
        <w:pStyle w:val="Heading2"/>
      </w:pPr>
      <w:r>
        <w:t>Cidadania</w:t>
      </w:r>
      <w:r/>
    </w:p>
    <w:p>
      <w:r/>
      <w:r>
        <w:t>No Novo Testamento, este termo possui dois significados:</w:t>
      </w:r>
    </w:p>
    <w:p>
      <w:pPr>
        <w:pStyle w:val="ListNumber"/>
        <w:spacing w:line="240" w:lineRule="auto"/>
        <w:ind w:left="720"/>
      </w:pPr>
      <w:r/>
      <w:r>
        <w:t>Relativo à cidade ou cidade-estado onde alguém nasceu e foi criado.</w:t>
      </w:r>
    </w:p>
    <w:p>
      <w:pPr>
        <w:pStyle w:val="ListNumber"/>
        <w:spacing w:line="240" w:lineRule="auto"/>
        <w:ind w:left="720"/>
      </w:pPr>
      <w:r/>
      <w:r>
        <w:t>O status de compartilhar os privilégios e responsabilidades do Império Romano.</w:t>
      </w:r>
    </w:p>
    <w:p>
      <w:r/>
      <w:r>
        <w:t>Portanto, o apóstolo Paulo afirmou ser cidadão tanto de Tarso quanto de Roma (</w:t>
      </w:r>
      <w:hyperlink r:id="rId4848">
        <w:r>
          <w:rPr>
            <w:color w:val="0000EE"/>
            <w:u w:val="single"/>
          </w:rPr>
          <w:t>At 21.39</w:t>
        </w:r>
      </w:hyperlink>
      <w:r>
        <w:t xml:space="preserve">; </w:t>
      </w:r>
      <w:hyperlink r:id="rId4849">
        <w:r>
          <w:rPr>
            <w:color w:val="0000EE"/>
            <w:u w:val="single"/>
          </w:rPr>
          <w:t>22.27–28</w:t>
        </w:r>
      </w:hyperlink>
      <w:r>
        <w:t>).</w:t>
      </w:r>
    </w:p>
    <w:p>
      <w:r/>
      <w:r>
        <w:t>O direito à cidadania romana era mais comumente adquirido por nascimento, como foi o caso de Paulo. O status de uma criança com pais casados era baseado no status do pai no momento da concepção. O status de uma criança nascida fora do casamento era determinado pelo da mãe no nascimento. Escravos automaticamente se tornavam cidadãos quando libertados por seus mestres. Embora chamados de "libertos", muitas vezes lhes eram negados os direitos dos cidadãos nascidos livres.</w:t>
      </w:r>
    </w:p>
    <w:p>
      <w:r/>
      <w:r>
        <w:t>Funcionários gananciosos frequentemente vendiam o direito de cidadania por um preço alto. O oficial, Cláudio Lísias, obteve sua cidadania dessa maneira (</w:t>
      </w:r>
      <w:hyperlink r:id="rId4780">
        <w:r>
          <w:rPr>
            <w:color w:val="0000EE"/>
            <w:u w:val="single"/>
          </w:rPr>
          <w:t>At 22.28</w:t>
        </w:r>
      </w:hyperlink>
      <w:r>
        <w:t xml:space="preserve">). Os direitos de cidadão também poderiam ser concedidos por tratado ou comando do império. Após uma guerra na Itália chamada Guerra Social (por volta de 90–85 a.C.), Roma concedeu cidadania a todos que viviam na Itália. Mais tarde, Júlio César concedeu direitos de cidadania às pessoas que viviam em colônias romanas na Gália (que agora é a França) e na Ásia Menor (que agora é a Turquia). De acordo com o censo do Imperador Augusto (mencionado em </w:t>
      </w:r>
      <w:hyperlink r:id="rId4850">
        <w:r>
          <w:rPr>
            <w:color w:val="0000EE"/>
            <w:u w:val="single"/>
          </w:rPr>
          <w:t>Lucas 2.1</w:t>
        </w:r>
      </w:hyperlink>
      <w:r>
        <w:t>), havia aproximadamente 4.233.000 cidadãos romanos na época do nascimento de Jesus. Na época do ministério de Paulo, o número havia chegado a 6.000.000.</w:t>
      </w:r>
    </w:p>
    <w:p>
      <w:r/>
      <w:r>
        <w:t>Cidadãos romanos frequentemente precisavam fornecer prova de sua cidadania. Isso geralmente era feito verificando os arquivos do censo (listas oficiais de cidadãos), que registravam o nome de cada cidadão. Além disso, cidadãos nascidos livres tinham uma pequena certidão de nascimento de madeira, que indicava seu status de nascimento. Documentos militares e registros fiscais também listavam os nomes dos cidadãos registrados. Além disso, todo cidadão romano tinha três nomes, enquanto os não cidadãos geralmente tinham apenas um.</w:t>
      </w:r>
    </w:p>
    <w:p>
      <w:r/>
      <w:r>
        <w:t>A cidadania romana concedia muitos direitos. Estes incluíam o direito de votar, ocupar cargos públicos e servir no exército. Os cidadãos podiam comprar, possuir, vender e doar propriedades. Eles podiam firmar contratos, ter um julgamento justo e apelar para César. Assim, ao mencionar sua cidadania romana, os oficiais em Filipos pediram desculpas por tê-lo aprisionado sem julgamento (</w:t>
      </w:r>
      <w:hyperlink r:id="rId4851">
        <w:r>
          <w:rPr>
            <w:color w:val="0000EE"/>
            <w:u w:val="single"/>
          </w:rPr>
          <w:t>At 16.38–39</w:t>
        </w:r>
      </w:hyperlink>
      <w:r>
        <w:t>). Ele também evitou um açoite em Jerusalém e pôde solicitar um julgamento perante César (</w:t>
      </w:r>
      <w:hyperlink r:id="rId4852">
        <w:r>
          <w:rPr>
            <w:color w:val="0000EE"/>
            <w:u w:val="single"/>
          </w:rPr>
          <w:t>At 22.24–29</w:t>
        </w:r>
      </w:hyperlink>
      <w:r>
        <w:t xml:space="preserve">; </w:t>
      </w:r>
      <w:hyperlink r:id="rId2873">
        <w:r>
          <w:rPr>
            <w:color w:val="0000EE"/>
            <w:u w:val="single"/>
          </w:rPr>
          <w:t>25.10–12</w:t>
        </w:r>
      </w:hyperlink>
      <w:r>
        <w:t xml:space="preserve">; cp. </w:t>
      </w:r>
      <w:hyperlink r:id="rId2846">
        <w:r>
          <w:rPr>
            <w:color w:val="0000EE"/>
            <w:u w:val="single"/>
          </w:rPr>
          <w:t>26.32</w:t>
        </w:r>
      </w:hyperlink>
      <w:r>
        <w:t>).</w:t>
      </w:r>
      <w:r/>
      <w:r/>
    </w:p>
    <w:p>
      <w:r/>
    </w:p>
    <w:p>
      <w:pPr>
        <w:pStyle w:val="Heading2"/>
      </w:pPr>
      <w:r>
        <w:t>Cidade</w:t>
      </w:r>
      <w:r/>
    </w:p>
    <w:p>
      <w:r/>
      <w:r>
        <w:t>A Bíblia geralmente não distingue entre cidade, vila e aldeia. A ênfase nas muralhas (</w:t>
      </w:r>
      <w:hyperlink r:id="rId4853">
        <w:r>
          <w:rPr>
            <w:color w:val="0000EE"/>
            <w:u w:val="single"/>
          </w:rPr>
          <w:t>Lv 25.29–31</w:t>
        </w:r>
      </w:hyperlink>
      <w:r>
        <w:t>) e fortificações (</w:t>
      </w:r>
      <w:hyperlink r:id="rId4854">
        <w:r>
          <w:rPr>
            <w:color w:val="0000EE"/>
            <w:u w:val="single"/>
          </w:rPr>
          <w:t>Js 19.35</w:t>
        </w:r>
      </w:hyperlink>
      <w:r>
        <w:t>), com referências repetidas a torres, portões e cercos, indica que as cidades forneciam a principal segurança para as vilas e aldeias ao redor.</w:t>
      </w:r>
    </w:p>
    <w:p>
      <w:pPr>
        <w:pStyle w:val="Heading3"/>
      </w:pPr>
      <w:r>
        <w:t>Origem e ntiguidade</w:t>
      </w:r>
    </w:p>
    <w:p>
      <w:pPr>
        <w:pStyle w:val="Heading4"/>
      </w:pPr>
      <w:r>
        <w:t>Pré-requisitos práticos</w:t>
      </w:r>
    </w:p>
    <w:p>
      <w:r/>
      <w:r>
        <w:t>A existência de comunidades estabelecidas dependia de um suprimento de alimentos controlado. Em contraste com o morador da cidade, o nômade vivia em uma tenda portátil, adequada para uma busca incessante por comida. O contraste entre a vida urbana estabelecida e a experiência nômade é ilustrado por uma referência no NT ao seminômade Abraão: “Pois ele esperava a cidade que tem alicerces, cujo arquiteto e edificador é Deus” (</w:t>
      </w:r>
      <w:hyperlink r:id="rId4855">
        <w:r>
          <w:rPr>
            <w:color w:val="0000EE"/>
            <w:u w:val="single"/>
          </w:rPr>
          <w:t>Heb 11.10</w:t>
        </w:r>
      </w:hyperlink>
      <w:r>
        <w:t>, NTLH).</w:t>
      </w:r>
    </w:p>
    <w:p>
      <w:pPr>
        <w:pStyle w:val="Heading4"/>
      </w:pPr>
      <w:r>
        <w:t>A primeira cidade na Bíblia</w:t>
      </w:r>
    </w:p>
    <w:p>
      <w:r/>
      <w:r>
        <w:t xml:space="preserve">A primeira referência bíblica a uma cidade está em </w:t>
      </w:r>
      <w:hyperlink r:id="rId4009">
        <w:r>
          <w:rPr>
            <w:color w:val="0000EE"/>
            <w:u w:val="single"/>
          </w:rPr>
          <w:t>Gênesis 4.17</w:t>
        </w:r>
      </w:hyperlink>
      <w:r>
        <w:t xml:space="preserve">. O verbo hebraico indica que Caim “estava construindo” a cidade. Provavelmente ele não a completou, nem residiu permanentemente lá; ele havia sido anteriormente condenado a uma existência de errante (v. </w:t>
      </w:r>
      <w:hyperlink r:id="rId4856">
        <w:r>
          <w:rPr>
            <w:color w:val="0000EE"/>
            <w:u w:val="single"/>
          </w:rPr>
          <w:t>12</w:t>
        </w:r>
      </w:hyperlink>
      <w:r>
        <w:t>).</w:t>
      </w:r>
    </w:p>
    <w:p>
      <w:r/>
      <w:r>
        <w:t>O relato de Gênesis, que afirma que a vida urbana surgiu cedo na existência humana, é internamente consistente. Os primeiros descendentes humanos, Caim e Abel, estavam envolvidos na produção de alimentos (</w:t>
      </w:r>
      <w:hyperlink r:id="rId40">
        <w:r>
          <w:rPr>
            <w:color w:val="0000EE"/>
            <w:u w:val="single"/>
          </w:rPr>
          <w:t>Gn 4.2</w:t>
        </w:r>
      </w:hyperlink>
      <w:r>
        <w:t xml:space="preserve">). Caim era agricultor, e Abel cuidava de rebanhos domesticados. </w:t>
      </w:r>
      <w:hyperlink r:id="rId4857">
        <w:r>
          <w:rPr>
            <w:color w:val="0000EE"/>
            <w:u w:val="single"/>
          </w:rPr>
          <w:t>Gênesis 4</w:t>
        </w:r>
      </w:hyperlink>
      <w:r>
        <w:t xml:space="preserve"> mostra tanto o pré-requisito da produção de alimentos quanto a especialização resultante. Com Jabal, a fabricação de tendas estava associada (v. </w:t>
      </w:r>
      <w:hyperlink r:id="rId558">
        <w:r>
          <w:rPr>
            <w:color w:val="0000EE"/>
            <w:u w:val="single"/>
          </w:rPr>
          <w:t>20</w:t>
        </w:r>
      </w:hyperlink>
      <w:r>
        <w:t xml:space="preserve">); com Jubal, a música (v. </w:t>
      </w:r>
      <w:hyperlink r:id="rId4858">
        <w:r>
          <w:rPr>
            <w:color w:val="0000EE"/>
            <w:u w:val="single"/>
          </w:rPr>
          <w:t>21</w:t>
        </w:r>
      </w:hyperlink>
      <w:r>
        <w:t xml:space="preserve">); e com Tubalcaim, a metalurgia (v. </w:t>
      </w:r>
      <w:hyperlink r:id="rId2612">
        <w:r>
          <w:rPr>
            <w:color w:val="0000EE"/>
            <w:u w:val="single"/>
          </w:rPr>
          <w:t>22</w:t>
        </w:r>
      </w:hyperlink>
      <w:r>
        <w:t>).</w:t>
      </w:r>
    </w:p>
    <w:p>
      <w:pPr>
        <w:pStyle w:val="Heading4"/>
      </w:pPr>
      <w:r>
        <w:t>Evidências arqueológicas</w:t>
      </w:r>
    </w:p>
    <w:p>
      <w:r/>
      <w:r>
        <w:t>O testemunho da arqueologia geralmente concorda com uma data antiga para a origem das cidades. A cidade mais antiga até agora descoberta em Canaã foi Jericó. Usando análise de carbono-14 em materiais de madeira do local, Kathleen Kenyon atribuiu uma data anterior a 7000 a.C. Embora com menos de 4 hectares, era uma cidade bem desenvolvida com uma impressionante muralha de 1,8 metros de espessura e uma torre de pedra redonda com quase 9 metros de altura, equipada com uma escada interna de cima a baixo.</w:t>
      </w:r>
    </w:p>
    <w:p>
      <w:r/>
      <w:r>
        <w:t>Jericó parece ser 3.000 anos mais antiga do que outras cidades cananeias. A maioria das grandes cidades sumérias, como Ur, Ish, Lagah e Uruk, foram fundadas mais tarde, no quarto ou início do terceiro milênio a.C.</w:t>
      </w:r>
    </w:p>
    <w:p>
      <w:pPr>
        <w:pStyle w:val="Heading3"/>
      </w:pPr>
      <w:r>
        <w:t>Localização e nome</w:t>
      </w:r>
    </w:p>
    <w:p>
      <w:pPr>
        <w:pStyle w:val="Heading4"/>
      </w:pPr>
      <w:r>
        <w:t>Pré-requisitos topográficos</w:t>
      </w:r>
    </w:p>
    <w:p>
      <w:r/>
      <w:r>
        <w:t>Havia quatro considerações principais na escolha de um local para uma cidade.</w:t>
      </w:r>
    </w:p>
    <w:p>
      <w:r/>
      <w:r>
        <w:t>1. A situação topográfica da cidade antiga contribuía para sua defesa. Uma cidade construída em uma colina natural tendia a ser menos vulnerável do que uma situada no vale. Os defensores tinham uma vantagem substancial se o inimigo fosse forçado a atacar subindo uma inclinação.</w:t>
      </w:r>
    </w:p>
    <w:p>
      <w:r/>
      <w:r>
        <w:t>A topografia de Jerusalém ilustra o fator de segurança na escolha de um local. Embora cercada por montanhas mais altas (</w:t>
      </w:r>
      <w:hyperlink r:id="rId4859">
        <w:r>
          <w:rPr>
            <w:color w:val="0000EE"/>
            <w:u w:val="single"/>
          </w:rPr>
          <w:t>Sl 125.2</w:t>
        </w:r>
      </w:hyperlink>
      <w:r>
        <w:t xml:space="preserve">), Jerusalém foi originalmente estabelecida em uma crista de calcário protegida a leste pelo profundo Vale do Cedrom e a oeste pelo igualmente formidável Vale do Tiropeão. Os dois vales se encontravam, proporcionando assim proteção a Jerusalém pelo sul. Para completar a segurança, foram construídas muralhas ao redor da cidade, com ênfase especial no lado norte, onde Jerusalém estava de outra forma exposta (cf. </w:t>
      </w:r>
      <w:hyperlink r:id="rId4860">
        <w:r>
          <w:rPr>
            <w:color w:val="0000EE"/>
            <w:u w:val="single"/>
          </w:rPr>
          <w:t>2 Sm 5.6</w:t>
        </w:r>
      </w:hyperlink>
      <w:r>
        <w:t>).</w:t>
      </w:r>
    </w:p>
    <w:p>
      <w:r/>
      <w:r>
        <w:t>2. Uma fonte de água convenientemente localizada era uma necessidade absoluta para a existência de uma cidade. A nascente ou poço da cidade tornou-se o centro de interação social, particularmente para as mulheres, que eram tradicionalmente as portadoras de água. Exemplos bíblicos de socialização no poço da aldeia são numerosos (</w:t>
      </w:r>
      <w:hyperlink r:id="rId4861">
        <w:r>
          <w:rPr>
            <w:color w:val="0000EE"/>
            <w:u w:val="single"/>
          </w:rPr>
          <w:t>Gn 29.1–12</w:t>
        </w:r>
      </w:hyperlink>
      <w:r>
        <w:t xml:space="preserve">; </w:t>
      </w:r>
      <w:hyperlink r:id="rId4862">
        <w:r>
          <w:rPr>
            <w:color w:val="0000EE"/>
            <w:u w:val="single"/>
          </w:rPr>
          <w:t>1 Rs 1.38–39</w:t>
        </w:r>
      </w:hyperlink>
      <w:r>
        <w:t>).</w:t>
      </w:r>
    </w:p>
    <w:p>
      <w:r/>
      <w:r>
        <w:t>Em geral, as fontes de água estavam localizadas em vales, então a nascente mais próxima de uma cidade frequentemente ficava fora das muralhas. Se um inimigo atacante tomasse a fonte de água, uma cidade poderia ser forçada a se render quando o suprimento de água armazenado dentro das muralhas secasse. Em Jerusalém, o rei Ezequias construiu um túnel de água para neutralizar o iminente ataque do rei assírio Senaqueribe (</w:t>
      </w:r>
      <w:hyperlink r:id="rId2782">
        <w:r>
          <w:rPr>
            <w:color w:val="0000EE"/>
            <w:u w:val="single"/>
          </w:rPr>
          <w:t>2 Rs 20.20</w:t>
        </w:r>
      </w:hyperlink>
      <w:r>
        <w:t xml:space="preserve">; </w:t>
      </w:r>
      <w:hyperlink r:id="rId4863">
        <w:r>
          <w:rPr>
            <w:color w:val="0000EE"/>
            <w:u w:val="single"/>
          </w:rPr>
          <w:t>2 Cr 32.30</w:t>
        </w:r>
      </w:hyperlink>
      <w:r>
        <w:t>). Sua incrível façanha de engenharia, com mais de 518 metros de comprimento e mais de 2.500 anos de idade, ainda pode ser vista pelos visitantes de Jerusalém.</w:t>
      </w:r>
    </w:p>
    <w:p>
      <w:r/>
      <w:r>
        <w:t>3. Cada cidade precisava de alimentos adequados para seus habitantes. Os agricultores antigos viviam em uma vila ou cidade e caminhavam todos os dias até seus campos. A existência de uma cidade, portanto, dependia de campos cultiváveis próximos, adequados para atender às necessidades da população.</w:t>
      </w:r>
    </w:p>
    <w:p>
      <w:r/>
      <w:r>
        <w:t>4. Para facilitar a importação de matérias-primas e a exportação de produtos acabados, a proximidade com estradas locais e internacionais era desejável, senão imperativa. As cidades importantes da Bíblia estavam localizadas ao longo das principais rotas comerciais.</w:t>
      </w:r>
    </w:p>
    <w:p>
      <w:r/>
      <w:r>
        <w:t>A importância relativa desses quatro fatores mudou ao longo dos séculos. Com o surgimento de nações-estado fortes, como Roma, as cidades puderam contar com exércitos permanentes e, assim, abandonar seus locais inconvenientes no topo das colinas. O desenvolvimento de cisternas revestidas e aquedutos possibilitou a fundação de cidades a alguma distância de fontes de água; por exemplo, Cesareia, construída por Herodes, o Grande, ficava a 19,3 quilômetros das nascentes do Monte Carmelo. As rotas comerciais mudaram com as condições internacionais em transformação, causando o desaparecimento de algumas cidades e o desenvolvimento de outras.</w:t>
      </w:r>
    </w:p>
    <w:p>
      <w:r/>
      <w:r>
        <w:rPr>
          <w:i/>
        </w:rPr>
        <w:t>Consulte também</w:t>
      </w:r>
      <w:r>
        <w:t xml:space="preserve"> </w:t>
      </w:r>
      <w:r>
        <w:t>Arqueologia e a Bíblia</w:t>
      </w:r>
      <w:r>
        <w:t>.</w:t>
      </w:r>
      <w:r/>
      <w:r/>
    </w:p>
    <w:p>
      <w:r/>
    </w:p>
    <w:p>
      <w:pPr>
        <w:pStyle w:val="Heading2"/>
      </w:pPr>
      <w:r>
        <w:t>Cidade das palmeiras</w:t>
      </w:r>
      <w:r/>
    </w:p>
    <w:p>
      <w:r/>
      <w:r>
        <w:t>Expressão que faz referência a Jericó, chamada assim por suas muitas palmeiras (</w:t>
      </w:r>
      <w:hyperlink r:id="rId4864">
        <w:r>
          <w:rPr>
            <w:color w:val="0000EE"/>
            <w:u w:val="single"/>
          </w:rPr>
          <w:t>Dt 34.3</w:t>
        </w:r>
      </w:hyperlink>
      <w:r>
        <w:t xml:space="preserve">). </w:t>
      </w:r>
      <w:r>
        <w:rPr>
          <w:i/>
        </w:rPr>
        <w:t>Veja</w:t>
      </w:r>
      <w:r>
        <w:t xml:space="preserve"> </w:t>
      </w:r>
      <w:r>
        <w:t>Jericó</w:t>
      </w:r>
      <w:r>
        <w:t>.</w:t>
      </w:r>
      <w:r/>
      <w:r/>
    </w:p>
    <w:p>
      <w:r/>
    </w:p>
    <w:p>
      <w:pPr>
        <w:pStyle w:val="Heading2"/>
      </w:pPr>
      <w:r>
        <w:t>Cidades da Planície</w:t>
      </w:r>
      <w:r/>
    </w:p>
    <w:p>
      <w:r/>
      <w:r>
        <w:t>Um grupo de cinco cidades localizadas na planície ou bacia do Rio Jordão também era conhecido como as “cidades do vale”. Esta região era muito fértil, o que atraiu o sobrinho de Abraão, Ló, quando surgiu a necessidade de separar seus grandes rebanhos e manadas (</w:t>
      </w:r>
      <w:hyperlink r:id="rId4865">
        <w:r>
          <w:rPr>
            <w:color w:val="0000EE"/>
            <w:u w:val="single"/>
          </w:rPr>
          <w:t>Gn 13.10–12</w:t>
        </w:r>
      </w:hyperlink>
      <w:r>
        <w:t>). Estas cidades são chamadas:</w:t>
      </w:r>
    </w:p>
    <w:p>
      <w:pPr>
        <w:pStyle w:val="ListBullet"/>
        <w:spacing w:line="240" w:lineRule="auto"/>
        <w:ind w:left="720"/>
      </w:pPr>
      <w:r/>
      <w:r>
        <w:t>Sodoma</w:t>
      </w:r>
    </w:p>
    <w:p>
      <w:pPr>
        <w:pStyle w:val="ListBullet"/>
        <w:spacing w:line="240" w:lineRule="auto"/>
        <w:ind w:left="720"/>
      </w:pPr>
      <w:r/>
      <w:r>
        <w:t>Gomorra</w:t>
      </w:r>
    </w:p>
    <w:p>
      <w:pPr>
        <w:pStyle w:val="ListBullet"/>
        <w:spacing w:line="240" w:lineRule="auto"/>
        <w:ind w:left="720"/>
      </w:pPr>
      <w:r/>
      <w:r>
        <w:t>Admá</w:t>
      </w:r>
    </w:p>
    <w:p>
      <w:pPr>
        <w:pStyle w:val="ListBullet"/>
        <w:spacing w:line="240" w:lineRule="auto"/>
        <w:ind w:left="720"/>
      </w:pPr>
      <w:r/>
      <w:r>
        <w:t>Zeboim</w:t>
      </w:r>
    </w:p>
    <w:p>
      <w:pPr>
        <w:pStyle w:val="ListBullet"/>
        <w:spacing w:line="240" w:lineRule="auto"/>
        <w:ind w:left="720"/>
      </w:pPr>
      <w:r/>
      <w:r>
        <w:t>Bela (mais tarde chamada de Zoar)</w:t>
      </w:r>
    </w:p>
    <w:p>
      <w:r/>
      <w:r>
        <w:t>Cada uma dessas cidades era provavelmente uma cidade estado, o que significa que tinha seu próprio rei.</w:t>
      </w:r>
    </w:p>
    <w:p>
      <w:r/>
      <w:r>
        <w:t>Essas cidades desempenham um papel significativo na Bíblia de quatro maneiras principais:</w:t>
      </w:r>
    </w:p>
    <w:p>
      <w:pPr>
        <w:pStyle w:val="ListNumber"/>
        <w:spacing w:line="240" w:lineRule="auto"/>
        <w:ind w:left="720"/>
      </w:pPr>
      <w:r/>
      <w:r>
        <w:t>A região ofereceu um local para Ló se estabelecer, e ele optou por viver em Sodoma.</w:t>
      </w:r>
    </w:p>
    <w:p>
      <w:pPr>
        <w:pStyle w:val="ListNumber"/>
        <w:spacing w:line="240" w:lineRule="auto"/>
        <w:ind w:left="720"/>
      </w:pPr>
      <w:r/>
      <w:r>
        <w:t>Os cinco reis dessas cidades lutaram contra uma força mais poderosa liderada por quatro reis de terras distantes no Leste. Eles foram derrotados, e suas cidades foram saqueadas. Os invasores levaram muitos bens e cativos, incluindo mulheres e crianças (</w:t>
      </w:r>
      <w:hyperlink r:id="rId1116">
        <w:r>
          <w:rPr>
            <w:color w:val="0000EE"/>
            <w:u w:val="single"/>
          </w:rPr>
          <w:t>Gn 14</w:t>
        </w:r>
      </w:hyperlink>
      <w:r>
        <w:t>). Ló estava entre os capturados, o que levou Abraão a realizar uma missão de resgate bem-sucedida. Ele recuperou Ló, os outros cativos e os bens roubados.</w:t>
      </w:r>
    </w:p>
    <w:p>
      <w:pPr>
        <w:pStyle w:val="ListNumber"/>
        <w:spacing w:line="240" w:lineRule="auto"/>
        <w:ind w:left="720"/>
      </w:pPr>
      <w:r/>
      <w:r>
        <w:t>As cidades mais tarde receberam o julgamento de Deus. Sua pecaminosidade era tão severa que nem mesmo a intercessão de Abraão pôde salvá-las (</w:t>
      </w:r>
      <w:hyperlink r:id="rId4866">
        <w:r>
          <w:rPr>
            <w:color w:val="0000EE"/>
            <w:u w:val="single"/>
          </w:rPr>
          <w:t>Gn 18.22–33</w:t>
        </w:r>
      </w:hyperlink>
      <w:r>
        <w:t>). Sua maldade é destacada pela história da multidão em Sodoma tentando prejudicar os convidados de Ló (</w:t>
      </w:r>
      <w:hyperlink r:id="rId172">
        <w:r>
          <w:rPr>
            <w:color w:val="0000EE"/>
            <w:u w:val="single"/>
          </w:rPr>
          <w:t>Gn 19</w:t>
        </w:r>
      </w:hyperlink>
      <w:r>
        <w:t>). Logo depois, Ló e sua família foram avisados para fugir antes que as cidades fossem destruídas. Enxofre e fogo choveram, destruindo as cidades e alterando drasticamente a paisagem.</w:t>
      </w:r>
    </w:p>
    <w:p>
      <w:pPr>
        <w:pStyle w:val="ListNumber"/>
        <w:spacing w:line="240" w:lineRule="auto"/>
        <w:ind w:left="720"/>
      </w:pPr>
      <w:r/>
      <w:r>
        <w:t>A destruição dessas cidades é mencionada em muitas outras partes do Antigo e Novo Testamento como um aviso de punição divina pelo pecado (</w:t>
      </w:r>
      <w:hyperlink r:id="rId4867">
        <w:r>
          <w:rPr>
            <w:color w:val="0000EE"/>
            <w:u w:val="single"/>
          </w:rPr>
          <w:t>Is 3.9</w:t>
        </w:r>
      </w:hyperlink>
      <w:r>
        <w:t xml:space="preserve">; </w:t>
      </w:r>
      <w:hyperlink r:id="rId4868">
        <w:r>
          <w:rPr>
            <w:color w:val="0000EE"/>
            <w:u w:val="single"/>
          </w:rPr>
          <w:t>Jr 50.40</w:t>
        </w:r>
      </w:hyperlink>
      <w:r>
        <w:t xml:space="preserve">; </w:t>
      </w:r>
      <w:hyperlink r:id="rId4869">
        <w:r>
          <w:rPr>
            <w:color w:val="0000EE"/>
            <w:u w:val="single"/>
          </w:rPr>
          <w:t>Ez 16.46–56</w:t>
        </w:r>
      </w:hyperlink>
      <w:r>
        <w:t xml:space="preserve">; </w:t>
      </w:r>
      <w:hyperlink r:id="rId4870">
        <w:r>
          <w:rPr>
            <w:color w:val="0000EE"/>
            <w:u w:val="single"/>
          </w:rPr>
          <w:t>Mt 10.15</w:t>
        </w:r>
      </w:hyperlink>
      <w:r>
        <w:t xml:space="preserve">; </w:t>
      </w:r>
      <w:hyperlink r:id="rId4871">
        <w:r>
          <w:rPr>
            <w:color w:val="0000EE"/>
            <w:u w:val="single"/>
          </w:rPr>
          <w:t>Rm 9.29</w:t>
        </w:r>
      </w:hyperlink>
      <w:r>
        <w:t>).</w:t>
      </w:r>
      <w:r/>
      <w:r/>
    </w:p>
    <w:p>
      <w:r/>
    </w:p>
    <w:p>
      <w:pPr>
        <w:pStyle w:val="Heading2"/>
      </w:pPr>
      <w:r>
        <w:t>Cidades de refúgio</w:t>
      </w:r>
      <w:r/>
    </w:p>
    <w:p>
      <w:r/>
      <w:r>
        <w:t>Seis cidades, três em Canaã e três na Transjordânia (área Leste do Rio Jordão), foram designadas como locais de segurança para pessoas suspeitas de homicídio culposo. As seis cidades estavam entre as 48 atribuídas aos levitas (</w:t>
      </w:r>
      <w:hyperlink r:id="rId4872">
        <w:r>
          <w:rPr>
            <w:color w:val="0000EE"/>
            <w:u w:val="single"/>
          </w:rPr>
          <w:t>Nm 35.6</w:t>
        </w:r>
      </w:hyperlink>
      <w:r>
        <w:t>). As três cidades transjordânicas eram Bezer, Ramote e Golã (</w:t>
      </w:r>
      <w:hyperlink r:id="rId3525">
        <w:r>
          <w:rPr>
            <w:color w:val="0000EE"/>
            <w:u w:val="single"/>
          </w:rPr>
          <w:t>Dt 4.43</w:t>
        </w:r>
      </w:hyperlink>
      <w:r>
        <w:t xml:space="preserve">; </w:t>
      </w:r>
      <w:hyperlink r:id="rId3526">
        <w:r>
          <w:rPr>
            <w:color w:val="0000EE"/>
            <w:u w:val="single"/>
          </w:rPr>
          <w:t>Js 20.8</w:t>
        </w:r>
      </w:hyperlink>
      <w:r>
        <w:t>). As três cidades a oeste do Jordão eram Quedes, Siquém e Quiriate-Arba (ou seja, Hebrom) na região montanhosa de Judá (</w:t>
      </w:r>
      <w:hyperlink r:id="rId4873">
        <w:r>
          <w:rPr>
            <w:color w:val="0000EE"/>
            <w:u w:val="single"/>
          </w:rPr>
          <w:t>Js 20.7</w:t>
        </w:r>
      </w:hyperlink>
      <w:r>
        <w:t>). Elas foram distribuídas de modo que a Leste do Jordão, Golã estava localizada no norte, Ramote no centro e Bezer no sul. A oeste do Jordão, Quedes, Siquém e Hebrom estavam localizadas no norte, centro e sul, respectivamente. Isso possibilitava que um acusado de homicídio culposo chegasse rapidamente a uma cidade de refúgio.</w:t>
      </w:r>
    </w:p>
    <w:p>
      <w:r/>
      <w:r>
        <w:t>No antigo Israel, o parente mais próximo de uma vítima de assassinato era obrigado a tirar a vida do assassino (</w:t>
      </w:r>
      <w:hyperlink r:id="rId4874">
        <w:r>
          <w:rPr>
            <w:color w:val="0000EE"/>
            <w:u w:val="single"/>
          </w:rPr>
          <w:t>Nm 35.19–21</w:t>
        </w:r>
      </w:hyperlink>
      <w:r>
        <w:t>). Era seu dever para com a viúva, outros membros da família e para com a sociedade. Assassinos não podiam viver, e não havia como resgatá-los (v.</w:t>
      </w:r>
      <w:hyperlink r:id="rId4875">
        <w:r>
          <w:rPr>
            <w:color w:val="0000EE"/>
            <w:u w:val="single"/>
          </w:rPr>
          <w:t xml:space="preserve"> 31</w:t>
        </w:r>
      </w:hyperlink>
      <w:r>
        <w:t>).</w:t>
      </w:r>
    </w:p>
    <w:p>
      <w:r/>
      <w:r>
        <w:t>A morte acidental, no entanto, era outra questão. Homicídio culposo, sem malícia ou premeditação, tinha uma provisão especial na Lei de Moisés. Um homem que acidentalmente matasse alguém poderia fugir para a cidade de refúgio mais próxima, onde as autoridades locais lhe concederiam proteção (</w:t>
      </w:r>
      <w:hyperlink r:id="rId4876">
        <w:r>
          <w:rPr>
            <w:color w:val="0000EE"/>
            <w:u w:val="single"/>
          </w:rPr>
          <w:t>Dt 19.4–6</w:t>
        </w:r>
      </w:hyperlink>
      <w:r>
        <w:t>). Quando o caso chegava ao tribunal, se o homem fosse considerado culpado de assassinato premeditado, ele era entregue para execução (</w:t>
      </w:r>
      <w:hyperlink r:id="rId4877">
        <w:r>
          <w:rPr>
            <w:color w:val="0000EE"/>
            <w:u w:val="single"/>
          </w:rPr>
          <w:t>19.11–12</w:t>
        </w:r>
      </w:hyperlink>
      <w:r>
        <w:t>). Se a morte fosse considerada acidental, a pessoa era absolvida. No entanto, ele tinha que pagar uma penalidade. O homicida tinha que permanecer na cidade de refúgio enquanto o atual sumo sacerdote estivesse no cargo (</w:t>
      </w:r>
      <w:hyperlink r:id="rId4878">
        <w:r>
          <w:rPr>
            <w:color w:val="0000EE"/>
            <w:u w:val="single"/>
          </w:rPr>
          <w:t>Nm 35.22–28</w:t>
        </w:r>
      </w:hyperlink>
      <w:r>
        <w:t>). Isso seria uma dificuldade considerável em alguns casos. Significava ou a separação da família ou o custo e risco de se mudar da terra ancestral e tentar ganhar a vida em uma nova cidade.</w:t>
      </w:r>
    </w:p>
    <w:p>
      <w:r/>
      <w:r>
        <w:rPr>
          <w:i/>
        </w:rPr>
        <w:t>Veja também</w:t>
      </w:r>
      <w:r>
        <w:t xml:space="preserve"> </w:t>
      </w:r>
      <w:r>
        <w:t>Asilo</w:t>
      </w:r>
      <w:r>
        <w:t xml:space="preserve">; </w:t>
      </w:r>
      <w:r>
        <w:t>Direito civil e justiça</w:t>
      </w:r>
      <w:r>
        <w:t>.</w:t>
      </w:r>
      <w:r/>
      <w:r/>
    </w:p>
    <w:p>
      <w:r/>
    </w:p>
    <w:p>
      <w:pPr>
        <w:pStyle w:val="Heading2"/>
      </w:pPr>
      <w:r>
        <w:t>Cidades levitas</w:t>
      </w:r>
      <w:r/>
    </w:p>
    <w:p>
      <w:r/>
      <w:r>
        <w:t>Áreas especiais foram reservadas para a tribo de Levi em vez de uma herança territorial regular (</w:t>
      </w:r>
      <w:hyperlink r:id="rId4879">
        <w:r>
          <w:rPr>
            <w:color w:val="0000EE"/>
            <w:u w:val="single"/>
          </w:rPr>
          <w:t>Nm 18.20–24</w:t>
        </w:r>
      </w:hyperlink>
      <w:r>
        <w:t xml:space="preserve">; </w:t>
      </w:r>
      <w:hyperlink r:id="rId4700">
        <w:r>
          <w:rPr>
            <w:color w:val="0000EE"/>
            <w:u w:val="single"/>
          </w:rPr>
          <w:t>26.62</w:t>
        </w:r>
      </w:hyperlink>
      <w:r>
        <w:t xml:space="preserve">; </w:t>
      </w:r>
      <w:hyperlink r:id="rId4880">
        <w:r>
          <w:rPr>
            <w:color w:val="0000EE"/>
            <w:u w:val="single"/>
          </w:rPr>
          <w:t>Dt 10.9</w:t>
        </w:r>
      </w:hyperlink>
      <w:r>
        <w:t xml:space="preserve">; </w:t>
      </w:r>
      <w:hyperlink r:id="rId4881">
        <w:r>
          <w:rPr>
            <w:color w:val="0000EE"/>
            <w:u w:val="single"/>
          </w:rPr>
          <w:t>18.1,2</w:t>
        </w:r>
      </w:hyperlink>
      <w:r>
        <w:t xml:space="preserve">; </w:t>
      </w:r>
      <w:hyperlink r:id="rId4882">
        <w:r>
          <w:rPr>
            <w:color w:val="0000EE"/>
            <w:u w:val="single"/>
          </w:rPr>
          <w:t>Js 18.7</w:t>
        </w:r>
      </w:hyperlink>
      <w:r>
        <w:t>). Os levitas receberam 48 cidades, incluindo as seis cidades de refúgio (</w:t>
      </w:r>
      <w:hyperlink r:id="rId4883">
        <w:r>
          <w:rPr>
            <w:color w:val="0000EE"/>
            <w:u w:val="single"/>
          </w:rPr>
          <w:t>Nm 35.6,7</w:t>
        </w:r>
      </w:hyperlink>
      <w:r>
        <w:t xml:space="preserve">). Cada cidade e uma zona limitada ao redor dela eram para os levitas (vv. </w:t>
      </w:r>
      <w:hyperlink r:id="rId4884">
        <w:r>
          <w:rPr>
            <w:color w:val="0000EE"/>
            <w:u w:val="single"/>
          </w:rPr>
          <w:t>3–5</w:t>
        </w:r>
      </w:hyperlink>
      <w:r>
        <w:t>); sua propriedade tinha um status especial em relação às leis de redenção (</w:t>
      </w:r>
      <w:hyperlink r:id="rId4885">
        <w:r>
          <w:rPr>
            <w:color w:val="0000EE"/>
            <w:u w:val="single"/>
          </w:rPr>
          <w:t>Lv 25.32–34</w:t>
        </w:r>
      </w:hyperlink>
      <w:r>
        <w:t>).</w:t>
      </w:r>
    </w:p>
    <w:p>
      <w:r/>
      <w:r>
        <w:t>Duas listas das cidades levitas são fornecidas (</w:t>
      </w:r>
      <w:hyperlink r:id="rId4886">
        <w:r>
          <w:rPr>
            <w:color w:val="0000EE"/>
            <w:u w:val="single"/>
          </w:rPr>
          <w:t>Js 21</w:t>
        </w:r>
      </w:hyperlink>
      <w:r>
        <w:t xml:space="preserve">; </w:t>
      </w:r>
      <w:hyperlink r:id="rId4887">
        <w:r>
          <w:rPr>
            <w:color w:val="0000EE"/>
            <w:u w:val="single"/>
          </w:rPr>
          <w:t>1 Cr 6.54–81</w:t>
        </w:r>
      </w:hyperlink>
      <w:r>
        <w:t>). Treze cidades eram para os sacerdotes (</w:t>
      </w:r>
      <w:hyperlink r:id="rId4888">
        <w:r>
          <w:rPr>
            <w:color w:val="0000EE"/>
            <w:u w:val="single"/>
          </w:rPr>
          <w:t>Js 21.4</w:t>
        </w:r>
      </w:hyperlink>
      <w:r>
        <w:t>), incluindo as seis cidades de refúgio. Apesar de algumas variações entre as duas listas, parece claro que elas remontam a um original. A distribuição das cidades levitas revela muito sobre seu propósito. Elas foram distribuídas entre as 12 tribos, mas geralmente não estavam localizadas nos centros tribais. As de Judá e Simeão estavam realmente no sul da região montanhosa, a área onde os clãs satélites dos calebitas e dos quenezeus se estabeleceram. As de Benjamim estavam agrupadas ao longo da metade sul da herança dessa tribo, a parte que mais tarde foi anexada a Judá; a família de Saul estava localizada lá. As cidades levitas foram colocadas em áreas de fronteira onde eram necessárias guarnições — por exemplo, nas bordas do deserto oriental em Rúben e de frente para a Filístia em Dã. Outros territórios-chave estavam nas planícies onde Aser, Manassés e outras tribos da Galileia originalmente falharam em conquistar as cidades cananeias (</w:t>
      </w:r>
      <w:hyperlink r:id="rId4889">
        <w:r>
          <w:rPr>
            <w:color w:val="0000EE"/>
            <w:u w:val="single"/>
          </w:rPr>
          <w:t>Jz 1.27,31</w:t>
        </w:r>
      </w:hyperlink>
      <w:r>
        <w:t>). Assim, os levitas foram designados para lugares onde a tarefa especial de controlar áreas estratégicas era necessária. Muitas das cidades não foram tomadas durante a conquista inicial e só ficaram sob controle israelita no reinado de Davi.</w:t>
      </w:r>
    </w:p>
    <w:p>
      <w:r/>
      <w:r>
        <w:t>Embora os levitas não fossem os únicos moradores de nenhuma cidade (eles as compartilhavam com outros israelitas), estavam ali para funções específicas. Eles cuidavam do trabalho do Senhor e do serviço do rei (</w:t>
      </w:r>
      <w:hyperlink r:id="rId4890">
        <w:r>
          <w:rPr>
            <w:color w:val="0000EE"/>
            <w:u w:val="single"/>
          </w:rPr>
          <w:t>1Cr 26.30–32</w:t>
        </w:r>
      </w:hyperlink>
      <w:r>
        <w:t>). Coletar dízimos (</w:t>
      </w:r>
      <w:hyperlink r:id="rId4891">
        <w:r>
          <w:rPr>
            <w:color w:val="0000EE"/>
            <w:u w:val="single"/>
          </w:rPr>
          <w:t>Nm 18.21</w:t>
        </w:r>
      </w:hyperlink>
      <w:r>
        <w:t xml:space="preserve">; </w:t>
      </w:r>
      <w:hyperlink r:id="rId4892">
        <w:r>
          <w:rPr>
            <w:color w:val="0000EE"/>
            <w:u w:val="single"/>
          </w:rPr>
          <w:t>Dt 14.28</w:t>
        </w:r>
      </w:hyperlink>
      <w:r>
        <w:t>), lidar com questões legais e judiciais (</w:t>
      </w:r>
      <w:hyperlink r:id="rId4893">
        <w:r>
          <w:rPr>
            <w:color w:val="0000EE"/>
            <w:u w:val="single"/>
          </w:rPr>
          <w:t>1Cr 26.29</w:t>
        </w:r>
      </w:hyperlink>
      <w:r>
        <w:t xml:space="preserve">; </w:t>
      </w:r>
      <w:hyperlink r:id="rId4894">
        <w:r>
          <w:rPr>
            <w:color w:val="0000EE"/>
            <w:u w:val="single"/>
          </w:rPr>
          <w:t>2Cr 17.8</w:t>
        </w:r>
      </w:hyperlink>
      <w:r>
        <w:t xml:space="preserve">; </w:t>
      </w:r>
      <w:hyperlink r:id="rId4895">
        <w:r>
          <w:rPr>
            <w:color w:val="0000EE"/>
            <w:u w:val="single"/>
          </w:rPr>
          <w:t>19.8–10</w:t>
        </w:r>
      </w:hyperlink>
      <w:r>
        <w:t>), cumprir deveres de guarnição militar (</w:t>
      </w:r>
      <w:hyperlink r:id="rId4896">
        <w:r>
          <w:rPr>
            <w:color w:val="0000EE"/>
            <w:u w:val="single"/>
          </w:rPr>
          <w:t>1Cr 26.1–19</w:t>
        </w:r>
      </w:hyperlink>
      <w:r>
        <w:t xml:space="preserve">) e gerenciar os armazéns (v. </w:t>
      </w:r>
      <w:hyperlink r:id="rId4897">
        <w:r>
          <w:rPr>
            <w:color w:val="0000EE"/>
            <w:u w:val="single"/>
          </w:rPr>
          <w:t>22</w:t>
        </w:r>
      </w:hyperlink>
      <w:r>
        <w:t>) eram todas responsabilidades dos levitas. Embora servissem por rotação na capital (</w:t>
      </w:r>
      <w:hyperlink r:id="rId4898">
        <w:r>
          <w:rPr>
            <w:color w:val="0000EE"/>
            <w:u w:val="single"/>
          </w:rPr>
          <w:t>27.1</w:t>
        </w:r>
      </w:hyperlink>
      <w:r>
        <w:t>), também tinham deveres semelhantes durante todo o ano em seus distritos de origem (</w:t>
      </w:r>
      <w:hyperlink r:id="rId4899">
        <w:r>
          <w:rPr>
            <w:color w:val="0000EE"/>
            <w:u w:val="single"/>
          </w:rPr>
          <w:t>26.29–32</w:t>
        </w:r>
      </w:hyperlink>
      <w:r>
        <w:t>). Sua lealdade à casa de Davi fez com que perdessem seu status no reino do norte, então a maioria deles se juntou a Judá quando o reino foi dividido (</w:t>
      </w:r>
      <w:hyperlink r:id="rId4900">
        <w:r>
          <w:rPr>
            <w:color w:val="0000EE"/>
            <w:u w:val="single"/>
          </w:rPr>
          <w:t>2Cr 11.13–14</w:t>
        </w:r>
      </w:hyperlink>
      <w:r>
        <w:t>).</w:t>
      </w:r>
    </w:p>
    <w:p>
      <w:r/>
      <w:r>
        <w:rPr>
          <w:i/>
        </w:rPr>
        <w:t xml:space="preserve">Veja </w:t>
      </w:r>
      <w:r>
        <w:t>Cidades de refúgio</w:t>
      </w:r>
      <w:r>
        <w:t>.</w:t>
      </w:r>
      <w:r/>
      <w:r/>
    </w:p>
    <w:p>
      <w:r/>
    </w:p>
    <w:p>
      <w:pPr>
        <w:pStyle w:val="Heading2"/>
      </w:pPr>
      <w:r>
        <w:t>Cilícia</w:t>
      </w:r>
      <w:r/>
    </w:p>
    <w:p>
      <w:r/>
      <w:r>
        <w:t>Uma província do Império Romano, localizada no sudeste da Ásia Menor. A capital era Tarso, cidade natal de Paulo (</w:t>
      </w:r>
      <w:hyperlink r:id="rId4848">
        <w:r>
          <w:rPr>
            <w:color w:val="0000EE"/>
            <w:u w:val="single"/>
          </w:rPr>
          <w:t>At 21.39</w:t>
        </w:r>
      </w:hyperlink>
      <w:r>
        <w:t xml:space="preserve">; </w:t>
      </w:r>
      <w:hyperlink r:id="rId4901">
        <w:r>
          <w:rPr>
            <w:color w:val="0000EE"/>
            <w:u w:val="single"/>
          </w:rPr>
          <w:t>22.3</w:t>
        </w:r>
      </w:hyperlink>
      <w:r>
        <w:t>). É por isso que Paulo tinha cidadania romana, mesmo sendo judeu (</w:t>
      </w:r>
      <w:hyperlink r:id="rId4902">
        <w:r>
          <w:rPr>
            <w:color w:val="0000EE"/>
            <w:u w:val="single"/>
          </w:rPr>
          <w:t>16.37</w:t>
        </w:r>
      </w:hyperlink>
      <w:r>
        <w:t>).</w:t>
      </w:r>
    </w:p>
    <w:p>
      <w:pPr>
        <w:pStyle w:val="Heading3"/>
      </w:pPr>
      <w:r>
        <w:t>História da Cilícia</w:t>
      </w:r>
    </w:p>
    <w:p>
      <w:r/>
      <w:r>
        <w:t>Antíoco, o Grande, estabeleceu 2.000 famílias judias nas regiões da Ásia Menor de Lídia e Frígia no segundo século a.C. (</w:t>
      </w:r>
      <w:r>
        <w:rPr>
          <w:i/>
        </w:rPr>
        <w:t>Antiguidades</w:t>
      </w:r>
      <w:r>
        <w:t xml:space="preserve"> de Josefo 12.3.4). Esta pode ser a origem da população judaica na área.</w:t>
      </w:r>
    </w:p>
    <w:p>
      <w:r/>
      <w:r>
        <w:t xml:space="preserve">No Antigo Testamento, a Cilícia é referenciada pelo nome </w:t>
      </w:r>
      <w:r>
        <w:rPr>
          <w:i/>
        </w:rPr>
        <w:t>Qûe (</w:t>
      </w:r>
      <w:r>
        <w:t>forma hebraica transliterada). A região formava uma ponte entre o país agora conhecido como Turquia e a Síria. O país era dividido entre Cilícia Tráqueia e Cilícia Pedia.</w:t>
      </w:r>
    </w:p>
    <w:p>
      <w:pPr>
        <w:pStyle w:val="ListBullet"/>
        <w:spacing w:line="240" w:lineRule="auto"/>
        <w:ind w:left="720"/>
      </w:pPr>
      <w:r/>
      <w:r>
        <w:t>Cilícia Tráqueia é a região montanhosa na metade ocidental. Cilícia Tráqueia era um território que Marco Antônio havia dado a Cleópatra em 36 a.C. Na época de Paulo, o rei grego Antíoco IV de Comagena governava esta área. Ele foi rei de 38 a 72 d.C. Os Portões da Cilícia, uma passagem estreita nas montanhas do Tauro, forneciam entrada para a Turquia.</w:t>
      </w:r>
    </w:p>
    <w:p>
      <w:pPr>
        <w:pStyle w:val="ListBullet"/>
        <w:spacing w:line="240" w:lineRule="auto"/>
        <w:ind w:left="720"/>
      </w:pPr>
      <w:r/>
      <w:r>
        <w:t>Cilícia Pedia eram as planícies ao leste. Cilícia Pedia estava conectada à província da Síria (cerca de 38 a.C.). O Novo Testamento refere-se à Síria e Cilícia como uma região (</w:t>
      </w:r>
      <w:hyperlink r:id="rId4335">
        <w:r>
          <w:rPr>
            <w:color w:val="0000EE"/>
            <w:u w:val="single"/>
          </w:rPr>
          <w:t>Gl 1.21</w:t>
        </w:r>
      </w:hyperlink>
      <w:r>
        <w:t>).</w:t>
      </w:r>
    </w:p>
    <w:p>
      <w:r/>
      <w:r>
        <w:t>Em 72 d.C., o imperador romano Vespasiano uniu as duas áreas em uma província romana chamada Cilícia.</w:t>
      </w:r>
    </w:p>
    <w:p>
      <w:pPr>
        <w:pStyle w:val="Heading3"/>
      </w:pPr>
      <w:r>
        <w:t>Cilícia no Cristianismo primitivo</w:t>
      </w:r>
    </w:p>
    <w:p>
      <w:r/>
      <w:r>
        <w:t>Judeus da Cilícia participaram da perseguição de Estevão (</w:t>
      </w:r>
      <w:hyperlink r:id="rId743">
        <w:r>
          <w:rPr>
            <w:color w:val="0000EE"/>
            <w:u w:val="single"/>
          </w:rPr>
          <w:t>At 6.9</w:t>
        </w:r>
      </w:hyperlink>
      <w:r>
        <w:t>). Após Paulo se converter ao Cristianismo, ele retornou a Tarso. Mais tarde, Paulo viajou com Barnabé para Antioquia (</w:t>
      </w:r>
      <w:hyperlink r:id="rId4903">
        <w:r>
          <w:rPr>
            <w:color w:val="0000EE"/>
            <w:u w:val="single"/>
          </w:rPr>
          <w:t>At 11.25–26</w:t>
        </w:r>
      </w:hyperlink>
      <w:r>
        <w:t>). Devido à história de Paulo, a Síria e a Cilícia se tornaram o primeiro grande centro do Cristianismo não judaico. O Cristianismo se espalhou dessa área para o restante da população gentia do Império Romano.</w:t>
      </w:r>
    </w:p>
    <w:p>
      <w:r/>
      <w:r>
        <w:rPr>
          <w:i/>
        </w:rPr>
        <w:t>Veja também</w:t>
      </w:r>
      <w:r>
        <w:t xml:space="preserve"> </w:t>
      </w:r>
      <w:r>
        <w:t>Cilícia</w:t>
      </w:r>
      <w:r>
        <w:t>.</w:t>
      </w:r>
      <w:r/>
      <w:r/>
    </w:p>
    <w:p>
      <w:r/>
    </w:p>
    <w:p>
      <w:pPr>
        <w:pStyle w:val="Heading2"/>
      </w:pPr>
      <w:r>
        <w:t>Cilindro de Ciro</w:t>
      </w:r>
      <w:r/>
    </w:p>
    <w:p>
      <w:r/>
      <w:r>
        <w:t>Um barril de argila cozida, com 22,9 centímetros de comprimento e inscrito em cuneiforme, foi encontrado pelo arqueólogo Hormuzd Rassam durante suas escavações na Babilônia de 1879 a 1882. Atualmente, está guardado no Museu Britânico em Londres. A inscrição foi escrita por Ciro, o Grande (que fundou o Império Persa e o governou de 539 a 530 a.C.) para descrever e justificar suas políticas. O texto, quase intacto, tem cerca de 1.000 palavras e data de aproximadamente 536 a.C.</w:t>
      </w:r>
    </w:p>
    <w:p>
      <w:r/>
      <w:r>
        <w:t>Ciro começou criticando Nabonido, o último governante do Império Neo-Babilônico, chamando-o de "fraco" por ter removido as imagens dos deuses de seus templos e negligenciado o culto a Marduque, o principal deus babilônico. Nabonido também obrigou seu povo a trabalhar em muitos projetos públicos.</w:t>
      </w:r>
    </w:p>
    <w:p>
      <w:r/>
      <w:r>
        <w:t>Os historiadores agora acreditam que Nabonido havia abandonado o culto a Marduque em favor de Sin, o deus da lua adorado em Ur e Harã. Antes de Babilônia cair, Nabonido tentou trazer muitos dos deuses das cidades babilônicas para a capital, o que irritou os poderosos líderes religiosos e muitas pessoas.</w:t>
      </w:r>
    </w:p>
    <w:p>
      <w:r/>
      <w:r>
        <w:t>Ciro continuou a inscrição dizendo que Marduque havia ouvido as queixas dos deuses e procurado um governante justo. Ele encontrou Ciro, que tinha “boas ações” e um “coração reto”. Marduque ajudou Ciro a conquistar muitas terras e ordenou que ele marchasse contra Babilônia, apoiando-o como um amigo. Ciro tomou Babilônia sem luta, e Marduque entregou Nabonido a ele. Fontes gregas dizem que a vida de Nabonido foi poupada, e o povo da Babilônia ficou feliz com o governo de Ciro, pois evitaram danos e desastres.</w:t>
      </w:r>
    </w:p>
    <w:p>
      <w:r/>
      <w:r>
        <w:t>Ciro então falou sobre sua linhagem, mostrando que ele descendia de uma linha real em Anshan, uma região a leste do Golfo Pérsico. Ele afirmou que os deuses babilônicos Bel e Nebo estavam satisfeitos com ele. Ciro provavelmente sentiu a necessidade de fazer essa declaração porque ele havia conquistado os impérios Medo e Neo-Babilônico à força.</w:t>
      </w:r>
    </w:p>
    <w:p>
      <w:r/>
      <w:r>
        <w:t>Após estabelecer seu direito de governar, Ciro descreveu sua recepção pelo povo, sua fiel adoração a Marduque e seu tratamento gentil para com seus súditos. Ele controlou suas tropas para evitar o terror, manteve a paz, interrompeu o trabalho forçado e desenvolveu projetos de habitação pública. Ciro acreditava que Marduque estava satisfeito com suas ações e o favoreceria, assim como seu filho Cambises e suas tropas. Príncipes de todo o império vieram a Babilônia para prestar homenagem a Ciro.</w:t>
      </w:r>
    </w:p>
    <w:p>
      <w:r/>
      <w:r>
        <w:t>A próxima parte da inscrição é importante para a história bíblica. Ciro reverteu a política de deportação dos babilônios e assírios, permitindo que todos os povos cativos retornassem às suas casas. Ele também devolveu as imagens dos deuses aos seus templos e ajudou a reconstruí-los. Isso mostra que o decreto no Livro de Esdras, permitindo que os judeus retornassem à Palestina (</w:t>
      </w:r>
      <w:hyperlink r:id="rId4904">
        <w:r>
          <w:rPr>
            <w:color w:val="0000EE"/>
            <w:u w:val="single"/>
          </w:rPr>
          <w:t>Esdras 1</w:t>
        </w:r>
      </w:hyperlink>
      <w:r>
        <w:t>), fazia parte da política mais ampla de Ciro, e não devido à sua conversão ao Deus de Israel. Outros povos cativos também tiveram decretos semelhantes.</w:t>
      </w:r>
    </w:p>
    <w:p>
      <w:r/>
      <w:r>
        <w:t>No último parágrafo, Ciro pediu aos deuses que intercedessem junto a Bel e Nebo por uma vida longa para ele e que o recomendassem a Marduque. Ele acreditava que sacerdotes e adoradores gratos, ao orarem por ele, seriam súditos leais, eliminando fontes de descontentamento.</w:t>
      </w:r>
    </w:p>
    <w:p>
      <w:r/>
      <w:r>
        <w:rPr>
          <w:i/>
        </w:rPr>
        <w:t>Veja também</w:t>
      </w:r>
      <w:r>
        <w:t xml:space="preserve"> </w:t>
      </w:r>
      <w:r>
        <w:t>Ciro o Grande</w:t>
      </w:r>
      <w:r>
        <w:t>.</w:t>
      </w:r>
      <w:r/>
      <w:r/>
    </w:p>
    <w:p>
      <w:r/>
    </w:p>
    <w:p>
      <w:pPr>
        <w:pStyle w:val="Heading2"/>
      </w:pPr>
      <w:r>
        <w:t>Címbalo</w:t>
      </w:r>
      <w:r/>
    </w:p>
    <w:p>
      <w:r/>
      <w:r>
        <w:t>Um címbalo é um instrumento musical composto por duas placas de metal redondas, finas e ligeiramente curvas, que são batidas juntas para produzir um som de toque. Os israelitas usavam címbalos na adoração a Deus (</w:t>
      </w:r>
      <w:hyperlink r:id="rId4905">
        <w:r>
          <w:rPr>
            <w:color w:val="0000EE"/>
            <w:u w:val="single"/>
          </w:rPr>
          <w:t>2Sm 6.5</w:t>
        </w:r>
      </w:hyperlink>
      <w:r>
        <w:t xml:space="preserve">; </w:t>
      </w:r>
      <w:hyperlink r:id="rId4906">
        <w:r>
          <w:rPr>
            <w:color w:val="0000EE"/>
            <w:u w:val="single"/>
          </w:rPr>
          <w:t>Ed 3.10</w:t>
        </w:r>
      </w:hyperlink>
      <w:r>
        <w:t xml:space="preserve">; </w:t>
      </w:r>
      <w:hyperlink r:id="rId4907">
        <w:r>
          <w:rPr>
            <w:color w:val="0000EE"/>
            <w:u w:val="single"/>
          </w:rPr>
          <w:t>Sl 150.5</w:t>
        </w:r>
      </w:hyperlink>
      <w:r>
        <w:t>).</w:t>
      </w:r>
    </w:p>
    <w:p>
      <w:r/>
      <w:r>
        <w:rPr>
          <w:i/>
        </w:rPr>
        <w:t>Veja também</w:t>
      </w:r>
      <w:r>
        <w:t xml:space="preserve"> </w:t>
      </w:r>
      <w:r>
        <w:t>Instrumentos musicais (Zelzelim)</w:t>
      </w:r>
      <w:r>
        <w:t xml:space="preserve">; </w:t>
      </w:r>
      <w:r>
        <w:t>Música</w:t>
      </w:r>
      <w:r>
        <w:t>.</w:t>
      </w:r>
      <w:r/>
      <w:r/>
    </w:p>
    <w:p>
      <w:r/>
    </w:p>
    <w:p>
      <w:pPr>
        <w:pStyle w:val="Heading2"/>
      </w:pPr>
      <w:r>
        <w:t>Cinzas</w:t>
      </w:r>
      <w:r/>
    </w:p>
    <w:p>
      <w:r/>
      <w:r>
        <w:t>Um pó fino que é deixado após algo ter sido completamente queimado. A queima de ofertas sacrificiais no altar do tabernáculo ou templo produzia cinzas que precisavam ser descartadas em uma cerimônia (</w:t>
      </w:r>
      <w:hyperlink r:id="rId4908">
        <w:r>
          <w:rPr>
            <w:color w:val="0000EE"/>
            <w:u w:val="single"/>
          </w:rPr>
          <w:t>Lv 1.16</w:t>
        </w:r>
      </w:hyperlink>
      <w:r>
        <w:t xml:space="preserve">; </w:t>
      </w:r>
      <w:hyperlink r:id="rId4909">
        <w:r>
          <w:rPr>
            <w:color w:val="0000EE"/>
            <w:u w:val="single"/>
          </w:rPr>
          <w:t>4.12</w:t>
        </w:r>
      </w:hyperlink>
      <w:r>
        <w:t xml:space="preserve">; </w:t>
      </w:r>
      <w:hyperlink r:id="rId4910">
        <w:r>
          <w:rPr>
            <w:color w:val="0000EE"/>
            <w:u w:val="single"/>
          </w:rPr>
          <w:t>6.10</w:t>
        </w:r>
      </w:hyperlink>
      <w:r>
        <w:t>-</w:t>
      </w:r>
      <w:hyperlink r:id="rId4910">
        <w:r>
          <w:rPr>
            <w:color w:val="0000EE"/>
            <w:u w:val="single"/>
          </w:rPr>
          <w:t>11</w:t>
        </w:r>
      </w:hyperlink>
      <w:r>
        <w:t xml:space="preserve">; cp. </w:t>
      </w:r>
      <w:hyperlink r:id="rId4911">
        <w:r>
          <w:rPr>
            <w:color w:val="0000EE"/>
            <w:u w:val="single"/>
          </w:rPr>
          <w:t>Hb 9.13</w:t>
        </w:r>
      </w:hyperlink>
      <w:r>
        <w:t>). As cinzas nos altares pagãos são mencionadas em várias histórias do Antigo Testamento (</w:t>
      </w:r>
      <w:hyperlink r:id="rId4912">
        <w:r>
          <w:rPr>
            <w:color w:val="0000EE"/>
            <w:u w:val="single"/>
          </w:rPr>
          <w:t>1Rs 13.1</w:t>
        </w:r>
      </w:hyperlink>
      <w:r>
        <w:t>-</w:t>
      </w:r>
      <w:hyperlink r:id="rId4912">
        <w:r>
          <w:rPr>
            <w:color w:val="0000EE"/>
            <w:u w:val="single"/>
          </w:rPr>
          <w:t>5</w:t>
        </w:r>
      </w:hyperlink>
      <w:r>
        <w:t xml:space="preserve">; </w:t>
      </w:r>
      <w:hyperlink r:id="rId4913">
        <w:r>
          <w:rPr>
            <w:color w:val="0000EE"/>
            <w:u w:val="single"/>
          </w:rPr>
          <w:t>2Rs 23.4</w:t>
        </w:r>
      </w:hyperlink>
      <w:r>
        <w:t>). Quando Moisés jogou cinzas no ar durante o confronto com o Faraó egípcio, as cinzas se espalharam como pó fino por todo o Egito. Isso causou uma praga de úlceras a aparecer tanto em pessoas quanto em animais (</w:t>
      </w:r>
      <w:hyperlink r:id="rId4914">
        <w:r>
          <w:rPr>
            <w:color w:val="0000EE"/>
            <w:u w:val="single"/>
          </w:rPr>
          <w:t>Êx 9.8</w:t>
        </w:r>
      </w:hyperlink>
      <w:r>
        <w:t>-</w:t>
      </w:r>
      <w:hyperlink r:id="rId4914">
        <w:r>
          <w:rPr>
            <w:color w:val="0000EE"/>
            <w:u w:val="single"/>
          </w:rPr>
          <w:t>10</w:t>
        </w:r>
      </w:hyperlink>
      <w:r>
        <w:t>).</w:t>
      </w:r>
    </w:p>
    <w:p>
      <w:r/>
      <w:r>
        <w:t>Na Bíblia, as cinzas são frequentemente mencionadas como um sinal de profundo pesar, arrependimento, humilhação ou sentimento de inutilidade. As pessoas colocavam cinzas sobre si mesmas para demonstrar essas emoções intensas. A Bíblia às vezes usa cinzas e pó de maneiras semelhantes. Por exemplo:</w:t>
      </w:r>
    </w:p>
    <w:p>
      <w:pPr>
        <w:pStyle w:val="ListBullet"/>
        <w:spacing w:line="240" w:lineRule="auto"/>
        <w:ind w:left="720"/>
      </w:pPr>
      <w:r/>
      <w:r>
        <w:t>Tamar colocou cinzas sobre si mesma para mostrar o quanto estava abalada após ser sexualmente agredida por seu meio-irmão (</w:t>
      </w:r>
      <w:hyperlink r:id="rId4915">
        <w:r>
          <w:rPr>
            <w:color w:val="0000EE"/>
            <w:u w:val="single"/>
          </w:rPr>
          <w:t>2Sm 13.19</w:t>
        </w:r>
      </w:hyperlink>
      <w:r>
        <w:t>).</w:t>
      </w:r>
    </w:p>
    <w:p>
      <w:pPr>
        <w:pStyle w:val="ListBullet"/>
        <w:spacing w:line="240" w:lineRule="auto"/>
        <w:ind w:left="720"/>
      </w:pPr>
      <w:r/>
      <w:r>
        <w:t>Mardoqueu (ou, Mordecai) cobriu-se de cinzas porque estava muito preocupado depois que o rei ordenou que todos os judeus em seu reino fossem mortos (</w:t>
      </w:r>
      <w:hyperlink r:id="rId4916">
        <w:r>
          <w:rPr>
            <w:color w:val="0000EE"/>
            <w:u w:val="single"/>
          </w:rPr>
          <w:t>Et 4.1</w:t>
        </w:r>
      </w:hyperlink>
      <w:r>
        <w:t>-</w:t>
      </w:r>
      <w:hyperlink r:id="rId4916">
        <w:r>
          <w:rPr>
            <w:color w:val="0000EE"/>
            <w:u w:val="single"/>
          </w:rPr>
          <w:t>3</w:t>
        </w:r>
      </w:hyperlink>
      <w:r>
        <w:t>)</w:t>
      </w:r>
    </w:p>
    <w:p>
      <w:pPr>
        <w:pStyle w:val="ListBullet"/>
        <w:spacing w:line="240" w:lineRule="auto"/>
        <w:ind w:left="720"/>
      </w:pPr>
      <w:r/>
      <w:r>
        <w:t>Daniel jogou cinzas sobre si mesmo quando orou a Deus por seu povo que foi forçado a viver em um país estrangeiro (</w:t>
      </w:r>
      <w:hyperlink r:id="rId4917">
        <w:r>
          <w:rPr>
            <w:color w:val="0000EE"/>
            <w:u w:val="single"/>
          </w:rPr>
          <w:t>Dn 9.3</w:t>
        </w:r>
      </w:hyperlink>
      <w:r>
        <w:t>)</w:t>
      </w:r>
    </w:p>
    <w:p>
      <w:pPr>
        <w:pStyle w:val="ListBullet"/>
        <w:spacing w:line="240" w:lineRule="auto"/>
        <w:ind w:left="720"/>
      </w:pPr>
      <w:r/>
      <w:r>
        <w:t>O rei de Nínive colocou cinzas sobre si mesmo para mostrar que estava arrependido de suas ações erradas depois de ouvir a mensagem de Jonas de Deus (</w:t>
      </w:r>
      <w:hyperlink r:id="rId4918">
        <w:r>
          <w:rPr>
            <w:color w:val="0000EE"/>
            <w:u w:val="single"/>
          </w:rPr>
          <w:t>Jn 3.6</w:t>
        </w:r>
      </w:hyperlink>
      <w:r>
        <w:t xml:space="preserve">; cp. </w:t>
      </w:r>
      <w:hyperlink r:id="rId3508">
        <w:r>
          <w:rPr>
            <w:color w:val="0000EE"/>
            <w:u w:val="single"/>
          </w:rPr>
          <w:t>Lc 10.13</w:t>
        </w:r>
      </w:hyperlink>
      <w:r>
        <w:t>)</w:t>
      </w:r>
    </w:p>
    <w:p>
      <w:r/>
      <w:r>
        <w:t>As pessoas na Bíblia também usavam cinzas como símbolo para representar diferentes ideias:</w:t>
      </w:r>
    </w:p>
    <w:p>
      <w:pPr>
        <w:pStyle w:val="ListBullet"/>
        <w:spacing w:line="240" w:lineRule="auto"/>
        <w:ind w:left="720"/>
      </w:pPr>
      <w:r/>
      <w:r>
        <w:t>Sentindo-se humilde ou pequeno (</w:t>
      </w:r>
      <w:hyperlink r:id="rId4919">
        <w:r>
          <w:rPr>
            <w:color w:val="0000EE"/>
            <w:u w:val="single"/>
          </w:rPr>
          <w:t>Gn 18.27</w:t>
        </w:r>
      </w:hyperlink>
      <w:r>
        <w:t>)</w:t>
      </w:r>
    </w:p>
    <w:p>
      <w:pPr>
        <w:pStyle w:val="ListBullet"/>
        <w:spacing w:line="240" w:lineRule="auto"/>
        <w:ind w:left="720"/>
      </w:pPr>
      <w:r/>
      <w:r>
        <w:t>Sentindo-se inútil ou como se algo não tivesse utilidade (</w:t>
      </w:r>
      <w:hyperlink r:id="rId4920">
        <w:r>
          <w:rPr>
            <w:color w:val="0000EE"/>
            <w:u w:val="single"/>
          </w:rPr>
          <w:t>Jó 13.12</w:t>
        </w:r>
      </w:hyperlink>
      <w:r>
        <w:t xml:space="preserve">; </w:t>
      </w:r>
      <w:hyperlink r:id="rId4921">
        <w:r>
          <w:rPr>
            <w:color w:val="0000EE"/>
            <w:u w:val="single"/>
          </w:rPr>
          <w:t>30.19</w:t>
        </w:r>
      </w:hyperlink>
      <w:r>
        <w:t xml:space="preserve">; </w:t>
      </w:r>
      <w:hyperlink r:id="rId4922">
        <w:r>
          <w:rPr>
            <w:color w:val="0000EE"/>
            <w:u w:val="single"/>
          </w:rPr>
          <w:t>Is 44.20</w:t>
        </w:r>
      </w:hyperlink>
      <w:r>
        <w:t>)</w:t>
      </w:r>
    </w:p>
    <w:p>
      <w:pPr>
        <w:pStyle w:val="ListBullet"/>
        <w:spacing w:line="240" w:lineRule="auto"/>
        <w:ind w:left="720"/>
      </w:pPr>
      <w:r/>
      <w:r>
        <w:t>Destruição (</w:t>
      </w:r>
      <w:hyperlink r:id="rId4923">
        <w:r>
          <w:rPr>
            <w:color w:val="0000EE"/>
            <w:u w:val="single"/>
          </w:rPr>
          <w:t>Ed 28.18</w:t>
        </w:r>
      </w:hyperlink>
      <w:r>
        <w:t xml:space="preserve">; </w:t>
      </w:r>
      <w:hyperlink r:id="rId4924">
        <w:r>
          <w:rPr>
            <w:color w:val="0000EE"/>
            <w:u w:val="single"/>
          </w:rPr>
          <w:t>2Pe 2.6</w:t>
        </w:r>
      </w:hyperlink>
      <w:r>
        <w:t>)</w:t>
      </w:r>
    </w:p>
    <w:p>
      <w:r/>
      <w:r>
        <w:rPr>
          <w:i/>
        </w:rPr>
        <w:t>Veja também</w:t>
      </w:r>
      <w:r>
        <w:t xml:space="preserve"> </w:t>
      </w:r>
      <w:r>
        <w:t>Luto</w:t>
      </w:r>
      <w:r>
        <w:t>.</w:t>
      </w:r>
      <w:r/>
      <w:r/>
    </w:p>
    <w:p>
      <w:r/>
    </w:p>
    <w:p>
      <w:pPr>
        <w:pStyle w:val="Heading2"/>
      </w:pPr>
      <w:r>
        <w:t>Circuncisão</w:t>
      </w:r>
      <w:r/>
    </w:p>
    <w:p>
      <w:r/>
      <w:r>
        <w:t>Remoção cirúrgica do prepúcio do órgão reprodutor masculino. Nos tempos bíblicos, a circuncisão era o selo da aliança de Deus com Abraão (</w:t>
      </w:r>
      <w:hyperlink r:id="rId4925">
        <w:r>
          <w:rPr>
            <w:color w:val="0000EE"/>
            <w:u w:val="single"/>
          </w:rPr>
          <w:t>Gênesis 17.1–14</w:t>
        </w:r>
      </w:hyperlink>
      <w:r>
        <w:t>). Embora a circuncisão se originou como um antigo rito tribal ou religioso, desde o início deste século, ela tem sido praticada nas nações ocidentais para fins higiênicos. Muitos médicos acreditam que a circuncisão ajuda a prevenir cânceres genitais em homens e suas esposas, de modo que esta pequena operação é realizada alguns dias após o nascimento em quase todos os machos recém-nascidos na América do Norte. Fora do judaísmo, o procedimento não carrega mais significado religioso.</w:t>
      </w:r>
    </w:p>
    <w:p>
      <w:r/>
      <w:r>
        <w:t>Resumo</w:t>
      </w:r>
    </w:p>
    <w:p>
      <w:pPr>
        <w:pStyle w:val="ListBullet"/>
        <w:spacing w:line="240" w:lineRule="auto"/>
        <w:ind w:left="720"/>
      </w:pPr>
      <w:r/>
      <w:r>
        <w:t>Circuncisão no Mundo Antigo</w:t>
      </w:r>
    </w:p>
    <w:p>
      <w:pPr>
        <w:pStyle w:val="ListBullet"/>
        <w:spacing w:line="240" w:lineRule="auto"/>
        <w:ind w:left="720"/>
      </w:pPr>
      <w:r/>
      <w:r>
        <w:t>Circuncisão no Antigo Testamento</w:t>
      </w:r>
    </w:p>
    <w:p>
      <w:pPr>
        <w:pStyle w:val="ListBullet"/>
        <w:spacing w:line="240" w:lineRule="auto"/>
        <w:ind w:left="720"/>
      </w:pPr>
      <w:r/>
      <w:r>
        <w:t>Circuncisão no Novo Testamento</w:t>
      </w:r>
    </w:p>
    <w:p>
      <w:pPr>
        <w:pStyle w:val="Heading3"/>
      </w:pPr>
      <w:r>
        <w:t>Circuncisão no Mundo Antigo</w:t>
      </w:r>
    </w:p>
    <w:p>
      <w:r/>
      <w:r>
        <w:t>O rito da circuncisão é muito mais antigo do que o povo hebreu. As pinturas rupestres dão evidências de que era praticada nos tempos pré-históricos. Os desenhos do templo egípcio mostram que a operação era comum em 4000 a.C., e provavelmente, antes. Grupos de pessoas que praticavam a circuncisão viviam em quase todos os continentes. O rito foi constatado entre índios da América Central e do Sul, polinésios, os povos da Nova Guiné, muitas tribos australianas e africanas, egípcios e árabes pré-islâmicos. O rito não é mencionado no Alcorão, mas porque Maomé era circuncidado, a tradição dita que os muçulmanos homens seguem o antigo costume. A ascendência árabe é atribuída a Abraão através de Ismael (</w:t>
      </w:r>
      <w:hyperlink r:id="rId4926">
        <w:r>
          <w:rPr>
            <w:color w:val="0000EE"/>
            <w:u w:val="single"/>
          </w:rPr>
          <w:t>Gênesis 17.20</w:t>
        </w:r>
      </w:hyperlink>
      <w:r>
        <w:t xml:space="preserve">), por isso uma idade comum para as circuncisões muçulmanas é 13 anos, já que Ismael estava circuncidado nessa idade (v. </w:t>
      </w:r>
      <w:hyperlink r:id="rId4927">
        <w:r>
          <w:rPr>
            <w:color w:val="0000EE"/>
            <w:u w:val="single"/>
          </w:rPr>
          <w:t>25</w:t>
        </w:r>
      </w:hyperlink>
      <w:r>
        <w:t>).</w:t>
      </w:r>
    </w:p>
    <w:p>
      <w:r/>
      <w:r>
        <w:t>Entre os povos semitas ocidentais, os amonitas, edomitas, midianitas, moabitas e fenícios, todos praticavam a circuncisão (</w:t>
      </w:r>
      <w:hyperlink r:id="rId4928">
        <w:r>
          <w:rPr>
            <w:color w:val="0000EE"/>
            <w:u w:val="single"/>
          </w:rPr>
          <w:t>Jeremias 9.25–26</w:t>
        </w:r>
      </w:hyperlink>
      <w:r>
        <w:t>). Os filisteus, no entanto, não a fizeram (</w:t>
      </w:r>
      <w:hyperlink r:id="rId4929">
        <w:r>
          <w:rPr>
            <w:color w:val="0000EE"/>
            <w:u w:val="single"/>
          </w:rPr>
          <w:t>Juízes 14.3</w:t>
        </w:r>
      </w:hyperlink>
      <w:r>
        <w:t xml:space="preserve">; </w:t>
      </w:r>
      <w:hyperlink r:id="rId4930">
        <w:r>
          <w:rPr>
            <w:color w:val="0000EE"/>
            <w:u w:val="single"/>
          </w:rPr>
          <w:t>15.18</w:t>
        </w:r>
      </w:hyperlink>
      <w:r>
        <w:t xml:space="preserve">; </w:t>
      </w:r>
      <w:hyperlink r:id="rId4931">
        <w:r>
          <w:rPr>
            <w:color w:val="0000EE"/>
            <w:u w:val="single"/>
          </w:rPr>
          <w:t>1 Samuel 14.6</w:t>
        </w:r>
      </w:hyperlink>
      <w:r>
        <w:t xml:space="preserve">; </w:t>
      </w:r>
      <w:hyperlink r:id="rId4932">
        <w:r>
          <w:rPr>
            <w:color w:val="0000EE"/>
            <w:u w:val="single"/>
          </w:rPr>
          <w:t>17.26,36</w:t>
        </w:r>
      </w:hyperlink>
      <w:r>
        <w:t xml:space="preserve">; </w:t>
      </w:r>
      <w:hyperlink r:id="rId4933">
        <w:r>
          <w:rPr>
            <w:color w:val="0000EE"/>
            <w:u w:val="single"/>
          </w:rPr>
          <w:t>18.25,27</w:t>
        </w:r>
      </w:hyperlink>
      <w:r>
        <w:t xml:space="preserve">; </w:t>
      </w:r>
      <w:hyperlink r:id="rId4934">
        <w:r>
          <w:rPr>
            <w:color w:val="0000EE"/>
            <w:u w:val="single"/>
          </w:rPr>
          <w:t>31.4</w:t>
        </w:r>
      </w:hyperlink>
      <w:r>
        <w:t xml:space="preserve">; </w:t>
      </w:r>
      <w:hyperlink r:id="rId4935">
        <w:r>
          <w:rPr>
            <w:color w:val="0000EE"/>
            <w:u w:val="single"/>
          </w:rPr>
          <w:t>2 Samuel 1.20</w:t>
        </w:r>
      </w:hyperlink>
      <w:r>
        <w:t xml:space="preserve">; </w:t>
      </w:r>
      <w:hyperlink r:id="rId4575">
        <w:r>
          <w:rPr>
            <w:color w:val="0000EE"/>
            <w:u w:val="single"/>
          </w:rPr>
          <w:t>3.14</w:t>
        </w:r>
      </w:hyperlink>
      <w:r>
        <w:t xml:space="preserve">; </w:t>
      </w:r>
      <w:hyperlink r:id="rId4936">
        <w:r>
          <w:rPr>
            <w:color w:val="0000EE"/>
            <w:u w:val="single"/>
          </w:rPr>
          <w:t>1 Crônicas 10.4</w:t>
        </w:r>
      </w:hyperlink>
      <w:r>
        <w:t>).</w:t>
      </w:r>
    </w:p>
    <w:p>
      <w:r/>
      <w:r>
        <w:t>Os jovens eram geralmente circuncidados na puberdade, evidentemente em preparação para o casamento e o ingresso nas responsabilidades tribais completas. Os hebreus eram os únicos antigos praticantes da circuncisão a cumprir o rito na infância, isentando-os assim da associação com os rituais de fertilidade.</w:t>
      </w:r>
    </w:p>
    <w:p>
      <w:pPr>
        <w:pStyle w:val="Heading3"/>
      </w:pPr>
      <w:r>
        <w:t>Circuncisão no Antigo Testamento</w:t>
      </w:r>
    </w:p>
    <w:p>
      <w:r/>
      <w:r>
        <w:t xml:space="preserve">Na Bíblia, a prática da circuncisão começou em </w:t>
      </w:r>
      <w:hyperlink r:id="rId168">
        <w:r>
          <w:rPr>
            <w:color w:val="0000EE"/>
            <w:u w:val="single"/>
          </w:rPr>
          <w:t>Gênesis 17</w:t>
        </w:r>
      </w:hyperlink>
      <w:r>
        <w:t xml:space="preserve"> como um sinal da aliança entre Deus e Abraão. Deus prometeu a Abraão uma terra e, através de um filho ainda a ser concebido, numerosos descendentes, de quem viriam reis. As bênçãos viriam sobre Abraão e através dele a todas as nações (</w:t>
      </w:r>
      <w:hyperlink r:id="rId162">
        <w:r>
          <w:rPr>
            <w:color w:val="0000EE"/>
            <w:u w:val="single"/>
          </w:rPr>
          <w:t>Gênesis 12.1–3</w:t>
        </w:r>
      </w:hyperlink>
      <w:r>
        <w:t xml:space="preserve">). Após a aliança ser formalmente inaugurada (capítulo </w:t>
      </w:r>
      <w:hyperlink r:id="rId790">
        <w:r>
          <w:rPr>
            <w:color w:val="0000EE"/>
            <w:u w:val="single"/>
          </w:rPr>
          <w:t>15</w:t>
        </w:r>
      </w:hyperlink>
      <w:r>
        <w:t>), Deus a selou, ordenando que Abraão fosse circuncidado com todos os machos em sua casa (</w:t>
      </w:r>
      <w:hyperlink r:id="rId4937">
        <w:r>
          <w:rPr>
            <w:color w:val="0000EE"/>
            <w:u w:val="single"/>
          </w:rPr>
          <w:t>Gênesis 17.9–13</w:t>
        </w:r>
      </w:hyperlink>
      <w:r>
        <w:t>).</w:t>
      </w:r>
    </w:p>
    <w:p>
      <w:r/>
      <w:r>
        <w:t>A circuncisão era para ser uma expressão de fé de que as promessas de Deus seriam realizadas. Como a fé de Abraão havia falhado (</w:t>
      </w:r>
      <w:hyperlink r:id="rId485">
        <w:r>
          <w:rPr>
            <w:color w:val="0000EE"/>
            <w:u w:val="single"/>
          </w:rPr>
          <w:t>Gênesis 16</w:t>
        </w:r>
      </w:hyperlink>
      <w:r>
        <w:t>) mesmo depois de ele ter visto a incrível manifestação da majestade de Deus (</w:t>
      </w:r>
      <w:hyperlink r:id="rId4938">
        <w:r>
          <w:rPr>
            <w:color w:val="0000EE"/>
            <w:u w:val="single"/>
          </w:rPr>
          <w:t>15.9–17</w:t>
        </w:r>
      </w:hyperlink>
      <w:r>
        <w:t>), um lembrete permanente das promessas da aliança de Deus foi colocado em seu corpo e nos corpos de seus descendentes homens (</w:t>
      </w:r>
      <w:hyperlink r:id="rId4939">
        <w:r>
          <w:rPr>
            <w:color w:val="0000EE"/>
            <w:u w:val="single"/>
          </w:rPr>
          <w:t>17.11</w:t>
        </w:r>
      </w:hyperlink>
      <w:r>
        <w:t>). Este sinal estava tão intimamente relacionado com a promessa da aliança de Deus que o próprio rito poderia ser chamado de “aliança” (</w:t>
      </w:r>
      <w:hyperlink r:id="rId4940">
        <w:r>
          <w:rPr>
            <w:color w:val="0000EE"/>
            <w:u w:val="single"/>
          </w:rPr>
          <w:t>Gênesis 17.10</w:t>
        </w:r>
      </w:hyperlink>
      <w:r>
        <w:t xml:space="preserve">; </w:t>
      </w:r>
      <w:hyperlink r:id="rId4941">
        <w:r>
          <w:rPr>
            <w:color w:val="0000EE"/>
            <w:u w:val="single"/>
          </w:rPr>
          <w:t>Atos 7.8</w:t>
        </w:r>
      </w:hyperlink>
      <w:r>
        <w:t>).</w:t>
      </w:r>
    </w:p>
    <w:p>
      <w:r/>
      <w:r>
        <w:t>A circuncisão deveria ser realizada no oitavo dia após o nascimento (</w:t>
      </w:r>
      <w:hyperlink r:id="rId798">
        <w:r>
          <w:rPr>
            <w:color w:val="0000EE"/>
            <w:u w:val="single"/>
          </w:rPr>
          <w:t>Gênesis 17.12</w:t>
        </w:r>
      </w:hyperlink>
      <w:r>
        <w:t xml:space="preserve">; </w:t>
      </w:r>
      <w:hyperlink r:id="rId4942">
        <w:r>
          <w:rPr>
            <w:color w:val="0000EE"/>
            <w:u w:val="single"/>
          </w:rPr>
          <w:t>Lv 12.1–3</w:t>
        </w:r>
      </w:hyperlink>
      <w:r>
        <w:t xml:space="preserve">; ver </w:t>
      </w:r>
      <w:hyperlink r:id="rId4943">
        <w:r>
          <w:rPr>
            <w:color w:val="0000EE"/>
            <w:u w:val="single"/>
          </w:rPr>
          <w:t>Gênesis 21.4</w:t>
        </w:r>
      </w:hyperlink>
      <w:r>
        <w:t xml:space="preserve">; </w:t>
      </w:r>
      <w:hyperlink r:id="rId4944">
        <w:r>
          <w:rPr>
            <w:color w:val="0000EE"/>
            <w:u w:val="single"/>
          </w:rPr>
          <w:t>Lc 1.59</w:t>
        </w:r>
      </w:hyperlink>
      <w:r>
        <w:t xml:space="preserve">; </w:t>
      </w:r>
      <w:hyperlink r:id="rId4945">
        <w:r>
          <w:rPr>
            <w:color w:val="0000EE"/>
            <w:u w:val="single"/>
          </w:rPr>
          <w:t>2.21</w:t>
        </w:r>
      </w:hyperlink>
      <w:r>
        <w:t xml:space="preserve">; </w:t>
      </w:r>
      <w:hyperlink r:id="rId4941">
        <w:r>
          <w:rPr>
            <w:color w:val="0000EE"/>
            <w:u w:val="single"/>
          </w:rPr>
          <w:t>Atos 7.8</w:t>
        </w:r>
      </w:hyperlink>
      <w:r>
        <w:t xml:space="preserve">; </w:t>
      </w:r>
      <w:hyperlink r:id="rId3431">
        <w:r>
          <w:rPr>
            <w:color w:val="0000EE"/>
            <w:u w:val="single"/>
          </w:rPr>
          <w:t>Filipenses 3.5</w:t>
        </w:r>
      </w:hyperlink>
      <w:r>
        <w:t>), habitualmente pelo pai do menino (</w:t>
      </w:r>
      <w:hyperlink r:id="rId4490">
        <w:r>
          <w:rPr>
            <w:color w:val="0000EE"/>
            <w:u w:val="single"/>
          </w:rPr>
          <w:t>Gênesis 17.23</w:t>
        </w:r>
      </w:hyperlink>
      <w:r>
        <w:t xml:space="preserve">; </w:t>
      </w:r>
      <w:hyperlink r:id="rId4943">
        <w:r>
          <w:rPr>
            <w:color w:val="0000EE"/>
            <w:u w:val="single"/>
          </w:rPr>
          <w:t>21.4</w:t>
        </w:r>
      </w:hyperlink>
      <w:r>
        <w:t xml:space="preserve">; </w:t>
      </w:r>
      <w:hyperlink r:id="rId4941">
        <w:r>
          <w:rPr>
            <w:color w:val="0000EE"/>
            <w:u w:val="single"/>
          </w:rPr>
          <w:t>Atos 7.8</w:t>
        </w:r>
      </w:hyperlink>
      <w:r>
        <w:t>), momento em que um nome seria dado (</w:t>
      </w:r>
      <w:hyperlink r:id="rId4944">
        <w:r>
          <w:rPr>
            <w:color w:val="0000EE"/>
            <w:u w:val="single"/>
          </w:rPr>
          <w:t>Lucas 1.59</w:t>
        </w:r>
      </w:hyperlink>
      <w:r>
        <w:t xml:space="preserve">; </w:t>
      </w:r>
      <w:hyperlink r:id="rId4945">
        <w:r>
          <w:rPr>
            <w:color w:val="0000EE"/>
            <w:u w:val="single"/>
          </w:rPr>
          <w:t>2.21</w:t>
        </w:r>
      </w:hyperlink>
      <w:r>
        <w:t>). Facas de pedra eram usadas nos primeiros dias (</w:t>
      </w:r>
      <w:hyperlink r:id="rId4946">
        <w:r>
          <w:rPr>
            <w:color w:val="0000EE"/>
            <w:u w:val="single"/>
          </w:rPr>
          <w:t>Êxodo 4.25</w:t>
        </w:r>
      </w:hyperlink>
      <w:r>
        <w:t xml:space="preserve">; </w:t>
      </w:r>
      <w:hyperlink r:id="rId4947">
        <w:r>
          <w:rPr>
            <w:color w:val="0000EE"/>
            <w:u w:val="single"/>
          </w:rPr>
          <w:t>Josué 5.2–3</w:t>
        </w:r>
      </w:hyperlink>
      <w:r>
        <w:t xml:space="preserve">). Mais tarde, o rito foi realizado por um profissional treinado chamado </w:t>
      </w:r>
      <w:r>
        <w:rPr>
          <w:i/>
        </w:rPr>
        <w:t>mohel</w:t>
      </w:r>
      <w:r>
        <w:t>. A pesquisa médica determinou que a protrombina, uma substância no sangue que ajuda na coagulação, está presente em maior quantidade no oitavo dia do que em qualquer outro momento da vida.</w:t>
      </w:r>
    </w:p>
    <w:p>
      <w:pPr>
        <w:pStyle w:val="Heading4"/>
      </w:pPr>
      <w:r>
        <w:t>Significado teológico</w:t>
      </w:r>
    </w:p>
    <w:p>
      <w:r/>
      <w:r>
        <w:t>A circuncisão tinha a ver com o cumprimento da promessa de Deus a respeito dos descendentes de Abraão (</w:t>
      </w:r>
      <w:hyperlink r:id="rId4948">
        <w:r>
          <w:rPr>
            <w:color w:val="0000EE"/>
            <w:u w:val="single"/>
          </w:rPr>
          <w:t>Gênesis 17.9–12</w:t>
        </w:r>
      </w:hyperlink>
      <w:r>
        <w:t>). Por ser aplicado ao órgão reprodutor, o sinal envolvia a propagação da raça. Sua aplicação ao bebê de oito dias demonstra o caráter gracioso da promessa de Deus aos descendentes de Abraão e indica que o povo de Deus necessita da graça purificadora desde o nascimento (</w:t>
      </w:r>
      <w:hyperlink r:id="rId4942">
        <w:r>
          <w:rPr>
            <w:color w:val="0000EE"/>
            <w:u w:val="single"/>
          </w:rPr>
          <w:t>Levítico 12.1–3</w:t>
        </w:r>
      </w:hyperlink>
      <w:r>
        <w:t>). As promessas da aliança foram reafirmadas a cada geração antes que os destinatários pudessem responder com fé ou descrença. Nada nos corações do povo escolhido poderia afetar o cumprimento final das promessas dadas a Abraão e seus descendentes.</w:t>
      </w:r>
    </w:p>
    <w:p>
      <w:r/>
      <w:r>
        <w:t>A circuncisão também tinha a ver com o cumprimento da promessa de Deus sobre a terra (</w:t>
      </w:r>
      <w:hyperlink r:id="rId4949">
        <w:r>
          <w:rPr>
            <w:color w:val="0000EE"/>
            <w:u w:val="single"/>
          </w:rPr>
          <w:t>Gênesis 17.8</w:t>
        </w:r>
      </w:hyperlink>
      <w:r>
        <w:t>). A terra era a possessão santa de Deus, e os israelitas tinham que ser santos para possuí-la. Quando José e seus descendentes estavam no Egito, eles continuaram a circuncidar seus filhos. Mas seguindo o grande pecado no Monte Sinai após o Êxodo, os israelitas incrédulos falharam em colocar o sinal da aliança em seus filhos enquanto eles vagavam pelo deserto. Como a nova geração não havia sido circuncidada, as pessoas estavam despreparadas para entrar na Terra Prometida. Por essa razão, Deus ordenou a Josué que circuncidasse os homens de Israel. A resposta obediente das pessoas era um ato de fé, uma vez que os exércitos do inimigo estavam acampados nas proximidades, enquanto os guerreiros israelitas estavam incapacitados pela cirurgia (</w:t>
      </w:r>
      <w:hyperlink r:id="rId4950">
        <w:r>
          <w:rPr>
            <w:color w:val="0000EE"/>
            <w:u w:val="single"/>
          </w:rPr>
          <w:t>Josué 5.2–9</w:t>
        </w:r>
      </w:hyperlink>
      <w:r>
        <w:t>).</w:t>
      </w:r>
    </w:p>
    <w:p>
      <w:r/>
      <w:r>
        <w:t>Desde o início, a participação nas promessas da aliança estava disponível a pessoas de fora da casa de Abraão (</w:t>
      </w:r>
      <w:hyperlink r:id="rId4951">
        <w:r>
          <w:rPr>
            <w:color w:val="0000EE"/>
            <w:u w:val="single"/>
          </w:rPr>
          <w:t>Gênesis 17.12–13</w:t>
        </w:r>
      </w:hyperlink>
      <w:r>
        <w:t xml:space="preserve">). </w:t>
      </w:r>
      <w:hyperlink r:id="rId4952">
        <w:r>
          <w:rPr>
            <w:color w:val="0000EE"/>
            <w:u w:val="single"/>
          </w:rPr>
          <w:t>Êxodo 12.43–49</w:t>
        </w:r>
      </w:hyperlink>
      <w:r>
        <w:t xml:space="preserve"> dá aos não israelitas a oportunidade de participar da Páscoa se eles estiverem dispostos a cumprir a mesma estipulação colocada sobre os judeus—a da circuncisão.</w:t>
      </w:r>
    </w:p>
    <w:p>
      <w:pPr>
        <w:pStyle w:val="Heading3"/>
      </w:pPr>
      <w:r>
        <w:t>Circuncisão no Novo Testamento</w:t>
      </w:r>
    </w:p>
    <w:p>
      <w:r/>
      <w:r>
        <w:t>João Batista era circuncidado, assim como Jesus e Paulo (</w:t>
      </w:r>
      <w:hyperlink r:id="rId4944">
        <w:r>
          <w:rPr>
            <w:color w:val="0000EE"/>
            <w:u w:val="single"/>
          </w:rPr>
          <w:t>Lucas 1.59</w:t>
        </w:r>
      </w:hyperlink>
      <w:r>
        <w:t xml:space="preserve">; </w:t>
      </w:r>
      <w:hyperlink r:id="rId4945">
        <w:r>
          <w:rPr>
            <w:color w:val="0000EE"/>
            <w:u w:val="single"/>
          </w:rPr>
          <w:t>2.21</w:t>
        </w:r>
      </w:hyperlink>
      <w:r>
        <w:t xml:space="preserve">; </w:t>
      </w:r>
      <w:hyperlink r:id="rId3431">
        <w:r>
          <w:rPr>
            <w:color w:val="0000EE"/>
            <w:u w:val="single"/>
          </w:rPr>
          <w:t>Filipenses 3.5</w:t>
        </w:r>
      </w:hyperlink>
      <w:r>
        <w:t>). Jesus reconheceu o significado purificador da circuncisão (</w:t>
      </w:r>
      <w:hyperlink r:id="rId4953">
        <w:r>
          <w:rPr>
            <w:color w:val="0000EE"/>
            <w:u w:val="single"/>
          </w:rPr>
          <w:t>João 7.22–23</w:t>
        </w:r>
      </w:hyperlink>
      <w:r>
        <w:t>), contrastando o rito com seu ministério curador que tornava um homem completamente sadio e, portanto, cerimonialmente “limpo”. Pouco antes de ser apedrejado, Estêvão se referiu à aliança da circuncisão e responsabilizou seus acusadores judeus por serem, como seus antepassados, de dura cerviz e incircuncisos de coração e ouvidos, e de sempre resistir ao Espírito Santo (</w:t>
      </w:r>
      <w:hyperlink r:id="rId4941">
        <w:r>
          <w:rPr>
            <w:color w:val="0000EE"/>
            <w:u w:val="single"/>
          </w:rPr>
          <w:t>Atos 7.8,51</w:t>
        </w:r>
      </w:hyperlink>
      <w:r>
        <w:t>).</w:t>
      </w:r>
    </w:p>
    <w:p>
      <w:r/>
      <w:r>
        <w:t>Por um tempo, os primeiros cristãos continuaram a participar dos ritos e costumes judaicos, até mesmo frequentando os serviços do templo (</w:t>
      </w:r>
      <w:hyperlink r:id="rId4954">
        <w:r>
          <w:rPr>
            <w:color w:val="0000EE"/>
            <w:u w:val="single"/>
          </w:rPr>
          <w:t>Atos 3.1</w:t>
        </w:r>
      </w:hyperlink>
      <w:r>
        <w:t xml:space="preserve">; </w:t>
      </w:r>
      <w:hyperlink r:id="rId4955">
        <w:r>
          <w:rPr>
            <w:color w:val="0000EE"/>
            <w:u w:val="single"/>
          </w:rPr>
          <w:t>5.21,42</w:t>
        </w:r>
      </w:hyperlink>
      <w:r>
        <w:t>). Quando os gentios vieram a Cristo, surgiu a controvérsia entre aqueles que disseram que a participação na comunidade da aliança exigia circuncisão e aqueles que acreditavam que o rito era desnecessário. Argumentava-se que, uma vez que a promessa da aliança do Messias foi dada aos judeus, os gentios devem primeiro ser circuncidados e se tornar judeus antes que pudessem receber a salvação em Cristo.</w:t>
      </w:r>
    </w:p>
    <w:p>
      <w:r/>
      <w:r>
        <w:t>No tempo de Cristo, muitos judeus entenderam mal o significado da circuncisão, acreditando que o ato físico era necessário e uma garantia de salvação. Assim, para os judeus, a observância se tornou não apenas um símbolo de privilégio religioso, mas também uma fonte de orgulho racial (</w:t>
      </w:r>
      <w:hyperlink r:id="rId4956">
        <w:r>
          <w:rPr>
            <w:color w:val="0000EE"/>
            <w:u w:val="single"/>
          </w:rPr>
          <w:t>Filipenses 3.4–6</w:t>
        </w:r>
      </w:hyperlink>
      <w:r>
        <w:t>). Esses judeus associaram a cerimônia à lei mosaica, em vez da promessa a Abraão (</w:t>
      </w:r>
      <w:hyperlink r:id="rId4957">
        <w:r>
          <w:rPr>
            <w:color w:val="0000EE"/>
            <w:u w:val="single"/>
          </w:rPr>
          <w:t>João 7.22</w:t>
        </w:r>
      </w:hyperlink>
      <w:r>
        <w:t xml:space="preserve">; </w:t>
      </w:r>
      <w:hyperlink r:id="rId4411">
        <w:r>
          <w:rPr>
            <w:color w:val="0000EE"/>
            <w:u w:val="single"/>
          </w:rPr>
          <w:t>Atos 15.1</w:t>
        </w:r>
      </w:hyperlink>
      <w:r>
        <w:t xml:space="preserve">). Como gregos e romanos não praticavam a circuncisão, os judeus vinham sendo chamados de “a circuncisão” (ARC </w:t>
      </w:r>
      <w:hyperlink r:id="rId4958">
        <w:r>
          <w:rPr>
            <w:color w:val="0000EE"/>
            <w:u w:val="single"/>
          </w:rPr>
          <w:t>Atos 10.45</w:t>
        </w:r>
      </w:hyperlink>
      <w:r>
        <w:t xml:space="preserve">; </w:t>
      </w:r>
      <w:hyperlink r:id="rId4959">
        <w:r>
          <w:rPr>
            <w:color w:val="0000EE"/>
            <w:u w:val="single"/>
          </w:rPr>
          <w:t>11.2</w:t>
        </w:r>
      </w:hyperlink>
      <w:r>
        <w:t xml:space="preserve">; </w:t>
      </w:r>
      <w:hyperlink r:id="rId4960">
        <w:r>
          <w:rPr>
            <w:color w:val="0000EE"/>
            <w:u w:val="single"/>
          </w:rPr>
          <w:t>Romanos 15.8</w:t>
        </w:r>
      </w:hyperlink>
      <w:r>
        <w:t xml:space="preserve">; </w:t>
      </w:r>
      <w:hyperlink r:id="rId4961">
        <w:r>
          <w:rPr>
            <w:color w:val="0000EE"/>
            <w:u w:val="single"/>
          </w:rPr>
          <w:t>Gálatas 2.7–9</w:t>
        </w:r>
      </w:hyperlink>
      <w:r>
        <w:t xml:space="preserve">; </w:t>
      </w:r>
      <w:hyperlink r:id="rId4962">
        <w:r>
          <w:rPr>
            <w:color w:val="0000EE"/>
            <w:u w:val="single"/>
          </w:rPr>
          <w:t>Efésios 2.11</w:t>
        </w:r>
      </w:hyperlink>
      <w:r>
        <w:t xml:space="preserve">; </w:t>
      </w:r>
      <w:hyperlink r:id="rId4963">
        <w:r>
          <w:rPr>
            <w:color w:val="0000EE"/>
            <w:u w:val="single"/>
          </w:rPr>
          <w:t>Tito 1.10</w:t>
        </w:r>
      </w:hyperlink>
      <w:r>
        <w:t>) e seguindo a prática do AT (</w:t>
      </w:r>
      <w:hyperlink r:id="rId4964">
        <w:r>
          <w:rPr>
            <w:color w:val="0000EE"/>
            <w:u w:val="single"/>
          </w:rPr>
          <w:t>Ezequiel 28.10</w:t>
        </w:r>
      </w:hyperlink>
      <w:r>
        <w:t xml:space="preserve">; </w:t>
      </w:r>
      <w:hyperlink r:id="rId4965">
        <w:r>
          <w:rPr>
            <w:color w:val="0000EE"/>
            <w:u w:val="single"/>
          </w:rPr>
          <w:t>31.18</w:t>
        </w:r>
      </w:hyperlink>
      <w:r>
        <w:t xml:space="preserve">; </w:t>
      </w:r>
      <w:hyperlink r:id="rId4966">
        <w:r>
          <w:rPr>
            <w:color w:val="0000EE"/>
            <w:u w:val="single"/>
          </w:rPr>
          <w:t>32.19–32</w:t>
        </w:r>
      </w:hyperlink>
      <w:r>
        <w:t xml:space="preserve">), os gentios eram denominados “a incircuncisão” (ARC </w:t>
      </w:r>
      <w:hyperlink r:id="rId4967">
        <w:r>
          <w:rPr>
            <w:color w:val="0000EE"/>
            <w:u w:val="single"/>
          </w:rPr>
          <w:t>Gálatas 2.7</w:t>
        </w:r>
      </w:hyperlink>
      <w:r>
        <w:t xml:space="preserve">; </w:t>
      </w:r>
      <w:hyperlink r:id="rId4962">
        <w:r>
          <w:rPr>
            <w:color w:val="0000EE"/>
            <w:u w:val="single"/>
          </w:rPr>
          <w:t>Efésios 2.11</w:t>
        </w:r>
      </w:hyperlink>
      <w:r>
        <w:t>).</w:t>
      </w:r>
    </w:p>
    <w:p>
      <w:r/>
      <w:r>
        <w:t>Durante sua visita a Cesareia, os crentes judeus ficaram espantados ao perceber que os gentios não circuncidados receberam o presente purificador do Espírito Santo (</w:t>
      </w:r>
      <w:hyperlink r:id="rId4968">
        <w:r>
          <w:rPr>
            <w:color w:val="0000EE"/>
            <w:u w:val="single"/>
          </w:rPr>
          <w:t>Atos 10.44–48</w:t>
        </w:r>
      </w:hyperlink>
      <w:r>
        <w:t>). Moisés havia prometido que Deus circuncidaria os corações de seu povo para amar o Senhor de todo coração e alma (</w:t>
      </w:r>
      <w:hyperlink r:id="rId3220">
        <w:r>
          <w:rPr>
            <w:color w:val="0000EE"/>
            <w:u w:val="single"/>
          </w:rPr>
          <w:t>Dt 30.6</w:t>
        </w:r>
      </w:hyperlink>
      <w:r>
        <w:t>). Ezequiel havia profetizado que o Senhor aspergiria água purificadora sobre seu povo, dando-lhes um novo coração e colocando seu Espírito dentro deles (</w:t>
      </w:r>
      <w:hyperlink r:id="rId4969">
        <w:r>
          <w:rPr>
            <w:color w:val="0000EE"/>
            <w:u w:val="single"/>
          </w:rPr>
          <w:t>Ezequiel 36.25–27</w:t>
        </w:r>
      </w:hyperlink>
      <w:r>
        <w:t>). Quando esses crentes judeus testemunharam o cumprimento da profecia de que Deus derramaria seu Espírito sobre toda a carne (</w:t>
      </w:r>
      <w:hyperlink r:id="rId4970">
        <w:r>
          <w:rPr>
            <w:color w:val="0000EE"/>
            <w:u w:val="single"/>
          </w:rPr>
          <w:t>Joel 2.28</w:t>
        </w:r>
      </w:hyperlink>
      <w:r>
        <w:t xml:space="preserve">; </w:t>
      </w:r>
      <w:hyperlink r:id="rId4971">
        <w:r>
          <w:rPr>
            <w:color w:val="0000EE"/>
            <w:u w:val="single"/>
          </w:rPr>
          <w:t>Atos 2.17</w:t>
        </w:r>
      </w:hyperlink>
      <w:r>
        <w:t>), eles perceberam que a realidade interior simbolizada pela circuncisão poderia ser alcançada sem o sinal físico. Portanto, os crentes gentios foram imediatamente batizados.</w:t>
      </w:r>
    </w:p>
    <w:p>
      <w:r/>
      <w:r>
        <w:t>Nem todos os crentes judeus estavam imediatamente dispostos a aceitar gentios na igreja. Quando Pedro voltou para Jerusalém após sua visita a Cesareia, “o grupo da circuncisão” o criticou. Mas após dizer como o Espírito havia sido derramado sobre os gentios, Pedro declarou que ele não poderia se colocar contra Deus. Com isso, os crentes judeus foram silenciados e glorificaram a Deus porque arrependimento para a vida havia sido concedido aos gentios (</w:t>
      </w:r>
      <w:hyperlink r:id="rId4972">
        <w:r>
          <w:rPr>
            <w:color w:val="0000EE"/>
            <w:u w:val="single"/>
          </w:rPr>
          <w:t>Atos 11.1–3, 15.8</w:t>
        </w:r>
      </w:hyperlink>
      <w:r>
        <w:t>).</w:t>
      </w:r>
    </w:p>
    <w:p>
      <w:r/>
      <w:r>
        <w:t>Certos “judaizantes” do grupo farisaico ensinavam aos cristãos em Antioquia que a circuncisão era necessária para a salvação (</w:t>
      </w:r>
      <w:hyperlink r:id="rId4411">
        <w:r>
          <w:rPr>
            <w:color w:val="0000EE"/>
            <w:u w:val="single"/>
          </w:rPr>
          <w:t>Atos 15.1,5</w:t>
        </w:r>
      </w:hyperlink>
      <w:r>
        <w:t xml:space="preserve">). Após debater com essas pessoas, Paulo e Barnabé foram a Jerusalém para consultar os outros apóstolos e anciãos (v. </w:t>
      </w:r>
      <w:hyperlink r:id="rId1399">
        <w:r>
          <w:rPr>
            <w:color w:val="0000EE"/>
            <w:u w:val="single"/>
          </w:rPr>
          <w:t>2</w:t>
        </w:r>
      </w:hyperlink>
      <w:r>
        <w:t xml:space="preserve">). Pedro argumentou que Deus havia dado o Espírito aos gentios e “purificado seus corações pela fé”, afirmando que “por meio da graça do Senhor Jesus, nós, judeus, cremos e somos salvos do mesmo modo que os não-judeus” (vv. </w:t>
      </w:r>
      <w:hyperlink r:id="rId3279">
        <w:r>
          <w:rPr>
            <w:color w:val="0000EE"/>
            <w:u w:val="single"/>
          </w:rPr>
          <w:t>8–9</w:t>
        </w:r>
      </w:hyperlink>
      <w:r>
        <w:t xml:space="preserve">, </w:t>
      </w:r>
      <w:hyperlink r:id="rId4973">
        <w:r>
          <w:rPr>
            <w:color w:val="0000EE"/>
            <w:u w:val="single"/>
          </w:rPr>
          <w:t>11</w:t>
        </w:r>
      </w:hyperlink>
      <w:r>
        <w:t xml:space="preserve">). Assim, Tiago e os outros líderes de Jerusalém concordaram que a circuncisão não deveria ser imposta aos gentios (vv. </w:t>
      </w:r>
      <w:hyperlink r:id="rId4974">
        <w:r>
          <w:rPr>
            <w:color w:val="0000EE"/>
            <w:u w:val="single"/>
          </w:rPr>
          <w:t>13–21</w:t>
        </w:r>
      </w:hyperlink>
      <w:r>
        <w:t>).</w:t>
      </w:r>
    </w:p>
    <w:p>
      <w:r/>
      <w:r>
        <w:t>Foi decidido que Pedro, Tiago e João seriam encarregados de transmitirem o evangelho aos “circuncidados”, enquanto Paulo e Barnabé pregariam aos “não circuncidados” (</w:t>
      </w:r>
      <w:hyperlink r:id="rId4961">
        <w:r>
          <w:rPr>
            <w:color w:val="0000EE"/>
            <w:u w:val="single"/>
          </w:rPr>
          <w:t>Gálatas 2.7–9</w:t>
        </w:r>
      </w:hyperlink>
      <w:r>
        <w:t>). Por causa de sua tática evangelística de ser “todas as coisas para todas as pessoas” com respeito a questões de costumes que são espiritualmente indiferentes (</w:t>
      </w:r>
      <w:hyperlink r:id="rId4975">
        <w:r>
          <w:rPr>
            <w:color w:val="0000EE"/>
            <w:u w:val="single"/>
          </w:rPr>
          <w:t>1 Coríntios 9.19–23</w:t>
        </w:r>
      </w:hyperlink>
      <w:r>
        <w:t>), Paulo havia circuncidado Timóteo. Timóteo era considerado pelos judeus como um de sua raça porque sua mãe era judia (</w:t>
      </w:r>
      <w:hyperlink r:id="rId4976">
        <w:r>
          <w:rPr>
            <w:color w:val="0000EE"/>
            <w:u w:val="single"/>
          </w:rPr>
          <w:t>Atos 16.1–2</w:t>
        </w:r>
      </w:hyperlink>
      <w:r>
        <w:t>). Mas Paulo resistiu às tentativas de ter circuncidado Tito, uma vez que ele era um gentio (</w:t>
      </w:r>
      <w:hyperlink r:id="rId4977">
        <w:r>
          <w:rPr>
            <w:color w:val="0000EE"/>
            <w:u w:val="single"/>
          </w:rPr>
          <w:t>Gálatas 2.3</w:t>
        </w:r>
      </w:hyperlink>
      <w:r>
        <w:t>). Aparentemente, ele permitiu que os crentes judeus circuncidassem seus filhos (</w:t>
      </w:r>
      <w:hyperlink r:id="rId2251">
        <w:r>
          <w:rPr>
            <w:color w:val="0000EE"/>
            <w:u w:val="single"/>
          </w:rPr>
          <w:t>Atos 21.21</w:t>
        </w:r>
      </w:hyperlink>
      <w:r>
        <w:t>).</w:t>
      </w:r>
    </w:p>
    <w:p>
      <w:r/>
      <w:r>
        <w:t>No entanto, Paulo acusou aqueles que defendiam que os cristãos gálatas deveriam ser circuncidados e guardar a lei, onde nem eles mesmos a guardavam, mas queriam se vangloriar na carne dos gálatas, e fugir da perseguição pela cruz de Cristo (</w:t>
      </w:r>
      <w:hyperlink r:id="rId4978">
        <w:r>
          <w:rPr>
            <w:color w:val="0000EE"/>
            <w:u w:val="single"/>
          </w:rPr>
          <w:t>Gálatas 6.12–13</w:t>
        </w:r>
      </w:hyperlink>
      <w:r>
        <w:t>)—perseguição que Paulo estava disposto a suportar (</w:t>
      </w:r>
      <w:hyperlink r:id="rId4979">
        <w:r>
          <w:rPr>
            <w:color w:val="0000EE"/>
            <w:u w:val="single"/>
          </w:rPr>
          <w:t>5.11</w:t>
        </w:r>
      </w:hyperlink>
      <w:r>
        <w:t xml:space="preserve">). Admitindo, em nome do argumento, o pressuposto farisaico de que a salvação poderia ser merecida pela guarda da lei, Paulo declarou que aqueles que receberam a circuncisão devem obedecer a todas as outras leis judaicas (vv. </w:t>
      </w:r>
      <w:hyperlink r:id="rId4980">
        <w:r>
          <w:rPr>
            <w:color w:val="0000EE"/>
            <w:u w:val="single"/>
          </w:rPr>
          <w:t>2–3</w:t>
        </w:r>
      </w:hyperlink>
      <w:r>
        <w:t xml:space="preserve">). Cristo seria “sem proveito” para aqueles que “seriam justificados pela lei”; esta tentativa de praticar a justiça evidenciaria que os gálatas foram “separados de Cristo”, tendo “caído da graça” (vv. </w:t>
      </w:r>
      <w:hyperlink r:id="rId4981">
        <w:r>
          <w:rPr>
            <w:color w:val="0000EE"/>
            <w:u w:val="single"/>
          </w:rPr>
          <w:t>2–4</w:t>
        </w:r>
      </w:hyperlink>
      <w:r>
        <w:t>). Esses cristãos estavam sendo tentados a se voltar para “um evangelho diferente” (</w:t>
      </w:r>
      <w:hyperlink r:id="rId4982">
        <w:r>
          <w:rPr>
            <w:color w:val="0000EE"/>
            <w:u w:val="single"/>
          </w:rPr>
          <w:t>1.6–7</w:t>
        </w:r>
      </w:hyperlink>
      <w:r>
        <w:t>).</w:t>
      </w:r>
    </w:p>
    <w:p>
      <w:r/>
      <w:r>
        <w:t>Por causa da séria ameaça que os judaizantes representavam ao evangelho da livre graça, Paulo desejava que aqueles que perturbaram os gálatas “se mutilassem” (</w:t>
      </w:r>
      <w:hyperlink r:id="rId4983">
        <w:r>
          <w:rPr>
            <w:color w:val="0000EE"/>
            <w:u w:val="single"/>
          </w:rPr>
          <w:t>Gálatas 5.12</w:t>
        </w:r>
      </w:hyperlink>
      <w:r>
        <w:t>). Ele chamou os judaizantes de “cães”, “obreiros malignos” e de os "que insistem em cortar o corpo" (NTLH), afirmando que os cristãos são “a verdadeira circuncisão”, porque eles adoram a Deus em espírito e gloriam-se em Cristo Jesus, não depositando confiança nas obras humanas para merecer salvação (</w:t>
      </w:r>
      <w:hyperlink r:id="rId4984">
        <w:r>
          <w:rPr>
            <w:color w:val="0000EE"/>
            <w:u w:val="single"/>
          </w:rPr>
          <w:t>Filipenses 3.2–3</w:t>
        </w:r>
      </w:hyperlink>
      <w:r>
        <w:t>).</w:t>
      </w:r>
    </w:p>
    <w:p>
      <w:r/>
      <w:r>
        <w:t>Ele ensinava que a circuncisão era de fato de valor para os judeus, pois era o sinal de que a eles haviam sido designado os “oráculos de Deus”, isto é, a palavra de Deus sobre a promessa de salvação (</w:t>
      </w:r>
      <w:hyperlink r:id="rId4985">
        <w:r>
          <w:rPr>
            <w:color w:val="0000EE"/>
            <w:u w:val="single"/>
          </w:rPr>
          <w:t>Romanos 3.1–3</w:t>
        </w:r>
      </w:hyperlink>
      <w:r>
        <w:t>). Ele lembrou aos efésios orgulhosos que, como gentios, eles haviam sido “estranhos aos pactos da promessa”, não carregando o sinal da aliança em seus corpos (</w:t>
      </w:r>
      <w:hyperlink r:id="rId4986">
        <w:r>
          <w:rPr>
            <w:color w:val="0000EE"/>
            <w:u w:val="single"/>
          </w:rPr>
          <w:t>Efésios 2.11–12</w:t>
        </w:r>
      </w:hyperlink>
      <w:r>
        <w:t xml:space="preserve">; veja </w:t>
      </w:r>
      <w:hyperlink r:id="rId4987">
        <w:r>
          <w:rPr>
            <w:color w:val="0000EE"/>
            <w:u w:val="single"/>
          </w:rPr>
          <w:t>Colossenses 2.13</w:t>
        </w:r>
      </w:hyperlink>
      <w:r>
        <w:t>). Da mesma forma, os judeus não tinham motivo para orgulho, pois a desobediência poderia fazer com que a circuncisão externa fosse contada como incircuncisão (</w:t>
      </w:r>
      <w:hyperlink r:id="rId4988">
        <w:r>
          <w:rPr>
            <w:color w:val="0000EE"/>
            <w:u w:val="single"/>
          </w:rPr>
          <w:t>Romanos 2.25</w:t>
        </w:r>
      </w:hyperlink>
      <w:r>
        <w:t>).</w:t>
      </w:r>
    </w:p>
    <w:p>
      <w:r/>
      <w:r>
        <w:t>Paul e os outros apóstolos seguiram Moisés e os profetas do AT ao ensinar que a verdadeira circuncisão era uma questão do coração. O ensino do NT vai mais além ao afirmar que um crente fiel, embora fisicamente incircunciso, é considerado por Deus como circuncidado, pois "é claro que não é aquele que é judeu somente por fora e circuncidado só no corpo.” (</w:t>
      </w:r>
      <w:hyperlink r:id="rId4278">
        <w:r>
          <w:rPr>
            <w:color w:val="0000EE"/>
            <w:u w:val="single"/>
          </w:rPr>
          <w:t>Romanos 2.28</w:t>
        </w:r>
      </w:hyperlink>
      <w:r>
        <w:t>). Tanto judeus quanto gentios são salvos pela graça (</w:t>
      </w:r>
      <w:hyperlink r:id="rId4973">
        <w:r>
          <w:rPr>
            <w:color w:val="0000EE"/>
            <w:u w:val="single"/>
          </w:rPr>
          <w:t>Atos 15.11</w:t>
        </w:r>
      </w:hyperlink>
      <w:r>
        <w:t>), e circuncidados e não circuncidados são igualmente justificados no fundamento de sua fé, à parte das obras da lei (</w:t>
      </w:r>
      <w:hyperlink r:id="rId4989">
        <w:r>
          <w:rPr>
            <w:color w:val="0000EE"/>
            <w:u w:val="single"/>
          </w:rPr>
          <w:t>Romanos 3.28–30</w:t>
        </w:r>
      </w:hyperlink>
      <w:r>
        <w:t>).</w:t>
      </w:r>
    </w:p>
    <w:p>
      <w:r/>
      <w:r>
        <w:t>Abraão serviu como um exemplo de uma pessoa que tinha sua fé considerada como justiça (</w:t>
      </w:r>
      <w:hyperlink r:id="rId4990">
        <w:r>
          <w:rPr>
            <w:color w:val="0000EE"/>
            <w:u w:val="single"/>
          </w:rPr>
          <w:t>Rm 4.3</w:t>
        </w:r>
      </w:hyperlink>
      <w:r>
        <w:t xml:space="preserve">; veja </w:t>
      </w:r>
      <w:hyperlink r:id="rId793">
        <w:r>
          <w:rPr>
            <w:color w:val="0000EE"/>
            <w:u w:val="single"/>
          </w:rPr>
          <w:t>Gn 15.6</w:t>
        </w:r>
      </w:hyperlink>
      <w:r>
        <w:t>). Paulo argumentou que tanto gentios quanto judeus são justificados pela fé, porque Abraão foi considerado justo antes de ser circuncidado. Abraão não recebeu a circuncisão para obter justiça, mas como um sinal ou selo da justiça que ele tinha pela fé enquanto ele ainda estava incircunciso. Assim, Abraão é o pai de todos os que creem sem ser circuncidado, bem como aqueles que são circuncidados, mas também seguem o exemplo da fé de Abraão (</w:t>
      </w:r>
      <w:hyperlink r:id="rId4991">
        <w:r>
          <w:rPr>
            <w:color w:val="0000EE"/>
            <w:u w:val="single"/>
          </w:rPr>
          <w:t>Romanos 4.9–12</w:t>
        </w:r>
      </w:hyperlink>
      <w:r>
        <w:t xml:space="preserve">; veja </w:t>
      </w:r>
      <w:hyperlink r:id="rId4365">
        <w:r>
          <w:rPr>
            <w:color w:val="0000EE"/>
            <w:u w:val="single"/>
          </w:rPr>
          <w:t>Gálatas 3.6–9</w:t>
        </w:r>
      </w:hyperlink>
      <w:r>
        <w:t>).</w:t>
      </w:r>
    </w:p>
    <w:p>
      <w:r/>
      <w:r>
        <w:rPr>
          <w:i/>
        </w:rPr>
        <w:t>Veja também</w:t>
      </w:r>
      <w:r>
        <w:t xml:space="preserve"> </w:t>
      </w:r>
      <w:r>
        <w:t>Batismo</w:t>
      </w:r>
      <w:r>
        <w:t xml:space="preserve">; </w:t>
      </w:r>
      <w:r>
        <w:t>Purificação e Imundície, Regulamentos a respeito</w:t>
      </w:r>
      <w:r>
        <w:t xml:space="preserve">; </w:t>
      </w:r>
      <w:r>
        <w:t>Incircuncisão</w:t>
      </w:r>
      <w:r>
        <w:t>.</w:t>
      </w:r>
      <w:r/>
      <w:r/>
    </w:p>
    <w:p>
      <w:r/>
    </w:p>
    <w:p>
      <w:pPr>
        <w:pStyle w:val="Heading2"/>
      </w:pPr>
      <w:r>
        <w:t>Cirene, Cireneus</w:t>
      </w:r>
      <w:r/>
    </w:p>
    <w:p>
      <w:r/>
      <w:r>
        <w:t>Uma cidade na costa do Norte da África, conhecida como a capital da Cirenaica. Foi fundada no século VII a.C. por gregos que eram principalmente agricultores. Heródoto, um historiador do século V a.C., observou que Cirene era única porque tinha três estações de colheita, resultando em um longo e contínuo outono de oito meses: “a terra de Cirene, a mais alta daquela parte da Líbia que é habitada por nômades, tem a notável peculiaridade de três estações de colheita separadas... proporcionando para o povo afortunado de Cirene, um outono contínuo de oito meses consecutivos” (4.199).</w:t>
      </w:r>
    </w:p>
    <w:p>
      <w:r/>
      <w:r>
        <w:t>Alexandre, o Grande, conquistou Cirene em 331 a.C., e mais tarde ela se tornou parte do Império Romano. Durante o período do Novo Testamento, a cidade tinha uma grande população judaica de Alexandria. Um desses judeus, Simão de Cirene, estava em Jerusalém durante a Páscoa quando foi compelido a carregar a cruz de Jesus (</w:t>
      </w:r>
      <w:hyperlink r:id="rId4992">
        <w:r>
          <w:rPr>
            <w:color w:val="0000EE"/>
            <w:u w:val="single"/>
          </w:rPr>
          <w:t>Mt 27.32</w:t>
        </w:r>
      </w:hyperlink>
      <w:r>
        <w:t>). No Pentecostes, Pedro pregou para judeus de Cirene em Jerusalém (</w:t>
      </w:r>
      <w:hyperlink r:id="rId4397">
        <w:r>
          <w:rPr>
            <w:color w:val="0000EE"/>
            <w:u w:val="single"/>
          </w:rPr>
          <w:t>At 2.10</w:t>
        </w:r>
      </w:hyperlink>
      <w:r>
        <w:t>). Estevão foi atacado por judeus de uma sinagoga que incluía pessoas de Cirene (</w:t>
      </w:r>
      <w:hyperlink r:id="rId743">
        <w:r>
          <w:rPr>
            <w:color w:val="0000EE"/>
            <w:u w:val="single"/>
          </w:rPr>
          <w:t>At 6.9</w:t>
        </w:r>
      </w:hyperlink>
      <w:r>
        <w:t>). Alguns desses judeus cireneus foram posteriormente convertidos ao cristianismo e se tornaram pregadores (</w:t>
      </w:r>
      <w:hyperlink r:id="rId4993">
        <w:r>
          <w:rPr>
            <w:color w:val="0000EE"/>
            <w:u w:val="single"/>
          </w:rPr>
          <w:t>At 11.20</w:t>
        </w:r>
      </w:hyperlink>
      <w:r>
        <w:t>), viajando até Antioquia, onde Lúcio de Cirene foi um notável professor cristão (</w:t>
      </w:r>
      <w:hyperlink r:id="rId4994">
        <w:r>
          <w:rPr>
            <w:color w:val="0000EE"/>
            <w:u w:val="single"/>
          </w:rPr>
          <w:t>At 13.1</w:t>
        </w:r>
      </w:hyperlink>
      <w:r>
        <w:t>).</w:t>
      </w:r>
      <w:r/>
      <w:r/>
    </w:p>
    <w:p>
      <w:r/>
    </w:p>
    <w:p>
      <w:pPr>
        <w:pStyle w:val="Heading2"/>
      </w:pPr>
      <w:r>
        <w:t>Cisterna</w:t>
      </w:r>
      <w:r/>
    </w:p>
    <w:p>
      <w:r/>
      <w:r>
        <w:t>Local para armazenar água; uma bacia de captação ou reservatório feito pelo homem. As cisternas de pedra revestidas com cal passaram a ser amplamente usadas na Palestina no século XIII a.C.</w:t>
      </w:r>
    </w:p>
    <w:p>
      <w:r/>
      <w:r>
        <w:t>Cisternas vazando ou abandonadas eram frequentemente usadas como câmaras de sepultamento, tortura ou prisão. Por exemplo, a masmorra na qual o profeta Jeremias foi colocado era uma cisterna lamacenta abandonada (</w:t>
      </w:r>
      <w:hyperlink r:id="rId4995">
        <w:r>
          <w:rPr>
            <w:color w:val="0000EE"/>
            <w:u w:val="single"/>
          </w:rPr>
          <w:t>Jr 38.6</w:t>
        </w:r>
      </w:hyperlink>
      <w:r>
        <w:t>). Ismael jogou os corpos de 70 homens assassinados em uma grande cisterna originalmente construída pelo rei Asa para o abastecimento de água durante a guerra (</w:t>
      </w:r>
      <w:hyperlink r:id="rId4996">
        <w:r>
          <w:rPr>
            <w:color w:val="0000EE"/>
            <w:u w:val="single"/>
          </w:rPr>
          <w:t>41.4–9</w:t>
        </w:r>
      </w:hyperlink>
      <w:r>
        <w:t>).</w:t>
      </w:r>
    </w:p>
    <w:p>
      <w:r/>
      <w:r>
        <w:t>Cisternas eram de vital importância no árido Oriente Próximo. O rei Uzias de Judá é descrito como tendo escavado muitas cisternas em áreas onde faltavam nascentes ou poços (</w:t>
      </w:r>
      <w:hyperlink r:id="rId4997">
        <w:r>
          <w:rPr>
            <w:color w:val="0000EE"/>
            <w:u w:val="single"/>
          </w:rPr>
          <w:t>2Cr 26.10</w:t>
        </w:r>
      </w:hyperlink>
      <w:r>
        <w:t>). Um general assírio, zombando do rei Ezequias e de seu povo, prometeu que, se eles se submetessem, todos beberiam a água de sua própria cisterna (</w:t>
      </w:r>
      <w:hyperlink r:id="rId4998">
        <w:r>
          <w:rPr>
            <w:color w:val="0000EE"/>
            <w:u w:val="single"/>
          </w:rPr>
          <w:t>Is 36.16</w:t>
        </w:r>
      </w:hyperlink>
      <w:r>
        <w:t xml:space="preserve">; cp. </w:t>
      </w:r>
      <w:hyperlink r:id="rId4999">
        <w:r>
          <w:rPr>
            <w:color w:val="0000EE"/>
            <w:u w:val="single"/>
          </w:rPr>
          <w:t>2Rs 18.31</w:t>
        </w:r>
      </w:hyperlink>
      <w:r>
        <w:t>). Muito antes, Moisés havia assegurado aos israelitas que cisternas já escavadas estariam entre as bênçãos de Deus na Terra Prometida (</w:t>
      </w:r>
      <w:hyperlink r:id="rId5000">
        <w:r>
          <w:rPr>
            <w:color w:val="0000EE"/>
            <w:u w:val="single"/>
          </w:rPr>
          <w:t>Dt 6.11</w:t>
        </w:r>
      </w:hyperlink>
      <w:r>
        <w:t>).</w:t>
      </w:r>
      <w:r/>
      <w:r/>
    </w:p>
    <w:p>
      <w:r/>
    </w:p>
    <w:p>
      <w:pPr>
        <w:pStyle w:val="Heading2"/>
      </w:pPr>
      <w:r>
        <w:t>Clauda</w:t>
      </w:r>
      <w:r/>
    </w:p>
    <w:p>
      <w:r/>
      <w:r>
        <w:t>O antigo nome (e variação ortográfica) de uma pequena ilha ao sul de Creta (</w:t>
      </w:r>
      <w:hyperlink r:id="rId4632">
        <w:r>
          <w:rPr>
            <w:color w:val="0000EE"/>
            <w:u w:val="single"/>
          </w:rPr>
          <w:t>At 27.16</w:t>
        </w:r>
      </w:hyperlink>
      <w:r>
        <w:t>).</w:t>
      </w:r>
    </w:p>
    <w:p>
      <w:r/>
      <w:r>
        <w:rPr>
          <w:i/>
        </w:rPr>
        <w:t>Veja</w:t>
      </w:r>
      <w:r>
        <w:t xml:space="preserve"> </w:t>
      </w:r>
      <w:r>
        <w:t>Cauda</w:t>
      </w:r>
      <w:r>
        <w:t>.</w:t>
      </w:r>
      <w:r/>
      <w:r/>
    </w:p>
    <w:p>
      <w:r/>
    </w:p>
    <w:p>
      <w:pPr>
        <w:pStyle w:val="Heading2"/>
      </w:pPr>
      <w:r>
        <w:t>Cláudio</w:t>
      </w:r>
      <w:r/>
    </w:p>
    <w:p>
      <w:r/>
      <w:r>
        <w:t>Cláudio foi o Imperador do Império Romano de 41 a 54 d.C. Ele é mencionado duas vezes no Novo Testamento (</w:t>
      </w:r>
      <w:hyperlink r:id="rId2857">
        <w:r>
          <w:rPr>
            <w:color w:val="0000EE"/>
            <w:u w:val="single"/>
          </w:rPr>
          <w:t>At 11.28</w:t>
        </w:r>
      </w:hyperlink>
      <w:r>
        <w:t xml:space="preserve">; </w:t>
      </w:r>
      <w:hyperlink r:id="rId3066">
        <w:r>
          <w:rPr>
            <w:color w:val="0000EE"/>
            <w:u w:val="single"/>
          </w:rPr>
          <w:t>18.2</w:t>
        </w:r>
      </w:hyperlink>
      <w:r>
        <w:t>).</w:t>
      </w:r>
    </w:p>
    <w:p>
      <w:pPr>
        <w:pStyle w:val="Heading3"/>
      </w:pPr>
      <w:r>
        <w:t>Início da vida e ascensão ao poder</w:t>
      </w:r>
    </w:p>
    <w:p>
      <w:r/>
      <w:r>
        <w:t>Cláudio nasceu em 10 a.C. em Lyon, uma cidade que hoje fica na França. Seu nome completo era Tibério Cláudio Germânico. Ele era sobrinho do Imperador Tibério e neto de Lívia, que foi esposa de Augusto.</w:t>
      </w:r>
    </w:p>
    <w:p>
      <w:r/>
      <w:r>
        <w:t>Em 37 d.C., o Imperador Calígula nomeou Cláudio como cônsul (um líder de alto escalão do governo). Quando Calígula morreu, a Guarda Pretoriana (os guarda-costas do Imperador) escolheu Cláudio para ser o próximo Imperador. O Senado Romano concordou com a escolha deles.</w:t>
      </w:r>
    </w:p>
    <w:p>
      <w:pPr>
        <w:pStyle w:val="Heading3"/>
      </w:pPr>
      <w:r>
        <w:t>O início do governo de Cláudio e a amizade com Herodes Agripa</w:t>
      </w:r>
    </w:p>
    <w:p>
      <w:r/>
      <w:r>
        <w:t>Quando Cláudio se tornou Imperador, ele tentou reparar os danos causados pelo governo severo de Calígula. Calígula havia tratado mal muitas pessoas, incluindo o povo judeu em Alexandria, no Egito.</w:t>
      </w:r>
    </w:p>
    <w:p>
      <w:r/>
      <w:r>
        <w:t>Cláudio interrompeu a perseguição aos judeus lá. O historiador judeu Josefo relatou que Cláudio enviou uma mensagem importante ao Egito. Nela, Cláudio declarou: “Tibério Cláudio César Augusto Germânico, sumo sacerdote e tribuno (oficial) do povo, ordena o seguinte… Quero garantir que certos direitos e privilégios dos judeus não sejam retirados por conta da loucura de Gaio. Eles devem continuar a ter os direitos e privilégios que possuíam antes e poder seguir seus próprios costumes”.</w:t>
      </w:r>
    </w:p>
    <w:p>
      <w:r/>
      <w:r>
        <w:t>Essa decisão mostrou que Cláudio era amigo de Herodes Agripa. Agripa havia ajudado Cláudio a tornar-se Imperador.</w:t>
      </w:r>
    </w:p>
    <w:p>
      <w:r/>
      <w:r>
        <w:t>Para agradecê-lo, Cláudio deu a Agripa o controle sobre a Judeia e Samaria. Essas terras haviam pertencido ao avô de Agripa, Herodes, o Grande.</w:t>
      </w:r>
    </w:p>
    <w:p>
      <w:r/>
      <w:r>
        <w:t>Cláudio confiava tanto em Agripa que retirou a Judeia do domínio romano direto e permitiu que Agripa a governasse.</w:t>
      </w:r>
    </w:p>
    <w:p>
      <w:pPr>
        <w:pStyle w:val="Heading3"/>
      </w:pPr>
      <w:r>
        <w:t>A morte de Herodes Agripa</w:t>
      </w:r>
    </w:p>
    <w:p>
      <w:r/>
      <w:r>
        <w:t>Herodes Agripa não governou por muito tempo. Para agradar os líderes judeus, ele matou Tiago, o filho de Zebedeu. Ele também colocou Pedro na prisão e planejou matá-lo após a festa da Páscoa na primavera de 44 d.C (</w:t>
      </w:r>
      <w:hyperlink r:id="rId5001">
        <w:r>
          <w:rPr>
            <w:color w:val="0000EE"/>
            <w:u w:val="single"/>
          </w:rPr>
          <w:t>At 12.1–5</w:t>
        </w:r>
      </w:hyperlink>
      <w:r>
        <w:t>). Mas Pedro escapou.</w:t>
      </w:r>
    </w:p>
    <w:p>
      <w:r/>
      <w:r>
        <w:t>No verão daquele mesmo ano, Agripa fez um discurso público. Ele vestiu uma túnica feita com fios de prata que brilhavam à luz do sol. Ele se sentou em seu trono enquanto falava. O povo gritou que ele era um deus (</w:t>
      </w:r>
      <w:hyperlink r:id="rId5002">
        <w:r>
          <w:rPr>
            <w:color w:val="0000EE"/>
            <w:u w:val="single"/>
          </w:rPr>
          <w:t>At 12.22</w:t>
        </w:r>
      </w:hyperlink>
      <w:r>
        <w:t>). Imediatamente, ele foi ferido por um anjo do Senhor. Cinco dias depois, ele morreu.</w:t>
      </w:r>
    </w:p>
    <w:p>
      <w:r/>
      <w:r>
        <w:t>Cláudio tentou manter boas relações com o povo judeu. No entanto, cinco anos após a morte de Agripa, Cláudio ordenou que todos os judeus deixassem a cidade de Roma.</w:t>
      </w:r>
    </w:p>
    <w:p>
      <w:r/>
      <w:r>
        <w:t>Lucas escreveu que Áquila e Priscila estavam entre aqueles forçados a sair (</w:t>
      </w:r>
      <w:hyperlink r:id="rId3066">
        <w:r>
          <w:rPr>
            <w:color w:val="0000EE"/>
            <w:u w:val="single"/>
          </w:rPr>
          <w:t>At 18.2</w:t>
        </w:r>
      </w:hyperlink>
      <w:r>
        <w:t>). O escritor romano Suetônio explicou que Cláudio expulsou os judeus porque eles frequentemente se revoltavam. Ele disse que os tumultos eram iniciados por alguém chamado “Chrestus”.</w:t>
      </w:r>
    </w:p>
    <w:p>
      <w:r/>
      <w:r>
        <w:t>“Chrestus” era um nome comum para escravos, mas soava quase igual a “Christus”, que é latim para Cristo.</w:t>
      </w:r>
    </w:p>
    <w:p>
      <w:r/>
      <w:r>
        <w:t>Suetônio pode ter querido dizer que esses problemas estavam relacionados a pessoas que seguiam Cristo. Ele parecia pensar que "Chrestus" era o líder de um novo movimento, provavelmente o cristianismo.</w:t>
      </w:r>
    </w:p>
    <w:p>
      <w:pPr>
        <w:pStyle w:val="Heading3"/>
      </w:pPr>
      <w:r>
        <w:t>Fomes durante o governo de Cláudio</w:t>
      </w:r>
    </w:p>
    <w:p>
      <w:r/>
      <w:r>
        <w:t xml:space="preserve">Quando Cláudio se tornou Imperador, houve uma grave escassez de grãos. Isso ocorreu principalmente devido à má liderança de Calígula antes dele (cp. </w:t>
      </w:r>
      <w:hyperlink r:id="rId2857">
        <w:r>
          <w:rPr>
            <w:color w:val="0000EE"/>
            <w:u w:val="single"/>
          </w:rPr>
          <w:t>At 11.28</w:t>
        </w:r>
      </w:hyperlink>
      <w:r>
        <w:t>). O historiador Josefo escreveu que, durante o tempo de Cláudio, Judeia, Samaria e Galileia sofreram com a fome.</w:t>
      </w:r>
    </w:p>
    <w:p>
      <w:r/>
      <w:r>
        <w:t>Para ajudar o povo em Jerusalém, Helena (a mãe do rei de Adiabene) comprou grãos do Egito e figos secos de Chipre. Isso provavelmente aconteceu por volta de 45–46 d.C.</w:t>
      </w:r>
    </w:p>
    <w:p>
      <w:r/>
      <w:r>
        <w:t>Outros escritores antigos, como Tácito, Suetônio e Eusébio, também mencionaram que fomes ocorriam frequentemente em Roma e em outros lugares. As colheitas eram pequenas, e os alimentos não eram bem distribuídos ou entregues.</w:t>
      </w:r>
    </w:p>
    <w:p>
      <w:pPr>
        <w:pStyle w:val="Heading3"/>
      </w:pPr>
      <w:r>
        <w:t>Família de Cláudio</w:t>
      </w:r>
    </w:p>
    <w:p>
      <w:r/>
      <w:r>
        <w:t>Cláudio teve uma vida familiar complicada. Sua terceira esposa, Messalina, foi condenada à morte devido às suas ações imorais.</w:t>
      </w:r>
    </w:p>
    <w:p>
      <w:r/>
      <w:r>
        <w:t>Depois disso, Cláudio casou-se com sua sobrinha, Agripina. Ela tinha um filho chamado Nero de um casamento anterior.</w:t>
      </w:r>
    </w:p>
    <w:p>
      <w:r/>
      <w:r>
        <w:t>Agripina desejava que Nero se tornasse Imperador em vez do próprio filho de Cláudio, Britânico. Britânico era filho de Messalina e deveria ser o próximo Imperador.</w:t>
      </w:r>
    </w:p>
    <w:p>
      <w:pPr>
        <w:pStyle w:val="Heading3"/>
      </w:pPr>
      <w:r>
        <w:t>Morte e legado de Cláudio</w:t>
      </w:r>
    </w:p>
    <w:p>
      <w:r/>
      <w:r>
        <w:t>Em 54 d.C., Cláudio escolheu Britânico para se tornar o próximo Imperador.</w:t>
      </w:r>
    </w:p>
    <w:p>
      <w:r/>
      <w:r>
        <w:t>Mas Agripina queria que seu próprio filho, Nero, governasse. Ela envenenou Cláudio para que Nero pudesse assumir o trono.</w:t>
      </w:r>
    </w:p>
    <w:p>
      <w:r/>
      <w:r>
        <w:t>Após a morte de Cláudio, o Senado o declarou como um deus. Ele foi o terceiro imperador romano a receber essa honra.</w:t>
      </w:r>
    </w:p>
    <w:p>
      <w:r/>
      <w:r>
        <w:rPr>
          <w:i/>
        </w:rPr>
        <w:t>Veja também</w:t>
      </w:r>
      <w:r>
        <w:t xml:space="preserve"> </w:t>
      </w:r>
      <w:r>
        <w:t>Césares, Os</w:t>
      </w:r>
      <w:r>
        <w:t>.</w:t>
      </w:r>
      <w:r/>
      <w:r/>
    </w:p>
    <w:p>
      <w:r/>
    </w:p>
    <w:p>
      <w:pPr>
        <w:pStyle w:val="Heading2"/>
      </w:pPr>
      <w:r>
        <w:t>Cláudio Lísias</w:t>
      </w:r>
      <w:r/>
    </w:p>
    <w:p>
      <w:r/>
      <w:r>
        <w:t>Comandante da guarnição romana em Jerusalém que escreveu uma carta ao procurador romano Félix a respeito do apóstolo Paulo (</w:t>
      </w:r>
      <w:hyperlink r:id="rId2838">
        <w:r>
          <w:rPr>
            <w:color w:val="0000EE"/>
            <w:u w:val="single"/>
          </w:rPr>
          <w:t>At 23.26</w:t>
        </w:r>
      </w:hyperlink>
      <w:r>
        <w:t>). Seu título em grego (</w:t>
      </w:r>
      <w:r>
        <w:rPr>
          <w:i/>
        </w:rPr>
        <w:t>chiliarch</w:t>
      </w:r>
      <w:r>
        <w:t>) o identifica como comandante de 1.000 tropas. Embora Cláudio Lísias seja desconhecido fora do NT, algumas informações sobre ele são fornecidas pelo livro de Atos. Seu sobrenome Lísias é grego. O nome romano Cláudio foi evidentemente adotado na época em que ele adquiriu sua cidadania romana (</w:t>
      </w:r>
      <w:hyperlink r:id="rId4780">
        <w:r>
          <w:rPr>
            <w:color w:val="0000EE"/>
            <w:u w:val="single"/>
          </w:rPr>
          <w:t>22.28</w:t>
        </w:r>
      </w:hyperlink>
      <w:r>
        <w:t>).</w:t>
      </w:r>
    </w:p>
    <w:p>
      <w:r/>
      <w:r>
        <w:t>Estacionado na fortaleza Antônia, com vista para o setor norte da área do Templo em Jerusalém, ele resgatou Paulo de uma multidão judaica que estava prestes a matá-lo ali. Ele permitiu que Paulo falasse aos judeus de uma das duas escadarias que levavam do Pátio dos Gentios no Templo até a Antônia (</w:t>
      </w:r>
      <w:hyperlink r:id="rId5003">
        <w:r>
          <w:rPr>
            <w:color w:val="0000EE"/>
            <w:u w:val="single"/>
          </w:rPr>
          <w:t>At 21.40</w:t>
        </w:r>
      </w:hyperlink>
      <w:r>
        <w:t>) e impediu que Paulo fosse açoitado quando soube da cidadania romana de Paulo (</w:t>
      </w:r>
      <w:hyperlink r:id="rId5004">
        <w:r>
          <w:rPr>
            <w:color w:val="0000EE"/>
            <w:u w:val="single"/>
          </w:rPr>
          <w:t>22.22–29</w:t>
        </w:r>
      </w:hyperlink>
      <w:r>
        <w:t>). Cláudio Lísias enviou Paulo secretamente para Cesareia sob forte escolta quando o sobrinho de Paulo informou o tribuno sobre um complô judaico para assassinar o apóstolo em Jerusalém (</w:t>
      </w:r>
      <w:hyperlink r:id="rId5005">
        <w:r>
          <w:rPr>
            <w:color w:val="0000EE"/>
            <w:u w:val="single"/>
          </w:rPr>
          <w:t>23.16–35</w:t>
        </w:r>
      </w:hyperlink>
      <w:r>
        <w:t>).</w:t>
      </w:r>
    </w:p>
    <w:p>
      <w:r/>
      <w:r>
        <w:t>Não se sabe como Lucas, o autor de Atos, obteve uma cópia da carta oficial sobre Paulo escrita por Cláudio para Félix, o governador, mas o documento oferece uma importante defesa do caráter e da conduta de Paulo diante das acusações de seus oponentes.</w:t>
      </w:r>
      <w:r/>
      <w:r/>
    </w:p>
    <w:p>
      <w:r/>
    </w:p>
    <w:p>
      <w:pPr>
        <w:pStyle w:val="Heading2"/>
      </w:pPr>
      <w:r>
        <w:t>Cleantes</w:t>
      </w:r>
      <w:r/>
    </w:p>
    <w:p>
      <w:r/>
      <w:r>
        <w:t>O líder da escola de filosofia Estoica em Atenas de 269 a 232 a.C. Os estoicos eram pessoas que seguiam um tipo de filosofia (uma maneira de pensar sobre a vida) que começou na Grécia antiga. Essa filosofia era chamada de "Estoicismo".</w:t>
      </w:r>
    </w:p>
    <w:p>
      <w:r/>
      <w:r>
        <w:t>Cleantes escreveu um poema chamado "Hino a Zeus". Outro poeta estoico chamado Arato mais tarde adaptou partes deste poema quando escreveu seu próprio poema chamado "Fenômenos". Séculos depois, o apóstolo Paulo citou a quinta linha de "Fenômenos". Ele estava falando a uma multidão no Areópago em Atenas. Paulo citou as palavras: "Somos sua descendência" (</w:t>
      </w:r>
      <w:hyperlink r:id="rId2411">
        <w:r>
          <w:rPr>
            <w:color w:val="0000EE"/>
            <w:u w:val="single"/>
          </w:rPr>
          <w:t>At 17.28</w:t>
        </w:r>
      </w:hyperlink>
      <w:r>
        <w:t>).</w:t>
      </w:r>
    </w:p>
    <w:p>
      <w:r/>
      <w:r>
        <w:rPr>
          <w:i/>
        </w:rPr>
        <w:t>Veja</w:t>
      </w:r>
      <w:r>
        <w:t xml:space="preserve"> </w:t>
      </w:r>
      <w:r>
        <w:t>Estoicismo, Estoicos</w:t>
      </w:r>
      <w:r>
        <w:t>.</w:t>
      </w:r>
      <w:r/>
      <w:r/>
    </w:p>
    <w:p>
      <w:r/>
    </w:p>
    <w:p>
      <w:pPr>
        <w:pStyle w:val="Heading2"/>
      </w:pPr>
      <w:r>
        <w:t>Cleópatra</w:t>
      </w:r>
      <w:r/>
    </w:p>
    <w:p>
      <w:r/>
      <w:r>
        <w:t>Cleópatra era o nome de uma rainha do Egito e de sua filha, mencionadas nos Apócrifos e nos escritos do historiador judeu Flávio Josefo.</w:t>
      </w:r>
    </w:p>
    <w:p>
      <w:pPr>
        <w:pStyle w:val="ListNumber"/>
        <w:spacing w:line="240" w:lineRule="auto"/>
        <w:ind w:left="720"/>
      </w:pPr>
      <w:r/>
      <w:r>
        <w:t>Cleópatra, Esposa de Ptolemeu VI Filométor: Esta Cleópatra foi provavelmente a esposa de Ptolemeu VI Filométor, que governou o Egito de 181 a 146 a.C. Durante o quarto ano do reinado de Ptolemeu, Dositheus, alegando ser um sacerdote levita e filho de Ptolemeu, trouxe a Carta de Purim para o Egito (</w:t>
      </w:r>
      <w:hyperlink r:id="rId5006">
        <w:r>
          <w:rPr>
            <w:color w:val="0000EE"/>
            <w:u w:val="single"/>
          </w:rPr>
          <w:t>Adições a Ester 11.1</w:t>
        </w:r>
      </w:hyperlink>
      <w:r>
        <w:t>). Esta "carta" provavelmente se refere não apenas à carta de Mordecai (</w:t>
      </w:r>
      <w:hyperlink r:id="rId5007">
        <w:r>
          <w:rPr>
            <w:color w:val="0000EE"/>
            <w:u w:val="single"/>
          </w:rPr>
          <w:t>Et 9.20–22</w:t>
        </w:r>
      </w:hyperlink>
      <w:r>
        <w:t>), mas também à tradução grega do livro de Ester por Lisímaco.</w:t>
      </w:r>
    </w:p>
    <w:p>
      <w:pPr>
        <w:pStyle w:val="ListNumber"/>
        <w:spacing w:line="240" w:lineRule="auto"/>
        <w:ind w:left="720"/>
      </w:pPr>
      <w:r/>
      <w:r>
        <w:t>Cleópatra, Filha de Ptolemeu VI Filométor: Esta Cleópatra, provavelmente a filha da rainha mencionada anteriormente, casou-se com Alexandre Epifânio após sua conquista da Síria. Ele governou a Síria de 150 a 145 a.C. (</w:t>
      </w:r>
      <w:hyperlink r:id="rId5008">
        <w:r>
          <w:rPr>
            <w:color w:val="0000EE"/>
            <w:u w:val="single"/>
          </w:rPr>
          <w:t>1Mc 10.57–58</w:t>
        </w:r>
      </w:hyperlink>
      <w:r>
        <w:t>).</w:t>
      </w:r>
    </w:p>
    <w:p>
      <w:r/>
      <w:r>
        <w:t>Mais tarde, o pai de Cleópatra, Ptolemeu VI, a retirou de Alexandre como um sinal de sua raiva e a deu a Demétrio Nicátor durante sua invasão da Síria (</w:t>
      </w:r>
      <w:hyperlink r:id="rId5009">
        <w:r>
          <w:rPr>
            <w:color w:val="0000EE"/>
            <w:u w:val="single"/>
          </w:rPr>
          <w:t>1Mc 11.8–12</w:t>
        </w:r>
      </w:hyperlink>
      <w:r>
        <w:t>). Alexandre foi posteriormente morto em batalha contra as forças combinadas de Ptolemeu e Demétrio. Após Demétrio ser capturado e mantido na Pártia, Cleópatra casou-se com o irmão dele, Antíoco VII (Sidetes), que se tornou o governante da Síria em 137 a.C.</w:t>
      </w:r>
      <w:r/>
      <w:r/>
    </w:p>
    <w:p>
      <w:r/>
    </w:p>
    <w:p>
      <w:pPr>
        <w:pStyle w:val="Heading2"/>
      </w:pPr>
      <w:r>
        <w:t>Clopas</w:t>
      </w:r>
      <w:r/>
    </w:p>
    <w:p>
      <w:r/>
      <w:r>
        <w:t>O marido de Maria, uma das mulheres que estava lá quando Jesus foi crucificado (</w:t>
      </w:r>
      <w:hyperlink r:id="rId751">
        <w:r>
          <w:rPr>
            <w:color w:val="0000EE"/>
            <w:u w:val="single"/>
          </w:rPr>
          <w:t>Jo 19.25</w:t>
        </w:r>
      </w:hyperlink>
      <w:r>
        <w:t>). No texto grego, não está claro se Maria, esposa de Clopas, também era irmã da mãe de Jesus ou se era uma pessoa diferente. Existem três ideias diferentes sobre quem Clopas poderia ter sido:</w:t>
      </w:r>
    </w:p>
    <w:p>
      <w:pPr>
        <w:pStyle w:val="ListNumber"/>
        <w:spacing w:line="240" w:lineRule="auto"/>
        <w:ind w:left="720"/>
      </w:pPr>
      <w:r/>
      <w:r>
        <w:t>Alguns dizem que Clopas era irmão de José.</w:t>
      </w:r>
    </w:p>
    <w:p>
      <w:pPr>
        <w:pStyle w:val="ListNumber"/>
        <w:spacing w:line="240" w:lineRule="auto"/>
        <w:ind w:left="720"/>
      </w:pPr>
      <w:r/>
      <w:r>
        <w:t xml:space="preserve">Alguns o conectam a Cleopas, que aparece em </w:t>
      </w:r>
      <w:hyperlink r:id="rId5010">
        <w:r>
          <w:rPr>
            <w:color w:val="0000EE"/>
            <w:u w:val="single"/>
          </w:rPr>
          <w:t>Lucas 24.18.</w:t>
        </w:r>
      </w:hyperlink>
      <w:r>
        <w:t xml:space="preserve"> No entanto, o nome "Clopas" vem do hebraico, enquanto "Cleopas" vem do grego.</w:t>
      </w:r>
    </w:p>
    <w:p>
      <w:pPr>
        <w:pStyle w:val="ListNumber"/>
        <w:spacing w:line="240" w:lineRule="auto"/>
        <w:ind w:left="720"/>
      </w:pPr>
      <w:r/>
      <w:r>
        <w:t>Alguns acreditam que ele pode ser a mesma pessoa que Alfeu. Isso só seria possível se Tiago, filho de Alfeu (</w:t>
      </w:r>
      <w:hyperlink r:id="rId747">
        <w:r>
          <w:rPr>
            <w:color w:val="0000EE"/>
            <w:u w:val="single"/>
          </w:rPr>
          <w:t>Mt 10.3</w:t>
        </w:r>
      </w:hyperlink>
      <w:r>
        <w:t xml:space="preserve">; </w:t>
      </w:r>
      <w:hyperlink r:id="rId749">
        <w:r>
          <w:rPr>
            <w:color w:val="0000EE"/>
            <w:u w:val="single"/>
          </w:rPr>
          <w:t>Lc 6.15</w:t>
        </w:r>
      </w:hyperlink>
      <w:r>
        <w:t xml:space="preserve">; </w:t>
      </w:r>
      <w:hyperlink r:id="rId750">
        <w:r>
          <w:rPr>
            <w:color w:val="0000EE"/>
            <w:u w:val="single"/>
          </w:rPr>
          <w:t>At 1.13</w:t>
        </w:r>
      </w:hyperlink>
      <w:r>
        <w:t>) for o mesmo que Tiago, filho de Maria (</w:t>
      </w:r>
      <w:hyperlink r:id="rId5011">
        <w:r>
          <w:rPr>
            <w:color w:val="0000EE"/>
            <w:u w:val="single"/>
          </w:rPr>
          <w:t>Mt 27.56</w:t>
        </w:r>
      </w:hyperlink>
      <w:r>
        <w:t xml:space="preserve">; </w:t>
      </w:r>
      <w:hyperlink r:id="rId5012">
        <w:r>
          <w:rPr>
            <w:color w:val="0000EE"/>
            <w:u w:val="single"/>
          </w:rPr>
          <w:t>Mc 15.40</w:t>
        </w:r>
      </w:hyperlink>
      <w:r>
        <w:t xml:space="preserve">). Maria também precisa ser a mesma pessoa mencionada em </w:t>
      </w:r>
      <w:hyperlink r:id="rId751">
        <w:r>
          <w:rPr>
            <w:color w:val="0000EE"/>
            <w:u w:val="single"/>
          </w:rPr>
          <w:t>João 19.25</w:t>
        </w:r>
      </w:hyperlink>
      <w:r>
        <w:t>.</w:t>
      </w:r>
    </w:p>
    <w:p>
      <w:r/>
      <w:r>
        <w:t>Essas são todas ideias possíveis, mas não podemos ter certeza. Clopas, Cleopas e Alfeu podem ser pessoas diferentes.</w:t>
      </w:r>
      <w:r/>
      <w:r/>
    </w:p>
    <w:p>
      <w:r/>
    </w:p>
    <w:p>
      <w:pPr>
        <w:pStyle w:val="Heading2"/>
      </w:pPr>
      <w:r>
        <w:t>Cnido</w:t>
      </w:r>
      <w:r/>
    </w:p>
    <w:p>
      <w:r/>
      <w:r>
        <w:t>Uma cidade portuária localizada no canto sudoeste da Ásia Menor. O navio do apóstolo Paulo passou por este porto enquanto ele viajava para a Itália (</w:t>
      </w:r>
      <w:hyperlink r:id="rId5013">
        <w:r>
          <w:rPr>
            <w:color w:val="0000EE"/>
            <w:u w:val="single"/>
          </w:rPr>
          <w:t>At 27.7</w:t>
        </w:r>
      </w:hyperlink>
      <w:r>
        <w:t>). Durante o segundo século a.C., o povo judeu havia estabelecido uma comunidade ali (</w:t>
      </w:r>
      <w:hyperlink r:id="rId2617">
        <w:r>
          <w:rPr>
            <w:color w:val="0000EE"/>
            <w:u w:val="single"/>
          </w:rPr>
          <w:t>1Mc 15.23</w:t>
        </w:r>
      </w:hyperlink>
      <w:r>
        <w:t>). Cnido foi originalmente construída em uma ilha, mas hoje essa ilha está conectada ao continente por um banco de areia (uma faixa estreita de areia).</w:t>
      </w:r>
      <w:r/>
      <w:r/>
    </w:p>
    <w:p>
      <w:r/>
    </w:p>
    <w:p>
      <w:pPr>
        <w:pStyle w:val="Heading2"/>
      </w:pPr>
      <w:r>
        <w:t>Coate, coatitas</w:t>
      </w:r>
      <w:r/>
    </w:p>
    <w:p>
      <w:r/>
      <w:r>
        <w:t>Filho de Levi (</w:t>
      </w:r>
      <w:hyperlink r:id="rId5014">
        <w:r>
          <w:rPr>
            <w:color w:val="0000EE"/>
            <w:u w:val="single"/>
          </w:rPr>
          <w:t>Gn 46.11</w:t>
        </w:r>
      </w:hyperlink>
      <w:r>
        <w:t xml:space="preserve">; </w:t>
      </w:r>
      <w:hyperlink r:id="rId5015">
        <w:r>
          <w:rPr>
            <w:color w:val="0000EE"/>
            <w:u w:val="single"/>
          </w:rPr>
          <w:t>Êx 6.16</w:t>
        </w:r>
      </w:hyperlink>
      <w:r>
        <w:t>), pai de Amrão, Isar, Hebrom e Uziel (</w:t>
      </w:r>
      <w:hyperlink r:id="rId5016">
        <w:r>
          <w:rPr>
            <w:color w:val="0000EE"/>
            <w:u w:val="single"/>
          </w:rPr>
          <w:t>Êx 6.18</w:t>
        </w:r>
      </w:hyperlink>
      <w:r>
        <w:t xml:space="preserve">; </w:t>
      </w:r>
      <w:hyperlink r:id="rId5017">
        <w:r>
          <w:rPr>
            <w:color w:val="0000EE"/>
            <w:u w:val="single"/>
          </w:rPr>
          <w:t>Nm 3.19,27</w:t>
        </w:r>
      </w:hyperlink>
      <w:r>
        <w:t xml:space="preserve">; </w:t>
      </w:r>
      <w:hyperlink r:id="rId5018">
        <w:r>
          <w:rPr>
            <w:color w:val="0000EE"/>
            <w:u w:val="single"/>
          </w:rPr>
          <w:t>1Cr 6.2</w:t>
        </w:r>
      </w:hyperlink>
      <w:r>
        <w:t>), e progenitor da ramificação coatita das famílias levíticas que eram responsáveis pelo serviço do tabernáculo (</w:t>
      </w:r>
      <w:hyperlink r:id="rId5019">
        <w:r>
          <w:rPr>
            <w:color w:val="0000EE"/>
            <w:u w:val="single"/>
          </w:rPr>
          <w:t>Nm 3.31–32</w:t>
        </w:r>
      </w:hyperlink>
      <w:r>
        <w:t>). Moisés, Arão e Miriã eram descendentes de Coate (</w:t>
      </w:r>
      <w:hyperlink r:id="rId2373">
        <w:r>
          <w:rPr>
            <w:color w:val="0000EE"/>
            <w:u w:val="single"/>
          </w:rPr>
          <w:t>Êx 6.18–20</w:t>
        </w:r>
      </w:hyperlink>
      <w:r>
        <w:t xml:space="preserve">; </w:t>
      </w:r>
      <w:hyperlink r:id="rId2371">
        <w:r>
          <w:rPr>
            <w:color w:val="0000EE"/>
            <w:u w:val="single"/>
          </w:rPr>
          <w:t>Nm 26.59</w:t>
        </w:r>
      </w:hyperlink>
      <w:r>
        <w:t xml:space="preserve">; </w:t>
      </w:r>
      <w:hyperlink r:id="rId126">
        <w:r>
          <w:rPr>
            <w:color w:val="0000EE"/>
            <w:u w:val="single"/>
          </w:rPr>
          <w:t>1Cr 6.3</w:t>
        </w:r>
      </w:hyperlink>
      <w:r>
        <w:t xml:space="preserve">; </w:t>
      </w:r>
      <w:hyperlink r:id="rId5020">
        <w:r>
          <w:rPr>
            <w:color w:val="0000EE"/>
            <w:u w:val="single"/>
          </w:rPr>
          <w:t>23.13–17</w:t>
        </w:r>
      </w:hyperlink>
      <w:r>
        <w:t>).</w:t>
      </w:r>
    </w:p>
    <w:p>
      <w:r/>
      <w:r>
        <w:t>As três principais divisões da tribo de Levi eram Gérson, Coate e Merari, que eram tradicionalmente considerados os filhos originais de Levi (</w:t>
      </w:r>
      <w:hyperlink r:id="rId5014">
        <w:r>
          <w:rPr>
            <w:color w:val="0000EE"/>
            <w:u w:val="single"/>
          </w:rPr>
          <w:t>Gn 46.11</w:t>
        </w:r>
      </w:hyperlink>
      <w:r>
        <w:t xml:space="preserve">; </w:t>
      </w:r>
      <w:hyperlink r:id="rId5015">
        <w:r>
          <w:rPr>
            <w:color w:val="0000EE"/>
            <w:u w:val="single"/>
          </w:rPr>
          <w:t>Êx 6.16</w:t>
        </w:r>
      </w:hyperlink>
      <w:r>
        <w:t xml:space="preserve">; </w:t>
      </w:r>
      <w:hyperlink r:id="rId5021">
        <w:r>
          <w:rPr>
            <w:color w:val="0000EE"/>
            <w:u w:val="single"/>
          </w:rPr>
          <w:t>Nm 3.17</w:t>
        </w:r>
      </w:hyperlink>
      <w:r>
        <w:t xml:space="preserve">; </w:t>
      </w:r>
      <w:hyperlink r:id="rId5022">
        <w:r>
          <w:rPr>
            <w:color w:val="0000EE"/>
            <w:u w:val="single"/>
          </w:rPr>
          <w:t>1Cr 6.1,16</w:t>
        </w:r>
      </w:hyperlink>
      <w:r>
        <w:t xml:space="preserve">; </w:t>
      </w:r>
      <w:hyperlink r:id="rId5023">
        <w:r>
          <w:rPr>
            <w:color w:val="0000EE"/>
            <w:u w:val="single"/>
          </w:rPr>
          <w:t>23.6</w:t>
        </w:r>
      </w:hyperlink>
      <w:r>
        <w:t xml:space="preserve">). Os coatitas, portanto, eram uma família levítica proeminente. A ordem de seus nomes em </w:t>
      </w:r>
      <w:hyperlink r:id="rId2446">
        <w:r>
          <w:rPr>
            <w:color w:val="0000EE"/>
            <w:u w:val="single"/>
          </w:rPr>
          <w:t>Números 4</w:t>
        </w:r>
      </w:hyperlink>
      <w:r>
        <w:t xml:space="preserve">, </w:t>
      </w:r>
      <w:hyperlink r:id="rId4886">
        <w:r>
          <w:rPr>
            <w:color w:val="0000EE"/>
            <w:u w:val="single"/>
          </w:rPr>
          <w:t>Josué 21</w:t>
        </w:r>
      </w:hyperlink>
      <w:r>
        <w:t xml:space="preserve">, </w:t>
      </w:r>
      <w:hyperlink r:id="rId5024">
        <w:r>
          <w:rPr>
            <w:color w:val="0000EE"/>
            <w:u w:val="single"/>
          </w:rPr>
          <w:t>1 Crônicas 6.16</w:t>
        </w:r>
      </w:hyperlink>
      <w:r>
        <w:t xml:space="preserve"> e </w:t>
      </w:r>
      <w:hyperlink r:id="rId5025">
        <w:r>
          <w:rPr>
            <w:color w:val="0000EE"/>
            <w:u w:val="single"/>
          </w:rPr>
          <w:t>2 Crônicas 29.12</w:t>
        </w:r>
      </w:hyperlink>
      <w:r>
        <w:t xml:space="preserve"> indica que lhes foi atribuído um cargo mais honroso do que a Gérson ou Merari. Sua posição e responsabilidades — seja referidos como “os coatitas” ou “os filhos de Coate” — são mencionadas ao longo dos primeiros escritos dos hebreus (</w:t>
      </w:r>
      <w:hyperlink r:id="rId5016">
        <w:r>
          <w:rPr>
            <w:color w:val="0000EE"/>
            <w:u w:val="single"/>
          </w:rPr>
          <w:t>Êx 6.18</w:t>
        </w:r>
      </w:hyperlink>
      <w:r>
        <w:t xml:space="preserve">; </w:t>
      </w:r>
      <w:hyperlink r:id="rId5026">
        <w:r>
          <w:rPr>
            <w:color w:val="0000EE"/>
            <w:u w:val="single"/>
          </w:rPr>
          <w:t>Nm 3.19,27–30</w:t>
        </w:r>
      </w:hyperlink>
      <w:r>
        <w:t xml:space="preserve">; </w:t>
      </w:r>
      <w:hyperlink r:id="rId5027">
        <w:r>
          <w:rPr>
            <w:color w:val="0000EE"/>
            <w:u w:val="single"/>
          </w:rPr>
          <w:t>4.2–4,15,18,34,37</w:t>
        </w:r>
      </w:hyperlink>
      <w:r>
        <w:t xml:space="preserve">; </w:t>
      </w:r>
      <w:hyperlink r:id="rId5028">
        <w:r>
          <w:rPr>
            <w:color w:val="0000EE"/>
            <w:u w:val="single"/>
          </w:rPr>
          <w:t>7.9</w:t>
        </w:r>
      </w:hyperlink>
      <w:r>
        <w:t xml:space="preserve">; </w:t>
      </w:r>
      <w:hyperlink r:id="rId5029">
        <w:r>
          <w:rPr>
            <w:color w:val="0000EE"/>
            <w:u w:val="single"/>
          </w:rPr>
          <w:t>10.21</w:t>
        </w:r>
      </w:hyperlink>
      <w:r>
        <w:t xml:space="preserve">; </w:t>
      </w:r>
      <w:hyperlink r:id="rId5030">
        <w:r>
          <w:rPr>
            <w:color w:val="0000EE"/>
            <w:u w:val="single"/>
          </w:rPr>
          <w:t>26.57</w:t>
        </w:r>
      </w:hyperlink>
      <w:r>
        <w:t xml:space="preserve">; </w:t>
      </w:r>
      <w:hyperlink r:id="rId5031">
        <w:r>
          <w:rPr>
            <w:color w:val="0000EE"/>
            <w:u w:val="single"/>
          </w:rPr>
          <w:t>Js 21.4–5,10,20,26</w:t>
        </w:r>
      </w:hyperlink>
      <w:r>
        <w:t xml:space="preserve">; </w:t>
      </w:r>
      <w:hyperlink r:id="rId5032">
        <w:r>
          <w:rPr>
            <w:color w:val="0000EE"/>
            <w:u w:val="single"/>
          </w:rPr>
          <w:t>1Cr 6.2,18,22,33,54,61,66,70</w:t>
        </w:r>
      </w:hyperlink>
      <w:r>
        <w:t xml:space="preserve">; </w:t>
      </w:r>
      <w:hyperlink r:id="rId5033">
        <w:r>
          <w:rPr>
            <w:color w:val="0000EE"/>
            <w:u w:val="single"/>
          </w:rPr>
          <w:t>15.5</w:t>
        </w:r>
      </w:hyperlink>
      <w:r>
        <w:t xml:space="preserve">; </w:t>
      </w:r>
      <w:hyperlink r:id="rId5034">
        <w:r>
          <w:rPr>
            <w:color w:val="0000EE"/>
            <w:u w:val="single"/>
          </w:rPr>
          <w:t>23.12</w:t>
        </w:r>
      </w:hyperlink>
      <w:r>
        <w:t xml:space="preserve">; </w:t>
      </w:r>
      <w:hyperlink r:id="rId5035">
        <w:r>
          <w:rPr>
            <w:color w:val="0000EE"/>
            <w:u w:val="single"/>
          </w:rPr>
          <w:t>2Cr 20.19</w:t>
        </w:r>
      </w:hyperlink>
      <w:r>
        <w:t xml:space="preserve">; </w:t>
      </w:r>
      <w:hyperlink r:id="rId5025">
        <w:r>
          <w:rPr>
            <w:color w:val="0000EE"/>
            <w:u w:val="single"/>
          </w:rPr>
          <w:t>29.12</w:t>
        </w:r>
      </w:hyperlink>
      <w:r>
        <w:t xml:space="preserve">; </w:t>
      </w:r>
      <w:hyperlink r:id="rId5036">
        <w:r>
          <w:rPr>
            <w:color w:val="0000EE"/>
            <w:u w:val="single"/>
          </w:rPr>
          <w:t>34.12</w:t>
        </w:r>
      </w:hyperlink>
      <w:r>
        <w:t>).</w:t>
      </w:r>
    </w:p>
    <w:p>
      <w:r/>
      <w:r>
        <w:t>Durante a peregrinação dos israelitas no deserto após o êxodo do Egito, os coatitas foram designados para uma posição no lado sul do tabernáculo (</w:t>
      </w:r>
      <w:hyperlink r:id="rId5037">
        <w:r>
          <w:rPr>
            <w:color w:val="0000EE"/>
            <w:u w:val="single"/>
          </w:rPr>
          <w:t>Nm 3.29</w:t>
        </w:r>
      </w:hyperlink>
      <w:r>
        <w:t>). Quando o tabernáculo era movido, eles deviam carregar a arca e outros objetos sagrados em seus ombros (</w:t>
      </w:r>
      <w:hyperlink r:id="rId5028">
        <w:r>
          <w:rPr>
            <w:color w:val="0000EE"/>
            <w:u w:val="single"/>
          </w:rPr>
          <w:t>7.9</w:t>
        </w:r>
      </w:hyperlink>
      <w:r>
        <w:t>). Na época da construção do tabernáculo, foi realizado um censo para determinar o número de coatitas do sexo masculino que estariam envolvidos no serviço do Senhor (</w:t>
      </w:r>
      <w:hyperlink r:id="rId5038">
        <w:r>
          <w:rPr>
            <w:color w:val="0000EE"/>
            <w:u w:val="single"/>
          </w:rPr>
          <w:t>3.27–28</w:t>
        </w:r>
      </w:hyperlink>
      <w:r>
        <w:t xml:space="preserve">; </w:t>
      </w:r>
      <w:hyperlink r:id="rId5039">
        <w:r>
          <w:rPr>
            <w:color w:val="0000EE"/>
            <w:u w:val="single"/>
          </w:rPr>
          <w:t>4.1–4,34–37</w:t>
        </w:r>
      </w:hyperlink>
      <w:r>
        <w:t>).</w:t>
      </w:r>
    </w:p>
    <w:p>
      <w:r/>
      <w:r>
        <w:t>Após o assentamento das tribos na terra de Canaã, parecia que o serviço dos coatitas havia terminado. Deus, no entanto, declarou especificamente que eles deveriam ser cuidados da mesma maneira que as outras famílias levíticas. Os coatitas receberam numerosas cidades (</w:t>
      </w:r>
      <w:hyperlink r:id="rId5040">
        <w:r>
          <w:rPr>
            <w:color w:val="0000EE"/>
            <w:u w:val="single"/>
          </w:rPr>
          <w:t>Jos 21.4–5,20–26</w:t>
        </w:r>
      </w:hyperlink>
      <w:r>
        <w:t xml:space="preserve">; </w:t>
      </w:r>
      <w:hyperlink r:id="rId5041">
        <w:r>
          <w:rPr>
            <w:color w:val="0000EE"/>
            <w:u w:val="single"/>
          </w:rPr>
          <w:t>1Cr 6.66–70</w:t>
        </w:r>
      </w:hyperlink>
      <w:r>
        <w:t>).</w:t>
      </w:r>
    </w:p>
    <w:p>
      <w:r/>
      <w:r>
        <w:t>Quando Davi se tornou rei, ele organizou os levitas em três divisões (</w:t>
      </w:r>
      <w:hyperlink r:id="rId5023">
        <w:r>
          <w:rPr>
            <w:color w:val="0000EE"/>
            <w:u w:val="single"/>
          </w:rPr>
          <w:t>1Cr 23.6</w:t>
        </w:r>
      </w:hyperlink>
      <w:r>
        <w:t>). Hemã, que representava os coatitas, foi encarregado do serviço musical na casa do Senhor (</w:t>
      </w:r>
      <w:hyperlink r:id="rId5042">
        <w:r>
          <w:rPr>
            <w:color w:val="0000EE"/>
            <w:u w:val="single"/>
          </w:rPr>
          <w:t>6.31</w:t>
        </w:r>
      </w:hyperlink>
      <w:r>
        <w:t>), e outro grupo de coatitas foi responsável pelo “pão da presença” a cada sábado (</w:t>
      </w:r>
      <w:hyperlink r:id="rId5043">
        <w:r>
          <w:rPr>
            <w:color w:val="0000EE"/>
            <w:u w:val="single"/>
          </w:rPr>
          <w:t>9.32</w:t>
        </w:r>
      </w:hyperlink>
      <w:r>
        <w:t>). Quando Davi trouxe a Arca da Aliança para Jerusalém, Uriel, um coatita, foi comissionado para supervisionar seu transporte (</w:t>
      </w:r>
      <w:hyperlink r:id="rId5044">
        <w:r>
          <w:rPr>
            <w:color w:val="0000EE"/>
            <w:u w:val="single"/>
          </w:rPr>
          <w:t>15.3–5</w:t>
        </w:r>
      </w:hyperlink>
      <w:r>
        <w:t>).</w:t>
      </w:r>
    </w:p>
    <w:p>
      <w:r/>
      <w:r>
        <w:t>Durante o período do reino dividido, as forças combinadas dos moabitas e amonitas atacaram Judá. O rei Josafá admitiu sua incapacidade de repelir os agressores e buscou a ajuda do Senhor. Os coatitas lideraram o povo em um cântico de louvor e provavelmente lideraram o exército quando, na manhã seguinte, o rei e os homens de guerra de Judá saíram contra os invasores (</w:t>
      </w:r>
      <w:hyperlink r:id="rId5045">
        <w:r>
          <w:rPr>
            <w:color w:val="0000EE"/>
            <w:u w:val="single"/>
          </w:rPr>
          <w:t>2Cr 20.19–22</w:t>
        </w:r>
      </w:hyperlink>
      <w:r>
        <w:t>).</w:t>
      </w:r>
    </w:p>
    <w:p>
      <w:r/>
      <w:r>
        <w:t xml:space="preserve">Dois importantes movimentos de reforma caracterizaram os anos de declínio do reino de Judá. O primeiro ocorreu durante o reinado de Ezequias (715–686 a.C.; </w:t>
      </w:r>
      <w:hyperlink r:id="rId5046">
        <w:r>
          <w:rPr>
            <w:color w:val="0000EE"/>
            <w:u w:val="single"/>
          </w:rPr>
          <w:t>2Rs 18</w:t>
        </w:r>
      </w:hyperlink>
      <w:r>
        <w:t xml:space="preserve">; </w:t>
      </w:r>
      <w:hyperlink r:id="rId5047">
        <w:r>
          <w:rPr>
            <w:color w:val="0000EE"/>
            <w:u w:val="single"/>
          </w:rPr>
          <w:t>2Cr 29–30</w:t>
        </w:r>
      </w:hyperlink>
      <w:r>
        <w:t xml:space="preserve">); o segundo no reinado de Josias (640–609 a.C.; </w:t>
      </w:r>
      <w:hyperlink r:id="rId5048">
        <w:r>
          <w:rPr>
            <w:color w:val="0000EE"/>
            <w:u w:val="single"/>
          </w:rPr>
          <w:t>2Rs 22–23</w:t>
        </w:r>
      </w:hyperlink>
      <w:r>
        <w:t xml:space="preserve">; </w:t>
      </w:r>
      <w:hyperlink r:id="rId5049">
        <w:r>
          <w:rPr>
            <w:color w:val="0000EE"/>
            <w:u w:val="single"/>
          </w:rPr>
          <w:t>2Cr 34</w:t>
        </w:r>
      </w:hyperlink>
      <w:r>
        <w:t>). O clímax da reforma de Josias ocorreu em 621 a.C. com a descoberta do Livro da Lei. Em ambos os movimentos, os coatitas desempenharam um papel importante. No reinado de Ezequias, eles foram contados entre aqueles que purificaram a casa do Senhor (</w:t>
      </w:r>
      <w:hyperlink r:id="rId5050">
        <w:r>
          <w:rPr>
            <w:color w:val="0000EE"/>
            <w:u w:val="single"/>
          </w:rPr>
          <w:t>2Cr 29.12–16</w:t>
        </w:r>
      </w:hyperlink>
      <w:r>
        <w:t>), e na época de Josias, dois coatitas notáveis estavam entre os nomeados para supervisionar o trabalho do templo (</w:t>
      </w:r>
      <w:hyperlink r:id="rId5036">
        <w:r>
          <w:rPr>
            <w:color w:val="0000EE"/>
            <w:u w:val="single"/>
          </w:rPr>
          <w:t>34.12</w:t>
        </w:r>
      </w:hyperlink>
      <w:r>
        <w:t>).</w:t>
      </w:r>
    </w:p>
    <w:p>
      <w:r/>
      <w:r>
        <w:t>Após o exílio, os coatitas são mencionados novamente. A falta de evidências impede qualquer julgamento sobre a importância de seu ministério. Provavelmente, eles estavam entre aqueles que tentaram servir ao Senhor fielmente em meio ao declínio espiritual geral. Os poucos cujos nomes estão eternamente consagrados nas Escrituras foram designados para cargos humildes. Na ausência de evidências em contrário, pode-se supor que cumpriram seus deveres fielmente (</w:t>
      </w:r>
      <w:hyperlink r:id="rId5051">
        <w:r>
          <w:rPr>
            <w:color w:val="0000EE"/>
            <w:u w:val="single"/>
          </w:rPr>
          <w:t>1Cr 9.19,31–32</w:t>
        </w:r>
      </w:hyperlink>
      <w:r>
        <w:t xml:space="preserve">; </w:t>
      </w:r>
      <w:hyperlink r:id="rId5052">
        <w:r>
          <w:rPr>
            <w:color w:val="0000EE"/>
            <w:u w:val="single"/>
          </w:rPr>
          <w:t>Ed 2.42</w:t>
        </w:r>
      </w:hyperlink>
      <w:r>
        <w:t xml:space="preserve">; </w:t>
      </w:r>
      <w:hyperlink r:id="rId5053">
        <w:r>
          <w:rPr>
            <w:color w:val="0000EE"/>
            <w:u w:val="single"/>
          </w:rPr>
          <w:t>Ne 12.25</w:t>
        </w:r>
      </w:hyperlink>
      <w:r>
        <w:t>).</w:t>
      </w:r>
    </w:p>
    <w:p>
      <w:r/>
      <w:r>
        <w:rPr>
          <w:i/>
        </w:rPr>
        <w:t>Veja também</w:t>
      </w:r>
      <w:r>
        <w:t xml:space="preserve"> </w:t>
      </w:r>
      <w:r>
        <w:t>Levi, Tribo de</w:t>
      </w:r>
      <w:r>
        <w:t xml:space="preserve">; </w:t>
      </w:r>
      <w:r>
        <w:t>Sacerdotes e levitas</w:t>
      </w:r>
      <w:r>
        <w:t xml:space="preserve">; </w:t>
      </w:r>
      <w:r>
        <w:t>Tabernáculo</w:t>
      </w:r>
      <w:r>
        <w:t xml:space="preserve">; </w:t>
      </w:r>
      <w:r>
        <w:t>Templo</w:t>
      </w:r>
      <w:r>
        <w:t>.</w:t>
      </w:r>
      <w:r/>
      <w:r/>
    </w:p>
    <w:p>
      <w:r/>
    </w:p>
    <w:p>
      <w:pPr>
        <w:pStyle w:val="Heading2"/>
      </w:pPr>
      <w:r>
        <w:t>Coba</w:t>
      </w:r>
      <w:r/>
    </w:p>
    <w:p>
      <w:r/>
      <w:r>
        <w:t>A aldeia mencionada no livro de Judite como sendo fortificada pelos judeus quando o comandante assírio Holofernes invadiu a Palestina (</w:t>
      </w:r>
      <w:hyperlink r:id="rId5054">
        <w:r>
          <w:rPr>
            <w:color w:val="0000EE"/>
            <w:u w:val="single"/>
          </w:rPr>
          <w:t>Jt 4.4</w:t>
        </w:r>
      </w:hyperlink>
      <w:r>
        <w:t xml:space="preserve">). A localização precisa não pode ser identificada, mas pode ser el-Makhubbi, a 4,8 quilômetros de Besan, ou possivelmente o Hoba de </w:t>
      </w:r>
      <w:hyperlink r:id="rId5055">
        <w:r>
          <w:rPr>
            <w:color w:val="0000EE"/>
            <w:u w:val="single"/>
          </w:rPr>
          <w:t>Gênesis 14.15</w:t>
        </w:r>
      </w:hyperlink>
      <w:r>
        <w:t>. O relato indica que os judeus perseguiram o exército de Holofernes até Coba e além de Damasco (</w:t>
      </w:r>
      <w:hyperlink r:id="rId5056">
        <w:r>
          <w:rPr>
            <w:color w:val="0000EE"/>
            <w:u w:val="single"/>
          </w:rPr>
          <w:t>Jt 15.4–5</w:t>
        </w:r>
      </w:hyperlink>
      <w:r>
        <w:t>).</w:t>
      </w:r>
      <w:r/>
      <w:r/>
    </w:p>
    <w:p>
      <w:r/>
    </w:p>
    <w:p>
      <w:pPr>
        <w:pStyle w:val="Heading2"/>
      </w:pPr>
      <w:r>
        <w:t>Cobertura de cabeça</w:t>
      </w:r>
      <w:r/>
    </w:p>
    <w:p>
      <w:r/>
      <w:r>
        <w:t>Algo utilizado para cobrir a cabeça, seja para proteção ou por razões religiosas.</w:t>
      </w:r>
    </w:p>
    <w:p>
      <w:r/>
      <w:r>
        <w:t xml:space="preserve">Os homens usavam um gorro, turbante ou lenço na cabeça para proteção contra o sol. O gorro era semelhante a um solidéu (um gorro sem aba) e às vezes era usado pelos pobres. O turbante (mencionado em </w:t>
      </w:r>
      <w:hyperlink r:id="rId5057">
        <w:r>
          <w:rPr>
            <w:color w:val="0000EE"/>
            <w:u w:val="single"/>
          </w:rPr>
          <w:t>Is 3.23</w:t>
        </w:r>
      </w:hyperlink>
      <w:r>
        <w:t>) era feito de linho grosso enrolado em volta da cabeça com as pontas dobradas dentro das dobras. O turbante do sacerdote tinha uma placa presa a ele com a inscrição “SANTO PARA O SENHOR” (</w:t>
      </w:r>
      <w:hyperlink r:id="rId5058">
        <w:r>
          <w:rPr>
            <w:color w:val="0000EE"/>
            <w:u w:val="single"/>
          </w:rPr>
          <w:t>Êx 28.36</w:t>
        </w:r>
      </w:hyperlink>
      <w:r>
        <w:t>). O lenço de cabeça era feito de 0,8 metros quadrados (uma jarda quadrada) de tecido, dobrado ao meio para formar um triângulo. Os lados caíam sobre os ombros e a ponta em V descia pelas costas, sendo mantido no lugar por uma faixa de cabeça feita de corda. No segundo século a.C., os judeus do sexo masculino começaram a usar filactérios (pequenas caixas de couro com passagens especiais das Escrituras) nas orações matinais e festivais. No entanto, eles não os usavam no sábado.</w:t>
      </w:r>
    </w:p>
    <w:p>
      <w:r/>
      <w:r>
        <w:t>As mulheres frequentemente usavam véus em público, embora essa tradição tenha mudado ao longo dos séculos. Nos tempos do Novo Testamento, as mulheres geralmente usavam véus (</w:t>
      </w:r>
      <w:hyperlink r:id="rId5059">
        <w:r>
          <w:rPr>
            <w:color w:val="0000EE"/>
            <w:u w:val="single"/>
          </w:rPr>
          <w:t>1Co 11.5–6</w:t>
        </w:r>
      </w:hyperlink>
      <w:r>
        <w:t>). As mulheres também usavam um tecido semelhante ao lenço de cabeça. No entanto, era de uma qualidade e cor diferentes daquele usado pelos homens. Muitas vezes, era preso sobre um chapéu rígido e adornado com decorações. Se uma mulher fosse casada, essas decorações e outras moedas importantes cobriam a frente de seu chapéu. Esses itens eram dados como presentes de casamento quando ela se casava (</w:t>
      </w:r>
      <w:hyperlink r:id="rId5060">
        <w:r>
          <w:rPr>
            <w:color w:val="0000EE"/>
            <w:u w:val="single"/>
          </w:rPr>
          <w:t>Lc 15.8–10</w:t>
        </w:r>
      </w:hyperlink>
      <w:r>
        <w:t>). As mulheres também estilizavam seus cabelos em tranças complexas. Pedro advertiu as mulheres cristãs a não se concentrarem demais em sua aparência exterior (</w:t>
      </w:r>
      <w:hyperlink r:id="rId5061">
        <w:r>
          <w:rPr>
            <w:color w:val="0000EE"/>
            <w:u w:val="single"/>
          </w:rPr>
          <w:t>1Pe 3.3–4</w:t>
        </w:r>
      </w:hyperlink>
      <w:r>
        <w:t>).</w:t>
      </w:r>
      <w:r/>
      <w:r/>
    </w:p>
    <w:p>
      <w:r/>
    </w:p>
    <w:p>
      <w:pPr>
        <w:pStyle w:val="Heading2"/>
      </w:pPr>
      <w:r>
        <w:t>Cobiçar, cobiça</w:t>
      </w:r>
      <w:r/>
    </w:p>
    <w:p>
      <w:r/>
      <w:r>
        <w:t>Cobiçar significa desejar intensamente algo que pertence a outra pessoa—um anseio ou desejo ardente.</w:t>
      </w:r>
    </w:p>
    <w:p>
      <w:pPr>
        <w:pStyle w:val="Heading3"/>
      </w:pPr>
      <w:r>
        <w:t>Uso do Antigo Testamento</w:t>
      </w:r>
    </w:p>
    <w:p>
      <w:r/>
      <w:r>
        <w:t>No Antigo Testamento, três palavras hebraicas diferentes são traduzidas como “cobiçar”. Em uma versão dos dez mandamentos (</w:t>
      </w:r>
      <w:hyperlink r:id="rId4531">
        <w:r>
          <w:rPr>
            <w:color w:val="0000EE"/>
            <w:u w:val="single"/>
          </w:rPr>
          <w:t>Dt 5.21</w:t>
        </w:r>
      </w:hyperlink>
      <w:r>
        <w:t xml:space="preserve">), diz: "Não cobice a mulher de outro homem.” A mesma palavra hebraica aparece em </w:t>
      </w:r>
      <w:hyperlink r:id="rId5062">
        <w:r>
          <w:rPr>
            <w:color w:val="0000EE"/>
            <w:u w:val="single"/>
          </w:rPr>
          <w:t>Provérbios 21.26</w:t>
        </w:r>
      </w:hyperlink>
      <w:r>
        <w:t>: “ele passa o dia inteiro pensando no que gostaria de ter.” Outra palavra hebraica sugere um desejo de ganho desonesto (</w:t>
      </w:r>
      <w:hyperlink r:id="rId5063">
        <w:r>
          <w:rPr>
            <w:color w:val="0000EE"/>
            <w:u w:val="single"/>
          </w:rPr>
          <w:t>Hc 2.9</w:t>
        </w:r>
      </w:hyperlink>
      <w:r>
        <w:t>). Na versão de Êxodo dos Dez Mandamentos, uma terceira palavra é usada para desejar a mulher do próximo (</w:t>
      </w:r>
      <w:hyperlink r:id="rId1569">
        <w:r>
          <w:rPr>
            <w:color w:val="0000EE"/>
            <w:u w:val="single"/>
          </w:rPr>
          <w:t>Êx 20.17</w:t>
        </w:r>
      </w:hyperlink>
      <w:r>
        <w:t>). Esta palavra também é usada quando Acã cobiçou os despojos de Ai (</w:t>
      </w:r>
      <w:hyperlink r:id="rId3859">
        <w:r>
          <w:rPr>
            <w:color w:val="0000EE"/>
            <w:u w:val="single"/>
          </w:rPr>
          <w:t>Js 7.21</w:t>
        </w:r>
      </w:hyperlink>
      <w:r>
        <w:t xml:space="preserve">; compare </w:t>
      </w:r>
      <w:hyperlink r:id="rId5064">
        <w:r>
          <w:rPr>
            <w:color w:val="0000EE"/>
            <w:u w:val="single"/>
          </w:rPr>
          <w:t>Mq 2.2</w:t>
        </w:r>
      </w:hyperlink>
      <w:r>
        <w:t>). Cobiçar significa desejar algo tão intensamente que se torna mais importante do que o amor e a devoção a Deus.</w:t>
      </w:r>
    </w:p>
    <w:p>
      <w:pPr>
        <w:pStyle w:val="Heading3"/>
      </w:pPr>
      <w:r>
        <w:t>Utilização do Novo Testamento</w:t>
      </w:r>
    </w:p>
    <w:p>
      <w:r/>
      <w:r>
        <w:t>No Novo Testamento, uma palavra grega que literalmente significa “desejo desordenado de ter mais” transmite essa ideia. O apóstolo Paulo incluiu esse tipo de cobiça entre as atitudes terrenas das quais os cristãos deveriam se livrar. Ele escreveu: “Portanto, matem os desejos deste mundo que agem em vocês, isto é, a imoralidade sexual, a indecência, as paixões más, os maus desejos e a cobiça, porque a cobiça é um tipo de idolatria.” (</w:t>
      </w:r>
      <w:hyperlink r:id="rId4322">
        <w:r>
          <w:rPr>
            <w:color w:val="0000EE"/>
            <w:u w:val="single"/>
          </w:rPr>
          <w:t>Cl 3.5</w:t>
        </w:r>
      </w:hyperlink>
      <w:r>
        <w:t xml:space="preserve">; compare </w:t>
      </w:r>
      <w:hyperlink r:id="rId5065">
        <w:r>
          <w:rPr>
            <w:color w:val="0000EE"/>
            <w:u w:val="single"/>
          </w:rPr>
          <w:t>Ef 5.3</w:t>
        </w:r>
      </w:hyperlink>
      <w:r>
        <w:t xml:space="preserve">; </w:t>
      </w:r>
      <w:hyperlink r:id="rId5066">
        <w:r>
          <w:rPr>
            <w:color w:val="0000EE"/>
            <w:u w:val="single"/>
          </w:rPr>
          <w:t>1Co 6.10</w:t>
        </w:r>
      </w:hyperlink>
      <w:r>
        <w:t>).</w:t>
      </w:r>
    </w:p>
    <w:p>
      <w:r/>
      <w:r>
        <w:t>A cobiça é apresentada como um pecado sério que pode levar a muitos outros pecados. O amor ao dinheiro é a raiz de todos os tipos de mal (</w:t>
      </w:r>
      <w:hyperlink r:id="rId5067">
        <w:r>
          <w:rPr>
            <w:color w:val="0000EE"/>
            <w:u w:val="single"/>
          </w:rPr>
          <w:t>1Tm 6.9–10</w:t>
        </w:r>
      </w:hyperlink>
      <w:r>
        <w:t xml:space="preserve">; compare </w:t>
      </w:r>
      <w:hyperlink r:id="rId5068">
        <w:r>
          <w:rPr>
            <w:color w:val="0000EE"/>
            <w:u w:val="single"/>
          </w:rPr>
          <w:t>Pv 15.27</w:t>
        </w:r>
      </w:hyperlink>
      <w:r>
        <w:t>). A cobiça foi o pecado de Ananias e Safira (</w:t>
      </w:r>
      <w:hyperlink r:id="rId5069">
        <w:r>
          <w:rPr>
            <w:color w:val="0000EE"/>
            <w:u w:val="single"/>
          </w:rPr>
          <w:t>At 5.1–3</w:t>
        </w:r>
      </w:hyperlink>
      <w:r>
        <w:t xml:space="preserve">; compare </w:t>
      </w:r>
      <w:hyperlink r:id="rId1049">
        <w:r>
          <w:rPr>
            <w:color w:val="0000EE"/>
            <w:u w:val="single"/>
          </w:rPr>
          <w:t>1Sm 15.9,19</w:t>
        </w:r>
      </w:hyperlink>
      <w:r>
        <w:t xml:space="preserve">; </w:t>
      </w:r>
      <w:hyperlink r:id="rId5070">
        <w:r>
          <w:rPr>
            <w:color w:val="0000EE"/>
            <w:u w:val="single"/>
          </w:rPr>
          <w:t>Mt 26.14–15</w:t>
        </w:r>
      </w:hyperlink>
      <w:r>
        <w:t xml:space="preserve">; </w:t>
      </w:r>
      <w:hyperlink r:id="rId3435">
        <w:r>
          <w:rPr>
            <w:color w:val="0000EE"/>
            <w:u w:val="single"/>
          </w:rPr>
          <w:t>2Pe 2.15</w:t>
        </w:r>
      </w:hyperlink>
      <w:r>
        <w:t xml:space="preserve">; </w:t>
      </w:r>
      <w:hyperlink r:id="rId4004">
        <w:r>
          <w:rPr>
            <w:color w:val="0000EE"/>
            <w:u w:val="single"/>
          </w:rPr>
          <w:t>Jd 1.11</w:t>
        </w:r>
      </w:hyperlink>
      <w:r>
        <w:t>). Jesus advertiu: “Prestem atenção! Tenham cuidado com todo tipo de avareza porque a verdadeira vida de uma pessoa não depende das coisas que ela tem” (</w:t>
      </w:r>
      <w:hyperlink r:id="rId5071">
        <w:r>
          <w:rPr>
            <w:color w:val="0000EE"/>
            <w:u w:val="single"/>
          </w:rPr>
          <w:t>Lc 12.15</w:t>
        </w:r>
      </w:hyperlink>
      <w:r>
        <w:t>). Outra palavra grega traduzida como “cobiçar” na NTLH é melhor traduzida como “procurem sempre” em um sentido positivo (</w:t>
      </w:r>
      <w:hyperlink r:id="rId5072">
        <w:r>
          <w:rPr>
            <w:color w:val="0000EE"/>
            <w:u w:val="single"/>
          </w:rPr>
          <w:t>1Co 14.39</w:t>
        </w:r>
      </w:hyperlink>
      <w:r>
        <w:t>).</w:t>
      </w:r>
    </w:p>
    <w:p>
      <w:r/>
      <w:r>
        <w:t>Os tradutores do Antigo Testamento que produziram a Septuaginta usaram ainda outra palavra grega para as três palavras hebraicas traduzidas como "cobiçar" nas versões em inglês. No Novo Testamento, a forma verbal dessa palavra é usada de maneiras tanto positivas quanto negativas. Significa "desejar ou ansiar por", aplicando-se a:</w:t>
      </w:r>
    </w:p>
    <w:p>
      <w:pPr>
        <w:pStyle w:val="ListBullet"/>
        <w:spacing w:line="240" w:lineRule="auto"/>
        <w:ind w:left="720"/>
      </w:pPr>
      <w:r/>
      <w:r>
        <w:t>Comida (</w:t>
      </w:r>
      <w:hyperlink r:id="rId5073">
        <w:r>
          <w:rPr>
            <w:color w:val="0000EE"/>
            <w:u w:val="single"/>
          </w:rPr>
          <w:t>Lc 15.16</w:t>
        </w:r>
      </w:hyperlink>
      <w:r>
        <w:t>);</w:t>
      </w:r>
    </w:p>
    <w:p>
      <w:pPr>
        <w:pStyle w:val="ListBullet"/>
        <w:spacing w:line="240" w:lineRule="auto"/>
        <w:ind w:left="720"/>
      </w:pPr>
      <w:r/>
      <w:r>
        <w:t>Mistérios divinos (</w:t>
      </w:r>
      <w:hyperlink r:id="rId5074">
        <w:r>
          <w:rPr>
            <w:color w:val="0000EE"/>
            <w:u w:val="single"/>
          </w:rPr>
          <w:t>Mt 13.17</w:t>
        </w:r>
      </w:hyperlink>
      <w:r>
        <w:t xml:space="preserve">; </w:t>
      </w:r>
      <w:hyperlink r:id="rId5075">
        <w:r>
          <w:rPr>
            <w:color w:val="0000EE"/>
            <w:u w:val="single"/>
          </w:rPr>
          <w:t>1Pe 1.12</w:t>
        </w:r>
      </w:hyperlink>
      <w:r>
        <w:t>);</w:t>
      </w:r>
    </w:p>
    <w:p>
      <w:pPr>
        <w:pStyle w:val="ListBullet"/>
        <w:spacing w:line="240" w:lineRule="auto"/>
        <w:ind w:left="720"/>
      </w:pPr>
      <w:r/>
      <w:r>
        <w:t>Algo bom (</w:t>
      </w:r>
      <w:hyperlink r:id="rId5076">
        <w:r>
          <w:rPr>
            <w:color w:val="0000EE"/>
            <w:u w:val="single"/>
          </w:rPr>
          <w:t>Fp 1.23</w:t>
        </w:r>
      </w:hyperlink>
      <w:r>
        <w:t xml:space="preserve">; </w:t>
      </w:r>
      <w:hyperlink r:id="rId5077">
        <w:r>
          <w:rPr>
            <w:color w:val="0000EE"/>
            <w:u w:val="single"/>
          </w:rPr>
          <w:t>Hb 6.11</w:t>
        </w:r>
      </w:hyperlink>
      <w:r>
        <w:t>);</w:t>
      </w:r>
    </w:p>
    <w:p>
      <w:pPr>
        <w:pStyle w:val="ListBullet"/>
        <w:spacing w:line="240" w:lineRule="auto"/>
        <w:ind w:left="720"/>
      </w:pPr>
      <w:r/>
      <w:r>
        <w:t>Algo ruim (</w:t>
      </w:r>
      <w:hyperlink r:id="rId5078">
        <w:r>
          <w:rPr>
            <w:color w:val="0000EE"/>
            <w:u w:val="single"/>
          </w:rPr>
          <w:t>Mt 5.28</w:t>
        </w:r>
      </w:hyperlink>
      <w:r>
        <w:t xml:space="preserve">; </w:t>
      </w:r>
      <w:hyperlink r:id="rId5079">
        <w:r>
          <w:rPr>
            <w:color w:val="0000EE"/>
            <w:u w:val="single"/>
          </w:rPr>
          <w:t>1Ts 4.5</w:t>
        </w:r>
      </w:hyperlink>
      <w:r>
        <w:t xml:space="preserve">; </w:t>
      </w:r>
      <w:hyperlink r:id="rId5080">
        <w:r>
          <w:rPr>
            <w:color w:val="0000EE"/>
            <w:u w:val="single"/>
          </w:rPr>
          <w:t>1J 2.17</w:t>
        </w:r>
      </w:hyperlink>
      <w:r>
        <w:t>).</w:t>
      </w:r>
    </w:p>
    <w:p>
      <w:r/>
      <w:r>
        <w:t>A forma substantiva desta palavra geralmente reflete uma atitude de desobediência à lei de Deus, onde o desejo leva a um impulso maligno que resulta em pecado (</w:t>
      </w:r>
      <w:hyperlink r:id="rId5081">
        <w:r>
          <w:rPr>
            <w:color w:val="0000EE"/>
            <w:u w:val="single"/>
          </w:rPr>
          <w:t>Jo 8.44</w:t>
        </w:r>
      </w:hyperlink>
      <w:r>
        <w:t xml:space="preserve">; </w:t>
      </w:r>
      <w:hyperlink r:id="rId4425">
        <w:r>
          <w:rPr>
            <w:color w:val="0000EE"/>
            <w:u w:val="single"/>
          </w:rPr>
          <w:t>Rm 1.24</w:t>
        </w:r>
      </w:hyperlink>
      <w:r>
        <w:t xml:space="preserve">; </w:t>
      </w:r>
      <w:hyperlink r:id="rId4452">
        <w:r>
          <w:rPr>
            <w:color w:val="0000EE"/>
            <w:u w:val="single"/>
          </w:rPr>
          <w:t>6.12</w:t>
        </w:r>
      </w:hyperlink>
      <w:r>
        <w:t xml:space="preserve">; </w:t>
      </w:r>
      <w:hyperlink r:id="rId5082">
        <w:r>
          <w:rPr>
            <w:color w:val="0000EE"/>
            <w:u w:val="single"/>
          </w:rPr>
          <w:t>7.7–8</w:t>
        </w:r>
      </w:hyperlink>
      <w:r>
        <w:t xml:space="preserve">; </w:t>
      </w:r>
      <w:hyperlink r:id="rId5083">
        <w:r>
          <w:rPr>
            <w:color w:val="0000EE"/>
            <w:u w:val="single"/>
          </w:rPr>
          <w:t>13.14</w:t>
        </w:r>
      </w:hyperlink>
      <w:r>
        <w:t xml:space="preserve">; </w:t>
      </w:r>
      <w:hyperlink r:id="rId4323">
        <w:r>
          <w:rPr>
            <w:color w:val="0000EE"/>
            <w:u w:val="single"/>
          </w:rPr>
          <w:t>Gl 5.16,26</w:t>
        </w:r>
      </w:hyperlink>
      <w:r>
        <w:t>).</w:t>
      </w:r>
    </w:p>
    <w:p>
      <w:r/>
      <w:r>
        <w:rPr>
          <w:i/>
        </w:rPr>
        <w:t>Veja também</w:t>
      </w:r>
      <w:r>
        <w:t xml:space="preserve"> </w:t>
      </w:r>
      <w:r>
        <w:t>Os dez mandamentos</w:t>
      </w:r>
      <w:r>
        <w:t>.</w:t>
      </w:r>
      <w:r/>
      <w:r/>
    </w:p>
    <w:p>
      <w:r/>
    </w:p>
    <w:p>
      <w:pPr>
        <w:pStyle w:val="Heading2"/>
      </w:pPr>
      <w:r>
        <w:t>Cobra de bronze, Serpente de bronze</w:t>
      </w:r>
      <w:r/>
    </w:p>
    <w:p>
      <w:r/>
      <w:r>
        <w:t>Uma peça de arte em metal que Deus mandou Moisés fazer quando os israelitas estavam sendo mordidos por cobras venenosas (</w:t>
      </w:r>
      <w:hyperlink r:id="rId5084">
        <w:r>
          <w:rPr>
            <w:color w:val="0000EE"/>
            <w:u w:val="single"/>
          </w:rPr>
          <w:t>Nm 21.4–9</w:t>
        </w:r>
      </w:hyperlink>
      <w:r>
        <w:t>). Deus enviou essas cobras como punição porque o povo estava reclamando contra Deus e contra Moisés. Quando o povo se arrependeu, Deus ordenou que Moisés fizesse "uma serpente ardente e a colocasse em um poste". Qualquer um que olhasse para ela era curado.</w:t>
      </w:r>
    </w:p>
    <w:p>
      <w:r/>
      <w:r>
        <w:t>Algumas pessoas associam o significado deste evento com outra história em que a vara de Moisés se transformou em uma serpente. Essa serpente então engoliu as serpentes-varas dos magos do Faraó. Depois, voltou a ser uma vara novamente (</w:t>
      </w:r>
      <w:hyperlink r:id="rId5085">
        <w:r>
          <w:rPr>
            <w:color w:val="0000EE"/>
            <w:u w:val="single"/>
          </w:rPr>
          <w:t>Êx 7.8–12</w:t>
        </w:r>
      </w:hyperlink>
      <w:r>
        <w:t xml:space="preserve">; compare </w:t>
      </w:r>
      <w:hyperlink r:id="rId5086">
        <w:r>
          <w:rPr>
            <w:color w:val="0000EE"/>
            <w:u w:val="single"/>
          </w:rPr>
          <w:t>4.2–5,28–30</w:t>
        </w:r>
      </w:hyperlink>
      <w:r>
        <w:t>).</w:t>
      </w:r>
    </w:p>
    <w:p>
      <w:r/>
      <w:r>
        <w:t xml:space="preserve">A serpente era adorada como um deus tanto nas religiões egípcia quanto cananeia. Portanto, a vitória sobre a figura da serpente de Deus mostrou que Deus era mais poderoso do que esses falsos deuses. Em </w:t>
      </w:r>
      <w:hyperlink r:id="rId5087">
        <w:r>
          <w:rPr>
            <w:color w:val="0000EE"/>
            <w:u w:val="single"/>
          </w:rPr>
          <w:t>Números 21</w:t>
        </w:r>
      </w:hyperlink>
      <w:r>
        <w:t>, no entanto, esse entendimento provavelmente não era o ponto principal.</w:t>
      </w:r>
    </w:p>
    <w:p>
      <w:r/>
      <w:r>
        <w:t xml:space="preserve">Este evento foi o último de várias ocasiões em que os israelitas se afastaram de Deus no deserto (compare </w:t>
      </w:r>
      <w:hyperlink r:id="rId5088">
        <w:r>
          <w:rPr>
            <w:color w:val="0000EE"/>
            <w:u w:val="single"/>
          </w:rPr>
          <w:t>1Co 10.9</w:t>
        </w:r>
      </w:hyperlink>
      <w:r>
        <w:t>). Todos esses eventos incluíram quatro partes:</w:t>
      </w:r>
    </w:p>
    <w:p>
      <w:pPr>
        <w:pStyle w:val="ListNumber"/>
        <w:spacing w:line="240" w:lineRule="auto"/>
        <w:ind w:left="720"/>
      </w:pPr>
      <w:r/>
      <w:r>
        <w:t>O povo reclamou de Deus;</w:t>
      </w:r>
    </w:p>
    <w:p>
      <w:pPr>
        <w:pStyle w:val="ListNumber"/>
        <w:spacing w:line="240" w:lineRule="auto"/>
        <w:ind w:left="720"/>
      </w:pPr>
      <w:r/>
      <w:r>
        <w:t>As pessoas passaram por julgamento;</w:t>
      </w:r>
    </w:p>
    <w:p>
      <w:pPr>
        <w:pStyle w:val="ListNumber"/>
        <w:spacing w:line="240" w:lineRule="auto"/>
        <w:ind w:left="720"/>
      </w:pPr>
      <w:r/>
      <w:r>
        <w:t>O povo se arrependeu;</w:t>
      </w:r>
    </w:p>
    <w:p>
      <w:pPr>
        <w:pStyle w:val="ListNumber"/>
        <w:spacing w:line="240" w:lineRule="auto"/>
        <w:ind w:left="720"/>
      </w:pPr>
      <w:r/>
      <w:r>
        <w:t>Deus ofereceu perdão e salvação.</w:t>
      </w:r>
    </w:p>
    <w:p>
      <w:r/>
      <w:r>
        <w:t>O foco não estava em um modo mágico de cura, mas sim na serpente como um símbolo de salvação oferecido a todos que a contemplassem.</w:t>
      </w:r>
    </w:p>
    <w:p>
      <w:r/>
      <w:r>
        <w:t xml:space="preserve">A serpente de bronze é mencionada novamente em </w:t>
      </w:r>
      <w:hyperlink r:id="rId1871">
        <w:r>
          <w:rPr>
            <w:color w:val="0000EE"/>
            <w:u w:val="single"/>
          </w:rPr>
          <w:t>2 Reis 18.4</w:t>
        </w:r>
      </w:hyperlink>
      <w:r>
        <w:t>. Ao longo dos anos, ela se tornou um objeto de adoração, e o rei Ezequias (que governou de 716 a 686 a.C.) do reino do sul, de Judá, a destruiu durante suas reformas religiosas. A menção final dela em escritos pré-cristãos está no livro Sabedoria de Salomão, que apoia a explicação acima: a salvação não veio através da própria serpente, mas através da provisão de Deus. "Aquele que se voltou para ela foi curado, não pelo que viu, mas por você, o Salvador de todos" (</w:t>
      </w:r>
      <w:hyperlink r:id="rId5089">
        <w:r>
          <w:rPr>
            <w:color w:val="0000EE"/>
            <w:u w:val="single"/>
          </w:rPr>
          <w:t>Sabedoria de Salomão 16.7</w:t>
        </w:r>
      </w:hyperlink>
      <w:r>
        <w:t>).</w:t>
      </w:r>
    </w:p>
    <w:p>
      <w:r/>
      <w:r>
        <w:t>Com esse contexto, Jesus disse que ele, assim como a serpente de Moisés, deve ser "levantado" (</w:t>
      </w:r>
      <w:hyperlink r:id="rId5090">
        <w:r>
          <w:rPr>
            <w:color w:val="0000EE"/>
            <w:u w:val="single"/>
          </w:rPr>
          <w:t>Jo 3.14</w:t>
        </w:r>
      </w:hyperlink>
      <w:r>
        <w:t>). O "levantamento" do "Filho do Homem" refere-se claramente à morte de Jesus e tem dois pontos principais:</w:t>
      </w:r>
    </w:p>
    <w:p>
      <w:pPr>
        <w:pStyle w:val="ListBullet"/>
        <w:spacing w:line="240" w:lineRule="auto"/>
        <w:ind w:left="720"/>
      </w:pPr>
      <w:r/>
      <w:r>
        <w:t>Um dos temas é a "morte como salvação" (a ideia de que a salvação vem através da morte). Isso aparece na história da serpente de bronze de Moisés e no comando divino "deve" no Evangelho de João, que mostra que Deus planejou e exigiu essa forma de salvar as pessoas.</w:t>
      </w:r>
    </w:p>
    <w:p>
      <w:pPr>
        <w:pStyle w:val="ListBullet"/>
        <w:spacing w:line="240" w:lineRule="auto"/>
        <w:ind w:left="720"/>
      </w:pPr>
      <w:r/>
      <w:r>
        <w:t>O outro tema é "morte como exaltação" (a ideia de que a morte leva à honra e glória). Isso é visto no significado do próprio verbo (que inclui a ideia de majestade) e no foco de João na glória do tempo de Jesus na terra e em sua vida ressuscitada.</w:t>
      </w:r>
      <w:r/>
      <w:r/>
    </w:p>
    <w:p>
      <w:r/>
    </w:p>
    <w:p>
      <w:pPr>
        <w:pStyle w:val="Heading2"/>
      </w:pPr>
      <w:r>
        <w:t>Cobrador De Impostos</w:t>
      </w:r>
      <w:r/>
    </w:p>
    <w:p>
      <w:r/>
      <w:r>
        <w:t>Aquele que coletava impostos para o governo. Nos tempos do NT, os romanos coletavam uma variedade de impostos. Seus próprios oficiais realizavam parte deste trabalho, mas também delegavam a indivíduos privados, judeus e outros, que eram obrigados a devolver às autoridades uma soma acordada. Indivíduos desonestos coletavam muito mais do que eram obrigados a pagar e se tornaram um grupo odiado, especialmente os judeus que enganavam outros judeus. Zaqueu, um judeu, era um “chefe dos cobradores de impostos” que acumulava riqueza considerável na área de Jericó (</w:t>
      </w:r>
      <w:hyperlink r:id="rId5091">
        <w:r>
          <w:rPr>
            <w:color w:val="0000EE"/>
            <w:u w:val="single"/>
          </w:rPr>
          <w:t>Lc 19.2–10</w:t>
        </w:r>
      </w:hyperlink>
      <w:r>
        <w:t>). Tais homens eram considerados pecadores e muitas vezes eram interligados na frase “cobradores de impostos e pecadores” (</w:t>
      </w:r>
      <w:hyperlink r:id="rId5092">
        <w:r>
          <w:rPr>
            <w:color w:val="0000EE"/>
            <w:u w:val="single"/>
          </w:rPr>
          <w:t>Mt 9.10–11</w:t>
        </w:r>
      </w:hyperlink>
      <w:r>
        <w:t xml:space="preserve">; </w:t>
      </w:r>
      <w:hyperlink r:id="rId5093">
        <w:r>
          <w:rPr>
            <w:color w:val="0000EE"/>
            <w:u w:val="single"/>
          </w:rPr>
          <w:t>11.19</w:t>
        </w:r>
      </w:hyperlink>
      <w:r>
        <w:t xml:space="preserve">; </w:t>
      </w:r>
      <w:hyperlink r:id="rId5094">
        <w:r>
          <w:rPr>
            <w:color w:val="0000EE"/>
            <w:u w:val="single"/>
          </w:rPr>
          <w:t>Mc 2.15–16</w:t>
        </w:r>
      </w:hyperlink>
      <w:r>
        <w:t xml:space="preserve">; </w:t>
      </w:r>
      <w:hyperlink r:id="rId5095">
        <w:r>
          <w:rPr>
            <w:color w:val="0000EE"/>
            <w:u w:val="single"/>
          </w:rPr>
          <w:t>Lc 5.30</w:t>
        </w:r>
      </w:hyperlink>
      <w:r>
        <w:t xml:space="preserve">; </w:t>
      </w:r>
      <w:hyperlink r:id="rId5091">
        <w:r>
          <w:rPr>
            <w:color w:val="0000EE"/>
            <w:u w:val="single"/>
          </w:rPr>
          <w:t>19.2–10</w:t>
        </w:r>
      </w:hyperlink>
      <w:r>
        <w:t>).</w:t>
      </w:r>
      <w:r/>
      <w:r/>
    </w:p>
    <w:p>
      <w:r/>
    </w:p>
    <w:p>
      <w:pPr>
        <w:pStyle w:val="Heading2"/>
      </w:pPr>
      <w:r>
        <w:t>Cobre</w:t>
      </w:r>
      <w:r/>
    </w:p>
    <w:p>
      <w:r/>
      <w:r>
        <w:t>Metal maleável de cor marrom-avermelhada encontrado no solo (</w:t>
      </w:r>
      <w:hyperlink r:id="rId2326">
        <w:r>
          <w:rPr>
            <w:color w:val="0000EE"/>
            <w:u w:val="single"/>
          </w:rPr>
          <w:t>Dt 8.9</w:t>
        </w:r>
      </w:hyperlink>
      <w:r>
        <w:t xml:space="preserve">) e transformado em ornamentos, ferramentas e moedas. </w:t>
      </w:r>
    </w:p>
    <w:p>
      <w:r/>
      <w:r>
        <w:rPr>
          <w:i/>
        </w:rPr>
        <w:t>Veja</w:t>
      </w:r>
      <w:r>
        <w:t xml:space="preserve"> </w:t>
      </w:r>
      <w:r>
        <w:t>Minerais e metais</w:t>
      </w:r>
      <w:r>
        <w:t>.</w:t>
      </w:r>
      <w:r/>
      <w:r/>
    </w:p>
    <w:p>
      <w:r/>
    </w:p>
    <w:p>
      <w:pPr>
        <w:pStyle w:val="Heading2"/>
      </w:pPr>
      <w:r>
        <w:t>Codorna</w:t>
      </w:r>
      <w:r/>
    </w:p>
    <w:p>
      <w:r/>
      <w:r>
        <w:t>Uma codorna é uma ave pequena e robusta com bico e pés semelhantes aos de uma galinha. Essas características ajudam-na a comer sementes e insetos. A codorna-comum (</w:t>
      </w:r>
      <w:r>
        <w:rPr>
          <w:i/>
        </w:rPr>
        <w:t>Coturnix coturnix</w:t>
      </w:r>
      <w:r>
        <w:t>) é o menor membro da família das aves, que também inclui faisões e perdizes.</w:t>
      </w:r>
    </w:p>
    <w:p>
      <w:r/>
      <w:r>
        <w:t>Codornas medem cerca de 25 centímetros de comprimento. Elas possuem asas pequenas e arredondadas e uma barriga branca. Quando assustadas, saem de gramíneas ou arbustos com um som de zumbido. Uma fêmea pode botar até 18 ovos. Se a fêmea morrer, o macho pode cuidar dos filhotes.</w:t>
      </w:r>
    </w:p>
    <w:p>
      <w:r/>
      <w:r>
        <w:t>Codornas da região do Mediterrâneo passam o inverno no Sudão. Na primavera, migram para o norte em grandes bandos. As codornas não conseguem voar por longos períodos. Em vez disso, aproveitam as correntes de vento para se manterem no ar.</w:t>
      </w:r>
    </w:p>
    <w:p>
      <w:pPr>
        <w:pStyle w:val="Heading4"/>
      </w:pPr>
      <w:r>
        <w:t>Codorna na Bíblia</w:t>
      </w:r>
    </w:p>
    <w:p>
      <w:r/>
      <w:r>
        <w:t>Grandes bandos de codornas alimentaram os israelitas duas vezes durante seu tempo no Deserto do Sinai (</w:t>
      </w:r>
      <w:hyperlink r:id="rId5096">
        <w:r>
          <w:rPr>
            <w:color w:val="0000EE"/>
            <w:u w:val="single"/>
          </w:rPr>
          <w:t>Êx 16.13</w:t>
        </w:r>
      </w:hyperlink>
      <w:r>
        <w:t xml:space="preserve">; </w:t>
      </w:r>
      <w:hyperlink r:id="rId5097">
        <w:r>
          <w:rPr>
            <w:color w:val="0000EE"/>
            <w:u w:val="single"/>
          </w:rPr>
          <w:t>Nm 11.31–32</w:t>
        </w:r>
      </w:hyperlink>
      <w:r>
        <w:t xml:space="preserve">; </w:t>
      </w:r>
      <w:hyperlink r:id="rId5098">
        <w:r>
          <w:rPr>
            <w:color w:val="0000EE"/>
            <w:u w:val="single"/>
          </w:rPr>
          <w:t>Sl 105.40</w:t>
        </w:r>
      </w:hyperlink>
      <w:r>
        <w:t>). Na segunda vez, provavelmente estavam voando ao longo do Golfo de Aqaba e foram desviados de curso por um vento leste (</w:t>
      </w:r>
      <w:hyperlink r:id="rId5099">
        <w:r>
          <w:rPr>
            <w:color w:val="0000EE"/>
            <w:u w:val="single"/>
          </w:rPr>
          <w:t>Nm 11.31</w:t>
        </w:r>
      </w:hyperlink>
      <w:r>
        <w:t xml:space="preserve">; </w:t>
      </w:r>
      <w:hyperlink r:id="rId5100">
        <w:r>
          <w:rPr>
            <w:color w:val="0000EE"/>
            <w:u w:val="single"/>
          </w:rPr>
          <w:t>Sl 78.26–28</w:t>
        </w:r>
      </w:hyperlink>
      <w:r>
        <w:t>).</w:t>
      </w:r>
    </w:p>
    <w:p>
      <w:r/>
      <w:r>
        <w:t>Como as codornizes não conseguem voar por muito tempo, elas permanecem próximas ao solo, cerca de dois côvados, ou 101 centímetros. Quando cansadas, podiam ser capturadas à mão (</w:t>
      </w:r>
      <w:hyperlink r:id="rId5097">
        <w:r>
          <w:rPr>
            <w:color w:val="0000EE"/>
            <w:u w:val="single"/>
          </w:rPr>
          <w:t>Nm 11.31–32</w:t>
        </w:r>
      </w:hyperlink>
      <w:r>
        <w:t>).</w:t>
      </w:r>
    </w:p>
    <w:p>
      <w:r/>
      <w:r>
        <w:t>Codornas eram consideradas alimento puro sob a lei de Moisés. Elas eram valorizadas como as mais delicadas de todas as aves de caça. As pessoas frequentemente as preservavam secando-as ao sol.</w:t>
      </w:r>
    </w:p>
    <w:p>
      <w:r/>
      <w:r>
        <w:rPr>
          <w:i/>
        </w:rPr>
        <w:t>Veja também</w:t>
      </w:r>
      <w:r>
        <w:t xml:space="preserve"> </w:t>
      </w:r>
      <w:r>
        <w:t>Aves</w:t>
      </w:r>
      <w:r>
        <w:t>.</w:t>
      </w:r>
      <w:r/>
      <w:r/>
    </w:p>
    <w:p>
      <w:r/>
    </w:p>
    <w:p>
      <w:pPr>
        <w:pStyle w:val="Heading2"/>
      </w:pPr>
      <w:r>
        <w:t>Coentro</w:t>
      </w:r>
      <w:r/>
    </w:p>
    <w:p>
      <w:r/>
      <w:r>
        <w:t>Uma erva anual nativa da Palestina. As sementes perfumadas desta planta são mencionadas duas vezes na descrição do maná (</w:t>
      </w:r>
      <w:hyperlink r:id="rId5101">
        <w:r>
          <w:rPr>
            <w:color w:val="0000EE"/>
            <w:u w:val="single"/>
          </w:rPr>
          <w:t>Êx 16.31</w:t>
        </w:r>
      </w:hyperlink>
      <w:r>
        <w:t xml:space="preserve">; </w:t>
      </w:r>
      <w:hyperlink r:id="rId3286">
        <w:r>
          <w:rPr>
            <w:color w:val="0000EE"/>
            <w:u w:val="single"/>
          </w:rPr>
          <w:t>Nm 11.7</w:t>
        </w:r>
      </w:hyperlink>
      <w:r>
        <w:t>). As referências nestes versículos referem-se claramente à planta comum de coentro (</w:t>
      </w:r>
      <w:r>
        <w:rPr>
          <w:i/>
        </w:rPr>
        <w:t>Coriandrum sativum</w:t>
      </w:r>
      <w:r>
        <w:t>).</w:t>
      </w:r>
    </w:p>
    <w:p>
      <w:r/>
      <w:r>
        <w:t>O coentro era comumente encontrado crescendo ao lado de grãos em campos cultivados em todo Israel e áreas circundantes. Também cresce de forma selvagem no Egito. Os antigos o usavam tanto como tempero alimentar quanto como remédio. As folhas têm um cheiro forte e agradável e são usadas em sopas e para temperar pudins, misturas de temperos e vinhos.</w:t>
      </w:r>
    </w:p>
    <w:p>
      <w:r/>
      <w:r>
        <w:t>Os árabes ainda usam coentro como especiaria atualmente. Na Bíblia, é mencionado apenas ao descrever o maná, que se dizia ter a aparência de sementes de coentro em tamanho, forma e cor.</w:t>
      </w:r>
    </w:p>
    <w:p>
      <w:r/>
      <w:r>
        <w:rPr>
          <w:i/>
        </w:rPr>
        <w:t>Veja também</w:t>
      </w:r>
      <w:r>
        <w:t xml:space="preserve"> </w:t>
      </w:r>
      <w:r>
        <w:t>Alimentos e preparação de alimentos</w:t>
      </w:r>
      <w:r>
        <w:t>.</w:t>
      </w:r>
      <w:r/>
      <w:r/>
    </w:p>
    <w:p>
      <w:r/>
    </w:p>
    <w:p>
      <w:pPr>
        <w:pStyle w:val="Heading2"/>
      </w:pPr>
      <w:r>
        <w:t>Coisas dedicadas</w:t>
      </w:r>
      <w:r/>
    </w:p>
    <w:p>
      <w:r/>
      <w:r>
        <w:t>Pessoas, animais ou objetos que Deus não permitiu que os israelitas mantivessem ou usassem para si mesmos. Esses itens foram separados como pertencentes inteiramente a Deus (</w:t>
      </w:r>
      <w:hyperlink r:id="rId5102">
        <w:r>
          <w:rPr>
            <w:color w:val="0000EE"/>
            <w:u w:val="single"/>
          </w:rPr>
          <w:t>Lv 27.28–29</w:t>
        </w:r>
      </w:hyperlink>
      <w:r>
        <w:t xml:space="preserve">; </w:t>
      </w:r>
      <w:hyperlink r:id="rId5103">
        <w:r>
          <w:rPr>
            <w:color w:val="0000EE"/>
            <w:u w:val="single"/>
          </w:rPr>
          <w:t>Nm 18.14</w:t>
        </w:r>
      </w:hyperlink>
      <w:r>
        <w:t>).</w:t>
      </w:r>
    </w:p>
    <w:p>
      <w:r/>
      <w:r>
        <w:rPr>
          <w:i/>
        </w:rPr>
        <w:t>Veja</w:t>
      </w:r>
      <w:r>
        <w:t xml:space="preserve"> </w:t>
      </w:r>
      <w:r>
        <w:t>Maldição, amaldiçoado</w:t>
      </w:r>
      <w:r>
        <w:t>.</w:t>
      </w:r>
      <w:r/>
      <w:r/>
    </w:p>
    <w:p>
      <w:r/>
    </w:p>
    <w:p>
      <w:pPr>
        <w:pStyle w:val="Heading2"/>
      </w:pPr>
      <w:r>
        <w:t>Colheita</w:t>
      </w:r>
      <w:r/>
    </w:p>
    <w:p>
      <w:r/>
      <w:r>
        <w:t>A colheita é a coleta de plantações, especialmente para alimentação. No antigo Israel, diferentes culturas eram colhidas em diferentes épocas do ano. As azeitonas eram colhidas de setembro a novembro, o linho de março a abril, a cevada de abril a maio e o trigo de maio a junho. Frutas como figos e uvas eram colhidas no final do verão, em agosto ou setembro. O calendário dos israelitas era centrado em torno desses períodos de colheita (</w:t>
      </w:r>
      <w:hyperlink r:id="rId5104">
        <w:r>
          <w:rPr>
            <w:color w:val="0000EE"/>
            <w:u w:val="single"/>
          </w:rPr>
          <w:t>Jz 15.1</w:t>
        </w:r>
      </w:hyperlink>
      <w:r>
        <w:t xml:space="preserve">; </w:t>
      </w:r>
      <w:hyperlink r:id="rId5105">
        <w:r>
          <w:rPr>
            <w:color w:val="0000EE"/>
            <w:u w:val="single"/>
          </w:rPr>
          <w:t>Rt 1.22</w:t>
        </w:r>
      </w:hyperlink>
      <w:r>
        <w:t>).</w:t>
      </w:r>
    </w:p>
    <w:p>
      <w:r/>
      <w:r>
        <w:t>No Antigo Testamento, Pentecostes era um dos três principais festivais em que os israelitas se reuniam para celebrar a colheita (</w:t>
      </w:r>
      <w:hyperlink r:id="rId5106">
        <w:r>
          <w:rPr>
            <w:color w:val="0000EE"/>
            <w:u w:val="single"/>
          </w:rPr>
          <w:t>Êx 23.16</w:t>
        </w:r>
      </w:hyperlink>
      <w:r>
        <w:t>). Era um momento para lembrar que a terra que possuíam era um presente de Deus (</w:t>
      </w:r>
      <w:hyperlink r:id="rId5107">
        <w:r>
          <w:rPr>
            <w:color w:val="0000EE"/>
            <w:u w:val="single"/>
          </w:rPr>
          <w:t>Dt 8.7–10</w:t>
        </w:r>
      </w:hyperlink>
      <w:r>
        <w:t>). Ao oferecerem os primeiros frutos de sua colheita (</w:t>
      </w:r>
      <w:hyperlink r:id="rId5108">
        <w:r>
          <w:rPr>
            <w:color w:val="0000EE"/>
            <w:u w:val="single"/>
          </w:rPr>
          <w:t>Lv 23.10–11</w:t>
        </w:r>
      </w:hyperlink>
      <w:r>
        <w:t>), eles demonstravam gratidão a Deus e reconheciam sua dependência dele. Eles também eram instruídos a deixar parte de sua colheita para aqueles que necessitavam (</w:t>
      </w:r>
      <w:hyperlink r:id="rId5109">
        <w:r>
          <w:rPr>
            <w:color w:val="0000EE"/>
            <w:u w:val="single"/>
          </w:rPr>
          <w:t>Lv 19.9–10</w:t>
        </w:r>
      </w:hyperlink>
      <w:r>
        <w:t xml:space="preserve">; </w:t>
      </w:r>
      <w:hyperlink r:id="rId5110">
        <w:r>
          <w:rPr>
            <w:color w:val="0000EE"/>
            <w:u w:val="single"/>
          </w:rPr>
          <w:t>23.22</w:t>
        </w:r>
      </w:hyperlink>
      <w:r>
        <w:t>).</w:t>
      </w:r>
    </w:p>
    <w:p>
      <w:r/>
      <w:r>
        <w:t>No Novo Testamento, o termo "colheita" é frequentemente usado de forma figurativa. Por exemplo, em uma parábola, a colheita representa o julgamento final, onde os anjos separam os justos dos ímpios (</w:t>
      </w:r>
      <w:hyperlink r:id="rId5111">
        <w:r>
          <w:rPr>
            <w:color w:val="0000EE"/>
            <w:u w:val="single"/>
          </w:rPr>
          <w:t>Mt 13.24–30</w:t>
        </w:r>
      </w:hyperlink>
      <w:r>
        <w:t xml:space="preserve">, </w:t>
      </w:r>
      <w:hyperlink r:id="rId5112">
        <w:r>
          <w:rPr>
            <w:color w:val="0000EE"/>
            <w:u w:val="single"/>
          </w:rPr>
          <w:t>36–43</w:t>
        </w:r>
      </w:hyperlink>
      <w:r>
        <w:t>). Em outra ocasião, a colheita refere-se às pessoas que ainda não ouviram o evangelho, e os "trabalhadores" são aqueles que o compartilham com elas (</w:t>
      </w:r>
      <w:hyperlink r:id="rId5113">
        <w:r>
          <w:rPr>
            <w:color w:val="0000EE"/>
            <w:u w:val="single"/>
          </w:rPr>
          <w:t>Mt 9.37–38</w:t>
        </w:r>
      </w:hyperlink>
      <w:r>
        <w:t>).</w:t>
      </w:r>
    </w:p>
    <w:p>
      <w:r/>
      <w:r>
        <w:rPr>
          <w:i/>
        </w:rPr>
        <w:t>Veja também</w:t>
      </w:r>
      <w:r>
        <w:t xml:space="preserve"> </w:t>
      </w:r>
      <w:r>
        <w:t>Agricultura</w:t>
      </w:r>
      <w:r>
        <w:t xml:space="preserve">; </w:t>
      </w:r>
      <w:r>
        <w:t>Festas e festivais de Israel</w:t>
      </w:r>
      <w:r>
        <w:t xml:space="preserve">; </w:t>
      </w:r>
      <w:r>
        <w:t>Videiras, vinhedos</w:t>
      </w:r>
      <w:r>
        <w:t>.</w:t>
      </w:r>
      <w:r/>
      <w:r/>
    </w:p>
    <w:p>
      <w:r/>
    </w:p>
    <w:p>
      <w:pPr>
        <w:pStyle w:val="Heading2"/>
      </w:pPr>
      <w:r>
        <w:t>Colina de Marte</w:t>
      </w:r>
      <w:r/>
    </w:p>
    <w:p>
      <w:r/>
      <w:r>
        <w:t>Este era o nome de uma pequena colina localizada a noroeste da Acrópole em Atenas, Grécia. Também era o nome do conselho que se reunia lá. A Colina de Marte (ou Colina de Ares) foi o local onde Paulo fez seu famoso discurso aos filósofos atenienses (</w:t>
      </w:r>
      <w:hyperlink r:id="rId2827">
        <w:r>
          <w:rPr>
            <w:color w:val="0000EE"/>
            <w:u w:val="single"/>
          </w:rPr>
          <w:t>At 17.16–34</w:t>
        </w:r>
      </w:hyperlink>
      <w:r>
        <w:t>).</w:t>
      </w:r>
    </w:p>
    <w:p>
      <w:r/>
      <w:r>
        <w:rPr>
          <w:i/>
        </w:rPr>
        <w:t>Veja</w:t>
      </w:r>
      <w:r>
        <w:t xml:space="preserve"> </w:t>
      </w:r>
      <w:r>
        <w:t>Areópago</w:t>
      </w:r>
      <w:r>
        <w:t>.</w:t>
      </w:r>
      <w:r/>
      <w:r/>
    </w:p>
    <w:p>
      <w:r/>
    </w:p>
    <w:p>
      <w:pPr>
        <w:pStyle w:val="Heading2"/>
      </w:pPr>
      <w:r>
        <w:t>Colossenses, Carta aos</w:t>
      </w:r>
      <w:r/>
    </w:p>
    <w:p>
      <w:r/>
      <w:r>
        <w:t>Epístola do NT, uma das quatro "cartas da prisão" atribuídas ao apóstolo Paulo. Assim como em Efésios, Filipenses e Filemom, Paulo mencionou que estava na prisão quando escreveu Colossenses (</w:t>
      </w:r>
      <w:hyperlink r:id="rId5114">
        <w:r>
          <w:rPr>
            <w:color w:val="0000EE"/>
            <w:u w:val="single"/>
          </w:rPr>
          <w:t>Cl 4.3,10</w:t>
        </w:r>
      </w:hyperlink>
      <w:r>
        <w:t xml:space="preserve">; cf. </w:t>
      </w:r>
      <w:hyperlink r:id="rId5115">
        <w:r>
          <w:rPr>
            <w:color w:val="0000EE"/>
            <w:u w:val="single"/>
          </w:rPr>
          <w:t>Ef 3.1</w:t>
        </w:r>
      </w:hyperlink>
      <w:r>
        <w:t xml:space="preserve">; </w:t>
      </w:r>
      <w:hyperlink r:id="rId5116">
        <w:r>
          <w:rPr>
            <w:color w:val="0000EE"/>
            <w:u w:val="single"/>
          </w:rPr>
          <w:t>4.1</w:t>
        </w:r>
      </w:hyperlink>
      <w:r>
        <w:t xml:space="preserve">; </w:t>
      </w:r>
      <w:hyperlink r:id="rId5117">
        <w:r>
          <w:rPr>
            <w:color w:val="0000EE"/>
            <w:u w:val="single"/>
          </w:rPr>
          <w:t>6.20</w:t>
        </w:r>
      </w:hyperlink>
      <w:r>
        <w:t xml:space="preserve">; </w:t>
      </w:r>
      <w:hyperlink r:id="rId5118">
        <w:r>
          <w:rPr>
            <w:color w:val="0000EE"/>
            <w:u w:val="single"/>
          </w:rPr>
          <w:t>Fp 1.12–14</w:t>
        </w:r>
      </w:hyperlink>
      <w:r>
        <w:t xml:space="preserve">; </w:t>
      </w:r>
      <w:hyperlink r:id="rId5119">
        <w:r>
          <w:rPr>
            <w:color w:val="0000EE"/>
            <w:u w:val="single"/>
          </w:rPr>
          <w:t>Fm 1.9–10</w:t>
        </w:r>
      </w:hyperlink>
      <w:r>
        <w:t>). Ele enviou três das cartas para igrejas na Ásia Menor e as associou com seu colega, Tíquico (</w:t>
      </w:r>
      <w:hyperlink r:id="rId5120">
        <w:r>
          <w:rPr>
            <w:color w:val="0000EE"/>
            <w:u w:val="single"/>
          </w:rPr>
          <w:t>Cl 4.7–9</w:t>
        </w:r>
      </w:hyperlink>
      <w:r>
        <w:t xml:space="preserve">; </w:t>
      </w:r>
      <w:hyperlink r:id="rId5121">
        <w:r>
          <w:rPr>
            <w:color w:val="0000EE"/>
            <w:u w:val="single"/>
          </w:rPr>
          <w:t>Ef 6.21–22</w:t>
        </w:r>
      </w:hyperlink>
      <w:r>
        <w:t>). Isso parece indicar que ele as escreveu aproximadamente na mesma época e que Tíquico as entregou.</w:t>
      </w:r>
    </w:p>
    <w:p>
      <w:r/>
      <w:r>
        <w:t>Resumo</w:t>
      </w:r>
    </w:p>
    <w:p>
      <w:r/>
      <w:r>
        <w:t>• Autor</w:t>
      </w:r>
    </w:p>
    <w:p>
      <w:r/>
      <w:r>
        <w:t>• Data, origem e destino</w:t>
      </w:r>
    </w:p>
    <w:p>
      <w:r/>
      <w:r>
        <w:t>• Contexto</w:t>
      </w:r>
    </w:p>
    <w:p>
      <w:r/>
      <w:r>
        <w:t>• Propósito e ensino</w:t>
      </w:r>
    </w:p>
    <w:p>
      <w:r/>
      <w:r>
        <w:t>Conteúdo</w:t>
      </w:r>
    </w:p>
    <w:p>
      <w:pPr>
        <w:pStyle w:val="Heading3"/>
      </w:pPr>
      <w:r>
        <w:t>Autor</w:t>
      </w:r>
    </w:p>
    <w:p>
      <w:r/>
      <w:r>
        <w:t>Embora a tradição de que Paulo escreveu Colossenses esteja bem fundamentada, muitos estudiosos hoje debatem sua autoria. As razões para suas dúvidas se dividem em duas categorias principais: teologia e estilo.</w:t>
      </w:r>
    </w:p>
    <w:p>
      <w:r/>
      <w:r>
        <w:t xml:space="preserve">Primeiro, alguns estudiosos questionam a autoria de Paulo por motivos teológicos. O desenvolvimento de certos temas teológicos principais em Colossenses difere da forma como são apresentados nas cartas indiscutíveis de Paulo. Em Colossenses, a doutrina de Cristo é desenvolvida com base em um hino sobre Cristo em </w:t>
      </w:r>
      <w:hyperlink r:id="rId5122">
        <w:r>
          <w:rPr>
            <w:color w:val="0000EE"/>
            <w:u w:val="single"/>
          </w:rPr>
          <w:t>1.15–20</w:t>
        </w:r>
      </w:hyperlink>
      <w:r>
        <w:t>. Ali, ele é visto como o “primogênito de toda a criação”; todas as coisas devem tanto sua origem quanto sua existência contínua a ele. Nele reside toda a plenitude da divindade. Sua morte é interpretada não como uma vitória sobre o pecado, a lei e a morte, mas como um triunfo sobre as autoridades e poderes cósmicos.</w:t>
      </w:r>
    </w:p>
    <w:p>
      <w:r/>
      <w:r>
        <w:t>Para alguns estudiosos, isso sugere que a Cristologia em Colossenses é muito mais "exaltada" do que em qualquer uma das cartas indiscutíveis. No entanto, Paulo caracteristicamente considerava Cristo como altamente exaltado. Ele declarou que Cristo é o criador de todas as coisas (</w:t>
      </w:r>
      <w:hyperlink r:id="rId5123">
        <w:r>
          <w:rPr>
            <w:color w:val="0000EE"/>
            <w:u w:val="single"/>
          </w:rPr>
          <w:t>1Co 8.6</w:t>
        </w:r>
      </w:hyperlink>
      <w:r>
        <w:t>) e estabeleceu sua soberania sobre toda a ordem cósmica citando outro hino (</w:t>
      </w:r>
      <w:hyperlink r:id="rId5124">
        <w:r>
          <w:rPr>
            <w:color w:val="0000EE"/>
            <w:u w:val="single"/>
          </w:rPr>
          <w:t>Fp 2.6–11</w:t>
        </w:r>
      </w:hyperlink>
      <w:r>
        <w:t>). Além disso, o tipo de declarações feitas sobre Cristo em Colossenses foi exigido pela situação que havia surgido na cidade de Colossos. A heresia que havia se infiltrado na congregação exigia tais declarações.</w:t>
      </w:r>
    </w:p>
    <w:p>
      <w:r/>
      <w:r>
        <w:t>Colossenses também parece ensinar doutrinas sobre "as últimas coisas" e batismo que são um tanto diferentes das doutrinas nas cartas indiscutíveis. Em Coríntios, Paulo baseou seu ensino sobre as últimas coisas na doutrina judaica das "duas eras". O judaísmo ensinava que nesta "era" o mundo está sob a tirania dos poderes malignos, mas que na "era vindoura" Deus o libertaria. Em contraste, o ensino de Paulo era único ao afirmar que a era vindoura já havia chegado no Advento de Cristo — embora não em sua plenitude. Paulo via o tempo entre o primeiro e o segundo adventos de Cristo como um período de conflito. Cristo "tem de reinar até que Deus faça com que ele domine todos os inimigos" (</w:t>
      </w:r>
      <w:hyperlink r:id="rId5125">
        <w:r>
          <w:rPr>
            <w:color w:val="0000EE"/>
            <w:u w:val="single"/>
          </w:rPr>
          <w:t>1Co 15.25</w:t>
        </w:r>
      </w:hyperlink>
      <w:r>
        <w:t xml:space="preserve">). Cristo, por sua missão, está libertando a era presente dos poderes malignos, mas o conflito não terminará até sua segunda vinda. Portanto, os cristãos vivem na esperança de sua futura aparição. Esse elemento futuro de esperança não é enfatizado em Colossenses (embora veja </w:t>
      </w:r>
      <w:hyperlink r:id="rId5126">
        <w:r>
          <w:rPr>
            <w:color w:val="0000EE"/>
            <w:u w:val="single"/>
          </w:rPr>
          <w:t>3.1–4</w:t>
        </w:r>
      </w:hyperlink>
      <w:r>
        <w:t>); em vez disso, a ênfase está em uma esperança já presente no céu (</w:t>
      </w:r>
      <w:hyperlink r:id="rId5127">
        <w:r>
          <w:rPr>
            <w:color w:val="0000EE"/>
            <w:u w:val="single"/>
          </w:rPr>
          <w:t>1.5</w:t>
        </w:r>
      </w:hyperlink>
      <w:r>
        <w:t>).</w:t>
      </w:r>
    </w:p>
    <w:p>
      <w:r/>
      <w:r>
        <w:t>A doutrina do batismo em Colossenses foi influenciada pela ênfase no aspecto realizado da esperança. Em sua Carta aos Romanos, Paulo ensinou que os cristãos batizados vivem pela fé no Senhor ressuscitado e estão cheios de esperança para sua futura ressurreição (</w:t>
      </w:r>
      <w:hyperlink r:id="rId5128">
        <w:r>
          <w:rPr>
            <w:color w:val="0000EE"/>
            <w:u w:val="single"/>
          </w:rPr>
          <w:t>Rm 6.1–11</w:t>
        </w:r>
      </w:hyperlink>
      <w:r>
        <w:t>). Em Colossenses, ele declarou que os crentes batizados não apenas morreram com Cristo, mas já foram ressuscitados com ele (</w:t>
      </w:r>
      <w:hyperlink r:id="rId3214">
        <w:r>
          <w:rPr>
            <w:color w:val="0000EE"/>
            <w:u w:val="single"/>
          </w:rPr>
          <w:t>Cl 2.12–13</w:t>
        </w:r>
      </w:hyperlink>
      <w:r>
        <w:t xml:space="preserve">; </w:t>
      </w:r>
      <w:hyperlink r:id="rId4781">
        <w:r>
          <w:rPr>
            <w:color w:val="0000EE"/>
            <w:u w:val="single"/>
          </w:rPr>
          <w:t>3.1</w:t>
        </w:r>
      </w:hyperlink>
      <w:r>
        <w:t>). A esperança para o futuro não é pela ressurreição, mas pela manifestação da vida que já está oculta com Cristo em Deus (</w:t>
      </w:r>
      <w:hyperlink r:id="rId5129">
        <w:r>
          <w:rPr>
            <w:color w:val="0000EE"/>
            <w:u w:val="single"/>
          </w:rPr>
          <w:t>3.2–3</w:t>
        </w:r>
      </w:hyperlink>
      <w:r>
        <w:t>). Além disso, em Romanos, Paulo afirmou que no batismo os cristãos morreram para o pecado, então não precisam mais servi-lo. Colossenses, por outro lado, afirma que em Cristo, os cristãos morreram para o que pode ser literalmente traduzido como os “rudimentos do mundo” (</w:t>
      </w:r>
      <w:hyperlink r:id="rId5130">
        <w:r>
          <w:rPr>
            <w:color w:val="0000EE"/>
            <w:u w:val="single"/>
          </w:rPr>
          <w:t>2.20</w:t>
        </w:r>
      </w:hyperlink>
      <w:r>
        <w:t>). Muitos interpretam essa frase como significando o ensino religioso básico do mundo. Em Colossenses, no entanto, pode-se argumentar fortemente que a frase significa “espíritos maus que dominam o Universo” (NTLH). Em qualquer caso, a ênfase, senão o significado, difere de Romanos.</w:t>
      </w:r>
    </w:p>
    <w:p>
      <w:r/>
      <w:r>
        <w:t>Tais questões teológicas levaram muitos a acreditar que Paulo não poderia ter escrito a Carta aos Colossenses. Em vez disso, eles veem a carta como produto de um discípulo de Paulo que a escreveu em um momento posterior. Deve-se notar, no entanto, que as diferenças são de perspectiva ou ênfase, não diferenças que resultam em contradições.</w:t>
      </w:r>
    </w:p>
    <w:p>
      <w:r/>
      <w:r>
        <w:t>O segundo motivo para questionar a autoria de Paulo em Colossenses é literário, relacionado ao vocabulário e estilo. A breve carta utiliza 34 palavras que não aparecem em nenhum outro lugar no NT. Além disso, termos comuns de Paulo estão ausentes em passagens onde logicamente poderiam ser esperados. Ademais, o estilo da carta, embora semelhante ao de Efésios, é notavelmente diferente de outras cartas indiscutíveis de Paulo. Nessas cartas, os pensamentos geralmente são desenvolvidos em um estilo argumentativo semelhante às discussões dos escribas judeus. Colossenses é marcada por características estilísticas que se encontram em hinos, liturgias e catecismos judaicos e cristãos primitivos. No entanto, algumas diferenças óbvias na perspectiva teológica e no estilo literário não obrigam a concluir que alguém além de Paulo escreveu Colossenses.</w:t>
      </w:r>
    </w:p>
    <w:p>
      <w:pPr>
        <w:pStyle w:val="Heading3"/>
      </w:pPr>
      <w:r>
        <w:t>Data, origem e destino</w:t>
      </w:r>
    </w:p>
    <w:p>
      <w:r/>
      <w:r>
        <w:t>A data de Colossenses depende de onde Paulo estava preso quando escreveu. Tradicionalmente, os estudiosos acreditam que todas as quatro "cartas da prisão" vieram de Roma. Se for assim, Paulo as teria escrito entre 60 e 62 d.C.</w:t>
      </w:r>
    </w:p>
    <w:p>
      <w:r/>
      <w:r>
        <w:t>O livro de Atos indica três lugares onde Paulo foi preso: Filipos, Cesareia e Roma. Paulo, escrevendo 2 Coríntios antes de qualquer uma das duas últimas prisões, sugeriu que já havia estado na prisão muitas vezes (</w:t>
      </w:r>
      <w:hyperlink r:id="rId5131">
        <w:r>
          <w:rPr>
            <w:color w:val="0000EE"/>
            <w:u w:val="single"/>
          </w:rPr>
          <w:t>2Co 11.23</w:t>
        </w:r>
      </w:hyperlink>
      <w:r>
        <w:t xml:space="preserve">). Éfeso é um lugar provável para uma dessas prisões (cf. </w:t>
      </w:r>
      <w:hyperlink r:id="rId5132">
        <w:r>
          <w:rPr>
            <w:color w:val="0000EE"/>
            <w:u w:val="single"/>
          </w:rPr>
          <w:t>At 19–20</w:t>
        </w:r>
      </w:hyperlink>
      <w:r>
        <w:t xml:space="preserve">; </w:t>
      </w:r>
      <w:hyperlink r:id="rId5133">
        <w:r>
          <w:rPr>
            <w:color w:val="0000EE"/>
            <w:u w:val="single"/>
          </w:rPr>
          <w:t>1Co 15.32</w:t>
        </w:r>
      </w:hyperlink>
      <w:r>
        <w:t xml:space="preserve">; </w:t>
      </w:r>
      <w:hyperlink r:id="rId5134">
        <w:r>
          <w:rPr>
            <w:color w:val="0000EE"/>
            <w:u w:val="single"/>
          </w:rPr>
          <w:t>2Co 1.8–10</w:t>
        </w:r>
      </w:hyperlink>
      <w:r>
        <w:t>). Consequentemente, um número crescente de estudiosos nomeia essa cidade como o provável lugar onde Paulo escreveu as cartas da prisão. Se isso estiver correto, Paulo escreveu Colossenses em algum momento entre 52 e 55 d.C. Mas o consenso geral é que todas as Epístolas da Prisão foram escritas em Roma, levando assim a 60–62 d.C. como a data de Colossenses.</w:t>
      </w:r>
    </w:p>
    <w:p>
      <w:pPr>
        <w:pStyle w:val="Heading3"/>
      </w:pPr>
      <w:r>
        <w:t>Contexto</w:t>
      </w:r>
    </w:p>
    <w:p>
      <w:r/>
      <w:r>
        <w:t>Identificar o ensino que colocou em perigo a igreja em Colossos é uma tarefa difícil. O problema não é a falta de dados, mas o oposto. A pesquisa histórica revelou uma abundância de informações sobre as crenças e práticas religiosas que proliferaram no mundo romano do primeiro século. A Ásia Menor era uma região particularmente fértil para religiões. Muitas pessoas pertenciam até a mais de uma seita religiosa, e era comum selecionar ideias e práticas de várias religiões. Os cristãos não estavam isentos dessas tendências.</w:t>
      </w:r>
    </w:p>
    <w:p>
      <w:pPr>
        <w:pStyle w:val="Heading4"/>
      </w:pPr>
      <w:r>
        <w:t>Heresia em Colossos</w:t>
      </w:r>
    </w:p>
    <w:p>
      <w:r/>
      <w:r>
        <w:t>Paulo não forneceu uma definição formal da heresia cristã em Colossos. Em vez disso, ele abordou uma série de questões sem identificá-las precisamente. No entanto, se alguém recebe apenas as respostas a várias perguntas, pode ser possível recriar as perguntas a partir delas. O leitor de Colossenses deve tentar definir os princípios do falso ensino com base na resposta de Paulo a essas questões.</w:t>
      </w:r>
    </w:p>
    <w:p>
      <w:r/>
      <w:r>
        <w:t>Alguns estudiosos concluíram que a heresia surgiu do dualismo entre carne e espírito, que se tornou característico do gnosticismo grego e oriental posterior. Os gnósticos posteriores ensinavam que a ordem material das coisas é má, então apenas o que está livre da matéria é bom. Outros estudiosos, observando as injunções de Paulo contra certas leis alimentares, festivais, sábados e circuncisão externa, concluíram que o falso ensinamento surgiu de crenças judaicas. Como a tendência de misturar uma variedade de ideias era tão prevalente, ambas as teorias são provavelmente verdadeiras.</w:t>
      </w:r>
    </w:p>
    <w:p>
      <w:r/>
      <w:r>
        <w:t>Paulo considerava o ensino herético como uma “filosofia” baseada na tradição humana (</w:t>
      </w:r>
      <w:hyperlink r:id="rId5135">
        <w:r>
          <w:rPr>
            <w:color w:val="0000EE"/>
            <w:u w:val="single"/>
          </w:rPr>
          <w:t>2.8</w:t>
        </w:r>
      </w:hyperlink>
      <w:r>
        <w:t>). Sua oração pelos colossenses (</w:t>
      </w:r>
      <w:hyperlink r:id="rId5136">
        <w:r>
          <w:rPr>
            <w:color w:val="0000EE"/>
            <w:u w:val="single"/>
          </w:rPr>
          <w:t>1.9–11</w:t>
        </w:r>
      </w:hyperlink>
      <w:r>
        <w:t>) e certos outros comentários (</w:t>
      </w:r>
      <w:hyperlink r:id="rId5137">
        <w:r>
          <w:rPr>
            <w:color w:val="0000EE"/>
            <w:u w:val="single"/>
          </w:rPr>
          <w:t>1.26–28</w:t>
        </w:r>
      </w:hyperlink>
      <w:r>
        <w:t xml:space="preserve">; </w:t>
      </w:r>
      <w:hyperlink r:id="rId5138">
        <w:r>
          <w:rPr>
            <w:color w:val="0000EE"/>
            <w:u w:val="single"/>
          </w:rPr>
          <w:t>2.2–3</w:t>
        </w:r>
      </w:hyperlink>
      <w:r>
        <w:t xml:space="preserve">) sugerem que ele estava contrariando a noção de que, para certas pessoas, a “filosofia” levava a algum entendimento especial, talvez mágico. Essa filosofia era baseada nos “rudimentos do mundo”. Esta frase está aberta a duas principais linhas de interpretação. Primeiro, o significado básico de “rudimentos” é “objetos que estão em fila ou série”, como as letras do alfabeto. Pode ser facilmente estendido para significar princípios rudimentares ou ensino básico. Esse é o significado em </w:t>
      </w:r>
      <w:hyperlink r:id="rId5139">
        <w:r>
          <w:rPr>
            <w:color w:val="0000EE"/>
            <w:u w:val="single"/>
          </w:rPr>
          <w:t>Hebreus 5.12</w:t>
        </w:r>
      </w:hyperlink>
      <w:r>
        <w:t>, onde o termo se refere às “primeiras lições” da Palavra de Deus. Segundo, os gregos aplicavam a frase às quatro substâncias físicas que pensavam compor o mundo: terra, água, fogo e ar.</w:t>
      </w:r>
    </w:p>
    <w:p>
      <w:r/>
      <w:r>
        <w:t>Um texto grego do século I a.C., referindo-se aos seguidores do filósofo Pitágoras, usa várias das mesmas palavras que Paulo aplicou à heresia colossense. Um mensageiro dos deuses mais altos transporta a alma através de todos os elementos do mundo, desde o mais baixo, a terra e a água, até o mais alto. Se a alma for pura, ela permanece no elemento mais elevado. Caso contrário, é devolvida aos inferiores. A pureza necessária é alcançada por meio da abnegação e de certas práticas cultuais. O ar superior contém o sol, a lua e as estrelas, considerados deuses que controlam os destinos humanos. Além disso, a atmosfera ao redor da terra está cheia de poderes espirituais que devem ser reverenciados. Dessa forma, os elementos do mundo tornam-se associados aos deuses e poderes espirituais que mantêm todas as pessoas cativas e determinam seu destino. Com a ajuda do conhecimento mágico e das cerimônias cultuais, os seres humanos não apenas poderiam escapar do destino imposto pelos poderes espirituais, mas até mesmo manipulá-los para sua própria vantagem.</w:t>
      </w:r>
    </w:p>
    <w:p>
      <w:r/>
      <w:r>
        <w:t>Para resumir, a expressão “rudimentos do mundo” pode se referir tanto ao ensino religioso básico quanto aos poderes espirituais do universo. As declarações em Colossenses tornam o último significado mais provável. Através de sua cruz, Cristo triunfou sobre os governantes e autoridades e os expôs publicamente (</w:t>
      </w:r>
      <w:hyperlink r:id="rId5140">
        <w:r>
          <w:rPr>
            <w:color w:val="0000EE"/>
            <w:u w:val="single"/>
          </w:rPr>
          <w:t>2.15</w:t>
        </w:r>
      </w:hyperlink>
      <w:r>
        <w:t>). Eles não governam a ordem mundial; ele sim (</w:t>
      </w:r>
      <w:hyperlink r:id="rId5141">
        <w:r>
          <w:rPr>
            <w:color w:val="0000EE"/>
            <w:u w:val="single"/>
          </w:rPr>
          <w:t>1.16–20</w:t>
        </w:r>
      </w:hyperlink>
      <w:r>
        <w:t>). A “plenitude” divina habita em Cristo, não em uma divindade remota (</w:t>
      </w:r>
      <w:hyperlink r:id="rId5142">
        <w:r>
          <w:rPr>
            <w:color w:val="0000EE"/>
            <w:u w:val="single"/>
          </w:rPr>
          <w:t>1.19</w:t>
        </w:r>
      </w:hyperlink>
      <w:r>
        <w:t xml:space="preserve">; </w:t>
      </w:r>
      <w:hyperlink r:id="rId5143">
        <w:r>
          <w:rPr>
            <w:color w:val="0000EE"/>
            <w:u w:val="single"/>
          </w:rPr>
          <w:t>2.9</w:t>
        </w:r>
      </w:hyperlink>
      <w:r>
        <w:t>). Os poderes espirituais estão sob a autoridade de Cristo (</w:t>
      </w:r>
      <w:hyperlink r:id="rId3921">
        <w:r>
          <w:rPr>
            <w:color w:val="0000EE"/>
            <w:u w:val="single"/>
          </w:rPr>
          <w:t>2.10</w:t>
        </w:r>
      </w:hyperlink>
      <w:r>
        <w:t>) e devem sua existência a ele (</w:t>
      </w:r>
      <w:hyperlink r:id="rId1940">
        <w:r>
          <w:rPr>
            <w:color w:val="0000EE"/>
            <w:u w:val="single"/>
          </w:rPr>
          <w:t>1.16</w:t>
        </w:r>
      </w:hyperlink>
      <w:r>
        <w:t>). A “adoração de anjos” (uma prática que provavelmente inclui homenagem prestada aos poderes celestiais) é tão errada que pode ter consequências desastrosas (</w:t>
      </w:r>
      <w:hyperlink r:id="rId1945">
        <w:r>
          <w:rPr>
            <w:color w:val="0000EE"/>
            <w:u w:val="single"/>
          </w:rPr>
          <w:t>2.18</w:t>
        </w:r>
      </w:hyperlink>
      <w:r>
        <w:t>).</w:t>
      </w:r>
    </w:p>
    <w:p>
      <w:pPr>
        <w:pStyle w:val="Heading4"/>
      </w:pPr>
      <w:r>
        <w:t>Características principais da heresia</w:t>
      </w:r>
    </w:p>
    <w:p>
      <w:r/>
      <w:r>
        <w:t>Um dogma importante da filosofia colossense parece ter afirmado que Deus era remoto e inacessível. Dois fatores apontam nessa direção. Primeiro, a fascinação com os anjos e poderes espirituais discutidos anteriormente parece indicar que o Deus remoto era acessível apenas através de uma longa cadeia de intermediários. Cristo parece ter sido considerado como um deles, talvez entronizado acima dos outros. Segundo, a filosofia evidentemente sustentava um dualismo que separava o Deus supremo da criação. Para se aproximar dele, os buscadores primeiro tinham que ser libertados da influência maligna da ordem material.</w:t>
      </w:r>
    </w:p>
    <w:p>
      <w:r/>
      <w:r>
        <w:t>Como os seres humanos poderiam contornar ou manipular os poderes estelares angélicos que os impediam de alcançar o Deus supremo? Como poderiam ser libertados do poder escravizador da matéria? A filosofia evidentemente oferecia sabedoria mágica e discernimento como resposta. Através da adoração aos anjos e da observação de dias especiais e práticas cultuais (</w:t>
      </w:r>
      <w:hyperlink r:id="rId5144">
        <w:r>
          <w:rPr>
            <w:color w:val="0000EE"/>
            <w:u w:val="single"/>
          </w:rPr>
          <w:t>2.16–18</w:t>
        </w:r>
      </w:hyperlink>
      <w:r>
        <w:t>), os buscadores poderiam apaziguar ou agradar os intermediários e alcançar a “plenitude” divina. Por meio da auto-humilhação voluntária, da abnegação e da obtenção de visões (</w:t>
      </w:r>
      <w:hyperlink r:id="rId5145">
        <w:r>
          <w:rPr>
            <w:color w:val="0000EE"/>
            <w:u w:val="single"/>
          </w:rPr>
          <w:t>2.18,21–23</w:t>
        </w:r>
      </w:hyperlink>
      <w:r>
        <w:t xml:space="preserve">), eles poderiam escapar da atração da ordem material. A prática da abnegação através da abstinência de alimentos e possivelmente de relações sexuais (“não toque” em </w:t>
      </w:r>
      <w:hyperlink r:id="rId5146">
        <w:r>
          <w:rPr>
            <w:color w:val="0000EE"/>
            <w:u w:val="single"/>
          </w:rPr>
          <w:t>2.21</w:t>
        </w:r>
      </w:hyperlink>
      <w:r>
        <w:t>) parece ter sido limitada a temporadas especiais para alcançar a “visão” de Deus. Caso contrário, a filosofia parece ter permitido liberdade para se engajar em práticas libertinas (</w:t>
      </w:r>
      <w:hyperlink r:id="rId5147">
        <w:r>
          <w:rPr>
            <w:color w:val="0000EE"/>
            <w:u w:val="single"/>
          </w:rPr>
          <w:t>3.5–11</w:t>
        </w:r>
      </w:hyperlink>
      <w:r>
        <w:t>).</w:t>
      </w:r>
    </w:p>
    <w:p>
      <w:pPr>
        <w:pStyle w:val="Heading3"/>
      </w:pPr>
      <w:r>
        <w:t>Propósito e ensino</w:t>
      </w:r>
    </w:p>
    <w:p>
      <w:r/>
      <w:r>
        <w:t xml:space="preserve">Um aviso em </w:t>
      </w:r>
      <w:hyperlink r:id="rId5135">
        <w:r>
          <w:rPr>
            <w:color w:val="0000EE"/>
            <w:u w:val="single"/>
          </w:rPr>
          <w:t>Colossenses 2.8</w:t>
        </w:r>
      </w:hyperlink>
      <w:r>
        <w:t xml:space="preserve"> destaca o principal propósito da carta aos Colossenses. Os leitores são advertidos a não seguir aqueles que “os torne escravos por meio de argumentos sem valor, que vêm da sabedoria humana. Essas coisas vêm dos ensinamentos de criaturas humanas e dos espíritos que dominam o Universo e não de Cristo” (NTLH). Um falso ensino estava se instalando e ameaçando a saúde da congregação, então Paulo escreveu Colossenses para combatê-lo.</w:t>
      </w:r>
    </w:p>
    <w:p>
      <w:r/>
      <w:r>
        <w:t>Paulo abordou a heresia contrastando seus ensinamentos com o ensino correto que seus leitores haviam recebido nas tradições previamente entregues a eles, provavelmente por Epafras (</w:t>
      </w:r>
      <w:hyperlink r:id="rId5148">
        <w:r>
          <w:rPr>
            <w:color w:val="0000EE"/>
            <w:u w:val="single"/>
          </w:rPr>
          <w:t>1.7</w:t>
        </w:r>
      </w:hyperlink>
      <w:r>
        <w:t xml:space="preserve">; </w:t>
      </w:r>
      <w:hyperlink r:id="rId5149">
        <w:r>
          <w:rPr>
            <w:color w:val="0000EE"/>
            <w:u w:val="single"/>
          </w:rPr>
          <w:t>4.12–13</w:t>
        </w:r>
      </w:hyperlink>
      <w:r>
        <w:t>). Deus, através de Cristo, os qualificou para serem exclusivamente seu próprio povo, sua igreja (</w:t>
      </w:r>
      <w:hyperlink r:id="rId5150">
        <w:r>
          <w:rPr>
            <w:color w:val="0000EE"/>
            <w:u w:val="single"/>
          </w:rPr>
          <w:t>1.12–14</w:t>
        </w:r>
      </w:hyperlink>
      <w:r>
        <w:t>). Os defensores do falso ensino ameaçavam desqualificar os colossenses dessa posição favorecida, persuadindo-os a não se manterem firmes em Cristo, o Cabeça da igreja (</w:t>
      </w:r>
      <w:hyperlink r:id="rId5151">
        <w:r>
          <w:rPr>
            <w:color w:val="0000EE"/>
            <w:u w:val="single"/>
          </w:rPr>
          <w:t>2.18–19</w:t>
        </w:r>
      </w:hyperlink>
      <w:r>
        <w:t>). Consequentemente, as tradições que Paulo citou ensinam principalmente sobre Cristo ou sobre a igreja. As primeiras estão principalmente relacionadas ao impressionante hino sobre Cristo (</w:t>
      </w:r>
      <w:hyperlink r:id="rId5122">
        <w:r>
          <w:rPr>
            <w:color w:val="0000EE"/>
            <w:u w:val="single"/>
          </w:rPr>
          <w:t>1.15–20</w:t>
        </w:r>
      </w:hyperlink>
      <w:r>
        <w:t xml:space="preserve">; referido novamente em </w:t>
      </w:r>
      <w:hyperlink r:id="rId5152">
        <w:r>
          <w:rPr>
            <w:color w:val="0000EE"/>
            <w:u w:val="single"/>
          </w:rPr>
          <w:t>2.9–10</w:t>
        </w:r>
      </w:hyperlink>
      <w:r>
        <w:t>, as últimas principalmente associadas ao batismo).</w:t>
      </w:r>
    </w:p>
    <w:p>
      <w:pPr>
        <w:pStyle w:val="Heading4"/>
      </w:pPr>
      <w:r>
        <w:t>Cristo</w:t>
      </w:r>
    </w:p>
    <w:p>
      <w:r/>
      <w:r>
        <w:t xml:space="preserve">Em </w:t>
      </w:r>
      <w:hyperlink r:id="rId5122">
        <w:r>
          <w:rPr>
            <w:color w:val="0000EE"/>
            <w:u w:val="single"/>
          </w:rPr>
          <w:t>1.15–20</w:t>
        </w:r>
      </w:hyperlink>
      <w:r>
        <w:t>, Cristo é celebrado como o Criador preexistente de tudo e como o redentor divino de todos. O "todos" tem dimensões cósmicas, incluindo a terra e os céus, o visível e o invisível, a igreja e os poderes universais. Todas as coisas, incluindo os poderes celestiais, devem sua existência, sustento e destino a Cristo. Ele não deve ser considerado como um dos mediadores celestiais, pois é o preeminente em quem toda a plenitude de Deus habita (</w:t>
      </w:r>
      <w:hyperlink r:id="rId5142">
        <w:r>
          <w:rPr>
            <w:color w:val="0000EE"/>
            <w:u w:val="single"/>
          </w:rPr>
          <w:t>1.19</w:t>
        </w:r>
      </w:hyperlink>
      <w:r>
        <w:t xml:space="preserve">; </w:t>
      </w:r>
      <w:hyperlink r:id="rId5143">
        <w:r>
          <w:rPr>
            <w:color w:val="0000EE"/>
            <w:u w:val="single"/>
          </w:rPr>
          <w:t>2.9</w:t>
        </w:r>
      </w:hyperlink>
      <w:r>
        <w:t>) e em quem os seres humanos encontram realização (</w:t>
      </w:r>
      <w:hyperlink r:id="rId3921">
        <w:r>
          <w:rPr>
            <w:color w:val="0000EE"/>
            <w:u w:val="single"/>
          </w:rPr>
          <w:t>2.10</w:t>
        </w:r>
      </w:hyperlink>
      <w:r>
        <w:t>).</w:t>
      </w:r>
    </w:p>
    <w:p>
      <w:r/>
      <w:r>
        <w:t xml:space="preserve">Paulo deu atenção especial ao significado da morte de Cristo. No hino de </w:t>
      </w:r>
      <w:hyperlink r:id="rId5153">
        <w:r>
          <w:rPr>
            <w:color w:val="0000EE"/>
            <w:u w:val="single"/>
          </w:rPr>
          <w:t>Colossenses 1</w:t>
        </w:r>
      </w:hyperlink>
      <w:r>
        <w:t>, ele explicou a obra reconciliadora de Cristo pela frase “trouxe a paz por meio da morte do seu Filho na cruz” (</w:t>
      </w:r>
      <w:hyperlink r:id="rId5154">
        <w:r>
          <w:rPr>
            <w:color w:val="0000EE"/>
            <w:u w:val="single"/>
          </w:rPr>
          <w:t>1.20</w:t>
        </w:r>
      </w:hyperlink>
      <w:r>
        <w:t>). Ele contrastou as experiências passadas e presentes dos leitores. Anteriormente, eles estavam alienados de Deus tanto em atitude quanto em comportamento. Agora eles estão reconciliados “por meio da morte do seu Filho na cruz” (</w:t>
      </w:r>
      <w:hyperlink r:id="rId5155">
        <w:r>
          <w:rPr>
            <w:color w:val="0000EE"/>
            <w:u w:val="single"/>
          </w:rPr>
          <w:t>1.21–22</w:t>
        </w:r>
      </w:hyperlink>
      <w:r>
        <w:t>). Como consequência dessa reconciliação, Deus transforma o caráter humano.</w:t>
      </w:r>
    </w:p>
    <w:p>
      <w:r/>
      <w:r>
        <w:t>A morte de Cristo não apenas restaura os relacionamentos entre indivíduos e Deus, mas também os liberta das intenções hostis dos “principados e potestades”. Esses poderes parecem ser agentes demoníacos que trazem acusações contra os seres humanos — acusações baseadas em um “certificado de dívida” fundamentado em ordenanças (leis). Paulo proclamou aos Colossenses que Deus havia removido o fundamento dessas acusações, pregando-o na cruz (</w:t>
      </w:r>
      <w:hyperlink r:id="rId5156">
        <w:r>
          <w:rPr>
            <w:color w:val="0000EE"/>
            <w:u w:val="single"/>
          </w:rPr>
          <w:t>2.14</w:t>
        </w:r>
      </w:hyperlink>
      <w:r>
        <w:t xml:space="preserve">), e que na cruz ele havia exposto publicamente e triunfado sobre os acusadores (v. </w:t>
      </w:r>
      <w:hyperlink r:id="rId5140">
        <w:r>
          <w:rPr>
            <w:color w:val="0000EE"/>
            <w:u w:val="single"/>
          </w:rPr>
          <w:t>15</w:t>
        </w:r>
      </w:hyperlink>
      <w:r>
        <w:t>). A morte de Cristo não foi uma tragédia, mas um triunfo libertador e transformador sobre o pecado e os poderes malignos.</w:t>
      </w:r>
    </w:p>
    <w:p>
      <w:pPr>
        <w:pStyle w:val="Heading4"/>
      </w:pPr>
      <w:r>
        <w:t>A Igreja</w:t>
      </w:r>
    </w:p>
    <w:p>
      <w:r/>
      <w:r>
        <w:t>A igreja é o “corpo” de Cristo (</w:t>
      </w:r>
      <w:hyperlink r:id="rId5157">
        <w:r>
          <w:rPr>
            <w:color w:val="0000EE"/>
            <w:u w:val="single"/>
          </w:rPr>
          <w:t>1.18,24</w:t>
        </w:r>
      </w:hyperlink>
      <w:r>
        <w:t>), sobre o qual Cristo é o Cabeça e fonte de vida (</w:t>
      </w:r>
      <w:hyperlink r:id="rId5158">
        <w:r>
          <w:rPr>
            <w:color w:val="0000EE"/>
            <w:u w:val="single"/>
          </w:rPr>
          <w:t>2.19</w:t>
        </w:r>
      </w:hyperlink>
      <w:r>
        <w:t>). É uma comunidade que o Pai qualificou para participar da herança celestial com os santos; ele a livrou dos poderes da era maligna e a fez participar do poder da era vindoura, “o Reino do seu Filho amado” (</w:t>
      </w:r>
      <w:hyperlink r:id="rId5159">
        <w:r>
          <w:rPr>
            <w:color w:val="0000EE"/>
            <w:u w:val="single"/>
          </w:rPr>
          <w:t>1.13</w:t>
        </w:r>
      </w:hyperlink>
      <w:r>
        <w:t>). A igreja, portanto, não deve viver com medo dos “governantes” e “autoridades”, mas deve participar do triunfo de Cristo sobre esses poderes hostis.</w:t>
      </w:r>
    </w:p>
    <w:p>
      <w:pPr>
        <w:pStyle w:val="Heading3"/>
      </w:pPr>
      <w:r>
        <w:t>Conteúdo</w:t>
      </w:r>
    </w:p>
    <w:p>
      <w:r/>
      <w:r>
        <w:t>Ao escrever aos Colossenses, Paulo seguiu um formato padrão de carta com saudação, ação de graças, oração, corpo principal e observações finais. A saudação (</w:t>
      </w:r>
      <w:hyperlink r:id="rId5160">
        <w:r>
          <w:rPr>
            <w:color w:val="0000EE"/>
            <w:u w:val="single"/>
          </w:rPr>
          <w:t>1.1–2</w:t>
        </w:r>
      </w:hyperlink>
      <w:r>
        <w:t>) traz saudações à igreja dele e de Timóteo. Em seguida, há uma declaração de ação de graças pela boa condição da comunidade (</w:t>
      </w:r>
      <w:hyperlink r:id="rId5161">
        <w:r>
          <w:rPr>
            <w:color w:val="0000EE"/>
            <w:u w:val="single"/>
          </w:rPr>
          <w:t>1.3–8</w:t>
        </w:r>
      </w:hyperlink>
      <w:r>
        <w:t>) e uma oração para que os Colossenses sejam preenchidos com o conhecimento da vontade de Deus, o que resultará em uma conduta digna (</w:t>
      </w:r>
      <w:hyperlink r:id="rId5136">
        <w:r>
          <w:rPr>
            <w:color w:val="0000EE"/>
            <w:u w:val="single"/>
          </w:rPr>
          <w:t>1.9–11</w:t>
        </w:r>
      </w:hyperlink>
      <w:r>
        <w:t>).</w:t>
      </w:r>
    </w:p>
    <w:p>
      <w:r/>
      <w:r>
        <w:t>A primeira parte do corpo da carta convoca os Colossenses a louvar e, em seguida, cita e aplica o Grande hino sobre Cristo (</w:t>
      </w:r>
      <w:hyperlink r:id="rId5162">
        <w:r>
          <w:rPr>
            <w:color w:val="0000EE"/>
            <w:u w:val="single"/>
          </w:rPr>
          <w:t>1.12–23</w:t>
        </w:r>
      </w:hyperlink>
      <w:r>
        <w:t>). Especificamente, a primeira parte começa com uma ação de graças confessional ao Pai por chamá-los para serem seu povo único (</w:t>
      </w:r>
      <w:hyperlink r:id="rId5150">
        <w:r>
          <w:rPr>
            <w:color w:val="0000EE"/>
            <w:u w:val="single"/>
          </w:rPr>
          <w:t>1.12–14</w:t>
        </w:r>
      </w:hyperlink>
      <w:r>
        <w:t>). Um hino segue, celebrando Cristo como o soberano Criador e redentor de tudo o que existe (</w:t>
      </w:r>
      <w:hyperlink r:id="rId5122">
        <w:r>
          <w:rPr>
            <w:color w:val="0000EE"/>
            <w:u w:val="single"/>
          </w:rPr>
          <w:t>1.15–20</w:t>
        </w:r>
      </w:hyperlink>
      <w:r>
        <w:t>). Os Colossenses são participantes dos resultados do ministério reconciliador de Cristo (</w:t>
      </w:r>
      <w:hyperlink r:id="rId5163">
        <w:r>
          <w:rPr>
            <w:color w:val="0000EE"/>
            <w:u w:val="single"/>
          </w:rPr>
          <w:t>1.21–23</w:t>
        </w:r>
      </w:hyperlink>
      <w:r>
        <w:t>).</w:t>
      </w:r>
    </w:p>
    <w:p>
      <w:r/>
      <w:r>
        <w:t>A segunda parte do corpo da carta descreve o ministério apostólico de Paulo (</w:t>
      </w:r>
      <w:hyperlink r:id="rId5164">
        <w:r>
          <w:rPr>
            <w:color w:val="0000EE"/>
            <w:u w:val="single"/>
          </w:rPr>
          <w:t>1.24–2.5</w:t>
        </w:r>
      </w:hyperlink>
      <w:r>
        <w:t>). Sua tarefa era tornar conhecido o mistério de Deus referente a Cristo aos gentios em geral (</w:t>
      </w:r>
      <w:hyperlink r:id="rId5165">
        <w:r>
          <w:rPr>
            <w:color w:val="0000EE"/>
            <w:u w:val="single"/>
          </w:rPr>
          <w:t>1.24–29</w:t>
        </w:r>
      </w:hyperlink>
      <w:r>
        <w:t>) e às igrejas de Colossos e Laodiceia em particular (</w:t>
      </w:r>
      <w:hyperlink r:id="rId5166">
        <w:r>
          <w:rPr>
            <w:color w:val="0000EE"/>
            <w:u w:val="single"/>
          </w:rPr>
          <w:t>2.1–5</w:t>
        </w:r>
      </w:hyperlink>
      <w:r>
        <w:t>).</w:t>
      </w:r>
    </w:p>
    <w:p>
      <w:r/>
      <w:r>
        <w:t>A terceira parte do corpo da carta introduz a principal preocupação de Paulo com a congregação de Colossos: eles devem seguir a tradição recebida sobre Cristo (ou seja, os ensinamentos sobre Cristo que aceitaram inicialmente), e não cair nas falsas doutrinas atuais (</w:t>
      </w:r>
      <w:hyperlink r:id="rId5167">
        <w:r>
          <w:rPr>
            <w:color w:val="0000EE"/>
            <w:u w:val="single"/>
          </w:rPr>
          <w:t>2.6–23</w:t>
        </w:r>
      </w:hyperlink>
      <w:r>
        <w:t xml:space="preserve">). Eles devem caminhar à luz da tradição recebida (vv. </w:t>
      </w:r>
      <w:hyperlink r:id="rId5168">
        <w:r>
          <w:rPr>
            <w:color w:val="0000EE"/>
            <w:u w:val="single"/>
          </w:rPr>
          <w:t>6–7</w:t>
        </w:r>
      </w:hyperlink>
      <w:r>
        <w:t xml:space="preserve">), e são advertidos contra a falsa filosofia (v. </w:t>
      </w:r>
      <w:hyperlink r:id="rId5135">
        <w:r>
          <w:rPr>
            <w:color w:val="0000EE"/>
            <w:u w:val="single"/>
          </w:rPr>
          <w:t>8</w:t>
        </w:r>
      </w:hyperlink>
      <w:r>
        <w:t xml:space="preserve">). O hino de </w:t>
      </w:r>
      <w:hyperlink r:id="rId5122">
        <w:r>
          <w:rPr>
            <w:color w:val="0000EE"/>
            <w:u w:val="single"/>
          </w:rPr>
          <w:t>1.15–20</w:t>
        </w:r>
      </w:hyperlink>
      <w:r>
        <w:t xml:space="preserve"> é novamente mencionado, aqui enfatizando a soberania divina de Cristo (</w:t>
      </w:r>
      <w:hyperlink r:id="rId5152">
        <w:r>
          <w:rPr>
            <w:color w:val="0000EE"/>
            <w:u w:val="single"/>
          </w:rPr>
          <w:t>2.9–10</w:t>
        </w:r>
      </w:hyperlink>
      <w:r>
        <w:t xml:space="preserve">) e proclamando sua vitória sobre os principados e potestades (vv. </w:t>
      </w:r>
      <w:hyperlink r:id="rId5169">
        <w:r>
          <w:rPr>
            <w:color w:val="0000EE"/>
            <w:u w:val="single"/>
          </w:rPr>
          <w:t>11–15</w:t>
        </w:r>
      </w:hyperlink>
      <w:r>
        <w:t xml:space="preserve">). Por causa de tal Cristo, os colossenses são exortados a não se submeterem aos regulamentos e preceitos da falsa doutrina (vv. </w:t>
      </w:r>
      <w:hyperlink r:id="rId5170">
        <w:r>
          <w:rPr>
            <w:color w:val="0000EE"/>
            <w:u w:val="single"/>
          </w:rPr>
          <w:t>16–23</w:t>
        </w:r>
      </w:hyperlink>
      <w:r>
        <w:t>).</w:t>
      </w:r>
    </w:p>
    <w:p>
      <w:r/>
      <w:r>
        <w:t>A quarta parte do corpo da carta convoca a igreja a viver de maneira condizente com os cristãos (</w:t>
      </w:r>
      <w:hyperlink r:id="rId5171">
        <w:r>
          <w:rPr>
            <w:color w:val="0000EE"/>
            <w:u w:val="single"/>
          </w:rPr>
          <w:t>3.1–4.6</w:t>
        </w:r>
      </w:hyperlink>
      <w:r>
        <w:t>). Aqueles que foram ressuscitados com Cristo devem buscar as coisas do alto (</w:t>
      </w:r>
      <w:hyperlink r:id="rId5126">
        <w:r>
          <w:rPr>
            <w:color w:val="0000EE"/>
            <w:u w:val="single"/>
          </w:rPr>
          <w:t>3.1–4</w:t>
        </w:r>
      </w:hyperlink>
      <w:r>
        <w:t xml:space="preserve">). Isso significa que devem abandonar os traços e atitudes listados em um catálogo de vícios (vv. </w:t>
      </w:r>
      <w:hyperlink r:id="rId5147">
        <w:r>
          <w:rPr>
            <w:color w:val="0000EE"/>
            <w:u w:val="single"/>
          </w:rPr>
          <w:t>5–11</w:t>
        </w:r>
      </w:hyperlink>
      <w:r>
        <w:t xml:space="preserve">) e adotar os traços e atitudes listados em um catálogo de virtudes (vv. </w:t>
      </w:r>
      <w:hyperlink r:id="rId5172">
        <w:r>
          <w:rPr>
            <w:color w:val="0000EE"/>
            <w:u w:val="single"/>
          </w:rPr>
          <w:t>12–14</w:t>
        </w:r>
      </w:hyperlink>
      <w:r>
        <w:t>). No culto, devem se comportar de maneira unificada e ordeira (</w:t>
      </w:r>
      <w:hyperlink r:id="rId5173">
        <w:r>
          <w:rPr>
            <w:color w:val="0000EE"/>
            <w:u w:val="single"/>
          </w:rPr>
          <w:t>3.15–4.1</w:t>
        </w:r>
      </w:hyperlink>
      <w:r>
        <w:t>). O chamado “código doméstico” referente ao casamento, filhos e escravidão (</w:t>
      </w:r>
      <w:hyperlink r:id="rId5174">
        <w:r>
          <w:rPr>
            <w:color w:val="0000EE"/>
            <w:u w:val="single"/>
          </w:rPr>
          <w:t>3.18–4.1</w:t>
        </w:r>
      </w:hyperlink>
      <w:r>
        <w:t>) aparece em um contexto que trata do culto (</w:t>
      </w:r>
      <w:hyperlink r:id="rId5175">
        <w:r>
          <w:rPr>
            <w:color w:val="0000EE"/>
            <w:u w:val="single"/>
          </w:rPr>
          <w:t>3.15–17</w:t>
        </w:r>
      </w:hyperlink>
      <w:r>
        <w:t xml:space="preserve">; </w:t>
      </w:r>
      <w:hyperlink r:id="rId5176">
        <w:r>
          <w:rPr>
            <w:color w:val="0000EE"/>
            <w:u w:val="single"/>
          </w:rPr>
          <w:t>4.2–6</w:t>
        </w:r>
      </w:hyperlink>
      <w:r>
        <w:t>). As admoestações mais urgentes no código são dirigidas a esposas e escravos, grupos que especialmente desejariam a igualdade prometida no evangelho (</w:t>
      </w:r>
      <w:hyperlink r:id="rId5177">
        <w:r>
          <w:rPr>
            <w:color w:val="0000EE"/>
            <w:u w:val="single"/>
          </w:rPr>
          <w:t>Gl 3.28</w:t>
        </w:r>
      </w:hyperlink>
      <w:r>
        <w:t xml:space="preserve">; note </w:t>
      </w:r>
      <w:hyperlink r:id="rId3128">
        <w:r>
          <w:rPr>
            <w:color w:val="0000EE"/>
            <w:u w:val="single"/>
          </w:rPr>
          <w:t>Cl 3.11</w:t>
        </w:r>
      </w:hyperlink>
      <w:r>
        <w:t>). Assim, Paulo provavelmente usou o código para chamar à ordem no serviço de culto público.</w:t>
      </w:r>
    </w:p>
    <w:p>
      <w:r/>
      <w:r>
        <w:t>Paulo concluiu sua carta afirmando primeiro que Tíquico e o escravo recém-convertido, Onésimo, informariam a igreja sobre suas circunstâncias (</w:t>
      </w:r>
      <w:hyperlink r:id="rId5120">
        <w:r>
          <w:rPr>
            <w:color w:val="0000EE"/>
            <w:u w:val="single"/>
          </w:rPr>
          <w:t>4.7–9</w:t>
        </w:r>
      </w:hyperlink>
      <w:r>
        <w:t xml:space="preserve">), e depois acrescentou uma série de saudações (vv. </w:t>
      </w:r>
      <w:hyperlink r:id="rId5178">
        <w:r>
          <w:rPr>
            <w:color w:val="0000EE"/>
            <w:u w:val="single"/>
          </w:rPr>
          <w:t>10–18</w:t>
        </w:r>
      </w:hyperlink>
      <w:r>
        <w:t>).</w:t>
      </w:r>
    </w:p>
    <w:p>
      <w:r/>
      <w:r>
        <w:rPr>
          <w:i/>
        </w:rPr>
        <w:t>Veja também</w:t>
      </w:r>
      <w:r>
        <w:t xml:space="preserve"> </w:t>
      </w:r>
      <w:r>
        <w:t>Atos dos Apóstolos, Livro de</w:t>
      </w:r>
      <w:r>
        <w:t xml:space="preserve">; </w:t>
      </w:r>
      <w:r>
        <w:t>Apóstolo, Apostolado</w:t>
      </w:r>
      <w:r>
        <w:t xml:space="preserve">; </w:t>
      </w:r>
      <w:r>
        <w:t>Colossa, Colossos</w:t>
      </w:r>
      <w:r>
        <w:t xml:space="preserve">; </w:t>
      </w:r>
      <w:r>
        <w:t>Paulo, o Apóstolo</w:t>
      </w:r>
      <w:r>
        <w:t>.</w:t>
      </w:r>
      <w:r/>
      <w:r/>
    </w:p>
    <w:p>
      <w:r/>
    </w:p>
    <w:p>
      <w:pPr>
        <w:pStyle w:val="Heading2"/>
      </w:pPr>
      <w:r>
        <w:t>Colossos, Colossas</w:t>
      </w:r>
      <w:r/>
    </w:p>
    <w:p>
      <w:r/>
      <w:r>
        <w:t>Cidade antiga na Ásia Menor, localizada na parte sudoeste da atual Turquia, lembrada principalmente pela carta do apóstolo Paulo à igreja local (</w:t>
      </w:r>
      <w:hyperlink r:id="rId5179">
        <w:r>
          <w:rPr>
            <w:color w:val="0000EE"/>
            <w:u w:val="single"/>
          </w:rPr>
          <w:t>Cl 1.2</w:t>
        </w:r>
      </w:hyperlink>
      <w:r>
        <w:t>). Colossos estava perto do rio Lico, um afluente do Meandro. A cidade prosperou durante o século VI a.C.. Segundo Heródoto, um antigo historiador grego, quando o rei persa Xerxes chegou a Colossos, era uma cidade de grande tamanho. Outro historiador grego, Xenofonte, relatou que Ciro, o Grande, fundador do Império Persa, havia passado por Colossos ainda antes em seu caminho para a Grécia.</w:t>
      </w:r>
    </w:p>
    <w:p>
      <w:r/>
      <w:r>
        <w:t xml:space="preserve">Colossos estava situada na região conhecida como Frígia e era um centro comercial em um cruzamento na estrada principal de Éfeso para o Leste. Nos tempos romanos, a relocação da estrada que levava ao norte para Pérgamo provocou tanto o crescimento de Laodiceia, uma cidade a 16 quilômetros de distância, quanto o declínio gradual de Colossos. Colossos e Laodiceia compartilhavam o comércio de lã. Assim, o nome Colossos foi derivado de um nome latino </w:t>
      </w:r>
      <w:r>
        <w:rPr>
          <w:i/>
        </w:rPr>
        <w:t>collossinus,</w:t>
      </w:r>
      <w:r>
        <w:t xml:space="preserve"> que significa "lã púrpura".</w:t>
      </w:r>
    </w:p>
    <w:p>
      <w:r/>
      <w:r>
        <w:t>Na época do apóstolo Paulo, Colossos era uma pequena cidade com uma população mista de frígios, gregos e judeus. Durante sua estadia prolongada em Éfeso, Paulo pode ter ensinado judeus e gregos que viviam em Colossos (</w:t>
      </w:r>
      <w:hyperlink r:id="rId2746">
        <w:r>
          <w:rPr>
            <w:color w:val="0000EE"/>
            <w:u w:val="single"/>
          </w:rPr>
          <w:t>At 19.10</w:t>
        </w:r>
      </w:hyperlink>
      <w:r>
        <w:t>). Epafras, um colossense, visitou Paulo em Roma e informou-o sobre a condição da igreja em Colossos (</w:t>
      </w:r>
      <w:hyperlink r:id="rId5148">
        <w:r>
          <w:rPr>
            <w:color w:val="0000EE"/>
            <w:u w:val="single"/>
          </w:rPr>
          <w:t>Cl 1.7</w:t>
        </w:r>
      </w:hyperlink>
      <w:r>
        <w:t xml:space="preserve">; </w:t>
      </w:r>
      <w:hyperlink r:id="rId5180">
        <w:r>
          <w:rPr>
            <w:color w:val="0000EE"/>
            <w:u w:val="single"/>
          </w:rPr>
          <w:t>4.12</w:t>
        </w:r>
      </w:hyperlink>
      <w:r>
        <w:t>), e depois foi preso com Paulo (</w:t>
      </w:r>
      <w:hyperlink r:id="rId5181">
        <w:r>
          <w:rPr>
            <w:color w:val="0000EE"/>
            <w:u w:val="single"/>
          </w:rPr>
          <w:t>Fm 1.23</w:t>
        </w:r>
      </w:hyperlink>
      <w:r>
        <w:t>). Outros membros da igreja colossense incluíam Filemom, Áfia, Arquipo e Onésimo, um escravo que se tornou cristão (</w:t>
      </w:r>
      <w:hyperlink r:id="rId4296">
        <w:r>
          <w:rPr>
            <w:color w:val="0000EE"/>
            <w:u w:val="single"/>
          </w:rPr>
          <w:t>Fm 1.16</w:t>
        </w:r>
      </w:hyperlink>
      <w:r>
        <w:t>). A história subsequente é silenciosa sobre a igreja em Colossos. A cidade foi enfraquecida sob o domínio islâmico e acabou sendo destruída no século XII.</w:t>
      </w:r>
      <w:r/>
      <w:r/>
    </w:p>
    <w:p>
      <w:r/>
    </w:p>
    <w:p>
      <w:pPr>
        <w:pStyle w:val="Heading2"/>
      </w:pPr>
      <w:r>
        <w:t>Comerciante</w:t>
      </w:r>
      <w:r/>
    </w:p>
    <w:p>
      <w:r/>
      <w:r>
        <w:t>Uma pessoa que compra e vende mercadorias para obter lucro. O sistema de troca de mercadorias evoluiu, com o tempo, para um sistema onde comerciantes profissionais facilitavam a troca de bens. No início, o pagamento era feito em peças de prata (</w:t>
      </w:r>
      <w:hyperlink r:id="rId5182">
        <w:r>
          <w:rPr>
            <w:color w:val="0000EE"/>
            <w:u w:val="single"/>
          </w:rPr>
          <w:t>Gn 23.16</w:t>
        </w:r>
      </w:hyperlink>
      <w:r>
        <w:t>) e depois em moedas ou algum outro meio de troca. Os comerciantes operavam local e internacionalmente com arameus (</w:t>
      </w:r>
      <w:hyperlink r:id="rId240">
        <w:r>
          <w:rPr>
            <w:color w:val="0000EE"/>
            <w:u w:val="single"/>
          </w:rPr>
          <w:t>1Rs 20.34</w:t>
        </w:r>
      </w:hyperlink>
      <w:r>
        <w:t xml:space="preserve">; </w:t>
      </w:r>
      <w:hyperlink r:id="rId5183">
        <w:r>
          <w:rPr>
            <w:color w:val="0000EE"/>
            <w:u w:val="single"/>
          </w:rPr>
          <w:t>Ez 27.16–18</w:t>
        </w:r>
      </w:hyperlink>
      <w:r>
        <w:t>), cananeus e fenícios (</w:t>
      </w:r>
      <w:hyperlink r:id="rId5184">
        <w:r>
          <w:rPr>
            <w:color w:val="0000EE"/>
            <w:u w:val="single"/>
          </w:rPr>
          <w:t>Is 23.2,8</w:t>
        </w:r>
      </w:hyperlink>
      <w:r>
        <w:t>), assírios (</w:t>
      </w:r>
      <w:hyperlink r:id="rId5185">
        <w:r>
          <w:rPr>
            <w:color w:val="0000EE"/>
            <w:u w:val="single"/>
          </w:rPr>
          <w:t>Na 3.16</w:t>
        </w:r>
      </w:hyperlink>
      <w:r>
        <w:t>), babilônios, persas, gregos e romanos. Alguns comerciantes viajavam para longe (</w:t>
      </w:r>
      <w:hyperlink r:id="rId5186">
        <w:r>
          <w:rPr>
            <w:color w:val="0000EE"/>
            <w:u w:val="single"/>
          </w:rPr>
          <w:t>Ne 13.16–20</w:t>
        </w:r>
      </w:hyperlink>
      <w:r>
        <w:t>). Povos do deserto com caravanas comercializavam suas mercadorias em muitas terras (</w:t>
      </w:r>
      <w:hyperlink r:id="rId5187">
        <w:r>
          <w:rPr>
            <w:color w:val="0000EE"/>
            <w:u w:val="single"/>
          </w:rPr>
          <w:t>Ez 27.15,20–23</w:t>
        </w:r>
      </w:hyperlink>
      <w:r>
        <w:t xml:space="preserve">; </w:t>
      </w:r>
      <w:hyperlink r:id="rId5188">
        <w:r>
          <w:rPr>
            <w:color w:val="0000EE"/>
            <w:u w:val="single"/>
          </w:rPr>
          <w:t>38.13</w:t>
        </w:r>
      </w:hyperlink>
      <w:r>
        <w:t>). Eles operavam em bazares e montavam lojas para comércio (</w:t>
      </w:r>
      <w:hyperlink r:id="rId240">
        <w:r>
          <w:rPr>
            <w:color w:val="0000EE"/>
            <w:u w:val="single"/>
          </w:rPr>
          <w:t>1Rs 20.34</w:t>
        </w:r>
      </w:hyperlink>
      <w:r>
        <w:t xml:space="preserve">; </w:t>
      </w:r>
      <w:hyperlink r:id="rId5189">
        <w:r>
          <w:rPr>
            <w:color w:val="0000EE"/>
            <w:u w:val="single"/>
          </w:rPr>
          <w:t>Ne 3.31</w:t>
        </w:r>
      </w:hyperlink>
      <w:r>
        <w:t xml:space="preserve">; </w:t>
      </w:r>
      <w:hyperlink r:id="rId5190">
        <w:r>
          <w:rPr>
            <w:color w:val="0000EE"/>
            <w:u w:val="single"/>
          </w:rPr>
          <w:t>13.19–20</w:t>
        </w:r>
      </w:hyperlink>
      <w:r>
        <w:t>). As mercadorias eram armazenadas em armazéns (</w:t>
      </w:r>
      <w:hyperlink r:id="rId5191">
        <w:r>
          <w:rPr>
            <w:color w:val="0000EE"/>
            <w:u w:val="single"/>
          </w:rPr>
          <w:t>Gn 41.49</w:t>
        </w:r>
      </w:hyperlink>
      <w:r>
        <w:t xml:space="preserve">; </w:t>
      </w:r>
      <w:hyperlink r:id="rId5192">
        <w:r>
          <w:rPr>
            <w:color w:val="0000EE"/>
            <w:u w:val="single"/>
          </w:rPr>
          <w:t>1Rs 9.19</w:t>
        </w:r>
      </w:hyperlink>
      <w:r>
        <w:t>). Os filhos de Jacó negociavam no Egito (</w:t>
      </w:r>
      <w:hyperlink r:id="rId5193">
        <w:r>
          <w:rPr>
            <w:color w:val="0000EE"/>
            <w:u w:val="single"/>
          </w:rPr>
          <w:t>Gn 43.11</w:t>
        </w:r>
      </w:hyperlink>
      <w:r>
        <w:t>). Nos dias de Salomão, o comércio se expandiu significativamente (</w:t>
      </w:r>
      <w:hyperlink r:id="rId5194">
        <w:r>
          <w:rPr>
            <w:color w:val="0000EE"/>
            <w:u w:val="single"/>
          </w:rPr>
          <w:t>1Rs 9.26–27</w:t>
        </w:r>
      </w:hyperlink>
      <w:r>
        <w:t xml:space="preserve">; </w:t>
      </w:r>
      <w:hyperlink r:id="rId5195">
        <w:r>
          <w:rPr>
            <w:color w:val="0000EE"/>
            <w:u w:val="single"/>
          </w:rPr>
          <w:t>10.28</w:t>
        </w:r>
      </w:hyperlink>
      <w:r>
        <w:t>). Durante o exílio, os judeus se envolveram em atividades comerciais na Babilônia, e muitos nunca retornaram à Palestina. Em Jerusalém, os comerciantes ajudaram Neemias a reconstruir o muro (</w:t>
      </w:r>
      <w:hyperlink r:id="rId5196">
        <w:r>
          <w:rPr>
            <w:color w:val="0000EE"/>
            <w:u w:val="single"/>
          </w:rPr>
          <w:t>Ne 3.31–32</w:t>
        </w:r>
      </w:hyperlink>
      <w:r>
        <w:t>).</w:t>
      </w:r>
      <w:r/>
      <w:r/>
    </w:p>
    <w:p>
      <w:r/>
    </w:p>
    <w:p>
      <w:pPr>
        <w:pStyle w:val="Heading2"/>
      </w:pPr>
      <w:r>
        <w:t>Comida E Preparação De Alimentos</w:t>
      </w:r>
      <w:r/>
    </w:p>
    <w:p>
      <w:r/>
      <w:r>
        <w:t>Substâncias exigidas pelo corpo para sustentar a vida e os métodos de torná-las comestíveis. Os alimentos consumidos nos tempos bíblicos incluíam pão, produtos lácteos, frutas, carnes e peixes. A comida também era oferecida sacrificialmente ou dada como presentes. A disponibilidade de comida era uma preocupação perpétua por causa da escassez recorrente: as secas eram frequentes (</w:t>
      </w:r>
      <w:hyperlink r:id="rId5197">
        <w:r>
          <w:rPr>
            <w:color w:val="0000EE"/>
            <w:u w:val="single"/>
          </w:rPr>
          <w:t>2Rs 4.38</w:t>
        </w:r>
      </w:hyperlink>
      <w:r>
        <w:t xml:space="preserve">; </w:t>
      </w:r>
      <w:hyperlink r:id="rId5198">
        <w:r>
          <w:rPr>
            <w:color w:val="0000EE"/>
            <w:u w:val="single"/>
          </w:rPr>
          <w:t>Jr 14.1,4–6</w:t>
        </w:r>
      </w:hyperlink>
      <w:r>
        <w:t xml:space="preserve">; </w:t>
      </w:r>
      <w:hyperlink r:id="rId5199">
        <w:r>
          <w:rPr>
            <w:color w:val="0000EE"/>
            <w:u w:val="single"/>
          </w:rPr>
          <w:t>Ag 1.11</w:t>
        </w:r>
      </w:hyperlink>
      <w:r>
        <w:t>), tempestades de granizo causavam devastação entre colheitas (</w:t>
      </w:r>
      <w:hyperlink r:id="rId5200">
        <w:r>
          <w:rPr>
            <w:color w:val="0000EE"/>
            <w:u w:val="single"/>
          </w:rPr>
          <w:t>Ag 2.17</w:t>
        </w:r>
      </w:hyperlink>
      <w:r>
        <w:t>), a produção agrícola era frequentemente interrompida pela guerra com as nações vizinhas (</w:t>
      </w:r>
      <w:hyperlink r:id="rId5201">
        <w:r>
          <w:rPr>
            <w:color w:val="0000EE"/>
            <w:u w:val="single"/>
          </w:rPr>
          <w:t>2Rs 6.25</w:t>
        </w:r>
      </w:hyperlink>
      <w:r>
        <w:t>), e pragas intermitentes de gafanhotos devastavam grandes áreas.</w:t>
      </w:r>
    </w:p>
    <w:p>
      <w:r/>
      <w:r>
        <w:t>A comida era mais abundante na Palestina (descrita como uma “terra de onde flui leite e mel”) do que em muitas outras partes do Oriente Próximo. A lavoura rasa do solo, no entanto, tornava as colheitas altamente dependentes das chuvas regulares. As colheitas egípcias eram muito menos suscetíveis às variações climáticas, porque o Nilo fornecia uma fonte confiável de água.</w:t>
      </w:r>
    </w:p>
    <w:p>
      <w:r/>
      <w:r>
        <w:t>A escassez de alimentos era considerada uma advertência ou punição de Deus (</w:t>
      </w:r>
      <w:hyperlink r:id="rId5202">
        <w:r>
          <w:rPr>
            <w:color w:val="0000EE"/>
            <w:u w:val="single"/>
          </w:rPr>
          <w:t>Lm 4.9,11</w:t>
        </w:r>
      </w:hyperlink>
      <w:r>
        <w:t xml:space="preserve">; </w:t>
      </w:r>
      <w:hyperlink r:id="rId5203">
        <w:r>
          <w:rPr>
            <w:color w:val="0000EE"/>
            <w:u w:val="single"/>
          </w:rPr>
          <w:t>Am 4.6–9</w:t>
        </w:r>
      </w:hyperlink>
      <w:r>
        <w:t>) para ensinar aos hebreus que a vida é mais do que comida e que a fé deve continuar apesar da escassez, fome ou até mesmo a morte (</w:t>
      </w:r>
      <w:hyperlink r:id="rId341">
        <w:r>
          <w:rPr>
            <w:color w:val="0000EE"/>
            <w:u w:val="single"/>
          </w:rPr>
          <w:t>Dt 8.3</w:t>
        </w:r>
      </w:hyperlink>
      <w:r>
        <w:t xml:space="preserve">; </w:t>
      </w:r>
      <w:hyperlink r:id="rId5204">
        <w:r>
          <w:rPr>
            <w:color w:val="0000EE"/>
            <w:u w:val="single"/>
          </w:rPr>
          <w:t>Hb 3.17–18</w:t>
        </w:r>
      </w:hyperlink>
      <w:r>
        <w:t>).</w:t>
      </w:r>
    </w:p>
    <w:p>
      <w:r/>
      <w:r>
        <w:t>Os alimentos básicos dos hebreus nômades eram leite, coalhada e queijo. À medida que as pessoas se tornaram mais estacionárias, elas plantaram grãos e vegetais e plantaram pomares e vinhas. Os grãos às vezes eram plantados por uma temporada, e então, após a colheita, as tribos moviam seus rebanhos para outros pastos e encontravam outras terras aráveis. Os sacrifícios e festivais religiosos eram tempos não apenas de solenidade, mas também de alegria e grande festa. As vitórias também eram celebradas com banquetes e festividades com a comida obtida do acampamento do inimigo vencido.</w:t>
      </w:r>
    </w:p>
    <w:p>
      <w:r/>
      <w:r>
        <w:t>Resumo</w:t>
      </w:r>
    </w:p>
    <w:p>
      <w:r/>
      <w:r>
        <w:t>• Produtos lácteos</w:t>
      </w:r>
    </w:p>
    <w:p>
      <w:r/>
      <w:r>
        <w:t>• Colheitas de grãos</w:t>
      </w:r>
    </w:p>
    <w:p>
      <w:r/>
      <w:r>
        <w:t>• Produtos animais</w:t>
      </w:r>
    </w:p>
    <w:p>
      <w:r/>
      <w:r>
        <w:t>• Insetos e seus produtos alimentares</w:t>
      </w:r>
    </w:p>
    <w:p>
      <w:r/>
      <w:r>
        <w:t>• Vegetais e Temperos</w:t>
      </w:r>
    </w:p>
    <w:p>
      <w:r/>
      <w:r>
        <w:t>• Frutas, Nozes e Vinho</w:t>
      </w:r>
    </w:p>
    <w:p>
      <w:pPr>
        <w:pStyle w:val="Heading3"/>
      </w:pPr>
      <w:r>
        <w:t>Produtos lácteos</w:t>
      </w:r>
    </w:p>
    <w:p>
      <w:r/>
      <w:r>
        <w:t xml:space="preserve">O leite e seus subprodutos formavam uma parte vital da dieta hebraica (veja </w:t>
      </w:r>
      <w:hyperlink r:id="rId5205">
        <w:r>
          <w:rPr>
            <w:color w:val="0000EE"/>
            <w:u w:val="single"/>
          </w:rPr>
          <w:t>Jz 4.19</w:t>
        </w:r>
      </w:hyperlink>
      <w:r>
        <w:t>). O leite de cabra era mais frequentemente usado, embora o leite de camelos, vacas e ovelhas também estivesse disponível (</w:t>
      </w:r>
      <w:hyperlink r:id="rId1503">
        <w:r>
          <w:rPr>
            <w:color w:val="0000EE"/>
            <w:u w:val="single"/>
          </w:rPr>
          <w:t>Gn 32.15</w:t>
        </w:r>
      </w:hyperlink>
      <w:r>
        <w:t xml:space="preserve">; </w:t>
      </w:r>
      <w:hyperlink r:id="rId3160">
        <w:r>
          <w:rPr>
            <w:color w:val="0000EE"/>
            <w:u w:val="single"/>
          </w:rPr>
          <w:t>Dt 32.14</w:t>
        </w:r>
      </w:hyperlink>
      <w:r>
        <w:t xml:space="preserve">; </w:t>
      </w:r>
      <w:hyperlink r:id="rId1697">
        <w:r>
          <w:rPr>
            <w:color w:val="0000EE"/>
            <w:u w:val="single"/>
          </w:rPr>
          <w:t>Pv 27.27</w:t>
        </w:r>
      </w:hyperlink>
      <w:r>
        <w:t>).</w:t>
      </w:r>
    </w:p>
    <w:p>
      <w:r/>
      <w:r>
        <w:t>Uma vez que o leite fresco não poderia ser preservado no clima quente da Palestina, era processado em manteiga, coalhada e queijo. O leite era derramado em peles de cabra, onde azedava e engrossava por causa da condição não estéril das peles usadas anteriormente e do movimento à medida que era transportado. Esse movimento da bolsa (muitas vezes feito do estômago de uma vaca, contendo a enzima renina usada na fabricação de queijo) produzia coalhada. A coalhada é mencionada pela primeira vez na Bíblia como parte da refeição que Abraão forneceu para seus convidados extraordinários (</w:t>
      </w:r>
      <w:hyperlink r:id="rId1542">
        <w:r>
          <w:rPr>
            <w:color w:val="0000EE"/>
            <w:u w:val="single"/>
          </w:rPr>
          <w:t>Gn 18.8</w:t>
        </w:r>
      </w:hyperlink>
      <w:r>
        <w:t>).</w:t>
      </w:r>
    </w:p>
    <w:p>
      <w:r/>
      <w:r>
        <w:t xml:space="preserve">A palavra hebraica para </w:t>
      </w:r>
      <w:r>
        <w:rPr>
          <w:i/>
        </w:rPr>
        <w:t>coalhada</w:t>
      </w:r>
      <w:r>
        <w:t xml:space="preserve"> (</w:t>
      </w:r>
      <w:r>
        <w:rPr>
          <w:i/>
        </w:rPr>
        <w:t>chena</w:t>
      </w:r>
      <w:r>
        <w:t>) também pode ser traduzida como “manteiga” (</w:t>
      </w:r>
      <w:hyperlink r:id="rId5206">
        <w:r>
          <w:rPr>
            <w:color w:val="0000EE"/>
            <w:u w:val="single"/>
          </w:rPr>
          <w:t>Jó 10.10</w:t>
        </w:r>
      </w:hyperlink>
      <w:r>
        <w:t>). Esta manteiga seria semelhante em consistência ao iogurte do qual a água foi espremida. Quando pressionada e enrolada em pequenas bolas, ela durava indefinidamente, apesar do clima. Assim, a coalhada comprimida era especialmente valiosa para viagens em regiões áridas onde a comida era escassa.</w:t>
      </w:r>
    </w:p>
    <w:p>
      <w:pPr>
        <w:pStyle w:val="Heading3"/>
      </w:pPr>
      <w:r>
        <w:t>Colheitas de grãos</w:t>
      </w:r>
    </w:p>
    <w:p>
      <w:r/>
      <w:r>
        <w:t>O alimento mais frequentemente mencionado na Bíblia é o pão. O termo se refere em um sentido geral a todos os alimentos, mas mais especificamente a alimentos preparados a partir de grãos. Nos tempos bíblicos, o pão era preparado a partir de vários grãos. Trigo, cevada e espelta (trigo-vermelho) cresciam no Egito (</w:t>
      </w:r>
      <w:hyperlink r:id="rId5207">
        <w:r>
          <w:rPr>
            <w:color w:val="0000EE"/>
            <w:u w:val="single"/>
          </w:rPr>
          <w:t>Êx 9.31–32</w:t>
        </w:r>
      </w:hyperlink>
      <w:r>
        <w:t>).</w:t>
      </w:r>
    </w:p>
    <w:p>
      <w:r/>
      <w:r>
        <w:t>Um médico egípcio chamado Sinuhe, que viveu em meados do século 20 a.C., registrou que pães eram assados diariamente na Palestina e na Síria, e é provável que fosse servido com todas as refeições. Este pão era provavelmente uma bolacha ou bolo plano feito de cevada, ou farro (uma forma inferior de trigo), uma vez que essas eram as duas colheitas de grãos que Sinuhe mencionou ver. O trigo era o grão mais caro. A farinha de trigo fina era um luxo do qual apenas os ricos poderiam dispor (</w:t>
      </w:r>
      <w:hyperlink r:id="rId5208">
        <w:r>
          <w:rPr>
            <w:color w:val="0000EE"/>
            <w:u w:val="single"/>
          </w:rPr>
          <w:t>Gn 18.6</w:t>
        </w:r>
      </w:hyperlink>
      <w:r>
        <w:t xml:space="preserve">; </w:t>
      </w:r>
      <w:hyperlink r:id="rId5209">
        <w:r>
          <w:rPr>
            <w:color w:val="0000EE"/>
            <w:u w:val="single"/>
          </w:rPr>
          <w:t>Ez 16.13,19</w:t>
        </w:r>
      </w:hyperlink>
      <w:r>
        <w:t>). Em períodos posteriores, o trigo se tornou uma valiosa colheita de exportação que era enviada de Tiro para outros portos no Mediterrâneo.</w:t>
      </w:r>
    </w:p>
    <w:p>
      <w:r/>
      <w:r>
        <w:t>Como a cevada poderia crescer em solo menos produtivo e era mais tolerante com as condições de seca, ela se tornou uma um tipo de grão popular no antigo Oriente Próximo. A cevada também poderia ser colhida várias semanas antes do trigo. Pão de cevada (</w:t>
      </w:r>
      <w:hyperlink r:id="rId569">
        <w:r>
          <w:rPr>
            <w:color w:val="0000EE"/>
            <w:u w:val="single"/>
          </w:rPr>
          <w:t>Jz 7.13</w:t>
        </w:r>
      </w:hyperlink>
      <w:r>
        <w:t xml:space="preserve">; </w:t>
      </w:r>
      <w:hyperlink r:id="rId5210">
        <w:r>
          <w:rPr>
            <w:color w:val="0000EE"/>
            <w:u w:val="single"/>
          </w:rPr>
          <w:t>2Rs 4.42</w:t>
        </w:r>
      </w:hyperlink>
      <w:r>
        <w:t>) e bolos de cevada (</w:t>
      </w:r>
      <w:hyperlink r:id="rId5211">
        <w:r>
          <w:rPr>
            <w:color w:val="0000EE"/>
            <w:u w:val="single"/>
          </w:rPr>
          <w:t>Ez 4.12</w:t>
        </w:r>
      </w:hyperlink>
      <w:r>
        <w:t>) eram comidos pelo trabalhador mediano. Jesus milagrosamente multiplicou os cinco pães de cevada de um jovem menino e dois peixes e alimentou cinco mil (</w:t>
      </w:r>
      <w:hyperlink r:id="rId5212">
        <w:r>
          <w:rPr>
            <w:color w:val="0000EE"/>
            <w:u w:val="single"/>
          </w:rPr>
          <w:t>Jo 6.9–13</w:t>
        </w:r>
      </w:hyperlink>
      <w:r>
        <w:t>).</w:t>
      </w:r>
    </w:p>
    <w:p>
      <w:r/>
      <w:r>
        <w:t>O milhete (painço), um cereal com uma pequena cabeça de grãos crescendo em um talo de um pouco mais de meio metro de altura, e a espelta, um tipo de trigo, também eram usadas em tempos de necessidade como uma fronteira em torno das bordas dos campos.</w:t>
      </w:r>
    </w:p>
    <w:p>
      <w:r/>
      <w:r>
        <w:t>A maneira mais primitiva de processar grãos era esfregar as espigas entre as mãos para separá-los, como Jesus e seus discípulos fizeram (</w:t>
      </w:r>
      <w:hyperlink r:id="rId5213">
        <w:r>
          <w:rPr>
            <w:color w:val="0000EE"/>
            <w:u w:val="single"/>
          </w:rPr>
          <w:t>Lc 6.1</w:t>
        </w:r>
      </w:hyperlink>
      <w:r>
        <w:t>). Realizar este ato no sábado (o dia de descanso) era considerado o equivalente a colher e era, portanto, proibido.</w:t>
      </w:r>
    </w:p>
    <w:p>
      <w:r/>
      <w:r>
        <w:t>A secagem (assar levemente os grãos em uma panela) era outro método simples de preparação (</w:t>
      </w:r>
      <w:hyperlink r:id="rId5214">
        <w:r>
          <w:rPr>
            <w:color w:val="0000EE"/>
            <w:u w:val="single"/>
          </w:rPr>
          <w:t>Js 5.11</w:t>
        </w:r>
      </w:hyperlink>
      <w:r>
        <w:t xml:space="preserve">; </w:t>
      </w:r>
      <w:hyperlink r:id="rId5215">
        <w:r>
          <w:rPr>
            <w:color w:val="0000EE"/>
            <w:u w:val="single"/>
          </w:rPr>
          <w:t>1Sm 17.17</w:t>
        </w:r>
      </w:hyperlink>
      <w:r>
        <w:t>). Formava uma refeição rápida e fácil para trabalhadores ou reis (</w:t>
      </w:r>
      <w:hyperlink r:id="rId5216">
        <w:r>
          <w:rPr>
            <w:color w:val="0000EE"/>
            <w:u w:val="single"/>
          </w:rPr>
          <w:t>Rt 2.14</w:t>
        </w:r>
      </w:hyperlink>
      <w:r>
        <w:t xml:space="preserve">; </w:t>
      </w:r>
      <w:hyperlink r:id="rId1623">
        <w:r>
          <w:rPr>
            <w:color w:val="0000EE"/>
            <w:u w:val="single"/>
          </w:rPr>
          <w:t>1Sm 25.18</w:t>
        </w:r>
      </w:hyperlink>
      <w:r>
        <w:t xml:space="preserve">; </w:t>
      </w:r>
      <w:hyperlink r:id="rId571">
        <w:r>
          <w:rPr>
            <w:color w:val="0000EE"/>
            <w:u w:val="single"/>
          </w:rPr>
          <w:t>2Sm 17.28</w:t>
        </w:r>
      </w:hyperlink>
      <w:r>
        <w:t>). O milho seco era ideal para levar em viagens.</w:t>
      </w:r>
    </w:p>
    <w:p>
      <w:r/>
      <w:r>
        <w:t>Fazer pão era uma tarefa cansativa. Almofarizes, pilões e moinhos simples com pedras superiores e inferiores eram usados para moer farinha no antigo Egito por volta de 2900 a.C. Esses moinhos primitivos eram normalmente colocados no chão, e uma pessoa era compelida a se ajoelhar para fazer o trabalho árduo. A refeição resultante era grosseira e cheia de pequenos pedaços de casca.</w:t>
      </w:r>
    </w:p>
    <w:p>
      <w:r/>
      <w:r>
        <w:t>Quando a farinha havia sido preparada, água era adicionada e a mistura era amassada em um cocho especial. A massa poderia então ser transformada imediatamente em bolos, panquecas ou pães sem fermento (</w:t>
      </w:r>
      <w:hyperlink r:id="rId3095">
        <w:r>
          <w:rPr>
            <w:color w:val="0000EE"/>
            <w:u w:val="single"/>
          </w:rPr>
          <w:t>Gn 19.3</w:t>
        </w:r>
      </w:hyperlink>
      <w:r>
        <w:t>). Esses bolos ou bolachas planos eram muitas vezes assados em pedras previamente aquecidas, nas paredes internas de pequenos fornos cônicos, ou em fornos públicos maiores. O fermento era adicionado para fazer uma massa mais leve. O fermento era normalmente um pedaço de massa de pão que havia sobrado de uma mistura anterior e permitido fermentar antes de ser usado. A farinha também era misturada com um mingau feito de feijão lentilha para aumentar o suprimento de alimentos.</w:t>
      </w:r>
    </w:p>
    <w:p>
      <w:pPr>
        <w:pStyle w:val="Heading3"/>
      </w:pPr>
      <w:r>
        <w:t>Produtos animais</w:t>
      </w:r>
    </w:p>
    <w:p>
      <w:r/>
      <w:r>
        <w:t>A introdução de carne como parte da dieta parece ter coincidido com o tempo em que Noé e sua família deixaram a arca (</w:t>
      </w:r>
      <w:hyperlink r:id="rId5217">
        <w:r>
          <w:rPr>
            <w:color w:val="0000EE"/>
            <w:u w:val="single"/>
          </w:rPr>
          <w:t>Gn 9.3</w:t>
        </w:r>
      </w:hyperlink>
      <w:r>
        <w:t>). Após este período, no entanto, os animais normalmente fornecidos para comida eram tão valiosos que apenas os ricos poderiam se dar ao luxo de abatê-los. Assim, nos tempos bíblicos, os camponeses tinham uma dieta simples e um pouco monótona, enquanto os ricos se banqueteavam com carne, iguarias e mercadorias importadas. Como resultado, a carne era um item de luxo que os pobres raramente desfrutariam, exceto em ocasiões como a celebração da Páscoa ou sacrifícios em que o adorador comia parte da oferta (</w:t>
      </w:r>
      <w:hyperlink r:id="rId5218">
        <w:r>
          <w:rPr>
            <w:color w:val="0000EE"/>
            <w:u w:val="single"/>
          </w:rPr>
          <w:t>Êx 12.8</w:t>
        </w:r>
      </w:hyperlink>
      <w:r>
        <w:t>). Embora fosse claramente antieconômico abater um animal que produzisse alimentos básicos como leite, coalhada e queijo, as regras de hospitalidade no Oriente Próximo ditavam que um animal deveria ser morto para entreter um convidado de honra (</w:t>
      </w:r>
      <w:hyperlink r:id="rId5219">
        <w:r>
          <w:rPr>
            <w:color w:val="0000EE"/>
            <w:u w:val="single"/>
          </w:rPr>
          <w:t>2Sm 12.2–4</w:t>
        </w:r>
      </w:hyperlink>
      <w:r>
        <w:t>).</w:t>
      </w:r>
    </w:p>
    <w:p>
      <w:r/>
      <w:r>
        <w:t>Ovelhas domésticas, cabras e bois forneciam a principal fonte de carne, embora a carne de veado fosse popular entre as classes superiores. Quando o cego Isaque foi enganado por seu filho Jacó, foi oferecido ao pai o luxo da carne de cabrito e da caça selvagem do menino (</w:t>
      </w:r>
      <w:hyperlink r:id="rId2546">
        <w:r>
          <w:rPr>
            <w:color w:val="0000EE"/>
            <w:u w:val="single"/>
          </w:rPr>
          <w:t>Gn 27.3,9,19</w:t>
        </w:r>
      </w:hyperlink>
      <w:r>
        <w:t>). O boi mantido em uma barraca ou o bezerro gordo era reservado para ocasiões de grande festividade (</w:t>
      </w:r>
      <w:hyperlink r:id="rId1551">
        <w:r>
          <w:rPr>
            <w:color w:val="0000EE"/>
            <w:u w:val="single"/>
          </w:rPr>
          <w:t>Mt 22.4</w:t>
        </w:r>
      </w:hyperlink>
      <w:r>
        <w:t>).</w:t>
      </w:r>
    </w:p>
    <w:p>
      <w:r/>
      <w:r>
        <w:t>O uso de carne para sacrifício recebeu forma definitiva nas provisões de Levítico e Deuteronômio. A Lei proibia qualquer um de abater um animal e seus filhotes no mesmo dia (</w:t>
      </w:r>
      <w:hyperlink r:id="rId5220">
        <w:r>
          <w:rPr>
            <w:color w:val="0000EE"/>
            <w:u w:val="single"/>
          </w:rPr>
          <w:t>Lv 22.28</w:t>
        </w:r>
      </w:hyperlink>
      <w:r>
        <w:t>). Outra proibição, talvez dirigida aos rituais sacrificiais pagãos cananeus, não permitiria que uma cria fosse cozida ou ensopada no leite de sua mãe (</w:t>
      </w:r>
      <w:hyperlink r:id="rId5221">
        <w:r>
          <w:rPr>
            <w:color w:val="0000EE"/>
            <w:u w:val="single"/>
          </w:rPr>
          <w:t>Dt 14.21</w:t>
        </w:r>
      </w:hyperlink>
      <w:r>
        <w:t>). A lei mosaica era enfática ao proibir o consumo de sangue de qualquer forma. O sangue de animal era considerado a fonte da vida do animal e era oferecido pelos sacerdotes como um sacrifício a Deus para expiar o pecado humano (</w:t>
      </w:r>
      <w:hyperlink r:id="rId5222">
        <w:r>
          <w:rPr>
            <w:color w:val="0000EE"/>
            <w:u w:val="single"/>
          </w:rPr>
          <w:t>Lv 17.11</w:t>
        </w:r>
      </w:hyperlink>
      <w:r>
        <w:t>). Na lei mosaica, porcos, camelos, texugos e coelhos eram considerados impuros, e, portanto, eram proibidos como alimentos, principalmente por motivos higiênicos</w:t>
      </w:r>
      <w:hyperlink r:id="rId5223">
        <w:r>
          <w:rPr>
            <w:color w:val="0000EE"/>
            <w:u w:val="single"/>
          </w:rPr>
          <w:t xml:space="preserve"> (11.4</w:t>
        </w:r>
      </w:hyperlink>
      <w:r>
        <w:t>-8).</w:t>
      </w:r>
    </w:p>
    <w:p>
      <w:r/>
      <w:r>
        <w:t>No mundo antigo, a carne geralmente era fervida ou cozida. Assar um boi ou um cabrito geralmente ocorreria apenas como parte de uma festa especial, ou ritual sacrificial. Os animais também poderiam ser assados para membros do palácio real ou para os convidados especiais de um rei.</w:t>
      </w:r>
    </w:p>
    <w:p>
      <w:r/>
      <w:r>
        <w:t>Apesar do fato de que a caça era desfrutada por todos os que eram capazes de participar, a caça selvagem fornecia apenas uma pequena parte da dieta. Entre a caça encontrada na Palestina e mencionada na Bíblia estão gazelas, corças, cabras-selvagens, e cervos (</w:t>
      </w:r>
      <w:hyperlink r:id="rId1463">
        <w:r>
          <w:rPr>
            <w:color w:val="0000EE"/>
            <w:u w:val="single"/>
          </w:rPr>
          <w:t>Dt 14.5</w:t>
        </w:r>
      </w:hyperlink>
      <w:r>
        <w:t xml:space="preserve">; </w:t>
      </w:r>
      <w:hyperlink r:id="rId1583">
        <w:r>
          <w:rPr>
            <w:color w:val="0000EE"/>
            <w:u w:val="single"/>
          </w:rPr>
          <w:t>1Rs 4.23</w:t>
        </w:r>
      </w:hyperlink>
      <w:r>
        <w:t>). É provável que os faisões estivessem disponíveis, e certamente havia rolas, pombos, codornas e perdizes, embora as quantidades precisas de comida que essas aves forneciam não sejam certas (</w:t>
      </w:r>
      <w:hyperlink r:id="rId5224">
        <w:r>
          <w:rPr>
            <w:color w:val="0000EE"/>
            <w:u w:val="single"/>
          </w:rPr>
          <w:t>Gn 15.9</w:t>
        </w:r>
      </w:hyperlink>
      <w:r>
        <w:t xml:space="preserve">; </w:t>
      </w:r>
      <w:hyperlink r:id="rId5096">
        <w:r>
          <w:rPr>
            <w:color w:val="0000EE"/>
            <w:u w:val="single"/>
          </w:rPr>
          <w:t>Êx 16.13</w:t>
        </w:r>
      </w:hyperlink>
      <w:r>
        <w:t>). O ganso era o prato mais popular no Egito, e os patos do pântano também eram altamente estimados como caça. Após o período persa, as galinhas eram comidas (</w:t>
      </w:r>
      <w:hyperlink r:id="rId5225">
        <w:r>
          <w:rPr>
            <w:color w:val="0000EE"/>
            <w:u w:val="single"/>
          </w:rPr>
          <w:t>2Ed 1.30</w:t>
        </w:r>
      </w:hyperlink>
      <w:r>
        <w:t>), e ovos e omeletes eram populares em Roma nos tempos cristãos antigos. Os ovos mencionados em Deuteronômio são provavelmente ovos de aves selvagens (</w:t>
      </w:r>
      <w:hyperlink r:id="rId5226">
        <w:r>
          <w:rPr>
            <w:color w:val="0000EE"/>
            <w:u w:val="single"/>
          </w:rPr>
          <w:t>Dt 22.6–7</w:t>
        </w:r>
      </w:hyperlink>
      <w:r>
        <w:t xml:space="preserve">; cf. </w:t>
      </w:r>
      <w:hyperlink r:id="rId5227">
        <w:r>
          <w:rPr>
            <w:color w:val="0000EE"/>
            <w:u w:val="single"/>
          </w:rPr>
          <w:t>Is 10.14</w:t>
        </w:r>
      </w:hyperlink>
      <w:r>
        <w:t>).</w:t>
      </w:r>
    </w:p>
    <w:p>
      <w:r/>
      <w:r>
        <w:t>Trinta variedades de peixes estavam disponíveis no Jordão, e uma extensa indústria pesqueira existia nas margens do Mar da Galileia na época de Cristo. Os suprimentos de peixe estavam prontamente disponíveis da costa mediterrânea durante o período romano, mas em um momento anterior, o fornecimento de peixe dependia em grande medida de qualquer nação que tivesse controle da costa. No período pós-exílico, o povo de Tiro abastecia a cidade de Jerusalém de peixes, que eram vendidos perto da Portão dos Peixes (</w:t>
      </w:r>
      <w:hyperlink r:id="rId1650">
        <w:r>
          <w:rPr>
            <w:color w:val="0000EE"/>
            <w:u w:val="single"/>
          </w:rPr>
          <w:t>Ne 3.3</w:t>
        </w:r>
      </w:hyperlink>
      <w:r>
        <w:t>). Nos regulamentos sobre os tipos de peixes adequados para alimentação, apenas aqueles que tinham barbatanas e escamas eram aceitáveis (</w:t>
      </w:r>
      <w:hyperlink r:id="rId1652">
        <w:r>
          <w:rPr>
            <w:color w:val="0000EE"/>
            <w:u w:val="single"/>
          </w:rPr>
          <w:t>Lv 11.9–12</w:t>
        </w:r>
      </w:hyperlink>
      <w:r>
        <w:t>).</w:t>
      </w:r>
    </w:p>
    <w:p>
      <w:r/>
      <w:r>
        <w:t>Nos tempos do NT, muitas das distinções relativas a alimentos foram eliminadas. No Evangelho de Marcos, Jesus, desafiando a hipocrisia dos fariseus, perturbou as leis alimentares judaicas dizendo que pensamentos malignos, não certos alimentos, tornam uma pessoa impura. (</w:t>
      </w:r>
      <w:hyperlink r:id="rId5228">
        <w:r>
          <w:rPr>
            <w:color w:val="0000EE"/>
            <w:u w:val="single"/>
          </w:rPr>
          <w:t>Mc 7.19</w:t>
        </w:r>
      </w:hyperlink>
      <w:r>
        <w:t>). À medida que o cristianismo se espalhava para as áreas gentias, havia, no entanto, um interesse contínuo sobre o consumo de carne que havia sido oferecida aos ídolos. A pergunta veio à tona em Corinto. O apóstolo Paulo sustentou que, embora a carne fosse aceitável, deve-se tomar cuidado em não causar dano espiritual a outro cristão com uma consciência mais sensível.</w:t>
      </w:r>
    </w:p>
    <w:p>
      <w:pPr>
        <w:pStyle w:val="Heading3"/>
      </w:pPr>
      <w:r>
        <w:t>Insetos e seus produtos alimentares</w:t>
      </w:r>
    </w:p>
    <w:p>
      <w:r/>
      <w:r>
        <w:t>O mel selvagem era encontrado na Palestina, mas não há evidências de apicultura. Os egípcios, no entanto, praticavam a apicultura naquela época.</w:t>
      </w:r>
    </w:p>
    <w:p>
      <w:r/>
      <w:r>
        <w:t xml:space="preserve">O favo de mel é mencionado especificamente em </w:t>
      </w:r>
      <w:hyperlink r:id="rId5229">
        <w:r>
          <w:rPr>
            <w:color w:val="0000EE"/>
            <w:u w:val="single"/>
          </w:rPr>
          <w:t>1Samuel 14.27</w:t>
        </w:r>
      </w:hyperlink>
      <w:r>
        <w:t xml:space="preserve"> e </w:t>
      </w:r>
      <w:hyperlink r:id="rId1492">
        <w:r>
          <w:rPr>
            <w:color w:val="0000EE"/>
            <w:u w:val="single"/>
          </w:rPr>
          <w:t>Cantares 5.1</w:t>
        </w:r>
      </w:hyperlink>
      <w:r>
        <w:t xml:space="preserve">; o mel líquido é referido em </w:t>
      </w:r>
      <w:hyperlink r:id="rId5230">
        <w:r>
          <w:rPr>
            <w:color w:val="0000EE"/>
            <w:u w:val="single"/>
          </w:rPr>
          <w:t>1Reis 14.3</w:t>
        </w:r>
      </w:hyperlink>
      <w:r>
        <w:t>. O mel deveria ser encontrado em fendas de rochas e nas árvores (</w:t>
      </w:r>
      <w:hyperlink r:id="rId3004">
        <w:r>
          <w:rPr>
            <w:color w:val="0000EE"/>
            <w:u w:val="single"/>
          </w:rPr>
          <w:t>Dt 32.13</w:t>
        </w:r>
      </w:hyperlink>
      <w:r>
        <w:t>). Era o adoçante primário na cozinha. Embora não pudesse ser usado em um sacrifício ao Senhor (</w:t>
      </w:r>
      <w:hyperlink r:id="rId5231">
        <w:r>
          <w:rPr>
            <w:color w:val="0000EE"/>
            <w:u w:val="single"/>
          </w:rPr>
          <w:t>Lv 2.11</w:t>
        </w:r>
      </w:hyperlink>
      <w:r>
        <w:t>), o mel era valorizado como uma iguaria. No século 15 a.C., quando Tutemés III estava fazendo campanha na Síria e na Palestina, ele trouxe de volta vastas quantidades de mel como tributo de suas terras recém-conquistadas.</w:t>
      </w:r>
    </w:p>
    <w:p>
      <w:r/>
      <w:r>
        <w:t>Os gafanhotos provavelmente foram primeiro comidos em desespero depois de terem devastado as plantações. Eles são um dos poucos insetos mencionados como uma fonte permissível de alimento (</w:t>
      </w:r>
      <w:hyperlink r:id="rId1574">
        <w:r>
          <w:rPr>
            <w:color w:val="0000EE"/>
            <w:u w:val="single"/>
          </w:rPr>
          <w:t>Lv 11.22</w:t>
        </w:r>
      </w:hyperlink>
      <w:r>
        <w:t>). Os gafanhotos eram fritos em farinha ou mel, ou eram preservados ao serem secos. Gafanhotos e mel selvagem formaram a dieta básica de João Batista no deserto (</w:t>
      </w:r>
      <w:hyperlink r:id="rId1497">
        <w:r>
          <w:rPr>
            <w:color w:val="0000EE"/>
            <w:u w:val="single"/>
          </w:rPr>
          <w:t>Mt 3.4</w:t>
        </w:r>
      </w:hyperlink>
      <w:r>
        <w:t xml:space="preserve">; </w:t>
      </w:r>
      <w:hyperlink r:id="rId1795">
        <w:r>
          <w:rPr>
            <w:color w:val="0000EE"/>
            <w:u w:val="single"/>
          </w:rPr>
          <w:t>Mc 1.6</w:t>
        </w:r>
      </w:hyperlink>
      <w:r>
        <w:t>). Embora os gafanhotos contenham pouca proteína, eles são ricos em gordura e têm certo conteúdo mineral.</w:t>
      </w:r>
    </w:p>
    <w:p>
      <w:pPr>
        <w:pStyle w:val="Heading3"/>
      </w:pPr>
      <w:r>
        <w:t>Legumes e temperos</w:t>
      </w:r>
    </w:p>
    <w:p>
      <w:r/>
      <w:r>
        <w:t>O povo hebreu que vagava no deserto do Sinai lamentou a perda dos legumes saborosos com os quais eles haviam se acostumado durante seu cativeiro egípcio. Em especial, eles expressaram um desejo por pepinos, melões (possivelmente melancias), alho-poró, cebolas e alho (</w:t>
      </w:r>
      <w:hyperlink r:id="rId754">
        <w:r>
          <w:rPr>
            <w:color w:val="0000EE"/>
            <w:u w:val="single"/>
          </w:rPr>
          <w:t>Nm 11.5</w:t>
        </w:r>
      </w:hyperlink>
      <w:r>
        <w:t>). Muitos desses legumes foram mais tarde plantados na Palestina (especialmente em Gaza). Quando os pepinos foram cultivados pela primeira vez, eles eram considerados itens de luxo e tinham que ser protegidos por guardas que viviam em barracas com vista para os jardins (</w:t>
      </w:r>
      <w:hyperlink r:id="rId3881">
        <w:r>
          <w:rPr>
            <w:color w:val="0000EE"/>
            <w:u w:val="single"/>
          </w:rPr>
          <w:t>Is 1.8</w:t>
        </w:r>
      </w:hyperlink>
      <w:r>
        <w:t>). Feijão, lentilhas e grãos secos estavam entre os itens trazidos a Davi e seus soldados em Maanaim (</w:t>
      </w:r>
      <w:hyperlink r:id="rId571">
        <w:r>
          <w:rPr>
            <w:color w:val="0000EE"/>
            <w:u w:val="single"/>
          </w:rPr>
          <w:t>2Sm 17.28</w:t>
        </w:r>
      </w:hyperlink>
      <w:r>
        <w:t xml:space="preserve">). As lentilhas eram conhecidas no Egito pelo menos desde o século 13 a.C. e eram usadas extensivamente tanto na época quanto em tempos posteriores pelos israelitas. A sopa de lentilha é mencionada em </w:t>
      </w:r>
      <w:hyperlink r:id="rId5232">
        <w:r>
          <w:rPr>
            <w:color w:val="0000EE"/>
            <w:u w:val="single"/>
          </w:rPr>
          <w:t>Gênesis 25.34</w:t>
        </w:r>
      </w:hyperlink>
      <w:r>
        <w:t>.</w:t>
      </w:r>
    </w:p>
    <w:p>
      <w:r/>
      <w:r>
        <w:t>Em tempos de fome, as cascas da alfarrobeira, normalmente fornecidas para o gado, poderiam ser usadas como alimento. Essas teriam sido mais aceitáveis para o filho pródigo (</w:t>
      </w:r>
      <w:hyperlink r:id="rId5073">
        <w:r>
          <w:rPr>
            <w:color w:val="0000EE"/>
            <w:u w:val="single"/>
          </w:rPr>
          <w:t>Lc 15.16</w:t>
        </w:r>
      </w:hyperlink>
      <w:r>
        <w:t>). Havia muitos tipos de ervas verdes que poderiam fornecer uma refeição para os pobres em tempo de necessidade (</w:t>
      </w:r>
      <w:hyperlink r:id="rId5233">
        <w:r>
          <w:rPr>
            <w:color w:val="0000EE"/>
            <w:u w:val="single"/>
          </w:rPr>
          <w:t>Pv 15.17</w:t>
        </w:r>
      </w:hyperlink>
      <w:r>
        <w:t>). Em casos de fome extrema, alguns tipos de raízes de malva e cedro também poderiam ser usadas como alimento. No tempo de Eliseu, um grupo de profetas em Gilgal preparou um ensopado de legumes selvagens, ao qual eles adicionaram erroneamente cabaças selvagens venenosas. Eliseu consertou a situação adicionando farinha à panela (</w:t>
      </w:r>
      <w:hyperlink r:id="rId5234">
        <w:r>
          <w:rPr>
            <w:color w:val="0000EE"/>
            <w:u w:val="single"/>
          </w:rPr>
          <w:t>2Rs 4.38–41</w:t>
        </w:r>
      </w:hyperlink>
      <w:r>
        <w:t>). Embora não haja registro real dos tipos de ervas amargas usadas como parte da oferta de Páscoa (</w:t>
      </w:r>
      <w:hyperlink r:id="rId5218">
        <w:r>
          <w:rPr>
            <w:color w:val="0000EE"/>
            <w:u w:val="single"/>
          </w:rPr>
          <w:t>Êx 12.8</w:t>
        </w:r>
      </w:hyperlink>
      <w:r>
        <w:t xml:space="preserve">; </w:t>
      </w:r>
      <w:hyperlink r:id="rId5235">
        <w:r>
          <w:rPr>
            <w:color w:val="0000EE"/>
            <w:u w:val="single"/>
          </w:rPr>
          <w:t>Nm 9.11</w:t>
        </w:r>
      </w:hyperlink>
      <w:r>
        <w:t>), a hortelã e o cominho estavam provavelmente incluídos. Endro, cominho, arruda e hortelã eram ervas comuns de jardim (</w:t>
      </w:r>
      <w:hyperlink r:id="rId5236">
        <w:r>
          <w:rPr>
            <w:color w:val="0000EE"/>
            <w:u w:val="single"/>
          </w:rPr>
          <w:t>Mt 23.23</w:t>
        </w:r>
      </w:hyperlink>
      <w:r>
        <w:t xml:space="preserve">; </w:t>
      </w:r>
      <w:hyperlink r:id="rId5237">
        <w:r>
          <w:rPr>
            <w:color w:val="0000EE"/>
            <w:u w:val="single"/>
          </w:rPr>
          <w:t>Lc 11.42</w:t>
        </w:r>
      </w:hyperlink>
      <w:r>
        <w:t>).</w:t>
      </w:r>
    </w:p>
    <w:p>
      <w:r/>
      <w:r>
        <w:t>Os temperos eram complementos bem-vindos para o caráter bastante brando da tarifa típica israelita. O sal vinha principalmente da área do Mar Morto e era essencial como um agente temperante e preservador. O sal era tão importante na dieta que se tornou parte do vocabulário da obrigação moral. O compartilhamento do sal com uma pessoa em uma refeição selava uma aliança ou pacto (</w:t>
      </w:r>
      <w:hyperlink r:id="rId828">
        <w:r>
          <w:rPr>
            <w:color w:val="0000EE"/>
            <w:u w:val="single"/>
          </w:rPr>
          <w:t>Nm 18.19</w:t>
        </w:r>
      </w:hyperlink>
      <w:r>
        <w:t>). No ritual sacrificial levítico, o sal fazia parte das ofertas de carne e cereais, uma vez que significava o selamento da aliança de Deus com Israel (</w:t>
      </w:r>
      <w:hyperlink r:id="rId827">
        <w:r>
          <w:rPr>
            <w:color w:val="0000EE"/>
            <w:u w:val="single"/>
          </w:rPr>
          <w:t>Lv 2.13</w:t>
        </w:r>
      </w:hyperlink>
      <w:r>
        <w:t xml:space="preserve">; </w:t>
      </w:r>
      <w:hyperlink r:id="rId5238">
        <w:r>
          <w:rPr>
            <w:color w:val="0000EE"/>
            <w:u w:val="single"/>
          </w:rPr>
          <w:t>Ez 43.24</w:t>
        </w:r>
      </w:hyperlink>
      <w:r>
        <w:t>).</w:t>
      </w:r>
    </w:p>
    <w:p>
      <w:r/>
      <w:r>
        <w:t>A mostarda, que provavelmente era produzida por seu teor de óleo, crescia de uma semente minúscula até a altura de 4,5 metros (</w:t>
      </w:r>
      <w:hyperlink r:id="rId5239">
        <w:r>
          <w:rPr>
            <w:color w:val="0000EE"/>
            <w:u w:val="single"/>
          </w:rPr>
          <w:t>Mt 13.31–32</w:t>
        </w:r>
      </w:hyperlink>
      <w:r>
        <w:t>). Erva-doce, coentro e canela também estavam disponíveis (</w:t>
      </w:r>
      <w:hyperlink r:id="rId5101">
        <w:r>
          <w:rPr>
            <w:color w:val="0000EE"/>
            <w:u w:val="single"/>
          </w:rPr>
          <w:t>Êx 16.31</w:t>
        </w:r>
      </w:hyperlink>
      <w:r>
        <w:t xml:space="preserve">; </w:t>
      </w:r>
      <w:hyperlink r:id="rId3286">
        <w:r>
          <w:rPr>
            <w:color w:val="0000EE"/>
            <w:u w:val="single"/>
          </w:rPr>
          <w:t>Nm 11.7</w:t>
        </w:r>
      </w:hyperlink>
      <w:r>
        <w:t>). Talvez o tempero mais popular e amplamente usado, além do sal, fosse o alho. O vinagre provavelmente também era usado como um agente aromatizante e um conservante. Do número de sementes e plantas encontradas nos túmulos egípcios da 18ª dinastia, é óbvio que o uso do tempero era difundido na antiguidade.</w:t>
      </w:r>
    </w:p>
    <w:p>
      <w:pPr>
        <w:pStyle w:val="Heading3"/>
      </w:pPr>
      <w:r>
        <w:t>Frutas, Nozes e Vinho</w:t>
      </w:r>
    </w:p>
    <w:p>
      <w:r/>
      <w:r>
        <w:t>As oliveiras cresciam abundantemente na Palestina e eram uma excelente fonte de comida e óleo. Mesmo em solo pobre, uma árvore poderia abastecer suficientemente uma família por um ano inteiro. Algumas azeitonas verdes eram conservadas em salmoura e comidas com pão, mas a azeitona era mais importante como uma fonte de óleo. O azeite era usado para assar pães e bolos e fritar alimentos. O azeite de oliva de melhor qualidade era usado nos sacrifícios do templo.</w:t>
      </w:r>
    </w:p>
    <w:p>
      <w:r/>
      <w:r>
        <w:t>O óleo era extraído das azeitonas por um processo simples: para o óleo de melhor qualidade, as azeitonas eram colhidas antes de estarem totalmente maduras e depois esmagadas manualmente com um almofariz e um pilão de pedra. Normalmente, no entanto, os catadores derrubavam as azeitonas das árvores com longos pedaços de madeira e as coletavam em cestos. O óleo era então pisado, provavelmente no mesmo tanque usado para uvas (</w:t>
      </w:r>
      <w:hyperlink r:id="rId5240">
        <w:r>
          <w:rPr>
            <w:color w:val="0000EE"/>
            <w:u w:val="single"/>
          </w:rPr>
          <w:t>Mq 6.15</w:t>
        </w:r>
      </w:hyperlink>
      <w:r>
        <w:t>), que eram colhidas aproximadamente quatro semanas depois.</w:t>
      </w:r>
    </w:p>
    <w:p>
      <w:r/>
      <w:r>
        <w:t>Um moinho de óleo foi desenvolvido posteriormente, e a pesada pedra de moagem superior era virada por duas pessoas. Enquanto o óleo pingava, era coletado em outro tanque de pedra e era deixado para assentar e purificar. Quando refinado, o óleo era armazenado em odres ou frascos.</w:t>
      </w:r>
    </w:p>
    <w:p>
      <w:r/>
      <w:r>
        <w:t>As figueiras cresciam em todas as áreas da Palestina. Elas exigiam pouca atenção e forneciam duas ou três colheitas por ano. A mais abundante dessas era a segunda, que amadurecia no final do verão. Os primeiros figos da estação eram considerados uma grande iguaria (</w:t>
      </w:r>
      <w:hyperlink r:id="rId5241">
        <w:r>
          <w:rPr>
            <w:color w:val="0000EE"/>
            <w:u w:val="single"/>
          </w:rPr>
          <w:t>Is 28.4</w:t>
        </w:r>
      </w:hyperlink>
      <w:r>
        <w:t xml:space="preserve">; </w:t>
      </w:r>
      <w:hyperlink r:id="rId5242">
        <w:r>
          <w:rPr>
            <w:color w:val="0000EE"/>
            <w:u w:val="single"/>
          </w:rPr>
          <w:t>Mq 7.1</w:t>
        </w:r>
      </w:hyperlink>
      <w:r>
        <w:t>). O profeta Oseias sugeriu que os israelitas eram como as primícias da figueira (</w:t>
      </w:r>
      <w:hyperlink r:id="rId5243">
        <w:r>
          <w:rPr>
            <w:color w:val="0000EE"/>
            <w:u w:val="single"/>
          </w:rPr>
          <w:t>Os 9.10</w:t>
        </w:r>
      </w:hyperlink>
      <w:r>
        <w:t>). Outro profeta, Jeremias, falou daqueles que haviam ido para o exílio como sendo como os primeiros figos, enquanto aqueles que foram deixados para trás eram os figos maus, bons apenas para destruição (</w:t>
      </w:r>
      <w:hyperlink r:id="rId5244">
        <w:r>
          <w:rPr>
            <w:color w:val="0000EE"/>
            <w:u w:val="single"/>
          </w:rPr>
          <w:t>Jr 24.1–10</w:t>
        </w:r>
      </w:hyperlink>
      <w:r>
        <w:t>).</w:t>
      </w:r>
    </w:p>
    <w:p>
      <w:r/>
      <w:r>
        <w:t>Os figos eram geralmente comidos frescos das árvores, mas alguns eram prensados em bolos para usar quando viajavam (</w:t>
      </w:r>
      <w:hyperlink r:id="rId1623">
        <w:r>
          <w:rPr>
            <w:color w:val="0000EE"/>
            <w:u w:val="single"/>
          </w:rPr>
          <w:t>1Sm 25.18</w:t>
        </w:r>
      </w:hyperlink>
      <w:r>
        <w:t xml:space="preserve">; </w:t>
      </w:r>
      <w:hyperlink r:id="rId5245">
        <w:r>
          <w:rPr>
            <w:color w:val="0000EE"/>
            <w:u w:val="single"/>
          </w:rPr>
          <w:t>30.12</w:t>
        </w:r>
      </w:hyperlink>
      <w:r>
        <w:t xml:space="preserve">; </w:t>
      </w:r>
      <w:hyperlink r:id="rId1562">
        <w:r>
          <w:rPr>
            <w:color w:val="0000EE"/>
            <w:u w:val="single"/>
          </w:rPr>
          <w:t>1Cr 12.40</w:t>
        </w:r>
      </w:hyperlink>
      <w:r>
        <w:t>). Os figos também eram valiosos para fins medicinais, uma vez que cataplasmas eficazes poderiam ser feitas a partir deles (</w:t>
      </w:r>
      <w:hyperlink r:id="rId5246">
        <w:r>
          <w:rPr>
            <w:color w:val="0000EE"/>
            <w:u w:val="single"/>
          </w:rPr>
          <w:t>2Rs 20.7</w:t>
        </w:r>
      </w:hyperlink>
      <w:r>
        <w:t xml:space="preserve">; </w:t>
      </w:r>
      <w:hyperlink r:id="rId5247">
        <w:r>
          <w:rPr>
            <w:color w:val="0000EE"/>
            <w:u w:val="single"/>
          </w:rPr>
          <w:t>Is 38.21</w:t>
        </w:r>
      </w:hyperlink>
      <w:r>
        <w:t>). Os sicômoros produziam pequenos frutos semelhantes a figos comidos principalmente pelos pobres. Pouco tempo antes da colheita, o fruto era ligeiramente cortado, fazendo-o inchar e amadurecer mais rapidamente. O profeta Amós colhia frutos de sicômoro antes de ser chamado por Deus (</w:t>
      </w:r>
      <w:hyperlink r:id="rId5248">
        <w:r>
          <w:rPr>
            <w:color w:val="0000EE"/>
            <w:u w:val="single"/>
          </w:rPr>
          <w:t>Am 7.14</w:t>
        </w:r>
      </w:hyperlink>
      <w:r>
        <w:t>).</w:t>
      </w:r>
    </w:p>
    <w:p>
      <w:r/>
      <w:r>
        <w:t xml:space="preserve">A fruta da palmeira de tâmara também poderia ter sido prensada em bolos planos para viajantes, como os figos. A Bíblia, no entanto, não faz nenhuma referência específica ao seu fruto como alimento (veja </w:t>
      </w:r>
      <w:hyperlink r:id="rId5249">
        <w:r>
          <w:rPr>
            <w:color w:val="0000EE"/>
            <w:u w:val="single"/>
          </w:rPr>
          <w:t>Jz 4.5</w:t>
        </w:r>
      </w:hyperlink>
      <w:r>
        <w:t xml:space="preserve">; </w:t>
      </w:r>
      <w:hyperlink r:id="rId5250">
        <w:r>
          <w:rPr>
            <w:color w:val="0000EE"/>
            <w:u w:val="single"/>
          </w:rPr>
          <w:t>Sl 92.12</w:t>
        </w:r>
      </w:hyperlink>
      <w:r>
        <w:t xml:space="preserve">; </w:t>
      </w:r>
      <w:hyperlink r:id="rId5251">
        <w:r>
          <w:rPr>
            <w:color w:val="0000EE"/>
            <w:u w:val="single"/>
          </w:rPr>
          <w:t>Jl 1.12</w:t>
        </w:r>
      </w:hyperlink>
      <w:r>
        <w:t xml:space="preserve">; </w:t>
      </w:r>
      <w:hyperlink r:id="rId5252">
        <w:r>
          <w:rPr>
            <w:color w:val="0000EE"/>
            <w:u w:val="single"/>
          </w:rPr>
          <w:t>Jo 12.13</w:t>
        </w:r>
      </w:hyperlink>
      <w:r>
        <w:t>).</w:t>
      </w:r>
    </w:p>
    <w:p>
      <w:r/>
      <w:r>
        <w:t>Outra fruta popular do Oriente Próximo era a romã vermelha. Era comida inteira, ou tinha suas sementes prensadas para fornecer uma bebida refrescante. A romã é mencionada no ritual do templo como um dos frutos trazidos de volta de Canaã para Moisés por seus espiões (</w:t>
      </w:r>
      <w:hyperlink r:id="rId5253">
        <w:r>
          <w:rPr>
            <w:color w:val="0000EE"/>
            <w:u w:val="single"/>
          </w:rPr>
          <w:t>Êx 28.33</w:t>
        </w:r>
      </w:hyperlink>
      <w:r>
        <w:t>) e como uma bebida exótica (</w:t>
      </w:r>
      <w:hyperlink r:id="rId5254">
        <w:r>
          <w:rPr>
            <w:color w:val="0000EE"/>
            <w:u w:val="single"/>
          </w:rPr>
          <w:t>Ct 8.2</w:t>
        </w:r>
      </w:hyperlink>
      <w:r>
        <w:t>). A “maçã” mencionada nas Escrituras (</w:t>
      </w:r>
      <w:hyperlink r:id="rId5255">
        <w:r>
          <w:rPr>
            <w:color w:val="0000EE"/>
            <w:u w:val="single"/>
          </w:rPr>
          <w:t>Pv 25.11</w:t>
        </w:r>
      </w:hyperlink>
      <w:r>
        <w:t xml:space="preserve">; </w:t>
      </w:r>
      <w:hyperlink r:id="rId5256">
        <w:r>
          <w:rPr>
            <w:color w:val="0000EE"/>
            <w:u w:val="single"/>
          </w:rPr>
          <w:t>Ct 2.5</w:t>
        </w:r>
      </w:hyperlink>
      <w:r>
        <w:t>) era provavelmente um tipo de damasco ou marmelo, não uma maçã como a conhecemos hoje. As nozes eram usadas para dar sabor adicional na preparação de alimentos. Amêndoas e nozes de pistache estavam entre os presentes enviados por Jacó para resgatar seus filhos (</w:t>
      </w:r>
      <w:hyperlink r:id="rId5193">
        <w:r>
          <w:rPr>
            <w:color w:val="0000EE"/>
            <w:u w:val="single"/>
          </w:rPr>
          <w:t>Gn 43.11</w:t>
        </w:r>
      </w:hyperlink>
      <w:r>
        <w:t>).</w:t>
      </w:r>
    </w:p>
    <w:p>
      <w:r/>
      <w:r>
        <w:t>As uvas eram populares e abundantes desde o início da Idade do Bronze. Além de serem comidas frescas da videira, as uvas eram secas como passas (</w:t>
      </w:r>
      <w:hyperlink r:id="rId3289">
        <w:r>
          <w:rPr>
            <w:color w:val="0000EE"/>
            <w:u w:val="single"/>
          </w:rPr>
          <w:t>Nm 6.3</w:t>
        </w:r>
      </w:hyperlink>
      <w:r>
        <w:t xml:space="preserve">; </w:t>
      </w:r>
      <w:hyperlink r:id="rId1623">
        <w:r>
          <w:rPr>
            <w:color w:val="0000EE"/>
            <w:u w:val="single"/>
          </w:rPr>
          <w:t>1Sm 25.18</w:t>
        </w:r>
      </w:hyperlink>
      <w:r>
        <w:t>) ou prensadas, seu suco bebido como vinho novo ou fermentado em uma bebida alcoólica. Uma das obrigações do copeiro nas antigas cortes reais era fornecer suco de uva ou vinho para o rei, sua família e convidados (</w:t>
      </w:r>
      <w:hyperlink r:id="rId5257">
        <w:r>
          <w:rPr>
            <w:color w:val="0000EE"/>
            <w:u w:val="single"/>
          </w:rPr>
          <w:t>Gn 40.9–13</w:t>
        </w:r>
      </w:hyperlink>
      <w:r>
        <w:t>).</w:t>
      </w:r>
    </w:p>
    <w:p>
      <w:r/>
      <w:r>
        <w:t>O suco de uvas também produzia vinagre quando o vinho se deteriorava. O vinagre era usado como um agente aromatizante na preparação de alimentos e como um conservante. Quando diluído com água, fornecia uma bebida refrescante para os trabalhadores nos campos. Um tipo de geleia era feito no Oriente Próximo por uvas fervidas até que elas assumissem a consistência de melaço. Este xarope também poderia ser usado como um agente adoçante na preparação de alimentos.</w:t>
      </w:r>
    </w:p>
    <w:p>
      <w:r/>
      <w:r>
        <w:t>O vinho era a bebida universal na antiguidade. Poderia ser diluído com água ou misturado com especiarias, ou mel para fazer um vinho equilibrado (</w:t>
      </w:r>
      <w:hyperlink r:id="rId5254">
        <w:r>
          <w:rPr>
            <w:color w:val="0000EE"/>
            <w:u w:val="single"/>
          </w:rPr>
          <w:t>Ct 8.2</w:t>
        </w:r>
      </w:hyperlink>
      <w:r>
        <w:t xml:space="preserve">; </w:t>
      </w:r>
      <w:hyperlink r:id="rId5258">
        <w:r>
          <w:rPr>
            <w:color w:val="0000EE"/>
            <w:u w:val="single"/>
          </w:rPr>
          <w:t>Is 5.22</w:t>
        </w:r>
      </w:hyperlink>
      <w:r>
        <w:t>). A palavra hebraica para “banquete” ou “festa” literalmente significa “beber”, o que revela grande parte do caráter de tais ocasiões. Uma certa quantidade de alegria era considerada apropriada em um festival ou banquete (</w:t>
      </w:r>
      <w:hyperlink r:id="rId5259">
        <w:r>
          <w:rPr>
            <w:color w:val="0000EE"/>
            <w:u w:val="single"/>
          </w:rPr>
          <w:t>Gn 43.34</w:t>
        </w:r>
      </w:hyperlink>
      <w:r>
        <w:t xml:space="preserve">; </w:t>
      </w:r>
      <w:hyperlink r:id="rId5260">
        <w:r>
          <w:rPr>
            <w:color w:val="0000EE"/>
            <w:u w:val="single"/>
          </w:rPr>
          <w:t>Jz 9.13</w:t>
        </w:r>
      </w:hyperlink>
      <w:r>
        <w:t xml:space="preserve">; </w:t>
      </w:r>
      <w:hyperlink r:id="rId5261">
        <w:r>
          <w:rPr>
            <w:color w:val="0000EE"/>
            <w:u w:val="single"/>
          </w:rPr>
          <w:t>Lc 5.34</w:t>
        </w:r>
      </w:hyperlink>
      <w:r>
        <w:t>).</w:t>
      </w:r>
    </w:p>
    <w:p>
      <w:r/>
      <w:r>
        <w:t>A produção de vinho era semelhante em muitos aspectos à produção de azeite. Os cachos de uvas eram cortados da videira com uma foice, coletados em cestos e levados para o lagar, onde eram pisados por homens e mulheres. O suco corria para um tonel inferior, onde, sob o sol quente, a fermentação começava quase imediatamente. O vinho era deixado para assentar para que quaisquer galhos ou peles formassem um sedimento; depois disso, o vinho poderia ser coado. Em cerca de seis semanas, o vinho estava pronto para beber ou armazenar em frascos de barro, ou odres.</w:t>
      </w:r>
    </w:p>
    <w:p>
      <w:r/>
      <w:r>
        <w:rPr>
          <w:i/>
        </w:rPr>
        <w:t>Veja também</w:t>
      </w:r>
      <w:r>
        <w:t xml:space="preserve"> </w:t>
      </w:r>
      <w:r>
        <w:t>Animais</w:t>
      </w:r>
      <w:r>
        <w:t xml:space="preserve">; </w:t>
      </w:r>
      <w:r>
        <w:t>Pão</w:t>
      </w:r>
      <w:r>
        <w:t xml:space="preserve">; </w:t>
      </w:r>
      <w:r>
        <w:t>Vida familiar e Relações</w:t>
      </w:r>
      <w:r>
        <w:t xml:space="preserve">; </w:t>
      </w:r>
      <w:r>
        <w:t>Fermento</w:t>
      </w:r>
      <w:r>
        <w:t xml:space="preserve">; </w:t>
      </w:r>
      <w:r>
        <w:t>Refeições, Significado de</w:t>
      </w:r>
      <w:r>
        <w:t xml:space="preserve">; </w:t>
      </w:r>
      <w:r>
        <w:t>Plantas</w:t>
      </w:r>
      <w:r>
        <w:t xml:space="preserve">; </w:t>
      </w:r>
      <w:r>
        <w:t>Pães sem fermento</w:t>
      </w:r>
      <w:r>
        <w:t>.</w:t>
      </w:r>
      <w:r/>
      <w:r/>
    </w:p>
    <w:p>
      <w:r/>
    </w:p>
    <w:p>
      <w:pPr>
        <w:pStyle w:val="Heading2"/>
      </w:pPr>
      <w:r>
        <w:t>Compaixão</w:t>
      </w:r>
      <w:r/>
    </w:p>
    <w:p>
      <w:r/>
      <w:r>
        <w:t>A qualidade de demonstrar bondade, favor, graça ou misericórdia. Na Bíblia, Deus é descrito como um pai compassivo para aqueles que o reverenciam (</w:t>
      </w:r>
      <w:hyperlink r:id="rId5262">
        <w:r>
          <w:rPr>
            <w:color w:val="0000EE"/>
            <w:u w:val="single"/>
          </w:rPr>
          <w:t>Sl 103.13</w:t>
        </w:r>
      </w:hyperlink>
      <w:r>
        <w:t>). Jesus Cristo exemplificou a compaixão de Deus através de sua pregação, cura (</w:t>
      </w:r>
      <w:hyperlink r:id="rId1853">
        <w:r>
          <w:rPr>
            <w:color w:val="0000EE"/>
            <w:u w:val="single"/>
          </w:rPr>
          <w:t>Mt 9.36</w:t>
        </w:r>
      </w:hyperlink>
      <w:r>
        <w:t xml:space="preserve">; </w:t>
      </w:r>
      <w:hyperlink r:id="rId5263">
        <w:r>
          <w:rPr>
            <w:color w:val="0000EE"/>
            <w:u w:val="single"/>
          </w:rPr>
          <w:t>14.14</w:t>
        </w:r>
      </w:hyperlink>
      <w:r>
        <w:t>), preocupação com a perdição da humanidade (</w:t>
      </w:r>
      <w:hyperlink r:id="rId5264">
        <w:r>
          <w:rPr>
            <w:color w:val="0000EE"/>
            <w:u w:val="single"/>
          </w:rPr>
          <w:t>Lc 19.41</w:t>
        </w:r>
      </w:hyperlink>
      <w:r>
        <w:t>) e, em última análise, em seu sacrifício na cruz (</w:t>
      </w:r>
      <w:hyperlink r:id="rId1182">
        <w:r>
          <w:rPr>
            <w:color w:val="0000EE"/>
            <w:u w:val="single"/>
          </w:rPr>
          <w:t>Rm 5.8</w:t>
        </w:r>
      </w:hyperlink>
      <w:r>
        <w:t>). A igreja é chamada a demonstrar compaixão como parte do amor que Jesus ordenou (</w:t>
      </w:r>
      <w:hyperlink r:id="rId5265">
        <w:r>
          <w:rPr>
            <w:color w:val="0000EE"/>
            <w:u w:val="single"/>
          </w:rPr>
          <w:t>Mt 5.4–7</w:t>
        </w:r>
      </w:hyperlink>
      <w:r>
        <w:t xml:space="preserve">; </w:t>
      </w:r>
      <w:hyperlink r:id="rId1197">
        <w:r>
          <w:rPr>
            <w:color w:val="0000EE"/>
            <w:u w:val="single"/>
          </w:rPr>
          <w:t>Jo 13.34</w:t>
        </w:r>
      </w:hyperlink>
      <w:r>
        <w:t xml:space="preserve">; </w:t>
      </w:r>
      <w:hyperlink r:id="rId5266">
        <w:r>
          <w:rPr>
            <w:color w:val="0000EE"/>
            <w:u w:val="single"/>
          </w:rPr>
          <w:t>Tg 2.8–18</w:t>
        </w:r>
      </w:hyperlink>
      <w:r>
        <w:t xml:space="preserve">; </w:t>
      </w:r>
      <w:hyperlink r:id="rId1204">
        <w:r>
          <w:rPr>
            <w:color w:val="0000EE"/>
            <w:u w:val="single"/>
          </w:rPr>
          <w:t>1Jo 3.18</w:t>
        </w:r>
      </w:hyperlink>
      <w:r>
        <w:t>).</w:t>
      </w:r>
    </w:p>
    <w:p>
      <w:r/>
      <w:r>
        <w:t>No Antigo Testamento, a compaixão descreve um aspecto do relacionamento de aliança de Deus com seu povo. Uma palavra hebraica para "compaixão" vem de uma raiz que significa "útero", comparando o amor de Deus ao amor de uma mãe. A compaixão de Deus sempre foi demonstrada através de ações que afirmavam sua aliança com Israel. Apesar das rebeliões de Israel, Deus ainda tinha compaixão de seu povo (</w:t>
      </w:r>
      <w:hyperlink r:id="rId5267">
        <w:r>
          <w:rPr>
            <w:color w:val="0000EE"/>
            <w:u w:val="single"/>
          </w:rPr>
          <w:t>2Rs 13.23</w:t>
        </w:r>
      </w:hyperlink>
      <w:r>
        <w:t xml:space="preserve">; </w:t>
      </w:r>
      <w:hyperlink r:id="rId5268">
        <w:r>
          <w:rPr>
            <w:color w:val="0000EE"/>
            <w:u w:val="single"/>
          </w:rPr>
          <w:t>2Cr 36.15</w:t>
        </w:r>
      </w:hyperlink>
      <w:r>
        <w:t xml:space="preserve">; </w:t>
      </w:r>
      <w:hyperlink r:id="rId5269">
        <w:r>
          <w:rPr>
            <w:color w:val="0000EE"/>
            <w:u w:val="single"/>
          </w:rPr>
          <w:t>Sl 78.38</w:t>
        </w:r>
      </w:hyperlink>
      <w:r>
        <w:t>) e de toda a criação (</w:t>
      </w:r>
      <w:hyperlink r:id="rId5270">
        <w:r>
          <w:rPr>
            <w:color w:val="0000EE"/>
            <w:u w:val="single"/>
          </w:rPr>
          <w:t>Sl 145.9</w:t>
        </w:r>
      </w:hyperlink>
      <w:r>
        <w:t>). Mesmo quando Israel temia que Deus tivesse retirado seu favor (</w:t>
      </w:r>
      <w:hyperlink r:id="rId5271">
        <w:r>
          <w:rPr>
            <w:color w:val="0000EE"/>
            <w:u w:val="single"/>
          </w:rPr>
          <w:t>Sl 77.9</w:t>
        </w:r>
      </w:hyperlink>
      <w:r>
        <w:t xml:space="preserve">; </w:t>
      </w:r>
      <w:hyperlink r:id="rId5272">
        <w:r>
          <w:rPr>
            <w:color w:val="0000EE"/>
            <w:u w:val="single"/>
          </w:rPr>
          <w:t>Is 27.11</w:t>
        </w:r>
      </w:hyperlink>
      <w:r>
        <w:t xml:space="preserve">; </w:t>
      </w:r>
      <w:hyperlink r:id="rId5273">
        <w:r>
          <w:rPr>
            <w:color w:val="0000EE"/>
            <w:u w:val="single"/>
          </w:rPr>
          <w:t>63.15</w:t>
        </w:r>
      </w:hyperlink>
      <w:r>
        <w:t xml:space="preserve">; </w:t>
      </w:r>
      <w:hyperlink r:id="rId5274">
        <w:r>
          <w:rPr>
            <w:color w:val="0000EE"/>
            <w:u w:val="single"/>
          </w:rPr>
          <w:t>Jr 13.14</w:t>
        </w:r>
      </w:hyperlink>
      <w:r>
        <w:t xml:space="preserve">; </w:t>
      </w:r>
      <w:hyperlink r:id="rId5275">
        <w:r>
          <w:rPr>
            <w:color w:val="0000EE"/>
            <w:u w:val="single"/>
          </w:rPr>
          <w:t>21.7</w:t>
        </w:r>
      </w:hyperlink>
      <w:r>
        <w:t xml:space="preserve">; </w:t>
      </w:r>
      <w:hyperlink r:id="rId915">
        <w:r>
          <w:rPr>
            <w:color w:val="0000EE"/>
            <w:u w:val="single"/>
          </w:rPr>
          <w:t>Os 13.14</w:t>
        </w:r>
      </w:hyperlink>
      <w:r>
        <w:t>), a compaixão de Deus reviveria, e ele restauraria seu povo (</w:t>
      </w:r>
      <w:hyperlink r:id="rId5276">
        <w:r>
          <w:rPr>
            <w:color w:val="0000EE"/>
            <w:u w:val="single"/>
          </w:rPr>
          <w:t>Dt 30.3</w:t>
        </w:r>
      </w:hyperlink>
      <w:r>
        <w:t xml:space="preserve">; </w:t>
      </w:r>
      <w:hyperlink r:id="rId5277">
        <w:r>
          <w:rPr>
            <w:color w:val="0000EE"/>
            <w:u w:val="single"/>
          </w:rPr>
          <w:t>Sl 135.14</w:t>
        </w:r>
      </w:hyperlink>
      <w:r>
        <w:t xml:space="preserve">; </w:t>
      </w:r>
      <w:hyperlink r:id="rId5278">
        <w:r>
          <w:rPr>
            <w:color w:val="0000EE"/>
            <w:u w:val="single"/>
          </w:rPr>
          <w:t>Is 14.1</w:t>
        </w:r>
      </w:hyperlink>
      <w:r>
        <w:t xml:space="preserve">; </w:t>
      </w:r>
      <w:hyperlink r:id="rId5279">
        <w:r>
          <w:rPr>
            <w:color w:val="0000EE"/>
            <w:u w:val="single"/>
          </w:rPr>
          <w:t>49.13</w:t>
        </w:r>
      </w:hyperlink>
      <w:r>
        <w:t xml:space="preserve">; </w:t>
      </w:r>
      <w:hyperlink r:id="rId5280">
        <w:r>
          <w:rPr>
            <w:color w:val="0000EE"/>
            <w:u w:val="single"/>
          </w:rPr>
          <w:t>54.7–8</w:t>
        </w:r>
      </w:hyperlink>
      <w:r>
        <w:t xml:space="preserve">; </w:t>
      </w:r>
      <w:hyperlink r:id="rId5281">
        <w:r>
          <w:rPr>
            <w:color w:val="0000EE"/>
            <w:u w:val="single"/>
          </w:rPr>
          <w:t>Jr 12.15</w:t>
        </w:r>
      </w:hyperlink>
      <w:r>
        <w:t xml:space="preserve">; </w:t>
      </w:r>
      <w:hyperlink r:id="rId5282">
        <w:r>
          <w:rPr>
            <w:color w:val="0000EE"/>
            <w:u w:val="single"/>
          </w:rPr>
          <w:t>30.18</w:t>
        </w:r>
      </w:hyperlink>
      <w:r>
        <w:t xml:space="preserve">; </w:t>
      </w:r>
      <w:hyperlink r:id="rId5283">
        <w:r>
          <w:rPr>
            <w:color w:val="0000EE"/>
            <w:u w:val="single"/>
          </w:rPr>
          <w:t>Mq 7.19</w:t>
        </w:r>
      </w:hyperlink>
      <w:r>
        <w:t>).</w:t>
      </w:r>
    </w:p>
    <w:p>
      <w:r/>
      <w:r>
        <w:t>No Novo Testamento, Jesus Cristo refletiu perfeitamente a compaixão do Pai em suas interações com a humanidade. Ele curou, expulsou espíritos, capacitou outros e os enviou para fazer o mesmo. Jesus alimentou os famintos e ressuscitou os mortos. Suas parábolas, como a do Bom Samaritano (</w:t>
      </w:r>
      <w:hyperlink r:id="rId5284">
        <w:r>
          <w:rPr>
            <w:color w:val="0000EE"/>
            <w:u w:val="single"/>
          </w:rPr>
          <w:t>Lc 10.33</w:t>
        </w:r>
      </w:hyperlink>
      <w:r>
        <w:t>) e a do Filho Pródigo (</w:t>
      </w:r>
      <w:hyperlink r:id="rId5285">
        <w:r>
          <w:rPr>
            <w:color w:val="0000EE"/>
            <w:u w:val="single"/>
          </w:rPr>
          <w:t>Lc 15.20</w:t>
        </w:r>
      </w:hyperlink>
      <w:r>
        <w:t>), ilustraram ainda mais a compaixão.</w:t>
      </w:r>
    </w:p>
    <w:p>
      <w:r/>
      <w:r>
        <w:t>O apóstolo Paulo listou a compaixão como uma qualidade primária para a igreja de Colossos incorporar (</w:t>
      </w:r>
      <w:hyperlink r:id="rId3852">
        <w:r>
          <w:rPr>
            <w:color w:val="0000EE"/>
            <w:u w:val="single"/>
          </w:rPr>
          <w:t>Cl 3.12</w:t>
        </w:r>
      </w:hyperlink>
      <w:r>
        <w:t>). A compaixão era uma parte importante da comunidade cristã. A palavra grega usada significa literalmente "ser movido nas entranhas", apontando para o núcleo dos sentimentos internos de alguém, semelhante a como "coração" é usado hoje. Esse sentimento interno intenso deve sempre levar a atos externos de misericórdia e bondade.</w:t>
      </w:r>
      <w:r/>
      <w:r/>
    </w:p>
    <w:p>
      <w:r/>
    </w:p>
    <w:p>
      <w:pPr>
        <w:pStyle w:val="Heading2"/>
      </w:pPr>
      <w:r>
        <w:t>Companheirismo</w:t>
      </w:r>
      <w:r/>
    </w:p>
    <w:p>
      <w:r/>
      <w:r>
        <w:t>Comunhão com Deus, que resulta em participação comum com outros crentes no Espírito de Deus e nas bênçãos de Deus.</w:t>
      </w:r>
    </w:p>
    <w:p>
      <w:r/>
      <w:r>
        <w:t>No início, Adão foi colocado no Jardim para desfrutar da amizade e comunhão com Deus. Quando Adão e Eva escolheram afirmar sua própria autonomia em vez de viver sob o cuidado gracioso do Criador, a comunhão foi quebrada. Como resultado, Adão e Eva se esconderam da presença do Senhor (</w:t>
      </w:r>
      <w:hyperlink r:id="rId300">
        <w:r>
          <w:rPr>
            <w:color w:val="0000EE"/>
            <w:u w:val="single"/>
          </w:rPr>
          <w:t>Gn 3.8</w:t>
        </w:r>
      </w:hyperlink>
      <w:r>
        <w:t xml:space="preserve">). No entanto, Deus imediatamente os procurou e revelou seu plano para a restauração final dos pecadores através da obra do Redentor (v. </w:t>
      </w:r>
      <w:hyperlink r:id="rId309">
        <w:r>
          <w:rPr>
            <w:color w:val="0000EE"/>
            <w:u w:val="single"/>
          </w:rPr>
          <w:t>15</w:t>
        </w:r>
      </w:hyperlink>
      <w:r>
        <w:t>).</w:t>
      </w:r>
    </w:p>
    <w:p>
      <w:r/>
      <w:r>
        <w:t>O AT conta como Deus começou a atrair um povo especial para comunhão consigo mesmo. Enoque é descrito como um homem que andou com Deus (</w:t>
      </w:r>
      <w:hyperlink r:id="rId5286">
        <w:r>
          <w:rPr>
            <w:color w:val="0000EE"/>
            <w:u w:val="single"/>
          </w:rPr>
          <w:t>Gn 5.22,24</w:t>
        </w:r>
      </w:hyperlink>
      <w:r>
        <w:t>). Noé, da mesma forma, andou em comunhão com o Senhor (</w:t>
      </w:r>
      <w:hyperlink r:id="rId5287">
        <w:r>
          <w:rPr>
            <w:color w:val="0000EE"/>
            <w:u w:val="single"/>
          </w:rPr>
          <w:t>6.9</w:t>
        </w:r>
      </w:hyperlink>
      <w:r>
        <w:t>). E Abraão, o pai de Israel, é chamado de “amigo de Deus” (</w:t>
      </w:r>
      <w:hyperlink r:id="rId5288">
        <w:r>
          <w:rPr>
            <w:color w:val="0000EE"/>
            <w:u w:val="single"/>
          </w:rPr>
          <w:t>Tg 2.23</w:t>
        </w:r>
      </w:hyperlink>
      <w:r>
        <w:t>). Nenhuma pessoa do AT teve comunhão mais profunda com Deus do que Moisés durante seu encontro de 40 dias com o Senhor no Monte Sinai (</w:t>
      </w:r>
      <w:hyperlink r:id="rId5289">
        <w:r>
          <w:rPr>
            <w:color w:val="0000EE"/>
            <w:u w:val="single"/>
          </w:rPr>
          <w:t>Êx 24</w:t>
        </w:r>
      </w:hyperlink>
      <w:r>
        <w:t>). Mais tarde na história de Israel, Davi escreveu salmos que refletem um coração em sintonia vital com o Deus vivo (</w:t>
      </w:r>
      <w:hyperlink r:id="rId5290">
        <w:r>
          <w:rPr>
            <w:color w:val="0000EE"/>
            <w:u w:val="single"/>
          </w:rPr>
          <w:t>Sl 16</w:t>
        </w:r>
      </w:hyperlink>
      <w:r>
        <w:t xml:space="preserve">, </w:t>
      </w:r>
      <w:hyperlink r:id="rId270">
        <w:r>
          <w:rPr>
            <w:color w:val="0000EE"/>
            <w:u w:val="single"/>
          </w:rPr>
          <w:t>34</w:t>
        </w:r>
      </w:hyperlink>
      <w:r>
        <w:t xml:space="preserve">, </w:t>
      </w:r>
      <w:hyperlink r:id="rId5291">
        <w:r>
          <w:rPr>
            <w:color w:val="0000EE"/>
            <w:u w:val="single"/>
          </w:rPr>
          <w:t>40</w:t>
        </w:r>
      </w:hyperlink>
      <w:r>
        <w:t xml:space="preserve">, </w:t>
      </w:r>
      <w:hyperlink r:id="rId5292">
        <w:r>
          <w:rPr>
            <w:color w:val="0000EE"/>
            <w:u w:val="single"/>
          </w:rPr>
          <w:t>63</w:t>
        </w:r>
      </w:hyperlink>
      <w:r>
        <w:t>).</w:t>
      </w:r>
    </w:p>
    <w:p>
      <w:r/>
      <w:r>
        <w:t>Como resultado da obra concluída de Cristo na cruz, Deus agora faz sua morada permanente no coração de cada crente (</w:t>
      </w:r>
      <w:hyperlink r:id="rId5293">
        <w:r>
          <w:rPr>
            <w:color w:val="0000EE"/>
            <w:u w:val="single"/>
          </w:rPr>
          <w:t>Jo 14.23</w:t>
        </w:r>
      </w:hyperlink>
      <w:r>
        <w:t xml:space="preserve">). Como resultado, a comunhão que agora prevalece sob a nova aliança é nada menos que a união vital e espiritual do crente com Cristo (v. </w:t>
      </w:r>
      <w:hyperlink r:id="rId5294">
        <w:r>
          <w:rPr>
            <w:color w:val="0000EE"/>
            <w:u w:val="single"/>
          </w:rPr>
          <w:t>20–21</w:t>
        </w:r>
      </w:hyperlink>
      <w:r>
        <w:t>). A comunhão com Deus é o objetivo da vida cristã (</w:t>
      </w:r>
      <w:hyperlink r:id="rId1200">
        <w:r>
          <w:rPr>
            <w:color w:val="0000EE"/>
            <w:u w:val="single"/>
          </w:rPr>
          <w:t>1Jo 1.3</w:t>
        </w:r>
      </w:hyperlink>
      <w:r>
        <w:t>), e esse relacionamento será aperfeiçoado para sempre quando virmos nosso Salvador “face a face” (</w:t>
      </w:r>
      <w:hyperlink r:id="rId5295">
        <w:r>
          <w:rPr>
            <w:color w:val="0000EE"/>
            <w:u w:val="single"/>
          </w:rPr>
          <w:t>1Co 13.12</w:t>
        </w:r>
      </w:hyperlink>
      <w:r>
        <w:t>), quando Deus habitar com seu povo na eternidade (</w:t>
      </w:r>
      <w:hyperlink r:id="rId5296">
        <w:r>
          <w:rPr>
            <w:color w:val="0000EE"/>
            <w:u w:val="single"/>
          </w:rPr>
          <w:t>Ap 21.3</w:t>
        </w:r>
      </w:hyperlink>
      <w:r>
        <w:t>).</w:t>
      </w:r>
    </w:p>
    <w:p>
      <w:r/>
      <w:r>
        <w:t>O evangelho restaura a comunhão não apenas com Deus, mas também entre os crentes. A Santa Ceia de Jesus com seus discípulos ilustra a relação entre as dimensões vertical e horizontal da comunhão (</w:t>
      </w:r>
      <w:hyperlink r:id="rId5297">
        <w:r>
          <w:rPr>
            <w:color w:val="0000EE"/>
            <w:u w:val="single"/>
          </w:rPr>
          <w:t>Mc 14.22–25</w:t>
        </w:r>
      </w:hyperlink>
      <w:r>
        <w:t>). No cenáculo, Jesus compartilhou com seus discípulos um sagrado banquete de amor. Os corações do Senhor e de seus seguidores foram unidos por um profundo senso de amor e compromisso. Mais tarde, os discípulos descobriram que seus próprios corações estavam fortemente unidos por sua lealdade comum a Jesus. Após a cruz e o derramamento do Espírito, a igreja nasceu — essa nova sociedade de pessoas em comunhão com Deus e uns com os outros.</w:t>
      </w:r>
    </w:p>
    <w:p>
      <w:r/>
      <w:r>
        <w:t>A profundidade da camaradagem entre os primeiros cristãos é retratada nos primeiros capítulos de Atos. Os crentes se reuniam em grupos nas casas para ensino, comunhão, a Ceia do Senhor e oração (</w:t>
      </w:r>
      <w:hyperlink r:id="rId5298">
        <w:r>
          <w:rPr>
            <w:color w:val="0000EE"/>
            <w:u w:val="single"/>
          </w:rPr>
          <w:t>At 2.42,46</w:t>
        </w:r>
      </w:hyperlink>
      <w:r>
        <w:t>). Tão profundo era o seu senso de união que os cristãos compartilhavam suas posses e as distribuíam aos irmãos e irmãs necessitados (</w:t>
      </w:r>
      <w:hyperlink r:id="rId5299">
        <w:r>
          <w:rPr>
            <w:color w:val="0000EE"/>
            <w:u w:val="single"/>
          </w:rPr>
          <w:t>2.44–45</w:t>
        </w:r>
      </w:hyperlink>
      <w:r>
        <w:t xml:space="preserve">; </w:t>
      </w:r>
      <w:hyperlink r:id="rId5300">
        <w:r>
          <w:rPr>
            <w:color w:val="0000EE"/>
            <w:u w:val="single"/>
          </w:rPr>
          <w:t>4.32–35</w:t>
        </w:r>
      </w:hyperlink>
      <w:r>
        <w:t>). Talvez a característica dominante dessa primeira comunhão cristã fosse o amor entre os crentes (</w:t>
      </w:r>
      <w:hyperlink r:id="rId5301">
        <w:r>
          <w:rPr>
            <w:color w:val="0000EE"/>
            <w:u w:val="single"/>
          </w:rPr>
          <w:t>1Ts 4.9</w:t>
        </w:r>
      </w:hyperlink>
      <w:r>
        <w:t xml:space="preserve">; </w:t>
      </w:r>
      <w:hyperlink r:id="rId5302">
        <w:r>
          <w:rPr>
            <w:color w:val="0000EE"/>
            <w:u w:val="single"/>
          </w:rPr>
          <w:t>1Pe 1.22</w:t>
        </w:r>
      </w:hyperlink>
      <w:r>
        <w:t>).</w:t>
      </w:r>
    </w:p>
    <w:p>
      <w:r/>
      <w:r>
        <w:t xml:space="preserve">Motivado pelo amor, Paulo organizou entre as igrejas gentias uma coleta para os crentes pobres em Jerusalém. Em </w:t>
      </w:r>
      <w:hyperlink r:id="rId4343">
        <w:r>
          <w:rPr>
            <w:color w:val="0000EE"/>
            <w:u w:val="single"/>
          </w:rPr>
          <w:t>Rm 15.26</w:t>
        </w:r>
      </w:hyperlink>
      <w:r>
        <w:t>, que fala das ofertas das igrejas na Macedônia e Acaia, a palavra traduzida como “contribuição” é a palavra grega comum para “comunhão”. Da mesma forma, a comunhão que a igreja de Filipos compartilhou com Paulo assumiu a forma de presentes para apoiar o ministério do apóstolo (</w:t>
      </w:r>
      <w:hyperlink r:id="rId5303">
        <w:r>
          <w:rPr>
            <w:color w:val="0000EE"/>
            <w:u w:val="single"/>
          </w:rPr>
          <w:t>Fp 1.5</w:t>
        </w:r>
      </w:hyperlink>
      <w:r>
        <w:t xml:space="preserve">; </w:t>
      </w:r>
      <w:hyperlink r:id="rId5304">
        <w:r>
          <w:rPr>
            <w:color w:val="0000EE"/>
            <w:u w:val="single"/>
          </w:rPr>
          <w:t>4.14–15</w:t>
        </w:r>
      </w:hyperlink>
      <w:r>
        <w:t>).</w:t>
      </w:r>
    </w:p>
    <w:p>
      <w:r/>
      <w:r>
        <w:t>As Escrituras usam várias imagens para descrever o espírito de união que caracterizava a igreja primitiva. A primeira é "a família de Deus" (</w:t>
      </w:r>
      <w:hyperlink r:id="rId5305">
        <w:r>
          <w:rPr>
            <w:color w:val="0000EE"/>
            <w:u w:val="single"/>
          </w:rPr>
          <w:t>Ef 2.19</w:t>
        </w:r>
      </w:hyperlink>
      <w:r>
        <w:t xml:space="preserve">; </w:t>
      </w:r>
      <w:hyperlink r:id="rId5306">
        <w:r>
          <w:rPr>
            <w:color w:val="0000EE"/>
            <w:u w:val="single"/>
          </w:rPr>
          <w:t>1Tm 3.15</w:t>
        </w:r>
      </w:hyperlink>
      <w:r>
        <w:t>), ou "a família da fé" (</w:t>
      </w:r>
      <w:hyperlink r:id="rId5307">
        <w:r>
          <w:rPr>
            <w:color w:val="0000EE"/>
            <w:u w:val="single"/>
          </w:rPr>
          <w:t>Gl 6.10</w:t>
        </w:r>
      </w:hyperlink>
      <w:r>
        <w:t>). Na família de Deus, o amor e a hospitalidade devem ser a regra (</w:t>
      </w:r>
      <w:hyperlink r:id="rId5308">
        <w:r>
          <w:rPr>
            <w:color w:val="0000EE"/>
            <w:u w:val="single"/>
          </w:rPr>
          <w:t>Hb 13.1–2</w:t>
        </w:r>
      </w:hyperlink>
      <w:r>
        <w:t>). Além disso, a igreja é retratada como a família de Deus na terra (</w:t>
      </w:r>
      <w:hyperlink r:id="rId5309">
        <w:r>
          <w:rPr>
            <w:color w:val="0000EE"/>
            <w:u w:val="single"/>
          </w:rPr>
          <w:t>Ef 3.15</w:t>
        </w:r>
      </w:hyperlink>
      <w:r>
        <w:t>). Deus é o Pai, e os crentes são seus filhos e filhas fiéis. A vida da família de Deus deve ser governada por amor, ternura, compaixão e humildade (</w:t>
      </w:r>
      <w:hyperlink r:id="rId5310">
        <w:r>
          <w:rPr>
            <w:color w:val="0000EE"/>
            <w:u w:val="single"/>
          </w:rPr>
          <w:t>Fp 2.1–4</w:t>
        </w:r>
      </w:hyperlink>
      <w:r>
        <w:t>). Finalmente, a comunhão cristã é representada como o "novo homem" ou o "corpo unido" (</w:t>
      </w:r>
      <w:hyperlink r:id="rId5311">
        <w:r>
          <w:rPr>
            <w:color w:val="0000EE"/>
            <w:u w:val="single"/>
          </w:rPr>
          <w:t>Ef 2.15–16</w:t>
        </w:r>
      </w:hyperlink>
      <w:r>
        <w:t>). Apesar da grande diversidade natural no corpo, o Espírito Santo une os crentes em um único organismo (</w:t>
      </w:r>
      <w:hyperlink r:id="rId5312">
        <w:r>
          <w:rPr>
            <w:color w:val="0000EE"/>
            <w:u w:val="single"/>
          </w:rPr>
          <w:t>4.4–6</w:t>
        </w:r>
      </w:hyperlink>
      <w:r>
        <w:t>). Nesta comunhão de amor, nenhum crente é insignificante. Cada membro foi dotado de dons para a edificação espiritual de todo o corpo.</w:t>
      </w:r>
    </w:p>
    <w:p>
      <w:r/>
      <w:r>
        <w:t xml:space="preserve">A Escritura estabelece a base da comunhão em </w:t>
      </w:r>
      <w:hyperlink r:id="rId5313">
        <w:r>
          <w:rPr>
            <w:color w:val="0000EE"/>
            <w:u w:val="single"/>
          </w:rPr>
          <w:t>1 João 1.7</w:t>
        </w:r>
      </w:hyperlink>
      <w:r>
        <w:t>: “Porém, se vivemos na luz, como Deus está na luz, então estamos unidos uns com os outros” (NTLH). Jesus Cristo, então, é a fonte e origem de toda comunhão espiritual. Somente quando estamos corretamente relacionados com o Senhor experimentamos verdadeira comunhão com outro cristão. Assim como luz e trevas são incompatíveis, um crente não pode ter verdadeira comunhão com um descrente. Nem o cristão pode estar em comunhão com alguém que anda contrário ao ensino de Cristo (</w:t>
      </w:r>
      <w:hyperlink r:id="rId5314">
        <w:r>
          <w:rPr>
            <w:color w:val="0000EE"/>
            <w:u w:val="single"/>
          </w:rPr>
          <w:t>2Jo 1.9–11</w:t>
        </w:r>
      </w:hyperlink>
      <w:r>
        <w:t>), ou um irmão professante que é imoral, idólatra, bêbado ou ladrão (</w:t>
      </w:r>
      <w:hyperlink r:id="rId5315">
        <w:r>
          <w:rPr>
            <w:color w:val="0000EE"/>
            <w:u w:val="single"/>
          </w:rPr>
          <w:t>1Co 5.11</w:t>
        </w:r>
      </w:hyperlink>
      <w:r>
        <w:t>).</w:t>
      </w:r>
    </w:p>
    <w:p>
      <w:r/>
      <w:r>
        <w:t>A Escritura estabelece várias diretrizes para melhorar a comunhão dos crentes no corpo: (1) Amem uns aos outros com a mesma compaixão que Cristo demonstrou aos seus (</w:t>
      </w:r>
      <w:hyperlink r:id="rId5316">
        <w:r>
          <w:rPr>
            <w:color w:val="0000EE"/>
            <w:u w:val="single"/>
          </w:rPr>
          <w:t>Jo 13.34–35</w:t>
        </w:r>
      </w:hyperlink>
      <w:r>
        <w:t xml:space="preserve">; </w:t>
      </w:r>
      <w:hyperlink r:id="rId5317">
        <w:r>
          <w:rPr>
            <w:color w:val="0000EE"/>
            <w:u w:val="single"/>
          </w:rPr>
          <w:t>15.12</w:t>
        </w:r>
      </w:hyperlink>
      <w:r>
        <w:t>). A lei da comunhão deve ser a regra do amor (</w:t>
      </w:r>
      <w:hyperlink r:id="rId5318">
        <w:r>
          <w:rPr>
            <w:color w:val="0000EE"/>
            <w:u w:val="single"/>
          </w:rPr>
          <w:t>Hb 13.1</w:t>
        </w:r>
      </w:hyperlink>
      <w:r>
        <w:t>). (2) Cultivem aquele espírito de humildade que busca a honra do outro (</w:t>
      </w:r>
      <w:hyperlink r:id="rId5319">
        <w:r>
          <w:rPr>
            <w:color w:val="0000EE"/>
            <w:u w:val="single"/>
          </w:rPr>
          <w:t>Fp 2.3–5</w:t>
        </w:r>
      </w:hyperlink>
      <w:r>
        <w:t>). (3) Aliviem as cargas dos irmãos na fé, suportando os fardos uns dos outros (</w:t>
      </w:r>
      <w:hyperlink r:id="rId1176">
        <w:r>
          <w:rPr>
            <w:color w:val="0000EE"/>
            <w:u w:val="single"/>
          </w:rPr>
          <w:t>Gl 6.2</w:t>
        </w:r>
      </w:hyperlink>
      <w:r>
        <w:t>). (4) Compartilhem bênçãos materiais com irmãos e irmãs em necessidade (</w:t>
      </w:r>
      <w:hyperlink r:id="rId5320">
        <w:r>
          <w:rPr>
            <w:color w:val="0000EE"/>
            <w:u w:val="single"/>
          </w:rPr>
          <w:t>2Co 9.13</w:t>
        </w:r>
      </w:hyperlink>
      <w:r>
        <w:t>). (5) Corrijam ternamente um pecador enquanto ajudam a encontrar soluções para os problemas (</w:t>
      </w:r>
      <w:hyperlink r:id="rId5321">
        <w:r>
          <w:rPr>
            <w:color w:val="0000EE"/>
            <w:u w:val="single"/>
          </w:rPr>
          <w:t>Gl 6.1</w:t>
        </w:r>
      </w:hyperlink>
      <w:r>
        <w:t>). (6) Socorram um irmão na fé em tempos de sofrimento (</w:t>
      </w:r>
      <w:hyperlink r:id="rId5322">
        <w:r>
          <w:rPr>
            <w:color w:val="0000EE"/>
            <w:u w:val="single"/>
          </w:rPr>
          <w:t>1Co 12.26</w:t>
        </w:r>
      </w:hyperlink>
      <w:r>
        <w:t>). (7) Orem uns pelos outros no Espírito sem cessar (</w:t>
      </w:r>
      <w:hyperlink r:id="rId5323">
        <w:r>
          <w:rPr>
            <w:color w:val="0000EE"/>
            <w:u w:val="single"/>
          </w:rPr>
          <w:t>Ef 6.18</w:t>
        </w:r>
      </w:hyperlink>
      <w:r>
        <w:t>). O cristão deve considerar seriamente o ditado de um santo anônimo: “Você não pode se aproximar de Deus se estiver distante de seu irmão”.</w:t>
      </w:r>
      <w:r/>
      <w:r/>
    </w:p>
    <w:p>
      <w:r/>
    </w:p>
    <w:p>
      <w:pPr>
        <w:pStyle w:val="Heading2"/>
      </w:pPr>
      <w:r>
        <w:t>Comunicação</w:t>
      </w:r>
      <w:r/>
    </w:p>
    <w:p>
      <w:r/>
      <w:r>
        <w:t>O ato de enviar uma mensagem de um lugar para outro. Nos tempos antigos, as pessoas usavam diferentes métodos para enviar mensagens a longas distâncias. Os primeiros métodos incluíam sinais de fogo, luz e fumaça. Os babilônios foram os primeiros a usar um sistema simples chamado heliógrafo, que utilizava a luz solar refletida para enviar mensagens a curtas distâncias.</w:t>
      </w:r>
    </w:p>
    <w:p>
      <w:pPr>
        <w:pStyle w:val="Heading3"/>
      </w:pPr>
      <w:r>
        <w:t>Sinais de incêndio</w:t>
      </w:r>
    </w:p>
    <w:p>
      <w:r/>
      <w:r>
        <w:t>Um escritor grego chamado Ésquilo contou uma história sobre sinais de fogo. Ele disse que por volta de 1084 a.C., as pessoas usavam fogueiras no topo das montanhas para enviar a notícia de que Troia havia caído. A mensagem chegou até Clitemnestra em Micenas usando cerca de 12 ou mais fogueiras.</w:t>
      </w:r>
    </w:p>
    <w:p>
      <w:r/>
      <w:r>
        <w:t xml:space="preserve">Em 587 a.C., as cartas de Laquis descreveram o uso de sinais de fogo para ajudar Israel a se defender contra os babilônios. Uma carta conclui: “Que meu Senhor saiba que estamos observando os sinais de fogo de Laquis de acordo com os sinais que meu Senhor deu, porque não vemos Azeca” (veja </w:t>
      </w:r>
      <w:hyperlink r:id="rId5324">
        <w:r>
          <w:rPr>
            <w:color w:val="0000EE"/>
            <w:u w:val="single"/>
          </w:rPr>
          <w:t>Jr 6.1</w:t>
        </w:r>
      </w:hyperlink>
      <w:r>
        <w:t xml:space="preserve">; </w:t>
      </w:r>
      <w:hyperlink r:id="rId5325">
        <w:r>
          <w:rPr>
            <w:color w:val="0000EE"/>
            <w:u w:val="single"/>
          </w:rPr>
          <w:t>34.7</w:t>
        </w:r>
      </w:hyperlink>
      <w:r>
        <w:t>).</w:t>
      </w:r>
    </w:p>
    <w:p>
      <w:r/>
      <w:r>
        <w:t>Mais tarde, sinais de fogo foram usados em faróis (torres com luzes para guiar navios próximos à costa), como o famoso de Alexandria, Egito.</w:t>
      </w:r>
    </w:p>
    <w:p>
      <w:pPr>
        <w:pStyle w:val="Heading3"/>
      </w:pPr>
      <w:r>
        <w:t>Comunicação por som</w:t>
      </w:r>
    </w:p>
    <w:p>
      <w:r/>
      <w:r>
        <w:t>As pessoas têm usado sons altos para enviar mensagens há milhares de anos. Por volta de 550 a.C., Ciro da Pérsia construiu uma rede de torres. Soldados nessas torres gritavam mensagens entre si.</w:t>
      </w:r>
    </w:p>
    <w:p>
      <w:r/>
      <w:r>
        <w:t>De acordo com uma antiga história, Alexandre, o Grande, possuía uma ferramenta em forma de chifre muito grande (como um megafone) que podia fazer uma voz viajar por vários quilômetros.</w:t>
      </w:r>
    </w:p>
    <w:p>
      <w:r/>
      <w:r>
        <w:t>Um historiador chamado Severo escreveu que os romanos usavam tubos de latão para se comunicarem ao longo de sua muralha de defesa na Inglaterra.</w:t>
      </w:r>
    </w:p>
    <w:p>
      <w:r/>
      <w:r>
        <w:t>O povo hebreu usava uma trombeta especial chamada shofar, feita de um chifre de carneiro. Eles a utilizavam para anunciar a lua nova, o sábado e o perigo (</w:t>
      </w:r>
      <w:hyperlink r:id="rId1840">
        <w:r>
          <w:rPr>
            <w:color w:val="0000EE"/>
            <w:u w:val="single"/>
          </w:rPr>
          <w:t>Js 6.4</w:t>
        </w:r>
      </w:hyperlink>
      <w:r>
        <w:t xml:space="preserve">; </w:t>
      </w:r>
      <w:hyperlink r:id="rId5326">
        <w:r>
          <w:rPr>
            <w:color w:val="0000EE"/>
            <w:u w:val="single"/>
          </w:rPr>
          <w:t>Jz 7.16</w:t>
        </w:r>
      </w:hyperlink>
      <w:r>
        <w:t xml:space="preserve">; </w:t>
      </w:r>
      <w:hyperlink r:id="rId5327">
        <w:r>
          <w:rPr>
            <w:color w:val="0000EE"/>
            <w:u w:val="single"/>
          </w:rPr>
          <w:t>Os 8.1</w:t>
        </w:r>
      </w:hyperlink>
      <w:r>
        <w:t>).</w:t>
      </w:r>
    </w:p>
    <w:p>
      <w:r/>
      <w:r>
        <w:t>As pessoas também usavam batidas de tambor para enviar mensagens. Ainda hoje, os bateristas Ashanti em Gana conseguem usar sons de tambor altos e baixos que correspondem aos tons de sua língua falada.</w:t>
      </w:r>
    </w:p>
    <w:p>
      <w:pPr>
        <w:pStyle w:val="Heading3"/>
      </w:pPr>
      <w:r>
        <w:t>Tábuas de barro</w:t>
      </w:r>
    </w:p>
    <w:p>
      <w:r/>
      <w:r>
        <w:t>Arqueólogos (cientistas que estudam culturas antigas escavando e examinando artefatos e restos) encontraram milhares de cartas antigas escritas em tábuas de argila. Por volta de 2000 a.C., os assírios usavam um serviço postal informal (um sistema para enviar e receber correspondências e pacotes) para se comunicar com a Anatólia oriental (Ásia Menor). Eles utilizavam caravanas (grupos que viajavam juntos) para se deslocarem entre si.</w:t>
      </w:r>
    </w:p>
    <w:p>
      <w:r/>
      <w:r>
        <w:t>Mais tarde, as estradas assírias foram utilizadas por mensageiros reais para enviar correspondências. Os funcionários postais nas cidades importantes gerenciavam os mensageiros e o correio. Tábuas de argila com listas de nomes de lugares e as distâncias entre eles eram usadas como guias de viagem. Os historiadores utilizam cartas reais da Assíria e de outras partes do Oriente Médio para ajudar a entender a história antiga.</w:t>
      </w:r>
    </w:p>
    <w:p>
      <w:pPr>
        <w:pStyle w:val="Heading3"/>
      </w:pPr>
      <w:r>
        <w:t>Serviço postal</w:t>
      </w:r>
    </w:p>
    <w:p>
      <w:r/>
      <w:r>
        <w:t>Quando a Pérsia ganhou poder, eles melhoraram o serviço postal dos assírios. Os persas construíram uma "estrada real" para mensageiros do governo, mas estava aberta a todos. Tinha mais de 2.574 quilômetros de extensão. Estendia-se de Sardes na Ásia Menor até Susã, a capital persa perto da extremidade norte do Golfo Pérsico (</w:t>
      </w:r>
      <w:hyperlink r:id="rId5328">
        <w:r>
          <w:rPr>
            <w:color w:val="0000EE"/>
            <w:u w:val="single"/>
          </w:rPr>
          <w:t>Et 3.13</w:t>
        </w:r>
      </w:hyperlink>
      <w:r>
        <w:t xml:space="preserve">; </w:t>
      </w:r>
      <w:hyperlink r:id="rId1501">
        <w:r>
          <w:rPr>
            <w:color w:val="0000EE"/>
            <w:u w:val="single"/>
          </w:rPr>
          <w:t>8.10</w:t>
        </w:r>
      </w:hyperlink>
      <w:r>
        <w:t>). Casas e pousadas foram construídas a cada 24 quilômetros de distância. Fortes e balsas também foram construídos em locais importantes ao longo do caminho.</w:t>
      </w:r>
    </w:p>
    <w:p>
      <w:r/>
      <w:r>
        <w:t>Viajantes comuns poderiam percorrer toda a extensão da "estrada real" em cerca de três meses. Enquanto isso, o serviço de despacho persa cavalgava em montarias frescas (cavalos ou outros animais bem descansados). Estas eram obtidas em estações de serviço e permitiam que o serviço de despacho geralmente percorresse a mesma distância em duas ou três semanas. Um historiador grego chamado Heródoto escreveu que os mensageiros persas completavam suas rondas apesar do clima muito ruim.</w:t>
      </w:r>
    </w:p>
    <w:p>
      <w:r/>
      <w:r>
        <w:t>Enquanto isso, a dinastia Chou na China também desenvolveu um sistema postal eficiente. No terceiro século a.C., a dinastia Han da China e os Ptolomeus do Egito criaram o serviço postal mais avançado do mundo antigo.</w:t>
      </w:r>
    </w:p>
    <w:p>
      <w:r/>
      <w:r>
        <w:t>César Augusto, que viveu de 27 a.C. a 14 d.C., criou um sistema de comunicação que conseguiu conectar todo o Império Romano. No sistema romano, correspondências enviadas por distâncias curtas chegavam rapidamente, mas aquelas enviadas por longas distâncias ou por água levavam semanas. Este sistema de correio não era um benefício para o público em geral. Em vez disso, representava um fardo adicional de impostos. Famílias ricas podiam usar seus escravos para entregar correspondências, empresas empregadas podiam pagar por mensageiros, e aqueles que eram pobres enviavam correspondências com amigos viajantes.</w:t>
      </w:r>
    </w:p>
    <w:p>
      <w:r/>
      <w:r>
        <w:t>Na Bíblia, líderes cristãos em Jerusalém enviaram mensagens para as igrejas da Ásia Menor. Essas mensagens foram entregues pelos apóstolos Paulo e Barnabé (</w:t>
      </w:r>
      <w:hyperlink r:id="rId5329">
        <w:r>
          <w:rPr>
            <w:color w:val="0000EE"/>
            <w:u w:val="single"/>
          </w:rPr>
          <w:t>At 15.22–29</w:t>
        </w:r>
      </w:hyperlink>
      <w:r>
        <w:t xml:space="preserve">). Mais tarde, Paulo solicitou que Timóteo, Tíquico e Epafrodito fossem mensageiros (veja </w:t>
      </w:r>
      <w:hyperlink r:id="rId5330">
        <w:r>
          <w:rPr>
            <w:color w:val="0000EE"/>
            <w:u w:val="single"/>
          </w:rPr>
          <w:t>1Ts 3.2</w:t>
        </w:r>
      </w:hyperlink>
      <w:r>
        <w:t xml:space="preserve">; </w:t>
      </w:r>
      <w:hyperlink r:id="rId5331">
        <w:r>
          <w:rPr>
            <w:color w:val="0000EE"/>
            <w:u w:val="single"/>
          </w:rPr>
          <w:t>Cl 4.7,9</w:t>
        </w:r>
      </w:hyperlink>
      <w:r>
        <w:t xml:space="preserve">; </w:t>
      </w:r>
      <w:hyperlink r:id="rId2269">
        <w:r>
          <w:rPr>
            <w:color w:val="0000EE"/>
            <w:u w:val="single"/>
          </w:rPr>
          <w:t>Fp 2.25</w:t>
        </w:r>
      </w:hyperlink>
      <w:r>
        <w:t xml:space="preserve">; </w:t>
      </w:r>
      <w:hyperlink r:id="rId5332">
        <w:r>
          <w:rPr>
            <w:color w:val="0000EE"/>
            <w:u w:val="single"/>
          </w:rPr>
          <w:t>4.18</w:t>
        </w:r>
      </w:hyperlink>
      <w:r>
        <w:t>).</w:t>
      </w:r>
    </w:p>
    <w:p>
      <w:r/>
      <w:r>
        <w:t xml:space="preserve">Os romanos tinham uma maneira especial de compartilhar notícias em suas cidades. Eles usavam algo chamado </w:t>
      </w:r>
      <w:r>
        <w:rPr>
          <w:i/>
        </w:rPr>
        <w:t>álbum</w:t>
      </w:r>
      <w:r>
        <w:t>, um quadro de avisos público pintado de branco. Ele exibia mensagens no centro da cidade.</w:t>
      </w:r>
    </w:p>
    <w:p>
      <w:r/>
      <w:r>
        <w:rPr>
          <w:i/>
        </w:rPr>
        <w:t>Veja também</w:t>
      </w:r>
      <w:r>
        <w:t xml:space="preserve"> </w:t>
      </w:r>
      <w:r>
        <w:t>Viagem</w:t>
      </w:r>
      <w:r>
        <w:t>.</w:t>
      </w:r>
      <w:r/>
      <w:r/>
    </w:p>
    <w:p>
      <w:r/>
    </w:p>
    <w:p>
      <w:pPr>
        <w:pStyle w:val="Heading2"/>
      </w:pPr>
      <w:r>
        <w:t>Concílio de Jerusalém</w:t>
      </w:r>
      <w:r/>
    </w:p>
    <w:p>
      <w:r/>
      <w:r>
        <w:t>O Concílio de Jerusalém foi uma grande reunião cristã realizada por volta de 50 d.C. (</w:t>
      </w:r>
      <w:hyperlink r:id="rId5333">
        <w:r>
          <w:rPr>
            <w:color w:val="0000EE"/>
            <w:u w:val="single"/>
          </w:rPr>
          <w:t>At 15.6–29</w:t>
        </w:r>
      </w:hyperlink>
      <w:r>
        <w:t>). De acordo com o livro de Atos, a reunião foi realizada para responder a uma pergunta importante: os gentios (não judeus) crentes precisam ser circuncidados e seguir a lei de Moisés para serem salvos?</w:t>
      </w:r>
    </w:p>
    <w:p>
      <w:r/>
      <w:r>
        <w:t>Alguns crentes judeus da Judeia trouxeram essa questão para Antioquia (</w:t>
      </w:r>
      <w:hyperlink r:id="rId5334">
        <w:r>
          <w:rPr>
            <w:color w:val="0000EE"/>
            <w:u w:val="single"/>
          </w:rPr>
          <w:t>14.26–15.1</w:t>
        </w:r>
      </w:hyperlink>
      <w:r>
        <w:t>). Mais tarde, a igreja levou o assunto aos líderes em Jerusalém para resolver (</w:t>
      </w:r>
      <w:hyperlink r:id="rId5335">
        <w:r>
          <w:rPr>
            <w:color w:val="0000EE"/>
            <w:u w:val="single"/>
          </w:rPr>
          <w:t>15.3–5</w:t>
        </w:r>
      </w:hyperlink>
      <w:r>
        <w:t xml:space="preserve">). Os apóstolos e os anciãos consideraram o assunto por um longo tempo (v. </w:t>
      </w:r>
      <w:hyperlink r:id="rId5336">
        <w:r>
          <w:rPr>
            <w:color w:val="0000EE"/>
            <w:u w:val="single"/>
          </w:rPr>
          <w:t>6</w:t>
        </w:r>
      </w:hyperlink>
      <w:r>
        <w:t xml:space="preserve">). Isso incluiu os apóstolos Pedro, Paulo e Barnabé (vv. </w:t>
      </w:r>
      <w:hyperlink r:id="rId5337">
        <w:r>
          <w:rPr>
            <w:color w:val="0000EE"/>
            <w:u w:val="single"/>
          </w:rPr>
          <w:t>7–11</w:t>
        </w:r>
      </w:hyperlink>
      <w:r>
        <w:t xml:space="preserve">; </w:t>
      </w:r>
      <w:hyperlink r:id="rId5338">
        <w:r>
          <w:rPr>
            <w:color w:val="0000EE"/>
            <w:u w:val="single"/>
          </w:rPr>
          <w:t>12,22–26</w:t>
        </w:r>
      </w:hyperlink>
      <w:r>
        <w:t xml:space="preserve">). Tiago, o irmão de Jesus, parece ter sido o moderador da reunião (vv. </w:t>
      </w:r>
      <w:hyperlink r:id="rId4974">
        <w:r>
          <w:rPr>
            <w:color w:val="0000EE"/>
            <w:u w:val="single"/>
          </w:rPr>
          <w:t>13–21</w:t>
        </w:r>
      </w:hyperlink>
      <w:r>
        <w:t>).</w:t>
      </w:r>
    </w:p>
    <w:p>
      <w:pPr>
        <w:pStyle w:val="Heading3"/>
      </w:pPr>
      <w:r>
        <w:t>Qual foi a decisão do Concílio?</w:t>
      </w:r>
    </w:p>
    <w:p>
      <w:r/>
      <w:r>
        <w:t>Os líderes no Concílio de Jerusalém concordaram em quatro pontos principais:</w:t>
      </w:r>
    </w:p>
    <w:p>
      <w:pPr>
        <w:pStyle w:val="ListNumber"/>
        <w:spacing w:line="240" w:lineRule="auto"/>
        <w:ind w:left="720"/>
      </w:pPr>
      <w:r/>
      <w:r>
        <w:t>Deus não faz distinção entre os crentes em Cristo, sejam eles judeus ou gentios (</w:t>
      </w:r>
      <w:hyperlink r:id="rId5339">
        <w:r>
          <w:rPr>
            <w:color w:val="0000EE"/>
            <w:u w:val="single"/>
          </w:rPr>
          <w:t>At 15.9</w:t>
        </w:r>
      </w:hyperlink>
      <w:r>
        <w:t>).</w:t>
      </w:r>
    </w:p>
    <w:p>
      <w:pPr>
        <w:pStyle w:val="ListNumber"/>
        <w:spacing w:line="240" w:lineRule="auto"/>
        <w:ind w:left="720"/>
      </w:pPr>
      <w:r/>
      <w:r>
        <w:t xml:space="preserve">A salvação vem pela graça do Senhor Jesus por meio da fé (vv. </w:t>
      </w:r>
      <w:hyperlink r:id="rId5340">
        <w:r>
          <w:rPr>
            <w:color w:val="0000EE"/>
            <w:u w:val="single"/>
          </w:rPr>
          <w:t>9–11</w:t>
        </w:r>
      </w:hyperlink>
      <w:r>
        <w:t>).</w:t>
      </w:r>
    </w:p>
    <w:p>
      <w:pPr>
        <w:pStyle w:val="ListNumber"/>
        <w:spacing w:line="240" w:lineRule="auto"/>
        <w:ind w:left="720"/>
      </w:pPr>
      <w:r/>
      <w:r>
        <w:t xml:space="preserve">Deus confirmou sua aceitação dos gentios através de sinais e maravilhas (vv. </w:t>
      </w:r>
      <w:hyperlink r:id="rId5341">
        <w:r>
          <w:rPr>
            <w:color w:val="0000EE"/>
            <w:u w:val="single"/>
          </w:rPr>
          <w:t>8,12</w:t>
        </w:r>
      </w:hyperlink>
      <w:r>
        <w:t>).</w:t>
      </w:r>
    </w:p>
    <w:p>
      <w:pPr>
        <w:pStyle w:val="ListNumber"/>
        <w:spacing w:line="240" w:lineRule="auto"/>
        <w:ind w:left="720"/>
      </w:pPr>
      <w:r/>
      <w:r>
        <w:t xml:space="preserve">A inclusão dos gentios entre o povo de Deus fazia parte do plano divino revelado no Antigo Testamento (vv. </w:t>
      </w:r>
      <w:hyperlink r:id="rId5342">
        <w:r>
          <w:rPr>
            <w:color w:val="0000EE"/>
            <w:u w:val="single"/>
          </w:rPr>
          <w:t>15–18</w:t>
        </w:r>
      </w:hyperlink>
      <w:r>
        <w:t xml:space="preserve">; cf. </w:t>
      </w:r>
      <w:hyperlink r:id="rId1326">
        <w:r>
          <w:rPr>
            <w:color w:val="0000EE"/>
            <w:u w:val="single"/>
          </w:rPr>
          <w:t>Amós 9.11–12</w:t>
        </w:r>
      </w:hyperlink>
      <w:r>
        <w:t>).</w:t>
      </w:r>
    </w:p>
    <w:p>
      <w:r/>
      <w:r>
        <w:t>A assembleia também emitiu uma lista (às vezes chamada de “o decreto”) instruindo os cristãos gentios a se absterem de:</w:t>
      </w:r>
    </w:p>
    <w:p>
      <w:pPr>
        <w:pStyle w:val="ListBullet"/>
        <w:spacing w:line="240" w:lineRule="auto"/>
        <w:ind w:left="720"/>
      </w:pPr>
      <w:r/>
      <w:r>
        <w:t>idolatria;</w:t>
      </w:r>
    </w:p>
    <w:p>
      <w:pPr>
        <w:pStyle w:val="ListBullet"/>
        <w:spacing w:line="240" w:lineRule="auto"/>
        <w:ind w:left="720"/>
      </w:pPr>
      <w:r/>
      <w:r>
        <w:t>pecado sexual</w:t>
      </w:r>
    </w:p>
    <w:p>
      <w:pPr>
        <w:pStyle w:val="ListBullet"/>
        <w:spacing w:line="240" w:lineRule="auto"/>
        <w:ind w:left="720"/>
      </w:pPr>
      <w:r/>
      <w:r>
        <w:t>consumir animais estrangulados e</w:t>
      </w:r>
    </w:p>
    <w:p>
      <w:pPr>
        <w:pStyle w:val="ListBullet"/>
        <w:spacing w:line="240" w:lineRule="auto"/>
        <w:ind w:left="720"/>
      </w:pPr>
      <w:r/>
      <w:r>
        <w:t>consumir sangue.</w:t>
      </w:r>
    </w:p>
    <w:p>
      <w:r/>
      <w:r>
        <w:t>(Esses dois últimos itens eram sobre comida. As práticas alimentares eram uma grande diferença entre judeus e gentios). Os líderes escreveram uma carta com essas instruções e a enviaram para as igrejas em Antioquia, Síria e Cilícia (</w:t>
      </w:r>
      <w:hyperlink r:id="rId5343">
        <w:r>
          <w:rPr>
            <w:color w:val="0000EE"/>
            <w:u w:val="single"/>
          </w:rPr>
          <w:t>At 15.23</w:t>
        </w:r>
      </w:hyperlink>
      <w:r>
        <w:t xml:space="preserve">; cp. </w:t>
      </w:r>
      <w:hyperlink r:id="rId1404">
        <w:r>
          <w:rPr>
            <w:color w:val="0000EE"/>
            <w:u w:val="single"/>
          </w:rPr>
          <w:t>16.4</w:t>
        </w:r>
      </w:hyperlink>
      <w:r>
        <w:t>).</w:t>
      </w:r>
    </w:p>
    <w:p>
      <w:pPr>
        <w:pStyle w:val="Heading3"/>
      </w:pPr>
      <w:r>
        <w:rPr>
          <w:b/>
        </w:rPr>
        <w:t>Quem faz parte do povo de Deus?</w:t>
      </w:r>
    </w:p>
    <w:p>
      <w:r/>
      <w:r>
        <w:t>Esta história é um momento crucial no livro de Atos. Mostra como a igreja primitiva estava aprendendo o que significava ser o povo de Deus. Muitos dos primeiros crentes judeus ainda entendiam sua fé como obediência à lei, incluindo cerimônias e rituais. Eles acreditavam que seguir a lei e os costumes religiosos era necessário para a salvação e para permanecer no favor de Deus. Eles também acreditavam que apenas o povo de Israel tinha um lugar especial com Deus. Os judeus consideravam sua nação exclusivamente como “o povo de Deus” e esperavam que os convertidos fossem circuncidados, seguissem a lei de Moisés e oferecessem os sacrifícios exigidos. Mesmo após acreditar em Jesus como o Messias, alguns dos primeiros cristãos em Jerusalém ainda mantinham essas crenças.</w:t>
      </w:r>
    </w:p>
    <w:p>
      <w:r/>
      <w:r>
        <w:t>O livro de Atos mostra como Deus corrigiu algumas ideias equivocadas na igreja primitiva. Alguns crentes judeus pensavam que Deus se importava apenas com Israel. Eles acreditavam que as pessoas precisavam seguir todas as leis judaicas para serem aceitas por Deus. Mas Deus usou vários eventos para demonstrar que isso não era verdade.</w:t>
      </w:r>
    </w:p>
    <w:p>
      <w:r/>
      <w:r>
        <w:t>Estevão desafiou a ideia de que Deus estava presente apenas em Jerusalém (</w:t>
      </w:r>
      <w:hyperlink r:id="rId2881">
        <w:r>
          <w:rPr>
            <w:color w:val="0000EE"/>
            <w:u w:val="single"/>
          </w:rPr>
          <w:t>At 7</w:t>
        </w:r>
      </w:hyperlink>
      <w:r>
        <w:t>). Então Filipe pregou aos samaritanos e a um oficial etíope, pessoas que não estavam totalmente conectadas ao judaísmo (</w:t>
      </w:r>
      <w:hyperlink r:id="rId2884">
        <w:r>
          <w:rPr>
            <w:color w:val="0000EE"/>
            <w:u w:val="single"/>
          </w:rPr>
          <w:t>At 8</w:t>
        </w:r>
      </w:hyperlink>
      <w:r>
        <w:t>).</w:t>
      </w:r>
    </w:p>
    <w:p>
      <w:r/>
      <w:r>
        <w:t>Deus disse diretamente a Pedro para visitar Cornélio. Ele era um homem temente a Deus, mas um gentio incircunciso (</w:t>
      </w:r>
      <w:hyperlink r:id="rId2882">
        <w:r>
          <w:rPr>
            <w:color w:val="0000EE"/>
            <w:u w:val="single"/>
          </w:rPr>
          <w:t>At 10</w:t>
        </w:r>
      </w:hyperlink>
      <w:r>
        <w:t>). Pedro disse a Cornélio que Jesus é o Messias e Senhor. Através deste evento, Pedro percebeu que Deus não mostra favoritismo. Deus aceita pessoas de todas as nações que o honram e fazem o que é certo (</w:t>
      </w:r>
      <w:hyperlink r:id="rId5344">
        <w:r>
          <w:rPr>
            <w:color w:val="0000EE"/>
            <w:u w:val="single"/>
          </w:rPr>
          <w:t>10.34–35</w:t>
        </w:r>
      </w:hyperlink>
      <w:r>
        <w:t>).</w:t>
      </w:r>
    </w:p>
    <w:p>
      <w:r/>
      <w:r>
        <w:t>O Espírito Santo veio sobre Cornélio e sua família enquanto Pedro ainda estava falando (</w:t>
      </w:r>
      <w:hyperlink r:id="rId5345">
        <w:r>
          <w:rPr>
            <w:color w:val="0000EE"/>
            <w:u w:val="single"/>
          </w:rPr>
          <w:t>10.44</w:t>
        </w:r>
      </w:hyperlink>
      <w:r>
        <w:t xml:space="preserve">). Isso foi uma prova clara e surpreendente de que Deus havia aceitado esses crentes gentios. Mesmo os crentes judeus, que eram muito rigorosos quanto à circuncisão, não puderam negar o que viram (vv. </w:t>
      </w:r>
      <w:hyperlink r:id="rId5346">
        <w:r>
          <w:rPr>
            <w:color w:val="0000EE"/>
            <w:u w:val="single"/>
          </w:rPr>
          <w:t>45–48</w:t>
        </w:r>
      </w:hyperlink>
      <w:r>
        <w:t>). Da mesma forma, aqueles que mais tarde ouviram a história não puderam negá-la (</w:t>
      </w:r>
      <w:hyperlink r:id="rId5347">
        <w:r>
          <w:rPr>
            <w:color w:val="0000EE"/>
            <w:u w:val="single"/>
          </w:rPr>
          <w:t>11.1–18</w:t>
        </w:r>
      </w:hyperlink>
      <w:r>
        <w:t>). Pedro usou este mesmo exemplo quando falou no Concílio de Jerusalém (</w:t>
      </w:r>
      <w:hyperlink r:id="rId5337">
        <w:r>
          <w:rPr>
            <w:color w:val="0000EE"/>
            <w:u w:val="single"/>
          </w:rPr>
          <w:t>15.7–11</w:t>
        </w:r>
      </w:hyperlink>
      <w:r>
        <w:t>).</w:t>
      </w:r>
    </w:p>
    <w:p>
      <w:r/>
      <w:r>
        <w:t>Alguns judeus rigorosos podem ter pensado que a aceitação de Cornélio por Deus foi um caso especial. Mas essa visão tornou-se insustentável à medida que mais gentios acreditavam em Jesus.</w:t>
      </w:r>
    </w:p>
    <w:p>
      <w:r/>
      <w:r>
        <w:t>Em Antioquia, gentios de língua grega também se tornaram seguidores de Jesus (</w:t>
      </w:r>
      <w:hyperlink r:id="rId4993">
        <w:r>
          <w:rPr>
            <w:color w:val="0000EE"/>
            <w:u w:val="single"/>
          </w:rPr>
          <w:t>11.20</w:t>
        </w:r>
      </w:hyperlink>
      <w:r>
        <w:t>). Uma nova igreja começou ali, composta por judeus e gentios. Os líderes da igreja vieram de muitos contextos diferentes (</w:t>
      </w:r>
      <w:hyperlink r:id="rId4994">
        <w:r>
          <w:rPr>
            <w:color w:val="0000EE"/>
            <w:u w:val="single"/>
          </w:rPr>
          <w:t>At 13.1</w:t>
        </w:r>
      </w:hyperlink>
      <w:r>
        <w:t xml:space="preserve">). Mais tarde, durante a primeira viagem missionária de Paulo, muitos mais gentios acreditaram em Jesus na região do centro-sul da Ásia Menor (caps. </w:t>
      </w:r>
      <w:hyperlink r:id="rId2859">
        <w:r>
          <w:rPr>
            <w:color w:val="0000EE"/>
            <w:u w:val="single"/>
          </w:rPr>
          <w:t>13–14</w:t>
        </w:r>
      </w:hyperlink>
      <w:r>
        <w:t>).</w:t>
      </w:r>
    </w:p>
    <w:p>
      <w:r/>
      <w:r>
        <w:t>Neste ponto da história, alguns cristãos judeus de Jerusalém vieram para Antioquia. Eles causaram uma crise ao afirmar que os crentes gentios precisavam ser circuncidados e seguir a lei de Moisés. Isso equivalia a dizer que os gentios tinham que se tornar judeus em todos os aspectos (por nação, cultura e religião) antes de poderem seguir Jesus.</w:t>
      </w:r>
    </w:p>
    <w:p>
      <w:r/>
      <w:r>
        <w:t>Isso forçou a igreja primitiva a responder a duas grandes perguntas:</w:t>
      </w:r>
    </w:p>
    <w:p>
      <w:pPr>
        <w:pStyle w:val="ListBullet"/>
        <w:spacing w:line="240" w:lineRule="auto"/>
        <w:ind w:left="720"/>
      </w:pPr>
      <w:r/>
      <w:r>
        <w:t>O Cristianismo era apenas uma parte do Judaísmo ou algo distinto?</w:t>
      </w:r>
    </w:p>
    <w:p>
      <w:pPr>
        <w:pStyle w:val="ListBullet"/>
        <w:spacing w:line="240" w:lineRule="auto"/>
        <w:ind w:left="720"/>
      </w:pPr>
      <w:r/>
      <w:r>
        <w:t>A salvação era baseada na lei e na identidade nacional, ou era pela graça de Deus através da fé?</w:t>
      </w:r>
    </w:p>
    <w:p>
      <w:pPr>
        <w:pStyle w:val="Heading3"/>
      </w:pPr>
      <w:r>
        <w:t>Qual foi o significado da decisão do Concílio?</w:t>
      </w:r>
    </w:p>
    <w:p>
      <w:r/>
      <w:r>
        <w:t>O Concílio de Jerusalém deixou claro que a salvação é um presente gratuito de Deus. As pessoas a recebem pela fé, não por seus próprios esforços. O concílio rejeitou a ideia de que alguém pode obter a salvação cumprindo leis ou seguindo cerimônias religiosas.</w:t>
      </w:r>
    </w:p>
    <w:p>
      <w:r/>
      <w:r>
        <w:t>Isso também demonstrou que o Cristianismo não está restrito a nenhuma raça, nação, cultura ou grupo social. Todas as pessoas podem seguir Jesus.</w:t>
      </w:r>
    </w:p>
    <w:p>
      <w:r/>
      <w:r>
        <w:t>Ao mesmo tempo, o conselho lembrou aos fiéis que vivam de uma maneira que agrade a Deus. Os cristãos devem agir com cuidado, respeitando os padrões morais de Deus e sendo atenciosos quanto a como suas ações afetam os outros na igreja.</w:t>
      </w:r>
    </w:p>
    <w:p>
      <w:r/>
      <w:r>
        <w:rPr>
          <w:i/>
        </w:rPr>
        <w:t>Veja também</w:t>
      </w:r>
      <w:r>
        <w:t xml:space="preserve"> </w:t>
      </w:r>
      <w:r>
        <w:t>Atos dos Apóstolos, Livro de</w:t>
      </w:r>
      <w:r>
        <w:t xml:space="preserve">; </w:t>
      </w:r>
      <w:r>
        <w:t>Gálatas, Carta aos</w:t>
      </w:r>
      <w:r>
        <w:t xml:space="preserve">; </w:t>
      </w:r>
      <w:r>
        <w:t>Judaizantes</w:t>
      </w:r>
      <w:r>
        <w:t xml:space="preserve">; </w:t>
      </w:r>
      <w:r>
        <w:t>Paulo, O apóstolo</w:t>
      </w:r>
      <w:r>
        <w:t>.</w:t>
      </w:r>
      <w:r/>
      <w:r/>
    </w:p>
    <w:p>
      <w:r/>
    </w:p>
    <w:p>
      <w:pPr>
        <w:pStyle w:val="Heading2"/>
      </w:pPr>
      <w:r>
        <w:t>Concubinato, Concubinas</w:t>
      </w:r>
      <w:r/>
    </w:p>
    <w:p>
      <w:r/>
      <w:r>
        <w:t>Concubinato é quando um homem vive com uma mulher (uma concubina) que é considerada sua parceira sexual ou uma esposa secundária. Esta mulher tem um status inferior ao da esposa principal. O concubinato foi praticado em muitas culturas antigas, especialmente na Mesopotâmia. Lá, os reis tinham haréns, e até mesmo cidadãos comuns podiam ter uma ou duas concubinas junto com sua esposa principal. A Bíblia também se refere a ambos os tipos de concubinato. Muitas vezes, uma concubina era uma escrava ou capturada em guerra (</w:t>
      </w:r>
      <w:hyperlink r:id="rId3857">
        <w:r>
          <w:rPr>
            <w:color w:val="0000EE"/>
            <w:u w:val="single"/>
          </w:rPr>
          <w:t>Jz 5.30</w:t>
        </w:r>
      </w:hyperlink>
      <w:r>
        <w:t>).</w:t>
      </w:r>
    </w:p>
    <w:p>
      <w:r/>
      <w:r>
        <w:t>Os homens podiam optar por ter uma concubina pois era uma maneira mais econômica de casar, já que não era necessário pagar dote ou preço da noiva. Ter uma concubina também poderia aumentar o prestígio de um homem, proporcionando-lhe mais filhos. Esses filhos eram frequentemente reconhecidos como legítimos ao serem apresentados à esposa principal, tornando-se parte da família. A concubina também contribuía para a força de trabalho da casa.</w:t>
      </w:r>
    </w:p>
    <w:p>
      <w:r/>
      <w:r>
        <w:t>No período patriarcal, o concubinato era uma prática comum (</w:t>
      </w:r>
      <w:hyperlink r:id="rId5348">
        <w:r>
          <w:rPr>
            <w:color w:val="0000EE"/>
            <w:u w:val="single"/>
          </w:rPr>
          <w:t>Gn 22.24</w:t>
        </w:r>
      </w:hyperlink>
      <w:r>
        <w:t xml:space="preserve">; </w:t>
      </w:r>
      <w:hyperlink r:id="rId3785">
        <w:r>
          <w:rPr>
            <w:color w:val="0000EE"/>
            <w:u w:val="single"/>
          </w:rPr>
          <w:t>35.22</w:t>
        </w:r>
      </w:hyperlink>
      <w:r>
        <w:t xml:space="preserve">; </w:t>
      </w:r>
      <w:hyperlink r:id="rId1030">
        <w:r>
          <w:rPr>
            <w:color w:val="0000EE"/>
            <w:u w:val="single"/>
          </w:rPr>
          <w:t>36.12</w:t>
        </w:r>
      </w:hyperlink>
      <w:r>
        <w:t>), especialmente quando a esposa principal não conseguia ter filhos (</w:t>
      </w:r>
      <w:hyperlink r:id="rId5349">
        <w:r>
          <w:rPr>
            <w:color w:val="0000EE"/>
            <w:u w:val="single"/>
          </w:rPr>
          <w:t>Gn 16.1–3</w:t>
        </w:r>
      </w:hyperlink>
      <w:r>
        <w:t xml:space="preserve">; </w:t>
      </w:r>
      <w:hyperlink r:id="rId5350">
        <w:r>
          <w:rPr>
            <w:color w:val="0000EE"/>
            <w:u w:val="single"/>
          </w:rPr>
          <w:t>25.5–6</w:t>
        </w:r>
      </w:hyperlink>
      <w:r>
        <w:t xml:space="preserve">; </w:t>
      </w:r>
      <w:hyperlink r:id="rId5351">
        <w:r>
          <w:rPr>
            <w:color w:val="0000EE"/>
            <w:u w:val="single"/>
          </w:rPr>
          <w:t>1Cr 1.32</w:t>
        </w:r>
      </w:hyperlink>
      <w:r>
        <w:t xml:space="preserve">). Uma concubina tinha certos direitos, e seus filhos podiam ser reconhecidos como parte da família e herdar propriedades (por exemplo, </w:t>
      </w:r>
      <w:hyperlink r:id="rId5352">
        <w:r>
          <w:rPr>
            <w:color w:val="0000EE"/>
            <w:u w:val="single"/>
          </w:rPr>
          <w:t>Gn 49.1–28</w:t>
        </w:r>
      </w:hyperlink>
      <w:r>
        <w:t xml:space="preserve"> inclui os filhos das concubinas junto com os das esposas principais; veja também </w:t>
      </w:r>
      <w:hyperlink r:id="rId5353">
        <w:r>
          <w:rPr>
            <w:color w:val="0000EE"/>
            <w:u w:val="single"/>
          </w:rPr>
          <w:t>Gn 35.22–26</w:t>
        </w:r>
      </w:hyperlink>
      <w:r>
        <w:t>). A lei mosaica não proibia o concubinato e o incluía em suas regras para múltiplas esposas (</w:t>
      </w:r>
      <w:hyperlink r:id="rId5354">
        <w:r>
          <w:rPr>
            <w:color w:val="0000EE"/>
            <w:u w:val="single"/>
          </w:rPr>
          <w:t>Dt 17.17</w:t>
        </w:r>
      </w:hyperlink>
      <w:r>
        <w:t xml:space="preserve">; </w:t>
      </w:r>
      <w:hyperlink r:id="rId5355">
        <w:r>
          <w:rPr>
            <w:color w:val="0000EE"/>
            <w:u w:val="single"/>
          </w:rPr>
          <w:t>21.15–17</w:t>
        </w:r>
      </w:hyperlink>
      <w:r>
        <w:t>).</w:t>
      </w:r>
    </w:p>
    <w:p>
      <w:r/>
      <w:r>
        <w:t>O concubinato continuou durante o tempo dos juízes. Gideão teve uma concubina (</w:t>
      </w:r>
      <w:hyperlink r:id="rId97">
        <w:r>
          <w:rPr>
            <w:color w:val="0000EE"/>
            <w:u w:val="single"/>
          </w:rPr>
          <w:t>Jz 8.31</w:t>
        </w:r>
      </w:hyperlink>
      <w:r>
        <w:t>), e um levita também teve uma (</w:t>
      </w:r>
      <w:hyperlink r:id="rId5356">
        <w:r>
          <w:rPr>
            <w:color w:val="0000EE"/>
            <w:u w:val="single"/>
          </w:rPr>
          <w:t>Jz 19</w:t>
        </w:r>
      </w:hyperlink>
      <w:r>
        <w:t>). O mau tratamento da concubina deste levita por homens da tribo de Benjamim levou a uma sangrenta guerra civil (</w:t>
      </w:r>
      <w:hyperlink r:id="rId5357">
        <w:r>
          <w:rPr>
            <w:color w:val="0000EE"/>
            <w:u w:val="single"/>
          </w:rPr>
          <w:t>Jz 20–21</w:t>
        </w:r>
      </w:hyperlink>
      <w:r>
        <w:t>). Durante a monarquia de Israel, apenas os reis podiam se dar ao luxo de ter concubinas, como:</w:t>
      </w:r>
    </w:p>
    <w:p>
      <w:pPr>
        <w:pStyle w:val="ListBullet"/>
        <w:spacing w:line="240" w:lineRule="auto"/>
        <w:ind w:left="720"/>
      </w:pPr>
      <w:r/>
      <w:r>
        <w:t>Saul (</w:t>
      </w:r>
      <w:hyperlink r:id="rId631">
        <w:r>
          <w:rPr>
            <w:color w:val="0000EE"/>
            <w:u w:val="single"/>
          </w:rPr>
          <w:t>2Sm 3.7</w:t>
        </w:r>
      </w:hyperlink>
      <w:r>
        <w:t>)</w:t>
      </w:r>
    </w:p>
    <w:p>
      <w:pPr>
        <w:pStyle w:val="ListBullet"/>
        <w:spacing w:line="240" w:lineRule="auto"/>
        <w:ind w:left="720"/>
      </w:pPr>
      <w:r/>
      <w:r>
        <w:t>Davi (</w:t>
      </w:r>
      <w:hyperlink r:id="rId5358">
        <w:r>
          <w:rPr>
            <w:color w:val="0000EE"/>
            <w:u w:val="single"/>
          </w:rPr>
          <w:t>2Sm 5.13</w:t>
        </w:r>
      </w:hyperlink>
      <w:r>
        <w:t xml:space="preserve">; </w:t>
      </w:r>
      <w:hyperlink r:id="rId5359">
        <w:r>
          <w:rPr>
            <w:color w:val="0000EE"/>
            <w:u w:val="single"/>
          </w:rPr>
          <w:t>15.16</w:t>
        </w:r>
      </w:hyperlink>
      <w:r>
        <w:t>)</w:t>
      </w:r>
    </w:p>
    <w:p>
      <w:pPr>
        <w:pStyle w:val="ListBullet"/>
        <w:spacing w:line="240" w:lineRule="auto"/>
        <w:ind w:left="720"/>
      </w:pPr>
      <w:r/>
      <w:r>
        <w:t>Salomão (</w:t>
      </w:r>
      <w:hyperlink r:id="rId5360">
        <w:r>
          <w:rPr>
            <w:color w:val="0000EE"/>
            <w:u w:val="single"/>
          </w:rPr>
          <w:t>1Rs 11.3</w:t>
        </w:r>
      </w:hyperlink>
      <w:r>
        <w:t>)</w:t>
      </w:r>
    </w:p>
    <w:p>
      <w:pPr>
        <w:pStyle w:val="ListBullet"/>
        <w:spacing w:line="240" w:lineRule="auto"/>
        <w:ind w:left="720"/>
      </w:pPr>
      <w:r/>
      <w:r>
        <w:t>Roboão (</w:t>
      </w:r>
      <w:hyperlink r:id="rId5361">
        <w:r>
          <w:rPr>
            <w:color w:val="0000EE"/>
            <w:u w:val="single"/>
          </w:rPr>
          <w:t>2Cr 11.21</w:t>
        </w:r>
      </w:hyperlink>
      <w:r>
        <w:t>)</w:t>
      </w:r>
    </w:p>
    <w:p>
      <w:r/>
      <w:r>
        <w:t>Haréns reais também eram comuns em outras culturas daquela época, incluindo:</w:t>
      </w:r>
    </w:p>
    <w:p>
      <w:pPr>
        <w:pStyle w:val="ListBullet"/>
        <w:spacing w:line="240" w:lineRule="auto"/>
        <w:ind w:left="720"/>
      </w:pPr>
      <w:r/>
      <w:r>
        <w:t>Egito</w:t>
      </w:r>
    </w:p>
    <w:p>
      <w:pPr>
        <w:pStyle w:val="ListBullet"/>
        <w:spacing w:line="240" w:lineRule="auto"/>
        <w:ind w:left="720"/>
      </w:pPr>
      <w:r/>
      <w:r>
        <w:t>Pérsia (</w:t>
      </w:r>
      <w:hyperlink r:id="rId5362">
        <w:r>
          <w:rPr>
            <w:color w:val="0000EE"/>
            <w:u w:val="single"/>
          </w:rPr>
          <w:t>Et 2.14</w:t>
        </w:r>
      </w:hyperlink>
      <w:r>
        <w:t>)</w:t>
      </w:r>
    </w:p>
    <w:p>
      <w:pPr>
        <w:pStyle w:val="ListBullet"/>
        <w:spacing w:line="240" w:lineRule="auto"/>
        <w:ind w:left="720"/>
      </w:pPr>
      <w:r/>
      <w:r>
        <w:t>Babilônia (</w:t>
      </w:r>
      <w:hyperlink r:id="rId5363">
        <w:r>
          <w:rPr>
            <w:color w:val="0000EE"/>
            <w:u w:val="single"/>
          </w:rPr>
          <w:t>Dn 5.2–3,23</w:t>
        </w:r>
      </w:hyperlink>
      <w:r>
        <w:t>)</w:t>
      </w:r>
    </w:p>
    <w:p>
      <w:r/>
      <w:r>
        <w:t>Embora as concubinas fossem aceitas em muitas culturas antigas, o casamento entre duas pessoas era considerado melhor. O concubinato resultava do desejo de prestígio e de uma família numerosa, mas às vezes podia levar à liberdade sexual (</w:t>
      </w:r>
      <w:hyperlink r:id="rId5364">
        <w:r>
          <w:rPr>
            <w:color w:val="0000EE"/>
            <w:u w:val="single"/>
          </w:rPr>
          <w:t>Ec 2.8</w:t>
        </w:r>
      </w:hyperlink>
      <w:r>
        <w:t>). Enquanto o concubinato era comum nas culturas grega e romana, ele não estava alinhada com os ensinamentos de Jesus (</w:t>
      </w:r>
      <w:hyperlink r:id="rId5365">
        <w:r>
          <w:rPr>
            <w:color w:val="0000EE"/>
            <w:u w:val="single"/>
          </w:rPr>
          <w:t>Mt 19.1–9</w:t>
        </w:r>
      </w:hyperlink>
      <w:r>
        <w:t>).</w:t>
      </w:r>
    </w:p>
    <w:p>
      <w:r/>
      <w:r>
        <w:rPr>
          <w:i/>
        </w:rPr>
        <w:t>Veja também</w:t>
      </w:r>
      <w:r>
        <w:t xml:space="preserve"> </w:t>
      </w:r>
      <w:r>
        <w:t>Direito civil e justiça</w:t>
      </w:r>
      <w:r>
        <w:t xml:space="preserve">; </w:t>
      </w:r>
      <w:r>
        <w:t>Vida familiar e relações</w:t>
      </w:r>
      <w:r>
        <w:t xml:space="preserve">; </w:t>
      </w:r>
      <w:r>
        <w:t>Casamento, Costumes matrimoniais</w:t>
      </w:r>
      <w:r>
        <w:t>.</w:t>
      </w:r>
      <w:r/>
      <w:r/>
    </w:p>
    <w:p>
      <w:r/>
    </w:p>
    <w:p>
      <w:pPr>
        <w:pStyle w:val="Heading2"/>
      </w:pPr>
      <w:r>
        <w:t>Confissão</w:t>
      </w:r>
      <w:r/>
    </w:p>
    <w:p>
      <w:r/>
      <w:r>
        <w:t>Admissão, especialmente de culpa ou pecado; também, uma declaração de crença religiosa. “Confessar” pode significar concordar, prometer ou admitir algo.</w:t>
      </w:r>
    </w:p>
    <w:p>
      <w:r/>
      <w:r>
        <w:t>Dois tipos de confissão ocorrem na Bíblia. Primeiro, os indivíduos confessam que pecaram e são, portanto, culpados diante de Deus, muitas vezes confessando um pecado específico (</w:t>
      </w:r>
      <w:hyperlink r:id="rId5366">
        <w:r>
          <w:rPr>
            <w:color w:val="0000EE"/>
            <w:u w:val="single"/>
          </w:rPr>
          <w:t>Lv 5.5</w:t>
        </w:r>
      </w:hyperlink>
      <w:r>
        <w:t xml:space="preserve">; </w:t>
      </w:r>
      <w:hyperlink r:id="rId5367">
        <w:r>
          <w:rPr>
            <w:color w:val="0000EE"/>
            <w:u w:val="single"/>
          </w:rPr>
          <w:t>1Jo 1.9</w:t>
        </w:r>
      </w:hyperlink>
      <w:r>
        <w:t>). Em tal confissão, alguém concorda ou reconhece que quebrou a lei de Deus (</w:t>
      </w:r>
      <w:hyperlink r:id="rId5368">
        <w:r>
          <w:rPr>
            <w:color w:val="0000EE"/>
            <w:u w:val="single"/>
          </w:rPr>
          <w:t>Sl 119.126</w:t>
        </w:r>
      </w:hyperlink>
      <w:r>
        <w:t>), que sua pena é justamente merecida (</w:t>
      </w:r>
      <w:hyperlink r:id="rId5369">
        <w:r>
          <w:rPr>
            <w:color w:val="0000EE"/>
            <w:u w:val="single"/>
          </w:rPr>
          <w:t>Rm 6:23</w:t>
        </w:r>
      </w:hyperlink>
      <w:r>
        <w:t>), e que de alguma maneira específica o padrão de santidade de Deus não foi alcançado (</w:t>
      </w:r>
      <w:hyperlink r:id="rId5370">
        <w:r>
          <w:rPr>
            <w:color w:val="0000EE"/>
            <w:u w:val="single"/>
          </w:rPr>
          <w:t>Lv 19.2</w:t>
        </w:r>
      </w:hyperlink>
      <w:r>
        <w:t xml:space="preserve">; </w:t>
      </w:r>
      <w:hyperlink r:id="rId5371">
        <w:r>
          <w:rPr>
            <w:color w:val="0000EE"/>
            <w:u w:val="single"/>
          </w:rPr>
          <w:t>Mt 5.48</w:t>
        </w:r>
      </w:hyperlink>
      <w:r>
        <w:t>).</w:t>
      </w:r>
    </w:p>
    <w:p>
      <w:r/>
      <w:r>
        <w:t>Nos tempos do AT, o sumo sacerdote confessava os pecados de toda a nação (</w:t>
      </w:r>
      <w:hyperlink r:id="rId5372">
        <w:r>
          <w:rPr>
            <w:color w:val="0000EE"/>
            <w:u w:val="single"/>
          </w:rPr>
          <w:t>Lv 16.21</w:t>
        </w:r>
      </w:hyperlink>
      <w:r>
        <w:t>); a nação de Israel deveria confessar quando havia se rebelado contra a lei de Deus (</w:t>
      </w:r>
      <w:hyperlink r:id="rId5373">
        <w:r>
          <w:rPr>
            <w:color w:val="0000EE"/>
            <w:u w:val="single"/>
          </w:rPr>
          <w:t>Lv 26.40</w:t>
        </w:r>
      </w:hyperlink>
      <w:r>
        <w:t xml:space="preserve">; </w:t>
      </w:r>
      <w:hyperlink r:id="rId5374">
        <w:r>
          <w:rPr>
            <w:color w:val="0000EE"/>
            <w:u w:val="single"/>
          </w:rPr>
          <w:t>2Cr 7.14</w:t>
        </w:r>
      </w:hyperlink>
      <w:r>
        <w:t>). Os judeus eram foram rápidos em confessar; Daniel, Esdras e Neemias confessaram os pecados de sua nação, concordando com Deus que sua punição do povo (incluindo eles mesmos) era justa, mas orando pela misericórdia e libertação de Deus (</w:t>
      </w:r>
      <w:hyperlink r:id="rId5375">
        <w:r>
          <w:rPr>
            <w:color w:val="0000EE"/>
            <w:u w:val="single"/>
          </w:rPr>
          <w:t>Dn 9.20</w:t>
        </w:r>
      </w:hyperlink>
      <w:r>
        <w:t xml:space="preserve">; </w:t>
      </w:r>
      <w:hyperlink r:id="rId5376">
        <w:r>
          <w:rPr>
            <w:color w:val="0000EE"/>
            <w:u w:val="single"/>
          </w:rPr>
          <w:t>Ed 10.1</w:t>
        </w:r>
      </w:hyperlink>
      <w:r>
        <w:t xml:space="preserve">; </w:t>
      </w:r>
      <w:hyperlink r:id="rId5377">
        <w:r>
          <w:rPr>
            <w:color w:val="0000EE"/>
            <w:u w:val="single"/>
          </w:rPr>
          <w:t>Ne 1.6</w:t>
        </w:r>
      </w:hyperlink>
      <w:r>
        <w:t>).</w:t>
      </w:r>
    </w:p>
    <w:p>
      <w:r/>
      <w:r>
        <w:t>Segundo, os indivíduos confessam que Deus é Deus e que ele governa o mundo (</w:t>
      </w:r>
      <w:hyperlink r:id="rId5378">
        <w:r>
          <w:rPr>
            <w:color w:val="0000EE"/>
            <w:u w:val="single"/>
          </w:rPr>
          <w:t>1Cr 29.10–13</w:t>
        </w:r>
      </w:hyperlink>
      <w:r>
        <w:t>), que ele é fiel em mostrar seu amor e bondade (</w:t>
      </w:r>
      <w:hyperlink r:id="rId5379">
        <w:r>
          <w:rPr>
            <w:color w:val="0000EE"/>
            <w:u w:val="single"/>
          </w:rPr>
          <w:t>Sl 118.2–4</w:t>
        </w:r>
      </w:hyperlink>
      <w:r>
        <w:t>), e que ele ajudou seu povo (</w:t>
      </w:r>
      <w:hyperlink r:id="rId5380">
        <w:r>
          <w:rPr>
            <w:color w:val="0000EE"/>
            <w:u w:val="single"/>
          </w:rPr>
          <w:t>Sl 105.1–6</w:t>
        </w:r>
      </w:hyperlink>
      <w:r>
        <w:t>). Tal confissão ou concordância, expresso publicamente em adoração ou cântico (</w:t>
      </w:r>
      <w:hyperlink r:id="rId5381">
        <w:r>
          <w:rPr>
            <w:color w:val="0000EE"/>
            <w:u w:val="single"/>
          </w:rPr>
          <w:t>Sl 100.4</w:t>
        </w:r>
      </w:hyperlink>
      <w:r>
        <w:t>), é mencionada no AT como “louvar ao Senhor”.</w:t>
      </w:r>
    </w:p>
    <w:p>
      <w:r/>
      <w:r>
        <w:t>Os dois tipos de confissão são muitas vezes combinados na Bíblia, produzindo muitos salmos de ação de graças. Em geral, esses salmos contêm algumas ou todas as seguintes ideias: (1) pequei; (2) fiquei enfermo e quase morri; (3) orei a Deus, que me libertou; e (4) agora ofereço este cântico de confissão, que lhe prometi (</w:t>
      </w:r>
      <w:hyperlink r:id="rId638">
        <w:r>
          <w:rPr>
            <w:color w:val="0000EE"/>
            <w:u w:val="single"/>
          </w:rPr>
          <w:t>Sl 22</w:t>
        </w:r>
      </w:hyperlink>
      <w:r>
        <w:t xml:space="preserve">; </w:t>
      </w:r>
      <w:hyperlink r:id="rId5382">
        <w:r>
          <w:rPr>
            <w:color w:val="0000EE"/>
            <w:u w:val="single"/>
          </w:rPr>
          <w:t>30</w:t>
        </w:r>
      </w:hyperlink>
      <w:r>
        <w:t xml:space="preserve">; </w:t>
      </w:r>
      <w:hyperlink r:id="rId5383">
        <w:r>
          <w:rPr>
            <w:color w:val="0000EE"/>
            <w:u w:val="single"/>
          </w:rPr>
          <w:t>32</w:t>
        </w:r>
      </w:hyperlink>
      <w:r>
        <w:t xml:space="preserve">; </w:t>
      </w:r>
      <w:hyperlink r:id="rId270">
        <w:r>
          <w:rPr>
            <w:color w:val="0000EE"/>
            <w:u w:val="single"/>
          </w:rPr>
          <w:t>34</w:t>
        </w:r>
      </w:hyperlink>
      <w:r>
        <w:t xml:space="preserve">; </w:t>
      </w:r>
      <w:hyperlink r:id="rId5291">
        <w:r>
          <w:rPr>
            <w:color w:val="0000EE"/>
            <w:u w:val="single"/>
          </w:rPr>
          <w:t>40</w:t>
        </w:r>
      </w:hyperlink>
      <w:r>
        <w:t xml:space="preserve">; </w:t>
      </w:r>
      <w:hyperlink r:id="rId2603">
        <w:r>
          <w:rPr>
            <w:color w:val="0000EE"/>
            <w:u w:val="single"/>
          </w:rPr>
          <w:t>51</w:t>
        </w:r>
      </w:hyperlink>
      <w:r>
        <w:t xml:space="preserve">; </w:t>
      </w:r>
      <w:hyperlink r:id="rId5384">
        <w:r>
          <w:rPr>
            <w:color w:val="0000EE"/>
            <w:u w:val="single"/>
          </w:rPr>
          <w:t>116</w:t>
        </w:r>
      </w:hyperlink>
      <w:r>
        <w:t>). A mesma palavra hebraica significa tanto “louvor” quanto “confissão de pecado”; os dois significados faziam parte de um único conceito. O salmista começou admitindo o pecado e a justiça de Deus, e ele terminou confessando o perdão de Deus e entregando poder.</w:t>
      </w:r>
    </w:p>
    <w:p>
      <w:r/>
      <w:r>
        <w:t>Ambos esses significados também ocorrem no NT. Os cristãos confessam (isto é, eles declaram como uma questão de convicção e fidelidade) que Jesus é o Cristo e que eles pertencem a ele. “Portanto, qualquer que me confessar diante dos homens, eu também o confessarei diante de meu Pai que está no céu” (</w:t>
      </w:r>
      <w:hyperlink r:id="rId5385">
        <w:r>
          <w:rPr>
            <w:color w:val="0000EE"/>
            <w:u w:val="single"/>
          </w:rPr>
          <w:t>Mt 10.32</w:t>
        </w:r>
      </w:hyperlink>
      <w:r>
        <w:t>, KJV). Não confessar a Cristo é o mesmo que negá-lo (</w:t>
      </w:r>
      <w:hyperlink r:id="rId5386">
        <w:r>
          <w:rPr>
            <w:color w:val="0000EE"/>
            <w:u w:val="single"/>
          </w:rPr>
          <w:t>Mt 10.33</w:t>
        </w:r>
      </w:hyperlink>
      <w:r>
        <w:t xml:space="preserve">; </w:t>
      </w:r>
      <w:hyperlink r:id="rId5387">
        <w:r>
          <w:rPr>
            <w:color w:val="0000EE"/>
            <w:u w:val="single"/>
          </w:rPr>
          <w:t>Lc 12.8</w:t>
        </w:r>
      </w:hyperlink>
      <w:r>
        <w:t xml:space="preserve">; cf. </w:t>
      </w:r>
      <w:hyperlink r:id="rId5388">
        <w:r>
          <w:rPr>
            <w:color w:val="0000EE"/>
            <w:u w:val="single"/>
          </w:rPr>
          <w:t>2Tm 2:11–13</w:t>
        </w:r>
      </w:hyperlink>
      <w:r>
        <w:t xml:space="preserve">; </w:t>
      </w:r>
      <w:hyperlink r:id="rId5389">
        <w:r>
          <w:rPr>
            <w:color w:val="0000EE"/>
            <w:u w:val="single"/>
          </w:rPr>
          <w:t>Ap 3:5</w:t>
        </w:r>
      </w:hyperlink>
      <w:r>
        <w:t>). A vida cristã, portanto, começa com uma confissão de fé, uma declaração pública diante de testemunhas (</w:t>
      </w:r>
      <w:hyperlink r:id="rId5390">
        <w:r>
          <w:rPr>
            <w:color w:val="0000EE"/>
            <w:u w:val="single"/>
          </w:rPr>
          <w:t>Rm 10.9–10</w:t>
        </w:r>
      </w:hyperlink>
      <w:r>
        <w:t xml:space="preserve">; </w:t>
      </w:r>
      <w:hyperlink r:id="rId5391">
        <w:r>
          <w:rPr>
            <w:color w:val="0000EE"/>
            <w:u w:val="single"/>
          </w:rPr>
          <w:t>1Tm 6.12</w:t>
        </w:r>
      </w:hyperlink>
      <w:r>
        <w:t xml:space="preserve">). Uma dimensão adicional da confissão do cristão é fornecida em </w:t>
      </w:r>
      <w:hyperlink r:id="rId4291">
        <w:r>
          <w:rPr>
            <w:color w:val="0000EE"/>
            <w:u w:val="single"/>
          </w:rPr>
          <w:t>1João 4.2</w:t>
        </w:r>
      </w:hyperlink>
      <w:r>
        <w:t xml:space="preserve">: deve-se confessar que “Jesus Cristo veio em carne”, isto é, reconhecer a divindade e preexistência de Jesus como o Filho de Deus (que ele “veio”; veja também </w:t>
      </w:r>
      <w:hyperlink r:id="rId5392">
        <w:r>
          <w:rPr>
            <w:color w:val="0000EE"/>
            <w:u w:val="single"/>
          </w:rPr>
          <w:t>1Jo 4:15</w:t>
        </w:r>
      </w:hyperlink>
      <w:r>
        <w:t>), bem como a humanidade e encarnação de Jesus (que ele veio "em carne”). A palavra grega “confissão” literalmente significa “dizer a mesma coisa/concordar”. A “boa confissão” do cristão é modelada pelo padrão da confissão de Cristo (</w:t>
      </w:r>
      <w:hyperlink r:id="rId5393">
        <w:r>
          <w:rPr>
            <w:color w:val="0000EE"/>
            <w:u w:val="single"/>
          </w:rPr>
          <w:t>1Tm 6.12–13</w:t>
        </w:r>
      </w:hyperlink>
      <w:r>
        <w:t>).</w:t>
      </w:r>
    </w:p>
    <w:p>
      <w:r/>
      <w:r>
        <w:t>Em apenas algumas passagens o NT discorre sobre a confissão de pecados. Aqueles sendo batizados por João Batista admitiram publicamente seus pecados e se arrependeram (</w:t>
      </w:r>
      <w:hyperlink r:id="rId3237">
        <w:r>
          <w:rPr>
            <w:color w:val="0000EE"/>
            <w:u w:val="single"/>
          </w:rPr>
          <w:t>Mc 1.4–5</w:t>
        </w:r>
      </w:hyperlink>
      <w:r>
        <w:t>). Todos os cristãos, de fato, devem concordar com Deus que eles são pecadores (</w:t>
      </w:r>
      <w:hyperlink r:id="rId5394">
        <w:r>
          <w:rPr>
            <w:color w:val="0000EE"/>
            <w:u w:val="single"/>
          </w:rPr>
          <w:t>1Jo 1.8–10</w:t>
        </w:r>
      </w:hyperlink>
      <w:r>
        <w:t>). Tiago apresentou uma imagem mais completa: quando um cristão está doente, os anciãos devem visitar e dar à pessoa a oportunidade de confessar quaisquer pecados. Como nos Salmos, o perdão e a cura (a moral e a física) estão ligados à confissão. Lembrando esse princípio, Tiago instigou os cristãos a confessar seus pecados uns aos outros.</w:t>
      </w:r>
    </w:p>
    <w:p>
      <w:r/>
      <w:r>
        <w:rPr>
          <w:i/>
        </w:rPr>
        <w:t>Veja também</w:t>
      </w:r>
      <w:r>
        <w:t xml:space="preserve"> </w:t>
      </w:r>
      <w:r>
        <w:t>Conversão</w:t>
      </w:r>
      <w:r>
        <w:t xml:space="preserve">; </w:t>
      </w:r>
      <w:r>
        <w:t>Perdão</w:t>
      </w:r>
      <w:r>
        <w:t xml:space="preserve">; </w:t>
      </w:r>
      <w:r>
        <w:t>Arrependimento</w:t>
      </w:r>
      <w:r>
        <w:t>.</w:t>
      </w:r>
      <w:r/>
      <w:r/>
    </w:p>
    <w:p>
      <w:r/>
    </w:p>
    <w:p>
      <w:pPr>
        <w:pStyle w:val="Heading2"/>
      </w:pPr>
      <w:r>
        <w:t>Congregação</w:t>
      </w:r>
      <w:r/>
    </w:p>
    <w:p>
      <w:r/>
      <w:r>
        <w:t>Uma congregação é um grupo de pessoas que se reúne, especialmente para propósitos religiosos. Na Bíblia, Deus chamou o povo de Israel de "a congregação do Senhor" porque eles tinham um acordo especial (aliança) com Deus. Toda a nação de Israel era considerada o povo de Deus (</w:t>
      </w:r>
      <w:hyperlink r:id="rId5395">
        <w:r>
          <w:rPr>
            <w:color w:val="0000EE"/>
            <w:u w:val="single"/>
          </w:rPr>
          <w:t>Êx 3.6–8,15–16</w:t>
        </w:r>
      </w:hyperlink>
      <w:r>
        <w:t xml:space="preserve">; </w:t>
      </w:r>
      <w:hyperlink r:id="rId5396">
        <w:r>
          <w:rPr>
            <w:color w:val="0000EE"/>
            <w:u w:val="single"/>
          </w:rPr>
          <w:t>12.6</w:t>
        </w:r>
      </w:hyperlink>
      <w:r>
        <w:t xml:space="preserve">; </w:t>
      </w:r>
      <w:hyperlink r:id="rId2242">
        <w:r>
          <w:rPr>
            <w:color w:val="0000EE"/>
            <w:u w:val="single"/>
          </w:rPr>
          <w:t>Is 1.2–4</w:t>
        </w:r>
      </w:hyperlink>
      <w:r>
        <w:t xml:space="preserve">; </w:t>
      </w:r>
      <w:hyperlink r:id="rId5278">
        <w:r>
          <w:rPr>
            <w:color w:val="0000EE"/>
            <w:u w:val="single"/>
          </w:rPr>
          <w:t>14.1</w:t>
        </w:r>
      </w:hyperlink>
      <w:r>
        <w:t>).</w:t>
      </w:r>
    </w:p>
    <w:p>
      <w:r/>
      <w:r>
        <w:t>Como nação escolhida, Israel deveria mostrar a grandeza de Deus para outras nações (</w:t>
      </w:r>
      <w:hyperlink r:id="rId5397">
        <w:r>
          <w:rPr>
            <w:color w:val="0000EE"/>
            <w:u w:val="single"/>
          </w:rPr>
          <w:t>Dt 4.6–14</w:t>
        </w:r>
      </w:hyperlink>
      <w:r>
        <w:t xml:space="preserve">; </w:t>
      </w:r>
      <w:hyperlink r:id="rId3198">
        <w:r>
          <w:rPr>
            <w:color w:val="0000EE"/>
            <w:u w:val="single"/>
          </w:rPr>
          <w:t>Is 42.1</w:t>
        </w:r>
      </w:hyperlink>
      <w:r>
        <w:t xml:space="preserve">; </w:t>
      </w:r>
      <w:hyperlink r:id="rId5398">
        <w:r>
          <w:rPr>
            <w:color w:val="0000EE"/>
            <w:u w:val="single"/>
          </w:rPr>
          <w:t>45.4</w:t>
        </w:r>
      </w:hyperlink>
      <w:r>
        <w:t xml:space="preserve">; </w:t>
      </w:r>
      <w:hyperlink r:id="rId5399">
        <w:r>
          <w:rPr>
            <w:color w:val="0000EE"/>
            <w:u w:val="single"/>
          </w:rPr>
          <w:t>65.9,22</w:t>
        </w:r>
      </w:hyperlink>
      <w:r>
        <w:t>). Assim, a nação foi chamada de “todo o ajuntamento dos filhos de Israel” (</w:t>
      </w:r>
      <w:hyperlink r:id="rId5400">
        <w:r>
          <w:rPr>
            <w:color w:val="0000EE"/>
            <w:u w:val="single"/>
          </w:rPr>
          <w:t>Nm 14.5</w:t>
        </w:r>
      </w:hyperlink>
      <w:r>
        <w:t xml:space="preserve">; ARC; veja também </w:t>
      </w:r>
      <w:hyperlink r:id="rId5401">
        <w:r>
          <w:rPr>
            <w:color w:val="0000EE"/>
            <w:u w:val="single"/>
          </w:rPr>
          <w:t>Lv 4.13</w:t>
        </w:r>
      </w:hyperlink>
      <w:r>
        <w:t xml:space="preserve">; </w:t>
      </w:r>
      <w:hyperlink r:id="rId5402">
        <w:r>
          <w:rPr>
            <w:color w:val="0000EE"/>
            <w:u w:val="single"/>
          </w:rPr>
          <w:t>Nm 16.3</w:t>
        </w:r>
      </w:hyperlink>
      <w:r>
        <w:t>).</w:t>
      </w:r>
    </w:p>
    <w:p>
      <w:r/>
      <w:r>
        <w:t>A igreja do Novo Testamento se edifica sobre o fundamento espiritual estabelecido pela congregação do Antigo Testamento do povo de Deus. Várias passagens na Bíblia mostram essa conexão entre a igreja e o povo de Deus no Antigo Testamento (</w:t>
      </w:r>
      <w:hyperlink r:id="rId5403">
        <w:r>
          <w:rPr>
            <w:color w:val="0000EE"/>
            <w:u w:val="single"/>
          </w:rPr>
          <w:t>Hb 2.10–13</w:t>
        </w:r>
      </w:hyperlink>
      <w:r>
        <w:t xml:space="preserve">; </w:t>
      </w:r>
      <w:hyperlink r:id="rId5404">
        <w:r>
          <w:rPr>
            <w:color w:val="0000EE"/>
            <w:u w:val="single"/>
          </w:rPr>
          <w:t>1Pe 2.9–10</w:t>
        </w:r>
      </w:hyperlink>
      <w:r>
        <w:t xml:space="preserve">; veja também </w:t>
      </w:r>
      <w:hyperlink r:id="rId5405">
        <w:r>
          <w:rPr>
            <w:color w:val="0000EE"/>
            <w:u w:val="single"/>
          </w:rPr>
          <w:t>Rm 9.1–8</w:t>
        </w:r>
      </w:hyperlink>
      <w:r>
        <w:t xml:space="preserve">; </w:t>
      </w:r>
      <w:hyperlink r:id="rId1396">
        <w:r>
          <w:rPr>
            <w:color w:val="0000EE"/>
            <w:u w:val="single"/>
          </w:rPr>
          <w:t>Gl 6.16</w:t>
        </w:r>
      </w:hyperlink>
      <w:r>
        <w:t>).</w:t>
      </w:r>
    </w:p>
    <w:p>
      <w:r/>
      <w:r>
        <w:rPr>
          <w:i/>
        </w:rPr>
        <w:t>Veja também</w:t>
      </w:r>
      <w:r>
        <w:t xml:space="preserve"> </w:t>
      </w:r>
      <w:r>
        <w:t>Igreja</w:t>
      </w:r>
      <w:r>
        <w:t>.</w:t>
      </w:r>
      <w:r/>
      <w:r/>
    </w:p>
    <w:p>
      <w:r/>
    </w:p>
    <w:p>
      <w:pPr>
        <w:pStyle w:val="Heading2"/>
      </w:pPr>
      <w:r>
        <w:t>Conhecimento</w:t>
      </w:r>
      <w:r/>
    </w:p>
    <w:p>
      <w:r/>
      <w:r>
        <w:t>Observação e reconhecimento de objetos dentro do alcance dos sentidos de uma pessoa; conhecimento de natureza pessoal que inclui uma resposta do conhecedor.</w:t>
      </w:r>
    </w:p>
    <w:p>
      <w:r/>
      <w:r>
        <w:t>A palavra "saber" ou "conhecimento" aparece mais de 1.600 vezes na Bíblia. A conotação específica desse grupo de palavras oferece uma visão sobre as mensagens básicas tanto do Antigo Testamento quanto do Novo Testamento.</w:t>
      </w:r>
    </w:p>
    <w:p>
      <w:r/>
      <w:r>
        <w:t xml:space="preserve">A visão hebraica do homem é de uma totalidade diferenciada — o coração, a alma e a mente estão tão inter-relacionados que não podem ser separados. “Conhecer” envolve, portanto, o ser inteiro e não é simplesmente uma ação da mente. O coração às vezes é identificado como o órgão do conhecimento (cf. </w:t>
      </w:r>
      <w:hyperlink r:id="rId5406">
        <w:r>
          <w:rPr>
            <w:color w:val="0000EE"/>
            <w:u w:val="single"/>
          </w:rPr>
          <w:t>Sl 49.3</w:t>
        </w:r>
      </w:hyperlink>
      <w:r>
        <w:t xml:space="preserve">; </w:t>
      </w:r>
      <w:hyperlink r:id="rId3573">
        <w:r>
          <w:rPr>
            <w:color w:val="0000EE"/>
            <w:u w:val="single"/>
          </w:rPr>
          <w:t>Is 6.10</w:t>
        </w:r>
      </w:hyperlink>
      <w:r>
        <w:t>). A implicação é que o conhecimento envolve tanto a vontade quanto as emoções. É à luz dessa conotação que o AT usa “conhecer” como uma expressão idiomática para relações sexuais entre marido e mulher.</w:t>
      </w:r>
    </w:p>
    <w:p>
      <w:r/>
      <w:r>
        <w:t xml:space="preserve">O conceito de conhecimento dos judeus é lindamente ilustrado em </w:t>
      </w:r>
      <w:hyperlink r:id="rId5407">
        <w:r>
          <w:rPr>
            <w:color w:val="0000EE"/>
            <w:u w:val="single"/>
          </w:rPr>
          <w:t>Isaías 1.3</w:t>
        </w:r>
      </w:hyperlink>
      <w:r>
        <w:t>: “O boi conhece o seu dono, e o jumento sabe onde o dono põe o alimento para ele, mas não o meu povo não sabe nada, o povo de Israel não entende coisa nenhuma” (NTLH). O fracasso de Israel não estava no comportamento ritual, mas na recusa em responder com obediência amorosa ao Deus que os escolheu. Somente o tolo se recusa a responder a essa revelação. Assim, a pessoa que não responde com obediência obviamente tem um conhecimento incompleto do Senhor. “Conhecer a Deus” envolve relacionamento, comunhão, preocupação e experiência.</w:t>
      </w:r>
    </w:p>
    <w:p>
      <w:r/>
      <w:r>
        <w:t>O NT continua essa ideia básica de conhecimento e adiciona algumas variações próprias. No Evangelho de João, o conhecimento de Deus é mediado através de Jesus como o Logos. Jesus tem conhecimento perfeito do propósito e da natureza de Deus, e o revela aos seus seguidores: “Agora que vocês me conhecem, conhecerão também o meu Pai” (</w:t>
      </w:r>
      <w:hyperlink r:id="rId5408">
        <w:r>
          <w:rPr>
            <w:color w:val="0000EE"/>
            <w:u w:val="single"/>
          </w:rPr>
          <w:t>Jo 14.7</w:t>
        </w:r>
      </w:hyperlink>
      <w:r>
        <w:t>, NTLH). A identificação do próprio relacionamento de Jesus com o Pai como um modelo para o relacionamento dos discípulos indica que o conhecimento significa um relacionamento pessoal que é íntimo e mútuo.</w:t>
      </w:r>
    </w:p>
    <w:p>
      <w:r/>
      <w:r>
        <w:t xml:space="preserve">A definição de vida eterna em </w:t>
      </w:r>
      <w:hyperlink r:id="rId5409">
        <w:r>
          <w:rPr>
            <w:color w:val="0000EE"/>
            <w:u w:val="single"/>
          </w:rPr>
          <w:t>João 17.3</w:t>
        </w:r>
      </w:hyperlink>
      <w:r>
        <w:t xml:space="preserve"> adiciona mais conteúdo a este conceito: “E a vida eterna é esta: que eles conheçam a ti, que és o único Deus verdadeiro, e conheçam também Jesus Cristo, que enviaste ao mundo” (NTLH). Este conceito é vastamente diferente daquele do misticismo helenístico, no qual a contemplação e o êxtase são consumados na fusão gradual do conhecedor e Deus. Em João, por contraste, o resultado do conhecimento é ter um relacionamento pessoal com Deus através de seu Filho.</w:t>
      </w:r>
    </w:p>
    <w:p>
      <w:r/>
      <w:r>
        <w:t>Paulo também apresenta a revelação de Deus em Cristo como a fonte do conhecimento. Deus revelou o “mistério de sua vontade” para aquele que está “em Cristo”. A pessoa espiritual é ensinada pelo Espírito de Deus (</w:t>
      </w:r>
      <w:hyperlink r:id="rId5410">
        <w:r>
          <w:rPr>
            <w:color w:val="0000EE"/>
            <w:u w:val="single"/>
          </w:rPr>
          <w:t>1Co 2.12–16</w:t>
        </w:r>
      </w:hyperlink>
      <w:r>
        <w:t>) e responde à verdade conforme ela é revelada em Jesus Cristo. Novamente, há ênfase no relacionamento e no encontro como elementos essenciais no conceito de conhecimento.</w:t>
      </w:r>
    </w:p>
    <w:p>
      <w:r/>
      <w:r>
        <w:t>O conhecimento cristão de Deus não se baseia apenas na observação ou especulação, mas é o resultado da experiência em Cristo. Este conhecimento contrasta fortemente com a sabedoria natural, que opera a partir de uma perspectiva incorreta. Paulo rapidamente aponta que o mistério do plano redentor de Deus foi revelado e agora não há espaço para ignorância. O conhecimento, então, envolve a pessoa inteira em relacionamento com Deus através de Cristo.</w:t>
      </w:r>
    </w:p>
    <w:p>
      <w:r/>
      <w:r>
        <w:rPr>
          <w:i/>
        </w:rPr>
        <w:t>Veja também</w:t>
      </w:r>
      <w:r>
        <w:t xml:space="preserve"> </w:t>
      </w:r>
      <w:r>
        <w:t>Revelação</w:t>
      </w:r>
      <w:r>
        <w:t xml:space="preserve">; </w:t>
      </w:r>
      <w:r>
        <w:t>Verdade</w:t>
      </w:r>
      <w:r>
        <w:t>.</w:t>
      </w:r>
      <w:r/>
      <w:r/>
    </w:p>
    <w:p>
      <w:r/>
    </w:p>
    <w:p>
      <w:pPr>
        <w:pStyle w:val="Heading2"/>
      </w:pPr>
      <w:r>
        <w:t>Conquista e distribuição da terra</w:t>
      </w:r>
      <w:r/>
    </w:p>
    <w:p>
      <w:r/>
      <w:r>
        <w:t>Termos que se referem à conquista da Terra Prometida por Israel e à forma distinta como ela foi dividida entre as tribos israelitas.</w:t>
      </w:r>
    </w:p>
    <w:p>
      <w:pPr>
        <w:pStyle w:val="Heading3"/>
      </w:pPr>
      <w:r>
        <w:t>Conquista</w:t>
      </w:r>
    </w:p>
    <w:p>
      <w:r/>
      <w:r>
        <w:t>A conquista de Canaã pelos israelitas é um dos eventos mais notáveis da história do AT: um povo nômade, organizacionalmente frouxo, invadiu com sucesso uma cultura estabelecida há muito tempo, segura em seus centros urbanos protegidos. Esse feito, de acordo com as Escrituras, foi o resultado de uma promessa que Deus fez a Abraão, Isaque e Jacó de que seus descendentes possuiriam a terra (</w:t>
      </w:r>
      <w:hyperlink r:id="rId4949">
        <w:r>
          <w:rPr>
            <w:color w:val="0000EE"/>
            <w:u w:val="single"/>
          </w:rPr>
          <w:t>Gn 17.8</w:t>
        </w:r>
      </w:hyperlink>
      <w:r>
        <w:t xml:space="preserve">; </w:t>
      </w:r>
      <w:hyperlink r:id="rId5411">
        <w:r>
          <w:rPr>
            <w:color w:val="0000EE"/>
            <w:u w:val="single"/>
          </w:rPr>
          <w:t>26.4</w:t>
        </w:r>
      </w:hyperlink>
      <w:r>
        <w:t xml:space="preserve">; </w:t>
      </w:r>
      <w:hyperlink r:id="rId5412">
        <w:r>
          <w:rPr>
            <w:color w:val="0000EE"/>
            <w:u w:val="single"/>
          </w:rPr>
          <w:t>28.13</w:t>
        </w:r>
      </w:hyperlink>
      <w:r>
        <w:t xml:space="preserve">; </w:t>
      </w:r>
      <w:hyperlink r:id="rId5413">
        <w:r>
          <w:rPr>
            <w:color w:val="0000EE"/>
            <w:u w:val="single"/>
          </w:rPr>
          <w:t>Êx 3.15–17</w:t>
        </w:r>
      </w:hyperlink>
      <w:r>
        <w:t>). A desapropriação dos habitantes pagãos foi um julgamento divino sobre a falsa religião e sua imoralidade associada (</w:t>
      </w:r>
      <w:hyperlink r:id="rId219">
        <w:r>
          <w:rPr>
            <w:color w:val="0000EE"/>
            <w:u w:val="single"/>
          </w:rPr>
          <w:t>Dt 7.1–5</w:t>
        </w:r>
      </w:hyperlink>
      <w:r>
        <w:t>).</w:t>
      </w:r>
    </w:p>
    <w:p>
      <w:r/>
      <w:r>
        <w:t>Os estudiosos que tentam reconstruir a história da Conquista enfrentam certos problemas. A crítica acadêmica entrou em conflito com declarações na Bíblia em três pontos principais: cronologia, taxa de ocupação e a questão do aniquilamento militar de Israel em partes da população das cidades-estado cananeias.</w:t>
      </w:r>
    </w:p>
    <w:p>
      <w:pPr>
        <w:pStyle w:val="Heading3"/>
      </w:pPr>
      <w:r>
        <w:t>Data</w:t>
      </w:r>
    </w:p>
    <w:p>
      <w:r/>
      <w:r>
        <w:t xml:space="preserve">Obras de referência e estudos acadêmicos sobre a história do AT frequentemente sugerem uma data para o Êxodo do Egito no século 13 a.C. (1280 a.C. ou mais tarde). Várias referências bíblicas a esse evento parecem exigir uma data anterior. De acordo com </w:t>
      </w:r>
      <w:hyperlink r:id="rId5414">
        <w:r>
          <w:rPr>
            <w:color w:val="0000EE"/>
            <w:u w:val="single"/>
          </w:rPr>
          <w:t>1 Reis 6.1</w:t>
        </w:r>
      </w:hyperlink>
      <w:r>
        <w:t xml:space="preserve">, a construção do templo de Salomão foi iniciada no quarto ano de seu reinado, 480 anos após o Êxodo. Como o quarto ano de Salomão foi por volta de 960 a.C., isso colocaria o Êxodo em 1440 a.C. Em </w:t>
      </w:r>
      <w:hyperlink r:id="rId5415">
        <w:r>
          <w:rPr>
            <w:color w:val="0000EE"/>
            <w:u w:val="single"/>
          </w:rPr>
          <w:t>Juízes 11.26–28</w:t>
        </w:r>
      </w:hyperlink>
      <w:r>
        <w:t>, quando Jefté, oitavo dos juízes nomeados, discutiu com o rei de Amom sobre a posse israelita da terra a leste do Rio Jordão, ele indicou que Israel havia ocupado esse território por 300 anos. A ascensão de Saul ao reinado por volta de 1020 a.C. ainda estava a algumas décadas de distância, então a data posterior proposta para o Êxodo não permite tempo suficiente para o período dos juízes. Além disso, o apóstolo Paulo referiu-se a um período de cerca de 450 anos do Êxodo até os dias de Samuel (</w:t>
      </w:r>
      <w:hyperlink r:id="rId5416">
        <w:r>
          <w:rPr>
            <w:color w:val="0000EE"/>
            <w:u w:val="single"/>
          </w:rPr>
          <w:t>At 13.20</w:t>
        </w:r>
      </w:hyperlink>
      <w:r>
        <w:t>).</w:t>
      </w:r>
    </w:p>
    <w:p>
      <w:pPr>
        <w:pStyle w:val="Heading3"/>
      </w:pPr>
      <w:r>
        <w:t>Campanhas de Josué</w:t>
      </w:r>
    </w:p>
    <w:p>
      <w:r/>
      <w:r>
        <w:t xml:space="preserve">O livro de Josué apresenta uma imagem de um período concentrado para a conquista israelita de Canaã. No entanto, muitos estudiosos insistem que houve uma penetração gradual anterior (por hebreus que supostamente não acompanharam Jacó ao Egito), além de um processo de limpeza prolongado que continuou até a época da monarquia. Embora o registro bíblico permita aquisições posteriores em algumas áreas (por exemplo, Megido e Bete-Seã), não há razão válida para rejeitar a descrição da Conquista principal apresentada em </w:t>
      </w:r>
      <w:hyperlink r:id="rId5417">
        <w:r>
          <w:rPr>
            <w:color w:val="0000EE"/>
            <w:u w:val="single"/>
          </w:rPr>
          <w:t>Josué 1–12</w:t>
        </w:r>
      </w:hyperlink>
      <w:r>
        <w:t>.</w:t>
      </w:r>
    </w:p>
    <w:p>
      <w:r/>
      <w:r>
        <w:t>A Conquista começou no lado leste do rio Jordão sob a liderança de Moisés. Após a morte de Moisés, Josué liderou Israel através do rio, capturando primeiro as cidades fortificadas de Jericó e Ai. Essas vitórias estratégicas proporcionaram acesso à região montanhosa e abriram caminho para o centro de Canaã. Seguiram-se duas campanhas principais — uma ao sul e outra ao norte — que, em seis anos, conquistaram para Israel as cidades chave de Canaã, derrotando 31 reis e concluindo a fase inicial e principal da Conquista.</w:t>
      </w:r>
    </w:p>
    <w:p>
      <w:r/>
      <w:hyperlink r:id="rId1125">
        <w:r>
          <w:rPr>
            <w:color w:val="0000EE"/>
            <w:u w:val="single"/>
          </w:rPr>
          <w:t>Números 32</w:t>
        </w:r>
      </w:hyperlink>
      <w:r>
        <w:t xml:space="preserve"> registra a atribuição anterior do território a leste do Jordão (Gileade e Basã, adquiridos pela derrota de dois reis, Seom dos amorreus e Ogue de Basã) às tribos de Rúben, Gade e à meia tribo de Manassés. Embora sua terra já tivesse sido adquirida, os homens dessas tribos eram obrigados a atravessar o Jordão com o restante para participar da conquista militar de Canaã.</w:t>
      </w:r>
    </w:p>
    <w:p>
      <w:r/>
      <w:hyperlink r:id="rId5418">
        <w:r>
          <w:rPr>
            <w:color w:val="0000EE"/>
            <w:u w:val="single"/>
          </w:rPr>
          <w:t>Josué 2–8</w:t>
        </w:r>
      </w:hyperlink>
      <w:r>
        <w:t xml:space="preserve"> registra os eventos extraordinários da destruição de Jericó e Ai na investida inicial para o oeste. Essas vitórias tendiam a desmoralizar as cidades restantes da terra. Os capítulos </w:t>
      </w:r>
      <w:hyperlink r:id="rId761">
        <w:r>
          <w:rPr>
            <w:color w:val="0000EE"/>
            <w:u w:val="single"/>
          </w:rPr>
          <w:t>9</w:t>
        </w:r>
      </w:hyperlink>
      <w:r>
        <w:t xml:space="preserve"> e </w:t>
      </w:r>
      <w:hyperlink r:id="rId5419">
        <w:r>
          <w:rPr>
            <w:color w:val="0000EE"/>
            <w:u w:val="single"/>
          </w:rPr>
          <w:t>10</w:t>
        </w:r>
      </w:hyperlink>
      <w:r>
        <w:t xml:space="preserve"> descrevem a campanha sulista, incluindo a obtenção de um tratado pelos gibeonitas por meio de engano. </w:t>
      </w:r>
      <w:hyperlink r:id="rId5419">
        <w:r>
          <w:rPr>
            <w:color w:val="0000EE"/>
            <w:u w:val="single"/>
          </w:rPr>
          <w:t>Josué 10</w:t>
        </w:r>
      </w:hyperlink>
      <w:r>
        <w:t xml:space="preserve">, com seu relato da notável derrota das forças inimigas (vv. </w:t>
      </w:r>
      <w:hyperlink r:id="rId5420">
        <w:r>
          <w:rPr>
            <w:color w:val="0000EE"/>
            <w:u w:val="single"/>
          </w:rPr>
          <w:t>9–12</w:t>
        </w:r>
      </w:hyperlink>
      <w:r>
        <w:t>) e o prolongamento milagroso da luz do dia, é a passagem central sobre a campanha sulista. Na batalha subsequente, uma aliança de cinco reis amorreus foi esmagada, os reis foram mortos, e as cidades-estado da área foram destruídas, exceto Jerusalém (mais tarde capturada por Davi).</w:t>
      </w:r>
    </w:p>
    <w:p>
      <w:r/>
      <w:r>
        <w:t xml:space="preserve">Em sua campanha no norte, Josué enfrentou uma aliança mais formidável. No entanto, nem mesmo Jabim, o poderoso rei de Hazor, a maior das cidades dos cananeus, apoiado por seus vassalos locais, foi páreo para os exércitos de Israel. </w:t>
      </w:r>
      <w:hyperlink r:id="rId5421">
        <w:r>
          <w:rPr>
            <w:color w:val="0000EE"/>
            <w:u w:val="single"/>
          </w:rPr>
          <w:t>Josué 11</w:t>
        </w:r>
      </w:hyperlink>
      <w:r>
        <w:t xml:space="preserve"> descreve essa fase e depois resume toda a Conquista nos versículos </w:t>
      </w:r>
      <w:hyperlink r:id="rId5422">
        <w:r>
          <w:rPr>
            <w:color w:val="0000EE"/>
            <w:u w:val="single"/>
          </w:rPr>
          <w:t>16–23</w:t>
        </w:r>
      </w:hyperlink>
      <w:r>
        <w:t xml:space="preserve"> e ao longo do capítulo </w:t>
      </w:r>
      <w:hyperlink r:id="rId5423">
        <w:r>
          <w:rPr>
            <w:color w:val="0000EE"/>
            <w:u w:val="single"/>
          </w:rPr>
          <w:t>12</w:t>
        </w:r>
      </w:hyperlink>
      <w:r>
        <w:t>.</w:t>
      </w:r>
    </w:p>
    <w:p>
      <w:r/>
      <w:r>
        <w:rPr>
          <w:i/>
        </w:rPr>
        <w:t>Veja também</w:t>
      </w:r>
      <w:r>
        <w:t xml:space="preserve"> </w:t>
      </w:r>
      <w:r>
        <w:t>Distribuição da Terra</w:t>
      </w:r>
      <w:r>
        <w:t>.</w:t>
      </w:r>
      <w:r/>
      <w:r/>
    </w:p>
    <w:p>
      <w:r/>
    </w:p>
    <w:p>
      <w:pPr>
        <w:pStyle w:val="Heading2"/>
      </w:pPr>
      <w:r>
        <w:t>Consagração</w:t>
      </w:r>
      <w:r/>
    </w:p>
    <w:p>
      <w:r/>
      <w:r>
        <w:t>Consagração refere-se à separação de pessoas, utensílios, edifícios ou lugares de usos não religiosos para dedicá-los a propósitos sagrados ou santos.</w:t>
      </w:r>
    </w:p>
    <w:p>
      <w:pPr>
        <w:pStyle w:val="Heading3"/>
      </w:pPr>
      <w:r>
        <w:t>Qual é o significado de "consagração" na Bíblia?</w:t>
      </w:r>
    </w:p>
    <w:p>
      <w:r/>
      <w:r>
        <w:t>Na Bíblia, a consagração era indicada por um rito ou voto apropriado. Algumas palavras hebraicas implicam “separação” (</w:t>
      </w:r>
      <w:hyperlink r:id="rId5424">
        <w:r>
          <w:rPr>
            <w:color w:val="0000EE"/>
            <w:u w:val="single"/>
          </w:rPr>
          <w:t>Êx 13.2</w:t>
        </w:r>
      </w:hyperlink>
      <w:r>
        <w:t xml:space="preserve">; </w:t>
      </w:r>
      <w:hyperlink r:id="rId5425">
        <w:r>
          <w:rPr>
            <w:color w:val="0000EE"/>
            <w:u w:val="single"/>
          </w:rPr>
          <w:t>Lv 8.10–12</w:t>
        </w:r>
      </w:hyperlink>
      <w:r>
        <w:t xml:space="preserve">; </w:t>
      </w:r>
      <w:hyperlink r:id="rId5426">
        <w:r>
          <w:rPr>
            <w:color w:val="0000EE"/>
            <w:u w:val="single"/>
          </w:rPr>
          <w:t>Dt 15.19</w:t>
        </w:r>
      </w:hyperlink>
      <w:r>
        <w:t>), algumas implicam “dedicação” (</w:t>
      </w:r>
      <w:hyperlink r:id="rId5427">
        <w:r>
          <w:rPr>
            <w:color w:val="0000EE"/>
            <w:u w:val="single"/>
          </w:rPr>
          <w:t>Lv 21.12</w:t>
        </w:r>
      </w:hyperlink>
      <w:r>
        <w:t>;</w:t>
      </w:r>
      <w:hyperlink r:id="rId5427">
        <w:r>
          <w:rPr>
            <w:color w:val="0000EE"/>
            <w:u w:val="single"/>
          </w:rPr>
          <w:t xml:space="preserve"> Nm 6.9</w:t>
        </w:r>
      </w:hyperlink>
      <w:r>
        <w:t xml:space="preserve">), outras palavras implicam “ordenação” (literalmente, “enchendo a mão”, </w:t>
      </w:r>
      <w:hyperlink r:id="rId5428">
        <w:r>
          <w:rPr>
            <w:color w:val="0000EE"/>
            <w:u w:val="single"/>
          </w:rPr>
          <w:t>Êx 28.41</w:t>
        </w:r>
      </w:hyperlink>
      <w:r>
        <w:t xml:space="preserve">; </w:t>
      </w:r>
      <w:hyperlink r:id="rId5429">
        <w:r>
          <w:rPr>
            <w:color w:val="0000EE"/>
            <w:u w:val="single"/>
          </w:rPr>
          <w:t>1Rs 13.33</w:t>
        </w:r>
      </w:hyperlink>
      <w:r>
        <w:t>). O Novo Testamento tem menos referências à consagração, mas frequentemente estão relacionadas à ideia de santidade (</w:t>
      </w:r>
      <w:hyperlink r:id="rId5430">
        <w:r>
          <w:rPr>
            <w:color w:val="0000EE"/>
            <w:u w:val="single"/>
          </w:rPr>
          <w:t>Jo 10.36</w:t>
        </w:r>
      </w:hyperlink>
      <w:r>
        <w:t xml:space="preserve">; </w:t>
      </w:r>
      <w:hyperlink r:id="rId5431">
        <w:r>
          <w:rPr>
            <w:color w:val="0000EE"/>
            <w:u w:val="single"/>
          </w:rPr>
          <w:t>1Co 7.14</w:t>
        </w:r>
      </w:hyperlink>
      <w:r>
        <w:t xml:space="preserve">; </w:t>
      </w:r>
      <w:hyperlink r:id="rId5432">
        <w:r>
          <w:rPr>
            <w:color w:val="0000EE"/>
            <w:u w:val="single"/>
          </w:rPr>
          <w:t>1Tm 4.5</w:t>
        </w:r>
      </w:hyperlink>
      <w:r>
        <w:t>).</w:t>
      </w:r>
    </w:p>
    <w:p>
      <w:pPr>
        <w:pStyle w:val="Heading3"/>
      </w:pPr>
      <w:r>
        <w:t>Como diferentes tradições compreendem a consagração?</w:t>
      </w:r>
    </w:p>
    <w:p>
      <w:r/>
      <w:r>
        <w:t>Na prática da igreja, especialmente entre denominações com estruturas de liderança formal, a consagração descreve as cerimônias especiais que estabelecem um bispo em seu papel. Também é usada para descrever:</w:t>
      </w:r>
    </w:p>
    <w:p>
      <w:pPr>
        <w:pStyle w:val="ListBullet"/>
        <w:spacing w:line="240" w:lineRule="auto"/>
        <w:ind w:left="720"/>
      </w:pPr>
      <w:r/>
      <w:r>
        <w:t>a dedicação de locais sagrados,</w:t>
      </w:r>
    </w:p>
    <w:p>
      <w:pPr>
        <w:pStyle w:val="ListBullet"/>
        <w:spacing w:line="240" w:lineRule="auto"/>
        <w:ind w:left="720"/>
      </w:pPr>
      <w:r/>
      <w:r>
        <w:t>recipientes para objetos sagrados,</w:t>
      </w:r>
    </w:p>
    <w:p>
      <w:pPr>
        <w:pStyle w:val="ListBullet"/>
        <w:spacing w:line="240" w:lineRule="auto"/>
        <w:ind w:left="720"/>
      </w:pPr>
      <w:r/>
      <w:r>
        <w:t>catedrais (igrejas grandes e importantes que servem como a principal igreja de um bispo),</w:t>
      </w:r>
    </w:p>
    <w:p>
      <w:pPr>
        <w:pStyle w:val="ListBullet"/>
        <w:spacing w:line="240" w:lineRule="auto"/>
        <w:ind w:left="720"/>
      </w:pPr>
      <w:r/>
      <w:r>
        <w:t>elementos da Divina Liturgia ou Missa (o pão e o vinho utilizados durante os serviços de Comunhão), ou</w:t>
      </w:r>
    </w:p>
    <w:p>
      <w:pPr>
        <w:pStyle w:val="ListBullet"/>
        <w:spacing w:line="240" w:lineRule="auto"/>
        <w:ind w:left="720"/>
      </w:pPr>
      <w:r/>
      <w:r>
        <w:t>edifícios destinados a funções relacionadas à igreja.</w:t>
      </w:r>
    </w:p>
    <w:p>
      <w:r/>
      <w:r>
        <w:t>O ensino protestante enfatiza a ideia do sacerdócio de cada crente. Assim, todos os cristãos são considerados "santos". A palavra "santos" compartilha a mesma raiz que "consagração" e se refere às pessoas que dedicaram suas vidas a Deus.</w:t>
      </w:r>
    </w:p>
    <w:p>
      <w:r/>
      <w:r>
        <w:t>Na doutrina Ortodoxa e Católica Romana, a igreja oficialmente consagra ou “canoniza” grandes cristãos como santos após a sua morte. Esta honra é concedida àqueles que demonstraram vidas especialmente santas.</w:t>
      </w:r>
    </w:p>
    <w:p>
      <w:pPr>
        <w:pStyle w:val="Heading3"/>
      </w:pPr>
      <w:r>
        <w:t>Por que a consagração é importante para a vida cristã?</w:t>
      </w:r>
    </w:p>
    <w:p>
      <w:r/>
      <w:r>
        <w:t xml:space="preserve">A consagração é importante tanto em relação a Deus quanto ao mundo. O apóstolo Paulo define o termo em </w:t>
      </w:r>
      <w:hyperlink r:id="rId5433">
        <w:r>
          <w:rPr>
            <w:color w:val="0000EE"/>
            <w:u w:val="single"/>
          </w:rPr>
          <w:t>Romanos 12.1–2.</w:t>
        </w:r>
      </w:hyperlink>
      <w:r>
        <w:t xml:space="preserve"> Ele enfatiza que a consagração envolve pessoas oferecendo suas vidas simbolicamente como sacrifícios a Deus. A importância da consagração em relação a pessoas e coisas é um tema básico na primeira carta do apóstolo Pedro. Cada cristão deve viver diariamente como um “sacerdócio santo” e “real” para a glória de Deus (</w:t>
      </w:r>
      <w:hyperlink r:id="rId3643">
        <w:r>
          <w:rPr>
            <w:color w:val="0000EE"/>
            <w:u w:val="single"/>
          </w:rPr>
          <w:t>1Pe 2.9</w:t>
        </w:r>
      </w:hyperlink>
      <w:r>
        <w:t>). Os cristãos consideram um importante marco de maturidade espiritual consagrar suas próprias personalidades à medida que o Espírito Santo os auxilia.</w:t>
      </w:r>
    </w:p>
    <w:p>
      <w:r/>
      <w:r>
        <w:rPr>
          <w:i/>
        </w:rPr>
        <w:t xml:space="preserve">Veja também </w:t>
      </w:r>
      <w:r>
        <w:t>Santidade</w:t>
      </w:r>
      <w:r>
        <w:t>.</w:t>
      </w:r>
    </w:p>
    <w:p>
      <w:r/>
      <w:r/>
      <w:r/>
    </w:p>
    <w:p>
      <w:r/>
    </w:p>
    <w:p>
      <w:pPr>
        <w:pStyle w:val="Heading2"/>
      </w:pPr>
      <w:r>
        <w:t>Consciência</w:t>
      </w:r>
      <w:r/>
    </w:p>
    <w:p>
      <w:r/>
      <w:r>
        <w:t>Um termo para autoconsciência ou autoconhecimento. A consciência determina se algo que uma pessoa fez ou fará está de acordo com seus próprios padrões morais. A consciência também torna alguém ciente de coisas feitas que estavam erradas.</w:t>
      </w:r>
    </w:p>
    <w:p>
      <w:r/>
      <w:r>
        <w:t>Tanto a palavra “consciência” em português e a palavra grega correspondente no NT têm a ideia de “estar com conhecimento” (ou com consciência). No Antigo Testamento, Adão e Eva sentiram vergonha e se esconderam de Deus. Isso foi porque suas consciências determinaram que quando desobedeceram a Deus, foi errado (</w:t>
      </w:r>
      <w:hyperlink r:id="rId5434">
        <w:r>
          <w:rPr>
            <w:color w:val="0000EE"/>
            <w:u w:val="single"/>
          </w:rPr>
          <w:t>Gn 3.8–10</w:t>
        </w:r>
      </w:hyperlink>
      <w:r>
        <w:t>). É normal para todos os seres humanos serem capazes de saber o que é certo e errado. “O SENHOR deu aos seres humanos inteligência e consciência; ninguém pode se esconder de si mesmo” (</w:t>
      </w:r>
      <w:hyperlink r:id="rId5435">
        <w:r>
          <w:rPr>
            <w:color w:val="0000EE"/>
            <w:u w:val="single"/>
          </w:rPr>
          <w:t>Pv 20.27</w:t>
        </w:r>
      </w:hyperlink>
      <w:r>
        <w:t>). Assim, a consciência é um presente de Deus para ajudar uma pessoa a saber se algo é bom ou ruim.</w:t>
      </w:r>
    </w:p>
    <w:p>
      <w:pPr>
        <w:pStyle w:val="Heading3"/>
      </w:pPr>
      <w:r>
        <w:t>O que significa "consciência" no Novo Testamento?</w:t>
      </w:r>
    </w:p>
    <w:p>
      <w:r/>
      <w:r>
        <w:t>A palavra "consciência" é encontrada 32 vezes no Novo Testamento. Isso é mais frequente nos escritos do apóstolo Paulo. Em seus escritos, a consciência é mostrada como determinante do que era certo fazer no passado e do que será certo fazer no futuro. Pessoas que não conhecem a lei de Deus ainda podem fazer o que ela diz. Isso mostra que o que a lei exige está "escrito em seus corações" (</w:t>
      </w:r>
      <w:hyperlink r:id="rId4431">
        <w:r>
          <w:rPr>
            <w:color w:val="0000EE"/>
            <w:u w:val="single"/>
          </w:rPr>
          <w:t>Rm 2.14–15</w:t>
        </w:r>
      </w:hyperlink>
      <w:r>
        <w:t>). Paulo também diz que cada pessoa deve "submeter-se à autoridade" para evitar o julgamento de Deus e "por questão de consciência" (</w:t>
      </w:r>
      <w:hyperlink r:id="rId5436">
        <w:r>
          <w:rPr>
            <w:color w:val="0000EE"/>
            <w:u w:val="single"/>
          </w:rPr>
          <w:t>13.5</w:t>
        </w:r>
      </w:hyperlink>
      <w:r>
        <w:t>). Este ensinamento assume que a consciência pode tornar a obediência um requisito para o que é certo.</w:t>
      </w:r>
    </w:p>
    <w:p>
      <w:r/>
      <w:r>
        <w:t>A consciência também aprova ou determina ou julga quando alguém é inocente. Isso é tão importante quanto quando uma pessoa se torna ciente de que fez algo errado. Paulo disse: “Minha consciência está limpa” (</w:t>
      </w:r>
      <w:hyperlink r:id="rId5437">
        <w:r>
          <w:rPr>
            <w:color w:val="0000EE"/>
            <w:u w:val="single"/>
          </w:rPr>
          <w:t>1Co 4.4</w:t>
        </w:r>
      </w:hyperlink>
      <w:r>
        <w:t>). No entanto, a consciência não pode determinar perfeitamente o certo e o errado, nem pode guiar suficientemente uma pessoa. Paulo continuou: “Mas isso não me justifica. É o Senhor quem me julga”. Em outra passagem, Paulo diz que sua consciência confirmou que ele estava falando a verdade. Ele liga o que a consciência aprova com o Espírito Santo (</w:t>
      </w:r>
      <w:hyperlink r:id="rId5438">
        <w:r>
          <w:rPr>
            <w:color w:val="0000EE"/>
            <w:u w:val="single"/>
          </w:rPr>
          <w:t>Rm 9.1</w:t>
        </w:r>
      </w:hyperlink>
      <w:r>
        <w:t xml:space="preserve">; compare </w:t>
      </w:r>
      <w:hyperlink r:id="rId5439">
        <w:r>
          <w:rPr>
            <w:color w:val="0000EE"/>
            <w:u w:val="single"/>
          </w:rPr>
          <w:t>2Co 1.12</w:t>
        </w:r>
      </w:hyperlink>
      <w:r>
        <w:t>). No entanto, ele não desenvolve exatamente qual é a conexão.</w:t>
      </w:r>
    </w:p>
    <w:p>
      <w:r/>
      <w:r>
        <w:t>Paulo procurou defender seu ministério para com a igreja de Corinto pedindo-lhes que julgassem se seu comportamento era certo ou errado. Eles deveriam ser capazes de fazer isso com a ajuda de suas próprias consciências (</w:t>
      </w:r>
      <w:hyperlink r:id="rId5440">
        <w:r>
          <w:rPr>
            <w:color w:val="0000EE"/>
            <w:u w:val="single"/>
          </w:rPr>
          <w:t>2Co 4.1–2</w:t>
        </w:r>
      </w:hyperlink>
      <w:r>
        <w:t>). Paulo insistiu que Deus sabia o que motivava seu comportamento. Assim, Paulo esperava que a consciência dos coríntios também reconhecesse esse motivo de “o temor do Senhor” (</w:t>
      </w:r>
      <w:hyperlink r:id="rId5441">
        <w:r>
          <w:rPr>
            <w:color w:val="0000EE"/>
            <w:u w:val="single"/>
          </w:rPr>
          <w:t>5.11</w:t>
        </w:r>
      </w:hyperlink>
      <w:r>
        <w:t>). Quando Paulo escreveu a Timóteo, ele conectou uma boa consciência com fé sincera (</w:t>
      </w:r>
      <w:hyperlink r:id="rId5442">
        <w:r>
          <w:rPr>
            <w:color w:val="0000EE"/>
            <w:u w:val="single"/>
          </w:rPr>
          <w:t>1Tm 1.5</w:t>
        </w:r>
      </w:hyperlink>
      <w:r>
        <w:t>). Quando as pessoas param de viver pela fé cristã, suas consciências podem se tornar “cauterizadas”. Isso significa que elas não estão mais cientes do que é certo e errado porque persistem em fazer o que é mau (</w:t>
      </w:r>
      <w:hyperlink r:id="rId5443">
        <w:r>
          <w:rPr>
            <w:color w:val="0000EE"/>
            <w:u w:val="single"/>
          </w:rPr>
          <w:t>4.2</w:t>
        </w:r>
      </w:hyperlink>
      <w:r>
        <w:t>).</w:t>
      </w:r>
    </w:p>
    <w:p>
      <w:r/>
      <w:r>
        <w:t>Em sua primeira carta à igreja de Corinto, Paulo respondeu a uma pergunta sobre alimentos oferecidos como sacrifício a ídolos. Ele falou sobre como a consciência determina o comportamento futuro e passado (</w:t>
      </w:r>
      <w:hyperlink r:id="rId5444">
        <w:r>
          <w:rPr>
            <w:color w:val="0000EE"/>
            <w:u w:val="single"/>
          </w:rPr>
          <w:t>1Co 8–10</w:t>
        </w:r>
      </w:hyperlink>
      <w:r>
        <w:t>). Alguns coríntios tinham uma consciência “fraca” porque achavam que era errado comer alimentos oferecidos como sacrifício a ídolos (</w:t>
      </w:r>
      <w:hyperlink r:id="rId5445">
        <w:r>
          <w:rPr>
            <w:color w:val="0000EE"/>
            <w:u w:val="single"/>
          </w:rPr>
          <w:t>1Co 8.7</w:t>
        </w:r>
      </w:hyperlink>
      <w:r>
        <w:t>). Eles não reconheceram que todos os alimentos podem ser consumidos, ou são "limpos" (</w:t>
      </w:r>
      <w:hyperlink r:id="rId5446">
        <w:r>
          <w:rPr>
            <w:color w:val="0000EE"/>
            <w:u w:val="single"/>
          </w:rPr>
          <w:t>Rm 14.20</w:t>
        </w:r>
      </w:hyperlink>
      <w:r>
        <w:t>).</w:t>
      </w:r>
      <w:r/>
      <w:r/>
    </w:p>
    <w:p>
      <w:r/>
    </w:p>
    <w:p>
      <w:pPr>
        <w:pStyle w:val="Heading2"/>
      </w:pPr>
      <w:r>
        <w:t>Conselho, Conselheiro</w:t>
      </w:r>
      <w:r/>
    </w:p>
    <w:p>
      <w:r/>
      <w:r>
        <w:t>Conselho é orientação. Um conselheiro é alguém que oferece conselhos, especialmente em questões legais. Advogados são frequentemente chamados de conselheiros. Nos tempos bíblicos, um conselheiro na corte de um rei era semelhante a um membro do gabinete político hoje. Um conselheiro às vezes poderia estar na linha de sucessão ao trono.</w:t>
      </w:r>
    </w:p>
    <w:p>
      <w:pPr>
        <w:pStyle w:val="Heading3"/>
      </w:pPr>
      <w:r>
        <w:t>Conselheiros na Bíblia</w:t>
      </w:r>
    </w:p>
    <w:p>
      <w:r/>
      <w:r>
        <w:t>Aitofel foi conselheiro de Davi e Absalão. Ele dava conselhos tão confiáveis que era como se viessem diretamente de Deus (</w:t>
      </w:r>
      <w:hyperlink r:id="rId5447">
        <w:r>
          <w:rPr>
            <w:color w:val="0000EE"/>
            <w:u w:val="single"/>
          </w:rPr>
          <w:t>2Sm 16.23</w:t>
        </w:r>
      </w:hyperlink>
      <w:r>
        <w:t>). Os anciãos de Israel aconselharam o rei Roboão (</w:t>
      </w:r>
      <w:hyperlink r:id="rId5448">
        <w:r>
          <w:rPr>
            <w:color w:val="0000EE"/>
            <w:u w:val="single"/>
          </w:rPr>
          <w:t>1Rs 12.6</w:t>
        </w:r>
      </w:hyperlink>
      <w:r>
        <w:t xml:space="preserve">). Assim fizeram também os amigos de infância de Roboão (vv. </w:t>
      </w:r>
      <w:hyperlink r:id="rId5449">
        <w:r>
          <w:rPr>
            <w:color w:val="0000EE"/>
            <w:u w:val="single"/>
          </w:rPr>
          <w:t>7</w:t>
        </w:r>
      </w:hyperlink>
      <w:hyperlink r:id="rId5450">
        <w:r>
          <w:rPr>
            <w:color w:val="0000EE"/>
            <w:u w:val="single"/>
          </w:rPr>
          <w:t>–</w:t>
        </w:r>
      </w:hyperlink>
      <w:hyperlink r:id="rId5449">
        <w:r>
          <w:rPr>
            <w:color w:val="0000EE"/>
            <w:u w:val="single"/>
          </w:rPr>
          <w:t>8</w:t>
        </w:r>
      </w:hyperlink>
      <w:r>
        <w:t>), embora seus amigos tenham dado conselhos ruins. A Bíblia menciona conselheiros oficiais no Egito (</w:t>
      </w:r>
      <w:hyperlink r:id="rId5451">
        <w:r>
          <w:rPr>
            <w:color w:val="0000EE"/>
            <w:u w:val="single"/>
          </w:rPr>
          <w:t>Is 19.11</w:t>
        </w:r>
      </w:hyperlink>
      <w:r>
        <w:t>) e na Babilônia (</w:t>
      </w:r>
      <w:hyperlink r:id="rId5452">
        <w:r>
          <w:rPr>
            <w:color w:val="0000EE"/>
            <w:u w:val="single"/>
          </w:rPr>
          <w:t>Dn 3.2</w:t>
        </w:r>
      </w:hyperlink>
      <w:hyperlink r:id="rId5450">
        <w:r>
          <w:rPr>
            <w:color w:val="0000EE"/>
            <w:u w:val="single"/>
          </w:rPr>
          <w:t>–</w:t>
        </w:r>
      </w:hyperlink>
      <w:hyperlink r:id="rId5452">
        <w:r>
          <w:rPr>
            <w:color w:val="0000EE"/>
            <w:u w:val="single"/>
          </w:rPr>
          <w:t>3</w:t>
        </w:r>
      </w:hyperlink>
      <w:r>
        <w:t>).</w:t>
      </w:r>
    </w:p>
    <w:p>
      <w:r/>
      <w:r>
        <w:t>Uma pessoa sábia busca conselhos ao fazer planos: "Os planos fracassam por falta de conselho, mas com muitos conselheiros eles têm sucesso". (</w:t>
      </w:r>
      <w:hyperlink r:id="rId5453">
        <w:r>
          <w:rPr>
            <w:color w:val="0000EE"/>
            <w:u w:val="single"/>
          </w:rPr>
          <w:t>Pv 15.22</w:t>
        </w:r>
      </w:hyperlink>
      <w:r>
        <w:t>). Os conselheiros podem ser:</w:t>
      </w:r>
    </w:p>
    <w:p>
      <w:pPr>
        <w:pStyle w:val="ListBullet"/>
        <w:spacing w:line="240" w:lineRule="auto"/>
        <w:ind w:left="720"/>
      </w:pPr>
      <w:r/>
      <w:r>
        <w:t>os pais de alguém (</w:t>
      </w:r>
      <w:hyperlink r:id="rId5454">
        <w:r>
          <w:rPr>
            <w:color w:val="0000EE"/>
            <w:u w:val="single"/>
          </w:rPr>
          <w:t>1.8</w:t>
        </w:r>
      </w:hyperlink>
      <w:r>
        <w:t>);</w:t>
      </w:r>
    </w:p>
    <w:p>
      <w:pPr>
        <w:pStyle w:val="ListBullet"/>
        <w:spacing w:line="240" w:lineRule="auto"/>
        <w:ind w:left="720"/>
      </w:pPr>
      <w:r/>
      <w:r>
        <w:t>pessoas mais velhas (</w:t>
      </w:r>
      <w:hyperlink r:id="rId5455">
        <w:r>
          <w:rPr>
            <w:color w:val="0000EE"/>
            <w:u w:val="single"/>
          </w:rPr>
          <w:t>Ez 7.26</w:t>
        </w:r>
      </w:hyperlink>
      <w:r>
        <w:t>);</w:t>
      </w:r>
    </w:p>
    <w:p>
      <w:pPr>
        <w:pStyle w:val="ListBullet"/>
        <w:spacing w:line="240" w:lineRule="auto"/>
        <w:ind w:left="720"/>
      </w:pPr>
      <w:r/>
      <w:r>
        <w:t>profetas (</w:t>
      </w:r>
      <w:hyperlink r:id="rId5456">
        <w:r>
          <w:rPr>
            <w:color w:val="0000EE"/>
            <w:u w:val="single"/>
          </w:rPr>
          <w:t>2Cr 25.16</w:t>
        </w:r>
      </w:hyperlink>
      <w:r>
        <w:t>);</w:t>
      </w:r>
    </w:p>
    <w:p>
      <w:pPr>
        <w:pStyle w:val="ListBullet"/>
        <w:spacing w:line="240" w:lineRule="auto"/>
        <w:ind w:left="720"/>
      </w:pPr>
      <w:r/>
      <w:r>
        <w:t>homens sábios (</w:t>
      </w:r>
      <w:hyperlink r:id="rId5457">
        <w:r>
          <w:rPr>
            <w:color w:val="0000EE"/>
            <w:u w:val="single"/>
          </w:rPr>
          <w:t>Jr 18.18</w:t>
        </w:r>
      </w:hyperlink>
      <w:r>
        <w:t>);</w:t>
      </w:r>
    </w:p>
    <w:p>
      <w:pPr>
        <w:pStyle w:val="ListBullet"/>
        <w:spacing w:line="240" w:lineRule="auto"/>
        <w:ind w:left="720"/>
      </w:pPr>
      <w:r/>
      <w:r>
        <w:t>amigos (</w:t>
      </w:r>
      <w:hyperlink r:id="rId5458">
        <w:r>
          <w:rPr>
            <w:color w:val="0000EE"/>
            <w:u w:val="single"/>
          </w:rPr>
          <w:t>Pv 27.9</w:t>
        </w:r>
      </w:hyperlink>
      <w:r>
        <w:t>).</w:t>
      </w:r>
    </w:p>
    <w:p>
      <w:r/>
      <w:r>
        <w:t>Alguns conselheiros são maus e dão conselhos destinados a enganar as pessoas (</w:t>
      </w:r>
      <w:hyperlink r:id="rId5459">
        <w:r>
          <w:rPr>
            <w:color w:val="0000EE"/>
            <w:u w:val="single"/>
          </w:rPr>
          <w:t>Pv 12.5</w:t>
        </w:r>
      </w:hyperlink>
      <w:r>
        <w:t>).</w:t>
      </w:r>
    </w:p>
    <w:p>
      <w:pPr>
        <w:pStyle w:val="Heading3"/>
      </w:pPr>
      <w:r>
        <w:t>Deus como conselheiro</w:t>
      </w:r>
    </w:p>
    <w:p>
      <w:r/>
      <w:r>
        <w:t>De acordo com a Bíblia, Deus também aconselha. Ele frustra o conselho das nações que se opõem a ele (</w:t>
      </w:r>
      <w:hyperlink r:id="rId5460">
        <w:r>
          <w:rPr>
            <w:color w:val="0000EE"/>
            <w:u w:val="single"/>
          </w:rPr>
          <w:t>Sl 33.10</w:t>
        </w:r>
      </w:hyperlink>
      <w:r>
        <w:t xml:space="preserve">). Mas o próprio conselho de Deus perdura por muitas gerações (v. </w:t>
      </w:r>
      <w:hyperlink r:id="rId5461">
        <w:r>
          <w:rPr>
            <w:color w:val="0000EE"/>
            <w:u w:val="single"/>
          </w:rPr>
          <w:t>11</w:t>
        </w:r>
      </w:hyperlink>
      <w:r>
        <w:t>). Ninguém pode aconselhar o Senhor (</w:t>
      </w:r>
      <w:hyperlink r:id="rId5462">
        <w:r>
          <w:rPr>
            <w:color w:val="0000EE"/>
            <w:u w:val="single"/>
          </w:rPr>
          <w:t>Is 40.13</w:t>
        </w:r>
      </w:hyperlink>
      <w:r>
        <w:t>). Seu líder escolhido, o Messias, é chamado de “Conselheiro Maravilhoso” (</w:t>
      </w:r>
      <w:hyperlink r:id="rId5463">
        <w:r>
          <w:rPr>
            <w:color w:val="0000EE"/>
            <w:u w:val="single"/>
          </w:rPr>
          <w:t>9.6</w:t>
        </w:r>
      </w:hyperlink>
      <w:r>
        <w:t>).</w:t>
      </w:r>
    </w:p>
    <w:p>
      <w:r/>
      <w:r>
        <w:t>De acordo com o Novo Testamento, o Espírito Santo aconselha ou conforta os crentes (</w:t>
      </w:r>
      <w:hyperlink r:id="rId5464">
        <w:r>
          <w:rPr>
            <w:color w:val="0000EE"/>
            <w:u w:val="single"/>
          </w:rPr>
          <w:t>Jo 14.16–17</w:t>
        </w:r>
      </w:hyperlink>
      <w:r>
        <w:t>). Cristo envia o Espírito Santo ao seu povo (</w:t>
      </w:r>
      <w:hyperlink r:id="rId2674">
        <w:r>
          <w:rPr>
            <w:color w:val="0000EE"/>
            <w:u w:val="single"/>
          </w:rPr>
          <w:t>16.7</w:t>
        </w:r>
      </w:hyperlink>
      <w:r>
        <w:t>). O Espírito Santo, também chamado de Espírito da verdade, dá testemunho de Cristo (</w:t>
      </w:r>
      <w:hyperlink r:id="rId3741">
        <w:r>
          <w:rPr>
            <w:color w:val="0000EE"/>
            <w:u w:val="single"/>
          </w:rPr>
          <w:t>15.26</w:t>
        </w:r>
      </w:hyperlink>
      <w:r>
        <w:t xml:space="preserve">). Jesus Cristo, depois que subiu ao céu, é visto como um conselheiro no tribunal celestial de Deus (descrito como um "advogado" em </w:t>
      </w:r>
      <w:hyperlink r:id="rId2684">
        <w:r>
          <w:rPr>
            <w:color w:val="0000EE"/>
            <w:u w:val="single"/>
          </w:rPr>
          <w:t>1Jo 2.1</w:t>
        </w:r>
      </w:hyperlink>
      <w:r>
        <w:t>).</w:t>
      </w:r>
    </w:p>
    <w:p>
      <w:r/>
      <w:r>
        <w:rPr>
          <w:i/>
        </w:rPr>
        <w:t>Veja também</w:t>
      </w:r>
      <w:r>
        <w:t xml:space="preserve"> </w:t>
      </w:r>
      <w:r>
        <w:t>Espírito de Deus</w:t>
      </w:r>
      <w:r>
        <w:t>.</w:t>
      </w:r>
      <w:r/>
      <w:r/>
    </w:p>
    <w:p>
      <w:r/>
    </w:p>
    <w:p>
      <w:pPr>
        <w:pStyle w:val="Heading2"/>
      </w:pPr>
      <w:r>
        <w:t>Conversão</w:t>
      </w:r>
      <w:r/>
    </w:p>
    <w:p>
      <w:r/>
      <w:r>
        <w:t>Mudança total na direção de alguém na vida ou orientação moral. Para os cristãos, isso significa uma mudança de uma orientação que não leva Deus em conta para uma na qual a pessoa está submetida a Cristo. A conversão é o resultado do arrependimento.</w:t>
      </w:r>
    </w:p>
    <w:p>
      <w:r/>
      <w:r>
        <w:t>No AT, conversão é basicamente um retorno ou uma mudança de alguém do antigo caminho da vida em direção ao Senhor, o Deus de Israel. Israel muitas vezes tinha que retornar para seu Deus (</w:t>
      </w:r>
      <w:hyperlink r:id="rId5465">
        <w:r>
          <w:rPr>
            <w:color w:val="0000EE"/>
            <w:u w:val="single"/>
          </w:rPr>
          <w:t>Dt 4.30</w:t>
        </w:r>
      </w:hyperlink>
      <w:r>
        <w:t>), seja como indivíduos (</w:t>
      </w:r>
      <w:hyperlink r:id="rId2603">
        <w:r>
          <w:rPr>
            <w:color w:val="0000EE"/>
            <w:u w:val="single"/>
          </w:rPr>
          <w:t>Sl 51</w:t>
        </w:r>
      </w:hyperlink>
      <w:r>
        <w:t>) ou como uma nação (</w:t>
      </w:r>
      <w:hyperlink r:id="rId138">
        <w:r>
          <w:rPr>
            <w:color w:val="0000EE"/>
            <w:u w:val="single"/>
          </w:rPr>
          <w:t>Jr 4.1</w:t>
        </w:r>
      </w:hyperlink>
      <w:r>
        <w:t>); nações estrangeiras precisavam se voltar para Deus pela primeira vez (</w:t>
      </w:r>
      <w:hyperlink r:id="rId5466">
        <w:r>
          <w:rPr>
            <w:color w:val="0000EE"/>
            <w:u w:val="single"/>
          </w:rPr>
          <w:t>Sl 22.27</w:t>
        </w:r>
      </w:hyperlink>
      <w:r>
        <w:t>). A característica marcante é que alguém se volta da maldade (</w:t>
      </w:r>
      <w:hyperlink r:id="rId5467">
        <w:r>
          <w:rPr>
            <w:color w:val="0000EE"/>
            <w:u w:val="single"/>
          </w:rPr>
          <w:t>Jr 26.3</w:t>
        </w:r>
      </w:hyperlink>
      <w:r>
        <w:t xml:space="preserve">; </w:t>
      </w:r>
      <w:hyperlink r:id="rId5468">
        <w:r>
          <w:rPr>
            <w:color w:val="0000EE"/>
            <w:u w:val="single"/>
          </w:rPr>
          <w:t>36.3</w:t>
        </w:r>
      </w:hyperlink>
      <w:r>
        <w:t xml:space="preserve">; </w:t>
      </w:r>
      <w:hyperlink r:id="rId5469">
        <w:r>
          <w:rPr>
            <w:color w:val="0000EE"/>
            <w:u w:val="single"/>
          </w:rPr>
          <w:t>Ez 18.21, 27</w:t>
        </w:r>
      </w:hyperlink>
      <w:r>
        <w:t xml:space="preserve">; </w:t>
      </w:r>
      <w:hyperlink r:id="rId5470">
        <w:r>
          <w:rPr>
            <w:color w:val="0000EE"/>
            <w:u w:val="single"/>
          </w:rPr>
          <w:t>33.9, 11</w:t>
        </w:r>
      </w:hyperlink>
      <w:r>
        <w:t>), de uma vida de deslealdade a Deus para uma vida de obediência a ele (</w:t>
      </w:r>
      <w:hyperlink r:id="rId5471">
        <w:r>
          <w:rPr>
            <w:color w:val="0000EE"/>
            <w:u w:val="single"/>
          </w:rPr>
          <w:t>Is 10.20–21</w:t>
        </w:r>
      </w:hyperlink>
      <w:r>
        <w:t xml:space="preserve">; </w:t>
      </w:r>
      <w:hyperlink r:id="rId5472">
        <w:r>
          <w:rPr>
            <w:color w:val="0000EE"/>
            <w:u w:val="single"/>
          </w:rPr>
          <w:t>14.2</w:t>
        </w:r>
      </w:hyperlink>
      <w:r>
        <w:t xml:space="preserve">; </w:t>
      </w:r>
      <w:hyperlink r:id="rId5473">
        <w:r>
          <w:rPr>
            <w:color w:val="0000EE"/>
            <w:u w:val="single"/>
          </w:rPr>
          <w:t>Jr 34.15</w:t>
        </w:r>
      </w:hyperlink>
      <w:r>
        <w:t xml:space="preserve">; </w:t>
      </w:r>
      <w:hyperlink r:id="rId5474">
        <w:r>
          <w:rPr>
            <w:color w:val="0000EE"/>
            <w:u w:val="single"/>
          </w:rPr>
          <w:t>Os 14.4</w:t>
        </w:r>
      </w:hyperlink>
      <w:r>
        <w:t>). Conversão significa uma mudança na orientação interior que encontra expressão em um estilo de vida mudado.</w:t>
      </w:r>
    </w:p>
    <w:p>
      <w:r/>
      <w:r>
        <w:t>No NT, João Batista começa o chamado para a conversão (</w:t>
      </w:r>
      <w:hyperlink r:id="rId2606">
        <w:r>
          <w:rPr>
            <w:color w:val="0000EE"/>
            <w:u w:val="single"/>
          </w:rPr>
          <w:t>Mt 3.2</w:t>
        </w:r>
      </w:hyperlink>
      <w:r>
        <w:t xml:space="preserve">; </w:t>
      </w:r>
      <w:hyperlink r:id="rId2607">
        <w:r>
          <w:rPr>
            <w:color w:val="0000EE"/>
            <w:u w:val="single"/>
          </w:rPr>
          <w:t>Mc 1.4</w:t>
        </w:r>
      </w:hyperlink>
      <w:r>
        <w:t xml:space="preserve">; </w:t>
      </w:r>
      <w:hyperlink r:id="rId3191">
        <w:r>
          <w:rPr>
            <w:color w:val="0000EE"/>
            <w:u w:val="single"/>
          </w:rPr>
          <w:t>Lc 3.3</w:t>
        </w:r>
      </w:hyperlink>
      <w:r>
        <w:t>), proferindo um chamado profético para as pessoas mudarem de ideia (que é o significado raiz do termo grego) à luz da proximidade do reino de Deus. Esta mudança de vida deve incluir uma mudança nas ações para provar sua realidade (</w:t>
      </w:r>
      <w:hyperlink r:id="rId5475">
        <w:r>
          <w:rPr>
            <w:color w:val="0000EE"/>
            <w:u w:val="single"/>
          </w:rPr>
          <w:t>Mt 3.8</w:t>
        </w:r>
      </w:hyperlink>
      <w:r>
        <w:t xml:space="preserve">; </w:t>
      </w:r>
      <w:hyperlink r:id="rId5476">
        <w:r>
          <w:rPr>
            <w:color w:val="0000EE"/>
            <w:u w:val="single"/>
          </w:rPr>
          <w:t>Lc 3.8</w:t>
        </w:r>
      </w:hyperlink>
      <w:r>
        <w:t>). Jesus pregou a mesma mensagem (</w:t>
      </w:r>
      <w:hyperlink r:id="rId5477">
        <w:r>
          <w:rPr>
            <w:color w:val="0000EE"/>
            <w:u w:val="single"/>
          </w:rPr>
          <w:t>Mt 4.17</w:t>
        </w:r>
      </w:hyperlink>
      <w:r>
        <w:t xml:space="preserve">; </w:t>
      </w:r>
      <w:hyperlink r:id="rId2608">
        <w:r>
          <w:rPr>
            <w:color w:val="0000EE"/>
            <w:u w:val="single"/>
          </w:rPr>
          <w:t>Mc 1.15</w:t>
        </w:r>
      </w:hyperlink>
      <w:r>
        <w:t>), acrescentando que, uma vez que o reino havia chegado em sua pessoa, a obediência a ele fazia parte das boas novas da conversão. No entanto, isto também poderia ser uma má notícia, pois alguém seria condenado se falhasse em passar por esta mudança radical (</w:t>
      </w:r>
      <w:hyperlink r:id="rId5478">
        <w:r>
          <w:rPr>
            <w:color w:val="0000EE"/>
            <w:u w:val="single"/>
          </w:rPr>
          <w:t>Mt 11.20</w:t>
        </w:r>
      </w:hyperlink>
      <w:r>
        <w:t xml:space="preserve">; </w:t>
      </w:r>
      <w:hyperlink r:id="rId5479">
        <w:r>
          <w:rPr>
            <w:color w:val="0000EE"/>
            <w:u w:val="single"/>
          </w:rPr>
          <w:t>Lc 13.3–5</w:t>
        </w:r>
      </w:hyperlink>
      <w:r>
        <w:t>). A conversão é radical, mas também simples, pois requer a simplicidade de uma criança que compromete todo o seu ser, não a autoproteção do adulto (</w:t>
      </w:r>
      <w:hyperlink r:id="rId5480">
        <w:r>
          <w:rPr>
            <w:color w:val="0000EE"/>
            <w:u w:val="single"/>
          </w:rPr>
          <w:t>Mt 18.3</w:t>
        </w:r>
      </w:hyperlink>
      <w:r>
        <w:t>).</w:t>
      </w:r>
    </w:p>
    <w:p>
      <w:r/>
      <w:r>
        <w:t>Fora dos Evangelhos, “conversão” não é um termo usado com frequência, exceto no livro de Atos, onde forma o chamado para o compromisso presente no clímax dos sermões evangelísticos (</w:t>
      </w:r>
      <w:hyperlink r:id="rId3200">
        <w:r>
          <w:rPr>
            <w:color w:val="0000EE"/>
            <w:u w:val="single"/>
          </w:rPr>
          <w:t>2.38</w:t>
        </w:r>
      </w:hyperlink>
      <w:r>
        <w:t xml:space="preserve">; </w:t>
      </w:r>
      <w:hyperlink r:id="rId5481">
        <w:r>
          <w:rPr>
            <w:color w:val="0000EE"/>
            <w:u w:val="single"/>
          </w:rPr>
          <w:t>3.19</w:t>
        </w:r>
      </w:hyperlink>
      <w:r>
        <w:t xml:space="preserve">; </w:t>
      </w:r>
      <w:hyperlink r:id="rId5482">
        <w:r>
          <w:rPr>
            <w:color w:val="0000EE"/>
            <w:u w:val="single"/>
          </w:rPr>
          <w:t>8.22</w:t>
        </w:r>
      </w:hyperlink>
      <w:r>
        <w:t>), descreve o compromisso dos novos cristãos com o Senhor (</w:t>
      </w:r>
      <w:hyperlink r:id="rId5483">
        <w:r>
          <w:rPr>
            <w:color w:val="0000EE"/>
            <w:u w:val="single"/>
          </w:rPr>
          <w:t>9.35</w:t>
        </w:r>
      </w:hyperlink>
      <w:r>
        <w:t xml:space="preserve">; </w:t>
      </w:r>
      <w:hyperlink r:id="rId5484">
        <w:r>
          <w:rPr>
            <w:color w:val="0000EE"/>
            <w:u w:val="single"/>
          </w:rPr>
          <w:t>11.21</w:t>
        </w:r>
      </w:hyperlink>
      <w:r>
        <w:t>) e retrata a mudança da vida como um retorno das trevas para a luz (</w:t>
      </w:r>
      <w:hyperlink r:id="rId5485">
        <w:r>
          <w:rPr>
            <w:color w:val="0000EE"/>
            <w:u w:val="single"/>
          </w:rPr>
          <w:t>26.18–20</w:t>
        </w:r>
      </w:hyperlink>
      <w:r>
        <w:t>). Escritores posteriores olham para trás para a conversão (</w:t>
      </w:r>
      <w:hyperlink r:id="rId5486">
        <w:r>
          <w:rPr>
            <w:color w:val="0000EE"/>
            <w:u w:val="single"/>
          </w:rPr>
          <w:t>2Co 3.16</w:t>
        </w:r>
      </w:hyperlink>
      <w:r>
        <w:t>), temem que os cristãos se convertam ao paganismo ou ao judaísmo (</w:t>
      </w:r>
      <w:hyperlink r:id="rId5487">
        <w:r>
          <w:rPr>
            <w:color w:val="0000EE"/>
            <w:u w:val="single"/>
          </w:rPr>
          <w:t>Gl 4.9</w:t>
        </w:r>
      </w:hyperlink>
      <w:r>
        <w:t>) e chamam para a reconversão dos cristãos que deixaram a fé e estão em perigo de julgamento (</w:t>
      </w:r>
      <w:hyperlink r:id="rId5488">
        <w:r>
          <w:rPr>
            <w:color w:val="0000EE"/>
            <w:u w:val="single"/>
          </w:rPr>
          <w:t>Tg 5.19–20</w:t>
        </w:r>
      </w:hyperlink>
      <w:r>
        <w:t xml:space="preserve">; </w:t>
      </w:r>
      <w:hyperlink r:id="rId2604">
        <w:r>
          <w:rPr>
            <w:color w:val="0000EE"/>
            <w:u w:val="single"/>
          </w:rPr>
          <w:t>Ap 2.5, 16, 22</w:t>
        </w:r>
      </w:hyperlink>
      <w:r>
        <w:t xml:space="preserve">; </w:t>
      </w:r>
      <w:hyperlink r:id="rId5489">
        <w:r>
          <w:rPr>
            <w:color w:val="0000EE"/>
            <w:u w:val="single"/>
          </w:rPr>
          <w:t>3.19</w:t>
        </w:r>
      </w:hyperlink>
      <w:r>
        <w:t>).</w:t>
      </w:r>
    </w:p>
    <w:p>
      <w:r/>
      <w:r>
        <w:t xml:space="preserve">Como no AT e na pregação de João e Jesus, a conversão tem três fatores. Primeiro, é um desvio </w:t>
      </w:r>
      <w:r>
        <w:rPr>
          <w:i/>
        </w:rPr>
        <w:t>de</w:t>
      </w:r>
      <w:r>
        <w:t xml:space="preserve"> algo, que inclui pecados específicos, falsos deuses ou simplesmente uma vida vivida por si mesmo (</w:t>
      </w:r>
      <w:hyperlink r:id="rId5490">
        <w:r>
          <w:rPr>
            <w:color w:val="0000EE"/>
            <w:u w:val="single"/>
          </w:rPr>
          <w:t>1Ts 1.9</w:t>
        </w:r>
      </w:hyperlink>
      <w:r>
        <w:t xml:space="preserve">; </w:t>
      </w:r>
      <w:hyperlink r:id="rId5491">
        <w:r>
          <w:rPr>
            <w:color w:val="0000EE"/>
            <w:u w:val="single"/>
          </w:rPr>
          <w:t>Ap 9.20–21</w:t>
        </w:r>
      </w:hyperlink>
      <w:r>
        <w:t xml:space="preserve">; </w:t>
      </w:r>
      <w:hyperlink r:id="rId5492">
        <w:r>
          <w:rPr>
            <w:color w:val="0000EE"/>
            <w:u w:val="single"/>
          </w:rPr>
          <w:t>16.11</w:t>
        </w:r>
      </w:hyperlink>
      <w:r>
        <w:t>). Segundo, a conversão é um produto da vontade de Deus e seu trabalho gracioso no mundo (</w:t>
      </w:r>
      <w:hyperlink r:id="rId2602">
        <w:r>
          <w:rPr>
            <w:color w:val="0000EE"/>
            <w:u w:val="single"/>
          </w:rPr>
          <w:t>Atos 11.18</w:t>
        </w:r>
      </w:hyperlink>
      <w:r>
        <w:t xml:space="preserve">; </w:t>
      </w:r>
      <w:hyperlink r:id="rId5493">
        <w:r>
          <w:rPr>
            <w:color w:val="0000EE"/>
            <w:u w:val="single"/>
          </w:rPr>
          <w:t>Rm 2.4</w:t>
        </w:r>
      </w:hyperlink>
      <w:r>
        <w:t xml:space="preserve">; </w:t>
      </w:r>
      <w:hyperlink r:id="rId5494">
        <w:r>
          <w:rPr>
            <w:color w:val="0000EE"/>
            <w:u w:val="single"/>
          </w:rPr>
          <w:t>2Co 7.10</w:t>
        </w:r>
      </w:hyperlink>
      <w:r>
        <w:t xml:space="preserve">; </w:t>
      </w:r>
      <w:hyperlink r:id="rId4631">
        <w:r>
          <w:rPr>
            <w:color w:val="0000EE"/>
            <w:u w:val="single"/>
          </w:rPr>
          <w:t>2Tm 2.25</w:t>
        </w:r>
      </w:hyperlink>
      <w:r>
        <w:t xml:space="preserve">; </w:t>
      </w:r>
      <w:hyperlink r:id="rId5495">
        <w:r>
          <w:rPr>
            <w:color w:val="0000EE"/>
            <w:u w:val="single"/>
          </w:rPr>
          <w:t>2Pe 3.9</w:t>
        </w:r>
      </w:hyperlink>
      <w:r>
        <w:t xml:space="preserve">). Terceiro, a conversão é um retorno </w:t>
      </w:r>
      <w:r>
        <w:rPr>
          <w:i/>
        </w:rPr>
        <w:t>para</w:t>
      </w:r>
      <w:r>
        <w:t xml:space="preserve"> alguém, um compromisso de toda a vida com Deus em Jesus Cristo (</w:t>
      </w:r>
      <w:hyperlink r:id="rId5496">
        <w:r>
          <w:rPr>
            <w:color w:val="0000EE"/>
            <w:u w:val="single"/>
          </w:rPr>
          <w:t>Atos 14.15</w:t>
        </w:r>
      </w:hyperlink>
      <w:r>
        <w:t xml:space="preserve">; </w:t>
      </w:r>
      <w:hyperlink r:id="rId5490">
        <w:r>
          <w:rPr>
            <w:color w:val="0000EE"/>
            <w:u w:val="single"/>
          </w:rPr>
          <w:t>1Ts 1.9</w:t>
        </w:r>
      </w:hyperlink>
      <w:r>
        <w:t xml:space="preserve">; </w:t>
      </w:r>
      <w:hyperlink r:id="rId962">
        <w:r>
          <w:rPr>
            <w:color w:val="0000EE"/>
            <w:u w:val="single"/>
          </w:rPr>
          <w:t>1Pe 2.25</w:t>
        </w:r>
      </w:hyperlink>
      <w:r>
        <w:t>). É, portanto, uma reorientação total, seja surpreendente ou não, repentina ou gradual, emocional ou calma, na qual uma pessoa transfere sua lealdade total a Deus.</w:t>
      </w:r>
    </w:p>
    <w:p>
      <w:r/>
      <w:r>
        <w:rPr>
          <w:i/>
        </w:rPr>
        <w:t>Veja também</w:t>
      </w:r>
      <w:r>
        <w:t xml:space="preserve"> </w:t>
      </w:r>
      <w:r>
        <w:t>Fé</w:t>
      </w:r>
      <w:r>
        <w:t xml:space="preserve">; </w:t>
      </w:r>
      <w:r>
        <w:t>Graça</w:t>
      </w:r>
      <w:r>
        <w:t xml:space="preserve">; </w:t>
      </w:r>
      <w:r>
        <w:t>Justificação, Justificado</w:t>
      </w:r>
      <w:r>
        <w:t xml:space="preserve">; </w:t>
      </w:r>
      <w:r>
        <w:t>Arrependimento</w:t>
      </w:r>
      <w:r>
        <w:t xml:space="preserve">; </w:t>
      </w:r>
      <w:r>
        <w:t>Santificação</w:t>
      </w:r>
      <w:r>
        <w:t>.</w:t>
      </w:r>
      <w:r/>
      <w:r/>
    </w:p>
    <w:p>
      <w:r/>
    </w:p>
    <w:p>
      <w:pPr>
        <w:pStyle w:val="Heading2"/>
      </w:pPr>
      <w:r>
        <w:t>Coorte Augusta</w:t>
      </w:r>
      <w:r/>
    </w:p>
    <w:p>
      <w:r/>
      <w:r>
        <w:t xml:space="preserve">Uma unidade militar romana mencionada em </w:t>
      </w:r>
      <w:hyperlink r:id="rId2833">
        <w:r>
          <w:rPr>
            <w:color w:val="0000EE"/>
            <w:u w:val="single"/>
          </w:rPr>
          <w:t>Atos 27.1 (versão ARC)</w:t>
        </w:r>
      </w:hyperlink>
      <w:r>
        <w:t>. A versão NTLH usa "Batalhão do Imperador" em vez de "Coorte Augusta".</w:t>
      </w:r>
    </w:p>
    <w:p>
      <w:r/>
      <w:r>
        <w:t>Um centurião (um oficial encarregado de cerca de 100 soldados) chamado Júlio era membro da Coorte Augusta. Ele era um comandante responsável pela custódia do apóstolo Paulo a caminho de Roma. A palavra grega traduzida como “coorte” normalmente significava uma unidade militar romana (500 homens) ou uma força de duas unidades.</w:t>
      </w:r>
    </w:p>
    <w:p>
      <w:r/>
      <w:r>
        <w:t>Alguns estudiosos acreditam que Júlio estava no comando daquela unidade. É incomum que um oficial que normalmente comandava uma centúria (100 homens) estivesse no comando de 500 a 1.000 homens. É possível que Júlio não estivesse no comando de toda a unidade. Ou pode ser que não fosse uma coorte regular, mas sim um grupo especial destinado a enviar mensagens ou atuar como guardas.</w:t>
      </w:r>
    </w:p>
    <w:p>
      <w:r/>
      <w:r>
        <w:rPr>
          <w:i/>
        </w:rPr>
        <w:t>Veja também</w:t>
      </w:r>
      <w:r>
        <w:t xml:space="preserve"> </w:t>
      </w:r>
      <w:r>
        <w:t>Guerra</w:t>
      </w:r>
      <w:r>
        <w:t>.</w:t>
      </w:r>
      <w:r/>
      <w:r/>
    </w:p>
    <w:p>
      <w:r/>
    </w:p>
    <w:p>
      <w:pPr>
        <w:pStyle w:val="Heading2"/>
      </w:pPr>
      <w:r>
        <w:t>Copeiro</w:t>
      </w:r>
      <w:r/>
    </w:p>
    <w:p>
      <w:r/>
      <w:r>
        <w:t>Oficial cuja principal função era provar o vinho servido ao rei como precaução contra envenenamento. Copeiros frequentavam as cortes de reis e altos funcionários na antiguidade (</w:t>
      </w:r>
      <w:hyperlink r:id="rId5497">
        <w:r>
          <w:rPr>
            <w:color w:val="0000EE"/>
            <w:u w:val="single"/>
          </w:rPr>
          <w:t>1Rs 10.5</w:t>
        </w:r>
      </w:hyperlink>
      <w:r>
        <w:t>). Esses homens estavam próximos das autoridades e, às vezes, exerciam considerável influência. Geralmente, vários deles serviam ao rei com o “chefe dos copeiros” (mordomo) à frente (</w:t>
      </w:r>
      <w:hyperlink r:id="rId5498">
        <w:r>
          <w:rPr>
            <w:color w:val="0000EE"/>
            <w:u w:val="single"/>
          </w:rPr>
          <w:t>Gn 40.1–23</w:t>
        </w:r>
      </w:hyperlink>
      <w:r>
        <w:t>). A corte de Salomão incluía copeiros (</w:t>
      </w:r>
      <w:hyperlink r:id="rId5499">
        <w:r>
          <w:rPr>
            <w:color w:val="0000EE"/>
            <w:u w:val="single"/>
          </w:rPr>
          <w:t>2Cr 9.4</w:t>
        </w:r>
      </w:hyperlink>
      <w:r>
        <w:t>), e Neemias era o copeiro do rei (</w:t>
      </w:r>
      <w:hyperlink r:id="rId5500">
        <w:r>
          <w:rPr>
            <w:color w:val="0000EE"/>
            <w:u w:val="single"/>
          </w:rPr>
          <w:t>Ne 1.11–2.1</w:t>
        </w:r>
      </w:hyperlink>
      <w:r>
        <w:t>); Rabsaqué pode ter sido um copeiro (</w:t>
      </w:r>
      <w:hyperlink r:id="rId5501">
        <w:r>
          <w:rPr>
            <w:color w:val="0000EE"/>
            <w:u w:val="single"/>
          </w:rPr>
          <w:t>2Rs 18.13–19</w:t>
        </w:r>
      </w:hyperlink>
      <w:r>
        <w:t xml:space="preserve">; </w:t>
      </w:r>
      <w:hyperlink r:id="rId5502">
        <w:r>
          <w:rPr>
            <w:color w:val="0000EE"/>
            <w:u w:val="single"/>
          </w:rPr>
          <w:t>Is 36.2</w:t>
        </w:r>
      </w:hyperlink>
      <w:r>
        <w:t>).</w:t>
      </w:r>
      <w:r/>
      <w:r/>
    </w:p>
    <w:p>
      <w:r/>
    </w:p>
    <w:p>
      <w:pPr>
        <w:pStyle w:val="Heading2"/>
      </w:pPr>
      <w:r>
        <w:t>Cor</w:t>
      </w:r>
      <w:r/>
    </w:p>
    <w:p>
      <w:r/>
      <w:r>
        <w:t>O AT e o NT não têm palavra exata para “cor”, embora a palavra apareça várias vezes em nossas Bíblias em português. As palavras traduzidas como “cor” têm significados bastante diferentes nos idiomas originais.</w:t>
      </w:r>
    </w:p>
    <w:p>
      <w:r/>
      <w:r>
        <w:t>A palavra mais frequentemente traduzida como “cor” na BKJ literalmente significa “olho” e sugere “aparência” (</w:t>
      </w:r>
      <w:hyperlink r:id="rId5503">
        <w:r>
          <w:rPr>
            <w:color w:val="0000EE"/>
            <w:u w:val="single"/>
          </w:rPr>
          <w:t>Lv 13.55</w:t>
        </w:r>
      </w:hyperlink>
      <w:r>
        <w:t xml:space="preserve">; </w:t>
      </w:r>
      <w:hyperlink r:id="rId3286">
        <w:r>
          <w:rPr>
            <w:color w:val="0000EE"/>
            <w:u w:val="single"/>
          </w:rPr>
          <w:t>Nm 11.7</w:t>
        </w:r>
      </w:hyperlink>
      <w:r>
        <w:t xml:space="preserve">; </w:t>
      </w:r>
      <w:hyperlink r:id="rId4082">
        <w:r>
          <w:rPr>
            <w:color w:val="0000EE"/>
            <w:u w:val="single"/>
          </w:rPr>
          <w:t>Pv 23.31</w:t>
        </w:r>
      </w:hyperlink>
      <w:r>
        <w:t xml:space="preserve">; </w:t>
      </w:r>
      <w:hyperlink r:id="rId5504">
        <w:r>
          <w:rPr>
            <w:color w:val="0000EE"/>
            <w:u w:val="single"/>
          </w:rPr>
          <w:t>Ez 1.4,7,16,22,27</w:t>
        </w:r>
      </w:hyperlink>
      <w:r>
        <w:t xml:space="preserve">; </w:t>
      </w:r>
      <w:hyperlink r:id="rId5505">
        <w:r>
          <w:rPr>
            <w:color w:val="0000EE"/>
            <w:u w:val="single"/>
          </w:rPr>
          <w:t>8.2</w:t>
        </w:r>
      </w:hyperlink>
      <w:r>
        <w:t xml:space="preserve">; </w:t>
      </w:r>
      <w:hyperlink r:id="rId5506">
        <w:r>
          <w:rPr>
            <w:color w:val="0000EE"/>
            <w:u w:val="single"/>
          </w:rPr>
          <w:t>10.9</w:t>
        </w:r>
      </w:hyperlink>
      <w:r>
        <w:t xml:space="preserve">; </w:t>
      </w:r>
      <w:hyperlink r:id="rId5507">
        <w:r>
          <w:rPr>
            <w:color w:val="0000EE"/>
            <w:u w:val="single"/>
          </w:rPr>
          <w:t>Dn 10.6</w:t>
        </w:r>
      </w:hyperlink>
      <w:r>
        <w:t xml:space="preserve">). Apenas </w:t>
      </w:r>
      <w:hyperlink r:id="rId5503">
        <w:r>
          <w:rPr>
            <w:color w:val="0000EE"/>
            <w:u w:val="single"/>
          </w:rPr>
          <w:t>Lv 13.55</w:t>
        </w:r>
      </w:hyperlink>
      <w:r>
        <w:t xml:space="preserve"> mantém a tradução “cor” na ARA. Outras palavras traduzidas como “cor” na ARA: se referem à aparência facial (</w:t>
      </w:r>
      <w:hyperlink r:id="rId5508">
        <w:r>
          <w:rPr>
            <w:color w:val="0000EE"/>
            <w:u w:val="single"/>
          </w:rPr>
          <w:t>Dn 5.6–10</w:t>
        </w:r>
      </w:hyperlink>
      <w:r>
        <w:t xml:space="preserve">; </w:t>
      </w:r>
      <w:hyperlink r:id="rId5509">
        <w:r>
          <w:rPr>
            <w:color w:val="0000EE"/>
            <w:u w:val="single"/>
          </w:rPr>
          <w:t>7.28</w:t>
        </w:r>
      </w:hyperlink>
      <w:r>
        <w:t>), tecidos de cores variadas (</w:t>
      </w:r>
      <w:hyperlink r:id="rId5510">
        <w:r>
          <w:rPr>
            <w:color w:val="0000EE"/>
            <w:u w:val="single"/>
          </w:rPr>
          <w:t>Pv 7.16</w:t>
        </w:r>
      </w:hyperlink>
      <w:r>
        <w:t xml:space="preserve">; </w:t>
      </w:r>
      <w:hyperlink r:id="rId5511">
        <w:r>
          <w:rPr>
            <w:color w:val="0000EE"/>
            <w:u w:val="single"/>
          </w:rPr>
          <w:t>Ez 17.3</w:t>
        </w:r>
      </w:hyperlink>
      <w:r>
        <w:t xml:space="preserve">; </w:t>
      </w:r>
      <w:hyperlink r:id="rId5512">
        <w:r>
          <w:rPr>
            <w:color w:val="0000EE"/>
            <w:u w:val="single"/>
          </w:rPr>
          <w:t>27.24</w:t>
        </w:r>
      </w:hyperlink>
      <w:r>
        <w:t>), pedras (</w:t>
      </w:r>
      <w:hyperlink r:id="rId5513">
        <w:r>
          <w:rPr>
            <w:color w:val="0000EE"/>
            <w:u w:val="single"/>
          </w:rPr>
          <w:t>1Cr 29.2</w:t>
        </w:r>
      </w:hyperlink>
      <w:r>
        <w:t>) e couraças (</w:t>
      </w:r>
      <w:hyperlink r:id="rId1734">
        <w:r>
          <w:rPr>
            <w:color w:val="0000EE"/>
            <w:u w:val="single"/>
          </w:rPr>
          <w:t>Ap 9.17</w:t>
        </w:r>
      </w:hyperlink>
      <w:r>
        <w:t>). A “capa de muitas cores” de José (</w:t>
      </w:r>
      <w:hyperlink r:id="rId5514">
        <w:r>
          <w:rPr>
            <w:color w:val="0000EE"/>
            <w:u w:val="single"/>
          </w:rPr>
          <w:t>Gn 37.3</w:t>
        </w:r>
      </w:hyperlink>
      <w:r>
        <w:t>, BKJ) e a “roupa de várias cores” de Tamar (</w:t>
      </w:r>
      <w:hyperlink r:id="rId5515">
        <w:r>
          <w:rPr>
            <w:color w:val="0000EE"/>
            <w:u w:val="single"/>
          </w:rPr>
          <w:t>2Sm 13.18–19</w:t>
        </w:r>
      </w:hyperlink>
      <w:r>
        <w:t>, BKJ) eram túnicas com mangas longas ou com ricos adornos, usadas como um símbolo de posição preferencial.</w:t>
      </w:r>
    </w:p>
    <w:p>
      <w:r/>
      <w:r>
        <w:t xml:space="preserve">No NT, uma palavra que significa “pretensão” é usada arcaicamente em </w:t>
      </w:r>
      <w:hyperlink r:id="rId5516">
        <w:r>
          <w:rPr>
            <w:color w:val="0000EE"/>
            <w:u w:val="single"/>
          </w:rPr>
          <w:t>At 27.30</w:t>
        </w:r>
      </w:hyperlink>
      <w:r>
        <w:t xml:space="preserve"> e foi interpretada como “cor” pelos tradutores da BKJ. Eles também adicionaram a palavra “cor” a </w:t>
      </w:r>
      <w:hyperlink r:id="rId4083">
        <w:r>
          <w:rPr>
            <w:color w:val="0000EE"/>
            <w:u w:val="single"/>
          </w:rPr>
          <w:t>Ap 17.4</w:t>
        </w:r>
      </w:hyperlink>
      <w:r>
        <w:t>, evidentemente para esclarecer o significado.</w:t>
      </w:r>
    </w:p>
    <w:p>
      <w:r/>
      <w:r>
        <w:t>Embora muitas cores sejam mencionadas na Bíblia, as cores não são especialmente destacadas para enfatizar a questão. As cores naturais são raramente mencionadas em descrições. de maneira descritiva. As cores que aparecem com frequência e que são mais criteriosamente diferenciadas são cores fabricadas, especialmente corantes.</w:t>
      </w:r>
    </w:p>
    <w:p>
      <w:pPr>
        <w:pStyle w:val="Heading3"/>
      </w:pPr>
      <w:r>
        <w:t>Cores mencionadas na Bíblia</w:t>
      </w:r>
    </w:p>
    <w:p>
      <w:r/>
      <w:r>
        <w:t>Porque os hebreus percebiam a cor de forma diferente do que fazemos na cultura ocidental, às vezes é difícil traduzir precisamente as várias palavras hebraicas que significam cores. Assim, há muitas vezes uma grande variação nas traduções de tais palavras nas Bíblias em português. Para fornecer uma base para comparação, este artigo seguirá a ARA, exceto onde indicado.</w:t>
      </w:r>
    </w:p>
    <w:p>
      <w:r/>
      <w:r>
        <w:t>As cores mencionadas com mais frequência no AT e NT são as seguintes:</w:t>
      </w:r>
    </w:p>
    <w:p>
      <w:r/>
      <w:r>
        <w:t>“Preto” é a tradução de cinco palavras no AT e uma no NT, expressando vários graus de trevas. As palavras descrevem a cor de cordeiros (</w:t>
      </w:r>
      <w:hyperlink r:id="rId5517">
        <w:r>
          <w:rPr>
            <w:color w:val="0000EE"/>
            <w:u w:val="single"/>
          </w:rPr>
          <w:t>Gn 30.32–33,35,40</w:t>
        </w:r>
      </w:hyperlink>
      <w:r>
        <w:t>), cabelo (</w:t>
      </w:r>
      <w:hyperlink r:id="rId5518">
        <w:r>
          <w:rPr>
            <w:color w:val="0000EE"/>
            <w:u w:val="single"/>
          </w:rPr>
          <w:t>Lv 13.31,37</w:t>
        </w:r>
      </w:hyperlink>
      <w:r>
        <w:t xml:space="preserve">; </w:t>
      </w:r>
      <w:hyperlink r:id="rId5519">
        <w:r>
          <w:rPr>
            <w:color w:val="0000EE"/>
            <w:u w:val="single"/>
          </w:rPr>
          <w:t>Ct 5.11</w:t>
        </w:r>
      </w:hyperlink>
      <w:r>
        <w:t xml:space="preserve">; </w:t>
      </w:r>
      <w:hyperlink r:id="rId3900">
        <w:r>
          <w:rPr>
            <w:color w:val="0000EE"/>
            <w:u w:val="single"/>
          </w:rPr>
          <w:t>Mt 5.36</w:t>
        </w:r>
      </w:hyperlink>
      <w:r>
        <w:t>), pele (</w:t>
      </w:r>
      <w:hyperlink r:id="rId5520">
        <w:r>
          <w:rPr>
            <w:color w:val="0000EE"/>
            <w:u w:val="single"/>
          </w:rPr>
          <w:t>Jó 30.30</w:t>
        </w:r>
      </w:hyperlink>
      <w:r>
        <w:t>), cavalos (</w:t>
      </w:r>
      <w:hyperlink r:id="rId5521">
        <w:r>
          <w:rPr>
            <w:color w:val="0000EE"/>
            <w:u w:val="single"/>
          </w:rPr>
          <w:t>Zc 6.2,6</w:t>
        </w:r>
      </w:hyperlink>
      <w:r>
        <w:t xml:space="preserve">; </w:t>
      </w:r>
      <w:hyperlink r:id="rId2992">
        <w:r>
          <w:rPr>
            <w:color w:val="0000EE"/>
            <w:u w:val="single"/>
          </w:rPr>
          <w:t>Ap 6.5</w:t>
        </w:r>
      </w:hyperlink>
      <w:r>
        <w:t>), o céu (</w:t>
      </w:r>
      <w:hyperlink r:id="rId5522">
        <w:r>
          <w:rPr>
            <w:color w:val="0000EE"/>
            <w:u w:val="single"/>
          </w:rPr>
          <w:t>1Rs 18.45</w:t>
        </w:r>
      </w:hyperlink>
      <w:r>
        <w:t xml:space="preserve">; </w:t>
      </w:r>
      <w:hyperlink r:id="rId5523">
        <w:r>
          <w:rPr>
            <w:color w:val="0000EE"/>
            <w:u w:val="single"/>
          </w:rPr>
          <w:t>Is 50.3</w:t>
        </w:r>
      </w:hyperlink>
      <w:r>
        <w:t xml:space="preserve">; </w:t>
      </w:r>
      <w:hyperlink r:id="rId5524">
        <w:r>
          <w:rPr>
            <w:color w:val="0000EE"/>
            <w:u w:val="single"/>
          </w:rPr>
          <w:t>Jr 4.28</w:t>
        </w:r>
      </w:hyperlink>
      <w:r>
        <w:t>), o dia (</w:t>
      </w:r>
      <w:hyperlink r:id="rId5525">
        <w:r>
          <w:rPr>
            <w:color w:val="0000EE"/>
            <w:u w:val="single"/>
          </w:rPr>
          <w:t>Jó 3.5</w:t>
        </w:r>
      </w:hyperlink>
      <w:r>
        <w:t xml:space="preserve">; </w:t>
      </w:r>
      <w:hyperlink r:id="rId5526">
        <w:r>
          <w:rPr>
            <w:color w:val="0000EE"/>
            <w:u w:val="single"/>
          </w:rPr>
          <w:t>Mq 3.6</w:t>
        </w:r>
      </w:hyperlink>
      <w:r>
        <w:t>), o sol entenebrecido (</w:t>
      </w:r>
      <w:hyperlink r:id="rId5527">
        <w:r>
          <w:rPr>
            <w:color w:val="0000EE"/>
            <w:u w:val="single"/>
          </w:rPr>
          <w:t>Ap 6.12</w:t>
        </w:r>
      </w:hyperlink>
      <w:r>
        <w:t>) e um exército invasor (</w:t>
      </w:r>
      <w:hyperlink r:id="rId5528">
        <w:r>
          <w:rPr>
            <w:color w:val="0000EE"/>
            <w:u w:val="single"/>
          </w:rPr>
          <w:t>Jl 2.2</w:t>
        </w:r>
      </w:hyperlink>
      <w:r>
        <w:t>). A “escuridão” de Jó (</w:t>
      </w:r>
      <w:hyperlink r:id="rId5529">
        <w:r>
          <w:rPr>
            <w:color w:val="0000EE"/>
            <w:u w:val="single"/>
          </w:rPr>
          <w:t>Jó 30.28</w:t>
        </w:r>
      </w:hyperlink>
      <w:r>
        <w:t>) foi entendida como doença ou tristeza.</w:t>
      </w:r>
    </w:p>
    <w:p>
      <w:r/>
      <w:r>
        <w:t>“Azul” provavelmente se refere a um corante azul-púrpura obtido dos moluscos do Mediterrâneo. Uma cor popular, era considerada menos desejável na antiguidade do que o púrpura “real”. Ambos os corantes foram produzidos em Tiro, que, ao mesmo tempo, tinha um monopólio na fabricação de corante azul e púrpura (</w:t>
      </w:r>
      <w:hyperlink r:id="rId1861">
        <w:r>
          <w:rPr>
            <w:color w:val="0000EE"/>
            <w:u w:val="single"/>
          </w:rPr>
          <w:t>2Cr 2.7,14</w:t>
        </w:r>
      </w:hyperlink>
      <w:r>
        <w:t xml:space="preserve">; </w:t>
      </w:r>
      <w:hyperlink r:id="rId5512">
        <w:r>
          <w:rPr>
            <w:color w:val="0000EE"/>
            <w:u w:val="single"/>
          </w:rPr>
          <w:t>Ez 27.24</w:t>
        </w:r>
      </w:hyperlink>
      <w:r>
        <w:t>). Os navios de Tiro tinham toldos de azul e púrpura (</w:t>
      </w:r>
      <w:hyperlink r:id="rId1865">
        <w:r>
          <w:rPr>
            <w:color w:val="0000EE"/>
            <w:u w:val="single"/>
          </w:rPr>
          <w:t>Ez 27.7</w:t>
        </w:r>
      </w:hyperlink>
      <w:r>
        <w:t>). O azul foi usado nos tecidos do tabernáculo (</w:t>
      </w:r>
      <w:hyperlink r:id="rId5530">
        <w:r>
          <w:rPr>
            <w:color w:val="0000EE"/>
            <w:u w:val="single"/>
          </w:rPr>
          <w:t>Êx 26.1</w:t>
        </w:r>
      </w:hyperlink>
      <w:r>
        <w:t xml:space="preserve">; </w:t>
      </w:r>
      <w:hyperlink r:id="rId5531">
        <w:r>
          <w:rPr>
            <w:color w:val="0000EE"/>
            <w:u w:val="single"/>
          </w:rPr>
          <w:t>Nm 4.6–9</w:t>
        </w:r>
      </w:hyperlink>
      <w:r>
        <w:t>), as roupas dos sacerdotes (</w:t>
      </w:r>
      <w:hyperlink r:id="rId1859">
        <w:r>
          <w:rPr>
            <w:color w:val="0000EE"/>
            <w:u w:val="single"/>
          </w:rPr>
          <w:t>Êx 28.5–6</w:t>
        </w:r>
      </w:hyperlink>
      <w:r>
        <w:t>), no templo de Salomão (</w:t>
      </w:r>
      <w:hyperlink r:id="rId1861">
        <w:r>
          <w:rPr>
            <w:color w:val="0000EE"/>
            <w:u w:val="single"/>
          </w:rPr>
          <w:t>2Cr 2.7,14</w:t>
        </w:r>
      </w:hyperlink>
      <w:r>
        <w:t>) e na corte persa (</w:t>
      </w:r>
      <w:hyperlink r:id="rId3105">
        <w:r>
          <w:rPr>
            <w:color w:val="0000EE"/>
            <w:u w:val="single"/>
          </w:rPr>
          <w:t>Et 1.6</w:t>
        </w:r>
      </w:hyperlink>
      <w:r>
        <w:t xml:space="preserve">; </w:t>
      </w:r>
      <w:hyperlink r:id="rId1862">
        <w:r>
          <w:rPr>
            <w:color w:val="0000EE"/>
            <w:u w:val="single"/>
          </w:rPr>
          <w:t>8.15</w:t>
        </w:r>
      </w:hyperlink>
      <w:r>
        <w:t>). Azul não é mencionado no NT.</w:t>
      </w:r>
    </w:p>
    <w:p>
      <w:r/>
      <w:r>
        <w:t>“Carmesim” é a tradução em português de três palavras hebraicas diferentes. Esta cor vermelha de vários tons derivava de certos insetos. A palavra descreve certos tecidos no templo de Salomão (</w:t>
      </w:r>
      <w:hyperlink r:id="rId1861">
        <w:r>
          <w:rPr>
            <w:color w:val="0000EE"/>
            <w:u w:val="single"/>
          </w:rPr>
          <w:t>2Cr 2.7,14</w:t>
        </w:r>
      </w:hyperlink>
      <w:r>
        <w:t xml:space="preserve">; </w:t>
      </w:r>
      <w:hyperlink r:id="rId5532">
        <w:r>
          <w:rPr>
            <w:color w:val="0000EE"/>
            <w:u w:val="single"/>
          </w:rPr>
          <w:t>3.14</w:t>
        </w:r>
      </w:hyperlink>
      <w:r>
        <w:t>) e foi usada figurativamente para descrever o pecado (</w:t>
      </w:r>
      <w:hyperlink r:id="rId1843">
        <w:r>
          <w:rPr>
            <w:color w:val="0000EE"/>
            <w:u w:val="single"/>
          </w:rPr>
          <w:t>Is 1.18</w:t>
        </w:r>
      </w:hyperlink>
      <w:r>
        <w:t>). A palavra traduzida “carmesim” para descrever roupas de Bozra (</w:t>
      </w:r>
      <w:hyperlink r:id="rId3867">
        <w:r>
          <w:rPr>
            <w:color w:val="0000EE"/>
            <w:u w:val="single"/>
          </w:rPr>
          <w:t>63.1</w:t>
        </w:r>
      </w:hyperlink>
      <w:r>
        <w:t>) provavelmente significa “cores vívidas” em vez de um tom específico.</w:t>
      </w:r>
    </w:p>
    <w:p>
      <w:r/>
      <w:r>
        <w:t>“Cinza”, uma cor encontrada apenas no AT, é usada exclusivamente para descrever a velhice — como nos cabelos grisalhos ou de cabeça cinza (</w:t>
      </w:r>
      <w:hyperlink r:id="rId5533">
        <w:r>
          <w:rPr>
            <w:color w:val="0000EE"/>
            <w:u w:val="single"/>
          </w:rPr>
          <w:t>Gn 42.38</w:t>
        </w:r>
      </w:hyperlink>
      <w:r>
        <w:t xml:space="preserve">; </w:t>
      </w:r>
      <w:hyperlink r:id="rId5534">
        <w:r>
          <w:rPr>
            <w:color w:val="0000EE"/>
            <w:u w:val="single"/>
          </w:rPr>
          <w:t>44.29–31</w:t>
        </w:r>
      </w:hyperlink>
      <w:r>
        <w:t xml:space="preserve">; </w:t>
      </w:r>
      <w:hyperlink r:id="rId5535">
        <w:r>
          <w:rPr>
            <w:color w:val="0000EE"/>
            <w:u w:val="single"/>
          </w:rPr>
          <w:t>Dt 32.25</w:t>
        </w:r>
      </w:hyperlink>
      <w:r>
        <w:t xml:space="preserve">; </w:t>
      </w:r>
      <w:hyperlink r:id="rId5536">
        <w:r>
          <w:rPr>
            <w:color w:val="0000EE"/>
            <w:u w:val="single"/>
          </w:rPr>
          <w:t>1Sm 12.2</w:t>
        </w:r>
      </w:hyperlink>
      <w:r>
        <w:t xml:space="preserve">; </w:t>
      </w:r>
      <w:hyperlink r:id="rId5537">
        <w:r>
          <w:rPr>
            <w:color w:val="0000EE"/>
            <w:u w:val="single"/>
          </w:rPr>
          <w:t>1Rs 2.6,9</w:t>
        </w:r>
      </w:hyperlink>
      <w:r>
        <w:t xml:space="preserve">; </w:t>
      </w:r>
      <w:hyperlink r:id="rId5538">
        <w:r>
          <w:rPr>
            <w:color w:val="0000EE"/>
            <w:u w:val="single"/>
          </w:rPr>
          <w:t>Jó 15.10</w:t>
        </w:r>
      </w:hyperlink>
      <w:r>
        <w:t xml:space="preserve">; </w:t>
      </w:r>
      <w:hyperlink r:id="rId5539">
        <w:r>
          <w:rPr>
            <w:color w:val="0000EE"/>
            <w:u w:val="single"/>
          </w:rPr>
          <w:t>Sl 71.18</w:t>
        </w:r>
      </w:hyperlink>
      <w:r>
        <w:t xml:space="preserve">; </w:t>
      </w:r>
      <w:hyperlink r:id="rId5540">
        <w:r>
          <w:rPr>
            <w:color w:val="0000EE"/>
            <w:u w:val="single"/>
          </w:rPr>
          <w:t>Pv 20.29</w:t>
        </w:r>
      </w:hyperlink>
      <w:r>
        <w:t xml:space="preserve">; </w:t>
      </w:r>
      <w:hyperlink r:id="rId5541">
        <w:r>
          <w:rPr>
            <w:color w:val="0000EE"/>
            <w:u w:val="single"/>
          </w:rPr>
          <w:t>Is 46.4</w:t>
        </w:r>
      </w:hyperlink>
      <w:r>
        <w:t xml:space="preserve">; </w:t>
      </w:r>
      <w:hyperlink r:id="rId5542">
        <w:r>
          <w:rPr>
            <w:color w:val="0000EE"/>
            <w:u w:val="single"/>
          </w:rPr>
          <w:t>Os 7.9</w:t>
        </w:r>
      </w:hyperlink>
      <w:r>
        <w:t>). Uma palavra diferente usada para descrever cavalos cinzentos malhados (</w:t>
      </w:r>
      <w:hyperlink r:id="rId5543">
        <w:r>
          <w:rPr>
            <w:color w:val="0000EE"/>
            <w:u w:val="single"/>
          </w:rPr>
          <w:t>Zc 6.3</w:t>
        </w:r>
      </w:hyperlink>
      <w:r>
        <w:t>) provavelmente significa “moteados” ou “salpicados”.</w:t>
      </w:r>
    </w:p>
    <w:p>
      <w:r/>
      <w:r>
        <w:t>“Verde” traduz sete palavras no AT e duas no NT. A maioria das palavras se refere à vegetação e descreve uma condição fresca ou úmida das plantas, em vez de sua cor. Os seguintes itens são descritos como “verdes”: plantas (</w:t>
      </w:r>
      <w:hyperlink r:id="rId5544">
        <w:r>
          <w:rPr>
            <w:color w:val="0000EE"/>
            <w:u w:val="single"/>
          </w:rPr>
          <w:t>Gn 1.30</w:t>
        </w:r>
      </w:hyperlink>
      <w:r>
        <w:t>), árvores (</w:t>
      </w:r>
      <w:hyperlink r:id="rId5545">
        <w:r>
          <w:rPr>
            <w:color w:val="0000EE"/>
            <w:u w:val="single"/>
          </w:rPr>
          <w:t>1Rs 14.23</w:t>
        </w:r>
      </w:hyperlink>
      <w:r>
        <w:t>), ramos (</w:t>
      </w:r>
      <w:hyperlink r:id="rId5546">
        <w:r>
          <w:rPr>
            <w:color w:val="0000EE"/>
            <w:u w:val="single"/>
          </w:rPr>
          <w:t>Jó 15.32</w:t>
        </w:r>
      </w:hyperlink>
      <w:r>
        <w:t>), pastagens (</w:t>
      </w:r>
      <w:hyperlink r:id="rId5547">
        <w:r>
          <w:rPr>
            <w:color w:val="0000EE"/>
            <w:u w:val="single"/>
          </w:rPr>
          <w:t>Sl 23.2</w:t>
        </w:r>
      </w:hyperlink>
      <w:r>
        <w:t xml:space="preserve">; </w:t>
      </w:r>
      <w:hyperlink r:id="rId5548">
        <w:r>
          <w:rPr>
            <w:color w:val="0000EE"/>
            <w:u w:val="single"/>
          </w:rPr>
          <w:t>Jl 2.22</w:t>
        </w:r>
      </w:hyperlink>
      <w:r>
        <w:t>), ervas (</w:t>
      </w:r>
      <w:hyperlink r:id="rId5549">
        <w:r>
          <w:rPr>
            <w:color w:val="0000EE"/>
            <w:u w:val="single"/>
          </w:rPr>
          <w:t>Sl 37.2</w:t>
        </w:r>
      </w:hyperlink>
      <w:r>
        <w:t>), oliveiras (</w:t>
      </w:r>
      <w:hyperlink r:id="rId5550">
        <w:r>
          <w:rPr>
            <w:color w:val="0000EE"/>
            <w:u w:val="single"/>
          </w:rPr>
          <w:t>Sl 52.8</w:t>
        </w:r>
      </w:hyperlink>
      <w:r>
        <w:t xml:space="preserve">; </w:t>
      </w:r>
      <w:hyperlink r:id="rId5551">
        <w:r>
          <w:rPr>
            <w:color w:val="0000EE"/>
            <w:u w:val="single"/>
          </w:rPr>
          <w:t>Jr 11.16</w:t>
        </w:r>
      </w:hyperlink>
      <w:r>
        <w:t>), espinhos (</w:t>
      </w:r>
      <w:hyperlink r:id="rId5552">
        <w:r>
          <w:rPr>
            <w:color w:val="0000EE"/>
            <w:u w:val="single"/>
          </w:rPr>
          <w:t>Sl 58.9</w:t>
        </w:r>
      </w:hyperlink>
      <w:r>
        <w:t>), folhas (</w:t>
      </w:r>
      <w:hyperlink r:id="rId598">
        <w:r>
          <w:rPr>
            <w:color w:val="0000EE"/>
            <w:u w:val="single"/>
          </w:rPr>
          <w:t>Jr 17.8</w:t>
        </w:r>
      </w:hyperlink>
      <w:r>
        <w:t>), relva (</w:t>
      </w:r>
      <w:hyperlink r:id="rId5553">
        <w:r>
          <w:rPr>
            <w:color w:val="0000EE"/>
            <w:u w:val="single"/>
          </w:rPr>
          <w:t>Mc 6.39</w:t>
        </w:r>
      </w:hyperlink>
      <w:r>
        <w:t xml:space="preserve">; </w:t>
      </w:r>
      <w:hyperlink r:id="rId5554">
        <w:r>
          <w:rPr>
            <w:color w:val="0000EE"/>
            <w:u w:val="single"/>
          </w:rPr>
          <w:t>Ap 8.7</w:t>
        </w:r>
      </w:hyperlink>
      <w:r>
        <w:t>) e madeira (</w:t>
      </w:r>
      <w:hyperlink r:id="rId5555">
        <w:r>
          <w:rPr>
            <w:color w:val="0000EE"/>
            <w:u w:val="single"/>
          </w:rPr>
          <w:t>Lc 23.31</w:t>
        </w:r>
      </w:hyperlink>
      <w:r>
        <w:t>). Além de várias plantas, a asa de uma pomba (</w:t>
      </w:r>
      <w:hyperlink r:id="rId5556">
        <w:r>
          <w:rPr>
            <w:color w:val="0000EE"/>
            <w:u w:val="single"/>
          </w:rPr>
          <w:t>Sl 68.13</w:t>
        </w:r>
      </w:hyperlink>
      <w:r>
        <w:t>), um sofá (</w:t>
      </w:r>
      <w:hyperlink r:id="rId5557">
        <w:r>
          <w:rPr>
            <w:color w:val="0000EE"/>
            <w:u w:val="single"/>
          </w:rPr>
          <w:t>Ct 1.16</w:t>
        </w:r>
      </w:hyperlink>
      <w:r>
        <w:t>) e uma pessoa justa (</w:t>
      </w:r>
      <w:hyperlink r:id="rId5558">
        <w:r>
          <w:rPr>
            <w:color w:val="0000EE"/>
            <w:u w:val="single"/>
          </w:rPr>
          <w:t>Sl 92.14</w:t>
        </w:r>
      </w:hyperlink>
      <w:r>
        <w:t>) também são descritos como “verde”. As práticas de adoração idólatra ocorreram sob “toda árvore verde” (</w:t>
      </w:r>
      <w:hyperlink r:id="rId5559">
        <w:r>
          <w:rPr>
            <w:color w:val="0000EE"/>
            <w:u w:val="single"/>
          </w:rPr>
          <w:t>Dt 12.2</w:t>
        </w:r>
      </w:hyperlink>
      <w:r>
        <w:t xml:space="preserve">; </w:t>
      </w:r>
      <w:hyperlink r:id="rId5560">
        <w:r>
          <w:rPr>
            <w:color w:val="0000EE"/>
            <w:u w:val="single"/>
          </w:rPr>
          <w:t>2Rs 16.4</w:t>
        </w:r>
      </w:hyperlink>
      <w:r>
        <w:t xml:space="preserve">; </w:t>
      </w:r>
      <w:hyperlink r:id="rId5561">
        <w:r>
          <w:rPr>
            <w:color w:val="0000EE"/>
            <w:u w:val="single"/>
          </w:rPr>
          <w:t>Is 57.5</w:t>
        </w:r>
      </w:hyperlink>
      <w:r>
        <w:t xml:space="preserve">; </w:t>
      </w:r>
      <w:hyperlink r:id="rId5562">
        <w:r>
          <w:rPr>
            <w:color w:val="0000EE"/>
            <w:u w:val="single"/>
          </w:rPr>
          <w:t>Jr 2.20</w:t>
        </w:r>
      </w:hyperlink>
      <w:r>
        <w:t xml:space="preserve">; </w:t>
      </w:r>
      <w:hyperlink r:id="rId5563">
        <w:r>
          <w:rPr>
            <w:color w:val="0000EE"/>
            <w:u w:val="single"/>
          </w:rPr>
          <w:t>Ez 6.13</w:t>
        </w:r>
      </w:hyperlink>
      <w:r>
        <w:t>), embora a palavra realmente descreva o crescimento exuberante das folhas em vez de sua cor.</w:t>
      </w:r>
    </w:p>
    <w:p>
      <w:r/>
      <w:r>
        <w:t>Outra palavra, “esverdeado”, é derivada de uma das palavras do AT para “verde” e se refere à doença (</w:t>
      </w:r>
      <w:hyperlink r:id="rId5564">
        <w:r>
          <w:rPr>
            <w:color w:val="0000EE"/>
            <w:u w:val="single"/>
          </w:rPr>
          <w:t>Lv 13.49</w:t>
        </w:r>
      </w:hyperlink>
      <w:r>
        <w:t>) e fungo que se forma nas paredes das casas (</w:t>
      </w:r>
      <w:hyperlink r:id="rId5565">
        <w:r>
          <w:rPr>
            <w:color w:val="0000EE"/>
            <w:u w:val="single"/>
          </w:rPr>
          <w:t>14.37</w:t>
        </w:r>
      </w:hyperlink>
      <w:r>
        <w:t>).</w:t>
      </w:r>
    </w:p>
    <w:p>
      <w:r/>
      <w:r>
        <w:t>“Púrpura” era o corante mais altamente valorizado no mundo antigo. Englobando tonalidades que variam do atual púrpura ao vermelho, essas cores eram obtidas dos moluscos das classes de Gastropoda. As primeiras pessoas a usar o corante possivelmente foram os antigos fenícios, cujo nome podem vir de uma palavra grega que significa “vermelho-sangue”. De qualquer forma, os fenícios monopolizaram a indústria púrpura por muitos anos. Alguns tecidos foram descritos como sendo púrpura: aqueles usados no tabernáculo (</w:t>
      </w:r>
      <w:hyperlink r:id="rId1858">
        <w:r>
          <w:rPr>
            <w:color w:val="0000EE"/>
            <w:u w:val="single"/>
          </w:rPr>
          <w:t>Êx 25.4</w:t>
        </w:r>
      </w:hyperlink>
      <w:r>
        <w:t xml:space="preserve">; </w:t>
      </w:r>
      <w:hyperlink r:id="rId5530">
        <w:r>
          <w:rPr>
            <w:color w:val="0000EE"/>
            <w:u w:val="single"/>
          </w:rPr>
          <w:t>26.1</w:t>
        </w:r>
      </w:hyperlink>
      <w:r>
        <w:t>), nas vestes dos sacerdotes (</w:t>
      </w:r>
      <w:hyperlink r:id="rId5566">
        <w:r>
          <w:rPr>
            <w:color w:val="0000EE"/>
            <w:u w:val="single"/>
          </w:rPr>
          <w:t>28.5–8,15,33</w:t>
        </w:r>
      </w:hyperlink>
      <w:r>
        <w:t>), no templo de Salomão (</w:t>
      </w:r>
      <w:hyperlink r:id="rId1861">
        <w:r>
          <w:rPr>
            <w:color w:val="0000EE"/>
            <w:u w:val="single"/>
          </w:rPr>
          <w:t>2Cr 2.7</w:t>
        </w:r>
      </w:hyperlink>
      <w:r>
        <w:t>), no estofamento da carruagem de Salomão (</w:t>
      </w:r>
      <w:hyperlink r:id="rId1864">
        <w:r>
          <w:rPr>
            <w:color w:val="0000EE"/>
            <w:u w:val="single"/>
          </w:rPr>
          <w:t>Ct 3.10</w:t>
        </w:r>
      </w:hyperlink>
      <w:r>
        <w:t>) e nas decorações da corte persa (</w:t>
      </w:r>
      <w:hyperlink r:id="rId3105">
        <w:r>
          <w:rPr>
            <w:color w:val="0000EE"/>
            <w:u w:val="single"/>
          </w:rPr>
          <w:t>Et 1.6</w:t>
        </w:r>
      </w:hyperlink>
      <w:r>
        <w:t>). Púrpura era costumeiramente usada por pessoas abastadas financeiramente e pessoas de ascendência real (</w:t>
      </w:r>
      <w:hyperlink r:id="rId5567">
        <w:r>
          <w:rPr>
            <w:color w:val="0000EE"/>
            <w:u w:val="single"/>
          </w:rPr>
          <w:t>Jz 8.26</w:t>
        </w:r>
      </w:hyperlink>
      <w:r>
        <w:t xml:space="preserve">; </w:t>
      </w:r>
      <w:hyperlink r:id="rId1863">
        <w:r>
          <w:rPr>
            <w:color w:val="0000EE"/>
            <w:u w:val="single"/>
          </w:rPr>
          <w:t>Pv 31.22</w:t>
        </w:r>
      </w:hyperlink>
      <w:r>
        <w:t xml:space="preserve">; </w:t>
      </w:r>
      <w:hyperlink r:id="rId1866">
        <w:r>
          <w:rPr>
            <w:color w:val="0000EE"/>
            <w:u w:val="single"/>
          </w:rPr>
          <w:t>Dn 5.7</w:t>
        </w:r>
      </w:hyperlink>
      <w:r>
        <w:t>). Mordecai foi recompensado com uma roupa de púrpura (</w:t>
      </w:r>
      <w:hyperlink r:id="rId1862">
        <w:r>
          <w:rPr>
            <w:color w:val="0000EE"/>
            <w:u w:val="single"/>
          </w:rPr>
          <w:t>Et 8.15</w:t>
        </w:r>
      </w:hyperlink>
      <w:r>
        <w:t>). Daniel recebeu uma roupa semelhante (</w:t>
      </w:r>
      <w:hyperlink r:id="rId5568">
        <w:r>
          <w:rPr>
            <w:color w:val="0000EE"/>
            <w:u w:val="single"/>
          </w:rPr>
          <w:t>Dn 5.29</w:t>
        </w:r>
      </w:hyperlink>
      <w:r>
        <w:t>). Era usada por soldados Assírios (</w:t>
      </w:r>
      <w:hyperlink r:id="rId5569">
        <w:r>
          <w:rPr>
            <w:color w:val="0000EE"/>
            <w:u w:val="single"/>
          </w:rPr>
          <w:t>Ez 23.6</w:t>
        </w:r>
      </w:hyperlink>
      <w:r>
        <w:t>). Jeremias descreveu ídolos que foram vestidos de vestes azuis e púrpura (</w:t>
      </w:r>
      <w:hyperlink r:id="rId5570">
        <w:r>
          <w:rPr>
            <w:color w:val="0000EE"/>
            <w:u w:val="single"/>
          </w:rPr>
          <w:t>Jr 10.9</w:t>
        </w:r>
      </w:hyperlink>
      <w:r>
        <w:t>). Os navios de Tiro tinham toldos de azul e púrpura (</w:t>
      </w:r>
      <w:hyperlink r:id="rId1865">
        <w:r>
          <w:rPr>
            <w:color w:val="0000EE"/>
            <w:u w:val="single"/>
          </w:rPr>
          <w:t>Ez 27.7</w:t>
        </w:r>
      </w:hyperlink>
      <w:r>
        <w:t xml:space="preserve">), e o corante púrpura era um item de comércio entre Tiro e o povo de Arã (v. </w:t>
      </w:r>
      <w:hyperlink r:id="rId1573">
        <w:r>
          <w:rPr>
            <w:color w:val="0000EE"/>
            <w:u w:val="single"/>
          </w:rPr>
          <w:t>16</w:t>
        </w:r>
      </w:hyperlink>
      <w:r>
        <w:t>). É usado uma vez para descrever a cor do cabelo (</w:t>
      </w:r>
      <w:hyperlink r:id="rId5571">
        <w:r>
          <w:rPr>
            <w:color w:val="0000EE"/>
            <w:u w:val="single"/>
          </w:rPr>
          <w:t>Ct 7.5</w:t>
        </w:r>
      </w:hyperlink>
      <w:r>
        <w:t>).</w:t>
      </w:r>
    </w:p>
    <w:p>
      <w:r/>
      <w:r>
        <w:t>As referências a púrpura no NT são menos frequentes do que no AT, mas afirmam a importância econômica contínua do corante. As roupas púrpuras denotavam riqueza (</w:t>
      </w:r>
      <w:hyperlink r:id="rId5572">
        <w:r>
          <w:rPr>
            <w:color w:val="0000EE"/>
            <w:u w:val="single"/>
          </w:rPr>
          <w:t>Lc 16.19</w:t>
        </w:r>
      </w:hyperlink>
      <w:r>
        <w:t>). Jesus foi vestido de púrpura por soldados romanos (</w:t>
      </w:r>
      <w:hyperlink r:id="rId5573">
        <w:r>
          <w:rPr>
            <w:color w:val="0000EE"/>
            <w:u w:val="single"/>
          </w:rPr>
          <w:t>Mc 15.17,20</w:t>
        </w:r>
      </w:hyperlink>
      <w:r>
        <w:t xml:space="preserve">; </w:t>
      </w:r>
      <w:hyperlink r:id="rId5574">
        <w:r>
          <w:rPr>
            <w:color w:val="0000EE"/>
            <w:u w:val="single"/>
          </w:rPr>
          <w:t>Jo 19.2,5</w:t>
        </w:r>
      </w:hyperlink>
      <w:r>
        <w:t xml:space="preserve">; cf. </w:t>
      </w:r>
      <w:hyperlink r:id="rId5575">
        <w:r>
          <w:rPr>
            <w:color w:val="0000EE"/>
            <w:u w:val="single"/>
          </w:rPr>
          <w:t>Mt 27.28</w:t>
        </w:r>
      </w:hyperlink>
      <w:r>
        <w:t>, “escarlate”). A roupa púrpura e escarlate da prostituta Babilônia simbolizava a posição real (</w:t>
      </w:r>
      <w:hyperlink r:id="rId4083">
        <w:r>
          <w:rPr>
            <w:color w:val="0000EE"/>
            <w:u w:val="single"/>
          </w:rPr>
          <w:t>Ap 17.4</w:t>
        </w:r>
      </w:hyperlink>
      <w:r>
        <w:t>). Lídia de Tiatira era uma vendedora de tecidos de púrpura (</w:t>
      </w:r>
      <w:hyperlink r:id="rId1857">
        <w:r>
          <w:rPr>
            <w:color w:val="0000EE"/>
            <w:u w:val="single"/>
          </w:rPr>
          <w:t>At 16.14</w:t>
        </w:r>
      </w:hyperlink>
      <w:r>
        <w:t>).</w:t>
      </w:r>
    </w:p>
    <w:p>
      <w:r/>
      <w:r>
        <w:t>“Vermelho” frequentemente se refere à cor natural de certos objetos mencionados na Bíblia: pele (</w:t>
      </w:r>
      <w:hyperlink r:id="rId5576">
        <w:r>
          <w:rPr>
            <w:color w:val="0000EE"/>
            <w:u w:val="single"/>
          </w:rPr>
          <w:t>Gn 25.25</w:t>
        </w:r>
      </w:hyperlink>
      <w:r>
        <w:t xml:space="preserve">), guisado </w:t>
      </w:r>
      <w:hyperlink r:id="rId5521">
        <w:r>
          <w:rPr>
            <w:color w:val="0000EE"/>
            <w:u w:val="single"/>
          </w:rPr>
          <w:t>(v.</w:t>
        </w:r>
      </w:hyperlink>
      <w:r>
        <w:t xml:space="preserve"> </w:t>
      </w:r>
      <w:hyperlink r:id="rId5577">
        <w:r>
          <w:rPr>
            <w:color w:val="0000EE"/>
            <w:u w:val="single"/>
          </w:rPr>
          <w:t>30</w:t>
        </w:r>
      </w:hyperlink>
      <w:r>
        <w:t>), o olho (</w:t>
      </w:r>
      <w:hyperlink r:id="rId5578">
        <w:r>
          <w:rPr>
            <w:color w:val="0000EE"/>
            <w:u w:val="single"/>
          </w:rPr>
          <w:t>49.12</w:t>
        </w:r>
      </w:hyperlink>
      <w:r>
        <w:t>, embora a palavra usada aqui possa significar “cintilante” ou “trevas”), uma novilha sacrificial (</w:t>
      </w:r>
      <w:hyperlink r:id="rId5579">
        <w:r>
          <w:rPr>
            <w:color w:val="0000EE"/>
            <w:u w:val="single"/>
          </w:rPr>
          <w:t>Nm 19.2</w:t>
        </w:r>
      </w:hyperlink>
      <w:r>
        <w:t>), água (</w:t>
      </w:r>
      <w:hyperlink r:id="rId5580">
        <w:r>
          <w:rPr>
            <w:color w:val="0000EE"/>
            <w:u w:val="single"/>
          </w:rPr>
          <w:t>2Rs 3.22</w:t>
        </w:r>
      </w:hyperlink>
      <w:r>
        <w:t>), o rosto daquele que chora (</w:t>
      </w:r>
      <w:hyperlink r:id="rId5581">
        <w:r>
          <w:rPr>
            <w:color w:val="0000EE"/>
            <w:u w:val="single"/>
          </w:rPr>
          <w:t>Jó 16.16</w:t>
        </w:r>
      </w:hyperlink>
      <w:r>
        <w:t>), vinho (</w:t>
      </w:r>
      <w:hyperlink r:id="rId4082">
        <w:r>
          <w:rPr>
            <w:color w:val="0000EE"/>
            <w:u w:val="single"/>
          </w:rPr>
          <w:t>Pv 23.31</w:t>
        </w:r>
      </w:hyperlink>
      <w:r>
        <w:t xml:space="preserve">), os olhos daquele que bebe vinho (v. </w:t>
      </w:r>
      <w:hyperlink r:id="rId5582">
        <w:r>
          <w:rPr>
            <w:color w:val="0000EE"/>
            <w:u w:val="single"/>
          </w:rPr>
          <w:t>29</w:t>
        </w:r>
      </w:hyperlink>
      <w:r>
        <w:t>), roupas (</w:t>
      </w:r>
      <w:hyperlink r:id="rId5583">
        <w:r>
          <w:rPr>
            <w:color w:val="0000EE"/>
            <w:u w:val="single"/>
          </w:rPr>
          <w:t>Is 63.2</w:t>
        </w:r>
      </w:hyperlink>
      <w:r>
        <w:t>), um escudo (</w:t>
      </w:r>
      <w:hyperlink r:id="rId5584">
        <w:r>
          <w:rPr>
            <w:color w:val="0000EE"/>
            <w:u w:val="single"/>
          </w:rPr>
          <w:t>Na 2.3</w:t>
        </w:r>
      </w:hyperlink>
      <w:r>
        <w:t>) e cavalos (</w:t>
      </w:r>
      <w:hyperlink r:id="rId1731">
        <w:r>
          <w:rPr>
            <w:color w:val="0000EE"/>
            <w:u w:val="single"/>
          </w:rPr>
          <w:t>Zc 1.8; 6.2</w:t>
        </w:r>
      </w:hyperlink>
      <w:r>
        <w:t>). É usado figurativamente para descrever o pecado (</w:t>
      </w:r>
      <w:hyperlink r:id="rId1843">
        <w:r>
          <w:rPr>
            <w:color w:val="0000EE"/>
            <w:u w:val="single"/>
          </w:rPr>
          <w:t>Is 1.18</w:t>
        </w:r>
      </w:hyperlink>
      <w:r>
        <w:t>). Uma doença leprosa (</w:t>
      </w:r>
      <w:hyperlink r:id="rId5564">
        <w:r>
          <w:rPr>
            <w:color w:val="0000EE"/>
            <w:u w:val="single"/>
          </w:rPr>
          <w:t>Lv 13.49</w:t>
        </w:r>
      </w:hyperlink>
      <w:r>
        <w:t xml:space="preserve">), uma mancha na pele (vv. </w:t>
      </w:r>
      <w:hyperlink r:id="rId5585">
        <w:r>
          <w:rPr>
            <w:color w:val="0000EE"/>
            <w:u w:val="single"/>
          </w:rPr>
          <w:t>19, 24, 42–43</w:t>
        </w:r>
      </w:hyperlink>
      <w:r>
        <w:t>) e fungo na parede de uma casa (</w:t>
      </w:r>
      <w:hyperlink r:id="rId5565">
        <w:r>
          <w:rPr>
            <w:color w:val="0000EE"/>
            <w:u w:val="single"/>
          </w:rPr>
          <w:t>14.37</w:t>
        </w:r>
      </w:hyperlink>
      <w:r>
        <w:t>) estavam descoloridos com um tom avermelhado. O Mar Vermelho é mencionado frequentemente no AT (</w:t>
      </w:r>
      <w:hyperlink r:id="rId5586">
        <w:r>
          <w:rPr>
            <w:color w:val="0000EE"/>
            <w:u w:val="single"/>
          </w:rPr>
          <w:t>Êx 10.19</w:t>
        </w:r>
      </w:hyperlink>
      <w:r>
        <w:t xml:space="preserve">; </w:t>
      </w:r>
      <w:hyperlink r:id="rId5587">
        <w:r>
          <w:rPr>
            <w:color w:val="0000EE"/>
            <w:u w:val="single"/>
          </w:rPr>
          <w:t>15.4</w:t>
        </w:r>
      </w:hyperlink>
      <w:r>
        <w:t>), mas as palavras hebraicas assim traduzidas realmente significam “Mar de Juncos”. No entanto, no NT, a palavra grega é, na verdade, a palavra “vermelho” (</w:t>
      </w:r>
      <w:hyperlink r:id="rId5588">
        <w:r>
          <w:rPr>
            <w:color w:val="0000EE"/>
            <w:u w:val="single"/>
          </w:rPr>
          <w:t>At 7.36</w:t>
        </w:r>
      </w:hyperlink>
      <w:r>
        <w:t xml:space="preserve">; </w:t>
      </w:r>
      <w:hyperlink r:id="rId5589">
        <w:r>
          <w:rPr>
            <w:color w:val="0000EE"/>
            <w:u w:val="single"/>
          </w:rPr>
          <w:t>Hb 11.29</w:t>
        </w:r>
      </w:hyperlink>
      <w:r>
        <w:t>). No NT, o vermelho é usado para descrever a cor do céu (</w:t>
      </w:r>
      <w:hyperlink r:id="rId5590">
        <w:r>
          <w:rPr>
            <w:color w:val="0000EE"/>
            <w:u w:val="single"/>
          </w:rPr>
          <w:t>Mt 16.2–3</w:t>
        </w:r>
      </w:hyperlink>
      <w:r>
        <w:t>), um cavalo (</w:t>
      </w:r>
      <w:hyperlink r:id="rId5591">
        <w:r>
          <w:rPr>
            <w:color w:val="0000EE"/>
            <w:u w:val="single"/>
          </w:rPr>
          <w:t>Ap 6.4</w:t>
        </w:r>
      </w:hyperlink>
      <w:r>
        <w:t>) e um dragão (</w:t>
      </w:r>
      <w:hyperlink r:id="rId3912">
        <w:r>
          <w:rPr>
            <w:color w:val="0000EE"/>
            <w:u w:val="single"/>
          </w:rPr>
          <w:t>12.3</w:t>
        </w:r>
      </w:hyperlink>
      <w:r>
        <w:t>).</w:t>
      </w:r>
    </w:p>
    <w:p>
      <w:r/>
      <w:r>
        <w:t>“Escarlate”, uma tonalidade vermelha brilhante derivada de certos insetos, era usada para tecidos e fios e era altamente valorizada no mundo antigo (</w:t>
      </w:r>
      <w:hyperlink r:id="rId5592">
        <w:r>
          <w:rPr>
            <w:color w:val="0000EE"/>
            <w:u w:val="single"/>
          </w:rPr>
          <w:t>Ap 18.12</w:t>
        </w:r>
      </w:hyperlink>
      <w:r>
        <w:t>). É difícil distinguir entre “escarlate” e “carmesim” na Bíblia. Um fio escarlate estava ligado à mão de Zerá no nascimento (</w:t>
      </w:r>
      <w:hyperlink r:id="rId5593">
        <w:r>
          <w:rPr>
            <w:color w:val="0000EE"/>
            <w:u w:val="single"/>
          </w:rPr>
          <w:t>Gn 38.28,30</w:t>
        </w:r>
      </w:hyperlink>
      <w:r>
        <w:t>). A palavra descreve certos tecidos no tabernáculo (</w:t>
      </w:r>
      <w:hyperlink r:id="rId1858">
        <w:r>
          <w:rPr>
            <w:color w:val="0000EE"/>
            <w:u w:val="single"/>
          </w:rPr>
          <w:t>Êx 25.4</w:t>
        </w:r>
      </w:hyperlink>
      <w:r>
        <w:t xml:space="preserve">; </w:t>
      </w:r>
      <w:hyperlink r:id="rId5530">
        <w:r>
          <w:rPr>
            <w:color w:val="0000EE"/>
            <w:u w:val="single"/>
          </w:rPr>
          <w:t>26.1,31,36</w:t>
        </w:r>
      </w:hyperlink>
      <w:r>
        <w:t xml:space="preserve">; </w:t>
      </w:r>
      <w:hyperlink r:id="rId3858">
        <w:r>
          <w:rPr>
            <w:color w:val="0000EE"/>
            <w:u w:val="single"/>
          </w:rPr>
          <w:t>27.16</w:t>
        </w:r>
      </w:hyperlink>
      <w:r>
        <w:t>), as roupas dos sacerdotes (</w:t>
      </w:r>
      <w:hyperlink r:id="rId5566">
        <w:r>
          <w:rPr>
            <w:color w:val="0000EE"/>
            <w:u w:val="single"/>
          </w:rPr>
          <w:t>28.5–8,15,33</w:t>
        </w:r>
      </w:hyperlink>
      <w:r>
        <w:t>), corda (</w:t>
      </w:r>
      <w:hyperlink r:id="rId5594">
        <w:r>
          <w:rPr>
            <w:color w:val="0000EE"/>
            <w:u w:val="single"/>
          </w:rPr>
          <w:t>Js 2.18,21</w:t>
        </w:r>
      </w:hyperlink>
      <w:r>
        <w:t>), roupas (</w:t>
      </w:r>
      <w:hyperlink r:id="rId5595">
        <w:r>
          <w:rPr>
            <w:color w:val="0000EE"/>
            <w:u w:val="single"/>
          </w:rPr>
          <w:t>2Sm 1.24</w:t>
        </w:r>
      </w:hyperlink>
      <w:r>
        <w:t xml:space="preserve">; </w:t>
      </w:r>
      <w:hyperlink r:id="rId5596">
        <w:r>
          <w:rPr>
            <w:color w:val="0000EE"/>
            <w:u w:val="single"/>
          </w:rPr>
          <w:t>Pv 31.21</w:t>
        </w:r>
      </w:hyperlink>
      <w:r>
        <w:t xml:space="preserve">; </w:t>
      </w:r>
      <w:hyperlink r:id="rId5597">
        <w:r>
          <w:rPr>
            <w:color w:val="0000EE"/>
            <w:u w:val="single"/>
          </w:rPr>
          <w:t>Jr 4.30</w:t>
        </w:r>
      </w:hyperlink>
      <w:r>
        <w:t>), lábios (</w:t>
      </w:r>
      <w:hyperlink r:id="rId4589">
        <w:r>
          <w:rPr>
            <w:color w:val="0000EE"/>
            <w:u w:val="single"/>
          </w:rPr>
          <w:t>Ct 4.3</w:t>
        </w:r>
      </w:hyperlink>
      <w:r>
        <w:t>) e uniformes dos soldados (</w:t>
      </w:r>
      <w:hyperlink r:id="rId5584">
        <w:r>
          <w:rPr>
            <w:color w:val="0000EE"/>
            <w:u w:val="single"/>
          </w:rPr>
          <w:t>Na 2.3</w:t>
        </w:r>
      </w:hyperlink>
      <w:r>
        <w:t>). Algum tipo de material escarlate foi usado durante a ratificação da aliança no Sinai (</w:t>
      </w:r>
      <w:hyperlink r:id="rId5598">
        <w:r>
          <w:rPr>
            <w:color w:val="0000EE"/>
            <w:u w:val="single"/>
          </w:rPr>
          <w:t>Hb 9.19</w:t>
        </w:r>
      </w:hyperlink>
      <w:r>
        <w:t>), para a purificação de um leproso (</w:t>
      </w:r>
      <w:hyperlink r:id="rId5599">
        <w:r>
          <w:rPr>
            <w:color w:val="0000EE"/>
            <w:u w:val="single"/>
          </w:rPr>
          <w:t>Lv 14.4–6</w:t>
        </w:r>
      </w:hyperlink>
      <w:r>
        <w:t xml:space="preserve">) e de uma casa (vv. </w:t>
      </w:r>
      <w:hyperlink r:id="rId5600">
        <w:r>
          <w:rPr>
            <w:color w:val="0000EE"/>
            <w:u w:val="single"/>
          </w:rPr>
          <w:t>49–52</w:t>
        </w:r>
      </w:hyperlink>
      <w:r>
        <w:t>), para cobrir os artigos na mesa do pão da Presença (</w:t>
      </w:r>
      <w:hyperlink r:id="rId5601">
        <w:r>
          <w:rPr>
            <w:color w:val="0000EE"/>
            <w:u w:val="single"/>
          </w:rPr>
          <w:t>Nm 4.8</w:t>
        </w:r>
      </w:hyperlink>
      <w:r>
        <w:t>) e para o ritual da novilha vermelha (</w:t>
      </w:r>
      <w:hyperlink r:id="rId5602">
        <w:r>
          <w:rPr>
            <w:color w:val="0000EE"/>
            <w:u w:val="single"/>
          </w:rPr>
          <w:t>19.6</w:t>
        </w:r>
      </w:hyperlink>
      <w:r>
        <w:t>). Mateus descreveu o manto de Jesus em seu julgamento como escarlate (</w:t>
      </w:r>
      <w:hyperlink r:id="rId5575">
        <w:r>
          <w:rPr>
            <w:color w:val="0000EE"/>
            <w:u w:val="single"/>
          </w:rPr>
          <w:t>Mt 27.28</w:t>
        </w:r>
      </w:hyperlink>
      <w:r>
        <w:t xml:space="preserve">). A mulher de </w:t>
      </w:r>
      <w:hyperlink r:id="rId5603">
        <w:r>
          <w:rPr>
            <w:color w:val="0000EE"/>
            <w:u w:val="single"/>
          </w:rPr>
          <w:t>Ap 17.3–4</w:t>
        </w:r>
      </w:hyperlink>
      <w:r>
        <w:t xml:space="preserve"> estava vestida de púrpura e escarlate e sentada sobre uma besta escarlate. O luxo associado a Roma é sugerido pela descrição de roupas de púrpura e escarlate (</w:t>
      </w:r>
      <w:hyperlink r:id="rId5604">
        <w:r>
          <w:rPr>
            <w:color w:val="0000EE"/>
            <w:u w:val="single"/>
          </w:rPr>
          <w:t>Ap 18.16</w:t>
        </w:r>
      </w:hyperlink>
      <w:r>
        <w:t>). Escarlate, como carmesim e vermelho, também é usado figurativamente como pecados (</w:t>
      </w:r>
      <w:hyperlink r:id="rId1843">
        <w:r>
          <w:rPr>
            <w:color w:val="0000EE"/>
            <w:u w:val="single"/>
          </w:rPr>
          <w:t>Is 1.18</w:t>
        </w:r>
      </w:hyperlink>
      <w:r>
        <w:t>).</w:t>
      </w:r>
    </w:p>
    <w:p>
      <w:r/>
      <w:r>
        <w:t>“Branco” traduz uma série de palavras encontradas na Bíblia. É geralmente a cor de objetos naturais, como cabras (</w:t>
      </w:r>
      <w:hyperlink r:id="rId5605">
        <w:r>
          <w:rPr>
            <w:color w:val="0000EE"/>
            <w:u w:val="single"/>
          </w:rPr>
          <w:t>Gn 30.35</w:t>
        </w:r>
      </w:hyperlink>
      <w:r>
        <w:t>), cabelo (</w:t>
      </w:r>
      <w:hyperlink r:id="rId5606">
        <w:r>
          <w:rPr>
            <w:color w:val="0000EE"/>
            <w:u w:val="single"/>
          </w:rPr>
          <w:t>Lv 13.10</w:t>
        </w:r>
      </w:hyperlink>
      <w:r>
        <w:t xml:space="preserve">; </w:t>
      </w:r>
      <w:hyperlink r:id="rId3900">
        <w:r>
          <w:rPr>
            <w:color w:val="0000EE"/>
            <w:u w:val="single"/>
          </w:rPr>
          <w:t>Mt 5.36</w:t>
        </w:r>
      </w:hyperlink>
      <w:r>
        <w:t xml:space="preserve">; </w:t>
      </w:r>
      <w:hyperlink r:id="rId1845">
        <w:r>
          <w:rPr>
            <w:color w:val="0000EE"/>
            <w:u w:val="single"/>
          </w:rPr>
          <w:t>Ap 1.14</w:t>
        </w:r>
      </w:hyperlink>
      <w:r>
        <w:t>), pele doente (</w:t>
      </w:r>
      <w:hyperlink r:id="rId5607">
        <w:r>
          <w:rPr>
            <w:color w:val="0000EE"/>
            <w:u w:val="single"/>
          </w:rPr>
          <w:t>Êx 4.6</w:t>
        </w:r>
      </w:hyperlink>
      <w:r>
        <w:t xml:space="preserve">; </w:t>
      </w:r>
      <w:hyperlink r:id="rId5608">
        <w:r>
          <w:rPr>
            <w:color w:val="0000EE"/>
            <w:u w:val="single"/>
          </w:rPr>
          <w:t>Lv 13.4,17</w:t>
        </w:r>
      </w:hyperlink>
      <w:r>
        <w:t>), maná (</w:t>
      </w:r>
      <w:hyperlink r:id="rId5101">
        <w:r>
          <w:rPr>
            <w:color w:val="0000EE"/>
            <w:u w:val="single"/>
          </w:rPr>
          <w:t>Êx 16.31</w:t>
        </w:r>
      </w:hyperlink>
      <w:r>
        <w:t>), neve (</w:t>
      </w:r>
      <w:hyperlink r:id="rId5609">
        <w:r>
          <w:rPr>
            <w:color w:val="0000EE"/>
            <w:u w:val="single"/>
          </w:rPr>
          <w:t>2Rs 5.27</w:t>
        </w:r>
      </w:hyperlink>
      <w:r>
        <w:t>), leite e dentes (</w:t>
      </w:r>
      <w:hyperlink r:id="rId5578">
        <w:r>
          <w:rPr>
            <w:color w:val="0000EE"/>
            <w:u w:val="single"/>
          </w:rPr>
          <w:t>Gn 49.12</w:t>
        </w:r>
      </w:hyperlink>
      <w:r>
        <w:t>), cavalos (</w:t>
      </w:r>
      <w:hyperlink r:id="rId1731">
        <w:r>
          <w:rPr>
            <w:color w:val="0000EE"/>
            <w:u w:val="single"/>
          </w:rPr>
          <w:t>Zc 1.8</w:t>
        </w:r>
      </w:hyperlink>
      <w:r>
        <w:t xml:space="preserve">; </w:t>
      </w:r>
      <w:hyperlink r:id="rId5543">
        <w:r>
          <w:rPr>
            <w:color w:val="0000EE"/>
            <w:u w:val="single"/>
          </w:rPr>
          <w:t>6.3</w:t>
        </w:r>
      </w:hyperlink>
      <w:r>
        <w:t xml:space="preserve">; </w:t>
      </w:r>
      <w:hyperlink r:id="rId5610">
        <w:r>
          <w:rPr>
            <w:color w:val="0000EE"/>
            <w:u w:val="single"/>
          </w:rPr>
          <w:t>Ap 6.2</w:t>
        </w:r>
      </w:hyperlink>
      <w:r>
        <w:t xml:space="preserve">; </w:t>
      </w:r>
      <w:hyperlink r:id="rId5611">
        <w:r>
          <w:rPr>
            <w:color w:val="0000EE"/>
            <w:u w:val="single"/>
          </w:rPr>
          <w:t>19.11</w:t>
        </w:r>
      </w:hyperlink>
      <w:r>
        <w:t>), um jumento (</w:t>
      </w:r>
      <w:hyperlink r:id="rId5612">
        <w:r>
          <w:rPr>
            <w:color w:val="0000EE"/>
            <w:u w:val="single"/>
          </w:rPr>
          <w:t>Jz 5.10</w:t>
        </w:r>
      </w:hyperlink>
      <w:r>
        <w:t>, BKJ; RSV “amarelado”), lã (</w:t>
      </w:r>
      <w:hyperlink r:id="rId5613">
        <w:r>
          <w:rPr>
            <w:color w:val="0000EE"/>
            <w:u w:val="single"/>
          </w:rPr>
          <w:t>Ez 27.18</w:t>
        </w:r>
      </w:hyperlink>
      <w:r>
        <w:t>), pedras especiais (</w:t>
      </w:r>
      <w:hyperlink r:id="rId5614">
        <w:r>
          <w:rPr>
            <w:color w:val="0000EE"/>
            <w:u w:val="single"/>
          </w:rPr>
          <w:t>Ap 2.17</w:t>
        </w:r>
      </w:hyperlink>
      <w:r>
        <w:t>), luz (</w:t>
      </w:r>
      <w:hyperlink r:id="rId5615">
        <w:r>
          <w:rPr>
            <w:color w:val="0000EE"/>
            <w:u w:val="single"/>
          </w:rPr>
          <w:t>Mt 17.2</w:t>
        </w:r>
      </w:hyperlink>
      <w:r>
        <w:t>), nuvens (</w:t>
      </w:r>
      <w:hyperlink r:id="rId5616">
        <w:r>
          <w:rPr>
            <w:color w:val="0000EE"/>
            <w:u w:val="single"/>
          </w:rPr>
          <w:t>Ap 14.14</w:t>
        </w:r>
      </w:hyperlink>
      <w:r>
        <w:t>) e campos prontos para a colheita (</w:t>
      </w:r>
      <w:hyperlink r:id="rId5617">
        <w:r>
          <w:rPr>
            <w:color w:val="0000EE"/>
            <w:u w:val="single"/>
          </w:rPr>
          <w:t>Jo 4.35</w:t>
        </w:r>
      </w:hyperlink>
      <w:r>
        <w:t>). É usado para descrever a cor das cortinas (</w:t>
      </w:r>
      <w:hyperlink r:id="rId3105">
        <w:r>
          <w:rPr>
            <w:color w:val="0000EE"/>
            <w:u w:val="single"/>
          </w:rPr>
          <w:t>Et 1.6</w:t>
        </w:r>
      </w:hyperlink>
      <w:r>
        <w:t>), roupas (</w:t>
      </w:r>
      <w:hyperlink r:id="rId1862">
        <w:r>
          <w:rPr>
            <w:color w:val="0000EE"/>
            <w:u w:val="single"/>
          </w:rPr>
          <w:t>Et 8.15</w:t>
        </w:r>
      </w:hyperlink>
      <w:r>
        <w:t xml:space="preserve">; </w:t>
      </w:r>
      <w:hyperlink r:id="rId5618">
        <w:r>
          <w:rPr>
            <w:color w:val="0000EE"/>
            <w:u w:val="single"/>
          </w:rPr>
          <w:t>Ec 9.8</w:t>
        </w:r>
      </w:hyperlink>
      <w:r>
        <w:t xml:space="preserve">; </w:t>
      </w:r>
      <w:hyperlink r:id="rId1844">
        <w:r>
          <w:rPr>
            <w:color w:val="0000EE"/>
            <w:u w:val="single"/>
          </w:rPr>
          <w:t>Dn 7.9</w:t>
        </w:r>
      </w:hyperlink>
      <w:r>
        <w:t xml:space="preserve">; </w:t>
      </w:r>
      <w:hyperlink r:id="rId5619">
        <w:r>
          <w:rPr>
            <w:color w:val="0000EE"/>
            <w:u w:val="single"/>
          </w:rPr>
          <w:t>Mc 16.5</w:t>
        </w:r>
      </w:hyperlink>
      <w:r>
        <w:t xml:space="preserve">; </w:t>
      </w:r>
      <w:hyperlink r:id="rId5389">
        <w:r>
          <w:rPr>
            <w:color w:val="0000EE"/>
            <w:u w:val="single"/>
          </w:rPr>
          <w:t>Ap 3.5,18</w:t>
        </w:r>
      </w:hyperlink>
      <w:r>
        <w:t xml:space="preserve">; </w:t>
      </w:r>
      <w:hyperlink r:id="rId3909">
        <w:r>
          <w:rPr>
            <w:color w:val="0000EE"/>
            <w:u w:val="single"/>
          </w:rPr>
          <w:t>4.4</w:t>
        </w:r>
      </w:hyperlink>
      <w:r>
        <w:t>), as roupas dos anjos (</w:t>
      </w:r>
      <w:hyperlink r:id="rId5620">
        <w:r>
          <w:rPr>
            <w:color w:val="0000EE"/>
            <w:u w:val="single"/>
          </w:rPr>
          <w:t>Jo 20.12</w:t>
        </w:r>
      </w:hyperlink>
      <w:r>
        <w:t xml:space="preserve">; </w:t>
      </w:r>
      <w:hyperlink r:id="rId5621">
        <w:r>
          <w:rPr>
            <w:color w:val="0000EE"/>
            <w:u w:val="single"/>
          </w:rPr>
          <w:t>At 1.10</w:t>
        </w:r>
      </w:hyperlink>
      <w:r>
        <w:t>) e um trono (</w:t>
      </w:r>
      <w:hyperlink r:id="rId5622">
        <w:r>
          <w:rPr>
            <w:color w:val="0000EE"/>
            <w:u w:val="single"/>
          </w:rPr>
          <w:t>Ap 20.11</w:t>
        </w:r>
      </w:hyperlink>
      <w:r>
        <w:t>). É usado figurativamente para descrever a purificação do pecado (</w:t>
      </w:r>
      <w:hyperlink r:id="rId5623">
        <w:r>
          <w:rPr>
            <w:color w:val="0000EE"/>
            <w:u w:val="single"/>
          </w:rPr>
          <w:t>Sl 51.7</w:t>
        </w:r>
      </w:hyperlink>
      <w:r>
        <w:t xml:space="preserve">; </w:t>
      </w:r>
      <w:hyperlink r:id="rId1843">
        <w:r>
          <w:rPr>
            <w:color w:val="0000EE"/>
            <w:u w:val="single"/>
          </w:rPr>
          <w:t>Is 1.18</w:t>
        </w:r>
      </w:hyperlink>
      <w:r>
        <w:t xml:space="preserve">; </w:t>
      </w:r>
      <w:hyperlink r:id="rId5624">
        <w:r>
          <w:rPr>
            <w:color w:val="0000EE"/>
            <w:u w:val="single"/>
          </w:rPr>
          <w:t>Dn 12.10</w:t>
        </w:r>
      </w:hyperlink>
      <w:r>
        <w:t>) e a aparição de príncipes (</w:t>
      </w:r>
      <w:hyperlink r:id="rId1571">
        <w:r>
          <w:rPr>
            <w:color w:val="0000EE"/>
            <w:u w:val="single"/>
          </w:rPr>
          <w:t>Lm 4.7</w:t>
        </w:r>
      </w:hyperlink>
      <w:r>
        <w:t>).</w:t>
      </w:r>
    </w:p>
    <w:p>
      <w:r/>
      <w:r>
        <w:rPr>
          <w:i/>
        </w:rPr>
        <w:t>Veja também</w:t>
      </w:r>
      <w:r>
        <w:t xml:space="preserve"> </w:t>
      </w:r>
      <w:r>
        <w:t>Pano e Fabricação de Pano</w:t>
      </w:r>
      <w:r>
        <w:t xml:space="preserve">; </w:t>
      </w:r>
      <w:r>
        <w:t>Tintura, Tingimento, Tintureiro</w:t>
      </w:r>
      <w:r>
        <w:t>.</w:t>
      </w:r>
      <w:r/>
      <w:r/>
    </w:p>
    <w:p>
      <w:r/>
    </w:p>
    <w:p>
      <w:pPr>
        <w:pStyle w:val="Heading2"/>
      </w:pPr>
      <w:r>
        <w:t>Corá</w:t>
      </w:r>
      <w:r/>
    </w:p>
    <w:p>
      <w:r/>
      <w:r>
        <w:t>1. Terceiro filho de Esaú com Oolibama, filha de Aná (</w:t>
      </w:r>
      <w:hyperlink r:id="rId5625">
        <w:r>
          <w:rPr>
            <w:color w:val="0000EE"/>
            <w:u w:val="single"/>
          </w:rPr>
          <w:t>Gn 36.5,14,18</w:t>
        </w:r>
      </w:hyperlink>
      <w:r>
        <w:t xml:space="preserve">; </w:t>
      </w:r>
      <w:hyperlink r:id="rId5626">
        <w:r>
          <w:rPr>
            <w:color w:val="0000EE"/>
            <w:u w:val="single"/>
          </w:rPr>
          <w:t>1Cr 1.35</w:t>
        </w:r>
      </w:hyperlink>
      <w:r>
        <w:t>).</w:t>
      </w:r>
    </w:p>
    <w:p>
      <w:r/>
      <w:r>
        <w:t>2. Neto de Esaú; quinto filho de Elifaz (</w:t>
      </w:r>
      <w:hyperlink r:id="rId5627">
        <w:r>
          <w:rPr>
            <w:color w:val="0000EE"/>
            <w:u w:val="single"/>
          </w:rPr>
          <w:t>Gn 36.16</w:t>
        </w:r>
      </w:hyperlink>
      <w:r>
        <w:t>).</w:t>
      </w:r>
    </w:p>
    <w:p>
      <w:r/>
      <w:r>
        <w:t>3. Filho mais velho de Isar, filho de Coate da tribo de Levi (</w:t>
      </w:r>
      <w:hyperlink r:id="rId5628">
        <w:r>
          <w:rPr>
            <w:color w:val="0000EE"/>
            <w:u w:val="single"/>
          </w:rPr>
          <w:t>Êx 6.21,24</w:t>
        </w:r>
      </w:hyperlink>
      <w:r>
        <w:t>), que liderou uma rebelião contra Moisés e Arão no deserto, acusando-os de se exaltarem acima da assembleia do Senhor (</w:t>
      </w:r>
      <w:hyperlink r:id="rId5629">
        <w:r>
          <w:rPr>
            <w:color w:val="0000EE"/>
            <w:u w:val="single"/>
          </w:rPr>
          <w:t>Nm 16.1–3</w:t>
        </w:r>
      </w:hyperlink>
      <w:r>
        <w:t xml:space="preserve">). </w:t>
      </w:r>
      <w:hyperlink r:id="rId5630">
        <w:r>
          <w:rPr>
            <w:color w:val="0000EE"/>
            <w:u w:val="single"/>
          </w:rPr>
          <w:t>Números 16.1</w:t>
        </w:r>
      </w:hyperlink>
      <w:r>
        <w:t xml:space="preserve"> também registra uma revolta liderada por dois irmãos, Datã e Abirão, e um homem chamado On, todos da tribo de Rúben, que também desafiaram a autoridade de Moisés. Datã e Abirão acusaram Moisés de se fazer príncipe sobre o povo e depois falhar em conduzi-los à Terra Prometida (vv </w:t>
      </w:r>
      <w:hyperlink r:id="rId5631">
        <w:r>
          <w:rPr>
            <w:color w:val="0000EE"/>
            <w:u w:val="single"/>
          </w:rPr>
          <w:t>12–14</w:t>
        </w:r>
      </w:hyperlink>
      <w:r>
        <w:t>). As histórias das duas rebeliões estão entrelaçadas de tal forma que é difícil separá-las. Pode ser que as duas revoltas tenham ocorrido simultaneamente.</w:t>
      </w:r>
    </w:p>
    <w:p>
      <w:r/>
      <w:r>
        <w:t>Moisés desafiou Corá e seus seguidores a uma prova por ordálio. Junto com Arão, eles deveriam levar incensários cheios de fogo e incenso para a tenda do encontro no dia seguinte; o Senhor então escolheria entre eles quem deveria ser o sacerdote santo diante do Senhor (</w:t>
      </w:r>
      <w:hyperlink r:id="rId5632">
        <w:r>
          <w:rPr>
            <w:color w:val="0000EE"/>
            <w:u w:val="single"/>
          </w:rPr>
          <w:t>Nm 16.4–10,15–17</w:t>
        </w:r>
      </w:hyperlink>
      <w:r>
        <w:t xml:space="preserve">). Moisés acusou Corá e sua companhia de se rebelarem contra Deus em vez de contra Arão (v </w:t>
      </w:r>
      <w:hyperlink r:id="rId5633">
        <w:r>
          <w:rPr>
            <w:color w:val="0000EE"/>
            <w:u w:val="single"/>
          </w:rPr>
          <w:t>11</w:t>
        </w:r>
      </w:hyperlink>
      <w:r>
        <w:t xml:space="preserve">). Quando os homens se reuniram conforme Moisés havia instruído, a glória do Senhor apareceu a todo o povo. O Senhor ordenou a Moisés que dissesse à congregação para se separar das tendas de Corá, Datã e Abirão (vv </w:t>
      </w:r>
      <w:hyperlink r:id="rId5634">
        <w:r>
          <w:rPr>
            <w:color w:val="0000EE"/>
            <w:u w:val="single"/>
          </w:rPr>
          <w:t>19–24</w:t>
        </w:r>
      </w:hyperlink>
      <w:r>
        <w:t xml:space="preserve">). Moisés propôs um teste para mostrar a fonte de sua autoridade, mas enquanto ele ainda falava, a terra se abriu e engoliu todos os rebeldes, suas famílias e seus bens. O fogo consumiu os 250 homens que estavam oferecendo o incenso. O restante dos israelitas ficou apavorado e fugiu da cena (vv </w:t>
      </w:r>
      <w:hyperlink r:id="rId5635">
        <w:r>
          <w:rPr>
            <w:color w:val="0000EE"/>
            <w:u w:val="single"/>
          </w:rPr>
          <w:t>31–35</w:t>
        </w:r>
      </w:hyperlink>
      <w:r>
        <w:t xml:space="preserve">). </w:t>
      </w:r>
      <w:hyperlink r:id="rId5636">
        <w:r>
          <w:rPr>
            <w:color w:val="0000EE"/>
            <w:u w:val="single"/>
          </w:rPr>
          <w:t>Números 26.11</w:t>
        </w:r>
      </w:hyperlink>
      <w:r>
        <w:t xml:space="preserve"> acrescenta, no entanto, que “os filhos de Corá não morreram naquele dia” com os outros.</w:t>
      </w:r>
    </w:p>
    <w:p>
      <w:r/>
      <w:r>
        <w:t>Então, através de Moisés, o Senhor instruiu Eleazar, filho de Arão, a pegar os incensários dos homens que haviam morrido e transformá-los em placas marteladas para serem usadas como cobertura para o altar. Assim, eles serviriam como um lembrete para os israelitas de que ninguém que não fosse sacerdote e descendente de Arão deveria jamais se aproximar para queimar incenso diante do Senhor, para que essa pessoa não encontrasse o mesmo destino que Corá e sua companhia (</w:t>
      </w:r>
      <w:hyperlink r:id="rId5637">
        <w:r>
          <w:rPr>
            <w:color w:val="0000EE"/>
            <w:u w:val="single"/>
          </w:rPr>
          <w:t>Nm 16.36–40</w:t>
        </w:r>
      </w:hyperlink>
      <w:r>
        <w:t>).</w:t>
      </w:r>
    </w:p>
    <w:p>
      <w:r/>
      <w:r>
        <w:t>Em vez de estarem convencidos de que Deus havia vindicado Moisés e Arão, no dia seguinte a congregação começou a reclamar que eles haviam matado o povo do Senhor. Por este ato de rebelião, Deus ameaçou destruir a congregação e enviou uma praga entre eles. Moisés intercedeu e evitou uma catástrofe completa, mas não antes que 14.700 israelitas tivessem morrido (</w:t>
      </w:r>
      <w:hyperlink r:id="rId5638">
        <w:r>
          <w:rPr>
            <w:color w:val="0000EE"/>
            <w:u w:val="single"/>
          </w:rPr>
          <w:t>Nm 16.41–50</w:t>
        </w:r>
      </w:hyperlink>
      <w:r>
        <w:t xml:space="preserve">). O incidente rebelde dos coraítas é mencionado pela última vez em </w:t>
      </w:r>
      <w:hyperlink r:id="rId4004">
        <w:r>
          <w:rPr>
            <w:color w:val="0000EE"/>
            <w:u w:val="single"/>
          </w:rPr>
          <w:t>Judas 1.11</w:t>
        </w:r>
      </w:hyperlink>
      <w:r>
        <w:t>.</w:t>
      </w:r>
    </w:p>
    <w:p>
      <w:r/>
      <w:r>
        <w:rPr>
          <w:i/>
        </w:rPr>
        <w:t>Veja também</w:t>
      </w:r>
      <w:r>
        <w:t xml:space="preserve"> </w:t>
      </w:r>
      <w:r>
        <w:t>Coraita, coratita</w:t>
      </w:r>
      <w:r>
        <w:t>.</w:t>
      </w:r>
    </w:p>
    <w:p>
      <w:r/>
      <w:r>
        <w:t>4. Filho mais velho de Hebrom, incluído na genealogia de Calebe (</w:t>
      </w:r>
      <w:hyperlink r:id="rId5639">
        <w:r>
          <w:rPr>
            <w:color w:val="0000EE"/>
            <w:u w:val="single"/>
          </w:rPr>
          <w:t>1Cr 2.43</w:t>
        </w:r>
      </w:hyperlink>
      <w:r>
        <w:t>); a referência tem sido entendida como um nome geográfico, possivelmente uma cidade em Judá.</w:t>
      </w:r>
    </w:p>
    <w:p>
      <w:r/>
      <w:r>
        <w:t>5. Filho de Aminadabe e neto de Coate, segundo filho de Levi (</w:t>
      </w:r>
      <w:hyperlink r:id="rId1095">
        <w:r>
          <w:rPr>
            <w:color w:val="0000EE"/>
            <w:u w:val="single"/>
          </w:rPr>
          <w:t>1Cr 6.22</w:t>
        </w:r>
      </w:hyperlink>
      <w:r>
        <w:t>).</w:t>
      </w:r>
      <w:r/>
      <w:r/>
    </w:p>
    <w:p>
      <w:r/>
    </w:p>
    <w:p>
      <w:pPr>
        <w:pStyle w:val="Heading2"/>
      </w:pPr>
      <w:r>
        <w:t>Coração</w:t>
      </w:r>
      <w:r/>
    </w:p>
    <w:p>
      <w:r/>
      <w:r>
        <w:t>Órgão corporal vital; centro emocional do ser.</w:t>
      </w:r>
    </w:p>
    <w:p>
      <w:r/>
      <w:r>
        <w:t>Em hebraico e grego, como no português moderno, “coração” é usado para designar um órgão físico, bem como o centro emocional do ser. “Coração” (hebraico</w:t>
      </w:r>
      <w:r>
        <w:rPr>
          <w:i/>
        </w:rPr>
        <w:t>leb</w:t>
      </w:r>
      <w:r>
        <w:t>; grego cardia) ocorre aproximadamente 1.000 vezes na Bíblia, embora muitas vezes seja disfarçado na tradução. A gama de significado é grande.</w:t>
      </w:r>
    </w:p>
    <w:p>
      <w:pPr>
        <w:pStyle w:val="Heading3"/>
      </w:pPr>
      <w:r>
        <w:t>Coração Físico</w:t>
      </w:r>
    </w:p>
    <w:p>
      <w:r/>
      <w:r>
        <w:t xml:space="preserve">Que o coração batendo indica que a vida parece implícito em </w:t>
      </w:r>
      <w:hyperlink r:id="rId5640">
        <w:r>
          <w:rPr>
            <w:color w:val="0000EE"/>
            <w:u w:val="single"/>
          </w:rPr>
          <w:t>1 Samuel 25.37–39</w:t>
        </w:r>
      </w:hyperlink>
      <w:r>
        <w:t xml:space="preserve"> (veja NVI), apesar do atraso na morte de Nabal. Comida física e vinho afetam o coração (</w:t>
      </w:r>
      <w:hyperlink r:id="rId5641">
        <w:r>
          <w:rPr>
            <w:color w:val="0000EE"/>
            <w:u w:val="single"/>
          </w:rPr>
          <w:t>Jz 19.5</w:t>
        </w:r>
      </w:hyperlink>
      <w:r>
        <w:t xml:space="preserve">; </w:t>
      </w:r>
      <w:hyperlink r:id="rId5642">
        <w:r>
          <w:rPr>
            <w:color w:val="0000EE"/>
            <w:u w:val="single"/>
          </w:rPr>
          <w:t>Sl 104.15</w:t>
        </w:r>
      </w:hyperlink>
      <w:r>
        <w:t xml:space="preserve">; </w:t>
      </w:r>
      <w:hyperlink r:id="rId5643">
        <w:r>
          <w:rPr>
            <w:color w:val="0000EE"/>
            <w:u w:val="single"/>
          </w:rPr>
          <w:t>Atos 14.17</w:t>
        </w:r>
      </w:hyperlink>
      <w:r>
        <w:t>), e o coração pode “enfraquecer” e “tremer”. A posição do coração no corpo fornece uma metáfora óbvia para “o centro” (</w:t>
      </w:r>
      <w:hyperlink r:id="rId1881">
        <w:r>
          <w:rPr>
            <w:color w:val="0000EE"/>
            <w:u w:val="single"/>
          </w:rPr>
          <w:t>Mt 12.40</w:t>
        </w:r>
      </w:hyperlink>
      <w:r>
        <w:t>).</w:t>
      </w:r>
    </w:p>
    <w:p>
      <w:pPr>
        <w:pStyle w:val="Heading3"/>
      </w:pPr>
      <w:r>
        <w:t>Coração Psicológico</w:t>
      </w:r>
    </w:p>
    <w:p>
      <w:r/>
      <w:r>
        <w:t xml:space="preserve">O coração atende intelectualmente (p. ex., </w:t>
      </w:r>
      <w:hyperlink r:id="rId5644">
        <w:r>
          <w:rPr>
            <w:color w:val="0000EE"/>
            <w:u w:val="single"/>
          </w:rPr>
          <w:t>Jr 12.11</w:t>
        </w:r>
      </w:hyperlink>
      <w:r>
        <w:t>); também percebe (</w:t>
      </w:r>
      <w:hyperlink r:id="rId3572">
        <w:r>
          <w:rPr>
            <w:color w:val="0000EE"/>
            <w:u w:val="single"/>
          </w:rPr>
          <w:t>Jo 12.40</w:t>
        </w:r>
      </w:hyperlink>
      <w:r>
        <w:t>), entende (</w:t>
      </w:r>
      <w:hyperlink r:id="rId5645">
        <w:r>
          <w:rPr>
            <w:color w:val="0000EE"/>
            <w:u w:val="single"/>
          </w:rPr>
          <w:t>1Rs 3.9</w:t>
        </w:r>
      </w:hyperlink>
      <w:r>
        <w:t>), debate (</w:t>
      </w:r>
      <w:hyperlink r:id="rId5646">
        <w:r>
          <w:rPr>
            <w:color w:val="0000EE"/>
            <w:u w:val="single"/>
          </w:rPr>
          <w:t>Mc 2.6</w:t>
        </w:r>
      </w:hyperlink>
      <w:r>
        <w:t>), reflete (</w:t>
      </w:r>
      <w:hyperlink r:id="rId5647">
        <w:r>
          <w:rPr>
            <w:color w:val="0000EE"/>
            <w:u w:val="single"/>
          </w:rPr>
          <w:t>Lc 2.19</w:t>
        </w:r>
      </w:hyperlink>
      <w:r>
        <w:t>), lembra (</w:t>
      </w:r>
      <w:hyperlink r:id="rId5648">
        <w:r>
          <w:rPr>
            <w:color w:val="0000EE"/>
            <w:u w:val="single"/>
          </w:rPr>
          <w:t>Lc 2.51</w:t>
        </w:r>
      </w:hyperlink>
      <w:r>
        <w:t>), pensa (</w:t>
      </w:r>
      <w:hyperlink r:id="rId5649">
        <w:r>
          <w:rPr>
            <w:color w:val="0000EE"/>
            <w:u w:val="single"/>
          </w:rPr>
          <w:t>Dt 8.17</w:t>
        </w:r>
      </w:hyperlink>
      <w:r>
        <w:t>), imagina (</w:t>
      </w:r>
      <w:hyperlink r:id="rId5650">
        <w:r>
          <w:rPr>
            <w:color w:val="0000EE"/>
            <w:u w:val="single"/>
          </w:rPr>
          <w:t>Lc 1.51</w:t>
        </w:r>
      </w:hyperlink>
      <w:r>
        <w:t>), é sábio (</w:t>
      </w:r>
      <w:hyperlink r:id="rId5651">
        <w:r>
          <w:rPr>
            <w:color w:val="0000EE"/>
            <w:u w:val="single"/>
          </w:rPr>
          <w:t>Ec 1.17</w:t>
        </w:r>
      </w:hyperlink>
      <w:r>
        <w:t>, ARC), tem habilidade técnica (</w:t>
      </w:r>
      <w:hyperlink r:id="rId5652">
        <w:r>
          <w:rPr>
            <w:color w:val="0000EE"/>
            <w:u w:val="single"/>
          </w:rPr>
          <w:t>Êx 28.3</w:t>
        </w:r>
      </w:hyperlink>
      <w:r>
        <w:t>, ARC), e muito mais.</w:t>
      </w:r>
    </w:p>
    <w:p>
      <w:r/>
      <w:r>
        <w:t>Emocionalmente, o coração experimenta felicidade intoxicada (</w:t>
      </w:r>
      <w:hyperlink r:id="rId5653">
        <w:r>
          <w:rPr>
            <w:color w:val="0000EE"/>
            <w:u w:val="single"/>
          </w:rPr>
          <w:t>1Sm 25.36</w:t>
        </w:r>
      </w:hyperlink>
      <w:r>
        <w:t>), contentamento (</w:t>
      </w:r>
      <w:hyperlink r:id="rId5654">
        <w:r>
          <w:rPr>
            <w:color w:val="0000EE"/>
            <w:u w:val="single"/>
          </w:rPr>
          <w:t>Is 30.29</w:t>
        </w:r>
      </w:hyperlink>
      <w:r>
        <w:t>), alegria (</w:t>
      </w:r>
      <w:hyperlink r:id="rId5655">
        <w:r>
          <w:rPr>
            <w:color w:val="0000EE"/>
            <w:u w:val="single"/>
          </w:rPr>
          <w:t>Jo 16.22</w:t>
        </w:r>
      </w:hyperlink>
      <w:r>
        <w:t>), tristeza (</w:t>
      </w:r>
      <w:hyperlink r:id="rId5656">
        <w:r>
          <w:rPr>
            <w:color w:val="0000EE"/>
            <w:u w:val="single"/>
          </w:rPr>
          <w:t>Ne 2.2</w:t>
        </w:r>
      </w:hyperlink>
      <w:r>
        <w:t>), angústia (</w:t>
      </w:r>
      <w:hyperlink r:id="rId5657">
        <w:r>
          <w:rPr>
            <w:color w:val="0000EE"/>
            <w:u w:val="single"/>
          </w:rPr>
          <w:t>Rm 9.2</w:t>
        </w:r>
      </w:hyperlink>
      <w:r>
        <w:t>), amargura (</w:t>
      </w:r>
      <w:hyperlink r:id="rId5658">
        <w:r>
          <w:rPr>
            <w:color w:val="0000EE"/>
            <w:u w:val="single"/>
          </w:rPr>
          <w:t>Pv 14.10</w:t>
        </w:r>
      </w:hyperlink>
      <w:r>
        <w:t>), ansiedade (</w:t>
      </w:r>
      <w:hyperlink r:id="rId5659">
        <w:r>
          <w:rPr>
            <w:color w:val="0000EE"/>
            <w:u w:val="single"/>
          </w:rPr>
          <w:t>1Sm 4.13</w:t>
        </w:r>
      </w:hyperlink>
      <w:r>
        <w:t>), desespero (</w:t>
      </w:r>
      <w:hyperlink r:id="rId5660">
        <w:r>
          <w:rPr>
            <w:color w:val="0000EE"/>
            <w:u w:val="single"/>
          </w:rPr>
          <w:t>Ec 2.20</w:t>
        </w:r>
      </w:hyperlink>
      <w:r>
        <w:t>), amor (</w:t>
      </w:r>
      <w:hyperlink r:id="rId5661">
        <w:r>
          <w:rPr>
            <w:color w:val="0000EE"/>
            <w:u w:val="single"/>
          </w:rPr>
          <w:t>2Sm 14.1</w:t>
        </w:r>
      </w:hyperlink>
      <w:r>
        <w:t>), confiança (</w:t>
      </w:r>
      <w:hyperlink r:id="rId5662">
        <w:r>
          <w:rPr>
            <w:color w:val="0000EE"/>
            <w:u w:val="single"/>
          </w:rPr>
          <w:t>Sl 112.7</w:t>
        </w:r>
      </w:hyperlink>
      <w:r>
        <w:t>), afeição (</w:t>
      </w:r>
      <w:hyperlink r:id="rId5663">
        <w:r>
          <w:rPr>
            <w:color w:val="0000EE"/>
            <w:u w:val="single"/>
          </w:rPr>
          <w:t>2Co 7.3</w:t>
        </w:r>
      </w:hyperlink>
      <w:r>
        <w:t>), luxúria (</w:t>
      </w:r>
      <w:hyperlink r:id="rId5078">
        <w:r>
          <w:rPr>
            <w:color w:val="0000EE"/>
            <w:u w:val="single"/>
          </w:rPr>
          <w:t>Mt 5.28</w:t>
        </w:r>
      </w:hyperlink>
      <w:r>
        <w:t>), insensibilidade (</w:t>
      </w:r>
      <w:hyperlink r:id="rId5664">
        <w:r>
          <w:rPr>
            <w:color w:val="0000EE"/>
            <w:u w:val="single"/>
          </w:rPr>
          <w:t>Mc 3.5</w:t>
        </w:r>
      </w:hyperlink>
      <w:r>
        <w:t>), ódio (</w:t>
      </w:r>
      <w:hyperlink r:id="rId5665">
        <w:r>
          <w:rPr>
            <w:color w:val="0000EE"/>
            <w:u w:val="single"/>
          </w:rPr>
          <w:t>Lv 19.17</w:t>
        </w:r>
      </w:hyperlink>
      <w:r>
        <w:t>), medo (</w:t>
      </w:r>
      <w:hyperlink r:id="rId5666">
        <w:r>
          <w:rPr>
            <w:color w:val="0000EE"/>
            <w:u w:val="single"/>
          </w:rPr>
          <w:t>Gn 42.28</w:t>
        </w:r>
      </w:hyperlink>
      <w:r>
        <w:t>), ciúme (</w:t>
      </w:r>
      <w:hyperlink r:id="rId5667">
        <w:r>
          <w:rPr>
            <w:color w:val="0000EE"/>
            <w:u w:val="single"/>
          </w:rPr>
          <w:t>Tg 3.14</w:t>
        </w:r>
      </w:hyperlink>
      <w:r>
        <w:t>), desejo (</w:t>
      </w:r>
      <w:hyperlink r:id="rId5668">
        <w:r>
          <w:rPr>
            <w:color w:val="0000EE"/>
            <w:u w:val="single"/>
          </w:rPr>
          <w:t>Rm 10.1</w:t>
        </w:r>
      </w:hyperlink>
      <w:r>
        <w:t>), desânimo (</w:t>
      </w:r>
      <w:hyperlink r:id="rId5669">
        <w:r>
          <w:rPr>
            <w:color w:val="0000EE"/>
            <w:u w:val="single"/>
          </w:rPr>
          <w:t>Nm 32.9</w:t>
        </w:r>
      </w:hyperlink>
      <w:r>
        <w:t>), simpatia (</w:t>
      </w:r>
      <w:hyperlink r:id="rId5670">
        <w:r>
          <w:rPr>
            <w:color w:val="0000EE"/>
            <w:u w:val="single"/>
          </w:rPr>
          <w:t>Êx 23.9</w:t>
        </w:r>
      </w:hyperlink>
      <w:r>
        <w:t>), raiva (</w:t>
      </w:r>
      <w:hyperlink r:id="rId5671">
        <w:r>
          <w:rPr>
            <w:color w:val="0000EE"/>
            <w:u w:val="single"/>
          </w:rPr>
          <w:t>Dt 19.6</w:t>
        </w:r>
      </w:hyperlink>
      <w:r>
        <w:t>, KJV), irresolução (</w:t>
      </w:r>
      <w:hyperlink r:id="rId5672">
        <w:r>
          <w:rPr>
            <w:color w:val="0000EE"/>
            <w:u w:val="single"/>
          </w:rPr>
          <w:t>2Cr 13.7</w:t>
        </w:r>
      </w:hyperlink>
      <w:r>
        <w:t>, KJV), e muito mais.</w:t>
      </w:r>
    </w:p>
    <w:p>
      <w:r/>
      <w:r>
        <w:t>Voluntariamente, o coração pode propor (</w:t>
      </w:r>
      <w:hyperlink r:id="rId5673">
        <w:r>
          <w:rPr>
            <w:color w:val="0000EE"/>
            <w:u w:val="single"/>
          </w:rPr>
          <w:t>1Co 4.5</w:t>
        </w:r>
      </w:hyperlink>
      <w:r>
        <w:t>), inclinar-se para (</w:t>
      </w:r>
      <w:hyperlink r:id="rId5674">
        <w:r>
          <w:rPr>
            <w:color w:val="0000EE"/>
            <w:u w:val="single"/>
          </w:rPr>
          <w:t>1Sm 14.7</w:t>
        </w:r>
      </w:hyperlink>
      <w:r>
        <w:t>), incitar (</w:t>
      </w:r>
      <w:hyperlink r:id="rId5675">
        <w:r>
          <w:rPr>
            <w:color w:val="0000EE"/>
            <w:u w:val="single"/>
          </w:rPr>
          <w:t>2Rs 12.4</w:t>
        </w:r>
      </w:hyperlink>
      <w:r>
        <w:t xml:space="preserve">; cf. </w:t>
      </w:r>
      <w:hyperlink r:id="rId5676">
        <w:r>
          <w:rPr>
            <w:color w:val="0000EE"/>
            <w:u w:val="single"/>
          </w:rPr>
          <w:t>Pv 4.23</w:t>
        </w:r>
      </w:hyperlink>
      <w:r>
        <w:t>), ser firme (</w:t>
      </w:r>
      <w:hyperlink r:id="rId5677">
        <w:r>
          <w:rPr>
            <w:color w:val="0000EE"/>
            <w:u w:val="single"/>
          </w:rPr>
          <w:t>Atos 11.23</w:t>
        </w:r>
      </w:hyperlink>
      <w:r>
        <w:t>), estar disposto (</w:t>
      </w:r>
      <w:hyperlink r:id="rId5678">
        <w:r>
          <w:rPr>
            <w:color w:val="0000EE"/>
            <w:u w:val="single"/>
          </w:rPr>
          <w:t>Êx 35.22</w:t>
        </w:r>
      </w:hyperlink>
      <w:r>
        <w:t>), planejar o mal (</w:t>
      </w:r>
      <w:hyperlink r:id="rId5679">
        <w:r>
          <w:rPr>
            <w:color w:val="0000EE"/>
            <w:u w:val="single"/>
          </w:rPr>
          <w:t>Atos 5.4</w:t>
        </w:r>
      </w:hyperlink>
      <w:r>
        <w:t>), ou seguir seu “tesouro” (</w:t>
      </w:r>
      <w:hyperlink r:id="rId5680">
        <w:r>
          <w:rPr>
            <w:color w:val="0000EE"/>
            <w:u w:val="single"/>
          </w:rPr>
          <w:t>Mt 6.21</w:t>
        </w:r>
      </w:hyperlink>
      <w:r>
        <w:t>).</w:t>
      </w:r>
    </w:p>
    <w:p>
      <w:r/>
      <w:r>
        <w:t>Moralmente, o coração pode ser gentil, humilde (</w:t>
      </w:r>
      <w:hyperlink r:id="rId936">
        <w:r>
          <w:rPr>
            <w:color w:val="0000EE"/>
            <w:u w:val="single"/>
          </w:rPr>
          <w:t>Mt 11.29</w:t>
        </w:r>
      </w:hyperlink>
      <w:r>
        <w:t>), santo (</w:t>
      </w:r>
      <w:hyperlink r:id="rId5681">
        <w:r>
          <w:rPr>
            <w:color w:val="0000EE"/>
            <w:u w:val="single"/>
          </w:rPr>
          <w:t>1Ts 3.13</w:t>
        </w:r>
      </w:hyperlink>
      <w:r>
        <w:t>), fiel (</w:t>
      </w:r>
      <w:hyperlink r:id="rId5682">
        <w:r>
          <w:rPr>
            <w:color w:val="0000EE"/>
            <w:u w:val="single"/>
          </w:rPr>
          <w:t>Ne 9.8</w:t>
        </w:r>
      </w:hyperlink>
      <w:r>
        <w:t>), justo (</w:t>
      </w:r>
      <w:hyperlink r:id="rId5683">
        <w:r>
          <w:rPr>
            <w:color w:val="0000EE"/>
            <w:u w:val="single"/>
          </w:rPr>
          <w:t>Sl 97.11</w:t>
        </w:r>
      </w:hyperlink>
      <w:r>
        <w:t>), puro, honesto (</w:t>
      </w:r>
      <w:hyperlink r:id="rId5684">
        <w:r>
          <w:rPr>
            <w:color w:val="0000EE"/>
            <w:u w:val="single"/>
          </w:rPr>
          <w:t>Tg 4.8</w:t>
        </w:r>
      </w:hyperlink>
      <w:r>
        <w:t>), limpo (</w:t>
      </w:r>
      <w:hyperlink r:id="rId5685">
        <w:r>
          <w:rPr>
            <w:color w:val="0000EE"/>
            <w:u w:val="single"/>
          </w:rPr>
          <w:t>Atos 15.8</w:t>
        </w:r>
      </w:hyperlink>
      <w:r>
        <w:t>), amoroso para com Deus (</w:t>
      </w:r>
      <w:hyperlink r:id="rId946">
        <w:r>
          <w:rPr>
            <w:color w:val="0000EE"/>
            <w:u w:val="single"/>
          </w:rPr>
          <w:t>Mc 12.30</w:t>
        </w:r>
      </w:hyperlink>
      <w:r>
        <w:t>) e outros (</w:t>
      </w:r>
      <w:hyperlink r:id="rId5302">
        <w:r>
          <w:rPr>
            <w:color w:val="0000EE"/>
            <w:u w:val="single"/>
          </w:rPr>
          <w:t>1Pe 1.22</w:t>
        </w:r>
      </w:hyperlink>
      <w:r>
        <w:t>), endurecido, ou sensível (</w:t>
      </w:r>
      <w:hyperlink r:id="rId5686">
        <w:r>
          <w:rPr>
            <w:color w:val="0000EE"/>
            <w:u w:val="single"/>
          </w:rPr>
          <w:t>Ez 11.19</w:t>
        </w:r>
      </w:hyperlink>
      <w:r>
        <w:t>). A ênfase das Escrituras recai sobre o mal do coração (</w:t>
      </w:r>
      <w:hyperlink r:id="rId5687">
        <w:r>
          <w:rPr>
            <w:color w:val="0000EE"/>
            <w:u w:val="single"/>
          </w:rPr>
          <w:t>Gn 6.5</w:t>
        </w:r>
      </w:hyperlink>
      <w:r>
        <w:t xml:space="preserve"> e por toda parte), como autoengano (</w:t>
      </w:r>
      <w:hyperlink r:id="rId5688">
        <w:r>
          <w:rPr>
            <w:color w:val="0000EE"/>
            <w:u w:val="single"/>
          </w:rPr>
          <w:t>Tg 1.26</w:t>
        </w:r>
      </w:hyperlink>
      <w:r>
        <w:t>), enganoso (</w:t>
      </w:r>
      <w:hyperlink r:id="rId5689">
        <w:r>
          <w:rPr>
            <w:color w:val="0000EE"/>
            <w:u w:val="single"/>
          </w:rPr>
          <w:t>Jr 17.9</w:t>
        </w:r>
      </w:hyperlink>
      <w:r>
        <w:t>), avarento (</w:t>
      </w:r>
      <w:hyperlink r:id="rId5690">
        <w:r>
          <w:rPr>
            <w:color w:val="0000EE"/>
            <w:u w:val="single"/>
          </w:rPr>
          <w:t>Mt 6.19–21</w:t>
        </w:r>
      </w:hyperlink>
      <w:r>
        <w:t>), luxurioso (</w:t>
      </w:r>
      <w:hyperlink r:id="rId5078">
        <w:r>
          <w:rPr>
            <w:color w:val="0000EE"/>
            <w:u w:val="single"/>
          </w:rPr>
          <w:t>Mt 5.28</w:t>
        </w:r>
      </w:hyperlink>
      <w:r>
        <w:t>), arrogante (</w:t>
      </w:r>
      <w:hyperlink r:id="rId5691">
        <w:r>
          <w:rPr>
            <w:color w:val="0000EE"/>
            <w:u w:val="single"/>
          </w:rPr>
          <w:t>Is 9.9</w:t>
        </w:r>
      </w:hyperlink>
      <w:r>
        <w:t>), ímpio (</w:t>
      </w:r>
      <w:hyperlink r:id="rId5692">
        <w:r>
          <w:rPr>
            <w:color w:val="0000EE"/>
            <w:u w:val="single"/>
          </w:rPr>
          <w:t>At 7.51</w:t>
        </w:r>
      </w:hyperlink>
      <w:r>
        <w:t>), perverso (</w:t>
      </w:r>
      <w:hyperlink r:id="rId5693">
        <w:r>
          <w:rPr>
            <w:color w:val="0000EE"/>
            <w:u w:val="single"/>
          </w:rPr>
          <w:t>Sl 101.4</w:t>
        </w:r>
      </w:hyperlink>
      <w:r>
        <w:t>), e impenitente (</w:t>
      </w:r>
      <w:hyperlink r:id="rId5694">
        <w:r>
          <w:rPr>
            <w:color w:val="0000EE"/>
            <w:u w:val="single"/>
          </w:rPr>
          <w:t>Rm 2.5</w:t>
        </w:r>
      </w:hyperlink>
      <w:r>
        <w:t>). Nada corrompe um homem mais do que seu próprio coração (</w:t>
      </w:r>
      <w:hyperlink r:id="rId5695">
        <w:r>
          <w:rPr>
            <w:color w:val="0000EE"/>
            <w:u w:val="single"/>
          </w:rPr>
          <w:t>Mc 7.18–19</w:t>
        </w:r>
      </w:hyperlink>
      <w:r>
        <w:t>).</w:t>
      </w:r>
    </w:p>
    <w:p>
      <w:r/>
      <w:r>
        <w:t>No entanto, do coração pode vir o bem (</w:t>
      </w:r>
      <w:hyperlink r:id="rId5696">
        <w:r>
          <w:rPr>
            <w:color w:val="0000EE"/>
            <w:u w:val="single"/>
          </w:rPr>
          <w:t>Lc 6.45</w:t>
        </w:r>
      </w:hyperlink>
      <w:r>
        <w:t xml:space="preserve">; </w:t>
      </w:r>
      <w:hyperlink r:id="rId5697">
        <w:r>
          <w:rPr>
            <w:color w:val="0000EE"/>
            <w:u w:val="single"/>
          </w:rPr>
          <w:t>8.15</w:t>
        </w:r>
      </w:hyperlink>
      <w:r>
        <w:t>). Mesmo quando frustrado por circunstâncias ou pelo medo, a boa intenção do coração permanece boa; sua intenção maligna, ruim (</w:t>
      </w:r>
      <w:hyperlink r:id="rId5698">
        <w:r>
          <w:rPr>
            <w:color w:val="0000EE"/>
            <w:u w:val="single"/>
          </w:rPr>
          <w:t>1Rs 8.18</w:t>
        </w:r>
      </w:hyperlink>
      <w:r>
        <w:t xml:space="preserve">; </w:t>
      </w:r>
      <w:hyperlink r:id="rId5078">
        <w:r>
          <w:rPr>
            <w:color w:val="0000EE"/>
            <w:u w:val="single"/>
          </w:rPr>
          <w:t>Mt 5.28</w:t>
        </w:r>
      </w:hyperlink>
      <w:r>
        <w:t>).</w:t>
      </w:r>
    </w:p>
    <w:p>
      <w:r/>
      <w:r>
        <w:t>Sendo tão complexo, o coração de uma pessoa é tristemente dividido, e as Escrituras muitas vezes exaltam um coração perfeito, inteiro e verdadeiro (isto é, unido) (</w:t>
      </w:r>
      <w:hyperlink r:id="rId5699">
        <w:r>
          <w:rPr>
            <w:color w:val="0000EE"/>
            <w:u w:val="single"/>
          </w:rPr>
          <w:t>Gn 20.5</w:t>
        </w:r>
      </w:hyperlink>
      <w:r>
        <w:t xml:space="preserve">; </w:t>
      </w:r>
      <w:hyperlink r:id="rId5700">
        <w:r>
          <w:rPr>
            <w:color w:val="0000EE"/>
            <w:u w:val="single"/>
          </w:rPr>
          <w:t>Sl 86.11</w:t>
        </w:r>
      </w:hyperlink>
      <w:r>
        <w:t xml:space="preserve">; </w:t>
      </w:r>
      <w:hyperlink r:id="rId5701">
        <w:r>
          <w:rPr>
            <w:color w:val="0000EE"/>
            <w:u w:val="single"/>
          </w:rPr>
          <w:t>Atos 8.37</w:t>
        </w:r>
      </w:hyperlink>
      <w:r>
        <w:t>). O “coração” significa o eu interior total, o núcleo oculto de uma pessoa (</w:t>
      </w:r>
      <w:hyperlink r:id="rId5702">
        <w:r>
          <w:rPr>
            <w:color w:val="0000EE"/>
            <w:u w:val="single"/>
          </w:rPr>
          <w:t>1Pe 3.4</w:t>
        </w:r>
      </w:hyperlink>
      <w:r>
        <w:t>), com o qual alguém comunga, que “derrama” em oração, palavras e ações (</w:t>
      </w:r>
      <w:hyperlink r:id="rId5703">
        <w:r>
          <w:rPr>
            <w:color w:val="0000EE"/>
            <w:u w:val="single"/>
          </w:rPr>
          <w:t>Sl 62.8</w:t>
        </w:r>
      </w:hyperlink>
      <w:r>
        <w:t xml:space="preserve">; </w:t>
      </w:r>
      <w:hyperlink r:id="rId5704">
        <w:r>
          <w:rPr>
            <w:color w:val="0000EE"/>
            <w:u w:val="single"/>
          </w:rPr>
          <w:t>Mt 15.18–19</w:t>
        </w:r>
      </w:hyperlink>
      <w:r>
        <w:t>). É o eu genuíno, distinto da aparência, posição pública e presença física (</w:t>
      </w:r>
      <w:hyperlink r:id="rId5705">
        <w:r>
          <w:rPr>
            <w:color w:val="0000EE"/>
            <w:u w:val="single"/>
          </w:rPr>
          <w:t>1Sm 16.7</w:t>
        </w:r>
      </w:hyperlink>
      <w:r>
        <w:t xml:space="preserve">; </w:t>
      </w:r>
      <w:hyperlink r:id="rId5706">
        <w:r>
          <w:rPr>
            <w:color w:val="0000EE"/>
            <w:u w:val="single"/>
          </w:rPr>
          <w:t>2Co 5.12</w:t>
        </w:r>
      </w:hyperlink>
      <w:r>
        <w:t xml:space="preserve">; </w:t>
      </w:r>
      <w:hyperlink r:id="rId5707">
        <w:r>
          <w:rPr>
            <w:color w:val="0000EE"/>
            <w:u w:val="single"/>
          </w:rPr>
          <w:t>1Ts 2.17</w:t>
        </w:r>
      </w:hyperlink>
      <w:r>
        <w:t>). E este “eu do coração” tem sua própria natureza, caráter e disposição (</w:t>
      </w:r>
      <w:hyperlink r:id="rId5708">
        <w:r>
          <w:rPr>
            <w:color w:val="0000EE"/>
            <w:u w:val="single"/>
          </w:rPr>
          <w:t>Dn 4.16</w:t>
        </w:r>
      </w:hyperlink>
      <w:r>
        <w:t xml:space="preserve">; </w:t>
      </w:r>
      <w:hyperlink r:id="rId1775">
        <w:r>
          <w:rPr>
            <w:color w:val="0000EE"/>
            <w:u w:val="single"/>
          </w:rPr>
          <w:t>7.4</w:t>
        </w:r>
      </w:hyperlink>
      <w:r>
        <w:t xml:space="preserve">, KJV; cf. </w:t>
      </w:r>
      <w:hyperlink r:id="rId5709">
        <w:r>
          <w:rPr>
            <w:color w:val="0000EE"/>
            <w:u w:val="single"/>
          </w:rPr>
          <w:t>Mt 12.33–37</w:t>
        </w:r>
      </w:hyperlink>
      <w:r>
        <w:t>).</w:t>
      </w:r>
    </w:p>
    <w:p>
      <w:pPr>
        <w:pStyle w:val="Heading3"/>
      </w:pPr>
      <w:r>
        <w:t>O Coração Espiritual</w:t>
      </w:r>
    </w:p>
    <w:p>
      <w:r/>
      <w:r>
        <w:t>O coração é especialmente importante na religião bíblica. O mistério do eu oculto é totalmente conhecido por Deus e por Cristo (</w:t>
      </w:r>
      <w:hyperlink r:id="rId5710">
        <w:r>
          <w:rPr>
            <w:color w:val="0000EE"/>
            <w:u w:val="single"/>
          </w:rPr>
          <w:t>Jr 17.10</w:t>
        </w:r>
      </w:hyperlink>
      <w:r>
        <w:t xml:space="preserve">; </w:t>
      </w:r>
      <w:hyperlink r:id="rId5711">
        <w:r>
          <w:rPr>
            <w:color w:val="0000EE"/>
            <w:u w:val="single"/>
          </w:rPr>
          <w:t>Lc 9.47</w:t>
        </w:r>
      </w:hyperlink>
      <w:r>
        <w:t xml:space="preserve">; </w:t>
      </w:r>
      <w:hyperlink r:id="rId5712">
        <w:r>
          <w:rPr>
            <w:color w:val="0000EE"/>
            <w:u w:val="single"/>
          </w:rPr>
          <w:t>Rm 8.27</w:t>
        </w:r>
      </w:hyperlink>
      <w:r>
        <w:t>), e o coração é a base de nosso conhecimento de Deus (</w:t>
      </w:r>
      <w:hyperlink r:id="rId5713">
        <w:r>
          <w:rPr>
            <w:color w:val="0000EE"/>
            <w:u w:val="single"/>
          </w:rPr>
          <w:t>2Co 4.6</w:t>
        </w:r>
      </w:hyperlink>
      <w:r>
        <w:t>). O estado do coração governa a visão de Deus (</w:t>
      </w:r>
      <w:hyperlink r:id="rId5714">
        <w:r>
          <w:rPr>
            <w:color w:val="0000EE"/>
            <w:u w:val="single"/>
          </w:rPr>
          <w:t>Mt 5.8</w:t>
        </w:r>
      </w:hyperlink>
      <w:r>
        <w:t>); do coração se fala com Deus (</w:t>
      </w:r>
      <w:hyperlink r:id="rId5715">
        <w:r>
          <w:rPr>
            <w:color w:val="0000EE"/>
            <w:u w:val="single"/>
          </w:rPr>
          <w:t>Sl 27.8</w:t>
        </w:r>
      </w:hyperlink>
      <w:r>
        <w:t>); o coração é o local da habitação divina (</w:t>
      </w:r>
      <w:hyperlink r:id="rId887">
        <w:r>
          <w:rPr>
            <w:color w:val="0000EE"/>
            <w:u w:val="single"/>
          </w:rPr>
          <w:t>2Co 1.22</w:t>
        </w:r>
      </w:hyperlink>
      <w:r>
        <w:t xml:space="preserve">; </w:t>
      </w:r>
      <w:hyperlink r:id="rId5716">
        <w:r>
          <w:rPr>
            <w:color w:val="0000EE"/>
            <w:u w:val="single"/>
          </w:rPr>
          <w:t>Gl 4.6</w:t>
        </w:r>
      </w:hyperlink>
      <w:r>
        <w:t xml:space="preserve">; </w:t>
      </w:r>
      <w:hyperlink r:id="rId5717">
        <w:r>
          <w:rPr>
            <w:color w:val="0000EE"/>
            <w:u w:val="single"/>
          </w:rPr>
          <w:t>Ef 3.17</w:t>
        </w:r>
      </w:hyperlink>
      <w:r>
        <w:t>).</w:t>
      </w:r>
    </w:p>
    <w:p>
      <w:r/>
      <w:r>
        <w:t>Por outro lado, o mal moral no coração é visto na perspectiva bíblica como pecado contra Deus. Os corações sem sentido estão em trevas, muitas vezes secretamente idólatras, longe de Deus, “injustos” diante de Deus (</w:t>
      </w:r>
      <w:hyperlink r:id="rId5718">
        <w:r>
          <w:rPr>
            <w:color w:val="0000EE"/>
            <w:u w:val="single"/>
          </w:rPr>
          <w:t>Dt 29.18–19</w:t>
        </w:r>
      </w:hyperlink>
      <w:r>
        <w:t xml:space="preserve">; </w:t>
      </w:r>
      <w:hyperlink r:id="rId5719">
        <w:r>
          <w:rPr>
            <w:color w:val="0000EE"/>
            <w:u w:val="single"/>
          </w:rPr>
          <w:t>Mt 15.8</w:t>
        </w:r>
      </w:hyperlink>
      <w:r>
        <w:t xml:space="preserve">; </w:t>
      </w:r>
      <w:hyperlink r:id="rId5720">
        <w:r>
          <w:rPr>
            <w:color w:val="0000EE"/>
            <w:u w:val="single"/>
          </w:rPr>
          <w:t>At 8.21</w:t>
        </w:r>
      </w:hyperlink>
      <w:r>
        <w:t xml:space="preserve">; </w:t>
      </w:r>
      <w:hyperlink r:id="rId5721">
        <w:r>
          <w:rPr>
            <w:color w:val="0000EE"/>
            <w:u w:val="single"/>
          </w:rPr>
          <w:t>Rm 1.21</w:t>
        </w:r>
      </w:hyperlink>
      <w:r>
        <w:t>). No entanto, o Senhor não desprezará um coração quebrantado e arrependido (</w:t>
      </w:r>
      <w:hyperlink r:id="rId5722">
        <w:r>
          <w:rPr>
            <w:color w:val="0000EE"/>
            <w:u w:val="single"/>
          </w:rPr>
          <w:t>Sl 51.17</w:t>
        </w:r>
      </w:hyperlink>
      <w:r>
        <w:t>). Quando o coração de alguém está voltado para Deus, ele promete torná-lo sensível às coisas divinas, renovado e purificado (</w:t>
      </w:r>
      <w:hyperlink r:id="rId5723">
        <w:r>
          <w:rPr>
            <w:color w:val="0000EE"/>
            <w:u w:val="single"/>
          </w:rPr>
          <w:t>Dt 4.29</w:t>
        </w:r>
      </w:hyperlink>
      <w:r>
        <w:t xml:space="preserve">; </w:t>
      </w:r>
      <w:hyperlink r:id="rId5724">
        <w:r>
          <w:rPr>
            <w:color w:val="0000EE"/>
            <w:u w:val="single"/>
          </w:rPr>
          <w:t>2Rs 23.25</w:t>
        </w:r>
      </w:hyperlink>
      <w:r>
        <w:t xml:space="preserve">; </w:t>
      </w:r>
      <w:hyperlink r:id="rId5725">
        <w:r>
          <w:rPr>
            <w:color w:val="0000EE"/>
            <w:u w:val="single"/>
          </w:rPr>
          <w:t>Sl 51.10</w:t>
        </w:r>
      </w:hyperlink>
      <w:r>
        <w:t xml:space="preserve">; </w:t>
      </w:r>
      <w:hyperlink r:id="rId5726">
        <w:r>
          <w:rPr>
            <w:color w:val="0000EE"/>
            <w:u w:val="single"/>
          </w:rPr>
          <w:t>Jl 2.13</w:t>
        </w:r>
      </w:hyperlink>
      <w:r>
        <w:t xml:space="preserve">; </w:t>
      </w:r>
      <w:hyperlink r:id="rId4969">
        <w:r>
          <w:rPr>
            <w:color w:val="0000EE"/>
            <w:u w:val="single"/>
          </w:rPr>
          <w:t>Ez 36.25–27</w:t>
        </w:r>
      </w:hyperlink>
      <w:r>
        <w:t>). A lei de Deus então será escrita no coração como o guia interior e incentivo (</w:t>
      </w:r>
      <w:hyperlink r:id="rId5727">
        <w:r>
          <w:rPr>
            <w:color w:val="0000EE"/>
            <w:u w:val="single"/>
          </w:rPr>
          <w:t>Jr 31.33</w:t>
        </w:r>
      </w:hyperlink>
      <w:r>
        <w:t xml:space="preserve">; </w:t>
      </w:r>
      <w:hyperlink r:id="rId5728">
        <w:r>
          <w:rPr>
            <w:color w:val="0000EE"/>
            <w:u w:val="single"/>
          </w:rPr>
          <w:t>Hb 8.10</w:t>
        </w:r>
      </w:hyperlink>
      <w:r>
        <w:t xml:space="preserve">; cf. </w:t>
      </w:r>
      <w:hyperlink r:id="rId5729">
        <w:r>
          <w:rPr>
            <w:color w:val="0000EE"/>
            <w:u w:val="single"/>
          </w:rPr>
          <w:t>2Co 3.2–3</w:t>
        </w:r>
      </w:hyperlink>
      <w:r>
        <w:t>).</w:t>
      </w:r>
    </w:p>
    <w:p>
      <w:r/>
      <w:r>
        <w:t>Em termos cristãos, tal transformação envolve acreditar no evangelho de “coração honesto e bom” que fornece solo frutífero para a Palavra de Deus (</w:t>
      </w:r>
      <w:hyperlink r:id="rId5697">
        <w:r>
          <w:rPr>
            <w:color w:val="0000EE"/>
            <w:u w:val="single"/>
          </w:rPr>
          <w:t>Lc 8.15</w:t>
        </w:r>
      </w:hyperlink>
      <w:r>
        <w:t xml:space="preserve">; </w:t>
      </w:r>
      <w:hyperlink r:id="rId5730">
        <w:r>
          <w:rPr>
            <w:color w:val="0000EE"/>
            <w:u w:val="single"/>
          </w:rPr>
          <w:t>Rm 10.9</w:t>
        </w:r>
      </w:hyperlink>
      <w:r>
        <w:t>). O verdadeiro coração se aproxima de Deus, o ama com todo o seu intelecto, sentimento e vontade (</w:t>
      </w:r>
      <w:hyperlink r:id="rId5731">
        <w:r>
          <w:rPr>
            <w:color w:val="0000EE"/>
            <w:u w:val="single"/>
          </w:rPr>
          <w:t>Lc 10.27</w:t>
        </w:r>
      </w:hyperlink>
      <w:r>
        <w:t xml:space="preserve">; </w:t>
      </w:r>
      <w:hyperlink r:id="rId3048">
        <w:r>
          <w:rPr>
            <w:color w:val="0000EE"/>
            <w:u w:val="single"/>
          </w:rPr>
          <w:t>Hb 10.22</w:t>
        </w:r>
      </w:hyperlink>
      <w:r>
        <w:t>). Então Deus dá força, recompensa, renovação, graça, paz e alegria ao coração (</w:t>
      </w:r>
      <w:hyperlink r:id="rId5732">
        <w:r>
          <w:rPr>
            <w:color w:val="0000EE"/>
            <w:u w:val="single"/>
          </w:rPr>
          <w:t>Sl 73.26</w:t>
        </w:r>
      </w:hyperlink>
      <w:r>
        <w:t xml:space="preserve">; </w:t>
      </w:r>
      <w:hyperlink r:id="rId5733">
        <w:r>
          <w:rPr>
            <w:color w:val="0000EE"/>
            <w:u w:val="single"/>
          </w:rPr>
          <w:t>Is 57.15</w:t>
        </w:r>
      </w:hyperlink>
      <w:r>
        <w:t xml:space="preserve">; </w:t>
      </w:r>
      <w:hyperlink r:id="rId4689">
        <w:r>
          <w:rPr>
            <w:color w:val="0000EE"/>
            <w:u w:val="single"/>
          </w:rPr>
          <w:t>At 2.46</w:t>
        </w:r>
      </w:hyperlink>
      <w:r>
        <w:t xml:space="preserve">; </w:t>
      </w:r>
      <w:hyperlink r:id="rId51">
        <w:r>
          <w:rPr>
            <w:color w:val="0000EE"/>
            <w:u w:val="single"/>
          </w:rPr>
          <w:t>Fp 4.7</w:t>
        </w:r>
      </w:hyperlink>
      <w:r>
        <w:t xml:space="preserve">; </w:t>
      </w:r>
      <w:hyperlink r:id="rId5734">
        <w:r>
          <w:rPr>
            <w:color w:val="0000EE"/>
            <w:u w:val="single"/>
          </w:rPr>
          <w:t>Hb 13.9</w:t>
        </w:r>
      </w:hyperlink>
      <w:r>
        <w:t>). Então o ideal antigo se torna possível novamente, o de ser “um homem segundo o coração do próprio Deus” (</w:t>
      </w:r>
      <w:hyperlink r:id="rId5735">
        <w:r>
          <w:rPr>
            <w:color w:val="0000EE"/>
            <w:u w:val="single"/>
          </w:rPr>
          <w:t>1Sm 13.14</w:t>
        </w:r>
      </w:hyperlink>
      <w:r>
        <w:t xml:space="preserve">; </w:t>
      </w:r>
      <w:hyperlink r:id="rId5736">
        <w:r>
          <w:rPr>
            <w:color w:val="0000EE"/>
            <w:u w:val="single"/>
          </w:rPr>
          <w:t>At 13.22</w:t>
        </w:r>
      </w:hyperlink>
      <w:r>
        <w:t>).</w:t>
      </w:r>
      <w:r/>
      <w:r/>
    </w:p>
    <w:p>
      <w:r/>
    </w:p>
    <w:p>
      <w:pPr>
        <w:pStyle w:val="Heading2"/>
      </w:pPr>
      <w:r>
        <w:t>Coraíta, coratita</w:t>
      </w:r>
      <w:r/>
    </w:p>
    <w:p>
      <w:r/>
      <w:r>
        <w:t>Um membro da tribo de Levi, da divisão de Coate (</w:t>
      </w:r>
      <w:hyperlink r:id="rId5737">
        <w:r>
          <w:rPr>
            <w:color w:val="0000EE"/>
            <w:u w:val="single"/>
          </w:rPr>
          <w:t>Êx 6.18,21</w:t>
        </w:r>
      </w:hyperlink>
      <w:r>
        <w:t>).</w:t>
      </w:r>
    </w:p>
    <w:p>
      <w:r/>
      <w:r>
        <w:t>Seu ancestral, Isar, era membro da família sacerdotal e estava relacionado a Moisés e Arão. Corá, Datã e Abirão lideraram uma rebelião contra Moisés e Arão, que terminou com a morte de muitos coraítas (</w:t>
      </w:r>
      <w:hyperlink r:id="rId5635">
        <w:r>
          <w:rPr>
            <w:color w:val="0000EE"/>
            <w:u w:val="single"/>
          </w:rPr>
          <w:t>Nm 16.31–35</w:t>
        </w:r>
      </w:hyperlink>
      <w:r>
        <w:t>). Somente aqueles que não participaram da rebelião sobreviveram (</w:t>
      </w:r>
      <w:hyperlink r:id="rId5633">
        <w:r>
          <w:rPr>
            <w:color w:val="0000EE"/>
            <w:u w:val="single"/>
          </w:rPr>
          <w:t>Nm 16.11</w:t>
        </w:r>
      </w:hyperlink>
      <w:r>
        <w:t>). Eles se estabeleceram ao redor de Hebrom em áreas reservadas para os levitas (</w:t>
      </w:r>
      <w:hyperlink r:id="rId5738">
        <w:r>
          <w:rPr>
            <w:color w:val="0000EE"/>
            <w:u w:val="single"/>
          </w:rPr>
          <w:t>Nm 26.58</w:t>
        </w:r>
      </w:hyperlink>
      <w:r>
        <w:t>).</w:t>
      </w:r>
    </w:p>
    <w:p>
      <w:r/>
      <w:r>
        <w:t xml:space="preserve">Os coraítas eram conhecidos como cantores do templo, de acordo com </w:t>
      </w:r>
      <w:hyperlink r:id="rId5739">
        <w:r>
          <w:rPr>
            <w:color w:val="0000EE"/>
            <w:u w:val="single"/>
          </w:rPr>
          <w:t>Salmos 42</w:t>
        </w:r>
      </w:hyperlink>
      <w:r>
        <w:t xml:space="preserve">, </w:t>
      </w:r>
      <w:hyperlink r:id="rId5740">
        <w:r>
          <w:rPr>
            <w:color w:val="0000EE"/>
            <w:u w:val="single"/>
          </w:rPr>
          <w:t>44–49</w:t>
        </w:r>
      </w:hyperlink>
      <w:r>
        <w:t xml:space="preserve">, </w:t>
      </w:r>
      <w:hyperlink r:id="rId5741">
        <w:r>
          <w:rPr>
            <w:color w:val="0000EE"/>
            <w:u w:val="single"/>
          </w:rPr>
          <w:t>84–85</w:t>
        </w:r>
      </w:hyperlink>
      <w:r>
        <w:t xml:space="preserve"> e </w:t>
      </w:r>
      <w:hyperlink r:id="rId5742">
        <w:r>
          <w:rPr>
            <w:color w:val="0000EE"/>
            <w:u w:val="single"/>
          </w:rPr>
          <w:t>87–88</w:t>
        </w:r>
      </w:hyperlink>
      <w:r>
        <w:t>. Davi os encarregou do serviço musical na casa do Senhor depois que a Arca da Aliança foi trazida para Jerusalém (</w:t>
      </w:r>
      <w:hyperlink r:id="rId5743">
        <w:r>
          <w:rPr>
            <w:color w:val="0000EE"/>
            <w:u w:val="single"/>
          </w:rPr>
          <w:t>1Cr 6.31–33</w:t>
        </w:r>
      </w:hyperlink>
      <w:r>
        <w:t>). Eles também atuavam como porteiros (</w:t>
      </w:r>
      <w:hyperlink r:id="rId5744">
        <w:r>
          <w:rPr>
            <w:color w:val="0000EE"/>
            <w:u w:val="single"/>
          </w:rPr>
          <w:t>1Cr 9.19</w:t>
        </w:r>
      </w:hyperlink>
      <w:r>
        <w:t xml:space="preserve">; </w:t>
      </w:r>
      <w:hyperlink r:id="rId5745">
        <w:r>
          <w:rPr>
            <w:color w:val="0000EE"/>
            <w:u w:val="single"/>
          </w:rPr>
          <w:t>26.19</w:t>
        </w:r>
      </w:hyperlink>
      <w:r>
        <w:t>). Eles assavam bolos usados em sacrifícios (</w:t>
      </w:r>
      <w:hyperlink r:id="rId5746">
        <w:r>
          <w:rPr>
            <w:color w:val="0000EE"/>
            <w:u w:val="single"/>
          </w:rPr>
          <w:t>1Cr 9.31</w:t>
        </w:r>
      </w:hyperlink>
      <w:r>
        <w:t>). Eles são mencionados como cantores na celebração da vitória de Josafá sobre Amom e Moabe (</w:t>
      </w:r>
      <w:hyperlink r:id="rId5035">
        <w:r>
          <w:rPr>
            <w:color w:val="0000EE"/>
            <w:u w:val="single"/>
          </w:rPr>
          <w:t>2Cr 20.19</w:t>
        </w:r>
      </w:hyperlink>
      <w:r>
        <w:t>).</w:t>
      </w:r>
    </w:p>
    <w:p>
      <w:r/>
      <w:r>
        <w:rPr>
          <w:i/>
        </w:rPr>
        <w:t>Veja também</w:t>
      </w:r>
      <w:r>
        <w:t xml:space="preserve"> </w:t>
      </w:r>
      <w:r>
        <w:t>Corá nº 3</w:t>
      </w:r>
      <w:r>
        <w:t>.</w:t>
      </w:r>
      <w:r/>
      <w:r/>
    </w:p>
    <w:p>
      <w:r/>
    </w:p>
    <w:p>
      <w:pPr>
        <w:pStyle w:val="Heading2"/>
      </w:pPr>
      <w:r>
        <w:t>Corante, tingimento, tingidor</w:t>
      </w:r>
      <w:r/>
    </w:p>
    <w:p>
      <w:r/>
      <w:r>
        <w:t>Um corante é uma substância colorida usada para mudar a cor de têxteis, couro e outros materiais. Tingimento é o processo de aplicar essas cores aos materiais. Um tintureiro é uma pessoa que trabalha com corantes para colorir tecidos e outros materiais. A prática de tingir materiais existia no Oriente Próximo mesmo antes do tempo de Abraão. A Bíblia menciona quatro cores de corantes: púrpura, azul (na verdade, um tom de violeta), carmesim e escarlate.</w:t>
      </w:r>
    </w:p>
    <w:p>
      <w:pPr>
        <w:pStyle w:val="Heading3"/>
      </w:pPr>
      <w:r>
        <w:t>Corantes Roxo e Azul</w:t>
      </w:r>
    </w:p>
    <w:p>
      <w:r/>
      <w:r>
        <w:t>Os corantes roxo e azul eram obtidos de pequenos moluscos murex encontrados ao longo da costa fenícia. O corante era um líquido especial produzido por esses moluscos. Quando exposto ao ar, esse líquido mudava de cor de amarelado-branco para vermelho, violeta ou roxo, dependendo do tratamento que recebia. Como esse corante era caro de produzir, apenas pessoas ricas podiam se dar ao luxo de usar roupas roxas. O roxo, portanto, tornou-se um símbolo de realeza e riqueza. O corante era comumente conhecido como "roxo de Tiro" porque as cidades fenícias de Tiro e Sidom eram os principais fornecedores (</w:t>
      </w:r>
      <w:hyperlink r:id="rId1573">
        <w:r>
          <w:rPr>
            <w:color w:val="0000EE"/>
            <w:u w:val="single"/>
          </w:rPr>
          <w:t>Ezequiel 27.16</w:t>
        </w:r>
      </w:hyperlink>
      <w:r>
        <w:t>).</w:t>
      </w:r>
    </w:p>
    <w:p>
      <w:pPr>
        <w:pStyle w:val="Heading3"/>
      </w:pPr>
      <w:r>
        <w:t>Corantes Carmim e Escarlate</w:t>
      </w:r>
    </w:p>
    <w:p>
      <w:r/>
      <w:r>
        <w:t xml:space="preserve">Crimson e escarlate eram cores vermelhas brilhantes obtidas do inseto kermes (uma pequena larva que se alimenta de um tipo de carvalho que cresce no sul da Europa e na Ásia Menor). Alguns tintureiros sírios ainda usam kermes hoje em dia, mesmo que tinturas europeias artificiais estejam disponíveis. As "peles de carneiros curtidas" mencionadas em </w:t>
      </w:r>
      <w:hyperlink r:id="rId5747">
        <w:r>
          <w:rPr>
            <w:color w:val="0000EE"/>
            <w:u w:val="single"/>
          </w:rPr>
          <w:t>Êxodo 25.5</w:t>
        </w:r>
      </w:hyperlink>
      <w:r>
        <w:t xml:space="preserve"> ainda são feitas na Síria. A pele curtida é esfregada com tinta feita fervendo o kermes em água. Quando seca, a pele é oleada, polida e usada para chinelos beduínos e outros belos itens de couro.</w:t>
      </w:r>
    </w:p>
    <w:p>
      <w:r/>
      <w:r>
        <w:t>Os “bens púrpura” vendidos por Lídia de Tiatira eram, na verdade, de uma cor vermelha opaca, agora às vezes chamada de "vermelho da Turquia" (</w:t>
      </w:r>
      <w:hyperlink r:id="rId1857">
        <w:r>
          <w:rPr>
            <w:color w:val="0000EE"/>
            <w:u w:val="single"/>
          </w:rPr>
          <w:t>At 16.14</w:t>
        </w:r>
      </w:hyperlink>
      <w:r>
        <w:t>). Essa cor vinha da raiz da planta de ruiva. Era usada tanto para exportação para a Europa quanto para uso local na tintura de algodão e lã para tapetes e roupas. O cultivo de ruiva era uma indústria importante em Chipre e Síria. Um pai plantaria um novo campo de ruiva para cada filho nascido, que eventualmente se tornaria a herança desse filho. Tiatira tinha um grupo especial de trabalhadores chamado de guilda dos tintureiros.</w:t>
      </w:r>
    </w:p>
    <w:p>
      <w:r/>
      <w:r>
        <w:rPr>
          <w:i/>
        </w:rPr>
        <w:t>Veja também</w:t>
      </w:r>
      <w:r>
        <w:t xml:space="preserve"> </w:t>
      </w:r>
      <w:r>
        <w:t>Tecido e Fabricação de Tecidos</w:t>
      </w:r>
      <w:r>
        <w:t>.</w:t>
      </w:r>
      <w:r/>
      <w:r/>
    </w:p>
    <w:p>
      <w:r/>
    </w:p>
    <w:p>
      <w:pPr>
        <w:pStyle w:val="Heading2"/>
      </w:pPr>
      <w:r>
        <w:t>Corbã*</w:t>
      </w:r>
      <w:r/>
    </w:p>
    <w:p>
      <w:r/>
      <w:r>
        <w:t>Transliteração grega de um termo hebraico (</w:t>
      </w:r>
      <w:r>
        <w:rPr>
          <w:i/>
        </w:rPr>
        <w:t>korban</w:t>
      </w:r>
      <w:r>
        <w:t xml:space="preserve">) que ocorre apenas em </w:t>
      </w:r>
      <w:r>
        <w:rPr>
          <w:i/>
        </w:rPr>
        <w:t>Mc 7.11</w:t>
      </w:r>
      <w:r>
        <w:t xml:space="preserve">, onde Marcos fornece uma explicação editorial: </w:t>
      </w:r>
      <w:hyperlink r:id="rId5748">
        <w:r>
          <w:rPr>
            <w:color w:val="0000EE"/>
            <w:u w:val="single"/>
          </w:rPr>
          <w:t>corbã</w:t>
        </w:r>
      </w:hyperlink>
      <w:r>
        <w:t xml:space="preserve"> é “dado”, isto é, “dedicado ou dado a Deus”. Assim, corbã é uma oferta.</w:t>
      </w:r>
    </w:p>
    <w:p>
      <w:r/>
      <w:r>
        <w:t xml:space="preserve">A lei judaica permitia que os indivíduos reservassem seu serviço ou propriedade como “dedicado a Deus”, removendo-o assim do uso profano e dando-lhe o caráter de uma oferta destinada a Deus. Fazer isso era uma decisão séria (de acordo com a Mishná, Nedarim) e era raramente revertida (Nedarim 5), quem violasse um voto de corbã corria o risco de enfrentar graves consequências de julgamento divino. Em </w:t>
      </w:r>
      <w:hyperlink r:id="rId5749">
        <w:r>
          <w:rPr>
            <w:color w:val="0000EE"/>
            <w:u w:val="single"/>
          </w:rPr>
          <w:t>Mc 7</w:t>
        </w:r>
      </w:hyperlink>
      <w:r>
        <w:t xml:space="preserve">, Jesus castiga os escribas porque, teoricamente, um filho poderia excluir seus pais de obter qualquer benefício de sua propriedade declarando sua propriedade “corbã a eles”. Isso, de fato, anula o quinto mandamento (veja </w:t>
      </w:r>
      <w:hyperlink r:id="rId5750">
        <w:r>
          <w:rPr>
            <w:color w:val="0000EE"/>
            <w:u w:val="single"/>
          </w:rPr>
          <w:t>Êx 20.12</w:t>
        </w:r>
      </w:hyperlink>
      <w:r>
        <w:t>), estabelecendo tradições rabínicas contra a lei de Moisés. Pior ainda, se o filho se arrependesse de seu voto — argumentando que havia sido feito às pressas — um tribunal rabínico, sem dúvida, proibiria uma reversão de corbã (</w:t>
      </w:r>
      <w:hyperlink r:id="rId5751">
        <w:r>
          <w:rPr>
            <w:color w:val="0000EE"/>
            <w:u w:val="single"/>
          </w:rPr>
          <w:t>Mc 7.12</w:t>
        </w:r>
      </w:hyperlink>
      <w:r>
        <w:t xml:space="preserve">; cf </w:t>
      </w:r>
      <w:hyperlink r:id="rId5752">
        <w:r>
          <w:rPr>
            <w:color w:val="0000EE"/>
            <w:u w:val="single"/>
          </w:rPr>
          <w:t>Nm 30.1–2</w:t>
        </w:r>
      </w:hyperlink>
      <w:r>
        <w:t>).</w:t>
      </w:r>
      <w:r/>
      <w:r/>
    </w:p>
    <w:p>
      <w:r/>
    </w:p>
    <w:p>
      <w:pPr>
        <w:pStyle w:val="Heading2"/>
      </w:pPr>
      <w:r>
        <w:t>Corça</w:t>
      </w:r>
      <w:r/>
    </w:p>
    <w:p>
      <w:r/>
      <w:r>
        <w:t>Uma corça é uma fêmea do veado (</w:t>
      </w:r>
      <w:hyperlink r:id="rId1591">
        <w:r>
          <w:rPr>
            <w:color w:val="0000EE"/>
            <w:u w:val="single"/>
          </w:rPr>
          <w:t>Pv 5.19</w:t>
        </w:r>
      </w:hyperlink>
      <w:r>
        <w:t>).</w:t>
      </w:r>
    </w:p>
    <w:p>
      <w:r/>
      <w:r>
        <w:rPr>
          <w:i/>
        </w:rPr>
        <w:t>Veja</w:t>
      </w:r>
      <w:r>
        <w:t xml:space="preserve"> </w:t>
      </w:r>
      <w:r>
        <w:t>Veado</w:t>
      </w:r>
      <w:r>
        <w:t>.</w:t>
      </w:r>
      <w:r/>
      <w:r/>
    </w:p>
    <w:p>
      <w:r/>
    </w:p>
    <w:p>
      <w:pPr>
        <w:pStyle w:val="Heading2"/>
      </w:pPr>
      <w:r>
        <w:t>Cordeiro de Deus</w:t>
      </w:r>
      <w:r/>
    </w:p>
    <w:p>
      <w:r/>
      <w:r>
        <w:t>Um termo geral usado duas vezes por João Batista quando viu Jesus (</w:t>
      </w:r>
      <w:hyperlink r:id="rId5753">
        <w:r>
          <w:rPr>
            <w:color w:val="0000EE"/>
            <w:u w:val="single"/>
          </w:rPr>
          <w:t>Jo 1.29,36</w:t>
        </w:r>
      </w:hyperlink>
      <w:r>
        <w:t>). Na primeira vez, João acrescentou: "que tira o pecado do mundo!" João não explicou o que o termo significava. Os cristãos usam esse termo com frequência, mas o que ele significa? Por que alguém seria chamado de "Cordeiro de Deus"?</w:t>
      </w:r>
    </w:p>
    <w:p>
      <w:pPr>
        <w:pStyle w:val="Heading3"/>
      </w:pPr>
      <w:r>
        <w:t>O cordeiro da Páscoa</w:t>
      </w:r>
    </w:p>
    <w:p>
      <w:r/>
      <w:r>
        <w:t>Alguns estudiosos acreditam que João viu Jesus cumprindo tudo o que a Páscoa significa e que esta é uma forma de se referir ao cordeiro pascal. O quarto Evangelho coloca a morte de Jesus no momento em que os sacrifícios da Páscoa eram realizados. No entanto, "cordeiro pascal" é uma expressão moderna. Não se conhecem exemplos de seu uso nos tempos antigos. Quando as pessoas queriam se referir ao animal sacrificado para este sacrifício, elas simplesmente o chamavam de "a Páscoa" (</w:t>
      </w:r>
      <w:hyperlink r:id="rId5754">
        <w:r>
          <w:rPr>
            <w:color w:val="0000EE"/>
            <w:u w:val="single"/>
          </w:rPr>
          <w:t>Êx 12.21</w:t>
        </w:r>
      </w:hyperlink>
      <w:r>
        <w:t xml:space="preserve">, compare </w:t>
      </w:r>
      <w:hyperlink r:id="rId4668">
        <w:r>
          <w:rPr>
            <w:color w:val="0000EE"/>
            <w:u w:val="single"/>
          </w:rPr>
          <w:t>1Co 5.7</w:t>
        </w:r>
      </w:hyperlink>
      <w:r>
        <w:t>). O animal da Páscoa nem sempre era um cordeiro. Poderia ser, e muitas vezes era, um cabrito jovem. Não há uma razão clara para conectar a Páscoa com a expressão "Cordeiro de Deus".</w:t>
      </w:r>
    </w:p>
    <w:p>
      <w:pPr>
        <w:pStyle w:val="Heading3"/>
      </w:pPr>
      <w:r>
        <w:t>O cordeiro na profecia de Isaías</w:t>
      </w:r>
    </w:p>
    <w:p>
      <w:r/>
      <w:r>
        <w:t xml:space="preserve">Alguns estudiosos acreditam que a imagem vem de </w:t>
      </w:r>
      <w:hyperlink r:id="rId3618">
        <w:r>
          <w:rPr>
            <w:color w:val="0000EE"/>
            <w:u w:val="single"/>
          </w:rPr>
          <w:t>Isaías 53</w:t>
        </w:r>
      </w:hyperlink>
      <w:r>
        <w:t xml:space="preserve">. Eles veem o cordeiro levado ao matadouro no versículo </w:t>
      </w:r>
      <w:hyperlink r:id="rId1837">
        <w:r>
          <w:rPr>
            <w:color w:val="0000EE"/>
            <w:u w:val="single"/>
          </w:rPr>
          <w:t>7</w:t>
        </w:r>
      </w:hyperlink>
      <w:r>
        <w:t xml:space="preserve"> como uma referência ao Messias (o escolhido de Deus).</w:t>
      </w:r>
    </w:p>
    <w:p>
      <w:pPr>
        <w:pStyle w:val="Heading3"/>
      </w:pPr>
      <w:r>
        <w:t>O cordeiro nos escritos apocalípticos</w:t>
      </w:r>
    </w:p>
    <w:p>
      <w:r/>
      <w:r>
        <w:t>Alguns estudiosos acreditam que há uma referência ao cordeiro triunfante encontrado em escritos apocalípticos. Os escritores da literatura apocalíptica usavam imagens vívidas para revelar seu significado aos iniciados e escondê-lo dos de fora. Eles às vezes usavam o cordeiro como símbolo de um conquistador (compare o uso de "o Cordeiro" para "o Poderoso" em Apocalipse). Esses estudiosos acreditam que João estava apontando para Jesus como o Messias, rei de Israel. Muitos acham essa visão atraente. A posição real que ela confere a Jesus certamente se encaixa com o Evangelho de João. Mas essa visão tem um problema. João estava falando sobre um Cordeiro que tira o pecado, enquanto o cordeiro apocalíptico é normalmente um conquistador. Esses são papéis diferentes. Além disso, não é fácil ver como os leitores não-judeus do Evangelho teriam entendido a imagem apocalíptica quando foi escrita.</w:t>
      </w:r>
    </w:p>
    <w:p>
      <w:pPr>
        <w:pStyle w:val="Heading3"/>
      </w:pPr>
      <w:r>
        <w:t>Outros possíveis significados</w:t>
      </w:r>
    </w:p>
    <w:p>
      <w:r/>
      <w:r>
        <w:t>Existem outras sugestões. O "manso cordeiro" (</w:t>
      </w:r>
      <w:hyperlink r:id="rId1850">
        <w:r>
          <w:rPr>
            <w:color w:val="0000EE"/>
            <w:u w:val="single"/>
          </w:rPr>
          <w:t>Jr 11.19</w:t>
        </w:r>
      </w:hyperlink>
      <w:r>
        <w:t>), o sacrifício diário no templo, o bode expiatório (um animal que simbolicamente levava os pecados do povo) e a oferta pela culpa foram todos sugeridos com alguma confiança. No entanto, ninguém apresentou evidências de que algum desses foi chamado de "cordeiro de Deus".</w:t>
      </w:r>
    </w:p>
    <w:p>
      <w:pPr>
        <w:pStyle w:val="Heading3"/>
      </w:pPr>
      <w:r>
        <w:t>O significado do sacrifício</w:t>
      </w:r>
    </w:p>
    <w:p>
      <w:r/>
      <w:r>
        <w:t>No Antigo Testamento, as passagens que se referem a um cordeiro quase sempre falam de sacrifício (85 de um total de 96). Combinado com uma referência à remoção do pecado, é difícil não ver uma alusão à expiação sacrificial (fazer as pazes entre Deus e os humanos). Tipicamente, o cordeiro nas Escrituras elimina o pecado sendo sacrificado. "O Cordeiro de Deus" significa que essa provisão é feita pelo próprio Deus. Uma referência ao sacrifício parece clara, mas é difícil estabelecer uma conexão com qualquer sacrifício específico. Cristo cumpriu perfeitamente tudo o que os sacrifícios do Antigo Testamento apontavam. O Cordeiro de Deus elimina o pecado de uma vez por todas.</w:t>
      </w:r>
    </w:p>
    <w:p>
      <w:r/>
      <w:r>
        <w:rPr>
          <w:i/>
        </w:rPr>
        <w:t>Veja também</w:t>
      </w:r>
      <w:r>
        <w:t xml:space="preserve"> </w:t>
      </w:r>
      <w:r>
        <w:t>Festas e festivais de Israel</w:t>
      </w:r>
      <w:r>
        <w:t xml:space="preserve">; </w:t>
      </w:r>
      <w:r>
        <w:t>João, o Apóstolo</w:t>
      </w:r>
      <w:r>
        <w:t xml:space="preserve">; </w:t>
      </w:r>
      <w:r>
        <w:t>João, Evangelho de</w:t>
      </w:r>
      <w:r>
        <w:t>.</w:t>
      </w:r>
      <w:r/>
      <w:r/>
    </w:p>
    <w:p>
      <w:r/>
    </w:p>
    <w:p>
      <w:pPr>
        <w:pStyle w:val="Heading2"/>
      </w:pPr>
      <w:r>
        <w:t>Coríntios, Primeira Carta Aos</w:t>
      </w:r>
      <w:r/>
    </w:p>
    <w:p>
      <w:r/>
      <w:r>
        <w:t>Resumo</w:t>
      </w:r>
    </w:p>
    <w:p>
      <w:r/>
      <w:r>
        <w:t>• Autor</w:t>
      </w:r>
    </w:p>
    <w:p>
      <w:r/>
      <w:r>
        <w:t>• Data e Origem</w:t>
      </w:r>
    </w:p>
    <w:p>
      <w:r/>
      <w:r>
        <w:t>• Contexto</w:t>
      </w:r>
    </w:p>
    <w:p>
      <w:r/>
      <w:r>
        <w:t>• Propósito e ensino</w:t>
      </w:r>
    </w:p>
    <w:p>
      <w:r/>
      <w:r>
        <w:t>• Conteúdo</w:t>
      </w:r>
    </w:p>
    <w:p>
      <w:pPr>
        <w:pStyle w:val="Heading3"/>
      </w:pPr>
      <w:r>
        <w:t>Autor</w:t>
      </w:r>
    </w:p>
    <w:p>
      <w:r/>
      <w:r>
        <w:t>Não há dúvida sobre quem escreveu 1 Coríntios, pois todos os estudiosos concordam que o apóstolo Paulo a escreveu em sua terceira jornada missionária enquanto ele estava morando em Éfeso. Por esta altura, Paulo era um missionário maduro, de meia-idade (talvez 55 anos), totalmente experiente após plantar igrejas em torno de um quarto do mundo mediterrâneo.</w:t>
      </w:r>
    </w:p>
    <w:p>
      <w:pPr>
        <w:pStyle w:val="Heading3"/>
      </w:pPr>
      <w:r>
        <w:t>Data e Origem</w:t>
      </w:r>
    </w:p>
    <w:p>
      <w:r/>
      <w:r>
        <w:t>Paulo trabalhou em Corinto por volta de 50 a 52 d.C. Após uma breve estadia em Jerusalém, ele voltou para sua obra missionária, desta vez em Éfeso (</w:t>
      </w:r>
      <w:hyperlink r:id="rId2756">
        <w:r>
          <w:rPr>
            <w:color w:val="0000EE"/>
            <w:u w:val="single"/>
          </w:rPr>
          <w:t>Atos 19</w:t>
        </w:r>
      </w:hyperlink>
      <w:r>
        <w:t xml:space="preserve">), onde ele ministrou por três anos (53–55/56 d.C.). Durante este período, ele escreveu pelo menos três cartas a Corinto, além de fazer uma visita. Sua primeira carta, muitas vezes chamada de “a carta anterior”, é mencionada em </w:t>
      </w:r>
      <w:hyperlink r:id="rId5755">
        <w:r>
          <w:rPr>
            <w:color w:val="0000EE"/>
            <w:u w:val="single"/>
          </w:rPr>
          <w:t>1 Coríntios 5.9–11</w:t>
        </w:r>
      </w:hyperlink>
      <w:r>
        <w:t>. Sabemos através desta referência que a carta foi mal compreendida, contudo sabemos pouco sobre seu conteúdo, pois foi perdida.</w:t>
      </w:r>
    </w:p>
    <w:p>
      <w:r/>
      <w:r>
        <w:t>Em algum momento do ano 55 d.C., após ouvir relatos da casa de Cloé (</w:t>
      </w:r>
      <w:hyperlink r:id="rId4392">
        <w:r>
          <w:rPr>
            <w:color w:val="0000EE"/>
            <w:u w:val="single"/>
          </w:rPr>
          <w:t>1Co 1.11</w:t>
        </w:r>
      </w:hyperlink>
      <w:r>
        <w:t>), que provavelmente eram membros da igreja doméstica de Cloé, ele ditou uma segunda carta a Corinto, a qual conhecemos como "1 Coríntios". Esta foi provavelmente enviada através das mãos de Estêvão, Fortunato e Acaico (</w:t>
      </w:r>
      <w:hyperlink r:id="rId5756">
        <w:r>
          <w:rPr>
            <w:color w:val="0000EE"/>
            <w:u w:val="single"/>
          </w:rPr>
          <w:t>16.17</w:t>
        </w:r>
      </w:hyperlink>
      <w:r>
        <w:t>). Paulo mais tarde escreveria uma terceira carta a Corinto, chamada de “a carta das lágrimas” (</w:t>
      </w:r>
      <w:hyperlink r:id="rId5757">
        <w:r>
          <w:rPr>
            <w:color w:val="0000EE"/>
            <w:u w:val="single"/>
          </w:rPr>
          <w:t>2Co 2.2–3</w:t>
        </w:r>
      </w:hyperlink>
      <w:r>
        <w:t>), e então, finalmente, 2 Coríntios.</w:t>
      </w:r>
    </w:p>
    <w:p>
      <w:pPr>
        <w:pStyle w:val="Heading3"/>
      </w:pPr>
      <w:r>
        <w:t>Contexto</w:t>
      </w:r>
    </w:p>
    <w:p>
      <w:r/>
      <w:r>
        <w:t>Corinto era uma cidade portuária, destruída pelos romanos em 146 a.C. e reconstruída em 46 a.C. por Júlio César. Após o ano 27 a.C., se tornou a capital romana da Acaia, onde o procônsul tinha sua residência (</w:t>
      </w:r>
      <w:hyperlink r:id="rId4071">
        <w:r>
          <w:rPr>
            <w:color w:val="0000EE"/>
            <w:u w:val="single"/>
          </w:rPr>
          <w:t>Atos 18.12</w:t>
        </w:r>
      </w:hyperlink>
      <w:r>
        <w:t>). A cidade era na realidade composta por três cidades: o porto de Cencreia, a cerca de 13 quilômetros a leste, onde os navios do Egeu descarregavam; o porto de Lequeu, a cerca de 1,6 quilômetros a oeste, no Golfo de Corinto, onde os navios seriam recarregados, seus bens eram transportados em vagões ao longo do canal e os navios ficavam sobre rolos; além da própria cidade, que ficava no terreno alto do meio.</w:t>
      </w:r>
    </w:p>
    <w:p>
      <w:r/>
      <w:r>
        <w:t>A acrópole da cidade, no topo da íngreme e alta Acrocorinto, continha o templo de Afrodite, onde 1.000 escravas eram dedicadas ao serviço desta deusa do amor. Este distinto culto de Corinto era dedicado à veneração de Afrodite, deusa do amor, beleza e fertilidade, que é identificada com a Vênus romana. Associado a tais práticas religiosas estava uma degradação moral geral. A moral coríntia era notoriamente corrupta, mesmo quando comparada com a Roma pagã. Na cidade havia uma sinagoga (</w:t>
      </w:r>
      <w:hyperlink r:id="rId5758">
        <w:r>
          <w:rPr>
            <w:color w:val="0000EE"/>
            <w:u w:val="single"/>
          </w:rPr>
          <w:t>Atos 18.4</w:t>
        </w:r>
      </w:hyperlink>
      <w:r>
        <w:t>); pois apesar da cidade, como uma colônia romana, ser em grande parte povoada por italianos, ela havia atraído outros povos do Mediterrâneo, entre os quais estavam os judeus.</w:t>
      </w:r>
    </w:p>
    <w:p>
      <w:pPr>
        <w:pStyle w:val="Heading3"/>
      </w:pPr>
      <w:r>
        <w:t>Propósito e ensino</w:t>
      </w:r>
    </w:p>
    <w:p>
      <w:r/>
      <w:r>
        <w:t>A principal preocupação de Paulo em 1 Coríntios era a unidade da igreja. Havia um egocentrismo em Corinto que resultou na construção de conflitos dentro da igreja, visto que ostentavam conhecimento e liberdade diante de outros que ficavam escandalizados com isso, além de exibir egoísmo nos serviços de adoração.</w:t>
      </w:r>
    </w:p>
    <w:p>
      <w:r/>
      <w:r>
        <w:t>Duas outras grandes preocupações também surgem no livro. Primeiro, juntamente com outras práticas pagãs, a ética sexual relaxada de Corinto havia influenciado a igreja; Paulo precisava estabelecer algumas barreiras. Segundo, havia um problema em aceitar a ressurreição do corpo; Paulo percebeu que esta questão trazia implicações que poderiam abalar o fundamento da fé e, por isso, afirmou vigorosamente a ressurreição.</w:t>
      </w:r>
    </w:p>
    <w:p>
      <w:r/>
      <w:r>
        <w:t>Essas últimas duas áreas, bem como aspectos da questão sobre a unidade (especialmente seu interesse com o conhecimento), foram identificados por alguns estudiosos como influências gnósticas, levando à conclusão de que Paulo estava se opondo a um partido gnóstico em Corinto. Um exame minucioso revela, no entanto, que, embora alguns dos elementos que flutuavam no meio coríntio tenham posteriormente contribuído para o desenvolvimento do gnosticismo, seria anacrônico chamá-los de gnósticos. Ao reconhecer ideias proto-gnósticas na situação coríntia, é importante manter a interpretação dentro do contexto do primeiro século.</w:t>
      </w:r>
    </w:p>
    <w:p>
      <w:r/>
      <w:r>
        <w:t>Assim, o foco da preocupação de Paulo era a igreja, sua unidade e pureza. Paulo estava lutando para impedir que esta igreja se desintegrasse em várias facções concorrentes e se dividissem em conflito sobre questões morais e doutrinárias. Além disso, ele queria manter o foco da igreja em Jesus, o Senhor exaltado.</w:t>
      </w:r>
    </w:p>
    <w:p>
      <w:pPr>
        <w:pStyle w:val="Heading3"/>
      </w:pPr>
      <w:r>
        <w:t>Conteúdo</w:t>
      </w:r>
    </w:p>
    <w:p>
      <w:pPr>
        <w:pStyle w:val="Heading4"/>
      </w:pPr>
      <w:r>
        <w:t>Saudação, 1.1–9</w:t>
      </w:r>
    </w:p>
    <w:p>
      <w:r/>
      <w:r>
        <w:t xml:space="preserve">Paulo começa com uma saudação padrão, seguida por sua habitual oração de ação de graças. Duas características se destacam. Primeiro, a saudação associa Sóstenes a Paulo. Embora não possamos ter certeza de quem era Sóstenes, ele era certamente bem conhecido dos coríntios; provavelmente ele era o Sóstenes a quem </w:t>
      </w:r>
      <w:hyperlink r:id="rId5759">
        <w:r>
          <w:rPr>
            <w:color w:val="0000EE"/>
            <w:u w:val="single"/>
          </w:rPr>
          <w:t>Atos 18.17</w:t>
        </w:r>
      </w:hyperlink>
      <w:r>
        <w:t xml:space="preserve"> identifica como o governante da sinagoga, após a conversão de Crispo.</w:t>
      </w:r>
    </w:p>
    <w:p>
      <w:r/>
      <w:r>
        <w:t>Segundo, Paulo enfatiza as habilidades dos coríntios na fala, conhecimento e dons espirituais. Eles tinham todas estas coisas, e elas eram genuínas, mas era precisamente dessas coisas boas que os coríntios estavam abusando. A solução de Paulo não é suprimir esses dons (de fato, ele agradece a Deus por eles), mas colocá-los em um novo contexto.</w:t>
      </w:r>
    </w:p>
    <w:p>
      <w:pPr>
        <w:pStyle w:val="Heading4"/>
      </w:pPr>
      <w:r>
        <w:t>Relatório da Casa de Cloé, 1.10–4.21</w:t>
      </w:r>
    </w:p>
    <w:p>
      <w:r/>
      <w:r>
        <w:t>Os coríntios tornaram Paulo, Cefas (Pedro), Apolo e até mesmo Cristo líderes de diferentes partidos. Não temos certeza do que cada um desses grupos representava, mas pode-se supor que o grupo paulino enfatizou as ideias de Paulo sobre liberdade; o grupo petrino, a necessidade de manter as práticas judaicas; e o grupo Apolo, o valor da compreensão filosófica e da oratória. O que quer que eles defendessem, Paulo fica chocado que isso esteja rompendo sua unidade. Sua primeira resposta é argumentar que seu próprio comportamento não tinha a intenção de construir um grupo de seguidores, mas de apontar para Cristo. Ou seja, ele não insistiu em batizar pessoalmente os convertidos; quem realizava esses atos não importava de fato, uma vez que eles foram todos batizados em Cristo.</w:t>
      </w:r>
    </w:p>
    <w:p>
      <w:r/>
      <w:r>
        <w:t>Paulo imediatamente se move para a questão subjacente, a de várias pessoas querendo se mostrar melhores ou mais sábias do que as outras que não defendiam as ideias de seu partido na igreja. Sua busca por sabedoria contradiz a pregação do evangelho feita a eles por Paulo.</w:t>
      </w:r>
    </w:p>
    <w:p>
      <w:r/>
      <w:r>
        <w:t>Primeiro, a mensagem de um Cristo crucificado (</w:t>
      </w:r>
      <w:hyperlink r:id="rId5760">
        <w:r>
          <w:rPr>
            <w:color w:val="0000EE"/>
            <w:u w:val="single"/>
          </w:rPr>
          <w:t>1.18</w:t>
        </w:r>
      </w:hyperlink>
      <w:r>
        <w:t>) não fazia sentido dentro da sabedoria e valores dos judeus ou dos gregos. Ela exigia toda uma nova maneira de ver a vida — o caminho de Deus.</w:t>
      </w:r>
    </w:p>
    <w:p>
      <w:r/>
      <w:r>
        <w:t>Segundo, Deus não os havia escolhido com base em suas posições na sociedade; muito pelo contrário, ele havia determinado as suas posições de acordo com a posição que eles receberam do próprio Deus (</w:t>
      </w:r>
      <w:hyperlink r:id="rId5761">
        <w:r>
          <w:rPr>
            <w:color w:val="0000EE"/>
            <w:u w:val="single"/>
          </w:rPr>
          <w:t>1.26–31</w:t>
        </w:r>
      </w:hyperlink>
      <w:r>
        <w:t>).</w:t>
      </w:r>
    </w:p>
    <w:p>
      <w:r/>
      <w:r>
        <w:t>Terceiro, sua fé não havia sido baseada na oratória de Paulo, mas nos dons do Espírito que Paulo havia manifestado (</w:t>
      </w:r>
      <w:hyperlink r:id="rId5762">
        <w:r>
          <w:rPr>
            <w:color w:val="0000EE"/>
            <w:u w:val="single"/>
          </w:rPr>
          <w:t>2.4</w:t>
        </w:r>
      </w:hyperlink>
      <w:r>
        <w:t>), que os havia convencido de que Deus estava agindo em Paulo. Assim, não foram argumentos que os levaram a Deus, mas o Espírito de Deus. Portanto, era o Espírito, não o raciocínio humano, que continuaria a lhes revelar quem Deus é. A menos que eles se tornassem tolos segundo o padrão do raciocínio mundano, eles nunca seriam capazes de repensar a vida da perspectiva do Espírito, que dá a verdadeira sabedoria.</w:t>
      </w:r>
    </w:p>
    <w:p>
      <w:r/>
      <w:r>
        <w:t>Quarto, eles não estavam agindo neste nível espiritual quando reivindicaram Paulo e outros como líderes de partido; esta atividade demonstra o impulso maligno nos seres humanos (“a carne” ou “a natureza humana caída”) agindo, uma vez que está elevando servos humanos, em vez do Deus que opera igualmente em cada um deles.</w:t>
      </w:r>
    </w:p>
    <w:p>
      <w:r/>
      <w:r>
        <w:t>Quinto, esses servos estavam trabalhando juntos para construir um “templo” para Deus baseado no único fundamento em Jesus Cristo, isto é, a igreja. Somente Deus julgará como cada cristão contribui para a obra de edificar a igreja. Mas ai da pessoa que divide a igreja, pois “se alguém destruir o santuário de Deus, Deus o destruirá” (</w:t>
      </w:r>
      <w:hyperlink r:id="rId5763">
        <w:r>
          <w:rPr>
            <w:color w:val="0000EE"/>
            <w:u w:val="single"/>
          </w:rPr>
          <w:t>3.17</w:t>
        </w:r>
      </w:hyperlink>
      <w:r>
        <w:t xml:space="preserve">, NAA). (Observe que aqui a figura do templo é usada coletivamente; a igreja é o templo. No capítulo </w:t>
      </w:r>
      <w:hyperlink r:id="rId5764">
        <w:r>
          <w:rPr>
            <w:color w:val="0000EE"/>
            <w:u w:val="single"/>
          </w:rPr>
          <w:t>6</w:t>
        </w:r>
      </w:hyperlink>
      <w:r>
        <w:t>, será usada individualmente; cada cristão é o templo).</w:t>
      </w:r>
    </w:p>
    <w:p>
      <w:r/>
      <w:r>
        <w:t>Finalmente, Paulo aponta para a escatologia super-realizadaa dos coríntios, pois com seus dons espirituais (que eram genuínos) e sabedoria vangloriada (que era mundana), eles alegavam que estavam reinando com Cristo (</w:t>
      </w:r>
      <w:hyperlink r:id="rId5765">
        <w:r>
          <w:rPr>
            <w:color w:val="0000EE"/>
            <w:u w:val="single"/>
          </w:rPr>
          <w:t>4.8–13</w:t>
        </w:r>
      </w:hyperlink>
      <w:r>
        <w:t>). Paulo, com sarcasmo irônico, aponta como esta alegação é diferente do estilo de vida dos apóstolos. Os apóstolos viviam como Jesus — uma vida de sofrimento, esperando a exaltação posterior. Os coríntios estavam tentando ter sua exaltação terrena sem crucificação.</w:t>
      </w:r>
    </w:p>
    <w:p>
      <w:r/>
      <w:r>
        <w:t xml:space="preserve">Paulo fecha esta seção com uma admoestação. Ele suaviza suas palavras para aqueles que seriam responsivos, exortando-os a copiar seu estilo de vida. O mestre era a mensagem (vv. </w:t>
      </w:r>
      <w:hyperlink r:id="rId5766">
        <w:r>
          <w:rPr>
            <w:color w:val="0000EE"/>
            <w:u w:val="single"/>
          </w:rPr>
          <w:t>14–16</w:t>
        </w:r>
      </w:hyperlink>
      <w:r>
        <w:t xml:space="preserve">). Timóteo também viverá fielmente a verdade diante deles. Então, ele ameaça os “arrogantes” (v. </w:t>
      </w:r>
      <w:hyperlink r:id="rId5767">
        <w:r>
          <w:rPr>
            <w:color w:val="0000EE"/>
            <w:u w:val="single"/>
          </w:rPr>
          <w:t>18</w:t>
        </w:r>
      </w:hyperlink>
      <w:r>
        <w:t>), apontando que, se ele for visitá-los, não desafiará suas palavras, mas sim seu poder espiritual.</w:t>
      </w:r>
    </w:p>
    <w:p>
      <w:pPr>
        <w:pStyle w:val="Heading4"/>
      </w:pPr>
      <w:r>
        <w:t>O Relatório dos mensageiros de Corinto, 5.1–6.20</w:t>
      </w:r>
    </w:p>
    <w:p>
      <w:r/>
      <w:r>
        <w:t>Paulo agora se volta para três questões levantadas por relatórios orais dos mensageiros que levaram a carta dos coríntios a ele.</w:t>
      </w:r>
    </w:p>
    <w:p>
      <w:r/>
      <w:r>
        <w:t>A primeira questão é a da disciplina da igreja (</w:t>
      </w:r>
      <w:hyperlink r:id="rId5768">
        <w:r>
          <w:rPr>
            <w:color w:val="0000EE"/>
            <w:u w:val="single"/>
          </w:rPr>
          <w:t>5.12–13</w:t>
        </w:r>
      </w:hyperlink>
      <w:r>
        <w:t>). Paulo cita um caso de imoralidade flagrante — o de incesto. Esta imoralidade era tão clara (até mesmo os pagãos a consideravam imoral) que não era um caso de ignorância dos princípios cristãos. Além disso, a igreja não havia tomado nenhuma ação, mas se vangloriou de sua tolerância, talvez com base em um mal-entendido do ensino de Paulo sobre a liberdade da lei.</w:t>
      </w:r>
    </w:p>
    <w:p>
      <w:r/>
      <w:r>
        <w:t>Paulo apresenta três princípios nesta seção: (1) o objetivo principal da disciplina da igreja é o arrependimento e restauração do ofensor; (2) o segundo objetivo principal da disciplina é a proteção da igreja (</w:t>
      </w:r>
      <w:hyperlink r:id="rId5769">
        <w:r>
          <w:rPr>
            <w:color w:val="0000EE"/>
            <w:u w:val="single"/>
          </w:rPr>
          <w:t>5.6–8</w:t>
        </w:r>
      </w:hyperlink>
      <w:r>
        <w:t xml:space="preserve">); e (3) a igreja não deve buscar julgar ou controlar as ações de pessoas malignas no mundo — elas são responsabilidade de Deus — mas disciplinar os de dentro da igreja (vv. </w:t>
      </w:r>
      <w:hyperlink r:id="rId5770">
        <w:r>
          <w:rPr>
            <w:color w:val="0000EE"/>
            <w:u w:val="single"/>
          </w:rPr>
          <w:t>9–13</w:t>
        </w:r>
      </w:hyperlink>
      <w:r>
        <w:t xml:space="preserve">). Paulo usará esses princípios também nos capítulos seguintes (cf. </w:t>
      </w:r>
      <w:hyperlink r:id="rId5771">
        <w:r>
          <w:rPr>
            <w:color w:val="0000EE"/>
            <w:u w:val="single"/>
          </w:rPr>
          <w:t>7.12–16</w:t>
        </w:r>
      </w:hyperlink>
      <w:r>
        <w:t>).</w:t>
      </w:r>
    </w:p>
    <w:p>
      <w:r/>
      <w:r>
        <w:t>A segunda questão é a dos processos judiciais entre cristãos (</w:t>
      </w:r>
      <w:hyperlink r:id="rId5772">
        <w:r>
          <w:rPr>
            <w:color w:val="0000EE"/>
            <w:u w:val="single"/>
          </w:rPr>
          <w:t>6.1–11</w:t>
        </w:r>
      </w:hyperlink>
      <w:r>
        <w:t>). A sociedade coríntia era tão propensa a litígios quanto a nossa, e os cristãos não viam nada de errado em processar uns aos outros. Paulo estava perturbado. Se os cristãos quiserem julgar o mundo, eles certamente não deveriam trazer o mundo para julgar as questões de dentro da igreja. Em vez de colocar seus casos diante “daqueles que não têm nenhuma aceitação na igreja” (</w:t>
      </w:r>
      <w:hyperlink r:id="rId5773">
        <w:r>
          <w:rPr>
            <w:color w:val="0000EE"/>
            <w:u w:val="single"/>
          </w:rPr>
          <w:t>6.4</w:t>
        </w:r>
      </w:hyperlink>
      <w:r>
        <w:t>, ARA, isto é, juízes pagãos), eles mesmo deveriam decidir os casos de dentro da igreja.</w:t>
      </w:r>
    </w:p>
    <w:p>
      <w:r/>
      <w:r>
        <w:t>Paulo tem uma maneira ainda melhor do que passar pelos tribunais pagãos: sofrer a injustiça (</w:t>
      </w:r>
      <w:hyperlink r:id="rId5774">
        <w:r>
          <w:rPr>
            <w:color w:val="0000EE"/>
            <w:u w:val="single"/>
          </w:rPr>
          <w:t>1Co 6.7</w:t>
        </w:r>
      </w:hyperlink>
      <w:r>
        <w:t>). Aplicando o ensino de Jesus literalmente (</w:t>
      </w:r>
      <w:hyperlink r:id="rId5775">
        <w:r>
          <w:rPr>
            <w:color w:val="0000EE"/>
            <w:u w:val="single"/>
          </w:rPr>
          <w:t>Mt 5.38–42</w:t>
        </w:r>
      </w:hyperlink>
      <w:r>
        <w:t>), Paulo argumenta que seria melhor se permitir ser defraudado. Em vez disso, os coríntios estavam dispostos a pisar em seus irmãos em Cristo para obter o que eles sentem que são seus direitos. Isso levanta a questão se a ganância ainda não está em seus corações (</w:t>
      </w:r>
      <w:hyperlink r:id="rId5776">
        <w:r>
          <w:rPr>
            <w:color w:val="0000EE"/>
            <w:u w:val="single"/>
          </w:rPr>
          <w:t>1Co 6.9–11</w:t>
        </w:r>
      </w:hyperlink>
      <w:r>
        <w:t>). Enquanto Paulo aceita pessoas que anteriormente fizeram todos os tipos de mal (pois Jesus os purificou), ele deixa muito claro que qualquer um que continue praticando ganância ou imoralidade não faz parte do reino, quaisquer que sejam seus compromissos doutrinários.</w:t>
      </w:r>
    </w:p>
    <w:p>
      <w:r/>
      <w:r>
        <w:t>A questão final nesta seção é a da relação sexual casual (</w:t>
      </w:r>
      <w:hyperlink r:id="rId5777">
        <w:r>
          <w:rPr>
            <w:color w:val="0000EE"/>
            <w:u w:val="single"/>
          </w:rPr>
          <w:t>6.12–20</w:t>
        </w:r>
      </w:hyperlink>
      <w:r>
        <w:t>). Em um mundo onde a virgindade era importante caso uma mulher desejasse se casar, e onde as escravas no templo de Afrodite estavam disponíveis como prostitutas, a prostituição era a principal forma de sexo casual. O partido libertino usou dois lemas: “Todas as coisas são legais para mim”, um ditado que pode muito bem ter sido derivado do ensino de Paulo, e “A comida é feita para o estômago e o estômago para comida” — isto é, uma vez que o corpo trabalha desta maneira, deve ser o propósito do Criador. Paulo qualifica em vez de contradizer seus lemas. A liberdade é subordinada a outros objetivos (</w:t>
      </w:r>
      <w:hyperlink r:id="rId5778">
        <w:r>
          <w:rPr>
            <w:color w:val="0000EE"/>
            <w:u w:val="single"/>
          </w:rPr>
          <w:t>6.12,20</w:t>
        </w:r>
      </w:hyperlink>
      <w:r>
        <w:t xml:space="preserve">). O corpo não foi feito para ser usado como desejarmos, mas ele deve ser dedicado ao Senhor, conforme a doutrina da ressurreição demonstra (vv. </w:t>
      </w:r>
      <w:hyperlink r:id="rId5779">
        <w:r>
          <w:rPr>
            <w:color w:val="0000EE"/>
            <w:u w:val="single"/>
          </w:rPr>
          <w:t>13–14</w:t>
        </w:r>
      </w:hyperlink>
      <w:r>
        <w:t>).</w:t>
      </w:r>
    </w:p>
    <w:p>
      <w:r/>
      <w:r>
        <w:t xml:space="preserve">Além disso, a relação sexual é um ato da pessoa por completo, ao contrário de comer (Paulo cita </w:t>
      </w:r>
      <w:hyperlink r:id="rId3603">
        <w:r>
          <w:rPr>
            <w:color w:val="0000EE"/>
            <w:u w:val="single"/>
          </w:rPr>
          <w:t>Gn 2.24</w:t>
        </w:r>
      </w:hyperlink>
      <w:r>
        <w:t xml:space="preserve">; cf. Jesus em </w:t>
      </w:r>
      <w:hyperlink r:id="rId3604">
        <w:r>
          <w:rPr>
            <w:color w:val="0000EE"/>
            <w:u w:val="single"/>
          </w:rPr>
          <w:t>Mt 19.5</w:t>
        </w:r>
      </w:hyperlink>
      <w:r>
        <w:t>). Portanto, este ato toma um membro (isto é, a pessoa) do corpo de Cristo e o torna uma unidade com uma prostituta (</w:t>
      </w:r>
      <w:hyperlink r:id="rId5780">
        <w:r>
          <w:rPr>
            <w:color w:val="0000EE"/>
            <w:u w:val="single"/>
          </w:rPr>
          <w:t>1Co 6.15–17</w:t>
        </w:r>
      </w:hyperlink>
      <w:r>
        <w:t>). Assim, a imoralidade é diferente dos outros pecados que são externos ao eu, pois muda o eu, e, assim, contamina o corpo, o lugar onde o Espírito Santo habita. Desconsidera o fato de que Cristo redimiu o corpo, e que o cristão por completo pertence a Deus, não a si mesmo.</w:t>
      </w:r>
    </w:p>
    <w:p>
      <w:pPr>
        <w:pStyle w:val="Heading4"/>
      </w:pPr>
      <w:r>
        <w:t>As respostas de Paulo aos coríntios, 7.1–16.4</w:t>
      </w:r>
    </w:p>
    <w:p>
      <w:r/>
      <w:r>
        <w:t>Agora Paulo se volta para os próprios problemas dos coríntios, construindo sobre as respostas que ele já deu às perguntas que eles não fizeram.</w:t>
      </w:r>
    </w:p>
    <w:p>
      <w:r/>
      <w:r>
        <w:t>A primeira questão é a do casamento (</w:t>
      </w:r>
      <w:hyperlink r:id="rId5781">
        <w:r>
          <w:rPr>
            <w:color w:val="0000EE"/>
            <w:u w:val="single"/>
          </w:rPr>
          <w:t>7.1–24</w:t>
        </w:r>
      </w:hyperlink>
      <w:r>
        <w:t xml:space="preserve">). O lema do partido ascético em Corinto (talvez uma reação contra os libertinos do capítulo </w:t>
      </w:r>
      <w:hyperlink r:id="rId5764">
        <w:r>
          <w:rPr>
            <w:color w:val="0000EE"/>
            <w:u w:val="single"/>
          </w:rPr>
          <w:t>6</w:t>
        </w:r>
      </w:hyperlink>
      <w:r>
        <w:t>) era “É bom que o homem não toque em mulher” (</w:t>
      </w:r>
      <w:hyperlink r:id="rId4393">
        <w:r>
          <w:rPr>
            <w:color w:val="0000EE"/>
            <w:u w:val="single"/>
          </w:rPr>
          <w:t>7.1</w:t>
        </w:r>
      </w:hyperlink>
      <w:r>
        <w:t xml:space="preserve">, ARA). Os coríntios aplicaram este lema tanto aos casados quanto aos solteiros, argumentando que os cristãos casados deveriam se abster de relações sexuais. Paulo esclareceu o assunto com três pontos. Primeiro, ele disse que isso era totalmente irreal, pois a abstinência total levaria à imoralidade (vv </w:t>
      </w:r>
      <w:hyperlink r:id="rId5782">
        <w:r>
          <w:rPr>
            <w:color w:val="0000EE"/>
            <w:u w:val="single"/>
          </w:rPr>
          <w:t>2,7–9</w:t>
        </w:r>
      </w:hyperlink>
      <w:r>
        <w:t xml:space="preserve">). Segundo, quando as pessoas se casam, elas não possuem mais seus próprios corpos; seus corpos pertencem um ao outro para seu benefício mútuo (vv. </w:t>
      </w:r>
      <w:hyperlink r:id="rId5783">
        <w:r>
          <w:rPr>
            <w:color w:val="0000EE"/>
            <w:u w:val="single"/>
          </w:rPr>
          <w:t>3–4</w:t>
        </w:r>
      </w:hyperlink>
      <w:r>
        <w:t xml:space="preserve">). A rejeição sexual nega ao cônjuge o que pertence a ele ou ela por direito. Terceiro, a abstinência é permitida por períodos limitados de acordo mútuo como um tipo de jejum para ajudar a se concentrar em Cristo (v. </w:t>
      </w:r>
      <w:hyperlink r:id="rId5784">
        <w:r>
          <w:rPr>
            <w:color w:val="0000EE"/>
            <w:u w:val="single"/>
          </w:rPr>
          <w:t>5</w:t>
        </w:r>
      </w:hyperlink>
      <w:r>
        <w:t>).</w:t>
      </w:r>
    </w:p>
    <w:p>
      <w:r/>
      <w:r>
        <w:t xml:space="preserve">Embora Paulo venha a abordar a questão dos solteiros mais plenamente em </w:t>
      </w:r>
      <w:hyperlink r:id="rId5785">
        <w:r>
          <w:rPr>
            <w:color w:val="0000EE"/>
            <w:u w:val="single"/>
          </w:rPr>
          <w:t>7.25–40</w:t>
        </w:r>
      </w:hyperlink>
      <w:r>
        <w:t>, em uma observação paralela ele indica que ele mesmo está contente em ser solteiro. Mas uma vez que alguns não têm este dom, a expressão sexual completa no casamento é muito melhor do que lutar contra a paixão (</w:t>
      </w:r>
      <w:hyperlink r:id="rId5786">
        <w:r>
          <w:rPr>
            <w:color w:val="0000EE"/>
            <w:u w:val="single"/>
          </w:rPr>
          <w:t>7.7–9</w:t>
        </w:r>
      </w:hyperlink>
      <w:r>
        <w:t>). Uma vez que dois cristãos são casados, o divórcio é impensável. Uma palavra clara de Cristo prova isso (</w:t>
      </w:r>
      <w:hyperlink r:id="rId4542">
        <w:r>
          <w:rPr>
            <w:color w:val="0000EE"/>
            <w:u w:val="single"/>
          </w:rPr>
          <w:t>Mt 5.31–32</w:t>
        </w:r>
      </w:hyperlink>
      <w:r>
        <w:t xml:space="preserve">; </w:t>
      </w:r>
      <w:hyperlink r:id="rId5787">
        <w:r>
          <w:rPr>
            <w:color w:val="0000EE"/>
            <w:u w:val="single"/>
          </w:rPr>
          <w:t>Mc 10.11–12</w:t>
        </w:r>
      </w:hyperlink>
      <w:r>
        <w:t xml:space="preserve">; </w:t>
      </w:r>
      <w:hyperlink r:id="rId5788">
        <w:r>
          <w:rPr>
            <w:color w:val="0000EE"/>
            <w:u w:val="single"/>
          </w:rPr>
          <w:t>Lc 16.18</w:t>
        </w:r>
      </w:hyperlink>
      <w:r>
        <w:t xml:space="preserve"> e paralelos), então não há exceções (Paulo não sabe da cláusula de exceção em </w:t>
      </w:r>
      <w:hyperlink r:id="rId442">
        <w:r>
          <w:rPr>
            <w:color w:val="0000EE"/>
            <w:u w:val="single"/>
          </w:rPr>
          <w:t>Mt 19.9</w:t>
        </w:r>
      </w:hyperlink>
      <w:r>
        <w:t xml:space="preserve"> ou ele entende isso como se referindo a algo como a falta de castidade pré-matrimonial descoberta antes do casamento, não ao adultério após o casamento). Mesmo que em alguns casos um casal cristão deva viver separadamente, é sempre com uma visão da reconciliação. O ensino de Jesus não permite que ele pense em um casamento terminando (</w:t>
      </w:r>
      <w:hyperlink r:id="rId5789">
        <w:r>
          <w:rPr>
            <w:color w:val="0000EE"/>
            <w:u w:val="single"/>
          </w:rPr>
          <w:t>1Co 7.10–11</w:t>
        </w:r>
      </w:hyperlink>
      <w:r>
        <w:t>).</w:t>
      </w:r>
    </w:p>
    <w:p>
      <w:r/>
      <w:r>
        <w:t>Mas e se o cônjuge não for um cristão? Paulo aplica seus princípios a uma situação para a qual Jesus não deixou uma palavra clara. Primeiro, uma vez que Jesus disse aos cristãos para não se divorciarem, mesmo nesta situação, o cristão pode não iniciar um divórcio (</w:t>
      </w:r>
      <w:hyperlink r:id="rId5790">
        <w:r>
          <w:rPr>
            <w:color w:val="0000EE"/>
            <w:u w:val="single"/>
          </w:rPr>
          <w:t>7.12–13</w:t>
        </w:r>
      </w:hyperlink>
      <w:r>
        <w:t>). Segundo, uma vez que os cristãos não devem controlar ou julgar os não cristãos (</w:t>
      </w:r>
      <w:hyperlink r:id="rId5791">
        <w:r>
          <w:rPr>
            <w:color w:val="0000EE"/>
            <w:u w:val="single"/>
          </w:rPr>
          <w:t>6.12–13</w:t>
        </w:r>
      </w:hyperlink>
      <w:r>
        <w:t>), o cristão não precisa continuar o relacionamento se o não cristão insiste em um divórcio (</w:t>
      </w:r>
      <w:hyperlink r:id="rId5792">
        <w:r>
          <w:rPr>
            <w:color w:val="0000EE"/>
            <w:u w:val="single"/>
          </w:rPr>
          <w:t>7.15</w:t>
        </w:r>
      </w:hyperlink>
      <w:r>
        <w:t xml:space="preserve">). Terceiro, longe de contaminar o cristão (como o relacionamento em </w:t>
      </w:r>
      <w:hyperlink r:id="rId4306">
        <w:r>
          <w:rPr>
            <w:color w:val="0000EE"/>
            <w:u w:val="single"/>
          </w:rPr>
          <w:t>6.15</w:t>
        </w:r>
      </w:hyperlink>
      <w:r>
        <w:t xml:space="preserve"> faz), o cristão tornará o relacionamento santo, com resultados positivos para os filhos e a possível salvação do cônjuge (</w:t>
      </w:r>
      <w:hyperlink r:id="rId5431">
        <w:r>
          <w:rPr>
            <w:color w:val="0000EE"/>
            <w:u w:val="single"/>
          </w:rPr>
          <w:t>7.14,16</w:t>
        </w:r>
      </w:hyperlink>
      <w:r>
        <w:t>). Embora este não seja um chamado para permanecer em situações de abuso físico ou sexual, é um chamado para permanecer fiel a uma situação de casamento misto.</w:t>
      </w:r>
    </w:p>
    <w:p>
      <w:r/>
      <w:r>
        <w:t>Paulo não acredita que normalmente é preciso mudar a situação de vida para servir a Cristo (</w:t>
      </w:r>
      <w:hyperlink r:id="rId5793">
        <w:r>
          <w:rPr>
            <w:color w:val="0000EE"/>
            <w:u w:val="single"/>
          </w:rPr>
          <w:t>7.17–24</w:t>
        </w:r>
      </w:hyperlink>
      <w:r>
        <w:t xml:space="preserve">). Portanto, normalmente cada pessoa deve permanecer no estado civil em que ele ou ela já estava quando chamado a Cristo. Os exemplos de Paulo mostram que ele estava pensando em termos de casamento ou solteirice, judeu (circuncisão) ou gentio, escravo ou livre, não em termos de situações relacionadas à imoralidade. No caso dos escravos, eles podem aceitar a liberdade se ela se tornar disponível, mas não faz diferença essencial em seu real estado diante de Deus, ou sua capacidade de servir a Cristo (vv. </w:t>
      </w:r>
      <w:hyperlink r:id="rId5794">
        <w:r>
          <w:rPr>
            <w:color w:val="0000EE"/>
            <w:u w:val="single"/>
          </w:rPr>
          <w:t>21–23</w:t>
        </w:r>
      </w:hyperlink>
      <w:r>
        <w:t>).</w:t>
      </w:r>
    </w:p>
    <w:p>
      <w:r/>
      <w:r>
        <w:t>A segunda questão é a dos solteiros (</w:t>
      </w:r>
      <w:hyperlink r:id="rId5785">
        <w:r>
          <w:rPr>
            <w:color w:val="0000EE"/>
            <w:u w:val="single"/>
          </w:rPr>
          <w:t>7.25–40</w:t>
        </w:r>
      </w:hyperlink>
      <w:r>
        <w:t xml:space="preserve">). Paulo argumenta que pessoas solteiras e viúvas podem se casar — não é errado. No entanto, ele os aconselha a permanecer solteiros. Já que tudo nesta era está passando, seria bom ficar solteiro para evitar o sofrimento extra ao qual o casamento expõe uma pessoa (vv. </w:t>
      </w:r>
      <w:hyperlink r:id="rId5795">
        <w:r>
          <w:rPr>
            <w:color w:val="0000EE"/>
            <w:u w:val="single"/>
          </w:rPr>
          <w:t>25–31</w:t>
        </w:r>
      </w:hyperlink>
      <w:r>
        <w:t xml:space="preserve">). Além disso, o casamento sempre divide a atenção entre o Senhor e as necessidades legítimas do cônjuge. O cristão não deve abandonar o cônjuge ou ignorar suas necessidades para servir ao Senhor, contudo, pode permanecer solteiro para que o Senhor seja o único foco de sua vida e toda sua devoção (vv. </w:t>
      </w:r>
      <w:hyperlink r:id="rId5796">
        <w:r>
          <w:rPr>
            <w:color w:val="0000EE"/>
            <w:u w:val="single"/>
          </w:rPr>
          <w:t>32–35</w:t>
        </w:r>
      </w:hyperlink>
      <w:r>
        <w:t xml:space="preserve">). Finalmente, se alguém está em uma situação em que o casamento é esperado, a pessoa deve tomar sua própria decisão sobre se ele deve se casar com a mulher por causa dela (e talvez pela família em geral), ou se ele poderia simplesmente cuidar dela como uma pessoa solteira (vv. </w:t>
      </w:r>
      <w:hyperlink r:id="rId5797">
        <w:r>
          <w:rPr>
            <w:color w:val="0000EE"/>
            <w:u w:val="single"/>
          </w:rPr>
          <w:t>36–38</w:t>
        </w:r>
      </w:hyperlink>
      <w:r>
        <w:t xml:space="preserve">). Paulo fecha esta seção repetindo seus princípios gerais (vv. </w:t>
      </w:r>
      <w:hyperlink r:id="rId5798">
        <w:r>
          <w:rPr>
            <w:color w:val="0000EE"/>
            <w:u w:val="single"/>
          </w:rPr>
          <w:t>39–40</w:t>
        </w:r>
      </w:hyperlink>
      <w:r>
        <w:t>).</w:t>
      </w:r>
    </w:p>
    <w:p>
      <w:r/>
      <w:r>
        <w:t>A terceira questão com que Paulo lida é a da comida que foi oferecida aos ídolos (</w:t>
      </w:r>
      <w:hyperlink r:id="rId5799">
        <w:r>
          <w:rPr>
            <w:color w:val="0000EE"/>
            <w:u w:val="single"/>
          </w:rPr>
          <w:t>8.1–11.1</w:t>
        </w:r>
      </w:hyperlink>
      <w:r>
        <w:t>). A maioria da carne que estava disponível no mercado vinha de animais abatidos como sacrifícios nos templos ou de grupos de animais que eram oferecidos como um sacrifício dedicatório. Para judeus escrupulosos, toda esta carne seria intocada. Além disso, os pagãos convidavam os cristãos para festas em suas casas e para festas privadas realizadas nos recintos dos templos pagãos, onde as guildas de comércio também realizavam festas. Paulo debate essas questões e as usa para ensinar princípios mais amplos da conduta cristã.</w:t>
      </w:r>
    </w:p>
    <w:p>
      <w:r/>
      <w:r>
        <w:t>Primeiro, o amor, não o conhecimento, é a chave para corrigir o comportamento (</w:t>
      </w:r>
      <w:hyperlink r:id="rId5800">
        <w:r>
          <w:rPr>
            <w:color w:val="0000EE"/>
            <w:u w:val="single"/>
          </w:rPr>
          <w:t>8.1–13</w:t>
        </w:r>
      </w:hyperlink>
      <w:r>
        <w:t xml:space="preserve">). Alguns coríntios se sentiam superiores porque estavam convencidos de que os ídolos não eram reais (há apenas um Deus), e, portanto, qualquer alimento oferecido a eles era apto a comer. Paulo novamente aceita suas constatações, mas as contraria com a declaração: “O conhecimento leva ao orgulho, mas o amor edifica.” (v. </w:t>
      </w:r>
      <w:hyperlink r:id="rId5801">
        <w:r>
          <w:rPr>
            <w:color w:val="0000EE"/>
            <w:u w:val="single"/>
          </w:rPr>
          <w:t>1</w:t>
        </w:r>
      </w:hyperlink>
      <w:r>
        <w:t>, NAA). Deus não está preocupado com o que sabemos ou comemos, mas ele está interessado em saber se amamos ou não nossos companheiros cristãos. O interesse não é que um companheiro cristão venha a se enfurecer porque alguém pecou, mas que a própria pessoa possa ter uma consciência vulnerável e pedir perdão, mesmo que ela tenha acreditado que era errado e, assim, em seus próprios olhos tenha apostatado da fé (isto é, se rebelado contra Cristo). Desviar do caminho desta maneira não é amor. Seria melhor nunca mais comer carne do que levar um companheiro cristão ao pecado.</w:t>
      </w:r>
    </w:p>
    <w:p>
      <w:r/>
      <w:r>
        <w:t>Segundo, Paulo aponta que os cristãos devem subordinar os próprios interesses aos dos outros, especialmente aos de Cristo e seu evangelho (</w:t>
      </w:r>
      <w:hyperlink r:id="rId5802">
        <w:r>
          <w:rPr>
            <w:color w:val="0000EE"/>
            <w:u w:val="single"/>
          </w:rPr>
          <w:t>9.1–23</w:t>
        </w:r>
      </w:hyperlink>
      <w:r>
        <w:t xml:space="preserve">). Tanto os exemplos dos apóstolos, que esperavam que a igreja os sustentasse e suas famílias (cf. </w:t>
      </w:r>
      <w:hyperlink r:id="rId5803">
        <w:r>
          <w:rPr>
            <w:color w:val="0000EE"/>
            <w:u w:val="single"/>
          </w:rPr>
          <w:t>Lc 10.5–7</w:t>
        </w:r>
      </w:hyperlink>
      <w:r>
        <w:t>), quanto as Escrituras provam que Paulo tinha o direito de exigir apoio dos coríntios. Essa não havia sido sua prática, pois ele costumava construir tendas para manter seu ministério, embora ele aceitasse presentes de outras igrejas. Paulo fez isso para impedir que as pessoas pensassem que ele estava vendendo a religião para obter lucro (</w:t>
      </w:r>
      <w:hyperlink r:id="rId5804">
        <w:r>
          <w:rPr>
            <w:color w:val="0000EE"/>
            <w:u w:val="single"/>
          </w:rPr>
          <w:t>9.12</w:t>
        </w:r>
      </w:hyperlink>
      <w:r>
        <w:t xml:space="preserve">) e para a satisfação pessoal de fazer mais do que ele tinha que fazer (vv. </w:t>
      </w:r>
      <w:hyperlink r:id="rId5805">
        <w:r>
          <w:rPr>
            <w:color w:val="0000EE"/>
            <w:u w:val="single"/>
          </w:rPr>
          <w:t>16–17</w:t>
        </w:r>
      </w:hyperlink>
      <w:r>
        <w:t xml:space="preserve">). Isso fazia parte da prática de Paulo de subordinar suas próprias preferências e interesses pessoais aos de Cristo e seu evangelho (vv. </w:t>
      </w:r>
      <w:hyperlink r:id="rId4975">
        <w:r>
          <w:rPr>
            <w:color w:val="0000EE"/>
            <w:u w:val="single"/>
          </w:rPr>
          <w:t>19–23</w:t>
        </w:r>
      </w:hyperlink>
      <w:r>
        <w:t>).</w:t>
      </w:r>
    </w:p>
    <w:p>
      <w:r/>
      <w:r>
        <w:t>Terceiro, a arrogância dos fortes que demonstravam sua liberdade com desrespeito aos companheiros cristãos é espiritualmente perigosa (</w:t>
      </w:r>
      <w:hyperlink r:id="rId5806">
        <w:r>
          <w:rPr>
            <w:color w:val="0000EE"/>
            <w:u w:val="single"/>
          </w:rPr>
          <w:t>9.24–10.22</w:t>
        </w:r>
      </w:hyperlink>
      <w:r>
        <w:t>). Não é quem começa, mas quem completa a vida cristã que importa; portanto, é uma vida de disciplina, não de licenciosidade relaxada (</w:t>
      </w:r>
      <w:hyperlink r:id="rId5807">
        <w:r>
          <w:rPr>
            <w:color w:val="0000EE"/>
            <w:u w:val="single"/>
          </w:rPr>
          <w:t>9.24–27</w:t>
        </w:r>
      </w:hyperlink>
      <w:r>
        <w:t>). Israel no deserto apresenta um exemplo de fracasso a este respeito. Eles tinham o “batismo” e “a Ceia do Senhor” (</w:t>
      </w:r>
      <w:hyperlink r:id="rId5808">
        <w:r>
          <w:rPr>
            <w:color w:val="0000EE"/>
            <w:u w:val="single"/>
          </w:rPr>
          <w:t>10.2–4</w:t>
        </w:r>
      </w:hyperlink>
      <w:r>
        <w:t xml:space="preserve">), assim como a igreja, mas a maioria deles não chegou à Terra Prometida. A razão pela qual Deus os destruiu era simples: eles se voltaram para o pecado. Da mesma forma, o cristão deve ser cauteloso para não ser tão orgulhoso da fé e da liberdade que venha a se tornar negligente em relação ao pecado e, assim, cair da fé (v. </w:t>
      </w:r>
      <w:hyperlink r:id="rId5809">
        <w:r>
          <w:rPr>
            <w:color w:val="0000EE"/>
            <w:u w:val="single"/>
          </w:rPr>
          <w:t>12</w:t>
        </w:r>
      </w:hyperlink>
      <w:r>
        <w:t xml:space="preserve">). Por outro lado, os cristãos não precisam ter medo, pois a tentação não é mais poderosa do que eles; Deus forneceu um caminho de escape, se eles o tomarem (v. </w:t>
      </w:r>
      <w:hyperlink r:id="rId5810">
        <w:r>
          <w:rPr>
            <w:color w:val="0000EE"/>
            <w:u w:val="single"/>
          </w:rPr>
          <w:t>13</w:t>
        </w:r>
      </w:hyperlink>
      <w:r>
        <w:t>).</w:t>
      </w:r>
    </w:p>
    <w:p>
      <w:r/>
      <w:r>
        <w:t>Outro elo entre os israelitas e os coríntios tratava-se do participar de uma refeição sacrificial (</w:t>
      </w:r>
      <w:hyperlink r:id="rId5811">
        <w:r>
          <w:rPr>
            <w:color w:val="0000EE"/>
            <w:u w:val="single"/>
          </w:rPr>
          <w:t>10.14–22</w:t>
        </w:r>
      </w:hyperlink>
      <w:r>
        <w:t xml:space="preserve">). Na Ceia do Senhor, há um compartilhamento do sangue e do corpo de Cristo, tão real quanto os sacrifícios de Israel no altar. A comida oferecida aos ídolos também é um compartilhamento, não com o suposto deus, mas com o verdadeiro demônio que está por trás do ídolo. Tentar tomar parte em ambas as mesas é provocar o ciúme de Deus, assim como Israel fez (v. </w:t>
      </w:r>
      <w:hyperlink r:id="rId5812">
        <w:r>
          <w:rPr>
            <w:color w:val="0000EE"/>
            <w:u w:val="single"/>
          </w:rPr>
          <w:t>22</w:t>
        </w:r>
      </w:hyperlink>
      <w:r>
        <w:t>).</w:t>
      </w:r>
    </w:p>
    <w:p>
      <w:r/>
      <w:r>
        <w:t>Um resumo da discussão reúne os três capítulos (</w:t>
      </w:r>
      <w:hyperlink r:id="rId5813">
        <w:r>
          <w:rPr>
            <w:color w:val="0000EE"/>
            <w:u w:val="single"/>
          </w:rPr>
          <w:t>10.23–11.1</w:t>
        </w:r>
      </w:hyperlink>
      <w:r>
        <w:t>). Uma vez que a comida não é alterada ao ser oferecida aos ídolos, e uma vez que todo alimento verdadeiramente pertence a Deus, pode-se comer qualquer coisa vendida no mercado — não faça perguntas (</w:t>
      </w:r>
      <w:hyperlink r:id="rId5814">
        <w:r>
          <w:rPr>
            <w:color w:val="0000EE"/>
            <w:u w:val="single"/>
          </w:rPr>
          <w:t>10.25–26</w:t>
        </w:r>
      </w:hyperlink>
      <w:r>
        <w:t xml:space="preserve">). Da mesma forma, o cristão pode comer qualquer coisa servida em um jantar na casa de um incrédulo. No entanto, se alguém afirma que a comida foi oferecida aos ídolos, o cristão deve rejeitá-la, não porque o danificaria, mas porque é um problema para a pessoa que levantou a questão, e o cristão está interessado no bem de seu próximo (vv. </w:t>
      </w:r>
      <w:hyperlink r:id="rId5815">
        <w:r>
          <w:rPr>
            <w:color w:val="0000EE"/>
            <w:u w:val="single"/>
          </w:rPr>
          <w:t>27–30</w:t>
        </w:r>
      </w:hyperlink>
      <w:r>
        <w:t xml:space="preserve">). Em outras palavras, sigam o exemplo de Paulo conforme ele se coloca como um padrão de alguém que imita Jesus, o qual serviu aos outros em vez de a si mesmo. Aja para que a fama e o caráter de Deus resplandeçam até mesmo naquilo que se come (v. </w:t>
      </w:r>
      <w:hyperlink r:id="rId5816">
        <w:r>
          <w:rPr>
            <w:color w:val="0000EE"/>
            <w:u w:val="single"/>
          </w:rPr>
          <w:t>31</w:t>
        </w:r>
      </w:hyperlink>
      <w:r>
        <w:t xml:space="preserve">); tente não ofender a ninguém, mas beneficiar cada pessoa ao conduzi-lo em direção à salvação (v. </w:t>
      </w:r>
      <w:hyperlink r:id="rId5817">
        <w:r>
          <w:rPr>
            <w:color w:val="0000EE"/>
            <w:u w:val="single"/>
          </w:rPr>
          <w:t>32</w:t>
        </w:r>
      </w:hyperlink>
      <w:r>
        <w:t>).</w:t>
      </w:r>
    </w:p>
    <w:p>
      <w:r/>
      <w:r>
        <w:t>A quarta questão com que Paulo lida é a da ordem nas reuniões da igreja (</w:t>
      </w:r>
      <w:hyperlink r:id="rId5818">
        <w:r>
          <w:rPr>
            <w:color w:val="0000EE"/>
            <w:u w:val="single"/>
          </w:rPr>
          <w:t>11.2–14.40</w:t>
        </w:r>
      </w:hyperlink>
      <w:r>
        <w:t>). As igrejas domésticas dos coríntios tinham reuniões animadas, mas em vez de demonstrar unidade em Cristo, elas demonstravam egoísmo. Paulo não desejava mudar o que eles faziam; ele queria mudar como eles faziam.</w:t>
      </w:r>
    </w:p>
    <w:p>
      <w:r/>
      <w:r>
        <w:t>O primeiro problema nas reuniões era o comportamento das mulheres casadas (</w:t>
      </w:r>
      <w:hyperlink r:id="rId5819">
        <w:r>
          <w:rPr>
            <w:color w:val="0000EE"/>
            <w:u w:val="single"/>
          </w:rPr>
          <w:t>11.1–16</w:t>
        </w:r>
      </w:hyperlink>
      <w:r>
        <w:t xml:space="preserve">). O sinal de casamento naquele tempo era o uso de um véu ou penteado distintivo, como um anel é hoje. Mulheres orando e proferindo profecias na igreja não era um problema para Paulo, mas as mulheres de Corinto podem ter sentido que isso as libertou de seus maridos (cf. </w:t>
      </w:r>
      <w:hyperlink r:id="rId5820">
        <w:r>
          <w:rPr>
            <w:color w:val="0000EE"/>
            <w:u w:val="single"/>
          </w:rPr>
          <w:t>Mc 12.25</w:t>
        </w:r>
      </w:hyperlink>
      <w:r>
        <w:t>) e, portanto, era uma razão para deixar de lado seus véus. Paulo argumenta que o marido e a esposa estão intimamente unidos, assim como os seres humanos estão a Deus (</w:t>
      </w:r>
      <w:hyperlink r:id="rId5821">
        <w:r>
          <w:rPr>
            <w:color w:val="0000EE"/>
            <w:u w:val="single"/>
          </w:rPr>
          <w:t>1Co 11.3</w:t>
        </w:r>
      </w:hyperlink>
      <w:r>
        <w:t>). Portanto, da mesma maneira que os seres humanos não devem envergonhar, mas sim glorificar a Deus, assim também a esposa deve agir em relação a seu marido. Por isso, embora Paulo aprove o ministério de mulheres, ele coloca o casamento em primeiro lugar.</w:t>
      </w:r>
    </w:p>
    <w:p>
      <w:r/>
      <w:r>
        <w:t>O segundo problema nas reuniões era o de fazer distinções de classes (</w:t>
      </w:r>
      <w:hyperlink r:id="rId5822">
        <w:r>
          <w:rPr>
            <w:color w:val="0000EE"/>
            <w:u w:val="single"/>
          </w:rPr>
          <w:t>11.17–34</w:t>
        </w:r>
      </w:hyperlink>
      <w:r>
        <w:t xml:space="preserve">). Até a Ceia do Senhor semanal começar a ser transformada no sacrifício da missa no terceiro e quarto séculos, ela era uma refeição completamente compartilhada. Os cristãos das classes média e superior poderiam vir mais cedo às reuniões da igreja e também fornecer os melhores alimentos e bebidas para si mesmos. Seguindo os costumes dos clubes pagãos, eles não tinham escrúpulos contra começar cedo e se banquetear como convinha às suas classes, desde que, pelo menos, comida simples fosse fornecida para os escravos e camponeses que não poderiam vir tão cedo (v. </w:t>
      </w:r>
      <w:hyperlink r:id="rId5823">
        <w:r>
          <w:rPr>
            <w:color w:val="0000EE"/>
            <w:u w:val="single"/>
          </w:rPr>
          <w:t>21</w:t>
        </w:r>
      </w:hyperlink>
      <w:r>
        <w:t xml:space="preserve">). Isso envergonhava os cristãos mais pobres e os fazia sentir distinções de classes intensamente (v. </w:t>
      </w:r>
      <w:hyperlink r:id="rId5824">
        <w:r>
          <w:rPr>
            <w:color w:val="0000EE"/>
            <w:u w:val="single"/>
          </w:rPr>
          <w:t>22</w:t>
        </w:r>
      </w:hyperlink>
      <w:r>
        <w:t xml:space="preserve">). Isso, argumenta Paulo, não é a Ceia do Senhor, mas uma farsa (v. </w:t>
      </w:r>
      <w:hyperlink r:id="rId4651">
        <w:r>
          <w:rPr>
            <w:color w:val="0000EE"/>
            <w:u w:val="single"/>
          </w:rPr>
          <w:t>20</w:t>
        </w:r>
      </w:hyperlink>
      <w:r>
        <w:t>).</w:t>
      </w:r>
    </w:p>
    <w:p>
      <w:r/>
      <w:r>
        <w:t xml:space="preserve">Paulo repete as palavras de instituição para apontar que todos eles estão participando do corpo e sangue de Cristo (cf. </w:t>
      </w:r>
      <w:hyperlink r:id="rId5825">
        <w:r>
          <w:rPr>
            <w:color w:val="0000EE"/>
            <w:u w:val="single"/>
          </w:rPr>
          <w:t>10.16–17</w:t>
        </w:r>
      </w:hyperlink>
      <w:r>
        <w:t>), não de sua própria refeição. Fazer isso de uma maneira indigna, com divisões e distinções de classes entre eles, é profanar sua refeição falhando em demonstrar a unidade de seu corpo, a igreja (</w:t>
      </w:r>
      <w:hyperlink r:id="rId5826">
        <w:r>
          <w:rPr>
            <w:color w:val="0000EE"/>
            <w:u w:val="single"/>
          </w:rPr>
          <w:t>11.29</w:t>
        </w:r>
      </w:hyperlink>
      <w:r>
        <w:t>), e assim convidar seu julgamento, que eles já estavam experimentando. Em vez disso, eles deveriam examinar seus próprios motivos e verdadeiramente se reunir para comer esta refeição comum.</w:t>
      </w:r>
    </w:p>
    <w:p>
      <w:r/>
      <w:r>
        <w:t>O terceiro problema em suas reuniões era o uso de dons espirituais (</w:t>
      </w:r>
      <w:hyperlink r:id="rId5827">
        <w:r>
          <w:rPr>
            <w:color w:val="0000EE"/>
            <w:u w:val="single"/>
          </w:rPr>
          <w:t>12.1–14.40</w:t>
        </w:r>
      </w:hyperlink>
      <w:r>
        <w:t>). É possível que algumas pessoas nessas igrejas domésticas, sob a influência das ideias gnósticas, nas quais o espiritual é bom e o material maligno, e sentindo-se inspiradas por um espírito, proclamaram: “Jesus [que significa o Jesus humano em oposição ao Cristo espiritual] seja amaldiçoado”. Não é o Espírito de Deus dizendo isso, argumenta Paulo, pois o Espírito em nós clama a confissão cristã básica: “Jesus é Senhor”.</w:t>
      </w:r>
    </w:p>
    <w:p>
      <w:r/>
      <w:r>
        <w:t>Outros nessas igrejas estavam exaltando seu próprio dom específico, especialmente o dom de línguas, gritando com os outros ou se negando a dar-lhes uma chance. Há apenas um Espírito e ele é quem dá todos os dons, Paulo argumenta (</w:t>
      </w:r>
      <w:hyperlink r:id="rId5828">
        <w:r>
          <w:rPr>
            <w:color w:val="0000EE"/>
            <w:u w:val="single"/>
          </w:rPr>
          <w:t>12.4–6</w:t>
        </w:r>
      </w:hyperlink>
      <w:r>
        <w:t xml:space="preserve">). O Espírito se manifesta soberanamente em cada cristão, não simplesmente para o próprio benefício do cristão, mas para o bem de todos (v. </w:t>
      </w:r>
      <w:hyperlink r:id="rId5829">
        <w:r>
          <w:rPr>
            <w:color w:val="0000EE"/>
            <w:u w:val="single"/>
          </w:rPr>
          <w:t>7</w:t>
        </w:r>
      </w:hyperlink>
      <w:r>
        <w:t>). Uma vez que é o Espírito, não uma dada manifestação, que o cristão tem, os dons manifestados poderiam mudar de reunião para reunião.</w:t>
      </w:r>
    </w:p>
    <w:p>
      <w:r/>
      <w:r>
        <w:t>Esse mesmo Espírito faz de todos os cristãos uma unidade orgânica em Cristo (</w:t>
      </w:r>
      <w:hyperlink r:id="rId5830">
        <w:r>
          <w:rPr>
            <w:color w:val="0000EE"/>
            <w:u w:val="single"/>
          </w:rPr>
          <w:t>12.12–13</w:t>
        </w:r>
      </w:hyperlink>
      <w:r>
        <w:t xml:space="preserve">). Assim, não apenas o Espírito dá todos os dons — todos são igualmente inspirados — mas todos os dons são igualmente necessários para o funcionamento adequado do corpo de Cristo (vv. </w:t>
      </w:r>
      <w:hyperlink r:id="rId5831">
        <w:r>
          <w:rPr>
            <w:color w:val="0000EE"/>
            <w:u w:val="single"/>
          </w:rPr>
          <w:t>14–26</w:t>
        </w:r>
      </w:hyperlink>
      <w:r>
        <w:t xml:space="preserve">). Ninguém pode dizer que sua falta de um dom dado o torna menos parte do corpo; de fato, os dons menos visíveis podem muito bem ser os mais importantes. Assim, dentro do corpo de Cristo, não há apenas diferentes manifestações do Espírito através de indivíduos em uma determinada reunião, mas diferentes ministérios ou funções de indivíduos no corpo (vv. </w:t>
      </w:r>
      <w:hyperlink r:id="rId5832">
        <w:r>
          <w:rPr>
            <w:color w:val="0000EE"/>
            <w:u w:val="single"/>
          </w:rPr>
          <w:t>27–31</w:t>
        </w:r>
      </w:hyperlink>
      <w:r>
        <w:t>).</w:t>
      </w:r>
    </w:p>
    <w:p>
      <w:r/>
      <w:r>
        <w:t>Portanto, não é a demonstração de um dom específico que evidencia a espiritualidade de alguém, mas como se demonstra isso — isto é, se é manifestado com amor (</w:t>
      </w:r>
      <w:hyperlink r:id="rId5833">
        <w:r>
          <w:rPr>
            <w:color w:val="0000EE"/>
            <w:u w:val="single"/>
          </w:rPr>
          <w:t>13.1–13</w:t>
        </w:r>
      </w:hyperlink>
      <w:r>
        <w:t xml:space="preserve">). Qualquer dom exercido para propósitos egoístas pode ser um dom genuíno do Espírito, mas é inútil para o indivíduo (vv. </w:t>
      </w:r>
      <w:hyperlink r:id="rId1180">
        <w:r>
          <w:rPr>
            <w:color w:val="0000EE"/>
            <w:u w:val="single"/>
          </w:rPr>
          <w:t>1–3</w:t>
        </w:r>
      </w:hyperlink>
      <w:r>
        <w:t xml:space="preserve">). Isso ocorre porque o amor é o oposto do egoísmo (vv. </w:t>
      </w:r>
      <w:hyperlink r:id="rId5834">
        <w:r>
          <w:rPr>
            <w:color w:val="0000EE"/>
            <w:u w:val="single"/>
          </w:rPr>
          <w:t>4–7</w:t>
        </w:r>
      </w:hyperlink>
      <w:r>
        <w:t xml:space="preserve">). Na verdade, os dons do Espírito são apenas para o período entre a primeira vinda de Jesus e sua segunda vinda, quando o reino de Deus será perfeitamente revelado e o Rei estará presente em pessoa, e assim os dons intermediários do Espírito não serão mais necessários (vv. </w:t>
      </w:r>
      <w:hyperlink r:id="rId5835">
        <w:r>
          <w:rPr>
            <w:color w:val="0000EE"/>
            <w:u w:val="single"/>
          </w:rPr>
          <w:t>10,12</w:t>
        </w:r>
      </w:hyperlink>
      <w:r>
        <w:t xml:space="preserve">). Não são os dons, mas a fé e a esperança que terão uma recompensa por fim, e o amor, que é o maior, porque continuará enquanto os cristãos viverem em perfeito amor uns com os outros e com Jesus (v. </w:t>
      </w:r>
      <w:hyperlink r:id="rId5836">
        <w:r>
          <w:rPr>
            <w:color w:val="0000EE"/>
            <w:u w:val="single"/>
          </w:rPr>
          <w:t>13</w:t>
        </w:r>
      </w:hyperlink>
      <w:r>
        <w:t>).</w:t>
      </w:r>
    </w:p>
    <w:p>
      <w:r/>
      <w:r>
        <w:t>Aplicando isso a Corinto, Paulo argumenta que, embora eles devam desejar todos os dons, o amor determina que a profecia deve ser o dom mais buscado nas reuniões da igreja (</w:t>
      </w:r>
      <w:hyperlink r:id="rId5837">
        <w:r>
          <w:rPr>
            <w:color w:val="0000EE"/>
            <w:u w:val="single"/>
          </w:rPr>
          <w:t>14.1–25</w:t>
        </w:r>
      </w:hyperlink>
      <w:r>
        <w:t xml:space="preserve">). Os coríntios estavam evidentemente enfatizando as línguas. Línguas sem interpretação são de pouco valor para os outros, exceto para o próprio orador. Não edifica ninguém; sua confusão parece loucura para os de fora. Fora das reuniões da igreja, há uma função para as línguas, tanto como um sinal de julgamento (v. </w:t>
      </w:r>
      <w:hyperlink r:id="rId5838">
        <w:r>
          <w:rPr>
            <w:color w:val="0000EE"/>
            <w:u w:val="single"/>
          </w:rPr>
          <w:t>21</w:t>
        </w:r>
      </w:hyperlink>
      <w:r>
        <w:t xml:space="preserve">) quanto para a devoção privada (v. </w:t>
      </w:r>
      <w:hyperlink r:id="rId5839">
        <w:r>
          <w:rPr>
            <w:color w:val="0000EE"/>
            <w:u w:val="single"/>
          </w:rPr>
          <w:t>18</w:t>
        </w:r>
      </w:hyperlink>
      <w:r>
        <w:t>), mas para dentro da igreja, apenas com interpretação. A profecia, no entanto, tanto edifica quanto condena, e assim deve ser buscada nas reuniões.</w:t>
      </w:r>
    </w:p>
    <w:p>
      <w:r/>
      <w:r>
        <w:t>Nas reuniões da igreja, então, tanto os dons quanto a ordem devem prevalecer (</w:t>
      </w:r>
      <w:hyperlink r:id="rId5840">
        <w:r>
          <w:rPr>
            <w:color w:val="0000EE"/>
            <w:u w:val="single"/>
          </w:rPr>
          <w:t>14.26–40</w:t>
        </w:r>
      </w:hyperlink>
      <w:r>
        <w:t xml:space="preserve">). Todos os tipos de dons podem ser expressos com um objetivo de edificação mútua, não uma demonstração egoísta (v. </w:t>
      </w:r>
      <w:hyperlink r:id="rId5841">
        <w:r>
          <w:rPr>
            <w:color w:val="0000EE"/>
            <w:u w:val="single"/>
          </w:rPr>
          <w:t>26</w:t>
        </w:r>
      </w:hyperlink>
      <w:r>
        <w:t xml:space="preserve">). Os que falam em línguas devem ter um intérprete; tanto eles quanto os profetas devem falar, cada um na sua vez, com um determinado tempo sendo tomado para avaliar as declarações após cada um dos poucos oradores (vv. </w:t>
      </w:r>
      <w:hyperlink r:id="rId5842">
        <w:r>
          <w:rPr>
            <w:color w:val="0000EE"/>
            <w:u w:val="single"/>
          </w:rPr>
          <w:t>27–33</w:t>
        </w:r>
      </w:hyperlink>
      <w:r>
        <w:t xml:space="preserve">). Além disso, as mulheres, que provavelmente costumavam conversar durante o culto (talvez devido aos hábitos aprendidos nas sinagogas judaicas, onde elas eram segregadas e não participavam) deveriam cessar sua tagarelice, prestar atenção e aprender, fazendo perguntas em casa se elas não entenderem (vv. </w:t>
      </w:r>
      <w:hyperlink r:id="rId5843">
        <w:r>
          <w:rPr>
            <w:color w:val="0000EE"/>
            <w:u w:val="single"/>
          </w:rPr>
          <w:t>34–36</w:t>
        </w:r>
      </w:hyperlink>
      <w:r>
        <w:t xml:space="preserve">). Em seu resumo conclusivo, Paulo afirma que tudo deve ser feito de uma maneira ordenada (vv. </w:t>
      </w:r>
      <w:hyperlink r:id="rId5844">
        <w:r>
          <w:rPr>
            <w:color w:val="0000EE"/>
            <w:u w:val="single"/>
          </w:rPr>
          <w:t>37–40</w:t>
        </w:r>
      </w:hyperlink>
      <w:r>
        <w:t>).</w:t>
      </w:r>
    </w:p>
    <w:p>
      <w:r/>
      <w:r>
        <w:t xml:space="preserve">A quinta questão com que Paulo lida é a da ressurreição dos mortos (capítulo </w:t>
      </w:r>
      <w:hyperlink r:id="rId5845">
        <w:r>
          <w:rPr>
            <w:color w:val="0000EE"/>
            <w:u w:val="single"/>
          </w:rPr>
          <w:t>15</w:t>
        </w:r>
      </w:hyperlink>
      <w:r>
        <w:t xml:space="preserve">). Alguns dos problemas mencionados anteriormente como moral frouxa (capítulos </w:t>
      </w:r>
      <w:hyperlink r:id="rId5846">
        <w:r>
          <w:rPr>
            <w:color w:val="0000EE"/>
            <w:u w:val="single"/>
          </w:rPr>
          <w:t>5–6</w:t>
        </w:r>
      </w:hyperlink>
      <w:r>
        <w:t xml:space="preserve">), negação ascética, sexualidade (capítulo </w:t>
      </w:r>
      <w:hyperlink r:id="rId1188">
        <w:r>
          <w:rPr>
            <w:color w:val="0000EE"/>
            <w:u w:val="single"/>
          </w:rPr>
          <w:t>7</w:t>
        </w:r>
      </w:hyperlink>
      <w:r>
        <w:t xml:space="preserve">), ou sentindo que alguém já foi ressuscitado (capítulo </w:t>
      </w:r>
      <w:hyperlink r:id="rId5845">
        <w:r>
          <w:rPr>
            <w:color w:val="0000EE"/>
            <w:u w:val="single"/>
          </w:rPr>
          <w:t>15</w:t>
        </w:r>
      </w:hyperlink>
      <w:r>
        <w:t>), apontam para o fato de que alguns coríntios não acreditavam na ressurreição do corpo, embora aparentemente acreditassem na ressurreição de Jesus e na imortalidade da alma humana.</w:t>
      </w:r>
    </w:p>
    <w:p>
      <w:r/>
      <w:r>
        <w:t>Paulo reafirma que a ressurreição de Jesus é uma parte essencial da mensagem do evangelho (</w:t>
      </w:r>
      <w:hyperlink r:id="rId5847">
        <w:r>
          <w:rPr>
            <w:color w:val="0000EE"/>
            <w:u w:val="single"/>
          </w:rPr>
          <w:t>15.1–19</w:t>
        </w:r>
      </w:hyperlink>
      <w:r>
        <w:t xml:space="preserve">). A voz unificada da igreja era que Jesus não apenas morreu, mas ressuscitou e apareceu a numerosas testemunhas (vv. </w:t>
      </w:r>
      <w:hyperlink r:id="rId5848">
        <w:r>
          <w:rPr>
            <w:color w:val="0000EE"/>
            <w:u w:val="single"/>
          </w:rPr>
          <w:t>3–11</w:t>
        </w:r>
      </w:hyperlink>
      <w:r>
        <w:t xml:space="preserve">). Se eles fossem consistentes em seu argumento contrário à ressurreição, Cristo não poderia ter sido ressuscitado. No entanto, se este fosse o caso, toda a mensagem do evangelho seria falsa e todas as suas esperanças de salvação seriam vãs (vv. </w:t>
      </w:r>
      <w:hyperlink r:id="rId5849">
        <w:r>
          <w:rPr>
            <w:color w:val="0000EE"/>
            <w:u w:val="single"/>
          </w:rPr>
          <w:t>12–19</w:t>
        </w:r>
      </w:hyperlink>
      <w:r>
        <w:t>).</w:t>
      </w:r>
    </w:p>
    <w:p>
      <w:r/>
      <w:r>
        <w:t>Uma vez que Cristo foi ressuscitado, os cristãos também serão ressuscitados por causa de sua solidariedade com ele (</w:t>
      </w:r>
      <w:hyperlink r:id="rId5850">
        <w:r>
          <w:rPr>
            <w:color w:val="0000EE"/>
            <w:u w:val="single"/>
          </w:rPr>
          <w:t>15.20–28</w:t>
        </w:r>
      </w:hyperlink>
      <w:r>
        <w:t xml:space="preserve">). Bem como eles já haviam experimentado os resultados de estar em Adão, agora eles experimentarão os resultados de estar em Cristo. Mas a ressurreição não acontece de uma só vez. Há estágios progressivos: (a) Cristo foi o primeiro; (b) os cristãos serão ressuscitados em sua vinda; (c) Cristo deve reinar até que ele estenda o governo do reino sobre todo o mundo, destruindo todos os poderes demoníacos (incluindo a própria morte); e (d) então ele entregará o reino aperfeiçoado para o Pai (vv. </w:t>
      </w:r>
      <w:hyperlink r:id="rId5851">
        <w:r>
          <w:rPr>
            <w:color w:val="0000EE"/>
            <w:u w:val="single"/>
          </w:rPr>
          <w:t>23–28</w:t>
        </w:r>
      </w:hyperlink>
      <w:r>
        <w:t>).</w:t>
      </w:r>
    </w:p>
    <w:p>
      <w:r/>
      <w:r>
        <w:t xml:space="preserve">A esperança da ressurreição também explica práticas cristãs, como batizar pessoas em nome de outros que haviam morrido (provavelmente pessoas que haviam se voltado para Cristo, mas haviam morrido antes de poderem ser batizados, </w:t>
      </w:r>
      <w:hyperlink r:id="rId3280">
        <w:r>
          <w:rPr>
            <w:color w:val="0000EE"/>
            <w:u w:val="single"/>
          </w:rPr>
          <w:t>15.29</w:t>
        </w:r>
      </w:hyperlink>
      <w:r>
        <w:t xml:space="preserve">), e disposição de arriscar a vida por Cristo (vv. </w:t>
      </w:r>
      <w:hyperlink r:id="rId5852">
        <w:r>
          <w:rPr>
            <w:color w:val="0000EE"/>
            <w:u w:val="single"/>
          </w:rPr>
          <w:t>30–32</w:t>
        </w:r>
      </w:hyperlink>
      <w:r>
        <w:t>).</w:t>
      </w:r>
    </w:p>
    <w:p>
      <w:r/>
      <w:r>
        <w:t>Paulo admite que há problemas intelectuais envolvidos, mas estes são resolvidos quando se percebe que a ressurreição inclui tanto continuidade quanto descontinuidade (</w:t>
      </w:r>
      <w:hyperlink r:id="rId5853">
        <w:r>
          <w:rPr>
            <w:color w:val="0000EE"/>
            <w:u w:val="single"/>
          </w:rPr>
          <w:t>15.35–50</w:t>
        </w:r>
      </w:hyperlink>
      <w:r>
        <w:t>). Assim como uma semente e uma planta são a mesma coisa e também coisas diferentes, e assim como muitos tipos de corpos existem, assim é com a ressurreição. O que era perecível, desonroso, fraco e físico (isto é, em Adão) será ressuscitado imperecível, glorioso, poderoso e espiritual (isto é, em Cristo). De fato, é apenas quando os cristãos se tornam semelhantes a Cristo, o homem celestial, que eles passam a fazer parte do reino de Deus.</w:t>
      </w:r>
    </w:p>
    <w:p>
      <w:r/>
      <w:r>
        <w:t>Com entusiasmo, Paulo compartilha sua real esperança: a transformação (</w:t>
      </w:r>
      <w:hyperlink r:id="rId5854">
        <w:r>
          <w:rPr>
            <w:color w:val="0000EE"/>
            <w:u w:val="single"/>
          </w:rPr>
          <w:t>15.51–58</w:t>
        </w:r>
      </w:hyperlink>
      <w:r>
        <w:t xml:space="preserve">). Na vinda de Cristo, os mortos serão ressuscitados e transformados. Mas os vivos também precisarão de transformação, e isso acontecerá em uma fração de segundo, tornando todos eles impermeáveis à morte. Então eles verdadeiramente conhecerão a vitória já presente na ressurreição de Jesus (vv. </w:t>
      </w:r>
      <w:hyperlink r:id="rId5855">
        <w:r>
          <w:rPr>
            <w:color w:val="0000EE"/>
            <w:u w:val="single"/>
          </w:rPr>
          <w:t>54–57</w:t>
        </w:r>
      </w:hyperlink>
      <w:r>
        <w:t xml:space="preserve">). Um resumo final tira a conclusão prática de que este ensino deve dar-lhes certeza de uma recompensa por qualquer coisa feita por Cristo agora (v. </w:t>
      </w:r>
      <w:hyperlink r:id="rId5856">
        <w:r>
          <w:rPr>
            <w:color w:val="0000EE"/>
            <w:u w:val="single"/>
          </w:rPr>
          <w:t>58</w:t>
        </w:r>
      </w:hyperlink>
      <w:r>
        <w:t>).</w:t>
      </w:r>
    </w:p>
    <w:p>
      <w:r/>
      <w:r>
        <w:t>A sexta questão com que Paulo lida é a da coleta para a igreja necessitada de Jerusalém (</w:t>
      </w:r>
      <w:hyperlink r:id="rId5857">
        <w:r>
          <w:rPr>
            <w:color w:val="0000EE"/>
            <w:u w:val="single"/>
          </w:rPr>
          <w:t>16.1–4</w:t>
        </w:r>
      </w:hyperlink>
      <w:r>
        <w:t>). Por causa da fome na Judeia nos anos 40, a igreja de lá havia se tornado empobrecida. Em parte por causa da necessidade e em parte para promover a unidade da igreja, Paulo levantou uma coleta em algumas de suas igrejas para a igreja da Judeia. Ele responde às perguntas práticas dos coríntios afirmando que a coleta deveria ser feita semanalmente de acordo com a capacidade, não tudo de uma vez apenas quando Paulo chegasse (</w:t>
      </w:r>
      <w:hyperlink r:id="rId5858">
        <w:r>
          <w:rPr>
            <w:color w:val="0000EE"/>
            <w:u w:val="single"/>
          </w:rPr>
          <w:t>16.2</w:t>
        </w:r>
      </w:hyperlink>
      <w:r>
        <w:t xml:space="preserve">). Quando ele vier, ele enviará o dinheiro com seus próprios mensageiros. Paulo permanece vago sobre se ele os acompanhará ou não, aliviando as suspeitas de que de alguma forma ele planejasse lucrar com isso (cf. </w:t>
      </w:r>
      <w:hyperlink r:id="rId5859">
        <w:r>
          <w:rPr>
            <w:color w:val="0000EE"/>
            <w:u w:val="single"/>
          </w:rPr>
          <w:t>2Co 8–9</w:t>
        </w:r>
      </w:hyperlink>
      <w:r>
        <w:t>).</w:t>
      </w:r>
    </w:p>
    <w:p>
      <w:pPr>
        <w:pStyle w:val="Heading4"/>
      </w:pPr>
      <w:r>
        <w:t>Observações finais e encerramento, 16.5–24</w:t>
      </w:r>
    </w:p>
    <w:p>
      <w:r/>
      <w:r>
        <w:t xml:space="preserve">Tendo chegado ao fim, Paulo aborda seus planos de viagem, incluindo sua intenção de uma longa visita assim que ele deixasse Éfeso (cf. </w:t>
      </w:r>
      <w:hyperlink r:id="rId5860">
        <w:r>
          <w:rPr>
            <w:color w:val="0000EE"/>
            <w:u w:val="single"/>
          </w:rPr>
          <w:t>2Co 1</w:t>
        </w:r>
      </w:hyperlink>
      <w:r>
        <w:t>). Timóteo estava indo com a carta ou então chegaria logo após outra missão; eles deveriam respeitá-lo e ajudá-lo em seu retorno. Paulo aponta que ele exortou Apolo a visitar Corinto, no caso de alguma suspeita de que Paulo estivesse contra ele. Uma exortação formal para que os coríntios permanecessem firmes na fé e no amor conduz às suas costumeiras saudações finais. Ele elogia os mensageiros coríntios que haviam lhe trazido sua carta (</w:t>
      </w:r>
      <w:hyperlink r:id="rId5861">
        <w:r>
          <w:rPr>
            <w:color w:val="0000EE"/>
            <w:u w:val="single"/>
          </w:rPr>
          <w:t>16.15–18</w:t>
        </w:r>
      </w:hyperlink>
      <w:r>
        <w:t>) e envia saudações de Áquila e Prisca (Priscila), seus comissionados que o haviam ajudado a fundar a igreja em Corinto (</w:t>
      </w:r>
      <w:hyperlink r:id="rId5862">
        <w:r>
          <w:rPr>
            <w:color w:val="0000EE"/>
            <w:u w:val="single"/>
          </w:rPr>
          <w:t>Atos 18.2–3,18</w:t>
        </w:r>
      </w:hyperlink>
      <w:r>
        <w:t>). Referindo-se à saudação costumeira na igreja, ele lhes diz para saudar uns aos outros com um beijo em cada bochecha (</w:t>
      </w:r>
      <w:hyperlink r:id="rId3323">
        <w:r>
          <w:rPr>
            <w:color w:val="0000EE"/>
            <w:u w:val="single"/>
          </w:rPr>
          <w:t>16.20</w:t>
        </w:r>
      </w:hyperlink>
      <w:r>
        <w:t>). Paulo então toma a pena do escriba, como era comum, e escreve a exortação final — colocando uma maldição sobre aqueles que não amam Jesus, a expressão aramaica comum usada na igreja “Vem, Senhor” (</w:t>
      </w:r>
      <w:r>
        <w:rPr>
          <w:i/>
        </w:rPr>
        <w:t>Marana tha</w:t>
      </w:r>
      <w:r>
        <w:t xml:space="preserve">, talvez usada para fechar os cultos), e fornecendo uma garantia de seu próprio amor por eles (vv. </w:t>
      </w:r>
      <w:hyperlink r:id="rId5863">
        <w:r>
          <w:rPr>
            <w:color w:val="0000EE"/>
            <w:u w:val="single"/>
          </w:rPr>
          <w:t>21–24</w:t>
        </w:r>
      </w:hyperlink>
      <w:r>
        <w:t>).</w:t>
      </w:r>
    </w:p>
    <w:p>
      <w:r/>
      <w:r>
        <w:rPr>
          <w:i/>
        </w:rPr>
        <w:t>Veja também</w:t>
      </w:r>
      <w:r>
        <w:t xml:space="preserve"> </w:t>
      </w:r>
      <w:r>
        <w:t>Atos dos Apóstolos, Livro dos</w:t>
      </w:r>
      <w:r>
        <w:t xml:space="preserve">; </w:t>
      </w:r>
      <w:r>
        <w:t>Corinto</w:t>
      </w:r>
      <w:r>
        <w:t>,</w:t>
      </w:r>
      <w:r>
        <w:t>Coríntios, Segunda Carta aos</w:t>
      </w:r>
      <w:r>
        <w:t xml:space="preserve">; </w:t>
      </w:r>
      <w:r>
        <w:t>Paulo, O Apóstolo</w:t>
      </w:r>
      <w:r>
        <w:t>.</w:t>
      </w:r>
      <w:r/>
      <w:r/>
    </w:p>
    <w:p>
      <w:r/>
    </w:p>
    <w:p>
      <w:pPr>
        <w:pStyle w:val="Heading2"/>
      </w:pPr>
      <w:r>
        <w:t>Coríntios, Segunda Carta aos</w:t>
      </w:r>
      <w:r/>
    </w:p>
    <w:p>
      <w:r/>
      <w:r>
        <w:t>Resumo</w:t>
      </w:r>
    </w:p>
    <w:p>
      <w:r/>
      <w:r>
        <w:t>• Autor</w:t>
      </w:r>
    </w:p>
    <w:p>
      <w:r/>
      <w:r>
        <w:t>• Data e origem</w:t>
      </w:r>
    </w:p>
    <w:p>
      <w:r/>
      <w:r>
        <w:t>• Contexto</w:t>
      </w:r>
    </w:p>
    <w:p>
      <w:r/>
      <w:r>
        <w:t>• Propósito e ensino</w:t>
      </w:r>
    </w:p>
    <w:p>
      <w:r/>
      <w:r>
        <w:t>• Conteúdo</w:t>
      </w:r>
    </w:p>
    <w:p>
      <w:pPr>
        <w:pStyle w:val="Heading3"/>
      </w:pPr>
      <w:r>
        <w:t>Autor</w:t>
      </w:r>
    </w:p>
    <w:p>
      <w:r/>
      <w:r>
        <w:t xml:space="preserve">O apóstolo Paulo é o autor reconhecido de 2 Coríntios. Enquanto alguns estudiosos argumentam que </w:t>
      </w:r>
      <w:hyperlink r:id="rId5864">
        <w:r>
          <w:rPr>
            <w:color w:val="0000EE"/>
            <w:u w:val="single"/>
          </w:rPr>
          <w:t>2 Coríntios 2.14–7.4</w:t>
        </w:r>
      </w:hyperlink>
      <w:r>
        <w:t xml:space="preserve"> e </w:t>
      </w:r>
      <w:hyperlink r:id="rId5865">
        <w:r>
          <w:rPr>
            <w:color w:val="0000EE"/>
            <w:u w:val="single"/>
          </w:rPr>
          <w:t>10–13</w:t>
        </w:r>
      </w:hyperlink>
      <w:r>
        <w:t xml:space="preserve"> são cartas separadas, apenas no caso de </w:t>
      </w:r>
      <w:hyperlink r:id="rId505">
        <w:r>
          <w:rPr>
            <w:color w:val="0000EE"/>
            <w:u w:val="single"/>
          </w:rPr>
          <w:t>6.14–7.1</w:t>
        </w:r>
      </w:hyperlink>
      <w:r>
        <w:t xml:space="preserve"> a autoria de Paulo é contestada. Esta seção é, admitidamente, uma digressão estranha, mas mais estranho ainda seria pensar que um editor poderia tê-la inserido em um lugar tão incomum. Além disso, a repetição do pensamento em </w:t>
      </w:r>
      <w:hyperlink r:id="rId5866">
        <w:r>
          <w:rPr>
            <w:color w:val="0000EE"/>
            <w:u w:val="single"/>
          </w:rPr>
          <w:t>7.2</w:t>
        </w:r>
      </w:hyperlink>
      <w:r>
        <w:t xml:space="preserve"> de </w:t>
      </w:r>
      <w:hyperlink r:id="rId5867">
        <w:r>
          <w:rPr>
            <w:color w:val="0000EE"/>
            <w:u w:val="single"/>
          </w:rPr>
          <w:t>6.13</w:t>
        </w:r>
      </w:hyperlink>
      <w:r>
        <w:t xml:space="preserve"> indica que Paulo está ciente de que se desviou de seu tópico e está repetindo uma frase para trazer seus leitores de volta ao assunto.</w:t>
      </w:r>
    </w:p>
    <w:p>
      <w:pPr>
        <w:pStyle w:val="Heading3"/>
      </w:pPr>
      <w:r>
        <w:t>Data e origem</w:t>
      </w:r>
    </w:p>
    <w:p>
      <w:r/>
      <w:r>
        <w:t>Após escrever tanto a "carta anterior" (</w:t>
      </w:r>
      <w:hyperlink r:id="rId5868">
        <w:r>
          <w:rPr>
            <w:color w:val="0000EE"/>
            <w:u w:val="single"/>
          </w:rPr>
          <w:t>1Co 5.9</w:t>
        </w:r>
      </w:hyperlink>
      <w:r>
        <w:t>) quanto 1 Coríntios de Éfeso em 55 d.C., Paulo continuou a trabalhar lá. Em algum momento durante o ano seguinte, surgiu uma crise em Corinto. Paulo fez uma viagem rápida pelo Mar Egeu, mas não conseguiu resolver a crise e, devido à oposição pessoal de um líder na igreja (provavelmente um intruso com cartas de recomendação de Jerusalém), ele teve que se retirar (</w:t>
      </w:r>
      <w:hyperlink r:id="rId5869">
        <w:r>
          <w:rPr>
            <w:color w:val="0000EE"/>
            <w:u w:val="single"/>
          </w:rPr>
          <w:t>2Co 2.1,5</w:t>
        </w:r>
      </w:hyperlink>
      <w:r>
        <w:t>). Retornando a Éfeso dessa "visita dolorosa", Paulo enviou Tito com uma "carta de lágrimas" contundente, sua terceira carta àquela igreja (</w:t>
      </w:r>
      <w:hyperlink r:id="rId2202">
        <w:r>
          <w:rPr>
            <w:color w:val="0000EE"/>
            <w:u w:val="single"/>
          </w:rPr>
          <w:t>2Co 2.4</w:t>
        </w:r>
      </w:hyperlink>
      <w:r>
        <w:t xml:space="preserve">; </w:t>
      </w:r>
      <w:hyperlink r:id="rId5870">
        <w:r>
          <w:rPr>
            <w:color w:val="0000EE"/>
            <w:u w:val="single"/>
          </w:rPr>
          <w:t>7.8,12</w:t>
        </w:r>
      </w:hyperlink>
      <w:r>
        <w:t xml:space="preserve">), que levou à excomunhão do líder e ao arrependimento da igreja. Esta carta foi perdida. Enquanto isso, uma situação eclodiu em Éfeso durante a qual a morte (provavelmente execução) parecia tão certa que Paulo desesperou da vida (veja </w:t>
      </w:r>
      <w:hyperlink r:id="rId740">
        <w:r>
          <w:rPr>
            <w:color w:val="0000EE"/>
            <w:u w:val="single"/>
          </w:rPr>
          <w:t>At 19.23–41</w:t>
        </w:r>
      </w:hyperlink>
      <w:r>
        <w:t xml:space="preserve">; cf. </w:t>
      </w:r>
      <w:hyperlink r:id="rId918">
        <w:r>
          <w:rPr>
            <w:color w:val="0000EE"/>
            <w:u w:val="single"/>
          </w:rPr>
          <w:t>Rm 16.4</w:t>
        </w:r>
      </w:hyperlink>
      <w:r>
        <w:t xml:space="preserve">; </w:t>
      </w:r>
      <w:hyperlink r:id="rId5871">
        <w:r>
          <w:rPr>
            <w:color w:val="0000EE"/>
            <w:u w:val="single"/>
          </w:rPr>
          <w:t>2Co 1.8–9</w:t>
        </w:r>
      </w:hyperlink>
      <w:r>
        <w:t>). Paulo não foi morto, mas sua fuga pareceu milagrosa.</w:t>
      </w:r>
    </w:p>
    <w:p>
      <w:r/>
      <w:r>
        <w:t xml:space="preserve">Saindo de Éfeso no início de 56 d.C., Paulo viajou para o norte até Trôade em busca de Tito e notícias de Corinto. Incapaz de suportar a falta de notícias, ele abandonou uma missão promissora em Trôade e navegou para Filipos. Lá ele encontrou Tito, que explicou a mudança de coração em Corinto. </w:t>
      </w:r>
      <w:hyperlink r:id="rId5872">
        <w:r>
          <w:rPr>
            <w:color w:val="0000EE"/>
            <w:u w:val="single"/>
          </w:rPr>
          <w:t>2 Coríntios 1–9</w:t>
        </w:r>
      </w:hyperlink>
      <w:r>
        <w:t xml:space="preserve"> responde a essa situação, com os capítulos </w:t>
      </w:r>
      <w:hyperlink r:id="rId5859">
        <w:r>
          <w:rPr>
            <w:color w:val="0000EE"/>
            <w:u w:val="single"/>
          </w:rPr>
          <w:t>8–9</w:t>
        </w:r>
      </w:hyperlink>
      <w:r>
        <w:t xml:space="preserve"> preparando os coríntios para uma visita iminente. Mais tarde, Paulo recebeu novas notícias de Corinto de que havia uma renovada oposição a ele. Em resposta, ele escreveu a autodefesa encontrada em </w:t>
      </w:r>
      <w:hyperlink r:id="rId5865">
        <w:r>
          <w:rPr>
            <w:color w:val="0000EE"/>
            <w:u w:val="single"/>
          </w:rPr>
          <w:t>2 Coríntios 10–13</w:t>
        </w:r>
      </w:hyperlink>
      <w:r>
        <w:t>. Paulo seguiu a carta com uma visita mais tarde naquele ano (</w:t>
      </w:r>
      <w:hyperlink r:id="rId5873">
        <w:r>
          <w:rPr>
            <w:color w:val="0000EE"/>
            <w:u w:val="single"/>
          </w:rPr>
          <w:t>At 20.2–3</w:t>
        </w:r>
      </w:hyperlink>
      <w:r>
        <w:t>). Não sabemos a resposta a 2 Coríntios ou o resultado de sua visita final, mas mais tarde a história conturbada da igreja de Corinto continuou, com outro líder cristão precisando escrever uma carta no final do século (Epístola de Clemente).</w:t>
      </w:r>
    </w:p>
    <w:p>
      <w:pPr>
        <w:pStyle w:val="Heading3"/>
      </w:pPr>
      <w:r>
        <w:t>Contexto</w:t>
      </w:r>
    </w:p>
    <w:p>
      <w:r/>
      <w:r>
        <w:t>As igrejas domésticas de Corinto sempre tiveram grande diversidade. Enquanto aqueles que gostavam de Apolo sem dúvida desprezavam o estilo rude de Paulo, outros que preferiam Pedro provavelmente apelavam, além de Paulo, para os mais genuínos “originais” apóstolos em Jerusalém com seus costumes judaicos (</w:t>
      </w:r>
      <w:hyperlink r:id="rId5874">
        <w:r>
          <w:rPr>
            <w:color w:val="0000EE"/>
            <w:u w:val="single"/>
          </w:rPr>
          <w:t>1Co 1</w:t>
        </w:r>
      </w:hyperlink>
      <w:r>
        <w:t>). Mestres itinerantes com cartas de recomendação desses apóstolos facilmente atraíam seguidores quando vinham a Corinto e minavam a autoridade de Paulo e até mesmo seu caráter. Além disso, por causa dessa influência externa, a coleta para os pobres em Jerusalém que Paulo havia iniciado (</w:t>
      </w:r>
      <w:hyperlink r:id="rId5857">
        <w:r>
          <w:rPr>
            <w:color w:val="0000EE"/>
            <w:u w:val="single"/>
          </w:rPr>
          <w:t>16.1–4</w:t>
        </w:r>
      </w:hyperlink>
      <w:r>
        <w:t>) foi deixada em suspenso, tanto porque estava ligada a Paulo quanto porque os próprios mestres estavam tirando dinheiro da igreja. Paulo escreve para reafirmar seu amor e reparar os danos causados pelos intrusos.</w:t>
      </w:r>
    </w:p>
    <w:p>
      <w:pPr>
        <w:pStyle w:val="Heading3"/>
      </w:pPr>
      <w:r>
        <w:t>Propósito e ensino</w:t>
      </w:r>
    </w:p>
    <w:p>
      <w:r/>
      <w:r>
        <w:t>Na primeira seção da carta, Paulo tem dois propósitos principais. O primeiro é consolidar seu relacionamento restaurado com Corinto, explicando situações, perdoando aqueles que se opuseram a ele e refletindo sobre a natureza do ministério. Para Paulo, o ministério significava tanto sofrimento intenso quanto conforto. O sofrimento físico e emocional vinha das situações e das pessoas com quem ele trabalhava, mas seu conhecimento da recompensa futura e sua experiência do poder de Deus agindo nele traziam profunda alegria e conforto. Devido ao seu recente encontro com a morte, Paulo também reflete sobre o que acontece após a morte. Sua expectativa é receber um corpo de ressurreição e estar na presença de Jesus após a morte.</w:t>
      </w:r>
    </w:p>
    <w:p>
      <w:r/>
      <w:r>
        <w:t>O segundo propósito desta seção é colocar a coleta para Jerusalém de volta nos trilhos. Neste contexto, ele oferece um importante ensinamento sobre doação e economia cristã: os cristãos devem seguir Cristo ao doar livremente; a igualdade econômica é o princípio que governa quem doa para quem.</w:t>
      </w:r>
    </w:p>
    <w:p>
      <w:r/>
      <w:r>
        <w:t>A segunda seção da carta é uma defesa apaixonada, refutando as alegações de superioridade do intruso. Nem a oratória nem a linhagem são importantes no ministério cristão, mas apenas o chamado de Deus.</w:t>
      </w:r>
    </w:p>
    <w:p>
      <w:r/>
      <w:r>
        <w:t>Em ambas as seções, observa-se o profundo desejo de Paulo pela unidade da igreja, tanto dentro da comunidade local quanto com líderes designados por Deus, como ele próprio.</w:t>
      </w:r>
    </w:p>
    <w:p>
      <w:pPr>
        <w:pStyle w:val="Heading3"/>
      </w:pPr>
      <w:r>
        <w:t>Conteúdo</w:t>
      </w:r>
    </w:p>
    <w:p>
      <w:pPr>
        <w:pStyle w:val="Heading4"/>
      </w:pPr>
      <w:r>
        <w:t xml:space="preserve">Saudação, </w:t>
      </w:r>
      <w:hyperlink r:id="rId5875">
        <w:r>
          <w:rPr>
            <w:color w:val="0000EE"/>
            <w:u w:val="single"/>
          </w:rPr>
          <w:t>1.1–7</w:t>
        </w:r>
      </w:hyperlink>
    </w:p>
    <w:p>
      <w:r/>
      <w:r>
        <w:t>Uma saudação padrão (</w:t>
      </w:r>
      <w:hyperlink r:id="rId5876">
        <w:r>
          <w:rPr>
            <w:color w:val="0000EE"/>
            <w:u w:val="single"/>
          </w:rPr>
          <w:t>2Co 1.1–2</w:t>
        </w:r>
      </w:hyperlink>
      <w:r>
        <w:t xml:space="preserve">) vem antes da habitual ação de graças de Paulo (vv. </w:t>
      </w:r>
      <w:hyperlink r:id="rId5877">
        <w:r>
          <w:rPr>
            <w:color w:val="0000EE"/>
            <w:u w:val="single"/>
          </w:rPr>
          <w:t>3–7</w:t>
        </w:r>
      </w:hyperlink>
      <w:r>
        <w:t xml:space="preserve">). O tema da ação de graças — conforto em meio ao sofrimento — é o tema dos capítulos </w:t>
      </w:r>
      <w:hyperlink r:id="rId5878">
        <w:r>
          <w:rPr>
            <w:color w:val="0000EE"/>
            <w:u w:val="single"/>
          </w:rPr>
          <w:t>1–7</w:t>
        </w:r>
      </w:hyperlink>
      <w:r>
        <w:t>. Paulo sabe o que é sofrer, mas é no sofrimento que ele experimentou o conforto de Deus, que ele transmite aos coríntios.</w:t>
      </w:r>
    </w:p>
    <w:p>
      <w:pPr>
        <w:pStyle w:val="Heading4"/>
      </w:pPr>
      <w:r>
        <w:t xml:space="preserve">Explicação de Paulo, </w:t>
      </w:r>
      <w:hyperlink r:id="rId5879">
        <w:r>
          <w:rPr>
            <w:color w:val="0000EE"/>
            <w:u w:val="single"/>
          </w:rPr>
          <w:t>1.8–2.13</w:t>
        </w:r>
      </w:hyperlink>
    </w:p>
    <w:p>
      <w:r/>
      <w:r>
        <w:t>Paulo informa-os sobre o perigo que enfrentou em Éfeso, tão grande que ele não acreditava que sobreviveria. Sua eventual sobrevivência parecia uma ressurreição virtual, reforçando sua convicção de que Deus, e não a força humana, é o único refúgio cristão (</w:t>
      </w:r>
      <w:hyperlink r:id="rId5880">
        <w:r>
          <w:rPr>
            <w:color w:val="0000EE"/>
            <w:u w:val="single"/>
          </w:rPr>
          <w:t>1.8–11</w:t>
        </w:r>
      </w:hyperlink>
      <w:r>
        <w:t xml:space="preserve">). Nessa e em todas as situações, a única glória de Paulo é ter uma consciência limpa diante de Deus (vv. </w:t>
      </w:r>
      <w:hyperlink r:id="rId5881">
        <w:r>
          <w:rPr>
            <w:color w:val="0000EE"/>
            <w:u w:val="single"/>
          </w:rPr>
          <w:t>12–14</w:t>
        </w:r>
      </w:hyperlink>
      <w:r>
        <w:t>).</w:t>
      </w:r>
    </w:p>
    <w:p>
      <w:r/>
      <w:r>
        <w:t xml:space="preserve">Paulo havia falado sobre planos para uma visita dupla (cf. </w:t>
      </w:r>
      <w:hyperlink r:id="rId5882">
        <w:r>
          <w:rPr>
            <w:color w:val="0000EE"/>
            <w:u w:val="single"/>
          </w:rPr>
          <w:t>1Co 16.5–6</w:t>
        </w:r>
      </w:hyperlink>
      <w:r>
        <w:t>), mas, exceto por sua breve “visita dolorosa”, ele não havia cumprido seu plano (</w:t>
      </w:r>
      <w:hyperlink r:id="rId5883">
        <w:r>
          <w:rPr>
            <w:color w:val="0000EE"/>
            <w:u w:val="single"/>
          </w:rPr>
          <w:t>2Co 1.15–2.4</w:t>
        </w:r>
      </w:hyperlink>
      <w:r>
        <w:t xml:space="preserve">). Ele se defende de acusações de não planejar no Espírito ou de vacilação hipócrita. Ele era, de fato, fiel à sua palavra (cf. </w:t>
      </w:r>
      <w:hyperlink r:id="rId5884">
        <w:r>
          <w:rPr>
            <w:color w:val="0000EE"/>
            <w:u w:val="single"/>
          </w:rPr>
          <w:t>Tg 5.12</w:t>
        </w:r>
      </w:hyperlink>
      <w:r>
        <w:t>), pois sua vida refletia a promessa cumprida de Deus em Jesus, mas ele havia mudado os planos para não repetir a “visita dolorosa” do ano anterior. Foi o amor, não a inconstância, que motivou a visita adiada.</w:t>
      </w:r>
    </w:p>
    <w:p>
      <w:r/>
      <w:r>
        <w:t xml:space="preserve">Os coríntios responderam à "carta de lágrimas" de Paulo excomungando a pessoa que havia se oposto a Paulo (não a mesma pessoa de </w:t>
      </w:r>
      <w:hyperlink r:id="rId5885">
        <w:r>
          <w:rPr>
            <w:color w:val="0000EE"/>
            <w:u w:val="single"/>
          </w:rPr>
          <w:t>1Co 5</w:t>
        </w:r>
      </w:hyperlink>
      <w:r>
        <w:t>). Como a pessoa se arrependeu, Paulo pediu sua restauração à comunidade, perdoando livre e graciosamente o homem que o havia magoado. A excomunhão é para os não arrependidos; seu propósito é alcançado assim que a pessoa se arrepende (</w:t>
      </w:r>
      <w:hyperlink r:id="rId5886">
        <w:r>
          <w:rPr>
            <w:color w:val="0000EE"/>
            <w:u w:val="single"/>
          </w:rPr>
          <w:t>2Co 2.5–11</w:t>
        </w:r>
      </w:hyperlink>
      <w:r>
        <w:t>).</w:t>
      </w:r>
    </w:p>
    <w:p>
      <w:r/>
      <w:r>
        <w:t>Paulo então contou sobre sua jornada de Éfeso a Filipos, quando buscou notícias sobre a resposta à “carta de lágrimas” (</w:t>
      </w:r>
      <w:hyperlink r:id="rId5887">
        <w:r>
          <w:rPr>
            <w:color w:val="0000EE"/>
            <w:u w:val="single"/>
          </w:rPr>
          <w:t>2.12–13</w:t>
        </w:r>
      </w:hyperlink>
      <w:r>
        <w:t>). Após relatar como deixou uma oportunidade de ministrar em Trôade para encontrar Tito em Filipos, ele interrompe a narrativa com uma longa digressão.</w:t>
      </w:r>
    </w:p>
    <w:p>
      <w:pPr>
        <w:pStyle w:val="Heading4"/>
      </w:pPr>
      <w:r>
        <w:t xml:space="preserve">Natureza do ministério apostólico, </w:t>
      </w:r>
      <w:hyperlink r:id="rId5864">
        <w:r>
          <w:rPr>
            <w:color w:val="0000EE"/>
            <w:u w:val="single"/>
          </w:rPr>
          <w:t>2.14–7.4</w:t>
        </w:r>
      </w:hyperlink>
    </w:p>
    <w:p>
      <w:r/>
      <w:r>
        <w:t>O ministério apostólico no qual Paulo participou é semelhante ao ministério de Jesus, sendo um ministério de sofrimento e glória. Mesmo no sofrimento, há triunfo em Cristo, pois os cristãos compartilham do triunfo de Cristo. No entanto, assim como os perfumes de um triunfo romano eram alegria para os vencedores, mas significavam morte para os prisioneiros a caminho da execução, o triunfo de Jesus é vida para o crente e morte para o descrente (</w:t>
      </w:r>
      <w:hyperlink r:id="rId5888">
        <w:r>
          <w:rPr>
            <w:color w:val="0000EE"/>
            <w:u w:val="single"/>
          </w:rPr>
          <w:t>2.14–17</w:t>
        </w:r>
      </w:hyperlink>
      <w:r>
        <w:t>).</w:t>
      </w:r>
    </w:p>
    <w:p>
      <w:r/>
      <w:r>
        <w:t>Este triunfo pode ter soado como uma ostentação, mas Paulo não está se exaltando. De fato, ele não precisa das cartas de recomendação que o intruso em Corinto trouxe de Jerusalém, pois os coríntios são eles mesmos a prova de seu ministério (</w:t>
      </w:r>
      <w:hyperlink r:id="rId5889">
        <w:r>
          <w:rPr>
            <w:color w:val="0000EE"/>
            <w:u w:val="single"/>
          </w:rPr>
          <w:t>3.1–3</w:t>
        </w:r>
      </w:hyperlink>
      <w:r>
        <w:t xml:space="preserve">). Sua ostentação não está em si mesmo, mas na nova aliança no Espírito, que, ao contrário da antiga aliança, não está desvanecendo (aqui Paulo segue uma interpretação judaica de </w:t>
      </w:r>
      <w:hyperlink r:id="rId5890">
        <w:r>
          <w:rPr>
            <w:color w:val="0000EE"/>
            <w:u w:val="single"/>
          </w:rPr>
          <w:t>Êx 34.29–35</w:t>
        </w:r>
      </w:hyperlink>
      <w:r>
        <w:t>, que Moisés colocou o véu sobre o rosto para que o povo não visse a glória desaparecer), nem oculta a presença de Deus. A nova aliança é permanente; ela revela Deus diretamente no Espírito. Não há engano ou ocultação, pois a mensagem não é sobre Paulo, mas sobre Jesus, que é a própria luz (</w:t>
      </w:r>
      <w:hyperlink r:id="rId5891">
        <w:r>
          <w:rPr>
            <w:color w:val="0000EE"/>
            <w:u w:val="single"/>
          </w:rPr>
          <w:t>2Co 3.4–4.6</w:t>
        </w:r>
      </w:hyperlink>
      <w:r>
        <w:t>).</w:t>
      </w:r>
    </w:p>
    <w:p>
      <w:r/>
      <w:r>
        <w:t>Paulo, o mensageiro, é simplesmente o vaso barato e quebrável que contém o tesouro inestimável, revelando por meio do contraste que o único poder no evangelho é o poder de Deus. Este contraste entre fraqueza e poder é visto nos sofrimentos do apóstolo, uma espécie de morte viva modelada após os sofrimentos de Jesus, dos quais a vida de Jesus flui para os outros (</w:t>
      </w:r>
      <w:hyperlink r:id="rId5892">
        <w:r>
          <w:rPr>
            <w:color w:val="0000EE"/>
            <w:u w:val="single"/>
          </w:rPr>
          <w:t>4.7–15</w:t>
        </w:r>
      </w:hyperlink>
      <w:r>
        <w:t>).</w:t>
      </w:r>
    </w:p>
    <w:p>
      <w:r/>
      <w:r>
        <w:t>Portanto, apesar do intenso sofrimento, Paulo tem coragem, pois ele olha além desta vida para as recompensas da vida futura. Toda a sua motivação é baseada na fé, não na visão, pois ele já vive para realidades invisíveis (</w:t>
      </w:r>
      <w:hyperlink r:id="rId5893">
        <w:r>
          <w:rPr>
            <w:color w:val="0000EE"/>
            <w:u w:val="single"/>
          </w:rPr>
          <w:t>4.16–18</w:t>
        </w:r>
      </w:hyperlink>
      <w:r>
        <w:t>). Quando morrer, Paulo espera receber um corpo de ressurreição eterno. Sua esperança não é se tornar uma alma desencarnada (“nua”), mas passar imediatamente para uma vida corporal glorificada, já garantida pela presença do Espírito. Essa esperança provavelmente foi fruto de sua experiência de quase morte em Éfeso, quando ele deve ter meditado e orado sobre o que viria na morte (</w:t>
      </w:r>
      <w:hyperlink r:id="rId5894">
        <w:r>
          <w:rPr>
            <w:color w:val="0000EE"/>
            <w:u w:val="single"/>
          </w:rPr>
          <w:t>5.1–5</w:t>
        </w:r>
      </w:hyperlink>
      <w:r>
        <w:t xml:space="preserve">). Como esse futuro inclui o julgamento de Cristo, Paulo queria fazer todo o esforço para viver à luz desse julgamento, que ele já via pela fé (vv. </w:t>
      </w:r>
      <w:hyperlink r:id="rId5895">
        <w:r>
          <w:rPr>
            <w:color w:val="0000EE"/>
            <w:u w:val="single"/>
          </w:rPr>
          <w:t>6–10</w:t>
        </w:r>
      </w:hyperlink>
      <w:r>
        <w:t>).</w:t>
      </w:r>
    </w:p>
    <w:p>
      <w:r/>
      <w:r>
        <w:t>Longe de tentar se elogiar ou se exaltar, Paulo estava simplesmente apresentando o que ele era — uma pessoa cheia do amor de Cristo e convencida de que todos deveriam viver não para si mesmos, mas para Cristo (</w:t>
      </w:r>
      <w:hyperlink r:id="rId5896">
        <w:r>
          <w:rPr>
            <w:color w:val="0000EE"/>
            <w:u w:val="single"/>
          </w:rPr>
          <w:t>5.11–15</w:t>
        </w:r>
      </w:hyperlink>
      <w:r>
        <w:t>). Ninguém deveria ser valorizado apenas do ponto de vista humano, nem Paulo, nem mesmo Cristo (pois Paulo, antes de sua conversão, tinha uma opinião humana de Cristo que sua conversão havia mudado radicalmente); todos deveriam ser valorizados do ponto de vista da nova criação. O trabalho de Paulo era simplesmente anunciar a reconciliação da nova criação, que Deus já realizou do seu lado e que apenas aguarda a ratificação de uma pessoa do lado humano (</w:t>
      </w:r>
      <w:hyperlink r:id="rId5897">
        <w:r>
          <w:rPr>
            <w:color w:val="0000EE"/>
            <w:u w:val="single"/>
          </w:rPr>
          <w:t>5.16–20</w:t>
        </w:r>
      </w:hyperlink>
      <w:r>
        <w:t>).</w:t>
      </w:r>
    </w:p>
    <w:p>
      <w:r/>
      <w:r>
        <w:t>Paulo, então, era um colaborador de Deus, anunciando a salvação, utilizando todos os meios consistentes com o caráter de Deus para proclamar a mensagem, e sofrendo tudo o que se pode imaginar para demonstrar a extensão do amor de Deus (</w:t>
      </w:r>
      <w:hyperlink r:id="rId5898">
        <w:r>
          <w:rPr>
            <w:color w:val="0000EE"/>
            <w:u w:val="single"/>
          </w:rPr>
          <w:t>6.1–10</w:t>
        </w:r>
      </w:hyperlink>
      <w:r>
        <w:t>). Portanto, Paulo não tinha nada contra os coríntios. Se havia algum bloqueio no relacionamento deles com ele, devia ser do lado deles (</w:t>
      </w:r>
      <w:hyperlink r:id="rId5899">
        <w:r>
          <w:rPr>
            <w:color w:val="0000EE"/>
            <w:u w:val="single"/>
          </w:rPr>
          <w:t>6.11–13</w:t>
        </w:r>
      </w:hyperlink>
      <w:r>
        <w:t>).</w:t>
      </w:r>
    </w:p>
    <w:p>
      <w:pPr>
        <w:pStyle w:val="Heading4"/>
      </w:pPr>
      <w:r>
        <w:t xml:space="preserve">Digressão sobre pureza, </w:t>
      </w:r>
      <w:hyperlink r:id="rId505">
        <w:r>
          <w:rPr>
            <w:color w:val="0000EE"/>
            <w:u w:val="single"/>
          </w:rPr>
          <w:t>6.14–7.1</w:t>
        </w:r>
      </w:hyperlink>
    </w:p>
    <w:p>
      <w:r/>
      <w:r>
        <w:t xml:space="preserve">Talvez, suspeitando que o verdadeiro obstáculo no relacionamento fosse o amor deles pelo mundo, ou que os coríntios ainda não estivessem totalmente livres dos problemas mencionados em 1 Coríntios, Paulo discorreu sobre a pureza e santificação dos crentes. Existem dois grupos: luz e trevas, Cristo e o diabo, crentes e descrentes. Portanto, como </w:t>
      </w:r>
      <w:hyperlink r:id="rId5900">
        <w:r>
          <w:rPr>
            <w:color w:val="0000EE"/>
            <w:u w:val="single"/>
          </w:rPr>
          <w:t>Êxodo 25.8</w:t>
        </w:r>
      </w:hyperlink>
      <w:r>
        <w:t xml:space="preserve">, </w:t>
      </w:r>
      <w:hyperlink r:id="rId5901">
        <w:r>
          <w:rPr>
            <w:color w:val="0000EE"/>
            <w:u w:val="single"/>
          </w:rPr>
          <w:t>Levítico 26.11–12</w:t>
        </w:r>
      </w:hyperlink>
      <w:r>
        <w:t xml:space="preserve">, </w:t>
      </w:r>
      <w:hyperlink r:id="rId5902">
        <w:r>
          <w:rPr>
            <w:color w:val="0000EE"/>
            <w:u w:val="single"/>
          </w:rPr>
          <w:t>Isaías 52.11</w:t>
        </w:r>
      </w:hyperlink>
      <w:r>
        <w:t xml:space="preserve">, </w:t>
      </w:r>
      <w:hyperlink r:id="rId5903">
        <w:r>
          <w:rPr>
            <w:color w:val="0000EE"/>
            <w:u w:val="single"/>
          </w:rPr>
          <w:t>Ezequiel 37.27</w:t>
        </w:r>
      </w:hyperlink>
      <w:r>
        <w:t xml:space="preserve"> e </w:t>
      </w:r>
      <w:hyperlink r:id="rId5904">
        <w:r>
          <w:rPr>
            <w:color w:val="0000EE"/>
            <w:u w:val="single"/>
          </w:rPr>
          <w:t>Oséias 1.10</w:t>
        </w:r>
      </w:hyperlink>
      <w:r>
        <w:t xml:space="preserve"> mostram (frases dessas passagens fluem umas nas outras em um estilo de citação em cadeia familiar aos judeus), os cristãos não devem estar intimamente ligados aos descrentes no casamento ou nos negócios, pois isso afetará sua pureza moral.</w:t>
      </w:r>
    </w:p>
    <w:p>
      <w:pPr>
        <w:pStyle w:val="Heading4"/>
      </w:pPr>
      <w:r>
        <w:t xml:space="preserve">Retorno à natureza do ministério apostólico, </w:t>
      </w:r>
      <w:hyperlink r:id="rId5905">
        <w:r>
          <w:rPr>
            <w:color w:val="0000EE"/>
            <w:u w:val="single"/>
          </w:rPr>
          <w:t>7.2–4</w:t>
        </w:r>
      </w:hyperlink>
    </w:p>
    <w:p>
      <w:r/>
      <w:r>
        <w:t xml:space="preserve">Retomando de </w:t>
      </w:r>
      <w:hyperlink r:id="rId5867">
        <w:r>
          <w:rPr>
            <w:color w:val="0000EE"/>
            <w:u w:val="single"/>
          </w:rPr>
          <w:t>6.13</w:t>
        </w:r>
      </w:hyperlink>
      <w:r>
        <w:t>, Paulo destaca que os coríntios não têm nada substancial contra ele. Ele não está criticando, mas simplesmente apelando a eles com amor; mesmo agora ele está preparado para morrer por eles.</w:t>
      </w:r>
    </w:p>
    <w:p>
      <w:pPr>
        <w:pStyle w:val="Heading4"/>
      </w:pPr>
      <w:r>
        <w:t xml:space="preserve">Explicação concluída, </w:t>
      </w:r>
      <w:hyperlink r:id="rId5906">
        <w:r>
          <w:rPr>
            <w:color w:val="0000EE"/>
            <w:u w:val="single"/>
          </w:rPr>
          <w:t>7.5–16</w:t>
        </w:r>
      </w:hyperlink>
    </w:p>
    <w:p>
      <w:r/>
      <w:r>
        <w:t xml:space="preserve">Tendo concluído sua digressão, Paulo agora retorna à sua jornada, que ele deixou em </w:t>
      </w:r>
      <w:hyperlink r:id="rId5907">
        <w:r>
          <w:rPr>
            <w:color w:val="0000EE"/>
            <w:u w:val="single"/>
          </w:rPr>
          <w:t>2.13</w:t>
        </w:r>
      </w:hyperlink>
      <w:r>
        <w:t>. Quando encontrou Tito, ele recebeu boas notícias sobre Corinto. Ele ficou aliviado ao saber que sua “carta de lágrimas” havia sido eficaz, não apenas em deixá-los tristes, mas em levá-los ao verdadeiro arrependimento que gerou zelo, pureza moral e alegria. Além disso, o comportamento deles em relação a Tito foi tão impressionante que o relato entusiástico de Tito sobre suas próprias impressões animou ainda mais Paulo.</w:t>
      </w:r>
    </w:p>
    <w:p>
      <w:pPr>
        <w:pStyle w:val="Heading4"/>
      </w:pPr>
      <w:r>
        <w:t xml:space="preserve">Coleta para Jerusalém, </w:t>
      </w:r>
      <w:hyperlink r:id="rId5859">
        <w:r>
          <w:rPr>
            <w:color w:val="0000EE"/>
            <w:u w:val="single"/>
          </w:rPr>
          <w:t>8.1–9.15</w:t>
        </w:r>
      </w:hyperlink>
    </w:p>
    <w:p>
      <w:r/>
      <w:r>
        <w:t xml:space="preserve">No contexto de relacionamentos restaurados, Paulo aborda o tema sensível da coleta para a igreja em Jerusalém, que havia sido empobrecida por fomes na Judeia nos anos 40. Esta coleta era tanto um ato de caridade (cf. </w:t>
      </w:r>
      <w:hyperlink r:id="rId5908">
        <w:r>
          <w:rPr>
            <w:color w:val="0000EE"/>
            <w:u w:val="single"/>
          </w:rPr>
          <w:t>At 11.27–30</w:t>
        </w:r>
      </w:hyperlink>
      <w:r>
        <w:t xml:space="preserve">; </w:t>
      </w:r>
      <w:hyperlink r:id="rId4352">
        <w:r>
          <w:rPr>
            <w:color w:val="0000EE"/>
            <w:u w:val="single"/>
          </w:rPr>
          <w:t>Gl 2.10</w:t>
        </w:r>
      </w:hyperlink>
      <w:r>
        <w:t>) quanto um ato simbólico de unidade e comunhão entre os ramos gentio e judeu da igreja.</w:t>
      </w:r>
    </w:p>
    <w:p>
      <w:r/>
      <w:r>
        <w:t xml:space="preserve">A igreja empobrecida e sofrida na Macedônia (Filipos) havia dado de bom grado. Portanto, Tito estava voltando para ajudar os coríntios a completar o que haviam começado no ano anterior (e provavelmente interrompido durante a controvérsia com Paulo, </w:t>
      </w:r>
      <w:hyperlink r:id="rId5909">
        <w:r>
          <w:rPr>
            <w:color w:val="0000EE"/>
            <w:u w:val="single"/>
          </w:rPr>
          <w:t>2Co 8.1–7</w:t>
        </w:r>
      </w:hyperlink>
      <w:r>
        <w:t xml:space="preserve">). Os princípios da coleta são (1) os coríntios devem seguir o exemplo de Jesus, que se fez pobre por eles; (2) eles devem dar livremente o que podem sem lamentar que não podem dar mais, pois Deus valoriza a disposição de dar expressa em ação, não o valor líquido da oferta; e (3) deve haver uma igualdade econômica entre as seções da igreja, nenhuma seção sendo enriquecida às custas de outra (cf. </w:t>
      </w:r>
      <w:hyperlink r:id="rId5910">
        <w:r>
          <w:rPr>
            <w:color w:val="0000EE"/>
            <w:u w:val="single"/>
          </w:rPr>
          <w:t>Êx 16.18</w:t>
        </w:r>
      </w:hyperlink>
      <w:r>
        <w:t>). Essa igualdade econômica se estende ao relacionamento entre duas igrejas em continentes diferentes (</w:t>
      </w:r>
      <w:hyperlink r:id="rId5911">
        <w:r>
          <w:rPr>
            <w:color w:val="0000EE"/>
            <w:u w:val="single"/>
          </w:rPr>
          <w:t>2Co 8.8–15</w:t>
        </w:r>
      </w:hyperlink>
      <w:r>
        <w:t>).</w:t>
      </w:r>
    </w:p>
    <w:p>
      <w:r/>
      <w:r>
        <w:t>Tito e dois homens absolutamente confiáveis, designados pelas igrejas para este trabalho, virão supervisionar a coleta final — Paulo não teria nada a ver com o dinheiro pessoalmente — pois é importante que não apenas Deus, mas o mundo também veja a honestidade e integridade com que a igreja lida com o dinheiro (</w:t>
      </w:r>
      <w:hyperlink r:id="rId5912">
        <w:r>
          <w:rPr>
            <w:color w:val="0000EE"/>
            <w:u w:val="single"/>
          </w:rPr>
          <w:t>8.16–24</w:t>
        </w:r>
      </w:hyperlink>
      <w:r>
        <w:t>).</w:t>
      </w:r>
    </w:p>
    <w:p>
      <w:r/>
      <w:r>
        <w:t>Nesta seção, Paulo destaca que não precisa argumentar as razões para esta coleta; eles estavam cientes delas quando começaram a arrecadar dinheiro no ano anterior. Esta carta não é um argumento para a coleta, mas um incentivo para terminar o trabalho, para que, quando Paulo chegar com representantes de outras igrejas trazendo suas contribuições, os coríntios não fiquem envergonhados por suas igrejas relativamente ricas não estarem prontas ou capazes de dar generosamente, apesar das declarações de Paulo sobre o entusiasmo anterior deles. Ao dizer isso, Paulo mostra-se diplomático e perspicaz em motivar o comportamento humano; ele faz as melhores suposições possíveis sobre a situação atual (</w:t>
      </w:r>
      <w:hyperlink r:id="rId5913">
        <w:r>
          <w:rPr>
            <w:color w:val="0000EE"/>
            <w:u w:val="single"/>
          </w:rPr>
          <w:t>9.1–5</w:t>
        </w:r>
      </w:hyperlink>
      <w:r>
        <w:t>).</w:t>
      </w:r>
    </w:p>
    <w:p>
      <w:r/>
      <w:r>
        <w:t>Paulo não queria que os coríntios dessem por obrigação, embora ele, assim como Jesus (</w:t>
      </w:r>
      <w:hyperlink r:id="rId1803">
        <w:r>
          <w:rPr>
            <w:color w:val="0000EE"/>
            <w:u w:val="single"/>
          </w:rPr>
          <w:t>Mt 6.19–20</w:t>
        </w:r>
      </w:hyperlink>
      <w:r>
        <w:t>), destacasse que o único valor real do dinheiro está em doá-lo para ajudar os outros. Em vez disso, ele desejava que eles estivessem tão convencidos da generosidade de Deus e de Sua capacidade de prover que dessem de forma livre e alegre. Deus queria enriquecê-los para que pudessem dar mais. A doação resultaria em ações de graças a Deus pelos destinatários, que também orariam por aqueles que deram o presente, unindo assim a igreja. Um lembrete final da extensão da própria doação de Deus encerra a seção (</w:t>
      </w:r>
      <w:hyperlink r:id="rId5914">
        <w:r>
          <w:rPr>
            <w:color w:val="0000EE"/>
            <w:u w:val="single"/>
          </w:rPr>
          <w:t>2Co 9.6–15</w:t>
        </w:r>
      </w:hyperlink>
      <w:r>
        <w:t>).</w:t>
      </w:r>
    </w:p>
    <w:p>
      <w:pPr>
        <w:pStyle w:val="Heading4"/>
      </w:pPr>
      <w:r>
        <w:t xml:space="preserve">A autodefesa de Paulo, </w:t>
      </w:r>
      <w:hyperlink r:id="rId5865">
        <w:r>
          <w:rPr>
            <w:color w:val="0000EE"/>
            <w:u w:val="single"/>
          </w:rPr>
          <w:t>10.1–13.14</w:t>
        </w:r>
      </w:hyperlink>
    </w:p>
    <w:p>
      <w:r/>
      <w:r>
        <w:t xml:space="preserve">Há uma mudança abrupta de tom entre </w:t>
      </w:r>
      <w:hyperlink r:id="rId5915">
        <w:r>
          <w:rPr>
            <w:color w:val="0000EE"/>
            <w:u w:val="single"/>
          </w:rPr>
          <w:t>9.15</w:t>
        </w:r>
      </w:hyperlink>
      <w:r>
        <w:t xml:space="preserve"> e </w:t>
      </w:r>
      <w:hyperlink r:id="rId5916">
        <w:r>
          <w:rPr>
            <w:color w:val="0000EE"/>
            <w:u w:val="single"/>
          </w:rPr>
          <w:t>10.1</w:t>
        </w:r>
      </w:hyperlink>
      <w:r>
        <w:t xml:space="preserve">. Agora, em vez do tom de conciliação encontrado em </w:t>
      </w:r>
      <w:hyperlink r:id="rId5878">
        <w:r>
          <w:rPr>
            <w:color w:val="0000EE"/>
            <w:u w:val="single"/>
          </w:rPr>
          <w:t>1.1–7.16</w:t>
        </w:r>
      </w:hyperlink>
      <w:r>
        <w:t>, há argumentação e defesa, até mesmo ameaça. O apostolado de Paulo foi atacado, e ele o defenderá com vigor.</w:t>
      </w:r>
    </w:p>
    <w:p>
      <w:r/>
      <w:r>
        <w:t>Paulo era realmente uma pessoa humilde que preferia não usar sua autoridade. No entanto, quando forçado, ele tinha mais do que autoridade; ele possuía poder espiritual, capaz de destruir argumentos contrários e levar todos à obediência a Jesus. Ele usaria esse poder em Corinto, se necessário, embora até aquele momento ele tivesse sido gentil e mostrado esse lado de seu ministério apenas em cartas (</w:t>
      </w:r>
      <w:hyperlink r:id="rId5917">
        <w:r>
          <w:rPr>
            <w:color w:val="0000EE"/>
            <w:u w:val="single"/>
          </w:rPr>
          <w:t>10.1–11</w:t>
        </w:r>
      </w:hyperlink>
      <w:r>
        <w:t>).</w:t>
      </w:r>
    </w:p>
    <w:p>
      <w:r/>
      <w:r>
        <w:t>Seus oponentes falavam de suas qualificações e se comparavam favoravelmente com outros ministros. Paulo não entraria nesse jogo de comparações. Deus havia estabelecido a esfera de seus trabalhos, que era a área em que ele fundou igrejas. Ele foi quem iniciou a igreja em Corinto, então essa é sua esfera de ministério, não a do intruso (e outros como ele). Eles se gabavam de ter colhido os benefícios de seu ministério; Paulo podia apontar para um ministério original dado por Deus, pois é a recomendação de Deus no final que conta (</w:t>
      </w:r>
      <w:hyperlink r:id="rId5918">
        <w:r>
          <w:rPr>
            <w:color w:val="0000EE"/>
            <w:u w:val="single"/>
          </w:rPr>
          <w:t>10.13–18</w:t>
        </w:r>
      </w:hyperlink>
      <w:r>
        <w:t>).</w:t>
      </w:r>
    </w:p>
    <w:p>
      <w:r/>
      <w:r>
        <w:t>No entanto, a rebelião dos coríntios é séria o suficiente para forçá-lo a se defender, por mais ridículo que tal exercício seja. Ele ficou chocado com a facilidade com que eles se voltaram para toda nova doutrina que surgia. Essa tendência causa medo no coração de Paulo (</w:t>
      </w:r>
      <w:hyperlink r:id="rId5919">
        <w:r>
          <w:rPr>
            <w:color w:val="0000EE"/>
            <w:u w:val="single"/>
          </w:rPr>
          <w:t>11.1–6</w:t>
        </w:r>
      </w:hyperlink>
      <w:r>
        <w:t>).</w:t>
      </w:r>
    </w:p>
    <w:p>
      <w:r/>
      <w:r>
        <w:t xml:space="preserve">Paulo havia sido criticado por recusar apoio financeiro de Corinto (mesmo que ele aceitasse presentes de outras igrejas; cf. </w:t>
      </w:r>
      <w:hyperlink r:id="rId5920">
        <w:r>
          <w:rPr>
            <w:color w:val="0000EE"/>
            <w:u w:val="single"/>
          </w:rPr>
          <w:t>1Co 9</w:t>
        </w:r>
      </w:hyperlink>
      <w:r>
        <w:t>). Ele continuaria a recusar tal apoio, pois queria minar as alegações do intruso. Se o intruso realmente estivesse servindo a Deus sozinho, que trabalhasse na mesma base que Paulo! Mas como o intruso era falso de coração, servindo a Satanás e não a Deus, ele buscava dinheiro da igreja. Paulo estava surpreso que, na vangloriada sabedoria dos coríntios, eles não vissem através dessa hipocrisia, mas ele esperava que, mesmo que tivesse que se fazer de tolo ao se defender, eles pelo menos aceitassem um tolo como Paulo. A ironia é que seu cuidado e preocupação muito ternos pela igreja, sua gentileza, estavam sendo usados contra ele como uma suposta "fraqueza". Paulo, argumentava o oponente, sabia que era falso, por isso não ousava aceitar dinheiro dos coríntios (</w:t>
      </w:r>
      <w:hyperlink r:id="rId5921">
        <w:r>
          <w:rPr>
            <w:color w:val="0000EE"/>
            <w:u w:val="single"/>
          </w:rPr>
          <w:t>11.7–21</w:t>
        </w:r>
      </w:hyperlink>
      <w:r>
        <w:t>).</w:t>
      </w:r>
    </w:p>
    <w:p>
      <w:r/>
      <w:r>
        <w:t>Intrusos afirmaram vir com autoridade de Jerusalém. Eles tinham cartas dos apóstolos; é improvável, no entanto, que os apóstolos tivessem aprovado suas atividades. Ainda assim, eram judeus com autoridade respeitável por trás deles. Paulo sentiu-se compelido a declarar suas próprias credenciais. Se eles eram judeus, ele era judeu tão puro quanto eles. Se serviam a Cristo, seu trabalho e sofrimentos poderiam igualar os dele? A lista de sofrimentos tanto fornece informações históricas não encontradas em Atos quanto aponta para um trabalho incansável, incluindo dias de jejum (“ficado sem comida”) e noites passadas em oração (“ficado sem dormir”) (</w:t>
      </w:r>
      <w:hyperlink r:id="rId5922">
        <w:r>
          <w:rPr>
            <w:color w:val="0000EE"/>
            <w:u w:val="single"/>
          </w:rPr>
          <w:t>11.21–29</w:t>
        </w:r>
      </w:hyperlink>
      <w:r>
        <w:t>).</w:t>
      </w:r>
    </w:p>
    <w:p>
      <w:r/>
      <w:r>
        <w:t>Mas essa ostentação era repulsiva para Paulo, então ele destacou um sofrimento em particular — sua fuga de Damasco, quando teve que se esconder e escapar da cidade em um cesto. A história mostra ao mesmo tempo sua eficácia como evangelista (pois ele era alvo de perseguição) e o envergonha, pois não conseguiu se defender e teve que escapar sob a cobertura da escuridão. No entanto, essa fraqueza era, de fato, sua glória (</w:t>
      </w:r>
      <w:hyperlink r:id="rId5923">
        <w:r>
          <w:rPr>
            <w:color w:val="0000EE"/>
            <w:u w:val="single"/>
          </w:rPr>
          <w:t>11.30–33</w:t>
        </w:r>
      </w:hyperlink>
      <w:r>
        <w:t>).</w:t>
      </w:r>
    </w:p>
    <w:p>
      <w:r/>
      <w:r>
        <w:t>Seus oponentes se gabavam de revelações de Deus. Paulo sabia que esse orgulho era insensato; no entanto, se fosse necessário, ele lhes contaria sobre uma revelação superior à deles, uma ocasião em que ele realmente viu o interior do céu (ele não tem certeza se foi uma visão ou uma experiência corporal real). Isso provavelmente aconteceu por volta de 42 d.C., enquanto Paulo estava em Tarso, antes de Barnabé vir buscá-lo (</w:t>
      </w:r>
      <w:hyperlink r:id="rId5924">
        <w:r>
          <w:rPr>
            <w:color w:val="0000EE"/>
            <w:u w:val="single"/>
          </w:rPr>
          <w:t>At 9.30</w:t>
        </w:r>
      </w:hyperlink>
      <w:r>
        <w:t xml:space="preserve">; </w:t>
      </w:r>
      <w:hyperlink r:id="rId5925">
        <w:r>
          <w:rPr>
            <w:color w:val="0000EE"/>
            <w:u w:val="single"/>
          </w:rPr>
          <w:t>11.25</w:t>
        </w:r>
      </w:hyperlink>
      <w:r>
        <w:t xml:space="preserve">). Paulo não gostava de falar sobre isso, pois o poder de Deus é mais facilmente visto em sua fraqueza. De fato, os oponentes de Paulo eram uma aflição de Satanás que Deus permitiu para manter Paulo humilde e demonstrar seu poder na fraqueza de Paulo. (A imagem de um “espinho na carne” é uma de inimigos — </w:t>
      </w:r>
      <w:hyperlink r:id="rId5926">
        <w:r>
          <w:rPr>
            <w:color w:val="0000EE"/>
            <w:u w:val="single"/>
          </w:rPr>
          <w:t>Nm 33.55</w:t>
        </w:r>
      </w:hyperlink>
      <w:r>
        <w:t xml:space="preserve">; </w:t>
      </w:r>
      <w:hyperlink r:id="rId5927">
        <w:r>
          <w:rPr>
            <w:color w:val="0000EE"/>
            <w:u w:val="single"/>
          </w:rPr>
          <w:t>Js 23.13</w:t>
        </w:r>
      </w:hyperlink>
      <w:r>
        <w:t xml:space="preserve">; Paulo também descreve o que ele quer dizer mais claramente em </w:t>
      </w:r>
      <w:hyperlink r:id="rId5928">
        <w:r>
          <w:rPr>
            <w:color w:val="0000EE"/>
            <w:u w:val="single"/>
          </w:rPr>
          <w:t>2Co 12.10</w:t>
        </w:r>
      </w:hyperlink>
      <w:r>
        <w:t>). Se a vulnerabilidade mostra o poder de Deus, Paulo aceita de bom grado a fraqueza (</w:t>
      </w:r>
      <w:hyperlink r:id="rId5929">
        <w:r>
          <w:rPr>
            <w:color w:val="0000EE"/>
            <w:u w:val="single"/>
          </w:rPr>
          <w:t>12.1–10</w:t>
        </w:r>
      </w:hyperlink>
      <w:r>
        <w:t>).</w:t>
      </w:r>
    </w:p>
    <w:p>
      <w:r/>
      <w:r>
        <w:t>Paulo sentiu vergonha de ter que se gabar. Os oponentes se vangloriavam de vir dos “superapóstolos” de Jerusalém. Paulo destacou que ele era igual a eles, embora ambos não fossem nada. Deus havia marcado o trabalho de Paulo. Com uma ironia mordaz, ele pede perdão por não ter aceitado dinheiro dos coríntios (</w:t>
      </w:r>
      <w:hyperlink r:id="rId5930">
        <w:r>
          <w:rPr>
            <w:color w:val="0000EE"/>
            <w:u w:val="single"/>
          </w:rPr>
          <w:t>12.11–13</w:t>
        </w:r>
      </w:hyperlink>
      <w:r>
        <w:t>).</w:t>
      </w:r>
    </w:p>
    <w:p>
      <w:r/>
      <w:r>
        <w:t>No entanto, Paulo viria uma terceira vez e manteria a mesma política de não aceitar nenhum apoio deles, mas de se entregar livremente a eles, assim como Jesus havia feito na terra. Não apenas ele, mas todos os seus enviados mantinham a mesma política. Ninguém poderia acusá-lo de engano ou inconsistência (</w:t>
      </w:r>
      <w:hyperlink r:id="rId5931">
        <w:r>
          <w:rPr>
            <w:color w:val="0000EE"/>
            <w:u w:val="single"/>
          </w:rPr>
          <w:t>12.14–18</w:t>
        </w:r>
      </w:hyperlink>
      <w:r>
        <w:t>). No entanto, ele temia vir até eles, pois sabia que a comunidade não apenas se rebelou contra ele, mas também estava em desordem interna. Essa desunião e imoralidade humilhariam e magoariam Paulo (</w:t>
      </w:r>
      <w:hyperlink r:id="rId5932">
        <w:r>
          <w:rPr>
            <w:color w:val="0000EE"/>
            <w:u w:val="single"/>
          </w:rPr>
          <w:t>12.19–13.4</w:t>
        </w:r>
      </w:hyperlink>
      <w:r>
        <w:t>).</w:t>
      </w:r>
    </w:p>
    <w:p>
      <w:r/>
      <w:r>
        <w:t>Portanto, os coríntios fariam bem em examinar a si mesmos. Eles estavam realmente seguindo Jesus ou não? Se sim, deveriam perceber que Paulo também estava seguindo Jesus. No entanto, a preocupação de Paulo não era com sua própria posição — ele estava contente em ser rejeitado (“fraco”) — mas com o fato de eles seguirem a verdade. Ele esperava pelo arrependimento deles, não para se proteger, mas para que não precisasse ser severo quando viesse (</w:t>
      </w:r>
      <w:hyperlink r:id="rId5933">
        <w:r>
          <w:rPr>
            <w:color w:val="0000EE"/>
            <w:u w:val="single"/>
          </w:rPr>
          <w:t>13.5–10</w:t>
        </w:r>
      </w:hyperlink>
      <w:r>
        <w:t>).</w:t>
      </w:r>
    </w:p>
    <w:p>
      <w:r/>
      <w:r>
        <w:t xml:space="preserve">Provavelmente tomando a caneta do escriba neste ponto, Paulo encerra com um apelo final para que se arrependam e alcancem a unidade como igreja. Breves saudações da igreja na Macedônia e uma bênção formal encerram sua correspondência com os Coríntios (vv. </w:t>
      </w:r>
      <w:hyperlink r:id="rId5934">
        <w:r>
          <w:rPr>
            <w:color w:val="0000EE"/>
            <w:u w:val="single"/>
          </w:rPr>
          <w:t>11–13</w:t>
        </w:r>
      </w:hyperlink>
      <w:r>
        <w:t>).</w:t>
      </w:r>
    </w:p>
    <w:p>
      <w:r/>
      <w:r>
        <w:rPr>
          <w:i/>
        </w:rPr>
        <w:t>Veja também</w:t>
      </w:r>
      <w:r>
        <w:t xml:space="preserve"> </w:t>
      </w:r>
      <w:r>
        <w:t>Atos dos Apóstolos, Livro de</w:t>
      </w:r>
      <w:r>
        <w:t xml:space="preserve">; </w:t>
      </w:r>
      <w:r>
        <w:t>Corinto</w:t>
      </w:r>
      <w:r>
        <w:t xml:space="preserve">; </w:t>
      </w:r>
      <w:r>
        <w:t>Coríntios, Primeira Carta aos</w:t>
      </w:r>
      <w:r>
        <w:t xml:space="preserve">; </w:t>
      </w:r>
      <w:r>
        <w:t>Paulo, o Apóstolo</w:t>
      </w:r>
      <w:r>
        <w:t>.</w:t>
      </w:r>
      <w:r/>
      <w:r/>
    </w:p>
    <w:p>
      <w:r/>
    </w:p>
    <w:p>
      <w:pPr>
        <w:pStyle w:val="Heading2"/>
      </w:pPr>
      <w:r>
        <w:t>Corinto</w:t>
      </w:r>
      <w:r/>
    </w:p>
    <w:p>
      <w:r/>
      <w:r>
        <w:t>Uma proeminente cidade da Grécia, anteriormente a capital da antiga província de Acaia, onde o apóstolo Paulo pregou. O local da antiga Corinto está a oeste do istmo que separa a Península do Peloponeso do continente da Grécia. As ruínas antigas, em grande parte de origem romana, estão situadas a cerca de 1.285 metros da Corinto atual. A área foi habitada desde os tempos neolíticos. Corinto é dominada por um afloramento de rocha conhecido como Acrocorinto (Corinto Superior). A grandiosidade do período grego é evidente nos restos do templo de Apolo, cujas colunas maciças dominam o local. A entrada para a cidade antiga é feita por meio de uma avenida muito larga que segue em linha reta desde o portão da cidade. Essa avenida termina no mercado, com estradas que levam de lá ao Acrocorinto. No período apostólico, a cidade era um centro comercial e industrial movimentado, com uma população de quase 700.000.</w:t>
      </w:r>
    </w:p>
    <w:p>
      <w:pPr>
        <w:pStyle w:val="Heading3"/>
      </w:pPr>
      <w:r>
        <w:t>História e arqueologia</w:t>
      </w:r>
    </w:p>
    <w:p>
      <w:r/>
      <w:r>
        <w:t>Por volta de meados do século VIII a.C., Corinto, estrategicamente localizada ao longo das rotas comerciais Leste-Oeste, era uma cidade-estado próspera. De 350 a 250 a.C., foi a cidade mais proeminente da Grécia. Então, a máquina militar romana iniciou uma marcha implacável para forjar um vasto império. Em 146 a.C., Corinto foi completamente destruída e ficou em ruínas por um século. Em 46 a.C., Júlio César transferiu um grupo misto de italianos e gregos despojados para o local, e mais uma vez uma magnífica cidade surgiu, desta vez como uma colônia romana. Como na maioria das cidades romanas, templos de mármore dominavam a paisagem. A cidade era abastecida com água de um poço subterrâneo. Tornou-se uma cidade cosmopolita que atraía comerciantes de todo o mundo, embora sua reputação crescesse simultaneamente como um centro de luxo, indulgência e vício. Uma grande colônia de judeus deslocados (parte da Diáspora) se desenvolveu na cidade, um grupo que sem dúvida atraiu o apóstolo Paulo.</w:t>
      </w:r>
    </w:p>
    <w:p>
      <w:r/>
      <w:r>
        <w:t>Em 1896, a Escola Americana de Estudos Clássicos em Atenas obteve permissão para iniciar a escavação do antigo local. As descobertas são de especial interesse para o estudo das epístolas aos Coríntios do NT. Uma importante descoberta arqueológica foi um lintel de porta com uma parte de uma inscrição designando o edifício como a “Sinagoga dos Hebreus”. Pode ter marcado a sinagoga na qual o apóstolo pregou (</w:t>
      </w:r>
      <w:hyperlink r:id="rId5758">
        <w:r>
          <w:rPr>
            <w:color w:val="0000EE"/>
            <w:u w:val="single"/>
          </w:rPr>
          <w:t>At 18.4</w:t>
        </w:r>
      </w:hyperlink>
      <w:r>
        <w:t>). Outra descoberta foi o bema</w:t>
      </w:r>
      <w:r>
        <w:rPr>
          <w:i/>
        </w:rPr>
        <w:t>,</w:t>
      </w:r>
      <w:r>
        <w:t xml:space="preserve"> ou lugar de julgamento (vv. </w:t>
      </w:r>
      <w:hyperlink r:id="rId2862">
        <w:r>
          <w:rPr>
            <w:color w:val="0000EE"/>
            <w:u w:val="single"/>
          </w:rPr>
          <w:t>12–17</w:t>
        </w:r>
      </w:hyperlink>
      <w:r>
        <w:t>), localizado no centro da ágora</w:t>
      </w:r>
      <w:r>
        <w:rPr>
          <w:i/>
        </w:rPr>
        <w:t>,</w:t>
      </w:r>
      <w:r>
        <w:t xml:space="preserve"> ou mercado. Ali Paulo apareceu diante de Gálio, procônsul da Acaia. As datas de Gálio estão bem estabelecidas por outras inscrições. Ele não deve ter chegado em Corinto antes de julho de 51 d.C. Paulo apareceu diante dele após ter ministrado na cidade por quase 18 meses. Isso dataria a chegada de Paulo em Corinto como o início de 50 d.C.</w:t>
      </w:r>
    </w:p>
    <w:p>
      <w:r/>
      <w:r>
        <w:t>Corinto é significativo na história da igreja devido ao ministério do apóstolo Paulo em resposta à sua visão macedônica (</w:t>
      </w:r>
      <w:hyperlink r:id="rId2831">
        <w:r>
          <w:rPr>
            <w:color w:val="0000EE"/>
            <w:u w:val="single"/>
          </w:rPr>
          <w:t>At 16.9–10</w:t>
        </w:r>
      </w:hyperlink>
      <w:r>
        <w:t xml:space="preserve">). Ele estabeleceu igrejas em Filipos, Tessalônica, Bereia e possivelmente Atenas a caminho de Corinto. </w:t>
      </w:r>
      <w:hyperlink r:id="rId5935">
        <w:r>
          <w:rPr>
            <w:color w:val="0000EE"/>
            <w:u w:val="single"/>
          </w:rPr>
          <w:t>Atos 18</w:t>
        </w:r>
      </w:hyperlink>
      <w:r>
        <w:t xml:space="preserve"> descreve o trabalho de Paulo em Corinto, inicialmente com os judeus, que se opuseram violentamente a ele (v. </w:t>
      </w:r>
      <w:hyperlink r:id="rId5936">
        <w:r>
          <w:rPr>
            <w:color w:val="0000EE"/>
            <w:u w:val="single"/>
          </w:rPr>
          <w:t>6</w:t>
        </w:r>
      </w:hyperlink>
      <w:r>
        <w:t>). Em Corinto, Paulo se dedicou ao ministério mais longo até então em qualquer uma de suas primeiras viagens missionárias. A igreja de Corinto, nascida em um ambiente de intenso paganismo, teve que enfrentar sérias dificuldades iniciais. As cartas de Paulo ao grupo de crentes lá refletem um grande catálogo de problemas para os cristãos do primeiro século, uma lista não muito diferente dos problemas enfrentados pelos cristãos hoje.</w:t>
      </w:r>
    </w:p>
    <w:p>
      <w:r/>
      <w:r>
        <w:rPr>
          <w:i/>
        </w:rPr>
        <w:t>Veja também</w:t>
      </w:r>
      <w:r>
        <w:t xml:space="preserve"> </w:t>
      </w:r>
      <w:r>
        <w:t>Coríntios, Primeira Carta aos</w:t>
      </w:r>
      <w:r>
        <w:t xml:space="preserve">; </w:t>
      </w:r>
      <w:r>
        <w:t>Coríntios, Segunda Carta aos</w:t>
      </w:r>
      <w:r>
        <w:t>.</w:t>
      </w:r>
      <w:r/>
      <w:r/>
    </w:p>
    <w:p>
      <w:r/>
    </w:p>
    <w:p>
      <w:pPr>
        <w:pStyle w:val="Heading2"/>
      </w:pPr>
      <w:r>
        <w:t>Cornélio</w:t>
      </w:r>
      <w:r/>
    </w:p>
    <w:p>
      <w:r/>
      <w:r>
        <w:t>Centurião romano e o primeiro cristão gentio mencionado no livro de Atos.</w:t>
      </w:r>
    </w:p>
    <w:p>
      <w:r/>
      <w:r>
        <w:t xml:space="preserve">A história da conversão de Cornélio através da pregação do apóstolo Pedro está registrada em </w:t>
      </w:r>
      <w:hyperlink r:id="rId5937">
        <w:r>
          <w:rPr>
            <w:color w:val="0000EE"/>
            <w:u w:val="single"/>
          </w:rPr>
          <w:t>Atos 10.1–11.18</w:t>
        </w:r>
      </w:hyperlink>
      <w:r>
        <w:t>. Antes de sua conversão, Cornélio era bem conhecido pelos judeus como uma pessoa que temia a Deus, orava continuamente e dava esmolas.</w:t>
      </w:r>
    </w:p>
    <w:p>
      <w:r/>
      <w:r>
        <w:t>No início, a igreja era composta apenas por judeus, que relutavam em pregar o evangelho aos gentios porque os judeus que seguiam a lei nunca tinham comunhão com "pagãos". Pedro, um judeu que seguia a lei, tinha reservas em entrar na casa de um gentio e comer alimentos "impuros". No entanto, através de uma visão, Deus levou Pedro à casa de Cornélio para pregar o evangelho a ele, sua família e amigos próximos. Antes que Pedro terminasse de falar, e antes que o batismo ou a imposição de mãos pudessem ser administrados, Deus demonstrou dramaticamente sua aceitação dos gentios na comunhão da igreja, dando-lhes o dom do Espírito Santo. Pedro permaneceu vários dias na casa de Cornélio, sem dúvida regozijando-se na conversão do centurião e instruindo-o em sua nova fé.</w:t>
      </w:r>
    </w:p>
    <w:p>
      <w:r/>
      <w:r>
        <w:t>A conversão de Cornélio representou um passo significativo na separação da igreja primitiva do judaísmo. Cornélio não precisou se submeter a nenhuma das práticas judaicas, como a circuncisão ou o consumo apenas de animais ritualmente "puros". Pela primeira vez, um crente gentio foi aceito na igreja em igualdade de condições com os cristãos judeus.</w:t>
      </w:r>
    </w:p>
    <w:p>
      <w:r/>
      <w:r>
        <w:rPr>
          <w:i/>
        </w:rPr>
        <w:t>Veja também</w:t>
      </w:r>
      <w:r>
        <w:t xml:space="preserve"> </w:t>
      </w:r>
      <w:r>
        <w:t>Atos dos Apóstolos, Livro de</w:t>
      </w:r>
      <w:r>
        <w:t>.</w:t>
      </w:r>
      <w:r/>
      <w:r/>
    </w:p>
    <w:p>
      <w:r/>
    </w:p>
    <w:p>
      <w:pPr>
        <w:pStyle w:val="Heading2"/>
      </w:pPr>
      <w:r>
        <w:t>CORO</w:t>
      </w:r>
      <w:r/>
    </w:p>
    <w:p>
      <w:r/>
      <w:r>
        <w:t>É um tipo de cantoria ou fala de forma repetida e rítmica que muitas vezes soa como um tom contínuo (</w:t>
      </w:r>
      <w:hyperlink r:id="rId5938">
        <w:r>
          <w:rPr>
            <w:color w:val="0000EE"/>
            <w:u w:val="single"/>
          </w:rPr>
          <w:t>Sl 8.1</w:t>
        </w:r>
      </w:hyperlink>
      <w:r>
        <w:t xml:space="preserve">; </w:t>
      </w:r>
      <w:hyperlink r:id="rId5939">
        <w:r>
          <w:rPr>
            <w:color w:val="0000EE"/>
            <w:u w:val="single"/>
          </w:rPr>
          <w:t>Ez 32.16</w:t>
        </w:r>
      </w:hyperlink>
      <w:r>
        <w:t>).</w:t>
      </w:r>
    </w:p>
    <w:p>
      <w:r/>
      <w:r>
        <w:rPr>
          <w:i/>
        </w:rPr>
        <w:t>Veja</w:t>
      </w:r>
      <w:r>
        <w:t xml:space="preserve"> </w:t>
      </w:r>
      <w:r>
        <w:t>Música</w:t>
      </w:r>
      <w:r>
        <w:t>.</w:t>
      </w:r>
      <w:r/>
      <w:r/>
    </w:p>
    <w:p>
      <w:r/>
    </w:p>
    <w:p>
      <w:pPr>
        <w:pStyle w:val="Heading2"/>
      </w:pPr>
      <w:r>
        <w:t>Coroa</w:t>
      </w:r>
      <w:r/>
    </w:p>
    <w:p>
      <w:r/>
      <w:r>
        <w:t>Peça de cabeça que simboliza honra ou alto cargo. Além de usar a palavra metaforicamente, o Antigo Testamento refere-se a três tipos de coroas.</w:t>
      </w:r>
    </w:p>
    <w:p>
      <w:r/>
      <w:r>
        <w:t>Um tipo de coroa era usado pelo sumo sacerdote e pelos reis hebreus. A "coroa sagrada" do sumo sacerdote era uma placa de ouro gravada com as palavras "Santo ao Senhor" e presa à frente de um turbante (</w:t>
      </w:r>
      <w:hyperlink r:id="rId5940">
        <w:r>
          <w:rPr>
            <w:color w:val="0000EE"/>
            <w:u w:val="single"/>
          </w:rPr>
          <w:t>Êx 29.6</w:t>
        </w:r>
      </w:hyperlink>
      <w:r>
        <w:t xml:space="preserve">; </w:t>
      </w:r>
      <w:hyperlink r:id="rId5941">
        <w:r>
          <w:rPr>
            <w:color w:val="0000EE"/>
            <w:u w:val="single"/>
          </w:rPr>
          <w:t>39.30</w:t>
        </w:r>
      </w:hyperlink>
      <w:r>
        <w:t>). [Um turbante é um tipo de cobertura para a cabeça (geralmente feito de tecido) que se enrola ao redor da cabeça.] A "coroa sagrada" do sumo sacerdote simbolizava sua consagração como representante do povo diante de Deus. Os reis hebreus usavam uma coroa leve o suficiente para ser usada em batalha (</w:t>
      </w:r>
      <w:hyperlink r:id="rId5942">
        <w:r>
          <w:rPr>
            <w:color w:val="0000EE"/>
            <w:u w:val="single"/>
          </w:rPr>
          <w:t>2Sm 1.10</w:t>
        </w:r>
      </w:hyperlink>
      <w:r>
        <w:t>)—talvez uma faixa estreita de seda cravejada de joias. Assim como a coroa do sumo sacerdote, a coroa do rei também indicava um cargo divinamente designado (</w:t>
      </w:r>
      <w:hyperlink r:id="rId5943">
        <w:r>
          <w:rPr>
            <w:color w:val="0000EE"/>
            <w:u w:val="single"/>
          </w:rPr>
          <w:t>2Rs 11.12</w:t>
        </w:r>
      </w:hyperlink>
      <w:r>
        <w:t xml:space="preserve">; </w:t>
      </w:r>
      <w:hyperlink r:id="rId5944">
        <w:r>
          <w:rPr>
            <w:color w:val="0000EE"/>
            <w:u w:val="single"/>
          </w:rPr>
          <w:t>Sl 89.39</w:t>
        </w:r>
      </w:hyperlink>
      <w:r>
        <w:t xml:space="preserve">; </w:t>
      </w:r>
      <w:hyperlink r:id="rId5945">
        <w:r>
          <w:rPr>
            <w:color w:val="0000EE"/>
            <w:u w:val="single"/>
          </w:rPr>
          <w:t>132.18</w:t>
        </w:r>
      </w:hyperlink>
      <w:r>
        <w:t>).</w:t>
      </w:r>
    </w:p>
    <w:p>
      <w:r/>
      <w:r>
        <w:t>Um segundo tipo de coroa era um símbolo maciço de ouro e joias usado por reis pagãos e ídolos (</w:t>
      </w:r>
      <w:hyperlink r:id="rId1140">
        <w:r>
          <w:rPr>
            <w:color w:val="0000EE"/>
            <w:u w:val="single"/>
          </w:rPr>
          <w:t>2Sm 12.30</w:t>
        </w:r>
      </w:hyperlink>
      <w:r>
        <w:t xml:space="preserve">; </w:t>
      </w:r>
      <w:hyperlink r:id="rId5946">
        <w:r>
          <w:rPr>
            <w:color w:val="0000EE"/>
            <w:u w:val="single"/>
          </w:rPr>
          <w:t>Et 1.11</w:t>
        </w:r>
      </w:hyperlink>
      <w:r>
        <w:t>). O profeta Zacarias colocou tal coroa em Josué, o sumo sacerdote, para indicar a união das funções reais e sacerdotais (</w:t>
      </w:r>
      <w:hyperlink r:id="rId5947">
        <w:r>
          <w:rPr>
            <w:color w:val="0000EE"/>
            <w:u w:val="single"/>
          </w:rPr>
          <w:t>Zc 6.11,14</w:t>
        </w:r>
      </w:hyperlink>
      <w:r>
        <w:t>).</w:t>
      </w:r>
    </w:p>
    <w:p>
      <w:r/>
      <w:r>
        <w:t>Um terceiro tipo de coroa era uma grinalda de flores usada em um banquete para simbolizar alegria e celebração (</w:t>
      </w:r>
      <w:hyperlink r:id="rId4587">
        <w:r>
          <w:rPr>
            <w:color w:val="0000EE"/>
            <w:u w:val="single"/>
          </w:rPr>
          <w:t>Ct Sl 3.11</w:t>
        </w:r>
      </w:hyperlink>
      <w:r>
        <w:t xml:space="preserve">; </w:t>
      </w:r>
      <w:hyperlink r:id="rId5948">
        <w:r>
          <w:rPr>
            <w:color w:val="0000EE"/>
            <w:u w:val="single"/>
          </w:rPr>
          <w:t>Is 28.1</w:t>
        </w:r>
      </w:hyperlink>
      <w:r>
        <w:t xml:space="preserve">; </w:t>
      </w:r>
      <w:hyperlink r:id="rId4587">
        <w:r>
          <w:rPr>
            <w:color w:val="0000EE"/>
            <w:u w:val="single"/>
          </w:rPr>
          <w:t>Ct Sl</w:t>
        </w:r>
      </w:hyperlink>
      <w:hyperlink r:id="rId5949">
        <w:r>
          <w:rPr>
            <w:color w:val="0000EE"/>
            <w:u w:val="single"/>
          </w:rPr>
          <w:t xml:space="preserve"> 2.8</w:t>
        </w:r>
      </w:hyperlink>
      <w:r>
        <w:t>).</w:t>
      </w:r>
    </w:p>
    <w:p>
      <w:r/>
      <w:r>
        <w:t>A palavra "coroa" é usada metaforicamente para indicar governo ou realeza (</w:t>
      </w:r>
      <w:hyperlink r:id="rId5950">
        <w:r>
          <w:rPr>
            <w:color w:val="0000EE"/>
            <w:u w:val="single"/>
          </w:rPr>
          <w:t>Na 3.17</w:t>
        </w:r>
      </w:hyperlink>
      <w:r>
        <w:t>, Versão King Tiago), glória ou honra (</w:t>
      </w:r>
      <w:hyperlink r:id="rId5951">
        <w:r>
          <w:rPr>
            <w:color w:val="0000EE"/>
            <w:u w:val="single"/>
          </w:rPr>
          <w:t>Jó 19.9</w:t>
        </w:r>
      </w:hyperlink>
      <w:r>
        <w:t xml:space="preserve">; </w:t>
      </w:r>
      <w:hyperlink r:id="rId3547">
        <w:r>
          <w:rPr>
            <w:color w:val="0000EE"/>
            <w:u w:val="single"/>
          </w:rPr>
          <w:t>Sl 8.5</w:t>
        </w:r>
      </w:hyperlink>
      <w:r>
        <w:t xml:space="preserve">; </w:t>
      </w:r>
      <w:hyperlink r:id="rId5952">
        <w:r>
          <w:rPr>
            <w:color w:val="0000EE"/>
            <w:u w:val="single"/>
          </w:rPr>
          <w:t>Ez 16.12</w:t>
        </w:r>
      </w:hyperlink>
      <w:r>
        <w:t>), alegria (</w:t>
      </w:r>
      <w:hyperlink r:id="rId5953">
        <w:r>
          <w:rPr>
            <w:color w:val="0000EE"/>
            <w:u w:val="single"/>
          </w:rPr>
          <w:t>Ez 23.42</w:t>
        </w:r>
      </w:hyperlink>
      <w:r>
        <w:t>) ou orgulho (</w:t>
      </w:r>
      <w:hyperlink r:id="rId5954">
        <w:r>
          <w:rPr>
            <w:color w:val="0000EE"/>
            <w:u w:val="single"/>
          </w:rPr>
          <w:t>Jó 31.36</w:t>
        </w:r>
      </w:hyperlink>
      <w:r>
        <w:t xml:space="preserve">; </w:t>
      </w:r>
      <w:hyperlink r:id="rId5955">
        <w:r>
          <w:rPr>
            <w:color w:val="0000EE"/>
            <w:u w:val="single"/>
          </w:rPr>
          <w:t>Is 28.3</w:t>
        </w:r>
      </w:hyperlink>
      <w:r>
        <w:t>).</w:t>
      </w:r>
    </w:p>
    <w:p>
      <w:r/>
      <w:r>
        <w:t>No Novo Testamento, a palavra mais comum para "coroa" refere-se a uma coroa de louros usada em banquetes ou como um prêmio concedido em honra cívica ou militar. O apóstolo Paulo aludiu ao seu uso como prêmio atlético ao incentivar os cristãos a serem disciplinados na busca por uma "coroa" que não murcharia (</w:t>
      </w:r>
      <w:hyperlink r:id="rId4798">
        <w:r>
          <w:rPr>
            <w:color w:val="0000EE"/>
            <w:u w:val="single"/>
          </w:rPr>
          <w:t>1Co 9.25</w:t>
        </w:r>
      </w:hyperlink>
      <w:r>
        <w:t xml:space="preserve">; </w:t>
      </w:r>
      <w:hyperlink r:id="rId5956">
        <w:r>
          <w:rPr>
            <w:color w:val="0000EE"/>
            <w:u w:val="single"/>
          </w:rPr>
          <w:t>2Tm 2.5</w:t>
        </w:r>
      </w:hyperlink>
      <w:r>
        <w:t>). Paulo considerava seus convertidos como sua "alegria e coroa" (</w:t>
      </w:r>
      <w:hyperlink r:id="rId5957">
        <w:r>
          <w:rPr>
            <w:color w:val="0000EE"/>
            <w:u w:val="single"/>
          </w:rPr>
          <w:t>Fp 4.1</w:t>
        </w:r>
      </w:hyperlink>
      <w:r>
        <w:t xml:space="preserve">; </w:t>
      </w:r>
      <w:hyperlink r:id="rId5958">
        <w:r>
          <w:rPr>
            <w:color w:val="0000EE"/>
            <w:u w:val="single"/>
          </w:rPr>
          <w:t>1Ts 2.19</w:t>
        </w:r>
      </w:hyperlink>
      <w:r>
        <w:t>).</w:t>
      </w:r>
    </w:p>
    <w:p>
      <w:r/>
      <w:r>
        <w:t>Uma coroa de vencedor simboliza a vida eterna herdada pelos cristãos que perseveraram (</w:t>
      </w:r>
      <w:hyperlink r:id="rId4801">
        <w:r>
          <w:rPr>
            <w:color w:val="0000EE"/>
            <w:u w:val="single"/>
          </w:rPr>
          <w:t>Tg 1.12</w:t>
        </w:r>
      </w:hyperlink>
      <w:r>
        <w:t xml:space="preserve">; </w:t>
      </w:r>
      <w:hyperlink r:id="rId4803">
        <w:r>
          <w:rPr>
            <w:color w:val="0000EE"/>
            <w:u w:val="single"/>
          </w:rPr>
          <w:t>1Pe 5.4</w:t>
        </w:r>
      </w:hyperlink>
      <w:r>
        <w:t xml:space="preserve">; </w:t>
      </w:r>
      <w:hyperlink r:id="rId2144">
        <w:r>
          <w:rPr>
            <w:color w:val="0000EE"/>
            <w:u w:val="single"/>
          </w:rPr>
          <w:t>Ap 2.10</w:t>
        </w:r>
      </w:hyperlink>
      <w:r>
        <w:t xml:space="preserve">; </w:t>
      </w:r>
      <w:hyperlink r:id="rId5959">
        <w:r>
          <w:rPr>
            <w:color w:val="0000EE"/>
            <w:u w:val="single"/>
          </w:rPr>
          <w:t>3.11</w:t>
        </w:r>
      </w:hyperlink>
      <w:r>
        <w:t>). No livro de Apocalipse, as vitórias dos gafanhotos (</w:t>
      </w:r>
      <w:hyperlink r:id="rId3911">
        <w:r>
          <w:rPr>
            <w:color w:val="0000EE"/>
            <w:u w:val="single"/>
          </w:rPr>
          <w:t>9.7</w:t>
        </w:r>
      </w:hyperlink>
      <w:r>
        <w:t>), da mulher (</w:t>
      </w:r>
      <w:hyperlink r:id="rId3910">
        <w:r>
          <w:rPr>
            <w:color w:val="0000EE"/>
            <w:u w:val="single"/>
          </w:rPr>
          <w:t>12.1</w:t>
        </w:r>
      </w:hyperlink>
      <w:r>
        <w:t>) e de Cristo (</w:t>
      </w:r>
      <w:hyperlink r:id="rId5610">
        <w:r>
          <w:rPr>
            <w:color w:val="0000EE"/>
            <w:u w:val="single"/>
          </w:rPr>
          <w:t>6.2</w:t>
        </w:r>
      </w:hyperlink>
      <w:r>
        <w:t xml:space="preserve">; </w:t>
      </w:r>
      <w:hyperlink r:id="rId5616">
        <w:r>
          <w:rPr>
            <w:color w:val="0000EE"/>
            <w:u w:val="single"/>
          </w:rPr>
          <w:t>14.14</w:t>
        </w:r>
      </w:hyperlink>
      <w:r>
        <w:t>) são simbolizadas por coroas de louro. Uma palavra grega diferente, que significa uma coroa real, é usada para os diademas nas cabeças do dragão (</w:t>
      </w:r>
      <w:hyperlink r:id="rId3912">
        <w:r>
          <w:rPr>
            <w:color w:val="0000EE"/>
            <w:u w:val="single"/>
          </w:rPr>
          <w:t>12.3</w:t>
        </w:r>
      </w:hyperlink>
      <w:r>
        <w:t>), da besta do mar (</w:t>
      </w:r>
      <w:hyperlink r:id="rId5960">
        <w:r>
          <w:rPr>
            <w:color w:val="0000EE"/>
            <w:u w:val="single"/>
          </w:rPr>
          <w:t>13.1</w:t>
        </w:r>
      </w:hyperlink>
      <w:r>
        <w:t>) e de Cristo (</w:t>
      </w:r>
      <w:hyperlink r:id="rId5961">
        <w:r>
          <w:rPr>
            <w:color w:val="0000EE"/>
            <w:u w:val="single"/>
          </w:rPr>
          <w:t>19.12</w:t>
        </w:r>
      </w:hyperlink>
      <w:r>
        <w:t>).</w:t>
      </w:r>
    </w:p>
    <w:p>
      <w:r/>
      <w:r>
        <w:t>A coroa de espinhos de Jesus era uma faixa circular formada por um arbusto espinhoso — uma paródia irônica de uma coroa de vencedor (</w:t>
      </w:r>
      <w:hyperlink r:id="rId5962">
        <w:r>
          <w:rPr>
            <w:color w:val="0000EE"/>
            <w:u w:val="single"/>
          </w:rPr>
          <w:t>Mc 15.17–18</w:t>
        </w:r>
      </w:hyperlink>
      <w:r>
        <w:t>). Sua combinação com o manto, o cetro (</w:t>
      </w:r>
      <w:hyperlink r:id="rId5963">
        <w:r>
          <w:rPr>
            <w:color w:val="0000EE"/>
            <w:u w:val="single"/>
          </w:rPr>
          <w:t>Mt 27.27–29</w:t>
        </w:r>
      </w:hyperlink>
      <w:r>
        <w:t>) e a inscrição satírica na cruz de que Jesus era “o Rei dos Judeus” (</w:t>
      </w:r>
      <w:hyperlink r:id="rId5964">
        <w:r>
          <w:rPr>
            <w:color w:val="0000EE"/>
            <w:u w:val="single"/>
          </w:rPr>
          <w:t>Mc 15.26</w:t>
        </w:r>
      </w:hyperlink>
      <w:r>
        <w:t>), tinha o objetivo de zombar dele como um Messias fracassado.</w:t>
      </w:r>
      <w:r/>
      <w:r/>
    </w:p>
    <w:p>
      <w:r/>
    </w:p>
    <w:p>
      <w:pPr>
        <w:pStyle w:val="Heading2"/>
      </w:pPr>
      <w:r>
        <w:t>Corpo</w:t>
      </w:r>
      <w:r/>
    </w:p>
    <w:p>
      <w:r/>
      <w:r>
        <w:t>Termo usado biblicamente de várias maneiras diferentes, incluindo certas expressões metafóricas ou teológicas. Muitas das referências bíblicas ilustram características especiais do pensamento hebraico sobre a vida humana.</w:t>
      </w:r>
    </w:p>
    <w:p>
      <w:pPr>
        <w:pStyle w:val="Heading3"/>
      </w:pPr>
      <w:r>
        <w:t>No Antigo Testamento</w:t>
      </w:r>
    </w:p>
    <w:p>
      <w:r/>
      <w:r>
        <w:t>Os escritores do AT usaram uma série de palavras hebraicas traduzidas “corpo” em versões em português, principalmente com referência à vida física. O corpo sofre; é atormentado por doença ou é ferido. Às vezes está morto, isto é, um cadáver ou carcaça. A referência é até mesmo feita aos “corpos” de seres espirituais — dos querubins na visão de Ezequiel (</w:t>
      </w:r>
      <w:hyperlink r:id="rId5965">
        <w:r>
          <w:rPr>
            <w:color w:val="0000EE"/>
            <w:u w:val="single"/>
          </w:rPr>
          <w:t>Ez 1.11</w:t>
        </w:r>
      </w:hyperlink>
      <w:r>
        <w:t>) e de um anjo (</w:t>
      </w:r>
      <w:hyperlink r:id="rId5507">
        <w:r>
          <w:rPr>
            <w:color w:val="0000EE"/>
            <w:u w:val="single"/>
          </w:rPr>
          <w:t>Dn 10.6</w:t>
        </w:r>
      </w:hyperlink>
      <w:r>
        <w:t>). Jeremias falou dos corpos de deuses pagãos, referindo-se às suas imagens na forma de ídolos (</w:t>
      </w:r>
      <w:hyperlink r:id="rId5966">
        <w:r>
          <w:rPr>
            <w:color w:val="0000EE"/>
            <w:u w:val="single"/>
          </w:rPr>
          <w:t>Jr 10.1–16</w:t>
        </w:r>
      </w:hyperlink>
      <w:r>
        <w:t>). Tais usos indicam que os hebreus pensavam em todos os seres, sejam celestiais ou terrenos, como personificados.</w:t>
      </w:r>
    </w:p>
    <w:p>
      <w:r/>
      <w:r>
        <w:t>Às vezes, a palavra “corpo” se aproxima do significado de “carne”, e frequentemente a mesma palavra hebraica está por trás de ambos os termos. “Corpo” é o homem em sua vivência física total. “Carne” é a palavra geralmente usada para se referir à pecaminosidade ou à condição de criatura do homem.</w:t>
      </w:r>
    </w:p>
    <w:p>
      <w:r/>
      <w:r>
        <w:t>Os seres humanos têm corpos e uma existência corporal; cada pessoa também tem um espírito e uma dimensão espiritual na vida. Mas nas Escrituras, os dois não são colocados um contra o outro ou vistos como “partes” separadas do homem. O corpo não é visto como um impedimento para a alma (como em grande parte do pensamento grego). Somente no período intertestamentário os escritores judeus começaram a falar do corpo como algo maligno ou oposto à alma.</w:t>
      </w:r>
    </w:p>
    <w:p>
      <w:pPr>
        <w:pStyle w:val="Heading3"/>
      </w:pPr>
      <w:r>
        <w:t>No Novo Testamento</w:t>
      </w:r>
    </w:p>
    <w:p>
      <w:r/>
      <w:r>
        <w:t>Embora “corpo” seja usado no NT das mesmas maneiras que no AT, o conceito recebe um novo significado. O corpo de Jesus (isto é, seu cadáver) foi retirado da cruz (</w:t>
      </w:r>
      <w:hyperlink r:id="rId5967">
        <w:r>
          <w:rPr>
            <w:color w:val="0000EE"/>
            <w:u w:val="single"/>
          </w:rPr>
          <w:t>Mc 15.43</w:t>
        </w:r>
      </w:hyperlink>
      <w:r>
        <w:t>). Um corpo poderia experimentar doença e cura (</w:t>
      </w:r>
      <w:hyperlink r:id="rId5968">
        <w:r>
          <w:rPr>
            <w:color w:val="0000EE"/>
            <w:u w:val="single"/>
          </w:rPr>
          <w:t>5.29</w:t>
        </w:r>
      </w:hyperlink>
      <w:r>
        <w:t>) e precisava ser vestido (</w:t>
      </w:r>
      <w:hyperlink r:id="rId5969">
        <w:r>
          <w:rPr>
            <w:color w:val="0000EE"/>
            <w:u w:val="single"/>
          </w:rPr>
          <w:t>Tg 2.16</w:t>
        </w:r>
      </w:hyperlink>
      <w:r>
        <w:t>); no entanto, o corpo (isto é, vida física) vai muito além das roupas (</w:t>
      </w:r>
      <w:hyperlink r:id="rId5970">
        <w:r>
          <w:rPr>
            <w:color w:val="0000EE"/>
            <w:u w:val="single"/>
          </w:rPr>
          <w:t>Mt 6.25</w:t>
        </w:r>
      </w:hyperlink>
      <w:r>
        <w:t>). Jesus disse para não temer aqueles que matam o corpo, mas não pode matar a alma; em vez disso, temer aqueles que podem destruir tanto a alma quanto o corpo no inferno (</w:t>
      </w:r>
      <w:hyperlink r:id="rId953">
        <w:r>
          <w:rPr>
            <w:color w:val="0000EE"/>
            <w:u w:val="single"/>
          </w:rPr>
          <w:t>10.28</w:t>
        </w:r>
      </w:hyperlink>
      <w:r>
        <w:t>).</w:t>
      </w:r>
    </w:p>
    <w:p>
      <w:r/>
      <w:r>
        <w:t>Na Ceia do Senhor, Jesus disse com referência ao pão: “Este é meu corpo”, e então acrescentou — com o cálice na mão — “Este é meu sangue” (</w:t>
      </w:r>
      <w:hyperlink r:id="rId4670">
        <w:r>
          <w:rPr>
            <w:color w:val="0000EE"/>
            <w:u w:val="single"/>
          </w:rPr>
          <w:t>Mc 14.22,24</w:t>
        </w:r>
      </w:hyperlink>
      <w:r>
        <w:t>). Esses termos do sistema sacrificial do AT tinham a intenção de ressaltar o significado sacrificial da morte de Jesus. Sob a antiga e a nova aliança, uma vida real e física foi oferecida na morte por causa do “povo da aliança”.</w:t>
      </w:r>
    </w:p>
    <w:p>
      <w:r/>
      <w:r>
        <w:t>O apóstolo Paulo fez do termo “corpo” uma referência fundamental na compreensão da vivência cristã. A maioria das referências do NT a “corpo” está em suas cartas.</w:t>
      </w:r>
    </w:p>
    <w:p>
      <w:pPr>
        <w:pStyle w:val="Heading4"/>
      </w:pPr>
      <w:r>
        <w:t>O corpo pecaminoso</w:t>
      </w:r>
    </w:p>
    <w:p>
      <w:r/>
      <w:r>
        <w:t xml:space="preserve">Em </w:t>
      </w:r>
      <w:hyperlink r:id="rId4317">
        <w:r>
          <w:rPr>
            <w:color w:val="0000EE"/>
            <w:u w:val="single"/>
          </w:rPr>
          <w:t>Rm 6.6</w:t>
        </w:r>
      </w:hyperlink>
      <w:r>
        <w:t>, Paulo falou da destruição do “corpo pecador”. A frase não significava que o próprio corpo é pecador, como se o pecado estivesse de alguma forma ligado à matéria física. Também não se tratava de alguma entidade, pecado, que se pensava existir na natureza humana. Nem personificava o pecado. Em vez disso, a frase se referia à vida física de seres humanos — vida na terra — dominada pela influência do pecado. Na conversão cristã, Paulo viu esse padrão familiar de experiência humana sendo destruído. Ligar o pecado com o corpo é apenas reconhecer que os seres humanos em sua vida terrena (“vida no corpo”) são profundamente pecadores. Após descrever o terrível conflito na experiência humana, Paulo clamou: "Quem me livrará do corpo desta morte?" (</w:t>
      </w:r>
      <w:hyperlink r:id="rId5971">
        <w:r>
          <w:rPr>
            <w:color w:val="0000EE"/>
            <w:u w:val="single"/>
          </w:rPr>
          <w:t>Rm 7.24</w:t>
        </w:r>
      </w:hyperlink>
      <w:r>
        <w:t>, ARA). A vida humana, “danificada” pelo pecado e suas consequências em todos os pontos, requer a redenção de Cristo (</w:t>
      </w:r>
      <w:hyperlink r:id="rId5972">
        <w:r>
          <w:rPr>
            <w:color w:val="0000EE"/>
            <w:u w:val="single"/>
          </w:rPr>
          <w:t>7.25–8.4</w:t>
        </w:r>
      </w:hyperlink>
      <w:r>
        <w:t>).</w:t>
      </w:r>
    </w:p>
    <w:p>
      <w:pPr>
        <w:pStyle w:val="Heading4"/>
      </w:pPr>
      <w:r>
        <w:t>O corpo do crente</w:t>
      </w:r>
    </w:p>
    <w:p>
      <w:r/>
      <w:r>
        <w:t>Na conversão, os crentes são descritos por Paulo como aqueles que irão experimentar não apenas a “salvação da alma”, mas também a transformação da vida presente. Eles morreram para o pecado e foram libertos da escravidão causada por ele. Paulo, assim, pediu por uma vida de santidade “na carne”. “Não reine, portanto, o pecado em vosso corpo mortal, de maneira que obedeçais às suas paixões” (</w:t>
      </w:r>
      <w:hyperlink r:id="rId4452">
        <w:r>
          <w:rPr>
            <w:color w:val="0000EE"/>
            <w:u w:val="single"/>
          </w:rPr>
          <w:t>Rm 6.12</w:t>
        </w:r>
      </w:hyperlink>
      <w:r>
        <w:t>, ARA). A justiça, e não o pecado, deve governar a vivência física de um cristão. A vida social e pessoal dos crentes deve ser caracterizada pela santidade. Os crentes estão no mundo (</w:t>
      </w:r>
      <w:hyperlink r:id="rId5973">
        <w:r>
          <w:rPr>
            <w:color w:val="0000EE"/>
            <w:u w:val="single"/>
          </w:rPr>
          <w:t>Jo 17.11</w:t>
        </w:r>
      </w:hyperlink>
      <w:r>
        <w:t>) e devem viver para Deus no mundo (isto é, em sua existência corporal); eles não devem ser indiferentes ao mundo.</w:t>
      </w:r>
    </w:p>
    <w:p>
      <w:r/>
      <w:r>
        <w:t>A vida física e terrena assume assim novo significado. Paulo disse aos cristãos para apresentar seus corpos como um sacrifício vivo (</w:t>
      </w:r>
      <w:hyperlink r:id="rId4468">
        <w:r>
          <w:rPr>
            <w:color w:val="0000EE"/>
            <w:u w:val="single"/>
          </w:rPr>
          <w:t>Rm 12.1</w:t>
        </w:r>
      </w:hyperlink>
      <w:r>
        <w:t>). Cada vida humana individual deve ser um “sacrifício vivo” a Deus. Longe de depreciar a existência terrena, Paulo via que, em Cristo, ela tinha um novo potencial. A razão é que o Espírito Santo é encontrado lá. “Acaso, não sabeis que o vosso corpo é santuário do Espírito Santo, que está em vós, o qual tendes da parte de Deus” (</w:t>
      </w:r>
      <w:hyperlink r:id="rId4305">
        <w:r>
          <w:rPr>
            <w:color w:val="0000EE"/>
            <w:u w:val="single"/>
          </w:rPr>
          <w:t>1Co 6.19</w:t>
        </w:r>
      </w:hyperlink>
      <w:r>
        <w:t>, ARA). Essa afirmação não deve ser lida materialisticamente, como se o Espírito tomasse residência em certos tecidos; “corpo” significa toda a existência física e terrena.</w:t>
      </w:r>
    </w:p>
    <w:p>
      <w:r/>
      <w:r>
        <w:t>Paulo também antecipou uma transformação final da vida no corpo através de Cristo. Ele falou da “redenção de nossos corpos” (</w:t>
      </w:r>
      <w:hyperlink r:id="rId5974">
        <w:r>
          <w:rPr>
            <w:color w:val="0000EE"/>
            <w:u w:val="single"/>
          </w:rPr>
          <w:t>Rm 8.23</w:t>
        </w:r>
      </w:hyperlink>
      <w:r>
        <w:t>) e da transformação de “nossos corpos humildes para ser como seu corpo glorioso” (</w:t>
      </w:r>
      <w:hyperlink r:id="rId5975">
        <w:r>
          <w:rPr>
            <w:color w:val="0000EE"/>
            <w:u w:val="single"/>
          </w:rPr>
          <w:t>Fp 3.21</w:t>
        </w:r>
      </w:hyperlink>
      <w:r>
        <w:t>). A Bíblia, embora tenha uma visão realista do pecado humano e deterioração física, não compartilha o pessimismo das visões de mundo que buscam escapar do mundo.</w:t>
      </w:r>
    </w:p>
    <w:p>
      <w:pPr>
        <w:pStyle w:val="Heading4"/>
      </w:pPr>
      <w:r>
        <w:t>O Corpo da Ressurreição</w:t>
      </w:r>
    </w:p>
    <w:p>
      <w:r/>
      <w:r>
        <w:t xml:space="preserve">A possível separação de corpo e alma não ocorria na mente hebraica. Biblicamente, a vida além da morte não existe sem o corpo, mas uma existência para a qual um “novo corpo” é preparado. Embora Paulo tenha levantado muitas perguntas em </w:t>
      </w:r>
      <w:hyperlink r:id="rId5976">
        <w:r>
          <w:rPr>
            <w:color w:val="0000EE"/>
            <w:u w:val="single"/>
          </w:rPr>
          <w:t>1Co 15.35–57</w:t>
        </w:r>
      </w:hyperlink>
      <w:r>
        <w:t xml:space="preserve">, fica claro que ele viu a continuidade entre o corpo terreno e o corpo da ressurreição. “Semeia-se corpo natural, ressuscita corpo espiritual” (v. </w:t>
      </w:r>
      <w:hyperlink r:id="rId5977">
        <w:r>
          <w:rPr>
            <w:color w:val="0000EE"/>
            <w:u w:val="single"/>
          </w:rPr>
          <w:t>44</w:t>
        </w:r>
      </w:hyperlink>
      <w:r>
        <w:t xml:space="preserve">). Essa expressão pode ser derivada em grande parte da experiência de Jesus, onde o corpo morto não foi apenas trazido à vida, mas também transformado para que não fosse preso pela terra. Seu corpo de ressurreição foi derivado do terreno. Mas Paulo tinha certeza de que na ressurreição prometida, a vida voltaria para o corpo sem suas limitações presentes e com novas manifestações. A morte, disse Paulo, é assim “tragada pela vitória” (v. </w:t>
      </w:r>
      <w:hyperlink r:id="rId5978">
        <w:r>
          <w:rPr>
            <w:color w:val="0000EE"/>
            <w:u w:val="single"/>
          </w:rPr>
          <w:t>54</w:t>
        </w:r>
      </w:hyperlink>
      <w:r>
        <w:t>).</w:t>
      </w:r>
    </w:p>
    <w:p>
      <w:r/>
      <w:r>
        <w:rPr>
          <w:i/>
        </w:rPr>
        <w:t>Veja também</w:t>
      </w:r>
      <w:r>
        <w:t xml:space="preserve"> </w:t>
      </w:r>
      <w:r>
        <w:t>Ressurreição</w:t>
      </w:r>
      <w:r>
        <w:t xml:space="preserve">; </w:t>
      </w:r>
      <w:r>
        <w:t>Corpo de Cristo</w:t>
      </w:r>
      <w:r>
        <w:t xml:space="preserve">; </w:t>
      </w:r>
      <w:r>
        <w:t>Igreja</w:t>
      </w:r>
      <w:r>
        <w:t xml:space="preserve">; </w:t>
      </w:r>
      <w:r>
        <w:t>Homem</w:t>
      </w:r>
      <w:r>
        <w:t>.</w:t>
      </w:r>
      <w:r/>
      <w:r/>
    </w:p>
    <w:p>
      <w:r/>
    </w:p>
    <w:p>
      <w:pPr>
        <w:pStyle w:val="Heading2"/>
      </w:pPr>
      <w:r>
        <w:t>Corpo de Cristo</w:t>
      </w:r>
      <w:r/>
    </w:p>
    <w:p>
      <w:r/>
      <w:r>
        <w:t>A expressão "corpo de Cristo" na Bíblia refere-se a três coisas:</w:t>
      </w:r>
    </w:p>
    <w:p>
      <w:pPr>
        <w:pStyle w:val="ListNumber"/>
        <w:spacing w:line="240" w:lineRule="auto"/>
        <w:ind w:left="720"/>
      </w:pPr>
      <w:r/>
      <w:r>
        <w:t>O corpo físico de Jesus Cristo;</w:t>
      </w:r>
    </w:p>
    <w:p>
      <w:pPr>
        <w:pStyle w:val="ListNumber"/>
        <w:spacing w:line="240" w:lineRule="auto"/>
        <w:ind w:left="720"/>
      </w:pPr>
      <w:r/>
      <w:r>
        <w:t>O pão e o vinho são usados na Ceia do Senhor para lembrar de Jesus. Seu corpo quebrado é comparado ao pão, e seu sangue derramado é comparado ao vinho; e</w:t>
      </w:r>
    </w:p>
    <w:p>
      <w:pPr>
        <w:pStyle w:val="ListNumber"/>
        <w:spacing w:line="240" w:lineRule="auto"/>
        <w:ind w:left="720"/>
      </w:pPr>
      <w:r/>
      <w:r>
        <w:t>A igreja, tanto local quanto mundial.</w:t>
      </w:r>
    </w:p>
    <w:p>
      <w:pPr>
        <w:pStyle w:val="Heading3"/>
      </w:pPr>
      <w:r>
        <w:t>O corpo físico de Jesus Cristo</w:t>
      </w:r>
    </w:p>
    <w:p>
      <w:r/>
      <w:r>
        <w:t>O Novo Testamento afirma que Deus, o Pai, preparou um corpo humano para Jesus, o Filho (</w:t>
      </w:r>
      <w:hyperlink r:id="rId5979">
        <w:r>
          <w:rPr>
            <w:color w:val="0000EE"/>
            <w:u w:val="single"/>
          </w:rPr>
          <w:t>Hb 10.5</w:t>
        </w:r>
      </w:hyperlink>
      <w:r>
        <w:t>). O corpo foi formado quando o Espírito Santo fez com que Maria, que era virgem, engravidasse (</w:t>
      </w:r>
      <w:hyperlink r:id="rId5980">
        <w:r>
          <w:rPr>
            <w:color w:val="0000EE"/>
            <w:u w:val="single"/>
          </w:rPr>
          <w:t>Mt 1.20</w:t>
        </w:r>
      </w:hyperlink>
      <w:r>
        <w:t>). Jesus nasceu como descendente de Davi (</w:t>
      </w:r>
      <w:hyperlink r:id="rId4288">
        <w:r>
          <w:rPr>
            <w:color w:val="0000EE"/>
            <w:u w:val="single"/>
          </w:rPr>
          <w:t>Rm 1.3</w:t>
        </w:r>
      </w:hyperlink>
      <w:r>
        <w:t>). No entanto, Jesus também foi chamado de Filho de Deus (</w:t>
      </w:r>
      <w:hyperlink r:id="rId2011">
        <w:r>
          <w:rPr>
            <w:color w:val="0000EE"/>
            <w:u w:val="single"/>
          </w:rPr>
          <w:t>Lc 1.35</w:t>
        </w:r>
      </w:hyperlink>
      <w:r>
        <w:t>).</w:t>
      </w:r>
    </w:p>
    <w:p>
      <w:r/>
      <w:r>
        <w:t>O apóstolo João enfatizou que o corpo de Jesus era realmente humano, não apenas um espírito (</w:t>
      </w:r>
      <w:hyperlink r:id="rId5981">
        <w:r>
          <w:rPr>
            <w:color w:val="0000EE"/>
            <w:u w:val="single"/>
          </w:rPr>
          <w:t>1Jo 4.2–3</w:t>
        </w:r>
      </w:hyperlink>
      <w:r>
        <w:t>). Algumas pessoas nos dias de João já estavam começando a argumentar que Jesus era apenas espírito. Deus “se fez carne e habitou entre nós” (</w:t>
      </w:r>
      <w:hyperlink r:id="rId3743">
        <w:r>
          <w:rPr>
            <w:color w:val="0000EE"/>
            <w:u w:val="single"/>
          </w:rPr>
          <w:t>Jo 1.14</w:t>
        </w:r>
      </w:hyperlink>
      <w:r>
        <w:t xml:space="preserve">; cp. </w:t>
      </w:r>
      <w:hyperlink r:id="rId5982">
        <w:r>
          <w:rPr>
            <w:color w:val="0000EE"/>
            <w:u w:val="single"/>
          </w:rPr>
          <w:t>Is 53.1–4</w:t>
        </w:r>
      </w:hyperlink>
      <w:r>
        <w:t>). O corpo terreno de Jesus possuía características e limitações humanas comuns. Como um ser humano real:</w:t>
      </w:r>
    </w:p>
    <w:p>
      <w:pPr>
        <w:pStyle w:val="ListBullet"/>
        <w:spacing w:line="240" w:lineRule="auto"/>
        <w:ind w:left="720"/>
      </w:pPr>
      <w:r/>
      <w:r>
        <w:t>Jesus experimentou tristeza (</w:t>
      </w:r>
      <w:hyperlink r:id="rId5983">
        <w:r>
          <w:rPr>
            <w:color w:val="0000EE"/>
            <w:u w:val="single"/>
          </w:rPr>
          <w:t>Jó 11.35</w:t>
        </w:r>
      </w:hyperlink>
      <w:r>
        <w:t xml:space="preserve">; </w:t>
      </w:r>
      <w:hyperlink r:id="rId5984">
        <w:r>
          <w:rPr>
            <w:color w:val="0000EE"/>
            <w:u w:val="single"/>
          </w:rPr>
          <w:t>Hb 5.7–8</w:t>
        </w:r>
      </w:hyperlink>
      <w:r>
        <w:t>);</w:t>
      </w:r>
    </w:p>
    <w:p>
      <w:pPr>
        <w:pStyle w:val="ListBullet"/>
        <w:spacing w:line="240" w:lineRule="auto"/>
        <w:ind w:left="720"/>
      </w:pPr>
      <w:r/>
      <w:r>
        <w:t>Jesus ficou cansado (</w:t>
      </w:r>
      <w:hyperlink r:id="rId5985">
        <w:r>
          <w:rPr>
            <w:color w:val="0000EE"/>
            <w:u w:val="single"/>
          </w:rPr>
          <w:t>Jó 4.6</w:t>
        </w:r>
      </w:hyperlink>
      <w:r>
        <w:t>);</w:t>
      </w:r>
    </w:p>
    <w:p>
      <w:pPr>
        <w:pStyle w:val="ListBullet"/>
        <w:spacing w:line="240" w:lineRule="auto"/>
        <w:ind w:left="720"/>
      </w:pPr>
      <w:r/>
      <w:r>
        <w:t>Jesus teve sede (</w:t>
      </w:r>
      <w:hyperlink r:id="rId5986">
        <w:r>
          <w:rPr>
            <w:color w:val="0000EE"/>
            <w:u w:val="single"/>
          </w:rPr>
          <w:t>19.28</w:t>
        </w:r>
      </w:hyperlink>
      <w:r>
        <w:t>); e</w:t>
      </w:r>
    </w:p>
    <w:p>
      <w:pPr>
        <w:pStyle w:val="ListBullet"/>
        <w:spacing w:line="240" w:lineRule="auto"/>
        <w:ind w:left="720"/>
      </w:pPr>
      <w:r/>
      <w:r>
        <w:t>Jesus sentiu dor (</w:t>
      </w:r>
      <w:hyperlink r:id="rId5987">
        <w:r>
          <w:rPr>
            <w:color w:val="0000EE"/>
            <w:u w:val="single"/>
          </w:rPr>
          <w:t>19.1–3</w:t>
        </w:r>
      </w:hyperlink>
      <w:r>
        <w:t>).</w:t>
      </w:r>
    </w:p>
    <w:p>
      <w:r/>
      <w:r>
        <w:t>Quando Jesus morreu na cruz, seu corpo físico faleceu (</w:t>
      </w:r>
      <w:hyperlink r:id="rId5988">
        <w:r>
          <w:rPr>
            <w:color w:val="0000EE"/>
            <w:u w:val="single"/>
          </w:rPr>
          <w:t>Jo 19.30,33</w:t>
        </w:r>
      </w:hyperlink>
      <w:r>
        <w:t>). O Novo Testamento afirma que ele carregou os pecados do mundo quando morreu (</w:t>
      </w:r>
      <w:hyperlink r:id="rId5989">
        <w:r>
          <w:rPr>
            <w:color w:val="0000EE"/>
            <w:u w:val="single"/>
          </w:rPr>
          <w:t>1Pe 2.24</w:t>
        </w:r>
      </w:hyperlink>
      <w:r>
        <w:t xml:space="preserve">; </w:t>
      </w:r>
      <w:hyperlink r:id="rId1202">
        <w:r>
          <w:rPr>
            <w:color w:val="0000EE"/>
            <w:u w:val="single"/>
          </w:rPr>
          <w:t>1Jo 2.2</w:t>
        </w:r>
      </w:hyperlink>
      <w:r>
        <w:t xml:space="preserve">; cp. </w:t>
      </w:r>
      <w:hyperlink r:id="rId5990">
        <w:r>
          <w:rPr>
            <w:color w:val="0000EE"/>
            <w:u w:val="single"/>
          </w:rPr>
          <w:t>Is 53.5–6</w:t>
        </w:r>
      </w:hyperlink>
      <w:r>
        <w:t>). Sua morte é descrita como um sacrifício perfeito (</w:t>
      </w:r>
      <w:hyperlink r:id="rId5991">
        <w:r>
          <w:rPr>
            <w:color w:val="0000EE"/>
            <w:u w:val="single"/>
          </w:rPr>
          <w:t>Hb 9.12–14,26–28</w:t>
        </w:r>
      </w:hyperlink>
      <w:r>
        <w:t>) que torna os crentes santos e justos diante de Deus (</w:t>
      </w:r>
      <w:hyperlink r:id="rId3239">
        <w:r>
          <w:rPr>
            <w:color w:val="0000EE"/>
            <w:u w:val="single"/>
          </w:rPr>
          <w:t>2Co 5.21</w:t>
        </w:r>
      </w:hyperlink>
      <w:r>
        <w:t xml:space="preserve">; </w:t>
      </w:r>
      <w:hyperlink r:id="rId5992">
        <w:r>
          <w:rPr>
            <w:color w:val="0000EE"/>
            <w:u w:val="single"/>
          </w:rPr>
          <w:t>Hb 10.10</w:t>
        </w:r>
      </w:hyperlink>
      <w:r>
        <w:t>).</w:t>
      </w:r>
    </w:p>
    <w:p>
      <w:r/>
      <w:r>
        <w:t>O corpo de Jesus foi sepultado de maneira tradicional (</w:t>
      </w:r>
      <w:hyperlink r:id="rId5993">
        <w:r>
          <w:rPr>
            <w:color w:val="0000EE"/>
            <w:u w:val="single"/>
          </w:rPr>
          <w:t>Mt 27.59</w:t>
        </w:r>
      </w:hyperlink>
      <w:r>
        <w:t xml:space="preserve">; </w:t>
      </w:r>
      <w:hyperlink r:id="rId5994">
        <w:r>
          <w:rPr>
            <w:color w:val="0000EE"/>
            <w:u w:val="single"/>
          </w:rPr>
          <w:t>Mc 15.46</w:t>
        </w:r>
      </w:hyperlink>
      <w:r>
        <w:t xml:space="preserve">; </w:t>
      </w:r>
      <w:hyperlink r:id="rId5995">
        <w:r>
          <w:rPr>
            <w:color w:val="0000EE"/>
            <w:u w:val="single"/>
          </w:rPr>
          <w:t>Lc 23.53,56</w:t>
        </w:r>
      </w:hyperlink>
      <w:r>
        <w:t xml:space="preserve">; </w:t>
      </w:r>
      <w:hyperlink r:id="rId5996">
        <w:r>
          <w:rPr>
            <w:color w:val="0000EE"/>
            <w:u w:val="single"/>
          </w:rPr>
          <w:t>24.1</w:t>
        </w:r>
      </w:hyperlink>
      <w:r>
        <w:t xml:space="preserve">; </w:t>
      </w:r>
      <w:hyperlink r:id="rId5997">
        <w:r>
          <w:rPr>
            <w:color w:val="0000EE"/>
            <w:u w:val="single"/>
          </w:rPr>
          <w:t>Jo 19.39–40</w:t>
        </w:r>
      </w:hyperlink>
      <w:r>
        <w:t>). Foi colocado no túmulo de pedra de José de Arimateia (</w:t>
      </w:r>
      <w:hyperlink r:id="rId5998">
        <w:r>
          <w:rPr>
            <w:color w:val="0000EE"/>
            <w:u w:val="single"/>
          </w:rPr>
          <w:t>Mt 27.57–60</w:t>
        </w:r>
      </w:hyperlink>
      <w:r>
        <w:t xml:space="preserve">; </w:t>
      </w:r>
      <w:hyperlink r:id="rId5999">
        <w:r>
          <w:rPr>
            <w:color w:val="0000EE"/>
            <w:u w:val="single"/>
          </w:rPr>
          <w:t>Jo 19.41</w:t>
        </w:r>
      </w:hyperlink>
      <w:r>
        <w:t>). No terceiro dia, seu corpo ressuscitou, como ele havia dito que aconteceria (</w:t>
      </w:r>
      <w:hyperlink r:id="rId407">
        <w:r>
          <w:rPr>
            <w:color w:val="0000EE"/>
            <w:u w:val="single"/>
          </w:rPr>
          <w:t>Jo 2.19–22</w:t>
        </w:r>
      </w:hyperlink>
      <w:r>
        <w:t>).</w:t>
      </w:r>
    </w:p>
    <w:p>
      <w:r/>
      <w:r>
        <w:t>Ele foi visto em seu corpo de ressurreição física (</w:t>
      </w:r>
      <w:hyperlink r:id="rId6000">
        <w:r>
          <w:rPr>
            <w:color w:val="0000EE"/>
            <w:u w:val="single"/>
          </w:rPr>
          <w:t>Mt 28.9</w:t>
        </w:r>
      </w:hyperlink>
      <w:r>
        <w:t xml:space="preserve">; </w:t>
      </w:r>
      <w:hyperlink r:id="rId6001">
        <w:r>
          <w:rPr>
            <w:color w:val="0000EE"/>
            <w:u w:val="single"/>
          </w:rPr>
          <w:t>Lc 24.31,36</w:t>
        </w:r>
      </w:hyperlink>
      <w:r>
        <w:t xml:space="preserve">; </w:t>
      </w:r>
      <w:hyperlink r:id="rId6002">
        <w:r>
          <w:rPr>
            <w:color w:val="0000EE"/>
            <w:u w:val="single"/>
          </w:rPr>
          <w:t>Jo 20.10–19,26</w:t>
        </w:r>
      </w:hyperlink>
      <w:r>
        <w:t>). As pessoas o viram, ouviram e tocaram após ele voltar à vida. (</w:t>
      </w:r>
      <w:hyperlink r:id="rId6000">
        <w:r>
          <w:rPr>
            <w:color w:val="0000EE"/>
            <w:u w:val="single"/>
          </w:rPr>
          <w:t>Mt 28.9</w:t>
        </w:r>
      </w:hyperlink>
      <w:r>
        <w:t xml:space="preserve">; </w:t>
      </w:r>
      <w:hyperlink r:id="rId6003">
        <w:r>
          <w:rPr>
            <w:color w:val="0000EE"/>
            <w:u w:val="single"/>
          </w:rPr>
          <w:t>Lc 24.39</w:t>
        </w:r>
      </w:hyperlink>
      <w:r>
        <w:t xml:space="preserve">; </w:t>
      </w:r>
      <w:hyperlink r:id="rId2663">
        <w:r>
          <w:rPr>
            <w:color w:val="0000EE"/>
            <w:u w:val="single"/>
          </w:rPr>
          <w:t>Jo 20.17</w:t>
        </w:r>
      </w:hyperlink>
      <w:r>
        <w:t xml:space="preserve">; </w:t>
      </w:r>
      <w:hyperlink r:id="rId6004">
        <w:r>
          <w:rPr>
            <w:color w:val="0000EE"/>
            <w:u w:val="single"/>
          </w:rPr>
          <w:t>1Jo 1.1</w:t>
        </w:r>
      </w:hyperlink>
      <w:r>
        <w:t>). Ele permitiu que as pessoas tocassem suas cicatrizes (</w:t>
      </w:r>
      <w:hyperlink r:id="rId6003">
        <w:r>
          <w:rPr>
            <w:color w:val="0000EE"/>
            <w:u w:val="single"/>
          </w:rPr>
          <w:t>Lc 24.39</w:t>
        </w:r>
      </w:hyperlink>
      <w:r>
        <w:t xml:space="preserve">; </w:t>
      </w:r>
      <w:hyperlink r:id="rId2663">
        <w:r>
          <w:rPr>
            <w:color w:val="0000EE"/>
            <w:u w:val="single"/>
          </w:rPr>
          <w:t>Jo 20.17</w:t>
        </w:r>
      </w:hyperlink>
      <w:r>
        <w:t>). Ele podia comer, mostrando que tinha um corpo real (</w:t>
      </w:r>
      <w:hyperlink r:id="rId6005">
        <w:r>
          <w:rPr>
            <w:color w:val="0000EE"/>
            <w:u w:val="single"/>
          </w:rPr>
          <w:t>Lc 24.42–43</w:t>
        </w:r>
      </w:hyperlink>
      <w:r>
        <w:t>). Mas seu corpo também era especial. Ele podia entrar e sair de salas de maneiras incomuns (</w:t>
      </w:r>
      <w:hyperlink r:id="rId6001">
        <w:r>
          <w:rPr>
            <w:color w:val="0000EE"/>
            <w:u w:val="single"/>
          </w:rPr>
          <w:t>Lc 24.31,36</w:t>
        </w:r>
      </w:hyperlink>
      <w:r>
        <w:t xml:space="preserve">; </w:t>
      </w:r>
      <w:hyperlink r:id="rId6006">
        <w:r>
          <w:rPr>
            <w:color w:val="0000EE"/>
            <w:u w:val="single"/>
          </w:rPr>
          <w:t>Jo 20.19,26</w:t>
        </w:r>
      </w:hyperlink>
      <w:r>
        <w:t>). A Bíblia diz que, porque o corpo de Jesus voltou à vida, os crentes também voltarão à vida um dia (</w:t>
      </w:r>
      <w:hyperlink r:id="rId6007">
        <w:r>
          <w:rPr>
            <w:color w:val="0000EE"/>
            <w:u w:val="single"/>
          </w:rPr>
          <w:t>1Co 15.20–23,50–57</w:t>
        </w:r>
      </w:hyperlink>
      <w:r>
        <w:t xml:space="preserve">; </w:t>
      </w:r>
      <w:hyperlink r:id="rId4779">
        <w:r>
          <w:rPr>
            <w:color w:val="0000EE"/>
            <w:u w:val="single"/>
          </w:rPr>
          <w:t>Fp 3.20–21</w:t>
        </w:r>
      </w:hyperlink>
      <w:r>
        <w:t>).</w:t>
      </w:r>
    </w:p>
    <w:p>
      <w:pPr>
        <w:pStyle w:val="Heading3"/>
      </w:pPr>
      <w:r>
        <w:t>O corpo de Cristo na Ceia do Senhor</w:t>
      </w:r>
    </w:p>
    <w:p>
      <w:r/>
      <w:r>
        <w:t>Na Santa Ceia (</w:t>
      </w:r>
      <w:hyperlink r:id="rId6008">
        <w:r>
          <w:rPr>
            <w:color w:val="0000EE"/>
            <w:u w:val="single"/>
          </w:rPr>
          <w:t>Mt 26.26–29</w:t>
        </w:r>
      </w:hyperlink>
      <w:r>
        <w:t xml:space="preserve">; </w:t>
      </w:r>
      <w:hyperlink r:id="rId5297">
        <w:r>
          <w:rPr>
            <w:color w:val="0000EE"/>
            <w:u w:val="single"/>
          </w:rPr>
          <w:t>Mc 14.22–25</w:t>
        </w:r>
      </w:hyperlink>
      <w:r>
        <w:t xml:space="preserve">; </w:t>
      </w:r>
      <w:hyperlink r:id="rId6009">
        <w:r>
          <w:rPr>
            <w:color w:val="0000EE"/>
            <w:u w:val="single"/>
          </w:rPr>
          <w:t>Lc 22.15–20</w:t>
        </w:r>
      </w:hyperlink>
      <w:r>
        <w:t xml:space="preserve">; </w:t>
      </w:r>
      <w:hyperlink r:id="rId4660">
        <w:r>
          <w:rPr>
            <w:color w:val="0000EE"/>
            <w:u w:val="single"/>
          </w:rPr>
          <w:t>1Co 11.23–26</w:t>
        </w:r>
      </w:hyperlink>
      <w:r>
        <w:t>), Jesus segurou o pão e disse: “Isto é o meu corpo”. Ele segurou o cálice de vinho e disse: “Este é o meu sangue da aliança” (</w:t>
      </w:r>
      <w:hyperlink r:id="rId6010">
        <w:r>
          <w:rPr>
            <w:color w:val="0000EE"/>
            <w:u w:val="single"/>
          </w:rPr>
          <w:t>Mt 26.26,28</w:t>
        </w:r>
      </w:hyperlink>
      <w:r>
        <w:t>). Jesus quis dizer que o pão representava seu corpo. Seu corpo foi quebrado quando ele foi espancado em seu julgamento e perfurado em sua crucificação (</w:t>
      </w:r>
      <w:hyperlink r:id="rId6011">
        <w:r>
          <w:rPr>
            <w:color w:val="0000EE"/>
            <w:u w:val="single"/>
          </w:rPr>
          <w:t>Lc 23.33</w:t>
        </w:r>
      </w:hyperlink>
      <w:r>
        <w:t xml:space="preserve">; </w:t>
      </w:r>
      <w:hyperlink r:id="rId6012">
        <w:r>
          <w:rPr>
            <w:color w:val="0000EE"/>
            <w:u w:val="single"/>
          </w:rPr>
          <w:t>Jo 19.1–2</w:t>
        </w:r>
      </w:hyperlink>
      <w:r>
        <w:t>). Paulo disse que Jesus, nosso cordeiro pascal, foi sacrificado por nós (</w:t>
      </w:r>
      <w:hyperlink r:id="rId4668">
        <w:r>
          <w:rPr>
            <w:color w:val="0000EE"/>
            <w:u w:val="single"/>
          </w:rPr>
          <w:t>1Co 5.7</w:t>
        </w:r>
      </w:hyperlink>
      <w:r>
        <w:t>). Isso significa que o cordeiro pascal no Antigo Testamento era uma lição objetiva. Aponta para “o Cordeiro de Deus, que tira o pecado do mundo!” (</w:t>
      </w:r>
      <w:hyperlink r:id="rId404">
        <w:r>
          <w:rPr>
            <w:color w:val="0000EE"/>
            <w:u w:val="single"/>
          </w:rPr>
          <w:t>Jo 1.29</w:t>
        </w:r>
      </w:hyperlink>
      <w:r>
        <w:t>).</w:t>
      </w:r>
    </w:p>
    <w:p>
      <w:r/>
      <w:r>
        <w:t>Para os cristãos, o corpo de Cristo é visto (</w:t>
      </w:r>
      <w:hyperlink r:id="rId6013">
        <w:r>
          <w:rPr>
            <w:color w:val="0000EE"/>
            <w:u w:val="single"/>
          </w:rPr>
          <w:t>Mt 8.17</w:t>
        </w:r>
      </w:hyperlink>
      <w:r>
        <w:t xml:space="preserve">; </w:t>
      </w:r>
      <w:hyperlink r:id="rId5989">
        <w:r>
          <w:rPr>
            <w:color w:val="0000EE"/>
            <w:u w:val="single"/>
          </w:rPr>
          <w:t>1Pe 2.24</w:t>
        </w:r>
      </w:hyperlink>
      <w:r>
        <w:t xml:space="preserve">; cp. </w:t>
      </w:r>
      <w:hyperlink r:id="rId6014">
        <w:r>
          <w:rPr>
            <w:color w:val="0000EE"/>
            <w:u w:val="single"/>
          </w:rPr>
          <w:t>Is 53.4–5</w:t>
        </w:r>
      </w:hyperlink>
      <w:r>
        <w:t>) como o pão partido na Ceia do Senhor. O cálice de vinho representa o sangue de Jesus derramado. O sangue é o principal fator na aliança de graça de Deus com seu povo.</w:t>
      </w:r>
    </w:p>
    <w:p>
      <w:r/>
      <w:r>
        <w:t>Jesus chamou de “a nova aliança no Meu sangue” (</w:t>
      </w:r>
      <w:hyperlink r:id="rId824">
        <w:r>
          <w:rPr>
            <w:color w:val="0000EE"/>
            <w:u w:val="single"/>
          </w:rPr>
          <w:t>Lc 22.20</w:t>
        </w:r>
      </w:hyperlink>
      <w:r>
        <w:t>). Todo o evento da Ceia do Senhor também deveria ser um momento de lembrança (</w:t>
      </w:r>
      <w:hyperlink r:id="rId6015">
        <w:r>
          <w:rPr>
            <w:color w:val="0000EE"/>
            <w:u w:val="single"/>
          </w:rPr>
          <w:t>1Co 11.25–26</w:t>
        </w:r>
      </w:hyperlink>
      <w:r>
        <w:t>). Nesse evento, os crentes são lembrados de que Cristo morreu pelos pecadores. Eles recordam o perdão dos seus pecados (</w:t>
      </w:r>
      <w:hyperlink r:id="rId856">
        <w:r>
          <w:rPr>
            <w:color w:val="0000EE"/>
            <w:u w:val="single"/>
          </w:rPr>
          <w:t>Mt 26.28</w:t>
        </w:r>
      </w:hyperlink>
      <w:r>
        <w:t>). Eles também são lembrados de que estão unidos a ele como parte do corpo de Cristo (</w:t>
      </w:r>
      <w:hyperlink r:id="rId5128">
        <w:r>
          <w:rPr>
            <w:color w:val="0000EE"/>
            <w:u w:val="single"/>
          </w:rPr>
          <w:t>Rm 6.1–11</w:t>
        </w:r>
      </w:hyperlink>
      <w:r>
        <w:t xml:space="preserve">; </w:t>
      </w:r>
      <w:hyperlink r:id="rId4102">
        <w:r>
          <w:rPr>
            <w:color w:val="0000EE"/>
            <w:u w:val="single"/>
          </w:rPr>
          <w:t>1Co 10.16</w:t>
        </w:r>
      </w:hyperlink>
      <w:r>
        <w:t xml:space="preserve">; </w:t>
      </w:r>
      <w:hyperlink r:id="rId4289">
        <w:r>
          <w:rPr>
            <w:color w:val="0000EE"/>
            <w:u w:val="single"/>
          </w:rPr>
          <w:t>Gl 2.20</w:t>
        </w:r>
      </w:hyperlink>
      <w:r>
        <w:t xml:space="preserve">; </w:t>
      </w:r>
      <w:hyperlink r:id="rId6016">
        <w:r>
          <w:rPr>
            <w:color w:val="0000EE"/>
            <w:u w:val="single"/>
          </w:rPr>
          <w:t>Fp 3.10</w:t>
        </w:r>
      </w:hyperlink>
      <w:r>
        <w:t>).</w:t>
      </w:r>
    </w:p>
    <w:p>
      <w:pPr>
        <w:pStyle w:val="Heading3"/>
      </w:pPr>
      <w:r>
        <w:t>O corpo de Cristo, o povo de Deus</w:t>
      </w:r>
    </w:p>
    <w:p>
      <w:r/>
      <w:r>
        <w:t>O “corpo de Cristo” também costumava significar toda a igreja. Todos os crentes unidos a Jesus são considerados o povo de Deus. Diz-se que o povo de Deus são membros do “corpo místico” de Cristo (</w:t>
      </w:r>
      <w:hyperlink r:id="rId6017">
        <w:r>
          <w:rPr>
            <w:color w:val="0000EE"/>
            <w:u w:val="single"/>
          </w:rPr>
          <w:t>1Co 12.27</w:t>
        </w:r>
      </w:hyperlink>
      <w:r>
        <w:t>). Isso significa que eles estão próximos de Jesus, e ele cuida deles (</w:t>
      </w:r>
      <w:hyperlink r:id="rId6018">
        <w:r>
          <w:rPr>
            <w:color w:val="0000EE"/>
            <w:u w:val="single"/>
          </w:rPr>
          <w:t>Ef 5.25,29</w:t>
        </w:r>
      </w:hyperlink>
      <w:r>
        <w:t>). A Bíblia usa uma série de outras comparações para todo o povo de Deus, como a videira (</w:t>
      </w:r>
      <w:hyperlink r:id="rId6019">
        <w:r>
          <w:rPr>
            <w:color w:val="0000EE"/>
            <w:u w:val="single"/>
          </w:rPr>
          <w:t>Sl 80.8</w:t>
        </w:r>
      </w:hyperlink>
      <w:r>
        <w:t>), o templo de Deus (</w:t>
      </w:r>
      <w:hyperlink r:id="rId6020">
        <w:r>
          <w:rPr>
            <w:color w:val="0000EE"/>
            <w:u w:val="single"/>
          </w:rPr>
          <w:t>1Co 3.16–17</w:t>
        </w:r>
      </w:hyperlink>
      <w:r>
        <w:t>), edifício (</w:t>
      </w:r>
      <w:hyperlink r:id="rId4509">
        <w:r>
          <w:rPr>
            <w:color w:val="0000EE"/>
            <w:u w:val="single"/>
          </w:rPr>
          <w:t>1Pe 2.5</w:t>
        </w:r>
      </w:hyperlink>
      <w:r>
        <w:t>), povo escolhido (</w:t>
      </w:r>
      <w:hyperlink r:id="rId3643">
        <w:r>
          <w:rPr>
            <w:color w:val="0000EE"/>
            <w:u w:val="single"/>
          </w:rPr>
          <w:t>2.9</w:t>
        </w:r>
      </w:hyperlink>
      <w:r>
        <w:t>), e família de Deus (</w:t>
      </w:r>
      <w:hyperlink r:id="rId5309">
        <w:r>
          <w:rPr>
            <w:color w:val="0000EE"/>
            <w:u w:val="single"/>
          </w:rPr>
          <w:t>Ef 3.15</w:t>
        </w:r>
      </w:hyperlink>
      <w:r>
        <w:t>). Essas comparações mostram quão conectado e dependente o “corpo de Cristo” é do Deus vivo.</w:t>
      </w:r>
    </w:p>
    <w:p>
      <w:r/>
      <w:r>
        <w:t>Paulo frequentemente usava "corpo de Cristo" para lembrar uma igreja local de que fazia parte de algo maior. Paulo ensinava que todos os crentes são parte de um corpo, com Jesus como a cabeça. "Assim como cada um de nós tem um corpo com muitos membros, e nem todos os membros têm a mesma função, assim em Cristo, nós que somos muitos somos um só corpo, e cada membro pertence um ao outro" (</w:t>
      </w:r>
      <w:hyperlink r:id="rId364">
        <w:r>
          <w:rPr>
            <w:color w:val="0000EE"/>
            <w:u w:val="single"/>
          </w:rPr>
          <w:t>Rm 12.4–5</w:t>
        </w:r>
      </w:hyperlink>
      <w:r>
        <w:t>). Paulo ensinou os cristãos de Corinto que eles eram parte do corpo de Cristo (</w:t>
      </w:r>
      <w:hyperlink r:id="rId6017">
        <w:r>
          <w:rPr>
            <w:color w:val="0000EE"/>
            <w:u w:val="single"/>
          </w:rPr>
          <w:t>1Co 12.27</w:t>
        </w:r>
      </w:hyperlink>
      <w:r>
        <w:t>). Eles e Paulo foram todos batizados por um Espírito nesse único corpo (</w:t>
      </w:r>
      <w:hyperlink r:id="rId6021">
        <w:r>
          <w:rPr>
            <w:color w:val="0000EE"/>
            <w:u w:val="single"/>
          </w:rPr>
          <w:t>Ef 5.30</w:t>
        </w:r>
      </w:hyperlink>
      <w:r>
        <w:t>).</w:t>
      </w:r>
    </w:p>
    <w:p>
      <w:r/>
      <w:r>
        <w:t>Em muitas passagens escritas por Paulo, a igreja é chamada de “corpo” e Cristo de “cabeça” (</w:t>
      </w:r>
      <w:hyperlink r:id="rId367">
        <w:r>
          <w:rPr>
            <w:color w:val="0000EE"/>
            <w:u w:val="single"/>
          </w:rPr>
          <w:t>Cl 1.18</w:t>
        </w:r>
      </w:hyperlink>
      <w:r>
        <w:t>). Cristo foi feito “cabeça sobre tudo para a igreja”, que “é seu corpo” (</w:t>
      </w:r>
      <w:hyperlink r:id="rId366">
        <w:r>
          <w:rPr>
            <w:color w:val="0000EE"/>
            <w:u w:val="single"/>
          </w:rPr>
          <w:t>Ef 1.22–23</w:t>
        </w:r>
      </w:hyperlink>
      <w:r>
        <w:t>). O corpo cresce através da “conexão com a cabeça”, (</w:t>
      </w:r>
      <w:hyperlink r:id="rId5158">
        <w:r>
          <w:rPr>
            <w:color w:val="0000EE"/>
            <w:u w:val="single"/>
          </w:rPr>
          <w:t>Cl 2.19</w:t>
        </w:r>
      </w:hyperlink>
      <w:r>
        <w:t>). Como cabeça do corpo, Cristo é seu Salvador (</w:t>
      </w:r>
      <w:hyperlink r:id="rId3919">
        <w:r>
          <w:rPr>
            <w:color w:val="0000EE"/>
            <w:u w:val="single"/>
          </w:rPr>
          <w:t>Ef 5.23</w:t>
        </w:r>
      </w:hyperlink>
      <w:r>
        <w:t>).</w:t>
      </w:r>
    </w:p>
    <w:p>
      <w:r/>
      <w:r>
        <w:t>A comparação entre cabeça e corpo leva a uma dependência natural da igreja em Cristo e seu domínio sobre a igreja. A igreja se entende em termos de seu Cabeça. A relação é natural, pois a vida flui e é sustentada pelo Cabeça. A relação é rápida, direta e completa. Sem Cristo, tanto em seu sacrifício salvador quanto em sua posição atual à direita de Deus, a igreja não existiria.</w:t>
      </w:r>
    </w:p>
    <w:p>
      <w:r/>
      <w:r>
        <w:t>No Novo Testamento, a expressão "corpo de Cristo" refere-se à igreja mundial e a cada grupo local de crentes. Inclui tanto crentes judeus quanto não judeus unidos em Jesus Cristo (</w:t>
      </w:r>
      <w:hyperlink r:id="rId379">
        <w:r>
          <w:rPr>
            <w:color w:val="0000EE"/>
            <w:u w:val="single"/>
          </w:rPr>
          <w:t>Ef 2.14–16</w:t>
        </w:r>
      </w:hyperlink>
      <w:r>
        <w:t xml:space="preserve">; </w:t>
      </w:r>
      <w:hyperlink r:id="rId4412">
        <w:r>
          <w:rPr>
            <w:color w:val="0000EE"/>
            <w:u w:val="single"/>
          </w:rPr>
          <w:t>3.6</w:t>
        </w:r>
      </w:hyperlink>
      <w:r>
        <w:t xml:space="preserve">; </w:t>
      </w:r>
      <w:hyperlink r:id="rId6022">
        <w:r>
          <w:rPr>
            <w:color w:val="0000EE"/>
            <w:u w:val="single"/>
          </w:rPr>
          <w:t>4.4</w:t>
        </w:r>
      </w:hyperlink>
      <w:r>
        <w:t>).</w:t>
      </w:r>
    </w:p>
    <w:p>
      <w:pPr>
        <w:pStyle w:val="ListBullet"/>
        <w:spacing w:line="240" w:lineRule="auto"/>
        <w:ind w:left="720"/>
      </w:pPr>
      <w:r/>
      <w:r>
        <w:t>Jesus salvou o "corpo de Cristo" (</w:t>
      </w:r>
      <w:hyperlink r:id="rId3919">
        <w:r>
          <w:rPr>
            <w:color w:val="0000EE"/>
            <w:u w:val="single"/>
          </w:rPr>
          <w:t>Ef 5.23</w:t>
        </w:r>
      </w:hyperlink>
      <w:r>
        <w:t>);</w:t>
      </w:r>
    </w:p>
    <w:p>
      <w:pPr>
        <w:pStyle w:val="ListBullet"/>
        <w:spacing w:line="240" w:lineRule="auto"/>
        <w:ind w:left="720"/>
      </w:pPr>
      <w:r/>
      <w:r>
        <w:t>Jesus lidera o "corpo de Cristo" (</w:t>
      </w:r>
      <w:hyperlink r:id="rId367">
        <w:r>
          <w:rPr>
            <w:color w:val="0000EE"/>
            <w:u w:val="single"/>
          </w:rPr>
          <w:t>Cl 1.18</w:t>
        </w:r>
      </w:hyperlink>
      <w:r>
        <w:t>);</w:t>
      </w:r>
    </w:p>
    <w:p>
      <w:pPr>
        <w:pStyle w:val="ListBullet"/>
        <w:spacing w:line="240" w:lineRule="auto"/>
        <w:ind w:left="720"/>
      </w:pPr>
      <w:r/>
      <w:r>
        <w:t>Jesus governa o "corpo de Cristo" (</w:t>
      </w:r>
      <w:hyperlink r:id="rId366">
        <w:r>
          <w:rPr>
            <w:color w:val="0000EE"/>
            <w:u w:val="single"/>
          </w:rPr>
          <w:t>Ef 1.22–23</w:t>
        </w:r>
      </w:hyperlink>
      <w:r>
        <w:t>); e</w:t>
      </w:r>
    </w:p>
    <w:p>
      <w:pPr>
        <w:pStyle w:val="ListBullet"/>
        <w:spacing w:line="240" w:lineRule="auto"/>
        <w:ind w:left="720"/>
      </w:pPr>
      <w:r/>
      <w:r>
        <w:t>Jesus dá força e unidade ao "corpo de Cristo" (</w:t>
      </w:r>
      <w:hyperlink r:id="rId6023">
        <w:r>
          <w:rPr>
            <w:color w:val="0000EE"/>
            <w:u w:val="single"/>
          </w:rPr>
          <w:t>Ef 4.15–16</w:t>
        </w:r>
      </w:hyperlink>
      <w:r>
        <w:t xml:space="preserve">; </w:t>
      </w:r>
      <w:hyperlink r:id="rId5158">
        <w:r>
          <w:rPr>
            <w:color w:val="0000EE"/>
            <w:u w:val="single"/>
          </w:rPr>
          <w:t>Cl 2.19</w:t>
        </w:r>
      </w:hyperlink>
      <w:r>
        <w:t>).</w:t>
      </w:r>
    </w:p>
    <w:p>
      <w:pPr>
        <w:pStyle w:val="Heading4"/>
      </w:pPr>
      <w:r>
        <w:t>Os dons do Corpo de Cristo</w:t>
      </w:r>
    </w:p>
    <w:p>
      <w:r/>
      <w:r>
        <w:t>Cada membro do corpo de Cristo recebeu habilidades especiais (chamadas de dons espirituais) para servir a Jesus (</w:t>
      </w:r>
      <w:hyperlink r:id="rId6024">
        <w:r>
          <w:rPr>
            <w:color w:val="0000EE"/>
            <w:u w:val="single"/>
          </w:rPr>
          <w:t>Rm 12.6</w:t>
        </w:r>
      </w:hyperlink>
      <w:r>
        <w:t xml:space="preserve">; </w:t>
      </w:r>
      <w:hyperlink r:id="rId6025">
        <w:r>
          <w:rPr>
            <w:color w:val="0000EE"/>
            <w:u w:val="single"/>
          </w:rPr>
          <w:t>1Co 12.11</w:t>
        </w:r>
      </w:hyperlink>
      <w:r>
        <w:t>). Essas habilidades são frequentemente discutidas na Bíblia. Elas incluem ensinar, encorajar os outros e demonstrar bondade (</w:t>
      </w:r>
      <w:hyperlink r:id="rId6026">
        <w:r>
          <w:rPr>
            <w:color w:val="0000EE"/>
            <w:u w:val="single"/>
          </w:rPr>
          <w:t>Rm 12.7–8</w:t>
        </w:r>
      </w:hyperlink>
      <w:r>
        <w:t xml:space="preserve">; </w:t>
      </w:r>
      <w:hyperlink r:id="rId3778">
        <w:r>
          <w:rPr>
            <w:color w:val="0000EE"/>
            <w:u w:val="single"/>
          </w:rPr>
          <w:t>Ef 4.11</w:t>
        </w:r>
      </w:hyperlink>
      <w:r>
        <w:t>). O ministério de servir deve ser compartilhado por todos os cristãos. Os cristãos podem fazer isso através da doação para as necessidades físicas dos outros (</w:t>
      </w:r>
      <w:hyperlink r:id="rId4350">
        <w:r>
          <w:rPr>
            <w:color w:val="0000EE"/>
            <w:u w:val="single"/>
          </w:rPr>
          <w:t>At 11.29–30</w:t>
        </w:r>
      </w:hyperlink>
      <w:r>
        <w:t xml:space="preserve">; </w:t>
      </w:r>
      <w:hyperlink r:id="rId5857">
        <w:r>
          <w:rPr>
            <w:color w:val="0000EE"/>
            <w:u w:val="single"/>
          </w:rPr>
          <w:t>1Co 16.1–4</w:t>
        </w:r>
      </w:hyperlink>
      <w:r>
        <w:t xml:space="preserve">; </w:t>
      </w:r>
      <w:hyperlink r:id="rId6027">
        <w:r>
          <w:rPr>
            <w:color w:val="0000EE"/>
            <w:u w:val="single"/>
          </w:rPr>
          <w:t>2Co 8.1–5</w:t>
        </w:r>
      </w:hyperlink>
      <w:r>
        <w:t>). Eles também podem fazer isso orando uns pelos outros (</w:t>
      </w:r>
      <w:hyperlink r:id="rId6028">
        <w:r>
          <w:rPr>
            <w:color w:val="0000EE"/>
            <w:u w:val="single"/>
          </w:rPr>
          <w:t>Ef 1.15–23</w:t>
        </w:r>
      </w:hyperlink>
      <w:r>
        <w:t xml:space="preserve">; </w:t>
      </w:r>
      <w:hyperlink r:id="rId6029">
        <w:r>
          <w:rPr>
            <w:color w:val="0000EE"/>
            <w:u w:val="single"/>
          </w:rPr>
          <w:t>3.14–19</w:t>
        </w:r>
      </w:hyperlink>
      <w:r>
        <w:t xml:space="preserve">; </w:t>
      </w:r>
      <w:hyperlink r:id="rId6030">
        <w:r>
          <w:rPr>
            <w:color w:val="0000EE"/>
            <w:u w:val="single"/>
          </w:rPr>
          <w:t>6.18–20</w:t>
        </w:r>
      </w:hyperlink>
      <w:r>
        <w:t>).</w:t>
      </w:r>
    </w:p>
    <w:p>
      <w:r/>
      <w:r>
        <w:t>Ninguém deve menosprezar os outros ou seus dons. Deus escolheu cada pessoa para ter um papel especial no corpo (</w:t>
      </w:r>
      <w:hyperlink r:id="rId5831">
        <w:r>
          <w:rPr>
            <w:color w:val="0000EE"/>
            <w:u w:val="single"/>
          </w:rPr>
          <w:t>1Co 12.14–26</w:t>
        </w:r>
      </w:hyperlink>
      <w:r>
        <w:t>). Os dons são dados para apoiar “os santos para obras de ministério e para edificar o corpo de Cristo, até que todos alcancemos a unidade na fé e no conhecimento do Filho de Deus, enquanto amadurecemos até a plena medida da estatura de Cristo” (</w:t>
      </w:r>
      <w:hyperlink r:id="rId6031">
        <w:r>
          <w:rPr>
            <w:color w:val="0000EE"/>
            <w:u w:val="single"/>
          </w:rPr>
          <w:t>Ef 4.12–13</w:t>
        </w:r>
      </w:hyperlink>
      <w:r>
        <w:t>). Todos devem se tornar mais semelhantes a Jesus (</w:t>
      </w:r>
      <w:hyperlink r:id="rId6023">
        <w:r>
          <w:rPr>
            <w:color w:val="0000EE"/>
            <w:u w:val="single"/>
          </w:rPr>
          <w:t>4.15–16</w:t>
        </w:r>
      </w:hyperlink>
      <w:r>
        <w:t>).</w:t>
      </w:r>
    </w:p>
    <w:p>
      <w:r/>
      <w:r>
        <w:rPr>
          <w:i/>
        </w:rPr>
        <w:t>Veja</w:t>
      </w:r>
      <w:r>
        <w:t xml:space="preserve"> </w:t>
      </w:r>
      <w:r>
        <w:t>Corpo</w:t>
      </w:r>
      <w:r>
        <w:t xml:space="preserve">; </w:t>
      </w:r>
      <w:r>
        <w:t>Igreja</w:t>
      </w:r>
      <w:r>
        <w:t xml:space="preserve">; </w:t>
      </w:r>
      <w:r>
        <w:t>Ceia do Senhor, A</w:t>
      </w:r>
      <w:r>
        <w:t xml:space="preserve">; </w:t>
      </w:r>
      <w:r>
        <w:t>Ressurreição</w:t>
      </w:r>
      <w:r>
        <w:t>.</w:t>
      </w:r>
      <w:r/>
      <w:r/>
    </w:p>
    <w:p>
      <w:r/>
    </w:p>
    <w:p>
      <w:pPr>
        <w:pStyle w:val="Heading2"/>
      </w:pPr>
      <w:r>
        <w:t>Coruja pequena</w:t>
      </w:r>
      <w:r/>
    </w:p>
    <w:p>
      <w:r/>
      <w:r>
        <w:t>A coruja pequena (</w:t>
      </w:r>
      <w:r>
        <w:rPr>
          <w:i/>
        </w:rPr>
        <w:t>Athene noctua glaux</w:t>
      </w:r>
      <w:r>
        <w:t>) é a menor coruja que caça à noite. Ela se alimenta principalmente de insetos, mas às vezes captura pequenos pássaros. É a coruja mais comum na Terra Santa.</w:t>
      </w:r>
    </w:p>
    <w:p>
      <w:r/>
      <w:r>
        <w:t xml:space="preserve">A pequena coruja frequentemente vive em lugares tranquilos como ruínas, rochas, matagais (áreas arbustivas) e ao redor de tumbas. Algumas pessoas acreditam que pode ser a coruja mencionada no </w:t>
      </w:r>
      <w:hyperlink r:id="rId6032">
        <w:r>
          <w:rPr>
            <w:color w:val="0000EE"/>
            <w:u w:val="single"/>
          </w:rPr>
          <w:t>Salmo 102.6</w:t>
        </w:r>
      </w:hyperlink>
      <w:r>
        <w:t>.</w:t>
      </w:r>
    </w:p>
    <w:p>
      <w:r/>
      <w:r>
        <w:t>Seu chamado soa como uma pessoa gemendo ou chorando de dor. As pessoas no passado viam a pequena coruja como sábia, especialmente porque ela frequentemente fica parada e observa o horizonte. Os antigos gregos associavam essa coruja à deusa Atena.</w:t>
      </w:r>
    </w:p>
    <w:p>
      <w:r/>
      <w:r>
        <w:t>Algumas traduções da Bíblia mencionam a coruja pequena pelo nome nas listas de aves impuras (</w:t>
      </w:r>
      <w:hyperlink r:id="rId6033">
        <w:r>
          <w:rPr>
            <w:color w:val="0000EE"/>
            <w:u w:val="single"/>
          </w:rPr>
          <w:t>Lv 11.17</w:t>
        </w:r>
      </w:hyperlink>
      <w:r>
        <w:t xml:space="preserve">; </w:t>
      </w:r>
      <w:hyperlink r:id="rId6034">
        <w:r>
          <w:rPr>
            <w:color w:val="0000EE"/>
            <w:u w:val="single"/>
          </w:rPr>
          <w:t>Dt 14.16</w:t>
        </w:r>
      </w:hyperlink>
      <w:r>
        <w:t>).</w:t>
      </w:r>
    </w:p>
    <w:p>
      <w:r/>
      <w:r>
        <w:rPr>
          <w:i/>
        </w:rPr>
        <w:t xml:space="preserve">Veja também </w:t>
      </w:r>
      <w:r>
        <w:t>Aves</w:t>
      </w:r>
      <w:r>
        <w:t>;</w:t>
      </w:r>
      <w:r>
        <w:rPr>
          <w:i/>
        </w:rPr>
        <w:t xml:space="preserve"> </w:t>
      </w:r>
      <w:r>
        <w:t>Coruja</w:t>
      </w:r>
      <w:r>
        <w:t>.</w:t>
      </w:r>
      <w:r/>
      <w:r/>
    </w:p>
    <w:p>
      <w:r/>
    </w:p>
    <w:p>
      <w:pPr>
        <w:pStyle w:val="Heading2"/>
      </w:pPr>
      <w:r>
        <w:t>Corujão</w:t>
      </w:r>
      <w:r/>
    </w:p>
    <w:p>
      <w:r/>
      <w:r>
        <w:t>Nome de uma das grandes corujas ou corujas-reais (</w:t>
      </w:r>
      <w:hyperlink r:id="rId6034">
        <w:r>
          <w:rPr>
            <w:color w:val="0000EE"/>
            <w:u w:val="single"/>
          </w:rPr>
          <w:t>Dt 14.16</w:t>
        </w:r>
      </w:hyperlink>
      <w:r>
        <w:t xml:space="preserve">). Apenas a Bíblia NVI apresenta essa descrição. Algumas versões traduzem como "íbis". </w:t>
      </w:r>
    </w:p>
    <w:p>
      <w:r/>
      <w:r>
        <w:rPr>
          <w:i/>
        </w:rPr>
        <w:t>Veja</w:t>
      </w:r>
      <w:r>
        <w:t xml:space="preserve"> </w:t>
      </w:r>
      <w:r>
        <w:t>Aves (Coruja; Coruja, Grande)</w:t>
      </w:r>
      <w:r>
        <w:t>.</w:t>
      </w:r>
      <w:r/>
      <w:r/>
    </w:p>
    <w:p>
      <w:r/>
    </w:p>
    <w:p>
      <w:pPr>
        <w:pStyle w:val="Heading2"/>
      </w:pPr>
      <w:r>
        <w:t>Corvo-marinho</w:t>
      </w:r>
      <w:r/>
    </w:p>
    <w:p>
      <w:r/>
      <w:r>
        <w:t>Grande ave aquática de pés pretos e palmados, considerada cerimonialmente impura para os israelitas (</w:t>
      </w:r>
      <w:hyperlink r:id="rId6033">
        <w:r>
          <w:rPr>
            <w:color w:val="0000EE"/>
            <w:u w:val="single"/>
          </w:rPr>
          <w:t>Lv 11.17</w:t>
        </w:r>
      </w:hyperlink>
      <w:r>
        <w:t xml:space="preserve">; </w:t>
      </w:r>
      <w:hyperlink r:id="rId6035">
        <w:r>
          <w:rPr>
            <w:color w:val="0000EE"/>
            <w:u w:val="single"/>
          </w:rPr>
          <w:t>Dt 14.17</w:t>
        </w:r>
      </w:hyperlink>
      <w:r>
        <w:t xml:space="preserve">). </w:t>
      </w:r>
    </w:p>
    <w:p>
      <w:r/>
      <w:r>
        <w:rPr>
          <w:i/>
        </w:rPr>
        <w:t>Veja</w:t>
      </w:r>
      <w:r>
        <w:t xml:space="preserve"> </w:t>
      </w:r>
      <w:r>
        <w:t>Aves</w:t>
      </w:r>
      <w:r>
        <w:t>.</w:t>
      </w:r>
      <w:r/>
      <w:r/>
    </w:p>
    <w:p>
      <w:r/>
    </w:p>
    <w:p>
      <w:pPr>
        <w:pStyle w:val="Heading2"/>
      </w:pPr>
      <w:r>
        <w:t>Cós</w:t>
      </w:r>
      <w:r/>
    </w:p>
    <w:p>
      <w:r/>
      <w:r>
        <w:t>Cós é uma ilha no Mar Egeu, parte do grupo das Espórades. A ilha possui uma cidade com o mesmo nome. Cós está localizada próxima à costa de Cária na Ásia Menor (atual Turquia).</w:t>
      </w:r>
    </w:p>
    <w:p>
      <w:r/>
      <w:r>
        <w:t>O apóstolo Paulo visitou Cós durante suas viagens. Foi sua primeira parada após deixar Éfeso enquanto viajava para Jerusalém no final de sua terceira viagem missionária (</w:t>
      </w:r>
      <w:hyperlink r:id="rId6036">
        <w:r>
          <w:rPr>
            <w:color w:val="0000EE"/>
            <w:u w:val="single"/>
          </w:rPr>
          <w:t>At 21.1</w:t>
        </w:r>
      </w:hyperlink>
      <w:r>
        <w:t>).</w:t>
      </w:r>
    </w:p>
    <w:p>
      <w:r/>
      <w:r>
        <w:t>No Apócrifo (um conjunto de textos antigos não incluídos na Bíblia Hebraica, mas aceitos por alguns grupos cristãos), Cós é mencionada junto com outras áreas. Esses lugares receberam uma carta do cônsul romano Lúcio. A carta proibia a guerra contra o povo judeu que vivia nessas áreas (</w:t>
      </w:r>
      <w:hyperlink r:id="rId2617">
        <w:r>
          <w:rPr>
            <w:color w:val="0000EE"/>
            <w:u w:val="single"/>
          </w:rPr>
          <w:t>1Mc 15.23</w:t>
        </w:r>
      </w:hyperlink>
      <w:r>
        <w:t>).</w:t>
      </w:r>
    </w:p>
    <w:p>
      <w:r/>
      <w:r>
        <w:t>Cós (anteriormente chamada de Kós) era um importante centro de transporte marítimo e comércio. Era famosa por seu trigo, unguentos, vinhos e seda. Mais tarde, tornou-se um dos centros financeiros do Mediterrâneo Oriental.</w:t>
      </w:r>
    </w:p>
    <w:p>
      <w:r/>
      <w:r>
        <w:t>Hipócrates, conhecido como o "pai da medicina", nasceu em Cós. Ele praticou medicina lá durante os séculos V e IV a.C. Durante o governo do Rei Herodes, Cós recebeu pagamentos financeiros contínuos. O povo de Cós construiu uma estátua para homenagear o filho de Herodes, Herodes Antipas.</w:t>
      </w:r>
      <w:r/>
      <w:r/>
    </w:p>
    <w:p>
      <w:r/>
    </w:p>
    <w:p>
      <w:pPr>
        <w:pStyle w:val="Heading2"/>
      </w:pPr>
      <w:r>
        <w:t>Cosbi</w:t>
      </w:r>
      <w:r/>
    </w:p>
    <w:p>
      <w:r/>
      <w:r>
        <w:t>Uma mulher de Midiã teve um relacionamento impróprio com um israelita chamado Zinri. Este relacionamento violou as leis de Deus. Durante esse tempo, uma doença mortal se espalhava entre os israelitas como punição. Fineias, neto de Arão, o sumo sacerdote, interrompeu a doença matando tanto Zinri quanto Cosbi (</w:t>
      </w:r>
      <w:hyperlink r:id="rId6037">
        <w:r>
          <w:rPr>
            <w:color w:val="0000EE"/>
            <w:u w:val="single"/>
          </w:rPr>
          <w:t>Nm 25.15–18</w:t>
        </w:r>
      </w:hyperlink>
      <w:r>
        <w:t>).</w:t>
      </w:r>
      <w:r/>
      <w:r/>
    </w:p>
    <w:p>
      <w:r/>
    </w:p>
    <w:p>
      <w:pPr>
        <w:pStyle w:val="Heading2"/>
      </w:pPr>
      <w:r>
        <w:t>Costumes funerários</w:t>
      </w:r>
      <w:r/>
    </w:p>
    <w:p>
      <w:r/>
      <w:r>
        <w:t>Os costumes e cerimônias relacionados à morte e ao falecimento humano. Todas as sociedades humanas têm observado práticas funerárias desde seus primórdios.</w:t>
      </w:r>
    </w:p>
    <w:p>
      <w:r/>
      <w:r>
        <w:t>A maioria dos antropólogos acredita que os costumes funerários têm importantes propósitos sociais para os vivos. No entanto, há debate sobre quais são esses propósitos. Alguns cientistas acreditam que os costumes funerários acalmam a ansiedade em relação à morte. Outros, porém, acreditam que esses costumes promovem reverência religiosa ou fortalecem os relacionamentos entre os vivos. Provavelmente, ambos os fatores fazem parte da maioria dos costumes funerários. Esses costumes lembram às pessoas que a morte é um assunto sério, ao mesmo tempo que oferecem algum conforto.</w:t>
      </w:r>
    </w:p>
    <w:p>
      <w:r/>
      <w:r>
        <w:t>Crenças sobre a vida após a morte influenciam os costumes funerários. A maioria das culturas acredita em alguma forma de imortalidade (a ideia de que alguma parte de uma pessoa existe para sempre). Muitos artefatos foram encontrados em túmulos, tais como:</w:t>
      </w:r>
    </w:p>
    <w:p>
      <w:pPr>
        <w:pStyle w:val="ListBullet"/>
        <w:spacing w:line="240" w:lineRule="auto"/>
        <w:ind w:left="720"/>
      </w:pPr>
      <w:r/>
      <w:r>
        <w:t>Ferramentas</w:t>
      </w:r>
    </w:p>
    <w:p>
      <w:pPr>
        <w:pStyle w:val="ListBullet"/>
        <w:spacing w:line="240" w:lineRule="auto"/>
        <w:ind w:left="720"/>
      </w:pPr>
      <w:r/>
      <w:r>
        <w:t>Decorações</w:t>
      </w:r>
    </w:p>
    <w:p>
      <w:pPr>
        <w:pStyle w:val="ListBullet"/>
        <w:spacing w:line="240" w:lineRule="auto"/>
        <w:ind w:left="720"/>
      </w:pPr>
      <w:r/>
      <w:r>
        <w:t>Alimento</w:t>
      </w:r>
    </w:p>
    <w:p>
      <w:r/>
      <w:r>
        <w:t>Isso pode ser evidência da crença na existência humana após a morte. Acreditava-se que os rituais funerários adequados ajudavam os mortos a alcançar seu lugar de descanso final. Essa jornada frequentemente incluía muitos perigos, como atravessar rios. Os costumes também asseguravam aos vivos que os mortos não os prejudicariam.</w:t>
      </w:r>
    </w:p>
    <w:p>
      <w:pPr>
        <w:pStyle w:val="Heading3"/>
      </w:pPr>
      <w:r>
        <w:t>Descarte do corpo</w:t>
      </w:r>
    </w:p>
    <w:p>
      <w:r/>
      <w:r>
        <w:t>Covas (sepultamento na terra) são uma maneira comum de descarte dos mortos. Isso pode ser devido à crença de que os mortos viviam no subsolo. A cova era frequentemente vista como a entrada para o submundo. No entanto, algumas culturas acreditavam que os mortos viviam no céu.</w:t>
      </w:r>
    </w:p>
    <w:p>
      <w:r/>
      <w:r>
        <w:t>Certas culturas praticavam o descarte acima do solo. Algumas comunidades colocavam o cadáver em uma estrutura para ser devorado por animais. Alguns grupos consumiam o cadáver, acreditando que poderiam absorver as boas qualidades do falecido.</w:t>
      </w:r>
    </w:p>
    <w:p>
      <w:r/>
      <w:r>
        <w:t>Muitas sociedades asiáticas cremam corpos. No passado, às vezes as esposas e escravos de uma pessoa falecida podiam se lançar ao fogo. O Ocidente começou a cremar corpos mais devido à falta de terra para sepulturas.</w:t>
      </w:r>
    </w:p>
    <w:p>
      <w:r/>
      <w:r>
        <w:t>Quase todas as sociedades possuem costumes especiais de luto durante o sepultamento do corpo. Estes incluem:</w:t>
      </w:r>
    </w:p>
    <w:p>
      <w:pPr>
        <w:pStyle w:val="ListBullet"/>
        <w:spacing w:line="240" w:lineRule="auto"/>
        <w:ind w:left="720"/>
      </w:pPr>
      <w:r/>
      <w:r>
        <w:t>Uso de vestimentas especiais</w:t>
      </w:r>
    </w:p>
    <w:p>
      <w:pPr>
        <w:pStyle w:val="ListBullet"/>
        <w:spacing w:line="240" w:lineRule="auto"/>
        <w:ind w:left="720"/>
      </w:pPr>
      <w:r/>
      <w:r>
        <w:t>Fortes emoções</w:t>
      </w:r>
    </w:p>
    <w:p>
      <w:pPr>
        <w:pStyle w:val="ListBullet"/>
        <w:spacing w:line="240" w:lineRule="auto"/>
        <w:ind w:left="720"/>
      </w:pPr>
      <w:r/>
      <w:r>
        <w:t>Permanecendo isolado</w:t>
      </w:r>
    </w:p>
    <w:p>
      <w:pPr>
        <w:pStyle w:val="ListBullet"/>
        <w:spacing w:line="240" w:lineRule="auto"/>
        <w:ind w:left="720"/>
      </w:pPr>
      <w:r/>
      <w:r>
        <w:t>Evitando determinados alimentos</w:t>
      </w:r>
    </w:p>
    <w:p>
      <w:r/>
      <w:r>
        <w:t>A maioria das sociedades realiza cerimônias que podem incluir rituais de purificação e o compartilhamento de refeições especiais com outros enlutados. Em muitas culturas, indivíduos de alta condição frequentemente têm cerimônias fúnebres mais grandiosas.</w:t>
      </w:r>
    </w:p>
    <w:p>
      <w:pPr>
        <w:pStyle w:val="Heading3"/>
      </w:pPr>
      <w:r>
        <w:t>Costumes funerários e a Bíblia</w:t>
      </w:r>
    </w:p>
    <w:p>
      <w:r/>
      <w:r>
        <w:t>A Bíblia realmente fornece detalhes sobre o procedimento de sepultamento. Existem indícios sobre as práticas comuns de sepultamento em Israel e há certas leis sobre a morte. A maioria dos corpos era enterrada no solo ou em uma caverna. Ficar insepulto era uma grande desonra (</w:t>
      </w:r>
      <w:hyperlink r:id="rId3307">
        <w:r>
          <w:rPr>
            <w:color w:val="0000EE"/>
            <w:u w:val="single"/>
          </w:rPr>
          <w:t>Dt 28.26</w:t>
        </w:r>
      </w:hyperlink>
      <w:r>
        <w:t xml:space="preserve">; </w:t>
      </w:r>
      <w:hyperlink r:id="rId6038">
        <w:r>
          <w:rPr>
            <w:color w:val="0000EE"/>
            <w:u w:val="single"/>
          </w:rPr>
          <w:t>1Rs 11.15</w:t>
        </w:r>
      </w:hyperlink>
      <w:r>
        <w:t>). Se possível, os mortos eram enterrados no dia em que faleciam (</w:t>
      </w:r>
      <w:hyperlink r:id="rId6039">
        <w:r>
          <w:rPr>
            <w:color w:val="0000EE"/>
            <w:u w:val="single"/>
          </w:rPr>
          <w:t>Dt 21.23</w:t>
        </w:r>
      </w:hyperlink>
      <w:r>
        <w:t>). Os mortos geralmente não eram embalsamados, mas frequentemente eram vestidos com roupas especiais de sepultamento e aspergidos com vários perfumes (</w:t>
      </w:r>
      <w:hyperlink r:id="rId5994">
        <w:r>
          <w:rPr>
            <w:color w:val="0000EE"/>
            <w:u w:val="single"/>
          </w:rPr>
          <w:t>Mc 15.46</w:t>
        </w:r>
      </w:hyperlink>
      <w:r>
        <w:t xml:space="preserve">; </w:t>
      </w:r>
      <w:hyperlink r:id="rId6040">
        <w:r>
          <w:rPr>
            <w:color w:val="0000EE"/>
            <w:u w:val="single"/>
          </w:rPr>
          <w:t>Jo 11.44</w:t>
        </w:r>
      </w:hyperlink>
      <w:r>
        <w:t>).</w:t>
      </w:r>
    </w:p>
    <w:p>
      <w:r/>
      <w:r>
        <w:t>Os funerais frequentemente envolviam choro intenso. Este luto fazia parte do costume funerário (</w:t>
      </w:r>
      <w:hyperlink r:id="rId6041">
        <w:r>
          <w:rPr>
            <w:color w:val="0000EE"/>
            <w:u w:val="single"/>
          </w:rPr>
          <w:t>Mt 11.17</w:t>
        </w:r>
      </w:hyperlink>
      <w:r>
        <w:t>). No antigo Israel, pranteadores pagos lamentavam sob comando. Grande parte do serviço fúnebre envolvia esses pranteadores realizando salmos e fazendo elogios fúnebres para os mortos (</w:t>
      </w:r>
      <w:hyperlink r:id="rId6042">
        <w:r>
          <w:rPr>
            <w:color w:val="0000EE"/>
            <w:u w:val="single"/>
          </w:rPr>
          <w:t>2Cr 35.25</w:t>
        </w:r>
      </w:hyperlink>
      <w:r>
        <w:t xml:space="preserve">; </w:t>
      </w:r>
      <w:hyperlink r:id="rId6043">
        <w:r>
          <w:rPr>
            <w:color w:val="0000EE"/>
            <w:u w:val="single"/>
          </w:rPr>
          <w:t>Jr 9.17</w:t>
        </w:r>
      </w:hyperlink>
      <w:r>
        <w:t>-</w:t>
      </w:r>
      <w:hyperlink r:id="rId6043">
        <w:r>
          <w:rPr>
            <w:color w:val="0000EE"/>
            <w:u w:val="single"/>
          </w:rPr>
          <w:t>22</w:t>
        </w:r>
      </w:hyperlink>
      <w:r>
        <w:t>). Esta ênfase no luto vinha da apreciação hebraica da vida e da saúde como presentes de Deus (</w:t>
      </w:r>
      <w:hyperlink r:id="rId6044">
        <w:r>
          <w:rPr>
            <w:color w:val="0000EE"/>
            <w:u w:val="single"/>
          </w:rPr>
          <w:t>Sl 91.16</w:t>
        </w:r>
      </w:hyperlink>
      <w:r>
        <w:t>), e sua visão de que a vida existia no corpo (</w:t>
      </w:r>
      <w:hyperlink r:id="rId6045">
        <w:r>
          <w:rPr>
            <w:color w:val="0000EE"/>
            <w:u w:val="single"/>
          </w:rPr>
          <w:t>16.9</w:t>
        </w:r>
      </w:hyperlink>
      <w:r>
        <w:t>-</w:t>
      </w:r>
      <w:hyperlink r:id="rId6045">
        <w:r>
          <w:rPr>
            <w:color w:val="0000EE"/>
            <w:u w:val="single"/>
          </w:rPr>
          <w:t>11</w:t>
        </w:r>
      </w:hyperlink>
      <w:r>
        <w:t>). Esta crença pode explicar por que o Antigo Testamento não possui uma doutrina de imortalidade. Ele sugere uma existência sombria em Sheol e uma futura ressurreição (</w:t>
      </w:r>
      <w:hyperlink r:id="rId6046">
        <w:r>
          <w:rPr>
            <w:color w:val="0000EE"/>
            <w:u w:val="single"/>
          </w:rPr>
          <w:t>Jó 14.13</w:t>
        </w:r>
      </w:hyperlink>
      <w:r>
        <w:t xml:space="preserve">; </w:t>
      </w:r>
      <w:hyperlink r:id="rId6047">
        <w:r>
          <w:rPr>
            <w:color w:val="0000EE"/>
            <w:u w:val="single"/>
          </w:rPr>
          <w:t>Ez 37</w:t>
        </w:r>
      </w:hyperlink>
      <w:r>
        <w:t>).</w:t>
      </w:r>
    </w:p>
    <w:p>
      <w:r/>
      <w:r>
        <w:t>A igreja cristã primitiva concordava com a crença judaica de que a vida existia no corpo. No entanto, os primeiros cristãos também acreditavam na existência após a morte. Enquanto os gregos acreditavam na imortalidade da alma, os escritores do Novo Testamento acreditavam na vida eterna da alma e do corpo.</w:t>
      </w:r>
    </w:p>
    <w:p>
      <w:r/>
      <w:r>
        <w:t>Essa crença na ressurreição corporal influencia os costumes funerários cristãos. As práticas simbolizam a crença na ressurreição e na vida eterna. O lamento foi substituído pelo canto alegre de salmos. O corpo era lavado, ungido, envolto em linho e cercado por velas, que representam a vida eterna. Os enlutados mantinham uma vigília na casa do falecido e liam escrituras sobre a ressurreição e a vida eterna. A Ceia do Senhor era consumida, simbolizando o sacrifício de Cristo. Um discurso fúnebre era feito para honrar os mortos e confortar os vivos. Muitas dessas práticas ainda são observadas pelos cristãos hoje.</w:t>
      </w:r>
    </w:p>
    <w:p>
      <w:r/>
      <w:r>
        <w:rPr>
          <w:i/>
        </w:rPr>
        <w:t>Veja também</w:t>
      </w:r>
      <w:r>
        <w:t xml:space="preserve"> </w:t>
      </w:r>
      <w:r>
        <w:t>Enterro, costumes de enterro</w:t>
      </w:r>
      <w:r>
        <w:t xml:space="preserve">; </w:t>
      </w:r>
      <w:r>
        <w:t>Luto</w:t>
      </w:r>
      <w:r>
        <w:t>.</w:t>
      </w:r>
      <w:r/>
      <w:r/>
    </w:p>
    <w:p>
      <w:r/>
    </w:p>
    <w:p>
      <w:pPr>
        <w:pStyle w:val="Heading2"/>
      </w:pPr>
      <w:r>
        <w:t>Couro</w:t>
      </w:r>
      <w:r/>
    </w:p>
    <w:p>
      <w:r/>
      <w:r>
        <w:t>Couro cru de animal preparado, usado extensivamente nos tempos bíblicos para uma ampla variedade de propósitos. Era usado como roupa nos tempos antigos (</w:t>
      </w:r>
      <w:hyperlink r:id="rId6048">
        <w:r>
          <w:rPr>
            <w:color w:val="0000EE"/>
            <w:u w:val="single"/>
          </w:rPr>
          <w:t>Gn 3.21</w:t>
        </w:r>
      </w:hyperlink>
      <w:r>
        <w:t>). No início do período dos profetas, suas vestes, feitas de peles de animais, se tornaram um meio de identificá-los (</w:t>
      </w:r>
      <w:hyperlink r:id="rId6049">
        <w:r>
          <w:rPr>
            <w:color w:val="0000EE"/>
            <w:u w:val="single"/>
          </w:rPr>
          <w:t>2Rs 1.8</w:t>
        </w:r>
      </w:hyperlink>
      <w:r>
        <w:t xml:space="preserve">; </w:t>
      </w:r>
      <w:hyperlink r:id="rId1498">
        <w:r>
          <w:rPr>
            <w:color w:val="0000EE"/>
            <w:u w:val="single"/>
          </w:rPr>
          <w:t>Zc 13.4</w:t>
        </w:r>
      </w:hyperlink>
      <w:r>
        <w:t>). O manto de Elias (</w:t>
      </w:r>
      <w:hyperlink r:id="rId6050">
        <w:r>
          <w:rPr>
            <w:color w:val="0000EE"/>
            <w:u w:val="single"/>
          </w:rPr>
          <w:t>1Rs 19.13,19</w:t>
        </w:r>
      </w:hyperlink>
      <w:r>
        <w:t xml:space="preserve">; </w:t>
      </w:r>
      <w:hyperlink r:id="rId6051">
        <w:r>
          <w:rPr>
            <w:color w:val="0000EE"/>
            <w:u w:val="single"/>
          </w:rPr>
          <w:t>2Rs 2.8, 13–14</w:t>
        </w:r>
      </w:hyperlink>
      <w:r>
        <w:t>) é descrito no AT grego, Septuaginta, como feito de pele de carneiro. Peles de animais também eram usadas para fazer sapatos (</w:t>
      </w:r>
      <w:hyperlink r:id="rId6052">
        <w:r>
          <w:rPr>
            <w:color w:val="0000EE"/>
            <w:u w:val="single"/>
          </w:rPr>
          <w:t>Ez 16.10</w:t>
        </w:r>
      </w:hyperlink>
      <w:r>
        <w:t>), cintas (</w:t>
      </w:r>
      <w:hyperlink r:id="rId1497">
        <w:r>
          <w:rPr>
            <w:color w:val="0000EE"/>
            <w:u w:val="single"/>
          </w:rPr>
          <w:t>Mt 3.4</w:t>
        </w:r>
      </w:hyperlink>
      <w:r>
        <w:t>) e outros artigos de vestuário (</w:t>
      </w:r>
      <w:hyperlink r:id="rId6053">
        <w:r>
          <w:rPr>
            <w:color w:val="0000EE"/>
            <w:u w:val="single"/>
          </w:rPr>
          <w:t>Lv 13.48</w:t>
        </w:r>
      </w:hyperlink>
      <w:r>
        <w:t>).</w:t>
      </w:r>
    </w:p>
    <w:p>
      <w:r/>
      <w:r>
        <w:t>Alguns utensílios domésticos eram feitos de couro. O mais comum era o recipiente para armazenar líquidos, como leite (</w:t>
      </w:r>
      <w:hyperlink r:id="rId5205">
        <w:r>
          <w:rPr>
            <w:color w:val="0000EE"/>
            <w:u w:val="single"/>
          </w:rPr>
          <w:t>Jz 4.19</w:t>
        </w:r>
      </w:hyperlink>
      <w:r>
        <w:t>), vinho (</w:t>
      </w:r>
      <w:hyperlink r:id="rId6054">
        <w:r>
          <w:rPr>
            <w:color w:val="0000EE"/>
            <w:u w:val="single"/>
          </w:rPr>
          <w:t>Mc 2.22</w:t>
        </w:r>
      </w:hyperlink>
      <w:r>
        <w:t>) e água (</w:t>
      </w:r>
      <w:hyperlink r:id="rId1700">
        <w:r>
          <w:rPr>
            <w:color w:val="0000EE"/>
            <w:u w:val="single"/>
          </w:rPr>
          <w:t>Gn 21.14</w:t>
        </w:r>
      </w:hyperlink>
      <w:r>
        <w:t>). O óleo, extraído das azeitonas, então purificado e refinado, também era armazenado em odres, até que fosse necessário para cozinhar, produtos de higiene pessoal ou fins medicinais, ou como combustível para lâmpadas. Com toda a probabilidade, o couro era usado para camas, cadeiras e outros artigos domésticos. Não há referência ao couro sendo usado para fazer tendas, mas peles de animais foram empregadas na construção do tabernáculo (</w:t>
      </w:r>
      <w:hyperlink r:id="rId5747">
        <w:r>
          <w:rPr>
            <w:color w:val="0000EE"/>
            <w:u w:val="single"/>
          </w:rPr>
          <w:t>Êx 25.5</w:t>
        </w:r>
      </w:hyperlink>
      <w:r>
        <w:t xml:space="preserve">; </w:t>
      </w:r>
      <w:hyperlink r:id="rId5601">
        <w:r>
          <w:rPr>
            <w:color w:val="0000EE"/>
            <w:u w:val="single"/>
          </w:rPr>
          <w:t>Nm 4.8</w:t>
        </w:r>
      </w:hyperlink>
      <w:r>
        <w:t>). Claramente, as referências são a peles curtidas. Seu uso garantiria que o telhado fosse à prova d'água.</w:t>
      </w:r>
    </w:p>
    <w:p>
      <w:r/>
      <w:r>
        <w:t xml:space="preserve">A Bíblia é silenciosa sobre o uso do couro para fazer armaduras ou armas; no entanto, seria uma escolha natural para capacetes e proteções para defesa, fundas para o ataque e aljavas para carregar flechas. O ato de esfregar óleo na superfície das proteções, presumivelmente para prevenir que se tornassem quebradiças e, portanto, inúteis, é referido em </w:t>
      </w:r>
      <w:hyperlink r:id="rId2521">
        <w:r>
          <w:rPr>
            <w:color w:val="0000EE"/>
            <w:u w:val="single"/>
          </w:rPr>
          <w:t>2Samuel 1.21</w:t>
        </w:r>
      </w:hyperlink>
      <w:r>
        <w:t xml:space="preserve"> e </w:t>
      </w:r>
      <w:hyperlink r:id="rId6055">
        <w:r>
          <w:rPr>
            <w:color w:val="0000EE"/>
            <w:u w:val="single"/>
          </w:rPr>
          <w:t>Isaías 21.5</w:t>
        </w:r>
      </w:hyperlink>
      <w:r>
        <w:t xml:space="preserve"> e aponta para sua confecção de couro. Uma pintura no túmulo de um nobre egípcio de cerca de 1900 a.C. complementa o escasso conhecimento que a Bíblia fornece sobre o uso do couro nos tempos do AT. Na pintura, os homens usam sandálias e, as mulheres, botas. Uma garrafa de água de couro está amarrada às costas de um homem. Outro, um arqueiro, carrega uma aljava nas costas. Os asnos estão carregando objetos que foram identificados como dois pares de foles de pele de cabra.</w:t>
      </w:r>
    </w:p>
    <w:p>
      <w:r/>
      <w:r>
        <w:t>O couro foi amplamente utilizado como material de escrita, mas no início quase exclusivamente no Egito. Lá, o pergaminho, também derivado de peles de animais, tem uma história muito antiga. A diferença entre couro e pergaminho é que o primeiro é curtido, enquanto o outro é produzido tratando as peles com soluções de cal, sal ou corantes, raspando os pelos de um lado e a carne do outro, esticando e secando-os em uma moldura, depois esfregando-os com uma pedra-pomes para produzir superfícies lisas em ambos os lados. O uso de peles preparadas para material de escrita era conhecido antes de 2000 a.C. no Egito, mas de acordo com Plínio, o termo “pergaminho” não entrou em uso até cerca de 160 a.C. em outras áreas.</w:t>
      </w:r>
    </w:p>
    <w:p>
      <w:r/>
      <w:r>
        <w:t>Nenhum documento de couro foi encontrado na Assíria ou Babilônia, provavelmente porque o couro era usado muito menos extensivamente lá do que em outros lugares no Oriente antigo. As alusões literárias do Oriente Médio apontam para que o couro tenha entrado em uso lá num período posterior. O termo “pergaminho” não é encontrado antes do período persa, e a frase “escrita em pergaminho” não ocorre antes dos primeiros anos dos selêucidas (312–64 a.C.). Mesmo então o papiro era o principal material de escrita.</w:t>
      </w:r>
    </w:p>
    <w:p>
      <w:r/>
      <w:r>
        <w:t>Outro produto de couro, velino, é o pergaminho fino feito de peles de bezerro, cabrito, cordeiro ou antílope. Em Roma, do primeiro século a.C. até o segundo século d.C., o velino estava em uso restrito. Somente no terceiro e quarto séculos o velino prevaleceu. Foi neste momento que o célebre Códice Vaticano, e o Códice Sinaítico, foram produzidos. Toda a Bíblia agora poderia ser reunida em um único códice, que era na forma de um livro moderno com folhas dobradas, enquanto anteriormente seria necessário um conjunto de 30 a 40 rolos de papiro para se ter a Bíblia. Velino também permitia o palimpsesto, no qual a escrita original poderia ser apagada e escrita novamente.</w:t>
      </w:r>
    </w:p>
    <w:p>
      <w:r/>
      <w:r>
        <w:t xml:space="preserve">No AT, couro ou peles não são mencionados em conexão com a escrita. Os livros em forma de rolo são mencionados no </w:t>
      </w:r>
      <w:hyperlink r:id="rId6056">
        <w:r>
          <w:rPr>
            <w:color w:val="0000EE"/>
            <w:u w:val="single"/>
          </w:rPr>
          <w:t>Salmo 40.7</w:t>
        </w:r>
      </w:hyperlink>
      <w:r>
        <w:t xml:space="preserve">, </w:t>
      </w:r>
      <w:hyperlink r:id="rId6057">
        <w:r>
          <w:rPr>
            <w:color w:val="0000EE"/>
            <w:u w:val="single"/>
          </w:rPr>
          <w:t>Jeremias 36</w:t>
        </w:r>
      </w:hyperlink>
      <w:r>
        <w:t xml:space="preserve"> e </w:t>
      </w:r>
      <w:hyperlink r:id="rId6058">
        <w:r>
          <w:rPr>
            <w:color w:val="0000EE"/>
            <w:u w:val="single"/>
          </w:rPr>
          <w:t>Ezequiel 2.9–3.3</w:t>
        </w:r>
      </w:hyperlink>
      <w:r>
        <w:t>, mas provavelmente eram papiros. Antes da descoberta dos Manuscritos do Mar Morto, a primeira referência aos judeus usando pergaminho ou couro como material de escrita é encontrada em Josefo, no final do primeiro século d.C. No entanto, agora sabemos que por volta de 100 a.C. o pergaminho era usado pelos judeus. O Talmude exige que a Lei seja escrita em peles de animais limpos, um regulamento que ainda prevê que livros sejam usados na sinagoga, mas não é certo que isso aponta para uma tradição antiga.</w:t>
      </w:r>
    </w:p>
    <w:p>
      <w:r/>
      <w:r>
        <w:t>Alguns dos Manuscritos do Mar Morto foram escritos em couro. Por exemplo, o grande pergaminho de Isaías, escrito por volta de 100 a.C., consiste em 17 folhas costuradas em um comprimento de quase 7 metros. Os autógrafos do NT foram provavelmente escritos em papiro. Certamente João escreveu sua segunda carta sobre papiro (</w:t>
      </w:r>
      <w:hyperlink r:id="rId6059">
        <w:r>
          <w:rPr>
            <w:color w:val="0000EE"/>
            <w:u w:val="single"/>
          </w:rPr>
          <w:t>2Jo 1.12</w:t>
        </w:r>
      </w:hyperlink>
      <w:r>
        <w:t>) dentro do último trimestre do primeiro século.</w:t>
      </w:r>
    </w:p>
    <w:p>
      <w:r/>
      <w:r>
        <w:t xml:space="preserve">A curtição não é mencionada no AT, mas está implícito em </w:t>
      </w:r>
      <w:hyperlink r:id="rId5747">
        <w:r>
          <w:rPr>
            <w:color w:val="0000EE"/>
            <w:u w:val="single"/>
          </w:rPr>
          <w:t>Êxodo 25.5</w:t>
        </w:r>
      </w:hyperlink>
      <w:r>
        <w:t xml:space="preserve"> e </w:t>
      </w:r>
      <w:hyperlink r:id="rId6053">
        <w:r>
          <w:rPr>
            <w:color w:val="0000EE"/>
            <w:u w:val="single"/>
          </w:rPr>
          <w:t>Levítico 13.48</w:t>
        </w:r>
      </w:hyperlink>
      <w:r>
        <w:t>. O possível uso de peles de animais impuros e o contato constante com cadáveres faziam da curtição um comércio impuro, e era proibido na cidade. No entanto, a preparação de peles para pergaminho era considerada um chamado honroso.</w:t>
      </w:r>
    </w:p>
    <w:p>
      <w:r/>
      <w:r>
        <w:rPr>
          <w:i/>
        </w:rPr>
        <w:t>Veja também</w:t>
      </w:r>
      <w:r>
        <w:t xml:space="preserve"> </w:t>
      </w:r>
      <w:r>
        <w:t>Escrita de Carta, Antiga</w:t>
      </w:r>
      <w:r>
        <w:t xml:space="preserve">; </w:t>
      </w:r>
      <w:r>
        <w:t>Escrita</w:t>
      </w:r>
      <w:r>
        <w:t>.</w:t>
      </w:r>
      <w:r/>
      <w:r/>
    </w:p>
    <w:p>
      <w:r/>
    </w:p>
    <w:p>
      <w:pPr>
        <w:pStyle w:val="Heading2"/>
      </w:pPr>
      <w:r>
        <w:t>Cova</w:t>
      </w:r>
      <w:r/>
    </w:p>
    <w:p>
      <w:r/>
      <w:r>
        <w:t>Palavra usada frequentemente no AT para denotar a sepultura, a morada dos mortos, ou Sheol — isto é, uma existência sombria que os vivos temiam porque os afastava da luz, alegria e vitalidade. As pessoas piedosas abominavam-na porque lhes parecia que isso negaria sua comunhão com Deus: Ezequias (</w:t>
      </w:r>
      <w:hyperlink r:id="rId6060">
        <w:r>
          <w:rPr>
            <w:color w:val="0000EE"/>
            <w:u w:val="single"/>
          </w:rPr>
          <w:t>Is 38.17–18</w:t>
        </w:r>
      </w:hyperlink>
      <w:r>
        <w:t>), Jó (</w:t>
      </w:r>
      <w:hyperlink r:id="rId6061">
        <w:r>
          <w:rPr>
            <w:color w:val="0000EE"/>
            <w:u w:val="single"/>
          </w:rPr>
          <w:t>Jó 17.13–16</w:t>
        </w:r>
      </w:hyperlink>
      <w:r>
        <w:t xml:space="preserve">; </w:t>
      </w:r>
      <w:hyperlink r:id="rId6062">
        <w:r>
          <w:rPr>
            <w:color w:val="0000EE"/>
            <w:u w:val="single"/>
          </w:rPr>
          <w:t>33.22</w:t>
        </w:r>
      </w:hyperlink>
      <w:r>
        <w:t>), e os salmistas (</w:t>
      </w:r>
      <w:hyperlink r:id="rId6063">
        <w:r>
          <w:rPr>
            <w:color w:val="0000EE"/>
            <w:u w:val="single"/>
          </w:rPr>
          <w:t>Sl 28.1</w:t>
        </w:r>
      </w:hyperlink>
      <w:r>
        <w:t xml:space="preserve">; </w:t>
      </w:r>
      <w:hyperlink r:id="rId6064">
        <w:r>
          <w:rPr>
            <w:color w:val="0000EE"/>
            <w:u w:val="single"/>
          </w:rPr>
          <w:t>30.3</w:t>
        </w:r>
      </w:hyperlink>
      <w:r>
        <w:t xml:space="preserve">; </w:t>
      </w:r>
      <w:hyperlink r:id="rId6065">
        <w:r>
          <w:rPr>
            <w:color w:val="0000EE"/>
            <w:u w:val="single"/>
          </w:rPr>
          <w:t>55.23</w:t>
        </w:r>
      </w:hyperlink>
      <w:r>
        <w:t xml:space="preserve">; </w:t>
      </w:r>
      <w:hyperlink r:id="rId6066">
        <w:r>
          <w:rPr>
            <w:color w:val="0000EE"/>
            <w:u w:val="single"/>
          </w:rPr>
          <w:t>88.4–6</w:t>
        </w:r>
      </w:hyperlink>
      <w:r>
        <w:t>).</w:t>
      </w:r>
    </w:p>
    <w:p>
      <w:r/>
      <w:r>
        <w:rPr>
          <w:i/>
        </w:rPr>
        <w:t>Veja também</w:t>
      </w:r>
      <w:r>
        <w:t xml:space="preserve"> </w:t>
      </w:r>
      <w:r>
        <w:t>Abismo</w:t>
      </w:r>
      <w:r>
        <w:t xml:space="preserve">; </w:t>
      </w:r>
      <w:r>
        <w:t>Lugar dos Mortos</w:t>
      </w:r>
      <w:r>
        <w:t xml:space="preserve">; </w:t>
      </w:r>
      <w:r>
        <w:t>Morte</w:t>
      </w:r>
      <w:r>
        <w:t xml:space="preserve">; </w:t>
      </w:r>
      <w:r>
        <w:t>Sheol</w:t>
      </w:r>
      <w:r>
        <w:t>.</w:t>
      </w:r>
      <w:r/>
      <w:r/>
    </w:p>
    <w:p>
      <w:r/>
    </w:p>
    <w:p>
      <w:pPr>
        <w:pStyle w:val="Heading2"/>
      </w:pPr>
      <w:r>
        <w:t>Crédito, Credor</w:t>
      </w:r>
      <w:r/>
    </w:p>
    <w:p>
      <w:r/>
      <w:r>
        <w:t>Reconhecimento de pagamento de uma dívida contraída por meio de bens ou serviços vendidos a crédito, e aquele que opera o negócio de venda a crédito. A lei mosaica regulava o crédito e os credores (</w:t>
      </w:r>
      <w:hyperlink r:id="rId6067">
        <w:r>
          <w:rPr>
            <w:color w:val="0000EE"/>
            <w:u w:val="single"/>
          </w:rPr>
          <w:t>Dt 23.19–20</w:t>
        </w:r>
      </w:hyperlink>
      <w:r>
        <w:t>).</w:t>
      </w:r>
    </w:p>
    <w:p>
      <w:r/>
      <w:r>
        <w:rPr>
          <w:i/>
        </w:rPr>
        <w:t>Veja também</w:t>
      </w:r>
      <w:r>
        <w:t xml:space="preserve"> </w:t>
      </w:r>
      <w:r>
        <w:t>Banqueiro, Bancário</w:t>
      </w:r>
      <w:r>
        <w:t xml:space="preserve">; </w:t>
      </w:r>
      <w:r>
        <w:t>Dívida</w:t>
      </w:r>
      <w:r>
        <w:t>.</w:t>
      </w:r>
      <w:r/>
      <w:r/>
    </w:p>
    <w:p>
      <w:r/>
    </w:p>
    <w:p>
      <w:pPr>
        <w:pStyle w:val="Heading2"/>
      </w:pPr>
      <w:r>
        <w:t>Crentes</w:t>
      </w:r>
      <w:r/>
    </w:p>
    <w:p>
      <w:r/>
      <w:r>
        <w:t>As pessoas que acreditam. No Novo Testamento, refere-se especificamente às pessoas que acreditam em Jesus como Senhor e o seguem (</w:t>
      </w:r>
      <w:hyperlink r:id="rId6068">
        <w:r>
          <w:rPr>
            <w:color w:val="0000EE"/>
            <w:u w:val="single"/>
          </w:rPr>
          <w:t>At 5.14</w:t>
        </w:r>
      </w:hyperlink>
      <w:r>
        <w:t>).</w:t>
      </w:r>
    </w:p>
    <w:p>
      <w:r/>
      <w:r>
        <w:t>Poderíamos esperar que o termo “crentes” (às vezes traduzido como “fiéis”) fosse um título para os cristãos, já que o Novo Testamento enfatiza a crença em Jesus. Embora os autores do Novo Testamento tenham destacado a crença, raramente usaram o termo “crente” como nome para os cristãos.</w:t>
      </w:r>
    </w:p>
    <w:p>
      <w:r/>
      <w:r>
        <w:t xml:space="preserve">Existem alguns exemplos claros de "crente" sendo usado como um nome para cristãos em </w:t>
      </w:r>
      <w:hyperlink r:id="rId951">
        <w:r>
          <w:rPr>
            <w:color w:val="0000EE"/>
            <w:u w:val="single"/>
          </w:rPr>
          <w:t>Atos 4.32</w:t>
        </w:r>
      </w:hyperlink>
      <w:r>
        <w:t xml:space="preserve">, </w:t>
      </w:r>
      <w:hyperlink r:id="rId4958">
        <w:r>
          <w:rPr>
            <w:color w:val="0000EE"/>
            <w:u w:val="single"/>
          </w:rPr>
          <w:t>10.45</w:t>
        </w:r>
      </w:hyperlink>
      <w:r>
        <w:t xml:space="preserve">, </w:t>
      </w:r>
      <w:hyperlink r:id="rId6069">
        <w:r>
          <w:rPr>
            <w:color w:val="0000EE"/>
            <w:u w:val="single"/>
          </w:rPr>
          <w:t>19.18</w:t>
        </w:r>
      </w:hyperlink>
      <w:r>
        <w:t xml:space="preserve">, e </w:t>
      </w:r>
      <w:hyperlink r:id="rId6070">
        <w:r>
          <w:rPr>
            <w:color w:val="0000EE"/>
            <w:u w:val="single"/>
          </w:rPr>
          <w:t>1 Timóteo 4.12</w:t>
        </w:r>
      </w:hyperlink>
      <w:r>
        <w:t>. Mas em outros lugares, o termo é uma descrição, não um nome (</w:t>
      </w:r>
      <w:hyperlink r:id="rId6071">
        <w:r>
          <w:rPr>
            <w:color w:val="0000EE"/>
            <w:u w:val="single"/>
          </w:rPr>
          <w:t>At 2.44</w:t>
        </w:r>
      </w:hyperlink>
      <w:r>
        <w:t xml:space="preserve">; </w:t>
      </w:r>
      <w:hyperlink r:id="rId6072">
        <w:r>
          <w:rPr>
            <w:color w:val="0000EE"/>
            <w:u w:val="single"/>
          </w:rPr>
          <w:t>15.5</w:t>
        </w:r>
      </w:hyperlink>
      <w:r>
        <w:t xml:space="preserve">; </w:t>
      </w:r>
      <w:hyperlink r:id="rId6073">
        <w:r>
          <w:rPr>
            <w:color w:val="0000EE"/>
            <w:u w:val="single"/>
          </w:rPr>
          <w:t>18.27</w:t>
        </w:r>
      </w:hyperlink>
      <w:r>
        <w:t xml:space="preserve">; </w:t>
      </w:r>
      <w:hyperlink r:id="rId6074">
        <w:r>
          <w:rPr>
            <w:color w:val="0000EE"/>
            <w:u w:val="single"/>
          </w:rPr>
          <w:t>1Tm 4.3</w:t>
        </w:r>
      </w:hyperlink>
      <w:r>
        <w:t>). Como nome, "crente" aponta para o compromisso pessoal dos cristãos com Jesus. Os cristãos foram chamados não apenas para acreditar em algo, mas para se entregar a alguém.</w:t>
      </w:r>
      <w:r/>
      <w:r/>
    </w:p>
    <w:p>
      <w:r/>
    </w:p>
    <w:p>
      <w:pPr>
        <w:pStyle w:val="Heading2"/>
      </w:pPr>
      <w:r>
        <w:t>Creta</w:t>
      </w:r>
      <w:r/>
    </w:p>
    <w:p>
      <w:r/>
      <w:r>
        <w:t>Quarta maior ilha no Mediterrâneo, encontrando-se aproximadamente 97 quilômetros a sudeste da Grécia e 177 quilômetros a sudoeste da Turquia. Tem 257,4 quilômetros de comprimento de leste a oeste, com uma largura de aproximadamente 58 quilômetros e uma área de 5.149 quilômetros quadrados. Através da ilha se estende uma cordilheira, dominada no centro pelo sagrado Monte Ida (altitude 9.000 pés ou 2.742 metros). Essas montanhas descem acentuadamente para a costa sul, com o resultado de que a maioria dos habitantes vive nas encostas mais graduais do norte.</w:t>
      </w:r>
    </w:p>
    <w:p>
      <w:r/>
      <w:r>
        <w:t>Creta é importante na história da igreja cristã. Quando Paulo foi para Roma como prisioneiro, o navio buscou refúgio de uma tempestade em Bons Portos (</w:t>
      </w:r>
      <w:hyperlink r:id="rId3853">
        <w:r>
          <w:rPr>
            <w:color w:val="0000EE"/>
            <w:u w:val="single"/>
          </w:rPr>
          <w:t>Atos 27.8</w:t>
        </w:r>
      </w:hyperlink>
      <w:r>
        <w:t xml:space="preserve">). O navio tentou chegar ao porto maior em Fênix (v </w:t>
      </w:r>
      <w:hyperlink r:id="rId6075">
        <w:r>
          <w:rPr>
            <w:color w:val="0000EE"/>
            <w:u w:val="single"/>
          </w:rPr>
          <w:t>12</w:t>
        </w:r>
      </w:hyperlink>
      <w:r>
        <w:t xml:space="preserve">), mas foi afastado da rota e buscou refúgio em uma ilha na costa sudoeste de Creta, chamada Cauda (v </w:t>
      </w:r>
      <w:hyperlink r:id="rId4632">
        <w:r>
          <w:rPr>
            <w:color w:val="0000EE"/>
            <w:u w:val="single"/>
          </w:rPr>
          <w:t>16</w:t>
        </w:r>
      </w:hyperlink>
      <w:r>
        <w:t>). Paulo pode ter visitado Creta após o aprisionamento em Roma, pois em sua Carta a Tito, ele disse. “Eu o deixei na ilha de Creta” (</w:t>
      </w:r>
      <w:hyperlink r:id="rId1407">
        <w:r>
          <w:rPr>
            <w:color w:val="0000EE"/>
            <w:u w:val="single"/>
          </w:rPr>
          <w:t>Ti 1.5</w:t>
        </w:r>
      </w:hyperlink>
      <w:r>
        <w:t>). Com base nesta e outras evidências, muitos estudiosos concluem que Paulo foi liberto e tinha um ministério prolongado antes de sua segunda prisão e execução. (</w:t>
      </w:r>
      <w:hyperlink r:id="rId6076">
        <w:r>
          <w:rPr>
            <w:color w:val="0000EE"/>
            <w:u w:val="single"/>
          </w:rPr>
          <w:t>2Tm 4.6</w:t>
        </w:r>
      </w:hyperlink>
      <w:r>
        <w:t>). Paulo tinha pouco de bom a dizer sobre o povo de Creta, citando um de seus próprios poetas dizendo que eles eram “mentirosos, animais cruéis e glutões preguiçosos” (</w:t>
      </w:r>
      <w:hyperlink r:id="rId6077">
        <w:r>
          <w:rPr>
            <w:color w:val="0000EE"/>
            <w:u w:val="single"/>
          </w:rPr>
          <w:t>Ti 1.12</w:t>
        </w:r>
      </w:hyperlink>
      <w:r>
        <w:t>). Mas o evangelho deve ter feito uma grande diferença lá, pois hoje o nome de Tito é honrado em muitas aldeias, igrejas e mosteiros.</w:t>
      </w:r>
    </w:p>
    <w:p>
      <w:r/>
      <w:r>
        <w:t>Por causa de sua localização e sua relativa fertilidade, Creta tem sido um prêmio de guerra e de comércio. A ilha foi conquistada por Roma em 67 a.C., e se tornou uma província separada. Os habitantes prosperaram sob os romanos e mais tarde sob os cristãos gregos (bizantinos). Os sarracenos (muçulmanos) habitaram a ilha por mais de cem anos (823–960 d.C.). Após centenas de anos de liderança cristã, foi conquistada pelo sultão turco, e a civilização definhou (1669–1898). No século XX, Creta fazia parte da Grécia, exceto por um período de domínio alemão durante a Segunda Guerra Mundial.</w:t>
      </w:r>
      <w:r/>
      <w:r/>
    </w:p>
    <w:p>
      <w:r/>
    </w:p>
    <w:p>
      <w:pPr>
        <w:pStyle w:val="Heading2"/>
      </w:pPr>
      <w:r>
        <w:t>Criação</w:t>
      </w:r>
      <w:r/>
    </w:p>
    <w:p>
      <w:r/>
      <w:r>
        <w:t xml:space="preserve">O ato divino de fazer algo do nada; o ato divino de trazer o mundo à existência ordenada. Os seres humanos, sem ajuda da revelação divina, não podem chegar à doutrina bíblica da Criação por especulação teológica, filosófica ou científica. De acordo com a Bíblia, o conhecimento da criação deve vir pela revelação de Deus (cf. </w:t>
      </w:r>
      <w:hyperlink r:id="rId6078">
        <w:r>
          <w:rPr>
            <w:color w:val="0000EE"/>
            <w:u w:val="single"/>
          </w:rPr>
          <w:t>Hb 11.3</w:t>
        </w:r>
      </w:hyperlink>
      <w:r>
        <w:t>).</w:t>
      </w:r>
    </w:p>
    <w:p>
      <w:r/>
      <w:r>
        <w:t>Resumo</w:t>
      </w:r>
    </w:p>
    <w:p>
      <w:r/>
      <w:r>
        <w:t>• Entendendo a Criação</w:t>
      </w:r>
    </w:p>
    <w:p>
      <w:r/>
      <w:r>
        <w:t>• Criação e Teologia</w:t>
      </w:r>
    </w:p>
    <w:p>
      <w:r/>
      <w:r>
        <w:t>• Criação e Ciência</w:t>
      </w:r>
    </w:p>
    <w:p>
      <w:r/>
      <w:r>
        <w:t>• As questões que cercam a evolução</w:t>
      </w:r>
    </w:p>
    <w:p>
      <w:r/>
      <w:r>
        <w:t>Criação, Ciência e Moralidade</w:t>
      </w:r>
    </w:p>
    <w:p>
      <w:pPr>
        <w:pStyle w:val="Heading3"/>
      </w:pPr>
      <w:r>
        <w:t>Entendendo a Criação</w:t>
      </w:r>
    </w:p>
    <w:p>
      <w:r/>
      <w:r>
        <w:t>Começar uma discussão sobre a Criação com uma comparação do relato de Gênesis e da ciência moderna é começar no lugar errado. Deve-se primeiramente perguntar o que o relato da Criação teria significado para uma pessoa hebraica nos tempos bíblicos; então deve-se questionar qual foi o uso que os profetas de Israel fizeram da doutrina da Criação. Os seguintes são alguns pontos a serem observados.</w:t>
      </w:r>
    </w:p>
    <w:p>
      <w:r/>
      <w:r>
        <w:t xml:space="preserve">1. A criação foi uma conquista sobre o caos. Na maioria das histórias antigas sobre a criação, o mundo começava com o caos. O deus mais forte vencia ao derrotar o caos, que frequentemente era retratado como outro deus. Esse deus então se tornava o deus mais importante. </w:t>
      </w:r>
      <w:hyperlink r:id="rId1452">
        <w:r>
          <w:rPr>
            <w:color w:val="0000EE"/>
            <w:u w:val="single"/>
          </w:rPr>
          <w:t>Gênesis 1</w:t>
        </w:r>
      </w:hyperlink>
      <w:r>
        <w:t xml:space="preserve"> apresenta uma imagem diferente. Conta como o Deus de Israel transformou o caos em </w:t>
      </w:r>
      <w:hyperlink r:id="rId105">
        <w:r>
          <w:rPr>
            <w:color w:val="0000EE"/>
            <w:u w:val="single"/>
          </w:rPr>
          <w:t>Gênesis 1.2</w:t>
        </w:r>
      </w:hyperlink>
      <w:r>
        <w:t xml:space="preserve"> em um mundo bem-ordenado. Ao contrário das histórias pagãs, a Bíblia ensina que existe apenas um Deus. O caos antes da obra criadora de Deus não é outro deus. É simplesmente o estado do mundo antes de Deus separar os elementos e preencher a criação.</w:t>
      </w:r>
    </w:p>
    <w:p>
      <w:r/>
      <w:r>
        <w:t>2. A criação foi motivada pela boa vontade de Deus. Ela foi um ato livre de Deus. Ela é boa (</w:t>
      </w:r>
      <w:hyperlink r:id="rId6079">
        <w:r>
          <w:rPr>
            <w:color w:val="0000EE"/>
            <w:u w:val="single"/>
          </w:rPr>
          <w:t>Gn 1.4,10,12,18,21,25,31</w:t>
        </w:r>
      </w:hyperlink>
      <w:r>
        <w:t>). Com base nesse fato, os cristãos afirmam que a vida é um presente de Deus. A afirmação cristã se posiciona contra todos os niilismos e pessimismos encontrados na história religiosa e filosófica.</w:t>
      </w:r>
    </w:p>
    <w:p>
      <w:r/>
      <w:r>
        <w:t>3. A criação está sob a sombra do pecado (</w:t>
      </w:r>
      <w:hyperlink r:id="rId6080">
        <w:r>
          <w:rPr>
            <w:color w:val="0000EE"/>
            <w:u w:val="single"/>
          </w:rPr>
          <w:t>Rm 8.18–25</w:t>
        </w:r>
      </w:hyperlink>
      <w:r>
        <w:t>). As Escrituras ensinam que a criação de hoje não pode ser vista em sua intocada pureza original, em vez disso, ela é vista como um mundo com uma grande medida de ambiguidade.</w:t>
      </w:r>
    </w:p>
    <w:p>
      <w:r/>
      <w:r>
        <w:t xml:space="preserve">4. A criação é dependente de Deus. O relacionamento de Deus com sua criação é definido em </w:t>
      </w:r>
      <w:hyperlink r:id="rId6081">
        <w:r>
          <w:rPr>
            <w:color w:val="0000EE"/>
            <w:u w:val="single"/>
          </w:rPr>
          <w:t>Efésios 4.6</w:t>
        </w:r>
      </w:hyperlink>
      <w:r>
        <w:t>. Deus está acima de tudo; isto é, ele é transcendente. Deus está em meio a tudo; isto é, ele trabalha em todas as coisas. Deus está em todos; isto é, ele está divinamente presente ou imanente em toda a criação (</w:t>
      </w:r>
      <w:hyperlink r:id="rId6082">
        <w:r>
          <w:rPr>
            <w:color w:val="0000EE"/>
            <w:u w:val="single"/>
          </w:rPr>
          <w:t>Sl 90.1–4</w:t>
        </w:r>
      </w:hyperlink>
      <w:r>
        <w:t xml:space="preserve">; cf. </w:t>
      </w:r>
      <w:hyperlink r:id="rId6083">
        <w:r>
          <w:rPr>
            <w:color w:val="0000EE"/>
            <w:u w:val="single"/>
          </w:rPr>
          <w:t>Jo 1.3</w:t>
        </w:r>
      </w:hyperlink>
      <w:r>
        <w:t xml:space="preserve">; </w:t>
      </w:r>
      <w:hyperlink r:id="rId5123">
        <w:r>
          <w:rPr>
            <w:color w:val="0000EE"/>
            <w:u w:val="single"/>
          </w:rPr>
          <w:t>1Co 8.6</w:t>
        </w:r>
      </w:hyperlink>
      <w:r>
        <w:t xml:space="preserve">; </w:t>
      </w:r>
      <w:hyperlink r:id="rId6084">
        <w:r>
          <w:rPr>
            <w:color w:val="0000EE"/>
            <w:u w:val="single"/>
          </w:rPr>
          <w:t>Cl 1.16–17</w:t>
        </w:r>
      </w:hyperlink>
      <w:r>
        <w:t>).</w:t>
      </w:r>
    </w:p>
    <w:p>
      <w:r/>
      <w:r>
        <w:t>5. A criação é pela palavra de Deus (</w:t>
      </w:r>
      <w:hyperlink r:id="rId1452">
        <w:r>
          <w:rPr>
            <w:color w:val="0000EE"/>
            <w:u w:val="single"/>
          </w:rPr>
          <w:t>Gn 1</w:t>
        </w:r>
      </w:hyperlink>
      <w:r>
        <w:t xml:space="preserve">; </w:t>
      </w:r>
      <w:hyperlink r:id="rId6078">
        <w:r>
          <w:rPr>
            <w:color w:val="0000EE"/>
            <w:u w:val="single"/>
          </w:rPr>
          <w:t>Hb 11.3</w:t>
        </w:r>
      </w:hyperlink>
      <w:r>
        <w:t>). Estudantes de literatura já disseram que a criação do mundo pela “palavra de Deus” é um dos mais sublimes de todos os pensamentos humanos. Entre outras coisas, significa criação por meio de uma Pessoa. A vasta extensão do universo e o enorme número de estrelas e galáxias podem anestesiar uma pessoa esclarecida em um senso de falta de sentido. Mas quando se sabe que tudo foi criado pela palavra de Deus, sabe-se que uma Pessoa está por trás da máscara frígida dos espaços estelares (</w:t>
      </w:r>
      <w:hyperlink r:id="rId4745">
        <w:r>
          <w:rPr>
            <w:color w:val="0000EE"/>
            <w:u w:val="single"/>
          </w:rPr>
          <w:t>Sl 8</w:t>
        </w:r>
      </w:hyperlink>
      <w:r>
        <w:t xml:space="preserve">; </w:t>
      </w:r>
      <w:hyperlink r:id="rId6085">
        <w:r>
          <w:rPr>
            <w:color w:val="0000EE"/>
            <w:u w:val="single"/>
          </w:rPr>
          <w:t>19</w:t>
        </w:r>
      </w:hyperlink>
      <w:r>
        <w:t xml:space="preserve">; </w:t>
      </w:r>
      <w:hyperlink r:id="rId6086">
        <w:r>
          <w:rPr>
            <w:color w:val="0000EE"/>
            <w:u w:val="single"/>
          </w:rPr>
          <w:t>Rm 1.20</w:t>
        </w:r>
      </w:hyperlink>
      <w:r>
        <w:t>).</w:t>
      </w:r>
    </w:p>
    <w:p>
      <w:r/>
      <w:r>
        <w:t>6. A criação conforme descrita na Bíblia resiste a um exame crítico. Estudiosos estudaram relatos paralelos de outros povos dos tempos bíblicos, e nenhum deles tem a majestade e pureza teológica do relato de Gênesis.</w:t>
      </w:r>
    </w:p>
    <w:p>
      <w:pPr>
        <w:pStyle w:val="Heading3"/>
      </w:pPr>
      <w:r>
        <w:t>Criação e Teologia</w:t>
      </w:r>
    </w:p>
    <w:p>
      <w:r/>
      <w:r>
        <w:t>A doutrina da Criação é construída na soma de todos os ensinamentos bíblicos sobre a Criação. O exame desse material leva a uma série de conclusões.</w:t>
      </w:r>
    </w:p>
    <w:p>
      <w:r/>
      <w:r>
        <w:t>1. A doutrina da Criação nos proporciona nossa compreensão fundamental da humanidade. Homens e mulheres são feitos à imagem de Deus (</w:t>
      </w:r>
      <w:hyperlink r:id="rId6087">
        <w:r>
          <w:rPr>
            <w:color w:val="0000EE"/>
            <w:u w:val="single"/>
          </w:rPr>
          <w:t>Gn 1.26–27</w:t>
        </w:r>
      </w:hyperlink>
      <w:r>
        <w:t>). Isso significa, pelo menos, que um ser humano é mais do que um animal, mesmo que ambos tenham sido criados da poeira da terra e tenham muito em comum. Muitas conjecturas foram feitas sobre o significado positivo da expressão “imagem de Deus”. Se há um denominador comum, é que os seres humanos encontram seu significado, seu destino e seu valor em seu relacionamento especial com Deus.</w:t>
      </w:r>
    </w:p>
    <w:p>
      <w:r/>
      <w:r>
        <w:t>2. Paralela à declaração do relacionamento da humanidade com Deus está a afirmação de que o ser humano deve ser o senhor da criação de Deus. Novamente, os seres humanos estão separados do mundo animal, e sua responsabilidade diante de Deus é especificada (</w:t>
      </w:r>
      <w:hyperlink r:id="rId6088">
        <w:r>
          <w:rPr>
            <w:color w:val="0000EE"/>
            <w:u w:val="single"/>
          </w:rPr>
          <w:t>Gn 1.28</w:t>
        </w:r>
      </w:hyperlink>
      <w:r>
        <w:t xml:space="preserve">; </w:t>
      </w:r>
      <w:hyperlink r:id="rId6089">
        <w:r>
          <w:rPr>
            <w:color w:val="0000EE"/>
            <w:u w:val="single"/>
          </w:rPr>
          <w:t>2.15</w:t>
        </w:r>
      </w:hyperlink>
      <w:r>
        <w:t xml:space="preserve">; </w:t>
      </w:r>
      <w:hyperlink r:id="rId4745">
        <w:r>
          <w:rPr>
            <w:color w:val="0000EE"/>
            <w:u w:val="single"/>
          </w:rPr>
          <w:t>Sl 8</w:t>
        </w:r>
      </w:hyperlink>
      <w:r>
        <w:t>).</w:t>
      </w:r>
    </w:p>
    <w:p>
      <w:r/>
      <w:r>
        <w:t>3. Tanto homens quanto mulheres são feitos à imagem de Deus. Isso significa que a imagem divina é carregada igualmente por ambos os sexos. Também significa que a sexualidade nos seres humanos tem muito mais dimensões do que a sexualidade entre os animais. A vida sexual dos seres humanos é, portanto, muito mais rica do que a dos animais, e, por isso, sujeita a uma corrupção mais profunda (</w:t>
      </w:r>
      <w:hyperlink r:id="rId4602">
        <w:r>
          <w:rPr>
            <w:color w:val="0000EE"/>
            <w:u w:val="single"/>
          </w:rPr>
          <w:t>Mc 10.2–9</w:t>
        </w:r>
      </w:hyperlink>
      <w:r>
        <w:t xml:space="preserve">; </w:t>
      </w:r>
      <w:hyperlink r:id="rId6090">
        <w:r>
          <w:rPr>
            <w:color w:val="0000EE"/>
            <w:u w:val="single"/>
          </w:rPr>
          <w:t>1Co 7.1–5</w:t>
        </w:r>
      </w:hyperlink>
      <w:r>
        <w:t xml:space="preserve">; </w:t>
      </w:r>
      <w:hyperlink r:id="rId6091">
        <w:r>
          <w:rPr>
            <w:color w:val="0000EE"/>
            <w:u w:val="single"/>
          </w:rPr>
          <w:t>Ef 5.25–31</w:t>
        </w:r>
      </w:hyperlink>
      <w:r>
        <w:t xml:space="preserve">; cf. </w:t>
      </w:r>
      <w:hyperlink r:id="rId455">
        <w:r>
          <w:rPr>
            <w:color w:val="0000EE"/>
            <w:u w:val="single"/>
          </w:rPr>
          <w:t>Hb 13.4</w:t>
        </w:r>
      </w:hyperlink>
      <w:r>
        <w:t>).</w:t>
      </w:r>
    </w:p>
    <w:p>
      <w:r/>
      <w:r>
        <w:t>4. A doutrina da oração como “pedir e receber” está fundamentada na providência de Deus, que por sua vez é fundamentada na Criação. Há significado na oração de petição apenas se houver um criador soberano que possa responder às petições de suas próprias criaturas (</w:t>
      </w:r>
      <w:hyperlink r:id="rId6092">
        <w:r>
          <w:rPr>
            <w:color w:val="0000EE"/>
            <w:u w:val="single"/>
          </w:rPr>
          <w:t>Mt 6.5–13</w:t>
        </w:r>
      </w:hyperlink>
      <w:r>
        <w:t xml:space="preserve">; </w:t>
      </w:r>
      <w:hyperlink r:id="rId6093">
        <w:r>
          <w:rPr>
            <w:color w:val="0000EE"/>
            <w:u w:val="single"/>
          </w:rPr>
          <w:t>Cl 4.2</w:t>
        </w:r>
      </w:hyperlink>
      <w:r>
        <w:t xml:space="preserve">; </w:t>
      </w:r>
      <w:hyperlink r:id="rId6094">
        <w:r>
          <w:rPr>
            <w:color w:val="0000EE"/>
            <w:u w:val="single"/>
          </w:rPr>
          <w:t>1Pe 5.6–7</w:t>
        </w:r>
      </w:hyperlink>
      <w:r>
        <w:t xml:space="preserve">; </w:t>
      </w:r>
      <w:hyperlink r:id="rId6095">
        <w:r>
          <w:rPr>
            <w:color w:val="0000EE"/>
            <w:u w:val="single"/>
          </w:rPr>
          <w:t>Ap 8.3</w:t>
        </w:r>
      </w:hyperlink>
      <w:r>
        <w:t>).</w:t>
      </w:r>
    </w:p>
    <w:p>
      <w:r/>
      <w:r>
        <w:t xml:space="preserve">5. A história da humanidade e de Israel começa com </w:t>
      </w:r>
      <w:hyperlink r:id="rId1452">
        <w:r>
          <w:rPr>
            <w:color w:val="0000EE"/>
            <w:u w:val="single"/>
          </w:rPr>
          <w:t>Gênesis 1</w:t>
        </w:r>
      </w:hyperlink>
      <w:r>
        <w:t>. A criação começa a história; ela não é meramente a premissa da história. O Deus da Criação é o Deus de Abraão, de Moisés, dos profetas e de Jesus Cristo.</w:t>
      </w:r>
    </w:p>
    <w:p>
      <w:r/>
      <w:r>
        <w:t>6. A criação é uma testemunha da existência e da natureza de Deus (</w:t>
      </w:r>
      <w:hyperlink r:id="rId6085">
        <w:r>
          <w:rPr>
            <w:color w:val="0000EE"/>
            <w:u w:val="single"/>
          </w:rPr>
          <w:t>Sl 19</w:t>
        </w:r>
      </w:hyperlink>
      <w:r>
        <w:t xml:space="preserve">; </w:t>
      </w:r>
      <w:hyperlink r:id="rId6096">
        <w:r>
          <w:rPr>
            <w:color w:val="0000EE"/>
            <w:u w:val="single"/>
          </w:rPr>
          <w:t>Rm 1.18–19</w:t>
        </w:r>
      </w:hyperlink>
      <w:r>
        <w:t>). Na teologia, a expressão usada é “revelação geral”. “Geral” significa que é uma revelação testemunhada por todas as pessoas.</w:t>
      </w:r>
    </w:p>
    <w:p>
      <w:r/>
      <w:r>
        <w:t xml:space="preserve">7. A Criação é uma criação total. O relato de Gênesis menciona certos corpos nos céus, certas criaturas nos mares, certa vida vegetal e animal na terra. O número de espécies chega aos milhões. Gênesis não tenta listá-los, mas meramente sugere tal lista. Deus fez tudo o que existe (cf. </w:t>
      </w:r>
      <w:hyperlink r:id="rId6097">
        <w:r>
          <w:rPr>
            <w:color w:val="0000EE"/>
            <w:u w:val="single"/>
          </w:rPr>
          <w:t>Jo 1.1–2</w:t>
        </w:r>
      </w:hyperlink>
      <w:r>
        <w:t xml:space="preserve">). Portanto, nunca há uma ameaça ao crente no Senhor de qualquer parte do universo. Há apenas um Senhor, não muitos deuses e senhores, a quem todos são chamados em obediência. O significado pessoal é encontrado em </w:t>
      </w:r>
      <w:hyperlink r:id="rId4456">
        <w:r>
          <w:rPr>
            <w:color w:val="0000EE"/>
            <w:u w:val="single"/>
          </w:rPr>
          <w:t>Romanos 8.38–39</w:t>
        </w:r>
      </w:hyperlink>
      <w:r>
        <w:t>, onde o apóstolo Paulo olha para todo o universo e não pode encontrar nada nele, em qualquer outro lugar ou em qualquer outro momento, que possa separar um crente do amor de Deus em Cristo.</w:t>
      </w:r>
    </w:p>
    <w:p>
      <w:r/>
      <w:r>
        <w:t>8. No AT, o principal uso teológico da doutrina da Criação é o de rotular a idolatria como o pecado que esta verdadeiramente é. A idolatria é a mentira primitiva, além de levar à imoralidade, fazendo da vida de alguém uma mentira.</w:t>
      </w:r>
    </w:p>
    <w:p>
      <w:r/>
      <w:r>
        <w:t>9. Uma das doutrinas mais notáveis do NT é o “Cristo cósmico” — o que significa que ele é o Criador e Sustentador do universo (</w:t>
      </w:r>
      <w:hyperlink r:id="rId6097">
        <w:r>
          <w:rPr>
            <w:color w:val="0000EE"/>
            <w:u w:val="single"/>
          </w:rPr>
          <w:t>Jo 1.1–2</w:t>
        </w:r>
      </w:hyperlink>
      <w:r>
        <w:t xml:space="preserve">; </w:t>
      </w:r>
      <w:hyperlink r:id="rId6084">
        <w:r>
          <w:rPr>
            <w:color w:val="0000EE"/>
            <w:u w:val="single"/>
          </w:rPr>
          <w:t>Cl 1.16–17</w:t>
        </w:r>
      </w:hyperlink>
      <w:r>
        <w:t xml:space="preserve">; </w:t>
      </w:r>
      <w:hyperlink r:id="rId2666">
        <w:r>
          <w:rPr>
            <w:color w:val="0000EE"/>
            <w:u w:val="single"/>
          </w:rPr>
          <w:t>Hb 1.3</w:t>
        </w:r>
      </w:hyperlink>
      <w:r>
        <w:t>). O propósito de relacionar Cristo com a Criação é mostrar que ele é mais do que um judeu do primeiro século da Palestina.</w:t>
      </w:r>
    </w:p>
    <w:p>
      <w:pPr>
        <w:pStyle w:val="Heading3"/>
      </w:pPr>
      <w:r>
        <w:t>Criação e Ciência</w:t>
      </w:r>
    </w:p>
    <w:p>
      <w:r/>
      <w:r>
        <w:t>A ciência prova a Criação? Alguns cientistas pensaram que as inumeráveis condições necessárias para a vida, as quais de fato existem na terra, constituem tal prova. Esse argumento foi chamado de “teologia cósmica”.</w:t>
      </w:r>
    </w:p>
    <w:p>
      <w:r/>
      <w:r>
        <w:t xml:space="preserve">Outra denominada "prova da Criação", da parte da ciência, é a teoria do “big bang” como a origem do universo. Embora essa visão tenha saído à frente de seus competidores, ela é uma teoria dos “primeiros estados”, e não da origem absoluta de todas as coisas. A doutrina cristã da criação a partir do nada (latim, </w:t>
      </w:r>
      <w:r>
        <w:rPr>
          <w:i/>
        </w:rPr>
        <w:t>ex nihilo</w:t>
      </w:r>
      <w:r>
        <w:t>) significa mais do que isso: significa que a origem absoluta, a sustentação e o significado de todas as coisas está no Senhor vivo de Israel e da igreja.</w:t>
      </w:r>
    </w:p>
    <w:p>
      <w:r/>
      <w:r>
        <w:t>Outro argumento vem da segunda lei da termodinâmica e o conceito de entropia. (A entropia se refere ao nivelamento de energia ou temperatura para um estado em que nenhuma energia está disponível). Os sistemas de calor esfriam. O universo não é infinitamente antigo, senão estaria congelado. Uma vez que ainda há estrelas e sóis, o universo deve ter sido criado há um tempo finito. Um argumento semelhante é que era necessário criar um universo que iria se esgotar. Tendo se esgotado, fornece calor à terra para que o drama de Deus e do homem possa se desenrolar.</w:t>
      </w:r>
    </w:p>
    <w:p>
      <w:pPr>
        <w:pStyle w:val="Heading3"/>
      </w:pPr>
      <w:r>
        <w:t>As questões que cercam a evolução</w:t>
      </w:r>
    </w:p>
    <w:p>
      <w:r/>
      <w:r>
        <w:t>Quando Charles Darwin propôs a evolução biológica em meados do século 19, muitos cristãos evangélicos a rejeitaram completamente. Eles se opuseram ainda mais vigorosamente quando os livros foram escritos sobre a evolução humana. Dois debates famosos resultaram dessa controvérsia. Na Inglaterra, a questão foi debatida em 1860 diante da Associação Britânica para Avanço da Ciência em Oxford. Esse debate foi travado pelo bispo Samuel Wilberforce (contra a teoria) e T. H. Huxley (a favor da teoria). Embora não tenha havido uma decisão formal, o sentimento estava a favor de Huxley. O segundo debate foi o famoso julgamento de Scopes em Dayton, Tennessee, em 1925. William Jennings Bryan defendeu a lei que dizia que John T. Scopes deveria ser considerado culpado por ensinar a evolução em sala de aula. Clarence Darrow defendeu Scopes. Novamente, o sentimento estava com o proponente da evolução, Darrow (embora Bryan tenha dado uma defesa mais robusta de suas crenças do que é geralmente reconhecido).</w:t>
      </w:r>
    </w:p>
    <w:p>
      <w:r/>
      <w:r>
        <w:t>Tanto os católicos romanos ortodoxos quanto os protestantes evangélicos adotaram várias visões da controvérsia, das quais apenas algumas podem ser mencionadas.</w:t>
      </w:r>
    </w:p>
    <w:p>
      <w:r/>
      <w:r>
        <w:t>1. Alguns argumentam que a evolução é contrária aos ensinamentos das Escrituras e é — em nome da ciência — na verdade, o desafio supremo da autoridade das Escrituras. Assim, nenhuma clemência deve ser dada na batalha contra a evolução.</w:t>
      </w:r>
    </w:p>
    <w:p>
      <w:r/>
      <w:r>
        <w:t>2. Outros encontram uma resolução satisfatória na “evolução teísta” — isto é, Deus começou o processo evolutivo.</w:t>
      </w:r>
    </w:p>
    <w:p>
      <w:r/>
      <w:r>
        <w:t>3. Muitos veem os paralelos entre a ordem dos estratos que contêm fósseis na chamada “coluna geológica” e os seis dias da Criação, considerando que são muito próximos para serem acidentais. Para eles, há uma harmonia essencial entre “Gênesis e geologia”.</w:t>
      </w:r>
    </w:p>
    <w:p>
      <w:r/>
      <w:r>
        <w:t>4. Muitos consideram a evolução como uma teoria assim como todas as outras teorias, as quais serão criadas ou desconsideradas no laboratório, ou no trabalho de campo. Eles veem a doutrina da Criação como nem a favor, nem contra a evolução. Está em um nível diferente de explicação: “A ciência diz como; as Escrituras dizem por que”.</w:t>
      </w:r>
    </w:p>
    <w:p>
      <w:r/>
      <w:r>
        <w:t>5. O paleontólogo jesuíta Teilhard de Chardin tentou salvar o cristianismo da evolução “cristificando” todo o processo evolutivo.</w:t>
      </w:r>
    </w:p>
    <w:p>
      <w:r/>
      <w:r>
        <w:t>6. O autor britânico C. S. Lewis, entre outros, distinguiu a evolução do que poderia ser chamado de “evolucionismo”. Lewis disse que a validade da evolução como uma tese científica verificada é algo para os cientistas decidirem. Mas a noção de um mito evolutivo total e envolvente, como uma pseudodoutrina humana da Criação, claramente não é científica.</w:t>
      </w:r>
    </w:p>
    <w:p>
      <w:pPr>
        <w:pStyle w:val="Heading3"/>
      </w:pPr>
      <w:r>
        <w:t>Criação, Ciência e Moralidade</w:t>
      </w:r>
    </w:p>
    <w:p>
      <w:r/>
      <w:r>
        <w:t xml:space="preserve">O crescimento da população mundial e a propagação da industrialização produziram o problema da poluição tanto local quanto mundial. Alguns estudiosos argumentaram que a culpa pela crise ecológica é da fé cristã, que inspirou o homem — como o “senhor da criação” — a explorar a criação. Mas isso dificilmente é o significado de </w:t>
      </w:r>
      <w:hyperlink r:id="rId6088">
        <w:r>
          <w:rPr>
            <w:color w:val="0000EE"/>
            <w:u w:val="single"/>
          </w:rPr>
          <w:t>Gênesis 1.28</w:t>
        </w:r>
      </w:hyperlink>
      <w:r>
        <w:t>, que é uma injunção à responsabilidade. Uma série de textos do AT mostra claramente que o interesse das Escrituras é pela responsabilidade humana no mundo de Deus; portanto, as Escrituras são paralelas aos interesses ecológicos modernos.</w:t>
      </w:r>
    </w:p>
    <w:p>
      <w:r/>
      <w:r>
        <w:t>A ciência amplia a compreensão teológica ao continuamente revisar nosso conhecimento do universo, mas a doutrina bíblica da Criação não se retira à medida que a ciência avança. Para o cristão, o mundo estudado por cientistas e ponderado pelos filósofos permanece o mundo criado de Deus.</w:t>
      </w:r>
    </w:p>
    <w:p>
      <w:r/>
      <w:r>
        <w:rPr>
          <w:i/>
        </w:rPr>
        <w:t>Veja também</w:t>
      </w:r>
      <w:r>
        <w:t xml:space="preserve"> </w:t>
      </w:r>
      <w:r>
        <w:t>Mitos de Criação</w:t>
      </w:r>
      <w:r>
        <w:t xml:space="preserve">; </w:t>
      </w:r>
      <w:r>
        <w:t>Deus, Ser e Atributos de</w:t>
      </w:r>
      <w:r>
        <w:t>.</w:t>
      </w:r>
      <w:r/>
      <w:r/>
    </w:p>
    <w:p>
      <w:r/>
    </w:p>
    <w:p>
      <w:pPr>
        <w:pStyle w:val="Heading2"/>
      </w:pPr>
      <w:r>
        <w:t>Crispo</w:t>
      </w:r>
      <w:r/>
    </w:p>
    <w:p>
      <w:r/>
      <w:r>
        <w:t>Um líder da sinagoga judaica em Corinto. Crispo e todos em sua casa se tornaram seguidores de Jesus durante a visita missionária de 18 meses do apóstolo Paulo à cidade (</w:t>
      </w:r>
      <w:hyperlink r:id="rId6098">
        <w:r>
          <w:rPr>
            <w:color w:val="0000EE"/>
            <w:u w:val="single"/>
          </w:rPr>
          <w:t>At 18.8,11</w:t>
        </w:r>
      </w:hyperlink>
      <w:r>
        <w:t>). Paulo mencionou Crispo como uma das poucas pessoas que ele pessoalmente batizou em Corinto (</w:t>
      </w:r>
      <w:hyperlink r:id="rId4382">
        <w:r>
          <w:rPr>
            <w:color w:val="0000EE"/>
            <w:u w:val="single"/>
          </w:rPr>
          <w:t>1Co 1.14</w:t>
        </w:r>
      </w:hyperlink>
      <w:r>
        <w:t>).</w:t>
      </w:r>
      <w:r/>
      <w:r/>
    </w:p>
    <w:p>
      <w:r/>
    </w:p>
    <w:p>
      <w:pPr>
        <w:pStyle w:val="Heading2"/>
      </w:pPr>
      <w:r>
        <w:t>Cristão</w:t>
      </w:r>
      <w:r/>
    </w:p>
    <w:p>
      <w:r/>
      <w:r>
        <w:t>Nome inicialmente dado aos seguidores de Jesus Cristo (</w:t>
      </w:r>
      <w:hyperlink r:id="rId1995">
        <w:r>
          <w:rPr>
            <w:color w:val="0000EE"/>
            <w:u w:val="single"/>
          </w:rPr>
          <w:t>At 11.26</w:t>
        </w:r>
      </w:hyperlink>
      <w:r>
        <w:t>). Quando o movimento cristão chegou a Antioquia na Síria, o evangelho foi pregado tanto para gentios quanto para judeus. Tal evangelização marcou o movimento cristão, tido como seita judaica, como mais do que um novo tipo de judaísmo; era uma nova religião. Os gentios em Antioquia criaram um nome para o novo grupo. Como os membros do grupo falavam constantemente sobre Cristo, eles foram chamados de cristãos, significando a “casa” ou “partidários” de Cristo. Alguma sátira pode ter sido intencionada no nome. Por exemplo, assim como os “agostinianos” eram um grupo organizado que liderava o louvor público ao Imperador Nero Augusto, os cidadãos de Antioquia podem ter criado um nome latinizado semelhante a partir de Cristo, em tom de zombaria. Grupos semelhantes incluíam os partidários de Herodes, os herodianos. “Cristo” era um nome incomum e sem significado para os gentios, mas Chrestos (significando “bom” ou “gentil”) era um nome comum; alguns pagãos chamavam a nova seita de “chrestianos”. Assim, Suetônio escreveu sobre os judeus sendo expulsos de Roma em 49 d.C. por causa de “Chrestus”.</w:t>
      </w:r>
    </w:p>
    <w:p>
      <w:r/>
      <w:r>
        <w:t xml:space="preserve">Os próprios cristãos aparentemente não apreciaram o nome, mas, como muitos outros apelidos, "cristão" pegou. Aparece apenas três vezes no NT grego: </w:t>
      </w:r>
      <w:hyperlink r:id="rId1995">
        <w:r>
          <w:rPr>
            <w:color w:val="0000EE"/>
            <w:u w:val="single"/>
          </w:rPr>
          <w:t>Atos 11.26</w:t>
        </w:r>
      </w:hyperlink>
      <w:r>
        <w:t xml:space="preserve"> descreve sua origem; </w:t>
      </w:r>
      <w:hyperlink r:id="rId6099">
        <w:r>
          <w:rPr>
            <w:color w:val="0000EE"/>
            <w:u w:val="single"/>
          </w:rPr>
          <w:t>Atos 26.28</w:t>
        </w:r>
      </w:hyperlink>
      <w:r>
        <w:t xml:space="preserve"> registra Herodes Agripa II dizendo de forma irônica a Paulo: “Em pouco tempo você pensa em me fazer um cristão!”; </w:t>
      </w:r>
      <w:hyperlink r:id="rId6100">
        <w:r>
          <w:rPr>
            <w:color w:val="0000EE"/>
            <w:u w:val="single"/>
          </w:rPr>
          <w:t>1 Pedro 4.16</w:t>
        </w:r>
      </w:hyperlink>
      <w:r>
        <w:t xml:space="preserve"> instrui os crentes a não se envergonharem se sofrerem porque o nome foi aplicado a eles. Nenhum outro registro do nome aparece até o segundo século, quando Inácio de Antioquia se tornou o primeiro cristão a chamar os crentes de cristãos. O governador romano Plínio (da área para a qual 1 Pedro foi dirigido) escreveu ao Imperador Trajano sobre pessoas acusadas em seu tribunal de serem cristãs. A partir de então, o apelido se tornou popular entre os cristãos. Que nome melhor poderia haver do que um que declarasse que eles pertenciam a Cristo?</w:t>
      </w:r>
      <w:r/>
      <w:r/>
    </w:p>
    <w:p>
      <w:r/>
    </w:p>
    <w:p>
      <w:pPr>
        <w:pStyle w:val="Heading2"/>
      </w:pPr>
      <w:r>
        <w:t>Cristo</w:t>
      </w:r>
      <w:r/>
    </w:p>
    <w:p>
      <w:r/>
      <w:r>
        <w:t xml:space="preserve">Título oficial dado a Jesus no NT. Significa seu ofício de Salvador ungido e alude às suas qualificações espirituais para a tarefa de salvar seu povo. A palavra deriva da palavra grega </w:t>
      </w:r>
      <w:r>
        <w:rPr>
          <w:i/>
        </w:rPr>
        <w:t>Christos,</w:t>
      </w:r>
      <w:r>
        <w:t xml:space="preserve"> a tradução da palavra hebraica Messias (</w:t>
      </w:r>
      <w:hyperlink r:id="rId6101">
        <w:r>
          <w:rPr>
            <w:color w:val="0000EE"/>
            <w:u w:val="single"/>
          </w:rPr>
          <w:t>Jo 1.41</w:t>
        </w:r>
      </w:hyperlink>
      <w:r>
        <w:t>). Ambos os termos vêm de verbos que significam “ungir com óleo sagrado” e como títulos, eles significam “o Ungido”. Aplicados a Jesus, eles expressam a convicção de que ele tinha uma nomeação divina para seu ofício e função.</w:t>
      </w:r>
    </w:p>
    <w:p>
      <w:r/>
      <w:r>
        <w:t>No NT, o título é usado em combinação com o nome dado, como “Jesus Cristo” (</w:t>
      </w:r>
      <w:hyperlink r:id="rId817">
        <w:r>
          <w:rPr>
            <w:color w:val="0000EE"/>
            <w:u w:val="single"/>
          </w:rPr>
          <w:t>Mt 1.1</w:t>
        </w:r>
      </w:hyperlink>
      <w:r>
        <w:t xml:space="preserve">; </w:t>
      </w:r>
      <w:hyperlink r:id="rId6102">
        <w:r>
          <w:rPr>
            <w:color w:val="0000EE"/>
            <w:u w:val="single"/>
          </w:rPr>
          <w:t>Mc 1.1</w:t>
        </w:r>
      </w:hyperlink>
      <w:r>
        <w:t xml:space="preserve">; </w:t>
      </w:r>
      <w:hyperlink r:id="rId6103">
        <w:r>
          <w:rPr>
            <w:color w:val="0000EE"/>
            <w:u w:val="single"/>
          </w:rPr>
          <w:t>Rm 1.4</w:t>
        </w:r>
      </w:hyperlink>
      <w:r>
        <w:t xml:space="preserve">), “Cristo Jesus” (NVI </w:t>
      </w:r>
      <w:hyperlink r:id="rId6104">
        <w:r>
          <w:rPr>
            <w:color w:val="0000EE"/>
            <w:u w:val="single"/>
          </w:rPr>
          <w:t>Rm 1.1</w:t>
        </w:r>
      </w:hyperlink>
      <w:r>
        <w:t xml:space="preserve">; </w:t>
      </w:r>
      <w:hyperlink r:id="rId2270">
        <w:r>
          <w:rPr>
            <w:color w:val="0000EE"/>
            <w:u w:val="single"/>
          </w:rPr>
          <w:t>1Co 1.1</w:t>
        </w:r>
      </w:hyperlink>
      <w:r>
        <w:t>), com o artigo “o” (</w:t>
      </w:r>
      <w:hyperlink r:id="rId6105">
        <w:r>
          <w:rPr>
            <w:color w:val="0000EE"/>
            <w:u w:val="single"/>
          </w:rPr>
          <w:t>Rm 7.4</w:t>
        </w:r>
      </w:hyperlink>
      <w:r>
        <w:t>), ou com outro título “Senhor” (</w:t>
      </w:r>
      <w:hyperlink r:id="rId6106">
        <w:r>
          <w:rPr>
            <w:color w:val="0000EE"/>
            <w:u w:val="single"/>
          </w:rPr>
          <w:t>Rm 16.18</w:t>
        </w:r>
      </w:hyperlink>
      <w:r>
        <w:t>). Também é usado sozinho como o nome ou título substitutivo para Jesus (</w:t>
      </w:r>
      <w:hyperlink r:id="rId6107">
        <w:r>
          <w:rPr>
            <w:color w:val="0000EE"/>
            <w:u w:val="single"/>
          </w:rPr>
          <w:t>Jo 20.31</w:t>
        </w:r>
      </w:hyperlink>
      <w:r>
        <w:t xml:space="preserve">; </w:t>
      </w:r>
      <w:hyperlink r:id="rId6108">
        <w:r>
          <w:rPr>
            <w:color w:val="0000EE"/>
            <w:u w:val="single"/>
          </w:rPr>
          <w:t>Rm 15.3</w:t>
        </w:r>
      </w:hyperlink>
      <w:r>
        <w:t xml:space="preserve">; </w:t>
      </w:r>
      <w:hyperlink r:id="rId4508">
        <w:r>
          <w:rPr>
            <w:color w:val="0000EE"/>
            <w:u w:val="single"/>
          </w:rPr>
          <w:t>Hb 3.6</w:t>
        </w:r>
      </w:hyperlink>
      <w:r>
        <w:t xml:space="preserve">; </w:t>
      </w:r>
      <w:hyperlink r:id="rId6109">
        <w:r>
          <w:rPr>
            <w:color w:val="0000EE"/>
            <w:u w:val="single"/>
          </w:rPr>
          <w:t>5.5</w:t>
        </w:r>
      </w:hyperlink>
      <w:r>
        <w:t xml:space="preserve">; </w:t>
      </w:r>
      <w:hyperlink r:id="rId6110">
        <w:r>
          <w:rPr>
            <w:color w:val="0000EE"/>
            <w:u w:val="single"/>
          </w:rPr>
          <w:t>1Pe 1.11, 19</w:t>
        </w:r>
      </w:hyperlink>
      <w:r>
        <w:t>).</w:t>
      </w:r>
    </w:p>
    <w:p>
      <w:r/>
      <w:r>
        <w:t xml:space="preserve">Os Evangelhos retratam Jesus como aceitando modestamente o título e o papel do Messias. Seu batismo deve ser entendido como sua unção ao tríplice ofício de profeta, sacerdote e rei. Em seu batismo por João (o novo Elias, </w:t>
      </w:r>
      <w:hyperlink r:id="rId6111">
        <w:r>
          <w:rPr>
            <w:color w:val="0000EE"/>
            <w:u w:val="single"/>
          </w:rPr>
          <w:t>Mt 11.14</w:t>
        </w:r>
      </w:hyperlink>
      <w:r>
        <w:t>), Jesus recebeu o derramamento do Espírito e a ordem de Deus para começar seu ministério (</w:t>
      </w:r>
      <w:hyperlink r:id="rId6112">
        <w:r>
          <w:rPr>
            <w:color w:val="0000EE"/>
            <w:u w:val="single"/>
          </w:rPr>
          <w:t>Mt 3.16–4.17</w:t>
        </w:r>
      </w:hyperlink>
      <w:r>
        <w:t>). O próprio João negou ser o ungido, mas tacitamente identificou Jesus como o Cristo (</w:t>
      </w:r>
      <w:hyperlink r:id="rId6113">
        <w:r>
          <w:rPr>
            <w:color w:val="0000EE"/>
            <w:u w:val="single"/>
          </w:rPr>
          <w:t>Jo 1.20</w:t>
        </w:r>
      </w:hyperlink>
      <w:r>
        <w:t xml:space="preserve">; </w:t>
      </w:r>
      <w:hyperlink r:id="rId6114">
        <w:r>
          <w:rPr>
            <w:color w:val="0000EE"/>
            <w:u w:val="single"/>
          </w:rPr>
          <w:t>Lc 3.14–17</w:t>
        </w:r>
      </w:hyperlink>
      <w:r>
        <w:t>). Os primeiros discípulos de Jesus o seguiram porque sabiam que ele era o Messias (</w:t>
      </w:r>
      <w:hyperlink r:id="rId6101">
        <w:r>
          <w:rPr>
            <w:color w:val="0000EE"/>
            <w:u w:val="single"/>
          </w:rPr>
          <w:t>Jo 1.41</w:t>
        </w:r>
      </w:hyperlink>
      <w:r>
        <w:t>). Os demônios o reconheceram como “o Santo [ungido] de Deus” (</w:t>
      </w:r>
      <w:hyperlink r:id="rId6115">
        <w:r>
          <w:rPr>
            <w:color w:val="0000EE"/>
            <w:u w:val="single"/>
          </w:rPr>
          <w:t>Mc 1.24</w:t>
        </w:r>
      </w:hyperlink>
      <w:r>
        <w:t xml:space="preserve">; cf. </w:t>
      </w:r>
      <w:hyperlink r:id="rId6116">
        <w:r>
          <w:rPr>
            <w:color w:val="0000EE"/>
            <w:u w:val="single"/>
          </w:rPr>
          <w:t>Mt 8.29</w:t>
        </w:r>
      </w:hyperlink>
      <w:r>
        <w:t>). As multidões o seguiram como o Profeta, o novo Moisés (</w:t>
      </w:r>
      <w:hyperlink r:id="rId6117">
        <w:r>
          <w:rPr>
            <w:color w:val="0000EE"/>
            <w:u w:val="single"/>
          </w:rPr>
          <w:t>Jo 6.14, 32</w:t>
        </w:r>
      </w:hyperlink>
      <w:r>
        <w:t xml:space="preserve">), mas o abandonaram quando entenderam que seu reino era um reino espiritual, não um reino político (v. </w:t>
      </w:r>
      <w:hyperlink r:id="rId2250">
        <w:r>
          <w:rPr>
            <w:color w:val="0000EE"/>
            <w:u w:val="single"/>
          </w:rPr>
          <w:t>66</w:t>
        </w:r>
      </w:hyperlink>
      <w:r>
        <w:t>). Os Doze permaneceram leais, dizendo: “Cremos… . . . você é o Santo de Deus” (</w:t>
      </w:r>
      <w:hyperlink r:id="rId3703">
        <w:r>
          <w:rPr>
            <w:color w:val="0000EE"/>
            <w:u w:val="single"/>
          </w:rPr>
          <w:t>Jo 6.69</w:t>
        </w:r>
      </w:hyperlink>
      <w:r>
        <w:t>, NVI). A confissão dos discípulos dita por Pedro e aprovada por Jesus como uma revelação divina é “Você é o Cristo, o Filho do Deus vivo” (</w:t>
      </w:r>
      <w:hyperlink r:id="rId3704">
        <w:r>
          <w:rPr>
            <w:color w:val="0000EE"/>
            <w:u w:val="single"/>
          </w:rPr>
          <w:t>Mt 16.16</w:t>
        </w:r>
      </w:hyperlink>
      <w:r>
        <w:t>, NVI). Em seus julgamentos, o fator decisivo para a condenação de Jesus era sua afirmação de ser o Cristo (</w:t>
      </w:r>
      <w:hyperlink r:id="rId6118">
        <w:r>
          <w:rPr>
            <w:color w:val="0000EE"/>
            <w:u w:val="single"/>
          </w:rPr>
          <w:t>Mt 26.63–64, 68</w:t>
        </w:r>
      </w:hyperlink>
      <w:r>
        <w:t xml:space="preserve">; </w:t>
      </w:r>
      <w:hyperlink r:id="rId6119">
        <w:r>
          <w:rPr>
            <w:color w:val="0000EE"/>
            <w:u w:val="single"/>
          </w:rPr>
          <w:t>27.11, 17, 22, 37</w:t>
        </w:r>
      </w:hyperlink>
      <w:r>
        <w:t>).</w:t>
      </w:r>
    </w:p>
    <w:p>
      <w:r/>
      <w:r>
        <w:t>Uma característica importante na pregação cristã primitiva era a proclamação de que Jesus é o Cristo (</w:t>
      </w:r>
      <w:hyperlink r:id="rId6120">
        <w:r>
          <w:rPr>
            <w:color w:val="0000EE"/>
            <w:u w:val="single"/>
          </w:rPr>
          <w:t>Atos 2.36</w:t>
        </w:r>
      </w:hyperlink>
      <w:r>
        <w:t xml:space="preserve">; </w:t>
      </w:r>
      <w:hyperlink r:id="rId6121">
        <w:r>
          <w:rPr>
            <w:color w:val="0000EE"/>
            <w:u w:val="single"/>
          </w:rPr>
          <w:t>3.18–20</w:t>
        </w:r>
      </w:hyperlink>
      <w:r>
        <w:t xml:space="preserve">; </w:t>
      </w:r>
      <w:hyperlink r:id="rId4334">
        <w:r>
          <w:rPr>
            <w:color w:val="0000EE"/>
            <w:u w:val="single"/>
          </w:rPr>
          <w:t>9.22</w:t>
        </w:r>
      </w:hyperlink>
      <w:r>
        <w:t xml:space="preserve">; </w:t>
      </w:r>
      <w:hyperlink r:id="rId6122">
        <w:r>
          <w:rPr>
            <w:color w:val="0000EE"/>
            <w:u w:val="single"/>
          </w:rPr>
          <w:t>28.23, 31</w:t>
        </w:r>
      </w:hyperlink>
      <w:r>
        <w:t>). Este permanece o artigo mais antigo (</w:t>
      </w:r>
      <w:hyperlink r:id="rId3704">
        <w:r>
          <w:rPr>
            <w:color w:val="0000EE"/>
            <w:u w:val="single"/>
          </w:rPr>
          <w:t>Mt 16.16</w:t>
        </w:r>
      </w:hyperlink>
      <w:r>
        <w:t>) e mais básico de confissão cristã (</w:t>
      </w:r>
      <w:hyperlink r:id="rId6123">
        <w:r>
          <w:rPr>
            <w:color w:val="0000EE"/>
            <w:u w:val="single"/>
          </w:rPr>
          <w:t>1Co 1.23</w:t>
        </w:r>
      </w:hyperlink>
      <w:r>
        <w:t xml:space="preserve">; </w:t>
      </w:r>
      <w:hyperlink r:id="rId6124">
        <w:r>
          <w:rPr>
            <w:color w:val="0000EE"/>
            <w:u w:val="single"/>
          </w:rPr>
          <w:t>1Jo 5.1</w:t>
        </w:r>
      </w:hyperlink>
      <w:r>
        <w:t>), afirmando que Jesus desempenhou perfeitamente o papel de profeta, sacerdote e rei ungido como servo de Deus para seu povo (</w:t>
      </w:r>
      <w:hyperlink r:id="rId6125">
        <w:r>
          <w:rPr>
            <w:color w:val="0000EE"/>
            <w:u w:val="single"/>
          </w:rPr>
          <w:t>Lc 7.16</w:t>
        </w:r>
      </w:hyperlink>
      <w:r>
        <w:t xml:space="preserve">; </w:t>
      </w:r>
      <w:hyperlink r:id="rId5125">
        <w:r>
          <w:rPr>
            <w:color w:val="0000EE"/>
            <w:u w:val="single"/>
          </w:rPr>
          <w:t>1 Co 15.25</w:t>
        </w:r>
      </w:hyperlink>
      <w:r>
        <w:t xml:space="preserve">; </w:t>
      </w:r>
      <w:hyperlink r:id="rId6126">
        <w:r>
          <w:rPr>
            <w:color w:val="0000EE"/>
            <w:u w:val="single"/>
          </w:rPr>
          <w:t>Hb 7.22–28</w:t>
        </w:r>
      </w:hyperlink>
      <w:r>
        <w:t xml:space="preserve">; </w:t>
      </w:r>
      <w:hyperlink r:id="rId6127">
        <w:r>
          <w:rPr>
            <w:color w:val="0000EE"/>
            <w:u w:val="single"/>
          </w:rPr>
          <w:t>Ap 19.16</w:t>
        </w:r>
      </w:hyperlink>
      <w:r>
        <w:t>).</w:t>
      </w:r>
    </w:p>
    <w:p>
      <w:r/>
      <w:r>
        <w:rPr>
          <w:i/>
        </w:rPr>
        <w:t>Veja também</w:t>
      </w:r>
      <w:r>
        <w:t xml:space="preserve"> </w:t>
      </w:r>
      <w:r>
        <w:t>Jesus Cristo, Vida e Ensinamentos de</w:t>
      </w:r>
      <w:r>
        <w:t xml:space="preserve">; </w:t>
      </w:r>
      <w:r>
        <w:t>Messias</w:t>
      </w:r>
      <w:r>
        <w:t>.</w:t>
      </w:r>
      <w:r/>
      <w:r/>
    </w:p>
    <w:p>
      <w:r/>
    </w:p>
    <w:p>
      <w:pPr>
        <w:pStyle w:val="Heading2"/>
      </w:pPr>
      <w:r>
        <w:t>Cristologia</w:t>
      </w:r>
      <w:r/>
    </w:p>
    <w:p>
      <w:r/>
      <w:r>
        <w:t>O estudo sobre quem é Jesus Cristo e o que ele fez. A crença de que Jesus é o Cristo, o Filho do Deus vivo, foi primeiramente declarada com ousadia por Pedro em Cesareia de Filipe (</w:t>
      </w:r>
      <w:hyperlink r:id="rId3704">
        <w:r>
          <w:rPr>
            <w:color w:val="0000EE"/>
            <w:u w:val="single"/>
          </w:rPr>
          <w:t>Mt 16.16</w:t>
        </w:r>
      </w:hyperlink>
      <w:r>
        <w:t>). Esta é a crença central da fé cristã. É o que define alguém como cristão. Toda a teologia cristã está centrada em compreender o significado dessa crença.</w:t>
      </w:r>
    </w:p>
    <w:p>
      <w:r/>
      <w:r>
        <w:t>A primeira decisão teológica significativa na igreja, baseada nessa crença, foi aceitar que Jesus, o Filho de Deus, é verdadeiramente divino. Isso significa que ele compartilha a mesma essência com Deus, o Pai e o Espírito Santo. Essa crença foi explicitada na doutrina da Trindade no Concílio de Niceia em 325 d.C. Com a aplicação dessa doutrina a Jesus de Nazaré, surgiu a questão: Como uma pessoa pode ser tanto Deus quanto homem? Como alguém infinito pode se tornar finito? Como alguém eterno pode se tornar parte do tempo? Como Deus pode se tornar humano?</w:t>
      </w:r>
    </w:p>
    <w:p>
      <w:r/>
      <w:r>
        <w:t>Para responder a isso, a igreja adotou a doutrina da Encarnação, que afirma que Deus se tornou um ser humano em Jesus. Esta doutrina foi desenvolvida após muita discussão. Durante esses debates, a igreja rejeitou certas ideias:</w:t>
      </w:r>
    </w:p>
    <w:p>
      <w:pPr>
        <w:pStyle w:val="ListBullet"/>
        <w:spacing w:line="240" w:lineRule="auto"/>
        <w:ind w:left="720"/>
      </w:pPr>
      <w:r/>
      <w:r>
        <w:t>O docetismo negava a humanidade de Jesus para enfatizar sua divindade;</w:t>
      </w:r>
    </w:p>
    <w:p>
      <w:pPr>
        <w:pStyle w:val="ListBullet"/>
        <w:spacing w:line="240" w:lineRule="auto"/>
        <w:ind w:left="720"/>
      </w:pPr>
      <w:r/>
      <w:r>
        <w:t>O adocionismo negou a divindade para enfatizar sua humanidade;</w:t>
      </w:r>
    </w:p>
    <w:p>
      <w:pPr>
        <w:pStyle w:val="ListBullet"/>
        <w:spacing w:line="240" w:lineRule="auto"/>
        <w:ind w:left="720"/>
      </w:pPr>
      <w:r/>
      <w:r>
        <w:t>Os apolinários acreditavam que Jesus apenas parecia humano, mas que seu espírito era divino;</w:t>
      </w:r>
    </w:p>
    <w:p>
      <w:pPr>
        <w:pStyle w:val="ListBullet"/>
        <w:spacing w:line="240" w:lineRule="auto"/>
        <w:ind w:left="720"/>
      </w:pPr>
      <w:r/>
      <w:r>
        <w:t xml:space="preserve">Outros acreditavam que Jesus era humano, mas se tornou divino através do desenvolvimento moral e então se tornou Deus. Isso aconteceu ou no seu batismo, quando ele recebeu o Espírito Santo, ou na sua ressurreição, como sugerido por </w:t>
      </w:r>
      <w:hyperlink r:id="rId6128">
        <w:r>
          <w:rPr>
            <w:color w:val="0000EE"/>
            <w:u w:val="single"/>
          </w:rPr>
          <w:t xml:space="preserve">Atos 13.33 </w:t>
        </w:r>
      </w:hyperlink>
      <w:r>
        <w:t>— “Hoje eu me tornei o seu Pai”;</w:t>
      </w:r>
    </w:p>
    <w:p>
      <w:pPr>
        <w:pStyle w:val="ListBullet"/>
        <w:spacing w:line="240" w:lineRule="auto"/>
        <w:ind w:left="720"/>
      </w:pPr>
      <w:r/>
      <w:r>
        <w:t>O nestorianismo acreditava que Jesus era duas pessoas distintas — uma divina e outra humana;</w:t>
      </w:r>
    </w:p>
    <w:p>
      <w:pPr>
        <w:pStyle w:val="ListBullet"/>
        <w:spacing w:line="240" w:lineRule="auto"/>
        <w:ind w:left="720"/>
      </w:pPr>
      <w:r/>
      <w:r>
        <w:t>O monofisismo acreditava que Jesus possuía uma natureza divina e humana combinadas.</w:t>
      </w:r>
    </w:p>
    <w:p>
      <w:pPr>
        <w:pStyle w:val="Heading3"/>
      </w:pPr>
      <w:r>
        <w:t>O Credo de Calcedônia</w:t>
      </w:r>
    </w:p>
    <w:p>
      <w:r/>
      <w:r>
        <w:t>No Concílio de Calcedônia em 451 d.C., a igreja declarou que Jesus Cristo é verdadeiramente Deus e verdadeiramente homem. O credo deste concílio afirmou:</w:t>
      </w:r>
    </w:p>
    <w:p>
      <w:r/>
      <w:r>
        <w:t>"[Ele é] consubstancial com o Pai em relação à sua divindade, e consubstancial também conosco em relação à sua humanidade; semelhante a nós em todas as coisas, exceto no pecado; quanto à sua divindade, gerado do Pai antes de todos os séculos; mas quanto à sua humanidade, nestes dias, nascido por nós, homens, e para nossa salvação, da virgem Maria, a mãe de Deus, um e o mesmo Cristo, Filho, Senhor, unigênito, conhecido em duas naturezas, sem confusão, sem conversão, sem separação e sem divisão; a distinção das naturezas não sendo de modo algum abolida por sua união, mas a peculiaridade de cada natureza sendo mantida, e ambas concorrendo em uma pessoa e subsistência. Confessamos não um Filho dividido e separado em duas pessoas, mas um e o mesmo Filho, unigênito, e Deus-Verbo, nosso Senhor Jesus Cristo".</w:t>
      </w:r>
    </w:p>
    <w:p>
      <w:r/>
      <w:r>
        <w:t>Durante a Reforma, os reformadores protestantes também adotaram esta confissão.</w:t>
      </w:r>
    </w:p>
    <w:p>
      <w:r/>
      <w:r>
        <w:t>Esse entendimento de Cristo não explica o mistério da Encarnação, mas define como os crentes devem pensar sobre Cristo. Isso tem sido importante no pensamento cristão ao longo da história.</w:t>
      </w:r>
    </w:p>
    <w:p>
      <w:r/>
      <w:r>
        <w:t>Alguns termos-chave do credo são:</w:t>
      </w:r>
    </w:p>
    <w:p>
      <w:pPr>
        <w:pStyle w:val="ListBullet"/>
        <w:spacing w:line="240" w:lineRule="auto"/>
        <w:ind w:left="720"/>
      </w:pPr>
      <w:r/>
      <w:r>
        <w:rPr>
          <w:b/>
        </w:rPr>
        <w:t>Natureza</w:t>
      </w:r>
      <w:r>
        <w:t xml:space="preserve"> (do grego </w:t>
      </w:r>
      <w:r>
        <w:rPr>
          <w:i/>
        </w:rPr>
        <w:t>physis</w:t>
      </w:r>
      <w:r>
        <w:t>)</w:t>
      </w:r>
    </w:p>
    <w:p>
      <w:r/>
      <w:r>
        <w:t>Isso não se refere a coisas físicas que podem ser estudadas através da ciência. Em vez disso, "natureza" refere-se à essência de uma coisa. A natureza de Jesus Cristo sendo "divina" significa que todas as qualidades que definem Deus também se aplicam a ele. Ele não é apenas como Deus, ele é Deus. Mas, a mesma coisa é verdadeira sobre sua natureza humana — Jesus não apenas parece um homem, ele é um homem. Ele não é apenas um homem ou apenas Deus, ele é o Deus que se tornou homem. Jesus não deixou de ser Deus quando se tornou homem, nem trocou um espírito divino por um humano. Em vez disso, ele assumiu a humanidade, então agora ele é tanto divino quanto humano.</w:t>
      </w:r>
    </w:p>
    <w:p>
      <w:pPr>
        <w:pStyle w:val="ListBullet"/>
        <w:spacing w:line="240" w:lineRule="auto"/>
        <w:ind w:left="720"/>
      </w:pPr>
      <w:r/>
      <w:r>
        <w:rPr>
          <w:b/>
        </w:rPr>
        <w:t>Pessoa</w:t>
      </w:r>
      <w:r>
        <w:t xml:space="preserve"> (do grego </w:t>
      </w:r>
      <w:r>
        <w:rPr>
          <w:i/>
        </w:rPr>
        <w:t>hypostasis</w:t>
      </w:r>
      <w:r>
        <w:t>)</w:t>
      </w:r>
    </w:p>
    <w:p>
      <w:r/>
      <w:r>
        <w:t>Isso descreve Jesus Cristo como um indivíduo autoconsciente e livre, alguém que pode se referir a si mesmo como "eu" e se relacionar com os outros como "você". Como uma conexão entre Deus e a humanidade, Jesus é uma pessoa com naturezas tanto divina quanto humana. Embora não possa haver uma "pessoa" sem uma "natureza", pode haver uma "natureza" sem uma "pessoa". Por exemplo, um objeto como uma pedra pode ter a "natureza" de ser cinza, dura, redonda e lisa, mas não é uma "pessoa" porque não é autoconsciente nem livre.</w:t>
      </w:r>
    </w:p>
    <w:p>
      <w:r/>
      <w:r>
        <w:t xml:space="preserve">Cristo é uma "pessoa" tanto com uma "natureza divina" quanto uma "natureza humana". Os pais da igreja ensinaram que, enquanto Cristo possuía todas as qualidades divinas e humanas (incluindo atributos físicos humanos — o Verbo "se fez carne", </w:t>
      </w:r>
      <w:hyperlink r:id="rId3743">
        <w:r>
          <w:rPr>
            <w:color w:val="0000EE"/>
            <w:u w:val="single"/>
          </w:rPr>
          <w:t>Jo 1.14</w:t>
        </w:r>
      </w:hyperlink>
      <w:r>
        <w:t>), ele não era "duas pessoas". Ele é uma pessoa divina com uma natureza humana. Ele não é simplesmente uma pessoa humana. Todos os humanos têm um começo. Um humano se torna autoconsciente em algum momento. No entanto, Jesus disse, "Antes que Abraão existisse, eu sou" (</w:t>
      </w:r>
      <w:hyperlink r:id="rId6129">
        <w:r>
          <w:rPr>
            <w:color w:val="0000EE"/>
            <w:u w:val="single"/>
          </w:rPr>
          <w:t>Jo 8.58</w:t>
        </w:r>
      </w:hyperlink>
      <w:r>
        <w:t>). Esta declaração é a verdade absoluta. A pessoa que pregou na encosta da montanha e chamou pescadores para segui-lo à beira-mar é a mesma pessoa que existia antes de haver qualquer mar, montanha ou mesmo pescadores.</w:t>
      </w:r>
    </w:p>
    <w:p>
      <w:r/>
      <w:r>
        <w:t>Jesus não é apenas um humano que recebeu discernimento pela Palavra de Deus. Jesus é o eterno Filho de Deus que se tornou um ser humano. O Filho de Deus não entrou em uma pessoa humana. Ele adicionou a natureza humana à sua pessoa divina. Ele permanece a mesma pessoa, embora agora compartilhe de nossa humanidade. Portanto, Jesus vive na história e transcende a história. Por exemplo, ele disse: "Eu te glorifiquei na terra, completando a obra que me deste para fazer. E agora, Pai, glorifica-me em tua presença com a glória que eu tinha contigo antes que o mundo existisse" (</w:t>
      </w:r>
      <w:hyperlink r:id="rId6130">
        <w:r>
          <w:rPr>
            <w:color w:val="0000EE"/>
            <w:u w:val="single"/>
          </w:rPr>
          <w:t>Jo 17.4–5</w:t>
        </w:r>
      </w:hyperlink>
      <w:r>
        <w:t>). Jesus fala como alguém no mundo que também existia antes do mundo começar e compartilhava da glória do Pai.</w:t>
      </w:r>
    </w:p>
    <w:p>
      <w:r/>
      <w:r>
        <w:t>Tentar entender esse mistério geralmente resulta em simplificá-lo excessivamente. Algumas tentativas foram:</w:t>
      </w:r>
    </w:p>
    <w:p>
      <w:pPr>
        <w:pStyle w:val="ListBullet"/>
        <w:spacing w:line="240" w:lineRule="auto"/>
        <w:ind w:left="720"/>
      </w:pPr>
      <w:r/>
      <w:r>
        <w:rPr>
          <w:b/>
        </w:rPr>
        <w:t>Docetismo</w:t>
      </w:r>
      <w:r>
        <w:t>: Cristo é um ser divino que apenas aparenta ser humano;</w:t>
      </w:r>
    </w:p>
    <w:p>
      <w:pPr>
        <w:pStyle w:val="ListBullet"/>
        <w:spacing w:line="240" w:lineRule="auto"/>
        <w:ind w:left="720"/>
      </w:pPr>
      <w:r/>
      <w:r>
        <w:rPr>
          <w:b/>
        </w:rPr>
        <w:t>Adocionismo</w:t>
      </w:r>
      <w:r>
        <w:t>: Cristo é um ser humano que foi adotado como divino;</w:t>
      </w:r>
    </w:p>
    <w:p>
      <w:pPr>
        <w:pStyle w:val="ListBullet"/>
        <w:spacing w:line="240" w:lineRule="auto"/>
        <w:ind w:left="720"/>
      </w:pPr>
      <w:r/>
      <w:r>
        <w:rPr>
          <w:b/>
        </w:rPr>
        <w:t>Ritschlianismo</w:t>
      </w:r>
      <w:r>
        <w:t>: Cristo possui valor divino apenas em relação aos outros.</w:t>
      </w:r>
    </w:p>
    <w:p>
      <w:r/>
      <w:r>
        <w:t>Para preservar as duas naturezas de Jesus Cristo, o credo utiliza quatro frases que nos informam o que é verdadeiro sobre a Encarnação (quando Cristo se tornou homem):</w:t>
      </w:r>
    </w:p>
    <w:p>
      <w:pPr>
        <w:pStyle w:val="ListNumber"/>
        <w:spacing w:line="240" w:lineRule="auto"/>
        <w:ind w:left="720"/>
      </w:pPr>
      <w:r/>
      <w:r>
        <w:t>Sem confusão;</w:t>
      </w:r>
    </w:p>
    <w:p>
      <w:pPr>
        <w:pStyle w:val="ListNumber"/>
        <w:spacing w:line="240" w:lineRule="auto"/>
        <w:ind w:left="720"/>
      </w:pPr>
      <w:r/>
      <w:r>
        <w:t>Sem conversão;</w:t>
      </w:r>
    </w:p>
    <w:p>
      <w:pPr>
        <w:pStyle w:val="ListNumber"/>
        <w:spacing w:line="240" w:lineRule="auto"/>
        <w:ind w:left="720"/>
      </w:pPr>
      <w:r/>
      <w:r>
        <w:t>Sem separação;</w:t>
      </w:r>
    </w:p>
    <w:p>
      <w:pPr>
        <w:pStyle w:val="ListNumber"/>
        <w:spacing w:line="240" w:lineRule="auto"/>
        <w:ind w:left="720"/>
      </w:pPr>
      <w:r/>
      <w:r>
        <w:t>Sem divisão.</w:t>
      </w:r>
    </w:p>
    <w:p>
      <w:r/>
      <w:r>
        <w:t>Algumas pessoas zombaram disso como "quatro simples negativas", mas elas são, na verdade, muito importantes. Se qualquer uma delas for falsa, perderemos uma crença central da fé cristã — que Jesus Cristo é plenamente tanto Deus quanto homem.</w:t>
      </w:r>
    </w:p>
    <w:p>
      <w:r/>
      <w:r>
        <w:t>O credo não apenas diz o que não aconteceu na Encarnação, ele também nos diz o que aconteceu:</w:t>
      </w:r>
    </w:p>
    <w:p>
      <w:pPr>
        <w:pStyle w:val="ListBullet"/>
        <w:spacing w:line="240" w:lineRule="auto"/>
        <w:ind w:left="720"/>
      </w:pPr>
      <w:r/>
      <w:r>
        <w:t>As duas naturezas de Jesus foram unificadas;</w:t>
      </w:r>
    </w:p>
    <w:p>
      <w:pPr>
        <w:pStyle w:val="ListBullet"/>
        <w:spacing w:line="240" w:lineRule="auto"/>
        <w:ind w:left="720"/>
      </w:pPr>
      <w:r/>
      <w:r>
        <w:t>As duas naturezas estão presentes em uma única pessoa;</w:t>
      </w:r>
    </w:p>
    <w:p>
      <w:pPr>
        <w:pStyle w:val="ListBullet"/>
        <w:spacing w:line="240" w:lineRule="auto"/>
        <w:ind w:left="720"/>
      </w:pPr>
      <w:r/>
      <w:r>
        <w:t>Essa pessoa é o Filho eterno do Pai.</w:t>
      </w:r>
    </w:p>
    <w:p>
      <w:r/>
      <w:r>
        <w:t>Esta união das duas naturezas foi realizada pelo Filho de Deus. Este é o principal mistério da Encarnação: ninguém sabe como um Deus infinito se tornou um homem finito. Os teólogos refletiram profundamente sobre isso, e muitas explicações foram escritas desde o Concílio de Calcedônia.</w:t>
      </w:r>
    </w:p>
    <w:p>
      <w:r/>
      <w:r>
        <w:t>A união das naturezas divina e humana em Jesus é chamada de "união hipostática". Este termo vem de uma palavra grega que significa "pessoa". A união é pessoal porque é o ato de uma Pessoa — o Filho de Deus, que se tornou humano. Isso significa que Jesus é uma pessoa divina digna de adoração. Ele não é apenas um humano como qualquer outra pessoa. Adorar um humano seria idolatria. Como a natureza divina e humana de Jesus estão unidas em uma só pessoa, Jesus é uma Pessoa, não duas. Adorar duas pessoas — uma humana e uma divina — seria absurdo. Portanto, essa Pessoa, que combina tanto as naturezas divina quanto humana, é frequentemente chamada de "Deus-homem". Desde que este termo seja entendido como significando que Jesus Cristo é plenamente tanto Deus quanto homem, é consistente com o ensino do credo.</w:t>
      </w:r>
    </w:p>
    <w:p>
      <w:pPr>
        <w:pStyle w:val="Heading3"/>
      </w:pPr>
      <w:r>
        <w:t>Cristologia após o Concílio de Calcedônia</w:t>
      </w:r>
    </w:p>
    <w:p>
      <w:r/>
      <w:r>
        <w:t>Após o Concílio de Calcedônia, compreender a humanidade de Jesus tornou-se desafiador, e não houve muitos acordos entre os teólogos. No entanto, a visão que é mais consistente com o Credo de Calcedônia e amplamente aceita pelos protestantes refere-se à "humanidade impessoal" de Jesus. Teólogos modernos como Karl Barth, Emil Brunner e G. C. Berkouwer também apoiaram essa visão.</w:t>
      </w:r>
    </w:p>
    <w:p>
      <w:r/>
      <w:r>
        <w:t>"Humanidade impessoal" não significa que o Jesus encarnado carecia de qualidades humanas. Em vez disso, significa que sua humanidade existe apenas como parte da Pessoa divina que assumiu a natureza humana na Encarnação. A natureza humana de Jesus existe em e através do Verbo (o Filho de Deus), que é Deus. Embora Deus esteja presente em toda a criação, ele não compartilha sua identidade com nada. Mesmo quando o Novo Testamento diz que o Espírito Santo vive nos cristãos, isso não significa que eles sejam iguais a Deus. O humano e o divino não são iguais. No entanto, Jesus Cristo era único: Jesus é idêntico a Deus porque ele é o Verbo feito carne. Como Karl Barth diz, Jesus não está apenas vivendo através de Deus ou com Deus; ele é Deus. Sua natureza humana está unida à sua natureza divina, o que significa que sua humanidade é uma característica de sua divindade. Sua natureza humana só existe por causa do Verbo divino agindo em e através dele.</w:t>
      </w:r>
    </w:p>
    <w:p>
      <w:r/>
      <w:r>
        <w:t>De maneira simples, Jesus está tão unido a Deus que só pode existir como homem porque ele é Deus. Isso é confirmado por duas doutrinas:</w:t>
      </w:r>
    </w:p>
    <w:p>
      <w:pPr>
        <w:pStyle w:val="ListBullet"/>
        <w:spacing w:line="240" w:lineRule="auto"/>
        <w:ind w:left="720"/>
      </w:pPr>
      <w:r/>
      <w:r>
        <w:rPr>
          <w:b/>
        </w:rPr>
        <w:t>Anhipostasia:</w:t>
      </w:r>
      <w:r>
        <w:t xml:space="preserve"> a natureza humana de Jesus não existe independentemente;</w:t>
      </w:r>
    </w:p>
    <w:p>
      <w:pPr>
        <w:pStyle w:val="ListBullet"/>
        <w:spacing w:line="240" w:lineRule="auto"/>
        <w:ind w:left="720"/>
      </w:pPr>
      <w:r/>
      <w:r>
        <w:rPr>
          <w:b/>
        </w:rPr>
        <w:t>Enhipostasia</w:t>
      </w:r>
      <w:r>
        <w:t>: a natureza humana de Jesus existe por meio de sua união com o divino Filho de Deus. Jesus de Nazaré não se tornou o Filho de Deus; o Filho de Deus se tornou Jesus de Nazaré.</w:t>
      </w:r>
    </w:p>
    <w:p>
      <w:r/>
      <w:r>
        <w:t>A Encarnação é um ato de uma Pessoa divina, não uma experiência de uma pessoa humana se tornando divina. Na Encarnação, o Filho de Deus agiu, mas uma pessoa humana não foi transformada. Como o Filho divino age para se tornar o homem, Jesus de Nazaré, este homem é o Filho de Deus de uma maneira que nenhum outro humano pode ser.</w:t>
      </w:r>
    </w:p>
    <w:p>
      <w:r/>
      <w:r>
        <w:t>A evidência bíblica para a doutrina da Encarnação inclui:</w:t>
      </w:r>
    </w:p>
    <w:p>
      <w:pPr>
        <w:pStyle w:val="ListBullet"/>
        <w:spacing w:line="240" w:lineRule="auto"/>
        <w:ind w:left="720"/>
      </w:pPr>
      <w:r/>
      <w:r>
        <w:t>Os Evangelhos;</w:t>
      </w:r>
    </w:p>
    <w:p>
      <w:pPr>
        <w:pStyle w:val="ListBullet"/>
        <w:spacing w:line="240" w:lineRule="auto"/>
        <w:ind w:left="720"/>
      </w:pPr>
      <w:r/>
      <w:r>
        <w:t xml:space="preserve">Várias passagens nas cartas de Paulo, especialmente </w:t>
      </w:r>
      <w:hyperlink r:id="rId6131">
        <w:r>
          <w:rPr>
            <w:color w:val="0000EE"/>
            <w:u w:val="single"/>
          </w:rPr>
          <w:t>Filipenses 2.6–8</w:t>
        </w:r>
      </w:hyperlink>
      <w:r>
        <w:t>, são as declarações mais importantes sobre Cristo no Novo Testamento. Paulo fala de Jesus: "Que, existindo na forma de Deus, não considerou o ser igual a Deus algo a ser retido, mas esvaziou-se a si mesmo, tomando a forma de servo, sendo feito à semelhança humana".</w:t>
      </w:r>
    </w:p>
    <w:p>
      <w:r/>
      <w:r>
        <w:t>O Credo de Calcedônia não resolve o mistério da Encarnação, e teólogos têm se esforçado muito para compreendê-lo melhor. Uma teoria bem conhecida, baseada na passagem de Filipenses mencionada anteriormente, é chamada de "kenosis". Ela sugere que, quando o Filho de Deus se tornou humano, ele abandonou ("esvaziou-se") alguns aspectos de sua divindade. No entanto, o texto em Filipenses não diz que ele se esvaziou de algo, mas sim que ele "esvaziou-se", uma figura de linguagem que significa que ele se humilhou (a versão BKJ diz "Mas fez-se sem reputação"). Apesar da dificuldade de interpretar essa declaração, a teoria da kenosis ainda está presente, especialmente na teologia britânica. Outra interpretação sugere que a humanidade de Jesus era um disfarce (um termo usado pelo filósofo Søren Kierkegaard) que escondia sua identidade divina de todos, exceto daqueles com fé. De acordo com essa visão, a Encarnação revela a verdade, mas também a esconde.</w:t>
      </w:r>
    </w:p>
    <w:p>
      <w:r/>
      <w:r>
        <w:rPr>
          <w:i/>
        </w:rPr>
        <w:t>Veja também</w:t>
      </w:r>
      <w:r>
        <w:t xml:space="preserve"> </w:t>
      </w:r>
      <w:r>
        <w:t>Ascensão de Cristo</w:t>
      </w:r>
      <w:r>
        <w:t xml:space="preserve">; </w:t>
      </w:r>
      <w:r>
        <w:t>Cristo</w:t>
      </w:r>
      <w:r>
        <w:t xml:space="preserve">; </w:t>
      </w:r>
      <w:r>
        <w:t>Encarnação</w:t>
      </w:r>
      <w:r>
        <w:t xml:space="preserve">; </w:t>
      </w:r>
      <w:r>
        <w:t>Jesus Cristo, Vida e Ensinamentos de</w:t>
      </w:r>
      <w:r>
        <w:t xml:space="preserve">; </w:t>
      </w:r>
      <w:r>
        <w:t>Reino de Deus, Reino dos Céus</w:t>
      </w:r>
      <w:r>
        <w:t xml:space="preserve">; </w:t>
      </w:r>
      <w:r>
        <w:t>Messias</w:t>
      </w:r>
      <w:r>
        <w:t xml:space="preserve">; </w:t>
      </w:r>
      <w:r>
        <w:t>Parábola</w:t>
      </w:r>
      <w:r>
        <w:t xml:space="preserve">; </w:t>
      </w:r>
      <w:r>
        <w:t>Filho de Deus</w:t>
      </w:r>
      <w:r>
        <w:t xml:space="preserve">; </w:t>
      </w:r>
      <w:r>
        <w:t>Filho do Homem</w:t>
      </w:r>
      <w:r>
        <w:t xml:space="preserve">; </w:t>
      </w:r>
      <w:r>
        <w:t>Nascimento virginal de Jesus</w:t>
      </w:r>
      <w:r>
        <w:t xml:space="preserve">; </w:t>
      </w:r>
      <w:r>
        <w:t>Verbo</w:t>
      </w:r>
      <w:r>
        <w:t>.</w:t>
      </w:r>
      <w:r/>
      <w:r/>
    </w:p>
    <w:p>
      <w:r/>
    </w:p>
    <w:p>
      <w:pPr>
        <w:pStyle w:val="Heading2"/>
      </w:pPr>
      <w:r>
        <w:t>Crocodilo</w:t>
      </w:r>
      <w:r/>
    </w:p>
    <w:p>
      <w:r/>
      <w:r>
        <w:t>Um crocodilo é um grande réptil aquático que se alimenta de carne. Ele possui um focinho longo e achatado, além de uma cauda poderosa. Embora o crocodilo se assemelhe a outros lagartos, ele tem um corpo maior com pernas curtas.</w:t>
      </w:r>
    </w:p>
    <w:p>
      <w:r/>
      <w:r>
        <w:t xml:space="preserve">O crocodilo é o maior réptil vivo (nome científico </w:t>
      </w:r>
      <w:r>
        <w:rPr>
          <w:i/>
        </w:rPr>
        <w:t>Crocodilus vulgaris</w:t>
      </w:r>
      <w:r>
        <w:t>). Ele pode crescer até seis metros de comprimento. Os crocodilos têm corpos grandes, semelhantes aos de lagartos, com pernas curtas. Suas cabeças possuem focinhos achatados com dentes fortes em forma de cone. Cada dente está em seu próprio encaixe, e novos dentes crescem para substituir os antigos. Seus dedos são palmados para nadar. As costas e a cauda têm escudos em forma de quadrado dispostos em fileiras que se tocam nas bordas. Seus olhos têm pálpebras móveis que se fecham quando o crocodilo está na água.</w:t>
      </w:r>
    </w:p>
    <w:p>
      <w:r/>
      <w:r>
        <w:t>Crocodilos passam a maior parte do tempo na água. Eles se alimentam de peixes, pássaros e pequenos animais. Em terra, os crocodilos conseguem se mover rapidamente, apesar de suas pernas curtas, que fazem com que sua barriga e cauda arrastem no chão.</w:t>
      </w:r>
    </w:p>
    <w:p>
      <w:r/>
      <w:r>
        <w:t>Até os anos 1900, crocodilos viviam nos pântanos e rios do oeste da Palestina. Um escritor romano chamado Plínio mencionou um lugar na Terra Santa chamado "cidade dos crocodilos", ou Crocodeilópolis, localizado ao sul do Monte Carmelo. Visitantes nos anos 1800 também relataram ter visto crocodilos nessa área.</w:t>
      </w:r>
    </w:p>
    <w:p>
      <w:r/>
      <w:r>
        <w:t xml:space="preserve">A descrição de "Leviatã" em </w:t>
      </w:r>
      <w:hyperlink r:id="rId1575">
        <w:r>
          <w:rPr>
            <w:color w:val="0000EE"/>
            <w:u w:val="single"/>
          </w:rPr>
          <w:t>Jó 41</w:t>
        </w:r>
      </w:hyperlink>
      <w:r>
        <w:t xml:space="preserve"> parece ser baseada no crocodilo. O "dragão" de </w:t>
      </w:r>
      <w:hyperlink r:id="rId1576">
        <w:r>
          <w:rPr>
            <w:color w:val="0000EE"/>
            <w:u w:val="single"/>
          </w:rPr>
          <w:t>Ezequiel 29.3</w:t>
        </w:r>
      </w:hyperlink>
      <w:r>
        <w:t>, que se refere ao Faraó egípcio, pode também estar descrevendo um crocodilo.</w:t>
      </w:r>
    </w:p>
    <w:p>
      <w:r/>
      <w:r>
        <w:rPr>
          <w:i/>
        </w:rPr>
        <w:t xml:space="preserve">Veja também </w:t>
      </w:r>
      <w:r>
        <w:t>Dragão</w:t>
      </w:r>
      <w:r>
        <w:t>;</w:t>
      </w:r>
      <w:r>
        <w:rPr>
          <w:i/>
        </w:rPr>
        <w:t xml:space="preserve"> </w:t>
      </w:r>
      <w:r>
        <w:t>Leviatã</w:t>
      </w:r>
      <w:r>
        <w:t>.</w:t>
      </w:r>
      <w:r/>
      <w:r/>
    </w:p>
    <w:p>
      <w:r/>
    </w:p>
    <w:p>
      <w:pPr>
        <w:pStyle w:val="Heading2"/>
      </w:pPr>
      <w:r>
        <w:t>Crônicas, Livros de primeiro e segundo</w:t>
      </w:r>
      <w:r/>
    </w:p>
    <w:p>
      <w:r/>
      <w:r>
        <w:t>Dois livros do Antigo Testamento, registros históricos do rei Davi e seus sucessores na terra de Judá. Os livros das Crônicas estão entre os mais negligenciados da Bíblia, em parte porque a maior parte do material pode ser encontrada em Samuel, Reis ou em outros lugares do Antigo Testamento. Quatorze capítulos (</w:t>
      </w:r>
      <w:hyperlink r:id="rId6132">
        <w:r>
          <w:rPr>
            <w:color w:val="0000EE"/>
            <w:u w:val="single"/>
          </w:rPr>
          <w:t>1Cr 1–9</w:t>
        </w:r>
      </w:hyperlink>
      <w:r>
        <w:t xml:space="preserve">; </w:t>
      </w:r>
      <w:hyperlink r:id="rId6133">
        <w:r>
          <w:rPr>
            <w:color w:val="0000EE"/>
            <w:u w:val="single"/>
          </w:rPr>
          <w:t>23–27</w:t>
        </w:r>
      </w:hyperlink>
      <w:r>
        <w:t>) são pouco mais do que listas de nomes; o restante do material é principalmente narrativa histórica, que algumas pessoas acham quase tão entediante quanto listas. No entanto, o conteúdo das Crônicas não é história em um sentido profissional ou acadêmico porque os materiais usados são comparáveis aos anais compilados por escribas das cortes do Antigo Oriente Próximo. Essas fontes registravam os eventos mais importantes de cada ano e frequentemente eram mais propagandísticas do que objetivamente históricas. Os registros em Crônicas, de natureza um tanto eclética e ignorando certos aspectos da história nacional enquanto enfatizam outros, tratam apenas de uma parte selecionada da história dos israelitas. Grande parte da crítica de que a obra é historicamente não confiável vem da falta de compreensão do caráter do livro. Crônicas não é tanto uma história quanto uma interpretação metafísica dos eventos na vida israelita à luz dos valores do pacto. Não era suficiente para o Cronista que reis se levantassem e caíssem; os eventos foram interpretados de um ponto de vista religioso especial.</w:t>
      </w:r>
    </w:p>
    <w:p>
      <w:r/>
      <w:r>
        <w:t>Resumo:</w:t>
      </w:r>
    </w:p>
    <w:p>
      <w:r/>
      <w:r>
        <w:t>• Autor;</w:t>
      </w:r>
    </w:p>
    <w:p>
      <w:r/>
      <w:r>
        <w:t>• Data;</w:t>
      </w:r>
    </w:p>
    <w:p>
      <w:r/>
      <w:r>
        <w:t>• Contexto;</w:t>
      </w:r>
    </w:p>
    <w:p>
      <w:r/>
      <w:r>
        <w:t>• Origem e propósito;</w:t>
      </w:r>
    </w:p>
    <w:p>
      <w:r/>
      <w:r>
        <w:t>• Conteúdo.</w:t>
      </w:r>
    </w:p>
    <w:p>
      <w:pPr>
        <w:pStyle w:val="Heading3"/>
      </w:pPr>
      <w:r>
        <w:t>Autor</w:t>
      </w:r>
    </w:p>
    <w:p>
      <w:r/>
      <w:r>
        <w:t>Na Bíblia Hebraica, 1 e 2 Crônicas formam um único livro. A Bíblia não especifica quem escreveu esse livro ou quando foi escrito. De acordo com o Talmude Judaico, Esdras escreveu “seu livro e Crônicas — a ordem de todas as gerações até ele mesmo”. Embora muitos estudiosos apoiem a ideia de que Esdras escreveu Crônicas, ainda não há consenso geral sobre a data e a autoria do livro.</w:t>
      </w:r>
    </w:p>
    <w:p>
      <w:r/>
      <w:r>
        <w:t>O autor é geralmente chamado de "o Cronista", um título que sugere que ele era um historiador. É possível que ele fosse um escriba, sacerdote ou levita. Evidentemente, o escritor tinha acesso aos arquivos do governo e do templo, pois são feitas referências repetidas a vários registros oficiais de reis (</w:t>
      </w:r>
      <w:hyperlink r:id="rId6134">
        <w:r>
          <w:rPr>
            <w:color w:val="0000EE"/>
            <w:u w:val="single"/>
          </w:rPr>
          <w:t>1Cr 9.1</w:t>
        </w:r>
      </w:hyperlink>
      <w:r>
        <w:t xml:space="preserve">; </w:t>
      </w:r>
      <w:hyperlink r:id="rId6135">
        <w:r>
          <w:rPr>
            <w:color w:val="0000EE"/>
            <w:u w:val="single"/>
          </w:rPr>
          <w:t>27.24</w:t>
        </w:r>
      </w:hyperlink>
      <w:r>
        <w:t xml:space="preserve">; </w:t>
      </w:r>
      <w:hyperlink r:id="rId6136">
        <w:r>
          <w:rPr>
            <w:color w:val="0000EE"/>
            <w:u w:val="single"/>
          </w:rPr>
          <w:t>2Cr 16.11</w:t>
        </w:r>
      </w:hyperlink>
      <w:r>
        <w:t xml:space="preserve">; </w:t>
      </w:r>
      <w:hyperlink r:id="rId6137">
        <w:r>
          <w:rPr>
            <w:color w:val="0000EE"/>
            <w:u w:val="single"/>
          </w:rPr>
          <w:t>20.34</w:t>
        </w:r>
      </w:hyperlink>
      <w:r>
        <w:t xml:space="preserve">; </w:t>
      </w:r>
      <w:hyperlink r:id="rId6138">
        <w:r>
          <w:rPr>
            <w:color w:val="0000EE"/>
            <w:u w:val="single"/>
          </w:rPr>
          <w:t>25.26</w:t>
        </w:r>
      </w:hyperlink>
      <w:r>
        <w:t xml:space="preserve">; </w:t>
      </w:r>
      <w:hyperlink r:id="rId6139">
        <w:r>
          <w:rPr>
            <w:color w:val="0000EE"/>
            <w:u w:val="single"/>
          </w:rPr>
          <w:t>27.7</w:t>
        </w:r>
      </w:hyperlink>
      <w:r>
        <w:t xml:space="preserve">; </w:t>
      </w:r>
      <w:hyperlink r:id="rId6140">
        <w:r>
          <w:rPr>
            <w:color w:val="0000EE"/>
            <w:u w:val="single"/>
          </w:rPr>
          <w:t>28.26</w:t>
        </w:r>
      </w:hyperlink>
      <w:r>
        <w:t xml:space="preserve">; </w:t>
      </w:r>
      <w:hyperlink r:id="rId6141">
        <w:r>
          <w:rPr>
            <w:color w:val="0000EE"/>
            <w:u w:val="single"/>
          </w:rPr>
          <w:t>32.32</w:t>
        </w:r>
      </w:hyperlink>
      <w:r>
        <w:t xml:space="preserve">; </w:t>
      </w:r>
      <w:hyperlink r:id="rId6142">
        <w:r>
          <w:rPr>
            <w:color w:val="0000EE"/>
            <w:u w:val="single"/>
          </w:rPr>
          <w:t>33.18</w:t>
        </w:r>
      </w:hyperlink>
      <w:r>
        <w:t xml:space="preserve">; </w:t>
      </w:r>
      <w:hyperlink r:id="rId6143">
        <w:r>
          <w:rPr>
            <w:color w:val="0000EE"/>
            <w:u w:val="single"/>
          </w:rPr>
          <w:t>35.27</w:t>
        </w:r>
      </w:hyperlink>
      <w:r>
        <w:t xml:space="preserve">; </w:t>
      </w:r>
      <w:hyperlink r:id="rId6144">
        <w:r>
          <w:rPr>
            <w:color w:val="0000EE"/>
            <w:u w:val="single"/>
          </w:rPr>
          <w:t>36.8</w:t>
        </w:r>
      </w:hyperlink>
      <w:r>
        <w:t>) e profetas (</w:t>
      </w:r>
      <w:hyperlink r:id="rId6145">
        <w:r>
          <w:rPr>
            <w:color w:val="0000EE"/>
            <w:u w:val="single"/>
          </w:rPr>
          <w:t>1Cr 29.29</w:t>
        </w:r>
      </w:hyperlink>
      <w:r>
        <w:t xml:space="preserve">; </w:t>
      </w:r>
      <w:hyperlink r:id="rId6146">
        <w:r>
          <w:rPr>
            <w:color w:val="0000EE"/>
            <w:u w:val="single"/>
          </w:rPr>
          <w:t>2Cr 9.29</w:t>
        </w:r>
      </w:hyperlink>
      <w:r>
        <w:t xml:space="preserve">; </w:t>
      </w:r>
      <w:hyperlink r:id="rId6147">
        <w:r>
          <w:rPr>
            <w:color w:val="0000EE"/>
            <w:u w:val="single"/>
          </w:rPr>
          <w:t>12.15</w:t>
        </w:r>
      </w:hyperlink>
      <w:r>
        <w:t xml:space="preserve">; </w:t>
      </w:r>
      <w:hyperlink r:id="rId6148">
        <w:r>
          <w:rPr>
            <w:color w:val="0000EE"/>
            <w:u w:val="single"/>
          </w:rPr>
          <w:t>13.22</w:t>
        </w:r>
      </w:hyperlink>
      <w:r>
        <w:t xml:space="preserve">; </w:t>
      </w:r>
      <w:hyperlink r:id="rId6137">
        <w:r>
          <w:rPr>
            <w:color w:val="0000EE"/>
            <w:u w:val="single"/>
          </w:rPr>
          <w:t>20.34</w:t>
        </w:r>
      </w:hyperlink>
      <w:r>
        <w:t xml:space="preserve">; </w:t>
      </w:r>
      <w:hyperlink r:id="rId6149">
        <w:r>
          <w:rPr>
            <w:color w:val="0000EE"/>
            <w:u w:val="single"/>
          </w:rPr>
          <w:t>26.22</w:t>
        </w:r>
      </w:hyperlink>
      <w:r>
        <w:t xml:space="preserve">; </w:t>
      </w:r>
      <w:hyperlink r:id="rId6141">
        <w:r>
          <w:rPr>
            <w:color w:val="0000EE"/>
            <w:u w:val="single"/>
          </w:rPr>
          <w:t>32.32</w:t>
        </w:r>
      </w:hyperlink>
      <w:r>
        <w:t xml:space="preserve">; </w:t>
      </w:r>
      <w:hyperlink r:id="rId6150">
        <w:r>
          <w:rPr>
            <w:color w:val="0000EE"/>
            <w:u w:val="single"/>
          </w:rPr>
          <w:t>33.19</w:t>
        </w:r>
      </w:hyperlink>
      <w:r>
        <w:t>).</w:t>
      </w:r>
    </w:p>
    <w:p>
      <w:r/>
      <w:r>
        <w:t>A evidência sugere, mas não conclui, que o autor de Crônicas também escreveu os livros de Esdras e Neemias. Os dois últimos versos de Crônicas são quase idênticos aos três primeiros versos de Esdras. A linguagem e o estilo literário dos três livros são semelhantes. As mesmas preocupações teológicas com o templo e seu culto, assim como o mesmo interesse por listas e genealogias, aparecem em todos os três livros. Na Bíblia Hebraica, Esdras-Neemias é considerado um único livro e está antes de Crônicas. Crônicas está no final da Bíblia Hebraica.</w:t>
      </w:r>
    </w:p>
    <w:p>
      <w:pPr>
        <w:pStyle w:val="Heading3"/>
      </w:pPr>
      <w:r>
        <w:t>Data</w:t>
      </w:r>
    </w:p>
    <w:p>
      <w:r/>
      <w:r>
        <w:t>Não é possível determinar precisamente quando o livro de Crônicas foi escrito. O livro termina com uma referência ao decreto de Ciro, rei da Pérsia, permitindo que os cativos judeus na Babilônia retornassem à sua terra natal. Como o decreto de Ciro é geralmente datado por volta de 538 a.C., Crônicas não poderia ter sido escrito antes dessa data. Mas se Esdras-Neemias faz parte da mesma obra que Crônicas, os materiais não poderiam ter sido escritos até Neemias retornar a Jerusalém em 444 a.C.</w:t>
      </w:r>
    </w:p>
    <w:p>
      <w:r/>
      <w:r>
        <w:t xml:space="preserve">As genealogias em Crônicas e Esdras-Neemias podem oferecer alguma luz sobre a datação dos livros. Em </w:t>
      </w:r>
      <w:hyperlink r:id="rId6151">
        <w:r>
          <w:rPr>
            <w:color w:val="0000EE"/>
            <w:u w:val="single"/>
          </w:rPr>
          <w:t>1 Crônicas 3.10–24</w:t>
        </w:r>
      </w:hyperlink>
      <w:r>
        <w:t>, a linhagem de Davi e Salomão é traçada até a sexta geração após o exílio, o que situaria a data para Anani (a última pessoa na lista) por volta de 400 a.C.</w:t>
      </w:r>
    </w:p>
    <w:p>
      <w:r/>
      <w:r>
        <w:t xml:space="preserve">A linguagem de Crônicas é definitivamente a do hebraico pós-exílico. O uso da palavra persa </w:t>
      </w:r>
      <w:r>
        <w:rPr>
          <w:i/>
        </w:rPr>
        <w:t>daric</w:t>
      </w:r>
      <w:r>
        <w:t xml:space="preserve"> (</w:t>
      </w:r>
      <w:hyperlink r:id="rId6152">
        <w:r>
          <w:rPr>
            <w:color w:val="0000EE"/>
            <w:u w:val="single"/>
          </w:rPr>
          <w:t>1Cr 29.7</w:t>
        </w:r>
      </w:hyperlink>
      <w:r>
        <w:t>), além da ausência de qualquer palavra grega, situa Crônicas no período persa (538–331 a.C.). A palavra midrash (“exposição”) aparece no AT apenas em Crônicas (</w:t>
      </w:r>
      <w:hyperlink r:id="rId6148">
        <w:r>
          <w:rPr>
            <w:color w:val="0000EE"/>
            <w:u w:val="single"/>
          </w:rPr>
          <w:t>2Cr 13.22</w:t>
        </w:r>
      </w:hyperlink>
      <w:r>
        <w:t xml:space="preserve">; </w:t>
      </w:r>
      <w:hyperlink r:id="rId6153">
        <w:r>
          <w:rPr>
            <w:color w:val="0000EE"/>
            <w:u w:val="single"/>
          </w:rPr>
          <w:t>24.27</w:t>
        </w:r>
      </w:hyperlink>
      <w:r>
        <w:t>), mas é muito comum no hebraico pós-bíblico. Por volta de 400 a.C. é provavelmente a melhor estimativa para a data de Crônicas, com base nas evidências agora disponíveis.</w:t>
      </w:r>
    </w:p>
    <w:p>
      <w:pPr>
        <w:pStyle w:val="Heading3"/>
      </w:pPr>
      <w:r>
        <w:t>Contexto</w:t>
      </w:r>
    </w:p>
    <w:p>
      <w:r/>
      <w:r>
        <w:t>Durante o período persa, alguns judeus retornaram a Jerusalém da Babilônia logo após o decreto de Ciro. Eles reconstruíram o templo e aguardaram a chegada da era messiânica. No entanto, devido à seca, dificuldades econômicas e relaxamento moral e espiritual, suas esperanças se desvaneceram. Judá estava politicamente estável como parte do grande e dominante Império Persa. Não havia a menor possibilidade de restaurar o reino davídico.</w:t>
      </w:r>
    </w:p>
    <w:p>
      <w:r/>
      <w:r>
        <w:t xml:space="preserve">Se o reino de Davi não pudesse ser restaurado politicamente, como um judeu do início do quarto século a.C. entenderia a história e o lugar dos judeus no plano de Deus? O Cronista, vivendo naquela época, encontrou a chave para a história na aliança de Deus com Davi. Os primeiros 10 capítulos de 1 Crônicas conduzem a Davi; os capítulos </w:t>
      </w:r>
      <w:hyperlink r:id="rId6154">
        <w:r>
          <w:rPr>
            <w:color w:val="0000EE"/>
            <w:u w:val="single"/>
          </w:rPr>
          <w:t>11–29</w:t>
        </w:r>
      </w:hyperlink>
      <w:r>
        <w:t xml:space="preserve"> detalham eventos do governo de Davi. Moisés é mencionado em Crônicas 31 vezes; Davi, mais de 250 vezes. Davi planejou o templo e arrecadou dinheiro para construí-lo. Ele nomeou levitas, cantores e porteiros. Ele dividiu o sacerdócio em suas ordens. Ele foi responsável pelo culto no templo, que era extremamente importante para o Cronista e seus contemporâneos.</w:t>
      </w:r>
    </w:p>
    <w:p>
      <w:r/>
      <w:r>
        <w:t>O período persa da história de Israel é em grande parte silencioso, tanto em outros materiais do Antigo Testamento quanto em achados arqueológicos. Claro, todas as evidências ainda não estão disponíveis, pois os arqueólogos continuam suas investigações sobre o período.</w:t>
      </w:r>
    </w:p>
    <w:p>
      <w:pPr>
        <w:pStyle w:val="Heading3"/>
      </w:pPr>
      <w:r>
        <w:t>Origem e propósito</w:t>
      </w:r>
    </w:p>
    <w:p>
      <w:r/>
      <w:r>
        <w:t>O cronista provavelmente viveu em Jerusalém e escreveu para a comunidade judaica local. Ele menciona Jerusalém cerca de 240 vezes e Judá mais de 225 vezes. Um sentimento negativo em relação ao reino do norte de Israel é evidente na quase total ausência de referências a qualquer rei do norte. A atitude do cronista em relação ao norte é claramente expressa nos dois versículos seguintes: “Desde aquela época até hoje, o povo de Israel, o Reino do Norte, está revoltado contra os reis descendentes de Davi” (</w:t>
      </w:r>
      <w:hyperlink r:id="rId6155">
        <w:r>
          <w:rPr>
            <w:color w:val="0000EE"/>
            <w:u w:val="single"/>
          </w:rPr>
          <w:t>2Cr 10.19</w:t>
        </w:r>
      </w:hyperlink>
      <w:r>
        <w:t>, NTLH) e “Será que vocês não sabem que o Senhor, o Deus de Israel, fez uma aliança eterna com Davi, prometendo que ele e os seus filhos sempre seriam os reis de Israel?” (</w:t>
      </w:r>
      <w:hyperlink r:id="rId829">
        <w:r>
          <w:rPr>
            <w:color w:val="0000EE"/>
            <w:u w:val="single"/>
          </w:rPr>
          <w:t>13.5</w:t>
        </w:r>
      </w:hyperlink>
      <w:r>
        <w:t>, NTLH).</w:t>
      </w:r>
    </w:p>
    <w:p>
      <w:r/>
      <w:r>
        <w:t>O cronista queria que o povo judeu entendesse que Deus era soberano sobre todas as coisas. Por exemplo, ele inclui a declaração de Davi: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 (</w:t>
      </w:r>
      <w:hyperlink r:id="rId6156">
        <w:r>
          <w:rPr>
            <w:color w:val="0000EE"/>
            <w:u w:val="single"/>
          </w:rPr>
          <w:t>1Cr 29.11–12</w:t>
        </w:r>
      </w:hyperlink>
      <w:r>
        <w:t>, NTLH).</w:t>
      </w:r>
    </w:p>
    <w:p>
      <w:r/>
      <w:r>
        <w:t>Compilado no período pós-exílico, Crônicas foi destinado a enfatizar a importância da teocracia à luz da história anterior. A teocracia era uma configuração social que Deus planejou para o Judá pós-exílico, uma comunidade religiosa em vez de secular. Em vez de um rei, os judeus tinham um sacerdócio aprovado pelo Senhor (diferente dos sacerdotes corruptos que foram em grande parte responsáveis pelo colapso moral e espiritual da nação antes do exílio).</w:t>
      </w:r>
    </w:p>
    <w:p>
      <w:r/>
      <w:r>
        <w:t>Os judeus pós-exílicos deveriam viver como uma nação santa, não como pessoas com ambições políticas e nacionalistas. Portanto, o Cronista exigia obediência total à aliança mosaica para que os judeus que retornavam pudessem encontrar prosperidade, bênção divina e graça. Os judeus ainda eram o povo escolhido, purificados pela experiência do exílio, com uma nova oportunidade de cumprir a aliança do Sinai.</w:t>
      </w:r>
    </w:p>
    <w:p>
      <w:r/>
      <w:r>
        <w:t>O cronista deu grande importância à retribuição divina e insistiu que todas as ações fossem guiadas por princípios morais específicos, para refletir claramente o caráter de Deus em seu povo. Como o escritor via a mão de Deus em toda a história, punindo o apóstata e sendo gracioso com o penitente, ele via no remanescente castigado do exílio os verdadeiros herdeiros espirituais da casa de Davi. Ele insistiu que a comunidade pós-exílica aderisse rigorosamente à moralidade do Sinai, protegendo-se contra a apostasia pré-exílica e garantindo a bênção divina.</w:t>
      </w:r>
    </w:p>
    <w:p>
      <w:r/>
      <w:r>
        <w:t>O escritor queria que os judeus conhecessem o poder de Deus. Ele também desejava que eles acreditassem no Senhor para que fossem "estabelecidos". Se confiassem nos mensageiros de Deus, teriam sucesso (</w:t>
      </w:r>
      <w:hyperlink r:id="rId6157">
        <w:r>
          <w:rPr>
            <w:color w:val="0000EE"/>
            <w:u w:val="single"/>
          </w:rPr>
          <w:t>2Cr 20.20</w:t>
        </w:r>
      </w:hyperlink>
      <w:r>
        <w:t>). Ele também queria que o povo soubesse que Jerusalém era o lugar de adoração escolhido por Deus (</w:t>
      </w:r>
      <w:hyperlink r:id="rId6158">
        <w:r>
          <w:rPr>
            <w:color w:val="0000EE"/>
            <w:u w:val="single"/>
          </w:rPr>
          <w:t>2Cr 5–6</w:t>
        </w:r>
      </w:hyperlink>
      <w:r>
        <w:t>), e que o templo, sacerdotes, cantores, levitas e porteiros haviam sido divinamente designados (</w:t>
      </w:r>
      <w:hyperlink r:id="rId6159">
        <w:r>
          <w:rPr>
            <w:color w:val="0000EE"/>
            <w:u w:val="single"/>
          </w:rPr>
          <w:t>1Cr 28.19</w:t>
        </w:r>
      </w:hyperlink>
      <w:r>
        <w:t>). O templo era destinado a ser um lugar onde todas as suas necessidades poderiam ser atendidas (</w:t>
      </w:r>
      <w:hyperlink r:id="rId6160">
        <w:r>
          <w:rPr>
            <w:color w:val="0000EE"/>
            <w:u w:val="single"/>
          </w:rPr>
          <w:t>2Cr 6.19–7.3</w:t>
        </w:r>
      </w:hyperlink>
      <w:r>
        <w:t>).</w:t>
      </w:r>
    </w:p>
    <w:p>
      <w:pPr>
        <w:pStyle w:val="Heading3"/>
      </w:pPr>
      <w:r>
        <w:t>Conteúdo</w:t>
      </w:r>
    </w:p>
    <w:p>
      <w:r/>
      <w:r>
        <w:t>O livro de Crônicas pode ser brevemente delineado da seguinte forma: 1 Crônicas — genealogias (</w:t>
      </w:r>
      <w:hyperlink r:id="rId6132">
        <w:r>
          <w:rPr>
            <w:color w:val="0000EE"/>
            <w:u w:val="single"/>
          </w:rPr>
          <w:t>1–9</w:t>
        </w:r>
      </w:hyperlink>
      <w:r>
        <w:t>); o reinado de Davi (</w:t>
      </w:r>
      <w:hyperlink r:id="rId6161">
        <w:r>
          <w:rPr>
            <w:color w:val="0000EE"/>
            <w:u w:val="single"/>
          </w:rPr>
          <w:t>10–29</w:t>
        </w:r>
      </w:hyperlink>
      <w:r>
        <w:t>); 2 Crônicas — o reinado de Salomão (</w:t>
      </w:r>
      <w:hyperlink r:id="rId6162">
        <w:r>
          <w:rPr>
            <w:color w:val="0000EE"/>
            <w:u w:val="single"/>
          </w:rPr>
          <w:t>1–9</w:t>
        </w:r>
      </w:hyperlink>
      <w:r>
        <w:t>); os reis de Judá (</w:t>
      </w:r>
      <w:hyperlink r:id="rId6163">
        <w:r>
          <w:rPr>
            <w:color w:val="0000EE"/>
            <w:u w:val="single"/>
          </w:rPr>
          <w:t>10.1–36.21</w:t>
        </w:r>
      </w:hyperlink>
      <w:r>
        <w:t>); epílogo sobre o exílio e retorno (</w:t>
      </w:r>
      <w:hyperlink r:id="rId6164">
        <w:r>
          <w:rPr>
            <w:color w:val="0000EE"/>
            <w:u w:val="single"/>
          </w:rPr>
          <w:t>36.22–23</w:t>
        </w:r>
      </w:hyperlink>
      <w:r>
        <w:t>). Como os escritos do Cronista não têm um formato didático, o leitor deve extrair as ideias e princípios que são proeminentes e básicos.</w:t>
      </w:r>
    </w:p>
    <w:p>
      <w:r/>
      <w:r>
        <w:t xml:space="preserve">Uma ideia importante que permeia Crônicas é a grandeza, o poder e a singularidade de Deus. Isso é expresso de forma mais bela e contundente em </w:t>
      </w:r>
      <w:hyperlink r:id="rId6156">
        <w:r>
          <w:rPr>
            <w:color w:val="0000EE"/>
            <w:u w:val="single"/>
          </w:rPr>
          <w:t>1 Crônicas 29.11–12</w:t>
        </w:r>
      </w:hyperlink>
      <w:r>
        <w:t>, que declara que tudo no céu e na terra pertence a Deus e ele é o cabeça sobre tudo. Outras passagens fazem uma afirmação semelhante. Quando Senaqueribe, rei da Assíria, atacou Judá e Jerusalém, o rei Ezequias de Judá advertiu seu povo a não temer o rei da Assíria.</w:t>
      </w:r>
    </w:p>
    <w:p>
      <w:r/>
      <w:r>
        <w:t xml:space="preserve">O Cronista frequentemente repete a ideia de que o Deus de Israel é único: não há outro Deus como o Senhor. O </w:t>
      </w:r>
      <w:hyperlink r:id="rId6165">
        <w:r>
          <w:rPr>
            <w:color w:val="0000EE"/>
            <w:u w:val="single"/>
          </w:rPr>
          <w:t>Salmo 96.4–5</w:t>
        </w:r>
      </w:hyperlink>
      <w:r>
        <w:t xml:space="preserve"> é citado em </w:t>
      </w:r>
      <w:hyperlink r:id="rId6166">
        <w:r>
          <w:rPr>
            <w:color w:val="0000EE"/>
            <w:u w:val="single"/>
          </w:rPr>
          <w:t>1 Crônicas 16.25–26</w:t>
        </w:r>
      </w:hyperlink>
      <w:r>
        <w:t>: “O Senhor é grande e merece todo o nosso louvor; ele deve ser temido mais do que todos os deuses. Pois os deuses das outras nações são somente ídolos, mas o Senhor fez os céus” (NTLH). Tanto Davi quanto Salomão são citados dizendo que não há outro Deus além do Senhor (</w:t>
      </w:r>
      <w:hyperlink r:id="rId6167">
        <w:r>
          <w:rPr>
            <w:color w:val="0000EE"/>
            <w:u w:val="single"/>
          </w:rPr>
          <w:t>1Cr 17.20</w:t>
        </w:r>
      </w:hyperlink>
      <w:r>
        <w:t xml:space="preserve">; </w:t>
      </w:r>
      <w:hyperlink r:id="rId6168">
        <w:r>
          <w:rPr>
            <w:color w:val="0000EE"/>
            <w:u w:val="single"/>
          </w:rPr>
          <w:t>2Cr 6.14</w:t>
        </w:r>
      </w:hyperlink>
      <w:r>
        <w:t>).</w:t>
      </w:r>
    </w:p>
    <w:p>
      <w:r/>
      <w:r>
        <w:t>Crônicas enfatiza que o Senhor é “maior que todos os deuses” (</w:t>
      </w:r>
      <w:hyperlink r:id="rId6169">
        <w:r>
          <w:rPr>
            <w:color w:val="0000EE"/>
            <w:u w:val="single"/>
          </w:rPr>
          <w:t>2Cr 2.5</w:t>
        </w:r>
      </w:hyperlink>
      <w:r>
        <w:t xml:space="preserve">). A passagem clássica que destaca as diferenças entre Deus e o “deus” de uma nação está em </w:t>
      </w:r>
      <w:hyperlink r:id="rId6170">
        <w:r>
          <w:rPr>
            <w:color w:val="0000EE"/>
            <w:u w:val="single"/>
          </w:rPr>
          <w:t>2 Crônicas 32</w:t>
        </w:r>
      </w:hyperlink>
      <w:r>
        <w:t>. Quando Senaqueribe atacou Jerusalém, ele perguntou ao povo em quem eles estavam confiando para resistir ao cerco em Jerusalém. Senaqueribe estava dizendo, na verdade: “Não deixem que Ezequias os engane dizendo que o seu Deus os livrará. Nenhum deus de qualquer nação até agora foi capaz de resistir a mim. O seu Deus é como os deuses de todas as outras nações. Ele não será capaz de livrá-los de mim”. O Cronista observa que os assírios falaram do Deus de Jerusalém como falavam dos deuses dos povos da terra. Mas Deus realmente livrou Ezequias e os habitantes de Jerusalém de Senaqueribe.</w:t>
      </w:r>
    </w:p>
    <w:p>
      <w:r/>
      <w:r>
        <w:t>Várias passagens declaram que Deus governa sobre as nações (</w:t>
      </w:r>
      <w:hyperlink r:id="rId6171">
        <w:r>
          <w:rPr>
            <w:color w:val="0000EE"/>
            <w:u w:val="single"/>
          </w:rPr>
          <w:t>1Cr 17.21</w:t>
        </w:r>
      </w:hyperlink>
      <w:r>
        <w:t xml:space="preserve">; </w:t>
      </w:r>
      <w:hyperlink r:id="rId6172">
        <w:r>
          <w:rPr>
            <w:color w:val="0000EE"/>
            <w:u w:val="single"/>
          </w:rPr>
          <w:t>2Cr 20.6</w:t>
        </w:r>
      </w:hyperlink>
      <w:r>
        <w:t>). De fato, o Cronista via o Senhor como aquele que dirige a história. O Senhor trouxe Israel do Egito e expulsou os cananeus de sua terra (</w:t>
      </w:r>
      <w:hyperlink r:id="rId6171">
        <w:r>
          <w:rPr>
            <w:color w:val="0000EE"/>
            <w:u w:val="single"/>
          </w:rPr>
          <w:t>1Cr 17.21</w:t>
        </w:r>
      </w:hyperlink>
      <w:r>
        <w:t xml:space="preserve">; </w:t>
      </w:r>
      <w:hyperlink r:id="rId6173">
        <w:r>
          <w:rPr>
            <w:color w:val="0000EE"/>
            <w:u w:val="single"/>
          </w:rPr>
          <w:t>2Cr 6.5</w:t>
        </w:r>
      </w:hyperlink>
      <w:r>
        <w:t xml:space="preserve">; </w:t>
      </w:r>
      <w:hyperlink r:id="rId6174">
        <w:r>
          <w:rPr>
            <w:color w:val="0000EE"/>
            <w:u w:val="single"/>
          </w:rPr>
          <w:t>20.7</w:t>
        </w:r>
      </w:hyperlink>
      <w:r>
        <w:t>). Algumas aparentes peculiaridades da história são explicadas com frases como “Deus havia decidido” (</w:t>
      </w:r>
      <w:hyperlink r:id="rId6175">
        <w:r>
          <w:rPr>
            <w:color w:val="0000EE"/>
            <w:u w:val="single"/>
          </w:rPr>
          <w:t>2Cr 22.7</w:t>
        </w:r>
      </w:hyperlink>
      <w:r>
        <w:t>, NTLH). Repetidamente, ao contar a história das lutas dos reis de Judá com outras nações, Crônicas aponta que o Senhor sempre decidiu a batalha (</w:t>
      </w:r>
      <w:hyperlink r:id="rId6176">
        <w:r>
          <w:rPr>
            <w:color w:val="0000EE"/>
            <w:u w:val="single"/>
          </w:rPr>
          <w:t>1Cr 10.13–14</w:t>
        </w:r>
      </w:hyperlink>
      <w:r>
        <w:t xml:space="preserve">; </w:t>
      </w:r>
      <w:hyperlink r:id="rId6177">
        <w:r>
          <w:rPr>
            <w:color w:val="0000EE"/>
            <w:u w:val="single"/>
          </w:rPr>
          <w:t>18.6</w:t>
        </w:r>
      </w:hyperlink>
      <w:r>
        <w:t xml:space="preserve">; </w:t>
      </w:r>
      <w:hyperlink r:id="rId6178">
        <w:r>
          <w:rPr>
            <w:color w:val="0000EE"/>
            <w:u w:val="single"/>
          </w:rPr>
          <w:t>2Cr 12.2</w:t>
        </w:r>
      </w:hyperlink>
      <w:r>
        <w:t xml:space="preserve">; </w:t>
      </w:r>
      <w:hyperlink r:id="rId6179">
        <w:r>
          <w:rPr>
            <w:color w:val="0000EE"/>
            <w:u w:val="single"/>
          </w:rPr>
          <w:t>13.15</w:t>
        </w:r>
      </w:hyperlink>
      <w:r>
        <w:t xml:space="preserve">; </w:t>
      </w:r>
      <w:hyperlink r:id="rId6180">
        <w:r>
          <w:rPr>
            <w:color w:val="0000EE"/>
            <w:u w:val="single"/>
          </w:rPr>
          <w:t>20.15</w:t>
        </w:r>
      </w:hyperlink>
      <w:r>
        <w:t xml:space="preserve">; </w:t>
      </w:r>
      <w:hyperlink r:id="rId6181">
        <w:r>
          <w:rPr>
            <w:color w:val="0000EE"/>
            <w:u w:val="single"/>
          </w:rPr>
          <w:t>21.11–14</w:t>
        </w:r>
      </w:hyperlink>
      <w:r>
        <w:t xml:space="preserve">; </w:t>
      </w:r>
      <w:hyperlink r:id="rId6182">
        <w:r>
          <w:rPr>
            <w:color w:val="0000EE"/>
            <w:u w:val="single"/>
          </w:rPr>
          <w:t>24.18</w:t>
        </w:r>
      </w:hyperlink>
      <w:r>
        <w:t xml:space="preserve">; </w:t>
      </w:r>
      <w:hyperlink r:id="rId6183">
        <w:r>
          <w:rPr>
            <w:color w:val="0000EE"/>
            <w:u w:val="single"/>
          </w:rPr>
          <w:t>28.1,5–6,19</w:t>
        </w:r>
      </w:hyperlink>
      <w:r>
        <w:t>).</w:t>
      </w:r>
    </w:p>
    <w:p>
      <w:r/>
      <w:r>
        <w:t>Para o Cronista, o Senhor era um Deus que mantinha alianças (</w:t>
      </w:r>
      <w:hyperlink r:id="rId6168">
        <w:r>
          <w:rPr>
            <w:color w:val="0000EE"/>
            <w:u w:val="single"/>
          </w:rPr>
          <w:t>2Cr 6.14</w:t>
        </w:r>
      </w:hyperlink>
      <w:r>
        <w:t>). Ele era o Deus da justiça e retidão (</w:t>
      </w:r>
      <w:hyperlink r:id="rId6184">
        <w:r>
          <w:rPr>
            <w:color w:val="0000EE"/>
            <w:u w:val="single"/>
          </w:rPr>
          <w:t>12.6</w:t>
        </w:r>
      </w:hyperlink>
      <w:r>
        <w:t>), então os juízes humanos devem julgar honestamente e de forma justa (</w:t>
      </w:r>
      <w:hyperlink r:id="rId6185">
        <w:r>
          <w:rPr>
            <w:color w:val="0000EE"/>
            <w:u w:val="single"/>
          </w:rPr>
          <w:t>19.7</w:t>
        </w:r>
      </w:hyperlink>
      <w:r>
        <w:t>). O Cronista deixou claro que nenhum indivíduo ou nação poderia ter sucesso ao se opor a Deus (</w:t>
      </w:r>
      <w:hyperlink r:id="rId6186">
        <w:r>
          <w:rPr>
            <w:color w:val="0000EE"/>
            <w:u w:val="single"/>
          </w:rPr>
          <w:t>24.20</w:t>
        </w:r>
      </w:hyperlink>
      <w:r>
        <w:t>); as pessoas não apenas falhariam contra Deus, mas também eram impotentes sem ele (</w:t>
      </w:r>
      <w:hyperlink r:id="rId6187">
        <w:r>
          <w:rPr>
            <w:color w:val="0000EE"/>
            <w:u w:val="single"/>
          </w:rPr>
          <w:t>1Cr 29.14</w:t>
        </w:r>
      </w:hyperlink>
      <w:r>
        <w:t xml:space="preserve">; </w:t>
      </w:r>
      <w:hyperlink r:id="rId6188">
        <w:r>
          <w:rPr>
            <w:color w:val="0000EE"/>
            <w:u w:val="single"/>
          </w:rPr>
          <w:t>2Cr 20.12</w:t>
        </w:r>
      </w:hyperlink>
      <w:r>
        <w:t>).</w:t>
      </w:r>
    </w:p>
    <w:p>
      <w:r/>
      <w:r>
        <w:t>O Senhor é visto não apenas como um Deus único, justo e poderoso, mas também como um Deus sábio. Deus testa o coração humano e sabe quando encontra integridade (</w:t>
      </w:r>
      <w:hyperlink r:id="rId6189">
        <w:r>
          <w:rPr>
            <w:color w:val="0000EE"/>
            <w:u w:val="single"/>
          </w:rPr>
          <w:t>1Cr 29.17</w:t>
        </w:r>
      </w:hyperlink>
      <w:r>
        <w:t>). Salomão orou para que Deus “ouve tu desde os céus, do assento da tua habitação, e perdoa, e dá a cada um conforme todos os seus caminhos, segundo conheces o seu coração (pois só tu conheces o coração dos filhos dos homens)” (</w:t>
      </w:r>
      <w:hyperlink r:id="rId6190">
        <w:r>
          <w:rPr>
            <w:color w:val="0000EE"/>
            <w:u w:val="single"/>
          </w:rPr>
          <w:t>2Cr 6.30</w:t>
        </w:r>
      </w:hyperlink>
      <w:r>
        <w:t>, NTLH).</w:t>
      </w:r>
    </w:p>
    <w:p>
      <w:r/>
      <w:r>
        <w:t>Embora Deus saiba tudo sobre os seres humanos e tenha poder supremo no céu e na terra, homens e mulheres ainda são livres para obedecer ou desobedecer ao Senhor. As histórias em Crônicas retratam pessoas que escolheram obedecer ou desobedecer a Deus. Aqueles que obedeceram tiveram sucesso; mas na medida em que outros, até mesmo reis, desobedeceram a Deus, eles falharam. Três dos heróis do Cronista foram Josafá, Ezequias e Josias. Cada um foi um grande reformador, e cada um foi elogiado por obedecer ao Senhor. No entanto, cada um pecou perto do fim de sua vida e incorreram no desagrado de Deus. Josafá se juntou a uma aliança com um rei perverso do norte (</w:t>
      </w:r>
      <w:hyperlink r:id="rId6191">
        <w:r>
          <w:rPr>
            <w:color w:val="0000EE"/>
            <w:u w:val="single"/>
          </w:rPr>
          <w:t>2Cr 20.35–37</w:t>
        </w:r>
      </w:hyperlink>
      <w:r>
        <w:t>). Ezequias pecou ao receber enviados da Babilônia e “Deus o deixou por conta própria” (</w:t>
      </w:r>
      <w:hyperlink r:id="rId6192">
        <w:r>
          <w:rPr>
            <w:color w:val="0000EE"/>
            <w:u w:val="single"/>
          </w:rPr>
          <w:t>32.31</w:t>
        </w:r>
      </w:hyperlink>
      <w:r>
        <w:t>). Josias não obedeceu à palavra de Deus falada por Faraó Neco e foi morto (</w:t>
      </w:r>
      <w:hyperlink r:id="rId6193">
        <w:r>
          <w:rPr>
            <w:color w:val="0000EE"/>
            <w:u w:val="single"/>
          </w:rPr>
          <w:t>35.21–24</w:t>
        </w:r>
      </w:hyperlink>
      <w:r>
        <w:t>).</w:t>
      </w:r>
    </w:p>
    <w:p>
      <w:r/>
      <w:r>
        <w:t>O cronista acreditava que todos os seres humanos pecaram (</w:t>
      </w:r>
      <w:hyperlink r:id="rId6194">
        <w:r>
          <w:rPr>
            <w:color w:val="0000EE"/>
            <w:u w:val="single"/>
          </w:rPr>
          <w:t>2Cr 6.36</w:t>
        </w:r>
      </w:hyperlink>
      <w:r>
        <w:t>) e deveriam se arrepender com toda a mente e coração (</w:t>
      </w:r>
      <w:hyperlink r:id="rId6195">
        <w:r>
          <w:rPr>
            <w:color w:val="0000EE"/>
            <w:u w:val="single"/>
          </w:rPr>
          <w:t>6.38</w:t>
        </w:r>
      </w:hyperlink>
      <w:r>
        <w:t xml:space="preserve">). Uma das maiores passagens sobre arrependimento em toda a Bíblia está em </w:t>
      </w:r>
      <w:hyperlink r:id="rId5374">
        <w:r>
          <w:rPr>
            <w:color w:val="0000EE"/>
            <w:u w:val="single"/>
          </w:rPr>
          <w:t>2 Crônicas 7.14</w:t>
        </w:r>
      </w:hyperlink>
      <w:r>
        <w:t>.</w:t>
      </w:r>
    </w:p>
    <w:p>
      <w:r/>
      <w:r>
        <w:t>Um tema proeminente em Crônicas é a importância do templo como o local para encontrar Deus em adoração. Pode-se dizer que quase tudo em Crônicas está relacionado ao templo de alguma forma. Para uma pessoa vivendo em Jerusalém no quarto século a.C. sob a dominação persa, a adoração no templo era muito significativa. O Cronista expressou a importância da verdadeira comunidade e da adoração institucional.</w:t>
      </w:r>
    </w:p>
    <w:p>
      <w:r/>
      <w:r>
        <w:t xml:space="preserve">A adoração era a atitude predominante do Cronista, cujo Deus era digno de ser louvado. Um serviço de adoração é descrito em </w:t>
      </w:r>
      <w:hyperlink r:id="rId6196">
        <w:r>
          <w:rPr>
            <w:color w:val="0000EE"/>
            <w:u w:val="single"/>
          </w:rPr>
          <w:t>2 Crônicas 29.20–30</w:t>
        </w:r>
      </w:hyperlink>
      <w:r>
        <w:t>. Ezequias ordenou que uma oferta queimada e uma oferta pelo pecado fossem feitas por todo Israel. Os levitas estavam posicionados na casa do Senhor com címbalos, harpas e liras. Os sacerdotes tinham trombetas “Ezequias ordenou que oferecessem no altar o sacrifício que ia ser completamente queimado; e, logo que o sacrifício começou, todos começaram a cantar hinos de louvor a Deus, o Senhor, acompanhados pelas trombetas e pelos outros instrumentos musicais. Todos adoraram a Deus, e os hinos e o toque de trombetas continuaram até que o sacrifício terminou. Em seguida, o rei e todas as outras pessoas se ajoelharam e adoraram a Deus. O rei e as altas autoridades disseram aos levitas que cantassem ao Senhor os cânticos compostos por Davi e pelo profeta Asafe. Cantaram cheios de alegria e depois se ajoelharam e adoraram a Deus” (</w:t>
      </w:r>
      <w:hyperlink r:id="rId6197">
        <w:r>
          <w:rPr>
            <w:color w:val="0000EE"/>
            <w:u w:val="single"/>
          </w:rPr>
          <w:t>2Cr 29.27–30</w:t>
        </w:r>
      </w:hyperlink>
      <w:r>
        <w:t>, NTLH).</w:t>
      </w:r>
    </w:p>
    <w:p>
      <w:r/>
      <w:r>
        <w:rPr>
          <w:i/>
        </w:rPr>
        <w:t>Veja também</w:t>
      </w:r>
      <w:r>
        <w:t xml:space="preserve"> </w:t>
      </w:r>
      <w:r>
        <w:t>Cronologia da Bíblia (Antigo Testamento)</w:t>
      </w:r>
      <w:r>
        <w:t xml:space="preserve">; </w:t>
      </w:r>
      <w:r>
        <w:t>Israel, História de</w:t>
      </w:r>
      <w:r>
        <w:t xml:space="preserve">; </w:t>
      </w:r>
      <w:r>
        <w:t>Reis,</w:t>
      </w:r>
      <w:r>
        <w:t xml:space="preserve"> </w:t>
      </w:r>
      <w:r>
        <w:t>Livros de primeiro e segundo</w:t>
      </w:r>
      <w:r>
        <w:t>.</w:t>
      </w:r>
      <w:r/>
      <w:r/>
    </w:p>
    <w:p>
      <w:r/>
    </w:p>
    <w:p>
      <w:pPr>
        <w:pStyle w:val="Heading2"/>
      </w:pPr>
      <w:r>
        <w:t>Cronologia da Bíblia (Antigo Testamento)</w:t>
      </w:r>
      <w:r/>
    </w:p>
    <w:p>
      <w:r/>
      <w:r>
        <w:t>Ramo dos estudos bíblicos que tenta atribuir datas e sequências aos eventos do AT. A cronologia é uma ciência. Lida com evidências, teorias, suposições e o equilíbrio das probabilidades. Muitas vezes, resume-se a uma questão de escolher entre teorias que são igualmente incapazes de resolver todos os problemas levantados por outros pontos de vista. A cronologia do AT é um ramo credenciado dos estudos bíblicos principalmente porque é essencial para entender o contexto histórico adequado dos textos bíblicos. Em geral, a cronologia do AT é compreendida bem o suficiente para vindicar a precisão básica e a ordem sequencial das Escrituras.</w:t>
      </w:r>
    </w:p>
    <w:p>
      <w:r/>
      <w:r>
        <w:t xml:space="preserve">Materiais bíblicos e não bíblicos são utilizados por estudantes de cronologia do AT. Dados bíblicos incluem (1) genealogias mostrando afiliações pessoais e tribais entre vários povos; (2) números específicos dados por autores bíblicos para indicar a longevidade de uma pessoa, o reinado de um rei ou a duração de um evento específico; (3) declarações de sincronização que datam um evento em um ano específico do reinado de um rei ou o relacionam a um fenômeno natural assumido como conhecimento comum na época da escrita (por exemplo, </w:t>
      </w:r>
      <w:hyperlink r:id="rId1257">
        <w:r>
          <w:rPr>
            <w:color w:val="0000EE"/>
            <w:u w:val="single"/>
          </w:rPr>
          <w:t>Amós 1.1</w:t>
        </w:r>
      </w:hyperlink>
      <w:r>
        <w:t xml:space="preserve">; </w:t>
      </w:r>
      <w:hyperlink r:id="rId1258">
        <w:r>
          <w:rPr>
            <w:color w:val="0000EE"/>
            <w:u w:val="single"/>
          </w:rPr>
          <w:t>Zacarias 14.5</w:t>
        </w:r>
      </w:hyperlink>
      <w:r>
        <w:t>).</w:t>
      </w:r>
    </w:p>
    <w:p>
      <w:r/>
      <w:r>
        <w:t>A partir da abundância de tais passagens cronológicas no AT, pode-se concluir que o estabelecimento de datas e sequências do AT seria um procedimento simples. Cada um dos três tipos de materiais bíblicos, no entanto, apresenta problemas especiais que devem ser resolvidos primeiro.</w:t>
      </w:r>
    </w:p>
    <w:p>
      <w:r/>
      <w:r>
        <w:t>Materiais não bíblicos que lançam luz sobre a cronologia do AT são bastante numerosos, e mais são descobertos ano após ano. Eles incluem (1) registros oficiais de assuntos importantes, como campanhas militares de países como Egito ou Babilônia; (2) inscrições oficiais que são dedicatórias ou comemoram uma grande vitória; (3) anais listando as principais realizações de um governante ano após ano; (4) ostraca (pedaços de cerâmica inscritos) contendo cartas, transações fiscais e registros econômicos, despachos militares entre líderes de campo e quartéis-generais, ou outras informações. Ostraca podem ser datados arqueologicamente e são frequentemente usados para complementar o registro bíblico.</w:t>
      </w:r>
    </w:p>
    <w:p>
      <w:r/>
      <w:r>
        <w:t>O cronologista tenta examinar as informações bíblicas e não bíblicas pertinentes, observa áreas de correlação entre todos os dados e, finalmente, estabelece um sistema de trabalho no qual o maior número de fatos pode ser encaixado. Novas evidências descobertas a qualquer momento podem necessitar mudanças no sistema de trabalho atual. Embora a estrutura básica da cronologia bíblica pareça razoavelmente firme, muitos detalhes sem dúvida estarão sujeitos a mudanças à medida que novas evidências forem descobertas.</w:t>
      </w:r>
    </w:p>
    <w:p>
      <w:r/>
      <w:r>
        <w:t>Como regra geral, quanto mais antigo o período, menos certa é a datação. No segundo milênio a.C., por exemplo, muitas datas podem ser atribuídas dentro de um intervalo de cerca de 100 anos. Na época de Davi e Salomão (ca. 1000 a.C.), a margem de erro sobre a qual os estudiosos debatem é de uma década ou menos. O intervalo se estreita à medida que se aproxima do presente, de modo que, com exceção de uma ou duas eras problemáticas, datas precisas dentro de um ou dois anos são possíveis por volta do meio do nono século a.C. Tais limitações devem ser mantidas em mente em qualquer exame dos principais períodos da história do AT.</w:t>
      </w:r>
    </w:p>
    <w:p>
      <w:r/>
      <w:r>
        <w:t>Resumo</w:t>
      </w:r>
    </w:p>
    <w:p>
      <w:r/>
      <w:r>
        <w:t>• Período pré-patriarcal</w:t>
      </w:r>
    </w:p>
    <w:p>
      <w:r/>
      <w:r>
        <w:t>• De Abraão a Moisés</w:t>
      </w:r>
    </w:p>
    <w:p>
      <w:r/>
      <w:r>
        <w:t>• Conquista e consolidação</w:t>
      </w:r>
    </w:p>
    <w:p>
      <w:r/>
      <w:r>
        <w:t>• A monarquia</w:t>
      </w:r>
    </w:p>
    <w:p>
      <w:r/>
      <w:r>
        <w:t>• Judá após a queda de Israel</w:t>
      </w:r>
    </w:p>
    <w:p>
      <w:r/>
      <w:r>
        <w:t>• Além de 587 a.C.</w:t>
      </w:r>
    </w:p>
    <w:p>
      <w:pPr>
        <w:pStyle w:val="Heading3"/>
      </w:pPr>
      <w:r>
        <w:t>Período pré-patriarcal</w:t>
      </w:r>
    </w:p>
    <w:p>
      <w:pPr>
        <w:pStyle w:val="Heading4"/>
      </w:pPr>
      <w:r>
        <w:t>Evidência bíblica</w:t>
      </w:r>
    </w:p>
    <w:p>
      <w:r/>
      <w:r>
        <w:t xml:space="preserve">Nos primeiros 11 capítulos de Gênesis encontram-se relatos da Criação (caps. </w:t>
      </w:r>
      <w:hyperlink r:id="rId6198">
        <w:r>
          <w:rPr>
            <w:color w:val="0000EE"/>
            <w:u w:val="single"/>
          </w:rPr>
          <w:t>1–2</w:t>
        </w:r>
      </w:hyperlink>
      <w:r>
        <w:t xml:space="preserve">), a queda (cap. </w:t>
      </w:r>
      <w:hyperlink r:id="rId6199">
        <w:r>
          <w:rPr>
            <w:color w:val="0000EE"/>
            <w:u w:val="single"/>
          </w:rPr>
          <w:t>3</w:t>
        </w:r>
      </w:hyperlink>
      <w:r>
        <w:t xml:space="preserve">), Caim e Abel (cap. </w:t>
      </w:r>
      <w:hyperlink r:id="rId6200">
        <w:r>
          <w:rPr>
            <w:color w:val="0000EE"/>
            <w:u w:val="single"/>
          </w:rPr>
          <w:t>4</w:t>
        </w:r>
      </w:hyperlink>
      <w:r>
        <w:t xml:space="preserve">), o Dilúvio (caps. </w:t>
      </w:r>
      <w:hyperlink r:id="rId6201">
        <w:r>
          <w:rPr>
            <w:color w:val="0000EE"/>
            <w:u w:val="single"/>
          </w:rPr>
          <w:t>6–9</w:t>
        </w:r>
      </w:hyperlink>
      <w:r>
        <w:t xml:space="preserve">), e a Torre de Babel (cap. </w:t>
      </w:r>
      <w:hyperlink r:id="rId6202">
        <w:r>
          <w:rPr>
            <w:color w:val="0000EE"/>
            <w:u w:val="single"/>
          </w:rPr>
          <w:t>11</w:t>
        </w:r>
      </w:hyperlink>
      <w:r>
        <w:t>). Esses eventos estão situados dentro de um certo quadro cronológico.</w:t>
      </w:r>
    </w:p>
    <w:p>
      <w:r/>
      <w:r>
        <w:t xml:space="preserve">De acordo com </w:t>
      </w:r>
      <w:hyperlink r:id="rId6203">
        <w:r>
          <w:rPr>
            <w:color w:val="0000EE"/>
            <w:u w:val="single"/>
          </w:rPr>
          <w:t>Gênesis 5</w:t>
        </w:r>
      </w:hyperlink>
      <w:r>
        <w:t>, um período de 10 gerações se passou entre a Criação e o Dilúvio. Embora os indivíduos listados tenham desfrutado de uma vida total de impressionantes 847 anos ou mais, o tempo total decorrido entre Adão e o Dilúvio foi de apenas 1.656 anos.</w:t>
      </w:r>
    </w:p>
    <w:p>
      <w:r/>
      <w:r>
        <w:t xml:space="preserve">De acordo com </w:t>
      </w:r>
      <w:hyperlink r:id="rId158">
        <w:r>
          <w:rPr>
            <w:color w:val="0000EE"/>
            <w:u w:val="single"/>
          </w:rPr>
          <w:t>Gênesis 11</w:t>
        </w:r>
      </w:hyperlink>
      <w:r>
        <w:t xml:space="preserve">, outras 10 gerações se passaram desde o tempo do Dilúvio até o tempo de Abraão (pelo menos na Septuaginta, a tradução grega do terceiro século a.C. do AT; o texto hebraico massorético tem 9). Nesse período, a idade média alcançada pelos indivíduos na lista é de 346 anos (usando um valor de 460 para Cainã, filho de Arfaxade, que está incluído no v </w:t>
      </w:r>
      <w:hyperlink r:id="rId6204">
        <w:r>
          <w:rPr>
            <w:color w:val="0000EE"/>
            <w:u w:val="single"/>
          </w:rPr>
          <w:t>13</w:t>
        </w:r>
      </w:hyperlink>
      <w:r>
        <w:t xml:space="preserve"> da LXX; cf. </w:t>
      </w:r>
      <w:hyperlink r:id="rId2485">
        <w:r>
          <w:rPr>
            <w:color w:val="0000EE"/>
            <w:u w:val="single"/>
          </w:rPr>
          <w:t>Lucas 3.36</w:t>
        </w:r>
      </w:hyperlink>
      <w:r>
        <w:t>); o tempo total decorrido do Dilúvio até Abraão é de apenas 520 anos. Tomado literalmente, isso significaria que todos os ancestrais de Abraão, desde o filho de Noé, Sem, ainda estavam vivos no nascimento de Abraão, e que um total de apenas 2.176 anos se passaram desde a Criação até Abraão.</w:t>
      </w:r>
    </w:p>
    <w:p>
      <w:pPr>
        <w:pStyle w:val="Heading4"/>
      </w:pPr>
      <w:r>
        <w:t>Interpretação dos dados bíblicos</w:t>
      </w:r>
    </w:p>
    <w:p>
      <w:r/>
      <w:r>
        <w:t>Uma interpretação literalista ou matematicamente servil dos números, como apareceu na margem de muitas Bíblias King James em inglês, requer uma série de suposições: que nenhum nome foi omitido das genealogias, que todos os números dados são consecutivos e, especialmente, que os números usados em uma fonte bíblica antiga têm o mesmo significado que lhes é associado na mente ocidental moderna. Cada suposição precisa de um exame sério à luz de outros fatos estabelecidos.</w:t>
      </w:r>
    </w:p>
    <w:p>
      <w:r/>
      <w:r>
        <w:t xml:space="preserve">Uma leitura superficial de outras genealogias bíblicas, por exemplo, revela que nem todos os nomes de uma determinada família foram sempre incluídos. Mesmo Mateus registrou um total de 28 gerações (dois conjuntos de 14 cada) entre Davi e Jesus, e a comparação com genealogias do AT revela que Mateus omitiu vários nomes. Lucas listou um total de 42 gerações para o mesmo intervalo. As omissões também são óbvias quando se comparam as listas genealógicas dadas em </w:t>
      </w:r>
      <w:hyperlink r:id="rId6205">
        <w:r>
          <w:rPr>
            <w:color w:val="0000EE"/>
            <w:u w:val="single"/>
          </w:rPr>
          <w:t>1 Crônicas 1–8</w:t>
        </w:r>
      </w:hyperlink>
      <w:r>
        <w:t xml:space="preserve"> com aquelas registradas anteriormente em Gênesis, Êxodo, Números, Josué, 1 e 2 Samuel, e 1 e 2 Reis.</w:t>
      </w:r>
    </w:p>
    <w:p>
      <w:r/>
      <w:r>
        <w:t xml:space="preserve">Além disso, os povos antigos pensavam nos números de uma maneira esquemática ou estilizada. O uso de números entre as nações do antigo Oriente Próximo diferia acentuadamente da prática ocidental atual. Exemplos dessa prática são conhecidos de fontes bíblicas e não bíblicas. Por exemplo, uma lista de oito reis sumérios que governaram na cidade de </w:t>
      </w:r>
      <w:r>
        <w:t xml:space="preserve">Churupaque (também conhecida como Xurupaque ou </w:t>
      </w:r>
      <w:r>
        <w:t>Shurruppak) antes do “Grande Dilúvio” da era Jemdet Nasr (ca. 3000 a.C.) atribui a cada homem um reinado médio de mais de 30.000 anos. Berossus, um sacerdote babilônico de Marduk que viveu no terceiro século a.C., adicionou dois nomes aos oito encontrados naquela lista anterior de reis e atribuiu uma média de 43.200 anos a cada rei. Esses números extraordinariamente altos fornecem uma perspectiva para considerar os números de Gênesis.</w:t>
      </w:r>
    </w:p>
    <w:p>
      <w:r/>
      <w:r>
        <w:t>Portanto, embora se possa supor que os números atribuídos às idades dos patriarcas anteriores a Abraão em Gênesis tinham um significado real para aqueles responsáveis por sua preservação, eles não devem ser usados de forma puramente literal para calcular a duração das várias gerações mencionadas no texto. Além disso, os números dados na Septuaginta e no Pentateuco Samaritano, outra versão antiga do Pentateuco, divergem em muitos detalhes dos do Texto Massorético Hebraico. Isso significa, entre outras coisas, que os números de Gênesis causaram problemas até mesmo para os primeiros estudiosos das Escrituras.</w:t>
      </w:r>
    </w:p>
    <w:p>
      <w:pPr>
        <w:pStyle w:val="Heading4"/>
      </w:pPr>
      <w:r>
        <w:t>Evidência não bíblica</w:t>
      </w:r>
    </w:p>
    <w:p>
      <w:r/>
      <w:r>
        <w:t xml:space="preserve">A arqueologia não fornece evidências que possam ser usadas para datar a Criação ou qualquer outro relato preservado em </w:t>
      </w:r>
      <w:hyperlink r:id="rId6206">
        <w:r>
          <w:rPr>
            <w:color w:val="0000EE"/>
            <w:u w:val="single"/>
          </w:rPr>
          <w:t>Gênesis 1–11</w:t>
        </w:r>
      </w:hyperlink>
      <w:r>
        <w:t>. O Dilúvio é um exemplo que ilustra algumas das dificuldades. Muitas afirmações foram feitas por pessoas de uma ampla variedade de origens (cientistas, exploradores, teólogos e outros) no sentido de que a arqueologia provou ser verdadeiro o relato do Dilúvio de Gênesis. No entanto, nenhuma cidade até agora escavada na Palestina e Síria (incluindo algumas das cidades mais antigas do mundo) mostra evidências arqueológicas do Dilúvio.</w:t>
      </w:r>
    </w:p>
    <w:p>
      <w:r/>
      <w:r>
        <w:t xml:space="preserve">Embora várias cidades na Mesopotâmia exibam evidências de uma inundação, três fatores tornam difícil ligar essa evidência com </w:t>
      </w:r>
      <w:hyperlink r:id="rId6201">
        <w:r>
          <w:rPr>
            <w:color w:val="0000EE"/>
            <w:u w:val="single"/>
          </w:rPr>
          <w:t>Gênesis 6–9</w:t>
        </w:r>
      </w:hyperlink>
      <w:r>
        <w:t>. Cada um dos níveis de inundação descobertos até agora data de um período diferente. Além disso, como locais próximos não mostram evidências de inundação, todas as evidências de inundação mesopotâmica apontam para inundações locais relativamente pequenas. Finalmente, as evidências não indicam grandes descontinuidades culturais do tipo que resultariam da destruição de uma população inteira. Assim, parece que as antigas inundações mesopotâmicas descobertas através de pesquisas arqueológicas são do mesmo tipo que as inundações que ainda ocorrem no vale do Rio Eufrates.</w:t>
      </w:r>
    </w:p>
    <w:p>
      <w:r/>
      <w:r>
        <w:t xml:space="preserve">Claramente, certas perguntas que alguém possa fazer sobre as narrativas de Gênesis simplesmente não podem ser respondidas. Muitos que consideram a Bíblia como a Palavra de Deus concluíram que a datação dos eventos encontrados em </w:t>
      </w:r>
      <w:hyperlink r:id="rId6206">
        <w:r>
          <w:rPr>
            <w:color w:val="0000EE"/>
            <w:u w:val="single"/>
          </w:rPr>
          <w:t>Gênesis 1–11</w:t>
        </w:r>
      </w:hyperlink>
      <w:r>
        <w:t xml:space="preserve"> deve ser menos importante do que as verdades teológicas de salvação, fé e obediência que esses relatos apresentam.</w:t>
      </w:r>
    </w:p>
    <w:p>
      <w:pPr>
        <w:pStyle w:val="Heading3"/>
      </w:pPr>
      <w:r>
        <w:t>De Abraão a Moisés</w:t>
      </w:r>
    </w:p>
    <w:p>
      <w:pPr>
        <w:pStyle w:val="Heading4"/>
      </w:pPr>
      <w:r>
        <w:t>A era patriarcal</w:t>
      </w:r>
    </w:p>
    <w:p>
      <w:r/>
      <w:r>
        <w:t>A data de Abraão ainda é um tópico debatido entre os estudiosos bíblicos que concordam que Abraão, Isaque e Jacó foram de fato pessoas históricas. As opiniões variam desde uma visão de datação antiga que estima que a era patriarcal se estendeu de 2086 a 1871 a.C., até uma visão de datação tardia que coloca Abraão por volta de 1400 a.C. Como cada posição afirma se encaixar nos dados bíblicos, é necessário um exame mais detalhado dos dois pontos de vista.</w:t>
      </w:r>
    </w:p>
    <w:p>
      <w:r/>
      <w:r>
        <w:t xml:space="preserve">Muitas passagens do AT parecem apoiar a visão que coloca Abraão em uma data comparativamente precoce. No texto de </w:t>
      </w:r>
      <w:hyperlink r:id="rId5414">
        <w:r>
          <w:rPr>
            <w:color w:val="0000EE"/>
            <w:u w:val="single"/>
          </w:rPr>
          <w:t>1 Reis 6.1</w:t>
        </w:r>
      </w:hyperlink>
      <w:r>
        <w:t xml:space="preserve"> calcula 480 anos de volta a partir da fundação do templo no quarto ano do reinado de Salomão (961 a.C., de acordo com a visão de data precoce) até o Êxodo do Egito, que seria então datado de 1441 a.C. Contando 430 anos como o período da permanência israelita no Egito (veja </w:t>
      </w:r>
      <w:hyperlink r:id="rId6207">
        <w:r>
          <w:rPr>
            <w:color w:val="0000EE"/>
            <w:u w:val="single"/>
          </w:rPr>
          <w:t>Gênesis 15.13</w:t>
        </w:r>
      </w:hyperlink>
      <w:r>
        <w:t xml:space="preserve">; </w:t>
      </w:r>
      <w:hyperlink r:id="rId6208">
        <w:r>
          <w:rPr>
            <w:color w:val="0000EE"/>
            <w:u w:val="single"/>
          </w:rPr>
          <w:t>Êxodos 12.40</w:t>
        </w:r>
      </w:hyperlink>
      <w:r>
        <w:t xml:space="preserve">) leva a data de volta para 1871 a.C. A essa data são adicionados os 215 anos exigidos pelo total de (1) a idade de Abraão ao entrar em Canaã (75 anos de acordo com </w:t>
      </w:r>
      <w:hyperlink r:id="rId6209">
        <w:r>
          <w:rPr>
            <w:color w:val="0000EE"/>
            <w:u w:val="single"/>
          </w:rPr>
          <w:t>Gênesis 12.4</w:t>
        </w:r>
      </w:hyperlink>
      <w:r>
        <w:t>); (2) 25 anos adicionais antes do nascimento de Isaque (</w:t>
      </w:r>
      <w:hyperlink r:id="rId6210">
        <w:r>
          <w:rPr>
            <w:color w:val="0000EE"/>
            <w:u w:val="single"/>
          </w:rPr>
          <w:t>Gênesis 21.5</w:t>
        </w:r>
      </w:hyperlink>
      <w:r>
        <w:t>); (3) mais 60 anos até o nascimento de Jacó (</w:t>
      </w:r>
      <w:hyperlink r:id="rId6211">
        <w:r>
          <w:rPr>
            <w:color w:val="0000EE"/>
            <w:u w:val="single"/>
          </w:rPr>
          <w:t>Gênesis 25.26</w:t>
        </w:r>
      </w:hyperlink>
      <w:r>
        <w:t>); e (4) a aparição de Jacó perante o Faraó aos 130 anos (</w:t>
      </w:r>
      <w:hyperlink r:id="rId6212">
        <w:r>
          <w:rPr>
            <w:color w:val="0000EE"/>
            <w:u w:val="single"/>
          </w:rPr>
          <w:t>Gênesis 47.9</w:t>
        </w:r>
      </w:hyperlink>
      <w:r>
        <w:t>). Esses 215 anos adicionados ao total anterior dão uma data de 2086 a.C. para a entrada de Abraão em Canaã e uma data de 2161 a.C. para seu nascimento.</w:t>
      </w:r>
    </w:p>
    <w:p>
      <w:r/>
      <w:r>
        <w:t>Tal cálculo não utiliza todas as evidências cronológicas apresentadas no AT; consequentemente, a data para Abraão está sujeita a questionamentos. Por exemplo, os 480 anos entre o Êxodo e o quarto ano do reinado de Salomão representam um período de tempo no qual as peregrinações no deserto, a carreira de Josué e seus sucessores imediatos, o período dos juízes, Samuel, Saul e Davi devem ser inseridos. Embora o AT não diga especificamente quanto tempo duraram as carreiras de Josué, Samuel ou Saul, mesmo uma estimativa modesta eleva o total de anos exigidos por todos os dados bíblicos juntos para aproximadamente 600.</w:t>
      </w:r>
    </w:p>
    <w:p>
      <w:r/>
      <w:r>
        <w:t xml:space="preserve">Além disso, a duração do tempo a ser atribuída à estada no Egito é problemática. O Pentateuco Samaritano e a Septuaginta consideram o número 430 (em </w:t>
      </w:r>
      <w:hyperlink r:id="rId6208">
        <w:r>
          <w:rPr>
            <w:color w:val="0000EE"/>
            <w:u w:val="single"/>
          </w:rPr>
          <w:t>Êxodo 12.40</w:t>
        </w:r>
      </w:hyperlink>
      <w:r>
        <w:t xml:space="preserve">) como aplicável não apenas aos anos no Egito, mas também aos anos de Abraão, Isaque e Jacó em Canaã. Evidentemente, Paulo seguiu a tradição da Septuaginta quando datou a entrega da lei 430 anos depois do tempo da promessa de Deus a Abraão (veja </w:t>
      </w:r>
      <w:hyperlink r:id="rId4367">
        <w:r>
          <w:rPr>
            <w:color w:val="0000EE"/>
            <w:u w:val="single"/>
          </w:rPr>
          <w:t>Gálatas 3.15–18</w:t>
        </w:r>
      </w:hyperlink>
      <w:r>
        <w:t>). Isso significa que o número da Septuaginta não pode ser descartado levianamente.</w:t>
      </w:r>
    </w:p>
    <w:p>
      <w:r/>
      <w:r>
        <w:t>A datação tardia de Abraão (ca. 1400 a.C.) baseia-se em duas proposições: (1) A imagem da sociedade patriarcal retratada em Gênesis se assemelha mais de perto àquela refletida nas tábuas cuneiformes recuperadas de Nuzi, uma cidade no nordeste da Mesopotâmia, cerca de 282 quilômetros ao norte de Bagdá. (2) Como essas tábuas devem ser datadas nos séculos 15 e 14 a.C., a era patriarcal paralela deve ter ocorrido dentro do mesmo período geral.</w:t>
      </w:r>
    </w:p>
    <w:p>
      <w:r/>
      <w:r>
        <w:t>Aqueles que defendem a visão de data tardia estão cientes de que sua data para Abraão não pode ser equiparada ao conjunto de números dos quais a visão de data inicial depende. Eles apontam para outros dados, também do AT. José, que já era um oficial egípcio de alta posição quando Jacó se mudou para o Egito, viveu até os 110 anos (</w:t>
      </w:r>
      <w:hyperlink r:id="rId2424">
        <w:r>
          <w:rPr>
            <w:color w:val="0000EE"/>
            <w:u w:val="single"/>
          </w:rPr>
          <w:t>Gênesis 50.26</w:t>
        </w:r>
      </w:hyperlink>
      <w:r>
        <w:t xml:space="preserve">). Moisés era bisneto de Levi, irmão mais velho de José. Como José viveu para ver seus próprios bisnetos nascerem (que provavelmente seriam mais jovens que Moisés, já que seu bisavô era mais jovem que o dele), a visão de data tardia conclui que José poderia estar vivo quando Moisés nasceu. A genealogia de quatro gerações de Moisés (Levi-Coate-Amrão-Moisés, em </w:t>
      </w:r>
      <w:hyperlink r:id="rId1975">
        <w:r>
          <w:rPr>
            <w:color w:val="0000EE"/>
            <w:u w:val="single"/>
          </w:rPr>
          <w:t>Êxodo 6.16–20</w:t>
        </w:r>
      </w:hyperlink>
      <w:r>
        <w:t xml:space="preserve">; </w:t>
      </w:r>
      <w:hyperlink r:id="rId6213">
        <w:r>
          <w:rPr>
            <w:color w:val="0000EE"/>
            <w:u w:val="single"/>
          </w:rPr>
          <w:t>Números 3.17–19</w:t>
        </w:r>
      </w:hyperlink>
      <w:r>
        <w:t xml:space="preserve">; </w:t>
      </w:r>
      <w:hyperlink r:id="rId1976">
        <w:r>
          <w:rPr>
            <w:color w:val="0000EE"/>
            <w:u w:val="single"/>
          </w:rPr>
          <w:t>26.58–59</w:t>
        </w:r>
      </w:hyperlink>
      <w:r>
        <w:t xml:space="preserve">; </w:t>
      </w:r>
      <w:hyperlink r:id="rId6214">
        <w:r>
          <w:rPr>
            <w:color w:val="0000EE"/>
            <w:u w:val="single"/>
          </w:rPr>
          <w:t>1 Crônicas 6.1–3</w:t>
        </w:r>
      </w:hyperlink>
      <w:r>
        <w:t xml:space="preserve">) foi evidentemente considerada completa de acordo com </w:t>
      </w:r>
      <w:hyperlink r:id="rId6215">
        <w:r>
          <w:rPr>
            <w:color w:val="0000EE"/>
            <w:u w:val="single"/>
          </w:rPr>
          <w:t>Gênesis 15.16</w:t>
        </w:r>
      </w:hyperlink>
      <w:r>
        <w:t>, que previu que os descendentes de Abraão seriam libertados da escravidão egípcia “na quarta geração”.</w:t>
      </w:r>
    </w:p>
    <w:p>
      <w:r/>
      <w:r>
        <w:t xml:space="preserve">No entanto, uma data em torno de 1400 a.C. para Abraão não pode ser alinhada com certos outros dados bíblicos, incluindo a longa permanência no Egito exigida por </w:t>
      </w:r>
      <w:hyperlink r:id="rId6207">
        <w:r>
          <w:rPr>
            <w:color w:val="0000EE"/>
            <w:u w:val="single"/>
          </w:rPr>
          <w:t>Gênesis 15.13</w:t>
        </w:r>
      </w:hyperlink>
      <w:r>
        <w:t xml:space="preserve"> e </w:t>
      </w:r>
      <w:hyperlink r:id="rId6208">
        <w:r>
          <w:rPr>
            <w:color w:val="0000EE"/>
            <w:u w:val="single"/>
          </w:rPr>
          <w:t>Êxodo 12.40</w:t>
        </w:r>
      </w:hyperlink>
      <w:r>
        <w:t xml:space="preserve"> e uma existência no deserto de 40 anos (ou “uma geração”). Alguns estudiosos normalmente moderados são forçados a reduzir o tempo no deserto para dois anos a fim de manter sua data tardia para Abraão.</w:t>
      </w:r>
    </w:p>
    <w:p>
      <w:r/>
      <w:r>
        <w:t>Em resumo, a teoria da data tardia é consistente com parte da evidência bíblica (as genealogias de Moisés), mas a teoria da data inicial se conforma a outra parte (os números de anos reais listados em versos dispersos de Gênesis e Êxodo). A teoria da data tardia sustenta que as genealogias representam informações mais confiáveis em sociedades semíticas em geral, enquanto a teoria da data inicial calcula os anos dados no relato bíblico literalmente ao longo de seu esquema.</w:t>
      </w:r>
    </w:p>
    <w:p>
      <w:r/>
      <w:r>
        <w:t>Devido aos problemas associados a ambas as posições, um grande grupo de estudiosos adota uma posição intermediária na datação da era patriarcal. Arqueologicamente, dizem eles, Abraão e sua vida e tempos se encaixam perfeitamente no início do Segundo milênio, mas imperfeitamente em qualquer período posterior. Ao situar Abraão aproximadamente entre 1800 e 1600 a.C., eles oferecem latitude suficiente para uma fusão de todas as evidências disponíveis, bíblicas e não bíblicas, em um esquema cronológico viável. A arqueologia fornece quatro principais evidências para uma era patriarcal do início do Segundo milênio.</w:t>
      </w:r>
    </w:p>
    <w:p>
      <w:r/>
      <w:r>
        <w:t>1. Embora as tábuas de Nuzi forneçam um paralelo claro à vida social patriarcal, outras tábuas de outras cidades e de uma era anterior refletem muitos dos mesmos costumes comuns a Nuzi e Gênesis. Como os nuzianos eram hurritas que vieram do nordeste da Mesopotâmia de outro lugar (talvez Armênia), seus costumes sociais se originaram, sem dúvida, muito antes da época das tábuas que agora possuímos. Assim, a data do século XV a.C. das tábuas de Nuzi não exclui uma data anterior para Abraão.</w:t>
      </w:r>
    </w:p>
    <w:p>
      <w:r/>
      <w:r>
        <w:t xml:space="preserve">2. Os nomes de vários dos ancestrais de Abraão listados em </w:t>
      </w:r>
      <w:hyperlink r:id="rId158">
        <w:r>
          <w:rPr>
            <w:color w:val="0000EE"/>
            <w:u w:val="single"/>
          </w:rPr>
          <w:t>Gênesis 11</w:t>
        </w:r>
      </w:hyperlink>
      <w:r>
        <w:t xml:space="preserve"> podem agora ser identificados com cidades na área norte da Mesopotâmia ao redor de Harã, a cidade de onde Abraão migrou para Canaã (</w:t>
      </w:r>
      <w:hyperlink r:id="rId6216">
        <w:r>
          <w:rPr>
            <w:color w:val="0000EE"/>
            <w:u w:val="single"/>
          </w:rPr>
          <w:t>Gênesis 11.31–12.3</w:t>
        </w:r>
      </w:hyperlink>
      <w:r>
        <w:t>). Significativamente, Harã floresceu nos séculos 19 e 18 a.C.</w:t>
      </w:r>
    </w:p>
    <w:p>
      <w:r/>
      <w:r>
        <w:t xml:space="preserve">3. Pouco depois de 2000 a.C., nômades semitas do deserto invadiram as comunidades civilizadas do Crescente Fértil. Esses invasores, chamados de amoritas no AT, estabeleceram-se em várias cidades no norte da Síria e Mesopotâmia. Uma das cidades amorita era Babilônia, governada por Hamurábi por volta do início do século 18 a.C. Embora o rei Anrafel de </w:t>
      </w:r>
      <w:hyperlink r:id="rId6217">
        <w:r>
          <w:rPr>
            <w:color w:val="0000EE"/>
            <w:u w:val="single"/>
          </w:rPr>
          <w:t>Gênesis 14.1</w:t>
        </w:r>
      </w:hyperlink>
      <w:r>
        <w:t xml:space="preserve"> não seja linguisticamente identificável com o rei babilônico Hamurábi, como estudiosos anteriores acreditavam, os eventos após a invasão amorita ainda concorda bem com as narrativas de Gênesis em geral.</w:t>
      </w:r>
    </w:p>
    <w:p>
      <w:r/>
      <w:r>
        <w:t>4. Mari, outra cidade amorita, é agora bem conhecida por causa de mais de 20.000 tábuas recuperadas de seu palácio real e arquivos. Geograficamente, Mari está localizada na área geral de Harã. Cronologicamente, as tábuas recuperadas são do século 18 a.C. Um rei de Mari do século dezoito, Zinri Lim, manteve uma extensa correspondência com Hamurabi da Babilônia. As tábuas de Mari também fornecem informações valiosas sobre grupos tribais e étnicos e seus movimentos na região geral. De importância básica para datar os materiais do Gênesis são certos documentos de Mari que incluem nomes pessoais muito semelhantes a Abraão (Abi-Ram), Jacó, Labão e vários outros nomes semíticos ocidentais.</w:t>
      </w:r>
    </w:p>
    <w:p>
      <w:r/>
      <w:r>
        <w:t>As evidências arqueológicas não provam nem desaprovam a existência real de Abraão, Isaque ou Jacó. Isso é admitido por todos os lados. O que a arqueologia fez foi fornecer uma estrutura de probabilidades dentro da qual as narrativas patriarcais bíblicas parecem cada vez mais estar em casa.</w:t>
      </w:r>
    </w:p>
    <w:p>
      <w:pPr>
        <w:pStyle w:val="Heading4"/>
      </w:pPr>
      <w:r>
        <w:t>Data do Êxodo</w:t>
      </w:r>
    </w:p>
    <w:p>
      <w:r/>
      <w:r>
        <w:t>O problema de datar a era patriarcal está intimamente relacionado ao problema de atribuir uma data ao Êxodo dos israelitas do Egito. Como as evidências não permitem uma data precisa para Abraão, uma data precisa para a entrada de José ou Jacó no Egito também é inalcançável. Além disso, as evidências bíblicas não fornecem um número exato para a duração da estadia dos israelitas no Egito.</w:t>
      </w:r>
    </w:p>
    <w:p>
      <w:r/>
      <w:r>
        <w:t xml:space="preserve">Por muitos anos, estudiosos bíblicos consideraram </w:t>
      </w:r>
      <w:hyperlink r:id="rId5414">
        <w:r>
          <w:rPr>
            <w:color w:val="0000EE"/>
            <w:u w:val="single"/>
          </w:rPr>
          <w:t>1 Reis 6.1</w:t>
        </w:r>
      </w:hyperlink>
      <w:r>
        <w:t xml:space="preserve"> como uma base sobre a qual construir uma data inabalável para o Êxodo. Como o quarto ano de Salomão poderia ser fixado indiscutivelmente dentro de pelo menos um intervalo de 10 anos (967–958 a.C.), o Êxodo também poderia ser datado com a mesma precisão, simplesmente adicionando 480 anos. Mas outros dados bíblicos levantam sérias questões sobre esse procedimento simples. Quando a Bíblia trata de todos os eventos entre o tempo do Êxodo e a fundação do templo de Salomão, ou seja, de Números a </w:t>
      </w:r>
      <w:hyperlink r:id="rId6218">
        <w:r>
          <w:rPr>
            <w:color w:val="0000EE"/>
            <w:u w:val="single"/>
          </w:rPr>
          <w:t>1 Reis 5.18</w:t>
        </w:r>
      </w:hyperlink>
      <w:r>
        <w:t>, os números precisos dados totalizam não 480, mas mais próximo de 600 anos.</w:t>
      </w:r>
    </w:p>
    <w:p>
      <w:r/>
      <w:r>
        <w:t xml:space="preserve">Como a evidência é insuficiente para permitir uma data precisa para o Êxodo, a opinião acadêmica permanece dividida entre duas possibilidades. Um Êxodo no século 15 é apoiado por várias evidências. A cronologia em </w:t>
      </w:r>
      <w:hyperlink r:id="rId5414">
        <w:r>
          <w:rPr>
            <w:color w:val="0000EE"/>
            <w:u w:val="single"/>
          </w:rPr>
          <w:t>1 Reis 6.1</w:t>
        </w:r>
      </w:hyperlink>
      <w:r>
        <w:t xml:space="preserve"> parece ser corroborada independentemente por uma passagem em </w:t>
      </w:r>
      <w:hyperlink r:id="rId2532">
        <w:r>
          <w:rPr>
            <w:color w:val="0000EE"/>
            <w:u w:val="single"/>
          </w:rPr>
          <w:t>Juízes 11.26</w:t>
        </w:r>
      </w:hyperlink>
      <w:r>
        <w:t>. Afirma que Israel havia ocupado a área ao redor de Hesbom por 300 anos antes do próprio dia de Jefté. Se Jefté é datado em aproximadamente 1100 a.C., obviamente se é levado de volta a um Êxodo em meados do século quinze. Além disso, três gerações sucessivas de faraós que governaram nos séculos dezesseis e quinze não produziram descendentes masculinos, tornando mais provável que Moisés se tornasse o filho adotivo de uma princesa real durante esse tempo; todos os reis da 19ª dinastia (1306–1200 a.C.) tinham herdeiros masculinos legítimos.</w:t>
      </w:r>
    </w:p>
    <w:p>
      <w:r/>
      <w:r>
        <w:t>Além disso, uma data do século 15 possibilita uma conexão entre a invasão dos habirus de Canaã (1400–1350 a.C.) — descrita nas cartas de Amarna encontradas em Tell el-Amarna, Egito — e a invasão de Canaã pelos hebreus descrita no livro do AT de Josué. Relacionado a isso está uma referência a “Israel” na Estela de Merneptá, um pilar de pedra inscrito com os feitos do rei egípcio, Merneptá, por volta de 1220 a.C. Isso implica que o povo referido, encontrado por Merneptá no curso de uma campanha militar cananeia, já existia há algum tempo. Finalmente, um escavador de Jericó, João Garstang, situou a destruição daquela cidade por volta de 1400 a.C.</w:t>
      </w:r>
    </w:p>
    <w:p>
      <w:r/>
      <w:r>
        <w:t xml:space="preserve">Outras evidências, no entanto, sugerem fortemente não uma data do século quinze, mas do século treze para o Êxodo. Muitos estudiosos atribuem uma data entre 1290 e 1275 a.C. com base nessas evidências. Primeiro, os 480 anos de </w:t>
      </w:r>
      <w:hyperlink r:id="rId5414">
        <w:r>
          <w:rPr>
            <w:color w:val="0000EE"/>
            <w:u w:val="single"/>
          </w:rPr>
          <w:t>1 Reis 6.1</w:t>
        </w:r>
      </w:hyperlink>
      <w:r>
        <w:t xml:space="preserve"> discutidos acima podem ser interpretados como representando esquematicamente 12 gerações, conforme indicado por </w:t>
      </w:r>
      <w:hyperlink r:id="rId6219">
        <w:r>
          <w:rPr>
            <w:color w:val="0000EE"/>
            <w:u w:val="single"/>
          </w:rPr>
          <w:t>1 Crônicas 6.3–8</w:t>
        </w:r>
      </w:hyperlink>
      <w:r>
        <w:t xml:space="preserve">. Assim, se 12 gerações tiveram uma média de 25 anos em vez de 40 anos, a redução de 480 anos esquematizados para 300 anos reais apontaria para uma data do Êxodo por volta de 1266 a.C. Segundo, existem evidências arqueológicas que datam a destruição nos locais assumidos de várias cidades conquistadas por Josué (Laquis, Debir, Betel e Hazor) para o final do século treze. Terceiro, não há menção bíblica de campanhas militares egípcias (como a incursão de Merneptá em 1220 a.C.); os israelitas vivendo em Canaã antes da época dos faraós militarmente ativos Seti I (1319–1301 a.C.) e Ramsés II (1301–1234 a.C.) certamente teriam sido afetados por tal atividade. Quarto, </w:t>
      </w:r>
      <w:hyperlink r:id="rId4245">
        <w:r>
          <w:rPr>
            <w:color w:val="0000EE"/>
            <w:u w:val="single"/>
          </w:rPr>
          <w:t>Êxodo 1.11</w:t>
        </w:r>
      </w:hyperlink>
      <w:r>
        <w:t xml:space="preserve"> menciona a cidade de Ramessés, a capital construída por Ramsés II, de acordo com suas próprias inscrições. Uma quinta linha de argumento vem de conclusões arqueológicas de que Transjordânia e o Deserto do Neguebe não foram ocupados por pessoas sedentárias entre 1900 e 1300 a.C., enquanto a Bíblia afirma claramente que os israelitas encontraram forte oposição de grupos naquela mesma região. Assim, argumenta-se que os israelitas devem ter entrado naquela região após 1300 a.C. Sexto, conectar os habirus com os israelitas da Conquista carece de peso porque muitos textos além das tábuas de Amarna atestam a existência de grupos habirus praticamente em todo o antigo Oriente Próximo. “Habiru” parece ser um termo muito mais amplo, possivelmente significando “invasor”, e provavelmente não está relacionado etimológica ou semanticamente com “hebreu”. Sétimo, e finalmente, o trabalho de Garstang em Jericó foi agora revisado pela arqueóloga Kathleen Kenyon, que mostrou que as muralhas caídas que Garstang datou por volta de 1400 a.C. na realidade foram destruídas em 1800 a.C. ou antes.</w:t>
      </w:r>
    </w:p>
    <w:p>
      <w:r/>
      <w:r>
        <w:t>Até agora, tem sido impossível decidir com precisão entre os dois séculos propostos para o Êxodo. A opinião majoritária entre os estudiosos do AT em geral, incluindo um número crescente de estudiosos moderados ou conservadores, é a favor da opção do século treze. Por outro lado, muitos outros estudiosos conservadores continuam a preferir a data do século quinze. O dogmatismo é injustificado, pois problemas permanecem sem solução com qualquer uma das opções.</w:t>
      </w:r>
    </w:p>
    <w:p>
      <w:r/>
      <w:r>
        <w:t>De acordo com a opinião da maioria, no entanto, uma data por volta de 1290 a.C. para o Êxodo será usada ao lidar com problemas subsequentes.</w:t>
      </w:r>
    </w:p>
    <w:p>
      <w:pPr>
        <w:pStyle w:val="Heading3"/>
      </w:pPr>
      <w:r>
        <w:t>Conquista e consolidação</w:t>
      </w:r>
    </w:p>
    <w:p>
      <w:r/>
      <w:r>
        <w:t>A tarefa cronológica para o período de conquista e consolidação é encaixar todos os eventos narrados pelo AT, principalmente em Josué e Juízes, entre o Êxodo (ca. 1290 a.C.) e os tempos de Davi (ca. 1000 a.C.) e Salomão (d. 930 a.C.). Em outras palavras, é preciso encaixar aproximadamente 550 anos de eventos bíblicos entre Moisés e Davi em um período de 290 anos.</w:t>
      </w:r>
    </w:p>
    <w:p>
      <w:r/>
      <w:r>
        <w:t>Embora atribuir uma data antiga para o Êxodo (ca. 1447 a.C.) tornasse a tarefa um pouco mais fácil, a mera adição de cerca de 157 anos não resolve por si só todos os problemas. Nenhuma das datas permite tempo suficiente para que todos os eventos do AT, de Josué a Davi, ocorram de forma única e consecutiva. Assim, defensores de ambas as datas assumem que alguns dos juízes governaram simultaneamente em vez de consecutivamente.</w:t>
      </w:r>
    </w:p>
    <w:p>
      <w:r/>
      <w:r>
        <w:t>O livro de Josué fornece a maior parte das evidências do AT sobre a conquista de Canaã pelos israelitas. Infelizmente, o livro de Josué não possui notas cronológicas que especifiquem a quantidade de tempo decorrido durante a carreira de Josué. Além disso, não há referências bíblicas a eventos contemporâneos importantes em outras partes do mundo antigo, cujas datas poderiam ser usadas para fixar a cronologia. Em vez disso, em um relato obviamente condensado, o livro de Josué registra a queda de Jericó e Ai, seguidas de perto por uma campanha ao sul e depois ao norte. Após essas vitórias, cobrindo grande parte do território total de Canaã, várias parcelas de terra foram distribuídas aos grupos tribais de Israel; esperava-se que as tribos completassem a tarefa de destruir quaisquer habitantes cananeus que restassem em sua região particular. Busca-se em vão, no entanto, por qualquer declaração indicando quanto tempo esses eventos levaram.</w:t>
      </w:r>
    </w:p>
    <w:p>
      <w:r/>
      <w:r>
        <w:t>No livro de Juízes, prevalece uma circunstância ligeiramente diferente. Lá, o AT fornece uma lista bastante completa de figuras para indicar a duração dos períodos de opressão estrangeira, juizados e paz subsequente. O número total de anos descritos para esse período é 410, mas esse total não inclui nenhum tempo para os muitos juízes “menores”. Parece óbvio, portanto, que a maioria, senão todos, dos juízes eram simplesmente chefes locais cuja atividade era simultânea à de outros juízes, pelo menos por parte de seu reinado. Infelizmente, o livro de Juízes não fornece um sistema de referências cruzadas para indicar quais juízes eram contemporâneos de quais outros. Talvez o melhor que se pode fazer é assumir diretrizes gerais para a cronologia desse período entre Moisés e Davi.</w:t>
      </w:r>
    </w:p>
    <w:p>
      <w:r/>
      <w:r>
        <w:t>Dois fatos significativos devem ser mantidos em mente. Primeiro, as informações arqueológicas parecem exigir uma data de Conquista começando por volta de 1250 a.C. em vez de 200 anos antes. Assumir carreiras simultâneas para os juízes permite comprimir os números literais do AT no esquema geral exigido por outras evidências.</w:t>
      </w:r>
    </w:p>
    <w:p>
      <w:r/>
      <w:r>
        <w:t>Em segundo lugar, os escribas antigos evidentemente relacionaram a cronologia do período a um esquema baseado em 40 anos ou gerações, uma prática que durou até a época do reino dividido, quando uma cronologia dinástica regular foi introduzida. Diante de tantas carreiras sendo atribuídas exatamente a 40 anos, o fato é que os totais literais de tais números não podem ser harmonizados com a evidência bíblica ou arqueológica do período. Assim, a maioria dos estudiosos duvida que o número 40 tenha sido alguma vez destinado a ser um cálculo matemático exato. Essa visão permite flexibilidade suficiente para um ajuste cauteloso das evidências bíblicas e outras em um cronograma geral.</w:t>
      </w:r>
    </w:p>
    <w:p>
      <w:pPr>
        <w:pStyle w:val="Heading3"/>
      </w:pPr>
      <w:r>
        <w:t>A monarquia</w:t>
      </w:r>
    </w:p>
    <w:p>
      <w:pPr>
        <w:pStyle w:val="Heading4"/>
      </w:pPr>
      <w:r>
        <w:t>Tipos de evidência</w:t>
      </w:r>
    </w:p>
    <w:p>
      <w:r/>
      <w:r>
        <w:t>Para o período da monarquia israelita, as evidências cronológicas são abundantes.</w:t>
      </w:r>
    </w:p>
    <w:p>
      <w:r/>
      <w:r>
        <w:t>O AT em si se esforça para fornecer todas as informações necessárias para a cronologia do período, incluindo (1) uma lista completa de todos os reis em Israel e em Judá, tanto antes quanto depois da divisão do reino; (2) a idade de cada rei (exceto Saul) ao assumir o trono; (3) sicronismos do reino do norte de Israel e do reino do sul de Judá, mostrando em que ano de seu contemporâneo no outro reino cada rei subiu ao trono; e (4) cálculos precisos da duração do reinado de cada rei. Além disso, alguns eventos importantes são datados por referência a outro evento; outros são coordenados com eventos simultâneos na história secular.</w:t>
      </w:r>
    </w:p>
    <w:p>
      <w:r/>
      <w:r>
        <w:t xml:space="preserve">Fora do AT, uma abundância de material fornece evidências para uma cronologia do período. De longe, a fonte única mais importante é uma coleção de listas de </w:t>
      </w:r>
      <w:r>
        <w:rPr>
          <w:i/>
        </w:rPr>
        <w:t>limmu</w:t>
      </w:r>
      <w:r>
        <w:t xml:space="preserve"> assírias. Na Assíria, um registro de cada reinado de rei era mantido em um tipo particular de anais. Cada ano de reinado era nomeado em homenagem a um indivíduo de alta patente na corte; o primeiro ano era nomeado em homenagem ao próprio rei, o segundo em homenagem ao próximo oficial de mais alta patente (embora esse nome pareça ter sido originalmente selecionado por sorteio), e assim por diante, até a morte do rei. A palavra </w:t>
      </w:r>
      <w:r>
        <w:rPr>
          <w:i/>
        </w:rPr>
        <w:t>limmu</w:t>
      </w:r>
      <w:r>
        <w:t xml:space="preserve"> era usada para introduzir o nome do oficial após o qual o ano corrente seria nomeado, daí a designação </w:t>
      </w:r>
      <w:r>
        <w:rPr>
          <w:i/>
        </w:rPr>
        <w:t>“listas de limmu</w:t>
      </w:r>
      <w:r>
        <w:t>”.</w:t>
      </w:r>
    </w:p>
    <w:p>
      <w:r/>
      <w:r>
        <w:t xml:space="preserve">As listas </w:t>
      </w:r>
      <w:r>
        <w:rPr>
          <w:i/>
        </w:rPr>
        <w:t>limmu</w:t>
      </w:r>
      <w:r>
        <w:t xml:space="preserve"> assírias estão precisamente ligadas ao ano solar, tornando os documentos altamente confiáveis. Além disso, além de muitos eventos na história assíria, fenômenos naturais notáveis foram datados com base no </w:t>
      </w:r>
      <w:r>
        <w:rPr>
          <w:i/>
        </w:rPr>
        <w:t>limmu</w:t>
      </w:r>
      <w:r>
        <w:t xml:space="preserve"> em que ocorreram. Por exemplo, um eclipse solar datado pelos escribas assírios no ano </w:t>
      </w:r>
      <w:r>
        <w:rPr>
          <w:i/>
        </w:rPr>
        <w:t>limmu</w:t>
      </w:r>
      <w:r>
        <w:t xml:space="preserve"> de Bur-Sagale foi calculado astronomicamente como 15 de junho de 763 a.C. Começando com o ano 763, então, e trabalhando tanto para trás quanto para frente, uma lista completa de oficiais </w:t>
      </w:r>
      <w:r>
        <w:rPr>
          <w:i/>
        </w:rPr>
        <w:t>limmu</w:t>
      </w:r>
      <w:r>
        <w:t xml:space="preserve"> assírios foi obtida para o período entre 891 e 648 a.C.</w:t>
      </w:r>
    </w:p>
    <w:p>
      <w:r/>
      <w:r>
        <w:t xml:space="preserve">Com a precisão das listas </w:t>
      </w:r>
      <w:r>
        <w:rPr>
          <w:i/>
        </w:rPr>
        <w:t>limmu</w:t>
      </w:r>
      <w:r>
        <w:t xml:space="preserve"> assírias corroboradas por várias fontes, elas podem ser usadas com confiança na reconstrução da cronologia do período correspondente da história bíblica. Isso é especialmente verdadeiro quando um escritor bíblico relaciona um evento israelita ou judaíta a um ano específico do reinado de um rei assírio cuja lista </w:t>
      </w:r>
      <w:r>
        <w:rPr>
          <w:i/>
        </w:rPr>
        <w:t>limmu</w:t>
      </w:r>
      <w:r>
        <w:t xml:space="preserve"> indica os anos precisos de seu reinado.</w:t>
      </w:r>
    </w:p>
    <w:p>
      <w:r/>
      <w:r>
        <w:t>Há também registros de listas de reis caldeus (babilônicos) e de historiadores gregos posteriores. Ptolomeu, no segundo século d.C., por exemplo, forneceu datas para reis babilônicos a partir de 747 a.C. e continuou com datas para governantes persas, gregos e romanos até 161 d.C. Finalmente, informações úteis são encontradas em inscrições de monumentos, estelas e outros artefatos da Assíria e de outros lugares.</w:t>
      </w:r>
    </w:p>
    <w:p>
      <w:pPr>
        <w:pStyle w:val="Heading4"/>
      </w:pPr>
      <w:r>
        <w:t>Cronologia monárquica</w:t>
      </w:r>
    </w:p>
    <w:p>
      <w:r/>
      <w:r>
        <w:t xml:space="preserve">A lista </w:t>
      </w:r>
      <w:r>
        <w:rPr>
          <w:i/>
        </w:rPr>
        <w:t>limmu</w:t>
      </w:r>
      <w:r>
        <w:t xml:space="preserve"> do rei assírio Salmanaser III fornece uma base para a primeira comparação de datas entre Assíria, Israel e Judá. No </w:t>
      </w:r>
      <w:r>
        <w:rPr>
          <w:i/>
        </w:rPr>
        <w:t>limmu</w:t>
      </w:r>
      <w:r>
        <w:t xml:space="preserve"> de Daian-Assur, no sexto ano de Salmanaser no trono, Acabe de Israel foi listado como um dos reis que lutaram contra os assírios na batalha de Qarqar. Assim, a data para essa batalha pode ser colocada com confiança em 853 a.C.</w:t>
      </w:r>
    </w:p>
    <w:p>
      <w:r/>
      <w:r>
        <w:t>Registros assírios também indicam que Salmanaser III entrou em contato com um rei israelita 12 anos depois, em 841 a.C. Esse rei era Jeú. Assim, dois pontos fixos estão disponíveis para correlacionar as informações bíblicas. Após a morte de Acabe, que não é datada exatamente por referência aos registros assírios, dois de seus filhos chegaram ao poder. O primeiro, Acazias, reinou dois anos (</w:t>
      </w:r>
      <w:hyperlink r:id="rId6220">
        <w:r>
          <w:rPr>
            <w:color w:val="0000EE"/>
            <w:u w:val="single"/>
          </w:rPr>
          <w:t>1 Reis 22.51</w:t>
        </w:r>
      </w:hyperlink>
      <w:r>
        <w:t>); o segundo, Jorão (também chamado Jeorão), reinou um total de 12 anos (</w:t>
      </w:r>
      <w:hyperlink r:id="rId6221">
        <w:r>
          <w:rPr>
            <w:color w:val="0000EE"/>
            <w:u w:val="single"/>
          </w:rPr>
          <w:t>2 Reis 3.1</w:t>
        </w:r>
      </w:hyperlink>
      <w:r>
        <w:t>). Devido a forma como contavam os anos naquele período, o total aparente de 14 anos pode ser reduzido a um total real de 12. Assim, parece evidente que Acabe não apenas lutou contra Salmanaser III em 853 a.C., mas também morreu naquele ano. Acabe foi então seguido por seus dois filhos por um total de 12 anos antes da ascensão de Jeú a tempo de explicar seu contato com Salmanaser II em 841 a.C. Além disso, porque Jeú assassinou tanto o rei de Israel (Jeorão) quanto o rei de Judá (Acazias) ao mesmo tempo (</w:t>
      </w:r>
      <w:hyperlink r:id="rId6222">
        <w:r>
          <w:rPr>
            <w:color w:val="0000EE"/>
            <w:u w:val="single"/>
          </w:rPr>
          <w:t>2 Reis 9.24–27</w:t>
        </w:r>
      </w:hyperlink>
      <w:r>
        <w:t>), um sincronismo fixo é fornecido entre os dois reinos para o ano 841 a.C.</w:t>
      </w:r>
    </w:p>
    <w:p>
      <w:r/>
      <w:r>
        <w:t>Os primeiros nove reis de Israel governaram um total aparente de 98 anos ou um total real (levando em conta a política de não-ascensão de Israel) de 90 anos. Zinri, que governou apenas sete dias (</w:t>
      </w:r>
      <w:hyperlink r:id="rId6223">
        <w:r>
          <w:rPr>
            <w:color w:val="0000EE"/>
            <w:u w:val="single"/>
          </w:rPr>
          <w:t>1 Reis 16.15–18</w:t>
        </w:r>
      </w:hyperlink>
      <w:r>
        <w:t xml:space="preserve">), conta como um dos nove, mas não insere um ano extra em nenhum dos totais reais ou aparentes. A ascensão de Jeroboão I ocorreu assim em 930 a.C. (adicionando 90 anos a 841 a.C.), e Roboão de Judá começou a governar nesse mesmo ano também. Permitir a Salomão o reinado de 40 anos indicado em </w:t>
      </w:r>
      <w:hyperlink r:id="rId6224">
        <w:r>
          <w:rPr>
            <w:color w:val="0000EE"/>
            <w:u w:val="single"/>
          </w:rPr>
          <w:t>1 Reis 11.42</w:t>
        </w:r>
      </w:hyperlink>
      <w:r>
        <w:t xml:space="preserve"> aponta para o ano 970 a.C. para sua ascensão. A morte de Davi também seria localizada nesse período, embora deva ser considerada a possibilidade de uma curta co-regência de Davi e Salomão antes da morte de Davi. O reinado de Saul então se situa aproximadamente no final do século 11 a.C.</w:t>
      </w:r>
    </w:p>
    <w:p>
      <w:r/>
      <w:r>
        <w:t>Em Judá, o período entre a morte de Salomão em 930 a.C. e o assassinato de Acazias por Jeú em 841 a.C. foi ocupado pelos reinados de seis homens cujo tempo no trono totaliza 95 anos bíblicos. O cálculo desse período em Judá não é tão simples quanto para os reis israelitas por várias razões. Os problemas incluem uma mudança de contagem de anos de ascensão para não-ascensão em algum momento por volta de 850 a.C., pelo menos duas co-regências (Josafá com Asa e depois Jeorão com Josafá), e as diferenças de calendário entre os dois reinos. É claro que os 95 anos aparentes devem ser reduzidos, com base nas diferenças de cálculo e calendário, para 90 anos reais, a fim de alinhar os números judaicos com os sincronismos assírios e israelitas estabelecidos.</w:t>
      </w:r>
    </w:p>
    <w:p>
      <w:r/>
      <w:r>
        <w:t>Após o ano 841, o próximo evento bíblico a ser certificado por materiais não bíblicos é a queda de Samaria em 722 a.C. Essa data é fornecida pelos anais de Sargão II da Assíria (722–705 a.C.), sucessor de Salmanasar V (727–722 a.C.). Embora essa data venha apenas 120 anos após o ponto fixo de 841 a.C. na história israelita, os materiais cronológicos para esse período são bastante difíceis de interpretar com precisão. No passado, estudiosos recorreram a suposições de extensas co-regências, a uma confusão presumida por parte de certos escribas sobre os métodos a serem seguidos nos cálculos, ou a outras teorias na tentativa de entender o período. Apesar das muitas dificuldades, no entanto, todas as datas bíblicas e assírias para o período da monarquia dividida foram harmonizadas — com exceção de quatro números relacionados aos anos finais do reino israelita, todos conectados de alguma forma com o reinado problemático de Oséias.</w:t>
      </w:r>
    </w:p>
    <w:p>
      <w:pPr>
        <w:pStyle w:val="Heading3"/>
      </w:pPr>
      <w:r>
        <w:t>Judá após a queda de Israel</w:t>
      </w:r>
    </w:p>
    <w:p>
      <w:r/>
      <w:r>
        <w:t>Após a queda de Samaria em 722 a.C., a cronologia do AT preocupa-se apenas com o reino do sul de Judá até sua destruição cerca de 135 anos depois. Dois eventos no registro bíblico importantes para estabelecer uma cronologia para esse período são o cerco de Jerusalém por Senaqueribe da Assíria no final do oitavo século e a eventual queda de Jerusalém para os babilônios no início do sexto século.</w:t>
      </w:r>
    </w:p>
    <w:p>
      <w:pPr>
        <w:pStyle w:val="Heading4"/>
      </w:pPr>
      <w:r>
        <w:t>Invasão de Judá por Senaqueribe</w:t>
      </w:r>
    </w:p>
    <w:p>
      <w:r/>
      <w:r>
        <w:t xml:space="preserve">A invasão assíria (704–681 a.C.) é registrada em </w:t>
      </w:r>
      <w:hyperlink r:id="rId6225">
        <w:r>
          <w:rPr>
            <w:color w:val="0000EE"/>
            <w:u w:val="single"/>
          </w:rPr>
          <w:t>2 Reis 18.13–16</w:t>
        </w:r>
      </w:hyperlink>
      <w:r>
        <w:t xml:space="preserve">, onde o versículo </w:t>
      </w:r>
      <w:hyperlink r:id="rId6226">
        <w:r>
          <w:rPr>
            <w:color w:val="0000EE"/>
            <w:u w:val="single"/>
          </w:rPr>
          <w:t>13</w:t>
        </w:r>
      </w:hyperlink>
      <w:r>
        <w:t xml:space="preserve"> data o evento no 14º ano do rei Ezequias. As próprias inscrições de Senaqueribe incluem uma versão mais longa do caso. A partir delas, a data de 701 a.C. é estabelecida, situando a ascensão de Ezequias em 715 a.C. Isso é simples, mas ainda surgem problemas. Por exemplo, </w:t>
      </w:r>
      <w:hyperlink r:id="rId6227">
        <w:r>
          <w:rPr>
            <w:color w:val="0000EE"/>
            <w:u w:val="single"/>
          </w:rPr>
          <w:t>2 Reis 19.9</w:t>
        </w:r>
      </w:hyperlink>
      <w:r>
        <w:t xml:space="preserve"> relata que Senaqueribe estava em contato com um rei etíope, Tiraca (ca. 690–664 a.C.), durante sua campanha, que incluiu um cerco a Jerusalém. Obviamente, o contato com um governante que assumiu o poder não antes de 690 a.C. não poderia se referir a eventos em 701 a.C. É possível, no entanto, que Senaqueribe tenha feito duas invasões de Judá, a primeira em 701 e a segunda em algum momento posterior. A data dessa suposta segunda invasão não é assegurada, embora </w:t>
      </w:r>
      <w:hyperlink r:id="rId6228">
        <w:r>
          <w:rPr>
            <w:color w:val="0000EE"/>
            <w:u w:val="single"/>
          </w:rPr>
          <w:t>2 Reis 19.35–37</w:t>
        </w:r>
      </w:hyperlink>
      <w:r>
        <w:t xml:space="preserve"> possa implicar que Senaqueribe foi assassinado pouco depois de sua retirada de Jerusalém. Como Senaqueribe foi sucedido por seu filho Esar-Hadom no ano 681, a presumida segunda invasão de Judá teria ocorrido em algum momento na segunda metade da mesma década.</w:t>
      </w:r>
    </w:p>
    <w:p>
      <w:r/>
      <w:r>
        <w:t xml:space="preserve">Vários estudiosos se opõem à suposição de uma segunda invasão de Jerusalém por Senaqueribe. Eles sugerem a possibilidade de que Tiraca, embora rei apenas a partir de 690 a.C., possa ter liderado tropas contra Senaqueribe já em 701, antes de ascender ao trono. A referência ao Rei Tiraca em </w:t>
      </w:r>
      <w:hyperlink r:id="rId6227">
        <w:r>
          <w:rPr>
            <w:color w:val="0000EE"/>
            <w:u w:val="single"/>
          </w:rPr>
          <w:t>2 Reis 19.9</w:t>
        </w:r>
      </w:hyperlink>
      <w:r>
        <w:t xml:space="preserve"> seria então entendida como o uso de seu título eventual em um esforço para identificá-lo a uma geração posterior de leitores.</w:t>
      </w:r>
    </w:p>
    <w:p>
      <w:r/>
      <w:r>
        <w:t xml:space="preserve">No entanto, a questão do número de invasões está estabelecido, é certo que Senaqueribe invadiu Judá em 701 a.C., o 14º ano de reinado de Ezequias. Tal sincronismo estabelece o ano de ascensão de Ezequias como 715 a.C., mas essa data levanta outro problema. A queda de Samaria, agora estabelecida em 722, é datada por </w:t>
      </w:r>
      <w:hyperlink r:id="rId6229">
        <w:r>
          <w:rPr>
            <w:color w:val="0000EE"/>
            <w:u w:val="single"/>
          </w:rPr>
          <w:t>2 Reis 18.10</w:t>
        </w:r>
      </w:hyperlink>
      <w:r>
        <w:t xml:space="preserve"> no sexto ano do reinado de Ezequias. A solução mais provável é que Ezequias começou uma co-regência com seu pai, Acaz, seis anos antes da queda de Samaria. A possibilidade de confusão surge do fato de que um versículo (</w:t>
      </w:r>
      <w:hyperlink r:id="rId6226">
        <w:r>
          <w:rPr>
            <w:color w:val="0000EE"/>
            <w:u w:val="single"/>
          </w:rPr>
          <w:t>2 Reis 18.13</w:t>
        </w:r>
      </w:hyperlink>
      <w:r>
        <w:t xml:space="preserve">; repetido em </w:t>
      </w:r>
      <w:hyperlink r:id="rId6230">
        <w:r>
          <w:rPr>
            <w:color w:val="0000EE"/>
            <w:u w:val="single"/>
          </w:rPr>
          <w:t>Isaías 36.1</w:t>
        </w:r>
      </w:hyperlink>
      <w:r>
        <w:t>) sincroniza a invasão de Senaqueribe em 701 a.C. com o 14º ano do reinado independente de Ezequias; outro versículo (</w:t>
      </w:r>
      <w:hyperlink r:id="rId6229">
        <w:r>
          <w:rPr>
            <w:color w:val="0000EE"/>
            <w:u w:val="single"/>
          </w:rPr>
          <w:t>2 Reis 18.10</w:t>
        </w:r>
      </w:hyperlink>
      <w:r>
        <w:t>) correlaciona a queda de Samaria com o início da co-regência de Ezequias. Assim, de cerca de 728 a 715 a.C., Ezequias foi co-regente com Acaz. De 715 a 697, ele reinou sozinho. De 696 a 686, seu filho Manassés foi co-governante com ele.</w:t>
      </w:r>
    </w:p>
    <w:p>
      <w:r/>
      <w:r>
        <w:t xml:space="preserve">De acordo com as informações cronológicas dadas por vários versículos em 2 Reis, um total de 128 anos e seis meses se passaram entre a ascensão de Ezequias em 715 e a captura do Rei Jeoaquim em 597, uma data a ser discutida abaixo. Assim, outro problema é explicar o excesso de mais de 10 anos aparentemente exigido pelos totais bíblicos. A melhor solução parece residir na suposição de que Manassés primeiro assumiu o poder em 697 como co-regente com seu pai, Ezequias. Manassés morreu em 642, seguindo o que </w:t>
      </w:r>
      <w:hyperlink r:id="rId6231">
        <w:r>
          <w:rPr>
            <w:color w:val="0000EE"/>
            <w:u w:val="single"/>
          </w:rPr>
          <w:t>2 Reis 21.1</w:t>
        </w:r>
      </w:hyperlink>
      <w:r>
        <w:t xml:space="preserve"> afirma ter sido um reinado de 55 anos. Ezequias, que subiu ao trono em 715, é dito ter reinado 29 anos (</w:t>
      </w:r>
      <w:hyperlink r:id="rId6232">
        <w:r>
          <w:rPr>
            <w:color w:val="0000EE"/>
            <w:u w:val="single"/>
          </w:rPr>
          <w:t>2 Reis 18.2</w:t>
        </w:r>
      </w:hyperlink>
      <w:r>
        <w:t>), o que significaria que ele foi rei até 686, aproximadamente 11 anos após o tempo em que Manassés deve ter subido ao trono para completar um reinado de 55 anos até 642.</w:t>
      </w:r>
    </w:p>
    <w:p>
      <w:pPr>
        <w:pStyle w:val="Heading4"/>
      </w:pPr>
      <w:r>
        <w:t>Queda de Jerusalém</w:t>
      </w:r>
    </w:p>
    <w:p>
      <w:r/>
      <w:r>
        <w:t>Registros babilônicos contemporâneos estão disponíveis para lançar luz valiosa sobre os últimos anos da existência de Judá. Para os anos 626–623, 618–595 e 556 a.C., a Crônica Babilônica, um registro formal dos assuntos de estado babilônicos, foi recuperada. A partir das informações contidas nessa crônica e em outros documentos cuneiformes do período, três datas na história de Judá podem ser fixadas com firmeza. A primeira é a morte de Josias em 609; a segunda é a batalha de Carquemis em 605; a terceira é o fim do reinado de Jeoaquim, que é datado pela Crônica Babilônica para o segundo mês de Adar no nono ano de Nabucodonozor, ou 16 de março de 597.</w:t>
      </w:r>
    </w:p>
    <w:p>
      <w:r/>
      <w:r>
        <w:t>Após a captura de Jeoaquim, Zedequias tornou-se rei fantoche de Judá por 11 anos (</w:t>
      </w:r>
      <w:hyperlink r:id="rId6233">
        <w:r>
          <w:rPr>
            <w:color w:val="0000EE"/>
            <w:u w:val="single"/>
          </w:rPr>
          <w:t>2 Reis 24.18</w:t>
        </w:r>
      </w:hyperlink>
      <w:r>
        <w:t>). No décimo dia do décimo mês durante o nono ano de reinado de Zedequias (</w:t>
      </w:r>
      <w:hyperlink r:id="rId6234">
        <w:r>
          <w:rPr>
            <w:color w:val="0000EE"/>
            <w:u w:val="single"/>
          </w:rPr>
          <w:t>2 Reis 25.1</w:t>
        </w:r>
      </w:hyperlink>
      <w:r>
        <w:t>), o cerco final de Jerusalém foi iniciado pelo exército babilônico. Esse dia foi 15 de janeiro de 588. No nono dia do quarto mês durante o 11º ano de reinado de Zedequias, após um cerco de quase 18 meses, o muro de Jerusalém foi rompido (</w:t>
      </w:r>
      <w:hyperlink r:id="rId6235">
        <w:r>
          <w:rPr>
            <w:color w:val="0000EE"/>
            <w:u w:val="single"/>
          </w:rPr>
          <w:t>2 Reis 25.3–4</w:t>
        </w:r>
      </w:hyperlink>
      <w:r>
        <w:t>). O templo foi queimado no dia sete do mês seguinte (quinto mês).</w:t>
      </w:r>
    </w:p>
    <w:p>
      <w:pPr>
        <w:pStyle w:val="Heading3"/>
      </w:pPr>
      <w:r>
        <w:t>Além de 586 a.C.</w:t>
      </w:r>
    </w:p>
    <w:p>
      <w:r/>
      <w:r>
        <w:t xml:space="preserve">Após a tragédia de 586 a.C., vários outros desenvolvimentos são mencionados cronologicamente no AT. </w:t>
      </w:r>
      <w:hyperlink r:id="rId6236">
        <w:r>
          <w:rPr>
            <w:color w:val="0000EE"/>
            <w:u w:val="single"/>
          </w:rPr>
          <w:t>Jeremias 52.30</w:t>
        </w:r>
      </w:hyperlink>
      <w:r>
        <w:t xml:space="preserve"> registra uma terceira deportação de judeus para a Babilônia no 23º ano do rei Nabucodonosor (582 ou 581 a.C.). Tanto </w:t>
      </w:r>
      <w:hyperlink r:id="rId4035">
        <w:r>
          <w:rPr>
            <w:color w:val="0000EE"/>
            <w:u w:val="single"/>
          </w:rPr>
          <w:t>2 Reis 25.27</w:t>
        </w:r>
      </w:hyperlink>
      <w:r>
        <w:t xml:space="preserve"> quanto </w:t>
      </w:r>
      <w:hyperlink r:id="rId4036">
        <w:r>
          <w:rPr>
            <w:color w:val="0000EE"/>
            <w:u w:val="single"/>
          </w:rPr>
          <w:t>Jeremias 52.31</w:t>
        </w:r>
      </w:hyperlink>
      <w:r>
        <w:t xml:space="preserve"> evidenciam a libertação do rei Jeoaquim da prisão; a Crônica Babilônica data esse evento em 27 de Adar, ou 21 de março de 561 a.C.</w:t>
      </w:r>
    </w:p>
    <w:p>
      <w:r/>
      <w:r>
        <w:t>Em 539 a.C., os próprios babilônios estavam destinados a aprender o significado da derrota. Naquele ano, um governante persa, Ciro, o Grande, lançou uma campanha bem-sucedida contra Babilônia e seu rei, Nabonido. Herdando o controle sobre os judeus exilados e muitos outros grupos de pessoas conquistados anteriormente pela Babilônia, Ciro agiu rapidamente para iniciar uma política de tolerância em relação aos seus novos súditos. No primeiro ano de seu governo, Ciro emitiu um édito possibilitando que os judeus retornassem à sua terra natal (</w:t>
      </w:r>
      <w:hyperlink r:id="rId6237">
        <w:r>
          <w:rPr>
            <w:color w:val="0000EE"/>
            <w:u w:val="single"/>
          </w:rPr>
          <w:t>Esdras 1.1</w:t>
        </w:r>
      </w:hyperlink>
      <w:r>
        <w:t>). No primeiro dia do ano seguinte, 1 Tishri (</w:t>
      </w:r>
      <w:hyperlink r:id="rId6238">
        <w:r>
          <w:rPr>
            <w:color w:val="0000EE"/>
            <w:u w:val="single"/>
          </w:rPr>
          <w:t>Esdras 3.6</w:t>
        </w:r>
      </w:hyperlink>
      <w:r>
        <w:t>), um altar foi erguido em Jerusalém. Em Iyyar do ano seguinte (abril/maio de 536), começou-se a trabalhar no próprio templo (</w:t>
      </w:r>
      <w:hyperlink r:id="rId6239">
        <w:r>
          <w:rPr>
            <w:color w:val="0000EE"/>
            <w:u w:val="single"/>
          </w:rPr>
          <w:t>Esdras 3.8</w:t>
        </w:r>
      </w:hyperlink>
      <w:r>
        <w:t>).</w:t>
      </w:r>
    </w:p>
    <w:p>
      <w:r/>
      <w:r>
        <w:t>Após um período de paralisações frustrantes de trabalho de várias durações, a pregação de Ageu e Zacarias incentivou os judeus a completar o templo. O trabalho foi retomado em 520 (</w:t>
      </w:r>
      <w:hyperlink r:id="rId6240">
        <w:r>
          <w:rPr>
            <w:color w:val="0000EE"/>
            <w:u w:val="single"/>
          </w:rPr>
          <w:t>Esdras 4.24</w:t>
        </w:r>
      </w:hyperlink>
      <w:r>
        <w:t xml:space="preserve">; </w:t>
      </w:r>
      <w:hyperlink r:id="rId6241">
        <w:r>
          <w:rPr>
            <w:color w:val="0000EE"/>
            <w:u w:val="single"/>
          </w:rPr>
          <w:t>Ag 1.1,15</w:t>
        </w:r>
      </w:hyperlink>
      <w:r>
        <w:t>) e foi finalmente concluído em 3 de Adar, ou 12 de março, 515 (</w:t>
      </w:r>
      <w:hyperlink r:id="rId6242">
        <w:r>
          <w:rPr>
            <w:color w:val="0000EE"/>
            <w:u w:val="single"/>
          </w:rPr>
          <w:t>Esdras 6.15</w:t>
        </w:r>
      </w:hyperlink>
      <w:r>
        <w:t>). As etapas finais da cronologia do AT dizem respeito às carreiras de Esdras e Neemias. A visão tradicional de sua era coloca Esdras no sétimo ano de Artaxerxes I (458 a.C.) e Neemias no 20º (445 a.C.).</w:t>
      </w:r>
    </w:p>
    <w:p>
      <w:r/>
      <w:r>
        <w:rPr>
          <w:i/>
        </w:rPr>
        <w:t>Veja também</w:t>
      </w:r>
      <w:r>
        <w:t xml:space="preserve"> “Data” em cada livro do AT; </w:t>
      </w:r>
      <w:r>
        <w:t>Conquista e Distribuição da Terra</w:t>
      </w:r>
      <w:r>
        <w:t xml:space="preserve">; </w:t>
      </w:r>
      <w:r>
        <w:t>Diáspora dos Judeus</w:t>
      </w:r>
      <w:r>
        <w:t xml:space="preserve">; </w:t>
      </w:r>
      <w:r>
        <w:t>Êxodo, O</w:t>
      </w:r>
      <w:r>
        <w:t xml:space="preserve">; </w:t>
      </w:r>
      <w:r>
        <w:t>Israel, História de</w:t>
      </w:r>
      <w:r>
        <w:t xml:space="preserve">; </w:t>
      </w:r>
      <w:r>
        <w:t>Patriarcas, Período dos</w:t>
      </w:r>
      <w:r>
        <w:t xml:space="preserve">; </w:t>
      </w:r>
      <w:r>
        <w:t>Período Pós-exílico</w:t>
      </w:r>
      <w:r>
        <w:t xml:space="preserve">; </w:t>
      </w:r>
      <w:r>
        <w:t>Peregrinações no Deserto</w:t>
      </w:r>
      <w:r>
        <w:t>.</w:t>
      </w:r>
      <w:r/>
      <w:r/>
    </w:p>
    <w:p>
      <w:r/>
    </w:p>
    <w:p>
      <w:pPr>
        <w:pStyle w:val="Heading2"/>
      </w:pPr>
      <w:r>
        <w:t>Cronologia da Bíblia (Novo Testamento)</w:t>
      </w:r>
      <w:r/>
    </w:p>
    <w:p>
      <w:r/>
      <w:r>
        <w:t>Cronologia é um ramo dos estudos bíblicos que busca descobrir a sequência dos eventos do NT e o tempo que se passou entre eles. A cronologia é essencial para os historiadores, cuja tarefa é determinar as causas e efeitos dos eventos passados. Geralmente, para o propósito de um historiador, atribuir datas absolutas é menos importante do que conhecer a sequência de eventos que podem ter influenciado uns aos outros. Em outras palavras, é mais importante para os historiadores entender a ordem dos eventos e como eles podem ter se afetado mutuamente do que atribuir datas específicas a eles. De fato, pouquíssimos acontecimentos do NT podem ser datados com precisão.</w:t>
      </w:r>
    </w:p>
    <w:p>
      <w:r/>
      <w:r>
        <w:t>Um testemunho notável da influência do Cristianismo é o fato de que todo o mundo ocidental agora divide a história em a.C. (antes de Cristo) e d.C. (depois de Cristo). Antes de esse método de datação se tornar difundido na Idade Média, os eventos eram datados por sua relação com outros eventos importantes, como a fundação de Roma ou o início do reinado de um rei. Quando um monge chamado Dionísio Exiguus (século 6) inventou nosso método atual de datação, com o nascimento de Cristo dividindo a história, ele cometeu um erro em seus cálculos. O resultado desse erro é a anomalia histórica de que o próprio Jesus nasceu no máximo quatro anos “antes de Cristo”.</w:t>
      </w:r>
    </w:p>
    <w:p>
      <w:pPr>
        <w:pStyle w:val="Heading3"/>
      </w:pPr>
      <w:r>
        <w:t>Cronologia da vida de Jesus</w:t>
      </w:r>
    </w:p>
    <w:p>
      <w:pPr>
        <w:pStyle w:val="Heading4"/>
      </w:pPr>
      <w:r>
        <w:t>Início da vida</w:t>
      </w:r>
    </w:p>
    <w:p>
      <w:r/>
      <w:r>
        <w:t xml:space="preserve">De acordo com </w:t>
      </w:r>
      <w:hyperlink r:id="rId6243">
        <w:r>
          <w:rPr>
            <w:color w:val="0000EE"/>
            <w:u w:val="single"/>
          </w:rPr>
          <w:t>Mateus 2.1</w:t>
        </w:r>
      </w:hyperlink>
      <w:r>
        <w:t xml:space="preserve">, Jesus nasceu “quando Herodes era rei da terra de Israel”. Um historiador do primeiro século d.C., Josefo, registrou que Herodes morreu na primavera do ano que identificamos como 4 a.C. Portanto, Jesus nasceu algum tempo antes disso, mas quanto tempo antes é incerto. </w:t>
      </w:r>
      <w:hyperlink r:id="rId6244">
        <w:r>
          <w:rPr>
            <w:color w:val="0000EE"/>
            <w:u w:val="single"/>
          </w:rPr>
          <w:t>Lucas 2.1–2</w:t>
        </w:r>
      </w:hyperlink>
      <w:r>
        <w:t xml:space="preserve"> registra que o nascimento de Jesus ocorreu quando “Augusto”, o imperador Romano, decretou que um censo, ou recenseamento, deveria ser realizado em toda a nação. Este foi o primeiro censo realizado quando Cirênio era governador da Síria. Essas declarações levantam duas perguntas: Quando tal censo foi realizado, e quando Cirênio foi governador da Síria? Nenhuma das perguntas recebeu uma resposta completamente satisfatória.</w:t>
      </w:r>
    </w:p>
    <w:p>
      <w:r/>
      <w:r>
        <w:t>Documentos de censo descobertos no Egito, juntamente com referências anteriores, sugerem que tais recenseamentos eram realizados a cada 14 anos. Isso colocaria um censo aproximadamente em 8 ou 9 a.C. Considerando o tempo necessário para realizar o censo (que exigia que uma pessoa viajasse para seu local de nascimento), o nascimento de Jesus pode ter ocorrido um pouco mais tarde do que o ano real do decreto (talvez 7 a.C.). É importante notar que o termo "a.C." refere-se ao tempo antes do nascimento de Jesus e é usado em referência ao sistema de datação utilizado no mundo ocidental.</w:t>
      </w:r>
    </w:p>
    <w:p>
      <w:r/>
      <w:r>
        <w:t xml:space="preserve">Josefo registrou que Cirênio se tornou governador da Síria em 6 d.C., uma data bastante tardia para o nascimento de Jesus. No entanto, alguns estudiosos argumentaram, a partir de inscrições antigas, que Cirênio também serviu na Síria como um legado especial do imperador Augusto antes de 6 a.C. Esse poderia ser o período referido em </w:t>
      </w:r>
      <w:hyperlink r:id="rId4711">
        <w:r>
          <w:rPr>
            <w:color w:val="0000EE"/>
            <w:u w:val="single"/>
          </w:rPr>
          <w:t>Lucas 2.2</w:t>
        </w:r>
      </w:hyperlink>
      <w:r>
        <w:t>. Por que Lucas escolheu citar Cirênio em vez do governador regular da Síria naquela época? Talvez, ao fazer isso, ele pudesse fornecer uma data mais exata para o nascimento de Jesus, já que Cirênio esteve em autoridade por um período mais curto do que o governador regular da Síria. É possível que Lucas tenha escolhido mencionar Cirênio em vez do governador regular da Síria naquela época para fornecer uma data mais precisa para o nascimento de Jesus, já que Cirênio teve um mandato mais curto em autoridade.</w:t>
      </w:r>
    </w:p>
    <w:p>
      <w:r/>
      <w:r>
        <w:t xml:space="preserve">Uma conclusão razoável é que Jesus nasceu por volta de 7 ou 6 a.C. Isso se encaixa com </w:t>
      </w:r>
      <w:hyperlink r:id="rId6245">
        <w:r>
          <w:rPr>
            <w:color w:val="0000EE"/>
            <w:u w:val="single"/>
          </w:rPr>
          <w:t>Mateus 2.16</w:t>
        </w:r>
      </w:hyperlink>
      <w:r>
        <w:t>, que parece indicar que Jesus nasceu pelo menos dois anos antes da morte de Herodes em 4 a.C. Não existem evidências claras sobre o dia e o mês de seu nascimento. A celebração de 25 de dezembro como Natal originou-se no século 4, provavelmente como uma alternativa cristã ao festival pagão do solstício de inverno (Saturnália). É importante notar que a celebração de 25 de dezembro como Natal é uma tradição cristã que se originou no século 4 e foi provavelmente destinada como uma alternativa ao festival pagão da Saturnália.</w:t>
      </w:r>
    </w:p>
    <w:p>
      <w:pPr>
        <w:pStyle w:val="Heading4"/>
      </w:pPr>
      <w:r>
        <w:t>O início do serviço público</w:t>
      </w:r>
    </w:p>
    <w:p>
      <w:r/>
      <w:hyperlink r:id="rId6246">
        <w:r>
          <w:rPr>
            <w:color w:val="0000EE"/>
            <w:u w:val="single"/>
          </w:rPr>
          <w:t>Lucas 3.23</w:t>
        </w:r>
      </w:hyperlink>
      <w:r>
        <w:t xml:space="preserve"> diz que Jesus, "Jesus começou o seu trabalho quando tinha mais ou menos trinta anos de idade"; como a idade dada é apenas aproximada, ele pode ter sido dois ou três anos mais velho ou mais jovem (cf. o pseudepigráfico Testamento de Levi 2.2; 12.5). Se exatamente 30 for adicionado à data de nascimento sugerida, chega-se a 24 d.C. Essa data não pode estar correta, porque o ministério de Jesus começou depois que João Batista apareceu; </w:t>
      </w:r>
      <w:hyperlink r:id="rId6247">
        <w:r>
          <w:rPr>
            <w:color w:val="0000EE"/>
            <w:u w:val="single"/>
          </w:rPr>
          <w:t>Lucas 3.1–3</w:t>
        </w:r>
      </w:hyperlink>
      <w:r>
        <w:t xml:space="preserve"> data a aparição pública de João precisamente quando "fazia quinze anos que Tibério era o Imperador Romano" enquanto Pilatos era procurador (governador) sobre a Judeia. Pilatos governou de 26 a 36 d.C., e o 15º ano de Tibério foi provavelmente 27 d.C. Portanto, Jesus não começou seu ministério público antes de 27 d.C. Se apenas um curto período de tempo se passou entre o início do ministério de João e o início do ministério de Jesus, então Jesus provavelmente começou em 27 ou 28 d.C. quando tinha aproximadamente 33 anos de idade.</w:t>
      </w:r>
    </w:p>
    <w:p>
      <w:pPr>
        <w:pStyle w:val="Heading4"/>
      </w:pPr>
      <w:r>
        <w:t>A morte de Jesus</w:t>
      </w:r>
    </w:p>
    <w:p>
      <w:r/>
      <w:r>
        <w:t>Todos os quatro registros do Evangelho parecem indicar que Jesus celebrou a Santa Ceia com seus discípulos na noite de quinta-feira, foi crucificado na sexta-feira e ressuscitou dos mortos na manhã de domingo (</w:t>
      </w:r>
      <w:hyperlink r:id="rId6248">
        <w:r>
          <w:rPr>
            <w:color w:val="0000EE"/>
            <w:u w:val="single"/>
          </w:rPr>
          <w:t>Mt 28.1</w:t>
        </w:r>
      </w:hyperlink>
      <w:r>
        <w:t xml:space="preserve">; </w:t>
      </w:r>
      <w:hyperlink r:id="rId6249">
        <w:r>
          <w:rPr>
            <w:color w:val="0000EE"/>
            <w:u w:val="single"/>
          </w:rPr>
          <w:t>Mc 16.1</w:t>
        </w:r>
      </w:hyperlink>
      <w:r>
        <w:t xml:space="preserve">; </w:t>
      </w:r>
      <w:hyperlink r:id="rId5996">
        <w:r>
          <w:rPr>
            <w:color w:val="0000EE"/>
            <w:u w:val="single"/>
          </w:rPr>
          <w:t>Lc 24.1</w:t>
        </w:r>
      </w:hyperlink>
      <w:r>
        <w:t>). A afirmação de que Jesus ressuscitou no terceiro dia (</w:t>
      </w:r>
      <w:hyperlink r:id="rId6250">
        <w:r>
          <w:rPr>
            <w:color w:val="0000EE"/>
            <w:u w:val="single"/>
          </w:rPr>
          <w:t>1Co 15.4</w:t>
        </w:r>
      </w:hyperlink>
      <w:r>
        <w:t>) vem do costume judaico de contar parte do dia como um dia inteiro. De acordo com Mateus (</w:t>
      </w:r>
      <w:hyperlink r:id="rId6251">
        <w:r>
          <w:rPr>
            <w:color w:val="0000EE"/>
            <w:u w:val="single"/>
          </w:rPr>
          <w:t>26.19</w:t>
        </w:r>
      </w:hyperlink>
      <w:r>
        <w:t>), Marcos (</w:t>
      </w:r>
      <w:hyperlink r:id="rId6252">
        <w:r>
          <w:rPr>
            <w:color w:val="0000EE"/>
            <w:u w:val="single"/>
          </w:rPr>
          <w:t>14.12</w:t>
        </w:r>
      </w:hyperlink>
      <w:r>
        <w:t>) e Lucas (</w:t>
      </w:r>
      <w:hyperlink r:id="rId4667">
        <w:r>
          <w:rPr>
            <w:color w:val="0000EE"/>
            <w:u w:val="single"/>
          </w:rPr>
          <w:t>22.15</w:t>
        </w:r>
      </w:hyperlink>
      <w:r>
        <w:t>), a Santa Ceia foi a refeição da Páscoa, uma celebração anual da fuga de Israel do Egito (</w:t>
      </w:r>
      <w:hyperlink r:id="rId6253">
        <w:r>
          <w:rPr>
            <w:color w:val="0000EE"/>
            <w:u w:val="single"/>
          </w:rPr>
          <w:t>Êx 12–15</w:t>
        </w:r>
      </w:hyperlink>
      <w:r>
        <w:t xml:space="preserve">). Mas, de acordo com </w:t>
      </w:r>
      <w:hyperlink r:id="rId4665">
        <w:r>
          <w:rPr>
            <w:color w:val="0000EE"/>
            <w:u w:val="single"/>
          </w:rPr>
          <w:t>João 13.1</w:t>
        </w:r>
      </w:hyperlink>
      <w:r>
        <w:t xml:space="preserve"> e </w:t>
      </w:r>
      <w:hyperlink r:id="rId6254">
        <w:r>
          <w:rPr>
            <w:color w:val="0000EE"/>
            <w:u w:val="single"/>
          </w:rPr>
          <w:t>19.14</w:t>
        </w:r>
      </w:hyperlink>
      <w:r>
        <w:t>, a refeição da Páscoa ainda não havia sido consumida na sexta-feira; portanto, a Santa Ceia em João não foi a refeição da Páscoa. No entanto, é importante notar que a Santa Ceia em João ainda foi uma refeição significativa compartilhada por Jesus e seus discípulos antes de sua crucificação.</w:t>
      </w:r>
    </w:p>
    <w:p>
      <w:r/>
      <w:r>
        <w:t xml:space="preserve">Nenhuma solução completamente satisfatória para a aparente discrepância foi apresentada. Alguns estudiosos sugerem plausivelmente que o uso de dois calendários diferentes foi o responsável. De acordo com essa teoria, Jesus estava seguindo um calendário que colocava a refeição da Páscoa na noite de quinta-feira. Os oficiais do Templo, por outro lado, seguiam um calendário alternativo que colocava o sacrifício das vítimas no dia seguinte. João pode ter usado o segundo sistema para enfatizar o fato de que Cristo foi oferecido como o sacrifício da Páscoa (cf. </w:t>
      </w:r>
      <w:hyperlink r:id="rId6255">
        <w:r>
          <w:rPr>
            <w:color w:val="0000EE"/>
            <w:u w:val="single"/>
          </w:rPr>
          <w:t>Jo 19.36</w:t>
        </w:r>
      </w:hyperlink>
      <w:r>
        <w:t xml:space="preserve">; </w:t>
      </w:r>
      <w:hyperlink r:id="rId4668">
        <w:r>
          <w:rPr>
            <w:color w:val="0000EE"/>
            <w:u w:val="single"/>
          </w:rPr>
          <w:t>1Co 5.7</w:t>
        </w:r>
      </w:hyperlink>
      <w:r>
        <w:t>). Isso pode ter sido feito para destacar o significado do sacrifício de Cristo como o cordeiro pascal.</w:t>
      </w:r>
    </w:p>
    <w:p>
      <w:r/>
      <w:r>
        <w:t>Para descobrir quanto tempo durou o ministério público de Jesus e, assim, o ano em que ele morreu, pode-se recorrer às referências de tempo no Evangelho de João. João referiu-se a pelo menos três Páscoas (</w:t>
      </w:r>
      <w:hyperlink r:id="rId6256">
        <w:r>
          <w:rPr>
            <w:color w:val="0000EE"/>
            <w:u w:val="single"/>
          </w:rPr>
          <w:t>2.13</w:t>
        </w:r>
      </w:hyperlink>
      <w:r>
        <w:t xml:space="preserve">; </w:t>
      </w:r>
      <w:hyperlink r:id="rId6257">
        <w:r>
          <w:rPr>
            <w:color w:val="0000EE"/>
            <w:u w:val="single"/>
          </w:rPr>
          <w:t>6.4</w:t>
        </w:r>
      </w:hyperlink>
      <w:r>
        <w:t xml:space="preserve">; </w:t>
      </w:r>
      <w:hyperlink r:id="rId4665">
        <w:r>
          <w:rPr>
            <w:color w:val="0000EE"/>
            <w:u w:val="single"/>
          </w:rPr>
          <w:t>13.1</w:t>
        </w:r>
      </w:hyperlink>
      <w:r>
        <w:t>) e possivelmente quatro (</w:t>
      </w:r>
      <w:hyperlink r:id="rId6258">
        <w:r>
          <w:rPr>
            <w:color w:val="0000EE"/>
            <w:u w:val="single"/>
          </w:rPr>
          <w:t>5.1</w:t>
        </w:r>
      </w:hyperlink>
      <w:r>
        <w:t>). Como a Páscoa era uma festa anual, o ministério de Jesus teria durado pelo menos dois e possivelmente três anos. Em Mateus, Marcos e Lucas, a sexta-feira da morte de Jesus ocorreu no dia 15 do mês judaico de Nisan (que coincide com março e abril). Segundo João, Jesus morreu em 14 de Nisan. A questão é: Em quais anos de 26 a 36 (quando Pilatos era procurador na Judeia) o dia 14 ou 15 de Nisan caiu em uma sexta-feira? A resposta é 27, 29, 30 e 33 d.C. Destes, o ano 27 é muito cedo e 33 é provavelmente muito tarde. Assim, Jesus provavelmente foi crucificado em 29 ou 30, seu ministério público durou dois ou três anos, e ele tinha 35 ou 36 anos quando morreu.</w:t>
      </w:r>
    </w:p>
    <w:p>
      <w:pPr>
        <w:pStyle w:val="Heading3"/>
      </w:pPr>
      <w:r>
        <w:t>Eventos de 30 a 50 d.C.</w:t>
      </w:r>
    </w:p>
    <w:p>
      <w:r/>
      <w:r>
        <w:t>Atos é o único livro do NT que registra quanto tempo se passou entre a morte de Jesus e sua ascensão: “Depois da sua morte, Jesus apareceu a eles de muitas maneiras, durante quarenta dias, provando, sem deixar dúvida nenhuma, que estava vivo. Os apóstolos viram Jesus, e ele conversava com eles a respeito do Reino de Deus” (</w:t>
      </w:r>
      <w:hyperlink r:id="rId6259">
        <w:r>
          <w:rPr>
            <w:color w:val="0000EE"/>
            <w:u w:val="single"/>
          </w:rPr>
          <w:t>At 1.3</w:t>
        </w:r>
      </w:hyperlink>
      <w:r>
        <w:t>, NTLH). O próximo evento chave após a Ascensão de Jesus ao céu foi o Pentecostes (</w:t>
      </w:r>
      <w:hyperlink r:id="rId6260">
        <w:r>
          <w:rPr>
            <w:color w:val="0000EE"/>
            <w:u w:val="single"/>
          </w:rPr>
          <w:t>At 2.1</w:t>
        </w:r>
      </w:hyperlink>
      <w:r>
        <w:t xml:space="preserve">). Pentecostes, a palavra grega para “quinquagésimo”, referia-se a uma celebração da Festa das Semanas/Colheita (cf. </w:t>
      </w:r>
      <w:hyperlink r:id="rId4073">
        <w:r>
          <w:rPr>
            <w:color w:val="0000EE"/>
            <w:u w:val="single"/>
          </w:rPr>
          <w:t>Êx 34.22</w:t>
        </w:r>
      </w:hyperlink>
      <w:r>
        <w:t xml:space="preserve">; </w:t>
      </w:r>
      <w:hyperlink r:id="rId6261">
        <w:r>
          <w:rPr>
            <w:color w:val="0000EE"/>
            <w:u w:val="single"/>
          </w:rPr>
          <w:t>Dt 16.9–12</w:t>
        </w:r>
      </w:hyperlink>
      <w:r>
        <w:t xml:space="preserve">) 50 dias após a Páscoa. Como Jesus foi crucificado durante a época da Páscoa, o Pentecostes de </w:t>
      </w:r>
      <w:hyperlink r:id="rId6260">
        <w:r>
          <w:rPr>
            <w:color w:val="0000EE"/>
            <w:u w:val="single"/>
          </w:rPr>
          <w:t>Atos 2.1</w:t>
        </w:r>
      </w:hyperlink>
      <w:r>
        <w:t>, durante o qual os discípulos foram cheios do Espírito Santo, ocorreu em 29 ou 30 d.C., cerca de 50 dias após a Crucificação e cerca de 10 dias após a Ascensão.</w:t>
      </w:r>
    </w:p>
    <w:p>
      <w:r/>
      <w:r>
        <w:t>Depois disso, torna-se difícil determinar as datas exatas dos eventos nos primeiros capítulos de Atos, pois nenhum período específico é mencionado. Portanto, a abordagem típica para datar eventos na era apostólica é primeiro identificar pelo menos um evento que possa ser datado com precisão usando fontes externas ao Novo Testamento. Em seguida, o tempo entre os eventos antes e depois desse evento pode ser estimado. Ocasionalmente, Atos menciona a quantidade de tempo entre dois eventos, mas geralmente não o faz, então a datação só pode ser aproximada.</w:t>
      </w:r>
    </w:p>
    <w:p>
      <w:r/>
      <w:r>
        <w:t>Um ponto de partida crucial é uma grande falta de alimentos (a grande fome) profetizada por Ágabo, que ocorreu na Palestina durante o reinado do Imperador Romano Cláudio (</w:t>
      </w:r>
      <w:hyperlink r:id="rId6262">
        <w:r>
          <w:rPr>
            <w:color w:val="0000EE"/>
            <w:u w:val="single"/>
          </w:rPr>
          <w:t>At 11.28–29</w:t>
        </w:r>
      </w:hyperlink>
      <w:r>
        <w:t xml:space="preserve">). Josefo, que estava vivo na época, fornece informações suficientes para situar a fome em algum momento entre os anos 46 e 48. Também sabemos pela Mishná, uma coleção de leis judaicas, que o outono de 47 ao outono de 48 foi um ano sabático, quando os judeus deixaram a terra descansar e não colheram nada (cf. </w:t>
      </w:r>
      <w:hyperlink r:id="rId6263">
        <w:r>
          <w:rPr>
            <w:color w:val="0000EE"/>
            <w:u w:val="single"/>
          </w:rPr>
          <w:t>Lv 25.2–7</w:t>
        </w:r>
      </w:hyperlink>
      <w:r>
        <w:t>). Isso poderia ter agravado e prolongado uma fome, mas não se pode ter certeza de quão cedo a fome começou; alguns estudiosos propõem 46 e outros 47.</w:t>
      </w:r>
    </w:p>
    <w:p>
      <w:r/>
      <w:r>
        <w:t>A princípio, parece peculiar que Lucas, o autor de Atos, tenha registrado aquela fome (</w:t>
      </w:r>
      <w:hyperlink r:id="rId2857">
        <w:r>
          <w:rPr>
            <w:color w:val="0000EE"/>
            <w:u w:val="single"/>
          </w:rPr>
          <w:t>At 11.28</w:t>
        </w:r>
      </w:hyperlink>
      <w:r>
        <w:t>) antes de registrar a morte de Herodes Agripa (</w:t>
      </w:r>
      <w:hyperlink r:id="rId2855">
        <w:r>
          <w:rPr>
            <w:color w:val="0000EE"/>
            <w:u w:val="single"/>
          </w:rPr>
          <w:t>12.20–23</w:t>
        </w:r>
      </w:hyperlink>
      <w:r>
        <w:t xml:space="preserve">). Com base nos fatos relatados por Josefo, a morte de Herodes (um neto de Herodes, o Grande) pode ser datada em 44 d.C., provavelmente na primavera. Isso significa que Herodes deve ter morrido vários anos antes da fome que Lucas registrou anteriormente. Alguns estudiosos pensam que Lucas simplesmente errou seus fatos cronológicos. Outros veem </w:t>
      </w:r>
      <w:hyperlink r:id="rId6264">
        <w:r>
          <w:rPr>
            <w:color w:val="0000EE"/>
            <w:u w:val="single"/>
          </w:rPr>
          <w:t>Atos 12.1–24</w:t>
        </w:r>
      </w:hyperlink>
      <w:r>
        <w:t xml:space="preserve"> como um movimento de trazer à memória para atualizar a história da igreja em Jerusalém. Tal prática era comum entre os historiadores antigos, que frequentemente seguiam uma fonte até um ponto de parada adequado antes de passar para outra fonte. Acusar Lucas de datas imprecisas, argumenta-se, é não entender as técnicas de escrita histórica que ele estava usando.</w:t>
      </w:r>
    </w:p>
    <w:p>
      <w:r/>
      <w:r>
        <w:t>Como Herodes Agripa morreu em 44 d.C. (</w:t>
      </w:r>
      <w:hyperlink r:id="rId1898">
        <w:r>
          <w:rPr>
            <w:color w:val="0000EE"/>
            <w:u w:val="single"/>
          </w:rPr>
          <w:t>At 12.23</w:t>
        </w:r>
      </w:hyperlink>
      <w:r>
        <w:t xml:space="preserve">), o apóstolo Tiago, a quem Herodes mandou matar com a espada (v. </w:t>
      </w:r>
      <w:hyperlink r:id="rId6265">
        <w:r>
          <w:rPr>
            <w:color w:val="0000EE"/>
            <w:u w:val="single"/>
          </w:rPr>
          <w:t>2</w:t>
        </w:r>
      </w:hyperlink>
      <w:r>
        <w:t xml:space="preserve">), deve ter morrido pouco antes de 44, talvez durante a época da Páscoa de 43 (v. </w:t>
      </w:r>
      <w:hyperlink r:id="rId6266">
        <w:r>
          <w:rPr>
            <w:color w:val="0000EE"/>
            <w:u w:val="single"/>
          </w:rPr>
          <w:t>3</w:t>
        </w:r>
      </w:hyperlink>
      <w:r>
        <w:t xml:space="preserve">). A prisão do apóstolo Pedro e sua fuga milagrosa (vv. </w:t>
      </w:r>
      <w:hyperlink r:id="rId6267">
        <w:r>
          <w:rPr>
            <w:color w:val="0000EE"/>
            <w:u w:val="single"/>
          </w:rPr>
          <w:t>3–17</w:t>
        </w:r>
      </w:hyperlink>
      <w:r>
        <w:t>) também pertencem a esse período. É importante notar que o apóstolo Tiago foi morto por Herodes, que era um governante na época, e que o apóstolo Pedro foi preso e escapou milagrosamente durante esse período.</w:t>
      </w:r>
    </w:p>
    <w:p>
      <w:r/>
      <w:r>
        <w:t>Quando os cristãos de Antioquia decidiram enviar ajuda aos cristãos em Jerusalém no meio da grande fome (</w:t>
      </w:r>
      <w:hyperlink r:id="rId2857">
        <w:r>
          <w:rPr>
            <w:color w:val="0000EE"/>
            <w:u w:val="single"/>
          </w:rPr>
          <w:t>At 11.29</w:t>
        </w:r>
      </w:hyperlink>
      <w:r>
        <w:t xml:space="preserve">), Barnabé e Paulo foram designados para transportar o dinheiro para Jerusalém. Essa foi a segunda visita de Paulo a Jerusalém após sua conversão. A primeira visita está registrada em </w:t>
      </w:r>
      <w:hyperlink r:id="rId6268">
        <w:r>
          <w:rPr>
            <w:color w:val="0000EE"/>
            <w:u w:val="single"/>
          </w:rPr>
          <w:t>Atos 9.26–30</w:t>
        </w:r>
      </w:hyperlink>
      <w:r>
        <w:t xml:space="preserve">. A terceira ocorre em </w:t>
      </w:r>
      <w:hyperlink r:id="rId6269">
        <w:r>
          <w:rPr>
            <w:color w:val="0000EE"/>
            <w:u w:val="single"/>
          </w:rPr>
          <w:t>Atos 15</w:t>
        </w:r>
      </w:hyperlink>
      <w:r>
        <w:t>, quando Paulo e Barnabé foram enviados para discutir com os apóstolos e anciãos se os convertidos gentios ao cristianismo precisavam ser circuncidados. A datação da primeira e da terceira visitas a Jerusalém, bem como da conversão de Paulo, depende de como essas visitas a Jerusalém estão relacionadas com aquelas relatadas na carta de Paulo aos Gálatas.</w:t>
      </w:r>
    </w:p>
    <w:p>
      <w:r/>
      <w:r>
        <w:t xml:space="preserve">A principal questão, que ainda divide os estudiosos do NT, é esta: Em </w:t>
      </w:r>
      <w:hyperlink r:id="rId6270">
        <w:r>
          <w:rPr>
            <w:color w:val="0000EE"/>
            <w:u w:val="single"/>
          </w:rPr>
          <w:t>Gálatas 1.15–2.10</w:t>
        </w:r>
      </w:hyperlink>
      <w:r>
        <w:t>, Paulo relatou que sua conversão foi seguida por duas visitas a Jerusalém, uma três anos após sua conversão (</w:t>
      </w:r>
      <w:hyperlink r:id="rId4348">
        <w:r>
          <w:rPr>
            <w:color w:val="0000EE"/>
            <w:u w:val="single"/>
          </w:rPr>
          <w:t>1.18</w:t>
        </w:r>
      </w:hyperlink>
      <w:r>
        <w:t>) e outra 14 anos depois disso (</w:t>
      </w:r>
      <w:hyperlink r:id="rId6271">
        <w:r>
          <w:rPr>
            <w:color w:val="0000EE"/>
            <w:u w:val="single"/>
          </w:rPr>
          <w:t>2.1–10</w:t>
        </w:r>
      </w:hyperlink>
      <w:r>
        <w:t xml:space="preserve">). Todos os estudiosos concordam que a primeira visita, três anos após sua conversão, é a mesma que a primeira visita registrada em </w:t>
      </w:r>
      <w:hyperlink r:id="rId6272">
        <w:r>
          <w:rPr>
            <w:color w:val="0000EE"/>
            <w:u w:val="single"/>
          </w:rPr>
          <w:t>Atos 9.26–30</w:t>
        </w:r>
      </w:hyperlink>
      <w:r>
        <w:t xml:space="preserve">. As respostas diferem, no entanto, quanto à questão de se </w:t>
      </w:r>
      <w:hyperlink r:id="rId6271">
        <w:r>
          <w:rPr>
            <w:color w:val="0000EE"/>
            <w:u w:val="single"/>
          </w:rPr>
          <w:t>Gálatas 2.1–10</w:t>
        </w:r>
      </w:hyperlink>
      <w:r>
        <w:t xml:space="preserve"> refere-se à segunda visita (da fome) a Jerusalém em </w:t>
      </w:r>
      <w:hyperlink r:id="rId1397">
        <w:r>
          <w:rPr>
            <w:color w:val="0000EE"/>
            <w:u w:val="single"/>
          </w:rPr>
          <w:t>Atos 11.30</w:t>
        </w:r>
      </w:hyperlink>
      <w:r>
        <w:t xml:space="preserve"> (nesse caso, a terceira visita de </w:t>
      </w:r>
      <w:hyperlink r:id="rId1997">
        <w:r>
          <w:rPr>
            <w:color w:val="0000EE"/>
            <w:u w:val="single"/>
          </w:rPr>
          <w:t>Atos 15</w:t>
        </w:r>
      </w:hyperlink>
      <w:r>
        <w:t xml:space="preserve"> é a que foi omitida de Gálatas) ou se </w:t>
      </w:r>
      <w:hyperlink r:id="rId6271">
        <w:r>
          <w:rPr>
            <w:color w:val="0000EE"/>
            <w:u w:val="single"/>
          </w:rPr>
          <w:t>Gálatas 2.1–10</w:t>
        </w:r>
      </w:hyperlink>
      <w:r>
        <w:t xml:space="preserve"> refere-se à visita em </w:t>
      </w:r>
      <w:hyperlink r:id="rId1997">
        <w:r>
          <w:rPr>
            <w:color w:val="0000EE"/>
            <w:u w:val="single"/>
          </w:rPr>
          <w:t>Atos 15</w:t>
        </w:r>
      </w:hyperlink>
      <w:r>
        <w:t xml:space="preserve"> (nesse caso, a visita da fome foi a que foi omitida de Gálatas).</w:t>
      </w:r>
    </w:p>
    <w:p>
      <w:r/>
      <w:r>
        <w:t xml:space="preserve">Aqueles que favorecem a primeira reconstrução apresentam seis argumentos: (1) A razão pela qual Paulo deu um relato tão detalhado de suas idas e vindas em </w:t>
      </w:r>
      <w:hyperlink r:id="rId6273">
        <w:r>
          <w:rPr>
            <w:color w:val="0000EE"/>
            <w:u w:val="single"/>
          </w:rPr>
          <w:t>Gálatas 1.15–24</w:t>
        </w:r>
      </w:hyperlink>
      <w:r>
        <w:t xml:space="preserve"> foi para mostrar que ele não recebeu seu evangelho de homens, nem foi ensinado por eles (</w:t>
      </w:r>
      <w:hyperlink r:id="rId2281">
        <w:r>
          <w:rPr>
            <w:color w:val="0000EE"/>
            <w:u w:val="single"/>
          </w:rPr>
          <w:t>1.12</w:t>
        </w:r>
      </w:hyperlink>
      <w:r>
        <w:t xml:space="preserve">). Em outras palavras, suas visitas aos apóstolos de Jerusalém não tinham o propósito de receber seu evangelho. Se for assim, omitir a segunda visita a Jerusalém comprometeria a integridade e a autoridade de Paulo com os Gálatas. A primeira reconstrução evita essa dificuldade; a omissão de uma terceira visita a Jerusalém em </w:t>
      </w:r>
      <w:hyperlink r:id="rId6271">
        <w:r>
          <w:rPr>
            <w:color w:val="0000EE"/>
            <w:u w:val="single"/>
          </w:rPr>
          <w:t>Gálatas 2.1–10</w:t>
        </w:r>
      </w:hyperlink>
      <w:r>
        <w:t xml:space="preserve"> poderia significar que ela ainda não havia ocorrido quando Gálatas foi escrito. (2) Gálatas 2.1–10 retrata uma reunião privada entre Paulo e Barnabé de um lado e os apóstolos “colunas” do outro. Mas a reunião em </w:t>
      </w:r>
      <w:hyperlink r:id="rId1997">
        <w:r>
          <w:rPr>
            <w:color w:val="0000EE"/>
            <w:u w:val="single"/>
          </w:rPr>
          <w:t>Atos 15</w:t>
        </w:r>
      </w:hyperlink>
      <w:r>
        <w:t xml:space="preserve"> foi pública e diante de toda a igreja. Portanto, Gálatas 2.1–10 provavelmente se refere a uma reunião privada durante a visita de </w:t>
      </w:r>
      <w:hyperlink r:id="rId1397">
        <w:r>
          <w:rPr>
            <w:color w:val="0000EE"/>
            <w:u w:val="single"/>
          </w:rPr>
          <w:t>Atos 11.30</w:t>
        </w:r>
      </w:hyperlink>
      <w:r>
        <w:t xml:space="preserve">, que Gálatas não registra. (3) A disposição de Paulo em ajudar os pobres mencionada em </w:t>
      </w:r>
      <w:hyperlink r:id="rId4352">
        <w:r>
          <w:rPr>
            <w:color w:val="0000EE"/>
            <w:u w:val="single"/>
          </w:rPr>
          <w:t>Gálatas 2.10</w:t>
        </w:r>
      </w:hyperlink>
      <w:r>
        <w:t xml:space="preserve"> conecta-se naturalmente com a segunda visita a Jerusalém, quando ele de fato estava entregando ajuda aos pobres (</w:t>
      </w:r>
      <w:hyperlink r:id="rId1397">
        <w:r>
          <w:rPr>
            <w:color w:val="0000EE"/>
            <w:u w:val="single"/>
          </w:rPr>
          <w:t>At 11.30</w:t>
        </w:r>
      </w:hyperlink>
      <w:r>
        <w:t xml:space="preserve">). (4) Se Gálatas 2 registrasse a mesma viagem que </w:t>
      </w:r>
      <w:hyperlink r:id="rId1997">
        <w:r>
          <w:rPr>
            <w:color w:val="0000EE"/>
            <w:u w:val="single"/>
          </w:rPr>
          <w:t>Atos 15</w:t>
        </w:r>
      </w:hyperlink>
      <w:r>
        <w:t xml:space="preserve">, esperaria-se alguma menção da decisão tomada pelo Concílio de Jerusalém, especialmente porque essa decisão estava diretamente relacionada ao problema da circuncisão que Paulo estava lidando em sua Carta aos Gálatas. (5) Além disso, parece improvável que o Concílio de Jerusalém tenha precedido o evento de </w:t>
      </w:r>
      <w:hyperlink r:id="rId6274">
        <w:r>
          <w:rPr>
            <w:color w:val="0000EE"/>
            <w:u w:val="single"/>
          </w:rPr>
          <w:t>Gálatas 2.11–21</w:t>
        </w:r>
      </w:hyperlink>
      <w:r>
        <w:t xml:space="preserve">, quando Pedro foi repreendido por Paulo por se afastar da comunhão com os crentes gentios; esse incidente dificilmente poderia ter ocorrido tão logo após a questão da condição dos gentios na igreja ter sido resolvida em Jerusalém. (6) De acordo com </w:t>
      </w:r>
      <w:hyperlink r:id="rId6275">
        <w:r>
          <w:rPr>
            <w:color w:val="0000EE"/>
            <w:u w:val="single"/>
          </w:rPr>
          <w:t>Gálatas 1.6</w:t>
        </w:r>
      </w:hyperlink>
      <w:r>
        <w:t xml:space="preserve">, a carta foi escrita “rapidamente” após Paulo ter estabelecido as igrejas da Galácia. Isso faz sentido se Gálatas foi escrito logo após a primeira viagem missionária, portanto, pouco antes do Concílio de Jerusalém de </w:t>
      </w:r>
      <w:hyperlink r:id="rId1997">
        <w:r>
          <w:rPr>
            <w:color w:val="0000EE"/>
            <w:u w:val="single"/>
          </w:rPr>
          <w:t>Atos 15</w:t>
        </w:r>
      </w:hyperlink>
      <w:r>
        <w:t>; isso faria de Gálatas a primeira carta de Paulo.</w:t>
      </w:r>
    </w:p>
    <w:p>
      <w:r/>
      <w:r>
        <w:t xml:space="preserve">Os estudiosos que favorecem a segunda reconstrução apresentam quatro argumentos: (1) O principal objetivo da visita de Paulo em </w:t>
      </w:r>
      <w:hyperlink r:id="rId6271">
        <w:r>
          <w:rPr>
            <w:color w:val="0000EE"/>
            <w:u w:val="single"/>
          </w:rPr>
          <w:t>Gálatas 2.1–10</w:t>
        </w:r>
      </w:hyperlink>
      <w:r>
        <w:t xml:space="preserve"> parece ser o mesmo que em </w:t>
      </w:r>
      <w:hyperlink r:id="rId6276">
        <w:r>
          <w:rPr>
            <w:color w:val="0000EE"/>
            <w:u w:val="single"/>
          </w:rPr>
          <w:t>Atos 15.1–20</w:t>
        </w:r>
      </w:hyperlink>
      <w:r>
        <w:t>; ambos lidaram com a questão de se a circuncisão deveria ser exigida dos convertidos gentios (</w:t>
      </w:r>
      <w:hyperlink r:id="rId6277">
        <w:r>
          <w:rPr>
            <w:color w:val="0000EE"/>
            <w:u w:val="single"/>
          </w:rPr>
          <w:t>Gl 2.3–5</w:t>
        </w:r>
      </w:hyperlink>
      <w:r>
        <w:t xml:space="preserve">; </w:t>
      </w:r>
      <w:hyperlink r:id="rId6278">
        <w:r>
          <w:rPr>
            <w:color w:val="0000EE"/>
            <w:u w:val="single"/>
          </w:rPr>
          <w:t>At 15.1,5</w:t>
        </w:r>
      </w:hyperlink>
      <w:r>
        <w:t xml:space="preserve">). Essa semelhança é óbvia, mas não há tal semelhança explícita entre </w:t>
      </w:r>
      <w:hyperlink r:id="rId1998">
        <w:r>
          <w:rPr>
            <w:color w:val="0000EE"/>
            <w:u w:val="single"/>
          </w:rPr>
          <w:t>Gálatas 2</w:t>
        </w:r>
      </w:hyperlink>
      <w:r>
        <w:t xml:space="preserve"> e </w:t>
      </w:r>
      <w:hyperlink r:id="rId1397">
        <w:r>
          <w:rPr>
            <w:color w:val="0000EE"/>
            <w:u w:val="single"/>
          </w:rPr>
          <w:t>Atos 11.30</w:t>
        </w:r>
      </w:hyperlink>
      <w:r>
        <w:t xml:space="preserve">. (2) Com base na forma e conteúdo, Gálatas é semelhante a Romanos e a 1 e 2 Coríntios; assim, parece vir do mesmo período — consideravelmente mais tarde do que o Concílio de Jerusalém. Se assim for, é provável que Paulo teria incluído uma referência ao Concílio de Jerusalém (nomeadamente </w:t>
      </w:r>
      <w:hyperlink r:id="rId6271">
        <w:r>
          <w:rPr>
            <w:color w:val="0000EE"/>
            <w:u w:val="single"/>
          </w:rPr>
          <w:t>Gl 2.1–10</w:t>
        </w:r>
      </w:hyperlink>
      <w:r>
        <w:t xml:space="preserve">) em suas recordações, já que seu resultado apoiou sua própria posição sobre a circuncisão exposta na carta. (3) </w:t>
      </w:r>
      <w:hyperlink r:id="rId1397">
        <w:r>
          <w:rPr>
            <w:color w:val="0000EE"/>
            <w:u w:val="single"/>
          </w:rPr>
          <w:t>Atos 11.30</w:t>
        </w:r>
      </w:hyperlink>
      <w:r>
        <w:t xml:space="preserve"> retrata Barnabé como o líder da equipe Barnabé/Paulo, já que seu nome é mencionado em primeiro lugar (como em </w:t>
      </w:r>
      <w:hyperlink r:id="rId2858">
        <w:r>
          <w:rPr>
            <w:color w:val="0000EE"/>
            <w:u w:val="single"/>
          </w:rPr>
          <w:t>At 12.25</w:t>
        </w:r>
      </w:hyperlink>
      <w:r>
        <w:t xml:space="preserve">; </w:t>
      </w:r>
      <w:hyperlink r:id="rId6279">
        <w:r>
          <w:rPr>
            <w:color w:val="0000EE"/>
            <w:u w:val="single"/>
          </w:rPr>
          <w:t>13.1–2,7</w:t>
        </w:r>
      </w:hyperlink>
      <w:r>
        <w:t xml:space="preserve">; cf. </w:t>
      </w:r>
      <w:hyperlink r:id="rId4903">
        <w:r>
          <w:rPr>
            <w:color w:val="0000EE"/>
            <w:u w:val="single"/>
          </w:rPr>
          <w:t>11.25–26</w:t>
        </w:r>
      </w:hyperlink>
      <w:r>
        <w:t xml:space="preserve">). Mas na descrição que Paulo faz da visita em </w:t>
      </w:r>
      <w:hyperlink r:id="rId1998">
        <w:r>
          <w:rPr>
            <w:color w:val="0000EE"/>
            <w:u w:val="single"/>
          </w:rPr>
          <w:t>Gálatas 2</w:t>
        </w:r>
      </w:hyperlink>
      <w:r>
        <w:t>, ele se vê como o líder da equipe. Como Atos retrata Paulo como o líder desde a primeira viagem missionária (</w:t>
      </w:r>
      <w:hyperlink r:id="rId6280">
        <w:r>
          <w:rPr>
            <w:color w:val="0000EE"/>
            <w:u w:val="single"/>
          </w:rPr>
          <w:t>At 13.9,13,43,46,50</w:t>
        </w:r>
      </w:hyperlink>
      <w:r>
        <w:t>), incluindo a terceira visita a Jerusalém (</w:t>
      </w:r>
      <w:hyperlink r:id="rId1399">
        <w:r>
          <w:rPr>
            <w:color w:val="0000EE"/>
            <w:u w:val="single"/>
          </w:rPr>
          <w:t>15.2</w:t>
        </w:r>
      </w:hyperlink>
      <w:r>
        <w:t xml:space="preserve">), é mais provável que </w:t>
      </w:r>
      <w:hyperlink r:id="rId1998">
        <w:r>
          <w:rPr>
            <w:color w:val="0000EE"/>
            <w:u w:val="single"/>
          </w:rPr>
          <w:t>Gálatas 2</w:t>
        </w:r>
      </w:hyperlink>
      <w:r>
        <w:t xml:space="preserve"> registre a viagem de </w:t>
      </w:r>
      <w:hyperlink r:id="rId1997">
        <w:r>
          <w:rPr>
            <w:color w:val="0000EE"/>
            <w:u w:val="single"/>
          </w:rPr>
          <w:t>Atos 15</w:t>
        </w:r>
      </w:hyperlink>
      <w:r>
        <w:t xml:space="preserve">. (4) Finalmente, em </w:t>
      </w:r>
      <w:hyperlink r:id="rId6281">
        <w:r>
          <w:rPr>
            <w:color w:val="0000EE"/>
            <w:u w:val="single"/>
          </w:rPr>
          <w:t>Gálatas 2.7–8</w:t>
        </w:r>
      </w:hyperlink>
      <w:r>
        <w:t xml:space="preserve"> Paulo foi reconhecido como apóstolo dos Gentios com uma posição igual à de Pedro. Mas se </w:t>
      </w:r>
      <w:hyperlink r:id="rId1998">
        <w:r>
          <w:rPr>
            <w:color w:val="0000EE"/>
            <w:u w:val="single"/>
          </w:rPr>
          <w:t>Gálatas 2</w:t>
        </w:r>
      </w:hyperlink>
      <w:r>
        <w:t xml:space="preserve"> registrasse os eventos de </w:t>
      </w:r>
      <w:hyperlink r:id="rId1397">
        <w:r>
          <w:rPr>
            <w:color w:val="0000EE"/>
            <w:u w:val="single"/>
          </w:rPr>
          <w:t>Atos 11.30</w:t>
        </w:r>
      </w:hyperlink>
      <w:r>
        <w:t xml:space="preserve"> e a primeira viagem missionária ainda não tivesse ocorrido, os apóstolos "colunas" dificilmente teriam reconhecido a autoridade de Paulo como apóstolo dos Gentios. É mais provável que </w:t>
      </w:r>
      <w:hyperlink r:id="rId1998">
        <w:r>
          <w:rPr>
            <w:color w:val="0000EE"/>
            <w:u w:val="single"/>
          </w:rPr>
          <w:t>Gálatas 2</w:t>
        </w:r>
      </w:hyperlink>
      <w:r>
        <w:t xml:space="preserve"> tenha seguido a primeira viagem missionária, assim como </w:t>
      </w:r>
      <w:hyperlink r:id="rId1997">
        <w:r>
          <w:rPr>
            <w:color w:val="0000EE"/>
            <w:u w:val="single"/>
          </w:rPr>
          <w:t>Atos 15</w:t>
        </w:r>
      </w:hyperlink>
      <w:r>
        <w:t xml:space="preserve"> seguiu a primeira viagem missionária em Atos, e que ambos se refiram ao mesmo evento.</w:t>
      </w:r>
    </w:p>
    <w:p>
      <w:r/>
      <w:r>
        <w:t xml:space="preserve">A importância desses argumentos para a cronologia é que, de acordo com a primeira visão, a conversão de Paulo ocorreu 17 anos antes da visita da fome de </w:t>
      </w:r>
      <w:hyperlink r:id="rId1397">
        <w:r>
          <w:rPr>
            <w:color w:val="0000EE"/>
            <w:u w:val="single"/>
          </w:rPr>
          <w:t>Atos 11.30</w:t>
        </w:r>
      </w:hyperlink>
      <w:r>
        <w:t xml:space="preserve"> (cf. </w:t>
      </w:r>
      <w:hyperlink r:id="rId4348">
        <w:r>
          <w:rPr>
            <w:color w:val="0000EE"/>
            <w:u w:val="single"/>
          </w:rPr>
          <w:t>Gl 1.18</w:t>
        </w:r>
      </w:hyperlink>
      <w:r>
        <w:t xml:space="preserve">; </w:t>
      </w:r>
      <w:hyperlink r:id="rId4346">
        <w:r>
          <w:rPr>
            <w:color w:val="0000EE"/>
            <w:u w:val="single"/>
          </w:rPr>
          <w:t>2.1</w:t>
        </w:r>
      </w:hyperlink>
      <w:r>
        <w:t xml:space="preserve">). De acordo com a segunda visão, a conversão de Paulo ocorreu 17 anos antes do Concílio de Jerusalém em </w:t>
      </w:r>
      <w:hyperlink r:id="rId1997">
        <w:r>
          <w:rPr>
            <w:color w:val="0000EE"/>
            <w:u w:val="single"/>
          </w:rPr>
          <w:t>Atos 15</w:t>
        </w:r>
      </w:hyperlink>
      <w:r>
        <w:t>. A diferença é de apenas um ano. Isso significa que, de acordo com a primeira visão, a conversão de Paulo aconteceu 17 anos antes da visita da fome de Atos 11.30, enquanto, de acordo com a segunda visão, ocorreu 17 anos antes do Concílio de Jerusalém em Atos 15. No entanto, a diferença entre as duas visões é de apenas um ano.</w:t>
      </w:r>
    </w:p>
    <w:p>
      <w:r/>
      <w:r>
        <w:t>É útil considerar mais uma data que pode ser fixada com alta probabilidade — a saber, a chegada de Paulo em Corinto em sua segunda viagem missionária (</w:t>
      </w:r>
      <w:hyperlink r:id="rId6282">
        <w:r>
          <w:rPr>
            <w:color w:val="0000EE"/>
            <w:u w:val="single"/>
          </w:rPr>
          <w:t>At 18.1</w:t>
        </w:r>
      </w:hyperlink>
      <w:r>
        <w:t>). Na segunda viagem missionária (</w:t>
      </w:r>
      <w:hyperlink r:id="rId2860">
        <w:r>
          <w:rPr>
            <w:color w:val="0000EE"/>
            <w:u w:val="single"/>
          </w:rPr>
          <w:t>15.40–18.22</w:t>
        </w:r>
      </w:hyperlink>
      <w:r>
        <w:t xml:space="preserve">), Paulo e Silas partiram por terra através da Síria, Cilícia, Frígia e Galácia, visitando igrejas fundadas na primeira viagem missionária. Eles chegaram a Trôade, depois passaram por Filipos e continuaram pela costa através de Tessalônica e Bereia. Paulo seguiu para Atenas antes de chegar a Corinto. De </w:t>
      </w:r>
      <w:hyperlink r:id="rId4071">
        <w:r>
          <w:rPr>
            <w:color w:val="0000EE"/>
            <w:u w:val="single"/>
          </w:rPr>
          <w:t>Atos 18.12</w:t>
        </w:r>
      </w:hyperlink>
      <w:r>
        <w:t xml:space="preserve"> sabemos que Gálio era procônsul em Corinto enquanto Paulo estava lá. Uma inscrição descoberta nas proximidades de Delfos indica que, com toda probabilidade, o mandato de Gálio foi de meados de 51 a meados de 52. O incidente registrado em </w:t>
      </w:r>
      <w:hyperlink r:id="rId2862">
        <w:r>
          <w:rPr>
            <w:color w:val="0000EE"/>
            <w:u w:val="single"/>
          </w:rPr>
          <w:t>Atos 18.12–17</w:t>
        </w:r>
      </w:hyperlink>
      <w:r>
        <w:t xml:space="preserve"> provavelmente ocorreu no início do mandato de Gálio, já que os judeus esperavam obter uma decisão contra Paulo de seu novo procônsul. Não muito tempo depois disso, Paulo deixou Corinto, provavelmente no verão ou outono de 52. De acordo com </w:t>
      </w:r>
      <w:hyperlink r:id="rId2861">
        <w:r>
          <w:rPr>
            <w:color w:val="0000EE"/>
            <w:u w:val="single"/>
          </w:rPr>
          <w:t>Atos 18.11</w:t>
        </w:r>
      </w:hyperlink>
      <w:r>
        <w:t xml:space="preserve">, Paulo passou 18 meses em Corinto; isso significa que ele provavelmente chegou nos primeiros meses de 50 ou no final de 49. Essa data de chegada é confirmada por </w:t>
      </w:r>
      <w:hyperlink r:id="rId3066">
        <w:r>
          <w:rPr>
            <w:color w:val="0000EE"/>
            <w:u w:val="single"/>
          </w:rPr>
          <w:t>Atos 18.2</w:t>
        </w:r>
      </w:hyperlink>
      <w:r>
        <w:t>, que diz que Áquila e Priscila tinham sido recentemente exilados de Roma quando Paulo chegou a Corinto. Um historiador do século 5, Orosius, datou o edito de Cláudio expulsando os judeus de Roma em 49 d.C. Portanto, Paulo, Áquila e Priscila provavelmente chegaram juntos no final de 49 ou início de 50. No início de sua estadia de 18 meses, Paulo escreveu suas Primeira e Segunda Cartas aos Tessalonicenses.</w:t>
      </w:r>
    </w:p>
    <w:p>
      <w:r/>
      <w:r>
        <w:t>As duas datas fixas, então, são 46 ou 47 para a visita da fome (</w:t>
      </w:r>
      <w:hyperlink r:id="rId2857">
        <w:r>
          <w:rPr>
            <w:color w:val="0000EE"/>
            <w:u w:val="single"/>
          </w:rPr>
          <w:t>At 11.30</w:t>
        </w:r>
      </w:hyperlink>
      <w:r>
        <w:t>) e final de 49 ou início de 50 para a chegada de Paulo em Corinto (</w:t>
      </w:r>
      <w:hyperlink r:id="rId6282">
        <w:r>
          <w:rPr>
            <w:color w:val="0000EE"/>
            <w:u w:val="single"/>
          </w:rPr>
          <w:t>At 18.1</w:t>
        </w:r>
      </w:hyperlink>
      <w:r>
        <w:t xml:space="preserve">). Levando em consideração os intervalos de tempo mencionados em </w:t>
      </w:r>
      <w:hyperlink r:id="rId4348">
        <w:r>
          <w:rPr>
            <w:color w:val="0000EE"/>
            <w:u w:val="single"/>
          </w:rPr>
          <w:t>Gálatas 1.18</w:t>
        </w:r>
      </w:hyperlink>
      <w:r>
        <w:t xml:space="preserve"> e </w:t>
      </w:r>
      <w:hyperlink r:id="rId4346">
        <w:r>
          <w:rPr>
            <w:color w:val="0000EE"/>
            <w:u w:val="single"/>
          </w:rPr>
          <w:t>2.1</w:t>
        </w:r>
      </w:hyperlink>
      <w:r>
        <w:t>, bem como a suposição de que a primeira viagem missionária durou cerca de um ano, as duas reconstruções são apresentadas na tabela a seguir. Lembre-se de que são aproximações e refletem o costume antigo de contar parte de um ano como um ano inteiro.</w:t>
      </w:r>
    </w:p>
    <w:p>
      <w:pPr>
        <w:pStyle w:val="Heading3"/>
      </w:pPr>
      <w:r>
        <w:t>Eventos de 50 a 70 d.C.</w:t>
      </w:r>
    </w:p>
    <w:p>
      <w:r/>
      <w:hyperlink r:id="rId6283">
        <w:r>
          <w:rPr>
            <w:color w:val="0000EE"/>
            <w:u w:val="single"/>
          </w:rPr>
          <w:t>Atos 24.27</w:t>
        </w:r>
      </w:hyperlink>
      <w:r>
        <w:t xml:space="preserve"> descreve um evento que nos ajuda a datar acontecimentos no restante do livro, a saber, a substituição de Félix por Pórcio Festo como governador da Judeia. Uma análise cuidadosa das evidências fornecidas por Eusébio, um historiador do século 4, leva a conclusão provável de que Félix foi substituído no verão de 59.</w:t>
      </w:r>
    </w:p>
    <w:p>
      <w:r/>
      <w:r>
        <w:t>Trabalhando de trás para frente a partir dessa data, a prisão de Paulo em Jerusalém (</w:t>
      </w:r>
      <w:hyperlink r:id="rId6284">
        <w:r>
          <w:rPr>
            <w:color w:val="0000EE"/>
            <w:u w:val="single"/>
          </w:rPr>
          <w:t>At 21.33</w:t>
        </w:r>
      </w:hyperlink>
      <w:r>
        <w:t>) deve ter ocorrido em 57, cerca de dois anos antes da chegada de Festo. Mais precisamente, a prisão de Paulo provavelmente ocorreu no final da primavera ou verão de 57; o objetivo de Paulo (</w:t>
      </w:r>
      <w:hyperlink r:id="rId6285">
        <w:r>
          <w:rPr>
            <w:color w:val="0000EE"/>
            <w:u w:val="single"/>
          </w:rPr>
          <w:t>20.16</w:t>
        </w:r>
      </w:hyperlink>
      <w:r>
        <w:t>) era chegar a Jerusalém até o Pentecostes daquele ano, e o Pentecostes ocorreu no final de maio. Ele não ficou muito tempo na cidade antes de ser preso.</w:t>
      </w:r>
    </w:p>
    <w:p>
      <w:r/>
      <w:r>
        <w:t>O festival da Páscoa, 50 dias antes do Pentecostes, foi celebrado por Paulo com a igreja em Filipos (</w:t>
      </w:r>
      <w:hyperlink r:id="rId6285">
        <w:r>
          <w:rPr>
            <w:color w:val="0000EE"/>
            <w:u w:val="single"/>
          </w:rPr>
          <w:t>At 20.6</w:t>
        </w:r>
      </w:hyperlink>
      <w:r>
        <w:t>). Isso teria sido de 7 a 14 de abril, 57 d.C. Somente após a festa ele continuou sua apressada jornada para Cesareia e Jerusalém (</w:t>
      </w:r>
      <w:hyperlink r:id="rId6286">
        <w:r>
          <w:rPr>
            <w:color w:val="0000EE"/>
            <w:u w:val="single"/>
          </w:rPr>
          <w:t>20.6–21.16</w:t>
        </w:r>
      </w:hyperlink>
      <w:r>
        <w:t>). Antes de sua visita de Páscoa a Filipos, Paulo havia passado três meses na Grécia (</w:t>
      </w:r>
      <w:hyperlink r:id="rId6285">
        <w:r>
          <w:rPr>
            <w:color w:val="0000EE"/>
            <w:u w:val="single"/>
          </w:rPr>
          <w:t>20.3</w:t>
        </w:r>
      </w:hyperlink>
      <w:r>
        <w:t>). Dando algum tempo para ele viajar pela Macedônia e visitar os tessalonicenses e bereanos, esses três meses foram provavelmente os meses de inverno de 56–57 (</w:t>
      </w:r>
      <w:hyperlink r:id="rId6285">
        <w:r>
          <w:rPr>
            <w:color w:val="0000EE"/>
            <w:u w:val="single"/>
          </w:rPr>
          <w:t>At 20.3</w:t>
        </w:r>
      </w:hyperlink>
      <w:r>
        <w:t xml:space="preserve">; cf. </w:t>
      </w:r>
      <w:hyperlink r:id="rId6287">
        <w:r>
          <w:rPr>
            <w:color w:val="0000EE"/>
            <w:u w:val="single"/>
          </w:rPr>
          <w:t>1Co 16.6</w:t>
        </w:r>
      </w:hyperlink>
      <w:r>
        <w:t>). Sem dúvida, eles foram passados na principal igreja da Grécia, Corinto, e foram usados em parte para a escrita da Carta aos Romanos.</w:t>
      </w:r>
    </w:p>
    <w:p>
      <w:r/>
      <w:r>
        <w:t>Entre a partida de Paulo de Corinto na segunda viagem missionária (</w:t>
      </w:r>
      <w:hyperlink r:id="rId6282">
        <w:r>
          <w:rPr>
            <w:color w:val="0000EE"/>
            <w:u w:val="single"/>
          </w:rPr>
          <w:t>At 18.18</w:t>
        </w:r>
      </w:hyperlink>
      <w:r>
        <w:t>) no outono de 51 e sua chegada em Corinto na terceira viagem missionária (</w:t>
      </w:r>
      <w:hyperlink r:id="rId6285">
        <w:r>
          <w:rPr>
            <w:color w:val="0000EE"/>
            <w:u w:val="single"/>
          </w:rPr>
          <w:t>20.2</w:t>
        </w:r>
      </w:hyperlink>
      <w:r>
        <w:t>) no final do inverno de 56, há cinco anos de atividades que não podem ser datadas com precisão. Paulo disse que trabalhou durante três desses anos em Éfeso (</w:t>
      </w:r>
      <w:hyperlink r:id="rId6285">
        <w:r>
          <w:rPr>
            <w:color w:val="0000EE"/>
            <w:u w:val="single"/>
          </w:rPr>
          <w:t>20.31</w:t>
        </w:r>
      </w:hyperlink>
      <w:r>
        <w:t xml:space="preserve">; cf. </w:t>
      </w:r>
      <w:hyperlink r:id="rId6288">
        <w:r>
          <w:rPr>
            <w:color w:val="0000EE"/>
            <w:u w:val="single"/>
          </w:rPr>
          <w:t>19.1–20.1</w:t>
        </w:r>
      </w:hyperlink>
      <w:r>
        <w:t xml:space="preserve">). Com tempo suficiente para as viagens antes e depois, essa estadia em Éfeso provavelmente durou de 52 ou 53 até o verão de 55 ou 56 (cf. </w:t>
      </w:r>
      <w:hyperlink r:id="rId6287">
        <w:r>
          <w:rPr>
            <w:color w:val="0000EE"/>
            <w:u w:val="single"/>
          </w:rPr>
          <w:t>1Co 16.8</w:t>
        </w:r>
      </w:hyperlink>
      <w:r>
        <w:t>). Durante sua longa estadia em Éfeso, Paulo escreveu sua Primeira Carta aos Coríntios. Então, a caminho de Corinto em 56, ele escreveu 2 Coríntios da Macedônia.</w:t>
      </w:r>
    </w:p>
    <w:p>
      <w:r/>
      <w:r>
        <w:t>Festo chegou como governador no verão de 59, depois que Paulo esteve preso em Cesareia por dois anos. Em questão de dias, Paulo foi julgado perante Festo (</w:t>
      </w:r>
      <w:hyperlink r:id="rId6289">
        <w:r>
          <w:rPr>
            <w:color w:val="0000EE"/>
            <w:u w:val="single"/>
          </w:rPr>
          <w:t>At 25.1–12</w:t>
        </w:r>
      </w:hyperlink>
      <w:r>
        <w:t>). Não querendo ser entregue às autoridades judaicas, Paulo apelou a César (</w:t>
      </w:r>
      <w:hyperlink r:id="rId6290">
        <w:r>
          <w:rPr>
            <w:color w:val="0000EE"/>
            <w:u w:val="single"/>
          </w:rPr>
          <w:t>v. 12</w:t>
        </w:r>
      </w:hyperlink>
      <w:r>
        <w:t>), o que significava que ele iria para Roma. O relato em Atos não dá indícios de atraso, então a viagem provavelmente começou no verão ou outono de 59 (</w:t>
      </w:r>
      <w:hyperlink r:id="rId426">
        <w:r>
          <w:rPr>
            <w:color w:val="0000EE"/>
            <w:u w:val="single"/>
          </w:rPr>
          <w:t>27.2</w:t>
        </w:r>
      </w:hyperlink>
      <w:r>
        <w:t>). É importante notar que Festo era um governador, uma posição política no governo romano. Isso ocorreu durante o tempo em que Paulo esteve preso em Cesareia por dois anos. Após ser julgado perante Festo, Paulo apelou a César, o que significava que ele seria levado a Roma. O relato em Atos não menciona nenhum atraso, então pode-se supor que a viagem começou no verão ou outono de 59.</w:t>
      </w:r>
    </w:p>
    <w:p>
      <w:r/>
      <w:r>
        <w:t>Lucas relatou que quando Paulo, o prisioneiro, chegou a Bons Portos na ilha de Creta, o clima havia se tornado perigoso para viagens marítimas “porque o jejum já tinha passado” (</w:t>
      </w:r>
      <w:hyperlink r:id="rId6291">
        <w:r>
          <w:rPr>
            <w:color w:val="0000EE"/>
            <w:u w:val="single"/>
          </w:rPr>
          <w:t xml:space="preserve">At 27.8–9 </w:t>
        </w:r>
      </w:hyperlink>
      <w:r>
        <w:t xml:space="preserve">- ARC). Um escritor antigo disse que navegar se tornava perigoso entre meados de setembro e meados de novembro, e depois disso, impossível até a primavera. O jejum referido era sem dúvida aquele em preparação para o Dia da Expiação, que no ano 59 caiu em 5 de outubro. Não é surpreendente que, 14 dias após deixar Bons Portos, o navio em que Paulo estava viajando naufragou na costa de Malta, ao sul da Sicília (vv. </w:t>
      </w:r>
      <w:hyperlink r:id="rId6292">
        <w:r>
          <w:rPr>
            <w:color w:val="0000EE"/>
            <w:u w:val="single"/>
          </w:rPr>
          <w:t>27–44</w:t>
        </w:r>
      </w:hyperlink>
      <w:r>
        <w:t>). Três meses depois, Paulo partiu novamente para Roma em um navio que havia passado o inverno em Malta (</w:t>
      </w:r>
      <w:hyperlink r:id="rId746">
        <w:r>
          <w:rPr>
            <w:color w:val="0000EE"/>
            <w:u w:val="single"/>
          </w:rPr>
          <w:t>28.11</w:t>
        </w:r>
      </w:hyperlink>
      <w:r>
        <w:t xml:space="preserve">). Logo ele foi recebido em Roma por cristãos que vieram ao seu encontro (v. </w:t>
      </w:r>
      <w:hyperlink r:id="rId6293">
        <w:r>
          <w:rPr>
            <w:color w:val="0000EE"/>
            <w:u w:val="single"/>
          </w:rPr>
          <w:t>15</w:t>
        </w:r>
      </w:hyperlink>
      <w:r>
        <w:t xml:space="preserve">). Assim, Paulo chegou a Roma no início do ano 60 d.C. O livro de Atos encerra com a observação de que “Durante dois anos Paulo morou ali numa casa alugada” (v. </w:t>
      </w:r>
      <w:hyperlink r:id="rId2878">
        <w:r>
          <w:rPr>
            <w:color w:val="0000EE"/>
            <w:u w:val="single"/>
          </w:rPr>
          <w:t>30</w:t>
        </w:r>
      </w:hyperlink>
      <w:r>
        <w:t>, NTLH). O NT não relata o resultado de seu julgamento. Durante esse período, de acordo com a visão tradicional, ele escreveu Efésios, Filipenses, Colossenses e Filemom.</w:t>
      </w:r>
    </w:p>
    <w:p>
      <w:r/>
      <w:r>
        <w:t>De acordo com a tradição, Eusébio escreveu que, após se defender, o Apóstolo foi enviado novamente ao ministério de pregação e foi martirizado sob Nero durante sua segunda visita à mesma cidade. Nero, que foi o Imperador Romano de 54 a 68, executou uma multidão de cristãos em Roma logo após um incêndio desastroso em julho de 64, segundo o historiador romano Tácito. Vários escritos cristãos primitivos (e.g., Clemente) parecem indicar que Pedro e Paulo foram ambos mortos em Roma durante essa perseguição selvagem. Se isso for verdade, e se Eusébio estava correto, então Paulo pode ter passado os dois anos de 62 a 64 ministrando livremente de volta nas províncias orientais. Muitos estudiosos conservadores datam a Primeira Carta de Paulo a Timóteo e sua Carta a Tito desse período. Escrita de Roma pouco antes do martírio de Paulo em 64, 2 Timóteo foi muito provavelmente sua última carta (</w:t>
      </w:r>
      <w:hyperlink r:id="rId6294">
        <w:r>
          <w:rPr>
            <w:color w:val="0000EE"/>
            <w:u w:val="single"/>
          </w:rPr>
          <w:t>2Tm 2.9</w:t>
        </w:r>
      </w:hyperlink>
      <w:r>
        <w:t xml:space="preserve">; </w:t>
      </w:r>
      <w:hyperlink r:id="rId6076">
        <w:r>
          <w:rPr>
            <w:color w:val="0000EE"/>
            <w:u w:val="single"/>
          </w:rPr>
          <w:t>4.6</w:t>
        </w:r>
      </w:hyperlink>
      <w:r>
        <w:t>).</w:t>
      </w:r>
    </w:p>
    <w:p>
      <w:r/>
      <w:r>
        <w:t xml:space="preserve">Em Jerusalém, três anos após Paulo ter sido levado para Roma, Tiago, o irmão de Jesus, foi apedrejado até a morte pelas autoridades judaicas. Segundo Josefo, isso ocorreu em 62. Pouco tempo depois, de acordo com Eusébio, a igreja em Jerusalém recebeu uma profecia alertando-os para deixarem aquela cidade condenada e se estabelecerem em Pella, uma das cidades da Decápolis (“dez cidades”) a Leste do Jordão. Assim, quando a guerra estourou entre os judeus e os romanos em 66, os cristãos em sua maioria escaparam de sua fúria. Essa guerra terminou em 70 com a destruição de Jerusalém e do Templo (cf. </w:t>
      </w:r>
      <w:hyperlink r:id="rId6295">
        <w:r>
          <w:rPr>
            <w:color w:val="0000EE"/>
            <w:u w:val="single"/>
          </w:rPr>
          <w:t>Mc 13.2</w:t>
        </w:r>
      </w:hyperlink>
      <w:r>
        <w:t xml:space="preserve">; </w:t>
      </w:r>
      <w:hyperlink r:id="rId6296">
        <w:r>
          <w:rPr>
            <w:color w:val="0000EE"/>
            <w:u w:val="single"/>
          </w:rPr>
          <w:t>Lc 21.24</w:t>
        </w:r>
      </w:hyperlink>
      <w:r>
        <w:t>).</w:t>
      </w:r>
    </w:p>
    <w:p>
      <w:r/>
      <w:r>
        <w:rPr>
          <w:i/>
        </w:rPr>
        <w:t>Veja também</w:t>
      </w:r>
      <w:r>
        <w:t xml:space="preserve"> </w:t>
      </w:r>
      <w:r>
        <w:t>Atos dos Apóstolos, Livro de</w:t>
      </w:r>
      <w:r>
        <w:t xml:space="preserve">; </w:t>
      </w:r>
      <w:r>
        <w:t>Apóstolo, Apostolado</w:t>
      </w:r>
      <w:r>
        <w:t xml:space="preserve">; </w:t>
      </w:r>
      <w:r>
        <w:t>Era</w:t>
      </w:r>
      <w:r>
        <w:t xml:space="preserve">; “Data” em cada livro do Novo Testamento; </w:t>
      </w:r>
      <w:r>
        <w:t>Primeira Revolta judaica</w:t>
      </w:r>
      <w:r>
        <w:t xml:space="preserve">; </w:t>
      </w:r>
      <w:r>
        <w:t>Ascendência de Jesus Cristo</w:t>
      </w:r>
      <w:r>
        <w:t xml:space="preserve">; </w:t>
      </w:r>
      <w:r>
        <w:t>Jesus Cristo, Vida e ensinamentos</w:t>
      </w:r>
      <w:r>
        <w:t xml:space="preserve">; </w:t>
      </w:r>
      <w:r>
        <w:t>Paulo, O Apóstolo</w:t>
      </w:r>
      <w:r>
        <w:t>.</w:t>
      </w:r>
      <w:r/>
      <w:r/>
    </w:p>
    <w:p>
      <w:r/>
    </w:p>
    <w:p>
      <w:pPr>
        <w:pStyle w:val="Heading2"/>
      </w:pPr>
      <w:r>
        <w:t>Crucificação</w:t>
      </w:r>
      <w:r/>
    </w:p>
    <w:p>
      <w:r/>
      <w:r>
        <w:t>Forma de execução empregada na morte de Jesus Cristo. Dois conceitos relacionados à crucificação ocorrem nas Escrituras: a “cruz”, um modo pagão de pena capital, e o “madeiro”, que era uma forma judaica. A crucificação de Jesus foi a maneira que ele expiou os pecados da humanidade. O termo “cruz” também foi usado figurativamente por Jesus para retratar o sacrifício exigido no discipulado, e foi usado pelo apóstolo Paulo para simbolizar a morte do eu no processo de transformação.</w:t>
      </w:r>
    </w:p>
    <w:p>
      <w:r/>
      <w:r>
        <w:t>Resumo</w:t>
      </w:r>
    </w:p>
    <w:p>
      <w:r/>
      <w:r>
        <w:t>• Contexto histórico</w:t>
      </w:r>
    </w:p>
    <w:p>
      <w:r/>
      <w:r>
        <w:t>• A crucificação de Cristo</w:t>
      </w:r>
    </w:p>
    <w:p>
      <w:r/>
      <w:r>
        <w:t>• O significado teológico da crucificação de Cristo</w:t>
      </w:r>
    </w:p>
    <w:p>
      <w:pPr>
        <w:pStyle w:val="Heading3"/>
      </w:pPr>
      <w:r>
        <w:t>Contexto histórico</w:t>
      </w:r>
    </w:p>
    <w:p>
      <w:pPr>
        <w:pStyle w:val="Heading4"/>
      </w:pPr>
      <w:r>
        <w:t>O modo pagão</w:t>
      </w:r>
    </w:p>
    <w:p>
      <w:r/>
      <w:r>
        <w:t>Literalmente, a palavra “cruz” em grego se referia a uma estaca pontiaguda usada para vários propósitos, inclusive como um instrumento de execução. Poderia ser uma estaca completamente reta, usada para empalar uma vítima, ou uma estaca vertical com uma viga cruzada no topo (T) ou no meio (+), usada para enforcar ou crucificar um criminoso, com a desgraça adicional da exibição pública. A crucificação foi praticada primeiramente pelos medos e persas e mais tarde por Alexandre, o Grande (356–323 a.C.), os cartagineses e os romanos. Tanto gregos quanto romanos restringiram seu uso aos escravos, pois consideram um método de execução muito bárbaro para os cidadãos. Na era imperial, os romanos estenderam seu uso aos estrangeiros, mas mesmo assim era usado principalmente para crimes contra o estado.</w:t>
      </w:r>
    </w:p>
    <w:p>
      <w:r/>
      <w:r>
        <w:t>A crucificação era universalmente reconhecida como o tipo mais horrível de execução. No Oriente, de fato, era usado apenas como um sinal adicional de desgraça para os prisioneiros que já haviam sido mortos, normalmente por decapitação. No Ocidente, o criminoso condenado era chicoteado, geralmente no lugar da execução, e forçado a carregar a viga para o local onde uma estaca já havia sido erguida. Uma tábua informando o crime era frequentemente colocada em volta do pescoço do ofensor e era presa à cruz após a morte. O prisioneiro era comumente amarrado ou às vezes pregado na viga (com os pregos através dos pulsos, uma vez que os ossos na mão não podiam suportar o peso). A viga era então erguida e fixada no poste vertical. Se os carrascos desejassem uma morte especialmente lenta e agonizante, eles poderiam colocar blocos ou pinos na estaca como um assento ou um suporte para apoiar os pés. A morte ocorria através da perda de fluxo de sangue seguida de falha coronária ou através do colapso dos pulmões, causando asfixia. Isso poderia levar dias, muitas vezes as pernas da vítima seriam quebradas abaixo dos joelhos com um taco, causando choque massivo e eliminando qualquer possibilidade de aliviar a pressão nos pulsos amarrados ou cravados. Geralmente um corpo era deixado na cruz para apodrecer, mas em alguns casos era dado a parentes ou amigos para o enterro.</w:t>
      </w:r>
    </w:p>
    <w:p>
      <w:pPr>
        <w:pStyle w:val="Heading4"/>
      </w:pPr>
      <w:r>
        <w:t>O modo judaico</w:t>
      </w:r>
    </w:p>
    <w:p>
      <w:r/>
      <w:r>
        <w:t>Uma forma diferente de crucificação é vista no AT. O corpo do rei Saul foi decapitado e afixado em uma parede pelos filisteus (</w:t>
      </w:r>
      <w:hyperlink r:id="rId6297">
        <w:r>
          <w:rPr>
            <w:color w:val="0000EE"/>
            <w:u w:val="single"/>
          </w:rPr>
          <w:t>1 Samuel 31.9–10</w:t>
        </w:r>
      </w:hyperlink>
      <w:r>
        <w:t>). O rei persa Dario fez o empalamento como a pena em caso de alteração de seu decreto (</w:t>
      </w:r>
      <w:hyperlink r:id="rId6298">
        <w:r>
          <w:rPr>
            <w:color w:val="0000EE"/>
            <w:u w:val="single"/>
          </w:rPr>
          <w:t>Esdras 6.11</w:t>
        </w:r>
      </w:hyperlink>
      <w:r>
        <w:t xml:space="preserve">). De acordo com </w:t>
      </w:r>
      <w:hyperlink r:id="rId6299">
        <w:r>
          <w:rPr>
            <w:color w:val="0000EE"/>
            <w:u w:val="single"/>
          </w:rPr>
          <w:t>Deuteronômio 21.22–23</w:t>
        </w:r>
      </w:hyperlink>
      <w:r>
        <w:t xml:space="preserve">, a forma oriental foi empregada pelos judeus com uma condição adicional de que o corpo deveria ser removido do “madeiro” antes do anoitecer, porque a vítima era “amaldiçoada por Deus” (compare </w:t>
      </w:r>
      <w:hyperlink r:id="rId6300">
        <w:r>
          <w:rPr>
            <w:color w:val="0000EE"/>
            <w:u w:val="single"/>
          </w:rPr>
          <w:t>Gálatas 3.13</w:t>
        </w:r>
      </w:hyperlink>
      <w:r>
        <w:t>) e não deve permanecer para não “contaminar a terra”. A forma romana de crucificação não era empregada pelos judeus. A única exceção foi uma crucificação em massa de 800 rebeldes pelo governante judeu Alexandre Janeu em 76 a.C., tal prática foi relatada pelo historiador judeu Josefo como sendo universalmente condenada pelos judeus. Alguns acreditam que os tribunais judeus de fato praticavam o método ocidental de crucificação após o século II a.C.</w:t>
      </w:r>
    </w:p>
    <w:p>
      <w:pPr>
        <w:pStyle w:val="Heading3"/>
      </w:pPr>
      <w:r>
        <w:t>A crucificação de Cristo</w:t>
      </w:r>
    </w:p>
    <w:p>
      <w:r/>
      <w:r>
        <w:t>O NT tem muito a dizer sobre a crucificação de Cristo, porque é o tema central da fé cristã.</w:t>
      </w:r>
    </w:p>
    <w:p>
      <w:pPr>
        <w:pStyle w:val="Heading4"/>
      </w:pPr>
      <w:r>
        <w:t>Os preanuncios</w:t>
      </w:r>
    </w:p>
    <w:p>
      <w:r/>
      <w:r>
        <w:t>Os Evangelhos registram três preanuncios de Cristo de sua própria crucificação (</w:t>
      </w:r>
      <w:hyperlink r:id="rId6301">
        <w:r>
          <w:rPr>
            <w:color w:val="0000EE"/>
            <w:u w:val="single"/>
          </w:rPr>
          <w:t>Marcos 8.31</w:t>
        </w:r>
      </w:hyperlink>
      <w:r>
        <w:t xml:space="preserve">; </w:t>
      </w:r>
      <w:hyperlink r:id="rId6302">
        <w:r>
          <w:rPr>
            <w:color w:val="0000EE"/>
            <w:u w:val="single"/>
          </w:rPr>
          <w:t>9.31</w:t>
        </w:r>
      </w:hyperlink>
      <w:r>
        <w:t xml:space="preserve">; </w:t>
      </w:r>
      <w:hyperlink r:id="rId6303">
        <w:r>
          <w:rPr>
            <w:color w:val="0000EE"/>
            <w:u w:val="single"/>
          </w:rPr>
          <w:t>10.33–34</w:t>
        </w:r>
      </w:hyperlink>
      <w:r>
        <w:t xml:space="preserve"> e passagens paralelas). Além disso, João registrou três discursos sobre o Filho do Homem sendo “levantado” (</w:t>
      </w:r>
      <w:hyperlink r:id="rId5090">
        <w:r>
          <w:rPr>
            <w:color w:val="0000EE"/>
            <w:u w:val="single"/>
          </w:rPr>
          <w:t>João 3.14</w:t>
        </w:r>
      </w:hyperlink>
      <w:r>
        <w:t xml:space="preserve">; </w:t>
      </w:r>
      <w:hyperlink r:id="rId6304">
        <w:r>
          <w:rPr>
            <w:color w:val="0000EE"/>
            <w:u w:val="single"/>
          </w:rPr>
          <w:t>8.28</w:t>
        </w:r>
      </w:hyperlink>
      <w:r>
        <w:t xml:space="preserve">; </w:t>
      </w:r>
      <w:hyperlink r:id="rId6305">
        <w:r>
          <w:rPr>
            <w:color w:val="0000EE"/>
            <w:u w:val="single"/>
          </w:rPr>
          <w:t>12.32–33</w:t>
        </w:r>
      </w:hyperlink>
      <w:r>
        <w:t>), que são paralelos aos preanuncios sinóticos. Vários temas estão entrelaçados nessas passagens: (1) A paixão de Cristo (um termo usado para seu sofrimento na cruz) fazia parte do propósito redentor de Deus (</w:t>
      </w:r>
      <w:hyperlink r:id="rId6301">
        <w:r>
          <w:rPr>
            <w:color w:val="0000EE"/>
            <w:u w:val="single"/>
          </w:rPr>
          <w:t>Marcos 8.31</w:t>
        </w:r>
      </w:hyperlink>
      <w:r>
        <w:t>, “deve”). (2) Tanto judeus quanto romanos foram culpados de “entregar” e de “matar” Jesus. (3) Sua morte seria seguida por vindicação através da ressurreição. (4) Sua própria morte, de uma maneira aparentemente contraditória, foi vista como um meio de sua entrada na “glória” (visto no simbolismo que João anexou a “levantado”). Outros discursos que sugerem o destino de Jesus são seu comentário sobre o assassinato dos profetas (</w:t>
      </w:r>
      <w:hyperlink r:id="rId6306">
        <w:r>
          <w:rPr>
            <w:color w:val="0000EE"/>
            <w:u w:val="single"/>
          </w:rPr>
          <w:t>Mateus 23.29–30</w:t>
        </w:r>
      </w:hyperlink>
      <w:r>
        <w:t xml:space="preserve">; </w:t>
      </w:r>
      <w:hyperlink r:id="rId6307">
        <w:r>
          <w:rPr>
            <w:color w:val="0000EE"/>
            <w:u w:val="single"/>
          </w:rPr>
          <w:t>Lucas 13.33</w:t>
        </w:r>
      </w:hyperlink>
      <w:r>
        <w:t xml:space="preserve">), suas parábolas sobre a morte dos profetas e o “filho” (a festa de casamento, </w:t>
      </w:r>
      <w:hyperlink r:id="rId3102">
        <w:r>
          <w:rPr>
            <w:color w:val="0000EE"/>
            <w:u w:val="single"/>
          </w:rPr>
          <w:t>Mateus 22.1–14</w:t>
        </w:r>
      </w:hyperlink>
      <w:r>
        <w:t xml:space="preserve">; os arrendatários ímpios, </w:t>
      </w:r>
      <w:hyperlink r:id="rId6308">
        <w:r>
          <w:rPr>
            <w:color w:val="0000EE"/>
            <w:u w:val="single"/>
          </w:rPr>
          <w:t>Marcos 12.1–10</w:t>
        </w:r>
      </w:hyperlink>
      <w:r>
        <w:t>) e seus ensinos sobre o sofrimento semelhante que seus discípulos suportariam (</w:t>
      </w:r>
      <w:hyperlink r:id="rId6309">
        <w:r>
          <w:rPr>
            <w:color w:val="0000EE"/>
            <w:u w:val="single"/>
          </w:rPr>
          <w:t>Mateus 10.24–28</w:t>
        </w:r>
      </w:hyperlink>
      <w:r>
        <w:t xml:space="preserve">; </w:t>
      </w:r>
      <w:hyperlink r:id="rId6310">
        <w:r>
          <w:rPr>
            <w:color w:val="0000EE"/>
            <w:u w:val="single"/>
          </w:rPr>
          <w:t>Marcos 8.34–35</w:t>
        </w:r>
      </w:hyperlink>
      <w:r>
        <w:t xml:space="preserve">; </w:t>
      </w:r>
      <w:hyperlink r:id="rId6311">
        <w:r>
          <w:rPr>
            <w:color w:val="0000EE"/>
            <w:u w:val="single"/>
          </w:rPr>
          <w:t>João 15.18–25</w:t>
        </w:r>
      </w:hyperlink>
      <w:r>
        <w:t>).</w:t>
      </w:r>
    </w:p>
    <w:p>
      <w:pPr>
        <w:pStyle w:val="Heading4"/>
      </w:pPr>
      <w:r>
        <w:t>O evento histórico</w:t>
      </w:r>
    </w:p>
    <w:p>
      <w:r/>
      <w:r>
        <w:t>A crucificação de Jesus combinou elementos romanos e judaicos. Embora os escritores dos Evangelhos enfatizaram a culpa judaica em seus próprios propósitos polêmicos, eles foram cuidadosos em distinguir entre os líderes e as pessoas comuns. Foram os líderes que iniciaram a prisão de Jesus (</w:t>
      </w:r>
      <w:hyperlink r:id="rId6312">
        <w:r>
          <w:rPr>
            <w:color w:val="0000EE"/>
            <w:u w:val="single"/>
          </w:rPr>
          <w:t>Marcos 14.43</w:t>
        </w:r>
      </w:hyperlink>
      <w:r>
        <w:t xml:space="preserve">) e seu julgamento pelo Sinédrio (vv. </w:t>
      </w:r>
      <w:hyperlink r:id="rId6313">
        <w:r>
          <w:rPr>
            <w:color w:val="0000EE"/>
            <w:u w:val="single"/>
          </w:rPr>
          <w:t>53–64</w:t>
        </w:r>
      </w:hyperlink>
      <w:r>
        <w:t>). Embora Pilatos parecesse vacilar, no final, se rendeu fracamente às multidões “lavando as mãos” de qualquer culpa (</w:t>
      </w:r>
      <w:hyperlink r:id="rId6314">
        <w:r>
          <w:rPr>
            <w:color w:val="0000EE"/>
            <w:u w:val="single"/>
          </w:rPr>
          <w:t>Mateus 27.24</w:t>
        </w:r>
      </w:hyperlink>
      <w:r>
        <w:t>), Roma estava claramente envolvida na crucificação. Visto que o Sinédrio não tinha o poder para infligir a pena capital, a decisão de Pilatos era necessária antes que a crucificação pudesse ocorrer. Além disso, os romanos realmente realizaram a execução.</w:t>
      </w:r>
    </w:p>
    <w:p>
      <w:r/>
      <w:r>
        <w:t>Na crucificação de Jesus, o costume romano pôde ser observado em sua flagelação, na zombaria da imitação da entronização e despojamento, o carregamento de sua própria viga, em ser pregado na cruz e no quebrar das pernas dos dois ladrões. O lugar elevado se encaixa no costume de exibir publicamente certos criminosos. O mesmo acontece com a altura da cruz de Jesus, provavelmente de dois a três metros. A presença de uma tábua com a inscrição “O Rei dos judeus” na cruz sugere que a viga da cruz foi fixada em algum lugar abaixo do topo da estaca. Elementos judaicos são vistos no vinho misturado com mirra (</w:t>
      </w:r>
      <w:hyperlink r:id="rId6315">
        <w:r>
          <w:rPr>
            <w:color w:val="0000EE"/>
            <w:u w:val="single"/>
          </w:rPr>
          <w:t>Marcos 15.23</w:t>
        </w:r>
      </w:hyperlink>
      <w:r>
        <w:t xml:space="preserve">), o vinagre na esponja (v. </w:t>
      </w:r>
      <w:hyperlink r:id="rId1876">
        <w:r>
          <w:rPr>
            <w:color w:val="0000EE"/>
            <w:u w:val="single"/>
          </w:rPr>
          <w:t>36</w:t>
        </w:r>
      </w:hyperlink>
      <w:r>
        <w:t>) e a remoção do corpo antes do pôr do sol e do início do sábado (</w:t>
      </w:r>
      <w:hyperlink r:id="rId6316">
        <w:r>
          <w:rPr>
            <w:color w:val="0000EE"/>
            <w:u w:val="single"/>
          </w:rPr>
          <w:t>João 19.31</w:t>
        </w:r>
      </w:hyperlink>
      <w:r>
        <w:t>).</w:t>
      </w:r>
    </w:p>
    <w:p>
      <w:r/>
      <w:r>
        <w:t>Embora o fato da crucificação de Jesus ser raramente desafiado historicamente, os detalhes variados nos quatro Evangelhos às vezes são considerados como adições posteriores devido à influência do “cumprimento” profético, às polêmicas judaico-cristãs ou às considerações cultuais. No entanto, não se pode concluir a partir das diferenças nos relatos dos Evangelhos que os detalhes não são históricos. O fato de os escritores dos Evangelhos terem sido seletivos sobre os detalhes da crucificação não é uma prova de que suas narrativas foram fabricadas.</w:t>
      </w:r>
    </w:p>
    <w:p>
      <w:pPr>
        <w:pStyle w:val="Heading4"/>
      </w:pPr>
      <w:r>
        <w:t>A ênfase em cada Evangelho</w:t>
      </w:r>
    </w:p>
    <w:p>
      <w:r/>
      <w:r>
        <w:t>Os elementos encontrados nas narrativas da paixão foram selecionados por cada escritor a fim de apresentar uma visão específica da cena da crucificação. Os escritores dos Evangelhos não eram apenas historiadores, mas também teólogos, selecionando cenas e retratando-as para mostrar o significado dos eventos para a fé cristã.</w:t>
      </w:r>
    </w:p>
    <w:p>
      <w:r/>
      <w:r>
        <w:t>Marcos e Mateus mostram o horror do Messias sendo colocado diante da morte por seres humanos. A primeira metade da cena de Marcos contrasta a zombaria da multidão com o verdadeiro significado da morte de Jesus. Os dois tipos de “salve a si mesmo” (</w:t>
      </w:r>
      <w:hyperlink r:id="rId6317">
        <w:r>
          <w:rPr>
            <w:color w:val="0000EE"/>
            <w:u w:val="single"/>
          </w:rPr>
          <w:t>Marcos 15.29–31</w:t>
        </w:r>
      </w:hyperlink>
      <w:r>
        <w:t xml:space="preserve">) repetem as palavras de Jesus sobre a reconstrução do templo em três dias — apontando profeticamente para a ressurreição. A segunda metade da descrição de Marcos enfatiza o horror da cena, progredindo das trevas para o grito de abandono para mais escárnio (vv. </w:t>
      </w:r>
      <w:hyperlink r:id="rId6318">
        <w:r>
          <w:rPr>
            <w:color w:val="0000EE"/>
            <w:u w:val="single"/>
          </w:rPr>
          <w:t>33–36</w:t>
        </w:r>
      </w:hyperlink>
      <w:r>
        <w:t>).</w:t>
      </w:r>
    </w:p>
    <w:p>
      <w:r/>
      <w:r>
        <w:t>O Evangelho de Mateus estende as imagens de Marcos em certas direções importantes, acrescentando que Jesus rejeitou o vinho oferecido (que deveria aliviar sua dor) “quando ele provou” (</w:t>
      </w:r>
      <w:hyperlink r:id="rId6319">
        <w:r>
          <w:rPr>
            <w:color w:val="0000EE"/>
            <w:u w:val="single"/>
          </w:rPr>
          <w:t>Mateus 27.34</w:t>
        </w:r>
      </w:hyperlink>
      <w:r>
        <w:t xml:space="preserve">), além de adicionar “entregou seu espírito” à cena da morte (v. </w:t>
      </w:r>
      <w:hyperlink r:id="rId6320">
        <w:r>
          <w:rPr>
            <w:color w:val="0000EE"/>
            <w:u w:val="single"/>
          </w:rPr>
          <w:t>50</w:t>
        </w:r>
      </w:hyperlink>
      <w:r>
        <w:t xml:space="preserve">). Mateus enfatiza assim que Jesus voluntariamente encarou sua morte totalmente consciente e em pleno controle de si mesmo. A ironia e alusão de Mateus também trazem a diferença entre o sofrimento de Jesus e sua vindicação. Elementos da vindicação incluem o rasgar do véu do templo (v. </w:t>
      </w:r>
      <w:hyperlink r:id="rId6321">
        <w:r>
          <w:rPr>
            <w:color w:val="0000EE"/>
            <w:u w:val="single"/>
          </w:rPr>
          <w:t>51</w:t>
        </w:r>
      </w:hyperlink>
      <w:r>
        <w:t xml:space="preserve">) e o testemunho do centurião (vs. </w:t>
      </w:r>
      <w:hyperlink r:id="rId4714">
        <w:r>
          <w:rPr>
            <w:color w:val="0000EE"/>
            <w:u w:val="single"/>
          </w:rPr>
          <w:t>54</w:t>
        </w:r>
      </w:hyperlink>
      <w:r>
        <w:t xml:space="preserve">). Na notável cena sobrenatural de </w:t>
      </w:r>
      <w:hyperlink r:id="rId6322">
        <w:r>
          <w:rPr>
            <w:color w:val="0000EE"/>
            <w:u w:val="single"/>
          </w:rPr>
          <w:t>Mateus 27.52–53</w:t>
        </w:r>
      </w:hyperlink>
      <w:r>
        <w:t>, a morte de Jesus é seguida imediatamente por um terremoto que abriu túmulos e reviveu “muitos corpos dos santos” que haviam morrido. Para Mateus, esses eventos e outros inauguraram os últimos dias, a nova era da salvação, quando o poder da morte é quebrado e a vida é disponibilizada para todos.</w:t>
      </w:r>
    </w:p>
    <w:p>
      <w:r/>
      <w:r>
        <w:t>O relato no Evangelho de Lucas também é bastante notável. Tem duas ênfases principais. Primeiro, Jesus é retratado como o exemplo perfeito do mártir justo que perdoa seus inimigos e, através de sua atitude, converte alguns de seus oponentes. A zombaria dos governantes e soldados é revertida quando a multidão volta para casa “batendo no peito” (</w:t>
      </w:r>
      <w:hyperlink r:id="rId6323">
        <w:r>
          <w:rPr>
            <w:color w:val="0000EE"/>
            <w:u w:val="single"/>
          </w:rPr>
          <w:t>Lucas 23.48</w:t>
        </w:r>
      </w:hyperlink>
      <w:r>
        <w:t xml:space="preserve">) e o centurião proclama: “Certamente este homem era inocente!” (v. </w:t>
      </w:r>
      <w:hyperlink r:id="rId4716">
        <w:r>
          <w:rPr>
            <w:color w:val="0000EE"/>
            <w:u w:val="single"/>
          </w:rPr>
          <w:t>47</w:t>
        </w:r>
      </w:hyperlink>
      <w:r>
        <w:t>). Segundo, em Lucas, todo o cenário tem uma atmosfera de reverência e adoração. O vinho e a mirra são omitidos, o grito de abandono e a provocação sobre Elias. Outros episódios são observados em vez disso — em especial, as orações de Jesus. Apenas em Lucas estão relacionados (1) a oração de Jesus para que Deus perdoe seus acusadores, colocando-a em contraste com a zombaria dos soldados; (2) a promessa em resposta à oração do criminoso “crente”; e (3) a entrega do espírito de Jesus ao Pai. A apresentação de Lucas faz da Crucificação um tipo de comemoração de adoração.</w:t>
      </w:r>
    </w:p>
    <w:p>
      <w:r/>
      <w:r>
        <w:t xml:space="preserve">No Evangelho de João há também uma mudança de foco teológico. Vai mais longe do que Lucas na remoção de detalhes chocantes, como as trevas e a zombaria. A calma permeia o tempo todo. O estresse é colocado no controle soberano de Jesus sobre sua situação, enquanto a Crucificação virtualmente se torna um processo de coroação. Somente João afirma que a inscrição na cruz foi escrita em hebraico, latim e grego — a pena, assim, se torna uma proclamação mundial da entronização de Cristo. A inscrição: “Jesus de Nazaré, Rei dos judeus”, continua o diálogo de Pilatos sobre realeza para além do julgamento de Jesus. João assim acrescenta à ênfase de Mateus: Jesus não apenas se tornou rei, mas foi soberano o tempo todo. O rei é retratado como realizando a função sacerdotal e ele próprio se tornando o sacrifício. Apenas João menciona o hissopo (que era utilizado para aspergir o sangue do cordeiro no Páscoa, </w:t>
      </w:r>
      <w:hyperlink r:id="rId6324">
        <w:r>
          <w:rPr>
            <w:color w:val="0000EE"/>
            <w:u w:val="single"/>
          </w:rPr>
          <w:t>Êxodo 12.22</w:t>
        </w:r>
      </w:hyperlink>
      <w:r>
        <w:t>) e o grito de Jesus: “Está consumado” (</w:t>
      </w:r>
      <w:hyperlink r:id="rId6325">
        <w:r>
          <w:rPr>
            <w:color w:val="0000EE"/>
            <w:u w:val="single"/>
          </w:rPr>
          <w:t>João 19.29–30</w:t>
        </w:r>
      </w:hyperlink>
      <w:r>
        <w:t xml:space="preserve">). Além disso, o perfurar do lado de Jesus (vv </w:t>
      </w:r>
      <w:hyperlink r:id="rId6326">
        <w:r>
          <w:rPr>
            <w:color w:val="0000EE"/>
            <w:u w:val="single"/>
          </w:rPr>
          <w:t>31–37</w:t>
        </w:r>
      </w:hyperlink>
      <w:r>
        <w:t>), que mostra a realidade de sua morte, também pode ser visto simbolicamente, em relação com os “rios de água viva” (</w:t>
      </w:r>
      <w:hyperlink r:id="rId601">
        <w:r>
          <w:rPr>
            <w:color w:val="0000EE"/>
            <w:u w:val="single"/>
          </w:rPr>
          <w:t>7.37–38</w:t>
        </w:r>
      </w:hyperlink>
      <w:r>
        <w:t>), como um exemplo de derramamento da vida nesta nova era.</w:t>
      </w:r>
    </w:p>
    <w:p>
      <w:r/>
      <w:r>
        <w:t>Assim, cada Evangelho retrata o significado da morte de Jesus de um ponto de vista diferente. Combinar suas imagens proporciona uma nova compreensão do significado da cruz. Em vez de contradição, vê-se partes separadas de um todo convincente.</w:t>
      </w:r>
    </w:p>
    <w:p>
      <w:pPr>
        <w:pStyle w:val="Heading3"/>
      </w:pPr>
      <w:r>
        <w:t>O significado teológico da crucificação de Cristo</w:t>
      </w:r>
    </w:p>
    <w:p>
      <w:r/>
      <w:r>
        <w:t>A cruz desempenha um papel duplo na teologia cristã. Alguns teólogos enfatizam a significância da crucificação histórica de Jesus Cristo e o que ela proporcionou para o crente. Outros se concentram no simbolismo da cruz na vida de cada crente.</w:t>
      </w:r>
    </w:p>
    <w:p>
      <w:r/>
      <w:r>
        <w:t>A morte e ressurreição de Jesus de Nazaré são os eventos centrais da teologia cristã. A cruz tem significado por causa da significância da pessoa que foi posta à morte nela e por causa do que sua morte realizou. “A palavra da cruz” era central na proclamação da salvação da igreja primitiva. Acima de tudo, o evento da cruz foi o principal ato salvífico de Deus na história; portanto, a cruz, embora um evento passado, tem uma significância no presente. Cristo crucificado e ressuscitado é a parte principal da mensagem da igreja (</w:t>
      </w:r>
      <w:hyperlink r:id="rId6327">
        <w:r>
          <w:rPr>
            <w:color w:val="0000EE"/>
            <w:u w:val="single"/>
          </w:rPr>
          <w:t>Gálatas 3.1</w:t>
        </w:r>
      </w:hyperlink>
      <w:r>
        <w:t>).</w:t>
      </w:r>
    </w:p>
    <w:p>
      <w:r/>
      <w:r>
        <w:t xml:space="preserve">A passagem central é </w:t>
      </w:r>
      <w:hyperlink r:id="rId6328">
        <w:r>
          <w:rPr>
            <w:color w:val="0000EE"/>
            <w:u w:val="single"/>
          </w:rPr>
          <w:t>1 Coríntios 1.17–2.5</w:t>
        </w:r>
      </w:hyperlink>
      <w:r>
        <w:t>. Lá a “palavra da cruz” (</w:t>
      </w:r>
      <w:hyperlink r:id="rId5760">
        <w:r>
          <w:rPr>
            <w:color w:val="0000EE"/>
            <w:u w:val="single"/>
          </w:rPr>
          <w:t>1.18</w:t>
        </w:r>
      </w:hyperlink>
      <w:r>
        <w:t xml:space="preserve">) é contrastada com a “sabedoria eloquente” (v. </w:t>
      </w:r>
      <w:hyperlink r:id="rId2287">
        <w:r>
          <w:rPr>
            <w:color w:val="0000EE"/>
            <w:u w:val="single"/>
          </w:rPr>
          <w:t>17</w:t>
        </w:r>
      </w:hyperlink>
      <w:r>
        <w:t xml:space="preserve">). Soando como tolice, esta mensagem é ofensiva tanto para a filosofia grega quanto para o legalismo judaico (compare </w:t>
      </w:r>
      <w:hyperlink r:id="rId6329">
        <w:r>
          <w:rPr>
            <w:color w:val="0000EE"/>
            <w:u w:val="single"/>
          </w:rPr>
          <w:t>Gálatas 6.12–15</w:t>
        </w:r>
      </w:hyperlink>
      <w:r>
        <w:t>), porém essa “fraqueza” aos olhos humanos abre a porta para o “poder de Deus” (</w:t>
      </w:r>
      <w:hyperlink r:id="rId5760">
        <w:r>
          <w:rPr>
            <w:color w:val="0000EE"/>
            <w:u w:val="single"/>
          </w:rPr>
          <w:t>1 Coríntios 1.18</w:t>
        </w:r>
      </w:hyperlink>
      <w:r>
        <w:t xml:space="preserve">). A cruz na proclamação da igreja ilustra o padrão da ação de Deus: ele faz com que as coisas fracas desta vida se tornem poder e sabedoria (vv. </w:t>
      </w:r>
      <w:hyperlink r:id="rId6330">
        <w:r>
          <w:rPr>
            <w:color w:val="0000EE"/>
            <w:u w:val="single"/>
          </w:rPr>
          <w:t>26–30</w:t>
        </w:r>
      </w:hyperlink>
      <w:r>
        <w:t>). Visto que a especulação filosófica substitui a mensagem de Deus pela sabedoria humana e, assim, esvazia a cruz de seu significado, Paulo rejeitou as “palavras imponentes” e pregou apenas o “Cristo crucificado”. Assim, o “poder do Espírito Santo” se tornou evidente na “fraqueza” de Paulo (</w:t>
      </w:r>
      <w:hyperlink r:id="rId6331">
        <w:r>
          <w:rPr>
            <w:color w:val="0000EE"/>
            <w:u w:val="single"/>
          </w:rPr>
          <w:t>2.1–5</w:t>
        </w:r>
      </w:hyperlink>
      <w:r>
        <w:t>). O núcleo central do evangelho é a demonstração da vitória de Deus emergindo sob uma aparente derrota, do poder surgindo através da fragilidade.</w:t>
      </w:r>
    </w:p>
    <w:p>
      <w:r/>
      <w:r>
        <w:t xml:space="preserve">A cruz como base da expiação é a principal ênfase nas Cartas (ver </w:t>
      </w:r>
      <w:hyperlink r:id="rId6332">
        <w:r>
          <w:rPr>
            <w:color w:val="0000EE"/>
            <w:u w:val="single"/>
          </w:rPr>
          <w:t>Efésios 2.16</w:t>
        </w:r>
      </w:hyperlink>
      <w:r>
        <w:t xml:space="preserve">; </w:t>
      </w:r>
      <w:hyperlink r:id="rId5154">
        <w:r>
          <w:rPr>
            <w:color w:val="0000EE"/>
            <w:u w:val="single"/>
          </w:rPr>
          <w:t>Colossenses 1.20</w:t>
        </w:r>
      </w:hyperlink>
      <w:r>
        <w:t xml:space="preserve">; </w:t>
      </w:r>
      <w:hyperlink r:id="rId5156">
        <w:r>
          <w:rPr>
            <w:color w:val="0000EE"/>
            <w:u w:val="single"/>
          </w:rPr>
          <w:t>2.14</w:t>
        </w:r>
      </w:hyperlink>
      <w:r>
        <w:t xml:space="preserve">), enquanto no livro de Atos a ressurreição parece mais central (veja </w:t>
      </w:r>
      <w:hyperlink r:id="rId2668">
        <w:r>
          <w:rPr>
            <w:color w:val="0000EE"/>
            <w:u w:val="single"/>
          </w:rPr>
          <w:t>Atos 2.33–36</w:t>
        </w:r>
      </w:hyperlink>
      <w:r>
        <w:t xml:space="preserve">; </w:t>
      </w:r>
      <w:hyperlink r:id="rId6333">
        <w:r>
          <w:rPr>
            <w:color w:val="0000EE"/>
            <w:u w:val="single"/>
          </w:rPr>
          <w:t>3.19–26</w:t>
        </w:r>
      </w:hyperlink>
      <w:r>
        <w:t xml:space="preserve">; </w:t>
      </w:r>
      <w:hyperlink r:id="rId6334">
        <w:r>
          <w:rPr>
            <w:color w:val="0000EE"/>
            <w:u w:val="single"/>
          </w:rPr>
          <w:t>13.37–39</w:t>
        </w:r>
      </w:hyperlink>
      <w:r>
        <w:t>). A razão para isso são os diferentes propósitos desses escritos: a cruz tende a ser usada em seções de ensino, a ressurreição em seções persuasivas (ou apologéticas), quando a base para a salvação está sendo apresentada. Na verdade, ambas foram um único evento na história da salvação. Jesus “foi morto pelas nossas transgressões e ressuscitado para nossa justificação” (</w:t>
      </w:r>
      <w:hyperlink r:id="rId6335">
        <w:r>
          <w:rPr>
            <w:color w:val="0000EE"/>
            <w:u w:val="single"/>
          </w:rPr>
          <w:t>Romanos 4.25</w:t>
        </w:r>
      </w:hyperlink>
      <w:r>
        <w:t>).</w:t>
      </w:r>
    </w:p>
    <w:p>
      <w:r/>
      <w:r>
        <w:t>Paulo expressou o significado da cruz nas palavras “redenção”, “propiciação” e “justificação”. Os dois primeiros conceitos têm o tema “por nós”, o qual está ligado ao servo sofredor (</w:t>
      </w:r>
      <w:hyperlink r:id="rId6336">
        <w:r>
          <w:rPr>
            <w:color w:val="0000EE"/>
            <w:u w:val="single"/>
          </w:rPr>
          <w:t>Isaías 53.10–12</w:t>
        </w:r>
      </w:hyperlink>
      <w:r>
        <w:t>), que morreu pelo “pecado de muitos”. A ideia de redenção em ambos os Testamentos é o pagamento de um preço para o “resgate” daqueles mantidos em cativeiro. Esse preço, explica o NT, foi pago na cruz, e a humanidade foi, assim, liberta do pecado (</w:t>
      </w:r>
      <w:hyperlink r:id="rId921">
        <w:r>
          <w:rPr>
            <w:color w:val="0000EE"/>
            <w:u w:val="single"/>
          </w:rPr>
          <w:t>Marcos 10.45</w:t>
        </w:r>
      </w:hyperlink>
      <w:r>
        <w:t xml:space="preserve">; </w:t>
      </w:r>
      <w:hyperlink r:id="rId6337">
        <w:r>
          <w:rPr>
            <w:color w:val="0000EE"/>
            <w:u w:val="single"/>
          </w:rPr>
          <w:t>Tito 2.14</w:t>
        </w:r>
      </w:hyperlink>
      <w:r>
        <w:t xml:space="preserve">; </w:t>
      </w:r>
      <w:hyperlink r:id="rId6338">
        <w:r>
          <w:rPr>
            <w:color w:val="0000EE"/>
            <w:u w:val="single"/>
          </w:rPr>
          <w:t>1 Pedro 1.18</w:t>
        </w:r>
      </w:hyperlink>
      <w:r>
        <w:t xml:space="preserve">). A conexão entre a morte de Jesus e o “no lugar de” também é vista em </w:t>
      </w:r>
      <w:hyperlink r:id="rId6300">
        <w:r>
          <w:rPr>
            <w:color w:val="0000EE"/>
            <w:u w:val="single"/>
          </w:rPr>
          <w:t>Gálatas 3.13</w:t>
        </w:r>
      </w:hyperlink>
      <w:r>
        <w:t xml:space="preserve">, que acrescenta à maldição de </w:t>
      </w:r>
      <w:hyperlink r:id="rId6039">
        <w:r>
          <w:rPr>
            <w:color w:val="0000EE"/>
            <w:u w:val="single"/>
          </w:rPr>
          <w:t>Deuteronômio 21.23</w:t>
        </w:r>
      </w:hyperlink>
      <w:r>
        <w:t xml:space="preserve"> a interpretação “por nós” (compare </w:t>
      </w:r>
      <w:hyperlink r:id="rId6339">
        <w:r>
          <w:rPr>
            <w:color w:val="0000EE"/>
            <w:u w:val="single"/>
          </w:rPr>
          <w:t>Romanos 5.10–11, 18</w:t>
        </w:r>
      </w:hyperlink>
      <w:r>
        <w:t xml:space="preserve">; </w:t>
      </w:r>
      <w:hyperlink r:id="rId4675">
        <w:r>
          <w:rPr>
            <w:color w:val="0000EE"/>
            <w:u w:val="single"/>
          </w:rPr>
          <w:t>1 Coríntios 11.24</w:t>
        </w:r>
      </w:hyperlink>
      <w:r>
        <w:t xml:space="preserve">; </w:t>
      </w:r>
      <w:hyperlink r:id="rId6340">
        <w:r>
          <w:rPr>
            <w:color w:val="0000EE"/>
            <w:u w:val="single"/>
          </w:rPr>
          <w:t>Efésios 1.7</w:t>
        </w:r>
      </w:hyperlink>
      <w:r>
        <w:t xml:space="preserve">; </w:t>
      </w:r>
      <w:hyperlink r:id="rId6341">
        <w:r>
          <w:rPr>
            <w:color w:val="0000EE"/>
            <w:u w:val="single"/>
          </w:rPr>
          <w:t>2.13</w:t>
        </w:r>
      </w:hyperlink>
      <w:r>
        <w:t>). Da mesma forma, o conceito de justificação para Paulo é centralizado na cruz. É o “Cristo crucificado” que declara a humanidade justa e torna possível a liberdade do pecado (</w:t>
      </w:r>
      <w:hyperlink r:id="rId4317">
        <w:r>
          <w:rPr>
            <w:color w:val="0000EE"/>
            <w:u w:val="single"/>
          </w:rPr>
          <w:t>Romanos 6.6</w:t>
        </w:r>
      </w:hyperlink>
      <w:r>
        <w:t xml:space="preserve">; </w:t>
      </w:r>
      <w:hyperlink r:id="rId6342">
        <w:r>
          <w:rPr>
            <w:color w:val="0000EE"/>
            <w:u w:val="single"/>
          </w:rPr>
          <w:t>Gl 2.19–21</w:t>
        </w:r>
      </w:hyperlink>
      <w:r>
        <w:t>). A culpa humana foi transferida para a cruz e foi expiada lá, fornecendo agora o perdão legal de Deus a todos que fazem uso deste poder (</w:t>
      </w:r>
      <w:hyperlink r:id="rId6343">
        <w:r>
          <w:rPr>
            <w:color w:val="0000EE"/>
            <w:u w:val="single"/>
          </w:rPr>
          <w:t>1 Pedro 1.18–21</w:t>
        </w:r>
      </w:hyperlink>
      <w:r>
        <w:t xml:space="preserve">; </w:t>
      </w:r>
      <w:hyperlink r:id="rId5989">
        <w:r>
          <w:rPr>
            <w:color w:val="0000EE"/>
            <w:u w:val="single"/>
          </w:rPr>
          <w:t>2.24</w:t>
        </w:r>
      </w:hyperlink>
      <w:r>
        <w:t xml:space="preserve">; </w:t>
      </w:r>
      <w:hyperlink r:id="rId4290">
        <w:r>
          <w:rPr>
            <w:color w:val="0000EE"/>
            <w:u w:val="single"/>
          </w:rPr>
          <w:t>3.18</w:t>
        </w:r>
      </w:hyperlink>
      <w:r>
        <w:t>). Finalmente, o resultado é “reconciliação” — tanto verticalmente, entre humanos e Deus (</w:t>
      </w:r>
      <w:hyperlink r:id="rId5154">
        <w:r>
          <w:rPr>
            <w:color w:val="0000EE"/>
            <w:u w:val="single"/>
          </w:rPr>
          <w:t>Colossenses 1.20</w:t>
        </w:r>
      </w:hyperlink>
      <w:r>
        <w:t xml:space="preserve">) quanto horizontalmente, entre grupos humanos anteriormente opostos (por exemplo, em </w:t>
      </w:r>
      <w:hyperlink r:id="rId6344">
        <w:r>
          <w:rPr>
            <w:color w:val="0000EE"/>
            <w:u w:val="single"/>
          </w:rPr>
          <w:t>Efésios 2.13–16</w:t>
        </w:r>
      </w:hyperlink>
      <w:r>
        <w:t>, entre judeus e gentios).</w:t>
      </w:r>
    </w:p>
    <w:p>
      <w:r/>
      <w:r>
        <w:t>Além do significado teológico da cruz literal na qual Jesus Cristo foi posto à morte na Judeia quase 2.000 anos atrás, está o significado simbólico da cruz para seus seguidores de hoje.</w:t>
      </w:r>
    </w:p>
    <w:p>
      <w:r/>
      <w:r>
        <w:t>Jesus colocou “carregar sua cruz” como uma condição do discipulado em cinco passagens. Há duas variantes principais: uma, encontrada no material comum a Mateus e Lucas (</w:t>
      </w:r>
      <w:hyperlink r:id="rId6345">
        <w:r>
          <w:rPr>
            <w:color w:val="0000EE"/>
            <w:u w:val="single"/>
          </w:rPr>
          <w:t>Mateus 10.38</w:t>
        </w:r>
      </w:hyperlink>
      <w:r>
        <w:t xml:space="preserve">; </w:t>
      </w:r>
      <w:hyperlink r:id="rId6346">
        <w:r>
          <w:rPr>
            <w:color w:val="0000EE"/>
            <w:u w:val="single"/>
          </w:rPr>
          <w:t>Lucas 14.27</w:t>
        </w:r>
      </w:hyperlink>
      <w:r>
        <w:t>), é formulada negativamente (“não pode ser meu discípulo”); a outra, que é encontrada em todos os três Evangelhos sinóticos (</w:t>
      </w:r>
      <w:hyperlink r:id="rId6347">
        <w:r>
          <w:rPr>
            <w:color w:val="0000EE"/>
            <w:u w:val="single"/>
          </w:rPr>
          <w:t>Mateus 16.24</w:t>
        </w:r>
      </w:hyperlink>
      <w:r>
        <w:t xml:space="preserve">; </w:t>
      </w:r>
      <w:hyperlink r:id="rId6348">
        <w:r>
          <w:rPr>
            <w:color w:val="0000EE"/>
            <w:u w:val="single"/>
          </w:rPr>
          <w:t>Marcos 8.34</w:t>
        </w:r>
      </w:hyperlink>
      <w:r>
        <w:t xml:space="preserve">; </w:t>
      </w:r>
      <w:hyperlink r:id="rId924">
        <w:r>
          <w:rPr>
            <w:color w:val="0000EE"/>
            <w:u w:val="single"/>
          </w:rPr>
          <w:t>Lucas 9.23</w:t>
        </w:r>
      </w:hyperlink>
      <w:r>
        <w:t>), é formulada positivamente (“Se alguém deseja vir após mim”). Dois principais padrões são encontrados nessas palavras. O maior padrão vem do imaginário de um homem condenado carregando sua cruz para um local de execução; uma parte necessária do discipulado é uma disposição diária (</w:t>
      </w:r>
      <w:hyperlink r:id="rId924">
        <w:r>
          <w:rPr>
            <w:color w:val="0000EE"/>
            <w:u w:val="single"/>
          </w:rPr>
          <w:t>Lucas 9.23</w:t>
        </w:r>
      </w:hyperlink>
      <w:r>
        <w:t>) de sacrificar tudo e sofrer por causa de Cristo. O ponto central não é a morte, mas a desgraça; o discípulo deve estar pronto para se tornar um marginalizado da sociedade.</w:t>
      </w:r>
    </w:p>
    <w:p>
      <w:r/>
      <w:r>
        <w:t xml:space="preserve">Paulo estendeu a metáfora de Cristo até a morte de si mesmo. Ele pode ter tomado esta ideia dos ensinamentos da igreja primitiva, como visto no credo batismal de </w:t>
      </w:r>
      <w:hyperlink r:id="rId6349">
        <w:r>
          <w:rPr>
            <w:color w:val="0000EE"/>
            <w:u w:val="single"/>
          </w:rPr>
          <w:t>Romanos 6.1–8</w:t>
        </w:r>
      </w:hyperlink>
      <w:r>
        <w:t>, que identifica o batismo como sendo “enterrado com ele”. Paulo interpretou a identificação do cristão com a morte de Cristo como significando que “nosso velho eu foi crucificado com ele para que o corpo pecaminoso fosse destruído, e, desta forma, para que pudéssemos não mais ser escravizados pelo pecado” (</w:t>
      </w:r>
      <w:hyperlink r:id="rId4317">
        <w:r>
          <w:rPr>
            <w:color w:val="0000EE"/>
            <w:u w:val="single"/>
          </w:rPr>
          <w:t>Romanos 6.6</w:t>
        </w:r>
      </w:hyperlink>
      <w:r>
        <w:t xml:space="preserve">). Conforme desenvolvido mais em </w:t>
      </w:r>
      <w:hyperlink r:id="rId6350">
        <w:r>
          <w:rPr>
            <w:color w:val="0000EE"/>
            <w:u w:val="single"/>
          </w:rPr>
          <w:t>2 Coríntios 5.14–17</w:t>
        </w:r>
      </w:hyperlink>
      <w:r>
        <w:t>, o crente participa da morte e ressurreição de Cristo, visto que sua antiga vida já passou e tudo se fez novo (</w:t>
      </w:r>
      <w:hyperlink r:id="rId374">
        <w:r>
          <w:rPr>
            <w:color w:val="0000EE"/>
            <w:u w:val="single"/>
          </w:rPr>
          <w:t>5.17</w:t>
        </w:r>
      </w:hyperlink>
      <w:r>
        <w:t>). A mesma visão também é encontrada em Gálatas, contrastando a morte mística do eu com o sistema legalista daqueles que pensavam que os cristãos precisavam seguir as leis judaicas. O crente está “crucificado com Cristo”, e o resultado disso é que “já não sou mais eu quem vivo” (</w:t>
      </w:r>
      <w:hyperlink r:id="rId4289">
        <w:r>
          <w:rPr>
            <w:color w:val="0000EE"/>
            <w:u w:val="single"/>
          </w:rPr>
          <w:t>Gálatas 2.20</w:t>
        </w:r>
      </w:hyperlink>
      <w:r>
        <w:t>); “a carne com suas paixões e desejos” está “crucificada” (</w:t>
      </w:r>
      <w:hyperlink r:id="rId4316">
        <w:r>
          <w:rPr>
            <w:color w:val="0000EE"/>
            <w:u w:val="single"/>
          </w:rPr>
          <w:t>5.24</w:t>
        </w:r>
      </w:hyperlink>
      <w:r>
        <w:t>); e “longe esteja de mim gloriar-me, a não ser na cruz de nosso Senhor Jesus Cristo, pelo qual o mundo foi crucificado para mim, e eu para o mundo” (</w:t>
      </w:r>
      <w:hyperlink r:id="rId6351">
        <w:r>
          <w:rPr>
            <w:color w:val="0000EE"/>
            <w:u w:val="single"/>
          </w:rPr>
          <w:t>6.14</w:t>
        </w:r>
      </w:hyperlink>
      <w:r>
        <w:t>). Os crentes precisam primeiro experimentar a cruz para que possam encontrar a vida na ressurreição.</w:t>
      </w:r>
    </w:p>
    <w:p>
      <w:r/>
      <w:r>
        <w:rPr>
          <w:i/>
        </w:rPr>
        <w:t>Veja também</w:t>
      </w:r>
      <w:r>
        <w:t xml:space="preserve"> </w:t>
      </w:r>
      <w:r>
        <w:t>Expiação</w:t>
      </w:r>
      <w:r>
        <w:t xml:space="preserve">; </w:t>
      </w:r>
      <w:r>
        <w:t>Lei Penal e Punição</w:t>
      </w:r>
      <w:r>
        <w:t xml:space="preserve">; </w:t>
      </w:r>
      <w:r>
        <w:t>Eli, Eli, Lema Sabactani</w:t>
      </w:r>
      <w:r>
        <w:t xml:space="preserve">; </w:t>
      </w:r>
      <w:r>
        <w:t>Gólgota</w:t>
      </w:r>
      <w:r>
        <w:t xml:space="preserve">; </w:t>
      </w:r>
      <w:r>
        <w:t>Redentor, Redenção</w:t>
      </w:r>
      <w:r>
        <w:t xml:space="preserve">; </w:t>
      </w:r>
      <w:r>
        <w:t>Sete Últimas Palavras de Jesus</w:t>
      </w:r>
      <w:r>
        <w:t>.</w:t>
      </w:r>
      <w:r/>
      <w:r/>
    </w:p>
    <w:p>
      <w:r/>
    </w:p>
    <w:p>
      <w:pPr>
        <w:pStyle w:val="Heading2"/>
      </w:pPr>
      <w:r>
        <w:t>Culpa de sangue</w:t>
      </w:r>
      <w:r/>
    </w:p>
    <w:p>
      <w:r/>
      <w:r>
        <w:t>Culpa de sangue refere-se à responsabilidade pela morte de alguém. Na Bíblia, este termo vem de uma palavra hebraica que significa "sangue" ou "sangues" (</w:t>
      </w:r>
      <w:hyperlink r:id="rId6352">
        <w:r>
          <w:rPr>
            <w:color w:val="0000EE"/>
            <w:u w:val="single"/>
          </w:rPr>
          <w:t>Êx 22.2–3</w:t>
        </w:r>
      </w:hyperlink>
      <w:r>
        <w:t xml:space="preserve">; </w:t>
      </w:r>
      <w:hyperlink r:id="rId6353">
        <w:r>
          <w:rPr>
            <w:color w:val="0000EE"/>
            <w:u w:val="single"/>
          </w:rPr>
          <w:t>Lv 17.4</w:t>
        </w:r>
      </w:hyperlink>
      <w:r>
        <w:t xml:space="preserve">; </w:t>
      </w:r>
      <w:hyperlink r:id="rId6354">
        <w:r>
          <w:rPr>
            <w:color w:val="0000EE"/>
            <w:u w:val="single"/>
          </w:rPr>
          <w:t>1Sm 25.26,33</w:t>
        </w:r>
      </w:hyperlink>
      <w:r>
        <w:t xml:space="preserve">; </w:t>
      </w:r>
      <w:hyperlink r:id="rId6355">
        <w:r>
          <w:rPr>
            <w:color w:val="0000EE"/>
            <w:u w:val="single"/>
          </w:rPr>
          <w:t>Os 12.14</w:t>
        </w:r>
      </w:hyperlink>
      <w:r>
        <w:t>). Quando alguém matava outra pessoa, dizia-se que havia "derramado sangue" e tornava-se culpado pela morte dessa pessoa.</w:t>
      </w:r>
    </w:p>
    <w:p>
      <w:r/>
      <w:r>
        <w:t xml:space="preserve">A tradução "culpa de sangue" é usada apenas em </w:t>
      </w:r>
      <w:hyperlink r:id="rId6356">
        <w:r>
          <w:rPr>
            <w:color w:val="0000EE"/>
            <w:u w:val="single"/>
          </w:rPr>
          <w:t>Salmo 51.14</w:t>
        </w:r>
      </w:hyperlink>
      <w:r>
        <w:t>. Quando a palavra hebraica é usada em sua forma plural, geralmente indica que alguém matou outra pessoa. Em sua forma singular, a palavra pode significar três coisas:</w:t>
      </w:r>
    </w:p>
    <w:p>
      <w:pPr>
        <w:pStyle w:val="ListBullet"/>
        <w:spacing w:line="240" w:lineRule="auto"/>
        <w:ind w:left="720"/>
      </w:pPr>
      <w:r/>
      <w:r>
        <w:t>O sangue dele próprio</w:t>
      </w:r>
    </w:p>
    <w:p>
      <w:pPr>
        <w:pStyle w:val="ListBullet"/>
        <w:spacing w:line="240" w:lineRule="auto"/>
        <w:ind w:left="720"/>
      </w:pPr>
      <w:r/>
      <w:r>
        <w:t>O ato de tirar a vida de alguém</w:t>
      </w:r>
    </w:p>
    <w:p>
      <w:pPr>
        <w:pStyle w:val="ListBullet"/>
        <w:spacing w:line="240" w:lineRule="auto"/>
        <w:ind w:left="720"/>
      </w:pPr>
      <w:r/>
      <w:r>
        <w:t>Ser culpado por matar alguém</w:t>
      </w:r>
    </w:p>
    <w:p>
      <w:r/>
      <w:r>
        <w:t>Ao longo da Bíblia, vemos que matar alguém era punido com a morte. Nos tempos bíblicos, matar frequentemente ocorria por meio do derramamento de sangue de outra pessoa.</w:t>
      </w:r>
    </w:p>
    <w:p>
      <w:pPr>
        <w:pStyle w:val="Heading3"/>
      </w:pPr>
      <w:r>
        <w:t>Tipos de culpa de sangue</w:t>
      </w:r>
    </w:p>
    <w:p>
      <w:r/>
      <w:r>
        <w:t>O primeiro tipo de culpa de sangue ocorria quando alguém matava deliberadamente outra pessoa. O Antigo Testamento chama esse assassinato de "sangue inocente" (</w:t>
      </w:r>
      <w:hyperlink r:id="rId6357">
        <w:r>
          <w:rPr>
            <w:color w:val="0000EE"/>
            <w:u w:val="single"/>
          </w:rPr>
          <w:t>Jn 1.14</w:t>
        </w:r>
      </w:hyperlink>
      <w:r>
        <w:t>). A Bíblia explica o que acontece quando alguém mata uma pessoa inocente e como deve ser punido (</w:t>
      </w:r>
      <w:hyperlink r:id="rId6358">
        <w:r>
          <w:rPr>
            <w:color w:val="0000EE"/>
            <w:u w:val="single"/>
          </w:rPr>
          <w:t>Gn 9.6</w:t>
        </w:r>
      </w:hyperlink>
      <w:r>
        <w:t xml:space="preserve">; </w:t>
      </w:r>
      <w:hyperlink r:id="rId6359">
        <w:r>
          <w:rPr>
            <w:color w:val="0000EE"/>
            <w:u w:val="single"/>
          </w:rPr>
          <w:t>Dt 19.11–13</w:t>
        </w:r>
      </w:hyperlink>
      <w:r>
        <w:t xml:space="preserve">; </w:t>
      </w:r>
      <w:hyperlink r:id="rId6360">
        <w:r>
          <w:rPr>
            <w:color w:val="0000EE"/>
            <w:u w:val="single"/>
          </w:rPr>
          <w:t>2Rs 24.4</w:t>
        </w:r>
      </w:hyperlink>
      <w:r>
        <w:t xml:space="preserve">; </w:t>
      </w:r>
      <w:hyperlink r:id="rId6361">
        <w:r>
          <w:rPr>
            <w:color w:val="0000EE"/>
            <w:u w:val="single"/>
          </w:rPr>
          <w:t>Ez 33.6</w:t>
        </w:r>
      </w:hyperlink>
      <w:r>
        <w:t>). De acordo com a Bíblia, se alguém comete assassinato, não pode pagar dinheiro para evitar a punição (</w:t>
      </w:r>
      <w:hyperlink r:id="rId4875">
        <w:r>
          <w:rPr>
            <w:color w:val="0000EE"/>
            <w:u w:val="single"/>
          </w:rPr>
          <w:t>Nm 35.31</w:t>
        </w:r>
      </w:hyperlink>
      <w:r>
        <w:t>).</w:t>
      </w:r>
    </w:p>
    <w:p>
      <w:r/>
      <w:r>
        <w:t>Outro tipo de culpa de sangue ocorria quando alguém matava outra pessoa por acidente (</w:t>
      </w:r>
      <w:hyperlink r:id="rId6362">
        <w:r>
          <w:rPr>
            <w:color w:val="0000EE"/>
            <w:u w:val="single"/>
          </w:rPr>
          <w:t>Nm 35.9–28</w:t>
        </w:r>
      </w:hyperlink>
      <w:r>
        <w:t xml:space="preserve">, </w:t>
      </w:r>
      <w:hyperlink r:id="rId6363">
        <w:r>
          <w:rPr>
            <w:color w:val="0000EE"/>
            <w:u w:val="single"/>
          </w:rPr>
          <w:t>Dt 19.4–10</w:t>
        </w:r>
      </w:hyperlink>
      <w:r>
        <w:t>). Nesses casos, a pessoa que causou a morte podia ir para cidades especiais chamadas "cidades de refúgio" para estar segura. Se saíssem dessas cidades, poderiam ser mortos por um membro da família da pessoa falecida que tinha o direito de buscar justiça. Esse membro da família era chamado de "vingador do sangue".</w:t>
      </w:r>
    </w:p>
    <w:p>
      <w:r/>
      <w:r>
        <w:t xml:space="preserve">Às vezes, uma pessoa morta era encontrada, e ninguém sabia quem a matou. Quando isso acontecia, a cidade mais próxima era responsabilizada pela morte. </w:t>
      </w:r>
      <w:hyperlink r:id="rId6364">
        <w:r>
          <w:rPr>
            <w:color w:val="0000EE"/>
            <w:u w:val="single"/>
          </w:rPr>
          <w:t>Deuteronômio 21.1–9</w:t>
        </w:r>
      </w:hyperlink>
      <w:r>
        <w:t xml:space="preserve"> explica uma cerimônia especial que essas cidades podiam realizar para remover essa responsabilidade.</w:t>
      </w:r>
    </w:p>
    <w:p>
      <w:r/>
      <w:r>
        <w:t>No antigo Israel, as pessoas podiam se tornar culpadas de homicídio culposo mesmo ao lidar com animais (</w:t>
      </w:r>
      <w:hyperlink r:id="rId6365">
        <w:r>
          <w:rPr>
            <w:color w:val="0000EE"/>
            <w:u w:val="single"/>
          </w:rPr>
          <w:t>Lv 17.3–4,10–11</w:t>
        </w:r>
      </w:hyperlink>
      <w:r>
        <w:t>). Se um animal matasse alguém, o animal seria condenado à morte por apedrejamento (</w:t>
      </w:r>
      <w:hyperlink r:id="rId6366">
        <w:r>
          <w:rPr>
            <w:color w:val="0000EE"/>
            <w:u w:val="single"/>
          </w:rPr>
          <w:t>Êx 21.28–29</w:t>
        </w:r>
      </w:hyperlink>
      <w:r>
        <w:t>).</w:t>
      </w:r>
    </w:p>
    <w:p>
      <w:r/>
      <w:r>
        <w:t>Houve algumas situações em que matar não resultou em culpa:</w:t>
      </w:r>
    </w:p>
    <w:p>
      <w:pPr>
        <w:pStyle w:val="ListBullet"/>
        <w:spacing w:line="240" w:lineRule="auto"/>
        <w:ind w:left="720"/>
      </w:pPr>
      <w:r/>
      <w:r>
        <w:t>Protegendo-se (</w:t>
      </w:r>
      <w:hyperlink r:id="rId6367">
        <w:r>
          <w:rPr>
            <w:color w:val="0000EE"/>
            <w:u w:val="single"/>
          </w:rPr>
          <w:t>Êx 22.2</w:t>
        </w:r>
      </w:hyperlink>
      <w:r>
        <w:t>)</w:t>
      </w:r>
    </w:p>
    <w:p>
      <w:pPr>
        <w:pStyle w:val="ListBullet"/>
        <w:spacing w:line="240" w:lineRule="auto"/>
        <w:ind w:left="720"/>
      </w:pPr>
      <w:r/>
      <w:r>
        <w:t>Realizando execuções legais (</w:t>
      </w:r>
      <w:hyperlink r:id="rId6368">
        <w:r>
          <w:rPr>
            <w:color w:val="0000EE"/>
            <w:u w:val="single"/>
          </w:rPr>
          <w:t>Lv 20.9–16</w:t>
        </w:r>
      </w:hyperlink>
      <w:r>
        <w:t>)</w:t>
      </w:r>
    </w:p>
    <w:p>
      <w:pPr>
        <w:pStyle w:val="ListBullet"/>
        <w:spacing w:line="240" w:lineRule="auto"/>
        <w:ind w:left="720"/>
      </w:pPr>
      <w:r/>
      <w:r>
        <w:t>Matar durante a guerra (</w:t>
      </w:r>
      <w:hyperlink r:id="rId6369">
        <w:r>
          <w:rPr>
            <w:color w:val="0000EE"/>
            <w:u w:val="single"/>
          </w:rPr>
          <w:t>1Re 2.5–6</w:t>
        </w:r>
      </w:hyperlink>
      <w:r>
        <w:t>)</w:t>
      </w:r>
    </w:p>
    <w:p>
      <w:r/>
      <w:r>
        <w:t>Os profetas frequentemente usavam a palavra "sangue" para falar sobre a culpa de toda a nação de Israel (</w:t>
      </w:r>
      <w:hyperlink r:id="rId6370">
        <w:r>
          <w:rPr>
            <w:color w:val="0000EE"/>
            <w:u w:val="single"/>
          </w:rPr>
          <w:t>Is 1.15</w:t>
        </w:r>
      </w:hyperlink>
      <w:r>
        <w:t xml:space="preserve">; </w:t>
      </w:r>
      <w:hyperlink r:id="rId3044">
        <w:r>
          <w:rPr>
            <w:color w:val="0000EE"/>
            <w:u w:val="single"/>
          </w:rPr>
          <w:t>4.4</w:t>
        </w:r>
      </w:hyperlink>
      <w:r>
        <w:t xml:space="preserve">; </w:t>
      </w:r>
      <w:hyperlink r:id="rId6371">
        <w:r>
          <w:rPr>
            <w:color w:val="0000EE"/>
            <w:u w:val="single"/>
          </w:rPr>
          <w:t>Ez 7.23</w:t>
        </w:r>
      </w:hyperlink>
      <w:r>
        <w:t xml:space="preserve">; </w:t>
      </w:r>
      <w:hyperlink r:id="rId6372">
        <w:r>
          <w:rPr>
            <w:color w:val="0000EE"/>
            <w:u w:val="single"/>
          </w:rPr>
          <w:t>9.9</w:t>
        </w:r>
      </w:hyperlink>
      <w:r>
        <w:t xml:space="preserve">; </w:t>
      </w:r>
      <w:hyperlink r:id="rId1106">
        <w:r>
          <w:rPr>
            <w:color w:val="0000EE"/>
            <w:u w:val="single"/>
          </w:rPr>
          <w:t>Os 1.4</w:t>
        </w:r>
      </w:hyperlink>
      <w:r>
        <w:t xml:space="preserve">; </w:t>
      </w:r>
      <w:hyperlink r:id="rId6373">
        <w:r>
          <w:rPr>
            <w:color w:val="0000EE"/>
            <w:u w:val="single"/>
          </w:rPr>
          <w:t>4.2</w:t>
        </w:r>
      </w:hyperlink>
      <w:r>
        <w:t xml:space="preserve">; </w:t>
      </w:r>
      <w:hyperlink r:id="rId6374">
        <w:r>
          <w:rPr>
            <w:color w:val="0000EE"/>
            <w:u w:val="single"/>
          </w:rPr>
          <w:t>Mq 3.10</w:t>
        </w:r>
      </w:hyperlink>
      <w:r>
        <w:t xml:space="preserve">; </w:t>
      </w:r>
      <w:hyperlink r:id="rId6375">
        <w:r>
          <w:rPr>
            <w:color w:val="0000EE"/>
            <w:u w:val="single"/>
          </w:rPr>
          <w:t>Hb 2.8,12,17</w:t>
        </w:r>
      </w:hyperlink>
      <w:r>
        <w:t>).</w:t>
      </w:r>
    </w:p>
    <w:p>
      <w:r/>
      <w:r>
        <w:t>Alguns crimes eram considerados tão graves que eram punidos com a morte, mesmo que não envolvessem assassinato (</w:t>
      </w:r>
      <w:hyperlink r:id="rId6368">
        <w:r>
          <w:rPr>
            <w:color w:val="0000EE"/>
            <w:u w:val="single"/>
          </w:rPr>
          <w:t>Lv 20.9–16</w:t>
        </w:r>
      </w:hyperlink>
      <w:r>
        <w:t xml:space="preserve">; </w:t>
      </w:r>
      <w:hyperlink r:id="rId6376">
        <w:r>
          <w:rPr>
            <w:color w:val="0000EE"/>
            <w:u w:val="single"/>
          </w:rPr>
          <w:t>Ez 18.10–13</w:t>
        </w:r>
      </w:hyperlink>
      <w:r>
        <w:t>). Esses crimes incluíam:</w:t>
      </w:r>
    </w:p>
    <w:p>
      <w:pPr>
        <w:pStyle w:val="ListBullet"/>
        <w:spacing w:line="240" w:lineRule="auto"/>
        <w:ind w:left="720"/>
      </w:pPr>
      <w:r/>
      <w:r>
        <w:t>Adoração a falsos deuses</w:t>
      </w:r>
    </w:p>
    <w:p>
      <w:pPr>
        <w:pStyle w:val="ListBullet"/>
        <w:spacing w:line="240" w:lineRule="auto"/>
        <w:ind w:left="720"/>
      </w:pPr>
      <w:r/>
      <w:r>
        <w:t>Adorar objetos como se fossem deuses (ídolos)</w:t>
      </w:r>
    </w:p>
    <w:p>
      <w:pPr>
        <w:pStyle w:val="ListBullet"/>
        <w:spacing w:line="240" w:lineRule="auto"/>
        <w:ind w:left="720"/>
      </w:pPr>
      <w:r/>
      <w:r>
        <w:t>Ser infiel no casamento (adultério)</w:t>
      </w:r>
    </w:p>
    <w:p>
      <w:pPr>
        <w:pStyle w:val="ListBullet"/>
        <w:spacing w:line="240" w:lineRule="auto"/>
        <w:ind w:left="720"/>
      </w:pPr>
      <w:r/>
      <w:r>
        <w:t>Roubo (assalto)</w:t>
      </w:r>
    </w:p>
    <w:p>
      <w:pPr>
        <w:pStyle w:val="ListBullet"/>
        <w:spacing w:line="240" w:lineRule="auto"/>
        <w:ind w:left="720"/>
      </w:pPr>
      <w:r/>
      <w:r>
        <w:t>Ser cruel com pessoas pobres</w:t>
      </w:r>
    </w:p>
    <w:p>
      <w:pPr>
        <w:pStyle w:val="ListBullet"/>
        <w:spacing w:line="240" w:lineRule="auto"/>
        <w:ind w:left="720"/>
      </w:pPr>
      <w:r/>
      <w:r>
        <w:t>Quebrando promessas significativas</w:t>
      </w:r>
    </w:p>
    <w:p>
      <w:pPr>
        <w:pStyle w:val="ListBullet"/>
        <w:spacing w:line="240" w:lineRule="auto"/>
        <w:ind w:left="720"/>
      </w:pPr>
      <w:r/>
      <w:r>
        <w:t>Cobrança de juros abusivos em empréstimos</w:t>
      </w:r>
    </w:p>
    <w:p>
      <w:r/>
      <w:r>
        <w:t>Ao longo da Bíblia, desde Gênesis (</w:t>
      </w:r>
      <w:hyperlink r:id="rId6377">
        <w:r>
          <w:rPr>
            <w:color w:val="0000EE"/>
            <w:u w:val="single"/>
          </w:rPr>
          <w:t>4.10–12</w:t>
        </w:r>
      </w:hyperlink>
      <w:r>
        <w:t>) até os Profetas (</w:t>
      </w:r>
      <w:hyperlink r:id="rId6378">
        <w:r>
          <w:rPr>
            <w:color w:val="0000EE"/>
            <w:u w:val="single"/>
          </w:rPr>
          <w:t>Is 26.21</w:t>
        </w:r>
      </w:hyperlink>
      <w:r>
        <w:t xml:space="preserve">; </w:t>
      </w:r>
      <w:hyperlink r:id="rId6379">
        <w:r>
          <w:rPr>
            <w:color w:val="0000EE"/>
            <w:u w:val="single"/>
          </w:rPr>
          <w:t>Ez 24.6–9</w:t>
        </w:r>
      </w:hyperlink>
      <w:r>
        <w:t>) e no Novo Testamento (</w:t>
      </w:r>
      <w:hyperlink r:id="rId2087">
        <w:r>
          <w:rPr>
            <w:color w:val="0000EE"/>
            <w:u w:val="single"/>
          </w:rPr>
          <w:t>Ap 6.10</w:t>
        </w:r>
      </w:hyperlink>
      <w:r>
        <w:t>), aprendemos que Deus trará justiça e punirá aqueles que matam outras pessoas.</w:t>
      </w:r>
    </w:p>
    <w:p>
      <w:r/>
      <w:r>
        <w:rPr>
          <w:i/>
        </w:rPr>
        <w:t>Veja também</w:t>
      </w:r>
      <w:r>
        <w:t xml:space="preserve"> </w:t>
      </w:r>
      <w:r>
        <w:t>Cidades de refúgio</w:t>
      </w:r>
      <w:r>
        <w:t xml:space="preserve">; </w:t>
      </w:r>
      <w:r>
        <w:t>Direito penal e punição</w:t>
      </w:r>
      <w:r>
        <w:t>.</w:t>
      </w:r>
      <w:r/>
      <w:r/>
    </w:p>
    <w:p>
      <w:r/>
    </w:p>
    <w:p>
      <w:pPr>
        <w:pStyle w:val="Heading2"/>
      </w:pPr>
      <w:r>
        <w:t>Curar, Cura</w:t>
      </w:r>
      <w:r/>
    </w:p>
    <w:p>
      <w:r/>
      <w:r>
        <w:t xml:space="preserve">Tornar algo bom. O AT fornece o pano de fundo adequado para uma compreensão cristã do conceito de cura. No AT, o ponto básico é de que Deus é o curador do seu povo. Em </w:t>
      </w:r>
      <w:hyperlink r:id="rId6380">
        <w:r>
          <w:rPr>
            <w:color w:val="0000EE"/>
            <w:u w:val="single"/>
          </w:rPr>
          <w:t>Êxodo 15.22–26</w:t>
        </w:r>
      </w:hyperlink>
      <w:r>
        <w:t xml:space="preserve">, depois que Deus libertou seu povo do Egito, os conduziu pelo mar e adoçou a água em Mara, ele fala de si como seu “curador”. Isso se refere principalmente ao sustento físico, mas aponta para o conceito mais envolvente de Deus sustentando seu povo em um relacionamento eterno consigo mesmo. De uma maneira semelhante, </w:t>
      </w:r>
      <w:hyperlink r:id="rId6381">
        <w:r>
          <w:rPr>
            <w:color w:val="0000EE"/>
            <w:u w:val="single"/>
          </w:rPr>
          <w:t>Deuteronômio 32.39</w:t>
        </w:r>
      </w:hyperlink>
      <w:r>
        <w:t xml:space="preserve"> fala de Deus como aquele que cura. O contexto em Deuteronômio implica que este poder curador deriva do fato de que Deus é Deus. Este conceito de Deus como curador é ecoado por todo o AT pelos salmistas (</w:t>
      </w:r>
      <w:hyperlink r:id="rId6382">
        <w:r>
          <w:rPr>
            <w:color w:val="0000EE"/>
            <w:u w:val="single"/>
          </w:rPr>
          <w:t>Sl 6.2</w:t>
        </w:r>
      </w:hyperlink>
      <w:r>
        <w:t xml:space="preserve">; </w:t>
      </w:r>
      <w:hyperlink r:id="rId6383">
        <w:r>
          <w:rPr>
            <w:color w:val="0000EE"/>
            <w:u w:val="single"/>
          </w:rPr>
          <w:t>41.4</w:t>
        </w:r>
      </w:hyperlink>
      <w:r>
        <w:t xml:space="preserve">; </w:t>
      </w:r>
      <w:hyperlink r:id="rId6384">
        <w:r>
          <w:rPr>
            <w:color w:val="0000EE"/>
            <w:u w:val="single"/>
          </w:rPr>
          <w:t>103.3</w:t>
        </w:r>
      </w:hyperlink>
      <w:r>
        <w:t>) e profetas (</w:t>
      </w:r>
      <w:hyperlink r:id="rId6385">
        <w:r>
          <w:rPr>
            <w:color w:val="0000EE"/>
            <w:u w:val="single"/>
          </w:rPr>
          <w:t>Is 19.22</w:t>
        </w:r>
      </w:hyperlink>
      <w:r>
        <w:t xml:space="preserve">; </w:t>
      </w:r>
      <w:hyperlink r:id="rId6386">
        <w:r>
          <w:rPr>
            <w:color w:val="0000EE"/>
            <w:u w:val="single"/>
          </w:rPr>
          <w:t>Jr 17.14</w:t>
        </w:r>
      </w:hyperlink>
      <w:r>
        <w:t xml:space="preserve">; </w:t>
      </w:r>
      <w:hyperlink r:id="rId6387">
        <w:r>
          <w:rPr>
            <w:color w:val="0000EE"/>
            <w:u w:val="single"/>
          </w:rPr>
          <w:t>Os 7.1</w:t>
        </w:r>
      </w:hyperlink>
      <w:r>
        <w:t xml:space="preserve">; </w:t>
      </w:r>
      <w:hyperlink r:id="rId6388">
        <w:r>
          <w:rPr>
            <w:color w:val="0000EE"/>
            <w:u w:val="single"/>
          </w:rPr>
          <w:t>Zc 11.16</w:t>
        </w:r>
      </w:hyperlink>
      <w:r>
        <w:t>).</w:t>
      </w:r>
    </w:p>
    <w:p>
      <w:pPr>
        <w:pStyle w:val="Heading3"/>
      </w:pPr>
      <w:r>
        <w:t>Jesus, o Curador: Relatos nos Evangelhos</w:t>
      </w:r>
    </w:p>
    <w:p>
      <w:r/>
      <w:r>
        <w:t>O NT enfatiza significativamente Jesus como o curador. Marcos o retrata como um mestre e curador em seu relato de abertura do ministério de Jesus em Cafarnaum com a cura do endemoninhado, da sogra de Pedro, do doente trazido a ele à noite, e do leproso (</w:t>
      </w:r>
      <w:hyperlink r:id="rId6389">
        <w:r>
          <w:rPr>
            <w:color w:val="0000EE"/>
            <w:u w:val="single"/>
          </w:rPr>
          <w:t>Mc 1.21–45</w:t>
        </w:r>
      </w:hyperlink>
      <w:r>
        <w:t>). De fato, a cura de doenças e a expulsão de demônios caracterizam o ministério de Jesus. Marcos apresenta em rápida sucessão a cura do paralítico por Jesus (</w:t>
      </w:r>
      <w:hyperlink r:id="rId6390">
        <w:r>
          <w:rPr>
            <w:color w:val="0000EE"/>
            <w:u w:val="single"/>
          </w:rPr>
          <w:t>2.1–12</w:t>
        </w:r>
      </w:hyperlink>
      <w:r>
        <w:t>), o homem com a mão aleijada (</w:t>
      </w:r>
      <w:hyperlink r:id="rId6391">
        <w:r>
          <w:rPr>
            <w:color w:val="0000EE"/>
            <w:u w:val="single"/>
          </w:rPr>
          <w:t>3.1–6</w:t>
        </w:r>
      </w:hyperlink>
      <w:r>
        <w:t xml:space="preserve">), as multidões à beira-mar (vv. </w:t>
      </w:r>
      <w:hyperlink r:id="rId6392">
        <w:r>
          <w:rPr>
            <w:color w:val="0000EE"/>
            <w:u w:val="single"/>
          </w:rPr>
          <w:t>7–12</w:t>
        </w:r>
      </w:hyperlink>
      <w:r>
        <w:t>), o endemoninhado geraseno (</w:t>
      </w:r>
      <w:hyperlink r:id="rId6393">
        <w:r>
          <w:rPr>
            <w:color w:val="0000EE"/>
            <w:u w:val="single"/>
          </w:rPr>
          <w:t>5.1–20</w:t>
        </w:r>
      </w:hyperlink>
      <w:r>
        <w:t xml:space="preserve">), a mulher com uma hemorragia e a filha de Jairo (vv. </w:t>
      </w:r>
      <w:hyperlink r:id="rId4807">
        <w:r>
          <w:rPr>
            <w:color w:val="0000EE"/>
            <w:u w:val="single"/>
          </w:rPr>
          <w:t>21–43</w:t>
        </w:r>
      </w:hyperlink>
      <w:r>
        <w:t>). Jesus então permitiu aos Doze proclamar arrependimento, expulsar demônios e curar os doentes (</w:t>
      </w:r>
      <w:hyperlink r:id="rId2259">
        <w:r>
          <w:rPr>
            <w:color w:val="0000EE"/>
            <w:u w:val="single"/>
          </w:rPr>
          <w:t>6.7–13</w:t>
        </w:r>
      </w:hyperlink>
      <w:r>
        <w:t xml:space="preserve">). Ele mesmo continuou com as curas em Genesaré (vv. </w:t>
      </w:r>
      <w:hyperlink r:id="rId6394">
        <w:r>
          <w:rPr>
            <w:color w:val="0000EE"/>
            <w:u w:val="single"/>
          </w:rPr>
          <w:t>53–56</w:t>
        </w:r>
      </w:hyperlink>
      <w:r>
        <w:t>), expulsando o espírito imundo da filha da mulher siro-fenícia (</w:t>
      </w:r>
      <w:hyperlink r:id="rId6395">
        <w:r>
          <w:rPr>
            <w:color w:val="0000EE"/>
            <w:u w:val="single"/>
          </w:rPr>
          <w:t>7.24–30</w:t>
        </w:r>
      </w:hyperlink>
      <w:r>
        <w:t xml:space="preserve">), curando o homem surdo e mudo (vv. </w:t>
      </w:r>
      <w:hyperlink r:id="rId6396">
        <w:r>
          <w:rPr>
            <w:color w:val="0000EE"/>
            <w:u w:val="single"/>
          </w:rPr>
          <w:t>31–37</w:t>
        </w:r>
      </w:hyperlink>
      <w:r>
        <w:t>), o homem cego de Betsaida (</w:t>
      </w:r>
      <w:hyperlink r:id="rId3509">
        <w:r>
          <w:rPr>
            <w:color w:val="0000EE"/>
            <w:u w:val="single"/>
          </w:rPr>
          <w:t>8.22–26</w:t>
        </w:r>
      </w:hyperlink>
      <w:r>
        <w:t>), o menino possuído por um espírito maligno (</w:t>
      </w:r>
      <w:hyperlink r:id="rId6397">
        <w:r>
          <w:rPr>
            <w:color w:val="0000EE"/>
            <w:u w:val="single"/>
          </w:rPr>
          <w:t>9.14–20</w:t>
        </w:r>
      </w:hyperlink>
      <w:r>
        <w:t>) e o cego Bartimeu (</w:t>
      </w:r>
      <w:hyperlink r:id="rId3154">
        <w:r>
          <w:rPr>
            <w:color w:val="0000EE"/>
            <w:u w:val="single"/>
          </w:rPr>
          <w:t>10.46–52</w:t>
        </w:r>
      </w:hyperlink>
      <w:r>
        <w:t>).</w:t>
      </w:r>
    </w:p>
    <w:p>
      <w:r/>
      <w:r>
        <w:t>Certamente a cura é um aspecto importante do ministério de Jesus. As curas expressaram não apenas sua compaixão por aqueles que sofrem, mas também constituíam uma revelação de sua pessoa. Isto é evidenciado pela declaração culminante de Jesus ao curar o paralítico: “para que saibais que o Filho do Homem tem autoridade sobre a terra para perdoar pecados” (</w:t>
      </w:r>
      <w:hyperlink r:id="rId6398">
        <w:r>
          <w:rPr>
            <w:color w:val="0000EE"/>
            <w:u w:val="single"/>
          </w:rPr>
          <w:t>Mc 2.10</w:t>
        </w:r>
      </w:hyperlink>
      <w:r>
        <w:t>, ARA). Também parece que Marcos pretendia que seus leitores entendessem que a cura do homem surdo e mudo (</w:t>
      </w:r>
      <w:hyperlink r:id="rId6396">
        <w:r>
          <w:rPr>
            <w:color w:val="0000EE"/>
            <w:u w:val="single"/>
          </w:rPr>
          <w:t>7.31–37</w:t>
        </w:r>
      </w:hyperlink>
      <w:r>
        <w:t>) e do homem cego de Betsaida (</w:t>
      </w:r>
      <w:hyperlink r:id="rId3509">
        <w:r>
          <w:rPr>
            <w:color w:val="0000EE"/>
            <w:u w:val="single"/>
          </w:rPr>
          <w:t>8.22–26</w:t>
        </w:r>
      </w:hyperlink>
      <w:r>
        <w:t>) simbolizam o despertar da compreensão espiritual nos discípulos de quem Jesus é. Também é significativo que Marcos tenha colocado a cura de Bartimeu (</w:t>
      </w:r>
      <w:hyperlink r:id="rId3154">
        <w:r>
          <w:rPr>
            <w:color w:val="0000EE"/>
            <w:u w:val="single"/>
          </w:rPr>
          <w:t>10.46–52</w:t>
        </w:r>
      </w:hyperlink>
      <w:r>
        <w:t xml:space="preserve">) imediatamente após o terceiro anúncio de Jesus sobre sua própria morte que estava por vir (vv. </w:t>
      </w:r>
      <w:hyperlink r:id="rId6399">
        <w:r>
          <w:rPr>
            <w:color w:val="0000EE"/>
            <w:u w:val="single"/>
          </w:rPr>
          <w:t>32–34</w:t>
        </w:r>
      </w:hyperlink>
      <w:r>
        <w:t xml:space="preserve">) e a terceira falha dos discípulos em entender que ele ser o Messias implicava a necessidade de sofrimento (vv. </w:t>
      </w:r>
      <w:hyperlink r:id="rId6400">
        <w:r>
          <w:rPr>
            <w:color w:val="0000EE"/>
            <w:u w:val="single"/>
          </w:rPr>
          <w:t>35–45</w:t>
        </w:r>
      </w:hyperlink>
      <w:r>
        <w:t>).</w:t>
      </w:r>
    </w:p>
    <w:p>
      <w:r/>
      <w:r>
        <w:t>Mateus também retrata Jesus ensinando, pregando e curando (</w:t>
      </w:r>
      <w:hyperlink r:id="rId6401">
        <w:r>
          <w:rPr>
            <w:color w:val="0000EE"/>
            <w:u w:val="single"/>
          </w:rPr>
          <w:t>Mt 4.23–25</w:t>
        </w:r>
      </w:hyperlink>
      <w:r>
        <w:t>), e é paralelo aos relatos em Marcos, exceto pela cura do endemoninhado na sinagoga (</w:t>
      </w:r>
      <w:hyperlink r:id="rId6402">
        <w:r>
          <w:rPr>
            <w:color w:val="0000EE"/>
            <w:u w:val="single"/>
          </w:rPr>
          <w:t>Mc 1.23–28</w:t>
        </w:r>
      </w:hyperlink>
      <w:r>
        <w:t>) e do homem cego de Betsaida (</w:t>
      </w:r>
      <w:hyperlink r:id="rId3509">
        <w:r>
          <w:rPr>
            <w:color w:val="0000EE"/>
            <w:u w:val="single"/>
          </w:rPr>
          <w:t>8.22–26</w:t>
        </w:r>
      </w:hyperlink>
      <w:r>
        <w:t>). No entanto, de acordo com seu propósito e estrutura especiais, Mateus colocou muitas das curas de Jesus juntas em uma seção de “obras poderosas” (</w:t>
      </w:r>
      <w:hyperlink r:id="rId6403">
        <w:r>
          <w:rPr>
            <w:color w:val="0000EE"/>
            <w:u w:val="single"/>
          </w:rPr>
          <w:t>Mt 8–9</w:t>
        </w:r>
      </w:hyperlink>
      <w:r>
        <w:t xml:space="preserve">), complementando a seção de “grandes palavras” (“sermão”) (capítulos </w:t>
      </w:r>
      <w:hyperlink r:id="rId6404">
        <w:r>
          <w:rPr>
            <w:color w:val="0000EE"/>
            <w:u w:val="single"/>
          </w:rPr>
          <w:t>5–7</w:t>
        </w:r>
      </w:hyperlink>
      <w:r>
        <w:t xml:space="preserve">). Mateus vê as curas de Jesus cumprindo diretamente o AT, como ele afirma em </w:t>
      </w:r>
      <w:hyperlink r:id="rId6013">
        <w:r>
          <w:rPr>
            <w:color w:val="0000EE"/>
            <w:u w:val="single"/>
          </w:rPr>
          <w:t>8.17</w:t>
        </w:r>
      </w:hyperlink>
      <w:r>
        <w:t xml:space="preserve">. A maneira única pela qual as curas de </w:t>
      </w:r>
      <w:hyperlink r:id="rId6405">
        <w:r>
          <w:rPr>
            <w:color w:val="0000EE"/>
            <w:u w:val="single"/>
          </w:rPr>
          <w:t>8.16</w:t>
        </w:r>
      </w:hyperlink>
      <w:r>
        <w:t xml:space="preserve"> são mencionadas como cumpridoras </w:t>
      </w:r>
      <w:hyperlink r:id="rId6406">
        <w:r>
          <w:rPr>
            <w:color w:val="0000EE"/>
            <w:u w:val="single"/>
          </w:rPr>
          <w:t>Isaías 53.4</w:t>
        </w:r>
      </w:hyperlink>
      <w:r>
        <w:t xml:space="preserve"> parece indicar que o poder de Jesus sobre a doença deriva de alguma maneira de sua morte pelo pecado, que deveria ser realizada no final de seu ministério.</w:t>
      </w:r>
    </w:p>
    <w:p>
      <w:r/>
      <w:r>
        <w:t>Também é interessante que Mateus, ao relacionar a cura de Jesus das multidões à beira-mar (</w:t>
      </w:r>
      <w:hyperlink r:id="rId6407">
        <w:r>
          <w:rPr>
            <w:color w:val="0000EE"/>
            <w:u w:val="single"/>
          </w:rPr>
          <w:t>Mt 12.15–21</w:t>
        </w:r>
      </w:hyperlink>
      <w:r>
        <w:t xml:space="preserve">; cf. </w:t>
      </w:r>
      <w:hyperlink r:id="rId6392">
        <w:r>
          <w:rPr>
            <w:color w:val="0000EE"/>
            <w:u w:val="single"/>
          </w:rPr>
          <w:t>Mc 3.7–12</w:t>
        </w:r>
      </w:hyperlink>
      <w:r>
        <w:t xml:space="preserve">), cita </w:t>
      </w:r>
      <w:hyperlink r:id="rId6408">
        <w:r>
          <w:rPr>
            <w:color w:val="0000EE"/>
            <w:u w:val="single"/>
          </w:rPr>
          <w:t>Isaías 42.1–4</w:t>
        </w:r>
      </w:hyperlink>
      <w:r>
        <w:t>. Esta passagem do AT fala do servo de Deus ungido com o Espírito para proclamar justiça às nações. Como já usado por Mateus, a citação explica por que Jesus ordenou aos curados que não o fizessem conhecido. Jesus não queria muita notoriedade sobre si para frustrar o plano de Deus para ele como o Servo Sofredor que havia de trazer a salvação às nações. Esta ação demonstra que as curas de Jesus são revelações de sua pessoa. Novamente outra citação de Isaías (</w:t>
      </w:r>
      <w:hyperlink r:id="rId6409">
        <w:r>
          <w:rPr>
            <w:color w:val="0000EE"/>
            <w:u w:val="single"/>
          </w:rPr>
          <w:t>6.9–10</w:t>
        </w:r>
      </w:hyperlink>
      <w:r>
        <w:t xml:space="preserve">) em </w:t>
      </w:r>
      <w:hyperlink r:id="rId6410">
        <w:r>
          <w:rPr>
            <w:color w:val="0000EE"/>
            <w:u w:val="single"/>
          </w:rPr>
          <w:t>Mateus 13.14–15</w:t>
        </w:r>
      </w:hyperlink>
      <w:r>
        <w:t xml:space="preserve"> revisita o fato de que a cura é entendida principalmente no sentido espiritual de ouvir a proclamação de Jesus do reino de Deus.</w:t>
      </w:r>
    </w:p>
    <w:p>
      <w:r/>
      <w:r>
        <w:t>Lucas, como Mateus e Marcos, retrata Jesus pregando e curando. Após o relato do nascimento de João e Jesus e do ministério de João Batista, Lucas apresenta Jesus pregando em Nazaré (</w:t>
      </w:r>
      <w:hyperlink r:id="rId6411">
        <w:r>
          <w:rPr>
            <w:color w:val="0000EE"/>
            <w:u w:val="single"/>
          </w:rPr>
          <w:t>Lc 4.16–30</w:t>
        </w:r>
      </w:hyperlink>
      <w:r>
        <w:t xml:space="preserve">). Aqui, na sinagoga de sua cidade natal, o próprio Jesus, usando uma citação de </w:t>
      </w:r>
      <w:hyperlink r:id="rId6412">
        <w:r>
          <w:rPr>
            <w:color w:val="0000EE"/>
            <w:u w:val="single"/>
          </w:rPr>
          <w:t>Isaías 61.1–2</w:t>
        </w:r>
      </w:hyperlink>
      <w:r>
        <w:t>, afirma que o Espírito o ungiu para proclamar as boas novas e anunciar a libertação dos cativos e uma restauração da visão para os cegos (</w:t>
      </w:r>
      <w:hyperlink r:id="rId1168">
        <w:r>
          <w:rPr>
            <w:color w:val="0000EE"/>
            <w:u w:val="single"/>
          </w:rPr>
          <w:t>Lc 4.18</w:t>
        </w:r>
      </w:hyperlink>
      <w:r>
        <w:t xml:space="preserve">). O aspecto curador do ministério de Jesus ocupa um lugar importante no resto do livro de Lucas. De fato, Lucas tem todos os casos de cura observados por Marcos, exceto aqueles em </w:t>
      </w:r>
      <w:hyperlink r:id="rId6413">
        <w:r>
          <w:rPr>
            <w:color w:val="0000EE"/>
            <w:u w:val="single"/>
          </w:rPr>
          <w:t>Marcos 6.45–8.26</w:t>
        </w:r>
      </w:hyperlink>
      <w:r>
        <w:t>. No entanto, a cena inicial de Lucas em Nazaré parece ressaltar que a cura de Jesus deve ser entendida, não como meramente a expressão da compaixão de Jesus pelos necessitados, mas principalmente como um sinal da chegada do reino de Deus como prometido nas Escrituras.</w:t>
      </w:r>
    </w:p>
    <w:p>
      <w:r/>
      <w:r>
        <w:t>Esta ênfase pode ser vista no relato distintamente lucano sobre o comissionamento dos 72 discípulos (</w:t>
      </w:r>
      <w:hyperlink r:id="rId6414">
        <w:r>
          <w:rPr>
            <w:color w:val="0000EE"/>
            <w:u w:val="single"/>
          </w:rPr>
          <w:t>Lc 10.1–12</w:t>
        </w:r>
      </w:hyperlink>
      <w:r>
        <w:t xml:space="preserve">), onde Jesus os instrui a curar os doentes em qualquer cidade em que entrarem e anunciar às pessoas de lá que o reino de Deus havia se aproximado deles (vv. </w:t>
      </w:r>
      <w:hyperlink r:id="rId6415">
        <w:r>
          <w:rPr>
            <w:color w:val="0000EE"/>
            <w:u w:val="single"/>
          </w:rPr>
          <w:t>8–9</w:t>
        </w:r>
      </w:hyperlink>
      <w:r>
        <w:t>).</w:t>
      </w:r>
    </w:p>
    <w:p>
      <w:r/>
      <w:r>
        <w:t>Os três primeiros Evangelhos assumem a compreensão do AT de Deus como o curador do seu povo e veem isso como cumprido em Jesus. Esta realização significa a presença do reino de Deus no ministério de Jesus e aponta para ele como aquele por meio de quem Deus está trabalhando no meio de seu povo.</w:t>
      </w:r>
    </w:p>
    <w:p>
      <w:r/>
      <w:r>
        <w:t>O Evangelho de João tem apenas quatro casos de cura: o filho do oficial (</w:t>
      </w:r>
      <w:hyperlink r:id="rId6416">
        <w:r>
          <w:rPr>
            <w:color w:val="0000EE"/>
            <w:u w:val="single"/>
          </w:rPr>
          <w:t>Jo 4.46–54</w:t>
        </w:r>
      </w:hyperlink>
      <w:r>
        <w:t>), o homem doente por 38 anos (</w:t>
      </w:r>
      <w:hyperlink r:id="rId6417">
        <w:r>
          <w:rPr>
            <w:color w:val="0000EE"/>
            <w:u w:val="single"/>
          </w:rPr>
          <w:t>5.1–18</w:t>
        </w:r>
      </w:hyperlink>
      <w:r>
        <w:t xml:space="preserve">), o homem nascido cego (capítulo </w:t>
      </w:r>
      <w:hyperlink r:id="rId4643">
        <w:r>
          <w:rPr>
            <w:color w:val="0000EE"/>
            <w:u w:val="single"/>
          </w:rPr>
          <w:t>9</w:t>
        </w:r>
      </w:hyperlink>
      <w:r>
        <w:t>) e a ressurreição dramática de Lázaro (</w:t>
      </w:r>
      <w:hyperlink r:id="rId6418">
        <w:r>
          <w:rPr>
            <w:color w:val="0000EE"/>
            <w:u w:val="single"/>
          </w:rPr>
          <w:t>11.1–44</w:t>
        </w:r>
      </w:hyperlink>
      <w:r>
        <w:t>). O propósito e a estrutura especiais deste Evangelho indicam que esses casos estão cuidadosamente relacionados com os discursos que os acompanham e têm a intenção clara de serem sinais que revelam a pessoa de Jesus. A ênfase intensificada nas curas como sinais reveladores neste Evangelho confirma a intenção semelhante nos três primeiros Evangelhos.</w:t>
      </w:r>
    </w:p>
    <w:p>
      <w:pPr>
        <w:pStyle w:val="Heading3"/>
      </w:pPr>
      <w:r>
        <w:t>Curas Realizadas pelos Apóstolos</w:t>
      </w:r>
    </w:p>
    <w:p>
      <w:r/>
      <w:r>
        <w:t xml:space="preserve">Atos dos Apóstolos fala da continuação do ministério de Jesus através do Espírito trabalhando em seus discípulos. O foco principal em Atos está na proclamação, como </w:t>
      </w:r>
      <w:hyperlink r:id="rId2897">
        <w:r>
          <w:rPr>
            <w:color w:val="0000EE"/>
            <w:u w:val="single"/>
          </w:rPr>
          <w:t>1.8</w:t>
        </w:r>
      </w:hyperlink>
      <w:r>
        <w:t xml:space="preserve"> indica. No entanto, a cura do marginal aleijado em Jerusalém indica que os discípulos foram capazes de exercer o poder da cura em nome de Jesus (</w:t>
      </w:r>
      <w:hyperlink r:id="rId6419">
        <w:r>
          <w:rPr>
            <w:color w:val="0000EE"/>
            <w:u w:val="single"/>
          </w:rPr>
          <w:t>3.1–16</w:t>
        </w:r>
      </w:hyperlink>
      <w:r>
        <w:t xml:space="preserve">; </w:t>
      </w:r>
      <w:hyperlink r:id="rId6420">
        <w:r>
          <w:rPr>
            <w:color w:val="0000EE"/>
            <w:u w:val="single"/>
          </w:rPr>
          <w:t>4.8–16</w:t>
        </w:r>
      </w:hyperlink>
      <w:r>
        <w:t>). A cura tem a intenção clara de apontar e glorificar a pessoa de Jesus e levar à fé nele (</w:t>
      </w:r>
      <w:hyperlink r:id="rId6421">
        <w:r>
          <w:rPr>
            <w:color w:val="0000EE"/>
            <w:u w:val="single"/>
          </w:rPr>
          <w:t>3.12–26</w:t>
        </w:r>
      </w:hyperlink>
      <w:r>
        <w:t xml:space="preserve">). O ministério duplo e equilibrado dos discípulos pode ser visto na oração de </w:t>
      </w:r>
      <w:hyperlink r:id="rId6422">
        <w:r>
          <w:rPr>
            <w:color w:val="0000EE"/>
            <w:u w:val="single"/>
          </w:rPr>
          <w:t>4.29–30</w:t>
        </w:r>
      </w:hyperlink>
      <w:r>
        <w:t>: “Agora, Senhor, olha para a ameaça deles. Dá aos teus servos confiança para anunciarem corajosamente a tua palavra. Estende a mão para curar, a fim de que, por meio do poder do nome do teu dedicado Servo Jesus, milagres e maravilhas sejam feitos.” (NTLH).</w:t>
      </w:r>
    </w:p>
    <w:p>
      <w:r/>
      <w:r>
        <w:t>O ministério de Filipe em Samaria foi dedicado a proclamar Cristo (</w:t>
      </w:r>
      <w:hyperlink r:id="rId6423">
        <w:r>
          <w:rPr>
            <w:color w:val="0000EE"/>
            <w:u w:val="single"/>
          </w:rPr>
          <w:t>Atos 8.5</w:t>
        </w:r>
      </w:hyperlink>
      <w:r>
        <w:t xml:space="preserve">) e curar os doentes e aqueles com espíritos impuros (v. </w:t>
      </w:r>
      <w:hyperlink r:id="rId6424">
        <w:r>
          <w:rPr>
            <w:color w:val="0000EE"/>
            <w:u w:val="single"/>
          </w:rPr>
          <w:t>7</w:t>
        </w:r>
      </w:hyperlink>
      <w:r>
        <w:t>). Pedro cura Enéias e ressuscita Tabita (</w:t>
      </w:r>
      <w:hyperlink r:id="rId6425">
        <w:r>
          <w:rPr>
            <w:color w:val="0000EE"/>
            <w:u w:val="single"/>
          </w:rPr>
          <w:t>9.34,40</w:t>
        </w:r>
      </w:hyperlink>
      <w:r>
        <w:t xml:space="preserve">), e em cada caso os efeitos são que muitos acreditam no Senhor (vv. </w:t>
      </w:r>
      <w:hyperlink r:id="rId5483">
        <w:r>
          <w:rPr>
            <w:color w:val="0000EE"/>
            <w:u w:val="single"/>
          </w:rPr>
          <w:t>35,42</w:t>
        </w:r>
      </w:hyperlink>
      <w:r>
        <w:t>). Paulo também é descrito como pregando o evangelho (</w:t>
      </w:r>
      <w:hyperlink r:id="rId6426">
        <w:r>
          <w:rPr>
            <w:color w:val="0000EE"/>
            <w:u w:val="single"/>
          </w:rPr>
          <w:t>17.2–3</w:t>
        </w:r>
      </w:hyperlink>
      <w:r>
        <w:t>), curando (</w:t>
      </w:r>
      <w:hyperlink r:id="rId6427">
        <w:r>
          <w:rPr>
            <w:color w:val="0000EE"/>
            <w:u w:val="single"/>
          </w:rPr>
          <w:t>14.8–11</w:t>
        </w:r>
      </w:hyperlink>
      <w:r>
        <w:t xml:space="preserve">; </w:t>
      </w:r>
      <w:hyperlink r:id="rId6428">
        <w:r>
          <w:rPr>
            <w:color w:val="0000EE"/>
            <w:u w:val="single"/>
          </w:rPr>
          <w:t>28.8</w:t>
        </w:r>
      </w:hyperlink>
      <w:r>
        <w:t>), expulsando espíritos (</w:t>
      </w:r>
      <w:hyperlink r:id="rId6429">
        <w:r>
          <w:rPr>
            <w:color w:val="0000EE"/>
            <w:u w:val="single"/>
          </w:rPr>
          <w:t>16.18</w:t>
        </w:r>
      </w:hyperlink>
      <w:r>
        <w:t>) e ressuscitando um homem morto (</w:t>
      </w:r>
      <w:hyperlink r:id="rId6430">
        <w:r>
          <w:rPr>
            <w:color w:val="0000EE"/>
            <w:u w:val="single"/>
          </w:rPr>
          <w:t>20.9–10</w:t>
        </w:r>
      </w:hyperlink>
      <w:r>
        <w:t>).</w:t>
      </w:r>
    </w:p>
    <w:p>
      <w:pPr>
        <w:pStyle w:val="Heading3"/>
      </w:pPr>
      <w:r>
        <w:t>Curas na Era da Igreja</w:t>
      </w:r>
    </w:p>
    <w:p>
      <w:r/>
      <w:r>
        <w:t>As cartas do NT dizem pouco sobre cura. Primeira Coríntios fala dos dons da cura (</w:t>
      </w:r>
      <w:hyperlink r:id="rId6431">
        <w:r>
          <w:rPr>
            <w:color w:val="0000EE"/>
            <w:u w:val="single"/>
          </w:rPr>
          <w:t>1Co 12.9,28</w:t>
        </w:r>
      </w:hyperlink>
      <w:r>
        <w:t xml:space="preserve">). A implicação é que tais dons são pretendidos a fazer parte do ministério da igreja, mas o contexto sugere que nem todos recebem tais dons (v. </w:t>
      </w:r>
      <w:hyperlink r:id="rId6432">
        <w:r>
          <w:rPr>
            <w:color w:val="0000EE"/>
            <w:u w:val="single"/>
          </w:rPr>
          <w:t>30</w:t>
        </w:r>
      </w:hyperlink>
      <w:r>
        <w:t>) e que é Deus quem distribui soberanamente os dons para o bem do corpo. Tiago aponta que um crente que está doente deve pedir à igreja que ore por sua cura (</w:t>
      </w:r>
      <w:hyperlink r:id="rId6433">
        <w:r>
          <w:rPr>
            <w:color w:val="0000EE"/>
            <w:u w:val="single"/>
          </w:rPr>
          <w:t>Tg 5.14–16</w:t>
        </w:r>
      </w:hyperlink>
      <w:r>
        <w:t xml:space="preserve">; cf. </w:t>
      </w:r>
      <w:hyperlink r:id="rId4163">
        <w:r>
          <w:rPr>
            <w:color w:val="0000EE"/>
            <w:u w:val="single"/>
          </w:rPr>
          <w:t>Hb 12.13</w:t>
        </w:r>
      </w:hyperlink>
      <w:r>
        <w:t>). A conclusão clara é que Deus está disposto e é capaz de ministrar ao seu povo para a cura hoje.</w:t>
      </w:r>
      <w:r/>
      <w:r/>
    </w:p>
    <w:p>
      <w:r/>
    </w:p>
    <w:p>
      <w:pPr>
        <w:pStyle w:val="Heading2"/>
      </w:pPr>
      <w:r>
        <w:t>Curtido, Curtidor, Curtir</w:t>
      </w:r>
      <w:r/>
    </w:p>
    <w:p>
      <w:r/>
      <w:r>
        <w:t>Um curtidor é um trabalhador que transforma peles de animais em couro. Nos tempos do Novo Testamento, os curtidores mergulhavam peles de animais em cal e materiais vegetais para fazer couro (esse processo é chamado de curtimento). Como esse processo gerava cheiros fortes e desagradáveis, os curtidores precisavam viver e trabalhar fora das cidades.</w:t>
      </w:r>
    </w:p>
    <w:p>
      <w:r/>
      <w:r>
        <w:t>As coberturas para o tabernáculo (a tenda sagrada) foram feitas de peles de carneiro e cabra curtidas, ou possivelmente peles de peixe-boi. Essas coberturas de couro eram vermelhas, ou porque foram tingidas ou devido ao processo de curtimento (</w:t>
      </w:r>
      <w:hyperlink r:id="rId5747">
        <w:r>
          <w:rPr>
            <w:color w:val="0000EE"/>
            <w:u w:val="single"/>
          </w:rPr>
          <w:t>Êx 25.5</w:t>
        </w:r>
      </w:hyperlink>
      <w:r>
        <w:t xml:space="preserve">; </w:t>
      </w:r>
      <w:hyperlink r:id="rId6434">
        <w:r>
          <w:rPr>
            <w:color w:val="0000EE"/>
            <w:u w:val="single"/>
          </w:rPr>
          <w:t>26.14</w:t>
        </w:r>
      </w:hyperlink>
      <w:r>
        <w:t xml:space="preserve">; </w:t>
      </w:r>
      <w:hyperlink r:id="rId6435">
        <w:r>
          <w:rPr>
            <w:color w:val="0000EE"/>
            <w:u w:val="single"/>
          </w:rPr>
          <w:t>35.7,23</w:t>
        </w:r>
      </w:hyperlink>
      <w:r>
        <w:t xml:space="preserve">; </w:t>
      </w:r>
      <w:hyperlink r:id="rId6436">
        <w:r>
          <w:rPr>
            <w:color w:val="0000EE"/>
            <w:u w:val="single"/>
          </w:rPr>
          <w:t>36.19</w:t>
        </w:r>
      </w:hyperlink>
      <w:r>
        <w:t xml:space="preserve">; </w:t>
      </w:r>
      <w:hyperlink r:id="rId6437">
        <w:r>
          <w:rPr>
            <w:color w:val="0000EE"/>
            <w:u w:val="single"/>
          </w:rPr>
          <w:t>39.34</w:t>
        </w:r>
      </w:hyperlink>
      <w:r>
        <w:t>).</w:t>
      </w:r>
    </w:p>
    <w:p>
      <w:r/>
      <w:r>
        <w:t>A Bíblia menciona apenas um curtidor pelo nome, Simão. Ele morava em Jope. O apóstolo Pedro ficou na casa de Simão (</w:t>
      </w:r>
      <w:hyperlink r:id="rId6438">
        <w:r>
          <w:rPr>
            <w:color w:val="0000EE"/>
            <w:u w:val="single"/>
          </w:rPr>
          <w:t>At 9.43</w:t>
        </w:r>
      </w:hyperlink>
      <w:r>
        <w:t xml:space="preserve">; </w:t>
      </w:r>
      <w:hyperlink r:id="rId6439">
        <w:r>
          <w:rPr>
            <w:color w:val="0000EE"/>
            <w:u w:val="single"/>
          </w:rPr>
          <w:t>10.6,32</w:t>
        </w:r>
      </w:hyperlink>
      <w:r>
        <w:t>).</w:t>
      </w:r>
    </w:p>
    <w:p>
      <w:r/>
      <w:r>
        <w:rPr>
          <w:i/>
        </w:rPr>
        <w:t>Veja também</w:t>
      </w:r>
      <w:r>
        <w:t xml:space="preserve"> </w:t>
      </w:r>
      <w:r>
        <w:t>Couro</w:t>
      </w:r>
      <w:r>
        <w:t>.</w:t>
      </w:r>
      <w:r/>
      <w:r/>
    </w:p>
    <w:p>
      <w:r/>
    </w:p>
    <w:p>
      <w:pPr>
        <w:pStyle w:val="Heading2"/>
      </w:pPr>
      <w:r>
        <w:t>Cuxe (Lugar)</w:t>
      </w:r>
      <w:r/>
    </w:p>
    <w:p>
      <w:r/>
      <w:r>
        <w:t>Termo egípcio, acádio e hebraico referindo-se amplamente aos países do Alto Nilo ao sul do Egito. Em um sentido mais restrito, Cuxe consistia no território entre a segunda e a quarta cataratas do Nilo, aproximadamente o atual norte do Sudão (equivalente à antiga Núbia). O AT geralmente usa o termo nesse sentido. Os gregos chamavam de Etiópia, que eventualmente deu seu nome à moderna Etiópia (mais ao sul e leste).</w:t>
      </w:r>
    </w:p>
    <w:p>
      <w:r/>
      <w:r>
        <w:t>O significado de “Cuxe” no livro de Gênesis, no entanto, é problemático. Na narrativa do Jardim do Éden (</w:t>
      </w:r>
      <w:hyperlink r:id="rId6440">
        <w:r>
          <w:rPr>
            <w:color w:val="0000EE"/>
            <w:u w:val="single"/>
          </w:rPr>
          <w:t>Gênesis 2.13</w:t>
        </w:r>
      </w:hyperlink>
      <w:r>
        <w:t xml:space="preserve">), Cuxe parece estar localizado na Mesopotâmia, a região dos rios Tigre e Eufrates (v. </w:t>
      </w:r>
      <w:hyperlink r:id="rId2772">
        <w:r>
          <w:rPr>
            <w:color w:val="0000EE"/>
            <w:u w:val="single"/>
          </w:rPr>
          <w:t>14</w:t>
        </w:r>
      </w:hyperlink>
      <w:r>
        <w:t xml:space="preserve">). Talvez o termo deva ser equiparado a Cassita (Cosseu), a designação usual dos governantes babilônicos que dominaram a Mesopotâmia por cerca de meio milênio até o século 12 a.C. O Cuxe de </w:t>
      </w:r>
      <w:hyperlink r:id="rId6441">
        <w:r>
          <w:rPr>
            <w:color w:val="0000EE"/>
            <w:u w:val="single"/>
          </w:rPr>
          <w:t>Gênesis 10.6–8</w:t>
        </w:r>
      </w:hyperlink>
      <w:r>
        <w:t xml:space="preserve">, então, poderia ser dividido em dois locais: Núbia (v. </w:t>
      </w:r>
      <w:hyperlink r:id="rId6442">
        <w:r>
          <w:rPr>
            <w:color w:val="0000EE"/>
            <w:u w:val="single"/>
          </w:rPr>
          <w:t>6–7</w:t>
        </w:r>
      </w:hyperlink>
      <w:r>
        <w:t xml:space="preserve">) e Mesopotâmia (v. </w:t>
      </w:r>
      <w:hyperlink r:id="rId6443">
        <w:r>
          <w:rPr>
            <w:color w:val="0000EE"/>
            <w:u w:val="single"/>
          </w:rPr>
          <w:t>9–12</w:t>
        </w:r>
      </w:hyperlink>
      <w:r>
        <w:t xml:space="preserve">). Alternativamente, o Cuxe de </w:t>
      </w:r>
      <w:hyperlink r:id="rId6440">
        <w:r>
          <w:rPr>
            <w:color w:val="0000EE"/>
            <w:u w:val="single"/>
          </w:rPr>
          <w:t>Gênesis 2.13</w:t>
        </w:r>
      </w:hyperlink>
      <w:r>
        <w:t xml:space="preserve"> e </w:t>
      </w:r>
      <w:hyperlink r:id="rId6444">
        <w:r>
          <w:rPr>
            <w:color w:val="0000EE"/>
            <w:u w:val="single"/>
          </w:rPr>
          <w:t>10.8</w:t>
        </w:r>
      </w:hyperlink>
      <w:r>
        <w:t xml:space="preserve"> poderia ser Quis, a cidade mesopotâmica que foi tradicionalmente a sede da primeira dinastia suméria após o Dilúvio.</w:t>
      </w:r>
    </w:p>
    <w:p>
      <w:r/>
      <w:r>
        <w:t>Há menos incerteza sobre o uso do termo "cuxita". Com uma possível exceção (</w:t>
      </w:r>
      <w:hyperlink r:id="rId4514">
        <w:r>
          <w:rPr>
            <w:color w:val="0000EE"/>
            <w:u w:val="single"/>
          </w:rPr>
          <w:t>Números 12.1</w:t>
        </w:r>
      </w:hyperlink>
      <w:r>
        <w:t>), Cuxita sempre se refere a pessoas da Núbia, a Cuxe africana.</w:t>
      </w:r>
    </w:p>
    <w:p>
      <w:r/>
      <w:r>
        <w:t>O primeiro mensageiro que Joabe, comandante-chefe do rei Davi, enviou para anunciar a derrota de Absalão a Davi foi um cuxita (</w:t>
      </w:r>
      <w:hyperlink r:id="rId6445">
        <w:r>
          <w:rPr>
            <w:color w:val="0000EE"/>
            <w:u w:val="single"/>
          </w:rPr>
          <w:t>2 Samel 18.21–32</w:t>
        </w:r>
      </w:hyperlink>
      <w:r>
        <w:t>). A origem estrangeira desse mensageiro é refletida no fato de que ele desconhecia um atalho, bem como em sua insensibilidade aos sentimentos de Davi ao lhe entregar a mensagem. A maioria das versões em português traduz as ocorrências de cuxe e cuxita como Etiópia e etíope.</w:t>
      </w:r>
    </w:p>
    <w:p>
      <w:r/>
      <w:r>
        <w:t>Moisés tinha uma esposa que era conhecida como cuxita (</w:t>
      </w:r>
      <w:hyperlink r:id="rId4514">
        <w:r>
          <w:rPr>
            <w:color w:val="0000EE"/>
            <w:u w:val="single"/>
          </w:rPr>
          <w:t>Números 12.1</w:t>
        </w:r>
      </w:hyperlink>
      <w:r>
        <w:t>). Nesse contexto, é possível entender cuxita de várias maneiras: como uma pessoa da Núbia — o que a tornaria uma segunda esposa, diferente de Zípora; como uma pessoa de Cusã — tornando-a possivelmente uma midianita, talvez idêntica a Zípora; ou como uma referência à sua pele mais escura e origem estrangeira — possivelmente, mas não necessariamente, uma referência a Zípora.</w:t>
      </w:r>
    </w:p>
    <w:p>
      <w:r/>
      <w:r>
        <w:rPr>
          <w:i/>
        </w:rPr>
        <w:t>Veja também</w:t>
      </w:r>
      <w:r>
        <w:t xml:space="preserve"> </w:t>
      </w:r>
      <w:r>
        <w:t>Cusã</w:t>
      </w:r>
      <w:r>
        <w:t xml:space="preserve">; </w:t>
      </w:r>
      <w:r>
        <w:t>Cusi #1</w:t>
      </w:r>
      <w:r>
        <w:t xml:space="preserve">; </w:t>
      </w:r>
      <w:r>
        <w:t>Etiópia</w:t>
      </w:r>
      <w:r>
        <w:t>.</w:t>
      </w:r>
      <w:r/>
      <w:r/>
    </w:p>
    <w:p>
      <w:r/>
    </w:p>
    <w:p>
      <w:pPr>
        <w:pStyle w:val="Heading2"/>
      </w:pPr>
      <w:r>
        <w:t>Cuxe (Pessoa)</w:t>
      </w:r>
      <w:r/>
    </w:p>
    <w:p>
      <w:r/>
      <w:r>
        <w:t>1. O mais velho dos quatro filhos de Cam (</w:t>
      </w:r>
      <w:hyperlink r:id="rId4120">
        <w:r>
          <w:rPr>
            <w:color w:val="0000EE"/>
            <w:u w:val="single"/>
          </w:rPr>
          <w:t>Gn 10.6</w:t>
        </w:r>
      </w:hyperlink>
      <w:r>
        <w:t xml:space="preserve">; </w:t>
      </w:r>
      <w:hyperlink r:id="rId4121">
        <w:r>
          <w:rPr>
            <w:color w:val="0000EE"/>
            <w:u w:val="single"/>
          </w:rPr>
          <w:t>1Cr 1.8</w:t>
        </w:r>
      </w:hyperlink>
      <w:r>
        <w:t xml:space="preserve">). Como os outros três (Egito, Pute e Canaã) são nomes de lugares, é provável que Cuxe também seja um lugar. Geralmente, é identificado com a Etiópia. </w:t>
      </w:r>
      <w:r>
        <w:rPr>
          <w:i/>
        </w:rPr>
        <w:t>Veja</w:t>
      </w:r>
      <w:r>
        <w:t xml:space="preserve"> </w:t>
      </w:r>
      <w:r>
        <w:t>Cuxe (Lugar)</w:t>
      </w:r>
      <w:r>
        <w:t xml:space="preserve">; </w:t>
      </w:r>
      <w:r>
        <w:t>Etiópia</w:t>
      </w:r>
      <w:r>
        <w:t>.</w:t>
      </w:r>
    </w:p>
    <w:p>
      <w:r/>
      <w:r>
        <w:t xml:space="preserve">2. Benjamita e, presumivelmente, inimigo de Davi, mencionado no título do </w:t>
      </w:r>
      <w:hyperlink r:id="rId3426">
        <w:r>
          <w:rPr>
            <w:color w:val="0000EE"/>
            <w:u w:val="single"/>
          </w:rPr>
          <w:t>Salmo 7</w:t>
        </w:r>
      </w:hyperlink>
      <w:r>
        <w:t>.</w:t>
      </w:r>
      <w:r/>
      <w:r/>
    </w:p>
    <w:p>
      <w:r/>
    </w:p>
    <w:p>
      <w:pPr>
        <w:pStyle w:val="Heading2"/>
      </w:pPr>
      <w:r>
        <w:t>Dã (Lugar)</w:t>
      </w:r>
      <w:r/>
    </w:p>
    <w:p>
      <w:pPr>
        <w:pStyle w:val="ListNumber"/>
        <w:spacing w:line="240" w:lineRule="auto"/>
        <w:ind w:left="720"/>
      </w:pPr>
      <w:r/>
      <w:r>
        <w:t>Uma cidade fenícia, inicialmente chamada Laís ou Lesém (</w:t>
      </w:r>
      <w:hyperlink r:id="rId6446">
        <w:r>
          <w:rPr>
            <w:color w:val="0000EE"/>
            <w:u w:val="single"/>
          </w:rPr>
          <w:t>Js 18.7</w:t>
        </w:r>
      </w:hyperlink>
      <w:r>
        <w:t>;</w:t>
      </w:r>
      <w:hyperlink r:id="rId6447">
        <w:r>
          <w:rPr>
            <w:color w:val="0000EE"/>
            <w:u w:val="single"/>
          </w:rPr>
          <w:t>19.47</w:t>
        </w:r>
      </w:hyperlink>
      <w:r>
        <w:t xml:space="preserve">). A tribo de Dã conquistou este lugar quando se mudou para o norte. A cidade estava localizada a um dia de viagem de Sidom. Estava em um vale perto de Bete-Reobe (v. </w:t>
      </w:r>
      <w:hyperlink r:id="rId3495">
        <w:r>
          <w:rPr>
            <w:color w:val="0000EE"/>
            <w:u w:val="single"/>
          </w:rPr>
          <w:t>28</w:t>
        </w:r>
      </w:hyperlink>
      <w:r>
        <w:t xml:space="preserve">). Ficava na base sul do Monte Hermom. Dã era o ponto mais ao norte do antigo reino de Israel. As pessoas frequentemente usavam Dã como ponto de referência ao descrever toda a terra de Israel com a frase "de Dã a Berseba" (cp. </w:t>
      </w:r>
      <w:hyperlink r:id="rId6448">
        <w:r>
          <w:rPr>
            <w:color w:val="0000EE"/>
            <w:u w:val="single"/>
          </w:rPr>
          <w:t>Jz 20.1</w:t>
        </w:r>
      </w:hyperlink>
      <w:r>
        <w:t xml:space="preserve">; </w:t>
      </w:r>
      <w:hyperlink r:id="rId6449">
        <w:r>
          <w:rPr>
            <w:color w:val="0000EE"/>
            <w:u w:val="single"/>
          </w:rPr>
          <w:t>2Sm 3.10</w:t>
        </w:r>
      </w:hyperlink>
      <w:r>
        <w:t>).</w:t>
      </w:r>
    </w:p>
    <w:p>
      <w:r/>
      <w:r>
        <w:t>A cidade de Dã estava em uma localização estratégica, protegendo uma rota comercial principal que conectava Damasco a Tiro. Isso fazia de Dã um centro importante para negócios e comércio. O Nahr el-Leddan era uma das principais fontes do Rio Jordão, surgindo na área. Isso tornava o Vale de Huleh, abaixo de Dã, muito verde e fértil, mesmo nos verões quentes. Devido a essa terra fértil, a área ao redor de Dã produzia muitas colheitas, como grãos e vegetais. A terra também fornecia bastante alimento para ovelhas, cabras e gado.</w:t>
      </w:r>
    </w:p>
    <w:p>
      <w:r/>
      <w:r>
        <w:t xml:space="preserve">No início da Idade do Ferro, </w:t>
      </w:r>
      <w:hyperlink r:id="rId6446">
        <w:r>
          <w:rPr>
            <w:color w:val="0000EE"/>
            <w:u w:val="single"/>
          </w:rPr>
          <w:t xml:space="preserve">Juízes 18.7 </w:t>
        </w:r>
      </w:hyperlink>
      <w:r>
        <w:t>indica que</w:t>
      </w:r>
      <w:hyperlink r:id="rId6446">
        <w:r>
          <w:rPr>
            <w:color w:val="0000EE"/>
            <w:u w:val="single"/>
          </w:rPr>
          <w:t xml:space="preserve"> </w:t>
        </w:r>
      </w:hyperlink>
      <w:r>
        <w:t>Dã era uma cidade próspera. Mas, em meados do século XI a.C., alguém a destruiu. É provável que isso tenha sido resultado da ocupação pelos danitas. Jeroboão I tornou-se rei do reino separado do norte de Israel. Naquela época, Dã era um dos dois santuários onde os israelitas adoravam os bezerros de ouro. Arqueólogos encontraram o lugar alto em Tell el-Qadi (outro nome para Tell Dã). Este lugar alto era uma plataforma quadrada feita de pedra, medindo cerca de 18,6 por 6,1 metros. No entanto, nenhum vestígio da estátua do bezerro de ouro foi encontrado.</w:t>
      </w:r>
    </w:p>
    <w:p>
      <w:r/>
      <w:r>
        <w:t>A adoração de Baal em Dã continuou mesmo depois que Jeú tentou removê-la (</w:t>
      </w:r>
      <w:hyperlink r:id="rId6450">
        <w:r>
          <w:rPr>
            <w:color w:val="0000EE"/>
            <w:u w:val="single"/>
          </w:rPr>
          <w:t>2Rs 10.28–31</w:t>
        </w:r>
      </w:hyperlink>
      <w:r>
        <w:t xml:space="preserve">). Mais tarde, durante o reinado de Ben-Hadade, os sírios tomaram o controle de Dã (cp. com o v. </w:t>
      </w:r>
      <w:hyperlink r:id="rId6451">
        <w:r>
          <w:rPr>
            <w:color w:val="0000EE"/>
            <w:u w:val="single"/>
          </w:rPr>
          <w:t>32</w:t>
        </w:r>
      </w:hyperlink>
      <w:r>
        <w:t>). Quando os sírios estavam ocupados defendendo sua fronteira oriental de ataques assírios durante o tempo de Jeroboão II (793–753 a.C.), Israel conseguiu retomar Dã.</w:t>
      </w:r>
    </w:p>
    <w:p>
      <w:r/>
      <w:r>
        <w:t>No entanto, Dã não permaneceu sob controle israelita por muito tempo. As pessoas que viviam em Dã foram forçadas a se mudar para a Assíria. Isso ocorreu porque Tiglate-Pileser III deportou os habitantes de lá (</w:t>
      </w:r>
      <w:hyperlink r:id="rId189">
        <w:r>
          <w:rPr>
            <w:color w:val="0000EE"/>
            <w:u w:val="single"/>
          </w:rPr>
          <w:t>2Rs 17.6</w:t>
        </w:r>
      </w:hyperlink>
      <w:r>
        <w:t>). (Tiglate-Pileser III foi rei da Assíria de 745 a 727 a.C..)</w:t>
      </w:r>
    </w:p>
    <w:p>
      <w:r/>
      <w:r>
        <w:t xml:space="preserve">No entanto, as pessoas continuaram a viver no local (cp. </w:t>
      </w:r>
      <w:hyperlink r:id="rId6452">
        <w:r>
          <w:rPr>
            <w:color w:val="0000EE"/>
            <w:u w:val="single"/>
          </w:rPr>
          <w:t>Jeremias 4.15</w:t>
        </w:r>
      </w:hyperlink>
      <w:r>
        <w:t xml:space="preserve">; </w:t>
      </w:r>
      <w:hyperlink r:id="rId6453">
        <w:r>
          <w:rPr>
            <w:color w:val="0000EE"/>
            <w:u w:val="single"/>
          </w:rPr>
          <w:t>8.16</w:t>
        </w:r>
      </w:hyperlink>
      <w:r>
        <w:t>). O lugar alto, ou acrópole, na extremidade norte da cidade, continuou a ser usado para fins religiosos.</w:t>
      </w:r>
    </w:p>
    <w:p>
      <w:r/>
      <w:r>
        <w:t>Esta área religiosa foi ampliada tanto na época grega quanto na romana. Uma estátua de Afrodite (uma deusa romana) desse período foi encontrada lá. Nos tempos do Novo Testamento, a cidade de Cesareia, que ficava a apenas alguns quilômetros de distância, tornou-se mais importante do que Dã. Segundo o historiador judeu Josefo, o general romano Tito reprimiu uma revolta em Dã em 67 d.C. (</w:t>
      </w:r>
      <w:r>
        <w:rPr>
          <w:i/>
        </w:rPr>
        <w:t>Guerra</w:t>
      </w:r>
      <w:r>
        <w:t xml:space="preserve"> 4.1).</w:t>
      </w:r>
    </w:p>
    <w:p>
      <w:r/>
      <w:r>
        <w:rPr>
          <w:i/>
        </w:rPr>
        <w:t>Veja também</w:t>
      </w:r>
      <w:r>
        <w:t xml:space="preserve"> </w:t>
      </w:r>
      <w:r>
        <w:t>Dã (Pessoa)</w:t>
      </w:r>
      <w:r>
        <w:t xml:space="preserve">; </w:t>
      </w:r>
      <w:r>
        <w:t>Dã, Tribo de</w:t>
      </w:r>
      <w:r>
        <w:t>.</w:t>
      </w:r>
    </w:p>
    <w:p>
      <w:pPr>
        <w:pStyle w:val="ListNumber"/>
        <w:spacing w:line="240" w:lineRule="auto"/>
        <w:ind w:left="720"/>
      </w:pPr>
      <w:r/>
      <w:r>
        <w:t xml:space="preserve">A palavra "Dã" na ARC em </w:t>
      </w:r>
      <w:hyperlink r:id="rId4020">
        <w:r>
          <w:rPr>
            <w:color w:val="0000EE"/>
            <w:u w:val="single"/>
          </w:rPr>
          <w:t>Ezequiel 27.19</w:t>
        </w:r>
      </w:hyperlink>
      <w:r>
        <w:t xml:space="preserve"> é uma tradução de uma palavra hebraica obscura "Vedan". Na NTLH, essa mesma palavra é traduzida como "vinho", que era um produto de Uzal.</w:t>
      </w:r>
    </w:p>
    <w:p>
      <w:r/>
      <w:r>
        <w:rPr>
          <w:i/>
        </w:rPr>
        <w:t>Veja também</w:t>
      </w:r>
      <w:r>
        <w:t xml:space="preserve"> </w:t>
      </w:r>
      <w:r>
        <w:t>Uzal (local)</w:t>
      </w:r>
      <w:r>
        <w:t>.</w:t>
      </w:r>
      <w:r/>
      <w:r/>
    </w:p>
    <w:p>
      <w:r/>
    </w:p>
    <w:p>
      <w:pPr>
        <w:pStyle w:val="Heading2"/>
      </w:pPr>
      <w:r>
        <w:t>Dã (Pessoa)</w:t>
      </w:r>
      <w:r/>
    </w:p>
    <w:p>
      <w:r/>
      <w:r>
        <w:t>Quinto filho do patriarca judeu Jacó. A mãe de Dã era Bila, serva da esposa de Jacó, Raquel (</w:t>
      </w:r>
      <w:hyperlink r:id="rId488">
        <w:r>
          <w:rPr>
            <w:color w:val="0000EE"/>
            <w:u w:val="single"/>
          </w:rPr>
          <w:t>Gn 30.1–6</w:t>
        </w:r>
      </w:hyperlink>
      <w:r>
        <w:t>). Os descendentes de Dã se estabeleceram em Israel com vista para a Planície de Hula, em território originalmente atribuído a Naftali, irmão (de pai e mãe) de Dã (</w:t>
      </w:r>
      <w:hyperlink r:id="rId6454">
        <w:r>
          <w:rPr>
            <w:color w:val="0000EE"/>
            <w:u w:val="single"/>
          </w:rPr>
          <w:t>Gn 30.7–8</w:t>
        </w:r>
      </w:hyperlink>
      <w:r>
        <w:t xml:space="preserve">; </w:t>
      </w:r>
      <w:hyperlink r:id="rId3782">
        <w:r>
          <w:rPr>
            <w:color w:val="0000EE"/>
            <w:u w:val="single"/>
          </w:rPr>
          <w:t>35.25</w:t>
        </w:r>
      </w:hyperlink>
      <w:r>
        <w:t xml:space="preserve">; </w:t>
      </w:r>
      <w:hyperlink r:id="rId6455">
        <w:r>
          <w:rPr>
            <w:color w:val="0000EE"/>
            <w:u w:val="single"/>
          </w:rPr>
          <w:t>Js 19.32–48</w:t>
        </w:r>
      </w:hyperlink>
      <w:r>
        <w:t xml:space="preserve">). Os dois irmãos são mencionados juntos em várias referências (e.g. </w:t>
      </w:r>
      <w:hyperlink r:id="rId6456">
        <w:r>
          <w:rPr>
            <w:color w:val="0000EE"/>
            <w:u w:val="single"/>
          </w:rPr>
          <w:t>Êx 1.4</w:t>
        </w:r>
      </w:hyperlink>
      <w:r>
        <w:t>).</w:t>
      </w:r>
    </w:p>
    <w:p>
      <w:r/>
      <w:r>
        <w:t>O nome de Dã foi dado a ele não por Bila, mas por Raquel, que considerava a criança como sua. Raquel havia sido estéril por muito tempo — uma vergonha para as mulheres nas culturas antigas — e ela estava com ciúmes da outra esposa de Jacó, Lia, que já lhe havia dado quatro filhos. Raquel via o nascimento do filho de Bila como uma forma de evitar sua vergonha e como a vindicação de Deus de seu status como esposa. O nome Dã (“ele julgou”) significava que Deus a havia julgado e a havia vindicado através do nascimento da criança (</w:t>
      </w:r>
      <w:hyperlink r:id="rId6457">
        <w:r>
          <w:rPr>
            <w:color w:val="0000EE"/>
            <w:u w:val="single"/>
          </w:rPr>
          <w:t>Gn 30.6</w:t>
        </w:r>
      </w:hyperlink>
      <w:r>
        <w:t>).</w:t>
      </w:r>
    </w:p>
    <w:p>
      <w:r/>
      <w:r>
        <w:t>Evidentemente, Dã teve apenas um filho para continuar sua linhagem, Husim (</w:t>
      </w:r>
      <w:hyperlink r:id="rId6458">
        <w:r>
          <w:rPr>
            <w:color w:val="0000EE"/>
            <w:u w:val="single"/>
          </w:rPr>
          <w:t>Gn 46.23</w:t>
        </w:r>
      </w:hyperlink>
      <w:r>
        <w:t xml:space="preserve">; “Suão”, </w:t>
      </w:r>
      <w:hyperlink r:id="rId6459">
        <w:r>
          <w:rPr>
            <w:color w:val="0000EE"/>
            <w:u w:val="single"/>
          </w:rPr>
          <w:t>Nm 26.42–43</w:t>
        </w:r>
      </w:hyperlink>
      <w:r>
        <w:t>). Na bênção patriarcal de Jacó, foi prometido a Dã o papel de “juiz” entre seu povo, mas também foi mencionado como alguém furtivo e perigoso, como uma serpente (</w:t>
      </w:r>
      <w:hyperlink r:id="rId6460">
        <w:r>
          <w:rPr>
            <w:color w:val="0000EE"/>
            <w:u w:val="single"/>
          </w:rPr>
          <w:t>Gn 49.16–17</w:t>
        </w:r>
      </w:hyperlink>
      <w:r>
        <w:t>). Como essa bênção se manifestou na vida de seus descendentes é desconhecido. A pequena quantidade de informações dadas sobre o próprio Dã reflete a insignificância de sua tribo em tempos posteriores.</w:t>
      </w:r>
    </w:p>
    <w:p>
      <w:r/>
      <w:r>
        <w:rPr>
          <w:i/>
        </w:rPr>
        <w:t>Veja também</w:t>
      </w:r>
      <w:r>
        <w:t xml:space="preserve"> </w:t>
      </w:r>
      <w:r>
        <w:t>Dã (Lugar)</w:t>
      </w:r>
      <w:r>
        <w:t xml:space="preserve">; </w:t>
      </w:r>
      <w:r>
        <w:t>Dã, Tribo de</w:t>
      </w:r>
      <w:r>
        <w:t>.</w:t>
      </w:r>
      <w:r/>
      <w:r/>
    </w:p>
    <w:p>
      <w:r/>
    </w:p>
    <w:p>
      <w:pPr>
        <w:pStyle w:val="Heading2"/>
      </w:pPr>
      <w:r>
        <w:t>DÃ, Tribo de</w:t>
      </w:r>
      <w:r/>
    </w:p>
    <w:p>
      <w:pPr>
        <w:pStyle w:val="Heading3"/>
      </w:pPr>
      <w:r>
        <w:t>O início da Tribo de Dã</w:t>
      </w:r>
    </w:p>
    <w:p>
      <w:r/>
      <w:r>
        <w:t xml:space="preserve">Uma tribo israelita, nomeada em homenagem ao quinto filho de Jacó, Dã, e descendente de seu único filho conhecido, Husim (também referido como "Suão" em </w:t>
      </w:r>
      <w:hyperlink r:id="rId6459">
        <w:r>
          <w:rPr>
            <w:color w:val="0000EE"/>
            <w:u w:val="single"/>
          </w:rPr>
          <w:t>Nm 26.42,43</w:t>
        </w:r>
      </w:hyperlink>
      <w:r>
        <w:t>). Nos seus primeiros anos, a tribo de Dã não se destacou significativamente nas narrativas bíblicas, embora alguns danitas notáveis tenham sido mencionados durante o período no deserto:</w:t>
      </w:r>
    </w:p>
    <w:p>
      <w:pPr>
        <w:pStyle w:val="ListBullet"/>
        <w:spacing w:line="240" w:lineRule="auto"/>
        <w:ind w:left="720"/>
      </w:pPr>
      <w:r/>
      <w:r>
        <w:t>Aoliabe, um artesão habilidoso envolvido na construção do tabernáculo (</w:t>
      </w:r>
      <w:hyperlink r:id="rId663">
        <w:r>
          <w:rPr>
            <w:color w:val="0000EE"/>
            <w:u w:val="single"/>
          </w:rPr>
          <w:t>Êx 31.6</w:t>
        </w:r>
      </w:hyperlink>
      <w:r>
        <w:t xml:space="preserve">; </w:t>
      </w:r>
      <w:hyperlink r:id="rId664">
        <w:r>
          <w:rPr>
            <w:color w:val="0000EE"/>
            <w:u w:val="single"/>
          </w:rPr>
          <w:t>35.34</w:t>
        </w:r>
      </w:hyperlink>
      <w:r>
        <w:t xml:space="preserve">; </w:t>
      </w:r>
      <w:hyperlink r:id="rId665">
        <w:r>
          <w:rPr>
            <w:color w:val="0000EE"/>
            <w:u w:val="single"/>
          </w:rPr>
          <w:t>38.23</w:t>
        </w:r>
      </w:hyperlink>
      <w:r>
        <w:t>);</w:t>
      </w:r>
    </w:p>
    <w:p>
      <w:pPr>
        <w:pStyle w:val="ListBullet"/>
        <w:spacing w:line="240" w:lineRule="auto"/>
        <w:ind w:left="720"/>
      </w:pPr>
      <w:r/>
      <w:r>
        <w:t>Um homem cuja mãe se casou com um egípcio e que blasfemou (falou desrespeitosamente sobre) Deus (</w:t>
      </w:r>
      <w:hyperlink r:id="rId6461">
        <w:r>
          <w:rPr>
            <w:color w:val="0000EE"/>
            <w:u w:val="single"/>
          </w:rPr>
          <w:t>Lv 24.11</w:t>
        </w:r>
      </w:hyperlink>
      <w:r>
        <w:t>);</w:t>
      </w:r>
    </w:p>
    <w:p>
      <w:pPr>
        <w:pStyle w:val="ListBullet"/>
        <w:spacing w:line="240" w:lineRule="auto"/>
        <w:ind w:left="720"/>
      </w:pPr>
      <w:r/>
      <w:r>
        <w:t>Aiezer, príncipe líder de Dã, durante o Êxodo do Egito (</w:t>
      </w:r>
      <w:hyperlink r:id="rId633">
        <w:r>
          <w:rPr>
            <w:color w:val="0000EE"/>
            <w:u w:val="single"/>
          </w:rPr>
          <w:t>Nm 1.12</w:t>
        </w:r>
      </w:hyperlink>
      <w:r>
        <w:t>).</w:t>
      </w:r>
    </w:p>
    <w:p>
      <w:r/>
      <w:r>
        <w:t>No primeiro censo no deserto, a tribo de Dã era a segunda maior, com 62.700 guerreiros (</w:t>
      </w:r>
      <w:hyperlink r:id="rId6462">
        <w:r>
          <w:rPr>
            <w:color w:val="0000EE"/>
            <w:u w:val="single"/>
          </w:rPr>
          <w:t>Nm 1.38,39</w:t>
        </w:r>
      </w:hyperlink>
      <w:r>
        <w:t>). Eles foram instruídos a acampar no lado norte do acampamento dos israelitas, junto com Aser e Naftali (</w:t>
      </w:r>
      <w:hyperlink r:id="rId6463">
        <w:r>
          <w:rPr>
            <w:color w:val="0000EE"/>
            <w:u w:val="single"/>
          </w:rPr>
          <w:t>Nm 2.25–31</w:t>
        </w:r>
      </w:hyperlink>
      <w:r>
        <w:t>). Eles também estavam na retaguarda durante a marcha (</w:t>
      </w:r>
      <w:hyperlink r:id="rId6464">
        <w:r>
          <w:rPr>
            <w:color w:val="0000EE"/>
            <w:u w:val="single"/>
          </w:rPr>
          <w:t>Nm 2.31</w:t>
        </w:r>
      </w:hyperlink>
      <w:r>
        <w:t xml:space="preserve">; </w:t>
      </w:r>
      <w:hyperlink r:id="rId636">
        <w:r>
          <w:rPr>
            <w:color w:val="0000EE"/>
            <w:u w:val="single"/>
          </w:rPr>
          <w:t>10.25</w:t>
        </w:r>
      </w:hyperlink>
      <w:r>
        <w:t>). No segundo censo, pouco antes de entrarem na terra prometida, a tribo havia crescido para 64.400 guerreiros, mantendo sua posição como a segunda maior tribo (</w:t>
      </w:r>
      <w:hyperlink r:id="rId6459">
        <w:r>
          <w:rPr>
            <w:color w:val="0000EE"/>
            <w:u w:val="single"/>
          </w:rPr>
          <w:t>Nm 26.42,43</w:t>
        </w:r>
      </w:hyperlink>
      <w:r>
        <w:t>).</w:t>
      </w:r>
    </w:p>
    <w:p>
      <w:pPr>
        <w:pStyle w:val="Heading3"/>
      </w:pPr>
      <w:r>
        <w:t>A Tribo de Dã se move para o norte</w:t>
      </w:r>
    </w:p>
    <w:p>
      <w:r/>
      <w:r>
        <w:t xml:space="preserve">A tribo não é destacada durante as narrativas de conquista (histórias sobre a tomada da terra, </w:t>
      </w:r>
      <w:hyperlink r:id="rId6465">
        <w:r>
          <w:rPr>
            <w:color w:val="0000EE"/>
            <w:u w:val="single"/>
          </w:rPr>
          <w:t>Dt 2.16–3.29</w:t>
        </w:r>
      </w:hyperlink>
      <w:r>
        <w:t xml:space="preserve">; </w:t>
      </w:r>
      <w:hyperlink r:id="rId6466">
        <w:r>
          <w:rPr>
            <w:color w:val="0000EE"/>
            <w:u w:val="single"/>
          </w:rPr>
          <w:t>Js 1–24</w:t>
        </w:r>
      </w:hyperlink>
      <w:r>
        <w:t xml:space="preserve">; </w:t>
      </w:r>
      <w:hyperlink r:id="rId6467">
        <w:r>
          <w:rPr>
            <w:color w:val="0000EE"/>
            <w:u w:val="single"/>
          </w:rPr>
          <w:t>Jz 1</w:t>
        </w:r>
      </w:hyperlink>
      <w:r>
        <w:t>). Dã é listada entre as tribos que lembraram Israel das maldições da aliança (avisos sobre quebrar o acordo de Deus) no Monte Ebal (</w:t>
      </w:r>
      <w:hyperlink r:id="rId6468">
        <w:r>
          <w:rPr>
            <w:color w:val="0000EE"/>
            <w:u w:val="single"/>
          </w:rPr>
          <w:t>Dt 27.13</w:t>
        </w:r>
      </w:hyperlink>
      <w:r>
        <w:t xml:space="preserve">; compare </w:t>
      </w:r>
      <w:hyperlink r:id="rId6469">
        <w:r>
          <w:rPr>
            <w:color w:val="0000EE"/>
            <w:u w:val="single"/>
          </w:rPr>
          <w:t>Js 8.30–33</w:t>
        </w:r>
      </w:hyperlink>
      <w:r>
        <w:t>). A tribo é chamada de "filhote de leão" na bênção de Moisés (</w:t>
      </w:r>
      <w:hyperlink r:id="rId6470">
        <w:r>
          <w:rPr>
            <w:color w:val="0000EE"/>
            <w:u w:val="single"/>
          </w:rPr>
          <w:t>Dt 33.22</w:t>
        </w:r>
      </w:hyperlink>
      <w:r>
        <w:t>). Alguns acreditam que a referência a "Basã" nessa bênção sugeria a mudança de Dã para o norte, onde eventualmente se estabeleceram.</w:t>
      </w:r>
    </w:p>
    <w:p>
      <w:r/>
      <w:r>
        <w:t>Uma das referências mais significativas à tribo de Dã é o relato de sua mudança para o norte (</w:t>
      </w:r>
      <w:hyperlink r:id="rId6471">
        <w:r>
          <w:rPr>
            <w:color w:val="0000EE"/>
            <w:u w:val="single"/>
          </w:rPr>
          <w:t>Js 19.40–48</w:t>
        </w:r>
      </w:hyperlink>
      <w:r>
        <w:t xml:space="preserve">; </w:t>
      </w:r>
      <w:hyperlink r:id="rId6472">
        <w:r>
          <w:rPr>
            <w:color w:val="0000EE"/>
            <w:u w:val="single"/>
          </w:rPr>
          <w:t>Jz 18</w:t>
        </w:r>
      </w:hyperlink>
      <w:r>
        <w:t>). Os danitas receberam um território entre Judá e Efraim que fazia fronteira com a costa do Mediterrâneo (</w:t>
      </w:r>
      <w:hyperlink r:id="rId6473">
        <w:r>
          <w:rPr>
            <w:color w:val="0000EE"/>
            <w:u w:val="single"/>
          </w:rPr>
          <w:t>Js 19.40–46</w:t>
        </w:r>
      </w:hyperlink>
      <w:r>
        <w:t xml:space="preserve">; </w:t>
      </w:r>
      <w:hyperlink r:id="rId2725">
        <w:r>
          <w:rPr>
            <w:color w:val="0000EE"/>
            <w:u w:val="single"/>
          </w:rPr>
          <w:t>Jz 5.17</w:t>
        </w:r>
      </w:hyperlink>
      <w:r>
        <w:t>), mas não conseguiram permanecer nesta terra, exceto pelo vale em Zorá e Estaol (</w:t>
      </w:r>
      <w:hyperlink r:id="rId6474">
        <w:r>
          <w:rPr>
            <w:color w:val="0000EE"/>
            <w:u w:val="single"/>
          </w:rPr>
          <w:t>Jz 13.25</w:t>
        </w:r>
      </w:hyperlink>
      <w:r>
        <w:t xml:space="preserve">; </w:t>
      </w:r>
      <w:hyperlink r:id="rId6475">
        <w:r>
          <w:rPr>
            <w:color w:val="0000EE"/>
            <w:u w:val="single"/>
          </w:rPr>
          <w:t>18.2</w:t>
        </w:r>
      </w:hyperlink>
      <w:r>
        <w:t>). Como resultado, um grupo de danitas desanimados marchou para o norte e capturou Laís, localizada cerca de 40 quilômetros (25 milhas) ao norte do Mar da Galileia e logo abaixo do norte de Israel. Laís foi renomeada Dã naquela época (</w:t>
      </w:r>
      <w:hyperlink r:id="rId6476">
        <w:r>
          <w:rPr>
            <w:color w:val="0000EE"/>
            <w:u w:val="single"/>
          </w:rPr>
          <w:t>Jz 18.27–29</w:t>
        </w:r>
      </w:hyperlink>
      <w:r>
        <w:t>). Seu território ao norte levou à expressão “de Dã a Berseba” (</w:t>
      </w:r>
      <w:hyperlink r:id="rId6448">
        <w:r>
          <w:rPr>
            <w:color w:val="0000EE"/>
            <w:u w:val="single"/>
          </w:rPr>
          <w:t>Jz 20.1</w:t>
        </w:r>
      </w:hyperlink>
      <w:r>
        <w:t xml:space="preserve">; </w:t>
      </w:r>
      <w:hyperlink r:id="rId6449">
        <w:r>
          <w:rPr>
            <w:color w:val="0000EE"/>
            <w:u w:val="single"/>
          </w:rPr>
          <w:t>2Sm 3.10</w:t>
        </w:r>
      </w:hyperlink>
      <w:r>
        <w:t>) como definição das fronteiras norte e sul de Israel.</w:t>
      </w:r>
    </w:p>
    <w:p>
      <w:pPr>
        <w:pStyle w:val="Heading3"/>
      </w:pPr>
      <w:r>
        <w:t>A Tribo de Dã se afastando de Deus</w:t>
      </w:r>
    </w:p>
    <w:p>
      <w:r/>
      <w:r>
        <w:t>Enquanto o assentamento norte de Dã se tornou importante, a parte sul da tribo continuou por um tempo, como mostrado pelas ações de Sansão, um danita (</w:t>
      </w:r>
      <w:hyperlink r:id="rId6477">
        <w:r>
          <w:rPr>
            <w:color w:val="0000EE"/>
            <w:u w:val="single"/>
          </w:rPr>
          <w:t>Jz 13–16</w:t>
        </w:r>
      </w:hyperlink>
      <w:r>
        <w:t>). Com o tempo, no entanto, os danitas do sul parecem ter se fundido na tribo de Judá, pois não há mais referências históricas à tribo danita do sul no Antigo Testamento. No entanto, os danitas são mencionados durante o reinado do Rei Davi como construindo um grande e leal exército (</w:t>
      </w:r>
      <w:hyperlink r:id="rId6478">
        <w:r>
          <w:rPr>
            <w:color w:val="0000EE"/>
            <w:u w:val="single"/>
          </w:rPr>
          <w:t>1Cr 12.35</w:t>
        </w:r>
      </w:hyperlink>
      <w:r>
        <w:t xml:space="preserve">; </w:t>
      </w:r>
      <w:hyperlink r:id="rId6479">
        <w:r>
          <w:rPr>
            <w:color w:val="0000EE"/>
            <w:u w:val="single"/>
          </w:rPr>
          <w:t>27.22</w:t>
        </w:r>
      </w:hyperlink>
      <w:r>
        <w:t>).</w:t>
      </w:r>
    </w:p>
    <w:p>
      <w:r/>
      <w:r>
        <w:t>Os danitas estavam entre as tribos que não forçaram os cananeus a deixar seu território (</w:t>
      </w:r>
      <w:hyperlink r:id="rId6480">
        <w:r>
          <w:rPr>
            <w:color w:val="0000EE"/>
            <w:u w:val="single"/>
          </w:rPr>
          <w:t>Js 13.4,5</w:t>
        </w:r>
      </w:hyperlink>
      <w:r>
        <w:t xml:space="preserve">; compare </w:t>
      </w:r>
      <w:hyperlink r:id="rId6481">
        <w:r>
          <w:rPr>
            <w:color w:val="0000EE"/>
            <w:u w:val="single"/>
          </w:rPr>
          <w:t>Jz 1.34,35</w:t>
        </w:r>
      </w:hyperlink>
      <w:r>
        <w:t>). Josué teve que encorajá-los a assumir a tarefa durante a assembleia em Siló (</w:t>
      </w:r>
      <w:hyperlink r:id="rId6482">
        <w:r>
          <w:rPr>
            <w:color w:val="0000EE"/>
            <w:u w:val="single"/>
          </w:rPr>
          <w:t>Js 18.1–4</w:t>
        </w:r>
      </w:hyperlink>
      <w:r>
        <w:t xml:space="preserve">; </w:t>
      </w:r>
      <w:hyperlink r:id="rId6471">
        <w:r>
          <w:rPr>
            <w:color w:val="0000EE"/>
            <w:u w:val="single"/>
          </w:rPr>
          <w:t>19.40–48</w:t>
        </w:r>
      </w:hyperlink>
      <w:r>
        <w:t>). Eventualmente, os danitas abandonaram seu território ao sul e se mudaram para o norte, onde a conquista era mais fácil. Sua desobediência foi ainda mais demonstrada ao estabelecerem uma "imagem de escultura" e um sacerdócio rival, mesmo que seu sacerdote fosse um levita (</w:t>
      </w:r>
      <w:hyperlink r:id="rId6483">
        <w:r>
          <w:rPr>
            <w:color w:val="0000EE"/>
            <w:u w:val="single"/>
          </w:rPr>
          <w:t>Jz 18.30–31</w:t>
        </w:r>
      </w:hyperlink>
      <w:r>
        <w:t>). Eles permaneceram idólatras, e após a divisão de Israel, o rei Jeroboão do reino do norte de Israel escolheu a cidade de Dã como um dos locais para os santuários de ídolos, onde ele colocou bezerros de ouro (</w:t>
      </w:r>
      <w:hyperlink r:id="rId6484">
        <w:r>
          <w:rPr>
            <w:color w:val="0000EE"/>
            <w:u w:val="single"/>
          </w:rPr>
          <w:t>1Rs 12.28–29</w:t>
        </w:r>
      </w:hyperlink>
      <w:r>
        <w:t>). Os crimes da tribo, juntamente com os das outras tribos do norte, continuaram (</w:t>
      </w:r>
      <w:hyperlink r:id="rId6485">
        <w:r>
          <w:rPr>
            <w:color w:val="0000EE"/>
            <w:u w:val="single"/>
          </w:rPr>
          <w:t>2Rs 10.29</w:t>
        </w:r>
      </w:hyperlink>
      <w:r>
        <w:t>) até sua eventual captura pelos assírios (</w:t>
      </w:r>
      <w:hyperlink r:id="rId6486">
        <w:r>
          <w:rPr>
            <w:color w:val="0000EE"/>
            <w:u w:val="single"/>
          </w:rPr>
          <w:t>2Rs 17.1–23</w:t>
        </w:r>
      </w:hyperlink>
      <w:r>
        <w:t>).</w:t>
      </w:r>
    </w:p>
    <w:p>
      <w:r/>
      <w:r>
        <w:t>Apesar de terem se afastado de Deus anteriormente, o nome da tribo de Dã é mencionado na visão de Ezequiel sobre a terra restaurada idealizada e Jerusalém (</w:t>
      </w:r>
      <w:hyperlink r:id="rId6487">
        <w:r>
          <w:rPr>
            <w:color w:val="0000EE"/>
            <w:u w:val="single"/>
          </w:rPr>
          <w:t>Ez 48.1</w:t>
        </w:r>
      </w:hyperlink>
      <w:hyperlink r:id="rId6488">
        <w:r>
          <w:rPr>
            <w:color w:val="0000EE"/>
            <w:u w:val="single"/>
          </w:rPr>
          <w:t>–</w:t>
        </w:r>
      </w:hyperlink>
      <w:hyperlink r:id="rId6487">
        <w:r>
          <w:rPr>
            <w:color w:val="0000EE"/>
            <w:u w:val="single"/>
          </w:rPr>
          <w:t>2,32</w:t>
        </w:r>
      </w:hyperlink>
      <w:r>
        <w:t>). No Novo Testamento, o apóstolo João não incluiu a tribo em uma lista das tribos de Israel (</w:t>
      </w:r>
      <w:hyperlink r:id="rId6489">
        <w:r>
          <w:rPr>
            <w:color w:val="0000EE"/>
            <w:u w:val="single"/>
          </w:rPr>
          <w:t>Apocalipse 7.4–8</w:t>
        </w:r>
      </w:hyperlink>
      <w:r>
        <w:t>).</w:t>
      </w:r>
    </w:p>
    <w:p>
      <w:r/>
      <w:r>
        <w:rPr>
          <w:i/>
        </w:rPr>
        <w:t>Veja também</w:t>
      </w:r>
      <w:r>
        <w:t xml:space="preserve"> </w:t>
      </w:r>
      <w:r>
        <w:t>ISRAEL, História de</w:t>
      </w:r>
      <w:r>
        <w:t xml:space="preserve">; </w:t>
      </w:r>
      <w:r>
        <w:t>Dã (pessoa)</w:t>
      </w:r>
      <w:r>
        <w:t xml:space="preserve">; </w:t>
      </w:r>
      <w:r>
        <w:t>Dã (lugar)</w:t>
      </w:r>
      <w:r>
        <w:t>.</w:t>
      </w:r>
      <w:r/>
      <w:r/>
    </w:p>
    <w:p>
      <w:r/>
    </w:p>
    <w:p>
      <w:pPr>
        <w:pStyle w:val="Heading2"/>
      </w:pPr>
      <w:r>
        <w:t>Dalila</w:t>
      </w:r>
      <w:r/>
    </w:p>
    <w:p>
      <w:r/>
      <w:r>
        <w:t>Dalila era uma mulher que se tornou amante de Sansão e o traiu para seus inimigos filisteus (</w:t>
      </w:r>
      <w:hyperlink r:id="rId6490">
        <w:r>
          <w:rPr>
            <w:color w:val="0000EE"/>
            <w:u w:val="single"/>
          </w:rPr>
          <w:t>Jz 16</w:t>
        </w:r>
      </w:hyperlink>
      <w:r>
        <w:t>). Nessa época (por volta de 1070 a.C.), os filisteus controlavam o sul de Israel. Deus escolheu Sansão para começar a libertar Israel desse controle. Como Sansão era tão bem-sucedido contra eles, os cinco governantes filisteus ofereceram a Dalila uma grande quantia de dinheiro para ajudá-los a capturá-lo, descobrindo o segredo de sua grande força.</w:t>
      </w:r>
    </w:p>
    <w:p>
      <w:r/>
      <w:r>
        <w:t xml:space="preserve">Dalila era do Vale de Soreque, localizado no canto sudeste do território de Dã, a apenas alguns quilômetros da casa de Sansão em Zorá. Está claro em </w:t>
      </w:r>
      <w:hyperlink r:id="rId6491">
        <w:r>
          <w:rPr>
            <w:color w:val="0000EE"/>
            <w:u w:val="single"/>
          </w:rPr>
          <w:t>Juízes 14.1</w:t>
        </w:r>
      </w:hyperlink>
      <w:r>
        <w:t xml:space="preserve"> que Dalila era uma filisteia. No entanto, ela aceitou uma grande recompensa (5.500 peças de prata), o que sugere que foi motivada por dinheiro em vez de lealdade ao seu povo. A maneira como interagia livremente com os homens sugere que ela pode ter sido uma prostituta.</w:t>
      </w:r>
    </w:p>
    <w:p>
      <w:r/>
      <w:r>
        <w:t xml:space="preserve">Dalila tentou três vezes descobrir o segredo de Sansão sem sucesso. Na quarta tentativa, ela finalmente enganou Sansão para que ele lhe contasse a verdade. Sua força vinha de Deus. Seu cabelo comprido mostrava que ele estava sob um voto de nazireu (veja </w:t>
      </w:r>
      <w:hyperlink r:id="rId6492">
        <w:r>
          <w:rPr>
            <w:color w:val="0000EE"/>
            <w:u w:val="single"/>
          </w:rPr>
          <w:t>Nm 6.1–8</w:t>
        </w:r>
      </w:hyperlink>
      <w:r>
        <w:t>). Isso significava que ele se havia separado para um serviço especial a Deus (</w:t>
      </w:r>
      <w:hyperlink r:id="rId6493">
        <w:r>
          <w:rPr>
            <w:color w:val="0000EE"/>
            <w:u w:val="single"/>
          </w:rPr>
          <w:t>Jz 13.5</w:t>
        </w:r>
      </w:hyperlink>
      <w:r>
        <w:t>). Seu cabelo nunca deveria ser cortado. Dalila fez Sansão adormecer, cortou seu cabelo e o entregou aos seus inimigos enquanto ele ainda não estava ciente do que estava acontecendo.</w:t>
      </w:r>
    </w:p>
    <w:p>
      <w:r/>
      <w:r>
        <w:rPr>
          <w:i/>
        </w:rPr>
        <w:t>Veja também</w:t>
      </w:r>
      <w:r>
        <w:t xml:space="preserve"> </w:t>
      </w:r>
      <w:r>
        <w:t>Sansão</w:t>
      </w:r>
      <w:r>
        <w:t>.</w:t>
      </w:r>
      <w:r/>
      <w:r/>
    </w:p>
    <w:p>
      <w:r/>
    </w:p>
    <w:p>
      <w:pPr>
        <w:pStyle w:val="Heading2"/>
      </w:pPr>
      <w:r>
        <w:t>Dalmanuta</w:t>
      </w:r>
      <w:r/>
    </w:p>
    <w:p>
      <w:r/>
      <w:r>
        <w:t>Área no lado oeste do Mar da Galileia, perto do extremo sul da planície de Genesaré. Sua localização exata é incerta. Jesus e seus discípulos ficaram lá brevemente após o incidente da alimentação dos 4.000 (</w:t>
      </w:r>
      <w:hyperlink r:id="rId6494">
        <w:r>
          <w:rPr>
            <w:color w:val="0000EE"/>
            <w:u w:val="single"/>
          </w:rPr>
          <w:t>Mc 8.10</w:t>
        </w:r>
      </w:hyperlink>
      <w:r>
        <w:t xml:space="preserve">). Os fariseus vieram a ele buscando um sinal do céu para testá-lo. Após sua resposta de que nenhum sinal seria dado a esta geração (v. </w:t>
      </w:r>
      <w:hyperlink r:id="rId6495">
        <w:r>
          <w:rPr>
            <w:color w:val="0000EE"/>
            <w:u w:val="single"/>
          </w:rPr>
          <w:t>12</w:t>
        </w:r>
      </w:hyperlink>
      <w:r>
        <w:t>), ele partiu de lá.</w:t>
      </w:r>
    </w:p>
    <w:p>
      <w:r/>
      <w:r>
        <w:t xml:space="preserve">A palavra “Dalmanuta” está presente nos melhores manuscritos, embora outras fontes registrem Magadã ou Magdala. A passagem paralela em </w:t>
      </w:r>
      <w:hyperlink r:id="rId6496">
        <w:r>
          <w:rPr>
            <w:color w:val="0000EE"/>
            <w:u w:val="single"/>
          </w:rPr>
          <w:t>Mateus 15.39</w:t>
        </w:r>
      </w:hyperlink>
      <w:r>
        <w:t xml:space="preserve"> cita Magadã. Por causa disso, o nome exato e a localização têm sido difíceis de identificar. Provavelmente os vários nomes são usados para designar o mesmo local ou pelo menos dois lugares na mesma área.</w:t>
      </w:r>
    </w:p>
    <w:p>
      <w:r/>
      <w:r>
        <w:rPr>
          <w:i/>
        </w:rPr>
        <w:t>Veja também</w:t>
      </w:r>
      <w:r>
        <w:t xml:space="preserve"> </w:t>
      </w:r>
      <w:r>
        <w:t>Magadã</w:t>
      </w:r>
      <w:r>
        <w:t xml:space="preserve">; </w:t>
      </w:r>
      <w:r>
        <w:t>Magdala</w:t>
      </w:r>
      <w:r>
        <w:t>.</w:t>
      </w:r>
      <w:r/>
      <w:r/>
    </w:p>
    <w:p>
      <w:r/>
    </w:p>
    <w:p>
      <w:pPr>
        <w:pStyle w:val="Heading2"/>
      </w:pPr>
      <w:r>
        <w:t>Dâmaris</w:t>
      </w:r>
      <w:r/>
    </w:p>
    <w:p>
      <w:r/>
      <w:r>
        <w:t>Uma mulher que se tornou seguidora de Jesus na cidade de Atenas após ouvir Paulo ensinar lá (</w:t>
      </w:r>
      <w:hyperlink r:id="rId266">
        <w:r>
          <w:rPr>
            <w:color w:val="0000EE"/>
            <w:u w:val="single"/>
          </w:rPr>
          <w:t>At 17.34</w:t>
        </w:r>
      </w:hyperlink>
      <w:r>
        <w:t xml:space="preserve">). Como Lucas a menciona pelo nome na Bíblia, ela pode ter sido uma pessoa importante em Atenas (veja </w:t>
      </w:r>
      <w:hyperlink r:id="rId1989">
        <w:r>
          <w:rPr>
            <w:color w:val="0000EE"/>
            <w:u w:val="single"/>
          </w:rPr>
          <w:t>At 13.50</w:t>
        </w:r>
      </w:hyperlink>
      <w:r>
        <w:t xml:space="preserve">; </w:t>
      </w:r>
      <w:hyperlink r:id="rId6497">
        <w:r>
          <w:rPr>
            <w:color w:val="0000EE"/>
            <w:u w:val="single"/>
          </w:rPr>
          <w:t>17.12</w:t>
        </w:r>
      </w:hyperlink>
      <w:r>
        <w:t>).</w:t>
      </w:r>
      <w:r/>
      <w:r/>
    </w:p>
    <w:p>
      <w:r/>
    </w:p>
    <w:p>
      <w:pPr>
        <w:pStyle w:val="Heading2"/>
      </w:pPr>
      <w:r>
        <w:t>Damasco</w:t>
      </w:r>
      <w:r/>
    </w:p>
    <w:p>
      <w:r/>
      <w:r>
        <w:t>Cidade oásis síria protegida por montanhas em três lados e situada em rotas comerciais a cerca de 250 quilômetros a nordeste de Jerusalém. O nome Damasco também pode se referir à área circundante e ao estado sírio do sul. Embora próxima ao deserto, o distrito é rico em amêndoas, damascos, algodão, linho, grãos, cânhamo, azeitonas, pistaches, romãs, tabaco, vinhedos e nozes. Essas culturas crescem bem porque a terra é irrigada por dois rios: o Nahr Barada, "o Fresco" (bíblico Abana), que corre das montanhas do noroeste através de um desfiladeiro profundo até a cidade; e o Nahr el-A waj, "o Torto" (bíblico Farfar), que flui de oeste para leste. Juntos, os dois rios irrigam 644 quilômetros quadrados) de terra. Sua beleza e importância nos tempos bíblicos são transmitidas pelas palavras altivas de Naamã, um residente da área, que quase se recusou a lavar sua lepra no Jordão, como Eliseu havia prescrito, porque era um rio tão pobre em comparação com o Abana e o Farfar (</w:t>
      </w:r>
      <w:hyperlink r:id="rId6498">
        <w:r>
          <w:rPr>
            <w:color w:val="0000EE"/>
            <w:u w:val="single"/>
          </w:rPr>
          <w:t>2Rs 5</w:t>
        </w:r>
      </w:hyperlink>
      <w:r>
        <w:t>).</w:t>
      </w:r>
    </w:p>
    <w:p>
      <w:r/>
      <w:r>
        <w:t>Das várias rotas comerciais que convergiam na área, uma levava a Tiro e descia pela costa do Mediterrâneo, outra ia para Megido e eventualmente para Mênfis e Egito, e uma terceira para o Golfo de Ácaba.</w:t>
      </w:r>
    </w:p>
    <w:p>
      <w:r/>
      <w:r>
        <w:t>A primeira menção bíblica de Damasco (</w:t>
      </w:r>
      <w:hyperlink r:id="rId5055">
        <w:r>
          <w:rPr>
            <w:color w:val="0000EE"/>
            <w:u w:val="single"/>
          </w:rPr>
          <w:t>Gn 14.15</w:t>
        </w:r>
      </w:hyperlink>
      <w:r>
        <w:t>) refere-se à cidade em conexão com o ataque bem-sucedido de Abraão à confederação de reis que sequestraram Ló e sua família. A Bíblia não menciona a cidade novamente até o tempo de Davi (c. 1000 a.C.).</w:t>
      </w:r>
    </w:p>
    <w:p>
      <w:r/>
      <w:r>
        <w:t>Israel ocupava uma posição estratégica ao longo das rotas comerciais entre a Mesopotâmia e o Egito. Embora no tempo de Josué e dos juízes Israel estivesse em conflito com seus vizinhos imediatos, os amorreus, moabitas, filisteus, amonitas e midianitas, havia relativamente pouca oposição da Síria.</w:t>
      </w:r>
    </w:p>
    <w:p>
      <w:r/>
      <w:r>
        <w:t>Na época de Saul, Zobá, um reino arameu ao norte de Damasco, ameaçava os israelitas. Damasco possivelmente estava em aliança com Zobá nesse período, e os israelitas travaram uma ação defensiva (</w:t>
      </w:r>
      <w:hyperlink r:id="rId6499">
        <w:r>
          <w:rPr>
            <w:color w:val="0000EE"/>
            <w:u w:val="single"/>
          </w:rPr>
          <w:t>1Sm 14.47</w:t>
        </w:r>
      </w:hyperlink>
      <w:r>
        <w:t>). Davi posteriormente derrotou Hadadezer de Zobá e ganhou controle sobre o sul da Síria e Damasco, onde guarneceu suas tropas. As forças de Davi sob o comando de Joabe continuaram a ter sucesso, e tributo foi enviado de Damasco para Israel. Um dos oficiais de Hadadezer, Rezom, desertou e formou um grupo guerrilheiro na área de Damasco. Posteriormente, no reinado de Salomão, ele até mesmo erodiu o controle econômico dos israelitas na região e se estabeleceu como rei em Damasco por volta de 940 a.C. (</w:t>
      </w:r>
      <w:hyperlink r:id="rId6500">
        <w:r>
          <w:rPr>
            <w:color w:val="0000EE"/>
            <w:u w:val="single"/>
          </w:rPr>
          <w:t>1Rs 11.23–25</w:t>
        </w:r>
      </w:hyperlink>
      <w:r>
        <w:t>).</w:t>
      </w:r>
    </w:p>
    <w:p>
      <w:r/>
      <w:r>
        <w:t>Durante o reinado de Ben-Hadade I, por volta de 883–843 a.C., soldados de Damasco sitiaram Samaria e enviaram termos razoáveis a Acabe, que foram aceitos rapidamente. Damasco estava no auge de seu poder quando Ben-Hadade realizava campanhas bem-sucedidas contra os assírios. Nessa época, quando Jeorão, filho de Acabe, era rei de Israel, Naamã, o leproso, um capitão sírio, foi curado pelo profeta Eliseu ao aceitar humildemente a cura prescrita.</w:t>
      </w:r>
    </w:p>
    <w:p>
      <w:r/>
      <w:r>
        <w:t>A estratégia de superar o reino matando o rei tinha sido bem-sucedida para Ben-Hadade em sua luta com Acabe, e ele continuou a seguir a mesma política. Pouco depois, em um esforço adicional para subjugar Samaria, ele enviou esquadrões de assassinato para matar Jeorão ou o profeta Eliseu. O Senhor preservou as vidas dos perseguidos, e o sírio atacou sem sucesso. Vários anos depois, Eliseu, que havia ganhado o respeito dos sírios, entrou em Damasco corajosamente e anunciou que a doença de Ben-Hadade não era fatal, mas que sua morte era iminente. Ben-Hadade foi então assassinado por Hazael, que o sucedeu. Embora Damasco tenha sido derrotada de forma contundente pela Assíria por volta de 838 a.C., Hazael se recuperou rapidamente, e por volta de 830 a.C. outras previsões de Eliseu foram cumpridas. As tropas damascenas então controlaram grandes áreas do território palestino, e o tesouro do templo foi usado para subornar os sírios e salvar Jerusalém (</w:t>
      </w:r>
      <w:hyperlink r:id="rId6501">
        <w:r>
          <w:rPr>
            <w:color w:val="0000EE"/>
            <w:u w:val="single"/>
          </w:rPr>
          <w:t>2Rs 12.17–18</w:t>
        </w:r>
      </w:hyperlink>
      <w:r>
        <w:t>).</w:t>
      </w:r>
    </w:p>
    <w:p>
      <w:r/>
      <w:r>
        <w:t>Planejando continuar a sujeição de Israel, Ben-Hadade II se viu tendo que lidar, em vez disso, com ataques retomados da Assíria. Em 803 a.C., Damasco tornou-se tributária da Assíria, mas as forças do norte não conseguiram manter a área. Após uma nova campanha em que a Assíria novamente se mostrou dominante, uma Damasco enfraquecida foi incapaz de sufocar uma rebelião israelita em 795 a.C. Na época de Jeroboão II, os damascenos foram forçados a pagar tributo a Samaria (</w:t>
      </w:r>
      <w:hyperlink r:id="rId6502">
        <w:r>
          <w:rPr>
            <w:color w:val="0000EE"/>
            <w:u w:val="single"/>
          </w:rPr>
          <w:t>2Rs 14.28</w:t>
        </w:r>
      </w:hyperlink>
      <w:r>
        <w:t>).</w:t>
      </w:r>
    </w:p>
    <w:p>
      <w:r/>
      <w:r>
        <w:t>Por volta de 738 a.C., os sírios, liderados por seu novo líder Rezim, uniram forças com Peca, rei de Israel, para subjugar Judá. Muitas terras foram capturadas, embora o cerco a Jerusalém tenha sido malsucedido (</w:t>
      </w:r>
      <w:hyperlink r:id="rId6503">
        <w:r>
          <w:rPr>
            <w:color w:val="0000EE"/>
            <w:u w:val="single"/>
          </w:rPr>
          <w:t>2Rs 16.5–6</w:t>
        </w:r>
      </w:hyperlink>
      <w:r>
        <w:t xml:space="preserve">; </w:t>
      </w:r>
      <w:hyperlink r:id="rId6504">
        <w:r>
          <w:rPr>
            <w:color w:val="0000EE"/>
            <w:u w:val="single"/>
          </w:rPr>
          <w:t>2Cr 28.5</w:t>
        </w:r>
      </w:hyperlink>
      <w:r>
        <w:t>). Neste momento de aparente sucesso para Damasco, a ruína da cidade foi predita por Isaías (</w:t>
      </w:r>
      <w:hyperlink r:id="rId6505">
        <w:r>
          <w:rPr>
            <w:color w:val="0000EE"/>
            <w:u w:val="single"/>
          </w:rPr>
          <w:t>Is 8.4</w:t>
        </w:r>
      </w:hyperlink>
      <w:r>
        <w:t xml:space="preserve">; </w:t>
      </w:r>
      <w:hyperlink r:id="rId6506">
        <w:r>
          <w:rPr>
            <w:color w:val="0000EE"/>
            <w:u w:val="single"/>
          </w:rPr>
          <w:t>17.1</w:t>
        </w:r>
      </w:hyperlink>
      <w:r>
        <w:t>), Amós (</w:t>
      </w:r>
      <w:hyperlink r:id="rId6507">
        <w:r>
          <w:rPr>
            <w:color w:val="0000EE"/>
            <w:u w:val="single"/>
          </w:rPr>
          <w:t>Am 1.3–5</w:t>
        </w:r>
      </w:hyperlink>
      <w:r>
        <w:t>) e Jeremias (</w:t>
      </w:r>
      <w:hyperlink r:id="rId6508">
        <w:r>
          <w:rPr>
            <w:color w:val="0000EE"/>
            <w:u w:val="single"/>
          </w:rPr>
          <w:t>Jr 49.23–27</w:t>
        </w:r>
      </w:hyperlink>
      <w:r>
        <w:t>). Rejeitando Deus, Acaz de Judá buscou proteção em uma aliança com os assírios, a quem subornou com o tesouro do templo. O rei assírio Tiglate-Pileser III (“Pul”) concordou e marchou contra a confederação siro-israelita. Após derrotar Israel, ele atacou Damasco, saqueou a cidade, deportou a população e a substituiu por estrangeiros de outras terras capturadas. Damasco deixou de ser uma cidade-estado independente.</w:t>
      </w:r>
    </w:p>
    <w:p>
      <w:r/>
      <w:r>
        <w:t>Devido à sua localização estratégica, Damasco manteve-se importante, e os assírios usaram a cidade como capital provincial. Seus registros mencionam a cidade em 727, 720 e 694 a.C., e também nos dias de Assurbanípal (669–663 a.C.). A dominação mundial assíria sucumbiu à de Neo-Babilônia, que foi posteriormente substituída pela de Medo-Pérsia. Durante o período de controle persa, Damasco foi um notável centro administrativo. Sob o regime de Alexandre, o Grande, a importância de Damasco foi diminuída pelo aumento da significância comercial de Antioquia.</w:t>
      </w:r>
    </w:p>
    <w:p>
      <w:r/>
      <w:r>
        <w:t>Durante os tempos intertestamentais, Damasco passou de um governante para outro. Após a morte de Alexandre, a cidade foi controlada pelos Ptolomeus do Egito e pelos Selêucidas da Babilônia. Pouco antes de 100 a.C., a Síria foi dividida, com Damasco se tornando a capital da Coele-Síria. Seus reis não-sírios enfrentavam constantemente problemas internos com a economia e externos com os partas, hasmoneus e nabateus, que sob Aretas controlaram Damasco de 84 a 72 a.C. Subsequentemente, a autoridade passou para os hasmoneus, descendentes dos Macabeus, e depois para os idumeus (os Herodes). A área foi submetida ao domínio romano após a derrota da Síria pelos romanos em 65 a.C.</w:t>
      </w:r>
    </w:p>
    <w:p>
      <w:r/>
      <w:r>
        <w:t>Pouco depois da morte de Cristo, os nabateus recuperaram o controle da área, governando Damasco a partir de Petra através de um etnarca. Estava sob o controle de um nomeado árabe, provavelmente Aretas IV, quando Saulo de Tarso buscou autoridade judaica para purgar Damasco de seus cristãos (</w:t>
      </w:r>
      <w:hyperlink r:id="rId6509">
        <w:r>
          <w:rPr>
            <w:color w:val="0000EE"/>
            <w:u w:val="single"/>
          </w:rPr>
          <w:t>2Cor 11.32</w:t>
        </w:r>
      </w:hyperlink>
      <w:r>
        <w:t xml:space="preserve">). O relato de Lucas em </w:t>
      </w:r>
      <w:hyperlink r:id="rId2849">
        <w:r>
          <w:rPr>
            <w:color w:val="0000EE"/>
            <w:u w:val="single"/>
          </w:rPr>
          <w:t>Atos 9</w:t>
        </w:r>
      </w:hyperlink>
      <w:r>
        <w:t>, corroborado pela própria confissão de Paulo (</w:t>
      </w:r>
      <w:hyperlink r:id="rId6510">
        <w:r>
          <w:rPr>
            <w:color w:val="0000EE"/>
            <w:u w:val="single"/>
          </w:rPr>
          <w:t>At 22.5–21</w:t>
        </w:r>
      </w:hyperlink>
      <w:r>
        <w:t xml:space="preserve">; </w:t>
      </w:r>
      <w:hyperlink r:id="rId6511">
        <w:r>
          <w:rPr>
            <w:color w:val="0000EE"/>
            <w:u w:val="single"/>
          </w:rPr>
          <w:t>26.11–23</w:t>
        </w:r>
      </w:hyperlink>
      <w:r>
        <w:t>), narra a visão de Saulo, sua cegueira e subsequente conversão na estrada para Damasco. Isso pode ter ocorrido perto do local onde soldados sírios foram cegados ao planejar assassinar Eliseu (</w:t>
      </w:r>
      <w:hyperlink r:id="rId6512">
        <w:r>
          <w:rPr>
            <w:color w:val="0000EE"/>
            <w:u w:val="single"/>
          </w:rPr>
          <w:t>2Rs 6.18–23</w:t>
        </w:r>
      </w:hyperlink>
      <w:r>
        <w:t xml:space="preserve">). Depois que a visão de Saulo foi restaurada em uma casa na rua chamada "Direita", ele pregou o cristianismo. Aparentemente, o tumulto no bairro judeu em relação à sua pregação foi tão grande que o etnarca estava disposto a tolerar o assassinato de Saulo por judeus ortodoxos. </w:t>
      </w:r>
      <w:hyperlink r:id="rId6513">
        <w:r>
          <w:rPr>
            <w:color w:val="0000EE"/>
            <w:u w:val="single"/>
          </w:rPr>
          <w:t>Atos 9.23–25</w:t>
        </w:r>
      </w:hyperlink>
      <w:r>
        <w:t xml:space="preserve"> descreve sua fuga para Jerusalém. Damasco não é mencionado posteriormente na história bíblica.</w:t>
      </w:r>
    </w:p>
    <w:p>
      <w:r/>
      <w:r>
        <w:rPr>
          <w:i/>
        </w:rPr>
        <w:t>Veja também</w:t>
      </w:r>
      <w:r>
        <w:t xml:space="preserve"> </w:t>
      </w:r>
      <w:r>
        <w:t>Síria, Sírios</w:t>
      </w:r>
      <w:r>
        <w:t>.</w:t>
      </w:r>
      <w:r/>
      <w:r/>
    </w:p>
    <w:p>
      <w:r/>
    </w:p>
    <w:p>
      <w:pPr>
        <w:pStyle w:val="Heading2"/>
      </w:pPr>
      <w:r>
        <w:t>Daniel, Adições a</w:t>
      </w:r>
      <w:r/>
    </w:p>
    <w:p>
      <w:r/>
      <w:r>
        <w:t>Um livro que faz parte das obras deuterocanônicas (livros que apenas algumas tradições cristãs consideram como Escritura). Consiste em três seções adicionais ao livro de Daniel. Este material adicional é encontrado apenas na tradução grega do livro de Daniel do Antigo Testamento. Não foi incluído nas cópias antigas em hebraico-aramaico de Daniel.</w:t>
      </w:r>
    </w:p>
    <w:p>
      <w:r/>
      <w:r>
        <w:t xml:space="preserve">A primeira adição é "Oração de Azarias e o cântico dos três jovens", que foi colocada entre </w:t>
      </w:r>
      <w:hyperlink r:id="rId6514">
        <w:r>
          <w:rPr>
            <w:color w:val="0000EE"/>
            <w:u w:val="single"/>
          </w:rPr>
          <w:t>Daniel 3.23</w:t>
        </w:r>
      </w:hyperlink>
      <w:r>
        <w:t xml:space="preserve"> e </w:t>
      </w:r>
      <w:hyperlink r:id="rId6515">
        <w:r>
          <w:rPr>
            <w:color w:val="0000EE"/>
            <w:u w:val="single"/>
          </w:rPr>
          <w:t>3.24</w:t>
        </w:r>
      </w:hyperlink>
      <w:r>
        <w:t>. Esses 68 versículos descrevem o que ocorreu com Hananias, Azarias e Misael na fornalha ardente.</w:t>
      </w:r>
    </w:p>
    <w:p>
      <w:r/>
      <w:r>
        <w:t xml:space="preserve">A segunda adição é "Suzana e os anciãos", uma história sobre uma mulher que Daniel salvou de uma execução injusta. A localização desta história no texto varia. Na Septuaginta e na Vulgata Latina (duas traduções antigas da Bíblia), ela segue </w:t>
      </w:r>
      <w:hyperlink r:id="rId6516">
        <w:r>
          <w:rPr>
            <w:color w:val="0000EE"/>
            <w:u w:val="single"/>
          </w:rPr>
          <w:t>Daniel 12</w:t>
        </w:r>
      </w:hyperlink>
      <w:r>
        <w:t xml:space="preserve">. As versões em latim antigo, copta e árabe a colocam antes do capítulo </w:t>
      </w:r>
      <w:hyperlink r:id="rId6517">
        <w:r>
          <w:rPr>
            <w:color w:val="0000EE"/>
            <w:u w:val="single"/>
          </w:rPr>
          <w:t>1</w:t>
        </w:r>
      </w:hyperlink>
      <w:r>
        <w:t>. Isso se deve à aparente juventude de Daniel dentro da história.</w:t>
      </w:r>
    </w:p>
    <w:p>
      <w:r/>
      <w:r>
        <w:t>A terceira adição é "Bel e o Dragão". É uma história de Daniel enganando sacerdotes pagãos e matando um dragão “sem espada ou porrete”. A Igreja Católica Romana inclui as Adições a Daniel em seu cânon (a lista oficial de livros considerados Escritura).</w:t>
      </w:r>
    </w:p>
    <w:p>
      <w:pPr>
        <w:pStyle w:val="Heading3"/>
      </w:pPr>
      <w:r>
        <w:t>Resumo</w:t>
      </w:r>
    </w:p>
    <w:p>
      <w:r/>
      <w:r>
        <w:t>• Oração de Azarias e o cântico dos três jovens;</w:t>
      </w:r>
    </w:p>
    <w:p>
      <w:r/>
      <w:r>
        <w:t>• Susana e os anciãos;</w:t>
      </w:r>
    </w:p>
    <w:p>
      <w:r/>
      <w:r>
        <w:t>• Bel e o Dragão.</w:t>
      </w:r>
    </w:p>
    <w:p>
      <w:pPr>
        <w:pStyle w:val="Heading3"/>
      </w:pPr>
      <w:r>
        <w:t>Oração de Azarias e o cântico dos três jovens</w:t>
      </w:r>
    </w:p>
    <w:p>
      <w:r/>
      <w:r>
        <w:t>Este capítulo é uma oração por libertação e um cântico de louvor pelos três jovens judeus lançados na fornalha ardente do rei Nabucodonosor. Esses três jovens e Daniel foram levados à corte do rei babilônico durante o exílio do reino de Judá (</w:t>
      </w:r>
      <w:hyperlink r:id="rId6518">
        <w:r>
          <w:rPr>
            <w:color w:val="0000EE"/>
            <w:u w:val="single"/>
          </w:rPr>
          <w:t>Dn 1.1</w:t>
        </w:r>
      </w:hyperlink>
      <w:r>
        <w:t>–</w:t>
      </w:r>
      <w:hyperlink r:id="rId6518">
        <w:r>
          <w:rPr>
            <w:color w:val="0000EE"/>
            <w:u w:val="single"/>
          </w:rPr>
          <w:t>6</w:t>
        </w:r>
      </w:hyperlink>
      <w:r>
        <w:t xml:space="preserve">). Azarias foi renomeado Abed-Nego (v. </w:t>
      </w:r>
      <w:hyperlink r:id="rId6519">
        <w:r>
          <w:rPr>
            <w:color w:val="0000EE"/>
            <w:u w:val="single"/>
          </w:rPr>
          <w:t>7</w:t>
        </w:r>
      </w:hyperlink>
      <w:r>
        <w:t>).</w:t>
      </w:r>
    </w:p>
    <w:p>
      <w:r/>
      <w:r>
        <w:t>Ele e seus dois amigos se recusaram a adorar a estátua de ouro do rei e foram condenados à morte (</w:t>
      </w:r>
      <w:hyperlink r:id="rId6520">
        <w:r>
          <w:rPr>
            <w:color w:val="0000EE"/>
            <w:u w:val="single"/>
          </w:rPr>
          <w:t>Dn 3.1</w:t>
        </w:r>
      </w:hyperlink>
      <w:r>
        <w:t>–</w:t>
      </w:r>
      <w:hyperlink r:id="rId6520">
        <w:r>
          <w:rPr>
            <w:color w:val="0000EE"/>
            <w:u w:val="single"/>
          </w:rPr>
          <w:t>23</w:t>
        </w:r>
      </w:hyperlink>
      <w:r>
        <w:t xml:space="preserve">). No entanto, eles foram salvos por Deus e “não havia cheiro de fogo neles” (v. </w:t>
      </w:r>
      <w:hyperlink r:id="rId6521">
        <w:r>
          <w:rPr>
            <w:color w:val="0000EE"/>
            <w:u w:val="single"/>
          </w:rPr>
          <w:t>24</w:t>
        </w:r>
      </w:hyperlink>
      <w:r>
        <w:t>–</w:t>
      </w:r>
      <w:hyperlink r:id="rId6521">
        <w:r>
          <w:rPr>
            <w:color w:val="0000EE"/>
            <w:u w:val="single"/>
          </w:rPr>
          <w:t>27</w:t>
        </w:r>
      </w:hyperlink>
      <w:r>
        <w:t xml:space="preserve">). O rei percebeu que o Deus deles os salvou e ordenou que ninguém jamais desonrasse o Deus deles (v. </w:t>
      </w:r>
      <w:hyperlink r:id="rId6522">
        <w:r>
          <w:rPr>
            <w:color w:val="0000EE"/>
            <w:u w:val="single"/>
          </w:rPr>
          <w:t>28</w:t>
        </w:r>
      </w:hyperlink>
      <w:r>
        <w:t>–</w:t>
      </w:r>
      <w:hyperlink r:id="rId6522">
        <w:r>
          <w:rPr>
            <w:color w:val="0000EE"/>
            <w:u w:val="single"/>
          </w:rPr>
          <w:t>30</w:t>
        </w:r>
      </w:hyperlink>
      <w:r>
        <w:t>).</w:t>
      </w:r>
    </w:p>
    <w:p>
      <w:r/>
      <w:r>
        <w:t xml:space="preserve">Como mencionado acima, a Oração e o Cântico são encontrados apenas nas primeiras versões gregas e latinas de Daniel. As adições foram escritas entre o Antigo e o Novo Testamento. Não está claro em que idioma foram escritas. Essas duas seções foram possivelmente escritas em hebraico. No entanto, elas aparecem pela primeira vez na Septuaginta, a tradução grega do Antigo Testamento do segundo ou terceiro século a.C. Essas seções extras foram colocadas após </w:t>
      </w:r>
      <w:hyperlink r:id="rId6514">
        <w:r>
          <w:rPr>
            <w:color w:val="0000EE"/>
            <w:u w:val="single"/>
          </w:rPr>
          <w:t>Daniel 3.23</w:t>
        </w:r>
      </w:hyperlink>
      <w:r>
        <w:t xml:space="preserve">. Assim, Daniel continha 68 versículos extras na Septuaginta entre </w:t>
      </w:r>
      <w:hyperlink r:id="rId6514">
        <w:r>
          <w:rPr>
            <w:color w:val="0000EE"/>
            <w:u w:val="single"/>
          </w:rPr>
          <w:t>Daniel 3.23</w:t>
        </w:r>
      </w:hyperlink>
      <w:r>
        <w:t xml:space="preserve"> e </w:t>
      </w:r>
      <w:hyperlink r:id="rId6515">
        <w:r>
          <w:rPr>
            <w:color w:val="0000EE"/>
            <w:u w:val="single"/>
          </w:rPr>
          <w:t>3.24</w:t>
        </w:r>
      </w:hyperlink>
      <w:r>
        <w:t>. Os primeiros 22 versículos são a Oração de Azarias.</w:t>
      </w:r>
    </w:p>
    <w:p>
      <w:r/>
      <w:r>
        <w:t>Quando Jerônimo traduziu a Bíblia para o latim no quarto século d.C., ele manteve as adições, mesmo que não estivessem nos textos originais. A Bíblia "Vulgata" de Jerônimo incluía 14 ou 15 livros ou partes de livros que não são considerados Escritura. Esses escritos são conhecidos como os livros apócrifos do Antigo Testamento. Essas seções geralmente não são incluídas nas Bíblias protestantes. Quando Martinho Lutero traduziu a Bíblia para o alemão em 1534 d.C., ele separou essas seções para o final do Antigo Testamento. Ele escreveu que os apócrifos (termo originário da forma plural "Apocrypha" de uma palavra grega que significa "oculto") era "útil e bom para ler", mas não igual ao restante da Bíblia.</w:t>
      </w:r>
    </w:p>
    <w:p>
      <w:r/>
      <w:r>
        <w:t xml:space="preserve">A oração de Azarias é um exemplo "útil e bom" de oração. É semelhante à oração de Daniel em </w:t>
      </w:r>
      <w:hyperlink r:id="rId6523">
        <w:r>
          <w:rPr>
            <w:color w:val="0000EE"/>
            <w:u w:val="single"/>
          </w:rPr>
          <w:t>Daniel 9.3–19</w:t>
        </w:r>
      </w:hyperlink>
      <w:r>
        <w:t xml:space="preserve"> e também a alguns salmos bíblicos (como os Salmos 31 e 51). Contém confissão, arrependimento e um pedido de ajuda. Azarias admite que o povo de Deus merece justiça "por causa dos nossos pecados", mas pede a Deus que se lembre de sua promessa de abençoar os descendentes de Abraão, Isaque e Jacó. Ele oferece "um coração contrito e um espírito humilde" como sacrifício e promete a si mesmo e seus companheiros a Deus.</w:t>
      </w:r>
    </w:p>
    <w:p>
      <w:r/>
      <w:r>
        <w:t xml:space="preserve">Após a oração de Azarias, “o anjo do Senhor” desce e transforma o interior da fornalha em um ambiente com um vento úmido e sibilante. Os três jovens louvam a Deus “como se fossem uma só boca”. O cântico deles, assim como o </w:t>
      </w:r>
      <w:hyperlink r:id="rId6524">
        <w:r>
          <w:rPr>
            <w:color w:val="0000EE"/>
            <w:u w:val="single"/>
          </w:rPr>
          <w:t>Salmo 148</w:t>
        </w:r>
      </w:hyperlink>
      <w:r>
        <w:t>, pede a toda a criação para “bendizer o Senhor”.</w:t>
      </w:r>
    </w:p>
    <w:p>
      <w:pPr>
        <w:pStyle w:val="Heading3"/>
      </w:pPr>
      <w:r>
        <w:t>Suzana e os anciãos</w:t>
      </w:r>
    </w:p>
    <w:p>
      <w:r/>
      <w:r>
        <w:t>Na Septuaginta grega e na Vulgata latina, esta história vem após o livro de Daniel. O autor provavelmente era um judeu vivendo na Palestina no primeiro século a.C. No entanto, a história ocorre na Babilônia.</w:t>
      </w:r>
    </w:p>
    <w:p>
      <w:r/>
      <w:r>
        <w:t>Suzana era filha de Hilquias. Ela era uma mulher muito bonita e casada com Joaquim. Joaquim era um homem rico e respeitado. Ele permitia que os exilados judeus entrassem em seu belo jardim, o que aumentava ainda mais seu prestígio. Os anciãos e juízes se reuniam no jardim. Em algum momento, dois anciãos que haviam sido eleitos como juízes se sentiram atraídos por Suzana. Eles frequentavam o jardim de Joaquim porque eram juízes. Em algumas ocasiões, os dois juízes ficavam observando Suzana. Eles não sabiam que ambos sentiam o mesmo por ela. Um dia, foram forçados a confessar um ao outro seu desejo por Suzana. Eles elaboraram um plano para seduzir Suzana.</w:t>
      </w:r>
    </w:p>
    <w:p>
      <w:r/>
      <w:r>
        <w:t>Suzana costumava se banhar na piscina do jardim para se refrescar quando estava calor. Um dia, ela foi à piscina com suas duas criadas para se banhar. As três mulheres não sabiam que os dois juízes estavam lá porque estavam escondidos. Quando as duas criadas saíram para buscar sabão e azeite, os juízes se aproximaram de Suzana. Eles confessaram seu desejo por ela e pediram para dormir com ela. Os dois juízes tinham feito um plano. Se Suzana dissesse não, eles mentiriam e diriam que Suzana estava cometendo adultério com um jovem. Suzana acreditava que o adultério era um pecado punível com a morte. Então, ela recusou os juízes, gritou por ajuda e esperou que sua família a protegesse. Os juízes então acusaram falsamente Suzana aos seus servos.</w:t>
      </w:r>
    </w:p>
    <w:p>
      <w:r/>
      <w:r>
        <w:t>Suzana foi levada ao tribunal. Os homens eram respeitados na comunidade, e ambos testemunharam contra Suzana. Ela não teve chance de um julgamento justo. O tribunal a considerou culpada de adultério e a sentenciou à morte. Mas um homem chamado Daniel interveio. Ele pediu para que o julgamento fosse reaberto, pois queria questionar as testemunhas separadamente. Quando foram ouvidos novamente, os testemunhos dos homens eram diferentes. Um afirmou que tinha visto Suzana com o jovem debaixo de uma árvore de cravo, enquanto o outro disse que os tinha visto juntos debaixo de um carvalho. Com essas discrepâncias, o tribunal percebeu que os juízes estavam mentindo, e Suzana era inocente. Os dois juízes foram condenados à morte por causa de sua falsidade.</w:t>
      </w:r>
    </w:p>
    <w:p>
      <w:r/>
      <w:r>
        <w:t>Existem três propósitos para esta história.</w:t>
      </w:r>
    </w:p>
    <w:p>
      <w:pPr>
        <w:pStyle w:val="ListNumber"/>
        <w:spacing w:line="240" w:lineRule="auto"/>
        <w:ind w:left="720"/>
      </w:pPr>
      <w:r/>
      <w:r>
        <w:t>Isso celebra a piedade e virtude de Suzana. Também condena a corrupção dos juízes, pois eles "não oravam mais a Deus, mas deixavam seus pensamentos se afastarem dele e esqueciam" sua moralidade.</w:t>
      </w:r>
    </w:p>
    <w:p>
      <w:pPr>
        <w:pStyle w:val="ListNumber"/>
        <w:spacing w:line="240" w:lineRule="auto"/>
        <w:ind w:left="720"/>
      </w:pPr>
      <w:r/>
      <w:r>
        <w:t>Rejeita um método legal onde duas testemunhas poderiam falsamente acusar alguém que seu testemunho poderia ser aceito como verdadeiro. Nabote, Jesus e outros foram acusados por falsas testemunhas e considerados culpados sem que os acusadores fossem questionados.</w:t>
      </w:r>
    </w:p>
    <w:p>
      <w:pPr>
        <w:pStyle w:val="ListNumber"/>
        <w:spacing w:line="240" w:lineRule="auto"/>
        <w:ind w:left="720"/>
      </w:pPr>
      <w:r/>
      <w:r>
        <w:t>A história apresenta Daniel, um jovem que é mais sábio que os anciãos.</w:t>
      </w:r>
    </w:p>
    <w:p>
      <w:pPr>
        <w:pStyle w:val="Heading3"/>
      </w:pPr>
      <w:r>
        <w:t>Bel e o Dragão</w:t>
      </w:r>
    </w:p>
    <w:p>
      <w:r/>
      <w:r>
        <w:t>O livro "Bel e o Dragão" é considerado um livro apócrifo pelas igrejas protestantes (e não está incluído na lista de livros considerados Escritura). No entanto, a Igreja Católica Romana o confirmou como canônico (e o incluiu na lista de livros considerados Escritura) no Concílio de Trento (1545–1563).</w:t>
      </w:r>
    </w:p>
    <w:p>
      <w:r/>
      <w:r>
        <w:t>O livro contém duas histórias sobre Daniel:</w:t>
      </w:r>
    </w:p>
    <w:p>
      <w:pPr>
        <w:pStyle w:val="ListBullet"/>
        <w:spacing w:line="240" w:lineRule="auto"/>
        <w:ind w:left="720"/>
      </w:pPr>
      <w:r/>
      <w:r>
        <w:t>A história de Bel;</w:t>
      </w:r>
    </w:p>
    <w:p>
      <w:pPr>
        <w:pStyle w:val="ListBullet"/>
        <w:spacing w:line="240" w:lineRule="auto"/>
        <w:ind w:left="720"/>
      </w:pPr>
      <w:r/>
      <w:r>
        <w:t>A história do dragão.</w:t>
      </w:r>
    </w:p>
    <w:p>
      <w:r/>
      <w:r>
        <w:t>O livro se passa na Babilônia durante o reinado do rei Ciro. Daniel era respeitado pelo rei e vivia como seu companheiro. No entanto, ele continuava a adorar a Deus e a orar. Ciro e os babilônios adoravam Bel, também conhecido como Marduque (Merodaque no Antigo Testamento).</w:t>
      </w:r>
    </w:p>
    <w:p>
      <w:r/>
      <w:r>
        <w:t>Um dia, o rei ordenou que Daniel adorasse Bel, alegando que ele era um deus poderoso por causa de seu grande apetite. O rei explicou que todos os dias Bel comia 12 alqueires (ou 432 litros) de farinha, 40 ovelhas e 50 galões (ou 189 litros) de vinho. Para os locais, Bel era claramente um deus poderoso. Daniel argumentou que um ídolo é feito de argila e bronze, e não poderia comer a comida. Daniel afirmou que poderia provar isso. O rei ficou zangado e pediu aos sacerdotes que explicassem o que aconteceu com a comida. Eles responderam que foi comida pelo deus.</w:t>
      </w:r>
    </w:p>
    <w:p>
      <w:r/>
      <w:r>
        <w:t>No dia seguinte, a comida foi colocada no templo. Sem o conhecimento dos sacerdotes, Daniel fez com que seus servos espalhassem cinzas finas no chão. O templo foi trancado com os anéis de sinete do rei e dos sacerdotes. Na manhã seguinte, os selos não foram quebrados, e todos entraram no templo. O rei viu que a mesa estava vazia e louvou Bel. No entanto, Daniel apontou para pegadas nas cinzas. Os sacerdotes estavam entrando por uma porta secreta e removendo a comida. Ciro ordenou que os 70 sacerdotes e suas famílias fossem mortos e permitiu que Daniel destruísse o templo.</w:t>
      </w:r>
    </w:p>
    <w:p>
      <w:r/>
      <w:r>
        <w:t>O segundo conto é sobre a adoração de um dragão (possivelmente uma serpente). Os babilônios adoravam um dragão. O rei argumentou com Daniel que ele estava vivo porque todos o tinham visto comer e beber. Daniel recusou o pedido do rei para adorar um ídolo. Daniel até pediu para matar o dragão sem usar espada ou porrete. Isso parecia impossível para o rei, então ele permitiu que Daniel tentasse matar o dragão. Daniel misturou piche, gordura e cabelo, ferveu tudo junto, formou bolos e os deu ao dragão. O dragão explodiu e morreu. Os babilônios ficaram furiosos porque seu deus-dragão havia morrido e confrontaram o rei. Eles acreditavam que ele havia se convertido ao judaísmo. Para evitar a ira deles, o rei entregou Daniel a eles para ser morto.</w:t>
      </w:r>
    </w:p>
    <w:p>
      <w:r/>
      <w:r>
        <w:t>Todos os dias, dois criminosos eram jogados em uma cova com sete leões. Quando Daniel foi jogado na cova, os leões não tinham sido alimentados. Mas, após seis dias, Daniel ainda estava vivo. Em uma adição posterior ao texto, o Senhor enviou um anjo ao profeta Habacuque e ordenou que ele levasse comida para Daniel. Habacuque argumentou que nunca tinha estado na Babilônia. Então, o anjo o pegou pelos cabelos e o levou até a cova dos leões. Habacuque disse a Daniel que o Senhor havia se lembrado dele e lhe trouxe a comida.</w:t>
      </w:r>
    </w:p>
    <w:p>
      <w:r/>
      <w:r>
        <w:t>No dia seguinte, o rei chegou para lamentar por Daniel. No entanto, ele encontrou seu amigo vivo. Daniel foi libertado da cova, e seus acusadores foram jogados lá e devorados pelos leões famintos.</w:t>
      </w:r>
    </w:p>
    <w:p>
      <w:r/>
      <w:r>
        <w:t>Bel e o Dragão existem em grego e siríaco, mas provavelmente foram escritos em hebraico. Não sabemos quem escreveu a história ou quando foi escrita. A história de Bel pode ter sido escrita já no quarto século a.C. A história do dragão foi provavelmente escrita mais tarde por um autor diferente, por volta de 150–100 a.C., em um período de grande dificuldade religiosa e política para os judeus.</w:t>
      </w:r>
    </w:p>
    <w:p>
      <w:r/>
      <w:r>
        <w:t>Bel e o Dragão foi escrito para argumentar que adorar ídolos é inútil. Também defende que os seguidores do Senhor precisam manter-se firmes em sua fé, mesmo quando enfrentam perseguições e tempos difíceis. Em ambas as histórias, os deuses babilônicos são desrespeitados. O livro também pode ter servido como um aviso para não confiar em amigos pagãos, que podem trair seus amigos em tempos de dificuldade. Mesmo sendo companheiro do rei, Daniel foi entregue pelo rei a uma multidão quando enfrentou pressão.</w:t>
      </w:r>
    </w:p>
    <w:p>
      <w:r/>
      <w:r>
        <w:t>Na história de Bel, Daniel confrontou um deus que foi adorado na Babilônia por mais de 2000 anos. Bel é mencionado muitas vezes em inscrições cuneiformes (antigas tábuas de argila). Por exemplo, Nabucodonosor II construiu o templo de Bel para ser um dos melhores zigurates. Este templo era uma torre alta em forma de pirâmide. O autor dessas histórias saberia que o rei persa Xerxes I, que governou de 486 a 464 a.C., destruiu o templo. Xerxes I então levou a imagem dourada do santuário. Na época de Alexandre, o Grande, por volta de 330 a.C., o templo estava em ruínas. O dragão era uma figura bem conhecida na religião do Oriente Próximo e nas lendas sumérias.</w:t>
      </w:r>
      <w:r/>
      <w:r/>
    </w:p>
    <w:p>
      <w:r/>
    </w:p>
    <w:p>
      <w:pPr>
        <w:pStyle w:val="Heading2"/>
      </w:pPr>
      <w:r>
        <w:t>Daniel, Livro de</w:t>
      </w:r>
      <w:r/>
    </w:p>
    <w:p>
      <w:r/>
      <w:r>
        <w:t>O quarto livro dos Profetas Maiores no AT é caracterizado por simbolismo vívido e reflete eventos históricos heroicos durante o exílio babilônico do povo judeu. Como Daniel não é um livro fácil de entender, sua interpretação requer estudo cuidadoso e reflexão. O próprio Daniel escreveu, ao refletir sobre o significado de uma de suas visões: “Mas continuei muito preocupado com a visão, pois não consegui entendê-la” (</w:t>
      </w:r>
      <w:hyperlink r:id="rId6525">
        <w:r>
          <w:rPr>
            <w:color w:val="0000EE"/>
            <w:u w:val="single"/>
          </w:rPr>
          <w:t>Dn 8.27</w:t>
        </w:r>
      </w:hyperlink>
      <w:r>
        <w:t>, NTLH).</w:t>
      </w:r>
    </w:p>
    <w:p>
      <w:r/>
      <w:r>
        <w:t>Na antiga divisão judaica do AT, Daniel faz parte da terceira seção, chamada de Escritos, junto com livros como Salmos, Provérbios e Jó. Ele não foi incluído na segunda seção do AT, chamada de Profetas. Embora partes de seu livro possam ser interpretadas de uma perspectiva profética, Daniel nunca é explicitamente identificado como um profeta. As duas principais divisões do livro são narrativas sobre a vida de Daniel (</w:t>
      </w:r>
      <w:hyperlink r:id="rId6526">
        <w:r>
          <w:rPr>
            <w:color w:val="0000EE"/>
            <w:u w:val="single"/>
          </w:rPr>
          <w:t>1–6</w:t>
        </w:r>
      </w:hyperlink>
      <w:r>
        <w:t>) e as visões de Daniel (</w:t>
      </w:r>
      <w:hyperlink r:id="rId2172">
        <w:r>
          <w:rPr>
            <w:color w:val="0000EE"/>
            <w:u w:val="single"/>
          </w:rPr>
          <w:t>7–12</w:t>
        </w:r>
      </w:hyperlink>
      <w:r>
        <w:t>).</w:t>
      </w:r>
    </w:p>
    <w:p>
      <w:r/>
      <w:r>
        <w:t>Resumo</w:t>
      </w:r>
    </w:p>
    <w:p>
      <w:r/>
      <w:r>
        <w:t>• Autor(a)</w:t>
      </w:r>
    </w:p>
    <w:p>
      <w:r/>
      <w:r>
        <w:t>• Data</w:t>
      </w:r>
    </w:p>
    <w:p>
      <w:r/>
      <w:r>
        <w:t>• Língua</w:t>
      </w:r>
    </w:p>
    <w:p>
      <w:r/>
      <w:r>
        <w:t>• Contexto</w:t>
      </w:r>
    </w:p>
    <w:p>
      <w:r/>
      <w:r>
        <w:t>• Propósito e ensino teológico</w:t>
      </w:r>
    </w:p>
    <w:p>
      <w:r/>
      <w:r>
        <w:t>• Conteúdo: Histórias sobre Daniel (1–6)</w:t>
      </w:r>
    </w:p>
    <w:p>
      <w:r/>
      <w:r>
        <w:t>• Conteúdo: Visões de Daniel (7–12)</w:t>
      </w:r>
    </w:p>
    <w:p>
      <w:pPr>
        <w:pStyle w:val="Heading3"/>
      </w:pPr>
      <w:r>
        <w:t>Autor</w:t>
      </w:r>
    </w:p>
    <w:p>
      <w:r/>
      <w:r>
        <w:t>Em relação a ter um autor conhecido, o livro de Daniel é anônimo, assim como muitos livros do mundo antigo. O texto existente apresenta apenas um título, "Daniel", identificando o tema principal do livro: o próprio homem.</w:t>
      </w:r>
    </w:p>
    <w:p>
      <w:r/>
      <w:r>
        <w:t xml:space="preserve">Os primeiros seis capítulos do livro contêm informações sobre Daniel escritas na terceira pessoa; começando em </w:t>
      </w:r>
      <w:hyperlink r:id="rId6527">
        <w:r>
          <w:rPr>
            <w:color w:val="0000EE"/>
            <w:u w:val="single"/>
          </w:rPr>
          <w:t>Daniel 7.2</w:t>
        </w:r>
      </w:hyperlink>
      <w:r>
        <w:t>, no entanto, o livro alega conter palavras escritas por Daniel na primeira pessoa. Embora a visão tradicional dentro do Judaísmo, posteriormente adotada pelo Cristianismo, fosse de que Daniel escreveu todo o livro que leva seu nome, há poucas evidências confirmatórias. As palavras de Jesus sobre coisas “de que falou o profeta Daniel” (</w:t>
      </w:r>
      <w:hyperlink r:id="rId6528">
        <w:r>
          <w:rPr>
            <w:color w:val="0000EE"/>
            <w:u w:val="single"/>
          </w:rPr>
          <w:t>Mt 24.15</w:t>
        </w:r>
      </w:hyperlink>
      <w:r>
        <w:t>) não esclarecem quem escreveu o livro inteiro, já que as palavras em questão aparecem na segunda metade do livro de Daniel, explicitamente identificadas como suas palavras. Assim, o problema de quem escreveu a primeira parte permanece.</w:t>
      </w:r>
    </w:p>
    <w:p>
      <w:r/>
      <w:r>
        <w:t>Independentemente de Daniel ter escrito ou não o livro inteiro, ele é definitivamente o personagem principal. A única fonte de informação sobre ele é o próprio livro. Daniel era um hebreu de Judá, provavelmente de linhagem real, nascido no final do século VII a.C. Quando jovem, ele foi levado de sua terra natal para a Babilônia (no que é hoje o sul do Iraque) por volta de 605 a.C. Lá, após três anos de educação formal em língua e literatura (</w:t>
      </w:r>
      <w:hyperlink r:id="rId6529">
        <w:r>
          <w:rPr>
            <w:color w:val="0000EE"/>
            <w:u w:val="single"/>
          </w:rPr>
          <w:t>Dn 1.4–5</w:t>
        </w:r>
      </w:hyperlink>
      <w:r>
        <w:t>), ele se tornou um oficial na casa real. Os primeiros seis capítulos contam incidentes particulares na vida de Daniel, mas não fornecem uma biografia abrangente de sua vida e época.</w:t>
      </w:r>
    </w:p>
    <w:p>
      <w:r/>
      <w:r>
        <w:t>O nome Daniel significa "Deus é meu juiz". Como residente estrangeiro na Babilônia, ele recebeu outro nome, Beltessazar, que pode ter significado "que Bel (deus) proteja sua vida" na língua babilônica.</w:t>
      </w:r>
    </w:p>
    <w:p>
      <w:pPr>
        <w:pStyle w:val="Heading3"/>
      </w:pPr>
      <w:r>
        <w:t>Data</w:t>
      </w:r>
    </w:p>
    <w:p>
      <w:r/>
      <w:r>
        <w:t>A incerteza sobre a autoria do livro de Daniel naturalmente contribui para a incerteza sobre a data de sua escrita. Se Daniel foi o autor de todo o livro, é provável que tenha sido escrito na segunda metade do século VI a.C. Caso ele não tenha sido o autor, uma data posterior é possível. A interpretação conservadora geralmente sustenta que o livro foi escrito no século VI a.C. Uma posição alternativa é que o livro foi escrito por volta de 165 a.C.</w:t>
      </w:r>
    </w:p>
    <w:p>
      <w:r/>
      <w:r>
        <w:t>Existem evidências que apoiam tanto as datas antigas quanto as mais recentes de Daniel. Aqueles que defendem uma data mais recente e um autor além de Daniel geralmente utilizam dois tipos de argumentos: um histórico e outro linguístico. No entanto, aqueles que defendem uma data mais antiga apresentam contra-argumentos, todos os quais são discutidos abaixo.</w:t>
      </w:r>
    </w:p>
    <w:p>
      <w:pPr>
        <w:pStyle w:val="Heading4"/>
      </w:pPr>
      <w:r>
        <w:t>Argumento histórico</w:t>
      </w:r>
    </w:p>
    <w:p>
      <w:r/>
      <w:r>
        <w:t>De acordo com o argumento histórico, o escritor estava totalmente familiarizado com a história do poder imperial do Oriente Próximo do sexto ao segundo século, mas tinha uma compreensão incompleta e incorreta dos detalhes históricos na segunda metade do sexto século, era de Daniel. Esse desequilíbrio no conhecimento sugere uma data tardia para a escrita.</w:t>
      </w:r>
    </w:p>
    <w:p>
      <w:r/>
      <w:r>
        <w:t>A primeira parte do argumento histórico deve ser aceita por aqueles que mantêm uma visão mais conservadora. O livro de Daniel realmente demonstra um conhecimento notável da história do Oriente Próximo. A questão crítica é se esse conhecimento era um conhecimento humano comum, adquirido após os eventos, ou um conhecimento especial revelado a Daniel antecipadamente. Essa questão é respondida de maneiras diferentes por pessoas diferentes, dependendo de sua visão sobre profecia e outros fatores.</w:t>
      </w:r>
    </w:p>
    <w:p>
      <w:r/>
      <w:r>
        <w:t>A segunda parte do argumento histórico é tecnicamente mais complexa. O conhecimento do escritor sobre a história no final do século VI a.C. estava realmente incorreto? O problema mais significativo é a identidade de Dario, o Medo (</w:t>
      </w:r>
      <w:hyperlink r:id="rId6530">
        <w:r>
          <w:rPr>
            <w:color w:val="0000EE"/>
            <w:u w:val="single"/>
          </w:rPr>
          <w:t>Dn 5.30–31</w:t>
        </w:r>
      </w:hyperlink>
      <w:r>
        <w:t xml:space="preserve">). O livro de Daniel afirma que Dario, o Medo, conquistou Babilônia e foi sucedido posteriormente por Ciro. Fontes históricas externas não mencionam um Dario na época, mas mostram claramente que foi Ciro quem conquistou Babilônia. Os defensores de uma data tardia consideram isso uma evidência forte. Aqueles que defendem uma data precoce não têm uma solução simples para o problema. Uma solução proposta é que Dario e Ciro são dois nomes para a mesma pessoa. Uma base para essa hipótese é que </w:t>
      </w:r>
      <w:hyperlink r:id="rId6531">
        <w:r>
          <w:rPr>
            <w:color w:val="0000EE"/>
            <w:u w:val="single"/>
          </w:rPr>
          <w:t>Daniel 6.28</w:t>
        </w:r>
      </w:hyperlink>
      <w:r>
        <w:t xml:space="preserve"> pode ser traduzido: “E Daniel continuou a ser uma alta autoridade no governo durante o reinado de Dario e depois durante o reinado de Ciro, da Pérsia”. Uma analogia aparece no uso dos nomes Pul e Tiglate-Pileser em </w:t>
      </w:r>
      <w:hyperlink r:id="rId2775">
        <w:r>
          <w:rPr>
            <w:color w:val="0000EE"/>
            <w:u w:val="single"/>
          </w:rPr>
          <w:t>1 Crônicas 5.26</w:t>
        </w:r>
      </w:hyperlink>
      <w:r>
        <w:t>. Em resumo, a datação de Daniel com base no conhecimento histórico do escritor é difícil, seja sugerida uma data precoce ou tardia.</w:t>
      </w:r>
    </w:p>
    <w:p>
      <w:pPr>
        <w:pStyle w:val="Heading4"/>
      </w:pPr>
      <w:r>
        <w:t>Argumento linguístico</w:t>
      </w:r>
    </w:p>
    <w:p>
      <w:r/>
      <w:r>
        <w:t>Os argumentos linguísticos para a datação de Daniel são complexos, especialmente para quem não está familiarizado com as línguas originais do livro (Hebraico e Aramaico). Os defensores de uma data tardia usam três argumentos relacionados: (1) a língua aramaica do livro é típica do aramaico tardio (segundo século a.C. e posterior); (2) a presença de palavras emprestadas do persa é uma indicação adicional da data tardia do aramaico do livro; e (3) a presença de palavras emprestadas do grego no aramaico mostra que a língua deve ser datada após a conquista do Oriente por Alexandre, o Grande (c. 330 a.C.). Para os defensores de uma data tardia para a composição do livro, o último argumento é o mais convincente. Eles afirmam que seria impossível encontrar palavras emprestadas do grego no aramaico dois séculos antes da época de Alexandre.</w:t>
      </w:r>
    </w:p>
    <w:p>
      <w:r/>
      <w:r>
        <w:t>Embora os argumentos sejam inicialmente convincentes, em uma análise mais detalhada, eles se tornam menos persuasivos para aqueles que mantêm uma visão conservadora. Cada uma das três partes do argumento foi respondida.</w:t>
      </w:r>
    </w:p>
    <w:p>
      <w:r/>
      <w:r>
        <w:t>1. O aramaico era amplamente utilizado no Oriente Próximo a partir do século IX a.C., sendo reconhecido como língua oficial na Assíria a partir do século VIII a.C. Noventa por cento das palavras aramaicas em Daniel foram usadas naquela língua mais antiga, tanto nos dialetos aramaico antigo quanto imperial. Os 10 por cento restantes, conhecidos apenas em textos posteriores à luz das evidências atuais, podem indicar uma data tardia, mas também podem ser usos iniciais das palavras em questão.</w:t>
      </w:r>
    </w:p>
    <w:p>
      <w:r/>
      <w:r>
        <w:t>2. A presença de palavras emprestadas do persa no aramaico pode ter um efeito inesperado. É verdade que o aramaico posterior possui muitas palavras emprestadas do persa (cerca de 19 aparecem em Daniel), mas é possível oferecer uma explicação alternativa para as palavras persas em Daniel em uma data anterior. A história de Daniel se passa, em parte, no contexto de uma corte controlada pelos persas. Os persas utilizavam o aramaico para o controle administrativo do império, e sua própria língua inevitavelmente influenciou o aramaico. Se alguém considera uma data anterior para o livro de Daniel, então ele estaria sendo escrito precisamente no período em que o persa teria sua maior influência sobre o aramaico.</w:t>
      </w:r>
    </w:p>
    <w:p>
      <w:r/>
      <w:r>
        <w:t>3. A presença de palavras gregas no aramaico de Daniel (um total de três) não é totalmente convincente. Comerciantes gregos (ou "jônios") viajaram por várias partes do Oriente Próximo a partir do século VIII a.C. Mercenários gregos lutaram por estados do Oriente Próximo durante e após o século VII a.C. Durante a vida de Daniel, sabe-se que o Rei Nabucodonosor empregou artesãos gregos na cidade de Babilônia. Assim, não é necessário limitar as possibilidades de influência grega na língua aramaica ao período após Alexandre. O conquistador não foi, de forma alguma, o primeiro grego a pisar no Oriente.</w:t>
      </w:r>
    </w:p>
    <w:p>
      <w:pPr>
        <w:pStyle w:val="Heading4"/>
      </w:pPr>
      <w:r>
        <w:t>Conclusão</w:t>
      </w:r>
    </w:p>
    <w:p>
      <w:r/>
      <w:r>
        <w:t>Os argumentos históricos e linguísticos sobre a data de Daniel são inconclusivos tanto para uma data de escrita precoce quanto tardia. Em grande parte, datar o livro depende de outros fatores, como autoria, intenção e a medida em que se adota uma interpretação "profética" de partes do livro. Afirmar que Daniel foi o autor é consistente com as evidências atualmente disponíveis. Além disso, as evidências fornecidas por alguns dos materiais de Daniel dos Manuscritos do Mar Morto em Qumran não apoiam uma data tardia para o livro. Todos os manuscritos e fragmentos de Daniel são cópias do segundo século a.C., exigindo, portanto, uma data anterior para o original. Um manuscrito, relacionado paleograficamente ao grande Rolo de Isaías, deve ter vindo originalmente do mesmo período — estimado em vários séculos antes da cópia de Isaías de Qumran. Outros manuscritos de Qumran mostram que nenhum material canônico do AT foi composto após o período persa. Assim, não existe evidência manuscrita para uma data do segundo século a.C. para Daniel.</w:t>
      </w:r>
    </w:p>
    <w:p>
      <w:pPr>
        <w:pStyle w:val="Heading3"/>
      </w:pPr>
      <w:r>
        <w:t>Língua</w:t>
      </w:r>
    </w:p>
    <w:p>
      <w:r/>
      <w:r>
        <w:t xml:space="preserve">Uma das características mais interessantes do livro de Daniel não é imediatamente evidente para um leitor da Bíblia em português. O livro é bilíngue. </w:t>
      </w:r>
      <w:hyperlink r:id="rId6532">
        <w:r>
          <w:rPr>
            <w:color w:val="0000EE"/>
            <w:u w:val="single"/>
          </w:rPr>
          <w:t>Daniel 1.1–2.4a</w:t>
        </w:r>
      </w:hyperlink>
      <w:r>
        <w:t xml:space="preserve"> e </w:t>
      </w:r>
      <w:hyperlink r:id="rId6533">
        <w:r>
          <w:rPr>
            <w:color w:val="0000EE"/>
            <w:u w:val="single"/>
          </w:rPr>
          <w:t>Daniel 8–12</w:t>
        </w:r>
      </w:hyperlink>
      <w:r>
        <w:t xml:space="preserve"> estão escritos em hebraico, a língua dos outros livros do Antigo Testamento. A seção do meio (</w:t>
      </w:r>
      <w:hyperlink r:id="rId2349">
        <w:r>
          <w:rPr>
            <w:color w:val="0000EE"/>
            <w:u w:val="single"/>
          </w:rPr>
          <w:t>Dn 2.4b-7.28</w:t>
        </w:r>
      </w:hyperlink>
      <w:r>
        <w:t>), no entanto, está escrita em aramaico, uma língua diferente, mas relacionada. Várias explicações foram oferecidas para esse fenômeno. Alguns sugeriram que um livro original em aramaico foi expandido por um escritor hebreu, com acréscimos ao livro original no início e no final. Outros sugerem que uma parte do livro original em hebraico foi perdida, então a seção faltante foi substituída por uma tradução aramaica sobrevivente. Sugestões mais complexas e engenhosas também foram feitas, mas nenhuma foi amplamente aceita.</w:t>
      </w:r>
    </w:p>
    <w:p>
      <w:r/>
      <w:r>
        <w:t>Outra sugestão é possível. O livro de Daniel (independentemente da data que se prefira) pode simplesmente refletir o caráter bilíngue de seu contexto cultural. (Como exemplo moderno, considere os muitos materiais escritos no Canadá que aparecem tanto em inglês quanto em francês) uma vez que naquele país, ambas as línguas são usadas. Finalmente, pode-se considerar o caráter bilíngue como um dos aspectos misteriosos do livro que tornam sua interpretação difícil.</w:t>
      </w:r>
    </w:p>
    <w:p>
      <w:pPr>
        <w:pStyle w:val="Heading3"/>
      </w:pPr>
      <w:r>
        <w:t>Contexto</w:t>
      </w:r>
    </w:p>
    <w:p>
      <w:r/>
      <w:r>
        <w:t>O contexto do livro de Daniel pode ser examinado a partir de duas perspectivas. Pode ser visto sob a perspectiva do exílio babilônico, do qual Daniel fez parte (início do século VI a.C.), ou à luz de eventos históricos futuros (século II a.C.), para os quais as visões na segunda metade do livro parecem apontar.</w:t>
      </w:r>
    </w:p>
    <w:p>
      <w:pPr>
        <w:pStyle w:val="Heading4"/>
      </w:pPr>
      <w:r>
        <w:t>O cativeiro babilônico</w:t>
      </w:r>
    </w:p>
    <w:p>
      <w:r/>
      <w:r>
        <w:t>Embora o próprio Daniel tenha sido exilado por volta de 605 a.C., a fase principal do exílio babilônico começou em 586 a.C., após a derrota do reino de Judá e a destruição de Jerusalém. O relato se estende pelos reinados de Nabucodonosor (mais apropriadamente Nabucadnessar) e Belsazar, culminando nos primeiros anos do rei persa Ciro, que tomou a cidade de Babilônia em 539 a.C. Para os judeus, o exílio foi um período de dificuldades, mas também um tempo de renovado entendimento teológico. Ambos os aspectos estão refletidos no livro de Daniel.</w:t>
      </w:r>
    </w:p>
    <w:p>
      <w:pPr>
        <w:pStyle w:val="Heading4"/>
      </w:pPr>
      <w:r>
        <w:t>O período Selêucida na Palestina</w:t>
      </w:r>
    </w:p>
    <w:p>
      <w:r/>
      <w:r>
        <w:t>As visões de Daniel na segunda metade do livro parecem referir-se ao período Selêucida na Palestina, especificamente à época em que os judeus eram governados por Antíoco Epifânio, um membro da dinastia Selêucida (175–163 a.C.). Se as visões eram antecipações proféticas de eventos futuros ou reflexões da cultura contemporânea, o período Selêucida é crucial para uma compreensão completa do livro.</w:t>
      </w:r>
    </w:p>
    <w:p>
      <w:r/>
      <w:r>
        <w:t>Sob o governo de Antíoco, os judeus palestinos enfrentaram um período de considerável dificuldade. A antiga fé foi severamente minada, o sumo sacerdócio em Jerusalém foi vendido ao maior lance, e o Templo foi profanado de várias maneiras. Os judeus foram pressionados a adaptar suas vidas e fé à cultura helenística (influenciada pelos gregos). Embora alguns tenham cedido, outros se recusaram e mantiveram firmemente a antiga fé. Uma rebelião contra as medidas opressivas de Antíoco começou em 168 a.C.. Em 164, os rebeldes haviam em grande parte conseguido se livrar das práticas objetáveis. No entanto, o período selêucida foi geralmente uma época ruim para os judeus fiéis, quando todas as forças da história pareciam trabalhar contra a verdadeira fé. Parte da grandeza do livro de Daniel reside em sua compreensão teológica da história, que permitiu que homens e mulheres continuassem vivendo na fé durante um tempo de terrível crise.</w:t>
      </w:r>
    </w:p>
    <w:p>
      <w:pPr>
        <w:pStyle w:val="Heading3"/>
      </w:pPr>
      <w:r>
        <w:t>Propósito e ensino teológico</w:t>
      </w:r>
    </w:p>
    <w:p>
      <w:r/>
      <w:r>
        <w:t>A seção das Escrituras do AT chamada de Escritos servia a uma variedade de propósitos. Os Salmos, por exemplo, eram usados principalmente na adoração de Israel. Os Provérbios podem ter feito parte do currículo escolar de Israel. O livro de Jó abordava um problema humano e teológico específico.</w:t>
      </w:r>
    </w:p>
    <w:p>
      <w:r/>
      <w:r>
        <w:t>O propósito do livro de Daniel não é fácil de determinar, pois é essencialmente uma história, uma biografia parcial de Daniel. Não é estritamente um livro profético, nem é história no sentido moderno. Grande parte dele se concentra em sonhos e suas interpretações.</w:t>
      </w:r>
    </w:p>
    <w:p>
      <w:r/>
      <w:r>
        <w:t>No entanto, a palavra "história" fornece uma pista para seu propósito. Daniel busca oferecer uma compreensão teológica da história. Os primeiros seis capítulos falam sobre Daniel e seus companheiros, não apenas para satisfazer a curiosidade histórica, mas para ensinar o leitor. A teologia do Antigo Testamento insistia que o Deus de Israel participava da vida e da história humanas. Ler a história bíblica, portanto, é descobrir a participação de Deus nos assuntos humanos e aprender como Deus e os seres humanos se relacionam entre si. Nos capítulos iniciais de Daniel, lê-se sobre eventos na vida de um homem de fé notável, o tipo de história da qual se pode aprender como viver.</w:t>
      </w:r>
    </w:p>
    <w:p>
      <w:r/>
      <w:r>
        <w:t xml:space="preserve">Os últimos seis capítulos concentram-se nos sonhos de Daniel. Embora nem os sonhos nem as interpretações sejam fáceis de entender, é possível ver o tema da história emergindo novamente. A ênfase nos capítulos </w:t>
      </w:r>
      <w:hyperlink r:id="rId2172">
        <w:r>
          <w:rPr>
            <w:color w:val="0000EE"/>
            <w:u w:val="single"/>
          </w:rPr>
          <w:t>7–12</w:t>
        </w:r>
      </w:hyperlink>
      <w:r>
        <w:t xml:space="preserve"> não está na história como um registro de eventos passados, mas no significado da história e no futuro do mundo. Na perspectiva bíblica, os movimentos das sociedades humanas no presente e no futuro são tão importantes quanto a história passada. Embora as visões de Daniel sejam dominadas por nações e superpotências, elas têm um tema mais básico: o poder de Deus sobre os seres humanos e as nações. A história muitas vezes parece ser um conglomerado de caos e conflito humano. No entanto, Deus controla a história em última instância e a move em direção a um objetivo. Apesar dos detalhes ambíguos no final do livro, Daniel oferece esperança para as pessoas que vivem em um tempo de crise. Mesmo que o que é dito sobre o “tempo do fim” não possa ser entendido agora (</w:t>
      </w:r>
      <w:hyperlink r:id="rId6534">
        <w:r>
          <w:rPr>
            <w:color w:val="0000EE"/>
            <w:u w:val="single"/>
          </w:rPr>
          <w:t>Dn 12.9</w:t>
        </w:r>
      </w:hyperlink>
      <w:r>
        <w:t xml:space="preserve">), o fim da história está cheio de esperança para aqueles que têm fé em Deus (v. </w:t>
      </w:r>
      <w:hyperlink r:id="rId6535">
        <w:r>
          <w:rPr>
            <w:color w:val="0000EE"/>
            <w:u w:val="single"/>
          </w:rPr>
          <w:t>13</w:t>
        </w:r>
      </w:hyperlink>
      <w:r>
        <w:t>). O propósito do livro de Daniel, portanto, tem a ver com o significado da história, tanto o que pode ser aprendido do passado quanto o que pode ser esperado no presente e no futuro.</w:t>
      </w:r>
    </w:p>
    <w:p>
      <w:r/>
      <w:r>
        <w:t>O livro também apresenta declarações teológicas específicas sobre questões como a fé humana, a salvação divina e a natureza da revelação. Uma questão teológica em Daniel que merece atenção especial é a doutrina da ressurreição.</w:t>
      </w:r>
    </w:p>
    <w:p>
      <w:r/>
      <w:r>
        <w:t>A clara doutrina da ressurreição seguida de julgamento no NT não é um tema central no AT. Na maior parte, a fé dos hebreus estava fixada nas realidades da vida terrena. A esperança de vida além do túmulo é sugerida em muitos textos, mas permanece implícita. Somente nos escritos posteriores do AT, especialmente os de Ezequiel e Daniel, é que uma doutrina mais explícita de ressurreição se desenvolve.</w:t>
      </w:r>
    </w:p>
    <w:p>
      <w:r/>
      <w:r>
        <w:t xml:space="preserve">O ponto focal dessa doutrina no livro de Daniel é </w:t>
      </w:r>
      <w:hyperlink r:id="rId913">
        <w:r>
          <w:rPr>
            <w:color w:val="0000EE"/>
            <w:u w:val="single"/>
          </w:rPr>
          <w:t>12.2</w:t>
        </w:r>
      </w:hyperlink>
      <w:r>
        <w:t>: “Muitos dos que já tiveram morrido viverão de novo: uns terão a vida eterna, e outros sofrerão o castigo eterno e a desgraça eterna” (NTLH). A doutrina da ressurreição pessoal fornece uma base para a esperança individual dentro de uma compreensão da história presente e futura. Nações se movem contra nações em aparente turbulência. Acredita-se que Deus está no controle final, mas o que acontece com todas as pessoas que morrem enquanto a história ainda está em movimento? Os mortos ressuscitarão, diz Daniel, e em seus corpos ressuscitados serão julgados de acordo com suas ações. Alguns serão recompensados com a vida eterna, mas outros serão condenados à vergonha.</w:t>
      </w:r>
    </w:p>
    <w:p>
      <w:r/>
      <w:r>
        <w:t>Aos leitores do livro de Daniel, a doutrina da ressurreição proporcionava esperança em um mundo que, de outra forma, seria sombrio e sem esperança. Era um lembrete de que as ações na vida terrena são importantes, pois formam a base do julgamento futuro. O mundo tem um horizonte maior de vida além da morte do corpo. Em última análise, haverá justiça, mesmo que raramente se veja justiça na existência presente. Os malfeitores podem viver sem nunca serem punidos. No entanto, além da morte do corpo, há um julgamento final caracterizado pela justiça de Deus.</w:t>
      </w:r>
    </w:p>
    <w:p>
      <w:r/>
      <w:r>
        <w:t xml:space="preserve">Então, o livro de Daniel trata de história e esperança. A vida deve ser vivida agora; para isso, o livro oferece nos primeiros seis capítulos a visão da experiência de Daniel. A vida é vivida no contexto de guerra e caos internacional; para isso, os capítulos </w:t>
      </w:r>
      <w:hyperlink r:id="rId2172">
        <w:r>
          <w:rPr>
            <w:color w:val="0000EE"/>
            <w:u w:val="single"/>
          </w:rPr>
          <w:t>7–12</w:t>
        </w:r>
      </w:hyperlink>
      <w:r>
        <w:t xml:space="preserve"> retratam a soberania de Deus e seus propósitos na história. A vida individual caminha em direção à morte; para isso, o autor fala de ressurreição e julgamento.</w:t>
      </w:r>
    </w:p>
    <w:p>
      <w:pPr>
        <w:pStyle w:val="Heading3"/>
      </w:pPr>
      <w:r>
        <w:t>Conteúdo: Histórias sobre Daniel (</w:t>
      </w:r>
      <w:hyperlink r:id="rId6526">
        <w:r>
          <w:rPr>
            <w:color w:val="0000EE"/>
            <w:u w:val="single"/>
          </w:rPr>
          <w:t>1–6</w:t>
        </w:r>
      </w:hyperlink>
      <w:r>
        <w:t>)</w:t>
      </w:r>
    </w:p>
    <w:p>
      <w:pPr>
        <w:pStyle w:val="Heading4"/>
      </w:pPr>
      <w:r>
        <w:t>Daniel e seus companheiros (</w:t>
      </w:r>
      <w:hyperlink r:id="rId6517">
        <w:r>
          <w:rPr>
            <w:color w:val="0000EE"/>
            <w:u w:val="single"/>
          </w:rPr>
          <w:t>1.1–21</w:t>
        </w:r>
      </w:hyperlink>
      <w:r>
        <w:t xml:space="preserve">) </w:t>
      </w:r>
    </w:p>
    <w:p>
      <w:r/>
      <w:r>
        <w:t>Daniel e seus companheiros — Hananias, Misael e Azarias — foram exilados para a Babilônia cerca de 19 anos antes do principal exílio, após a destruição de Jerusalém. Os quatro jovens saudáveis, escolhidos entre muitos exilados judeus, foram designados pelo comando do Rei Nabucodonosor para um programa especial de treinamento de três anos, com o objetivo de torná-los auxiliares da corte.</w:t>
      </w:r>
    </w:p>
    <w:p>
      <w:r/>
      <w:r>
        <w:t xml:space="preserve">Assim que os quatro jovens judeus entraram na alta sociedade da Babilônia, enfrentaram um problema alimentar. O rei lhes ofereceu a melhor comida e vinho das cozinhas reais, mas a dieta de um judeu era restrita pelas leis de Deus (veja </w:t>
      </w:r>
      <w:hyperlink r:id="rId6536">
        <w:r>
          <w:rPr>
            <w:color w:val="0000EE"/>
            <w:u w:val="single"/>
          </w:rPr>
          <w:t>Dt 14</w:t>
        </w:r>
      </w:hyperlink>
      <w:r>
        <w:t>). Os quatro pediram uma dieta de vegetais e água, não por serem exigentes ou ingratos, mas para permanecerem fiéis ao seu Deus. A história relata como a situação alimentar foi resolvida e os acompanha durante a educação deles e a nomeação de Daniel como conselheiro real.</w:t>
      </w:r>
    </w:p>
    <w:p>
      <w:r/>
      <w:r>
        <w:t>O primeiro episódio, portanto, foca em uma questão chave enfrentada por todos os exilados judeus: Como alguém poderia viver em uma terra estrangeira, com comida e costumes diferentes, e ainda assim permanecer fiel a Deus e suas leis? Daniel forneceu um modelo. Ele foi corajoso o suficiente para não se comprometer, mas sábio o suficiente para buscar uma solução aceitável para todos. Sua fidelidade foi recompensada por Deus. Ao final do episódio, Daniel é visto como uma pessoa com sabedoria especial e dons de Deus. O restante de sua vida foi marcado pelo exercício desses dons.</w:t>
      </w:r>
    </w:p>
    <w:p>
      <w:pPr>
        <w:pStyle w:val="Heading4"/>
      </w:pPr>
      <w:r>
        <w:t>O sonho de Nabucodonosor (</w:t>
      </w:r>
      <w:hyperlink r:id="rId6537">
        <w:r>
          <w:rPr>
            <w:color w:val="0000EE"/>
            <w:u w:val="single"/>
          </w:rPr>
          <w:t>2.1–49</w:t>
        </w:r>
      </w:hyperlink>
      <w:r>
        <w:t>)</w:t>
      </w:r>
    </w:p>
    <w:p>
      <w:r/>
      <w:r>
        <w:t>O rei teve um sonho e, embora não conseguisse lembrar seu conteúdo, isso o preocupava. Quando seu grupo de intérpretes profissionais não pôde ajudá-lo, ele ordenou que fossem executados. A ordem do rei incluía Daniel e seus companheiros, cujo treinamento os qualificava como intérpretes. Daniel conseguiu uma suspensão da execução ao se oferecer para interpretar o sonho. Após orar, Daniel recebeu de Deus tanto o conteúdo do sonho quanto sua interpretação, que ele transmitiu ao rei. O grato Nabucodonosor promoveu Daniel e seus companheiros a posições importantes na Babilônia.</w:t>
      </w:r>
    </w:p>
    <w:p>
      <w:r/>
      <w:r>
        <w:t>Embora o escritor tenha registrado tanto o sonho do rei quanto a interpretação de Daniel, o problema para um leitor moderno é como interpretar essa interpretação. O rei viu em seu sonho uma estátua, com cabeça de ouro, peito e braços de prata, ventre e coxas de bronze, pernas de ferro e pés de parte ferro e parte barro. A interpretação identificou Nabucodonosor como a cabeça de ouro. Seu reino seria seguido por outros três reinos, cada um representado pelas partes e substâncias da estátua. Nesse ponto, as interpretações modernas começam a divergir.</w:t>
      </w:r>
    </w:p>
    <w:p>
      <w:r/>
      <w:r>
        <w:t>Uma interpretação comum dos quatro reinos sequenciais é a seguinte: Império Caldeu (ouro), Império Medo-Persa (prata), Grécia (bronze), Roma (ferro e barro). Outros sugerem uma interpretação alternativa: Império Caldeu (ouro), Média (prata), Pérsia (bronze), Grécia (ferro e barro). Focar excessivamente na identificação dos quatro reinos pode resultar em não perceber a característica chave do capítulo. No meio desses reinos humanos, "No tempo desses reis, o Deus do céu fará aparecer um reino que nunca será destruído, nem será conquistado por outro reino. Pelo contrário, esse reino acabará com todos os outros e durará para sempre" (</w:t>
      </w:r>
      <w:hyperlink r:id="rId6538">
        <w:r>
          <w:rPr>
            <w:color w:val="0000EE"/>
            <w:u w:val="single"/>
          </w:rPr>
          <w:t>2.44</w:t>
        </w:r>
      </w:hyperlink>
      <w:r>
        <w:t>, NTLH). O sonho do rei babilônico antecipou a vinda de um reino maior, o de Jesus Cristo.</w:t>
      </w:r>
    </w:p>
    <w:p>
      <w:pPr>
        <w:pStyle w:val="Heading4"/>
      </w:pPr>
      <w:r>
        <w:t>A fornalha ardente (</w:t>
      </w:r>
      <w:hyperlink r:id="rId6539">
        <w:r>
          <w:rPr>
            <w:color w:val="0000EE"/>
            <w:u w:val="single"/>
          </w:rPr>
          <w:t>3.1–30</w:t>
        </w:r>
      </w:hyperlink>
      <w:r>
        <w:t>)</w:t>
      </w:r>
    </w:p>
    <w:p>
      <w:r/>
      <w:r>
        <w:t>A história continua, focando nos três amigos de Daniel e usando seus nomes babilônicos — Sadraque, Mesaque e Abede-Nego. O rei Nabucodonosor construiu uma enorme estátua de ouro, com 27,4 metros de altura. Na cerimônia de dedicação, todos foram obrigados a se curvar e adorar quando uma banda começou a tocar. Os três jovens hebreus, que se recusaram a adorar, foram convocados perante o rei. Sua contínua e firme recusa levou a uma sentença de execução, e eles foram lançados em uma fornalha ardente. Notavelmente, eles não se queimaram, e um quarto ser apareceu com eles na fornalha. Ao saírem ilesos da provação, o rei reconheceu o poder de salvação de Deus e os recompensou.</w:t>
      </w:r>
    </w:p>
    <w:p>
      <w:r/>
      <w:r>
        <w:t>A história ilustra um dilema dos judeus no exílio. A fidelidade ao primeiro mandamento de Deus, “Não adore outros deuses; adore somente a mim” (</w:t>
      </w:r>
      <w:hyperlink r:id="rId6540">
        <w:r>
          <w:rPr>
            <w:color w:val="0000EE"/>
            <w:u w:val="single"/>
          </w:rPr>
          <w:t>Dt 5.7</w:t>
        </w:r>
      </w:hyperlink>
      <w:r>
        <w:t>), poderia levar à morte. Os três jovens foram fiéis — não por confiança de que Deus os resgataria, mas independentemente de Ele escolher ou não poupar suas vidas (</w:t>
      </w:r>
      <w:hyperlink r:id="rId6541">
        <w:r>
          <w:rPr>
            <w:color w:val="0000EE"/>
            <w:u w:val="single"/>
          </w:rPr>
          <w:t>Dn 3.17–18</w:t>
        </w:r>
      </w:hyperlink>
      <w:r>
        <w:t>). Como aconteceu, Deus os livrou; eles foram lançados na fornalha amarrados, mas saíram homens livres. A mensagem era profunda: certamente os judeus deveriam acreditar em um Deus capaz de livrar das chamas da perseguição, mas deveriam acreditar e manter-se firmes mesmo que nenhum livramento pudesse ser visto além da provação.</w:t>
      </w:r>
    </w:p>
    <w:p>
      <w:pPr>
        <w:pStyle w:val="Heading4"/>
      </w:pPr>
      <w:r>
        <w:t>O segundo sonho e a loucura de Nabucodonosor (</w:t>
      </w:r>
      <w:hyperlink r:id="rId6542">
        <w:r>
          <w:rPr>
            <w:color w:val="0000EE"/>
            <w:u w:val="single"/>
          </w:rPr>
          <w:t>4.1–37</w:t>
        </w:r>
      </w:hyperlink>
      <w:r>
        <w:t>)</w:t>
      </w:r>
    </w:p>
    <w:p>
      <w:r/>
      <w:r>
        <w:t>Em duas ocasiões, Nabucodonosor havia confessado fé no Deus vivo: quando Daniel interpretou seu sonho da estátua (</w:t>
      </w:r>
      <w:hyperlink r:id="rId6543">
        <w:r>
          <w:rPr>
            <w:color w:val="0000EE"/>
            <w:u w:val="single"/>
          </w:rPr>
          <w:t>2.47</w:t>
        </w:r>
      </w:hyperlink>
      <w:r>
        <w:t>) e na libertação dos três companheiros de Daniel da fornalha (</w:t>
      </w:r>
      <w:hyperlink r:id="rId1917">
        <w:r>
          <w:rPr>
            <w:color w:val="0000EE"/>
            <w:u w:val="single"/>
          </w:rPr>
          <w:t>3.28</w:t>
        </w:r>
      </w:hyperlink>
      <w:r>
        <w:t xml:space="preserve">). No entanto, a fé do rei era superficial. A história no capítulo </w:t>
      </w:r>
      <w:hyperlink r:id="rId6542">
        <w:r>
          <w:rPr>
            <w:color w:val="0000EE"/>
            <w:u w:val="single"/>
          </w:rPr>
          <w:t>4</w:t>
        </w:r>
      </w:hyperlink>
      <w:r>
        <w:t xml:space="preserve"> relata uma queda de fé que trouxe consequências terríveis. Após oito anos, quando essas consequências haviam seguido seu curso, o rei novamente reconheceu Deus (</w:t>
      </w:r>
      <w:hyperlink r:id="rId6544">
        <w:r>
          <w:rPr>
            <w:color w:val="0000EE"/>
            <w:u w:val="single"/>
          </w:rPr>
          <w:t>4.37</w:t>
        </w:r>
      </w:hyperlink>
      <w:r>
        <w:t>).</w:t>
      </w:r>
    </w:p>
    <w:p>
      <w:r/>
      <w:r>
        <w:t>Toda a história é apresentada na forma de uma proclamação, escrita por Nabucodonosor e amplamente divulgada após os eventos terem ocorrido. O rei sonhou com uma árvore alta crescendo em um campo, atingindo alturas cada vez maiores. Um mensageiro divino ordenou que a árvore fosse cortada, restando apenas um toco e raízes no chão. O toco e as raízes então tomaram a forma de um homem, mas a mente do homem foi substituída pela de um animal. Por sete anos, aquela criatura semihumana comportou-se como uma fera.</w:t>
      </w:r>
    </w:p>
    <w:p>
      <w:r/>
      <w:r>
        <w:t>Daniel explicou ao rei como o sonho se aplicava a ele. Nabucodonosor era a grande árvore que seria cortada; ele se comportaria como uma fera no campo por sete anos. Um ano após o rei ter sido informado dessa interpretação, o julgamento ocorreu. Durante sete anos, ele se comportou como um animal até que sua sanidade retornou.</w:t>
      </w:r>
    </w:p>
    <w:p>
      <w:r/>
      <w:r>
        <w:t>A moral da história do rei é que sua loucura não foi um acidente, mas sim um julgamento divino. Sua crença arrogante de que tinha o poder de Deus levou a uma pesada retribuição (</w:t>
      </w:r>
      <w:hyperlink r:id="rId6545">
        <w:r>
          <w:rPr>
            <w:color w:val="0000EE"/>
            <w:u w:val="single"/>
          </w:rPr>
          <w:t>4.30</w:t>
        </w:r>
      </w:hyperlink>
      <w:r>
        <w:t>). O rei provavelmente foi acometido por uma forma rara e peculiar de doença mental hoje chamada "boantropia". O verdadeiro significado da história está em um nível mais profundo: pensar que se é Deus, tendo poder absoluto e controle sobre a própria vida, é loucura. Esse tipo de loucura só pode ser curado e superado com a realização de que o poder e a autoridade absolutos pertencem somente a Deus.</w:t>
      </w:r>
    </w:p>
    <w:p>
      <w:pPr>
        <w:pStyle w:val="Heading4"/>
      </w:pPr>
      <w:r>
        <w:t>O banquete de Belsazar (</w:t>
      </w:r>
      <w:hyperlink r:id="rId4038">
        <w:r>
          <w:rPr>
            <w:color w:val="0000EE"/>
            <w:u w:val="single"/>
          </w:rPr>
          <w:t>5.1–31</w:t>
        </w:r>
      </w:hyperlink>
      <w:r>
        <w:t>)</w:t>
      </w:r>
    </w:p>
    <w:p>
      <w:r/>
      <w:r>
        <w:t xml:space="preserve">A cena muda para o reinado de um rei posterior em Babilônia, Belsazar. Filho de Nabonido, ele provavelmente foi corregente com Nabonido (555?-539 a.C.), com autoridade especial na região de Babilônia. O tema de sua história é semelhante ao do capítulo </w:t>
      </w:r>
      <w:hyperlink r:id="rId6542">
        <w:r>
          <w:rPr>
            <w:color w:val="0000EE"/>
            <w:u w:val="single"/>
          </w:rPr>
          <w:t>4</w:t>
        </w:r>
      </w:hyperlink>
      <w:r>
        <w:t>. Durante um grande banquete, Belsazar pediu os vasos sagrados capturados do Templo em Jerusalém. Com esses vasos sagrados, os babilônios brindaram aos deuses locais, um ato sacrílego que atraiu o julgamento divino. Esse julgamento veio na forma de palavras escritas na parede por uma mão, que Daniel interpretou para o rei como palavras de condenação (</w:t>
      </w:r>
      <w:hyperlink r:id="rId6546">
        <w:r>
          <w:rPr>
            <w:color w:val="0000EE"/>
            <w:u w:val="single"/>
          </w:rPr>
          <w:t>5.26–28</w:t>
        </w:r>
      </w:hyperlink>
      <w:r>
        <w:t xml:space="preserve">). Embora tenha elogiado Daniel pela interpretação, o rei não compreendeu o verdadeiro significado das palavras nem a lição ensinada a Nabucodonosor, seu predecessor (vv. </w:t>
      </w:r>
      <w:hyperlink r:id="rId6547">
        <w:r>
          <w:rPr>
            <w:color w:val="0000EE"/>
            <w:u w:val="single"/>
          </w:rPr>
          <w:t>18–22</w:t>
        </w:r>
      </w:hyperlink>
      <w:r>
        <w:t>). Belsazar foi morto naquela mesma noite quando Dario, o Medo, entrou na cidade e a capturou. O tema continua implacavelmente: o orgulho e a arrogância humanos não passam despercebidos pelo Deus da história, que controla e direciona os eventos humanos para o cumprimento de seu propósito.</w:t>
      </w:r>
    </w:p>
    <w:p>
      <w:pPr>
        <w:pStyle w:val="Heading4"/>
      </w:pPr>
      <w:r>
        <w:t>A cova dos leões (</w:t>
      </w:r>
      <w:hyperlink r:id="rId6548">
        <w:r>
          <w:rPr>
            <w:color w:val="0000EE"/>
            <w:u w:val="single"/>
          </w:rPr>
          <w:t>6.1–28</w:t>
        </w:r>
      </w:hyperlink>
      <w:r>
        <w:t>)</w:t>
      </w:r>
    </w:p>
    <w:p>
      <w:r/>
      <w:r>
        <w:t xml:space="preserve">O tema do capítulo </w:t>
      </w:r>
      <w:hyperlink r:id="rId6548">
        <w:r>
          <w:rPr>
            <w:color w:val="0000EE"/>
            <w:u w:val="single"/>
          </w:rPr>
          <w:t>6</w:t>
        </w:r>
      </w:hyperlink>
      <w:r>
        <w:t xml:space="preserve"> é semelhante ao do capítulo </w:t>
      </w:r>
      <w:hyperlink r:id="rId6539">
        <w:r>
          <w:rPr>
            <w:color w:val="0000EE"/>
            <w:u w:val="single"/>
          </w:rPr>
          <w:t>3</w:t>
        </w:r>
      </w:hyperlink>
      <w:r>
        <w:t>, mas com Daniel como a figura central da história. Ele é retratado como alguém que não está disposto a se comprometer, totalmente obediente a Dario enquanto isso fosse possível, mas relutante em desobedecer à lei de Deus. Assim, Daniel desobedeceu conscientemente a um decreto real que proibia a oração a qualquer um que não fosse o próprio rei. Embora estivesse ciente das consequências, Daniel permaneceu fiel a Deus. O resultado imediato, quando seus inimigos o denunciaram, foi uma ordem de execução — Daniel foi jogado aos leões. Ele foi salvo dos leões famintos, e o rei, aliviado de uma terrível situação, puniu os conspiradores.</w:t>
      </w:r>
    </w:p>
    <w:p>
      <w:r/>
      <w:r>
        <w:t>Uma mensagem dupla emerge da história. Por um lado, o servo de Deus deve ser fiel na oração e adoração, independentemente do resultado; Deus liberta, e nesse caso libertou Daniel do desastre. Por outro lado, o efeito da fidelidade de Daniel foi que o rei, que havia ordenado que seus súditos o adorassem, aprendeu sobre a verdadeira adoração (</w:t>
      </w:r>
      <w:hyperlink r:id="rId6549">
        <w:r>
          <w:rPr>
            <w:color w:val="0000EE"/>
            <w:u w:val="single"/>
          </w:rPr>
          <w:t>6.25–27</w:t>
        </w:r>
      </w:hyperlink>
      <w:r>
        <w:t>). Os efeitos da fidelidade, como ondulações de uma pedra lançada em uma piscina, se espalham muito além daquele que é fiel.</w:t>
      </w:r>
    </w:p>
    <w:p>
      <w:pPr>
        <w:pStyle w:val="Heading3"/>
      </w:pPr>
      <w:r>
        <w:t>Conteúdo: Visões de Daniel (</w:t>
      </w:r>
      <w:hyperlink r:id="rId2172">
        <w:r>
          <w:rPr>
            <w:color w:val="0000EE"/>
            <w:u w:val="single"/>
          </w:rPr>
          <w:t>7–12</w:t>
        </w:r>
      </w:hyperlink>
      <w:r>
        <w:t>)</w:t>
      </w:r>
    </w:p>
    <w:p>
      <w:r/>
      <w:r>
        <w:t xml:space="preserve">Com o início do capítulo </w:t>
      </w:r>
      <w:hyperlink r:id="rId3470">
        <w:r>
          <w:rPr>
            <w:color w:val="0000EE"/>
            <w:u w:val="single"/>
          </w:rPr>
          <w:t>7</w:t>
        </w:r>
      </w:hyperlink>
      <w:r>
        <w:t>, a sequência cronológica do livro de Daniel muda; a primeira visão de Daniel remonta ao primeiro ano de Belsazar (</w:t>
      </w:r>
      <w:hyperlink r:id="rId6550">
        <w:r>
          <w:rPr>
            <w:color w:val="0000EE"/>
            <w:u w:val="single"/>
          </w:rPr>
          <w:t>7.1</w:t>
        </w:r>
      </w:hyperlink>
      <w:r>
        <w:t>), mas visões subsequentes ocorrem até o reinado de Ciro, o rei persa (</w:t>
      </w:r>
      <w:hyperlink r:id="rId6551">
        <w:r>
          <w:rPr>
            <w:color w:val="0000EE"/>
            <w:u w:val="single"/>
          </w:rPr>
          <w:t>10.1</w:t>
        </w:r>
      </w:hyperlink>
      <w:r>
        <w:t xml:space="preserve">). Os capítulos </w:t>
      </w:r>
      <w:hyperlink r:id="rId2172">
        <w:r>
          <w:rPr>
            <w:color w:val="0000EE"/>
            <w:u w:val="single"/>
          </w:rPr>
          <w:t>7–12</w:t>
        </w:r>
      </w:hyperlink>
      <w:r>
        <w:t xml:space="preserve"> enfatizam o significado da história e a soberania de Deus na história, expressos no simbolismo misterioso dos sonhos. Toda a seção pode ser dividida da seguinte forma: (1) visão dos quatro animais (</w:t>
      </w:r>
      <w:hyperlink r:id="rId3470">
        <w:r>
          <w:rPr>
            <w:color w:val="0000EE"/>
            <w:u w:val="single"/>
          </w:rPr>
          <w:t>7.1–28</w:t>
        </w:r>
      </w:hyperlink>
      <w:r>
        <w:t>); (2) visão do carneiro e do bode (</w:t>
      </w:r>
      <w:hyperlink r:id="rId6552">
        <w:r>
          <w:rPr>
            <w:color w:val="0000EE"/>
            <w:u w:val="single"/>
          </w:rPr>
          <w:t>8.1–27</w:t>
        </w:r>
      </w:hyperlink>
      <w:r>
        <w:t>); (3) oração de Daniel (</w:t>
      </w:r>
      <w:hyperlink r:id="rId6553">
        <w:r>
          <w:rPr>
            <w:color w:val="0000EE"/>
            <w:u w:val="single"/>
          </w:rPr>
          <w:t>9.1–27</w:t>
        </w:r>
      </w:hyperlink>
      <w:r>
        <w:t>); (4) visão dos tempos finais (</w:t>
      </w:r>
      <w:hyperlink r:id="rId6554">
        <w:r>
          <w:rPr>
            <w:color w:val="0000EE"/>
            <w:u w:val="single"/>
          </w:rPr>
          <w:t>10.1–12.13</w:t>
        </w:r>
      </w:hyperlink>
      <w:r>
        <w:t>).</w:t>
      </w:r>
    </w:p>
    <w:p>
      <w:r/>
      <w:r>
        <w:t xml:space="preserve">A primeira visão retoma o tema dos quatro reinos, já visto no sonho de Nabucodonosor (cap. </w:t>
      </w:r>
      <w:hyperlink r:id="rId6537">
        <w:r>
          <w:rPr>
            <w:color w:val="0000EE"/>
            <w:u w:val="single"/>
          </w:rPr>
          <w:t>2</w:t>
        </w:r>
      </w:hyperlink>
      <w:r>
        <w:t>). Na segunda visão, o foco é reduzido a dois reinos, Pérsia e Grécia. Grande parte da visão final dos tempos do fim trata de eventos ocorridos durante o reinado de Antíoco Epifânio no segundo século a.C. Todas as visões giram em torno do mesmo tema. Embora os reinos humanos possam exercer seu poder em um mundo caótico, o soberano Deus age através do aparente caos da história em direção a um objetivo final de salvação.</w:t>
      </w:r>
    </w:p>
    <w:p>
      <w:r/>
      <w:r>
        <w:t xml:space="preserve">A interpretação primária das visões pode ser percebida em eventos históricos passados, mas uma dimensão messiânica adicional pode ser vista à luz do NT. Essa dimensão é mais evidente no capítulo </w:t>
      </w:r>
      <w:hyperlink r:id="rId3470">
        <w:r>
          <w:rPr>
            <w:color w:val="0000EE"/>
            <w:u w:val="single"/>
          </w:rPr>
          <w:t>7</w:t>
        </w:r>
      </w:hyperlink>
      <w:r>
        <w:t>. No contexto dos quatro reinos, um tribunal divino de julgamento é estabelecido, presidido pelo “aquele que sempre existiu” (NTLH) — o Deus todo-poderoso (</w:t>
      </w:r>
      <w:hyperlink r:id="rId1844">
        <w:r>
          <w:rPr>
            <w:color w:val="0000EE"/>
            <w:u w:val="single"/>
          </w:rPr>
          <w:t>7.9</w:t>
        </w:r>
      </w:hyperlink>
      <w:r>
        <w:t>). Então Daniel vê a chegada de “um como o filho do homem” (</w:t>
      </w:r>
      <w:hyperlink r:id="rId6555">
        <w:r>
          <w:rPr>
            <w:color w:val="0000EE"/>
            <w:u w:val="single"/>
          </w:rPr>
          <w:t>7.13</w:t>
        </w:r>
      </w:hyperlink>
      <w:r>
        <w:t xml:space="preserve">, ARC). Embora a frase “filho do homem” tenha sido posteriormente percebida como um título messiânico, tecnicamente não tinha esse significado no livro de Daniel. </w:t>
      </w:r>
      <w:hyperlink r:id="rId6555">
        <w:r>
          <w:rPr>
            <w:color w:val="0000EE"/>
            <w:u w:val="single"/>
          </w:rPr>
          <w:t>Daniel 7.13</w:t>
        </w:r>
      </w:hyperlink>
      <w:r>
        <w:t xml:space="preserve"> é uma fonte principal para o título “Filho do Homem”, que Jesus comumente usava para se designar. Seu uso mais significativo desse termo foi em seu julgamento, onde ele associou diretamente seu título com </w:t>
      </w:r>
      <w:hyperlink r:id="rId3470">
        <w:r>
          <w:rPr>
            <w:color w:val="0000EE"/>
            <w:u w:val="single"/>
          </w:rPr>
          <w:t>Daniel 7</w:t>
        </w:r>
      </w:hyperlink>
      <w:r>
        <w:t xml:space="preserve"> (</w:t>
      </w:r>
      <w:hyperlink r:id="rId6118">
        <w:r>
          <w:rPr>
            <w:color w:val="0000EE"/>
            <w:u w:val="single"/>
          </w:rPr>
          <w:t>Mt 26.63–64</w:t>
        </w:r>
      </w:hyperlink>
      <w:r>
        <w:t>).</w:t>
      </w:r>
    </w:p>
    <w:p>
      <w:r/>
      <w:r>
        <w:rPr>
          <w:i/>
        </w:rPr>
        <w:t>Veja também</w:t>
      </w:r>
      <w:r>
        <w:t xml:space="preserve"> </w:t>
      </w:r>
      <w:r>
        <w:t>Daniel (Pessoa) #3</w:t>
      </w:r>
      <w:r>
        <w:t xml:space="preserve">; </w:t>
      </w:r>
      <w:r>
        <w:t>Diáspora dos judeus</w:t>
      </w:r>
      <w:r>
        <w:t xml:space="preserve">; </w:t>
      </w:r>
      <w:r>
        <w:t>História de Israel</w:t>
      </w:r>
      <w:r>
        <w:t xml:space="preserve">; </w:t>
      </w:r>
      <w:r>
        <w:t>Profecia</w:t>
      </w:r>
      <w:r>
        <w:t xml:space="preserve">; </w:t>
      </w:r>
      <w:r>
        <w:t>Profeta, profetisa</w:t>
      </w:r>
      <w:r>
        <w:t>.</w:t>
      </w:r>
      <w:r/>
      <w:r/>
    </w:p>
    <w:p>
      <w:r/>
    </w:p>
    <w:p>
      <w:pPr>
        <w:pStyle w:val="Heading2"/>
      </w:pPr>
      <w:r>
        <w:t>Datã</w:t>
      </w:r>
      <w:r/>
    </w:p>
    <w:p>
      <w:r/>
      <w:r>
        <w:t>Um filho de Eliabe e irmão de Abirão da tribo de Rúben. Ele foi um dos líderes de Israel. Juntamente com Corá, Datã se rebelou contra Moisés. Isso aconteceu durante as peregrinações de Israel no deserto (</w:t>
      </w:r>
      <w:hyperlink r:id="rId6556">
        <w:r>
          <w:rPr>
            <w:color w:val="0000EE"/>
            <w:u w:val="single"/>
          </w:rPr>
          <w:t>Nm 16.1–27</w:t>
        </w:r>
      </w:hyperlink>
      <w:r>
        <w:t xml:space="preserve">; </w:t>
      </w:r>
      <w:hyperlink r:id="rId6557">
        <w:r>
          <w:rPr>
            <w:color w:val="0000EE"/>
            <w:u w:val="single"/>
          </w:rPr>
          <w:t>26.9</w:t>
        </w:r>
      </w:hyperlink>
      <w:r>
        <w:t xml:space="preserve">; </w:t>
      </w:r>
      <w:hyperlink r:id="rId6558">
        <w:r>
          <w:rPr>
            <w:color w:val="0000EE"/>
            <w:u w:val="single"/>
          </w:rPr>
          <w:t>Sl 106.17</w:t>
        </w:r>
      </w:hyperlink>
      <w:r>
        <w:t>).</w:t>
      </w:r>
      <w:r/>
      <w:r/>
    </w:p>
    <w:p>
      <w:r/>
    </w:p>
    <w:p>
      <w:pPr>
        <w:pStyle w:val="Heading2"/>
      </w:pPr>
      <w:r>
        <w:t>Davi</w:t>
      </w:r>
      <w:r/>
    </w:p>
    <w:p>
      <w:r/>
      <w:r>
        <w:t>O rei mais importante de Israel. O reino de Davi representou o epítome do poder e influência de Israel durante a história do AT.</w:t>
      </w:r>
    </w:p>
    <w:p>
      <w:r/>
      <w:r>
        <w:t xml:space="preserve">Os dois livros no AT dedicados ao reinado de Davi são 2 Samuel e 1 Crônicas. Seus primeiro anos são registrados em 1 Samuel, começando no cap. </w:t>
      </w:r>
      <w:hyperlink r:id="rId6559">
        <w:r>
          <w:rPr>
            <w:color w:val="0000EE"/>
            <w:u w:val="single"/>
          </w:rPr>
          <w:t>16</w:t>
        </w:r>
      </w:hyperlink>
      <w:r>
        <w:t>. Quase metade dos salmos bíblicos são atribuídos a Davi. Sua importância se estende até o NT, onde ele é identificado como um antepassado de Jesus Cristo e antecessor do rei messiânico.</w:t>
      </w:r>
    </w:p>
    <w:p>
      <w:r/>
      <w:r>
        <w:t>Resumo</w:t>
      </w:r>
    </w:p>
    <w:p>
      <w:pPr>
        <w:pStyle w:val="ListBullet"/>
        <w:spacing w:line="240" w:lineRule="auto"/>
        <w:ind w:left="720"/>
      </w:pPr>
      <w:r/>
      <w:r>
        <w:t>Primeiros Anos</w:t>
      </w:r>
    </w:p>
    <w:p>
      <w:pPr>
        <w:pStyle w:val="ListBullet"/>
        <w:spacing w:line="240" w:lineRule="auto"/>
        <w:ind w:left="720"/>
      </w:pPr>
      <w:r/>
      <w:r>
        <w:t>Preparação para o Reinado</w:t>
      </w:r>
    </w:p>
    <w:p>
      <w:pPr>
        <w:pStyle w:val="ListBullet"/>
        <w:spacing w:line="240" w:lineRule="auto"/>
        <w:ind w:left="720"/>
      </w:pPr>
      <w:r/>
      <w:r>
        <w:t>Davi como Rei</w:t>
      </w:r>
    </w:p>
    <w:p>
      <w:pPr>
        <w:pStyle w:val="ListBullet"/>
        <w:spacing w:line="240" w:lineRule="auto"/>
        <w:ind w:left="720"/>
      </w:pPr>
      <w:r/>
      <w:r>
        <w:t>O legado duradouro de Davi</w:t>
      </w:r>
    </w:p>
    <w:p>
      <w:pPr>
        <w:pStyle w:val="Heading3"/>
      </w:pPr>
      <w:r>
        <w:t>Primeiros anos</w:t>
      </w:r>
    </w:p>
    <w:p>
      <w:pPr>
        <w:pStyle w:val="Heading4"/>
      </w:pPr>
      <w:r>
        <w:t>Família</w:t>
      </w:r>
    </w:p>
    <w:p>
      <w:r/>
      <w:r>
        <w:t>Davi era o filho mais novo na família de Jessé, parte da tribo de Judá. A família vivia em Belém, cerca de 10 quilômetros ao sul de Jerusalém. Sua bisavó era Rute, da terra de Moabe (</w:t>
      </w:r>
      <w:hyperlink r:id="rId1092">
        <w:r>
          <w:rPr>
            <w:color w:val="0000EE"/>
            <w:u w:val="single"/>
          </w:rPr>
          <w:t>Rt 4.18–22</w:t>
        </w:r>
      </w:hyperlink>
      <w:r>
        <w:t>). As genealogias tanto no AT quanto no NT traçam a linhagem de Davi até Judá, filho do patriarca Jacó (</w:t>
      </w:r>
      <w:hyperlink r:id="rId6560">
        <w:r>
          <w:rPr>
            <w:color w:val="0000EE"/>
            <w:u w:val="single"/>
          </w:rPr>
          <w:t>1Cr 2.3–15</w:t>
        </w:r>
      </w:hyperlink>
      <w:r>
        <w:t xml:space="preserve">; </w:t>
      </w:r>
      <w:hyperlink r:id="rId6561">
        <w:r>
          <w:rPr>
            <w:color w:val="0000EE"/>
            <w:u w:val="single"/>
          </w:rPr>
          <w:t>Mt 1.3–6</w:t>
        </w:r>
      </w:hyperlink>
      <w:r>
        <w:t xml:space="preserve">; </w:t>
      </w:r>
      <w:hyperlink r:id="rId6562">
        <w:r>
          <w:rPr>
            <w:color w:val="0000EE"/>
            <w:u w:val="single"/>
          </w:rPr>
          <w:t>Lc 3.31–33</w:t>
        </w:r>
      </w:hyperlink>
      <w:r>
        <w:t>).</w:t>
      </w:r>
    </w:p>
    <w:p>
      <w:pPr>
        <w:pStyle w:val="Heading4"/>
      </w:pPr>
      <w:r>
        <w:t>Treinamento e talentos</w:t>
      </w:r>
    </w:p>
    <w:p>
      <w:r/>
      <w:r>
        <w:t>Pouco se sabe sobre o início da vida de Davi. Quando menino, ele tomava conta das ovelhas de seu pai, arriscando sua vida para matar ursos e leões que as assolavam. Mais tarde, Davi reconheceu publicamente o auxílio e a força de Deus para proteger os rebanhos sob sua guarda (</w:t>
      </w:r>
      <w:hyperlink r:id="rId1483">
        <w:r>
          <w:rPr>
            <w:color w:val="0000EE"/>
            <w:u w:val="single"/>
          </w:rPr>
          <w:t>1Sm 17.34–37</w:t>
        </w:r>
      </w:hyperlink>
      <w:r>
        <w:t>).</w:t>
      </w:r>
    </w:p>
    <w:p>
      <w:r/>
      <w:r>
        <w:t>Davi era um músico talentoso. Ele havia desenvolvido sua capacidade como harpista tão bem que, quando um músico foi requisitado na corte real do rei Saul, alguém imediatamente recomendou Davi.</w:t>
      </w:r>
    </w:p>
    <w:p>
      <w:r/>
      <w:r>
        <w:t>Na família de Jessé, Davi foi considerado como sem importância. Quando Samuel, o profeta publicamente conhecido, visitou a casa de Jessé, todos os filhos mais velhos estavam presentes para conhecê-lo; enquanto Davi estava apascentando as ovelhas. Samuel havia sido instruído por Deus a ungir um rei da família de Jessé, sem saber previamente qual filho ungir. Percebendo um impedimento divino à medida que sete irmãos passavam diante dele, ele fez uma investigação adicional. Quando ele soube que Jessé tinha outro filho, Davi foi imediatamente convocado. Davi foi ungido por Samuel e provido com o Espírito do Senhor (</w:t>
      </w:r>
      <w:hyperlink r:id="rId6563">
        <w:r>
          <w:rPr>
            <w:color w:val="0000EE"/>
            <w:u w:val="single"/>
          </w:rPr>
          <w:t>1Sm 16.1–13</w:t>
        </w:r>
      </w:hyperlink>
      <w:r>
        <w:t>). O que quer que Jessé e sua família tenham entendido por essa unção, parece não ter causado nenhuma mudança imediata na vida de Davi. Ele continuou a apascentar as ovelhas.</w:t>
      </w:r>
    </w:p>
    <w:p>
      <w:pPr>
        <w:pStyle w:val="Heading3"/>
      </w:pPr>
      <w:r>
        <w:t>Preparação para o Reinado</w:t>
      </w:r>
    </w:p>
    <w:p>
      <w:r/>
      <w:r>
        <w:t>Durante sua juventude, Davi estava disposto a servir aos outros, mesmo que ele tivesse sido ungido rei. Foi sua disposição de levar suprimentos para três de seus irmãos mais velhos no exército que lhe deu sua oportunidade ser conhecido nacionalmente.</w:t>
      </w:r>
    </w:p>
    <w:p>
      <w:r/>
      <w:r>
        <w:t>Na juventude, Davi era sensível à vontade de Deus. Enquanto cumprimentava seus irmãos no campo de batalha, ele ficou incomodado com o desafio do filisteu Golias aos exércitos de Deus. Embora repreendido por seus irmãos, Davi aceitou o desafio para enfrentar Golias. Ele tinha uma confiança fundamentada de que Deus, que o havia ajudado a combater um leão e um urso, o ajudaria contra um guerreiro campeão. Então, com fé em Deus e usando sua capacidade de atirar pedras, Davi matou Golias (</w:t>
      </w:r>
      <w:hyperlink r:id="rId6564">
        <w:r>
          <w:rPr>
            <w:color w:val="0000EE"/>
            <w:u w:val="single"/>
          </w:rPr>
          <w:t>1Sm 17.12–58</w:t>
        </w:r>
      </w:hyperlink>
      <w:r>
        <w:t>).</w:t>
      </w:r>
    </w:p>
    <w:p>
      <w:pPr>
        <w:pStyle w:val="Heading4"/>
      </w:pPr>
      <w:r>
        <w:t>Fama nacional</w:t>
      </w:r>
    </w:p>
    <w:p>
      <w:r/>
      <w:r>
        <w:t>Matar Golias fez de Davi um herói para a nação de Israel. Também o trouxe a um relacionamento próximo com a família real de Saul. Mas o sucesso e aclamação nacional trouxeram o ciúme de Saul e, finalmente, resultaram na expulsão de Davi da terra de Israel.</w:t>
      </w:r>
    </w:p>
    <w:p>
      <w:pPr>
        <w:pStyle w:val="Heading4"/>
      </w:pPr>
      <w:r>
        <w:t>Na corte real</w:t>
      </w:r>
    </w:p>
    <w:p>
      <w:r/>
      <w:r>
        <w:t>Saul prometeu sua filha mais velha, Merabe, a Davi em casamento, mas então Saul voltou atrás na promessa e ofereceu a Davi outra filha, Mical. O dote de troféus dos filisteus mortos exigidos por Saul foi uma tentativa de provocar a morte de Davi pelos filisteus. Mas novamente Davi foi vitorioso. As mulheres cantaram louvores de suas façanhas, intensificando o ciúme de Saul e colocando a vida de Davi em perigo (</w:t>
      </w:r>
      <w:hyperlink r:id="rId6565">
        <w:r>
          <w:rPr>
            <w:color w:val="0000EE"/>
            <w:u w:val="single"/>
          </w:rPr>
          <w:t>1Sm 18.6–30</w:t>
        </w:r>
      </w:hyperlink>
      <w:r>
        <w:t>).</w:t>
      </w:r>
    </w:p>
    <w:p>
      <w:r/>
      <w:r>
        <w:t>Enquanto isso, Davi e o filho de Saul, Jônatas, desenvolveram uma amizade profunda. Quando eles fizeram uma aliança, Jônatas deu a Davi seu melhor equipamento militar (espada, arco e cinto). Embora Saul tenha tentado virar Jônatas contra Davi, a amizade se aprofundou. Como Saul estava tentando matá-lo, Davi teve que escapar do palácio e viver como um fugitivo.</w:t>
      </w:r>
    </w:p>
    <w:p>
      <w:r/>
      <w:r>
        <w:t>Após Jônatas ter alertado Davi sobre as intenções contínuas de Saul contra sua vida, Davi dirigiu-se a Ramá para ver o profeta Samuel. Juntos, eles foram para Naiote, perto de Ramá. Após enviar vários grupos de homens atrás de Davi, Saul finalmente foi com eles pessoalmente. Todas as suas tentativas de prender Davi foram frustradas pelo Espírito de Deus, fazendo com que Saul e seus homens profetizassem a noite inteira com fervor religioso (</w:t>
      </w:r>
      <w:hyperlink r:id="rId6566">
        <w:r>
          <w:rPr>
            <w:color w:val="0000EE"/>
            <w:u w:val="single"/>
          </w:rPr>
          <w:t>1Sm 19</w:t>
        </w:r>
      </w:hyperlink>
      <w:r>
        <w:t>).</w:t>
      </w:r>
    </w:p>
    <w:p>
      <w:r/>
      <w:r>
        <w:t>Reencontrando-se com Jônatas para consultá-lo, Davi percebeu que o ciúme de Saul havia se desenvolvido em ódio. Jônatas, ciente de que Davi seria o futuro rei de Israel, pediu segurança de que seus descendentes receberiam proteção sob o governo de Davi (</w:t>
      </w:r>
      <w:hyperlink r:id="rId6567">
        <w:r>
          <w:rPr>
            <w:color w:val="0000EE"/>
            <w:u w:val="single"/>
          </w:rPr>
          <w:t>1Sm 20</w:t>
        </w:r>
      </w:hyperlink>
      <w:r>
        <w:t>).</w:t>
      </w:r>
    </w:p>
    <w:p>
      <w:pPr>
        <w:pStyle w:val="Heading4"/>
      </w:pPr>
      <w:r>
        <w:t>Vida como um fugitivo</w:t>
      </w:r>
    </w:p>
    <w:p>
      <w:r/>
      <w:r>
        <w:t>Fugindo de Saul, Davi parou em Nobe. Ao enganar Aimeleque, que estava servindo como sacerdote lá, Davi obteve suprimentos de comida e a espada de Golias (mantida como um troféu). Um edomita chamado Doegue, chefe dos pastores de Saul, viu o que aconteceu em Nobe. Davi continuou sua fuga, refugiando-se temporariamente em Gate com o rei Aquis (</w:t>
      </w:r>
      <w:hyperlink r:id="rId6568">
        <w:r>
          <w:rPr>
            <w:color w:val="0000EE"/>
            <w:u w:val="single"/>
          </w:rPr>
          <w:t>1Sm 21</w:t>
        </w:r>
      </w:hyperlink>
      <w:r>
        <w:t>), então encontrando abrigo na caverna de Adulão, localizada a 16,1 quilômetros a sudoeste de Belém. Lá, seus parentes e cerca de 400 homens de combate se juntaram a ele. Davi foi a Mispá, em Moabe, e pediu ao rei de Moabe que permitisse que seus pais ficassem lá por proteção. O próprio Davi permaneceu em uma fortaleza por um tempo. Quando o profeta Gade lhe disse para não permanecer na fortaleza, Davi partiu e retornou à terra de Judá, estabelecendo-se na floresta de Herete (</w:t>
      </w:r>
      <w:hyperlink r:id="rId6569">
        <w:r>
          <w:rPr>
            <w:color w:val="0000EE"/>
            <w:u w:val="single"/>
          </w:rPr>
          <w:t>1Sm 22.1–5</w:t>
        </w:r>
      </w:hyperlink>
      <w:r>
        <w:t>).</w:t>
      </w:r>
    </w:p>
    <w:p>
      <w:r/>
      <w:r>
        <w:t>Saul ficou furioso com a liberdade de movimento de Davi e acusou seu próprio povo de conspiração. Quando Doegue relatou o que ele havia testemunhado em Nobe, Saul matou Aimeleque e 84 outros sacerdotes, então massacrou todos os habitantes de Nobe. Um sacerdote chamado Abiatar escapou para relatar as atrocidades de Saul a Davi, que garantiu a sua proteção (</w:t>
      </w:r>
      <w:hyperlink r:id="rId6570">
        <w:r>
          <w:rPr>
            <w:color w:val="0000EE"/>
            <w:u w:val="single"/>
          </w:rPr>
          <w:t>1Sm 22.6–23</w:t>
        </w:r>
      </w:hyperlink>
      <w:r>
        <w:t>).</w:t>
      </w:r>
    </w:p>
    <w:p>
      <w:r/>
      <w:r>
        <w:t>Os filisteus estavam sempre prontos para tirar proveito de qualquer fraqueza em Israel. A retaliação de Davi após um ataque filisteu em Queila, 19,3 quilômetros a sudoeste de Belém, deu a Saul uma oportunidade de atacar Davi, que escapou para o deserto de Zife, uma área do deserto perto de Hebrom. Davi e Jônatas se encontraram pela última vez naquele deserto. Perseguido pelo exército de Saul, Davi fugiu ainda mais para o sul. Ele estava quase cercado num país desabitado perto de Maom quando Saul teve que deslocar seu exército para enfrentar um ataque filisteu (</w:t>
      </w:r>
      <w:hyperlink r:id="rId6571">
        <w:r>
          <w:rPr>
            <w:color w:val="0000EE"/>
            <w:u w:val="single"/>
          </w:rPr>
          <w:t>1Sm 23</w:t>
        </w:r>
      </w:hyperlink>
      <w:r>
        <w:t>).</w:t>
      </w:r>
    </w:p>
    <w:p>
      <w:r/>
      <w:r>
        <w:t>Em seu próximo local de refúgio, En-Gedi, na costa ocidental do Mar Morto, Davi foi perseguido por Saul, que veio com 3.000 soldados para procurá-lo. Davi teve uma oportunidade de matar Saul, mas se negou a prejudicar o rei “ungido do Senhor” de Israel. Ao saber da lealdade de Davi, Saul confessou seu pecado ao buscar a vida de Davi (</w:t>
      </w:r>
      <w:hyperlink r:id="rId6572">
        <w:r>
          <w:rPr>
            <w:color w:val="0000EE"/>
            <w:u w:val="single"/>
          </w:rPr>
          <w:t>1Sm 24</w:t>
        </w:r>
      </w:hyperlink>
      <w:r>
        <w:t>).</w:t>
      </w:r>
    </w:p>
    <w:p>
      <w:r/>
      <w:r>
        <w:t>Durante o tempo em que Davi e seus homens estiveram no deserto, perto de Maom, Zife e En-Gedi, trataram bem os pastores de Nabal e protegeram seus rebanhos perto do Carmelo. Mais tarde, Davi enviou mensageiros pedindo a Nabal que demonstrasse generosidade, compartilhando comida e suprimentos durante um dia de festa. O desprezo de Nabal irritou Davi, mas a esposa de Nabal, Abigail, apelou para Davi que não se vingasse. Quando Abigail contou a Nabal, de sua fuga por pouco, ele ficou tão chocado que sofreu um ataque cardíaco. Ele morreu dez dias depois, e Abigail mais tarde se tornou a esposa de Davi (</w:t>
      </w:r>
      <w:hyperlink r:id="rId6573">
        <w:r>
          <w:rPr>
            <w:color w:val="0000EE"/>
            <w:u w:val="single"/>
          </w:rPr>
          <w:t>1Sm 25</w:t>
        </w:r>
      </w:hyperlink>
      <w:r>
        <w:t>).</w:t>
      </w:r>
    </w:p>
    <w:p>
      <w:r/>
      <w:r>
        <w:t>Mais uma vez Saul veio com um exército de 3.000 homens para o Deserto de Zife para encontrar Davi, e Davi novamente passou por uma oportunidade de prejudicar o rei. Finalmente percebendo a tolice de buscar a vida de Davi, Saul abandonou a perseguição (</w:t>
      </w:r>
      <w:hyperlink r:id="rId6574">
        <w:r>
          <w:rPr>
            <w:color w:val="0000EE"/>
            <w:u w:val="single"/>
          </w:rPr>
          <w:t>1Sm 26</w:t>
        </w:r>
      </w:hyperlink>
      <w:r>
        <w:t>).</w:t>
      </w:r>
    </w:p>
    <w:p>
      <w:pPr>
        <w:pStyle w:val="Heading4"/>
      </w:pPr>
      <w:r>
        <w:t>Refúgio em território filisteu</w:t>
      </w:r>
    </w:p>
    <w:p>
      <w:r/>
      <w:r>
        <w:t>Davi continuou a se sentir inseguro no reino de Saul. Voltando para Gate, no território filisteu, ele foi recebido pelo rei Aquis. Seus seguidores receberam a cidade de Ziclague, onde eles viveram por cerca de 16 meses, atraindo novos recrutas de Judá e do resto de Israel (</w:t>
      </w:r>
      <w:hyperlink r:id="rId6575">
        <w:r>
          <w:rPr>
            <w:color w:val="0000EE"/>
            <w:u w:val="single"/>
          </w:rPr>
          <w:t>1Sm 27</w:t>
        </w:r>
      </w:hyperlink>
      <w:r>
        <w:t xml:space="preserve">; </w:t>
      </w:r>
      <w:hyperlink r:id="rId6576">
        <w:r>
          <w:rPr>
            <w:color w:val="0000EE"/>
            <w:u w:val="single"/>
          </w:rPr>
          <w:t>1Cr 12.19–22</w:t>
        </w:r>
      </w:hyperlink>
      <w:r>
        <w:t>).</w:t>
      </w:r>
    </w:p>
    <w:p>
      <w:r/>
      <w:r>
        <w:t>O exército filisteu, marchando até o Vale de Megido para lutar contra o exército de Saul, estava desconfortável com os guerrilheiros de Davi em sua coluna traseira, então os comandantes colocam pressão sobre Aquis para dispensar Davi. Quando ele voltou para Ziclague, Davi descobriu que a cidade havia acabado de ser invadida pelos amalequitas. Ele perseguiu o inimigo, resgatou seu povo e bens, e dividiu os despojos com aqueles que haviam permanecido para trás para guardar os suprimentos (</w:t>
      </w:r>
      <w:hyperlink r:id="rId6577">
        <w:r>
          <w:rPr>
            <w:color w:val="0000EE"/>
            <w:u w:val="single"/>
          </w:rPr>
          <w:t>1Sm 29–30</w:t>
        </w:r>
      </w:hyperlink>
      <w:r>
        <w:t xml:space="preserve">). Enquanto isso, os filisteus derrotaram os israelitas no monte Gilboa, matando Jônatas e dois dos outros filhos de Saul em uma batalha feroz. Saul, gravemente ferido, se matou com sua própria espada (cap. </w:t>
      </w:r>
      <w:hyperlink r:id="rId6578">
        <w:r>
          <w:rPr>
            <w:color w:val="0000EE"/>
            <w:u w:val="single"/>
          </w:rPr>
          <w:t>31</w:t>
        </w:r>
      </w:hyperlink>
      <w:r>
        <w:t>).</w:t>
      </w:r>
    </w:p>
    <w:p>
      <w:pPr>
        <w:pStyle w:val="Heading3"/>
      </w:pPr>
      <w:r>
        <w:t>Davi como Rei</w:t>
      </w:r>
    </w:p>
    <w:p>
      <w:r/>
      <w:r>
        <w:t>Davi governou Israel por cerca de 40 anos, embora os relatos de seu reinado não contenham informações suficientes para uma cronologia exata. Ele começou seu governo em Hebrom e reinou sobre o território de Judá por sete ou oito anos. Com a morte do sucessor de Saul, Isbosete, Davi foi reconhecido como rei por todas as tribos e fez de Jerusalém sua capital. Durante a próxima década, ele unificou Israel através da expansão militar e econômica. Então vieram aproximadamente 10 anos de interrupção na família real. Os últimos anos do reinado de Davi parecem ter sido dedicados aos planos para o templo de Jerusalém, construído no reinado de seu filho Salomão.</w:t>
      </w:r>
    </w:p>
    <w:p>
      <w:pPr>
        <w:pStyle w:val="Heading4"/>
      </w:pPr>
      <w:r>
        <w:t>Os anos em Hebrom</w:t>
      </w:r>
    </w:p>
    <w:p>
      <w:r/>
      <w:r>
        <w:t>Davi passou por um período de treinamento excepcionalmente rigoroso para sua realeza. Servindo sob Saul, ele ganhou experiência em conquistas militares contra os filisteus. Durante suas andanças no deserto ao sul de Judá, ele ganhou a favor dos donos de terras e criadores de ovelhas, oferecendo-lhes proteção. Ser reconhecido como um fora da lei de Israel o permitiu até mesmo negociar relações diplomáticas com Moabe e a Filístia.</w:t>
      </w:r>
    </w:p>
    <w:p>
      <w:r/>
      <w:r>
        <w:t>Davi estava na terra dos filisteus quando recebeu a notícia de que Saul e Jônatas haviam sido mortos. Numa bela elegia, ele homenageou tanto seu amigo Jônatas quanto o rei Saul (</w:t>
      </w:r>
      <w:hyperlink r:id="rId6579">
        <w:r>
          <w:rPr>
            <w:color w:val="0000EE"/>
            <w:u w:val="single"/>
          </w:rPr>
          <w:t>2Sm 1</w:t>
        </w:r>
      </w:hyperlink>
      <w:r>
        <w:t>).</w:t>
      </w:r>
    </w:p>
    <w:p>
      <w:r/>
      <w:r>
        <w:t>Com a certeza da orientação de Deus, Davi voltou para sua casa, onde os líderes de Judá o ungiram rei em Hebrom. Ele enviou uma mensagem de elogio aos homens de Jabes por fornecer um sepultamento respeitável para o rei Saul, provavelmente também oferecendo por seu apoio.</w:t>
      </w:r>
    </w:p>
    <w:p>
      <w:r/>
      <w:r>
        <w:t>A morte de Saul provavelmente trouxe confusão a Israel, já que os filisteus ocupavam grande parte do país. Vários líderes reuniram quaisquer homens de combate que pudessem encontrar, enquanto antigas lealdades tribais se reuniam. A maior parte da tribo de Judá apoiava Davi de maneira firme.</w:t>
      </w:r>
    </w:p>
    <w:p>
      <w:r/>
      <w:r>
        <w:t>Uma espécie de guerra civil eclodiu entre os seguidores de Davi e os de Saul, com Davi ganhando a lealdade de mais e mais pessoas. O general de Saul, Abner, eventualmente negociou a paz com Davi, que solicitou a restauração de Mical como sua esposa, indicando que ele não tinha animosidade em relação à dinastia de Saul. Com o consentimento do filho de Saul, Isbosete, a quem Abner havia entronizado como rei, Abner foi para Hebrom e prometeu o apoio de Israel a Davi. Mas Abner foi morto por Joabe, um dos capitães de Davi, em uma vingança de família, e logo depois Isbosete foi assassinado. Davi lamentou publicamente a morte de Abner e teve os dois assassinos de Isbosete mortos. Assim, quando a dinastia de Saul terminou, Davi foi visto pelo povo não tanto como um desafiante, mas como um sucessor lógico. Assim, ele foi reconhecido como rei por todo Israel (</w:t>
      </w:r>
      <w:hyperlink r:id="rId6580">
        <w:r>
          <w:rPr>
            <w:color w:val="0000EE"/>
            <w:u w:val="single"/>
          </w:rPr>
          <w:t>2Sm 2–4</w:t>
        </w:r>
      </w:hyperlink>
      <w:r>
        <w:t>).</w:t>
      </w:r>
    </w:p>
    <w:p>
      <w:pPr>
        <w:pStyle w:val="Heading4"/>
      </w:pPr>
      <w:r>
        <w:t>Consolidação em Jerusalém</w:t>
      </w:r>
    </w:p>
    <w:p>
      <w:r/>
      <w:r>
        <w:t>Quando os israelitas se voltaram para Davi como rei, os filisteus ficaram alarmados e atacaram (</w:t>
      </w:r>
      <w:hyperlink r:id="rId6581">
        <w:r>
          <w:rPr>
            <w:color w:val="0000EE"/>
            <w:u w:val="single"/>
          </w:rPr>
          <w:t>2Sm 5</w:t>
        </w:r>
      </w:hyperlink>
      <w:r>
        <w:t xml:space="preserve">; </w:t>
      </w:r>
      <w:hyperlink r:id="rId6582">
        <w:r>
          <w:rPr>
            <w:color w:val="0000EE"/>
            <w:u w:val="single"/>
          </w:rPr>
          <w:t>1Cr 14.8–17</w:t>
        </w:r>
      </w:hyperlink>
      <w:r>
        <w:t>). Davi foi forte o suficiente para derrotá-los e, assim, unificar o povo de Israel.</w:t>
      </w:r>
    </w:p>
    <w:p>
      <w:r/>
      <w:r>
        <w:t>Em busca de uma localização mais central para sua capital, Davi se voltou para a cidade de Jerusalém, uma fortaleza dos jebuseus. Joabe respondeu ao seu desafio de conquistar a cidade e foi recompensado sendo nomeado general de Davi. Jerusalém se tornou conhecida como a “cidade de Davi” (</w:t>
      </w:r>
      <w:hyperlink r:id="rId6583">
        <w:r>
          <w:rPr>
            <w:color w:val="0000EE"/>
            <w:u w:val="single"/>
          </w:rPr>
          <w:t>1Cr 11.4–9</w:t>
        </w:r>
      </w:hyperlink>
      <w:r>
        <w:t>).</w:t>
      </w:r>
    </w:p>
    <w:p>
      <w:r/>
      <w:r>
        <w:t>Da mesma maneira que ele havia organizado seus primeiros seguidores em um grupo guerrilheiro eficaz (</w:t>
      </w:r>
      <w:hyperlink r:id="rId6584">
        <w:r>
          <w:rPr>
            <w:color w:val="0000EE"/>
            <w:u w:val="single"/>
          </w:rPr>
          <w:t>1Cr 11.1–12.22</w:t>
        </w:r>
      </w:hyperlink>
      <w:r>
        <w:t>) em Hebrom, Davi começou a organizar toda a nação (</w:t>
      </w:r>
      <w:hyperlink r:id="rId6585">
        <w:r>
          <w:rPr>
            <w:color w:val="0000EE"/>
            <w:u w:val="single"/>
          </w:rPr>
          <w:t>12.23–40</w:t>
        </w:r>
      </w:hyperlink>
      <w:r>
        <w:t>). Uma vez estabelecido em Jerusalém, ele rapidamente ganhou reconhecimento dos fenícios, firmando contrato com seus artesãos para construir um magnífico palácio na nova capital (</w:t>
      </w:r>
      <w:hyperlink r:id="rId6586">
        <w:r>
          <w:rPr>
            <w:color w:val="0000EE"/>
            <w:u w:val="single"/>
          </w:rPr>
          <w:t>14.1–2</w:t>
        </w:r>
      </w:hyperlink>
      <w:r>
        <w:t>). Ele também se certificou de que Jerusalém se tornaria o centro religioso de Israel (</w:t>
      </w:r>
      <w:hyperlink r:id="rId6587">
        <w:r>
          <w:rPr>
            <w:color w:val="0000EE"/>
            <w:u w:val="single"/>
          </w:rPr>
          <w:t>2Sm 6</w:t>
        </w:r>
      </w:hyperlink>
      <w:r>
        <w:t xml:space="preserve">; </w:t>
      </w:r>
      <w:hyperlink r:id="rId6588">
        <w:r>
          <w:rPr>
            <w:color w:val="0000EE"/>
            <w:u w:val="single"/>
          </w:rPr>
          <w:t>1Cr 13–16</w:t>
        </w:r>
      </w:hyperlink>
      <w:r>
        <w:t xml:space="preserve">). Sua tentativa abortada de mover a arca da aliança por carro de bois (cf. </w:t>
      </w:r>
      <w:hyperlink r:id="rId2446">
        <w:r>
          <w:rPr>
            <w:color w:val="0000EE"/>
            <w:u w:val="single"/>
          </w:rPr>
          <w:t>Nm 4</w:t>
        </w:r>
      </w:hyperlink>
      <w:r>
        <w:t>) lembrou ao poderoso rei que ele ainda tinha que fazer as coisas do jeito de Deus para ser bem-sucedido.</w:t>
      </w:r>
    </w:p>
    <w:p>
      <w:r/>
      <w:r>
        <w:t>Com Jerusalém bem estabelecida como a capital da nação, Davi pretendia construir um templo a Deus. Ele compartilhou seu plano com o profeta Natã, que teve uma resposta positiva imediata Naquela noite, no entanto, Deus enviou uma mensagem através de Natã de que Davi não deveria construir o templo. O trono de Davi seria estabelecido eternamente, disse o profeta, e ao contrário de Saul, o rei Davi teria um filho para sucedê-lo e perpetuar o reino; esse filho construiria o templo (</w:t>
      </w:r>
      <w:hyperlink r:id="rId6589">
        <w:r>
          <w:rPr>
            <w:color w:val="0000EE"/>
            <w:u w:val="single"/>
          </w:rPr>
          <w:t>2Sm 7</w:t>
        </w:r>
      </w:hyperlink>
      <w:r>
        <w:t xml:space="preserve">; </w:t>
      </w:r>
      <w:hyperlink r:id="rId6590">
        <w:r>
          <w:rPr>
            <w:color w:val="0000EE"/>
            <w:u w:val="single"/>
          </w:rPr>
          <w:t>1Cr 17</w:t>
        </w:r>
      </w:hyperlink>
      <w:r>
        <w:t>).</w:t>
      </w:r>
    </w:p>
    <w:p>
      <w:pPr>
        <w:pStyle w:val="Heading4"/>
      </w:pPr>
      <w:r>
        <w:t>Prosperidade e Supremacia</w:t>
      </w:r>
    </w:p>
    <w:p>
      <w:r/>
      <w:r>
        <w:t>Pouco é registrado sobre a expansão do governo de Davi da área tribal de Judá para um vasto império que se estende do rio Nilo do Egito até regiões do vale do Tigre-Eufrates. Nada na história secular nega a perspectiva bíblica de que Davi tinha o reino mais poderoso no coração desse “Crescente Fértil” por volta de 1000 a.C.</w:t>
      </w:r>
    </w:p>
    <w:p>
      <w:r/>
      <w:r>
        <w:t>Provavelmente, os conflitos com os filisteus a oeste foram frequentes até que eles finalmente se submeteram a Davi e lhe pagaram tributo. Nos dias de Saul, os filisteus haviam desfrutado de um monopólio sobre o uso do ferro (</w:t>
      </w:r>
      <w:hyperlink r:id="rId6591">
        <w:r>
          <w:rPr>
            <w:color w:val="0000EE"/>
            <w:u w:val="single"/>
          </w:rPr>
          <w:t>1Sm 13.19–21</w:t>
        </w:r>
      </w:hyperlink>
      <w:r>
        <w:t>). O fato de que Davi usou livremente o ferro perto do final de seu reinado (</w:t>
      </w:r>
      <w:hyperlink r:id="rId6592">
        <w:r>
          <w:rPr>
            <w:color w:val="0000EE"/>
            <w:u w:val="single"/>
          </w:rPr>
          <w:t>1Cr 22.3</w:t>
        </w:r>
      </w:hyperlink>
      <w:r>
        <w:t>) sugere mudanças econômicas profundas em Israel.</w:t>
      </w:r>
    </w:p>
    <w:p>
      <w:r/>
      <w:r>
        <w:t>O reino de Davi se expandiu para o sul enquanto ele construía guarnições militares em território edomita. Além de Edom, ele controlava os moabitas e amalequitas, que lhe pagavam tributo em prata e ouro. Para o nordeste, o domínio israelita foi estendido sobre os amonitas e os arameus, dos quais a capital era Damasco. O tratamento de Davi a amigos e inimigos parecia contribuir para a força de seu reino (</w:t>
      </w:r>
      <w:hyperlink r:id="rId6593">
        <w:r>
          <w:rPr>
            <w:color w:val="0000EE"/>
            <w:u w:val="single"/>
          </w:rPr>
          <w:t>2Sm 8–10</w:t>
        </w:r>
      </w:hyperlink>
      <w:r>
        <w:t>). Embora ele fosse um estrategista militar brilhante que usou todos os meios e recursos disponíveis para trazer o sucesso de Israel, Davi foi humilde o suficiente para glorificar a Deus (</w:t>
      </w:r>
      <w:hyperlink r:id="rId6594">
        <w:r>
          <w:rPr>
            <w:color w:val="0000EE"/>
            <w:u w:val="single"/>
          </w:rPr>
          <w:t>2Sm 22</w:t>
        </w:r>
      </w:hyperlink>
      <w:r>
        <w:t xml:space="preserve">; veja </w:t>
      </w:r>
      <w:hyperlink r:id="rId6595">
        <w:r>
          <w:rPr>
            <w:color w:val="0000EE"/>
            <w:u w:val="single"/>
          </w:rPr>
          <w:t>Sl 18</w:t>
        </w:r>
      </w:hyperlink>
      <w:r>
        <w:t>).</w:t>
      </w:r>
    </w:p>
    <w:p>
      <w:pPr>
        <w:pStyle w:val="Heading4"/>
      </w:pPr>
      <w:r>
        <w:t>Pecado na Família Real</w:t>
      </w:r>
    </w:p>
    <w:p>
      <w:r/>
      <w:r>
        <w:t xml:space="preserve">Uma longa seção do livro de 2 Samuel (caps. </w:t>
      </w:r>
      <w:hyperlink r:id="rId6596">
        <w:r>
          <w:rPr>
            <w:color w:val="0000EE"/>
            <w:u w:val="single"/>
          </w:rPr>
          <w:t>11–20</w:t>
        </w:r>
      </w:hyperlink>
      <w:r>
        <w:t>) dá um relato notavelmente franco do pecado, crime e rebelião na família de Davi. As próprias imperfeições do rei são claramente retratadas; o próprio rei de Israel não poderia escapar do julgamento de Deus quando ele fez o que era errado.</w:t>
      </w:r>
    </w:p>
    <w:p>
      <w:r/>
      <w:r>
        <w:t>Embora a poligamia fosse então um símbolo de prestígio do Oriente Próximo, era proibida para um rei de Israel (</w:t>
      </w:r>
      <w:hyperlink r:id="rId5354">
        <w:r>
          <w:rPr>
            <w:color w:val="0000EE"/>
            <w:u w:val="single"/>
          </w:rPr>
          <w:t>Dt 17.17</w:t>
        </w:r>
      </w:hyperlink>
      <w:r>
        <w:t>). Davi praticava a poligamia, no entanto; alguns de seus casamentos, sem dúvida, tinham implicações políticas (como seus casamentos com a filha de Saul Mical e com a princesa Maaca de Gesur). Pecados flagrantes de incesto, assassinato e rebelião em sua família trouxeram Davi muito sofrimento e quase lhe custou o trono.</w:t>
      </w:r>
    </w:p>
    <w:p>
      <w:r/>
      <w:r>
        <w:t xml:space="preserve">O pecado de adultério de Davi com Bate-Seba, cometido no auge de seu sucesso militar e expansão territorial, o levou ainda mais para o mal: ele planejou uma estratégia para ter o marido de Bate-Seba, Urias, morto na linha de frente da batalha. Davi parece ter excluído Deus de sua consideração nesse segmento de sua vida pessoal. No entanto, quando o profeta Natã confrontou o rei com seus pecados, Davi reconheceu sua culpa. Ele confessou seu pecado e implorou a Deus por perdão (como no </w:t>
      </w:r>
      <w:hyperlink r:id="rId5383">
        <w:r>
          <w:rPr>
            <w:color w:val="0000EE"/>
            <w:u w:val="single"/>
          </w:rPr>
          <w:t>Sl 32</w:t>
        </w:r>
      </w:hyperlink>
      <w:r>
        <w:t xml:space="preserve"> e </w:t>
      </w:r>
      <w:hyperlink r:id="rId2603">
        <w:r>
          <w:rPr>
            <w:color w:val="0000EE"/>
            <w:u w:val="single"/>
          </w:rPr>
          <w:t>51</w:t>
        </w:r>
      </w:hyperlink>
      <w:r>
        <w:t>). Deus o perdoou, mas por quase dez anos Davi suportou as consequências de sua falta de autocontrole e seu fracasso em exercer disciplina em sua família. Embora insubstituível na estratégia militar e diplomática, Davi não tinha força de caráter em seus assuntos domésticos. O mal fermentou em sua própria casa; a autoindulgência do pai logo foi refletida no crime de Amnom de incesto, seguido pelo assassinato de seu irmão cometido por Absalão.</w:t>
      </w:r>
    </w:p>
    <w:p>
      <w:r/>
      <w:r>
        <w:t>Tendo incorrido no desfavor de seu pai, Absalão se refugiou em Gesur com o povo de sua mãe por três anos. Joabe, o general de Davi, foi eventualmente capaz de reconciliar Davi com seu filho alienado. Absalão, no entanto, tendo aproveitado sua posição na família real para ganhar seguidores, foi para Hebrom, encenou uma rebelião surpresa e se proclamou rei em todo Israel. Seu grande número de seguidores representou uma ameaça tão grave que Davi fugiu de Jerusalém. Davi, ainda um mestre estrategista, ganhou tempo por um ardil para organizar suas forças e acabar com a rebelião de seu filho. Absalão foi morto enquanto tentava fugir; sua morte mergulhou Davi na tristeza.</w:t>
      </w:r>
    </w:p>
    <w:p>
      <w:r/>
      <w:r>
        <w:t>Em seu retorno a Jerusalém, Davi teve que trabalhar para desfazer o dano causado pela revolta de Absalão. Sua própria tribo de Judá, por exemplo, havia apoiado Absalão. Outra rebelião, fomentada por Seba da tribo de Benjamim, tinha que ser suprimida por Joabe antes que a nação pudesse se acalmar.</w:t>
      </w:r>
    </w:p>
    <w:p>
      <w:pPr>
        <w:pStyle w:val="Heading4"/>
      </w:pPr>
      <w:r>
        <w:t>Os últimos anos de Davi</w:t>
      </w:r>
    </w:p>
    <w:p>
      <w:r/>
      <w:r>
        <w:t>Embora Davi não tenha sido autorizado a construir o templo em Jerusalém, ele fez extensos preparativos para esse projeto durante os últimos anos de seu reinado. Ele armazenou materiais e organizou o reino para o uso eficiente do trabalho doméstico e estrangeiro. Ele também delineou detalhes para a adoração religiosa na nova estrutura (</w:t>
      </w:r>
      <w:hyperlink r:id="rId6597">
        <w:r>
          <w:rPr>
            <w:color w:val="0000EE"/>
            <w:u w:val="single"/>
          </w:rPr>
          <w:t>1Cr 21–29</w:t>
        </w:r>
      </w:hyperlink>
      <w:r>
        <w:t>).</w:t>
      </w:r>
    </w:p>
    <w:p>
      <w:r/>
      <w:r>
        <w:t>A organização militar e cívica desenvolvida por Davi foi provavelmente padronizada após a prática egípcia. O exército, estritamente controlado por oficiais leais ao rei, tinha também mercenários entre suas fileiras. O rei também nomeou supervisores de confiança sobre fazendas, gado e pomares em várias partes de seu império (</w:t>
      </w:r>
      <w:hyperlink r:id="rId6598">
        <w:r>
          <w:rPr>
            <w:color w:val="0000EE"/>
            <w:u w:val="single"/>
          </w:rPr>
          <w:t>1Cr 27.25–31</w:t>
        </w:r>
      </w:hyperlink>
      <w:r>
        <w:t>).</w:t>
      </w:r>
    </w:p>
    <w:p>
      <w:r/>
      <w:r>
        <w:t>Davi tomou, ou pelo menos começou, um censo de Israel (</w:t>
      </w:r>
      <w:hyperlink r:id="rId6599">
        <w:r>
          <w:rPr>
            <w:color w:val="0000EE"/>
            <w:u w:val="single"/>
          </w:rPr>
          <w:t>2Sm 24</w:t>
        </w:r>
      </w:hyperlink>
      <w:r>
        <w:t xml:space="preserve">; </w:t>
      </w:r>
      <w:hyperlink r:id="rId6600">
        <w:r>
          <w:rPr>
            <w:color w:val="0000EE"/>
            <w:u w:val="single"/>
          </w:rPr>
          <w:t>1Cr 21</w:t>
        </w:r>
      </w:hyperlink>
      <w:r>
        <w:t>). A incompletude dos relatos deixa sem resposta tais perguntas como a razão para a punição de Deus. O rei desconsiderou a objeção de Joabe e insistiu que o censo fosse realizado. Uma vez que Davi mais tarde parecia estar ciente de que ele havia pecado ao tomar o censo, pode ser que ele foi motivado pelo orgulho para verificar sua força militar exata (aproximadamente 1,5 milhões de homens). É possível que Deus estivesse julgando o povo pelo suporte às insurreições de Absalão e Seba.</w:t>
      </w:r>
    </w:p>
    <w:p>
      <w:r/>
      <w:r>
        <w:t>Através do profeta Gade, Davi recebeu uma escolha de punições por seu pecado. Ele optou por uma peste que duraria três dias. Enquanto Davi e os anciãos se arrependeram, eles viram um anjo na eira do jebuseu Ornã (Arauná). Davi ofereceu sacrifício lá e orou por seu povo. Mais tarde, ele comprou a eira, localizada fora da cidade de Jerusalém, concluindo que deveria ser o local para o templo a ser construído por seu filho Salomão (</w:t>
      </w:r>
      <w:hyperlink r:id="rId6601">
        <w:r>
          <w:rPr>
            <w:color w:val="0000EE"/>
            <w:u w:val="single"/>
          </w:rPr>
          <w:t>1Cr 21.28–22.1</w:t>
        </w:r>
      </w:hyperlink>
      <w:r>
        <w:t>).</w:t>
      </w:r>
    </w:p>
    <w:p>
      <w:pPr>
        <w:pStyle w:val="Heading3"/>
      </w:pPr>
      <w:r>
        <w:t>O legado duradouro de Davi</w:t>
      </w:r>
    </w:p>
    <w:p>
      <w:pPr>
        <w:pStyle w:val="Heading4"/>
      </w:pPr>
      <w:r>
        <w:t>O escritor de Salmos</w:t>
      </w:r>
    </w:p>
    <w:p>
      <w:r/>
      <w:r>
        <w:t>O livro do AT de Salmos se tornou um dos livros mais populares no antigo Israel, e permaneceu assim entre incontáveis milhões de pessoas ao longo dos séculos. Essas palavras de louvor preparadas por Davi foram destinadas para uso na adoração do templo (</w:t>
      </w:r>
      <w:hyperlink r:id="rId6602">
        <w:r>
          <w:rPr>
            <w:color w:val="0000EE"/>
            <w:u w:val="single"/>
          </w:rPr>
          <w:t>2Cr 29.30</w:t>
        </w:r>
      </w:hyperlink>
      <w:r>
        <w:t>). Os 73 salmos atribuídos a Davi geralmente surgiram de seu próprio relacionamento com Deus e com outras pessoas.</w:t>
      </w:r>
    </w:p>
    <w:p>
      <w:r/>
      <w:r>
        <w:t>Davi provavelmente compilou o Livro I do livro de Salmos (</w:t>
      </w:r>
      <w:hyperlink r:id="rId6603">
        <w:r>
          <w:rPr>
            <w:color w:val="0000EE"/>
            <w:u w:val="single"/>
          </w:rPr>
          <w:t>1–41</w:t>
        </w:r>
      </w:hyperlink>
      <w:r>
        <w:t>) e o Livro IV (</w:t>
      </w:r>
      <w:hyperlink r:id="rId6604">
        <w:r>
          <w:rPr>
            <w:color w:val="0000EE"/>
            <w:u w:val="single"/>
          </w:rPr>
          <w:t>90–106</w:t>
        </w:r>
      </w:hyperlink>
      <w:r>
        <w:t>), uma vez que a maioria desses salmos foi escrita pelo próprio Davi. Outros salmos de sua autoria (</w:t>
      </w:r>
      <w:hyperlink r:id="rId6605">
        <w:r>
          <w:rPr>
            <w:color w:val="0000EE"/>
            <w:u w:val="single"/>
          </w:rPr>
          <w:t>Sl 51–71</w:t>
        </w:r>
      </w:hyperlink>
      <w:r>
        <w:t>) estão no Livro II (</w:t>
      </w:r>
      <w:hyperlink r:id="rId6606">
        <w:r>
          <w:rPr>
            <w:color w:val="0000EE"/>
            <w:u w:val="single"/>
          </w:rPr>
          <w:t>42–72</w:t>
        </w:r>
      </w:hyperlink>
      <w:r>
        <w:t>), que foi provavelmente compilado por Salomão. Como esses salmos foram usados para adoração em gerações posteriores, várias pessoas adicionaram outros até o tempo de Esdras.</w:t>
      </w:r>
    </w:p>
    <w:p>
      <w:r/>
      <w:r>
        <w:t>Os salmos de Davi forneceram grande parte da poesia que foi definida como música para a adoração de Israel. Sua organização dos sacerdotes e levitas e sua provisão de instrumentos para adoração (</w:t>
      </w:r>
      <w:hyperlink r:id="rId6607">
        <w:r>
          <w:rPr>
            <w:color w:val="0000EE"/>
            <w:u w:val="single"/>
          </w:rPr>
          <w:t>2Cr 7.6</w:t>
        </w:r>
      </w:hyperlink>
      <w:r>
        <w:t xml:space="preserve">; </w:t>
      </w:r>
      <w:hyperlink r:id="rId6608">
        <w:r>
          <w:rPr>
            <w:color w:val="0000EE"/>
            <w:u w:val="single"/>
          </w:rPr>
          <w:t>8.14</w:t>
        </w:r>
      </w:hyperlink>
      <w:r>
        <w:t>) estabeleceu o padrão que influenciaria as gerações seguintes na vida religiosa de Israel.</w:t>
      </w:r>
    </w:p>
    <w:p>
      <w:pPr>
        <w:pStyle w:val="Heading4"/>
      </w:pPr>
      <w:r>
        <w:t>Davi nos Escritos dos Profetas</w:t>
      </w:r>
    </w:p>
    <w:p>
      <w:r/>
      <w:r>
        <w:t xml:space="preserve">Davi, reconhecido como o maior rei israelita, é muitas vezes mencionado como um padrão de comparação nos escritos dos profetas do AT. Isaías (como em </w:t>
      </w:r>
      <w:hyperlink r:id="rId6609">
        <w:r>
          <w:rPr>
            <w:color w:val="0000EE"/>
            <w:u w:val="single"/>
          </w:rPr>
          <w:t>Is 7.2,13</w:t>
        </w:r>
      </w:hyperlink>
      <w:r>
        <w:t xml:space="preserve">; </w:t>
      </w:r>
      <w:hyperlink r:id="rId3567">
        <w:r>
          <w:rPr>
            <w:color w:val="0000EE"/>
            <w:u w:val="single"/>
          </w:rPr>
          <w:t>22.22</w:t>
        </w:r>
      </w:hyperlink>
      <w:r>
        <w:t>) e Jeremias muitas vezes se referiam aos seus reis contemporâneos como pertencentes à “casa” ou “trono” de Davi. Contrastando Davi com alguns de seus descendentes que não honraram a Deus, tanto Isaías quanto Jeremias predisseram um governante messiânico que estabeleceria justiça e justiça no trono de Davi para sempre (</w:t>
      </w:r>
      <w:hyperlink r:id="rId6610">
        <w:r>
          <w:rPr>
            <w:color w:val="0000EE"/>
            <w:u w:val="single"/>
          </w:rPr>
          <w:t>Is 9.7</w:t>
        </w:r>
      </w:hyperlink>
      <w:r>
        <w:t xml:space="preserve">; </w:t>
      </w:r>
      <w:hyperlink r:id="rId6611">
        <w:r>
          <w:rPr>
            <w:color w:val="0000EE"/>
            <w:u w:val="single"/>
          </w:rPr>
          <w:t>Jr 33.15</w:t>
        </w:r>
      </w:hyperlink>
      <w:r>
        <w:t>). Quando Isaías descreveu o governante que viria, ele o identificou como sendo da linhagem de Jessé, o pai de Davi (</w:t>
      </w:r>
      <w:hyperlink r:id="rId6612">
        <w:r>
          <w:rPr>
            <w:color w:val="0000EE"/>
            <w:u w:val="single"/>
          </w:rPr>
          <w:t>Is 11.1–10</w:t>
        </w:r>
      </w:hyperlink>
      <w:r>
        <w:t>). Prevendo um período de paz universal, Isaías viu a capital em “Sião”, identificada com a cidade de Davi (</w:t>
      </w:r>
      <w:hyperlink r:id="rId6613">
        <w:r>
          <w:rPr>
            <w:color w:val="0000EE"/>
            <w:u w:val="single"/>
          </w:rPr>
          <w:t>2.1–4</w:t>
        </w:r>
      </w:hyperlink>
      <w:r>
        <w:t>).</w:t>
      </w:r>
    </w:p>
    <w:p>
      <w:r/>
      <w:r>
        <w:t>Ezequiel prometeu a restauração de Davi como rei em um sentido escatológico e messiânico (</w:t>
      </w:r>
      <w:hyperlink r:id="rId6614">
        <w:r>
          <w:rPr>
            <w:color w:val="0000EE"/>
            <w:u w:val="single"/>
          </w:rPr>
          <w:t>Ez 37.24–25</w:t>
        </w:r>
      </w:hyperlink>
      <w:r>
        <w:t>), e de “meu servo Davi” como o pastor de Israel (</w:t>
      </w:r>
      <w:hyperlink r:id="rId6615">
        <w:r>
          <w:rPr>
            <w:color w:val="0000EE"/>
            <w:u w:val="single"/>
          </w:rPr>
          <w:t>34.23</w:t>
        </w:r>
      </w:hyperlink>
      <w:r>
        <w:t>). Oseias também identificou o futuro governante como o rei Davi (</w:t>
      </w:r>
      <w:hyperlink r:id="rId6616">
        <w:r>
          <w:rPr>
            <w:color w:val="0000EE"/>
            <w:u w:val="single"/>
          </w:rPr>
          <w:t>Os 3.5</w:t>
        </w:r>
      </w:hyperlink>
      <w:r>
        <w:t>). Amós assegurou ao povo que Deus restauraria o “tabernáculo” de Davi (</w:t>
      </w:r>
      <w:hyperlink r:id="rId6617">
        <w:r>
          <w:rPr>
            <w:color w:val="0000EE"/>
            <w:u w:val="single"/>
          </w:rPr>
          <w:t>Am 9.11</w:t>
        </w:r>
      </w:hyperlink>
      <w:r>
        <w:t xml:space="preserve">) para que eles pudessem habitar novamente em segurança. Zacarias se referiu cinco vezes à “casa de Davi” (em </w:t>
      </w:r>
      <w:hyperlink r:id="rId6618">
        <w:r>
          <w:rPr>
            <w:color w:val="0000EE"/>
            <w:u w:val="single"/>
          </w:rPr>
          <w:t>Zc 12–13</w:t>
        </w:r>
      </w:hyperlink>
      <w:r>
        <w:t>, ARA), encorajando a esperança de uma restauração da dinastia gloriosa de Davi. O conceito do trono eterno prometido a Davi durante seu reinado foi delineado na mensagem dos profetas, mesmo enquanto eles estavam anunciando julgamentos por vir sobre os governantes e as pessoas de seu tempo.</w:t>
      </w:r>
    </w:p>
    <w:p>
      <w:pPr>
        <w:pStyle w:val="Heading4"/>
      </w:pPr>
      <w:r>
        <w:t>Davi no Novo Testamento</w:t>
      </w:r>
    </w:p>
    <w:p>
      <w:r/>
      <w:r>
        <w:t>Davi é frequentemente mencionado pelos escritores do Evangelho, que estabeleceram a identificação de Jesus como o “filho de Davi”. A aliança que Deus fez com Davi foi que um rei eterno viria da família de Davi (</w:t>
      </w:r>
      <w:hyperlink r:id="rId817">
        <w:r>
          <w:rPr>
            <w:color w:val="0000EE"/>
            <w:u w:val="single"/>
          </w:rPr>
          <w:t>Mt 1.1</w:t>
        </w:r>
      </w:hyperlink>
      <w:r>
        <w:t xml:space="preserve">; </w:t>
      </w:r>
      <w:hyperlink r:id="rId6619">
        <w:r>
          <w:rPr>
            <w:color w:val="0000EE"/>
            <w:u w:val="single"/>
          </w:rPr>
          <w:t>9.27</w:t>
        </w:r>
      </w:hyperlink>
      <w:r>
        <w:t xml:space="preserve">; </w:t>
      </w:r>
      <w:hyperlink r:id="rId6620">
        <w:r>
          <w:rPr>
            <w:color w:val="0000EE"/>
            <w:u w:val="single"/>
          </w:rPr>
          <w:t>12.23</w:t>
        </w:r>
      </w:hyperlink>
      <w:r>
        <w:t xml:space="preserve">; </w:t>
      </w:r>
      <w:hyperlink r:id="rId6621">
        <w:r>
          <w:rPr>
            <w:color w:val="0000EE"/>
            <w:u w:val="single"/>
          </w:rPr>
          <w:t>Mc 10.48</w:t>
        </w:r>
      </w:hyperlink>
      <w:r>
        <w:t xml:space="preserve">; </w:t>
      </w:r>
      <w:hyperlink r:id="rId6622">
        <w:r>
          <w:rPr>
            <w:color w:val="0000EE"/>
            <w:u w:val="single"/>
          </w:rPr>
          <w:t>12.35</w:t>
        </w:r>
      </w:hyperlink>
      <w:r>
        <w:t xml:space="preserve">; </w:t>
      </w:r>
      <w:hyperlink r:id="rId6623">
        <w:r>
          <w:rPr>
            <w:color w:val="0000EE"/>
            <w:u w:val="single"/>
          </w:rPr>
          <w:t>Lc 18.38–39</w:t>
        </w:r>
      </w:hyperlink>
      <w:r>
        <w:t xml:space="preserve">; </w:t>
      </w:r>
      <w:hyperlink r:id="rId6624">
        <w:r>
          <w:rPr>
            <w:color w:val="0000EE"/>
            <w:u w:val="single"/>
          </w:rPr>
          <w:t>20.41</w:t>
        </w:r>
      </w:hyperlink>
      <w:r>
        <w:t xml:space="preserve">). De acordo com </w:t>
      </w:r>
      <w:hyperlink r:id="rId6625">
        <w:r>
          <w:rPr>
            <w:color w:val="0000EE"/>
            <w:u w:val="single"/>
          </w:rPr>
          <w:t>Mc 11.10</w:t>
        </w:r>
      </w:hyperlink>
      <w:r>
        <w:t xml:space="preserve"> e </w:t>
      </w:r>
      <w:hyperlink r:id="rId3350">
        <w:r>
          <w:rPr>
            <w:color w:val="0000EE"/>
            <w:u w:val="single"/>
          </w:rPr>
          <w:t>Jo 7.42</w:t>
        </w:r>
      </w:hyperlink>
      <w:r>
        <w:t>, os judeus dos dias de Jesus esperavam que o Messias (Cristo) fosse um descendente de Davi. Ao afirmar que Jesus veio da linhagem de Davi, os Evangelhos também ensinam claramente que Jesus era o Filho de Deus (</w:t>
      </w:r>
      <w:hyperlink r:id="rId6626">
        <w:r>
          <w:rPr>
            <w:color w:val="0000EE"/>
            <w:u w:val="single"/>
          </w:rPr>
          <w:t>Mt 22.41–45</w:t>
        </w:r>
      </w:hyperlink>
      <w:r>
        <w:t xml:space="preserve">; </w:t>
      </w:r>
      <w:hyperlink r:id="rId6627">
        <w:r>
          <w:rPr>
            <w:color w:val="0000EE"/>
            <w:u w:val="single"/>
          </w:rPr>
          <w:t>Mc 12.35–37</w:t>
        </w:r>
      </w:hyperlink>
      <w:r>
        <w:t xml:space="preserve">; </w:t>
      </w:r>
      <w:hyperlink r:id="rId6628">
        <w:r>
          <w:rPr>
            <w:color w:val="0000EE"/>
            <w:u w:val="single"/>
          </w:rPr>
          <w:t>Lc 20.41–44</w:t>
        </w:r>
      </w:hyperlink>
      <w:r>
        <w:t>).</w:t>
      </w:r>
    </w:p>
    <w:p>
      <w:r/>
      <w:r>
        <w:t>No livro de Atos, Davi é reconhecido como o destinatário das promessas de Deus cumpridas em Jesus Cristo. Davi também é visto como um profeta a quem o Espírito Santo inspirou para escrever os salmos (</w:t>
      </w:r>
      <w:hyperlink r:id="rId6629">
        <w:r>
          <w:rPr>
            <w:color w:val="0000EE"/>
            <w:u w:val="single"/>
          </w:rPr>
          <w:t>At 1.16</w:t>
        </w:r>
      </w:hyperlink>
      <w:r>
        <w:t xml:space="preserve">; </w:t>
      </w:r>
      <w:hyperlink r:id="rId6630">
        <w:r>
          <w:rPr>
            <w:color w:val="0000EE"/>
            <w:u w:val="single"/>
          </w:rPr>
          <w:t>2.22–36</w:t>
        </w:r>
      </w:hyperlink>
      <w:r>
        <w:t xml:space="preserve">; </w:t>
      </w:r>
      <w:hyperlink r:id="rId6631">
        <w:r>
          <w:rPr>
            <w:color w:val="0000EE"/>
            <w:u w:val="single"/>
          </w:rPr>
          <w:t>4.25</w:t>
        </w:r>
      </w:hyperlink>
      <w:r>
        <w:t xml:space="preserve">; </w:t>
      </w:r>
      <w:hyperlink r:id="rId6632">
        <w:r>
          <w:rPr>
            <w:color w:val="0000EE"/>
            <w:u w:val="single"/>
          </w:rPr>
          <w:t>13.26–39</w:t>
        </w:r>
      </w:hyperlink>
      <w:r>
        <w:t>).</w:t>
      </w:r>
    </w:p>
    <w:p>
      <w:r/>
      <w:r>
        <w:t>No livro de Apocalipse, Jesus é designado como tendo a “chave de Davi” (</w:t>
      </w:r>
      <w:hyperlink r:id="rId6633">
        <w:r>
          <w:rPr>
            <w:color w:val="0000EE"/>
            <w:u w:val="single"/>
          </w:rPr>
          <w:t>Ap 3.7</w:t>
        </w:r>
      </w:hyperlink>
      <w:r>
        <w:t>), e como sendo “o Leão da tribo de Judá, a Raiz de Davi” (</w:t>
      </w:r>
      <w:hyperlink r:id="rId1781">
        <w:r>
          <w:rPr>
            <w:color w:val="0000EE"/>
            <w:u w:val="single"/>
          </w:rPr>
          <w:t>5.5</w:t>
        </w:r>
      </w:hyperlink>
      <w:r>
        <w:t>). Jesus é citado como afirmando que “Eu sou a raiz e a descendência de Davi, a brilhante estrela da manhã” (</w:t>
      </w:r>
      <w:hyperlink r:id="rId6634">
        <w:r>
          <w:rPr>
            <w:color w:val="0000EE"/>
            <w:u w:val="single"/>
          </w:rPr>
          <w:t>22.16</w:t>
        </w:r>
      </w:hyperlink>
      <w:r>
        <w:t>).</w:t>
      </w:r>
    </w:p>
    <w:p>
      <w:r/>
      <w:r>
        <w:rPr>
          <w:i/>
        </w:rPr>
        <w:t>Veja também</w:t>
      </w:r>
      <w:r>
        <w:t xml:space="preserve"> </w:t>
      </w:r>
      <w:r>
        <w:t>Cristologia</w:t>
      </w:r>
      <w:r>
        <w:t xml:space="preserve">; </w:t>
      </w:r>
      <w:r>
        <w:t>Cronologia da Bíblia (Antigo Testamento)</w:t>
      </w:r>
      <w:r>
        <w:t xml:space="preserve">; </w:t>
      </w:r>
      <w:r>
        <w:t>Israel, História de</w:t>
      </w:r>
      <w:r>
        <w:t xml:space="preserve">; </w:t>
      </w:r>
      <w:r>
        <w:t>Rei</w:t>
      </w:r>
      <w:r>
        <w:t xml:space="preserve">; </w:t>
      </w:r>
      <w:r>
        <w:t>Reino de Deus, Reino do Céu</w:t>
      </w:r>
      <w:r>
        <w:t xml:space="preserve">; </w:t>
      </w:r>
      <w:r>
        <w:t>Messias</w:t>
      </w:r>
      <w:r>
        <w:t>.</w:t>
      </w:r>
      <w:r/>
      <w:r/>
    </w:p>
    <w:p>
      <w:r/>
    </w:p>
    <w:p>
      <w:pPr>
        <w:pStyle w:val="Heading2"/>
      </w:pPr>
      <w:r>
        <w:t>Débora</w:t>
      </w:r>
      <w:r/>
    </w:p>
    <w:p>
      <w:r/>
      <w:r>
        <w:t>O nome de duas mulheres no Antigo Testamento. Em hebraico, Débora significa "abelha" (</w:t>
      </w:r>
      <w:hyperlink r:id="rId1489">
        <w:r>
          <w:rPr>
            <w:color w:val="0000EE"/>
            <w:u w:val="single"/>
          </w:rPr>
          <w:t>Sl 118.12</w:t>
        </w:r>
      </w:hyperlink>
      <w:r>
        <w:t xml:space="preserve">; </w:t>
      </w:r>
      <w:hyperlink r:id="rId1490">
        <w:r>
          <w:rPr>
            <w:color w:val="0000EE"/>
            <w:u w:val="single"/>
          </w:rPr>
          <w:t>Is 7.18</w:t>
        </w:r>
      </w:hyperlink>
      <w:r>
        <w:t>).</w:t>
      </w:r>
    </w:p>
    <w:p>
      <w:pPr>
        <w:pStyle w:val="ListNumber"/>
        <w:spacing w:line="240" w:lineRule="auto"/>
        <w:ind w:left="720"/>
      </w:pPr>
      <w:r/>
      <w:r>
        <w:t>A ama de Rebeca (</w:t>
      </w:r>
      <w:hyperlink r:id="rId970">
        <w:r>
          <w:rPr>
            <w:color w:val="0000EE"/>
            <w:u w:val="single"/>
          </w:rPr>
          <w:t>Gn 35.8</w:t>
        </w:r>
      </w:hyperlink>
      <w:r>
        <w:t xml:space="preserve">). Débora morreu enquanto viajava para Betel com a casa de seu mestre Jacó. Ela foi enterrada em um local conhecido como </w:t>
      </w:r>
      <w:r>
        <w:rPr>
          <w:i/>
        </w:rPr>
        <w:t>Alom-Bacute</w:t>
      </w:r>
      <w:r>
        <w:t xml:space="preserve"> (que significa "o carvalho do choro"). Isso mostrou que ela era muito amada. Ela provavelmente era amiga de longa data de Rebeca (veja </w:t>
      </w:r>
      <w:hyperlink r:id="rId6635">
        <w:r>
          <w:rPr>
            <w:color w:val="0000EE"/>
            <w:u w:val="single"/>
          </w:rPr>
          <w:t>Gn 24.59–61</w:t>
        </w:r>
      </w:hyperlink>
      <w:r>
        <w:t>).</w:t>
      </w:r>
    </w:p>
    <w:p>
      <w:pPr>
        <w:pStyle w:val="ListNumber"/>
        <w:spacing w:line="240" w:lineRule="auto"/>
        <w:ind w:left="720"/>
      </w:pPr>
      <w:r/>
      <w:r>
        <w:t>Uma profetisa e juíza (</w:t>
      </w:r>
      <w:hyperlink r:id="rId6636">
        <w:r>
          <w:rPr>
            <w:color w:val="0000EE"/>
            <w:u w:val="single"/>
          </w:rPr>
          <w:t>Jz 4–5</w:t>
        </w:r>
      </w:hyperlink>
      <w:r>
        <w:t>). O papel de Débora como profetisa era transmitir a mensagem de Deus. Como juíza, ela era uma líder dos israelitas. Embora outras mulheres atuassem como profetisas na Bíblia, isso não era comum. Outras profetisas incluíam:</w:t>
      </w:r>
    </w:p>
    <w:p>
      <w:pPr>
        <w:pStyle w:val="ListBullet"/>
        <w:spacing w:line="240" w:lineRule="auto"/>
        <w:ind w:left="1440"/>
      </w:pPr>
      <w:r/>
      <w:r>
        <w:t>Miriã (</w:t>
      </w:r>
      <w:hyperlink r:id="rId6637">
        <w:r>
          <w:rPr>
            <w:color w:val="0000EE"/>
            <w:u w:val="single"/>
          </w:rPr>
          <w:t>Êx 15.20</w:t>
        </w:r>
      </w:hyperlink>
      <w:r>
        <w:t>)</w:t>
      </w:r>
    </w:p>
    <w:p>
      <w:pPr>
        <w:pStyle w:val="ListBullet"/>
        <w:spacing w:line="240" w:lineRule="auto"/>
        <w:ind w:left="1440"/>
      </w:pPr>
      <w:r/>
      <w:r>
        <w:t>Hulda (</w:t>
      </w:r>
      <w:hyperlink r:id="rId6638">
        <w:r>
          <w:rPr>
            <w:color w:val="0000EE"/>
            <w:u w:val="single"/>
          </w:rPr>
          <w:t>2Rs 22.14</w:t>
        </w:r>
      </w:hyperlink>
      <w:r>
        <w:t>)</w:t>
      </w:r>
    </w:p>
    <w:p>
      <w:pPr>
        <w:pStyle w:val="ListBullet"/>
        <w:spacing w:line="240" w:lineRule="auto"/>
        <w:ind w:left="1440"/>
      </w:pPr>
      <w:r/>
      <w:r>
        <w:t>Ana (</w:t>
      </w:r>
      <w:hyperlink r:id="rId6639">
        <w:r>
          <w:rPr>
            <w:color w:val="0000EE"/>
            <w:u w:val="single"/>
          </w:rPr>
          <w:t>Lc 2.36</w:t>
        </w:r>
      </w:hyperlink>
      <w:r>
        <w:t>)</w:t>
      </w:r>
    </w:p>
    <w:p>
      <w:r/>
      <w:r>
        <w:t xml:space="preserve">Débora era única porque já estava liderando o povo como juíza </w:t>
      </w:r>
      <w:r>
        <w:rPr>
          <w:i/>
        </w:rPr>
        <w:t>antes</w:t>
      </w:r>
      <w:r>
        <w:t xml:space="preserve"> dos principais eventos de sua história acontecerem (</w:t>
      </w:r>
      <w:hyperlink r:id="rId6640">
        <w:r>
          <w:rPr>
            <w:color w:val="0000EE"/>
            <w:u w:val="single"/>
          </w:rPr>
          <w:t>Jz 4.4</w:t>
        </w:r>
      </w:hyperlink>
      <w:r>
        <w:t>). Seu marido, Lapidote, de outro modo, é desconhecido.</w:t>
      </w:r>
    </w:p>
    <w:p>
      <w:r/>
      <w:r>
        <w:t>Débora foi celebrada como uma “mãe em Israel” (</w:t>
      </w:r>
      <w:hyperlink r:id="rId4189">
        <w:r>
          <w:rPr>
            <w:color w:val="0000EE"/>
            <w:u w:val="single"/>
          </w:rPr>
          <w:t>Jz 5.7</w:t>
        </w:r>
      </w:hyperlink>
      <w:r>
        <w:t>). Ela permanecia em um local, e as pessoas vinham até ela em busca de orientação. Mais de 200 anos depois, quando o livro de Juízes foi escrito, uma grande palmeira ainda marcava o local. Embora ela vivesse na terra de Benjamim (</w:t>
      </w:r>
      <w:hyperlink r:id="rId5249">
        <w:r>
          <w:rPr>
            <w:color w:val="0000EE"/>
            <w:u w:val="single"/>
          </w:rPr>
          <w:t>Jz 4.5</w:t>
        </w:r>
      </w:hyperlink>
      <w:r>
        <w:t xml:space="preserve">; compare </w:t>
      </w:r>
      <w:hyperlink r:id="rId2585">
        <w:r>
          <w:rPr>
            <w:color w:val="0000EE"/>
            <w:u w:val="single"/>
          </w:rPr>
          <w:t>Js 16.2</w:t>
        </w:r>
      </w:hyperlink>
      <w:r>
        <w:t xml:space="preserve">; </w:t>
      </w:r>
      <w:hyperlink r:id="rId2821">
        <w:r>
          <w:rPr>
            <w:color w:val="0000EE"/>
            <w:u w:val="single"/>
          </w:rPr>
          <w:t>18.13</w:t>
        </w:r>
      </w:hyperlink>
      <w:r>
        <w:t>), Débora era provavelmente da tribo de Efraim, a tribo mais proeminente do norte de Israel. No entanto, alguns estudiosos dizem que ela veio da tribo de Issacar (</w:t>
      </w:r>
      <w:hyperlink r:id="rId6641">
        <w:r>
          <w:rPr>
            <w:color w:val="0000EE"/>
            <w:u w:val="single"/>
          </w:rPr>
          <w:t>Jz 5.14–15</w:t>
        </w:r>
      </w:hyperlink>
      <w:r>
        <w:t>). Naquela época, as tribos estavam organizadas de forma solta e nem sempre ocupavam seu território designado.</w:t>
      </w:r>
    </w:p>
    <w:p>
      <w:r/>
      <w:r>
        <w:t>Sob a excelente liderança de Débora, os israelitas mal equipados derrotaram os cananeus na planície de Esdraelon (</w:t>
      </w:r>
      <w:hyperlink r:id="rId6642">
        <w:r>
          <w:rPr>
            <w:color w:val="0000EE"/>
            <w:u w:val="single"/>
          </w:rPr>
          <w:t>Jz 4.15</w:t>
        </w:r>
      </w:hyperlink>
      <w:r>
        <w:t>). A enchente do Rio Quisom desorganizou os carros de combate do inimigo (</w:t>
      </w:r>
      <w:hyperlink r:id="rId6643">
        <w:r>
          <w:rPr>
            <w:color w:val="0000EE"/>
            <w:u w:val="single"/>
          </w:rPr>
          <w:t>Jz 5.21–22</w:t>
        </w:r>
      </w:hyperlink>
      <w:r>
        <w:t>). Os cananeus fugiram para o norte, talvez para Taanaque, perto de Megido (</w:t>
      </w:r>
      <w:hyperlink r:id="rId6644">
        <w:r>
          <w:rPr>
            <w:color w:val="0000EE"/>
            <w:u w:val="single"/>
          </w:rPr>
          <w:t>Jz 5.19</w:t>
        </w:r>
      </w:hyperlink>
      <w:r>
        <w:t>). Eles nunca mais retornaram como inimigos dentro de Israel. O Cântico de Débora (</w:t>
      </w:r>
      <w:hyperlink r:id="rId4184">
        <w:r>
          <w:rPr>
            <w:color w:val="0000EE"/>
            <w:u w:val="single"/>
          </w:rPr>
          <w:t>Jz 5</w:t>
        </w:r>
      </w:hyperlink>
      <w:r>
        <w:t xml:space="preserve">) é uma versão poética da narrativa em prosa em </w:t>
      </w:r>
      <w:hyperlink r:id="rId2724">
        <w:r>
          <w:rPr>
            <w:color w:val="0000EE"/>
            <w:u w:val="single"/>
          </w:rPr>
          <w:t>Juízes 4</w:t>
        </w:r>
      </w:hyperlink>
      <w:r>
        <w:t>.</w:t>
      </w:r>
    </w:p>
    <w:p>
      <w:r/>
      <w:r>
        <w:rPr>
          <w:i/>
        </w:rPr>
        <w:t>Veja também</w:t>
      </w:r>
      <w:r>
        <w:t xml:space="preserve"> </w:t>
      </w:r>
      <w:r>
        <w:t>Baraque</w:t>
      </w:r>
      <w:r>
        <w:t xml:space="preserve">; </w:t>
      </w:r>
      <w:r>
        <w:t>Débora, Cântico de</w:t>
      </w:r>
      <w:r>
        <w:t xml:space="preserve">; </w:t>
      </w:r>
      <w:r>
        <w:t>Juízes, Livro de</w:t>
      </w:r>
      <w:r>
        <w:t>.</w:t>
      </w:r>
      <w:r/>
      <w:r/>
    </w:p>
    <w:p>
      <w:r/>
    </w:p>
    <w:p>
      <w:pPr>
        <w:pStyle w:val="Heading2"/>
      </w:pPr>
      <w:r>
        <w:t>Decápolis*</w:t>
      </w:r>
      <w:r/>
    </w:p>
    <w:p>
      <w:r/>
      <w:r>
        <w:t>Grupo de cidades-estados nas quais os gregos se estabeleceram após a conquista de Alexandre, o Grande, da área no quarto século a.C. Elas estavam localizados a sudeste do Mar da Galileia, com a exceção de Citópolis, que estava a oeste do rio Jordão. Por volta de 77 d.C. Plínio apresentou o que veio a ser a primeira lista conhecida das cidades: Canata, Damasco, Diom, Gadara, Gerasa, Hipos, Pela, Filadélfia, Rafana e Citópolis.</w:t>
      </w:r>
    </w:p>
    <w:p>
      <w:r/>
      <w:r>
        <w:t>Com a ascensão do nacionalismo judaico no segundo século a.C., o rei judeu Alexandre Janeu tomou o controle de algumas dessas cidades; elas permaneceram nas mãos de Israel até serem recapturadas pelo general romano Pompeu em 63 a.C. Durante a vida de Jesus, as cidades da Decápolis, que haviam se tornado centros de comércio relativamente prósperos, foram consolidadas em uma aliança romana contra uma possível revolta judaica.</w:t>
      </w:r>
    </w:p>
    <w:p>
      <w:r/>
      <w:r>
        <w:t xml:space="preserve">A Decápolis é mencionada três vezes no NT. A primeira está em </w:t>
      </w:r>
      <w:hyperlink r:id="rId3504">
        <w:r>
          <w:rPr>
            <w:color w:val="0000EE"/>
            <w:u w:val="single"/>
          </w:rPr>
          <w:t>Mateus 4.25</w:t>
        </w:r>
      </w:hyperlink>
      <w:r>
        <w:t xml:space="preserve">, onde grandes multidões (principalmente gregos e cananeus) seguiam Jesus durante seu ministério inicial. Como vemos em </w:t>
      </w:r>
      <w:hyperlink r:id="rId6645">
        <w:r>
          <w:rPr>
            <w:color w:val="0000EE"/>
            <w:u w:val="single"/>
          </w:rPr>
          <w:t>Marcos 5.20</w:t>
        </w:r>
      </w:hyperlink>
      <w:r>
        <w:t xml:space="preserve">, o endemoninhado que foi curado por Jesus foi e proclamou Jesus em toda a região da Decápolis. Finalmente, </w:t>
      </w:r>
      <w:hyperlink r:id="rId3505">
        <w:r>
          <w:rPr>
            <w:color w:val="0000EE"/>
            <w:u w:val="single"/>
          </w:rPr>
          <w:t>Marcos 7.31</w:t>
        </w:r>
      </w:hyperlink>
      <w:r>
        <w:t xml:space="preserve"> diz que Jesus passou pela região de Decápolis em seu caminho de Tiro e Sidom ao Mar da Galileia.</w:t>
      </w:r>
      <w:r/>
      <w:r/>
    </w:p>
    <w:p>
      <w:r/>
    </w:p>
    <w:p>
      <w:pPr>
        <w:pStyle w:val="Heading2"/>
      </w:pPr>
      <w:r>
        <w:t>Dedã (Pessoa)</w:t>
      </w:r>
      <w:r/>
    </w:p>
    <w:p>
      <w:r/>
      <w:r>
        <w:t>1. Neto de Cuxe na lista dos descendentes de Noé. Seu pai era Raamá, e o nome de seu irmão era Seba (</w:t>
      </w:r>
      <w:hyperlink r:id="rId6646">
        <w:r>
          <w:rPr>
            <w:color w:val="0000EE"/>
            <w:u w:val="single"/>
          </w:rPr>
          <w:t>Gn 10.7</w:t>
        </w:r>
      </w:hyperlink>
      <w:r>
        <w:t xml:space="preserve">; </w:t>
      </w:r>
      <w:hyperlink r:id="rId6647">
        <w:r>
          <w:rPr>
            <w:color w:val="0000EE"/>
            <w:u w:val="single"/>
          </w:rPr>
          <w:t>1Cr 1.9</w:t>
        </w:r>
      </w:hyperlink>
      <w:r>
        <w:t>).</w:t>
      </w:r>
    </w:p>
    <w:p>
      <w:r/>
      <w:r>
        <w:t>2. Neto de Abraão através de Quetura (</w:t>
      </w:r>
      <w:hyperlink r:id="rId2792">
        <w:r>
          <w:rPr>
            <w:color w:val="0000EE"/>
            <w:u w:val="single"/>
          </w:rPr>
          <w:t>Gn 25.3</w:t>
        </w:r>
      </w:hyperlink>
      <w:r>
        <w:t>). Seu pai era Jocsã, seu irmão era Seba, e seus descendentes foram os Assurins, Letusins e Leumins.</w:t>
      </w:r>
      <w:r/>
      <w:r/>
    </w:p>
    <w:p>
      <w:r/>
    </w:p>
    <w:p>
      <w:pPr>
        <w:pStyle w:val="Heading2"/>
      </w:pPr>
      <w:r>
        <w:t>Deformidade</w:t>
      </w:r>
      <w:r/>
    </w:p>
    <w:p>
      <w:r/>
      <w:r>
        <w:t>Qualquer anormalidade física óbvia. No sistema sacrificial do AT, tanto o animal a ser sacrificado (</w:t>
      </w:r>
      <w:hyperlink r:id="rId6648">
        <w:r>
          <w:rPr>
            <w:color w:val="0000EE"/>
            <w:u w:val="single"/>
          </w:rPr>
          <w:t>Lv 1.3</w:t>
        </w:r>
      </w:hyperlink>
      <w:r>
        <w:t xml:space="preserve">; </w:t>
      </w:r>
      <w:hyperlink r:id="rId6649">
        <w:r>
          <w:rPr>
            <w:color w:val="0000EE"/>
            <w:u w:val="single"/>
          </w:rPr>
          <w:t>4.3</w:t>
        </w:r>
      </w:hyperlink>
      <w:r>
        <w:t xml:space="preserve">) quanto o sacerdote que realizava o sacrifício (capítulo </w:t>
      </w:r>
      <w:hyperlink r:id="rId6650">
        <w:r>
          <w:rPr>
            <w:color w:val="0000EE"/>
            <w:u w:val="single"/>
          </w:rPr>
          <w:t>21</w:t>
        </w:r>
      </w:hyperlink>
      <w:r>
        <w:t>) tinham que ser espécimes fisicamente perfeitos, sem defeito ou falha. Por serem perfeitos, eles são ambos tipos de Cristo no AT.</w:t>
      </w:r>
    </w:p>
    <w:p>
      <w:r/>
      <w:r>
        <w:t>Dos 11 defeitos que excluiriam um homem de se tornar sacerdote (</w:t>
      </w:r>
      <w:hyperlink r:id="rId6651">
        <w:r>
          <w:rPr>
            <w:color w:val="0000EE"/>
            <w:u w:val="single"/>
          </w:rPr>
          <w:t>Lv 21.17–20</w:t>
        </w:r>
      </w:hyperlink>
      <w:r>
        <w:t xml:space="preserve">), sete são no sistema musculoesquelético, dois são no olho, um é na pele e outro no sistema reprodutivo. A deformidade do “nariz chato” (KJV) ou “rosto defeituoso” (NVI) em </w:t>
      </w:r>
      <w:hyperlink r:id="rId4640">
        <w:r>
          <w:rPr>
            <w:color w:val="0000EE"/>
            <w:u w:val="single"/>
          </w:rPr>
          <w:t>Levítico 21.18</w:t>
        </w:r>
      </w:hyperlink>
      <w:r>
        <w:t xml:space="preserve"> não se refere a uma variante normal, mas a um nariz gravemente enfermo. Há um grande número de síndromes genéticas e doenças hereditárias que apresentam narizes muito deformados. Da mesma forma, as doenças infecciosas adquiridas como sífilis, tuberculose e lepra podem causar destruição do osso e suporte da cartilagem do nariz. Com o apoio perdido, a pele do nariz afunda para dentro. Isso é referido hoje como uma deformidade “em sela” do nariz.</w:t>
      </w:r>
    </w:p>
    <w:p>
      <w:r/>
      <w:r>
        <w:t>Tanto o AT quanto o NT descrevem uma instância em que um homem tem um braço “seco” (KJV), "quebrado" (NVI) ou “paralisado” (NTLH). Tal defeito ocorre quando os nervos que suportam uma extremidade são danificados e os ossos se atrofiam. Uma lesão em um braço atingido por uma espada pode causar isso (</w:t>
      </w:r>
      <w:hyperlink r:id="rId6652">
        <w:r>
          <w:rPr>
            <w:color w:val="0000EE"/>
            <w:u w:val="single"/>
          </w:rPr>
          <w:t>Zc 11.17</w:t>
        </w:r>
      </w:hyperlink>
      <w:r>
        <w:t>). A partir do NT, aprendemos que Jesus tinha o poder para instantaneamente curar um homem com uma mão cronicamente paralisada (</w:t>
      </w:r>
      <w:hyperlink r:id="rId6653">
        <w:r>
          <w:rPr>
            <w:color w:val="0000EE"/>
            <w:u w:val="single"/>
          </w:rPr>
          <w:t>Mt 12.10</w:t>
        </w:r>
      </w:hyperlink>
      <w:r>
        <w:t xml:space="preserve">; </w:t>
      </w:r>
      <w:hyperlink r:id="rId6654">
        <w:r>
          <w:rPr>
            <w:color w:val="0000EE"/>
            <w:u w:val="single"/>
          </w:rPr>
          <w:t>Mc 3.1</w:t>
        </w:r>
      </w:hyperlink>
      <w:r>
        <w:t xml:space="preserve">; </w:t>
      </w:r>
      <w:hyperlink r:id="rId6655">
        <w:r>
          <w:rPr>
            <w:color w:val="0000EE"/>
            <w:u w:val="single"/>
          </w:rPr>
          <w:t>Lc 6.6</w:t>
        </w:r>
      </w:hyperlink>
      <w:r>
        <w:t>).</w:t>
      </w:r>
    </w:p>
    <w:p>
      <w:r/>
      <w:r>
        <w:rPr>
          <w:i/>
        </w:rPr>
        <w:t>Veja também</w:t>
      </w:r>
      <w:r>
        <w:t xml:space="preserve"> </w:t>
      </w:r>
      <w:r>
        <w:t>Doença</w:t>
      </w:r>
      <w:r>
        <w:t xml:space="preserve">; </w:t>
      </w:r>
      <w:r>
        <w:t>Medicina e Prática Médica</w:t>
      </w:r>
      <w:r>
        <w:t>.</w:t>
      </w:r>
      <w:r/>
      <w:r/>
    </w:p>
    <w:p>
      <w:r/>
    </w:p>
    <w:p>
      <w:pPr>
        <w:pStyle w:val="Heading2"/>
      </w:pPr>
      <w:r>
        <w:t>Degraus, Canção dos</w:t>
      </w:r>
      <w:r/>
    </w:p>
    <w:p>
      <w:r/>
      <w:r>
        <w:t xml:space="preserve">Título de </w:t>
      </w:r>
      <w:hyperlink r:id="rId4231">
        <w:r>
          <w:rPr>
            <w:color w:val="0000EE"/>
            <w:u w:val="single"/>
          </w:rPr>
          <w:t>Salmos 120–134</w:t>
        </w:r>
      </w:hyperlink>
      <w:r>
        <w:t xml:space="preserve">. </w:t>
      </w:r>
      <w:r>
        <w:rPr>
          <w:i/>
        </w:rPr>
        <w:t>Veja</w:t>
      </w:r>
      <w:r>
        <w:t xml:space="preserve"> </w:t>
      </w:r>
      <w:r>
        <w:t>Cântico das subidas, Cântico dos degraus</w:t>
      </w:r>
      <w:r>
        <w:t>.</w:t>
      </w:r>
      <w:r/>
      <w:r/>
    </w:p>
    <w:p>
      <w:r/>
    </w:p>
    <w:p>
      <w:pPr>
        <w:pStyle w:val="Heading2"/>
      </w:pPr>
      <w:r>
        <w:t>Demétrio</w:t>
      </w:r>
      <w:r/>
    </w:p>
    <w:p>
      <w:r/>
      <w:r>
        <w:t>Nome ("Filho de Deméter") de cinco pessoas nos tempos bíblicos: três reis sírios e duas figuras do Novo Testamento.</w:t>
      </w:r>
    </w:p>
    <w:p>
      <w:r/>
      <w:r>
        <w:t>1. Sucessor de Antíoco V Eupátor. Demétrio I foi rei (160–151 a.C.) durante a revolta judaica liderada por Judas Macabeu. Ele tentou várias campanhas malsucedidas contra os judeus (</w:t>
      </w:r>
      <w:hyperlink r:id="rId6656">
        <w:r>
          <w:rPr>
            <w:color w:val="0000EE"/>
            <w:u w:val="single"/>
          </w:rPr>
          <w:t>1Mc 7.1–10</w:t>
        </w:r>
      </w:hyperlink>
      <w:r>
        <w:t xml:space="preserve">; </w:t>
      </w:r>
      <w:hyperlink r:id="rId6657">
        <w:r>
          <w:rPr>
            <w:color w:val="0000EE"/>
            <w:u w:val="single"/>
          </w:rPr>
          <w:t>2Mc 14.1–15,26–28</w:t>
        </w:r>
      </w:hyperlink>
      <w:r>
        <w:t>). Perto do final de seu reinado, Demétrio foi desafiado por Alexandre Epifânio e morreu em batalha (</w:t>
      </w:r>
      <w:hyperlink r:id="rId6658">
        <w:r>
          <w:rPr>
            <w:color w:val="0000EE"/>
            <w:u w:val="single"/>
          </w:rPr>
          <w:t>1Mc 10.46–50</w:t>
        </w:r>
      </w:hyperlink>
      <w:r>
        <w:t>).</w:t>
      </w:r>
    </w:p>
    <w:p>
      <w:r/>
      <w:r>
        <w:t>2. Filho de Demétrio I. Após a derrota e morte de seu pai, Demétrio II buscou refúgio em Creta e depois desafiou Alexandre Epifânio, invadindo a Síria com um exército de mercenários estrangeiros. Demétrio eventualmente concluiu um tratado com os judeus e conquistou o trono sírio em 145 a.C. (</w:t>
      </w:r>
      <w:hyperlink r:id="rId6659">
        <w:r>
          <w:rPr>
            <w:color w:val="0000EE"/>
            <w:u w:val="single"/>
          </w:rPr>
          <w:t>1Mc 11.32–37</w:t>
        </w:r>
      </w:hyperlink>
      <w:r>
        <w:t xml:space="preserve">). Os judeus também ajudaram Demétrio contra outro rival, Trifão, até que ele quebrou sua palavra para com eles (vv. </w:t>
      </w:r>
      <w:hyperlink r:id="rId6660">
        <w:r>
          <w:rPr>
            <w:color w:val="0000EE"/>
            <w:u w:val="single"/>
          </w:rPr>
          <w:t>54–55</w:t>
        </w:r>
      </w:hyperlink>
      <w:r>
        <w:t>). Na disputa subsequente entre Demétrio e Trifão, os judeus, sob o comando do irmão de Jônatas, Simão Macabeu, alcançaram a independência (</w:t>
      </w:r>
      <w:hyperlink r:id="rId6661">
        <w:r>
          <w:rPr>
            <w:color w:val="0000EE"/>
            <w:u w:val="single"/>
          </w:rPr>
          <w:t>13.34–42</w:t>
        </w:r>
      </w:hyperlink>
      <w:r>
        <w:t>). Demétrio foi capturado por Arsaces VI (Mitrídates I), rei da Pártia, por volta de 138 a.C. (</w:t>
      </w:r>
      <w:hyperlink r:id="rId6662">
        <w:r>
          <w:rPr>
            <w:color w:val="0000EE"/>
            <w:u w:val="single"/>
          </w:rPr>
          <w:t>1Mc 14.1–3</w:t>
        </w:r>
      </w:hyperlink>
      <w:r>
        <w:t>). Ele retornou ao trono sírio 10 anos depois e reinou brevemente até seu assassinato (125 a.C.).</w:t>
      </w:r>
    </w:p>
    <w:p>
      <w:r/>
      <w:r>
        <w:t>3. Neto de Demétrio II. Demétrio III governou a Síria (95–88 a.C.) durante os anos turbulentos da era Selêucida. Um partido governante em Israel, os fariseus, solicitou sua ajuda na disputa com o sacerdote-rei Alexandre Janeu, mas sem sucesso.</w:t>
      </w:r>
    </w:p>
    <w:p>
      <w:r/>
      <w:r>
        <w:t>4. Ourives pagão na cidade de Éfeso. Ele provocou um tumulto contra evangelistas cristãos cuja pregação teve efeitos prejudiciais em seu comércio (</w:t>
      </w:r>
      <w:hyperlink r:id="rId740">
        <w:r>
          <w:rPr>
            <w:color w:val="0000EE"/>
            <w:u w:val="single"/>
          </w:rPr>
          <w:t>At 19.23–41</w:t>
        </w:r>
      </w:hyperlink>
      <w:r>
        <w:t>). A cidade de Éfeso era um centro de adoração a Diana (contraparte latina da deusa grega Ártemis), a deusa da caça. Um enorme templo, uma das sete maravilhas do mundo antigo, havia sido erguido lá para sua adoração. Entre as atividades comerciais ligadas ao culto de Diana estava a fabricação de imagens religiosas de vários materiais, incluindo prata.</w:t>
      </w:r>
    </w:p>
    <w:p>
      <w:r/>
      <w:r>
        <w:t>Demétrio, falando em nome dos ourives, afirmou que tanto seu negócio quanto o culto a Diana estavam ameaçados pela pregação do apóstolo Paulo e seus companheiros. Reunindo os outros ourives, ele denunciou Paulo. A reunião causou uma comoção geral, e uma multidão arrastou três dos companheiros de Paulo para o anfiteatro. Finalmente, o escrivão da cidade, responsável perante as autoridades romanas por manter a ordem cívica, conseguiu acalmar a multidão, persuadindo-os a levar quaisquer queixas que pudessem ter aos tribunais.</w:t>
      </w:r>
    </w:p>
    <w:p>
      <w:r/>
      <w:r>
        <w:t>5. Cristão fiel a quem o apóstolo João elogiou em sua terceira carta do NT (</w:t>
      </w:r>
      <w:hyperlink r:id="rId6663">
        <w:r>
          <w:rPr>
            <w:color w:val="0000EE"/>
            <w:u w:val="single"/>
          </w:rPr>
          <w:t>3Jo 1.12</w:t>
        </w:r>
      </w:hyperlink>
      <w:r>
        <w:t>). Demétrio pode ter sido o portador dessa carta.</w:t>
      </w:r>
    </w:p>
    <w:p>
      <w:r/>
      <w:r>
        <w:rPr>
          <w:i/>
        </w:rPr>
        <w:t>Veja também</w:t>
      </w:r>
      <w:r>
        <w:t xml:space="preserve"> </w:t>
      </w:r>
      <w:r>
        <w:t>João, Cartas de</w:t>
      </w:r>
      <w:r>
        <w:t>.</w:t>
      </w:r>
      <w:r/>
      <w:r/>
    </w:p>
    <w:p>
      <w:r/>
    </w:p>
    <w:p>
      <w:pPr>
        <w:pStyle w:val="Heading2"/>
      </w:pPr>
      <w:r>
        <w:t>Demônio</w:t>
      </w:r>
      <w:r/>
    </w:p>
    <w:p>
      <w:r/>
      <w:r>
        <w:t>Anjo caído que, sob a liderança de Satanás, rebelou-se contra Deus. O demonismo é a atividade de demônios, enquanto a demonologia é o estudo dos demônios e sua atividade com o propósito de conhecer as táticas do inimigo (</w:t>
      </w:r>
      <w:hyperlink r:id="rId6664">
        <w:r>
          <w:rPr>
            <w:color w:val="0000EE"/>
            <w:u w:val="single"/>
          </w:rPr>
          <w:t>2Co 2.11</w:t>
        </w:r>
      </w:hyperlink>
      <w:r>
        <w:t>) a fim de exercer autoridade sobre eles (</w:t>
      </w:r>
      <w:hyperlink r:id="rId1833">
        <w:r>
          <w:rPr>
            <w:color w:val="0000EE"/>
            <w:u w:val="single"/>
          </w:rPr>
          <w:t>Lc 10.19</w:t>
        </w:r>
      </w:hyperlink>
      <w:r>
        <w:t>).</w:t>
      </w:r>
    </w:p>
    <w:p>
      <w:pPr>
        <w:pStyle w:val="Heading3"/>
      </w:pPr>
      <w:r>
        <w:t>Quem são os demônios</w:t>
      </w:r>
    </w:p>
    <w:p>
      <w:r/>
      <w:r>
        <w:t xml:space="preserve">A palavra “demônio” é derivada do grego </w:t>
      </w:r>
      <w:r>
        <w:rPr>
          <w:i/>
        </w:rPr>
        <w:t>daimon</w:t>
      </w:r>
      <w:r>
        <w:t xml:space="preserve">, que essencialmente significa “uma divindade, deidade” (isto é, uma falsa divindade, um demônio; cf. </w:t>
      </w:r>
      <w:hyperlink r:id="rId6665">
        <w:r>
          <w:rPr>
            <w:color w:val="0000EE"/>
            <w:u w:val="single"/>
          </w:rPr>
          <w:t>1Co 10.20</w:t>
        </w:r>
      </w:hyperlink>
      <w:r>
        <w:t>). Qualquer divindade que não seja o único Deus verdadeiro é um espírito que se opõe a ele; portanto, tal espírito é um espírito maligno, ou demônio. A palavra “demônio” não aparece na KJV, que traduz erroneamente daimon como “diabo”. Há apenas um diabo (grego diabolos), conhecido por uma variedade de nomes, títulos e epítetos na Bíblia. Ele é o príncipe ou governante de todos os outros demônios, que estão sujeitos a ele.</w:t>
      </w:r>
    </w:p>
    <w:p>
      <w:r/>
      <w:r>
        <w:t>Muitas vezes na Bíblia, a palavra “espírito” é usada para demônio, com uma frase descritiva ou de identificação; por exemplo, “espírito maligno” (</w:t>
      </w:r>
      <w:hyperlink r:id="rId6666">
        <w:r>
          <w:rPr>
            <w:color w:val="0000EE"/>
            <w:u w:val="single"/>
          </w:rPr>
          <w:t>Atos 19.12–13</w:t>
        </w:r>
      </w:hyperlink>
      <w:r>
        <w:t>), “espírito imundo” (</w:t>
      </w:r>
      <w:hyperlink r:id="rId6667">
        <w:r>
          <w:rPr>
            <w:color w:val="0000EE"/>
            <w:u w:val="single"/>
          </w:rPr>
          <w:t>Mt 10.1</w:t>
        </w:r>
      </w:hyperlink>
      <w:r>
        <w:t xml:space="preserve">; </w:t>
      </w:r>
      <w:hyperlink r:id="rId3988">
        <w:r>
          <w:rPr>
            <w:color w:val="0000EE"/>
            <w:u w:val="single"/>
          </w:rPr>
          <w:t>Mc 1.23,26</w:t>
        </w:r>
      </w:hyperlink>
      <w:r>
        <w:t xml:space="preserve">; </w:t>
      </w:r>
      <w:hyperlink r:id="rId6668">
        <w:r>
          <w:rPr>
            <w:color w:val="0000EE"/>
            <w:u w:val="single"/>
          </w:rPr>
          <w:t>Atos 5.16</w:t>
        </w:r>
      </w:hyperlink>
      <w:r>
        <w:t>), “espírito de enfermidade” (</w:t>
      </w:r>
      <w:hyperlink r:id="rId6669">
        <w:r>
          <w:rPr>
            <w:color w:val="0000EE"/>
            <w:u w:val="single"/>
          </w:rPr>
          <w:t>Lc 13.11</w:t>
        </w:r>
      </w:hyperlink>
      <w:r>
        <w:t>), “espírito mudo e surdo” (</w:t>
      </w:r>
      <w:hyperlink r:id="rId6670">
        <w:r>
          <w:rPr>
            <w:color w:val="0000EE"/>
            <w:u w:val="single"/>
          </w:rPr>
          <w:t>Mc 9.25</w:t>
        </w:r>
      </w:hyperlink>
      <w:r>
        <w:t>) (todas as citações da ARA). Os espíritos podem ser identificados por seu papel ou função específica, como um espírito de assassinato, suicídio, luxúria, depressão, medo, mentira, etc., associando-os com vários pecados ou atitudes contrárias a Deus.</w:t>
      </w:r>
    </w:p>
    <w:p>
      <w:r/>
      <w:r>
        <w:t>No AT hebraico, não há palavra para “demônio”. O termo “espírito maligno” ocorre (</w:t>
      </w:r>
      <w:hyperlink r:id="rId6671">
        <w:r>
          <w:rPr>
            <w:color w:val="0000EE"/>
            <w:u w:val="single"/>
          </w:rPr>
          <w:t>Jz 9.23</w:t>
        </w:r>
      </w:hyperlink>
      <w:r>
        <w:t xml:space="preserve">; </w:t>
      </w:r>
      <w:hyperlink r:id="rId6672">
        <w:r>
          <w:rPr>
            <w:color w:val="0000EE"/>
            <w:u w:val="single"/>
          </w:rPr>
          <w:t>1Sm 16.14–23</w:t>
        </w:r>
      </w:hyperlink>
      <w:r>
        <w:t xml:space="preserve">; </w:t>
      </w:r>
      <w:hyperlink r:id="rId6673">
        <w:r>
          <w:rPr>
            <w:color w:val="0000EE"/>
            <w:u w:val="single"/>
          </w:rPr>
          <w:t>18.10</w:t>
        </w:r>
      </w:hyperlink>
      <w:r>
        <w:t xml:space="preserve">; </w:t>
      </w:r>
      <w:hyperlink r:id="rId6674">
        <w:r>
          <w:rPr>
            <w:color w:val="0000EE"/>
            <w:u w:val="single"/>
          </w:rPr>
          <w:t>19.9</w:t>
        </w:r>
      </w:hyperlink>
      <w:r>
        <w:t>). Na ARA, há referências a “um espírito mentiroso” (</w:t>
      </w:r>
      <w:hyperlink r:id="rId6675">
        <w:r>
          <w:rPr>
            <w:color w:val="0000EE"/>
            <w:u w:val="single"/>
          </w:rPr>
          <w:t>1Rs 22.22–23</w:t>
        </w:r>
      </w:hyperlink>
      <w:r>
        <w:t xml:space="preserve">; </w:t>
      </w:r>
      <w:hyperlink r:id="rId6676">
        <w:r>
          <w:rPr>
            <w:color w:val="0000EE"/>
            <w:u w:val="single"/>
          </w:rPr>
          <w:t>2Cr 18.20–22</w:t>
        </w:r>
      </w:hyperlink>
      <w:r>
        <w:t>), “espírito dos mortos” (</w:t>
      </w:r>
      <w:hyperlink r:id="rId6677">
        <w:r>
          <w:rPr>
            <w:color w:val="0000EE"/>
            <w:u w:val="single"/>
          </w:rPr>
          <w:t>1Cr 10.13</w:t>
        </w:r>
      </w:hyperlink>
      <w:r>
        <w:t xml:space="preserve">; </w:t>
      </w:r>
      <w:hyperlink r:id="rId6678">
        <w:r>
          <w:rPr>
            <w:color w:val="0000EE"/>
            <w:u w:val="single"/>
          </w:rPr>
          <w:t>2Cr 33.6</w:t>
        </w:r>
      </w:hyperlink>
      <w:r>
        <w:t>), “espírito perverso” (</w:t>
      </w:r>
      <w:hyperlink r:id="rId6679">
        <w:r>
          <w:rPr>
            <w:color w:val="0000EE"/>
            <w:u w:val="single"/>
          </w:rPr>
          <w:t>Is 19.14</w:t>
        </w:r>
      </w:hyperlink>
      <w:r>
        <w:t>), “espírito de sono profundo” (</w:t>
      </w:r>
      <w:hyperlink r:id="rId6680">
        <w:r>
          <w:rPr>
            <w:color w:val="0000EE"/>
            <w:u w:val="single"/>
          </w:rPr>
          <w:t>29.10</w:t>
        </w:r>
      </w:hyperlink>
      <w:r>
        <w:t>) e “espírito de prostituição” (</w:t>
      </w:r>
      <w:hyperlink r:id="rId6681">
        <w:r>
          <w:rPr>
            <w:color w:val="0000EE"/>
            <w:u w:val="single"/>
          </w:rPr>
          <w:t>Os 4.12</w:t>
        </w:r>
      </w:hyperlink>
      <w:r>
        <w:t xml:space="preserve">; </w:t>
      </w:r>
      <w:hyperlink r:id="rId6682">
        <w:r>
          <w:rPr>
            <w:color w:val="0000EE"/>
            <w:u w:val="single"/>
          </w:rPr>
          <w:t>5.4</w:t>
        </w:r>
      </w:hyperlink>
      <w:r>
        <w:t>).</w:t>
      </w:r>
    </w:p>
    <w:p>
      <w:r/>
      <w:r>
        <w:t>Um demônio poderoso específico referido por título no AT é “o príncipe do reino da Pérsia”, que impediu o arcanjo Gabriel de vir para trazer informações a Daniel, fazendo com que o arcanjo Miguel viesse em auxílio de Gabriel (</w:t>
      </w:r>
      <w:hyperlink r:id="rId1909">
        <w:r>
          <w:rPr>
            <w:color w:val="0000EE"/>
            <w:u w:val="single"/>
          </w:rPr>
          <w:t>Dn 10:13</w:t>
        </w:r>
      </w:hyperlink>
      <w:r>
        <w:t>).</w:t>
      </w:r>
    </w:p>
    <w:p>
      <w:r/>
      <w:r>
        <w:t xml:space="preserve">O número de demônios é desconhecido; parece ser um número vasto, talvez inestimável. A partir de </w:t>
      </w:r>
      <w:hyperlink r:id="rId6683">
        <w:r>
          <w:rPr>
            <w:color w:val="0000EE"/>
            <w:u w:val="single"/>
          </w:rPr>
          <w:t>Apocalipse 12.4</w:t>
        </w:r>
      </w:hyperlink>
      <w:r>
        <w:t xml:space="preserve">, infere-se que um terço dos anjos foi desviado por Satanás. Isso significa que as hostes do céu superam em número de dois para um os poderes de Satanás. </w:t>
      </w:r>
      <w:hyperlink r:id="rId4786">
        <w:r>
          <w:rPr>
            <w:color w:val="0000EE"/>
            <w:u w:val="single"/>
          </w:rPr>
          <w:t>Efésios 6.12</w:t>
        </w:r>
      </w:hyperlink>
      <w:r>
        <w:t xml:space="preserve"> sugere uma ordem ou classe de demônios: “principados”, “potestades”, “dominadores deste mundo tenebroso”, “forças espirituais do mal, nas regiões celestes” (ARA).</w:t>
      </w:r>
    </w:p>
    <w:p>
      <w:r/>
      <w:r>
        <w:t>Os demônios são seres criados — pessoais, imortais e incapazes de reconciliação com Deus. Eles têm grande poder em comparação com os humanos, mas pouco poder em comparação com Deus. Deus nos deu autoridade sobre eles, para que em nome de Jesus, eles devem obedecer ao povo de Deus, assim como eles devem obedecer ao próprio Senhor.</w:t>
      </w:r>
    </w:p>
    <w:p>
      <w:pPr>
        <w:pStyle w:val="Heading3"/>
      </w:pPr>
      <w:r>
        <w:t>O que os demônios fazem</w:t>
      </w:r>
    </w:p>
    <w:p>
      <w:r/>
      <w:r>
        <w:t>Os anjos foram criados para adorar e louvar a Deus, para servi-lo e agir como seus mensageiros. A Bíblia afirma que eles são “Todos eles são espíritos que servem a Deus, os quais ele envia para ajudar os que vão receber a salvação.” (</w:t>
      </w:r>
      <w:hyperlink r:id="rId6684">
        <w:r>
          <w:rPr>
            <w:color w:val="0000EE"/>
            <w:u w:val="single"/>
          </w:rPr>
          <w:t>Hb 1.14</w:t>
        </w:r>
      </w:hyperlink>
      <w:r>
        <w:t>, NTLH). Os anjos caídos têm uma função semelhante, mas um mestre diferente. Sua lealdade é ao diabo, a quem eles servem por medo e ilusão. Eles desejam trabalhar com seres humanos, mas seu propósito é realizar os esquemas de Satanás e se opor a Deus. Eles tentam, enganam e iludem as pessoas para levá-las para a condenação eterna. Ao se opor a Deus, eles atacam, oprimem, impedem e acusam o povo de Deus.</w:t>
      </w:r>
    </w:p>
    <w:p>
      <w:r/>
      <w:r>
        <w:t>Uma vez que Satanás não é onipresente, ele usa suas hostes demoníacas para realizar sua vontade; por exemplo, na parábola do semeador (</w:t>
      </w:r>
      <w:hyperlink r:id="rId6685">
        <w:r>
          <w:rPr>
            <w:color w:val="0000EE"/>
            <w:u w:val="single"/>
          </w:rPr>
          <w:t>Mt 13.3–9</w:t>
        </w:r>
      </w:hyperlink>
      <w:r>
        <w:t xml:space="preserve">; </w:t>
      </w:r>
      <w:hyperlink r:id="rId6686">
        <w:r>
          <w:rPr>
            <w:color w:val="0000EE"/>
            <w:u w:val="single"/>
          </w:rPr>
          <w:t>Mc 4.1–20</w:t>
        </w:r>
      </w:hyperlink>
      <w:r>
        <w:t xml:space="preserve">; </w:t>
      </w:r>
      <w:hyperlink r:id="rId6687">
        <w:r>
          <w:rPr>
            <w:color w:val="0000EE"/>
            <w:u w:val="single"/>
          </w:rPr>
          <w:t>Lc 8.4–15</w:t>
        </w:r>
      </w:hyperlink>
      <w:r>
        <w:t>), eles arrebatam a palavra antes que ela possa criar raízes (</w:t>
      </w:r>
      <w:hyperlink r:id="rId6688">
        <w:r>
          <w:rPr>
            <w:color w:val="0000EE"/>
            <w:u w:val="single"/>
          </w:rPr>
          <w:t>Mc 4.15</w:t>
        </w:r>
      </w:hyperlink>
      <w:r>
        <w:t xml:space="preserve">). Por perseguição, Satanás faz com que alguns se afastem antes de terem feito um compromisso genuíno (v. </w:t>
      </w:r>
      <w:hyperlink r:id="rId6689">
        <w:r>
          <w:rPr>
            <w:color w:val="0000EE"/>
            <w:u w:val="single"/>
          </w:rPr>
          <w:t>17</w:t>
        </w:r>
      </w:hyperlink>
      <w:r>
        <w:t xml:space="preserve">). Pelos cuidados do mundo e pelo prazer das riquezas e pelo desejo das coisas materiais, ele sufoca a palavra para que pouco ou nenhum fruto seja produzido (v. </w:t>
      </w:r>
      <w:hyperlink r:id="rId6690">
        <w:r>
          <w:rPr>
            <w:color w:val="0000EE"/>
            <w:u w:val="single"/>
          </w:rPr>
          <w:t>19</w:t>
        </w:r>
      </w:hyperlink>
      <w:r>
        <w:t>).</w:t>
      </w:r>
    </w:p>
    <w:p>
      <w:r/>
      <w:r>
        <w:t>Basicamente, os demônios operam de acordo com o padrão estabelecido por Satanás em sua abordagem tríplice com Eva: (1) eles negam a verdade da palavra de Deus e desafiam suas declarações; (2) eles negam a realidade da morte (tipicamente substituem por algo como reencarnação); e (3) eles apelam para a vaidade e orgulho humanos dizendo aos homens e mulheres que eles podem se tornar como Deus ou serem deuses (</w:t>
      </w:r>
      <w:hyperlink r:id="rId6691">
        <w:r>
          <w:rPr>
            <w:color w:val="0000EE"/>
            <w:u w:val="single"/>
          </w:rPr>
          <w:t>Gn 3.1–5</w:t>
        </w:r>
      </w:hyperlink>
      <w:r>
        <w:t>). Esses também são os métodos e ensinamentos básicos subjacentes à maioria das seitas e falsas religiões.</w:t>
      </w:r>
    </w:p>
    <w:p>
      <w:pPr>
        <w:pStyle w:val="Heading3"/>
      </w:pPr>
      <w:r>
        <w:t>O destino final dos demônios</w:t>
      </w:r>
    </w:p>
    <w:p>
      <w:r/>
      <w:r>
        <w:t>Está escrito sobre os anjos que pecaram que Deus “os jogou no inferno e os deixou presos com correntes na escuridão, esperando o Dia do Julgamento.” (</w:t>
      </w:r>
      <w:hyperlink r:id="rId110">
        <w:r>
          <w:rPr>
            <w:color w:val="0000EE"/>
            <w:u w:val="single"/>
          </w:rPr>
          <w:t>2Pe 2.4</w:t>
        </w:r>
      </w:hyperlink>
      <w:r>
        <w:t>, NTLH). O Senhor falou sobre o fogo eterno preparado para o diabo e seus anjos, para o qual os amaldiçoados dentre os humanos também devem ir (</w:t>
      </w:r>
      <w:hyperlink r:id="rId6692">
        <w:r>
          <w:rPr>
            <w:color w:val="0000EE"/>
            <w:u w:val="single"/>
          </w:rPr>
          <w:t>Mt 25.41</w:t>
        </w:r>
      </w:hyperlink>
      <w:r>
        <w:t>). Finalmente, Satanás e seu exército serão lançados no lago de fogo (</w:t>
      </w:r>
      <w:hyperlink r:id="rId6693">
        <w:r>
          <w:rPr>
            <w:color w:val="0000EE"/>
            <w:u w:val="single"/>
          </w:rPr>
          <w:t>Ap 20.10</w:t>
        </w:r>
      </w:hyperlink>
      <w:r>
        <w:t xml:space="preserve">), que também é o lugar de tormento eterno para todos os quais os nomes não estão escritos no Livro da Vida (vv. </w:t>
      </w:r>
      <w:hyperlink r:id="rId6694">
        <w:r>
          <w:rPr>
            <w:color w:val="0000EE"/>
            <w:u w:val="single"/>
          </w:rPr>
          <w:t>12–15</w:t>
        </w:r>
      </w:hyperlink>
      <w:r>
        <w:t>).</w:t>
      </w:r>
    </w:p>
    <w:p>
      <w:r/>
      <w:r>
        <w:rPr>
          <w:i/>
        </w:rPr>
        <w:t>Veja também</w:t>
      </w:r>
      <w:r>
        <w:t xml:space="preserve"> </w:t>
      </w:r>
      <w:r>
        <w:t>Possessão Demoníaca</w:t>
      </w:r>
      <w:r>
        <w:t>.</w:t>
      </w:r>
      <w:r/>
      <w:r/>
    </w:p>
    <w:p>
      <w:r/>
    </w:p>
    <w:p>
      <w:pPr>
        <w:pStyle w:val="Heading2"/>
      </w:pPr>
      <w:r>
        <w:t>Derbe</w:t>
      </w:r>
      <w:r/>
    </w:p>
    <w:p>
      <w:r/>
      <w:r>
        <w:t>Uma cidade da província romana da Ásia. Estava localizada no distrito de Licaônia, na província da Galácia (</w:t>
      </w:r>
      <w:hyperlink r:id="rId6695">
        <w:r>
          <w:rPr>
            <w:color w:val="0000EE"/>
            <w:u w:val="single"/>
          </w:rPr>
          <w:t>At 14.6</w:t>
        </w:r>
      </w:hyperlink>
      <w:r>
        <w:t xml:space="preserve">). Derbe foi a última cidade visitada por Paulo durante sua primeira viagem missionária (v. </w:t>
      </w:r>
      <w:hyperlink r:id="rId6696">
        <w:r>
          <w:rPr>
            <w:color w:val="0000EE"/>
            <w:u w:val="single"/>
          </w:rPr>
          <w:t>20</w:t>
        </w:r>
      </w:hyperlink>
      <w:r>
        <w:t>). Foi também a primeira cidade que Paulo visitou em sua segunda viagem (</w:t>
      </w:r>
      <w:hyperlink r:id="rId6697">
        <w:r>
          <w:rPr>
            <w:color w:val="0000EE"/>
            <w:u w:val="single"/>
          </w:rPr>
          <w:t>16.1</w:t>
        </w:r>
      </w:hyperlink>
      <w:r>
        <w:t>). E é provável que seja uma cidade que ele revisitou em sua terceira viagem (</w:t>
      </w:r>
      <w:hyperlink r:id="rId4337">
        <w:r>
          <w:rPr>
            <w:color w:val="0000EE"/>
            <w:u w:val="single"/>
          </w:rPr>
          <w:t>18.23</w:t>
        </w:r>
      </w:hyperlink>
      <w:r>
        <w:t>).</w:t>
      </w:r>
    </w:p>
    <w:p>
      <w:r/>
      <w:r>
        <w:t>Gaio era de Derbe (</w:t>
      </w:r>
      <w:hyperlink r:id="rId2497">
        <w:r>
          <w:rPr>
            <w:color w:val="0000EE"/>
            <w:u w:val="single"/>
          </w:rPr>
          <w:t>20.4</w:t>
        </w:r>
      </w:hyperlink>
      <w:r>
        <w:t>). Ele foi um dos companheiros missionários de Paulo em sua terceira viagem.</w:t>
      </w:r>
      <w:r/>
      <w:r/>
    </w:p>
    <w:p>
      <w:r/>
    </w:p>
    <w:p>
      <w:pPr>
        <w:pStyle w:val="Heading2"/>
      </w:pPr>
      <w:r>
        <w:t>Descanso</w:t>
      </w:r>
      <w:r/>
    </w:p>
    <w:p>
      <w:r/>
      <w:r>
        <w:t>Descanso significa liberdade do trabalho ou atividade. A crença cristã no descanso vem do descanso do próprio Deus. Após completar a obra da Criação em seis dias, Deus “nesse dia descansou de toda a sua obra” (</w:t>
      </w:r>
      <w:hyperlink r:id="rId6698">
        <w:r>
          <w:rPr>
            <w:color w:val="0000EE"/>
            <w:u w:val="single"/>
          </w:rPr>
          <w:t>Gênesis 2.2</w:t>
        </w:r>
      </w:hyperlink>
      <w:r>
        <w:t>). Este evento fornece a base para o sábado hebraico, um dia semanal de descanso. A palavra "sábado" em si significa descanso em hebraico. A ideia de descansar no sétimo dia é vista como parte da ordem da Criação. O quarto mandamento diz para guardar o sábado para Deus. Trabalhe apenas seis dias. Deus fez tudo em seis dias e descansou no sétimo (</w:t>
      </w:r>
      <w:hyperlink r:id="rId802">
        <w:r>
          <w:rPr>
            <w:color w:val="0000EE"/>
            <w:u w:val="single"/>
          </w:rPr>
          <w:t>Êxodo 20.8–11</w:t>
        </w:r>
      </w:hyperlink>
      <w:r>
        <w:t>).</w:t>
      </w:r>
    </w:p>
    <w:p>
      <w:r/>
      <w:r>
        <w:t xml:space="preserve">A ideia bíblica de descanso não é apenas sobre o passado (Criação) e o presente (descanso semanal). É também sobre o futuro. Este descanso futuro é simbolizado pela jornada dos israelitas sob Moisés da escravidão no Egito para o "descanso" da Terra Prometida. Eles alcançaram este descanso sob Josué, que os conduziu à terra e os estabeleceu lá (veja </w:t>
      </w:r>
      <w:hyperlink r:id="rId2225">
        <w:r>
          <w:rPr>
            <w:color w:val="0000EE"/>
            <w:u w:val="single"/>
          </w:rPr>
          <w:t>Josué 23–24</w:t>
        </w:r>
      </w:hyperlink>
      <w:r>
        <w:t>).</w:t>
      </w:r>
    </w:p>
    <w:p>
      <w:r/>
      <w:r>
        <w:t>Os 40 anos de peregrinação no deserto significaram que os adultos que saíram do Egito com Moisés não entraram na Terra Prometida. Eles trouxeram esse julgamento sobre si mesmos devido à sua ingratidão e rebelião (</w:t>
      </w:r>
      <w:hyperlink r:id="rId6699">
        <w:r>
          <w:rPr>
            <w:color w:val="0000EE"/>
            <w:u w:val="single"/>
          </w:rPr>
          <w:t>Números 14.26–35</w:t>
        </w:r>
      </w:hyperlink>
      <w:r>
        <w:t>). Séculos depois, Deus advertiu seus descendentes. Ele disse para não serem duros de coração, ou poderiam perder o seu descanso. "Hoje, se ouvirdes a sua voz, não endureçais os vossos corações" (</w:t>
      </w:r>
      <w:hyperlink r:id="rId6700">
        <w:r>
          <w:rPr>
            <w:color w:val="0000EE"/>
            <w:u w:val="single"/>
          </w:rPr>
          <w:t>Salmo 95.7–11</w:t>
        </w:r>
      </w:hyperlink>
      <w:r>
        <w:t>). O autor de Hebreus cita esta passagem (</w:t>
      </w:r>
      <w:hyperlink r:id="rId6701">
        <w:r>
          <w:rPr>
            <w:color w:val="0000EE"/>
            <w:u w:val="single"/>
          </w:rPr>
          <w:t>Hebreus 3.7–8</w:t>
        </w:r>
      </w:hyperlink>
      <w:r>
        <w:t xml:space="preserve">; </w:t>
      </w:r>
      <w:hyperlink r:id="rId6702">
        <w:r>
          <w:rPr>
            <w:color w:val="0000EE"/>
            <w:u w:val="single"/>
          </w:rPr>
          <w:t>4.7</w:t>
        </w:r>
      </w:hyperlink>
      <w:r>
        <w:t>) para mostrar que o descanso de Deus não é apenas parte da história. A promessa de entrar em seu descanso ainda está aberta. A palavra "hoje" mostra que o dia da graça ainda está aqui: "Porque se Josué lhes tivesse dado descanso, Deus não falaria mais tarde de outro dia. Portanto, resta um descanso sabático para o povo de Deus" (</w:t>
      </w:r>
      <w:hyperlink r:id="rId6703">
        <w:r>
          <w:rPr>
            <w:color w:val="0000EE"/>
            <w:u w:val="single"/>
          </w:rPr>
          <w:t>Hebreus 4.8–9</w:t>
        </w:r>
      </w:hyperlink>
      <w:r>
        <w:t>).</w:t>
      </w:r>
    </w:p>
    <w:p>
      <w:r/>
      <w:r>
        <w:t>Todos são convidados a entrar no descanso de Deus. O sábado semanal é um lembrete e uma reflexão desse descanso. O descanso que os israelitas encontraram na Terra Prometida após sua peregrinação é um símbolo do descanso eterno de Deus. Seu povo compartilhará dele. O descanso que Cristo oferece àqueles que vêm a ele (</w:t>
      </w:r>
      <w:hyperlink r:id="rId6704">
        <w:r>
          <w:rPr>
            <w:color w:val="0000EE"/>
            <w:u w:val="single"/>
          </w:rPr>
          <w:t>Mateus 11.28</w:t>
        </w:r>
      </w:hyperlink>
      <w:r>
        <w:t>) é uma visão e uma promessa do descanso divino que os aguarda. O descanso após a morte para os crentes que “adormeceram em Cristo” é uma experiência aprofundada desse descanso: “Benditos são os mortos — aqueles que morrem no Senhor... eles descansarão de seus trabalhos” (</w:t>
      </w:r>
      <w:hyperlink r:id="rId6705">
        <w:r>
          <w:rPr>
            <w:color w:val="0000EE"/>
            <w:u w:val="single"/>
          </w:rPr>
          <w:t>Apocalipse 14.13</w:t>
        </w:r>
      </w:hyperlink>
      <w:r>
        <w:t>). Mas o cumprimento completo desse descanso ocorrerá quando Cristo retornar. Naquele momento, todos os que pertencem a ele refletirão plenamente sua semelhança (</w:t>
      </w:r>
      <w:hyperlink r:id="rId6706">
        <w:r>
          <w:rPr>
            <w:color w:val="0000EE"/>
            <w:u w:val="single"/>
          </w:rPr>
          <w:t>1 João 3.2</w:t>
        </w:r>
      </w:hyperlink>
      <w:r>
        <w:t>). A salvação será completa. Eles receberão corpos imperecíveis e glorificados (</w:t>
      </w:r>
      <w:hyperlink r:id="rId6707">
        <w:r>
          <w:rPr>
            <w:color w:val="0000EE"/>
            <w:u w:val="single"/>
          </w:rPr>
          <w:t>2 Coríntios 5</w:t>
        </w:r>
      </w:hyperlink>
      <w:r>
        <w:t>). Uma criação renovada onde habita a justiça será estabelecida (</w:t>
      </w:r>
      <w:hyperlink r:id="rId6708">
        <w:r>
          <w:rPr>
            <w:color w:val="0000EE"/>
            <w:u w:val="single"/>
          </w:rPr>
          <w:t>2 Pedro 3.13</w:t>
        </w:r>
      </w:hyperlink>
      <w:r>
        <w:t>).</w:t>
      </w:r>
    </w:p>
    <w:p>
      <w:r/>
      <w:r>
        <w:t>Este momento será o clímax da história e o tempo em que o povo de Deus entrará plenamente em seu descanso eterno. A redenção de Cristo, comprada na cruz, será completada. Isso trará descanso e liberdade de todo pecado. Também significa liberdade de toda tristeza, dor e morte (</w:t>
      </w:r>
      <w:hyperlink r:id="rId2086">
        <w:r>
          <w:rPr>
            <w:color w:val="0000EE"/>
            <w:u w:val="single"/>
          </w:rPr>
          <w:t>Apocalipse 7.9–17</w:t>
        </w:r>
      </w:hyperlink>
      <w:r>
        <w:t xml:space="preserve">; </w:t>
      </w:r>
      <w:hyperlink r:id="rId6709">
        <w:r>
          <w:rPr>
            <w:color w:val="0000EE"/>
            <w:u w:val="single"/>
          </w:rPr>
          <w:t>21.1–7</w:t>
        </w:r>
      </w:hyperlink>
      <w:r>
        <w:t xml:space="preserve">). Além disso, a humanidade se estenderá a toda a criação de Deus. Será aperfeiçoada como originalmente pretendido (veja </w:t>
      </w:r>
      <w:hyperlink r:id="rId6710">
        <w:r>
          <w:rPr>
            <w:color w:val="0000EE"/>
            <w:u w:val="single"/>
          </w:rPr>
          <w:t>Romanos 8.19–25</w:t>
        </w:r>
      </w:hyperlink>
      <w:r>
        <w:t>).</w:t>
      </w:r>
    </w:p>
    <w:p>
      <w:r/>
      <w:r>
        <w:t>Descanso não significa inatividade. Deus descansou do trabalho da Criação. Mas, ele está ativo. Ele sustenta tudo o que fez. Ele realiza tanto o julgamento justo quanto a salvação graciosa. Jesus Cristo, através de sua vida, morte, ressurreição e glorificação, é Deus em ação (</w:t>
      </w:r>
      <w:hyperlink r:id="rId377">
        <w:r>
          <w:rPr>
            <w:color w:val="0000EE"/>
            <w:u w:val="single"/>
          </w:rPr>
          <w:t>2 Coríntios 5.19</w:t>
        </w:r>
      </w:hyperlink>
      <w:r>
        <w:t>). Como Jesus disse, “Meu Pai está em seu trabalho, e eu também estou trabalhando” (</w:t>
      </w:r>
      <w:hyperlink r:id="rId6711">
        <w:r>
          <w:rPr>
            <w:color w:val="0000EE"/>
            <w:u w:val="single"/>
          </w:rPr>
          <w:t>João 5.17</w:t>
        </w:r>
      </w:hyperlink>
      <w:r>
        <w:t>). Os cristãos descansarão da luta contra o mal e dos sofrimentos desta vida presente. No entanto, o descanso em que entram não será entediante ou sem eventos. O próprio Deus é dinâmico, não estático, e assim é o seu descanso.</w:t>
      </w:r>
    </w:p>
    <w:p>
      <w:r/>
      <w:r>
        <w:t xml:space="preserve">Como resultado, tudo do que um cristão descansa permitirá que ele esteja alegre e continuamente ativo em servir a Deus, o Criador e Redentor. Em perfeita harmonia com todas as obras de Deus, os cristãos louvarão e servirão alegremente ao Deus triúno. Sua alegria será completa, sem qualquer falta ou necessidade de melhoria (veja </w:t>
      </w:r>
      <w:hyperlink r:id="rId6712">
        <w:r>
          <w:rPr>
            <w:color w:val="0000EE"/>
            <w:u w:val="single"/>
          </w:rPr>
          <w:t>Apocalipse 4.8–11</w:t>
        </w:r>
      </w:hyperlink>
      <w:r>
        <w:t xml:space="preserve">; </w:t>
      </w:r>
      <w:hyperlink r:id="rId6713">
        <w:r>
          <w:rPr>
            <w:color w:val="0000EE"/>
            <w:u w:val="single"/>
          </w:rPr>
          <w:t>5.8–14</w:t>
        </w:r>
      </w:hyperlink>
      <w:r>
        <w:t xml:space="preserve">; </w:t>
      </w:r>
      <w:hyperlink r:id="rId6714">
        <w:r>
          <w:rPr>
            <w:color w:val="0000EE"/>
            <w:u w:val="single"/>
          </w:rPr>
          <w:t>7.9–12</w:t>
        </w:r>
      </w:hyperlink>
      <w:r>
        <w:t>). Este será o descanso sabático eterno que tem um começo mas não tem fim: “Esforcemo-nos, portanto, por entrar nesse descanso” (</w:t>
      </w:r>
      <w:hyperlink r:id="rId6715">
        <w:r>
          <w:rPr>
            <w:color w:val="0000EE"/>
            <w:u w:val="single"/>
          </w:rPr>
          <w:t>Hebreus 4.11</w:t>
        </w:r>
      </w:hyperlink>
      <w:r>
        <w:t>).</w:t>
      </w:r>
    </w:p>
    <w:p>
      <w:r/>
      <w:r>
        <w:rPr>
          <w:i/>
        </w:rPr>
        <w:t>Veja também</w:t>
      </w:r>
      <w:r>
        <w:t xml:space="preserve"> </w:t>
      </w:r>
      <w:r>
        <w:t>Céu</w:t>
      </w:r>
      <w:r>
        <w:t xml:space="preserve">; </w:t>
      </w:r>
      <w:r>
        <w:t>Dia do Senhor, O</w:t>
      </w:r>
      <w:r>
        <w:t xml:space="preserve">; </w:t>
      </w:r>
      <w:r>
        <w:t>Sábado</w:t>
      </w:r>
      <w:r>
        <w:t>.</w:t>
      </w:r>
      <w:r/>
      <w:r/>
    </w:p>
    <w:p>
      <w:r/>
    </w:p>
    <w:p>
      <w:pPr>
        <w:pStyle w:val="Heading2"/>
      </w:pPr>
      <w:r>
        <w:t>Desejo</w:t>
      </w:r>
      <w:r/>
    </w:p>
    <w:p>
      <w:r/>
      <w:r>
        <w:t>Um anseio ou desejo por algo. Na Bíblia, o conceito de desejo é expresso através de muitas palavras diferentes, tanto em hebraico quanto em grego. Como substantivo, traduz 12 palavras hebraicas e 3 palavras gregas. Como verbo, representa cerca de 12 verbos em hebraico e outros 12 em grego. Algumas dessas palavras simplesmente significam "pedir" ou "buscar" em traduções modernas.</w:t>
      </w:r>
    </w:p>
    <w:p>
      <w:r/>
      <w:r>
        <w:t>O desejo em si não é nem bom nem mau. O significado moral está em como as pessoas respondem aos seus desejos. Pode-se permitir que os desejos controlem suas ações ou aprender a controlá-los e usá-los para os propósitos pretendidos por Deus.</w:t>
      </w:r>
    </w:p>
    <w:p>
      <w:r/>
      <w:r>
        <w:t>Houve diferentes opiniões entre os cristãos sobre como abordar o desejo. Alguns ascetas argumentaram que desejar comida ou desfrutar de comer é pecaminoso. No entanto, o próprio exemplo de Jesus nos Evangelhos mostra que ele apreciava boas refeições, a ponto de seus críticos o chamarem de glutão (</w:t>
      </w:r>
      <w:hyperlink r:id="rId6716">
        <w:r>
          <w:rPr>
            <w:color w:val="0000EE"/>
            <w:u w:val="single"/>
          </w:rPr>
          <w:t>Lc 7.34</w:t>
        </w:r>
      </w:hyperlink>
      <w:r>
        <w:t>). Seu primeiro milagre no Evangelho de João foi realizado em um casamento em Caná da Galileia, onde o banquete provavelmente durou vários dias (</w:t>
      </w:r>
      <w:hyperlink r:id="rId6717">
        <w:r>
          <w:rPr>
            <w:color w:val="0000EE"/>
            <w:u w:val="single"/>
          </w:rPr>
          <w:t>Jo 2.1–11</w:t>
        </w:r>
      </w:hyperlink>
      <w:r>
        <w:t>).</w:t>
      </w:r>
    </w:p>
    <w:p>
      <w:r/>
      <w:r>
        <w:t>O desejo sexual, assim como o desejo por comida, não é inerentemente mau. Deus criou os seres humanos com ambos os desejos, e ambos precisam ser mantidos sob controle em obediência à lei de Deus.</w:t>
      </w:r>
    </w:p>
    <w:p>
      <w:r/>
      <w:r>
        <w:t>A principal distinção entre o desejo bom e o mau é se ele é centrado em si mesmo ou focado na vontade de Deus. A Bíblia ensina que a essência do pecado é a determinação de seguir o próprio caminho. O rei Davi, apesar de seus pecados graves, foi honrado porque era um homem segundo o coração de Deus, desejando fazer a vontade de Deus (</w:t>
      </w:r>
      <w:hyperlink r:id="rId5736">
        <w:r>
          <w:rPr>
            <w:color w:val="0000EE"/>
            <w:u w:val="single"/>
          </w:rPr>
          <w:t>At 13.22</w:t>
        </w:r>
      </w:hyperlink>
      <w:r>
        <w:t>). Em contraste, o rei Saul foi rejeitado por ser teimoso e obstinado (</w:t>
      </w:r>
      <w:hyperlink r:id="rId6718">
        <w:r>
          <w:rPr>
            <w:color w:val="0000EE"/>
            <w:u w:val="single"/>
          </w:rPr>
          <w:t>1Sm 15.23</w:t>
        </w:r>
      </w:hyperlink>
      <w:r>
        <w:t>).</w:t>
      </w:r>
    </w:p>
    <w:p>
      <w:r/>
      <w:r>
        <w:t>O desejo maligno, portanto, não é necessariamente querer algo tradicionalmente rotulado como perverso. É essencialmente o desejo de seguir o próprio caminho, o que é uma forma de idolatria – colocar-se no lugar de Deus.</w:t>
      </w:r>
    </w:p>
    <w:p>
      <w:r/>
      <w:r>
        <w:t>O desejo é necessário para realizar qualquer coisa na vida. No entanto, as ações de uma pessoa devem sempre estar alinhadas com a vontade de Deus, conforme revelado em sua Palavra. A Bíblia promete que, se as pessoas se deleitarem no Senhor, Deus lhes concederá os desejos do seu coração (</w:t>
      </w:r>
      <w:hyperlink r:id="rId6719">
        <w:r>
          <w:rPr>
            <w:color w:val="0000EE"/>
            <w:u w:val="single"/>
          </w:rPr>
          <w:t>Sl 37.4</w:t>
        </w:r>
      </w:hyperlink>
      <w:r>
        <w:t xml:space="preserve">; compare </w:t>
      </w:r>
      <w:hyperlink r:id="rId6720">
        <w:r>
          <w:rPr>
            <w:color w:val="0000EE"/>
            <w:u w:val="single"/>
          </w:rPr>
          <w:t>Sl 145.16,19</w:t>
        </w:r>
      </w:hyperlink>
      <w:r>
        <w:t xml:space="preserve">; </w:t>
      </w:r>
      <w:hyperlink r:id="rId6721">
        <w:r>
          <w:rPr>
            <w:color w:val="0000EE"/>
            <w:u w:val="single"/>
          </w:rPr>
          <w:t>Pv 10.24</w:t>
        </w:r>
      </w:hyperlink>
      <w:r>
        <w:t xml:space="preserve">; </w:t>
      </w:r>
      <w:hyperlink r:id="rId6722">
        <w:r>
          <w:rPr>
            <w:color w:val="0000EE"/>
            <w:u w:val="single"/>
          </w:rPr>
          <w:t>Mt 6.33</w:t>
        </w:r>
      </w:hyperlink>
      <w:r>
        <w:t>). Quando Deus se torna o maior desejo de alguém, todos os outros desejos se tornam apropriados e podem refletir os desejos de Deus para o bem-estar do seu povo.</w:t>
      </w:r>
      <w:r/>
      <w:r/>
    </w:p>
    <w:p>
      <w:r/>
    </w:p>
    <w:p>
      <w:pPr>
        <w:pStyle w:val="Heading2"/>
      </w:pPr>
      <w:r>
        <w:t>Deserto</w:t>
      </w:r>
      <w:r/>
    </w:p>
    <w:p>
      <w:r/>
      <w:r>
        <w:t>Lugar desolado e vazio, muitas vezes árido, arenoso e incapaz de sustentar a vida vegetal, como, por exemplo, o Negev do sul da Palestina. Um deserto frequentemente inclui áreas locais onde a vida marginal é possível. O termo hebraico mais comum para deserto significa “região selvagem” e talvez esteja relacionado com um verbo que significa “conduzir”, assim como um pastor conduz ovelhas para o pasto. A palavra grega comumente usada no NT e na Septuaginta (tradução grega antiga do AT) implica uma área aberta e sem vegetação onde vagam feras selvagens (</w:t>
      </w:r>
      <w:hyperlink r:id="rId6723">
        <w:r>
          <w:rPr>
            <w:color w:val="0000EE"/>
            <w:u w:val="single"/>
          </w:rPr>
          <w:t>Dt 32.10</w:t>
        </w:r>
      </w:hyperlink>
      <w:r>
        <w:t xml:space="preserve">; </w:t>
      </w:r>
      <w:hyperlink r:id="rId1625">
        <w:r>
          <w:rPr>
            <w:color w:val="0000EE"/>
            <w:u w:val="single"/>
          </w:rPr>
          <w:t>Jó 24.5</w:t>
        </w:r>
      </w:hyperlink>
      <w:r>
        <w:t>). O deserto também é às vezes um lugar de pasto (</w:t>
      </w:r>
      <w:hyperlink r:id="rId6724">
        <w:r>
          <w:rPr>
            <w:color w:val="0000EE"/>
            <w:u w:val="single"/>
          </w:rPr>
          <w:t>Êx 3.1</w:t>
        </w:r>
      </w:hyperlink>
      <w:r>
        <w:t xml:space="preserve">; </w:t>
      </w:r>
      <w:hyperlink r:id="rId6725">
        <w:r>
          <w:rPr>
            <w:color w:val="0000EE"/>
            <w:u w:val="single"/>
          </w:rPr>
          <w:t>Sl 65.12</w:t>
        </w:r>
      </w:hyperlink>
      <w:r>
        <w:t xml:space="preserve">; </w:t>
      </w:r>
      <w:hyperlink r:id="rId6726">
        <w:r>
          <w:rPr>
            <w:color w:val="0000EE"/>
            <w:u w:val="single"/>
          </w:rPr>
          <w:t>Jr 23.10</w:t>
        </w:r>
      </w:hyperlink>
      <w:r>
        <w:t xml:space="preserve">; </w:t>
      </w:r>
      <w:hyperlink r:id="rId5548">
        <w:r>
          <w:rPr>
            <w:color w:val="0000EE"/>
            <w:u w:val="single"/>
          </w:rPr>
          <w:t>Jl 2.22</w:t>
        </w:r>
      </w:hyperlink>
      <w:r>
        <w:t>).</w:t>
      </w:r>
    </w:p>
    <w:p>
      <w:r/>
      <w:r>
        <w:t xml:space="preserve">A Bíblia muitas vezes se refere às regiões selvagens (p. ex., </w:t>
      </w:r>
      <w:hyperlink r:id="rId6727">
        <w:r>
          <w:rPr>
            <w:color w:val="0000EE"/>
            <w:u w:val="single"/>
          </w:rPr>
          <w:t>Gn 16.7</w:t>
        </w:r>
      </w:hyperlink>
      <w:r>
        <w:t xml:space="preserve">; </w:t>
      </w:r>
      <w:hyperlink r:id="rId2545">
        <w:r>
          <w:rPr>
            <w:color w:val="0000EE"/>
            <w:u w:val="single"/>
          </w:rPr>
          <w:t>21.20</w:t>
        </w:r>
      </w:hyperlink>
      <w:r>
        <w:t xml:space="preserve">; </w:t>
      </w:r>
      <w:hyperlink r:id="rId6728">
        <w:r>
          <w:rPr>
            <w:color w:val="0000EE"/>
            <w:u w:val="single"/>
          </w:rPr>
          <w:t>1Sm 17.28</w:t>
        </w:r>
      </w:hyperlink>
      <w:r>
        <w:t xml:space="preserve">; </w:t>
      </w:r>
      <w:hyperlink r:id="rId6729">
        <w:r>
          <w:rPr>
            <w:color w:val="0000EE"/>
            <w:u w:val="single"/>
          </w:rPr>
          <w:t>Mt 3.1</w:t>
        </w:r>
      </w:hyperlink>
      <w:r>
        <w:t xml:space="preserve">; </w:t>
      </w:r>
      <w:hyperlink r:id="rId6730">
        <w:r>
          <w:rPr>
            <w:color w:val="0000EE"/>
            <w:u w:val="single"/>
          </w:rPr>
          <w:t>Mc 1.13</w:t>
        </w:r>
      </w:hyperlink>
      <w:r>
        <w:t xml:space="preserve">; </w:t>
      </w:r>
      <w:hyperlink r:id="rId6731">
        <w:r>
          <w:rPr>
            <w:color w:val="0000EE"/>
            <w:u w:val="single"/>
          </w:rPr>
          <w:t>Lc 15.4)</w:t>
        </w:r>
      </w:hyperlink>
      <w:r>
        <w:t>. “Deserto” geralmente é um lugar sem população estabelecida (</w:t>
      </w:r>
      <w:hyperlink r:id="rId6732">
        <w:r>
          <w:rPr>
            <w:color w:val="0000EE"/>
            <w:u w:val="single"/>
          </w:rPr>
          <w:t>Nm 14.33</w:t>
        </w:r>
      </w:hyperlink>
      <w:r>
        <w:t xml:space="preserve">; </w:t>
      </w:r>
      <w:hyperlink r:id="rId6723">
        <w:r>
          <w:rPr>
            <w:color w:val="0000EE"/>
            <w:u w:val="single"/>
          </w:rPr>
          <w:t>Dt 32.10</w:t>
        </w:r>
      </w:hyperlink>
      <w:r>
        <w:t xml:space="preserve">; </w:t>
      </w:r>
      <w:hyperlink r:id="rId6733">
        <w:r>
          <w:rPr>
            <w:color w:val="0000EE"/>
            <w:u w:val="single"/>
          </w:rPr>
          <w:t>Jó 38.26</w:t>
        </w:r>
      </w:hyperlink>
      <w:r>
        <w:t xml:space="preserve">; </w:t>
      </w:r>
      <w:hyperlink r:id="rId6734">
        <w:r>
          <w:rPr>
            <w:color w:val="0000EE"/>
            <w:u w:val="single"/>
          </w:rPr>
          <w:t>Pv 21.19</w:t>
        </w:r>
      </w:hyperlink>
      <w:r>
        <w:t xml:space="preserve">; </w:t>
      </w:r>
      <w:hyperlink r:id="rId6735">
        <w:r>
          <w:rPr>
            <w:color w:val="0000EE"/>
            <w:u w:val="single"/>
          </w:rPr>
          <w:t>Jr 9.2</w:t>
        </w:r>
      </w:hyperlink>
      <w:r>
        <w:t>), mas é o lugar de habitação da vida selvagem: o abutre (</w:t>
      </w:r>
      <w:hyperlink r:id="rId6032">
        <w:r>
          <w:rPr>
            <w:color w:val="0000EE"/>
            <w:u w:val="single"/>
          </w:rPr>
          <w:t>Sl 102.6</w:t>
        </w:r>
      </w:hyperlink>
      <w:r>
        <w:t>), asnos selvagens (</w:t>
      </w:r>
      <w:hyperlink r:id="rId1625">
        <w:r>
          <w:rPr>
            <w:color w:val="0000EE"/>
            <w:u w:val="single"/>
          </w:rPr>
          <w:t>Jó 24.5</w:t>
        </w:r>
      </w:hyperlink>
      <w:r>
        <w:t>), chacais (</w:t>
      </w:r>
      <w:hyperlink r:id="rId1636">
        <w:r>
          <w:rPr>
            <w:color w:val="0000EE"/>
            <w:u w:val="single"/>
          </w:rPr>
          <w:t>Ml 1.3</w:t>
        </w:r>
      </w:hyperlink>
      <w:r>
        <w:t>) e os avestruzes (</w:t>
      </w:r>
      <w:hyperlink r:id="rId1744">
        <w:r>
          <w:rPr>
            <w:color w:val="0000EE"/>
            <w:u w:val="single"/>
          </w:rPr>
          <w:t>Lm 4.3</w:t>
        </w:r>
      </w:hyperlink>
      <w:r>
        <w:t>). O termo também é usado figurativamente (</w:t>
      </w:r>
      <w:hyperlink r:id="rId6736">
        <w:r>
          <w:rPr>
            <w:color w:val="0000EE"/>
            <w:u w:val="single"/>
          </w:rPr>
          <w:t>Os 2.3</w:t>
        </w:r>
      </w:hyperlink>
      <w:r>
        <w:t xml:space="preserve">; </w:t>
      </w:r>
      <w:hyperlink r:id="rId6737">
        <w:r>
          <w:rPr>
            <w:color w:val="0000EE"/>
            <w:u w:val="single"/>
          </w:rPr>
          <w:t>Jr 2.31</w:t>
        </w:r>
      </w:hyperlink>
      <w:r>
        <w:t>).</w:t>
      </w:r>
    </w:p>
    <w:p>
      <w:r/>
      <w:r>
        <w:t>Outro termo hebraico para deserto, de uma raiz que significa “ser árido”, se refere a uma estepe infértil, desolada e árida (</w:t>
      </w:r>
      <w:hyperlink r:id="rId1625">
        <w:r>
          <w:rPr>
            <w:color w:val="0000EE"/>
            <w:u w:val="single"/>
          </w:rPr>
          <w:t>Jó 24.5</w:t>
        </w:r>
      </w:hyperlink>
      <w:r>
        <w:t xml:space="preserve">; </w:t>
      </w:r>
      <w:hyperlink r:id="rId6738">
        <w:r>
          <w:rPr>
            <w:color w:val="0000EE"/>
            <w:u w:val="single"/>
          </w:rPr>
          <w:t>Is 33.9</w:t>
        </w:r>
      </w:hyperlink>
      <w:r>
        <w:t xml:space="preserve">; </w:t>
      </w:r>
      <w:hyperlink r:id="rId6739">
        <w:r>
          <w:rPr>
            <w:color w:val="0000EE"/>
            <w:u w:val="single"/>
          </w:rPr>
          <w:t>Jr 51.43</w:t>
        </w:r>
      </w:hyperlink>
      <w:r>
        <w:t>). A forma plural dessa palavra descreve características topográficas das planícies do deserto de Moabe (</w:t>
      </w:r>
      <w:hyperlink r:id="rId6740">
        <w:r>
          <w:rPr>
            <w:color w:val="0000EE"/>
            <w:u w:val="single"/>
          </w:rPr>
          <w:t>Nm 22.1</w:t>
        </w:r>
      </w:hyperlink>
      <w:r>
        <w:t xml:space="preserve">; </w:t>
      </w:r>
      <w:hyperlink r:id="rId6741">
        <w:r>
          <w:rPr>
            <w:color w:val="0000EE"/>
            <w:u w:val="single"/>
          </w:rPr>
          <w:t>26.3,63</w:t>
        </w:r>
      </w:hyperlink>
      <w:r>
        <w:t xml:space="preserve">; </w:t>
      </w:r>
      <w:hyperlink r:id="rId6742">
        <w:r>
          <w:rPr>
            <w:color w:val="0000EE"/>
            <w:u w:val="single"/>
          </w:rPr>
          <w:t>Dt 34.1</w:t>
        </w:r>
      </w:hyperlink>
      <w:r>
        <w:t>) e de Jericó (</w:t>
      </w:r>
      <w:hyperlink r:id="rId6743">
        <w:r>
          <w:rPr>
            <w:color w:val="0000EE"/>
            <w:u w:val="single"/>
          </w:rPr>
          <w:t>Js 4.13</w:t>
        </w:r>
      </w:hyperlink>
      <w:r>
        <w:t xml:space="preserve">; </w:t>
      </w:r>
      <w:hyperlink r:id="rId6744">
        <w:r>
          <w:rPr>
            <w:color w:val="0000EE"/>
            <w:u w:val="single"/>
          </w:rPr>
          <w:t>5.10</w:t>
        </w:r>
      </w:hyperlink>
      <w:r>
        <w:t xml:space="preserve">; </w:t>
      </w:r>
      <w:hyperlink r:id="rId6745">
        <w:r>
          <w:rPr>
            <w:color w:val="0000EE"/>
            <w:u w:val="single"/>
          </w:rPr>
          <w:t>2Rs 25.5</w:t>
        </w:r>
      </w:hyperlink>
      <w:r>
        <w:t>). Com o artigo definido, essa palavra (o Arabá) é a planície do Vale do Jordão e dos arredores do Mar Morto. A geografia daquela região contém contrastes nítidos; o Vale do Jordão, denso com uma floresta semelhante à selva que abriga feras selvagens (incluindo leões nos tempos bíblicos), dá lugar às terras estepes da área do Mar Morto, que sempre foram desertas.</w:t>
      </w:r>
    </w:p>
    <w:p>
      <w:r/>
      <w:r>
        <w:t>Dois outros termos hebraicos, que significam “deserto” e “ruína”, se referem a distritos ou assentamentos que já foram habitados, mas mais tarde devastados (</w:t>
      </w:r>
      <w:hyperlink r:id="rId6746">
        <w:r>
          <w:rPr>
            <w:color w:val="0000EE"/>
            <w:u w:val="single"/>
          </w:rPr>
          <w:t>Is 1.7</w:t>
        </w:r>
      </w:hyperlink>
      <w:r>
        <w:t xml:space="preserve">; </w:t>
      </w:r>
      <w:hyperlink r:id="rId6747">
        <w:r>
          <w:rPr>
            <w:color w:val="0000EE"/>
            <w:u w:val="single"/>
          </w:rPr>
          <w:t>5.9</w:t>
        </w:r>
      </w:hyperlink>
      <w:r>
        <w:t xml:space="preserve">; </w:t>
      </w:r>
      <w:hyperlink r:id="rId6748">
        <w:r>
          <w:rPr>
            <w:color w:val="0000EE"/>
            <w:u w:val="single"/>
          </w:rPr>
          <w:t>6.11</w:t>
        </w:r>
      </w:hyperlink>
      <w:r>
        <w:t xml:space="preserve">; </w:t>
      </w:r>
      <w:hyperlink r:id="rId6749">
        <w:r>
          <w:rPr>
            <w:color w:val="0000EE"/>
            <w:u w:val="single"/>
          </w:rPr>
          <w:t>Jr 42.18</w:t>
        </w:r>
      </w:hyperlink>
      <w:r>
        <w:t xml:space="preserve">; </w:t>
      </w:r>
      <w:hyperlink r:id="rId6750">
        <w:r>
          <w:rPr>
            <w:color w:val="0000EE"/>
            <w:u w:val="single"/>
          </w:rPr>
          <w:t>Ez 35.7</w:t>
        </w:r>
      </w:hyperlink>
      <w:r>
        <w:t>). Eles também são usados de forma mais geral para qualquer lugar desolado ou deserto (</w:t>
      </w:r>
      <w:hyperlink r:id="rId6751">
        <w:r>
          <w:rPr>
            <w:color w:val="0000EE"/>
            <w:u w:val="single"/>
          </w:rPr>
          <w:t>Lv 26.31,33</w:t>
        </w:r>
      </w:hyperlink>
      <w:r>
        <w:t xml:space="preserve">; </w:t>
      </w:r>
      <w:hyperlink r:id="rId6752">
        <w:r>
          <w:rPr>
            <w:color w:val="0000EE"/>
            <w:u w:val="single"/>
          </w:rPr>
          <w:t>Jó 3.14</w:t>
        </w:r>
      </w:hyperlink>
      <w:r>
        <w:t xml:space="preserve">; </w:t>
      </w:r>
      <w:hyperlink r:id="rId6753">
        <w:r>
          <w:rPr>
            <w:color w:val="0000EE"/>
            <w:u w:val="single"/>
          </w:rPr>
          <w:t>Sl 9.6</w:t>
        </w:r>
      </w:hyperlink>
      <w:r>
        <w:t xml:space="preserve">; </w:t>
      </w:r>
      <w:hyperlink r:id="rId6754">
        <w:r>
          <w:rPr>
            <w:color w:val="0000EE"/>
            <w:u w:val="single"/>
          </w:rPr>
          <w:t>109.10</w:t>
        </w:r>
      </w:hyperlink>
      <w:r>
        <w:t xml:space="preserve">; </w:t>
      </w:r>
      <w:hyperlink r:id="rId6755">
        <w:r>
          <w:rPr>
            <w:color w:val="0000EE"/>
            <w:u w:val="single"/>
          </w:rPr>
          <w:t>Is 5.17</w:t>
        </w:r>
      </w:hyperlink>
      <w:r>
        <w:t xml:space="preserve">; </w:t>
      </w:r>
      <w:hyperlink r:id="rId6756">
        <w:r>
          <w:rPr>
            <w:color w:val="0000EE"/>
            <w:u w:val="single"/>
          </w:rPr>
          <w:t>44.26</w:t>
        </w:r>
      </w:hyperlink>
      <w:r>
        <w:t xml:space="preserve">; </w:t>
      </w:r>
      <w:hyperlink r:id="rId6757">
        <w:r>
          <w:rPr>
            <w:color w:val="0000EE"/>
            <w:u w:val="single"/>
          </w:rPr>
          <w:t>51.3</w:t>
        </w:r>
      </w:hyperlink>
      <w:r>
        <w:t xml:space="preserve">; </w:t>
      </w:r>
      <w:hyperlink r:id="rId6758">
        <w:r>
          <w:rPr>
            <w:color w:val="0000EE"/>
            <w:u w:val="single"/>
          </w:rPr>
          <w:t>52.9</w:t>
        </w:r>
      </w:hyperlink>
      <w:r>
        <w:t xml:space="preserve">; </w:t>
      </w:r>
      <w:hyperlink r:id="rId4596">
        <w:r>
          <w:rPr>
            <w:color w:val="0000EE"/>
            <w:u w:val="single"/>
          </w:rPr>
          <w:t>Jr 7.34</w:t>
        </w:r>
      </w:hyperlink>
      <w:r>
        <w:t xml:space="preserve">; </w:t>
      </w:r>
      <w:hyperlink r:id="rId6759">
        <w:r>
          <w:rPr>
            <w:color w:val="0000EE"/>
            <w:u w:val="single"/>
          </w:rPr>
          <w:t>Ez 5.14</w:t>
        </w:r>
      </w:hyperlink>
      <w:r>
        <w:t>). Um deles também é usado uma vez para o deserto do êxodo (</w:t>
      </w:r>
      <w:hyperlink r:id="rId6760">
        <w:r>
          <w:rPr>
            <w:color w:val="0000EE"/>
            <w:u w:val="single"/>
          </w:rPr>
          <w:t>Is 48.21</w:t>
        </w:r>
      </w:hyperlink>
      <w:r>
        <w:t>). Outra palavra que significa “deserto” (</w:t>
      </w:r>
      <w:hyperlink r:id="rId6761">
        <w:r>
          <w:rPr>
            <w:color w:val="0000EE"/>
            <w:u w:val="single"/>
          </w:rPr>
          <w:t>Sl 78.40</w:t>
        </w:r>
      </w:hyperlink>
      <w:r>
        <w:t xml:space="preserve">; </w:t>
      </w:r>
      <w:hyperlink r:id="rId6762">
        <w:r>
          <w:rPr>
            <w:color w:val="0000EE"/>
            <w:u w:val="single"/>
          </w:rPr>
          <w:t>Is 43.19–20</w:t>
        </w:r>
      </w:hyperlink>
      <w:r>
        <w:t>), quando prefixado com o artigo definido, é um nome próprio para Jesimom, uma área de terra a oeste do Mar Morto (</w:t>
      </w:r>
      <w:hyperlink r:id="rId6763">
        <w:r>
          <w:rPr>
            <w:color w:val="0000EE"/>
            <w:u w:val="single"/>
          </w:rPr>
          <w:t>Nm 21.20</w:t>
        </w:r>
      </w:hyperlink>
      <w:r>
        <w:t xml:space="preserve">; </w:t>
      </w:r>
      <w:hyperlink r:id="rId6764">
        <w:r>
          <w:rPr>
            <w:color w:val="0000EE"/>
            <w:u w:val="single"/>
          </w:rPr>
          <w:t>1Sm 23.24</w:t>
        </w:r>
      </w:hyperlink>
      <w:r>
        <w:t xml:space="preserve">; </w:t>
      </w:r>
      <w:hyperlink r:id="rId6765">
        <w:r>
          <w:rPr>
            <w:color w:val="0000EE"/>
            <w:u w:val="single"/>
          </w:rPr>
          <w:t>26.1</w:t>
        </w:r>
      </w:hyperlink>
      <w:r>
        <w:t>).</w:t>
      </w:r>
    </w:p>
    <w:p>
      <w:r/>
      <w:r>
        <w:t>No NT, o substantivo para “região selvagem” e o adjetivo “deserto” (</w:t>
      </w:r>
      <w:hyperlink r:id="rId6729">
        <w:r>
          <w:rPr>
            <w:color w:val="0000EE"/>
            <w:u w:val="single"/>
          </w:rPr>
          <w:t>Mt 3.1</w:t>
        </w:r>
      </w:hyperlink>
      <w:r>
        <w:t xml:space="preserve">; </w:t>
      </w:r>
      <w:hyperlink r:id="rId6766">
        <w:r>
          <w:rPr>
            <w:color w:val="0000EE"/>
            <w:u w:val="single"/>
          </w:rPr>
          <w:t>24.26</w:t>
        </w:r>
      </w:hyperlink>
      <w:r>
        <w:t xml:space="preserve">; </w:t>
      </w:r>
      <w:hyperlink r:id="rId6767">
        <w:r>
          <w:rPr>
            <w:color w:val="0000EE"/>
            <w:u w:val="single"/>
          </w:rPr>
          <w:t>Lc 5.16</w:t>
        </w:r>
      </w:hyperlink>
      <w:r>
        <w:t xml:space="preserve">; </w:t>
      </w:r>
      <w:hyperlink r:id="rId6768">
        <w:r>
          <w:rPr>
            <w:color w:val="0000EE"/>
            <w:u w:val="single"/>
          </w:rPr>
          <w:t>Jo 6.31</w:t>
        </w:r>
      </w:hyperlink>
      <w:r>
        <w:t xml:space="preserve">; </w:t>
      </w:r>
      <w:hyperlink r:id="rId1930">
        <w:r>
          <w:rPr>
            <w:color w:val="0000EE"/>
            <w:u w:val="single"/>
          </w:rPr>
          <w:t>Atos 8.26</w:t>
        </w:r>
      </w:hyperlink>
      <w:r>
        <w:t>) vêm da mesma raiz grega.</w:t>
      </w:r>
    </w:p>
    <w:p>
      <w:r/>
      <w:r>
        <w:t>Toda a história bíblica tem sido interpretada como tendo um tema de deserto ou região selvagem. Pode ser visto no âmbito da experiência humana rebelde fora do Jardim do Éden; na peregrinação de Israel durante o êxodo; na luta entre a fé genuína no deserto e a vida suave e idólatra da cidade. O deserto é visto como um território de demônios e morte (</w:t>
      </w:r>
      <w:hyperlink r:id="rId6769">
        <w:r>
          <w:rPr>
            <w:color w:val="0000EE"/>
            <w:u w:val="single"/>
          </w:rPr>
          <w:t>Dt 32.17</w:t>
        </w:r>
      </w:hyperlink>
      <w:r>
        <w:t xml:space="preserve">; </w:t>
      </w:r>
      <w:hyperlink r:id="rId6770">
        <w:r>
          <w:rPr>
            <w:color w:val="0000EE"/>
            <w:u w:val="single"/>
          </w:rPr>
          <w:t>Is 34.13–14</w:t>
        </w:r>
      </w:hyperlink>
      <w:r>
        <w:t>); sua selvageria demoníaca se assemelha ao caos primitivo da Criação (</w:t>
      </w:r>
      <w:hyperlink r:id="rId105">
        <w:r>
          <w:rPr>
            <w:color w:val="0000EE"/>
            <w:u w:val="single"/>
          </w:rPr>
          <w:t>Gn 1.2</w:t>
        </w:r>
      </w:hyperlink>
      <w:r>
        <w:t xml:space="preserve">; </w:t>
      </w:r>
      <w:hyperlink r:id="rId6771">
        <w:r>
          <w:rPr>
            <w:color w:val="0000EE"/>
            <w:u w:val="single"/>
          </w:rPr>
          <w:t>Jó 26.7</w:t>
        </w:r>
      </w:hyperlink>
      <w:r>
        <w:t xml:space="preserve">). Várias passagens impressionantes das Escrituras tratam da renovação da vida em um vale deserto (p. ex., </w:t>
      </w:r>
      <w:hyperlink r:id="rId6047">
        <w:r>
          <w:rPr>
            <w:color w:val="0000EE"/>
            <w:u w:val="single"/>
          </w:rPr>
          <w:t>Ez 37</w:t>
        </w:r>
      </w:hyperlink>
      <w:r>
        <w:t>), ou da transformação da terra árida em um jardim frutífero (</w:t>
      </w:r>
      <w:hyperlink r:id="rId6772">
        <w:r>
          <w:rPr>
            <w:color w:val="0000EE"/>
            <w:u w:val="single"/>
          </w:rPr>
          <w:t>Is 41.18–20</w:t>
        </w:r>
      </w:hyperlink>
      <w:r>
        <w:t>).</w:t>
      </w:r>
    </w:p>
    <w:p>
      <w:r/>
      <w:r>
        <w:t>O deserto também é um lugar onde Deus está perto de seu povo (</w:t>
      </w:r>
      <w:hyperlink r:id="rId6773">
        <w:r>
          <w:rPr>
            <w:color w:val="0000EE"/>
            <w:u w:val="single"/>
          </w:rPr>
          <w:t>Dt 32.10–12</w:t>
        </w:r>
      </w:hyperlink>
      <w:r>
        <w:t>), tanto vigiando sobre eles, quanto testando sua obediência (</w:t>
      </w:r>
      <w:hyperlink r:id="rId4595">
        <w:r>
          <w:rPr>
            <w:color w:val="0000EE"/>
            <w:u w:val="single"/>
          </w:rPr>
          <w:t>Jr 2.2</w:t>
        </w:r>
      </w:hyperlink>
      <w:r>
        <w:t xml:space="preserve">; </w:t>
      </w:r>
      <w:hyperlink r:id="rId6774">
        <w:r>
          <w:rPr>
            <w:color w:val="0000EE"/>
            <w:u w:val="single"/>
          </w:rPr>
          <w:t>Os 2.14–15</w:t>
        </w:r>
      </w:hyperlink>
      <w:r>
        <w:t>). Por fim, o deserto é um lugar de refúgio, purificação e consagração. Nos Evangelhos, o tema do deserto do êxodo repete-se nos 40 dias e noites em que Jesus foi tentado no deserto (</w:t>
      </w:r>
      <w:hyperlink r:id="rId6730">
        <w:r>
          <w:rPr>
            <w:color w:val="0000EE"/>
            <w:u w:val="single"/>
          </w:rPr>
          <w:t>Mc 1.13</w:t>
        </w:r>
      </w:hyperlink>
      <w:r>
        <w:t xml:space="preserve">; cf. </w:t>
      </w:r>
      <w:hyperlink r:id="rId6775">
        <w:r>
          <w:rPr>
            <w:color w:val="0000EE"/>
            <w:u w:val="single"/>
          </w:rPr>
          <w:t>Sl 91</w:t>
        </w:r>
      </w:hyperlink>
      <w:r>
        <w:t>). Os monges do deserto da igreja primitiva e os eremitas da Idade Média seguiram o exemplo do profeta Elias e João Batista (</w:t>
      </w:r>
      <w:hyperlink r:id="rId6776">
        <w:r>
          <w:rPr>
            <w:color w:val="0000EE"/>
            <w:u w:val="single"/>
          </w:rPr>
          <w:t>1Rs 19.4–8</w:t>
        </w:r>
      </w:hyperlink>
      <w:r>
        <w:t xml:space="preserve">; </w:t>
      </w:r>
      <w:hyperlink r:id="rId6777">
        <w:r>
          <w:rPr>
            <w:color w:val="0000EE"/>
            <w:u w:val="single"/>
          </w:rPr>
          <w:t>Mt 3.1–6</w:t>
        </w:r>
      </w:hyperlink>
      <w:r>
        <w:t>).</w:t>
      </w:r>
    </w:p>
    <w:p>
      <w:r/>
      <w:r>
        <w:rPr>
          <w:i/>
        </w:rPr>
        <w:t>Veja também</w:t>
      </w:r>
      <w:r>
        <w:t xml:space="preserve"> </w:t>
      </w:r>
      <w:r>
        <w:t>Neguebe, Negev</w:t>
      </w:r>
      <w:r>
        <w:t xml:space="preserve">; </w:t>
      </w:r>
      <w:r>
        <w:t>Palestina</w:t>
      </w:r>
      <w:r>
        <w:t xml:space="preserve">; </w:t>
      </w:r>
      <w:r>
        <w:t>Deserto</w:t>
      </w:r>
      <w:r>
        <w:t>.</w:t>
      </w:r>
      <w:r/>
      <w:r/>
    </w:p>
    <w:p>
      <w:r/>
    </w:p>
    <w:p>
      <w:pPr>
        <w:pStyle w:val="Heading2"/>
      </w:pPr>
      <w:r>
        <w:t>Deserto de Sim</w:t>
      </w:r>
      <w:r/>
    </w:p>
    <w:p>
      <w:r/>
      <w:r>
        <w:t>Uma região seca e arenosa na parte sudoeste da península do Sinai. A Bíblia nos informa que estava localizada "entre Elim e Sinai" (</w:t>
      </w:r>
      <w:hyperlink r:id="rId6778">
        <w:r>
          <w:rPr>
            <w:color w:val="0000EE"/>
            <w:u w:val="single"/>
          </w:rPr>
          <w:t>Êx 16.1</w:t>
        </w:r>
      </w:hyperlink>
      <w:r>
        <w:t>). É mencionada apenas quatro vezes na Bíblia nas descrições da jornada do Êxodo do Egito (</w:t>
      </w:r>
      <w:hyperlink r:id="rId6778">
        <w:r>
          <w:rPr>
            <w:color w:val="0000EE"/>
            <w:u w:val="single"/>
          </w:rPr>
          <w:t>Êx 16.1</w:t>
        </w:r>
      </w:hyperlink>
      <w:r>
        <w:t xml:space="preserve">; </w:t>
      </w:r>
      <w:hyperlink r:id="rId3575">
        <w:r>
          <w:rPr>
            <w:color w:val="0000EE"/>
            <w:u w:val="single"/>
          </w:rPr>
          <w:t>17.1</w:t>
        </w:r>
      </w:hyperlink>
      <w:r>
        <w:t xml:space="preserve">; </w:t>
      </w:r>
      <w:hyperlink r:id="rId6779">
        <w:r>
          <w:rPr>
            <w:color w:val="0000EE"/>
            <w:u w:val="single"/>
          </w:rPr>
          <w:t>Nm 33.11–12</w:t>
        </w:r>
      </w:hyperlink>
      <w:r>
        <w:t>). O deserto de Sim está localizado a sudeste de Elim, que geralmente se acredita ser o Wadi Gharandel.</w:t>
      </w:r>
    </w:p>
    <w:p>
      <w:r/>
      <w:r>
        <w:rPr>
          <w:i/>
        </w:rPr>
        <w:t>Veja também</w:t>
      </w:r>
      <w:r>
        <w:t xml:space="preserve"> </w:t>
      </w:r>
      <w:r>
        <w:t>Sina, Sinai</w:t>
      </w:r>
      <w:r>
        <w:t xml:space="preserve">; </w:t>
      </w:r>
      <w:r>
        <w:t>Peregrinações no deserto</w:t>
      </w:r>
      <w:r>
        <w:t>.</w:t>
      </w:r>
      <w:r/>
      <w:r/>
    </w:p>
    <w:p>
      <w:r/>
    </w:p>
    <w:p>
      <w:pPr>
        <w:pStyle w:val="Heading2"/>
      </w:pPr>
      <w:r>
        <w:t>Destino</w:t>
      </w:r>
      <w:r/>
    </w:p>
    <w:p>
      <w:pPr>
        <w:pStyle w:val="ListNumber"/>
        <w:spacing w:line="240" w:lineRule="auto"/>
        <w:ind w:left="720"/>
      </w:pPr>
      <w:r/>
      <w:r>
        <w:t>Um deus pagão (Meni) mencionado em conexão com outro deus pagão (Gade). Este deus era provavelmente um deus da sorte ou fortuna (</w:t>
      </w:r>
      <w:hyperlink r:id="rId6780">
        <w:r>
          <w:rPr>
            <w:color w:val="0000EE"/>
            <w:u w:val="single"/>
          </w:rPr>
          <w:t>Is 65.11</w:t>
        </w:r>
      </w:hyperlink>
      <w:r>
        <w:t>);</w:t>
      </w:r>
    </w:p>
    <w:p>
      <w:pPr>
        <w:pStyle w:val="ListNumber"/>
        <w:spacing w:line="240" w:lineRule="auto"/>
        <w:ind w:left="720"/>
      </w:pPr>
      <w:r/>
      <w:r>
        <w:t>O futuro determinado dos hebreus como o povo escolhido de Deus (</w:t>
      </w:r>
      <w:hyperlink r:id="rId6781">
        <w:r>
          <w:rPr>
            <w:color w:val="0000EE"/>
            <w:u w:val="single"/>
          </w:rPr>
          <w:t>Êx 19.5,6</w:t>
        </w:r>
      </w:hyperlink>
      <w:r>
        <w:t>). No Novo Testamento, o destino eterno depende do relacionamento de uma pessoa com Jesus (</w:t>
      </w:r>
      <w:hyperlink r:id="rId6782">
        <w:r>
          <w:rPr>
            <w:color w:val="0000EE"/>
            <w:u w:val="single"/>
          </w:rPr>
          <w:t>At 17.30,31</w:t>
        </w:r>
      </w:hyperlink>
      <w:r>
        <w:t xml:space="preserve">; </w:t>
      </w:r>
      <w:hyperlink r:id="rId6783">
        <w:r>
          <w:rPr>
            <w:color w:val="0000EE"/>
            <w:u w:val="single"/>
          </w:rPr>
          <w:t>1Jo 5.1–5</w:t>
        </w:r>
      </w:hyperlink>
      <w:r>
        <w:t>).</w:t>
      </w:r>
    </w:p>
    <w:p>
      <w:r/>
      <w:r>
        <w:rPr>
          <w:i/>
        </w:rPr>
        <w:t>Veja também</w:t>
      </w:r>
      <w:r>
        <w:t xml:space="preserve"> </w:t>
      </w:r>
      <w:r>
        <w:t>Eleger, eleição</w:t>
      </w:r>
      <w:r>
        <w:t xml:space="preserve">; </w:t>
      </w:r>
      <w:r>
        <w:t>Predestinação</w:t>
      </w:r>
      <w:r>
        <w:t>.</w:t>
      </w:r>
      <w:r/>
      <w:r/>
    </w:p>
    <w:p>
      <w:r/>
    </w:p>
    <w:p>
      <w:pPr>
        <w:pStyle w:val="Heading2"/>
      </w:pPr>
      <w:r>
        <w:t>Deuel</w:t>
      </w:r>
      <w:r/>
    </w:p>
    <w:p>
      <w:r/>
      <w:r>
        <w:t>Deuel foi o pai de Eliasafe. Eliasafe liderou a tribo de Gade durante as peregrinações dos israelitas no deserto (</w:t>
      </w:r>
      <w:hyperlink r:id="rId6784">
        <w:r>
          <w:rPr>
            <w:color w:val="0000EE"/>
            <w:u w:val="single"/>
          </w:rPr>
          <w:t>Nm 1.14</w:t>
        </w:r>
      </w:hyperlink>
      <w:r>
        <w:t xml:space="preserve">; </w:t>
      </w:r>
      <w:hyperlink r:id="rId6785">
        <w:r>
          <w:rPr>
            <w:color w:val="0000EE"/>
            <w:u w:val="single"/>
          </w:rPr>
          <w:t>7.42,47</w:t>
        </w:r>
      </w:hyperlink>
      <w:r>
        <w:t xml:space="preserve">; </w:t>
      </w:r>
      <w:hyperlink r:id="rId6786">
        <w:r>
          <w:rPr>
            <w:color w:val="0000EE"/>
            <w:u w:val="single"/>
          </w:rPr>
          <w:t>10.20</w:t>
        </w:r>
      </w:hyperlink>
      <w:r>
        <w:t xml:space="preserve">). Em </w:t>
      </w:r>
      <w:hyperlink r:id="rId6787">
        <w:r>
          <w:rPr>
            <w:color w:val="0000EE"/>
            <w:u w:val="single"/>
          </w:rPr>
          <w:t>Números 2.14</w:t>
        </w:r>
      </w:hyperlink>
      <w:r>
        <w:t>, a maioria dos manuscritos escreve seu nome como Reuel. Alguns outros o escrevem como Deuel. Isso se deve a uma semelhança confusa entre as letras hebraicas para “d” e “r”.</w:t>
      </w:r>
      <w:r/>
      <w:r/>
    </w:p>
    <w:p>
      <w:r/>
    </w:p>
    <w:p>
      <w:pPr>
        <w:pStyle w:val="Heading2"/>
      </w:pPr>
      <w:r>
        <w:t>Deus, Ser E Atributos De</w:t>
      </w:r>
      <w:r/>
    </w:p>
    <w:p>
      <w:r/>
      <w:r>
        <w:t>Características inerentes de Deus reveladas nas Escrituras e exibidas nas ações de Deus na história bíblica. Eles são características igualmente do Pai, do Filho e do Espírito Santo. Os atributos de Deus são revelados de maneiras progressivamente mais ricas e mais completas dentro da história da redenção.</w:t>
      </w:r>
    </w:p>
    <w:p>
      <w:r/>
      <w:r>
        <w:t>De acordo com a Bíblia, toda a criação mostra a deidade e poder eterno de Deus (</w:t>
      </w:r>
      <w:hyperlink r:id="rId3355">
        <w:r>
          <w:rPr>
            <w:color w:val="0000EE"/>
            <w:u w:val="single"/>
          </w:rPr>
          <w:t>Sl 19.1–6</w:t>
        </w:r>
      </w:hyperlink>
      <w:r>
        <w:t xml:space="preserve">; </w:t>
      </w:r>
      <w:hyperlink r:id="rId6086">
        <w:r>
          <w:rPr>
            <w:color w:val="0000EE"/>
            <w:u w:val="single"/>
          </w:rPr>
          <w:t>Rm 1.20</w:t>
        </w:r>
      </w:hyperlink>
      <w:r>
        <w:t>). A providência de Deus também revela alguns de seus atributos (</w:t>
      </w:r>
      <w:hyperlink r:id="rId6788">
        <w:r>
          <w:rPr>
            <w:color w:val="0000EE"/>
            <w:u w:val="single"/>
          </w:rPr>
          <w:t>Mt 5.45</w:t>
        </w:r>
      </w:hyperlink>
      <w:r>
        <w:t xml:space="preserve">; </w:t>
      </w:r>
      <w:hyperlink r:id="rId6789">
        <w:r>
          <w:rPr>
            <w:color w:val="0000EE"/>
            <w:u w:val="single"/>
          </w:rPr>
          <w:t>Lc 6.35</w:t>
        </w:r>
      </w:hyperlink>
      <w:r>
        <w:t xml:space="preserve">; </w:t>
      </w:r>
      <w:hyperlink r:id="rId6790">
        <w:r>
          <w:rPr>
            <w:color w:val="0000EE"/>
            <w:u w:val="single"/>
          </w:rPr>
          <w:t>At 14.16–17</w:t>
        </w:r>
      </w:hyperlink>
      <w:r>
        <w:t xml:space="preserve">; </w:t>
      </w:r>
      <w:hyperlink r:id="rId2474">
        <w:r>
          <w:rPr>
            <w:color w:val="0000EE"/>
            <w:u w:val="single"/>
          </w:rPr>
          <w:t>17.22–31</w:t>
        </w:r>
      </w:hyperlink>
      <w:r>
        <w:t>). A revelação mais completa dos atributos de Deus é vista em sua obra de redenção através de Jesus Cristo.</w:t>
      </w:r>
    </w:p>
    <w:p>
      <w:r/>
      <w:r>
        <w:t>Como as Escrituras expressam as características de Deus? Primeiro, nos nomes divinos pelo qual Deus se revelou (</w:t>
      </w:r>
      <w:hyperlink r:id="rId2581">
        <w:r>
          <w:rPr>
            <w:color w:val="0000EE"/>
            <w:u w:val="single"/>
          </w:rPr>
          <w:t>Gn 1.1</w:t>
        </w:r>
      </w:hyperlink>
      <w:r>
        <w:t xml:space="preserve">; </w:t>
      </w:r>
      <w:hyperlink r:id="rId6791">
        <w:r>
          <w:rPr>
            <w:color w:val="0000EE"/>
            <w:u w:val="single"/>
          </w:rPr>
          <w:t>2.4</w:t>
        </w:r>
      </w:hyperlink>
      <w:r>
        <w:t xml:space="preserve">; </w:t>
      </w:r>
      <w:hyperlink r:id="rId795">
        <w:r>
          <w:rPr>
            <w:color w:val="0000EE"/>
            <w:u w:val="single"/>
          </w:rPr>
          <w:t>17.1</w:t>
        </w:r>
      </w:hyperlink>
      <w:r>
        <w:t xml:space="preserve">; </w:t>
      </w:r>
      <w:hyperlink r:id="rId906">
        <w:r>
          <w:rPr>
            <w:color w:val="0000EE"/>
            <w:u w:val="single"/>
          </w:rPr>
          <w:t>Êx 3.6,14–15</w:t>
        </w:r>
      </w:hyperlink>
      <w:r>
        <w:t xml:space="preserve">; </w:t>
      </w:r>
      <w:hyperlink r:id="rId6792">
        <w:r>
          <w:rPr>
            <w:color w:val="0000EE"/>
            <w:u w:val="single"/>
          </w:rPr>
          <w:t>6.2–5</w:t>
        </w:r>
      </w:hyperlink>
      <w:r>
        <w:t>). Alguns dos atributos de Deus são revelados implicitamente nos relatos bíblicos da Criação, Queda, Dilúvio, Babel e o Êxodo, e mais plenamente nas várias alianças que Deus fez com seu povo. Para Israel, ele se identificou como o Deus de Abraão, Isaque e Jacó (</w:t>
      </w:r>
      <w:hyperlink r:id="rId6793">
        <w:r>
          <w:rPr>
            <w:color w:val="0000EE"/>
            <w:u w:val="single"/>
          </w:rPr>
          <w:t>Êx 3.15</w:t>
        </w:r>
      </w:hyperlink>
      <w:r>
        <w:t>). Para o faraó, ele se identificou como o “Deus de Israel” ou o “Deus dos hebreus” (</w:t>
      </w:r>
      <w:hyperlink r:id="rId6794">
        <w:r>
          <w:rPr>
            <w:color w:val="0000EE"/>
            <w:u w:val="single"/>
          </w:rPr>
          <w:t>5.1–3</w:t>
        </w:r>
      </w:hyperlink>
      <w:r>
        <w:t>).</w:t>
      </w:r>
    </w:p>
    <w:p>
      <w:r/>
      <w:r>
        <w:t>Pelo tempo em que o povo de Israel havia chegado ao Monte Sinai, a revelação dos atributos de Deus na narrativa bíblica havia se tornado mais explícita: “Eu sou o SENHOR, o Deus Eterno! Eu tenho compaixão e misericórdia, não fico irado com facilidade, e a minha fidelidade e o meu amor são tão grandes, que não podem ser medidos. Cumpro a minha promessa a milhares de gerações e perdôo o mal e o pecado. Porém, não deixo de castigar os seus filhos e até os netos, os bisnetos e os trinetos pelos pecados dos pais”. (</w:t>
      </w:r>
      <w:hyperlink r:id="rId848">
        <w:r>
          <w:rPr>
            <w:color w:val="0000EE"/>
            <w:u w:val="single"/>
          </w:rPr>
          <w:t>Êx 34.6–7</w:t>
        </w:r>
      </w:hyperlink>
      <w:r>
        <w:t>). Este resumo é repetido em outro lugar com pequenas variações (</w:t>
      </w:r>
      <w:hyperlink r:id="rId6795">
        <w:r>
          <w:rPr>
            <w:color w:val="0000EE"/>
            <w:u w:val="single"/>
          </w:rPr>
          <w:t>Nm 14.18</w:t>
        </w:r>
      </w:hyperlink>
      <w:r>
        <w:t xml:space="preserve">; </w:t>
      </w:r>
      <w:hyperlink r:id="rId6796">
        <w:r>
          <w:rPr>
            <w:color w:val="0000EE"/>
            <w:u w:val="single"/>
          </w:rPr>
          <w:t>Ne 9.17</w:t>
        </w:r>
      </w:hyperlink>
      <w:r>
        <w:t xml:space="preserve">; </w:t>
      </w:r>
      <w:hyperlink r:id="rId6797">
        <w:r>
          <w:rPr>
            <w:color w:val="0000EE"/>
            <w:u w:val="single"/>
          </w:rPr>
          <w:t>Sl 103.8</w:t>
        </w:r>
      </w:hyperlink>
      <w:r>
        <w:t xml:space="preserve">; </w:t>
      </w:r>
      <w:hyperlink r:id="rId6798">
        <w:r>
          <w:rPr>
            <w:color w:val="0000EE"/>
            <w:u w:val="single"/>
          </w:rPr>
          <w:t>Jr 32.18</w:t>
        </w:r>
      </w:hyperlink>
      <w:r>
        <w:t xml:space="preserve">; </w:t>
      </w:r>
      <w:hyperlink r:id="rId6799">
        <w:r>
          <w:rPr>
            <w:color w:val="0000EE"/>
            <w:u w:val="single"/>
          </w:rPr>
          <w:t>Jn 4.2</w:t>
        </w:r>
      </w:hyperlink>
      <w:r>
        <w:t>).</w:t>
      </w:r>
    </w:p>
    <w:p>
      <w:r/>
      <w:r>
        <w:t>Resumo</w:t>
      </w:r>
    </w:p>
    <w:p>
      <w:r/>
      <w:r>
        <w:t>• Os Atributos de Deus</w:t>
      </w:r>
    </w:p>
    <w:p>
      <w:r/>
      <w:r>
        <w:t>• Atributos Incomunicáveis</w:t>
      </w:r>
    </w:p>
    <w:p>
      <w:r/>
      <w:r>
        <w:t>• Atributos Comunicáveis</w:t>
      </w:r>
    </w:p>
    <w:p>
      <w:pPr>
        <w:pStyle w:val="Heading3"/>
      </w:pPr>
      <w:r>
        <w:t>Os atributos de Deus</w:t>
      </w:r>
    </w:p>
    <w:p>
      <w:r/>
      <w:r>
        <w:t>As confissões cristãs históricas se referem a várias características de Deus sem chamá-las de atributos ou classificá-las. O Breve Catecismo de Westminster (1647) mostra uma tendência em direção à classificação, descrevendo Deus como “um Espírito, infinito, eterno, e imutável em seu ser, sabedoria, poder, santidade, justiça, bondade e verdade”. Os primeiros quatro atributos qualificam os outros.</w:t>
      </w:r>
    </w:p>
    <w:p>
      <w:r/>
      <w:r>
        <w:t>Várias maneiras de qualificar os atributos foram sugeridas. Geralmente tais esquemas dividem os atributos divinos em pares: negativo e positivo, natural e moral, absoluto e relativo, imanente e eminente, intransitivo e transitivo, imóvel e operativo, antitético e sintético, ou incomunicável e comunicável. Os católicos romanos preferem a distinção de negativo e positivo, ou natural e moral. Os luteranos geralmente favorecem a distinção entre atributos imóveis e operativos. Os estudiosos reformados e evangélicos geralmente distinguem atributos incomunicáveis e comunicáveis. Karl Barth agrupou os atributos sob liberdade e amor e então propôs pares de atributos que refletem liberdade-amor ou amor-liberdade. Apesar da diversidade de rótulos dados aos grupos de atributos, existe uma concordância surpreendente nos atributos listados em cada grupo.</w:t>
      </w:r>
    </w:p>
    <w:p>
      <w:r/>
      <w:r>
        <w:t xml:space="preserve">Este artigo fará uma distinção entre atributos incomunicáveis e comunicáveis sem considerar a própria classificação como significativa. Nenhuma classificação dos atributos de Deus é totalmente satisfatória. Os atributos </w:t>
      </w:r>
      <w:r>
        <w:rPr>
          <w:i/>
        </w:rPr>
        <w:t>incomunicáveis</w:t>
      </w:r>
      <w:r>
        <w:t xml:space="preserve"> enfatizam a distinção absoluta de Deus, sua grandeza transcendente e natureza exaltada. Tais atributos têm pouca ou nenhuma analogia nas criaturas de Deus. Os atributos </w:t>
      </w:r>
      <w:r>
        <w:rPr>
          <w:i/>
        </w:rPr>
        <w:t>comunicáveis</w:t>
      </w:r>
      <w:r>
        <w:t xml:space="preserve"> encontram alguma reflexão ou analogia em seres humanos criados à imagem de Deus. Eles indicam a imanência de Deus em relação às criaturas. No entanto, todos os atributos são os atributos de Deus; a distinção entre Deus e o homem, entre Criador e criatura, é sempre básica.</w:t>
      </w:r>
    </w:p>
    <w:p>
      <w:pPr>
        <w:pStyle w:val="Heading3"/>
      </w:pPr>
      <w:r>
        <w:t>Atributos Incomunicáveis</w:t>
      </w:r>
    </w:p>
    <w:p>
      <w:r/>
      <w:r>
        <w:t>Reconhecendo alguma diversidade de opinião teológica, os seguintes atributos serão considerados incomunicáveis: unidade, espiritualidade, independência, imutabilidade, eternidade e imensidade. Além disso, a incompreensibilidade de Deus deve ser mencionada.</w:t>
      </w:r>
    </w:p>
    <w:p>
      <w:r/>
      <w:r>
        <w:t xml:space="preserve">A </w:t>
      </w:r>
      <w:r>
        <w:rPr>
          <w:i/>
        </w:rPr>
        <w:t>incompreensibilidade</w:t>
      </w:r>
      <w:r>
        <w:t xml:space="preserve"> de Deus às vezes é incluída em listas de seus atributos. Parece preferível considerá-lo como uma descrição da incapacidade humana de entender Deus completamente. A incompreensibilidade, portanto, não é um atributo, embora seja um dado em todo debate sobre Deus. Através de sua revelação, Deus é verdadeiramente conhecido pela fé, mas nenhuma criatura jamais entenderá Deus, o Criador. Da mesma forma, ninguém nunca entenderá completamente nenhum dos atributos de Deus. O reconhecimento da incompreensibilidade de Deus deve contribuir para um espírito de humildade em toda consideração sobre Deus e seus atributos (</w:t>
      </w:r>
      <w:hyperlink r:id="rId6800">
        <w:r>
          <w:rPr>
            <w:color w:val="0000EE"/>
            <w:u w:val="single"/>
          </w:rPr>
          <w:t>Salmo 139.6</w:t>
        </w:r>
      </w:hyperlink>
      <w:r>
        <w:t xml:space="preserve">; </w:t>
      </w:r>
      <w:hyperlink r:id="rId6801">
        <w:r>
          <w:rPr>
            <w:color w:val="0000EE"/>
            <w:u w:val="single"/>
          </w:rPr>
          <w:t>145.3</w:t>
        </w:r>
      </w:hyperlink>
      <w:r>
        <w:t xml:space="preserve">; </w:t>
      </w:r>
      <w:hyperlink r:id="rId6802">
        <w:r>
          <w:rPr>
            <w:color w:val="0000EE"/>
            <w:u w:val="single"/>
          </w:rPr>
          <w:t>Is 40.28</w:t>
        </w:r>
      </w:hyperlink>
      <w:r>
        <w:t xml:space="preserve">; </w:t>
      </w:r>
      <w:hyperlink r:id="rId6803">
        <w:r>
          <w:rPr>
            <w:color w:val="0000EE"/>
            <w:u w:val="single"/>
          </w:rPr>
          <w:t>55.8–9</w:t>
        </w:r>
      </w:hyperlink>
      <w:r>
        <w:t xml:space="preserve">; </w:t>
      </w:r>
      <w:hyperlink r:id="rId6804">
        <w:r>
          <w:rPr>
            <w:color w:val="0000EE"/>
            <w:u w:val="single"/>
          </w:rPr>
          <w:t>Mt 11.25–27</w:t>
        </w:r>
      </w:hyperlink>
      <w:r>
        <w:t xml:space="preserve">; </w:t>
      </w:r>
      <w:hyperlink r:id="rId6805">
        <w:r>
          <w:rPr>
            <w:color w:val="0000EE"/>
            <w:u w:val="single"/>
          </w:rPr>
          <w:t>Rm 11.33–36</w:t>
        </w:r>
      </w:hyperlink>
      <w:r>
        <w:t xml:space="preserve">; </w:t>
      </w:r>
      <w:hyperlink r:id="rId6806">
        <w:r>
          <w:rPr>
            <w:color w:val="0000EE"/>
            <w:u w:val="single"/>
          </w:rPr>
          <w:t>1Co 2.6–16</w:t>
        </w:r>
      </w:hyperlink>
      <w:r>
        <w:t xml:space="preserve">; </w:t>
      </w:r>
      <w:hyperlink r:id="rId6807">
        <w:r>
          <w:rPr>
            <w:color w:val="0000EE"/>
            <w:u w:val="single"/>
          </w:rPr>
          <w:t>13.8–13</w:t>
        </w:r>
      </w:hyperlink>
      <w:r>
        <w:t>).</w:t>
      </w:r>
    </w:p>
    <w:p>
      <w:r/>
      <w:r>
        <w:t xml:space="preserve">A </w:t>
      </w:r>
      <w:r>
        <w:rPr>
          <w:i/>
        </w:rPr>
        <w:t>unidade</w:t>
      </w:r>
      <w:r>
        <w:t xml:space="preserve"> de Deus é uma expressão do monoteísmo — o fato de que o Deus das Escrituras é o único, vivo e verdadeiro Deus (</w:t>
      </w:r>
      <w:hyperlink r:id="rId3757">
        <w:r>
          <w:rPr>
            <w:color w:val="0000EE"/>
            <w:u w:val="single"/>
          </w:rPr>
          <w:t>Dt 6.4</w:t>
        </w:r>
      </w:hyperlink>
      <w:r>
        <w:t xml:space="preserve">; </w:t>
      </w:r>
      <w:hyperlink r:id="rId6808">
        <w:r>
          <w:rPr>
            <w:color w:val="0000EE"/>
            <w:u w:val="single"/>
          </w:rPr>
          <w:t>Mc 12.29</w:t>
        </w:r>
      </w:hyperlink>
      <w:r>
        <w:t xml:space="preserve">; </w:t>
      </w:r>
      <w:hyperlink r:id="rId5409">
        <w:r>
          <w:rPr>
            <w:color w:val="0000EE"/>
            <w:u w:val="single"/>
          </w:rPr>
          <w:t>Jo 17.3</w:t>
        </w:r>
      </w:hyperlink>
      <w:r>
        <w:t>). Todos os outros deuses são ídolos e invenções da imaginação humana. Este atributo é refletido no primeiro mandamento: “Não terás outros deuses diante de mim” (</w:t>
      </w:r>
      <w:hyperlink r:id="rId6809">
        <w:r>
          <w:rPr>
            <w:color w:val="0000EE"/>
            <w:u w:val="single"/>
          </w:rPr>
          <w:t>Êx 20.3</w:t>
        </w:r>
      </w:hyperlink>
      <w:r>
        <w:t>).</w:t>
      </w:r>
    </w:p>
    <w:p>
      <w:r/>
      <w:r>
        <w:t xml:space="preserve">A </w:t>
      </w:r>
      <w:r>
        <w:rPr>
          <w:i/>
        </w:rPr>
        <w:t>espiritualidade</w:t>
      </w:r>
      <w:r>
        <w:t xml:space="preserve"> de Deus indica que Deus não é físico e é invisível. Positivamente, significa que Deus é pessoal, vivo, autoconsciente e autodeterminado. O Deus invisível não pode ser visto pelos olhos humanos (</w:t>
      </w:r>
      <w:hyperlink r:id="rId6810">
        <w:r>
          <w:rPr>
            <w:color w:val="0000EE"/>
            <w:u w:val="single"/>
          </w:rPr>
          <w:t>Êx 33.20</w:t>
        </w:r>
      </w:hyperlink>
      <w:r>
        <w:t>), então o segundo mandamento proíbe todas as representações visíveis de Deus (</w:t>
      </w:r>
      <w:hyperlink r:id="rId4757">
        <w:r>
          <w:rPr>
            <w:color w:val="0000EE"/>
            <w:u w:val="single"/>
          </w:rPr>
          <w:t>20.4</w:t>
        </w:r>
      </w:hyperlink>
      <w:r>
        <w:t>). Porque Deus é Espírito, ele deve ser adorado em espírito e em verdade (</w:t>
      </w:r>
      <w:hyperlink r:id="rId6811">
        <w:r>
          <w:rPr>
            <w:color w:val="0000EE"/>
            <w:u w:val="single"/>
          </w:rPr>
          <w:t>Jo 4.24</w:t>
        </w:r>
      </w:hyperlink>
      <w:r>
        <w:t>).</w:t>
      </w:r>
    </w:p>
    <w:p>
      <w:r/>
      <w:r>
        <w:t xml:space="preserve">A </w:t>
      </w:r>
      <w:r>
        <w:rPr>
          <w:i/>
        </w:rPr>
        <w:t>independência</w:t>
      </w:r>
      <w:r>
        <w:t xml:space="preserve"> ou autoexistência de Deus indica que ele não é dependente de nada fora de si. Ele é autossuficiente em sua existência, em seus decretos e em todas as suas obras. Deus tem “vida em si” (</w:t>
      </w:r>
      <w:hyperlink r:id="rId6812">
        <w:r>
          <w:rPr>
            <w:color w:val="0000EE"/>
            <w:u w:val="single"/>
          </w:rPr>
          <w:t>Jo 5.26</w:t>
        </w:r>
      </w:hyperlink>
      <w:r>
        <w:t>) e “ele mesmo dá vida, fôlego e tudo” (</w:t>
      </w:r>
      <w:hyperlink r:id="rId6813">
        <w:r>
          <w:rPr>
            <w:color w:val="0000EE"/>
            <w:u w:val="single"/>
          </w:rPr>
          <w:t>At 17.25</w:t>
        </w:r>
      </w:hyperlink>
      <w:r>
        <w:t>). Para Israel, ele se revelou como o “Eu Sou” (</w:t>
      </w:r>
      <w:hyperlink r:id="rId6814">
        <w:r>
          <w:rPr>
            <w:color w:val="0000EE"/>
            <w:u w:val="single"/>
          </w:rPr>
          <w:t>Êx 3.14</w:t>
        </w:r>
      </w:hyperlink>
      <w:r>
        <w:t>), e ele fez Israel um povo de aliança para sua própria possessão. Deus continua a realizar sua vontade no mundo, e mesmo que ele use vários meios, sua independência permanece intacta. Assim, ele entra em comunhão com seu povo da aliança, e ele divulga o evangelho através de agentes humanos.</w:t>
      </w:r>
    </w:p>
    <w:p>
      <w:r/>
      <w:r>
        <w:t xml:space="preserve">A </w:t>
      </w:r>
      <w:r>
        <w:rPr>
          <w:i/>
        </w:rPr>
        <w:t>imutabilidade</w:t>
      </w:r>
      <w:r>
        <w:t xml:space="preserve"> ou constância de Deus expressa sua imutabilidade e sua fidelidade a si, aos seus decretos, promessas e obras. Ele permanece para sempre o mesmo Deus verdadeiro que não sofre nenhuma mudança de dentro ou de qualquer coisa fora de si. E assim em </w:t>
      </w:r>
      <w:hyperlink r:id="rId6815">
        <w:r>
          <w:rPr>
            <w:color w:val="0000EE"/>
            <w:u w:val="single"/>
          </w:rPr>
          <w:t>Tiago 1.17</w:t>
        </w:r>
      </w:hyperlink>
      <w:r>
        <w:t xml:space="preserve"> lemos: “Tudo de bom que recebemos e tudo o que é perfeito vêm do céu, vêm de Deus, o Criador das luzes do céu. Ele não muda, nem varia de posição, o que causaria a escuridão”. O juramento de Deus a Abraão expressou sua imutabilidade para que seu povo da aliança pudesse ter certeza do “caráter imutável de seu propósito” (</w:t>
      </w:r>
      <w:hyperlink r:id="rId6816">
        <w:r>
          <w:rPr>
            <w:color w:val="0000EE"/>
            <w:u w:val="single"/>
          </w:rPr>
          <w:t>Hb 6.17</w:t>
        </w:r>
      </w:hyperlink>
      <w:r>
        <w:t>). Samuel disse ao rei Saul que o Senhor não “não mente, nem muda de idéia. Ele não é um ser humano” (</w:t>
      </w:r>
      <w:hyperlink r:id="rId6817">
        <w:r>
          <w:rPr>
            <w:color w:val="0000EE"/>
            <w:u w:val="single"/>
          </w:rPr>
          <w:t>1Sm 15.29</w:t>
        </w:r>
      </w:hyperlink>
      <w:r>
        <w:t xml:space="preserve">; cf. </w:t>
      </w:r>
      <w:hyperlink r:id="rId6818">
        <w:r>
          <w:rPr>
            <w:color w:val="0000EE"/>
            <w:u w:val="single"/>
          </w:rPr>
          <w:t>Nm 23.19</w:t>
        </w:r>
      </w:hyperlink>
      <w:r>
        <w:t>). “Porque eu, o Senhor, não mudo” (</w:t>
      </w:r>
      <w:hyperlink r:id="rId6819">
        <w:r>
          <w:rPr>
            <w:color w:val="0000EE"/>
            <w:u w:val="single"/>
          </w:rPr>
          <w:t>Ml 3.6</w:t>
        </w:r>
      </w:hyperlink>
      <w:r>
        <w:t>). Essa era a explicação de Deus para não destruir Judá pecaminoso; ele mostra misericórdia e mantém sua aliança. Porque “Jesus Cristo é o mesmo ontem, hoje e para sempre”, os cristãos são advertidos para não serem “guiados por ensinamentos diversos e estranhos” (</w:t>
      </w:r>
      <w:hyperlink r:id="rId6820">
        <w:r>
          <w:rPr>
            <w:color w:val="0000EE"/>
            <w:u w:val="single"/>
          </w:rPr>
          <w:t>Hb 13.8–9</w:t>
        </w:r>
      </w:hyperlink>
      <w:r>
        <w:t>).</w:t>
      </w:r>
    </w:p>
    <w:p>
      <w:r/>
      <w:r>
        <w:t>A imutabilidade ou constância de Deus não implica que ele é estático ou imóvel. Ele é um Deus dinâmico e vivo que está constantemente trabalhando (</w:t>
      </w:r>
      <w:hyperlink r:id="rId6711">
        <w:r>
          <w:rPr>
            <w:color w:val="0000EE"/>
            <w:u w:val="single"/>
          </w:rPr>
          <w:t>Jo 5.17</w:t>
        </w:r>
      </w:hyperlink>
      <w:r>
        <w:t>). Às vezes Deus é descrito como estando arrependido, arrependendo-se ou mudando de ideia (</w:t>
      </w:r>
      <w:hyperlink r:id="rId6821">
        <w:r>
          <w:rPr>
            <w:color w:val="0000EE"/>
            <w:u w:val="single"/>
          </w:rPr>
          <w:t>Gn 6.6–7</w:t>
        </w:r>
      </w:hyperlink>
      <w:r>
        <w:t xml:space="preserve">; </w:t>
      </w:r>
      <w:hyperlink r:id="rId6822">
        <w:r>
          <w:rPr>
            <w:color w:val="0000EE"/>
            <w:u w:val="single"/>
          </w:rPr>
          <w:t>1Sm 15.11</w:t>
        </w:r>
      </w:hyperlink>
      <w:r>
        <w:t xml:space="preserve">; </w:t>
      </w:r>
      <w:hyperlink r:id="rId6823">
        <w:r>
          <w:rPr>
            <w:color w:val="0000EE"/>
            <w:u w:val="single"/>
          </w:rPr>
          <w:t>Jn 3.10</w:t>
        </w:r>
      </w:hyperlink>
      <w:r>
        <w:t>). Em seus contextos, tais expressões figurativas mostram a constância de um Deus que, em santidade e justiça, sempre abomina o pecado e reage contra ele. Em sua graça e misericórdia, ele perdoa o penitente, e ele realiza suas promessas sem falhar (</w:t>
      </w:r>
      <w:hyperlink r:id="rId6824">
        <w:r>
          <w:rPr>
            <w:color w:val="0000EE"/>
            <w:u w:val="single"/>
          </w:rPr>
          <w:t>Sl 110.4</w:t>
        </w:r>
      </w:hyperlink>
      <w:r>
        <w:t xml:space="preserve">; </w:t>
      </w:r>
      <w:hyperlink r:id="rId6825">
        <w:r>
          <w:rPr>
            <w:color w:val="0000EE"/>
            <w:u w:val="single"/>
          </w:rPr>
          <w:t>Is 46.10</w:t>
        </w:r>
      </w:hyperlink>
      <w:r>
        <w:t xml:space="preserve">; </w:t>
      </w:r>
      <w:hyperlink r:id="rId6826">
        <w:r>
          <w:rPr>
            <w:color w:val="0000EE"/>
            <w:u w:val="single"/>
          </w:rPr>
          <w:t>Jr 18.7–10</w:t>
        </w:r>
      </w:hyperlink>
      <w:r>
        <w:t xml:space="preserve">; </w:t>
      </w:r>
      <w:hyperlink r:id="rId6827">
        <w:r>
          <w:rPr>
            <w:color w:val="0000EE"/>
            <w:u w:val="single"/>
          </w:rPr>
          <w:t>Ef 1.11</w:t>
        </w:r>
      </w:hyperlink>
      <w:r>
        <w:t>). Assim, a constância de Deus é significativa em todos os relacionamentos humanos com ele, incluindo petições oferecidas em oração.</w:t>
      </w:r>
    </w:p>
    <w:p>
      <w:r/>
      <w:r>
        <w:t xml:space="preserve">A </w:t>
      </w:r>
      <w:r>
        <w:rPr>
          <w:i/>
        </w:rPr>
        <w:t>eternidade</w:t>
      </w:r>
      <w:r>
        <w:t xml:space="preserve"> de Deus indica sua transcendência ao longo do tempo. Ele é atemporal e eterno. Ele não tem começo ou fim; ele não sofre crescimento, desenvolvimento ou maturação. Ele existia antes da criação do mundo; ele habita agora na eternidade; ele continuará como o Deus eterno, mesmo quando a história terminar. As Escrituras falam de Deus como “eterno” (</w:t>
      </w:r>
      <w:hyperlink r:id="rId6828">
        <w:r>
          <w:rPr>
            <w:color w:val="0000EE"/>
            <w:u w:val="single"/>
          </w:rPr>
          <w:t>Dt 33.27</w:t>
        </w:r>
      </w:hyperlink>
      <w:r>
        <w:t>), “o Rei” (</w:t>
      </w:r>
      <w:hyperlink r:id="rId6829">
        <w:r>
          <w:rPr>
            <w:color w:val="0000EE"/>
            <w:u w:val="single"/>
          </w:rPr>
          <w:t>1Tm 1.17</w:t>
        </w:r>
      </w:hyperlink>
      <w:r>
        <w:t>), “o princípio e o fim” (</w:t>
      </w:r>
      <w:hyperlink r:id="rId2582">
        <w:r>
          <w:rPr>
            <w:color w:val="0000EE"/>
            <w:u w:val="single"/>
          </w:rPr>
          <w:t>Ap 22.13</w:t>
        </w:r>
      </w:hyperlink>
      <w:r>
        <w:t>). Ele “habita a eternidade” (</w:t>
      </w:r>
      <w:hyperlink r:id="rId5733">
        <w:r>
          <w:rPr>
            <w:color w:val="0000EE"/>
            <w:u w:val="single"/>
          </w:rPr>
          <w:t>Is 57.15</w:t>
        </w:r>
      </w:hyperlink>
      <w:r>
        <w:t>) e seus “anos não têm fim” (</w:t>
      </w:r>
      <w:hyperlink r:id="rId6830">
        <w:r>
          <w:rPr>
            <w:color w:val="0000EE"/>
            <w:u w:val="single"/>
          </w:rPr>
          <w:t>Sl 102.27</w:t>
        </w:r>
      </w:hyperlink>
      <w:r>
        <w:t xml:space="preserve">; cf. </w:t>
      </w:r>
      <w:hyperlink r:id="rId6831">
        <w:r>
          <w:rPr>
            <w:color w:val="0000EE"/>
            <w:u w:val="single"/>
          </w:rPr>
          <w:t>2Pe 3.8</w:t>
        </w:r>
      </w:hyperlink>
      <w:r>
        <w:t>). Embora Deus esteja acima do tempo e seja atemporal, o tempo é sua criação e a história é a arena de sua obra. “Quando chegou completamente a hora, Deus enviou seu Filho” (</w:t>
      </w:r>
      <w:hyperlink r:id="rId6832">
        <w:r>
          <w:rPr>
            <w:color w:val="0000EE"/>
            <w:u w:val="single"/>
          </w:rPr>
          <w:t>Gl 4.4</w:t>
        </w:r>
      </w:hyperlink>
      <w:r>
        <w:t>); Jesus Cristo morreu em uma sexta-feira e ressuscitou no terceiro dia.</w:t>
      </w:r>
    </w:p>
    <w:p>
      <w:r/>
      <w:r>
        <w:t xml:space="preserve">A </w:t>
      </w:r>
      <w:r>
        <w:rPr>
          <w:i/>
        </w:rPr>
        <w:t>imensidão</w:t>
      </w:r>
      <w:r>
        <w:t xml:space="preserve"> e </w:t>
      </w:r>
      <w:r>
        <w:rPr>
          <w:i/>
        </w:rPr>
        <w:t>onipresença</w:t>
      </w:r>
      <w:r>
        <w:t xml:space="preserve"> de Deus expressam sua transcendência sobre o espaço. Deus enche o céu e a terra (</w:t>
      </w:r>
      <w:hyperlink r:id="rId6833">
        <w:r>
          <w:rPr>
            <w:color w:val="0000EE"/>
            <w:u w:val="single"/>
          </w:rPr>
          <w:t>Jr 23.23–24</w:t>
        </w:r>
      </w:hyperlink>
      <w:r>
        <w:t>). O céu é seu trono, e a terra é seu estrado de pés, então ele não está restrito a um edifício do templo (</w:t>
      </w:r>
      <w:hyperlink r:id="rId6834">
        <w:r>
          <w:rPr>
            <w:color w:val="0000EE"/>
            <w:u w:val="single"/>
          </w:rPr>
          <w:t>Is 66.1</w:t>
        </w:r>
      </w:hyperlink>
      <w:r>
        <w:t xml:space="preserve">; </w:t>
      </w:r>
      <w:hyperlink r:id="rId6835">
        <w:r>
          <w:rPr>
            <w:color w:val="0000EE"/>
            <w:u w:val="single"/>
          </w:rPr>
          <w:t>At 17.24</w:t>
        </w:r>
      </w:hyperlink>
      <w:r>
        <w:t>). No entanto, Deus é imanente neste mundo e está ativamente trabalhando nele para estabelecer seu reino. Ninguém pode se esconder do Deus onipresente (</w:t>
      </w:r>
      <w:hyperlink r:id="rId6836">
        <w:r>
          <w:rPr>
            <w:color w:val="0000EE"/>
            <w:u w:val="single"/>
          </w:rPr>
          <w:t>Sl 139.6–12</w:t>
        </w:r>
      </w:hyperlink>
      <w:r>
        <w:t>). Jesus prometeu: “Eu estou sempre com vocês até o fim dos tempos” (</w:t>
      </w:r>
      <w:hyperlink r:id="rId2676">
        <w:r>
          <w:rPr>
            <w:color w:val="0000EE"/>
            <w:u w:val="single"/>
          </w:rPr>
          <w:t>Mt 28.20</w:t>
        </w:r>
      </w:hyperlink>
      <w:r>
        <w:t>). Desde Pentecostes (</w:t>
      </w:r>
      <w:hyperlink r:id="rId2610">
        <w:r>
          <w:rPr>
            <w:color w:val="0000EE"/>
            <w:u w:val="single"/>
          </w:rPr>
          <w:t>At 2</w:t>
        </w:r>
      </w:hyperlink>
      <w:r>
        <w:t>), o Espírito Santo é dito que realmente habita dentro dos corpos dos crentes (</w:t>
      </w:r>
      <w:hyperlink r:id="rId4305">
        <w:r>
          <w:rPr>
            <w:color w:val="0000EE"/>
            <w:u w:val="single"/>
          </w:rPr>
          <w:t>1Co 6.19</w:t>
        </w:r>
      </w:hyperlink>
      <w:r>
        <w:t>).</w:t>
      </w:r>
    </w:p>
    <w:p>
      <w:pPr>
        <w:pStyle w:val="Heading3"/>
      </w:pPr>
      <w:r>
        <w:t>Atributos comunicáveis</w:t>
      </w:r>
    </w:p>
    <w:p>
      <w:r/>
      <w:r>
        <w:t>Muitos atributos de Deus podem ser classificados sob este título, embora às vezes seja difícil dizer quais referências bíblicas a Deus devem ser consideradas atributos. Uma rica diversidade de terminologia é encontrada nas Escrituras, com muitos sinônimos. Por conveniência, os atributos comunicáveis são muitas vezes classificados como intelectuais, morais e volitivos.</w:t>
      </w:r>
    </w:p>
    <w:p>
      <w:pPr>
        <w:pStyle w:val="Heading4"/>
      </w:pPr>
      <w:r>
        <w:t>Atributos intelectuais</w:t>
      </w:r>
    </w:p>
    <w:p>
      <w:r/>
      <w:r>
        <w:t xml:space="preserve">O </w:t>
      </w:r>
      <w:r>
        <w:rPr>
          <w:i/>
        </w:rPr>
        <w:t>conhecimento</w:t>
      </w:r>
      <w:r>
        <w:t xml:space="preserve"> de Deus indica que de uma maneira única Deus conhece a si e todas as coisas possíveis e reais. </w:t>
      </w:r>
      <w:r>
        <w:rPr>
          <w:i/>
        </w:rPr>
        <w:t>Onisciência</w:t>
      </w:r>
      <w:r>
        <w:t xml:space="preserve"> significa que “ele sabe tudo” (</w:t>
      </w:r>
      <w:hyperlink r:id="rId6837">
        <w:r>
          <w:rPr>
            <w:color w:val="0000EE"/>
            <w:u w:val="single"/>
          </w:rPr>
          <w:t>1Jo 3.20</w:t>
        </w:r>
      </w:hyperlink>
      <w:r>
        <w:t>). “Antes mesmo que eu fale, tu já sabes o que vou dizer” (</w:t>
      </w:r>
      <w:hyperlink r:id="rId6838">
        <w:r>
          <w:rPr>
            <w:color w:val="0000EE"/>
            <w:u w:val="single"/>
          </w:rPr>
          <w:t>Sl 139.4</w:t>
        </w:r>
      </w:hyperlink>
      <w:r>
        <w:t>), incluindo os pensamentos secretos do coração de uma pessoa. O julgamento justo de Deus está enraizado no fato de que ele “conhece os pensamentos do homem” (</w:t>
      </w:r>
      <w:hyperlink r:id="rId6839">
        <w:r>
          <w:rPr>
            <w:color w:val="0000EE"/>
            <w:u w:val="single"/>
          </w:rPr>
          <w:t>Sl 94.11</w:t>
        </w:r>
      </w:hyperlink>
      <w:r>
        <w:t>). Reconhecendo que a onisciência de Deus é incompreensível, o salmista encontra uma fonte de conforto (</w:t>
      </w:r>
      <w:hyperlink r:id="rId6840">
        <w:r>
          <w:rPr>
            <w:color w:val="0000EE"/>
            <w:u w:val="single"/>
          </w:rPr>
          <w:t>139.1–5</w:t>
        </w:r>
      </w:hyperlink>
      <w:r>
        <w:t>). Todos os “tesouros de sabedoria e conhecimento” estão escondidos em Cristo (</w:t>
      </w:r>
      <w:hyperlink r:id="rId3755">
        <w:r>
          <w:rPr>
            <w:color w:val="0000EE"/>
            <w:u w:val="single"/>
          </w:rPr>
          <w:t>Cl 2.3</w:t>
        </w:r>
      </w:hyperlink>
      <w:r>
        <w:t>); portanto, o cristão é instruído a trazer cativo todo pensamento para obedecer a Cristo (</w:t>
      </w:r>
      <w:hyperlink r:id="rId6841">
        <w:r>
          <w:rPr>
            <w:color w:val="0000EE"/>
            <w:u w:val="single"/>
          </w:rPr>
          <w:t>2Co 10.5</w:t>
        </w:r>
      </w:hyperlink>
      <w:r>
        <w:t>). A santificação cristã inclui renovação no conhecimento para se tornar mais parecido com Cristo (</w:t>
      </w:r>
      <w:hyperlink r:id="rId6842">
        <w:r>
          <w:rPr>
            <w:color w:val="0000EE"/>
            <w:u w:val="single"/>
          </w:rPr>
          <w:t>Cl 3.10</w:t>
        </w:r>
      </w:hyperlink>
      <w:r>
        <w:t>).</w:t>
      </w:r>
    </w:p>
    <w:p>
      <w:r/>
      <w:r>
        <w:t xml:space="preserve">A </w:t>
      </w:r>
      <w:r>
        <w:rPr>
          <w:i/>
        </w:rPr>
        <w:t>sabedoria</w:t>
      </w:r>
      <w:r>
        <w:t xml:space="preserve"> de Deus indica que ele usa seu conhecimento da melhor maneira possível para alcançar seus objetivos. As obras de Deus são variadas, mas todas são feitas em sabedoria (</w:t>
      </w:r>
      <w:hyperlink r:id="rId6843">
        <w:r>
          <w:rPr>
            <w:color w:val="0000EE"/>
            <w:u w:val="single"/>
          </w:rPr>
          <w:t>Sl 104.24</w:t>
        </w:r>
      </w:hyperlink>
      <w:r>
        <w:t>). “O Senhor pela sabedoria fundou a terra” (</w:t>
      </w:r>
      <w:hyperlink r:id="rId6844">
        <w:r>
          <w:rPr>
            <w:color w:val="0000EE"/>
            <w:u w:val="single"/>
          </w:rPr>
          <w:t>Pv 3.19</w:t>
        </w:r>
      </w:hyperlink>
      <w:r>
        <w:t>); sua providência também exibe sua sabedoria (</w:t>
      </w:r>
      <w:hyperlink r:id="rId6845">
        <w:r>
          <w:rPr>
            <w:color w:val="0000EE"/>
            <w:u w:val="single"/>
          </w:rPr>
          <w:t>Gn 50.20</w:t>
        </w:r>
      </w:hyperlink>
      <w:r>
        <w:t>). A redenção através de Jesus Cristo revela a sabedoria de Deus (</w:t>
      </w:r>
      <w:hyperlink r:id="rId6846">
        <w:r>
          <w:rPr>
            <w:color w:val="0000EE"/>
            <w:u w:val="single"/>
          </w:rPr>
          <w:t>1Co 1.24</w:t>
        </w:r>
      </w:hyperlink>
      <w:r>
        <w:t>) e desperta admiração e louvor (</w:t>
      </w:r>
      <w:hyperlink r:id="rId6805">
        <w:r>
          <w:rPr>
            <w:color w:val="0000EE"/>
            <w:u w:val="single"/>
          </w:rPr>
          <w:t>Rm 11.33–36</w:t>
        </w:r>
      </w:hyperlink>
      <w:r>
        <w:t>). Os seres humanos devem buscar sabedoria (</w:t>
      </w:r>
      <w:hyperlink r:id="rId6847">
        <w:r>
          <w:rPr>
            <w:color w:val="0000EE"/>
            <w:u w:val="single"/>
          </w:rPr>
          <w:t>Pv 3.21</w:t>
        </w:r>
      </w:hyperlink>
      <w:r>
        <w:t>) — sabedoria enraizada no temor de Deus (</w:t>
      </w:r>
      <w:hyperlink r:id="rId6848">
        <w:r>
          <w:rPr>
            <w:color w:val="0000EE"/>
            <w:u w:val="single"/>
          </w:rPr>
          <w:t>Jó 28.28</w:t>
        </w:r>
      </w:hyperlink>
      <w:r>
        <w:t xml:space="preserve">; </w:t>
      </w:r>
      <w:hyperlink r:id="rId6849">
        <w:r>
          <w:rPr>
            <w:color w:val="0000EE"/>
            <w:u w:val="single"/>
          </w:rPr>
          <w:t>Sl 111.10</w:t>
        </w:r>
      </w:hyperlink>
      <w:r>
        <w:t xml:space="preserve">; </w:t>
      </w:r>
      <w:hyperlink r:id="rId6850">
        <w:r>
          <w:rPr>
            <w:color w:val="0000EE"/>
            <w:u w:val="single"/>
          </w:rPr>
          <w:t>Pv 9.10</w:t>
        </w:r>
      </w:hyperlink>
      <w:r>
        <w:t>). Diz-se que os cristãos são “sábios em Cristo” (</w:t>
      </w:r>
      <w:hyperlink r:id="rId6851">
        <w:r>
          <w:rPr>
            <w:color w:val="0000EE"/>
            <w:u w:val="single"/>
          </w:rPr>
          <w:t>1Co 4.10</w:t>
        </w:r>
      </w:hyperlink>
      <w:r>
        <w:t>), e Cristo os cobra para agir com sabedoria (</w:t>
      </w:r>
      <w:hyperlink r:id="rId1851">
        <w:r>
          <w:rPr>
            <w:color w:val="0000EE"/>
            <w:u w:val="single"/>
          </w:rPr>
          <w:t>Mt 10.16</w:t>
        </w:r>
      </w:hyperlink>
      <w:r>
        <w:t>), imitando assim a sabedoria de Deus.</w:t>
      </w:r>
    </w:p>
    <w:p>
      <w:r/>
      <w:r>
        <w:t xml:space="preserve">A </w:t>
      </w:r>
      <w:r>
        <w:rPr>
          <w:i/>
        </w:rPr>
        <w:t>veracidade</w:t>
      </w:r>
      <w:r>
        <w:t xml:space="preserve"> de Deus expressa sua autenticidade e fidelidade. Ele é a verdade e ele é fiel a si, à sua Palavra e às suas promessas (</w:t>
      </w:r>
      <w:hyperlink r:id="rId6852">
        <w:r>
          <w:rPr>
            <w:color w:val="0000EE"/>
            <w:u w:val="single"/>
          </w:rPr>
          <w:t>2Tm 2.13</w:t>
        </w:r>
      </w:hyperlink>
      <w:r>
        <w:t>). “Deus é luz e nele não há trevas” (</w:t>
      </w:r>
      <w:hyperlink r:id="rId6853">
        <w:r>
          <w:rPr>
            <w:color w:val="0000EE"/>
            <w:u w:val="single"/>
          </w:rPr>
          <w:t>1Jo 1.5</w:t>
        </w:r>
      </w:hyperlink>
      <w:r>
        <w:t xml:space="preserve">); portanto, seus seguidores devem andar na luz (vv </w:t>
      </w:r>
      <w:hyperlink r:id="rId6854">
        <w:r>
          <w:rPr>
            <w:color w:val="0000EE"/>
            <w:u w:val="single"/>
          </w:rPr>
          <w:t>6–7</w:t>
        </w:r>
      </w:hyperlink>
      <w:r>
        <w:t>). Jesus é “o caminho, a verdade e a vida” (</w:t>
      </w:r>
      <w:hyperlink r:id="rId408">
        <w:r>
          <w:rPr>
            <w:color w:val="0000EE"/>
            <w:u w:val="single"/>
          </w:rPr>
          <w:t>Jo 14.6</w:t>
        </w:r>
      </w:hyperlink>
      <w:r>
        <w:t>); por isso, os cristãos devem andar na verdade e mostrar fidelidade em suas vidas.</w:t>
      </w:r>
    </w:p>
    <w:p>
      <w:pPr>
        <w:pStyle w:val="Heading4"/>
      </w:pPr>
      <w:r>
        <w:t>Atributos morais</w:t>
      </w:r>
    </w:p>
    <w:p>
      <w:r/>
      <w:r>
        <w:t xml:space="preserve">A descrição mais flexível do caráter moral de Deus é sua </w:t>
      </w:r>
      <w:r>
        <w:rPr>
          <w:i/>
        </w:rPr>
        <w:t>bondade.</w:t>
      </w:r>
      <w:r>
        <w:t xml:space="preserve"> Deus lida com generosidade e bondade com todas as suas criaturas. Ele é “bom para todos” (</w:t>
      </w:r>
      <w:hyperlink r:id="rId5270">
        <w:r>
          <w:rPr>
            <w:color w:val="0000EE"/>
            <w:u w:val="single"/>
          </w:rPr>
          <w:t>Sl 145.9</w:t>
        </w:r>
      </w:hyperlink>
      <w:r>
        <w:t>). Jesus insistiu que “ninguém é bom, mas somente Deus” (</w:t>
      </w:r>
      <w:hyperlink r:id="rId6855">
        <w:r>
          <w:rPr>
            <w:color w:val="0000EE"/>
            <w:u w:val="single"/>
          </w:rPr>
          <w:t>Mc 10.18</w:t>
        </w:r>
      </w:hyperlink>
      <w:r>
        <w:t xml:space="preserve">; </w:t>
      </w:r>
      <w:hyperlink r:id="rId6856">
        <w:r>
          <w:rPr>
            <w:color w:val="0000EE"/>
            <w:u w:val="single"/>
          </w:rPr>
          <w:t>Lc 18.19</w:t>
        </w:r>
      </w:hyperlink>
      <w:r>
        <w:t>). Os redimidos louvam a Deus por sua bondade (</w:t>
      </w:r>
      <w:hyperlink r:id="rId6857">
        <w:r>
          <w:rPr>
            <w:color w:val="0000EE"/>
            <w:u w:val="single"/>
          </w:rPr>
          <w:t>1Cr 16.34</w:t>
        </w:r>
      </w:hyperlink>
      <w:r>
        <w:t xml:space="preserve">; </w:t>
      </w:r>
      <w:hyperlink r:id="rId6858">
        <w:r>
          <w:rPr>
            <w:color w:val="0000EE"/>
            <w:u w:val="single"/>
          </w:rPr>
          <w:t>2Cr 5.13</w:t>
        </w:r>
      </w:hyperlink>
      <w:r>
        <w:t xml:space="preserve">; </w:t>
      </w:r>
      <w:hyperlink r:id="rId6859">
        <w:r>
          <w:rPr>
            <w:color w:val="0000EE"/>
            <w:u w:val="single"/>
          </w:rPr>
          <w:t>Sl 106.1</w:t>
        </w:r>
      </w:hyperlink>
      <w:r>
        <w:t xml:space="preserve">; </w:t>
      </w:r>
      <w:hyperlink r:id="rId6860">
        <w:r>
          <w:rPr>
            <w:color w:val="0000EE"/>
            <w:u w:val="single"/>
          </w:rPr>
          <w:t>107.1</w:t>
        </w:r>
      </w:hyperlink>
      <w:r>
        <w:t xml:space="preserve">; </w:t>
      </w:r>
      <w:hyperlink r:id="rId6861">
        <w:r>
          <w:rPr>
            <w:color w:val="0000EE"/>
            <w:u w:val="single"/>
          </w:rPr>
          <w:t>118.1</w:t>
        </w:r>
      </w:hyperlink>
      <w:r>
        <w:t xml:space="preserve">; </w:t>
      </w:r>
      <w:hyperlink r:id="rId6862">
        <w:r>
          <w:rPr>
            <w:color w:val="0000EE"/>
            <w:u w:val="single"/>
          </w:rPr>
          <w:t>136.1</w:t>
        </w:r>
      </w:hyperlink>
      <w:r>
        <w:t xml:space="preserve">; </w:t>
      </w:r>
      <w:hyperlink r:id="rId6863">
        <w:r>
          <w:rPr>
            <w:color w:val="0000EE"/>
            <w:u w:val="single"/>
          </w:rPr>
          <w:t>Jr 33.11</w:t>
        </w:r>
      </w:hyperlink>
      <w:r>
        <w:t>) e são chamados para imitar esta característica divina (</w:t>
      </w:r>
      <w:hyperlink r:id="rId6788">
        <w:r>
          <w:rPr>
            <w:color w:val="0000EE"/>
            <w:u w:val="single"/>
          </w:rPr>
          <w:t>Mt 5.45</w:t>
        </w:r>
      </w:hyperlink>
      <w:r>
        <w:t xml:space="preserve">; </w:t>
      </w:r>
      <w:hyperlink r:id="rId6864">
        <w:r>
          <w:rPr>
            <w:color w:val="0000EE"/>
            <w:u w:val="single"/>
          </w:rPr>
          <w:t>Lc 6.27–36</w:t>
        </w:r>
      </w:hyperlink>
      <w:r>
        <w:t>).</w:t>
      </w:r>
    </w:p>
    <w:p>
      <w:r/>
      <w:r>
        <w:t xml:space="preserve">O </w:t>
      </w:r>
      <w:r>
        <w:rPr>
          <w:i/>
        </w:rPr>
        <w:t>amor</w:t>
      </w:r>
      <w:r>
        <w:t xml:space="preserve"> de Deus é o batimento cardíaco do evangelho. O perfeito amor flui entre as Pessoas da Trindade (</w:t>
      </w:r>
      <w:hyperlink r:id="rId6865">
        <w:r>
          <w:rPr>
            <w:color w:val="0000EE"/>
            <w:u w:val="single"/>
          </w:rPr>
          <w:t>Jo 3.35</w:t>
        </w:r>
      </w:hyperlink>
      <w:r>
        <w:t xml:space="preserve">; </w:t>
      </w:r>
      <w:hyperlink r:id="rId6866">
        <w:r>
          <w:rPr>
            <w:color w:val="0000EE"/>
            <w:u w:val="single"/>
          </w:rPr>
          <w:t>17.24</w:t>
        </w:r>
      </w:hyperlink>
      <w:r>
        <w:t>). No Sinai, Deus se revelou abundante em amor e fidelidade constantes (</w:t>
      </w:r>
      <w:hyperlink r:id="rId848">
        <w:r>
          <w:rPr>
            <w:color w:val="0000EE"/>
            <w:u w:val="single"/>
          </w:rPr>
          <w:t>Êx 34.6–7</w:t>
        </w:r>
      </w:hyperlink>
      <w:r>
        <w:t>), e todas as suas relações de aliança com os descendentes de Abraão mostraram seu amor constante. A principal manifestação do amor de Deus era o envio de seu Filho, Jesus Cristo (</w:t>
      </w:r>
      <w:hyperlink r:id="rId1191">
        <w:r>
          <w:rPr>
            <w:color w:val="0000EE"/>
            <w:u w:val="single"/>
          </w:rPr>
          <w:t>Jo 3.16</w:t>
        </w:r>
      </w:hyperlink>
      <w:r>
        <w:t>). O apóstolo João, que declarou que “Deus é amor”, apontou para a cruz para indicar o que esse amor realmente significava: “ele que nos amou e mandou o seu Filho para que, por meio dele, os nossos pecados fossem perdoados” (</w:t>
      </w:r>
      <w:hyperlink r:id="rId1195">
        <w:r>
          <w:rPr>
            <w:color w:val="0000EE"/>
            <w:u w:val="single"/>
          </w:rPr>
          <w:t>1Jo 4.8,10</w:t>
        </w:r>
      </w:hyperlink>
      <w:r>
        <w:t>).</w:t>
      </w:r>
    </w:p>
    <w:p>
      <w:r/>
      <w:r>
        <w:t xml:space="preserve">O amor de Deus mostrado aos pecadores imerecidos é chamado de </w:t>
      </w:r>
      <w:r>
        <w:rPr>
          <w:i/>
        </w:rPr>
        <w:t>graça</w:t>
      </w:r>
      <w:r>
        <w:t xml:space="preserve"> (</w:t>
      </w:r>
      <w:hyperlink r:id="rId6867">
        <w:r>
          <w:rPr>
            <w:color w:val="0000EE"/>
            <w:u w:val="single"/>
          </w:rPr>
          <w:t>Ef 1.6–8</w:t>
        </w:r>
      </w:hyperlink>
      <w:r>
        <w:t xml:space="preserve">; </w:t>
      </w:r>
      <w:hyperlink r:id="rId6868">
        <w:r>
          <w:rPr>
            <w:color w:val="0000EE"/>
            <w:u w:val="single"/>
          </w:rPr>
          <w:t>2.7–9</w:t>
        </w:r>
      </w:hyperlink>
      <w:r>
        <w:t xml:space="preserve">; </w:t>
      </w:r>
      <w:hyperlink r:id="rId3850">
        <w:r>
          <w:rPr>
            <w:color w:val="0000EE"/>
            <w:u w:val="single"/>
          </w:rPr>
          <w:t>Tt 3.4</w:t>
        </w:r>
      </w:hyperlink>
      <w:r>
        <w:t xml:space="preserve">). </w:t>
      </w:r>
      <w:r>
        <w:rPr>
          <w:i/>
        </w:rPr>
        <w:t>Misericórdia</w:t>
      </w:r>
      <w:r>
        <w:t xml:space="preserve"> é o amor de Deus (às vezes sua bondade) mostrado para aqueles que estão em miséria e angústia. Deus é </w:t>
      </w:r>
      <w:r>
        <w:rPr>
          <w:i/>
        </w:rPr>
        <w:t>longânimo</w:t>
      </w:r>
      <w:r>
        <w:t xml:space="preserve"> ou paciente em seu amor; ele dá tempo para o arrependimento.</w:t>
      </w:r>
    </w:p>
    <w:p>
      <w:r/>
      <w:r>
        <w:t xml:space="preserve">A </w:t>
      </w:r>
      <w:r>
        <w:rPr>
          <w:i/>
        </w:rPr>
        <w:t>santidade</w:t>
      </w:r>
      <w:r>
        <w:t xml:space="preserve"> de Deus retrata a pureza moral e excelência de Deus. A descrição da santidade de Jesus é aplicável a cada uma das Pessoas da Trindade: “Ele é perfeito e não tem nenhum pecado ou falha. Ele foi separado dos pecadores e elevado acima dos céus” (</w:t>
      </w:r>
      <w:hyperlink r:id="rId6869">
        <w:r>
          <w:rPr>
            <w:color w:val="0000EE"/>
            <w:u w:val="single"/>
          </w:rPr>
          <w:t>Hb 7.26</w:t>
        </w:r>
      </w:hyperlink>
      <w:r>
        <w:t>). A ideia essencial da santidade é ser separado ou posto à parte. Por causa de sua santidade inerente, Deus é distinto de tudo que é impuro ou profano. Somente Deus é santo; seu nome é santo, e ele leva o nome de “o Santo” (</w:t>
      </w:r>
      <w:hyperlink r:id="rId6870">
        <w:r>
          <w:rPr>
            <w:color w:val="0000EE"/>
            <w:u w:val="single"/>
          </w:rPr>
          <w:t>Sl 78.41</w:t>
        </w:r>
      </w:hyperlink>
      <w:r>
        <w:t xml:space="preserve">; </w:t>
      </w:r>
      <w:hyperlink r:id="rId6871">
        <w:r>
          <w:rPr>
            <w:color w:val="0000EE"/>
            <w:u w:val="single"/>
          </w:rPr>
          <w:t>89.18</w:t>
        </w:r>
      </w:hyperlink>
      <w:r>
        <w:t xml:space="preserve">; </w:t>
      </w:r>
      <w:hyperlink r:id="rId6872">
        <w:r>
          <w:rPr>
            <w:color w:val="0000EE"/>
            <w:u w:val="single"/>
          </w:rPr>
          <w:t>99.3,9</w:t>
        </w:r>
      </w:hyperlink>
      <w:r>
        <w:t xml:space="preserve">; </w:t>
      </w:r>
      <w:hyperlink r:id="rId6873">
        <w:r>
          <w:rPr>
            <w:color w:val="0000EE"/>
            <w:u w:val="single"/>
          </w:rPr>
          <w:t>111.9</w:t>
        </w:r>
      </w:hyperlink>
      <w:r>
        <w:t xml:space="preserve">; </w:t>
      </w:r>
      <w:hyperlink r:id="rId6874">
        <w:r>
          <w:rPr>
            <w:color w:val="0000EE"/>
            <w:u w:val="single"/>
          </w:rPr>
          <w:t>Is 12.6</w:t>
        </w:r>
      </w:hyperlink>
      <w:r>
        <w:t xml:space="preserve">; </w:t>
      </w:r>
      <w:hyperlink r:id="rId6875">
        <w:r>
          <w:rPr>
            <w:color w:val="0000EE"/>
            <w:u w:val="single"/>
          </w:rPr>
          <w:t>Jr 51.5</w:t>
        </w:r>
      </w:hyperlink>
      <w:r>
        <w:t xml:space="preserve">; </w:t>
      </w:r>
      <w:hyperlink r:id="rId6876">
        <w:r>
          <w:rPr>
            <w:color w:val="0000EE"/>
            <w:u w:val="single"/>
          </w:rPr>
          <w:t>Ap 15.4</w:t>
        </w:r>
      </w:hyperlink>
      <w:r>
        <w:t>). Os Anjos louvam a santidade de Deus (</w:t>
      </w:r>
      <w:hyperlink r:id="rId6877">
        <w:r>
          <w:rPr>
            <w:color w:val="0000EE"/>
            <w:u w:val="single"/>
          </w:rPr>
          <w:t>Is 6.3</w:t>
        </w:r>
      </w:hyperlink>
      <w:r>
        <w:t xml:space="preserve">; </w:t>
      </w:r>
      <w:hyperlink r:id="rId6878">
        <w:r>
          <w:rPr>
            <w:color w:val="0000EE"/>
            <w:u w:val="single"/>
          </w:rPr>
          <w:t>Ap 4.8</w:t>
        </w:r>
      </w:hyperlink>
      <w:r>
        <w:t>). Objetos, lugares e pessoas são chamados santos quando separados para a adoração de Deus. Porque Deus é santo, seu povo é chamado para a santidade (</w:t>
      </w:r>
      <w:hyperlink r:id="rId6879">
        <w:r>
          <w:rPr>
            <w:color w:val="0000EE"/>
            <w:u w:val="single"/>
          </w:rPr>
          <w:t>Lv 11.44–45</w:t>
        </w:r>
      </w:hyperlink>
      <w:r>
        <w:t xml:space="preserve">; </w:t>
      </w:r>
      <w:hyperlink r:id="rId5370">
        <w:r>
          <w:rPr>
            <w:color w:val="0000EE"/>
            <w:u w:val="single"/>
          </w:rPr>
          <w:t>19.2</w:t>
        </w:r>
      </w:hyperlink>
      <w:r>
        <w:t xml:space="preserve">; </w:t>
      </w:r>
      <w:hyperlink r:id="rId6880">
        <w:r>
          <w:rPr>
            <w:color w:val="0000EE"/>
            <w:u w:val="single"/>
          </w:rPr>
          <w:t>1Pe 1.14–15</w:t>
        </w:r>
      </w:hyperlink>
      <w:r>
        <w:t>). A disciplina de Deus sobre seu povo tem como objetivo fazê-los compartilhar sua santidade (</w:t>
      </w:r>
      <w:hyperlink r:id="rId6881">
        <w:r>
          <w:rPr>
            <w:color w:val="0000EE"/>
            <w:u w:val="single"/>
          </w:rPr>
          <w:t>Hb 12.10</w:t>
        </w:r>
      </w:hyperlink>
      <w:r>
        <w:t>). A santidade de Deus é tão proeminente nas Escrituras que alguns (erroneamente) a consideraram como o principal atributo de Deus.</w:t>
      </w:r>
    </w:p>
    <w:p>
      <w:pPr>
        <w:pStyle w:val="Heading4"/>
      </w:pPr>
      <w:r>
        <w:t>Atributos volitivos</w:t>
      </w:r>
    </w:p>
    <w:p>
      <w:r/>
      <w:r>
        <w:t xml:space="preserve">A </w:t>
      </w:r>
      <w:r>
        <w:rPr>
          <w:i/>
        </w:rPr>
        <w:t>soberania</w:t>
      </w:r>
      <w:r>
        <w:t xml:space="preserve"> de Deus indica a autoridade divina com a qual ele governa toda a criação e, em seu soberano bom prazer, faz o que ele quer. Deus é Rei sobre toda a criação, e ele governa o destino dos seres humanos e nações. Ele restaura seu reino através de Jesus Cristo; o Senhor ressuscitado revelou que toda a autoridade no céu e na terra foi dada a ele (</w:t>
      </w:r>
      <w:hyperlink r:id="rId6882">
        <w:r>
          <w:rPr>
            <w:color w:val="0000EE"/>
            <w:u w:val="single"/>
          </w:rPr>
          <w:t>Mt 28.18</w:t>
        </w:r>
      </w:hyperlink>
      <w:r>
        <w:t>). A eleição para a salvação em Cristo é “de acordo com o plano e com a decisão de Deus. De acordo com a sua vontade e com aquilo que ele havia resolvido desde o princípio” (</w:t>
      </w:r>
      <w:hyperlink r:id="rId6827">
        <w:r>
          <w:rPr>
            <w:color w:val="0000EE"/>
            <w:u w:val="single"/>
          </w:rPr>
          <w:t>Ef 1.11</w:t>
        </w:r>
      </w:hyperlink>
      <w:r>
        <w:t>). A vontade soberana de Deus, embora livre, não é arbitrária; é justa e santa. Ele criou o mundo e deu sua lei como a regra para a vida de seu povo; ele faz alianças, abençoa. e julga. Deus é o “Rei dos reis e Senhor dos senhores” (</w:t>
      </w:r>
      <w:hyperlink r:id="rId6883">
        <w:r>
          <w:rPr>
            <w:color w:val="0000EE"/>
            <w:u w:val="single"/>
          </w:rPr>
          <w:t>1Tm 6.15</w:t>
        </w:r>
      </w:hyperlink>
      <w:r>
        <w:t>); ele chama todos os seus súditos ao amor obediente (</w:t>
      </w:r>
      <w:hyperlink r:id="rId6884">
        <w:r>
          <w:rPr>
            <w:color w:val="0000EE"/>
            <w:u w:val="single"/>
          </w:rPr>
          <w:t>Dt 6.4–5</w:t>
        </w:r>
      </w:hyperlink>
      <w:r>
        <w:t xml:space="preserve">; </w:t>
      </w:r>
      <w:hyperlink r:id="rId6885">
        <w:r>
          <w:rPr>
            <w:color w:val="0000EE"/>
            <w:u w:val="single"/>
          </w:rPr>
          <w:t>Mt 22.37–40</w:t>
        </w:r>
      </w:hyperlink>
      <w:r>
        <w:t xml:space="preserve">; </w:t>
      </w:r>
      <w:hyperlink r:id="rId6886">
        <w:r>
          <w:rPr>
            <w:color w:val="0000EE"/>
            <w:u w:val="single"/>
          </w:rPr>
          <w:t>1Jo 5.3</w:t>
        </w:r>
      </w:hyperlink>
      <w:r>
        <w:t>).</w:t>
      </w:r>
    </w:p>
    <w:p>
      <w:r/>
      <w:r>
        <w:t xml:space="preserve">O </w:t>
      </w:r>
      <w:r>
        <w:rPr>
          <w:i/>
        </w:rPr>
        <w:t>poder soberano</w:t>
      </w:r>
      <w:r>
        <w:t xml:space="preserve"> de Deus significa que ele é sem fronteiras ou limite em habilidade; ele é </w:t>
      </w:r>
      <w:r>
        <w:rPr>
          <w:i/>
        </w:rPr>
        <w:t>onipotente</w:t>
      </w:r>
      <w:r>
        <w:t xml:space="preserve"> ou todo-poderoso (</w:t>
      </w:r>
      <w:hyperlink r:id="rId6878">
        <w:r>
          <w:rPr>
            <w:color w:val="0000EE"/>
            <w:u w:val="single"/>
          </w:rPr>
          <w:t>Ap 4.8</w:t>
        </w:r>
      </w:hyperlink>
      <w:r>
        <w:t>). Por sua palavra poderosa, ele criou todas as coisas, e sustenta “o universo por sua palavra de poder” (</w:t>
      </w:r>
      <w:hyperlink r:id="rId2666">
        <w:r>
          <w:rPr>
            <w:color w:val="0000EE"/>
            <w:u w:val="single"/>
          </w:rPr>
          <w:t>Hb 1.3</w:t>
        </w:r>
      </w:hyperlink>
      <w:r>
        <w:t>). Não há nada muito difícil para o Senhor Deus Todo-Poderoso (</w:t>
      </w:r>
      <w:hyperlink r:id="rId6887">
        <w:r>
          <w:rPr>
            <w:color w:val="0000EE"/>
            <w:u w:val="single"/>
          </w:rPr>
          <w:t>Gn 18.14</w:t>
        </w:r>
      </w:hyperlink>
      <w:r>
        <w:t xml:space="preserve">; </w:t>
      </w:r>
      <w:hyperlink r:id="rId6888">
        <w:r>
          <w:rPr>
            <w:color w:val="0000EE"/>
            <w:u w:val="single"/>
          </w:rPr>
          <w:t>Jr 32.27</w:t>
        </w:r>
      </w:hyperlink>
      <w:r>
        <w:t xml:space="preserve">; </w:t>
      </w:r>
      <w:hyperlink r:id="rId6889">
        <w:r>
          <w:rPr>
            <w:color w:val="0000EE"/>
            <w:u w:val="single"/>
          </w:rPr>
          <w:t>Mt 19.26</w:t>
        </w:r>
      </w:hyperlink>
      <w:r>
        <w:t>); ele mantém sua aliança graciosa e realiza todas as suas promessas (</w:t>
      </w:r>
      <w:hyperlink r:id="rId6890">
        <w:r>
          <w:rPr>
            <w:color w:val="0000EE"/>
            <w:u w:val="single"/>
          </w:rPr>
          <w:t>Lc 1.37</w:t>
        </w:r>
      </w:hyperlink>
      <w:r>
        <w:t xml:space="preserve">; </w:t>
      </w:r>
      <w:hyperlink r:id="rId6852">
        <w:r>
          <w:rPr>
            <w:color w:val="0000EE"/>
            <w:u w:val="single"/>
          </w:rPr>
          <w:t>2Tm 2.13</w:t>
        </w:r>
      </w:hyperlink>
      <w:r>
        <w:t xml:space="preserve">; </w:t>
      </w:r>
      <w:hyperlink r:id="rId6891">
        <w:r>
          <w:rPr>
            <w:color w:val="0000EE"/>
            <w:u w:val="single"/>
          </w:rPr>
          <w:t>Hb 6.18</w:t>
        </w:r>
      </w:hyperlink>
      <w:r>
        <w:t>). O evangelho é “o poder de Deus para salvação” (</w:t>
      </w:r>
      <w:hyperlink r:id="rId735">
        <w:r>
          <w:rPr>
            <w:color w:val="0000EE"/>
            <w:u w:val="single"/>
          </w:rPr>
          <w:t>Rm 1.16</w:t>
        </w:r>
      </w:hyperlink>
      <w:r>
        <w:t>), pois Cristo é “o poder de Deus” para salvar (</w:t>
      </w:r>
      <w:hyperlink r:id="rId6846">
        <w:r>
          <w:rPr>
            <w:color w:val="0000EE"/>
            <w:u w:val="single"/>
          </w:rPr>
          <w:t>1Co 1.24</w:t>
        </w:r>
      </w:hyperlink>
      <w:r>
        <w:t>). Por isso, os crentes devem vir a conhecer “como é grande o seu poder que age em nós, os que cremos nele. Esse poder que age em nós é a mesma força poderosa que ele usou quando ressuscitou Cristo e fez com que ele se sentasse ao seu lado direito no mundo celestial” (</w:t>
      </w:r>
      <w:hyperlink r:id="rId6892">
        <w:r>
          <w:rPr>
            <w:color w:val="0000EE"/>
            <w:u w:val="single"/>
          </w:rPr>
          <w:t>Ef 1.19–20</w:t>
        </w:r>
      </w:hyperlink>
      <w:r>
        <w:t>).</w:t>
      </w:r>
    </w:p>
    <w:p>
      <w:pPr>
        <w:pStyle w:val="Heading4"/>
      </w:pPr>
      <w:r>
        <w:t>A glória de Deus</w:t>
      </w:r>
    </w:p>
    <w:p>
      <w:r/>
      <w:r>
        <w:t xml:space="preserve">Todos os atributos de Deus estão resumidos nas referências das Escrituras à </w:t>
      </w:r>
      <w:r>
        <w:rPr>
          <w:i/>
        </w:rPr>
        <w:t>glória</w:t>
      </w:r>
      <w:r>
        <w:t xml:space="preserve"> de Deus. A majestade, esplendor, beleza e esplendor de Deus que habita em luz inacessível são expressos por este termo indefinível. O Deus da glória apareceu a nosso pai Abraão (</w:t>
      </w:r>
      <w:hyperlink r:id="rId6893">
        <w:r>
          <w:rPr>
            <w:color w:val="0000EE"/>
            <w:u w:val="single"/>
          </w:rPr>
          <w:t>At 7.2</w:t>
        </w:r>
      </w:hyperlink>
      <w:r>
        <w:t>); Deus mostrou sua glória a Moisés (</w:t>
      </w:r>
      <w:hyperlink r:id="rId6894">
        <w:r>
          <w:rPr>
            <w:color w:val="0000EE"/>
            <w:u w:val="single"/>
          </w:rPr>
          <w:t>Êx 33.18–19</w:t>
        </w:r>
      </w:hyperlink>
      <w:r>
        <w:t xml:space="preserve">; </w:t>
      </w:r>
      <w:hyperlink r:id="rId848">
        <w:r>
          <w:rPr>
            <w:color w:val="0000EE"/>
            <w:u w:val="single"/>
          </w:rPr>
          <w:t>34.6–7</w:t>
        </w:r>
      </w:hyperlink>
      <w:r>
        <w:t>). O Deus do Senhor Jesus Cristo é o Pai da glória (</w:t>
      </w:r>
      <w:hyperlink r:id="rId6895">
        <w:r>
          <w:rPr>
            <w:color w:val="0000EE"/>
            <w:u w:val="single"/>
          </w:rPr>
          <w:t>Ef 1.17</w:t>
        </w:r>
      </w:hyperlink>
      <w:r>
        <w:t>). Os céus declaram a glória de Deus (</w:t>
      </w:r>
      <w:hyperlink r:id="rId6896">
        <w:r>
          <w:rPr>
            <w:color w:val="0000EE"/>
            <w:u w:val="single"/>
          </w:rPr>
          <w:t>Sl 19.1</w:t>
        </w:r>
      </w:hyperlink>
      <w:r>
        <w:t>); a majestade e glória de Deus enchem o céu e a terra (</w:t>
      </w:r>
      <w:hyperlink r:id="rId5938">
        <w:r>
          <w:rPr>
            <w:color w:val="0000EE"/>
            <w:u w:val="single"/>
          </w:rPr>
          <w:t>8.1</w:t>
        </w:r>
      </w:hyperlink>
      <w:r>
        <w:t>). Quando, finalmente, todas as línguas confessarem Jesus como Senhor, será para a glória de Deus, o Pai (</w:t>
      </w:r>
      <w:hyperlink r:id="rId6897">
        <w:r>
          <w:rPr>
            <w:color w:val="0000EE"/>
            <w:u w:val="single"/>
          </w:rPr>
          <w:t>Fp 2.11</w:t>
        </w:r>
      </w:hyperlink>
      <w:r>
        <w:t>). Os seres humanos foram criados para a glória de Deus, e os crentes cristãos são instruídos a fazer tudo para a glória de Deus (</w:t>
      </w:r>
      <w:hyperlink r:id="rId5816">
        <w:r>
          <w:rPr>
            <w:color w:val="0000EE"/>
            <w:u w:val="single"/>
          </w:rPr>
          <w:t>1Co 10.31</w:t>
        </w:r>
      </w:hyperlink>
      <w:r>
        <w:t>), refletindo assim em si sua glória inerente.</w:t>
      </w:r>
      <w:r/>
      <w:r/>
    </w:p>
    <w:p>
      <w:r/>
    </w:p>
    <w:p>
      <w:pPr>
        <w:pStyle w:val="Heading2"/>
      </w:pPr>
      <w:r>
        <w:t>Deuses e deusas</w:t>
      </w:r>
      <w:r/>
    </w:p>
    <w:p>
      <w:r/>
      <w:r>
        <w:t>Deuses e deusas são seres em que as pessoas acreditam ter poderes especiais sobre a natureza, a vida humana ou o universo. Um deus é um homem, e uma deusa é uma mulher. Nos tempos antigos, muitas pessoas adoravam diferentes deuses e deusas (</w:t>
      </w:r>
      <w:hyperlink r:id="rId2353">
        <w:r>
          <w:rPr>
            <w:color w:val="0000EE"/>
            <w:u w:val="single"/>
          </w:rPr>
          <w:t>Jr 10.11</w:t>
        </w:r>
      </w:hyperlink>
      <w:r>
        <w:t>). A Bíblia ensina que há apenas um Deus verdadeiro (</w:t>
      </w:r>
      <w:hyperlink r:id="rId6898">
        <w:r>
          <w:rPr>
            <w:color w:val="0000EE"/>
            <w:u w:val="single"/>
          </w:rPr>
          <w:t>Is 45.18,21</w:t>
        </w:r>
      </w:hyperlink>
      <w:r>
        <w:t>–</w:t>
      </w:r>
      <w:hyperlink r:id="rId6898">
        <w:r>
          <w:rPr>
            <w:color w:val="0000EE"/>
            <w:u w:val="single"/>
          </w:rPr>
          <w:t>22</w:t>
        </w:r>
      </w:hyperlink>
      <w:r>
        <w:t xml:space="preserve">; </w:t>
      </w:r>
      <w:hyperlink r:id="rId6899">
        <w:r>
          <w:rPr>
            <w:color w:val="0000EE"/>
            <w:u w:val="single"/>
          </w:rPr>
          <w:t>Mc 12.32</w:t>
        </w:r>
      </w:hyperlink>
      <w:r>
        <w:t xml:space="preserve">). No entanto, diferentes nações criaram e adoraram seus próprios deuses, geralmente mais de um. Muitos dos “deuses estrangeiros” (como mencionado em </w:t>
      </w:r>
      <w:hyperlink r:id="rId6900">
        <w:r>
          <w:rPr>
            <w:color w:val="0000EE"/>
            <w:u w:val="single"/>
          </w:rPr>
          <w:t>1Sm 7.3</w:t>
        </w:r>
      </w:hyperlink>
      <w:r>
        <w:t>) são mencionados na Bíblia, a qual frequentemente nos informa qual nação adorava cada deus.</w:t>
      </w:r>
    </w:p>
    <w:p>
      <w:pPr>
        <w:pStyle w:val="Heading3"/>
      </w:pPr>
      <w:r>
        <w:t>Deuses e deusas mencionados no Antigo Testamento</w:t>
      </w:r>
    </w:p>
    <w:p>
      <w:r/>
      <w:r>
        <w:t>A Mesopotâmia era um centro de adoração de ídolos. A lista de deuses dessa região é a mais extensa na Bíblia. As pessoas da Mesopotâmia criaram e adoraram muitos deuses diferentes:</w:t>
      </w:r>
    </w:p>
    <w:p>
      <w:pPr>
        <w:pStyle w:val="ListBullet"/>
        <w:spacing w:line="240" w:lineRule="auto"/>
        <w:ind w:left="720"/>
      </w:pPr>
      <w:r/>
      <w:r>
        <w:t>Adrameleque e Anameleque (</w:t>
      </w:r>
      <w:hyperlink r:id="rId2931">
        <w:r>
          <w:rPr>
            <w:color w:val="0000EE"/>
            <w:u w:val="single"/>
          </w:rPr>
          <w:t>2Rs 17.31</w:t>
        </w:r>
      </w:hyperlink>
      <w:r>
        <w:t>)</w:t>
      </w:r>
    </w:p>
    <w:p>
      <w:pPr>
        <w:pStyle w:val="ListBullet"/>
        <w:spacing w:line="240" w:lineRule="auto"/>
        <w:ind w:left="720"/>
      </w:pPr>
      <w:r/>
      <w:r>
        <w:t xml:space="preserve">Bel (também chamado de "Merodaque" </w:t>
      </w:r>
      <w:hyperlink r:id="rId6901">
        <w:r>
          <w:rPr>
            <w:color w:val="0000EE"/>
            <w:u w:val="single"/>
          </w:rPr>
          <w:t>Is 46.1</w:t>
        </w:r>
      </w:hyperlink>
      <w:r>
        <w:t xml:space="preserve">; </w:t>
      </w:r>
      <w:hyperlink r:id="rId6902">
        <w:r>
          <w:rPr>
            <w:color w:val="0000EE"/>
            <w:u w:val="single"/>
          </w:rPr>
          <w:t>Jr 50.2</w:t>
        </w:r>
      </w:hyperlink>
      <w:r>
        <w:t xml:space="preserve">; </w:t>
      </w:r>
      <w:hyperlink r:id="rId6903">
        <w:r>
          <w:rPr>
            <w:color w:val="0000EE"/>
            <w:u w:val="single"/>
          </w:rPr>
          <w:t>51.44</w:t>
        </w:r>
      </w:hyperlink>
      <w:r>
        <w:t>)</w:t>
      </w:r>
    </w:p>
    <w:p>
      <w:pPr>
        <w:pStyle w:val="ListBullet"/>
        <w:spacing w:line="240" w:lineRule="auto"/>
        <w:ind w:left="720"/>
      </w:pPr>
      <w:r/>
      <w:r>
        <w:t>Quium (</w:t>
      </w:r>
      <w:hyperlink r:id="rId6904">
        <w:r>
          <w:rPr>
            <w:color w:val="0000EE"/>
            <w:u w:val="single"/>
          </w:rPr>
          <w:t>Am 5.26</w:t>
        </w:r>
      </w:hyperlink>
      <w:r>
        <w:t>)</w:t>
      </w:r>
    </w:p>
    <w:p>
      <w:pPr>
        <w:pStyle w:val="ListBullet"/>
        <w:spacing w:line="240" w:lineRule="auto"/>
        <w:ind w:left="720"/>
      </w:pPr>
      <w:r/>
      <w:r>
        <w:t>Nebo (</w:t>
      </w:r>
      <w:hyperlink r:id="rId6901">
        <w:r>
          <w:rPr>
            <w:color w:val="0000EE"/>
            <w:u w:val="single"/>
          </w:rPr>
          <w:t>Is 46.1</w:t>
        </w:r>
      </w:hyperlink>
      <w:r>
        <w:t>)</w:t>
      </w:r>
    </w:p>
    <w:p>
      <w:pPr>
        <w:pStyle w:val="ListBullet"/>
        <w:spacing w:line="240" w:lineRule="auto"/>
        <w:ind w:left="720"/>
      </w:pPr>
      <w:r/>
      <w:r>
        <w:t>Nergal (</w:t>
      </w:r>
      <w:hyperlink r:id="rId6905">
        <w:r>
          <w:rPr>
            <w:color w:val="0000EE"/>
            <w:u w:val="single"/>
          </w:rPr>
          <w:t>2Rs 17.30</w:t>
        </w:r>
      </w:hyperlink>
      <w:r>
        <w:t>)</w:t>
      </w:r>
    </w:p>
    <w:p>
      <w:pPr>
        <w:pStyle w:val="ListBullet"/>
        <w:spacing w:line="240" w:lineRule="auto"/>
        <w:ind w:left="720"/>
      </w:pPr>
      <w:r/>
      <w:r>
        <w:t>Nisroque (</w:t>
      </w:r>
      <w:hyperlink r:id="rId2408">
        <w:r>
          <w:rPr>
            <w:color w:val="0000EE"/>
            <w:u w:val="single"/>
          </w:rPr>
          <w:t>2Rs 19.37</w:t>
        </w:r>
      </w:hyperlink>
      <w:r>
        <w:t xml:space="preserve">; </w:t>
      </w:r>
      <w:hyperlink r:id="rId2409">
        <w:r>
          <w:rPr>
            <w:color w:val="0000EE"/>
            <w:u w:val="single"/>
          </w:rPr>
          <w:t>Is 37.38</w:t>
        </w:r>
      </w:hyperlink>
      <w:r>
        <w:t>)</w:t>
      </w:r>
    </w:p>
    <w:p>
      <w:pPr>
        <w:pStyle w:val="ListBullet"/>
        <w:spacing w:line="240" w:lineRule="auto"/>
        <w:ind w:left="720"/>
      </w:pPr>
      <w:r/>
      <w:r>
        <w:t>Renfã (</w:t>
      </w:r>
      <w:hyperlink r:id="rId6906">
        <w:r>
          <w:rPr>
            <w:color w:val="0000EE"/>
            <w:u w:val="single"/>
          </w:rPr>
          <w:t>At 7.43</w:t>
        </w:r>
      </w:hyperlink>
      <w:r>
        <w:t>)</w:t>
      </w:r>
    </w:p>
    <w:p>
      <w:pPr>
        <w:pStyle w:val="ListBullet"/>
        <w:spacing w:line="240" w:lineRule="auto"/>
        <w:ind w:left="720"/>
      </w:pPr>
      <w:r/>
      <w:r>
        <w:t>Sicute (</w:t>
      </w:r>
      <w:hyperlink r:id="rId6904">
        <w:r>
          <w:rPr>
            <w:color w:val="0000EE"/>
            <w:u w:val="single"/>
          </w:rPr>
          <w:t>Am 5.26</w:t>
        </w:r>
      </w:hyperlink>
      <w:r>
        <w:t>)</w:t>
      </w:r>
    </w:p>
    <w:p>
      <w:pPr>
        <w:pStyle w:val="ListBullet"/>
        <w:spacing w:line="240" w:lineRule="auto"/>
        <w:ind w:left="720"/>
      </w:pPr>
      <w:r/>
      <w:r>
        <w:t>Sucote-Benote (</w:t>
      </w:r>
      <w:hyperlink r:id="rId6905">
        <w:r>
          <w:rPr>
            <w:color w:val="0000EE"/>
            <w:u w:val="single"/>
          </w:rPr>
          <w:t>2Rs 17.30</w:t>
        </w:r>
      </w:hyperlink>
      <w:r>
        <w:t>)</w:t>
      </w:r>
    </w:p>
    <w:p>
      <w:pPr>
        <w:pStyle w:val="ListBullet"/>
        <w:spacing w:line="240" w:lineRule="auto"/>
        <w:ind w:left="720"/>
      </w:pPr>
      <w:r/>
      <w:r>
        <w:t>Tamuz (</w:t>
      </w:r>
      <w:hyperlink r:id="rId6907">
        <w:r>
          <w:rPr>
            <w:color w:val="0000EE"/>
            <w:u w:val="single"/>
          </w:rPr>
          <w:t>Ez 8.14</w:t>
        </w:r>
      </w:hyperlink>
      <w:r>
        <w:t>)</w:t>
      </w:r>
    </w:p>
    <w:p>
      <w:pPr>
        <w:pStyle w:val="ListBullet"/>
        <w:spacing w:line="240" w:lineRule="auto"/>
        <w:ind w:left="720"/>
      </w:pPr>
      <w:r/>
      <w:r>
        <w:t>Tartaque (</w:t>
      </w:r>
      <w:hyperlink r:id="rId2931">
        <w:r>
          <w:rPr>
            <w:color w:val="0000EE"/>
            <w:u w:val="single"/>
          </w:rPr>
          <w:t>2Rs 17.31</w:t>
        </w:r>
      </w:hyperlink>
      <w:r>
        <w:t>)</w:t>
      </w:r>
    </w:p>
    <w:p>
      <w:r/>
      <w:r>
        <w:t>Os sírios adoravam:</w:t>
      </w:r>
    </w:p>
    <w:p>
      <w:pPr>
        <w:pStyle w:val="ListBullet"/>
        <w:spacing w:line="240" w:lineRule="auto"/>
        <w:ind w:left="720"/>
      </w:pPr>
      <w:r/>
      <w:r>
        <w:t>Asima (</w:t>
      </w:r>
      <w:hyperlink r:id="rId6905">
        <w:r>
          <w:rPr>
            <w:color w:val="0000EE"/>
            <w:u w:val="single"/>
          </w:rPr>
          <w:t>2Rs 17.30</w:t>
        </w:r>
      </w:hyperlink>
      <w:r>
        <w:t>)</w:t>
      </w:r>
    </w:p>
    <w:p>
      <w:pPr>
        <w:pStyle w:val="ListBullet"/>
        <w:spacing w:line="240" w:lineRule="auto"/>
        <w:ind w:left="720"/>
      </w:pPr>
      <w:r/>
      <w:r>
        <w:t xml:space="preserve">Rimom (também chamado de "Hadade-Rimom," </w:t>
      </w:r>
      <w:hyperlink r:id="rId6908">
        <w:r>
          <w:rPr>
            <w:color w:val="0000EE"/>
            <w:u w:val="single"/>
          </w:rPr>
          <w:t xml:space="preserve">2Rs 5.18; </w:t>
        </w:r>
      </w:hyperlink>
      <w:hyperlink r:id="rId6909">
        <w:r>
          <w:rPr>
            <w:color w:val="0000EE"/>
            <w:u w:val="single"/>
          </w:rPr>
          <w:t>Zc 12.11</w:t>
        </w:r>
      </w:hyperlink>
      <w:r>
        <w:t>)</w:t>
      </w:r>
    </w:p>
    <w:p>
      <w:r/>
      <w:r>
        <w:t>Os amonitas adoravam:</w:t>
      </w:r>
    </w:p>
    <w:p>
      <w:pPr>
        <w:pStyle w:val="ListBullet"/>
        <w:spacing w:line="240" w:lineRule="auto"/>
        <w:ind w:left="720"/>
      </w:pPr>
      <w:r/>
      <w:r>
        <w:t>Milcom ou Moleque (</w:t>
      </w:r>
      <w:hyperlink r:id="rId6910">
        <w:r>
          <w:rPr>
            <w:color w:val="0000EE"/>
            <w:u w:val="single"/>
          </w:rPr>
          <w:t>1Rs 11.5</w:t>
        </w:r>
      </w:hyperlink>
      <w:r>
        <w:t>–</w:t>
      </w:r>
      <w:hyperlink r:id="rId6910">
        <w:r>
          <w:rPr>
            <w:color w:val="0000EE"/>
            <w:u w:val="single"/>
          </w:rPr>
          <w:t>7,33</w:t>
        </w:r>
      </w:hyperlink>
      <w:r>
        <w:t xml:space="preserve">; </w:t>
      </w:r>
      <w:hyperlink r:id="rId6911">
        <w:r>
          <w:rPr>
            <w:color w:val="0000EE"/>
            <w:u w:val="single"/>
          </w:rPr>
          <w:t>2Rs 23.13</w:t>
        </w:r>
      </w:hyperlink>
      <w:r>
        <w:t>)</w:t>
      </w:r>
    </w:p>
    <w:p>
      <w:r/>
      <w:r>
        <w:t>Os moabitas adoravam:</w:t>
      </w:r>
    </w:p>
    <w:p>
      <w:pPr>
        <w:pStyle w:val="ListBullet"/>
        <w:spacing w:line="240" w:lineRule="auto"/>
        <w:ind w:left="720"/>
      </w:pPr>
      <w:r/>
      <w:r>
        <w:t>Quemós</w:t>
      </w:r>
    </w:p>
    <w:p>
      <w:pPr>
        <w:pStyle w:val="ListBullet"/>
        <w:spacing w:line="240" w:lineRule="auto"/>
        <w:ind w:left="720"/>
      </w:pPr>
      <w:r/>
      <w:r>
        <w:t>Baal (</w:t>
      </w:r>
      <w:hyperlink r:id="rId3494">
        <w:r>
          <w:rPr>
            <w:color w:val="0000EE"/>
            <w:u w:val="single"/>
          </w:rPr>
          <w:t>Nm 25.3–5</w:t>
        </w:r>
      </w:hyperlink>
      <w:r>
        <w:t>)</w:t>
      </w:r>
    </w:p>
    <w:p>
      <w:r/>
      <w:r>
        <w:t>Os filisteus adoravam:</w:t>
      </w:r>
    </w:p>
    <w:p>
      <w:pPr>
        <w:pStyle w:val="ListBullet"/>
        <w:spacing w:line="240" w:lineRule="auto"/>
        <w:ind w:left="720"/>
      </w:pPr>
      <w:r/>
      <w:r>
        <w:t>Dagom</w:t>
      </w:r>
    </w:p>
    <w:p>
      <w:pPr>
        <w:pStyle w:val="ListBullet"/>
        <w:spacing w:line="240" w:lineRule="auto"/>
        <w:ind w:left="720"/>
      </w:pPr>
      <w:r/>
      <w:r>
        <w:t xml:space="preserve">Baal-Zebube (chamado de "Beelzebul" no Novo Testamento, </w:t>
      </w:r>
      <w:hyperlink r:id="rId6912">
        <w:r>
          <w:rPr>
            <w:color w:val="0000EE"/>
            <w:u w:val="single"/>
          </w:rPr>
          <w:t>2Rs 1.2–3</w:t>
        </w:r>
      </w:hyperlink>
      <w:hyperlink r:id="rId6913">
        <w:r>
          <w:rPr>
            <w:color w:val="0000EE"/>
            <w:u w:val="single"/>
          </w:rPr>
          <w:t>,6,16</w:t>
        </w:r>
      </w:hyperlink>
      <w:hyperlink r:id="rId6912">
        <w:r>
          <w:rPr>
            <w:color w:val="0000EE"/>
            <w:u w:val="single"/>
          </w:rPr>
          <w:t xml:space="preserve">; </w:t>
        </w:r>
      </w:hyperlink>
      <w:hyperlink r:id="rId1673">
        <w:r>
          <w:rPr>
            <w:color w:val="0000EE"/>
            <w:u w:val="single"/>
          </w:rPr>
          <w:t>Mt 12.24</w:t>
        </w:r>
      </w:hyperlink>
      <w:r>
        <w:t xml:space="preserve">; </w:t>
      </w:r>
      <w:hyperlink r:id="rId6914">
        <w:r>
          <w:rPr>
            <w:color w:val="0000EE"/>
            <w:u w:val="single"/>
          </w:rPr>
          <w:t>Lc 11.15</w:t>
        </w:r>
      </w:hyperlink>
      <w:r>
        <w:t>)</w:t>
      </w:r>
    </w:p>
    <w:p>
      <w:r/>
      <w:r>
        <w:t>Os cananeus adoravam:</w:t>
      </w:r>
    </w:p>
    <w:p>
      <w:pPr>
        <w:pStyle w:val="ListBullet"/>
        <w:spacing w:line="240" w:lineRule="auto"/>
        <w:ind w:left="720"/>
      </w:pPr>
      <w:r/>
      <w:r>
        <w:t>Baal</w:t>
      </w:r>
    </w:p>
    <w:p>
      <w:pPr>
        <w:pStyle w:val="ListBullet"/>
        <w:spacing w:line="240" w:lineRule="auto"/>
        <w:ind w:left="720"/>
      </w:pPr>
      <w:r/>
      <w:r>
        <w:t>Aserá</w:t>
      </w:r>
    </w:p>
    <w:p>
      <w:pPr>
        <w:pStyle w:val="ListBullet"/>
        <w:spacing w:line="240" w:lineRule="auto"/>
        <w:ind w:left="720"/>
      </w:pPr>
      <w:r/>
      <w:r>
        <w:t xml:space="preserve">Astarote (também chamada de "Ishtar" ou a "Rainha do céu", </w:t>
      </w:r>
      <w:hyperlink r:id="rId6915">
        <w:r>
          <w:rPr>
            <w:color w:val="0000EE"/>
            <w:u w:val="single"/>
          </w:rPr>
          <w:t>Jr 7.18</w:t>
        </w:r>
      </w:hyperlink>
      <w:r>
        <w:t xml:space="preserve">; </w:t>
      </w:r>
      <w:hyperlink r:id="rId6916">
        <w:r>
          <w:rPr>
            <w:color w:val="0000EE"/>
            <w:u w:val="single"/>
          </w:rPr>
          <w:t>44.17–19,25</w:t>
        </w:r>
      </w:hyperlink>
      <w:r>
        <w:t>)</w:t>
      </w:r>
    </w:p>
    <w:p>
      <w:r/>
      <w:r>
        <w:t>Apenas dois deuses egípcios são mencionados na Bíblia:</w:t>
      </w:r>
    </w:p>
    <w:p>
      <w:pPr>
        <w:pStyle w:val="ListBullet"/>
        <w:spacing w:line="240" w:lineRule="auto"/>
        <w:ind w:left="720"/>
      </w:pPr>
      <w:r/>
      <w:r>
        <w:t>Amom (</w:t>
      </w:r>
      <w:hyperlink r:id="rId6917">
        <w:r>
          <w:rPr>
            <w:color w:val="0000EE"/>
            <w:u w:val="single"/>
          </w:rPr>
          <w:t>Jr 46.25</w:t>
        </w:r>
      </w:hyperlink>
      <w:r>
        <w:t>)</w:t>
      </w:r>
    </w:p>
    <w:p>
      <w:pPr>
        <w:pStyle w:val="ListBullet"/>
        <w:spacing w:line="240" w:lineRule="auto"/>
        <w:ind w:left="720"/>
      </w:pPr>
      <w:r/>
      <w:r>
        <w:t xml:space="preserve">Ápis </w:t>
      </w:r>
    </w:p>
    <w:p>
      <w:r/>
      <w:r>
        <w:t>Nibaz era provavelmente um deus elamita (</w:t>
      </w:r>
      <w:hyperlink r:id="rId2931">
        <w:r>
          <w:rPr>
            <w:color w:val="0000EE"/>
            <w:u w:val="single"/>
          </w:rPr>
          <w:t>2Rs 17.31</w:t>
        </w:r>
      </w:hyperlink>
      <w:r>
        <w:t>).</w:t>
      </w:r>
    </w:p>
    <w:p>
      <w:pPr>
        <w:pStyle w:val="Heading3"/>
      </w:pPr>
      <w:r>
        <w:t>Deuses e deusas mencionados no Novo Testamento</w:t>
      </w:r>
    </w:p>
    <w:p>
      <w:r/>
      <w:r>
        <w:t>Três deuses gregos e romanos são mencionados no Novo Testamento:</w:t>
      </w:r>
    </w:p>
    <w:p>
      <w:pPr>
        <w:pStyle w:val="ListBullet"/>
        <w:spacing w:line="240" w:lineRule="auto"/>
        <w:ind w:left="720"/>
      </w:pPr>
      <w:r/>
      <w:r>
        <w:t xml:space="preserve">Ártemis (chamada de "Diana" pelos romanos, </w:t>
      </w:r>
      <w:hyperlink r:id="rId6918">
        <w:r>
          <w:rPr>
            <w:color w:val="0000EE"/>
            <w:u w:val="single"/>
          </w:rPr>
          <w:t>At 19.24–28,34–35</w:t>
        </w:r>
      </w:hyperlink>
      <w:r>
        <w:t>)</w:t>
      </w:r>
    </w:p>
    <w:p>
      <w:pPr>
        <w:pStyle w:val="ListBullet"/>
        <w:spacing w:line="240" w:lineRule="auto"/>
        <w:ind w:left="720"/>
      </w:pPr>
      <w:r/>
      <w:r>
        <w:t xml:space="preserve">Zeus (chamado de "Júpiter" pelos romanos, </w:t>
      </w:r>
      <w:hyperlink r:id="rId6919">
        <w:r>
          <w:rPr>
            <w:color w:val="0000EE"/>
            <w:u w:val="single"/>
          </w:rPr>
          <w:t>At 14.12–13</w:t>
        </w:r>
      </w:hyperlink>
      <w:r>
        <w:t>)</w:t>
      </w:r>
    </w:p>
    <w:p>
      <w:pPr>
        <w:pStyle w:val="ListBullet"/>
        <w:spacing w:line="240" w:lineRule="auto"/>
        <w:ind w:left="720"/>
      </w:pPr>
      <w:r/>
      <w:r>
        <w:t xml:space="preserve">Hermes (chamado de "Mercúrio" pelos romanos, </w:t>
      </w:r>
      <w:hyperlink r:id="rId6919">
        <w:r>
          <w:rPr>
            <w:color w:val="0000EE"/>
            <w:u w:val="single"/>
          </w:rPr>
          <w:t>At 14.12–13</w:t>
        </w:r>
      </w:hyperlink>
      <w:r>
        <w:t>)</w:t>
      </w:r>
    </w:p>
    <w:p>
      <w:pPr>
        <w:pStyle w:val="Heading3"/>
      </w:pPr>
      <w:r>
        <w:t>Os deuses das nações não são verdadeiros</w:t>
      </w:r>
    </w:p>
    <w:p>
      <w:r/>
      <w:r>
        <w:t>A Bíblia ensina que os deuses das nações não são verdadeiros, mesmo que seus adoradores acreditem que eles sejam (</w:t>
      </w:r>
      <w:hyperlink r:id="rId6920">
        <w:r>
          <w:rPr>
            <w:color w:val="0000EE"/>
            <w:u w:val="single"/>
          </w:rPr>
          <w:t>Jr 2.11</w:t>
        </w:r>
      </w:hyperlink>
      <w:r>
        <w:t>;</w:t>
      </w:r>
      <w:hyperlink r:id="rId6921">
        <w:r>
          <w:rPr>
            <w:color w:val="0000EE"/>
            <w:u w:val="single"/>
          </w:rPr>
          <w:t>28</w:t>
        </w:r>
      </w:hyperlink>
      <w:r>
        <w:t>). Deus diz que “eles não são deuses de forma alguma” (</w:t>
      </w:r>
      <w:hyperlink r:id="rId6920">
        <w:r>
          <w:rPr>
            <w:color w:val="0000EE"/>
            <w:u w:val="single"/>
          </w:rPr>
          <w:t>Jr 2.11</w:t>
        </w:r>
      </w:hyperlink>
      <w:r>
        <w:t xml:space="preserve">; </w:t>
      </w:r>
      <w:hyperlink r:id="rId6922">
        <w:r>
          <w:rPr>
            <w:color w:val="0000EE"/>
            <w:u w:val="single"/>
          </w:rPr>
          <w:t>16.20</w:t>
        </w:r>
      </w:hyperlink>
      <w:r>
        <w:t>) ou são deuses "que não são deuses” (</w:t>
      </w:r>
      <w:hyperlink r:id="rId6923">
        <w:r>
          <w:rPr>
            <w:color w:val="0000EE"/>
            <w:u w:val="single"/>
          </w:rPr>
          <w:t>Jr 5.7</w:t>
        </w:r>
      </w:hyperlink>
      <w:r>
        <w:t>). O Novo Testamento tem a mesma mensagem. Paulo escreve que “um ídolo não é nada de fato” (</w:t>
      </w:r>
      <w:hyperlink r:id="rId6924">
        <w:r>
          <w:rPr>
            <w:color w:val="0000EE"/>
            <w:u w:val="single"/>
          </w:rPr>
          <w:t>1Co 8.4</w:t>
        </w:r>
      </w:hyperlink>
      <w:r>
        <w:t>). Ele disse que “deuses feitos por mãos humanas não são deuses de forma alguma” (</w:t>
      </w:r>
      <w:hyperlink r:id="rId6925">
        <w:r>
          <w:rPr>
            <w:color w:val="0000EE"/>
            <w:u w:val="single"/>
          </w:rPr>
          <w:t>At 19.26</w:t>
        </w:r>
      </w:hyperlink>
      <w:r>
        <w:t>). Desde os tempos mais remotos, quando os israelitas encontraram pela primeira vez pessoas de outras nações, Deus os lembrou de que ele era mais poderoso do que todos os outros deuses (</w:t>
      </w:r>
      <w:hyperlink r:id="rId6926">
        <w:r>
          <w:rPr>
            <w:color w:val="0000EE"/>
            <w:u w:val="single"/>
          </w:rPr>
          <w:t>Êx 15.11</w:t>
        </w:r>
      </w:hyperlink>
      <w:r>
        <w:t xml:space="preserve">; </w:t>
      </w:r>
      <w:hyperlink r:id="rId6927">
        <w:r>
          <w:rPr>
            <w:color w:val="0000EE"/>
            <w:u w:val="single"/>
          </w:rPr>
          <w:t>18.11</w:t>
        </w:r>
      </w:hyperlink>
      <w:r>
        <w:t xml:space="preserve">; </w:t>
      </w:r>
      <w:hyperlink r:id="rId6928">
        <w:r>
          <w:rPr>
            <w:color w:val="0000EE"/>
            <w:u w:val="single"/>
          </w:rPr>
          <w:t>Dt 10.17</w:t>
        </w:r>
      </w:hyperlink>
      <w:r>
        <w:t xml:space="preserve">; </w:t>
      </w:r>
      <w:hyperlink r:id="rId6929">
        <w:r>
          <w:rPr>
            <w:color w:val="0000EE"/>
            <w:u w:val="single"/>
          </w:rPr>
          <w:t>1Cr 16.25</w:t>
        </w:r>
      </w:hyperlink>
      <w:r>
        <w:t xml:space="preserve">; </w:t>
      </w:r>
      <w:hyperlink r:id="rId6169">
        <w:r>
          <w:rPr>
            <w:color w:val="0000EE"/>
            <w:u w:val="single"/>
          </w:rPr>
          <w:t>2Cr 2.5</w:t>
        </w:r>
      </w:hyperlink>
      <w:r>
        <w:t xml:space="preserve">; </w:t>
      </w:r>
      <w:hyperlink r:id="rId6930">
        <w:r>
          <w:rPr>
            <w:color w:val="0000EE"/>
            <w:u w:val="single"/>
          </w:rPr>
          <w:t>Sl 86.8</w:t>
        </w:r>
      </w:hyperlink>
      <w:r>
        <w:t xml:space="preserve">; </w:t>
      </w:r>
      <w:hyperlink r:id="rId6931">
        <w:r>
          <w:rPr>
            <w:color w:val="0000EE"/>
            <w:u w:val="single"/>
          </w:rPr>
          <w:t>95.3</w:t>
        </w:r>
      </w:hyperlink>
      <w:r>
        <w:t xml:space="preserve">; </w:t>
      </w:r>
      <w:hyperlink r:id="rId6165">
        <w:r>
          <w:rPr>
            <w:color w:val="0000EE"/>
            <w:u w:val="single"/>
          </w:rPr>
          <w:t>96.4–5</w:t>
        </w:r>
      </w:hyperlink>
      <w:r>
        <w:t xml:space="preserve">; </w:t>
      </w:r>
      <w:hyperlink r:id="rId6932">
        <w:r>
          <w:rPr>
            <w:color w:val="0000EE"/>
            <w:u w:val="single"/>
          </w:rPr>
          <w:t>97.7–9</w:t>
        </w:r>
      </w:hyperlink>
      <w:r>
        <w:t xml:space="preserve">; </w:t>
      </w:r>
      <w:hyperlink r:id="rId6933">
        <w:r>
          <w:rPr>
            <w:color w:val="0000EE"/>
            <w:u w:val="single"/>
          </w:rPr>
          <w:t>135.5,136.2</w:t>
        </w:r>
      </w:hyperlink>
      <w:r>
        <w:t xml:space="preserve">; </w:t>
      </w:r>
      <w:hyperlink r:id="rId6543">
        <w:r>
          <w:rPr>
            <w:color w:val="0000EE"/>
            <w:u w:val="single"/>
          </w:rPr>
          <w:t>Dn 2.47</w:t>
        </w:r>
      </w:hyperlink>
      <w:r>
        <w:t xml:space="preserve">; </w:t>
      </w:r>
      <w:hyperlink r:id="rId6934">
        <w:r>
          <w:rPr>
            <w:color w:val="0000EE"/>
            <w:u w:val="single"/>
          </w:rPr>
          <w:t>Sf 2.11</w:t>
        </w:r>
      </w:hyperlink>
      <w:r>
        <w:t>).</w:t>
      </w:r>
    </w:p>
    <w:p>
      <w:pPr>
        <w:pStyle w:val="Heading3"/>
      </w:pPr>
      <w:r>
        <w:t>A luta de Israel com a adoração de ídolos</w:t>
      </w:r>
    </w:p>
    <w:p>
      <w:r/>
      <w:r>
        <w:t>Esses deuses não eram dignos da atenção ou adoração de Israel. Como há apenas um Deus, outros deuses não mereciam a adoração de Israel (</w:t>
      </w:r>
      <w:hyperlink r:id="rId6809">
        <w:r>
          <w:rPr>
            <w:color w:val="0000EE"/>
            <w:u w:val="single"/>
          </w:rPr>
          <w:t>Êx 20.3</w:t>
        </w:r>
      </w:hyperlink>
      <w:r>
        <w:t xml:space="preserve">; </w:t>
      </w:r>
      <w:hyperlink r:id="rId6540">
        <w:r>
          <w:rPr>
            <w:color w:val="0000EE"/>
            <w:u w:val="single"/>
          </w:rPr>
          <w:t>Dt 5.7</w:t>
        </w:r>
      </w:hyperlink>
      <w:r>
        <w:t>). A língua hebraica nem sequer tinha uma palavra para "deusa" e, portanto, tinha que usar a palavra para "deus" para discutir sobre deusas (</w:t>
      </w:r>
      <w:hyperlink r:id="rId6935">
        <w:r>
          <w:rPr>
            <w:color w:val="0000EE"/>
            <w:u w:val="single"/>
          </w:rPr>
          <w:t>1Rs 11.5,33</w:t>
        </w:r>
      </w:hyperlink>
      <w:r>
        <w:t>). Foi dito aos israelitas para não fazerem imagens (</w:t>
      </w:r>
      <w:hyperlink r:id="rId6936">
        <w:r>
          <w:rPr>
            <w:color w:val="0000EE"/>
            <w:u w:val="single"/>
          </w:rPr>
          <w:t>Êx 20.4,23</w:t>
        </w:r>
      </w:hyperlink>
      <w:r>
        <w:t xml:space="preserve">; </w:t>
      </w:r>
      <w:hyperlink r:id="rId6937">
        <w:r>
          <w:rPr>
            <w:color w:val="0000EE"/>
            <w:u w:val="single"/>
          </w:rPr>
          <w:t>Lv 19.4</w:t>
        </w:r>
      </w:hyperlink>
      <w:r>
        <w:t xml:space="preserve">; </w:t>
      </w:r>
      <w:hyperlink r:id="rId6938">
        <w:r>
          <w:rPr>
            <w:color w:val="0000EE"/>
            <w:u w:val="single"/>
          </w:rPr>
          <w:t>Dt 5.8</w:t>
        </w:r>
      </w:hyperlink>
      <w:r>
        <w:t>). Eles não deviam mencionar os deuses e deusas dos povos não-judeus que viviam ao seu redor (</w:t>
      </w:r>
      <w:hyperlink r:id="rId6939">
        <w:r>
          <w:rPr>
            <w:color w:val="0000EE"/>
            <w:u w:val="single"/>
          </w:rPr>
          <w:t>Êx 23.13</w:t>
        </w:r>
      </w:hyperlink>
      <w:r>
        <w:t xml:space="preserve">; </w:t>
      </w:r>
      <w:hyperlink r:id="rId6940">
        <w:r>
          <w:rPr>
            <w:color w:val="0000EE"/>
            <w:u w:val="single"/>
          </w:rPr>
          <w:t>Js 23.7</w:t>
        </w:r>
      </w:hyperlink>
      <w:r>
        <w:t>).</w:t>
      </w:r>
    </w:p>
    <w:p>
      <w:r/>
      <w:r>
        <w:t>Apesar dos avisos de Deus, os israelitas frequentemente se voltavam para adorar outros deuses ao longo de sua história. Este problema começou muito cedo, quando a família de Jacó ainda mantinha pequenos ídolos em suas casas (</w:t>
      </w:r>
      <w:hyperlink r:id="rId6941">
        <w:r>
          <w:rPr>
            <w:color w:val="0000EE"/>
            <w:u w:val="single"/>
          </w:rPr>
          <w:t>Gn 31.32</w:t>
        </w:r>
      </w:hyperlink>
      <w:r>
        <w:t>). O povo continuou a adorar outros deuses mesmo depois de Deus resgatá-los do Egito (</w:t>
      </w:r>
      <w:hyperlink r:id="rId6942">
        <w:r>
          <w:rPr>
            <w:color w:val="0000EE"/>
            <w:u w:val="single"/>
          </w:rPr>
          <w:t>Êx 32.1–4,8,23,31</w:t>
        </w:r>
      </w:hyperlink>
      <w:r>
        <w:t xml:space="preserve">; </w:t>
      </w:r>
      <w:hyperlink r:id="rId6943">
        <w:r>
          <w:rPr>
            <w:color w:val="0000EE"/>
            <w:u w:val="single"/>
          </w:rPr>
          <w:t>34.15</w:t>
        </w:r>
      </w:hyperlink>
      <w:r>
        <w:t xml:space="preserve">; </w:t>
      </w:r>
      <w:hyperlink r:id="rId6944">
        <w:r>
          <w:rPr>
            <w:color w:val="0000EE"/>
            <w:u w:val="single"/>
          </w:rPr>
          <w:t>Os 11.2</w:t>
        </w:r>
      </w:hyperlink>
      <w:r>
        <w:t>).</w:t>
      </w:r>
    </w:p>
    <w:p>
      <w:r/>
      <w:r>
        <w:t>Essa infidelidade a Deus teve consequências sérias. Em 722 a.C., o reino do norte de Israel foi destruído porque o povo adorava ídolos em vez de Deus (</w:t>
      </w:r>
      <w:hyperlink r:id="rId3862">
        <w:r>
          <w:rPr>
            <w:color w:val="0000EE"/>
            <w:u w:val="single"/>
          </w:rPr>
          <w:t>2Rs 17.7–18</w:t>
        </w:r>
      </w:hyperlink>
      <w:r>
        <w:t>). Mais tarde, em 586 a.C., o reino do sul de Israel também foi destruído pela mesma razão (</w:t>
      </w:r>
      <w:hyperlink r:id="rId6945">
        <w:r>
          <w:rPr>
            <w:color w:val="0000EE"/>
            <w:u w:val="single"/>
          </w:rPr>
          <w:t>2Rs 22.17</w:t>
        </w:r>
      </w:hyperlink>
      <w:r>
        <w:t xml:space="preserve">; compare </w:t>
      </w:r>
      <w:hyperlink r:id="rId6946">
        <w:r>
          <w:rPr>
            <w:color w:val="0000EE"/>
            <w:u w:val="single"/>
          </w:rPr>
          <w:t>Dt 29.25–28</w:t>
        </w:r>
      </w:hyperlink>
      <w:r>
        <w:t>). Quando o povo judeu foi levado para Babilônia como cativos, eles perceberam quão vazio era o culto aos ídolos e finalmente se afastaram disso. Eles poderiam ter evitado muito sofrimento se tivessem seguido o exemplo de Josué quando ele disse: “Eu e minha casa serviremos ao Senhor” (</w:t>
      </w:r>
      <w:hyperlink r:id="rId6947">
        <w:r>
          <w:rPr>
            <w:color w:val="0000EE"/>
            <w:u w:val="single"/>
          </w:rPr>
          <w:t>Js 24.15</w:t>
        </w:r>
      </w:hyperlink>
      <w:r>
        <w:t>).</w:t>
      </w:r>
    </w:p>
    <w:p>
      <w:r/>
      <w:r>
        <w:rPr>
          <w:i/>
        </w:rPr>
        <w:t>Veja também</w:t>
      </w:r>
      <w:r>
        <w:t xml:space="preserve"> </w:t>
      </w:r>
      <w:r>
        <w:t>Deidades e religião cananeia</w:t>
      </w:r>
      <w:r>
        <w:t xml:space="preserve">; </w:t>
      </w:r>
      <w:r>
        <w:t>Ídolos, Idolatria</w:t>
      </w:r>
      <w:r>
        <w:t xml:space="preserve">; </w:t>
      </w:r>
      <w:r>
        <w:t>Lugar alto</w:t>
      </w:r>
      <w:r>
        <w:t>.</w:t>
      </w:r>
      <w:r/>
      <w:r/>
    </w:p>
    <w:p>
      <w:r/>
    </w:p>
    <w:p>
      <w:pPr>
        <w:pStyle w:val="Heading2"/>
      </w:pPr>
      <w:r>
        <w:t>Deuses gêmeos</w:t>
      </w:r>
      <w:r/>
    </w:p>
    <w:p>
      <w:r/>
      <w:r>
        <w:t>Os filhos gêmeos de Zeus na mitologia grega são conhecidos como Castor e Pólux ou os Dióscuros. Paulo navegou de Malta para Roma em um navio que trazia, na proa, a imagem dos dois irmãos gêmeos (</w:t>
      </w:r>
      <w:hyperlink r:id="rId746">
        <w:r>
          <w:rPr>
            <w:color w:val="0000EE"/>
            <w:u w:val="single"/>
          </w:rPr>
          <w:t>At 28.11</w:t>
        </w:r>
      </w:hyperlink>
      <w:r>
        <w:t>).</w:t>
      </w:r>
    </w:p>
    <w:p>
      <w:r/>
      <w:r>
        <w:rPr>
          <w:i/>
        </w:rPr>
        <w:t>Veja</w:t>
      </w:r>
      <w:r>
        <w:t xml:space="preserve"> </w:t>
      </w:r>
      <w:r>
        <w:t>Dióscuros</w:t>
      </w:r>
      <w:r>
        <w:t>.</w:t>
      </w:r>
      <w:r/>
      <w:r/>
    </w:p>
    <w:p>
      <w:r/>
    </w:p>
    <w:p>
      <w:pPr>
        <w:pStyle w:val="Heading2"/>
      </w:pPr>
      <w:r>
        <w:t>Deuteronômio, Livro de</w:t>
      </w:r>
      <w:r/>
    </w:p>
    <w:p>
      <w:r/>
      <w:r>
        <w:t>O quinto livro do Antigo Testamento, e o último do Pentateuco (os cinco livros da Lei). Nele, Moisés reiterou ao povo de Israel várias leis e preceitos da aliança que Deus lhes havia revelado no Monte Sinai. Assim, o livro tornou-se conhecido na tradição grega e latina como Deuteronômio (“Segunda lei”). Esse nome levou alguns a interpretar erroneamente o significado de seu conteúdo como secundário. O livro faz uma importante contribuição para o desdobramento da revelação de Deus sobre seu propósito para a nação de Israel. As lembranças de Moisés sobre as peregrinações no deserto e os Dez Mandamentos, além de suas instruções para a vida na Terra Prometida, são uma parte vital da literatura de aliança do Antigo Testamento.</w:t>
      </w:r>
    </w:p>
    <w:p>
      <w:r/>
      <w:r>
        <w:t>Resumo</w:t>
      </w:r>
    </w:p>
    <w:p>
      <w:r/>
      <w:r>
        <w:t>• Data e autor</w:t>
      </w:r>
    </w:p>
    <w:p>
      <w:r/>
      <w:r>
        <w:t>• Contexto histórico</w:t>
      </w:r>
    </w:p>
    <w:p>
      <w:r/>
      <w:r>
        <w:t>• Significado de Deuteronômio</w:t>
      </w:r>
    </w:p>
    <w:p>
      <w:r/>
      <w:r>
        <w:t>• Deuteronômio e a lei</w:t>
      </w:r>
    </w:p>
    <w:p>
      <w:r/>
      <w:r>
        <w:t>• Conteúdo</w:t>
      </w:r>
    </w:p>
    <w:p>
      <w:pPr>
        <w:pStyle w:val="Heading3"/>
      </w:pPr>
      <w:r>
        <w:t>Data e autoria</w:t>
      </w:r>
    </w:p>
    <w:p>
      <w:r/>
      <w:r>
        <w:t>Dois pontos de vista básicos (com variações) sobre a data e a autoria de Deuteronômio são defendidos por estudiosos bíblicos modernos. Aqueles que consideram Moisés o autor datam o livro do século XIV ou XIII a.C. Outros acreditam que foi composto por um autor desconhecido no século VII a.C., quando Josias era rei no reino do sul de Judá.</w:t>
      </w:r>
    </w:p>
    <w:p>
      <w:pPr>
        <w:pStyle w:val="Heading4"/>
      </w:pPr>
      <w:r>
        <w:t>O argumento para uma datação do sétimo século</w:t>
      </w:r>
    </w:p>
    <w:p>
      <w:r/>
      <w:r>
        <w:t xml:space="preserve">Já em 1805, W. M. L. de Wette argumentou que Deuteronômio foi utilizado por Josias em suas reformas do século VII e que foi escrito pouco antes disso. O crítico bíblico Júlio Wellhausen adotou essa perspectiva, que tem sido defendida por muitos estudiosos desde que S. R. Driver a popularizou em sua </w:t>
      </w:r>
      <w:r>
        <w:rPr>
          <w:i/>
        </w:rPr>
        <w:t>Introdução à Literatura do Antigo Testamento</w:t>
      </w:r>
      <w:r>
        <w:t xml:space="preserve"> (1891). De acordo com essa visão, o livro foi escrito posteriormente, mas atribuído a Moisés.</w:t>
      </w:r>
    </w:p>
    <w:p>
      <w:r/>
      <w:r>
        <w:t>Muitos estudiosos modernos, como Gerhard von Rad e G. E. Wright, consideram Moisés o fundador da fé de Israel. Eles argumentam que tudo o que está em Deuteronômio vindo de Moisés foi transmitido oralmente até cerca do século VII a.C. Negando que Moisés tenha realmente escrito Deuteronômio, eles atribuem sua forma atual a numerosos escritores e editores ao longo de um período prolongado de séculos.</w:t>
      </w:r>
    </w:p>
    <w:p>
      <w:pPr>
        <w:pStyle w:val="Heading4"/>
      </w:pPr>
      <w:r>
        <w:t>O argumento para a autoria mosaica</w:t>
      </w:r>
    </w:p>
    <w:p>
      <w:r/>
      <w:r>
        <w:t>Nas últimas décadas, estudos sobre os tratados de suserania hititas do segundo milênio a.C. têm proporcionado comparações interessantes entre essas formas de tratado e os livros de Êxodo e Deuteronômio. Em 1954, G. Mendenhall sugeriu que a forma da aliança no Monte Sinai era a mesma forma literária usada pelos hititas em tratados com estados vassalos sírios durante os séculos XIV e XIII a.C. Em 1960, M. G. Kline aplicou essa ideia ao livro de Deuteronômio, vendo-o como uma renovação da aliança sinaítica e delineando sua estrutura como uma unidade literária que reflete o padrão das formas de aliança hititas.</w:t>
      </w:r>
    </w:p>
    <w:p>
      <w:r/>
      <w:r>
        <w:t>O livro de Deuteronômio apresenta certos paralelos com os tratados de vassalagem hititas. Como um tratado de renovação, ele faz referência à aliança de Deus com Israel no Monte Sinai, registrada no livro de Êxodo.</w:t>
      </w:r>
    </w:p>
    <w:p>
      <w:r/>
      <w:r>
        <w:t xml:space="preserve">1. O "preâmbulo" nos tratados hititas antigos geralmente identificava o suserano ou governante. Em </w:t>
      </w:r>
      <w:hyperlink r:id="rId6948">
        <w:r>
          <w:rPr>
            <w:color w:val="0000EE"/>
            <w:u w:val="single"/>
          </w:rPr>
          <w:t>Deuteronômio 1.1–5</w:t>
        </w:r>
      </w:hyperlink>
      <w:r>
        <w:t xml:space="preserve"> (</w:t>
      </w:r>
      <w:hyperlink r:id="rId6949">
        <w:r>
          <w:rPr>
            <w:color w:val="0000EE"/>
            <w:u w:val="single"/>
          </w:rPr>
          <w:t>Êx 20.1</w:t>
        </w:r>
      </w:hyperlink>
      <w:r>
        <w:t>), Moisés, como orador, representa Deus, o Rei de Israel. À medida que sua morte se aproxima, Moisés faz um apelo pela renovação da aliança.</w:t>
      </w:r>
    </w:p>
    <w:p>
      <w:r/>
      <w:r>
        <w:t xml:space="preserve">2. No “prólogo histórico”, o suserano geralmente citava os benefícios que havia concedido ao seu vassalo. Em </w:t>
      </w:r>
      <w:hyperlink r:id="rId6950">
        <w:r>
          <w:rPr>
            <w:color w:val="0000EE"/>
            <w:u w:val="single"/>
          </w:rPr>
          <w:t>Deuteronômio 1.6–4.49</w:t>
        </w:r>
      </w:hyperlink>
      <w:r>
        <w:t xml:space="preserve"> (</w:t>
      </w:r>
      <w:hyperlink r:id="rId6951">
        <w:r>
          <w:rPr>
            <w:color w:val="0000EE"/>
            <w:u w:val="single"/>
          </w:rPr>
          <w:t>Êx 20.2</w:t>
        </w:r>
      </w:hyperlink>
      <w:r>
        <w:t>), Moisés declara o que Deus fez por Israel desde sua revelação no Monte Sinai. Moisés lembra ao povo de Israel da fidelidade de Deus, mesmo quando eles foram infiéis.</w:t>
      </w:r>
    </w:p>
    <w:p>
      <w:r/>
      <w:r>
        <w:t xml:space="preserve">3. As "estipulações" eram geralmente declaradas pelo suserano na terceira divisão do tratado. Em </w:t>
      </w:r>
      <w:hyperlink r:id="rId6952">
        <w:r>
          <w:rPr>
            <w:color w:val="0000EE"/>
            <w:u w:val="single"/>
          </w:rPr>
          <w:t>Deuteronômio 5–26</w:t>
        </w:r>
      </w:hyperlink>
      <w:r>
        <w:t xml:space="preserve">, Moisés descreve as estipulações para Israel em sua relação de aliança com Deus. O requisito básico em </w:t>
      </w:r>
      <w:hyperlink r:id="rId6953">
        <w:r>
          <w:rPr>
            <w:color w:val="0000EE"/>
            <w:u w:val="single"/>
          </w:rPr>
          <w:t>Deuteronômio 5–11</w:t>
        </w:r>
      </w:hyperlink>
      <w:r>
        <w:t xml:space="preserve"> (</w:t>
      </w:r>
      <w:hyperlink r:id="rId6954">
        <w:r>
          <w:rPr>
            <w:color w:val="0000EE"/>
            <w:u w:val="single"/>
          </w:rPr>
          <w:t>Êx 20.3–17</w:t>
        </w:r>
      </w:hyperlink>
      <w:r>
        <w:t xml:space="preserve">) é o amor exclusivo e de todo coração por Deus. Nos capítulos seguintes, </w:t>
      </w:r>
      <w:hyperlink r:id="rId814">
        <w:r>
          <w:rPr>
            <w:color w:val="0000EE"/>
            <w:u w:val="single"/>
          </w:rPr>
          <w:t>Deuteronômio 12–26</w:t>
        </w:r>
      </w:hyperlink>
      <w:r>
        <w:t>, o princípio básico do amor exclusivo por Deus é aplicado a áreas específicas de consagração cultual cerimonial (</w:t>
      </w:r>
      <w:hyperlink r:id="rId6955">
        <w:r>
          <w:rPr>
            <w:color w:val="0000EE"/>
            <w:u w:val="single"/>
          </w:rPr>
          <w:t>Dt 12.1–16.17</w:t>
        </w:r>
      </w:hyperlink>
      <w:r>
        <w:t>), justiça judicial no governo (</w:t>
      </w:r>
      <w:hyperlink r:id="rId6956">
        <w:r>
          <w:rPr>
            <w:color w:val="0000EE"/>
            <w:u w:val="single"/>
          </w:rPr>
          <w:t>16.18–21.23</w:t>
        </w:r>
      </w:hyperlink>
      <w:r>
        <w:t xml:space="preserve">), a santidade da ordem de Deus (caps. </w:t>
      </w:r>
      <w:hyperlink r:id="rId6957">
        <w:r>
          <w:rPr>
            <w:color w:val="0000EE"/>
            <w:u w:val="single"/>
          </w:rPr>
          <w:t>22–25</w:t>
        </w:r>
      </w:hyperlink>
      <w:r>
        <w:t xml:space="preserve">) e reconhecimento público de Deus como seu Redentor e Rei (cap. </w:t>
      </w:r>
      <w:hyperlink r:id="rId6958">
        <w:r>
          <w:rPr>
            <w:color w:val="0000EE"/>
            <w:u w:val="single"/>
          </w:rPr>
          <w:t>26</w:t>
        </w:r>
      </w:hyperlink>
      <w:r>
        <w:t>).</w:t>
      </w:r>
    </w:p>
    <w:p>
      <w:r/>
      <w:r>
        <w:t xml:space="preserve">4. A “Ratificação da aliança” geralmente incluía uma disposição para renovação do tratado e uma fórmula para maldições e bênçãos. Em </w:t>
      </w:r>
      <w:hyperlink r:id="rId6959">
        <w:r>
          <w:rPr>
            <w:color w:val="0000EE"/>
            <w:u w:val="single"/>
          </w:rPr>
          <w:t>Deuteronômio 27</w:t>
        </w:r>
      </w:hyperlink>
      <w:r>
        <w:t>, está prevista a conclusão da renovação da aliança por Josué após os israelitas ocuparem a terra. Além disso, a ameaça e a promessa divinas são expressas em bênçãos e maldições enquanto Israel jura seu voto de lealdade nas campinas de Moabe.</w:t>
      </w:r>
    </w:p>
    <w:p>
      <w:r/>
      <w:r>
        <w:t xml:space="preserve">5. “Arranjos de sucessão” geralmente faziam parte da conclusão dos tratados de suserania-vassalo. Nos capítulos </w:t>
      </w:r>
      <w:hyperlink r:id="rId6960">
        <w:r>
          <w:rPr>
            <w:color w:val="0000EE"/>
            <w:u w:val="single"/>
          </w:rPr>
          <w:t>31–34</w:t>
        </w:r>
      </w:hyperlink>
      <w:r>
        <w:t>, Josué é designado como sucessor de Moisés. O texto escrito é depositado no santuário junto com a canção de testemunho e uma bênção testamentária de Moisés. O livro de Deuteronômio, portanto, constitui o testemunho documental da aliança de Deus, pois termina com a morte de Moisés.</w:t>
      </w:r>
    </w:p>
    <w:p>
      <w:r/>
      <w:r>
        <w:t>O fato de que a estrutura literária de Deuteronômio se assemelha às formas legais dos tratados hititas antigos apoia a visão tradicional de que Moisés é o autor de Deuteronômio. Quando Moisés é reconhecido como o mediador entre Deus e Israel na aliança sinaítica, é significativo que o livro de Deuteronômio represente a renovação da aliança por Moisés na forma literária da cultura de sua época.</w:t>
      </w:r>
    </w:p>
    <w:p>
      <w:pPr>
        <w:pStyle w:val="Heading3"/>
      </w:pPr>
      <w:r>
        <w:t>Contexto histórico</w:t>
      </w:r>
    </w:p>
    <w:p>
      <w:r/>
      <w:r>
        <w:t xml:space="preserve">Moisés liderou os israelitas do Egito através do deserto até as campinas de Moabe, a leste do Mar Morto. </w:t>
      </w:r>
      <w:hyperlink r:id="rId6961">
        <w:r>
          <w:rPr>
            <w:color w:val="0000EE"/>
            <w:u w:val="single"/>
          </w:rPr>
          <w:t>Êxodo 1–19</w:t>
        </w:r>
      </w:hyperlink>
      <w:r>
        <w:t xml:space="preserve"> relata a escravidão dos israelitas no Egito, o nascimento e preparação de Moisés, seu confronto com o Faraó, a libertação milagrosa do Egito e a jornada até o Monte Sinai (provavelmente também conhecido como Monte Horebe).</w:t>
      </w:r>
    </w:p>
    <w:p>
      <w:r/>
      <w:r>
        <w:t>Nessa área desértica, a grande revelação de Deus veio a Israel através de Moisés (</w:t>
      </w:r>
      <w:hyperlink r:id="rId6962">
        <w:r>
          <w:rPr>
            <w:color w:val="0000EE"/>
            <w:u w:val="single"/>
          </w:rPr>
          <w:t>Êx 20–40</w:t>
        </w:r>
      </w:hyperlink>
      <w:r>
        <w:t xml:space="preserve">; </w:t>
      </w:r>
      <w:hyperlink r:id="rId6963">
        <w:r>
          <w:rPr>
            <w:color w:val="0000EE"/>
            <w:u w:val="single"/>
          </w:rPr>
          <w:t>Lv 1–27</w:t>
        </w:r>
      </w:hyperlink>
      <w:r>
        <w:t xml:space="preserve">; </w:t>
      </w:r>
      <w:hyperlink r:id="rId6964">
        <w:r>
          <w:rPr>
            <w:color w:val="0000EE"/>
            <w:u w:val="single"/>
          </w:rPr>
          <w:t>Nm 1–9</w:t>
        </w:r>
      </w:hyperlink>
      <w:r>
        <w:t>). No Monte Sinai, Deus se identificou como aquele que havia libertado os israelitas. Lá, ele estabeleceu um acordo pelo qual eles seriam exclusivamente devotados a ele como sua nação santa. Lá, o tabernáculo foi construído e o sacerdócio estabelecido. Foram dadas instruções para realizar sacrifícios e ofertas, e para observar festas e estações, para que o modo de vida de Israel mostrasse que eles eram o povo santo de Deus. As tribos também foram organizadas para acampar ao redor do tabernáculo e para a marcha até Canaã, a Terra Prometida.</w:t>
      </w:r>
    </w:p>
    <w:p>
      <w:r/>
      <w:hyperlink r:id="rId6965">
        <w:r>
          <w:rPr>
            <w:color w:val="0000EE"/>
            <w:u w:val="single"/>
          </w:rPr>
          <w:t>Números 10–21</w:t>
        </w:r>
      </w:hyperlink>
      <w:r>
        <w:t xml:space="preserve"> relata os 38 anos que os israelitas passaram no deserto. Em 11 dias, eles marcharam do Monte Horebe até Cades-Barneia, cerca de 64 quilômetros ao sul de Berseba. De lá, 12 espiões foram enviados para Canaã. O relatório deles gerou uma crise na forma de uma revolta contra Deus. Subsequentemente, Israel vagou no deserto por 38 anos, durante os quais aqueles que tinham pelo menos 20 anos quando saíram do Egito morreram. A nova geração se moveu para as campinas de Moabe, localizadas a leste do Mar Morto e ao norte do Rio Arnom. </w:t>
      </w:r>
      <w:hyperlink r:id="rId6966">
        <w:r>
          <w:rPr>
            <w:color w:val="0000EE"/>
            <w:u w:val="single"/>
          </w:rPr>
          <w:t>Números 20–36</w:t>
        </w:r>
      </w:hyperlink>
      <w:r>
        <w:t xml:space="preserve"> trata da conquista e ocupação da terra a leste do Rio Jordão.</w:t>
      </w:r>
    </w:p>
    <w:p>
      <w:r/>
      <w:r>
        <w:t>O livro de Deuteronômio apresenta o discurso de Moisés à nova geração de israelitas. Em Êxodo e Números, Deus frequentemente fala a Moisés; em Deuteronômio, Moisés está falando sob o comando de Deus aos israelitas (</w:t>
      </w:r>
      <w:hyperlink r:id="rId1226">
        <w:r>
          <w:rPr>
            <w:color w:val="0000EE"/>
            <w:u w:val="single"/>
          </w:rPr>
          <w:t>Dt 1.1–4</w:t>
        </w:r>
      </w:hyperlink>
      <w:r>
        <w:t xml:space="preserve">; </w:t>
      </w:r>
      <w:hyperlink r:id="rId6967">
        <w:r>
          <w:rPr>
            <w:color w:val="0000EE"/>
            <w:u w:val="single"/>
          </w:rPr>
          <w:t>5.1</w:t>
        </w:r>
      </w:hyperlink>
      <w:r>
        <w:t xml:space="preserve">; </w:t>
      </w:r>
      <w:hyperlink r:id="rId6968">
        <w:r>
          <w:rPr>
            <w:color w:val="0000EE"/>
            <w:u w:val="single"/>
          </w:rPr>
          <w:t>29.1</w:t>
        </w:r>
      </w:hyperlink>
      <w:r>
        <w:t>). Em contraste com os livros anteriores, Deuteronômio tem um estilo de exortação no qual Moisés adverte a nova geração sobre sua responsabilidade em vista das falhas da geração anterior. Qualquer repetição que ocorra em Deuteronômio é cuidadosamente selecionada, com o propósito específico de alertar a nova geração para que não falhem em conquistar e ocupar Canaã. Deuteronômio não é principalmente retrospectivo; sua perspectiva é otimista em relação ao futuro, oferecendo esperança para cumprir as promessas que Deus fez aos israelitas no Egito.</w:t>
      </w:r>
    </w:p>
    <w:p>
      <w:pPr>
        <w:pStyle w:val="Heading3"/>
      </w:pPr>
      <w:r>
        <w:t>Significado de Deuteronômio</w:t>
      </w:r>
    </w:p>
    <w:p>
      <w:r/>
      <w:r>
        <w:t>Deuteronômio (junto com Gênesis, Salmos e Isaías) está entre os livros mais frequentemente citados nos primeiros séculos cristãos. Mais de 80 citações do AT no NT são de Deuteronômio.</w:t>
      </w:r>
    </w:p>
    <w:p>
      <w:r/>
      <w:r>
        <w:t>Jesus destacou Deuteronômio ao resumir a essência de toda a Lei e os Profetas do Antigo Testamento nos dois grandes mandamentos de amor a Deus e ao próximo (</w:t>
      </w:r>
      <w:hyperlink r:id="rId945">
        <w:r>
          <w:rPr>
            <w:color w:val="0000EE"/>
            <w:u w:val="single"/>
          </w:rPr>
          <w:t>Mt 22.37</w:t>
        </w:r>
      </w:hyperlink>
      <w:r>
        <w:t xml:space="preserve">; veja </w:t>
      </w:r>
      <w:hyperlink r:id="rId947">
        <w:r>
          <w:rPr>
            <w:color w:val="0000EE"/>
            <w:u w:val="single"/>
          </w:rPr>
          <w:t>Dt 6.5</w:t>
        </w:r>
      </w:hyperlink>
      <w:r>
        <w:t xml:space="preserve">; </w:t>
      </w:r>
      <w:hyperlink r:id="rId6969">
        <w:r>
          <w:rPr>
            <w:color w:val="0000EE"/>
            <w:u w:val="single"/>
          </w:rPr>
          <w:t>10.19</w:t>
        </w:r>
      </w:hyperlink>
      <w:r>
        <w:t>). Jesus também citou Deuteronômio (</w:t>
      </w:r>
      <w:hyperlink r:id="rId6970">
        <w:r>
          <w:rPr>
            <w:color w:val="0000EE"/>
            <w:u w:val="single"/>
          </w:rPr>
          <w:t>6.13,16</w:t>
        </w:r>
      </w:hyperlink>
      <w:r>
        <w:t xml:space="preserve">; </w:t>
      </w:r>
      <w:hyperlink r:id="rId341">
        <w:r>
          <w:rPr>
            <w:color w:val="0000EE"/>
            <w:u w:val="single"/>
          </w:rPr>
          <w:t>8.3</w:t>
        </w:r>
      </w:hyperlink>
      <w:r>
        <w:t>) em sua experiência de tentação (</w:t>
      </w:r>
      <w:hyperlink r:id="rId6971">
        <w:r>
          <w:rPr>
            <w:color w:val="0000EE"/>
            <w:u w:val="single"/>
          </w:rPr>
          <w:t>Mt 4.4–10</w:t>
        </w:r>
      </w:hyperlink>
      <w:r>
        <w:t>). Deuteronômio revela a essência do que Deus revelou a Moisés no Monte Sinai. Em Deuteronômio, Moisés compartilha com os israelitas o núcleo da revelação de Deus sem repetir detalhes de sacrifícios, observâncias ou rituais. Ele expõe o caráter da fé e da nacionalidade de Israel. Moisés enfatiza repetidamente sua preocupação de que eles mantenham fielmente um bom relacionamento com Deus. Uma devoção exclusiva a Deus, expressa na vida cotidiana, é a chave para uma vida de bênçãos.</w:t>
      </w:r>
    </w:p>
    <w:p>
      <w:r/>
      <w:r>
        <w:t>A necessidade primária de amar a Deus e ao próximo eventualmente tornou-se um requisito básico para os seguidores de Jesus Cristo (</w:t>
      </w:r>
      <w:hyperlink r:id="rId6972">
        <w:r>
          <w:rPr>
            <w:color w:val="0000EE"/>
            <w:u w:val="single"/>
          </w:rPr>
          <w:t>Lc 10.25–28</w:t>
        </w:r>
      </w:hyperlink>
      <w:r>
        <w:t>). O livro de Deuteronômio é, portanto, crucialmente importante para a preocupação cristã em manter um relacionamento vital com Deus.</w:t>
      </w:r>
    </w:p>
    <w:p>
      <w:pPr>
        <w:pStyle w:val="Heading3"/>
      </w:pPr>
      <w:r>
        <w:t>Deuteronômio e a Lei</w:t>
      </w:r>
    </w:p>
    <w:p>
      <w:r/>
      <w:r>
        <w:t>Chamar o livro de Deuteronômio de "Segunda lei" ou uma repetição da lei é enganoso. A ênfase de Moisés não é legalista. Detalhes de adoração e ritual não são repetidos ou delineados extensivamente. Embora os Dez Mandamentos sejam repetidos, a ênfase é colocada no primeiro mandamento, que exige explicitamente devoção exclusiva a Deus. Moisés está principalmente preocupado com o relacionamento de Israel com Deus e com a determinação de mantê-lo em suas vidas e nas vidas de seus filhos.</w:t>
      </w:r>
    </w:p>
    <w:p>
      <w:r/>
      <w:r>
        <w:t>O NT revela que uma interpretação legalista da revelação mosaica era mantida pelos judeus do primeiro século d.C. Esse legalismo desenvolveu-se no judaísmo especialmente durante a era intertestamentária. O legalismo judaico dos tempos do NT foi erroneamente atribuído a Moisés nos tempos modernos. Moisés alertou sobre a necessidade de guardar toda a lei de Deus (</w:t>
      </w:r>
      <w:hyperlink r:id="rId6973">
        <w:r>
          <w:rPr>
            <w:color w:val="0000EE"/>
            <w:u w:val="single"/>
          </w:rPr>
          <w:t>Dt 28.1,58</w:t>
        </w:r>
      </w:hyperlink>
      <w:r>
        <w:t>), mas em Deuteronômio sua mensagem como um todo deixa claro que ele não estava exclusivamente preocupado com a observância legalista. Pelo contrário, o tema central de Deuteronômio é o relacionamento único que foi estabelecido por um Deus único com um povo único, os israelitas.</w:t>
      </w:r>
    </w:p>
    <w:p>
      <w:pPr>
        <w:pStyle w:val="Heading3"/>
      </w:pPr>
      <w:r>
        <w:t>Conteúdo</w:t>
      </w:r>
    </w:p>
    <w:p>
      <w:pPr>
        <w:pStyle w:val="Heading4"/>
      </w:pPr>
      <w:r>
        <w:t>Breve revisão histórica (</w:t>
      </w:r>
      <w:hyperlink r:id="rId6974">
        <w:r>
          <w:rPr>
            <w:color w:val="0000EE"/>
            <w:u w:val="single"/>
          </w:rPr>
          <w:t>1.1–4.43</w:t>
        </w:r>
      </w:hyperlink>
      <w:r>
        <w:t>)</w:t>
      </w:r>
    </w:p>
    <w:p>
      <w:r/>
      <w:r>
        <w:t>Moisés é identificado como o orador, dirigindo-se aos israelitas nas campinas de Moabe durante o último ano de sua vida. Os israelitas estavam prestes a entrar na Terra Prometida de Canaã.</w:t>
      </w:r>
    </w:p>
    <w:p>
      <w:r/>
      <w:r>
        <w:t>Moisés iniciou com uma referência ao Monte Sinai, cenário da maior revelação nos tempos do AT. Ele focou na ordem explícita de Deus para que subissem a Canaã e ocupassem a terra prometida a Abraão, Isaque e Jacó. A rebelião deles trouxe o julgamento divino, e assim a conquista de Canaã foi adiada por 38 anos, enquanto uma geração inteira de desobedientes morria no deserto.</w:t>
      </w:r>
    </w:p>
    <w:p>
      <w:r/>
      <w:r>
        <w:t>Instruído por Deus a não molestar os edomitas ou moabitas, Moisés conduziu os israelitas às planícies de Moabe, ao norte do Rio Arnom. Os israelitas derrotaram Seom, o rei amorita de Hesbom, e Ogue, rei de Basã. As tribos de Rúben e Gade e metade da tribo de Manassés apropriaram-se do território a leste do rio Jordão como sua terra (</w:t>
      </w:r>
      <w:hyperlink r:id="rId1125">
        <w:r>
          <w:rPr>
            <w:color w:val="0000EE"/>
            <w:u w:val="single"/>
          </w:rPr>
          <w:t>Nm 32</w:t>
        </w:r>
      </w:hyperlink>
      <w:r>
        <w:t>). Com base nessa conquista, Moisés encorajou Josué a acreditar que Deus o ajudaria, assim como aos israelitas, na conquista da terra de Canaã a oeste do rio Jordão.</w:t>
      </w:r>
    </w:p>
    <w:p>
      <w:r/>
      <w:r>
        <w:t>Os israelitas deveriam aprender com os erros da geração que morreu no deserto (</w:t>
      </w:r>
      <w:hyperlink r:id="rId6975">
        <w:r>
          <w:rPr>
            <w:color w:val="0000EE"/>
            <w:u w:val="single"/>
          </w:rPr>
          <w:t>Dt 4.1–40</w:t>
        </w:r>
      </w:hyperlink>
      <w:r>
        <w:t>). Eles deveriam considerar o fato de que a palavra de Deus lhes foi comunicada. A revelação que lhes veio através de Moisés foi única, e o mais importante era que eles reverenciassem o Deus que se revelou. A singularidade do Deus de Israel entre as nações que adoram ídolos nunca deve ser esquecida.</w:t>
      </w:r>
    </w:p>
    <w:p>
      <w:r/>
      <w:r>
        <w:t>Moisés lembrou aos israelitas que eles haviam entrado em um acordo contratual com seu Deus único. Essa aliança foi mencionada mais 26 vezes por Moisés. Nenhuma nação jamais havia experimentado algo semelhante. Se Israel obedecesse, desfrutaria da bênção e do favor de Deus.</w:t>
      </w:r>
    </w:p>
    <w:p>
      <w:pPr>
        <w:pStyle w:val="Heading4"/>
      </w:pPr>
      <w:r>
        <w:t>Exortações e aplicações (</w:t>
      </w:r>
      <w:hyperlink r:id="rId6976">
        <w:r>
          <w:rPr>
            <w:color w:val="0000EE"/>
            <w:u w:val="single"/>
          </w:rPr>
          <w:t>4.44–26.19</w:t>
        </w:r>
      </w:hyperlink>
      <w:r>
        <w:t>)</w:t>
      </w:r>
    </w:p>
    <w:p>
      <w:r/>
      <w:r>
        <w:t>As circunstâncias em que Moisés se dirigiu aos israelitas são relatadas em uma breve passagem de transição (</w:t>
      </w:r>
      <w:hyperlink r:id="rId6977">
        <w:r>
          <w:rPr>
            <w:color w:val="0000EE"/>
            <w:u w:val="single"/>
          </w:rPr>
          <w:t>Dt 4.44–49</w:t>
        </w:r>
      </w:hyperlink>
      <w:r>
        <w:t>). Das encostas do Monte Pisga (ou Nebo), com Israel acampado no vale em frente a Bete-Peor, Moisés fez seu apelo ao povo antes de atravessarem o rio Jordão.</w:t>
      </w:r>
    </w:p>
    <w:p>
      <w:r/>
      <w:r>
        <w:t>A exposição de Moisés sobre o "grande mandamento" está centrada no acordo feito entre Deus e Israel. Ele repetiu os Dez Mandamentos como a essência da revelação de Deus no Sinai. Ao explicar o que Deus esperava de Israel, Moisés elaborou o primeiro mandamento: "Meu povo, eu, o SENHOR, sou o seu Deus. Eu o tirei do Egito, a terra onde você era escravo" (</w:t>
      </w:r>
      <w:hyperlink r:id="rId6978">
        <w:r>
          <w:rPr>
            <w:color w:val="0000EE"/>
            <w:u w:val="single"/>
          </w:rPr>
          <w:t>5.6</w:t>
        </w:r>
      </w:hyperlink>
      <w:r>
        <w:t xml:space="preserve">, NTLH). O relacionamento deles com Deus era de importância fundamental, já que a ira de Deus será contra aqueles que adoram outros deuses (v. </w:t>
      </w:r>
      <w:hyperlink r:id="rId6979">
        <w:r>
          <w:rPr>
            <w:color w:val="0000EE"/>
            <w:u w:val="single"/>
          </w:rPr>
          <w:t>9</w:t>
        </w:r>
      </w:hyperlink>
      <w:r>
        <w:t>).</w:t>
      </w:r>
    </w:p>
    <w:p>
      <w:r/>
      <w:r>
        <w:t>Amor é a palavra-chave no relacionamento entre Deus e Israel. Moisés afirmou corajosamente: “Escute, povo de Israel! O SENHOR, e somente o SENHOR, é o nosso Deus. Portanto, amem o SENHOR, nosso Deus, com todo o coração, com toda a alma e com todas as forças” (</w:t>
      </w:r>
      <w:hyperlink r:id="rId6884">
        <w:r>
          <w:rPr>
            <w:color w:val="0000EE"/>
            <w:u w:val="single"/>
          </w:rPr>
          <w:t>Dt 6.4–5</w:t>
        </w:r>
      </w:hyperlink>
      <w:r>
        <w:t xml:space="preserve">, NTLH). Todos os outros mandamentos são significativos porque afetam esse relacionamento (como detalhado nos caps. </w:t>
      </w:r>
      <w:hyperlink r:id="rId6953">
        <w:r>
          <w:rPr>
            <w:color w:val="0000EE"/>
            <w:u w:val="single"/>
          </w:rPr>
          <w:t>5–11</w:t>
        </w:r>
      </w:hyperlink>
      <w:r>
        <w:t>).</w:t>
      </w:r>
    </w:p>
    <w:p>
      <w:r/>
      <w:r>
        <w:t>O amor exclusivo e a devoção a Deus são essenciais. Em um relacionamento de amor sincero, nenhum ídolo pode ser reconhecido ou tolerado. No entanto, Moisés queria que Israel transmitisse sua consciência de Deus às futuras gerações por meio de muitas coisas externas: sinais em suas mãos, frontais (ou “filactérios”) em suas testas, versículos das Escrituras em seus batentes de portas, e assim por diante. Por preceito e exemplo, eles deveriam ensinar aos seus filhos a amar a Deus (</w:t>
      </w:r>
      <w:hyperlink r:id="rId6980">
        <w:r>
          <w:rPr>
            <w:color w:val="0000EE"/>
            <w:u w:val="single"/>
          </w:rPr>
          <w:t>Dt 6</w:t>
        </w:r>
      </w:hyperlink>
      <w:r>
        <w:t>).</w:t>
      </w:r>
    </w:p>
    <w:p>
      <w:r/>
      <w:r>
        <w:t>Os israelitas nunca deveriam esquecer que Deus os havia escolhido para serem seu povo (</w:t>
      </w:r>
      <w:hyperlink r:id="rId6981">
        <w:r>
          <w:rPr>
            <w:color w:val="0000EE"/>
            <w:u w:val="single"/>
          </w:rPr>
          <w:t>Dt 7</w:t>
        </w:r>
      </w:hyperlink>
      <w:r>
        <w:t>). Eles deveriam executar o julgamento de Deus sobre os cananeus, que haviam sido poupados do julgamento desde o tempo de Abraão (</w:t>
      </w:r>
      <w:hyperlink r:id="rId6215">
        <w:r>
          <w:rPr>
            <w:color w:val="0000EE"/>
            <w:u w:val="single"/>
          </w:rPr>
          <w:t>Gn 15.16</w:t>
        </w:r>
      </w:hyperlink>
      <w:r>
        <w:t>). Embora os próprios israelitas não merecessem o amor de Deus, por amor e misericórdia, ele os havia redimido do Egito.</w:t>
      </w:r>
    </w:p>
    <w:p>
      <w:r/>
      <w:r>
        <w:t>Moisés apelou ao povo para lembrar o que Deus havia feito por eles (</w:t>
      </w:r>
      <w:hyperlink r:id="rId6982">
        <w:r>
          <w:rPr>
            <w:color w:val="0000EE"/>
            <w:u w:val="single"/>
          </w:rPr>
          <w:t>Dt 8</w:t>
        </w:r>
      </w:hyperlink>
      <w:r>
        <w:t>). Às provisões sustentadoras de Deus, eles deveriam responder com gratidão, reconhecendo que o poder para realizar qualquer coisa que tivessem feito era um presente de Deus.</w:t>
      </w:r>
    </w:p>
    <w:p>
      <w:r/>
      <w:r>
        <w:t>Os israelitas falharam repetidamente em sua fé e compromisso com Deus (</w:t>
      </w:r>
      <w:hyperlink r:id="rId6983">
        <w:r>
          <w:rPr>
            <w:color w:val="0000EE"/>
            <w:u w:val="single"/>
          </w:rPr>
          <w:t>9.1–10.11</w:t>
        </w:r>
      </w:hyperlink>
      <w:r>
        <w:t xml:space="preserve">). Através da intercessão de Moisés, eles foram poupados. Não era por mérito próprio que entrariam em Canaã; essa era a provisão graciosa de Deus para eles. O apelo de Moisés por um compromisso de coração inteiro é resumido em </w:t>
      </w:r>
      <w:hyperlink r:id="rId6984">
        <w:r>
          <w:rPr>
            <w:color w:val="0000EE"/>
            <w:u w:val="single"/>
          </w:rPr>
          <w:t>Deuteronômio 10.12–11.32</w:t>
        </w:r>
      </w:hyperlink>
      <w:r>
        <w:t xml:space="preserve">. É necessário demonstrar reverência, respeito, amor e obediência a Deus (veja também </w:t>
      </w:r>
      <w:hyperlink r:id="rId6985">
        <w:r>
          <w:rPr>
            <w:color w:val="0000EE"/>
            <w:u w:val="single"/>
          </w:rPr>
          <w:t>6.5,13,24</w:t>
        </w:r>
      </w:hyperlink>
      <w:r>
        <w:t>).</w:t>
      </w:r>
    </w:p>
    <w:p>
      <w:r/>
      <w:r>
        <w:t>O Deus a quem os israelitas devem amar sinceramente e sem reservas é o Senhor do cosmos. Ele é o juiz justo que governa supremo sobre toda a natureza e a história. Deus amou seus antepassados, os patriarcas. Ele redimiu os israelitas da escravidão egípcia e lhes deu sua aliança. Ele se manifestou ajudando os órfãos, viúvas e estrangeiros. Ele multiplicou Israel para ser tão numeroso quanto as estrelas do céu.</w:t>
      </w:r>
    </w:p>
    <w:p>
      <w:r/>
      <w:r>
        <w:t>Moisés deu duas instruções básicas para aplicar na vida diária a fim de manter o relacionamento com Deus como uma realidade: “circuncidai, pois, o prepúcio do vosso coração” (</w:t>
      </w:r>
      <w:hyperlink r:id="rId3219">
        <w:r>
          <w:rPr>
            <w:color w:val="0000EE"/>
            <w:u w:val="single"/>
          </w:rPr>
          <w:t>Dt 10.16</w:t>
        </w:r>
      </w:hyperlink>
      <w:r>
        <w:t>, ARC). Ele não se referia à circuncisão física, um sinal da aliança entre Deus e Abraão (</w:t>
      </w:r>
      <w:hyperlink r:id="rId168">
        <w:r>
          <w:rPr>
            <w:color w:val="0000EE"/>
            <w:u w:val="single"/>
          </w:rPr>
          <w:t>Gn 17</w:t>
        </w:r>
      </w:hyperlink>
      <w:r>
        <w:t>). A circuncisão, que não foi observada durante os anos de peregrinação no deserto, foi reinstituída sob Josué após os israelitas atravessarem o rio Jordão (</w:t>
      </w:r>
      <w:hyperlink r:id="rId4950">
        <w:r>
          <w:rPr>
            <w:color w:val="0000EE"/>
            <w:u w:val="single"/>
          </w:rPr>
          <w:t>Js 5.2–9</w:t>
        </w:r>
      </w:hyperlink>
      <w:r>
        <w:t xml:space="preserve">). Moisés referia-se à “circuncisão espiritual” (veja </w:t>
      </w:r>
      <w:hyperlink r:id="rId6986">
        <w:r>
          <w:rPr>
            <w:color w:val="0000EE"/>
            <w:u w:val="single"/>
          </w:rPr>
          <w:t>Lv 26.40–41</w:t>
        </w:r>
      </w:hyperlink>
      <w:r>
        <w:t xml:space="preserve">; </w:t>
      </w:r>
      <w:hyperlink r:id="rId3221">
        <w:r>
          <w:rPr>
            <w:color w:val="0000EE"/>
            <w:u w:val="single"/>
          </w:rPr>
          <w:t>Jer 4.4</w:t>
        </w:r>
      </w:hyperlink>
      <w:r>
        <w:t xml:space="preserve">; </w:t>
      </w:r>
      <w:hyperlink r:id="rId6987">
        <w:r>
          <w:rPr>
            <w:color w:val="0000EE"/>
            <w:u w:val="single"/>
          </w:rPr>
          <w:t>9.25</w:t>
        </w:r>
      </w:hyperlink>
      <w:r>
        <w:t xml:space="preserve">; </w:t>
      </w:r>
      <w:hyperlink r:id="rId4432">
        <w:r>
          <w:rPr>
            <w:color w:val="0000EE"/>
            <w:u w:val="single"/>
          </w:rPr>
          <w:t>Rm 2.29</w:t>
        </w:r>
      </w:hyperlink>
      <w:r>
        <w:t>). Todas as coisas que poderiam restringir, interferir ou negar a devoção total a Deus deveriam ser cortadas (circuncidadas) para que os israelitas continuassem a amar a Deus de todo o coração.</w:t>
      </w:r>
    </w:p>
    <w:p>
      <w:r/>
      <w:r>
        <w:t>“Ame o estrangeiro” (</w:t>
      </w:r>
      <w:hyperlink r:id="rId6969">
        <w:r>
          <w:rPr>
            <w:color w:val="0000EE"/>
            <w:u w:val="single"/>
          </w:rPr>
          <w:t>Dt 10.19</w:t>
        </w:r>
      </w:hyperlink>
      <w:r>
        <w:t xml:space="preserve">) ocupa o segundo lugar em importância após o amor de todo o coração por Deus. O amor pelo estrangeiro ou pelo próximo é essencial para todas as outras obrigações humanas (veja </w:t>
      </w:r>
      <w:hyperlink r:id="rId6988">
        <w:r>
          <w:rPr>
            <w:color w:val="0000EE"/>
            <w:u w:val="single"/>
          </w:rPr>
          <w:t>Lv 19.9–18</w:t>
        </w:r>
      </w:hyperlink>
      <w:r>
        <w:t>). As obrigações sociais surgem do relacionamento de uma pessoa com Deus. Sendo recipientes do amor de Deus, os israelitas deviam amar os outros. Eles deviam lembrar-se do amor de Deus por eles quando eram escravos e estrangeiros no Egito. Deus ama o estrangeiro, a viúva e o órfão; portanto, se alguém ama a Deus, está sob a obrigação de amar outras pessoas. Deus se preocupa com a justiça e a retidão; uma pessoa que professa amar a Deus deve se preocupar com o tratamento justo para outras pessoas.</w:t>
      </w:r>
    </w:p>
    <w:p>
      <w:r/>
      <w:r>
        <w:t>Os israelitas deveriam ser conhecidos por sua preocupação com pessoas cuja posição social as expunha à exploração e opressão. O profundo espírito humanitário da lei mosaica se destaca de forma única em contraste com o Código de Hamurábi da Babilônia e os códigos de leis assírios e hititas daquela época. Nesses códigos, os relacionamentos humanos não refletiam uma consciência vital de um relacionamento amoroso com a divindade.</w:t>
      </w:r>
    </w:p>
    <w:p>
      <w:r/>
      <w:r>
        <w:t>No primeiro século d.C., Jesus Cristo entrou em conflito com líderes religiosos judeus que haviam perdido a essência da lei de Deus em um labirinto de legalismo. Para Jesus, o maior mandamento era amar a Deus; o segundo era amar o próximo. Esses dois mandamentos (que constituem a essência de toda a revelação do AT) seriam, se cumpridos perfeitamente, a base para a vida eterna (</w:t>
      </w:r>
      <w:hyperlink r:id="rId6989">
        <w:r>
          <w:rPr>
            <w:color w:val="0000EE"/>
            <w:u w:val="single"/>
          </w:rPr>
          <w:t>Mt 22.37–39</w:t>
        </w:r>
      </w:hyperlink>
      <w:r>
        <w:t xml:space="preserve">; </w:t>
      </w:r>
      <w:hyperlink r:id="rId6990">
        <w:r>
          <w:rPr>
            <w:color w:val="0000EE"/>
            <w:u w:val="single"/>
          </w:rPr>
          <w:t>Mc 12.29–31</w:t>
        </w:r>
      </w:hyperlink>
      <w:r>
        <w:t xml:space="preserve">; </w:t>
      </w:r>
      <w:hyperlink r:id="rId6991">
        <w:r>
          <w:rPr>
            <w:color w:val="0000EE"/>
            <w:u w:val="single"/>
          </w:rPr>
          <w:t>Lc 10.27–28</w:t>
        </w:r>
      </w:hyperlink>
      <w:r>
        <w:t>). Os cristãos acreditam que o clímax da revelação de amor de Deus veio em Jesus Cristo. Para eles, responder ao amor de Deus significa aceitar Jesus Cristo com devoção total e amar o próximo como Jesus exemplificou em sua vida.</w:t>
      </w:r>
    </w:p>
    <w:p>
      <w:r/>
      <w:r>
        <w:t xml:space="preserve">Em </w:t>
      </w:r>
      <w:hyperlink r:id="rId814">
        <w:r>
          <w:rPr>
            <w:color w:val="0000EE"/>
            <w:u w:val="single"/>
          </w:rPr>
          <w:t>Deuteronômio 12.1–26.19</w:t>
        </w:r>
      </w:hyperlink>
      <w:r>
        <w:t>, Moisés deu instruções sobre a vida prática para um povo relacionado a Deus quando residissem na terra que Deus lhes havia prometido. Tendo sobrevivido uma vez com o maná fornecido diretamente por Deus, em Canaã eles desfrutariam dos frutos e produtos da terra. Eles também encontrariam uma cultura permeada pela religião dos cananeus.</w:t>
      </w:r>
    </w:p>
    <w:p>
      <w:r/>
      <w:r>
        <w:t>Ao adorar a Deus em seu novo ambiente, foram advertidos a manter a devida santidade (</w:t>
      </w:r>
      <w:hyperlink r:id="rId6992">
        <w:r>
          <w:rPr>
            <w:color w:val="0000EE"/>
            <w:u w:val="single"/>
          </w:rPr>
          <w:t>Dt 12.1–14.21</w:t>
        </w:r>
      </w:hyperlink>
      <w:r>
        <w:t>). Não deveriam adorar em santuários pagãos. Deveriam levar suas ofertas a lugares divinamente designados para comunhão e regozijo juntos na presença do Senhor. A idolatria não deveria ser tolerada de forma alguma. Qualquer profeta que se desviasse da lei de Moisés ao aconselhar a adoração de outros deuses deveria ser apedrejado. A devoção exclusiva a Deus deveria ser uma prática diária.</w:t>
      </w:r>
    </w:p>
    <w:p>
      <w:r/>
      <w:r>
        <w:t>As abundantes bênçãos de Canaã devem ser compartilhadas com os vizinhos (</w:t>
      </w:r>
      <w:hyperlink r:id="rId6993">
        <w:r>
          <w:rPr>
            <w:color w:val="0000EE"/>
            <w:u w:val="single"/>
          </w:rPr>
          <w:t>14.22–15.23</w:t>
        </w:r>
      </w:hyperlink>
      <w:r>
        <w:t>). Os dízimos devem ser levados ao santuário central, onde os levitas auxiliavam os sacerdotes na ministração religiosa. A alegria em compartilhar as bênçãos e oportunidades da vida deveria caracterizar o padrão de vida de Israel.</w:t>
      </w:r>
    </w:p>
    <w:p>
      <w:r/>
      <w:r>
        <w:t>Moisés prescreveu três peregrinações anuais (</w:t>
      </w:r>
      <w:hyperlink r:id="rId6994">
        <w:r>
          <w:rPr>
            <w:color w:val="0000EE"/>
            <w:u w:val="single"/>
          </w:rPr>
          <w:t>16.1–17</w:t>
        </w:r>
      </w:hyperlink>
      <w:r>
        <w:t>). O povo deveria lembrar-se de sua libertação do Egito observando as festas da Páscoa e dos Pães Asmos. Sete semanas depois, quando a colheita da cevada fosse concluída, deveriam passar um tempo se alegrando diante do Senhor em um festival de um dia chamado Festa das Semanas. Quando a vindima, bem como a colheita de grãos, fosse concluída, deveriam observar a Festa da Colheita (ou Tabernáculos), um tempo de ação de graças e compartilhamento com os outros. A cada sete anos, a lei era lida na Festa da Colheita.</w:t>
      </w:r>
    </w:p>
    <w:p>
      <w:r/>
      <w:r>
        <w:t>Nas relações humanas, a justiça deveria prevalecer entre os israelitas (</w:t>
      </w:r>
      <w:hyperlink r:id="rId6956">
        <w:r>
          <w:rPr>
            <w:color w:val="0000EE"/>
            <w:u w:val="single"/>
          </w:rPr>
          <w:t>16.18–21.23</w:t>
        </w:r>
      </w:hyperlink>
      <w:r>
        <w:t>). O Livro da Lei mantido no santuário principal era sua autoridade divina, fornecendo as instruções de Deus para eles. O rei deveria ter uma cópia desta lei e governar sua vida de acordo com ela. Profetas e sacerdotes desempenhavam um papel importante como líderes religiosos na vida de Israel. A autoridade judicial era investida nos sacerdotes. Em contraste com a brutalidade de outras nações, princípios humanitários deveriam prevalecer na guerra de Israel. Os pais eram responsáveis por suas próprias famílias.</w:t>
      </w:r>
    </w:p>
    <w:p>
      <w:r/>
      <w:r>
        <w:t>Nos relacionamentos domésticos e sociais, a lei do amor deveria prevalecer (</w:t>
      </w:r>
      <w:hyperlink r:id="rId6995">
        <w:r>
          <w:rPr>
            <w:color w:val="0000EE"/>
            <w:u w:val="single"/>
          </w:rPr>
          <w:t>22.1–26.19</w:t>
        </w:r>
      </w:hyperlink>
      <w:r>
        <w:t>). Muitas regulamentações governavam a vida familiar. Em questões de sustento, salários e transações comerciais, os israelitas eram advertidos a serem compassivos e justos. Promessas e advertências elevavam sua consciência sobre o uso dos recursos de terra e animais confiados a eles, para que sua administração agradasse a Deus.</w:t>
      </w:r>
    </w:p>
    <w:p>
      <w:r/>
      <w:r>
        <w:t xml:space="preserve">Em </w:t>
      </w:r>
      <w:hyperlink r:id="rId6958">
        <w:r>
          <w:rPr>
            <w:color w:val="0000EE"/>
            <w:u w:val="single"/>
          </w:rPr>
          <w:t>Deuteronômio 26</w:t>
        </w:r>
      </w:hyperlink>
      <w:r>
        <w:t>, Moisés instruiu os israelitas em duas confissões litúrgicas e uma reafirmação da aliança. Ao reconhecer que Deus era o doador de tudo o que possuíam e ao confessar diante de Deus que compartilhavam seus dons com os outros, eles confirmaram sua aliança com Deus.</w:t>
      </w:r>
    </w:p>
    <w:p>
      <w:pPr>
        <w:pStyle w:val="Heading4"/>
      </w:pPr>
      <w:r>
        <w:t>Alternativas: bênçãos ou maldições (</w:t>
      </w:r>
      <w:hyperlink r:id="rId6996">
        <w:r>
          <w:rPr>
            <w:color w:val="0000EE"/>
            <w:u w:val="single"/>
          </w:rPr>
          <w:t>27.1–30.20</w:t>
        </w:r>
      </w:hyperlink>
      <w:r>
        <w:t xml:space="preserve">) </w:t>
      </w:r>
    </w:p>
    <w:p>
      <w:r/>
      <w:r>
        <w:t>Moisés apresentou aos israelitas as opções de bênçãos ou maldições. Sob a liderança de Josué, eles deveriam renovar a aliança publicamente. No Monte Ebal, pedras seriam erguidas para inscrever a lei, e um altar seria construído para oferecer sacrifícios. As maldições seriam proclamadas do Monte Ebal e as bênçãos do Monte Gerizim. Auto-maldições condicionais foram lidas em relação a ofensas contra Deus e outros seres humanos (</w:t>
      </w:r>
      <w:hyperlink r:id="rId1067">
        <w:r>
          <w:rPr>
            <w:color w:val="0000EE"/>
            <w:u w:val="single"/>
          </w:rPr>
          <w:t>Dt 27.15–26</w:t>
        </w:r>
      </w:hyperlink>
      <w:r>
        <w:t xml:space="preserve">). Assim, eles reconheceram sua responsabilidade perante Deus. Embora seus pecados pudessem estar ocultos das pessoas, era a Deus a quem eles eram principalmente e, em última instância, responsáveis. Bênçãos como um modo de vida e maldições como um modo de morte foram claramente apresentadas aos israelitas (cap. </w:t>
      </w:r>
      <w:hyperlink r:id="rId6997">
        <w:r>
          <w:rPr>
            <w:color w:val="0000EE"/>
            <w:u w:val="single"/>
          </w:rPr>
          <w:t>28</w:t>
        </w:r>
      </w:hyperlink>
      <w:r>
        <w:t xml:space="preserve">). Colocando-os na perspectiva da história, Moisés apelou à nova geração para aproveitar a oportunidade presente (cap. </w:t>
      </w:r>
      <w:hyperlink r:id="rId6998">
        <w:r>
          <w:rPr>
            <w:color w:val="0000EE"/>
            <w:u w:val="single"/>
          </w:rPr>
          <w:t>29</w:t>
        </w:r>
      </w:hyperlink>
      <w:r>
        <w:t xml:space="preserve">). Avisando que, caso falhassem em amar a Deus, seriam, em última instância, sujeitos à dispersão, Moisés os advertiu a escolher o caminho da vida e do bem em vez do caminho da morte e do mal (cap. </w:t>
      </w:r>
      <w:hyperlink r:id="rId6999">
        <w:r>
          <w:rPr>
            <w:color w:val="0000EE"/>
            <w:u w:val="single"/>
          </w:rPr>
          <w:t>30</w:t>
        </w:r>
      </w:hyperlink>
      <w:r>
        <w:t>).</w:t>
      </w:r>
    </w:p>
    <w:p>
      <w:pPr>
        <w:pStyle w:val="Heading4"/>
      </w:pPr>
      <w:r>
        <w:t>Transição: de Moisés para Josué (</w:t>
      </w:r>
      <w:hyperlink r:id="rId6960">
        <w:r>
          <w:rPr>
            <w:color w:val="0000EE"/>
            <w:u w:val="single"/>
          </w:rPr>
          <w:t>31.1–34.12</w:t>
        </w:r>
      </w:hyperlink>
      <w:r>
        <w:t>)</w:t>
      </w:r>
    </w:p>
    <w:p>
      <w:r/>
      <w:r>
        <w:t>Quando a vida e o ministério de Moisés estavam chegando ao fim, e a transferência de liderança estava próxima (</w:t>
      </w:r>
      <w:hyperlink r:id="rId6960">
        <w:r>
          <w:rPr>
            <w:color w:val="0000EE"/>
            <w:u w:val="single"/>
          </w:rPr>
          <w:t>Dt 31.1–34.12</w:t>
        </w:r>
      </w:hyperlink>
      <w:r>
        <w:t>), Josué já havia sido designado por Deus como o novo líder de Israel. Moisés assegurou aos israelitas que Deus seria o mesmo com Josué no comando. A revelação dada através de Moisés havia sido colocada por escrito e agora estava confiada aos sacerdotes, os guardiões do Livro da Lei. Josué, que já havia se destacado em liderança responsável, foi publicamente confirmado na porta do tabernáculo (</w:t>
      </w:r>
      <w:hyperlink r:id="rId7000">
        <w:r>
          <w:rPr>
            <w:color w:val="0000EE"/>
            <w:u w:val="single"/>
          </w:rPr>
          <w:t>31.1–29</w:t>
        </w:r>
      </w:hyperlink>
      <w:r>
        <w:t>).</w:t>
      </w:r>
    </w:p>
    <w:p>
      <w:r/>
      <w:r>
        <w:t>O "Cântico de Moisés" é o documento de testemunho da aliança (</w:t>
      </w:r>
      <w:hyperlink r:id="rId7001">
        <w:r>
          <w:rPr>
            <w:color w:val="0000EE"/>
            <w:u w:val="single"/>
          </w:rPr>
          <w:t>32.1–47</w:t>
        </w:r>
      </w:hyperlink>
      <w:r>
        <w:t>). Nele, Moisés falou com compreensão profética ao recontar a experiência passada de Israel. Reiterando as consequências de sua atitude em relação a Deus, ele assegurou ao povo a restauração caso falhassem novamente. Ele os encorajou a fixar seus corações no que Deus lhes havia revelado e a transmitir isso a seus filhos. Manter a aliança por meio de um amor sincero a Deus seria importante para todas as gerações futuras, bem como para aqueles que estavam ouvindo Moisés.</w:t>
      </w:r>
    </w:p>
    <w:p>
      <w:r/>
      <w:r>
        <w:t>Após algumas instruções finais e breves (</w:t>
      </w:r>
      <w:hyperlink r:id="rId7002">
        <w:r>
          <w:rPr>
            <w:color w:val="0000EE"/>
            <w:u w:val="single"/>
          </w:rPr>
          <w:t>32.48–52</w:t>
        </w:r>
      </w:hyperlink>
      <w:r>
        <w:t>), Moisés pronunciou suas bênçãos sobre os israelitas, a quem ele havia liderado por 40 anos (</w:t>
      </w:r>
      <w:hyperlink r:id="rId4199">
        <w:r>
          <w:rPr>
            <w:color w:val="0000EE"/>
            <w:u w:val="single"/>
          </w:rPr>
          <w:t>33.1–29</w:t>
        </w:r>
      </w:hyperlink>
      <w:r>
        <w:t>). Em sua bênção final, também chamada de "Testamento de Moisés", a grandeza de Deus e seu relacionamento especial com Israel são destacados. Israel é único entre todas as nações do mundo.</w:t>
      </w:r>
    </w:p>
    <w:p>
      <w:r/>
      <w:r>
        <w:t>O livro de Deuteronômio termina apropriadamente com um relato da morte de Moisés, o maior profeta dos tempos do AT (</w:t>
      </w:r>
      <w:hyperlink r:id="rId7003">
        <w:r>
          <w:rPr>
            <w:color w:val="0000EE"/>
            <w:u w:val="single"/>
          </w:rPr>
          <w:t>34.1–12</w:t>
        </w:r>
      </w:hyperlink>
      <w:r>
        <w:t>).</w:t>
      </w:r>
    </w:p>
    <w:p>
      <w:r/>
      <w:r>
        <w:rPr>
          <w:i/>
        </w:rPr>
        <w:t>Veja também</w:t>
      </w:r>
      <w:r>
        <w:t xml:space="preserve"> </w:t>
      </w:r>
      <w:r>
        <w:t>Israel, História de</w:t>
      </w:r>
      <w:r>
        <w:t xml:space="preserve">; </w:t>
      </w:r>
      <w:r>
        <w:t>Moisés</w:t>
      </w:r>
      <w:r>
        <w:t>.</w:t>
      </w:r>
      <w:r/>
      <w:r/>
    </w:p>
    <w:p>
      <w:r/>
    </w:p>
    <w:p>
      <w:pPr>
        <w:pStyle w:val="Heading2"/>
      </w:pPr>
      <w:r>
        <w:t>Dia</w:t>
      </w:r>
      <w:r/>
    </w:p>
    <w:p>
      <w:r/>
      <w:r>
        <w:t xml:space="preserve">Mais literalmente, um período de tempo delimitado pela rotação da terra em torno de seu eixo, como o período entre dois amanheceres consecutivos; também, a parte desse período em que o sol é visível, a outra parte sendo chamada de “noite”. A palavra “dia” ocorre mais de 2.000 vezes no AT, mais de 350 vezes no NT. A palavra hebraica para “dia” é usada de várias maneiras, não apenas no sentido literal. O dia hebraico começava à noite e continuava até a noite seguinte, uma contagem presumivelmente baseada na Torá (cf. </w:t>
      </w:r>
      <w:hyperlink r:id="rId7004">
        <w:r>
          <w:rPr>
            <w:color w:val="0000EE"/>
            <w:u w:val="single"/>
          </w:rPr>
          <w:t>Gênesis 1.14,19</w:t>
        </w:r>
      </w:hyperlink>
      <w:r>
        <w:t>). Esse tipo de dia solar literal (24 horas) é conhecido como dia civil. Entre outras nações antigas do Oriente Próximo, o dia civil começava em horários diferentes. O costume grego concordava com o dos hebreus; os babilônios começavam seu dia ao amanhecer; o dia egípcio e romano se estendia de uma meia-noite à próxima.</w:t>
      </w:r>
    </w:p>
    <w:p>
      <w:pPr>
        <w:pStyle w:val="Heading3"/>
      </w:pPr>
      <w:r>
        <w:t>Dias e semanas bíblicos</w:t>
      </w:r>
    </w:p>
    <w:p>
      <w:r/>
      <w:r>
        <w:t>Unidades comumente reconhecidas do dia visível (12 horas) eram manhã, meio-dia e noite (</w:t>
      </w:r>
      <w:hyperlink r:id="rId7005">
        <w:r>
          <w:rPr>
            <w:color w:val="0000EE"/>
            <w:u w:val="single"/>
          </w:rPr>
          <w:t>Salmo 55.17</w:t>
        </w:r>
      </w:hyperlink>
      <w:r>
        <w:t>). Essas divisões às vezes eram definidas por termos para amanhecer (</w:t>
      </w:r>
      <w:hyperlink r:id="rId7006">
        <w:r>
          <w:rPr>
            <w:color w:val="0000EE"/>
            <w:u w:val="single"/>
          </w:rPr>
          <w:t>Jó 3.9</w:t>
        </w:r>
      </w:hyperlink>
      <w:r>
        <w:t>), o calor do dia (</w:t>
      </w:r>
      <w:hyperlink r:id="rId7007">
        <w:r>
          <w:rPr>
            <w:color w:val="0000EE"/>
            <w:u w:val="single"/>
          </w:rPr>
          <w:t>1 Samuel 11.11</w:t>
        </w:r>
      </w:hyperlink>
      <w:r>
        <w:t>), meio-dia (</w:t>
      </w:r>
      <w:hyperlink r:id="rId7008">
        <w:r>
          <w:rPr>
            <w:color w:val="0000EE"/>
            <w:u w:val="single"/>
          </w:rPr>
          <w:t>Gênesis 43.16</w:t>
        </w:r>
      </w:hyperlink>
      <w:r>
        <w:t>), o frescor do dia (</w:t>
      </w:r>
      <w:hyperlink r:id="rId300">
        <w:r>
          <w:rPr>
            <w:color w:val="0000EE"/>
            <w:u w:val="single"/>
          </w:rPr>
          <w:t>3.8</w:t>
        </w:r>
      </w:hyperlink>
      <w:r>
        <w:t>), e noite (</w:t>
      </w:r>
      <w:hyperlink r:id="rId583">
        <w:r>
          <w:rPr>
            <w:color w:val="0000EE"/>
            <w:u w:val="single"/>
          </w:rPr>
          <w:t>Rute 2.17</w:t>
        </w:r>
      </w:hyperlink>
      <w:r>
        <w:t>). A frase hebraica “entre as duas tardes” (</w:t>
      </w:r>
      <w:hyperlink r:id="rId5396">
        <w:r>
          <w:rPr>
            <w:color w:val="0000EE"/>
            <w:u w:val="single"/>
          </w:rPr>
          <w:t>Êxodo 12.6</w:t>
        </w:r>
      </w:hyperlink>
      <w:r>
        <w:t>, rsv mg) provavelmente se referia ao crepúsculo, a parte escura do crepúsculo (</w:t>
      </w:r>
      <w:hyperlink r:id="rId7009">
        <w:r>
          <w:rPr>
            <w:color w:val="0000EE"/>
            <w:u w:val="single"/>
          </w:rPr>
          <w:t>Êxodo 16.12</w:t>
        </w:r>
      </w:hyperlink>
      <w:r>
        <w:t>). A divisão dos dias em horas consecutivas não ocorreu até o tempo de Cristo. A aproximação mais próxima no AT a tal unidade era a divisão do dia em quartos (</w:t>
      </w:r>
      <w:hyperlink r:id="rId7010">
        <w:r>
          <w:rPr>
            <w:color w:val="0000EE"/>
            <w:u w:val="single"/>
          </w:rPr>
          <w:t>Neemias 9.3</w:t>
        </w:r>
      </w:hyperlink>
      <w:r>
        <w:t>), talvez um contraponto da divisão pré-exílica da noite em vigias.</w:t>
      </w:r>
    </w:p>
    <w:p>
      <w:r/>
      <w:r>
        <w:t>Os antigos hebreus não nomeavam os dias da semana além do sábado. Em vez disso, referiam-se a eles numericamente, uma prática que continuou nos tempos do NT (</w:t>
      </w:r>
      <w:hyperlink r:id="rId5996">
        <w:r>
          <w:rPr>
            <w:color w:val="0000EE"/>
            <w:u w:val="single"/>
          </w:rPr>
          <w:t>Lucas 24.1</w:t>
        </w:r>
      </w:hyperlink>
      <w:r>
        <w:t>). Devido à ênfase tradicional hebraica no sábado, era importante para os judeus saber o momento exato em que o sábado começava. Os fariseus, portanto, decidiram que a aparição de três estrelas após o pôr do sol determinaria o início do dia de sábado.</w:t>
      </w:r>
    </w:p>
    <w:p>
      <w:pPr>
        <w:pStyle w:val="Heading3"/>
      </w:pPr>
      <w:r>
        <w:t>Dias da criação</w:t>
      </w:r>
    </w:p>
    <w:p>
      <w:r/>
      <w:r>
        <w:t>Muitas pessoas acreditam que os dias mencionados na narrativa da Criação em Gênesis eram períodos de 24 horas. A frase "houve tarde, houve manhã" é usada para apoiar essa ideia. Essa expressão, no entanto, é na verdade uma figura literária suméria que junta opostos para descrever a totalidade. Assim, "tarde-manhã" significa uma fase completa de tempo dentro do ciclo criativo total; enfatiza a completude ou abrangência do processo, não o período específico de tempo em que esse processo foi realizado. A totalidade da Criação, fase por fase, pode ter sido assim representada sem qualquer referência necessária a um período de tempo definido.</w:t>
      </w:r>
    </w:p>
    <w:p>
      <w:r/>
      <w:r>
        <w:t>Como o dia civil sumério incluía apenas o período visível (12 horas), um dia legal de outras nações era na verdade um “dia duplo” (24 horas). Se o material inicial de Gênesis reflete a cultura suméria, o uso de “tarde-manhã” excluiria os conceitos atuais de um dia civil e apontaria em vez disso para uma fase ou período de tempo geral.</w:t>
      </w:r>
    </w:p>
    <w:p>
      <w:pPr>
        <w:pStyle w:val="Heading3"/>
      </w:pPr>
      <w:r>
        <w:t>Antigo Testamento</w:t>
      </w:r>
    </w:p>
    <w:p>
      <w:r/>
      <w:r>
        <w:t>No AT, “dia” frequentemente tem um significado figurado—por exemplo, o “dia do Senhor” (</w:t>
      </w:r>
      <w:hyperlink r:id="rId7011">
        <w:r>
          <w:rPr>
            <w:color w:val="0000EE"/>
            <w:u w:val="single"/>
          </w:rPr>
          <w:t>Joel 1.15</w:t>
        </w:r>
      </w:hyperlink>
      <w:r>
        <w:t xml:space="preserve">; </w:t>
      </w:r>
      <w:hyperlink r:id="rId1270">
        <w:r>
          <w:rPr>
            <w:color w:val="0000EE"/>
            <w:u w:val="single"/>
          </w:rPr>
          <w:t>Amós 5.18</w:t>
        </w:r>
      </w:hyperlink>
      <w:r>
        <w:t>), o “dia da angústia” (</w:t>
      </w:r>
      <w:hyperlink r:id="rId7012">
        <w:r>
          <w:rPr>
            <w:color w:val="0000EE"/>
            <w:u w:val="single"/>
          </w:rPr>
          <w:t>Salmo 20.1</w:t>
        </w:r>
      </w:hyperlink>
      <w:r>
        <w:t>), e o “dia da ira de Deus” (</w:t>
      </w:r>
      <w:hyperlink r:id="rId7013">
        <w:r>
          <w:rPr>
            <w:color w:val="0000EE"/>
            <w:u w:val="single"/>
          </w:rPr>
          <w:t>Jó 20.28</w:t>
        </w:r>
      </w:hyperlink>
      <w:r>
        <w:t>). A forma plural é às vezes usada para descrever o reinado de um rei (</w:t>
      </w:r>
      <w:hyperlink r:id="rId7014">
        <w:r>
          <w:rPr>
            <w:color w:val="0000EE"/>
            <w:u w:val="single"/>
          </w:rPr>
          <w:t>1 Reis 10.21</w:t>
        </w:r>
      </w:hyperlink>
      <w:r>
        <w:t>) ou a extensão da vida de um indivíduo (</w:t>
      </w:r>
      <w:hyperlink r:id="rId7015">
        <w:r>
          <w:rPr>
            <w:color w:val="0000EE"/>
            <w:u w:val="single"/>
          </w:rPr>
          <w:t>Gênesis 5.4</w:t>
        </w:r>
      </w:hyperlink>
      <w:r>
        <w:t xml:space="preserve">; </w:t>
      </w:r>
      <w:hyperlink r:id="rId7016">
        <w:r>
          <w:rPr>
            <w:color w:val="0000EE"/>
            <w:u w:val="single"/>
          </w:rPr>
          <w:t>1 Reis 3.14</w:t>
        </w:r>
      </w:hyperlink>
      <w:r>
        <w:t xml:space="preserve">; </w:t>
      </w:r>
      <w:hyperlink r:id="rId4078">
        <w:r>
          <w:rPr>
            <w:color w:val="0000EE"/>
            <w:u w:val="single"/>
          </w:rPr>
          <w:t>Salmo 90.12</w:t>
        </w:r>
      </w:hyperlink>
      <w:r>
        <w:t>). Deus é descrito no livro de Daniel como o “Ancião de Dias” (</w:t>
      </w:r>
      <w:hyperlink r:id="rId7017">
        <w:r>
          <w:rPr>
            <w:color w:val="0000EE"/>
            <w:u w:val="single"/>
          </w:rPr>
          <w:t>Daniel 7.9,13</w:t>
        </w:r>
      </w:hyperlink>
      <w:r>
        <w:t>).</w:t>
      </w:r>
    </w:p>
    <w:p>
      <w:r/>
      <w:r>
        <w:t>Além do sábado (</w:t>
      </w:r>
      <w:hyperlink r:id="rId7018">
        <w:r>
          <w:rPr>
            <w:color w:val="0000EE"/>
            <w:u w:val="single"/>
          </w:rPr>
          <w:t>Gênesis 2.3</w:t>
        </w:r>
      </w:hyperlink>
      <w:r>
        <w:t xml:space="preserve">; </w:t>
      </w:r>
      <w:hyperlink r:id="rId802">
        <w:r>
          <w:rPr>
            <w:color w:val="0000EE"/>
            <w:u w:val="single"/>
          </w:rPr>
          <w:t>Êxodo 20.8–11</w:t>
        </w:r>
      </w:hyperlink>
      <w:r>
        <w:t>), que era reservado para descanso e adoração, o “dia” foi aplicado à celebração da Páscoa a cada primavera (</w:t>
      </w:r>
      <w:hyperlink r:id="rId7019">
        <w:r>
          <w:rPr>
            <w:color w:val="0000EE"/>
            <w:u w:val="single"/>
          </w:rPr>
          <w:t>Êxodo 12.14</w:t>
        </w:r>
      </w:hyperlink>
      <w:r>
        <w:t xml:space="preserve">; </w:t>
      </w:r>
      <w:hyperlink r:id="rId7020">
        <w:r>
          <w:rPr>
            <w:color w:val="0000EE"/>
            <w:u w:val="single"/>
          </w:rPr>
          <w:t>Levíticos 23.5</w:t>
        </w:r>
      </w:hyperlink>
      <w:r>
        <w:t>) e ao Dia da Expiação (</w:t>
      </w:r>
      <w:hyperlink r:id="rId7021">
        <w:r>
          <w:rPr>
            <w:color w:val="0000EE"/>
            <w:u w:val="single"/>
          </w:rPr>
          <w:t>Levíticos 16.29–31</w:t>
        </w:r>
      </w:hyperlink>
      <w:r>
        <w:t>) a cada outono. Assim como no sábado, nenhum trabalho era realizado nessas ocasiões; rituais religiosos prescritos eram observados.</w:t>
      </w:r>
    </w:p>
    <w:p>
      <w:pPr>
        <w:pStyle w:val="Heading3"/>
      </w:pPr>
      <w:r>
        <w:t>Novo Testamento</w:t>
      </w:r>
    </w:p>
    <w:p>
      <w:r/>
      <w:r>
        <w:t xml:space="preserve">No NT, o uso de "dia" seguiu o uso semítico até certo ponto, embora as quatro vigias noturnas militares fossem de origem grega e romana. O dia de 12 horas dos tempos do NT era um legado da astronomia babilônica (cf. </w:t>
      </w:r>
      <w:hyperlink r:id="rId7022">
        <w:r>
          <w:rPr>
            <w:color w:val="0000EE"/>
            <w:u w:val="single"/>
          </w:rPr>
          <w:t>João 11.9</w:t>
        </w:r>
      </w:hyperlink>
      <w:r>
        <w:t>).</w:t>
      </w:r>
    </w:p>
    <w:p>
      <w:r/>
      <w:r>
        <w:t>Além do uso literal de “dia”, os autores do NT às vezes o empregavam figurativamente, como em expressões como o “dia da salvação” (</w:t>
      </w:r>
      <w:hyperlink r:id="rId7023">
        <w:r>
          <w:rPr>
            <w:color w:val="0000EE"/>
            <w:u w:val="single"/>
          </w:rPr>
          <w:t>2 Coríntios 6.2</w:t>
        </w:r>
      </w:hyperlink>
      <w:r>
        <w:t>) e o “dia de Jesus Cristo” (</w:t>
      </w:r>
      <w:hyperlink r:id="rId7024">
        <w:r>
          <w:rPr>
            <w:color w:val="0000EE"/>
            <w:u w:val="single"/>
          </w:rPr>
          <w:t>Filipenses 1.6</w:t>
        </w:r>
      </w:hyperlink>
      <w:r>
        <w:t>). Ou descreviam períodos de tempo específicos, como nos “dias de seus deveres no Templo” (</w:t>
      </w:r>
      <w:hyperlink r:id="rId7025">
        <w:r>
          <w:rPr>
            <w:color w:val="0000EE"/>
            <w:u w:val="single"/>
          </w:rPr>
          <w:t>Lucas 1.23</w:t>
        </w:r>
      </w:hyperlink>
      <w:r>
        <w:t>, tlb). Festas especiais mencionadas incluem a Páscoa (</w:t>
      </w:r>
      <w:hyperlink r:id="rId4070">
        <w:r>
          <w:rPr>
            <w:color w:val="0000EE"/>
            <w:u w:val="single"/>
          </w:rPr>
          <w:t>João 12.1</w:t>
        </w:r>
      </w:hyperlink>
      <w:r>
        <w:t>), os dias dos Pães Asmos (</w:t>
      </w:r>
      <w:hyperlink r:id="rId6266">
        <w:r>
          <w:rPr>
            <w:color w:val="0000EE"/>
            <w:u w:val="single"/>
          </w:rPr>
          <w:t>Atos 12.3</w:t>
        </w:r>
      </w:hyperlink>
      <w:r>
        <w:t>) e o Dia de Pentecostes (</w:t>
      </w:r>
      <w:hyperlink r:id="rId6260">
        <w:r>
          <w:rPr>
            <w:color w:val="0000EE"/>
            <w:u w:val="single"/>
          </w:rPr>
          <w:t>2.1</w:t>
        </w:r>
      </w:hyperlink>
      <w:r>
        <w:t>).</w:t>
      </w:r>
    </w:p>
    <w:p>
      <w:r/>
      <w:r>
        <w:t>Como no AT, o período da vida humana é descrito como dias (</w:t>
      </w:r>
      <w:hyperlink r:id="rId7026">
        <w:r>
          <w:rPr>
            <w:color w:val="0000EE"/>
            <w:u w:val="single"/>
          </w:rPr>
          <w:t>João 9.4</w:t>
        </w:r>
      </w:hyperlink>
      <w:r>
        <w:t>). Os cristãos são chamados de “filhos da luz e do dia” (</w:t>
      </w:r>
      <w:hyperlink r:id="rId7027">
        <w:r>
          <w:rPr>
            <w:color w:val="0000EE"/>
            <w:u w:val="single"/>
          </w:rPr>
          <w:t>1 Tessalonissenses 5.5</w:t>
        </w:r>
      </w:hyperlink>
      <w:r>
        <w:t>, nlt). Períodos ou eras mais longos são referidos como dias (</w:t>
      </w:r>
      <w:hyperlink r:id="rId7023">
        <w:r>
          <w:rPr>
            <w:color w:val="0000EE"/>
            <w:u w:val="single"/>
          </w:rPr>
          <w:t>2 Coríntios 6.2</w:t>
        </w:r>
      </w:hyperlink>
      <w:r>
        <w:t xml:space="preserve">; </w:t>
      </w:r>
      <w:hyperlink r:id="rId7028">
        <w:r>
          <w:rPr>
            <w:color w:val="0000EE"/>
            <w:u w:val="single"/>
          </w:rPr>
          <w:t>Efésios 5.16</w:t>
        </w:r>
      </w:hyperlink>
      <w:r>
        <w:t xml:space="preserve">; </w:t>
      </w:r>
      <w:hyperlink r:id="rId7029">
        <w:r>
          <w:rPr>
            <w:color w:val="0000EE"/>
            <w:u w:val="single"/>
          </w:rPr>
          <w:t>6.13</w:t>
        </w:r>
      </w:hyperlink>
      <w:r>
        <w:t xml:space="preserve">; </w:t>
      </w:r>
      <w:hyperlink r:id="rId7030">
        <w:r>
          <w:rPr>
            <w:color w:val="0000EE"/>
            <w:u w:val="single"/>
          </w:rPr>
          <w:t>Hebreus 5.7</w:t>
        </w:r>
      </w:hyperlink>
      <w:r>
        <w:t>). A nota ominosa tocada pelos profetas hebreus sobre um dia de julgamento é correspondida pelo NT com ênfase em um dia de julgamento divino final quando o Filho do Homem (Jesus) se revelará como Senhor (</w:t>
      </w:r>
      <w:hyperlink r:id="rId7031">
        <w:r>
          <w:rPr>
            <w:color w:val="0000EE"/>
            <w:u w:val="single"/>
          </w:rPr>
          <w:t>Lucas 17.30</w:t>
        </w:r>
      </w:hyperlink>
      <w:r>
        <w:t xml:space="preserve">; </w:t>
      </w:r>
      <w:hyperlink r:id="rId7032">
        <w:r>
          <w:rPr>
            <w:color w:val="0000EE"/>
            <w:u w:val="single"/>
          </w:rPr>
          <w:t>João 6.39–44</w:t>
        </w:r>
      </w:hyperlink>
      <w:r>
        <w:t xml:space="preserve">; </w:t>
      </w:r>
      <w:hyperlink r:id="rId7033">
        <w:r>
          <w:rPr>
            <w:color w:val="0000EE"/>
            <w:u w:val="single"/>
          </w:rPr>
          <w:t>1 Coríntios 5.5</w:t>
        </w:r>
      </w:hyperlink>
      <w:r>
        <w:t xml:space="preserve">; </w:t>
      </w:r>
      <w:hyperlink r:id="rId7034">
        <w:r>
          <w:rPr>
            <w:color w:val="0000EE"/>
            <w:u w:val="single"/>
          </w:rPr>
          <w:t>1 Tessalonicenses 5.2</w:t>
        </w:r>
      </w:hyperlink>
      <w:r>
        <w:t xml:space="preserve">; </w:t>
      </w:r>
      <w:hyperlink r:id="rId7035">
        <w:r>
          <w:rPr>
            <w:color w:val="0000EE"/>
            <w:u w:val="single"/>
          </w:rPr>
          <w:t>2 Pedro 2.9</w:t>
        </w:r>
      </w:hyperlink>
      <w:r>
        <w:t xml:space="preserve">; </w:t>
      </w:r>
      <w:hyperlink r:id="rId7036">
        <w:r>
          <w:rPr>
            <w:color w:val="0000EE"/>
            <w:u w:val="single"/>
          </w:rPr>
          <w:t>3.7,12</w:t>
        </w:r>
      </w:hyperlink>
      <w:r>
        <w:t xml:space="preserve">; </w:t>
      </w:r>
      <w:hyperlink r:id="rId7037">
        <w:r>
          <w:rPr>
            <w:color w:val="0000EE"/>
            <w:u w:val="single"/>
          </w:rPr>
          <w:t>1 João 4.17</w:t>
        </w:r>
      </w:hyperlink>
      <w:r>
        <w:t xml:space="preserve">; </w:t>
      </w:r>
      <w:hyperlink r:id="rId7038">
        <w:r>
          <w:rPr>
            <w:color w:val="0000EE"/>
            <w:u w:val="single"/>
          </w:rPr>
          <w:t>Apocalipse 16.14</w:t>
        </w:r>
      </w:hyperlink>
      <w:r>
        <w:t>). O “dia da eternidade” marca o ponto em que o tempo se tornará eternidade (</w:t>
      </w:r>
      <w:hyperlink r:id="rId7039">
        <w:r>
          <w:rPr>
            <w:color w:val="0000EE"/>
            <w:u w:val="single"/>
          </w:rPr>
          <w:t>2 Pedro 3.18</w:t>
        </w:r>
      </w:hyperlink>
      <w:r>
        <w:t>, rsv). A nova Jerusalém, morada do povo de Deus, é descrita como um lugar de dia perpétuo (</w:t>
      </w:r>
      <w:hyperlink r:id="rId7040">
        <w:r>
          <w:rPr>
            <w:color w:val="0000EE"/>
            <w:u w:val="single"/>
          </w:rPr>
          <w:t>Apocalipse 21.25</w:t>
        </w:r>
      </w:hyperlink>
      <w:r>
        <w:t>).</w:t>
      </w:r>
    </w:p>
    <w:p>
      <w:r/>
      <w:r>
        <w:rPr>
          <w:i/>
        </w:rPr>
        <w:t>Veja também</w:t>
      </w:r>
      <w:r>
        <w:t xml:space="preserve"> </w:t>
      </w:r>
      <w:r>
        <w:t>Calendários, Antigos e Modernos</w:t>
      </w:r>
      <w:r>
        <w:t xml:space="preserve">; </w:t>
      </w:r>
      <w:r>
        <w:t>Dia do Senhor</w:t>
      </w:r>
      <w:r>
        <w:t xml:space="preserve">; </w:t>
      </w:r>
      <w:r>
        <w:t>Eschatologia</w:t>
      </w:r>
      <w:r>
        <w:t>.</w:t>
      </w:r>
      <w:r/>
      <w:r/>
    </w:p>
    <w:p>
      <w:r/>
    </w:p>
    <w:p>
      <w:pPr>
        <w:pStyle w:val="Heading2"/>
      </w:pPr>
      <w:r>
        <w:t>Dia da Expiação</w:t>
      </w:r>
      <w:r/>
    </w:p>
    <w:p>
      <w:r/>
      <w:r>
        <w:t>O dia da expiação (um momento em que as pessoas pedem a Deus o perdão de seus pecados) é o dia mais sagrado no calendário judaico. Em hebraico, é chamado de Yom Kippur. Este dia especial ocorre no décimo dia do mês hebraico de Tishrei, que geralmente cai entre meados de setembro e meados de outubro.</w:t>
      </w:r>
    </w:p>
    <w:p>
      <w:pPr>
        <w:pStyle w:val="Heading3"/>
      </w:pPr>
      <w:r>
        <w:t>Qual é o significado do dia da expiação?</w:t>
      </w:r>
    </w:p>
    <w:p>
      <w:r/>
      <w:r>
        <w:t>Neste dia importante, o sumo sacerdote entrava na sala mais sagrada do tabernáculo (ou templo). Esta sala era chamada de Lugar Santíssimo ou Santo dos Santos. O sumo sacerdote fazia isso para expiar os pecados de todo o povo de Israel. A palavra "expiação" significa cobrir pecados para que as pessoas possam ter um bom relacionamento com Deus novamente. No Novo Testamento, Yom Kippur era chamado de "o jejum" (</w:t>
      </w:r>
      <w:hyperlink r:id="rId7041">
        <w:r>
          <w:rPr>
            <w:color w:val="0000EE"/>
            <w:u w:val="single"/>
          </w:rPr>
          <w:t>At 27.9</w:t>
        </w:r>
      </w:hyperlink>
      <w:r>
        <w:t>). Os professores judeus o chamavam de "o Dia" ou o "Grande Dia".</w:t>
      </w:r>
    </w:p>
    <w:p>
      <w:pPr>
        <w:pStyle w:val="Heading3"/>
      </w:pPr>
      <w:r>
        <w:t>O primeiro dia da expiação.</w:t>
      </w:r>
    </w:p>
    <w:p>
      <w:r/>
      <w:hyperlink r:id="rId403">
        <w:r>
          <w:rPr>
            <w:color w:val="0000EE"/>
            <w:u w:val="single"/>
          </w:rPr>
          <w:t>Lv 16</w:t>
        </w:r>
      </w:hyperlink>
      <w:r>
        <w:t xml:space="preserve"> descreve a primeira cerimônia do dia da expiação. Embora as pessoas tenham adicionado mais tradições ao longo dos anos, o objetivo principal sempre permaneceu o mesmo: obter o perdão completo através da oferta de sacrifícios a Deus.</w:t>
      </w:r>
    </w:p>
    <w:p>
      <w:r/>
      <w:r>
        <w:t>Primeiro, o sumo sacerdote trocaria suas roupas. Ele tiraria suas belas vestes oficiais e colocaria roupas simples de linho branco. Essas roupas brancas mostravam que ele estava arrependido de seus pecados e dos pecados do povo.</w:t>
      </w:r>
    </w:p>
    <w:p>
      <w:r/>
      <w:r>
        <w:t>O sumo sacerdote sacrificaria um novilho como oferta pelos seus próprios pecados e pelos pecados de todos os outros sacerdotes. Depois disso, ele entraria no Lugar Santíssimo carregando brasas do altar onde o incenso era queimado. Ele encheria este quarto especial com a fumaça do incenso perfumado. Em seguida, ele aspergiria o sangue do novilho sobre o propiciatório (a tampa do cofre sagrado chamado Arca da Aliança) e no chão em frente a ele.</w:t>
      </w:r>
    </w:p>
    <w:p>
      <w:r/>
      <w:r>
        <w:t>O povo trazia dois bodes ao sumo sacerdote. O sumo sacerdote escolheria entre esses bodes lançando sortes. Ele sacrificaria um bode como oferta pelos pecados de todo o povo. Ele levaria o sangue desse bode ao Lugar Santíssimo e o aspergiria, assim como havia feito com o sangue do touro. Este ato purificaria o Lugar Santíssimo do pecado.</w:t>
      </w:r>
    </w:p>
    <w:p>
      <w:r/>
      <w:r>
        <w:t>O sumo sacerdote então colocaria suas mãos sobre a cabeça do bode vivo e confessaria todos os pecados do povo sobre ele. Este segundo bode era chamado de bode expiatório porque seria enviado para o deserto, simbolicamente carregando os pecados do povo.</w:t>
      </w:r>
    </w:p>
    <w:p>
      <w:r/>
      <w:r>
        <w:t>Depois disso, o sumo sacerdote colocaria suas roupas normais novamente. Ele então faria mais duas ofertas chamadas holocaustos, uma para si mesmo e outra para o povo. Ele também queimaria a gordura das ofertas pelo pecado anteriores. As partes restantes do touro e do primeiro bode seriam levadas para fora do acampamento e queimadas completamente.</w:t>
      </w:r>
    </w:p>
    <w:p>
      <w:r/>
      <w:r>
        <w:t>Outras partes do Antigo Testamento que descrevem Yom Kippur incluem:</w:t>
      </w:r>
    </w:p>
    <w:p>
      <w:pPr>
        <w:pStyle w:val="ListBullet"/>
        <w:spacing w:line="240" w:lineRule="auto"/>
        <w:ind w:left="720"/>
      </w:pPr>
      <w:r/>
      <w:hyperlink r:id="rId7042">
        <w:r>
          <w:rPr>
            <w:color w:val="0000EE"/>
            <w:u w:val="single"/>
          </w:rPr>
          <w:t>Êx 30.10</w:t>
        </w:r>
      </w:hyperlink>
      <w:r>
        <w:t>;</w:t>
      </w:r>
    </w:p>
    <w:p>
      <w:pPr>
        <w:pStyle w:val="ListBullet"/>
        <w:spacing w:line="240" w:lineRule="auto"/>
        <w:ind w:left="720"/>
      </w:pPr>
      <w:r/>
      <w:hyperlink r:id="rId7043">
        <w:r>
          <w:rPr>
            <w:color w:val="0000EE"/>
            <w:u w:val="single"/>
          </w:rPr>
          <w:t xml:space="preserve">Lev 23.26–32 </w:t>
        </w:r>
      </w:hyperlink>
      <w:r>
        <w:t>(esta passagem fornece a data do Yom Kippur em uma lista de todas as festas anuais);</w:t>
      </w:r>
    </w:p>
    <w:p>
      <w:pPr>
        <w:pStyle w:val="ListBullet"/>
        <w:spacing w:line="240" w:lineRule="auto"/>
        <w:ind w:left="720"/>
      </w:pPr>
      <w:r/>
      <w:hyperlink r:id="rId7044">
        <w:r>
          <w:rPr>
            <w:color w:val="0000EE"/>
            <w:u w:val="single"/>
          </w:rPr>
          <w:t>Lv 25.9–16</w:t>
        </w:r>
      </w:hyperlink>
      <w:r>
        <w:t xml:space="preserve"> (esta passagem afirma que cada ano do jubileu começava no Dia da Expiação);</w:t>
      </w:r>
    </w:p>
    <w:p>
      <w:pPr>
        <w:pStyle w:val="ListBullet"/>
        <w:spacing w:line="240" w:lineRule="auto"/>
        <w:ind w:left="720"/>
      </w:pPr>
      <w:r/>
      <w:hyperlink r:id="rId7045">
        <w:r>
          <w:rPr>
            <w:color w:val="0000EE"/>
            <w:u w:val="single"/>
          </w:rPr>
          <w:t>Nm 29.7–11</w:t>
        </w:r>
      </w:hyperlink>
      <w:r>
        <w:t>.</w:t>
      </w:r>
    </w:p>
    <w:p>
      <w:pPr>
        <w:pStyle w:val="Heading3"/>
      </w:pPr>
      <w:r>
        <w:t>O dia da expiação nos tempos modernos.</w:t>
      </w:r>
    </w:p>
    <w:p>
      <w:r/>
      <w:r>
        <w:t>O dia da expiação continua sendo profundamente importante na vida religiosa judaica até hoje. Quando o templo em Jerusalém foi destruído em 70 d.C., o povo judeu não pôde mais realizar os sacrifícios. No entanto, eles continuaram a observar este dia sagrado, o que demonstra o quanto ele é central para sua fé. Hoje, ele permanece como o dia sagrado mais importante no Judaísmo.</w:t>
      </w:r>
    </w:p>
    <w:p>
      <w:pPr>
        <w:pStyle w:val="Heading3"/>
      </w:pPr>
      <w:r>
        <w:t>Jejum no dia da expiação.</w:t>
      </w:r>
    </w:p>
    <w:p>
      <w:r/>
      <w:r>
        <w:t>A Bíblia diz para humilhar-se neste dia (</w:t>
      </w:r>
      <w:hyperlink r:id="rId7046">
        <w:r>
          <w:rPr>
            <w:color w:val="0000EE"/>
            <w:u w:val="single"/>
          </w:rPr>
          <w:t>Lv 23.27–32</w:t>
        </w:r>
      </w:hyperlink>
      <w:r>
        <w:t>). Embora Moisés não tenha explicado exatamente o que isso significava, o povo judeu ao longo da história entendeu que significava jejuar (ficar sem comida). Esse entendimento vem de outras partes da Bíblia onde frases semelhantes aparecem (</w:t>
      </w:r>
      <w:hyperlink r:id="rId7047">
        <w:r>
          <w:rPr>
            <w:color w:val="0000EE"/>
            <w:u w:val="single"/>
          </w:rPr>
          <w:t>Sl 35.13</w:t>
        </w:r>
      </w:hyperlink>
      <w:r>
        <w:t xml:space="preserve">; </w:t>
      </w:r>
      <w:hyperlink r:id="rId7048">
        <w:r>
          <w:rPr>
            <w:color w:val="0000EE"/>
            <w:u w:val="single"/>
          </w:rPr>
          <w:t>Is 58.3</w:t>
        </w:r>
      </w:hyperlink>
      <w:hyperlink r:id="rId7049">
        <w:r>
          <w:rPr>
            <w:color w:val="0000EE"/>
            <w:u w:val="single"/>
          </w:rPr>
          <w:t>–</w:t>
        </w:r>
      </w:hyperlink>
      <w:hyperlink r:id="rId7048">
        <w:r>
          <w:rPr>
            <w:color w:val="0000EE"/>
            <w:u w:val="single"/>
          </w:rPr>
          <w:t>5,10</w:t>
        </w:r>
      </w:hyperlink>
      <w:r>
        <w:t>).</w:t>
      </w:r>
    </w:p>
    <w:p>
      <w:pPr>
        <w:pStyle w:val="Heading3"/>
      </w:pPr>
      <w:r>
        <w:t>O propósito do dia da expiação.</w:t>
      </w:r>
    </w:p>
    <w:p>
      <w:r/>
      <w:r>
        <w:t>Quando o povo antigo de Israel celebrava o Dia da Expiação, demonstrava acreditar que Deus perdoaria seus pecados por meio dessas cerimônias especiais. Eles entendiam que o perdão de Deus era um presente que lhes permitia continuar tendo um relacionamento especial com Ele como seu povo escolhido. Esse relacionamento era baseado na aliança (acordo especial) que Deus fez com eles.</w:t>
      </w:r>
    </w:p>
    <w:p>
      <w:r/>
      <w:r>
        <w:t>Deus declarou o dia da expiação como um sábado especial, um tempo de descanso completo (</w:t>
      </w:r>
      <w:hyperlink r:id="rId7050">
        <w:r>
          <w:rPr>
            <w:color w:val="0000EE"/>
            <w:u w:val="single"/>
          </w:rPr>
          <w:t>Lv 16.31</w:t>
        </w:r>
      </w:hyperlink>
      <w:r>
        <w:t xml:space="preserve">; </w:t>
      </w:r>
      <w:hyperlink r:id="rId7051">
        <w:r>
          <w:rPr>
            <w:color w:val="0000EE"/>
            <w:u w:val="single"/>
          </w:rPr>
          <w:t>23.32</w:t>
        </w:r>
      </w:hyperlink>
      <w:r>
        <w:t>). Assim como as pessoas descansavam do trabalho toda semana no sábado regular, elas não podiam realizar nenhum trabalho no dia da expiação.</w:t>
      </w:r>
    </w:p>
    <w:p>
      <w:r/>
      <w:r>
        <w:t>Muitas pessoas se perguntam por que Deus criou um dia especial para expiação quando o povo judeu já oferecia sacrifícios ao longo do ano. O dia da expiação servia a dois propósitos importantes:</w:t>
      </w:r>
    </w:p>
    <w:p>
      <w:pPr>
        <w:pStyle w:val="ListBullet"/>
        <w:spacing w:line="240" w:lineRule="auto"/>
        <w:ind w:left="720"/>
      </w:pPr>
      <w:r/>
      <w:r>
        <w:t>Isso ajudou a proteger as pessoas da ira de Deus por causa de seus pecados.</w:t>
      </w:r>
    </w:p>
    <w:p>
      <w:pPr>
        <w:pStyle w:val="ListBullet"/>
        <w:spacing w:line="240" w:lineRule="auto"/>
        <w:ind w:left="720"/>
      </w:pPr>
      <w:r/>
      <w:r>
        <w:t>Garantiu que Deus continuaria presente com eles.</w:t>
      </w:r>
    </w:p>
    <w:p>
      <w:r/>
      <w:r>
        <w:t>Neste dia, duas ações importantes trabalharam juntas para purificar tudo do pecado:</w:t>
      </w:r>
    </w:p>
    <w:p>
      <w:pPr>
        <w:pStyle w:val="ListBullet"/>
        <w:spacing w:line="240" w:lineRule="auto"/>
        <w:ind w:left="720"/>
      </w:pPr>
      <w:r/>
      <w:r>
        <w:t>Os sacerdotes sacrificaram um bode como oferta.</w:t>
      </w:r>
    </w:p>
    <w:p>
      <w:pPr>
        <w:pStyle w:val="ListBullet"/>
        <w:spacing w:line="240" w:lineRule="auto"/>
        <w:ind w:left="720"/>
      </w:pPr>
      <w:r/>
      <w:r>
        <w:t>Em seguida, eles enviaram o segundo bode, chamado bode expiatório, para o deserto.</w:t>
      </w:r>
    </w:p>
    <w:p>
      <w:r/>
      <w:r>
        <w:t>Essas ações purificaram três coisas importantes:</w:t>
      </w:r>
    </w:p>
    <w:p>
      <w:pPr>
        <w:pStyle w:val="ListBullet"/>
        <w:spacing w:line="240" w:lineRule="auto"/>
        <w:ind w:left="720"/>
      </w:pPr>
      <w:r/>
      <w:r>
        <w:t>todas as pessoas de Israel,</w:t>
      </w:r>
    </w:p>
    <w:p>
      <w:pPr>
        <w:pStyle w:val="ListBullet"/>
        <w:spacing w:line="240" w:lineRule="auto"/>
        <w:ind w:left="720"/>
      </w:pPr>
      <w:r/>
      <w:r>
        <w:t>os sacerdotes que serviam no templo, e</w:t>
      </w:r>
    </w:p>
    <w:p>
      <w:pPr>
        <w:pStyle w:val="ListBullet"/>
        <w:spacing w:line="240" w:lineRule="auto"/>
        <w:ind w:left="720"/>
      </w:pPr>
      <w:r/>
      <w:r>
        <w:t>o próprio edifício sagrado.</w:t>
      </w:r>
    </w:p>
    <w:p>
      <w:r/>
      <w:r>
        <w:t>O propósito do sistema sacrificial foi plenamente expresso naquele dia. Algumas pessoas chamam o dia da expiação de "Sexta-feira Santa do Antigo Testamento" devido à sua importância (Sexta-feira Santa é o dia em que os cristãos lembram a morte de Jesus na cruz). Os sacrifícios regulares que ocorriam diária, semanal e mensalmente ao longo do ano não podiam remover completamente o pecado. Isso era demonstrado pelo fato de que o sumo sacerdote não podia entrar no Lugar Santíssimo do templo em dias normais.</w:t>
      </w:r>
    </w:p>
    <w:p>
      <w:r/>
      <w:r>
        <w:t>No entanto, neste dia especial a cada ano, Deus permitia que o sumo sacerdote entrasse no Lugar Santíssimo. Ele levava o sangue do sacrifício e representava todo o povo diante de Deus. Ele aspergia esse sangue sobre o propiciatório, o que demonstrava que Deus havia aceitado o sacrifício e perdoado os pecados do povo.</w:t>
      </w:r>
    </w:p>
    <w:p>
      <w:r/>
      <w:r>
        <w:t>O dia da expiação tinha um propósito especial que outros sacrifícios não podiam cumprir. Ao longo do ano, as pessoas ofereciam sacrifícios por pecados que conheciam. No entanto, muitas vezes as pessoas pecam sem perceber, e esses pecados desconhecidos também precisavam ser perdoados. A Bíblia, às vezes, chama esses de "pecados secretos" porque permanecem ocultos das pessoas que os cometem.</w:t>
      </w:r>
    </w:p>
    <w:p>
      <w:r/>
      <w:r>
        <w:t>Esses pecados ocultos tornaram o santuário, a terra e a nação impuros aos olhos de Deus. Deus instituiu o dia da expiação para perdoar completamente todos os pecados, até mesmo os ocultos (</w:t>
      </w:r>
      <w:hyperlink r:id="rId7052">
        <w:r>
          <w:rPr>
            <w:color w:val="0000EE"/>
            <w:u w:val="single"/>
          </w:rPr>
          <w:t>Lv 16.33</w:t>
        </w:r>
      </w:hyperlink>
      <w:r>
        <w:t>). O sumo sacerdote representava todo o povo de Israel diante de Deus. Ele atuava como mediador (alguém que ajuda a unir duas partes) entre Deus e o povo.</w:t>
      </w:r>
    </w:p>
    <w:p>
      <w:r/>
      <w:r>
        <w:rPr>
          <w:i/>
        </w:rPr>
        <w:t xml:space="preserve">Veja também </w:t>
      </w:r>
      <w:r>
        <w:t>Expiação</w:t>
      </w:r>
      <w:r>
        <w:t xml:space="preserve">; </w:t>
      </w:r>
      <w:r>
        <w:t>Ofertas e Sacrifícios</w:t>
      </w:r>
      <w:r>
        <w:t>.</w:t>
      </w:r>
      <w:r/>
      <w:r/>
    </w:p>
    <w:p>
      <w:r/>
    </w:p>
    <w:p>
      <w:pPr>
        <w:pStyle w:val="Heading2"/>
      </w:pPr>
      <w:r>
        <w:t>Dia do Senhor</w:t>
      </w:r>
      <w:r/>
    </w:p>
    <w:p>
      <w:r/>
      <w:r>
        <w:t>Uma expressão usada pelos profetas do Antigo Testamento para descrever um tempo em que Deus intervirá na história, principalmente para julgamento. Assim, “o dia do Senhor” também é chamado de “o Dia da ira do SENHOR” (</w:t>
      </w:r>
      <w:hyperlink r:id="rId7053">
        <w:r>
          <w:rPr>
            <w:color w:val="0000EE"/>
            <w:u w:val="single"/>
          </w:rPr>
          <w:t>Sf 2.2</w:t>
        </w:r>
      </w:hyperlink>
      <w:r>
        <w:t>). Esta expressão aparece nos escritos do profeta Amós, que viveu durante o século oitavo a.C.</w:t>
      </w:r>
    </w:p>
    <w:p>
      <w:pPr>
        <w:pStyle w:val="Heading3"/>
      </w:pPr>
      <w:r>
        <w:t>O Dia do Senhor no Antigo Testamento</w:t>
      </w:r>
    </w:p>
    <w:p>
      <w:r/>
      <w:r>
        <w:t>Às vezes, "o dia do Senhor" é usado no Antigo Testamento para se referir a um julgamento anterior (</w:t>
      </w:r>
      <w:hyperlink r:id="rId7054">
        <w:r>
          <w:rPr>
            <w:color w:val="0000EE"/>
            <w:u w:val="single"/>
          </w:rPr>
          <w:t>Lm 2.22</w:t>
        </w:r>
      </w:hyperlink>
      <w:r>
        <w:t>). No entanto, geralmente se refere a um julgamento futuro (</w:t>
      </w:r>
      <w:hyperlink r:id="rId1787">
        <w:r>
          <w:rPr>
            <w:color w:val="0000EE"/>
            <w:u w:val="single"/>
          </w:rPr>
          <w:t>Jl 2.1–11</w:t>
        </w:r>
      </w:hyperlink>
      <w:r>
        <w:t>). Especificamente, refere-se ao julgamento final do mundo (</w:t>
      </w:r>
      <w:hyperlink r:id="rId7055">
        <w:r>
          <w:rPr>
            <w:color w:val="0000EE"/>
            <w:u w:val="single"/>
          </w:rPr>
          <w:t>Jl 3.14–21</w:t>
        </w:r>
      </w:hyperlink>
      <w:r>
        <w:t xml:space="preserve">; </w:t>
      </w:r>
      <w:hyperlink r:id="rId7056">
        <w:r>
          <w:rPr>
            <w:color w:val="0000EE"/>
            <w:u w:val="single"/>
          </w:rPr>
          <w:t>Ml 4.5</w:t>
        </w:r>
      </w:hyperlink>
      <w:r>
        <w:t xml:space="preserve">). Muitas vezes, uma profecia sobre um evento no futuro próximo é combinada com uma profecia de fim dos tempos — um julgamento vindouro é uma prévia do Dia final do Senhor. A profecia de Isaías contra Babilônia em </w:t>
      </w:r>
      <w:hyperlink r:id="rId7057">
        <w:r>
          <w:rPr>
            <w:color w:val="0000EE"/>
            <w:u w:val="single"/>
          </w:rPr>
          <w:t xml:space="preserve">Isaías 13 </w:t>
        </w:r>
      </w:hyperlink>
      <w:r>
        <w:t>é um exemplo (</w:t>
      </w:r>
      <w:hyperlink r:id="rId7057">
        <w:r>
          <w:rPr>
            <w:color w:val="0000EE"/>
            <w:u w:val="single"/>
          </w:rPr>
          <w:t>Is 13.5–10</w:t>
        </w:r>
      </w:hyperlink>
      <w:r>
        <w:t>). Jesus usou muitas profecias para explicar sua segunda vinda (</w:t>
      </w:r>
      <w:hyperlink r:id="rId7058">
        <w:r>
          <w:rPr>
            <w:color w:val="0000EE"/>
            <w:u w:val="single"/>
          </w:rPr>
          <w:t>Mc 13.24–37</w:t>
        </w:r>
      </w:hyperlink>
      <w:r>
        <w:t>).</w:t>
      </w:r>
    </w:p>
    <w:p>
      <w:r/>
      <w:r>
        <w:t>Outro exemplo é a profecia de Joel sobre o Dia do Senhor (</w:t>
      </w:r>
      <w:hyperlink r:id="rId7059">
        <w:r>
          <w:rPr>
            <w:color w:val="0000EE"/>
            <w:u w:val="single"/>
          </w:rPr>
          <w:t>Jl 1.15–2.11</w:t>
        </w:r>
      </w:hyperlink>
      <w:r>
        <w:t>). O profeta predisse uma praga de gafanhotos que Deus enviaria a Israel, mas sua profecia se estendeu ao Dia do Senhor após o tempo de Joel (</w:t>
      </w:r>
      <w:hyperlink r:id="rId7060">
        <w:r>
          <w:rPr>
            <w:color w:val="0000EE"/>
            <w:u w:val="single"/>
          </w:rPr>
          <w:t>Jl 2.14–17,31</w:t>
        </w:r>
      </w:hyperlink>
      <w:r>
        <w:t>). O Dia do Senhor inclui também o derramamento do Espírito Santo no Pentecostes, que foi igualmente predito pela profecia de Joel (</w:t>
      </w:r>
      <w:hyperlink r:id="rId845">
        <w:r>
          <w:rPr>
            <w:color w:val="0000EE"/>
            <w:u w:val="single"/>
          </w:rPr>
          <w:t>Jl 2.28–32</w:t>
        </w:r>
      </w:hyperlink>
      <w:r>
        <w:t xml:space="preserve">; </w:t>
      </w:r>
      <w:hyperlink r:id="rId7061">
        <w:r>
          <w:rPr>
            <w:color w:val="0000EE"/>
            <w:u w:val="single"/>
          </w:rPr>
          <w:t>At 2.16–21</w:t>
        </w:r>
      </w:hyperlink>
      <w:r>
        <w:t xml:space="preserve">; </w:t>
      </w:r>
      <w:hyperlink r:id="rId7062">
        <w:r>
          <w:rPr>
            <w:color w:val="0000EE"/>
            <w:u w:val="single"/>
          </w:rPr>
          <w:t>Ap 6.12–13</w:t>
        </w:r>
      </w:hyperlink>
      <w:r>
        <w:t>). O Novo Testamento usa o termo apenas para se referir aos tempos do fim.</w:t>
      </w:r>
    </w:p>
    <w:p>
      <w:r/>
      <w:r>
        <w:t>O Dia do Senhor é descrito como um dia de escuridão, trevas e julgamento. Está associado ao julgamento de Deus e descreve mudanças na natureza, como o escurecimento do sol, lua e estrelas (</w:t>
      </w:r>
      <w:hyperlink r:id="rId7063">
        <w:r>
          <w:rPr>
            <w:color w:val="0000EE"/>
            <w:u w:val="single"/>
          </w:rPr>
          <w:t>Is 13.10</w:t>
        </w:r>
      </w:hyperlink>
      <w:r>
        <w:t xml:space="preserve">; </w:t>
      </w:r>
      <w:hyperlink r:id="rId2809">
        <w:r>
          <w:rPr>
            <w:color w:val="0000EE"/>
            <w:u w:val="single"/>
          </w:rPr>
          <w:t>Jl 2.31</w:t>
        </w:r>
      </w:hyperlink>
      <w:r>
        <w:t xml:space="preserve">; </w:t>
      </w:r>
      <w:hyperlink r:id="rId7064">
        <w:r>
          <w:rPr>
            <w:color w:val="0000EE"/>
            <w:u w:val="single"/>
          </w:rPr>
          <w:t>3.15</w:t>
        </w:r>
      </w:hyperlink>
      <w:r>
        <w:t xml:space="preserve">; </w:t>
      </w:r>
      <w:hyperlink r:id="rId2123">
        <w:r>
          <w:rPr>
            <w:color w:val="0000EE"/>
            <w:u w:val="single"/>
          </w:rPr>
          <w:t>Mt 24.29</w:t>
        </w:r>
      </w:hyperlink>
      <w:r>
        <w:t xml:space="preserve">; </w:t>
      </w:r>
      <w:hyperlink r:id="rId5527">
        <w:r>
          <w:rPr>
            <w:color w:val="0000EE"/>
            <w:u w:val="single"/>
          </w:rPr>
          <w:t>Ap 6.12</w:t>
        </w:r>
      </w:hyperlink>
      <w:r>
        <w:t>). As nações serão julgadas por sua rebelião contra Israel (</w:t>
      </w:r>
      <w:hyperlink r:id="rId7065">
        <w:r>
          <w:rPr>
            <w:color w:val="0000EE"/>
            <w:u w:val="single"/>
          </w:rPr>
          <w:t>Jl 3.19</w:t>
        </w:r>
      </w:hyperlink>
      <w:r>
        <w:t xml:space="preserve">; compare </w:t>
      </w:r>
      <w:hyperlink r:id="rId7066">
        <w:r>
          <w:rPr>
            <w:color w:val="0000EE"/>
            <w:u w:val="single"/>
          </w:rPr>
          <w:t>Sl 2</w:t>
        </w:r>
      </w:hyperlink>
      <w:r>
        <w:t>). No entanto, Israel é aconselhado a não ansiar por esse dia, pois eles também serão julgados (</w:t>
      </w:r>
      <w:hyperlink r:id="rId7067">
        <w:r>
          <w:rPr>
            <w:color w:val="0000EE"/>
            <w:u w:val="single"/>
          </w:rPr>
          <w:t>Am 5.18–20</w:t>
        </w:r>
      </w:hyperlink>
      <w:r>
        <w:t>). Mas os profetas prometem que um "remanescente" fiel será salvo quando se voltarem para o Messias (</w:t>
      </w:r>
      <w:hyperlink r:id="rId3563">
        <w:r>
          <w:rPr>
            <w:color w:val="0000EE"/>
            <w:u w:val="single"/>
          </w:rPr>
          <w:t>Jl 2.32</w:t>
        </w:r>
      </w:hyperlink>
      <w:r>
        <w:t xml:space="preserve">; </w:t>
      </w:r>
      <w:hyperlink r:id="rId7068">
        <w:r>
          <w:rPr>
            <w:color w:val="0000EE"/>
            <w:u w:val="single"/>
          </w:rPr>
          <w:t>Zc 12.10</w:t>
        </w:r>
      </w:hyperlink>
      <w:r>
        <w:t>). Após o julgamento, haverá um tempo de prosperidade, restauração e bênção para Israel (</w:t>
      </w:r>
      <w:hyperlink r:id="rId7069">
        <w:r>
          <w:rPr>
            <w:color w:val="0000EE"/>
            <w:u w:val="single"/>
          </w:rPr>
          <w:t>Jl 3.18–21</w:t>
        </w:r>
      </w:hyperlink>
      <w:r>
        <w:t>).</w:t>
      </w:r>
    </w:p>
    <w:p>
      <w:pPr>
        <w:pStyle w:val="Heading3"/>
      </w:pPr>
      <w:r>
        <w:t>O Dia do Senhor no Novo Testamento</w:t>
      </w:r>
    </w:p>
    <w:p>
      <w:r/>
      <w:r>
        <w:t>Existem expressões mais explícitas no Novo Testamento:</w:t>
      </w:r>
    </w:p>
    <w:p>
      <w:pPr>
        <w:pStyle w:val="ListBullet"/>
        <w:spacing w:line="240" w:lineRule="auto"/>
        <w:ind w:left="720"/>
      </w:pPr>
      <w:r/>
      <w:r>
        <w:t>“O dia de nosso Senhor Jesus Cristo” (</w:t>
      </w:r>
      <w:hyperlink r:id="rId7070">
        <w:r>
          <w:rPr>
            <w:color w:val="0000EE"/>
            <w:u w:val="single"/>
          </w:rPr>
          <w:t>1Co 1.8</w:t>
        </w:r>
      </w:hyperlink>
      <w:r>
        <w:t>);</w:t>
      </w:r>
    </w:p>
    <w:p>
      <w:pPr>
        <w:pStyle w:val="ListBullet"/>
        <w:spacing w:line="240" w:lineRule="auto"/>
        <w:ind w:left="720"/>
      </w:pPr>
      <w:r/>
      <w:r>
        <w:t>“O dia do Senhor Jesus” (</w:t>
      </w:r>
      <w:hyperlink r:id="rId7033">
        <w:r>
          <w:rPr>
            <w:color w:val="0000EE"/>
            <w:u w:val="single"/>
          </w:rPr>
          <w:t>1Co 5.5</w:t>
        </w:r>
      </w:hyperlink>
      <w:r>
        <w:t xml:space="preserve">; </w:t>
      </w:r>
      <w:hyperlink r:id="rId7071">
        <w:r>
          <w:rPr>
            <w:color w:val="0000EE"/>
            <w:u w:val="single"/>
          </w:rPr>
          <w:t>2Co 1.14</w:t>
        </w:r>
      </w:hyperlink>
      <w:r>
        <w:t>);</w:t>
      </w:r>
    </w:p>
    <w:p>
      <w:pPr>
        <w:pStyle w:val="ListBullet"/>
        <w:spacing w:line="240" w:lineRule="auto"/>
        <w:ind w:left="720"/>
      </w:pPr>
      <w:r/>
      <w:r>
        <w:t>“O dia de Cristo” (</w:t>
      </w:r>
      <w:hyperlink r:id="rId7072">
        <w:r>
          <w:rPr>
            <w:color w:val="0000EE"/>
            <w:u w:val="single"/>
          </w:rPr>
          <w:t>Fm 1.10</w:t>
        </w:r>
      </w:hyperlink>
      <w:r>
        <w:t xml:space="preserve">; </w:t>
      </w:r>
      <w:hyperlink r:id="rId7073">
        <w:r>
          <w:rPr>
            <w:color w:val="0000EE"/>
            <w:u w:val="single"/>
          </w:rPr>
          <w:t>2.16</w:t>
        </w:r>
      </w:hyperlink>
      <w:r>
        <w:t>).</w:t>
      </w:r>
    </w:p>
    <w:p>
      <w:r/>
      <w:r>
        <w:t>Esses são mais pessoais e positivos. Eles se referem aos eventos finais para os crentes cristãos, que não experimentarão a ira de Deus (</w:t>
      </w:r>
      <w:hyperlink r:id="rId7074">
        <w:r>
          <w:rPr>
            <w:color w:val="0000EE"/>
            <w:u w:val="single"/>
          </w:rPr>
          <w:t>1Ts 5.9</w:t>
        </w:r>
      </w:hyperlink>
      <w:r>
        <w:t>). Quando o Dia do Senhor chegar, a terra será renovada e purificada com fogo (</w:t>
      </w:r>
      <w:hyperlink r:id="rId7075">
        <w:r>
          <w:rPr>
            <w:color w:val="0000EE"/>
            <w:u w:val="single"/>
          </w:rPr>
          <w:t>2Pe 3.10–13</w:t>
        </w:r>
      </w:hyperlink>
      <w:r>
        <w:t>). Em Apocalipse, essa purificação final ocorre após o Milênio — isto é, o reinado de 1.000 anos de Cristo (</w:t>
      </w:r>
      <w:hyperlink r:id="rId2161">
        <w:r>
          <w:rPr>
            <w:color w:val="0000EE"/>
            <w:u w:val="single"/>
          </w:rPr>
          <w:t>Ap 21.1</w:t>
        </w:r>
      </w:hyperlink>
      <w:r>
        <w:t>).</w:t>
      </w:r>
    </w:p>
    <w:p>
      <w:r/>
      <w:r>
        <w:rPr>
          <w:i/>
        </w:rPr>
        <w:t>Veja também</w:t>
      </w:r>
      <w:r>
        <w:t xml:space="preserve"> </w:t>
      </w:r>
      <w:r>
        <w:t>Escatologia</w:t>
      </w:r>
      <w:r>
        <w:t xml:space="preserve">; </w:t>
      </w:r>
      <w:r>
        <w:t>Últimos dias</w:t>
      </w:r>
      <w:r>
        <w:t xml:space="preserve">; </w:t>
      </w:r>
      <w:r>
        <w:t>Juízo final</w:t>
      </w:r>
      <w:r>
        <w:t>.</w:t>
      </w:r>
      <w:r/>
      <w:r/>
    </w:p>
    <w:p>
      <w:r/>
    </w:p>
    <w:p>
      <w:pPr>
        <w:pStyle w:val="Heading2"/>
      </w:pPr>
      <w:r>
        <w:t>Diácono, Diaconisa*</w:t>
      </w:r>
      <w:r/>
    </w:p>
    <w:p>
      <w:r/>
      <w:r>
        <w:t>Termos que designam um oficial em uma igreja local, derivados de uma palavra grega que significa “servo” ou “ministro”. O termo “diaconato” é usado ou para o próprio ofício, ou para o corpo coletivo de diáconos e diaconisas. Assim como acontece com muitas outras palavras bíblicas que hoje são usadas em um sentido técnico, as palavras “diácono” e “diaconisa” começaram como termos populares e não técnicos. Tanto na cultura grega do primeiro século d.C. quanto no NT, elas descreviam uma variedade de serviços.</w:t>
      </w:r>
    </w:p>
    <w:p>
      <w:pPr>
        <w:pStyle w:val="Heading3"/>
      </w:pPr>
      <w:r>
        <w:t>Origens do Conceito</w:t>
      </w:r>
    </w:p>
    <w:p>
      <w:pPr>
        <w:pStyle w:val="Heading4"/>
      </w:pPr>
      <w:r>
        <w:t>Uso grego</w:t>
      </w:r>
    </w:p>
    <w:p>
      <w:r/>
      <w:r>
        <w:t>Referências foram encontradas em escritos antigos onde a palavra grega “diácono” significava “garçom”, “servo”, “mordomo” ou “mensageiro”. Em pelo menos dois casos, indicou um padeiro e um cozinheiro. No uso religioso, a palavra descrevia vários atendentes nos templos pagãos. Os documentos antigos mostram “diáconos” presidindo na dedicação de uma estátua ao deus grego Hermes. Serápis e Ísis, divindades egípcias, eram servidas por um colégio de “diáconos” presidido por um sacerdote.</w:t>
      </w:r>
    </w:p>
    <w:p>
      <w:pPr>
        <w:pStyle w:val="Heading4"/>
      </w:pPr>
      <w:r>
        <w:t>Uso geral do Novo Testamento</w:t>
      </w:r>
    </w:p>
    <w:p>
      <w:r/>
      <w:r>
        <w:t>A mesma palavra foi usada por escritores bíblicos em um sentido geral para descrever vários ministérios ou serviços. Só mais tarde no desenvolvimento da igreja apostólica o termo foi aplicado a um corpo distinto de oficiais da igreja. Entre seus usos gerais, “diácono” se refere a um garçom nas refeições (</w:t>
      </w:r>
      <w:hyperlink r:id="rId7076">
        <w:r>
          <w:rPr>
            <w:color w:val="0000EE"/>
            <w:u w:val="single"/>
          </w:rPr>
          <w:t>João 2.5,9</w:t>
        </w:r>
      </w:hyperlink>
      <w:r>
        <w:t>), o atendente de um rei (</w:t>
      </w:r>
      <w:hyperlink r:id="rId7077">
        <w:r>
          <w:rPr>
            <w:color w:val="0000EE"/>
            <w:u w:val="single"/>
          </w:rPr>
          <w:t>Mateus 22.13</w:t>
        </w:r>
      </w:hyperlink>
      <w:r>
        <w:t>), um servo de Satanás (</w:t>
      </w:r>
      <w:hyperlink r:id="rId7078">
        <w:r>
          <w:rPr>
            <w:color w:val="0000EE"/>
            <w:u w:val="single"/>
          </w:rPr>
          <w:t>2 Coríntios 11.15</w:t>
        </w:r>
      </w:hyperlink>
      <w:r>
        <w:t>), um servo de Deus (</w:t>
      </w:r>
      <w:hyperlink r:id="rId7079">
        <w:r>
          <w:rPr>
            <w:color w:val="0000EE"/>
            <w:u w:val="single"/>
          </w:rPr>
          <w:t>6.4</w:t>
        </w:r>
      </w:hyperlink>
      <w:r>
        <w:t>), um servo de Cristo (</w:t>
      </w:r>
      <w:hyperlink r:id="rId5131">
        <w:r>
          <w:rPr>
            <w:color w:val="0000EE"/>
            <w:u w:val="single"/>
          </w:rPr>
          <w:t>11.23</w:t>
        </w:r>
      </w:hyperlink>
      <w:r>
        <w:t>), um servo da igreja (</w:t>
      </w:r>
      <w:hyperlink r:id="rId7080">
        <w:r>
          <w:rPr>
            <w:color w:val="0000EE"/>
            <w:u w:val="single"/>
          </w:rPr>
          <w:t>Colossenses 1.24–25</w:t>
        </w:r>
      </w:hyperlink>
      <w:r>
        <w:t>) e um governante político (</w:t>
      </w:r>
      <w:hyperlink r:id="rId4470">
        <w:r>
          <w:rPr>
            <w:color w:val="0000EE"/>
            <w:u w:val="single"/>
          </w:rPr>
          <w:t>Romanos 13.4</w:t>
        </w:r>
      </w:hyperlink>
      <w:r>
        <w:t>).</w:t>
      </w:r>
    </w:p>
    <w:p>
      <w:r/>
      <w:r>
        <w:t>O NT apresenta a servidão como uma forma de ministério ou serviço, e como uma marca de toda a igreja. Isso significa que ela é considerada uma norma para todos os discípulos (</w:t>
      </w:r>
      <w:hyperlink r:id="rId7081">
        <w:r>
          <w:rPr>
            <w:color w:val="0000EE"/>
            <w:u w:val="single"/>
          </w:rPr>
          <w:t>Mateus 20.26–28</w:t>
        </w:r>
      </w:hyperlink>
      <w:r>
        <w:t xml:space="preserve">; </w:t>
      </w:r>
      <w:hyperlink r:id="rId7082">
        <w:r>
          <w:rPr>
            <w:color w:val="0000EE"/>
            <w:u w:val="single"/>
          </w:rPr>
          <w:t>Lucas 22.26–27</w:t>
        </w:r>
      </w:hyperlink>
      <w:r>
        <w:t>). O ensino de Jesus sobre o julgamento final liga o ministério a ações tais como alimentar os famintos, hospedar estranhos, vestir os nus e visitar os doentes e presos (</w:t>
      </w:r>
      <w:hyperlink r:id="rId1172">
        <w:r>
          <w:rPr>
            <w:color w:val="0000EE"/>
            <w:u w:val="single"/>
          </w:rPr>
          <w:t>Mateus 25.31–46</w:t>
        </w:r>
      </w:hyperlink>
      <w:r>
        <w:t xml:space="preserve">). Ao longo do NT, há uma ênfase no atendimento compassivo às necessidades físicas e espirituais dos indivíduos, bem como oferecer a si mesmo para atender a essas necessidades. Tal serviço é, em última análise, um ministério ao próprio Cristo (v. </w:t>
      </w:r>
      <w:hyperlink r:id="rId7083">
        <w:r>
          <w:rPr>
            <w:color w:val="0000EE"/>
            <w:u w:val="single"/>
          </w:rPr>
          <w:t>45</w:t>
        </w:r>
      </w:hyperlink>
      <w:r>
        <w:t>).</w:t>
      </w:r>
    </w:p>
    <w:p>
      <w:pPr>
        <w:pStyle w:val="Heading4"/>
      </w:pPr>
      <w:r>
        <w:t>Origem do Ofício</w:t>
      </w:r>
    </w:p>
    <w:p>
      <w:r/>
      <w:r>
        <w:t xml:space="preserve">Alguns estudiosos bíblicos enfatizam um relacionamento entre o </w:t>
      </w:r>
      <w:r>
        <w:rPr>
          <w:i/>
        </w:rPr>
        <w:t>chazan</w:t>
      </w:r>
      <w:r>
        <w:t xml:space="preserve"> da sinagoga judaica e o ofício cristão de diácono. O </w:t>
      </w:r>
      <w:r>
        <w:rPr>
          <w:i/>
        </w:rPr>
        <w:t>chazan</w:t>
      </w:r>
      <w:r>
        <w:t xml:space="preserve"> abria e fechava as portas da sinagoga, a mantinha limpa e distribuia os livros para leitura. Era provavelmente a tal pessoa para quem Jesus entregou o pergaminho de Isaías após terminar sua leitura (</w:t>
      </w:r>
      <w:hyperlink r:id="rId7084">
        <w:r>
          <w:rPr>
            <w:color w:val="0000EE"/>
            <w:u w:val="single"/>
          </w:rPr>
          <w:t>Lucas 4.20</w:t>
        </w:r>
      </w:hyperlink>
      <w:r>
        <w:t>).</w:t>
      </w:r>
    </w:p>
    <w:p>
      <w:r/>
      <w:r>
        <w:t>Outros estudiosos do NT se concentram na seleção dos sete (</w:t>
      </w:r>
      <w:hyperlink r:id="rId1402">
        <w:r>
          <w:rPr>
            <w:color w:val="0000EE"/>
            <w:u w:val="single"/>
          </w:rPr>
          <w:t>Atos 6.1–6</w:t>
        </w:r>
      </w:hyperlink>
      <w:r>
        <w:t>). Eles veem essa ação como um antecessor histórico de uma estrutura mais desenvolvida (</w:t>
      </w:r>
      <w:hyperlink r:id="rId1412">
        <w:r>
          <w:rPr>
            <w:color w:val="0000EE"/>
            <w:u w:val="single"/>
          </w:rPr>
          <w:t>Filipenses 1.1</w:t>
        </w:r>
      </w:hyperlink>
      <w:r>
        <w:t xml:space="preserve">; </w:t>
      </w:r>
      <w:hyperlink r:id="rId7085">
        <w:r>
          <w:rPr>
            <w:color w:val="0000EE"/>
            <w:u w:val="single"/>
          </w:rPr>
          <w:t>1 Timóteo 3.8–13</w:t>
        </w:r>
      </w:hyperlink>
      <w:r>
        <w:t xml:space="preserve"> — as duas referências específicas a um “ofício” de diácono). Lucas dedicou atenção considerável em Atos à seleção de um novo conjunto de líderes da igreja. Sobrecarregados com uma variedade de responsabilidades, os 12 apóstolos propuseram uma divisão do trabalho para garantir o atendimento da igreja às viúvas helenistas (de língua grega) na distribuição diária de comida e esmola. Sete homens de boa reputação, cheios do Espírito e de sabedoria (</w:t>
      </w:r>
      <w:hyperlink r:id="rId7086">
        <w:r>
          <w:rPr>
            <w:color w:val="0000EE"/>
            <w:u w:val="single"/>
          </w:rPr>
          <w:t>Atos 6.3</w:t>
        </w:r>
      </w:hyperlink>
      <w:r>
        <w:t>), posteriormente se tornaram proeminentes na congregação de Jerusalém, fazendo obras de caridade e zelando pelas necessidades físicas.</w:t>
      </w:r>
    </w:p>
    <w:p>
      <w:r/>
      <w:r>
        <w:t xml:space="preserve">Alguns estudiosos advertem que o diaconato não deve ser exclusivamente ligado a obras de caridade, uma vez que a palavra grega usada em </w:t>
      </w:r>
      <w:hyperlink r:id="rId7087">
        <w:r>
          <w:rPr>
            <w:color w:val="0000EE"/>
            <w:u w:val="single"/>
          </w:rPr>
          <w:t>Atos 6.2</w:t>
        </w:r>
      </w:hyperlink>
      <w:r>
        <w:t xml:space="preserve"> está relacionada com a palavra traduzida como “ministério da palavra” no verso </w:t>
      </w:r>
      <w:hyperlink r:id="rId7088">
        <w:r>
          <w:rPr>
            <w:color w:val="0000EE"/>
            <w:u w:val="single"/>
          </w:rPr>
          <w:t>4</w:t>
        </w:r>
      </w:hyperlink>
      <w:r>
        <w:t>. Aqueles escolhidos para supervisionar o atendimento às necessidades físicas eram pessoas de estatura espiritual. Estêvão, por exemplo, “cheio de graça e de poder, fazia prodígios e grandes sinais entre o povo.” (</w:t>
      </w:r>
      <w:hyperlink r:id="rId7089">
        <w:r>
          <w:rPr>
            <w:color w:val="0000EE"/>
            <w:u w:val="single"/>
          </w:rPr>
          <w:t>6.8</w:t>
        </w:r>
      </w:hyperlink>
      <w:r>
        <w:t xml:space="preserve">, NAA). Filipe, nomeado como um dos sete em </w:t>
      </w:r>
      <w:hyperlink r:id="rId2902">
        <w:r>
          <w:rPr>
            <w:color w:val="0000EE"/>
            <w:u w:val="single"/>
          </w:rPr>
          <w:t>Atos 6</w:t>
        </w:r>
      </w:hyperlink>
      <w:r>
        <w:t>, “pregava as boas novas sobre o reino de Deus e o nome de Jesus Cristo” (</w:t>
      </w:r>
      <w:hyperlink r:id="rId7090">
        <w:r>
          <w:rPr>
            <w:color w:val="0000EE"/>
            <w:u w:val="single"/>
          </w:rPr>
          <w:t>8.12</w:t>
        </w:r>
      </w:hyperlink>
      <w:r>
        <w:t xml:space="preserve">). Filipe também batizava (v. </w:t>
      </w:r>
      <w:hyperlink r:id="rId7091">
        <w:r>
          <w:rPr>
            <w:color w:val="0000EE"/>
            <w:u w:val="single"/>
          </w:rPr>
          <w:t>38</w:t>
        </w:r>
      </w:hyperlink>
      <w:r>
        <w:t>) e é citado como um evangelista (</w:t>
      </w:r>
      <w:hyperlink r:id="rId4727">
        <w:r>
          <w:rPr>
            <w:color w:val="0000EE"/>
            <w:u w:val="single"/>
          </w:rPr>
          <w:t>21.8</w:t>
        </w:r>
      </w:hyperlink>
      <w:r>
        <w:t>).</w:t>
      </w:r>
    </w:p>
    <w:p>
      <w:pPr>
        <w:pStyle w:val="Heading3"/>
      </w:pPr>
      <w:r>
        <w:t>Diáconos na Igreja Primitiva</w:t>
      </w:r>
    </w:p>
    <w:p>
      <w:r/>
      <w:r>
        <w:t xml:space="preserve">Aqueles que citam </w:t>
      </w:r>
      <w:hyperlink r:id="rId2902">
        <w:r>
          <w:rPr>
            <w:color w:val="0000EE"/>
            <w:u w:val="single"/>
          </w:rPr>
          <w:t>Atos 6</w:t>
        </w:r>
      </w:hyperlink>
      <w:r>
        <w:t xml:space="preserve"> como um estágio preliminar do ofício de diácono se referem à propagação da prática da igreja em Jerusalém para as congregações gentias que surgiam em outros lugares. Muitas igrejas provavelmente tomaram a nomeação dos “sete de Jerusalém” como um padrão a seguir, algumas até adotando o número sete. Em uma carta do papa do terceiro século Cornélio, por exemplo, foi dito à igreja de Roma que mantivesse o número de diáconos em sete.</w:t>
      </w:r>
    </w:p>
    <w:p>
      <w:r/>
      <w:r>
        <w:t xml:space="preserve">No momento em que a igreja de Filipos recebeu suas instruções do apóstolo Paulo (cerca de 62 d.C.) e Timóteo tinha a primeira carta de Paulo em mãos, “diácono” já havia se tornado um termo técnico que se referia a um ofício específico nas igrejas. Em </w:t>
      </w:r>
      <w:hyperlink r:id="rId1412">
        <w:r>
          <w:rPr>
            <w:color w:val="0000EE"/>
            <w:u w:val="single"/>
          </w:rPr>
          <w:t>Filipenses 1.1</w:t>
        </w:r>
      </w:hyperlink>
      <w:r>
        <w:t xml:space="preserve"> Paulo se dirigiu à igreja em geral e então acrescentou “com os bispos e diáconos”. Alguns intérpretes consideram que é um estabelecimento claro de dois grupos distintos dentro do corpo maior da igreja, embora nenhuma descrição adicional seja dada. Possivelmente os diáconos dessa congregação eram responsáveis por coletar e então despachar as referidas ofertas (</w:t>
      </w:r>
      <w:hyperlink r:id="rId7092">
        <w:r>
          <w:rPr>
            <w:color w:val="0000EE"/>
            <w:u w:val="single"/>
          </w:rPr>
          <w:t>Fp 4.14–18</w:t>
        </w:r>
      </w:hyperlink>
      <w:r>
        <w:t>).</w:t>
      </w:r>
    </w:p>
    <w:p>
      <w:r/>
      <w:r>
        <w:t xml:space="preserve">Em </w:t>
      </w:r>
      <w:hyperlink r:id="rId7085">
        <w:r>
          <w:rPr>
            <w:color w:val="0000EE"/>
            <w:u w:val="single"/>
          </w:rPr>
          <w:t>1 Timóteo 3.8–13</w:t>
        </w:r>
      </w:hyperlink>
      <w:r>
        <w:t xml:space="preserve">, instruções são dadas sobre as qualificações necessárias para o ofício de diácono. Embora esse seja o tratamento mais detalhado do assunto no NT, ainda é bastante incerto. A maioria das qualificações, ao lidarem com o caráter e o comportamento pessoal, são semelhantes às de um bispo. Por exemplo, um diácono deve ser verdadeiro, monogâmico, “não viciado em muito vinho” e um pai responsável. O verso </w:t>
      </w:r>
      <w:hyperlink r:id="rId7093">
        <w:r>
          <w:rPr>
            <w:color w:val="0000EE"/>
            <w:u w:val="single"/>
          </w:rPr>
          <w:t>11</w:t>
        </w:r>
      </w:hyperlink>
      <w:r>
        <w:t>, ao exigir que as mulheres sejam "respeitáveis, não maldizentes, temperantes e fiéis em tudo.” (ARA), pode se referir não às esposas dos diáconos, mas às diaconisas, conforme várias traduções observam (Nova Versão Internacional, Nova Bíblia em Inglês). De qualquer maneira, fica claro que as mulheres participaram do trabalho do diaconato.</w:t>
      </w:r>
    </w:p>
    <w:p>
      <w:r/>
      <w:r>
        <w:t>Em contraste com o ofício de bispo (</w:t>
      </w:r>
      <w:hyperlink r:id="rId3796">
        <w:r>
          <w:rPr>
            <w:color w:val="0000EE"/>
            <w:u w:val="single"/>
          </w:rPr>
          <w:t>1 Timóteo 3.2</w:t>
        </w:r>
      </w:hyperlink>
      <w:r>
        <w:t xml:space="preserve">), os diáconos não são descritos como aqueles que fornecem ensino ou hospitalidade. Na verdade, nenhuma menção é feita de quaisquer qualificações funcionais que possam esclarecer os papéis dos diáconos ou diaconisas na igreja primitiva. As qualificações de caráter listadas são apropriadas para aqueles com responsabilidades monetárias e administrativas (como </w:t>
      </w:r>
      <w:hyperlink r:id="rId1402">
        <w:r>
          <w:rPr>
            <w:color w:val="0000EE"/>
            <w:u w:val="single"/>
          </w:rPr>
          <w:t>Atos 6.1–6</w:t>
        </w:r>
      </w:hyperlink>
      <w:r>
        <w:t xml:space="preserve"> sugere). É dito a Timóteo que bons diáconos não ficarão sem recompensa; não apenas sua fé aumentará, mas também sua boa posição entre aqueles a quem eles servem (</w:t>
      </w:r>
      <w:hyperlink r:id="rId7094">
        <w:r>
          <w:rPr>
            <w:color w:val="0000EE"/>
            <w:u w:val="single"/>
          </w:rPr>
          <w:t>1 Timóteo 3.13</w:t>
        </w:r>
      </w:hyperlink>
      <w:r>
        <w:t>).</w:t>
      </w:r>
    </w:p>
    <w:p>
      <w:r/>
      <w:r>
        <w:t xml:space="preserve">O ofício de diácono diferia do ofício de presbítero, que foi adaptado de um padrão judaico definido no AT (veja </w:t>
      </w:r>
      <w:hyperlink r:id="rId1368">
        <w:r>
          <w:rPr>
            <w:color w:val="0000EE"/>
            <w:u w:val="single"/>
          </w:rPr>
          <w:t>Números 11.16–17</w:t>
        </w:r>
      </w:hyperlink>
      <w:r>
        <w:t xml:space="preserve">; </w:t>
      </w:r>
      <w:hyperlink r:id="rId7095">
        <w:r>
          <w:rPr>
            <w:color w:val="0000EE"/>
            <w:u w:val="single"/>
          </w:rPr>
          <w:t>Deuteronômio 29.10</w:t>
        </w:r>
      </w:hyperlink>
      <w:r>
        <w:t>). O diaconato, por outro lado, se desenvolveu a partir do exemplo forte, pessoal e histórico de Jesus, o servo que satisfez de forma compassiva as necessidades humanas concretas.</w:t>
      </w:r>
    </w:p>
    <w:p>
      <w:r/>
      <w:r>
        <w:t>À medida que o ofício de diácono se tornou mais firmemente estabelecido, seus deveres puderam ser definidos como aqueles de assistência pastoral. Os pobres e os doentes recebiam seu serviço não apenas fisicamente, mas também com instrução e consolação. As casas dos membros da igreja se tornaram território familiar de um diácono ou diaconisa. Um padrão de visitação foi estabelecido para descobrir e então atender às necessidades do corpo da igreja em geral. Embora isso incluísse a administração de fundos, ia muito, além disso. Aqueles que serviam como diáconos e diaconisas sem dúvida se tornaram símbolos de amor pela igreja em geral.</w:t>
      </w:r>
    </w:p>
    <w:p>
      <w:r/>
      <w:r>
        <w:t>É difícil de determinar onde o ofício de diácono se encaixa no padrão maior de ordem da igreja dentro do NT devido à óbvia variedade presente durante os anos formativos. Alguns historiadores da igreja concluem que à medida que a estrutura eclesiástica se desenvolvia, os anciãos passaram a fornecer liderança congregacional. Os diáconos os assistiam, especialmente nos serviços sociais e no cuidado pastoral. O final do primeiro e o início do segundo século testemunharam um ministério distinto de diáconos, anciões (presbíteros) e bispos. Os bispos ou “superintendentes” começaram a exercer autoridade sobre áreas ou grupos de igrejas.</w:t>
      </w:r>
    </w:p>
    <w:p>
      <w:pPr>
        <w:pStyle w:val="Heading3"/>
      </w:pPr>
      <w:r>
        <w:t>Diaconisa</w:t>
      </w:r>
    </w:p>
    <w:p>
      <w:r/>
      <w:r>
        <w:t>Onde as mulheres se encaixavam no ministério da igreja primitiva? A inclusão de Paulo de referências às mulheres no ministério é impressionante quando comparada com o papel das mulheres em geral no primeiro século. Ele elogiou Febe por seu serviço na igreja em Cencreia, usando a palavra “diácono” para descrevê-la (</w:t>
      </w:r>
      <w:hyperlink r:id="rId4383">
        <w:r>
          <w:rPr>
            <w:color w:val="0000EE"/>
            <w:u w:val="single"/>
          </w:rPr>
          <w:t>Romanos 16.1</w:t>
        </w:r>
      </w:hyperlink>
      <w:r>
        <w:t xml:space="preserve">). Ele a elogiou como uma “ajudadora” (v. </w:t>
      </w:r>
      <w:hyperlink r:id="rId7096">
        <w:r>
          <w:rPr>
            <w:color w:val="0000EE"/>
            <w:u w:val="single"/>
          </w:rPr>
          <w:t>2</w:t>
        </w:r>
      </w:hyperlink>
      <w:r>
        <w:t xml:space="preserve">), uma palavra que denota qualidades de liderança (cf. </w:t>
      </w:r>
      <w:hyperlink r:id="rId1410">
        <w:r>
          <w:rPr>
            <w:color w:val="0000EE"/>
            <w:u w:val="single"/>
          </w:rPr>
          <w:t>Romanos 12.8</w:t>
        </w:r>
      </w:hyperlink>
      <w:r>
        <w:t xml:space="preserve">; </w:t>
      </w:r>
      <w:hyperlink r:id="rId7097">
        <w:r>
          <w:rPr>
            <w:color w:val="0000EE"/>
            <w:u w:val="single"/>
          </w:rPr>
          <w:t>1 Timóteo 3.4–5</w:t>
        </w:r>
      </w:hyperlink>
      <w:r>
        <w:t>). Alguns estudiosos usaram essa referência como um exemplo de desenvolvimento inicial do ofício de diaconisa. Outros interpretaram em um sentido não técnico, significando que Febe atuava em um papel de serviço geral, e, portanto, era digna de reconhecimento em Roma. Quer “diácono” tenha sido usado tecnica ou descritivamente, entende-se que o ministério tanto para mulheres quanto para homens no NT foi padronizado pelo exemplo de Jesus, que “não veio para ser servido, mas para servir” (</w:t>
      </w:r>
      <w:hyperlink r:id="rId921">
        <w:r>
          <w:rPr>
            <w:color w:val="0000EE"/>
            <w:u w:val="single"/>
          </w:rPr>
          <w:t>Marcos 10.45</w:t>
        </w:r>
      </w:hyperlink>
      <w:r>
        <w:t>). Por causa do grande número de convertidos do sexo feminino (</w:t>
      </w:r>
      <w:hyperlink r:id="rId6068">
        <w:r>
          <w:rPr>
            <w:color w:val="0000EE"/>
            <w:u w:val="single"/>
          </w:rPr>
          <w:t>Atos 5.14</w:t>
        </w:r>
      </w:hyperlink>
      <w:r>
        <w:t xml:space="preserve">; </w:t>
      </w:r>
      <w:hyperlink r:id="rId7098">
        <w:r>
          <w:rPr>
            <w:color w:val="0000EE"/>
            <w:u w:val="single"/>
          </w:rPr>
          <w:t>17.4</w:t>
        </w:r>
      </w:hyperlink>
      <w:r>
        <w:t>), as mulheres atuavam em áreas de ministério como visitação, instrução no discipulado e assistência no batismo. As diaconisas são mencionadas nos documentos do terceiro século como administrando o batismo às mulheres convertidas.</w:t>
      </w:r>
    </w:p>
    <w:p>
      <w:r/>
      <w:r>
        <w:rPr>
          <w:i/>
        </w:rPr>
        <w:t>Veja também</w:t>
      </w:r>
      <w:r>
        <w:t xml:space="preserve"> </w:t>
      </w:r>
      <w:r>
        <w:t>Bispo</w:t>
      </w:r>
      <w:r>
        <w:t xml:space="preserve">; </w:t>
      </w:r>
      <w:r>
        <w:t>Ancião</w:t>
      </w:r>
      <w:r>
        <w:t xml:space="preserve">; </w:t>
      </w:r>
      <w:r>
        <w:t>Pastor</w:t>
      </w:r>
      <w:r>
        <w:t xml:space="preserve">; </w:t>
      </w:r>
      <w:r>
        <w:t>Presbítero</w:t>
      </w:r>
      <w:r>
        <w:t>.</w:t>
      </w:r>
      <w:r/>
      <w:r/>
    </w:p>
    <w:p>
      <w:r/>
    </w:p>
    <w:p>
      <w:pPr>
        <w:pStyle w:val="Heading2"/>
      </w:pPr>
      <w:r>
        <w:t>Diana</w:t>
      </w:r>
      <w:r/>
    </w:p>
    <w:p>
      <w:r/>
      <w:r>
        <w:t>Nome romano para a deusa mitológica grega Ártemis, filha de Júpiter e Latona e irmã gêmea de Apolo. Ela renunciou a toda ideia de casamento, supostamente porque ficou horrorizada com as dores de parto que sua mãe sofreu ao dar à luz, e permaneceu como a deusa virgem inalcançável. Embora fosse a deusa da lua, Diana era mais frequentemente retratada como a caçadora com dois cães ao seu lado.</w:t>
      </w:r>
    </w:p>
    <w:p>
      <w:r/>
      <w:r>
        <w:t>O Templo de Diana em Éfeso era uma das sete maravilhas do mundo antigo. O impressionante edifício era sustentado por 100 grandes colunas. A lenda local dizia que sua estátua caiu do céu (</w:t>
      </w:r>
      <w:hyperlink r:id="rId7099">
        <w:r>
          <w:rPr>
            <w:color w:val="0000EE"/>
            <w:u w:val="single"/>
          </w:rPr>
          <w:t>At 19.35</w:t>
        </w:r>
      </w:hyperlink>
      <w:r>
        <w:t>). Isso pode ter sido uma referência a um meteorito. Plínio descreveu uma grande pedra sobre a entrada, que, segundo a tradição, havia sido colocada por Diana. Cerimônias e serviços de adoração em sua honra eram conduzidos por sacerdotes eunucos.</w:t>
      </w:r>
    </w:p>
    <w:p>
      <w:r/>
      <w:r>
        <w:t>Entre as estátuas que foram escavadas, algumas mostram Diana como uma fêmea com múltiplos seios; outras mostram um santuário com a deusa acompanhada por leões. Modelos do templo eram vendidos como souvenirs (lembranças) pelos ourives, que estavam relutantes em ver qualquer diminuição desse comércio lucrativo quando Paulo começou sua pregação em Éfeso (</w:t>
      </w:r>
      <w:hyperlink r:id="rId7100">
        <w:r>
          <w:rPr>
            <w:color w:val="0000EE"/>
            <w:u w:val="single"/>
          </w:rPr>
          <w:t>At 19.23–20.1</w:t>
        </w:r>
      </w:hyperlink>
      <w:r>
        <w:t>). O descontentamento e a agitação dos ourives levaram ao tumulto da multidão, culminando no clamor “Grande é a Diana dos efésios” (</w:t>
      </w:r>
      <w:hyperlink r:id="rId7101">
        <w:r>
          <w:rPr>
            <w:color w:val="0000EE"/>
            <w:u w:val="single"/>
          </w:rPr>
          <w:t>19.28,34</w:t>
        </w:r>
      </w:hyperlink>
      <w:r>
        <w:t>, ARC). Inscrições no Museu Britânico referem-se à deusa como “Ártemis a Grande”. Se os ourives devem ser acreditados, ela era adorada em todo o mundo conhecido. A forma de adoração não é conhecida com certeza, mas a adoração da deusa Diana pode ter sido associada a um culto de fertilidade.</w:t>
      </w:r>
      <w:r/>
      <w:r/>
    </w:p>
    <w:p>
      <w:r/>
    </w:p>
    <w:p>
      <w:pPr>
        <w:pStyle w:val="Heading2"/>
      </w:pPr>
      <w:r>
        <w:t>Diáspora dos judeus</w:t>
      </w:r>
      <w:r/>
    </w:p>
    <w:p>
      <w:r/>
      <w:r>
        <w:t>A dispersão do povo judeu de Israel para outros países é conhecida como a diáspora. Diáspora é um substantivo grego que significa "semeadura" ou "dispersão". Na Septuaginta (uma antiga tradução grega da Bíblia Hebraica), muitas vezes significa "exílio" (</w:t>
      </w:r>
      <w:hyperlink r:id="rId7102">
        <w:r>
          <w:rPr>
            <w:color w:val="0000EE"/>
            <w:u w:val="single"/>
          </w:rPr>
          <w:t>Jr 25.34</w:t>
        </w:r>
      </w:hyperlink>
      <w:r>
        <w:t xml:space="preserve">; veja também </w:t>
      </w:r>
      <w:hyperlink r:id="rId3053">
        <w:r>
          <w:rPr>
            <w:color w:val="0000EE"/>
            <w:u w:val="single"/>
          </w:rPr>
          <w:t>Is 11.12</w:t>
        </w:r>
      </w:hyperlink>
      <w:r>
        <w:t xml:space="preserve">; </w:t>
      </w:r>
      <w:hyperlink r:id="rId7103">
        <w:r>
          <w:rPr>
            <w:color w:val="0000EE"/>
            <w:u w:val="single"/>
          </w:rPr>
          <w:t>Ez 20.23</w:t>
        </w:r>
      </w:hyperlink>
      <w:r>
        <w:t xml:space="preserve">; </w:t>
      </w:r>
      <w:hyperlink r:id="rId7104">
        <w:r>
          <w:rPr>
            <w:color w:val="0000EE"/>
            <w:u w:val="single"/>
          </w:rPr>
          <w:t>Sf 3.10</w:t>
        </w:r>
      </w:hyperlink>
      <w:r>
        <w:t>). A palavra aparece duas vezes no Novo Testamento, onde se refere a judeus cristãos vivendo fora da Palestina devido a várias dispersões na história de Israel (</w:t>
      </w:r>
      <w:hyperlink r:id="rId7105">
        <w:r>
          <w:rPr>
            <w:color w:val="0000EE"/>
            <w:u w:val="single"/>
          </w:rPr>
          <w:t>Tg 1.1</w:t>
        </w:r>
      </w:hyperlink>
      <w:r>
        <w:t xml:space="preserve">; </w:t>
      </w:r>
      <w:hyperlink r:id="rId2751">
        <w:r>
          <w:rPr>
            <w:color w:val="0000EE"/>
            <w:u w:val="single"/>
          </w:rPr>
          <w:t>1Pe 1.1</w:t>
        </w:r>
      </w:hyperlink>
      <w:r>
        <w:t>). Diáspora pode às vezes referir-se ao povo exilado ou ao local de exílio.</w:t>
      </w:r>
    </w:p>
    <w:p>
      <w:pPr>
        <w:pStyle w:val="Heading3"/>
      </w:pPr>
      <w:r>
        <w:t>Principais diásporas</w:t>
      </w:r>
    </w:p>
    <w:p>
      <w:r/>
      <w:r>
        <w:t>Começando no final do oitavo século a.C., a história judaica passou por várias dispersões importantes (movimentos forçados de pessoas).</w:t>
      </w:r>
    </w:p>
    <w:p>
      <w:pPr>
        <w:pStyle w:val="Heading4"/>
      </w:pPr>
      <w:r>
        <w:t>Diáspora do reino do norte</w:t>
      </w:r>
    </w:p>
    <w:p>
      <w:r/>
      <w:r>
        <w:t>Após a morte de Salomão, seu reino se dividiu em dois. O reino do norte de Israel afundou ainda mais na idolatria e imoralidade (</w:t>
      </w:r>
      <w:hyperlink r:id="rId7106">
        <w:r>
          <w:rPr>
            <w:color w:val="0000EE"/>
            <w:u w:val="single"/>
          </w:rPr>
          <w:t>2Rs 17.14–18</w:t>
        </w:r>
      </w:hyperlink>
      <w:r>
        <w:t>). Jeroboão, o primeiro rei de Israel dividido, iniciou um padrão de abandono da fé. Epitáfios para reis posteriores frequentemente notavam que o governante "nem abandonou aqueles mesmos pecados que Jeroboão havia feito" (</w:t>
      </w:r>
      <w:hyperlink r:id="rId7107">
        <w:r>
          <w:rPr>
            <w:color w:val="0000EE"/>
            <w:u w:val="single"/>
          </w:rPr>
          <w:t>2Rs 10.31</w:t>
        </w:r>
      </w:hyperlink>
      <w:r>
        <w:t xml:space="preserve">; </w:t>
      </w:r>
      <w:hyperlink r:id="rId7108">
        <w:r>
          <w:rPr>
            <w:color w:val="0000EE"/>
            <w:u w:val="single"/>
          </w:rPr>
          <w:t>13.11</w:t>
        </w:r>
      </w:hyperlink>
      <w:r>
        <w:t xml:space="preserve">; </w:t>
      </w:r>
      <w:hyperlink r:id="rId7109">
        <w:r>
          <w:rPr>
            <w:color w:val="0000EE"/>
            <w:u w:val="single"/>
          </w:rPr>
          <w:t>14.24</w:t>
        </w:r>
      </w:hyperlink>
      <w:r>
        <w:t xml:space="preserve">; </w:t>
      </w:r>
      <w:hyperlink r:id="rId7110">
        <w:r>
          <w:rPr>
            <w:color w:val="0000EE"/>
            <w:u w:val="single"/>
          </w:rPr>
          <w:t>15.9,18,24,28</w:t>
        </w:r>
      </w:hyperlink>
      <w:r>
        <w:t>). A Assíria conquistou o reino do norte em 722 a.C. e exilou mais de 27.000 israelitas, conforme previsto (</w:t>
      </w:r>
      <w:hyperlink r:id="rId7111">
        <w:r>
          <w:rPr>
            <w:color w:val="0000EE"/>
            <w:u w:val="single"/>
          </w:rPr>
          <w:t>2Rs 17.23</w:t>
        </w:r>
      </w:hyperlink>
      <w:r>
        <w:t>). Eles foram assentados em cidades ao longo dos ramos do Rio Eufrates e na Média. Assírios de cidades ao redor da Babilônia então colonizaram Israel (</w:t>
      </w:r>
      <w:hyperlink r:id="rId7112">
        <w:r>
          <w:rPr>
            <w:color w:val="0000EE"/>
            <w:u w:val="single"/>
          </w:rPr>
          <w:t>2Rs 17.6,24</w:t>
        </w:r>
      </w:hyperlink>
      <w:r>
        <w:t>).</w:t>
      </w:r>
    </w:p>
    <w:p>
      <w:pPr>
        <w:pStyle w:val="Heading4"/>
      </w:pPr>
      <w:r>
        <w:t>Diáspora do reino do sul</w:t>
      </w:r>
    </w:p>
    <w:p>
      <w:r/>
      <w:r>
        <w:t>O reino do sul de Judá enfrentou o exílio na Babilônia ao leste e o Egito ao sul. O rei Nabucodonosor da Babilônia capturou os judeus durante várias campanhas de 605 a.C. até que Jerusalém caiu em 586 a.C. A primeira deportação para a Babilônia levou tesouros do templo e do palácio de Jerusalém, junto com "todos os príncipes e todos os cidadãos mais importantes, dez mil pessoas ao todo. Levou também todos os artesãos, incluindo os ferreiros. Ficaram em Judá somente as pessoas mais pobres." (</w:t>
      </w:r>
      <w:hyperlink r:id="rId7113">
        <w:r>
          <w:rPr>
            <w:color w:val="0000EE"/>
            <w:u w:val="single"/>
          </w:rPr>
          <w:t>2Rs 24.12–14</w:t>
        </w:r>
      </w:hyperlink>
      <w:r>
        <w:t xml:space="preserve">; veja também </w:t>
      </w:r>
      <w:hyperlink r:id="rId7114">
        <w:r>
          <w:rPr>
            <w:color w:val="0000EE"/>
            <w:u w:val="single"/>
          </w:rPr>
          <w:t>2Cr 36.10</w:t>
        </w:r>
      </w:hyperlink>
      <w:r>
        <w:t xml:space="preserve">; </w:t>
      </w:r>
      <w:hyperlink r:id="rId7115">
        <w:r>
          <w:rPr>
            <w:color w:val="0000EE"/>
            <w:u w:val="single"/>
          </w:rPr>
          <w:t>Jr 52.29,30</w:t>
        </w:r>
      </w:hyperlink>
      <w:r>
        <w:t>).</w:t>
      </w:r>
    </w:p>
    <w:p>
      <w:r/>
      <w:r>
        <w:t>Um ano depois, uma segunda expedição focou no rebelde rei vassalo judeu Zedequias e seus filhos (</w:t>
      </w:r>
      <w:hyperlink r:id="rId7116">
        <w:r>
          <w:rPr>
            <w:color w:val="0000EE"/>
            <w:u w:val="single"/>
          </w:rPr>
          <w:t>2Rs 25.1,6,7</w:t>
        </w:r>
      </w:hyperlink>
      <w:r>
        <w:t xml:space="preserve">; </w:t>
      </w:r>
      <w:hyperlink r:id="rId7117">
        <w:r>
          <w:rPr>
            <w:color w:val="0000EE"/>
            <w:u w:val="single"/>
          </w:rPr>
          <w:t>Jr 52.4–11</w:t>
        </w:r>
      </w:hyperlink>
      <w:r>
        <w:t>). (Um rei vassalo é um governante sob a autoridade de outro rei). No 19º ano do reinado de Nabucodonosor, a Babilônia atacou Judá pela terceira vez. Eles destruíram o templo, o palácio do rei e derrubaram as muralhas da cidade. Eles levaram todos cativos, exceto as pessoas mais pobres (</w:t>
      </w:r>
      <w:hyperlink r:id="rId7118">
        <w:r>
          <w:rPr>
            <w:color w:val="0000EE"/>
            <w:u w:val="single"/>
          </w:rPr>
          <w:t>2Rs 25.8–21</w:t>
        </w:r>
      </w:hyperlink>
      <w:r>
        <w:t xml:space="preserve">; </w:t>
      </w:r>
      <w:hyperlink r:id="rId7119">
        <w:r>
          <w:rPr>
            <w:color w:val="0000EE"/>
            <w:u w:val="single"/>
          </w:rPr>
          <w:t>Jr 52.12–16</w:t>
        </w:r>
      </w:hyperlink>
      <w:r>
        <w:t>).</w:t>
      </w:r>
    </w:p>
    <w:p>
      <w:r/>
      <w:r>
        <w:t>Sisaque, o rei do Egito, exilou pessoas de Judá já no século décimo a.C. Judá perdeu pessoas e ouro do templo naquela época (</w:t>
      </w:r>
      <w:hyperlink r:id="rId7120">
        <w:r>
          <w:rPr>
            <w:color w:val="0000EE"/>
            <w:u w:val="single"/>
          </w:rPr>
          <w:t>1Rs 14.25,26</w:t>
        </w:r>
      </w:hyperlink>
      <w:r>
        <w:t xml:space="preserve">; </w:t>
      </w:r>
      <w:hyperlink r:id="rId7121">
        <w:r>
          <w:rPr>
            <w:color w:val="0000EE"/>
            <w:u w:val="single"/>
          </w:rPr>
          <w:t>2Cr 12.9</w:t>
        </w:r>
      </w:hyperlink>
      <w:r>
        <w:t>). Cerca de 400 anos depois, Joanã, um homem de Judá, tentou escapar de Nabucodonosor fugindo para o Egito. Joanã forçou Jeremias e outros judeus a irem com ele, e eles se estabeleceram em Migdol, Tafnes e Mênfis. No entanto, os babilônios os seguiram, tomaram o controle do Egito e executaram muitos judeus lá (</w:t>
      </w:r>
      <w:hyperlink r:id="rId7122">
        <w:r>
          <w:rPr>
            <w:color w:val="0000EE"/>
            <w:u w:val="single"/>
          </w:rPr>
          <w:t>Jr 43.5–44.30</w:t>
        </w:r>
      </w:hyperlink>
      <w:r>
        <w:t>). Registros de propriedade e artefatos de altar sugerem que os poucos exilados sobreviventes estabeleceram colônias permanentes no Egito (</w:t>
      </w:r>
      <w:hyperlink r:id="rId7123">
        <w:r>
          <w:rPr>
            <w:color w:val="0000EE"/>
            <w:u w:val="single"/>
          </w:rPr>
          <w:t>Is 19.18,19</w:t>
        </w:r>
      </w:hyperlink>
      <w:r>
        <w:t>).</w:t>
      </w:r>
    </w:p>
    <w:p>
      <w:pPr>
        <w:pStyle w:val="Heading4"/>
      </w:pPr>
      <w:r>
        <w:t>Outras diásporas</w:t>
      </w:r>
    </w:p>
    <w:p>
      <w:r/>
      <w:r>
        <w:t>O rei egípcio Ptolemeu I, que governou de 323 a 285 a.C., capturou muitos judeus e os levou para o Egito por volta de 300 a.C. Esses exilados se estabeleceram em Alexandria, que se tornou conhecida pelo conhecimento grego e judaico. Em outro lugar, Antíoco III da Síria, que governou de 223 a 187 a.C., moveu grandes grupos de judeus da Babilônia para a Frígia e Lídia. Os romanos também realocaram um número significativo de judeus para Roma. O general romano Pompeu levou muitos judeus para lá como escravos no primeiro século a.C.</w:t>
      </w:r>
    </w:p>
    <w:p>
      <w:r/>
      <w:r>
        <w:t>O livro de Atos do Novo Testamento mostra quão amplamente os judeus estavam dispersos. Lucas lista visitantes a Jerusalém: partos, medos, elamitas, pessoas da Mesopotâmia, Judeia, Capadócia, Ponto, a província da Ásia, Frígia, Panfília, Egito, áreas da Líbia perto de Cirene, visitantes de Roma (tanto judeus quanto convertidos ao judaísmo), cretenses e árabes (</w:t>
      </w:r>
      <w:hyperlink r:id="rId7124">
        <w:r>
          <w:rPr>
            <w:color w:val="0000EE"/>
            <w:u w:val="single"/>
          </w:rPr>
          <w:t>At 2.9–11</w:t>
        </w:r>
      </w:hyperlink>
      <w:r>
        <w:t>). Esses judeus da "diáspora" estavam em Jerusalém para celebrar a Festa de Pentecostes.</w:t>
      </w:r>
    </w:p>
    <w:p>
      <w:r/>
      <w:r>
        <w:t>Comunidades judaicas existiam nas cidades macedônias que o apóstolo Paulo visitou durante suas jornadas missionárias: Tessalônica, Bereia e Corinto (</w:t>
      </w:r>
      <w:hyperlink r:id="rId7125">
        <w:r>
          <w:rPr>
            <w:color w:val="0000EE"/>
            <w:u w:val="single"/>
          </w:rPr>
          <w:t>At 17.1,10</w:t>
        </w:r>
      </w:hyperlink>
      <w:r>
        <w:t xml:space="preserve">; </w:t>
      </w:r>
      <w:hyperlink r:id="rId7126">
        <w:r>
          <w:rPr>
            <w:color w:val="0000EE"/>
            <w:u w:val="single"/>
          </w:rPr>
          <w:t>18.2–4</w:t>
        </w:r>
      </w:hyperlink>
      <w:r>
        <w:t>). Por volta do meio do primeiro século d.C., o Imperador Romano Cláudio ordenou que todos os judeus deixassem Roma (</w:t>
      </w:r>
      <w:hyperlink r:id="rId3066">
        <w:r>
          <w:rPr>
            <w:color w:val="0000EE"/>
            <w:u w:val="single"/>
          </w:rPr>
          <w:t>At 18.2</w:t>
        </w:r>
      </w:hyperlink>
      <w:r>
        <w:t>). Os estudiosos estimam que a população judaica na Palestina na época do nascimento de Jesus era de cerca de quatro a seis milhões. A população judaica fora da Palestina era várias vezes maior, com comunidades de mais de um milhão cada prosperando na Ásia Menor, Mesopotâmia e Alexandria. Hoje, mesmo com uma pátria nacional, mais judeus vivem fora de Israel do que dentro.</w:t>
      </w:r>
    </w:p>
    <w:p>
      <w:r/>
      <w:r>
        <w:t>Apesar de sua dispersão, os judeus de diferentes diásporas mantiveram semelhanças com os judeus palestinos por meio de várias práticas:</w:t>
      </w:r>
    </w:p>
    <w:p>
      <w:pPr>
        <w:pStyle w:val="ListNumber"/>
        <w:spacing w:line="240" w:lineRule="auto"/>
        <w:ind w:left="720"/>
      </w:pPr>
      <w:r/>
      <w:r>
        <w:t>Eles continuaram a observar as principais festas nacionais de páscoa, colheita e tabernáculos (</w:t>
      </w:r>
      <w:hyperlink r:id="rId7127">
        <w:r>
          <w:rPr>
            <w:color w:val="0000EE"/>
            <w:u w:val="single"/>
          </w:rPr>
          <w:t>Êx 23.12–17</w:t>
        </w:r>
      </w:hyperlink>
      <w:r>
        <w:t xml:space="preserve">; </w:t>
      </w:r>
      <w:hyperlink r:id="rId6994">
        <w:r>
          <w:rPr>
            <w:color w:val="0000EE"/>
            <w:u w:val="single"/>
          </w:rPr>
          <w:t>Dt 16.1–17</w:t>
        </w:r>
      </w:hyperlink>
      <w:r>
        <w:t>). Eles as celebravam mesmo enquanto viviam no exterior;</w:t>
      </w:r>
    </w:p>
    <w:p>
      <w:pPr>
        <w:pStyle w:val="ListNumber"/>
        <w:spacing w:line="240" w:lineRule="auto"/>
        <w:ind w:left="720"/>
      </w:pPr>
      <w:r/>
      <w:r>
        <w:t>As comunidades judaicas em terras estrangeiras coletavam o imposto do templo para a manutenção do templo (</w:t>
      </w:r>
      <w:hyperlink r:id="rId4136">
        <w:r>
          <w:rPr>
            <w:color w:val="0000EE"/>
            <w:u w:val="single"/>
          </w:rPr>
          <w:t>Êx 30.11–16</w:t>
        </w:r>
      </w:hyperlink>
      <w:r>
        <w:t>), mesmo depois que o templo foi destruído;</w:t>
      </w:r>
    </w:p>
    <w:p>
      <w:pPr>
        <w:pStyle w:val="ListNumber"/>
        <w:spacing w:line="240" w:lineRule="auto"/>
        <w:ind w:left="720"/>
      </w:pPr>
      <w:r/>
      <w:r>
        <w:t>Todos os judeus, em todos os lugares, reconheciam a autoridade do Sinédrio (o conselho religioso judaico).</w:t>
      </w:r>
    </w:p>
    <w:p>
      <w:pPr>
        <w:pStyle w:val="Heading4"/>
      </w:pPr>
      <w:r>
        <w:t>Aspectos positivos</w:t>
      </w:r>
    </w:p>
    <w:p>
      <w:r/>
      <w:r>
        <w:t>No exílio, os judeus deixaram de adorar ídolos, o que os havia afastado de Deus. O exílio os levou a criar sinagogas para oração e educação. Os judeus em Alexandria traduziram as escrituras do Antigo Testamento para o grego, a língua internacional daquela época. Essa tradução, chamada Septuaginta, foi frequentemente usada pelos escritores do Novo Testamento.</w:t>
      </w:r>
    </w:p>
    <w:p>
      <w:r/>
      <w:r>
        <w:t>Do ponto de vista cristão, as comunidades judaicas dispersas eram importantes. Elas serviam como bases estratégicas para a propagação do cristianismo, que logo alcançou o mundo não-judeu ao redor. Assim, Deus usou essas dispersões para levar o evangelho aos não-judeus (</w:t>
      </w:r>
      <w:hyperlink r:id="rId7128">
        <w:r>
          <w:rPr>
            <w:color w:val="0000EE"/>
            <w:u w:val="single"/>
          </w:rPr>
          <w:t>Rm 1.11–15</w:t>
        </w:r>
      </w:hyperlink>
      <w:r>
        <w:t xml:space="preserve">; </w:t>
      </w:r>
      <w:hyperlink r:id="rId7129">
        <w:r>
          <w:rPr>
            <w:color w:val="0000EE"/>
            <w:u w:val="single"/>
          </w:rPr>
          <w:t>1Co 10.11–12</w:t>
        </w:r>
      </w:hyperlink>
      <w:r>
        <w:t>).</w:t>
      </w:r>
    </w:p>
    <w:p>
      <w:r/>
      <w:r>
        <w:t>As artes, ciências e humanidades têm se beneficiado enormemente das contribuições judaicas na cultura ocidental. Apesar de enfrentarem intensa discriminação, os judeus ofereceram notáveis presentes culturais. Embora a igreja de Jesus Cristo seja considerada um "novo Israel" e uma "raça escolhida" (</w:t>
      </w:r>
      <w:hyperlink r:id="rId3643">
        <w:r>
          <w:rPr>
            <w:color w:val="0000EE"/>
            <w:u w:val="single"/>
          </w:rPr>
          <w:t>1Pe 2.9</w:t>
        </w:r>
      </w:hyperlink>
      <w:r>
        <w:t>), a história e as escrituras sugerem que Deus ainda tem um interesse especial nos judeus.</w:t>
      </w:r>
    </w:p>
    <w:p>
      <w:r/>
      <w:r>
        <w:rPr>
          <w:i/>
        </w:rPr>
        <w:t>Veja também</w:t>
      </w:r>
      <w:r>
        <w:t xml:space="preserve"> </w:t>
      </w:r>
      <w:r>
        <w:t>ISRAEL, História de</w:t>
      </w:r>
      <w:r>
        <w:t xml:space="preserve">; </w:t>
      </w:r>
      <w:r>
        <w:t>Período pós-exílico</w:t>
      </w:r>
      <w:r>
        <w:t>.</w:t>
      </w:r>
      <w:r/>
      <w:r/>
    </w:p>
    <w:p>
      <w:r/>
    </w:p>
    <w:p>
      <w:pPr>
        <w:pStyle w:val="Heading2"/>
      </w:pPr>
      <w:r>
        <w:t>Dibla</w:t>
      </w:r>
      <w:r/>
    </w:p>
    <w:p>
      <w:r/>
      <w:r>
        <w:t>Forma da NVI de Ribla, o nome do lugar de onde o Rei Nabucodonozor dirigiu operações contra Jerusalém em 588–586 a.C. (</w:t>
      </w:r>
      <w:hyperlink r:id="rId7130">
        <w:r>
          <w:rPr>
            <w:color w:val="0000EE"/>
            <w:u w:val="single"/>
          </w:rPr>
          <w:t>Ez 6.14</w:t>
        </w:r>
      </w:hyperlink>
      <w:r>
        <w:t xml:space="preserve">; cf. </w:t>
      </w:r>
      <w:hyperlink r:id="rId7131">
        <w:r>
          <w:rPr>
            <w:color w:val="0000EE"/>
            <w:u w:val="single"/>
          </w:rPr>
          <w:t>Jr 52.9–27</w:t>
        </w:r>
      </w:hyperlink>
      <w:r>
        <w:t xml:space="preserve">). </w:t>
      </w:r>
    </w:p>
    <w:p>
      <w:r/>
      <w:r>
        <w:rPr>
          <w:i/>
        </w:rPr>
        <w:t>Veja</w:t>
      </w:r>
      <w:r>
        <w:t xml:space="preserve"> </w:t>
      </w:r>
      <w:r>
        <w:t>Ribla</w:t>
      </w:r>
      <w:r>
        <w:t>.</w:t>
      </w:r>
      <w:r/>
      <w:r/>
    </w:p>
    <w:p>
      <w:r/>
    </w:p>
    <w:p>
      <w:pPr>
        <w:pStyle w:val="Heading2"/>
      </w:pPr>
      <w:r>
        <w:t>Dibom</w:t>
      </w:r>
      <w:r/>
    </w:p>
    <w:p>
      <w:r/>
      <w:r>
        <w:t>1. Cidade em Moabe, a leste do Mar Morto e ao norte do rio Arnom. Estava localizada na Estrada Real em território amorita e era uma estação de acampamento para os israelitas durante o Êxodo. Israel pediu permissão a Seom, o rei amorita, para passar por seu território, mas ele recusou. Israel então lutou e derrotou Seom, ganhando assim o controle de Dibom (</w:t>
      </w:r>
      <w:hyperlink r:id="rId7132">
        <w:r>
          <w:rPr>
            <w:color w:val="0000EE"/>
            <w:u w:val="single"/>
          </w:rPr>
          <w:t>Nm 21.30</w:t>
        </w:r>
      </w:hyperlink>
      <w:r>
        <w:t>). Após a conquista hebraica da Palestina e sua divisão entre as 12 tribos, Dibom foi dada a Gade (</w:t>
      </w:r>
      <w:hyperlink r:id="rId7133">
        <w:r>
          <w:rPr>
            <w:color w:val="0000EE"/>
            <w:u w:val="single"/>
          </w:rPr>
          <w:t>32.3,34</w:t>
        </w:r>
      </w:hyperlink>
      <w:r>
        <w:t>), sendo também referida como Dibom-Gade (</w:t>
      </w:r>
      <w:hyperlink r:id="rId7134">
        <w:r>
          <w:rPr>
            <w:color w:val="0000EE"/>
            <w:u w:val="single"/>
          </w:rPr>
          <w:t>33.45–46</w:t>
        </w:r>
      </w:hyperlink>
      <w:r>
        <w:t>). Uma referência bíblica a atribui a Rúben (</w:t>
      </w:r>
      <w:hyperlink r:id="rId2945">
        <w:r>
          <w:rPr>
            <w:color w:val="0000EE"/>
            <w:u w:val="single"/>
          </w:rPr>
          <w:t>Js 13.17</w:t>
        </w:r>
      </w:hyperlink>
      <w:r>
        <w:t>).</w:t>
      </w:r>
    </w:p>
    <w:p>
      <w:r/>
      <w:r>
        <w:t>Durante o período dos juízes, Moabe, sob o rei Eglom, oprimiu Israel e aparentemente retomou Dibom. Provavelmente foi recuperada sob a liderança de Eúde (</w:t>
      </w:r>
      <w:hyperlink r:id="rId7135">
        <w:r>
          <w:rPr>
            <w:color w:val="0000EE"/>
            <w:u w:val="single"/>
          </w:rPr>
          <w:t>Jz 3.12–30</w:t>
        </w:r>
      </w:hyperlink>
      <w:r>
        <w:t>). Posteriormente, Dibom foi governada por Israel sob o rei Davi (</w:t>
      </w:r>
      <w:hyperlink r:id="rId7136">
        <w:r>
          <w:rPr>
            <w:color w:val="0000EE"/>
            <w:u w:val="single"/>
          </w:rPr>
          <w:t>2Sm 8.2</w:t>
        </w:r>
      </w:hyperlink>
      <w:r>
        <w:t>).</w:t>
      </w:r>
    </w:p>
    <w:p>
      <w:r/>
      <w:r>
        <w:t>No período pré-exílico, Dibom estava novamente sob influência moabita (</w:t>
      </w:r>
      <w:hyperlink r:id="rId3929">
        <w:r>
          <w:rPr>
            <w:color w:val="0000EE"/>
            <w:u w:val="single"/>
          </w:rPr>
          <w:t>Is 15.2</w:t>
        </w:r>
      </w:hyperlink>
      <w:r>
        <w:t xml:space="preserve">; </w:t>
      </w:r>
      <w:hyperlink r:id="rId7137">
        <w:r>
          <w:rPr>
            <w:color w:val="0000EE"/>
            <w:u w:val="single"/>
          </w:rPr>
          <w:t>Jr 48.18,22</w:t>
        </w:r>
      </w:hyperlink>
      <w:r>
        <w:t>). Isaías condenou Dibom (Dimom) como a principal entre as cidades perversas de Moabe (</w:t>
      </w:r>
      <w:hyperlink r:id="rId7138">
        <w:r>
          <w:rPr>
            <w:color w:val="0000EE"/>
            <w:u w:val="single"/>
          </w:rPr>
          <w:t>Is 15.9</w:t>
        </w:r>
      </w:hyperlink>
      <w:r>
        <w:t>, ARC). Dimom é provavelmente um trocadilho (da raiz “sangue”) prevendo o destino sangrento e desastroso de Dibom.</w:t>
      </w:r>
    </w:p>
    <w:p>
      <w:r/>
      <w:r>
        <w:t xml:space="preserve">Em 1868, escavações descobriram a famosa Pedra Moabita em Dibom, erguida por Messa, rei de Moabe, que construiu "Qarhah" como sua capital. Esta pode ter sido uma nova cidade capital substituindo Dibom, ou uma renomeação de Dibom por Messa. Muito provavelmente "Qarhah" referia-se ao fato de que Dibom foi construída em duas elevações. A mais alta era Qarhah, a cidadela defensiva da cidade, cercada por um muro e possuindo um reservatório de água, várias cisternas, o palácio real e um santuário ("lugar alto", </w:t>
      </w:r>
      <w:hyperlink r:id="rId3929">
        <w:r>
          <w:rPr>
            <w:color w:val="0000EE"/>
            <w:u w:val="single"/>
          </w:rPr>
          <w:t>Is 15.2</w:t>
        </w:r>
      </w:hyperlink>
      <w:r>
        <w:t>) para Quemos, o deus principal de Moabe.</w:t>
      </w:r>
    </w:p>
    <w:p>
      <w:r/>
      <w:r>
        <w:t>Escavações realizadas entre 1950 e 1956 em Dibom (atual Dhiban) descobriram restos da cidade de um período por volta de 3000 a.C. Evidências indicaram que ela abrigava apenas uma população nômade entre 2100 e 1300 a.C. e que foi novamente povoada por volta de 1300 a.C. As escavações mais antigas encontraram cinco muralhas da cidade, sendo a mais antiga datada de cerca de 3000 a.C. A muralha mais espessa tinha quase 2 a 3 metros de espessura, construída com grandes blocos bem quadrados, e é considerada como tendo sido construída na época de Messa.</w:t>
      </w:r>
    </w:p>
    <w:p>
      <w:r/>
      <w:r>
        <w:t>2. Cidade no Neguebe de Judá habitada por exilados babilônicos que retornaram à Palestina durante o tempo de Neemias (</w:t>
      </w:r>
      <w:hyperlink r:id="rId7139">
        <w:r>
          <w:rPr>
            <w:color w:val="0000EE"/>
            <w:u w:val="single"/>
          </w:rPr>
          <w:t>Ne 11.25</w:t>
        </w:r>
      </w:hyperlink>
      <w:r>
        <w:t>).</w:t>
      </w:r>
      <w:r/>
      <w:r/>
    </w:p>
    <w:p>
      <w:r/>
    </w:p>
    <w:p>
      <w:pPr>
        <w:pStyle w:val="Heading2"/>
      </w:pPr>
      <w:r>
        <w:t>Dibom-Gade</w:t>
      </w:r>
      <w:r/>
    </w:p>
    <w:p>
      <w:r/>
      <w:r>
        <w:t>Outro nome para Dibom, uma cidade moabita (</w:t>
      </w:r>
      <w:hyperlink r:id="rId7134">
        <w:r>
          <w:rPr>
            <w:color w:val="0000EE"/>
            <w:u w:val="single"/>
          </w:rPr>
          <w:t>Nm 33.45–46</w:t>
        </w:r>
      </w:hyperlink>
      <w:r>
        <w:t>).</w:t>
      </w:r>
    </w:p>
    <w:p>
      <w:r/>
      <w:r>
        <w:rPr>
          <w:i/>
        </w:rPr>
        <w:t>Veja</w:t>
      </w:r>
      <w:r>
        <w:t xml:space="preserve"> </w:t>
      </w:r>
      <w:r>
        <w:t>Dibom #1</w:t>
      </w:r>
      <w:r>
        <w:t>.</w:t>
      </w:r>
      <w:r/>
      <w:r/>
    </w:p>
    <w:p>
      <w:r/>
    </w:p>
    <w:p>
      <w:pPr>
        <w:pStyle w:val="Heading2"/>
      </w:pPr>
      <w:r>
        <w:t>Dibri</w:t>
      </w:r>
      <w:r/>
    </w:p>
    <w:p>
      <w:r/>
      <w:r>
        <w:t>Dibri era um homem da tribo de Dã. Ele era o pai de uma mulher chamada Selomite. Selomite casou-se com um homem do Egito. Selomite e o egípcio tiveram um filho juntos. Este filho cometeu um pecado grave ao falar contra o nome de Deus. Como punição, o filho foi apedrejado até a morte enquanto os israelitas estavam no deserto (</w:t>
      </w:r>
      <w:hyperlink r:id="rId7140">
        <w:r>
          <w:rPr>
            <w:color w:val="0000EE"/>
            <w:u w:val="single"/>
          </w:rPr>
          <w:t>Lv 24.10–11</w:t>
        </w:r>
      </w:hyperlink>
      <w:r>
        <w:t>).</w:t>
      </w:r>
      <w:r/>
      <w:r/>
    </w:p>
    <w:p>
      <w:r/>
    </w:p>
    <w:p>
      <w:pPr>
        <w:pStyle w:val="Heading2"/>
      </w:pPr>
      <w:r>
        <w:t>Dicla</w:t>
      </w:r>
      <w:r/>
    </w:p>
    <w:p>
      <w:r/>
      <w:r>
        <w:t>Filho de Joctã na lista de nações descendentes dos filhos de Noé (</w:t>
      </w:r>
      <w:hyperlink r:id="rId422">
        <w:r>
          <w:rPr>
            <w:color w:val="0000EE"/>
            <w:u w:val="single"/>
          </w:rPr>
          <w:t>Gn 10.27</w:t>
        </w:r>
      </w:hyperlink>
      <w:r>
        <w:t xml:space="preserve">; </w:t>
      </w:r>
      <w:hyperlink r:id="rId423">
        <w:r>
          <w:rPr>
            <w:color w:val="0000EE"/>
            <w:u w:val="single"/>
          </w:rPr>
          <w:t>1Cr 1.21</w:t>
        </w:r>
      </w:hyperlink>
      <w:r>
        <w:t>); talvez o nome se refira a uma tribo ou território árabe, vivendo em ou perto de uma área com palmeiras, como o nome sugere (Dicla é uma variante da palavra hebraica dikla</w:t>
      </w:r>
      <w:r>
        <w:rPr>
          <w:i/>
        </w:rPr>
        <w:t>,</w:t>
      </w:r>
      <w:r>
        <w:t xml:space="preserve"> que significa tamareira ou palmeira).</w:t>
      </w:r>
      <w:r/>
      <w:r/>
    </w:p>
    <w:p>
      <w:r/>
    </w:p>
    <w:p>
      <w:pPr>
        <w:pStyle w:val="Heading2"/>
      </w:pPr>
      <w:r>
        <w:t>Didaquê (Ensinamento)</w:t>
      </w:r>
      <w:r/>
    </w:p>
    <w:p>
      <w:r/>
      <w:r>
        <w:t>Um manual de disciplina da igreja, também conhecido como "O ensinamento do Senhor aos gentios por meio dos doze Apóstolos".</w:t>
      </w:r>
    </w:p>
    <w:p>
      <w:pPr>
        <w:pStyle w:val="Heading3"/>
      </w:pPr>
      <w:r>
        <w:t>Qual é a origem do Didaquê?</w:t>
      </w:r>
    </w:p>
    <w:p>
      <w:r/>
      <w:r>
        <w:t>Sua origem e data são difíceis de determinar com precisão. Os estudiosos geralmente concordam que o autor escreveu na Síria ou Palestina durante o final do primeiro ou início do segundo século. As práticas descritas no manual foram estabelecidas muito antes. A Didaquê (que significa "ensinamento") foi compilada a partir de várias fontes que detalham as tradições de comunidades eclesiásticas bem estabelecidas.</w:t>
      </w:r>
    </w:p>
    <w:p>
      <w:pPr>
        <w:pStyle w:val="Heading3"/>
      </w:pPr>
      <w:r>
        <w:t>O que o Didaquê ensina?</w:t>
      </w:r>
    </w:p>
    <w:p>
      <w:r/>
      <w:r>
        <w:t>Este manual contém diversos textos destinados a instruir novos convertidos na fé cristã.</w:t>
      </w:r>
    </w:p>
    <w:p>
      <w:pPr>
        <w:pStyle w:val="Heading4"/>
      </w:pPr>
      <w:r>
        <w:t>Os "Dois Caminhos" da vida e da morte</w:t>
      </w:r>
    </w:p>
    <w:p>
      <w:r/>
      <w:r>
        <w:t xml:space="preserve">Os capítulos 1–6 apresentam os "Dois Caminhos" de vida e morte. Eles são baseados em </w:t>
      </w:r>
      <w:hyperlink r:id="rId7141">
        <w:r>
          <w:rPr>
            <w:color w:val="0000EE"/>
            <w:u w:val="single"/>
          </w:rPr>
          <w:t>Deuteronômio 30.15</w:t>
        </w:r>
      </w:hyperlink>
      <w:r>
        <w:t>. Esta seção se assemelha a muitos ensinamentos judaicos. Pode encontrar sua origem nos escritos apocalípticos da comunidade de Qumran (onde os Rolos do Mar Morto foram compilados). O manual também contém vários paralelos com a Epístola de Barnabé e o Pastor de Hermas. Esses primeiros capítulos incluem uma coleção distintamente cristã de ditos que se assemelham aos ensinamentos de Jesus sobre amar o próximo (como registrado por Mateus e Lucas).</w:t>
      </w:r>
    </w:p>
    <w:p>
      <w:pPr>
        <w:pStyle w:val="Heading4"/>
      </w:pPr>
      <w:r>
        <w:t>Instruções para práticas cristãs</w:t>
      </w:r>
    </w:p>
    <w:p>
      <w:r/>
      <w:r>
        <w:t>Os capítulos 7–10 contêm instruções para batismo, jejum, oração e a eucaristia (o compartilhamento de pão e vinho, também conhecido como Santa Comunhão). Por exemplo:</w:t>
      </w:r>
    </w:p>
    <w:p>
      <w:pPr>
        <w:pStyle w:val="ListBullet"/>
        <w:spacing w:line="240" w:lineRule="auto"/>
        <w:ind w:left="720"/>
      </w:pPr>
      <w:r/>
      <w:r>
        <w:t>Os convertidos devem ser batizados "em nome do Pai, do Filho e do Espírito Santo".</w:t>
      </w:r>
    </w:p>
    <w:p>
      <w:pPr>
        <w:pStyle w:val="ListBullet"/>
        <w:spacing w:line="240" w:lineRule="auto"/>
        <w:ind w:left="720"/>
      </w:pPr>
      <w:r/>
      <w:r>
        <w:t>Os convertidos devem jejuar às quartas e sextas-feiras, em contraste com os judeus, que jejuavam às segundas e quintas-feiras.</w:t>
      </w:r>
    </w:p>
    <w:p>
      <w:pPr>
        <w:pStyle w:val="ListBullet"/>
        <w:spacing w:line="240" w:lineRule="auto"/>
        <w:ind w:left="720"/>
      </w:pPr>
      <w:r/>
      <w:r>
        <w:t>Os convertidos devem recitar diariamente a Oração do Senhor (com a doxologia).</w:t>
      </w:r>
    </w:p>
    <w:p>
      <w:r/>
      <w:r>
        <w:t xml:space="preserve">As orações nos capítulos 9 e 10 são baseadas em orações judaicas de mesa. Não está claro se elas são destinadas à Eucaristia ou a uma refeição comum da igreja (às vezes chamada de "festa do amor"). As orações não contêm referências às palavras de Jesus na Santa Ceia. Elas colocam a bênção do cálice antes da bênção do pão (cp. </w:t>
      </w:r>
      <w:hyperlink r:id="rId4102">
        <w:r>
          <w:rPr>
            <w:color w:val="0000EE"/>
            <w:u w:val="single"/>
          </w:rPr>
          <w:t>1Co 10.16</w:t>
        </w:r>
      </w:hyperlink>
      <w:r>
        <w:t>). A Didaquê observa que os crentes não são obrigados a usar essas orações modelo.</w:t>
      </w:r>
    </w:p>
    <w:p>
      <w:pPr>
        <w:pStyle w:val="Heading4"/>
      </w:pPr>
      <w:r>
        <w:t>Instruções para a liderança da igreja</w:t>
      </w:r>
    </w:p>
    <w:p>
      <w:r/>
      <w:r>
        <w:t>Os capítulos 11–15 fornecem instruções para a liderança da igreja. Esses capítulos discutem as características dos verdadeiros apóstolos e profetas, referidos como "sumos sacerdotes". Eles também abordam as responsabilidades da igreja em relação a esses líderes. O Didaquê termina com uma previsão do retorno iminente de Cristo.</w:t>
      </w:r>
    </w:p>
    <w:p>
      <w:pPr>
        <w:pStyle w:val="Heading3"/>
      </w:pPr>
      <w:r>
        <w:t>Por que o Didaquê é importante para a história cristã?</w:t>
      </w:r>
    </w:p>
    <w:p>
      <w:r/>
      <w:r>
        <w:t>A influência judaica na Didaqué pode refletir os ensinamentos da igreja de Jerusalém. A descrição da liderança da igreja parece derivar de Paulo, que detalha os papéis de apóstolos, profetas e mestres em 1 Coríntios. A Didaqué também enfatiza a função dos profetas.</w:t>
      </w:r>
    </w:p>
    <w:p>
      <w:r/>
      <w:r>
        <w:t>Os ensinamentos do Didaquê refletem os de uma igreja nos estágios iniciais de desenvolvimento de suas instituições e práticas. A igreja ainda parece estar desenvolvendo características que a distinguem claramente do Judaísmo. O Didaquê era popular na igreja primitiva. Eusébio listou-o entre os escritos ortodoxos que foram eventualmente excluídos do cânon do Novo Testamento.</w:t>
      </w:r>
      <w:r/>
      <w:r/>
    </w:p>
    <w:p>
      <w:r/>
    </w:p>
    <w:p>
      <w:pPr>
        <w:pStyle w:val="Heading2"/>
      </w:pPr>
      <w:r>
        <w:t>Dilúvio, O</w:t>
      </w:r>
      <w:r/>
    </w:p>
    <w:p>
      <w:r/>
      <w:r>
        <w:t xml:space="preserve">Uma elevação e transbordamento de água para cobrir a terra, especificamente o dilúvio associado a Noé em </w:t>
      </w:r>
      <w:hyperlink r:id="rId6201">
        <w:r>
          <w:rPr>
            <w:color w:val="0000EE"/>
            <w:u w:val="single"/>
          </w:rPr>
          <w:t>Gênesis 6–9</w:t>
        </w:r>
      </w:hyperlink>
      <w:r>
        <w:t>.</w:t>
      </w:r>
    </w:p>
    <w:p>
      <w:pPr>
        <w:pStyle w:val="Heading3"/>
      </w:pPr>
      <w:r>
        <w:t>História bíblica</w:t>
      </w:r>
    </w:p>
    <w:p>
      <w:r/>
      <w:r>
        <w:t xml:space="preserve">A história do dilúvio de Noé é contada em </w:t>
      </w:r>
      <w:hyperlink r:id="rId6201">
        <w:r>
          <w:rPr>
            <w:color w:val="0000EE"/>
            <w:u w:val="single"/>
          </w:rPr>
          <w:t>Gênesis 6–9</w:t>
        </w:r>
      </w:hyperlink>
      <w:r>
        <w:t>. É mencionada frequentemente na Bíblia, sempre como um evento real (</w:t>
      </w:r>
      <w:hyperlink r:id="rId7142">
        <w:r>
          <w:rPr>
            <w:color w:val="0000EE"/>
            <w:u w:val="single"/>
          </w:rPr>
          <w:t>Gênesis 10.1,32</w:t>
        </w:r>
      </w:hyperlink>
      <w:r>
        <w:t xml:space="preserve">; </w:t>
      </w:r>
      <w:hyperlink r:id="rId2486">
        <w:r>
          <w:rPr>
            <w:color w:val="0000EE"/>
            <w:u w:val="single"/>
          </w:rPr>
          <w:t>11.10</w:t>
        </w:r>
      </w:hyperlink>
      <w:r>
        <w:t xml:space="preserve">; </w:t>
      </w:r>
      <w:hyperlink r:id="rId7143">
        <w:r>
          <w:rPr>
            <w:color w:val="0000EE"/>
            <w:u w:val="single"/>
          </w:rPr>
          <w:t>Mateus 24.38</w:t>
        </w:r>
      </w:hyperlink>
      <w:r>
        <w:t>–</w:t>
      </w:r>
      <w:hyperlink r:id="rId7143">
        <w:r>
          <w:rPr>
            <w:color w:val="0000EE"/>
            <w:u w:val="single"/>
          </w:rPr>
          <w:t>39</w:t>
        </w:r>
      </w:hyperlink>
      <w:r>
        <w:t xml:space="preserve">; </w:t>
      </w:r>
      <w:hyperlink r:id="rId7144">
        <w:r>
          <w:rPr>
            <w:color w:val="0000EE"/>
            <w:u w:val="single"/>
          </w:rPr>
          <w:t>Lucas 17.27</w:t>
        </w:r>
      </w:hyperlink>
      <w:r>
        <w:t xml:space="preserve">; </w:t>
      </w:r>
      <w:hyperlink r:id="rId7145">
        <w:r>
          <w:rPr>
            <w:color w:val="0000EE"/>
            <w:u w:val="single"/>
          </w:rPr>
          <w:t>2 Pedro 2.5</w:t>
        </w:r>
      </w:hyperlink>
      <w:r>
        <w:t>). Na Bíblia, Deus enviou o dilúvio por causa do pecado, que era tão grave que “a maldade do homem era grande sobre a terra” (</w:t>
      </w:r>
      <w:hyperlink r:id="rId5687">
        <w:r>
          <w:rPr>
            <w:color w:val="0000EE"/>
            <w:u w:val="single"/>
          </w:rPr>
          <w:t>Gênesis 6.5</w:t>
        </w:r>
      </w:hyperlink>
      <w:r>
        <w:t xml:space="preserve">). Deus decidiu destruir todos e começar de novo com pessoas que o obedeceriam (compare </w:t>
      </w:r>
      <w:hyperlink r:id="rId7146">
        <w:r>
          <w:rPr>
            <w:color w:val="0000EE"/>
            <w:u w:val="single"/>
          </w:rPr>
          <w:t>Gênesis 1.26–28</w:t>
        </w:r>
      </w:hyperlink>
      <w:r>
        <w:t>). As únicas pessoas que eram fiéis ao Senhor eram Noé, seus filhos e suas esposas. Deus os usou para recriar a terra após sua destruição.</w:t>
      </w:r>
    </w:p>
    <w:p>
      <w:r/>
      <w:r>
        <w:t>Noé passou 120 anos construindo um grande navio e avisando as pessoas sobre o julgamento vindouro de Deus (</w:t>
      </w:r>
      <w:hyperlink r:id="rId4270">
        <w:r>
          <w:rPr>
            <w:color w:val="0000EE"/>
            <w:u w:val="single"/>
          </w:rPr>
          <w:t>Gênesis 6.3</w:t>
        </w:r>
      </w:hyperlink>
      <w:r>
        <w:t xml:space="preserve">; compare </w:t>
      </w:r>
      <w:hyperlink r:id="rId7147">
        <w:r>
          <w:rPr>
            <w:color w:val="0000EE"/>
            <w:u w:val="single"/>
          </w:rPr>
          <w:t>Hebreus 11.7</w:t>
        </w:r>
      </w:hyperlink>
      <w:r>
        <w:t xml:space="preserve">; </w:t>
      </w:r>
      <w:hyperlink r:id="rId931">
        <w:r>
          <w:rPr>
            <w:color w:val="0000EE"/>
            <w:u w:val="single"/>
          </w:rPr>
          <w:t>1 Pedro 3.20</w:t>
        </w:r>
      </w:hyperlink>
      <w:r>
        <w:t xml:space="preserve">; </w:t>
      </w:r>
      <w:hyperlink r:id="rId7145">
        <w:r>
          <w:rPr>
            <w:color w:val="0000EE"/>
            <w:u w:val="single"/>
          </w:rPr>
          <w:t>2 Pedro 2.5</w:t>
        </w:r>
      </w:hyperlink>
      <w:r>
        <w:t>). Quando o dilúvio veio, choveu intensamente, e as águas subterrâneas subiram (</w:t>
      </w:r>
      <w:hyperlink r:id="rId7148">
        <w:r>
          <w:rPr>
            <w:color w:val="0000EE"/>
            <w:u w:val="single"/>
          </w:rPr>
          <w:t>Gênesis 7.11</w:t>
        </w:r>
      </w:hyperlink>
      <w:r>
        <w:t>). Apenas a família de Noé e os animais terrestres que ele trouxe para o navio foram salvos da água. O dilúvio durou mais de um ano. Finalmente, as águas baixaram, e a terra estava seca novamente (</w:t>
      </w:r>
      <w:hyperlink r:id="rId7149">
        <w:r>
          <w:rPr>
            <w:color w:val="0000EE"/>
            <w:u w:val="single"/>
          </w:rPr>
          <w:t>Gênesis 7.6</w:t>
        </w:r>
      </w:hyperlink>
      <w:r>
        <w:t>–</w:t>
      </w:r>
      <w:hyperlink r:id="rId7149">
        <w:r>
          <w:rPr>
            <w:color w:val="0000EE"/>
            <w:u w:val="single"/>
          </w:rPr>
          <w:t>12,24</w:t>
        </w:r>
      </w:hyperlink>
      <w:r>
        <w:t xml:space="preserve">; </w:t>
      </w:r>
      <w:hyperlink r:id="rId7150">
        <w:r>
          <w:rPr>
            <w:color w:val="0000EE"/>
            <w:u w:val="single"/>
          </w:rPr>
          <w:t>8.3</w:t>
        </w:r>
      </w:hyperlink>
      <w:r>
        <w:t>–</w:t>
      </w:r>
      <w:hyperlink r:id="rId7150">
        <w:r>
          <w:rPr>
            <w:color w:val="0000EE"/>
            <w:u w:val="single"/>
          </w:rPr>
          <w:t>6,10</w:t>
        </w:r>
      </w:hyperlink>
      <w:r>
        <w:t>–</w:t>
      </w:r>
      <w:hyperlink r:id="rId7150">
        <w:r>
          <w:rPr>
            <w:color w:val="0000EE"/>
            <w:u w:val="single"/>
          </w:rPr>
          <w:t>14</w:t>
        </w:r>
      </w:hyperlink>
      <w:r>
        <w:t>). Quando Noé e sua família saíram da arca, ofereceram sacrifícios a Deus para agradecê-lo. Deus prometeu que nunca enviaria outro dilúvio para destruir a terra.</w:t>
      </w:r>
    </w:p>
    <w:p>
      <w:pPr>
        <w:pStyle w:val="Heading3"/>
      </w:pPr>
      <w:r>
        <w:t>O tamanho do dilúvio</w:t>
      </w:r>
    </w:p>
    <w:p>
      <w:r/>
      <w:r>
        <w:t>Aqueles que acreditam que o relato do dilúvio é verdadeiro discordam sobre seu tamanho. A história parece sugerir que toda a terra foi inundada até o topo das montanhas mais altas (</w:t>
      </w:r>
      <w:hyperlink r:id="rId7151">
        <w:r>
          <w:rPr>
            <w:color w:val="0000EE"/>
            <w:u w:val="single"/>
          </w:rPr>
          <w:t>Gênesis 7.17</w:t>
        </w:r>
      </w:hyperlink>
      <w:r>
        <w:t>–</w:t>
      </w:r>
      <w:hyperlink r:id="rId7151">
        <w:r>
          <w:rPr>
            <w:color w:val="0000EE"/>
            <w:u w:val="single"/>
          </w:rPr>
          <w:t>20</w:t>
        </w:r>
      </w:hyperlink>
      <w:r>
        <w:t xml:space="preserve">; </w:t>
      </w:r>
      <w:hyperlink r:id="rId2410">
        <w:r>
          <w:rPr>
            <w:color w:val="0000EE"/>
            <w:u w:val="single"/>
          </w:rPr>
          <w:t>8.4</w:t>
        </w:r>
      </w:hyperlink>
      <w:r>
        <w:t>). Alguns argumentaram que águas altas o suficiente para cobrir “todos os altos montes debaixo de todos os céus” (</w:t>
      </w:r>
      <w:hyperlink r:id="rId7152">
        <w:r>
          <w:rPr>
            <w:color w:val="0000EE"/>
            <w:u w:val="single"/>
          </w:rPr>
          <w:t>Gênesis 7.19</w:t>
        </w:r>
      </w:hyperlink>
      <w:r>
        <w:t xml:space="preserve">) cobririam toda a terra. Aqueles que defendem um dilúvio local observam que o texto diz que </w:t>
      </w:r>
      <w:r>
        <w:rPr>
          <w:i/>
        </w:rPr>
        <w:t>parecia</w:t>
      </w:r>
      <w:r>
        <w:t xml:space="preserve"> que toda a terra estava inundada. Assim, um dilúvio mundial era desnecessário. Deus queria destruir os humanos, que podem ter vivido apenas na Mesopotâmia naquela época. Outros argumentam que na Bíblia, “terra” muitas vezes não é usada literalmente. Em </w:t>
      </w:r>
      <w:hyperlink r:id="rId2581">
        <w:r>
          <w:rPr>
            <w:color w:val="0000EE"/>
            <w:u w:val="single"/>
          </w:rPr>
          <w:t>Gênesis 1.1</w:t>
        </w:r>
      </w:hyperlink>
      <w:r>
        <w:t>, “céu e terra” significa "o universo". Às vezes, “terra” descreve um único país (</w:t>
      </w:r>
      <w:hyperlink r:id="rId7153">
        <w:r>
          <w:rPr>
            <w:color w:val="0000EE"/>
            <w:u w:val="single"/>
          </w:rPr>
          <w:t>Gênesis 47.13</w:t>
        </w:r>
      </w:hyperlink>
      <w:r>
        <w:t>), o próprio solo (</w:t>
      </w:r>
      <w:hyperlink r:id="rId7154">
        <w:r>
          <w:rPr>
            <w:color w:val="0000EE"/>
            <w:u w:val="single"/>
          </w:rPr>
          <w:t>23.15</w:t>
        </w:r>
      </w:hyperlink>
      <w:r>
        <w:t>), e assim por diante. Portanto, não é necessário pensar que a história do dilúvio em Gênesis implica que o mundo inteiro foi inundado.</w:t>
      </w:r>
    </w:p>
    <w:p>
      <w:r/>
      <w:r>
        <w:t xml:space="preserve">Algumas pessoas que acreditam em um dilúvio universal argumentam que há fósseis marinhos no topo das montanhas, então a água deve tê-las coberto. Outros discordam, dizendo que todas as montanhas originalmente vieram dos mares, então é razoável que haja evidências de vida marinha nelas. Crenças teológicas e interpretações da Bíblia determinam se as pessoas acham que o dilúvio foi global ou local. </w:t>
      </w:r>
      <w:r>
        <w:rPr>
          <w:i/>
        </w:rPr>
        <w:t>Veja</w:t>
      </w:r>
      <w:r>
        <w:t xml:space="preserve"> </w:t>
      </w:r>
      <w:r>
        <w:t>“Evidências Científicas para o Dilúvio?”</w:t>
      </w:r>
      <w:r>
        <w:t>.</w:t>
      </w:r>
    </w:p>
    <w:p>
      <w:r/>
      <w:r>
        <w:rPr>
          <w:i/>
        </w:rPr>
        <w:t>Veja também</w:t>
      </w:r>
      <w:r>
        <w:t xml:space="preserve"> </w:t>
      </w:r>
      <w:r>
        <w:t>Épico de Gilgamesh</w:t>
      </w:r>
      <w:r>
        <w:t xml:space="preserve">; </w:t>
      </w:r>
      <w:r>
        <w:t>Noé #1</w:t>
      </w:r>
      <w:r>
        <w:t>.</w:t>
      </w:r>
      <w:r/>
      <w:r/>
    </w:p>
    <w:p>
      <w:r/>
    </w:p>
    <w:p>
      <w:pPr>
        <w:pStyle w:val="Heading2"/>
      </w:pPr>
      <w:r>
        <w:t>Diná</w:t>
      </w:r>
      <w:r/>
    </w:p>
    <w:p>
      <w:r/>
      <w:r>
        <w:t>Filha nascida de Jacó e Lia (</w:t>
      </w:r>
      <w:hyperlink r:id="rId7155">
        <w:r>
          <w:rPr>
            <w:color w:val="0000EE"/>
            <w:u w:val="single"/>
          </w:rPr>
          <w:t>Gn 30.21</w:t>
        </w:r>
      </w:hyperlink>
      <w:r>
        <w:t>), cujo nome significa "julgamento". Morando com sua família em Siquém, uma cidade cananeia (</w:t>
      </w:r>
      <w:hyperlink r:id="rId7156">
        <w:r>
          <w:rPr>
            <w:color w:val="0000EE"/>
            <w:u w:val="single"/>
          </w:rPr>
          <w:t>33.18</w:t>
        </w:r>
      </w:hyperlink>
      <w:r>
        <w:t>), Diná foi visitar algumas mulheres pagãs vizinhas (</w:t>
      </w:r>
      <w:hyperlink r:id="rId7157">
        <w:r>
          <w:rPr>
            <w:color w:val="0000EE"/>
            <w:u w:val="single"/>
          </w:rPr>
          <w:t>34.1</w:t>
        </w:r>
      </w:hyperlink>
      <w:r>
        <w:t>). Siquém, o príncipe heveu da região, a viu e, enquanto os irmãos de Diná estavam nos campos cuidando de seus rebanhos, ele a violentou. Siquém então pediu Diná a Jacó como esposa.</w:t>
      </w:r>
    </w:p>
    <w:p>
      <w:r/>
      <w:r>
        <w:t>Os filhos de Jacó, enfurecidos pela desonra feita à sua irmã, planejaram vingança. Eles concordaram com o casamento sob a condição de que todos os homens heveus fossem circuncidados. Hamor, pai de Siquém, consentiu. Enquanto os homens cananeus ainda estavam incapacitados pela cirurgia, os irmãos de Diná, Levi e Simeão, lideraram um massacre na cidade e mataram todos os homens. Diná foi resgatada e a cidade saqueada. Os irmãos justificaram sua ação como uma retribuição justa por um dos cananeus ter tratado sua irmã como uma prostituta (</w:t>
      </w:r>
      <w:hyperlink r:id="rId7158">
        <w:r>
          <w:rPr>
            <w:color w:val="0000EE"/>
            <w:u w:val="single"/>
          </w:rPr>
          <w:t>Gn 34.27–31</w:t>
        </w:r>
      </w:hyperlink>
      <w:r>
        <w:t>). Pelo uso de armas de violência (</w:t>
      </w:r>
      <w:hyperlink r:id="rId7159">
        <w:r>
          <w:rPr>
            <w:color w:val="0000EE"/>
            <w:u w:val="single"/>
          </w:rPr>
          <w:t>49.5</w:t>
        </w:r>
      </w:hyperlink>
      <w:r>
        <w:t>), Simeão e Levi foram posteriormente amaldiçoados por Jacó.</w:t>
      </w:r>
      <w:r/>
      <w:r/>
    </w:p>
    <w:p>
      <w:r/>
    </w:p>
    <w:p>
      <w:pPr>
        <w:pStyle w:val="Heading2"/>
      </w:pPr>
      <w:r>
        <w:t>Diná</w:t>
      </w:r>
      <w:r/>
    </w:p>
    <w:p>
      <w:r/>
      <w:r>
        <w:t>Capital da cidade de Edom antes do tempo da monarquia de Israel, cujo rei Bela é mencionado na Bíblia (</w:t>
      </w:r>
      <w:hyperlink r:id="rId3434">
        <w:r>
          <w:rPr>
            <w:color w:val="0000EE"/>
            <w:u w:val="single"/>
          </w:rPr>
          <w:t>Gn 36.32</w:t>
        </w:r>
      </w:hyperlink>
      <w:r>
        <w:t xml:space="preserve">; </w:t>
      </w:r>
      <w:hyperlink r:id="rId7160">
        <w:r>
          <w:rPr>
            <w:color w:val="0000EE"/>
            <w:u w:val="single"/>
          </w:rPr>
          <w:t>1Cr 1.43</w:t>
        </w:r>
      </w:hyperlink>
      <w:r>
        <w:t>). Sua localização é desconhecida.</w:t>
      </w:r>
      <w:r/>
      <w:r/>
    </w:p>
    <w:p>
      <w:r/>
    </w:p>
    <w:p>
      <w:pPr>
        <w:pStyle w:val="Heading2"/>
      </w:pPr>
      <w:r>
        <w:t>Dinheiro</w:t>
      </w:r>
      <w:r/>
    </w:p>
    <w:p>
      <w:r/>
      <w:r>
        <w:t>Meio de troca, medida de valor, método de pagamento.</w:t>
      </w:r>
    </w:p>
    <w:p>
      <w:r/>
      <w:r>
        <w:t xml:space="preserve">O dinheiro foi desenvolvido como um meio de troca conveniente para complementar e, mais tarde, substituir o escambo, embora os dois sistemas tenham operado simultaneamente por muitos séculos. Desde o período patriarcal até os dias atuais, a riqueza tem sido medida em termos de bens e metais preciosos, particularmente ouro e prata, que continuam a ser meios de troca universalmente aceitos. </w:t>
      </w:r>
      <w:hyperlink r:id="rId1553">
        <w:r>
          <w:rPr>
            <w:color w:val="0000EE"/>
            <w:u w:val="single"/>
          </w:rPr>
          <w:t>Gênesis 13.2</w:t>
        </w:r>
      </w:hyperlink>
      <w:r>
        <w:t xml:space="preserve"> descreve Abraão como “muito rico em gado, em prata e em ouro”.</w:t>
      </w:r>
    </w:p>
    <w:p>
      <w:r/>
      <w:r>
        <w:t xml:space="preserve">A riqueza em uma sociedade nômade ou seminômade era frequentemente medida pelo número de gado que uma pessoa possuía, e por causa disso, o gado era um meio de troca prontamente aceitável e facilmente valorizado, embora um tanto volumoso. O grau em que o gado era comumente reconhecido como padrão de valor, riqueza e troca é refletido na palavra latina para dinheiro, </w:t>
      </w:r>
      <w:r>
        <w:rPr>
          <w:i/>
        </w:rPr>
        <w:t>pecunia,</w:t>
      </w:r>
      <w:r>
        <w:t xml:space="preserve"> que é derivada diretamente de </w:t>
      </w:r>
      <w:r>
        <w:rPr>
          <w:i/>
        </w:rPr>
        <w:t>pecus,</w:t>
      </w:r>
      <w:r>
        <w:t xml:space="preserve"> significando "gado". Para fins religiosos, impostos ou doações pagas em gado eram mais aceitáveis, e isso não apenas aumentava o reconhecimento geral por esse meio, mas também fazia do templo um repositório para grandes rebanhos de gado, bem como animais menores e produtos, que, se não pudessem ser usados diretamente nos rituais do templo, poderiam ser trocados por quaisquer mercadorias necessárias. Alimentos perecíveis eram menos populares para fins de troca do que animais como ovelhas e jumentos, embora madeira, vinho e mel fossem regularmente usados como forma de moeda (</w:t>
      </w:r>
      <w:hyperlink r:id="rId7161">
        <w:r>
          <w:rPr>
            <w:color w:val="0000EE"/>
            <w:u w:val="single"/>
          </w:rPr>
          <w:t>1Sm 8.15</w:t>
        </w:r>
      </w:hyperlink>
      <w:r>
        <w:t xml:space="preserve">; </w:t>
      </w:r>
      <w:hyperlink r:id="rId1834">
        <w:r>
          <w:rPr>
            <w:color w:val="0000EE"/>
            <w:u w:val="single"/>
          </w:rPr>
          <w:t>2Rs 3.4</w:t>
        </w:r>
      </w:hyperlink>
      <w:r>
        <w:t xml:space="preserve">; </w:t>
      </w:r>
      <w:hyperlink r:id="rId7162">
        <w:r>
          <w:rPr>
            <w:color w:val="0000EE"/>
            <w:u w:val="single"/>
          </w:rPr>
          <w:t>Ez 45.13–16</w:t>
        </w:r>
      </w:hyperlink>
      <w:r>
        <w:t>). Tanto os impostos públicos quanto privados, tributos e dívidas de todos os tipos eram liquidados por esse meio. Salomão pagou Hirão, rei de Tiro, em trigo e azeite por sua assistência na construção do templo (</w:t>
      </w:r>
      <w:hyperlink r:id="rId7163">
        <w:r>
          <w:rPr>
            <w:color w:val="0000EE"/>
            <w:u w:val="single"/>
          </w:rPr>
          <w:t>1Rs 5.11</w:t>
        </w:r>
      </w:hyperlink>
      <w:r>
        <w:t xml:space="preserve">), e no século VIII a.C. os impostos eram comumente pagos em jarros de vinho ou azeite. O tributo na forma de ovelhas e lã é registrado em </w:t>
      </w:r>
      <w:hyperlink r:id="rId1834">
        <w:r>
          <w:rPr>
            <w:color w:val="0000EE"/>
            <w:u w:val="single"/>
          </w:rPr>
          <w:t>2 Reis 3.4</w:t>
        </w:r>
      </w:hyperlink>
      <w:r>
        <w:t>.</w:t>
      </w:r>
    </w:p>
    <w:p>
      <w:r/>
      <w:r>
        <w:t>Todos os meios de troca mencionados representavam bens que podiam ser medidos ou contados, e foram feitas tentativas para estabelecer uma taxa de câmbio padrão entre eles.</w:t>
      </w:r>
    </w:p>
    <w:p>
      <w:r/>
      <w:r>
        <w:t xml:space="preserve">A prata era o metal precioso mais prontamente disponível no antigo Oriente Próximo e, portanto, era o mais frequentemente mencionado em conexão com compras por peso e, em um período posterior, por moeda. A primeira ocorrência registrada na Bíblia do uso da prata como meio de troca está em </w:t>
      </w:r>
      <w:hyperlink r:id="rId7164">
        <w:r>
          <w:rPr>
            <w:color w:val="0000EE"/>
            <w:u w:val="single"/>
          </w:rPr>
          <w:t>Gênesis 20.14–16</w:t>
        </w:r>
      </w:hyperlink>
      <w:r>
        <w:t>, onde Abraão recebeu um pagamento de 1.000 siclos por peso de prata, além de animais e escravos. Abraão também comprou o campo e a caverna de Macpela por 400 siclos de prata (</w:t>
      </w:r>
      <w:hyperlink r:id="rId7165">
        <w:r>
          <w:rPr>
            <w:color w:val="0000EE"/>
            <w:u w:val="single"/>
          </w:rPr>
          <w:t>Gn 23.15–16</w:t>
        </w:r>
      </w:hyperlink>
      <w:r>
        <w:t xml:space="preserve">), que, de acordo com o costume da época, tinha que ser pesado na frente do vendedor e verificado por testemunhas (cf. </w:t>
      </w:r>
      <w:hyperlink r:id="rId7166">
        <w:r>
          <w:rPr>
            <w:color w:val="0000EE"/>
            <w:u w:val="single"/>
          </w:rPr>
          <w:t>Jr 32.9–10</w:t>
        </w:r>
      </w:hyperlink>
      <w:r>
        <w:t>).</w:t>
      </w:r>
    </w:p>
    <w:p>
      <w:r/>
      <w:r>
        <w:t>Como esses eventos ocorreram por volta do início do segundo milênio a.C., o termo "siclo" não representaria a moeda familiar de períodos posteriores, mas sim um certo peso de prata. Em um momento posterior, os irmãos de José o venderam para mercadores viajantes por 20 siclos de prata (</w:t>
      </w:r>
      <w:hyperlink r:id="rId4134">
        <w:r>
          <w:rPr>
            <w:color w:val="0000EE"/>
            <w:u w:val="single"/>
          </w:rPr>
          <w:t>Gn 37.28</w:t>
        </w:r>
      </w:hyperlink>
      <w:r>
        <w:t xml:space="preserve">). </w:t>
      </w:r>
      <w:hyperlink r:id="rId7167">
        <w:r>
          <w:rPr>
            <w:color w:val="0000EE"/>
            <w:u w:val="single"/>
          </w:rPr>
          <w:t>Gênesis 33.19</w:t>
        </w:r>
      </w:hyperlink>
      <w:r>
        <w:t xml:space="preserve"> menciona outra unidade de peso para metal, </w:t>
      </w:r>
      <w:r>
        <w:rPr>
          <w:i/>
        </w:rPr>
        <w:t>o quesitá</w:t>
      </w:r>
      <w:r>
        <w:t xml:space="preserve"> (NTLH ver nota), em conexão com a compra de um campo por Jacó; o termo aparece novamente em </w:t>
      </w:r>
      <w:hyperlink r:id="rId7168">
        <w:r>
          <w:rPr>
            <w:color w:val="0000EE"/>
            <w:u w:val="single"/>
          </w:rPr>
          <w:t>Josué 24.32</w:t>
        </w:r>
      </w:hyperlink>
      <w:r>
        <w:t xml:space="preserve"> e </w:t>
      </w:r>
      <w:hyperlink r:id="rId7169">
        <w:r>
          <w:rPr>
            <w:color w:val="0000EE"/>
            <w:u w:val="single"/>
          </w:rPr>
          <w:t>Jó 42.11</w:t>
        </w:r>
      </w:hyperlink>
      <w:r>
        <w:t>. Esta unidade pode ter representado um valor equivalente ao valor monetário de um cordeiro.</w:t>
      </w:r>
    </w:p>
    <w:p>
      <w:r/>
      <w:r>
        <w:t>Com o tempo, grandes animais e objetos materiais passaram a ser considerados extremamente incômodos como meio de troca, e o metal tornou-se cada vez mais popular. No entanto, o transporte de grandes quantidades de metal precioso continuou a ser um problema, e foi necessário desenvolver um método para facilitar o reconhecimento, a acessibilidade e o armazenamento de metais de valor específico.</w:t>
      </w:r>
    </w:p>
    <w:p>
      <w:r/>
      <w:r>
        <w:t>Ao longo dos anos, formas bastante uniformes foram projetadas para metais usados em transações. A prata podia ser empilhada ou amarrada em feixes, como mostrado em baixos-relevos egípcios, e os filhos de Jacó utilizaram um método semelhante ao transportar o preço de compra do grão que estavam adquirindo do Egito (</w:t>
      </w:r>
      <w:hyperlink r:id="rId3831">
        <w:r>
          <w:rPr>
            <w:color w:val="0000EE"/>
            <w:u w:val="single"/>
          </w:rPr>
          <w:t>Gn 42.35</w:t>
        </w:r>
      </w:hyperlink>
      <w:r>
        <w:t>). Por volta de 1500 a.C., pedaços de metal moldados na forma de lingotes, barras, línguas ou cabeças de animais estavam em uso, assim como discos de ouro e anéis de fio de ouro. Talvez as peças mais populares aceitáveis como moeda fossem aquelas que também tinham sido projetadas como joias. Os objetos de valor listados entre os despojos dos midianitas incluíam correntes de ouro, pulseiras, anéis de sinete e brincos (</w:t>
      </w:r>
      <w:hyperlink r:id="rId7170">
        <w:r>
          <w:rPr>
            <w:color w:val="0000EE"/>
            <w:u w:val="single"/>
          </w:rPr>
          <w:t>Nm 31.50</w:t>
        </w:r>
      </w:hyperlink>
      <w:r>
        <w:t>). As pulseiras e anéis, em particular, provavelmente representavam um peso padronizado e, portanto, podiam ser usados facilmente como moeda. Rebeca recebeu presentes de seu noivo que estavam na forma de joias de peso específico: um anel de ouro pesando meio siclo e duas pulseiras pesando dez siclos de ouro (</w:t>
      </w:r>
      <w:hyperlink r:id="rId7171">
        <w:r>
          <w:rPr>
            <w:color w:val="0000EE"/>
            <w:u w:val="single"/>
          </w:rPr>
          <w:t>Gn 24.22</w:t>
        </w:r>
      </w:hyperlink>
      <w:r>
        <w:t>). Jó recebeu um fino anel de ouro de vários parentes, e é improvável que todos lhe dessem o mesmo presente se isso não representasse, de fato, um certo valor monetário (</w:t>
      </w:r>
      <w:hyperlink r:id="rId7169">
        <w:r>
          <w:rPr>
            <w:color w:val="0000EE"/>
            <w:u w:val="single"/>
          </w:rPr>
          <w:t>Jb 42.11</w:t>
        </w:r>
      </w:hyperlink>
      <w:r>
        <w:t>).</w:t>
      </w:r>
    </w:p>
    <w:p>
      <w:r/>
      <w:r>
        <w:t xml:space="preserve">A exigência em </w:t>
      </w:r>
      <w:hyperlink r:id="rId7172">
        <w:r>
          <w:rPr>
            <w:color w:val="0000EE"/>
            <w:u w:val="single"/>
          </w:rPr>
          <w:t>Deuteronômio 14.25</w:t>
        </w:r>
      </w:hyperlink>
      <w:r>
        <w:t xml:space="preserve"> de "amarrar seu dinheiro" implicaria novamente em tiras finas de prata que poderiam ser agrupadas ou anéis que poderiam ser encadeados. Em qualquer caso, o transporte seria facilitado.</w:t>
      </w:r>
    </w:p>
    <w:p>
      <w:r/>
      <w:r>
        <w:t>O valor dos pesos de prata mencionados nos tempos mosaicos pode ser melhor compreendido em termos de poder de compra. Um carneiro podia ser comprado por dois siclos, enquanto cinquenta siclos era o preço de cerca de quatro alqueires de cevada (</w:t>
      </w:r>
      <w:hyperlink r:id="rId7173">
        <w:r>
          <w:rPr>
            <w:color w:val="0000EE"/>
            <w:u w:val="single"/>
          </w:rPr>
          <w:t>Lv 27.16</w:t>
        </w:r>
      </w:hyperlink>
      <w:r>
        <w:t>). No tempo de Eliseu, durante um bom ano, uma e meia medida de farinha fina ou três medidas de cevada podiam ser compradas por um siclo (</w:t>
      </w:r>
      <w:hyperlink r:id="rId7174">
        <w:r>
          <w:rPr>
            <w:color w:val="0000EE"/>
            <w:u w:val="single"/>
          </w:rPr>
          <w:t>2Rs 7.16</w:t>
        </w:r>
      </w:hyperlink>
      <w:r>
        <w:t>). É desnecessário dizer que avaliações monetárias desse tipo seriam afetadas por considerações econômicas como oferta e demanda.</w:t>
      </w:r>
    </w:p>
    <w:p>
      <w:r/>
      <w:r>
        <w:t>A estimativa a olho nu era um meio impreciso de avaliar o valor da moeda, e não há dúvida de que a fraude era comum na pesagem e exame do metal. A pesagem, uma parte essencial de toda transação importante, também consumia muito tempo. Para garantir o valor correto dos pesos, que geralmente eram peças de bronze, ferro ou pedras trabalhadas, eles carregavam algum tipo de carimbo. Uma vez que essa prática foi geralmente estabelecida, foi um pequeno passo para o carimbo das peças individuais de metal, sejam línguas, barras ou pulseiras, usadas como moeda. O próximo desenvolvimento lógico foi carimbar uma peça de prata para autenticar seu valor para fins de moeda. Este foi o precursor da moeda, que não era conhecida no antigo Oriente Próximo antes do período do exílio. Portanto, qualquer referência a dinheiro antes desse tempo indica barras, pulseiras, anéis ou outros objetos de metal, carimbados ou não.</w:t>
      </w:r>
    </w:p>
    <w:p>
      <w:r/>
      <w:r>
        <w:t>As primeiras moedas cunhadas vieram do reino da Lídia, na Ásia Menor, sendo tradicionalmente atribuídas a Creso (560–546 a.C.), o fabuloso governante rico daquela terra. As moedas da Lídia eram feitas de eletro, uma liga natural de prata e ouro, e retratavam um leão e um touro. Como a maioria das primeiras moedas, o reverso continha simplesmente uma marca cunhada.</w:t>
      </w:r>
    </w:p>
    <w:p>
      <w:r/>
      <w:r>
        <w:t>Originalmente, uma moeda não apenas representava um valor, mas seu peso correspondia à quantidade de prata ou ouro de seu valor nominal. Assim, muitas das primeiras moedas foram cortadas violentamente por alguns céticos antigos, que queriam garantir que a moeda era de prata pura e não de um metal menos valioso revestido com prata.</w:t>
      </w:r>
    </w:p>
    <w:p>
      <w:r/>
      <w:r>
        <w:t>A pureza da prata ou do ouro também era um fator na popularidade e aceitação de moedas específicas. Nos tempos gregos e romanos, o tetradracma de Tiro era uma das moedas de prata mais amplamente aceitas devido à pureza do seu conteúdo metálico.</w:t>
      </w:r>
    </w:p>
    <w:p>
      <w:r/>
      <w:r>
        <w:t>O uso de moedas não eliminou a necessidade de pesagem, pois o corte fraudulento das bordas das moedas era comum desde sua introdução no século VI a.C. Esse problema específico afetou todas as emissões subsequentes de moedas, e foi apenas no final do século XVIII na Grã-Bretanha que foi superado por um processo que envolvia a serrilhagem das bordas das moedas mais valiosas.</w:t>
      </w:r>
    </w:p>
    <w:p>
      <w:r/>
      <w:r>
        <w:t xml:space="preserve">No século VI a.C., quando os judeus retornaram do exílio na Babilônia, moedas foram doadas para a reconstrução do templo em Jerusalém, assim como prata e ouro em outras formas. A moeda de ouro mencionada é um "dárico". O termo, aparentemente derivado do nome do grande rei persa Dario I (521–486 a.C.), era amplamente utilizado e até aparece em passagens bíblicas escritas em uma data posterior, mas referindo-se a um período anterior ao reinado de Dario (cf. </w:t>
      </w:r>
      <w:hyperlink r:id="rId6152">
        <w:r>
          <w:rPr>
            <w:color w:val="0000EE"/>
            <w:u w:val="single"/>
          </w:rPr>
          <w:t>1Cr 29.7</w:t>
        </w:r>
      </w:hyperlink>
      <w:r>
        <w:t>).</w:t>
      </w:r>
    </w:p>
    <w:p>
      <w:r/>
      <w:r>
        <w:t>Poucos artesãos com as habilidades necessárias para a fabricação de moedas estariam disponíveis antes do século VI a.C., então os primeiros dáricos de ouro provavelmente foram cunhados em Sardes. A própria casa da moeda foi assumida pelos persas quando ocuparam o território, e a produção continuou como antes.</w:t>
      </w:r>
    </w:p>
    <w:p>
      <w:r/>
      <w:r>
        <w:t>As regiões ocidentais do Império Persa provavelmente usavam moedas de prata com mais frequência do que de ouro. De acordo com algumas tradições, a cunhagem desenvolveu-se na Grécia, em Egina, por volta da época em que os Lídios adotaram o conceito pela primeira vez. A mais antiga dessas moedas de prata escavada até agora data do século VI a.C. e foi cunhada no norte da Grécia.</w:t>
      </w:r>
    </w:p>
    <w:p>
      <w:r/>
      <w:r>
        <w:t>Também eram comumente usadas as populares tetradracmas do século V a.C. de Atenas, que tinham cunhos em ambos os lados da moeda. Estas representavam a cabeça da deusa Atena e a coruja sagrada.</w:t>
      </w:r>
    </w:p>
    <w:p>
      <w:r/>
      <w:r>
        <w:t>Embora o teor de prata de muitas moedas em uso contemporâneo tenha sido reduzido, o do tetradracma ateniense manteve-se consistentemente em seu alto padrão original de pureza. Essa circunstância naturalmente aumentou sua aceitação, especialmente em áreas envolvidas em turbulência política, onde a pureza da moeda local era particularmente questionável. Devido à estabilidade do teor de prata da moeda e à rápida expansão do Império Grego, o tetradracma ateniense foi cunhado e usado quase sem alterações por um período de 200 anos. Muitas dessas moedas foram encontradas em tesouros por todo o Mediterrâneo oriental.</w:t>
      </w:r>
    </w:p>
    <w:p>
      <w:r/>
      <w:r>
        <w:t>Não há dúvida de que, no quarto século a.C., havia uma casa da moeda local na Judeia, pois moedas de prata imitando o tetradracma ateniense, mas também com a inscrição "Jeúde", foram encontradas lá.</w:t>
      </w:r>
    </w:p>
    <w:p>
      <w:r/>
      <w:r>
        <w:t>Devido à extensão do comércio nos tempos gregos e romanos, as moedas dos principais centros eram amplamente aceitas em todas as áreas costeiras do Mediterrâneo. Elas também eram preferidas nas áreas interiores, especialmente naquelas atravessadas por rotas comerciais ou que faziam parte de um império maior.</w:t>
      </w:r>
    </w:p>
    <w:p>
      <w:r/>
      <w:r>
        <w:t>As casas da moeda em Gaza, Jope e Tiro foram estabelecidas por volta do final do quarto século a.C. para produzir moeda local. Nesse período, Sidom continuou a ser um importante fornecedor de moedas de prata, como vinha sendo desde o quinto século a.C.</w:t>
      </w:r>
    </w:p>
    <w:p>
      <w:r/>
      <w:r>
        <w:t>Quando os Selêucidas assumiram o controle da Judeia em 198 a.C., começou um período de turbulência política, pois os sírios tentaram helenizar o povo judeu. O ressentimento em relação à cultura grega e a resistência a qualquer interferência na fé judaica tradicional aumentaram constantemente até encontrar uma saída na liderança de Matatias, pai dos Macabeus, que iniciou uma revolta guerrilheira em 167 a.C.</w:t>
      </w:r>
    </w:p>
    <w:p>
      <w:r/>
      <w:r>
        <w:t>Quando as fortunas da guerra mudaram temporariamente a favor dos Macabeus, o Rei Antíoco da Síria concedeu a Simão Macabeu o direito de cunhar suas próprias moedas (</w:t>
      </w:r>
      <w:hyperlink r:id="rId7175">
        <w:r>
          <w:rPr>
            <w:color w:val="0000EE"/>
            <w:u w:val="single"/>
          </w:rPr>
          <w:t>1Mc 15.6</w:t>
        </w:r>
      </w:hyperlink>
      <w:r>
        <w:t>), mas antes que ele pudesse aproveitar esse símbolo primordial de independência, o equilíbrio de poder mudou novamente. A Judeia voltou ao seu status de tributária, e a permissão para cunhar moedas foi rapidamente retirada.</w:t>
      </w:r>
    </w:p>
    <w:p>
      <w:r/>
      <w:r>
        <w:t>O filho de Simão, João Hircano, conseguiu superar os enfraquecidos sírios e declarou independência em 129 a.C. As pequenas moedas de bronze cunhadas por volta de 110 a.C. mostravam uma coroa de louros no anverso com a inscrição “Joanã, o sumo sacerdote e a comunidade dos judeus”. O reverso exibia uma dupla cornucópia com uma cabeça de papoula, ambos símbolos gregos de abundância. Estas foram as primeiras moedas genuinamente judaicas.</w:t>
      </w:r>
    </w:p>
    <w:p>
      <w:r/>
      <w:r>
        <w:t>Com a falta de artesãos qualificados e de uma boa casa da moeda, não é surpreendente que as moedas resultantes fossem simples e despretensiosas. Consequentemente, elas eram bastante diferentes dos elaborados e, muitas vezes, delicados designs de muitas moedas contemporâneas.</w:t>
      </w:r>
    </w:p>
    <w:p>
      <w:r/>
      <w:r>
        <w:t>Enquanto isso, moedas de prata continuaram a ser cunhadas nas cidades fenícias de Tiro e Sidom por ordem dos Selêucidas, e permaneceram as moedas de prata mais populares no uso cotidiano na Palestina até os tempos romanos. Mesmo então, continuaram a circular juntamente com a cunhagem romana.</w:t>
      </w:r>
    </w:p>
    <w:p>
      <w:r/>
      <w:r>
        <w:rPr>
          <w:i/>
        </w:rPr>
        <w:t>Veja também</w:t>
      </w:r>
      <w:r>
        <w:t xml:space="preserve"> </w:t>
      </w:r>
      <w:r>
        <w:t>Banqueiro, Bancário</w:t>
      </w:r>
      <w:r>
        <w:t xml:space="preserve">; </w:t>
      </w:r>
      <w:r>
        <w:t>Moedas</w:t>
      </w:r>
      <w:r>
        <w:t xml:space="preserve">; </w:t>
      </w:r>
      <w:r>
        <w:t>Cambista</w:t>
      </w:r>
      <w:r>
        <w:t>.</w:t>
      </w:r>
      <w:r/>
      <w:r/>
    </w:p>
    <w:p>
      <w:r/>
    </w:p>
    <w:p>
      <w:pPr>
        <w:pStyle w:val="Heading2"/>
      </w:pPr>
      <w:r>
        <w:t>Dionísio</w:t>
      </w:r>
      <w:r/>
    </w:p>
    <w:p>
      <w:r/>
      <w:r>
        <w:t>Um cidadão importante e respeitado de Atenas que se tornou crente após ouvir Paulo pregar. Dionísio era membro do Areópago (um areopagita), que era o tribunal supremo de Atenas (</w:t>
      </w:r>
      <w:hyperlink r:id="rId266">
        <w:r>
          <w:rPr>
            <w:color w:val="0000EE"/>
            <w:u w:val="single"/>
          </w:rPr>
          <w:t>At 17.34</w:t>
        </w:r>
      </w:hyperlink>
      <w:r>
        <w:t>). Dionísio foi uma das poucas pessoas em Atenas que acreditaram na mensagem de Paulo sobre Jesus.</w:t>
      </w:r>
      <w:r/>
      <w:r/>
    </w:p>
    <w:p>
      <w:r/>
    </w:p>
    <w:p>
      <w:pPr>
        <w:pStyle w:val="Heading2"/>
      </w:pPr>
      <w:r>
        <w:t>Dióscuros</w:t>
      </w:r>
      <w:r/>
    </w:p>
    <w:p>
      <w:r/>
      <w:r>
        <w:t>Os filhos gêmeos de Zeus, conhecidos como Castor e Pólux, eram na mitologia grega as divindades patronas (deuses protetores) da navegação e eram representados na constelação de Gêmeos. Os Dióscuros (os "Irmãos Gêmeos") eram a figura de proa do navio alexandrino no qual Paulo navegou para Roma (</w:t>
      </w:r>
      <w:hyperlink r:id="rId746">
        <w:r>
          <w:rPr>
            <w:color w:val="0000EE"/>
            <w:u w:val="single"/>
          </w:rPr>
          <w:t>At 28.11</w:t>
        </w:r>
      </w:hyperlink>
      <w:r>
        <w:t>).</w:t>
      </w:r>
      <w:r/>
      <w:r/>
    </w:p>
    <w:p>
      <w:r/>
    </w:p>
    <w:p>
      <w:pPr>
        <w:pStyle w:val="Heading2"/>
      </w:pPr>
      <w:r>
        <w:t>Direito de nascimento</w:t>
      </w:r>
      <w:r/>
    </w:p>
    <w:p>
      <w:r/>
      <w:r>
        <w:t>Nas famílias hebraicas antigas, o direito de nascimento (ou primogenitura) era um conjunto especial de direitos e privilégios que pertenciam ao filho mais velho. Ele era o segundo em importância, apenas atrás de seu pai. Quando o pai estava ausente, o filho mais velho tinha a autoridade para tomar decisões pela família.</w:t>
      </w:r>
    </w:p>
    <w:p>
      <w:r/>
      <w:r>
        <w:t>Podemos ver como isso funcionou na história de Rúben e seus irmãos mais novos em Gênesis. Rúben era o filho mais velho e tinha o direito de nascimento (</w:t>
      </w:r>
      <w:hyperlink r:id="rId7176">
        <w:r>
          <w:rPr>
            <w:color w:val="0000EE"/>
            <w:u w:val="single"/>
          </w:rPr>
          <w:t>Gn 37.19–22,28–30</w:t>
        </w:r>
      </w:hyperlink>
      <w:r>
        <w:t>). Mas ele mais tarde cometeu um grande erro. Ele dormiu com uma das esposas de seu pai. Por causa desse pecado, ele perdeu seu direito de nascimento (</w:t>
      </w:r>
      <w:hyperlink r:id="rId7177">
        <w:r>
          <w:rPr>
            <w:color w:val="0000EE"/>
            <w:u w:val="single"/>
          </w:rPr>
          <w:t>Gn 49.1–4</w:t>
        </w:r>
      </w:hyperlink>
      <w:r>
        <w:t>).</w:t>
      </w:r>
    </w:p>
    <w:p>
      <w:r/>
      <w:r>
        <w:t>Depois que Rúben perdeu seu direito de nascimento, seus irmãos mais novos Simeão, Levi e Judá estavam próximos na linha de sucessão (</w:t>
      </w:r>
      <w:hyperlink r:id="rId7178">
        <w:r>
          <w:rPr>
            <w:color w:val="0000EE"/>
            <w:u w:val="single"/>
          </w:rPr>
          <w:t>Gn 29.31–35</w:t>
        </w:r>
      </w:hyperlink>
      <w:r>
        <w:t>). No entanto, seu pai Jacó decidiu não dar o direito de nascimento a Simeão ou Levi porque eles demonstraram mau caráter (</w:t>
      </w:r>
      <w:hyperlink r:id="rId7179">
        <w:r>
          <w:rPr>
            <w:color w:val="0000EE"/>
            <w:u w:val="single"/>
          </w:rPr>
          <w:t>Gn 49.5–7</w:t>
        </w:r>
      </w:hyperlink>
      <w:r>
        <w:t>). Jacó falou bem de Judá (</w:t>
      </w:r>
      <w:hyperlink r:id="rId7180">
        <w:r>
          <w:rPr>
            <w:color w:val="0000EE"/>
            <w:u w:val="single"/>
          </w:rPr>
          <w:t>Gn 49.8–10</w:t>
        </w:r>
      </w:hyperlink>
      <w:r>
        <w:t>). Mas ele escolheu dar o direito de nascimento ao seu filho favorito José (</w:t>
      </w:r>
      <w:hyperlink r:id="rId7181">
        <w:r>
          <w:rPr>
            <w:color w:val="0000EE"/>
            <w:u w:val="single"/>
          </w:rPr>
          <w:t>Gn 49.22–26</w:t>
        </w:r>
      </w:hyperlink>
      <w:r>
        <w:t xml:space="preserve">; </w:t>
      </w:r>
      <w:hyperlink r:id="rId7182">
        <w:r>
          <w:rPr>
            <w:color w:val="0000EE"/>
            <w:u w:val="single"/>
          </w:rPr>
          <w:t>1Cr 5.1–2</w:t>
        </w:r>
      </w:hyperlink>
      <w:r>
        <w:t xml:space="preserve">; cp. </w:t>
      </w:r>
      <w:hyperlink r:id="rId7183">
        <w:r>
          <w:rPr>
            <w:color w:val="0000EE"/>
            <w:u w:val="single"/>
          </w:rPr>
          <w:t>Gn 37.2–4</w:t>
        </w:r>
      </w:hyperlink>
      <w:r>
        <w:t>).</w:t>
      </w:r>
    </w:p>
    <w:p>
      <w:pPr>
        <w:pStyle w:val="Heading3"/>
      </w:pPr>
      <w:r>
        <w:t>Como funcionavam os direitos de nascimento nos tempos antigos</w:t>
      </w:r>
    </w:p>
    <w:p>
      <w:r/>
      <w:r>
        <w:t xml:space="preserve">Arqueólogos encontraram antigas tábuas de argila em um lugar chamado Nuzi, na Mesopotâmia. Essas tábuas nos informam que membros da família podiam trocar ou negociar seus direitos de nascimento entre si. Vemos um exemplo disso na Bíblia quando Esaú troca seu direito de nascimento com seu irmão Jacó (cp. </w:t>
      </w:r>
      <w:hyperlink r:id="rId7184">
        <w:r>
          <w:rPr>
            <w:color w:val="0000EE"/>
            <w:u w:val="single"/>
          </w:rPr>
          <w:t>Gn 25.19–34</w:t>
        </w:r>
      </w:hyperlink>
      <w:r>
        <w:t>).</w:t>
      </w:r>
    </w:p>
    <w:p>
      <w:r/>
      <w:r>
        <w:t>A pessoa que tinha o direito de nascimento também guardava objetos especiais chamados "terafins" ou ídolos domésticos (</w:t>
      </w:r>
      <w:hyperlink r:id="rId7185">
        <w:r>
          <w:rPr>
            <w:color w:val="0000EE"/>
            <w:u w:val="single"/>
          </w:rPr>
          <w:t>Gn 31.19,32,34</w:t>
        </w:r>
      </w:hyperlink>
      <w:r>
        <w:t>). Eram pequenas figuras feitas de barro que representavam os deuses adorados na região. Possuir esses ídolos ajudava a demonstrar que o filho mais velho tinha autoridade na família.</w:t>
      </w:r>
    </w:p>
    <w:p>
      <w:r/>
      <w:r>
        <w:t>Ter o direito de nascimento significava duas coisas importantes: Primeiro, a pessoa se tornaria o líder da família. Segundo, receberia o dobro da herança em comparação com seus irmãos.</w:t>
      </w:r>
    </w:p>
    <w:p>
      <w:r/>
      <w:r>
        <w:t>Na antiga Israel, os homens podiam ter mais de uma esposa. A lei determinava que o direito de nascimento devia ser concedido ao primeiro filho nascido do pai, mesmo que o pai amasse mais outra esposa. O pai não podia alterar isso sem uma causa justa (</w:t>
      </w:r>
      <w:hyperlink r:id="rId5355">
        <w:r>
          <w:rPr>
            <w:color w:val="0000EE"/>
            <w:u w:val="single"/>
          </w:rPr>
          <w:t>Dt 21.15–17</w:t>
        </w:r>
      </w:hyperlink>
      <w:r>
        <w:t>).</w:t>
      </w:r>
    </w:p>
    <w:p>
      <w:r/>
      <w:r>
        <w:t>No entanto, houve algumas exceções. Se a mãe de um filho fosse uma serva ou uma esposa secundária (uma mulher que vivia com o pai, mas tinha menos direitos do que a esposa), esse filho não poderia receber o direito de nascimento (</w:t>
      </w:r>
      <w:hyperlink r:id="rId7186">
        <w:r>
          <w:rPr>
            <w:color w:val="0000EE"/>
            <w:u w:val="single"/>
          </w:rPr>
          <w:t>Gn 21.9–13</w:t>
        </w:r>
      </w:hyperlink>
      <w:r>
        <w:t xml:space="preserve">; </w:t>
      </w:r>
      <w:hyperlink r:id="rId7187">
        <w:r>
          <w:rPr>
            <w:color w:val="0000EE"/>
            <w:u w:val="single"/>
          </w:rPr>
          <w:t>Jz 11.1–2</w:t>
        </w:r>
      </w:hyperlink>
      <w:r>
        <w:t>).</w:t>
      </w:r>
    </w:p>
    <w:p>
      <w:r/>
      <w:r>
        <w:t>O direito de nascimento era especialmente importante nas famílias reais. O filho mais velho de um rei tinha o direito de se tornar o próximo rei (</w:t>
      </w:r>
      <w:hyperlink r:id="rId7188">
        <w:r>
          <w:rPr>
            <w:color w:val="0000EE"/>
            <w:u w:val="single"/>
          </w:rPr>
          <w:t>2Cr 21.1–3</w:t>
        </w:r>
      </w:hyperlink>
      <w:r>
        <w:t>). Vemos um exemplo do que poderia dar errado quando essa regra era quebrada. O rei Roboão de Judá escolheu seu filho favorito, Abias, para ser o próximo rei, mesmo que Abias não fosse o mais velho. Para evitar que seus outros filhos causassem problemas, Roboão teve que dar-lhes presentes e posições especiais (</w:t>
      </w:r>
      <w:hyperlink r:id="rId7189">
        <w:r>
          <w:rPr>
            <w:color w:val="0000EE"/>
            <w:u w:val="single"/>
          </w:rPr>
          <w:t>11.18–23</w:t>
        </w:r>
      </w:hyperlink>
      <w:r>
        <w:t xml:space="preserve">; </w:t>
      </w:r>
      <w:hyperlink r:id="rId7190">
        <w:r>
          <w:rPr>
            <w:color w:val="0000EE"/>
            <w:u w:val="single"/>
          </w:rPr>
          <w:t>12.16</w:t>
        </w:r>
      </w:hyperlink>
      <w:r>
        <w:t>).</w:t>
      </w:r>
    </w:p>
    <w:p>
      <w:pPr>
        <w:pStyle w:val="Heading3"/>
      </w:pPr>
      <w:r>
        <w:t>O direito de nascimento de Esaú e o significado para os cristãos</w:t>
      </w:r>
    </w:p>
    <w:p>
      <w:r/>
      <w:r>
        <w:t>O Novo Testamento relata uma história do Antigo Testamento sobre um homem chamado Esaú. Esaú era o filho mais velho de Isaque, um líder importante na história inicial de Israel. Um dia, Esaú estava com muita fome e trocou seu direito de nascimento com seu irmão mais novo, Jacó, por um prato de ensopado de lentilhas. Ele tomou essa decisão sem considerar a importância de seu direito de nascimento (</w:t>
      </w:r>
      <w:hyperlink r:id="rId7191">
        <w:r>
          <w:rPr>
            <w:color w:val="0000EE"/>
            <w:u w:val="single"/>
          </w:rPr>
          <w:t>Hb 12.16–17</w:t>
        </w:r>
      </w:hyperlink>
      <w:r>
        <w:t xml:space="preserve">; cp. </w:t>
      </w:r>
      <w:hyperlink r:id="rId7184">
        <w:r>
          <w:rPr>
            <w:color w:val="0000EE"/>
            <w:u w:val="single"/>
          </w:rPr>
          <w:t>Gn 25.19–34</w:t>
        </w:r>
      </w:hyperlink>
      <w:r>
        <w:t>).</w:t>
      </w:r>
    </w:p>
    <w:p>
      <w:r/>
      <w:r>
        <w:t>Esta história ensina uma lição importante. Assim como Esaú perdeu seu direito de nascimento e a bênção de seu pai ao fazer uma escolha tola, os cristãos são advertidos a não desistirem descuidadamente das bênçãos espirituais que Deus tem para eles. (</w:t>
      </w:r>
      <w:hyperlink r:id="rId7192">
        <w:r>
          <w:rPr>
            <w:color w:val="0000EE"/>
            <w:u w:val="single"/>
          </w:rPr>
          <w:t>Gn 27</w:t>
        </w:r>
      </w:hyperlink>
      <w:r>
        <w:t>).</w:t>
      </w:r>
    </w:p>
    <w:p>
      <w:r/>
      <w:r>
        <w:rPr>
          <w:i/>
        </w:rPr>
        <w:t>Veja também</w:t>
      </w:r>
      <w:r>
        <w:t xml:space="preserve"> </w:t>
      </w:r>
      <w:r>
        <w:t>Herança</w:t>
      </w:r>
      <w:r>
        <w:t xml:space="preserve">; </w:t>
      </w:r>
      <w:r>
        <w:t>Herdeiro</w:t>
      </w:r>
      <w:r>
        <w:t xml:space="preserve">; </w:t>
      </w:r>
      <w:r>
        <w:t>Primogênito</w:t>
      </w:r>
      <w:r>
        <w:t>.</w:t>
      </w:r>
      <w:r/>
      <w:r/>
    </w:p>
    <w:p>
      <w:r/>
    </w:p>
    <w:p>
      <w:pPr>
        <w:pStyle w:val="Heading2"/>
      </w:pPr>
      <w:r>
        <w:t>Direito penal e punição</w:t>
      </w:r>
      <w:r/>
    </w:p>
    <w:p>
      <w:r/>
      <w:r>
        <w:t>A ciência ou filosofia do direito é chamada de jurisprudência. Embora a jurisprudência moderna tenha pouca semelhança com os conceitos bíblicos de lei, as escrituras desempenharam um papel definitivo em seu desenvolvimento. Hoje, o direito penal é claramente distinguido do direito civil; nos tempos bíblicos, a distinção era muito menos clara. Atualmente, as infrações contra o direito civil (delitos) são diferenciadas de crimes menores (contravenções) e de crimes graves (crimes). Na Bíblia, "crimes" incluíam todas as ofensas puníveis, até mesmo ofensas religiosas como idolatria (adorar um falso deus) ou blasfêmia (falar ou comportar-se com desprezo em relação a Deus).</w:t>
      </w:r>
    </w:p>
    <w:p>
      <w:r/>
      <w:r>
        <w:t>Prévia</w:t>
      </w:r>
    </w:p>
    <w:p>
      <w:r/>
      <w:r>
        <w:t>• Contexto do Oriente Médio;</w:t>
      </w:r>
    </w:p>
    <w:p>
      <w:r/>
      <w:r>
        <w:t>• Lei penal hebraica;</w:t>
      </w:r>
    </w:p>
    <w:p>
      <w:r/>
      <w:r>
        <w:t>• Punição;</w:t>
      </w:r>
    </w:p>
    <w:p>
      <w:r/>
      <w:r>
        <w:t>• Conclusão;</w:t>
      </w:r>
    </w:p>
    <w:p>
      <w:pPr>
        <w:pStyle w:val="Heading3"/>
      </w:pPr>
      <w:r>
        <w:t>Contexto do Oriente Médio</w:t>
      </w:r>
    </w:p>
    <w:p>
      <w:r/>
      <w:r>
        <w:t>Nas sociedades antigas, assim como nas modernas, as leis eram consideradas necessárias para regular o comportamento individual em prol do bem da comunidade, estado ou nação. Hoje, as leis são vistas como criadas pelas pessoas para sua própria proteção. Em contraste, todos os códigos de leis do antigo Oriente Próximo eram considerados como tendo vindo diretamente de alguma fonte divina. A lei hebraica, embora distinta, seguia o padrão geral dos códigos de leis do Oriente Próximo, conforme evidenciado pelos que sobreviveram — como o Código de Hamurábi e as leis assírias e hititas.</w:t>
      </w:r>
    </w:p>
    <w:p>
      <w:r/>
      <w:r>
        <w:t>Conclusões sobre a "origem" das leis antigas devem ser feitas com cautela. Embora evidências indiquem que Hamurabi baseou sua legislação parcialmente em códigos sumérios anteriores, ele declarou que seu código havia sido recebido de Shamash, deus da justiça. Essa declaração deve ter sido feita principalmente para transmitir que seu código tinha a sanção expressa de Shamash, já que pelo menos algumas pessoas reconheceriam que era uma compilação baseada em grande parte em leis anteriores. Da mesma forma, as claras declarações bíblicas sobre Moisés recebendo a lei no Monte Sinai (</w:t>
      </w:r>
      <w:hyperlink r:id="rId7193">
        <w:r>
          <w:rPr>
            <w:color w:val="0000EE"/>
            <w:u w:val="single"/>
          </w:rPr>
          <w:t>Êx 19–24</w:t>
        </w:r>
      </w:hyperlink>
      <w:r>
        <w:t>) não descartam a possibilidade de que partes do Decálogo (os dez mandamentos) possam ter existido em códigos anteriores. Possivelmente, a legislação mosaica incluiu algumas regras sociais adaptadas do período da estadia de Israel no Egito.</w:t>
      </w:r>
    </w:p>
    <w:p>
      <w:pPr>
        <w:pStyle w:val="Heading3"/>
      </w:pPr>
      <w:r>
        <w:t>Lei penal hebraica</w:t>
      </w:r>
    </w:p>
    <w:p>
      <w:pPr>
        <w:pStyle w:val="Heading4"/>
      </w:pPr>
      <w:r>
        <w:t>Leis que regem Ofensas Contra Deus</w:t>
      </w:r>
    </w:p>
    <w:p>
      <w:r/>
      <w:r>
        <w:t>Como a lei hebraica foi projetada para um grupo de pessoas para quem a religião era de importância primordial e cuja fé estava em perigo pela influência das crenças de seus vizinhos pagãos, não é surpreendente que grande parte da lei hebraica tratasse de crimes cometidos contra Deus. A proibição de adorar ídolos é declarada e repetida na Torá, ou Pentateuco (os primeiros cinco livros da Bíblia): “Não faça imagens de nenhuma coisa que há lá em cima no céu, ou aqui embaixo na terra, ou nas águas debaixo da terra. Não se ajoelhe diante de ídolos, nem os adore” (</w:t>
      </w:r>
      <w:hyperlink r:id="rId7194">
        <w:r>
          <w:rPr>
            <w:color w:val="0000EE"/>
            <w:u w:val="single"/>
          </w:rPr>
          <w:t>Êx 20.4–5</w:t>
        </w:r>
      </w:hyperlink>
      <w:r>
        <w:t>, NTLH). O sacrifício de crianças, praticado em algumas religiões pagãs, era especificamente proibido em Israel. A pena para esse crime, assim como para outras formas de assassinato, era o apedrejamento até a morte (</w:t>
      </w:r>
      <w:hyperlink r:id="rId7195">
        <w:r>
          <w:rPr>
            <w:color w:val="0000EE"/>
            <w:u w:val="single"/>
          </w:rPr>
          <w:t>Lv 20.2</w:t>
        </w:r>
      </w:hyperlink>
      <w:r>
        <w:t>).</w:t>
      </w:r>
    </w:p>
    <w:p>
      <w:r/>
      <w:r>
        <w:t>No livro de Levítico, a morte por apedrejamento foi registrada como a punição apropriada para blasfemar o nome de Deus (</w:t>
      </w:r>
      <w:hyperlink r:id="rId7196">
        <w:r>
          <w:rPr>
            <w:color w:val="0000EE"/>
            <w:u w:val="single"/>
          </w:rPr>
          <w:t>Lv 24.11–16</w:t>
        </w:r>
      </w:hyperlink>
      <w:r>
        <w:t>). A falsa profecia também era uma ofensa criminal; essa acusação poderia se aplicar a uma pessoa que fizesse uma previsão em nome de um deus diferente do Senhor, ou que implicasse falsamente que sua profecia resultou de uma comunicação com Deus. Jeremias, cuja profecia da vitória de Nabucodonosor sobre o reino do sul de Judá foi por um tempo considerada falsa, quase foi linchado por uma multidão (</w:t>
      </w:r>
      <w:hyperlink r:id="rId7197">
        <w:r>
          <w:rPr>
            <w:color w:val="0000EE"/>
            <w:u w:val="single"/>
          </w:rPr>
          <w:t>Jr 26.8–9</w:t>
        </w:r>
      </w:hyperlink>
      <w:r>
        <w:t>).</w:t>
      </w:r>
    </w:p>
    <w:p>
      <w:r/>
      <w:r>
        <w:t>A ideia de manter o sétimo dia santo surgiu da celebração do trabalho de Deus na criação do universo em seis dias e descanso no sétimo. Guardar o sábado exigia a cessação do trabalho manual para toda a família, incluindo os animais de fazenda (</w:t>
      </w:r>
      <w:hyperlink r:id="rId7198">
        <w:r>
          <w:rPr>
            <w:color w:val="0000EE"/>
            <w:u w:val="single"/>
          </w:rPr>
          <w:t>Êx 16.23</w:t>
        </w:r>
      </w:hyperlink>
      <w:r>
        <w:t xml:space="preserve">; </w:t>
      </w:r>
      <w:hyperlink r:id="rId802">
        <w:r>
          <w:rPr>
            <w:color w:val="0000EE"/>
            <w:u w:val="single"/>
          </w:rPr>
          <w:t>20.8–11</w:t>
        </w:r>
      </w:hyperlink>
      <w:r>
        <w:t>). As pessoas também eram obrigadas a se reunir no sábado para adoração, o que em um período posterior na história hebraica incluía a leitura das Escrituras, oração e pregação. Qualquer pessoa que quebrasse o sábado poderia ser condenada à morte, como aconteceu com um homem pego recolhendo lenha no sábado (</w:t>
      </w:r>
      <w:hyperlink r:id="rId7199">
        <w:r>
          <w:rPr>
            <w:color w:val="0000EE"/>
            <w:u w:val="single"/>
          </w:rPr>
          <w:t>Nm 15.32–36</w:t>
        </w:r>
      </w:hyperlink>
      <w:r>
        <w:t>).</w:t>
      </w:r>
    </w:p>
    <w:p>
      <w:r/>
      <w:r>
        <w:t>Qualquer tipo de crime premeditado era considerado uma ofensa contra Deus, o doador de toda a lei; portanto, era punível com a morte (</w:t>
      </w:r>
      <w:hyperlink r:id="rId3061">
        <w:r>
          <w:rPr>
            <w:color w:val="0000EE"/>
            <w:u w:val="single"/>
          </w:rPr>
          <w:t>Nm 15.30–31</w:t>
        </w:r>
      </w:hyperlink>
      <w:r>
        <w:t>). A lei hebraica também insistia na doação das primícias da colheita ao Senhor sem demora. Esse requisito às vezes era estendido para incluir um primeiro filho, cuja vida era dedicada ao serviço no templo (</w:t>
      </w:r>
      <w:hyperlink r:id="rId7200">
        <w:r>
          <w:rPr>
            <w:color w:val="0000EE"/>
            <w:u w:val="single"/>
          </w:rPr>
          <w:t>Êx 22.29–30</w:t>
        </w:r>
      </w:hyperlink>
      <w:r>
        <w:t xml:space="preserve">; </w:t>
      </w:r>
      <w:hyperlink r:id="rId5426">
        <w:r>
          <w:rPr>
            <w:color w:val="0000EE"/>
            <w:u w:val="single"/>
          </w:rPr>
          <w:t>Dt 15.19</w:t>
        </w:r>
      </w:hyperlink>
      <w:r>
        <w:t>).</w:t>
      </w:r>
    </w:p>
    <w:p>
      <w:pPr>
        <w:pStyle w:val="Heading4"/>
      </w:pPr>
      <w:r>
        <w:t>Lesão corporal</w:t>
      </w:r>
    </w:p>
    <w:p>
      <w:r/>
      <w:r>
        <w:t>O assassinato, uma ofensa contra a “imagem de Deus”, era um dos muitos crimes puníveis com a morte nos tempos do Antigo Testamento. O livro de Êxodo afirmava claramente que “Deverá ser morto todo aquele que ferir uma pessoa de modo que ela morra” (</w:t>
      </w:r>
      <w:hyperlink r:id="rId7201">
        <w:r>
          <w:rPr>
            <w:color w:val="0000EE"/>
            <w:u w:val="single"/>
          </w:rPr>
          <w:t>Êx 21.12</w:t>
        </w:r>
      </w:hyperlink>
      <w:r>
        <w:t>, NTLH). Um assassino que matasse usando uma arma como uma pedra, um pedaço de madeira ou ferro poderia ser morto em vingança por um parente do falecido. Se a morte original ocorresse acidentalmente, a comunidade às vezes ajudava a esconder o assassino e o encorajava a se refugiar em uma cidade de refúgio próxima, onde estaria seguro enquanto permanecesse dentro de seus portões. Ele tinha que ficar nesse santuário até a morte do sumo sacerdote então em exercício, após o que estava livre para retornar à sua própria cidade (</w:t>
      </w:r>
      <w:hyperlink r:id="rId7202">
        <w:r>
          <w:rPr>
            <w:color w:val="0000EE"/>
            <w:u w:val="single"/>
          </w:rPr>
          <w:t>Nm 35.10–28</w:t>
        </w:r>
      </w:hyperlink>
      <w:r>
        <w:t>). O sexto mandamento ordenava: “Não matarás” (</w:t>
      </w:r>
      <w:hyperlink r:id="rId7203">
        <w:r>
          <w:rPr>
            <w:color w:val="0000EE"/>
            <w:u w:val="single"/>
          </w:rPr>
          <w:t>Êx 20.13</w:t>
        </w:r>
      </w:hyperlink>
      <w:r>
        <w:t>). A palavra hebraica referia-se especificamente a assassinato, não a todas as formas de matar. Matar um inimigo em batalha e a execução de um assassino eram considerados necessários e não eram proibidos. Mais de uma testemunha era necessária para qualquer condenação, particularmente em um caso de assassinato (</w:t>
      </w:r>
      <w:hyperlink r:id="rId7204">
        <w:r>
          <w:rPr>
            <w:color w:val="0000EE"/>
            <w:u w:val="single"/>
          </w:rPr>
          <w:t>Nm 35.30</w:t>
        </w:r>
      </w:hyperlink>
      <w:r>
        <w:t xml:space="preserve">; </w:t>
      </w:r>
      <w:hyperlink r:id="rId4202">
        <w:r>
          <w:rPr>
            <w:color w:val="0000EE"/>
            <w:u w:val="single"/>
          </w:rPr>
          <w:t>Dt 17.6</w:t>
        </w:r>
      </w:hyperlink>
      <w:r>
        <w:t xml:space="preserve">; </w:t>
      </w:r>
      <w:hyperlink r:id="rId7205">
        <w:r>
          <w:rPr>
            <w:color w:val="0000EE"/>
            <w:u w:val="single"/>
          </w:rPr>
          <w:t>19.15</w:t>
        </w:r>
      </w:hyperlink>
      <w:r>
        <w:t>).</w:t>
      </w:r>
    </w:p>
    <w:p>
      <w:r/>
      <w:r>
        <w:t>No Código de Hamurábi, um homem que causasse um ferimento acidental em outro era obrigado a pagar pelos serviços do médico. Se a vítima morresse, uma multa era paga de acordo com o status da vítima. De certa forma, os hebreus foram além, exigindo pagamento por qualquer perda de tempo sofrida pela pessoa ferida (</w:t>
      </w:r>
      <w:hyperlink r:id="rId7206">
        <w:r>
          <w:rPr>
            <w:color w:val="0000EE"/>
            <w:u w:val="single"/>
          </w:rPr>
          <w:t>Êx 21.18,19</w:t>
        </w:r>
      </w:hyperlink>
      <w:r>
        <w:t>).</w:t>
      </w:r>
    </w:p>
    <w:p>
      <w:r/>
      <w:r>
        <w:t>O sequestro era punível com a morte no AT. Êxodo afirma que “Quem levar à força uma pessoa para vendê-la ou para ficar com ela como escrava será morto.” (</w:t>
      </w:r>
      <w:hyperlink r:id="rId7207">
        <w:r>
          <w:rPr>
            <w:color w:val="0000EE"/>
            <w:u w:val="single"/>
          </w:rPr>
          <w:t>Êx 21.16</w:t>
        </w:r>
      </w:hyperlink>
      <w:r>
        <w:t>, NTLH). O fato de José ter sido vendido como escravo por seus irmãos ilustra esse tipo de sequestro.</w:t>
      </w:r>
    </w:p>
    <w:p>
      <w:pPr>
        <w:pStyle w:val="Heading4"/>
      </w:pPr>
      <w:r>
        <w:t>Leis sobre propriedade</w:t>
      </w:r>
    </w:p>
    <w:p>
      <w:r/>
      <w:r>
        <w:t>O livro de Êxodo é bastante específico sobre qualquer pessoa responsável por danos à propriedade ou às colheitas de outra pessoa. Se um campo pegasse fogo e o fogo se espalhasse, danificando colheitas em outros campos, a pessoa que iniciou o fogo, ou talvez o proprietário do primeiro campo a pegar fogo, era responsável pelos danos (</w:t>
      </w:r>
      <w:hyperlink r:id="rId7208">
        <w:r>
          <w:rPr>
            <w:color w:val="0000EE"/>
            <w:u w:val="single"/>
          </w:rPr>
          <w:t>Êx 22.6</w:t>
        </w:r>
      </w:hyperlink>
      <w:r>
        <w:t>). O código de Hamurabi citava uma instância semelhante de um homem que negligenciou a manutenção de um dique e, portanto, foi responsável pelos danos causados pelas inundações às colheitas de seu vizinho.</w:t>
      </w:r>
    </w:p>
    <w:p>
      <w:r/>
      <w:r>
        <w:t>Lesões em animais, especialmente bois, ou lesões a pessoas ou propriedades causadas por tais animais formavam uma área importante da lei hebraica. Se um boi que anteriormente tinha um temperamento bom matasse um homem, o dono seria inocente, embora o boi fosse condenado à morte — uma penalidade financeira severa para o dono. Se um boi com histórico de chifradas matasse um homem porque seu dono não conseguiu contê-lo adequadamente, tanto o boi quanto o dono seriam condenados à morte. A vida do dono poderia ser resgatada mediante o pagamento de uma quantia acordada. Se a pessoa que o boi chifrou fosse um servo, o boi era apedrejado e o dono pagava uma multa (</w:t>
      </w:r>
      <w:hyperlink r:id="rId7209">
        <w:r>
          <w:rPr>
            <w:color w:val="0000EE"/>
            <w:u w:val="single"/>
          </w:rPr>
          <w:t>Êx 21.28–32</w:t>
        </w:r>
      </w:hyperlink>
      <w:r>
        <w:t>). O Código de Hamurabi também não recomendava punição para a primeira ofensa de um animal, mas se o dono soubesse que o boi era perigoso e não tivesse tomado medidas para evitar danos, uma multa em prata era paga — uma multa muito grande para uma vítima de classe alta, um pouco menos se a vítima fosse um escravo. Por piores que fossem as circunstâncias e por mais feroz que fosse o boi, o Código de Hamurabi limitava-se a uma multa pela ofensa, nunca impondo a pena de morte ao animal ou ao dono.</w:t>
      </w:r>
    </w:p>
    <w:p>
      <w:r/>
      <w:r>
        <w:t>A negligência que causava ferimento a um animal também era punida na lei hebraica. Se um boi ou um jumento caísse em uma cova deixada descoberta por descuido, o dono do animal era reembolsado pela perda (</w:t>
      </w:r>
      <w:hyperlink r:id="rId7210">
        <w:r>
          <w:rPr>
            <w:color w:val="0000EE"/>
            <w:u w:val="single"/>
          </w:rPr>
          <w:t>Êx 21.33–36</w:t>
        </w:r>
      </w:hyperlink>
      <w:r>
        <w:t>).</w:t>
      </w:r>
    </w:p>
    <w:p>
      <w:r/>
      <w:r>
        <w:t xml:space="preserve">Nas culturas antigas, as mulheres eram geralmente consideradas bens móveis (propriedade pessoal), muito semelhantes a animais ou escravos. Uma filha era vista como propriedade de seu pai até o casamento, e então como propriedade de seu marido. Portanto, qualquer ofensa contra uma mulher casada era vista como uma ofensa contra a propriedade do marido. De acordo com o Código de Hamurabi, uma criança podia ser vendida como escrava ou serva, geralmente como pagamento da dívida do pai (cf. </w:t>
      </w:r>
      <w:hyperlink r:id="rId7211">
        <w:r>
          <w:rPr>
            <w:color w:val="0000EE"/>
            <w:u w:val="single"/>
          </w:rPr>
          <w:t>Êx 21.2–7</w:t>
        </w:r>
      </w:hyperlink>
      <w:r>
        <w:t xml:space="preserve">; </w:t>
      </w:r>
      <w:hyperlink r:id="rId7212">
        <w:r>
          <w:rPr>
            <w:color w:val="0000EE"/>
            <w:u w:val="single"/>
          </w:rPr>
          <w:t>Ne 5.5–8</w:t>
        </w:r>
      </w:hyperlink>
      <w:r>
        <w:t xml:space="preserve">; </w:t>
      </w:r>
      <w:hyperlink r:id="rId3083">
        <w:r>
          <w:rPr>
            <w:color w:val="0000EE"/>
            <w:u w:val="single"/>
          </w:rPr>
          <w:t>Is 50.1</w:t>
        </w:r>
      </w:hyperlink>
      <w:r>
        <w:t>). A autoridade parental era tão altamente valorizada na lei bíblica que um filho teimoso e rebelde podia ser levado perante os anciãos sob a acusação de ser desobediente e glutão ou bêbado. Ele poderia então ser condenado e apedrejado até a morte no local pelos homens da cidade (</w:t>
      </w:r>
      <w:hyperlink r:id="rId7213">
        <w:r>
          <w:rPr>
            <w:color w:val="0000EE"/>
            <w:u w:val="single"/>
          </w:rPr>
          <w:t>Dt 21.18–21</w:t>
        </w:r>
      </w:hyperlink>
      <w:r>
        <w:t>). Mesmo isso, no entanto, era uma proteção dos direitos da criança; algumas legislações do Oriente Próximo permitiam que um pai ordenasse a morte de seu filho sem referência aos anciãos ou a qualquer outra pessoa. Com as filhas, em particular, sendo mantidas em tão baixa consideração, é talvez notável que uma filha pudesse herdar propriedade se não houvesse filhos (</w:t>
      </w:r>
      <w:hyperlink r:id="rId7214">
        <w:r>
          <w:rPr>
            <w:color w:val="0000EE"/>
            <w:u w:val="single"/>
          </w:rPr>
          <w:t>Nm 27.8</w:t>
        </w:r>
      </w:hyperlink>
      <w:r>
        <w:t>).</w:t>
      </w:r>
    </w:p>
    <w:p>
      <w:r/>
      <w:r>
        <w:t>O adultério, proibido no Decálogo, era outro crime contra a propriedade de um homem, especificamente sua esposa. O livro de Deuteronômio detalha consideravelmente os casos de adultério — a punição para ambas as pessoas era a morte (</w:t>
      </w:r>
      <w:hyperlink r:id="rId457">
        <w:r>
          <w:rPr>
            <w:color w:val="0000EE"/>
            <w:u w:val="single"/>
          </w:rPr>
          <w:t>Dt 22.22</w:t>
        </w:r>
      </w:hyperlink>
      <w:r>
        <w:t>). Se um homem seduzisse uma jovem que não estava prometida, ele era obrigado a pagar ao pai dela o preço da noiva (50 siclos de prata); ele não podia se divorciar dela, mas tinha que mantê-la como sua esposa pelo resto da vida (</w:t>
      </w:r>
      <w:hyperlink r:id="rId4571">
        <w:r>
          <w:rPr>
            <w:color w:val="0000EE"/>
            <w:u w:val="single"/>
          </w:rPr>
          <w:t>Êx 22.16</w:t>
        </w:r>
      </w:hyperlink>
      <w:r>
        <w:t xml:space="preserve">; </w:t>
      </w:r>
      <w:hyperlink r:id="rId4567">
        <w:r>
          <w:rPr>
            <w:color w:val="0000EE"/>
            <w:u w:val="single"/>
          </w:rPr>
          <w:t>Dt 22.28,29</w:t>
        </w:r>
      </w:hyperlink>
      <w:r>
        <w:t>).</w:t>
      </w:r>
    </w:p>
    <w:p>
      <w:r/>
      <w:r>
        <w:t>Em uma situação em que uma esposa era acusada de adultério, mas sem evidências, um julgamento era conduzido. O marido levava sua esposa a um sacerdote e apresentava uma pequena oferta (um décimo de uma medida de farinha de cevada, sem óleo nem incenso sobre ela), indicando o baixo apreço que agora tinha por sua esposa. A mulher então ficava diante do Senhor segurando um jarro de barro com “Água Benta.” Poeira do chão do tabernáculo era misturada com a água, e a oferta de cereais era colocada em suas mãos. Seu cabelo era solto pelo sacerdote para mostrar não apenas sua tristeza, mas também para dar uma impressão de abandono. Ela então era obrigada a fazer um juramento. Depois disso, o sacerdote pronunciava uma maldição sobre ela no sentido de que seu ventre seria facilmente fertilizado, mas que ela teria muitos abortos. Ela tinha que dar seu consentimento a esse pronunciamento. O sacerdote então escrevia as maldições em um livro e simbolicamente as lavava na “água amarga.” A mulher era obrigada a beber a água enquanto o sacerdote agitava a oferta de cereais de suas mãos diante do Senhor e queimava parte dela no altar. O sacerdote dizia a ela que, se fosse culpada, a água faria sua coxa apodrecer e seu abdômen inchar. Se isso acontecesse, ela se tornaria uma pária; mas se fosse provada inocente, estaria livre. Qualquer que fosse o resultado, nenhuma culpa por acusação falsa recaía sobre o marido (</w:t>
      </w:r>
      <w:hyperlink r:id="rId7215">
        <w:r>
          <w:rPr>
            <w:color w:val="0000EE"/>
            <w:u w:val="single"/>
          </w:rPr>
          <w:t>Nm 5.12–31</w:t>
        </w:r>
      </w:hyperlink>
      <w:r>
        <w:t>).</w:t>
      </w:r>
    </w:p>
    <w:p>
      <w:r/>
      <w:r>
        <w:t>Se um escravo fosse golpeado por seu mestre de tal maneira que causasse morte instantânea, a morte do escravo tinha que ser vingada. Se o escravo sobrevivesse, possivelmente por dias, ele não precisava ser vingado, pois sua perda já era uma punição suficiente para o proprietário (</w:t>
      </w:r>
      <w:hyperlink r:id="rId7216">
        <w:r>
          <w:rPr>
            <w:color w:val="0000EE"/>
            <w:u w:val="single"/>
          </w:rPr>
          <w:t>Êx 21.20,21</w:t>
        </w:r>
      </w:hyperlink>
      <w:r>
        <w:t xml:space="preserve">). É improvável que os hebreus tivessem muita experiência com essa lei, que não tinha paralelos no código de Hamurabi. Se um proprietário ferisse seu escravo causando a perda de um olho ou de um dente, a lei hebraica exigia que o escravo fosse libertado (vv. </w:t>
      </w:r>
      <w:hyperlink r:id="rId7217">
        <w:r>
          <w:rPr>
            <w:color w:val="0000EE"/>
            <w:u w:val="single"/>
          </w:rPr>
          <w:t>26,27</w:t>
        </w:r>
      </w:hyperlink>
      <w:r>
        <w:t>). O Código de Hamurabi dava um exemplo de um homem ferindo o escravo de outro homem; o proprietário tinha que ser pago com metade do valor do escravo.</w:t>
      </w:r>
    </w:p>
    <w:p>
      <w:r/>
      <w:r>
        <w:t>Pouca ênfase foi dada ao furto ou roubo no código de leis hebraico. Presumia-se que um ladrão estava arrependido e pronto para fazer restituição. Após a devolução da propriedade roubada e o pagamento de uma pequena multa adicional, um ladrão poderia novamente “aproximar-se do Senhor” (</w:t>
      </w:r>
      <w:hyperlink r:id="rId7218">
        <w:r>
          <w:rPr>
            <w:color w:val="0000EE"/>
            <w:u w:val="single"/>
          </w:rPr>
          <w:t>Lv 6.2–7</w:t>
        </w:r>
      </w:hyperlink>
      <w:r>
        <w:t>). Em contraste, o Código de Hamurabi prescrevia a pena de morte para furto. Na lei hebraica, o roubo de um animal exigia que a restituição fosse feita na proporção de pelo menos dois para um; se um touro ou uma vaca tivesse sido roubado ou vendido, o ladrão tinha que restituir a propriedade cinco vezes. O Código de Hamurabi continha um estatuto semelhante: “Se um homem roubar boi ou ovelha, asno ou porco, ou cabra—se for de um deus ou de um palácio, ele deverá restituir trinta vezes; se for de um homem livre, ele deverá restituir dez vezes. Se o ladrão não tiver com o que pagar, ele será condenado à morte.” Na lei hebraica, bens roubados de uma casa deveriam simplesmente ser devolvidos sem penalidade adicional. Se o ladrão não tivesse mais os bens e não pudesse pagar o valor equivalente, ele poderia ser vendido como escravo até que a restituição fosse feita (</w:t>
      </w:r>
      <w:hyperlink r:id="rId7219">
        <w:r>
          <w:rPr>
            <w:color w:val="0000EE"/>
            <w:u w:val="single"/>
          </w:rPr>
          <w:t>Êx 22.1–4</w:t>
        </w:r>
      </w:hyperlink>
      <w:r>
        <w:t>).</w:t>
      </w:r>
    </w:p>
    <w:p>
      <w:pPr>
        <w:pStyle w:val="Heading4"/>
      </w:pPr>
      <w:r>
        <w:t>Leis gerais</w:t>
      </w:r>
    </w:p>
    <w:p>
      <w:r/>
      <w:r>
        <w:t>O código hebraico, conforme contido em Êxodo e Deuteronômio, incluía muitas proibições gerais. Algumas diziam respeito a transações comerciais, como a remoção de marcos de fronteira (</w:t>
      </w:r>
      <w:hyperlink r:id="rId7220">
        <w:r>
          <w:rPr>
            <w:color w:val="0000EE"/>
            <w:u w:val="single"/>
          </w:rPr>
          <w:t>Dt 19.14</w:t>
        </w:r>
      </w:hyperlink>
      <w:r>
        <w:t>). O uso de pesos e medidas falsos era condenado (</w:t>
      </w:r>
      <w:hyperlink r:id="rId7221">
        <w:r>
          <w:rPr>
            <w:color w:val="0000EE"/>
            <w:u w:val="single"/>
          </w:rPr>
          <w:t>Lv 19.35</w:t>
        </w:r>
      </w:hyperlink>
      <w:r>
        <w:t xml:space="preserve">; </w:t>
      </w:r>
      <w:hyperlink r:id="rId7222">
        <w:r>
          <w:rPr>
            <w:color w:val="0000EE"/>
            <w:u w:val="single"/>
          </w:rPr>
          <w:t>Dt 25.15</w:t>
        </w:r>
      </w:hyperlink>
      <w:r>
        <w:t xml:space="preserve">; </w:t>
      </w:r>
      <w:hyperlink r:id="rId2980">
        <w:r>
          <w:rPr>
            <w:color w:val="0000EE"/>
            <w:u w:val="single"/>
          </w:rPr>
          <w:t>Pv 11.1</w:t>
        </w:r>
      </w:hyperlink>
      <w:r>
        <w:t xml:space="preserve">; </w:t>
      </w:r>
      <w:hyperlink r:id="rId2982">
        <w:r>
          <w:rPr>
            <w:color w:val="0000EE"/>
            <w:u w:val="single"/>
          </w:rPr>
          <w:t>20.23</w:t>
        </w:r>
      </w:hyperlink>
      <w:r>
        <w:t xml:space="preserve">; </w:t>
      </w:r>
      <w:hyperlink r:id="rId3828">
        <w:r>
          <w:rPr>
            <w:color w:val="0000EE"/>
            <w:u w:val="single"/>
          </w:rPr>
          <w:t>Mq 6.11</w:t>
        </w:r>
      </w:hyperlink>
      <w:r>
        <w:t>). O suborno era estritamente proibido (</w:t>
      </w:r>
      <w:hyperlink r:id="rId7223">
        <w:r>
          <w:rPr>
            <w:color w:val="0000EE"/>
            <w:u w:val="single"/>
          </w:rPr>
          <w:t>Êx 23.8</w:t>
        </w:r>
      </w:hyperlink>
      <w:r>
        <w:t xml:space="preserve">), mas nenhuma punição era especificada para aqueles que quebrassem essa lei. No Código de Hamurabi, se um juiz mudasse sua decisão e não conseguisse dar uma explicação satisfatória, especialmente se houvesse suspeita de suborno, o juiz tinha que pagar 12 vezes o valor da penalidade e perdia seu assento no tribunal. No código hebraico, o perjúrio também era tratado, embora novamente nenhuma punição fosse especificada. O Código de Hamurabi afirmava que, para perjúrio em casos onde a punição era a morte, as pessoas que dessem falso testemunho deveriam ser sentenciadas à morte (cf. </w:t>
      </w:r>
      <w:hyperlink r:id="rId7224">
        <w:r>
          <w:rPr>
            <w:color w:val="0000EE"/>
            <w:u w:val="single"/>
          </w:rPr>
          <w:t>Êx 23.1</w:t>
        </w:r>
      </w:hyperlink>
      <w:r>
        <w:t>).</w:t>
      </w:r>
    </w:p>
    <w:p>
      <w:r/>
      <w:r>
        <w:t>Várias leis hebraicas refletiam a preocupação com os pobres. E.g., pessoas pobres não deveriam ser submetidas à usura se estivessem em dívida, nem deixadas com frio à noite se seus casacos fossem tomados como penhor. Viúvas, órfãos e estrangeiros também deveriam ser tratados com misericórdia e compreensão (</w:t>
      </w:r>
      <w:hyperlink r:id="rId7225">
        <w:r>
          <w:rPr>
            <w:color w:val="0000EE"/>
            <w:u w:val="single"/>
          </w:rPr>
          <w:t>Êx 22.21–27</w:t>
        </w:r>
      </w:hyperlink>
      <w:r>
        <w:t xml:space="preserve">; </w:t>
      </w:r>
      <w:hyperlink r:id="rId5670">
        <w:r>
          <w:rPr>
            <w:color w:val="0000EE"/>
            <w:u w:val="single"/>
          </w:rPr>
          <w:t>23.9</w:t>
        </w:r>
      </w:hyperlink>
      <w:r>
        <w:t xml:space="preserve">; </w:t>
      </w:r>
      <w:hyperlink r:id="rId7226">
        <w:r>
          <w:rPr>
            <w:color w:val="0000EE"/>
            <w:u w:val="single"/>
          </w:rPr>
          <w:t>Dt 23.19</w:t>
        </w:r>
      </w:hyperlink>
      <w:r>
        <w:t xml:space="preserve">; </w:t>
      </w:r>
      <w:hyperlink r:id="rId7227">
        <w:r>
          <w:rPr>
            <w:color w:val="0000EE"/>
            <w:u w:val="single"/>
          </w:rPr>
          <w:t>24.17</w:t>
        </w:r>
      </w:hyperlink>
      <w:r>
        <w:t>).</w:t>
      </w:r>
    </w:p>
    <w:p>
      <w:r/>
      <w:r>
        <w:t>Algumas leis hebraicas diziam respeito ao comportamento familiar, como aquelas mencionadas anteriormente que amaldiçoavam ou desobedeciam seus pais (</w:t>
      </w:r>
      <w:hyperlink r:id="rId7228">
        <w:r>
          <w:rPr>
            <w:color w:val="0000EE"/>
            <w:u w:val="single"/>
          </w:rPr>
          <w:t>Êx 21.17</w:t>
        </w:r>
      </w:hyperlink>
      <w:r>
        <w:t xml:space="preserve">; </w:t>
      </w:r>
      <w:hyperlink r:id="rId7229">
        <w:r>
          <w:rPr>
            <w:color w:val="0000EE"/>
            <w:u w:val="single"/>
          </w:rPr>
          <w:t>Lv 20.9</w:t>
        </w:r>
      </w:hyperlink>
      <w:r>
        <w:t xml:space="preserve">; </w:t>
      </w:r>
      <w:hyperlink r:id="rId7230">
        <w:r>
          <w:rPr>
            <w:color w:val="0000EE"/>
            <w:u w:val="single"/>
          </w:rPr>
          <w:t>Dt 27.16</w:t>
        </w:r>
      </w:hyperlink>
      <w:r>
        <w:t xml:space="preserve">; cf. </w:t>
      </w:r>
      <w:hyperlink r:id="rId7231">
        <w:r>
          <w:rPr>
            <w:color w:val="0000EE"/>
            <w:u w:val="single"/>
          </w:rPr>
          <w:t>Pv 20.20</w:t>
        </w:r>
      </w:hyperlink>
      <w:r>
        <w:t xml:space="preserve">; </w:t>
      </w:r>
      <w:hyperlink r:id="rId7232">
        <w:r>
          <w:rPr>
            <w:color w:val="0000EE"/>
            <w:u w:val="single"/>
          </w:rPr>
          <w:t>30.17</w:t>
        </w:r>
      </w:hyperlink>
      <w:r>
        <w:t>). As responsabilidades familiares eram rigorosas; uma família inteira frequentemente sofria punição pelo crime de um de seus membros individuais (</w:t>
      </w:r>
      <w:hyperlink r:id="rId7233">
        <w:r>
          <w:rPr>
            <w:color w:val="0000EE"/>
            <w:u w:val="single"/>
          </w:rPr>
          <w:t>Js 7.20–26</w:t>
        </w:r>
      </w:hyperlink>
      <w:r>
        <w:t xml:space="preserve">; </w:t>
      </w:r>
      <w:hyperlink r:id="rId7234">
        <w:r>
          <w:rPr>
            <w:color w:val="0000EE"/>
            <w:u w:val="single"/>
          </w:rPr>
          <w:t>2Sm 3.29</w:t>
        </w:r>
      </w:hyperlink>
      <w:r>
        <w:t xml:space="preserve">; </w:t>
      </w:r>
      <w:hyperlink r:id="rId7235">
        <w:r>
          <w:rPr>
            <w:color w:val="0000EE"/>
            <w:u w:val="single"/>
          </w:rPr>
          <w:t>21.1–9</w:t>
        </w:r>
      </w:hyperlink>
      <w:r>
        <w:t xml:space="preserve">; </w:t>
      </w:r>
      <w:hyperlink r:id="rId5609">
        <w:r>
          <w:rPr>
            <w:color w:val="0000EE"/>
            <w:u w:val="single"/>
          </w:rPr>
          <w:t>2Rs 5.27</w:t>
        </w:r>
      </w:hyperlink>
      <w:r>
        <w:t xml:space="preserve">; </w:t>
      </w:r>
      <w:hyperlink r:id="rId7236">
        <w:r>
          <w:rPr>
            <w:color w:val="0000EE"/>
            <w:u w:val="single"/>
          </w:rPr>
          <w:t>Lm 5.7</w:t>
        </w:r>
      </w:hyperlink>
      <w:r>
        <w:t xml:space="preserve">). Com o passar do tempo, à medida que a responsabilidade individual passou a ser reconhecida, os pais não eram mais condenados à morte pelos crimes de seus filhos, ou vice-versa (cf. </w:t>
      </w:r>
      <w:hyperlink r:id="rId348">
        <w:r>
          <w:rPr>
            <w:color w:val="0000EE"/>
            <w:u w:val="single"/>
          </w:rPr>
          <w:t>Jr 31.29,30</w:t>
        </w:r>
      </w:hyperlink>
      <w:r>
        <w:t>).</w:t>
      </w:r>
    </w:p>
    <w:p>
      <w:r/>
      <w:r>
        <w:t>Feitiçaria e bruxaria eram proibidas. O livro de Êxodo declarava explicitamente: “Mate toda mulher que fizer feitiçaria” (</w:t>
      </w:r>
      <w:hyperlink r:id="rId7237">
        <w:r>
          <w:rPr>
            <w:color w:val="0000EE"/>
            <w:u w:val="single"/>
          </w:rPr>
          <w:t>22.18</w:t>
        </w:r>
      </w:hyperlink>
      <w:r>
        <w:t>, NTLH). Perversões sexuais, como relações com animais, eram proibidas sob pena de morte. Regulamentos proibindo o casamento com parentes próximos eram dados em detalhe (</w:t>
      </w:r>
      <w:hyperlink r:id="rId7238">
        <w:r>
          <w:rPr>
            <w:color w:val="0000EE"/>
            <w:u w:val="single"/>
          </w:rPr>
          <w:t>Lv 20.17–21</w:t>
        </w:r>
      </w:hyperlink>
      <w:r>
        <w:t>).</w:t>
      </w:r>
    </w:p>
    <w:p>
      <w:r/>
      <w:r>
        <w:t>Na lei hebraica, não havia paralelo para alguns itens interessantes no Código de Hamurábi referentes à cirurgia. Esse código mencionava cirurgia veterinária e até operações no olho humano. Um cirurgião babilônico precisava ser cauteloso, pois “se um médico fizesse uma incisão profunda em um homem com seu bisturi de bronze e causasse a morte do homem ou operasse na cavidade ocular de um homem com seu bisturi de bronze e destruísse o olho do homem, então cortariam sua mão.” A cirurgia era praticamente desconhecida entre os antigos israelitas, exceto pela prática ritual da circuncisão.</w:t>
      </w:r>
    </w:p>
    <w:p>
      <w:pPr>
        <w:pStyle w:val="Heading3"/>
      </w:pPr>
      <w:r>
        <w:t>Punição</w:t>
      </w:r>
    </w:p>
    <w:p>
      <w:r/>
      <w:r>
        <w:t>As punições no Oriente Próximo para assassinato e lesão corporal eram retaliatórias e frequentemente da mesma natureza que a ofensa. Outros métodos de punição tendiam a variar conforme os países ou tradições individuais. Muitos tipos de punição eram aplicados a pessoas derrotadas tanto em uma guerra em grande escala quanto em uma pequena insurreição.</w:t>
      </w:r>
    </w:p>
    <w:p>
      <w:pPr>
        <w:pStyle w:val="Heading4"/>
      </w:pPr>
      <w:r>
        <w:t>Punição física</w:t>
      </w:r>
    </w:p>
    <w:p>
      <w:r/>
      <w:r>
        <w:t>Muitas formas de punição não chegavam a causar a morte, mas ainda assim podiam ser bastante severas.</w:t>
      </w:r>
    </w:p>
    <w:p>
      <w:r/>
      <w:r>
        <w:t>1. No Antigo Testamento, bater com varas ou chicotes era a forma tradicional de disciplina para crianças, tolos e escravos (</w:t>
      </w:r>
      <w:hyperlink r:id="rId7239">
        <w:r>
          <w:rPr>
            <w:color w:val="0000EE"/>
            <w:u w:val="single"/>
          </w:rPr>
          <w:t>Êx 21.20</w:t>
        </w:r>
      </w:hyperlink>
      <w:r>
        <w:t xml:space="preserve">; </w:t>
      </w:r>
      <w:hyperlink r:id="rId7240">
        <w:r>
          <w:rPr>
            <w:color w:val="0000EE"/>
            <w:u w:val="single"/>
          </w:rPr>
          <w:t>Pv 13.24</w:t>
        </w:r>
      </w:hyperlink>
      <w:r>
        <w:t xml:space="preserve">; </w:t>
      </w:r>
      <w:hyperlink r:id="rId7241">
        <w:r>
          <w:rPr>
            <w:color w:val="0000EE"/>
            <w:u w:val="single"/>
          </w:rPr>
          <w:t>26.3</w:t>
        </w:r>
      </w:hyperlink>
      <w:r>
        <w:t>). A flagelação (também chamada de açoite) era mais severa do que a surra. O chicote utilizado poderia ser feito de várias tiras de couro presas em uma extremidade ou de duas tiras de couro entrelaçadas. Um chicote apelidado de “escorpião” (por causa dos espinhos na sua extremidade) era um dos instrumentos de punição mais cruéis mencionados no Antigo Testamento (</w:t>
      </w:r>
      <w:hyperlink r:id="rId7242">
        <w:r>
          <w:rPr>
            <w:color w:val="0000EE"/>
            <w:u w:val="single"/>
          </w:rPr>
          <w:t>1Rs 12.11,14</w:t>
        </w:r>
      </w:hyperlink>
      <w:r>
        <w:t>). A severidade da punição poderia ser aumentada inserindo pedaços de metal ou osso no couro.</w:t>
      </w:r>
    </w:p>
    <w:p>
      <w:r/>
      <w:r>
        <w:t>Antes de um açoitamento, a vítima era examinada para verificar sua aptidão física. Se a morte resultasse dos golpes, nenhuma culpa era atribuída à pessoa que aplicava o castigo. A vítima era despida até a cintura e amarrada a um pilar, com as mãos atadas com tiras de couro. A severidade de um açoitamento dependia do crime, embora a lei mosaica estabelecesse um limite máximo de 40 chicotadas (</w:t>
      </w:r>
      <w:hyperlink r:id="rId7243">
        <w:r>
          <w:rPr>
            <w:color w:val="0000EE"/>
            <w:u w:val="single"/>
          </w:rPr>
          <w:t>Dt 25.1–3</w:t>
        </w:r>
      </w:hyperlink>
      <w:r>
        <w:t>). Para evitar um erro na contagem, esse número foi posteriormente reduzido em um (</w:t>
      </w:r>
      <w:hyperlink r:id="rId7244">
        <w:r>
          <w:rPr>
            <w:color w:val="0000EE"/>
            <w:u w:val="single"/>
          </w:rPr>
          <w:t>2Co 11.24</w:t>
        </w:r>
      </w:hyperlink>
      <w:r>
        <w:t>). As chicotadas podiam ser aplicadas tanto no peito quanto nas costas. Sob alguns códigos legais, o açoitamento poderia ser usado como punição privada; nesse caso, se a vítima morresse, outra vida era perdida.</w:t>
      </w:r>
    </w:p>
    <w:p>
      <w:r/>
      <w:r>
        <w:t>Em casos de infrações à lei, as autoridades da sinagoga aplicavam açoites (</w:t>
      </w:r>
      <w:hyperlink r:id="rId7245">
        <w:r>
          <w:rPr>
            <w:color w:val="0000EE"/>
            <w:u w:val="single"/>
          </w:rPr>
          <w:t>Mt 10.17</w:t>
        </w:r>
      </w:hyperlink>
      <w:r>
        <w:t>). Um marido poderia ser açoitado pelos anciãos da cidade por difamar o caráter de sua esposa (</w:t>
      </w:r>
      <w:hyperlink r:id="rId7246">
        <w:r>
          <w:rPr>
            <w:color w:val="0000EE"/>
            <w:u w:val="single"/>
          </w:rPr>
          <w:t>Dt 22.18</w:t>
        </w:r>
      </w:hyperlink>
      <w:r>
        <w:t>). A flagelação também era usada como método para interrogar um prisioneiro — daí o comentário de um capitão romano de que o apóstolo Paulo deveria ser “examinado por meio de açoites” (</w:t>
      </w:r>
      <w:hyperlink r:id="rId7247">
        <w:r>
          <w:rPr>
            <w:color w:val="0000EE"/>
            <w:u w:val="single"/>
          </w:rPr>
          <w:t>At 22.24</w:t>
        </w:r>
      </w:hyperlink>
      <w:r>
        <w:t>).</w:t>
      </w:r>
    </w:p>
    <w:p>
      <w:r/>
      <w:r>
        <w:t>Os romanos geralmente reservavam a flagelação para não-cidadãos romanos, como escravos ou estrangeiros, bem como para aqueles condenados à morte. Normalmente, os criminosos eram flagelados após serem condenados à morte; portanto, é incomum encontrar a flagelação de Jesus ocorrendo antes de sua condenação. Pilatos pode ter esperado amolecer os corações do povo pelo sofrimento de Jesus para que não exigissem a pena de morte (</w:t>
      </w:r>
      <w:hyperlink r:id="rId7248">
        <w:r>
          <w:rPr>
            <w:color w:val="0000EE"/>
            <w:u w:val="single"/>
          </w:rPr>
          <w:t>Lc 23.16,22</w:t>
        </w:r>
      </w:hyperlink>
      <w:r>
        <w:t xml:space="preserve">; </w:t>
      </w:r>
      <w:hyperlink r:id="rId7249">
        <w:r>
          <w:rPr>
            <w:color w:val="0000EE"/>
            <w:u w:val="single"/>
          </w:rPr>
          <w:t>Jó 19.1</w:t>
        </w:r>
      </w:hyperlink>
      <w:r>
        <w:t>).</w:t>
      </w:r>
    </w:p>
    <w:p>
      <w:r/>
      <w:r>
        <w:t>Cidadãos do Império Romano nunca poderiam ser espancados ou açoitados antes da sentença (</w:t>
      </w:r>
      <w:hyperlink r:id="rId7250">
        <w:r>
          <w:rPr>
            <w:color w:val="0000EE"/>
            <w:u w:val="single"/>
          </w:rPr>
          <w:t>At 22.25</w:t>
        </w:r>
      </w:hyperlink>
      <w:r>
        <w:t>). Por isso, os magistrados ficaram com medo quando souberam que Paulo, um cidadão romano, havia sido espancado nessas circunstâncias (</w:t>
      </w:r>
      <w:hyperlink r:id="rId2889">
        <w:r>
          <w:rPr>
            <w:color w:val="0000EE"/>
            <w:u w:val="single"/>
          </w:rPr>
          <w:t>16.37–39</w:t>
        </w:r>
      </w:hyperlink>
      <w:r>
        <w:t>).</w:t>
      </w:r>
    </w:p>
    <w:p>
      <w:r/>
      <w:r>
        <w:t>2. A perfuração dos olhos de prisioneiros e cativos era uma prática comum no Oriente Próximo. Os filisteus cegaram Sansão antes de aprisioná-lo (</w:t>
      </w:r>
      <w:hyperlink r:id="rId4634">
        <w:r>
          <w:rPr>
            <w:color w:val="0000EE"/>
            <w:u w:val="single"/>
          </w:rPr>
          <w:t>Jz 16.21</w:t>
        </w:r>
      </w:hyperlink>
      <w:r>
        <w:t>). Os babilônios fizeram o mesmo com o rei Zedequias em 587 a.C. antes de levá-lo para o cativeiro (</w:t>
      </w:r>
      <w:hyperlink r:id="rId7251">
        <w:r>
          <w:rPr>
            <w:color w:val="0000EE"/>
            <w:u w:val="single"/>
          </w:rPr>
          <w:t>2Rs 25.7</w:t>
        </w:r>
      </w:hyperlink>
      <w:r>
        <w:t>). O rei amonita Naás estava disposto a aceitar propostas de paz dos homens da cidade de Jabes com a condição de que todos tivessem seus olhos direitos perfurados. O objetivo de Naás era desonrá-los e impedi-los de participar ativamente em guerras (</w:t>
      </w:r>
      <w:hyperlink r:id="rId7252">
        <w:r>
          <w:rPr>
            <w:color w:val="0000EE"/>
            <w:u w:val="single"/>
          </w:rPr>
          <w:t>1Sm 11.1–4</w:t>
        </w:r>
      </w:hyperlink>
      <w:r>
        <w:t>).</w:t>
      </w:r>
    </w:p>
    <w:p>
      <w:r/>
      <w:r>
        <w:t>3. Várias formas de mutilação serviam como punições no Oriente Próximo. Os israelitas consideravam seus próprios corpos sagrados e feitos à imagem de Deus, mas isso não os impediu de mutilar seus inimigos cortando seus polegares e dedões dos pés.</w:t>
      </w:r>
    </w:p>
    <w:p>
      <w:r/>
      <w:r>
        <w:t>O Código de Hamurábi e o código de leis assírio prescreviam a mutilação do olho, nariz, orelha, seio, língua, lábio, mão e dedo como punições para crimes específicos. Na Assíria, a punição era frequentemente aplicada pela vítima do crime sob a supervisão de oficiais do tribunal. O Código de Hamurábi também continha salvaguardas para que os criminosos não fossem punidos além da sentença da lei.</w:t>
      </w:r>
    </w:p>
    <w:p>
      <w:r/>
      <w:r>
        <w:t>4. As cepas são mencionadas como uma forma de punição no período posterior do Antigo Testamento. Os profetas Hanani (</w:t>
      </w:r>
      <w:hyperlink r:id="rId7253">
        <w:r>
          <w:rPr>
            <w:color w:val="0000EE"/>
            <w:u w:val="single"/>
          </w:rPr>
          <w:t>2Cr 16.10</w:t>
        </w:r>
      </w:hyperlink>
      <w:r>
        <w:t>) e Jeremias (</w:t>
      </w:r>
      <w:hyperlink r:id="rId7254">
        <w:r>
          <w:rPr>
            <w:color w:val="0000EE"/>
            <w:u w:val="single"/>
          </w:rPr>
          <w:t>Jr 20.2,3</w:t>
        </w:r>
      </w:hyperlink>
      <w:r>
        <w:t>) sofreram a indignidade de serem colocados em cepas. Ambos os tornozelos, e às vezes os pulsos e a cabeça também, eram colocados em buracos em duas grandes peças de madeira. Nos tempos romanos, as cepas foram convertidas em uma forma de tortura, com as pernas de um prisioneiro esticadas para buracos cada vez mais distantes. No Novo Testamento, Paulo e Silas tiveram seus pés colocados em cepas por um carcereiro filipense (</w:t>
      </w:r>
      <w:hyperlink r:id="rId7255">
        <w:r>
          <w:rPr>
            <w:color w:val="0000EE"/>
            <w:u w:val="single"/>
          </w:rPr>
          <w:t>At 16.24</w:t>
        </w:r>
      </w:hyperlink>
      <w:r>
        <w:t>). A mesma palavra grega, que significa "confinamento", pode se referir a grilhões que acorrentam um prisioneiro ou a um colar de ferro como o usado por escravos romanos fugitivos.</w:t>
      </w:r>
    </w:p>
    <w:p>
      <w:pPr>
        <w:pStyle w:val="Heading4"/>
      </w:pPr>
      <w:r>
        <w:t>Pena de morte</w:t>
      </w:r>
    </w:p>
    <w:p>
      <w:r/>
      <w:r>
        <w:t>A pena capital era comum em muitos países do Oriente Próximo, e vários métodos eram utilizados.</w:t>
      </w:r>
    </w:p>
    <w:p>
      <w:r/>
      <w:r>
        <w:t>1. Aqueles que ofendiam um rei eram decapitados com uma espada (</w:t>
      </w:r>
      <w:hyperlink r:id="rId1603">
        <w:r>
          <w:rPr>
            <w:color w:val="0000EE"/>
            <w:u w:val="single"/>
          </w:rPr>
          <w:t>2Sm 16.9</w:t>
        </w:r>
      </w:hyperlink>
      <w:r>
        <w:t xml:space="preserve">; </w:t>
      </w:r>
      <w:hyperlink r:id="rId7256">
        <w:r>
          <w:rPr>
            <w:color w:val="0000EE"/>
            <w:u w:val="single"/>
          </w:rPr>
          <w:t>2Rs 6.31,32</w:t>
        </w:r>
      </w:hyperlink>
      <w:r>
        <w:t>), assim como os idólatras e assassinos (de acordo com a Mishná, o comentário judaico sobre a lei). A espada provavelmente era usada também para execuções privadas. Habitantes de cidades inteiras às vezes eram “passados ao fio da espada” por sua negação da fé (</w:t>
      </w:r>
      <w:hyperlink r:id="rId7257">
        <w:r>
          <w:rPr>
            <w:color w:val="0000EE"/>
            <w:u w:val="single"/>
          </w:rPr>
          <w:t>Êx 32.27</w:t>
        </w:r>
      </w:hyperlink>
      <w:r>
        <w:t xml:space="preserve">; </w:t>
      </w:r>
      <w:hyperlink r:id="rId7258">
        <w:r>
          <w:rPr>
            <w:color w:val="0000EE"/>
            <w:u w:val="single"/>
          </w:rPr>
          <w:t>Dt 13.15</w:t>
        </w:r>
      </w:hyperlink>
      <w:r>
        <w:t>).</w:t>
      </w:r>
    </w:p>
    <w:p>
      <w:r/>
      <w:r>
        <w:t>2. Certos delitos sexuais eram punidos com morte por queima (</w:t>
      </w:r>
      <w:hyperlink r:id="rId7259">
        <w:r>
          <w:rPr>
            <w:color w:val="0000EE"/>
            <w:u w:val="single"/>
          </w:rPr>
          <w:t>Lv 20.14</w:t>
        </w:r>
      </w:hyperlink>
      <w:r>
        <w:t xml:space="preserve">; </w:t>
      </w:r>
      <w:hyperlink r:id="rId7260">
        <w:r>
          <w:rPr>
            <w:color w:val="0000EE"/>
            <w:u w:val="single"/>
          </w:rPr>
          <w:t>21.9</w:t>
        </w:r>
      </w:hyperlink>
      <w:r>
        <w:t>). Tamar, nora de Judá, foi acusada de adultério e condenada a ser queimada até a morte fora da cidade (</w:t>
      </w:r>
      <w:hyperlink r:id="rId7261">
        <w:r>
          <w:rPr>
            <w:color w:val="0000EE"/>
            <w:u w:val="single"/>
          </w:rPr>
          <w:t>Gn 38.24</w:t>
        </w:r>
      </w:hyperlink>
      <w:r>
        <w:t>). O Senhor instruiu que qualquer pessoa cujos pés tocassem o solo sagrado do Monte Sinai deveria ser atingida por flechas ou apedrejada (</w:t>
      </w:r>
      <w:hyperlink r:id="rId3458">
        <w:r>
          <w:rPr>
            <w:color w:val="0000EE"/>
            <w:u w:val="single"/>
          </w:rPr>
          <w:t>Êx 19.13</w:t>
        </w:r>
      </w:hyperlink>
      <w:r>
        <w:t>).</w:t>
      </w:r>
    </w:p>
    <w:p>
      <w:r/>
      <w:r>
        <w:t>3. O enforcamento pode ter sido uma forma de execução nos tempos bíblicos. No entanto, muitos estudiosos acreditam que a palavra traduzida como “enforcamento” ou “enforcamento em uma árvore” na verdade significava empalamento (</w:t>
      </w:r>
      <w:hyperlink r:id="rId7262">
        <w:r>
          <w:rPr>
            <w:color w:val="0000EE"/>
            <w:u w:val="single"/>
          </w:rPr>
          <w:t>Nm 25.4</w:t>
        </w:r>
      </w:hyperlink>
      <w:r>
        <w:t xml:space="preserve">; </w:t>
      </w:r>
      <w:hyperlink r:id="rId6299">
        <w:r>
          <w:rPr>
            <w:color w:val="0000EE"/>
            <w:u w:val="single"/>
          </w:rPr>
          <w:t>Dt 21.22,23</w:t>
        </w:r>
      </w:hyperlink>
      <w:r>
        <w:t xml:space="preserve">; </w:t>
      </w:r>
      <w:hyperlink r:id="rId7263">
        <w:r>
          <w:rPr>
            <w:color w:val="0000EE"/>
            <w:u w:val="single"/>
          </w:rPr>
          <w:t>Js 8.29</w:t>
        </w:r>
      </w:hyperlink>
      <w:r>
        <w:t xml:space="preserve">; </w:t>
      </w:r>
      <w:hyperlink r:id="rId7264">
        <w:r>
          <w:rPr>
            <w:color w:val="0000EE"/>
            <w:u w:val="single"/>
          </w:rPr>
          <w:t>2Sm 21.6,9</w:t>
        </w:r>
      </w:hyperlink>
      <w:r>
        <w:t xml:space="preserve">; </w:t>
      </w:r>
      <w:hyperlink r:id="rId7265">
        <w:r>
          <w:rPr>
            <w:color w:val="0000EE"/>
            <w:u w:val="single"/>
          </w:rPr>
          <w:t>Et 9.14</w:t>
        </w:r>
      </w:hyperlink>
      <w:r>
        <w:t>). Uma estaca de madeira pontiaguda era colocada no chão e o corpo da vítima era forçado sobre a estaca, cuja ponta provavelmente saía do peito ou da boca. Comumente praticada pelos assírios, essa forma de execução era reservada para aqueles culpados dos piores crimes e para prisioneiros de guerra ou desertores. O rei persa Dario é conhecido por ter empalado 3.000 homens quando seu exército entrou em Babilônia. O empalamento foi a penalidade que Dario estabeleceu para quem alterasse seu decreto sobre a reconstrução do templo (</w:t>
      </w:r>
      <w:hyperlink r:id="rId7266">
        <w:r>
          <w:rPr>
            <w:color w:val="0000EE"/>
            <w:u w:val="single"/>
          </w:rPr>
          <w:t>Ed 6.11,12</w:t>
        </w:r>
      </w:hyperlink>
      <w:r>
        <w:t xml:space="preserve">). Não é certo se Hamã foi enforcado ou empalado (veja </w:t>
      </w:r>
      <w:hyperlink r:id="rId7267">
        <w:r>
          <w:rPr>
            <w:color w:val="0000EE"/>
            <w:u w:val="single"/>
          </w:rPr>
          <w:t>Et 7.9,10</w:t>
        </w:r>
      </w:hyperlink>
      <w:r>
        <w:t>, notas NTLH).</w:t>
      </w:r>
    </w:p>
    <w:p>
      <w:r/>
      <w:r>
        <w:t>Normalmente, o "enforcamento" era um meio de exibir um cadáver como um aviso para os habitantes locais (</w:t>
      </w:r>
      <w:hyperlink r:id="rId4266">
        <w:r>
          <w:rPr>
            <w:color w:val="0000EE"/>
            <w:u w:val="single"/>
          </w:rPr>
          <w:t>Gn 40.19</w:t>
        </w:r>
      </w:hyperlink>
      <w:r>
        <w:t xml:space="preserve">; </w:t>
      </w:r>
      <w:hyperlink r:id="rId7263">
        <w:r>
          <w:rPr>
            <w:color w:val="0000EE"/>
            <w:u w:val="single"/>
          </w:rPr>
          <w:t>Js 8.29</w:t>
        </w:r>
      </w:hyperlink>
      <w:r>
        <w:t xml:space="preserve">; </w:t>
      </w:r>
      <w:hyperlink r:id="rId7268">
        <w:r>
          <w:rPr>
            <w:color w:val="0000EE"/>
            <w:u w:val="single"/>
          </w:rPr>
          <w:t>10.26</w:t>
        </w:r>
      </w:hyperlink>
      <w:r>
        <w:t xml:space="preserve">; </w:t>
      </w:r>
      <w:hyperlink r:id="rId7269">
        <w:r>
          <w:rPr>
            <w:color w:val="0000EE"/>
            <w:u w:val="single"/>
          </w:rPr>
          <w:t>2Sm 4.12</w:t>
        </w:r>
      </w:hyperlink>
      <w:r>
        <w:t>). Os cadáveres eram exibidos por apenas um dia e enterrados antes do anoitecer. O cadáver enforcado era considerado uma contaminação da terra que Deus havia dado (</w:t>
      </w:r>
      <w:hyperlink r:id="rId6299">
        <w:r>
          <w:rPr>
            <w:color w:val="0000EE"/>
            <w:u w:val="single"/>
          </w:rPr>
          <w:t>Dt 21.22,23</w:t>
        </w:r>
      </w:hyperlink>
      <w:r>
        <w:t>). De acordo com a Mishná, as mãos eram amarradas juntas e o corpo pendurado no braço de uma forca de madeira.</w:t>
      </w:r>
    </w:p>
    <w:p>
      <w:r/>
      <w:r>
        <w:t>4. A crucificação foi uma punição empregada pelo rei sírio Antíoco IV Epifânio em 167–166 a.C.; segundo Josefo, um historiador judeu do primeiro século d.C., judeus que se recusavam a abandonar sua fé tradicional eram executados dessa forma. Durante o período dos Macabeus (167–40 a.C.), Alexandre Janeu crucificou 800 fariseus rebeldes na tentativa de restabelecer sua autoridade. A crucificação era uma forma de execução amplamente difundida: era usada na maioria dos lugares do Império Romano, incluindo Índia, Norte da África e Alemanha. Entre 4 a.C. e 70 d.C., em algumas ocasiões, o número de pessoas crucificadas de uma só vez chegava a milhares.</w:t>
      </w:r>
    </w:p>
    <w:p>
      <w:r/>
      <w:r>
        <w:t>Três tipos de cruzes parecem ter sido usados: uma cruz com a barra transversal abaixo da cabeça da barra vertical (cruz latina); uma cruz em forma de T (cruz de Santo Antônio); e uma cruz em forma de X (cruz de Santo André). Mateus registra que uma inscrição, "Este é Jesus, o Rei dos Judeus", foi colocada sobre a cabeça de Jesus (</w:t>
      </w:r>
      <w:hyperlink r:id="rId7270">
        <w:r>
          <w:rPr>
            <w:color w:val="0000EE"/>
            <w:u w:val="single"/>
          </w:rPr>
          <w:t>Mt 27.37</w:t>
        </w:r>
      </w:hyperlink>
      <w:r>
        <w:t>). Isso indica que para a crucificação de Jesus foi usada uma cruz latina, como os artistas tradicionalmente a retrataram. Nas crucificações, a vítima provavelmente era afixada à cruz enquanto ela ainda estava deitada no chão. Em seguida, a cruz era levantada e colocada em posição, sendo deixada cair em um buraco. As mãos eram pregadas ou amarradas à cruz; não se sabe ao certo se os pés eram pregados com um ou dois pregos. O peso do corpo era sustentado por um pedaço de madeira nos pés e possivelmente por outro que era como um espigão entre as pernas.</w:t>
      </w:r>
    </w:p>
    <w:p>
      <w:r/>
      <w:r>
        <w:t>5. O apedrejamento era a pena de morte hebraica mais comum. As primeiras pedras eram lançadas pelas testemunhas de acusação, que eram então acompanhadas pelos espectadores. O apedrejamento era a punição para certos delitos religiosos (</w:t>
      </w:r>
      <w:hyperlink r:id="rId7271">
        <w:r>
          <w:rPr>
            <w:color w:val="0000EE"/>
            <w:u w:val="single"/>
          </w:rPr>
          <w:t>Lv 24.16</w:t>
        </w:r>
      </w:hyperlink>
      <w:r>
        <w:t xml:space="preserve">; </w:t>
      </w:r>
      <w:hyperlink r:id="rId7199">
        <w:r>
          <w:rPr>
            <w:color w:val="0000EE"/>
            <w:u w:val="single"/>
          </w:rPr>
          <w:t>Nm 15.32–36</w:t>
        </w:r>
      </w:hyperlink>
      <w:r>
        <w:t xml:space="preserve">; </w:t>
      </w:r>
      <w:hyperlink r:id="rId7272">
        <w:r>
          <w:rPr>
            <w:color w:val="0000EE"/>
            <w:u w:val="single"/>
          </w:rPr>
          <w:t>Dt 13.1–10</w:t>
        </w:r>
      </w:hyperlink>
      <w:r>
        <w:t xml:space="preserve">; </w:t>
      </w:r>
      <w:hyperlink r:id="rId7273">
        <w:r>
          <w:rPr>
            <w:color w:val="0000EE"/>
            <w:u w:val="single"/>
          </w:rPr>
          <w:t>17.2–5</w:t>
        </w:r>
      </w:hyperlink>
      <w:r>
        <w:t>), adultério (</w:t>
      </w:r>
      <w:hyperlink r:id="rId4573">
        <w:r>
          <w:rPr>
            <w:color w:val="0000EE"/>
            <w:u w:val="single"/>
          </w:rPr>
          <w:t>Dt 22.23,24</w:t>
        </w:r>
      </w:hyperlink>
      <w:r>
        <w:t>), sacrifício de crianças (</w:t>
      </w:r>
      <w:hyperlink r:id="rId7195">
        <w:r>
          <w:rPr>
            <w:color w:val="0000EE"/>
            <w:u w:val="single"/>
          </w:rPr>
          <w:t>Lv 20.2</w:t>
        </w:r>
      </w:hyperlink>
      <w:r>
        <w:t>), adivinhação de espíritos (</w:t>
      </w:r>
      <w:hyperlink r:id="rId7274">
        <w:r>
          <w:rPr>
            <w:color w:val="0000EE"/>
            <w:u w:val="single"/>
          </w:rPr>
          <w:t>Lv 20.27</w:t>
        </w:r>
      </w:hyperlink>
      <w:r>
        <w:t>) e rebelião (</w:t>
      </w:r>
      <w:hyperlink r:id="rId7213">
        <w:r>
          <w:rPr>
            <w:color w:val="0000EE"/>
            <w:u w:val="single"/>
          </w:rPr>
          <w:t>Dt 21.18–21</w:t>
        </w:r>
      </w:hyperlink>
      <w:r>
        <w:t>). Antes de sua conversão, o apóstolo Paulo testemunhou e consentiu no apedrejamento de Estevão (</w:t>
      </w:r>
      <w:hyperlink r:id="rId7275">
        <w:r>
          <w:rPr>
            <w:color w:val="0000EE"/>
            <w:u w:val="single"/>
          </w:rPr>
          <w:t>At 7.58–59</w:t>
        </w:r>
      </w:hyperlink>
      <w:r>
        <w:t>). O próprio Paulo mais tarde sobreviveu a um apedrejamento em Listra (</w:t>
      </w:r>
      <w:hyperlink r:id="rId1990">
        <w:r>
          <w:rPr>
            <w:color w:val="0000EE"/>
            <w:u w:val="single"/>
          </w:rPr>
          <w:t>14.19</w:t>
        </w:r>
      </w:hyperlink>
      <w:r>
        <w:t>). Nos tempos romanos, ocasionalmente uma pessoa era apedrejada enquanto estava em um patíbulo.</w:t>
      </w:r>
    </w:p>
    <w:p>
      <w:pPr>
        <w:pStyle w:val="Heading3"/>
      </w:pPr>
      <w:r>
        <w:t>Conclusão</w:t>
      </w:r>
    </w:p>
    <w:p>
      <w:r/>
      <w:r>
        <w:t>A lei hebraica fazia parte da Torá ("instrução") dada por Deus para tornar seu povo aliançado santo. Naquela época, os israelitas eram um grupo seminômade de ex-escravos. Embora existam semelhanças com o Código de Hamurabi e outras leis de culturas estabelecidas do Oriente Próximo, também há muitas diferenças. A lei hebraica frequentemente tinha uma visão mais ampla, mesmo em seu ambiente cultural menos sofisticado, como se seu propósito fosse mais ensinar comportamento piedoso do que estabilizar a sociedade. A simplicidade e a objetividade dos dez mandamentos, em particular, continuam a influenciar a jurisprudência, mesmo na sociedade secular moderna.</w:t>
      </w:r>
    </w:p>
    <w:p>
      <w:r/>
      <w:r>
        <w:t>A mensagem principal da Bíblia é o amor de Deus por seu povo da aliança, mas nunca ignora as duras realidades da vida em um mundo caído. Os seres humanos pecam e cometem crimes; eles sofrem afastamento de Deus por causa de seus pecados e são punidos por seus crimes. Os cristãos são constantemente lembrados do realismo do amor de Deus pela cruz como símbolo da fé cristã. Eles veem a crucificação de Jesus Cristo como o cumprimento da profecia do AT de que o Senhor colocou sobre ele a nossa iniquidade (</w:t>
      </w:r>
      <w:hyperlink r:id="rId5990">
        <w:r>
          <w:rPr>
            <w:color w:val="0000EE"/>
            <w:u w:val="single"/>
          </w:rPr>
          <w:t>Is 53.5,6</w:t>
        </w:r>
      </w:hyperlink>
      <w:r>
        <w:t>). A convicção do NT é que Cristo morreu por nossos pecados de acordo com as Escrituras (</w:t>
      </w:r>
      <w:hyperlink r:id="rId7276">
        <w:r>
          <w:rPr>
            <w:color w:val="0000EE"/>
            <w:u w:val="single"/>
          </w:rPr>
          <w:t>1Co 15.3</w:t>
        </w:r>
      </w:hyperlink>
      <w:r>
        <w:t>).</w:t>
      </w:r>
    </w:p>
    <w:p>
      <w:r/>
      <w:r>
        <w:rPr>
          <w:i/>
        </w:rPr>
        <w:t>Veja também</w:t>
      </w:r>
      <w:r>
        <w:t xml:space="preserve"> </w:t>
      </w:r>
      <w:r>
        <w:t>Direito civil e justiça</w:t>
      </w:r>
      <w:r>
        <w:t xml:space="preserve">; </w:t>
      </w:r>
      <w:r>
        <w:t>Tribunais e julgamentos</w:t>
      </w:r>
      <w:r>
        <w:t xml:space="preserve">; </w:t>
      </w:r>
      <w:r>
        <w:t>Código de leis de Hammurabi</w:t>
      </w:r>
      <w:r>
        <w:t xml:space="preserve">; </w:t>
      </w:r>
      <w:r>
        <w:t>Conceito bíblico de lei</w:t>
      </w:r>
      <w:r>
        <w:t>.</w:t>
      </w:r>
      <w:r/>
      <w:r/>
    </w:p>
    <w:p>
      <w:r/>
    </w:p>
    <w:p>
      <w:pPr>
        <w:pStyle w:val="Heading2"/>
      </w:pPr>
      <w:r>
        <w:t>Disã</w:t>
      </w:r>
      <w:r/>
    </w:p>
    <w:p>
      <w:r/>
      <w:r>
        <w:t>Chefe na terra de Seir, uma área montanhosa a sudoeste do Mar Morto. O pai de Disã era Seir, o horita (</w:t>
      </w:r>
      <w:hyperlink r:id="rId7277">
        <w:r>
          <w:rPr>
            <w:color w:val="0000EE"/>
            <w:u w:val="single"/>
          </w:rPr>
          <w:t>Gn 36.21</w:t>
        </w:r>
      </w:hyperlink>
      <w:r>
        <w:t xml:space="preserve">; </w:t>
      </w:r>
      <w:hyperlink r:id="rId7278">
        <w:r>
          <w:rPr>
            <w:color w:val="0000EE"/>
            <w:u w:val="single"/>
          </w:rPr>
          <w:t>1Cr 1.38</w:t>
        </w:r>
      </w:hyperlink>
      <w:r>
        <w:t>). Os horitas foram expulsos de seu território pelos edomitas (</w:t>
      </w:r>
      <w:hyperlink r:id="rId7279">
        <w:r>
          <w:rPr>
            <w:color w:val="0000EE"/>
            <w:u w:val="single"/>
          </w:rPr>
          <w:t>Dt 2.12</w:t>
        </w:r>
      </w:hyperlink>
      <w:r>
        <w:t>). Referências posteriores no AT frequentemente usam Seir e Edom como sinônimos.</w:t>
      </w:r>
      <w:r/>
      <w:r/>
    </w:p>
    <w:p>
      <w:r/>
    </w:p>
    <w:p>
      <w:pPr>
        <w:pStyle w:val="Heading2"/>
      </w:pPr>
      <w:r>
        <w:t>Disciplina</w:t>
      </w:r>
      <w:r/>
    </w:p>
    <w:p>
      <w:r/>
      <w:r>
        <w:t>Aprendizado que molda o caráter e reforça o comportamento correto — derivada de uma palavra latina que significa “instrução” ou “treinamento”. Disciplinar uma pessoa ou um grupo significa colocá-los em um estado de boa ordem para que funcionem da maneira pretendida. Disciplina, apesar de um equívoco popular, não é inerentemente severa ou dura. Tradutores da Bíblia escolheram “discípulo” como um termo apropriado para aquele que aprende seguindo.</w:t>
      </w:r>
    </w:p>
    <w:p>
      <w:r/>
      <w:r>
        <w:t>Resumo:</w:t>
      </w:r>
    </w:p>
    <w:p>
      <w:r/>
      <w:r>
        <w:t>• Ensino bíblico</w:t>
      </w:r>
    </w:p>
    <w:p>
      <w:r/>
      <w:r>
        <w:t>• Autodisciplina</w:t>
      </w:r>
    </w:p>
    <w:p>
      <w:r/>
      <w:r>
        <w:t>• Disciplina parental</w:t>
      </w:r>
    </w:p>
    <w:p>
      <w:r/>
      <w:r>
        <w:t>• Disciplina da igreja</w:t>
      </w:r>
    </w:p>
    <w:p>
      <w:pPr>
        <w:pStyle w:val="Heading3"/>
      </w:pPr>
      <w:r>
        <w:t>Ensino bíblico</w:t>
      </w:r>
    </w:p>
    <w:p>
      <w:r/>
      <w:r>
        <w:t>A palavra “disciplina”, em várias formas de substantivo e verbo, ocorre frequentemente em versões modernas da Bíblia. As palavras hebraicas e gregas comumente traduzidas como “disciplina” são às vezes traduzidas como “repreensão”, “advertência”, “restrição”, “correção”, ou “castigo”. Sinônimos mais positivos incluem “criação”, “treinamento”, “instrução”, e “educação”.</w:t>
      </w:r>
    </w:p>
    <w:p>
      <w:r/>
      <w:r>
        <w:t>O uso de "disciplina" no AT é notavelmente mais negativo do que no NT, principalmente por causa do aspecto legal da abordagem de Deus a Israel sob a antiga aliança (Mosaica). A abordagem da "nova aliança" à igreja leva a uma linguagem mais positiva de disciplina no NT. No entanto, ambas as alianças tinham o mesmo objetivo: a justiça. Considerado sob essa luz, mesmo a ênfase do AT no castigo procede de um motivo positivo em direção a um objetivo construtivo. Onde o AT enfatizava a retaliação, era para ensinar aos infratores a natureza de sua ofensa, mostrando-lhes um efeito semelhante ao que haviam causado. A vindicação dos direitos de uma pessoa injustiçada também vindicava a justiça de Deus. A vindicação era uma maneira importante de sustentar a justiça de Deus. A retribuição também era importante. A quebra da aliança trazia a maldição da aliança (</w:t>
      </w:r>
      <w:hyperlink r:id="rId7280">
        <w:r>
          <w:rPr>
            <w:color w:val="0000EE"/>
            <w:u w:val="single"/>
          </w:rPr>
          <w:t>Dt 27.26</w:t>
        </w:r>
      </w:hyperlink>
      <w:r>
        <w:t>) na forma de disciplina punitiva. A retribuição restabelecia a autoridade da lei de Deus e ensinava o respeito por seus padrões de justiça.</w:t>
      </w:r>
    </w:p>
    <w:p>
      <w:r/>
      <w:r>
        <w:t>Complementar à disciplina punitiva, a disciplina positiva pode ser considerada como disciplina de reforço. Deus sempre disciplina; ele o faz de forma punitiva quando necessário, mas de forma reforçadora quando possível.</w:t>
      </w:r>
    </w:p>
    <w:p>
      <w:r/>
      <w:r>
        <w:t>A disciplina é frequentemente mencionada como sendo exercida por Deus sobre Israel (</w:t>
      </w:r>
      <w:hyperlink r:id="rId7281">
        <w:r>
          <w:rPr>
            <w:color w:val="0000EE"/>
            <w:u w:val="single"/>
          </w:rPr>
          <w:t>Lv 26.23</w:t>
        </w:r>
      </w:hyperlink>
      <w:r>
        <w:t xml:space="preserve">; </w:t>
      </w:r>
      <w:hyperlink r:id="rId7282">
        <w:r>
          <w:rPr>
            <w:color w:val="0000EE"/>
            <w:u w:val="single"/>
          </w:rPr>
          <w:t>Dt 4.36</w:t>
        </w:r>
      </w:hyperlink>
      <w:r>
        <w:t xml:space="preserve">; </w:t>
      </w:r>
      <w:hyperlink r:id="rId7283">
        <w:r>
          <w:rPr>
            <w:color w:val="0000EE"/>
            <w:u w:val="single"/>
          </w:rPr>
          <w:t>8.5</w:t>
        </w:r>
      </w:hyperlink>
      <w:r>
        <w:t xml:space="preserve">; </w:t>
      </w:r>
      <w:hyperlink r:id="rId7284">
        <w:r>
          <w:rPr>
            <w:color w:val="0000EE"/>
            <w:u w:val="single"/>
          </w:rPr>
          <w:t>Jr 31.18</w:t>
        </w:r>
      </w:hyperlink>
      <w:r>
        <w:t>), sobre as nações (</w:t>
      </w:r>
      <w:hyperlink r:id="rId7285">
        <w:r>
          <w:rPr>
            <w:color w:val="0000EE"/>
            <w:u w:val="single"/>
          </w:rPr>
          <w:t>Sl 94.10</w:t>
        </w:r>
      </w:hyperlink>
      <w:r>
        <w:t>), ou sobre indivíduos (</w:t>
      </w:r>
      <w:hyperlink r:id="rId4630">
        <w:r>
          <w:rPr>
            <w:color w:val="0000EE"/>
            <w:u w:val="single"/>
          </w:rPr>
          <w:t>Jó 5.17</w:t>
        </w:r>
      </w:hyperlink>
      <w:r>
        <w:t xml:space="preserve">; </w:t>
      </w:r>
      <w:hyperlink r:id="rId7286">
        <w:r>
          <w:rPr>
            <w:color w:val="0000EE"/>
            <w:u w:val="single"/>
          </w:rPr>
          <w:t>Sl 94.10,12</w:t>
        </w:r>
      </w:hyperlink>
      <w:r>
        <w:t xml:space="preserve">; </w:t>
      </w:r>
      <w:hyperlink r:id="rId7287">
        <w:r>
          <w:rPr>
            <w:color w:val="0000EE"/>
            <w:u w:val="single"/>
          </w:rPr>
          <w:t>Hb 12.5–11</w:t>
        </w:r>
      </w:hyperlink>
      <w:r>
        <w:t xml:space="preserve">; </w:t>
      </w:r>
      <w:hyperlink r:id="rId5489">
        <w:r>
          <w:rPr>
            <w:color w:val="0000EE"/>
            <w:u w:val="single"/>
          </w:rPr>
          <w:t>Ap 3.19</w:t>
        </w:r>
      </w:hyperlink>
      <w:r>
        <w:t>). Em Israel, a responsabilidade parental de disciplinar os filhos era levada a sério (</w:t>
      </w:r>
      <w:hyperlink r:id="rId4629">
        <w:r>
          <w:rPr>
            <w:color w:val="0000EE"/>
            <w:u w:val="single"/>
          </w:rPr>
          <w:t>Dt 21.18</w:t>
        </w:r>
      </w:hyperlink>
      <w:r>
        <w:t>). Os pais eram solenemente encarregados de disciplinar seus filhos (</w:t>
      </w:r>
      <w:hyperlink r:id="rId7240">
        <w:r>
          <w:rPr>
            <w:color w:val="0000EE"/>
            <w:u w:val="single"/>
          </w:rPr>
          <w:t>Pv 13.24</w:t>
        </w:r>
      </w:hyperlink>
      <w:r>
        <w:t xml:space="preserve">; </w:t>
      </w:r>
      <w:hyperlink r:id="rId7288">
        <w:r>
          <w:rPr>
            <w:color w:val="0000EE"/>
            <w:u w:val="single"/>
          </w:rPr>
          <w:t>19.18</w:t>
        </w:r>
      </w:hyperlink>
      <w:r>
        <w:t xml:space="preserve">; </w:t>
      </w:r>
      <w:hyperlink r:id="rId7289">
        <w:r>
          <w:rPr>
            <w:color w:val="0000EE"/>
            <w:u w:val="single"/>
          </w:rPr>
          <w:t>22.15</w:t>
        </w:r>
      </w:hyperlink>
      <w:r>
        <w:t xml:space="preserve">; </w:t>
      </w:r>
      <w:hyperlink r:id="rId7290">
        <w:r>
          <w:rPr>
            <w:color w:val="0000EE"/>
            <w:u w:val="single"/>
          </w:rPr>
          <w:t>23.13</w:t>
        </w:r>
      </w:hyperlink>
      <w:r>
        <w:t xml:space="preserve">; </w:t>
      </w:r>
      <w:hyperlink r:id="rId7291">
        <w:r>
          <w:rPr>
            <w:color w:val="0000EE"/>
            <w:u w:val="single"/>
          </w:rPr>
          <w:t>29.17</w:t>
        </w:r>
      </w:hyperlink>
      <w:r>
        <w:t xml:space="preserve">; cf. </w:t>
      </w:r>
      <w:hyperlink r:id="rId7292">
        <w:r>
          <w:rPr>
            <w:color w:val="0000EE"/>
            <w:u w:val="single"/>
          </w:rPr>
          <w:t>Ef 6.4</w:t>
        </w:r>
      </w:hyperlink>
      <w:r>
        <w:t xml:space="preserve">; </w:t>
      </w:r>
      <w:hyperlink r:id="rId7293">
        <w:r>
          <w:rPr>
            <w:color w:val="0000EE"/>
            <w:u w:val="single"/>
          </w:rPr>
          <w:t>Hb 12.7–10</w:t>
        </w:r>
      </w:hyperlink>
      <w:r>
        <w:t>). Na igreja, disciplinar era uma responsabilidade pastoral (</w:t>
      </w:r>
      <w:hyperlink r:id="rId4631">
        <w:r>
          <w:rPr>
            <w:color w:val="0000EE"/>
            <w:u w:val="single"/>
          </w:rPr>
          <w:t>2Tm 2.25</w:t>
        </w:r>
      </w:hyperlink>
      <w:r>
        <w:t>).</w:t>
      </w:r>
    </w:p>
    <w:p>
      <w:r/>
      <w:r>
        <w:t>É compreensível que as pessoas temam a disciplina de Deus (</w:t>
      </w:r>
      <w:hyperlink r:id="rId7294">
        <w:r>
          <w:rPr>
            <w:color w:val="0000EE"/>
            <w:u w:val="single"/>
          </w:rPr>
          <w:t>Sl 6.1</w:t>
        </w:r>
      </w:hyperlink>
      <w:r>
        <w:t>), mas é a sua ira que deve ser temida. Sua ira é dirigida apenas contra aqueles que, por suas ações, se provaram inimigos de Deus (</w:t>
      </w:r>
      <w:hyperlink r:id="rId7295">
        <w:r>
          <w:rPr>
            <w:color w:val="0000EE"/>
            <w:u w:val="single"/>
          </w:rPr>
          <w:t>Dt 11.2–3</w:t>
        </w:r>
      </w:hyperlink>
      <w:r>
        <w:t>). A disciplina de Deus é diferente de sua ira e não deve ser desprezada (</w:t>
      </w:r>
      <w:hyperlink r:id="rId7296">
        <w:r>
          <w:rPr>
            <w:color w:val="0000EE"/>
            <w:u w:val="single"/>
          </w:rPr>
          <w:t>Pv 3.11</w:t>
        </w:r>
      </w:hyperlink>
      <w:r>
        <w:t>) ou subestimada (</w:t>
      </w:r>
      <w:hyperlink r:id="rId7297">
        <w:r>
          <w:rPr>
            <w:color w:val="0000EE"/>
            <w:u w:val="single"/>
          </w:rPr>
          <w:t>Hb 12.5</w:t>
        </w:r>
      </w:hyperlink>
      <w:r>
        <w:t>). Somente um tolo ou uma pessoa má a odeia (</w:t>
      </w:r>
      <w:hyperlink r:id="rId7298">
        <w:r>
          <w:rPr>
            <w:color w:val="0000EE"/>
            <w:u w:val="single"/>
          </w:rPr>
          <w:t>Sl 50.17</w:t>
        </w:r>
      </w:hyperlink>
      <w:r>
        <w:t xml:space="preserve">; </w:t>
      </w:r>
      <w:hyperlink r:id="rId7299">
        <w:r>
          <w:rPr>
            <w:color w:val="0000EE"/>
            <w:u w:val="single"/>
          </w:rPr>
          <w:t>Pv 5.12</w:t>
        </w:r>
      </w:hyperlink>
      <w:r>
        <w:t xml:space="preserve">; </w:t>
      </w:r>
      <w:hyperlink r:id="rId7284">
        <w:r>
          <w:rPr>
            <w:color w:val="0000EE"/>
            <w:u w:val="single"/>
          </w:rPr>
          <w:t>Jr 31.18</w:t>
        </w:r>
      </w:hyperlink>
      <w:r>
        <w:t>). Deus disciplina seu povo como um pai amoroso disciplina um filho amado (</w:t>
      </w:r>
      <w:hyperlink r:id="rId7283">
        <w:r>
          <w:rPr>
            <w:color w:val="0000EE"/>
            <w:u w:val="single"/>
          </w:rPr>
          <w:t>Dt 8.5</w:t>
        </w:r>
      </w:hyperlink>
      <w:r>
        <w:t xml:space="preserve">; </w:t>
      </w:r>
      <w:hyperlink r:id="rId7300">
        <w:r>
          <w:rPr>
            <w:color w:val="0000EE"/>
            <w:u w:val="single"/>
          </w:rPr>
          <w:t>Pv 3.11–12</w:t>
        </w:r>
      </w:hyperlink>
      <w:r>
        <w:t xml:space="preserve">; </w:t>
      </w:r>
      <w:hyperlink r:id="rId7301">
        <w:r>
          <w:rPr>
            <w:color w:val="0000EE"/>
            <w:u w:val="single"/>
          </w:rPr>
          <w:t>Hb 12.5–7</w:t>
        </w:r>
      </w:hyperlink>
      <w:r>
        <w:t>). Segundo as Escrituras, uma pessoa sábia deve amar a disciplina (</w:t>
      </w:r>
      <w:hyperlink r:id="rId7302">
        <w:r>
          <w:rPr>
            <w:color w:val="0000EE"/>
            <w:u w:val="single"/>
          </w:rPr>
          <w:t>Pv 12.1</w:t>
        </w:r>
      </w:hyperlink>
      <w:r>
        <w:t xml:space="preserve">; </w:t>
      </w:r>
      <w:hyperlink r:id="rId7240">
        <w:r>
          <w:rPr>
            <w:color w:val="0000EE"/>
            <w:u w:val="single"/>
          </w:rPr>
          <w:t>13.24</w:t>
        </w:r>
      </w:hyperlink>
      <w:r>
        <w:t xml:space="preserve">; </w:t>
      </w:r>
      <w:hyperlink r:id="rId7303">
        <w:r>
          <w:rPr>
            <w:color w:val="0000EE"/>
            <w:u w:val="single"/>
          </w:rPr>
          <w:t>2Tm 1.7</w:t>
        </w:r>
      </w:hyperlink>
      <w:r>
        <w:t xml:space="preserve">; </w:t>
      </w:r>
      <w:hyperlink r:id="rId7304">
        <w:r>
          <w:rPr>
            <w:color w:val="0000EE"/>
            <w:u w:val="single"/>
          </w:rPr>
          <w:t>Hb 12.5,9</w:t>
        </w:r>
      </w:hyperlink>
      <w:r>
        <w:t>).</w:t>
      </w:r>
    </w:p>
    <w:p>
      <w:r/>
      <w:r>
        <w:t>O fruto da disciplina é o conhecimento (</w:t>
      </w:r>
      <w:hyperlink r:id="rId7302">
        <w:r>
          <w:rPr>
            <w:color w:val="0000EE"/>
            <w:u w:val="single"/>
          </w:rPr>
          <w:t>Pv 12.1</w:t>
        </w:r>
      </w:hyperlink>
      <w:r>
        <w:t>) e o deleite dos pais (</w:t>
      </w:r>
      <w:hyperlink r:id="rId7291">
        <w:r>
          <w:rPr>
            <w:color w:val="0000EE"/>
            <w:u w:val="single"/>
          </w:rPr>
          <w:t>29.17</w:t>
        </w:r>
      </w:hyperlink>
      <w:r>
        <w:t>). Quem é disciplinado pode ser chamado de “abençoado” (</w:t>
      </w:r>
      <w:hyperlink r:id="rId4630">
        <w:r>
          <w:rPr>
            <w:color w:val="0000EE"/>
            <w:u w:val="single"/>
          </w:rPr>
          <w:t>Jó 5.17</w:t>
        </w:r>
      </w:hyperlink>
      <w:r>
        <w:t xml:space="preserve">; </w:t>
      </w:r>
      <w:hyperlink r:id="rId7305">
        <w:r>
          <w:rPr>
            <w:color w:val="0000EE"/>
            <w:u w:val="single"/>
          </w:rPr>
          <w:t>Sl 94.12</w:t>
        </w:r>
      </w:hyperlink>
      <w:r>
        <w:t>). Onde o propósito da disciplina não é especificado, a disciplina é, no entanto, entendida como boa e justa (</w:t>
      </w:r>
      <w:hyperlink r:id="rId7282">
        <w:r>
          <w:rPr>
            <w:color w:val="0000EE"/>
            <w:u w:val="single"/>
          </w:rPr>
          <w:t>Dt 4.36</w:t>
        </w:r>
      </w:hyperlink>
      <w:r>
        <w:t xml:space="preserve">; </w:t>
      </w:r>
      <w:hyperlink r:id="rId7306">
        <w:r>
          <w:rPr>
            <w:color w:val="0000EE"/>
            <w:u w:val="single"/>
          </w:rPr>
          <w:t>Jó 36.10</w:t>
        </w:r>
      </w:hyperlink>
      <w:r>
        <w:t xml:space="preserve">; </w:t>
      </w:r>
      <w:hyperlink r:id="rId7240">
        <w:r>
          <w:rPr>
            <w:color w:val="0000EE"/>
            <w:u w:val="single"/>
          </w:rPr>
          <w:t>Pv 13.24</w:t>
        </w:r>
      </w:hyperlink>
      <w:r>
        <w:t xml:space="preserve">; </w:t>
      </w:r>
      <w:hyperlink r:id="rId5489">
        <w:r>
          <w:rPr>
            <w:color w:val="0000EE"/>
            <w:u w:val="single"/>
          </w:rPr>
          <w:t>Ap 3.19</w:t>
        </w:r>
      </w:hyperlink>
      <w:r>
        <w:t>). Especificamente, a disciplina é chamada de “o caminho da vida” (</w:t>
      </w:r>
      <w:hyperlink r:id="rId7307">
        <w:r>
          <w:rPr>
            <w:color w:val="0000EE"/>
            <w:u w:val="single"/>
          </w:rPr>
          <w:t>Pv 6.23</w:t>
        </w:r>
      </w:hyperlink>
      <w:r>
        <w:t>). Ela salva da destruição (</w:t>
      </w:r>
      <w:hyperlink r:id="rId7288">
        <w:r>
          <w:rPr>
            <w:color w:val="0000EE"/>
            <w:u w:val="single"/>
          </w:rPr>
          <w:t>19.18</w:t>
        </w:r>
      </w:hyperlink>
      <w:r>
        <w:t>) e permite escapar tanto da insensatez (</w:t>
      </w:r>
      <w:hyperlink r:id="rId7289">
        <w:r>
          <w:rPr>
            <w:color w:val="0000EE"/>
            <w:u w:val="single"/>
          </w:rPr>
          <w:t>22.15</w:t>
        </w:r>
      </w:hyperlink>
      <w:r>
        <w:t>) quanto da condenação de Deus sobre o mundo (</w:t>
      </w:r>
      <w:hyperlink r:id="rId7308">
        <w:r>
          <w:rPr>
            <w:color w:val="0000EE"/>
            <w:u w:val="single"/>
          </w:rPr>
          <w:t>1Co 11.32</w:t>
        </w:r>
      </w:hyperlink>
      <w:r>
        <w:t>). Eventualmente, leva a compartilhar da santidade de Deus (</w:t>
      </w:r>
      <w:hyperlink r:id="rId7309">
        <w:r>
          <w:rPr>
            <w:color w:val="0000EE"/>
            <w:u w:val="single"/>
          </w:rPr>
          <w:t>Hb 12.7</w:t>
        </w:r>
      </w:hyperlink>
      <w:r>
        <w:t>), e produz o fruto pacífico da justiça (</w:t>
      </w:r>
      <w:hyperlink r:id="rId7310">
        <w:r>
          <w:rPr>
            <w:color w:val="0000EE"/>
            <w:u w:val="single"/>
          </w:rPr>
          <w:t>12.11</w:t>
        </w:r>
      </w:hyperlink>
      <w:r>
        <w:t>). Em contraste, as consequências da falta de disciplina são estipuladas como abandono por Deus (</w:t>
      </w:r>
      <w:hyperlink r:id="rId7311">
        <w:r>
          <w:rPr>
            <w:color w:val="0000EE"/>
            <w:u w:val="single"/>
          </w:rPr>
          <w:t>Lv 26.23–24</w:t>
        </w:r>
      </w:hyperlink>
      <w:r>
        <w:t>), morte (</w:t>
      </w:r>
      <w:hyperlink r:id="rId7312">
        <w:r>
          <w:rPr>
            <w:color w:val="0000EE"/>
            <w:u w:val="single"/>
          </w:rPr>
          <w:t>Pv 5.23</w:t>
        </w:r>
      </w:hyperlink>
      <w:r>
        <w:t>) e destruição (</w:t>
      </w:r>
      <w:hyperlink r:id="rId7288">
        <w:r>
          <w:rPr>
            <w:color w:val="0000EE"/>
            <w:u w:val="single"/>
          </w:rPr>
          <w:t>19.18</w:t>
        </w:r>
      </w:hyperlink>
      <w:r>
        <w:t>).</w:t>
      </w:r>
    </w:p>
    <w:p>
      <w:r/>
      <w:r>
        <w:t>O livro de Provérbios fala da disciplina como necessária para evitar a imoralidade sexual (</w:t>
      </w:r>
      <w:hyperlink r:id="rId7313">
        <w:r>
          <w:rPr>
            <w:color w:val="0000EE"/>
            <w:u w:val="single"/>
          </w:rPr>
          <w:t>5.12–23</w:t>
        </w:r>
      </w:hyperlink>
      <w:r>
        <w:t xml:space="preserve">; </w:t>
      </w:r>
      <w:hyperlink r:id="rId7314">
        <w:r>
          <w:rPr>
            <w:color w:val="0000EE"/>
            <w:u w:val="single"/>
          </w:rPr>
          <w:t>6.23–24</w:t>
        </w:r>
      </w:hyperlink>
      <w:r>
        <w:t>). Mulheres soltas ou perversas provavelmente simbolizam muitos tipos de situações enganosas e sedutoras. Para agir de forma madura e responsável em tais situações, é necessário que os jovens respondam à disciplina sábia e amorosa dos pais, para que aprendam a viver vidas disciplinadas. Eles então farão por "inclinação natural" o que é certo, porque sua natureza foi moldada para o que é correto. O mal pode então ser evitado, mesmo quando encontrado inesperadamente.</w:t>
      </w:r>
    </w:p>
    <w:p>
      <w:r/>
      <w:r>
        <w:t>O livro de Hebreus também exorta seus leitores a responder à disciplina em vez de reagir contra ela. Em Hebreus, duas reações prejudiciais são estipuladas e a resposta útil é identificada. Por um lado, nenhum indivíduo deve considerar levianamente a disciplina do Senhor (</w:t>
      </w:r>
      <w:hyperlink r:id="rId7297">
        <w:r>
          <w:rPr>
            <w:color w:val="0000EE"/>
            <w:u w:val="single"/>
          </w:rPr>
          <w:t>Hb 12.5</w:t>
        </w:r>
      </w:hyperlink>
      <w:r>
        <w:t>). A disciplina não deve ser considerada nem sem valor nem de pouco valor. Por outro lado, não se deve perder a coragem quando é punido pelo Senhor. Ou seja, a preocupação com o aspecto negativo do procedimento disciplinar não deve obscurecer seu objetivo ou desmoralizar as pessoas que estão sendo disciplinadas. Há um propósito para o que acontece, que deve ser buscado e realizado: “Quando somos corrigidos, isso no momento nos parece motivo de tristeza e não de alegria. Porém, mais tarde, os que foram corrigidos recebem como recompensa uma vida correta e de paz” (</w:t>
      </w:r>
      <w:hyperlink r:id="rId7310">
        <w:r>
          <w:rPr>
            <w:color w:val="0000EE"/>
            <w:u w:val="single"/>
          </w:rPr>
          <w:t>Hb 12.11</w:t>
        </w:r>
      </w:hyperlink>
      <w:r>
        <w:t>, NTLH). A exortação é não rejeitar a disciplina ou ficar desanimado por ela, mas aceitá-la e ser instruído por ela.</w:t>
      </w:r>
    </w:p>
    <w:p>
      <w:pPr>
        <w:pStyle w:val="Heading3"/>
      </w:pPr>
      <w:r>
        <w:t>Autodisciplina</w:t>
      </w:r>
    </w:p>
    <w:p>
      <w:r/>
      <w:r>
        <w:t>A ética de justiça de Jesus tanto cumpre quanto supera o rigoroso código da antiga aliança (</w:t>
      </w:r>
      <w:hyperlink r:id="rId7315">
        <w:r>
          <w:rPr>
            <w:color w:val="0000EE"/>
            <w:u w:val="single"/>
          </w:rPr>
          <w:t>Mt 5.17–48</w:t>
        </w:r>
      </w:hyperlink>
      <w:r>
        <w:t>). No entanto, os cristãos não são, portanto, inerentemente mais legalistas do que eram os fariseus. Libertados da “lei do pecado e da morte”, os cristãos têm “a lei do Espírito de vida em Jesus Cristo” (</w:t>
      </w:r>
      <w:hyperlink r:id="rId7316">
        <w:r>
          <w:rPr>
            <w:color w:val="0000EE"/>
            <w:u w:val="single"/>
          </w:rPr>
          <w:t>Rm 8.1–8</w:t>
        </w:r>
      </w:hyperlink>
      <w:r>
        <w:t>) para fornecer uma dinâmica interna para cumprir a vontade de Deus. Além da obediência servil à letra da lei, os crentes são capacitados pelo Espírito de Deus que habita neles a exercer autodisciplina. A transformação espiritual é acompanhada pela renovação da mente (</w:t>
      </w:r>
      <w:hyperlink r:id="rId7317">
        <w:r>
          <w:rPr>
            <w:color w:val="0000EE"/>
            <w:u w:val="single"/>
          </w:rPr>
          <w:t>Rm 12.2</w:t>
        </w:r>
      </w:hyperlink>
      <w:r>
        <w:t>), que traz uma nova compreensão de si mesmo, de suas motivações e de suas atitudes.</w:t>
      </w:r>
    </w:p>
    <w:p>
      <w:pPr>
        <w:pStyle w:val="Heading3"/>
      </w:pPr>
      <w:r>
        <w:t>Disciplina parental</w:t>
      </w:r>
    </w:p>
    <w:p>
      <w:r/>
      <w:r>
        <w:t>A família constitui a unidade básica da comunidade humana. Dentro dessa célula de relacionamentos íntimos, os pais são encarregados da responsabilidade de guiar e corrigir seus filhos (</w:t>
      </w:r>
      <w:hyperlink r:id="rId7318">
        <w:r>
          <w:rPr>
            <w:color w:val="0000EE"/>
            <w:u w:val="single"/>
          </w:rPr>
          <w:t>Dt 6.7</w:t>
        </w:r>
      </w:hyperlink>
      <w:r>
        <w:t xml:space="preserve">; </w:t>
      </w:r>
      <w:hyperlink r:id="rId7319">
        <w:r>
          <w:rPr>
            <w:color w:val="0000EE"/>
            <w:u w:val="single"/>
          </w:rPr>
          <w:t>Pv 22.6</w:t>
        </w:r>
      </w:hyperlink>
      <w:r>
        <w:t>). A visão bíblica é essencialmente pessimista quanto à possibilidade de perfeição (ou melhoria) da natureza humana. Portanto, os pais são instados a não deixar as crianças à mercê de suas próprias tendências naturais. Crianças indisciplinadas são potenciais vítimas do poderoso condicionamento exercido por uma cultura predominantemente pagã. Para exercer suas responsabilidades adequadamente, os pais devem modelar valores, práticas e atitudes para seus filhos, além de ensiná-los por meio de instrução e correção.</w:t>
      </w:r>
    </w:p>
    <w:p>
      <w:r/>
      <w:r>
        <w:t>A tarefa educacional dos pais é melhor realizada por meios positivos, como conselhos, exortações, orientações, devoções familiares e treinamento cristão na igreja e na escola dominical. Mas também pode exigir medidas negativas, como proibições e ações disciplinares. Quando as advertências verbais não são atendidas por crianças pequenas, a punição torna-se uma forma eficaz de persuasão (</w:t>
      </w:r>
      <w:hyperlink r:id="rId7240">
        <w:r>
          <w:rPr>
            <w:color w:val="0000EE"/>
            <w:u w:val="single"/>
          </w:rPr>
          <w:t>Pv 13.24</w:t>
        </w:r>
      </w:hyperlink>
      <w:r>
        <w:t>). A disciplina física, no entanto, deve ser administrada com base em princípios claramente declarados e compreendidos. Os pais cristãos devem evitar punir por raiva ou animosidade pessoal e nunca devem causar lesões a uma criança. A disciplina física deve ser vista como um último recurso destinado a obter resultados educacionais máximos com o mínimo de indignação para as crianças (</w:t>
      </w:r>
      <w:hyperlink r:id="rId7292">
        <w:r>
          <w:rPr>
            <w:color w:val="0000EE"/>
            <w:u w:val="single"/>
          </w:rPr>
          <w:t>Ef 6.4</w:t>
        </w:r>
      </w:hyperlink>
      <w:r>
        <w:t>).</w:t>
      </w:r>
    </w:p>
    <w:p>
      <w:r/>
      <w:r>
        <w:t>A queda humana (</w:t>
      </w:r>
      <w:hyperlink r:id="rId2628">
        <w:r>
          <w:rPr>
            <w:color w:val="0000EE"/>
            <w:u w:val="single"/>
          </w:rPr>
          <w:t>Gn 3</w:t>
        </w:r>
      </w:hyperlink>
      <w:r>
        <w:t xml:space="preserve">) significa que o egocentrismo infecta até mesmo as crianças (cf. </w:t>
      </w:r>
      <w:hyperlink r:id="rId7320">
        <w:r>
          <w:rPr>
            <w:color w:val="0000EE"/>
            <w:u w:val="single"/>
          </w:rPr>
          <w:t>Sl 51.5</w:t>
        </w:r>
      </w:hyperlink>
      <w:r>
        <w:t>). De alguma forma, as crianças devem aprender a respeitar a si mesmas e aos outros. Deixadas por conta própria e depois abaladas por uma sociedade caída, elas podem se tornar rebeldes com desajustes sociais, deixando um rastro de sofrimento em suas próprias vidas e nas vidas de outras pessoas. O amor pelos filhos não exclui o uso de medidas disciplinares negativas. Por mais desagradáveis que possam parecer para pais e filhos, o amor genuíno pode exigi-las. Um ambiente familiar regulado por firmeza consistente e amorosa aumentará as chances de as crianças amadurecerem como indivíduos responsáveis e atenciosos.</w:t>
      </w:r>
    </w:p>
    <w:p>
      <w:pPr>
        <w:pStyle w:val="Heading3"/>
      </w:pPr>
      <w:r>
        <w:t>Disciplina da igreja</w:t>
      </w:r>
    </w:p>
    <w:p>
      <w:r/>
      <w:r>
        <w:t>A igreja é basicamente uma grande família da qual cada crente é membro. A natureza da igreja — como uma comunidade destinada a refletir na fé, adoração e vidas de seus membros o verdadeiro caráter de Deus — distingue-a de todos os outros grupos.</w:t>
      </w:r>
    </w:p>
    <w:p>
      <w:r/>
      <w:r>
        <w:t>Ao mesmo tempo, a igreja é chamada a ser uma comunidade aberta de preocupação, alcançando com compaixão os seres humanos desesperadamente necessitados. Os estilos de vida cristãos claramente diferem dos estilos de vida pagãos. Essa diferença muitas vezes cria uma barreira isolando os “perdidos” das próprias pessoas que poderiam lhes estender a libertação de Deus da solidão, vícios, desorientação, relacionamentos rompidos, e assim por diante. A igreja tem a responsabilidade de não colocar obstáculos não bíblicos no caminho de seu alcance aos descrentes, mas a tensão entre abertura e pureza é difícil de resolver. Sem um equilíbrio cuidadoso, uma igreja pode facilmente se tornar excessivamente restritiva ou excessivamente permissiva. Em qualquer dos extremos, seu testemunho é prejudicado.</w:t>
      </w:r>
    </w:p>
    <w:p>
      <w:r/>
      <w:r>
        <w:t xml:space="preserve">A solução para o dilema está em formular uma disciplina eclesiástica que seja autenticamente bíblica. As Escrituras fornecem à igreja ampla orientação para a formulação de padrões de conduta (por exemplo, </w:t>
      </w:r>
      <w:hyperlink r:id="rId2571">
        <w:r>
          <w:rPr>
            <w:color w:val="0000EE"/>
            <w:u w:val="single"/>
          </w:rPr>
          <w:t>Êx 20.1–17</w:t>
        </w:r>
      </w:hyperlink>
      <w:r>
        <w:t xml:space="preserve">; </w:t>
      </w:r>
      <w:hyperlink r:id="rId5315">
        <w:r>
          <w:rPr>
            <w:color w:val="0000EE"/>
            <w:u w:val="single"/>
          </w:rPr>
          <w:t>1Co 5.11</w:t>
        </w:r>
      </w:hyperlink>
      <w:r>
        <w:t xml:space="preserve">; </w:t>
      </w:r>
      <w:hyperlink r:id="rId5776">
        <w:r>
          <w:rPr>
            <w:color w:val="0000EE"/>
            <w:u w:val="single"/>
          </w:rPr>
          <w:t>6.9–11</w:t>
        </w:r>
      </w:hyperlink>
      <w:r>
        <w:t xml:space="preserve">; </w:t>
      </w:r>
      <w:hyperlink r:id="rId7321">
        <w:r>
          <w:rPr>
            <w:color w:val="0000EE"/>
            <w:u w:val="single"/>
          </w:rPr>
          <w:t>Ef 4.25–32</w:t>
        </w:r>
      </w:hyperlink>
      <w:r>
        <w:t xml:space="preserve">; </w:t>
      </w:r>
      <w:hyperlink r:id="rId7322">
        <w:r>
          <w:rPr>
            <w:color w:val="0000EE"/>
            <w:u w:val="single"/>
          </w:rPr>
          <w:t>5.1–21</w:t>
        </w:r>
      </w:hyperlink>
      <w:r>
        <w:t xml:space="preserve">; </w:t>
      </w:r>
      <w:hyperlink r:id="rId5147">
        <w:r>
          <w:rPr>
            <w:color w:val="0000EE"/>
            <w:u w:val="single"/>
          </w:rPr>
          <w:t>Cl 3.5–11</w:t>
        </w:r>
      </w:hyperlink>
      <w:r>
        <w:t>). À medida que esses padrões são detalhados, no entanto, é necessário diferenciar entre absolutos bíblicos e normas culturais. Por exemplo, embora a embriaguez seja expressamente proibida no NT, não há proibição bíblica sobre o consumo de vinho. Algumas igrejas permitem o consumo, mas condenam a embriaguez, outras recomendam a abstinência aos seus membros, e outras ainda fazem da abstinência de bebidas alcoólicas uma condição para a membresia. O NT, reconhecendo que às vezes ocorrem conflitos entre a liberdade cristã e a responsabilidade cristã, oferece diretrizes para resolver tais conflitos (</w:t>
      </w:r>
      <w:hyperlink r:id="rId5800">
        <w:r>
          <w:rPr>
            <w:color w:val="0000EE"/>
            <w:u w:val="single"/>
          </w:rPr>
          <w:t>1Co 8</w:t>
        </w:r>
      </w:hyperlink>
      <w:r>
        <w:t>).</w:t>
      </w:r>
    </w:p>
    <w:p>
      <w:r/>
      <w:r>
        <w:t>Para o bem da consistência escritural e para ser crível, a disciplina da igreja deve se opor aos pecados de atitude com a mesma severidade que para os “pecados graves”. O NT condena a imoralidade, o assassinato e a embriaguez — mas junto com eles a inveja, o ciúme, a raiva, o egoísmo, a reclamação e a crítica. Cada um desses vícios (pecados) é um impedimento para entrar no reino de Deus (</w:t>
      </w:r>
      <w:hyperlink r:id="rId4315">
        <w:r>
          <w:rPr>
            <w:color w:val="0000EE"/>
            <w:u w:val="single"/>
          </w:rPr>
          <w:t>Gl 5.19–21</w:t>
        </w:r>
      </w:hyperlink>
      <w:r>
        <w:t>). Frequentemente, descrentes sentem-se indesejados na igreja por questões secundárias, como fumar ou beber. No entanto, fofocas, reclamações e egoísmo entre os membros da igreja raramente são expostos e devidamente disciplinados. Uma posição mais consistente promoveria a pureza da igreja e também melhoraria seu ministério como um centro de amor cristão acolhedor e de apoio.</w:t>
      </w:r>
    </w:p>
    <w:p>
      <w:r/>
      <w:r>
        <w:t>Além de afirmar a necessidade de disciplina dentro da igreja, o NT delineia um procedimento para realizar a ação disciplinar (</w:t>
      </w:r>
      <w:hyperlink r:id="rId7323">
        <w:r>
          <w:rPr>
            <w:color w:val="0000EE"/>
            <w:u w:val="single"/>
          </w:rPr>
          <w:t>Mt 18.15–18</w:t>
        </w:r>
      </w:hyperlink>
      <w:r>
        <w:t xml:space="preserve">; </w:t>
      </w:r>
      <w:hyperlink r:id="rId7324">
        <w:r>
          <w:rPr>
            <w:color w:val="0000EE"/>
            <w:u w:val="single"/>
          </w:rPr>
          <w:t>1Co 5.3–13</w:t>
        </w:r>
      </w:hyperlink>
      <w:r>
        <w:t xml:space="preserve">; </w:t>
      </w:r>
      <w:hyperlink r:id="rId5321">
        <w:r>
          <w:rPr>
            <w:color w:val="0000EE"/>
            <w:u w:val="single"/>
          </w:rPr>
          <w:t>Gl 6.1</w:t>
        </w:r>
      </w:hyperlink>
      <w:r>
        <w:t>). Os infratores devem primeiro ser abordados e advertidos em particular. Se eles se recusarem a se arrepender ou corrigir seus caminhos, o caso deve ser apresentado à liderança da igreja e, se necessário, a toda a congregação. Se os infratores persistirem em seu erro, devem ser ostracizados, não por vingança, mas com a esperança de levá-los ao arrependimento e restauração (</w:t>
      </w:r>
      <w:hyperlink r:id="rId7325">
        <w:r>
          <w:rPr>
            <w:color w:val="0000EE"/>
            <w:u w:val="single"/>
          </w:rPr>
          <w:t>2Ts 3.14–15</w:t>
        </w:r>
      </w:hyperlink>
      <w:r>
        <w:t>).</w:t>
      </w:r>
    </w:p>
    <w:p>
      <w:r/>
      <w:r>
        <w:t>A ênfase da Bíblia na necessidade de autodisciplina, disciplina parental e disciplina da igreja parece ser destacada pelo declínio moral evidente em muitas áreas da sociedade moderna. O amor de Deus, conforme retratado na Bíblia e exemplificado em Jesus Cristo, é destinado a ensinar todas as pessoas a viver. Aqueles que rejeitam o “reforço positivo” de Deus encontram os aspectos negativos de sua disciplina. Cristãos que se disciplinam, disciplinam seus filhos e uns aos outros de maneira amorosa honram Cristo e modelam seu modo de vida, ajudando assim os outros a entender os propósitos de Deus.</w:t>
      </w:r>
      <w:r/>
      <w:r/>
    </w:p>
    <w:p>
      <w:r/>
    </w:p>
    <w:p>
      <w:pPr>
        <w:pStyle w:val="Heading2"/>
      </w:pPr>
      <w:r>
        <w:t>Discípulo</w:t>
      </w:r>
      <w:r/>
    </w:p>
    <w:p>
      <w:r/>
      <w:r>
        <w:t xml:space="preserve">Alguém que segue outra pessoa ou outro modo de vida e que se submete à disciplina (ensino) desse líder ou caminho. Na Bíblia, o termo “discípulo” é encontrado quase exclusivamente nos Evangelhos e no livro de Atos, sendo as únicas exceções </w:t>
      </w:r>
      <w:hyperlink r:id="rId7326">
        <w:r>
          <w:rPr>
            <w:color w:val="0000EE"/>
            <w:u w:val="single"/>
          </w:rPr>
          <w:t>Isaías 8.16</w:t>
        </w:r>
      </w:hyperlink>
      <w:r>
        <w:t xml:space="preserve"> e menos diretamente </w:t>
      </w:r>
      <w:hyperlink r:id="rId7327">
        <w:r>
          <w:rPr>
            <w:color w:val="0000EE"/>
            <w:u w:val="single"/>
          </w:rPr>
          <w:t>Isaías 50.4</w:t>
        </w:r>
      </w:hyperlink>
      <w:r>
        <w:t xml:space="preserve"> e </w:t>
      </w:r>
      <w:hyperlink r:id="rId7328">
        <w:r>
          <w:rPr>
            <w:color w:val="0000EE"/>
            <w:u w:val="single"/>
          </w:rPr>
          <w:t>54.13</w:t>
        </w:r>
      </w:hyperlink>
      <w:r>
        <w:t>, onde a mesma palavra hebraica é traduzida como “aprendido” e “ensinado”, respectivamente. No entanto, claramente onde quer que haja um mestre e aqueles que são ensinados, a ideia de discipulado está presente.</w:t>
      </w:r>
    </w:p>
    <w:p>
      <w:r/>
      <w:r>
        <w:t>Nos Evangelhos, os seguidores imediatos de Jesus, chamados por sua autoridade de uma ampla variedade de circunstâncias, não apenas os Doze, mas todos aqueles que eram simpatizantes de seu ensino e comprometidos com ele, são chamados de “discípulos”. O chamado desses discípulos ocorreu em um momento em que outros mestres tinham seus discípulos, mais notavelmente os fariseus (</w:t>
      </w:r>
      <w:hyperlink r:id="rId7329">
        <w:r>
          <w:rPr>
            <w:color w:val="0000EE"/>
            <w:u w:val="single"/>
          </w:rPr>
          <w:t>Mc 2.18</w:t>
        </w:r>
      </w:hyperlink>
      <w:r>
        <w:t xml:space="preserve">; </w:t>
      </w:r>
      <w:hyperlink r:id="rId7330">
        <w:r>
          <w:rPr>
            <w:color w:val="0000EE"/>
            <w:u w:val="single"/>
          </w:rPr>
          <w:t>Lc 5.33</w:t>
        </w:r>
      </w:hyperlink>
      <w:r>
        <w:t>) e João Batista (</w:t>
      </w:r>
      <w:hyperlink r:id="rId7331">
        <w:r>
          <w:rPr>
            <w:color w:val="0000EE"/>
            <w:u w:val="single"/>
          </w:rPr>
          <w:t>Mt 9.14</w:t>
        </w:r>
      </w:hyperlink>
      <w:r>
        <w:t>). É evidente, na práticaa de João Batista que diferentes líderes chamaram aos seus seguidores para ensinamentos diferentes. O caminho de João era consideravelmente mais ascético em caráter do que o de Jesus; no entanto, também envolvia não apenas o ensino sobre conduta e maneira de vida, mas também um padrão distinto de oração (</w:t>
      </w:r>
      <w:hyperlink r:id="rId7332">
        <w:r>
          <w:rPr>
            <w:color w:val="0000EE"/>
            <w:u w:val="single"/>
          </w:rPr>
          <w:t>Lc 11.1</w:t>
        </w:r>
      </w:hyperlink>
      <w:r>
        <w:t>).</w:t>
      </w:r>
    </w:p>
    <w:p>
      <w:r/>
      <w:r>
        <w:t>Os discípulos de Jesus tiveram uma experiência única. Não apenas se beneficiaram do ensino imediato de Jesus, de sua aparência e tons de voz (</w:t>
      </w:r>
      <w:hyperlink r:id="rId7333">
        <w:r>
          <w:rPr>
            <w:color w:val="0000EE"/>
            <w:u w:val="single"/>
          </w:rPr>
          <w:t>Mc 10.21</w:t>
        </w:r>
      </w:hyperlink>
      <w:r>
        <w:t>), bem como de suas palavras, mas também foram testemunhas do desenrolar do drama da redenção que tinha Cristo como seu centro. Eles seguiram um mestre que incorporava a substância desse ensino. Os primeiros discípulos deveriam ser ensinados por Cristo aos poucos, não apenas por causa da necessidade de remover seus equívocos (</w:t>
      </w:r>
      <w:hyperlink r:id="rId1386">
        <w:r>
          <w:rPr>
            <w:color w:val="0000EE"/>
            <w:u w:val="single"/>
          </w:rPr>
          <w:t>Mt 16.21</w:t>
        </w:r>
      </w:hyperlink>
      <w:r>
        <w:t>), mas também porque o significado completo do que Jesus disse e fez, não poderia ser tão plenamente compreendido até após os eventos de sua morte e ressurreição (</w:t>
      </w:r>
      <w:hyperlink r:id="rId6000">
        <w:r>
          <w:rPr>
            <w:color w:val="0000EE"/>
            <w:u w:val="single"/>
          </w:rPr>
          <w:t>Mt 28.9</w:t>
        </w:r>
      </w:hyperlink>
      <w:r>
        <w:t>). Não é surpreendente que o período de “discipulado” abrangeu o tempo antes e depois da morte e ressurreição de Cristo, e também após o Pentecostes, quando o Espírito Santo ensinava aos discípulos sobre assuntos que eles não poderiam “suportar” enquanto Jesus permaneceu na terra (</w:t>
      </w:r>
      <w:hyperlink r:id="rId7334">
        <w:r>
          <w:rPr>
            <w:color w:val="0000EE"/>
            <w:u w:val="single"/>
          </w:rPr>
          <w:t>Jo 16.12</w:t>
        </w:r>
      </w:hyperlink>
      <w:r>
        <w:t>).</w:t>
      </w:r>
    </w:p>
    <w:p>
      <w:r/>
      <w:r>
        <w:t>Os grupos dos primeiros discípulos de Jesus, tanto os Doze quanto os Setenta (</w:t>
      </w:r>
      <w:hyperlink r:id="rId7335">
        <w:r>
          <w:rPr>
            <w:color w:val="0000EE"/>
            <w:u w:val="single"/>
          </w:rPr>
          <w:t>Mt 26.20</w:t>
        </w:r>
      </w:hyperlink>
      <w:r>
        <w:t xml:space="preserve">: </w:t>
      </w:r>
      <w:hyperlink r:id="rId3623">
        <w:r>
          <w:rPr>
            <w:color w:val="0000EE"/>
            <w:u w:val="single"/>
          </w:rPr>
          <w:t>Lc 10.1</w:t>
        </w:r>
      </w:hyperlink>
      <w:r>
        <w:t>), receberam seu ensino, ensinaram os outros por sua vez (</w:t>
      </w:r>
      <w:hyperlink r:id="rId7336">
        <w:r>
          <w:rPr>
            <w:color w:val="0000EE"/>
            <w:u w:val="single"/>
          </w:rPr>
          <w:t>Lc 10.1–11</w:t>
        </w:r>
      </w:hyperlink>
      <w:r>
        <w:t>) e receberam poder para curar (</w:t>
      </w:r>
      <w:hyperlink r:id="rId6667">
        <w:r>
          <w:rPr>
            <w:color w:val="0000EE"/>
            <w:u w:val="single"/>
          </w:rPr>
          <w:t>Mt 10.1</w:t>
        </w:r>
      </w:hyperlink>
      <w:r>
        <w:t xml:space="preserve">). Eles também proclamaram a mensagem de salvação através de Cristo. No entanto, os Doze receberam proeminência especial, e com a exceção de Judas Iscariotes (cujo lugar foi ocupado por Matias, </w:t>
      </w:r>
      <w:hyperlink r:id="rId7337">
        <w:r>
          <w:rPr>
            <w:color w:val="0000EE"/>
            <w:u w:val="single"/>
          </w:rPr>
          <w:t>Atos 1.26</w:t>
        </w:r>
      </w:hyperlink>
      <w:r>
        <w:t>), eles se tornaram os mestres fundamentais da igreja cristã primitiva. Sua autoridade na igreja, dada por Cristo (</w:t>
      </w:r>
      <w:hyperlink r:id="rId3566">
        <w:r>
          <w:rPr>
            <w:color w:val="0000EE"/>
            <w:u w:val="single"/>
          </w:rPr>
          <w:t>Mt 16.19</w:t>
        </w:r>
      </w:hyperlink>
      <w:r>
        <w:t xml:space="preserve">; </w:t>
      </w:r>
      <w:hyperlink r:id="rId7338">
        <w:r>
          <w:rPr>
            <w:color w:val="0000EE"/>
            <w:u w:val="single"/>
          </w:rPr>
          <w:t>28.16–20</w:t>
        </w:r>
      </w:hyperlink>
      <w:r>
        <w:t>), deveria ser caracterizada por um estilo único de serviço de abnegação (</w:t>
      </w:r>
      <w:hyperlink r:id="rId7339">
        <w:r>
          <w:rPr>
            <w:color w:val="0000EE"/>
            <w:u w:val="single"/>
          </w:rPr>
          <w:t>Lc 22.24–30</w:t>
        </w:r>
      </w:hyperlink>
      <w:r>
        <w:t>). A este grupo de discípulos, que foram reconhecidos como apóstolos (embora este termo seja dado ocasionalmente a uma aplicação mais ampla), Saulo de Tarso foi incluído. Em sua conversão na estrada para Damasco, ele viu o Senhor ressuscitado e foi imediatamente comissionado por Cristo (</w:t>
      </w:r>
      <w:hyperlink r:id="rId2281">
        <w:r>
          <w:rPr>
            <w:color w:val="0000EE"/>
            <w:u w:val="single"/>
          </w:rPr>
          <w:t>Gl 1.12,16</w:t>
        </w:r>
      </w:hyperlink>
      <w:r>
        <w:t>) como o apóstolo dos gentios (</w:t>
      </w:r>
      <w:hyperlink r:id="rId2289">
        <w:r>
          <w:rPr>
            <w:color w:val="0000EE"/>
            <w:u w:val="single"/>
          </w:rPr>
          <w:t>Atos 9.15</w:t>
        </w:r>
      </w:hyperlink>
      <w:r>
        <w:t>).</w:t>
      </w:r>
    </w:p>
    <w:p>
      <w:r/>
      <w:r>
        <w:t>No momento de sua ascensão, Cristo comissionou os primeiros discípulos a “fazer discípulos de todas as nações” (</w:t>
      </w:r>
      <w:hyperlink r:id="rId3199">
        <w:r>
          <w:rPr>
            <w:color w:val="0000EE"/>
            <w:u w:val="single"/>
          </w:rPr>
          <w:t>Mt 28.19</w:t>
        </w:r>
      </w:hyperlink>
      <w:r>
        <w:t>); portanto, o termo “discípulo” também é usado no livro de Atos para descrever os crentes, aqueles que confessam a Cristo. Embora eles não tenham sido diretamente chamados pelo próprio Cristo, tais discípulos são chamados pelo Espírito de Cristo através da mensagem transmitida pelos primeiros discípulos; discípulos chamados mais tarde não são, em nenhum sentido, inferiores aos primeiros discípulos, mesmo que sejam menos privilegiados. Era apropriado que os primeiros cristãos fossem chamados de discípulos de Jesus de Nazaré ou simplesmente “os discípulos” (</w:t>
      </w:r>
      <w:hyperlink r:id="rId7340">
        <w:r>
          <w:rPr>
            <w:color w:val="0000EE"/>
            <w:u w:val="single"/>
          </w:rPr>
          <w:t>Atos 6.1–2,7</w:t>
        </w:r>
      </w:hyperlink>
      <w:r>
        <w:t xml:space="preserve">; </w:t>
      </w:r>
      <w:hyperlink r:id="rId7341">
        <w:r>
          <w:rPr>
            <w:color w:val="0000EE"/>
            <w:u w:val="single"/>
          </w:rPr>
          <w:t>9.36</w:t>
        </w:r>
      </w:hyperlink>
      <w:r>
        <w:t xml:space="preserve">; </w:t>
      </w:r>
      <w:hyperlink r:id="rId1995">
        <w:r>
          <w:rPr>
            <w:color w:val="0000EE"/>
            <w:u w:val="single"/>
          </w:rPr>
          <w:t>11.26</w:t>
        </w:r>
      </w:hyperlink>
      <w:r>
        <w:t>) porque eles estavam continuando o ensino de Jesus e vivendo a vida que ele havia exemplificado. Eles foram assim reconhecidos como uma “escola” ou comunidade viva que incorporava o ensino de seu “mestre”, na prática. O livro de 1 João enfatiza que apenas aqueles que guardam os mandamentos de Cristo demonstram amor real por Deus (</w:t>
      </w:r>
      <w:hyperlink r:id="rId7342">
        <w:r>
          <w:rPr>
            <w:color w:val="0000EE"/>
            <w:u w:val="single"/>
          </w:rPr>
          <w:t>1Jo 2.3–6</w:t>
        </w:r>
      </w:hyperlink>
      <w:r>
        <w:t xml:space="preserve">; </w:t>
      </w:r>
      <w:hyperlink r:id="rId7343">
        <w:r>
          <w:rPr>
            <w:color w:val="0000EE"/>
            <w:u w:val="single"/>
          </w:rPr>
          <w:t>3.10–11</w:t>
        </w:r>
      </w:hyperlink>
      <w:r>
        <w:t>).</w:t>
      </w:r>
      <w:r/>
      <w:r/>
    </w:p>
    <w:p>
      <w:r/>
    </w:p>
    <w:p>
      <w:pPr>
        <w:pStyle w:val="Heading2"/>
      </w:pPr>
      <w:r>
        <w:t>Discípulo amado</w:t>
      </w:r>
      <w:r/>
    </w:p>
    <w:p>
      <w:r/>
      <w:r>
        <w:t>Designação de um discípulo, evidentemente o autor do Evangelho de João (</w:t>
      </w:r>
      <w:hyperlink r:id="rId7344">
        <w:r>
          <w:rPr>
            <w:color w:val="0000EE"/>
            <w:u w:val="single"/>
          </w:rPr>
          <w:t>Jo 21.20–24</w:t>
        </w:r>
      </w:hyperlink>
      <w:r>
        <w:t>). Cinco passagens no Evangelho de João mencionam o discípulo a quem Jesus amava: (1) O discípulo a quem Jesus amava estava deitado perto do peito de Jesus durante a Última Ceia e foi chamado por Pedro para perguntar a Jesus quem seria o traidor (</w:t>
      </w:r>
      <w:hyperlink r:id="rId7345">
        <w:r>
          <w:rPr>
            <w:color w:val="0000EE"/>
            <w:u w:val="single"/>
          </w:rPr>
          <w:t>13.21–26</w:t>
        </w:r>
      </w:hyperlink>
      <w:r>
        <w:t>). (2) O discípulo a quem Jesus amava estava perto da cruz, e Maria, a mãe de Jesus, foi entregue aos seus cuidados (</w:t>
      </w:r>
      <w:hyperlink r:id="rId7346">
        <w:r>
          <w:rPr>
            <w:color w:val="0000EE"/>
            <w:u w:val="single"/>
          </w:rPr>
          <w:t>19.25–27</w:t>
        </w:r>
      </w:hyperlink>
      <w:r>
        <w:t>). (3) Maria Madalena foi até Pedro e ao discípulo a quem Jesus amava, informando que o corpo de Jesus estava desaparecido do túmulo (</w:t>
      </w:r>
      <w:hyperlink r:id="rId7347">
        <w:r>
          <w:rPr>
            <w:color w:val="0000EE"/>
            <w:u w:val="single"/>
          </w:rPr>
          <w:t>20.2</w:t>
        </w:r>
      </w:hyperlink>
      <w:r>
        <w:t>). (4) O discípulo a quem Jesus amava estava em um barco de pesca com Pedro e os outros discípulos e reconheceu Jesus de pé na margem (</w:t>
      </w:r>
      <w:hyperlink r:id="rId7348">
        <w:r>
          <w:rPr>
            <w:color w:val="0000EE"/>
            <w:u w:val="single"/>
          </w:rPr>
          <w:t>21.7</w:t>
        </w:r>
      </w:hyperlink>
      <w:r>
        <w:t>). (5) O discípulo a quem Jesus amava estava seguindo Jesus pela beira do lago, e o autor lembrou aos seus leitores que este era o mesmo discípulo mencionado na Última Ceia (</w:t>
      </w:r>
      <w:hyperlink r:id="rId7349">
        <w:r>
          <w:rPr>
            <w:color w:val="0000EE"/>
            <w:u w:val="single"/>
          </w:rPr>
          <w:t>21.20–23</w:t>
        </w:r>
      </w:hyperlink>
      <w:r>
        <w:t xml:space="preserve">; cf. </w:t>
      </w:r>
      <w:hyperlink r:id="rId7345">
        <w:r>
          <w:rPr>
            <w:color w:val="0000EE"/>
            <w:u w:val="single"/>
          </w:rPr>
          <w:t>13.21–26</w:t>
        </w:r>
      </w:hyperlink>
      <w:r>
        <w:t>).</w:t>
      </w:r>
    </w:p>
    <w:p>
      <w:r/>
      <w:r>
        <w:t>Porque a frase é encontrada apenas no Evangelho de João, poderia ser a maneira do autor se referir a si mesmo? Várias passagens fazem parecer muito provável.</w:t>
      </w:r>
    </w:p>
    <w:p>
      <w:r/>
      <w:r>
        <w:t xml:space="preserve">Uma lista de nomes mencionados em </w:t>
      </w:r>
      <w:hyperlink r:id="rId3158">
        <w:r>
          <w:rPr>
            <w:color w:val="0000EE"/>
            <w:u w:val="single"/>
          </w:rPr>
          <w:t>João 21.2</w:t>
        </w:r>
      </w:hyperlink>
      <w:r>
        <w:t xml:space="preserve"> indica que os discípulos presentes na beira do lago eram Pedro, Tomé, Natanael, os filhos de Zebedeu (Tiago e João) e mais dois. Evidentemente, o discípulo amado era um dos filhos de Zebedeu ou então um dos dois discípulos não mencionados.</w:t>
      </w:r>
    </w:p>
    <w:p>
      <w:r/>
      <w:r>
        <w:t>O discípulo amado era quase certamente um dos Doze, já que estava presente na Última Ceia e, evidentemente, apenas os 12 discípulos estavam lá com Jesus (</w:t>
      </w:r>
      <w:hyperlink r:id="rId7335">
        <w:r>
          <w:rPr>
            <w:color w:val="0000EE"/>
            <w:u w:val="single"/>
          </w:rPr>
          <w:t>Mt 26.20</w:t>
        </w:r>
      </w:hyperlink>
      <w:r>
        <w:t xml:space="preserve">; </w:t>
      </w:r>
      <w:hyperlink r:id="rId7350">
        <w:r>
          <w:rPr>
            <w:color w:val="0000EE"/>
            <w:u w:val="single"/>
          </w:rPr>
          <w:t>Mc 14.17–20</w:t>
        </w:r>
      </w:hyperlink>
      <w:r>
        <w:t xml:space="preserve">; </w:t>
      </w:r>
      <w:hyperlink r:id="rId7351">
        <w:r>
          <w:rPr>
            <w:color w:val="0000EE"/>
            <w:u w:val="single"/>
          </w:rPr>
          <w:t>Lc 22.14, 30</w:t>
        </w:r>
      </w:hyperlink>
      <w:r>
        <w:t>). Isso elimina Lázaro e João Marcos, que às vezes foram sugeridos como possibilidades para o discípulo amado.</w:t>
      </w:r>
    </w:p>
    <w:p>
      <w:r/>
      <w:r>
        <w:t>O discípulo amado parecia estar perto de Pedro (</w:t>
      </w:r>
      <w:hyperlink r:id="rId7352">
        <w:r>
          <w:rPr>
            <w:color w:val="0000EE"/>
            <w:u w:val="single"/>
          </w:rPr>
          <w:t>Jo 13.23–24</w:t>
        </w:r>
      </w:hyperlink>
      <w:r>
        <w:t xml:space="preserve">; </w:t>
      </w:r>
      <w:hyperlink r:id="rId7347">
        <w:r>
          <w:rPr>
            <w:color w:val="0000EE"/>
            <w:u w:val="single"/>
          </w:rPr>
          <w:t>20.2</w:t>
        </w:r>
      </w:hyperlink>
      <w:r>
        <w:t xml:space="preserve">; </w:t>
      </w:r>
      <w:hyperlink r:id="rId7348">
        <w:r>
          <w:rPr>
            <w:color w:val="0000EE"/>
            <w:u w:val="single"/>
          </w:rPr>
          <w:t>21.7</w:t>
        </w:r>
      </w:hyperlink>
      <w:r>
        <w:t xml:space="preserve">; veja também </w:t>
      </w:r>
      <w:hyperlink r:id="rId738">
        <w:r>
          <w:rPr>
            <w:color w:val="0000EE"/>
            <w:u w:val="single"/>
          </w:rPr>
          <w:t>Atos 3</w:t>
        </w:r>
      </w:hyperlink>
      <w:r>
        <w:t xml:space="preserve">; </w:t>
      </w:r>
      <w:hyperlink r:id="rId7353">
        <w:r>
          <w:rPr>
            <w:color w:val="0000EE"/>
            <w:u w:val="single"/>
          </w:rPr>
          <w:t>8.14</w:t>
        </w:r>
      </w:hyperlink>
      <w:r>
        <w:t xml:space="preserve">; </w:t>
      </w:r>
      <w:hyperlink r:id="rId7354">
        <w:r>
          <w:rPr>
            <w:color w:val="0000EE"/>
            <w:u w:val="single"/>
          </w:rPr>
          <w:t>Gl 2.9</w:t>
        </w:r>
      </w:hyperlink>
      <w:r>
        <w:t>). Mateus, Marcos e Lucas registram que Pedro, Tiago e João eram constantemente selecionados por Jesus para estar com ele. Como Pedro foi mencionado em conexão com o discípulo que Jesus amava, e como Tiago foi martirizado cedo (</w:t>
      </w:r>
      <w:hyperlink r:id="rId6265">
        <w:r>
          <w:rPr>
            <w:color w:val="0000EE"/>
            <w:u w:val="single"/>
          </w:rPr>
          <w:t>Atos 12.2</w:t>
        </w:r>
      </w:hyperlink>
      <w:r>
        <w:t>), apenas João resta como uma possibilidade razoável - se, como geralmente se acredita, o Evangelho de João foi escrito muito depois da morte de Tiago.</w:t>
      </w:r>
    </w:p>
    <w:p>
      <w:r/>
      <w:r>
        <w:rPr>
          <w:i/>
        </w:rPr>
        <w:t>Veja também</w:t>
      </w:r>
      <w:r>
        <w:t xml:space="preserve"> </w:t>
      </w:r>
      <w:r>
        <w:t>João, o Apóstolo</w:t>
      </w:r>
      <w:r>
        <w:t>.</w:t>
      </w:r>
      <w:r/>
      <w:r/>
    </w:p>
    <w:p>
      <w:r/>
    </w:p>
    <w:p>
      <w:pPr>
        <w:pStyle w:val="Heading2"/>
      </w:pPr>
      <w:r>
        <w:t>Disenteria</w:t>
      </w:r>
      <w:r/>
    </w:p>
    <w:p>
      <w:r/>
      <w:r>
        <w:t>A disenteria é uma doença que causa diarreia (movimentos intestinais soltos e aquosos). É provocada por bactérias nocivas, protozoários (pequenos animais unicelulares chamados amebas) ou vermes que contaminam a comida ou a água. Quando uma pessoa tem disenteria, ela sente cólicas intestinais dolorosas e danos aos intestinos. Sangue e pus podem aparecer em suas fezes (movimento intestinal).</w:t>
      </w:r>
    </w:p>
    <w:p>
      <w:r/>
      <w:r>
        <w:t xml:space="preserve">Na ilha de Malta, o apóstolo Paulo milagrosamente curou uma pessoa que tinha disenteria (a palavra grega é </w:t>
      </w:r>
      <w:r>
        <w:rPr>
          <w:i/>
        </w:rPr>
        <w:t>dysenteria,</w:t>
      </w:r>
      <w:r>
        <w:t xml:space="preserve"> </w:t>
      </w:r>
      <w:hyperlink r:id="rId6428">
        <w:r>
          <w:rPr>
            <w:color w:val="0000EE"/>
            <w:u w:val="single"/>
          </w:rPr>
          <w:t>At 28.8</w:t>
        </w:r>
      </w:hyperlink>
      <w:r>
        <w:t>). Como este versículo mostra, febre severa acompanha a disenteria aguda. Mesmo hoje, surtos dessa doença ainda afetam Malta.</w:t>
      </w:r>
    </w:p>
    <w:p>
      <w:r/>
      <w:r>
        <w:t>Uma doença descrita no Antigo Testamento era provavelmente a disenteria amebiana. Nesse tipo, pedaços de tecido intestinal podem se desprender dia após dia (</w:t>
      </w:r>
      <w:hyperlink r:id="rId7355">
        <w:r>
          <w:rPr>
            <w:color w:val="0000EE"/>
            <w:u w:val="single"/>
          </w:rPr>
          <w:t>2Cr 21.14–19</w:t>
        </w:r>
      </w:hyperlink>
      <w:r>
        <w:t>). Há também uma forma menos grave de disenteria que ocorre quando o corpo consegue, em grande parte, combater o organismo nocivo.</w:t>
      </w:r>
    </w:p>
    <w:p>
      <w:r/>
      <w:r>
        <w:rPr>
          <w:i/>
        </w:rPr>
        <w:t>Veja também</w:t>
      </w:r>
      <w:r>
        <w:t xml:space="preserve"> </w:t>
      </w:r>
      <w:r>
        <w:t>Medicina e Prática Médica</w:t>
      </w:r>
      <w:r>
        <w:t>.</w:t>
      </w:r>
      <w:r/>
      <w:r/>
    </w:p>
    <w:p>
      <w:r/>
    </w:p>
    <w:p>
      <w:pPr>
        <w:pStyle w:val="Heading2"/>
      </w:pPr>
      <w:r>
        <w:t>Disom</w:t>
      </w:r>
      <w:r/>
    </w:p>
    <w:p>
      <w:r/>
      <w:r>
        <w:t>1. Quinto filho de Seir e líder horita em Edom (</w:t>
      </w:r>
      <w:hyperlink r:id="rId7277">
        <w:r>
          <w:rPr>
            <w:color w:val="0000EE"/>
            <w:u w:val="single"/>
          </w:rPr>
          <w:t>Gn 36.21</w:t>
        </w:r>
      </w:hyperlink>
      <w:r>
        <w:t xml:space="preserve">; </w:t>
      </w:r>
      <w:hyperlink r:id="rId7278">
        <w:r>
          <w:rPr>
            <w:color w:val="0000EE"/>
            <w:u w:val="single"/>
          </w:rPr>
          <w:t>1Cr 1.38</w:t>
        </w:r>
      </w:hyperlink>
      <w:r>
        <w:t>), cujo povo foi eventualmente deslocado pelos edomitas;</w:t>
      </w:r>
    </w:p>
    <w:p>
      <w:r/>
      <w:r>
        <w:t>2. Neto de Seir e filho de Aná, um líder horita. Este Disom também era irmão de Aolibama, esposa de Esaú (</w:t>
      </w:r>
      <w:hyperlink r:id="rId7356">
        <w:r>
          <w:rPr>
            <w:color w:val="0000EE"/>
            <w:u w:val="single"/>
          </w:rPr>
          <w:t>Gn 36.25</w:t>
        </w:r>
      </w:hyperlink>
      <w:r>
        <w:t xml:space="preserve">; </w:t>
      </w:r>
      <w:hyperlink r:id="rId7357">
        <w:r>
          <w:rPr>
            <w:color w:val="0000EE"/>
            <w:u w:val="single"/>
          </w:rPr>
          <w:t>1Cr 1.41</w:t>
        </w:r>
      </w:hyperlink>
      <w:r>
        <w:t>).</w:t>
      </w:r>
      <w:r/>
      <w:r/>
    </w:p>
    <w:p>
      <w:r/>
    </w:p>
    <w:p>
      <w:pPr>
        <w:pStyle w:val="Heading2"/>
      </w:pPr>
      <w:r>
        <w:t>Distribuição da terra</w:t>
      </w:r>
      <w:r/>
    </w:p>
    <w:p>
      <w:r/>
      <w:r>
        <w:t>Após Israel conquistar Canaã, a terra foi dividida entre as doze tribos. No entanto, a divisão da terra não foi baseada no que cada tribo ganhou na batalha. Em vez disso, eles lutaram juntos e dividiram a terra conquistada por sorteio, uma forma de escolha aleatória.</w:t>
      </w:r>
    </w:p>
    <w:p>
      <w:r/>
      <w:r>
        <w:t>Este método era semelhante a jogar uma moeda (para ver qual lado ficaria voltado para cima) ou tirar palitos (onde os indivíduos escolhem de um conjunto de palitos ocultos, sendo que um deles é mais curto ou marcado).</w:t>
      </w:r>
    </w:p>
    <w:p>
      <w:r/>
      <w:r>
        <w:t xml:space="preserve">Sorteios foram lançadas em outros momentos na Bíblia para determinar a vontade de Deus. Ao usar sorteios, as tribos evitavam discussões. Isso também mostrava que a terra pertencia a Deus, e Ele poderia dá-la a quem quisesse (veja </w:t>
      </w:r>
      <w:hyperlink r:id="rId7358">
        <w:r>
          <w:rPr>
            <w:color w:val="0000EE"/>
            <w:u w:val="single"/>
          </w:rPr>
          <w:t>Pv 16.33</w:t>
        </w:r>
      </w:hyperlink>
      <w:r>
        <w:t xml:space="preserve">). O Senhor dá ordens para dividir a terra por sorteios em </w:t>
      </w:r>
      <w:hyperlink r:id="rId7359">
        <w:r>
          <w:rPr>
            <w:color w:val="0000EE"/>
            <w:u w:val="single"/>
          </w:rPr>
          <w:t>Números 26.52</w:t>
        </w:r>
      </w:hyperlink>
      <w:r>
        <w:t>-</w:t>
      </w:r>
      <w:hyperlink r:id="rId7359">
        <w:r>
          <w:rPr>
            <w:color w:val="0000EE"/>
            <w:u w:val="single"/>
          </w:rPr>
          <w:t>56</w:t>
        </w:r>
      </w:hyperlink>
      <w:r>
        <w:t xml:space="preserve"> (veja também </w:t>
      </w:r>
      <w:hyperlink r:id="rId7360">
        <w:r>
          <w:rPr>
            <w:color w:val="0000EE"/>
            <w:u w:val="single"/>
          </w:rPr>
          <w:t>Nm 34</w:t>
        </w:r>
      </w:hyperlink>
      <w:r>
        <w:t xml:space="preserve">). </w:t>
      </w:r>
      <w:hyperlink r:id="rId7361">
        <w:r>
          <w:rPr>
            <w:color w:val="0000EE"/>
            <w:u w:val="single"/>
          </w:rPr>
          <w:t>Josué 13</w:t>
        </w:r>
      </w:hyperlink>
      <w:r>
        <w:t>-</w:t>
      </w:r>
      <w:hyperlink r:id="rId7361">
        <w:r>
          <w:rPr>
            <w:color w:val="0000EE"/>
            <w:u w:val="single"/>
          </w:rPr>
          <w:t>19</w:t>
        </w:r>
      </w:hyperlink>
      <w:r>
        <w:t xml:space="preserve"> descreve como a terra foi dividida em Siló.</w:t>
      </w:r>
    </w:p>
    <w:p>
      <w:r/>
      <w:r>
        <w:t xml:space="preserve">A parte sul da Transjordânia (a terra a leste do Rio Jordão) foi dada a duas tribos e meia por Moisés em </w:t>
      </w:r>
      <w:hyperlink r:id="rId1125">
        <w:r>
          <w:rPr>
            <w:color w:val="0000EE"/>
            <w:u w:val="single"/>
          </w:rPr>
          <w:t>Números 32</w:t>
        </w:r>
      </w:hyperlink>
      <w:r>
        <w:t>. A oeste do Jordão, as nove tribos e meia restantes receberam lotes de terra por sorteio. No entanto, isso só aconteceu depois que seu líder fiel, Calebe, escolheu a região ao redor de Hebrom. As tribos receberam suas terras conforme suas localizações relativas.</w:t>
      </w:r>
    </w:p>
    <w:p>
      <w:pPr>
        <w:pStyle w:val="ListNumber"/>
        <w:spacing w:line="240" w:lineRule="auto"/>
        <w:ind w:left="720"/>
      </w:pPr>
      <w:r/>
      <w:r>
        <w:t>Judá recebeu território no sul, incluindo as terras de Calebe, e se estendeu ao norte até Jerusalém.</w:t>
      </w:r>
    </w:p>
    <w:p>
      <w:pPr>
        <w:pStyle w:val="ListNumber"/>
        <w:spacing w:line="240" w:lineRule="auto"/>
        <w:ind w:left="720"/>
      </w:pPr>
      <w:r/>
      <w:r>
        <w:t>Efraim e Manassés, os filhos do patriarca José, receberam grandes porções centrais da terra.</w:t>
      </w:r>
    </w:p>
    <w:p>
      <w:pPr>
        <w:pStyle w:val="ListNumber"/>
        <w:spacing w:line="240" w:lineRule="auto"/>
        <w:ind w:left="720"/>
      </w:pPr>
      <w:r/>
      <w:r>
        <w:t>Benjamim recebeu a terra entre Judá e Efraim.</w:t>
      </w:r>
    </w:p>
    <w:p>
      <w:pPr>
        <w:pStyle w:val="ListNumber"/>
        <w:spacing w:line="240" w:lineRule="auto"/>
        <w:ind w:left="720"/>
      </w:pPr>
      <w:r/>
      <w:r>
        <w:t>Simeão recebeu terras ao sul de Judá.</w:t>
      </w:r>
    </w:p>
    <w:p>
      <w:pPr>
        <w:pStyle w:val="ListNumber"/>
        <w:spacing w:line="240" w:lineRule="auto"/>
        <w:ind w:left="720"/>
      </w:pPr>
      <w:r/>
      <w:r>
        <w:t>Zebulom, Issacar, Aser, Naftali e Dã receberam a terra ao norte de Manassés (</w:t>
      </w:r>
      <w:hyperlink r:id="rId7362">
        <w:r>
          <w:rPr>
            <w:color w:val="0000EE"/>
            <w:u w:val="single"/>
          </w:rPr>
          <w:t>Js 19</w:t>
        </w:r>
      </w:hyperlink>
      <w:r>
        <w:t>).</w:t>
      </w:r>
    </w:p>
    <w:p>
      <w:r/>
      <w:r>
        <w:t xml:space="preserve">Originalmente, Dã recebeu a terra a oeste de Judá. No entanto, os filisteus viviam na terra ao longo da costa. Assim, Dã migrou para o norte e renomeou a cidade capturada de Laquis em homenagem ao seu ancestral tribal, Dã (veja </w:t>
      </w:r>
      <w:hyperlink r:id="rId6472">
        <w:r>
          <w:rPr>
            <w:color w:val="0000EE"/>
            <w:u w:val="single"/>
          </w:rPr>
          <w:t>Jz 18</w:t>
        </w:r>
      </w:hyperlink>
      <w:r>
        <w:t>). A partir de então, a expressão “de Dã a Berseba” passou a significar todo Israel.</w:t>
      </w:r>
    </w:p>
    <w:p>
      <w:r/>
      <w:r>
        <w:t>Atribuir terras por sorteio pode parecer estranho, mas para os costumes daquela época, fazia sentido teológico. Acreditava-se que os governantes no antigo Oriente Próximo eram representantes de seus deuses. Eles possuíam as terras e distribuíam porções a quem desejassem. Após o êxodo, Israel era uma teocracia (Deus era seu rei). Nenhum humano tinha poder sobre Deus. Portanto, nenhum humano possuía a terra. Assim, Deus era o único que podia conceder-lhes suas terras.</w:t>
      </w:r>
    </w:p>
    <w:p>
      <w:r/>
      <w:r>
        <w:rPr>
          <w:i/>
        </w:rPr>
        <w:t>Veja também</w:t>
      </w:r>
      <w:r>
        <w:t xml:space="preserve"> </w:t>
      </w:r>
      <w:r>
        <w:t>Conquista e Distribuição da Terra</w:t>
      </w:r>
      <w:r>
        <w:t xml:space="preserve">; </w:t>
      </w:r>
      <w:r>
        <w:t>História de Israel</w:t>
      </w:r>
      <w:r>
        <w:t xml:space="preserve">; </w:t>
      </w:r>
      <w:r>
        <w:t>Livro de Josué</w:t>
      </w:r>
      <w:r>
        <w:t xml:space="preserve">; </w:t>
      </w:r>
      <w:r>
        <w:t>Cronologia da Bíblia (Antigo Testamento)</w:t>
      </w:r>
      <w:r>
        <w:t>.</w:t>
      </w:r>
      <w:r/>
      <w:r/>
    </w:p>
    <w:p>
      <w:r/>
    </w:p>
    <w:p>
      <w:pPr>
        <w:pStyle w:val="Heading2"/>
      </w:pPr>
      <w:r>
        <w:t>Dívida</w:t>
      </w:r>
      <w:r/>
    </w:p>
    <w:p>
      <w:r/>
      <w:r>
        <w:t>Algo devido a outra pessoa, como bens, propriedade ou dinheiro. Na Bíblia, a conduta justa é algo que se "deve" a Deus; portanto, na teologia, o pecado é descrito figurativamente como estar "em dívida".</w:t>
      </w:r>
    </w:p>
    <w:p>
      <w:r/>
      <w:r>
        <w:t>Na cultura hebraica, a dívida geralmente estava ligada à usura (o negócio de emprestar dinheiro a juros). Os verbos hebraicos que descrevem a usura retratam uma situação dolorosa. Uma palavra para usura significa "morder", uma imagem vívida para a forma como os juros altos "consumiam" qualquer tipo de transação comercial, de modo que os devedores nunca recebiam o valor total do dinheiro. As pessoas podiam ser arruinadas financeiramente pela cobrança impiedosa de juros (</w:t>
      </w:r>
      <w:hyperlink r:id="rId7363">
        <w:r>
          <w:rPr>
            <w:color w:val="0000EE"/>
            <w:u w:val="single"/>
          </w:rPr>
          <w:t>2Rs 4.1–7</w:t>
        </w:r>
      </w:hyperlink>
      <w:r>
        <w:t>). Outro verbo é geralmente traduzido como "juros" ou "lucro" (</w:t>
      </w:r>
      <w:hyperlink r:id="rId7364">
        <w:r>
          <w:rPr>
            <w:color w:val="0000EE"/>
            <w:u w:val="single"/>
          </w:rPr>
          <w:t>Lv 25.37</w:t>
        </w:r>
      </w:hyperlink>
      <w:r>
        <w:t>), já que os credores lucravam com o trabalho dos outros. As taxas de juros do Antigo Oriente Próximo sobre produtos e mercadorias podiam ser de até 30 por cento do empréstimo por ano; sobre dinheiro, até 20 por cento. Tábuas de argila de Nuzi, uma antiga cidade no nordeste da Mesopotâmia, indicam taxas de juros de até 50 por cento.</w:t>
      </w:r>
    </w:p>
    <w:p>
      <w:pPr>
        <w:pStyle w:val="Heading3"/>
      </w:pPr>
      <w:r>
        <w:t>A lei de Moisés</w:t>
      </w:r>
    </w:p>
    <w:p>
      <w:r/>
      <w:r>
        <w:t>A aliança Mosaica dada a Israel logo após o Êxodo buscou eliminar práticas extorsivas da vida hebraica. Assim, a revelação de Deus continha muitas regras e restrições relacionadas a dívidas e crédito em Israel.</w:t>
      </w:r>
    </w:p>
    <w:p>
      <w:pPr>
        <w:pStyle w:val="Heading4"/>
      </w:pPr>
      <w:r>
        <w:t>Proteção para os pobres</w:t>
      </w:r>
    </w:p>
    <w:p>
      <w:r/>
      <w:r>
        <w:t>Partes das seções legislativas do Pentateuco (os primeiros cinco livros da Bíblia) regulavam a prática de empréstimos de uma forma que protegia os pobres e assegurava o direito de cada pessoa de ganhar a vida e sustentar uma família. Muitos provérbios hebraicos populares tratavam desse tema. O objetivo positivo das leis bíblicas era garantir ajuda para os financeiramente necessitados, sem juros. Nenhum lucro pessoal deveria ser obtido às custas dos pobres (</w:t>
      </w:r>
      <w:hyperlink r:id="rId3075">
        <w:r>
          <w:rPr>
            <w:color w:val="0000EE"/>
            <w:u w:val="single"/>
          </w:rPr>
          <w:t>Êx 22.25</w:t>
        </w:r>
      </w:hyperlink>
      <w:r>
        <w:t xml:space="preserve">; </w:t>
      </w:r>
      <w:hyperlink r:id="rId6067">
        <w:r>
          <w:rPr>
            <w:color w:val="0000EE"/>
            <w:u w:val="single"/>
          </w:rPr>
          <w:t>Dt 23.19,20</w:t>
        </w:r>
      </w:hyperlink>
      <w:r>
        <w:t>); Deus era seu advogado especial. Assim, ao emprestar sem juros, os israelitas podiam demonstrar sua reverência por Deus (</w:t>
      </w:r>
      <w:hyperlink r:id="rId7365">
        <w:r>
          <w:rPr>
            <w:color w:val="0000EE"/>
            <w:u w:val="single"/>
          </w:rPr>
          <w:t>Lv 25.35–37</w:t>
        </w:r>
      </w:hyperlink>
      <w:r>
        <w:t>).</w:t>
      </w:r>
    </w:p>
    <w:p>
      <w:r/>
      <w:r>
        <w:t>Esse ponto foi reafirmado 40 anos depois, quando Moisés renovou a aliança com Israel pouco antes de sua entrada na Terra Prometida. Deus era o senhorio, e seus inquilinos deviam respeitar sua palavra. Deus prometeu aos israelitas que, se emprestassem para aliviar a miséria humana, seriam extraordinariamente abençoados pelo Senhor (</w:t>
      </w:r>
      <w:hyperlink r:id="rId7366">
        <w:r>
          <w:rPr>
            <w:color w:val="0000EE"/>
            <w:u w:val="single"/>
          </w:rPr>
          <w:t>Dt 15.6</w:t>
        </w:r>
      </w:hyperlink>
      <w:r>
        <w:t xml:space="preserve">; </w:t>
      </w:r>
      <w:hyperlink r:id="rId6067">
        <w:r>
          <w:rPr>
            <w:color w:val="0000EE"/>
            <w:u w:val="single"/>
          </w:rPr>
          <w:t>23.19,20</w:t>
        </w:r>
      </w:hyperlink>
      <w:r>
        <w:t xml:space="preserve">; </w:t>
      </w:r>
      <w:hyperlink r:id="rId7367">
        <w:r>
          <w:rPr>
            <w:color w:val="0000EE"/>
            <w:u w:val="single"/>
          </w:rPr>
          <w:t>28.12</w:t>
        </w:r>
      </w:hyperlink>
      <w:r>
        <w:t>). Juros poderiam ser cobrados de um estrangeiro que não vivesse sob a lei mosaica, o que era uma condição paralela aos tratados comerciais prevalentes no antigo Oriente Próximo.</w:t>
      </w:r>
    </w:p>
    <w:p>
      <w:r/>
      <w:r>
        <w:t>Na antiga Israel, a ruína financeira era frequentemente causada por colheitas ruins. Muitas vezes, isso era visto como um sinal de que a relação entre Deus e seu povo não estava correta (</w:t>
      </w:r>
      <w:hyperlink r:id="rId7368">
        <w:r>
          <w:rPr>
            <w:color w:val="0000EE"/>
            <w:u w:val="single"/>
          </w:rPr>
          <w:t>Lv 26.14,20</w:t>
        </w:r>
      </w:hyperlink>
      <w:r>
        <w:t>). Esperava-se que os ricos ajudassem, em vez de adicionar mais fardos àqueles que sofriam com as colheitas ruins.</w:t>
      </w:r>
    </w:p>
    <w:p>
      <w:pPr>
        <w:pStyle w:val="Heading4"/>
      </w:pPr>
      <w:r>
        <w:t>Violação da lei</w:t>
      </w:r>
    </w:p>
    <w:p>
      <w:r/>
      <w:r>
        <w:t>A lei era violada com tanta frequência que, eventualmente, os juros exorbitantes se tornaram uma praga social, tornando a situação dos devedores desesperadora. Muitos dos homens de luta que se juntaram a Davi no início de sua carreira militar eram "fora da lei" incapazes de pagar seus empréstimos e juros (</w:t>
      </w:r>
      <w:hyperlink r:id="rId7369">
        <w:r>
          <w:rPr>
            <w:color w:val="0000EE"/>
            <w:u w:val="single"/>
          </w:rPr>
          <w:t>1Sm 22.2</w:t>
        </w:r>
      </w:hyperlink>
      <w:r>
        <w:t>). O profeta Ezequiel chamou a atenção das pessoas por não observarem os mandamentos de Deus sobre a usura (</w:t>
      </w:r>
      <w:hyperlink r:id="rId7370">
        <w:r>
          <w:rPr>
            <w:color w:val="0000EE"/>
            <w:u w:val="single"/>
          </w:rPr>
          <w:t>Ez 18.5–18</w:t>
        </w:r>
      </w:hyperlink>
      <w:r>
        <w:t xml:space="preserve">; </w:t>
      </w:r>
      <w:hyperlink r:id="rId3079">
        <w:r>
          <w:rPr>
            <w:color w:val="0000EE"/>
            <w:u w:val="single"/>
          </w:rPr>
          <w:t>22.12</w:t>
        </w:r>
      </w:hyperlink>
      <w:r>
        <w:t>). Quando Neemias voltou do exílio para reconstruir os muros de Jerusalém, ele apresentou acusações contra os oficiais do governo cujas taxas de juros haviam escravizado o povo (</w:t>
      </w:r>
      <w:hyperlink r:id="rId3077">
        <w:r>
          <w:rPr>
            <w:color w:val="0000EE"/>
            <w:u w:val="single"/>
          </w:rPr>
          <w:t>Ne 5.6–13</w:t>
        </w:r>
      </w:hyperlink>
      <w:r>
        <w:t>).</w:t>
      </w:r>
    </w:p>
    <w:p>
      <w:r/>
      <w:r>
        <w:t xml:space="preserve">A Literatura de Sabedoria, que incluía Jó, Provérbios e Eclesiastes, afirmava que aqueles que adquiriam riquezas por usura não teriam lucro a longo prazo, pois Deus daria seus lucros a outros que cuidassem do bem-estar dos pobres (e.g., </w:t>
      </w:r>
      <w:hyperlink r:id="rId7371">
        <w:r>
          <w:rPr>
            <w:color w:val="0000EE"/>
            <w:u w:val="single"/>
          </w:rPr>
          <w:t>Pv 28.8</w:t>
        </w:r>
      </w:hyperlink>
      <w:r>
        <w:t>). O profeta Amós deu um aviso semelhante aos comerciantes corruptos em Israel: “vocês exploram os pobres e cobram impostos injustos das suas colheitas. Por isso, vocês não vão viver nas casas luxuosas que construíram, nem chegarão a beber o vinho das belas parreiras que plantaram.” (</w:t>
      </w:r>
      <w:hyperlink r:id="rId7372">
        <w:r>
          <w:rPr>
            <w:color w:val="0000EE"/>
            <w:u w:val="single"/>
          </w:rPr>
          <w:t>Am 5.11</w:t>
        </w:r>
      </w:hyperlink>
      <w:r>
        <w:t>, NTLH). Apesar de tais advertências, a lei era frequentemente ignorada, e encargos de juros onerosos eram impostos a mutuários que já eram pobres.</w:t>
      </w:r>
    </w:p>
    <w:p>
      <w:pPr>
        <w:pStyle w:val="Heading4"/>
      </w:pPr>
      <w:r>
        <w:t>Compromissos e garantias</w:t>
      </w:r>
    </w:p>
    <w:p>
      <w:r/>
      <w:r>
        <w:t>Quando era necessário pedir emprestado, a lei oferecia alternativas à prática injusta da usura. Ao contrair um empréstimo, o mutuário entregava algum bem móvel como garantia para assegurar o pagamento. Esse “penhor” representava um sinal tangível da intenção do devedor de pagar o empréstimo. Certas restrições se aplicavam a tais penhores. E.g., um credor não podia tomar as roupas de uma viúva (</w:t>
      </w:r>
      <w:hyperlink r:id="rId7227">
        <w:r>
          <w:rPr>
            <w:color w:val="0000EE"/>
            <w:u w:val="single"/>
          </w:rPr>
          <w:t>Dt 24.17</w:t>
        </w:r>
      </w:hyperlink>
      <w:r>
        <w:t xml:space="preserve">). Ferramentas (como mós) ou animais (como bois) necessários para a vida diária eram proibidos como penhores (v. </w:t>
      </w:r>
      <w:hyperlink r:id="rId7373">
        <w:r>
          <w:rPr>
            <w:color w:val="0000EE"/>
            <w:u w:val="single"/>
          </w:rPr>
          <w:t>6</w:t>
        </w:r>
      </w:hyperlink>
      <w:r>
        <w:t>). Roupas absolutamente essenciais para o mutuário (e.g., para se manter aquecido) podiam ser temporariamente oferecidas como penhor, mas o penhor temporário tinha que ser devolvido antes do anoitecer (</w:t>
      </w:r>
      <w:hyperlink r:id="rId1288">
        <w:r>
          <w:rPr>
            <w:color w:val="0000EE"/>
            <w:u w:val="single"/>
          </w:rPr>
          <w:t>Êx 22.26,27</w:t>
        </w:r>
      </w:hyperlink>
      <w:r>
        <w:t xml:space="preserve">; </w:t>
      </w:r>
      <w:hyperlink r:id="rId7374">
        <w:r>
          <w:rPr>
            <w:color w:val="0000EE"/>
            <w:u w:val="single"/>
          </w:rPr>
          <w:t>Dt 24.10–13</w:t>
        </w:r>
      </w:hyperlink>
      <w:r>
        <w:t>).</w:t>
      </w:r>
    </w:p>
    <w:p>
      <w:r/>
      <w:r>
        <w:t>Em circunstâncias drásticas, onde não havia garantia, um devedor poderia empenhar um filho, filha ou escravo. O valor do trabalho do filho ou do escravo poderia então ser creditado tanto contra os juros quanto o principal. Um relato na Bíblia sobre os dois filhos de uma viúva prestes a serem escravizados mostra quão cruel o costume poderia ser (</w:t>
      </w:r>
      <w:hyperlink r:id="rId7363">
        <w:r>
          <w:rPr>
            <w:color w:val="0000EE"/>
            <w:u w:val="single"/>
          </w:rPr>
          <w:t>2Rs 4.1–7</w:t>
        </w:r>
      </w:hyperlink>
      <w:r>
        <w:t>). Empenhar o trabalho ou o trabalho de seus filhos era a única maneira que os escravos tinham para pagar uma dívida quando precisavam pedir emprestado.</w:t>
      </w:r>
    </w:p>
    <w:p>
      <w:r/>
      <w:r>
        <w:t>Um mutuário também poderia ter um amigo rico assumindo a responsabilidade como consignatário de um empréstimo e, assim, tornar-se a garantia ou fiador. O livro de Provérbios adverte contra ser fiador para outros, no entanto, especialmente para estranhos (</w:t>
      </w:r>
      <w:hyperlink r:id="rId7375">
        <w:r>
          <w:rPr>
            <w:color w:val="0000EE"/>
            <w:u w:val="single"/>
          </w:rPr>
          <w:t>Pv 6.1–3</w:t>
        </w:r>
      </w:hyperlink>
      <w:r>
        <w:t xml:space="preserve">; </w:t>
      </w:r>
      <w:hyperlink r:id="rId7376">
        <w:r>
          <w:rPr>
            <w:color w:val="0000EE"/>
            <w:u w:val="single"/>
          </w:rPr>
          <w:t>11.15</w:t>
        </w:r>
      </w:hyperlink>
      <w:r>
        <w:t xml:space="preserve">; </w:t>
      </w:r>
      <w:hyperlink r:id="rId7377">
        <w:r>
          <w:rPr>
            <w:color w:val="0000EE"/>
            <w:u w:val="single"/>
          </w:rPr>
          <w:t>17.18</w:t>
        </w:r>
      </w:hyperlink>
      <w:r>
        <w:t xml:space="preserve">; </w:t>
      </w:r>
      <w:hyperlink r:id="rId7378">
        <w:r>
          <w:rPr>
            <w:color w:val="0000EE"/>
            <w:u w:val="single"/>
          </w:rPr>
          <w:t>22.26</w:t>
        </w:r>
      </w:hyperlink>
      <w:r>
        <w:t xml:space="preserve">; </w:t>
      </w:r>
      <w:hyperlink r:id="rId7379">
        <w:r>
          <w:rPr>
            <w:color w:val="0000EE"/>
            <w:u w:val="single"/>
          </w:rPr>
          <w:t>27.13</w:t>
        </w:r>
      </w:hyperlink>
      <w:r>
        <w:t>).</w:t>
      </w:r>
    </w:p>
    <w:p>
      <w:pPr>
        <w:pStyle w:val="Heading4"/>
      </w:pPr>
      <w:r>
        <w:t>Anos sabáticos e de jubileu</w:t>
      </w:r>
    </w:p>
    <w:p>
      <w:r/>
      <w:r>
        <w:t>Duas disposições legais para conter a escravização de pessoas por dívidas de longa data eram o ano sabático e o ano do jubileu. O ano sabático, ou "ano de liberação", ocorria a cada sétimo ano. Naquela época, as dívidas eram canceladas e as contas zeradas (</w:t>
      </w:r>
      <w:hyperlink r:id="rId7380">
        <w:r>
          <w:rPr>
            <w:color w:val="0000EE"/>
            <w:u w:val="single"/>
          </w:rPr>
          <w:t>Dt 15.1–12</w:t>
        </w:r>
      </w:hyperlink>
      <w:r>
        <w:t xml:space="preserve">; cf. </w:t>
      </w:r>
      <w:hyperlink r:id="rId7381">
        <w:r>
          <w:rPr>
            <w:color w:val="0000EE"/>
            <w:u w:val="single"/>
          </w:rPr>
          <w:t>Êx 21.2</w:t>
        </w:r>
      </w:hyperlink>
      <w:r>
        <w:t xml:space="preserve">; </w:t>
      </w:r>
      <w:hyperlink r:id="rId7382">
        <w:r>
          <w:rPr>
            <w:color w:val="0000EE"/>
            <w:u w:val="single"/>
          </w:rPr>
          <w:t>23.10–11</w:t>
        </w:r>
      </w:hyperlink>
      <w:r>
        <w:t xml:space="preserve">; </w:t>
      </w:r>
      <w:hyperlink r:id="rId6263">
        <w:r>
          <w:rPr>
            <w:color w:val="0000EE"/>
            <w:u w:val="single"/>
          </w:rPr>
          <w:t>Lv 25.2–7</w:t>
        </w:r>
      </w:hyperlink>
      <w:r>
        <w:t>). A lei proibia claramente os credores de reterem empréstimos para aqueles em necessidade desesperada durante o sexto ano. A tradição judaica mantinha injunções rigorosas contra um credor que tentasse cobrar um empréstimo que deveria ter sido perdoado no ano sabático.</w:t>
      </w:r>
    </w:p>
    <w:p>
      <w:r/>
      <w:r>
        <w:t>A cada 50 anos, Israel celebrava o ano do Jubileu. Nesse ano, a terra retornava ao seu proprietário original se não tivesse sido resgatada por algum parente. Essa provisão impedia a acumulação de propriedades por poucos ricos enquanto muitos pobres sofriam na escravidão (</w:t>
      </w:r>
      <w:hyperlink r:id="rId7383">
        <w:r>
          <w:rPr>
            <w:color w:val="0000EE"/>
            <w:u w:val="single"/>
          </w:rPr>
          <w:t>Lv 25.13–17</w:t>
        </w:r>
      </w:hyperlink>
      <w:r>
        <w:t>). Embora a lei mosaica não pudesse garantir uma utopia econômica, ela buscava conter a ganância inerente à natureza humana. Também visava proporcionar a todos uma oportunidade igual e um novo começo a cada 50 anos.</w:t>
      </w:r>
    </w:p>
    <w:p>
      <w:pPr>
        <w:pStyle w:val="Heading3"/>
      </w:pPr>
      <w:r>
        <w:t>Dívida no Novo Testamento</w:t>
      </w:r>
    </w:p>
    <w:p>
      <w:r/>
      <w:r>
        <w:t>O Novo Testamento mostra como várias culturas lidavam com a questão de empréstimos e dívidas. Havia judeus que seguiam estritamente a lei mosaica e se recusavam a cobrar altos juros de seus compatriotas judeus. No entanto, práticas legais helenísticas e romanas influenciaram partes da sociedade judaica.</w:t>
      </w:r>
    </w:p>
    <w:p>
      <w:pPr>
        <w:pStyle w:val="Heading4"/>
      </w:pPr>
      <w:r>
        <w:t>Parábolas de Jesus</w:t>
      </w:r>
    </w:p>
    <w:p>
      <w:r/>
      <w:r>
        <w:t>Jesus fez referência a práticas econômicas não judaicas em sua parábola de um servo que prendeu um colega escravo por não pagar um empréstimo (</w:t>
      </w:r>
      <w:hyperlink r:id="rId7384">
        <w:r>
          <w:rPr>
            <w:color w:val="0000EE"/>
            <w:u w:val="single"/>
          </w:rPr>
          <w:t>Mt 18.23–35</w:t>
        </w:r>
      </w:hyperlink>
      <w:r>
        <w:t>). A parábola ilustra o costume comum helenístico e romano de prender ou restringir tal pessoa como garantia. Essa prática forçava um devedor a vender sua propriedade, pedir para que família e amigos cobrissem a perda, ou vender-se como escravo. A parábola dos talentos (</w:t>
      </w:r>
      <w:hyperlink r:id="rId7385">
        <w:r>
          <w:rPr>
            <w:color w:val="0000EE"/>
            <w:u w:val="single"/>
          </w:rPr>
          <w:t>25.14–28</w:t>
        </w:r>
      </w:hyperlink>
      <w:r>
        <w:t>) e a parábola das minas (</w:t>
      </w:r>
      <w:hyperlink r:id="rId7386">
        <w:r>
          <w:rPr>
            <w:color w:val="0000EE"/>
            <w:u w:val="single"/>
          </w:rPr>
          <w:t>Lc 19.12–24</w:t>
        </w:r>
      </w:hyperlink>
      <w:r>
        <w:t>), falando alegoricamente sobre o reino de Deus, mencionam ganhar juros sobre dinheiro investido com banqueiros.</w:t>
      </w:r>
    </w:p>
    <w:p>
      <w:pPr>
        <w:pStyle w:val="Heading4"/>
      </w:pPr>
      <w:r>
        <w:t>Instrução econômica e teológica</w:t>
      </w:r>
    </w:p>
    <w:p>
      <w:r/>
      <w:r>
        <w:t>O apóstolo Paulo instruiu os cristãos a “não dever nada a ninguém” (</w:t>
      </w:r>
      <w:hyperlink r:id="rId7387">
        <w:r>
          <w:rPr>
            <w:color w:val="0000EE"/>
            <w:u w:val="single"/>
          </w:rPr>
          <w:t>Rm 13.8</w:t>
        </w:r>
      </w:hyperlink>
      <w:r>
        <w:t>), o que significa, no mínimo, que os cristãos devem quitar seus empréstimos prontamente. Por outro lado, a atividade econômica de um cristão deve ser caracterizada pela bondade para com os necessitados, generosidade e disposição para ajudar (</w:t>
      </w:r>
      <w:hyperlink r:id="rId7388">
        <w:r>
          <w:rPr>
            <w:color w:val="0000EE"/>
            <w:u w:val="single"/>
          </w:rPr>
          <w:t>Mt 5.42</w:t>
        </w:r>
      </w:hyperlink>
      <w:r>
        <w:t xml:space="preserve">; </w:t>
      </w:r>
      <w:hyperlink r:id="rId6789">
        <w:r>
          <w:rPr>
            <w:color w:val="0000EE"/>
            <w:u w:val="single"/>
          </w:rPr>
          <w:t>Lc 6.35</w:t>
        </w:r>
      </w:hyperlink>
      <w:r>
        <w:t>).</w:t>
      </w:r>
    </w:p>
    <w:p>
      <w:r/>
      <w:r>
        <w:t>O NT também apresenta uma série de lições doutrinárias baseadas no uso figurativo de “dívidas” e “devedores”. Jesus certa vez se referiu aos pecadores (</w:t>
      </w:r>
      <w:hyperlink r:id="rId7389">
        <w:r>
          <w:rPr>
            <w:color w:val="0000EE"/>
            <w:u w:val="single"/>
          </w:rPr>
          <w:t>Lc 13.2</w:t>
        </w:r>
      </w:hyperlink>
      <w:r>
        <w:t xml:space="preserve">) com uma palavra que literalmente significa “piores” (v </w:t>
      </w:r>
      <w:hyperlink r:id="rId7390">
        <w:r>
          <w:rPr>
            <w:color w:val="0000EE"/>
            <w:u w:val="single"/>
          </w:rPr>
          <w:t>4</w:t>
        </w:r>
      </w:hyperlink>
      <w:r>
        <w:t>). Na Oração do Senhor, “dívidas” é paralelo a “pecados” (</w:t>
      </w:r>
      <w:hyperlink r:id="rId7391">
        <w:r>
          <w:rPr>
            <w:color w:val="0000EE"/>
            <w:u w:val="single"/>
          </w:rPr>
          <w:t>Mt 6.12</w:t>
        </w:r>
      </w:hyperlink>
      <w:r>
        <w:t xml:space="preserve">; </w:t>
      </w:r>
      <w:hyperlink r:id="rId7392">
        <w:r>
          <w:rPr>
            <w:color w:val="0000EE"/>
            <w:u w:val="single"/>
          </w:rPr>
          <w:t>Lc 11.4</w:t>
        </w:r>
      </w:hyperlink>
      <w:r>
        <w:t>).</w:t>
      </w:r>
    </w:p>
    <w:p>
      <w:r/>
      <w:r>
        <w:t>O pecado é visto como uma escravidão (</w:t>
      </w:r>
      <w:hyperlink r:id="rId7393">
        <w:r>
          <w:rPr>
            <w:color w:val="0000EE"/>
            <w:u w:val="single"/>
          </w:rPr>
          <w:t>Jó 8.34</w:t>
        </w:r>
      </w:hyperlink>
      <w:r>
        <w:t>), e todos os homens e mulheres são devedores a Deus. A redenção só pode ser realizada por Deus, que "deu o seu único Filho" para libertar as pessoas (</w:t>
      </w:r>
      <w:hyperlink r:id="rId7394">
        <w:r>
          <w:rPr>
            <w:color w:val="0000EE"/>
            <w:u w:val="single"/>
          </w:rPr>
          <w:t>3.16–18</w:t>
        </w:r>
      </w:hyperlink>
      <w:r>
        <w:t>). O autor de Hebreus mostrou que Jesus se tornou o fiador da nova aliança (</w:t>
      </w:r>
      <w:hyperlink r:id="rId7395">
        <w:r>
          <w:rPr>
            <w:color w:val="0000EE"/>
            <w:u w:val="single"/>
          </w:rPr>
          <w:t>Hb 7.22</w:t>
        </w:r>
      </w:hyperlink>
      <w:r>
        <w:t>).</w:t>
      </w:r>
    </w:p>
    <w:p>
      <w:r/>
      <w:r>
        <w:t>O apóstolo Paulo sentia-se em dívida com todas as pessoas por causa de sua própria salvação, uma dívida que ele poderia pagar pregando o evangelho (</w:t>
      </w:r>
      <w:hyperlink r:id="rId7396">
        <w:r>
          <w:rPr>
            <w:color w:val="0000EE"/>
            <w:u w:val="single"/>
          </w:rPr>
          <w:t>Rm 1.14,15</w:t>
        </w:r>
      </w:hyperlink>
      <w:r>
        <w:t xml:space="preserve">). O NT ensina que todos os que recebem o evangelho estão igualmente em dívida e, portanto, devem dedicar-se a servir aos outros como uma forma de servir a Deus (cf. </w:t>
      </w:r>
      <w:hyperlink r:id="rId7397">
        <w:r>
          <w:rPr>
            <w:color w:val="0000EE"/>
            <w:u w:val="single"/>
          </w:rPr>
          <w:t>15.26,27</w:t>
        </w:r>
      </w:hyperlink>
      <w:r>
        <w:t>).</w:t>
      </w:r>
    </w:p>
    <w:p>
      <w:r/>
      <w:r>
        <w:rPr>
          <w:i/>
        </w:rPr>
        <w:t>Veja também</w:t>
      </w:r>
      <w:r>
        <w:t xml:space="preserve"> </w:t>
      </w:r>
      <w:r>
        <w:t>Banqueiro, Bancário</w:t>
      </w:r>
      <w:r>
        <w:t xml:space="preserve">; </w:t>
      </w:r>
      <w:r>
        <w:t>Dinheiro</w:t>
      </w:r>
      <w:r>
        <w:t>.</w:t>
      </w:r>
      <w:r/>
      <w:r/>
    </w:p>
    <w:p>
      <w:r/>
    </w:p>
    <w:p>
      <w:pPr>
        <w:pStyle w:val="Heading2"/>
      </w:pPr>
      <w:r>
        <w:t>Divindades e religião cananeia</w:t>
      </w:r>
      <w:r/>
    </w:p>
    <w:p>
      <w:r/>
      <w:r>
        <w:t>O estudo da religião politeísta dos cananeus contribuiu significativamente para a nossa compreensão da religião do antigo Israel. As estruturas teológicas e religiosas hebraicas foram dadas por Deus a um povo que foi influenciado e afetado por outras religiões. Para apreciar plenamente a fé monoteísta dos israelitas, é necessário entender o contexto politeísta que desafiava sua vida e unidade como nação.</w:t>
      </w:r>
    </w:p>
    <w:p>
      <w:r/>
      <w:r>
        <w:t>O contato entre as muitas religiões do antigo Oriente Próximo gerou não apenas tensão, mas também muito sincretismo ou empréstimo de conceitos e práticas. Os arameus e filisteus que se estabeleceram em Canaã adotaram as práticas dos cananeus; da mesma forma, os amoritas aceitaram grande parte da religião suméria como sua quando se mudaram para a Mesopotâmia. No entanto, entre todos esses povos, os hebreus seguiram um caminho independente. Seu Deus era a divindade única e cósmica que exigia lealdade exclusiva. Tal conceito ia contra a corrente de todas as religiões da época.</w:t>
      </w:r>
    </w:p>
    <w:p>
      <w:r/>
      <w:r>
        <w:t>Até o início do século XX, a maior parte do que se sabia sobre a religião dos cananeus vinha da Bíblia. Em 1928, muitas tábuas de argila foram encontradas em um local chamado Ras Shamra, que era a antiga cidade síria de Ugarite. Elas continham abundantes novas informações sobre a vida religiosa de Canaã. A maioria delas estava em um alfabeto cuneiforme e escrita em uma língua semítica do noroeste, até então desconhecida, bastante semelhante ao hebraico, aramaico e árabe. Os documentos são frequentemente chamados de textos ugaríticos ou tábuas de Ras Shamra.</w:t>
      </w:r>
    </w:p>
    <w:p>
      <w:r/>
      <w:r>
        <w:t>A descoberta desses textos abriu portas para uma compreensão que há muito tempo estava fechada. Os textos forneceram aos estudiosos uma importante literatura mitológica que não apenas apresentou os nomes e funções dos deuses, mas também muitas informações sobre a sociedade cananeia.</w:t>
      </w:r>
    </w:p>
    <w:p>
      <w:r/>
      <w:r>
        <w:t>As divindades cananeias possuíam duas características marcantes: uma extraordinária fluidez de personalidade e função, e nomes cujos significados e origens podiam ser facilmente traçados. Esses fatores, juntamente com a natureza da mitologia, marcam a religião cananeia como sendo relativamente primitiva.</w:t>
      </w:r>
    </w:p>
    <w:p>
      <w:r/>
      <w:r>
        <w:t>A palavra geral cananeia para "deus" provavelmente significava "o forte, o poderoso". O chefe do panteão, ou conjunto de deuses, era chamado de El ("o poderoso"). El, uma figura distante e sombria, vivia longe de Canaã "na fonte dos dois rios", portanto, no paraíso. Ele aparentemente tinha três esposas que também eram suas irmãs: Astarte, Athirat (Aserá, também chamada de Elat) e Anate. Ele presidia um conselho divino de deuses que eram seus filhos. Embora fosse brutal o suficiente para matar seu próprio filho, era chamado de Lutpan ("o bondoso") e descrito como um velho com cabelo branco e barba.</w:t>
      </w:r>
    </w:p>
    <w:p>
      <w:r/>
      <w:r>
        <w:t xml:space="preserve">Baal, o grande deus da tempestade e rei dos deuses, era a figura central no panteão e funcionalmente muito mais importante do que El. Baal atuava como primeiro-ministro de El e eventualmente o destronou. "Baal" significa simplesmente "Senhor" e poderia ser aplicado a diferentes deuses. No entanto, o antigo deus semítico da tempestade Hadade tornou-se o "Baal" por excelência. Hadade era considerado o "senhor do céu", "aquele que prevalece", e o "exaltado, senhor da terra". Ele reinava sozinho sobre tudo. Seu reino era "eterno para todas as gerações". Ele era o doador de toda fertilidade. Quando ele morria, toda vegetação e procriação cessavam. Ele era o deus da justiça, o terror dos malfeitores. Baal era chamado de "filho de Dagom". Dagom, que significa "peixe", era o deus principal de Asdode (cf. </w:t>
      </w:r>
      <w:hyperlink r:id="rId7398">
        <w:r>
          <w:rPr>
            <w:color w:val="0000EE"/>
            <w:u w:val="single"/>
          </w:rPr>
          <w:t>1Sm 5.1–7</w:t>
        </w:r>
      </w:hyperlink>
      <w:r>
        <w:t>).</w:t>
      </w:r>
    </w:p>
    <w:p>
      <w:r/>
      <w:r>
        <w:t>Os cananeus explicavam a natureza referindo-se aos seus deuses. Cada deus representava uma força da natureza. A lua, o sol, estrelas importantes e planetas visíveis eram considerados deuses ou deusas. Baal, visto como o deus da tempestade, personificava o poder de toda a natureza.</w:t>
      </w:r>
    </w:p>
    <w:p>
      <w:r/>
      <w:r>
        <w:t>A personificação das forças da natureza pelos cananeus explicava a sucessão das estações. O período seco de abril até o final de outubro representava a duração da morte de Baal após sua batalha malsucedida a cada primavera com Mot (ou com "os devoradores", que em Ras Shamra desempenhavam a mesma função geral que Mot). O renascimento da divindade da chuva e vegetação, Baal, em direção ao final de outubro, sinalizava o início das chuvas de outono, que continuavam intermitentemente até abril seguinte. Os cananeus acreditavam que a terra recuperava sua fertilidade devido ao acasalamento anual de Baal e Anate. Que melhor forma suas próprias atividades religiosas poderiam assumir do que imitar o comportamento sexual de suas principais divindades? Assim, sempre houve um elemento relacionado à orgia declarado na religião cananeia.</w:t>
      </w:r>
    </w:p>
    <w:p>
      <w:r/>
      <w:r>
        <w:t xml:space="preserve">As três deusas — Athtarat (Astarte ou Astarote no AT, </w:t>
      </w:r>
      <w:hyperlink r:id="rId2793">
        <w:r>
          <w:rPr>
            <w:color w:val="0000EE"/>
            <w:u w:val="single"/>
          </w:rPr>
          <w:t>Dt 1.4</w:t>
        </w:r>
      </w:hyperlink>
      <w:r>
        <w:t xml:space="preserve">, NTLH “Astarote”; </w:t>
      </w:r>
      <w:hyperlink r:id="rId7399">
        <w:r>
          <w:rPr>
            <w:color w:val="0000EE"/>
            <w:u w:val="single"/>
          </w:rPr>
          <w:t>Jz 2.13</w:t>
        </w:r>
      </w:hyperlink>
      <w:r>
        <w:t>), Anate (aparecendo no AT no nome da cidade Anatote e como progenitora de Sangar), e Athirat (Aserá no AT) — apresentavam um conjunto intricado de relações. Astarte era a mesma que Ashtar ou Vênus, a estrela da tarde. O caráter original de Anate é incerto. Athirat era principalmente a deusa do mar e esposa de El. Ela também era chamada de Elat, a forma feminina de El. Todas as três deusas estavam principalmente preocupadas com sexo e guerra. Sua função principal era ter relações sexuais com Baal em um ciclo anual contínuo, mas nunca perdiam sua “virgindade”; elas eram “as grandes deusas que concebem, mas não dão à luz”.</w:t>
      </w:r>
    </w:p>
    <w:p>
      <w:r/>
      <w:r>
        <w:t>Ironicamente, as deusas eram consideradas prostitutas sagradas e, como tal, eram chamadas de "santas". Ídolos representando as deusas eram frequentemente nus e, às vezes, tinham características sexuais exageradas. As circunstâncias em que a prostituição cultual primitiva era praticada são objeto de algum debate, mas não há dúvida de que tanto prostitutas de templo masculinas quanto femininas eram usadas no culto da religião cananeia.</w:t>
      </w:r>
    </w:p>
    <w:p>
      <w:r/>
      <w:r>
        <w:t>As divindades da fertilidade também eram deusas da guerra. No Épico de Baal de Ugarite, Anate tem uma sede insaciável por sangue. Em fontes egípcias do Novo Reino, Astarte aparece como uma guerreira de cavalaria nua e feroz, empunhando escudo e lança.</w:t>
      </w:r>
    </w:p>
    <w:p>
      <w:r/>
      <w:r>
        <w:t>Em algumas versões em português o nome Aserá é traduzido como "poste-ídolo" ou "poste sagrado". A Septuaginta (tradução grega do AT do século III a.C.) traduz como "bosque". Ela parece ter sido representada por algum tipo de objeto de culto de madeira colocado em "lugares altos" ao lado de altares de incenso e pilares de pedra.</w:t>
      </w:r>
    </w:p>
    <w:p>
      <w:r/>
      <w:r>
        <w:t>A luta contínua pela sobrevivência sem dúvida levou os cananeus a adorar coisas que acreditavam beneficiá-los materialmente. Se os deuses e deusas ficassem satisfeitos com a adoração, o resultado seria uma colheita abundante. A adoração cananeia centrava-se em um santuário cultual ou "lugar alto" onde eram oferecidos sacrifícios. Evidências arqueológicas indicam que animais de todos os tamanhos eram oferecidos em grandes templos-santuários como Bete-Seã. A cidade recebeu seu nome do templo localizado lá: beth significa "templo", e Shan era a divindade patrona da cidade.</w:t>
      </w:r>
    </w:p>
    <w:p>
      <w:r/>
      <w:r>
        <w:t xml:space="preserve">Como observado, o sacrifício humano tornou-se parte da prática religiosa em Canaã. </w:t>
      </w:r>
      <w:hyperlink r:id="rId7400">
        <w:r>
          <w:rPr>
            <w:color w:val="0000EE"/>
            <w:u w:val="single"/>
          </w:rPr>
          <w:t>Segundo de Reis 3.27</w:t>
        </w:r>
      </w:hyperlink>
      <w:r>
        <w:t xml:space="preserve"> menciona Messa, rei de Moabe, que, após a derrota nas mãos de uma confederação de reis, ofereceu seu filho como holocausto ao seu deus Quemos.</w:t>
      </w:r>
    </w:p>
    <w:p>
      <w:r/>
      <w:r>
        <w:rPr>
          <w:i/>
        </w:rPr>
        <w:t>Veja também</w:t>
      </w:r>
      <w:r>
        <w:t xml:space="preserve"> </w:t>
      </w:r>
      <w:r>
        <w:t>Canaã, cananeus</w:t>
      </w:r>
      <w:r>
        <w:t xml:space="preserve">; </w:t>
      </w:r>
      <w:r>
        <w:t>Deuses e deusas</w:t>
      </w:r>
      <w:r>
        <w:t xml:space="preserve">; </w:t>
      </w:r>
      <w:r>
        <w:t>Ídolos, idolatria</w:t>
      </w:r>
      <w:r>
        <w:t>.</w:t>
      </w:r>
      <w:r/>
      <w:r/>
    </w:p>
    <w:p>
      <w:r/>
    </w:p>
    <w:p>
      <w:pPr>
        <w:pStyle w:val="Heading2"/>
      </w:pPr>
      <w:r>
        <w:t>Divórcio</w:t>
      </w:r>
      <w:r/>
    </w:p>
    <w:p>
      <w:r/>
      <w:r>
        <w:t>As passagens bíblicas que regulam o divórcio estão intimamente ligadas com as várias definições dadas ao casamento dentro das sucessivas fases da revelação progressiva de Deus na história.</w:t>
      </w:r>
    </w:p>
    <w:p>
      <w:r/>
      <w:r>
        <w:t>No relato da criação em Gênesis, o casamento é definido como a união em “uma só carne”, estabelecida por Deus no contexto de um ambiente sem pecado (</w:t>
      </w:r>
      <w:hyperlink r:id="rId3603">
        <w:r>
          <w:rPr>
            <w:color w:val="0000EE"/>
            <w:u w:val="single"/>
          </w:rPr>
          <w:t>Gn 2.24</w:t>
        </w:r>
      </w:hyperlink>
      <w:r>
        <w:t>). Dadas tais condições, a dissolução do relacionamento matrimonial era inconcebível. Durante seu ministério, Jesus afirmou este aspecto do projeto original de Deus para o casamento. Ele descreveu as implicações do relacionamento em “uma só carne” como a ab-rogação da separação dos cônjuges, além da criação de uma união inviolável (</w:t>
      </w:r>
      <w:hyperlink r:id="rId7401">
        <w:r>
          <w:rPr>
            <w:color w:val="0000EE"/>
            <w:u w:val="single"/>
          </w:rPr>
          <w:t>Mt 19.6</w:t>
        </w:r>
      </w:hyperlink>
      <w:r>
        <w:t>).</w:t>
      </w:r>
    </w:p>
    <w:p>
      <w:pPr>
        <w:pStyle w:val="Heading3"/>
      </w:pPr>
      <w:r>
        <w:t>A visão do Antigo Testamento sobre o divórcio</w:t>
      </w:r>
    </w:p>
    <w:p>
      <w:r/>
      <w:r>
        <w:t>As rupturas da queda trouxeram consequências graves para o relacionamento entre homem e mulher. Tendo permitido que o pecado rompesse sua dependência primária de Deus, o homem e a mulher, respectivamente, se tornaram sujeitos aos elementos dos quais eles haviam sido originalmente criados. O homem se tornou sujeito ao pó da terra, de onde ele havia vindo (</w:t>
      </w:r>
      <w:hyperlink r:id="rId292">
        <w:r>
          <w:rPr>
            <w:color w:val="0000EE"/>
            <w:u w:val="single"/>
          </w:rPr>
          <w:t>Gn 2.7</w:t>
        </w:r>
      </w:hyperlink>
      <w:r>
        <w:t xml:space="preserve">; </w:t>
      </w:r>
      <w:hyperlink r:id="rId306">
        <w:r>
          <w:rPr>
            <w:color w:val="0000EE"/>
            <w:u w:val="single"/>
          </w:rPr>
          <w:t>3.19</w:t>
        </w:r>
      </w:hyperlink>
      <w:r>
        <w:t>), e a mulher se tornou sujeita ao homem, de quem ela havia sido formada (</w:t>
      </w:r>
      <w:hyperlink r:id="rId7402">
        <w:r>
          <w:rPr>
            <w:color w:val="0000EE"/>
            <w:u w:val="single"/>
          </w:rPr>
          <w:t>2.22</w:t>
        </w:r>
      </w:hyperlink>
      <w:r>
        <w:t xml:space="preserve">; </w:t>
      </w:r>
      <w:hyperlink r:id="rId305">
        <w:r>
          <w:rPr>
            <w:color w:val="0000EE"/>
            <w:u w:val="single"/>
          </w:rPr>
          <w:t>3.16</w:t>
        </w:r>
      </w:hyperlink>
      <w:r>
        <w:t>). Antes da queda, o homem e a mulher haviam desfrutado de um relacionamento de igualdade como compartilhadores mútuos na imagem divina (</w:t>
      </w:r>
      <w:hyperlink r:id="rId7403">
        <w:r>
          <w:rPr>
            <w:color w:val="0000EE"/>
            <w:u w:val="single"/>
          </w:rPr>
          <w:t>1.27</w:t>
        </w:r>
      </w:hyperlink>
      <w:r>
        <w:t xml:space="preserve">) e como parceiros no mandato divino para exercer domínio sobre a criação (v. </w:t>
      </w:r>
      <w:hyperlink r:id="rId6088">
        <w:r>
          <w:rPr>
            <w:color w:val="0000EE"/>
            <w:u w:val="single"/>
          </w:rPr>
          <w:t>28</w:t>
        </w:r>
      </w:hyperlink>
      <w:r>
        <w:t>). Após a queda, o homem se tornou governante sobre a mulher, e a mulher passou a ser sujeita ao homem (</w:t>
      </w:r>
      <w:hyperlink r:id="rId305">
        <w:r>
          <w:rPr>
            <w:color w:val="0000EE"/>
            <w:u w:val="single"/>
          </w:rPr>
          <w:t>3.16</w:t>
        </w:r>
      </w:hyperlink>
      <w:r>
        <w:t>).</w:t>
      </w:r>
    </w:p>
    <w:p>
      <w:r/>
      <w:r>
        <w:t>Como resultado dessas novas condições, o homem assumiu direitos de disposição sobre a mulher que ele não possuía antes da queda. A relação de “uma só carne” foi violada quando o direito de governo abriu o caminho para o homem, como governante, multiplicar o número de suas mulheres, as quais eram sujeitas a ele. Esta disparidade entre homem e mulher resultou na prática da poligamia (</w:t>
      </w:r>
      <w:hyperlink r:id="rId7404">
        <w:r>
          <w:rPr>
            <w:color w:val="0000EE"/>
            <w:u w:val="single"/>
          </w:rPr>
          <w:t>Gn 4.19</w:t>
        </w:r>
      </w:hyperlink>
      <w:r>
        <w:t xml:space="preserve">; </w:t>
      </w:r>
      <w:hyperlink r:id="rId7405">
        <w:r>
          <w:rPr>
            <w:color w:val="0000EE"/>
            <w:u w:val="single"/>
          </w:rPr>
          <w:t>16.3</w:t>
        </w:r>
      </w:hyperlink>
      <w:r>
        <w:t xml:space="preserve">; </w:t>
      </w:r>
      <w:hyperlink r:id="rId4553">
        <w:r>
          <w:rPr>
            <w:color w:val="0000EE"/>
            <w:u w:val="single"/>
          </w:rPr>
          <w:t>29.30</w:t>
        </w:r>
      </w:hyperlink>
      <w:r>
        <w:t>) e da monogamia em série, a qual exigia o término de cada casamento por meio de um ato de divórcio (</w:t>
      </w:r>
      <w:hyperlink r:id="rId4534">
        <w:r>
          <w:rPr>
            <w:color w:val="0000EE"/>
            <w:u w:val="single"/>
          </w:rPr>
          <w:t>Dt 24.1–4</w:t>
        </w:r>
      </w:hyperlink>
      <w:r>
        <w:t>). Assim, o surgimento da prática do divórcio apareceu como a consequência inevitável do princípio do governo dos homens. Nem o governo, nem o divórcio faziam parte do projeto original de Deus para o casamento. A regulamentação mosaica sobre o divórcio era uma concessão feita por Deus à condição caída da humanidade (</w:t>
      </w:r>
      <w:hyperlink r:id="rId7406">
        <w:r>
          <w:rPr>
            <w:color w:val="0000EE"/>
            <w:u w:val="single"/>
          </w:rPr>
          <w:t>Mt 19.8</w:t>
        </w:r>
      </w:hyperlink>
      <w:r>
        <w:t>). Caracteristicamente, a opção do divórcio era um direito disponível apenas aos governantes homens. Como súditas de seus governantes, as esposas se tornaram vítimas do divórcio. Os homens poderiam se divorciar de suas esposas; as mulheres não poderiam se divorciar de seus maridos.</w:t>
      </w:r>
    </w:p>
    <w:p>
      <w:r/>
      <w:r>
        <w:t>Por mais injusto que possa parecer, as regulamentações deuteronômicas para o divórcio tinham a intenção de oferecer ao menos um mínimo de proteção para suas vítimas femininas. Um marido tinha que justificar uma ação de divórcio contra sua esposa, citando algo indecente sobre ela. Ele deveria dar à sua esposa divorciada uma certidão de divórcio que provava seu casamento com ele (</w:t>
      </w:r>
      <w:hyperlink r:id="rId3631">
        <w:r>
          <w:rPr>
            <w:color w:val="0000EE"/>
            <w:u w:val="single"/>
          </w:rPr>
          <w:t>Dt 24.1</w:t>
        </w:r>
      </w:hyperlink>
      <w:r>
        <w:t xml:space="preserve">). Além disso, um marido divorciado era proibido de se casar novamente com sua ex-esposa após seu casamento subsequente, uma vez que seu divórcio original era visto como uma contaminação dela (v. </w:t>
      </w:r>
      <w:hyperlink r:id="rId7407">
        <w:r>
          <w:rPr>
            <w:color w:val="0000EE"/>
            <w:u w:val="single"/>
          </w:rPr>
          <w:t>4</w:t>
        </w:r>
      </w:hyperlink>
      <w:r>
        <w:t>).</w:t>
      </w:r>
    </w:p>
    <w:p>
      <w:r/>
      <w:r>
        <w:t>Embora as disposições mosaicas sobre o divórcio tenham sido concedidas como uma concessão divina à dureza de coração de Israel, o AT afirma enfaticamente que Deus odeia o divórcio (</w:t>
      </w:r>
      <w:hyperlink r:id="rId7408">
        <w:r>
          <w:rPr>
            <w:color w:val="0000EE"/>
            <w:u w:val="single"/>
          </w:rPr>
          <w:t>Ml 2.16</w:t>
        </w:r>
      </w:hyperlink>
      <w:r>
        <w:t>). O direito de divórcio foi concedido a contragosto, como uma acomodação ao princípio do governo masculino que havia resultado a partir da queda. Mas o projeto original de Deus, refletido na relação conjugal “uma só carne”, permaneceu o padrão para a união de homem e mulher no casamento.</w:t>
      </w:r>
    </w:p>
    <w:p>
      <w:pPr>
        <w:pStyle w:val="Heading3"/>
      </w:pPr>
      <w:r>
        <w:t>O ensino de Jesus sobre o divórcio</w:t>
      </w:r>
    </w:p>
    <w:p>
      <w:r/>
      <w:r>
        <w:t>Na medida em que o ministério de redenção de Cristo sinalizava um retorno aos propósitos originais de Deus na Criação, os regulamentos da antiga aliança sobre o divórcio vieram a ser ab-rogados na comunidade cristã. A fim de justificar a inviolabilidade do laço de casamento entre seus seguidores, Jesus os dirigiu para o modelo da criação. Referindo-se negativamente à intervinda permissão mosaica para o divórcio, Jesus sustentou a ordem original da criação de Deus, afirmando que “não foi assim desde o princípio” (</w:t>
      </w:r>
      <w:hyperlink r:id="rId7406">
        <w:r>
          <w:rPr>
            <w:color w:val="0000EE"/>
            <w:u w:val="single"/>
          </w:rPr>
          <w:t>Mt 19.8</w:t>
        </w:r>
      </w:hyperlink>
      <w:r>
        <w:t>). Cristo repudiou a queda e afirmou o projeto da criação.</w:t>
      </w:r>
    </w:p>
    <w:p>
      <w:r/>
      <w:r>
        <w:t xml:space="preserve">Em </w:t>
      </w:r>
      <w:hyperlink r:id="rId4542">
        <w:r>
          <w:rPr>
            <w:color w:val="0000EE"/>
            <w:u w:val="single"/>
          </w:rPr>
          <w:t>Mateus 5.31–32</w:t>
        </w:r>
      </w:hyperlink>
      <w:r>
        <w:t xml:space="preserve"> Jesus explicitamente revogou a legislação mosaica que permitia que os homens se divorciassem de suas esposas. Ele via a prática como uma violação da integridade das mulheres. Homens adúlteros que se divorciam de suas esposas as reduzem ao status de prostitutas, usando-as como mercadorias das quais se tirava proveito através da conveniência do divórcio fácil. Ao se divorciar de suas esposas, os homens as tratam como adúlteras. Ao se casar com uma mulher descartada de um casamento anterior, um homem perpetua esse processo humilhante e se torna culpado de adultério.</w:t>
      </w:r>
    </w:p>
    <w:p>
      <w:r/>
      <w:r>
        <w:t>Jesus deliberadamente retirou dos homens o direito de governante de descartar uma esposa conforme sua vontade, e, assim, restabeleceu o padrão criacional da união de “uma só carne” ao longo de toda a vida. Seus discípulos entenderam corretamente sua intenção. Contudo, o princípio do privilégio masculino estava tão profundamente arraigado em sua mentalidade que eles declararam a liberdade disponível no celibato como sendo preferível a um compromisso de um casamento monogâmico vitalício (</w:t>
      </w:r>
      <w:hyperlink r:id="rId4604">
        <w:r>
          <w:rPr>
            <w:color w:val="0000EE"/>
            <w:u w:val="single"/>
          </w:rPr>
          <w:t>Mt 19.10</w:t>
        </w:r>
      </w:hyperlink>
      <w:r>
        <w:t>).</w:t>
      </w:r>
    </w:p>
    <w:p>
      <w:r/>
      <w:r>
        <w:t>Não somente Jesus reafirmou a validade da união de “uma só carne” para a comunidade da redenção, mas o NT reforçou a inviolabilidade do laço do casamento por meio de sua definição do casamento como uma cópia terrena do relacionamento entre Cristo e a igreja (</w:t>
      </w:r>
      <w:hyperlink r:id="rId7409">
        <w:r>
          <w:rPr>
            <w:color w:val="0000EE"/>
            <w:u w:val="single"/>
          </w:rPr>
          <w:t>Ef 5.25</w:t>
        </w:r>
      </w:hyperlink>
      <w:r>
        <w:t>).</w:t>
      </w:r>
    </w:p>
    <w:p>
      <w:r/>
      <w:r>
        <w:t>Apesar destas fortes sanções para a permanência da união matrimonial, o NT permite uma exceção para o divórcio quando este tem o objetivo de proteger o cônjuge inocente no caso de imoralidade e deserção. Jesus fez exceções que estabeleceram o direito de um cônjuge injustiçado por um companheiro infiel solicitar o divórcio (</w:t>
      </w:r>
      <w:hyperlink r:id="rId441">
        <w:r>
          <w:rPr>
            <w:color w:val="0000EE"/>
            <w:u w:val="single"/>
          </w:rPr>
          <w:t>Mt 5.32</w:t>
        </w:r>
      </w:hyperlink>
      <w:r>
        <w:t xml:space="preserve">; </w:t>
      </w:r>
      <w:hyperlink r:id="rId442">
        <w:r>
          <w:rPr>
            <w:color w:val="0000EE"/>
            <w:u w:val="single"/>
          </w:rPr>
          <w:t>19.9</w:t>
        </w:r>
      </w:hyperlink>
      <w:r>
        <w:t>). Obviamente, o cônjuge prejudicado tem a opção de manter o laço de casamento, apesar da violação do compromisso pelo cônjuge infiel. Porém, tendo em vista a exceção permitida pelas Escrituras, a obrigação de manter ou restabelecer o casamento interrompido não pode ser imposta ao cônjuge inocente.</w:t>
      </w:r>
    </w:p>
    <w:p>
      <w:r/>
      <w:r>
        <w:t xml:space="preserve">A outra exceção que justifica o divórcio, de acordo com o NT, é a deserção. Embora os preceitos de </w:t>
      </w:r>
      <w:hyperlink r:id="rId5792">
        <w:r>
          <w:rPr>
            <w:color w:val="0000EE"/>
            <w:u w:val="single"/>
          </w:rPr>
          <w:t>1 Coríntios 7.15</w:t>
        </w:r>
      </w:hyperlink>
      <w:r>
        <w:t xml:space="preserve"> se refiram principalmente à deserção de um cônjuge incrédulo, entende-se que um crente culpado de deserção deve ser tratado como um incrédulo (</w:t>
      </w:r>
      <w:hyperlink r:id="rId7410">
        <w:r>
          <w:rPr>
            <w:color w:val="0000EE"/>
            <w:u w:val="single"/>
          </w:rPr>
          <w:t>1Tm 5.8</w:t>
        </w:r>
      </w:hyperlink>
      <w:r>
        <w:t xml:space="preserve">). O comportamento equivalente ao abandono do relacionamento matrimonial constitui uma violação do compromisso conjugal e se torna sujeito à provisão declarada em </w:t>
      </w:r>
      <w:hyperlink r:id="rId5792">
        <w:r>
          <w:rPr>
            <w:color w:val="0000EE"/>
            <w:u w:val="single"/>
          </w:rPr>
          <w:t>1 Coríntios 7.15</w:t>
        </w:r>
      </w:hyperlink>
      <w:r>
        <w:t>.</w:t>
      </w:r>
    </w:p>
    <w:p>
      <w:r/>
      <w:r>
        <w:t>Em ambos os casos, adultério ou deserção, a parte prejudicada tem o direito de buscar o divórcio do cônjuge ofensor, e, tendo obtido, se torna novamente uma pessoa solteira. Se o arrependimento e a reconciliação falharem em restaurar a união violada, o cônjuge prejudicado não está obrigado ao casamento. De acordo com as Escrituras, uma pessoa que não está comprometida é livre para se casar novamente, mas apenas “no Senhor”, ou seja, com outro cristão (</w:t>
      </w:r>
      <w:hyperlink r:id="rId7411">
        <w:r>
          <w:rPr>
            <w:color w:val="0000EE"/>
            <w:u w:val="single"/>
          </w:rPr>
          <w:t>1Co 7.39</w:t>
        </w:r>
      </w:hyperlink>
      <w:r>
        <w:t xml:space="preserve">). A liminar para uma pessoa solteira, que não tem o dom do celibato, de se casar (v. </w:t>
      </w:r>
      <w:hyperlink r:id="rId7412">
        <w:r>
          <w:rPr>
            <w:color w:val="0000EE"/>
            <w:u w:val="single"/>
          </w:rPr>
          <w:t>9</w:t>
        </w:r>
      </w:hyperlink>
      <w:r>
        <w:t xml:space="preserve">) se aplica a uma pessoa anteriormente casada, mas que se tornou solteira por um divórcio biblicamente legítimo. De acordo com o ensino de Cristo em </w:t>
      </w:r>
      <w:hyperlink r:id="rId5787">
        <w:r>
          <w:rPr>
            <w:color w:val="0000EE"/>
            <w:u w:val="single"/>
          </w:rPr>
          <w:t>Marcos 10.11–12</w:t>
        </w:r>
      </w:hyperlink>
      <w:r>
        <w:t xml:space="preserve"> e </w:t>
      </w:r>
      <w:hyperlink r:id="rId5788">
        <w:r>
          <w:rPr>
            <w:color w:val="0000EE"/>
            <w:u w:val="single"/>
          </w:rPr>
          <w:t>Lucas 16.18</w:t>
        </w:r>
      </w:hyperlink>
      <w:r>
        <w:t>, o novo casamento dos crentes pode não ser aprovado quando o divórcio tiver sido usado como um meio de mudar de companheiros, uma vez que tal intenção torna o divórcio adúltero.</w:t>
      </w:r>
    </w:p>
    <w:p>
      <w:r/>
      <w:r>
        <w:t>Muitos fatores geralmente se combinam para destruir um casamento; portanto, a igreja deve lidar com cada caso de divórcio e novo casamento em uma base individual, levando em conta a capacidade inesgotável de Deus de perdoar o pecado e restaurar vidas quebradas. Obviamente, as restrições das Escrituras a respeito do divórcio não se aplicam aos crentes dos quais os casamentos quebrados antecedem sua conversão, uma vez que o perdão de Deus limpa o pecado de seu passado pré-cristão e os torna novas criaturas em Cristo.</w:t>
      </w:r>
    </w:p>
    <w:p>
      <w:r/>
      <w:r>
        <w:rPr>
          <w:i/>
        </w:rPr>
        <w:t>Veja também</w:t>
      </w:r>
      <w:r>
        <w:t xml:space="preserve"> </w:t>
      </w:r>
      <w:r>
        <w:t>Adultério</w:t>
      </w:r>
      <w:r>
        <w:t xml:space="preserve">; </w:t>
      </w:r>
      <w:r>
        <w:t>Lei Civil e Justiça</w:t>
      </w:r>
      <w:r>
        <w:t xml:space="preserve">; </w:t>
      </w:r>
      <w:r>
        <w:t>Casamento, Costumes Matrimoniais</w:t>
      </w:r>
      <w:r>
        <w:t xml:space="preserve">; </w:t>
      </w:r>
      <w:r>
        <w:t>Sexo, Sexualidade</w:t>
      </w:r>
      <w:r>
        <w:t>.</w:t>
      </w:r>
      <w:r/>
      <w:r/>
    </w:p>
    <w:p>
      <w:r/>
    </w:p>
    <w:p>
      <w:pPr>
        <w:pStyle w:val="Heading2"/>
      </w:pPr>
      <w:r>
        <w:t>Divórcio*, Certificado De</w:t>
      </w:r>
      <w:r/>
    </w:p>
    <w:p>
      <w:r/>
      <w:r>
        <w:t>Um documento declarando a separação de um marido e uma esposa, ordenado pela lei mosaica (</w:t>
      </w:r>
      <w:hyperlink r:id="rId4534">
        <w:r>
          <w:rPr>
            <w:color w:val="0000EE"/>
            <w:u w:val="single"/>
          </w:rPr>
          <w:t>Dt 24.1–4</w:t>
        </w:r>
      </w:hyperlink>
      <w:r>
        <w:t xml:space="preserve">; veja </w:t>
      </w:r>
      <w:hyperlink r:id="rId7413">
        <w:r>
          <w:rPr>
            <w:color w:val="0000EE"/>
            <w:u w:val="single"/>
          </w:rPr>
          <w:t>Mt 5.31</w:t>
        </w:r>
      </w:hyperlink>
      <w:r>
        <w:t xml:space="preserve">; </w:t>
      </w:r>
      <w:hyperlink r:id="rId7414">
        <w:r>
          <w:rPr>
            <w:color w:val="0000EE"/>
            <w:u w:val="single"/>
          </w:rPr>
          <w:t>19.7</w:t>
        </w:r>
      </w:hyperlink>
      <w:r>
        <w:t xml:space="preserve">; </w:t>
      </w:r>
      <w:hyperlink r:id="rId7415">
        <w:r>
          <w:rPr>
            <w:color w:val="0000EE"/>
            <w:u w:val="single"/>
          </w:rPr>
          <w:t>Mc 10.4</w:t>
        </w:r>
      </w:hyperlink>
      <w:r>
        <w:t xml:space="preserve">). O certificado de divórcio protegia os direitos da mulher, fornecendo evidências de sua liberdade e garantindo que seu marido não poderia reivindicar seu dote. Um exemplo de tal documento é </w:t>
      </w:r>
      <w:hyperlink r:id="rId4599">
        <w:r>
          <w:rPr>
            <w:color w:val="0000EE"/>
            <w:u w:val="single"/>
          </w:rPr>
          <w:t>Oseias 2.2</w:t>
        </w:r>
      </w:hyperlink>
      <w:r>
        <w:t>: “Ela não é mais a minha esposa, e eu não sou mais o seu marido” (NTLH). Os profetas do AT usaram esta declaração figurativamente para retratar o desejo de Deus de se separar de seu povo rebelde (</w:t>
      </w:r>
      <w:hyperlink r:id="rId3083">
        <w:r>
          <w:rPr>
            <w:color w:val="0000EE"/>
            <w:u w:val="single"/>
          </w:rPr>
          <w:t>Is 50.1</w:t>
        </w:r>
      </w:hyperlink>
      <w:r>
        <w:t xml:space="preserve">; </w:t>
      </w:r>
      <w:hyperlink r:id="rId7416">
        <w:r>
          <w:rPr>
            <w:color w:val="0000EE"/>
            <w:u w:val="single"/>
          </w:rPr>
          <w:t>Jr 3.8</w:t>
        </w:r>
      </w:hyperlink>
      <w:r>
        <w:t>).</w:t>
      </w:r>
    </w:p>
    <w:p>
      <w:r/>
      <w:r>
        <w:rPr>
          <w:i/>
        </w:rPr>
        <w:t>Veja também</w:t>
      </w:r>
      <w:r>
        <w:t xml:space="preserve"> </w:t>
      </w:r>
      <w:r>
        <w:t>Lei Civil e Justiça</w:t>
      </w:r>
      <w:r>
        <w:t xml:space="preserve">; </w:t>
      </w:r>
      <w:r>
        <w:t>Divórcio</w:t>
      </w:r>
      <w:r>
        <w:t xml:space="preserve">; </w:t>
      </w:r>
      <w:r>
        <w:t>Casamento, Costumes de Casamento</w:t>
      </w:r>
      <w:r>
        <w:t>.</w:t>
      </w:r>
      <w:r/>
      <w:r/>
    </w:p>
    <w:p>
      <w:r/>
    </w:p>
    <w:p>
      <w:pPr>
        <w:pStyle w:val="Heading2"/>
      </w:pPr>
      <w:r>
        <w:t>Di-Zaabe</w:t>
      </w:r>
      <w:r/>
    </w:p>
    <w:p>
      <w:r/>
      <w:r>
        <w:t>Nome, listado junto com Parã, Tofel, Labão e Hazerote, destinado a designar o local do discurso final de Moisés a Israel (</w:t>
      </w:r>
      <w:hyperlink r:id="rId2314">
        <w:r>
          <w:rPr>
            <w:color w:val="0000EE"/>
            <w:u w:val="single"/>
          </w:rPr>
          <w:t>Dt 1.1</w:t>
        </w:r>
      </w:hyperlink>
      <w:r>
        <w:t>).</w:t>
      </w:r>
      <w:r/>
      <w:r/>
    </w:p>
    <w:p>
      <w:r/>
    </w:p>
    <w:p>
      <w:pPr>
        <w:pStyle w:val="Heading2"/>
      </w:pPr>
      <w:r>
        <w:t>Dízimo, Dizimar</w:t>
      </w:r>
      <w:r/>
    </w:p>
    <w:p>
      <w:r/>
      <w:r>
        <w:t>A palavra "dízimo" vem do latim decimus, que significa "a décima parte". Refere-se a um tributo sobre produtos ou trabalho para apoiar a religião.</w:t>
      </w:r>
    </w:p>
    <w:p>
      <w:r/>
      <w:r>
        <w:t xml:space="preserve">A prática do dízimo é muito antiga. Por exemplo, Abraão pagou um dízimo, ou um décimo, dos despojos de guerra a Melquisedeque (veja </w:t>
      </w:r>
      <w:hyperlink r:id="rId7417">
        <w:r>
          <w:rPr>
            <w:color w:val="0000EE"/>
            <w:u w:val="single"/>
          </w:rPr>
          <w:t>Gn 14.20</w:t>
        </w:r>
      </w:hyperlink>
      <w:r>
        <w:t>). O dízimo também era comum em muitos lugares, incluindo:</w:t>
      </w:r>
    </w:p>
    <w:p>
      <w:pPr>
        <w:pStyle w:val="ListBullet"/>
        <w:spacing w:line="240" w:lineRule="auto"/>
        <w:ind w:left="720"/>
      </w:pPr>
      <w:r/>
      <w:r>
        <w:t>Atenas</w:t>
      </w:r>
    </w:p>
    <w:p>
      <w:pPr>
        <w:pStyle w:val="ListBullet"/>
        <w:spacing w:line="240" w:lineRule="auto"/>
        <w:ind w:left="720"/>
      </w:pPr>
      <w:r/>
      <w:r>
        <w:t>Arábia Saudita</w:t>
      </w:r>
    </w:p>
    <w:p>
      <w:pPr>
        <w:pStyle w:val="ListBullet"/>
        <w:spacing w:line="240" w:lineRule="auto"/>
        <w:ind w:left="720"/>
      </w:pPr>
      <w:r/>
      <w:r>
        <w:t>Roma</w:t>
      </w:r>
    </w:p>
    <w:p>
      <w:pPr>
        <w:pStyle w:val="ListBullet"/>
        <w:spacing w:line="240" w:lineRule="auto"/>
        <w:ind w:left="720"/>
      </w:pPr>
      <w:r/>
      <w:r>
        <w:t>Cartago</w:t>
      </w:r>
    </w:p>
    <w:p>
      <w:pPr>
        <w:pStyle w:val="ListBullet"/>
        <w:spacing w:line="240" w:lineRule="auto"/>
        <w:ind w:left="720"/>
      </w:pPr>
      <w:r/>
      <w:r>
        <w:t>Egito</w:t>
      </w:r>
    </w:p>
    <w:p>
      <w:pPr>
        <w:pStyle w:val="ListBullet"/>
        <w:spacing w:line="240" w:lineRule="auto"/>
        <w:ind w:left="720"/>
      </w:pPr>
      <w:r/>
      <w:r>
        <w:t>Síria</w:t>
      </w:r>
    </w:p>
    <w:p>
      <w:pPr>
        <w:pStyle w:val="ListBullet"/>
        <w:spacing w:line="240" w:lineRule="auto"/>
        <w:ind w:left="720"/>
      </w:pPr>
      <w:r/>
      <w:r>
        <w:t>Babilônia</w:t>
      </w:r>
    </w:p>
    <w:p>
      <w:pPr>
        <w:pStyle w:val="ListBullet"/>
        <w:spacing w:line="240" w:lineRule="auto"/>
        <w:ind w:left="720"/>
      </w:pPr>
      <w:r/>
      <w:r>
        <w:t>China</w:t>
      </w:r>
    </w:p>
    <w:p>
      <w:r/>
      <w:r>
        <w:t>O livro de Deuteronômio (</w:t>
      </w:r>
      <w:hyperlink r:id="rId7418">
        <w:r>
          <w:rPr>
            <w:color w:val="0000EE"/>
            <w:u w:val="single"/>
          </w:rPr>
          <w:t>Dt 12.2</w:t>
        </w:r>
      </w:hyperlink>
      <w:hyperlink r:id="rId7419">
        <w:r>
          <w:rPr>
            <w:color w:val="0000EE"/>
            <w:u w:val="single"/>
          </w:rPr>
          <w:t>–</w:t>
        </w:r>
      </w:hyperlink>
      <w:hyperlink r:id="rId7418">
        <w:r>
          <w:rPr>
            <w:color w:val="0000EE"/>
            <w:u w:val="single"/>
          </w:rPr>
          <w:t>7,17</w:t>
        </w:r>
      </w:hyperlink>
      <w:hyperlink r:id="rId7419">
        <w:r>
          <w:rPr>
            <w:color w:val="0000EE"/>
            <w:u w:val="single"/>
          </w:rPr>
          <w:t>–</w:t>
        </w:r>
      </w:hyperlink>
      <w:hyperlink r:id="rId7418">
        <w:r>
          <w:rPr>
            <w:color w:val="0000EE"/>
            <w:u w:val="single"/>
          </w:rPr>
          <w:t>19</w:t>
        </w:r>
      </w:hyperlink>
      <w:r>
        <w:t xml:space="preserve">; </w:t>
      </w:r>
      <w:hyperlink r:id="rId7420">
        <w:r>
          <w:rPr>
            <w:color w:val="0000EE"/>
            <w:u w:val="single"/>
          </w:rPr>
          <w:t>14.22–29</w:t>
        </w:r>
      </w:hyperlink>
      <w:r>
        <w:t>) diz que, quando a adoração foi centralizada em Israel, as pessoas tinham que levar seu dízimo anual ao santuário. Sacerdotes e levitas compartilhavam esse dízimo. Os itens dizimados incluíam:</w:t>
      </w:r>
    </w:p>
    <w:p>
      <w:pPr>
        <w:pStyle w:val="ListBullet"/>
        <w:spacing w:line="240" w:lineRule="auto"/>
        <w:ind w:left="720"/>
      </w:pPr>
      <w:r/>
      <w:r>
        <w:t>Grão</w:t>
      </w:r>
    </w:p>
    <w:p>
      <w:pPr>
        <w:pStyle w:val="ListBullet"/>
        <w:spacing w:line="240" w:lineRule="auto"/>
        <w:ind w:left="720"/>
      </w:pPr>
      <w:r/>
      <w:r>
        <w:t>Vinho</w:t>
      </w:r>
    </w:p>
    <w:p>
      <w:pPr>
        <w:pStyle w:val="ListBullet"/>
        <w:spacing w:line="240" w:lineRule="auto"/>
        <w:ind w:left="720"/>
      </w:pPr>
      <w:r/>
      <w:r>
        <w:t>Petróleo</w:t>
      </w:r>
    </w:p>
    <w:p>
      <w:pPr>
        <w:pStyle w:val="ListBullet"/>
        <w:spacing w:line="240" w:lineRule="auto"/>
        <w:ind w:left="720"/>
      </w:pPr>
      <w:r/>
      <w:r>
        <w:t>Gado</w:t>
      </w:r>
    </w:p>
    <w:p>
      <w:r/>
      <w:r>
        <w:t>A cada terceiro ano, todo o dízimo era dado como caridade aos levitas, estrangeiros, órfãos e viúvas (</w:t>
      </w:r>
      <w:hyperlink r:id="rId7421">
        <w:r>
          <w:rPr>
            <w:color w:val="0000EE"/>
            <w:u w:val="single"/>
          </w:rPr>
          <w:t>Dt 26.12</w:t>
        </w:r>
      </w:hyperlink>
      <w:r>
        <w:t xml:space="preserve">). </w:t>
      </w:r>
      <w:hyperlink r:id="rId389">
        <w:r>
          <w:rPr>
            <w:color w:val="0000EE"/>
            <w:u w:val="single"/>
          </w:rPr>
          <w:t>Números 18.21–32</w:t>
        </w:r>
      </w:hyperlink>
      <w:r>
        <w:t xml:space="preserve"> afirma que todos os dízimos em Israel eram dados aos levitas como pagamento por seu serviço como sacerdotes.</w:t>
      </w:r>
    </w:p>
    <w:p>
      <w:r/>
      <w:r>
        <w:t>O profeta Malaquias condenou aqueles que retinham seus dízimos. Ele chamou isso de "roubar a Deus" (</w:t>
      </w:r>
      <w:hyperlink r:id="rId7422">
        <w:r>
          <w:rPr>
            <w:color w:val="0000EE"/>
            <w:u w:val="single"/>
          </w:rPr>
          <w:t>Ml 3.8–10</w:t>
        </w:r>
      </w:hyperlink>
      <w:r>
        <w:t xml:space="preserve">). Ele prometeu que o dízimo traria bênçãos, celeiros cheios e proteção contra pragas. As primeiras festas de dízimo provavelmente incluíam agradecimentos pelos dons de Deus. Isso não é muito enfatizado nos textos (compare </w:t>
      </w:r>
      <w:hyperlink r:id="rId7423">
        <w:r>
          <w:rPr>
            <w:color w:val="0000EE"/>
            <w:u w:val="single"/>
          </w:rPr>
          <w:t>Gn 28.22</w:t>
        </w:r>
      </w:hyperlink>
      <w:r>
        <w:t>). O principal propósito do dízimo era apoiar o serviço de Deus e a caridade.</w:t>
      </w:r>
    </w:p>
    <w:p>
      <w:r/>
      <w:r>
        <w:t>O Novo Testamento menciona o dízimo de forma crítica, exceto pelo dízimo de Melquisedeque (</w:t>
      </w:r>
      <w:hyperlink r:id="rId7424">
        <w:r>
          <w:rPr>
            <w:color w:val="0000EE"/>
            <w:u w:val="single"/>
          </w:rPr>
          <w:t>Hb 7</w:t>
        </w:r>
      </w:hyperlink>
      <w:r>
        <w:t xml:space="preserve">). Em </w:t>
      </w:r>
      <w:hyperlink r:id="rId5236">
        <w:r>
          <w:rPr>
            <w:color w:val="0000EE"/>
            <w:u w:val="single"/>
          </w:rPr>
          <w:t>Mateus 23.23</w:t>
        </w:r>
      </w:hyperlink>
      <w:r>
        <w:t xml:space="preserve"> e </w:t>
      </w:r>
      <w:hyperlink r:id="rId5237">
        <w:r>
          <w:rPr>
            <w:color w:val="0000EE"/>
            <w:u w:val="single"/>
          </w:rPr>
          <w:t>Lucas 11.42</w:t>
        </w:r>
      </w:hyperlink>
      <w:r>
        <w:t xml:space="preserve">, Jesus criticou aqueles que dizimavam meticulosamente pequenas ervas, mas negligenciavam os assuntos mais importantes da lei: justiça, misericórdia e fé. Jesus via isso como um sinal de moralidade deficiente e prioridades equivocadas, associando isso ao farisaísmo. Ele disse que era mais fácil seguir as regras e também mais satisfatório, mas era mais difícil desenvolver o senso moral para gerenciar relacionamentos com os outros e com Deus. Em </w:t>
      </w:r>
      <w:hyperlink r:id="rId7425">
        <w:r>
          <w:rPr>
            <w:color w:val="0000EE"/>
            <w:u w:val="single"/>
          </w:rPr>
          <w:t>Lucas 18.12</w:t>
        </w:r>
      </w:hyperlink>
      <w:r>
        <w:t>, um fariseu, vangloriando-se em oração sobre suas virtudes, mencionou seu dízimo de toda a sua renda como uma de suas reivindicações ao favor divino. Jesus, no entanto, valorizava a humildade acima das práticas religiosas cheias de orgulho, preferindo um penitente humilde a um fariseu vaidoso.</w:t>
      </w:r>
    </w:p>
    <w:p>
      <w:r/>
      <w:r>
        <w:rPr>
          <w:i/>
        </w:rPr>
        <w:t>Veja também</w:t>
      </w:r>
      <w:r>
        <w:t xml:space="preserve"> </w:t>
      </w:r>
      <w:r>
        <w:t>Ofertas e sacrifícios</w:t>
      </w:r>
      <w:r>
        <w:t>.</w:t>
      </w:r>
      <w:r/>
      <w:r/>
    </w:p>
    <w:p>
      <w:r/>
    </w:p>
    <w:p>
      <w:pPr>
        <w:pStyle w:val="Heading2"/>
      </w:pPr>
      <w:r>
        <w:t>Dodanim</w:t>
      </w:r>
      <w:r/>
    </w:p>
    <w:p>
      <w:r/>
      <w:r>
        <w:t>Descendentes do filho de Noé, Jafé (</w:t>
      </w:r>
      <w:hyperlink r:id="rId7426">
        <w:r>
          <w:rPr>
            <w:color w:val="0000EE"/>
            <w:u w:val="single"/>
          </w:rPr>
          <w:t>Gn 10.4</w:t>
        </w:r>
      </w:hyperlink>
      <w:r>
        <w:t xml:space="preserve">). O nome é corrigido para rodanim em </w:t>
      </w:r>
      <w:hyperlink r:id="rId7427">
        <w:r>
          <w:rPr>
            <w:color w:val="0000EE"/>
            <w:u w:val="single"/>
          </w:rPr>
          <w:t>1 Crônicas 1.7</w:t>
        </w:r>
      </w:hyperlink>
      <w:r>
        <w:t xml:space="preserve">. </w:t>
      </w:r>
      <w:r>
        <w:rPr>
          <w:i/>
        </w:rPr>
        <w:t>Veja</w:t>
      </w:r>
      <w:r>
        <w:t xml:space="preserve"> </w:t>
      </w:r>
      <w:r>
        <w:t>Rodanim</w:t>
      </w:r>
      <w:r>
        <w:t>.</w:t>
      </w:r>
      <w:r/>
      <w:r/>
    </w:p>
    <w:p>
      <w:r/>
    </w:p>
    <w:p>
      <w:pPr>
        <w:pStyle w:val="Heading2"/>
      </w:pPr>
      <w:r>
        <w:t>Doegue</w:t>
      </w:r>
      <w:r/>
    </w:p>
    <w:p>
      <w:r/>
      <w:r>
        <w:t>Doegue era um oficial que trabalhava para o Rei Saul. Saul ordenou que ele matasse os sacerdotes inocentes em Nobe (</w:t>
      </w:r>
      <w:hyperlink r:id="rId64">
        <w:r>
          <w:rPr>
            <w:color w:val="0000EE"/>
            <w:u w:val="single"/>
          </w:rPr>
          <w:t>1Sm 21–22</w:t>
        </w:r>
      </w:hyperlink>
      <w:r>
        <w:t>). Doegue era um edomita, o que significa que ele era ou um estrangeiro que se converteu à religião israelita ou um líder proeminente de Edom que foi capturado durante a campanha militar de Saul contra os edomitas (</w:t>
      </w:r>
      <w:hyperlink r:id="rId6499">
        <w:r>
          <w:rPr>
            <w:color w:val="0000EE"/>
            <w:u w:val="single"/>
          </w:rPr>
          <w:t>14.47</w:t>
        </w:r>
      </w:hyperlink>
      <w:r>
        <w:t>).</w:t>
      </w:r>
    </w:p>
    <w:p>
      <w:r/>
      <w:r>
        <w:t>Saul colocou Doegue no comando de seus rebanhos de animais (</w:t>
      </w:r>
      <w:hyperlink r:id="rId7428">
        <w:r>
          <w:rPr>
            <w:color w:val="0000EE"/>
            <w:u w:val="single"/>
          </w:rPr>
          <w:t xml:space="preserve">21.7). </w:t>
        </w:r>
      </w:hyperlink>
      <w:r>
        <w:t>O rei Davi também mais tarde teve um estrangeiro no comando de seu gado (</w:t>
      </w:r>
      <w:hyperlink r:id="rId1624">
        <w:r>
          <w:rPr>
            <w:color w:val="0000EE"/>
            <w:u w:val="single"/>
          </w:rPr>
          <w:t>1Cr 27.30</w:t>
        </w:r>
      </w:hyperlink>
      <w:r>
        <w:t>).</w:t>
      </w:r>
    </w:p>
    <w:p>
      <w:r/>
      <w:r>
        <w:t>A Bíblia não explica claramente por que Doegue estava no santuário em Nobe (</w:t>
      </w:r>
      <w:hyperlink r:id="rId7428">
        <w:r>
          <w:rPr>
            <w:color w:val="0000EE"/>
            <w:u w:val="single"/>
          </w:rPr>
          <w:t>1Sm 21.7</w:t>
        </w:r>
      </w:hyperlink>
      <w:r>
        <w:t xml:space="preserve">). Ele pode ter estado lá por um propósito religioso. Se ele estava passando por um processo de purificação, isso pode tê-lo obrigado a ficar ali (como um voto de nazireu descrito em </w:t>
      </w:r>
      <w:hyperlink r:id="rId7429">
        <w:r>
          <w:rPr>
            <w:color w:val="0000EE"/>
            <w:u w:val="single"/>
          </w:rPr>
          <w:t>Números 6.13</w:t>
        </w:r>
      </w:hyperlink>
      <w:r>
        <w:t>). Outra possibilidade é que ele estivesse se escondendo ali como espião do Rei Saul.</w:t>
      </w:r>
    </w:p>
    <w:p>
      <w:r/>
      <w:r>
        <w:t>O que sabemos é que, enquanto estava em Nobe, Doegue viu os sacerdotes receberem Davi e lhe darem comida e uma arma — a espada de Golias (</w:t>
      </w:r>
      <w:hyperlink r:id="rId7430">
        <w:r>
          <w:rPr>
            <w:color w:val="0000EE"/>
            <w:u w:val="single"/>
          </w:rPr>
          <w:t>1Sm 21.9</w:t>
        </w:r>
      </w:hyperlink>
      <w:r>
        <w:t>). Pouco tempo depois, Doegue teve a oportunidade de relatar isso a Saul (</w:t>
      </w:r>
      <w:hyperlink r:id="rId7431">
        <w:r>
          <w:rPr>
            <w:color w:val="0000EE"/>
            <w:u w:val="single"/>
          </w:rPr>
          <w:t>22.9–10</w:t>
        </w:r>
      </w:hyperlink>
      <w:r>
        <w:t xml:space="preserve">; </w:t>
      </w:r>
      <w:hyperlink r:id="rId7432">
        <w:r>
          <w:rPr>
            <w:color w:val="0000EE"/>
            <w:u w:val="single"/>
          </w:rPr>
          <w:t>título do Salmo 52</w:t>
        </w:r>
      </w:hyperlink>
      <w:r>
        <w:t>). Ele esperava demonstrar sua lealdade com esse relatório.</w:t>
      </w:r>
    </w:p>
    <w:p>
      <w:r/>
      <w:r>
        <w:t>O caráter de Doegue é revelado quando ele brutalmente matou os sacerdotes e todas as pessoas que viviam na cidade de Nobe (</w:t>
      </w:r>
      <w:hyperlink r:id="rId7433">
        <w:r>
          <w:rPr>
            <w:color w:val="0000EE"/>
            <w:u w:val="single"/>
          </w:rPr>
          <w:t>1Sm 22.18–19</w:t>
        </w:r>
      </w:hyperlink>
      <w:r>
        <w:t>). Esta ação cruel sugere que ele não era verdadeiramente um israelita, mesmo vivendo entre eles.</w:t>
      </w:r>
      <w:r/>
      <w:r/>
    </w:p>
    <w:p>
      <w:r/>
    </w:p>
    <w:p>
      <w:pPr>
        <w:pStyle w:val="Heading2"/>
      </w:pPr>
      <w:r>
        <w:t>Doença</w:t>
      </w:r>
      <w:r/>
    </w:p>
    <w:p>
      <w:r/>
      <w:r>
        <w:t>Termo usado nas Escrituras como sinônimo de patologia, enfermidade, moléstia, praga e pestilência. No entanto, praga e a pestilência são geralmente usadas quando há um grande número de vítimas, como nas epidemias. “Pestilência” literalmente significa “destruição” e geralmente descreve uma epidemia com uma alta taxa de mortalidade. “Aflição” e “tormento” são outros termos que podem incluir doença, mas são mais amplos e não são usados como sinônimo de doença.</w:t>
      </w:r>
    </w:p>
    <w:p>
      <w:r/>
      <w:r>
        <w:t>Durante o tempo em que a Bíblia foi escrita, as pessoas não tinham um conceito detalhado de anatomia ou de como os órgãos específicos do corpo funcionavam. Doenças era consideradas como anormais, algo que limita a capacidade de alguém de funcionar com força e vitalidade. A palavra hebraica traduzida por “doença” como um substantivo significa “ser fraco” em sua forma verbal cognata. O homem doente ao lado do tanque de Betesda é descrito como sendo “impotente” (</w:t>
      </w:r>
      <w:hyperlink r:id="rId7434">
        <w:r>
          <w:rPr>
            <w:color w:val="0000EE"/>
            <w:u w:val="single"/>
          </w:rPr>
          <w:t>Jo 5:7</w:t>
        </w:r>
      </w:hyperlink>
      <w:r>
        <w:t>, NTLH), incapaz de se locomover sozinho.</w:t>
      </w:r>
    </w:p>
    <w:p>
      <w:pPr>
        <w:pStyle w:val="Heading3"/>
      </w:pPr>
      <w:r>
        <w:t>Origens de doenças</w:t>
      </w:r>
    </w:p>
    <w:p>
      <w:r/>
      <w:r>
        <w:t>De acordo com a Bíblia, a doença tem quatro causas: (1) Deus, (2) Satanás, (3) pecados de antepassados, e (4) quebra das leis físicas, mentais/emocionais ou morais da natureza.</w:t>
      </w:r>
    </w:p>
    <w:p>
      <w:pPr>
        <w:pStyle w:val="Heading4"/>
      </w:pPr>
      <w:r>
        <w:t>Deus</w:t>
      </w:r>
    </w:p>
    <w:p>
      <w:r/>
      <w:r>
        <w:t>Todos os povos antigos atribuíam eventos e fenômenos ao sobrenatural, seja a vários deuses ou a espíritos malignos. Os hebreus eram diferentes por serem fortes monoteístas, atribuindo todos os fenômenos ao único Deus verdadeiro que havia se revelado a eles (</w:t>
      </w:r>
      <w:hyperlink r:id="rId7435">
        <w:r>
          <w:rPr>
            <w:color w:val="0000EE"/>
            <w:u w:val="single"/>
          </w:rPr>
          <w:t>Is 45.21</w:t>
        </w:r>
      </w:hyperlink>
      <w:r>
        <w:t xml:space="preserve">). Deus era responsável por tudo, incluindo doenças e o mal (v. </w:t>
      </w:r>
      <w:hyperlink r:id="rId7436">
        <w:r>
          <w:rPr>
            <w:color w:val="0000EE"/>
            <w:u w:val="single"/>
          </w:rPr>
          <w:t>7</w:t>
        </w:r>
      </w:hyperlink>
      <w:r>
        <w:t>). Este mesmo Deus também poderia dar bênçãos materiais, saúde e curar todas as doenças (</w:t>
      </w:r>
      <w:hyperlink r:id="rId6384">
        <w:r>
          <w:rPr>
            <w:color w:val="0000EE"/>
            <w:u w:val="single"/>
          </w:rPr>
          <w:t>Sl 103.3</w:t>
        </w:r>
      </w:hyperlink>
      <w:r>
        <w:t>). Para os hebreus, Deus poderia dar saúde ou doença, e em ambos os casos, ele tinha seu propósito ou razão.</w:t>
      </w:r>
    </w:p>
    <w:p>
      <w:r/>
      <w:r>
        <w:t>Um propósito da doença era punição por transgressão (</w:t>
      </w:r>
      <w:hyperlink r:id="rId7437">
        <w:r>
          <w:rPr>
            <w:color w:val="0000EE"/>
            <w:u w:val="single"/>
          </w:rPr>
          <w:t>2Sm 24.1,12–16</w:t>
        </w:r>
      </w:hyperlink>
      <w:r>
        <w:t xml:space="preserve">; </w:t>
      </w:r>
      <w:hyperlink r:id="rId3723">
        <w:r>
          <w:rPr>
            <w:color w:val="0000EE"/>
            <w:u w:val="single"/>
          </w:rPr>
          <w:t>1Co 10.8</w:t>
        </w:r>
      </w:hyperlink>
      <w:r>
        <w:t>). Na mente hebraica, mesmo quando a causa imediata da doença e morte era óbvia — como em muitas cobras venenosas mordendo pessoas no acampamento — a resposta não era matar todas as cobras, mas orar a Deus por perdão (</w:t>
      </w:r>
      <w:hyperlink r:id="rId5084">
        <w:r>
          <w:rPr>
            <w:color w:val="0000EE"/>
            <w:u w:val="single"/>
          </w:rPr>
          <w:t>Nm 21.4–9</w:t>
        </w:r>
      </w:hyperlink>
      <w:r>
        <w:t>). A lepra, que literalmente significa “um castigo”, era uma doença devastadora enviada por Deus para punir indivíduos que pecaram (</w:t>
      </w:r>
      <w:hyperlink r:id="rId7438">
        <w:r>
          <w:rPr>
            <w:color w:val="0000EE"/>
            <w:u w:val="single"/>
          </w:rPr>
          <w:t>Nm 12</w:t>
        </w:r>
      </w:hyperlink>
      <w:r>
        <w:t xml:space="preserve">; </w:t>
      </w:r>
      <w:hyperlink r:id="rId5609">
        <w:r>
          <w:rPr>
            <w:color w:val="0000EE"/>
            <w:u w:val="single"/>
          </w:rPr>
          <w:t>2Rs 5.27</w:t>
        </w:r>
      </w:hyperlink>
      <w:r>
        <w:t>).</w:t>
      </w:r>
    </w:p>
    <w:p>
      <w:r/>
      <w:r>
        <w:t>Deus também enviou doenças para demonstrar seu poder ou para proteger seu povo. As 10 pragas no Egito ilustram a primeira; a eliminação do exército de Senaqueribe, a posterior (</w:t>
      </w:r>
      <w:hyperlink r:id="rId7439">
        <w:r>
          <w:rPr>
            <w:color w:val="0000EE"/>
            <w:u w:val="single"/>
          </w:rPr>
          <w:t>2Rs 19:34–36</w:t>
        </w:r>
      </w:hyperlink>
      <w:r>
        <w:t>).</w:t>
      </w:r>
    </w:p>
    <w:p>
      <w:pPr>
        <w:pStyle w:val="Heading4"/>
      </w:pPr>
      <w:r>
        <w:t>Satanás</w:t>
      </w:r>
    </w:p>
    <w:p>
      <w:r/>
      <w:r>
        <w:t>Satanás e outros espíritos malignos também poderiam ser responsáveis pelas doenças. No esquema bíblico das coisas, a capacidade de Satanás de trazer doenças está na vontade permissiva de Deus. A restrição na capacidade de Satanás para o dano é claramente explicada no caso de Jó (</w:t>
      </w:r>
      <w:hyperlink r:id="rId7440">
        <w:r>
          <w:rPr>
            <w:color w:val="0000EE"/>
            <w:u w:val="single"/>
          </w:rPr>
          <w:t>Jó 1.12</w:t>
        </w:r>
      </w:hyperlink>
      <w:r>
        <w:t>). A mensagem do NT também é clara, apesar dos casos de possessão demoníaca e de pessoas agindo sob a influência de Satanás, o tempo de Satanás é finito e, sua derrota total e destruição final são certas.</w:t>
      </w:r>
    </w:p>
    <w:p>
      <w:pPr>
        <w:pStyle w:val="Heading4"/>
      </w:pPr>
      <w:r>
        <w:t>Pecados de antepassados</w:t>
      </w:r>
    </w:p>
    <w:p>
      <w:r/>
      <w:r>
        <w:t>A doença também poderia ocorrer por causa dos pecados dos antepassados (</w:t>
      </w:r>
      <w:hyperlink r:id="rId7441">
        <w:r>
          <w:rPr>
            <w:color w:val="0000EE"/>
            <w:u w:val="single"/>
          </w:rPr>
          <w:t>Êx 20.5</w:t>
        </w:r>
      </w:hyperlink>
      <w:r>
        <w:t xml:space="preserve">; </w:t>
      </w:r>
      <w:hyperlink r:id="rId7442">
        <w:r>
          <w:rPr>
            <w:color w:val="0000EE"/>
            <w:u w:val="single"/>
          </w:rPr>
          <w:t>Lv 26.29</w:t>
        </w:r>
      </w:hyperlink>
      <w:r>
        <w:t xml:space="preserve">; </w:t>
      </w:r>
      <w:hyperlink r:id="rId7443">
        <w:r>
          <w:rPr>
            <w:color w:val="0000EE"/>
            <w:u w:val="single"/>
          </w:rPr>
          <w:t>1Rs 17.18</w:t>
        </w:r>
      </w:hyperlink>
      <w:r>
        <w:t xml:space="preserve">; </w:t>
      </w:r>
      <w:hyperlink r:id="rId7444">
        <w:r>
          <w:rPr>
            <w:color w:val="0000EE"/>
            <w:u w:val="single"/>
          </w:rPr>
          <w:t>Jó 21.19</w:t>
        </w:r>
      </w:hyperlink>
      <w:r>
        <w:t xml:space="preserve">; </w:t>
      </w:r>
      <w:hyperlink r:id="rId7236">
        <w:r>
          <w:rPr>
            <w:color w:val="0000EE"/>
            <w:u w:val="single"/>
          </w:rPr>
          <w:t>Lm 5.7</w:t>
        </w:r>
      </w:hyperlink>
      <w:r>
        <w:t>). O exemplo mais marcante disso é a morte do filho de Davi como resultado de seu pecado com Bate-Seba (</w:t>
      </w:r>
      <w:hyperlink r:id="rId7445">
        <w:r>
          <w:rPr>
            <w:color w:val="0000EE"/>
            <w:u w:val="single"/>
          </w:rPr>
          <w:t>2Sm 12.15</w:t>
        </w:r>
      </w:hyperlink>
      <w:r>
        <w:t>). Este conceito da origem da doença continuou nos tempos do NT e era familiar aos discípulos de Jesus (</w:t>
      </w:r>
      <w:hyperlink r:id="rId7446">
        <w:r>
          <w:rPr>
            <w:color w:val="0000EE"/>
            <w:u w:val="single"/>
          </w:rPr>
          <w:t>Jo 9.2</w:t>
        </w:r>
      </w:hyperlink>
      <w:r>
        <w:t>).</w:t>
      </w:r>
    </w:p>
    <w:p>
      <w:pPr>
        <w:pStyle w:val="Heading4"/>
      </w:pPr>
      <w:r>
        <w:t>Violação das Leis Naturais</w:t>
      </w:r>
    </w:p>
    <w:p>
      <w:r/>
      <w:r>
        <w:t>Esta ideia diferencia os hebreus dos outros povos de seus dias. Com o entendimento de que a doença pode resultar da violação das leis físicas, mentais/emocionais e morais fixas, vem a ideia de responsabilidade pessoal em obedecer a essas leis e evitar ficar doente. Uma pessoa é responsável pela saúde dela e da comunidade, e não é meramente uma vítima passiva de forças sobrenaturais.</w:t>
      </w:r>
    </w:p>
    <w:p>
      <w:r/>
      <w:r>
        <w:t>Com base neste conceito, Moisés estabeleceu códigos elaborados de comportamento para manter a saúde pessoal e a saúde da comunidade. A lei mosaica cobre as áreas de dieta, higiene pessoal, observância do sábado, normas sanitárias no acampamento, limpeza e relações sexuais. Ao seguir essas leis naturais estabelecidas por Deus, os hebreus poderiam esperar liberdade das doenças (</w:t>
      </w:r>
      <w:hyperlink r:id="rId7447">
        <w:r>
          <w:rPr>
            <w:color w:val="0000EE"/>
            <w:u w:val="single"/>
          </w:rPr>
          <w:t>Êx 15:26</w:t>
        </w:r>
      </w:hyperlink>
      <w:r>
        <w:t>) e vida longa (</w:t>
      </w:r>
      <w:hyperlink r:id="rId7448">
        <w:r>
          <w:rPr>
            <w:color w:val="0000EE"/>
            <w:u w:val="single"/>
          </w:rPr>
          <w:t>Pv 3.1–2</w:t>
        </w:r>
      </w:hyperlink>
      <w:r>
        <w:t>). Essas leis de saúde de Moisés fazem muito sentido do ponto de vista de saúde pública até mesmo hoje e são muito mais racionais do que a abordagem de qualquer outro povo antigo.</w:t>
      </w:r>
    </w:p>
    <w:p>
      <w:r/>
      <w:r>
        <w:t>Outra consequência importante de entender que as doenças podem resultar da quebra das leis da natureza é a ordem do sacerdote para o isolamento e, para os médicos, a busca por tratamentos. Enquanto as doenças fossem de origem sobrenatural, não havia base para tentar aprender sobre procedimentos de doenças na busca por medicamentos. Os hebreus estavam familiarizados com os médicos no Egito (</w:t>
      </w:r>
      <w:hyperlink r:id="rId7449">
        <w:r>
          <w:rPr>
            <w:color w:val="0000EE"/>
            <w:u w:val="single"/>
          </w:rPr>
          <w:t>Gn 50.2</w:t>
        </w:r>
      </w:hyperlink>
      <w:r>
        <w:t>), onde eles parecem ter atuado como embalsamadores. Médicos estavam atuando em Israel ao longo de sua história, mas apenas gradualmente desenvolveram a capacidade de serem de grande ajuda (</w:t>
      </w:r>
      <w:hyperlink r:id="rId7450">
        <w:r>
          <w:rPr>
            <w:color w:val="0000EE"/>
            <w:u w:val="single"/>
          </w:rPr>
          <w:t>2Cr 16.12</w:t>
        </w:r>
      </w:hyperlink>
      <w:r>
        <w:t xml:space="preserve">; </w:t>
      </w:r>
      <w:hyperlink r:id="rId7451">
        <w:r>
          <w:rPr>
            <w:color w:val="0000EE"/>
            <w:u w:val="single"/>
          </w:rPr>
          <w:t>Jr 8.22</w:t>
        </w:r>
      </w:hyperlink>
      <w:r>
        <w:t xml:space="preserve">; </w:t>
      </w:r>
      <w:hyperlink r:id="rId7452">
        <w:r>
          <w:rPr>
            <w:color w:val="0000EE"/>
            <w:u w:val="single"/>
          </w:rPr>
          <w:t>Mc 5.26</w:t>
        </w:r>
      </w:hyperlink>
      <w:r>
        <w:t xml:space="preserve">; </w:t>
      </w:r>
      <w:hyperlink r:id="rId2828">
        <w:r>
          <w:rPr>
            <w:color w:val="0000EE"/>
            <w:u w:val="single"/>
          </w:rPr>
          <w:t>Cl 4.14</w:t>
        </w:r>
      </w:hyperlink>
      <w:r>
        <w:t>). Ao validar a função de médicos para pessoas doentes (</w:t>
      </w:r>
      <w:hyperlink r:id="rId7453">
        <w:r>
          <w:rPr>
            <w:color w:val="0000EE"/>
            <w:u w:val="single"/>
          </w:rPr>
          <w:t>Mt 9.12</w:t>
        </w:r>
      </w:hyperlink>
      <w:r>
        <w:t>) e de remédios para fins medicinais (</w:t>
      </w:r>
      <w:hyperlink r:id="rId7454">
        <w:r>
          <w:rPr>
            <w:color w:val="0000EE"/>
            <w:u w:val="single"/>
          </w:rPr>
          <w:t>Pv 31.6</w:t>
        </w:r>
      </w:hyperlink>
      <w:r>
        <w:t xml:space="preserve">; </w:t>
      </w:r>
      <w:hyperlink r:id="rId7455">
        <w:r>
          <w:rPr>
            <w:color w:val="0000EE"/>
            <w:u w:val="single"/>
          </w:rPr>
          <w:t>1Tm 5.23</w:t>
        </w:r>
      </w:hyperlink>
      <w:r>
        <w:t>), as Escrituras enfatizam o papel da comunidade cristã e seus anciãos em ministrar aos doentes (</w:t>
      </w:r>
      <w:hyperlink r:id="rId1414">
        <w:r>
          <w:rPr>
            <w:color w:val="0000EE"/>
            <w:u w:val="single"/>
          </w:rPr>
          <w:t>Tg 5.14</w:t>
        </w:r>
      </w:hyperlink>
      <w:r>
        <w:t>).</w:t>
      </w:r>
    </w:p>
    <w:p>
      <w:pPr>
        <w:pStyle w:val="Heading3"/>
      </w:pPr>
      <w:r>
        <w:t>Jesus Cristo e doenças</w:t>
      </w:r>
    </w:p>
    <w:p>
      <w:r/>
      <w:r>
        <w:t>A abordagem de Cristo às pessoas doentes era distintamente diferente do AT. Ele não fazia julgamentos, tratando-as como pessoas de valor, não como excluídos sociais. Ele estava cheio de compaixão genuína por elas, como pessoas sofredoras — tocando, confortando, curando e falando normal e naturalmente com elas.</w:t>
      </w:r>
    </w:p>
    <w:p>
      <w:r/>
      <w:r>
        <w:t>Jesus claramente considerou as doenças como um obstáculo que impedia as pessoas de serem as pessoas completas que foram criadas para ser. Quando confrontado por uma mulher com uma grave deformidade nas costas por 18 anos, ele a curou, dizendo que ela havia sido “amarrada por Satanás” (</w:t>
      </w:r>
      <w:hyperlink r:id="rId7456">
        <w:r>
          <w:rPr>
            <w:color w:val="0000EE"/>
            <w:u w:val="single"/>
          </w:rPr>
          <w:t>Lc 13.16</w:t>
        </w:r>
      </w:hyperlink>
      <w:r>
        <w:t>). A sua cura de doenças consideradas incuráveis era uma das provas que ele forneceu de que era o Messias (</w:t>
      </w:r>
      <w:hyperlink r:id="rId7457">
        <w:r>
          <w:rPr>
            <w:color w:val="0000EE"/>
            <w:u w:val="single"/>
          </w:rPr>
          <w:t>Lc 7.19–23</w:t>
        </w:r>
      </w:hyperlink>
      <w:r>
        <w:t>). Seu ministério foi dirigido para libertar homens e mulheres a fim de viver a vida mais abundantemente (</w:t>
      </w:r>
      <w:hyperlink r:id="rId7458">
        <w:r>
          <w:rPr>
            <w:color w:val="0000EE"/>
            <w:u w:val="single"/>
          </w:rPr>
          <w:t>Jo 10:10</w:t>
        </w:r>
      </w:hyperlink>
      <w:r>
        <w:t>). Ele não aderiu totalmente ao conceito punitivo de doença (</w:t>
      </w:r>
      <w:hyperlink r:id="rId7459">
        <w:r>
          <w:rPr>
            <w:color w:val="0000EE"/>
            <w:u w:val="single"/>
          </w:rPr>
          <w:t>9:3</w:t>
        </w:r>
      </w:hyperlink>
      <w:r>
        <w:t>). Quando um leproso mencionou a possibilidade de que poderia não ser a vontade de Deus que ele ficasse bem, Jesus o salvou instantaneamente (</w:t>
      </w:r>
      <w:hyperlink r:id="rId695">
        <w:r>
          <w:rPr>
            <w:color w:val="0000EE"/>
            <w:u w:val="single"/>
          </w:rPr>
          <w:t>Mc 1.40</w:t>
        </w:r>
      </w:hyperlink>
      <w:r>
        <w:t xml:space="preserve">; </w:t>
      </w:r>
      <w:hyperlink r:id="rId7460">
        <w:r>
          <w:rPr>
            <w:color w:val="0000EE"/>
            <w:u w:val="single"/>
          </w:rPr>
          <w:t>Lc 5.12–13</w:t>
        </w:r>
      </w:hyperlink>
      <w:r>
        <w:t>).</w:t>
      </w:r>
    </w:p>
    <w:p>
      <w:r/>
      <w:r>
        <w:t>Jesus sempre estava interessado com a saúde total ou integridade da pessoa, em vez de meros sintomas da doença. Ele frequentemente lidava com questões espirituais primeiro, mesmo que a pessoa doente fosse trazida a ele por conta de um problema físico. Sua conversa com a mulher samaritana no poço focou-se nos conflitos básicos da personalidade perturbada dela (</w:t>
      </w:r>
      <w:hyperlink r:id="rId7461">
        <w:r>
          <w:rPr>
            <w:color w:val="0000EE"/>
            <w:u w:val="single"/>
          </w:rPr>
          <w:t>Jo 4.5–30</w:t>
        </w:r>
      </w:hyperlink>
      <w:r>
        <w:t>). E o Sermão do Monte, que basicamente lida com atitudes e motivos corretos para o comportamento humano, reduziria muito o sofrimento pessoal e social se fosse seguido. Para Jesus, a saúde é mais do que a mera ausência de doença física e mental; são pessoas completas sendo tudo o que elas foram projetadas para ser.</w:t>
      </w:r>
    </w:p>
    <w:p>
      <w:r/>
      <w:r>
        <w:rPr>
          <w:i/>
        </w:rPr>
        <w:t>Veja também</w:t>
      </w:r>
      <w:r>
        <w:t xml:space="preserve"> </w:t>
      </w:r>
      <w:r>
        <w:t>Medicina e Prática Médica</w:t>
      </w:r>
      <w:r>
        <w:t xml:space="preserve">; </w:t>
      </w:r>
      <w:r>
        <w:t>Pestilência</w:t>
      </w:r>
      <w:r>
        <w:t xml:space="preserve">; </w:t>
      </w:r>
      <w:r>
        <w:t>Peste</w:t>
      </w:r>
      <w:r>
        <w:t>.</w:t>
      </w:r>
      <w:r/>
      <w:r/>
    </w:p>
    <w:p>
      <w:r/>
    </w:p>
    <w:p>
      <w:pPr>
        <w:pStyle w:val="Heading2"/>
      </w:pPr>
      <w:r>
        <w:t>Doença da pele</w:t>
      </w:r>
      <w:r/>
    </w:p>
    <w:p>
      <w:r/>
      <w:r>
        <w:t>Termo usado duas vezes na Bíblia (</w:t>
      </w:r>
      <w:hyperlink r:id="rId7462">
        <w:r>
          <w:rPr>
            <w:color w:val="0000EE"/>
            <w:u w:val="single"/>
          </w:rPr>
          <w:t>Lv 21.20</w:t>
        </w:r>
      </w:hyperlink>
      <w:r>
        <w:t xml:space="preserve"> e </w:t>
      </w:r>
      <w:hyperlink r:id="rId7463">
        <w:r>
          <w:rPr>
            <w:color w:val="0000EE"/>
            <w:u w:val="single"/>
          </w:rPr>
          <w:t>22.22</w:t>
        </w:r>
      </w:hyperlink>
      <w:r>
        <w:t>) com sinônimo "coceiras" (</w:t>
      </w:r>
      <w:hyperlink r:id="rId7464">
        <w:r>
          <w:rPr>
            <w:color w:val="0000EE"/>
            <w:u w:val="single"/>
          </w:rPr>
          <w:t>Dt 28.27</w:t>
        </w:r>
      </w:hyperlink>
      <w:r>
        <w:t xml:space="preserve">). Em nenhuma das instâncias se refere a alguma doença moderna. Nas passagens de Levítico, "doença da pele" é encontrado na sequência "úlceras, sarna". Esta frase é traduzida como "outras doenças da pele" na NTLH. </w:t>
      </w:r>
      <w:r>
        <w:rPr>
          <w:i/>
        </w:rPr>
        <w:t>Veja também</w:t>
      </w:r>
      <w:r>
        <w:t xml:space="preserve"> </w:t>
      </w:r>
      <w:r>
        <w:t>Doença</w:t>
      </w:r>
      <w:r>
        <w:t xml:space="preserve">; </w:t>
      </w:r>
      <w:r>
        <w:t>Medicina e prática médica</w:t>
      </w:r>
      <w:r>
        <w:t>.</w:t>
      </w:r>
      <w:r/>
      <w:r/>
    </w:p>
    <w:p>
      <w:r/>
    </w:p>
    <w:p>
      <w:pPr>
        <w:pStyle w:val="Heading2"/>
      </w:pPr>
      <w:r>
        <w:t>Doença dos intestinos</w:t>
      </w:r>
      <w:r/>
    </w:p>
    <w:p>
      <w:r/>
      <w:r>
        <w:t>O rei Jeorão era um rei mau. Deus o puniu com uma doença prolongada e dolorosa nos intestinos. A doença não pôde ser curada. Após dois anos, seus intestinos saíram de seu corpo, e ele morreu com grande dor (</w:t>
      </w:r>
      <w:hyperlink r:id="rId7465">
        <w:r>
          <w:rPr>
            <w:color w:val="0000EE"/>
            <w:u w:val="single"/>
          </w:rPr>
          <w:t>2Cr 21.19</w:t>
        </w:r>
      </w:hyperlink>
      <w:r>
        <w:t>).</w:t>
      </w:r>
    </w:p>
    <w:p>
      <w:r/>
      <w:r>
        <w:t>Isso pode ter sido uma doença como câncer de cólon ou uma doença inflamatória intestinal (uma condição que causa inchaço e dor dentro dos intestinos).</w:t>
      </w:r>
    </w:p>
    <w:p>
      <w:r/>
      <w:r>
        <w:t xml:space="preserve">A única doença mortal dos intestinos no Novo Testamento também aconteceu a um rei. Em </w:t>
      </w:r>
      <w:hyperlink r:id="rId3823">
        <w:r>
          <w:rPr>
            <w:color w:val="0000EE"/>
            <w:u w:val="single"/>
          </w:rPr>
          <w:t>Atos 12.21–23</w:t>
        </w:r>
      </w:hyperlink>
      <w:r>
        <w:t>, o rei Herodes adoeceu e morreu. O historiador Josefo relata que Herodes tinha 54 anos e sentiu uma dor intensa no estômago por cinco dias antes de falecer.</w:t>
      </w:r>
    </w:p>
    <w:p>
      <w:r/>
      <w:r>
        <w:t>Ele pode ter tido uma obstrução nos intestinos, possivelmente causada por lombrigas (um tipo de parasita). Durante a doença, lombrigas podem ter saído do corpo dele, ou as pessoas podem ter visto vermes (larvas de mosca) na pele dele enquanto morria. Isso pode explicar por que Lucas escreveu que Herodes foi “comido por vermes e morreu”.</w:t>
      </w:r>
    </w:p>
    <w:p>
      <w:r/>
      <w:r>
        <w:rPr>
          <w:i/>
        </w:rPr>
        <w:t>Veja também</w:t>
      </w:r>
      <w:r>
        <w:t xml:space="preserve"> </w:t>
      </w:r>
      <w:r>
        <w:t>Doença</w:t>
      </w:r>
      <w:r>
        <w:t xml:space="preserve">; </w:t>
      </w:r>
      <w:r>
        <w:t>Medicina e prática médica</w:t>
      </w:r>
      <w:r>
        <w:t>.</w:t>
      </w:r>
      <w:r/>
      <w:r/>
    </w:p>
    <w:p>
      <w:r/>
    </w:p>
    <w:p>
      <w:pPr>
        <w:pStyle w:val="Heading2"/>
      </w:pPr>
      <w:r>
        <w:t>Dofca</w:t>
      </w:r>
      <w:r/>
    </w:p>
    <w:p>
      <w:r/>
      <w:r>
        <w:t>Um nome de uma área perto do Deserto de Sin. Dofca é onde os israelitas acamparam a caminho do Monte Sinai (</w:t>
      </w:r>
      <w:hyperlink r:id="rId7466">
        <w:r>
          <w:rPr>
            <w:color w:val="0000EE"/>
            <w:u w:val="single"/>
          </w:rPr>
          <w:t>Nm 33.12–13</w:t>
        </w:r>
      </w:hyperlink>
      <w:r>
        <w:t>). Dofca pode ser o mesmo lugar que Serabit el-Khadem. Serabit el-Khadem era um centro de mineração de turquesa egípcio.</w:t>
      </w:r>
    </w:p>
    <w:p>
      <w:r/>
      <w:r>
        <w:rPr>
          <w:i/>
        </w:rPr>
        <w:t>Veja</w:t>
      </w:r>
      <w:r>
        <w:t xml:space="preserve"> </w:t>
      </w:r>
      <w:r>
        <w:t>Peregrinações no deserto</w:t>
      </w:r>
      <w:r>
        <w:t>.</w:t>
      </w:r>
      <w:r/>
      <w:r/>
    </w:p>
    <w:p>
      <w:r/>
    </w:p>
    <w:p>
      <w:pPr>
        <w:pStyle w:val="Heading2"/>
      </w:pPr>
      <w:r>
        <w:t>Dorcas</w:t>
      </w:r>
      <w:r/>
    </w:p>
    <w:p>
      <w:r/>
      <w:r>
        <w:t>Dorcas era uma mulher cristã que vivia em Jope, na Judeia. As pessoas a conheciam por seus atos de caridade (</w:t>
      </w:r>
      <w:hyperlink r:id="rId7467">
        <w:r>
          <w:rPr>
            <w:color w:val="0000EE"/>
            <w:u w:val="single"/>
          </w:rPr>
          <w:t>At 9.36–41</w:t>
        </w:r>
      </w:hyperlink>
      <w:r>
        <w:t xml:space="preserve">). </w:t>
      </w:r>
      <w:hyperlink r:id="rId7341">
        <w:r>
          <w:rPr>
            <w:color w:val="0000EE"/>
            <w:u w:val="single"/>
          </w:rPr>
          <w:t xml:space="preserve">Atos 9.36 </w:t>
        </w:r>
      </w:hyperlink>
      <w:r>
        <w:t>refere-se a</w:t>
      </w:r>
      <w:hyperlink r:id="rId7341">
        <w:r>
          <w:rPr>
            <w:color w:val="0000EE"/>
            <w:u w:val="single"/>
          </w:rPr>
          <w:t xml:space="preserve"> </w:t>
        </w:r>
      </w:hyperlink>
      <w:r>
        <w:t>Dorcas como discípula</w:t>
      </w:r>
      <w:hyperlink r:id="rId7341">
        <w:r>
          <w:rPr>
            <w:color w:val="0000EE"/>
            <w:u w:val="single"/>
          </w:rPr>
          <w:t>.</w:t>
        </w:r>
      </w:hyperlink>
      <w:r>
        <w:t xml:space="preserve"> Esta é a única vez no Novo Testamento em que o escritor usa a forma feminina da palavra "discípulo" no texto original grego. Não sabemos se ela era judia ou grega, já que tanto judeus quanto gregos usavam comumente seu nome grego "Dorcas". Seu nome em aramaico era "Tabita", que significava "gazela".</w:t>
      </w:r>
    </w:p>
    <w:p>
      <w:r/>
      <w:r>
        <w:t>Quando Dorcas morreu, o apóstolo Pedro estava hospedado em uma cidade próxima chamada Lida. As pessoas tinham ouvido falar sobre como Pedro havia curado outros lá, então enviaram dois homens para levar Pedro a Jope. Quando Pedro chegou, outros já tinham preparado o corpo de Dorcas para o enterro e o colocado em um quarto superior. Pedro pediu a todos os enlutados que saíssem da sala. Então ele se ajoelhou para orar e trouxe Dorcas de volta à vida. Este milagre de ressuscitar alguém se tornou o primeiro realizado por um apóstolo.</w:t>
      </w:r>
      <w:r/>
      <w:r/>
    </w:p>
    <w:p>
      <w:r/>
    </w:p>
    <w:p>
      <w:pPr>
        <w:pStyle w:val="Heading2"/>
      </w:pPr>
      <w:r>
        <w:t>Dormir</w:t>
      </w:r>
      <w:r/>
    </w:p>
    <w:p>
      <w:r/>
      <w:r>
        <w:t>O estado natural de descanso para o corpo e a mente. Na Bíblia, o sono pode significar três coisas:</w:t>
      </w:r>
    </w:p>
    <w:p>
      <w:pPr>
        <w:pStyle w:val="ListNumber"/>
        <w:spacing w:line="240" w:lineRule="auto"/>
        <w:ind w:left="720"/>
      </w:pPr>
      <w:r/>
      <w:r>
        <w:t>descanso físico;</w:t>
      </w:r>
    </w:p>
    <w:p>
      <w:pPr>
        <w:pStyle w:val="ListNumber"/>
        <w:spacing w:line="240" w:lineRule="auto"/>
        <w:ind w:left="720"/>
      </w:pPr>
      <w:r/>
      <w:r>
        <w:t>inatividade moral ou espiritual;</w:t>
      </w:r>
    </w:p>
    <w:p>
      <w:pPr>
        <w:pStyle w:val="ListNumber"/>
        <w:spacing w:line="240" w:lineRule="auto"/>
        <w:ind w:left="720"/>
      </w:pPr>
      <w:r/>
      <w:r>
        <w:t>morte.</w:t>
      </w:r>
    </w:p>
    <w:p>
      <w:pPr>
        <w:pStyle w:val="Heading3"/>
      </w:pPr>
      <w:r>
        <w:t>O sono como descanso físico</w:t>
      </w:r>
    </w:p>
    <w:p>
      <w:r/>
      <w:r>
        <w:t>O sono que o corpo humano necessita é visto como um precioso presente de Deus (</w:t>
      </w:r>
      <w:hyperlink r:id="rId7468">
        <w:r>
          <w:rPr>
            <w:color w:val="0000EE"/>
            <w:u w:val="single"/>
          </w:rPr>
          <w:t>Salmos 4.8</w:t>
        </w:r>
      </w:hyperlink>
      <w:r>
        <w:t xml:space="preserve">; </w:t>
      </w:r>
      <w:hyperlink r:id="rId7469">
        <w:r>
          <w:rPr>
            <w:color w:val="0000EE"/>
            <w:u w:val="single"/>
          </w:rPr>
          <w:t>127.2</w:t>
        </w:r>
      </w:hyperlink>
      <w:r>
        <w:t>). O sono pode ser retido, conforme Deus escolhe e para servir aos seus propósitos (</w:t>
      </w:r>
      <w:hyperlink r:id="rId7470">
        <w:r>
          <w:rPr>
            <w:color w:val="0000EE"/>
            <w:u w:val="single"/>
          </w:rPr>
          <w:t>Ester 6.1</w:t>
        </w:r>
      </w:hyperlink>
      <w:r>
        <w:t xml:space="preserve">; </w:t>
      </w:r>
      <w:hyperlink r:id="rId7471">
        <w:r>
          <w:rPr>
            <w:color w:val="0000EE"/>
            <w:u w:val="single"/>
          </w:rPr>
          <w:t>Daniel 6.18</w:t>
        </w:r>
      </w:hyperlink>
      <w:r>
        <w:t>). Deus também pode dar às pessoas um sono profundo (</w:t>
      </w:r>
      <w:hyperlink r:id="rId7472">
        <w:r>
          <w:rPr>
            <w:color w:val="0000EE"/>
            <w:u w:val="single"/>
          </w:rPr>
          <w:t>Gênesis 2.21</w:t>
        </w:r>
      </w:hyperlink>
      <w:r>
        <w:t xml:space="preserve">; </w:t>
      </w:r>
      <w:hyperlink r:id="rId7473">
        <w:r>
          <w:rPr>
            <w:color w:val="0000EE"/>
            <w:u w:val="single"/>
          </w:rPr>
          <w:t>15.12</w:t>
        </w:r>
      </w:hyperlink>
      <w:r>
        <w:t xml:space="preserve">; </w:t>
      </w:r>
      <w:hyperlink r:id="rId7474">
        <w:r>
          <w:rPr>
            <w:color w:val="0000EE"/>
            <w:u w:val="single"/>
          </w:rPr>
          <w:t>1 Samuel 26.12</w:t>
        </w:r>
      </w:hyperlink>
      <w:r>
        <w:t xml:space="preserve">). Quando uma pessoa está dormindo, Deus pode revelar sua vontade em sonhos ou visões (por exemplo, </w:t>
      </w:r>
      <w:hyperlink r:id="rId7475">
        <w:r>
          <w:rPr>
            <w:color w:val="0000EE"/>
            <w:u w:val="single"/>
          </w:rPr>
          <w:t>Gênesis 28.11–16</w:t>
        </w:r>
      </w:hyperlink>
      <w:r>
        <w:t xml:space="preserve">; </w:t>
      </w:r>
      <w:hyperlink r:id="rId7476">
        <w:r>
          <w:rPr>
            <w:color w:val="0000EE"/>
            <w:u w:val="single"/>
          </w:rPr>
          <w:t>Jó 4.13</w:t>
        </w:r>
      </w:hyperlink>
      <w:hyperlink r:id="rId7475">
        <w:r>
          <w:rPr>
            <w:color w:val="0000EE"/>
            <w:u w:val="single"/>
          </w:rPr>
          <w:t>–</w:t>
        </w:r>
      </w:hyperlink>
      <w:hyperlink r:id="rId7476">
        <w:r>
          <w:rPr>
            <w:color w:val="0000EE"/>
            <w:u w:val="single"/>
          </w:rPr>
          <w:t>17</w:t>
        </w:r>
      </w:hyperlink>
      <w:r>
        <w:t xml:space="preserve">; </w:t>
      </w:r>
      <w:hyperlink r:id="rId7477">
        <w:r>
          <w:rPr>
            <w:color w:val="0000EE"/>
            <w:u w:val="single"/>
          </w:rPr>
          <w:t>Mateus 1.20</w:t>
        </w:r>
      </w:hyperlink>
      <w:hyperlink r:id="rId7475">
        <w:r>
          <w:rPr>
            <w:color w:val="0000EE"/>
            <w:u w:val="single"/>
          </w:rPr>
          <w:t>–</w:t>
        </w:r>
      </w:hyperlink>
      <w:hyperlink r:id="rId7477">
        <w:r>
          <w:rPr>
            <w:color w:val="0000EE"/>
            <w:u w:val="single"/>
          </w:rPr>
          <w:t>24</w:t>
        </w:r>
      </w:hyperlink>
      <w:r>
        <w:t>).</w:t>
      </w:r>
    </w:p>
    <w:p>
      <w:r/>
      <w:r>
        <w:t>O livro de Provérbios adverte contra a falta de disciplina de vida mostrada em muito amor ao sono. Por exemplo, um provérbio diz: "Não ames o sono, para que não empobreças; abre os olhos e te fartarás de pão" (</w:t>
      </w:r>
      <w:hyperlink r:id="rId7478">
        <w:r>
          <w:rPr>
            <w:color w:val="0000EE"/>
            <w:u w:val="single"/>
          </w:rPr>
          <w:t>Provérbios 20.13</w:t>
        </w:r>
      </w:hyperlink>
      <w:r>
        <w:t xml:space="preserve">; veja também </w:t>
      </w:r>
      <w:hyperlink r:id="rId7479">
        <w:r>
          <w:rPr>
            <w:color w:val="0000EE"/>
            <w:u w:val="single"/>
          </w:rPr>
          <w:t>6.9</w:t>
        </w:r>
      </w:hyperlink>
      <w:hyperlink r:id="rId7475">
        <w:r>
          <w:rPr>
            <w:color w:val="0000EE"/>
            <w:u w:val="single"/>
          </w:rPr>
          <w:t>–</w:t>
        </w:r>
      </w:hyperlink>
      <w:hyperlink r:id="rId7479">
        <w:r>
          <w:rPr>
            <w:color w:val="0000EE"/>
            <w:u w:val="single"/>
          </w:rPr>
          <w:t>11</w:t>
        </w:r>
      </w:hyperlink>
      <w:r>
        <w:t xml:space="preserve">; </w:t>
      </w:r>
      <w:hyperlink r:id="rId7480">
        <w:r>
          <w:rPr>
            <w:color w:val="0000EE"/>
            <w:u w:val="single"/>
          </w:rPr>
          <w:t>10.5</w:t>
        </w:r>
      </w:hyperlink>
      <w:r>
        <w:t xml:space="preserve">; </w:t>
      </w:r>
      <w:hyperlink r:id="rId7481">
        <w:r>
          <w:rPr>
            <w:color w:val="0000EE"/>
            <w:u w:val="single"/>
          </w:rPr>
          <w:t>24.32</w:t>
        </w:r>
      </w:hyperlink>
      <w:hyperlink r:id="rId7475">
        <w:r>
          <w:rPr>
            <w:color w:val="0000EE"/>
            <w:u w:val="single"/>
          </w:rPr>
          <w:t>–</w:t>
        </w:r>
      </w:hyperlink>
      <w:hyperlink r:id="rId7481">
        <w:r>
          <w:rPr>
            <w:color w:val="0000EE"/>
            <w:u w:val="single"/>
          </w:rPr>
          <w:t>34</w:t>
        </w:r>
      </w:hyperlink>
      <w:r>
        <w:t>).</w:t>
      </w:r>
    </w:p>
    <w:p>
      <w:pPr>
        <w:pStyle w:val="Heading3"/>
      </w:pPr>
      <w:r>
        <w:t>O sono como inatividade moral ou espiritual</w:t>
      </w:r>
    </w:p>
    <w:p>
      <w:r/>
      <w:r>
        <w:t xml:space="preserve">De forma simbólica, o sono é usado para significar preguiça, descuido ou inatividade. </w:t>
      </w:r>
      <w:hyperlink r:id="rId1601">
        <w:r>
          <w:rPr>
            <w:color w:val="0000EE"/>
            <w:u w:val="single"/>
          </w:rPr>
          <w:t>Isaías 56.10</w:t>
        </w:r>
      </w:hyperlink>
      <w:r>
        <w:t xml:space="preserve"> fala daqueles que falharam em sua responsabilidade como líderes do povo de Deus: "São sonhadores deitados, amando dormir". No Novo Testamento, aqueles que são servos do Senhor são chamados a estar alertas, para que, quando seu Mestre vier, não os encontre dormindo (</w:t>
      </w:r>
      <w:hyperlink r:id="rId7482">
        <w:r>
          <w:rPr>
            <w:color w:val="0000EE"/>
            <w:u w:val="single"/>
          </w:rPr>
          <w:t>Marcos 13.35</w:t>
        </w:r>
      </w:hyperlink>
      <w:hyperlink r:id="rId7475">
        <w:r>
          <w:rPr>
            <w:color w:val="0000EE"/>
            <w:u w:val="single"/>
          </w:rPr>
          <w:t>–</w:t>
        </w:r>
      </w:hyperlink>
      <w:hyperlink r:id="rId7482">
        <w:r>
          <w:rPr>
            <w:color w:val="0000EE"/>
            <w:u w:val="single"/>
          </w:rPr>
          <w:t>37</w:t>
        </w:r>
      </w:hyperlink>
      <w:r>
        <w:t xml:space="preserve">; veja também </w:t>
      </w:r>
      <w:hyperlink r:id="rId7483">
        <w:r>
          <w:rPr>
            <w:color w:val="0000EE"/>
            <w:u w:val="single"/>
          </w:rPr>
          <w:t>Mateus 25.1</w:t>
        </w:r>
      </w:hyperlink>
      <w:hyperlink r:id="rId7475">
        <w:r>
          <w:rPr>
            <w:color w:val="0000EE"/>
            <w:u w:val="single"/>
          </w:rPr>
          <w:t>–</w:t>
        </w:r>
      </w:hyperlink>
      <w:hyperlink r:id="rId7483">
        <w:r>
          <w:rPr>
            <w:color w:val="0000EE"/>
            <w:u w:val="single"/>
          </w:rPr>
          <w:t>13</w:t>
        </w:r>
      </w:hyperlink>
      <w:r>
        <w:t xml:space="preserve">; </w:t>
      </w:r>
      <w:hyperlink r:id="rId7484">
        <w:r>
          <w:rPr>
            <w:color w:val="0000EE"/>
            <w:u w:val="single"/>
          </w:rPr>
          <w:t>26.40</w:t>
        </w:r>
      </w:hyperlink>
      <w:hyperlink r:id="rId7475">
        <w:r>
          <w:rPr>
            <w:color w:val="0000EE"/>
            <w:u w:val="single"/>
          </w:rPr>
          <w:t>–</w:t>
        </w:r>
      </w:hyperlink>
      <w:hyperlink r:id="rId7484">
        <w:r>
          <w:rPr>
            <w:color w:val="0000EE"/>
            <w:u w:val="single"/>
          </w:rPr>
          <w:t>46</w:t>
        </w:r>
      </w:hyperlink>
      <w:r>
        <w:t>). O desafio de estar espiritualmente alerta ocorre nas cartas do Novo Testamento:</w:t>
      </w:r>
    </w:p>
    <w:p>
      <w:pPr>
        <w:pStyle w:val="ListBullet"/>
        <w:spacing w:line="240" w:lineRule="auto"/>
        <w:ind w:left="720"/>
      </w:pPr>
      <w:r/>
      <w:r>
        <w:t>"Desperta, ó tu que dormes, levanta-te dentre os mortos, e Cristo te iluminará". (</w:t>
      </w:r>
      <w:hyperlink r:id="rId7485">
        <w:r>
          <w:rPr>
            <w:color w:val="0000EE"/>
            <w:u w:val="single"/>
          </w:rPr>
          <w:t>Efésios 5.14</w:t>
        </w:r>
      </w:hyperlink>
      <w:r>
        <w:t>);</w:t>
      </w:r>
    </w:p>
    <w:p>
      <w:pPr>
        <w:pStyle w:val="ListBullet"/>
        <w:spacing w:line="240" w:lineRule="auto"/>
        <w:ind w:left="720"/>
      </w:pPr>
      <w:r/>
      <w:r>
        <w:t>"Portanto, não durmamos como os outros, mas permaneçamos acordados e sóbrios". (</w:t>
      </w:r>
      <w:hyperlink r:id="rId7486">
        <w:r>
          <w:rPr>
            <w:color w:val="0000EE"/>
            <w:u w:val="single"/>
          </w:rPr>
          <w:t>1 Tessalonicenses 5.6)</w:t>
        </w:r>
      </w:hyperlink>
      <w:r>
        <w:t>.</w:t>
      </w:r>
    </w:p>
    <w:p>
      <w:pPr>
        <w:pStyle w:val="Heading3"/>
      </w:pPr>
      <w:r>
        <w:t>O sono como morte</w:t>
      </w:r>
    </w:p>
    <w:p>
      <w:r/>
      <w:r>
        <w:t xml:space="preserve">A Bíblia frequentemente fala da morte como sono. Comumente no Antigo Testamento, quando uma pessoa morre, é dito que ela vai dormir com seus pais (por exemplo, </w:t>
      </w:r>
      <w:hyperlink r:id="rId7487">
        <w:r>
          <w:rPr>
            <w:color w:val="0000EE"/>
            <w:u w:val="single"/>
          </w:rPr>
          <w:t>Deuteronômio 31.16</w:t>
        </w:r>
      </w:hyperlink>
      <w:r>
        <w:t xml:space="preserve">; </w:t>
      </w:r>
      <w:hyperlink r:id="rId7488">
        <w:r>
          <w:rPr>
            <w:color w:val="0000EE"/>
            <w:u w:val="single"/>
          </w:rPr>
          <w:t>2 Samuel 7.12</w:t>
        </w:r>
      </w:hyperlink>
      <w:r>
        <w:t>).</w:t>
      </w:r>
    </w:p>
    <w:p>
      <w:r/>
      <w:r>
        <w:t>Jesus falou da morte como sono (</w:t>
      </w:r>
      <w:hyperlink r:id="rId7489">
        <w:r>
          <w:rPr>
            <w:color w:val="0000EE"/>
            <w:u w:val="single"/>
          </w:rPr>
          <w:t>Mateus 9.24</w:t>
        </w:r>
      </w:hyperlink>
      <w:r>
        <w:t xml:space="preserve">; </w:t>
      </w:r>
      <w:hyperlink r:id="rId7490">
        <w:r>
          <w:rPr>
            <w:color w:val="0000EE"/>
            <w:u w:val="single"/>
          </w:rPr>
          <w:t>João 11.11</w:t>
        </w:r>
      </w:hyperlink>
      <w:r>
        <w:t>). O mesmo fez o apóstolo Paulo (</w:t>
      </w:r>
      <w:hyperlink r:id="rId7491">
        <w:r>
          <w:rPr>
            <w:color w:val="0000EE"/>
            <w:u w:val="single"/>
          </w:rPr>
          <w:t>1 Coríntios 11.30</w:t>
        </w:r>
      </w:hyperlink>
      <w:r>
        <w:t xml:space="preserve">; </w:t>
      </w:r>
      <w:hyperlink r:id="rId7492">
        <w:r>
          <w:rPr>
            <w:color w:val="0000EE"/>
            <w:u w:val="single"/>
          </w:rPr>
          <w:t>15.20,51</w:t>
        </w:r>
      </w:hyperlink>
      <w:r>
        <w:t xml:space="preserve">; </w:t>
      </w:r>
      <w:hyperlink r:id="rId7493">
        <w:r>
          <w:rPr>
            <w:color w:val="0000EE"/>
            <w:u w:val="single"/>
          </w:rPr>
          <w:t>1 Tessalonicenses 4.13–14</w:t>
        </w:r>
      </w:hyperlink>
      <w:r>
        <w:t xml:space="preserve">). Algumas dessas declarações mostram que há uma natureza temporária na morte. É por isso que é chamada de sono. Até mesmo </w:t>
      </w:r>
      <w:hyperlink r:id="rId913">
        <w:r>
          <w:rPr>
            <w:color w:val="0000EE"/>
            <w:u w:val="single"/>
          </w:rPr>
          <w:t>Daniel 12.2</w:t>
        </w:r>
      </w:hyperlink>
      <w:r>
        <w:t xml:space="preserve"> diz que a morte é um sono, até que os mortos "acordem, alguns para a vida eterna, mas outros para vergonha e desprezo eterno".</w:t>
      </w:r>
    </w:p>
    <w:p>
      <w:r/>
      <w:r>
        <w:t xml:space="preserve">Outras passagens no Novo Testamento são mais específicas. O ensino completo da Bíblia sobre o significado da morte deve incluir o contexto </w:t>
      </w:r>
      <w:hyperlink r:id="rId7494">
        <w:r>
          <w:rPr>
            <w:color w:val="0000EE"/>
            <w:u w:val="single"/>
          </w:rPr>
          <w:t>Lucas 23.43</w:t>
        </w:r>
      </w:hyperlink>
      <w:r>
        <w:t xml:space="preserve">, </w:t>
      </w:r>
      <w:hyperlink r:id="rId7495">
        <w:r>
          <w:rPr>
            <w:color w:val="0000EE"/>
            <w:u w:val="single"/>
          </w:rPr>
          <w:t>2 Coríntios 5.8</w:t>
        </w:r>
      </w:hyperlink>
      <w:r>
        <w:t xml:space="preserve">, e </w:t>
      </w:r>
      <w:hyperlink r:id="rId5076">
        <w:r>
          <w:rPr>
            <w:color w:val="0000EE"/>
            <w:u w:val="single"/>
          </w:rPr>
          <w:t>Filipenses 1.23</w:t>
        </w:r>
      </w:hyperlink>
      <w:r>
        <w:t xml:space="preserve">, e </w:t>
      </w:r>
      <w:hyperlink r:id="rId7496">
        <w:r>
          <w:rPr>
            <w:color w:val="0000EE"/>
            <w:u w:val="single"/>
          </w:rPr>
          <w:t>1 Tessalonicenses 5.13–14</w:t>
        </w:r>
      </w:hyperlink>
      <w:r>
        <w:t>. Na primeira destas, Jesus diz ao ladrão moribundo na cruz: "Hoje você estará comigo no paraíso". No segundo, Paulo fala da morte para ele como indo estar "em casa com o Senhor".</w:t>
      </w:r>
      <w:r/>
      <w:r/>
    </w:p>
    <w:p>
      <w:r/>
    </w:p>
    <w:p>
      <w:pPr>
        <w:pStyle w:val="Heading2"/>
      </w:pPr>
      <w:r>
        <w:t>Dotã</w:t>
      </w:r>
      <w:r/>
    </w:p>
    <w:p>
      <w:r/>
      <w:r>
        <w:t>Cidade antiga localizada a cerca de 60 milhas (97 quilômetros) ao norte de Jerusalém, 13 milhas (21 quilômetros) ao norte da cidade de Samaria, e cerca de 5 milhas (8 quilômetros) a sudeste de Megido. As duas cidades de En-Ganim (atual Jenin) e Ibleão protegiam uma passagem estreita na estrada que levava a Dotã e seguia para a planície costeira.</w:t>
      </w:r>
    </w:p>
    <w:p>
      <w:r/>
      <w:r>
        <w:t>O monte de Tell Dotha, local de Dotã, eleva-se 200 pés (61 metros) acima da planície circundante, atingindo uma altura de 1.200 pés (365,6 metros) acima do nível do mar. O topo do monte abrange cerca de 10 acres (4 hectares). De lá, é possível contemplar terras férteis com boas colheitas. Rebanhos pastam aqui como faziam nos tempos bíblicos, atraídos para a área em parte pela água adequada fornecida por suas nascentes.</w:t>
      </w:r>
    </w:p>
    <w:p>
      <w:r/>
      <w:r>
        <w:t>Dotã foi o lugar onde os irmãos de José o venderam para uma caravana de ismaelitas (</w:t>
      </w:r>
      <w:hyperlink r:id="rId7497">
        <w:r>
          <w:rPr>
            <w:color w:val="0000EE"/>
            <w:u w:val="single"/>
          </w:rPr>
          <w:t>Gn 37</w:t>
        </w:r>
      </w:hyperlink>
      <w:r>
        <w:t>). Um milênio depois, a cidade foi cercada por forças sírias em uma tentativa de capturar Eliseu, que morava lá e que se pensava estar traindo os planos sírios para o rei israelita (</w:t>
      </w:r>
      <w:hyperlink r:id="rId7498">
        <w:r>
          <w:rPr>
            <w:color w:val="0000EE"/>
            <w:u w:val="single"/>
          </w:rPr>
          <w:t>2Rs 6.8–14</w:t>
        </w:r>
      </w:hyperlink>
      <w:r>
        <w:t>). Dotã também foi mencionada nas listas de lugares conquistados pelo Faraó Tutmés III e, no período intertestamentário, em conexão com as campanhas militares de Holofernes.</w:t>
      </w:r>
      <w:r/>
      <w:r/>
    </w:p>
    <w:p>
      <w:r/>
    </w:p>
    <w:p>
      <w:pPr>
        <w:pStyle w:val="Heading2"/>
      </w:pPr>
      <w:r>
        <w:t>Doutor da Lei</w:t>
      </w:r>
      <w:r/>
    </w:p>
    <w:p>
      <w:r/>
      <w:r>
        <w:t xml:space="preserve">A tradução na ARC para "mestre da Lei" em </w:t>
      </w:r>
      <w:hyperlink r:id="rId7499">
        <w:r>
          <w:rPr>
            <w:color w:val="0000EE"/>
            <w:u w:val="single"/>
          </w:rPr>
          <w:t>Lucas 5.17</w:t>
        </w:r>
      </w:hyperlink>
      <w:r>
        <w:t xml:space="preserve"> e </w:t>
      </w:r>
      <w:hyperlink r:id="rId7500">
        <w:r>
          <w:rPr>
            <w:color w:val="0000EE"/>
            <w:u w:val="single"/>
          </w:rPr>
          <w:t>Atos 5.34</w:t>
        </w:r>
      </w:hyperlink>
      <w:r>
        <w:t>.</w:t>
      </w:r>
    </w:p>
    <w:p>
      <w:r/>
      <w:r>
        <w:rPr>
          <w:i/>
        </w:rPr>
        <w:t>Veja</w:t>
      </w:r>
      <w:r>
        <w:t xml:space="preserve"> </w:t>
      </w:r>
      <w:r>
        <w:t>Fariseus</w:t>
      </w:r>
      <w:r>
        <w:t xml:space="preserve">; </w:t>
      </w:r>
      <w:r>
        <w:t>Mestre</w:t>
      </w:r>
      <w:r>
        <w:t>.</w:t>
      </w:r>
      <w:r/>
      <w:r/>
    </w:p>
    <w:p>
      <w:r/>
    </w:p>
    <w:p>
      <w:pPr>
        <w:pStyle w:val="Heading2"/>
      </w:pPr>
      <w:r>
        <w:t>Drusila</w:t>
      </w:r>
      <w:r/>
    </w:p>
    <w:p>
      <w:r/>
      <w:r>
        <w:t>Drusila era a terceira e mais jovem filha de Herodes Agripa, rei da Judeia. Ela era judia e nasceu por volta de 38 d.C. Tinha duas irmãs chamadas Berenice e Mariamne. Drusila ficou noiva de Epifânio, príncipe de Comagena, mas cancelou o noivado porque ele se recusou a se converter ao judaísmo.</w:t>
      </w:r>
    </w:p>
    <w:p>
      <w:r/>
      <w:r>
        <w:t>O irmão de Drusila, Agripa II, arranjou para que ela se casasse com Azizus, o rei de Emesa. Azizus concordou em ser circuncidado (um requisito religioso judaico). Logo após o casamento, Félix, governador da Judeia, se apaixonou por Drusila. Isso aconteceu quando Drusila tinha apenas 16 anos. Félix era gentio (não judeu). Por volta de 54 d.C., Félix convenceu Drusila a quebrar a lei judaica ao deixar seu marido para se casar com ele.</w:t>
      </w:r>
    </w:p>
    <w:p>
      <w:r/>
      <w:r>
        <w:t>Enquanto Paulo estava sob custódia em Cesareia, Drusila e Félix o ouviram explicar a mensagem do evangelho (</w:t>
      </w:r>
      <w:hyperlink r:id="rId7501">
        <w:r>
          <w:rPr>
            <w:color w:val="0000EE"/>
            <w:u w:val="single"/>
          </w:rPr>
          <w:t>At 24.24</w:t>
        </w:r>
      </w:hyperlink>
      <w:r>
        <w:t>). O filho deles, também chamado Agripa, morreu quando o vulcão italiano Vesúvio entrou em erupção em 79 d.C.</w:t>
      </w:r>
      <w:r/>
      <w:r/>
    </w:p>
    <w:p>
      <w:r/>
    </w:p>
    <w:p>
      <w:pPr>
        <w:pStyle w:val="Heading2"/>
      </w:pPr>
      <w:r>
        <w:t>Dumá (Lugar)</w:t>
      </w:r>
      <w:r/>
    </w:p>
    <w:p>
      <w:r/>
      <w:r>
        <w:t>1. Região das 12 tribos de Ismael (</w:t>
      </w:r>
      <w:hyperlink r:id="rId621">
        <w:r>
          <w:rPr>
            <w:color w:val="0000EE"/>
            <w:u w:val="single"/>
          </w:rPr>
          <w:t>Gn 25.14</w:t>
        </w:r>
      </w:hyperlink>
      <w:r>
        <w:t xml:space="preserve">; </w:t>
      </w:r>
      <w:hyperlink r:id="rId622">
        <w:r>
          <w:rPr>
            <w:color w:val="0000EE"/>
            <w:u w:val="single"/>
          </w:rPr>
          <w:t>1Cr 1.30</w:t>
        </w:r>
      </w:hyperlink>
      <w:r>
        <w:t>) onde havia vários oásis; identificada com el-Jof, a moderna Dumat el-Jendel. Este lugar estava localizado a cerca de três quartos do caminho de Damasco a Medina.</w:t>
      </w:r>
    </w:p>
    <w:p>
      <w:r/>
      <w:r>
        <w:t>2. Cidade nas terras altas atribuída à tribo de Judá como herança (</w:t>
      </w:r>
      <w:hyperlink r:id="rId7502">
        <w:r>
          <w:rPr>
            <w:color w:val="0000EE"/>
            <w:u w:val="single"/>
          </w:rPr>
          <w:t>Js 15.52</w:t>
        </w:r>
      </w:hyperlink>
      <w:r>
        <w:t>). Seu local provavelmente é identificado com ed-Domeh, a 16 quilômetros a sudoeste de Hebrom.</w:t>
      </w:r>
    </w:p>
    <w:p>
      <w:r/>
      <w:r>
        <w:t>3. Termo hebraico que se refere à terra do silêncio ou da morte; ou seja, o lugar das sepulturas (</w:t>
      </w:r>
      <w:hyperlink r:id="rId7503">
        <w:r>
          <w:rPr>
            <w:color w:val="0000EE"/>
            <w:u w:val="single"/>
          </w:rPr>
          <w:t>Sl 94.17</w:t>
        </w:r>
      </w:hyperlink>
      <w:r>
        <w:t xml:space="preserve">; </w:t>
      </w:r>
      <w:hyperlink r:id="rId7504">
        <w:r>
          <w:rPr>
            <w:color w:val="0000EE"/>
            <w:u w:val="single"/>
          </w:rPr>
          <w:t>115.17</w:t>
        </w:r>
      </w:hyperlink>
      <w:r>
        <w:t>).</w:t>
      </w:r>
    </w:p>
    <w:p>
      <w:r/>
      <w:r>
        <w:t xml:space="preserve">4. Talvez uma designação para Edom ou Idumeia em </w:t>
      </w:r>
      <w:hyperlink r:id="rId7505">
        <w:r>
          <w:rPr>
            <w:color w:val="0000EE"/>
            <w:u w:val="single"/>
          </w:rPr>
          <w:t xml:space="preserve">Isaías 21.11 </w:t>
        </w:r>
      </w:hyperlink>
      <w:r>
        <w:t>(ARC).</w:t>
      </w:r>
      <w:r/>
      <w:r/>
    </w:p>
    <w:p>
      <w:r/>
    </w:p>
    <w:p>
      <w:pPr>
        <w:pStyle w:val="Heading2"/>
      </w:pPr>
      <w:r>
        <w:t>Dumá (Pessoa)</w:t>
      </w:r>
      <w:r/>
    </w:p>
    <w:p>
      <w:r/>
      <w:r>
        <w:t>Filho de Ismael, que fundou uma tribo árabe (</w:t>
      </w:r>
      <w:hyperlink r:id="rId621">
        <w:r>
          <w:rPr>
            <w:color w:val="0000EE"/>
            <w:u w:val="single"/>
          </w:rPr>
          <w:t>Gn 25.14</w:t>
        </w:r>
      </w:hyperlink>
      <w:r>
        <w:t xml:space="preserve">; </w:t>
      </w:r>
      <w:hyperlink r:id="rId622">
        <w:r>
          <w:rPr>
            <w:color w:val="0000EE"/>
            <w:u w:val="single"/>
          </w:rPr>
          <w:t>1Cr 1.30</w:t>
        </w:r>
      </w:hyperlink>
      <w:r>
        <w:t>).</w:t>
      </w:r>
      <w:r/>
      <w:r/>
    </w:p>
    <w:p>
      <w:r/>
    </w:p>
    <w:p>
      <w:pPr>
        <w:pStyle w:val="Heading2"/>
      </w:pPr>
      <w:r>
        <w:t>Dureza De Coração*</w:t>
      </w:r>
      <w:r/>
    </w:p>
    <w:p>
      <w:r/>
      <w:r>
        <w:t>Uma frase que significa obstinação espiritual.</w:t>
      </w:r>
    </w:p>
    <w:p>
      <w:r/>
      <w:r>
        <w:t xml:space="preserve">As primeiras referências ao endurecimento do coração exemplificam as características fundamentais desta doutrina nas Escrituras. O número de referências é surpreendente; há pelo menos 20 ao endurecimento do coração do Faraó apenas no AT, bem como a exposição de Paulo de seu significado em </w:t>
      </w:r>
      <w:hyperlink r:id="rId7506">
        <w:r>
          <w:rPr>
            <w:color w:val="0000EE"/>
            <w:u w:val="single"/>
          </w:rPr>
          <w:t>Romanos 9.17–24</w:t>
        </w:r>
      </w:hyperlink>
      <w:r>
        <w:t>.</w:t>
      </w:r>
    </w:p>
    <w:p>
      <w:r/>
      <w:r>
        <w:t xml:space="preserve">A primeira referência é </w:t>
      </w:r>
      <w:hyperlink r:id="rId7507">
        <w:r>
          <w:rPr>
            <w:color w:val="0000EE"/>
            <w:u w:val="single"/>
          </w:rPr>
          <w:t>Êxodo 4.21</w:t>
        </w:r>
      </w:hyperlink>
      <w:r>
        <w:t xml:space="preserve">, onde Deus promete a Moisés que ele endurecerá o coração do Faraó para que ele não permita que os israelitas saiam. Esta promessa é repetida (veja </w:t>
      </w:r>
      <w:hyperlink r:id="rId7508">
        <w:r>
          <w:rPr>
            <w:color w:val="0000EE"/>
            <w:u w:val="single"/>
          </w:rPr>
          <w:t>Êx 7.3</w:t>
        </w:r>
      </w:hyperlink>
      <w:r>
        <w:t xml:space="preserve">; </w:t>
      </w:r>
      <w:hyperlink r:id="rId7509">
        <w:r>
          <w:rPr>
            <w:color w:val="0000EE"/>
            <w:u w:val="single"/>
          </w:rPr>
          <w:t>14.4, 17</w:t>
        </w:r>
      </w:hyperlink>
      <w:r>
        <w:t>) e rapidamente vem a se cumprir (</w:t>
      </w:r>
      <w:hyperlink r:id="rId7510">
        <w:r>
          <w:rPr>
            <w:color w:val="0000EE"/>
            <w:u w:val="single"/>
          </w:rPr>
          <w:t>7.13–14</w:t>
        </w:r>
      </w:hyperlink>
      <w:r>
        <w:t>), enquanto revelações e milagres seguem uns aos outros diante dos olhos do Faraó, seguidos pela ocorrência real dos eventos sobre os quais Deus advertiu, incluindo todos os julgamentos das 10 pragas.</w:t>
      </w:r>
    </w:p>
    <w:p>
      <w:r/>
      <w:r>
        <w:t>Nenhuma dúvida é deixada na mente do leitor, seja no relato do Êxodo ou mais tarde, que a obstinação do Faraó era um ato de julgamento divino da parte de Deus para seus próprios fins e propósitos externos (</w:t>
      </w:r>
      <w:hyperlink r:id="rId7511">
        <w:r>
          <w:rPr>
            <w:color w:val="0000EE"/>
            <w:u w:val="single"/>
          </w:rPr>
          <w:t>Êx 9.16</w:t>
        </w:r>
      </w:hyperlink>
      <w:r>
        <w:t xml:space="preserve">; </w:t>
      </w:r>
      <w:hyperlink r:id="rId7512">
        <w:r>
          <w:rPr>
            <w:color w:val="0000EE"/>
            <w:u w:val="single"/>
          </w:rPr>
          <w:t>Js 11.20</w:t>
        </w:r>
      </w:hyperlink>
      <w:r>
        <w:t xml:space="preserve">; cf. </w:t>
      </w:r>
      <w:hyperlink r:id="rId7513">
        <w:r>
          <w:rPr>
            <w:color w:val="0000EE"/>
            <w:u w:val="single"/>
          </w:rPr>
          <w:t>Rm 9.17–18</w:t>
        </w:r>
      </w:hyperlink>
      <w:r>
        <w:t>). No entanto, também é afirmado que o Faraó endureceu seu próprio coração (</w:t>
      </w:r>
      <w:hyperlink r:id="rId7514">
        <w:r>
          <w:rPr>
            <w:color w:val="0000EE"/>
            <w:u w:val="single"/>
          </w:rPr>
          <w:t>Êx 8.15,32</w:t>
        </w:r>
      </w:hyperlink>
      <w:r>
        <w:t xml:space="preserve">; </w:t>
      </w:r>
      <w:hyperlink r:id="rId7515">
        <w:r>
          <w:rPr>
            <w:color w:val="0000EE"/>
            <w:u w:val="single"/>
          </w:rPr>
          <w:t>9.34</w:t>
        </w:r>
      </w:hyperlink>
      <w:r>
        <w:t xml:space="preserve">; </w:t>
      </w:r>
      <w:hyperlink r:id="rId7516">
        <w:r>
          <w:rPr>
            <w:color w:val="0000EE"/>
            <w:u w:val="single"/>
          </w:rPr>
          <w:t>13.15</w:t>
        </w:r>
      </w:hyperlink>
      <w:r>
        <w:t>), mostrando que o processo de endurecimento é um produto deliberado da rebelião pessoal contra a verdade revelada. Este é um aspecto crucial da apresentação das escrituras do assunto; o endurecimento judicial do coração não é apenas um ato de Deus sobre a natureza do pecador, mas também uma oposição intencional à verdade. O pecador é, portanto, responsável perante Deus por sua dureza de coração.</w:t>
      </w:r>
    </w:p>
    <w:p>
      <w:r/>
      <w:r>
        <w:t xml:space="preserve">O processo de endurecimento judicial é descrito por Paulo em </w:t>
      </w:r>
      <w:hyperlink r:id="rId7517">
        <w:r>
          <w:rPr>
            <w:color w:val="0000EE"/>
            <w:u w:val="single"/>
          </w:rPr>
          <w:t>Romanos 1.18–32</w:t>
        </w:r>
      </w:hyperlink>
      <w:r>
        <w:t xml:space="preserve">. Todos os seres humanos têm uma consciência de Deus inata da qual eles deliberadamente se afastam. Eles transformam a verdade em uma mentira e suprimem a verdade que eles têm. Como resultado, a dureza de coração assume o controle. A expressão de Paulo para isso é que “sua mente vazia estava coberta de escuridão” porque “Deus os entregou” aos resultados de seu próprio pecado. Os resultados são tanto intelectuais (“Deus os entregou a uma mente tola”) quanto morais, bem como sociais ou culturais. Paulo usa o termo “dureza de coração” em </w:t>
      </w:r>
      <w:hyperlink r:id="rId5694">
        <w:r>
          <w:rPr>
            <w:color w:val="0000EE"/>
            <w:u w:val="single"/>
          </w:rPr>
          <w:t>Romanos 2.5</w:t>
        </w:r>
      </w:hyperlink>
      <w:r>
        <w:t xml:space="preserve"> para descrever o resultado geral. É importante notar que não é contra a ira de Deus ou contra os resultados do pecado que os ímpios estão revoltados, mas contra a “verdade” e contra sua própria consciência (</w:t>
      </w:r>
      <w:hyperlink r:id="rId7518">
        <w:r>
          <w:rPr>
            <w:color w:val="0000EE"/>
            <w:u w:val="single"/>
          </w:rPr>
          <w:t>2.14–16</w:t>
        </w:r>
      </w:hyperlink>
      <w:r>
        <w:t>).</w:t>
      </w:r>
    </w:p>
    <w:p>
      <w:r/>
      <w:r>
        <w:t>Deus muitas vezes adverte seu povo para não endurecer seus corações, pois as Escrituras associam o endurecimento com a incredulidade (</w:t>
      </w:r>
      <w:hyperlink r:id="rId7519">
        <w:r>
          <w:rPr>
            <w:color w:val="0000EE"/>
            <w:u w:val="single"/>
          </w:rPr>
          <w:t>Dt 15.7</w:t>
        </w:r>
      </w:hyperlink>
      <w:r>
        <w:t xml:space="preserve">; </w:t>
      </w:r>
      <w:hyperlink r:id="rId7520">
        <w:r>
          <w:rPr>
            <w:color w:val="0000EE"/>
            <w:u w:val="single"/>
          </w:rPr>
          <w:t>Hb 3.8,15</w:t>
        </w:r>
      </w:hyperlink>
      <w:r>
        <w:t xml:space="preserve">; </w:t>
      </w:r>
      <w:hyperlink r:id="rId6702">
        <w:r>
          <w:rPr>
            <w:color w:val="0000EE"/>
            <w:u w:val="single"/>
          </w:rPr>
          <w:t>4.7</w:t>
        </w:r>
      </w:hyperlink>
      <w:r>
        <w:t>). Jesus ficou entristecido com a insensibilidade dos corações de seus ouvintes (</w:t>
      </w:r>
      <w:hyperlink r:id="rId5664">
        <w:r>
          <w:rPr>
            <w:color w:val="0000EE"/>
            <w:u w:val="single"/>
          </w:rPr>
          <w:t>Mc 3.5</w:t>
        </w:r>
      </w:hyperlink>
      <w:r>
        <w:t xml:space="preserve">; </w:t>
      </w:r>
      <w:hyperlink r:id="rId7521">
        <w:r>
          <w:rPr>
            <w:color w:val="0000EE"/>
            <w:u w:val="single"/>
          </w:rPr>
          <w:t>16.14</w:t>
        </w:r>
      </w:hyperlink>
      <w:r>
        <w:t>). Ele se referiu às concessões que Deus havia feito aos judeus sobre o divórcio por causa da dureza de seus corações (</w:t>
      </w:r>
      <w:hyperlink r:id="rId7406">
        <w:r>
          <w:rPr>
            <w:color w:val="0000EE"/>
            <w:u w:val="single"/>
          </w:rPr>
          <w:t>Mt 19.8</w:t>
        </w:r>
      </w:hyperlink>
      <w:r>
        <w:t>).</w:t>
      </w:r>
    </w:p>
    <w:p>
      <w:r/>
      <w:r>
        <w:t>Em pelo menos duas ocasiões nos Evangelhos, a cegueira judicial é atribuída diretamente a Deus, e seu propósito declarado (</w:t>
      </w:r>
      <w:hyperlink r:id="rId7522">
        <w:r>
          <w:rPr>
            <w:color w:val="0000EE"/>
            <w:u w:val="single"/>
          </w:rPr>
          <w:t>Mt 13.13–15</w:t>
        </w:r>
      </w:hyperlink>
      <w:r>
        <w:t xml:space="preserve">; </w:t>
      </w:r>
      <w:hyperlink r:id="rId7523">
        <w:r>
          <w:rPr>
            <w:color w:val="0000EE"/>
            <w:u w:val="single"/>
          </w:rPr>
          <w:t>Jo 12.39–41</w:t>
        </w:r>
      </w:hyperlink>
      <w:r>
        <w:t>). A dureza de coração é, portanto, um aspecto do desenvolvimento do caráter caído, manifestando a raiz da rebelião (</w:t>
      </w:r>
      <w:hyperlink r:id="rId7524">
        <w:r>
          <w:rPr>
            <w:color w:val="0000EE"/>
            <w:u w:val="single"/>
          </w:rPr>
          <w:t>Sl 95.8</w:t>
        </w:r>
      </w:hyperlink>
      <w:r>
        <w:t xml:space="preserve">; </w:t>
      </w:r>
      <w:hyperlink r:id="rId3572">
        <w:r>
          <w:rPr>
            <w:color w:val="0000EE"/>
            <w:u w:val="single"/>
          </w:rPr>
          <w:t>Jo 12.40</w:t>
        </w:r>
      </w:hyperlink>
      <w:r>
        <w:t xml:space="preserve">; </w:t>
      </w:r>
      <w:hyperlink r:id="rId7520">
        <w:r>
          <w:rPr>
            <w:color w:val="0000EE"/>
            <w:u w:val="single"/>
          </w:rPr>
          <w:t>Hb 3.8,15</w:t>
        </w:r>
      </w:hyperlink>
      <w:r>
        <w:t xml:space="preserve">; </w:t>
      </w:r>
      <w:hyperlink r:id="rId6702">
        <w:r>
          <w:rPr>
            <w:color w:val="0000EE"/>
            <w:u w:val="single"/>
          </w:rPr>
          <w:t>4.7</w:t>
        </w:r>
      </w:hyperlink>
      <w:r>
        <w:t>). Ao longo das Escrituras, a apostasia judaica é assim descrita (</w:t>
      </w:r>
      <w:hyperlink r:id="rId7525">
        <w:r>
          <w:rPr>
            <w:color w:val="0000EE"/>
            <w:u w:val="single"/>
          </w:rPr>
          <w:t>2Rs 17.14</w:t>
        </w:r>
      </w:hyperlink>
      <w:r>
        <w:t xml:space="preserve">; </w:t>
      </w:r>
      <w:hyperlink r:id="rId7526">
        <w:r>
          <w:rPr>
            <w:color w:val="0000EE"/>
            <w:u w:val="single"/>
          </w:rPr>
          <w:t>Ne 9.16–17</w:t>
        </w:r>
      </w:hyperlink>
      <w:r>
        <w:t xml:space="preserve">; </w:t>
      </w:r>
      <w:hyperlink r:id="rId7520">
        <w:r>
          <w:rPr>
            <w:color w:val="0000EE"/>
            <w:u w:val="single"/>
          </w:rPr>
          <w:t>Hb 3.8</w:t>
        </w:r>
      </w:hyperlink>
      <w:r>
        <w:t>).</w:t>
      </w:r>
    </w:p>
    <w:p>
      <w:r/>
      <w:r>
        <w:rPr>
          <w:i/>
        </w:rPr>
        <w:t>Veja também</w:t>
      </w:r>
      <w:r>
        <w:t xml:space="preserve"> </w:t>
      </w:r>
      <w:r>
        <w:t>Cegueira</w:t>
      </w:r>
      <w:r>
        <w:t xml:space="preserve">; </w:t>
      </w:r>
      <w:r>
        <w:t>Julgamento</w:t>
      </w:r>
      <w:r>
        <w:t xml:space="preserve">; </w:t>
      </w:r>
      <w:r>
        <w:t>Regeneração</w:t>
      </w:r>
      <w:r>
        <w:t>.</w:t>
      </w:r>
      <w:r/>
      <w:r/>
    </w:p>
    <w:p>
      <w:r/>
    </w:p>
    <w:p>
      <w:pPr>
        <w:pStyle w:val="Heading2"/>
      </w:pPr>
      <w:r>
        <w:t>Ebal</w:t>
      </w:r>
      <w:r/>
    </w:p>
    <w:p>
      <w:r/>
      <w:r>
        <w:t>1. Filho de Sobal e descendente de Seir, o horita (</w:t>
      </w:r>
      <w:hyperlink r:id="rId1016">
        <w:r>
          <w:rPr>
            <w:color w:val="0000EE"/>
            <w:u w:val="single"/>
          </w:rPr>
          <w:t>Gn 36.23</w:t>
        </w:r>
      </w:hyperlink>
      <w:r>
        <w:t xml:space="preserve">; </w:t>
      </w:r>
      <w:hyperlink r:id="rId1017">
        <w:r>
          <w:rPr>
            <w:color w:val="0000EE"/>
            <w:u w:val="single"/>
          </w:rPr>
          <w:t>1Cr 1.40</w:t>
        </w:r>
      </w:hyperlink>
      <w:r>
        <w:t>).</w:t>
      </w:r>
    </w:p>
    <w:p>
      <w:r/>
      <w:r>
        <w:t>2. Filho de Joctã e descendente de Sem (</w:t>
      </w:r>
      <w:hyperlink r:id="rId90">
        <w:r>
          <w:rPr>
            <w:color w:val="0000EE"/>
            <w:u w:val="single"/>
          </w:rPr>
          <w:t>1Cr 1.22</w:t>
        </w:r>
      </w:hyperlink>
      <w:r>
        <w:t xml:space="preserve">). Ele é chamado de Obal em </w:t>
      </w:r>
      <w:hyperlink r:id="rId89">
        <w:r>
          <w:rPr>
            <w:color w:val="0000EE"/>
            <w:u w:val="single"/>
          </w:rPr>
          <w:t>Gênesis 10.28</w:t>
        </w:r>
      </w:hyperlink>
      <w:r>
        <w:t>.</w:t>
      </w:r>
      <w:r/>
      <w:r/>
    </w:p>
    <w:p>
      <w:r/>
    </w:p>
    <w:p>
      <w:pPr>
        <w:pStyle w:val="Heading2"/>
      </w:pPr>
      <w:r>
        <w:t>Éber</w:t>
      </w:r>
      <w:r/>
    </w:p>
    <w:p>
      <w:pPr>
        <w:pStyle w:val="ListNumber"/>
        <w:spacing w:line="240" w:lineRule="auto"/>
        <w:ind w:left="720"/>
      </w:pPr>
      <w:r/>
      <w:r>
        <w:t>Antepassado de Abraão (</w:t>
      </w:r>
      <w:hyperlink r:id="rId7527">
        <w:r>
          <w:rPr>
            <w:color w:val="0000EE"/>
            <w:u w:val="single"/>
          </w:rPr>
          <w:t>Gn 10.21–25</w:t>
        </w:r>
      </w:hyperlink>
      <w:r>
        <w:t xml:space="preserve">; </w:t>
      </w:r>
      <w:hyperlink r:id="rId7528">
        <w:r>
          <w:rPr>
            <w:color w:val="0000EE"/>
            <w:u w:val="single"/>
          </w:rPr>
          <w:t>11.14–17</w:t>
        </w:r>
      </w:hyperlink>
      <w:r>
        <w:t xml:space="preserve">; </w:t>
      </w:r>
      <w:hyperlink r:id="rId7529">
        <w:r>
          <w:rPr>
            <w:color w:val="0000EE"/>
            <w:u w:val="single"/>
          </w:rPr>
          <w:t>1Cr 1.18–25</w:t>
        </w:r>
      </w:hyperlink>
      <w:r>
        <w:t xml:space="preserve">; </w:t>
      </w:r>
      <w:hyperlink r:id="rId7530">
        <w:r>
          <w:rPr>
            <w:color w:val="0000EE"/>
            <w:u w:val="single"/>
          </w:rPr>
          <w:t>Lc 3.35</w:t>
        </w:r>
      </w:hyperlink>
      <w:r>
        <w:t>). A palavra "hebreu" pode ter origem em seu nome. Éber viveu 464 anos e foi o antepassado dos "filhos de Éber", uma expressão que pode se referir aos "hebreus". Na mesma passagem, "filhos de Hete" corresponde aos "hititas" (</w:t>
      </w:r>
      <w:hyperlink r:id="rId1369">
        <w:r>
          <w:rPr>
            <w:color w:val="0000EE"/>
            <w:u w:val="single"/>
          </w:rPr>
          <w:t>Gn 23.10</w:t>
        </w:r>
      </w:hyperlink>
      <w:r>
        <w:t>). No entanto, o termo "hebreu" pode indicar uma classe social em vez de descendência de Éber. Éber teve um filho chamado Pelegue. Durante a vida de Pelegue, as pessoas na Terra se dividiram em dois grupos principais: aqueles que viajavam de um lugar para outro (nômades) e aqueles que permaneciam em assentamentos permanentes.</w:t>
      </w:r>
    </w:p>
    <w:p>
      <w:pPr>
        <w:pStyle w:val="ListNumber"/>
        <w:spacing w:line="240" w:lineRule="auto"/>
        <w:ind w:left="720"/>
      </w:pPr>
      <w:r/>
      <w:r>
        <w:t>Um líder gadita durante os reinados de Jotão, rei de Judá, e Jeroboão II, rei de Israel (</w:t>
      </w:r>
      <w:hyperlink r:id="rId7531">
        <w:r>
          <w:rPr>
            <w:color w:val="0000EE"/>
            <w:u w:val="single"/>
          </w:rPr>
          <w:t>1Cr 5.13</w:t>
        </w:r>
      </w:hyperlink>
      <w:r>
        <w:t>, “Héber” na NTLH).</w:t>
      </w:r>
    </w:p>
    <w:p>
      <w:pPr>
        <w:pStyle w:val="ListNumber"/>
        <w:spacing w:line="240" w:lineRule="auto"/>
        <w:ind w:left="720"/>
      </w:pPr>
      <w:r/>
      <w:r>
        <w:t>Descendente de Benjamim e Elpaal (</w:t>
      </w:r>
      <w:hyperlink r:id="rId7532">
        <w:r>
          <w:rPr>
            <w:color w:val="0000EE"/>
            <w:u w:val="single"/>
          </w:rPr>
          <w:t>1Cr 8.12</w:t>
        </w:r>
      </w:hyperlink>
      <w:r>
        <w:t>).</w:t>
      </w:r>
    </w:p>
    <w:p>
      <w:pPr>
        <w:pStyle w:val="ListNumber"/>
        <w:spacing w:line="240" w:lineRule="auto"/>
        <w:ind w:left="720"/>
      </w:pPr>
      <w:r/>
      <w:r>
        <w:t>Descendente de Benjamim e Sasaque (</w:t>
      </w:r>
      <w:hyperlink r:id="rId7533">
        <w:r>
          <w:rPr>
            <w:color w:val="0000EE"/>
            <w:u w:val="single"/>
          </w:rPr>
          <w:t>1Cr 8.22</w:t>
        </w:r>
      </w:hyperlink>
      <w:r>
        <w:t>).</w:t>
      </w:r>
    </w:p>
    <w:p>
      <w:pPr>
        <w:pStyle w:val="ListNumber"/>
        <w:spacing w:line="240" w:lineRule="auto"/>
        <w:ind w:left="720"/>
      </w:pPr>
      <w:r/>
      <w:r>
        <w:t>O chefe da família sacerdotal de Amoque durante os dias do sumo sacerdote Joaquim (</w:t>
      </w:r>
      <w:hyperlink r:id="rId7534">
        <w:r>
          <w:rPr>
            <w:color w:val="0000EE"/>
            <w:u w:val="single"/>
          </w:rPr>
          <w:t>Ne 12.20</w:t>
        </w:r>
      </w:hyperlink>
      <w:r>
        <w:t>).</w:t>
      </w:r>
      <w:r/>
      <w:r/>
    </w:p>
    <w:p>
      <w:r/>
    </w:p>
    <w:p>
      <w:pPr>
        <w:pStyle w:val="Heading2"/>
      </w:pPr>
      <w:r>
        <w:t>Ebiasafe</w:t>
      </w:r>
      <w:r/>
    </w:p>
    <w:p>
      <w:r/>
      <w:r>
        <w:t>Um levita coatita, filho de Elcana e pai de Assir (</w:t>
      </w:r>
      <w:hyperlink r:id="rId2769">
        <w:r>
          <w:rPr>
            <w:color w:val="0000EE"/>
            <w:u w:val="single"/>
          </w:rPr>
          <w:t>1Cr 6.23,37</w:t>
        </w:r>
      </w:hyperlink>
      <w:r>
        <w:t xml:space="preserve">; </w:t>
      </w:r>
      <w:hyperlink r:id="rId5744">
        <w:r>
          <w:rPr>
            <w:color w:val="0000EE"/>
            <w:u w:val="single"/>
          </w:rPr>
          <w:t>9.19</w:t>
        </w:r>
      </w:hyperlink>
      <w:r>
        <w:t xml:space="preserve">). Ele também é chamado de Abiasafe em </w:t>
      </w:r>
      <w:hyperlink r:id="rId63">
        <w:r>
          <w:rPr>
            <w:color w:val="0000EE"/>
            <w:u w:val="single"/>
          </w:rPr>
          <w:t>Êxodo 6.24</w:t>
        </w:r>
      </w:hyperlink>
      <w:r>
        <w:t>.</w:t>
      </w:r>
      <w:r/>
      <w:r/>
    </w:p>
    <w:p>
      <w:r/>
    </w:p>
    <w:p>
      <w:pPr>
        <w:pStyle w:val="Heading2"/>
      </w:pPr>
      <w:r>
        <w:t>Éden</w:t>
      </w:r>
      <w:r/>
    </w:p>
    <w:p>
      <w:r/>
      <w:r>
        <w:t>1. Lugar onde Adão e Eva viveram até pecarem contra Deus e serem banidos (</w:t>
      </w:r>
      <w:hyperlink r:id="rId7535">
        <w:r>
          <w:rPr>
            <w:color w:val="0000EE"/>
            <w:u w:val="single"/>
          </w:rPr>
          <w:t>Gn 2.8,15</w:t>
        </w:r>
      </w:hyperlink>
      <w:r>
        <w:t xml:space="preserve">; </w:t>
      </w:r>
      <w:hyperlink r:id="rId308">
        <w:r>
          <w:rPr>
            <w:color w:val="0000EE"/>
            <w:u w:val="single"/>
          </w:rPr>
          <w:t>3.23–24</w:t>
        </w:r>
      </w:hyperlink>
      <w:r>
        <w:t xml:space="preserve">). </w:t>
      </w:r>
      <w:r>
        <w:rPr>
          <w:i/>
        </w:rPr>
        <w:t>Veja</w:t>
      </w:r>
      <w:r>
        <w:t xml:space="preserve"> </w:t>
      </w:r>
      <w:r>
        <w:t>Jardim do Éden</w:t>
      </w:r>
      <w:r>
        <w:t>.</w:t>
      </w:r>
    </w:p>
    <w:p>
      <w:r/>
      <w:r>
        <w:t xml:space="preserve">2. Forma alternativa de Bete-Éden em </w:t>
      </w:r>
      <w:hyperlink r:id="rId4105">
        <w:r>
          <w:rPr>
            <w:color w:val="0000EE"/>
            <w:u w:val="single"/>
          </w:rPr>
          <w:t>Ezequiel 27.23</w:t>
        </w:r>
      </w:hyperlink>
      <w:r>
        <w:t xml:space="preserve">. </w:t>
      </w:r>
      <w:r>
        <w:rPr>
          <w:i/>
        </w:rPr>
        <w:t>Veja</w:t>
      </w:r>
      <w:r>
        <w:t xml:space="preserve"> </w:t>
      </w:r>
      <w:r>
        <w:t>Bete-Éden</w:t>
      </w:r>
      <w:r>
        <w:t>.</w:t>
      </w:r>
      <w:r/>
      <w:r/>
    </w:p>
    <w:p>
      <w:r/>
    </w:p>
    <w:p>
      <w:pPr>
        <w:pStyle w:val="Heading2"/>
      </w:pPr>
      <w:r>
        <w:t>Éder</w:t>
      </w:r>
      <w:r/>
    </w:p>
    <w:p>
      <w:r/>
      <w:r>
        <w:t xml:space="preserve">Éder em </w:t>
      </w:r>
      <w:hyperlink r:id="rId7536">
        <w:r>
          <w:rPr>
            <w:color w:val="0000EE"/>
            <w:u w:val="single"/>
          </w:rPr>
          <w:t>Gênesis 35.21</w:t>
        </w:r>
      </w:hyperlink>
      <w:r>
        <w:t xml:space="preserve">. </w:t>
      </w:r>
      <w:r>
        <w:rPr>
          <w:i/>
        </w:rPr>
        <w:t>Veja também</w:t>
      </w:r>
      <w:r>
        <w:t xml:space="preserve"> </w:t>
      </w:r>
      <w:r>
        <w:t>Éder (lugar) #1</w:t>
      </w:r>
      <w:r>
        <w:t>.</w:t>
      </w:r>
      <w:r/>
      <w:r/>
    </w:p>
    <w:p>
      <w:r/>
    </w:p>
    <w:p>
      <w:pPr>
        <w:pStyle w:val="Heading2"/>
      </w:pPr>
      <w:r>
        <w:t>Éder (lugar)</w:t>
      </w:r>
      <w:r/>
    </w:p>
    <w:p>
      <w:r/>
      <w:r>
        <w:t>1. Primeiro local de acampamento de Jacó entre Efrata (Belém) e Hebrom, após a morte de Raquel. A Torre de Éder, que significa "a torre do rebanho", era possivelmente uma torre de vigia construída para os pastores protegerem seus rebanhos (</w:t>
      </w:r>
      <w:hyperlink r:id="rId7536">
        <w:r>
          <w:rPr>
            <w:color w:val="0000EE"/>
            <w:u w:val="single"/>
          </w:rPr>
          <w:t>Gn 35.21</w:t>
        </w:r>
      </w:hyperlink>
      <w:r>
        <w:t>). Estava localizada a uma curta distância de Belém;</w:t>
      </w:r>
    </w:p>
    <w:p>
      <w:r/>
      <w:r>
        <w:t xml:space="preserve">2. Uma das 29 cidades localizadas perto da fronteira de Edom, na extremidade sul da terra atribuída à tribo de Judá como herança. Está listada entre Cabzeel e Jagur em </w:t>
      </w:r>
      <w:hyperlink r:id="rId7537">
        <w:r>
          <w:rPr>
            <w:color w:val="0000EE"/>
            <w:u w:val="single"/>
          </w:rPr>
          <w:t>Js 15.21</w:t>
        </w:r>
      </w:hyperlink>
      <w:r>
        <w:t>. Sua localização é desconhecida.</w:t>
      </w:r>
      <w:r/>
      <w:r/>
    </w:p>
    <w:p>
      <w:r/>
    </w:p>
    <w:p>
      <w:pPr>
        <w:pStyle w:val="Heading2"/>
      </w:pPr>
      <w:r>
        <w:t>Edificador</w:t>
      </w:r>
      <w:r/>
    </w:p>
    <w:p>
      <w:r/>
      <w:r>
        <w:t>Um edificador é um trabalhador qualificado que corta e molda pedras para edifícios. Esses trabalhadores removiam pedras de pedreiras e as preparavam para uso em grandes estruturas como palácios, templos, edifícios governamentais e casas de pessoas ricas (</w:t>
      </w:r>
      <w:hyperlink r:id="rId6218">
        <w:r>
          <w:rPr>
            <w:color w:val="0000EE"/>
            <w:u w:val="single"/>
          </w:rPr>
          <w:t>1Rs 5.18</w:t>
        </w:r>
      </w:hyperlink>
      <w:r>
        <w:t xml:space="preserve">, </w:t>
      </w:r>
      <w:hyperlink r:id="rId7538">
        <w:r>
          <w:rPr>
            <w:color w:val="0000EE"/>
            <w:u w:val="single"/>
          </w:rPr>
          <w:t>2Rs 12.12</w:t>
        </w:r>
      </w:hyperlink>
      <w:r>
        <w:t xml:space="preserve">; </w:t>
      </w:r>
      <w:hyperlink r:id="rId7539">
        <w:r>
          <w:rPr>
            <w:color w:val="0000EE"/>
            <w:u w:val="single"/>
          </w:rPr>
          <w:t>1Cr 22.2,15</w:t>
        </w:r>
      </w:hyperlink>
      <w:r>
        <w:t>).</w:t>
      </w:r>
    </w:p>
    <w:p>
      <w:r/>
      <w:r>
        <w:t>No início, os israelitas usaram edificadores de pedra da Fenícia. Porém, logo aprenderam a cortar e moldar pedras por conta própria. Após adquirir essas habilidades, os israelitas construíram muitos edifícios impressionantes, incluindo os da cidade de Samaria. Mais tarde, os edificadores do Rei Herodes criaram belos edifícios de pedra que ainda podem ser vistos hoje em Jerusalém, Hebrom, Samaria e outros lugares.</w:t>
      </w:r>
    </w:p>
    <w:p>
      <w:r/>
      <w:r>
        <w:t>Alguns edificadores se especializaram em trabalhos detalhados para o interior de edifícios, criando peças de pedra para janelas, portas e pilares. Um grupo especial chamado gravadores trabalhava com pedras preciosas para fazer selos (pedras esculpidas usadas como assinaturas), itens decorativos e joias (</w:t>
      </w:r>
      <w:hyperlink r:id="rId7540">
        <w:r>
          <w:rPr>
            <w:color w:val="0000EE"/>
            <w:u w:val="single"/>
          </w:rPr>
          <w:t>Êx 28.11</w:t>
        </w:r>
      </w:hyperlink>
      <w:r>
        <w:t>).</w:t>
      </w:r>
      <w:r/>
      <w:r/>
    </w:p>
    <w:p>
      <w:r/>
    </w:p>
    <w:p>
      <w:pPr>
        <w:pStyle w:val="Heading2"/>
      </w:pPr>
      <w:r>
        <w:t>Edom, Edomitas</w:t>
      </w:r>
      <w:r/>
    </w:p>
    <w:p>
      <w:r/>
      <w:r>
        <w:t>A terra de Edom era uma região localizada ao sul e sudeste do Mar Morto. A palavra "Edom" significa "vermelho" e refere-se tanto à terra quanto a Esaú, que vendeu seu direito de primogenitura por um ensopado vermelho (</w:t>
      </w:r>
      <w:hyperlink r:id="rId5577">
        <w:r>
          <w:rPr>
            <w:color w:val="0000EE"/>
            <w:u w:val="single"/>
          </w:rPr>
          <w:t>Gn 25.30</w:t>
        </w:r>
      </w:hyperlink>
      <w:r>
        <w:t xml:space="preserve">; </w:t>
      </w:r>
      <w:hyperlink r:id="rId7541">
        <w:r>
          <w:rPr>
            <w:color w:val="0000EE"/>
            <w:u w:val="single"/>
          </w:rPr>
          <w:t>36.1,8,19</w:t>
        </w:r>
      </w:hyperlink>
      <w:r>
        <w:t>). As pessoas também chamavam essa terra de Seir (</w:t>
      </w:r>
      <w:hyperlink r:id="rId7542">
        <w:r>
          <w:rPr>
            <w:color w:val="0000EE"/>
            <w:u w:val="single"/>
          </w:rPr>
          <w:t>Gn 32.3</w:t>
        </w:r>
      </w:hyperlink>
      <w:r>
        <w:t xml:space="preserve">; </w:t>
      </w:r>
      <w:hyperlink r:id="rId7543">
        <w:r>
          <w:rPr>
            <w:color w:val="0000EE"/>
            <w:u w:val="single"/>
          </w:rPr>
          <w:t>36.30</w:t>
        </w:r>
      </w:hyperlink>
      <w:r>
        <w:t xml:space="preserve">; </w:t>
      </w:r>
      <w:hyperlink r:id="rId7544">
        <w:r>
          <w:rPr>
            <w:color w:val="0000EE"/>
            <w:u w:val="single"/>
          </w:rPr>
          <w:t>Nm 24.18</w:t>
        </w:r>
      </w:hyperlink>
      <w:r>
        <w:t>).</w:t>
      </w:r>
    </w:p>
    <w:p>
      <w:pPr>
        <w:pStyle w:val="Heading3"/>
      </w:pPr>
      <w:r>
        <w:t>Onde Edom estava localizado?</w:t>
      </w:r>
    </w:p>
    <w:p>
      <w:r/>
      <w:r>
        <w:t>A fronteira norte de Edom era o Wadi Zered ("os Torrentes dos Salgueiros"), um vale de riacho (</w:t>
      </w:r>
      <w:hyperlink r:id="rId7545">
        <w:r>
          <w:rPr>
            <w:color w:val="0000EE"/>
            <w:u w:val="single"/>
          </w:rPr>
          <w:t>Is 15.7</w:t>
        </w:r>
      </w:hyperlink>
      <w:r>
        <w:t>). Há muito tempo, movimentos na superfície da terra elevaram esta região, formando um planalto alto com falésias de arenito vermelho-escuro em seu lado oeste. Estas falésias caem abruptamente em um vale chamado Arabá, que se conecta ao Mar Morto e ao Vale do Jordão.</w:t>
      </w:r>
    </w:p>
    <w:p>
      <w:r/>
      <w:r>
        <w:t>O Planalto de Edom eleva-se a 1.524 metros, atingindo 1.707 metros em alguns lugares. A área é dividida em duas partes desiguais. Punom é um vale entre a parte norte menor e a parte sul mais longa. A seção norte não é tão alta, embora em uma área limitada perto de Radhadiyeh atinja 1.615 metros. A seção sul é mais longa e mais alta. Sua crista central tem 1.524 metros de altura, com um ponto a 1.733 metros. A leste, a inclinação não cai abaixo de 1.219 metros, exceto no norte. O deserto se estende além e limita a expansão para o leste. A oeste, a terra desce abruptamente para o Arabá.</w:t>
      </w:r>
    </w:p>
    <w:p>
      <w:r/>
      <w:r>
        <w:t>O tamanho de Edom a oeste variava ao longo do tempo. O acesso ao Neguebe, ao sul de Judá, era fácil aqui. Os edomitas invadiam ocasionalmente. A fronteira sul tinha um penhasco de calcário na borda do planalto, que se estendia para leste a partir de Ain Gharandal na Arabá. Além dessa barreira ao sul, havia um deserto rochoso e árido. Os comerciantes provavelmente viajavam por ele até o porto de Eziom-Geber para o comércio.</w:t>
      </w:r>
    </w:p>
    <w:p>
      <w:r/>
      <w:r>
        <w:t>Embora a maior parte de Edom fosse difícil de habitar, algumas áreas no nordeste eram adequadas para a agricultura e criação de animais. No entanto, a riqueza de Edom vinha principalmente do comércio. Comerciantes viajando da Índia e da Arábia do Sul para a costa do Mediterrâneo e Egito passavam por Edom em uma importante estrada chamada Estrada do Rei (</w:t>
      </w:r>
      <w:hyperlink r:id="rId7546">
        <w:r>
          <w:rPr>
            <w:color w:val="0000EE"/>
            <w:u w:val="single"/>
          </w:rPr>
          <w:t>Nm 21.22</w:t>
        </w:r>
      </w:hyperlink>
      <w:r>
        <w:t>).</w:t>
      </w:r>
    </w:p>
    <w:p>
      <w:pPr>
        <w:pStyle w:val="Heading3"/>
      </w:pPr>
      <w:r>
        <w:t>A História do povo de Edom</w:t>
      </w:r>
    </w:p>
    <w:p>
      <w:r/>
      <w:r>
        <w:t xml:space="preserve">Embora </w:t>
      </w:r>
      <w:hyperlink r:id="rId7547">
        <w:r>
          <w:rPr>
            <w:color w:val="0000EE"/>
            <w:u w:val="single"/>
          </w:rPr>
          <w:t>Gênesis 10</w:t>
        </w:r>
      </w:hyperlink>
      <w:r>
        <w:t xml:space="preserve"> liste muitas linhagens familiares de tempos antigos, não menciona Edom. O nome aparece pela primeira vez em </w:t>
      </w:r>
      <w:hyperlink r:id="rId5577">
        <w:r>
          <w:rPr>
            <w:color w:val="0000EE"/>
            <w:u w:val="single"/>
          </w:rPr>
          <w:t>Gênesis 25.30</w:t>
        </w:r>
      </w:hyperlink>
      <w:r>
        <w:t xml:space="preserve">, que conta como Esaú recebeu o nome "Edom". Isso aconteceu quando ele trocou seus direitos especiais como filho mais velho (sua primogenitura) com seu irmão Jacó em troca de um ensopado vermelho. </w:t>
      </w:r>
      <w:hyperlink r:id="rId7548">
        <w:r>
          <w:rPr>
            <w:color w:val="0000EE"/>
            <w:u w:val="single"/>
          </w:rPr>
          <w:t>Gênesis 36</w:t>
        </w:r>
      </w:hyperlink>
      <w:r>
        <w:t xml:space="preserve"> menciona um reino edomita que existia antes de Israel ter seus próprios reis. No entanto, os "chefes" de Edom podem ter sido mais como líderes tribais (semelhantes aos juízes de Israel) do que reis.</w:t>
      </w:r>
    </w:p>
    <w:p>
      <w:r/>
      <w:r>
        <w:t>As primeiras menções de Edom fora da Bíblia vêm do Egito e parecem confirmar isso. A Carta de Amarna 288 (do início do século 14 a.C.) refere-se às "terras de Seir". Os reis egípcios Seti II, que governou de 1214 a 1208 a.C., e Ramsés III, que governou de 1198 a 1166 a.C., mencionam as tribos Shashu de Edom cruzando para o Egito. Não há referências egípcias a cidades ou governantes, apenas a tribos nômades de Seir-Edom.</w:t>
      </w:r>
    </w:p>
    <w:p>
      <w:r/>
      <w:r>
        <w:t xml:space="preserve">Há algumas evidências de que Ramsés II esteve na Transjordânia (a terra a Leste do Rio Jordão) por volta de 1280 a 1270 a.C. No entanto, não há evidências de um reino organizado com um único governante antes do século 13 a.C. Em vez disso, a maioria das pessoas vivia como pastores que se moviam de lugar em lugar com seus animais. A partir de então, começaram a construir assentamentos permanentes e cidades. Este período ajuda os historiadores a entenderem quando o Êxodo (a saída de Israel do Egito) pode ter ocorrido. O Cântico de Moisés em </w:t>
      </w:r>
      <w:hyperlink r:id="rId4201">
        <w:r>
          <w:rPr>
            <w:color w:val="0000EE"/>
            <w:u w:val="single"/>
          </w:rPr>
          <w:t>Êxodo 15</w:t>
        </w:r>
      </w:hyperlink>
      <w:r>
        <w:t xml:space="preserve"> refere-se aos “chefes de Edom”. Na época do Êxodo, parece ter havido um reino de Edom (</w:t>
      </w:r>
      <w:hyperlink r:id="rId7549">
        <w:r>
          <w:rPr>
            <w:color w:val="0000EE"/>
            <w:u w:val="single"/>
          </w:rPr>
          <w:t>Nm 20.14,18,20–23</w:t>
        </w:r>
      </w:hyperlink>
      <w:r>
        <w:t xml:space="preserve">; </w:t>
      </w:r>
      <w:hyperlink r:id="rId7550">
        <w:r>
          <w:rPr>
            <w:color w:val="0000EE"/>
            <w:u w:val="single"/>
          </w:rPr>
          <w:t>33.37</w:t>
        </w:r>
      </w:hyperlink>
      <w:r>
        <w:t xml:space="preserve">; </w:t>
      </w:r>
      <w:hyperlink r:id="rId7551">
        <w:r>
          <w:rPr>
            <w:color w:val="0000EE"/>
            <w:u w:val="single"/>
          </w:rPr>
          <w:t>34.3</w:t>
        </w:r>
      </w:hyperlink>
      <w:r>
        <w:t>). Os israelitas contornaram Edom em sua jornada para a terra Prometida (</w:t>
      </w:r>
      <w:hyperlink r:id="rId7552">
        <w:r>
          <w:rPr>
            <w:color w:val="0000EE"/>
            <w:u w:val="single"/>
          </w:rPr>
          <w:t>Jz 5.4</w:t>
        </w:r>
      </w:hyperlink>
      <w:r>
        <w:t xml:space="preserve">; </w:t>
      </w:r>
      <w:hyperlink r:id="rId7553">
        <w:r>
          <w:rPr>
            <w:color w:val="0000EE"/>
            <w:u w:val="single"/>
          </w:rPr>
          <w:t>11.17–18</w:t>
        </w:r>
      </w:hyperlink>
      <w:r>
        <w:t>).</w:t>
      </w:r>
    </w:p>
    <w:p>
      <w:r/>
      <w:r>
        <w:t>Quando Israel começou a ser governado por reis, Saul lutou e venceu contra Edom (</w:t>
      </w:r>
      <w:hyperlink r:id="rId6499">
        <w:r>
          <w:rPr>
            <w:color w:val="0000EE"/>
            <w:u w:val="single"/>
          </w:rPr>
          <w:t>1Sm 14.47</w:t>
        </w:r>
      </w:hyperlink>
      <w:r>
        <w:t>). Doegue, o edomita, era o chefe dos pastores de Saul (</w:t>
      </w:r>
      <w:hyperlink r:id="rId7428">
        <w:r>
          <w:rPr>
            <w:color w:val="0000EE"/>
            <w:u w:val="single"/>
          </w:rPr>
          <w:t>1Sm 21.7</w:t>
        </w:r>
      </w:hyperlink>
      <w:r>
        <w:t xml:space="preserve">; </w:t>
      </w:r>
      <w:hyperlink r:id="rId7554">
        <w:r>
          <w:rPr>
            <w:color w:val="0000EE"/>
            <w:u w:val="single"/>
          </w:rPr>
          <w:t>22.9,18–22</w:t>
        </w:r>
      </w:hyperlink>
      <w:r>
        <w:t>). No início do século 10 a.C., o Rei Davi derrotou os edomitas no Vale do Sal e em bases militares em sua terra (</w:t>
      </w:r>
      <w:hyperlink r:id="rId7555">
        <w:r>
          <w:rPr>
            <w:color w:val="0000EE"/>
            <w:u w:val="single"/>
          </w:rPr>
          <w:t>2Sm 8.13</w:t>
        </w:r>
      </w:hyperlink>
      <w:r>
        <w:t xml:space="preserve">, </w:t>
      </w:r>
      <w:hyperlink r:id="rId7556">
        <w:r>
          <w:rPr>
            <w:color w:val="0000EE"/>
            <w:u w:val="single"/>
          </w:rPr>
          <w:t>14</w:t>
        </w:r>
      </w:hyperlink>
      <w:r>
        <w:t xml:space="preserve">; </w:t>
      </w:r>
      <w:hyperlink r:id="rId7557">
        <w:r>
          <w:rPr>
            <w:color w:val="0000EE"/>
            <w:u w:val="single"/>
          </w:rPr>
          <w:t>1Cr 18.12;</w:t>
        </w:r>
      </w:hyperlink>
      <w:r>
        <w:t xml:space="preserve"> </w:t>
      </w:r>
      <w:hyperlink r:id="rId7556">
        <w:r>
          <w:rPr>
            <w:color w:val="0000EE"/>
            <w:u w:val="single"/>
          </w:rPr>
          <w:t>2Sm 8</w:t>
        </w:r>
      </w:hyperlink>
      <w:r>
        <w:t>). Não está claro se Davi os via como uma ameaça militar. É possível que ele quisesse seu cobre e a riqueza do tráfego de caravanas através de Edom.</w:t>
      </w:r>
    </w:p>
    <w:p>
      <w:r/>
      <w:r>
        <w:t>Os sucessos de Davi fizeram com que um certo Hadade fugisse para o Egito. Ele era “da linhagem real de Edom” (</w:t>
      </w:r>
      <w:hyperlink r:id="rId7558">
        <w:r>
          <w:rPr>
            <w:color w:val="0000EE"/>
            <w:u w:val="single"/>
          </w:rPr>
          <w:t>1Rs 11.14–17</w:t>
        </w:r>
      </w:hyperlink>
      <w:r>
        <w:t>). Enquanto estava no Egito, ele se casou com uma membro da família real egípcia (</w:t>
      </w:r>
      <w:hyperlink r:id="rId7559">
        <w:r>
          <w:rPr>
            <w:color w:val="0000EE"/>
            <w:u w:val="single"/>
          </w:rPr>
          <w:t>1Rs 11.18–20</w:t>
        </w:r>
      </w:hyperlink>
      <w:r>
        <w:t>). Quando Davi morreu, Hadade retornou a Edom, onde se tornou rei. Parece que uma realeza havia se desenvolvido na época de Davi. Salomão continuou a influenciar Edom. Ele tinha acesso ao porto de Eziom-Geber (</w:t>
      </w:r>
      <w:hyperlink r:id="rId7560">
        <w:r>
          <w:rPr>
            <w:color w:val="0000EE"/>
            <w:u w:val="single"/>
          </w:rPr>
          <w:t>1Rs 9.26</w:t>
        </w:r>
      </w:hyperlink>
      <w:r>
        <w:t>).</w:t>
      </w:r>
    </w:p>
    <w:p>
      <w:r/>
      <w:r>
        <w:t>A Bíblia não menciona Edom por muitos anos após o fim do reinado do Rei Salomão. A próxima vez que Edom aparece na história é durante o tempo do Rei Josafá de Judá, que governou de 872 a 848 a.C. Josafá tomou controle da cidade portuária de Eziom-Geber. No entanto, seus navios foram destruídos lá, possivelmente pelos edomitas (</w:t>
      </w:r>
      <w:hyperlink r:id="rId2336">
        <w:r>
          <w:rPr>
            <w:color w:val="0000EE"/>
            <w:u w:val="single"/>
          </w:rPr>
          <w:t>1Rs 22.48</w:t>
        </w:r>
      </w:hyperlink>
      <w:r>
        <w:t xml:space="preserve">; </w:t>
      </w:r>
      <w:hyperlink r:id="rId7561">
        <w:r>
          <w:rPr>
            <w:color w:val="0000EE"/>
            <w:u w:val="single"/>
          </w:rPr>
          <w:t>2Cr 20.36–37</w:t>
        </w:r>
      </w:hyperlink>
      <w:r>
        <w:t>). Mais tarde, os três reinos de Israel, Judá e Edom trabalharam juntos. Eles lutaram contra o Rei Messa de Moabe, mas não venceram (</w:t>
      </w:r>
      <w:hyperlink r:id="rId7562">
        <w:r>
          <w:rPr>
            <w:color w:val="0000EE"/>
            <w:u w:val="single"/>
          </w:rPr>
          <w:t>2Rs 3.4–27</w:t>
        </w:r>
      </w:hyperlink>
      <w:r>
        <w:t>). Durante o reinado do Rei Jeorão, que governou de 853 a 841 a.C., Edom se libertou do controle de Judá e escolheu seu próprio rei (</w:t>
      </w:r>
      <w:hyperlink r:id="rId7563">
        <w:r>
          <w:rPr>
            <w:color w:val="0000EE"/>
            <w:u w:val="single"/>
          </w:rPr>
          <w:t>2Rs 8.20–22</w:t>
        </w:r>
      </w:hyperlink>
      <w:r>
        <w:t>).</w:t>
      </w:r>
    </w:p>
    <w:p>
      <w:r/>
      <w:r>
        <w:t>Edom permaneceu independente até o reinado do Rei Amazias de Judá, que governou de 796 a 767 a.C. Amazias derrotou um grande exército edomita no Vale do Sal e conquistou suas terras até o sul, na cidade de Sela (</w:t>
      </w:r>
      <w:hyperlink r:id="rId7564">
        <w:r>
          <w:rPr>
            <w:color w:val="0000EE"/>
            <w:u w:val="single"/>
          </w:rPr>
          <w:t>2Rs 14.7</w:t>
        </w:r>
      </w:hyperlink>
      <w:r>
        <w:t xml:space="preserve">; </w:t>
      </w:r>
      <w:hyperlink r:id="rId7565">
        <w:r>
          <w:rPr>
            <w:color w:val="0000EE"/>
            <w:u w:val="single"/>
          </w:rPr>
          <w:t>2Cr 25.11–13</w:t>
        </w:r>
      </w:hyperlink>
      <w:r>
        <w:t xml:space="preserve">). Isso deu a Judá o controle das minas de cobre na área de Punom. O Rei Uzias de Judá conseguiu estender seu controle ao sul até Elate (perto de Eziom-Geber; </w:t>
      </w:r>
      <w:hyperlink r:id="rId7566">
        <w:r>
          <w:rPr>
            <w:color w:val="0000EE"/>
            <w:u w:val="single"/>
          </w:rPr>
          <w:t>2Rs 14.22</w:t>
        </w:r>
      </w:hyperlink>
      <w:r>
        <w:t xml:space="preserve">; </w:t>
      </w:r>
      <w:hyperlink r:id="rId7567">
        <w:r>
          <w:rPr>
            <w:color w:val="0000EE"/>
            <w:u w:val="single"/>
          </w:rPr>
          <w:t>2Cr 26.1–2</w:t>
        </w:r>
      </w:hyperlink>
      <w:r>
        <w:t>). Antes do final do século VIII a.C., nos dias do Rei Acaz de 735 a 715 a.C., Edom derrotou Judá e recuperou Elate (</w:t>
      </w:r>
      <w:hyperlink r:id="rId7568">
        <w:r>
          <w:rPr>
            <w:color w:val="0000EE"/>
            <w:u w:val="single"/>
          </w:rPr>
          <w:t>2Rs 16.6</w:t>
        </w:r>
      </w:hyperlink>
      <w:r>
        <w:t>). Após isso, Judá perdeu o controle sobre Edom.</w:t>
      </w:r>
    </w:p>
    <w:p>
      <w:r/>
      <w:r>
        <w:t>Durante o século VIII a.C., os assírios começaram a se mover para a Transjordânia. Por volta de 800 a.C., Adad-Nirari III afirmou ter derrotado vários reinos nesta área e os forçou a pagar dinheiro e bens como tributo. Mais tarde, outro rei assírio, Tiglate-Pileser III, recebeu tributo de Qaus-Malaku de Edom.</w:t>
      </w:r>
    </w:p>
    <w:p>
      <w:r/>
      <w:r>
        <w:t>Em 713 a.C., Sargão II mencionou um governante não nomeado de Edom que participou da rebelião de Asdode. O próximo rei assírio, Senaqueribe, mencionou que um governante edomita chamado Aiarammu lhe trouxe presentes. Esar-Hadom referiu-se a Qaus-Gabri, rei de Edom. Qaus-Gabri trouxe 22 de seus líderes locais para prometer lealdade à Assíria. Edom também é mencionado em registros da época de Assurbanípal</w:t>
      </w:r>
    </w:p>
    <w:p>
      <w:r/>
      <w:r>
        <w:t>Depois disso, o império Babilônico derrotou a Assíria e assumiu o controle da região. Edom continuou a servir sob o domínio Babilônico como um vassalo. Em 594, uniu-se a outras nações para discutir uma rebelião contra a Babilônia (</w:t>
      </w:r>
      <w:hyperlink r:id="rId7569">
        <w:r>
          <w:rPr>
            <w:color w:val="0000EE"/>
            <w:u w:val="single"/>
          </w:rPr>
          <w:t>Jr 27</w:t>
        </w:r>
      </w:hyperlink>
      <w:r>
        <w:t>). No entanto, quando o Rei Nabucodonosor mais tarde atacou algumas dessas nações, ele não atacou Edom ou Moabe.</w:t>
      </w:r>
    </w:p>
    <w:p>
      <w:r/>
      <w:r>
        <w:t>Quando os babilônios destruíram Jerusalém em 586 a.C., Edom manteve-se neutro no conflito. Eles até deram abrigo a algumas pessoas que fugiram de Judá (</w:t>
      </w:r>
      <w:hyperlink r:id="rId1150">
        <w:r>
          <w:rPr>
            <w:color w:val="0000EE"/>
            <w:u w:val="single"/>
          </w:rPr>
          <w:t>Jr 40.11</w:t>
        </w:r>
      </w:hyperlink>
      <w:r>
        <w:t>). No entanto, o profeta Obadias criticou Edom por não ajudar Judá durante a invasão babilônica (</w:t>
      </w:r>
      <w:hyperlink r:id="rId7570">
        <w:r>
          <w:rPr>
            <w:color w:val="0000EE"/>
            <w:u w:val="single"/>
          </w:rPr>
          <w:t>Ob 1.11</w:t>
        </w:r>
      </w:hyperlink>
      <w:r>
        <w:t>). Em vez disso, eles saquearam Judá, entregaram cativos à Babilônia e tomaram terras no Neguebe (</w:t>
      </w:r>
      <w:hyperlink r:id="rId7571">
        <w:r>
          <w:rPr>
            <w:color w:val="0000EE"/>
            <w:u w:val="single"/>
          </w:rPr>
          <w:t>Ez 35</w:t>
        </w:r>
      </w:hyperlink>
      <w:r>
        <w:t>).</w:t>
      </w:r>
    </w:p>
    <w:p>
      <w:r/>
      <w:r>
        <w:t>Por muitos anos, houve um forte ódio entre Judá e Edom. Vários profetas proferiram palavras duras contra Edom em suas mensagens de Deus (</w:t>
      </w:r>
      <w:hyperlink r:id="rId7572">
        <w:r>
          <w:rPr>
            <w:color w:val="0000EE"/>
            <w:u w:val="single"/>
          </w:rPr>
          <w:t>Is 11.14</w:t>
        </w:r>
      </w:hyperlink>
      <w:r>
        <w:t xml:space="preserve">; </w:t>
      </w:r>
      <w:hyperlink r:id="rId7573">
        <w:r>
          <w:rPr>
            <w:color w:val="0000EE"/>
            <w:u w:val="single"/>
          </w:rPr>
          <w:t>34.5–17</w:t>
        </w:r>
      </w:hyperlink>
      <w:r>
        <w:t xml:space="preserve">; </w:t>
      </w:r>
      <w:hyperlink r:id="rId7574">
        <w:r>
          <w:rPr>
            <w:color w:val="0000EE"/>
            <w:u w:val="single"/>
          </w:rPr>
          <w:t>Ez 32.29</w:t>
        </w:r>
      </w:hyperlink>
      <w:r>
        <w:t xml:space="preserve">; </w:t>
      </w:r>
      <w:hyperlink r:id="rId7065">
        <w:r>
          <w:rPr>
            <w:color w:val="0000EE"/>
            <w:u w:val="single"/>
          </w:rPr>
          <w:t>Jl 3.19</w:t>
        </w:r>
      </w:hyperlink>
      <w:r>
        <w:t xml:space="preserve">; </w:t>
      </w:r>
      <w:hyperlink r:id="rId7575">
        <w:r>
          <w:rPr>
            <w:color w:val="0000EE"/>
            <w:u w:val="single"/>
          </w:rPr>
          <w:t>Am 1.11–12</w:t>
        </w:r>
      </w:hyperlink>
      <w:r>
        <w:t xml:space="preserve">; </w:t>
      </w:r>
      <w:hyperlink r:id="rId7576">
        <w:r>
          <w:rPr>
            <w:color w:val="0000EE"/>
            <w:u w:val="single"/>
          </w:rPr>
          <w:t>Ml 1.2–4</w:t>
        </w:r>
      </w:hyperlink>
      <w:r>
        <w:t>). Edom começou a enfraquecer. Muitas pessoas deixaram suas cidades, que foram abandonadas. Ao mesmo tempo, grupos de edomitas se mudaram para novas áreas. Eles se estabeleceram na região montanhosa ao sul de Judá, no lado oeste do Vale do Arabá. Muito mais tarde, durante os tempos romanos, essa área se tornou uma província chamada Idumeia. Idumeia surgiu do que havia sido a província persa de Edom, e seu principal centro governamental estava na cidade de Laquis.</w:t>
      </w:r>
    </w:p>
    <w:p>
      <w:r/>
      <w:r>
        <w:t>Enquanto isso, na terra natal original de Edom, a leste do Vale do Arabá, grupos árabes começaram a se mover para a terra desocupada. Eventualmente, um povo chamado Nabateus estabeleceu-se no que antes havia sido Edom.</w:t>
      </w:r>
      <w:r/>
      <w:r/>
    </w:p>
    <w:p>
      <w:r/>
    </w:p>
    <w:p>
      <w:pPr>
        <w:pStyle w:val="Heading2"/>
      </w:pPr>
      <w:r>
        <w:t>Edrei</w:t>
      </w:r>
      <w:r/>
    </w:p>
    <w:p>
      <w:r/>
      <w:r>
        <w:t>1. Cidade de residência de Ogue, rei de Basã (</w:t>
      </w:r>
      <w:hyperlink r:id="rId2793">
        <w:r>
          <w:rPr>
            <w:color w:val="0000EE"/>
            <w:u w:val="single"/>
          </w:rPr>
          <w:t>Dt 1.4</w:t>
        </w:r>
      </w:hyperlink>
      <w:r>
        <w:t xml:space="preserve">; </w:t>
      </w:r>
      <w:hyperlink r:id="rId7577">
        <w:r>
          <w:rPr>
            <w:color w:val="0000EE"/>
            <w:u w:val="single"/>
          </w:rPr>
          <w:t>3.10</w:t>
        </w:r>
      </w:hyperlink>
      <w:r>
        <w:t xml:space="preserve">; </w:t>
      </w:r>
      <w:hyperlink r:id="rId2795">
        <w:r>
          <w:rPr>
            <w:color w:val="0000EE"/>
            <w:u w:val="single"/>
          </w:rPr>
          <w:t>Js 12.4</w:t>
        </w:r>
      </w:hyperlink>
      <w:r>
        <w:t xml:space="preserve">; </w:t>
      </w:r>
      <w:hyperlink r:id="rId7578">
        <w:r>
          <w:rPr>
            <w:color w:val="0000EE"/>
            <w:u w:val="single"/>
          </w:rPr>
          <w:t>13.12</w:t>
        </w:r>
      </w:hyperlink>
      <w:r>
        <w:t>). Estava localizada no ramo sul do rio Harmuk, que era a fronteira sul de Basã. Neste ponto estratégico, Ogue podia observar a região vizinha em busca de invasores do sul ou do leste, onde a terra se transformava em deserto. Em Edrei, Moisés conseguiu derrotar Ogue antes de destruir a cidade (</w:t>
      </w:r>
      <w:hyperlink r:id="rId2489">
        <w:r>
          <w:rPr>
            <w:color w:val="0000EE"/>
            <w:u w:val="single"/>
          </w:rPr>
          <w:t>Nm 21.33–35</w:t>
        </w:r>
      </w:hyperlink>
      <w:r>
        <w:t xml:space="preserve">; </w:t>
      </w:r>
      <w:hyperlink r:id="rId7579">
        <w:r>
          <w:rPr>
            <w:color w:val="0000EE"/>
            <w:u w:val="single"/>
          </w:rPr>
          <w:t>Dt 3.1–6</w:t>
        </w:r>
      </w:hyperlink>
      <w:r>
        <w:t>). O território foi atribuído aos maquiritas, o clã oriental da tribo de Manassés (</w:t>
      </w:r>
      <w:hyperlink r:id="rId7580">
        <w:r>
          <w:rPr>
            <w:color w:val="0000EE"/>
            <w:u w:val="single"/>
          </w:rPr>
          <w:t>Js 13.31</w:t>
        </w:r>
      </w:hyperlink>
      <w:r>
        <w:t>). O local moderno de Edrei parece ser Derba, uma cidade de 5.000 habitantes na Síria. Muitos vestígios importantes da antiguidade sobrevivem nesta cidade, incluindo lojas, cisternas, ruas e cavernas subterrâneas.</w:t>
      </w:r>
    </w:p>
    <w:p>
      <w:r/>
      <w:r>
        <w:t>2. Cidade fortificada atribuída a Naftali (</w:t>
      </w:r>
      <w:hyperlink r:id="rId7581">
        <w:r>
          <w:rPr>
            <w:color w:val="0000EE"/>
            <w:u w:val="single"/>
          </w:rPr>
          <w:t>Js 19.37</w:t>
        </w:r>
      </w:hyperlink>
      <w:r>
        <w:t>). Estava perto de Quedes e possivelmente pode ser identificada com a moderna Tell Khureibeh.</w:t>
      </w:r>
      <w:r/>
      <w:r/>
    </w:p>
    <w:p>
      <w:r/>
    </w:p>
    <w:p>
      <w:pPr>
        <w:pStyle w:val="Heading2"/>
      </w:pPr>
      <w:r>
        <w:t>Educação</w:t>
      </w:r>
      <w:r/>
    </w:p>
    <w:p>
      <w:r/>
      <w:r>
        <w:t>O ato ou processo de educar, ou ser educado. O propósito original da educação judaica era ensinar as crianças a conhecer e entender seu relacionamento especial com Deus, ensiná-las a servi-lo e educá-las em santidade. A educação judaica posterior incluiu o desenvolvimento do caráter e a história do povo de Deus (especialmente através do ensaio de seus atos de libertação). Por causa dessa educação, os judeus conheciam a lei mosaica e sua própria história e, assim, durante períodos de subjugação a potências estrangeiras, eles foram capazes de manter seu orgulho nacional. Nos tempos modernos, eles se restabeleceram como uma nação (1948).</w:t>
      </w:r>
    </w:p>
    <w:p>
      <w:r/>
      <w:r>
        <w:t>Resumo</w:t>
      </w:r>
    </w:p>
    <w:p>
      <w:r/>
      <w:r>
        <w:t>• Educação no lar</w:t>
      </w:r>
    </w:p>
    <w:p>
      <w:r/>
      <w:r>
        <w:t>• Educação religiosa</w:t>
      </w:r>
    </w:p>
    <w:p>
      <w:r/>
      <w:r>
        <w:t>• Educação formal</w:t>
      </w:r>
    </w:p>
    <w:p>
      <w:r/>
      <w:r>
        <w:t>• Alfabetização entre os judeus</w:t>
      </w:r>
    </w:p>
    <w:p>
      <w:r/>
      <w:r>
        <w:t>• Educação nas colônias vizinhas</w:t>
      </w:r>
    </w:p>
    <w:p>
      <w:pPr>
        <w:pStyle w:val="Heading3"/>
      </w:pPr>
      <w:r>
        <w:t>Educação no lar</w:t>
      </w:r>
    </w:p>
    <w:p>
      <w:r/>
      <w:r>
        <w:t>A prioridade dada à educação decorreu da valorização das crianças na família judaica. As crianças eram uma grande alegria e recompensa (</w:t>
      </w:r>
      <w:hyperlink r:id="rId7582">
        <w:r>
          <w:rPr>
            <w:color w:val="0000EE"/>
            <w:u w:val="single"/>
          </w:rPr>
          <w:t>Sl 127.3–5</w:t>
        </w:r>
      </w:hyperlink>
      <w:r>
        <w:t>). A educação no lar começa logo após uma criança desenvolve a habilidade da fala, indubitavelmente a partir dos três anos de idade. Os pais ensinavam orações e cânticos, os quais as crianças aprendiam pela repetição, assim como as crianças de hoje aprendem canções de ninar.</w:t>
      </w:r>
    </w:p>
    <w:p>
      <w:r/>
      <w:r>
        <w:t>Em casa, as crianças ficaram cientes de certos itens e símbolos religiosos. Eles foram encorajados a perguntar sobre o significado da liturgia anual de Páscoa (</w:t>
      </w:r>
      <w:hyperlink r:id="rId7583">
        <w:r>
          <w:rPr>
            <w:color w:val="0000EE"/>
            <w:u w:val="single"/>
          </w:rPr>
          <w:t>Êx 12.26</w:t>
        </w:r>
      </w:hyperlink>
      <w:r>
        <w:t>), que serviu ao longo da história hebraica como um meio fundamental de instrução sobre a natureza e significado do poder de Deus na vida humana. As crianças, sem dúvida, tinham perguntas sobre objetos que encontravam, como vasos sagrados, ornamentos ou roupas usadas no tabernáculo, ou durante culto litúrgico no templo, ou coisas mais mundanas da vida cotidiana.</w:t>
      </w:r>
    </w:p>
    <w:p>
      <w:r/>
      <w:r>
        <w:t>A responsabilidade parental pela educação estava claramente definida. Um pai deveria dar instrução, ao seu filho, na religião e na história do povo hebreu. Ele também era especificamente incumbido de ensinar seu filho um ofício, muitas vezes seu próprio, uma vez que um menino sem ofício causava a impressão de ter sido treinado a viver como um ladrão. As outras responsabilidades de um pai incluíam encontrar uma esposa para seu filho e ensiná-lo a nadar.</w:t>
      </w:r>
    </w:p>
    <w:p>
      <w:r/>
      <w:r>
        <w:t>Os rabinos mantinham posição de que as mulheres não poderiam estudar a Lei porque elas possuíam “mente influenciável”. No entanto, as mulheres influentes na Bíblia incluem Débora (</w:t>
      </w:r>
      <w:hyperlink r:id="rId7584">
        <w:r>
          <w:rPr>
            <w:color w:val="0000EE"/>
            <w:u w:val="single"/>
          </w:rPr>
          <w:t>Jz 4.4–5</w:t>
        </w:r>
      </w:hyperlink>
      <w:r>
        <w:t xml:space="preserve">), Jael (vv. </w:t>
      </w:r>
      <w:hyperlink r:id="rId7585">
        <w:r>
          <w:rPr>
            <w:color w:val="0000EE"/>
            <w:u w:val="single"/>
          </w:rPr>
          <w:t>18–24</w:t>
        </w:r>
      </w:hyperlink>
      <w:r>
        <w:t>), a mulher sábia de Tecoa (</w:t>
      </w:r>
      <w:hyperlink r:id="rId7586">
        <w:r>
          <w:rPr>
            <w:color w:val="0000EE"/>
            <w:u w:val="single"/>
          </w:rPr>
          <w:t>2 Sm 14.2–20</w:t>
        </w:r>
      </w:hyperlink>
      <w:r>
        <w:t>), a mulher sábia de Abel-Bete-Maaca (</w:t>
      </w:r>
      <w:hyperlink r:id="rId7587">
        <w:r>
          <w:rPr>
            <w:color w:val="0000EE"/>
            <w:u w:val="single"/>
          </w:rPr>
          <w:t>20.16–22</w:t>
        </w:r>
      </w:hyperlink>
      <w:r>
        <w:t>), Loide, Eunice e Priscila (</w:t>
      </w:r>
      <w:hyperlink r:id="rId3066">
        <w:r>
          <w:rPr>
            <w:color w:val="0000EE"/>
            <w:u w:val="single"/>
          </w:rPr>
          <w:t>Atos 18.2</w:t>
        </w:r>
      </w:hyperlink>
      <w:r>
        <w:t>;</w:t>
      </w:r>
      <w:hyperlink r:id="rId2219">
        <w:r>
          <w:rPr>
            <w:color w:val="0000EE"/>
            <w:u w:val="single"/>
          </w:rPr>
          <w:t>Rm 16.3</w:t>
        </w:r>
      </w:hyperlink>
      <w:r>
        <w:t xml:space="preserve">; </w:t>
      </w:r>
      <w:hyperlink r:id="rId2303">
        <w:r>
          <w:rPr>
            <w:color w:val="0000EE"/>
            <w:u w:val="single"/>
          </w:rPr>
          <w:t>1 Co 16.19</w:t>
        </w:r>
      </w:hyperlink>
      <w:r>
        <w:t xml:space="preserve">; </w:t>
      </w:r>
      <w:hyperlink r:id="rId7588">
        <w:r>
          <w:rPr>
            <w:color w:val="0000EE"/>
            <w:u w:val="single"/>
          </w:rPr>
          <w:t>2 Tm 1.5</w:t>
        </w:r>
      </w:hyperlink>
      <w:r>
        <w:t>).</w:t>
      </w:r>
    </w:p>
    <w:p>
      <w:r/>
      <w:r>
        <w:t>A mãe judia desempenhou um papel considerável na educação de uma criança, especialmente nos primeiros anos. Uma mãe deveria ajudar a ensinar seus filhos, mas sua principal responsabilidade era treinar suas filhas. Uma vez que as filhas eram menos estimadas do que os filhos, a educação de uma menina ocorria inteiramente no lar. A mãe era responsável por educar suas filhas para serem donas de casa bem-sucedidas: esposas obedientes, capazes e virtuosas. As meninas aprendiam as habilidades de cozinhar, fiar, tecer, tingir, zelar pelas crianças e gerenciar escravos. Eles aprenderam a moer grãos e às vezes ajudavam com a colheita. Ocasionalmente esperava-se que ajudassem a proteger a vinha ou, se caso não tivessem irmãos, ajudassem a proteger os rebanhos.</w:t>
      </w:r>
    </w:p>
    <w:p>
      <w:r/>
      <w:r>
        <w:t>As meninas provavelmente aprendiam música e dança e esperava-se que tivessem boas maneiras e altos padrões morais. Eles foram ensinados a ler, e alguns aprenderam a escrever e contar pesos e medidas. Em circunstâncias excepcionais, uma menina podia receber uma educação avançada no lar, por meio de um tutor.</w:t>
      </w:r>
    </w:p>
    <w:p>
      <w:r/>
      <w:r>
        <w:t>Mesmo quando a educação era inteiramente centrada em casa, é provável que a maioria das crianças ricas e especialmente da realeza fossem instruídas por um tutor, seguindo uma tradição estabelecida por outros povos do Oriente Próximo.</w:t>
      </w:r>
    </w:p>
    <w:p>
      <w:pPr>
        <w:pStyle w:val="Heading3"/>
      </w:pPr>
      <w:r>
        <w:t>Educação religiosa</w:t>
      </w:r>
    </w:p>
    <w:p>
      <w:r/>
      <w:r>
        <w:t>Em tenra idade, as crianças acompanhavam seus pais para os serviços religiosos. Nos grandes festivais, eles eram introduzidos a episódios importantes na história judaica. Os judeus - um povo agrícola - acreditavam que o conhecimento agrícola havia sido revelado por Deus e que tratar do terreno era uma responsabilidade humana básica. Como algumas outras nações do Oriente Próximo, eles acreditavam que a terra pertencia a Deus. Eles eram meros arrendatários. Se uma colheita falhasse, era porque Deus reteve a chuva, mas ele faria isso apenas se as pessoas fossem pecadoras.</w:t>
      </w:r>
    </w:p>
    <w:p>
      <w:r/>
      <w:r>
        <w:t>As celebrações da Páscoa, Pentecostes e a Festa dos Tabernáculos foram associadas com a colheita. Ao longo do período bíblico, esses festivais permaneceram intimamente identificados com a estação de crescimento. Tais ocasiões se tornaram oportunidades educacionais para crianças. Eles aprenderam que a Páscoa comemorou a libertação de seus antepassados da escravidão no Egito. No Pentecostes, o povo judeu se lembrou de Deus dando a lei a Moisés no Monte Sinai. A Festa dos Tabernáculos, com suas cabines verdes feitas de ramos de árvores, comemorava a fidelidade de Deus aos judeus em sua jornada aparentemente interminável para a Terra Prometida.</w:t>
      </w:r>
    </w:p>
    <w:p>
      <w:r/>
      <w:r>
        <w:t>Um exemplo de uma cerimônia utilizada como ferramenta de ensino é a liturgia da Páscoa que, dos três grandes festivais, era o menos diretamente conectado em origem com a colheita. Essa festa, que era imediatamente seguida por um período de sete dias conhecido como Festa dos Pães Asmos (</w:t>
      </w:r>
      <w:hyperlink r:id="rId7589">
        <w:r>
          <w:rPr>
            <w:color w:val="0000EE"/>
            <w:u w:val="single"/>
          </w:rPr>
          <w:t>Lv 23.6</w:t>
        </w:r>
      </w:hyperlink>
      <w:r>
        <w:t>), foi associada com o início da colheita da cevada em abril. (O Êxodo do Egito havia ocorrido naquela época do ano).</w:t>
      </w:r>
    </w:p>
    <w:p>
      <w:r/>
      <w:r>
        <w:t>Na cerimônia de Páscoa, o sacerdote tomaria um dos primeiros feixes da colheita da cevada e acenaria diante do Senhor (</w:t>
      </w:r>
      <w:hyperlink r:id="rId7590">
        <w:r>
          <w:rPr>
            <w:color w:val="0000EE"/>
            <w:u w:val="single"/>
          </w:rPr>
          <w:t>Lv 23.9–11</w:t>
        </w:r>
      </w:hyperlink>
      <w:r>
        <w:t>). Antes disso, os homens escolheriam um campo de cevada, aleatoriamente, e amarrariam alguns dos melhores feixes, deixando-os de pé. Na noite seguinte, três homens sairiam para aquele campo com foices e cestos para colher esses feixes especificamente preparados. À medida que os espectadores (incluindo as crianças) se reuniam para observar a cerimônia, os ceifeiros faziam à multidão certas perguntas tradicionais. Ano após ano, as crianças observavam essa liturgia e ouviam as respostas. A cevada era cortada e levada para o pátio do templo, onde era debulhada e espinhada. Parte dela era misturada com óleo e incenso e usada como uma oferta. O remanescente ia para os sacerdotes.</w:t>
      </w:r>
    </w:p>
    <w:p>
      <w:pPr>
        <w:pStyle w:val="Heading3"/>
      </w:pPr>
      <w:r>
        <w:t>Educação formal</w:t>
      </w:r>
    </w:p>
    <w:p>
      <w:r/>
      <w:r>
        <w:t xml:space="preserve">A educação judaica durante o período bíblico ajudou os judeus a conhecer a Lei, estudar a história do povo judeu e formar proficientes em leitura, escrita e uma certa quantidade de aritmética. Para isso, informações incidentais, como o valor medicinal de certas ervas (ver </w:t>
      </w:r>
      <w:hyperlink r:id="rId7591">
        <w:r>
          <w:rPr>
            <w:color w:val="0000EE"/>
            <w:u w:val="single"/>
          </w:rPr>
          <w:t>1Rs 4.33</w:t>
        </w:r>
      </w:hyperlink>
      <w:r>
        <w:t>), às vezes podem ser adicionadas.</w:t>
      </w:r>
    </w:p>
    <w:p>
      <w:pPr>
        <w:pStyle w:val="Heading4"/>
      </w:pPr>
      <w:r>
        <w:t>Mestres</w:t>
      </w:r>
    </w:p>
    <w:p>
      <w:r/>
      <w:r>
        <w:t xml:space="preserve">Os sacerdotes instruíam as pessoas no conhecimento de Deus. Como oficiais da sinagoga, os levitas também desempenharam um papel de ensino (cf. </w:t>
      </w:r>
      <w:hyperlink r:id="rId7592">
        <w:r>
          <w:rPr>
            <w:color w:val="0000EE"/>
            <w:u w:val="single"/>
          </w:rPr>
          <w:t>Dt 33.10</w:t>
        </w:r>
      </w:hyperlink>
      <w:r>
        <w:t xml:space="preserve">; </w:t>
      </w:r>
      <w:hyperlink r:id="rId7593">
        <w:r>
          <w:rPr>
            <w:color w:val="0000EE"/>
            <w:u w:val="single"/>
          </w:rPr>
          <w:t>2Cr 35.3</w:t>
        </w:r>
      </w:hyperlink>
      <w:r>
        <w:t>). Antes do exílio, os profetas assumiram o papel de instrutores, ensinando a herança histórica do povo e agindo como críticos da injustiça e comportamento social impróprio. Sua responsabilidade era interpretar a lei para a sociedade contemporânea. No quarto século a.C., o papel dos profetas como instrutores havia passado para os escribas e para outros designados como mestres.</w:t>
      </w:r>
    </w:p>
    <w:p>
      <w:r/>
      <w:r>
        <w:t>Nos séculos antes de Cristo, os escribas não apenas transcreveram e preservaram as tradições em forma escrita, mas eram estudantes e intérpretes da lei. Os escribas eram conhecidos como “doutores da lei” (</w:t>
      </w:r>
      <w:hyperlink r:id="rId7499">
        <w:r>
          <w:rPr>
            <w:color w:val="0000EE"/>
            <w:u w:val="single"/>
          </w:rPr>
          <w:t>Lc 5.17</w:t>
        </w:r>
      </w:hyperlink>
      <w:r>
        <w:t>, ACF), juristas (</w:t>
      </w:r>
      <w:hyperlink r:id="rId7594">
        <w:r>
          <w:rPr>
            <w:color w:val="0000EE"/>
            <w:u w:val="single"/>
          </w:rPr>
          <w:t>Mt 22.35</w:t>
        </w:r>
      </w:hyperlink>
      <w:r>
        <w:t>), e rabinos (</w:t>
      </w:r>
      <w:hyperlink r:id="rId7595">
        <w:r>
          <w:rPr>
            <w:color w:val="0000EE"/>
            <w:u w:val="single"/>
          </w:rPr>
          <w:t>23.8</w:t>
        </w:r>
      </w:hyperlink>
      <w:r>
        <w:t>). Toda a educação superior estava em suas mãos, e eles desenvolveram um sistema complexo de instrução conhecido como “a tradição dos anciãos” (</w:t>
      </w:r>
      <w:hyperlink r:id="rId7596">
        <w:r>
          <w:rPr>
            <w:color w:val="0000EE"/>
            <w:u w:val="single"/>
          </w:rPr>
          <w:t>15.2–6</w:t>
        </w:r>
      </w:hyperlink>
      <w:r>
        <w:t>). Embora os escribas precisassem de lazer para suas atividades acadêmicas, eles não desprezavam os trabalhos. A maioria deles, de fato, praticava um comércio como um meio de renda, quando necessário.</w:t>
      </w:r>
    </w:p>
    <w:p>
      <w:r/>
      <w:r>
        <w:t>Embora os escribas fossem influentes no tempo de Cristo (</w:t>
      </w:r>
      <w:hyperlink r:id="rId7597">
        <w:r>
          <w:rPr>
            <w:color w:val="0000EE"/>
            <w:u w:val="single"/>
          </w:rPr>
          <w:t>Mt 23.1–2</w:t>
        </w:r>
      </w:hyperlink>
      <w:r>
        <w:t>), eles, sem dúvida, perceberam, como os profetas antes deles, que suas palavras nem sempre eram acolhidas. Os escribas, que exerceram uma influência importante sobre a vida e a moral contemporâneas, eram notáveis por sua oposição feroz a Jesus (</w:t>
      </w:r>
      <w:hyperlink r:id="rId5646">
        <w:r>
          <w:rPr>
            <w:color w:val="0000EE"/>
            <w:u w:val="single"/>
          </w:rPr>
          <w:t>Mc 2.6</w:t>
        </w:r>
      </w:hyperlink>
      <w:r>
        <w:t>) e à igreja primitiva (</w:t>
      </w:r>
      <w:hyperlink r:id="rId1392">
        <w:r>
          <w:rPr>
            <w:color w:val="0000EE"/>
            <w:u w:val="single"/>
          </w:rPr>
          <w:t>Atos 4.5</w:t>
        </w:r>
      </w:hyperlink>
      <w:r>
        <w:t xml:space="preserve">; </w:t>
      </w:r>
      <w:hyperlink r:id="rId7598">
        <w:r>
          <w:rPr>
            <w:color w:val="0000EE"/>
            <w:u w:val="single"/>
          </w:rPr>
          <w:t>6.12</w:t>
        </w:r>
      </w:hyperlink>
      <w:r>
        <w:t>).</w:t>
      </w:r>
    </w:p>
    <w:p>
      <w:r/>
      <w:r>
        <w:t>Na era do NT, era esperado que toda a comunidade estabeleceria e administraria escolas de ensino fundamental. A comunidade também era responsável por financiar a educação de crianças pobres ou órfãs. Em alta consideração pelos primeiros sacerdotes, profetas e escribas, e por causa da posição eminente dada à educação, os mestres eram altamente estimados pelo povo judeu. Porque Deus havia lhes dado a lei, era de maior importância. Aquele que trabalhou como servo de Deus expondo a lei era, portanto, a pessoa mais importante na comunidade. Ser um mestre era o maior privilégio da vida e a tarefa mais significativa que um homem poderia realizar.</w:t>
      </w:r>
    </w:p>
    <w:p>
      <w:r/>
      <w:r>
        <w:t>Esperava-se que os professores demonstrem caráter excepcional, juntamente com suas qualificações acadêmicas. Esperava-se que eles evitassem que as crianças tivessem contato com qualquer coisa prejudicial. Eles não deveriam mostrar amargura ou dar preferência a uma criança sobre outra. Em vez de ameaçar, eles deveriam explicar o certo e o errado e a nocividade do pecado. Esperava-se que os mestres cumprissem as promessas feitas às crianças para que os alunos não se acostumassem com juramentos quebrados e mentiras. Os mestres deveriam ser equilibrados, nunca impacientes ou desprovidos de compreensão, sempre preparados para repetir explicações. Foi dito que as crianças deveriam ser tratadas como novilhas, com seus fardos aumentados diariamente. No entanto, qualquer mestre que fosse muito severo era demitido.</w:t>
      </w:r>
    </w:p>
    <w:p>
      <w:pPr>
        <w:pStyle w:val="Heading4"/>
      </w:pPr>
      <w:r>
        <w:t>Assunto</w:t>
      </w:r>
    </w:p>
    <w:p>
      <w:r/>
      <w:r>
        <w:t>A educação inicial consistia em aprender a lei através da audição e repetição oral, juntamente com o estudo do texto escrito. O conteúdo da lei abrangia três áreas principais: cerimonial, civil e penal. Os estudantes precisavam dominar isso, preparando-se para assumir a responsabilidade em observar a lei como adultos.</w:t>
      </w:r>
    </w:p>
    <w:p>
      <w:r/>
      <w:r>
        <w:t>As Escrituras continham uma tal variedade de escritos que os alunos aprenderam sobre religião, história, lei, moral e etiqueta, além de leitura, escrita e aritmética. Eles estudavam a partir da grande literatura; junto com a Lei, eles utilizavam os livros de Salmos, Provérbios e Eclesiastes como textos, extensivamente. Os Manuscritos do Mar Morto demostraram que algum hebraico clássico ainda estava sendo falado nos tempos do NT. Os estudantes que comumente falavam aramaico ou grego foram confrontados com uma situação difícil ao aprender o hebraico do AT. O problema era especialmente complexo porque o hebraico foi escrito sem quaisquer sons de vogais. Esses tinham que ser memorizados em associação com as consoantes do texto.</w:t>
      </w:r>
    </w:p>
    <w:p>
      <w:r/>
      <w:r>
        <w:t>Uma vez que os antigos hebreus eram geralmente considerados como os músicos e cantores mais proficientes no Oriente Próximo, é provável que a instrução básica em cantar e tocar instrumentos, como a flauta e a harpa, fosse ensinada no lar. Embora nenhum hino hebraico tenha sobrevivido em forma musical, os cantores do templo quase estavam certamente familiarizados com o tipo de teoria musical conhecida entre os cananeus. (Um texto musical restaurado de Ugarit [Ras Shamra] consistia em uma balada ou um hino inscrito em argila com símbolos musicais estranhos que há muito desafiavam uma identificação. Datado em, talvez, 1800 a.C., esse texto cananeu foi descrito como a “partitura mais antiga do mundo”).</w:t>
      </w:r>
    </w:p>
    <w:p>
      <w:r/>
      <w:r>
        <w:t>Durante o exílio, especialmente, grande ênfase foi colocada em registrar e preservar costumes e cerimônias antigas para manter a distinção da cultura hebraica. Os cativos reconheceram a importância de manter viva sua herança nacional e a Lei durante os anos em que estavam vivendo em uma cultura estrangeira.</w:t>
      </w:r>
    </w:p>
    <w:p>
      <w:r/>
      <w:r>
        <w:t>A sinagoga se desenvolveu durante o exílio como um lugar para o estudo da religião e para a oração, tornando-se o centro de instrução na fé judaica. Anteriormente, o templo em Jerusalém havia sido o único lugar para sacrifício. Como esse ritual não poderia ser realizado na Babilônia, era natural que a sinagoga aumentasse em importância na adoração, bem como no ensino.</w:t>
      </w:r>
    </w:p>
    <w:p>
      <w:r/>
      <w:r>
        <w:t>O exílio trouxe mudanças fundamentais na vida judaica em áreas que não são puramente religiosas. A educação recebeu estímulo considerável a partir do contato dos exilados judeus com a cultura mais sofisticada dos babilônios. O código da lei babilônica era uma característica precisa e bem estabelecida da vida. Escolas e bibliotecas na Babilônia existiam há muitos anos. O conhecimento mesopotâmico de medicina, astronomia, matemática, arquitetura e engenharia era muito superiores ao dos judeus. Nesse ambiente intelectual, a literatura dos judeus assumiu um novo significado; foi desse período que os livros de Ezequiel e Daniel emergiram.</w:t>
      </w:r>
    </w:p>
    <w:p>
      <w:r/>
      <w:r>
        <w:t>No período pós-exílico, o ensino era baseado extensivamente em Provérbios e nos livros apócrifos de Eclesiástico e a Sabedoria de Salomão. Dessas obras, os judeus receberam treinamento prático para uma vida bem-sucedida. Os escribas ensinavam que a sabedoria veio de Deus e que aqueles que obedeciam aos mandamentos trariam alegria e honra aos outros.</w:t>
      </w:r>
    </w:p>
    <w:p>
      <w:r/>
      <w:r>
        <w:t>Sob o governo persa no sexto século a.C., os judeus haviam sido encorajados a voltar para Jerusalém e reconstruir o templo. Depois de 332 a.C., quando Alexandre, o Grande, derrotou o rei persa Dario, fortes esforços foram feitos para helenizar os povos conquistados. A língua grega foi introduzida junto com a religião, procedimentos políticos e métodos educacionais gregos. A unidade para a helenização continuou sob o governo dos Ptolomeus (uma linhagem familiar macedônica que governava o Egito) e dos selêucidas (uma dinastia síria). Coincidentemente, com o estabelecimento de governo estrangeiro, veio o domínio do sacerdócio judeu em assuntos políticos da Judeia. A influência grega foi vista na apreciação de estética enriquecida, típica de certos governantes judeus.</w:t>
      </w:r>
    </w:p>
    <w:p>
      <w:r/>
      <w:r>
        <w:t>Embora a filosofia e os esportes gregos tenham permanecido fora do reino da educação judaica, houve um declínio notável nos padrões religiosos e morais judaicos no período helenístico. Alguns judeus estavam ansiosos para obter avanço a partir dos mestres estrangeiros, prosseguindo na adoção da cultura grega. Outros lutaram desesperadamente para preservar sua herança judaica. Durante os tempos romanos, a influência estrangeira era novamente ignorada pelos judeus fiéis, sempre que possível.</w:t>
      </w:r>
    </w:p>
    <w:p>
      <w:pPr>
        <w:pStyle w:val="Heading4"/>
      </w:pPr>
      <w:r>
        <w:t>Métodos de ensino</w:t>
      </w:r>
    </w:p>
    <w:p>
      <w:r/>
      <w:r>
        <w:t>Os métodos de ensino, desenvolvidos a partir da memorização da Lei, enfatizaram a importância da retenção e da reminiscência. As crianças foram ensinadas a memorizar, assim que desenvolviam a fala, e elas foram treinadas para repetir com exatidão as palavras, para que nenhuma nuance de significado fosse alterada. O alfabeto foi ensinado e memorizado por meio de repetição escrita e detalhada. Os estudantes copiaram e recopiaram passagens da Lei escrita em uma caligrafia precisa e pura. Qualquer pedaço de escrita contendo um erro era considerado perigoso, uma vez que poderia imprimir a palavra ou ortografia erradas na mente do aluno. Ler em voz alta era recomendada como uma ajuda para memorizar.</w:t>
      </w:r>
    </w:p>
    <w:p>
      <w:r/>
      <w:r>
        <w:t xml:space="preserve">Para ajudar a aprender, cada menino também recebia um texto pessoal que começava com a primeira letra de seu nome e terminava com a última. Assim que ele demonstrava sua capacidade de ler, ele recebia um pergaminho que continha as primeiras palavras de </w:t>
      </w:r>
      <w:hyperlink r:id="rId3757">
        <w:r>
          <w:rPr>
            <w:color w:val="0000EE"/>
            <w:u w:val="single"/>
          </w:rPr>
          <w:t>Deuteronômio 6.4</w:t>
        </w:r>
      </w:hyperlink>
      <w:r>
        <w:t>: “Ouve, Israel: O Senhor, nosso Deus, é o único Senhor” (ARA). Isso era recitado todas as manhãs e noites nos tempos pós-exílicos, juntamente com um Salmo de Aleluia (ou salmo de louvor), a história da Criação e a parte principal da Lei contida em Levítico.</w:t>
      </w:r>
    </w:p>
    <w:p>
      <w:r/>
      <w:r>
        <w:t>Os ensinamentos também vieram na forma de provérbios ou parábolas, um dispositivo mais tarde usado por Jesus (</w:t>
      </w:r>
      <w:hyperlink r:id="rId7599">
        <w:r>
          <w:rPr>
            <w:color w:val="0000EE"/>
            <w:u w:val="single"/>
          </w:rPr>
          <w:t>Mc 4.1–2</w:t>
        </w:r>
      </w:hyperlink>
      <w:r>
        <w:t xml:space="preserve">). Um compartilhamento aberto de conhecimento ocorria em períodos de perguntas e respostas (por exemplo, a visita de Jesus, com 12 anos de idade, ao templo em Jerusalém, </w:t>
      </w:r>
      <w:hyperlink r:id="rId7600">
        <w:r>
          <w:rPr>
            <w:color w:val="0000EE"/>
            <w:u w:val="single"/>
          </w:rPr>
          <w:t>Lc 2.46–47</w:t>
        </w:r>
      </w:hyperlink>
      <w:r>
        <w:t>).</w:t>
      </w:r>
    </w:p>
    <w:p>
      <w:r/>
      <w:r>
        <w:t>Pouquíssima informação está disponível sobre educação no início da era cristã. Sabemos que Jesus pode ter lido e exposto as Escrituras e era experiente o suficiente para discorrer sobre teologia com os homens instruídos no templo. Ele provavelmente aprendeu em casa e recebeu a educação elementar comum à maioria dos meninos judeus naquele período.</w:t>
      </w:r>
    </w:p>
    <w:p>
      <w:pPr>
        <w:pStyle w:val="Heading4"/>
      </w:pPr>
      <w:r>
        <w:t>Disciplina</w:t>
      </w:r>
    </w:p>
    <w:p>
      <w:r/>
      <w:r>
        <w:t>A disciplina, quase sempre um elemento importante na educação, era importante para os antigos hebreus. Um sistema de recompensa e punição foi usado no qual o castigo corporal era normal. A punição era considerada um símbolo externo do amor e interesse de Deus pela instrução de seu povo (</w:t>
      </w:r>
      <w:hyperlink r:id="rId7601">
        <w:r>
          <w:rPr>
            <w:color w:val="0000EE"/>
            <w:u w:val="single"/>
          </w:rPr>
          <w:t>Sl 94.8–13</w:t>
        </w:r>
      </w:hyperlink>
      <w:r>
        <w:t>), embora os judeus, enquanto povo, nem sempre aprendessem com essas correções (</w:t>
      </w:r>
      <w:hyperlink r:id="rId7602">
        <w:r>
          <w:rPr>
            <w:color w:val="0000EE"/>
            <w:u w:val="single"/>
          </w:rPr>
          <w:t>Jr 5.3</w:t>
        </w:r>
      </w:hyperlink>
      <w:r>
        <w:t xml:space="preserve">; </w:t>
      </w:r>
      <w:hyperlink r:id="rId1300">
        <w:r>
          <w:rPr>
            <w:color w:val="0000EE"/>
            <w:u w:val="single"/>
          </w:rPr>
          <w:t>Am 4.6–13</w:t>
        </w:r>
      </w:hyperlink>
      <w:r>
        <w:t>). Uma criança era vista como que precisando ser "domada" tal como um cavalo: “Um cavalo indômito torna-se intratável; a criança entregue a si mesma torna-se temerária” (</w:t>
      </w:r>
      <w:hyperlink r:id="rId7603">
        <w:r>
          <w:rPr>
            <w:color w:val="0000EE"/>
            <w:u w:val="single"/>
          </w:rPr>
          <w:t>Eclo 30:8</w:t>
        </w:r>
      </w:hyperlink>
      <w:r>
        <w:t>, AVM).</w:t>
      </w:r>
    </w:p>
    <w:p>
      <w:pPr>
        <w:pStyle w:val="Heading4"/>
      </w:pPr>
      <w:r>
        <w:t>Educação de adultos</w:t>
      </w:r>
    </w:p>
    <w:p>
      <w:r/>
      <w:r>
        <w:t xml:space="preserve">Quando Esdras, o escriba, voltou da Babilônia com uma cópia do Livro da Lei, ele ensinou aos levitas e ao povo. Esse material, juntamente com o livro de Provérbios e a literatura dos períodos pré-exílico e exílico, se tornou básico na educação judaica. No período pós-exílico, os sacerdotes viajaram para as cidades, dirigindo-se às pessoas na sinagoga no sábado e na praça nos dias de feira, quando uma grande multidão estaria reunida. Alguns indivíduos podem ter ampliado seu aprendizado através do debate com os anciãos (cf. </w:t>
      </w:r>
      <w:hyperlink r:id="rId1382">
        <w:r>
          <w:rPr>
            <w:color w:val="0000EE"/>
            <w:u w:val="single"/>
          </w:rPr>
          <w:t>Ez 8.1</w:t>
        </w:r>
      </w:hyperlink>
      <w:r>
        <w:t>).</w:t>
      </w:r>
    </w:p>
    <w:p>
      <w:r/>
      <w:r>
        <w:t>Para aqueles que tiveram educação contínua, a próxima fase foi provavelmente instruída pelos escribas. Os escribas, líderes de uma seita judaica chamada fariseus, haviam desenvolvido os princípios de Esdras em regras estritas sobre dízimo, pureza litúrgica e adoração na sinagoga. Quando jovem, Saulo de Tarso veio a Jerusalém para estudar com Gamaliel, um rabino honrado (</w:t>
      </w:r>
      <w:hyperlink r:id="rId4901">
        <w:r>
          <w:rPr>
            <w:color w:val="0000EE"/>
            <w:u w:val="single"/>
          </w:rPr>
          <w:t>Atos 22.3</w:t>
        </w:r>
      </w:hyperlink>
      <w:r>
        <w:t>). Naquela época, o currículo era um estudo avançado da lei teológica, tanto escrita quanto oral, juntamente com os ritos e cerimônias da cultura judaica.</w:t>
      </w:r>
    </w:p>
    <w:p>
      <w:pPr>
        <w:pStyle w:val="Heading4"/>
      </w:pPr>
      <w:r>
        <w:t>Edifícios escolares</w:t>
      </w:r>
    </w:p>
    <w:p>
      <w:r/>
      <w:r>
        <w:t>Nos tempos do NT, algumas escolas operavam em edifícios especiais e outras nas próprias casas dos mestres, mas a maioria estava ligada à sinagoga. Quando um edifício separado era projetado, era desaconselhável construí-lo em uma área lotada. Em uma grande cidade, a comunidade deveria fornecer duas escolas, especialmente se um rio dividisse a cidade. Uma escola não operava no calor do dia (entre as 10h e as 15h), e se reuniria apenas quatro horas por dia em julho e agosto. Esperava-se que o tamanho da classe fosse formado por 25 pessoas, com um mestre e um assistente para 40 alunos, e dois mestres para 50 alunos. Na escola, os meninos sentavam-se no chão aos pés do mestre e aprendiam a partir das Escrituras. Assim, a escola se tornou conhecida como a “Casa do Livro”.</w:t>
      </w:r>
    </w:p>
    <w:p>
      <w:pPr>
        <w:pStyle w:val="Heading3"/>
      </w:pPr>
      <w:r>
        <w:t>Alfabetização entre os judeus</w:t>
      </w:r>
    </w:p>
    <w:p>
      <w:r/>
      <w:r>
        <w:t>A extensão da alfabetização entre judeus ao longo dos séculos é difícil de determinar, mas indicações podem ser encontradas a partir de exemplos específicos. O livro de Josué descreve três homens escolhidos de cada tribo, e tinham a missão de preparar um relatório escrito sobre a terra de Canaã (</w:t>
      </w:r>
      <w:hyperlink r:id="rId7604">
        <w:r>
          <w:rPr>
            <w:color w:val="0000EE"/>
            <w:u w:val="single"/>
          </w:rPr>
          <w:t>Js 18.4–9</w:t>
        </w:r>
      </w:hyperlink>
      <w:r>
        <w:t>). Mais tarde, Gideão capturou um jovem que tinha capacidade de elaborar uma lista escrita dos homens importantes da cidade (</w:t>
      </w:r>
      <w:hyperlink r:id="rId7605">
        <w:r>
          <w:rPr>
            <w:color w:val="0000EE"/>
            <w:u w:val="single"/>
          </w:rPr>
          <w:t>Jz 8.14</w:t>
        </w:r>
      </w:hyperlink>
      <w:r>
        <w:t>). Escrever era provavelmente uma habilidade comum, uma vez que os israelitas foram exortados a usá-la com frequência (</w:t>
      </w:r>
      <w:hyperlink r:id="rId7606">
        <w:r>
          <w:rPr>
            <w:color w:val="0000EE"/>
            <w:u w:val="single"/>
          </w:rPr>
          <w:t>Dt 6.9</w:t>
        </w:r>
      </w:hyperlink>
      <w:r>
        <w:t xml:space="preserve">; </w:t>
      </w:r>
      <w:hyperlink r:id="rId7607">
        <w:r>
          <w:rPr>
            <w:color w:val="0000EE"/>
            <w:u w:val="single"/>
          </w:rPr>
          <w:t>27.2–8</w:t>
        </w:r>
      </w:hyperlink>
      <w:r>
        <w:t xml:space="preserve">). Termos matemáticos simples poderiam ser escritos e entendidos por meninos, e há indicações de familiaridade com a relação geométrica do raio e da circunferência de um ciclo (o conceito de pi; veja </w:t>
      </w:r>
      <w:hyperlink r:id="rId7608">
        <w:r>
          <w:rPr>
            <w:color w:val="0000EE"/>
            <w:u w:val="single"/>
          </w:rPr>
          <w:t>2Cr 4.2</w:t>
        </w:r>
      </w:hyperlink>
      <w:r>
        <w:t>). O desenvolvimento de uma escrita cursiva implica o uso generalizado da escrita, no mínimo, a partir do século VIII a.C. Vale ressaltar que uma assembleia solene na sinagoga poderia ser realizado contendo, no mínimo, dez homens na congregação, o que pressupõe que havia mais de 10 homens em qualquer sinagoga que eram alfabetizados o suficiente para realizar esse dever.</w:t>
      </w:r>
    </w:p>
    <w:p>
      <w:r/>
      <w:r>
        <w:t>Quando os medos do helenismo eram fortes e a existência do judaísmo foi ameaçada no primeiro século a.C., foi decretado que todos os meninos judeus deveriam frequentar a escola primária. Uma vez que tal sistema provavelmente já existia, esse decreto meramente tornava compulsória a participação para todos os meninos até 16 ou 17 anos de idade. Sem dúvida o motivo era o seguinte: o completo conhecimento e a observância minuciosa da Lei eram hábitos vitais para a sobrevivência da herança judaica.</w:t>
      </w:r>
    </w:p>
    <w:p>
      <w:r/>
      <w:r>
        <w:t>Josué ben-Gamala (sumo sacerdote 63–65 d.C.) é considerado o fundador da educação universal. Suas instruções para estabelecer escolas nas cidades e aldeias eram escrupulosas, exigindo a participação de meninos a partir dos seis ou sete anos de idade. A comunidade era responsável por estabelecer uma escola e manter um mestre em qualquer cidade onde houvesse, pelo menos, dez famílias judaicas. Os pais eram obrigados a verificar se seus filhos frequentavam a escola. Quando uma família vivia em uma área isolada, um mestre muitas vezes convivia com a família. Os mestres eram provavelmente pagos pela família ou via tributo comunitário, embora os escribas não fossem pagos diretamente pela instrução que davam. É difícil saber se o objetivo da educação elementar universal foi alcançado.</w:t>
      </w:r>
    </w:p>
    <w:p>
      <w:pPr>
        <w:pStyle w:val="Heading3"/>
      </w:pPr>
      <w:r>
        <w:t>Educação nas colônias vizinhas</w:t>
      </w:r>
    </w:p>
    <w:p>
      <w:r/>
      <w:r>
        <w:t>A ênfase teológica da educação hebraica contrastava acentuadamente com os objetivos da educação na Grécia e Roma. Essas sociedades, no entanto, também estavam interessadas em desenvolver um tipo específico de caráter.</w:t>
      </w:r>
    </w:p>
    <w:p>
      <w:r/>
      <w:r>
        <w:t>Em Esparta, o propósito do treinamento educacional era desenvolver jovens homens para serem combatentes que se sujeitariam ao bem-estar do estado. O desenvolvimento de caráter era alcançado ao eliminar luxos e, sistematicamente, disciplinar a mente e o corpo através da atividade física. As técnicas de sobrevivência encorajavam desenvoltura e iniciativa. As meninas recebiam a mesma educação, uma vez que era considerado importante desenvolver mulheres que poderiam dar à luz guerreiros fortes.</w:t>
      </w:r>
    </w:p>
    <w:p>
      <w:r/>
      <w:r>
        <w:t>Em Atenas, a educação era considerada essencial para a vida. Como a transmissão da cultura permitiria que os meninos se tornassem cidadãos perfeitos, eles aprendiam letras, música, ética e etiqueta, matemática e educação física (desenvolvimento de um corpo saudável). A educação era idealmente uma busca nobre — um treinamento da mente, o direito de nascença de cada cidadão — mas, na prática, era restrita a uma pequena seção da aristocracia. Os instruídos desprezavam viver apenas para ganhar rendimentos, pois consideravam como um modo de vida adequado apenas para escravos. As mulheres não recebiam educação. O mestre nas escolas elementares era um indivíduo humilde.</w:t>
      </w:r>
    </w:p>
    <w:p>
      <w:r/>
      <w:r>
        <w:t>A educação romana preparava mental e fisicamente um moço para o serviço na fazenda, no campo de batalha ou onde quer que seus serviços fossem exigidos pelo estado. A educação era uma responsabilidade familiar — o menino aprendendo primeiro com sua mãe, depois com seu pai. Leitura básica, escrita, aritmética, linguagem, estrutura e habilidades de retórica eram ensinadas, às vezes por tutores privados. Quando as escolas foram desenvolvidas, elas parecem ter sido atividades barulhentas e de fachada, operadas por professores mal pagos. As meninas aprendiam habilidades de limpeza em casa.</w:t>
      </w:r>
    </w:p>
    <w:p>
      <w:r/>
      <w:r>
        <w:t>Os meninos egípcios frequentavam a “Casa dos Livros” para seus estudos, aprendiam leitura e aritmética elementar. Escrever em hieróglifos em papiro era a tarefa mais difícil. Como os estudantes em outras culturas, os meninos estavam sujeitos à punição corporal. Os mestres egípcios consideravam que “os ouvidos de um menino estão em suas costas”, seguida essa convicção com o uso frequente de um bastão.</w:t>
      </w:r>
      <w:r/>
      <w:r/>
    </w:p>
    <w:p>
      <w:r/>
    </w:p>
    <w:p>
      <w:pPr>
        <w:pStyle w:val="Heading2"/>
      </w:pPr>
      <w:r>
        <w:t>Edute</w:t>
      </w:r>
      <w:r/>
    </w:p>
    <w:p>
      <w:r/>
      <w:r>
        <w:t>Uma palavra hebraica geralmente traduzida como "testemunho", "testemunha" ou "mandamento".</w:t>
      </w:r>
    </w:p>
    <w:p>
      <w:r/>
      <w:r>
        <w:t>Pode se referir a:</w:t>
      </w:r>
    </w:p>
    <w:p>
      <w:pPr>
        <w:pStyle w:val="ListBullet"/>
        <w:spacing w:line="240" w:lineRule="auto"/>
        <w:ind w:left="720"/>
      </w:pPr>
      <w:r/>
      <w:r>
        <w:t>O tabernáculo (</w:t>
      </w:r>
      <w:hyperlink r:id="rId7609">
        <w:r>
          <w:rPr>
            <w:color w:val="0000EE"/>
            <w:u w:val="single"/>
          </w:rPr>
          <w:t>Nm 17.7,8</w:t>
        </w:r>
      </w:hyperlink>
      <w:r>
        <w:t xml:space="preserve">; </w:t>
      </w:r>
      <w:hyperlink r:id="rId7610">
        <w:r>
          <w:rPr>
            <w:color w:val="0000EE"/>
            <w:u w:val="single"/>
          </w:rPr>
          <w:t>18.2</w:t>
        </w:r>
      </w:hyperlink>
      <w:r>
        <w:t xml:space="preserve">; </w:t>
      </w:r>
      <w:hyperlink r:id="rId7611">
        <w:r>
          <w:rPr>
            <w:color w:val="0000EE"/>
            <w:u w:val="single"/>
          </w:rPr>
          <w:t>2Cr 24.6</w:t>
        </w:r>
      </w:hyperlink>
      <w:r>
        <w:t>);</w:t>
      </w:r>
    </w:p>
    <w:p>
      <w:pPr>
        <w:pStyle w:val="ListBullet"/>
        <w:spacing w:line="240" w:lineRule="auto"/>
        <w:ind w:left="720"/>
      </w:pPr>
      <w:r/>
      <w:r>
        <w:t>A arca (</w:t>
      </w:r>
      <w:hyperlink r:id="rId2427">
        <w:r>
          <w:rPr>
            <w:color w:val="0000EE"/>
            <w:u w:val="single"/>
          </w:rPr>
          <w:t>Êx 25.16</w:t>
        </w:r>
      </w:hyperlink>
      <w:r>
        <w:t>);</w:t>
      </w:r>
    </w:p>
    <w:p>
      <w:pPr>
        <w:pStyle w:val="ListBullet"/>
        <w:spacing w:line="240" w:lineRule="auto"/>
        <w:ind w:left="720"/>
      </w:pPr>
      <w:r/>
      <w:r>
        <w:t>Os dez mandamentos (</w:t>
      </w:r>
      <w:hyperlink r:id="rId835">
        <w:r>
          <w:rPr>
            <w:color w:val="0000EE"/>
            <w:u w:val="single"/>
          </w:rPr>
          <w:t>Êx 31.18</w:t>
        </w:r>
      </w:hyperlink>
      <w:r>
        <w:t>);</w:t>
      </w:r>
    </w:p>
    <w:p>
      <w:pPr>
        <w:pStyle w:val="ListBullet"/>
        <w:spacing w:line="240" w:lineRule="auto"/>
        <w:ind w:left="720"/>
      </w:pPr>
      <w:r/>
      <w:r>
        <w:t>A lei de Deus em geral (</w:t>
      </w:r>
      <w:hyperlink r:id="rId7612">
        <w:r>
          <w:rPr>
            <w:color w:val="0000EE"/>
            <w:u w:val="single"/>
          </w:rPr>
          <w:t>Sl 19.8</w:t>
        </w:r>
      </w:hyperlink>
      <w:r>
        <w:t>).</w:t>
      </w:r>
    </w:p>
    <w:p>
      <w:r/>
      <w:r>
        <w:t xml:space="preserve">O título de </w:t>
      </w:r>
      <w:hyperlink r:id="rId2421">
        <w:r>
          <w:rPr>
            <w:color w:val="0000EE"/>
            <w:u w:val="single"/>
          </w:rPr>
          <w:t>Salmo 60</w:t>
        </w:r>
      </w:hyperlink>
      <w:r>
        <w:t xml:space="preserve"> em hebraico é </w:t>
      </w:r>
      <w:r>
        <w:rPr>
          <w:i/>
        </w:rPr>
        <w:t>Shushan Eduth</w:t>
      </w:r>
      <w:r>
        <w:t>, que significa "Lírio da aliança".</w:t>
      </w:r>
    </w:p>
    <w:p>
      <w:r/>
      <w:r>
        <w:rPr>
          <w:i/>
        </w:rPr>
        <w:t>Veja também</w:t>
      </w:r>
      <w:r>
        <w:t xml:space="preserve"> </w:t>
      </w:r>
      <w:r>
        <w:t>Música</w:t>
      </w:r>
      <w:r>
        <w:t>.</w:t>
      </w:r>
      <w:r/>
      <w:r/>
    </w:p>
    <w:p>
      <w:r/>
    </w:p>
    <w:p>
      <w:pPr>
        <w:pStyle w:val="Heading2"/>
      </w:pPr>
      <w:r>
        <w:t>Efa (Pessoa)</w:t>
      </w:r>
      <w:r/>
    </w:p>
    <w:p>
      <w:r/>
      <w:r>
        <w:t>1. Filho de Midiã, um descendente de Abraão através de sua concubina Quetura (</w:t>
      </w:r>
      <w:hyperlink r:id="rId7613">
        <w:r>
          <w:rPr>
            <w:color w:val="0000EE"/>
            <w:u w:val="single"/>
          </w:rPr>
          <w:t>Gn 25.4</w:t>
        </w:r>
      </w:hyperlink>
      <w:r>
        <w:t xml:space="preserve">; </w:t>
      </w:r>
      <w:hyperlink r:id="rId76">
        <w:r>
          <w:rPr>
            <w:color w:val="0000EE"/>
            <w:u w:val="single"/>
          </w:rPr>
          <w:t>1Cr 1.33</w:t>
        </w:r>
      </w:hyperlink>
      <w:r>
        <w:t>). Isaías o menciona como um comerciante de camelos (</w:t>
      </w:r>
      <w:hyperlink r:id="rId7614">
        <w:r>
          <w:rPr>
            <w:color w:val="0000EE"/>
            <w:u w:val="single"/>
          </w:rPr>
          <w:t>Is 60.6</w:t>
        </w:r>
      </w:hyperlink>
      <w:r>
        <w:t>). Alguns manuscritos mencionam dois filhos de Midiã com o mesmo nome, Efa, mas isso é um erro de grafia.</w:t>
      </w:r>
    </w:p>
    <w:p>
      <w:r/>
      <w:r>
        <w:t>2. A concubina de Calebe, que lhe deu três filhos (</w:t>
      </w:r>
      <w:hyperlink r:id="rId7615">
        <w:r>
          <w:rPr>
            <w:color w:val="0000EE"/>
            <w:u w:val="single"/>
          </w:rPr>
          <w:t>1Cr 2.46</w:t>
        </w:r>
      </w:hyperlink>
      <w:r>
        <w:t>).</w:t>
      </w:r>
    </w:p>
    <w:p>
      <w:r/>
      <w:r>
        <w:t>3. Filho de Jadai da tribo de Judá (</w:t>
      </w:r>
      <w:hyperlink r:id="rId7616">
        <w:r>
          <w:rPr>
            <w:color w:val="0000EE"/>
            <w:u w:val="single"/>
          </w:rPr>
          <w:t>1Cr 2.47</w:t>
        </w:r>
      </w:hyperlink>
      <w:r>
        <w:t>).</w:t>
      </w:r>
      <w:r/>
      <w:r/>
    </w:p>
    <w:p>
      <w:r/>
    </w:p>
    <w:p>
      <w:pPr>
        <w:pStyle w:val="Heading2"/>
      </w:pPr>
      <w:r>
        <w:t>Efatá*</w:t>
      </w:r>
      <w:r/>
    </w:p>
    <w:p>
      <w:r/>
      <w:r>
        <w:t>Transliteração na voz imperativa da expressão aramaica “seja aberto”, usada por Jesus na cura de um surdo (</w:t>
      </w:r>
      <w:hyperlink r:id="rId7617">
        <w:r>
          <w:rPr>
            <w:color w:val="0000EE"/>
            <w:u w:val="single"/>
          </w:rPr>
          <w:t>Mc 7.34</w:t>
        </w:r>
      </w:hyperlink>
      <w:r>
        <w:t>, ARA). Nenhuma tentativa de estabelecer uma fórmula de palavra mágica foi pretendida aqui; Marcos simplesmente preservou a expressão utilizada por Jesus.</w:t>
      </w:r>
      <w:r/>
      <w:r/>
    </w:p>
    <w:p>
      <w:r/>
    </w:p>
    <w:p>
      <w:pPr>
        <w:pStyle w:val="Heading2"/>
      </w:pPr>
      <w:r>
        <w:t>Éfer</w:t>
      </w:r>
      <w:r/>
    </w:p>
    <w:p>
      <w:r/>
      <w:r>
        <w:t>1. Filho de Midiã e neto de Abraão através de sua concubina Quetura, cuja tribo foi enviada para o Leste. Alguns apoiaram os descendentes de Abraão e outros se tornaram inimigos (</w:t>
      </w:r>
      <w:hyperlink r:id="rId7613">
        <w:r>
          <w:rPr>
            <w:color w:val="0000EE"/>
            <w:u w:val="single"/>
          </w:rPr>
          <w:t>Gn 25.4</w:t>
        </w:r>
      </w:hyperlink>
      <w:r>
        <w:t xml:space="preserve">; </w:t>
      </w:r>
      <w:hyperlink r:id="rId76">
        <w:r>
          <w:rPr>
            <w:color w:val="0000EE"/>
            <w:u w:val="single"/>
          </w:rPr>
          <w:t>1Cr 1.33</w:t>
        </w:r>
      </w:hyperlink>
      <w:r>
        <w:t>).</w:t>
      </w:r>
    </w:p>
    <w:p>
      <w:r/>
      <w:r>
        <w:t>2. Filho de Esdras da tribo de Judá (</w:t>
      </w:r>
      <w:hyperlink r:id="rId7618">
        <w:r>
          <w:rPr>
            <w:color w:val="0000EE"/>
            <w:u w:val="single"/>
          </w:rPr>
          <w:t>1Cr 4.17</w:t>
        </w:r>
      </w:hyperlink>
      <w:r>
        <w:t>).</w:t>
      </w:r>
    </w:p>
    <w:p>
      <w:r/>
      <w:r>
        <w:t>3. Chefe de uma família e um grande guerreiro na meia tribo de Manassés. Ele viveu entre Basã e o Monte Hermom (</w:t>
      </w:r>
      <w:hyperlink r:id="rId7619">
        <w:r>
          <w:rPr>
            <w:color w:val="0000EE"/>
            <w:u w:val="single"/>
          </w:rPr>
          <w:t>1Cr 5.24</w:t>
        </w:r>
      </w:hyperlink>
      <w:r>
        <w:t>).</w:t>
      </w:r>
      <w:r/>
      <w:r/>
    </w:p>
    <w:p>
      <w:r/>
    </w:p>
    <w:p>
      <w:pPr>
        <w:pStyle w:val="Heading2"/>
      </w:pPr>
      <w:r>
        <w:t>Efésios, Carta aos</w:t>
      </w:r>
      <w:r/>
    </w:p>
    <w:p>
      <w:r/>
      <w:r>
        <w:t>Carta aos cristãos em Éfeso e nas igrejas ao redor, escrita com uma magnificência que tanto instrui quanto inspira o leitor. Ela oferece uma visão abrangente do papel da igreja à medida que a história avança para o reconhecimento final da liderança universal de Cristo.</w:t>
      </w:r>
    </w:p>
    <w:p>
      <w:r/>
      <w:r>
        <w:t>Pré-visualização:</w:t>
      </w:r>
    </w:p>
    <w:p>
      <w:r/>
      <w:r>
        <w:t>• Autor</w:t>
      </w:r>
    </w:p>
    <w:p>
      <w:r/>
      <w:r>
        <w:t>• Destino</w:t>
      </w:r>
    </w:p>
    <w:p>
      <w:r/>
      <w:r>
        <w:t>• Data e origem</w:t>
      </w:r>
    </w:p>
    <w:p>
      <w:r/>
      <w:r>
        <w:t>• Contexto</w:t>
      </w:r>
    </w:p>
    <w:p>
      <w:r/>
      <w:r>
        <w:t>• Propósito e ensino teológico</w:t>
      </w:r>
    </w:p>
    <w:p>
      <w:r/>
      <w:r>
        <w:t>• Conteúdo</w:t>
      </w:r>
    </w:p>
    <w:p>
      <w:pPr>
        <w:pStyle w:val="Heading3"/>
      </w:pPr>
      <w:r>
        <w:t>Autor</w:t>
      </w:r>
    </w:p>
    <w:p>
      <w:r/>
      <w:r>
        <w:t>O escritor da carta se identifica como o Apóstolo Paulo (</w:t>
      </w:r>
      <w:hyperlink r:id="rId2274">
        <w:r>
          <w:rPr>
            <w:color w:val="0000EE"/>
            <w:u w:val="single"/>
          </w:rPr>
          <w:t>Efésios 1.1</w:t>
        </w:r>
      </w:hyperlink>
      <w:r>
        <w:t xml:space="preserve">; </w:t>
      </w:r>
      <w:hyperlink r:id="rId5115">
        <w:r>
          <w:rPr>
            <w:color w:val="0000EE"/>
            <w:u w:val="single"/>
          </w:rPr>
          <w:t>3.1</w:t>
        </w:r>
      </w:hyperlink>
      <w:r>
        <w:t>). Ele também descreve seu próprio ministério em termos que refletem o que sabemos de Paulo (</w:t>
      </w:r>
      <w:hyperlink r:id="rId7620">
        <w:r>
          <w:rPr>
            <w:color w:val="0000EE"/>
            <w:u w:val="single"/>
          </w:rPr>
          <w:t>3.7,13</w:t>
        </w:r>
      </w:hyperlink>
      <w:r>
        <w:t xml:space="preserve">; </w:t>
      </w:r>
      <w:hyperlink r:id="rId5116">
        <w:r>
          <w:rPr>
            <w:color w:val="0000EE"/>
            <w:u w:val="single"/>
          </w:rPr>
          <w:t>4.1</w:t>
        </w:r>
      </w:hyperlink>
      <w:r>
        <w:t xml:space="preserve">; </w:t>
      </w:r>
      <w:hyperlink r:id="rId7621">
        <w:r>
          <w:rPr>
            <w:color w:val="0000EE"/>
            <w:u w:val="single"/>
          </w:rPr>
          <w:t>6.19–20</w:t>
        </w:r>
      </w:hyperlink>
      <w:r>
        <w:t>). Esta afirmação é confirmada pelos testemunhos de Irineu, Orígenes, Policarpo, Tertuliano e Inácio, que em sua própria epístola aos Efésios alude à menção frequente e afetuosa feita por Paulo sobre o estado cristão, privilégios e pessoas dos Efésios.</w:t>
      </w:r>
    </w:p>
    <w:p>
      <w:r/>
      <w:r>
        <w:t>Há algumas características da carta, no entanto, que levaram muitos estudiosos a questionar sua clara reivindicação de autoria paulina. Algumas dessas características seriam um problema apenas se a carta fosse destinada exclusivamente às pessoas em Éfeso, mas provavelmente não foi esse o caso. Caso contrário, seria difícil entender por que, após estabelecer a igreja lá por um período de três anos, Paulo escreveria como se autor e destinatários tivessem apenas um conhecimento indireto um do outro. Também seria estranho que as calorosas palavras pessoais de saudação a várias pessoas, encontradas em outras cartas paulinas, estivessem ausentes aqui. Em vez disso, há apenas uma saudação geral aos “irmãos” (</w:t>
      </w:r>
      <w:hyperlink r:id="rId7622">
        <w:r>
          <w:rPr>
            <w:color w:val="0000EE"/>
            <w:u w:val="single"/>
          </w:rPr>
          <w:t>6.23</w:t>
        </w:r>
      </w:hyperlink>
      <w:r>
        <w:t>). Mas tudo isso pode ser facilmente explicado uma vez que se entenda que a epístola era uma encíclica para várias igrejas.</w:t>
      </w:r>
    </w:p>
    <w:p>
      <w:pPr>
        <w:pStyle w:val="Heading3"/>
      </w:pPr>
      <w:r>
        <w:t>Destino</w:t>
      </w:r>
    </w:p>
    <w:p>
      <w:r/>
      <w:r>
        <w:t xml:space="preserve">Esta epístola foi endereçada, muito provavelmente, a várias igrejas na região ao redor de Éfeso — ou seja, Ásia. A Epístola aos Efésios, assim chamada, não foi realmente destinada apenas à igreja em Éfeso. A maioria dos estudiosos modernos está convencida de que foi uma encíclica que foi enviada a várias igrejas na Ásia, incluindo Éfeso. Há várias razões para afirmar isso. Primeiro, os manuscritos mais antigos (o Papiro Chester Beatty — P46, Codex Sinaiticus, Codex Vaticanus) não contêm as palavras “em Éfeso” em </w:t>
      </w:r>
      <w:hyperlink r:id="rId2274">
        <w:r>
          <w:rPr>
            <w:color w:val="0000EE"/>
            <w:u w:val="single"/>
          </w:rPr>
          <w:t>Efésios 1.1</w:t>
        </w:r>
      </w:hyperlink>
      <w:r>
        <w:t xml:space="preserve">. Parece que Paulo propositalmente deixou o nome da localidade de fora, para ser preenchido mais tarde à medida que a carta circulasse por cada localidade. (A construção grega em </w:t>
      </w:r>
      <w:hyperlink r:id="rId2274">
        <w:r>
          <w:rPr>
            <w:color w:val="0000EE"/>
            <w:u w:val="single"/>
          </w:rPr>
          <w:t>1.1</w:t>
        </w:r>
      </w:hyperlink>
      <w:r>
        <w:t xml:space="preserve"> exige que uma frase preposicional designando uma localidade esteja presente na sentença.) Como Éfeso era a principal cidade da Ásia, era bastante natural que os escribas atribuíssem esta epístola à igreja em Éfeso. Segundo, a Epístola aos Efésios tem todas as características de ser um tratado geral em vez de uma epístola para uma igreja local específica. Paulo viveu com os crentes em Éfeso por três anos (</w:t>
      </w:r>
      <w:hyperlink r:id="rId7623">
        <w:r>
          <w:rPr>
            <w:color w:val="0000EE"/>
            <w:u w:val="single"/>
          </w:rPr>
          <w:t>Atos 20.31</w:t>
        </w:r>
      </w:hyperlink>
      <w:r>
        <w:t xml:space="preserve">). Ele os conhecia intimamente, mas nesta epístola não há saudações pessoais ou exortações específicas. Quando consideramos o modo de Paulo em muitas de suas outras epístolas, seria bastante incomum ele ter excluído essas expressões pessoais. Pelo contrário, Paulo fala aos santos de quem ele apenas ouviu falar e que apenas ouviram falar dele (veja </w:t>
      </w:r>
      <w:hyperlink r:id="rId7624">
        <w:r>
          <w:rPr>
            <w:color w:val="0000EE"/>
            <w:u w:val="single"/>
          </w:rPr>
          <w:t>Efésios 1.15</w:t>
        </w:r>
      </w:hyperlink>
      <w:r>
        <w:t xml:space="preserve">; </w:t>
      </w:r>
      <w:hyperlink r:id="rId5115">
        <w:r>
          <w:rPr>
            <w:color w:val="0000EE"/>
            <w:u w:val="single"/>
          </w:rPr>
          <w:t>3.1</w:t>
        </w:r>
      </w:hyperlink>
      <w:r>
        <w:t>). É possível que esta epístola tenha sido a enviada a Laodiceia.</w:t>
      </w:r>
    </w:p>
    <w:p>
      <w:r/>
      <w:r>
        <w:t>Para ser justo, deve-se dizer que a teoria encíclica foi contestada por alguns estudiosos. Por exemplo, Henry Alford faz as seguintes objeções a esta teoria: (1) Ela está em desacordo com o espírito da epístola, que é claramente dirigida a um grupo de pessoas ao longo de todo o texto, coexistindo em um lugar e como um corpo e sob as mesmas circunstâncias. (2) É improvável que o Apóstolo, que em duas de suas epístolas (2 Coríntios e Gálatas) tenha especificado tão claramente seu caráter encíclico, tenha aqui omitido tal especificação. (3) A ausência de saudações pessoais não é um argumento para nenhuma das duas teorias, pois da mesma forma não há em Gálatas, Filipenses, 1 e 2 Tessalonicenses e 1 Timóteo. Quanto melhor ele conhece as partes abordadas, e quanto mais geral e solene o assunto, menos ele parece dar desses avisos individuais.</w:t>
      </w:r>
    </w:p>
    <w:p>
      <w:pPr>
        <w:pStyle w:val="Heading3"/>
      </w:pPr>
      <w:r>
        <w:t>Data e origem</w:t>
      </w:r>
    </w:p>
    <w:p>
      <w:r/>
      <w:hyperlink r:id="rId5115">
        <w:r>
          <w:rPr>
            <w:color w:val="0000EE"/>
            <w:u w:val="single"/>
          </w:rPr>
          <w:t>Efésios 3.1</w:t>
        </w:r>
      </w:hyperlink>
      <w:r>
        <w:t xml:space="preserve">, </w:t>
      </w:r>
      <w:hyperlink r:id="rId5116">
        <w:r>
          <w:rPr>
            <w:color w:val="0000EE"/>
            <w:u w:val="single"/>
          </w:rPr>
          <w:t>4.1</w:t>
        </w:r>
      </w:hyperlink>
      <w:r>
        <w:t xml:space="preserve">, e </w:t>
      </w:r>
      <w:hyperlink r:id="rId5117">
        <w:r>
          <w:rPr>
            <w:color w:val="0000EE"/>
            <w:u w:val="single"/>
          </w:rPr>
          <w:t>6.20</w:t>
        </w:r>
      </w:hyperlink>
      <w:r>
        <w:t xml:space="preserve"> indicam que a carta foi escrita enquanto Paulo estava preso. Como ele foi preso várias vezes, é necessário restringir as opções. A primeira grande prisão pode ter sido em Éfeso, mas isso obviamente não está em consideração. A segunda foi em Cesareia por dois anos (</w:t>
      </w:r>
      <w:hyperlink r:id="rId6283">
        <w:r>
          <w:rPr>
            <w:color w:val="0000EE"/>
            <w:u w:val="single"/>
          </w:rPr>
          <w:t>Atos 24.27</w:t>
        </w:r>
      </w:hyperlink>
      <w:r>
        <w:t xml:space="preserve">; cf. </w:t>
      </w:r>
      <w:hyperlink r:id="rId7625">
        <w:r>
          <w:rPr>
            <w:color w:val="0000EE"/>
            <w:u w:val="single"/>
          </w:rPr>
          <w:t>23.23–24,33</w:t>
        </w:r>
      </w:hyperlink>
      <w:r>
        <w:t>). É possível que Paulo tenha escrito algumas cartas naquela época, mas a maioria dos estudiosos pensa que Efésios (junto com Colossenses, Filemom, e provavelmente Filipenses) foi escrito durante a prisão de Paulo em Roma (</w:t>
      </w:r>
      <w:hyperlink r:id="rId7626">
        <w:r>
          <w:rPr>
            <w:color w:val="0000EE"/>
            <w:u w:val="single"/>
          </w:rPr>
          <w:t>28.16,30</w:t>
        </w:r>
      </w:hyperlink>
      <w:r>
        <w:t>). Isso provavelmente ocorreu em algum momento entre 59 e 63 d.C. e durou dois anos. Este período de tempo, após cerca de 25 anos de crescimento espiritual e cerca de 12 anos de experiência missionária, deu a Paulo uma esplêndida oportunidade para reflexão e escrita.</w:t>
      </w:r>
    </w:p>
    <w:p>
      <w:pPr>
        <w:pStyle w:val="Heading3"/>
      </w:pPr>
      <w:r>
        <w:t>Contexto</w:t>
      </w:r>
    </w:p>
    <w:p>
      <w:r/>
      <w:r>
        <w:t>Éfeso era a cidade mais importante da Ásia Menor, localizada no rio Cayster, com um porto no Mar Egeu. Com essa localização, tornou-se um centro de viagens comerciais, e importantes rotas comerciais levavam até ela de várias direções. Um grande templo pagão dedicado à deusa Ártemis (Diana) estava localizado em Éfeso. Paulo fez da cidade um centro de ministério evangelístico e de construção de igrejas (</w:t>
      </w:r>
      <w:hyperlink r:id="rId2756">
        <w:r>
          <w:rPr>
            <w:color w:val="0000EE"/>
            <w:u w:val="single"/>
          </w:rPr>
          <w:t>Atos 19</w:t>
        </w:r>
      </w:hyperlink>
      <w:r>
        <w:t>), passando três anos lá (</w:t>
      </w:r>
      <w:hyperlink r:id="rId7623">
        <w:r>
          <w:rPr>
            <w:color w:val="0000EE"/>
            <w:u w:val="single"/>
          </w:rPr>
          <w:t>20.31</w:t>
        </w:r>
      </w:hyperlink>
      <w:r>
        <w:t>). Era natural, portanto, que uma carta destinada a uma ampla audiência naquela parte da Ásia Menor tivesse Éfeso como seu principal destino.</w:t>
      </w:r>
    </w:p>
    <w:p>
      <w:r/>
      <w:r>
        <w:t xml:space="preserve">A primeira visita de Paulo a Éfeso (na costa de Lídia, perto do rio Cayster) é relatada em </w:t>
      </w:r>
      <w:hyperlink r:id="rId2745">
        <w:r>
          <w:rPr>
            <w:color w:val="0000EE"/>
            <w:u w:val="single"/>
          </w:rPr>
          <w:t>Atos 18.19–21</w:t>
        </w:r>
      </w:hyperlink>
      <w:r>
        <w:t xml:space="preserve">. O trabalho, iniciado por suas disputas com os judeus em sua curta visita, foi continuado por Apolo (v. </w:t>
      </w:r>
      <w:hyperlink r:id="rId7627">
        <w:r>
          <w:rPr>
            <w:color w:val="0000EE"/>
            <w:u w:val="single"/>
          </w:rPr>
          <w:t>24–26</w:t>
        </w:r>
      </w:hyperlink>
      <w:r>
        <w:t>) e Áquila e Priscila (</w:t>
      </w:r>
      <w:hyperlink r:id="rId7628">
        <w:r>
          <w:rPr>
            <w:color w:val="0000EE"/>
            <w:u w:val="single"/>
          </w:rPr>
          <w:t>18.26</w:t>
        </w:r>
      </w:hyperlink>
      <w:r>
        <w:t>). Em sua segunda visita, após sua viagem a Jerusalém, e de lá para as regiões do leste da Ásia Menor, ele permaneceu em Éfeso “três anos” (</w:t>
      </w:r>
      <w:hyperlink r:id="rId2746">
        <w:r>
          <w:rPr>
            <w:color w:val="0000EE"/>
            <w:u w:val="single"/>
          </w:rPr>
          <w:t xml:space="preserve">19.10 </w:t>
        </w:r>
      </w:hyperlink>
      <w:r>
        <w:t xml:space="preserve">— os “dois anos” neste versículo são apenas </w:t>
      </w:r>
      <w:r>
        <w:rPr>
          <w:i/>
        </w:rPr>
        <w:t>parte</w:t>
      </w:r>
      <w:r>
        <w:t xml:space="preserve"> do tempo—e </w:t>
      </w:r>
      <w:hyperlink r:id="rId7623">
        <w:r>
          <w:rPr>
            <w:color w:val="0000EE"/>
            <w:u w:val="single"/>
          </w:rPr>
          <w:t>20.31</w:t>
        </w:r>
      </w:hyperlink>
      <w:r>
        <w:t>); portanto, o estabelecimento e crescimento desta igreja ocuparam uma porção incomumente grande do tempo e cuidado do Apóstolo. A linguagem na epístola mostra um calor de sentimento e uma livre expressão de pensamento, e uma união em privilégios espirituais e esperança entre ele e eles, como é natural de alguém tão longamente e intimamente associado com aqueles a quem se dirige. Em sua última viagem a Jerusalém, ele navegou por Éfeso e convocou os anciãos da igreja de Éfeso para se encontrarem com ele em Mileto, onde ele proferiu sua notável despedida (</w:t>
      </w:r>
      <w:hyperlink r:id="rId7629">
        <w:r>
          <w:rPr>
            <w:color w:val="0000EE"/>
            <w:u w:val="single"/>
          </w:rPr>
          <w:t>20.18–35</w:t>
        </w:r>
      </w:hyperlink>
      <w:r>
        <w:t>).</w:t>
      </w:r>
    </w:p>
    <w:p>
      <w:pPr>
        <w:pStyle w:val="Heading3"/>
      </w:pPr>
      <w:r>
        <w:t>Propósito e ensino teológico</w:t>
      </w:r>
    </w:p>
    <w:p>
      <w:r/>
      <w:r>
        <w:t>Pode-se dizer que o propósito de Efésios é "doxológico"; ou seja, deve levar os leitores a glorificar a Deus, tanto em louvor agradecido quanto no modo de vida. Isso é visto na seção de abertura, que é como um hino em estilo: "Louvado seja Deus, o Pai de nosso Senhor Jesus Cristo" (</w:t>
      </w:r>
      <w:hyperlink r:id="rId4782">
        <w:r>
          <w:rPr>
            <w:color w:val="0000EE"/>
            <w:u w:val="single"/>
          </w:rPr>
          <w:t>Efésios 1.3</w:t>
        </w:r>
      </w:hyperlink>
      <w:r>
        <w:t xml:space="preserve">; cf. a Doxologia frequentemente cantada na igreja). Paulo diz três vezes no primeiro capítulo que o resultado das bênçãos de Deus deve ser louvor (v. </w:t>
      </w:r>
      <w:hyperlink r:id="rId7630">
        <w:r>
          <w:rPr>
            <w:color w:val="0000EE"/>
            <w:u w:val="single"/>
          </w:rPr>
          <w:t>6,12,14</w:t>
        </w:r>
      </w:hyperlink>
      <w:r>
        <w:t>).</w:t>
      </w:r>
    </w:p>
    <w:p>
      <w:r/>
      <w:r>
        <w:t>Embora a carta contenha muita instrução doutrinária e moral (com esta última solidamente baseada na primeira), seu propósito não é apenas ensinar ou exortar, por mais importantes que sejam. É, ao contrário, elevar seus leitores a um novo ponto de vista que os ajudará a se identificar com o Cristo ressuscitado e ascendido e a compartilhar sua perspectiva sobre a igreja e seu papel no mundo.</w:t>
      </w:r>
    </w:p>
    <w:p>
      <w:r/>
      <w:r>
        <w:t xml:space="preserve">Nesta conexão, um termo significativo ocorre em </w:t>
      </w:r>
      <w:hyperlink r:id="rId4782">
        <w:r>
          <w:rPr>
            <w:color w:val="0000EE"/>
            <w:u w:val="single"/>
          </w:rPr>
          <w:t>1.3</w:t>
        </w:r>
      </w:hyperlink>
      <w:r>
        <w:t xml:space="preserve"> e em outros lugares. Talvez seja melhor traduzido como “regiões celestiais”. É diferente em forma da palavra usual para “céu” e parece ter um significado especial em Efésios como o reino da vitória de Jesus na era presente. Isso é visto em </w:t>
      </w:r>
      <w:hyperlink r:id="rId2665">
        <w:r>
          <w:rPr>
            <w:color w:val="0000EE"/>
            <w:u w:val="single"/>
          </w:rPr>
          <w:t>1.20</w:t>
        </w:r>
      </w:hyperlink>
      <w:r>
        <w:t xml:space="preserve">, lido no contexto dos versículos </w:t>
      </w:r>
      <w:hyperlink r:id="rId7631">
        <w:r>
          <w:rPr>
            <w:color w:val="0000EE"/>
            <w:u w:val="single"/>
          </w:rPr>
          <w:t>19–23</w:t>
        </w:r>
      </w:hyperlink>
      <w:r>
        <w:t>. Quaisquer que sejam os seres que possam existir, Cristo está acima de todos eles. O crente, embora obviamente na terra fisicamente, “senta-se com Cristo” nas regiões celestiais (</w:t>
      </w:r>
      <w:hyperlink r:id="rId4784">
        <w:r>
          <w:rPr>
            <w:color w:val="0000EE"/>
            <w:u w:val="single"/>
          </w:rPr>
          <w:t>2.6</w:t>
        </w:r>
      </w:hyperlink>
      <w:r>
        <w:t>) e é “abençoado” (</w:t>
      </w:r>
      <w:hyperlink r:id="rId4782">
        <w:r>
          <w:rPr>
            <w:color w:val="0000EE"/>
            <w:u w:val="single"/>
          </w:rPr>
          <w:t>1.3</w:t>
        </w:r>
      </w:hyperlink>
      <w:r>
        <w:t>), aproveitando os recursos ilimitados do céu para sua vida diária. É também neste reino que o conflito espiritual ocorre (</w:t>
      </w:r>
      <w:hyperlink r:id="rId4786">
        <w:r>
          <w:rPr>
            <w:color w:val="0000EE"/>
            <w:u w:val="single"/>
          </w:rPr>
          <w:t>6.12</w:t>
        </w:r>
      </w:hyperlink>
      <w:r>
        <w:t>).</w:t>
      </w:r>
    </w:p>
    <w:p>
      <w:r/>
      <w:r>
        <w:t>Paulo deixa claro que os cristãos não devem ter uma visão limitada ou meramente terrena. Aqueles que têm, erroneamente pensam que seus inimigos são pessoas (</w:t>
      </w:r>
      <w:hyperlink r:id="rId4786">
        <w:r>
          <w:rPr>
            <w:color w:val="0000EE"/>
            <w:u w:val="single"/>
          </w:rPr>
          <w:t>6.12</w:t>
        </w:r>
      </w:hyperlink>
      <w:r>
        <w:t>) e nossos recursos humanos (</w:t>
      </w:r>
      <w:hyperlink r:id="rId7632">
        <w:r>
          <w:rPr>
            <w:color w:val="0000EE"/>
            <w:u w:val="single"/>
          </w:rPr>
          <w:t>2 Coríntios 10.3–4</w:t>
        </w:r>
      </w:hyperlink>
      <w:r>
        <w:t>). Com esta orientação para o mundo celestial da presente exaltação do Senhor, o leitor está preparado para entender que a igreja não funciona apenas para realizar atividades rotineiras aqui, mas que exibe a sabedoria de Deus para seres que existem nos reinos celestiais (</w:t>
      </w:r>
      <w:hyperlink r:id="rId4785">
        <w:r>
          <w:rPr>
            <w:color w:val="0000EE"/>
            <w:u w:val="single"/>
          </w:rPr>
          <w:t>Efésios 3.10</w:t>
        </w:r>
      </w:hyperlink>
      <w:r>
        <w:t>). Até mesmo a função dos líderes da igreja é discutida em termos dos dons do Cristo que ascendeu aos céus (</w:t>
      </w:r>
      <w:hyperlink r:id="rId7633">
        <w:r>
          <w:rPr>
            <w:color w:val="0000EE"/>
            <w:u w:val="single"/>
          </w:rPr>
          <w:t>4.8–10</w:t>
        </w:r>
      </w:hyperlink>
      <w:r>
        <w:t>).</w:t>
      </w:r>
    </w:p>
    <w:p>
      <w:r/>
      <w:r>
        <w:t xml:space="preserve">Há um forte senso de propósito final em Efésios. O primeiro capítulo contém várias expressões de propósito. O grande objetivo da história é expresso em </w:t>
      </w:r>
      <w:hyperlink r:id="rId7634">
        <w:r>
          <w:rPr>
            <w:color w:val="0000EE"/>
            <w:u w:val="single"/>
          </w:rPr>
          <w:t>1.10</w:t>
        </w:r>
      </w:hyperlink>
      <w:r>
        <w:t xml:space="preserve">. O senso de propósito nunca se perde. A igreja é vista, no capítulo </w:t>
      </w:r>
      <w:hyperlink r:id="rId7635">
        <w:r>
          <w:rPr>
            <w:color w:val="0000EE"/>
            <w:u w:val="single"/>
          </w:rPr>
          <w:t>3</w:t>
        </w:r>
      </w:hyperlink>
      <w:r>
        <w:t>, como a expressão do plano eterno e secreto de Deus. Há também um movimento ao longo da carta, desde (1) a reconciliação dos indivíduos com Deus, até (2) a reconciliação entre eles, até (3) a vida em conjunto na igreja. Não há discussão de pontos ao longo do caminho, como se encontra na maioria das cartas, mas sim uma série conectada de afirmações, cada uma levando o leitor à próxima.</w:t>
      </w:r>
    </w:p>
    <w:p>
      <w:r/>
      <w:r>
        <w:t>Paulo discute vários tópicos a partir dessa perspectiva celestial e o senso de propósito que isso proporciona. Esses tópicos serão discutidos abaixo de forma a mostrar sua interconexão, em vez de necessariamente na ordem de sua importância ou destaque em Efésios.</w:t>
      </w:r>
    </w:p>
    <w:p>
      <w:pPr>
        <w:pStyle w:val="Heading4"/>
      </w:pPr>
      <w:r>
        <w:t>A igreja</w:t>
      </w:r>
    </w:p>
    <w:p>
      <w:r/>
      <w:r>
        <w:t>Paulo emprega várias figuras de linguagem para descrever a igreja, incluindo uma casa, um templo e um corpo (</w:t>
      </w:r>
      <w:hyperlink r:id="rId366">
        <w:r>
          <w:rPr>
            <w:color w:val="0000EE"/>
            <w:u w:val="single"/>
          </w:rPr>
          <w:t>1.22–23</w:t>
        </w:r>
      </w:hyperlink>
      <w:r>
        <w:t xml:space="preserve">; </w:t>
      </w:r>
      <w:hyperlink r:id="rId7636">
        <w:r>
          <w:rPr>
            <w:color w:val="0000EE"/>
            <w:u w:val="single"/>
          </w:rPr>
          <w:t>2.19–22</w:t>
        </w:r>
      </w:hyperlink>
      <w:r>
        <w:t>). Na verdade, pode ser insuficiente chamar a palavra "corpo" de figura de linguagem, porque parece ser mais do que isso. Há um sentido em que Cristo e a igreja têm uma relação orgânica real, na qual ele funciona como a cabeça e os crentes como partes de seu corpo.</w:t>
      </w:r>
    </w:p>
    <w:p>
      <w:r/>
      <w:r>
        <w:t>A igreja é o resultado da obra reconciliadora de Cristo, cuja morte fez a paz entre judeus e gentios mutuamente hostis (</w:t>
      </w:r>
      <w:hyperlink r:id="rId7637">
        <w:r>
          <w:rPr>
            <w:color w:val="0000EE"/>
            <w:u w:val="single"/>
          </w:rPr>
          <w:t>2.11–18</w:t>
        </w:r>
      </w:hyperlink>
      <w:r>
        <w:t>). A unidade resultante foi planejada há muito tempo por Deus (</w:t>
      </w:r>
      <w:hyperlink r:id="rId7638">
        <w:r>
          <w:rPr>
            <w:color w:val="0000EE"/>
            <w:u w:val="single"/>
          </w:rPr>
          <w:t>3.2–6</w:t>
        </w:r>
      </w:hyperlink>
      <w:r>
        <w:t xml:space="preserve">), e é promovida por uma atitude adequada e ministério mútuo (cap. </w:t>
      </w:r>
      <w:hyperlink r:id="rId7639">
        <w:r>
          <w:rPr>
            <w:color w:val="0000EE"/>
            <w:u w:val="single"/>
          </w:rPr>
          <w:t>4</w:t>
        </w:r>
      </w:hyperlink>
      <w:r>
        <w:t>).</w:t>
      </w:r>
    </w:p>
    <w:p>
      <w:r/>
      <w:r>
        <w:t>Uma característica especialmente notável de Efésios é o paralelo traçado entre o relacionamento entre um marido e uma esposa e aquele entre Cristo e a igreja (</w:t>
      </w:r>
      <w:hyperlink r:id="rId7640">
        <w:r>
          <w:rPr>
            <w:color w:val="0000EE"/>
            <w:u w:val="single"/>
          </w:rPr>
          <w:t>5.22–33</w:t>
        </w:r>
      </w:hyperlink>
      <w:r>
        <w:t>). Nesta comparação, a realidade anterior não é o casamento, com o relacionamento de Cristo e a igreja apenas fornecendo uma ilustração. Pelo contrário, a realidade essencial é Cristo e a igreja.</w:t>
      </w:r>
    </w:p>
    <w:p>
      <w:pPr>
        <w:pStyle w:val="Heading4"/>
      </w:pPr>
      <w:r>
        <w:t>A liderança de Cristo</w:t>
      </w:r>
    </w:p>
    <w:p>
      <w:r/>
      <w:r>
        <w:t>Não só Cristo é a cabeça da igreja, mas ele é cabeça sobre todas as coisas para o benefício da igreja (</w:t>
      </w:r>
      <w:hyperlink r:id="rId7641">
        <w:r>
          <w:rPr>
            <w:color w:val="0000EE"/>
            <w:u w:val="single"/>
          </w:rPr>
          <w:t>1.22</w:t>
        </w:r>
      </w:hyperlink>
      <w:r>
        <w:t xml:space="preserve">). O significado de </w:t>
      </w:r>
      <w:hyperlink r:id="rId7634">
        <w:r>
          <w:rPr>
            <w:color w:val="0000EE"/>
            <w:u w:val="single"/>
          </w:rPr>
          <w:t>1.10</w:t>
        </w:r>
      </w:hyperlink>
      <w:r>
        <w:t xml:space="preserve"> é que as partes e seres atualmente dispersos do universo serão colocados em ordem sob a liderança de Cristo. Esta liderança universal é antecipada na ascensão e presente exaltação de Cristo. A expressão de dominação universal — “Deus colocou todas as coisas debaixo de seus pés” (</w:t>
      </w:r>
      <w:hyperlink r:id="rId7641">
        <w:r>
          <w:rPr>
            <w:color w:val="0000EE"/>
            <w:u w:val="single"/>
          </w:rPr>
          <w:t>1.22</w:t>
        </w:r>
      </w:hyperlink>
      <w:r>
        <w:t xml:space="preserve">, de </w:t>
      </w:r>
      <w:hyperlink r:id="rId7642">
        <w:r>
          <w:rPr>
            <w:color w:val="0000EE"/>
            <w:u w:val="single"/>
          </w:rPr>
          <w:t>Salmo 8.6</w:t>
        </w:r>
      </w:hyperlink>
      <w:r>
        <w:t>) — fortalece essa expectativa.</w:t>
      </w:r>
    </w:p>
    <w:p>
      <w:pPr>
        <w:pStyle w:val="Heading4"/>
      </w:pPr>
      <w:r>
        <w:t>O “mistério” ou “plano secreto”</w:t>
      </w:r>
    </w:p>
    <w:p>
      <w:r/>
      <w:r>
        <w:t>A palavra grega "mistério" tem um significado especial na literatura judaica e cristã primitiva. Refere-se às decisões eternas privadas de Deus sobre sua obra salvadora e seus propósitos finais na história, que são revelados etapa por etapa. O termo é usado em conexão com o reino nos Evangelhos (</w:t>
      </w:r>
      <w:hyperlink r:id="rId7643">
        <w:r>
          <w:rPr>
            <w:color w:val="0000EE"/>
            <w:u w:val="single"/>
          </w:rPr>
          <w:t>Mateus 13.11</w:t>
        </w:r>
      </w:hyperlink>
      <w:r>
        <w:t xml:space="preserve">), com a pregação do evangelho em </w:t>
      </w:r>
      <w:hyperlink r:id="rId7644">
        <w:r>
          <w:rPr>
            <w:color w:val="0000EE"/>
            <w:u w:val="single"/>
          </w:rPr>
          <w:t>1 Coríntios 1.18–2.16</w:t>
        </w:r>
      </w:hyperlink>
      <w:r>
        <w:t xml:space="preserve">, com o destino de Israel em </w:t>
      </w:r>
      <w:hyperlink r:id="rId7645">
        <w:r>
          <w:rPr>
            <w:color w:val="0000EE"/>
            <w:u w:val="single"/>
          </w:rPr>
          <w:t>Romanos 11.25</w:t>
        </w:r>
      </w:hyperlink>
      <w:r>
        <w:t xml:space="preserve">, e em outros lugares com diferentes aplicações. Finalmente, </w:t>
      </w:r>
      <w:hyperlink r:id="rId7646">
        <w:r>
          <w:rPr>
            <w:color w:val="0000EE"/>
            <w:u w:val="single"/>
          </w:rPr>
          <w:t>Apocalipse 10.6–7</w:t>
        </w:r>
      </w:hyperlink>
      <w:r>
        <w:t xml:space="preserve"> declara que não haverá mais demora, mas que o "mistério" de Deus, inicialmente anunciado pelos profetas, alcançará sua conclusão.</w:t>
      </w:r>
    </w:p>
    <w:p>
      <w:r/>
      <w:r>
        <w:t xml:space="preserve">O aspecto do plano de Deus que Paulo apresenta em </w:t>
      </w:r>
      <w:hyperlink r:id="rId7647">
        <w:r>
          <w:rPr>
            <w:color w:val="0000EE"/>
            <w:u w:val="single"/>
          </w:rPr>
          <w:t>Efésios 3.3–6</w:t>
        </w:r>
      </w:hyperlink>
      <w:r>
        <w:t xml:space="preserve"> não é apenas a inclusão dos gentios entre o povo de Deus, mas sua completa integração com os judeus na igreja. A extensão disso não foi revelada antes do tempo do ministério de Paulo.</w:t>
      </w:r>
    </w:p>
    <w:p>
      <w:pPr>
        <w:pStyle w:val="Heading3"/>
      </w:pPr>
      <w:r>
        <w:t>Conteúdo</w:t>
      </w:r>
    </w:p>
    <w:p>
      <w:pPr>
        <w:pStyle w:val="Heading4"/>
      </w:pPr>
      <w:r>
        <w:t>O propósito divino: a glória e a liderança de Cristo (</w:t>
      </w:r>
      <w:hyperlink r:id="rId7648">
        <w:r>
          <w:rPr>
            <w:color w:val="0000EE"/>
            <w:u w:val="single"/>
          </w:rPr>
          <w:t>1.1–14</w:t>
        </w:r>
      </w:hyperlink>
      <w:r>
        <w:t>)</w:t>
      </w:r>
    </w:p>
    <w:p>
      <w:r/>
      <w:r>
        <w:t xml:space="preserve">Esta seção inteira constitui uma "doxologia". Paulo lembra os leitores, expressando sua própria oração de louvor, de todas as bênçãos que Deus deu aos crentes. Estas incluem ser escolhido para viver na presença de Deus sem culpa (v. </w:t>
      </w:r>
      <w:hyperlink r:id="rId7649">
        <w:r>
          <w:rPr>
            <w:color w:val="0000EE"/>
            <w:u w:val="single"/>
          </w:rPr>
          <w:t>4</w:t>
        </w:r>
      </w:hyperlink>
      <w:r>
        <w:t xml:space="preserve">), receber o destino de plena filiação (v. </w:t>
      </w:r>
      <w:hyperlink r:id="rId7650">
        <w:r>
          <w:rPr>
            <w:color w:val="0000EE"/>
            <w:u w:val="single"/>
          </w:rPr>
          <w:t>5</w:t>
        </w:r>
      </w:hyperlink>
      <w:r>
        <w:t>) e ser perdoado porque Cristo morreu por eles.</w:t>
      </w:r>
    </w:p>
    <w:p>
      <w:r/>
      <w:r>
        <w:t xml:space="preserve">Mas Paulo não está apenas recitando o que Deus fez; ele entrelaça várias palavras e frases indicando </w:t>
      </w:r>
      <w:r>
        <w:rPr>
          <w:i/>
        </w:rPr>
        <w:t>por que</w:t>
      </w:r>
      <w:r>
        <w:t xml:space="preserve"> Deus agiu, ou seja, quais são os </w:t>
      </w:r>
      <w:r>
        <w:rPr>
          <w:i/>
        </w:rPr>
        <w:t>propósitos</w:t>
      </w:r>
      <w:r>
        <w:t xml:space="preserve"> de Deus. Várias traduções usam diferentes palavras em inglês para representar expressões gregas de propósito, como “escolheu”, “predestinou”, “plano”, “vontade”, “razão secreta”, “bom prazer”, “propósito” (v. </w:t>
      </w:r>
      <w:hyperlink r:id="rId7651">
        <w:r>
          <w:rPr>
            <w:color w:val="0000EE"/>
            <w:u w:val="single"/>
          </w:rPr>
          <w:t>4–10</w:t>
        </w:r>
      </w:hyperlink>
      <w:r>
        <w:t xml:space="preserve">). Talvez a declaração mais abrangente esteja nos versículos </w:t>
      </w:r>
      <w:hyperlink r:id="rId7652">
        <w:r>
          <w:rPr>
            <w:color w:val="0000EE"/>
            <w:u w:val="single"/>
          </w:rPr>
          <w:t>11–12</w:t>
        </w:r>
      </w:hyperlink>
      <w:r>
        <w:t>.</w:t>
      </w:r>
    </w:p>
    <w:p>
      <w:r/>
      <w:r>
        <w:t>Fica claro a partir disso que o propósito final da obra salvadora de Deus não é apenas a felicidade dos crentes, mas a glória de Deus através do Senhor Jesus Cristo. O Espírito é dado para garantir não apenas a segurança do crente, mas também o investimento de Deus, por assim dizer, no crente.</w:t>
      </w:r>
    </w:p>
    <w:p>
      <w:pPr>
        <w:pStyle w:val="Heading4"/>
      </w:pPr>
      <w:r>
        <w:t>Oração para que os cristãos compreendam o propósito e o poder de Deus (</w:t>
      </w:r>
      <w:hyperlink r:id="rId6028">
        <w:r>
          <w:rPr>
            <w:color w:val="0000EE"/>
            <w:u w:val="single"/>
          </w:rPr>
          <w:t>1.15–23</w:t>
        </w:r>
      </w:hyperlink>
      <w:r>
        <w:t>)</w:t>
      </w:r>
    </w:p>
    <w:p>
      <w:r/>
      <w:r>
        <w:t>A oração de Paulo surge de sua seção de abertura, constituindo um pedido para que os crentes possam apropriar-se de tudo o que está contido nessa declaração. É aqui que o fato da morte, ressurreição e ascensão de Jesus é citado como a base para a perspectiva e poder atuais do crente.</w:t>
      </w:r>
    </w:p>
    <w:p>
      <w:pPr>
        <w:pStyle w:val="Heading4"/>
      </w:pPr>
      <w:r>
        <w:t>Passos para o cumprimento do propósito de Deus (</w:t>
      </w:r>
      <w:hyperlink r:id="rId7653">
        <w:r>
          <w:rPr>
            <w:color w:val="0000EE"/>
            <w:u w:val="single"/>
          </w:rPr>
          <w:t>2.1–3.21</w:t>
        </w:r>
      </w:hyperlink>
      <w:r>
        <w:t>)</w:t>
      </w:r>
    </w:p>
    <w:p>
      <w:r/>
      <w:r>
        <w:t>O primeiro passo foi a morte de Cristo para salvar os indivíduos do pecado e da morte (</w:t>
      </w:r>
      <w:hyperlink r:id="rId7654">
        <w:r>
          <w:rPr>
            <w:color w:val="0000EE"/>
            <w:u w:val="single"/>
          </w:rPr>
          <w:t>2.1–10</w:t>
        </w:r>
      </w:hyperlink>
      <w:r>
        <w:t>). Como isso foi por iniciativa de Deus, não do homem, e já que o homem estava espiritualmente “morto” e indefeso, a salvação só pode ser pela graça.</w:t>
      </w:r>
    </w:p>
    <w:p>
      <w:r/>
      <w:r>
        <w:t>O segundo passo foi a reconciliação das pessoas não apenas com Deus, mas umas com as outras (</w:t>
      </w:r>
      <w:hyperlink r:id="rId7637">
        <w:r>
          <w:rPr>
            <w:color w:val="0000EE"/>
            <w:u w:val="single"/>
          </w:rPr>
          <w:t>2.11–18</w:t>
        </w:r>
      </w:hyperlink>
      <w:r>
        <w:t xml:space="preserve">). Paulo assim se move do aspecto individual para o aspecto corporativo da salvação. Isso foi particularmente significativo para os gentios, que anteriormente não tinham nem mesmo uma relação formal com Deus. Uma das palavras-chave nesta seção é “paz” (v. </w:t>
      </w:r>
      <w:hyperlink r:id="rId7655">
        <w:r>
          <w:rPr>
            <w:color w:val="0000EE"/>
            <w:u w:val="single"/>
          </w:rPr>
          <w:t>14–17</w:t>
        </w:r>
      </w:hyperlink>
      <w:r>
        <w:t>).</w:t>
      </w:r>
    </w:p>
    <w:p>
      <w:r/>
      <w:r>
        <w:t>O terceiro passo vai além da reconciliação para a verdadeira união de judeus e gentios em uma “família” (</w:t>
      </w:r>
      <w:hyperlink r:id="rId7636">
        <w:r>
          <w:rPr>
            <w:color w:val="0000EE"/>
            <w:u w:val="single"/>
          </w:rPr>
          <w:t>2.19–22</w:t>
        </w:r>
      </w:hyperlink>
      <w:r>
        <w:t>). Deus não apenas trouxe pessoas individualmente para si mesmo e umas às outras como indivíduos, mas formou uma nova entidade corporativa, uma nova sociedade que é descrita tanto em termos políticos quanto familiares. Em última análise, os crentes juntos formam um corpo corporativo no qual Deus é exaltado.</w:t>
      </w:r>
    </w:p>
    <w:p>
      <w:r/>
      <w:r>
        <w:t>Este terceiro passo é ampliado em um quarto passo, a revelação do propósito eterno de Deus na formação deste único corpo, a igreja (</w:t>
      </w:r>
      <w:hyperlink r:id="rId7656">
        <w:r>
          <w:rPr>
            <w:color w:val="0000EE"/>
            <w:u w:val="single"/>
          </w:rPr>
          <w:t>3.1–13</w:t>
        </w:r>
      </w:hyperlink>
      <w:r>
        <w:t>). Usando o conceito bíblico do “mistério”, Paulo mostra como a igreja exibe a sabedoria de Deus para todos que possam estar observando em todo o universo. Isso imediatamente dá ao crente uma nova consciência da razão de sua salvação e participação na igreja. O egocentrismo e o tédio com a rotina das atividades da igreja dão lugar a um senso de significado e propósito.</w:t>
      </w:r>
    </w:p>
    <w:p>
      <w:r/>
      <w:r>
        <w:t>Esses passos agora são resumidos em uma oração de Efésios (</w:t>
      </w:r>
      <w:hyperlink r:id="rId7657">
        <w:r>
          <w:rPr>
            <w:color w:val="0000EE"/>
            <w:u w:val="single"/>
          </w:rPr>
          <w:t>3.14–21</w:t>
        </w:r>
      </w:hyperlink>
      <w:r>
        <w:t>). Uma série exaltada de petições culmina em outra “doxologia”. Isso expressa a admiração de Paulo pelo poder infinito de Deus para realizar tudo o que ele descreveu na epístola até agora, e seu desejo de que isso realmente resulte em grande glória a Deus tanto na igreja quanto em Cristo.</w:t>
      </w:r>
    </w:p>
    <w:p>
      <w:pPr>
        <w:pStyle w:val="Heading4"/>
      </w:pPr>
      <w:r>
        <w:t>Maneiras práticas de cumprir o propósito de Deus na igreja (</w:t>
      </w:r>
      <w:hyperlink r:id="rId7658">
        <w:r>
          <w:rPr>
            <w:color w:val="0000EE"/>
            <w:u w:val="single"/>
          </w:rPr>
          <w:t>4.1–6.20</w:t>
        </w:r>
      </w:hyperlink>
      <w:r>
        <w:t>)</w:t>
      </w:r>
    </w:p>
    <w:p>
      <w:r/>
      <w:r>
        <w:t xml:space="preserve">A doutrina e a vida nunca estão separadas no pensamento de Paulo, mas em Efésios a conexão é ainda mais vital do que o habitual. A vida do crente deve ser vivida de maneira digna dos grandes propósitos de Deus. O "chamado" do crente não é apenas para ser salvo ou eternamente feliz, mas para participar com todo o corpo, a igreja, em trazer glória a Deus. Isso contribui para a realização da oração em </w:t>
      </w:r>
      <w:hyperlink r:id="rId7659">
        <w:r>
          <w:rPr>
            <w:color w:val="0000EE"/>
            <w:u w:val="single"/>
          </w:rPr>
          <w:t>3.20–21</w:t>
        </w:r>
      </w:hyperlink>
      <w:r>
        <w:t>.</w:t>
      </w:r>
    </w:p>
    <w:p>
      <w:r/>
      <w:r>
        <w:t xml:space="preserve">A primeira maneira de cumprir o propósito de Deus é manter a unidade que ele estabeleceu na igreja. Isso é realizado ao reconhecer a forte base para a unidade (“um Senhor, uma fé,” etc., </w:t>
      </w:r>
      <w:hyperlink r:id="rId7660">
        <w:r>
          <w:rPr>
            <w:color w:val="0000EE"/>
            <w:u w:val="single"/>
          </w:rPr>
          <w:t>4.5–6</w:t>
        </w:r>
      </w:hyperlink>
      <w:r>
        <w:t xml:space="preserve">). Então, os crentes devem reconhecer a diversidade nessa unidade, lembrando que Deus deu a cada um habilidades especiais (v. </w:t>
      </w:r>
      <w:hyperlink r:id="rId7661">
        <w:r>
          <w:rPr>
            <w:color w:val="0000EE"/>
            <w:u w:val="single"/>
          </w:rPr>
          <w:t>7–8</w:t>
        </w:r>
      </w:hyperlink>
      <w:r>
        <w:t xml:space="preserve">). Essas habilidades devem ser usadas para levar a igreja, tanto individualmente quanto coletivamente, à maturidade. Essa diversidade na unidade constitui a segunda maneira pela qual o propósito de Deus é cumprido. A maturidade cristã permite que os membros individuais da igreja se relacionem uns com os outros em amor (v. </w:t>
      </w:r>
      <w:hyperlink r:id="rId7662">
        <w:r>
          <w:rPr>
            <w:color w:val="0000EE"/>
            <w:u w:val="single"/>
          </w:rPr>
          <w:t>16</w:t>
        </w:r>
      </w:hyperlink>
      <w:r>
        <w:t>).</w:t>
      </w:r>
    </w:p>
    <w:p>
      <w:r/>
      <w:r>
        <w:t>A terceira maneira de cumprir os propósitos de Deus é pela renovação da vida pessoal (</w:t>
      </w:r>
      <w:hyperlink r:id="rId7663">
        <w:r>
          <w:rPr>
            <w:color w:val="0000EE"/>
            <w:u w:val="single"/>
          </w:rPr>
          <w:t>4.17–5.21</w:t>
        </w:r>
      </w:hyperlink>
      <w:r>
        <w:t>). Paulo enfatiza o tipo de estilo de vida esperado de um cristão, contrastando os padrões de comportamento que caracterizavam os crentes antes de sua conversão. Mas a nova vida do crente não é simplesmente estruturada como uma reação contra a antiga. Pelo contrário, o Senhor deu tanto seus ensinamentos quanto o exemplo de seu próprio amor sacrificial (</w:t>
      </w:r>
      <w:hyperlink r:id="rId7664">
        <w:r>
          <w:rPr>
            <w:color w:val="0000EE"/>
            <w:u w:val="single"/>
          </w:rPr>
          <w:t>4.20–21,32</w:t>
        </w:r>
      </w:hyperlink>
      <w:r>
        <w:t xml:space="preserve">; </w:t>
      </w:r>
      <w:hyperlink r:id="rId7665">
        <w:r>
          <w:rPr>
            <w:color w:val="0000EE"/>
            <w:u w:val="single"/>
          </w:rPr>
          <w:t>5.1–2</w:t>
        </w:r>
      </w:hyperlink>
      <w:r>
        <w:t xml:space="preserve">). O crente deve abandonar seu antigo modo de vida, seu antigo eu ou caráter. (O termo real é “homem velho” nas palavras de Paulo, não, como muitas vezes se pensa, “natureza velha”). Ele deve ao mesmo tempo vestir o “novo homem,” que, nas palavras de Paulo no versículo </w:t>
      </w:r>
      <w:hyperlink r:id="rId372">
        <w:r>
          <w:rPr>
            <w:color w:val="0000EE"/>
            <w:u w:val="single"/>
          </w:rPr>
          <w:t>24</w:t>
        </w:r>
      </w:hyperlink>
      <w:r>
        <w:t>, é “criado segundo Deus” (niv “criado para ser como Deus”). A seção termina com a importante exortação a ser cheio do Espírito (</w:t>
      </w:r>
      <w:hyperlink r:id="rId7666">
        <w:r>
          <w:rPr>
            <w:color w:val="0000EE"/>
            <w:u w:val="single"/>
          </w:rPr>
          <w:t>5.18</w:t>
        </w:r>
      </w:hyperlink>
      <w:r>
        <w:t>).</w:t>
      </w:r>
    </w:p>
    <w:p>
      <w:r/>
      <w:r>
        <w:t xml:space="preserve">A expressão do novo caráter nas relações interpessoais é a quarta maneira pela qual os crentes podem avançar os propósitos de Deus na igreja. A unidade é alcançada ou quebrada de acordo com a presença ou ausência da submissão adequada descrita em </w:t>
      </w:r>
      <w:hyperlink r:id="rId7667">
        <w:r>
          <w:rPr>
            <w:color w:val="0000EE"/>
            <w:u w:val="single"/>
          </w:rPr>
          <w:t>5.22–6.9</w:t>
        </w:r>
      </w:hyperlink>
      <w:r>
        <w:t xml:space="preserve">. O princípio básico da submissão é primeiro expresso pelo versículo </w:t>
      </w:r>
      <w:hyperlink r:id="rId7668">
        <w:r>
          <w:rPr>
            <w:color w:val="0000EE"/>
            <w:u w:val="single"/>
          </w:rPr>
          <w:t>21</w:t>
        </w:r>
      </w:hyperlink>
      <w:r>
        <w:t xml:space="preserve"> como resultado do controle total do Espírito.</w:t>
      </w:r>
    </w:p>
    <w:p>
      <w:r/>
      <w:r>
        <w:t>O casamento, então, fornece o primeiro exemplo de submissão mútua. A esposa se submete ao marido, e isso, por sua vez, é uma expressão de sua submissão, junto com a de toda a igreja, ao Senhor. O marido ama sua esposa como Cristo amou a igreja. Embora o amor do marido não seja descrito como submissão, na prática, o amor custa ao amante sua liberdade. Jesus assim expressou seu amor pela igreja por meio de sua morte (</w:t>
      </w:r>
      <w:hyperlink r:id="rId7409">
        <w:r>
          <w:rPr>
            <w:color w:val="0000EE"/>
            <w:u w:val="single"/>
          </w:rPr>
          <w:t>5.25</w:t>
        </w:r>
      </w:hyperlink>
      <w:r>
        <w:t>). Além disso, marido e esposa estão unidos em uma unidade, assim como Deus pretendia no momento da criação (</w:t>
      </w:r>
      <w:hyperlink r:id="rId3603">
        <w:r>
          <w:rPr>
            <w:color w:val="0000EE"/>
            <w:u w:val="single"/>
          </w:rPr>
          <w:t>Gênesis 2.24</w:t>
        </w:r>
      </w:hyperlink>
      <w:r>
        <w:t xml:space="preserve">, citado aqui em </w:t>
      </w:r>
      <w:hyperlink r:id="rId7669">
        <w:r>
          <w:rPr>
            <w:color w:val="0000EE"/>
            <w:u w:val="single"/>
          </w:rPr>
          <w:t>5.31</w:t>
        </w:r>
      </w:hyperlink>
      <w:r>
        <w:t>). Esta unidade retrata aquela unidade espiritual que existe entre Cristo e a igreja.</w:t>
      </w:r>
    </w:p>
    <w:p>
      <w:r/>
      <w:r>
        <w:t xml:space="preserve">Deve-se notar que esta lista de exemplos é semelhante a um padrão usado em outros lugares no NT (por exemplo, </w:t>
      </w:r>
      <w:hyperlink r:id="rId5174">
        <w:r>
          <w:rPr>
            <w:color w:val="0000EE"/>
            <w:u w:val="single"/>
          </w:rPr>
          <w:t>Colossenses 3.18–4.1</w:t>
        </w:r>
      </w:hyperlink>
      <w:r>
        <w:t xml:space="preserve">; </w:t>
      </w:r>
      <w:hyperlink r:id="rId7670">
        <w:r>
          <w:rPr>
            <w:color w:val="0000EE"/>
            <w:u w:val="single"/>
          </w:rPr>
          <w:t>1 Pedro 3.1–7</w:t>
        </w:r>
      </w:hyperlink>
      <w:r>
        <w:t>). Assim, seguindo o exemplo do casamento, Paulo se volta para o relacionamento que deve existir entre pai e filho. O filho obedece ao pai; o pai se abstém de reações excessivas (</w:t>
      </w:r>
      <w:hyperlink r:id="rId7671">
        <w:r>
          <w:rPr>
            <w:color w:val="0000EE"/>
            <w:u w:val="single"/>
          </w:rPr>
          <w:t>6.1–4</w:t>
        </w:r>
      </w:hyperlink>
      <w:r>
        <w:t>). O último exemplo é o de escravos e senhores.</w:t>
      </w:r>
    </w:p>
    <w:p>
      <w:r/>
      <w:r>
        <w:t>A maneira final pela qual os crentes promovem os grandes propósitos de Deus é continuar o conflito espiritual, dependendo dos recursos espirituais (</w:t>
      </w:r>
      <w:hyperlink r:id="rId7672">
        <w:r>
          <w:rPr>
            <w:color w:val="0000EE"/>
            <w:u w:val="single"/>
          </w:rPr>
          <w:t>Efésios 6.10–20</w:t>
        </w:r>
      </w:hyperlink>
      <w:r>
        <w:t xml:space="preserve">). Usando imagens tanto do AT quanto da guerra romana contemporânea, Paulo mostra que a perspectiva celestial é essencial para a vitória. Isso inclui a dependência de Deus, expressa na oração (v. </w:t>
      </w:r>
      <w:hyperlink r:id="rId6030">
        <w:r>
          <w:rPr>
            <w:color w:val="0000EE"/>
            <w:u w:val="single"/>
          </w:rPr>
          <w:t>18–20</w:t>
        </w:r>
      </w:hyperlink>
      <w:r>
        <w:t>). Ele reconhece sua própria necessidade nesse aspecto.</w:t>
      </w:r>
    </w:p>
    <w:p>
      <w:r/>
      <w:r>
        <w:t>A conclusão da carta (</w:t>
      </w:r>
      <w:hyperlink r:id="rId7673">
        <w:r>
          <w:rPr>
            <w:color w:val="0000EE"/>
            <w:u w:val="single"/>
          </w:rPr>
          <w:t>6.21–24</w:t>
        </w:r>
      </w:hyperlink>
      <w:r>
        <w:t>) é uma palavra de encorajamento e uma explicação da decisão de Paulo de enviar a carta nas boas mãos de Tíquico. Uma das palavras de conclusão é “graça”, uma palavra que fundamenta todo o processo divino descrito em Efésios.</w:t>
      </w:r>
    </w:p>
    <w:p>
      <w:r/>
      <w:r>
        <w:rPr>
          <w:i/>
        </w:rPr>
        <w:t>Veja também</w:t>
      </w:r>
      <w:r>
        <w:t xml:space="preserve"> </w:t>
      </w:r>
      <w:r>
        <w:t>Colossenses, Carta aos</w:t>
      </w:r>
      <w:r>
        <w:t xml:space="preserve">; </w:t>
      </w:r>
      <w:r>
        <w:t>Éfeso</w:t>
      </w:r>
      <w:r>
        <w:t xml:space="preserve">; </w:t>
      </w:r>
      <w:r>
        <w:t>Paulo, O Apóstolo</w:t>
      </w:r>
      <w:r>
        <w:t>.</w:t>
      </w:r>
      <w:r/>
      <w:r/>
    </w:p>
    <w:p>
      <w:r/>
    </w:p>
    <w:p>
      <w:pPr>
        <w:pStyle w:val="Heading2"/>
      </w:pPr>
      <w:r>
        <w:t>Éfeso</w:t>
      </w:r>
      <w:r/>
    </w:p>
    <w:p>
      <w:pPr>
        <w:pStyle w:val="Heading3"/>
      </w:pPr>
      <w:r>
        <w:t>Onde fica Éfeso?</w:t>
      </w:r>
    </w:p>
    <w:p>
      <w:r/>
      <w:r>
        <w:t>Esta era a cidade mais importante da província romana da Ásia. Estava localizada na costa ocidental da Ásia Menor, na atual Turquia. Éfeso foi construída em um porto natural. O escritor romano Plínio, o Velho, afirmou que as ondas “costumavam lavar até o templo de Diana”. O antigo geógrafo grego Estrabão descreveu Éfeso como o maior centro comercial a oeste das Montanhas Taurus. Éfeso também era bem conhecida como a “guardiã” do templo da deusa Ártemis, também referida como Diana pelos romanos (</w:t>
      </w:r>
      <w:hyperlink r:id="rId7674">
        <w:r>
          <w:rPr>
            <w:color w:val="0000EE"/>
            <w:u w:val="single"/>
          </w:rPr>
          <w:t>At 19.34</w:t>
        </w:r>
      </w:hyperlink>
      <w:r>
        <w:t>).</w:t>
      </w:r>
    </w:p>
    <w:p>
      <w:pPr>
        <w:pStyle w:val="Heading3"/>
      </w:pPr>
      <w:r>
        <w:t>Éfeso no Novo Testamento</w:t>
      </w:r>
    </w:p>
    <w:p>
      <w:r/>
      <w:r>
        <w:t>O cristianismo ameaçou aquele templo pagão e o comércio que ele gerava para aqueles que fabricavam ídolos. Isso causou um tumulto em que o apóstolo Paulo quase foi morto (</w:t>
      </w:r>
      <w:hyperlink r:id="rId7675">
        <w:r>
          <w:rPr>
            <w:color w:val="0000EE"/>
            <w:u w:val="single"/>
          </w:rPr>
          <w:t>At 19.24,30–31</w:t>
        </w:r>
      </w:hyperlink>
      <w:r>
        <w:t>). Priscila e Áquila estavam associados à pregação inicial do Evangelho em Éfeso (</w:t>
      </w:r>
      <w:hyperlink r:id="rId7676">
        <w:r>
          <w:rPr>
            <w:color w:val="0000EE"/>
            <w:u w:val="single"/>
          </w:rPr>
          <w:t>18.18–19</w:t>
        </w:r>
      </w:hyperlink>
      <w:r>
        <w:t>). O mesmo aconteceu com Timóteo (</w:t>
      </w:r>
      <w:hyperlink r:id="rId7677">
        <w:r>
          <w:rPr>
            <w:color w:val="0000EE"/>
            <w:u w:val="single"/>
          </w:rPr>
          <w:t>1Tm 1.3</w:t>
        </w:r>
      </w:hyperlink>
      <w:r>
        <w:t>) e o ajudante de Paulo chamado Erasto (</w:t>
      </w:r>
      <w:hyperlink r:id="rId7678">
        <w:r>
          <w:rPr>
            <w:color w:val="0000EE"/>
            <w:u w:val="single"/>
          </w:rPr>
          <w:t>At 19.22</w:t>
        </w:r>
      </w:hyperlink>
      <w:r>
        <w:t>). O escritor cristão primitivo Irineu afirmou que, após o apóstolo João ser exilado na ilha de Patmos (</w:t>
      </w:r>
      <w:hyperlink r:id="rId2023">
        <w:r>
          <w:rPr>
            <w:color w:val="0000EE"/>
            <w:u w:val="single"/>
          </w:rPr>
          <w:t>Ap 1.9</w:t>
        </w:r>
      </w:hyperlink>
      <w:r>
        <w:t>), ele voltou a viver em Éfeso até a época do Imperador Trajano (98–117 d.C). Em sua carta aos Efésios, Paulo descreve como a comunidade cristã de Éfeso vivia bem. Quando o apóstolo João escreveu o livro de Apocalipse, a igreja de Éfeso havia abandonado o amor que tinham por Deus no início (</w:t>
      </w:r>
      <w:hyperlink r:id="rId2063">
        <w:r>
          <w:rPr>
            <w:color w:val="0000EE"/>
            <w:u w:val="single"/>
          </w:rPr>
          <w:t>Ap 2.4</w:t>
        </w:r>
      </w:hyperlink>
      <w:r>
        <w:t>).</w:t>
      </w:r>
    </w:p>
    <w:p>
      <w:pPr>
        <w:pStyle w:val="Heading3"/>
      </w:pPr>
      <w:r>
        <w:t>História inicial de Éfeso</w:t>
      </w:r>
    </w:p>
    <w:p>
      <w:r/>
      <w:r>
        <w:t>Éfeso foi fundada por gregos jônicos e estava localizada onde o rio Cayster desaguava em um golfo do Mar Egeu. Na época da terceira viagem missionária do apóstolo Paulo, Éfeso já existia há cerca de 1.000 anos. A cidade adorava Ártemis desde sua fundação. O templo foi construído em meados do século VI a.C. e era o maior edifício do mundo helenístico. Além disso, este edifício foi o primeiro templo maciço feito inteiramente de mármore. Existem duas imagens de Ártemis magnificamente esculpidas em mármore, datando do período dos imperadores Domiciano e Adriano. Esses imperadores governaram enquanto o apóstolo João vivia. O templo de Diana, chamado de “mãe dos deuses”, era considerado uma das sete maravilhas do mundo antigo.</w:t>
      </w:r>
    </w:p>
    <w:p>
      <w:pPr>
        <w:pStyle w:val="Heading3"/>
      </w:pPr>
      <w:r>
        <w:t>Evidência física da antiga Éfeso</w:t>
      </w:r>
    </w:p>
    <w:p>
      <w:r/>
      <w:r>
        <w:t>O árduo trabalho do arqueólogo britânico J. T. Wood resultou na descoberta do templo de Diana em 1869. No entanto, seu grande altar não foi encontrado até recentemente. As escavações mostraram que o altar de Diana era maior que o altar de Zeus, construído posteriormente em Pérgamo. Seu primeiro templo foi parcialmente destruído em 356 a.C., mas foi posteriormente reconstruído de acordo com seu plano original.</w:t>
      </w:r>
    </w:p>
    <w:p>
      <w:r/>
      <w:r>
        <w:t xml:space="preserve">Escavações também descobriram o teatro mencionado em </w:t>
      </w:r>
      <w:hyperlink r:id="rId2496">
        <w:r>
          <w:rPr>
            <w:color w:val="0000EE"/>
            <w:u w:val="single"/>
          </w:rPr>
          <w:t>Atos 19.29</w:t>
        </w:r>
      </w:hyperlink>
      <w:r>
        <w:t>. Ele estava localizado ao lado da principal área de compras (ágora grega). O teatro tinha três níveis que podiam acomodar 24.000 pessoas. Tinha 151 metros de largura. Possuía duas portas que se abriam para a rua mais impressionante de Éfeso. Essa rua levava ao porto e tinha cerca de 10,5 metros de largura. Altas colunas a cercavam.</w:t>
      </w:r>
    </w:p>
    <w:p>
      <w:r/>
      <w:r>
        <w:t>A rua passava por um magnífico e imponente portão localizado em sua extremidade oeste. Na outra direção, a estrada continuava ao redor do teatro e do mercado. Depois, a estrada seguia para sudeste entre o Monte Koressos e o Monte Pion. À medida que continuava, a estrada se estreitava. Belas fontes, edifícios cívicos, casas, lojas, uma biblioteca, banhos e um pequeno teatro a margeavam. O teatro provavelmente também era usado como câmara de conselho para os oficiais da cidade.</w:t>
      </w:r>
    </w:p>
    <w:p>
      <w:pPr>
        <w:pStyle w:val="Heading3"/>
      </w:pPr>
      <w:r>
        <w:t>Vida cotidiana em Éfeso</w:t>
      </w:r>
    </w:p>
    <w:p>
      <w:r/>
      <w:r>
        <w:t>Éfeso era uma sociedade rica, de classe média alta, com residências de múltiplos níveis localizadas nos terraços ao norte do Monte Koressos. Algumas casas tinham pisos de mosaico e paredes de mármore. Duas casas descobertas possuíam banheiros aquecidos. Muitas pessoas tinham água encanada. Algumas descobertas sugerem que Éfeso era uma cidade imoral, com uma casa de prostituição centralmente localizada e mesas de jogo. Estátuas de Diana encontradas com características sexuais exageradas fornecem evidências de temas de fertilidade.</w:t>
      </w:r>
    </w:p>
    <w:p>
      <w:pPr>
        <w:pStyle w:val="Heading3"/>
      </w:pPr>
      <w:r>
        <w:t>Éfeso na história da Igreja</w:t>
      </w:r>
    </w:p>
    <w:p>
      <w:r/>
      <w:r>
        <w:t xml:space="preserve">Éfeso sentiu o impacto do Cristianismo por séculos. Em 431 d.C, o terceiro concílio ecumênico se reuniu a noroeste do teatro na Igreja de Maria. Este foi um concílio que estabeleceu o título de Maria, a mãe de Jesus, como a “Mãe de Deus” (grego </w:t>
      </w:r>
      <w:r>
        <w:rPr>
          <w:i/>
        </w:rPr>
        <w:t>Theotokos</w:t>
      </w:r>
      <w:r>
        <w:t>). Naquela época, o templo de Diana já não era mais influente entre os efésios, pois os godos queimaram seu templo em 262 d.C. A mensagem do apóstolo Paulo, até certo ponto, se concretizou: “deuses feitos por mãos humanas não são deuses de verdade” (</w:t>
      </w:r>
      <w:hyperlink r:id="rId6925">
        <w:r>
          <w:rPr>
            <w:color w:val="0000EE"/>
            <w:u w:val="single"/>
          </w:rPr>
          <w:t>At 19.26</w:t>
        </w:r>
      </w:hyperlink>
      <w:r>
        <w:t>).</w:t>
      </w:r>
    </w:p>
    <w:p>
      <w:r/>
      <w:r>
        <w:rPr>
          <w:i/>
        </w:rPr>
        <w:t>Veja também</w:t>
      </w:r>
      <w:r>
        <w:t xml:space="preserve"> </w:t>
      </w:r>
      <w:r>
        <w:t>Efésios, Carta aos</w:t>
      </w:r>
      <w:r>
        <w:t>.</w:t>
      </w:r>
      <w:r/>
      <w:r/>
    </w:p>
    <w:p>
      <w:r/>
    </w:p>
    <w:p>
      <w:pPr>
        <w:pStyle w:val="Heading2"/>
      </w:pPr>
      <w:r>
        <w:t>Éfode (Pessoa)</w:t>
      </w:r>
      <w:r/>
    </w:p>
    <w:p>
      <w:r/>
      <w:r>
        <w:t>O pai de Haniel. Haniel era um líder da tribo de Manassés, uma das duas tribos que vieram de José (</w:t>
      </w:r>
      <w:hyperlink r:id="rId7679">
        <w:r>
          <w:rPr>
            <w:color w:val="0000EE"/>
            <w:u w:val="single"/>
          </w:rPr>
          <w:t>Nm 34.23</w:t>
        </w:r>
      </w:hyperlink>
      <w:r>
        <w:t>). Ele ajudou a dividir a terra de Canaã entre as tribos de Israel.</w:t>
      </w:r>
      <w:r/>
      <w:r/>
    </w:p>
    <w:p>
      <w:r/>
    </w:p>
    <w:p>
      <w:pPr>
        <w:pStyle w:val="Heading2"/>
      </w:pPr>
      <w:r>
        <w:t>Éfode (vestuário)</w:t>
      </w:r>
      <w:r/>
    </w:p>
    <w:p>
      <w:r/>
      <w:r>
        <w:t>Um Éfode era uma vestimenta superior especial usada durante os serviços religiosos no tabernáculo ou templo. O termo "Éfode" geralmente se referia ao colete decorado que o sumo sacerdote usava sobre uma túnica azul (</w:t>
      </w:r>
      <w:hyperlink r:id="rId7680">
        <w:r>
          <w:rPr>
            <w:color w:val="0000EE"/>
            <w:u w:val="single"/>
          </w:rPr>
          <w:t>Êx 28.31</w:t>
        </w:r>
      </w:hyperlink>
      <w:r>
        <w:t>). O Éfode continha o Urim e Tumim, que eram objetos sagrados (sortes) usados para determinar a vontade de Deus. Às vezes, "Éfode" significava o traje completo do sumo sacerdote ou roupas semelhantes usadas por outros sacerdotes (</w:t>
      </w:r>
      <w:hyperlink r:id="rId7681">
        <w:r>
          <w:rPr>
            <w:color w:val="0000EE"/>
            <w:u w:val="single"/>
          </w:rPr>
          <w:t>1Sm 2.28</w:t>
        </w:r>
      </w:hyperlink>
      <w:r>
        <w:t xml:space="preserve">; </w:t>
      </w:r>
      <w:hyperlink r:id="rId7682">
        <w:r>
          <w:rPr>
            <w:color w:val="0000EE"/>
            <w:u w:val="single"/>
          </w:rPr>
          <w:t>23.6,9</w:t>
        </w:r>
      </w:hyperlink>
      <w:r>
        <w:t xml:space="preserve">; </w:t>
      </w:r>
      <w:hyperlink r:id="rId7683">
        <w:r>
          <w:rPr>
            <w:color w:val="0000EE"/>
            <w:u w:val="single"/>
          </w:rPr>
          <w:t>30.7</w:t>
        </w:r>
      </w:hyperlink>
      <w:r>
        <w:t>).</w:t>
      </w:r>
    </w:p>
    <w:p>
      <w:r/>
      <w:r>
        <w:t>O Éfode era feito de material colorido e linho fino. Era decorado com fios azuis, púrpura, escarlate e dourado. Na parte superior, havia duas alças de ombro. Cada alça tinha uma pedra de ônix com os nomes das 12 tribos de Israel gravados nela. O peitoral, que também continha os nomes tribais, estava preso ao Éfode por uma série de cordões e correntes (</w:t>
      </w:r>
      <w:hyperlink r:id="rId7684">
        <w:r>
          <w:rPr>
            <w:color w:val="0000EE"/>
            <w:u w:val="single"/>
          </w:rPr>
          <w:t>Êx 28.22–29</w:t>
        </w:r>
      </w:hyperlink>
      <w:r>
        <w:t>).</w:t>
      </w:r>
    </w:p>
    <w:p>
      <w:r/>
      <w:r>
        <w:t>Escritores judeus sugerem diferentes aparências possíveis para o Éfode:</w:t>
      </w:r>
    </w:p>
    <w:p>
      <w:pPr>
        <w:pStyle w:val="ListNumber"/>
        <w:spacing w:line="240" w:lineRule="auto"/>
        <w:ind w:left="720"/>
      </w:pPr>
      <w:r/>
      <w:r>
        <w:t>Como um avental, cobrindo o corpo do peito até os calcanhares;</w:t>
      </w:r>
    </w:p>
    <w:p>
      <w:pPr>
        <w:pStyle w:val="ListNumber"/>
        <w:spacing w:line="240" w:lineRule="auto"/>
        <w:ind w:left="720"/>
      </w:pPr>
      <w:r/>
      <w:r>
        <w:t xml:space="preserve">Cobrindo o corpo apenas da cintura para baixo, com a parte superior do corpo protegida pela couraça; </w:t>
      </w:r>
    </w:p>
    <w:p>
      <w:pPr>
        <w:pStyle w:val="ListNumber"/>
        <w:spacing w:line="240" w:lineRule="auto"/>
        <w:ind w:left="720"/>
      </w:pPr>
      <w:r/>
      <w:r>
        <w:t>É como uma jaqueta com mangas, com o meio do peito descoberto para que a placa peitoral possa ser inserida facilmente.</w:t>
      </w:r>
    </w:p>
    <w:p>
      <w:r/>
      <w:r>
        <w:t>Antes do exílio babilônico (quando o povo de Israel foi levado para Babilônia), o Éfode era usado como uma forma de receber mensagens de Deus, especialmente sobre assuntos militares. O sacerdote Abiatar certa vez trouxe o Éfode para o acampamento de Davi para que pudessem pedir orientação a Deus (</w:t>
      </w:r>
      <w:hyperlink r:id="rId7685">
        <w:r>
          <w:rPr>
            <w:color w:val="0000EE"/>
            <w:u w:val="single"/>
          </w:rPr>
          <w:t>1Sm 23.6–9</w:t>
        </w:r>
      </w:hyperlink>
      <w:r>
        <w:t xml:space="preserve">; </w:t>
      </w:r>
      <w:hyperlink r:id="rId7683">
        <w:r>
          <w:rPr>
            <w:color w:val="0000EE"/>
            <w:u w:val="single"/>
          </w:rPr>
          <w:t>30.7</w:t>
        </w:r>
      </w:hyperlink>
      <w:r>
        <w:t>). Não está claro se o sacerdote vestia o Éfode ou o segurava enquanto buscava a vontade de Deus através do Urim e Tumim.</w:t>
      </w:r>
    </w:p>
    <w:p>
      <w:r/>
      <w:r>
        <w:t>Durante o período dos juízes, o Éfode foi frequentemente mal utilizado. Gideão, Miquéias e Jônatas, o neto de Moisés, todos o usaram de forma inadequada (</w:t>
      </w:r>
      <w:hyperlink r:id="rId7686">
        <w:r>
          <w:rPr>
            <w:color w:val="0000EE"/>
            <w:u w:val="single"/>
          </w:rPr>
          <w:t>Jz 8.27</w:t>
        </w:r>
      </w:hyperlink>
      <w:r>
        <w:t>;</w:t>
      </w:r>
      <w:hyperlink r:id="rId7687">
        <w:r>
          <w:rPr>
            <w:color w:val="0000EE"/>
            <w:u w:val="single"/>
          </w:rPr>
          <w:t xml:space="preserve"> 17.5</w:t>
        </w:r>
      </w:hyperlink>
      <w:r>
        <w:t>;</w:t>
      </w:r>
      <w:hyperlink r:id="rId7687">
        <w:r>
          <w:rPr>
            <w:color w:val="0000EE"/>
            <w:u w:val="single"/>
          </w:rPr>
          <w:t xml:space="preserve"> </w:t>
        </w:r>
      </w:hyperlink>
      <w:hyperlink r:id="rId7688">
        <w:r>
          <w:rPr>
            <w:color w:val="0000EE"/>
            <w:u w:val="single"/>
          </w:rPr>
          <w:t>18.30</w:t>
        </w:r>
      </w:hyperlink>
      <w:r>
        <w:t xml:space="preserve">; compare os versículos </w:t>
      </w:r>
      <w:hyperlink r:id="rId7689">
        <w:r>
          <w:rPr>
            <w:color w:val="0000EE"/>
            <w:u w:val="single"/>
          </w:rPr>
          <w:t>14</w:t>
        </w:r>
      </w:hyperlink>
      <w:r>
        <w:t>,</w:t>
      </w:r>
      <w:hyperlink r:id="rId7690">
        <w:r>
          <w:rPr>
            <w:color w:val="0000EE"/>
            <w:u w:val="single"/>
          </w:rPr>
          <w:t>17</w:t>
        </w:r>
      </w:hyperlink>
      <w:r>
        <w:t>,</w:t>
      </w:r>
      <w:hyperlink r:id="rId7691">
        <w:r>
          <w:rPr>
            <w:color w:val="0000EE"/>
            <w:u w:val="single"/>
          </w:rPr>
          <w:t>20</w:t>
        </w:r>
      </w:hyperlink>
      <w:r>
        <w:t>).</w:t>
      </w:r>
    </w:p>
    <w:p>
      <w:r/>
      <w:r>
        <w:t>Tanto a própria vestimenta quanto uma imagem representando Deus, sobre a qual a vestimenta era colocada, eram adoradas enquanto as pessoas buscavam orientação de maneiras que Deus havia proibido. Ídolos domésticos (chamados de terafins) também faziam parte dessa prática ímpia (</w:t>
      </w:r>
      <w:hyperlink r:id="rId7687">
        <w:r>
          <w:rPr>
            <w:color w:val="0000EE"/>
            <w:u w:val="single"/>
          </w:rPr>
          <w:t>Jz 17.5</w:t>
        </w:r>
      </w:hyperlink>
      <w:r>
        <w:t xml:space="preserve">; </w:t>
      </w:r>
      <w:hyperlink r:id="rId7692">
        <w:r>
          <w:rPr>
            <w:color w:val="0000EE"/>
            <w:u w:val="single"/>
          </w:rPr>
          <w:t>Os 3.4</w:t>
        </w:r>
      </w:hyperlink>
      <w:r>
        <w:t>).</w:t>
      </w:r>
    </w:p>
    <w:p>
      <w:r/>
      <w:r>
        <w:t>Além do sumo sacerdote, outros sacerdotes usavam um Éfode para certos serviços religiosos (</w:t>
      </w:r>
      <w:hyperlink r:id="rId7693">
        <w:r>
          <w:rPr>
            <w:color w:val="0000EE"/>
            <w:u w:val="single"/>
          </w:rPr>
          <w:t>1Sm 22.18</w:t>
        </w:r>
      </w:hyperlink>
      <w:r>
        <w:t>). Até mesmo Samuel e Davi usaram um (</w:t>
      </w:r>
      <w:hyperlink r:id="rId7694">
        <w:r>
          <w:rPr>
            <w:color w:val="0000EE"/>
            <w:u w:val="single"/>
          </w:rPr>
          <w:t>1Sm 2.18</w:t>
        </w:r>
      </w:hyperlink>
      <w:r>
        <w:t>;</w:t>
      </w:r>
      <w:hyperlink r:id="rId7695">
        <w:r>
          <w:rPr>
            <w:color w:val="0000EE"/>
            <w:u w:val="single"/>
          </w:rPr>
          <w:t xml:space="preserve"> 6.14</w:t>
        </w:r>
      </w:hyperlink>
      <w:r>
        <w:t>). Na época após o exílio, e talvez já no reinado de Salomão, o Éfode não era mais usado para buscar a orientação de Deus (</w:t>
      </w:r>
      <w:hyperlink r:id="rId7696">
        <w:r>
          <w:rPr>
            <w:color w:val="0000EE"/>
            <w:u w:val="single"/>
          </w:rPr>
          <w:t>Ed 2.63</w:t>
        </w:r>
      </w:hyperlink>
      <w:r>
        <w:t xml:space="preserve">; </w:t>
      </w:r>
      <w:hyperlink r:id="rId7697">
        <w:r>
          <w:rPr>
            <w:color w:val="0000EE"/>
            <w:u w:val="single"/>
          </w:rPr>
          <w:t>Ne 7.65</w:t>
        </w:r>
      </w:hyperlink>
      <w:r>
        <w:t>). Não havia necessidade do Éfode ou Urim, uma vez que Deus falava através dos profetas, como Moisés havia prometido (</w:t>
      </w:r>
      <w:hyperlink r:id="rId7698">
        <w:r>
          <w:rPr>
            <w:color w:val="0000EE"/>
            <w:u w:val="single"/>
          </w:rPr>
          <w:t>Dt 18.15–22</w:t>
        </w:r>
      </w:hyperlink>
      <w:r>
        <w:t>). No entanto, o sumo sacerdote continuou a usar esta vestimenta especial até a destruição de Jerusalém em 70 d.C.</w:t>
      </w:r>
    </w:p>
    <w:p>
      <w:r/>
      <w:r>
        <w:rPr>
          <w:i/>
        </w:rPr>
        <w:t>Veja também</w:t>
      </w:r>
      <w:r>
        <w:t xml:space="preserve"> </w:t>
      </w:r>
      <w:r>
        <w:t>Sacerdotes e levitas</w:t>
      </w:r>
      <w:r>
        <w:t>.</w:t>
      </w:r>
      <w:r/>
      <w:r/>
    </w:p>
    <w:p>
      <w:r/>
    </w:p>
    <w:p>
      <w:pPr>
        <w:pStyle w:val="Heading2"/>
      </w:pPr>
      <w:r>
        <w:t>Efraim (Lugar)</w:t>
      </w:r>
      <w:r/>
    </w:p>
    <w:p>
      <w:r/>
      <w:r>
        <w:t>1. Área destinada à tribo de Efraim como herança (</w:t>
      </w:r>
      <w:hyperlink r:id="rId7699">
        <w:r>
          <w:rPr>
            <w:color w:val="0000EE"/>
            <w:u w:val="single"/>
          </w:rPr>
          <w:t>Js 16.5–8</w:t>
        </w:r>
      </w:hyperlink>
      <w:r>
        <w:t xml:space="preserve">; </w:t>
      </w:r>
      <w:hyperlink r:id="rId7700">
        <w:r>
          <w:rPr>
            <w:color w:val="0000EE"/>
            <w:u w:val="single"/>
          </w:rPr>
          <w:t>17.7–11</w:t>
        </w:r>
      </w:hyperlink>
      <w:r>
        <w:t>). Efraim e Manassés foram originalmente reconhecidos como "descendentes de José" (</w:t>
      </w:r>
      <w:hyperlink r:id="rId7701">
        <w:r>
          <w:rPr>
            <w:color w:val="0000EE"/>
            <w:u w:val="single"/>
          </w:rPr>
          <w:t>Js 16.4</w:t>
        </w:r>
      </w:hyperlink>
      <w:r>
        <w:t>). Juntos, ocuparam a área das terras altas centrais entre Jerusalém e a planície de Esdrelon. O território de Efraim ficava ao sul de Manassés. A área era relativamente alta, e a expressão "a região montanhosa de Efraim" (</w:t>
      </w:r>
      <w:hyperlink r:id="rId7702">
        <w:r>
          <w:rPr>
            <w:color w:val="0000EE"/>
            <w:u w:val="single"/>
          </w:rPr>
          <w:t>1Sm 1.1</w:t>
        </w:r>
      </w:hyperlink>
      <w:r>
        <w:t>) era uma descrição adequada. Em alguns lugares, as rochas duras formam encostas íngremes e difíceis, e os vales que levam ao oeste são íngremes. As estradas seguiam os esporões entre os vales em vez dos próprios vales. O movimento entre Efraim e a planície costeira ao longo da borda do Vale rochoso de Sarida não era fácil, mas era possível. Outra estrada seguida pelos invasores filisteus (</w:t>
      </w:r>
      <w:hyperlink r:id="rId7703">
        <w:r>
          <w:rPr>
            <w:color w:val="0000EE"/>
            <w:u w:val="single"/>
          </w:rPr>
          <w:t>1Sm 4</w:t>
        </w:r>
      </w:hyperlink>
      <w:r>
        <w:t xml:space="preserve">) subia de Afeca. A expressão em </w:t>
      </w:r>
      <w:hyperlink r:id="rId7704">
        <w:r>
          <w:rPr>
            <w:color w:val="0000EE"/>
            <w:u w:val="single"/>
          </w:rPr>
          <w:t>Josué 16.9</w:t>
        </w:r>
      </w:hyperlink>
      <w:r>
        <w:t>, "alguns povoados e aldeias que estavam dentro das terras da tribo de Manassés" (NTLH), sugere que houve uma vez uma fronteira disputada; no entanto, Efraim evidentemente conseguiu se fortalecer e emergir como uma força dominante em Israel. De fato, o nome Efraim às vezes é usado como equivalente de Israel (</w:t>
      </w:r>
      <w:hyperlink r:id="rId7705">
        <w:r>
          <w:rPr>
            <w:color w:val="0000EE"/>
            <w:u w:val="single"/>
          </w:rPr>
          <w:t>Os 4.17</w:t>
        </w:r>
      </w:hyperlink>
      <w:r>
        <w:t xml:space="preserve">; </w:t>
      </w:r>
      <w:hyperlink r:id="rId7706">
        <w:r>
          <w:rPr>
            <w:color w:val="0000EE"/>
            <w:u w:val="single"/>
          </w:rPr>
          <w:t>5.3,11–14</w:t>
        </w:r>
      </w:hyperlink>
      <w:r>
        <w:t xml:space="preserve">; </w:t>
      </w:r>
      <w:hyperlink r:id="rId7707">
        <w:r>
          <w:rPr>
            <w:color w:val="0000EE"/>
            <w:u w:val="single"/>
          </w:rPr>
          <w:t>6.4,10</w:t>
        </w:r>
      </w:hyperlink>
      <w:r>
        <w:t>).</w:t>
      </w:r>
    </w:p>
    <w:p>
      <w:r/>
      <w:r>
        <w:t xml:space="preserve">A extensão da área tribal de Efraim é apresentada em </w:t>
      </w:r>
      <w:hyperlink r:id="rId7699">
        <w:r>
          <w:rPr>
            <w:color w:val="0000EE"/>
            <w:u w:val="single"/>
          </w:rPr>
          <w:t>Josué 16.5–8</w:t>
        </w:r>
      </w:hyperlink>
      <w:r>
        <w:t xml:space="preserve"> e </w:t>
      </w:r>
      <w:hyperlink r:id="rId7708">
        <w:r>
          <w:rPr>
            <w:color w:val="0000EE"/>
            <w:u w:val="single"/>
          </w:rPr>
          <w:t>17.1–11</w:t>
        </w:r>
      </w:hyperlink>
      <w:r>
        <w:t>. Parece, a partir dos detalhes abundantes nessas passagens, que as principais características topográficas das fronteiras de Efraim seriam fáceis de determinar. No entanto, a identificação precisa de vários dos locais mencionados é incerta. A fronteira oriental começava em Micmeta, identificada provisoriamente com Khirbet en-Nabi. Continuava ao sul através de Taanate-Siló, Janoa, Atarote e Naarate até um ponto próximo a Jericó. A fronteira sul parece ter passado em direção oeste para Betel, Bete-Horom e Gezer até o Mar Mediterrâneo. A fronteira ocidental não é definida e provavelmente invadiu áreas cananeias em tempos antigos. A fronteira norte, que separava Efraim de Manassés, ia de Micmeta, que estava "diante de Siquém", em direção a Tapua e então seguia ao longo do Wadi Qana ("riacho de Caná", NTLH) até o Mar Mediterrâneo ao norte de Jope. Mas é preciso enfatizar que a definição precisa das fronteiras não é de forma alguma clara. Imediatamente ao sul de Efraim estava a área tribal de Benjamim.</w:t>
      </w:r>
    </w:p>
    <w:p>
      <w:r/>
      <w:r>
        <w:t xml:space="preserve">A precipitação na região montanhosa de Efraim é maior do que na Judeia, que fica mais ao sul, e o solo é avermelhado, rico e fértil. Por causa disso, Efraim era muito produtivo. Hoje, o país está pontilhado de pomares, e oliveiras são abundantes. A descrição em </w:t>
      </w:r>
      <w:hyperlink r:id="rId7709">
        <w:r>
          <w:rPr>
            <w:color w:val="0000EE"/>
            <w:u w:val="single"/>
          </w:rPr>
          <w:t>Deuteronômio 33.14–17</w:t>
        </w:r>
      </w:hyperlink>
      <w:r>
        <w:t xml:space="preserve"> de uma área que “Deus dê a essas terras frutas amadurecidas pelo sol e as abençoe com boas colheitas! Que os montes antigos produzam ricas colheitas! Que Deus abençoe a terra e tudo o que há nela, dando-lhe tudo o que é bom!” (NTLH) oferece uma excelente imagem da natureza geral da região.</w:t>
      </w:r>
    </w:p>
    <w:p>
      <w:r/>
      <w:r>
        <w:t>2. Cidade perto de Baal-Hazor para a qual Absalão convidou seu meio-irmão Amnom com o objetivo de mandá-lo matar (</w:t>
      </w:r>
      <w:hyperlink r:id="rId3094">
        <w:r>
          <w:rPr>
            <w:color w:val="0000EE"/>
            <w:u w:val="single"/>
          </w:rPr>
          <w:t>2Sm 13.23–29</w:t>
        </w:r>
      </w:hyperlink>
      <w:r>
        <w:t>) por incesto com a irmã de Absalão, Tamar. A cidade ficava ao norte de Jerusalém e era possivelmente idêntica a Efrom (</w:t>
      </w:r>
      <w:hyperlink r:id="rId3485">
        <w:r>
          <w:rPr>
            <w:color w:val="0000EE"/>
            <w:u w:val="single"/>
          </w:rPr>
          <w:t>2Cr 13.19</w:t>
        </w:r>
      </w:hyperlink>
      <w:r>
        <w:t>). Sem dúvida, era a mesma cidade perto do deserto para a qual Jesus se retirou após ressuscitar Lázaro do túmulo (</w:t>
      </w:r>
      <w:hyperlink r:id="rId7710">
        <w:r>
          <w:rPr>
            <w:color w:val="0000EE"/>
            <w:u w:val="single"/>
          </w:rPr>
          <w:t>Jó 11.54</w:t>
        </w:r>
      </w:hyperlink>
      <w:r>
        <w:t>). Geralmente é identificada como et-Taiyibeh, a 20,9 quilômetros a nordeste de Jerusalém e 6,5 quilômetros a nordeste de Betel.</w:t>
      </w:r>
      <w:r/>
      <w:r/>
    </w:p>
    <w:p>
      <w:r/>
    </w:p>
    <w:p>
      <w:pPr>
        <w:pStyle w:val="Heading2"/>
      </w:pPr>
      <w:r>
        <w:t>Efraim (pessoa)</w:t>
      </w:r>
      <w:r/>
    </w:p>
    <w:p>
      <w:r/>
      <w:r>
        <w:t>O filho mais novo de José, nascido de José e Asenate antes dos sete anos de fome no Egito (</w:t>
      </w:r>
      <w:hyperlink r:id="rId7711">
        <w:r>
          <w:rPr>
            <w:color w:val="0000EE"/>
            <w:u w:val="single"/>
          </w:rPr>
          <w:t>Gn 41.52</w:t>
        </w:r>
      </w:hyperlink>
      <w:r>
        <w:t>). Ele foi o ancestral de uma tribo israelita, e seu nome passou a designar o reino do norte de Israel (</w:t>
      </w:r>
      <w:hyperlink r:id="rId7712">
        <w:r>
          <w:rPr>
            <w:color w:val="0000EE"/>
            <w:u w:val="single"/>
          </w:rPr>
          <w:t>Is 7.5,8</w:t>
        </w:r>
      </w:hyperlink>
      <w:r>
        <w:t xml:space="preserve">; </w:t>
      </w:r>
      <w:hyperlink r:id="rId7713">
        <w:r>
          <w:rPr>
            <w:color w:val="0000EE"/>
            <w:u w:val="single"/>
          </w:rPr>
          <w:t>Jr 31.18–20</w:t>
        </w:r>
      </w:hyperlink>
      <w:r>
        <w:t xml:space="preserve">; </w:t>
      </w:r>
      <w:hyperlink r:id="rId7714">
        <w:r>
          <w:rPr>
            <w:color w:val="0000EE"/>
            <w:u w:val="single"/>
          </w:rPr>
          <w:t>Os 5.3–5</w:t>
        </w:r>
      </w:hyperlink>
      <w:r>
        <w:t>). A infância de Efraim coincidiu com os últimos 17 anos de seu avô, o patriarca Jacó, que migrou para o Egito durante os anos de fome. Assim, Efraim pôde aprender sobre as promessas e bênçãos de Deus diretamente de Jacó. Após Jacó exigir um juramento de José para enterrá-lo em Canaã, ele adotou seus netos Efraim e Manassés. Essa adoção deu aos dois irmãos a posição e os direitos legais iguais aos dos filhos mais velhos de Jacó, Rúben e Simeão (</w:t>
      </w:r>
      <w:hyperlink r:id="rId7715">
        <w:r>
          <w:rPr>
            <w:color w:val="0000EE"/>
            <w:u w:val="single"/>
          </w:rPr>
          <w:t>Gn 48.5</w:t>
        </w:r>
      </w:hyperlink>
      <w:r>
        <w:t>).</w:t>
      </w:r>
    </w:p>
    <w:p>
      <w:r/>
      <w:r>
        <w:rPr>
          <w:i/>
        </w:rPr>
        <w:t>Veja também</w:t>
      </w:r>
      <w:r>
        <w:t xml:space="preserve"> </w:t>
      </w:r>
      <w:r>
        <w:t>EFRAIM, Tribo de</w:t>
      </w:r>
      <w:r>
        <w:t>.</w:t>
      </w:r>
      <w:r/>
      <w:r/>
    </w:p>
    <w:p>
      <w:r/>
    </w:p>
    <w:p>
      <w:pPr>
        <w:pStyle w:val="Heading2"/>
      </w:pPr>
      <w:r>
        <w:t>EFRAIM, Tribo de</w:t>
      </w:r>
      <w:r/>
    </w:p>
    <w:p>
      <w:r/>
      <w:r>
        <w:t>A tribo descendeu do segundo filho de José. Tanto Efraim quanto seu irmão Manassés foram considerados filhos também por seu avô Jacó e se tornaram seus herdeiros.</w:t>
      </w:r>
    </w:p>
    <w:p>
      <w:pPr>
        <w:pStyle w:val="Heading3"/>
      </w:pPr>
      <w:r>
        <w:t>O território da tribo de Efraim</w:t>
      </w:r>
    </w:p>
    <w:p>
      <w:r/>
      <w:r>
        <w:t>Muitos comentaristas da Bíblia acreditam que Efraim é um trocadilho baseado em uma raiz hebraica que significa "ser frutífero" (</w:t>
      </w:r>
      <w:hyperlink r:id="rId7711">
        <w:r>
          <w:rPr>
            <w:color w:val="0000EE"/>
            <w:u w:val="single"/>
          </w:rPr>
          <w:t>Gn 41.52</w:t>
        </w:r>
      </w:hyperlink>
      <w:r>
        <w:t>). A região montanhosa dada a Efraim estava entre as áreas mais férteis da Palestina, rica em vinhedos, árvores frutíferas e florestas densas (</w:t>
      </w:r>
      <w:hyperlink r:id="rId575">
        <w:r>
          <w:rPr>
            <w:color w:val="0000EE"/>
            <w:u w:val="single"/>
          </w:rPr>
          <w:t>Js 17.18</w:t>
        </w:r>
      </w:hyperlink>
      <w:r>
        <w:t>). Mesmo quando reis governavam Israel, essa região ainda era lar de animais selvagens (</w:t>
      </w:r>
      <w:hyperlink r:id="rId1486">
        <w:r>
          <w:rPr>
            <w:color w:val="0000EE"/>
            <w:u w:val="single"/>
          </w:rPr>
          <w:t>2Rs 2.24</w:t>
        </w:r>
      </w:hyperlink>
      <w:r>
        <w:t>).</w:t>
      </w:r>
    </w:p>
    <w:p>
      <w:r/>
      <w:r>
        <w:t>Não está claro onde estão as fronteiras de Efraim, pois muitas vezes é mencionado junto com o território de Manassés. A terra de Efraim estava localizada no centro de Canaã, entre o Rio Jordão e o Mar Mediterrâneo. O território de Manassés estava localizado ao norte (</w:t>
      </w:r>
      <w:hyperlink r:id="rId7716">
        <w:r>
          <w:rPr>
            <w:color w:val="0000EE"/>
            <w:u w:val="single"/>
          </w:rPr>
          <w:t>Js 16.5–9</w:t>
        </w:r>
      </w:hyperlink>
      <w:r>
        <w:t>).</w:t>
      </w:r>
    </w:p>
    <w:p>
      <w:pPr>
        <w:pStyle w:val="Heading3"/>
      </w:pPr>
      <w:r>
        <w:t>A ascensão e a influência de Efraim em Israel</w:t>
      </w:r>
    </w:p>
    <w:p>
      <w:r/>
      <w:r>
        <w:t>Efraim cresceu e se tornou uma tribo poderosa e influente. No primeiro censo no deserto, foram contados 40.500 soldados efraimitas (</w:t>
      </w:r>
      <w:hyperlink r:id="rId7717">
        <w:r>
          <w:rPr>
            <w:color w:val="0000EE"/>
            <w:u w:val="single"/>
          </w:rPr>
          <w:t>Nm 1.33</w:t>
        </w:r>
      </w:hyperlink>
      <w:r>
        <w:t>). No entanto, esse número diminuiu para 32.500 na época do segundo censo (</w:t>
      </w:r>
      <w:hyperlink r:id="rId7718">
        <w:r>
          <w:rPr>
            <w:color w:val="0000EE"/>
            <w:u w:val="single"/>
          </w:rPr>
          <w:t>Nm 26.37</w:t>
        </w:r>
      </w:hyperlink>
      <w:r>
        <w:t>). Efraim foi designado para a liderança do acampamento ocidental de Israel, entre as tribos de Manassés e Benjamim (</w:t>
      </w:r>
      <w:hyperlink r:id="rId7719">
        <w:r>
          <w:rPr>
            <w:color w:val="0000EE"/>
            <w:u w:val="single"/>
          </w:rPr>
          <w:t>Nm 2.18–24</w:t>
        </w:r>
      </w:hyperlink>
      <w:r>
        <w:t>).</w:t>
      </w:r>
    </w:p>
    <w:p>
      <w:r/>
      <w:r>
        <w:t>Josué, filho de Num, um dos 12 espiões, era descendente de Efraim (</w:t>
      </w:r>
      <w:hyperlink r:id="rId7720">
        <w:r>
          <w:rPr>
            <w:color w:val="0000EE"/>
            <w:u w:val="single"/>
          </w:rPr>
          <w:t>Nm 13.8</w:t>
        </w:r>
      </w:hyperlink>
      <w:r>
        <w:t>, “Oséias”). A liderança de Josué fortaleceu a importância de Efraim entre as tribos de Israel. (</w:t>
      </w:r>
      <w:hyperlink r:id="rId7721">
        <w:r>
          <w:rPr>
            <w:color w:val="0000EE"/>
            <w:u w:val="single"/>
          </w:rPr>
          <w:t>Js 16</w:t>
        </w:r>
      </w:hyperlink>
      <w:r>
        <w:t>).</w:t>
      </w:r>
    </w:p>
    <w:p>
      <w:r/>
      <w:r>
        <w:t>Durante o tempo dos juízes, os efraimitas frequentemente ficavam irritados quando eram deixados de fora de batalhas importantes. Eles sentiam que estavam sendo tratados de forma injusta ou desrespeitosa. Eles lutaram com:</w:t>
      </w:r>
    </w:p>
    <w:p>
      <w:pPr>
        <w:pStyle w:val="ListBullet"/>
        <w:spacing w:line="240" w:lineRule="auto"/>
        <w:ind w:left="720"/>
      </w:pPr>
      <w:r/>
      <w:r>
        <w:t>Gideão após sua vitória sobre os midianitas (</w:t>
      </w:r>
      <w:hyperlink r:id="rId7722">
        <w:r>
          <w:rPr>
            <w:color w:val="0000EE"/>
            <w:u w:val="single"/>
          </w:rPr>
          <w:t>Jz 8.1–6</w:t>
        </w:r>
      </w:hyperlink>
      <w:r>
        <w:t>);</w:t>
      </w:r>
    </w:p>
    <w:p>
      <w:pPr>
        <w:pStyle w:val="ListBullet"/>
        <w:spacing w:line="240" w:lineRule="auto"/>
        <w:ind w:left="720"/>
      </w:pPr>
      <w:r/>
      <w:r>
        <w:t>Jefté de Gileade, que derrotou os amonitas (</w:t>
      </w:r>
      <w:hyperlink r:id="rId7723">
        <w:r>
          <w:rPr>
            <w:color w:val="0000EE"/>
            <w:u w:val="single"/>
          </w:rPr>
          <w:t>Jz 12.1–6</w:t>
        </w:r>
      </w:hyperlink>
      <w:r>
        <w:t>).</w:t>
      </w:r>
    </w:p>
    <w:p>
      <w:r/>
      <w:r>
        <w:t>O juiz Abdom veio da tribo de Efraim (</w:t>
      </w:r>
      <w:hyperlink r:id="rId7724">
        <w:r>
          <w:rPr>
            <w:color w:val="0000EE"/>
            <w:u w:val="single"/>
          </w:rPr>
          <w:t>Jz 12.13</w:t>
        </w:r>
      </w:hyperlink>
      <w:r>
        <w:t>). Miquéias, que adorava falsos deuses, assim como o profeta Samuel, viveram em Efraim (</w:t>
      </w:r>
      <w:hyperlink r:id="rId7725">
        <w:r>
          <w:rPr>
            <w:color w:val="0000EE"/>
            <w:u w:val="single"/>
          </w:rPr>
          <w:t>Jz 17.1</w:t>
        </w:r>
      </w:hyperlink>
      <w:r>
        <w:t xml:space="preserve">; </w:t>
      </w:r>
      <w:hyperlink r:id="rId7702">
        <w:r>
          <w:rPr>
            <w:color w:val="0000EE"/>
            <w:u w:val="single"/>
          </w:rPr>
          <w:t>1Sm 1.1</w:t>
        </w:r>
      </w:hyperlink>
      <w:r>
        <w:t>). A importância militar e política de Efraim é mostrada no Cântico de Débora, um antigo poema bíblico (</w:t>
      </w:r>
      <w:hyperlink r:id="rId1041">
        <w:r>
          <w:rPr>
            <w:color w:val="0000EE"/>
            <w:u w:val="single"/>
          </w:rPr>
          <w:t>Jz 5.14</w:t>
        </w:r>
      </w:hyperlink>
      <w:r>
        <w:t>).</w:t>
      </w:r>
    </w:p>
    <w:p>
      <w:pPr>
        <w:pStyle w:val="Heading3"/>
      </w:pPr>
      <w:r>
        <w:t>Efraim no reino do norte de Israel</w:t>
      </w:r>
    </w:p>
    <w:p>
      <w:r/>
      <w:r>
        <w:t>Efraim era um rival significativo da tribo de Judá, com tensões persistindo mesmo durante o reinado do Rei Davi (</w:t>
      </w:r>
      <w:hyperlink r:id="rId7726">
        <w:r>
          <w:rPr>
            <w:color w:val="0000EE"/>
            <w:u w:val="single"/>
          </w:rPr>
          <w:t>2Sm 18</w:t>
        </w:r>
      </w:hyperlink>
      <w:r>
        <w:t xml:space="preserve">; </w:t>
      </w:r>
      <w:hyperlink r:id="rId7727">
        <w:r>
          <w:rPr>
            <w:color w:val="0000EE"/>
            <w:u w:val="single"/>
          </w:rPr>
          <w:t>19.41–20.22</w:t>
        </w:r>
      </w:hyperlink>
      <w:r>
        <w:t>). Essas tensões contribuíram para a eventual divisão do reino após o reinado de Salomão (</w:t>
      </w:r>
      <w:hyperlink r:id="rId7728">
        <w:r>
          <w:rPr>
            <w:color w:val="0000EE"/>
            <w:u w:val="single"/>
          </w:rPr>
          <w:t>1Rs 11.26–40</w:t>
        </w:r>
      </w:hyperlink>
      <w:r>
        <w:t>). As tribos do norte, incluindo Efraim, estavam insatisfeitas com o governo de Jerusalém. Essa insatisfação levou as 10 tribos do norte, lideradas por Jeroboão I, a se separarem das tribos do sul e formarem seu próprio reino, chamado de reino do norte de Israel.</w:t>
      </w:r>
    </w:p>
    <w:p>
      <w:r/>
      <w:r>
        <w:t>As capitais do reino do norte—Siquém, Tirza e Samaria—estavam todas localizadas dentro do território de Efraim. O estabelecimento de Samaria pelo Rei Onri aumentou a importância estratégica de Efraim ao fornecer acesso direto à Via Maris, uma importante rota comercial ao longo do mar. No entanto, essa maior exposição ao comércio também trouxe uma tentação maior para o reino do norte se afastar de Deus.</w:t>
      </w:r>
    </w:p>
    <w:p>
      <w:r/>
      <w:r>
        <w:t>Apesar do papel de Efraim na divisão do reino, os profetas previram uma futura reunificação de Efraim com Judá em um reino futuro governado pelo líder escolhido por Deus (</w:t>
      </w:r>
      <w:hyperlink r:id="rId3897">
        <w:r>
          <w:rPr>
            <w:color w:val="0000EE"/>
            <w:u w:val="single"/>
          </w:rPr>
          <w:t>Os 1.11</w:t>
        </w:r>
      </w:hyperlink>
      <w:r>
        <w:t>). Um descendente de Davi curaria a divisão causada por Jeroboão I e restauraria a unidade entre todas as tribos de Israel (</w:t>
      </w:r>
      <w:hyperlink r:id="rId6047">
        <w:r>
          <w:rPr>
            <w:color w:val="0000EE"/>
            <w:u w:val="single"/>
          </w:rPr>
          <w:t>Ez 37</w:t>
        </w:r>
      </w:hyperlink>
      <w:r>
        <w:t>).</w:t>
      </w:r>
    </w:p>
    <w:p>
      <w:r/>
      <w:r>
        <w:rPr>
          <w:i/>
        </w:rPr>
        <w:t>Veja também</w:t>
      </w:r>
      <w:r>
        <w:t xml:space="preserve"> </w:t>
      </w:r>
      <w:r>
        <w:t>Efraim (pessoa)</w:t>
      </w:r>
      <w:r>
        <w:t xml:space="preserve">; </w:t>
      </w:r>
      <w:r>
        <w:t>Efraim (lugar) #1</w:t>
      </w:r>
      <w:r>
        <w:t xml:space="preserve">; </w:t>
      </w:r>
      <w:r>
        <w:t>História de Israel</w:t>
      </w:r>
      <w:r>
        <w:t>.</w:t>
      </w:r>
      <w:r/>
      <w:r/>
    </w:p>
    <w:p>
      <w:r/>
    </w:p>
    <w:p>
      <w:pPr>
        <w:pStyle w:val="Heading2"/>
      </w:pPr>
      <w:r>
        <w:t>Efrata (lugar)</w:t>
      </w:r>
      <w:r/>
    </w:p>
    <w:p>
      <w:r/>
      <w:r>
        <w:t>1. Cidade na região montanhosa da Judeia, mais tarde chamada Belém. Foi na estrada para Efrata que Raquel morreu ao dar à luz Benjamim (</w:t>
      </w:r>
      <w:hyperlink r:id="rId7729">
        <w:r>
          <w:rPr>
            <w:color w:val="0000EE"/>
            <w:u w:val="single"/>
          </w:rPr>
          <w:t>Gn 35.16–19</w:t>
        </w:r>
      </w:hyperlink>
      <w:r>
        <w:t>). Esta cidade era o lar da família de Noemi, que se identificava como efrateus (</w:t>
      </w:r>
      <w:hyperlink r:id="rId7730">
        <w:r>
          <w:rPr>
            <w:color w:val="0000EE"/>
            <w:u w:val="single"/>
          </w:rPr>
          <w:t>Ru 1.2</w:t>
        </w:r>
      </w:hyperlink>
      <w:r>
        <w:t>). Efrata foi o local de residência de Rute e Boaz (</w:t>
      </w:r>
      <w:hyperlink r:id="rId7731">
        <w:r>
          <w:rPr>
            <w:color w:val="0000EE"/>
            <w:u w:val="single"/>
          </w:rPr>
          <w:t>Ru 4.11</w:t>
        </w:r>
      </w:hyperlink>
      <w:r>
        <w:t>), a cidade natal de infância de Davi (</w:t>
      </w:r>
      <w:hyperlink r:id="rId3340">
        <w:r>
          <w:rPr>
            <w:color w:val="0000EE"/>
            <w:u w:val="single"/>
          </w:rPr>
          <w:t>1Sm 17.12</w:t>
        </w:r>
      </w:hyperlink>
      <w:r>
        <w:t>) e o local de nascimento anunciado do Messias (</w:t>
      </w:r>
      <w:hyperlink r:id="rId3333">
        <w:r>
          <w:rPr>
            <w:color w:val="0000EE"/>
            <w:u w:val="single"/>
          </w:rPr>
          <w:t>Mq 5.2</w:t>
        </w:r>
      </w:hyperlink>
      <w:r>
        <w:t>);</w:t>
      </w:r>
    </w:p>
    <w:p>
      <w:r/>
      <w:r>
        <w:rPr>
          <w:i/>
        </w:rPr>
        <w:t>Veja também</w:t>
      </w:r>
      <w:r>
        <w:t xml:space="preserve"> </w:t>
      </w:r>
      <w:r>
        <w:t>Belém #1</w:t>
      </w:r>
      <w:r>
        <w:t>.</w:t>
      </w:r>
    </w:p>
    <w:p>
      <w:r/>
      <w:r>
        <w:t>2. Distrito onde a cidade de Quiriate-Jearim estava localizada e onde a Arca da Aliança foi mantida (</w:t>
      </w:r>
      <w:hyperlink r:id="rId7732">
        <w:r>
          <w:rPr>
            <w:color w:val="0000EE"/>
            <w:u w:val="single"/>
          </w:rPr>
          <w:t>Sl 132.6</w:t>
        </w:r>
      </w:hyperlink>
      <w:r>
        <w:t>).</w:t>
      </w:r>
      <w:r/>
      <w:r/>
    </w:p>
    <w:p>
      <w:r/>
    </w:p>
    <w:p>
      <w:pPr>
        <w:pStyle w:val="Heading2"/>
      </w:pPr>
      <w:r>
        <w:t>Efrom (Pessoa)</w:t>
      </w:r>
      <w:r/>
    </w:p>
    <w:p>
      <w:r/>
      <w:r>
        <w:t>Heteu de quem Abraão comprou a caverna de Macpela com o campo adjacente por 400 siclos de prata (</w:t>
      </w:r>
      <w:hyperlink r:id="rId7733">
        <w:r>
          <w:rPr>
            <w:color w:val="0000EE"/>
            <w:u w:val="single"/>
          </w:rPr>
          <w:t>Gn 23.8–17</w:t>
        </w:r>
      </w:hyperlink>
      <w:r>
        <w:t>). Sara foi enterrada lá, assim como Abraão (</w:t>
      </w:r>
      <w:hyperlink r:id="rId7734">
        <w:r>
          <w:rPr>
            <w:color w:val="0000EE"/>
            <w:u w:val="single"/>
          </w:rPr>
          <w:t>25.9</w:t>
        </w:r>
      </w:hyperlink>
      <w:r>
        <w:t>) e Jacó (</w:t>
      </w:r>
      <w:hyperlink r:id="rId7735">
        <w:r>
          <w:rPr>
            <w:color w:val="0000EE"/>
            <w:u w:val="single"/>
          </w:rPr>
          <w:t>50.13</w:t>
        </w:r>
      </w:hyperlink>
      <w:r>
        <w:t>).</w:t>
      </w:r>
      <w:r/>
      <w:r/>
    </w:p>
    <w:p>
      <w:r/>
    </w:p>
    <w:p>
      <w:pPr>
        <w:pStyle w:val="Heading2"/>
      </w:pPr>
      <w:r>
        <w:t>Egito, egípcio</w:t>
      </w:r>
      <w:r/>
    </w:p>
    <w:p>
      <w:r/>
      <w:r>
        <w:t>O Egito desempenhou um papel significativo como cenário onde a narrativa bíblica se desenrolou. Abraão viveu ali durante tempos de fome. José, seu bisneto, foi vendido como escravo no Egito e ascendeu a uma posição semelhante à de primeiro-ministro. Por meio da intercessão de José, Jacó e o restante da família patriarcal hebraica que vivia na Palestina vieram residir na região oriental do delta de Gósen, novamente devido à fome. Inicialmente tratados favoravelmente, mais tarde foram reduzidos à escravidão; clamando a Deus, foram finalmente libertados através das 10 pragas. Depois disso, por 40 anos, vagaram pelo Sinai egípcio, onde receberam a lei, especificações para a construção do tabernáculo e instruções para os sistemas sacerdotal e sacrificial.</w:t>
      </w:r>
    </w:p>
    <w:p>
      <w:r/>
      <w:r>
        <w:t>Após a destruição de Jerusalém em 586 a.C., um grupo de judeus forçou Jeremias a ir com eles para o Egito (</w:t>
      </w:r>
      <w:hyperlink r:id="rId7736">
        <w:r>
          <w:rPr>
            <w:color w:val="0000EE"/>
            <w:u w:val="single"/>
          </w:rPr>
          <w:t>Jr 43.6,7</w:t>
        </w:r>
      </w:hyperlink>
      <w:r>
        <w:t>), onde se tornaram numerosos durante o período intertestamentário e gradualmente esqueceram o hebraico. Em Alexandria, os judeus traduziram o AT para o grego (a Septuaginta) entre cerca de 250 e 150 a.C. Esta se tornou a Bíblia da igreja primitiva, especialmente para aqueles cristãos fora da Palestina.</w:t>
      </w:r>
    </w:p>
    <w:p>
      <w:r/>
      <w:r>
        <w:t>Quando o período do NT começou, o Egito serviu como refúgio para José, Maria e Jesus enquanto fugiam das tentativas de assassinato de Herodes, o grande (</w:t>
      </w:r>
      <w:hyperlink r:id="rId7737">
        <w:r>
          <w:rPr>
            <w:color w:val="0000EE"/>
            <w:u w:val="single"/>
          </w:rPr>
          <w:t>Mt 2.13–23</w:t>
        </w:r>
      </w:hyperlink>
      <w:r>
        <w:t>). Em vários outros momentos, a história hebraica e egípcia se cruzaram — e.g., quando Sisaque I invadiu a Palestina nos dias de Roboão (</w:t>
      </w:r>
      <w:hyperlink r:id="rId7738">
        <w:r>
          <w:rPr>
            <w:color w:val="0000EE"/>
            <w:u w:val="single"/>
          </w:rPr>
          <w:t>1Rs 14.25–28</w:t>
        </w:r>
      </w:hyperlink>
      <w:r>
        <w:t>).</w:t>
      </w:r>
    </w:p>
    <w:p>
      <w:r/>
      <w:r>
        <w:t>Ver:</w:t>
      </w:r>
    </w:p>
    <w:p>
      <w:r/>
      <w:r>
        <w:t>• Geografia;</w:t>
      </w:r>
    </w:p>
    <w:p>
      <w:r/>
      <w:r>
        <w:t>• História;</w:t>
      </w:r>
    </w:p>
    <w:p>
      <w:r/>
      <w:r>
        <w:t>• Vida social;</w:t>
      </w:r>
    </w:p>
    <w:p>
      <w:r/>
      <w:r>
        <w:t>• Religião;</w:t>
      </w:r>
    </w:p>
    <w:p>
      <w:r/>
      <w:r>
        <w:t>• Aprendizado e cultura.</w:t>
      </w:r>
    </w:p>
    <w:p>
      <w:pPr>
        <w:pStyle w:val="Heading3"/>
      </w:pPr>
      <w:r>
        <w:t>Geografia</w:t>
      </w:r>
    </w:p>
    <w:p>
      <w:r/>
      <w:r>
        <w:t>O Egito é um presente do Nilo, sem o qual não poderia existir. Desde tempos imemoriais, o Nilo deposita uma fina camada de lodo rico a cada ano, à medida que transborda suas margens. Esta faixa de terra fértil ao longo de seu curso contrasta vividamente com as areias estéreis que se estendem do vale do rio, muitas vezes até onde a vista alcança. Após depositar este solo, o Nilo fornece água para sua irrigação. Isso é necessário em uma terra que recebe apenas de seis a oito polegadas (15 a 20 centímetros) de chuva por ano ao longo do Mediterrâneo, duas polegadas (5,1 centímetros) ou menos por ano no Cairo, e menos do que isso mais ao sul.</w:t>
      </w:r>
    </w:p>
    <w:p>
      <w:r/>
      <w:r>
        <w:t>O Vale do Nilo é um corredor, fechado de ambos os lados por penhascos e bloqueado na extremidade sul por cataratas, seis locais onde o rio não conseguiu abrir um canal claro e onde rochas estão empilhadas em massas irregulares no leito do rio. De penhasco a penhasco, o Vale do Nilo varia de cerca de 16 a 50 quilômetros de largura entre Cairo e Asam. No entanto, a área cultivada ao longo deste trecho tem apenas cerca de 10 a 16 quilômetros de largura, estreitando para um ou dois quilômetros (1,5 a 3 quilômetros) de largura ao redor de Asam. Esta faixa cultivada tem apenas cerca de 8.045 quilômetros quadrados no total.</w:t>
      </w:r>
    </w:p>
    <w:p>
      <w:r/>
      <w:r>
        <w:t>Mas o Egito é mais do que o vale. É também o delta, uma área em forma de torta ao norte do Cairo, também formada pelo Nilo ao longo dos milênios. O delta mede cerca de 125 milhas (201,1 quilômetros) de norte a sul e 115 milhas (185 quilômetros) de leste a oeste. Sua região sul, mais densamente povoada, forneceu aos antigos egípcios cerca de 5.000 milhas quadradas (8.045 quilômetros quadrados) de terras agrícolas, tornando o total do vale e do delta cerca de 10.000 milhas quadradas (16.090 quilômetros quadrados), aproximadamente igual ao estado de Maryland, nos Estados Unidos.</w:t>
      </w:r>
    </w:p>
    <w:p>
      <w:r/>
      <w:r>
        <w:t>A oeste do Nilo, estende-se uma cadeia de oásis, sendo o maior deles o Fayum, localizado a cerca de 70 milhas (112,6 quilômetros) a sudoeste do Cairo. No centro do Fayum está o Lago Qarun, que atualmente cobre 90 milhas quadradas (144,8 quilômetros quadrados) e tem aproximadamente 17 pés (5,2 metros) de profundidade. Ele é cercado por cerca de meio milhão de acres de terras agrícolas férteis.</w:t>
      </w:r>
    </w:p>
    <w:p>
      <w:r/>
      <w:r>
        <w:t>O Egito antigo se estendia por cerca de 125 milhas (201,1 quilômetros) do Mediterrâneo até o Cairo (Baixo Egito) e outras 600 milhas (965,4 quilômetros) do Cairo até Aswan (Alto Egito). No auge de seu poder, o Egito também controlava o vale desde a primeira catarata em Aswan ao sul até a quarta catarata (Núbia). Assim, seu domínio abrangia um total de cerca de 1.100 milhas (1.769,9 quilômetros) ao sul do Mediterrâneo.</w:t>
      </w:r>
    </w:p>
    <w:p>
      <w:r/>
      <w:r>
        <w:t>O recurso mais importante do Egito era o solo fértil ao longo do Nilo. Na antiguidade, os agricultores cultivavam grãos como cevada, espelta e trigo. Cebolas, alhos-porós, feijões e lentilhas eram vegetais comuns. Tâmaras, figos e uvas eram as frutas mais amplamente cultivadas. O óleo era extraído de plantas de mamona e gergelim, em vez de azeitonas, como em outras terras mediterrâneas. O linho fornecia tecido para roupas. Os animais domesticados incluíam bois, gado, ovelhas, cabras, porcos, burros e cavalos.</w:t>
      </w:r>
    </w:p>
    <w:p>
      <w:r/>
      <w:r>
        <w:t>Outro recurso importante era o abundante suprimento de pedra. Montanhas de granito se erguem entre o Nilo e o Mar Vermelho, e depósitos de alabastro e outras pedras finas são encontrados na mesma região. Ao sul de Aswan estão as montanhas de granito da Núbia. As pedreiras de Sinim em Aswan são famosas por seu granito vermelho extremamente duro e durável. O ouro era relativamente abundante nas montanhas da Núbia, e veios de quartzo aurífero foram encontrados nas montanhas a leste do Nilo. Os egípcios controlavam as minas de cobre e turquesa do Sinai durante muitos de seus importantes períodos históricos. Na antiguidade, alguma madeira estava disponível na Núbia para a construção das barcaças que transportavam as enormes cargas de pedra para a construção de pirâmides, templos e outras estruturas magníficas.</w:t>
      </w:r>
    </w:p>
    <w:p>
      <w:r/>
      <w:r>
        <w:t>O próprio Nilo era uma estrada para todas as estações. Podia-se flutuar para o norte com a correnteza e velejar para o sul contra a fraca correnteza (3 milhas, ou 5 quilômetros, por hora) utilizando os ventos predominantes do norte. Na verdade, o Nilo era a estrada do antigo Egito. As rotas terrestres normalmente conduziam o tráfego apenas até a margem do rio. Além do enorme comércio norte-sul, balsas regularmente se moviam de uma margem para a outra.</w:t>
      </w:r>
    </w:p>
    <w:p>
      <w:r/>
      <w:r>
        <w:t>Ao longo do rio, cresciam juncos de papiro, dos quais se podia fazer material de escrita. E ao longo do Nilo, argila era depositada, com a qual se podia fazer cerâmica e tijolos secos ao sol para as casas dos pobres.</w:t>
      </w:r>
    </w:p>
    <w:p>
      <w:r/>
      <w:r>
        <w:t>Os antigos egípcios viviam em relativo isolamento e paz em seu lar no vale. As cataratas ao sul, os desertos a leste e oeste, e a costa sem portos do Mediterrâneo os protegiam de invasões, permitindo-lhes desenvolver uma cultura homogênea. Influências externas podiam infiltrar-se principalmente nos dois cantos norte do delta. Houve incursões semíticas do leste e líbios (possivelmente de origem europeia) do oeste. Defesas foram erguidas para proteger contra ambos. A segurança de seu lar no vale e a provisão regular do sol e do Nilo deram aos egípcios uma sensação de confiança e bem-estar que não era comum a outros povos do antigo Oriente Próximo.</w:t>
      </w:r>
    </w:p>
    <w:p>
      <w:pPr>
        <w:pStyle w:val="Heading3"/>
      </w:pPr>
      <w:r>
        <w:t>Histórico</w:t>
      </w:r>
    </w:p>
    <w:p>
      <w:r/>
      <w:r>
        <w:t>É incorreto considerar os governantes contemporâneos do Egito como descendentes dos faraós ou os atuais habitantes da região como egípcios em qualquer sentido que não seja geográfico. O Egito, como uma área de civilização distinta, terminou com a conquista árabe no sétimo século d.C. e foi significativamente diluído durante os vários séculos anteriores por influências greco-romanas.</w:t>
      </w:r>
    </w:p>
    <w:p>
      <w:pPr>
        <w:pStyle w:val="Heading4"/>
      </w:pPr>
      <w:r>
        <w:t>Origem</w:t>
      </w:r>
    </w:p>
    <w:p>
      <w:r/>
      <w:r>
        <w:t>Embora as origens dos antigos egípcios não sejam completamente compreendidas, fisicamente eles mostram afinidades com hamitas, semitas e mediterrâneos. Hamitas com características negroides moveram-se para o norte a partir da Núbia. Asiáticos migraram através do istmo de Suez para o delta, e o pequeno povo mediterrâneo, de pele marrom e ossos finos, dominou o Vale do Nilo desde os tempos antigos. Por mais diversas que suas origens possam ter sido, os egípcios do período antigo tinham consciência de si mesmos como uma nação, um povo distinto. Os homens tinham cerca de um metro e setenta de altura e as mulheres cerca de um metro e cinquenta. Eles eram esguios, mas de ossos fortes, com cabeças redondas e rostos ovais. Os homens tinham pouco cabelo no rosto ou no corpo e, ao longo da antiguidade, eram comumente bem barbeados, enquanto os semitas eram barbudos.</w:t>
      </w:r>
    </w:p>
    <w:p>
      <w:r/>
      <w:r>
        <w:t>Arqueólogos identificam uma série de culturas predinásticas sucessivas—Fayumic, Meridiana, Tasiana, Badariana, Amratiana, Gerzeana e Semaineana—que dominaram técnicas básicas e aprenderam a construir uma civilização com recursos mínimos. Naturalmente, eles desenvolveram um sistema de irrigação para manter um programa agrícola eficaz. Muito cedo, descobriram como transformar linho em tecido e, assim, produzir roupas. Barcos eram feitos de juncos de papiro e árvores que cresciam ao longo de alguns leitos de rios no sul. Tijolos secos ao sol forneciam material de construção, e argila estava disponível para cerâmica. Esta última era feita à mão; a roda de oleiro só apareceu em tempos dinásticos.</w:t>
      </w:r>
    </w:p>
    <w:p>
      <w:r/>
      <w:r>
        <w:t>A escrita surgiu no Egito por volta do final do período pré-dinástico. Seus hieróglifos, ou sinais sagrados, eram chamados de "as palavras de Deus" e acreditava-se que tinham origem divina. Por volta de 2700 a.C., eles aprenderam a fazer "papel" entrelaçando tiras cortadas do miolo da planta de papiro e formando-as em folhas. Aproximadamente na mesma época, desenvolveram técnicas para cortar pedra da pedreira. Comumente, cortavam um sulco ao longo de uma linha onde um bloco seria separado. Lá, inseriam cunhas de madeira seca e as molhavam para que a madeira inchasse e separasse o bloco. Às vezes, acendiam uma fogueira ao longo do sulco para aquecer a pedra e depois despejavam água sobre ela para separá-la da rocha principal.</w:t>
      </w:r>
    </w:p>
    <w:p>
      <w:pPr>
        <w:pStyle w:val="Heading4"/>
      </w:pPr>
      <w:r>
        <w:t>Unificação do Egito</w:t>
      </w:r>
    </w:p>
    <w:p>
      <w:r/>
      <w:r>
        <w:t>No período pouco antes de cerca de 3100 a.C., o Egito consistia em dois reinos separados: Baixo Egito e Alto Egito. Então, o rei do Alto Egito conquistou o Baixo Egito e unificou as duas terras sob seu único governo. No entanto, a divisão nunca foi completamente esquecida, e o Egito foi referido como as "Duas Terras" ao longo de sua história. Os faraós usavam uma coroa dupla, uma combinação da coroa vermelha do Baixo Egito e da coroa branca do Alto Egito. O palácio do rei era chamado de "palácio duplo", e até mesmo o celeiro real era duplo. Os hebreus reconheceram essa dualidade, pois ao longo do Antigo Testamento chamaram o Egito de Mitzrayim — uma palavra com um final dual.</w:t>
      </w:r>
    </w:p>
    <w:p>
      <w:r/>
      <w:r>
        <w:t>O faraó creditado nas fontes antigas com a unificação do Egito era às vezes chamado de Narmer e outras vezes de Menes; presumivelmente, esses eram nomes diferentes para a mesma pessoa. Narmer-Menes iniciou a primeira dinastia do Egito unificado. Embora os antigos egípcios não contassem em dinastias, historiadores modernos seguem a prática de Manetão, um sacerdote egípcio de meados do terceiro século a.C., que compilou uma lista de reis até o período persa e a dividiu em 30 dinastias; mais tarde, outros adicionaram uma 31ª dinastia. Os antigos também não usavam termos como "Antigo Reino" e "Reino Médio", mas os estudiosos modernos os consideram uma maneira conveniente de organizar a história egípcia.</w:t>
      </w:r>
    </w:p>
    <w:p>
      <w:pPr>
        <w:pStyle w:val="Heading4"/>
      </w:pPr>
      <w:r>
        <w:t>Período dinástico inicial (3100–2700 a.C.)</w:t>
      </w:r>
    </w:p>
    <w:p>
      <w:r/>
      <w:r>
        <w:t>Os reis das duas primeiras dinastias governaram em This, ou Thinis, cerca de 300 milhas (482,7 quilômetros) ao sul do Cairo, mas construíram Mênfis como outro centro administrativo. Eles consolidaram seu domínio sobre a terra e desenvolveram a teoria de que o rei era divino. Os contatos com o mundo exterior eram consideráveis, e há muitas indicações no Egito de influências da Mesopotâmia nesse período.</w:t>
      </w:r>
    </w:p>
    <w:p>
      <w:pPr>
        <w:pStyle w:val="Heading4"/>
      </w:pPr>
      <w:r>
        <w:t>Antigo reino (2700–2200 a.C.; Dinastias 3–6)</w:t>
      </w:r>
    </w:p>
    <w:p>
      <w:r/>
      <w:r>
        <w:t>O Antigo Reino é especialmente lembrado por suas obras de construção. As pirâmides foram erguidas naquela época. A capital estava localizada em Mênfis (bíblico Noph), a sudoeste do Cairo moderno. Os contatos com a Fenícia eram numerosos, e alguns acreditam que os egípcios estavam tão fortemente envolvidos lá e em outros lugares que é apropriado falar do “Antigo Império”. Padrões artísticos estavam sendo desenvolvidos, e os inícios literários e médicos foram significativos. O Egito era uma monarquia absoluta. O rei divino era servido por um exército de oficiais; toda a população poderia ser recrutada durante sua vida para preparar seu túmulo.</w:t>
      </w:r>
    </w:p>
    <w:p>
      <w:r/>
      <w:r>
        <w:t>O primeiro rei da terceira dinastia foi Djoser, que construiu a pirâmide de degraus em Saqqara. A estrutura de pedra mais antiga do mundo consiste em seis camadas, ou degraus, elevando-se a uma altura de 204 pés (62,2 metros). O arquiteto foi Imhotep, seu vizir ou primeiro-ministro, que mais tarde foi deificado e creditado com os primórdios da arquitetura, literatura e medicina, sendo identificado pelos gregos com o deus da medicina, Asclépio.</w:t>
      </w:r>
    </w:p>
    <w:p>
      <w:r/>
      <w:r>
        <w:t>Os faraós da quarta dinastia foram os grandes construtores de pirâmides. Eles foram responsáveis por erguer as três Grandes Pirâmides em Gizé entre cerca de 2600 e 2500 a.C. A maior delas, atribuída a Khufu, cobre 13 acres, originalmente se elevava a uma altura de 481 pés (146,6 metros) e contém cerca de 2,3 milhões de blocos de calcário com uma média de duas toneladas e meia cada. A segunda pirâmide tem 447½ pés (136,4 metros) de altura e é acompanhada pela esfinge, um leão deitado com o rosto do rei. A terceira pirâmide tem 204 pés (62,2 metros) de altura. Essas pirâmides não são exemplos isolados. Várias outras pequenas pirâmides foram construídas em Gizé, e havia nove campos de pirâmides ao todo, espalhados ao longo da margem oeste do Nilo ao sul de Mênfis. Durante as quinta e sexta dinastias, surgiram os textos das pirâmides, inscrições esculpidas e pintadas, feitiços mágicos e hinos que supostamente ajudavam os falecidos na vida após a morte.</w:t>
      </w:r>
    </w:p>
    <w:p>
      <w:r/>
      <w:r>
        <w:t>Os padrões artísticos do Egito foram estabelecidos durante o Antigo reino. O rei e os deuses eram retratados de forma estilizada. A arte tendia a ser conceitual em vez de perceptiva; ou seja, em vez de reproduzir o que via, o artista pintava o que sabia estar ali. E.g., um cardume de peixes tornava-se peixes individuais pintados inteiros em vez de serem representados naturalmente com um peixe obscurecendo parte do peixe ao lado. De maneira semelhante, as alforjes em um burro eram mostrados com o que estava voltado para o espectador reproduzido de forma natural; o outro, conhecido por estar atrás das costas do burro, era virado para cima no ar acima das costas do burro.</w:t>
      </w:r>
    </w:p>
    <w:p>
      <w:r/>
      <w:r>
        <w:t>A importância de um indivíduo determinava seu tamanho em uma representação pictórica. Em uma cena de batalha, o Faraó seria a maior figura, seguido por seus oficiais comandantes em tamanho, os soldados comuns seriam menores, e as tropas inimigas seriam as menores de todas.</w:t>
      </w:r>
    </w:p>
    <w:p>
      <w:r/>
      <w:r>
        <w:t>A arte egípcia tinha a intenção de contar uma história: grande parte dela era mais parecida com um filme do que com uma fotografia. Uma cena de produção de vinho poderia incluir a colheita das uvas, a extração do suco (normalmente feita pisando com os pés descalços) e o armazenamento do suco em jarros.</w:t>
      </w:r>
    </w:p>
    <w:p>
      <w:r/>
      <w:r>
        <w:t>Evidentemente, o conhecimento médico egípcio também estava se desenvolvendo durante o Antigo Reino. Embora as principais fontes de conhecimento da medicina egípcia sejam os grandes papiros do Médio Reino, há indicações de que as alegações de conhecimento médico têm uma origem muito mais antiga. Numerosas expressões arcaicas aparecem nos textos. Talvez os egípcios soubessem algo sobre a circulação do sangue; eles falavam sobre sentir a “voz do coração”. A prática médica egípcia combinava uma variedade de remédios caseiros, encantamentos e conhecimento científico. O Papiro Cirúrgico Edwin Smith é um estudo notável que trata especialmente do tratamento de ossos quebrados.</w:t>
      </w:r>
    </w:p>
    <w:p>
      <w:r/>
      <w:r>
        <w:t>Durante a sexta dinastia, o Antigo Reino começou a se desintegrar devido a governantes fracos, nobres agressivos, dificuldades fiscais, incursões núbias no sul e ataques asiáticos no nordeste.</w:t>
      </w:r>
    </w:p>
    <w:p>
      <w:pPr>
        <w:pStyle w:val="Heading4"/>
      </w:pPr>
      <w:r>
        <w:t>Primeiro período intermediário (2200–2050 a.C.; Dinastias 7–11)</w:t>
      </w:r>
    </w:p>
    <w:p>
      <w:r/>
      <w:r>
        <w:t>Durante o Antigo Reino, havia estabilidade política e prosperidade. A inundação do Nilo ocorria de forma previsível e não devastadora. Havia comida suficiente para todos. Se alguém se comportasse bem, trabalhasse arduamente e estudasse diligentemente na escola, poderia contar com promoções adequadas e sucesso geral na vida. As instituições sociais, políticas, econômicas e religiosas familiares permaneciam constantes e podiam ser confiáveis para manter seu papel regular no ritmo da vida. Agora, a velha aristocracia havia caído. O governo central havia se desintegrado; nobres governavam muitos distritos e assumiam o título de reis. Já não era verdade que, se alguém fizesse certas coisas, poderia contar com o sucesso. O colapso de toda a filosofia de vida do Antigo Reino trouxe um transtorno espiritual e gerou tentativas de reavaliação da vida. Parte da literatura da época defende a abordagem hedonista de afogar os problemas no prazer, enquanto outros recomendavam uma abordagem estoica — para se fortalecer contra as dificuldades da vida.</w:t>
      </w:r>
    </w:p>
    <w:p>
      <w:pPr>
        <w:pStyle w:val="Heading4"/>
      </w:pPr>
      <w:r>
        <w:t>Médio Reino (2050–1780 a.C.; 12ª Dinastia)</w:t>
      </w:r>
    </w:p>
    <w:p>
      <w:r/>
      <w:r>
        <w:t>No final da 11ª dinastia, príncipes de Tebas (a 440 milhas, ou 708 quilômetros, ao sul de Mênfis) lutaram para restaurar a ordem e o controle real, sendo parcialmente bem-sucedidos. O Reino Médio foi o período da 12ª dinastia, composta por tebanos nativos que estabeleceram sua capital em Lisht, no Fayum. Os seis governantes dessa dinastia adotaram os nomes de Amenemhet e Sesóstris. Cada um deles governou por cerca de 30 anos, e a maioria colocou seus filhos no trono como co-regentes antes de falecer, eliminando o risco de um usurpador. Como esses reis não ousaram privar os nobres de seu poder amplamente independente, uma condição feudal prevaleceu durante grande parte do período.</w:t>
      </w:r>
    </w:p>
    <w:p>
      <w:r/>
      <w:r>
        <w:t>Incapazes de atuar como reis absolutos, esses faraós precisavam governar por meio da persuasão e do desenvolvimento da boa vontade. Sua interpretação de ma’at (justiça social) era constantemente enfatizada, e se uma pessoa não pudesse obter ma’at nas mãos dos nobres, ela era prometida nas mãos do rei. Seu programa de propaganda também retratava o faraó como alguém preocupado com a liderança responsável, em vez de apenas exercer autoridade. O faraó era o pastor de seu povo.</w:t>
      </w:r>
    </w:p>
    <w:p>
      <w:r/>
      <w:r>
        <w:t>Os faraós do Médio Reino foram sábios o suficiente para não esgotar a Tesouraria em grandes pirâmides; em vez disso, empreenderam obras públicas, como um esforço maciço para aumentar a área cultivável no Fayum, a construção de um muro defensivo através do istmo de Suez e o trabalho sistemático nas minas de cobre do Sinai. O comércio era extenso com Creta, Líbano, Síria e Punt.</w:t>
      </w:r>
    </w:p>
    <w:p>
      <w:r/>
      <w:r>
        <w:t>O Médio Reino foi uma época em que Amon começou a emergir como o Grande deus do Egito. Ele foi incorporado ao deus do sol Re como Amon-Re e veio a suplantar os deuses que anteriormente representavam Tebas. Como deus da nação, ele se tornaria o Grande deus imperial sob o império e, assim, assumiria uma qualidade universal. Textos religiosos, que haviam adornado as paredes das pirâmides durante o Antigo Reino, agora eram inscritos em caixões e seu uso estava disponível tanto para nobres quanto para reis.</w:t>
      </w:r>
    </w:p>
    <w:p>
      <w:r/>
      <w:r>
        <w:t>Um florescimento literário ocorreu durante o Médio Reino. A literatura científica é representada por obras notáveis como o Papiro Matemático de Rhind e os papiros Cirúrgico de Smith e Médico de Ebers. As “Instruções de Merikare” retratam parte da literatura de sabedoria do período, e o “Conto de Sinuhe” introduz o gênero da literatura de entretenimento.</w:t>
      </w:r>
    </w:p>
    <w:p>
      <w:r/>
      <w:r>
        <w:t>Se alguém adota a data inicial do êxodo (1446 a.C.) e adiciona 430 anos para o período de permanência israelita no Egito (</w:t>
      </w:r>
      <w:hyperlink r:id="rId6208">
        <w:r>
          <w:rPr>
            <w:color w:val="0000EE"/>
            <w:u w:val="single"/>
          </w:rPr>
          <w:t>Êx 12.40</w:t>
        </w:r>
      </w:hyperlink>
      <w:r>
        <w:t>), concluirá que os israelitas entraram no Egito por volta de 1876 a.C. Isso seria no início do reinado de Sesóstris III (ou Senwosret, ou Sen-Usert; 1878–1840 a.C.). Sesóstris foi um rei vigoroso que estendeu o controle egípcio ao sul até a Segunda catarata e fez campanhas até a Síria. Ele também conseguiu reverter as condições feudais do período anterior; ele retirou o poder dos nobres e nomeou oficiais reais em seu lugar. Possivelmente, essa conquista estava de alguma forma relacionada à fome nos dias de José e ao uso que José fez dessa fome para consolidar o controle real sobre toda a população da terra (</w:t>
      </w:r>
      <w:hyperlink r:id="rId7739">
        <w:r>
          <w:rPr>
            <w:color w:val="0000EE"/>
            <w:u w:val="single"/>
          </w:rPr>
          <w:t>Gn 47.13–26</w:t>
        </w:r>
      </w:hyperlink>
      <w:r>
        <w:t>).</w:t>
      </w:r>
    </w:p>
    <w:p>
      <w:pPr>
        <w:pStyle w:val="Heading4"/>
      </w:pPr>
      <w:r>
        <w:t>Segundo período intermediário (1780–1570 a.C.; Dinastias 13–17)</w:t>
      </w:r>
    </w:p>
    <w:p>
      <w:r/>
      <w:r>
        <w:t>Com o fim da poderosa 12ª dinastia, o Egito voltou a entrar em um período de desintegração. Os hicsos (“governantes de terras estrangeiras”), semitas da Síria e Palestina, gradualmente se infiltraram na região do delta e assumiram o controle por volta de 1730 a.C., mantendo sua capital em Tânis, ou Avaris, no delta oriental. Enquanto isso, príncipes tebanos governavam de forma fraca no sul e eram frequentemente vassalos dos hicsos.</w:t>
      </w:r>
    </w:p>
    <w:p>
      <w:r/>
      <w:r>
        <w:t>Aparentemente, devido ao ódio dos egípcios pelos hicsos e aos esforços rigorosos para apagar sua memória, os hicsos são um povo muito obscuro. Pouco resta para se basear uma reconstrução de sua história. Presume-se que eles foram responsáveis por introduzir novos tipos de espadas e adagas de bronze, o poderoso arco composto e, acima de tudo, o cavalo e a carruagem. Os egípcios adotaram esses elementos com grande sucesso e os usaram para derrubar o poder dos hicsos e, em seguida, construir um império na Palestina e na Síria. A luta dos príncipes de Tebas para se libertar do controle dos hicsos foi prolongada e aparentemente feroz em alguns momentos. O esforço começou no final do século 16 a.C. e foi concluído por Ahmose I (1570–1546 a.C.).</w:t>
      </w:r>
    </w:p>
    <w:p>
      <w:pPr>
        <w:pStyle w:val="Heading4"/>
      </w:pPr>
      <w:r>
        <w:t>O período do império (1570–1090 a.C.; Dinastias 18–20)</w:t>
      </w:r>
    </w:p>
    <w:p>
      <w:r/>
      <w:r>
        <w:t>Ahmose iniciou a 18ª dinastia e pode ser visto como o fundador do império, ou período do Novo Reino. Após derrotar os hicsos no Egito, ele continuou com campanhas bem-sucedidas contra a Núbia e Saruém, no sul da Palestina. Posteriormente, ele teve que subjugar nobres que conseguiram obter independência do governo central durante a era dos hicsos. Amenhotep I (1546–1525 a.C.) também foi obrigado a lutar contra os núbios no sul e os líbios no noroeste.</w:t>
      </w:r>
    </w:p>
    <w:p>
      <w:r/>
      <w:r>
        <w:t>Ao morrer sem um filho para sucedê-lo, Amenhotep foi sucedido no trono por sua irmã Ahmose, que se casou com um Thutmose (Thutmose I, 1525–1508 a.C.), provavelmente um parente. Thutmose teve que reprimir os núbios rebeldes durante o primeiro ano de seu reinado e, em campanhas subsequentes, expandiu consideravelmente as posses núbias do Egito. Entre esses dois ataques aos núbios, ele lançou uma ofensiva na Síria; assim, pôde reivindicar um império que se estendia do Eufrates até a terceira catarata do Nilo. Moisés pode ter nascido no início de seu reinado. Thutmose iniciou a prática de esculpir túmulos reais no Vale dos Reis a oeste de Tebas.</w:t>
      </w:r>
    </w:p>
    <w:p>
      <w:r/>
      <w:r>
        <w:t>Evidentemente, a única filha sobrevivente da união de Tutemés e Ahmose foi Hatshepsut, que se casou com Tutemés II (1508–1504 a.C.), um filho de Tutemés I com uma princesa secundária. Tutemés II teve que reprimir os núbios rebeldes, mas pouco mais se sabe sobre seu reinado. Como seu casamento com Hatshepsut produziu duas filhas, mas nenhum filho, ele decidiu casar sua filha Marytre com um filho de uma esposa secundária (Tutemés III, 1504–1450 a.C.).</w:t>
      </w:r>
    </w:p>
    <w:p>
      <w:r/>
      <w:r>
        <w:t>Hatshepsut continuou a governar durante a menoridade de Tutmés III e se recusou a ceder o poder quando ele atingiu a maioridade. Ela dominou o Egito de 1504 a 1482 a.C. Durante seu reinado, o Egito desfrutou de prosperidade econômica. Suas atividades de construção foram consideráveis; entre suas realizações estava a ereção de dois grandes obeliscos no templo de Karnak em Luxor. O único eixo restante tem 29,7 metros de altura e pesa cerca de 317.800 quilogramas. Ela também conduziu expedições comerciais à terra de Punt. Hatshepsut é às vezes identificada como a filha do Faraó que resgatou Moisés do Nilo (</w:t>
      </w:r>
      <w:hyperlink r:id="rId3016">
        <w:r>
          <w:rPr>
            <w:color w:val="0000EE"/>
            <w:u w:val="single"/>
          </w:rPr>
          <w:t>Êx 2.5</w:t>
        </w:r>
      </w:hyperlink>
      <w:r>
        <w:t>).</w:t>
      </w:r>
    </w:p>
    <w:p>
      <w:r/>
      <w:r>
        <w:t>Finalmente, em 1482 a.C., Hatshepsut encontrou um fim prematuro, provavelmente pelas mãos de Tutmés III, quando ele rompeu seus laços e assumiu o governo do reino. Em 75 dias, ele reuniu um exército e o liderou para o norte, em direção à Palestina-Síria, para subjugar príncipes rebeldes lá. Uma grande vitória inicial em Megido e o saque da cidade após um cerco de sete meses intimidaram os palestinos do norte, mas não quebraram sua vontade de resistir. Tutmés se viu em campanha na Palestina ou na Núbia quase anualmente pelas duas décadas seguintes.</w:t>
      </w:r>
    </w:p>
    <w:p>
      <w:r/>
      <w:r>
        <w:t>O que começou como um impulso egípcio para punir os hicsos transformou-se em um espírito de imperialismo, que desfrutava de uma sensação de poder na vitória. À medida que as fronteiras se expandiam, quase sempre havia um perigo a ser enfrentado em algum lugar durante as gerações subsequentes; alguns deles eram reais e outros distantes. Assim, a sensação de segurança que os egípcios haviam desfrutado durante séculos anteriores, quando estavam confinados em seu vale natal, deu lugar a um sentimento de insegurança. E enquanto o deus Amon-Rá sorria para os esforços militares egípcios, ele era recompensado com grandes quantidades de espólios e belos presentes. Com o tempo, os templos ganharam tanta riqueza e poder que passaram a exercer grande influência nos círculos políticos e econômicos. Especialmente grande era o poder do sacerdócio de Amon no templo de Karnak.</w:t>
      </w:r>
    </w:p>
    <w:p>
      <w:r/>
      <w:r>
        <w:t>Thutmose III foi um dos maiores faraós do antigo Egito. Um conquistador e construtor de impérios, ele é frequentemente chamado de Napoleão do antigo Egito. Dificilmente havia uma cidade de qualquer tamanho no reino onde ele não se envolvesse em atividades de construção. Com ele começou um esforço para glorificar o Faraó como esportista, atleta e guerreiro, que duraria várias gerações; ele tinha os poderes de um deus na condução dos assuntos dos homens. Se aceitarmos a datação inicial do Êxodo, Thutmose III é frequentemente considerado o Faraó da Grande opressão dos hebreus.</w:t>
      </w:r>
    </w:p>
    <w:p>
      <w:r/>
      <w:r>
        <w:t>Thutmose foi sucedido por seu filho Amenhotep II (1452–1425 a.C.), que pode ter sido o Faraó do êxodo. Servindo brevemente como co-regente com seu pai, ele teve uma transição tranquila para o governo único sobre o império. Embora tenha sido forçado a conduzir duas campanhas na Síria e na Palestina para subjugar cidades rebeldes, ele parece ter desfrutado de um reinado geralmente pacífico. Assim como seu pai, ele procurou ser conhecido por sua destreza como esportista e sua crueldade como guerreiro.</w:t>
      </w:r>
    </w:p>
    <w:p>
      <w:r/>
      <w:r>
        <w:t>Após o pouco conhecido reinado de Tutemés IV (1425–1412 a.C.), Amenófis III (1412–1375 a.C.) ascendeu ao trono do Egito. Frequentemente chamado de “o magnífico”, ele se deleitava com a riqueza que fluía do império. Certa vez, no breve período de apenas 14 dias, ele escavou para sua esposa um lago de 6.400 pés (1.950,6 metros) de comprimento e 1.200 pés (365,7 metros) de largura. Aqui, na margem oeste do Nilo em Tebas, uma barca real podia flutuar enquanto músicos a bordo proporcionavam entretenimento para o rei e a rainha. Amenófis construiu vários templos, incluindo um templo mortuário em Tebas, ao qual estavam anexados os famosos colossos de Mêmnon, estátuas sentadas do rei com cerca de 70 pés (21,3 metros) de altura. Embora os artistas o representassem fielmente como um grande conquistador nas paredes dos templos, ele parece ter sufocado apenas uma revolta na Núbia e provavelmente nunca pisou na Palestina ou na Síria.</w:t>
      </w:r>
    </w:p>
    <w:p>
      <w:r/>
      <w:r>
        <w:t>Assim como Amenhotep III não se esforçou para manter o império, seu filho Amenhotep IV (1387–1366 a.C.) também não o fez. Devido a problemas de saúde, Amenhotep III tornou seu filho corregente em 1387 a.C., mas o filho deu pouca atenção aos assuntos de estado. Com uma inclinação mística, ele se dedicou ao estabelecimento do culto ao deus sol Aton em uma nova capital chamada Amarna. A adoração a Aton era quase monoteísta (o rei sendo adorado junto com o deus) e, assim, constituiu uma verdadeira revolução religiosa, mas teve poucos adeptos fora da corte. Mudanças religiosas, mudanças políticas relacionadas à mudança da capital e mudanças artísticas foram três dos principais elementos da chamada “Revolução de Amarna”. O naturalismo solto na arte, quase beirando a caricatura, não era novo, pois já havia sido aceito desde o reinado de Tutmés IV. Amenhotep IV adotou o nome Akhnaton (“espírito de Aton”).</w:t>
      </w:r>
    </w:p>
    <w:p>
      <w:r/>
      <w:r>
        <w:t>Akhnaton não deu atenção a numerosos apelos (as cartas de Amarna) de príncipes reais da Palestina e Síria por ajuda para repelir invasores, e o império se desintegrou. A aceitação da data inicial do Êxodo colocaria a conquista hebraica e o subsequente processo de assentamento durante os reinados de Amenhotep III e IV, precisamente quando o poder egípcio sobre a Palestina desapareceu. No entanto, os Habiru, que alguns desses apelos nomeiam como atacantes, não devem ser identificados como hebreus. Muito do que é dito sobre eles não poderia ser verdade sobre os hebreus.</w:t>
      </w:r>
    </w:p>
    <w:p>
      <w:r/>
      <w:r>
        <w:t>Quando Amenhotep IV morreu, Tutancâmon (1366–1357 a.C.) subiu ao trono. Um jovem de oito ou nove anos, ele foi associado a Eye, um favorito de Akhenaton, como co-regente. Quando Tutancâmon morreu nove anos depois, Eye continuou a governar até 1353 a.C. Devido à descoberta de seu túmulo magnificamente mobiliado e não saqueado em 1922, Tutancâmon recebeu atenção desproporcional à sua importância na antiguidade. Os milhares de objetos de seu túmulo ilustram a riqueza, a grandeza e as realizações artísticas do antigo Egito e ajudam a demonstrar o que significava para Moisés virar as costas para as riquezas do Egito (</w:t>
      </w:r>
      <w:hyperlink r:id="rId7740">
        <w:r>
          <w:rPr>
            <w:color w:val="0000EE"/>
            <w:u w:val="single"/>
          </w:rPr>
          <w:t>Hb 11.26</w:t>
        </w:r>
      </w:hyperlink>
      <w:r>
        <w:t>).</w:t>
      </w:r>
    </w:p>
    <w:p>
      <w:r/>
      <w:r>
        <w:t>Quando Eye morreu, Harmhab, comandante-chefe do exército, assumiu o trono (1353–1319 a.C.). Ele reorganizou o estado e restabeleceu um governo forte. Sem filhos, Harmhab designou Ramsés I, comandante do exército e vizir, ou primeiro-ministro, como seu sucessor. Ramsés (1319–1318 a.C.) e Seti I (1318–1299 a.C.) fizeram tentativas valentes para restaurar o império asiático perdido por Akhnaton. Em conexão com seus esforços, a capital foi movida para Tânis no delta, de onde campanhas militares poderiam ser lançadas de forma mais eficaz.</w:t>
      </w:r>
    </w:p>
    <w:p>
      <w:r/>
      <w:r>
        <w:t>Ramsés II (1299–1232 a.C.) continuou os esforços para restaurar o controle egípcio na Palestina. No quinto ano de seu reinado, ele enfrentou os hititas na batalha de Kadesh no Orontes, na Síria, e quase viu suas forças serem destruídas. Subsequentemente, ele travou batalhas desde o sul da Palestina até o norte da Síria. Se os hebreus estavam na terra naquela época, como uma data inicial do Êxodo sugere, provavelmente nunca fizeram contato com os egípcios porque eram pastores e viticultores nas colinas da Palestina, enquanto Ramsés se movia ao longo da estrada costeira. Finalmente, em seu 21º ano de reinado, Ramsés fez um tratado de paz com os hititas e o manteve até o fim de sua vida. Ele construiu extensivamente por todo o Egito, notavelmente em sua capital, Tânis, em Tebas, em Abu Simbel (ao sul de Assuã) e em Mênfis. Muitos dos que aceitam uma data posterior para o Êxodo acreditam que ele foi o Faraó do êxodo.</w:t>
      </w:r>
    </w:p>
    <w:p>
      <w:r/>
      <w:r>
        <w:t>O 13º filho de Ramsés, Merneptá (1232–1222 a.C.), foi o único rei egípcio que afirmou ter derrotado os hebreus em batalha. No entanto, alguns estudiosos argumentam que ele nunca invadiu a Ásia e que essa declaração deve ser interpretada como uma reivindicação habitual de vitória sobre os oponentes do rei em terras vizinhas, independentemente de ele ter ou não os enfrentado em batalha.</w:t>
      </w:r>
    </w:p>
    <w:p>
      <w:r/>
      <w:r>
        <w:t>Ramsés III (1198–1164 a.C.) também enfrentou uma invasão líbia no delta durante o 5º e 11º anos de seu reinado, e no oitavo ano ele repeliu uma invasão dos Povos do Mar, entre os quais estavam os filisteus. Ele foi o último governante do período do império a manter postos avançados na Palestina e na Síria. Nos seus últimos anos, a economia egípcia deteriorou-se, e a inflação, juntamente com o colapso da capacidade do governo de pagar os salários públicos, trouxe grande sofrimento. Marchas de fome ocorreram.</w:t>
      </w:r>
    </w:p>
    <w:p>
      <w:r/>
      <w:r>
        <w:t>Durante os reinados de Ramsés IV a XI (1167–1085 a.C.), houve um declínio constante do estado. A corrupção e a inflação aumentaram. Durante o reinado de Ramsés IX (1138–1119 a.C.), tropas mercenárias não pagas parecem ter vagado como saqueadores no delta, e o roubo de tumbas atingiu proporções epidêmicas. Finalmente, Herihor, vice-rei da Núbia e comandante das forças militares no sul, tomou o controle do Alto Egito e se proclamou sumo sacerdote de Amon em Tebas. O império havia chegado ao fim.</w:t>
      </w:r>
    </w:p>
    <w:p>
      <w:pPr>
        <w:pStyle w:val="Heading4"/>
      </w:pPr>
      <w:r>
        <w:t>O período pós-império</w:t>
      </w:r>
    </w:p>
    <w:p>
      <w:r/>
      <w:r>
        <w:t>No período pós-império, o Egito ficou sob o domínio de reis líbios (945–712 a.C.) e reis etíopes (712–670 a.C.). Após um breve período de dominação assíria (670–663 a.C.), uma dinastia nativa se estabeleceu (663–525 a.C.). Em seguida, os persas conquistaram e mantiveram a terra até que Alexandre, o Grande, passou por lá em 331. Depois disso, os Ptolomeus governaram o Egito até a morte de Cleópatra em 30 a.C. Nesse ponto, os romanos assumiram o controle. Eles controlavam a terra quando Maria e José fugiram para lá após o nascimento de Jesus. Durante o período greco-romano, a cultura helenística dominou o Egito.</w:t>
      </w:r>
    </w:p>
    <w:p>
      <w:r/>
      <w:r>
        <w:t>Durante o período pós-império inicial, quando a cultura egípcia ainda era dominante, vários reis se destacaram na história bíblica. No quinto ano de Roboão, rei de Judá (provavelmente 926 a.C.), Sisaque I do Egito invadiu Judá e causou grande devastação lá (</w:t>
      </w:r>
      <w:hyperlink r:id="rId7120">
        <w:r>
          <w:rPr>
            <w:color w:val="0000EE"/>
            <w:u w:val="single"/>
          </w:rPr>
          <w:t>1Rs 14.25–26</w:t>
        </w:r>
      </w:hyperlink>
      <w:r>
        <w:t>). Ele até marchou para o território de Israel, como mostram descobertas arqueológicas. Por volta de 700 a.C., nos dias do Rei Ezequias e do profeta Isaías, Tiraca da Etiópia liderou um exército na Palestina para ajudar os judeus contra os assírios invasores (</w:t>
      </w:r>
      <w:hyperlink r:id="rId6227">
        <w:r>
          <w:rPr>
            <w:color w:val="0000EE"/>
            <w:u w:val="single"/>
          </w:rPr>
          <w:t>2Rs 19.9</w:t>
        </w:r>
      </w:hyperlink>
      <w:r>
        <w:t>). Perto do final do sétimo século a.C., o Faraó Neco liderou um exército através de Judá para ajudar a enfraquecida Assíria. Quando o Rei Josias tentou detê-lo, o monarca hebreu perdeu a vida (</w:t>
      </w:r>
      <w:hyperlink r:id="rId7741">
        <w:r>
          <w:rPr>
            <w:color w:val="0000EE"/>
            <w:u w:val="single"/>
          </w:rPr>
          <w:t>2Rs 23.28–30</w:t>
        </w:r>
      </w:hyperlink>
      <w:r>
        <w:t>). Durante os últimos dias do reino de Judá, enquanto Nabucodonosor sitiava Jerusalém (588–586 a.C.), o Faraó Hofra invadiu a Palestina em um esforço inútil para ajudar os hebreus e derrotar os babilônios. Jeremias previu a destruição dos egípcios (</w:t>
      </w:r>
      <w:hyperlink r:id="rId7742">
        <w:r>
          <w:rPr>
            <w:color w:val="0000EE"/>
            <w:u w:val="single"/>
          </w:rPr>
          <w:t>Jeremias 44.30</w:t>
        </w:r>
      </w:hyperlink>
      <w:r>
        <w:t>).</w:t>
      </w:r>
    </w:p>
    <w:p>
      <w:pPr>
        <w:pStyle w:val="Heading3"/>
      </w:pPr>
      <w:r>
        <w:t>Vida social</w:t>
      </w:r>
    </w:p>
    <w:p>
      <w:pPr>
        <w:pStyle w:val="Heading4"/>
      </w:pPr>
      <w:r>
        <w:t>Classes sociais</w:t>
      </w:r>
    </w:p>
    <w:p>
      <w:r/>
      <w:r>
        <w:t>Em teoria e na prática, o rei possuía todas as terras do Egito. Ele era considerado divino, e os deuses haviam lhe atribuído as escrituras de todas as terras. Claro, ele fazia doações—para os deuses, para o sustento dos templos, para seus apoiadores mais leais e para a manutenção de seu próprio culto de adoração após sua morte. Assim, grandes partes do reino escaparam de suas mãos, mas muito permaneceu como posse da coroa. Embora no início do Médio Reino os nobres possuíssem grandes extensões de terra, o rei conseguiu reduzir seu poder e recuperar uma quantidade considerável de terras. Durante o Império, o rei fez grandes doações aos templos, especialmente ao templo de Amon em Tebas. Essa generosidade aumentou o poder do sacerdócio às custas da coroa.</w:t>
      </w:r>
    </w:p>
    <w:p>
      <w:r/>
      <w:r>
        <w:t>À medida que quantidades crescentes de terra saíam do controle da coroa e a vida social e econômica se tornava mais complexa, desenvolveu-se uma estrutura de classes complicada. A principal divisão na sociedade egípcia era entre a elite educada e as massas não educadas, mas essa observação é muito simplista. No topo estavam a família real e os grandes nobres. Abaixo deles, havia um grupo de nobres menores e oficiais. Mais abaixo, existia uma classe de artesãos que servia ambas as classes superiores. Então, pelo menos durante o Império, havia agricultores que possuíam pequenos lotes que eles mesmos cultivavam. Na base da estrutura social estavam os servos livres e os escravos. A escravidão tornou-se comum apenas sob o Império, quando os escravos eram obtidos como prisioneiros de guerra, principalmente na Palestina e Síria ao norte e Núbia ao sul. Alguns escravos encontraram seu caminho para o serviço doméstico nos palácios e nas grandes propriedades, mas a maioria trabalhava na terra e alguns serviam nas minas. A escravidão nunca foi tão importante no Egito quanto em outros países do Oriente Próximo.</w:t>
      </w:r>
    </w:p>
    <w:p>
      <w:pPr>
        <w:pStyle w:val="Heading4"/>
      </w:pPr>
      <w:r>
        <w:t>Vida em família</w:t>
      </w:r>
    </w:p>
    <w:p>
      <w:r/>
      <w:r>
        <w:t>Os egípcios aparentemente se casavam na adolescência. As crianças eram desmamadas aos três anos. Os meninos eram circuncidados entre 6 e 12 anos. Embora a educação fosse destinada aos meninos das classes altas, as meninas—especialmente das famílias reais—frequentemente recebiam alguma educação formal. As mulheres egípcias evidentemente desfrutavam de muito mais liberdade e prestígio do que as mulheres de outros países do Oriente Próximo. Elas circulavam com bastante liberdade; acompanhavam seus maridos na condução de negócios e até em eventos sociais. A família podia até acompanhar o marido e pai em um passeio quando ele ia pescar ou caçar, embora não participassem da ação. Os egípcios normalmente não eram monogâmicos, e o tamanho do harém era ditado por considerações econômicas. Mas o status da esposa principal era protegido, e seu primeiro filho era o herdeiro do marido. As profissões abertas às mulheres incluíam o sacerdócio, a obstetrícia, o luto, a dança e talvez a atividade de escriba (havia uma palavra feminina para escriba).</w:t>
      </w:r>
    </w:p>
    <w:p>
      <w:r/>
      <w:r>
        <w:t>Os móveis eram escassos em uma casa egípcia. Camas, cadeiras, bancos, escabelos e suportes para jarros de água parecem ter sido os principais itens. Mesas de jantar não eram usadas; havia suportes nos quais bandejas de comida podiam ser colocadas. Os pobres simplesmente se sentavam no chão, dormiam em esteiras no chão e espalhavam suas refeições no chão.</w:t>
      </w:r>
    </w:p>
    <w:p>
      <w:r/>
      <w:r>
        <w:t>As casas eram normalmente construídas de tijolos de barro. As dos ricos estavam situadas em meio a jardins e frequentemente tinham piscinas decorativas. Os cômodos podiam ser pintados por dentro e até decorados com afrescos. Os telhados eram planos e forneciam um segundo espaço nos meses mais quentes. As casas às vezes tinham um segundo andar. Embora restos de duas ou três aldeias de trabalhadores em projetos governamentais tenham sido encontrados, praticamente nada se sabe sobre o layout ou o tamanho das importantes cidades do antigo Egito.</w:t>
      </w:r>
    </w:p>
    <w:p>
      <w:pPr>
        <w:pStyle w:val="Heading4"/>
      </w:pPr>
      <w:r>
        <w:t>Roupa</w:t>
      </w:r>
    </w:p>
    <w:p>
      <w:r/>
      <w:r>
        <w:t>As mulheres usavam longas vestes de linho que se estendiam das axilas até os tornozelos e eram sustentadas por alças sobre os ombros. Durante o período do Império, a saia era mais cheia e plissada. Os homens usavam tangas presas com um cinto que se estendiam até o joelho. As classes altas frequentemente usavam-nas plissadas na frente. Durante o Médio Império e a parte final do Império, a tanga foi estendida até a metade da panturrilha, e os homens às vezes também usavam uma túnica de mangas curtas. Como resultado da influência asiática, os egípcios das classes altas frequentemente usavam roupas coloridas durante o Império, em vez do branco predominante de outros períodos.</w:t>
      </w:r>
    </w:p>
    <w:p>
      <w:r/>
      <w:r>
        <w:t>Os homens eram barbeados, mas o rei e alguns altos funcionários usavam barbas postiças para fins cerimoniais. Tanto homens quanto mulheres usavam perucas, e ambos aplicavam pintura nos olhos para fins medicinais e decorativos. As mulheres usavam batom e aplicavam henna nas unhas, nas palmas das mãos e nas solas dos pés. Homens e mulheres das classes altas usavam uma variedade de joias. Pessoas de todas as classes aplicavam óleos e gorduras na pele para se protegerem do clima quente e seco. O uso de perfume também era universal.</w:t>
      </w:r>
    </w:p>
    <w:p>
      <w:pPr>
        <w:pStyle w:val="Heading4"/>
      </w:pPr>
      <w:r>
        <w:t>Entretenimento</w:t>
      </w:r>
    </w:p>
    <w:p>
      <w:r/>
      <w:r>
        <w:t>No antigo Egito, não havia jogos organizados. Os esportistas saíam sozinhos ou com suas famílias. Eles podiam caçar no deserto com arcos, flechas e cães, pescar, tentar derrubar pássaros com um bumerangue em um pântano ou conduzir uma carruagem. Meninos e jovens, especialmente entre os camponeses, gostavam de lutar. Os soldados participavam de danças de guerra, que eram uma forma de exercício físico. Um jogo semelhante às damas era o principal passatempo interno de homens e mulheres.</w:t>
      </w:r>
    </w:p>
    <w:p>
      <w:pPr>
        <w:pStyle w:val="Heading4"/>
      </w:pPr>
      <w:r>
        <w:t>Lei e punição</w:t>
      </w:r>
    </w:p>
    <w:p>
      <w:r/>
      <w:r>
        <w:t>O rei era visto como a fonte de toda a lei, e aparentemente não havia um código escrito ao qual todos pudessem recorrer. Os tribunais seguiam precedentes estabelecidos em casos passados, e periodicamente o rei modificava o sistema legal por meio de novos decretos. O procedimento nos tribunais envolvia a administração de um juramento para dizer a verdade, discursos do acusador e do acusado, julgamento do tribunal e anotações por um registrador do tribunal. Em alguns casos, a tortura era usada para obter uma confissão.</w:t>
      </w:r>
    </w:p>
    <w:p>
      <w:r/>
      <w:r>
        <w:t>Traição, assassinato e perjúrio estavam entre os crimes capitais. Este último era tão sério porque o juramento no tribunal era feito “pela vida do Faraó”; assim, jurar falsamente significava uma ofensa ao rei. Outros crimes graves eram puníveis com mutilação (corte do nariz ou orelhas) ou trabalho forçado nas minas e pedreiras (uma morte em vida). Uma pessoa condenada por roubo poderia ser sentenciada a devolver o dobro ou triplo do que havia tomado. A surra era a punição usual para delitos menores. Durante o Império, o Egito tinha uma espécie de força policial com um contingente em cada cidade.</w:t>
      </w:r>
    </w:p>
    <w:p>
      <w:pPr>
        <w:pStyle w:val="Heading3"/>
      </w:pPr>
      <w:r>
        <w:t>Religião</w:t>
      </w:r>
    </w:p>
    <w:p>
      <w:r/>
      <w:r>
        <w:t>Toda a vida egípcia estava ligada a considerações religiosas. Sendo o "presente do Nilo", o Egito adorava o grande rio como Hapi. O sol, que dava vida a todas as coisas, era deificado sob nomes como Amon-Re e Aton. O rei era considerado descendente dos deuses e, de certa forma, era um deus encarnado. As 10 pragas nos dias de Moisés foram um ataque aos deuses dos egípcios. Transformar o Nilo em sangue, trazer intensa escuridão sobre a terra e ferir o primogênito do divino Faraó envolvia um descrédito aos deuses egípcios, assim como as outras pragas de várias maneiras.</w:t>
      </w:r>
    </w:p>
    <w:p>
      <w:r/>
      <w:r>
        <w:t>A maior preocupação de todos os indivíduos era a imortalidade e a bênção dos deuses na próxima vida. Os egípcios não eram mórbidos no sentido de estarem obcecados com a morte; eles buscavam projetar ou continuar o máximo possível dos aspectos agradáveis desta vida na vida futura.</w:t>
      </w:r>
    </w:p>
    <w:p>
      <w:r/>
      <w:r>
        <w:t>Os antigos egípcios, ao contrário dos povos ocidentais modernos, não tinham o conceito de um mundo inanimado. Todos os fenômenos naturais eram personificados e agiam como seres amigáveis ou hostis sempre que afetavam a atividade humana. Os deuses eram vistos como patronos de várias atividades ou funções. Assim, Bes, um anão de pernas arqueadas, era o patrono da música e da concepção, e a deusa Taurt (uma combinação de hipopótamo, leoa e crocodilo) estava associada ao parto. Amuletos de ambos eram feitos em abundância, e esses dois parecem ter sido mais amplamente considerados entre as massas do que os deuses principais do Egito.</w:t>
      </w:r>
    </w:p>
    <w:p>
      <w:r/>
      <w:r>
        <w:t>O mais importante de todos os deuses era Re, ou Rá, o deus do sol. O Faraó era seu filho físico e encarnação terrena. Quando ele morria, reunia-se com seu pai divino no céu. Re gerou o deus Shu, personificação do ar, e a deusa Tefnut, personificação da umidade. Estes deram à luz dois filhos, Geb, o deus da terra, e Nut, a deusa do céu. As lendas apresentam diferentes histórias de como a humanidade surgiu. Uma lenda diz que Re os gerou com suas lágrimas; outra diz que Khnum os formou em sua roda de oleiro. Durante o Império, o deus de Tebas, Amon, foi identificado com Re, e o deus do sol passou a ser conhecido como Amon-Re. A Grande tríade de Tebas era Amon, sua consorte Mut, e seu filho Khonsu (o deus da lua).</w:t>
      </w:r>
    </w:p>
    <w:p>
      <w:r/>
      <w:r>
        <w:t>Rivalizando com Amon-Ré em importância estava Osíris, deus (rei) dos mortos. A lenda diz que o benevolente governante Osíris foi assassinado por seu irmão e trazido de volta à vida por sua esposa, Ísis, através de vários dispositivos mágicos; depois disso, ele governou no oeste como rei dos mortos abençoados. Eventualmente, a experiência de Osíris tornou-se a de todo ser humano. Através de fórmulas mágicas do tipo usado por Ísis, o indivíduo poderia chegar a Osíris e até mesmo, de certa forma, tornar-se Osíris. Além do conhecimento e da pronúncia de tais fórmulas, o indivíduo tinha que comparecer a um julgamento para a pesagem de seu coração na balança da retidão. Se declarado inocente de transgressões, ele tinha permissão para entrar no reino de Osíris e desfrutar de um além abençoado.</w:t>
      </w:r>
    </w:p>
    <w:p>
      <w:r/>
      <w:r>
        <w:t>Algumas dessas noções sobre a passagem para a próxima vida começaram a aparecer nas paredes das tumbas das pirâmides no Antigo Reino (“textos das pirâmides”). Durante o Médio Reino, foram registradas em caixões (“textos dos caixões”). Durante o Império, foram compiladas como o “Livro dos Mortos”. Partes continuaram a ser inscritas nas paredes das tumbas do período do Império até cerca de 300 d.C.</w:t>
      </w:r>
    </w:p>
    <w:p>
      <w:pPr>
        <w:pStyle w:val="Heading3"/>
      </w:pPr>
      <w:r>
        <w:t>Aprendizado e cultura</w:t>
      </w:r>
    </w:p>
    <w:p>
      <w:pPr>
        <w:pStyle w:val="Heading4"/>
      </w:pPr>
      <w:r>
        <w:t>Linguagem e escrita</w:t>
      </w:r>
    </w:p>
    <w:p>
      <w:r/>
      <w:r>
        <w:t>O egípcio antigo estava relacionado tanto com as línguas semíticas quanto com as línguas hamíticas. Por volta de 311 a.C., tanto os hieróglifos (caracteres pictóricos usados em inscrições e escrita mais formal) quanto o hierático (uma escrita mais cursiva) estavam em uso. Os hieróglifos podem representar uma letra, uma sílaba, um som, uma palavra ou uma ideia. François Champollion decifrou os hieróglifos em 1822, principalmente com a ajuda da Pedra de Roseta. Por volta de 700 a.C., surgiu uma escrita mais rápida chamada demótico, que continuou a ser usada até os primeiros tempos cristãos. Posteriormente, o copta, a língua egípcia antiga, passou a ser escrita em um alfabeto grego com algumas letras extras.</w:t>
      </w:r>
    </w:p>
    <w:p>
      <w:pPr>
        <w:pStyle w:val="Heading4"/>
      </w:pPr>
      <w:r>
        <w:t>Educação</w:t>
      </w:r>
    </w:p>
    <w:p>
      <w:r/>
      <w:r>
        <w:t>A educação egípcia, disponível quase exclusivamente para meninos da classe alta, foi projetada para fornecer pessoal treinado para o sacerdócio, cargos governamentais ou profissões. Poucos tinham a oportunidade de obter qualquer educação. Os meninos começavam seu treinamento em idade precoce, geralmente por volta dos quatro anos. As aulas começavam cedo pela manhã e normalmente terminavam por volta do meio-dia, para evitar o calor do dia. Leitura, escrita e aritmética eram o currículo padrão. Boa caligrafia e a capacidade de compor cartas eram essenciais para todos os líderes na sociedade. A eloquência também era valorizada. O aprendizado por imitação era alcançado através da cópia de amostras de caligrafia e cartas modelo. Pedaços de pedra e cacos de cerâmica forneciam tábuas de escrita baratas, com o papiro sendo reservado para rascunhos finais de composições importantes. O conhecimento de aritmética era especialmente importante para trabalhadores em escritórios governamentais onde os impostos eram coletados em espécie.</w:t>
      </w:r>
    </w:p>
    <w:p>
      <w:r/>
      <w:r>
        <w:t>A forma mais elevada de educação era o treinamento sacerdotal, e um príncipe poderia se matricular em uma escola para sacerdotes. No entanto, frequentemente ele era educado por tutores em aulas realizadas no palácio. Tais aulas eram normalmente destinadas a crianças do harém; princesas e crianças que não eram da realeza também poderiam frequentá-las.</w:t>
      </w:r>
    </w:p>
    <w:p>
      <w:r/>
      <w:r>
        <w:t>Após a escola primária, um menino pode frequentar uma "Casa da Vida", uma espécie de academia ou faculdade sênior. Lá, pessoas notáveis podiam fazer exposições sobre uma variedade de assuntos (incluindo medicina). Presumivelmente semelhante à academia de Platão em Atenas, tais "Casas" não tinham um currículo prescrito ou exames regulares. Elas estavam equipadas com bibliotecas.</w:t>
      </w:r>
    </w:p>
    <w:p>
      <w:pPr>
        <w:pStyle w:val="Heading4"/>
      </w:pPr>
      <w:r>
        <w:t>Ciência</w:t>
      </w:r>
    </w:p>
    <w:p>
      <w:r/>
      <w:r>
        <w:t>Os antigos egípcios se destacaram em matemática aplicada, astronomia e medicina. A inundação anual do Nilo exigia um desenvolvimento precoce da capacidade de reavaliar rapidamente a terra após as águas recuarem. Habilidades de engenharia eram necessárias para produzir o sistema de irrigação do qual toda a vida egípcia dependia. Além disso, seus projetos de construção em massa necessitavam de conhecimento em matemática. Os egípcios podiam somar e subtrair, mas tinham procedimentos complicados para multiplicação e divisão. Eles podiam calcular a área de um quadrado, um triângulo, um retângulo e um círculo e realizar exercícios simples em geometria. Acredita-se que a experiência, em vez da capacidade de raciocínio matemático, foi responsável pela maioria de seus sucessos matemáticos. Eles entendiam que o calendário devia ter 365¼ dias e dividiam o ano em 12 meses e os meses em três semanas de 10 dias. Já em 2000 a.C., eles haviam inventado um relógio de água adequado.</w:t>
      </w:r>
    </w:p>
    <w:p>
      <w:r/>
      <w:r>
        <w:t>Com sua prática elaborada de embalsamamento, esperava-se que seu conhecimento de anatomia fosse superior. Eles distinguiam entre lesões e doenças e realizavam algumas cirurgias incríveis. O tratamento era, no entanto, uma curiosa combinação de esforços científicos e supersticiosos. Os cientistas egípcios, com uma motivação prática em vez de teórica, acumularam uma vasta coleção de fatos sobre astronomia, química, geografia, medicina, cirurgia, matemática e história natural.</w:t>
      </w:r>
    </w:p>
    <w:p>
      <w:pPr>
        <w:pStyle w:val="Heading4"/>
      </w:pPr>
      <w:r>
        <w:t>Arquitetura</w:t>
      </w:r>
    </w:p>
    <w:p>
      <w:r/>
      <w:r>
        <w:t>À medida que os antigos egípcios construíam seus grandes templos, estavam mais preocupados com a estabilidade e qualidades duradouras. Eles foram feitos para durar para sempre. Assim, foram construídos de pedra (comumente calcário ou arenito) e cobertos com grandes lajes de pedra apoiadas em colunas maciças. Os capitéis geralmente eram desenhados com motivos de lótus, papiro ou folha de palmeira. Grandes estátuas de um rei eram colocadas dentro desses templos; como mera decoração arquitetônica, essas esculturas parecem rígidas e formais. A luz entrava no templo através de janelas nas laterais do salão central elevado; os corredores laterais eram mais baixos. Embora os telhados desses templos fossem planos, os egípcios sabiam como construir um arco redondo pelo menos desde 2700 a.C. O maior dos templos remanescentes é o templo de Karnak em Luxor. O salão hipostilo lá, construído por Ramsés II, possui uma floresta de 134 colunas de arenito, cuja avenida central tem 12 colunas que se elevam a uma altura de 70 pés (21,3 metros), as colunas mais altas do mundo antigo.</w:t>
      </w:r>
    </w:p>
    <w:p>
      <w:r/>
      <w:r>
        <w:t>Os faraós do Antigo Reino construíram grandes pirâmides como locais de sepultamento ao longo da margem oeste do Nilo, ao sul de Mênfis. Os faraós do Médio Reino construíram pirâmides menores na área de Fayum. Durante o período do Império, eles esculpiram tumbas nas falésias a oeste de Tebas. Os faraós, como seres divinos, cobriram as paredes de suas tumbas em Tebas com cenas religiosas. Os nobres decoraram suas tumbas com cenas da vida cotidiana — uma vida que desejavam perpetuar além do túmulo.</w:t>
      </w:r>
    </w:p>
    <w:p>
      <w:r/>
      <w:r>
        <w:t>As casas foram construídas com tijolos secos ao sol; algumas ainda permanecem em Amarna e em alguns acampamentos de trabalhadores abandonados.</w:t>
      </w:r>
    </w:p>
    <w:p>
      <w:pPr>
        <w:pStyle w:val="Heading4"/>
      </w:pPr>
      <w:r>
        <w:t>Música</w:t>
      </w:r>
    </w:p>
    <w:p>
      <w:r/>
      <w:r>
        <w:t xml:space="preserve">Tudo o que se sabe sobre a música egípcia deve ser extraído de instrumentos musicais encontrados em tumbas ou representações de instrumentos musicais pintados nas paredes das tumbas. Três instrumentos usados em cerimônias religiosas eram o sistro, o tamborim e as castanholas. O sistro era um aro de metal preso a um cabo. Buracos eram feitos nas laterais do aro para que três hastes de metal pudessem ser presas frouxamente nele. Quando o sistro era agitado, as hastes chocalhavam. Este é o instrumento referido em </w:t>
      </w:r>
      <w:hyperlink r:id="rId4905">
        <w:r>
          <w:rPr>
            <w:color w:val="0000EE"/>
            <w:u w:val="single"/>
          </w:rPr>
          <w:t>2 Samuel 6.5</w:t>
        </w:r>
      </w:hyperlink>
      <w:r>
        <w:t>. Miriã usou o pandeiro egípcio, ou tamborim, na celebração após atravessar o Mar Vermelho (</w:t>
      </w:r>
      <w:hyperlink r:id="rId6637">
        <w:r>
          <w:rPr>
            <w:color w:val="0000EE"/>
            <w:u w:val="single"/>
          </w:rPr>
          <w:t>Êx 15.20</w:t>
        </w:r>
      </w:hyperlink>
      <w:r>
        <w:t>).</w:t>
      </w:r>
    </w:p>
    <w:p>
      <w:r/>
      <w:r>
        <w:t>Os instrumentos de cordas no antigo Egito incluíam a harpa, a lira, o alaúde e um tipo de guitarra. Os instrumentos de sopro incluíam a flauta simples e dupla, além da trombeta, que aparentemente era usada apenas para fins militares. Inicialmente, os instrumentos eram usados individualmente para acompanhar um cantor ou dançarino. Orquestras existiam durante o período do Império, quando Israel escapou da escravidão egípcia.</w:t>
      </w:r>
    </w:p>
    <w:p>
      <w:r/>
      <w:r>
        <w:rPr>
          <w:i/>
        </w:rPr>
        <w:t>Veja também</w:t>
      </w:r>
      <w:r>
        <w:t xml:space="preserve"> </w:t>
      </w:r>
      <w:r>
        <w:t>Êxodo, O</w:t>
      </w:r>
      <w:r>
        <w:t xml:space="preserve">; </w:t>
      </w:r>
      <w:r>
        <w:t>Faraó</w:t>
      </w:r>
      <w:r>
        <w:t xml:space="preserve">; </w:t>
      </w:r>
      <w:r>
        <w:t>Pragas no Egito</w:t>
      </w:r>
      <w:r>
        <w:t>.</w:t>
      </w:r>
      <w:r/>
      <w:r/>
    </w:p>
    <w:p>
      <w:r/>
    </w:p>
    <w:p>
      <w:pPr>
        <w:pStyle w:val="Heading2"/>
      </w:pPr>
      <w:r>
        <w:t>Eí</w:t>
      </w:r>
      <w:r/>
    </w:p>
    <w:p>
      <w:r/>
      <w:r>
        <w:t>Filho de Benjamim (</w:t>
      </w:r>
      <w:hyperlink r:id="rId661">
        <w:r>
          <w:rPr>
            <w:color w:val="0000EE"/>
            <w:u w:val="single"/>
          </w:rPr>
          <w:t>Gn 46.21</w:t>
        </w:r>
      </w:hyperlink>
      <w:r>
        <w:t xml:space="preserve">); talvez um erro de escrita para Airão. </w:t>
      </w:r>
      <w:r>
        <w:rPr>
          <w:i/>
        </w:rPr>
        <w:t>Veja também</w:t>
      </w:r>
      <w:r>
        <w:t xml:space="preserve"> </w:t>
      </w:r>
      <w:r>
        <w:t>Airão, Airamita</w:t>
      </w:r>
      <w:r>
        <w:t>.</w:t>
      </w:r>
      <w:r/>
      <w:r/>
    </w:p>
    <w:p>
      <w:r/>
    </w:p>
    <w:p>
      <w:pPr>
        <w:pStyle w:val="Heading2"/>
      </w:pPr>
      <w:r>
        <w:t>El</w:t>
      </w:r>
      <w:r/>
    </w:p>
    <w:p>
      <w:r/>
      <w:r>
        <w:t xml:space="preserve">Nome semítico antigo para divindade, possivelmente significando "poder" (cp. </w:t>
      </w:r>
      <w:hyperlink r:id="rId795">
        <w:r>
          <w:rPr>
            <w:color w:val="0000EE"/>
            <w:u w:val="single"/>
          </w:rPr>
          <w:t>Gn 17.1</w:t>
        </w:r>
      </w:hyperlink>
      <w:r>
        <w:t>). Um termo usado pelos hebreus geralmente em um sentido poético para se referir ao verdadeiro Deus de Israel. A mesma palavra era usada para o deus cananeu sênior e o deus na mitologia ugarítica, [ligado à antiga cidade de Ugarit]. O "Il" ou "El" da mitologia cananeia antiga (antes de 3500 a.C. na região da Síria) não era tão ativo quanto o deus Baal. Baal lutou com a Morte e triunfou sobre o Caos. [Morte e Caos frequentemente representam forças cósmicas poderosas na mitologia].</w:t>
      </w:r>
    </w:p>
    <w:p>
      <w:r/>
      <w:r>
        <w:t>Mas Il era o deus pai do panteão dos cananeus, [o grupo coletivo de deuses adorados pelos cananeus]. Alguns estudiosos do Antigo Testamento sugeriram que os hebreus adotaram os deuses do clã dos cananeus, incluindo Il. No entanto, a literatura fenícia e ugarítica usa Il na forma feminina para os nomes das deusas. O hebraico evita esse uso.</w:t>
      </w:r>
    </w:p>
    <w:p>
      <w:r/>
      <w:r>
        <w:t>El é combinado com outros adjetivos para descrever os numerosos atributos de Deus; por exemplo, Deus Altíssimo (</w:t>
      </w:r>
      <w:hyperlink r:id="rId7743">
        <w:r>
          <w:rPr>
            <w:color w:val="0000EE"/>
            <w:u w:val="single"/>
          </w:rPr>
          <w:t>Gn 14.18–24</w:t>
        </w:r>
      </w:hyperlink>
      <w:r>
        <w:t>), o Deus que vê (</w:t>
      </w:r>
      <w:hyperlink r:id="rId7744">
        <w:r>
          <w:rPr>
            <w:color w:val="0000EE"/>
            <w:u w:val="single"/>
          </w:rPr>
          <w:t>16.13</w:t>
        </w:r>
      </w:hyperlink>
      <w:r>
        <w:t>), o Deus zeloso (</w:t>
      </w:r>
      <w:hyperlink r:id="rId7441">
        <w:r>
          <w:rPr>
            <w:color w:val="0000EE"/>
            <w:u w:val="single"/>
          </w:rPr>
          <w:t>Êx 20.5</w:t>
        </w:r>
      </w:hyperlink>
      <w:r>
        <w:t>), o Deus perdoador (</w:t>
      </w:r>
      <w:hyperlink r:id="rId6796">
        <w:r>
          <w:rPr>
            <w:color w:val="0000EE"/>
            <w:u w:val="single"/>
          </w:rPr>
          <w:t>Ne 9.17</w:t>
        </w:r>
      </w:hyperlink>
      <w:r>
        <w:t xml:space="preserve">), e o Deus gracioso (versículo </w:t>
      </w:r>
      <w:hyperlink r:id="rId7745">
        <w:r>
          <w:rPr>
            <w:color w:val="0000EE"/>
            <w:u w:val="single"/>
          </w:rPr>
          <w:t>31</w:t>
        </w:r>
      </w:hyperlink>
      <w:r>
        <w:t>).</w:t>
      </w:r>
    </w:p>
    <w:p>
      <w:r/>
      <w:r>
        <w:rPr>
          <w:i/>
        </w:rPr>
        <w:t>Veja também</w:t>
      </w:r>
      <w:r>
        <w:t xml:space="preserve"> </w:t>
      </w:r>
      <w:r>
        <w:t>Deidades e religião cananeia</w:t>
      </w:r>
      <w:r>
        <w:t xml:space="preserve">; </w:t>
      </w:r>
      <w:r>
        <w:t>Deus, Nomes de</w:t>
      </w:r>
      <w:r>
        <w:t>.</w:t>
      </w:r>
      <w:r/>
      <w:r/>
    </w:p>
    <w:p>
      <w:r/>
    </w:p>
    <w:p>
      <w:pPr>
        <w:pStyle w:val="Heading2"/>
      </w:pPr>
      <w:r>
        <w:t>El Shaddai</w:t>
      </w:r>
      <w:r/>
    </w:p>
    <w:p>
      <w:r/>
      <w:r>
        <w:t>Termo hebraico para “Deus Todo-poderoso” (</w:t>
      </w:r>
      <w:hyperlink r:id="rId7746">
        <w:r>
          <w:rPr>
            <w:color w:val="0000EE"/>
            <w:u w:val="single"/>
          </w:rPr>
          <w:t>Sl 68.14</w:t>
        </w:r>
      </w:hyperlink>
      <w:r>
        <w:t xml:space="preserve">). </w:t>
      </w:r>
      <w:r>
        <w:rPr>
          <w:i/>
        </w:rPr>
        <w:t>Veja</w:t>
      </w:r>
      <w:r>
        <w:t xml:space="preserve"> </w:t>
      </w:r>
      <w:r>
        <w:t>Deus, Nomes de</w:t>
      </w:r>
      <w:r>
        <w:t>.</w:t>
      </w:r>
      <w:r/>
      <w:r/>
    </w:p>
    <w:p>
      <w:r/>
    </w:p>
    <w:p>
      <w:pPr>
        <w:pStyle w:val="Heading2"/>
      </w:pPr>
      <w:r>
        <w:t>Elá</w:t>
      </w:r>
      <w:r/>
    </w:p>
    <w:p>
      <w:r/>
      <w:r>
        <w:t>1. Descendente de Esaú e um chefe de Edom (</w:t>
      </w:r>
      <w:hyperlink r:id="rId7747">
        <w:r>
          <w:rPr>
            <w:color w:val="0000EE"/>
            <w:u w:val="single"/>
          </w:rPr>
          <w:t>Gn 36.41</w:t>
        </w:r>
      </w:hyperlink>
      <w:r>
        <w:t xml:space="preserve">; </w:t>
      </w:r>
      <w:hyperlink r:id="rId7748">
        <w:r>
          <w:rPr>
            <w:color w:val="0000EE"/>
            <w:u w:val="single"/>
          </w:rPr>
          <w:t>1Cr 1.52</w:t>
        </w:r>
      </w:hyperlink>
      <w:r>
        <w:t>);</w:t>
      </w:r>
    </w:p>
    <w:p>
      <w:r/>
      <w:r>
        <w:t xml:space="preserve">2. Tradução NTLH de Elá, pai de Simei, em </w:t>
      </w:r>
      <w:hyperlink r:id="rId3417">
        <w:r>
          <w:rPr>
            <w:color w:val="0000EE"/>
            <w:u w:val="single"/>
          </w:rPr>
          <w:t>1Rs 4.18</w:t>
        </w:r>
      </w:hyperlink>
      <w:r>
        <w:t xml:space="preserve">. </w:t>
      </w:r>
      <w:r>
        <w:rPr>
          <w:i/>
        </w:rPr>
        <w:t>Veja também</w:t>
      </w:r>
      <w:r>
        <w:t xml:space="preserve"> </w:t>
      </w:r>
      <w:r>
        <w:t>Elá;</w:t>
      </w:r>
    </w:p>
    <w:p>
      <w:r/>
      <w:r>
        <w:t>3. Filho de Baasa e quarto rei de Israel. Elá reinou por apenas dois anos (886–885 a.C.). Enquanto estava embriagado, foi assassinado por um de seus generais (</w:t>
      </w:r>
      <w:hyperlink r:id="rId7749">
        <w:r>
          <w:rPr>
            <w:color w:val="0000EE"/>
            <w:u w:val="single"/>
          </w:rPr>
          <w:t>1Rs 16.8–14</w:t>
        </w:r>
      </w:hyperlink>
      <w:r>
        <w:t>);</w:t>
      </w:r>
    </w:p>
    <w:p>
      <w:r/>
      <w:r>
        <w:t>4. Pai de Oseias, o último rei do reino do norte de Israel (</w:t>
      </w:r>
      <w:hyperlink r:id="rId7750">
        <w:r>
          <w:rPr>
            <w:color w:val="0000EE"/>
            <w:u w:val="single"/>
          </w:rPr>
          <w:t>2Rs 15.30</w:t>
        </w:r>
      </w:hyperlink>
      <w:r>
        <w:t xml:space="preserve">; </w:t>
      </w:r>
      <w:hyperlink r:id="rId7751">
        <w:r>
          <w:rPr>
            <w:color w:val="0000EE"/>
            <w:u w:val="single"/>
          </w:rPr>
          <w:t>17.1</w:t>
        </w:r>
      </w:hyperlink>
      <w:r>
        <w:t xml:space="preserve">; </w:t>
      </w:r>
      <w:hyperlink r:id="rId7752">
        <w:r>
          <w:rPr>
            <w:color w:val="0000EE"/>
            <w:u w:val="single"/>
          </w:rPr>
          <w:t>18.1,9</w:t>
        </w:r>
      </w:hyperlink>
      <w:r>
        <w:t>);</w:t>
      </w:r>
    </w:p>
    <w:p>
      <w:r/>
      <w:r>
        <w:t>5. Segundo filho de Calebe e pai de Quenaz (</w:t>
      </w:r>
      <w:hyperlink r:id="rId7753">
        <w:r>
          <w:rPr>
            <w:color w:val="0000EE"/>
            <w:u w:val="single"/>
          </w:rPr>
          <w:t>1Cr 4.15</w:t>
        </w:r>
      </w:hyperlink>
      <w:r>
        <w:t>);</w:t>
      </w:r>
    </w:p>
    <w:p>
      <w:r/>
      <w:r>
        <w:t>6. Filho de Uzi, descendente de Benjamim (</w:t>
      </w:r>
      <w:hyperlink r:id="rId7754">
        <w:r>
          <w:rPr>
            <w:color w:val="0000EE"/>
            <w:u w:val="single"/>
          </w:rPr>
          <w:t>1Cr 9.8</w:t>
        </w:r>
      </w:hyperlink>
      <w:r>
        <w:t xml:space="preserve">). Elá estava entre os primeiros a se reinstalar em Jerusalém após o exílio babilônico. Ele não é mencionado na lista paralela de </w:t>
      </w:r>
      <w:hyperlink r:id="rId7755">
        <w:r>
          <w:rPr>
            <w:color w:val="0000EE"/>
            <w:u w:val="single"/>
          </w:rPr>
          <w:t>Neemias 11</w:t>
        </w:r>
      </w:hyperlink>
      <w:r>
        <w:t>.</w:t>
      </w:r>
      <w:r/>
      <w:r/>
    </w:p>
    <w:p>
      <w:r/>
    </w:p>
    <w:p>
      <w:pPr>
        <w:pStyle w:val="Heading2"/>
      </w:pPr>
      <w:r>
        <w:t>Elam (Pessoa)</w:t>
      </w:r>
      <w:r/>
    </w:p>
    <w:p>
      <w:r/>
      <w:r>
        <w:t>1. Primogênito de Sem e neto de Noé (</w:t>
      </w:r>
      <w:hyperlink r:id="rId2789">
        <w:r>
          <w:rPr>
            <w:color w:val="0000EE"/>
            <w:u w:val="single"/>
          </w:rPr>
          <w:t>Gn 10.22</w:t>
        </w:r>
      </w:hyperlink>
      <w:r>
        <w:t xml:space="preserve">; </w:t>
      </w:r>
      <w:hyperlink r:id="rId2311">
        <w:r>
          <w:rPr>
            <w:color w:val="0000EE"/>
            <w:u w:val="single"/>
          </w:rPr>
          <w:t>1Cr 1.17</w:t>
        </w:r>
      </w:hyperlink>
      <w:r>
        <w:t>).</w:t>
      </w:r>
    </w:p>
    <w:p>
      <w:r/>
      <w:r>
        <w:t>2. Benjamita e filho de Sasaque (</w:t>
      </w:r>
      <w:hyperlink r:id="rId7756">
        <w:r>
          <w:rPr>
            <w:color w:val="0000EE"/>
            <w:u w:val="single"/>
          </w:rPr>
          <w:t>1Cr 8.24</w:t>
        </w:r>
      </w:hyperlink>
      <w:r>
        <w:t>).</w:t>
      </w:r>
    </w:p>
    <w:p>
      <w:r/>
      <w:r>
        <w:t>3. Levita coraita e o quinto filho de Coré da casa de Asafe (</w:t>
      </w:r>
      <w:hyperlink r:id="rId7757">
        <w:r>
          <w:rPr>
            <w:color w:val="0000EE"/>
            <w:u w:val="single"/>
          </w:rPr>
          <w:t>1Cr 26.3</w:t>
        </w:r>
      </w:hyperlink>
      <w:r>
        <w:t>).</w:t>
      </w:r>
    </w:p>
    <w:p>
      <w:r/>
      <w:r>
        <w:t>4. Antepassado de 1.254 descendentes que retornaram com Zorobabel a Judá após o exílio (</w:t>
      </w:r>
      <w:hyperlink r:id="rId7758">
        <w:r>
          <w:rPr>
            <w:color w:val="0000EE"/>
            <w:u w:val="single"/>
          </w:rPr>
          <w:t>Ed 2.7</w:t>
        </w:r>
      </w:hyperlink>
      <w:r>
        <w:t xml:space="preserve">; </w:t>
      </w:r>
      <w:hyperlink r:id="rId7759">
        <w:r>
          <w:rPr>
            <w:color w:val="0000EE"/>
            <w:u w:val="single"/>
          </w:rPr>
          <w:t>Ne 7.12</w:t>
        </w:r>
      </w:hyperlink>
      <w:r>
        <w:t xml:space="preserve">). Mais tarde, 71 membros da casa de Elão acompanharam Esdras de volta à Palestina durante o reinado do Rei Artaxerxes I da Pérsia (464–424 a.C.; </w:t>
      </w:r>
      <w:hyperlink r:id="rId7760">
        <w:r>
          <w:rPr>
            <w:color w:val="0000EE"/>
            <w:u w:val="single"/>
          </w:rPr>
          <w:t>Ed 8.7</w:t>
        </w:r>
      </w:hyperlink>
      <w:r>
        <w:t>). Em Judá pós-exílica, Secanias, descendente de Elão, instou Esdras a ordenar que os filhos de Israel se divorciassem de suas esposas estrangeiras (</w:t>
      </w:r>
      <w:hyperlink r:id="rId7761">
        <w:r>
          <w:rPr>
            <w:color w:val="0000EE"/>
            <w:u w:val="single"/>
          </w:rPr>
          <w:t>10.2</w:t>
        </w:r>
      </w:hyperlink>
      <w:r>
        <w:t xml:space="preserve">); um número da casa de Elão eventualmente o fez (v. </w:t>
      </w:r>
      <w:hyperlink r:id="rId7762">
        <w:r>
          <w:rPr>
            <w:color w:val="0000EE"/>
            <w:u w:val="single"/>
          </w:rPr>
          <w:t>26</w:t>
        </w:r>
      </w:hyperlink>
      <w:r>
        <w:t>).</w:t>
      </w:r>
    </w:p>
    <w:p>
      <w:r/>
      <w:r>
        <w:t>5. Outro antepassado de 1.254 descendentes que retornaram com Zorobabel para Judá (</w:t>
      </w:r>
      <w:hyperlink r:id="rId7763">
        <w:r>
          <w:rPr>
            <w:color w:val="0000EE"/>
            <w:u w:val="single"/>
          </w:rPr>
          <w:t>Ed 2.31</w:t>
        </w:r>
      </w:hyperlink>
      <w:r>
        <w:t xml:space="preserve">; </w:t>
      </w:r>
      <w:hyperlink r:id="rId7764">
        <w:r>
          <w:rPr>
            <w:color w:val="0000EE"/>
            <w:u w:val="single"/>
          </w:rPr>
          <w:t>Ne 7.34</w:t>
        </w:r>
      </w:hyperlink>
      <w:r>
        <w:t>).</w:t>
      </w:r>
    </w:p>
    <w:p>
      <w:r/>
      <w:r>
        <w:t>6. Um dos chefes de Israel que colocou seu selo no pacto de Esdras (</w:t>
      </w:r>
      <w:hyperlink r:id="rId7765">
        <w:r>
          <w:rPr>
            <w:color w:val="0000EE"/>
            <w:u w:val="single"/>
          </w:rPr>
          <w:t>Ne 10.14</w:t>
        </w:r>
      </w:hyperlink>
      <w:r>
        <w:t>).</w:t>
      </w:r>
    </w:p>
    <w:p>
      <w:r/>
      <w:r>
        <w:t>7. Um dos músicos sacerdotais que se apresentaram na dedicação do muro de Jerusalém (</w:t>
      </w:r>
      <w:hyperlink r:id="rId7766">
        <w:r>
          <w:rPr>
            <w:color w:val="0000EE"/>
            <w:u w:val="single"/>
          </w:rPr>
          <w:t>Ne 12.42</w:t>
        </w:r>
      </w:hyperlink>
      <w:r>
        <w:t>).</w:t>
      </w:r>
      <w:r/>
      <w:r/>
    </w:p>
    <w:p>
      <w:r/>
    </w:p>
    <w:p>
      <w:pPr>
        <w:pStyle w:val="Heading2"/>
      </w:pPr>
      <w:r>
        <w:t>Elão (Lugar), Elamitas</w:t>
      </w:r>
      <w:r/>
    </w:p>
    <w:p>
      <w:r/>
      <w:r>
        <w:t>Ocupando uma área aproximadamente do tamanho da Dinamarca, Elão estava localizada no sudoeste da Ásia, a leste da Babilônia e ao norte do Golfo Pérsico, em uma planície conhecida pelos iranianos desde a Idade Média como Cuzistão. A região hoje corresponde ao sudoeste do Irã. Áreas montanhosas ao norte e leste, conhecidas como a cordilheira de Anshan, formavam uma parte periférica de Elão. A fertilidade da terra estava ligada a vários cursos de água, sendo o mais significativo deles o Karkheh, que forma a fronteira oeste de Elão.</w:t>
      </w:r>
    </w:p>
    <w:p>
      <w:r/>
      <w:r>
        <w:t>Um povo com uma cultura e história que se estendem por mais de 2.000 anos, os elamitas parecem ter vivido em constante conflito com os sumérios, babilônios, assírios e, finalmente, os persas, por quem foram absorvidos. Como grupo étnico, os elamitas eram uma mistura de aborígenes de pele escura de origem incerta e semitas que haviam migrado para a terra a partir da Mesopotâmia.</w:t>
      </w:r>
    </w:p>
    <w:p>
      <w:r/>
      <w:r>
        <w:t>A civilização ocidental saberia virtualmente nada sobre Elão se não fosse pelo testemunho bíblico. Elão é mencionado em conjunto com a descendência de Sem (</w:t>
      </w:r>
      <w:hyperlink r:id="rId2789">
        <w:r>
          <w:rPr>
            <w:color w:val="0000EE"/>
            <w:u w:val="single"/>
          </w:rPr>
          <w:t>Gn 10.22</w:t>
        </w:r>
      </w:hyperlink>
      <w:r>
        <w:t>), e no livro de Atos é relatado que entre os israelitas presentes em Jerusalém para a Festa de Pentecostes estavam alguns da antiga área de Elão (</w:t>
      </w:r>
      <w:hyperlink r:id="rId7767">
        <w:r>
          <w:rPr>
            <w:color w:val="0000EE"/>
            <w:u w:val="single"/>
          </w:rPr>
          <w:t>At 2.9</w:t>
        </w:r>
      </w:hyperlink>
      <w:r>
        <w:t>). Isaías profetizou que os judeus levados no exílio babilônico retornariam de lugares como Elão (</w:t>
      </w:r>
      <w:hyperlink r:id="rId7768">
        <w:r>
          <w:rPr>
            <w:color w:val="0000EE"/>
            <w:u w:val="single"/>
          </w:rPr>
          <w:t>Is 11.11</w:t>
        </w:r>
      </w:hyperlink>
      <w:r>
        <w:t>); no entanto, estes eram provavelmente judeus de língua aramaica que decidiram não retornar à sua terra natal após o edito de repatriação de Ciro da Pérsia (</w:t>
      </w:r>
      <w:hyperlink r:id="rId2213">
        <w:r>
          <w:rPr>
            <w:color w:val="0000EE"/>
            <w:u w:val="single"/>
          </w:rPr>
          <w:t>Ed 1.1–4</w:t>
        </w:r>
      </w:hyperlink>
      <w:r>
        <w:t>). O nome Quedorlaomer, rei de Elão (</w:t>
      </w:r>
      <w:hyperlink r:id="rId6217">
        <w:r>
          <w:rPr>
            <w:color w:val="0000EE"/>
            <w:u w:val="single"/>
          </w:rPr>
          <w:t>Gn 14.1</w:t>
        </w:r>
      </w:hyperlink>
      <w:r>
        <w:t>), é demonstravelmente um nome elamita autêntico, dando assim suporte adicional à precisão da narrativa histórica em Gênesis. A visão de Daniel em Susã, na província de Elão (</w:t>
      </w:r>
      <w:hyperlink r:id="rId7769">
        <w:r>
          <w:rPr>
            <w:color w:val="0000EE"/>
            <w:u w:val="single"/>
          </w:rPr>
          <w:t>Dn 8.2</w:t>
        </w:r>
      </w:hyperlink>
      <w:r>
        <w:t>), revela conhecimento preciso da geografia da área e de seus cursos d'água. Em tais relatos, a Bíblia se mostra um valioso complemento à literatura extrabíblica para a história do antigo Oriente Próximo.</w:t>
      </w:r>
    </w:p>
    <w:p>
      <w:r/>
      <w:r>
        <w:t>No século VIII a.C., Isaías convocou Elão para participar da destruição de Babilônia como um ato do julgamento do Senhor (</w:t>
      </w:r>
      <w:hyperlink r:id="rId7770">
        <w:r>
          <w:rPr>
            <w:color w:val="0000EE"/>
            <w:u w:val="single"/>
          </w:rPr>
          <w:t>Is 21.2</w:t>
        </w:r>
      </w:hyperlink>
      <w:r>
        <w:t>); há pouca informação, no entanto, sobre o papel de Elão na queda de Babilônia em 540 a.C. Elão, junto com outras nações rebeldes, eventualmente experimentaria o cálice da ira de Deus (</w:t>
      </w:r>
      <w:hyperlink r:id="rId7771">
        <w:r>
          <w:rPr>
            <w:color w:val="0000EE"/>
            <w:u w:val="single"/>
          </w:rPr>
          <w:t>Jr 25.15–26</w:t>
        </w:r>
      </w:hyperlink>
      <w:r>
        <w:t>). Mesmo seus arqueiros mundialmente renomados não seriam páreo para o Senhor dos Exércitos (</w:t>
      </w:r>
      <w:hyperlink r:id="rId7772">
        <w:r>
          <w:rPr>
            <w:color w:val="0000EE"/>
            <w:u w:val="single"/>
          </w:rPr>
          <w:t>Is 22.6–12</w:t>
        </w:r>
      </w:hyperlink>
      <w:r>
        <w:t xml:space="preserve">; </w:t>
      </w:r>
      <w:hyperlink r:id="rId7773">
        <w:r>
          <w:rPr>
            <w:color w:val="0000EE"/>
            <w:u w:val="single"/>
          </w:rPr>
          <w:t>Jr 49.35</w:t>
        </w:r>
      </w:hyperlink>
      <w:r>
        <w:t xml:space="preserve">; </w:t>
      </w:r>
      <w:hyperlink r:id="rId7774">
        <w:r>
          <w:rPr>
            <w:color w:val="0000EE"/>
            <w:u w:val="single"/>
          </w:rPr>
          <w:t>Ez 32.24</w:t>
        </w:r>
      </w:hyperlink>
      <w:r>
        <w:t>). O lamento de Ezequiel sobre Elão ilustra dramaticamente o horror de um túmulo sem Deus (</w:t>
      </w:r>
      <w:hyperlink r:id="rId7775">
        <w:r>
          <w:rPr>
            <w:color w:val="0000EE"/>
            <w:u w:val="single"/>
          </w:rPr>
          <w:t>Ez 32.24–25</w:t>
        </w:r>
      </w:hyperlink>
      <w:r>
        <w:t>). Jeremias adverte os elamitas de que eles não podem escapar do julgamento de Deus, garantido pela presença de seu trono entre eles (</w:t>
      </w:r>
      <w:hyperlink r:id="rId7776">
        <w:r>
          <w:rPr>
            <w:color w:val="0000EE"/>
            <w:u w:val="single"/>
          </w:rPr>
          <w:t>Jr 49.38</w:t>
        </w:r>
      </w:hyperlink>
      <w:r>
        <w:t xml:space="preserve">). No entanto, a destruição de Elão, embora politicamente completa na conquista da Pérsia, não seria totalmente irremediável (v </w:t>
      </w:r>
      <w:hyperlink r:id="rId7777">
        <w:r>
          <w:rPr>
            <w:color w:val="0000EE"/>
            <w:u w:val="single"/>
          </w:rPr>
          <w:t>39</w:t>
        </w:r>
      </w:hyperlink>
      <w:r>
        <w:t>). Embora sua deslocalização rivalizasse com a de seus contemporâneos, Jeremias falou de um tempo em que Deus estenderia misericórdia aos descendentes dos elamitas. Tal expectativa, seguindo a frase “nos últimos dias”, pode apontar para a era messiânica. O profeta pode muito bem ter vislumbrado aquele momento significativo do Dia de Pentecostes, quando muitos de Elão estariam entre aqueles em Jerusalém sobre os quais o Espírito do Senhor desceu.</w:t>
      </w:r>
      <w:r/>
      <w:r/>
    </w:p>
    <w:p>
      <w:r/>
    </w:p>
    <w:p>
      <w:pPr>
        <w:pStyle w:val="Heading2"/>
      </w:pPr>
      <w:r>
        <w:t>Elasar</w:t>
      </w:r>
      <w:r/>
    </w:p>
    <w:p>
      <w:r/>
      <w:r>
        <w:t>Local na Babilônia; alguns estudiosos sugeriram que Arioque era seu rei. Ele se juntou a uma coalizão que incluía Quedorlaomer, rei de Elão, e juntos invadiram o Vale do Jordão durante o tempo de Abraão (</w:t>
      </w:r>
      <w:hyperlink r:id="rId7778">
        <w:r>
          <w:rPr>
            <w:color w:val="0000EE"/>
            <w:u w:val="single"/>
          </w:rPr>
          <w:t>Gn 14.1,9</w:t>
        </w:r>
      </w:hyperlink>
      <w:r>
        <w:t>).</w:t>
      </w:r>
      <w:r/>
      <w:r/>
    </w:p>
    <w:p>
      <w:r/>
    </w:p>
    <w:p>
      <w:pPr>
        <w:pStyle w:val="Heading2"/>
      </w:pPr>
      <w:r>
        <w:t>Elate</w:t>
      </w:r>
      <w:r/>
    </w:p>
    <w:p>
      <w:r/>
      <w:r>
        <w:t>Cidade edomita na cabeceira do Golfo de Ácaba (</w:t>
      </w:r>
      <w:hyperlink r:id="rId2315">
        <w:r>
          <w:rPr>
            <w:color w:val="0000EE"/>
            <w:u w:val="single"/>
          </w:rPr>
          <w:t>Dt 2.8</w:t>
        </w:r>
      </w:hyperlink>
      <w:r>
        <w:t xml:space="preserve">; </w:t>
      </w:r>
      <w:hyperlink r:id="rId7560">
        <w:r>
          <w:rPr>
            <w:color w:val="0000EE"/>
            <w:u w:val="single"/>
          </w:rPr>
          <w:t>1Rs 9.26</w:t>
        </w:r>
      </w:hyperlink>
      <w:r>
        <w:t>), na fronteira oriental do deserto de Parã (</w:t>
      </w:r>
      <w:hyperlink r:id="rId7779">
        <w:r>
          <w:rPr>
            <w:color w:val="0000EE"/>
            <w:u w:val="single"/>
          </w:rPr>
          <w:t>Gn 14.6</w:t>
        </w:r>
      </w:hyperlink>
      <w:r>
        <w:t>, onde é alternadamente chamada de El-Parã). Provavelmente deveu seu nome (que significa "bosque de árvores") às muitas palmeiras na área e pode ter sido localizada em um bosque de árvores sagradas. Elate estava estrategicamente localizada ao longo de uma rota comercial primária que ia do sul da Arábia e Egito até a Fenícia, tornando-a uma cidade valiosa para se possuir.</w:t>
      </w:r>
    </w:p>
    <w:p>
      <w:r/>
      <w:r>
        <w:t>Elate foi tomada por Quedorlaomer dos horeus (</w:t>
      </w:r>
      <w:hyperlink r:id="rId7780">
        <w:r>
          <w:rPr>
            <w:color w:val="0000EE"/>
            <w:u w:val="single"/>
          </w:rPr>
          <w:t>Gn 14.5–6</w:t>
        </w:r>
      </w:hyperlink>
      <w:r>
        <w:t>). Mais tarde, foi considerada o limite sul do território de Edom (</w:t>
      </w:r>
      <w:hyperlink r:id="rId2315">
        <w:r>
          <w:rPr>
            <w:color w:val="0000EE"/>
            <w:u w:val="single"/>
          </w:rPr>
          <w:t>Dt 2.8</w:t>
        </w:r>
      </w:hyperlink>
      <w:r>
        <w:t>). Davi provavelmente a capturou quando conquistou Edom (</w:t>
      </w:r>
      <w:hyperlink r:id="rId7556">
        <w:r>
          <w:rPr>
            <w:color w:val="0000EE"/>
            <w:u w:val="single"/>
          </w:rPr>
          <w:t>2Sm 8.14</w:t>
        </w:r>
      </w:hyperlink>
      <w:r>
        <w:t>). Durante o reinado de Jorão, filho de Josafá, uma revolta a devolveu aos edomitas (</w:t>
      </w:r>
      <w:hyperlink r:id="rId7563">
        <w:r>
          <w:rPr>
            <w:color w:val="0000EE"/>
            <w:u w:val="single"/>
          </w:rPr>
          <w:t>2Rs 8.20–22</w:t>
        </w:r>
      </w:hyperlink>
      <w:r>
        <w:t>). Alguns anos depois, foi recapturada e reconstruída pelo rei Uzias de Judá (</w:t>
      </w:r>
      <w:hyperlink r:id="rId7566">
        <w:r>
          <w:rPr>
            <w:color w:val="0000EE"/>
            <w:u w:val="single"/>
          </w:rPr>
          <w:t>2Rs 14.22</w:t>
        </w:r>
      </w:hyperlink>
      <w:r>
        <w:t>). Permaneceu sob o domínio de Judá até a época de Acaz, quando foi tomada por Rezim da Síria e ocupada pelos sírios (</w:t>
      </w:r>
      <w:hyperlink r:id="rId7568">
        <w:r>
          <w:rPr>
            <w:color w:val="0000EE"/>
            <w:u w:val="single"/>
          </w:rPr>
          <w:t>2Rs 16.6</w:t>
        </w:r>
      </w:hyperlink>
      <w:r>
        <w:t>). A partir de cerca de 753 a.C., permaneceu como uma cidade edomita até ser abandonada em algum momento entre os séculos VI e IV a.C. Então, os nabateus, que controlavam a área, construíram uma cidade um pouco mais a leste do local original e a renomearam Aila.</w:t>
      </w:r>
    </w:p>
    <w:p>
      <w:r/>
      <w:r>
        <w:rPr>
          <w:i/>
        </w:rPr>
        <w:t>Veja também</w:t>
      </w:r>
      <w:r>
        <w:t xml:space="preserve"> </w:t>
      </w:r>
      <w:r>
        <w:t>El-Parã</w:t>
      </w:r>
      <w:r>
        <w:t>.</w:t>
      </w:r>
      <w:r/>
      <w:r/>
    </w:p>
    <w:p>
      <w:r/>
    </w:p>
    <w:p>
      <w:pPr>
        <w:pStyle w:val="Heading2"/>
      </w:pPr>
      <w:r>
        <w:t>El-Betel</w:t>
      </w:r>
      <w:r/>
    </w:p>
    <w:p>
      <w:r/>
      <w:r>
        <w:t>Nome que Jacó deu ao lugar em Luz (Betel), onde ele construiu um altar após retornar de Harã com sua família (</w:t>
      </w:r>
      <w:hyperlink r:id="rId979">
        <w:r>
          <w:rPr>
            <w:color w:val="0000EE"/>
            <w:u w:val="single"/>
          </w:rPr>
          <w:t>Gn 35.7</w:t>
        </w:r>
      </w:hyperlink>
      <w:r>
        <w:t xml:space="preserve">). </w:t>
      </w:r>
      <w:r>
        <w:rPr>
          <w:i/>
        </w:rPr>
        <w:t>Veja também</w:t>
      </w:r>
      <w:r>
        <w:t xml:space="preserve"> </w:t>
      </w:r>
      <w:r>
        <w:t>Betel (lugar), Betelita</w:t>
      </w:r>
      <w:r>
        <w:t>.</w:t>
      </w:r>
      <w:r/>
      <w:r/>
    </w:p>
    <w:p>
      <w:r/>
    </w:p>
    <w:p>
      <w:pPr>
        <w:pStyle w:val="Heading2"/>
      </w:pPr>
      <w:r>
        <w:t>Elcana</w:t>
      </w:r>
      <w:r/>
    </w:p>
    <w:p>
      <w:pPr>
        <w:pStyle w:val="ListNumber"/>
        <w:spacing w:line="240" w:lineRule="auto"/>
        <w:ind w:left="720"/>
      </w:pPr>
      <w:r/>
      <w:r>
        <w:t>Um levita que pertencia à família de Corá (</w:t>
      </w:r>
      <w:hyperlink r:id="rId63">
        <w:r>
          <w:rPr>
            <w:color w:val="0000EE"/>
            <w:u w:val="single"/>
          </w:rPr>
          <w:t>Êx 6.24</w:t>
        </w:r>
      </w:hyperlink>
      <w:r>
        <w:t>). Ele era descendente de Isar (</w:t>
      </w:r>
      <w:hyperlink r:id="rId7781">
        <w:r>
          <w:rPr>
            <w:color w:val="0000EE"/>
            <w:u w:val="single"/>
          </w:rPr>
          <w:t>Êx 6.21</w:t>
        </w:r>
      </w:hyperlink>
      <w:r>
        <w:t>). Elcana era filho de Assir e tornou-se pai de Ebiasafe (</w:t>
      </w:r>
      <w:hyperlink r:id="rId7782">
        <w:r>
          <w:rPr>
            <w:color w:val="0000EE"/>
            <w:u w:val="single"/>
          </w:rPr>
          <w:t>Cr 6.23</w:t>
        </w:r>
      </w:hyperlink>
      <w:r>
        <w:t>);</w:t>
      </w:r>
    </w:p>
    <w:p>
      <w:pPr>
        <w:pStyle w:val="ListNumber"/>
        <w:spacing w:line="240" w:lineRule="auto"/>
        <w:ind w:left="720"/>
      </w:pPr>
      <w:r/>
      <w:r>
        <w:t>O pai do profeta Samuel (</w:t>
      </w:r>
      <w:hyperlink r:id="rId7783">
        <w:r>
          <w:rPr>
            <w:color w:val="0000EE"/>
            <w:u w:val="single"/>
          </w:rPr>
          <w:t>1Sm 1.19</w:t>
        </w:r>
      </w:hyperlink>
      <w:r>
        <w:t>). Ele era filho de Jeroão de Efraim, de Ramathaim-Zofim (</w:t>
      </w:r>
      <w:hyperlink r:id="rId7702">
        <w:r>
          <w:rPr>
            <w:color w:val="0000EE"/>
            <w:u w:val="single"/>
          </w:rPr>
          <w:t>1Sm 1.1</w:t>
        </w:r>
      </w:hyperlink>
      <w:r>
        <w:t>). Elcana tinha duas esposas, Ana e Penina. Ana inicialmente não podia ter filhos (</w:t>
      </w:r>
      <w:hyperlink r:id="rId7784">
        <w:r>
          <w:rPr>
            <w:color w:val="0000EE"/>
            <w:u w:val="single"/>
          </w:rPr>
          <w:t>1Sm 1.2</w:t>
        </w:r>
      </w:hyperlink>
      <w:r>
        <w:t>). Ana orou a Deus muitas vezes, pedindo por um filho que ela prometeu dedicar ao serviço de Deus. Depois disso, Samuel nasceu. Após ser desmamado, Ana o levou ao idoso sacerdote Eli para treinamento. Elcana teve outros filhos e filhas com Ana (</w:t>
      </w:r>
      <w:hyperlink r:id="rId7785">
        <w:r>
          <w:rPr>
            <w:color w:val="0000EE"/>
            <w:u w:val="single"/>
          </w:rPr>
          <w:t>1Sm 2.21</w:t>
        </w:r>
      </w:hyperlink>
      <w:r>
        <w:t>). Elcana tornou-se o ancestral de Hemã, que foi um cantor no tempo de Davi;</w:t>
      </w:r>
    </w:p>
    <w:p>
      <w:pPr>
        <w:pStyle w:val="ListNumber"/>
        <w:spacing w:line="240" w:lineRule="auto"/>
        <w:ind w:left="720"/>
      </w:pPr>
      <w:r/>
      <w:r>
        <w:t>Um levita coatita que descendia da linha familiar de Corá. Ele foi um dos ancestrais de Hemã, o cantor (</w:t>
      </w:r>
      <w:hyperlink r:id="rId7786">
        <w:r>
          <w:rPr>
            <w:color w:val="0000EE"/>
            <w:u w:val="single"/>
          </w:rPr>
          <w:t>1Cr 6.26,35</w:t>
        </w:r>
      </w:hyperlink>
      <w:r>
        <w:t>);</w:t>
      </w:r>
    </w:p>
    <w:p>
      <w:pPr>
        <w:pStyle w:val="ListNumber"/>
        <w:spacing w:line="240" w:lineRule="auto"/>
        <w:ind w:left="720"/>
      </w:pPr>
      <w:r/>
      <w:r>
        <w:t>Outro levita coatita que também descendia da linhagem de Corá e estava entre os ancestrais de Hemã, o cantor (</w:t>
      </w:r>
      <w:hyperlink r:id="rId7786">
        <w:r>
          <w:rPr>
            <w:color w:val="0000EE"/>
            <w:u w:val="single"/>
          </w:rPr>
          <w:t>1Cr 6.26,35</w:t>
        </w:r>
      </w:hyperlink>
      <w:r>
        <w:t>);</w:t>
      </w:r>
    </w:p>
    <w:p>
      <w:pPr>
        <w:pStyle w:val="ListNumber"/>
        <w:spacing w:line="240" w:lineRule="auto"/>
        <w:ind w:left="720"/>
      </w:pPr>
      <w:r/>
      <w:r>
        <w:t>Um levita que viveu na aldeia dos Netofatitas e mais tarde viveu em Jerusalém no tempo após o exílio na Babilônia (</w:t>
      </w:r>
      <w:hyperlink r:id="rId7787">
        <w:r>
          <w:rPr>
            <w:color w:val="0000EE"/>
            <w:u w:val="single"/>
          </w:rPr>
          <w:t>1Cr 9.16</w:t>
        </w:r>
      </w:hyperlink>
      <w:r>
        <w:t>);</w:t>
      </w:r>
    </w:p>
    <w:p>
      <w:pPr>
        <w:pStyle w:val="ListNumber"/>
        <w:spacing w:line="240" w:lineRule="auto"/>
        <w:ind w:left="720"/>
      </w:pPr>
      <w:r/>
      <w:r>
        <w:t>Um guerreiro benjamita que se juntou aos valentes de Davi em Ziclague (</w:t>
      </w:r>
      <w:hyperlink r:id="rId7788">
        <w:r>
          <w:rPr>
            <w:color w:val="0000EE"/>
            <w:u w:val="single"/>
          </w:rPr>
          <w:t>1Cr 12.6</w:t>
        </w:r>
      </w:hyperlink>
      <w:r>
        <w:t>);</w:t>
      </w:r>
    </w:p>
    <w:p>
      <w:pPr>
        <w:pStyle w:val="ListNumber"/>
        <w:spacing w:line="240" w:lineRule="auto"/>
        <w:ind w:left="720"/>
      </w:pPr>
      <w:r/>
      <w:r>
        <w:t>Um porteiro (guarda) para a Arca da Aliança durante o reinado de Davi (</w:t>
      </w:r>
      <w:hyperlink r:id="rId7789">
        <w:r>
          <w:rPr>
            <w:color w:val="0000EE"/>
            <w:u w:val="single"/>
          </w:rPr>
          <w:t>1Cr 15.23</w:t>
        </w:r>
      </w:hyperlink>
      <w:r>
        <w:t>). Ele é possivelmente o mesmo que o #6 acima;</w:t>
      </w:r>
    </w:p>
    <w:p>
      <w:pPr>
        <w:pStyle w:val="ListNumber"/>
        <w:spacing w:line="240" w:lineRule="auto"/>
        <w:ind w:left="720"/>
      </w:pPr>
      <w:r/>
      <w:r>
        <w:t>Uma pessoa importante na corte do Rei Acaz. Elcana foi morto por Zicri, um efraimita, porque Elcana havia se afastado do Senhor (</w:t>
      </w:r>
      <w:hyperlink r:id="rId7790">
        <w:r>
          <w:rPr>
            <w:color w:val="0000EE"/>
            <w:u w:val="single"/>
          </w:rPr>
          <w:t>2Cr 28.7</w:t>
        </w:r>
      </w:hyperlink>
      <w:r>
        <w:t>).</w:t>
      </w:r>
      <w:r/>
      <w:r/>
    </w:p>
    <w:p>
      <w:r/>
    </w:p>
    <w:p>
      <w:pPr>
        <w:pStyle w:val="Heading2"/>
      </w:pPr>
      <w:r>
        <w:t>Elda</w:t>
      </w:r>
      <w:r/>
    </w:p>
    <w:p>
      <w:r/>
      <w:r>
        <w:t>Quinto filho de Midiã e descendente de Abraão e sua esposa Quetura (</w:t>
      </w:r>
      <w:hyperlink r:id="rId7613">
        <w:r>
          <w:rPr>
            <w:color w:val="0000EE"/>
            <w:u w:val="single"/>
          </w:rPr>
          <w:t>Gn 25.4</w:t>
        </w:r>
      </w:hyperlink>
      <w:r>
        <w:t xml:space="preserve">; </w:t>
      </w:r>
      <w:hyperlink r:id="rId76">
        <w:r>
          <w:rPr>
            <w:color w:val="0000EE"/>
            <w:u w:val="single"/>
          </w:rPr>
          <w:t>1Cr 1.33</w:t>
        </w:r>
      </w:hyperlink>
      <w:r>
        <w:t>).</w:t>
      </w:r>
      <w:r/>
      <w:r/>
    </w:p>
    <w:p>
      <w:r/>
    </w:p>
    <w:p>
      <w:pPr>
        <w:pStyle w:val="Heading2"/>
      </w:pPr>
      <w:r>
        <w:t>Eldade</w:t>
      </w:r>
      <w:r/>
    </w:p>
    <w:p>
      <w:r/>
      <w:r>
        <w:t>Eldade foi um dos 70 anciãos de Israel escolhidos para ajudar Moisés a governar o povo (</w:t>
      </w:r>
      <w:hyperlink r:id="rId7791">
        <w:r>
          <w:rPr>
            <w:color w:val="0000EE"/>
            <w:u w:val="single"/>
          </w:rPr>
          <w:t>Nm 11.26–27</w:t>
        </w:r>
      </w:hyperlink>
      <w:r>
        <w:t>). Eldade e outro ancião chamado Medade não se juntaram aos outros 68 anciãos que se reuniram ao redor do Tabernáculo quando Moisés os chamou. Mesmo não estando presentes na reunião, eles também receberam o Espírito de Deus e começaram a profetizar.</w:t>
      </w:r>
    </w:p>
    <w:p>
      <w:r/>
      <w:r>
        <w:t>Josué não queria que a autoridade de Moisés fosse desafiada. Então, ele pediu a Moisés para pará-los. Moisés respondeu com grande humildade e compreensão da vontade de Deus. Ele disse: “Eu gostaria que o Senhor desse o seu Espírito a todo o seu povo e fizesse com que todos fossem profetas!” (</w:t>
      </w:r>
      <w:hyperlink r:id="rId7792">
        <w:r>
          <w:rPr>
            <w:color w:val="0000EE"/>
            <w:u w:val="single"/>
          </w:rPr>
          <w:t>Nm 11.29</w:t>
        </w:r>
      </w:hyperlink>
      <w:r>
        <w:t>).</w:t>
      </w:r>
      <w:r/>
      <w:r/>
    </w:p>
    <w:p>
      <w:r/>
    </w:p>
    <w:p>
      <w:pPr>
        <w:pStyle w:val="Heading2"/>
      </w:pPr>
      <w:r>
        <w:t>Eleale</w:t>
      </w:r>
      <w:r/>
    </w:p>
    <w:p>
      <w:r/>
      <w:r>
        <w:t>Eleale era uma cidade localizada do outro lado do rio Jordão, a nordeste de Hesbom. As tribos de Rúben e Gade conquistaram esta cidade (</w:t>
      </w:r>
      <w:hyperlink r:id="rId7793">
        <w:r>
          <w:rPr>
            <w:color w:val="0000EE"/>
            <w:u w:val="single"/>
          </w:rPr>
          <w:t>Nm 32.3,37</w:t>
        </w:r>
      </w:hyperlink>
      <w:r>
        <w:t>). Mais tarde, os moabitas retomaram o controle de Eleale. Os profetas mencionaram Eleale junto com Hesbom quando falaram contra Moabe (</w:t>
      </w:r>
      <w:hyperlink r:id="rId7794">
        <w:r>
          <w:rPr>
            <w:color w:val="0000EE"/>
            <w:u w:val="single"/>
          </w:rPr>
          <w:t>Is 15.4</w:t>
        </w:r>
      </w:hyperlink>
      <w:r>
        <w:t xml:space="preserve">; </w:t>
      </w:r>
      <w:hyperlink r:id="rId7795">
        <w:r>
          <w:rPr>
            <w:color w:val="0000EE"/>
            <w:u w:val="single"/>
          </w:rPr>
          <w:t>16.9</w:t>
        </w:r>
      </w:hyperlink>
      <w:r>
        <w:t xml:space="preserve">; </w:t>
      </w:r>
      <w:hyperlink r:id="rId7796">
        <w:r>
          <w:rPr>
            <w:color w:val="0000EE"/>
            <w:u w:val="single"/>
          </w:rPr>
          <w:t>Jr 48.34</w:t>
        </w:r>
      </w:hyperlink>
      <w:r>
        <w:t>).</w:t>
      </w:r>
    </w:p>
    <w:p>
      <w:r/>
      <w:r>
        <w:t>Eusébio, um historiador da igreja que viveu no século IV d.C., descreveu Eleale como uma grande aldeia. Os estudiosos identificam Eleale com a moderna aldeia de el-'Al. Esta aldeia está a 910 metros acima do nível do mar em uma área conhecida pelo cultivo de muitas uvas. Arqueólogos encontraram restos de muros que datam de antes do tempo em que os patriarcas (Abraão, Isaque e Jacó) viveram.</w:t>
      </w:r>
      <w:r/>
      <w:r/>
    </w:p>
    <w:p>
      <w:r/>
    </w:p>
    <w:p>
      <w:pPr>
        <w:pStyle w:val="Heading2"/>
      </w:pPr>
      <w:r>
        <w:t>Eleazar</w:t>
      </w:r>
      <w:r/>
    </w:p>
    <w:p>
      <w:pPr>
        <w:pStyle w:val="ListNumber"/>
        <w:spacing w:line="240" w:lineRule="auto"/>
        <w:ind w:left="720"/>
      </w:pPr>
      <w:r/>
      <w:r>
        <w:t>O terceiro dos quatro filhos de Arão (</w:t>
      </w:r>
      <w:hyperlink r:id="rId124">
        <w:r>
          <w:rPr>
            <w:color w:val="0000EE"/>
            <w:u w:val="single"/>
          </w:rPr>
          <w:t>Êx 6.23</w:t>
        </w:r>
      </w:hyperlink>
      <w:r>
        <w:t>). Seu nome significa "Deus ajudou." Ele foi consagrado como sacerdote junto com seus irmãos e Arão no deserto do Sinai (</w:t>
      </w:r>
      <w:hyperlink r:id="rId128">
        <w:r>
          <w:rPr>
            <w:color w:val="0000EE"/>
            <w:u w:val="single"/>
          </w:rPr>
          <w:t>Êx 28.1</w:t>
        </w:r>
      </w:hyperlink>
      <w:r>
        <w:t xml:space="preserve">; </w:t>
      </w:r>
      <w:hyperlink r:id="rId7797">
        <w:r>
          <w:rPr>
            <w:color w:val="0000EE"/>
            <w:u w:val="single"/>
          </w:rPr>
          <w:t>Lv 8.2,13</w:t>
        </w:r>
      </w:hyperlink>
      <w:r>
        <w:t>). Após seus irmãos Nadabe e Abiú serem mortos por Deus por oferecerem "fogo profano" (</w:t>
      </w:r>
      <w:hyperlink r:id="rId7798">
        <w:r>
          <w:rPr>
            <w:color w:val="0000EE"/>
            <w:u w:val="single"/>
          </w:rPr>
          <w:t>Lv 10.1–7</w:t>
        </w:r>
      </w:hyperlink>
      <w:r>
        <w:t>), Eleazar e Itamar assumiram papéis de liderança como filhos de Arão (</w:t>
      </w:r>
      <w:hyperlink r:id="rId7799">
        <w:r>
          <w:rPr>
            <w:color w:val="0000EE"/>
            <w:u w:val="single"/>
          </w:rPr>
          <w:t>Nm 3.1–4</w:t>
        </w:r>
      </w:hyperlink>
      <w:r>
        <w:t>).</w:t>
      </w:r>
    </w:p>
    <w:p>
      <w:r/>
      <w:r>
        <w:t>Eleazar é descrito como "chefe dos líderes dos levitas" (</w:t>
      </w:r>
      <w:hyperlink r:id="rId7800">
        <w:r>
          <w:rPr>
            <w:color w:val="0000EE"/>
            <w:u w:val="single"/>
          </w:rPr>
          <w:t>Nm 3.32</w:t>
        </w:r>
      </w:hyperlink>
      <w:r>
        <w:t>). Ele era responsável por supervisionar o santuário e seus utensílios (</w:t>
      </w:r>
      <w:hyperlink r:id="rId7801">
        <w:r>
          <w:rPr>
            <w:color w:val="0000EE"/>
            <w:u w:val="single"/>
          </w:rPr>
          <w:t>Nm 4.16</w:t>
        </w:r>
      </w:hyperlink>
      <w:r>
        <w:t xml:space="preserve">; </w:t>
      </w:r>
      <w:hyperlink r:id="rId7802">
        <w:r>
          <w:rPr>
            <w:color w:val="0000EE"/>
            <w:u w:val="single"/>
          </w:rPr>
          <w:t>16.37–39</w:t>
        </w:r>
      </w:hyperlink>
      <w:r>
        <w:t xml:space="preserve">; </w:t>
      </w:r>
      <w:hyperlink r:id="rId7803">
        <w:r>
          <w:rPr>
            <w:color w:val="0000EE"/>
            <w:u w:val="single"/>
          </w:rPr>
          <w:t>19.3,4</w:t>
        </w:r>
      </w:hyperlink>
      <w:r>
        <w:t>). Quando Arão morreu no Monte Hor, Moisés instalou Eleazar como sumo sacerdote (</w:t>
      </w:r>
      <w:hyperlink r:id="rId7804">
        <w:r>
          <w:rPr>
            <w:color w:val="0000EE"/>
            <w:u w:val="single"/>
          </w:rPr>
          <w:t>Nm 20.25–28</w:t>
        </w:r>
      </w:hyperlink>
      <w:r>
        <w:t xml:space="preserve">; </w:t>
      </w:r>
      <w:hyperlink r:id="rId3305">
        <w:r>
          <w:rPr>
            <w:color w:val="0000EE"/>
            <w:u w:val="single"/>
          </w:rPr>
          <w:t>Dt 10.6</w:t>
        </w:r>
      </w:hyperlink>
      <w:r>
        <w:t>). A partir desse momento, ele se tornou assistente de Moisés (</w:t>
      </w:r>
      <w:hyperlink r:id="rId7805">
        <w:r>
          <w:rPr>
            <w:color w:val="0000EE"/>
            <w:u w:val="single"/>
          </w:rPr>
          <w:t>Nm 26.1</w:t>
        </w:r>
      </w:hyperlink>
      <w:hyperlink r:id="rId7806">
        <w:r>
          <w:rPr>
            <w:color w:val="0000EE"/>
            <w:u w:val="single"/>
          </w:rPr>
          <w:t>–</w:t>
        </w:r>
      </w:hyperlink>
      <w:hyperlink r:id="rId7805">
        <w:r>
          <w:rPr>
            <w:color w:val="0000EE"/>
            <w:u w:val="single"/>
          </w:rPr>
          <w:t>3,63</w:t>
        </w:r>
      </w:hyperlink>
      <w:r>
        <w:t xml:space="preserve">; </w:t>
      </w:r>
      <w:hyperlink r:id="rId7807">
        <w:r>
          <w:rPr>
            <w:color w:val="0000EE"/>
            <w:u w:val="single"/>
          </w:rPr>
          <w:t>27.2,21</w:t>
        </w:r>
      </w:hyperlink>
      <w:r>
        <w:t>). Josué foi comissionado por Moisés na presença de Eleazar (</w:t>
      </w:r>
      <w:hyperlink r:id="rId7808">
        <w:r>
          <w:rPr>
            <w:color w:val="0000EE"/>
            <w:u w:val="single"/>
          </w:rPr>
          <w:t>Nm 27.18–23</w:t>
        </w:r>
      </w:hyperlink>
      <w:r>
        <w:t>). Durante a conquista de Canaã, Eleazar trabalhou ao lado de Josué como líder. Seu papel era consultar o Senhor em nome de Josué, fornecendo orientação divina (</w:t>
      </w:r>
      <w:hyperlink r:id="rId7809">
        <w:r>
          <w:rPr>
            <w:color w:val="0000EE"/>
            <w:u w:val="single"/>
          </w:rPr>
          <w:t>Nm 27.21</w:t>
        </w:r>
      </w:hyperlink>
      <w:r>
        <w:t>). Eleazar também participou da divisão da terra entre as tribos de Israel, tanto nas margens leste quanto oeste do Rio Jordão (</w:t>
      </w:r>
      <w:hyperlink r:id="rId7810">
        <w:r>
          <w:rPr>
            <w:color w:val="0000EE"/>
            <w:u w:val="single"/>
          </w:rPr>
          <w:t>Nm 34.17</w:t>
        </w:r>
      </w:hyperlink>
      <w:r>
        <w:t xml:space="preserve">; </w:t>
      </w:r>
      <w:hyperlink r:id="rId7811">
        <w:r>
          <w:rPr>
            <w:color w:val="0000EE"/>
            <w:u w:val="single"/>
          </w:rPr>
          <w:t>Js 14.1</w:t>
        </w:r>
      </w:hyperlink>
      <w:r>
        <w:t xml:space="preserve">; </w:t>
      </w:r>
      <w:hyperlink r:id="rId7812">
        <w:r>
          <w:rPr>
            <w:color w:val="0000EE"/>
            <w:u w:val="single"/>
          </w:rPr>
          <w:t>17.4</w:t>
        </w:r>
      </w:hyperlink>
      <w:r>
        <w:t xml:space="preserve">; </w:t>
      </w:r>
      <w:hyperlink r:id="rId7813">
        <w:r>
          <w:rPr>
            <w:color w:val="0000EE"/>
            <w:u w:val="single"/>
          </w:rPr>
          <w:t>19.51</w:t>
        </w:r>
      </w:hyperlink>
      <w:r>
        <w:t xml:space="preserve">; </w:t>
      </w:r>
      <w:hyperlink r:id="rId7814">
        <w:r>
          <w:rPr>
            <w:color w:val="0000EE"/>
            <w:u w:val="single"/>
          </w:rPr>
          <w:t>21.1</w:t>
        </w:r>
      </w:hyperlink>
      <w:r>
        <w:t>).</w:t>
      </w:r>
    </w:p>
    <w:p>
      <w:r/>
      <w:r>
        <w:t>Após a morte de Eleazar, ele foi altamente respeitado e homenageado na terra de Efraim (</w:t>
      </w:r>
      <w:hyperlink r:id="rId7815">
        <w:r>
          <w:rPr>
            <w:color w:val="0000EE"/>
            <w:u w:val="single"/>
          </w:rPr>
          <w:t>Js 24.33</w:t>
        </w:r>
      </w:hyperlink>
      <w:r>
        <w:t>). Seu filho Fineias tornou-se sumo sacerdote após sua morte.</w:t>
      </w:r>
    </w:p>
    <w:p>
      <w:r/>
      <w:r>
        <w:t>Os descendentes de Eleazar receberam 16 divisões na supervisão dos sacerdotes, enquanto os descendentes de Itamar receberam oito (</w:t>
      </w:r>
      <w:hyperlink r:id="rId7816">
        <w:r>
          <w:rPr>
            <w:color w:val="0000EE"/>
            <w:u w:val="single"/>
          </w:rPr>
          <w:t>1Cr 24</w:t>
        </w:r>
      </w:hyperlink>
      <w:r>
        <w:t>). Sacerdotes notáveis como Zadoque e Esdras traçaram sua ascendência até Eleazar (</w:t>
      </w:r>
      <w:hyperlink r:id="rId7817">
        <w:r>
          <w:rPr>
            <w:color w:val="0000EE"/>
            <w:u w:val="single"/>
          </w:rPr>
          <w:t>1Crs 6.3</w:t>
        </w:r>
      </w:hyperlink>
      <w:hyperlink r:id="rId7818">
        <w:r>
          <w:rPr>
            <w:color w:val="0000EE"/>
            <w:u w:val="single"/>
          </w:rPr>
          <w:t>–</w:t>
        </w:r>
      </w:hyperlink>
      <w:hyperlink r:id="rId7817">
        <w:r>
          <w:rPr>
            <w:color w:val="0000EE"/>
            <w:u w:val="single"/>
          </w:rPr>
          <w:t>15,50</w:t>
        </w:r>
      </w:hyperlink>
      <w:hyperlink r:id="rId7818">
        <w:r>
          <w:rPr>
            <w:color w:val="0000EE"/>
            <w:u w:val="single"/>
          </w:rPr>
          <w:t>–</w:t>
        </w:r>
      </w:hyperlink>
      <w:hyperlink r:id="rId7817">
        <w:r>
          <w:rPr>
            <w:color w:val="0000EE"/>
            <w:u w:val="single"/>
          </w:rPr>
          <w:t>53</w:t>
        </w:r>
      </w:hyperlink>
      <w:r>
        <w:t xml:space="preserve">; </w:t>
      </w:r>
      <w:hyperlink r:id="rId7819">
        <w:r>
          <w:rPr>
            <w:color w:val="0000EE"/>
            <w:u w:val="single"/>
          </w:rPr>
          <w:t>24.3</w:t>
        </w:r>
      </w:hyperlink>
      <w:r>
        <w:t xml:space="preserve">; </w:t>
      </w:r>
      <w:hyperlink r:id="rId7820">
        <w:r>
          <w:rPr>
            <w:color w:val="0000EE"/>
            <w:u w:val="single"/>
          </w:rPr>
          <w:t>Ed 7.1–5</w:t>
        </w:r>
      </w:hyperlink>
      <w:r>
        <w:t>).</w:t>
      </w:r>
    </w:p>
    <w:p>
      <w:r/>
      <w:r>
        <w:t>Em tempos posteriores, durante o reinado do Rei Salomão, os sacerdotes descendentes de Zadoque substituíram Abiatar, que era da linhagem de Itamar (</w:t>
      </w:r>
      <w:hyperlink r:id="rId7821">
        <w:r>
          <w:rPr>
            <w:color w:val="0000EE"/>
            <w:u w:val="single"/>
          </w:rPr>
          <w:t>1Rs 2.26</w:t>
        </w:r>
      </w:hyperlink>
      <w:hyperlink r:id="rId68">
        <w:r>
          <w:rPr>
            <w:color w:val="0000EE"/>
            <w:u w:val="single"/>
          </w:rPr>
          <w:t>–</w:t>
        </w:r>
      </w:hyperlink>
      <w:hyperlink r:id="rId7821">
        <w:r>
          <w:rPr>
            <w:color w:val="0000EE"/>
            <w:u w:val="single"/>
          </w:rPr>
          <w:t>27,35</w:t>
        </w:r>
      </w:hyperlink>
      <w:r>
        <w:t>). De acordo com a visão de Ezequiel de um templo ideal, apenas os descendentes de Eleazar seriam permitidos a servir como sacerdotes (</w:t>
      </w:r>
      <w:hyperlink r:id="rId7822">
        <w:r>
          <w:rPr>
            <w:color w:val="0000EE"/>
            <w:u w:val="single"/>
          </w:rPr>
          <w:t>Ez 44.15</w:t>
        </w:r>
      </w:hyperlink>
      <w:r>
        <w:t>);</w:t>
      </w:r>
    </w:p>
    <w:p>
      <w:r/>
      <w:r>
        <w:rPr>
          <w:i/>
        </w:rPr>
        <w:t>Veja também</w:t>
      </w:r>
      <w:r>
        <w:t xml:space="preserve"> </w:t>
      </w:r>
      <w:r>
        <w:t>Arão</w:t>
      </w:r>
      <w:r>
        <w:t>.</w:t>
      </w:r>
    </w:p>
    <w:p>
      <w:pPr>
        <w:pStyle w:val="ListNumber"/>
        <w:spacing w:line="240" w:lineRule="auto"/>
        <w:ind w:left="720"/>
      </w:pPr>
      <w:r/>
      <w:r>
        <w:t>Filho de Abinadabe. Ele foi encarregado de cuidar da arca pelo povo de Quiriate-Jearim, quando foi trazida de Bete-Semes e colocada na "casa de Abinadabe na colina" (</w:t>
      </w:r>
      <w:hyperlink r:id="rId7823">
        <w:r>
          <w:rPr>
            <w:color w:val="0000EE"/>
            <w:u w:val="single"/>
          </w:rPr>
          <w:t>1Sm 7.1</w:t>
        </w:r>
      </w:hyperlink>
      <w:r>
        <w:t>);</w:t>
      </w:r>
    </w:p>
    <w:p>
      <w:pPr>
        <w:pStyle w:val="ListNumber"/>
        <w:spacing w:line="240" w:lineRule="auto"/>
        <w:ind w:left="720"/>
      </w:pPr>
      <w:r/>
      <w:r>
        <w:t>Filho de Dodô, um dos três homens valentes cujas façanhas contra os filisteus o tornaram famoso (</w:t>
      </w:r>
      <w:hyperlink r:id="rId7824">
        <w:r>
          <w:rPr>
            <w:color w:val="0000EE"/>
            <w:u w:val="single"/>
          </w:rPr>
          <w:t>2Sm 23.9</w:t>
        </w:r>
      </w:hyperlink>
      <w:r>
        <w:t xml:space="preserve">; </w:t>
      </w:r>
      <w:hyperlink r:id="rId7825">
        <w:r>
          <w:rPr>
            <w:color w:val="0000EE"/>
            <w:u w:val="single"/>
          </w:rPr>
          <w:t>1Cr 11.12</w:t>
        </w:r>
      </w:hyperlink>
      <w:r>
        <w:t>);</w:t>
      </w:r>
    </w:p>
    <w:p>
      <w:pPr>
        <w:pStyle w:val="ListNumber"/>
        <w:spacing w:line="240" w:lineRule="auto"/>
        <w:ind w:left="720"/>
      </w:pPr>
      <w:r/>
      <w:r>
        <w:t>Um levita merarita, filho de Mali. Eleazar morreu sem filhos, então suas filhas se casaram com seus primos de primeiro grau (</w:t>
      </w:r>
      <w:hyperlink r:id="rId7826">
        <w:r>
          <w:rPr>
            <w:color w:val="0000EE"/>
            <w:u w:val="single"/>
          </w:rPr>
          <w:t>1Cr 23.21,22</w:t>
        </w:r>
      </w:hyperlink>
      <w:r>
        <w:t xml:space="preserve">; </w:t>
      </w:r>
      <w:hyperlink r:id="rId7827">
        <w:r>
          <w:rPr>
            <w:color w:val="0000EE"/>
            <w:u w:val="single"/>
          </w:rPr>
          <w:t>24.28</w:t>
        </w:r>
      </w:hyperlink>
      <w:r>
        <w:t>).</w:t>
      </w:r>
    </w:p>
    <w:p>
      <w:pPr>
        <w:pStyle w:val="ListNumber"/>
        <w:spacing w:line="240" w:lineRule="auto"/>
        <w:ind w:left="720"/>
      </w:pPr>
      <w:r/>
      <w:r>
        <w:t>Um sacerdote descendente de Fineias. Este Eleazar ajudou a registrar os itens no tesouro do templo após retornar do exílio na Babilônia com Esdras (</w:t>
      </w:r>
      <w:hyperlink r:id="rId7828">
        <w:r>
          <w:rPr>
            <w:color w:val="0000EE"/>
            <w:u w:val="single"/>
          </w:rPr>
          <w:t>Ed 8.33</w:t>
        </w:r>
      </w:hyperlink>
      <w:r>
        <w:t>);</w:t>
      </w:r>
    </w:p>
    <w:p>
      <w:pPr>
        <w:pStyle w:val="ListNumber"/>
        <w:spacing w:line="240" w:lineRule="auto"/>
        <w:ind w:left="720"/>
      </w:pPr>
      <w:r/>
      <w:r>
        <w:t>O filho de Parós, listado com outros que se divorciaram de suas esposas não judias na reforma sob Esdras (</w:t>
      </w:r>
      <w:hyperlink r:id="rId7829">
        <w:r>
          <w:rPr>
            <w:color w:val="0000EE"/>
            <w:u w:val="single"/>
          </w:rPr>
          <w:t>Ed 10.25</w:t>
        </w:r>
      </w:hyperlink>
      <w:r>
        <w:t>);</w:t>
      </w:r>
    </w:p>
    <w:p>
      <w:pPr>
        <w:pStyle w:val="ListNumber"/>
        <w:spacing w:line="240" w:lineRule="auto"/>
        <w:ind w:left="720"/>
      </w:pPr>
      <w:r/>
      <w:r>
        <w:t>Um sacerdote que estava presente na dedicação das muralhas reconstruídas de Jerusalém após o exílio na Babilônia (</w:t>
      </w:r>
      <w:hyperlink r:id="rId7766">
        <w:r>
          <w:rPr>
            <w:color w:val="0000EE"/>
            <w:u w:val="single"/>
          </w:rPr>
          <w:t>Ne 12.42</w:t>
        </w:r>
      </w:hyperlink>
      <w:r>
        <w:t>);</w:t>
      </w:r>
    </w:p>
    <w:p>
      <w:pPr>
        <w:pStyle w:val="ListNumber"/>
        <w:spacing w:line="240" w:lineRule="auto"/>
        <w:ind w:left="720"/>
      </w:pPr>
      <w:r/>
      <w:r>
        <w:t>Uma pessoa na lista da família de José, marido de Maria (</w:t>
      </w:r>
      <w:hyperlink r:id="rId7830">
        <w:r>
          <w:rPr>
            <w:color w:val="0000EE"/>
            <w:u w:val="single"/>
          </w:rPr>
          <w:t>Mt 1.15</w:t>
        </w:r>
      </w:hyperlink>
      <w:r>
        <w:t>).</w:t>
      </w:r>
    </w:p>
    <w:p>
      <w:r/>
      <w:r>
        <w:rPr>
          <w:i/>
        </w:rPr>
        <w:t>Veja também</w:t>
      </w:r>
      <w:r>
        <w:t xml:space="preserve"> </w:t>
      </w:r>
      <w:r>
        <w:t>A genealogia de Jesus Cristo</w:t>
      </w:r>
      <w:r>
        <w:t>.</w:t>
      </w:r>
      <w:r/>
      <w:r/>
    </w:p>
    <w:p>
      <w:r/>
    </w:p>
    <w:p>
      <w:pPr>
        <w:pStyle w:val="Heading2"/>
      </w:pPr>
      <w:r>
        <w:t>Eleito, Eleição</w:t>
      </w:r>
      <w:r/>
    </w:p>
    <w:p>
      <w:r/>
      <w:r>
        <w:t>No português moderno, esses são termos que se referem à seleção de um líder ou representante de um grupo de pessoas. Um elemento de escolha está envolvido, uma vez que geralmente há vários candidatos entre os quais apenas um deve ser escolhido.</w:t>
      </w:r>
    </w:p>
    <w:p>
      <w:r/>
      <w:r>
        <w:t xml:space="preserve">Quando o verbo “eleger” é usado teologicamente na Bíblia, geralmente tem Deus como sujeito. No AT, é usado para a escolha de Deus de Israel para ser seu povo (cf. </w:t>
      </w:r>
      <w:hyperlink r:id="rId7831">
        <w:r>
          <w:rPr>
            <w:color w:val="0000EE"/>
            <w:u w:val="single"/>
          </w:rPr>
          <w:t>Atos 13.17</w:t>
        </w:r>
      </w:hyperlink>
      <w:r>
        <w:t>). Israel se tornou o povo de Deus, não porque eles decidiram pertencer a ele, mas porque ele tomou a iniciativa e os escolheu. Nem a escolha de Deus se baseava em quaisquer virtudes específicas que seu povo detinha, mas sim em sua promessa a seu antepassado Abraão (</w:t>
      </w:r>
      <w:hyperlink r:id="rId7832">
        <w:r>
          <w:rPr>
            <w:color w:val="0000EE"/>
            <w:u w:val="single"/>
          </w:rPr>
          <w:t>Deuteronômio 7.7–8</w:t>
        </w:r>
      </w:hyperlink>
      <w:r>
        <w:t>). Deus também escolheu seus líderes, como Saul e Davi (</w:t>
      </w:r>
      <w:hyperlink r:id="rId7833">
        <w:r>
          <w:rPr>
            <w:color w:val="0000EE"/>
            <w:u w:val="single"/>
          </w:rPr>
          <w:t>1Sm 10.24</w:t>
        </w:r>
      </w:hyperlink>
      <w:r>
        <w:t xml:space="preserve">; </w:t>
      </w:r>
      <w:hyperlink r:id="rId7834">
        <w:r>
          <w:rPr>
            <w:color w:val="0000EE"/>
            <w:u w:val="single"/>
          </w:rPr>
          <w:t>2Sm 6.21</w:t>
        </w:r>
      </w:hyperlink>
      <w:r>
        <w:t>), sem qualquer tipo de voto popular das pessoas. A palavra assim indica a prerrogativa de Deus em decidir o que acontecerá, independente da escolha humana.</w:t>
      </w:r>
    </w:p>
    <w:p>
      <w:r/>
      <w:r>
        <w:t>Os mesmos pensamentos são encontrados no NT. O povo de Deus é descrito como seus “eleitos” ou “escolhidos”, um termo usado por Jesus enquanto falava sobre o tempo futuro, quando o Filho do Homem virá e reunirá o povo de Deus (</w:t>
      </w:r>
      <w:hyperlink r:id="rId7835">
        <w:r>
          <w:rPr>
            <w:color w:val="0000EE"/>
            <w:u w:val="single"/>
          </w:rPr>
          <w:t>Mc 13.20, 27</w:t>
        </w:r>
      </w:hyperlink>
      <w:r>
        <w:t>). Ele os vindicará por seus sofrimentos e por sua paciência na espera por sua vinda (</w:t>
      </w:r>
      <w:hyperlink r:id="rId7836">
        <w:r>
          <w:rPr>
            <w:color w:val="0000EE"/>
            <w:u w:val="single"/>
          </w:rPr>
          <w:t>Lc 18.7</w:t>
        </w:r>
      </w:hyperlink>
      <w:r>
        <w:t xml:space="preserve">). Em </w:t>
      </w:r>
      <w:hyperlink r:id="rId3643">
        <w:r>
          <w:rPr>
            <w:color w:val="0000EE"/>
            <w:u w:val="single"/>
          </w:rPr>
          <w:t>1Pedro 2.9</w:t>
        </w:r>
      </w:hyperlink>
      <w:r>
        <w:t>, o povo de Deus é chamado de “nação escolhida [eleita]”. Esta frase foi originalmente usada para o povo de Israel (</w:t>
      </w:r>
      <w:hyperlink r:id="rId7837">
        <w:r>
          <w:rPr>
            <w:color w:val="0000EE"/>
            <w:u w:val="single"/>
          </w:rPr>
          <w:t>Is 43.20</w:t>
        </w:r>
      </w:hyperlink>
      <w:r>
        <w:t>), e traz à tona o fato de que o povo de Deus no AT e a igreja cristã no NT estão em continuidade uns com os outros; as promessas dirigidas a Israel agora encontram seu cumprimento na igreja.</w:t>
      </w:r>
    </w:p>
    <w:p>
      <w:r/>
      <w:r>
        <w:t xml:space="preserve">Em </w:t>
      </w:r>
      <w:hyperlink r:id="rId4407">
        <w:r>
          <w:rPr>
            <w:color w:val="0000EE"/>
            <w:u w:val="single"/>
          </w:rPr>
          <w:t>Romanos 9–11</w:t>
        </w:r>
      </w:hyperlink>
      <w:r>
        <w:t>, Paul discute o problema de por que o povo de Israel, como uma nação, rejeitou o evangelho, enquanto os gentios o receberam. Ele afirma que no tempo presente ainda há um “remanescente” de Israel como resultado da escolha graciosa de Deus por eles. Este grupo é “os eleitos”. Eles são o povo escolhido que obtiveram aquilo que era para Israel como um todo, enquanto a maior parte do povo deixou de obtê-lo porque estavam “endurecidos” como consequência de seu pecado (</w:t>
      </w:r>
      <w:hyperlink r:id="rId7838">
        <w:r>
          <w:rPr>
            <w:color w:val="0000EE"/>
            <w:u w:val="single"/>
          </w:rPr>
          <w:t>Rm 11.5–7</w:t>
        </w:r>
      </w:hyperlink>
      <w:r>
        <w:t>).</w:t>
      </w:r>
    </w:p>
    <w:p>
      <w:r/>
      <w:r>
        <w:t>No entanto, a escolha de Deus por Israel para ser o seu povo não foi cancelada. A maioria do povo judeu se alinhou contra o evangelho, para que, assim, os gentios possam entrar e receber as bênçãos de Deus no lugar deles; no entanto, eles ainda são amados por Deus, e por isso Deus não revogará o seu chamado original deles (</w:t>
      </w:r>
      <w:hyperlink r:id="rId354">
        <w:r>
          <w:rPr>
            <w:color w:val="0000EE"/>
            <w:u w:val="single"/>
          </w:rPr>
          <w:t>Rm 11.28</w:t>
        </w:r>
      </w:hyperlink>
      <w:r>
        <w:t>). Consequentemente, Paulo está confiante de que, no devido tempo, haverá um retorno geral a Deus pelo povo de Israel.</w:t>
      </w:r>
    </w:p>
    <w:p>
      <w:r/>
      <w:r>
        <w:t>A palavra traduzida “eleito” geralmente é encontrada no plural e se refere ou aos membros do povo de Deus como um todo ou àqueles em uma determinada igreja local (</w:t>
      </w:r>
      <w:hyperlink r:id="rId7839">
        <w:r>
          <w:rPr>
            <w:color w:val="0000EE"/>
            <w:u w:val="single"/>
          </w:rPr>
          <w:t>Rm 8.33</w:t>
        </w:r>
      </w:hyperlink>
      <w:r>
        <w:t xml:space="preserve">; </w:t>
      </w:r>
      <w:hyperlink r:id="rId3852">
        <w:r>
          <w:rPr>
            <w:color w:val="0000EE"/>
            <w:u w:val="single"/>
          </w:rPr>
          <w:t>Cl 3.12</w:t>
        </w:r>
      </w:hyperlink>
      <w:r>
        <w:t xml:space="preserve">; </w:t>
      </w:r>
      <w:hyperlink r:id="rId7840">
        <w:r>
          <w:rPr>
            <w:color w:val="0000EE"/>
            <w:u w:val="single"/>
          </w:rPr>
          <w:t>1Ts 1.4</w:t>
        </w:r>
      </w:hyperlink>
      <w:r>
        <w:t xml:space="preserve">; </w:t>
      </w:r>
      <w:hyperlink r:id="rId7841">
        <w:r>
          <w:rPr>
            <w:color w:val="0000EE"/>
            <w:u w:val="single"/>
          </w:rPr>
          <w:t>2Tm 2.10</w:t>
        </w:r>
      </w:hyperlink>
      <w:r>
        <w:t xml:space="preserve">; </w:t>
      </w:r>
      <w:hyperlink r:id="rId7842">
        <w:r>
          <w:rPr>
            <w:color w:val="0000EE"/>
            <w:u w:val="single"/>
          </w:rPr>
          <w:t>Tt 1.1</w:t>
        </w:r>
      </w:hyperlink>
      <w:r>
        <w:t xml:space="preserve">; </w:t>
      </w:r>
      <w:hyperlink r:id="rId7843">
        <w:r>
          <w:rPr>
            <w:color w:val="0000EE"/>
            <w:u w:val="single"/>
          </w:rPr>
          <w:t>1Pe 1.1–2</w:t>
        </w:r>
      </w:hyperlink>
      <w:r>
        <w:t xml:space="preserve">; </w:t>
      </w:r>
      <w:hyperlink r:id="rId7844">
        <w:r>
          <w:rPr>
            <w:color w:val="0000EE"/>
            <w:u w:val="single"/>
          </w:rPr>
          <w:t>2Pe 1.10</w:t>
        </w:r>
      </w:hyperlink>
      <w:r>
        <w:t xml:space="preserve">; </w:t>
      </w:r>
      <w:hyperlink r:id="rId7845">
        <w:r>
          <w:rPr>
            <w:color w:val="0000EE"/>
            <w:u w:val="single"/>
          </w:rPr>
          <w:t>Ap 17.14</w:t>
        </w:r>
      </w:hyperlink>
      <w:r>
        <w:t xml:space="preserve">; cf. </w:t>
      </w:r>
      <w:hyperlink r:id="rId7846">
        <w:r>
          <w:rPr>
            <w:color w:val="0000EE"/>
            <w:u w:val="single"/>
          </w:rPr>
          <w:t>Rm 16.13</w:t>
        </w:r>
      </w:hyperlink>
      <w:r>
        <w:t xml:space="preserve"> e </w:t>
      </w:r>
      <w:hyperlink r:id="rId7847">
        <w:r>
          <w:rPr>
            <w:color w:val="0000EE"/>
            <w:u w:val="single"/>
          </w:rPr>
          <w:t>2Jo 1.13</w:t>
        </w:r>
      </w:hyperlink>
      <w:r>
        <w:t>, que têm a forma singular). O uso do plural pode ser parcialmente explicado pelo fato de que a maioria das cartas do NT são endereçadas a grupos de pessoas, em vez de indivíduos. Mais provavelmente, no entanto, o ponto é que a eleição de Deus está relacionada com a criação de um povo coletivo, em vez do chamado de indivíduos isolados.</w:t>
      </w:r>
    </w:p>
    <w:p>
      <w:r/>
      <w:r>
        <w:t>A palavra “eleição” enfatiza que a participação no povo de Deus é devido à iniciativa de Deus, antes de qualquer resposta humana, feita antes do início dos tempos (</w:t>
      </w:r>
      <w:hyperlink r:id="rId7649">
        <w:r>
          <w:rPr>
            <w:color w:val="0000EE"/>
            <w:u w:val="single"/>
          </w:rPr>
          <w:t>Ef 1.4</w:t>
        </w:r>
      </w:hyperlink>
      <w:r>
        <w:t xml:space="preserve">; cf. </w:t>
      </w:r>
      <w:hyperlink r:id="rId7848">
        <w:r>
          <w:rPr>
            <w:color w:val="0000EE"/>
            <w:u w:val="single"/>
          </w:rPr>
          <w:t>Jo 15.16, 19</w:t>
        </w:r>
      </w:hyperlink>
      <w:r>
        <w:t>). Deus é aquele que chamou homens e mulheres para serem seu povo, e aqueles que respondem são os eleitos. O chamado de Deus não depende de quaisquer virtudes ou méritos da humanidade. De fato, ele escolhe as coisas tolas segundo os padrões mundanos para envergonhar as sábias, os fracos para confundir os fortes, e os humildes e insignificantes para reduzir a nada aqueles que pensam que são algo (</w:t>
      </w:r>
      <w:hyperlink r:id="rId7849">
        <w:r>
          <w:rPr>
            <w:color w:val="0000EE"/>
            <w:u w:val="single"/>
          </w:rPr>
          <w:t>1Co 1.27–28</w:t>
        </w:r>
      </w:hyperlink>
      <w:r>
        <w:t>). O efeito da eleição é não deixar nenhuma razão sequer para a arrogância humana em suas realizações e posições. Independente de quem forem os eleitos, eles devem tudo inteiramente a Deus, e eles não podem se gabar ou se comparar com outras pessoas.</w:t>
      </w:r>
    </w:p>
    <w:p>
      <w:r/>
      <w:r>
        <w:t>Os eleitos de Deus são um povo privilegiado. Visto que eles agora têm Deus para sustentá-los, ninguém pode trazer qualquer acusação contra eles que possa os levar à condenação de Deus (</w:t>
      </w:r>
      <w:hyperlink r:id="rId7839">
        <w:r>
          <w:rPr>
            <w:color w:val="0000EE"/>
            <w:u w:val="single"/>
          </w:rPr>
          <w:t>Rm 8.33</w:t>
        </w:r>
      </w:hyperlink>
      <w:r>
        <w:t>). Eles constituem um sacerdócio real; eles são servos de Deus com o direito de acesso a ele (</w:t>
      </w:r>
      <w:hyperlink r:id="rId3643">
        <w:r>
          <w:rPr>
            <w:color w:val="0000EE"/>
            <w:u w:val="single"/>
          </w:rPr>
          <w:t>1Pe 2.9</w:t>
        </w:r>
      </w:hyperlink>
      <w:r>
        <w:t>). É por causa deles que os apóstolos suportaram tribulações e sofrimentos, para que pudessem desfrutar da salvação futura e da glória eterna (</w:t>
      </w:r>
      <w:hyperlink r:id="rId7841">
        <w:r>
          <w:rPr>
            <w:color w:val="0000EE"/>
            <w:u w:val="single"/>
          </w:rPr>
          <w:t>2Tm 2.10</w:t>
        </w:r>
      </w:hyperlink>
      <w:r>
        <w:t>).</w:t>
      </w:r>
    </w:p>
    <w:p>
      <w:r/>
      <w:r>
        <w:t>Os eleitos se distinguem por sua fé em Deus (</w:t>
      </w:r>
      <w:hyperlink r:id="rId7842">
        <w:r>
          <w:rPr>
            <w:color w:val="0000EE"/>
            <w:u w:val="single"/>
          </w:rPr>
          <w:t>Tt 1.1</w:t>
        </w:r>
      </w:hyperlink>
      <w:r>
        <w:t>), e eles são chamados para mostrar o caráter que convém ao povo de Deus (</w:t>
      </w:r>
      <w:hyperlink r:id="rId3852">
        <w:r>
          <w:rPr>
            <w:color w:val="0000EE"/>
            <w:u w:val="single"/>
          </w:rPr>
          <w:t>Cl 3.12</w:t>
        </w:r>
      </w:hyperlink>
      <w:r>
        <w:t>). Eles devem confirmar seu chamado e eleição; isto é, eles devem mostrar que eles pertencem a Deus pela qualidade de suas vidas (</w:t>
      </w:r>
      <w:hyperlink r:id="rId7844">
        <w:r>
          <w:rPr>
            <w:color w:val="0000EE"/>
            <w:u w:val="single"/>
          </w:rPr>
          <w:t>2Pe 1.10</w:t>
        </w:r>
      </w:hyperlink>
      <w:r>
        <w:t>). Eles devem continuar sendo fiéis àquele que os chamou (</w:t>
      </w:r>
      <w:hyperlink r:id="rId7845">
        <w:r>
          <w:rPr>
            <w:color w:val="0000EE"/>
            <w:u w:val="single"/>
          </w:rPr>
          <w:t>Ap 17.14</w:t>
        </w:r>
      </w:hyperlink>
      <w:r>
        <w:t>).</w:t>
      </w:r>
    </w:p>
    <w:p>
      <w:r/>
      <w:r>
        <w:t xml:space="preserve">A relação entre o chamado de Deus e a resposta humana é explicada em </w:t>
      </w:r>
      <w:hyperlink r:id="rId3772">
        <w:r>
          <w:rPr>
            <w:color w:val="0000EE"/>
            <w:u w:val="single"/>
          </w:rPr>
          <w:t>Mateus 22.14</w:t>
        </w:r>
      </w:hyperlink>
      <w:r>
        <w:t>: “Porque muitos são chamados, mas poucos são escolhidos”. Embora Deus chame muitos através do evangelho, apenas alguns deles respondem ao chamado e se tornam seu povo eleito. O texto não lança luz sobre o mistério da razão pela qual apenas alguns se tornam o povo de Deus. Certamente, quando uma pessoa verdadeiramente responde ao chamado de Deus, é porque o evangelho vem a ele ou ela “em poder e no Espírito Santo e com plena convicção” (</w:t>
      </w:r>
      <w:hyperlink r:id="rId7850">
        <w:r>
          <w:rPr>
            <w:color w:val="0000EE"/>
            <w:u w:val="single"/>
          </w:rPr>
          <w:t>1Ts 1.4–5</w:t>
        </w:r>
      </w:hyperlink>
      <w:r>
        <w:t>). Quando homens e mulheres rejeitam o evangelho, é porque eles se tornaram endurecidos como consequência do pecado e pela sua confiança em suas próprias obras. As Escrituras não vão além desse ponto em sua explicação, e os cristãos também não devem ir.</w:t>
      </w:r>
    </w:p>
    <w:p>
      <w:r/>
      <w:r>
        <w:t>“Eleição” também pode ser usada na escolha de Deus de pessoas para servi-lo. Jesus escolheu os 12 discípulos dentre o grande número daqueles que o seguiam (</w:t>
      </w:r>
      <w:hyperlink r:id="rId7851">
        <w:r>
          <w:rPr>
            <w:color w:val="0000EE"/>
            <w:u w:val="single"/>
          </w:rPr>
          <w:t>Lc 6.13</w:t>
        </w:r>
      </w:hyperlink>
      <w:r>
        <w:t xml:space="preserve">; </w:t>
      </w:r>
      <w:hyperlink r:id="rId7852">
        <w:r>
          <w:rPr>
            <w:color w:val="0000EE"/>
            <w:u w:val="single"/>
          </w:rPr>
          <w:t>Atos 1.2</w:t>
        </w:r>
      </w:hyperlink>
      <w:r>
        <w:t>). O mesmo pensamento reaparece no Evangelho de João; Jesus comentou que, embora ele tenha escolhido os Doze, um deles acabou por ser um diabo (</w:t>
      </w:r>
      <w:hyperlink r:id="rId7853">
        <w:r>
          <w:rPr>
            <w:color w:val="0000EE"/>
            <w:u w:val="single"/>
          </w:rPr>
          <w:t>Jo 6.70</w:t>
        </w:r>
      </w:hyperlink>
      <w:r>
        <w:t xml:space="preserve">; </w:t>
      </w:r>
      <w:hyperlink r:id="rId7854">
        <w:r>
          <w:rPr>
            <w:color w:val="0000EE"/>
            <w:u w:val="single"/>
          </w:rPr>
          <w:t>13.18</w:t>
        </w:r>
      </w:hyperlink>
      <w:r>
        <w:t>). Quando foi necessário escolher um substituto para Judas, a igreja orou a Jesus e pediu-lhe para mostrar qual dos dois candidatos disponíveis ele escolheria para preencher a lacuna nos Doze (</w:t>
      </w:r>
      <w:hyperlink r:id="rId7855">
        <w:r>
          <w:rPr>
            <w:color w:val="0000EE"/>
            <w:u w:val="single"/>
          </w:rPr>
          <w:t>Atos 1.24</w:t>
        </w:r>
      </w:hyperlink>
      <w:r>
        <w:t>). Pedro atribui seu evangelismo entre os gentios à sua eleição para esse propósito (</w:t>
      </w:r>
      <w:hyperlink r:id="rId7856">
        <w:r>
          <w:rPr>
            <w:color w:val="0000EE"/>
            <w:u w:val="single"/>
          </w:rPr>
          <w:t>15.7</w:t>
        </w:r>
      </w:hyperlink>
      <w:r>
        <w:t>). Da mesma forma, Paulo foi um instrumento eleito para a missão de Deus aos gentios (</w:t>
      </w:r>
      <w:hyperlink r:id="rId2289">
        <w:r>
          <w:rPr>
            <w:color w:val="0000EE"/>
            <w:u w:val="single"/>
          </w:rPr>
          <w:t>9.15</w:t>
        </w:r>
      </w:hyperlink>
      <w:r>
        <w:t>). A iniciativa na missão cristã permanece com Deus, que elege as pessoas para servi-lo de maneiras específicas.</w:t>
      </w:r>
    </w:p>
    <w:p>
      <w:r/>
      <w:r>
        <w:rPr>
          <w:i/>
        </w:rPr>
        <w:t>Ver também</w:t>
      </w:r>
      <w:r>
        <w:t xml:space="preserve"> </w:t>
      </w:r>
      <w:r>
        <w:t>Presciência</w:t>
      </w:r>
      <w:r>
        <w:t xml:space="preserve">; </w:t>
      </w:r>
      <w:r>
        <w:t>Pre-ordenação</w:t>
      </w:r>
      <w:r>
        <w:t>.</w:t>
      </w:r>
      <w:r/>
      <w:r/>
    </w:p>
    <w:p>
      <w:r/>
    </w:p>
    <w:p>
      <w:pPr>
        <w:pStyle w:val="Heading2"/>
      </w:pPr>
      <w:r>
        <w:t>El-Elohe-Israel</w:t>
      </w:r>
      <w:r/>
    </w:p>
    <w:p>
      <w:r/>
      <w:r>
        <w:t>Nome de um altar construído por Jacó na terra que ele comprou dos filhos de Hamor, perto de Siquém (</w:t>
      </w:r>
      <w:hyperlink r:id="rId978">
        <w:r>
          <w:rPr>
            <w:color w:val="0000EE"/>
            <w:u w:val="single"/>
          </w:rPr>
          <w:t>Gn 33.20</w:t>
        </w:r>
      </w:hyperlink>
      <w:r>
        <w:t>). Jacó usou o nome da divindade cananeia, El, como uma designação para o Deus de Israel.</w:t>
      </w:r>
    </w:p>
    <w:p>
      <w:r/>
      <w:r>
        <w:t xml:space="preserve">Alguns estudiosos, considerando este um nome estranho para um altar, sugerem que a combinação de nomes reflete emendas posteriores feitas por escribas nos textos das escrituras. Eles argumentam que a Septuaginta corrige a dificuldade ao afirmar que Jacó havia invocado “o” Deus de Israel. Outros especulam que Jacó construiu uma coluna, não um altar (cf. </w:t>
      </w:r>
      <w:hyperlink r:id="rId7857">
        <w:r>
          <w:rPr>
            <w:color w:val="0000EE"/>
            <w:u w:val="single"/>
          </w:rPr>
          <w:t>Gn 35.14,20</w:t>
        </w:r>
      </w:hyperlink>
      <w:r>
        <w:t>).</w:t>
      </w:r>
    </w:p>
    <w:p>
      <w:r/>
      <w:r>
        <w:rPr>
          <w:i/>
        </w:rPr>
        <w:t>Veja também</w:t>
      </w:r>
      <w:r>
        <w:t xml:space="preserve"> </w:t>
      </w:r>
      <w:r>
        <w:t>Deus, Nomes de Deus</w:t>
      </w:r>
      <w:r>
        <w:t>.</w:t>
      </w:r>
      <w:r/>
      <w:r/>
    </w:p>
    <w:p>
      <w:r/>
    </w:p>
    <w:p>
      <w:pPr>
        <w:pStyle w:val="Heading2"/>
      </w:pPr>
      <w:r>
        <w:t>El-Elyon</w:t>
      </w:r>
      <w:r/>
    </w:p>
    <w:p>
      <w:r/>
      <w:r>
        <w:t>Hebraico para “Deus Altíssimo” (</w:t>
      </w:r>
      <w:hyperlink r:id="rId7858">
        <w:r>
          <w:rPr>
            <w:color w:val="0000EE"/>
            <w:u w:val="single"/>
          </w:rPr>
          <w:t>Gn 14.18</w:t>
        </w:r>
      </w:hyperlink>
      <w:r>
        <w:t xml:space="preserve">). </w:t>
      </w:r>
      <w:r>
        <w:rPr>
          <w:i/>
        </w:rPr>
        <w:t>Veja</w:t>
      </w:r>
      <w:r>
        <w:t xml:space="preserve"> </w:t>
      </w:r>
      <w:r>
        <w:t>Deus, Nomes de</w:t>
      </w:r>
      <w:r>
        <w:t>.</w:t>
      </w:r>
      <w:r/>
      <w:r/>
    </w:p>
    <w:p>
      <w:r/>
    </w:p>
    <w:p>
      <w:pPr>
        <w:pStyle w:val="Heading2"/>
      </w:pPr>
      <w:r>
        <w:t>Eli</w:t>
      </w:r>
      <w:r/>
    </w:p>
    <w:p>
      <w:r/>
      <w:r>
        <w:t>Um sacerdote no santuário do Senhor em Siló durante o tempo dos juízes (</w:t>
      </w:r>
      <w:hyperlink r:id="rId7859">
        <w:r>
          <w:rPr>
            <w:color w:val="0000EE"/>
            <w:u w:val="single"/>
          </w:rPr>
          <w:t>1Sm 1.3,9</w:t>
        </w:r>
      </w:hyperlink>
      <w:r>
        <w:t>). Siló era um lugar sagrado localizado a cerca de 16 quilômetros (10 milhas) ao norte de Jerusalém. Era o principal centro de adoração para as tribos israelitas. Eli tinha dois filhos chamados Hofni e Fineias, que também eram sacerdotes. Estes são nomes egípcios. A Bíblia não declara claramente a linhagem familiar de Eli, mas há duas possibilidades:</w:t>
      </w:r>
    </w:p>
    <w:p>
      <w:pPr>
        <w:pStyle w:val="ListBullet"/>
        <w:spacing w:line="240" w:lineRule="auto"/>
        <w:ind w:left="720"/>
      </w:pPr>
      <w:r/>
      <w:r>
        <w:t>Ele pode ter sido um descendente de Itamar, o filho mais novo de Arão (</w:t>
      </w:r>
      <w:hyperlink r:id="rId69">
        <w:r>
          <w:rPr>
            <w:color w:val="0000EE"/>
            <w:u w:val="single"/>
          </w:rPr>
          <w:t>1Sm 22.20</w:t>
        </w:r>
      </w:hyperlink>
      <w:r>
        <w:t xml:space="preserve">; </w:t>
      </w:r>
      <w:hyperlink r:id="rId7860">
        <w:r>
          <w:rPr>
            <w:color w:val="0000EE"/>
            <w:u w:val="single"/>
          </w:rPr>
          <w:t>1Rs 2.27</w:t>
        </w:r>
      </w:hyperlink>
      <w:r>
        <w:t xml:space="preserve">; </w:t>
      </w:r>
      <w:hyperlink r:id="rId7819">
        <w:r>
          <w:rPr>
            <w:color w:val="0000EE"/>
            <w:u w:val="single"/>
          </w:rPr>
          <w:t>1Cr 24.3</w:t>
        </w:r>
      </w:hyperlink>
      <w:r>
        <w:t>);</w:t>
      </w:r>
    </w:p>
    <w:p>
      <w:pPr>
        <w:pStyle w:val="ListBullet"/>
        <w:spacing w:line="240" w:lineRule="auto"/>
        <w:ind w:left="720"/>
      </w:pPr>
      <w:r/>
      <w:r>
        <w:t>Ele pode ter vindo da família de Eleazar (</w:t>
      </w:r>
      <w:hyperlink r:id="rId7861">
        <w:r>
          <w:rPr>
            <w:color w:val="0000EE"/>
            <w:u w:val="single"/>
          </w:rPr>
          <w:t>Êx 6.23–25</w:t>
        </w:r>
      </w:hyperlink>
      <w:r>
        <w:t xml:space="preserve">; </w:t>
      </w:r>
      <w:hyperlink r:id="rId7862">
        <w:r>
          <w:rPr>
            <w:color w:val="0000EE"/>
            <w:u w:val="single"/>
          </w:rPr>
          <w:t>Ed 1.2–3</w:t>
        </w:r>
      </w:hyperlink>
      <w:r>
        <w:t>).</w:t>
      </w:r>
    </w:p>
    <w:p>
      <w:r/>
      <w:r>
        <w:t xml:space="preserve">Em </w:t>
      </w:r>
      <w:hyperlink r:id="rId7863">
        <w:r>
          <w:rPr>
            <w:color w:val="0000EE"/>
            <w:u w:val="single"/>
          </w:rPr>
          <w:t>1 Samuel 1</w:t>
        </w:r>
      </w:hyperlink>
      <w:r>
        <w:t>, Eli abençoou Ana, a esposa sem filhos de Elcana, depois que soube de sua oração por um filho. Mais tarde, Ana deu à luz Samuel. Quando Samuel estava velho o suficiente para ser desmamado, sua mãe o levou a Eli para treinamento no santuário, cumprindo a promessa que havia feito a Deus.</w:t>
      </w:r>
    </w:p>
    <w:p>
      <w:r/>
      <w:r>
        <w:t>Hofni e Fineias estavam conduzindo os israelitas a caminhos pecaminosos, apesar das objeções de Eli. Por causa desse pecado, Deus prometeu punir a família de Eli (</w:t>
      </w:r>
      <w:hyperlink r:id="rId7864">
        <w:r>
          <w:rPr>
            <w:color w:val="0000EE"/>
            <w:u w:val="single"/>
          </w:rPr>
          <w:t>1Sm 2.27,36</w:t>
        </w:r>
      </w:hyperlink>
      <w:r>
        <w:t>). Deus disse que os filhos de Eli morreriam no mesmo dia (</w:t>
      </w:r>
      <w:hyperlink r:id="rId7865">
        <w:r>
          <w:rPr>
            <w:color w:val="0000EE"/>
            <w:u w:val="single"/>
          </w:rPr>
          <w:t>1Sm 2.34</w:t>
        </w:r>
      </w:hyperlink>
      <w:r>
        <w:t>). Isso ocorreu durante uma batalha com os filisteus em Afeca (</w:t>
      </w:r>
      <w:hyperlink r:id="rId7866">
        <w:r>
          <w:rPr>
            <w:color w:val="0000EE"/>
            <w:u w:val="single"/>
          </w:rPr>
          <w:t>1Sm 4.11,17</w:t>
        </w:r>
      </w:hyperlink>
      <w:r>
        <w:t>). Eli também morreu ao saber da derrota e que os filisteus haviam capturado a Arca da Aliança. Eli tinha 98 anos quando faleceu. Ele havia sido tanto sacerdote quanto juiz em Israel por 40 anos (</w:t>
      </w:r>
      <w:hyperlink r:id="rId7867">
        <w:r>
          <w:rPr>
            <w:color w:val="0000EE"/>
            <w:u w:val="single"/>
          </w:rPr>
          <w:t>1Sm 4.15–18</w:t>
        </w:r>
      </w:hyperlink>
      <w:r>
        <w:t>). A nora de Eli, esposa de Fineias, morreu ao dar à luz. Ela estava desolada pela perda de seu marido e da arca. Ela nomeou seu filho Icabô porque sentiu que não havia mais esperança (</w:t>
      </w:r>
      <w:hyperlink r:id="rId7868">
        <w:r>
          <w:rPr>
            <w:color w:val="0000EE"/>
            <w:u w:val="single"/>
          </w:rPr>
          <w:t>1Sm 4.19–22</w:t>
        </w:r>
      </w:hyperlink>
      <w:r>
        <w:t>).</w:t>
      </w:r>
    </w:p>
    <w:p>
      <w:r/>
      <w:r>
        <w:t>Eli era sincero e devoto a Deus, mas não era um líder forte. Ele era fraco e muito indulgente com os filhos.</w:t>
      </w:r>
      <w:r/>
      <w:r/>
    </w:p>
    <w:p>
      <w:r/>
    </w:p>
    <w:p>
      <w:pPr>
        <w:pStyle w:val="Heading2"/>
      </w:pPr>
      <w:r>
        <w:t>Eli, Eli, Lamá Sabactâni?</w:t>
      </w:r>
      <w:r/>
    </w:p>
    <w:p>
      <w:r/>
      <w:r>
        <w:t>Um dos clamores de Jesus na cruz é traduzido corretamente como “Deus meu, Deus meu, por que me abandonaste?” (A NTLH usa uma grafia alternativa “lemá” para a terceira palavra na expressão). Esta forma do “grito de abandono” (</w:t>
      </w:r>
      <w:hyperlink r:id="rId7869">
        <w:r>
          <w:rPr>
            <w:color w:val="0000EE"/>
            <w:u w:val="single"/>
          </w:rPr>
          <w:t>Mt 27.46</w:t>
        </w:r>
      </w:hyperlink>
      <w:r>
        <w:t>) é ligeiramente diferente de sua outra forma registrada, “Eloí, Eloí, lamá sabactani?” (</w:t>
      </w:r>
      <w:hyperlink r:id="rId7870">
        <w:r>
          <w:rPr>
            <w:color w:val="0000EE"/>
            <w:u w:val="single"/>
          </w:rPr>
          <w:t>Mc 15.34</w:t>
        </w:r>
      </w:hyperlink>
      <w:r>
        <w:t xml:space="preserve">). Ambas as versões são adaptações do </w:t>
      </w:r>
      <w:hyperlink r:id="rId7871">
        <w:r>
          <w:rPr>
            <w:color w:val="0000EE"/>
            <w:u w:val="single"/>
          </w:rPr>
          <w:t>Salmo 22.1</w:t>
        </w:r>
      </w:hyperlink>
      <w:r>
        <w:t xml:space="preserve"> no aramaico, a língua comum da Palestina do primeiro século d.C. A única diferença nos dois relatos é que a versão de Marcos está completamente em aramaico, enquanto Mateus retém a palavra hebraica para Deus (o que não era incomum para judeus falantes de aramaico). O fato de que alguns dos ouvintes de Jesus pensaram que ele estava chamando Elias indica que a versão de Mateus é provavelmente a original. Elias poderia ter sido confundido com “Eli” mais facilmente do que com “Eloí” (</w:t>
      </w:r>
      <w:hyperlink r:id="rId7872">
        <w:r>
          <w:rPr>
            <w:color w:val="0000EE"/>
            <w:u w:val="single"/>
          </w:rPr>
          <w:t>Mt 27.47</w:t>
        </w:r>
      </w:hyperlink>
      <w:r>
        <w:t xml:space="preserve">; </w:t>
      </w:r>
      <w:hyperlink r:id="rId7873">
        <w:r>
          <w:rPr>
            <w:color w:val="0000EE"/>
            <w:u w:val="single"/>
          </w:rPr>
          <w:t>Mc 15.35</w:t>
        </w:r>
      </w:hyperlink>
      <w:r>
        <w:t>).</w:t>
      </w:r>
    </w:p>
    <w:p>
      <w:r/>
      <w:r>
        <w:t>As variantes textuais existentes sugerem as dificuldades que copistas e intérpretes enfrentaram com as palavras de Jesus. Após meditar sobre a passagem, Martinho Lutero exclamou: “Deus abandonado por Deus! Quem pode entender isso?”. A declaração de Lutero sobre o grande problema teológico, que Jesus foi abandonado por Deus, não é a única interpretação possível do texto. O debate tem se concentrado em duas questões: se de fato o abandono por Deus foi expresso pelo uso das palavras do salmista por Jesus, e por que os espectadores mencionaram Elias.</w:t>
      </w:r>
    </w:p>
    <w:p>
      <w:pPr>
        <w:pStyle w:val="Heading3"/>
      </w:pPr>
      <w:r>
        <w:t>O significado do clamor</w:t>
      </w:r>
    </w:p>
    <w:p>
      <w:r/>
      <w:r>
        <w:t>Em um extremo, muitos foram impactados pela dureza das palavras de Jesus. Alguns até perceberam nelas uma sensação de que, na cruz, ele havia falhado e que toda esperança para a vinda do reino de Deus estava perdida. Sob essa perspectiva, as palavras de Jesus foram vistas como um grito de desespero por uma causa perdida. No entanto, essa visão dificilmente se encaixa no restante da apresentação de Jesus no Novo Testamento.</w:t>
      </w:r>
    </w:p>
    <w:p>
      <w:r/>
      <w:r>
        <w:t>No extremo oposto, alguns interpretam as palavras como nem rígidas nem negativas de qualquer forma. Eles veem o clamor como uma afirmação da fé de Jesus ao se entregar a Deus (</w:t>
      </w:r>
      <w:hyperlink r:id="rId7874">
        <w:r>
          <w:rPr>
            <w:color w:val="0000EE"/>
            <w:u w:val="single"/>
          </w:rPr>
          <w:t>Lc 23.46</w:t>
        </w:r>
      </w:hyperlink>
      <w:r>
        <w:t xml:space="preserve">). Para esses intérpretes, o fato de Jesus ter começado sua pergunta com “Deus meu, Deus meu” e usado uma citação bíblica indica reverência religiosa e fé contínua. Na prática judaica, às vezes a primeira linha de um salmo ou canção era citada para se referir a toda a obra. Assim, Jesus pode ter citado </w:t>
      </w:r>
      <w:hyperlink r:id="rId7871">
        <w:r>
          <w:rPr>
            <w:color w:val="0000EE"/>
            <w:u w:val="single"/>
          </w:rPr>
          <w:t>Salmo 22.1</w:t>
        </w:r>
      </w:hyperlink>
      <w:r>
        <w:t xml:space="preserve"> como uma forma de se referir a todo o salmo. </w:t>
      </w:r>
      <w:hyperlink r:id="rId638">
        <w:r>
          <w:rPr>
            <w:color w:val="0000EE"/>
            <w:u w:val="single"/>
          </w:rPr>
          <w:t>Salmo 22</w:t>
        </w:r>
      </w:hyperlink>
      <w:r>
        <w:t xml:space="preserve"> é claramente o lamento de um sofredor justo. Salmos de lamento sempre expressaram uma oração de confiança em Deus e louvor a Deus, bem como uma oração por ajuda de Deus. Assim, de certo ponto de vista, o clamor da cruz pode ser visto como uma oração confiante.</w:t>
      </w:r>
    </w:p>
    <w:p>
      <w:r/>
      <w:r>
        <w:t>Muitos estudiosos bíblicos consideram a segunda visão tão pouco convincente quanto a primeira. Os escritores dos Evangelhos não esclareceram o significado do clamor. No entanto, se as palavras fossem uma expressão de confiança ou louvor, seria esperado algum indício no texto. Como estão, as palavras dificilmente são uma expressão de reverência religiosa. As próprias palavras e o fato de terem sido expressas em um grito alto não sugerem uma oração de confiança ou louvor.</w:t>
      </w:r>
    </w:p>
    <w:p>
      <w:r/>
      <w:r>
        <w:t>Outra abordagem vê as palavras como expressão do sentimento de isolamento de Jesus em um momento de angústia extrema, mas rejeita a ideia de que ele foi realmente abandonado por Deus.</w:t>
      </w:r>
    </w:p>
    <w:p>
      <w:r/>
      <w:r>
        <w:t xml:space="preserve">Mas a interpretação que se tornou "tradicional" é que Jesus </w:t>
      </w:r>
      <w:r>
        <w:rPr>
          <w:i/>
        </w:rPr>
        <w:t>foi</w:t>
      </w:r>
      <w:r>
        <w:t xml:space="preserve"> abandonado por Deus. Nessa visão, o contexto do Jardim do Getsêmani (</w:t>
      </w:r>
      <w:hyperlink r:id="rId7875">
        <w:r>
          <w:rPr>
            <w:color w:val="0000EE"/>
            <w:u w:val="single"/>
          </w:rPr>
          <w:t>Mt 26.36–46</w:t>
        </w:r>
      </w:hyperlink>
      <w:r>
        <w:t xml:space="preserve">; </w:t>
      </w:r>
      <w:hyperlink r:id="rId7876">
        <w:r>
          <w:rPr>
            <w:color w:val="0000EE"/>
            <w:u w:val="single"/>
          </w:rPr>
          <w:t>Mc 14.32–42</w:t>
        </w:r>
      </w:hyperlink>
      <w:r>
        <w:t xml:space="preserve">; </w:t>
      </w:r>
      <w:hyperlink r:id="rId7877">
        <w:r>
          <w:rPr>
            <w:color w:val="0000EE"/>
            <w:u w:val="single"/>
          </w:rPr>
          <w:t>Lc 22.39–46</w:t>
        </w:r>
      </w:hyperlink>
      <w:r>
        <w:t>) indica o tipo de conflito expresso no clamor de Jesus na cruz. A identificação de Jesus com os pecadores foi tão real que assumir o pecado deles rompeu a proximidade de sua comunhão com o Pai. Assim, o abandono de Jesus por Deus é visto como um aspecto importante da expiação. Embora enfatize que Jesus foi realmente abandonado, a visão tradicional continua a enfatizar que a unidade da Trindade permaneceu inquebrada.</w:t>
      </w:r>
    </w:p>
    <w:p>
      <w:r/>
      <w:r>
        <w:t>A explicação desse paradoxo não é fácil. Alguns o consideram um mistério divino e não tentam explicá-lo. Outros tentam distinguir entre o que ocorreu na cruz e a realidade do ser de Deus. Por exemplo, nos primeiros séculos da igreja foi expressa a visão de que apenas a humanidade de Jesus foi afetada pela separação, enquanto sua divindade permaneceu intacta com Deus. Outros argumentam que Jesus foi separado do Pai "funcionalmente" na obra da salvação, mas não "realmente" em relação à sua existência.</w:t>
      </w:r>
    </w:p>
    <w:p>
      <w:r/>
      <w:r>
        <w:t xml:space="preserve">A recusa dos escritores dos Evangelhos em explicar o clamor de Jesus deve levar os estudiosos a hesitar em dar explicações precisas ou dogmáticas. Pelo menos, pode-se afirmar com confiança que (1) o clamor reflete a realidade da humanidade de Jesus diante da morte, (2) o tipo particular de morte (“mesmo morte de cruz”, </w:t>
      </w:r>
      <w:hyperlink r:id="rId7878">
        <w:r>
          <w:rPr>
            <w:color w:val="0000EE"/>
            <w:u w:val="single"/>
          </w:rPr>
          <w:t>Fp 2.8</w:t>
        </w:r>
      </w:hyperlink>
      <w:r>
        <w:t>) foi especialmente escandaloso, e (3) a identificação de Cristo com os pecadores foi uma experiência horrivelmente dolorosa. Assim, embora o clamor esteja de alguma forma relacionado à Expiação, os textos bíblicos não discutem se Jesus foi absolutamente abandonado. Além disso, eles não explicam como Deus poderia recuar do pecado ao mesmo tempo em que “em Cristo Deus estava reconciliando o mundo consigo mesmo” (</w:t>
      </w:r>
      <w:hyperlink r:id="rId377">
        <w:r>
          <w:rPr>
            <w:color w:val="0000EE"/>
            <w:u w:val="single"/>
          </w:rPr>
          <w:t>2Co 5.19</w:t>
        </w:r>
      </w:hyperlink>
      <w:r>
        <w:t>). Ao fazer justiça à profundidade da emoção expressa no clamor, deve-se ter cuidado para não forçar o texto a dizer algo que o autor não pretendia.</w:t>
      </w:r>
    </w:p>
    <w:p>
      <w:pPr>
        <w:pStyle w:val="Heading3"/>
      </w:pPr>
      <w:r>
        <w:t>Elias e o clamor</w:t>
      </w:r>
    </w:p>
    <w:p>
      <w:r/>
      <w:r>
        <w:t xml:space="preserve">Várias possibilidades de conexões entre o clamor e Elias foram sugeridas. Se o clamor se refere ao todo do </w:t>
      </w:r>
      <w:hyperlink r:id="rId638">
        <w:r>
          <w:rPr>
            <w:color w:val="0000EE"/>
            <w:u w:val="single"/>
          </w:rPr>
          <w:t>Salmo 22</w:t>
        </w:r>
      </w:hyperlink>
      <w:r>
        <w:t>, a menção de Elias pelos espectadores indicaria que eles entenderam as palavras de Jesus como uma expressão de confiança na salvação. Uma salvação mediada por Elias pareceria natural aos judeus, que frequentemente viam Elias como um libertador dos justos oprimidos. Outros afirmam que os espectadores estavam distorcendo intencionalmente e maliciosamente as palavras de Jesus para zombar dele. Ainda outros veem a menção de Elias como um mal-entendido honesto devido à semelhança das palavras. A visão que se adota dependerá, em certa medida, de como o clamor de Jesus é interpretado.</w:t>
      </w:r>
    </w:p>
    <w:p>
      <w:r/>
      <w:r>
        <w:rPr>
          <w:i/>
        </w:rPr>
        <w:t>Veja também</w:t>
      </w:r>
      <w:r>
        <w:t xml:space="preserve"> </w:t>
      </w:r>
      <w:r>
        <w:t>Crucificação</w:t>
      </w:r>
      <w:r>
        <w:t xml:space="preserve">; </w:t>
      </w:r>
      <w:r>
        <w:t>As sete últimas declarações de Jesus</w:t>
      </w:r>
      <w:r>
        <w:t>.</w:t>
      </w:r>
      <w:r/>
      <w:r/>
    </w:p>
    <w:p>
      <w:r/>
    </w:p>
    <w:p>
      <w:pPr>
        <w:pStyle w:val="Heading2"/>
      </w:pPr>
      <w:r>
        <w:t>Eliabe</w:t>
      </w:r>
      <w:r/>
    </w:p>
    <w:p>
      <w:r/>
      <w:r>
        <w:t>1. Filho de Helom e líder da tribo de Zebulom quando os israelitas estavam vagando no deserto do Sinai após sua fuga do Egito (</w:t>
      </w:r>
      <w:hyperlink r:id="rId7879">
        <w:r>
          <w:rPr>
            <w:color w:val="0000EE"/>
            <w:u w:val="single"/>
          </w:rPr>
          <w:t>Nm 1.9</w:t>
        </w:r>
      </w:hyperlink>
      <w:r>
        <w:t xml:space="preserve">; </w:t>
      </w:r>
      <w:hyperlink r:id="rId7880">
        <w:r>
          <w:rPr>
            <w:color w:val="0000EE"/>
            <w:u w:val="single"/>
          </w:rPr>
          <w:t>2.7</w:t>
        </w:r>
      </w:hyperlink>
      <w:r>
        <w:t xml:space="preserve">; </w:t>
      </w:r>
      <w:hyperlink r:id="rId7881">
        <w:r>
          <w:rPr>
            <w:color w:val="0000EE"/>
            <w:u w:val="single"/>
          </w:rPr>
          <w:t>10.16</w:t>
        </w:r>
      </w:hyperlink>
      <w:r>
        <w:t>). Como líder, ele apresentou a oferta de sua tribo na consagração do Tabernáculo (</w:t>
      </w:r>
      <w:hyperlink r:id="rId7882">
        <w:r>
          <w:rPr>
            <w:color w:val="0000EE"/>
            <w:u w:val="single"/>
          </w:rPr>
          <w:t>7.24,29</w:t>
        </w:r>
      </w:hyperlink>
      <w:r>
        <w:t>).</w:t>
      </w:r>
    </w:p>
    <w:p>
      <w:r/>
      <w:r>
        <w:t>2. Membro da tribo de Rúben e filho de Palu. Eliabe foi o pai de Nemuel, Datã e Abirão. Datã e Abirão se rebelaram contra Moisés e Arão no deserto (</w:t>
      </w:r>
      <w:hyperlink r:id="rId7883">
        <w:r>
          <w:rPr>
            <w:color w:val="0000EE"/>
            <w:u w:val="single"/>
          </w:rPr>
          <w:t>Nm 16.1,12</w:t>
        </w:r>
      </w:hyperlink>
      <w:r>
        <w:t xml:space="preserve">; </w:t>
      </w:r>
      <w:hyperlink r:id="rId7884">
        <w:r>
          <w:rPr>
            <w:color w:val="0000EE"/>
            <w:u w:val="single"/>
          </w:rPr>
          <w:t>26.8–9</w:t>
        </w:r>
      </w:hyperlink>
      <w:r>
        <w:t xml:space="preserve">; </w:t>
      </w:r>
      <w:hyperlink r:id="rId7885">
        <w:r>
          <w:rPr>
            <w:color w:val="0000EE"/>
            <w:u w:val="single"/>
          </w:rPr>
          <w:t>Dt 11.6</w:t>
        </w:r>
      </w:hyperlink>
      <w:r>
        <w:t>).</w:t>
      </w:r>
    </w:p>
    <w:p>
      <w:r/>
      <w:r>
        <w:t>3. Filho mais velho de Jessé e irmão do Rei Davi. Embora fosse uma pessoa fisicamente impressionante, foi rejeitado por Deus para a realeza em favor de Davi (</w:t>
      </w:r>
      <w:hyperlink r:id="rId7886">
        <w:r>
          <w:rPr>
            <w:color w:val="0000EE"/>
            <w:u w:val="single"/>
          </w:rPr>
          <w:t>1Sm 16.6</w:t>
        </w:r>
      </w:hyperlink>
      <w:r>
        <w:t xml:space="preserve">; </w:t>
      </w:r>
      <w:hyperlink r:id="rId7887">
        <w:r>
          <w:rPr>
            <w:color w:val="0000EE"/>
            <w:u w:val="single"/>
          </w:rPr>
          <w:t>1Cr 2.13</w:t>
        </w:r>
      </w:hyperlink>
      <w:r>
        <w:t>). Eliabe serviu ao Rei Saul quando Golias desafiou o exército de Saul (</w:t>
      </w:r>
      <w:hyperlink r:id="rId7888">
        <w:r>
          <w:rPr>
            <w:color w:val="0000EE"/>
            <w:u w:val="single"/>
          </w:rPr>
          <w:t>1Sm 17.13,28</w:t>
        </w:r>
      </w:hyperlink>
      <w:r>
        <w:t>). Ele foi nomeado líder da tribo de Judá durante o reinado de Davi (</w:t>
      </w:r>
      <w:hyperlink r:id="rId7889">
        <w:r>
          <w:rPr>
            <w:color w:val="0000EE"/>
            <w:u w:val="single"/>
          </w:rPr>
          <w:t>1Cr 27.18</w:t>
        </w:r>
      </w:hyperlink>
      <w:r>
        <w:t>). Sua neta Maalate casou-se com o Rei Roboão de Judá (</w:t>
      </w:r>
      <w:hyperlink r:id="rId60">
        <w:r>
          <w:rPr>
            <w:color w:val="0000EE"/>
            <w:u w:val="single"/>
          </w:rPr>
          <w:t>2Cr 11.18</w:t>
        </w:r>
      </w:hyperlink>
      <w:r>
        <w:t>).</w:t>
      </w:r>
    </w:p>
    <w:p>
      <w:r/>
      <w:r>
        <w:t xml:space="preserve">4. Nome variante para Eliú em </w:t>
      </w:r>
      <w:hyperlink r:id="rId7890">
        <w:r>
          <w:rPr>
            <w:color w:val="0000EE"/>
            <w:u w:val="single"/>
          </w:rPr>
          <w:t>1 Crônicas 6.27</w:t>
        </w:r>
      </w:hyperlink>
      <w:r>
        <w:t xml:space="preserve">. </w:t>
      </w:r>
      <w:r>
        <w:rPr>
          <w:i/>
        </w:rPr>
        <w:t>Veja</w:t>
      </w:r>
      <w:r>
        <w:t xml:space="preserve"> </w:t>
      </w:r>
      <w:r>
        <w:t>Eliú #1</w:t>
      </w:r>
      <w:r>
        <w:t>.</w:t>
      </w:r>
    </w:p>
    <w:p>
      <w:r/>
      <w:r>
        <w:t>5. Guerreiro da tribo de Gade que se juntou a Davi em Ziclague em sua luta contra o Rei Saul (</w:t>
      </w:r>
      <w:hyperlink r:id="rId7891">
        <w:r>
          <w:rPr>
            <w:color w:val="0000EE"/>
            <w:u w:val="single"/>
          </w:rPr>
          <w:t>1Cr 12.9</w:t>
        </w:r>
      </w:hyperlink>
      <w:r>
        <w:t xml:space="preserve">). Eliabe era especialista com o escudo e a lança (v. </w:t>
      </w:r>
      <w:hyperlink r:id="rId1685">
        <w:r>
          <w:rPr>
            <w:color w:val="0000EE"/>
            <w:u w:val="single"/>
          </w:rPr>
          <w:t>8</w:t>
        </w:r>
      </w:hyperlink>
      <w:r>
        <w:t>).</w:t>
      </w:r>
    </w:p>
    <w:p>
      <w:r/>
      <w:r>
        <w:t>6. Músico levita designado para tocar a harpa na procissão quando o Rei Davi trouxe a arca para Jerusalém (</w:t>
      </w:r>
      <w:hyperlink r:id="rId7892">
        <w:r>
          <w:rPr>
            <w:color w:val="0000EE"/>
            <w:u w:val="single"/>
          </w:rPr>
          <w:t>1Cr 15.18</w:t>
        </w:r>
      </w:hyperlink>
      <w:r>
        <w:t>). Ele foi designado permanentemente para o serviço no Tabernáculo (</w:t>
      </w:r>
      <w:hyperlink r:id="rId7893">
        <w:r>
          <w:rPr>
            <w:color w:val="0000EE"/>
            <w:u w:val="single"/>
          </w:rPr>
          <w:t>16.5</w:t>
        </w:r>
      </w:hyperlink>
      <w:r>
        <w:t>).</w:t>
      </w:r>
      <w:r/>
      <w:r/>
    </w:p>
    <w:p>
      <w:r/>
    </w:p>
    <w:p>
      <w:pPr>
        <w:pStyle w:val="Heading2"/>
      </w:pPr>
      <w:r>
        <w:t>Elias</w:t>
      </w:r>
      <w:r/>
    </w:p>
    <w:p>
      <w:r/>
      <w:r>
        <w:t xml:space="preserve">1. Profeta de Israel do século IX a.C. O nome de Elias significa "meu Deus é o Senhor" — apropriado para um firme oponente da adoração a Baal. As Escrituras não fornecem informações sobre sua origem familiar, exceto que ele era um tisbita que provavelmente veio da terra de Gileade, na margem leste do rio Jordão. Ele viveu principalmente durante os reinados dos reis Acabe (874–853 a.C.) e Acazias (853–852 a.C.) de Israel. O relato bíblico de Elias vai de </w:t>
      </w:r>
      <w:hyperlink r:id="rId7894">
        <w:r>
          <w:rPr>
            <w:color w:val="0000EE"/>
            <w:u w:val="single"/>
          </w:rPr>
          <w:t>1 Reis 17</w:t>
        </w:r>
      </w:hyperlink>
      <w:r>
        <w:t xml:space="preserve"> a </w:t>
      </w:r>
      <w:hyperlink r:id="rId7895">
        <w:r>
          <w:rPr>
            <w:color w:val="0000EE"/>
            <w:u w:val="single"/>
          </w:rPr>
          <w:t>2 Reis 2</w:t>
        </w:r>
      </w:hyperlink>
      <w:r>
        <w:t>.</w:t>
      </w:r>
    </w:p>
    <w:p>
      <w:r/>
      <w:r>
        <w:t>Elias foi chamado por Deus em um período crítico na vida de Israel. Economicamente e politicamente, o reino do norte estava em sua posição mais forte desde sua separação do reino do sul. Onri (885–874 a.C.) havia iniciado uma política de comércio e relações amigáveis com os fenícios. Para demonstrar sua boa fé, Onri deu seu filho Acabe em casamento a Jezabel, filha de Etbaal, rei de Tiro. Ela trouxe consigo o culto a Baal para Israel, uma religião falsa cuja rápida disseminação logo ameaçou a própria existência do reino. Elias foi enviado para trazer a nação e seus líderes de volta ao Senhor através de sua mensagem profética e milagres.</w:t>
      </w:r>
    </w:p>
    <w:p>
      <w:pPr>
        <w:pStyle w:val="Heading3"/>
      </w:pPr>
      <w:r>
        <w:t>Aviso de seca</w:t>
      </w:r>
    </w:p>
    <w:p>
      <w:r/>
      <w:r>
        <w:t>Elias iniciou seu ministério registrado dizendo a Acabe que a nação enfrentaria uma seca até que o próprio profeta anunciasse seu término (</w:t>
      </w:r>
      <w:hyperlink r:id="rId221">
        <w:r>
          <w:rPr>
            <w:color w:val="0000EE"/>
            <w:u w:val="single"/>
          </w:rPr>
          <w:t>1Rs 17.1</w:t>
        </w:r>
      </w:hyperlink>
      <w:r>
        <w:t>). Dessa forma, ele reiterou o aviso de Moisés (</w:t>
      </w:r>
      <w:hyperlink r:id="rId7896">
        <w:r>
          <w:rPr>
            <w:color w:val="0000EE"/>
            <w:u w:val="single"/>
          </w:rPr>
          <w:t>Lv 26.14–39</w:t>
        </w:r>
      </w:hyperlink>
      <w:r>
        <w:t xml:space="preserve">; </w:t>
      </w:r>
      <w:hyperlink r:id="rId2209">
        <w:r>
          <w:rPr>
            <w:color w:val="0000EE"/>
            <w:u w:val="single"/>
          </w:rPr>
          <w:t>Dt 28.15–68</w:t>
        </w:r>
      </w:hyperlink>
      <w:r>
        <w:t>) sobre as consequências de se afastar de Deus.</w:t>
      </w:r>
    </w:p>
    <w:p>
      <w:r/>
      <w:r>
        <w:t>Elias então se escondeu em um desfiladeiro na margem leste do Rio Jordão, junto ao riacho Querite (possivelmente o vale do Rio Yarmuk no norte de Gileade). Lá, ele tinha água suficiente para suas necessidades, e corvos lhe traziam comida duas vezes ao dia. Quando o riacho secou, Elias foi orientado a se mudar para a aldeia fenícia de Sarepta, perto de Sidom. Uma viúva cuidou dele com seus escassos suprimentos, e sua obediência a Elias foi recompensada com um suprimento milagroso de farinha e óleo que não se esgotou até que a seca terminou.</w:t>
      </w:r>
    </w:p>
    <w:p>
      <w:r/>
      <w:r>
        <w:t>Enquanto Elias estava hospedado com a viúva, o filho dela adoeceu e morreu. Pelo poder da oração, a criança foi restaurada à vida e à boa saúde.</w:t>
      </w:r>
    </w:p>
    <w:p>
      <w:r/>
      <w:r>
        <w:t>No terceiro ano da seca, o Senhor disse a Elias para informar a Acabe que Deus em breve enviaria chuva para Israel. Ao retornar, Elias encontrou primeiro o oficial de Acabe, Obadias, que estava procurando água para o gado do rei. Elias enviou Obadias para organizar um encontro com Acabe. A princípio, Obadias recusou. Durante três anos, Acabe havia procurado em Israel e nos reinos vizinhos em vão pelo profeta, sem dúvida para forçá-lo a acabar com a seca. Obadias tinha certeza de que, enquanto ele fosse buscar Acabe, o "foragido" mais procurado de Israel escaparia novamente, enfurecendo assim o rei. Quando Elias prometeu que ficaria até ele voltar, o oficial organizou para que Acabe se encontrasse com o profeta.</w:t>
      </w:r>
    </w:p>
    <w:p>
      <w:r/>
      <w:r>
        <w:t>Na reunião subsequente, Elias rejeitou a alegação do rei de que ele era o "maior criador de problemas de Israel" (</w:t>
      </w:r>
      <w:hyperlink r:id="rId7897">
        <w:r>
          <w:rPr>
            <w:color w:val="0000EE"/>
            <w:u w:val="single"/>
          </w:rPr>
          <w:t>1Rs 18.17–18</w:t>
        </w:r>
      </w:hyperlink>
      <w:r>
        <w:t>). Ele estava apenas obedecendo a Deus, insistiu, ao apontar a idolatria de Acabe. Acabe até permitiu que Jezabel subsidiasse uma escola de profetas de Baal e Aserá. Elias então solicitou uma reunião pública no Monte Carmelo como um confronto entre os profetas de Baal e os profetas do Senhor para determinar quem era o verdadeiro Deus.</w:t>
      </w:r>
    </w:p>
    <w:p>
      <w:pPr>
        <w:pStyle w:val="Heading3"/>
      </w:pPr>
      <w:r>
        <w:t>Confronto no Carmelo</w:t>
      </w:r>
    </w:p>
    <w:p>
      <w:r/>
      <w:r>
        <w:t>Um dos destaques do ministério de Elias foi o confronto no Monte Carmelo. Acabe reuniu todo Israel junto com 850 profetas de Baal e Aserá. O famoso desafio foi lançado: “Até quando vocês vão ficar em dúvida sobre o que vão fazer? Se o SENHOR é Deus, adorem o SENHOR; mas, se Baal é Deus, adorem Baal!” (</w:t>
      </w:r>
      <w:hyperlink r:id="rId7898">
        <w:r>
          <w:rPr>
            <w:color w:val="0000EE"/>
            <w:u w:val="single"/>
          </w:rPr>
          <w:t>1Rs 18.21</w:t>
        </w:r>
      </w:hyperlink>
      <w:r>
        <w:t>, NTLH). Animais sacrificiais deveriam ser colocados em dois altares, um para Baal e outro para o Senhor, e os profetas representando cada um deveriam pedir fogo de seu Deus.</w:t>
      </w:r>
    </w:p>
    <w:p>
      <w:r/>
      <w:r>
        <w:t>O dia todo, os profetas pagãos clamaram em vão a Baal. Eles dançaram de forma frenética e giratória, cortando-se com facas até que seu sangue jorrasse. Mas não houve resposta. Finalmente, chegou a vez de Elias. Ele reparou o altar demolido do Senhor e preparou o sacrifício. Para um efeito dramático, ele construiu uma trincheira ao redor do altar e derramou água sobre o sacrifício até que a trincheira transbordasse. Então ele fez uma breve oração, e imediatamente o fogo caiu do céu e consumiu a oferta queimada, a madeira, as pedras e o pó, e lambeu a água que estava na trincheira (</w:t>
      </w:r>
      <w:hyperlink r:id="rId7899">
        <w:r>
          <w:rPr>
            <w:color w:val="0000EE"/>
            <w:u w:val="single"/>
          </w:rPr>
          <w:t>1Rs 18.38</w:t>
        </w:r>
      </w:hyperlink>
      <w:r>
        <w:t>).</w:t>
      </w:r>
    </w:p>
    <w:p>
      <w:r/>
      <w:r>
        <w:t>Quando o povo viu isso, eles caíram com o rosto em arrependimento, cantando: “O SENHOR é Deus! Só o SENHOR é Deus!” (</w:t>
      </w:r>
      <w:hyperlink r:id="rId7900">
        <w:r>
          <w:rPr>
            <w:color w:val="0000EE"/>
            <w:u w:val="single"/>
          </w:rPr>
          <w:t>1Rs 18.39</w:t>
        </w:r>
      </w:hyperlink>
      <w:r>
        <w:t>). Sob o comando de Elias, o povo capturou os profetas de Baal e os matou junto ao riacho Quisom. Então Elias, no topo do Carmelo, começou a orar fervorosamente por chuva. Dramaticamente, o céu ficou negro com nuvens e a chuva começou a cair, encerrando a longa seca. Acabe voltou em sua carruagem para Jezreel, 32,2 quilômetros a leste. O Espírito de Deus capacitou Elias a correr mais rápido que Acabe, e ele chegou a Jezreel primeiro.</w:t>
      </w:r>
    </w:p>
    <w:p>
      <w:r/>
      <w:r>
        <w:t>Jezabel, furiosa com o massacre dos profetas de Baal, enviou uma mensagem a Elias: “Que os deuses me matem, se até amanhã a esta hora eu não fizer com você o mesmo que você fez com os profetas!” (</w:t>
      </w:r>
      <w:hyperlink r:id="rId7901">
        <w:r>
          <w:rPr>
            <w:color w:val="0000EE"/>
            <w:u w:val="single"/>
          </w:rPr>
          <w:t>1Rs 19.2</w:t>
        </w:r>
      </w:hyperlink>
      <w:r>
        <w:t>, NTLH). Quando Elias recebeu a mensagem, ele entrou em pânico e fugiu para Berseba.</w:t>
      </w:r>
    </w:p>
    <w:p>
      <w:pPr>
        <w:pStyle w:val="Heading3"/>
      </w:pPr>
      <w:r>
        <w:t>Experiência no Horebe</w:t>
      </w:r>
    </w:p>
    <w:p>
      <w:r/>
      <w:r>
        <w:t>Elias deixou seu servo em Berseba e seguiu sozinho por mais um dia de jornada no deserto. Lá, ele se deitou sob uma árvore de giesta e, em desespero e exaustão, pediu a Deus que tirasse sua vida. Em vez disso, um anjo apareceu e o alimentou duas vezes com pão e água. Depois de dormir, Elias continuou seu caminho.</w:t>
      </w:r>
    </w:p>
    <w:p>
      <w:r/>
      <w:r>
        <w:t>Após 40 dias, Elias chegou ao Monte Horebe, onde encontrou abrigo em uma caverna. Lá, o Senhor falou com ele, perguntando o que ele estava fazendo ali. O profeta explicou que ele era o único profeta de Deus restante em Israel, e agora até sua vida estava ameaçada. Em resposta, as poderosas forças da natureza — um grande vento, um terremoto e fogo — foram exibidas diante de Elias para mostrar-lhe que o Deus onipotente poderia interceder em seu favor com uma mão poderosa. Finalmente, Deus encorajou Elias com uma “voz suave e tranquila”. O Senhor tinha mais tarefas para ele realizar. Deus também disse a Elias que ele não era a única pessoa fiel em Israel; 7.000 outros permaneciam fiéis ao Senhor.</w:t>
      </w:r>
    </w:p>
    <w:p>
      <w:r/>
      <w:r>
        <w:t>Como Elias havia fielmente entregue a mensagem de Deus a Acabe, o Senhor o encarregou de entregar outra mensagem, uma de julgamento sobre o contínuo fracasso de Israel em ouvir a Deus. Os instrumentos de retribuição seriam Hazael, que se tornaria rei na Síria (c. 893–796 a.C.), e Jeú, que se tornaria rei de Israel (841–814 a.C.). Elias foi instruído a ungir ambos. Ele também foi instruído a ungir seu sucessor, Eliseu, para ser seu aprendiz até que chegasse o momento de Eliseu iniciar plenamente seu ministério.</w:t>
      </w:r>
    </w:p>
    <w:p>
      <w:pPr>
        <w:pStyle w:val="Heading3"/>
      </w:pPr>
      <w:r>
        <w:t>Confronto sobre Nabote</w:t>
      </w:r>
    </w:p>
    <w:p>
      <w:r/>
      <w:r>
        <w:t>Após seu retorno a Israel, uma das confrontações mais ousadas de Elias com o Rei Acabe foi sobre a vinha de Nabote. Embora Acabe desejasse a propriedade de Nabote, ele respeitava a lei sobre a posse de terras. Além disso, Acabe nunca abandonou completamente a fé de seus pais (</w:t>
      </w:r>
      <w:hyperlink r:id="rId235">
        <w:r>
          <w:rPr>
            <w:color w:val="0000EE"/>
            <w:u w:val="single"/>
          </w:rPr>
          <w:t>1Rs 21.27–29</w:t>
        </w:r>
      </w:hyperlink>
      <w:r>
        <w:t>). Jezabel, no entanto, não respeitava a lei mosaica e conspirou para que Nabote fosse morto sob uma acusação falsa.</w:t>
      </w:r>
    </w:p>
    <w:p>
      <w:r/>
      <w:r>
        <w:t>Quando Acabe tomou posse da vinha, Elias o acusou de ser assassino e ladrão. Ele previu o julgamento divino — a queda da dinastia de Acabe e a morte horrível de Jezabel (</w:t>
      </w:r>
      <w:hyperlink r:id="rId234">
        <w:r>
          <w:rPr>
            <w:color w:val="0000EE"/>
            <w:u w:val="single"/>
          </w:rPr>
          <w:t>1Rs 21.17–24</w:t>
        </w:r>
      </w:hyperlink>
      <w:r>
        <w:t>). No entanto, Acabe se arrependeu, e o julgamento foi adiado.</w:t>
      </w:r>
    </w:p>
    <w:p>
      <w:pPr>
        <w:pStyle w:val="Heading3"/>
      </w:pPr>
      <w:r>
        <w:t>A insensatez de Acazias</w:t>
      </w:r>
    </w:p>
    <w:p>
      <w:r/>
      <w:r>
        <w:t>O julgamento do Senhor sobre Acabe foi finalmente executado quando o rei foi morto em uma batalha com a Síria em 853 a.C. Os cães lamberam o sangue de Acabe, como o profeta havia predito (</w:t>
      </w:r>
      <w:hyperlink r:id="rId7902">
        <w:r>
          <w:rPr>
            <w:color w:val="0000EE"/>
            <w:u w:val="single"/>
          </w:rPr>
          <w:t>1Rs 21.19</w:t>
        </w:r>
      </w:hyperlink>
      <w:r>
        <w:t>). Pouco depois de Acazias ter sucedido seu pai como rei, ele sofreu uma queda debilitante. Enquanto estava doente, ele enviou mensageiros para perguntar a Baal-Zebube, o deus de Ecrom, se ele se recuperaria. O Senhor enviou Elias para interceptá-los e dar-lhes uma mensagem para o rei: uma repreensão por ignorar o Deus de Israel e um aviso sobre a morte iminente do rei.</w:t>
      </w:r>
    </w:p>
    <w:p>
      <w:r/>
      <w:r>
        <w:t>Acazias, com raiva, enviou um capitão com 50 soldados para prender Elias. Eles foram consumidos por fogo do céu às palavras de Elias. Um segundo capitão e outros 50 soldados foram enviados, mas tiveram o mesmo destino. O terceiro capitão que veio implorou ao profeta para poupar sua vida e a de seus soldados. Elias foi com este capitão e entregou a mensagem de Deus ao rei pessoalmente. O rei não se recuperaria e morreria porque havia consultado deuses pagãos em vez do verdadeiro Deus.</w:t>
      </w:r>
    </w:p>
    <w:p>
      <w:pPr>
        <w:pStyle w:val="Heading3"/>
      </w:pPr>
      <w:r>
        <w:t>Aviso para Jeorão</w:t>
      </w:r>
    </w:p>
    <w:p>
      <w:r/>
      <w:r>
        <w:t>Elias foi chamado principalmente para ministrar a Israel, mas ele também entregou a palavra de advertência de Deus a Jeorão, rei de Judá, repreendendo-o por seguir Israel em sua idolatria e por não andar nos caminhos piedosos de seu pai e avô (</w:t>
      </w:r>
      <w:hyperlink r:id="rId7903">
        <w:r>
          <w:rPr>
            <w:color w:val="0000EE"/>
            <w:u w:val="single"/>
          </w:rPr>
          <w:t>2Cr 21.12–15</w:t>
        </w:r>
      </w:hyperlink>
      <w:r>
        <w:t>).</w:t>
      </w:r>
    </w:p>
    <w:p>
      <w:pPr>
        <w:pStyle w:val="Heading3"/>
      </w:pPr>
      <w:r>
        <w:t>A ascensão de Elias ao céu</w:t>
      </w:r>
    </w:p>
    <w:p>
      <w:r/>
      <w:r>
        <w:t xml:space="preserve">Quando o fim do ministério de Elias se aproximou, Eliseu recusou-se a deixá-lo. Após uma jornada que os levou às escolas dos profetas em Betel e Jericó, os dois atravessaram o rio Jordão milagrosamente; Elias golpeou as águas com seu manto e elas se dividiram. Eliseu pediu uma porção dobrada (a parte do primogênito, cp. </w:t>
      </w:r>
      <w:hyperlink r:id="rId7904">
        <w:r>
          <w:rPr>
            <w:color w:val="0000EE"/>
            <w:u w:val="single"/>
          </w:rPr>
          <w:t>Dt 21.17</w:t>
        </w:r>
      </w:hyperlink>
      <w:r>
        <w:t>) do espírito de seu mestre, pois desejava ser o sucessor completo de Elias. Eliseu soube que seu pedido foi atendido porque viu Elias ser levado aos céus em um redemoinho, acompanhado por um carro e cavalos de fogo. Os jovens profetas que acompanharam Eliseu procuraram em vão por Elias nas montanhas e vales ao redor do Jordão; Deus havia levado seu fiel profeta para casa. Elias assim juntou-se a Enoque como o único outro homem na Bíblia que não experimentou a morte.</w:t>
      </w:r>
    </w:p>
    <w:p>
      <w:pPr>
        <w:pStyle w:val="Heading3"/>
      </w:pPr>
      <w:r>
        <w:t>Mensagem e milagres de Elias</w:t>
      </w:r>
    </w:p>
    <w:p>
      <w:r/>
      <w:r>
        <w:t>À medida que a adoração a Baal de Tiro se infiltrava em Israel através de Jezabel, Elias foi enviado para conter sua propagação, enfatizando novamente que o Deus de Israel era o único Deus de toda a terra. Ele iniciou um trabalho vital que foi continuado por Jeú, que massacrou muitos dos adoradores de Baal entre os líderes de Israel (</w:t>
      </w:r>
      <w:hyperlink r:id="rId7905">
        <w:r>
          <w:rPr>
            <w:color w:val="0000EE"/>
            <w:u w:val="single"/>
          </w:rPr>
          <w:t>2Rs 10.18–28</w:t>
        </w:r>
      </w:hyperlink>
      <w:r>
        <w:t>). A missão específica de Elias era destruir a adoração pagã para poupar Israel, preparando assim o caminho para os profetas que viriam a seguir em seu espírito.</w:t>
      </w:r>
    </w:p>
    <w:p>
      <w:r/>
      <w:r>
        <w:t>Os milagres foram proeminentes no ministério de Elias, servindo como um sinal para confirmá-lo como porta-voz de Deus e para trazer os reis de Israel de volta a Deus. Alguns estudiosos rejeitaram esses milagres ou tentaram explicá-los. No entanto, o Antigo Testamento claramente testemunha sua validade, e o Novo Testamento os afirma.</w:t>
      </w:r>
    </w:p>
    <w:p>
      <w:pPr>
        <w:pStyle w:val="Heading3"/>
      </w:pPr>
      <w:r>
        <w:t>Elias no Novo Testamento</w:t>
      </w:r>
    </w:p>
    <w:p>
      <w:r/>
      <w:r>
        <w:t>Malaquias nomeou Elias como o precursor do “grande e terrível dia do Senhor” que “fará com que pais e filhos façam as pazes” (</w:t>
      </w:r>
      <w:hyperlink r:id="rId7906">
        <w:r>
          <w:rPr>
            <w:color w:val="0000EE"/>
            <w:u w:val="single"/>
          </w:rPr>
          <w:t>Ml 4.5–6</w:t>
        </w:r>
      </w:hyperlink>
      <w:r>
        <w:t>). Escritores judeus frequentemente retomaram o mesmo tema em sua literatura: Elias “restaurará as tribos de Jacó” (</w:t>
      </w:r>
      <w:hyperlink r:id="rId7907">
        <w:r>
          <w:rPr>
            <w:color w:val="0000EE"/>
            <w:u w:val="single"/>
          </w:rPr>
          <w:t>Eclo 48.10</w:t>
        </w:r>
      </w:hyperlink>
      <w:r>
        <w:t xml:space="preserve">); ele é mencionado no </w:t>
      </w:r>
      <w:r>
        <w:rPr>
          <w:i/>
        </w:rPr>
        <w:t>Manual de Disciplina</w:t>
      </w:r>
      <w:r>
        <w:t xml:space="preserve"> de Qumran dos Rolos do Mar Morto; ele é o sinal central da ressurreição dos mortos de acordo com a Mishná, a coleção da lei oral judaica; e ele é o tema de canções cantadas no encerramento do Shabat.</w:t>
      </w:r>
    </w:p>
    <w:p>
      <w:r/>
      <w:r>
        <w:t>No Novo Testamento, a profecia de Malaquias foi interpretada na anunciação angelical a Zacarias como apontando para João Batista, que deveria realizar o trabalho de outro Elias (</w:t>
      </w:r>
      <w:hyperlink r:id="rId7908">
        <w:r>
          <w:rPr>
            <w:color w:val="0000EE"/>
            <w:u w:val="single"/>
          </w:rPr>
          <w:t>Lc 1.17</w:t>
        </w:r>
      </w:hyperlink>
      <w:r>
        <w:t>) e foi confirmada pelo próprio Jesus (</w:t>
      </w:r>
      <w:hyperlink r:id="rId6111">
        <w:r>
          <w:rPr>
            <w:color w:val="0000EE"/>
            <w:u w:val="single"/>
          </w:rPr>
          <w:t>Mt 11.14</w:t>
        </w:r>
      </w:hyperlink>
      <w:r>
        <w:t xml:space="preserve">; </w:t>
      </w:r>
      <w:hyperlink r:id="rId7909">
        <w:r>
          <w:rPr>
            <w:color w:val="0000EE"/>
            <w:u w:val="single"/>
          </w:rPr>
          <w:t>17.10–13</w:t>
        </w:r>
      </w:hyperlink>
      <w:r>
        <w:t>).</w:t>
      </w:r>
    </w:p>
    <w:p>
      <w:r/>
      <w:r>
        <w:t>Jesus também mencionou a estadia de Elias na terra de Sidom (</w:t>
      </w:r>
      <w:hyperlink r:id="rId7910">
        <w:r>
          <w:rPr>
            <w:color w:val="0000EE"/>
            <w:u w:val="single"/>
          </w:rPr>
          <w:t>Lc 4.25–26</w:t>
        </w:r>
      </w:hyperlink>
      <w:r>
        <w:t>), e o apóstolo Paulo referiu-se à experiência do profeta no Monte Horebe (</w:t>
      </w:r>
      <w:hyperlink r:id="rId7911">
        <w:r>
          <w:rPr>
            <w:color w:val="0000EE"/>
            <w:u w:val="single"/>
          </w:rPr>
          <w:t>Rm 11.2</w:t>
        </w:r>
      </w:hyperlink>
      <w:r>
        <w:t>). O apóstolo Tiago usou Elias para ilustrar o que significa ser um homem justo e de oração (</w:t>
      </w:r>
      <w:hyperlink r:id="rId226">
        <w:r>
          <w:rPr>
            <w:color w:val="0000EE"/>
            <w:u w:val="single"/>
          </w:rPr>
          <w:t>Tg 5.17</w:t>
        </w:r>
      </w:hyperlink>
      <w:r>
        <w:t>).</w:t>
      </w:r>
    </w:p>
    <w:p>
      <w:r/>
      <w:r>
        <w:t>Elias apareceu novamente no Monte da Transfiguração com Moisés enquanto discutiam a morte iminente de Jesus (</w:t>
      </w:r>
      <w:hyperlink r:id="rId7912">
        <w:r>
          <w:rPr>
            <w:color w:val="0000EE"/>
            <w:u w:val="single"/>
          </w:rPr>
          <w:t>Mt 17.1–13</w:t>
        </w:r>
      </w:hyperlink>
      <w:r>
        <w:t xml:space="preserve">; </w:t>
      </w:r>
      <w:hyperlink r:id="rId7913">
        <w:r>
          <w:rPr>
            <w:color w:val="0000EE"/>
            <w:u w:val="single"/>
          </w:rPr>
          <w:t>Lc 9.28–36</w:t>
        </w:r>
      </w:hyperlink>
      <w:r>
        <w:t>). Alguns estudiosos da Bíblia acreditam que Elias retornará como uma das duas testemunhas dos tempos finais (</w:t>
      </w:r>
      <w:hyperlink r:id="rId7914">
        <w:r>
          <w:rPr>
            <w:color w:val="0000EE"/>
            <w:u w:val="single"/>
          </w:rPr>
          <w:t>Ap 11.3–12</w:t>
        </w:r>
      </w:hyperlink>
      <w:r>
        <w:t>), em cumprimento à profecia de Malaquias de que ele virá antes do terrível dia do julgamento de Deus.</w:t>
      </w:r>
    </w:p>
    <w:p>
      <w:r/>
      <w:r>
        <w:t>2. Chefe da tribo de Benjamim (</w:t>
      </w:r>
      <w:hyperlink r:id="rId7915">
        <w:r>
          <w:rPr>
            <w:color w:val="0000EE"/>
            <w:u w:val="single"/>
          </w:rPr>
          <w:t>1Cr 8.27</w:t>
        </w:r>
      </w:hyperlink>
      <w:r>
        <w:t>).</w:t>
      </w:r>
    </w:p>
    <w:p>
      <w:r/>
      <w:r>
        <w:t>3. Sacerdote que se casou com uma esposa gentia (</w:t>
      </w:r>
      <w:hyperlink r:id="rId7916">
        <w:r>
          <w:rPr>
            <w:color w:val="0000EE"/>
            <w:u w:val="single"/>
          </w:rPr>
          <w:t>Ed 10.21</w:t>
        </w:r>
      </w:hyperlink>
      <w:r>
        <w:t>).</w:t>
      </w:r>
    </w:p>
    <w:p>
      <w:r/>
      <w:r>
        <w:t>4. Leigo que também se casou com uma esposa estrangeira (</w:t>
      </w:r>
      <w:hyperlink r:id="rId7762">
        <w:r>
          <w:rPr>
            <w:color w:val="0000EE"/>
            <w:u w:val="single"/>
          </w:rPr>
          <w:t>Ed 10.26</w:t>
        </w:r>
      </w:hyperlink>
      <w:r>
        <w:t>).</w:t>
      </w:r>
      <w:r/>
      <w:r/>
    </w:p>
    <w:p>
      <w:r/>
    </w:p>
    <w:p>
      <w:pPr>
        <w:pStyle w:val="Heading2"/>
      </w:pPr>
      <w:r>
        <w:t>Eliasafe</w:t>
      </w:r>
      <w:r/>
    </w:p>
    <w:p>
      <w:pPr>
        <w:pStyle w:val="ListNumber"/>
        <w:spacing w:line="240" w:lineRule="auto"/>
        <w:ind w:left="720"/>
      </w:pPr>
      <w:r/>
      <w:r>
        <w:t>Um líder da tribo de Gade escolhido por Moisés. Ele era filho de Deuel (Reuel) (</w:t>
      </w:r>
      <w:hyperlink r:id="rId6784">
        <w:r>
          <w:rPr>
            <w:color w:val="0000EE"/>
            <w:u w:val="single"/>
          </w:rPr>
          <w:t>Nm 1.14</w:t>
        </w:r>
      </w:hyperlink>
      <w:r>
        <w:t xml:space="preserve">; </w:t>
      </w:r>
      <w:hyperlink r:id="rId6787">
        <w:r>
          <w:rPr>
            <w:color w:val="0000EE"/>
            <w:u w:val="single"/>
          </w:rPr>
          <w:t>2.14</w:t>
        </w:r>
      </w:hyperlink>
      <w:r>
        <w:t xml:space="preserve">; </w:t>
      </w:r>
      <w:hyperlink r:id="rId6785">
        <w:r>
          <w:rPr>
            <w:color w:val="0000EE"/>
            <w:u w:val="single"/>
          </w:rPr>
          <w:t>7.42,47</w:t>
        </w:r>
      </w:hyperlink>
      <w:r>
        <w:t xml:space="preserve">; </w:t>
      </w:r>
      <w:hyperlink r:id="rId6786">
        <w:r>
          <w:rPr>
            <w:color w:val="0000EE"/>
            <w:u w:val="single"/>
          </w:rPr>
          <w:t>10.20</w:t>
        </w:r>
      </w:hyperlink>
      <w:r>
        <w:t>).</w:t>
      </w:r>
    </w:p>
    <w:p>
      <w:pPr>
        <w:pStyle w:val="ListNumber"/>
        <w:spacing w:line="240" w:lineRule="auto"/>
        <w:ind w:left="720"/>
      </w:pPr>
      <w:r/>
      <w:r>
        <w:t>Um gersonita da tribo de Levi e filho de Lael. Ele tinha três responsabilidades na tribo:</w:t>
      </w:r>
    </w:p>
    <w:p>
      <w:pPr>
        <w:pStyle w:val="ListNumber"/>
        <w:spacing w:line="240" w:lineRule="auto"/>
        <w:ind w:left="1440"/>
      </w:pPr>
      <w:r/>
      <w:r>
        <w:t>Cuidar das coberturas do Tabernáculo;</w:t>
      </w:r>
    </w:p>
    <w:p>
      <w:pPr>
        <w:pStyle w:val="ListNumber"/>
        <w:spacing w:line="240" w:lineRule="auto"/>
        <w:ind w:left="1440"/>
      </w:pPr>
      <w:r/>
      <w:r>
        <w:t>Cuidar das cortinas do santuário; e</w:t>
      </w:r>
    </w:p>
    <w:p>
      <w:pPr>
        <w:pStyle w:val="ListNumber"/>
        <w:spacing w:line="240" w:lineRule="auto"/>
        <w:ind w:left="1440"/>
      </w:pPr>
      <w:r/>
      <w:r>
        <w:t>Cuidar do altar principal (</w:t>
      </w:r>
      <w:hyperlink r:id="rId7917">
        <w:r>
          <w:rPr>
            <w:color w:val="0000EE"/>
            <w:u w:val="single"/>
          </w:rPr>
          <w:t>Nm 3.24–25</w:t>
        </w:r>
      </w:hyperlink>
      <w:r>
        <w:t>).</w:t>
      </w:r>
      <w:r/>
      <w:r/>
    </w:p>
    <w:p>
      <w:r/>
    </w:p>
    <w:p>
      <w:pPr>
        <w:pStyle w:val="Heading2"/>
      </w:pPr>
      <w:r>
        <w:t>Elidade</w:t>
      </w:r>
      <w:r/>
    </w:p>
    <w:p>
      <w:r/>
      <w:r>
        <w:t>Um homem da tribo de Benjamim. Ele era filho de Quislom. Elidade foi escolhido para trabalhar sob a liderança de Eleazar (o sumo sacerdote) e Josué. Sua tarefa era dividir a terra de Canaã a oeste do rio Jordão entre as dez tribos de Israel (</w:t>
      </w:r>
      <w:hyperlink r:id="rId7918">
        <w:r>
          <w:rPr>
            <w:color w:val="0000EE"/>
            <w:u w:val="single"/>
          </w:rPr>
          <w:t>Nm 34.21</w:t>
        </w:r>
      </w:hyperlink>
      <w:r>
        <w:t>).</w:t>
      </w:r>
      <w:r/>
      <w:r/>
    </w:p>
    <w:p>
      <w:r/>
    </w:p>
    <w:p>
      <w:pPr>
        <w:pStyle w:val="Heading2"/>
      </w:pPr>
      <w:r>
        <w:t>Eliezer</w:t>
      </w:r>
      <w:r/>
    </w:p>
    <w:p>
      <w:pPr>
        <w:pStyle w:val="ListNumber"/>
        <w:spacing w:line="240" w:lineRule="auto"/>
        <w:ind w:left="720"/>
      </w:pPr>
      <w:r/>
      <w:r>
        <w:t>Um servo de Abraão que era da cidade de Damasco. Antes de Abraão ter seus filhos, Ismael e Isaque, ele seguiu os costumes de sua época escolhendo Eliezer para herdar sua propriedade (</w:t>
      </w:r>
      <w:hyperlink r:id="rId166">
        <w:r>
          <w:rPr>
            <w:color w:val="0000EE"/>
            <w:u w:val="single"/>
          </w:rPr>
          <w:t>Gn 15.2</w:t>
        </w:r>
      </w:hyperlink>
      <w:r>
        <w:t>).</w:t>
      </w:r>
    </w:p>
    <w:p>
      <w:pPr>
        <w:pStyle w:val="ListNumber"/>
        <w:spacing w:line="240" w:lineRule="auto"/>
        <w:ind w:left="720"/>
      </w:pPr>
      <w:r/>
      <w:r>
        <w:t>O segundo filho de Moisés e Zípora (</w:t>
      </w:r>
      <w:hyperlink r:id="rId7919">
        <w:r>
          <w:rPr>
            <w:color w:val="0000EE"/>
            <w:u w:val="single"/>
          </w:rPr>
          <w:t>Êx 18.4</w:t>
        </w:r>
      </w:hyperlink>
      <w:r>
        <w:t xml:space="preserve">; </w:t>
      </w:r>
      <w:hyperlink r:id="rId7920">
        <w:r>
          <w:rPr>
            <w:color w:val="0000EE"/>
            <w:u w:val="single"/>
          </w:rPr>
          <w:t>1Cr 23.15–17</w:t>
        </w:r>
      </w:hyperlink>
      <w:r>
        <w:t>).</w:t>
      </w:r>
    </w:p>
    <w:p>
      <w:pPr>
        <w:pStyle w:val="ListNumber"/>
        <w:spacing w:line="240" w:lineRule="auto"/>
        <w:ind w:left="720"/>
      </w:pPr>
      <w:r/>
      <w:r>
        <w:t>Benjamita é filho de Bequer (</w:t>
      </w:r>
      <w:hyperlink r:id="rId7921">
        <w:r>
          <w:rPr>
            <w:color w:val="0000EE"/>
            <w:u w:val="single"/>
          </w:rPr>
          <w:t>1Cr 7.8</w:t>
        </w:r>
      </w:hyperlink>
      <w:r>
        <w:t>).</w:t>
      </w:r>
    </w:p>
    <w:p>
      <w:pPr>
        <w:pStyle w:val="ListNumber"/>
        <w:spacing w:line="240" w:lineRule="auto"/>
        <w:ind w:left="720"/>
      </w:pPr>
      <w:r/>
      <w:r>
        <w:t>Um dos sete sacerdotes que tocaram trombetas enquanto caminhavam na frente da arca da aliança (o cofre sagrado contendo a lei de Deus) quando o Rei Davi a moveu para Jerusalém (</w:t>
      </w:r>
      <w:hyperlink r:id="rId7922">
        <w:r>
          <w:rPr>
            <w:color w:val="0000EE"/>
            <w:u w:val="single"/>
          </w:rPr>
          <w:t>1Cr 15.24</w:t>
        </w:r>
      </w:hyperlink>
      <w:r>
        <w:t>).</w:t>
      </w:r>
    </w:p>
    <w:p>
      <w:pPr>
        <w:pStyle w:val="ListNumber"/>
        <w:spacing w:line="240" w:lineRule="auto"/>
        <w:ind w:left="720"/>
      </w:pPr>
      <w:r/>
      <w:r>
        <w:t>Filho de Zicri e um oficial chefe na tribo de Rúben (</w:t>
      </w:r>
      <w:hyperlink r:id="rId7923">
        <w:r>
          <w:rPr>
            <w:color w:val="0000EE"/>
            <w:u w:val="single"/>
          </w:rPr>
          <w:t>1Cr 27.16</w:t>
        </w:r>
      </w:hyperlink>
      <w:r>
        <w:t>).</w:t>
      </w:r>
    </w:p>
    <w:p>
      <w:pPr>
        <w:pStyle w:val="ListNumber"/>
        <w:spacing w:line="240" w:lineRule="auto"/>
        <w:ind w:left="720"/>
      </w:pPr>
      <w:r/>
      <w:r>
        <w:t>Um profeta cujo pai era Dodavá da cidade de Maressa. Ele avisou o Rei Josafá de Judá que Deus não estava satisfeito com sua aliança com o Rei Acazias de Israel (</w:t>
      </w:r>
      <w:hyperlink r:id="rId7924">
        <w:r>
          <w:rPr>
            <w:color w:val="0000EE"/>
            <w:u w:val="single"/>
          </w:rPr>
          <w:t>2Cr 20.37</w:t>
        </w:r>
      </w:hyperlink>
      <w:r>
        <w:t>).</w:t>
      </w:r>
    </w:p>
    <w:p>
      <w:pPr>
        <w:pStyle w:val="ListNumber"/>
        <w:spacing w:line="240" w:lineRule="auto"/>
        <w:ind w:left="720"/>
      </w:pPr>
      <w:r/>
      <w:r>
        <w:t>Um dos líderes que Esdras enviou para se encontrar com Ido em um lugar chamado Casifia. Esdras pediu-lhes que trouxessem de volta levitas para trabalharem no Templo de Deus em Jerusalém (</w:t>
      </w:r>
      <w:hyperlink r:id="rId7925">
        <w:r>
          <w:rPr>
            <w:color w:val="0000EE"/>
            <w:u w:val="single"/>
          </w:rPr>
          <w:t>Ed 8.16</w:t>
        </w:r>
      </w:hyperlink>
      <w:r>
        <w:t>).</w:t>
      </w:r>
    </w:p>
    <w:p>
      <w:pPr>
        <w:pStyle w:val="ListNumber"/>
        <w:spacing w:line="240" w:lineRule="auto"/>
        <w:ind w:left="720"/>
      </w:pPr>
      <w:r/>
      <w:r>
        <w:t>Três homens de Israel — um sacerdote, um levita e um israelita — foram encorajados por Esdras a se divorciarem de suas esposas estrangeiras durante o período após o exílio na Babilônia (</w:t>
      </w:r>
      <w:hyperlink r:id="rId7926">
        <w:r>
          <w:rPr>
            <w:color w:val="0000EE"/>
            <w:u w:val="single"/>
          </w:rPr>
          <w:t>Ed 10.18,23,31</w:t>
        </w:r>
      </w:hyperlink>
      <w:r>
        <w:t>).</w:t>
      </w:r>
    </w:p>
    <w:p>
      <w:pPr>
        <w:pStyle w:val="ListNumber"/>
        <w:spacing w:line="240" w:lineRule="auto"/>
        <w:ind w:left="720"/>
      </w:pPr>
      <w:r/>
      <w:r>
        <w:t>Um ancestral de Cristo (</w:t>
      </w:r>
      <w:hyperlink r:id="rId7927">
        <w:r>
          <w:rPr>
            <w:color w:val="0000EE"/>
            <w:u w:val="single"/>
          </w:rPr>
          <w:t>Lc 3.29</w:t>
        </w:r>
      </w:hyperlink>
      <w:r>
        <w:t>).</w:t>
      </w:r>
    </w:p>
    <w:p>
      <w:r/>
      <w:r>
        <w:rPr>
          <w:i/>
        </w:rPr>
        <w:t>Veja</w:t>
      </w:r>
      <w:r>
        <w:t xml:space="preserve"> </w:t>
      </w:r>
      <w:r>
        <w:t>Genealogia de Jesus Cristo</w:t>
      </w:r>
      <w:r>
        <w:t>.</w:t>
      </w:r>
      <w:r/>
      <w:r/>
    </w:p>
    <w:p>
      <w:r/>
    </w:p>
    <w:p>
      <w:pPr>
        <w:pStyle w:val="Heading2"/>
      </w:pPr>
      <w:r>
        <w:t>Elifaz</w:t>
      </w:r>
      <w:r/>
    </w:p>
    <w:p>
      <w:r/>
      <w:r>
        <w:t>1. Filho mais velho de Esaú e sua esposa Ada (</w:t>
      </w:r>
      <w:hyperlink r:id="rId7928">
        <w:r>
          <w:rPr>
            <w:color w:val="0000EE"/>
            <w:u w:val="single"/>
          </w:rPr>
          <w:t>Gn 36.4–16</w:t>
        </w:r>
      </w:hyperlink>
      <w:r>
        <w:t xml:space="preserve">; </w:t>
      </w:r>
      <w:hyperlink r:id="rId7929">
        <w:r>
          <w:rPr>
            <w:color w:val="0000EE"/>
            <w:u w:val="single"/>
          </w:rPr>
          <w:t>1Cr 1.35–36</w:t>
        </w:r>
      </w:hyperlink>
      <w:r>
        <w:t>). Ele foi o ancestral de vários clãs edomitas;</w:t>
      </w:r>
    </w:p>
    <w:p>
      <w:r/>
      <w:r>
        <w:t xml:space="preserve">2. Um dos amigos de Jó, chamado o temanita (veja </w:t>
      </w:r>
      <w:hyperlink r:id="rId7930">
        <w:r>
          <w:rPr>
            <w:color w:val="0000EE"/>
            <w:u w:val="single"/>
          </w:rPr>
          <w:t>Jr 49.7</w:t>
        </w:r>
      </w:hyperlink>
      <w:r>
        <w:t>). Temã era tradicionalmente associado à sabedoria; portanto, o discurso de Elifaz retrata a visão ortodoxa do pecado e da punição. Seus três discursos (</w:t>
      </w:r>
      <w:hyperlink r:id="rId7931">
        <w:r>
          <w:rPr>
            <w:color w:val="0000EE"/>
            <w:u w:val="single"/>
          </w:rPr>
          <w:t>Jó 4</w:t>
        </w:r>
      </w:hyperlink>
      <w:r>
        <w:t xml:space="preserve">, </w:t>
      </w:r>
      <w:hyperlink r:id="rId7932">
        <w:r>
          <w:rPr>
            <w:color w:val="0000EE"/>
            <w:u w:val="single"/>
          </w:rPr>
          <w:t>15</w:t>
        </w:r>
      </w:hyperlink>
      <w:r>
        <w:t xml:space="preserve">, </w:t>
      </w:r>
      <w:hyperlink r:id="rId7933">
        <w:r>
          <w:rPr>
            <w:color w:val="0000EE"/>
            <w:u w:val="single"/>
          </w:rPr>
          <w:t>22</w:t>
        </w:r>
      </w:hyperlink>
      <w:r>
        <w:t>) falharam em lidar com a essência do problema de Jó porque ele assumiu um pecado grave anterior na vida de Jó.</w:t>
      </w:r>
    </w:p>
    <w:p>
      <w:r/>
      <w:r>
        <w:rPr>
          <w:i/>
        </w:rPr>
        <w:t>Veja também</w:t>
      </w:r>
      <w:r>
        <w:t xml:space="preserve"> </w:t>
      </w:r>
      <w:r>
        <w:t>JÓ, Livro de</w:t>
      </w:r>
      <w:r>
        <w:t>.</w:t>
      </w:r>
      <w:r/>
      <w:r/>
    </w:p>
    <w:p>
      <w:r/>
    </w:p>
    <w:p>
      <w:pPr>
        <w:pStyle w:val="Heading2"/>
      </w:pPr>
      <w:r>
        <w:t>Elim</w:t>
      </w:r>
      <w:r/>
    </w:p>
    <w:p>
      <w:r/>
      <w:r>
        <w:t>Um lugar onde os israelitas acamparam após atravessarem o Mar Vermelho (</w:t>
      </w:r>
      <w:hyperlink r:id="rId7934">
        <w:r>
          <w:rPr>
            <w:color w:val="0000EE"/>
            <w:u w:val="single"/>
          </w:rPr>
          <w:t>Êx 15.27</w:t>
        </w:r>
      </w:hyperlink>
      <w:r>
        <w:t xml:space="preserve">; </w:t>
      </w:r>
      <w:hyperlink r:id="rId6778">
        <w:r>
          <w:rPr>
            <w:color w:val="0000EE"/>
            <w:u w:val="single"/>
          </w:rPr>
          <w:t>16.1</w:t>
        </w:r>
      </w:hyperlink>
      <w:r>
        <w:t>). Elim ficava entre Mara e o deserto de Sim. Tinha 12 fontes de água e 70 palmeiras (</w:t>
      </w:r>
      <w:hyperlink r:id="rId7935">
        <w:r>
          <w:rPr>
            <w:color w:val="0000EE"/>
            <w:u w:val="single"/>
          </w:rPr>
          <w:t>Nm 33.9,10</w:t>
        </w:r>
      </w:hyperlink>
      <w:r>
        <w:t>).</w:t>
      </w:r>
    </w:p>
    <w:p>
      <w:r/>
      <w:r>
        <w:t>A maioria dos estudiosos identifica Elim com Wadi Gharandel, que fica a 101,4 quilômetros de Suez. Neste wadi, a vegetação consiste em palmeiras, tamargueiras e acácias. No entanto, se o Monte Sinai estiver localizado na Arábia, Elim estaria muito mais próximo do Golfo de Aqaba.</w:t>
      </w:r>
      <w:r/>
      <w:r/>
    </w:p>
    <w:p>
      <w:r/>
    </w:p>
    <w:p>
      <w:pPr>
        <w:pStyle w:val="Heading2"/>
      </w:pPr>
      <w:r>
        <w:t>Elimas</w:t>
      </w:r>
      <w:r/>
    </w:p>
    <w:p>
      <w:r/>
      <w:r>
        <w:t xml:space="preserve">Outro nome para Barjesus. Ele era um mágico judeu e falso profeta mencionado em </w:t>
      </w:r>
      <w:hyperlink r:id="rId3131">
        <w:r>
          <w:rPr>
            <w:color w:val="0000EE"/>
            <w:u w:val="single"/>
          </w:rPr>
          <w:t>At 13.8</w:t>
        </w:r>
      </w:hyperlink>
      <w:r>
        <w:t>.</w:t>
      </w:r>
    </w:p>
    <w:p>
      <w:r/>
      <w:r>
        <w:rPr>
          <w:i/>
        </w:rPr>
        <w:t>Veja</w:t>
      </w:r>
      <w:r>
        <w:t xml:space="preserve"> </w:t>
      </w:r>
      <w:r>
        <w:t>Barjesus</w:t>
      </w:r>
      <w:r>
        <w:t>.</w:t>
      </w:r>
      <w:r/>
      <w:r/>
    </w:p>
    <w:p>
      <w:r/>
    </w:p>
    <w:p>
      <w:pPr>
        <w:pStyle w:val="Heading2"/>
      </w:pPr>
      <w:r>
        <w:t>Elisá</w:t>
      </w:r>
      <w:r/>
    </w:p>
    <w:p>
      <w:r/>
      <w:r>
        <w:t>Filho de Javã (</w:t>
      </w:r>
      <w:hyperlink r:id="rId7426">
        <w:r>
          <w:rPr>
            <w:color w:val="0000EE"/>
            <w:u w:val="single"/>
          </w:rPr>
          <w:t>Gn 10.4</w:t>
        </w:r>
      </w:hyperlink>
      <w:r>
        <w:t xml:space="preserve">; </w:t>
      </w:r>
      <w:hyperlink r:id="rId7427">
        <w:r>
          <w:rPr>
            <w:color w:val="0000EE"/>
            <w:u w:val="single"/>
          </w:rPr>
          <w:t>1Cr 1.7</w:t>
        </w:r>
      </w:hyperlink>
      <w:r>
        <w:t xml:space="preserve">). O termo hebraico para Grécia é Javã; portanto, Elisá poderia se referir às ilhas ou costas ocidentais do Egeu (cf. </w:t>
      </w:r>
      <w:hyperlink r:id="rId7936">
        <w:r>
          <w:rPr>
            <w:color w:val="0000EE"/>
            <w:u w:val="single"/>
          </w:rPr>
          <w:t>Gn 10.5</w:t>
        </w:r>
      </w:hyperlink>
      <w:r>
        <w:t>) que forneciam corantes aos habitantes de Tiro (</w:t>
      </w:r>
      <w:hyperlink r:id="rId1865">
        <w:r>
          <w:rPr>
            <w:color w:val="0000EE"/>
            <w:u w:val="single"/>
          </w:rPr>
          <w:t>Ez 27.7</w:t>
        </w:r>
      </w:hyperlink>
      <w:r>
        <w:t xml:space="preserve">). O historiador judeu Josefo identificou Elisá com os Eólios; outras sugestões incluem Cartago no Norte da África, Hélade, Itália e Elis. Um local no Mediterrâneo parece provável a partir do contexto de </w:t>
      </w:r>
      <w:hyperlink r:id="rId7937">
        <w:r>
          <w:rPr>
            <w:color w:val="0000EE"/>
            <w:u w:val="single"/>
          </w:rPr>
          <w:t>Ezequiel 27.6–7</w:t>
        </w:r>
      </w:hyperlink>
      <w:r>
        <w:t>, talvez uma área de Chipre que exportava cobre.</w:t>
      </w:r>
      <w:r/>
      <w:r/>
    </w:p>
    <w:p>
      <w:r/>
    </w:p>
    <w:p>
      <w:pPr>
        <w:pStyle w:val="Heading2"/>
      </w:pPr>
      <w:r>
        <w:t>Elisama</w:t>
      </w:r>
      <w:r/>
    </w:p>
    <w:p>
      <w:r/>
      <w:r>
        <w:t>1. Filho de Amiúde e líder dos efraimitas no início da jornada no deserto (</w:t>
      </w:r>
      <w:hyperlink r:id="rId1097">
        <w:r>
          <w:rPr>
            <w:color w:val="0000EE"/>
            <w:u w:val="single"/>
          </w:rPr>
          <w:t>Nm 1.10</w:t>
        </w:r>
      </w:hyperlink>
      <w:r>
        <w:t xml:space="preserve">; </w:t>
      </w:r>
      <w:hyperlink r:id="rId7938">
        <w:r>
          <w:rPr>
            <w:color w:val="0000EE"/>
            <w:u w:val="single"/>
          </w:rPr>
          <w:t>2.18</w:t>
        </w:r>
      </w:hyperlink>
      <w:r>
        <w:t xml:space="preserve">; </w:t>
      </w:r>
      <w:hyperlink r:id="rId7939">
        <w:r>
          <w:rPr>
            <w:color w:val="0000EE"/>
            <w:u w:val="single"/>
          </w:rPr>
          <w:t>7.48,53</w:t>
        </w:r>
      </w:hyperlink>
      <w:r>
        <w:t>). Sua tribo era a nona na fila durante a marcha no deserto (</w:t>
      </w:r>
      <w:hyperlink r:id="rId7940">
        <w:r>
          <w:rPr>
            <w:color w:val="0000EE"/>
            <w:u w:val="single"/>
          </w:rPr>
          <w:t>10.22</w:t>
        </w:r>
      </w:hyperlink>
      <w:r>
        <w:t>). Elisama foi o pai de Num e avô de Josué (</w:t>
      </w:r>
      <w:hyperlink r:id="rId1098">
        <w:r>
          <w:rPr>
            <w:color w:val="0000EE"/>
            <w:u w:val="single"/>
          </w:rPr>
          <w:t>1Cr 7.26</w:t>
        </w:r>
      </w:hyperlink>
      <w:r>
        <w:t>).</w:t>
      </w:r>
    </w:p>
    <w:p>
      <w:r/>
      <w:r>
        <w:t>2. Um dos 13 filhos de Davi nascidos em Jerusalém de uma esposa legítima (</w:t>
      </w:r>
      <w:hyperlink r:id="rId7941">
        <w:r>
          <w:rPr>
            <w:color w:val="0000EE"/>
            <w:u w:val="single"/>
          </w:rPr>
          <w:t>2Sm 5.16</w:t>
        </w:r>
      </w:hyperlink>
      <w:r>
        <w:t xml:space="preserve">; </w:t>
      </w:r>
      <w:hyperlink r:id="rId7942">
        <w:r>
          <w:rPr>
            <w:color w:val="0000EE"/>
            <w:u w:val="single"/>
          </w:rPr>
          <w:t>1Cr 3.8</w:t>
        </w:r>
      </w:hyperlink>
      <w:r>
        <w:t xml:space="preserve">; </w:t>
      </w:r>
      <w:hyperlink r:id="rId7943">
        <w:r>
          <w:rPr>
            <w:color w:val="0000EE"/>
            <w:u w:val="single"/>
          </w:rPr>
          <w:t>14.7</w:t>
        </w:r>
      </w:hyperlink>
      <w:r>
        <w:t>).</w:t>
      </w:r>
    </w:p>
    <w:p>
      <w:r/>
      <w:r>
        <w:t>3. Ancestral de Ismael. Ismael matou Gedalias, o governador de Israel nomeado por Nabucodonosor (</w:t>
      </w:r>
      <w:hyperlink r:id="rId7944">
        <w:r>
          <w:rPr>
            <w:color w:val="0000EE"/>
            <w:u w:val="single"/>
          </w:rPr>
          <w:t>2Rs 25.25</w:t>
        </w:r>
      </w:hyperlink>
      <w:r>
        <w:t xml:space="preserve">; </w:t>
      </w:r>
      <w:hyperlink r:id="rId7945">
        <w:r>
          <w:rPr>
            <w:color w:val="0000EE"/>
            <w:u w:val="single"/>
          </w:rPr>
          <w:t>Jr 41.1</w:t>
        </w:r>
      </w:hyperlink>
      <w:r>
        <w:t>).</w:t>
      </w:r>
    </w:p>
    <w:p>
      <w:r/>
      <w:r>
        <w:t>4. Homem de Judá, descendente por meio de Jerameel e Sesã (</w:t>
      </w:r>
      <w:hyperlink r:id="rId7946">
        <w:r>
          <w:rPr>
            <w:color w:val="0000EE"/>
            <w:u w:val="single"/>
          </w:rPr>
          <w:t>1Cr 2.41</w:t>
        </w:r>
      </w:hyperlink>
      <w:r>
        <w:t>).</w:t>
      </w:r>
    </w:p>
    <w:p>
      <w:r/>
      <w:r>
        <w:t>5. Outro dos filhos de Davi (</w:t>
      </w:r>
      <w:hyperlink r:id="rId7947">
        <w:r>
          <w:rPr>
            <w:color w:val="0000EE"/>
            <w:u w:val="single"/>
          </w:rPr>
          <w:t>1Cr 3.6</w:t>
        </w:r>
      </w:hyperlink>
      <w:r>
        <w:t xml:space="preserve">); alternativamente chamado de Elisua em </w:t>
      </w:r>
      <w:hyperlink r:id="rId7948">
        <w:r>
          <w:rPr>
            <w:color w:val="0000EE"/>
            <w:u w:val="single"/>
          </w:rPr>
          <w:t>2 Samuel 5.15</w:t>
        </w:r>
      </w:hyperlink>
      <w:r>
        <w:t xml:space="preserve"> e </w:t>
      </w:r>
      <w:hyperlink r:id="rId7949">
        <w:r>
          <w:rPr>
            <w:color w:val="0000EE"/>
            <w:u w:val="single"/>
          </w:rPr>
          <w:t>1Crônicas 14.5</w:t>
        </w:r>
      </w:hyperlink>
      <w:r>
        <w:t xml:space="preserve">. </w:t>
      </w:r>
      <w:r>
        <w:rPr>
          <w:i/>
        </w:rPr>
        <w:t>Veja</w:t>
      </w:r>
      <w:r>
        <w:t xml:space="preserve"> </w:t>
      </w:r>
      <w:r>
        <w:t>Elisua</w:t>
      </w:r>
      <w:r>
        <w:t>.</w:t>
      </w:r>
    </w:p>
    <w:p>
      <w:r/>
      <w:r>
        <w:t>6. Sacerdote enviado por Josafá para instruir os judeus na lei de Deus (</w:t>
      </w:r>
      <w:hyperlink r:id="rId4894">
        <w:r>
          <w:rPr>
            <w:color w:val="0000EE"/>
            <w:u w:val="single"/>
          </w:rPr>
          <w:t>2Cr 17.8</w:t>
        </w:r>
      </w:hyperlink>
      <w:r>
        <w:t>).</w:t>
      </w:r>
    </w:p>
    <w:p>
      <w:r/>
      <w:r>
        <w:t>7. Príncipe e escriba no tempo de Jeremias (</w:t>
      </w:r>
      <w:hyperlink r:id="rId256">
        <w:r>
          <w:rPr>
            <w:color w:val="0000EE"/>
            <w:u w:val="single"/>
          </w:rPr>
          <w:t>Jr 36.12</w:t>
        </w:r>
      </w:hyperlink>
      <w:r>
        <w:t xml:space="preserve">). Ele ouviu Baruque ler as palavras de Deus, e mais tarde o rolo do Senhor permaneceu na câmara de Elisama até que o rei solicitou que fosse lido (vv. </w:t>
      </w:r>
      <w:hyperlink r:id="rId7950">
        <w:r>
          <w:rPr>
            <w:color w:val="0000EE"/>
            <w:u w:val="single"/>
          </w:rPr>
          <w:t>20–21</w:t>
        </w:r>
      </w:hyperlink>
      <w:r>
        <w:t>).</w:t>
      </w:r>
      <w:r/>
      <w:r/>
    </w:p>
    <w:p>
      <w:r/>
    </w:p>
    <w:p>
      <w:pPr>
        <w:pStyle w:val="Heading2"/>
      </w:pPr>
      <w:r>
        <w:t>Eliseba</w:t>
      </w:r>
      <w:r/>
    </w:p>
    <w:p>
      <w:r/>
      <w:r>
        <w:t>A esposa de Arão (</w:t>
      </w:r>
      <w:hyperlink r:id="rId124">
        <w:r>
          <w:rPr>
            <w:color w:val="0000EE"/>
            <w:u w:val="single"/>
          </w:rPr>
          <w:t>Êx 6.23</w:t>
        </w:r>
      </w:hyperlink>
      <w:r>
        <w:t>), que deu à luz Nadabe, Abiú, Eleazar e Itamar. Seu pai era Aminadabe e seu irmão era Naassom, o líder de Judá (</w:t>
      </w:r>
      <w:hyperlink r:id="rId1087">
        <w:r>
          <w:rPr>
            <w:color w:val="0000EE"/>
            <w:u w:val="single"/>
          </w:rPr>
          <w:t>Nm 1.7</w:t>
        </w:r>
      </w:hyperlink>
      <w:r>
        <w:t xml:space="preserve">; </w:t>
      </w:r>
      <w:hyperlink r:id="rId1088">
        <w:r>
          <w:rPr>
            <w:color w:val="0000EE"/>
            <w:u w:val="single"/>
          </w:rPr>
          <w:t>2.3</w:t>
        </w:r>
      </w:hyperlink>
      <w:r>
        <w:t>). Eliseba também era de Judá. Após a morte de Arão (</w:t>
      </w:r>
      <w:hyperlink r:id="rId7951">
        <w:r>
          <w:rPr>
            <w:color w:val="0000EE"/>
            <w:u w:val="single"/>
          </w:rPr>
          <w:t>Nm 20.28</w:t>
        </w:r>
      </w:hyperlink>
      <w:r>
        <w:t>), Moisés nomeou Eleazar, o terceiro filho de Eliseba, para o cargo de sumo sacerdote.</w:t>
      </w:r>
      <w:r/>
      <w:r/>
    </w:p>
    <w:p>
      <w:r/>
    </w:p>
    <w:p>
      <w:pPr>
        <w:pStyle w:val="Heading2"/>
      </w:pPr>
      <w:r>
        <w:t>Eliseu</w:t>
      </w:r>
      <w:r/>
    </w:p>
    <w:p>
      <w:r/>
      <w:r>
        <w:t>Profeta em Israel durante o quarto século a.C.</w:t>
      </w:r>
    </w:p>
    <w:p>
      <w:pPr>
        <w:pStyle w:val="Heading3"/>
      </w:pPr>
      <w:r>
        <w:t>Contexto e convocação</w:t>
      </w:r>
    </w:p>
    <w:p>
      <w:r/>
      <w:r>
        <w:t xml:space="preserve">Eliseu é mencionado pela primeira vez em </w:t>
      </w:r>
      <w:hyperlink r:id="rId7952">
        <w:r>
          <w:rPr>
            <w:color w:val="0000EE"/>
            <w:u w:val="single"/>
          </w:rPr>
          <w:t>1Rs 19.16</w:t>
        </w:r>
      </w:hyperlink>
      <w:r>
        <w:t>, onde é descrito como filho de Safate, que vivia em Abel-Meolá. Esse lugar foi tentativamente identificado com o moderno Tel Abu Sifri, a oeste do rio Jordão, embora muitos estudiosos o coloquem a leste do rio. O profeta Elias havia sido ordenado por Deus a ungir Eliseu como seu sucessor, mas a narrativa não deixa claro se Eliseu já era um dos discípulos de Elias. Quando os dois se encontraram, Eliseu estava ocupado arando um campo e não parece ter saudado Elias com o respeito que um discípulo normalmente mostraria ao seu mestre.</w:t>
      </w:r>
    </w:p>
    <w:p>
      <w:r/>
      <w:r>
        <w:t>O uso de Eliseu de 12 juntas de bois em seu trabalho agrícola foi interpretado como um sinal de que ele era rico, pois normalmente dois bois atrelados seriam manejados por uma pessoa. Quando Elias passou e colocou seu manto sobre o ombro de Eliseu, este último soube que era um sinal de que ele deveria herdar a missão do grande profeta. A nação precisava de um profeta, pois estava se entregando cada vez mais à idolatria cananeia com o incentivo do rei Acabe e de sua esposa fenícia, Jezabel.</w:t>
      </w:r>
    </w:p>
    <w:p>
      <w:r/>
      <w:r>
        <w:t>Depois que Elias o comissionou simbolicamente e se afastou, Eliseu correu atrás do profeta para solicitar um breve intervalo de tempo para anunciar sua nova vocação aos seus pais antes de sair de casa. A resposta do profeta, “Está bem. Pode ir. Eu não estou impedindo” (</w:t>
      </w:r>
      <w:hyperlink r:id="rId7953">
        <w:r>
          <w:rPr>
            <w:color w:val="0000EE"/>
            <w:u w:val="single"/>
          </w:rPr>
          <w:t>1Rs 19.20</w:t>
        </w:r>
      </w:hyperlink>
      <w:r>
        <w:t xml:space="preserve">, NTLH), ajudou Eliseu a tomar uma decisão imediatamente. O atraso na implementação de sua vocação quase certamente teria sido fatal para Eliseu (cf. </w:t>
      </w:r>
      <w:hyperlink r:id="rId7954">
        <w:r>
          <w:rPr>
            <w:color w:val="0000EE"/>
            <w:u w:val="single"/>
          </w:rPr>
          <w:t>Mt 8.21,22</w:t>
        </w:r>
      </w:hyperlink>
      <w:r>
        <w:t xml:space="preserve">; </w:t>
      </w:r>
      <w:hyperlink r:id="rId7955">
        <w:r>
          <w:rPr>
            <w:color w:val="0000EE"/>
            <w:u w:val="single"/>
          </w:rPr>
          <w:t>Lc 9.61,62</w:t>
        </w:r>
      </w:hyperlink>
      <w:r>
        <w:t>).</w:t>
      </w:r>
    </w:p>
    <w:p>
      <w:r/>
      <w:r>
        <w:t>Para Marcos, a mudança em seu modo de vida, Eliseu fez uma grande festa para seus vizinhos, assando dois bois. Esta é outra indicação de que ele vinha de uma família rica. A partir daquele momento, ele não era mais um fazendeiro; ao associar-se com Elias, ele começou a se preparar para seu próprio ministério. Não há registro de Eliseu sendo ungido para o ofício profético, mas a transferência de autoridade profética por meio do manto não deixaria dúvidas na mente de ninguém de que Eliseu era o próximo profeta oficial em Israel.</w:t>
      </w:r>
    </w:p>
    <w:p>
      <w:pPr>
        <w:pStyle w:val="Heading3"/>
      </w:pPr>
      <w:r>
        <w:t>"Filhos dos profetas"</w:t>
      </w:r>
    </w:p>
    <w:p>
      <w:r/>
      <w:r>
        <w:t>A possibilidade de ter havido alguma dúvida sobre a autoridade de Eliseu é implícita pela existência de grupos de pessoas conhecidas como "filhos dos profetas". A expressão significava que essas pessoas eram herdeiras dos ensinamentos e tradições proféticas, embora aparentemente nenhuma delas fosse um profeta importante. O profeta Amós até negou qualquer conexão com tais grupos, que parecem ter desaparecido no oitavo século a.C. (</w:t>
      </w:r>
      <w:hyperlink r:id="rId5248">
        <w:r>
          <w:rPr>
            <w:color w:val="0000EE"/>
            <w:u w:val="single"/>
          </w:rPr>
          <w:t>Am 7.14</w:t>
        </w:r>
      </w:hyperlink>
      <w:r>
        <w:t xml:space="preserve">). No tempo de Eliseu, os "filhos dos profetas" estavam localizados em Gilgal, Betel e Jericó, e parecem ter exercido um ministério principalmente local. Eles podem ter atuado sob as instruções de Elias e Eliseu para ensinar ao povo a lei de Deus e pronunciar revelações divinas, como nos dias de Saul (cf. </w:t>
      </w:r>
      <w:hyperlink r:id="rId7956">
        <w:r>
          <w:rPr>
            <w:color w:val="0000EE"/>
            <w:u w:val="single"/>
          </w:rPr>
          <w:t>1Sm 10.5,10</w:t>
        </w:r>
      </w:hyperlink>
      <w:r>
        <w:t>).</w:t>
      </w:r>
    </w:p>
    <w:p>
      <w:r/>
      <w:r>
        <w:t>Pouco antes de Elias ser levado ao céu, ele e Eliseu visitaram esses grupos proféticos, e Elias tentou em vão persuadir Eliseu a ficar para trás em Gilgal e em Betel (</w:t>
      </w:r>
      <w:hyperlink r:id="rId7957">
        <w:r>
          <w:rPr>
            <w:color w:val="0000EE"/>
            <w:u w:val="single"/>
          </w:rPr>
          <w:t>2Rs 2.1–4</w:t>
        </w:r>
      </w:hyperlink>
      <w:r>
        <w:t>). O grupo profético em Betel pode ter sido avisado por Deus que Elias seria levado deles, pois questionaram Eliseu sobre o assunto e confirmaram que ele também estava ciente da situação.</w:t>
      </w:r>
    </w:p>
    <w:p>
      <w:pPr>
        <w:pStyle w:val="Heading3"/>
      </w:pPr>
      <w:r>
        <w:t>Sucessor de Elias</w:t>
      </w:r>
    </w:p>
    <w:p>
      <w:r/>
      <w:r>
        <w:t>Depois de milagrosamente abrir as águas do Jordão, Elias perguntou ao seu sucessor o que ele poderia fazer por ele (</w:t>
      </w:r>
      <w:hyperlink r:id="rId7958">
        <w:r>
          <w:rPr>
            <w:color w:val="0000EE"/>
            <w:u w:val="single"/>
          </w:rPr>
          <w:t>2Rs 2.9</w:t>
        </w:r>
      </w:hyperlink>
      <w:r>
        <w:t>). Eliseu pediu uma "porção dobrada" de seu espírito ao se separarem, a porção de uma herança normalmente dada a um filho primogênito (</w:t>
      </w:r>
      <w:hyperlink r:id="rId7904">
        <w:r>
          <w:rPr>
            <w:color w:val="0000EE"/>
            <w:u w:val="single"/>
          </w:rPr>
          <w:t>Dt 21.17</w:t>
        </w:r>
      </w:hyperlink>
      <w:r>
        <w:t>). Seu pedido foi concedido quando Eliseu viu seu mestre ser levado ao céu em uma carruagem de fogo, e teve efeito imediato quando Eliseu abriu as águas do Jordão e atravessou (</w:t>
      </w:r>
      <w:hyperlink r:id="rId7959">
        <w:r>
          <w:rPr>
            <w:color w:val="0000EE"/>
            <w:u w:val="single"/>
          </w:rPr>
          <w:t>2Rs 2.14</w:t>
        </w:r>
      </w:hyperlink>
      <w:r>
        <w:t>).</w:t>
      </w:r>
    </w:p>
    <w:p>
      <w:r/>
      <w:r>
        <w:t>Com sua autoridade profética agora reconhecida, Eliseu iniciou seu ministério em Israel aproximadamente no final do reinado do rei Acabe (853 a.C.). Seu trabalho durou meio século e, em contraste com o ministério agitado, austero e às vezes dramático de Elias, as atividades de Eliseu foram, na maioria das vezes, mais tranquilas e ocorreram entre o povo comum de Israel. No entanto, ele também se dirigiu à corte real, embora não em conflitos com sacerdotes cananeus, como Elias havia experimentado.</w:t>
      </w:r>
    </w:p>
    <w:p>
      <w:pPr>
        <w:pStyle w:val="Heading3"/>
      </w:pPr>
      <w:r>
        <w:t>Milagres</w:t>
      </w:r>
    </w:p>
    <w:p>
      <w:r/>
      <w:r>
        <w:t>O elemento miraculoso foi proeminente no ministério de Eliseu. Quando o povo de Jericó relatou que a água da nascente local era salobra, Eliseu a purificou (</w:t>
      </w:r>
      <w:hyperlink r:id="rId7960">
        <w:r>
          <w:rPr>
            <w:color w:val="0000EE"/>
            <w:u w:val="single"/>
          </w:rPr>
          <w:t>2Rs 2.19–22</w:t>
        </w:r>
      </w:hyperlink>
      <w:r>
        <w:t>). Até hoje, é a única nascente de água doce significativa na área (Tell es-Sultan).</w:t>
      </w:r>
    </w:p>
    <w:p>
      <w:r/>
      <w:r>
        <w:t>Quando o profeta partiu para Betel, ele encontrou um grupo de jovens que zombavam de sua calvície (</w:t>
      </w:r>
      <w:hyperlink r:id="rId7961">
        <w:r>
          <w:rPr>
            <w:color w:val="0000EE"/>
            <w:u w:val="single"/>
          </w:rPr>
          <w:t>2Rs 2.23,24</w:t>
        </w:r>
      </w:hyperlink>
      <w:r>
        <w:t>). Ele os amaldiçoou em nome do Senhor, e duas ursos saíram da floresta e atacaram os ofensores. O que à primeira vista parece ser um ato imoral por parte de Deus era, na verdade, um presságio para a nação. Os jovens em Betel eram uma geração de israelitas que haviam absorvido tanto a cultura imoral e pagã de sua cidade que rejeitaram tanto a pessoa quanto a mensagem dos profetas de Deus. Eles não eram meramente irreligiosos, mas também incrivelmente descorteses, de acordo com os padrões do antigo Oriente Próximo, ao ridicularizar um homem calvo em vez de respeitar sua senioridade.</w:t>
      </w:r>
    </w:p>
    <w:p>
      <w:r/>
      <w:r>
        <w:t>As maldições que Eliseu pronunciou “em nome do Senhor” não foram suas próprias reações ao tratamento que ele havia recebido, mas sim eram maldições da aliança (</w:t>
      </w:r>
      <w:hyperlink r:id="rId2209">
        <w:r>
          <w:rPr>
            <w:color w:val="0000EE"/>
            <w:u w:val="single"/>
          </w:rPr>
          <w:t>Dt 28.15–68</w:t>
        </w:r>
      </w:hyperlink>
      <w:r>
        <w:t xml:space="preserve">) que viriam sobre todos que rejeitassem as leis sinaíticas e voltassem atrás em suas promessas a Deus (veja </w:t>
      </w:r>
      <w:hyperlink r:id="rId7962">
        <w:r>
          <w:rPr>
            <w:color w:val="0000EE"/>
            <w:u w:val="single"/>
          </w:rPr>
          <w:t>Êx 24.3–8</w:t>
        </w:r>
      </w:hyperlink>
      <w:r>
        <w:t>). Os dois ursos também eram simbólicos da Assíria e Babilônia, que despedaçariam a nação em diferentes momentos. Um pequeno incidente foi, assim, uma previsão sombria do que o futuro reservava para um povo perverso e desobediente.</w:t>
      </w:r>
    </w:p>
    <w:p>
      <w:r/>
      <w:r>
        <w:t>Em um de seus contatos com a realeza, Eliseu transmitiu uma mensagem (embora contra a vontade) de Deus ao Rei Jeorão de Israel (853–841 a.C.). O rei havia se aliado ao Rei Josafá de Judá (872–848 a.C.) e ao governante edomita contra Messa, rei de Moabe. As forças aliadas estavam profundamente em território edomita quando ficaram sem água e, em desespero, recorreram a Eliseu, o profeta local. Ele se recusou a dizer qualquer coisa a princípio, mas finalmente previu amplos suprimentos de água e vitória para a coalizão. Ambos ocorreram no dia seguinte (</w:t>
      </w:r>
      <w:hyperlink r:id="rId7963">
        <w:r>
          <w:rPr>
            <w:color w:val="0000EE"/>
            <w:u w:val="single"/>
          </w:rPr>
          <w:t>2Rs 3.1–27</w:t>
        </w:r>
      </w:hyperlink>
      <w:r>
        <w:t>).</w:t>
      </w:r>
    </w:p>
    <w:p>
      <w:pPr>
        <w:pStyle w:val="Heading3"/>
      </w:pPr>
      <w:r>
        <w:t>Milagres da caridade</w:t>
      </w:r>
    </w:p>
    <w:p>
      <w:r/>
      <w:r>
        <w:t>O tipo de trabalho pelo qual Eliseu era justamente renomado geralmente era realizado para pessoas que não podiam ajudar a si mesmas. Uma dessas pessoas era uma pobre viúva que quase havia empenhado seus dois filhos a um credor. Seu único bem era uma jarra de óleo. Eliseu instruiu-a a pegar emprestadas jarras vazias de seus vizinhos e enchê-las com o óleo de sua própria jarra. De maneira milagrosa, todas as jarras foram preenchidas. Eliseu então disse a ela para vender o óleo, pagar suas dívidas e usar o restante do dinheiro para despesas de subsistência (</w:t>
      </w:r>
      <w:hyperlink r:id="rId7363">
        <w:r>
          <w:rPr>
            <w:color w:val="0000EE"/>
            <w:u w:val="single"/>
          </w:rPr>
          <w:t>2Rs 4.1–7</w:t>
        </w:r>
      </w:hyperlink>
      <w:r>
        <w:t>).</w:t>
      </w:r>
    </w:p>
    <w:p>
      <w:r/>
      <w:r>
        <w:t>Um ato semelhante de caridade foi realizado para uma mulher sunamita, que havia persuadido seu marido a providenciar um quarto onde o profeta pudesse ficar quando estivesse na área. Em troca de sua bondade, Eliseu previu que a mulher, anteriormente sem filhos, teria seu próprio filho. Cerca de um ano depois, isso aconteceu (</w:t>
      </w:r>
      <w:hyperlink r:id="rId7964">
        <w:r>
          <w:rPr>
            <w:color w:val="0000EE"/>
            <w:u w:val="single"/>
          </w:rPr>
          <w:t>2Rs 4.8–17</w:t>
        </w:r>
      </w:hyperlink>
      <w:r>
        <w:t xml:space="preserve">). O menino mais tarde contraiu uma doença grave, possivelmente meningite, e morreu repentinamente. Sua mãe colocou o corpo na cama de Eliseu enquanto se apressava para o Monte Carmelo para buscar o profeta. Eliseu aparentemente não estava ciente da situação até que a mãe aflita o informou da morte do menino. Como medida de emergência, Eliseu enviou seu servo Geazi para colocar o cajado do profeta no rosto da criança. Isso não reviveu a criança, mas quando Eliseu chegou e se deitou sobre o corpo, o menino foi curado e devolvido aos seus pais (vv. </w:t>
      </w:r>
      <w:hyperlink r:id="rId7965">
        <w:r>
          <w:rPr>
            <w:color w:val="0000EE"/>
            <w:u w:val="single"/>
          </w:rPr>
          <w:t>18–37</w:t>
        </w:r>
      </w:hyperlink>
      <w:r>
        <w:t>).</w:t>
      </w:r>
    </w:p>
    <w:p>
      <w:r/>
      <w:r>
        <w:t>Outro incidente benéfico foi a correção de uma situação potencialmente desastrosa. Quando algumas cabaças venenosas foram acidentalmente cozidas e servidas, Eliseu tornou a mistura inofensiva ao adicionar farinha ao conteúdo da panela (</w:t>
      </w:r>
      <w:hyperlink r:id="rId5234">
        <w:r>
          <w:rPr>
            <w:color w:val="0000EE"/>
            <w:u w:val="single"/>
          </w:rPr>
          <w:t>2Rs 4.38–41</w:t>
        </w:r>
      </w:hyperlink>
      <w:r>
        <w:t xml:space="preserve">). Um milagre semelhante à multiplicação dos pães por Cristo (veja </w:t>
      </w:r>
      <w:hyperlink r:id="rId7966">
        <w:r>
          <w:rPr>
            <w:color w:val="0000EE"/>
            <w:u w:val="single"/>
          </w:rPr>
          <w:t>Mt 14.16–21</w:t>
        </w:r>
      </w:hyperlink>
      <w:r>
        <w:t xml:space="preserve">; </w:t>
      </w:r>
      <w:hyperlink r:id="rId7967">
        <w:r>
          <w:rPr>
            <w:color w:val="0000EE"/>
            <w:u w:val="single"/>
          </w:rPr>
          <w:t>15.32–38</w:t>
        </w:r>
      </w:hyperlink>
      <w:r>
        <w:t>) ocorreu quando alguém trouxe ao profeta vários pães e espigas de milho frescas. Eliseu instruiu seu servo a distribuir a comida para 100 pessoas, e quando isso foi feito, as pessoas comeram e ainda sobrou comida (</w:t>
      </w:r>
      <w:hyperlink r:id="rId7968">
        <w:r>
          <w:rPr>
            <w:color w:val="0000EE"/>
            <w:u w:val="single"/>
          </w:rPr>
          <w:t>2Rs 4.42–44</w:t>
        </w:r>
      </w:hyperlink>
      <w:r>
        <w:t>).</w:t>
      </w:r>
    </w:p>
    <w:p>
      <w:r/>
      <w:r>
        <w:t>A cura de Naamã, um comandante sírio, ocorreu através da influência de uma serva hebreia na casa dele, que persuadiu a esposa de Naamã de que Eliseu poderia curar seu marido. O rei assírio enviou seu general ao governante israelita com instruções para que Naamã fosse curado. O homem aflito foi enviado a Eliseu, que ordenou que ele se lavasse no Rio Jordão. Relutante a princípio, Naamã finalmente obedeceu e foi curado de sua aflição. Em gratidão, o líder sírio reconheceu o poder do Deus de Israel (</w:t>
      </w:r>
      <w:hyperlink r:id="rId7969">
        <w:r>
          <w:rPr>
            <w:color w:val="0000EE"/>
            <w:u w:val="single"/>
          </w:rPr>
          <w:t>2Rs 5.1–19</w:t>
        </w:r>
      </w:hyperlink>
      <w:r>
        <w:t>).</w:t>
      </w:r>
    </w:p>
    <w:p>
      <w:pPr>
        <w:pStyle w:val="Heading3"/>
      </w:pPr>
      <w:r>
        <w:t>Encontros com a realeza</w:t>
      </w:r>
    </w:p>
    <w:p>
      <w:r/>
      <w:r>
        <w:t>Quando a Síria atacou Israel, Eliseu revelou os movimentos dos sírios ao rei israelita. Os sírios tentaram capturar o profeta em Dotã, mas Deus os cegou, e Eliseu os conduziu à capital israelita de Samaria. A visão deles retornou, e Eliseu aconselhou o rei israelita a poupar os cativos, alimentá-los bem e enviá-los para casa. Porque o mal deles foi recompensado com o bem, os sírios não atacaram Israel por um tempo (</w:t>
      </w:r>
      <w:hyperlink r:id="rId7970">
        <w:r>
          <w:rPr>
            <w:color w:val="0000EE"/>
            <w:u w:val="single"/>
          </w:rPr>
          <w:t>2Rs 6.8–23</w:t>
        </w:r>
      </w:hyperlink>
      <w:r>
        <w:t>).</w:t>
      </w:r>
    </w:p>
    <w:p>
      <w:r/>
      <w:r>
        <w:t>Quando o rei sírio Ben-Hadade sitiou Samaria anos depois, as condições de fome lá se tornaram tão severas que o rei ameaçou executar Eliseu. Em resposta, o profeta prometeu uma abundância de comida no dia seguinte. Os sírios fugiram de seu acampamento por algum motivo não especificado, e a profecia foi cumprida (</w:t>
      </w:r>
      <w:hyperlink r:id="rId7971">
        <w:r>
          <w:rPr>
            <w:color w:val="0000EE"/>
            <w:u w:val="single"/>
          </w:rPr>
          <w:t>2Rs 6.24–7.20</w:t>
        </w:r>
      </w:hyperlink>
      <w:r>
        <w:t>). Em um encontro incomum com o rei enfermo da Síria, Eliseu foi visitado por Hazael, servo de Ben-Hadade, que havia sido enviado para perguntar sobre as perspectivas de melhora de seu mestre. Eliseu enviou de volta uma resposta tranquilizadora, mas ao mesmo tempo disse que Hazael em breve sucederia Ben-Hadade (</w:t>
      </w:r>
      <w:hyperlink r:id="rId7972">
        <w:r>
          <w:rPr>
            <w:color w:val="0000EE"/>
            <w:u w:val="single"/>
          </w:rPr>
          <w:t>8.7–13</w:t>
        </w:r>
      </w:hyperlink>
      <w:r>
        <w:t>). Em outra ocasião, Eliseu enviou um profeta a Ramote-Gileade para ungir Jeú, filho de Josafá, como rei de Israel para substituir Jorão, a quem Jeú procedeu a matar em batalha (</w:t>
      </w:r>
      <w:hyperlink r:id="rId7973">
        <w:r>
          <w:rPr>
            <w:color w:val="0000EE"/>
            <w:u w:val="single"/>
          </w:rPr>
          <w:t>9.1–28</w:t>
        </w:r>
      </w:hyperlink>
      <w:r>
        <w:t>).</w:t>
      </w:r>
    </w:p>
    <w:p>
      <w:r/>
      <w:r>
        <w:t>O último contato de Eliseu com os governantes israelitas ocorreu no momento de sua própria morte, quando Joás, o rei, o visitou para lamentar a doença do profeta. Naquela ocasião, através do manejo simbólico de flechas, o profeta moribundo prometeu a Joás que ele derrotaria os sírios em batalha, mas não os exterminaria (</w:t>
      </w:r>
      <w:hyperlink r:id="rId7974">
        <w:r>
          <w:rPr>
            <w:color w:val="0000EE"/>
            <w:u w:val="single"/>
          </w:rPr>
          <w:t>2Rs 13.14–19</w:t>
        </w:r>
      </w:hyperlink>
      <w:r>
        <w:t>).</w:t>
      </w:r>
    </w:p>
    <w:p>
      <w:r/>
      <w:r>
        <w:t>O profeta também interveio uma segunda vez em favor da mulher sunamita cujo filho ele havia curado, instruindo-a a mudar sua família para o território filisteu durante uma fome de sete anos em Israel. Quando ela voltou, sua casa e propriedade aparentemente tinham sido ocupadas por outros, então ela apelou ao rei por ajuda para recuperá-las. O servo de Eliseu, Geazi, contou ao governante sobre ela, e ao entrevistá-la pessoalmente, o rei ordenou que toda a sua propriedade fosse devolvida (</w:t>
      </w:r>
      <w:hyperlink r:id="rId7975">
        <w:r>
          <w:rPr>
            <w:color w:val="0000EE"/>
            <w:u w:val="single"/>
          </w:rPr>
          <w:t>2Rs 8.1–6</w:t>
        </w:r>
      </w:hyperlink>
      <w:r>
        <w:t>).</w:t>
      </w:r>
    </w:p>
    <w:p>
      <w:pPr>
        <w:pStyle w:val="Heading3"/>
      </w:pPr>
      <w:r>
        <w:t>Influência constante</w:t>
      </w:r>
    </w:p>
    <w:p>
      <w:r/>
      <w:r>
        <w:t>O último milagre de Eliseu ocorreu após sua morte, quando um cadáver jogado apressadamente na tumba do profeta voltou abruptamente à vida (</w:t>
      </w:r>
      <w:hyperlink r:id="rId7976">
        <w:r>
          <w:rPr>
            <w:color w:val="0000EE"/>
            <w:u w:val="single"/>
          </w:rPr>
          <w:t>2Rs 13.21</w:t>
        </w:r>
      </w:hyperlink>
      <w:r>
        <w:t>). Jesus mencionou Eliseu uma vez em conexão com a cura de Naamã; Jesus declarou que a misericórdia de Deus não estava restrita aos israelitas (</w:t>
      </w:r>
      <w:hyperlink r:id="rId7977">
        <w:r>
          <w:rPr>
            <w:color w:val="0000EE"/>
            <w:u w:val="single"/>
          </w:rPr>
          <w:t>Lc 4.27</w:t>
        </w:r>
      </w:hyperlink>
      <w:r>
        <w:t>).</w:t>
      </w:r>
    </w:p>
    <w:p>
      <w:r/>
      <w:r>
        <w:rPr>
          <w:i/>
        </w:rPr>
        <w:t>Veja também</w:t>
      </w:r>
      <w:r>
        <w:t xml:space="preserve"> </w:t>
      </w:r>
      <w:r>
        <w:t>Elias</w:t>
      </w:r>
      <w:r>
        <w:t xml:space="preserve">; </w:t>
      </w:r>
      <w:r>
        <w:t>História de Israel</w:t>
      </w:r>
      <w:r>
        <w:t xml:space="preserve">; </w:t>
      </w:r>
      <w:r>
        <w:t>Profecia</w:t>
      </w:r>
      <w:r>
        <w:t xml:space="preserve">; </w:t>
      </w:r>
      <w:r>
        <w:t>Profeta, profetisa</w:t>
      </w:r>
      <w:r>
        <w:t>.</w:t>
      </w:r>
      <w:r/>
      <w:r/>
    </w:p>
    <w:p>
      <w:r/>
    </w:p>
    <w:p>
      <w:pPr>
        <w:pStyle w:val="Heading2"/>
      </w:pPr>
      <w:r>
        <w:t>Elizur</w:t>
      </w:r>
      <w:r/>
    </w:p>
    <w:p>
      <w:r/>
      <w:r>
        <w:t>O filho de Sedeur e líder da tribo de Rúben quando os israelitas começaram sua jornada pelo deserto após deixarem o Egito (</w:t>
      </w:r>
      <w:hyperlink r:id="rId7978">
        <w:r>
          <w:rPr>
            <w:color w:val="0000EE"/>
            <w:u w:val="single"/>
          </w:rPr>
          <w:t>Nm 1.5</w:t>
        </w:r>
      </w:hyperlink>
      <w:r>
        <w:t xml:space="preserve">; </w:t>
      </w:r>
      <w:hyperlink r:id="rId7979">
        <w:r>
          <w:rPr>
            <w:color w:val="0000EE"/>
            <w:u w:val="single"/>
          </w:rPr>
          <w:t>2.10</w:t>
        </w:r>
      </w:hyperlink>
      <w:r>
        <w:t xml:space="preserve">; </w:t>
      </w:r>
      <w:hyperlink r:id="rId7980">
        <w:r>
          <w:rPr>
            <w:color w:val="0000EE"/>
            <w:u w:val="single"/>
          </w:rPr>
          <w:t>7.30–35</w:t>
        </w:r>
      </w:hyperlink>
      <w:r>
        <w:t xml:space="preserve">; </w:t>
      </w:r>
      <w:hyperlink r:id="rId7981">
        <w:r>
          <w:rPr>
            <w:color w:val="0000EE"/>
            <w:u w:val="single"/>
          </w:rPr>
          <w:t>10.18</w:t>
        </w:r>
      </w:hyperlink>
      <w:r>
        <w:t>).</w:t>
      </w:r>
      <w:r/>
      <w:r/>
    </w:p>
    <w:p>
      <w:r/>
    </w:p>
    <w:p>
      <w:pPr>
        <w:pStyle w:val="Heading2"/>
      </w:pPr>
      <w:r>
        <w:t>Elohim</w:t>
      </w:r>
      <w:r/>
    </w:p>
    <w:p>
      <w:r/>
      <w:r>
        <w:t>Um nome geral para Deus no Antigo Testamento. A origem da palavra Elohim não é certa, mas a maioria dos estudiosos concorda que vem de uma raiz que significa "força" ou "poder". A palavra é plural em forma, mas quando se refere ao verdadeiro Deus, é usada como singular e, na maioria das vezes, com verbos no singular. A explicação mais comum para o motivo de Elohim ser plural quando aplicado a Deus é que é um "plural de majestade", o que significa que toda a grandeza e poder de Deus estão incluídos neste nome.</w:t>
      </w:r>
    </w:p>
    <w:p>
      <w:r/>
      <w:r>
        <w:rPr>
          <w:b/>
        </w:rPr>
        <w:t>Elohim</w:t>
      </w:r>
      <w:r>
        <w:t xml:space="preserve"> é uma palavra relacionada a nomes para divindades em outras línguas antigas, como o assírio e o ugarítico. No Antigo Testamento, às vezes pode se referir aos deuses de outras nações, mostrando seu significado mais amplo como um termo para seres divinos. No Antigo Testamento, especialmente nos primeiros cinco livros (Gênesis até Deuteronômio), Elohim parece ser usado de maneira geral para mostrar a grandeza de Deus e seu papel como criador do universo. Isso é um pouco diferente do nome Yahweh, que geralmente se refere a Deus em seus relacionamentos pessoais com as pessoas.</w:t>
      </w:r>
    </w:p>
    <w:p>
      <w:r/>
      <w:r>
        <w:t>Elohim também é usado como um título para os governantes e juízes de Israel (</w:t>
      </w:r>
      <w:hyperlink r:id="rId7982">
        <w:r>
          <w:rPr>
            <w:color w:val="0000EE"/>
            <w:u w:val="single"/>
          </w:rPr>
          <w:t>Sl 82.1,6</w:t>
        </w:r>
      </w:hyperlink>
      <w:r>
        <w:t>). Pode referir-se ao seu papel como representantes de Deus na terra (</w:t>
      </w:r>
      <w:hyperlink r:id="rId7983">
        <w:r>
          <w:rPr>
            <w:color w:val="0000EE"/>
            <w:u w:val="single"/>
          </w:rPr>
          <w:t>Êx 21.6</w:t>
        </w:r>
      </w:hyperlink>
      <w:r>
        <w:t xml:space="preserve">). Jesus utilizou esse significado da palavra em </w:t>
      </w:r>
      <w:hyperlink r:id="rId7984">
        <w:r>
          <w:rPr>
            <w:color w:val="0000EE"/>
            <w:u w:val="single"/>
          </w:rPr>
          <w:t>João 10.34–36</w:t>
        </w:r>
      </w:hyperlink>
      <w:r>
        <w:t xml:space="preserve"> ao se defender de seus críticos.</w:t>
      </w:r>
    </w:p>
    <w:p>
      <w:r/>
      <w:r>
        <w:t>A palavra também é usada para descrever anjos (</w:t>
      </w:r>
      <w:hyperlink r:id="rId3547">
        <w:r>
          <w:rPr>
            <w:color w:val="0000EE"/>
            <w:u w:val="single"/>
          </w:rPr>
          <w:t>Sl 8.5</w:t>
        </w:r>
      </w:hyperlink>
      <w:r>
        <w:t xml:space="preserve">, na Versão do Rei Tiago; compare </w:t>
      </w:r>
      <w:hyperlink r:id="rId7985">
        <w:r>
          <w:rPr>
            <w:color w:val="0000EE"/>
            <w:u w:val="single"/>
          </w:rPr>
          <w:t>Hb 2.7</w:t>
        </w:r>
      </w:hyperlink>
      <w:r>
        <w:t>) e na frase “filhos de Deus” (</w:t>
      </w:r>
      <w:hyperlink r:id="rId7986">
        <w:r>
          <w:rPr>
            <w:color w:val="0000EE"/>
            <w:u w:val="single"/>
          </w:rPr>
          <w:t>Jó 1.6</w:t>
        </w:r>
      </w:hyperlink>
      <w:r>
        <w:t>).</w:t>
      </w:r>
    </w:p>
    <w:p>
      <w:r/>
      <w:r>
        <w:rPr>
          <w:i/>
        </w:rPr>
        <w:t>Veja também</w:t>
      </w:r>
      <w:r>
        <w:t xml:space="preserve"> </w:t>
      </w:r>
      <w:r>
        <w:t>Deus, nomes de Deus</w:t>
      </w:r>
      <w:r>
        <w:t>.</w:t>
      </w:r>
      <w:r/>
      <w:r/>
    </w:p>
    <w:p>
      <w:r/>
    </w:p>
    <w:p>
      <w:pPr>
        <w:pStyle w:val="Heading2"/>
      </w:pPr>
      <w:r>
        <w:t>Elom (Pessoa)</w:t>
      </w:r>
      <w:r/>
    </w:p>
    <w:p>
      <w:r/>
      <w:r>
        <w:t xml:space="preserve">1. Heteu que foi o pai de Basemate (talvez também chamada Ada, </w:t>
      </w:r>
      <w:hyperlink r:id="rId3167">
        <w:r>
          <w:rPr>
            <w:color w:val="0000EE"/>
            <w:u w:val="single"/>
          </w:rPr>
          <w:t>Gn 36.2</w:t>
        </w:r>
      </w:hyperlink>
      <w:r>
        <w:t>), uma das esposas de Esaú (</w:t>
      </w:r>
      <w:hyperlink r:id="rId3166">
        <w:r>
          <w:rPr>
            <w:color w:val="0000EE"/>
            <w:u w:val="single"/>
          </w:rPr>
          <w:t>26.34</w:t>
        </w:r>
      </w:hyperlink>
      <w:r>
        <w:t>).</w:t>
      </w:r>
    </w:p>
    <w:p>
      <w:r/>
      <w:r>
        <w:t>2. Segundo dos três filhos de Zebulom (</w:t>
      </w:r>
      <w:hyperlink r:id="rId7987">
        <w:r>
          <w:rPr>
            <w:color w:val="0000EE"/>
            <w:u w:val="single"/>
          </w:rPr>
          <w:t>Gn 46.14</w:t>
        </w:r>
      </w:hyperlink>
      <w:r>
        <w:t>) e fundador da família Elonita (</w:t>
      </w:r>
      <w:hyperlink r:id="rId7988">
        <w:r>
          <w:rPr>
            <w:color w:val="0000EE"/>
            <w:u w:val="single"/>
          </w:rPr>
          <w:t>Nm 26.26</w:t>
        </w:r>
      </w:hyperlink>
      <w:r>
        <w:t>).</w:t>
      </w:r>
    </w:p>
    <w:p>
      <w:r/>
      <w:r>
        <w:t>3. Juiz de Zebulom que julgou Israel por 10 anos. Ele foi sepultado em Aijalom (</w:t>
      </w:r>
      <w:hyperlink r:id="rId7989">
        <w:r>
          <w:rPr>
            <w:color w:val="0000EE"/>
            <w:u w:val="single"/>
          </w:rPr>
          <w:t>Jz 12.11–12</w:t>
        </w:r>
      </w:hyperlink>
      <w:r>
        <w:t>).</w:t>
      </w:r>
      <w:r/>
      <w:r/>
    </w:p>
    <w:p>
      <w:r/>
    </w:p>
    <w:p>
      <w:pPr>
        <w:pStyle w:val="Heading2"/>
      </w:pPr>
      <w:r>
        <w:t>Elonita</w:t>
      </w:r>
      <w:r/>
    </w:p>
    <w:p>
      <w:r/>
      <w:r>
        <w:t>Um descendente de Elom, filho de Zebulom (</w:t>
      </w:r>
      <w:hyperlink r:id="rId7988">
        <w:r>
          <w:rPr>
            <w:color w:val="0000EE"/>
            <w:u w:val="single"/>
          </w:rPr>
          <w:t>Nm 26.26</w:t>
        </w:r>
      </w:hyperlink>
      <w:r>
        <w:t>).</w:t>
      </w:r>
    </w:p>
    <w:p>
      <w:r/>
      <w:r>
        <w:rPr>
          <w:i/>
        </w:rPr>
        <w:t>Veja</w:t>
      </w:r>
      <w:r>
        <w:t xml:space="preserve"> </w:t>
      </w:r>
      <w:r>
        <w:t>Elom (Pessoa) #2</w:t>
      </w:r>
      <w:r>
        <w:t>.</w:t>
      </w:r>
      <w:r/>
      <w:r/>
    </w:p>
    <w:p>
      <w:r/>
    </w:p>
    <w:p>
      <w:pPr>
        <w:pStyle w:val="Heading2"/>
      </w:pPr>
      <w:r>
        <w:t>El-Parã</w:t>
      </w:r>
      <w:r/>
    </w:p>
    <w:p>
      <w:r/>
      <w:r>
        <w:t>Localizado na borda da região selvagem de Parã, provavelmente na ponta sul das montanhas de Seir na Península do Sinai, na atual Arábia. Foi o ponto mais ao sul até onde o rei Quedorlaomer e seus aliados levaram sua incursão punitiva contra os reis rebeldes de Sodoma e Gomorra (</w:t>
      </w:r>
      <w:hyperlink r:id="rId7780">
        <w:r>
          <w:rPr>
            <w:color w:val="0000EE"/>
            <w:u w:val="single"/>
          </w:rPr>
          <w:t>Gn 14.5–6</w:t>
        </w:r>
      </w:hyperlink>
      <w:r>
        <w:t xml:space="preserve">). </w:t>
      </w:r>
      <w:r>
        <w:rPr>
          <w:i/>
        </w:rPr>
        <w:t>Veja</w:t>
      </w:r>
      <w:r>
        <w:t xml:space="preserve"> </w:t>
      </w:r>
      <w:r>
        <w:t>Elate</w:t>
      </w:r>
      <w:r>
        <w:t>.</w:t>
      </w:r>
      <w:r/>
      <w:r/>
    </w:p>
    <w:p>
      <w:r/>
    </w:p>
    <w:p>
      <w:pPr>
        <w:pStyle w:val="Heading2"/>
      </w:pPr>
      <w:r>
        <w:t>Elzafã</w:t>
      </w:r>
      <w:r/>
    </w:p>
    <w:p>
      <w:pPr>
        <w:pStyle w:val="ListNumber"/>
        <w:spacing w:line="240" w:lineRule="auto"/>
        <w:ind w:left="720"/>
      </w:pPr>
      <w:r/>
      <w:r>
        <w:t>Um homem levita da família Coate e filho de Uziel (</w:t>
      </w:r>
      <w:hyperlink r:id="rId7990">
        <w:r>
          <w:rPr>
            <w:color w:val="0000EE"/>
            <w:u w:val="single"/>
          </w:rPr>
          <w:t>Nm 3.29,30</w:t>
        </w:r>
      </w:hyperlink>
      <w:r>
        <w:t>). Elzafã ajudou a remover os corpos de Nadabe e Abiú do acampamento (</w:t>
      </w:r>
      <w:hyperlink r:id="rId7991">
        <w:r>
          <w:rPr>
            <w:color w:val="0000EE"/>
            <w:u w:val="single"/>
          </w:rPr>
          <w:t>Lv 10.4</w:t>
        </w:r>
      </w:hyperlink>
      <w:r>
        <w:t xml:space="preserve">). Os descendentes de Elzafã eram responsáveis por cuidar da arca, da mesa, do candelabro e dos utensílios do santuário (compare </w:t>
      </w:r>
      <w:hyperlink r:id="rId7992">
        <w:r>
          <w:rPr>
            <w:color w:val="0000EE"/>
            <w:u w:val="single"/>
          </w:rPr>
          <w:t>1Cr 15.8</w:t>
        </w:r>
      </w:hyperlink>
      <w:r>
        <w:t xml:space="preserve">; </w:t>
      </w:r>
      <w:hyperlink r:id="rId7993">
        <w:r>
          <w:rPr>
            <w:color w:val="0000EE"/>
            <w:u w:val="single"/>
          </w:rPr>
          <w:t>2Cr 29.13</w:t>
        </w:r>
      </w:hyperlink>
      <w:r>
        <w:t>). Seu nome também é escrito Elzafã (</w:t>
      </w:r>
      <w:hyperlink r:id="rId7994">
        <w:r>
          <w:rPr>
            <w:color w:val="0000EE"/>
            <w:u w:val="single"/>
          </w:rPr>
          <w:t>Êx 6.22</w:t>
        </w:r>
      </w:hyperlink>
      <w:r>
        <w:t xml:space="preserve">; </w:t>
      </w:r>
      <w:hyperlink r:id="rId7991">
        <w:r>
          <w:rPr>
            <w:color w:val="0000EE"/>
            <w:u w:val="single"/>
          </w:rPr>
          <w:t>Lv 10.4</w:t>
        </w:r>
      </w:hyperlink>
      <w:r>
        <w:t>);</w:t>
      </w:r>
    </w:p>
    <w:p>
      <w:pPr>
        <w:pStyle w:val="ListNumber"/>
        <w:spacing w:line="240" w:lineRule="auto"/>
        <w:ind w:left="720"/>
      </w:pPr>
      <w:r/>
      <w:r>
        <w:t>Filho de Parnaque e líder da tribo de Zebulom. Ele ajudou Eleazar e Josué a dividir o território dos Cananeus a oeste do Jordão entre as nove tribos e meia (</w:t>
      </w:r>
      <w:hyperlink r:id="rId7995">
        <w:r>
          <w:rPr>
            <w:color w:val="0000EE"/>
            <w:u w:val="single"/>
          </w:rPr>
          <w:t>Nm 34.25</w:t>
        </w:r>
      </w:hyperlink>
      <w:r>
        <w:t>).</w:t>
      </w:r>
      <w:r/>
      <w:r/>
    </w:p>
    <w:p>
      <w:r/>
    </w:p>
    <w:p>
      <w:pPr>
        <w:pStyle w:val="Heading2"/>
      </w:pPr>
      <w:r>
        <w:t>Elzafã</w:t>
      </w:r>
      <w:r/>
    </w:p>
    <w:p>
      <w:r/>
      <w:r>
        <w:t xml:space="preserve">Uma grafia alternativa de Elzafã, um chefe levita, em </w:t>
      </w:r>
      <w:hyperlink r:id="rId7994">
        <w:r>
          <w:rPr>
            <w:color w:val="0000EE"/>
            <w:u w:val="single"/>
          </w:rPr>
          <w:t>Êxodo 6.22</w:t>
        </w:r>
      </w:hyperlink>
      <w:r>
        <w:t xml:space="preserve"> e </w:t>
      </w:r>
      <w:hyperlink r:id="rId7991">
        <w:r>
          <w:rPr>
            <w:color w:val="0000EE"/>
            <w:u w:val="single"/>
          </w:rPr>
          <w:t>Levítico 10.4</w:t>
        </w:r>
      </w:hyperlink>
      <w:r>
        <w:t>.</w:t>
      </w:r>
    </w:p>
    <w:p>
      <w:r/>
      <w:r>
        <w:rPr>
          <w:i/>
        </w:rPr>
        <w:t xml:space="preserve">Veja também </w:t>
      </w:r>
      <w:r>
        <w:t>Elzafã #1</w:t>
      </w:r>
      <w:r>
        <w:t>.</w:t>
      </w:r>
      <w:r/>
      <w:r/>
    </w:p>
    <w:p>
      <w:r/>
    </w:p>
    <w:p>
      <w:pPr>
        <w:pStyle w:val="Heading2"/>
      </w:pPr>
      <w:r>
        <w:t>Em (Lugar)</w:t>
      </w:r>
      <w:r/>
    </w:p>
    <w:p>
      <w:r/>
      <w:r>
        <w:t>Nome hebraico para Heliópolis, uma cidade egípcia (</w:t>
      </w:r>
      <w:hyperlink r:id="rId7996">
        <w:r>
          <w:rPr>
            <w:color w:val="0000EE"/>
            <w:u w:val="single"/>
          </w:rPr>
          <w:t>Gn 41.45,50</w:t>
        </w:r>
      </w:hyperlink>
      <w:r>
        <w:t xml:space="preserve">; </w:t>
      </w:r>
      <w:hyperlink r:id="rId2938">
        <w:r>
          <w:rPr>
            <w:color w:val="0000EE"/>
            <w:u w:val="single"/>
          </w:rPr>
          <w:t>46.20</w:t>
        </w:r>
      </w:hyperlink>
      <w:r>
        <w:t xml:space="preserve">). </w:t>
      </w:r>
      <w:r>
        <w:rPr>
          <w:i/>
        </w:rPr>
        <w:t>Veja</w:t>
      </w:r>
      <w:r>
        <w:t xml:space="preserve"> </w:t>
      </w:r>
      <w:r>
        <w:t>Heliópolis</w:t>
      </w:r>
      <w:r>
        <w:t>.</w:t>
      </w:r>
      <w:r/>
      <w:r/>
    </w:p>
    <w:p>
      <w:r/>
    </w:p>
    <w:p>
      <w:pPr>
        <w:pStyle w:val="Heading2"/>
      </w:pPr>
      <w:r>
        <w:t>Emim, Emins</w:t>
      </w:r>
      <w:r/>
    </w:p>
    <w:p>
      <w:r/>
      <w:r>
        <w:t>Nome dado aos habitantes originais de Moabe (</w:t>
      </w:r>
      <w:hyperlink r:id="rId1114">
        <w:r>
          <w:rPr>
            <w:color w:val="0000EE"/>
            <w:u w:val="single"/>
          </w:rPr>
          <w:t>Gn 14.5</w:t>
        </w:r>
      </w:hyperlink>
      <w:r>
        <w:t>) pelos moabitas que os expulsaram de sua terra. Eles eram um povo alto, também conhecido como refains (</w:t>
      </w:r>
      <w:hyperlink r:id="rId7997">
        <w:r>
          <w:rPr>
            <w:color w:val="0000EE"/>
            <w:u w:val="single"/>
          </w:rPr>
          <w:t>Dt 2.10–11</w:t>
        </w:r>
      </w:hyperlink>
      <w:r>
        <w:t xml:space="preserve">), e foram comparados com os zuzitas, anaquins e horeus por seu tamanho. Este fenômeno é evidentemente uma indicação de isolamento genético. </w:t>
      </w:r>
      <w:r>
        <w:rPr>
          <w:i/>
        </w:rPr>
        <w:t>Veja</w:t>
      </w:r>
      <w:r>
        <w:t xml:space="preserve"> </w:t>
      </w:r>
      <w:r>
        <w:t>Gigantes</w:t>
      </w:r>
      <w:r>
        <w:t>.</w:t>
      </w:r>
      <w:r/>
      <w:r/>
    </w:p>
    <w:p>
      <w:r/>
    </w:p>
    <w:p>
      <w:pPr>
        <w:pStyle w:val="Heading2"/>
      </w:pPr>
      <w:r>
        <w:t>Emissão De Sangue*</w:t>
      </w:r>
      <w:r/>
    </w:p>
    <w:p>
      <w:r/>
      <w:r>
        <w:t xml:space="preserve">Na versão NTLH, hemorragia em </w:t>
      </w:r>
      <w:hyperlink r:id="rId7998">
        <w:r>
          <w:rPr>
            <w:color w:val="0000EE"/>
            <w:u w:val="single"/>
          </w:rPr>
          <w:t>Mateus 9.20</w:t>
        </w:r>
      </w:hyperlink>
      <w:r>
        <w:t xml:space="preserve"> e </w:t>
      </w:r>
      <w:hyperlink r:id="rId7999">
        <w:r>
          <w:rPr>
            <w:color w:val="0000EE"/>
            <w:u w:val="single"/>
          </w:rPr>
          <w:t>Marcos 5.25</w:t>
        </w:r>
      </w:hyperlink>
      <w:r>
        <w:t xml:space="preserve">. </w:t>
      </w:r>
      <w:r>
        <w:rPr>
          <w:i/>
        </w:rPr>
        <w:t>Veja</w:t>
      </w:r>
      <w:r>
        <w:t xml:space="preserve"> </w:t>
      </w:r>
      <w:r>
        <w:t>Hemorragia</w:t>
      </w:r>
      <w:r>
        <w:t>.</w:t>
      </w:r>
      <w:r/>
      <w:r/>
    </w:p>
    <w:p>
      <w:r/>
    </w:p>
    <w:p>
      <w:pPr>
        <w:pStyle w:val="Heading2"/>
      </w:pPr>
      <w:r>
        <w:t>Empalamento</w:t>
      </w:r>
      <w:r/>
    </w:p>
    <w:p>
      <w:r/>
      <w:r>
        <w:t>A inserção de uma estaca pontiaguda em um corpo humano provavelmente foi praticada no antigo Egito, Assíria, Babilônia, Pérsia e possivelmente também em Israel. No entanto, há muitos desafios em compreender o que significa empalamento no Antigo Testamento. Seu significado varia em diferentes passagens.</w:t>
      </w:r>
    </w:p>
    <w:p>
      <w:r/>
      <w:r>
        <w:t>Os documentos gregos podem ser confusos. Eles usam a mesma palavra tanto para empalamento quanto para crucificação. (Na crucificação, o corpo é fixado a uma estaca em vez de ser perfurado.) Também não está claro se o empalamento é realizado em um corpo vivo ou em um cadáver. Provavelmente, ambos os tipos de empalamento eram utilizados. O primeiro era para execução. O segundo era para expor o cadáver aos elementos, animais e desonra. Além disso, não está claro até que ponto "enforcamento" no Antigo Testamento se refere a empalamento.</w:t>
      </w:r>
    </w:p>
    <w:p>
      <w:r/>
      <w:r>
        <w:t>Fontes mesopotâmicas lançam alguma luz sobre o empalamento, que era um método de execução. Um caso envolvia uma mulher que causou a morte do marido (Código de Hamurabi 153). Outro caso era o de uma mulher que provocasse um aborto em si mesma (Leis Assírias Médias 53). A última lei afirmava que a mulher deveria ser empalada, independentemente de ter sobrevivido ao aborto. Reis assírios alegavam ter pendurado prisioneiros de guerra em estacas. A arte assíria mostra corpos empalados em cenas de batalha. A estaca poderia ser empurrada para cima no peito, com o corpo virado para baixo, ou entre as pernas, com o corpo ereto.</w:t>
      </w:r>
    </w:p>
    <w:p>
      <w:r/>
      <w:r>
        <w:t xml:space="preserve">O decreto de Dario em </w:t>
      </w:r>
      <w:hyperlink r:id="rId6298">
        <w:r>
          <w:rPr>
            <w:color w:val="0000EE"/>
            <w:u w:val="single"/>
          </w:rPr>
          <w:t>Esdras 6.11</w:t>
        </w:r>
      </w:hyperlink>
      <w:r>
        <w:t xml:space="preserve"> para reconstruir o templo de Jerusalém permitia punir os violadores, possivelmente por empalamento. Se a expressão “pendurar em uma árvore [estaca]” (p. ex. </w:t>
      </w:r>
      <w:hyperlink r:id="rId4266">
        <w:r>
          <w:rPr>
            <w:color w:val="0000EE"/>
            <w:u w:val="single"/>
          </w:rPr>
          <w:t>Gn 40.19</w:t>
        </w:r>
      </w:hyperlink>
      <w:r>
        <w:t xml:space="preserve">; </w:t>
      </w:r>
      <w:hyperlink r:id="rId8000">
        <w:r>
          <w:rPr>
            <w:color w:val="0000EE"/>
            <w:u w:val="single"/>
          </w:rPr>
          <w:t>Dt 21.22</w:t>
        </w:r>
      </w:hyperlink>
      <w:r>
        <w:t xml:space="preserve">; </w:t>
      </w:r>
      <w:hyperlink r:id="rId7263">
        <w:r>
          <w:rPr>
            <w:color w:val="0000EE"/>
            <w:u w:val="single"/>
          </w:rPr>
          <w:t>Js 8.29</w:t>
        </w:r>
      </w:hyperlink>
      <w:r>
        <w:t xml:space="preserve">; </w:t>
      </w:r>
      <w:hyperlink r:id="rId7268">
        <w:r>
          <w:rPr>
            <w:color w:val="0000EE"/>
            <w:u w:val="single"/>
          </w:rPr>
          <w:t>10.26</w:t>
        </w:r>
      </w:hyperlink>
      <w:r>
        <w:t xml:space="preserve">; </w:t>
      </w:r>
      <w:hyperlink r:id="rId8001">
        <w:r>
          <w:rPr>
            <w:color w:val="0000EE"/>
            <w:u w:val="single"/>
          </w:rPr>
          <w:t>Et 2.23</w:t>
        </w:r>
      </w:hyperlink>
      <w:r>
        <w:t>) se refere ao empalamento, um cadáver estava sendo empalado (</w:t>
      </w:r>
      <w:hyperlink r:id="rId7268">
        <w:r>
          <w:rPr>
            <w:color w:val="0000EE"/>
            <w:u w:val="single"/>
          </w:rPr>
          <w:t>Js 10.26</w:t>
        </w:r>
      </w:hyperlink>
      <w:r>
        <w:t xml:space="preserve">). Esta interpretação também se aplica a </w:t>
      </w:r>
      <w:hyperlink r:id="rId8000">
        <w:r>
          <w:rPr>
            <w:color w:val="0000EE"/>
            <w:u w:val="single"/>
          </w:rPr>
          <w:t>Deuteronômio 21.22.</w:t>
        </w:r>
      </w:hyperlink>
      <w:r>
        <w:t xml:space="preserve"> Lá, a vítima é primeiro morta e depois "pendurada". A semelhança com a crucificação de Cristo (</w:t>
      </w:r>
      <w:hyperlink r:id="rId6300">
        <w:r>
          <w:rPr>
            <w:color w:val="0000EE"/>
            <w:u w:val="single"/>
          </w:rPr>
          <w:t>Gl 3.13</w:t>
        </w:r>
      </w:hyperlink>
      <w:r>
        <w:t xml:space="preserve">) é a desgraça, não o método. Outros possíveis exemplos de empalamento são encontrados em </w:t>
      </w:r>
      <w:hyperlink r:id="rId7269">
        <w:r>
          <w:rPr>
            <w:color w:val="0000EE"/>
            <w:u w:val="single"/>
          </w:rPr>
          <w:t>2 Samuel 4.12</w:t>
        </w:r>
      </w:hyperlink>
      <w:r>
        <w:t xml:space="preserve"> e </w:t>
      </w:r>
      <w:hyperlink r:id="rId8002">
        <w:r>
          <w:rPr>
            <w:color w:val="0000EE"/>
            <w:u w:val="single"/>
          </w:rPr>
          <w:t>21.6–13</w:t>
        </w:r>
      </w:hyperlink>
      <w:r>
        <w:t>.</w:t>
      </w:r>
    </w:p>
    <w:p>
      <w:r/>
      <w:r>
        <w:rPr>
          <w:i/>
        </w:rPr>
        <w:t>Veja também</w:t>
      </w:r>
      <w:r>
        <w:t xml:space="preserve"> </w:t>
      </w:r>
      <w:r>
        <w:t>Direito penal e punição</w:t>
      </w:r>
      <w:r>
        <w:t>.</w:t>
      </w:r>
      <w:r/>
      <w:r/>
    </w:p>
    <w:p>
      <w:r/>
    </w:p>
    <w:p>
      <w:pPr>
        <w:pStyle w:val="Heading2"/>
      </w:pPr>
      <w:r>
        <w:t>Empregada, Donzela</w:t>
      </w:r>
      <w:r/>
    </w:p>
    <w:p>
      <w:r/>
      <w:r>
        <w:t>Uma jovem solteira, frequentemente da classe servil.</w:t>
      </w:r>
    </w:p>
    <w:p>
      <w:pPr>
        <w:pStyle w:val="Heading3"/>
      </w:pPr>
      <w:r>
        <w:t>Palavras hebraicas traduzidas como "donzela"</w:t>
      </w:r>
    </w:p>
    <w:p>
      <w:r/>
      <w:r>
        <w:t>No Antigo Testamento, cinco palavras hebraicas são traduzidas como “donzela”:</w:t>
      </w:r>
    </w:p>
    <w:p>
      <w:pPr>
        <w:pStyle w:val="ListNumber"/>
        <w:spacing w:line="240" w:lineRule="auto"/>
        <w:ind w:left="720"/>
      </w:pPr>
      <w:r/>
      <w:r>
        <w:rPr>
          <w:i/>
        </w:rPr>
        <w:t xml:space="preserve">’amah. </w:t>
      </w:r>
      <w:r>
        <w:t>Possíveis traduções para o português desta palavra são "serva", "escrava", "criada", "empregada", "serviçal", "garota escrava" e "menina".</w:t>
      </w:r>
    </w:p>
    <w:p>
      <w:pPr>
        <w:pStyle w:val="ListNumber"/>
        <w:spacing w:line="240" w:lineRule="auto"/>
        <w:ind w:left="720"/>
      </w:pPr>
      <w:r/>
      <w:r>
        <w:rPr>
          <w:i/>
        </w:rPr>
        <w:t>shiphchah.</w:t>
      </w:r>
      <w:r>
        <w:t xml:space="preserve"> Esta palavra tem um significado semelhante a </w:t>
      </w:r>
      <w:r>
        <w:rPr>
          <w:i/>
        </w:rPr>
        <w:t>’amah.</w:t>
      </w:r>
      <w:r>
        <w:t xml:space="preserve"> Pode ser traduzida como "serva", "criada", e "moça escrava". Tanto </w:t>
      </w:r>
      <w:r>
        <w:rPr>
          <w:i/>
        </w:rPr>
        <w:t>shiphchah</w:t>
      </w:r>
      <w:r>
        <w:t xml:space="preserve"> quanto </w:t>
      </w:r>
      <w:r>
        <w:rPr>
          <w:i/>
        </w:rPr>
        <w:t>’amah</w:t>
      </w:r>
      <w:r>
        <w:t xml:space="preserve"> referem-se a escravas. </w:t>
      </w:r>
      <w:r>
        <w:rPr>
          <w:i/>
        </w:rPr>
        <w:t>Shiphchah</w:t>
      </w:r>
      <w:r>
        <w:t xml:space="preserve"> implica uma relação mais próxima entre a escrava e seu dono. Nas histórias dos patriarcas, este termo é usado para se referir a escravas em geral e concubinas que eram escravas das esposas de seus maridos (</w:t>
      </w:r>
      <w:hyperlink r:id="rId485">
        <w:r>
          <w:rPr>
            <w:color w:val="0000EE"/>
            <w:u w:val="single"/>
          </w:rPr>
          <w:t>Gn 16</w:t>
        </w:r>
      </w:hyperlink>
      <w:r>
        <w:t xml:space="preserve">; </w:t>
      </w:r>
      <w:hyperlink r:id="rId8003">
        <w:r>
          <w:rPr>
            <w:color w:val="0000EE"/>
            <w:u w:val="single"/>
          </w:rPr>
          <w:t>29–30</w:t>
        </w:r>
      </w:hyperlink>
      <w:r>
        <w:t>).</w:t>
      </w:r>
    </w:p>
    <w:p>
      <w:pPr>
        <w:pStyle w:val="ListNumber"/>
        <w:spacing w:line="240" w:lineRule="auto"/>
        <w:ind w:left="720"/>
      </w:pPr>
      <w:r/>
      <w:r>
        <w:rPr>
          <w:i/>
        </w:rPr>
        <w:t>bethulah.</w:t>
      </w:r>
      <w:r>
        <w:t xml:space="preserve"> Este termo refere-se a uma virgem ou a uma jovem em idade de casar (</w:t>
      </w:r>
      <w:hyperlink r:id="rId8004">
        <w:r>
          <w:rPr>
            <w:color w:val="0000EE"/>
            <w:u w:val="single"/>
          </w:rPr>
          <w:t>Gn 24.16</w:t>
        </w:r>
      </w:hyperlink>
      <w:r>
        <w:t xml:space="preserve">; </w:t>
      </w:r>
      <w:hyperlink r:id="rId4571">
        <w:r>
          <w:rPr>
            <w:color w:val="0000EE"/>
            <w:u w:val="single"/>
          </w:rPr>
          <w:t>Êx 22.16</w:t>
        </w:r>
      </w:hyperlink>
      <w:r>
        <w:t>). Os profetas do Antigo Testamento usaram este termo simbolicamente para se referir a uma cidade ou país como uma “virgem” (</w:t>
      </w:r>
      <w:hyperlink r:id="rId8005">
        <w:r>
          <w:rPr>
            <w:color w:val="0000EE"/>
            <w:u w:val="single"/>
          </w:rPr>
          <w:t>Jr 31.21</w:t>
        </w:r>
      </w:hyperlink>
      <w:r>
        <w:t xml:space="preserve">; </w:t>
      </w:r>
      <w:hyperlink r:id="rId8006">
        <w:r>
          <w:rPr>
            <w:color w:val="0000EE"/>
            <w:u w:val="single"/>
          </w:rPr>
          <w:t>Am 5.2</w:t>
        </w:r>
      </w:hyperlink>
      <w:r>
        <w:t>).</w:t>
      </w:r>
    </w:p>
    <w:p>
      <w:pPr>
        <w:pStyle w:val="ListNumber"/>
        <w:spacing w:line="240" w:lineRule="auto"/>
        <w:ind w:left="720"/>
      </w:pPr>
      <w:r/>
      <w:r>
        <w:rPr>
          <w:i/>
        </w:rPr>
        <w:t>na‘Ará.</w:t>
      </w:r>
      <w:r>
        <w:t xml:space="preserve"> Este termo frequentemente se refere a uma moça solteira (</w:t>
      </w:r>
      <w:hyperlink r:id="rId8007">
        <w:r>
          <w:rPr>
            <w:color w:val="0000EE"/>
            <w:u w:val="single"/>
          </w:rPr>
          <w:t>Et 2.4</w:t>
        </w:r>
      </w:hyperlink>
      <w:r>
        <w:t>). Também pode ser usado para uma serva (</w:t>
      </w:r>
      <w:hyperlink r:id="rId8008">
        <w:r>
          <w:rPr>
            <w:color w:val="0000EE"/>
            <w:u w:val="single"/>
          </w:rPr>
          <w:t>Et 4.4</w:t>
        </w:r>
      </w:hyperlink>
      <w:r>
        <w:t xml:space="preserve">; </w:t>
      </w:r>
      <w:hyperlink r:id="rId8009">
        <w:r>
          <w:rPr>
            <w:color w:val="0000EE"/>
            <w:u w:val="single"/>
          </w:rPr>
          <w:t>Rt 2.23</w:t>
        </w:r>
      </w:hyperlink>
      <w:r>
        <w:t xml:space="preserve">). Esta palavra também é o nome de uma mulher (Naara, a esposa de Azur, em </w:t>
      </w:r>
      <w:hyperlink r:id="rId8010">
        <w:r>
          <w:rPr>
            <w:color w:val="0000EE"/>
            <w:u w:val="single"/>
          </w:rPr>
          <w:t>1Cr 4.5</w:t>
        </w:r>
      </w:hyperlink>
      <w:r>
        <w:t>–</w:t>
      </w:r>
      <w:hyperlink r:id="rId8010">
        <w:r>
          <w:rPr>
            <w:color w:val="0000EE"/>
            <w:u w:val="single"/>
          </w:rPr>
          <w:t>6</w:t>
        </w:r>
      </w:hyperlink>
      <w:r>
        <w:t>) e de uma cidade em Efraim, perto de Jericó (</w:t>
      </w:r>
      <w:hyperlink r:id="rId2822">
        <w:r>
          <w:rPr>
            <w:color w:val="0000EE"/>
            <w:u w:val="single"/>
          </w:rPr>
          <w:t>Js 16.7</w:t>
        </w:r>
      </w:hyperlink>
      <w:r>
        <w:t>).</w:t>
      </w:r>
    </w:p>
    <w:p>
      <w:pPr>
        <w:pStyle w:val="ListNumber"/>
        <w:spacing w:line="240" w:lineRule="auto"/>
        <w:ind w:left="720"/>
      </w:pPr>
      <w:r/>
      <w:r>
        <w:rPr>
          <w:i/>
        </w:rPr>
        <w:t>'almah.</w:t>
      </w:r>
      <w:r>
        <w:t xml:space="preserve"> Há muita controvérsia em torno desta palavra usada em </w:t>
      </w:r>
      <w:hyperlink r:id="rId3591">
        <w:r>
          <w:rPr>
            <w:color w:val="0000EE"/>
            <w:u w:val="single"/>
          </w:rPr>
          <w:t>Isaías 7.14</w:t>
        </w:r>
      </w:hyperlink>
      <w:r>
        <w:t xml:space="preserve">. Pode significar "menina", "jovem mulher" ou "jovem mulher em idade de casar, presumivelmente uma virgem". Somente o contexto pode determinar com precisão o significado de </w:t>
      </w:r>
      <w:r>
        <w:rPr>
          <w:i/>
        </w:rPr>
        <w:t>'almah</w:t>
      </w:r>
      <w:r>
        <w:t xml:space="preserve"> em qualquer caso específico. Olhando para </w:t>
      </w:r>
      <w:hyperlink r:id="rId3591">
        <w:r>
          <w:rPr>
            <w:color w:val="0000EE"/>
            <w:u w:val="single"/>
          </w:rPr>
          <w:t>Isaías 7.14</w:t>
        </w:r>
      </w:hyperlink>
      <w:r>
        <w:t xml:space="preserve"> de uma perspectiva do Novo Testamento, </w:t>
      </w:r>
      <w:r>
        <w:rPr>
          <w:i/>
        </w:rPr>
        <w:t>'almah</w:t>
      </w:r>
      <w:r>
        <w:t xml:space="preserve"> é uma referência à virgem Maria, a mãe de Jesus (veja </w:t>
      </w:r>
      <w:hyperlink r:id="rId3590">
        <w:r>
          <w:rPr>
            <w:color w:val="0000EE"/>
            <w:u w:val="single"/>
          </w:rPr>
          <w:t>Mt 1.23</w:t>
        </w:r>
      </w:hyperlink>
      <w:r>
        <w:t>).</w:t>
      </w:r>
    </w:p>
    <w:p>
      <w:pPr>
        <w:pStyle w:val="Heading3"/>
      </w:pPr>
      <w:r>
        <w:t>Palavras gregas traduzidas como "donzela"</w:t>
      </w:r>
    </w:p>
    <w:p>
      <w:r/>
      <w:r>
        <w:t>Várias palavras gregas são traduzidas como "donzela" no Novo Testamento em português:</w:t>
      </w:r>
    </w:p>
    <w:p>
      <w:pPr>
        <w:pStyle w:val="ListNumber"/>
        <w:spacing w:line="240" w:lineRule="auto"/>
        <w:ind w:left="720"/>
      </w:pPr>
      <w:r/>
      <w:r>
        <w:rPr>
          <w:i/>
        </w:rPr>
        <w:t>korasion.</w:t>
      </w:r>
      <w:r>
        <w:t xml:space="preserve"> Esta palavra significa "menina", "garotinha" ou "donzela" (</w:t>
      </w:r>
      <w:hyperlink r:id="rId8011">
        <w:r>
          <w:rPr>
            <w:color w:val="0000EE"/>
            <w:u w:val="single"/>
          </w:rPr>
          <w:t>Mt 9.24</w:t>
        </w:r>
      </w:hyperlink>
      <w:r>
        <w:t>–</w:t>
      </w:r>
      <w:hyperlink r:id="rId8011">
        <w:r>
          <w:rPr>
            <w:color w:val="0000EE"/>
            <w:u w:val="single"/>
          </w:rPr>
          <w:t>25</w:t>
        </w:r>
      </w:hyperlink>
      <w:r>
        <w:t>).</w:t>
      </w:r>
    </w:p>
    <w:p>
      <w:pPr>
        <w:pStyle w:val="ListNumber"/>
        <w:spacing w:line="240" w:lineRule="auto"/>
        <w:ind w:left="720"/>
      </w:pPr>
      <w:r/>
      <w:r>
        <w:rPr>
          <w:i/>
        </w:rPr>
        <w:t>paidiske.</w:t>
      </w:r>
      <w:r>
        <w:t xml:space="preserve"> Esta palavra originalmente se referia a uma "jovem", mas depois passou a significar "uma escrava", "uma criada" ou "uma empregada" (</w:t>
      </w:r>
      <w:hyperlink r:id="rId8012">
        <w:r>
          <w:rPr>
            <w:color w:val="0000EE"/>
            <w:u w:val="single"/>
          </w:rPr>
          <w:t>Mc 14.66</w:t>
        </w:r>
      </w:hyperlink>
      <w:r>
        <w:t xml:space="preserve">; </w:t>
      </w:r>
      <w:hyperlink r:id="rId8013">
        <w:r>
          <w:rPr>
            <w:color w:val="0000EE"/>
            <w:u w:val="single"/>
          </w:rPr>
          <w:t>Lc 12.45</w:t>
        </w:r>
      </w:hyperlink>
      <w:r>
        <w:t xml:space="preserve">). Ela vem de </w:t>
      </w:r>
      <w:r>
        <w:rPr>
          <w:i/>
        </w:rPr>
        <w:t>pais</w:t>
      </w:r>
      <w:r>
        <w:t xml:space="preserve"> ("uma jovem", "donzela" ou "criança") (</w:t>
      </w:r>
      <w:hyperlink r:id="rId8014">
        <w:r>
          <w:rPr>
            <w:color w:val="0000EE"/>
            <w:u w:val="single"/>
          </w:rPr>
          <w:t>Lc 8.51,54</w:t>
        </w:r>
      </w:hyperlink>
      <w:r>
        <w:t>).</w:t>
      </w:r>
    </w:p>
    <w:p>
      <w:pPr>
        <w:pStyle w:val="ListNumber"/>
        <w:spacing w:line="240" w:lineRule="auto"/>
        <w:ind w:left="720"/>
      </w:pPr>
      <w:r/>
      <w:r>
        <w:rPr>
          <w:i/>
        </w:rPr>
        <w:t>numphe</w:t>
      </w:r>
      <w:r>
        <w:t>. Esta palavra significa "jovem esposa", "noiva" e "nora" (</w:t>
      </w:r>
      <w:hyperlink r:id="rId8015">
        <w:r>
          <w:rPr>
            <w:color w:val="0000EE"/>
            <w:u w:val="single"/>
          </w:rPr>
          <w:t>Lc 12.53</w:t>
        </w:r>
      </w:hyperlink>
      <w:r>
        <w:t xml:space="preserve">; </w:t>
      </w:r>
      <w:hyperlink r:id="rId461">
        <w:r>
          <w:rPr>
            <w:color w:val="0000EE"/>
            <w:u w:val="single"/>
          </w:rPr>
          <w:t>Ap 21.2</w:t>
        </w:r>
      </w:hyperlink>
      <w:r>
        <w:t>).</w:t>
      </w:r>
    </w:p>
    <w:p>
      <w:pPr>
        <w:pStyle w:val="ListNumber"/>
        <w:spacing w:line="240" w:lineRule="auto"/>
        <w:ind w:left="720"/>
      </w:pPr>
      <w:r/>
      <w:r>
        <w:rPr>
          <w:i/>
        </w:rPr>
        <w:t xml:space="preserve">parthenos. </w:t>
      </w:r>
      <w:r>
        <w:t>Esta é a palavra grega comum para "virgem" e aparece 14 vezes no Novo Testamento.</w:t>
      </w:r>
    </w:p>
    <w:p>
      <w:r/>
      <w:r>
        <w:rPr>
          <w:i/>
        </w:rPr>
        <w:t>Veja também</w:t>
      </w:r>
      <w:r>
        <w:t xml:space="preserve"> </w:t>
      </w:r>
      <w:r>
        <w:t>Escravo, Escravidão</w:t>
      </w:r>
      <w:r>
        <w:t>.</w:t>
      </w:r>
      <w:r/>
      <w:r/>
    </w:p>
    <w:p>
      <w:r/>
    </w:p>
    <w:p>
      <w:pPr>
        <w:pStyle w:val="Heading2"/>
      </w:pPr>
      <w:r>
        <w:t>Emprestar, Empréstimo</w:t>
      </w:r>
      <w:r/>
    </w:p>
    <w:p>
      <w:r/>
      <w:r>
        <w:t>Receber dinheiro ou bens que uma pessoa promete devolver. A Lei de Moisés regulamentava o empréstimo e os juros (</w:t>
      </w:r>
      <w:hyperlink r:id="rId6067">
        <w:r>
          <w:rPr>
            <w:color w:val="0000EE"/>
            <w:u w:val="single"/>
          </w:rPr>
          <w:t>Dt 23.19–20</w:t>
        </w:r>
      </w:hyperlink>
      <w:r>
        <w:t>).</w:t>
      </w:r>
    </w:p>
    <w:p>
      <w:r/>
      <w:r>
        <w:rPr>
          <w:i/>
        </w:rPr>
        <w:t>Veja</w:t>
      </w:r>
      <w:r>
        <w:t xml:space="preserve"> </w:t>
      </w:r>
      <w:r>
        <w:t>Banqueiro, Serviço bancário</w:t>
      </w:r>
      <w:r>
        <w:t>.</w:t>
      </w:r>
      <w:r/>
      <w:r/>
    </w:p>
    <w:p>
      <w:r/>
    </w:p>
    <w:p>
      <w:pPr>
        <w:pStyle w:val="Heading2"/>
      </w:pPr>
      <w:r>
        <w:t>Enã</w:t>
      </w:r>
      <w:r/>
    </w:p>
    <w:p>
      <w:r/>
      <w:r>
        <w:t>Pai de Aira. Aira foi nomeado por Moisés como o comandante da tribo de Naftali durante o primeiro censo de Israel no deserto do Sinai (</w:t>
      </w:r>
      <w:hyperlink r:id="rId655">
        <w:r>
          <w:rPr>
            <w:color w:val="0000EE"/>
            <w:u w:val="single"/>
          </w:rPr>
          <w:t>Nm 1.15</w:t>
        </w:r>
      </w:hyperlink>
      <w:r>
        <w:t xml:space="preserve">; </w:t>
      </w:r>
      <w:hyperlink r:id="rId656">
        <w:r>
          <w:rPr>
            <w:color w:val="0000EE"/>
            <w:u w:val="single"/>
          </w:rPr>
          <w:t>2.29</w:t>
        </w:r>
      </w:hyperlink>
      <w:r>
        <w:t xml:space="preserve">; </w:t>
      </w:r>
      <w:hyperlink r:id="rId657">
        <w:r>
          <w:rPr>
            <w:color w:val="0000EE"/>
            <w:u w:val="single"/>
          </w:rPr>
          <w:t>7.78,83</w:t>
        </w:r>
      </w:hyperlink>
      <w:r>
        <w:t xml:space="preserve">; </w:t>
      </w:r>
      <w:hyperlink r:id="rId658">
        <w:r>
          <w:rPr>
            <w:color w:val="0000EE"/>
            <w:u w:val="single"/>
          </w:rPr>
          <w:t>10.27</w:t>
        </w:r>
      </w:hyperlink>
      <w:r>
        <w:t>). O nome aparentemente é preservado no nome Hazar-Enã (-Enom), uma cidade em algum lugar entre Damasco e Haurã (</w:t>
      </w:r>
      <w:hyperlink r:id="rId8016">
        <w:r>
          <w:rPr>
            <w:color w:val="0000EE"/>
            <w:u w:val="single"/>
          </w:rPr>
          <w:t>Nm 34.9</w:t>
        </w:r>
      </w:hyperlink>
      <w:r>
        <w:t xml:space="preserve">; </w:t>
      </w:r>
      <w:hyperlink r:id="rId8017">
        <w:r>
          <w:rPr>
            <w:color w:val="0000EE"/>
            <w:u w:val="single"/>
          </w:rPr>
          <w:t>Ez 47.17</w:t>
        </w:r>
      </w:hyperlink>
      <w:r>
        <w:t xml:space="preserve">; </w:t>
      </w:r>
      <w:hyperlink r:id="rId8018">
        <w:r>
          <w:rPr>
            <w:color w:val="0000EE"/>
            <w:u w:val="single"/>
          </w:rPr>
          <w:t>48.1</w:t>
        </w:r>
      </w:hyperlink>
      <w:r>
        <w:t>).</w:t>
      </w:r>
      <w:r/>
      <w:r/>
    </w:p>
    <w:p>
      <w:r/>
    </w:p>
    <w:p>
      <w:pPr>
        <w:pStyle w:val="Heading2"/>
      </w:pPr>
      <w:r>
        <w:t>Encantamento</w:t>
      </w:r>
      <w:r/>
    </w:p>
    <w:p>
      <w:r/>
      <w:r>
        <w:t>O ato de lançar encantamentos ou feitiços para influenciar outros ou obter entendimento. Balaão não pôde lançar nenhum encantamento contra Israel, mas apenas abençoá-los (</w:t>
      </w:r>
      <w:hyperlink r:id="rId8019">
        <w:r>
          <w:rPr>
            <w:color w:val="0000EE"/>
            <w:u w:val="single"/>
          </w:rPr>
          <w:t>Nm 23.23</w:t>
        </w:r>
      </w:hyperlink>
      <w:r>
        <w:t>). Os encantadores estavam entre os sábios da corte de Nabucodonosor. Daniel e seus três amigos foram considerados dez vezes mais sábios que os encantadores (</w:t>
      </w:r>
      <w:hyperlink r:id="rId8020">
        <w:r>
          <w:rPr>
            <w:color w:val="0000EE"/>
            <w:u w:val="single"/>
          </w:rPr>
          <w:t>Dn 1.20</w:t>
        </w:r>
      </w:hyperlink>
      <w:r>
        <w:t>). Os encantadores não conseguiram recordar o sonho esquecido do Rei Nabucodonosor (</w:t>
      </w:r>
      <w:hyperlink r:id="rId8021">
        <w:r>
          <w:rPr>
            <w:color w:val="0000EE"/>
            <w:u w:val="single"/>
          </w:rPr>
          <w:t>2.2–27</w:t>
        </w:r>
      </w:hyperlink>
      <w:r>
        <w:t>). Eles também não puderam interpretar seu segundo sonho (</w:t>
      </w:r>
      <w:hyperlink r:id="rId8022">
        <w:r>
          <w:rPr>
            <w:color w:val="0000EE"/>
            <w:u w:val="single"/>
          </w:rPr>
          <w:t>4.7</w:t>
        </w:r>
      </w:hyperlink>
      <w:r>
        <w:t>). Mais tarde, sob Belsazar, eles não conseguiram ler a escrita que apareceu na parede do palácio (</w:t>
      </w:r>
      <w:hyperlink r:id="rId8023">
        <w:r>
          <w:rPr>
            <w:color w:val="0000EE"/>
            <w:u w:val="single"/>
          </w:rPr>
          <w:t>5.7–15</w:t>
        </w:r>
      </w:hyperlink>
      <w:r>
        <w:t>). Segundo o profeta Isaías, os grandes poderes dos encantamentos da Babilônia não a salvariam da destruição (</w:t>
      </w:r>
      <w:hyperlink r:id="rId8024">
        <w:r>
          <w:rPr>
            <w:color w:val="0000EE"/>
            <w:u w:val="single"/>
          </w:rPr>
          <w:t>Is 47.9,12</w:t>
        </w:r>
      </w:hyperlink>
      <w:r>
        <w:t>). O salmista escreve sobre os ímpios "que não quer ouvir a voz do encantador de serpentes" (</w:t>
      </w:r>
      <w:hyperlink r:id="rId8025">
        <w:r>
          <w:rPr>
            <w:color w:val="0000EE"/>
            <w:u w:val="single"/>
          </w:rPr>
          <w:t>Sl 58.5</w:t>
        </w:r>
      </w:hyperlink>
      <w:r>
        <w:t>).</w:t>
      </w:r>
    </w:p>
    <w:p>
      <w:r/>
      <w:r>
        <w:rPr>
          <w:i/>
        </w:rPr>
        <w:t>Veja também</w:t>
      </w:r>
      <w:r>
        <w:t xml:space="preserve"> </w:t>
      </w:r>
      <w:r>
        <w:t>Magia</w:t>
      </w:r>
      <w:r>
        <w:t xml:space="preserve">; </w:t>
      </w:r>
      <w:r>
        <w:t>Feitiçaria</w:t>
      </w:r>
      <w:r>
        <w:t>.</w:t>
      </w:r>
      <w:r/>
      <w:r/>
    </w:p>
    <w:p>
      <w:r/>
    </w:p>
    <w:p>
      <w:pPr>
        <w:pStyle w:val="Heading2"/>
      </w:pPr>
      <w:r>
        <w:t>Encarnação*</w:t>
      </w:r>
      <w:r/>
    </w:p>
    <w:p>
      <w:r/>
      <w:r>
        <w:t>Literalmente, “em carne”; teologicamente, a doutrina de que em Jesus de Nazaré, Deus assumiu carne humana e se tornou o Deus-homem. Historicamente, a doutrina da encarnação era central nos debates cristológicos dos tempos patrísticos e recentemente veio à tona novamente nos meios acadêmicos. Biblicamente, expressa o mistério da identificação de Jesus.</w:t>
      </w:r>
    </w:p>
    <w:p>
      <w:pPr>
        <w:pStyle w:val="Heading3"/>
      </w:pPr>
      <w:r>
        <w:t>Testemunho do Novo Testamento</w:t>
      </w:r>
    </w:p>
    <w:p>
      <w:pPr>
        <w:pStyle w:val="Heading4"/>
      </w:pPr>
      <w:r>
        <w:t>Os Evangelhos Sinóticos</w:t>
      </w:r>
    </w:p>
    <w:p>
      <w:r/>
      <w:r>
        <w:t>O Evangelho de Marcos não tem relato da Encarnação e enfatiza a messianidade de Jesus mais do que sua divindade. Como resultado, alguns acreditam que representa um estágio anterior no desenvolvimento da teologia da igreja, antes que a doutrina da encarnação tivesse evoluído. Isso é duvidoso por duas razões: passagens de encarnação como o hino de Filipenses (</w:t>
      </w:r>
      <w:hyperlink r:id="rId5124">
        <w:r>
          <w:rPr>
            <w:color w:val="0000EE"/>
            <w:u w:val="single"/>
          </w:rPr>
          <w:t>Fp 2.6–11</w:t>
        </w:r>
      </w:hyperlink>
      <w:r>
        <w:t>) provavelmente antedatam o Evangelho de Marcos, e Marcos tem uma teologia bem desenvolvida das duas naturezas de Cristo. Embora ele aponte a humanidade de Jesus, Marcos a acentua com uma ênfase na divindade. Jesus foi chamado de “Filho amado” por uma voz celestial em seu batismo e transfiguração (</w:t>
      </w:r>
      <w:hyperlink r:id="rId3197">
        <w:r>
          <w:rPr>
            <w:color w:val="0000EE"/>
            <w:u w:val="single"/>
          </w:rPr>
          <w:t>Mc 1.11</w:t>
        </w:r>
      </w:hyperlink>
      <w:r>
        <w:t xml:space="preserve">; </w:t>
      </w:r>
      <w:hyperlink r:id="rId8026">
        <w:r>
          <w:rPr>
            <w:color w:val="0000EE"/>
            <w:u w:val="single"/>
          </w:rPr>
          <w:t>9.7</w:t>
        </w:r>
      </w:hyperlink>
      <w:r>
        <w:t>); os demônios o chamaram de divino (</w:t>
      </w:r>
      <w:hyperlink r:id="rId8027">
        <w:r>
          <w:rPr>
            <w:color w:val="0000EE"/>
            <w:u w:val="single"/>
          </w:rPr>
          <w:t>3.11</w:t>
        </w:r>
      </w:hyperlink>
      <w:r>
        <w:t xml:space="preserve">; </w:t>
      </w:r>
      <w:hyperlink r:id="rId8028">
        <w:r>
          <w:rPr>
            <w:color w:val="0000EE"/>
            <w:u w:val="single"/>
          </w:rPr>
          <w:t>5.7</w:t>
        </w:r>
      </w:hyperlink>
      <w:r>
        <w:t>), assim como um centurião romano (</w:t>
      </w:r>
      <w:hyperlink r:id="rId4719">
        <w:r>
          <w:rPr>
            <w:color w:val="0000EE"/>
            <w:u w:val="single"/>
          </w:rPr>
          <w:t>15.39</w:t>
        </w:r>
      </w:hyperlink>
      <w:r>
        <w:t>). As orações de Jesus “Aba” (</w:t>
      </w:r>
      <w:hyperlink r:id="rId4099">
        <w:r>
          <w:rPr>
            <w:color w:val="0000EE"/>
            <w:u w:val="single"/>
          </w:rPr>
          <w:t>14.36</w:t>
        </w:r>
      </w:hyperlink>
      <w:r>
        <w:t xml:space="preserve">; cf. </w:t>
      </w:r>
      <w:hyperlink r:id="rId4097">
        <w:r>
          <w:rPr>
            <w:color w:val="0000EE"/>
            <w:u w:val="single"/>
          </w:rPr>
          <w:t>Mt 26.39</w:t>
        </w:r>
      </w:hyperlink>
      <w:r>
        <w:t xml:space="preserve">; </w:t>
      </w:r>
      <w:hyperlink r:id="rId4100">
        <w:r>
          <w:rPr>
            <w:color w:val="0000EE"/>
            <w:u w:val="single"/>
          </w:rPr>
          <w:t>Lc 22.42</w:t>
        </w:r>
      </w:hyperlink>
      <w:r>
        <w:t>) indicam seu senso de identificação divina, e em seu julgamento, ele foi acusado de reivindicar o título de “Filho do Deus Bendito” (</w:t>
      </w:r>
      <w:hyperlink r:id="rId8029">
        <w:r>
          <w:rPr>
            <w:color w:val="0000EE"/>
            <w:u w:val="single"/>
          </w:rPr>
          <w:t>14.61–62</w:t>
        </w:r>
      </w:hyperlink>
      <w:r>
        <w:t>). Assim, embora a Encarnação não esteja em lugar alguma explicitamente declarada em Marcos, ela é implicitamente afirmada.</w:t>
      </w:r>
    </w:p>
    <w:p>
      <w:r/>
      <w:r>
        <w:t>Mateus e Lucas expressam a Encarnação. As narrativas de nascimento, é claro, enfatizam o próprio evento, com Mateus enfatizando o messianismo real de Jesus, e Lucas, o testemunho divino do Espírito Santo. O Evangelho de Mateus é centrado em Cristo; Lucas se concentra em Cristo como Salvador, ou mais precisamente, na história da salvação. Embora Mateus apresente a humanidade de Jesus, ele enfatiza seu senhorio (</w:t>
      </w:r>
      <w:hyperlink r:id="rId8030">
        <w:r>
          <w:rPr>
            <w:color w:val="0000EE"/>
            <w:u w:val="single"/>
          </w:rPr>
          <w:t>Mt 23.6–10</w:t>
        </w:r>
      </w:hyperlink>
      <w:r>
        <w:t>) e sua filiação divina. A Encarnação assim se torna o meio pelo qual o divino se torna humano em um sentido universal (</w:t>
      </w:r>
      <w:hyperlink r:id="rId3590">
        <w:r>
          <w:rPr>
            <w:color w:val="0000EE"/>
            <w:u w:val="single"/>
          </w:rPr>
          <w:t>1.23</w:t>
        </w:r>
      </w:hyperlink>
      <w:r>
        <w:t xml:space="preserve">; </w:t>
      </w:r>
      <w:hyperlink r:id="rId2675">
        <w:r>
          <w:rPr>
            <w:color w:val="0000EE"/>
            <w:u w:val="single"/>
          </w:rPr>
          <w:t>18.20</w:t>
        </w:r>
      </w:hyperlink>
      <w:r>
        <w:t xml:space="preserve">; </w:t>
      </w:r>
      <w:hyperlink r:id="rId8031">
        <w:r>
          <w:rPr>
            <w:color w:val="0000EE"/>
            <w:u w:val="single"/>
          </w:rPr>
          <w:t>24.14</w:t>
        </w:r>
      </w:hyperlink>
      <w:r>
        <w:t xml:space="preserve">; </w:t>
      </w:r>
      <w:hyperlink r:id="rId8032">
        <w:r>
          <w:rPr>
            <w:color w:val="0000EE"/>
            <w:u w:val="single"/>
          </w:rPr>
          <w:t>28.18–20</w:t>
        </w:r>
      </w:hyperlink>
      <w:r>
        <w:t>). Lucas mostra o maior interesse dos três na vida terrena de Jesus. No entanto, seu Evangelho não enfatiza o lado humano de Jesus tanto quanto o de Marcos. Lucas retrata Jesus principalmente como o Salvador divino dentro da história (</w:t>
      </w:r>
      <w:hyperlink r:id="rId8033">
        <w:r>
          <w:rPr>
            <w:color w:val="0000EE"/>
            <w:u w:val="single"/>
          </w:rPr>
          <w:t>Lc 2.11</w:t>
        </w:r>
      </w:hyperlink>
      <w:r>
        <w:t xml:space="preserve">; </w:t>
      </w:r>
      <w:hyperlink r:id="rId6411">
        <w:r>
          <w:rPr>
            <w:color w:val="0000EE"/>
            <w:u w:val="single"/>
          </w:rPr>
          <w:t>4.16–30</w:t>
        </w:r>
      </w:hyperlink>
      <w:r>
        <w:t>). Ele combina o ofício messiânico de Jesus e a natureza divina, mostrando que o Filho de Deus encarnado sofreu e foi exaltado para trazer as pessoas a Deus.</w:t>
      </w:r>
    </w:p>
    <w:p>
      <w:pPr>
        <w:pStyle w:val="Heading4"/>
      </w:pPr>
      <w:r>
        <w:t>Os escritos de João</w:t>
      </w:r>
    </w:p>
    <w:p>
      <w:r/>
      <w:r>
        <w:t>A doutrina da encarnação do apóstolo João é mais explícita do que qualquer um dos outros, ensinando não apenas o status de Deus-homem de Jesus, mas também sua “glória” preexistente (</w:t>
      </w:r>
      <w:hyperlink r:id="rId8034">
        <w:r>
          <w:rPr>
            <w:color w:val="0000EE"/>
            <w:u w:val="single"/>
          </w:rPr>
          <w:t>Jo 1.1–18</w:t>
        </w:r>
      </w:hyperlink>
      <w:r>
        <w:t>). O ponto central nesta apresentação é a unidade entre Jesus e Deus, o Pai (</w:t>
      </w:r>
      <w:hyperlink r:id="rId8035">
        <w:r>
          <w:rPr>
            <w:color w:val="0000EE"/>
            <w:u w:val="single"/>
          </w:rPr>
          <w:t>10.29–30</w:t>
        </w:r>
      </w:hyperlink>
      <w:r>
        <w:t xml:space="preserve">; </w:t>
      </w:r>
      <w:hyperlink r:id="rId8036">
        <w:r>
          <w:rPr>
            <w:color w:val="0000EE"/>
            <w:u w:val="single"/>
          </w:rPr>
          <w:t>14.8–11</w:t>
        </w:r>
      </w:hyperlink>
      <w:r>
        <w:t xml:space="preserve">; </w:t>
      </w:r>
      <w:hyperlink r:id="rId8037">
        <w:r>
          <w:rPr>
            <w:color w:val="0000EE"/>
            <w:u w:val="single"/>
          </w:rPr>
          <w:t>1Jo 2.23</w:t>
        </w:r>
      </w:hyperlink>
      <w:r>
        <w:t>). O “Eu sou” (o Cristo expressado, tirado do título do AT para o único Deus verdadeiro e provavelmente significando o nome pessoal de Deus, Yahweh) veio para revelar Deus ao seu povo (</w:t>
      </w:r>
      <w:hyperlink r:id="rId8038">
        <w:r>
          <w:rPr>
            <w:color w:val="0000EE"/>
            <w:u w:val="single"/>
          </w:rPr>
          <w:t>Jo 1.4–5,14,18</w:t>
        </w:r>
      </w:hyperlink>
      <w:r>
        <w:t>). No entanto, João também tem a apresentação mais equilibrada da Encarnação. O Logos divino ou Palavra (</w:t>
      </w:r>
      <w:hyperlink r:id="rId8034">
        <w:r>
          <w:rPr>
            <w:color w:val="0000EE"/>
            <w:u w:val="single"/>
          </w:rPr>
          <w:t>1.1–18</w:t>
        </w:r>
      </w:hyperlink>
      <w:r>
        <w:t xml:space="preserve">) é o exemplar da humanidade perfeita; ele “se tornou carne” (v. </w:t>
      </w:r>
      <w:hyperlink r:id="rId3743">
        <w:r>
          <w:rPr>
            <w:color w:val="0000EE"/>
            <w:u w:val="single"/>
          </w:rPr>
          <w:t>14</w:t>
        </w:r>
      </w:hyperlink>
      <w:r>
        <w:t xml:space="preserve">) para iluminar as pessoas (vv. </w:t>
      </w:r>
      <w:hyperlink r:id="rId8039">
        <w:r>
          <w:rPr>
            <w:color w:val="0000EE"/>
            <w:u w:val="single"/>
          </w:rPr>
          <w:t>5,9</w:t>
        </w:r>
      </w:hyperlink>
      <w:r>
        <w:t>) e gerar nelas “vida eterna” (</w:t>
      </w:r>
      <w:hyperlink r:id="rId8040">
        <w:r>
          <w:rPr>
            <w:color w:val="0000EE"/>
            <w:u w:val="single"/>
          </w:rPr>
          <w:t>3.14–18</w:t>
        </w:r>
      </w:hyperlink>
      <w:r>
        <w:t xml:space="preserve">; </w:t>
      </w:r>
      <w:hyperlink r:id="rId8041">
        <w:r>
          <w:rPr>
            <w:color w:val="0000EE"/>
            <w:u w:val="single"/>
          </w:rPr>
          <w:t>1Jo 1.1–3</w:t>
        </w:r>
      </w:hyperlink>
      <w:r>
        <w:t xml:space="preserve">; </w:t>
      </w:r>
      <w:hyperlink r:id="rId8042">
        <w:r>
          <w:rPr>
            <w:color w:val="0000EE"/>
            <w:u w:val="single"/>
          </w:rPr>
          <w:t>4.9</w:t>
        </w:r>
      </w:hyperlink>
      <w:r>
        <w:t>).</w:t>
      </w:r>
    </w:p>
    <w:p>
      <w:pPr>
        <w:pStyle w:val="Heading4"/>
      </w:pPr>
      <w:r>
        <w:t>As epístolas de Paulo</w:t>
      </w:r>
    </w:p>
    <w:p>
      <w:r/>
      <w:r>
        <w:t xml:space="preserve">O apóstolo Paulo apresentou a Encarnação como o caminho de Jesus para o sofrimento e redenção. Em </w:t>
      </w:r>
      <w:hyperlink r:id="rId8043">
        <w:r>
          <w:rPr>
            <w:color w:val="0000EE"/>
            <w:u w:val="single"/>
          </w:rPr>
          <w:t>Gálatas 4.4–5</w:t>
        </w:r>
      </w:hyperlink>
      <w:r>
        <w:t>, a Encarnação (“nascido de mulher”) veio “na plenitude dos tempos” ou no ápice da história da salvação, para “redimir aqueles que estavam sob a lei”. No hino de Filipenses (</w:t>
      </w:r>
      <w:hyperlink r:id="rId5124">
        <w:r>
          <w:rPr>
            <w:color w:val="0000EE"/>
            <w:u w:val="single"/>
          </w:rPr>
          <w:t>Fp 2.6–11</w:t>
        </w:r>
      </w:hyperlink>
      <w:r>
        <w:t>, citações da NTLH), a Encarnação é vista em termos de preexistência (“embora ele estivesse a natureza de Deus”), humilhação (“esvaziado... abriu mão”) e obediência (“obedeceu a Deus até a morte”). O objetivo da Encarnação era a cruz (“até a morte - morte de cruz”), e seu resultado foi a exaltação de Cristo. O hino é talvez a declaração teológica suprema sobre a Encarnação no NT. A vida humana de Jesus era um “esvaziamento”, uma rejeição de se apropriar das prerrogativas de sua divindade (“mas não tentou ficar igual a Deus”).</w:t>
      </w:r>
    </w:p>
    <w:p>
      <w:r/>
      <w:r>
        <w:t>Paulo descreveu Cristo como um segundo Adão (</w:t>
      </w:r>
      <w:hyperlink r:id="rId362">
        <w:r>
          <w:rPr>
            <w:color w:val="0000EE"/>
            <w:u w:val="single"/>
          </w:rPr>
          <w:t>Rm 5.12–19</w:t>
        </w:r>
      </w:hyperlink>
      <w:r>
        <w:t xml:space="preserve">; </w:t>
      </w:r>
      <w:hyperlink r:id="rId8044">
        <w:r>
          <w:rPr>
            <w:color w:val="0000EE"/>
            <w:u w:val="single"/>
          </w:rPr>
          <w:t>1Co 15.45–47</w:t>
        </w:r>
      </w:hyperlink>
      <w:r>
        <w:t>), que trouxe à humanidade uma nova possibilidade de alcançar o que Adão havia abandonado. Através de assumir a forma de um homem, Cristo se tornou o Redentor que reconcilia as pessoas com Deus (</w:t>
      </w:r>
      <w:hyperlink r:id="rId2767">
        <w:r>
          <w:rPr>
            <w:color w:val="0000EE"/>
            <w:u w:val="single"/>
          </w:rPr>
          <w:t>Rm 3.25</w:t>
        </w:r>
      </w:hyperlink>
      <w:r>
        <w:t xml:space="preserve">; </w:t>
      </w:r>
      <w:hyperlink r:id="rId377">
        <w:r>
          <w:rPr>
            <w:color w:val="0000EE"/>
            <w:u w:val="single"/>
          </w:rPr>
          <w:t>2Co 5.19</w:t>
        </w:r>
      </w:hyperlink>
      <w:r>
        <w:t xml:space="preserve">; </w:t>
      </w:r>
      <w:hyperlink r:id="rId8045">
        <w:r>
          <w:rPr>
            <w:color w:val="0000EE"/>
            <w:u w:val="single"/>
          </w:rPr>
          <w:t>1Tm 1.15</w:t>
        </w:r>
      </w:hyperlink>
      <w:r>
        <w:t>). Paulo enfatizou ainda mais, no entanto, que o Cristo exaltado dá uma nova vida (</w:t>
      </w:r>
      <w:hyperlink r:id="rId8046">
        <w:r>
          <w:rPr>
            <w:color w:val="0000EE"/>
            <w:u w:val="single"/>
          </w:rPr>
          <w:t>Rm 6.4–6</w:t>
        </w:r>
      </w:hyperlink>
      <w:r>
        <w:t xml:space="preserve">; </w:t>
      </w:r>
      <w:hyperlink r:id="rId8047">
        <w:r>
          <w:rPr>
            <w:color w:val="0000EE"/>
            <w:u w:val="single"/>
          </w:rPr>
          <w:t>2Co 3.17–18</w:t>
        </w:r>
      </w:hyperlink>
      <w:r>
        <w:t xml:space="preserve">; </w:t>
      </w:r>
      <w:hyperlink r:id="rId5126">
        <w:r>
          <w:rPr>
            <w:color w:val="0000EE"/>
            <w:u w:val="single"/>
          </w:rPr>
          <w:t>Cl 3.1–4</w:t>
        </w:r>
      </w:hyperlink>
      <w:r>
        <w:t>). Um hino na Carta aos Colossenses (</w:t>
      </w:r>
      <w:hyperlink r:id="rId5122">
        <w:r>
          <w:rPr>
            <w:color w:val="0000EE"/>
            <w:u w:val="single"/>
          </w:rPr>
          <w:t>1.15–20</w:t>
        </w:r>
      </w:hyperlink>
      <w:r>
        <w:t xml:space="preserve">) emprega ideias da sabedoria judaica, e possivelmente temas gregos, para mostrar Cristo como o “primogênito” e a “plenitude de Deus”. Aquele que sempre existiu como Deus, através de sua morte sacrificial, se tornou o Senhor exaltado e trouxe a humanidade a Deus (veja também o tema “carne e espírito” em </w:t>
      </w:r>
      <w:hyperlink r:id="rId8048">
        <w:r>
          <w:rPr>
            <w:color w:val="0000EE"/>
            <w:u w:val="single"/>
          </w:rPr>
          <w:t>Rm 1.3–4</w:t>
        </w:r>
      </w:hyperlink>
      <w:r>
        <w:t xml:space="preserve">; </w:t>
      </w:r>
      <w:hyperlink r:id="rId2672">
        <w:r>
          <w:rPr>
            <w:color w:val="0000EE"/>
            <w:u w:val="single"/>
          </w:rPr>
          <w:t>1Tm 3.16</w:t>
        </w:r>
      </w:hyperlink>
      <w:r>
        <w:t>).</w:t>
      </w:r>
    </w:p>
    <w:p>
      <w:pPr>
        <w:pStyle w:val="Heading4"/>
      </w:pPr>
      <w:r>
        <w:t>Hebreus</w:t>
      </w:r>
    </w:p>
    <w:p>
      <w:r/>
      <w:r>
        <w:t>A Carta aos Hebreus fala fortemente da Encarnação. O hino de abertura (</w:t>
      </w:r>
      <w:hyperlink r:id="rId8049">
        <w:r>
          <w:rPr>
            <w:color w:val="0000EE"/>
            <w:u w:val="single"/>
          </w:rPr>
          <w:t>Hb 1.1–3</w:t>
        </w:r>
      </w:hyperlink>
      <w:r>
        <w:t>) acentua o status exaltado de Cristo como “a perfeita semelhança” da imagem de Deus e o esplendor de sua glória. Cristo é superior aos anjos (</w:t>
      </w:r>
      <w:hyperlink r:id="rId8050">
        <w:r>
          <w:rPr>
            <w:color w:val="0000EE"/>
            <w:u w:val="single"/>
          </w:rPr>
          <w:t>1.4–9</w:t>
        </w:r>
      </w:hyperlink>
      <w:r>
        <w:t>), mas ele se tornou homem para sofrer pela salvação humana (</w:t>
      </w:r>
      <w:hyperlink r:id="rId8051">
        <w:r>
          <w:rPr>
            <w:color w:val="0000EE"/>
            <w:u w:val="single"/>
          </w:rPr>
          <w:t>2.9</w:t>
        </w:r>
      </w:hyperlink>
      <w:r>
        <w:t xml:space="preserve">; </w:t>
      </w:r>
      <w:hyperlink r:id="rId8052">
        <w:r>
          <w:rPr>
            <w:color w:val="0000EE"/>
            <w:u w:val="single"/>
          </w:rPr>
          <w:t>5.7–9</w:t>
        </w:r>
      </w:hyperlink>
      <w:r>
        <w:t>). A Encarnação está alinhada com a necessidade da humanidade pecadora de um Salvador. O propósito de Hebreus é mostrar a superioridade incomparável de Cristo aos sacrifícios do AT, e, ao mesmo tempo, enfatizar sua obra de salvação. Sua real tentação (</w:t>
      </w:r>
      <w:hyperlink r:id="rId8053">
        <w:r>
          <w:rPr>
            <w:color w:val="0000EE"/>
            <w:u w:val="single"/>
          </w:rPr>
          <w:t>2.18</w:t>
        </w:r>
      </w:hyperlink>
      <w:r>
        <w:t xml:space="preserve">; </w:t>
      </w:r>
      <w:hyperlink r:id="rId3240">
        <w:r>
          <w:rPr>
            <w:color w:val="0000EE"/>
            <w:u w:val="single"/>
          </w:rPr>
          <w:t>4.15</w:t>
        </w:r>
      </w:hyperlink>
      <w:r>
        <w:t>) combinada com sua impecabilidade (</w:t>
      </w:r>
      <w:hyperlink r:id="rId3240">
        <w:r>
          <w:rPr>
            <w:color w:val="0000EE"/>
            <w:u w:val="single"/>
          </w:rPr>
          <w:t>4.15</w:t>
        </w:r>
      </w:hyperlink>
      <w:r>
        <w:t xml:space="preserve">; </w:t>
      </w:r>
      <w:hyperlink r:id="rId8054">
        <w:r>
          <w:rPr>
            <w:color w:val="0000EE"/>
            <w:u w:val="single"/>
          </w:rPr>
          <w:t>5.9</w:t>
        </w:r>
      </w:hyperlink>
      <w:r>
        <w:t xml:space="preserve">; </w:t>
      </w:r>
      <w:hyperlink r:id="rId6869">
        <w:r>
          <w:rPr>
            <w:color w:val="0000EE"/>
            <w:u w:val="single"/>
          </w:rPr>
          <w:t>7.26</w:t>
        </w:r>
      </w:hyperlink>
      <w:r>
        <w:t>) é a solução humana para o pecado humano. A Encarnação foi o caminho de Cristo para a expiação final, de uma vez por todas e a vitória sobre o pecado (</w:t>
      </w:r>
      <w:hyperlink r:id="rId8055">
        <w:r>
          <w:rPr>
            <w:color w:val="0000EE"/>
            <w:u w:val="single"/>
          </w:rPr>
          <w:t>7.28</w:t>
        </w:r>
      </w:hyperlink>
      <w:r>
        <w:t xml:space="preserve">; </w:t>
      </w:r>
      <w:hyperlink r:id="rId8056">
        <w:r>
          <w:rPr>
            <w:color w:val="0000EE"/>
            <w:u w:val="single"/>
          </w:rPr>
          <w:t>9.26</w:t>
        </w:r>
      </w:hyperlink>
      <w:r>
        <w:t>).</w:t>
      </w:r>
    </w:p>
    <w:p>
      <w:pPr>
        <w:pStyle w:val="Heading3"/>
      </w:pPr>
      <w:r>
        <w:t>Desenvolvimento histórico</w:t>
      </w:r>
    </w:p>
    <w:p>
      <w:r/>
      <w:r>
        <w:t>O primeiro grupo a desafiar a doutrina tradicional da encarnação foram os gnósticos, que no final do primeiro século negaram que Jesus era verdadeiramente humano. Sua crença grega de que a criação física era maligna os levou a negar a Encarnação. Eles acreditavam que Cristo era um ser quase espiritual que meramente se parecia humano. O teólogo Marcião (m. c. 160), treinado por mestres gnósticos, também aceitou uma interpretação docética de Cristo (sua humanidade era apenas aparente). Marcião ensinou sua doutrina como um antídoto para o AT ou o cristianismo orientado para os judeus em seus dias. Após sua excomunhão em 144 d.C., Marcião fundou sua própria igreja, e suas visões foram amplamente disseminadas nos dois séculos seguintes. Em parte em reação à heresia cristológica de Marcião, as igrejas ortodoxas unificaram sua doutrina.</w:t>
      </w:r>
    </w:p>
    <w:p>
      <w:r/>
      <w:r>
        <w:t>O próximo desafio para a visão ortodoxa veio através das controvérsias arianas, apolinárias e nestorianas no terceiro e quarto séculos. O arianismo sustentava que a Encarnação era total, de modo que Cristo, o Logos, não era mais totalmente Deus. Ao mesmo tempo, ele não era totalmente humano, então Cristo era alguém entre duas naturezas. O Concílio de Niceia (325 d.C.) afirmou que Jesus era de fato tanto Deus quanto homem. Uma pergunta adicional logo surgiu, no entanto, sobre a relação entre suas duas naturezas. Apolinário (310?–390?) ensinava que apenas o corpo de Jesus era humano; sua alma foi absorvida completamente no Logos divino. Nestório (ca. 381–451) ensinava que as duas naturezas devem sempre permanecer distintas na pessoa de Cristo; elas funcionavam juntas, mas eram separadas em seu ser. O Concílio de Calcedônia (451 d.C.) afirmou a unidade das duas naturezas em Jesus. Muitos oponentes do Concílio de Calcedônia surgiram, chamados monofisitas, que acreditavam em uma natureza divina em Jesus, que era apenas em um sentido humano. Esse movimento causou sérias divisões políticas e religiosas, e o Concílio de Constantinopla (680–81) reafirmou o de Calcedônia e estabeleceu a teologia ortodoxa da encarnação.</w:t>
      </w:r>
    </w:p>
    <w:p>
      <w:r/>
      <w:r>
        <w:t>No oitavo século, a Espanha e a França eram centros da controvérsia “adocionista”. O adocionismo ensinava que no nascimento, Jesus era humano, mas em seu batismo, ele passou por um “segundo nascimento” e foi “adotado” como Filho de Deus. Esta teoria foi condenada em uma série de sínodos e nunca ganhou muitos adeptos até os tempos modernos. Durante a era escolástica, Pedro Lombardo (1095?–1160) defendeu o que ficou conhecido como “niilismo”. A Encarnação supostamente não causou nenhuma mudança fundamental na divindade de Jesus, mas sua natureza humana era insubstancial e não essencial. Essa visão também foi condenada pelo Papa Alexandre III (1159–81). Outro debate naquela época tinha seu ponto central na relação entre a queda e a Encarnação. Tomás de Aquino (1224–74) concluiu que havia uma conexão de causa e efeito; a Encarnação foi necessária em decorrência do pecado, em vez de predestinada separadamente da queda.</w:t>
      </w:r>
    </w:p>
    <w:p>
      <w:r/>
      <w:r>
        <w:t>A Igreja Católica Romana e os reformadores protestantes seguem basicamente o mesmo ensino ortodoxo sobre a Encarnação. O conflito na Reforma se centrou mais na soteriologia (a doutrina da salvação). Vários movimentos antitrinitários aberrantes aproveitaram a ruptura na autoridade eclesiástica, no entanto. Miguel Servet (1511–53) ensinava uma visão panteísta da Encarnação, focada no Espírito divino se tornando manifesto na forma humana de Jesus. Assim, o Logos não é uma pessoa distinta na Divindade, nem é fundamentalmente diferente de uma “centelha divina” em cada pessoa. Ao mesmo tempo, Lélio Socino (1525–62) e seu sobrinho, Fausto Socino (1539–1604), ensinavam um sistema unitário. A Encarnação não era uma transferência da essência divina, mas uma comunicação de autoridade e revelação divina. Cristo, assim, não morreu como uma expiação, mas como um exemplo moral. Tanto Servet quanto o Socinianismo foram condenados por católicos e protestantes.</w:t>
      </w:r>
    </w:p>
    <w:p>
      <w:r/>
      <w:r>
        <w:t>Nos séculos 17 e 18, “kenoticismo” (do grego “vazio”) ensinava que na Encarnação, o Logos “esvaziou-se” (</w:t>
      </w:r>
      <w:hyperlink r:id="rId8057">
        <w:r>
          <w:rPr>
            <w:color w:val="0000EE"/>
            <w:u w:val="single"/>
          </w:rPr>
          <w:t>Fp 2.7</w:t>
        </w:r>
      </w:hyperlink>
      <w:r>
        <w:t xml:space="preserve">) dos atributos divinos. Essa doutrina representou a fase final de um diálogo do período escolástico sobre a comunicação exata entre as duas naturezas de Jesus. Sua natureza humana era onipotente? Se não, como o homem Jesus exerceu os atributos divinos? A escola kenótica acreditava que Jesus era totalmente humano e que sua natureza divina ficou em silêncio até após a Ascensão. Seus poderes milagrosos eram externos, dados pelo Espírito. Contra essa visão, a maioria dos teólogos argumentou que Jesus era em todos os momentos tanto Deus quanto o homem, e que em </w:t>
      </w:r>
      <w:hyperlink r:id="rId6131">
        <w:r>
          <w:rPr>
            <w:color w:val="0000EE"/>
            <w:u w:val="single"/>
          </w:rPr>
          <w:t>Filipenses 2.6–8</w:t>
        </w:r>
      </w:hyperlink>
      <w:r>
        <w:t xml:space="preserve"> Jesus não deixou de lado os atributos da divindade (ele ainda exibia a “forma de Deus”), mas sim a majestade associada à divindade.</w:t>
      </w:r>
    </w:p>
    <w:p>
      <w:r/>
      <w:r>
        <w:t xml:space="preserve">Os séculos 19 e 20 deram origem a uma visão de que a Encarnação era um “mito”, uma maneira pictórica de descrever como Deus falou através de Jesus. O nascimento virgem não foi histórico, nem qualquer um dos eventos sobrenaturais dos Evangelhos jamais ocorreu. Em vez disso, as histórias nos Evangelhos eram histórias elaboradas pela igreja tardia, esforços para retratar o impacto de Jesus no movimento. Os Evangelhos, no entanto, têm um tom de história precisa muito forte para que tal visão prevaleça (veja </w:t>
      </w:r>
      <w:hyperlink r:id="rId8058">
        <w:r>
          <w:rPr>
            <w:color w:val="0000EE"/>
            <w:u w:val="single"/>
          </w:rPr>
          <w:t>Lc 1.1–5</w:t>
        </w:r>
      </w:hyperlink>
      <w:r>
        <w:t xml:space="preserve">; </w:t>
      </w:r>
      <w:hyperlink r:id="rId8059">
        <w:r>
          <w:rPr>
            <w:color w:val="0000EE"/>
            <w:u w:val="single"/>
          </w:rPr>
          <w:t>Jo 19.35</w:t>
        </w:r>
      </w:hyperlink>
      <w:r>
        <w:t xml:space="preserve">; </w:t>
      </w:r>
      <w:hyperlink r:id="rId8060">
        <w:r>
          <w:rPr>
            <w:color w:val="0000EE"/>
            <w:u w:val="single"/>
          </w:rPr>
          <w:t>21.24</w:t>
        </w:r>
      </w:hyperlink>
      <w:r>
        <w:t>).</w:t>
      </w:r>
    </w:p>
    <w:p>
      <w:pPr>
        <w:pStyle w:val="Heading3"/>
      </w:pPr>
      <w:r>
        <w:t>Conclusão</w:t>
      </w:r>
    </w:p>
    <w:p>
      <w:r/>
      <w:r>
        <w:t>O ensino do NT sobre a Encarnação equilibra a humanidade e a divindade de Cristo. Esses dois fatos devem se harmonizar em qualquer sistema teológico, pois ambos são partes absolutamente necessárias do plano redentor de Deus. Na Encarnação, Jesus se tornou um ser humano perfeito. Como Deus em carne humana, ele sofreu a punição divina pelo pecado como um substituto inocente. Sendo tanto Deus quanto homem, Jesus simultaneamente revelou a vontade de Deus para a vida humana e reconciliou pessoas pecadoras a Deus através de sua própria vida e morte perfeitas. Por causa da Encarnação, portanto, aqueles que acreditam em Cristo têm paz com Deus e nova vida de Deus.</w:t>
      </w:r>
    </w:p>
    <w:p>
      <w:r/>
      <w:r>
        <w:rPr>
          <w:i/>
        </w:rPr>
        <w:t>Veja também</w:t>
      </w:r>
      <w:r>
        <w:t xml:space="preserve"> </w:t>
      </w:r>
      <w:r>
        <w:t>Cristologia</w:t>
      </w:r>
      <w:r>
        <w:t xml:space="preserve">; </w:t>
      </w:r>
      <w:r>
        <w:t>Jesus Cristo, vida e ensinamentos de</w:t>
      </w:r>
      <w:r>
        <w:t xml:space="preserve">; </w:t>
      </w:r>
      <w:r>
        <w:t>Genealogia de Jesus Cristo</w:t>
      </w:r>
      <w:r>
        <w:t xml:space="preserve">; </w:t>
      </w:r>
      <w:r>
        <w:t>Nascimento virginal de Jesus</w:t>
      </w:r>
      <w:r>
        <w:t>.</w:t>
      </w:r>
      <w:r/>
      <w:r/>
    </w:p>
    <w:p>
      <w:r/>
    </w:p>
    <w:p>
      <w:pPr>
        <w:pStyle w:val="Heading2"/>
      </w:pPr>
      <w:r>
        <w:t>Endor</w:t>
      </w:r>
      <w:r/>
    </w:p>
    <w:p>
      <w:r/>
      <w:r>
        <w:t>Uma cidade antiga dos cananeus, a 6,5 quilômetros ao sul do Monte Tabor, atribuída à tribo de Manassés, embora nunca totalmente conquistada por eles (</w:t>
      </w:r>
      <w:hyperlink r:id="rId3502">
        <w:r>
          <w:rPr>
            <w:color w:val="0000EE"/>
            <w:u w:val="single"/>
          </w:rPr>
          <w:t>Js 17.11</w:t>
        </w:r>
      </w:hyperlink>
      <w:r>
        <w:t>). A cidade testemunhou a derrota de Jabim e Sísera por Baraque (</w:t>
      </w:r>
      <w:hyperlink r:id="rId8061">
        <w:r>
          <w:rPr>
            <w:color w:val="0000EE"/>
            <w:u w:val="single"/>
          </w:rPr>
          <w:t>Sl 83.9–10</w:t>
        </w:r>
      </w:hyperlink>
      <w:r>
        <w:t>). Endor é mais conhecida como a morada da feiticeira que foi consultada pelo rei Saul (</w:t>
      </w:r>
      <w:hyperlink r:id="rId8062">
        <w:r>
          <w:rPr>
            <w:color w:val="0000EE"/>
            <w:u w:val="single"/>
          </w:rPr>
          <w:t>1Sm 28.7</w:t>
        </w:r>
      </w:hyperlink>
      <w:r>
        <w:t>). Nessa ocasião, Saul se disfarçou porque sua jornada a Endor o levou perto do exército filisteu acampado em Suném.</w:t>
      </w:r>
      <w:r/>
      <w:r/>
    </w:p>
    <w:p>
      <w:r/>
    </w:p>
    <w:p>
      <w:pPr>
        <w:pStyle w:val="Heading2"/>
      </w:pPr>
      <w:r>
        <w:t>Endro</w:t>
      </w:r>
      <w:r/>
    </w:p>
    <w:p>
      <w:r/>
      <w:r>
        <w:t>Endro (</w:t>
      </w:r>
      <w:r>
        <w:rPr>
          <w:i/>
        </w:rPr>
        <w:t>Anethum graveolens</w:t>
      </w:r>
      <w:r>
        <w:t>) é uma planta anual que se assemelha à salsa e ao funcho. Cresce de 30 a 50 centímetros de altura e possui flores amarelas. As pessoas usavam endro como tempero geral, especialmente para picles, e também tinha alguns usos medicinais. Esta planta é cultivada em muitos lugares por suas sementes, que têm um cheiro forte e agradável e ajudam na digestão.</w:t>
      </w:r>
    </w:p>
    <w:p>
      <w:r/>
      <w:r>
        <w:t xml:space="preserve">A NTLH traduz a palavra grega </w:t>
      </w:r>
      <w:r>
        <w:rPr>
          <w:i/>
        </w:rPr>
        <w:t xml:space="preserve">anēthon </w:t>
      </w:r>
      <w:r>
        <w:t>em</w:t>
      </w:r>
      <w:r>
        <w:rPr>
          <w:i/>
        </w:rPr>
        <w:t xml:space="preserve"> </w:t>
      </w:r>
      <w:hyperlink r:id="rId5236">
        <w:r>
          <w:rPr>
            <w:color w:val="0000EE"/>
            <w:u w:val="single"/>
          </w:rPr>
          <w:t>Mateus 23:23</w:t>
        </w:r>
      </w:hyperlink>
      <w:r>
        <w:t xml:space="preserve"> como "erva-doce" ao invés de "endro". Isto é considerado incorreto pela maioria dos especialistas. </w:t>
      </w:r>
    </w:p>
    <w:p>
      <w:r/>
      <w:r/>
      <w:r/>
    </w:p>
    <w:p>
      <w:r/>
    </w:p>
    <w:p>
      <w:pPr>
        <w:pStyle w:val="Heading2"/>
      </w:pPr>
      <w:r>
        <w:t>Eneias</w:t>
      </w:r>
      <w:r/>
    </w:p>
    <w:p>
      <w:r/>
      <w:r>
        <w:t>Um homem paralítico que vivia em Lida e tinha que ficar na cama o tempo todo. O apóstolo Pedro o curou (</w:t>
      </w:r>
      <w:hyperlink r:id="rId8063">
        <w:r>
          <w:rPr>
            <w:color w:val="0000EE"/>
            <w:u w:val="single"/>
          </w:rPr>
          <w:t>At 9.33</w:t>
        </w:r>
      </w:hyperlink>
      <w:r>
        <w:t>–</w:t>
      </w:r>
      <w:hyperlink r:id="rId8063">
        <w:r>
          <w:rPr>
            <w:color w:val="0000EE"/>
            <w:u w:val="single"/>
          </w:rPr>
          <w:t>35</w:t>
        </w:r>
      </w:hyperlink>
      <w:r>
        <w:t>). Foi um milagre.</w:t>
      </w:r>
      <w:r/>
      <w:r/>
    </w:p>
    <w:p>
      <w:r/>
    </w:p>
    <w:p>
      <w:pPr>
        <w:pStyle w:val="Heading2"/>
      </w:pPr>
      <w:r>
        <w:t>En-Gedi</w:t>
      </w:r>
      <w:r/>
    </w:p>
    <w:p>
      <w:r/>
      <w:r>
        <w:t>En-Gedi é um importante oásis no lado oeste do Mar Morto, cerca de 56,3 quilômetros a sudeste de Jerusalém. Era parte da terra dada à tribo de Judá (</w:t>
      </w:r>
      <w:hyperlink r:id="rId8064">
        <w:r>
          <w:rPr>
            <w:color w:val="0000EE"/>
            <w:u w:val="single"/>
          </w:rPr>
          <w:t>Js 15.62</w:t>
        </w:r>
      </w:hyperlink>
      <w:r>
        <w:t>). En-Gedi tinha uma fonte de água quente fluindo de um penhasco de calcário, o que permitia o crescimento de plantas que prosperavam em climas quentes. A área tornou-se conhecida por suas palmeiras, vinhedos e bálsamo (</w:t>
      </w:r>
      <w:hyperlink r:id="rId8065">
        <w:r>
          <w:rPr>
            <w:color w:val="0000EE"/>
            <w:u w:val="single"/>
          </w:rPr>
          <w:t>Ct 1.14</w:t>
        </w:r>
      </w:hyperlink>
      <w:r>
        <w:t xml:space="preserve">; </w:t>
      </w:r>
      <w:r>
        <w:rPr>
          <w:i/>
        </w:rPr>
        <w:t>Antiguidades</w:t>
      </w:r>
      <w:r>
        <w:t xml:space="preserve"> de Josefo 20.1.2). O sítio antigo ficava a sudeste do oásis em Tell el-Jarn, perto da moderna ’Ain Jidi.</w:t>
      </w:r>
    </w:p>
    <w:p>
      <w:r/>
      <w:r>
        <w:t>En-Gedi também era chamado de Hazazão-Tamar (</w:t>
      </w:r>
      <w:hyperlink r:id="rId8066">
        <w:r>
          <w:rPr>
            <w:color w:val="0000EE"/>
            <w:u w:val="single"/>
          </w:rPr>
          <w:t>2Cr 20.2</w:t>
        </w:r>
      </w:hyperlink>
      <w:r>
        <w:t>). Aparece em várias histórias do Antigo Testamento:</w:t>
      </w:r>
    </w:p>
    <w:p>
      <w:pPr>
        <w:pStyle w:val="ListBullet"/>
        <w:spacing w:line="240" w:lineRule="auto"/>
        <w:ind w:left="720"/>
      </w:pPr>
      <w:r/>
      <w:r>
        <w:t>Quedorlaomer conquistou os amorreus lá (</w:t>
      </w:r>
      <w:hyperlink r:id="rId3970">
        <w:r>
          <w:rPr>
            <w:color w:val="0000EE"/>
            <w:u w:val="single"/>
          </w:rPr>
          <w:t>Gn 14.7</w:t>
        </w:r>
      </w:hyperlink>
      <w:r>
        <w:t>)</w:t>
      </w:r>
    </w:p>
    <w:p>
      <w:pPr>
        <w:pStyle w:val="ListBullet"/>
        <w:spacing w:line="240" w:lineRule="auto"/>
        <w:ind w:left="720"/>
      </w:pPr>
      <w:r/>
      <w:r>
        <w:t>Davi se escondeu de Saul nas cavernas de En-Gedi (</w:t>
      </w:r>
      <w:hyperlink r:id="rId8067">
        <w:r>
          <w:rPr>
            <w:color w:val="0000EE"/>
            <w:u w:val="single"/>
          </w:rPr>
          <w:t>1Sm 23.29</w:t>
        </w:r>
      </w:hyperlink>
      <w:r>
        <w:t>)</w:t>
      </w:r>
    </w:p>
    <w:p>
      <w:pPr>
        <w:pStyle w:val="ListBullet"/>
        <w:spacing w:line="240" w:lineRule="auto"/>
        <w:ind w:left="720"/>
      </w:pPr>
      <w:r/>
      <w:r>
        <w:t>Na visão de Ezequiel sobre um Israel restaurado, pescadores capturam peixes do Mar Morto entre En-Gedi e En-Eglaim (</w:t>
      </w:r>
      <w:hyperlink r:id="rId1657">
        <w:r>
          <w:rPr>
            <w:color w:val="0000EE"/>
            <w:u w:val="single"/>
          </w:rPr>
          <w:t>Ez 47.10</w:t>
        </w:r>
      </w:hyperlink>
      <w:r>
        <w:t>)</w:t>
      </w:r>
      <w:r/>
      <w:r/>
    </w:p>
    <w:p>
      <w:r/>
    </w:p>
    <w:p>
      <w:pPr>
        <w:pStyle w:val="Heading2"/>
      </w:pPr>
      <w:r>
        <w:t>Enigma</w:t>
      </w:r>
      <w:r/>
    </w:p>
    <w:p>
      <w:r/>
      <w:r>
        <w:t>Um enigma é um quebra-cabeça de palavras que desafia as pessoas a encontrar um significado oculto. No mundo antigo, as pessoas apreciavam enigmas tanto por diversão quanto como uma forma de testar a sabedoria. Ao contrário das fábulas (histórias que ensinam lições óbvias), os enigmas eram feitos para serem desafiadores de resolver.</w:t>
      </w:r>
    </w:p>
    <w:p>
      <w:pPr>
        <w:pStyle w:val="Heading3"/>
      </w:pPr>
      <w:r>
        <w:t>Enigmas no Antigo Testamento</w:t>
      </w:r>
    </w:p>
    <w:p>
      <w:r/>
      <w:r>
        <w:t>Fábulas na Bíblia frequentemente utilizavam histórias sobre plantas ou animais para ensinar lições claras. Por exemplo, Jotão contou uma história sobre plantas escolhendo um rei (</w:t>
      </w:r>
      <w:hyperlink r:id="rId8068">
        <w:r>
          <w:rPr>
            <w:color w:val="0000EE"/>
            <w:u w:val="single"/>
          </w:rPr>
          <w:t>Jz 9.7–15</w:t>
        </w:r>
      </w:hyperlink>
      <w:r>
        <w:t>). O significado de sua história era fácil de entender. Às vezes, pode ser difícil distinguir se algo é um enigma ou uma fábula. Por exemplo, Ezequiel escreveu o que algumas pessoas chamam de enigma sobre plantas (</w:t>
      </w:r>
      <w:hyperlink r:id="rId8069">
        <w:r>
          <w:rPr>
            <w:color w:val="0000EE"/>
            <w:u w:val="single"/>
          </w:rPr>
          <w:t>Ez 17</w:t>
        </w:r>
      </w:hyperlink>
      <w:r>
        <w:t>), mas outros acreditam que é mais como uma fábula porque seu significado é mais claro do que a maioria dos enigmas.</w:t>
      </w:r>
    </w:p>
    <w:p>
      <w:r/>
      <w:r>
        <w:t>O enigma de Sansão em sua festa de casamento é o mais famoso da Bíblia (</w:t>
      </w:r>
      <w:hyperlink r:id="rId8070">
        <w:r>
          <w:rPr>
            <w:color w:val="0000EE"/>
            <w:u w:val="single"/>
          </w:rPr>
          <w:t>Jz 14</w:t>
        </w:r>
      </w:hyperlink>
      <w:r>
        <w:t xml:space="preserve">). As pessoas costumavam compartilhar enigmas em celebrações como essa (vv. </w:t>
      </w:r>
      <w:hyperlink r:id="rId8071">
        <w:r>
          <w:rPr>
            <w:color w:val="0000EE"/>
            <w:u w:val="single"/>
          </w:rPr>
          <w:t>12</w:t>
        </w:r>
      </w:hyperlink>
      <w:hyperlink r:id="rId8068">
        <w:r>
          <w:rPr>
            <w:color w:val="0000EE"/>
            <w:u w:val="single"/>
          </w:rPr>
          <w:t>-</w:t>
        </w:r>
      </w:hyperlink>
      <w:hyperlink r:id="rId8071">
        <w:r>
          <w:rPr>
            <w:color w:val="0000EE"/>
            <w:u w:val="single"/>
          </w:rPr>
          <w:t>13</w:t>
        </w:r>
      </w:hyperlink>
      <w:r>
        <w:t xml:space="preserve">). O enigma de Sansão tinha duas linhas (chamadas de dístico): "Do que come saiu comida, e do forte saiu doçura" (v. </w:t>
      </w:r>
      <w:hyperlink r:id="rId8072">
        <w:r>
          <w:rPr>
            <w:color w:val="0000EE"/>
            <w:u w:val="single"/>
          </w:rPr>
          <w:t>14</w:t>
        </w:r>
      </w:hyperlink>
      <w:r>
        <w:t xml:space="preserve">). A resposta veio de um evento anterior quando Sansão matou um leão e mais tarde encontrou mel em seu corpo. Os trinta jovens na festa ameaçaram a futura esposa de Sansão para que ela descobrisse a resposta dele. Eles responderam ao seu enigma perguntando: "Que coisa é mais doce do que o mel? E o que é mais forte do que o leão?" (v. </w:t>
      </w:r>
      <w:hyperlink r:id="rId577">
        <w:r>
          <w:rPr>
            <w:color w:val="0000EE"/>
            <w:u w:val="single"/>
          </w:rPr>
          <w:t>18</w:t>
        </w:r>
      </w:hyperlink>
      <w:r>
        <w:t>).</w:t>
      </w:r>
    </w:p>
    <w:p>
      <w:r/>
      <w:r>
        <w:t>A sabedoria do Rei Salomão foi demonstrada por sua habilidade em responder às "perguntas difíceis" da Rainha de Sabá (</w:t>
      </w:r>
      <w:hyperlink r:id="rId8073">
        <w:r>
          <w:rPr>
            <w:color w:val="0000EE"/>
            <w:u w:val="single"/>
          </w:rPr>
          <w:t>1Rs 10.1</w:t>
        </w:r>
      </w:hyperlink>
      <w:hyperlink r:id="rId8068">
        <w:r>
          <w:rPr>
            <w:color w:val="0000EE"/>
            <w:u w:val="single"/>
          </w:rPr>
          <w:t>-</w:t>
        </w:r>
      </w:hyperlink>
      <w:hyperlink r:id="rId8073">
        <w:r>
          <w:rPr>
            <w:color w:val="0000EE"/>
            <w:u w:val="single"/>
          </w:rPr>
          <w:t>4</w:t>
        </w:r>
      </w:hyperlink>
      <w:r>
        <w:t>). Um texto judaico chamado Siraque (também conhecido como Eclesiástico) elogia Salomão, dizendo: "Sua alma cobriu a terra, e você a preencheu com parábolas e enigmas" (</w:t>
      </w:r>
      <w:hyperlink r:id="rId8074">
        <w:r>
          <w:rPr>
            <w:color w:val="0000EE"/>
            <w:u w:val="single"/>
          </w:rPr>
          <w:t>Sir 47.15</w:t>
        </w:r>
      </w:hyperlink>
      <w:r>
        <w:t>).</w:t>
      </w:r>
    </w:p>
    <w:p>
      <w:r/>
      <w:r>
        <w:t>Um historiador judeu chamado Josefo escreveu sobre uma competição entre Salomão e o Rei Hirão, onde eles trocavam enigmas. Salomão ganhava na maioria das vezes, mas Hirão finalmente venceu uma rodada com a ajuda de outros (</w:t>
      </w:r>
      <w:r>
        <w:rPr>
          <w:i/>
        </w:rPr>
        <w:t>Antiguidades</w:t>
      </w:r>
      <w:r>
        <w:t xml:space="preserve"> 8.5.5). Os sábios de Israel frequentemente afirmavam que podiam resolver enigmas (E.g., </w:t>
      </w:r>
      <w:hyperlink r:id="rId8075">
        <w:r>
          <w:rPr>
            <w:color w:val="0000EE"/>
            <w:u w:val="single"/>
          </w:rPr>
          <w:t>Sl 49.4</w:t>
        </w:r>
      </w:hyperlink>
      <w:r>
        <w:t xml:space="preserve">; </w:t>
      </w:r>
      <w:hyperlink r:id="rId8076">
        <w:r>
          <w:rPr>
            <w:color w:val="0000EE"/>
            <w:u w:val="single"/>
          </w:rPr>
          <w:t>Pv 1.6</w:t>
        </w:r>
      </w:hyperlink>
      <w:r>
        <w:t>). O livro de Daniel menciona enigmas várias vezes. Ele descreve um governante futuro como "entendido em adivinhações" (literalmente, "aquele que entende enigmas") que subiria ao poder (</w:t>
      </w:r>
      <w:hyperlink r:id="rId8077">
        <w:r>
          <w:rPr>
            <w:color w:val="0000EE"/>
            <w:u w:val="single"/>
          </w:rPr>
          <w:t>Dn 8.23</w:t>
        </w:r>
      </w:hyperlink>
      <w:hyperlink r:id="rId8068">
        <w:r>
          <w:rPr>
            <w:color w:val="0000EE"/>
            <w:u w:val="single"/>
          </w:rPr>
          <w:t>-</w:t>
        </w:r>
      </w:hyperlink>
      <w:hyperlink r:id="rId8077">
        <w:r>
          <w:rPr>
            <w:color w:val="0000EE"/>
            <w:u w:val="single"/>
          </w:rPr>
          <w:t>24</w:t>
        </w:r>
      </w:hyperlink>
      <w:r>
        <w:t>). Daniel também podia "interpretar sonhos, explicar coisas misteriosas e resolver assuntos difíceis” (</w:t>
      </w:r>
      <w:hyperlink r:id="rId8078">
        <w:r>
          <w:rPr>
            <w:color w:val="0000EE"/>
            <w:u w:val="single"/>
          </w:rPr>
          <w:t>Dn 5.12</w:t>
        </w:r>
      </w:hyperlink>
      <w:r>
        <w:t>).</w:t>
      </w:r>
    </w:p>
    <w:p>
      <w:pPr>
        <w:pStyle w:val="Heading3"/>
      </w:pPr>
      <w:r>
        <w:t>Enigmas no Novo Testamento</w:t>
      </w:r>
    </w:p>
    <w:p>
      <w:r/>
      <w:r>
        <w:t xml:space="preserve">O Novo Testamento tem menos enigmas. As várias "duras palavras" de Jesus (e.g., </w:t>
      </w:r>
      <w:hyperlink r:id="rId8079">
        <w:r>
          <w:rPr>
            <w:color w:val="0000EE"/>
            <w:u w:val="single"/>
          </w:rPr>
          <w:t>Jo 6.60</w:t>
        </w:r>
      </w:hyperlink>
      <w:r>
        <w:t>) são difíceis de aceitar e igualmente difíceis de entender. Talvez o único verdadeiro enigma seja o número da besta, 666 (</w:t>
      </w:r>
      <w:hyperlink r:id="rId8080">
        <w:r>
          <w:rPr>
            <w:color w:val="0000EE"/>
            <w:u w:val="single"/>
          </w:rPr>
          <w:t>Ap 13.18</w:t>
        </w:r>
      </w:hyperlink>
      <w:r>
        <w:t>). Muitos estudiosos acreditam que esse número pode se referir ao Imperador Romano Nero, já que esse tipo de código numérico era comum na escrita antiga.</w:t>
      </w:r>
      <w:r/>
      <w:r/>
    </w:p>
    <w:p>
      <w:r/>
    </w:p>
    <w:p>
      <w:pPr>
        <w:pStyle w:val="Heading2"/>
      </w:pPr>
      <w:r>
        <w:t>Enlace</w:t>
      </w:r>
      <w:r/>
    </w:p>
    <w:p>
      <w:r/>
      <w:r>
        <w:t xml:space="preserve">Literalmente, uma armadilha usada para capturar pássaros ou outros mamíferos; figurativamente, qualquer coisa que prende ou imobiliza outra pessoa. A palavra é frequentemente usada nas Escrituras no sentido figurado para descrever qualquer coisa que leva as pessoas ao pecado (veja </w:t>
      </w:r>
      <w:hyperlink r:id="rId8081">
        <w:r>
          <w:rPr>
            <w:color w:val="0000EE"/>
            <w:u w:val="single"/>
          </w:rPr>
          <w:t>Dt 7.25</w:t>
        </w:r>
      </w:hyperlink>
      <w:r>
        <w:t xml:space="preserve">; </w:t>
      </w:r>
      <w:hyperlink r:id="rId8082">
        <w:r>
          <w:rPr>
            <w:color w:val="0000EE"/>
            <w:u w:val="single"/>
          </w:rPr>
          <w:t>Ec 7.26</w:t>
        </w:r>
      </w:hyperlink>
      <w:r>
        <w:t>).</w:t>
      </w:r>
      <w:r/>
      <w:r/>
    </w:p>
    <w:p>
      <w:r/>
    </w:p>
    <w:p>
      <w:pPr>
        <w:pStyle w:val="Heading2"/>
      </w:pPr>
      <w:r>
        <w:t>En-Mispate</w:t>
      </w:r>
      <w:r/>
    </w:p>
    <w:p>
      <w:r/>
      <w:r>
        <w:t>Nome inicial para Cades, mencionado no relato das batalhas de Quedorlaomer (</w:t>
      </w:r>
      <w:hyperlink r:id="rId3970">
        <w:r>
          <w:rPr>
            <w:color w:val="0000EE"/>
            <w:u w:val="single"/>
          </w:rPr>
          <w:t>Gn 14.7</w:t>
        </w:r>
      </w:hyperlink>
      <w:r>
        <w:t xml:space="preserve">). </w:t>
      </w:r>
      <w:r>
        <w:rPr>
          <w:i/>
        </w:rPr>
        <w:t>Veja</w:t>
      </w:r>
      <w:r>
        <w:t xml:space="preserve"> </w:t>
      </w:r>
      <w:r>
        <w:t>Cades, Cades-Barneia</w:t>
      </w:r>
      <w:r>
        <w:t>.</w:t>
      </w:r>
      <w:r/>
      <w:r/>
    </w:p>
    <w:p>
      <w:r/>
    </w:p>
    <w:p>
      <w:pPr>
        <w:pStyle w:val="Heading2"/>
      </w:pPr>
      <w:r>
        <w:t>Enoque</w:t>
      </w:r>
      <w:r/>
    </w:p>
    <w:p>
      <w:pPr>
        <w:pStyle w:val="ListNumber"/>
        <w:spacing w:line="240" w:lineRule="auto"/>
        <w:ind w:left="720"/>
      </w:pPr>
      <w:r/>
      <w:r>
        <w:t>Terceiro filho de Midiã e neto de Abraão com Quetura (</w:t>
      </w:r>
      <w:hyperlink r:id="rId7613">
        <w:r>
          <w:rPr>
            <w:color w:val="0000EE"/>
            <w:u w:val="single"/>
          </w:rPr>
          <w:t>Gn 25.4</w:t>
        </w:r>
      </w:hyperlink>
      <w:r>
        <w:t xml:space="preserve">; </w:t>
      </w:r>
      <w:hyperlink r:id="rId76">
        <w:r>
          <w:rPr>
            <w:color w:val="0000EE"/>
            <w:u w:val="single"/>
          </w:rPr>
          <w:t>1Cr 1.33</w:t>
        </w:r>
      </w:hyperlink>
      <w:r>
        <w:t>).</w:t>
      </w:r>
    </w:p>
    <w:p>
      <w:pPr>
        <w:pStyle w:val="ListNumber"/>
        <w:spacing w:line="240" w:lineRule="auto"/>
        <w:ind w:left="720"/>
      </w:pPr>
      <w:r/>
      <w:r>
        <w:t>O primeiro filho de Rúben (</w:t>
      </w:r>
      <w:hyperlink r:id="rId4258">
        <w:r>
          <w:rPr>
            <w:color w:val="0000EE"/>
            <w:u w:val="single"/>
          </w:rPr>
          <w:t>Gn 46.9</w:t>
        </w:r>
      </w:hyperlink>
      <w:r>
        <w:t xml:space="preserve">; </w:t>
      </w:r>
      <w:hyperlink r:id="rId4259">
        <w:r>
          <w:rPr>
            <w:color w:val="0000EE"/>
            <w:u w:val="single"/>
          </w:rPr>
          <w:t>Êx 6.14</w:t>
        </w:r>
      </w:hyperlink>
      <w:r>
        <w:t xml:space="preserve">; </w:t>
      </w:r>
      <w:hyperlink r:id="rId4260">
        <w:r>
          <w:rPr>
            <w:color w:val="0000EE"/>
            <w:u w:val="single"/>
          </w:rPr>
          <w:t>1Cr 5.3</w:t>
        </w:r>
      </w:hyperlink>
      <w:r>
        <w:t>) e ancestral dos enoquitas (</w:t>
      </w:r>
      <w:hyperlink r:id="rId8083">
        <w:r>
          <w:rPr>
            <w:color w:val="0000EE"/>
            <w:u w:val="single"/>
          </w:rPr>
          <w:t>Nm 26.5</w:t>
        </w:r>
      </w:hyperlink>
      <w:r>
        <w:t>).</w:t>
      </w:r>
      <w:r/>
      <w:r/>
    </w:p>
    <w:p>
      <w:r/>
    </w:p>
    <w:p>
      <w:pPr>
        <w:pStyle w:val="Heading2"/>
      </w:pPr>
      <w:r>
        <w:t>Enoque (Lugar)</w:t>
      </w:r>
      <w:r/>
    </w:p>
    <w:p>
      <w:r/>
      <w:r>
        <w:t>Cidade que Caim nomeou em homenagem ao seu primeiro filho, Enoque (</w:t>
      </w:r>
      <w:hyperlink r:id="rId4009">
        <w:r>
          <w:rPr>
            <w:color w:val="0000EE"/>
            <w:u w:val="single"/>
          </w:rPr>
          <w:t>Gn 4.17</w:t>
        </w:r>
      </w:hyperlink>
      <w:r>
        <w:t>).</w:t>
      </w:r>
      <w:r/>
      <w:r/>
    </w:p>
    <w:p>
      <w:r/>
    </w:p>
    <w:p>
      <w:pPr>
        <w:pStyle w:val="Heading2"/>
      </w:pPr>
      <w:r>
        <w:t>Enoque (Pessoa)</w:t>
      </w:r>
      <w:r/>
    </w:p>
    <w:p>
      <w:r/>
      <w:r>
        <w:t>1. Filho de Caim e neto de Adão (</w:t>
      </w:r>
      <w:hyperlink r:id="rId8084">
        <w:r>
          <w:rPr>
            <w:color w:val="0000EE"/>
            <w:u w:val="single"/>
          </w:rPr>
          <w:t>Gn 4.17,19</w:t>
        </w:r>
      </w:hyperlink>
      <w:r>
        <w:t>).</w:t>
      </w:r>
    </w:p>
    <w:p>
      <w:r/>
      <w:r>
        <w:t>2. O filho de Jarede entre os descendentes de Sete; pai de Matusalém (</w:t>
      </w:r>
      <w:hyperlink r:id="rId8085">
        <w:r>
          <w:rPr>
            <w:color w:val="0000EE"/>
            <w:u w:val="single"/>
          </w:rPr>
          <w:t>Gn 5.18–24</w:t>
        </w:r>
      </w:hyperlink>
      <w:r>
        <w:t xml:space="preserve">; </w:t>
      </w:r>
      <w:hyperlink r:id="rId8086">
        <w:r>
          <w:rPr>
            <w:color w:val="0000EE"/>
            <w:u w:val="single"/>
          </w:rPr>
          <w:t>1Cr 1.3</w:t>
        </w:r>
      </w:hyperlink>
      <w:r>
        <w:t>). Ele viveu em uma relação tão próxima com Deus que foi levado ao céu sem ter morrido.</w:t>
      </w:r>
      <w:r/>
      <w:r/>
    </w:p>
    <w:p>
      <w:r/>
    </w:p>
    <w:p>
      <w:pPr>
        <w:pStyle w:val="Heading2"/>
      </w:pPr>
      <w:r>
        <w:t>Enoquita</w:t>
      </w:r>
      <w:r/>
    </w:p>
    <w:p>
      <w:r/>
      <w:r>
        <w:t>Que se refere a qualquer descendente de Enoque, o filho primogênito do patriarca Rúben (</w:t>
      </w:r>
      <w:hyperlink r:id="rId8083">
        <w:r>
          <w:rPr>
            <w:color w:val="0000EE"/>
            <w:u w:val="single"/>
          </w:rPr>
          <w:t>Nm 26.5</w:t>
        </w:r>
      </w:hyperlink>
      <w:r>
        <w:t>).</w:t>
      </w:r>
    </w:p>
    <w:p>
      <w:r/>
      <w:r>
        <w:rPr>
          <w:i/>
        </w:rPr>
        <w:t>Veja</w:t>
      </w:r>
      <w:r>
        <w:t xml:space="preserve"> </w:t>
      </w:r>
      <w:r>
        <w:t>Enoque #2</w:t>
      </w:r>
      <w:r>
        <w:t>.</w:t>
      </w:r>
      <w:r/>
      <w:r/>
    </w:p>
    <w:p>
      <w:r/>
    </w:p>
    <w:p>
      <w:pPr>
        <w:pStyle w:val="Heading2"/>
      </w:pPr>
      <w:r>
        <w:t>Enos</w:t>
      </w:r>
      <w:r/>
    </w:p>
    <w:p>
      <w:r/>
      <w:r>
        <w:t>Filho de Sete e neto de Adão (</w:t>
      </w:r>
      <w:hyperlink r:id="rId8087">
        <w:r>
          <w:rPr>
            <w:color w:val="0000EE"/>
            <w:u w:val="single"/>
          </w:rPr>
          <w:t>Gn 4.26</w:t>
        </w:r>
      </w:hyperlink>
      <w:r>
        <w:t xml:space="preserve">; </w:t>
      </w:r>
      <w:hyperlink r:id="rId313">
        <w:r>
          <w:rPr>
            <w:color w:val="0000EE"/>
            <w:u w:val="single"/>
          </w:rPr>
          <w:t>1Cr 1.1</w:t>
        </w:r>
      </w:hyperlink>
      <w:r>
        <w:t>). Tornou-se pai de Cainã aos 90 anos de idade, após o que teve outros filhos e filhas, falecendo aos 905 anos (</w:t>
      </w:r>
      <w:hyperlink r:id="rId8088">
        <w:r>
          <w:rPr>
            <w:color w:val="0000EE"/>
            <w:u w:val="single"/>
          </w:rPr>
          <w:t>Gn 5.6–11</w:t>
        </w:r>
      </w:hyperlink>
      <w:r>
        <w:t xml:space="preserve">). Ele é mencionado como ancestral de Jesus em </w:t>
      </w:r>
      <w:hyperlink r:id="rId315">
        <w:r>
          <w:rPr>
            <w:color w:val="0000EE"/>
            <w:u w:val="single"/>
          </w:rPr>
          <w:t>Lucas 3.38</w:t>
        </w:r>
      </w:hyperlink>
      <w:r>
        <w:t>.</w:t>
      </w:r>
    </w:p>
    <w:p>
      <w:r/>
      <w:r>
        <w:rPr>
          <w:i/>
        </w:rPr>
        <w:t>Veja</w:t>
      </w:r>
      <w:r>
        <w:t xml:space="preserve"> </w:t>
      </w:r>
      <w:r>
        <w:t>Ancestralidade de Jesus Cristo</w:t>
      </w:r>
      <w:r>
        <w:t>.</w:t>
      </w:r>
      <w:r/>
      <w:r/>
    </w:p>
    <w:p>
      <w:r/>
    </w:p>
    <w:p>
      <w:pPr>
        <w:pStyle w:val="Heading2"/>
      </w:pPr>
      <w:r>
        <w:t>Enxofre</w:t>
      </w:r>
      <w:r/>
    </w:p>
    <w:p>
      <w:r/>
      <w:r>
        <w:t>Um antigo nome para o elemento não metálico enxofre é literalmente "a pedra que queima". O enxofre pega fogo a temperaturas mais baixas do que muitas outras substâncias. Ele queima e produz vapores acres de dióxido de enxofre. O enxofre ocorre naturalmente em regiões com vulcões, como o vale do Mar Morto.</w:t>
      </w:r>
    </w:p>
    <w:p>
      <w:r/>
      <w:r>
        <w:t>Na Bíblia, "fogo e enxofre" são frequentemente usados para mostrar o castigo de Deus sobre o mal (</w:t>
      </w:r>
      <w:hyperlink r:id="rId4754">
        <w:r>
          <w:rPr>
            <w:color w:val="0000EE"/>
            <w:u w:val="single"/>
          </w:rPr>
          <w:t>Gn 19.24</w:t>
        </w:r>
      </w:hyperlink>
      <w:r>
        <w:t xml:space="preserve">; </w:t>
      </w:r>
      <w:hyperlink r:id="rId384">
        <w:r>
          <w:rPr>
            <w:color w:val="0000EE"/>
            <w:u w:val="single"/>
          </w:rPr>
          <w:t>Dt 29.23</w:t>
        </w:r>
      </w:hyperlink>
      <w:r>
        <w:t xml:space="preserve">; </w:t>
      </w:r>
      <w:hyperlink r:id="rId8089">
        <w:r>
          <w:rPr>
            <w:color w:val="0000EE"/>
            <w:u w:val="single"/>
          </w:rPr>
          <w:t>Jó 18.15</w:t>
        </w:r>
      </w:hyperlink>
      <w:r>
        <w:t xml:space="preserve">; </w:t>
      </w:r>
      <w:hyperlink r:id="rId4086">
        <w:r>
          <w:rPr>
            <w:color w:val="0000EE"/>
            <w:u w:val="single"/>
          </w:rPr>
          <w:t>Sl 11.6</w:t>
        </w:r>
      </w:hyperlink>
      <w:r>
        <w:t xml:space="preserve">; </w:t>
      </w:r>
      <w:hyperlink r:id="rId8090">
        <w:r>
          <w:rPr>
            <w:color w:val="0000EE"/>
            <w:u w:val="single"/>
          </w:rPr>
          <w:t>Ez 38.22</w:t>
        </w:r>
      </w:hyperlink>
      <w:r>
        <w:t xml:space="preserve">; e na NTLH, </w:t>
      </w:r>
      <w:hyperlink r:id="rId8091">
        <w:r>
          <w:rPr>
            <w:color w:val="0000EE"/>
            <w:u w:val="single"/>
          </w:rPr>
          <w:t>Lc 17.29</w:t>
        </w:r>
      </w:hyperlink>
      <w:r>
        <w:t xml:space="preserve">; </w:t>
      </w:r>
      <w:hyperlink r:id="rId8092">
        <w:r>
          <w:rPr>
            <w:color w:val="0000EE"/>
            <w:u w:val="single"/>
          </w:rPr>
          <w:t>Ap 9.17–18</w:t>
        </w:r>
      </w:hyperlink>
      <w:r>
        <w:t xml:space="preserve">; </w:t>
      </w:r>
      <w:hyperlink r:id="rId4092">
        <w:r>
          <w:rPr>
            <w:color w:val="0000EE"/>
            <w:u w:val="single"/>
          </w:rPr>
          <w:t>14.10</w:t>
        </w:r>
      </w:hyperlink>
      <w:r>
        <w:t xml:space="preserve">; </w:t>
      </w:r>
      <w:hyperlink r:id="rId8093">
        <w:r>
          <w:rPr>
            <w:color w:val="0000EE"/>
            <w:u w:val="single"/>
          </w:rPr>
          <w:t>19.20</w:t>
        </w:r>
      </w:hyperlink>
      <w:r>
        <w:t xml:space="preserve">; </w:t>
      </w:r>
      <w:hyperlink r:id="rId6693">
        <w:r>
          <w:rPr>
            <w:color w:val="0000EE"/>
            <w:u w:val="single"/>
          </w:rPr>
          <w:t>20.10</w:t>
        </w:r>
      </w:hyperlink>
      <w:r>
        <w:t xml:space="preserve">; </w:t>
      </w:r>
      <w:hyperlink r:id="rId144">
        <w:r>
          <w:rPr>
            <w:color w:val="0000EE"/>
            <w:u w:val="single"/>
          </w:rPr>
          <w:t>21.8</w:t>
        </w:r>
      </w:hyperlink>
      <w:r>
        <w:t>).</w:t>
      </w:r>
    </w:p>
    <w:p>
      <w:r/>
      <w:r>
        <w:t>A última vez que vulcões entraram em erupção em Israel foi há cerca de 4.000 anos. Os cientistas podem determinar isso medindo a idade dos materiais usando um método chamado datação por radiocarbono. Esses poderosos eventos vulcânicos tiveram um grande impacto nas pessoas que viviam lá naquela época. Elas contaram histórias sobre esses eventos, e essas histórias foram passadas de pais para filhos ao longo de muitas gerações.</w:t>
      </w:r>
    </w:p>
    <w:p>
      <w:r/>
      <w:r>
        <w:rPr>
          <w:i/>
        </w:rPr>
        <w:t>Veja</w:t>
      </w:r>
      <w:r>
        <w:t xml:space="preserve"> </w:t>
      </w:r>
      <w:r>
        <w:t>Minerais e metais</w:t>
      </w:r>
      <w:r>
        <w:t>.</w:t>
      </w:r>
      <w:r/>
      <w:r/>
    </w:p>
    <w:p>
      <w:r/>
    </w:p>
    <w:p>
      <w:pPr>
        <w:pStyle w:val="Heading2"/>
      </w:pPr>
      <w:r>
        <w:t>Epicureus</w:t>
      </w:r>
      <w:r/>
    </w:p>
    <w:p>
      <w:r/>
      <w:r>
        <w:t>Aqueles que seguiram os ensinamentos do filósofo grego Epicuro (342–270 a.C.). Paulo encontrou alguns deles enquanto estava em Atenas (</w:t>
      </w:r>
      <w:hyperlink r:id="rId8094">
        <w:r>
          <w:rPr>
            <w:color w:val="0000EE"/>
            <w:u w:val="single"/>
          </w:rPr>
          <w:t>At 17.18</w:t>
        </w:r>
      </w:hyperlink>
      <w:r>
        <w:t>).</w:t>
      </w:r>
    </w:p>
    <w:p>
      <w:r/>
      <w:r>
        <w:t xml:space="preserve">Epicuro passou sua infância na ilha de Samos, perto da costa ocidental do país que, hoje, é a Turquia. No final da adolescência, ele se mudou para Atenas para se alistar no serviço militar. Após seu período de serviço, ele dedicou seu tempo ao estudo e ensino da filosofia. Este trabalho o levou para fora de Atenas, mas ele retornou em 307 a.C. para fundar uma escola. Ele atraiu um número considerável de seguidores, e seus discípulos espalharam sua mensagem por todo o mundo civilizado. O fato de Paulo ter encontrado epicureus mais de três séculos após a morte de Epicuro mostra tanto a atratividade de seus ensinamentos quanto o compromisso de seus discípulos. No primeiro século a.C., esses ensinamentos encontraram expressão nos escritos do poeta romano Lucrécio. Seu livro </w:t>
      </w:r>
      <w:r>
        <w:rPr>
          <w:i/>
        </w:rPr>
        <w:t>Sobre a Natureza das Coisas</w:t>
      </w:r>
      <w:r>
        <w:t xml:space="preserve"> é um guia útil para entender Epicuro, especialmente porque apenas fragmentos dos próprios escritos de Epicuro permanecem.</w:t>
      </w:r>
    </w:p>
    <w:p>
      <w:r/>
      <w:r>
        <w:t>Os epicureus eram empiristas; confiavam na experiência sensorial para obter conhecimento. Isso os colocava em oposição àqueles que faziam declarações sobre o mundo baseadas apenas na razão, desconfiando ou rejeitando os dados dos sentidos. Os epicureus se preocupavam com evidências naturais e aspectos práticos, demonstrando assim um caráter um tanto científico. Eles não se entusiasmavam com a matemática devido à sua qualidade abstrata, que consideravam ter pouca relação com as questões importantes da vida. A ética, o estudo do comportamento correto, era seu foco.</w:t>
      </w:r>
    </w:p>
    <w:p>
      <w:r/>
      <w:r>
        <w:t>O epicureu avaliava o valor de uma ação ou coisa em termos do prazer ou dor que ela proporcionava — uma posição chamada hedonismo. Era um hedonismo egoísta, pois a pessoa buscava seu próprio prazer em vez do prazer dos outros. Essa descrição pode trazer à mente a imagem de um glutão irresponsável ou amante de festas selvagens, mas essa imagem, incentivada pelo sentido moderno da palavra "epicureu", é enganosa. Epicuro rejeitava justamente esse tipo de comportamento. Ele percebeu que o prazer momentâneo pode levar a uma dor duradoura e que alguma dor pode ser benéfica. Ele via o prazer mais como uma qualidade de vida do que como uma série de emoções intensas. O que ele buscava é melhor chamado de felicidade. Baseando seu conselho na experiência, ele defendia moderação, calma, amizade e uma vida simples. Ele evitava banquetes, paixão sexual e conflitos. Na verdade, ele evitava a dor mais do que buscava o prazer. O prazer da tranquilidade, da paz, podia ser encontrado na ausência de dor, e esse era seu objetivo. Para garantir a tranquilidade, um homem deve cuidar de seu estômago, mas também deve cuidar de sua mente, direcionando-a para a sabedoria.</w:t>
      </w:r>
    </w:p>
    <w:p>
      <w:r/>
      <w:r>
        <w:t>Epicuro via a crença em deuses como uma séria ameaça à tranquilidade. Os deuses eram geralmente vistos como seres intrometidos e poderosos que aterrorizavam os mortais comuns—fontes de insegurança, não de paz e felicidade. Epicuro ensinava que os deuses não eram outra coisa senão hedonistas serenos que se mantinham afastados dos homens. Eles evitavam o conflito que se relacionava no contato com as pessoas na terra. Em resumo, não havia motivo para temer.</w:t>
      </w:r>
    </w:p>
    <w:p>
      <w:r/>
      <w:r>
        <w:t>Epicuro ensinou que nós, assim como tudo em nosso mundo, somos feitos de átomos de diferentes qualidades. Por exemplo, os átomos da alma humana são lisos e redondos. Embora as teorias atômicas frequentemente levem à convicção de que todas as ações humanas são determinadas pelas leis que regem o movimento dos átomos, a teoria de Epicuro não fazia isso. Ele permitiu a liberdade humana ao afirmar que alguns átomos espontaneamente desviam de seus caminhos retos, desencadeando assim uma cadeia imprevisível de colisões. O comportamento humano é, portanto, livre e não mecânico.</w:t>
      </w:r>
    </w:p>
    <w:p>
      <w:r/>
      <w:r>
        <w:t>Apesar de sua liberdade, o homem ainda é uma coleção de átomos, e quando os átomos se separam, o homem deixa de existir; ele não é imortal. Epicuro viu isso como uma razão para não temer a morte. Pois, após a morte, toda experiência cessa. Não haverá dor, e assim não há motivo para ansiedade.</w:t>
      </w:r>
    </w:p>
    <w:p>
      <w:r/>
      <w:r>
        <w:t>Temas epicureus podem ser encontrados na Bíblia — por exemplo, moderação (</w:t>
      </w:r>
      <w:hyperlink r:id="rId8095">
        <w:r>
          <w:rPr>
            <w:color w:val="0000EE"/>
            <w:u w:val="single"/>
          </w:rPr>
          <w:t>Fp 4.5</w:t>
        </w:r>
      </w:hyperlink>
      <w:r>
        <w:t>) e a paz que vem do exercício da sabedoria (</w:t>
      </w:r>
      <w:hyperlink r:id="rId8096">
        <w:r>
          <w:rPr>
            <w:color w:val="0000EE"/>
            <w:u w:val="single"/>
          </w:rPr>
          <w:t>Pv 3.13–18</w:t>
        </w:r>
      </w:hyperlink>
      <w:r>
        <w:t>). Mas as diferenças são claras. A Bíblia revela um Deus que está intimamente envolvido no mundo; a imortalidade da alma humana; e a verdade de que a felicidade genuína depende da comunhão com Deus e do serviço a Ele (</w:t>
      </w:r>
      <w:hyperlink r:id="rId8097">
        <w:r>
          <w:rPr>
            <w:color w:val="0000EE"/>
            <w:u w:val="single"/>
          </w:rPr>
          <w:t>Fp 4.6–7</w:t>
        </w:r>
      </w:hyperlink>
      <w:r>
        <w:t>).</w:t>
      </w:r>
    </w:p>
    <w:p>
      <w:r/>
      <w:r>
        <w:rPr>
          <w:i/>
        </w:rPr>
        <w:t>Consulte também</w:t>
      </w:r>
      <w:r>
        <w:t xml:space="preserve"> </w:t>
      </w:r>
      <w:r>
        <w:t>Filosofia</w:t>
      </w:r>
      <w:r>
        <w:t>.</w:t>
      </w:r>
      <w:r/>
      <w:r/>
    </w:p>
    <w:p>
      <w:r/>
    </w:p>
    <w:p>
      <w:pPr>
        <w:pStyle w:val="Heading2"/>
      </w:pPr>
      <w:r>
        <w:t>Epilepsia*, Epiléptico</w:t>
      </w:r>
      <w:r/>
    </w:p>
    <w:p>
      <w:r/>
      <w:r>
        <w:t>Doença do sistema nervoso central, e alguém afligido com a doença, caracterizada por inconsciência e convulsões. As convulsões podem ser uma crise de ausência (espasmos no rosto ou nas mãos, dor abdominal breve, mas acentuada, e possível inconsciência momentânea) ou uma convulsão tônico-clônica (convulsões, formação espumante na boca e inconsciência, durando de 5 a 20 minutos). Embora as causas da epilepsia ainda não sejam conhecidas, os medicamentos estão disponíveis para prevenir ou controlar as convulsões.</w:t>
      </w:r>
    </w:p>
    <w:p>
      <w:r/>
      <w:r>
        <w:t>Nos tempos bíblicos, a epilepsia (conhecida como a “doença de queda”) não poderia ser tratada de forma eficaz. Jesus curou um menino que evidentemente sofria dessa aflição (</w:t>
      </w:r>
      <w:hyperlink r:id="rId8098">
        <w:r>
          <w:rPr>
            <w:color w:val="0000EE"/>
            <w:u w:val="single"/>
          </w:rPr>
          <w:t>Mt 17.14–18</w:t>
        </w:r>
      </w:hyperlink>
      <w:r>
        <w:t xml:space="preserve">; </w:t>
      </w:r>
      <w:hyperlink r:id="rId8099">
        <w:r>
          <w:rPr>
            <w:color w:val="0000EE"/>
            <w:u w:val="single"/>
          </w:rPr>
          <w:t>Mc 9.17–27</w:t>
        </w:r>
      </w:hyperlink>
      <w:r>
        <w:t xml:space="preserve">; </w:t>
      </w:r>
      <w:hyperlink r:id="rId8100">
        <w:r>
          <w:rPr>
            <w:color w:val="0000EE"/>
            <w:u w:val="single"/>
          </w:rPr>
          <w:t>Lc 9.37–42</w:t>
        </w:r>
      </w:hyperlink>
      <w:r>
        <w:t xml:space="preserve">). A descrição do menino como um “lunático” em algumas versões mais antigas da bíblia (do latim </w:t>
      </w:r>
      <w:r>
        <w:rPr>
          <w:i/>
        </w:rPr>
        <w:t>luna</w:t>
      </w:r>
      <w:r>
        <w:t xml:space="preserve">, “lua”) é um uso incorreto. A palavra grega em Mateus (literalmente “atingido pela lua”) refletia a crença antiga de que havia certa conexão entre certas doenças e as fases lunares. De acordo com o relato bíblico, o jovem foi curado quando Jesus expulsou um demônio, ou “espírito impuro”, dele. </w:t>
      </w:r>
      <w:r>
        <w:rPr>
          <w:i/>
        </w:rPr>
        <w:t>Veja</w:t>
      </w:r>
      <w:r>
        <w:t xml:space="preserve"> </w:t>
      </w:r>
      <w:r>
        <w:t>Medicina e Prática Médica</w:t>
      </w:r>
      <w:r>
        <w:t>.</w:t>
      </w:r>
      <w:r/>
      <w:r/>
    </w:p>
    <w:p>
      <w:r/>
    </w:p>
    <w:p>
      <w:pPr>
        <w:pStyle w:val="Heading2"/>
      </w:pPr>
      <w:r>
        <w:t>Er</w:t>
      </w:r>
      <w:r/>
    </w:p>
    <w:p>
      <w:pPr>
        <w:pStyle w:val="ListNumber"/>
        <w:spacing w:line="240" w:lineRule="auto"/>
        <w:ind w:left="720"/>
      </w:pPr>
      <w:r/>
      <w:r>
        <w:t>O filho mais velho de Judá e Bathshua, uma mulher cananeia (</w:t>
      </w:r>
      <w:hyperlink r:id="rId8101">
        <w:r>
          <w:rPr>
            <w:color w:val="0000EE"/>
            <w:u w:val="single"/>
          </w:rPr>
          <w:t>Gn 38.3</w:t>
        </w:r>
      </w:hyperlink>
      <w:r>
        <w:t>). O Senhor o matou antes que ele e sua esposa, Tamar, pudessem ter filhos (</w:t>
      </w:r>
      <w:hyperlink r:id="rId8102">
        <w:r>
          <w:rPr>
            <w:color w:val="0000EE"/>
            <w:u w:val="single"/>
          </w:rPr>
          <w:t>Gn 38.7</w:t>
        </w:r>
      </w:hyperlink>
      <w:r>
        <w:t xml:space="preserve">; </w:t>
      </w:r>
      <w:hyperlink r:id="rId8103">
        <w:r>
          <w:rPr>
            <w:color w:val="0000EE"/>
            <w:u w:val="single"/>
          </w:rPr>
          <w:t>46.12</w:t>
        </w:r>
      </w:hyperlink>
      <w:r>
        <w:t xml:space="preserve">; </w:t>
      </w:r>
      <w:hyperlink r:id="rId3190">
        <w:r>
          <w:rPr>
            <w:color w:val="0000EE"/>
            <w:u w:val="single"/>
          </w:rPr>
          <w:t>1Cr 2.3</w:t>
        </w:r>
      </w:hyperlink>
      <w:r>
        <w:t>);</w:t>
      </w:r>
    </w:p>
    <w:p>
      <w:pPr>
        <w:pStyle w:val="ListNumber"/>
        <w:spacing w:line="240" w:lineRule="auto"/>
        <w:ind w:left="720"/>
      </w:pPr>
      <w:r/>
      <w:r>
        <w:t>O neto de Judá e pai de Leca (</w:t>
      </w:r>
      <w:hyperlink r:id="rId8104">
        <w:r>
          <w:rPr>
            <w:color w:val="0000EE"/>
            <w:u w:val="single"/>
          </w:rPr>
          <w:t>1Cr 4.21</w:t>
        </w:r>
      </w:hyperlink>
      <w:r>
        <w:t>). Ele era o sobrinho do número 1 acima;</w:t>
      </w:r>
    </w:p>
    <w:p>
      <w:pPr>
        <w:pStyle w:val="ListNumber"/>
        <w:spacing w:line="240" w:lineRule="auto"/>
        <w:ind w:left="720"/>
      </w:pPr>
      <w:r/>
      <w:r>
        <w:t>Filho de Josué e um ancestral de José, o marido de Maria (</w:t>
      </w:r>
      <w:hyperlink r:id="rId8105">
        <w:r>
          <w:rPr>
            <w:color w:val="0000EE"/>
            <w:u w:val="single"/>
          </w:rPr>
          <w:t>Lc 3.28</w:t>
        </w:r>
      </w:hyperlink>
      <w:r>
        <w:t xml:space="preserve">). </w:t>
      </w:r>
      <w:r>
        <w:rPr>
          <w:i/>
        </w:rPr>
        <w:t xml:space="preserve">Veja também </w:t>
      </w:r>
      <w:r>
        <w:t>Ancestralidade de Jesus Cristo</w:t>
      </w:r>
      <w:r>
        <w:t>.</w:t>
      </w:r>
      <w:r/>
      <w:r/>
    </w:p>
    <w:p>
      <w:r/>
    </w:p>
    <w:p>
      <w:pPr>
        <w:pStyle w:val="Heading2"/>
      </w:pPr>
      <w:r>
        <w:t>Era</w:t>
      </w:r>
      <w:r/>
    </w:p>
    <w:p>
      <w:r/>
      <w:r>
        <w:t>Longo, mas indefinido, período, passado ou futuro. As eras, passado e futuro, compõem a totalidade do tempo. Fala-se de Deus como existindo e planejando “antes das eras” (</w:t>
      </w:r>
      <w:hyperlink r:id="rId8106">
        <w:r>
          <w:rPr>
            <w:color w:val="0000EE"/>
            <w:u w:val="single"/>
          </w:rPr>
          <w:t>1Co 2.7</w:t>
        </w:r>
      </w:hyperlink>
      <w:r>
        <w:t>, NVI). Ele é o Rei das eras (</w:t>
      </w:r>
      <w:hyperlink r:id="rId6829">
        <w:r>
          <w:rPr>
            <w:color w:val="0000EE"/>
            <w:u w:val="single"/>
          </w:rPr>
          <w:t>1Tm 1.17</w:t>
        </w:r>
      </w:hyperlink>
      <w:r>
        <w:t>) e tem um propósito que abrange as eras (</w:t>
      </w:r>
      <w:hyperlink r:id="rId8107">
        <w:r>
          <w:rPr>
            <w:color w:val="0000EE"/>
            <w:u w:val="single"/>
          </w:rPr>
          <w:t>Ef 3.11</w:t>
        </w:r>
      </w:hyperlink>
      <w:r>
        <w:t>). A Bíblia fala do que Deus fará no final ou consumação da(s) era(s) (</w:t>
      </w:r>
      <w:hyperlink r:id="rId8108">
        <w:r>
          <w:rPr>
            <w:color w:val="0000EE"/>
            <w:u w:val="single"/>
          </w:rPr>
          <w:t>Mt 13.39–49</w:t>
        </w:r>
      </w:hyperlink>
      <w:r>
        <w:t>).</w:t>
      </w:r>
    </w:p>
    <w:p>
      <w:r/>
      <w:r>
        <w:t xml:space="preserve">O NT, seguindo os escritos judaicos anteriores, fala do contraste entre “a era presente” (uma “era maligna”, </w:t>
      </w:r>
      <w:hyperlink r:id="rId8109">
        <w:r>
          <w:rPr>
            <w:color w:val="0000EE"/>
            <w:u w:val="single"/>
          </w:rPr>
          <w:t>Gl 1.4</w:t>
        </w:r>
      </w:hyperlink>
      <w:r>
        <w:t>) e “a(s) era(s) do por vir” quando, no julgamento de Deus, os erros serão corrigidos, e seu povo entrará em sua herança completa (</w:t>
      </w:r>
      <w:hyperlink r:id="rId8110">
        <w:r>
          <w:rPr>
            <w:color w:val="0000EE"/>
            <w:u w:val="single"/>
          </w:rPr>
          <w:t>Mc 10.30</w:t>
        </w:r>
      </w:hyperlink>
      <w:r>
        <w:t>). Há um sentido, no entanto, em que pode ser dito que estamos vivendo agora no “fim dos tempos” (</w:t>
      </w:r>
      <w:hyperlink r:id="rId8111">
        <w:r>
          <w:rPr>
            <w:color w:val="0000EE"/>
            <w:u w:val="single"/>
          </w:rPr>
          <w:t>1Co 10.11</w:t>
        </w:r>
      </w:hyperlink>
      <w:r>
        <w:t>, NTLH) e que experimentamos “os poderes do mundo que há de vir” (</w:t>
      </w:r>
      <w:hyperlink r:id="rId8112">
        <w:r>
          <w:rPr>
            <w:color w:val="0000EE"/>
            <w:u w:val="single"/>
          </w:rPr>
          <w:t>Hb 6.5</w:t>
        </w:r>
      </w:hyperlink>
      <w:r>
        <w:t>, NTLH) e sua vida.</w:t>
      </w:r>
    </w:p>
    <w:p>
      <w:r/>
      <w:r>
        <w:t xml:space="preserve">Duas outras palavras estão às vezes conectadas com a palavra “era”. Uma é “geração”. </w:t>
      </w:r>
      <w:hyperlink r:id="rId8113">
        <w:r>
          <w:rPr>
            <w:color w:val="0000EE"/>
            <w:u w:val="single"/>
          </w:rPr>
          <w:t>Cl 1.26</w:t>
        </w:r>
      </w:hyperlink>
      <w:r>
        <w:t xml:space="preserve"> fala do mistério escondido “por séculos e gerações” (ARA, cf. </w:t>
      </w:r>
      <w:hyperlink r:id="rId1075">
        <w:r>
          <w:rPr>
            <w:color w:val="0000EE"/>
            <w:u w:val="single"/>
          </w:rPr>
          <w:t>Ef 3.21</w:t>
        </w:r>
      </w:hyperlink>
      <w:r>
        <w:t xml:space="preserve">), embora não haja base no uso das escrituras dessas palavras para dividir os tempos bíblicos em dispensações, cada uma envolvendo algum novo desenvolvimento do propósito redentor de Deus. A outra é a palavra “mundo”. </w:t>
      </w:r>
      <w:hyperlink r:id="rId2141">
        <w:r>
          <w:rPr>
            <w:color w:val="0000EE"/>
            <w:u w:val="single"/>
          </w:rPr>
          <w:t>Ef 2.2</w:t>
        </w:r>
      </w:hyperlink>
      <w:r>
        <w:t xml:space="preserve"> fala da humanidade não redimida como “seguindo o curso deste mundo” (ARA). </w:t>
      </w:r>
      <w:hyperlink r:id="rId8114">
        <w:r>
          <w:rPr>
            <w:color w:val="0000EE"/>
            <w:u w:val="single"/>
          </w:rPr>
          <w:t>Hb 1.2</w:t>
        </w:r>
      </w:hyperlink>
      <w:r>
        <w:t xml:space="preserve"> e </w:t>
      </w:r>
      <w:hyperlink r:id="rId6078">
        <w:r>
          <w:rPr>
            <w:color w:val="0000EE"/>
            <w:u w:val="single"/>
          </w:rPr>
          <w:t>11.3</w:t>
        </w:r>
      </w:hyperlink>
      <w:r>
        <w:t xml:space="preserve"> falam da criação de Deus do mundo.</w:t>
      </w:r>
    </w:p>
    <w:p>
      <w:r/>
      <w:r>
        <w:t>A Bíblia muitas vezes fala da idade dos homens e mulheres, contabilizada em anos ou de outras maneiras. A sabedoria é vista como pertencente especialmente aos idosos (</w:t>
      </w:r>
      <w:hyperlink r:id="rId8115">
        <w:r>
          <w:rPr>
            <w:color w:val="0000EE"/>
            <w:u w:val="single"/>
          </w:rPr>
          <w:t>Jó 12.12</w:t>
        </w:r>
      </w:hyperlink>
      <w:r>
        <w:t>), embora não necessariamente encontrada lá (</w:t>
      </w:r>
      <w:hyperlink r:id="rId8116">
        <w:r>
          <w:rPr>
            <w:color w:val="0000EE"/>
            <w:u w:val="single"/>
          </w:rPr>
          <w:t>Ec 4.13</w:t>
        </w:r>
      </w:hyperlink>
      <w:r>
        <w:t>). A idade deve ser respeitada (</w:t>
      </w:r>
      <w:hyperlink r:id="rId8117">
        <w:r>
          <w:rPr>
            <w:color w:val="0000EE"/>
            <w:u w:val="single"/>
          </w:rPr>
          <w:t>Lv 19.32</w:t>
        </w:r>
      </w:hyperlink>
      <w:r>
        <w:t>), e a duração dos dias é uma bênção de Deus (</w:t>
      </w:r>
      <w:hyperlink r:id="rId8118">
        <w:r>
          <w:rPr>
            <w:color w:val="0000EE"/>
            <w:u w:val="single"/>
          </w:rPr>
          <w:t>Pv 16.31</w:t>
        </w:r>
      </w:hyperlink>
      <w:r>
        <w:t>). Ao mesmo tempo, a fragilidade da velhice é reconhecida (</w:t>
      </w:r>
      <w:hyperlink r:id="rId8119">
        <w:r>
          <w:rPr>
            <w:color w:val="0000EE"/>
            <w:u w:val="single"/>
          </w:rPr>
          <w:t>Ec 12.1–6</w:t>
        </w:r>
      </w:hyperlink>
      <w:r>
        <w:t xml:space="preserve">), e o </w:t>
      </w:r>
      <w:hyperlink r:id="rId8120">
        <w:r>
          <w:rPr>
            <w:color w:val="0000EE"/>
            <w:u w:val="single"/>
          </w:rPr>
          <w:t>Sl 90.10</w:t>
        </w:r>
      </w:hyperlink>
      <w:r>
        <w:t xml:space="preserve"> fala de 70 anos como o período humano alocado que, se for estendido até 80, pode muito bem ser “problema e tristeza”. </w:t>
      </w:r>
      <w:r>
        <w:rPr>
          <w:i/>
        </w:rPr>
        <w:t>Veja</w:t>
      </w:r>
      <w:r>
        <w:t xml:space="preserve"> </w:t>
      </w:r>
      <w:r>
        <w:t>Eternidade</w:t>
      </w:r>
      <w:r>
        <w:t>.</w:t>
      </w:r>
      <w:r/>
      <w:r/>
    </w:p>
    <w:p>
      <w:r/>
    </w:p>
    <w:p>
      <w:pPr>
        <w:pStyle w:val="Heading2"/>
      </w:pPr>
      <w:r>
        <w:t>Erã</w:t>
      </w:r>
      <w:r/>
    </w:p>
    <w:p>
      <w:r/>
      <w:r>
        <w:t>Erã era neto de Efraim e o filho mais velho de Sutela (</w:t>
      </w:r>
      <w:hyperlink r:id="rId8121">
        <w:r>
          <w:rPr>
            <w:color w:val="0000EE"/>
            <w:u w:val="single"/>
          </w:rPr>
          <w:t>Nm 26.36</w:t>
        </w:r>
      </w:hyperlink>
      <w:r>
        <w:t xml:space="preserve">). A família eranita veio de Erã. Em </w:t>
      </w:r>
      <w:hyperlink r:id="rId3437">
        <w:r>
          <w:rPr>
            <w:color w:val="0000EE"/>
            <w:u w:val="single"/>
          </w:rPr>
          <w:t>1 Crônicas 7.20</w:t>
        </w:r>
      </w:hyperlink>
      <w:r>
        <w:t>, o nome Erã não aparece. Em vez disso, o nome Eleada é usado em uma lista familiar semelhante. Essa diferença pode ser devido a um erro de cópia ao registrar esses documentos.</w:t>
      </w:r>
      <w:r/>
      <w:r/>
    </w:p>
    <w:p>
      <w:r/>
    </w:p>
    <w:p>
      <w:pPr>
        <w:pStyle w:val="Heading2"/>
      </w:pPr>
      <w:r>
        <w:t>Erasto</w:t>
      </w:r>
      <w:r/>
    </w:p>
    <w:p>
      <w:r/>
      <w:r>
        <w:t>Um nome mencionado três vezes no Novo Testamento. Não é certo se se refere a apenas um indivíduo. Em cada caso, Erasto é um ajudante do apóstolo Paulo. As três menções de Erasto no Novo Testamento são:</w:t>
      </w:r>
    </w:p>
    <w:p>
      <w:pPr>
        <w:pStyle w:val="ListNumber"/>
        <w:spacing w:line="240" w:lineRule="auto"/>
        <w:ind w:left="720"/>
      </w:pPr>
      <w:r/>
      <w:r>
        <w:t>Um ajudante de Paulo foi enviado com o apóstolo Timóteo para a Macedônia (</w:t>
      </w:r>
      <w:hyperlink r:id="rId7678">
        <w:r>
          <w:rPr>
            <w:color w:val="0000EE"/>
            <w:u w:val="single"/>
          </w:rPr>
          <w:t>At 19.22</w:t>
        </w:r>
      </w:hyperlink>
      <w:r>
        <w:t>).</w:t>
      </w:r>
    </w:p>
    <w:p>
      <w:pPr>
        <w:pStyle w:val="ListNumber"/>
        <w:spacing w:line="240" w:lineRule="auto"/>
        <w:ind w:left="720"/>
      </w:pPr>
      <w:r/>
      <w:r>
        <w:t>O tesoureiro da cidade de Corinto era um oficial que gerenciava as finanças. Ele pode ter sido um escravo ou um escravo liberto rico e um homem importante na comunidade de Corinto. Ele envia saudações com Paulo à igreja em Roma (</w:t>
      </w:r>
      <w:hyperlink r:id="rId4126">
        <w:r>
          <w:rPr>
            <w:color w:val="0000EE"/>
            <w:u w:val="single"/>
          </w:rPr>
          <w:t>Rm 16.23</w:t>
        </w:r>
      </w:hyperlink>
      <w:r>
        <w:t>).</w:t>
      </w:r>
    </w:p>
    <w:p>
      <w:pPr>
        <w:pStyle w:val="ListNumber"/>
        <w:spacing w:line="240" w:lineRule="auto"/>
        <w:ind w:left="720"/>
      </w:pPr>
      <w:r/>
      <w:r>
        <w:t>Um amigo de Paulo que ficou em Corinto (</w:t>
      </w:r>
      <w:hyperlink r:id="rId4381">
        <w:r>
          <w:rPr>
            <w:color w:val="0000EE"/>
            <w:u w:val="single"/>
          </w:rPr>
          <w:t>2Tm 4.20</w:t>
        </w:r>
      </w:hyperlink>
      <w:r>
        <w:t>).</w:t>
      </w:r>
      <w:r/>
      <w:r/>
    </w:p>
    <w:p>
      <w:r/>
    </w:p>
    <w:p>
      <w:pPr>
        <w:pStyle w:val="Heading2"/>
      </w:pPr>
      <w:r>
        <w:t>Ereque</w:t>
      </w:r>
      <w:r/>
    </w:p>
    <w:p>
      <w:r/>
      <w:r>
        <w:t xml:space="preserve">Importante cidade suméria, localizada no que hoje é chamado de Warka, perto do Rio Eufrates, a 64 quilômetros a noroeste de Ur e 257 quilômetros ao sul de Bagdá. </w:t>
      </w:r>
      <w:hyperlink r:id="rId250">
        <w:r>
          <w:rPr>
            <w:color w:val="0000EE"/>
            <w:u w:val="single"/>
          </w:rPr>
          <w:t>Gênesis 10.10</w:t>
        </w:r>
      </w:hyperlink>
      <w:r>
        <w:t xml:space="preserve"> refere-se a Ereque como a segunda de quatro cidades fundadas por Ninrode. Escavações parciais descobriram as muralhas da cidade (9,7 quilômetros, de circunferência), canais e os restos de edifícios elegantes com paredes caneladas decoradas com cones coloridos e inscrições. Dois zigurates estão entre os mais antigos já descobertos, e vários templos datam do final do quarto ou início do terceiro milênio a.C. O uso de selos cilíndricos de argila começou em Ereque, e do mesmo período vieram centenas de inscrições pictográficas.</w:t>
      </w:r>
    </w:p>
    <w:p>
      <w:r/>
      <w:r>
        <w:t>Inscrições antigas indicam que Ereque e seus arredores eram considerados extremamente belos e férteis. Seu panteão religioso centrava-se na deusa agressiva do amor, Inanna, que supostamente trouxe para Ereque as “leis divinas” às quais devia sua grandeza. Ela ajudou Ereque a subjugar seus inimigos e casou-se com o Rei Dumuzi para garantir a fertilidade e prosperidade de Sumer. Dumuzi, por sua vez, foi identificado com Tamuz, o deus da fertilidade amplamente adorado na Mesopotâmia e na Palestina.</w:t>
      </w:r>
    </w:p>
    <w:p>
      <w:r/>
      <w:r>
        <w:t xml:space="preserve">Entre os governantes de Ereque no terceiro milênio estava Gilgamesh, herói do grande épico acádio. A partir do tempo de Hamurabi, Ereque tornou-se parte da Babilônia e continuou a florescer até depois de 300 d.C. </w:t>
      </w:r>
      <w:hyperlink r:id="rId8122">
        <w:r>
          <w:rPr>
            <w:color w:val="0000EE"/>
            <w:u w:val="single"/>
          </w:rPr>
          <w:t>Esdras 4.9</w:t>
        </w:r>
      </w:hyperlink>
      <w:r>
        <w:t xml:space="preserve"> refere-se aos "arquevitas" (ARC, ARA, NAA), ou homens de Arku, o nome assírio do qual deriva o hebraico "Ereque". Estrabão, Ptolomeu e Plínio mencionam sua fama como um centro de aprendizado, principalmente astronômico.</w:t>
      </w:r>
      <w:r/>
      <w:r/>
    </w:p>
    <w:p>
      <w:r/>
    </w:p>
    <w:p>
      <w:pPr>
        <w:pStyle w:val="Heading2"/>
      </w:pPr>
      <w:r>
        <w:t>Eri</w:t>
      </w:r>
      <w:r/>
    </w:p>
    <w:p>
      <w:r/>
      <w:r>
        <w:t>Quinto filho de Gade (</w:t>
      </w:r>
      <w:hyperlink r:id="rId2469">
        <w:r>
          <w:rPr>
            <w:color w:val="0000EE"/>
            <w:u w:val="single"/>
          </w:rPr>
          <w:t>Gn 46.16</w:t>
        </w:r>
      </w:hyperlink>
      <w:r>
        <w:t>) e fundador da família Erita (</w:t>
      </w:r>
      <w:hyperlink r:id="rId8123">
        <w:r>
          <w:rPr>
            <w:color w:val="0000EE"/>
            <w:u w:val="single"/>
          </w:rPr>
          <w:t>Nm 26.16</w:t>
        </w:r>
      </w:hyperlink>
      <w:r>
        <w:t>).</w:t>
      </w:r>
      <w:r/>
      <w:r/>
    </w:p>
    <w:p>
      <w:r/>
    </w:p>
    <w:p>
      <w:pPr>
        <w:pStyle w:val="Heading2"/>
      </w:pPr>
      <w:r>
        <w:t>Erva rolante</w:t>
      </w:r>
      <w:r/>
    </w:p>
    <w:p>
      <w:r/>
      <w:r>
        <w:t xml:space="preserve">Uma erva rolante é uma planta redonda e seca que rola pelo chão quando soprada pelo vento. A "palha que o vento sopra" mencionada em </w:t>
      </w:r>
      <w:hyperlink r:id="rId8124">
        <w:r>
          <w:rPr>
            <w:color w:val="0000EE"/>
            <w:u w:val="single"/>
          </w:rPr>
          <w:t>Salmo 83.13</w:t>
        </w:r>
      </w:hyperlink>
      <w:r>
        <w:t xml:space="preserve"> e </w:t>
      </w:r>
      <w:hyperlink r:id="rId8125">
        <w:r>
          <w:rPr>
            <w:color w:val="0000EE"/>
            <w:u w:val="single"/>
          </w:rPr>
          <w:t xml:space="preserve">Isaías 17.13 </w:t>
        </w:r>
      </w:hyperlink>
      <w:r>
        <w:t>provavelmente se refere a erva rolante palestina (</w:t>
      </w:r>
      <w:r>
        <w:rPr>
          <w:i/>
        </w:rPr>
        <w:t>Gundelia tournefortii</w:t>
      </w:r>
      <w:r>
        <w:t>). Esta planta pertence à família dos cardos. É uma erva espinhosa que contém um suco leitoso. Quando seca, ela se desprende e rola pela terra, muitas vezes se acumulando em grandes pilhas em áreas baixas.</w:t>
      </w:r>
      <w:r/>
      <w:r/>
    </w:p>
    <w:p>
      <w:r/>
    </w:p>
    <w:p>
      <w:pPr>
        <w:pStyle w:val="Heading2"/>
      </w:pPr>
      <w:r>
        <w:t>Ervas amargas</w:t>
      </w:r>
      <w:r/>
    </w:p>
    <w:p>
      <w:r/>
      <w:r>
        <w:t>Ervas amargas são um tipo de vegetal de sabor amargo, possivelmente uma variedade de alface. O povo de Israel foi ordenado a comer ervas amargas junto com cordeiro assado e pão sem fermento na noite em que Deus enviou a praga da morte sobre todos os primogênitos egípcios (</w:t>
      </w:r>
      <w:hyperlink r:id="rId8126">
        <w:r>
          <w:rPr>
            <w:color w:val="0000EE"/>
            <w:u w:val="single"/>
          </w:rPr>
          <w:t>Êx 12.8–11</w:t>
        </w:r>
      </w:hyperlink>
      <w:r>
        <w:t>).</w:t>
      </w:r>
    </w:p>
    <w:p>
      <w:r/>
      <w:r>
        <w:t xml:space="preserve">As "ervas amargas" mencionadas em </w:t>
      </w:r>
      <w:hyperlink r:id="rId5218">
        <w:r>
          <w:rPr>
            <w:color w:val="0000EE"/>
            <w:u w:val="single"/>
          </w:rPr>
          <w:t>Êxodo 12.8</w:t>
        </w:r>
      </w:hyperlink>
      <w:r>
        <w:t xml:space="preserve"> e </w:t>
      </w:r>
      <w:hyperlink r:id="rId5235">
        <w:r>
          <w:rPr>
            <w:color w:val="0000EE"/>
            <w:u w:val="single"/>
          </w:rPr>
          <w:t>Números 9.11</w:t>
        </w:r>
      </w:hyperlink>
      <w:r>
        <w:t xml:space="preserve"> provavelmente se referem a plantas como a escarola (</w:t>
      </w:r>
      <w:r>
        <w:rPr>
          <w:i/>
        </w:rPr>
        <w:t>Cichorium endivia</w:t>
      </w:r>
      <w:r>
        <w:t>), a chicória comum (</w:t>
      </w:r>
      <w:r>
        <w:rPr>
          <w:i/>
        </w:rPr>
        <w:t>Cichorium intybus</w:t>
      </w:r>
      <w:r>
        <w:t>), a alface (</w:t>
      </w:r>
      <w:r>
        <w:rPr>
          <w:i/>
        </w:rPr>
        <w:t>Lactuca sativa</w:t>
      </w:r>
      <w:r>
        <w:t>) ou o dente-de-leão comum (</w:t>
      </w:r>
      <w:r>
        <w:rPr>
          <w:i/>
        </w:rPr>
        <w:t>Taraxacum officinale</w:t>
      </w:r>
      <w:r>
        <w:t>). Todas essas são plantas daninhas comumente encontradas no Egito moderno e na Ásia Ocidental. As pessoas que vivem nessas regiões ainda consomem essas plantas atualmente.</w:t>
      </w:r>
    </w:p>
    <w:p>
      <w:r/>
      <w:r>
        <w:t>As folhas da alface comum de jardim tornam-se muito amargas quando branqueadas (ficando brancas após serem cobertas a fim de impedir que a luz solar as alcance). Isso também é verdade para o dente-de-leão comum. Alguns estudiosos sugerem que as ervas amargas podem ter se originado de espinhos e cardos.</w:t>
      </w:r>
      <w:r/>
      <w:r/>
    </w:p>
    <w:p>
      <w:r/>
    </w:p>
    <w:p>
      <w:pPr>
        <w:pStyle w:val="Heading2"/>
      </w:pPr>
      <w:r>
        <w:t>Esaú</w:t>
      </w:r>
      <w:r/>
    </w:p>
    <w:p>
      <w:r/>
      <w:r>
        <w:t>Filho de Isaque e irmão gêmeo mais velho de Jacó (</w:t>
      </w:r>
      <w:hyperlink r:id="rId8127">
        <w:r>
          <w:rPr>
            <w:color w:val="0000EE"/>
            <w:u w:val="single"/>
          </w:rPr>
          <w:t>Gn 25.24–26</w:t>
        </w:r>
      </w:hyperlink>
      <w:r>
        <w:t xml:space="preserve">), que recebeu esse nome por causa do cabelo em seu corpo ao nascer. A cor avermelhada do bebê, com a cor que aparece no episódio da sopa de lentilhas (v. </w:t>
      </w:r>
      <w:hyperlink r:id="rId5577">
        <w:r>
          <w:rPr>
            <w:color w:val="0000EE"/>
            <w:u w:val="single"/>
          </w:rPr>
          <w:t>30</w:t>
        </w:r>
      </w:hyperlink>
      <w:r>
        <w:t>), levou ao uso do termo Edom, ou “vermelho”. Os edomitas afirmavam ser descendentes de Esaú, e nomear sua terra Seir pode ter sido uma tentativa de manter uma associação com a palavra "sair" (transliteração do hebraico)</w:t>
      </w:r>
      <w:r>
        <w:rPr>
          <w:i/>
        </w:rPr>
        <w:t>,</w:t>
      </w:r>
      <w:r>
        <w:t xml:space="preserve"> que significa “peludo”.</w:t>
      </w:r>
    </w:p>
    <w:p>
      <w:r/>
      <w:r>
        <w:t>Um caçador habilidoso, Esaú trouxe carne selvagem saborosa para seu pai, que apreciava muito mais seu sabor forte do que o da carne suave fornecida pelos rebanhos da família por Jacó. Em um certo dia, Esaú voltou para casa de uma expedição de caça malsucedida; ele estava com muita fome. Esaú foi persuadido por Jacó a ceder seu direito de primogenitura em troca de comida (</w:t>
      </w:r>
      <w:hyperlink r:id="rId8128">
        <w:r>
          <w:rPr>
            <w:color w:val="0000EE"/>
            <w:u w:val="single"/>
          </w:rPr>
          <w:t>Gn 25.29–34</w:t>
        </w:r>
      </w:hyperlink>
      <w:r>
        <w:t>).</w:t>
      </w:r>
    </w:p>
    <w:p>
      <w:r/>
      <w:r>
        <w:t>Informações arqueológicas de Nuzi mostram que ceder o direito de primogenitura a outro membro da família não era algo desconhecido. O casamento de Esaú com duas mulheres locais que não eram descendentes de Abraão tornou a vida extremamente difícil para seus pais (</w:t>
      </w:r>
      <w:hyperlink r:id="rId8129">
        <w:r>
          <w:rPr>
            <w:color w:val="0000EE"/>
            <w:u w:val="single"/>
          </w:rPr>
          <w:t>Gn 26.34–35</w:t>
        </w:r>
      </w:hyperlink>
      <w:r>
        <w:t xml:space="preserve">). Isso pode ter sido o motivo pelo qual sua mãe, Rebeca, decidiu orientar Jacó a obter a bênção patriarcal que normalmente pertencia a seu irmão mais velho Esaú (cp. </w:t>
      </w:r>
      <w:hyperlink r:id="rId7192">
        <w:r>
          <w:rPr>
            <w:color w:val="0000EE"/>
            <w:u w:val="single"/>
          </w:rPr>
          <w:t>27</w:t>
        </w:r>
      </w:hyperlink>
      <w:r>
        <w:t>). A raiva de Esaú ao descobrir o engano de seu irmão levou Jacó a partir para Harã, embora 20 anos depois, através do generoso perdão de Esaú, os irmãos se reuniram (</w:t>
      </w:r>
      <w:hyperlink r:id="rId8130">
        <w:r>
          <w:rPr>
            <w:color w:val="0000EE"/>
            <w:u w:val="single"/>
          </w:rPr>
          <w:t>33.4–16</w:t>
        </w:r>
      </w:hyperlink>
      <w:r>
        <w:t>).</w:t>
      </w:r>
    </w:p>
    <w:p>
      <w:r/>
      <w:r>
        <w:t>No nascimento, Jacó veio ao mundo segurando o calcanhar de Esaú, um presságio interpretado como um sinal de que os descendentes edomitas de Esaú seriam subordinados à descendência de Jacó. A relação de subserviência entre os edomitas e os israelitas no tempo de Davi (</w:t>
      </w:r>
      <w:hyperlink r:id="rId8131">
        <w:r>
          <w:rPr>
            <w:color w:val="0000EE"/>
            <w:u w:val="single"/>
          </w:rPr>
          <w:t>2Sm 8.11–15</w:t>
        </w:r>
      </w:hyperlink>
      <w:r>
        <w:t xml:space="preserve">; </w:t>
      </w:r>
      <w:hyperlink r:id="rId8132">
        <w:r>
          <w:rPr>
            <w:color w:val="0000EE"/>
            <w:u w:val="single"/>
          </w:rPr>
          <w:t>1Cr 18.13</w:t>
        </w:r>
      </w:hyperlink>
      <w:r>
        <w:t>) continuou até o tempo de Jeorão (</w:t>
      </w:r>
      <w:hyperlink r:id="rId7563">
        <w:r>
          <w:rPr>
            <w:color w:val="0000EE"/>
            <w:u w:val="single"/>
          </w:rPr>
          <w:t>2Rs 8.20–22</w:t>
        </w:r>
      </w:hyperlink>
      <w:r>
        <w:t xml:space="preserve">; </w:t>
      </w:r>
      <w:hyperlink r:id="rId8133">
        <w:r>
          <w:rPr>
            <w:color w:val="0000EE"/>
            <w:u w:val="single"/>
          </w:rPr>
          <w:t>2Cr 21.8–10</w:t>
        </w:r>
      </w:hyperlink>
      <w:r>
        <w:t xml:space="preserve">). Após uma rebelião em 845 a.C., os edomitas conquistaram sua independência por um tempo, mas foram reconquistados por Amazias (796–767 a.C.). Recuperando sua liberdade em 735 a.C., eles posteriormente permaneceram independentes de Judá. </w:t>
      </w:r>
    </w:p>
    <w:p>
      <w:r/>
      <w:r>
        <w:rPr>
          <w:i/>
        </w:rPr>
        <w:t>Veja</w:t>
      </w:r>
      <w:r>
        <w:t xml:space="preserve"> </w:t>
      </w:r>
      <w:r>
        <w:t>Edom, Edomitas</w:t>
      </w:r>
      <w:r>
        <w:t>.</w:t>
      </w:r>
      <w:r/>
      <w:r/>
    </w:p>
    <w:p>
      <w:r/>
    </w:p>
    <w:p>
      <w:pPr>
        <w:pStyle w:val="Heading2"/>
      </w:pPr>
      <w:r>
        <w:t>Esbã</w:t>
      </w:r>
      <w:r/>
    </w:p>
    <w:p>
      <w:r/>
      <w:r>
        <w:t>Disom, segundo filho e neto de Seir, o horita (</w:t>
      </w:r>
      <w:hyperlink r:id="rId8134">
        <w:r>
          <w:rPr>
            <w:color w:val="0000EE"/>
            <w:u w:val="single"/>
          </w:rPr>
          <w:t>Gn 36.26</w:t>
        </w:r>
      </w:hyperlink>
      <w:r>
        <w:t xml:space="preserve">; </w:t>
      </w:r>
      <w:hyperlink r:id="rId7357">
        <w:r>
          <w:rPr>
            <w:color w:val="0000EE"/>
            <w:u w:val="single"/>
          </w:rPr>
          <w:t>1Cr 1.41</w:t>
        </w:r>
      </w:hyperlink>
      <w:r>
        <w:t>).</w:t>
      </w:r>
      <w:r/>
      <w:r/>
    </w:p>
    <w:p>
      <w:r/>
    </w:p>
    <w:p>
      <w:pPr>
        <w:pStyle w:val="Heading2"/>
      </w:pPr>
      <w:r>
        <w:t>Esbom</w:t>
      </w:r>
      <w:r/>
    </w:p>
    <w:p>
      <w:r/>
      <w:r>
        <w:t>1. Filho de Gade (</w:t>
      </w:r>
      <w:hyperlink r:id="rId2469">
        <w:r>
          <w:rPr>
            <w:color w:val="0000EE"/>
            <w:u w:val="single"/>
          </w:rPr>
          <w:t>Gn 46.16</w:t>
        </w:r>
      </w:hyperlink>
      <w:r>
        <w:t xml:space="preserve">), chamado Ozni em </w:t>
      </w:r>
      <w:hyperlink r:id="rId8123">
        <w:r>
          <w:rPr>
            <w:color w:val="0000EE"/>
            <w:u w:val="single"/>
          </w:rPr>
          <w:t>Números 26.16</w:t>
        </w:r>
      </w:hyperlink>
      <w:r>
        <w:t>; possivelmente um epônimo de uma família gadita;</w:t>
      </w:r>
    </w:p>
    <w:p>
      <w:r/>
      <w:r>
        <w:t>2. Neto de Benjamim (</w:t>
      </w:r>
      <w:hyperlink r:id="rId8135">
        <w:r>
          <w:rPr>
            <w:color w:val="0000EE"/>
            <w:u w:val="single"/>
          </w:rPr>
          <w:t>1Cr 7.7</w:t>
        </w:r>
      </w:hyperlink>
      <w:r>
        <w:t xml:space="preserve">). Foi sugerido que </w:t>
      </w:r>
      <w:hyperlink r:id="rId8136">
        <w:r>
          <w:rPr>
            <w:color w:val="0000EE"/>
            <w:u w:val="single"/>
          </w:rPr>
          <w:t>1 Crônicas 7.6–11</w:t>
        </w:r>
      </w:hyperlink>
      <w:r>
        <w:t xml:space="preserve"> é uma genealogia de Zebulom atribuída a Benjamim por engano, e que Esbom sugere Ibsã (</w:t>
      </w:r>
      <w:hyperlink r:id="rId3353">
        <w:r>
          <w:rPr>
            <w:color w:val="0000EE"/>
            <w:u w:val="single"/>
          </w:rPr>
          <w:t>Jz 12.8–10</w:t>
        </w:r>
      </w:hyperlink>
      <w:r>
        <w:t>), um juiz menor de Belém.</w:t>
      </w:r>
      <w:r/>
      <w:r/>
    </w:p>
    <w:p>
      <w:r/>
    </w:p>
    <w:p>
      <w:pPr>
        <w:pStyle w:val="Heading2"/>
      </w:pPr>
      <w:r>
        <w:t>Escatologia</w:t>
      </w:r>
      <w:r/>
    </w:p>
    <w:p>
      <w:r/>
      <w:r>
        <w:t>Um ramo da teologia que se preocupa com o estudo das últimas coisas ou tempos finais. Essas crenças incluem:</w:t>
      </w:r>
    </w:p>
    <w:p>
      <w:pPr>
        <w:pStyle w:val="ListBullet"/>
        <w:spacing w:line="240" w:lineRule="auto"/>
        <w:ind w:left="720"/>
      </w:pPr>
      <w:r/>
      <w:r>
        <w:t>O que acontece quando as pessoas morrem?</w:t>
      </w:r>
    </w:p>
    <w:p>
      <w:pPr>
        <w:pStyle w:val="ListBullet"/>
        <w:spacing w:line="240" w:lineRule="auto"/>
        <w:ind w:left="720"/>
      </w:pPr>
      <w:r/>
      <w:r>
        <w:t>O que acontece quando Jesus retorna?</w:t>
      </w:r>
    </w:p>
    <w:p>
      <w:pPr>
        <w:pStyle w:val="ListBullet"/>
        <w:spacing w:line="240" w:lineRule="auto"/>
        <w:ind w:left="720"/>
      </w:pPr>
      <w:r/>
      <w:r>
        <w:t>Como será o destino final para ambos, indivíduos e o mundo inteiro</w:t>
      </w:r>
    </w:p>
    <w:p>
      <w:pPr>
        <w:pStyle w:val="Heading3"/>
      </w:pPr>
      <w:r>
        <w:t>Tópicos de escatologia</w:t>
      </w:r>
    </w:p>
    <w:p>
      <w:pPr>
        <w:pStyle w:val="Heading4"/>
      </w:pPr>
      <w:r>
        <w:t>Morte</w:t>
      </w:r>
    </w:p>
    <w:p>
      <w:r/>
      <w:r>
        <w:t>A Bíblia ensina que todos os humanos morrerão (</w:t>
      </w:r>
      <w:hyperlink r:id="rId2153">
        <w:r>
          <w:rPr>
            <w:color w:val="0000EE"/>
            <w:u w:val="single"/>
          </w:rPr>
          <w:t>Hb 9.27</w:t>
        </w:r>
      </w:hyperlink>
      <w:r>
        <w:t>). As únicas exceções serão aqueles que ainda estiverem vivos quando Cristo retornar (</w:t>
      </w:r>
      <w:hyperlink r:id="rId8137">
        <w:r>
          <w:rPr>
            <w:color w:val="0000EE"/>
            <w:u w:val="single"/>
          </w:rPr>
          <w:t>1Ts 4.17</w:t>
        </w:r>
      </w:hyperlink>
      <w:r>
        <w:t>). A morte física, ou a “primeira morte”, é a separação da alma do corpo. Devido à presença do pecado no mundo, todos devem morrer (</w:t>
      </w:r>
      <w:hyperlink r:id="rId4445">
        <w:r>
          <w:rPr>
            <w:color w:val="0000EE"/>
            <w:u w:val="single"/>
          </w:rPr>
          <w:t>Rm 5.12</w:t>
        </w:r>
      </w:hyperlink>
      <w:r>
        <w:t>).</w:t>
      </w:r>
    </w:p>
    <w:p>
      <w:pPr>
        <w:pStyle w:val="Heading4"/>
      </w:pPr>
      <w:r>
        <w:t>O estado intermediário</w:t>
      </w:r>
    </w:p>
    <w:p>
      <w:r/>
      <w:r>
        <w:t>Isso se refere à condição da pessoa entre o momento da morte e a ressurreição. A visão ortodoxa tradicional é que os crentes experimentam um estado de felicidade consciente na presença do Senhor. Os descrentes são atormentados pela separação da presença de Deus. No entanto, esse é um estado relativamente incompleto quando comparado ao destino final de cada um.</w:t>
      </w:r>
    </w:p>
    <w:p>
      <w:r/>
      <w:r>
        <w:t>Alguns grupos, como os Adventistas do Sétimo Dia, acreditam em um tipo de "sono da alma", ou inconsciência, entre a morte e a ressurreição. Outros, notadamente os Católicos Romanos, acreditam em um lugar de purificação em preparação para a vida futura.</w:t>
      </w:r>
    </w:p>
    <w:p>
      <w:pPr>
        <w:pStyle w:val="Heading4"/>
      </w:pPr>
      <w:r>
        <w:t>A segunda vinda</w:t>
      </w:r>
    </w:p>
    <w:p>
      <w:r/>
      <w:r>
        <w:t>As Escrituras ensinam que no fim dos tempos, Cristo retornará de forma pessoal e corporal (</w:t>
      </w:r>
      <w:hyperlink r:id="rId8138">
        <w:r>
          <w:rPr>
            <w:color w:val="0000EE"/>
            <w:u w:val="single"/>
          </w:rPr>
          <w:t>At 1.11</w:t>
        </w:r>
      </w:hyperlink>
      <w:r>
        <w:t>). Ninguém sabe exatamente quando isso ocorrerá e, consequentemente, pegará alguns de surpresa, vindo como um ladrão à noite (</w:t>
      </w:r>
      <w:hyperlink r:id="rId8139">
        <w:r>
          <w:rPr>
            <w:color w:val="0000EE"/>
            <w:u w:val="single"/>
          </w:rPr>
          <w:t>Lc 12.39–40</w:t>
        </w:r>
      </w:hyperlink>
      <w:r>
        <w:t xml:space="preserve">). O tempo é desconhecido, mas o fato de que isso ocorrerá é muito certo. Muitas das parábolas de Jesus referem-se a esse fato e à necessidade de uma atividade alerta, fiel e intensa. </w:t>
      </w:r>
      <w:hyperlink r:id="rId2030">
        <w:r>
          <w:rPr>
            <w:color w:val="0000EE"/>
            <w:u w:val="single"/>
          </w:rPr>
          <w:t>Mateus 24–25</w:t>
        </w:r>
      </w:hyperlink>
      <w:r>
        <w:t xml:space="preserve"> fornece um bom exemplo disso.</w:t>
      </w:r>
    </w:p>
    <w:p>
      <w:pPr>
        <w:pStyle w:val="Heading4"/>
      </w:pPr>
      <w:r>
        <w:t>A ressurreição</w:t>
      </w:r>
    </w:p>
    <w:p>
      <w:r/>
      <w:r>
        <w:t>Todos os que morreram voltarão à vida. Esta será uma ressurreição corporal, uma retomada da existência física de cada pessoa. Para os crentes, isso ocorrerá em conexão com a segunda vinda de Cristo. A ressurreição envolverá a transformação do corpo atual em um novo corpo, aperfeiçoado (</w:t>
      </w:r>
      <w:hyperlink r:id="rId8140">
        <w:r>
          <w:rPr>
            <w:color w:val="0000EE"/>
            <w:u w:val="single"/>
          </w:rPr>
          <w:t>1Co 15.35–56</w:t>
        </w:r>
      </w:hyperlink>
      <w:r>
        <w:t>). A Bíblia também indica uma ressurreição dos descrentes, para a morte eterna (</w:t>
      </w:r>
      <w:hyperlink r:id="rId8141">
        <w:r>
          <w:rPr>
            <w:color w:val="0000EE"/>
            <w:u w:val="single"/>
          </w:rPr>
          <w:t>Jo 5.28–29</w:t>
        </w:r>
      </w:hyperlink>
      <w:r>
        <w:t>).</w:t>
      </w:r>
    </w:p>
    <w:p>
      <w:pPr>
        <w:pStyle w:val="Heading4"/>
      </w:pPr>
      <w:r>
        <w:t>O julgamento</w:t>
      </w:r>
    </w:p>
    <w:p>
      <w:r/>
      <w:r>
        <w:t>Haverá um tempo de julgamento no qual o Senhor determinará a condição espiritual de todos os que viveram, baseado em seu relacionamento com Ele. Alguns serão enviados para a recompensa da eternidade e outros para o castigo eterno. Alguns teólogos distinguem entre os momentos em que crentes e descrentes serão julgados. Alguns veem até sete julgamentos diferentes ocorrendo.</w:t>
      </w:r>
    </w:p>
    <w:p>
      <w:pPr>
        <w:pStyle w:val="Heading4"/>
      </w:pPr>
      <w:r>
        <w:t>Céu</w:t>
      </w:r>
      <w:r>
        <w:t xml:space="preserve"> e </w:t>
      </w:r>
      <w:r>
        <w:t>inferno</w:t>
      </w:r>
    </w:p>
    <w:p>
      <w:r/>
      <w:r>
        <w:t>A Bíblia ensina sobre a existência do céu. O céu é um lugar de alegria eterna, onde os cristãos estão na presença de Deus. A Bíblia também menciona o inferno, que é chamado de Geena ou lago de fogo. O inferno é um estado de separação trágica dos descrentes da presença de Deus. Esses são estados permanentes determinados por decisões tomadas nesta vida.</w:t>
      </w:r>
    </w:p>
    <w:p>
      <w:pPr>
        <w:pStyle w:val="Heading4"/>
      </w:pPr>
      <w:r>
        <w:t>O milênio</w:t>
      </w:r>
    </w:p>
    <w:p>
      <w:r/>
      <w:r>
        <w:t xml:space="preserve">Muitos cristãos acreditam que haverá um reinado terrestre de Jesus Cristo, conhecido como Milênio, que precede imediatamente o julgamento final. Essa crença é baseada em </w:t>
      </w:r>
      <w:hyperlink r:id="rId8142">
        <w:r>
          <w:rPr>
            <w:color w:val="0000EE"/>
            <w:u w:val="single"/>
          </w:rPr>
          <w:t>Apocalipse 20.4–7</w:t>
        </w:r>
      </w:hyperlink>
      <w:r>
        <w:t>. Existem três principais visões sobre o Milênio:</w:t>
      </w:r>
    </w:p>
    <w:p>
      <w:pPr>
        <w:pStyle w:val="ListNumber"/>
        <w:spacing w:line="240" w:lineRule="auto"/>
        <w:ind w:left="720"/>
      </w:pPr>
      <w:r/>
      <w:r>
        <w:t>Pré-milenistas acreditam que Cristo retornará pessoalmente para inaugurar este período.</w:t>
      </w:r>
    </w:p>
    <w:p>
      <w:pPr>
        <w:pStyle w:val="ListNumber"/>
        <w:spacing w:line="240" w:lineRule="auto"/>
        <w:ind w:left="720"/>
      </w:pPr>
      <w:r/>
      <w:r>
        <w:t>Pós-milenistas. Eles acreditam que o reino será estabelecido por meio da pregação progressiva e bem-sucedida do evangelho.</w:t>
      </w:r>
    </w:p>
    <w:p>
      <w:pPr>
        <w:pStyle w:val="ListNumber"/>
        <w:spacing w:line="240" w:lineRule="auto"/>
        <w:ind w:left="720"/>
      </w:pPr>
      <w:r/>
      <w:r>
        <w:t xml:space="preserve">Amilenistas: Eles não acreditam que haverá qualquer reinado terreno de Cristo. Eles interpretam os 1.000 anos de </w:t>
      </w:r>
      <w:hyperlink r:id="rId8143">
        <w:r>
          <w:rPr>
            <w:color w:val="0000EE"/>
            <w:u w:val="single"/>
          </w:rPr>
          <w:t>Apocalipse 20</w:t>
        </w:r>
      </w:hyperlink>
      <w:r>
        <w:t xml:space="preserve"> de forma simbólica.</w:t>
      </w:r>
    </w:p>
    <w:p>
      <w:pPr>
        <w:pStyle w:val="Heading4"/>
      </w:pPr>
      <w:r>
        <w:t>A grande tribulação</w:t>
      </w:r>
    </w:p>
    <w:p>
      <w:r/>
      <w:r>
        <w:t xml:space="preserve">A Bíblia menciona um tempo de grande angústia ou tribulação. Este período virá sobre a terra, superando qualquer coisa que já tenha ocorrido antes. Alguns identificam isso com a 70ª semana de </w:t>
      </w:r>
      <w:hyperlink r:id="rId8144">
        <w:r>
          <w:rPr>
            <w:color w:val="0000EE"/>
            <w:u w:val="single"/>
          </w:rPr>
          <w:t>Daniel 9.24–27.</w:t>
        </w:r>
      </w:hyperlink>
      <w:r>
        <w:t xml:space="preserve"> Eles acreditam que terá a duração de sete anos. Alguns acreditam que a igreja estará presente para vivenciar isso porque o Senhor não retornará até o final do período. Estes são chamados de pós-tribulacionistas. Outros, conhecidos como pré-tribulacionistas, acreditam que a Segunda Vinda do Senhor será em duas etapas, ou fases:</w:t>
      </w:r>
    </w:p>
    <w:p>
      <w:pPr>
        <w:pStyle w:val="ListNumber"/>
        <w:spacing w:line="240" w:lineRule="auto"/>
        <w:ind w:left="720"/>
      </w:pPr>
      <w:r/>
      <w:r>
        <w:t>Cristo virá para sua igreja e levará os crentes antes da grande tribulação.</w:t>
      </w:r>
    </w:p>
    <w:p>
      <w:pPr>
        <w:pStyle w:val="ListNumber"/>
        <w:spacing w:line="240" w:lineRule="auto"/>
        <w:ind w:left="720"/>
      </w:pPr>
      <w:r/>
      <w:r>
        <w:t>Cristo então fará uma demonstração pública de sua glória diante de todo o mundo.</w:t>
      </w:r>
    </w:p>
    <w:p>
      <w:r/>
      <w:r>
        <w:t>Outros, conhecidos como meiotribulacionistas, acreditam que a igreja estará presente na primeira metade dos sete anos, mas será removida antes que a parte severa da tribulação comece.</w:t>
      </w:r>
    </w:p>
    <w:p>
      <w:r/>
      <w:r>
        <w:rPr>
          <w:i/>
        </w:rPr>
        <w:t>Veja também</w:t>
      </w:r>
      <w:r>
        <w:t xml:space="preserve"> </w:t>
      </w:r>
      <w:r>
        <w:t>Apocalíptico</w:t>
      </w:r>
      <w:r>
        <w:t xml:space="preserve">; </w:t>
      </w:r>
      <w:r>
        <w:t>Dia do Senhor</w:t>
      </w:r>
      <w:r>
        <w:t xml:space="preserve">; </w:t>
      </w:r>
      <w:r>
        <w:t>Morte</w:t>
      </w:r>
      <w:r>
        <w:t xml:space="preserve">; </w:t>
      </w:r>
      <w:r>
        <w:t>Vida Eterna</w:t>
      </w:r>
      <w:r>
        <w:t xml:space="preserve">; </w:t>
      </w:r>
      <w:r>
        <w:t>Céu</w:t>
      </w:r>
      <w:r>
        <w:t xml:space="preserve">; </w:t>
      </w:r>
      <w:r>
        <w:t>Inferno</w:t>
      </w:r>
      <w:r>
        <w:t xml:space="preserve">; </w:t>
      </w:r>
      <w:r>
        <w:t>Estado Intermediário</w:t>
      </w:r>
      <w:r>
        <w:t xml:space="preserve">; </w:t>
      </w:r>
      <w:r>
        <w:t>Julgamento</w:t>
      </w:r>
      <w:r>
        <w:t xml:space="preserve">; </w:t>
      </w:r>
      <w:r>
        <w:t>Últimos Dias</w:t>
      </w:r>
      <w:r>
        <w:t xml:space="preserve">; </w:t>
      </w:r>
      <w:r>
        <w:t>Juízo Final</w:t>
      </w:r>
      <w:r>
        <w:t xml:space="preserve">; </w:t>
      </w:r>
      <w:r>
        <w:t>Milênio</w:t>
      </w:r>
      <w:r>
        <w:t xml:space="preserve">; </w:t>
      </w:r>
      <w:r>
        <w:t>Ressurreição</w:t>
      </w:r>
      <w:r>
        <w:t xml:space="preserve">; </w:t>
      </w:r>
      <w:r>
        <w:t>Segunda Vinda de Cristo</w:t>
      </w:r>
      <w:r>
        <w:t xml:space="preserve">; </w:t>
      </w:r>
      <w:r>
        <w:t>Livro de Daniel</w:t>
      </w:r>
      <w:r>
        <w:t xml:space="preserve">; </w:t>
      </w:r>
      <w:r>
        <w:t>Tribulação</w:t>
      </w:r>
      <w:r>
        <w:t xml:space="preserve">; </w:t>
      </w:r>
      <w:r>
        <w:t>Ira de Deus</w:t>
      </w:r>
      <w:r>
        <w:t>.</w:t>
      </w:r>
      <w:r/>
      <w:r/>
    </w:p>
    <w:p>
      <w:r/>
    </w:p>
    <w:p>
      <w:pPr>
        <w:pStyle w:val="Heading2"/>
      </w:pPr>
      <w:r>
        <w:t>Escol (Lugar)</w:t>
      </w:r>
      <w:r/>
    </w:p>
    <w:p>
      <w:r/>
      <w:r>
        <w:t>Vale perto de Hebrom, de onde os espiões enviados por Moisés trouxeram romãs, figos e um grande cacho de uvas (</w:t>
      </w:r>
      <w:hyperlink r:id="rId8145">
        <w:r>
          <w:rPr>
            <w:color w:val="0000EE"/>
            <w:u w:val="single"/>
          </w:rPr>
          <w:t>Nm 13.23–24</w:t>
        </w:r>
      </w:hyperlink>
      <w:r>
        <w:t xml:space="preserve">; </w:t>
      </w:r>
      <w:hyperlink r:id="rId5669">
        <w:r>
          <w:rPr>
            <w:color w:val="0000EE"/>
            <w:u w:val="single"/>
          </w:rPr>
          <w:t>32.9</w:t>
        </w:r>
      </w:hyperlink>
      <w:r>
        <w:t xml:space="preserve">; </w:t>
      </w:r>
      <w:hyperlink r:id="rId8146">
        <w:r>
          <w:rPr>
            <w:color w:val="0000EE"/>
            <w:u w:val="single"/>
          </w:rPr>
          <w:t>Dt 1.24</w:t>
        </w:r>
      </w:hyperlink>
      <w:r>
        <w:t>). Este local pode ser identificado com ’Ain Eshkali, ao norte de Hebrom.</w:t>
      </w:r>
      <w:r/>
      <w:r/>
    </w:p>
    <w:p>
      <w:r/>
    </w:p>
    <w:p>
      <w:pPr>
        <w:pStyle w:val="Heading2"/>
      </w:pPr>
      <w:r>
        <w:t>Escol (Pessoa)</w:t>
      </w:r>
      <w:r/>
    </w:p>
    <w:p>
      <w:r/>
      <w:r>
        <w:t>Amorreu, junto com seus irmãos Manre e Aner, ajudou o patriarca Abraão a derrotar as forças de Quedorlaomer e resgatar Ló e sua família (</w:t>
      </w:r>
      <w:hyperlink r:id="rId755">
        <w:r>
          <w:rPr>
            <w:color w:val="0000EE"/>
            <w:u w:val="single"/>
          </w:rPr>
          <w:t>Gn 14.13,24</w:t>
        </w:r>
      </w:hyperlink>
      <w:r>
        <w:t>).</w:t>
      </w:r>
      <w:r/>
      <w:r/>
    </w:p>
    <w:p>
      <w:r/>
    </w:p>
    <w:p>
      <w:pPr>
        <w:pStyle w:val="Heading2"/>
      </w:pPr>
      <w:r>
        <w:t>Escrava, Empregada</w:t>
      </w:r>
      <w:r/>
    </w:p>
    <w:p>
      <w:r/>
      <w:r>
        <w:t>Servas. Elas eram membros familiares em muitas casas nos tempos bíblicos. A criada cuidava das mulheres e crianças de uma família e servia como atendente pessoal da mulher. Ela desfrutava da proteção da lei (</w:t>
      </w:r>
      <w:hyperlink r:id="rId8147">
        <w:r>
          <w:rPr>
            <w:color w:val="0000EE"/>
            <w:u w:val="single"/>
          </w:rPr>
          <w:t>Lv 25.6</w:t>
        </w:r>
      </w:hyperlink>
      <w:r>
        <w:t xml:space="preserve">; </w:t>
      </w:r>
      <w:hyperlink r:id="rId1614">
        <w:r>
          <w:rPr>
            <w:color w:val="0000EE"/>
            <w:u w:val="single"/>
          </w:rPr>
          <w:t>Dt 5.14</w:t>
        </w:r>
      </w:hyperlink>
      <w:r>
        <w:t xml:space="preserve">; </w:t>
      </w:r>
      <w:hyperlink r:id="rId8148">
        <w:r>
          <w:rPr>
            <w:color w:val="0000EE"/>
            <w:u w:val="single"/>
          </w:rPr>
          <w:t>15.12–15</w:t>
        </w:r>
      </w:hyperlink>
      <w:r>
        <w:t>), e como criada de uma esposa livre, às vezes se tornava concubina quando havia um casamento sem filhos (</w:t>
      </w:r>
      <w:hyperlink r:id="rId8149">
        <w:r>
          <w:rPr>
            <w:color w:val="0000EE"/>
            <w:u w:val="single"/>
          </w:rPr>
          <w:t>Gn 30.3</w:t>
        </w:r>
      </w:hyperlink>
      <w:r>
        <w:t>).</w:t>
      </w:r>
      <w:r/>
      <w:r/>
    </w:p>
    <w:p>
      <w:r/>
    </w:p>
    <w:p>
      <w:pPr>
        <w:pStyle w:val="Heading2"/>
      </w:pPr>
      <w:r>
        <w:t>Escravidão, Casa de</w:t>
      </w:r>
      <w:r/>
    </w:p>
    <w:p>
      <w:r/>
      <w:r>
        <w:t>Uma expressão usada no Antigo Testamento para descrever o Egito durante o período em que o povo israelita foi forçado a trabalhar como escravo lá. Este período durou cerca de 400 anos até que Deus ajudou os israelitas a escapar do Egito (</w:t>
      </w:r>
      <w:hyperlink r:id="rId8150">
        <w:r>
          <w:rPr>
            <w:color w:val="0000EE"/>
            <w:u w:val="single"/>
          </w:rPr>
          <w:t>Êx 13.3</w:t>
        </w:r>
      </w:hyperlink>
      <w:r>
        <w:t xml:space="preserve">; </w:t>
      </w:r>
      <w:hyperlink r:id="rId8151">
        <w:r>
          <w:rPr>
            <w:color w:val="0000EE"/>
            <w:u w:val="single"/>
          </w:rPr>
          <w:t>Js 24.17</w:t>
        </w:r>
      </w:hyperlink>
      <w:r>
        <w:t>).</w:t>
      </w:r>
    </w:p>
    <w:p>
      <w:r/>
      <w:r>
        <w:rPr>
          <w:i/>
        </w:rPr>
        <w:t>Veja</w:t>
      </w:r>
      <w:r>
        <w:t xml:space="preserve"> </w:t>
      </w:r>
      <w:r>
        <w:t>Êxodo, Livro de</w:t>
      </w:r>
      <w:r>
        <w:t>.</w:t>
      </w:r>
      <w:r/>
      <w:r/>
    </w:p>
    <w:p>
      <w:r/>
    </w:p>
    <w:p>
      <w:pPr>
        <w:pStyle w:val="Heading2"/>
      </w:pPr>
      <w:r>
        <w:t>Escravo, Escravidão</w:t>
      </w:r>
      <w:r/>
    </w:p>
    <w:p>
      <w:r/>
      <w:r>
        <w:t>Um escravo era uma pessoa possuída como propriedade por outra pessoa. A escravidão era o sistema que estabelecia essa relação entre proprietários de escravos e escravos.</w:t>
      </w:r>
    </w:p>
    <w:p>
      <w:r/>
      <w:r>
        <w:t>Nos tempos antigos, a escravidão era comum em todo o Oriente Próximo, embora essas sociedades não dependessem dela para sua economia. Na época do Império Romano, quando os primeiros cristãos viviam, a escravidão havia se tornado muito disseminada. Uma em cada duas pessoas era escrava.</w:t>
      </w:r>
    </w:p>
    <w:p>
      <w:pPr>
        <w:pStyle w:val="Heading3"/>
      </w:pPr>
      <w:r>
        <w:t>Como as pessoas se tornaram escravas?</w:t>
      </w:r>
    </w:p>
    <w:p>
      <w:r/>
      <w:r>
        <w:t>Desde pelo menos 3000 a.C., a maioria dos escravos era composta por pessoas capturadas durante guerras (</w:t>
      </w:r>
      <w:hyperlink r:id="rId8152">
        <w:r>
          <w:rPr>
            <w:color w:val="0000EE"/>
            <w:u w:val="single"/>
          </w:rPr>
          <w:t>Gn 14.21</w:t>
        </w:r>
      </w:hyperlink>
      <w:r>
        <w:t xml:space="preserve">; </w:t>
      </w:r>
      <w:hyperlink r:id="rId1518">
        <w:r>
          <w:rPr>
            <w:color w:val="0000EE"/>
            <w:u w:val="single"/>
          </w:rPr>
          <w:t>Nm 31.9</w:t>
        </w:r>
      </w:hyperlink>
      <w:r>
        <w:t xml:space="preserve">; </w:t>
      </w:r>
      <w:hyperlink r:id="rId8153">
        <w:r>
          <w:rPr>
            <w:color w:val="0000EE"/>
            <w:u w:val="single"/>
          </w:rPr>
          <w:t>Dt 20.14</w:t>
        </w:r>
      </w:hyperlink>
      <w:r>
        <w:t xml:space="preserve">; </w:t>
      </w:r>
      <w:hyperlink r:id="rId3857">
        <w:r>
          <w:rPr>
            <w:color w:val="0000EE"/>
            <w:u w:val="single"/>
          </w:rPr>
          <w:t>Jz 5.30</w:t>
        </w:r>
      </w:hyperlink>
      <w:r>
        <w:t xml:space="preserve">; </w:t>
      </w:r>
      <w:hyperlink r:id="rId8154">
        <w:r>
          <w:rPr>
            <w:color w:val="0000EE"/>
            <w:u w:val="single"/>
          </w:rPr>
          <w:t>1Sm 4.9</w:t>
        </w:r>
      </w:hyperlink>
      <w:r>
        <w:t xml:space="preserve">; </w:t>
      </w:r>
      <w:hyperlink r:id="rId8155">
        <w:r>
          <w:rPr>
            <w:color w:val="0000EE"/>
            <w:u w:val="single"/>
          </w:rPr>
          <w:t>2Rs 5.2</w:t>
        </w:r>
      </w:hyperlink>
      <w:r>
        <w:t xml:space="preserve">; </w:t>
      </w:r>
      <w:hyperlink r:id="rId8156">
        <w:r>
          <w:rPr>
            <w:color w:val="0000EE"/>
            <w:u w:val="single"/>
          </w:rPr>
          <w:t>2Cr 28.8</w:t>
        </w:r>
      </w:hyperlink>
      <w:r>
        <w:t>). Esses cativos se tornavam propriedade daqueles que os capturavam.</w:t>
      </w:r>
    </w:p>
    <w:p>
      <w:r/>
      <w:r>
        <w:t>As pessoas podiam comprar escravos localmente de outros proprietários de escravos. Elas também podiam adquiri-los de comerciantes estrangeiros que viajavam vendendo escravos, junto com tecidos, itens de bronze e outros bens (</w:t>
      </w:r>
      <w:hyperlink r:id="rId8157">
        <w:r>
          <w:rPr>
            <w:color w:val="0000EE"/>
            <w:u w:val="single"/>
          </w:rPr>
          <w:t>Jl 3.4–8</w:t>
        </w:r>
      </w:hyperlink>
      <w:r>
        <w:t>). Foi assim que os irmãos de José o venderam para comerciantes viajantes (chamados ismaelitas ou midianitas), que então o venderam para um egípcio (</w:t>
      </w:r>
      <w:hyperlink r:id="rId8158">
        <w:r>
          <w:rPr>
            <w:color w:val="0000EE"/>
            <w:u w:val="single"/>
          </w:rPr>
          <w:t>Gn 37.36</w:t>
        </w:r>
      </w:hyperlink>
      <w:r>
        <w:t xml:space="preserve">; </w:t>
      </w:r>
      <w:hyperlink r:id="rId8159">
        <w:r>
          <w:rPr>
            <w:color w:val="0000EE"/>
            <w:u w:val="single"/>
          </w:rPr>
          <w:t>39.1</w:t>
        </w:r>
      </w:hyperlink>
      <w:r>
        <w:t>).</w:t>
      </w:r>
    </w:p>
    <w:p>
      <w:r/>
      <w:r>
        <w:t>A dívida era a principal razão pela qual muitas famílias se tornavam escravas. Se alguém não pudesse pagar o que devia, toda a sua família poderia ser forçada a se tornar escrava (</w:t>
      </w:r>
      <w:hyperlink r:id="rId3080">
        <w:r>
          <w:rPr>
            <w:color w:val="0000EE"/>
            <w:u w:val="single"/>
          </w:rPr>
          <w:t>2Rs 4.1</w:t>
        </w:r>
      </w:hyperlink>
      <w:r>
        <w:t xml:space="preserve">; </w:t>
      </w:r>
      <w:hyperlink r:id="rId7212">
        <w:r>
          <w:rPr>
            <w:color w:val="0000EE"/>
            <w:u w:val="single"/>
          </w:rPr>
          <w:t>Ne 5.5–8</w:t>
        </w:r>
      </w:hyperlink>
      <w:r>
        <w:t>). A Seção 117 do código de leis de Hamurabi (um antigo conjunto de leis) dizia que uma família não poderia ser mantida como escrava por mais de três anos. A lei hebraica permitia que os donos de escravos mantivessem pessoas por até seis anos (</w:t>
      </w:r>
      <w:hyperlink r:id="rId8160">
        <w:r>
          <w:rPr>
            <w:color w:val="0000EE"/>
            <w:u w:val="single"/>
          </w:rPr>
          <w:t>Dt 15.18</w:t>
        </w:r>
      </w:hyperlink>
      <w:r>
        <w:t>).</w:t>
      </w:r>
    </w:p>
    <w:p>
      <w:r/>
      <w:r>
        <w:t>Algumas pessoas optaram por se tornar escravas para escapar da pobreza extrema e da fome (</w:t>
      </w:r>
      <w:hyperlink r:id="rId8161">
        <w:r>
          <w:rPr>
            <w:color w:val="0000EE"/>
            <w:u w:val="single"/>
          </w:rPr>
          <w:t>Lv 25.47–48</w:t>
        </w:r>
      </w:hyperlink>
      <w:r>
        <w:t>). Isso era chamado de escravidão voluntária e era comum nos tempos antigos.</w:t>
      </w:r>
    </w:p>
    <w:p>
      <w:r/>
      <w:r>
        <w:t>Era um crime sequestrar e vender uma pessoa como escrava. Os irmãos de José eram culpados desse crime (</w:t>
      </w:r>
      <w:hyperlink r:id="rId8162">
        <w:r>
          <w:rPr>
            <w:color w:val="0000EE"/>
            <w:u w:val="single"/>
          </w:rPr>
          <w:t>Gn 37.27–28</w:t>
        </w:r>
      </w:hyperlink>
      <w:r>
        <w:t xml:space="preserve">). Tanto o código de leis de Hamurabi (Seção 14) quanto a lei de Moisés (veja </w:t>
      </w:r>
      <w:hyperlink r:id="rId8163">
        <w:r>
          <w:rPr>
            <w:color w:val="0000EE"/>
            <w:u w:val="single"/>
          </w:rPr>
          <w:t>Êx 21.11</w:t>
        </w:r>
      </w:hyperlink>
      <w:r>
        <w:t xml:space="preserve">; </w:t>
      </w:r>
      <w:hyperlink r:id="rId8164">
        <w:r>
          <w:rPr>
            <w:color w:val="0000EE"/>
            <w:u w:val="single"/>
          </w:rPr>
          <w:t>Dt 24.7</w:t>
        </w:r>
      </w:hyperlink>
      <w:r>
        <w:t>) determinavam que as pessoas que cometiam esse crime deveriam ser condenadas à morte.</w:t>
      </w:r>
    </w:p>
    <w:p>
      <w:pPr>
        <w:pStyle w:val="Heading3"/>
      </w:pPr>
      <w:r>
        <w:t>Vida como escravo</w:t>
      </w:r>
    </w:p>
    <w:p>
      <w:r/>
      <w:r>
        <w:t>Na sociedade suméria (uma das primeiras civilizações), os escravos tinham certos direitos. Eles podiam pedir dinheiro emprestado e realizar negócios. Um escravo geralmente custava menos do que um burro forte, o que significava que os escravos às vezes conseguiam economizar dinheiro suficiente para comprar sua liberdade.</w:t>
      </w:r>
    </w:p>
    <w:p>
      <w:r/>
      <w:r>
        <w:t>A maioria dos escravos trabalhava arduamente em fazendas ou em casas, realizando tarefas diárias difíceis. No entanto, alguns escravos qualificados recebiam trabalhos importantes, gerenciando a casa de seus proprietários.</w:t>
      </w:r>
    </w:p>
    <w:p>
      <w:r/>
      <w:r>
        <w:t>As leis determinavam que os escravos deveriam ser libertados após um certo tempo, mas os proprietários nem sempre seguiam essas regras. Sob a lei hebraica, uma pessoa hebraica que se tornasse escrava por escolha seria libertada no próximo ano do jubileu (um ano especial que ocorria a cada 50 anos). A lei estipulava que nenhum hebreu deveria permanecer escravo por toda a vida (</w:t>
      </w:r>
      <w:hyperlink r:id="rId7381">
        <w:r>
          <w:rPr>
            <w:color w:val="0000EE"/>
            <w:u w:val="single"/>
          </w:rPr>
          <w:t>Êx 21.2</w:t>
        </w:r>
      </w:hyperlink>
      <w:r>
        <w:t xml:space="preserve">; </w:t>
      </w:r>
      <w:hyperlink r:id="rId8165">
        <w:r>
          <w:rPr>
            <w:color w:val="0000EE"/>
            <w:u w:val="single"/>
          </w:rPr>
          <w:t>Lv 25.10–13</w:t>
        </w:r>
      </w:hyperlink>
      <w:r>
        <w:t xml:space="preserve">; </w:t>
      </w:r>
      <w:hyperlink r:id="rId8166">
        <w:r>
          <w:rPr>
            <w:color w:val="0000EE"/>
            <w:u w:val="single"/>
          </w:rPr>
          <w:t>Dt 15.12–14</w:t>
        </w:r>
      </w:hyperlink>
      <w:r>
        <w:t>).</w:t>
      </w:r>
    </w:p>
    <w:p>
      <w:r/>
      <w:r>
        <w:t>Os israelitas criaram leis para proteger os escravos de tratamentos cruéis por parte de seus donos ou supervisores. Se um dono ferisse permanentemente um escravo, a lei exigia que o escravo fosse libertado (</w:t>
      </w:r>
      <w:hyperlink r:id="rId7217">
        <w:r>
          <w:rPr>
            <w:color w:val="0000EE"/>
            <w:u w:val="single"/>
          </w:rPr>
          <w:t>Êx 21.26–27</w:t>
        </w:r>
      </w:hyperlink>
      <w:r>
        <w:t>). Escravos hebreus não eram comuns nas casas israelitas. Quando trabalhavam em lares, muitas vezes trabalhavam nos campos ao lado de seus donos. Muitos escravos domésticos tinham melhores condições de vida do que as pessoas livres mais pobres, que frequentemente enfrentavam fome e extrema pobreza.</w:t>
      </w:r>
    </w:p>
    <w:p>
      <w:pPr>
        <w:pStyle w:val="Heading3"/>
      </w:pPr>
      <w:r>
        <w:t>Escravidão nos tempos gregos e romanos</w:t>
      </w:r>
    </w:p>
    <w:p>
      <w:r/>
      <w:r>
        <w:t>Durante os tempos gregos e romanos, o número de escravos aumentou significativamente. Os escravos domésticos (aqueles que trabalhavam nas casas das pessoas) geralmente eram tratados melhor do que outros escravos. Muitos se tornaram servos de confiança e conselheiros próximos de seus donos. Alguns escravos até tiveram permissão para iniciar negócios, o que gerava dinheiro tanto para eles quanto para seus proprietários.</w:t>
      </w:r>
    </w:p>
    <w:p>
      <w:pPr>
        <w:pStyle w:val="Heading3"/>
      </w:pPr>
      <w:r>
        <w:t>Casos especiais de escravidão</w:t>
      </w:r>
    </w:p>
    <w:p>
      <w:r/>
      <w:r>
        <w:t>Registros antigos das cidades de Ur e Nuzi, juntamente com o livro de Gênesis, mostram que quando uma esposa não podia ter filhos, sua escrava poderia ter filhos para seu marido (</w:t>
      </w:r>
      <w:hyperlink r:id="rId8167">
        <w:r>
          <w:rPr>
            <w:color w:val="0000EE"/>
            <w:u w:val="single"/>
          </w:rPr>
          <w:t>Gn 16.2–4</w:t>
        </w:r>
      </w:hyperlink>
      <w:r>
        <w:t>). De acordo com a lei, um mestre hebreu poderia concordar em se casar com uma jovem escrava. Ele também poderia fazer com que seu próprio filho se casasse com ela. Ou ele poderia torná-la sua concubina (uma mulher que vivia com um homem, mas tinha menos direitos do que uma esposa). Se mais tarde ele a rejeitasse, ou se não cumprisse seu acordo, ela seria libertada da escravidão (</w:t>
      </w:r>
      <w:hyperlink r:id="rId8168">
        <w:r>
          <w:rPr>
            <w:color w:val="0000EE"/>
            <w:u w:val="single"/>
          </w:rPr>
          <w:t>Êx 21.7–11</w:t>
        </w:r>
      </w:hyperlink>
      <w:r>
        <w:t>).</w:t>
      </w:r>
    </w:p>
    <w:p>
      <w:r/>
      <w:r>
        <w:t>O governo exigia que os povos conquistados realizassem trabalho forçado (</w:t>
      </w:r>
      <w:hyperlink r:id="rId1142">
        <w:r>
          <w:rPr>
            <w:color w:val="0000EE"/>
            <w:u w:val="single"/>
          </w:rPr>
          <w:t>2Sm 12.31</w:t>
        </w:r>
      </w:hyperlink>
      <w:r>
        <w:t xml:space="preserve">; </w:t>
      </w:r>
      <w:hyperlink r:id="rId8169">
        <w:r>
          <w:rPr>
            <w:color w:val="0000EE"/>
            <w:u w:val="single"/>
          </w:rPr>
          <w:t>1Rs 9.15,21–23</w:t>
        </w:r>
      </w:hyperlink>
      <w:r>
        <w:t>). Até mesmo os próprios israelitas tiveram que fazer trabalho forçado no Líbano (</w:t>
      </w:r>
      <w:hyperlink r:id="rId8170">
        <w:r>
          <w:rPr>
            <w:color w:val="0000EE"/>
            <w:u w:val="single"/>
          </w:rPr>
          <w:t>1Rs 5.13–18</w:t>
        </w:r>
      </w:hyperlink>
      <w:r>
        <w:t>). Algumas pessoas capturadas, como os midianitas e gibeonitas, foram obrigadas a trabalhar no Templo (</w:t>
      </w:r>
      <w:hyperlink r:id="rId8171">
        <w:r>
          <w:rPr>
            <w:color w:val="0000EE"/>
            <w:u w:val="single"/>
          </w:rPr>
          <w:t>Nm 31.28–30,47</w:t>
        </w:r>
      </w:hyperlink>
      <w:r>
        <w:t xml:space="preserve">; </w:t>
      </w:r>
      <w:hyperlink r:id="rId8172">
        <w:r>
          <w:rPr>
            <w:color w:val="0000EE"/>
            <w:u w:val="single"/>
          </w:rPr>
          <w:t>Js 9.23–25</w:t>
        </w:r>
      </w:hyperlink>
      <w:r>
        <w:t>). Essa prática continuou durante o tempo dos reis Davi e Salomão (</w:t>
      </w:r>
      <w:hyperlink r:id="rId8173">
        <w:r>
          <w:rPr>
            <w:color w:val="0000EE"/>
            <w:u w:val="single"/>
          </w:rPr>
          <w:t>Ed 2.58</w:t>
        </w:r>
      </w:hyperlink>
      <w:r>
        <w:t xml:space="preserve">; </w:t>
      </w:r>
      <w:hyperlink r:id="rId8174">
        <w:r>
          <w:rPr>
            <w:color w:val="0000EE"/>
            <w:u w:val="single"/>
          </w:rPr>
          <w:t>8.20</w:t>
        </w:r>
      </w:hyperlink>
      <w:r>
        <w:t>). Escravos estrangeiros ajudaram a reparar os muros de Jerusalém (</w:t>
      </w:r>
      <w:hyperlink r:id="rId8175">
        <w:r>
          <w:rPr>
            <w:color w:val="0000EE"/>
            <w:u w:val="single"/>
          </w:rPr>
          <w:t>Ne 3.26,31</w:t>
        </w:r>
      </w:hyperlink>
      <w:r>
        <w:t>).</w:t>
      </w:r>
    </w:p>
    <w:p>
      <w:pPr>
        <w:pStyle w:val="Heading3"/>
      </w:pPr>
      <w:r>
        <w:t>Escravidão no Novo Testamento</w:t>
      </w:r>
    </w:p>
    <w:p>
      <w:r/>
      <w:r>
        <w:t>O Novo Testamento indica uma mudança de atitude em relação à escravidão. A condição de um escravo tornou-se mais parecida com a de um servo. A escravidão estava se tornando menos comum. Jesus e os apóstolos não se opuseram diretamente à escravidão, mas deram instruções sobre ela. Eles disseram aos escravos e servos para servirem seus senhores fielmente. Também disseram aos senhores para tratarem seus escravos com bondade e justiça (</w:t>
      </w:r>
      <w:hyperlink r:id="rId8176">
        <w:r>
          <w:rPr>
            <w:color w:val="0000EE"/>
            <w:u w:val="single"/>
          </w:rPr>
          <w:t>Ef 6.9</w:t>
        </w:r>
      </w:hyperlink>
      <w:r>
        <w:t xml:space="preserve">; </w:t>
      </w:r>
      <w:hyperlink r:id="rId8177">
        <w:r>
          <w:rPr>
            <w:color w:val="0000EE"/>
            <w:u w:val="single"/>
          </w:rPr>
          <w:t>Cl 4.1</w:t>
        </w:r>
      </w:hyperlink>
      <w:r>
        <w:t xml:space="preserve">; </w:t>
      </w:r>
      <w:hyperlink r:id="rId8178">
        <w:r>
          <w:rPr>
            <w:color w:val="0000EE"/>
            <w:u w:val="single"/>
          </w:rPr>
          <w:t>1Tm 6.2</w:t>
        </w:r>
      </w:hyperlink>
      <w:r>
        <w:t xml:space="preserve">; </w:t>
      </w:r>
      <w:hyperlink r:id="rId4296">
        <w:r>
          <w:rPr>
            <w:color w:val="0000EE"/>
            <w:u w:val="single"/>
          </w:rPr>
          <w:t>Fm 1.16</w:t>
        </w:r>
      </w:hyperlink>
      <w:r>
        <w:t xml:space="preserve">). Paulo nunca pregou contra a escravidão. No entanto, ele escreveu uma carta para tentar libertar um escravo chamado Onésimo. É por isso que Paulo escreveu a carta a Filemom (veja a discussão sobre isso em </w:t>
      </w:r>
      <w:r>
        <w:t>Carta a Filemom</w:t>
      </w:r>
      <w:r>
        <w:t>).</w:t>
      </w:r>
    </w:p>
    <w:p>
      <w:r/>
      <w:r>
        <w:rPr>
          <w:i/>
        </w:rPr>
        <w:t>Veja também</w:t>
      </w:r>
      <w:r>
        <w:t xml:space="preserve"> </w:t>
      </w:r>
      <w:r>
        <w:t>Vínculo, Escravidão</w:t>
      </w:r>
      <w:r>
        <w:t xml:space="preserve">; </w:t>
      </w:r>
      <w:r>
        <w:t>Liberdade</w:t>
      </w:r>
      <w:r>
        <w:t>.</w:t>
      </w:r>
      <w:r/>
      <w:r/>
    </w:p>
    <w:p>
      <w:r/>
    </w:p>
    <w:p>
      <w:pPr>
        <w:pStyle w:val="Heading2"/>
      </w:pPr>
      <w:r>
        <w:t>Escriba</w:t>
      </w:r>
      <w:r/>
    </w:p>
    <w:p>
      <w:r/>
      <w:r>
        <w:t>Referência nos primeiros tempos do AT aos empregados por sua capacidade de transcrever informações. Após o exílio, os escribas eram uma classe de estudiosos que ensinavam, copiavam e interpretavam a lei judaica para o povo. Eles aparecem nos Evangelhos primariamente como oponentes de Jesus.</w:t>
      </w:r>
    </w:p>
    <w:p>
      <w:pPr>
        <w:pStyle w:val="Heading3"/>
      </w:pPr>
      <w:r>
        <w:t>Escribas nos tempos pré-exílicos</w:t>
      </w:r>
    </w:p>
    <w:p>
      <w:r/>
      <w:r>
        <w:t>A capacidade de ler e escrever não era generalizada no antigo Israel, e secretários profissionais eram necessários nos vários aspectos da vida pública. Esta parece ser a noção bíblica mais antiga do termo “escriba” e não tem conotação religiosa específica. Os escribas foram empregados para manter contas ou transcrever informações legais (</w:t>
      </w:r>
      <w:hyperlink r:id="rId8179">
        <w:r>
          <w:rPr>
            <w:color w:val="0000EE"/>
            <w:u w:val="single"/>
          </w:rPr>
          <w:t>Jr 32:12</w:t>
        </w:r>
      </w:hyperlink>
      <w:r>
        <w:t>), dados militares (</w:t>
      </w:r>
      <w:hyperlink r:id="rId8180">
        <w:r>
          <w:rPr>
            <w:color w:val="0000EE"/>
            <w:u w:val="single"/>
          </w:rPr>
          <w:t>2Cr 26:11</w:t>
        </w:r>
      </w:hyperlink>
      <w:r>
        <w:t>), outros documentos públicos (</w:t>
      </w:r>
      <w:hyperlink r:id="rId7605">
        <w:r>
          <w:rPr>
            <w:color w:val="0000EE"/>
            <w:u w:val="single"/>
          </w:rPr>
          <w:t>Jz 8:14</w:t>
        </w:r>
      </w:hyperlink>
      <w:r>
        <w:t xml:space="preserve">; </w:t>
      </w:r>
      <w:hyperlink r:id="rId3083">
        <w:r>
          <w:rPr>
            <w:color w:val="0000EE"/>
            <w:u w:val="single"/>
          </w:rPr>
          <w:t>Is 50:1</w:t>
        </w:r>
      </w:hyperlink>
      <w:r>
        <w:t>), ou correspondência pessoal (</w:t>
      </w:r>
      <w:hyperlink r:id="rId8181">
        <w:r>
          <w:rPr>
            <w:color w:val="0000EE"/>
            <w:u w:val="single"/>
          </w:rPr>
          <w:t>Jr 36:18</w:t>
        </w:r>
      </w:hyperlink>
      <w:r>
        <w:t>). Esses secretários eram essenciais para as administrações reais, e há menção frequente de um escriba-chefe que funcionava como um gravador da corte (</w:t>
      </w:r>
      <w:hyperlink r:id="rId8182">
        <w:r>
          <w:rPr>
            <w:color w:val="0000EE"/>
            <w:u w:val="single"/>
          </w:rPr>
          <w:t>1Rs 4:3</w:t>
        </w:r>
      </w:hyperlink>
      <w:r>
        <w:t xml:space="preserve">; </w:t>
      </w:r>
      <w:hyperlink r:id="rId8183">
        <w:r>
          <w:rPr>
            <w:color w:val="0000EE"/>
            <w:u w:val="single"/>
          </w:rPr>
          <w:t>2Cr 24:11</w:t>
        </w:r>
      </w:hyperlink>
      <w:r>
        <w:t>), conselheiro (</w:t>
      </w:r>
      <w:hyperlink r:id="rId8184">
        <w:r>
          <w:rPr>
            <w:color w:val="0000EE"/>
            <w:u w:val="single"/>
          </w:rPr>
          <w:t>2Sm 8:16–17</w:t>
        </w:r>
      </w:hyperlink>
      <w:r>
        <w:t xml:space="preserve">; </w:t>
      </w:r>
      <w:hyperlink r:id="rId8185">
        <w:r>
          <w:rPr>
            <w:color w:val="0000EE"/>
            <w:u w:val="single"/>
          </w:rPr>
          <w:t>2Rs 18:18</w:t>
        </w:r>
      </w:hyperlink>
      <w:r>
        <w:t xml:space="preserve">; </w:t>
      </w:r>
      <w:hyperlink r:id="rId8186">
        <w:r>
          <w:rPr>
            <w:color w:val="0000EE"/>
            <w:u w:val="single"/>
          </w:rPr>
          <w:t>22:12</w:t>
        </w:r>
      </w:hyperlink>
      <w:r>
        <w:t xml:space="preserve">; </w:t>
      </w:r>
      <w:hyperlink r:id="rId8187">
        <w:r>
          <w:rPr>
            <w:color w:val="0000EE"/>
            <w:u w:val="single"/>
          </w:rPr>
          <w:t>1Cr 27:32</w:t>
        </w:r>
      </w:hyperlink>
      <w:r>
        <w:t xml:space="preserve">; </w:t>
      </w:r>
      <w:hyperlink r:id="rId8188">
        <w:r>
          <w:rPr>
            <w:color w:val="0000EE"/>
            <w:u w:val="single"/>
          </w:rPr>
          <w:t>Is 36:3</w:t>
        </w:r>
      </w:hyperlink>
      <w:r>
        <w:t>) e superintendente financeiro (</w:t>
      </w:r>
      <w:hyperlink r:id="rId8189">
        <w:r>
          <w:rPr>
            <w:color w:val="0000EE"/>
            <w:u w:val="single"/>
          </w:rPr>
          <w:t>2Rs 22.3–4</w:t>
        </w:r>
      </w:hyperlink>
      <w:r>
        <w:t>). Os secretários ou escribas também estavam associados com o sacerdócio, servindo como registradores dos assuntos do templo (</w:t>
      </w:r>
      <w:hyperlink r:id="rId72">
        <w:r>
          <w:rPr>
            <w:color w:val="0000EE"/>
            <w:u w:val="single"/>
          </w:rPr>
          <w:t>1Cr 24.6</w:t>
        </w:r>
      </w:hyperlink>
      <w:r>
        <w:t xml:space="preserve">; </w:t>
      </w:r>
      <w:hyperlink r:id="rId8190">
        <w:r>
          <w:rPr>
            <w:color w:val="0000EE"/>
            <w:u w:val="single"/>
          </w:rPr>
          <w:t>2Cr 34.13–15</w:t>
        </w:r>
      </w:hyperlink>
      <w:r>
        <w:t>).</w:t>
      </w:r>
    </w:p>
    <w:p>
      <w:pPr>
        <w:pStyle w:val="Heading3"/>
      </w:pPr>
      <w:r>
        <w:t>Escribas nos tempos pós-exílicos</w:t>
      </w:r>
    </w:p>
    <w:p>
      <w:r/>
      <w:r>
        <w:t>Com a restauração do judaísmo sob Esdras e Neemias, o termo “escriba” começa a ser associado mais estreitamente com aqueles que se reuniam, estudavam e interpretavam a Torá (lei judaica). Eles se tornaram, em essência, uma profissão separada de mestres (embora não remunerados), capazes de preservar com precisão a lei de Moisés e interpretá-la para atender às condições nos tempos pós-exílicos. Neste período inicial, o próprio Esdras aparece como o ideal “o mestre da Lei, que conhecia bem todas as leis e mandamentos que o SENHOR tinha dado a Israel” (</w:t>
      </w:r>
      <w:hyperlink r:id="rId8191">
        <w:r>
          <w:rPr>
            <w:color w:val="0000EE"/>
            <w:u w:val="single"/>
          </w:rPr>
          <w:t>Ed 7.11</w:t>
        </w:r>
      </w:hyperlink>
      <w:r>
        <w:t>). Em Eclesiástico, o escriba é retratado como alguém que, por causa de seu estudo diligente da Lei, dos Profetas e dos Escritos (</w:t>
      </w:r>
      <w:hyperlink r:id="rId8192">
        <w:r>
          <w:rPr>
            <w:color w:val="0000EE"/>
            <w:u w:val="single"/>
          </w:rPr>
          <w:t>Eclo 38.24ss</w:t>
        </w:r>
      </w:hyperlink>
      <w:r>
        <w:t xml:space="preserve">; </w:t>
      </w:r>
      <w:hyperlink r:id="rId8193">
        <w:r>
          <w:rPr>
            <w:color w:val="0000EE"/>
            <w:u w:val="single"/>
          </w:rPr>
          <w:t>39.1</w:t>
        </w:r>
      </w:hyperlink>
      <w:r>
        <w:t>), é capaz de penetrar nos significados escondidos dos textos (</w:t>
      </w:r>
      <w:hyperlink r:id="rId8194">
        <w:r>
          <w:rPr>
            <w:color w:val="0000EE"/>
            <w:u w:val="single"/>
          </w:rPr>
          <w:t>39.2–3</w:t>
        </w:r>
      </w:hyperlink>
      <w:r>
        <w:t>) e, portanto, é capaz de servir como juiz e conselho para os assuntos do povo e do estado (</w:t>
      </w:r>
      <w:hyperlink r:id="rId8195">
        <w:r>
          <w:rPr>
            <w:color w:val="0000EE"/>
            <w:u w:val="single"/>
          </w:rPr>
          <w:t>38.33</w:t>
        </w:r>
      </w:hyperlink>
      <w:r>
        <w:t xml:space="preserve">; </w:t>
      </w:r>
      <w:hyperlink r:id="rId8196">
        <w:r>
          <w:rPr>
            <w:color w:val="0000EE"/>
            <w:u w:val="single"/>
          </w:rPr>
          <w:t>39.4–8</w:t>
        </w:r>
      </w:hyperlink>
      <w:r>
        <w:t>). Por causa de seu lugar inestimável em uma sociedade governada pela Torá, o escriba é digno de louvor e veneração ao longo das gerações seguintes (</w:t>
      </w:r>
      <w:hyperlink r:id="rId8197">
        <w:r>
          <w:rPr>
            <w:color w:val="0000EE"/>
            <w:u w:val="single"/>
          </w:rPr>
          <w:t>39.9</w:t>
        </w:r>
      </w:hyperlink>
      <w:r>
        <w:t>). No segundo século a.C., os escribas eram uma classe bastante distinta na sociedade judaica. Eles aparecem como tal durante as guerras dos Macabeus, agindo como um órgão de negociação com os sírios rivais (</w:t>
      </w:r>
      <w:hyperlink r:id="rId8198">
        <w:r>
          <w:rPr>
            <w:color w:val="0000EE"/>
            <w:u w:val="single"/>
          </w:rPr>
          <w:t>1Mc 7.12</w:t>
        </w:r>
      </w:hyperlink>
      <w:r>
        <w:t xml:space="preserve">). Também é significativo que, de agora em diante, a história do escriba na vida judaica esteja intimamente ligada com a ascensão dos fariseus. Embora aparentemente houvesse alguns escribas afiliados ao partido saduceu rival, o partido dos fariseus, com sua devoção absoluta à lei (incluindo a lei oral), se tornou a principal afiliação político-religiosa para os escribas (veja a conexão próxima no NT: </w:t>
      </w:r>
      <w:hyperlink r:id="rId4605">
        <w:r>
          <w:rPr>
            <w:color w:val="0000EE"/>
            <w:u w:val="single"/>
          </w:rPr>
          <w:t>Mt 5.20</w:t>
        </w:r>
      </w:hyperlink>
      <w:r>
        <w:t xml:space="preserve">; </w:t>
      </w:r>
      <w:hyperlink r:id="rId8199">
        <w:r>
          <w:rPr>
            <w:color w:val="0000EE"/>
            <w:u w:val="single"/>
          </w:rPr>
          <w:t>12.38</w:t>
        </w:r>
      </w:hyperlink>
      <w:r>
        <w:t xml:space="preserve">; </w:t>
      </w:r>
      <w:hyperlink r:id="rId8200">
        <w:r>
          <w:rPr>
            <w:color w:val="0000EE"/>
            <w:u w:val="single"/>
          </w:rPr>
          <w:t>15.1</w:t>
        </w:r>
      </w:hyperlink>
      <w:r>
        <w:t xml:space="preserve">; </w:t>
      </w:r>
      <w:hyperlink r:id="rId8201">
        <w:r>
          <w:rPr>
            <w:color w:val="0000EE"/>
            <w:u w:val="single"/>
          </w:rPr>
          <w:t>Mc 7.5</w:t>
        </w:r>
      </w:hyperlink>
      <w:r>
        <w:t xml:space="preserve">; </w:t>
      </w:r>
      <w:hyperlink r:id="rId8202">
        <w:r>
          <w:rPr>
            <w:color w:val="0000EE"/>
            <w:u w:val="single"/>
          </w:rPr>
          <w:t>Lc 6.7</w:t>
        </w:r>
      </w:hyperlink>
      <w:r>
        <w:t>).</w:t>
      </w:r>
    </w:p>
    <w:p>
      <w:pPr>
        <w:pStyle w:val="Heading3"/>
      </w:pPr>
      <w:r>
        <w:t>Treinamento e posição</w:t>
      </w:r>
    </w:p>
    <w:p>
      <w:r/>
      <w:r>
        <w:t>O treinamento de escribas inicialmente ocorreu dentro de guildas sacerdotais baseadas na família que garantiam a regulamentação e perpetuação desta posição (</w:t>
      </w:r>
      <w:hyperlink r:id="rId8203">
        <w:r>
          <w:rPr>
            <w:color w:val="0000EE"/>
            <w:u w:val="single"/>
          </w:rPr>
          <w:t>1Cr 2.55</w:t>
        </w:r>
      </w:hyperlink>
      <w:r>
        <w:t xml:space="preserve">). Mais tarde, o treinamento de escribas na lei tornou-se aberto a membros de todas as classes, com o eventual resultado, na época de Jesus, de escribas de famílias não-sacerdotais sendo muito mais numerosos e influentes. O treinamento na lei começava em uma idade precoce, sob a supervisão pessoal de um mestre (rabi), que dava instruções em todos os assuntos pertencentes à lei e sua interpretação para as necessidades presentes. Como a lei escrita de Moisés não poderia falar diretamente com as condições nos tempos pós-exílicos, a interpretação oral e aplicação da lei escrita para atender a tais necessidades atuais era uma contribuição significativa dos escribas. Tal lei oral promulgada por eles era considerada igual à lei escrita e igualmente obrigatória para aqueles que desejam agradar a Deus (veja </w:t>
      </w:r>
      <w:hyperlink r:id="rId8204">
        <w:r>
          <w:rPr>
            <w:color w:val="0000EE"/>
            <w:u w:val="single"/>
          </w:rPr>
          <w:t>Mc 7.6–13</w:t>
        </w:r>
      </w:hyperlink>
      <w:r>
        <w:t>). Esta importante função, situada no coração da vida judaica, explica a participação dos escribas no Sinédrio. O Sinédrio, para tomar decisões legais de acordo com a lei, obviamente precisava da presença dos mais bem informados sobre os detalhes mais ínfimos da Torá e os princípios que governam sua aplicação a novas circunstâncias. Os escribas, consequentemente, eram os únicos membros fora do grupo dos aristocrátas sumos sacerdotes e anciãos a serem representados nesta suprema corte judaica (</w:t>
      </w:r>
      <w:hyperlink r:id="rId1389">
        <w:r>
          <w:rPr>
            <w:color w:val="0000EE"/>
            <w:u w:val="single"/>
          </w:rPr>
          <w:t>Mt 26.57</w:t>
        </w:r>
      </w:hyperlink>
      <w:r>
        <w:t xml:space="preserve">; </w:t>
      </w:r>
      <w:hyperlink r:id="rId6312">
        <w:r>
          <w:rPr>
            <w:color w:val="0000EE"/>
            <w:u w:val="single"/>
          </w:rPr>
          <w:t>Mc 14.43,53</w:t>
        </w:r>
      </w:hyperlink>
      <w:r>
        <w:t xml:space="preserve">; </w:t>
      </w:r>
      <w:hyperlink r:id="rId8205">
        <w:r>
          <w:rPr>
            <w:color w:val="0000EE"/>
            <w:u w:val="single"/>
          </w:rPr>
          <w:t>Lc 22.66</w:t>
        </w:r>
      </w:hyperlink>
      <w:r>
        <w:t xml:space="preserve">; </w:t>
      </w:r>
      <w:hyperlink r:id="rId8206">
        <w:r>
          <w:rPr>
            <w:color w:val="0000EE"/>
            <w:u w:val="single"/>
          </w:rPr>
          <w:t>Atos 23.9</w:t>
        </w:r>
      </w:hyperlink>
      <w:r>
        <w:t>). Sendo os instrutores autorizados da lei tanto dentro do templo (</w:t>
      </w:r>
      <w:hyperlink r:id="rId8207">
        <w:r>
          <w:rPr>
            <w:color w:val="0000EE"/>
            <w:u w:val="single"/>
          </w:rPr>
          <w:t>Lc 2.46</w:t>
        </w:r>
      </w:hyperlink>
      <w:r>
        <w:t>) quanto dentro das várias sinagogas da Judeia e Galileia (</w:t>
      </w:r>
      <w:hyperlink r:id="rId7499">
        <w:r>
          <w:rPr>
            <w:color w:val="0000EE"/>
            <w:u w:val="single"/>
          </w:rPr>
          <w:t>5.17</w:t>
        </w:r>
      </w:hyperlink>
      <w:r>
        <w:t>), bem como membros proeminentes do Sinédrio, os escribas eram muito respeitados dentro da comunidade judaica. Eles usavam vestes especiais (</w:t>
      </w:r>
      <w:hyperlink r:id="rId8208">
        <w:r>
          <w:rPr>
            <w:color w:val="0000EE"/>
            <w:u w:val="single"/>
          </w:rPr>
          <w:t>Mc 12.38</w:t>
        </w:r>
      </w:hyperlink>
      <w:r>
        <w:t>) com franjas memoriais na parte inferior e filactérios, ou “caixas de oração”, penduradas nos braços (</w:t>
      </w:r>
      <w:hyperlink r:id="rId8209">
        <w:r>
          <w:rPr>
            <w:color w:val="0000EE"/>
            <w:u w:val="single"/>
          </w:rPr>
          <w:t>Mt 23.5</w:t>
        </w:r>
      </w:hyperlink>
      <w:r>
        <w:t>). Tal traje tornava sua presença óbvia e ocasionava o levantar ou reverência das pessoas comuns quando elas passavam (</w:t>
      </w:r>
      <w:hyperlink r:id="rId8208">
        <w:r>
          <w:rPr>
            <w:color w:val="0000EE"/>
            <w:u w:val="single"/>
          </w:rPr>
          <w:t>Mc 12.38</w:t>
        </w:r>
      </w:hyperlink>
      <w:r>
        <w:t>). Eles eram abordados com respeito como “rabi” ou “mestre” (</w:t>
      </w:r>
      <w:hyperlink r:id="rId8210">
        <w:r>
          <w:rPr>
            <w:color w:val="0000EE"/>
            <w:u w:val="single"/>
          </w:rPr>
          <w:t>Mt 23:7</w:t>
        </w:r>
      </w:hyperlink>
      <w:r>
        <w:t>) e recebiam o lugar de honra na adoração, bem como nos assuntos sociais (</w:t>
      </w:r>
      <w:hyperlink r:id="rId8211">
        <w:r>
          <w:rPr>
            <w:color w:val="0000EE"/>
            <w:u w:val="single"/>
          </w:rPr>
          <w:t>Mt 23:2</w:t>
        </w:r>
      </w:hyperlink>
      <w:r>
        <w:t xml:space="preserve">; </w:t>
      </w:r>
      <w:hyperlink r:id="rId8212">
        <w:r>
          <w:rPr>
            <w:color w:val="0000EE"/>
            <w:u w:val="single"/>
          </w:rPr>
          <w:t>Mc 12:39</w:t>
        </w:r>
      </w:hyperlink>
      <w:r>
        <w:t xml:space="preserve">; </w:t>
      </w:r>
      <w:hyperlink r:id="rId8213">
        <w:r>
          <w:rPr>
            <w:color w:val="0000EE"/>
            <w:u w:val="single"/>
          </w:rPr>
          <w:t>Lc 20:46</w:t>
        </w:r>
      </w:hyperlink>
      <w:r>
        <w:t>). De fato, a alta consideração que os judeus tinham por seus escribas é testificada pelo fato de que tais mestres da lei eram enterrados ao lado dos túmulos dos patriarcas e profetas.</w:t>
      </w:r>
    </w:p>
    <w:p>
      <w:pPr>
        <w:pStyle w:val="Heading3"/>
      </w:pPr>
      <w:r>
        <w:t>Os escribas nos dias de Jesus</w:t>
      </w:r>
    </w:p>
    <w:p>
      <w:r/>
      <w:r>
        <w:t>Os escribas aparecem predominantemente no ministério de Jesus como aqueles que estão envolvidos com a criteriosa observância legal. Lucas se refere aos escribas como “advogados”, descrevendo assim sua principal função como intérpretes da lei judaica de uma maneira que se comunicava ao seu público gentio. Muitas vezes é encontrado, portanto, que os escribas eram membros críticos do público de Jesus, acusando-o de violar a lei em numerosas ocasiões: perdoando pecados (</w:t>
      </w:r>
      <w:hyperlink r:id="rId8214">
        <w:r>
          <w:rPr>
            <w:color w:val="0000EE"/>
            <w:u w:val="single"/>
          </w:rPr>
          <w:t>Mt 9.1–3</w:t>
        </w:r>
      </w:hyperlink>
      <w:r>
        <w:t xml:space="preserve">; </w:t>
      </w:r>
      <w:hyperlink r:id="rId8215">
        <w:r>
          <w:rPr>
            <w:color w:val="0000EE"/>
            <w:u w:val="single"/>
          </w:rPr>
          <w:t>Lc 5.17–26</w:t>
        </w:r>
      </w:hyperlink>
      <w:r>
        <w:t>), quebrando a noção deles de observância do sábado através do trabalho (</w:t>
      </w:r>
      <w:hyperlink r:id="rId8216">
        <w:r>
          <w:rPr>
            <w:color w:val="0000EE"/>
            <w:u w:val="single"/>
          </w:rPr>
          <w:t>Lc 6.1–2</w:t>
        </w:r>
      </w:hyperlink>
      <w:r>
        <w:t xml:space="preserve">) e curando (vv. </w:t>
      </w:r>
      <w:hyperlink r:id="rId8217">
        <w:r>
          <w:rPr>
            <w:color w:val="0000EE"/>
            <w:u w:val="single"/>
          </w:rPr>
          <w:t>6–11</w:t>
        </w:r>
      </w:hyperlink>
      <w:r>
        <w:t>), não seguindo as lavagens cerimoniais aceitas por eles (</w:t>
      </w:r>
      <w:hyperlink r:id="rId8218">
        <w:r>
          <w:rPr>
            <w:color w:val="0000EE"/>
            <w:u w:val="single"/>
          </w:rPr>
          <w:t>Mc 7.2–5</w:t>
        </w:r>
      </w:hyperlink>
      <w:r>
        <w:t>) e ignorando suas práticas de jejum (</w:t>
      </w:r>
      <w:hyperlink r:id="rId8219">
        <w:r>
          <w:rPr>
            <w:color w:val="0000EE"/>
            <w:u w:val="single"/>
          </w:rPr>
          <w:t>Lc 5.33–39</w:t>
        </w:r>
      </w:hyperlink>
      <w:r>
        <w:t>). Não surpreendentemente, eles especialmente desaprovavam a prática de Jesus de se misturar com os impuros e marginalizados da sociedade judaica (</w:t>
      </w:r>
      <w:hyperlink r:id="rId8220">
        <w:r>
          <w:rPr>
            <w:color w:val="0000EE"/>
            <w:u w:val="single"/>
          </w:rPr>
          <w:t>Mc 2.16–17</w:t>
        </w:r>
      </w:hyperlink>
      <w:r>
        <w:t xml:space="preserve">; </w:t>
      </w:r>
      <w:hyperlink r:id="rId8221">
        <w:r>
          <w:rPr>
            <w:color w:val="0000EE"/>
            <w:u w:val="single"/>
          </w:rPr>
          <w:t>Lc 15.1–2</w:t>
        </w:r>
      </w:hyperlink>
      <w:r>
        <w:t>). Também não surpreende que é fácil encontrá-los apresentando perguntas sobre a lei com o propósito de enganar Jesus (</w:t>
      </w:r>
      <w:hyperlink r:id="rId8201">
        <w:r>
          <w:rPr>
            <w:color w:val="0000EE"/>
            <w:u w:val="single"/>
          </w:rPr>
          <w:t>Mc 7.5</w:t>
        </w:r>
      </w:hyperlink>
      <w:r>
        <w:t xml:space="preserve">; </w:t>
      </w:r>
      <w:hyperlink r:id="rId8222">
        <w:r>
          <w:rPr>
            <w:color w:val="0000EE"/>
            <w:u w:val="single"/>
          </w:rPr>
          <w:t>12.28,35</w:t>
        </w:r>
      </w:hyperlink>
      <w:r>
        <w:t xml:space="preserve">; </w:t>
      </w:r>
      <w:hyperlink r:id="rId8223">
        <w:r>
          <w:rPr>
            <w:color w:val="0000EE"/>
            <w:u w:val="single"/>
          </w:rPr>
          <w:t>Lc 11.53</w:t>
        </w:r>
      </w:hyperlink>
      <w:r>
        <w:t xml:space="preserve">; </w:t>
      </w:r>
      <w:hyperlink r:id="rId8224">
        <w:r>
          <w:rPr>
            <w:color w:val="0000EE"/>
            <w:u w:val="single"/>
          </w:rPr>
          <w:t>Jo 8.3–4</w:t>
        </w:r>
      </w:hyperlink>
      <w:r>
        <w:t>). De uma maneira semelhante, eles exigiram que Jesus tornasse sua identificação clara (</w:t>
      </w:r>
      <w:hyperlink r:id="rId8199">
        <w:r>
          <w:rPr>
            <w:color w:val="0000EE"/>
            <w:u w:val="single"/>
          </w:rPr>
          <w:t>Mt 12.38</w:t>
        </w:r>
      </w:hyperlink>
      <w:r>
        <w:t>) e revelasse a fonte de sua autoridade para realizar milagres (</w:t>
      </w:r>
      <w:hyperlink r:id="rId8225">
        <w:r>
          <w:rPr>
            <w:color w:val="0000EE"/>
            <w:u w:val="single"/>
          </w:rPr>
          <w:t>Mc 3.22</w:t>
        </w:r>
      </w:hyperlink>
      <w:r>
        <w:t xml:space="preserve">; </w:t>
      </w:r>
      <w:hyperlink r:id="rId8226">
        <w:r>
          <w:rPr>
            <w:color w:val="0000EE"/>
            <w:u w:val="single"/>
          </w:rPr>
          <w:t>Lc 20.1–4</w:t>
        </w:r>
      </w:hyperlink>
      <w:r>
        <w:t>). Embora haja evidências de que uma minoria dos escribas aceitou Jesus (</w:t>
      </w:r>
      <w:hyperlink r:id="rId8227">
        <w:r>
          <w:rPr>
            <w:color w:val="0000EE"/>
            <w:u w:val="single"/>
          </w:rPr>
          <w:t>Mt 8.19</w:t>
        </w:r>
      </w:hyperlink>
      <w:r>
        <w:t xml:space="preserve">; </w:t>
      </w:r>
      <w:hyperlink r:id="rId8228">
        <w:r>
          <w:rPr>
            <w:color w:val="0000EE"/>
            <w:u w:val="single"/>
          </w:rPr>
          <w:t>13.52</w:t>
        </w:r>
      </w:hyperlink>
      <w:r>
        <w:t xml:space="preserve">; </w:t>
      </w:r>
      <w:hyperlink r:id="rId6899">
        <w:r>
          <w:rPr>
            <w:color w:val="0000EE"/>
            <w:u w:val="single"/>
          </w:rPr>
          <w:t>Mc 12.32</w:t>
        </w:r>
      </w:hyperlink>
      <w:r>
        <w:t xml:space="preserve">; </w:t>
      </w:r>
      <w:hyperlink r:id="rId8229">
        <w:r>
          <w:rPr>
            <w:color w:val="0000EE"/>
            <w:u w:val="single"/>
          </w:rPr>
          <w:t>Jo 3.1–2</w:t>
        </w:r>
      </w:hyperlink>
      <w:r>
        <w:t>), sua atitude primária em relação a Jesus era de hostilidade. Como sugerido anteriormente, isso era parcialmente devido à expressão diferente de Jesus de fidelidade à lei mosaica e sua abertura para com os marginalizados. Também foi, em parte, devido à crescente popularidade de Jesus entre o povo, que representava uma ameaça à autoridade deles (</w:t>
      </w:r>
      <w:hyperlink r:id="rId8230">
        <w:r>
          <w:rPr>
            <w:color w:val="0000EE"/>
            <w:u w:val="single"/>
          </w:rPr>
          <w:t>Mt 7.29</w:t>
        </w:r>
      </w:hyperlink>
      <w:r>
        <w:t>) e à segurança da cidade (</w:t>
      </w:r>
      <w:hyperlink r:id="rId8231">
        <w:r>
          <w:rPr>
            <w:color w:val="0000EE"/>
            <w:u w:val="single"/>
          </w:rPr>
          <w:t>Mt 21.15</w:t>
        </w:r>
      </w:hyperlink>
      <w:r>
        <w:t xml:space="preserve">; </w:t>
      </w:r>
      <w:hyperlink r:id="rId8232">
        <w:r>
          <w:rPr>
            <w:color w:val="0000EE"/>
            <w:u w:val="single"/>
          </w:rPr>
          <w:t>Mc 11.18</w:t>
        </w:r>
      </w:hyperlink>
      <w:r>
        <w:t>). Certamente, outro importante fator que contribui para a oposição deles contra Jesus foi o fato de Jesus expor a hipocrisia e corrupção deles. Em suas repreensões dos escribas e dos fariseus, Jesus os acusou abertamente de buscar a aprovação pública (</w:t>
      </w:r>
      <w:hyperlink r:id="rId8233">
        <w:r>
          <w:rPr>
            <w:color w:val="0000EE"/>
            <w:u w:val="single"/>
          </w:rPr>
          <w:t>Mt 23.5–7</w:t>
        </w:r>
      </w:hyperlink>
      <w:r>
        <w:t xml:space="preserve">; </w:t>
      </w:r>
      <w:hyperlink r:id="rId8234">
        <w:r>
          <w:rPr>
            <w:color w:val="0000EE"/>
            <w:u w:val="single"/>
          </w:rPr>
          <w:t>Mc 12.38–39</w:t>
        </w:r>
      </w:hyperlink>
      <w:r>
        <w:t xml:space="preserve">; </w:t>
      </w:r>
      <w:hyperlink r:id="rId8235">
        <w:r>
          <w:rPr>
            <w:color w:val="0000EE"/>
            <w:u w:val="single"/>
          </w:rPr>
          <w:t>Lc 11.43</w:t>
        </w:r>
      </w:hyperlink>
      <w:r>
        <w:t>). Enquanto pareciam ser exteriormente corretos e santos, eles eram interiormente corruptos (</w:t>
      </w:r>
      <w:hyperlink r:id="rId8236">
        <w:r>
          <w:rPr>
            <w:color w:val="0000EE"/>
            <w:u w:val="single"/>
          </w:rPr>
          <w:t>Mt 23.25–28</w:t>
        </w:r>
      </w:hyperlink>
      <w:r>
        <w:t xml:space="preserve">; </w:t>
      </w:r>
      <w:hyperlink r:id="rId8237">
        <w:r>
          <w:rPr>
            <w:color w:val="0000EE"/>
            <w:u w:val="single"/>
          </w:rPr>
          <w:t>Lc 11.39–41</w:t>
        </w:r>
      </w:hyperlink>
      <w:r>
        <w:t>). Jesus também atacou o princípio da lei oral ensinado pelos escribas, que eles exigiam que as pessoas seguissem. Jesus declarou que a lei oral era um “fardo pesado” que os próprios escribas nem se deram ao trabalho de seguir (</w:t>
      </w:r>
      <w:hyperlink r:id="rId8238">
        <w:r>
          <w:rPr>
            <w:color w:val="0000EE"/>
            <w:u w:val="single"/>
          </w:rPr>
          <w:t>Mt 23.2–4, 13–22</w:t>
        </w:r>
      </w:hyperlink>
      <w:r>
        <w:t xml:space="preserve">; </w:t>
      </w:r>
      <w:hyperlink r:id="rId8239">
        <w:r>
          <w:rPr>
            <w:color w:val="0000EE"/>
            <w:u w:val="single"/>
          </w:rPr>
          <w:t>Lc 11.46</w:t>
        </w:r>
      </w:hyperlink>
      <w:r>
        <w:t>). Ao enfatizar os pontos menores da lei, os escribas também foram culpados de ignorar os conceitos mais importantes de justiça, misericórdia e fé (</w:t>
      </w:r>
      <w:hyperlink r:id="rId8240">
        <w:r>
          <w:rPr>
            <w:color w:val="0000EE"/>
            <w:u w:val="single"/>
          </w:rPr>
          <w:t>Mt 23.23–24</w:t>
        </w:r>
      </w:hyperlink>
      <w:r>
        <w:t xml:space="preserve">; </w:t>
      </w:r>
      <w:hyperlink r:id="rId8241">
        <w:r>
          <w:rPr>
            <w:color w:val="0000EE"/>
            <w:u w:val="single"/>
          </w:rPr>
          <w:t>Mc 12.40</w:t>
        </w:r>
      </w:hyperlink>
      <w:r>
        <w:t xml:space="preserve">; </w:t>
      </w:r>
      <w:hyperlink r:id="rId5237">
        <w:r>
          <w:rPr>
            <w:color w:val="0000EE"/>
            <w:u w:val="single"/>
          </w:rPr>
          <w:t>Lc 11.42</w:t>
        </w:r>
      </w:hyperlink>
      <w:r>
        <w:t>). Ao contrário de serem os descendentes dos profetas, como os escribas se sustentavam a ser, os escribas (Jesus alegou) teriam matado os profetas se eles tivessem vivido em seus dias (</w:t>
      </w:r>
      <w:hyperlink r:id="rId8242">
        <w:r>
          <w:rPr>
            <w:color w:val="0000EE"/>
            <w:u w:val="single"/>
          </w:rPr>
          <w:t>Mt 23.29–36</w:t>
        </w:r>
      </w:hyperlink>
      <w:r>
        <w:t xml:space="preserve">; </w:t>
      </w:r>
      <w:hyperlink r:id="rId8243">
        <w:r>
          <w:rPr>
            <w:color w:val="0000EE"/>
            <w:u w:val="single"/>
          </w:rPr>
          <w:t>Lc 20.9–19</w:t>
        </w:r>
      </w:hyperlink>
      <w:r>
        <w:t>).</w:t>
      </w:r>
    </w:p>
    <w:p>
      <w:r/>
      <w:r>
        <w:t>Não é surpreendente encontrar, portanto, os escribas ansiosos para se livrar de Jesus (</w:t>
      </w:r>
      <w:hyperlink r:id="rId8244">
        <w:r>
          <w:rPr>
            <w:color w:val="0000EE"/>
            <w:u w:val="single"/>
          </w:rPr>
          <w:t>Mc 14.1</w:t>
        </w:r>
      </w:hyperlink>
      <w:r>
        <w:t xml:space="preserve">; </w:t>
      </w:r>
      <w:hyperlink r:id="rId8223">
        <w:r>
          <w:rPr>
            <w:color w:val="0000EE"/>
            <w:u w:val="single"/>
          </w:rPr>
          <w:t>Lc 11.53</w:t>
        </w:r>
      </w:hyperlink>
      <w:r>
        <w:t>). Sua interpretação mais flexível da lei representava uma ameaça clara à posição e autoridade deles dentro da comunidade. Os escribas uniram forças com seus oponentes normais (o alto sacerdócio) para projetar a prisão de Jesus (</w:t>
      </w:r>
      <w:hyperlink r:id="rId6312">
        <w:r>
          <w:rPr>
            <w:color w:val="0000EE"/>
            <w:u w:val="single"/>
          </w:rPr>
          <w:t>Mc 14.43</w:t>
        </w:r>
      </w:hyperlink>
      <w:r>
        <w:t>). Quando Jesus apareceu diante deles e o resto do Sinédrio, eles trabalharam com os outros líderes para construir um caso contra Jesus digno de morte (</w:t>
      </w:r>
      <w:hyperlink r:id="rId8245">
        <w:r>
          <w:rPr>
            <w:color w:val="0000EE"/>
            <w:u w:val="single"/>
          </w:rPr>
          <w:t>Mt 26.57–66</w:t>
        </w:r>
      </w:hyperlink>
      <w:r>
        <w:t>). Ao levar Jesus diante de Herodes, eles ficaram ao lado e gritaram suas denúncias junto com os outros (</w:t>
      </w:r>
      <w:hyperlink r:id="rId8246">
        <w:r>
          <w:rPr>
            <w:color w:val="0000EE"/>
            <w:u w:val="single"/>
          </w:rPr>
          <w:t>Lc 23.10</w:t>
        </w:r>
      </w:hyperlink>
      <w:r>
        <w:t>). Finalmente, eles participaram com outros membros do Sinédrio zombando de Jesus na cruz, exigindo que Jesus se salvasse descendo da cruz (</w:t>
      </w:r>
      <w:hyperlink r:id="rId8247">
        <w:r>
          <w:rPr>
            <w:color w:val="0000EE"/>
            <w:u w:val="single"/>
          </w:rPr>
          <w:t>Mt 27.41–43</w:t>
        </w:r>
      </w:hyperlink>
      <w:r>
        <w:t>). Antes da destruição de Jerusalém em 70 d.C., os escribas continuaram com os outros elementos do Sinédrio para se opor à igreja cristã primitiva, e eles trouxeram o martírio de Estêvão (</w:t>
      </w:r>
      <w:hyperlink r:id="rId8248">
        <w:r>
          <w:rPr>
            <w:color w:val="0000EE"/>
            <w:u w:val="single"/>
          </w:rPr>
          <w:t>Atos 6.12–14</w:t>
        </w:r>
      </w:hyperlink>
      <w:r>
        <w:t>).</w:t>
      </w:r>
    </w:p>
    <w:p>
      <w:r/>
      <w:r>
        <w:rPr>
          <w:i/>
        </w:rPr>
        <w:t>Ver também</w:t>
      </w:r>
      <w:r>
        <w:t xml:space="preserve"> </w:t>
      </w:r>
      <w:r>
        <w:t>Judaísmo</w:t>
      </w:r>
      <w:r>
        <w:t xml:space="preserve">; </w:t>
      </w:r>
      <w:r>
        <w:t>Fariseus</w:t>
      </w:r>
      <w:r>
        <w:t xml:space="preserve">; </w:t>
      </w:r>
      <w:r>
        <w:t>Escritor</w:t>
      </w:r>
      <w:r>
        <w:t>.</w:t>
      </w:r>
      <w:r/>
      <w:r/>
    </w:p>
    <w:p>
      <w:r/>
    </w:p>
    <w:p>
      <w:pPr>
        <w:pStyle w:val="Heading2"/>
      </w:pPr>
      <w:r>
        <w:t>Escrita</w:t>
      </w:r>
      <w:r/>
    </w:p>
    <w:p>
      <w:r/>
      <w:r>
        <w:t>O processo envolvido na produção de livros.</w:t>
      </w:r>
    </w:p>
    <w:p>
      <w:r/>
      <w:r>
        <w:t>Livros têm sido escritos por muitos séculos, mas nem sempre foram produzidos na forma familiar em que os conhecemos hoje. Se considerarmos um livro como qualquer registro escrito de pensamentos ou atos, a produção de livros remonta a um período muito antigo na história da civilização. Os sumérios produziram documentos escritos e cartilhas em tábuas de argila já em 2500 a.C. A civilização suméria entrou em declínio após sua conquista pelos acadianos (2300 a.C.). No século XXI a.C., no entanto, ocorreu um renascimento da cultura suméria que resultou em uma série de obras literárias importantes, incluindo o primeiro sistema de leis codificado escrito conhecido. Hoje, existe uma rica coleção de material sumério, que inclui documentos legais, mitológicos e comerciais, bem como material escrito produzido no processo de treinamento de escribas. Uma grande coleção de tábuas cuneiformes foi encontrada na biblioteca do rei assírio Assurbanípal, estabelecida no século VII a.C. A biblioteca continha muitos registros de conhecimento religioso e científico.</w:t>
      </w:r>
    </w:p>
    <w:p>
      <w:r/>
      <w:r>
        <w:t>Temos muitos manuscritos antigos dos livros da Bíblia. Quanto aos livros da Bíblia Hebraica, os escribas usavam pena, tinta e pergaminhos de couro para fazer cópias de livros individuais. Alguns dos pergaminhos, feitos de várias peles de animais tratadas e costuradas juntas, podiam ter de 10,7 a 12,2 metros quando desenrolados. À medida que os pergaminhos se desgastavam, ou se havia necessidade de cópias em várias sinagogas, os escribas judeus faziam cópias adicionais — e faziam isso com extremo cuidado. Antes das descobertas dos Rolos do Mar Morto, os museus abrigavam vários manuscritos da Bíblia Hebraica datados entre os séculos VIII e X. Os Rolos do Mar Morto são datados entre 100 a.C. e d.C 100, o que os torna mil anos mais antigos do que esses outros manuscritos. Os Rolos do Mar Morto contêm porções significativas do AT. Todos os livros, exceto Ester, estão representados. As maiores porções vêm do Pentateuco (especialmente Deuteronômio — 25 manuscritos), dos Profetas Maiores (especialmente Isaías — 18 manuscritos) e dos Salmos (27 manuscritos). Quanto aos livros do NT, temos quase 6.000 manuscritos anteriores à época da imprensa (c 1500). Cerca de 200 desses manuscritos datam entre o início do segundo e o final do quarto século. A maioria dos manuscritos do NT foi escrita em papiro ou velino, e todos os manuscritos do NT foram escritos na forma de códice.</w:t>
      </w:r>
    </w:p>
    <w:p>
      <w:pPr>
        <w:pStyle w:val="Heading3"/>
      </w:pPr>
      <w:r>
        <w:t>Materiais para escrita</w:t>
      </w:r>
    </w:p>
    <w:p>
      <w:pPr>
        <w:pStyle w:val="Heading4"/>
      </w:pPr>
      <w:r>
        <w:t>Argila</w:t>
      </w:r>
    </w:p>
    <w:p>
      <w:r/>
      <w:r>
        <w:t>As tábuas de argila sumérias, babilônicas e assírias são bem conhecidas. As tábuas de argila cozida eram facilmente preservadas em quase qualquer clima. No entanto, eram adequadas apenas para uma forma de escrita em linha reta, como o cuneiforme, e, portanto, não eram apropriadas para a forma arredondada do alfabeto hebraico aramaico.</w:t>
      </w:r>
    </w:p>
    <w:p>
      <w:pPr>
        <w:pStyle w:val="Heading4"/>
      </w:pPr>
      <w:r>
        <w:t>Papiro</w:t>
      </w:r>
    </w:p>
    <w:p>
      <w:r/>
      <w:r>
        <w:t>Os rolos de papiro do Egito têm sido usados como superfície de escrita desde o início do terceiro milênio a.C. Os gregos adotaram o papiro por volta de 900 a.C., e os romanos o adotaram posteriormente. Os rolos gregos de papiro mais antigos existentes datam do século IV a.C. O miolo interno da planta de papiro era chamado de byblos</w:t>
      </w:r>
      <w:r>
        <w:rPr>
          <w:i/>
        </w:rPr>
        <w:t>.</w:t>
      </w:r>
      <w:r>
        <w:t xml:space="preserve"> Daí vem a palavra grega biblion (“livro”) e a palavra inglesa “bible”. A palavra “papel” é derivada de “papiro”.</w:t>
      </w:r>
    </w:p>
    <w:p>
      <w:r/>
      <w:r>
        <w:t>Infelizmente, o papiro é perecível e requer um clima seco para sua preservação. Por isso, poucos papiros foram descobertos fora das areias do deserto do Egito. Alguns fragmentos de papiro também foram encontrados nas cavernas perto do Mar Morto, onde o clima é igualmente seco o suficiente.</w:t>
      </w:r>
    </w:p>
    <w:p>
      <w:pPr>
        <w:pStyle w:val="Heading4"/>
      </w:pPr>
      <w:r>
        <w:t>Pedaços de cerâmica</w:t>
      </w:r>
    </w:p>
    <w:p>
      <w:r/>
      <w:r>
        <w:t>Pedaços quebrados de cerâmica forneciam um material de escrita barato devido à abundância do suprimento. Os óstracos de Samaria e Laquis são exemplos.</w:t>
      </w:r>
    </w:p>
    <w:p>
      <w:pPr>
        <w:pStyle w:val="Heading4"/>
      </w:pPr>
      <w:r>
        <w:t>Madeira</w:t>
      </w:r>
    </w:p>
    <w:p>
      <w:r/>
      <w:r>
        <w:t xml:space="preserve">Tábuas de madeira cobertas com estuque ou cera eram, às vezes, usadas como superfície de escrita. Um exemplo no NT é </w:t>
      </w:r>
      <w:hyperlink r:id="rId8249">
        <w:r>
          <w:rPr>
            <w:color w:val="0000EE"/>
            <w:u w:val="single"/>
          </w:rPr>
          <w:t>Lc 1.63</w:t>
        </w:r>
      </w:hyperlink>
      <w:r>
        <w:t>.</w:t>
      </w:r>
    </w:p>
    <w:p>
      <w:pPr>
        <w:pStyle w:val="Heading4"/>
      </w:pPr>
      <w:r>
        <w:t>Couro, pergaminho e velino</w:t>
      </w:r>
    </w:p>
    <w:p>
      <w:r/>
      <w:r>
        <w:t>Todos estes são feitos de peles de animais. O couro (peles curtidas), precursor do pergaminho, tem sido usado há tanto tempo quanto o papiro, mas era raramente utilizado porque o papiro era muito abundante. Os antigos hebreus provavelmente usavam couro e papiro como materiais de escrita. Os Rolos do Mar Morto eram folhas de couro costuradas com linha de linho. Rolos de metal também existiam, como os de cobre.</w:t>
      </w:r>
    </w:p>
    <w:p>
      <w:r/>
      <w:r>
        <w:t>Pergaminho, feito inicialmente de peles de ovelha e cabra, começou a substituir o couro já no terceiro século a.C., embora códices de pergaminho reais datem do segundo século d.C. Para preparar pergaminho ou couro refinado, o pelo era removido das peles e estas eram polidas. A forma mais comum de livro para documentos do AT e NT era evidentemente um rolo ou pergaminho de papiro, couro ou pergaminho. O comprimento médio de um rolo era de cerca de 9,1 metros, embora o famoso Papiro Harris tivesse 40,5 metros de comprimento. Os rolos eram frequentemente armazenados em jarros de cerâmica (</w:t>
      </w:r>
      <w:hyperlink r:id="rId8250">
        <w:r>
          <w:rPr>
            <w:color w:val="0000EE"/>
            <w:u w:val="single"/>
          </w:rPr>
          <w:t>Jr 32.14</w:t>
        </w:r>
      </w:hyperlink>
      <w:r>
        <w:t>) e eram frequentemente selados (</w:t>
      </w:r>
      <w:hyperlink r:id="rId8251">
        <w:r>
          <w:rPr>
            <w:color w:val="0000EE"/>
            <w:u w:val="single"/>
          </w:rPr>
          <w:t>Ap 5.1</w:t>
        </w:r>
      </w:hyperlink>
      <w:r>
        <w:t>).</w:t>
      </w:r>
    </w:p>
    <w:p>
      <w:r/>
      <w:r>
        <w:t>O velino tinha uma qualidade superior ao pergaminho e era preparado a partir das peles de bezerros, cordeiros ou cabritos. No século IV d.C., o velino ou pergaminho como material, e o códice como forma, tornaram-se a norma.</w:t>
      </w:r>
    </w:p>
    <w:p>
      <w:pPr>
        <w:pStyle w:val="Heading4"/>
      </w:pPr>
      <w:r>
        <w:t>Papel</w:t>
      </w:r>
    </w:p>
    <w:p>
      <w:r/>
      <w:r>
        <w:t>Papel, feito de madeira, trapos e certas gramíneas, começou a substituir o velino e o pergaminho já no século X d.C. no mundo ocidental, embora tenha sido usado muito antes na China e no Japão. No século XV, os manuscritos em papel eram comuns.</w:t>
      </w:r>
    </w:p>
    <w:p>
      <w:pPr>
        <w:pStyle w:val="Heading3"/>
      </w:pPr>
      <w:r>
        <w:t>Tipos de livros</w:t>
      </w:r>
    </w:p>
    <w:p>
      <w:pPr>
        <w:pStyle w:val="Heading4"/>
      </w:pPr>
      <w:r>
        <w:t>Rolo</w:t>
      </w:r>
    </w:p>
    <w:p>
      <w:r/>
      <w:r>
        <w:t>O rolo é um peça de papiro, pergaminho ou couro usado para escrever um documento ou obra literária. O rolo de papiro do Egito pode ser rastreado até 2500 a.C. Uma das produções literárias mais famosas do antigo Egito é o Livro dos Mortos. Os judeus usavam rolos de couro para escrever os livros do Antigo Testamento. A maioria dos rolos descobertos na área do Mar Morto foi escrita em couro, com alguns poucos tendo sido escritos em papiro.</w:t>
      </w:r>
    </w:p>
    <w:p>
      <w:pPr>
        <w:pStyle w:val="Heading4"/>
      </w:pPr>
      <w:r>
        <w:t>Códice</w:t>
      </w:r>
    </w:p>
    <w:p>
      <w:r/>
      <w:r>
        <w:t>Um desenvolvimento importante na evolução da produção de livros ocorreu com o advento do códice no meio do primeiro século. Um códice era construído de maneira semelhante aos nossos livros modernos, dobrando folhas de papiro ou velino (pele de animal tratada) ao meio e depois costurando-as juntas na lombada. Este tipo de livro era vantajoso porque permitia ao escriba escrever em ambos os lados; facilitava o acesso a passagens específicas (ao contrário de um pergaminho, que precisava ser desenrolado); e permitia que os cristãos reunissem todos os quatro Evangelhos ou todas as epístolas de Paulo ou qualquer outra combinação semelhante.</w:t>
      </w:r>
    </w:p>
    <w:p>
      <w:pPr>
        <w:pStyle w:val="Heading3"/>
      </w:pPr>
      <w:r>
        <w:t>Instrumentos de escrita e tintas</w:t>
      </w:r>
    </w:p>
    <w:p>
      <w:r/>
      <w:r>
        <w:t>Diferentes tipos de instrumentos de escrita foram usados, dependendo das superfícies de escrita disponíveis em vários períodos da história. Formões e gravadores de metal eram usados para inscrever em pedra e metal. Um estilete era utilizado para escrever cuneiforme (caracteres em forma de "cunha") em tábuas de argila. Para escrever em óstraca (cacos de cerâmica), papiro e pergaminho, um junco era dividido ou cortado para atuar como um pincel. No Egito, juncos eram usados para formar um pincel. Mais tarde, juncos eram cortados em ponta e divididos como uma pena de escrever. Aparentemente, este era o tipo de caneta ou "cálamo" usado nos tempos do NT (</w:t>
      </w:r>
      <w:hyperlink r:id="rId8252">
        <w:r>
          <w:rPr>
            <w:color w:val="0000EE"/>
            <w:u w:val="single"/>
          </w:rPr>
          <w:t>3Jo 1.13</w:t>
        </w:r>
      </w:hyperlink>
      <w:r>
        <w:t>).</w:t>
      </w:r>
    </w:p>
    <w:p>
      <w:r/>
      <w:r>
        <w:t xml:space="preserve">A tinta (cf. </w:t>
      </w:r>
      <w:hyperlink r:id="rId6059">
        <w:r>
          <w:rPr>
            <w:color w:val="0000EE"/>
            <w:u w:val="single"/>
          </w:rPr>
          <w:t>2Jo 1.12</w:t>
        </w:r>
      </w:hyperlink>
      <w:r>
        <w:t>) era geralmente um carbono preto (carvão) misturado com goma ou óleo para uso em pergaminho ou misturado com uma substância metálica para papiro. Era mantida em um tinteiro como uma substância seca, na qual o escriba mergulhava ou esfregava sua pena umedecida. Podia ser apagada lavando (</w:t>
      </w:r>
      <w:hyperlink r:id="rId8253">
        <w:r>
          <w:rPr>
            <w:color w:val="0000EE"/>
            <w:u w:val="single"/>
          </w:rPr>
          <w:t>Nm 5.23</w:t>
        </w:r>
      </w:hyperlink>
      <w:r>
        <w:t>) ou com um canivete, que também era usado para afiar penas e aparar ou cortar rolos (</w:t>
      </w:r>
      <w:hyperlink r:id="rId8254">
        <w:r>
          <w:rPr>
            <w:color w:val="0000EE"/>
            <w:u w:val="single"/>
          </w:rPr>
          <w:t>Jr 36.23</w:t>
        </w:r>
      </w:hyperlink>
      <w:r>
        <w:t>).</w:t>
      </w:r>
    </w:p>
    <w:p>
      <w:r/>
      <w:r>
        <w:rPr>
          <w:i/>
        </w:rPr>
        <w:t>Veja também</w:t>
      </w:r>
      <w:r>
        <w:t xml:space="preserve"> </w:t>
      </w:r>
      <w:r>
        <w:t>Hieróglifos</w:t>
      </w:r>
      <w:r>
        <w:t xml:space="preserve">; </w:t>
      </w:r>
      <w:r>
        <w:t>Inscrições</w:t>
      </w:r>
      <w:r>
        <w:t xml:space="preserve">; </w:t>
      </w:r>
      <w:r>
        <w:t>Cartas de Laquis</w:t>
      </w:r>
      <w:r>
        <w:t xml:space="preserve">; </w:t>
      </w:r>
      <w:r>
        <w:t>Escrita de cartas antigas</w:t>
      </w:r>
      <w:r>
        <w:t xml:space="preserve">; </w:t>
      </w:r>
      <w:r>
        <w:t>Escriba</w:t>
      </w:r>
      <w:r>
        <w:t xml:space="preserve">; </w:t>
      </w:r>
      <w:r>
        <w:t>Escritor</w:t>
      </w:r>
      <w:r>
        <w:t>.</w:t>
      </w:r>
      <w:r/>
      <w:r/>
    </w:p>
    <w:p>
      <w:r/>
    </w:p>
    <w:p>
      <w:pPr>
        <w:pStyle w:val="Heading2"/>
      </w:pPr>
      <w:r>
        <w:t>Escrita de cartas, Históricas</w:t>
      </w:r>
      <w:r/>
    </w:p>
    <w:p>
      <w:r/>
      <w:r>
        <w:t>Uma mensagem escrita enviada de uma pessoa para outra. Nos tempos antigos, as cartas eram especialmente importantes quando reis e oficiais precisavam enviar comandos ou relatórios.</w:t>
      </w:r>
    </w:p>
    <w:p>
      <w:pPr>
        <w:pStyle w:val="Heading3"/>
      </w:pPr>
      <w:r>
        <w:t>Exemplos de cartas históricas</w:t>
      </w:r>
    </w:p>
    <w:p>
      <w:r/>
      <w:r>
        <w:t>Existem cartas de Arade-Nana, o médico real, para seu mestre Assurbanípal. Essas cartas tratam da dor nas costas do rei e do problema ocular de um jovem príncipe. As famosas cartas de Amarna são relatórios e apelos de príncipes na Palestina, que estavam preocupados com a fraqueza da política externa do Faraó Akhenaton na região. Há uma carta interessante da viúva de Tutancâmon para um rei hitita sobre um arranjo matrimonial.</w:t>
      </w:r>
    </w:p>
    <w:p>
      <w:pPr>
        <w:pStyle w:val="Heading3"/>
      </w:pPr>
      <w:r>
        <w:t>Cartas no Antigo Testamento</w:t>
      </w:r>
    </w:p>
    <w:p>
      <w:r/>
      <w:r>
        <w:t>Existem alguns exemplos de cartas no Antigo Testamento:</w:t>
      </w:r>
    </w:p>
    <w:p>
      <w:pPr>
        <w:pStyle w:val="ListBullet"/>
        <w:spacing w:line="240" w:lineRule="auto"/>
        <w:ind w:left="720"/>
      </w:pPr>
      <w:r/>
      <w:r>
        <w:t>A carta mortal de Davi para Joabe sobre Urias (</w:t>
      </w:r>
      <w:hyperlink r:id="rId8255">
        <w:r>
          <w:rPr>
            <w:color w:val="0000EE"/>
            <w:u w:val="single"/>
          </w:rPr>
          <w:t>2Sm 11.14,15</w:t>
        </w:r>
      </w:hyperlink>
      <w:r>
        <w:t>);</w:t>
      </w:r>
    </w:p>
    <w:p>
      <w:pPr>
        <w:pStyle w:val="ListBullet"/>
        <w:spacing w:line="240" w:lineRule="auto"/>
        <w:ind w:left="720"/>
      </w:pPr>
      <w:r/>
      <w:r>
        <w:t>A carta igualmente maligna de Jezabel, sob a assinatura falsificada de Acabe, aos anciãos de Jezreel (</w:t>
      </w:r>
      <w:hyperlink r:id="rId8256">
        <w:r>
          <w:rPr>
            <w:color w:val="0000EE"/>
            <w:u w:val="single"/>
          </w:rPr>
          <w:t>1Rs 21.8,9</w:t>
        </w:r>
      </w:hyperlink>
      <w:r>
        <w:t>);</w:t>
      </w:r>
    </w:p>
    <w:p>
      <w:pPr>
        <w:pStyle w:val="ListBullet"/>
        <w:spacing w:line="240" w:lineRule="auto"/>
        <w:ind w:left="720"/>
      </w:pPr>
      <w:r/>
      <w:r>
        <w:t>A carta do rei da Síria para o rei de Israel sobre a lepra de Naamã (</w:t>
      </w:r>
      <w:hyperlink r:id="rId8257">
        <w:r>
          <w:rPr>
            <w:color w:val="0000EE"/>
            <w:u w:val="single"/>
          </w:rPr>
          <w:t>2Rs 5.5–7</w:t>
        </w:r>
      </w:hyperlink>
      <w:r>
        <w:t>).</w:t>
      </w:r>
    </w:p>
    <w:p>
      <w:r/>
      <w:r>
        <w:t>Tudo isso é relatado no registro do Antigo Testamento sem as saudações habituais e as formas educadas de tratamento.</w:t>
      </w:r>
    </w:p>
    <w:p>
      <w:r/>
      <w:r>
        <w:t xml:space="preserve">Podemos ler o que parecem ser cartas completas em Esdras capítulos </w:t>
      </w:r>
      <w:hyperlink r:id="rId8258">
        <w:r>
          <w:rPr>
            <w:color w:val="0000EE"/>
            <w:u w:val="single"/>
          </w:rPr>
          <w:t>4.11–23</w:t>
        </w:r>
      </w:hyperlink>
      <w:r>
        <w:t xml:space="preserve">; </w:t>
      </w:r>
      <w:hyperlink r:id="rId8259">
        <w:r>
          <w:rPr>
            <w:color w:val="0000EE"/>
            <w:u w:val="single"/>
          </w:rPr>
          <w:t>5.7–17</w:t>
        </w:r>
      </w:hyperlink>
      <w:r>
        <w:t xml:space="preserve">; </w:t>
      </w:r>
      <w:hyperlink r:id="rId8260">
        <w:r>
          <w:rPr>
            <w:color w:val="0000EE"/>
            <w:u w:val="single"/>
          </w:rPr>
          <w:t>7.11–26</w:t>
        </w:r>
      </w:hyperlink>
      <w:r>
        <w:t>. Também encontramos cartas completas em Neemias capítulos</w:t>
      </w:r>
      <w:hyperlink r:id="rId8261">
        <w:r>
          <w:rPr>
            <w:color w:val="0000EE"/>
            <w:u w:val="single"/>
          </w:rPr>
          <w:t xml:space="preserve"> 6.5–7</w:t>
        </w:r>
      </w:hyperlink>
      <w:r>
        <w:t>, e no livro de Jeremias. No entanto, muitas outras cartas na Bíblia são versões abreviadas que nos dão apenas os pontos principais (</w:t>
      </w:r>
      <w:hyperlink r:id="rId2657">
        <w:r>
          <w:rPr>
            <w:color w:val="0000EE"/>
            <w:u w:val="single"/>
          </w:rPr>
          <w:t>Ne 2.8</w:t>
        </w:r>
      </w:hyperlink>
      <w:r>
        <w:t xml:space="preserve">; </w:t>
      </w:r>
      <w:hyperlink r:id="rId8262">
        <w:r>
          <w:rPr>
            <w:color w:val="0000EE"/>
            <w:u w:val="single"/>
          </w:rPr>
          <w:t>Et 9.20–31</w:t>
        </w:r>
      </w:hyperlink>
      <w:r>
        <w:t>).</w:t>
      </w:r>
    </w:p>
    <w:p>
      <w:pPr>
        <w:pStyle w:val="Heading3"/>
      </w:pPr>
      <w:r>
        <w:t>Outras cartas históricas</w:t>
      </w:r>
    </w:p>
    <w:p>
      <w:r/>
      <w:r>
        <w:t>Muitas cartas oficiais escritas em papel egípcio antigo (chamado papiro) foram encontradas. Essas cartas são semelhantes às mencionadas no Antigo Testamento. O Imperador Cláudio escreveu uma carta em 42 d.C. ao povo de Alexandria sobre problemas com a comunidade judaica lá. Por volta de 100 d.C., um governador egípcio escreveu uma carta a todos em sua área sobre a contagem de todas as pessoas. Isso nos ajuda a entender a época em que Jesus nasceu, pois uma contagem semelhante de pessoas fez com que Maria e José viajassem para Belém.</w:t>
      </w:r>
    </w:p>
    <w:p>
      <w:r/>
      <w:r>
        <w:t>As cartas de Cícero nos falam sobre um período importante na história de Roma. Cícero descreve como Roma passou de ser governada por um grupo de líderes (chamados senadores) para ser governada por imperadores. Plínio foi um governador romano em um lugar chamado Bitínia por volta de 100 d.C. Suas cartas nos ajudam a entender como os romanos viviam durante esse período. Elas também nos relatam sobre as primeiras vezes que o governo romano entrou em conflito com a igreja cristã primitiva.</w:t>
      </w:r>
    </w:p>
    <w:p>
      <w:r/>
      <w:r>
        <w:t>Cartas antigas nos ajudam a entender a vida cotidiana e as ocupações comuns das pessoas nos tempos greco-romanos e nos primeiros séculos cristãos. Isso é semelhante às informações que aprendemos com os documentos do Novo Testamento. Elas fornecem contexto, ilustração, comentário e, às vezes, evidências históricas diretas.</w:t>
      </w:r>
    </w:p>
    <w:p>
      <w:r/>
      <w:r>
        <w:t>Um conjunto importante de cartas vem de Bar Kokhba, que liderou o povo judeu em uma luta contra Roma de 132 a 135 d.C. Essas cartas foram encontradas escondidas em uma caverna perto do Mar Morto. Em uma carta, ele ordena: "Tudo o que Eliseu disser, faça". Outra carta ordena a prisão de Tahnun Ben Ismael e a confiscação de seu trigo. Uma terceira carta pede a punição de alguns que haviam reparado suas casas em desafio a alguma política de terra arrasada.</w:t>
      </w:r>
    </w:p>
    <w:p>
      <w:pPr>
        <w:pStyle w:val="Heading3"/>
      </w:pPr>
      <w:r>
        <w:t>Escrita de cartas na época de Paulo</w:t>
      </w:r>
    </w:p>
    <w:p>
      <w:r/>
      <w:r>
        <w:t>Paulo seguiu cuidadosamente o estilo de escrita de cartas de sua época. Suas cartas geralmente incluíam as seguintes partes nesta ordem:</w:t>
      </w:r>
    </w:p>
    <w:p>
      <w:pPr>
        <w:pStyle w:val="ListNumber"/>
        <w:spacing w:line="240" w:lineRule="auto"/>
        <w:ind w:left="720"/>
      </w:pPr>
      <w:r/>
      <w:r>
        <w:t>Uma saudação inicial;</w:t>
      </w:r>
    </w:p>
    <w:p>
      <w:pPr>
        <w:pStyle w:val="ListNumber"/>
        <w:spacing w:line="240" w:lineRule="auto"/>
        <w:ind w:left="720"/>
      </w:pPr>
      <w:r/>
      <w:r>
        <w:t>Palavras de agradecimento e oração pelas pessoas para quem ele estava escrevendo;</w:t>
      </w:r>
    </w:p>
    <w:p>
      <w:pPr>
        <w:pStyle w:val="ListNumber"/>
        <w:spacing w:line="240" w:lineRule="auto"/>
        <w:ind w:left="720"/>
      </w:pPr>
      <w:r/>
      <w:r>
        <w:t>Sua mensagem principal;</w:t>
      </w:r>
    </w:p>
    <w:p>
      <w:pPr>
        <w:pStyle w:val="ListNumber"/>
        <w:spacing w:line="240" w:lineRule="auto"/>
        <w:ind w:left="720"/>
      </w:pPr>
      <w:r/>
      <w:r>
        <w:t>Saudações aos amigos;</w:t>
      </w:r>
    </w:p>
    <w:p>
      <w:pPr>
        <w:pStyle w:val="ListNumber"/>
        <w:spacing w:line="240" w:lineRule="auto"/>
        <w:ind w:left="720"/>
      </w:pPr>
      <w:r/>
      <w:r>
        <w:t>Uma oração final no final.</w:t>
      </w:r>
    </w:p>
    <w:p>
      <w:r/>
      <w:r>
        <w:t>Aqui está uma carta de aproximadamente 150 d.C. que demonstra esse mesmo estilo de escrita:</w:t>
      </w:r>
    </w:p>
    <w:p>
      <w:r/>
      <w:r>
        <w:t>“Ammonous ao seu querido pai, saudações. Quando recebi sua carta e soube que pela vontade dos deuses você foi preservado, fiquei muito feliz. E como ao mesmo tempo surgiu uma oportunidade aqui, estou escrevendo esta carta ansioso para prestar meus respeitos. Atenda o mais rápido possível aos assuntos urgentes. Tudo o que o pequeno pedir será feito. Se o portador desta carta lhe entregar uma pequena cesta, fui eu quem a enviou. Todos os seus amigos o saúdam pelo nome. Celer o saúda e a todos que estão com ele. Oro pela sua saúde”.</w:t>
      </w:r>
    </w:p>
    <w:p>
      <w:r/>
      <w:r>
        <w:t>Paulo escreveu sobre muitos assuntos diferentes em suas cartas. Em algumas ocasiões, ele corrigia gentilmente os cristãos em Corinto quando estavam muito orgulhosos. Outras vezes, ele advertia fortemente as pessoas que estavam ensinando coisas erradas sobre Deus. Ele também escrevia sobre coisas simples, como notícias sobre seus amigos, livros que precisava e um casaco quente que havia deixado na cidade de Trôade.</w:t>
      </w:r>
    </w:p>
    <w:p>
      <w:pPr>
        <w:pStyle w:val="Heading3"/>
      </w:pPr>
      <w:r>
        <w:t>Cartas no Novo Testamento</w:t>
      </w:r>
    </w:p>
    <w:p>
      <w:r/>
      <w:r>
        <w:t>O Novo Testamento contém muitas cartas que ensinam as pessoas sobre Deus. Este estilo de escrever cartas de ensino começou com antigos professores gregos como Platão e Aristóteles. No entanto, os escritores do Novo Testamento se dirigem:</w:t>
      </w:r>
    </w:p>
    <w:p>
      <w:pPr>
        <w:pStyle w:val="ListBullet"/>
        <w:spacing w:line="240" w:lineRule="auto"/>
        <w:ind w:left="720"/>
      </w:pPr>
      <w:r/>
      <w:r>
        <w:t>a grupos ou comunidades (Romanos, 1 Coríntios, Gálatas, Filipenses, Efésios, Colossenses, 1 Tessalonicenses, Hebreus);</w:t>
      </w:r>
    </w:p>
    <w:p>
      <w:pPr>
        <w:pStyle w:val="ListBullet"/>
        <w:spacing w:line="240" w:lineRule="auto"/>
        <w:ind w:left="720"/>
      </w:pPr>
      <w:r/>
      <w:r>
        <w:t>para a igreja em geral (as cartas de Pedro, Judas, Tiago e a primeira epístola de João);</w:t>
      </w:r>
    </w:p>
    <w:p>
      <w:pPr>
        <w:pStyle w:val="ListBullet"/>
        <w:spacing w:line="240" w:lineRule="auto"/>
        <w:ind w:left="720"/>
      </w:pPr>
      <w:r/>
      <w:r>
        <w:t>a indivíduos ou a uma comunidade cristã específica.</w:t>
      </w:r>
    </w:p>
    <w:p>
      <w:r/>
      <w:r>
        <w:t xml:space="preserve">A carta apostólica registrada em </w:t>
      </w:r>
      <w:hyperlink r:id="rId1997">
        <w:r>
          <w:rPr>
            <w:color w:val="0000EE"/>
            <w:u w:val="single"/>
          </w:rPr>
          <w:t>Atos 15</w:t>
        </w:r>
      </w:hyperlink>
      <w:r>
        <w:t xml:space="preserve"> pode ter inspirado essa prática. </w:t>
      </w:r>
      <w:hyperlink r:id="rId8263">
        <w:r>
          <w:rPr>
            <w:color w:val="0000EE"/>
            <w:u w:val="single"/>
          </w:rPr>
          <w:t>Apocalipse 2</w:t>
        </w:r>
      </w:hyperlink>
      <w:r>
        <w:t xml:space="preserve"> e </w:t>
      </w:r>
      <w:hyperlink r:id="rId8264">
        <w:r>
          <w:rPr>
            <w:color w:val="0000EE"/>
            <w:u w:val="single"/>
          </w:rPr>
          <w:t>3</w:t>
        </w:r>
      </w:hyperlink>
      <w:r>
        <w:t xml:space="preserve"> são cartas genuínas para sete igrejas no circuito asiático de João.</w:t>
      </w:r>
    </w:p>
    <w:p>
      <w:r/>
      <w:r>
        <w:rPr>
          <w:i/>
        </w:rPr>
        <w:t>Veja também</w:t>
      </w:r>
      <w:r>
        <w:t xml:space="preserve"> </w:t>
      </w:r>
      <w:r>
        <w:t>Cartas de Laquis</w:t>
      </w:r>
      <w:r>
        <w:t xml:space="preserve">; </w:t>
      </w:r>
      <w:r>
        <w:t>Escrita</w:t>
      </w:r>
      <w:r>
        <w:t>.</w:t>
      </w:r>
      <w:r/>
      <w:r/>
    </w:p>
    <w:p>
      <w:r/>
    </w:p>
    <w:p>
      <w:pPr>
        <w:pStyle w:val="Heading2"/>
      </w:pPr>
      <w:r>
        <w:t>Escrivão da cidade</w:t>
      </w:r>
      <w:r/>
    </w:p>
    <w:p>
      <w:r/>
      <w:r>
        <w:t>Um escrivão da cidade era um funcionário importante nos governos das cidades antigas. Essa pessoa tinha a responsabilidade de registrar e anunciar as decisões tomadas pelos líderes da cidade. O escrivão da cidade também ajudava na comunicação entre a cidade e o governo romano.</w:t>
      </w:r>
    </w:p>
    <w:p>
      <w:r/>
      <w:r>
        <w:t>Em Éfeso, o escrivão da cidade ajudou a acalmar uma multidão furiosa que havia se reunido por causa do ensino de Paulo (</w:t>
      </w:r>
      <w:hyperlink r:id="rId7099">
        <w:r>
          <w:rPr>
            <w:color w:val="0000EE"/>
            <w:u w:val="single"/>
          </w:rPr>
          <w:t>At 19.35</w:t>
        </w:r>
      </w:hyperlink>
      <w:r>
        <w:t>). O escrivão da cidade tinha o poder de punir pessoas que causavam problemas na cidade. Felizmente, ele conseguiu acalmar a multidão e evitar mais problemas.</w:t>
      </w:r>
      <w:r/>
      <w:r/>
    </w:p>
    <w:p>
      <w:r/>
    </w:p>
    <w:p>
      <w:pPr>
        <w:pStyle w:val="Heading2"/>
      </w:pPr>
      <w:r>
        <w:t>Escuridão</w:t>
      </w:r>
      <w:r/>
    </w:p>
    <w:p>
      <w:r/>
      <w:r>
        <w:t>Ausência de luz ou brilho. Embora a Bíblia raramente se refira à escuridão literal, várias palavras traduzidas como "escuridão" são usadas em um sentido figurado ou metafórico.</w:t>
      </w:r>
    </w:p>
    <w:p>
      <w:r/>
      <w:r>
        <w:t>Quando Deus criou o mundo, não havia luz até que ele ordenou que a luz aparecesse. Ele então fez a distinção entre a luz e seu oposto, a escuridão, que ele chamou de noite (</w:t>
      </w:r>
      <w:hyperlink r:id="rId8265">
        <w:r>
          <w:rPr>
            <w:color w:val="0000EE"/>
            <w:u w:val="single"/>
          </w:rPr>
          <w:t>Gênesis 1.2,4–5,18</w:t>
        </w:r>
      </w:hyperlink>
      <w:r>
        <w:t>). A escuridão literal também é mencionada no relato das pragas que Deus infligiu ao Egito; a nona praga foi uma escuridão intensa que podia ser "sentida" (</w:t>
      </w:r>
      <w:hyperlink r:id="rId8266">
        <w:r>
          <w:rPr>
            <w:color w:val="0000EE"/>
            <w:u w:val="single"/>
          </w:rPr>
          <w:t>Êxodo 10.21–23</w:t>
        </w:r>
      </w:hyperlink>
      <w:r>
        <w:t>). Essa escuridão durou três dias e foi seletiva; onde quer que os egípcios estivessem, estava escuro, mas onde os israelitas estavam, havia luz. Os israelitas saíram do Egito acompanhados por uma nuvem que os separava de seu inimigo, evidentemente dando luz aos israelitas, mas fazendo escuridão para os egípcios (</w:t>
      </w:r>
      <w:hyperlink r:id="rId8267">
        <w:r>
          <w:rPr>
            <w:color w:val="0000EE"/>
            <w:u w:val="single"/>
          </w:rPr>
          <w:t>Êxodo 14.20</w:t>
        </w:r>
      </w:hyperlink>
      <w:r>
        <w:t>). A Bíblia observa que ladrões ou adúlteros são propensos a cometer seus atos malignos no escuro ou à noite (</w:t>
      </w:r>
      <w:hyperlink r:id="rId8268">
        <w:r>
          <w:rPr>
            <w:color w:val="0000EE"/>
            <w:u w:val="single"/>
          </w:rPr>
          <w:t>Jó 24.16–17</w:t>
        </w:r>
      </w:hyperlink>
      <w:r>
        <w:t>).</w:t>
      </w:r>
    </w:p>
    <w:p>
      <w:r/>
      <w:r>
        <w:t>No NT, "escuridão" é usada duas vezes em seu sentido literal. Na crucificação de Jesus, por um período de três horas, do meio-dia às três horas, não houve luz (</w:t>
      </w:r>
      <w:hyperlink r:id="rId8269">
        <w:r>
          <w:rPr>
            <w:color w:val="0000EE"/>
            <w:u w:val="single"/>
          </w:rPr>
          <w:t>Mateus 27.45</w:t>
        </w:r>
      </w:hyperlink>
      <w:r>
        <w:t xml:space="preserve">; </w:t>
      </w:r>
      <w:hyperlink r:id="rId8270">
        <w:r>
          <w:rPr>
            <w:color w:val="0000EE"/>
            <w:u w:val="single"/>
          </w:rPr>
          <w:t>Marcos 15.33</w:t>
        </w:r>
      </w:hyperlink>
      <w:r>
        <w:t xml:space="preserve">; </w:t>
      </w:r>
      <w:hyperlink r:id="rId8271">
        <w:r>
          <w:rPr>
            <w:color w:val="0000EE"/>
            <w:u w:val="single"/>
          </w:rPr>
          <w:t>Lucas 23.44</w:t>
        </w:r>
      </w:hyperlink>
      <w:r>
        <w:t>). A outra referência é à segunda vinda de Cristo, quando "o sol se escurecerá, e a lua não dará a sua luz" (</w:t>
      </w:r>
      <w:hyperlink r:id="rId2123">
        <w:r>
          <w:rPr>
            <w:color w:val="0000EE"/>
            <w:u w:val="single"/>
          </w:rPr>
          <w:t>Mateus 24.29</w:t>
        </w:r>
      </w:hyperlink>
      <w:r>
        <w:t>).</w:t>
      </w:r>
    </w:p>
    <w:p>
      <w:r/>
      <w:r>
        <w:t>Várias passagens bíblicas falam de uma escuridão ao redor de Deus, evidentemente movendo-se de um sentido literal de ausência de luz para um significado mais profundo. Deus falou a Moisés no Monte Sinai em uma nuvem densa e negra (</w:t>
      </w:r>
      <w:hyperlink r:id="rId8272">
        <w:r>
          <w:rPr>
            <w:color w:val="0000EE"/>
            <w:u w:val="single"/>
          </w:rPr>
          <w:t>Êxodo 20.21</w:t>
        </w:r>
      </w:hyperlink>
      <w:r>
        <w:t xml:space="preserve">; </w:t>
      </w:r>
      <w:hyperlink r:id="rId8273">
        <w:r>
          <w:rPr>
            <w:color w:val="0000EE"/>
            <w:u w:val="single"/>
          </w:rPr>
          <w:t>Deuteronômio 4.11</w:t>
        </w:r>
      </w:hyperlink>
      <w:r>
        <w:t>) ou da escuridão (</w:t>
      </w:r>
      <w:hyperlink r:id="rId8274">
        <w:r>
          <w:rPr>
            <w:color w:val="0000EE"/>
            <w:u w:val="single"/>
          </w:rPr>
          <w:t>Deuteronômio 5.23</w:t>
        </w:r>
      </w:hyperlink>
      <w:r>
        <w:t>). A escuridão é retratada como um abrigo ou manto ao redor de Deus (</w:t>
      </w:r>
      <w:hyperlink r:id="rId8275">
        <w:r>
          <w:rPr>
            <w:color w:val="0000EE"/>
            <w:u w:val="single"/>
          </w:rPr>
          <w:t>2 Samuel 22.12</w:t>
        </w:r>
      </w:hyperlink>
      <w:r>
        <w:t xml:space="preserve">; </w:t>
      </w:r>
      <w:hyperlink r:id="rId8276">
        <w:r>
          <w:rPr>
            <w:color w:val="0000EE"/>
            <w:u w:val="single"/>
          </w:rPr>
          <w:t>Salmos 18.11</w:t>
        </w:r>
      </w:hyperlink>
      <w:r>
        <w:t xml:space="preserve">; </w:t>
      </w:r>
      <w:hyperlink r:id="rId8277">
        <w:r>
          <w:rPr>
            <w:color w:val="0000EE"/>
            <w:u w:val="single"/>
          </w:rPr>
          <w:t>97.2</w:t>
        </w:r>
      </w:hyperlink>
      <w:r>
        <w:t>). Deus estabelece um limite para a luz e a escuridão (</w:t>
      </w:r>
      <w:hyperlink r:id="rId8278">
        <w:r>
          <w:rPr>
            <w:color w:val="0000EE"/>
            <w:u w:val="single"/>
          </w:rPr>
          <w:t>Jó 26.10</w:t>
        </w:r>
      </w:hyperlink>
      <w:r>
        <w:t>), traz escuridão (</w:t>
      </w:r>
      <w:hyperlink r:id="rId8279">
        <w:r>
          <w:rPr>
            <w:color w:val="0000EE"/>
            <w:u w:val="single"/>
          </w:rPr>
          <w:t>Salmos 104.20</w:t>
        </w:r>
      </w:hyperlink>
      <w:r>
        <w:t xml:space="preserve">; </w:t>
      </w:r>
      <w:hyperlink r:id="rId8280">
        <w:r>
          <w:rPr>
            <w:color w:val="0000EE"/>
            <w:u w:val="single"/>
          </w:rPr>
          <w:t>105.28</w:t>
        </w:r>
      </w:hyperlink>
      <w:r>
        <w:t>), e cria luz e escuridão (</w:t>
      </w:r>
      <w:hyperlink r:id="rId7436">
        <w:r>
          <w:rPr>
            <w:color w:val="0000EE"/>
            <w:u w:val="single"/>
          </w:rPr>
          <w:t>Isaías 45.7</w:t>
        </w:r>
      </w:hyperlink>
      <w:r>
        <w:t>). Deus habita em espessa escuridão (</w:t>
      </w:r>
      <w:hyperlink r:id="rId8281">
        <w:r>
          <w:rPr>
            <w:color w:val="0000EE"/>
            <w:u w:val="single"/>
          </w:rPr>
          <w:t>1 Reis 8.12</w:t>
        </w:r>
      </w:hyperlink>
      <w:r>
        <w:t xml:space="preserve">; </w:t>
      </w:r>
      <w:hyperlink r:id="rId8282">
        <w:r>
          <w:rPr>
            <w:color w:val="0000EE"/>
            <w:u w:val="single"/>
          </w:rPr>
          <w:t>2 Crônicas 6.1</w:t>
        </w:r>
      </w:hyperlink>
      <w:r>
        <w:t>), e espessa escuridão está sob seus pés (</w:t>
      </w:r>
      <w:hyperlink r:id="rId8283">
        <w:r>
          <w:rPr>
            <w:color w:val="0000EE"/>
            <w:u w:val="single"/>
          </w:rPr>
          <w:t>2 Samuel 22.10</w:t>
        </w:r>
      </w:hyperlink>
      <w:r>
        <w:t xml:space="preserve">; </w:t>
      </w:r>
      <w:hyperlink r:id="rId8284">
        <w:r>
          <w:rPr>
            <w:color w:val="0000EE"/>
            <w:u w:val="single"/>
          </w:rPr>
          <w:t>Salmo 18.9</w:t>
        </w:r>
      </w:hyperlink>
      <w:r>
        <w:t>).</w:t>
      </w:r>
    </w:p>
    <w:p>
      <w:r/>
      <w:r>
        <w:t>A maioria das referências figurativas à escuridão aparece em material poético, como Jó, Salmos e Isaías. Geralmente, essa escuridão retrata a ignorância sobre a vontade de Deus. O conhecimento de Deus é "luz"; portanto, a falta de tal conhecimento é "escuridão" (</w:t>
      </w:r>
      <w:hyperlink r:id="rId8285">
        <w:r>
          <w:rPr>
            <w:color w:val="0000EE"/>
            <w:u w:val="single"/>
          </w:rPr>
          <w:t>Jó 12.24–25</w:t>
        </w:r>
      </w:hyperlink>
      <w:r>
        <w:t xml:space="preserve">; </w:t>
      </w:r>
      <w:hyperlink r:id="rId8286">
        <w:r>
          <w:rPr>
            <w:color w:val="0000EE"/>
            <w:u w:val="single"/>
          </w:rPr>
          <w:t>Mateus 4.16</w:t>
        </w:r>
      </w:hyperlink>
      <w:r>
        <w:t xml:space="preserve">; </w:t>
      </w:r>
      <w:hyperlink r:id="rId8039">
        <w:r>
          <w:rPr>
            <w:color w:val="0000EE"/>
            <w:u w:val="single"/>
          </w:rPr>
          <w:t>João 1.5</w:t>
        </w:r>
      </w:hyperlink>
      <w:r>
        <w:t xml:space="preserve">; </w:t>
      </w:r>
      <w:hyperlink r:id="rId3753">
        <w:r>
          <w:rPr>
            <w:color w:val="0000EE"/>
            <w:u w:val="single"/>
          </w:rPr>
          <w:t>8.12</w:t>
        </w:r>
      </w:hyperlink>
      <w:r>
        <w:t xml:space="preserve">; </w:t>
      </w:r>
      <w:hyperlink r:id="rId8287">
        <w:r>
          <w:rPr>
            <w:color w:val="0000EE"/>
            <w:u w:val="single"/>
          </w:rPr>
          <w:t>12.35,46</w:t>
        </w:r>
      </w:hyperlink>
      <w:r>
        <w:t xml:space="preserve">; </w:t>
      </w:r>
      <w:hyperlink r:id="rId6853">
        <w:r>
          <w:rPr>
            <w:color w:val="0000EE"/>
            <w:u w:val="single"/>
          </w:rPr>
          <w:t>1 João 1.5</w:t>
        </w:r>
      </w:hyperlink>
      <w:r>
        <w:t xml:space="preserve">; </w:t>
      </w:r>
      <w:hyperlink r:id="rId8288">
        <w:r>
          <w:rPr>
            <w:color w:val="0000EE"/>
            <w:u w:val="single"/>
          </w:rPr>
          <w:t>2.8–9,11</w:t>
        </w:r>
      </w:hyperlink>
      <w:r>
        <w:t>).</w:t>
      </w:r>
    </w:p>
    <w:p>
      <w:r/>
      <w:r>
        <w:t>Jó falou da escuridão como equivalente ao nada (</w:t>
      </w:r>
      <w:hyperlink r:id="rId8289">
        <w:r>
          <w:rPr>
            <w:color w:val="0000EE"/>
            <w:u w:val="single"/>
          </w:rPr>
          <w:t>Jó 3.4–6</w:t>
        </w:r>
      </w:hyperlink>
      <w:r>
        <w:t>). Em outras referências, a escuridão representa a morte, uma terra de sombras e trevas, a morada dos mortos longe da luz do dia (</w:t>
      </w:r>
      <w:hyperlink r:id="rId8290">
        <w:r>
          <w:rPr>
            <w:color w:val="0000EE"/>
            <w:u w:val="single"/>
          </w:rPr>
          <w:t>Jó 10.21–22</w:t>
        </w:r>
      </w:hyperlink>
      <w:r>
        <w:t xml:space="preserve">; </w:t>
      </w:r>
      <w:hyperlink r:id="rId8291">
        <w:r>
          <w:rPr>
            <w:color w:val="0000EE"/>
            <w:u w:val="single"/>
          </w:rPr>
          <w:t>15.24</w:t>
        </w:r>
      </w:hyperlink>
      <w:r>
        <w:t xml:space="preserve">; </w:t>
      </w:r>
      <w:hyperlink r:id="rId8292">
        <w:r>
          <w:rPr>
            <w:color w:val="0000EE"/>
            <w:u w:val="single"/>
          </w:rPr>
          <w:t>17.12–13</w:t>
        </w:r>
      </w:hyperlink>
      <w:r>
        <w:t xml:space="preserve">; </w:t>
      </w:r>
      <w:hyperlink r:id="rId8293">
        <w:r>
          <w:rPr>
            <w:color w:val="0000EE"/>
            <w:u w:val="single"/>
          </w:rPr>
          <w:t>18.18</w:t>
        </w:r>
      </w:hyperlink>
      <w:r>
        <w:t xml:space="preserve">; </w:t>
      </w:r>
      <w:hyperlink r:id="rId8294">
        <w:r>
          <w:rPr>
            <w:color w:val="0000EE"/>
            <w:u w:val="single"/>
          </w:rPr>
          <w:t>Eclesiastes 6.4</w:t>
        </w:r>
      </w:hyperlink>
      <w:r>
        <w:t xml:space="preserve">; </w:t>
      </w:r>
      <w:hyperlink r:id="rId8295">
        <w:r>
          <w:rPr>
            <w:color w:val="0000EE"/>
            <w:u w:val="single"/>
          </w:rPr>
          <w:t>11.8</w:t>
        </w:r>
      </w:hyperlink>
      <w:r>
        <w:t>).</w:t>
      </w:r>
    </w:p>
    <w:p>
      <w:r/>
      <w:r>
        <w:t>A escuridão frequentemente representa angústia e ansiedade, ou a confusão e destruição experimentadas pelos ímpios (</w:t>
      </w:r>
      <w:hyperlink r:id="rId7473">
        <w:r>
          <w:rPr>
            <w:color w:val="0000EE"/>
            <w:u w:val="single"/>
          </w:rPr>
          <w:t>Gênesis 15.12</w:t>
        </w:r>
      </w:hyperlink>
      <w:r>
        <w:t xml:space="preserve">; </w:t>
      </w:r>
      <w:hyperlink r:id="rId8296">
        <w:r>
          <w:rPr>
            <w:color w:val="0000EE"/>
            <w:u w:val="single"/>
          </w:rPr>
          <w:t>Jó 5.14</w:t>
        </w:r>
      </w:hyperlink>
      <w:r>
        <w:t xml:space="preserve">; </w:t>
      </w:r>
      <w:hyperlink r:id="rId8297">
        <w:r>
          <w:rPr>
            <w:color w:val="0000EE"/>
            <w:u w:val="single"/>
          </w:rPr>
          <w:t>12.25</w:t>
        </w:r>
      </w:hyperlink>
      <w:r>
        <w:t xml:space="preserve">; </w:t>
      </w:r>
      <w:hyperlink r:id="rId8298">
        <w:r>
          <w:rPr>
            <w:color w:val="0000EE"/>
            <w:u w:val="single"/>
          </w:rPr>
          <w:t>15.22,30</w:t>
        </w:r>
      </w:hyperlink>
      <w:r>
        <w:t xml:space="preserve">; </w:t>
      </w:r>
      <w:hyperlink r:id="rId8299">
        <w:r>
          <w:rPr>
            <w:color w:val="0000EE"/>
            <w:u w:val="single"/>
          </w:rPr>
          <w:t>19.8</w:t>
        </w:r>
      </w:hyperlink>
      <w:r>
        <w:t xml:space="preserve">; </w:t>
      </w:r>
      <w:hyperlink r:id="rId8300">
        <w:r>
          <w:rPr>
            <w:color w:val="0000EE"/>
            <w:u w:val="single"/>
          </w:rPr>
          <w:t>22.11</w:t>
        </w:r>
      </w:hyperlink>
      <w:r>
        <w:t xml:space="preserve">; </w:t>
      </w:r>
      <w:hyperlink r:id="rId8301">
        <w:r>
          <w:rPr>
            <w:color w:val="0000EE"/>
            <w:u w:val="single"/>
          </w:rPr>
          <w:t>Salmos 35.6</w:t>
        </w:r>
      </w:hyperlink>
      <w:r>
        <w:t xml:space="preserve">; </w:t>
      </w:r>
      <w:hyperlink r:id="rId8302">
        <w:r>
          <w:rPr>
            <w:color w:val="0000EE"/>
            <w:u w:val="single"/>
          </w:rPr>
          <w:t>107.10,14</w:t>
        </w:r>
      </w:hyperlink>
      <w:r>
        <w:t xml:space="preserve">; </w:t>
      </w:r>
      <w:hyperlink r:id="rId8303">
        <w:r>
          <w:rPr>
            <w:color w:val="0000EE"/>
            <w:u w:val="single"/>
          </w:rPr>
          <w:t>Eclesiastes 5.17</w:t>
        </w:r>
      </w:hyperlink>
      <w:r>
        <w:t xml:space="preserve">; </w:t>
      </w:r>
      <w:hyperlink r:id="rId8304">
        <w:r>
          <w:rPr>
            <w:color w:val="0000EE"/>
            <w:u w:val="single"/>
          </w:rPr>
          <w:t>Isaías 5.30</w:t>
        </w:r>
      </w:hyperlink>
      <w:r>
        <w:t>). A depravação moral às vezes é descrita como escuridão (</w:t>
      </w:r>
      <w:hyperlink r:id="rId8305">
        <w:r>
          <w:rPr>
            <w:color w:val="0000EE"/>
            <w:u w:val="single"/>
          </w:rPr>
          <w:t>Provérbios 2.13</w:t>
        </w:r>
      </w:hyperlink>
      <w:r>
        <w:t xml:space="preserve">; </w:t>
      </w:r>
      <w:hyperlink r:id="rId8306">
        <w:r>
          <w:rPr>
            <w:color w:val="0000EE"/>
            <w:u w:val="single"/>
          </w:rPr>
          <w:t>4.19</w:t>
        </w:r>
      </w:hyperlink>
      <w:r>
        <w:t xml:space="preserve">; </w:t>
      </w:r>
      <w:hyperlink r:id="rId8307">
        <w:r>
          <w:rPr>
            <w:color w:val="0000EE"/>
            <w:u w:val="single"/>
          </w:rPr>
          <w:t>Isaías 5.20</w:t>
        </w:r>
      </w:hyperlink>
      <w:r>
        <w:t xml:space="preserve">; </w:t>
      </w:r>
      <w:hyperlink r:id="rId8308">
        <w:r>
          <w:rPr>
            <w:color w:val="0000EE"/>
            <w:u w:val="single"/>
          </w:rPr>
          <w:t>60.2</w:t>
        </w:r>
      </w:hyperlink>
      <w:r>
        <w:t>). No NT, a escuridão é geralmente uma metáfora de depravação moral e ignorância espiritual (</w:t>
      </w:r>
      <w:hyperlink r:id="rId8286">
        <w:r>
          <w:rPr>
            <w:color w:val="0000EE"/>
            <w:u w:val="single"/>
          </w:rPr>
          <w:t>Mateus 4.16</w:t>
        </w:r>
      </w:hyperlink>
      <w:r>
        <w:t xml:space="preserve">; </w:t>
      </w:r>
      <w:hyperlink r:id="rId8309">
        <w:r>
          <w:rPr>
            <w:color w:val="0000EE"/>
            <w:u w:val="single"/>
          </w:rPr>
          <w:t>6.23</w:t>
        </w:r>
      </w:hyperlink>
      <w:r>
        <w:t xml:space="preserve">; </w:t>
      </w:r>
      <w:hyperlink r:id="rId8310">
        <w:r>
          <w:rPr>
            <w:color w:val="0000EE"/>
            <w:u w:val="single"/>
          </w:rPr>
          <w:t>Lucas 1.79</w:t>
        </w:r>
      </w:hyperlink>
      <w:r>
        <w:t xml:space="preserve">; </w:t>
      </w:r>
      <w:hyperlink r:id="rId8311">
        <w:r>
          <w:rPr>
            <w:color w:val="0000EE"/>
            <w:u w:val="single"/>
          </w:rPr>
          <w:t>11.35</w:t>
        </w:r>
      </w:hyperlink>
      <w:r>
        <w:t xml:space="preserve">; </w:t>
      </w:r>
      <w:hyperlink r:id="rId8312">
        <w:r>
          <w:rPr>
            <w:color w:val="0000EE"/>
            <w:u w:val="single"/>
          </w:rPr>
          <w:t>22.53</w:t>
        </w:r>
      </w:hyperlink>
      <w:r>
        <w:t xml:space="preserve">; </w:t>
      </w:r>
      <w:hyperlink r:id="rId8313">
        <w:r>
          <w:rPr>
            <w:color w:val="0000EE"/>
            <w:u w:val="single"/>
          </w:rPr>
          <w:t>Romanos 2.19</w:t>
        </w:r>
      </w:hyperlink>
      <w:r>
        <w:t xml:space="preserve">; </w:t>
      </w:r>
      <w:hyperlink r:id="rId5159">
        <w:r>
          <w:rPr>
            <w:color w:val="0000EE"/>
            <w:u w:val="single"/>
          </w:rPr>
          <w:t>Colossenses 1.13</w:t>
        </w:r>
      </w:hyperlink>
      <w:r>
        <w:t>).</w:t>
      </w:r>
    </w:p>
    <w:p>
      <w:r/>
      <w:r>
        <w:t>Um tema principal dos profetas do AT era o Dia do Senhor, muitas vezes associado à escuridão (</w:t>
      </w:r>
      <w:hyperlink r:id="rId8314">
        <w:r>
          <w:rPr>
            <w:color w:val="0000EE"/>
            <w:u w:val="single"/>
          </w:rPr>
          <w:t>Ezequiel 32.8</w:t>
        </w:r>
      </w:hyperlink>
      <w:r>
        <w:t xml:space="preserve">; </w:t>
      </w:r>
      <w:hyperlink r:id="rId8315">
        <w:r>
          <w:rPr>
            <w:color w:val="0000EE"/>
            <w:u w:val="single"/>
          </w:rPr>
          <w:t>Joel 2.2,31</w:t>
        </w:r>
      </w:hyperlink>
      <w:r>
        <w:t xml:space="preserve">; </w:t>
      </w:r>
      <w:hyperlink r:id="rId8316">
        <w:r>
          <w:rPr>
            <w:color w:val="0000EE"/>
            <w:u w:val="single"/>
          </w:rPr>
          <w:t>Amós 5.18,20</w:t>
        </w:r>
      </w:hyperlink>
      <w:r>
        <w:t xml:space="preserve">; </w:t>
      </w:r>
      <w:hyperlink r:id="rId8317">
        <w:r>
          <w:rPr>
            <w:color w:val="0000EE"/>
            <w:u w:val="single"/>
          </w:rPr>
          <w:t>Sofonias 1.15</w:t>
        </w:r>
      </w:hyperlink>
      <w:r>
        <w:t>). O NT também associa escuridão com julgamento em conexão com a segunda vinda de Cristo (</w:t>
      </w:r>
      <w:hyperlink r:id="rId8318">
        <w:r>
          <w:rPr>
            <w:color w:val="0000EE"/>
            <w:u w:val="single"/>
          </w:rPr>
          <w:t>Mateus 8.12</w:t>
        </w:r>
      </w:hyperlink>
      <w:r>
        <w:t xml:space="preserve">; </w:t>
      </w:r>
      <w:hyperlink r:id="rId7077">
        <w:r>
          <w:rPr>
            <w:color w:val="0000EE"/>
            <w:u w:val="single"/>
          </w:rPr>
          <w:t>22.13</w:t>
        </w:r>
      </w:hyperlink>
      <w:r>
        <w:t xml:space="preserve">; </w:t>
      </w:r>
      <w:hyperlink r:id="rId8319">
        <w:r>
          <w:rPr>
            <w:color w:val="0000EE"/>
            <w:u w:val="single"/>
          </w:rPr>
          <w:t>25.30</w:t>
        </w:r>
      </w:hyperlink>
      <w:r>
        <w:t xml:space="preserve">; </w:t>
      </w:r>
      <w:hyperlink r:id="rId8320">
        <w:r>
          <w:rPr>
            <w:color w:val="0000EE"/>
            <w:u w:val="single"/>
          </w:rPr>
          <w:t>2 Pedro 2.17</w:t>
        </w:r>
      </w:hyperlink>
      <w:r>
        <w:t xml:space="preserve">; </w:t>
      </w:r>
      <w:hyperlink r:id="rId8321">
        <w:r>
          <w:rPr>
            <w:color w:val="0000EE"/>
            <w:u w:val="single"/>
          </w:rPr>
          <w:t>Judas 1.6,13</w:t>
        </w:r>
      </w:hyperlink>
      <w:r>
        <w:t>). Aqueles que vêm a conhecer Deus são ditos como saindo da escuridão (</w:t>
      </w:r>
      <w:hyperlink r:id="rId8322">
        <w:r>
          <w:rPr>
            <w:color w:val="0000EE"/>
            <w:u w:val="single"/>
          </w:rPr>
          <w:t>Isaías 9.2</w:t>
        </w:r>
      </w:hyperlink>
      <w:r>
        <w:t xml:space="preserve">; </w:t>
      </w:r>
      <w:hyperlink r:id="rId8323">
        <w:r>
          <w:rPr>
            <w:color w:val="0000EE"/>
            <w:u w:val="single"/>
          </w:rPr>
          <w:t>29.18</w:t>
        </w:r>
      </w:hyperlink>
      <w:r>
        <w:t xml:space="preserve">; </w:t>
      </w:r>
      <w:hyperlink r:id="rId8324">
        <w:r>
          <w:rPr>
            <w:color w:val="0000EE"/>
            <w:u w:val="single"/>
          </w:rPr>
          <w:t>42.7</w:t>
        </w:r>
      </w:hyperlink>
      <w:r>
        <w:t>); a escuridão não pode ser um esconderijo de Deus (</w:t>
      </w:r>
      <w:hyperlink r:id="rId8325">
        <w:r>
          <w:rPr>
            <w:color w:val="0000EE"/>
            <w:u w:val="single"/>
          </w:rPr>
          <w:t>Jó 34.22</w:t>
        </w:r>
      </w:hyperlink>
      <w:r>
        <w:t xml:space="preserve">; </w:t>
      </w:r>
      <w:hyperlink r:id="rId8326">
        <w:r>
          <w:rPr>
            <w:color w:val="0000EE"/>
            <w:u w:val="single"/>
          </w:rPr>
          <w:t>Salmo 139.11–12</w:t>
        </w:r>
      </w:hyperlink>
      <w:r>
        <w:t xml:space="preserve">; </w:t>
      </w:r>
      <w:hyperlink r:id="rId8327">
        <w:r>
          <w:rPr>
            <w:color w:val="0000EE"/>
            <w:u w:val="single"/>
          </w:rPr>
          <w:t>Isaías 29.15</w:t>
        </w:r>
      </w:hyperlink>
      <w:r>
        <w:t>).</w:t>
      </w:r>
    </w:p>
    <w:p>
      <w:r/>
      <w:r>
        <w:rPr>
          <w:i/>
        </w:rPr>
        <w:t>Veja também</w:t>
      </w:r>
      <w:r>
        <w:t xml:space="preserve"> </w:t>
      </w:r>
      <w:r>
        <w:t>Luz</w:t>
      </w:r>
      <w:r>
        <w:t>.</w:t>
      </w:r>
      <w:r/>
      <w:r/>
    </w:p>
    <w:p>
      <w:r/>
    </w:p>
    <w:p>
      <w:pPr>
        <w:pStyle w:val="Heading2"/>
      </w:pPr>
      <w:r>
        <w:t>Eseque</w:t>
      </w:r>
      <w:r/>
    </w:p>
    <w:p>
      <w:r/>
      <w:r>
        <w:t>Nome que Isaque deu a um poço cavado por seus servos no vale de Gerar (</w:t>
      </w:r>
      <w:hyperlink r:id="rId8328">
        <w:r>
          <w:rPr>
            <w:color w:val="0000EE"/>
            <w:u w:val="single"/>
          </w:rPr>
          <w:t>Gn 26.20</w:t>
        </w:r>
      </w:hyperlink>
      <w:r>
        <w:t>). O nome significa "Discussão". Quando os pastores de Gerar alegaram que pertencia a eles, Isaque cedeu Eseque e outro poço, chamado Sitna, para induzir os homens de Gerar a permitirem que ele vivesse pacificamente na terra.</w:t>
      </w:r>
      <w:r/>
      <w:r/>
    </w:p>
    <w:p>
      <w:r/>
    </w:p>
    <w:p>
      <w:pPr>
        <w:pStyle w:val="Heading2"/>
      </w:pPr>
      <w:r>
        <w:t>Esmolas</w:t>
      </w:r>
      <w:r/>
    </w:p>
    <w:p>
      <w:r/>
      <w:r>
        <w:t>Donativos de caridade. A prática de dar esmolas aos pobres. A palavra em português "esmolas", no original, vem de uma palavra grega mais longa usada na Septuaginta para traduzir uma palavra hebraica que significa "justiça". A Septuaginta é uma antiga tradução grega do Antigo Testamento.</w:t>
      </w:r>
    </w:p>
    <w:p>
      <w:pPr>
        <w:pStyle w:val="Heading3"/>
      </w:pPr>
      <w:r>
        <w:t>Ensinamentos do Antigo Testamento sobre o cuidado com os pobres.</w:t>
      </w:r>
    </w:p>
    <w:p>
      <w:r/>
      <w:r>
        <w:t xml:space="preserve">O termo hebraico não está relacionado à esmola. O Antigo Testamento não faz referência específica à esmola. Esperava-se que os israelitas cuidassem dos pobres em seu meio. A lei de Moisés contém muitos mandamentos para tratar os pobres de forma justa e humana. Entre eles, destaca-se </w:t>
      </w:r>
      <w:hyperlink r:id="rId8329">
        <w:r>
          <w:rPr>
            <w:color w:val="0000EE"/>
            <w:u w:val="single"/>
          </w:rPr>
          <w:t>Dt 15.7–11</w:t>
        </w:r>
      </w:hyperlink>
      <w:r>
        <w:t>. Este versículo afirma que sempre haverá pessoas pobres vivendo em Israel e ordena que Israel tome medidas para ajudar.</w:t>
      </w:r>
    </w:p>
    <w:p>
      <w:r/>
      <w:r>
        <w:t>A cada sétimo ano, todos os campos e jardins deveriam permanecer não colhidos para beneficiar os pobres e necessitados (</w:t>
      </w:r>
      <w:hyperlink r:id="rId7382">
        <w:r>
          <w:rPr>
            <w:color w:val="0000EE"/>
            <w:u w:val="single"/>
          </w:rPr>
          <w:t>Êx 23.10–11</w:t>
        </w:r>
      </w:hyperlink>
      <w:r>
        <w:t>). A cada terceiro ano, um décimo de toda a produção tinha que ser dado aos levitas (uma tribo hebraica que não possuía propriedades), ao viajante, ao órfão e à viúva (</w:t>
      </w:r>
      <w:hyperlink r:id="rId8330">
        <w:r>
          <w:rPr>
            <w:color w:val="0000EE"/>
            <w:u w:val="single"/>
          </w:rPr>
          <w:t>Dt 14.28–29</w:t>
        </w:r>
      </w:hyperlink>
      <w:r>
        <w:t>). Feixes de grãos esquecidos e os grãos deixados para trás nos campos em cada colheita eram deixados para os necessitados e o estrangeiro (</w:t>
      </w:r>
      <w:hyperlink r:id="rId8331">
        <w:r>
          <w:rPr>
            <w:color w:val="0000EE"/>
            <w:u w:val="single"/>
          </w:rPr>
          <w:t>Lv 19.9</w:t>
        </w:r>
      </w:hyperlink>
      <w:r>
        <w:t xml:space="preserve">; </w:t>
      </w:r>
      <w:hyperlink r:id="rId5110">
        <w:r>
          <w:rPr>
            <w:color w:val="0000EE"/>
            <w:u w:val="single"/>
          </w:rPr>
          <w:t>23.22</w:t>
        </w:r>
      </w:hyperlink>
      <w:r>
        <w:t>). De cada vinha e olival, qualquer fruto caído e os cachos imperfeitos e mais altos eram reservados para eles (</w:t>
      </w:r>
      <w:hyperlink r:id="rId8332">
        <w:r>
          <w:rPr>
            <w:color w:val="0000EE"/>
            <w:u w:val="single"/>
          </w:rPr>
          <w:t>Lv 19.10</w:t>
        </w:r>
      </w:hyperlink>
      <w:r>
        <w:t xml:space="preserve">; </w:t>
      </w:r>
      <w:hyperlink r:id="rId8333">
        <w:r>
          <w:rPr>
            <w:color w:val="0000EE"/>
            <w:u w:val="single"/>
          </w:rPr>
          <w:t>Dt 24.20–21</w:t>
        </w:r>
      </w:hyperlink>
      <w:r>
        <w:t>). Da mesma forma, as pessoas que viajavam para o festival eram esperadas a compartilhar comida com aqueles em necessidade (</w:t>
      </w:r>
      <w:hyperlink r:id="rId8334">
        <w:r>
          <w:rPr>
            <w:color w:val="0000EE"/>
            <w:u w:val="single"/>
          </w:rPr>
          <w:t>Dt 16.11–14</w:t>
        </w:r>
      </w:hyperlink>
      <w:r>
        <w:t>).</w:t>
      </w:r>
    </w:p>
    <w:p>
      <w:r/>
      <w:r>
        <w:t>Os profetas do Antigo Testamento continuaram a defender o tema do tratamento gentil para com os pobres. As expressões mais fortes do tema da justiça social são encontradas em Isaías (</w:t>
      </w:r>
      <w:hyperlink r:id="rId8335">
        <w:r>
          <w:rPr>
            <w:color w:val="0000EE"/>
            <w:u w:val="single"/>
          </w:rPr>
          <w:t>1.23</w:t>
        </w:r>
      </w:hyperlink>
      <w:r>
        <w:t xml:space="preserve">; </w:t>
      </w:r>
      <w:hyperlink r:id="rId8336">
        <w:r>
          <w:rPr>
            <w:color w:val="0000EE"/>
            <w:u w:val="single"/>
          </w:rPr>
          <w:t>3.15</w:t>
        </w:r>
      </w:hyperlink>
      <w:r>
        <w:t xml:space="preserve">; </w:t>
      </w:r>
      <w:hyperlink r:id="rId8337">
        <w:r>
          <w:rPr>
            <w:color w:val="0000EE"/>
            <w:u w:val="single"/>
          </w:rPr>
          <w:t>10.1–2</w:t>
        </w:r>
      </w:hyperlink>
      <w:r>
        <w:t xml:space="preserve">; </w:t>
      </w:r>
      <w:hyperlink r:id="rId8338">
        <w:r>
          <w:rPr>
            <w:color w:val="0000EE"/>
            <w:u w:val="single"/>
          </w:rPr>
          <w:t>11.4–5</w:t>
        </w:r>
      </w:hyperlink>
      <w:r>
        <w:t xml:space="preserve">; </w:t>
      </w:r>
      <w:hyperlink r:id="rId8339">
        <w:r>
          <w:rPr>
            <w:color w:val="0000EE"/>
            <w:u w:val="single"/>
          </w:rPr>
          <w:t>58.5–10</w:t>
        </w:r>
      </w:hyperlink>
      <w:r>
        <w:t>) e Amós (</w:t>
      </w:r>
      <w:hyperlink r:id="rId8340">
        <w:r>
          <w:rPr>
            <w:color w:val="0000EE"/>
            <w:u w:val="single"/>
          </w:rPr>
          <w:t>2.6–8</w:t>
        </w:r>
      </w:hyperlink>
      <w:r>
        <w:t xml:space="preserve">; </w:t>
      </w:r>
      <w:hyperlink r:id="rId1264">
        <w:r>
          <w:rPr>
            <w:color w:val="0000EE"/>
            <w:u w:val="single"/>
          </w:rPr>
          <w:t>4.1</w:t>
        </w:r>
      </w:hyperlink>
      <w:r>
        <w:t xml:space="preserve">; </w:t>
      </w:r>
      <w:hyperlink r:id="rId7372">
        <w:r>
          <w:rPr>
            <w:color w:val="0000EE"/>
            <w:u w:val="single"/>
          </w:rPr>
          <w:t>5.11</w:t>
        </w:r>
      </w:hyperlink>
      <w:r>
        <w:t xml:space="preserve">; </w:t>
      </w:r>
      <w:hyperlink r:id="rId8341">
        <w:r>
          <w:rPr>
            <w:color w:val="0000EE"/>
            <w:u w:val="single"/>
          </w:rPr>
          <w:t>8.4</w:t>
        </w:r>
      </w:hyperlink>
      <w:r>
        <w:t>). Da mesma forma, os Salmos, Jó, Provérbios e Eclesiastes mostram a necessidade dos pobres. Esses livros oferecem esperança àqueles que estão sofrendo e pedem aos outros que defendam sua causa ou melhorem sua condição. Os pedidos eram baseados na crença de que todos os seres humanos são criados por um único Deus. Ele ordenou a Israel que tratasse os pobres que viviam com eles com bondade, que incluía tratamento justo, não apenas doação.</w:t>
      </w:r>
    </w:p>
    <w:p>
      <w:pPr>
        <w:pStyle w:val="Heading3"/>
      </w:pPr>
      <w:r>
        <w:t>Esmolas entre o Antigo e o Novo Testamento.</w:t>
      </w:r>
    </w:p>
    <w:p>
      <w:r/>
      <w:r>
        <w:t xml:space="preserve">Durante o período entre o Antigo e o Novo Testamento, a doação de esmolas tornou-se mais importante. </w:t>
      </w:r>
      <w:hyperlink r:id="rId1166">
        <w:r>
          <w:rPr>
            <w:color w:val="0000EE"/>
            <w:u w:val="single"/>
          </w:rPr>
          <w:t>Lv 19.18</w:t>
        </w:r>
      </w:hyperlink>
      <w:r>
        <w:t xml:space="preserve"> oferece um mandamento geral para demonstrar bondade amorosa. Isso passou a ser definido como atos individuais específicos que se acreditava contribuírem para o mérito pessoal e segurança. </w:t>
      </w:r>
      <w:hyperlink r:id="rId8342">
        <w:r>
          <w:rPr>
            <w:color w:val="0000EE"/>
            <w:u w:val="single"/>
          </w:rPr>
          <w:t>Eclo 3.30</w:t>
        </w:r>
      </w:hyperlink>
      <w:r>
        <w:t xml:space="preserve"> diz que “esmola enfrenta o pecado”. </w:t>
      </w:r>
      <w:hyperlink r:id="rId8343">
        <w:r>
          <w:rPr>
            <w:color w:val="0000EE"/>
            <w:u w:val="single"/>
          </w:rPr>
          <w:t>Tb 4.10</w:t>
        </w:r>
      </w:hyperlink>
      <w:r>
        <w:t xml:space="preserve"> afirma que a esmola “livra do pecado e da morte”. Juntamente com a oração e o jejum, a esmola era considerada uma das expressões mais importantes da obediência judaica (</w:t>
      </w:r>
      <w:hyperlink r:id="rId8344">
        <w:r>
          <w:rPr>
            <w:color w:val="0000EE"/>
            <w:u w:val="single"/>
          </w:rPr>
          <w:t>Tb 12.8–9</w:t>
        </w:r>
      </w:hyperlink>
      <w:r>
        <w:t>).</w:t>
      </w:r>
      <w:r/>
      <w:r/>
    </w:p>
    <w:p>
      <w:r/>
    </w:p>
    <w:p>
      <w:pPr>
        <w:pStyle w:val="Heading2"/>
      </w:pPr>
      <w:r>
        <w:t>Espelho</w:t>
      </w:r>
      <w:r/>
    </w:p>
    <w:p>
      <w:r/>
      <w:r>
        <w:t>Um espelho é uma superfície lisa que reflete imagens. A palavra não aparece na KJV, mas a ideia está presente. É traduzida do hebraico ou grego como "vidro" ou "vidros". Traduções modernas usam "espelho".</w:t>
      </w:r>
    </w:p>
    <w:p>
      <w:r/>
      <w:r>
        <w:t>Nos tempos bíblicos, os espelhos eram feitos de metal polido, como cobre, bronze, prata, ouro ou electro (uma mistura de ouro e prata). As pessoas poliam essas superfícies metálicas até que ficassem muito lisas, para que pudessem ver seu reflexo com a maior clareza possível.</w:t>
      </w:r>
    </w:p>
    <w:p>
      <w:r/>
      <w:r>
        <w:t>O vidro existia durante os tempos bíblicos, mas geralmente não era claro o suficiente para se ver através dele (era opaco). A exceção era o vidro romano, que era mais claro. No entanto, as pessoas não usaram vidro como espelhos até depois do período bíblico ter terminado.</w:t>
      </w:r>
    </w:p>
    <w:p>
      <w:r/>
      <w:r>
        <w:t>A Bíblia menciona espelhos pela primeira vez na época de Moisés, em relação à construção do tabernáculo no deserto do Sinai após o êxodo do Egito (</w:t>
      </w:r>
      <w:hyperlink r:id="rId8345">
        <w:r>
          <w:rPr>
            <w:color w:val="0000EE"/>
            <w:u w:val="single"/>
          </w:rPr>
          <w:t>Êx 38.8</w:t>
        </w:r>
      </w:hyperlink>
      <w:r>
        <w:t>). Quando Alexandre, o Grande, espalhou a cultura grega, os espelhos se tornaram mais comuns no mundo bíblico. Até então, eram posses de damas da corte ou prostitutas.</w:t>
      </w:r>
    </w:p>
    <w:p>
      <w:r/>
      <w:r>
        <w:t>Escavações arqueológicas na Palestina encontraram espelhos de bronze, além de joias e roupas femininas. A maioria desses itens data do período após o exílio para Babilônia até os tempos romanos. Os espelhos geralmente são circulares e possuem cabos de madeira ou marfim (quando têm cabos).</w:t>
      </w:r>
      <w:r/>
      <w:r/>
    </w:p>
    <w:p>
      <w:r/>
    </w:p>
    <w:p>
      <w:pPr>
        <w:pStyle w:val="Heading2"/>
      </w:pPr>
      <w:r>
        <w:t>Espelta</w:t>
      </w:r>
      <w:r/>
    </w:p>
    <w:p>
      <w:r/>
      <w:r>
        <w:t>Espécies de trigo de grão duro que crescem melhor em vários tipos de solos. Era um grão popular entre os antigos (</w:t>
      </w:r>
      <w:hyperlink r:id="rId8346">
        <w:r>
          <w:rPr>
            <w:color w:val="0000EE"/>
            <w:u w:val="single"/>
          </w:rPr>
          <w:t>Êx 9.32</w:t>
        </w:r>
      </w:hyperlink>
      <w:r>
        <w:t xml:space="preserve">; </w:t>
      </w:r>
      <w:hyperlink r:id="rId572">
        <w:r>
          <w:rPr>
            <w:color w:val="0000EE"/>
            <w:u w:val="single"/>
          </w:rPr>
          <w:t>Ez 4.9</w:t>
        </w:r>
      </w:hyperlink>
      <w:r>
        <w:t>).</w:t>
      </w:r>
    </w:p>
    <w:p>
      <w:r/>
      <w:r>
        <w:rPr>
          <w:i/>
        </w:rPr>
        <w:t>Veja</w:t>
      </w:r>
      <w:r>
        <w:t xml:space="preserve"> </w:t>
      </w:r>
      <w:r>
        <w:t>Plantas</w:t>
      </w:r>
      <w:r>
        <w:t>.</w:t>
      </w:r>
      <w:r/>
      <w:r/>
    </w:p>
    <w:p>
      <w:r/>
    </w:p>
    <w:p>
      <w:pPr>
        <w:pStyle w:val="Heading2"/>
      </w:pPr>
      <w:r>
        <w:t>Espírito De Deus</w:t>
      </w:r>
      <w:r/>
    </w:p>
    <w:p>
      <w:r/>
      <w:r>
        <w:t xml:space="preserve">Descrição de Deus em ação, Deus em movimento. A palavra “espírito” (hebraico, </w:t>
      </w:r>
      <w:r>
        <w:rPr>
          <w:i/>
        </w:rPr>
        <w:t>ruach</w:t>
      </w:r>
      <w:r>
        <w:t>; grego, pneuma) é a palavra usada dos tempos antigos para descrever e explicar a experiência do poder divino trabalhando em, sobre e em torno das pessoas.</w:t>
      </w:r>
    </w:p>
    <w:p>
      <w:pPr>
        <w:pStyle w:val="Heading3"/>
      </w:pPr>
      <w:r>
        <w:t>No Antigo Testamento</w:t>
      </w:r>
    </w:p>
    <w:p>
      <w:r/>
      <w:r>
        <w:t>Há três significados básicos evidentes no uso de “espírito” dos primeiros escritos hebraicos: era um vento de Deus, era o sopro da vida, e era um espírito de êxtase.</w:t>
      </w:r>
    </w:p>
    <w:p>
      <w:r/>
      <w:r>
        <w:t xml:space="preserve">Primeiro, foi um vento de Deus (a mesma palavra hebraica traduzida “Espírito” em </w:t>
      </w:r>
      <w:hyperlink r:id="rId105">
        <w:r>
          <w:rPr>
            <w:color w:val="0000EE"/>
            <w:u w:val="single"/>
          </w:rPr>
          <w:t>Gn 1.2</w:t>
        </w:r>
      </w:hyperlink>
      <w:r>
        <w:t>) que fez com que as águas do Dilúvio diminuíssem (</w:t>
      </w:r>
      <w:hyperlink r:id="rId8347">
        <w:r>
          <w:rPr>
            <w:color w:val="0000EE"/>
            <w:u w:val="single"/>
          </w:rPr>
          <w:t>8.1</w:t>
        </w:r>
      </w:hyperlink>
      <w:r>
        <w:t>). Um vento de Deus soprou gafanhotos sobre o Egito (</w:t>
      </w:r>
      <w:hyperlink r:id="rId8348">
        <w:r>
          <w:rPr>
            <w:color w:val="0000EE"/>
            <w:u w:val="single"/>
          </w:rPr>
          <w:t>Êx 10.13</w:t>
        </w:r>
      </w:hyperlink>
      <w:r>
        <w:t>) e codornas sobre o acampamento de Israel. A explosão de suas narinas separou as águas do Mar Vermelho no Êxodo (</w:t>
      </w:r>
      <w:hyperlink r:id="rId8349">
        <w:r>
          <w:rPr>
            <w:color w:val="0000EE"/>
            <w:u w:val="single"/>
          </w:rPr>
          <w:t>14:21</w:t>
        </w:r>
      </w:hyperlink>
      <w:r>
        <w:t>).</w:t>
      </w:r>
    </w:p>
    <w:p>
      <w:r/>
      <w:r>
        <w:t>Segundo, foi o sopro de Deus que fez do homem um ser vivo (</w:t>
      </w:r>
      <w:hyperlink r:id="rId292">
        <w:r>
          <w:rPr>
            <w:color w:val="0000EE"/>
            <w:u w:val="single"/>
          </w:rPr>
          <w:t>Gn 2.7</w:t>
        </w:r>
      </w:hyperlink>
      <w:r>
        <w:t>). É uma das primeiras percepções da fé hebraica que os seres humanos vivem apenas por causa da agitação do sopro ou espírito divino dentro deles (</w:t>
      </w:r>
      <w:hyperlink r:id="rId4270">
        <w:r>
          <w:rPr>
            <w:color w:val="0000EE"/>
            <w:u w:val="single"/>
          </w:rPr>
          <w:t>Gn 6.3</w:t>
        </w:r>
      </w:hyperlink>
      <w:r>
        <w:t xml:space="preserve">; </w:t>
      </w:r>
      <w:hyperlink r:id="rId8350">
        <w:r>
          <w:rPr>
            <w:color w:val="0000EE"/>
            <w:u w:val="single"/>
          </w:rPr>
          <w:t>Jó 33.4</w:t>
        </w:r>
      </w:hyperlink>
      <w:r>
        <w:t xml:space="preserve">; </w:t>
      </w:r>
      <w:hyperlink r:id="rId8351">
        <w:r>
          <w:rPr>
            <w:color w:val="0000EE"/>
            <w:u w:val="single"/>
          </w:rPr>
          <w:t>34.14–15</w:t>
        </w:r>
      </w:hyperlink>
      <w:r>
        <w:t xml:space="preserve">; </w:t>
      </w:r>
      <w:hyperlink r:id="rId8352">
        <w:r>
          <w:rPr>
            <w:color w:val="0000EE"/>
            <w:u w:val="single"/>
          </w:rPr>
          <w:t>Sl 104.29–30</w:t>
        </w:r>
      </w:hyperlink>
      <w:r>
        <w:t>). Mais tarde, uma distinção mais clara foi traçada entre o Espírito divino e o espírito humano, e entre espírito e alma, mas no estágio inicial essas eram todas mais ou menos percebidas como manifestações sinônimas do mesmo poder divino, a fonte de toda a vida — animal, bem como humana (</w:t>
      </w:r>
      <w:hyperlink r:id="rId8353">
        <w:r>
          <w:rPr>
            <w:color w:val="0000EE"/>
            <w:u w:val="single"/>
          </w:rPr>
          <w:t>Gn 7.15,22</w:t>
        </w:r>
      </w:hyperlink>
      <w:r>
        <w:t xml:space="preserve">; veja </w:t>
      </w:r>
      <w:hyperlink r:id="rId8354">
        <w:r>
          <w:rPr>
            <w:color w:val="0000EE"/>
            <w:u w:val="single"/>
          </w:rPr>
          <w:t>Ec 3.19–21</w:t>
        </w:r>
      </w:hyperlink>
      <w:r>
        <w:t>).</w:t>
      </w:r>
    </w:p>
    <w:p>
      <w:r/>
      <w:r>
        <w:t>Terceiro, havia ocasiões em que este poder divino parecia ultrapassar e possuir um indivíduo completamente, de modo que suas palavras ou ações transcendiam em muito as do comportamento normal. Tal pessoa foi claramente marcada como um agente do propósito de Deus e dado respeito. Aparentemente, era assim que os líderes eram reconhecidos no período pré-monárquico — Otoniel (</w:t>
      </w:r>
      <w:hyperlink r:id="rId8355">
        <w:r>
          <w:rPr>
            <w:color w:val="0000EE"/>
            <w:u w:val="single"/>
          </w:rPr>
          <w:t>Jz 3.10</w:t>
        </w:r>
      </w:hyperlink>
      <w:r>
        <w:t>), Gideão (</w:t>
      </w:r>
      <w:hyperlink r:id="rId83">
        <w:r>
          <w:rPr>
            <w:color w:val="0000EE"/>
            <w:u w:val="single"/>
          </w:rPr>
          <w:t>6.34</w:t>
        </w:r>
      </w:hyperlink>
      <w:r>
        <w:t>), Jefté (</w:t>
      </w:r>
      <w:hyperlink r:id="rId8356">
        <w:r>
          <w:rPr>
            <w:color w:val="0000EE"/>
            <w:u w:val="single"/>
          </w:rPr>
          <w:t>11.29</w:t>
        </w:r>
      </w:hyperlink>
      <w:r>
        <w:t>) e o primeiro rei, Saul (</w:t>
      </w:r>
      <w:hyperlink r:id="rId8357">
        <w:r>
          <w:rPr>
            <w:color w:val="0000EE"/>
            <w:u w:val="single"/>
          </w:rPr>
          <w:t>1Sm 11.6</w:t>
        </w:r>
      </w:hyperlink>
      <w:r>
        <w:t>), também. Assim também, os primeiros profetas foram aqueles que tiveram a inspiração em êxtase (</w:t>
      </w:r>
      <w:hyperlink r:id="rId8358">
        <w:r>
          <w:rPr>
            <w:color w:val="0000EE"/>
            <w:u w:val="single"/>
          </w:rPr>
          <w:t>1Sm 19.20–24</w:t>
        </w:r>
      </w:hyperlink>
      <w:r>
        <w:t>).</w:t>
      </w:r>
    </w:p>
    <w:p>
      <w:r/>
      <w:r>
        <w:t>Nos estágios iniciais do pensamento hebraico, a experiência extática era vista como o efeito direto do poder divino. Isso era verdade mesmo quando o êxtase era reconhecido como mal em caráter, como no caso da tomada de Saul pelo Espírito (</w:t>
      </w:r>
      <w:hyperlink r:id="rId8359">
        <w:r>
          <w:rPr>
            <w:color w:val="0000EE"/>
            <w:u w:val="single"/>
          </w:rPr>
          <w:t>1Sm 16.14–16</w:t>
        </w:r>
      </w:hyperlink>
      <w:r>
        <w:t xml:space="preserve">). Um espírito de Deus poderia ser para o mal, bem como para o bem (veja </w:t>
      </w:r>
      <w:hyperlink r:id="rId6671">
        <w:r>
          <w:rPr>
            <w:color w:val="0000EE"/>
            <w:u w:val="single"/>
          </w:rPr>
          <w:t>Jz 9:23</w:t>
        </w:r>
      </w:hyperlink>
      <w:r>
        <w:t xml:space="preserve">; </w:t>
      </w:r>
      <w:hyperlink r:id="rId8360">
        <w:r>
          <w:rPr>
            <w:color w:val="0000EE"/>
            <w:u w:val="single"/>
          </w:rPr>
          <w:t>1Rs 22.19–23</w:t>
        </w:r>
      </w:hyperlink>
      <w:r>
        <w:t>).</w:t>
      </w:r>
    </w:p>
    <w:p>
      <w:pPr>
        <w:pStyle w:val="Heading4"/>
      </w:pPr>
      <w:r>
        <w:t>Nos escritos dos profetas</w:t>
      </w:r>
    </w:p>
    <w:p>
      <w:r/>
      <w:r>
        <w:t>Para Isaías, o espírito era aquilo que caracterizava Deus e o distinguia e suas ações dos assuntos humanos (</w:t>
      </w:r>
      <w:hyperlink r:id="rId4275">
        <w:r>
          <w:rPr>
            <w:color w:val="0000EE"/>
            <w:u w:val="single"/>
          </w:rPr>
          <w:t>Is 31.3</w:t>
        </w:r>
      </w:hyperlink>
      <w:r>
        <w:t>). Mais tarde, o adjetivo “santo” apareceu como aquele que distinguia o Espírito de Deus de qualquer outro espírito, humano ou divino (</w:t>
      </w:r>
      <w:hyperlink r:id="rId8361">
        <w:r>
          <w:rPr>
            <w:color w:val="0000EE"/>
            <w:u w:val="single"/>
          </w:rPr>
          <w:t>Sl 51.11</w:t>
        </w:r>
      </w:hyperlink>
      <w:r>
        <w:t xml:space="preserve">; </w:t>
      </w:r>
      <w:hyperlink r:id="rId8362">
        <w:r>
          <w:rPr>
            <w:color w:val="0000EE"/>
            <w:u w:val="single"/>
          </w:rPr>
          <w:t>Is 63.10–11</w:t>
        </w:r>
      </w:hyperlink>
      <w:r>
        <w:t>).</w:t>
      </w:r>
    </w:p>
    <w:p>
      <w:r/>
      <w:r>
        <w:t xml:space="preserve">O problema da falsa profecia enfatizava o perigo de assumir que cada mensagem transmitida em êxtase era a palavra do Senhor. Assim, os testes de profecia avaliavam o conteúdo da mensagem proferida ou o caráter da vida do profeta, não o grau ou qualidade da inspiração (ver </w:t>
      </w:r>
      <w:hyperlink r:id="rId8363">
        <w:r>
          <w:rPr>
            <w:color w:val="0000EE"/>
            <w:u w:val="single"/>
          </w:rPr>
          <w:t>Dt 13.1–5</w:t>
        </w:r>
      </w:hyperlink>
      <w:r>
        <w:t xml:space="preserve">; </w:t>
      </w:r>
      <w:hyperlink r:id="rId8364">
        <w:r>
          <w:rPr>
            <w:color w:val="0000EE"/>
            <w:u w:val="single"/>
          </w:rPr>
          <w:t>18.22</w:t>
        </w:r>
      </w:hyperlink>
      <w:r>
        <w:t xml:space="preserve">; </w:t>
      </w:r>
      <w:hyperlink r:id="rId8365">
        <w:r>
          <w:rPr>
            <w:color w:val="0000EE"/>
            <w:u w:val="single"/>
          </w:rPr>
          <w:t>Jr 23.14</w:t>
        </w:r>
      </w:hyperlink>
      <w:r>
        <w:t xml:space="preserve">; </w:t>
      </w:r>
      <w:hyperlink r:id="rId8366">
        <w:r>
          <w:rPr>
            <w:color w:val="0000EE"/>
            <w:u w:val="single"/>
          </w:rPr>
          <w:t>Mc 3.5</w:t>
        </w:r>
      </w:hyperlink>
      <w:r>
        <w:t>). Este sentido de uma necessidade de discriminar entre inspiração verdadeira e falsa e distinguir a palavra de Deus do oráculo meramente extático pode ajudar a explicar a relutância intrigante dos principais profetas do oitavo e sétimo séculos a.C. de atribuir sua inspiração ao Espírito.</w:t>
      </w:r>
    </w:p>
    <w:p>
      <w:pPr>
        <w:pStyle w:val="Heading4"/>
      </w:pPr>
      <w:r>
        <w:t>Nos escritos exílicos e pós-exílicos</w:t>
      </w:r>
    </w:p>
    <w:p>
      <w:r/>
      <w:r>
        <w:t>Na literatura exílica e pós-exílica, o papel do Espírito é estreitado a duas funções principais: a do Espírito profético e a do Espírito da era por vir.</w:t>
      </w:r>
    </w:p>
    <w:p>
      <w:r/>
      <w:r>
        <w:t xml:space="preserve">Os profetas posteriores novamente falaram do Espírito em termos explícitos como o inspirador da profecia (veja </w:t>
      </w:r>
      <w:hyperlink r:id="rId8367">
        <w:r>
          <w:rPr>
            <w:color w:val="0000EE"/>
            <w:u w:val="single"/>
          </w:rPr>
          <w:t>Ez 3.1–4,22–24</w:t>
        </w:r>
      </w:hyperlink>
      <w:r>
        <w:t xml:space="preserve">; </w:t>
      </w:r>
      <w:hyperlink r:id="rId533">
        <w:r>
          <w:rPr>
            <w:color w:val="0000EE"/>
            <w:u w:val="single"/>
          </w:rPr>
          <w:t>Ag 2.5</w:t>
        </w:r>
      </w:hyperlink>
      <w:r>
        <w:t xml:space="preserve">; </w:t>
      </w:r>
      <w:hyperlink r:id="rId8368">
        <w:r>
          <w:rPr>
            <w:color w:val="0000EE"/>
            <w:u w:val="single"/>
          </w:rPr>
          <w:t>Zc 4.6</w:t>
        </w:r>
      </w:hyperlink>
      <w:r>
        <w:t>). Ao olharem para trás para o período pré-exílico, esses profetas livremente atribuíam a inspiração dos “profetas anteriores” ao Espírito também (</w:t>
      </w:r>
      <w:hyperlink r:id="rId8369">
        <w:r>
          <w:rPr>
            <w:color w:val="0000EE"/>
            <w:u w:val="single"/>
          </w:rPr>
          <w:t>Zc 7.12</w:t>
        </w:r>
      </w:hyperlink>
      <w:r>
        <w:t>).</w:t>
      </w:r>
    </w:p>
    <w:p>
      <w:r/>
      <w:r>
        <w:t>Esta tendência de exaltar o papel do Espírito como inspirador da profecia se tornou firmemente mais forte no período entre o AT e o NT, até no judaísmo rabínico, o Espírito era quase exclusivamente o inspirador dos escritos proféticos agora considerados como Escrituras.</w:t>
      </w:r>
    </w:p>
    <w:p>
      <w:r/>
      <w:r>
        <w:t>A outra compreensão do papel do Espírito durante os tempos exílicos e pós-exílicos era que o Espírito seria a manifestação do poder de Deus na era por vir. Essa esperança escatológica de poder divino efetuando uma purificação final e uma criação renovada está enraizada principalmente nas profecias de Isaías (</w:t>
      </w:r>
      <w:hyperlink r:id="rId3044">
        <w:r>
          <w:rPr>
            <w:color w:val="0000EE"/>
            <w:u w:val="single"/>
          </w:rPr>
          <w:t>Is 4.4</w:t>
        </w:r>
      </w:hyperlink>
      <w:r>
        <w:t xml:space="preserve">; </w:t>
      </w:r>
      <w:hyperlink r:id="rId8370">
        <w:r>
          <w:rPr>
            <w:color w:val="0000EE"/>
            <w:u w:val="single"/>
          </w:rPr>
          <w:t>32.15</w:t>
        </w:r>
      </w:hyperlink>
      <w:r>
        <w:t xml:space="preserve">; </w:t>
      </w:r>
      <w:hyperlink r:id="rId8371">
        <w:r>
          <w:rPr>
            <w:color w:val="0000EE"/>
            <w:u w:val="single"/>
          </w:rPr>
          <w:t>44.3–4</w:t>
        </w:r>
      </w:hyperlink>
      <w:r>
        <w:t>). Isaías fala de um ungido pelo Espírito para realizar a salvação completa e final (</w:t>
      </w:r>
      <w:hyperlink r:id="rId8372">
        <w:r>
          <w:rPr>
            <w:color w:val="0000EE"/>
            <w:u w:val="single"/>
          </w:rPr>
          <w:t>11.2</w:t>
        </w:r>
      </w:hyperlink>
      <w:r>
        <w:t xml:space="preserve">; </w:t>
      </w:r>
      <w:hyperlink r:id="rId3198">
        <w:r>
          <w:rPr>
            <w:color w:val="0000EE"/>
            <w:u w:val="single"/>
          </w:rPr>
          <w:t>42.1</w:t>
        </w:r>
      </w:hyperlink>
      <w:r>
        <w:t xml:space="preserve">; </w:t>
      </w:r>
      <w:hyperlink r:id="rId8373">
        <w:r>
          <w:rPr>
            <w:color w:val="0000EE"/>
            <w:u w:val="single"/>
          </w:rPr>
          <w:t>61.1</w:t>
        </w:r>
      </w:hyperlink>
      <w:r>
        <w:t>). Em outro lugar, o mesmo desejo é expresso em termos de o Espírito ser livremente dispensado a todo o Israel (</w:t>
      </w:r>
      <w:hyperlink r:id="rId3271">
        <w:r>
          <w:rPr>
            <w:color w:val="0000EE"/>
            <w:u w:val="single"/>
          </w:rPr>
          <w:t>Ez 39.29</w:t>
        </w:r>
      </w:hyperlink>
      <w:r>
        <w:t xml:space="preserve">; </w:t>
      </w:r>
      <w:hyperlink r:id="rId3272">
        <w:r>
          <w:rPr>
            <w:color w:val="0000EE"/>
            <w:u w:val="single"/>
          </w:rPr>
          <w:t>Jl 2.28–29</w:t>
        </w:r>
      </w:hyperlink>
      <w:r>
        <w:t xml:space="preserve">; </w:t>
      </w:r>
      <w:hyperlink r:id="rId7068">
        <w:r>
          <w:rPr>
            <w:color w:val="0000EE"/>
            <w:u w:val="single"/>
          </w:rPr>
          <w:t>Zc 12.10</w:t>
        </w:r>
      </w:hyperlink>
      <w:r>
        <w:t>) na nova aliança (</w:t>
      </w:r>
      <w:hyperlink r:id="rId833">
        <w:r>
          <w:rPr>
            <w:color w:val="0000EE"/>
            <w:u w:val="single"/>
          </w:rPr>
          <w:t>Jr 31.31–34</w:t>
        </w:r>
      </w:hyperlink>
      <w:r>
        <w:t xml:space="preserve">; </w:t>
      </w:r>
      <w:hyperlink r:id="rId844">
        <w:r>
          <w:rPr>
            <w:color w:val="0000EE"/>
            <w:u w:val="single"/>
          </w:rPr>
          <w:t>Ez 36.26–27</w:t>
        </w:r>
      </w:hyperlink>
      <w:r>
        <w:t>).</w:t>
      </w:r>
    </w:p>
    <w:p>
      <w:r/>
      <w:r>
        <w:t>No período anterior a Jesus, a compreensão do Espírito como o Espírito da profecia e como o Espírito da era por vir havia se desenvolvido para o dogma generalizado de que o Espírito não deveria mais ser experimentado no presente. O Espírito havia sido conhecido no passado como o inspirador de escritos proféticos, mas depois de Ageu, Zacarias e Malaquias, o Espírito havia se retirado (</w:t>
      </w:r>
      <w:hyperlink r:id="rId8374">
        <w:r>
          <w:rPr>
            <w:color w:val="0000EE"/>
            <w:u w:val="single"/>
          </w:rPr>
          <w:t>1Mc 4.44–46</w:t>
        </w:r>
      </w:hyperlink>
      <w:r>
        <w:t xml:space="preserve">; </w:t>
      </w:r>
      <w:hyperlink r:id="rId8375">
        <w:r>
          <w:rPr>
            <w:color w:val="0000EE"/>
            <w:u w:val="single"/>
          </w:rPr>
          <w:t>9.27</w:t>
        </w:r>
      </w:hyperlink>
      <w:r>
        <w:t xml:space="preserve">; 2Br 85.1–3; ver também </w:t>
      </w:r>
      <w:hyperlink r:id="rId8376">
        <w:r>
          <w:rPr>
            <w:color w:val="0000EE"/>
            <w:u w:val="single"/>
          </w:rPr>
          <w:t>Sl 74.9</w:t>
        </w:r>
      </w:hyperlink>
      <w:r>
        <w:t xml:space="preserve">; </w:t>
      </w:r>
      <w:hyperlink r:id="rId8377">
        <w:r>
          <w:rPr>
            <w:color w:val="0000EE"/>
            <w:u w:val="single"/>
          </w:rPr>
          <w:t>Zc 13.2–6</w:t>
        </w:r>
      </w:hyperlink>
      <w:r>
        <w:t>). O Espírito seria conhecido novamente na era do Messias, mas nesse ínterim o Espírito estava ausente de Israel. Até o grande Hillel (erudito líder e mestre judeu, 60? a.C. – 20? d.C.), um contemporâneo próximo de Jesus, não havia recebido o Espírito — embora se alguém fosse digno do Espírito, era ele. Há uma tradição de que, em uma reunião de Hillel e outros homens sábios, uma voz do céu disse: “Entre aqueles que estão aqui presentes está alguém que teria merecido o Espírito Santo descansar sobre ele, se seu tempo tivesse sido digno disso”. Todos os homens sábios olharam para Hillel.</w:t>
      </w:r>
    </w:p>
    <w:p>
      <w:r/>
      <w:r>
        <w:t>A consequência desta escassez aceita do Espírito foi que o Espírito, de fato, se tornou subordinado à lei. O Espírito era o inspirador da lei, mas uma vez que o Espírito não podia mais ser experimentado diretamente, a lei se tornou a única voz do Espírito. Foi este crescente domínio da lei e seus intérpretes oficiais que forneceram o pano de fundo para a missão de Jesus e a propagação inicial do cristianismo.</w:t>
      </w:r>
    </w:p>
    <w:p>
      <w:pPr>
        <w:pStyle w:val="Heading3"/>
      </w:pPr>
      <w:r>
        <w:t>No Novo Testamento</w:t>
      </w:r>
    </w:p>
    <w:p>
      <w:r/>
      <w:r>
        <w:t xml:space="preserve">Se quisermos entender o ensino do NT sobre o Espírito, devemos reconhecer tanto sua continuidade quanto sua descontinuidade com o AT. Em muitos pontos, o uso do NT não pode ser totalmente entendido, exceto no contexto dos conceitos ou passagens do AT. Por exemplo, a ambiguidade de </w:t>
      </w:r>
      <w:hyperlink r:id="rId8378">
        <w:r>
          <w:rPr>
            <w:color w:val="0000EE"/>
            <w:u w:val="single"/>
          </w:rPr>
          <w:t>João 3.8</w:t>
        </w:r>
      </w:hyperlink>
      <w:r>
        <w:t xml:space="preserve"> (“vento”, “Espírito”), </w:t>
      </w:r>
      <w:hyperlink r:id="rId939">
        <w:r>
          <w:rPr>
            <w:color w:val="0000EE"/>
            <w:u w:val="single"/>
          </w:rPr>
          <w:t>2 Tessalonicenses 2.8</w:t>
        </w:r>
      </w:hyperlink>
      <w:r>
        <w:t xml:space="preserve"> (“sopro”) e </w:t>
      </w:r>
      <w:hyperlink r:id="rId8379">
        <w:r>
          <w:rPr>
            <w:color w:val="0000EE"/>
            <w:u w:val="single"/>
          </w:rPr>
          <w:t>Apocalipse 11.11</w:t>
        </w:r>
      </w:hyperlink>
      <w:r>
        <w:t xml:space="preserve"> (“sopro de vida”) nos leva de volta aos significados básicos hebraicos de “espírito”. </w:t>
      </w:r>
      <w:hyperlink r:id="rId8380">
        <w:r>
          <w:rPr>
            <w:color w:val="0000EE"/>
            <w:u w:val="single"/>
          </w:rPr>
          <w:t>Atos 8.39</w:t>
        </w:r>
      </w:hyperlink>
      <w:r>
        <w:t xml:space="preserve"> e </w:t>
      </w:r>
      <w:hyperlink r:id="rId8381">
        <w:r>
          <w:rPr>
            <w:color w:val="0000EE"/>
            <w:u w:val="single"/>
          </w:rPr>
          <w:t>Apocalipse 17.3</w:t>
        </w:r>
      </w:hyperlink>
      <w:r>
        <w:t xml:space="preserve"> e </w:t>
      </w:r>
      <w:hyperlink r:id="rId8382">
        <w:r>
          <w:rPr>
            <w:color w:val="0000EE"/>
            <w:u w:val="single"/>
          </w:rPr>
          <w:t>21.10</w:t>
        </w:r>
      </w:hyperlink>
      <w:r>
        <w:t xml:space="preserve"> refletem a mesma concepção do Espírito que encontramos em </w:t>
      </w:r>
      <w:hyperlink r:id="rId8383">
        <w:r>
          <w:rPr>
            <w:color w:val="0000EE"/>
            <w:u w:val="single"/>
          </w:rPr>
          <w:t>1 Reis 18.12</w:t>
        </w:r>
      </w:hyperlink>
      <w:r>
        <w:t xml:space="preserve">, </w:t>
      </w:r>
      <w:hyperlink r:id="rId8384">
        <w:r>
          <w:rPr>
            <w:color w:val="0000EE"/>
            <w:u w:val="single"/>
          </w:rPr>
          <w:t>2 Reis 2.16</w:t>
        </w:r>
      </w:hyperlink>
      <w:r>
        <w:t xml:space="preserve"> e </w:t>
      </w:r>
      <w:hyperlink r:id="rId8385">
        <w:r>
          <w:rPr>
            <w:color w:val="0000EE"/>
            <w:u w:val="single"/>
          </w:rPr>
          <w:t>Ezequiel 3.14</w:t>
        </w:r>
      </w:hyperlink>
      <w:r>
        <w:t xml:space="preserve">. Os escritores do NT geralmente compartilham a visão rabínica de que as Escrituras têm a autoridade do Espírito por trás delas (veja </w:t>
      </w:r>
      <w:hyperlink r:id="rId8386">
        <w:r>
          <w:rPr>
            <w:color w:val="0000EE"/>
            <w:u w:val="single"/>
          </w:rPr>
          <w:t>Mc 12.36</w:t>
        </w:r>
      </w:hyperlink>
      <w:r>
        <w:t xml:space="preserve">; </w:t>
      </w:r>
      <w:hyperlink r:id="rId8387">
        <w:r>
          <w:rPr>
            <w:color w:val="0000EE"/>
            <w:u w:val="single"/>
          </w:rPr>
          <w:t>Atos 28.25</w:t>
        </w:r>
      </w:hyperlink>
      <w:r>
        <w:t xml:space="preserve">; </w:t>
      </w:r>
      <w:hyperlink r:id="rId8388">
        <w:r>
          <w:rPr>
            <w:color w:val="0000EE"/>
            <w:u w:val="single"/>
          </w:rPr>
          <w:t>Hb 3.7</w:t>
        </w:r>
      </w:hyperlink>
      <w:r>
        <w:t xml:space="preserve">; </w:t>
      </w:r>
      <w:hyperlink r:id="rId8389">
        <w:r>
          <w:rPr>
            <w:color w:val="0000EE"/>
            <w:u w:val="single"/>
          </w:rPr>
          <w:t>2Pe 1.21</w:t>
        </w:r>
      </w:hyperlink>
      <w:r>
        <w:t>). A principal continuidade é que o NT traz a realização do que os escritores do AT esperavam para alcançar. Ao mesmo tempo, o cristianismo não é simplesmente o judaísmo realizado. A vinda de Jesus e a doação de seu Espírito para viver dentro de seus crentes marcam a nova fé como algo novo e distinto.</w:t>
      </w:r>
    </w:p>
    <w:p>
      <w:pPr>
        <w:pStyle w:val="Heading4"/>
      </w:pPr>
      <w:r>
        <w:t>O Espírito da Nova Era</w:t>
      </w:r>
    </w:p>
    <w:p>
      <w:r/>
      <w:r>
        <w:t>A característica mais marcante do ministério de Jesus e da mensagem dos primeiros cristãos era sua convicção e proclamação de que as bênçãos da nova era já estavam presentes, que o Espírito escatológico já havia sido derramado. Com a exceção dos essênios em Qumran, nenhum outro grupo ou indivíduo dentro da religião judaica daquela época havia ousado fazer uma afirmação tão ousada. Os profetas e os rabinos esperavam uma era messiânica ainda por vir, e os escritores apocalípticos advertiram de sua chegada iminente, mas ninguém pensava nisso como já presente. Até mesmo João Batista falou apenas de um prestes a vir e da operação do Espírito no futuro iminente (</w:t>
      </w:r>
      <w:hyperlink r:id="rId862">
        <w:r>
          <w:rPr>
            <w:color w:val="0000EE"/>
            <w:u w:val="single"/>
          </w:rPr>
          <w:t>Mc 1.8</w:t>
        </w:r>
      </w:hyperlink>
      <w:r>
        <w:t>). Mas para Jesus e os cristãos do primeiro século, a esperança almejada era uma realidade viva, e a alegação carregava consigo o emocionante sentido de estar nos “últimos dias”. Sem algum reconhecimento dessa dimensão escatológica da fé e vida dos cristãos, não podemos entender este ensino e a experiência do Espírito.</w:t>
      </w:r>
    </w:p>
    <w:p>
      <w:r/>
      <w:r>
        <w:t>Jesus claramente pensou em seus ensinamentos e curas como a realização da esperança profética (</w:t>
      </w:r>
      <w:hyperlink r:id="rId8390">
        <w:r>
          <w:rPr>
            <w:color w:val="0000EE"/>
            <w:u w:val="single"/>
          </w:rPr>
          <w:t>Mt 12.41–42</w:t>
        </w:r>
      </w:hyperlink>
      <w:r>
        <w:t xml:space="preserve">; </w:t>
      </w:r>
      <w:hyperlink r:id="rId8391">
        <w:r>
          <w:rPr>
            <w:color w:val="0000EE"/>
            <w:u w:val="single"/>
          </w:rPr>
          <w:t>13.16–17</w:t>
        </w:r>
      </w:hyperlink>
      <w:r>
        <w:t xml:space="preserve">; </w:t>
      </w:r>
      <w:hyperlink r:id="rId8392">
        <w:r>
          <w:rPr>
            <w:color w:val="0000EE"/>
            <w:u w:val="single"/>
          </w:rPr>
          <w:t>Lc 17.20–21</w:t>
        </w:r>
      </w:hyperlink>
      <w:r>
        <w:t>). Em especial, ele se viu como o ungido pelo Espírito para fornecer salvação (</w:t>
      </w:r>
      <w:hyperlink r:id="rId8393">
        <w:r>
          <w:rPr>
            <w:color w:val="0000EE"/>
            <w:u w:val="single"/>
          </w:rPr>
          <w:t>Mt 5.3–6</w:t>
        </w:r>
      </w:hyperlink>
      <w:r>
        <w:t xml:space="preserve">; </w:t>
      </w:r>
      <w:hyperlink r:id="rId4641">
        <w:r>
          <w:rPr>
            <w:color w:val="0000EE"/>
            <w:u w:val="single"/>
          </w:rPr>
          <w:t>11.5</w:t>
        </w:r>
      </w:hyperlink>
      <w:r>
        <w:t xml:space="preserve">; </w:t>
      </w:r>
      <w:hyperlink r:id="rId8394">
        <w:r>
          <w:rPr>
            <w:color w:val="0000EE"/>
            <w:u w:val="single"/>
          </w:rPr>
          <w:t>Lc 4.17–19</w:t>
        </w:r>
      </w:hyperlink>
      <w:r>
        <w:t>). Assim também, Jesus entendeu seus exorcismos como o efeito do poder de Deus e como manifestações do governo de Deus do fim dos tempos (</w:t>
      </w:r>
      <w:hyperlink r:id="rId8395">
        <w:r>
          <w:rPr>
            <w:color w:val="0000EE"/>
            <w:u w:val="single"/>
          </w:rPr>
          <w:t>Mt 12.27–28</w:t>
        </w:r>
      </w:hyperlink>
      <w:r>
        <w:t xml:space="preserve">; </w:t>
      </w:r>
      <w:hyperlink r:id="rId8396">
        <w:r>
          <w:rPr>
            <w:color w:val="0000EE"/>
            <w:u w:val="single"/>
          </w:rPr>
          <w:t>Mc 3.22–26</w:t>
        </w:r>
      </w:hyperlink>
      <w:r>
        <w:t>). Os escritores do Evangelho, especialmente Lucas, enfatizam o caráter escatológico da vida e ministério de Jesus enfatizando o papel do Espírito em seu nascimento (</w:t>
      </w:r>
      <w:hyperlink r:id="rId4576">
        <w:r>
          <w:rPr>
            <w:color w:val="0000EE"/>
            <w:u w:val="single"/>
          </w:rPr>
          <w:t>Mt 1.18</w:t>
        </w:r>
      </w:hyperlink>
      <w:r>
        <w:t xml:space="preserve">; </w:t>
      </w:r>
      <w:hyperlink r:id="rId2011">
        <w:r>
          <w:rPr>
            <w:color w:val="0000EE"/>
            <w:u w:val="single"/>
          </w:rPr>
          <w:t>Lc 1.35, 41, 67</w:t>
        </w:r>
      </w:hyperlink>
      <w:r>
        <w:t xml:space="preserve">; </w:t>
      </w:r>
      <w:hyperlink r:id="rId8397">
        <w:r>
          <w:rPr>
            <w:color w:val="0000EE"/>
            <w:u w:val="single"/>
          </w:rPr>
          <w:t>2.25–27</w:t>
        </w:r>
      </w:hyperlink>
      <w:r>
        <w:t>), seu batismo (</w:t>
      </w:r>
      <w:hyperlink r:id="rId8398">
        <w:r>
          <w:rPr>
            <w:color w:val="0000EE"/>
            <w:u w:val="single"/>
          </w:rPr>
          <w:t>Mc 1.9–10</w:t>
        </w:r>
      </w:hyperlink>
      <w:r>
        <w:t xml:space="preserve">; </w:t>
      </w:r>
      <w:hyperlink r:id="rId8399">
        <w:r>
          <w:rPr>
            <w:color w:val="0000EE"/>
            <w:u w:val="single"/>
          </w:rPr>
          <w:t>Atos 10.38</w:t>
        </w:r>
      </w:hyperlink>
      <w:r>
        <w:t>) e seu ministério (</w:t>
      </w:r>
      <w:hyperlink r:id="rId8400">
        <w:r>
          <w:rPr>
            <w:color w:val="0000EE"/>
            <w:u w:val="single"/>
          </w:rPr>
          <w:t>Mt 4.1</w:t>
        </w:r>
      </w:hyperlink>
      <w:r>
        <w:t xml:space="preserve">; </w:t>
      </w:r>
      <w:hyperlink r:id="rId8401">
        <w:r>
          <w:rPr>
            <w:color w:val="0000EE"/>
            <w:u w:val="single"/>
          </w:rPr>
          <w:t>12.18</w:t>
        </w:r>
      </w:hyperlink>
      <w:r>
        <w:t xml:space="preserve">; </w:t>
      </w:r>
      <w:hyperlink r:id="rId8402">
        <w:r>
          <w:rPr>
            <w:color w:val="0000EE"/>
            <w:u w:val="single"/>
          </w:rPr>
          <w:t>Mc 1.12</w:t>
        </w:r>
      </w:hyperlink>
      <w:r>
        <w:t xml:space="preserve">; </w:t>
      </w:r>
      <w:hyperlink r:id="rId2896">
        <w:r>
          <w:rPr>
            <w:color w:val="0000EE"/>
            <w:u w:val="single"/>
          </w:rPr>
          <w:t>Lc 4.1, 14</w:t>
        </w:r>
      </w:hyperlink>
      <w:r>
        <w:t xml:space="preserve">; </w:t>
      </w:r>
      <w:hyperlink r:id="rId8403">
        <w:r>
          <w:rPr>
            <w:color w:val="0000EE"/>
            <w:u w:val="single"/>
          </w:rPr>
          <w:t>10.21</w:t>
        </w:r>
      </w:hyperlink>
      <w:r>
        <w:t xml:space="preserve">; </w:t>
      </w:r>
      <w:hyperlink r:id="rId8404">
        <w:r>
          <w:rPr>
            <w:color w:val="0000EE"/>
            <w:u w:val="single"/>
          </w:rPr>
          <w:t>Jo 3.34</w:t>
        </w:r>
      </w:hyperlink>
      <w:r>
        <w:t>).</w:t>
      </w:r>
    </w:p>
    <w:p>
      <w:r/>
      <w:r>
        <w:t>A igreja cristã começou com a inspiração do Espírito Santo no dia da ressurreição de Cristo (</w:t>
      </w:r>
      <w:hyperlink r:id="rId8405">
        <w:r>
          <w:rPr>
            <w:color w:val="0000EE"/>
            <w:u w:val="single"/>
          </w:rPr>
          <w:t>Jo 20.22</w:t>
        </w:r>
      </w:hyperlink>
      <w:r>
        <w:t>), seguida pelo derramamento do Espírito em Pentecostes “nos últimos dias”. A experiência esmagadora de visão e proclamação inspirada foi tomada como prova positiva de que a nova era profetizada por Joel havia chegado agora (</w:t>
      </w:r>
      <w:hyperlink r:id="rId8406">
        <w:r>
          <w:rPr>
            <w:color w:val="0000EE"/>
            <w:u w:val="single"/>
          </w:rPr>
          <w:t>Atos 2.2–5,17–18</w:t>
        </w:r>
      </w:hyperlink>
      <w:r>
        <w:t>). Da mesma forma, em Hebreus, o dom do Espírito é mencionado como “os poderes da era por vir” (</w:t>
      </w:r>
      <w:hyperlink r:id="rId8407">
        <w:r>
          <w:rPr>
            <w:color w:val="0000EE"/>
            <w:u w:val="single"/>
          </w:rPr>
          <w:t>Hb 6.4–5</w:t>
        </w:r>
      </w:hyperlink>
      <w:r>
        <w:t>). Mais impressionante ainda é a compreensão de Paulo sobre o Espírito como a garantia da salvação completa de Deus (</w:t>
      </w:r>
      <w:hyperlink r:id="rId887">
        <w:r>
          <w:rPr>
            <w:color w:val="0000EE"/>
            <w:u w:val="single"/>
          </w:rPr>
          <w:t>2Co 1.22</w:t>
        </w:r>
      </w:hyperlink>
      <w:r>
        <w:t xml:space="preserve">; </w:t>
      </w:r>
      <w:hyperlink r:id="rId888">
        <w:r>
          <w:rPr>
            <w:color w:val="0000EE"/>
            <w:u w:val="single"/>
          </w:rPr>
          <w:t>5.5</w:t>
        </w:r>
      </w:hyperlink>
      <w:r>
        <w:t xml:space="preserve">; </w:t>
      </w:r>
      <w:hyperlink r:id="rId889">
        <w:r>
          <w:rPr>
            <w:color w:val="0000EE"/>
            <w:u w:val="single"/>
          </w:rPr>
          <w:t>Ef 1.13–14</w:t>
        </w:r>
      </w:hyperlink>
      <w:r>
        <w:t>), e como a primeira parcela da herança do crente do reino de Deus (</w:t>
      </w:r>
      <w:hyperlink r:id="rId8408">
        <w:r>
          <w:rPr>
            <w:color w:val="0000EE"/>
            <w:u w:val="single"/>
          </w:rPr>
          <w:t>Rm 8.15–17</w:t>
        </w:r>
      </w:hyperlink>
      <w:r>
        <w:t xml:space="preserve">; </w:t>
      </w:r>
      <w:hyperlink r:id="rId5776">
        <w:r>
          <w:rPr>
            <w:color w:val="0000EE"/>
            <w:u w:val="single"/>
          </w:rPr>
          <w:t>1Co 6.9–11</w:t>
        </w:r>
      </w:hyperlink>
      <w:r>
        <w:t xml:space="preserve">; </w:t>
      </w:r>
      <w:hyperlink r:id="rId8409">
        <w:r>
          <w:rPr>
            <w:color w:val="0000EE"/>
            <w:u w:val="single"/>
          </w:rPr>
          <w:t>15.42–50</w:t>
        </w:r>
      </w:hyperlink>
      <w:r>
        <w:t xml:space="preserve">; </w:t>
      </w:r>
      <w:hyperlink r:id="rId8410">
        <w:r>
          <w:rPr>
            <w:color w:val="0000EE"/>
            <w:u w:val="single"/>
          </w:rPr>
          <w:t>Gl 4.6–7</w:t>
        </w:r>
      </w:hyperlink>
      <w:r>
        <w:t xml:space="preserve">; </w:t>
      </w:r>
      <w:hyperlink r:id="rId8411">
        <w:r>
          <w:rPr>
            <w:color w:val="0000EE"/>
            <w:u w:val="single"/>
          </w:rPr>
          <w:t>5.16–18, 21–23</w:t>
        </w:r>
      </w:hyperlink>
      <w:r>
        <w:t xml:space="preserve">; </w:t>
      </w:r>
      <w:hyperlink r:id="rId889">
        <w:r>
          <w:rPr>
            <w:color w:val="0000EE"/>
            <w:u w:val="single"/>
          </w:rPr>
          <w:t>Ef 1.13–14</w:t>
        </w:r>
      </w:hyperlink>
      <w:r>
        <w:t>). O Espírito está aqui novamente considerado como o poder da era por vir, como esse poder (que caracterizará o governo de Deus no fim dos tempos) já moldando e transformando as vidas dos crentes.</w:t>
      </w:r>
    </w:p>
    <w:p>
      <w:r/>
      <w:r>
        <w:t>Para Paulo, isso significa também que o dom do Espírito é nada menos que o início de um processo ao longo da vida que não terminará até que toda a pessoa do crente seja trazida sob o poder do Espírito (</w:t>
      </w:r>
      <w:hyperlink r:id="rId8412">
        <w:r>
          <w:rPr>
            <w:color w:val="0000EE"/>
            <w:u w:val="single"/>
          </w:rPr>
          <w:t>Rm 8.11,23</w:t>
        </w:r>
      </w:hyperlink>
      <w:r>
        <w:t xml:space="preserve">; </w:t>
      </w:r>
      <w:hyperlink r:id="rId8413">
        <w:r>
          <w:rPr>
            <w:color w:val="0000EE"/>
            <w:u w:val="single"/>
          </w:rPr>
          <w:t>1Co 15.44–49</w:t>
        </w:r>
      </w:hyperlink>
      <w:r>
        <w:t xml:space="preserve">; </w:t>
      </w:r>
      <w:hyperlink r:id="rId370">
        <w:r>
          <w:rPr>
            <w:color w:val="0000EE"/>
            <w:u w:val="single"/>
          </w:rPr>
          <w:t>2Co 3:18</w:t>
        </w:r>
      </w:hyperlink>
      <w:r>
        <w:t xml:space="preserve">; </w:t>
      </w:r>
      <w:hyperlink r:id="rId5894">
        <w:r>
          <w:rPr>
            <w:color w:val="0000EE"/>
            <w:u w:val="single"/>
          </w:rPr>
          <w:t>5.1–5</w:t>
        </w:r>
      </w:hyperlink>
      <w:r>
        <w:t>). Também significa que a experiência presente de fé é uma tensão ao longo da vida entre o que Deus já começou a trazer na vida do crente e o que ainda não foi trazido sob a graça de Deus (</w:t>
      </w:r>
      <w:hyperlink r:id="rId7024">
        <w:r>
          <w:rPr>
            <w:color w:val="0000EE"/>
            <w:u w:val="single"/>
          </w:rPr>
          <w:t>Fp 1.6</w:t>
        </w:r>
      </w:hyperlink>
      <w:r>
        <w:t xml:space="preserve">). É esta tensão entre a vida “no Espírito” e a vida “na carne” (ver </w:t>
      </w:r>
      <w:hyperlink r:id="rId4289">
        <w:r>
          <w:rPr>
            <w:color w:val="0000EE"/>
            <w:u w:val="single"/>
          </w:rPr>
          <w:t>Gl 2.20</w:t>
        </w:r>
      </w:hyperlink>
      <w:r>
        <w:t xml:space="preserve">) que vem a expressão pungente em </w:t>
      </w:r>
      <w:hyperlink r:id="rId5971">
        <w:r>
          <w:rPr>
            <w:color w:val="0000EE"/>
            <w:u w:val="single"/>
          </w:rPr>
          <w:t>Romanos 7.24</w:t>
        </w:r>
      </w:hyperlink>
      <w:r>
        <w:t xml:space="preserve"> e </w:t>
      </w:r>
      <w:hyperlink r:id="rId8414">
        <w:r>
          <w:rPr>
            <w:color w:val="0000EE"/>
            <w:u w:val="single"/>
          </w:rPr>
          <w:t>2 Coríntios 5.2–4</w:t>
        </w:r>
      </w:hyperlink>
      <w:r>
        <w:t>.</w:t>
      </w:r>
    </w:p>
    <w:p>
      <w:pPr>
        <w:pStyle w:val="Heading4"/>
      </w:pPr>
      <w:r>
        <w:t>O Espírito da Nova Vida</w:t>
      </w:r>
    </w:p>
    <w:p>
      <w:r/>
      <w:r>
        <w:t>Uma vez que o Espírito é a marca da nova era, não é surpreendente que os escritores do NT entendessem o dom do Espírito como sendo aquilo que traz um indivíduo para a nova era. João Batista descreveu a maneira como o vindouro batizaria com o Espírito Santo e com fogo (</w:t>
      </w:r>
      <w:hyperlink r:id="rId861">
        <w:r>
          <w:rPr>
            <w:color w:val="0000EE"/>
            <w:u w:val="single"/>
          </w:rPr>
          <w:t>Mt 3.11</w:t>
        </w:r>
      </w:hyperlink>
      <w:r>
        <w:t xml:space="preserve">). De acordo com </w:t>
      </w:r>
      <w:hyperlink r:id="rId859">
        <w:r>
          <w:rPr>
            <w:color w:val="0000EE"/>
            <w:u w:val="single"/>
          </w:rPr>
          <w:t>Atos 1.5</w:t>
        </w:r>
      </w:hyperlink>
      <w:r>
        <w:t xml:space="preserve"> e </w:t>
      </w:r>
      <w:hyperlink r:id="rId860">
        <w:r>
          <w:rPr>
            <w:color w:val="0000EE"/>
            <w:u w:val="single"/>
          </w:rPr>
          <w:t>11.16</w:t>
        </w:r>
      </w:hyperlink>
      <w:r>
        <w:t>, esta imagem foi tomada por Jesus, e a promessa é vista como realizada no Pentecostes — o derramamento do Espírito aqui sendo entendido como a ação de Cristo ressuscitado em atrair seus discípulos para a nova era (</w:t>
      </w:r>
      <w:hyperlink r:id="rId4971">
        <w:r>
          <w:rPr>
            <w:color w:val="0000EE"/>
            <w:u w:val="single"/>
          </w:rPr>
          <w:t>Atos 2.17,33</w:t>
        </w:r>
      </w:hyperlink>
      <w:r>
        <w:t>).</w:t>
      </w:r>
    </w:p>
    <w:p>
      <w:r/>
      <w:r>
        <w:t>Parece ser um dos objetivos de Lucas no livro de Atos destacar a importância central do dom do Espírito na conversão e iniciação — é aquele “dom do Espírito Santo” decisivo que faz de alguém um cristão (</w:t>
      </w:r>
      <w:hyperlink r:id="rId8415">
        <w:r>
          <w:rPr>
            <w:color w:val="0000EE"/>
            <w:u w:val="single"/>
          </w:rPr>
          <w:t>Atos 2.38–39</w:t>
        </w:r>
      </w:hyperlink>
      <w:r>
        <w:t>). As pessoas poderiam ter sido seguidoras de Jesus na terra, mas foi apenas quando receberam o dom do Espírito que poderia ser dito que elas “acreditaram no Senhor Jesus Cristo” (</w:t>
      </w:r>
      <w:hyperlink r:id="rId3210">
        <w:r>
          <w:rPr>
            <w:color w:val="0000EE"/>
            <w:u w:val="single"/>
          </w:rPr>
          <w:t>11.16–17</w:t>
        </w:r>
      </w:hyperlink>
      <w:r>
        <w:t>). Quando a presença do Espírito foi manifesta na e sobre a vida de uma pessoa, isso foi reconhecido por Pedro como prova suficiente de que Deus havia aceitado essa pessoa, mesmo que ele ou ela ainda não tivesse feito qualquer profissão formal de fé, ou sido batizado (</w:t>
      </w:r>
      <w:hyperlink r:id="rId4968">
        <w:r>
          <w:rPr>
            <w:color w:val="0000EE"/>
            <w:u w:val="single"/>
          </w:rPr>
          <w:t>10.44–48</w:t>
        </w:r>
      </w:hyperlink>
      <w:r>
        <w:t xml:space="preserve">; </w:t>
      </w:r>
      <w:hyperlink r:id="rId8416">
        <w:r>
          <w:rPr>
            <w:color w:val="0000EE"/>
            <w:u w:val="single"/>
          </w:rPr>
          <w:t>11.15–18</w:t>
        </w:r>
      </w:hyperlink>
      <w:r>
        <w:t xml:space="preserve">; </w:t>
      </w:r>
      <w:hyperlink r:id="rId8417">
        <w:r>
          <w:rPr>
            <w:color w:val="0000EE"/>
            <w:u w:val="single"/>
          </w:rPr>
          <w:t>15.7–9</w:t>
        </w:r>
      </w:hyperlink>
      <w:r>
        <w:t>). Assim também Apolo, já agitado com o Espírito (</w:t>
      </w:r>
      <w:hyperlink r:id="rId2866">
        <w:r>
          <w:rPr>
            <w:color w:val="0000EE"/>
            <w:u w:val="single"/>
          </w:rPr>
          <w:t>18.25</w:t>
        </w:r>
      </w:hyperlink>
      <w:r>
        <w:t xml:space="preserve">), mesmo que seu conhecimento do “caminho de Deus” fosse ligeiramente defeituoso (vv. </w:t>
      </w:r>
      <w:hyperlink r:id="rId7627">
        <w:r>
          <w:rPr>
            <w:color w:val="0000EE"/>
            <w:u w:val="single"/>
          </w:rPr>
          <w:t>24–26</w:t>
        </w:r>
      </w:hyperlink>
      <w:r>
        <w:t>), aparentemente não era obrigado a suplementar seu “batismo de João” com o batismo cristão. No entanto, as 12 pessoas em Éfeso, assim chamadas de discípulos, provaram por sua própria ignorância do Espírito que eles ainda não eram discípulos do Senhor Jesus (</w:t>
      </w:r>
      <w:hyperlink r:id="rId8418">
        <w:r>
          <w:rPr>
            <w:color w:val="0000EE"/>
            <w:u w:val="single"/>
          </w:rPr>
          <w:t>19.1–6</w:t>
        </w:r>
      </w:hyperlink>
      <w:r>
        <w:t>). Paulo perguntou a esses 12 homens: “Vocês receberam o Espírito Santo quando acreditaram?” (</w:t>
      </w:r>
      <w:hyperlink r:id="rId8419">
        <w:r>
          <w:rPr>
            <w:color w:val="0000EE"/>
            <w:u w:val="single"/>
          </w:rPr>
          <w:t>19.2</w:t>
        </w:r>
      </w:hyperlink>
      <w:r>
        <w:t>).</w:t>
      </w:r>
    </w:p>
    <w:p>
      <w:r/>
      <w:r>
        <w:t>Isso está de acordo com a ênfase de Paulo em suas cartas. A crença e a recepção do Espírito andam juntas: receber o Espírito é começar a vida cristã (</w:t>
      </w:r>
      <w:hyperlink r:id="rId8420">
        <w:r>
          <w:rPr>
            <w:color w:val="0000EE"/>
            <w:u w:val="single"/>
          </w:rPr>
          <w:t>Gl 3.2–3</w:t>
        </w:r>
      </w:hyperlink>
      <w:r>
        <w:t>); ser batizado no Espírito é se tornar um membro do corpo de Cristo (</w:t>
      </w:r>
      <w:hyperlink r:id="rId420">
        <w:r>
          <w:rPr>
            <w:color w:val="0000EE"/>
            <w:u w:val="single"/>
          </w:rPr>
          <w:t>1Co 12.13</w:t>
        </w:r>
      </w:hyperlink>
      <w:r>
        <w:t>); “ter o Espírito de Cristo” é pertencer a Cristo (</w:t>
      </w:r>
      <w:hyperlink r:id="rId8421">
        <w:r>
          <w:rPr>
            <w:color w:val="0000EE"/>
            <w:u w:val="single"/>
          </w:rPr>
          <w:t>Rm 8.9–11</w:t>
        </w:r>
      </w:hyperlink>
      <w:r>
        <w:t>); receber o Espírito é equivalente a se tornar um filho de Deus (</w:t>
      </w:r>
      <w:hyperlink r:id="rId8422">
        <w:r>
          <w:rPr>
            <w:color w:val="0000EE"/>
            <w:u w:val="single"/>
          </w:rPr>
          <w:t>Rm 8.14–17</w:t>
        </w:r>
      </w:hyperlink>
      <w:r>
        <w:t xml:space="preserve">; </w:t>
      </w:r>
      <w:hyperlink r:id="rId8410">
        <w:r>
          <w:rPr>
            <w:color w:val="0000EE"/>
            <w:u w:val="single"/>
          </w:rPr>
          <w:t>Gl 4.6–7</w:t>
        </w:r>
      </w:hyperlink>
      <w:r>
        <w:t xml:space="preserve">). O Espírito caracteriza a nova era e a vida da nova era de tal maneira que apenas o dom do Espírito pode trazer uma pessoa para a nova era para experimentar a vida da nova era. Pois o Espírito é distinta e especificamente o doador da vida; o Espírito de fato </w:t>
      </w:r>
      <w:r>
        <w:rPr>
          <w:i/>
        </w:rPr>
        <w:t>é</w:t>
      </w:r>
      <w:r>
        <w:t xml:space="preserve"> a vida da nova era (</w:t>
      </w:r>
      <w:hyperlink r:id="rId4302">
        <w:r>
          <w:rPr>
            <w:color w:val="0000EE"/>
            <w:u w:val="single"/>
          </w:rPr>
          <w:t>Rm 8.2,6,10</w:t>
        </w:r>
      </w:hyperlink>
      <w:r>
        <w:t xml:space="preserve">; </w:t>
      </w:r>
      <w:hyperlink r:id="rId8423">
        <w:r>
          <w:rPr>
            <w:color w:val="0000EE"/>
            <w:u w:val="single"/>
          </w:rPr>
          <w:t>1Co 15.45</w:t>
        </w:r>
      </w:hyperlink>
      <w:r>
        <w:t xml:space="preserve">; </w:t>
      </w:r>
      <w:hyperlink r:id="rId852">
        <w:r>
          <w:rPr>
            <w:color w:val="0000EE"/>
            <w:u w:val="single"/>
          </w:rPr>
          <w:t>2Co 3.6</w:t>
        </w:r>
      </w:hyperlink>
      <w:r>
        <w:t xml:space="preserve">; </w:t>
      </w:r>
      <w:hyperlink r:id="rId8424">
        <w:r>
          <w:rPr>
            <w:color w:val="0000EE"/>
            <w:u w:val="single"/>
          </w:rPr>
          <w:t>Gl 5.25</w:t>
        </w:r>
      </w:hyperlink>
      <w:r>
        <w:t>).</w:t>
      </w:r>
    </w:p>
    <w:p>
      <w:r/>
      <w:r>
        <w:t>Da mesma maneira nos escritos de João, o Espírito é caracteristicamente o Espírito vivificante (</w:t>
      </w:r>
      <w:hyperlink r:id="rId8425">
        <w:r>
          <w:rPr>
            <w:color w:val="0000EE"/>
            <w:u w:val="single"/>
          </w:rPr>
          <w:t>Jo 6.63</w:t>
        </w:r>
      </w:hyperlink>
      <w:r>
        <w:t>), o poder de cima, a semente da vida divina que traz o novo nascimento (</w:t>
      </w:r>
      <w:hyperlink r:id="rId8426">
        <w:r>
          <w:rPr>
            <w:color w:val="0000EE"/>
            <w:u w:val="single"/>
          </w:rPr>
          <w:t>Jo 3.3–8</w:t>
        </w:r>
      </w:hyperlink>
      <w:r>
        <w:t xml:space="preserve">; </w:t>
      </w:r>
      <w:hyperlink r:id="rId8427">
        <w:r>
          <w:rPr>
            <w:color w:val="0000EE"/>
            <w:u w:val="single"/>
          </w:rPr>
          <w:t>1Jo 3.9</w:t>
        </w:r>
      </w:hyperlink>
      <w:r>
        <w:t>), e um rio de água viva que traz vida quando alguém acredita em Cristo (</w:t>
      </w:r>
      <w:hyperlink r:id="rId8428">
        <w:r>
          <w:rPr>
            <w:color w:val="0000EE"/>
            <w:u w:val="single"/>
          </w:rPr>
          <w:t>Jo 7.37–39</w:t>
        </w:r>
      </w:hyperlink>
      <w:r>
        <w:t xml:space="preserve">; assim também </w:t>
      </w:r>
      <w:hyperlink r:id="rId8429">
        <w:r>
          <w:rPr>
            <w:color w:val="0000EE"/>
            <w:u w:val="single"/>
          </w:rPr>
          <w:t>4.10,14</w:t>
        </w:r>
      </w:hyperlink>
      <w:r>
        <w:t xml:space="preserve">). Ou novamente, a recepção do Espírito em </w:t>
      </w:r>
      <w:hyperlink r:id="rId8405">
        <w:r>
          <w:rPr>
            <w:color w:val="0000EE"/>
            <w:u w:val="single"/>
          </w:rPr>
          <w:t>João 20.22</w:t>
        </w:r>
      </w:hyperlink>
      <w:r>
        <w:t xml:space="preserve"> é descrita como uma nova criação analógica de </w:t>
      </w:r>
      <w:hyperlink r:id="rId292">
        <w:r>
          <w:rPr>
            <w:color w:val="0000EE"/>
            <w:u w:val="single"/>
          </w:rPr>
          <w:t>Gênesis 2.7</w:t>
        </w:r>
      </w:hyperlink>
      <w:r>
        <w:t xml:space="preserve">. Consequentemente, em </w:t>
      </w:r>
      <w:hyperlink r:id="rId8430">
        <w:r>
          <w:rPr>
            <w:color w:val="0000EE"/>
            <w:u w:val="single"/>
          </w:rPr>
          <w:t>1João 3.24</w:t>
        </w:r>
      </w:hyperlink>
      <w:r>
        <w:t xml:space="preserve"> e </w:t>
      </w:r>
      <w:hyperlink r:id="rId8431">
        <w:r>
          <w:rPr>
            <w:color w:val="0000EE"/>
            <w:u w:val="single"/>
          </w:rPr>
          <w:t>4.13</w:t>
        </w:r>
      </w:hyperlink>
      <w:r>
        <w:t>, a posse e a experiência do Espírito contam como um dos “testes da vida” listados naquela carta.</w:t>
      </w:r>
    </w:p>
    <w:p>
      <w:pPr>
        <w:pStyle w:val="Heading4"/>
      </w:pPr>
      <w:r>
        <w:t>Manifestações do Espírito</w:t>
      </w:r>
    </w:p>
    <w:p>
      <w:r/>
      <w:r>
        <w:t xml:space="preserve">Ficará claro pelo que já foi dito que quando os primeiros cristãos, como os antigos hebreus, falaram do Espírito, eles estavam pensando em experiências de poder divino. No NT, como no AT, “Espírito” é a palavra usada para explicar a experiência de nova vida e vitalidade (ver acima), de libertação do legalismo (p. ex., </w:t>
      </w:r>
      <w:hyperlink r:id="rId4302">
        <w:r>
          <w:rPr>
            <w:color w:val="0000EE"/>
            <w:u w:val="single"/>
          </w:rPr>
          <w:t>Rm 8.2</w:t>
        </w:r>
      </w:hyperlink>
      <w:r>
        <w:t xml:space="preserve">; </w:t>
      </w:r>
      <w:hyperlink r:id="rId8432">
        <w:r>
          <w:rPr>
            <w:color w:val="0000EE"/>
            <w:u w:val="single"/>
          </w:rPr>
          <w:t>2Co 3.17</w:t>
        </w:r>
      </w:hyperlink>
      <w:r>
        <w:t xml:space="preserve">), de refrigério e renovação espiritual (cf. p. ex., </w:t>
      </w:r>
      <w:hyperlink r:id="rId8370">
        <w:r>
          <w:rPr>
            <w:color w:val="0000EE"/>
            <w:u w:val="single"/>
          </w:rPr>
          <w:t>Is 32.15</w:t>
        </w:r>
      </w:hyperlink>
      <w:r>
        <w:t xml:space="preserve">; </w:t>
      </w:r>
      <w:hyperlink r:id="rId3271">
        <w:r>
          <w:rPr>
            <w:color w:val="0000EE"/>
            <w:u w:val="single"/>
          </w:rPr>
          <w:t>Ez 39.29</w:t>
        </w:r>
      </w:hyperlink>
      <w:r>
        <w:t xml:space="preserve"> com </w:t>
      </w:r>
      <w:hyperlink r:id="rId8428">
        <w:r>
          <w:rPr>
            <w:color w:val="0000EE"/>
            <w:u w:val="single"/>
          </w:rPr>
          <w:t>Jo 7.37–39</w:t>
        </w:r>
      </w:hyperlink>
      <w:r>
        <w:t xml:space="preserve">; </w:t>
      </w:r>
      <w:hyperlink r:id="rId1179">
        <w:r>
          <w:rPr>
            <w:color w:val="0000EE"/>
            <w:u w:val="single"/>
          </w:rPr>
          <w:t>Rm 5.5</w:t>
        </w:r>
      </w:hyperlink>
      <w:r>
        <w:t xml:space="preserve">; </w:t>
      </w:r>
      <w:hyperlink r:id="rId420">
        <w:r>
          <w:rPr>
            <w:color w:val="0000EE"/>
            <w:u w:val="single"/>
          </w:rPr>
          <w:t>1Co 12.13</w:t>
        </w:r>
      </w:hyperlink>
      <w:r>
        <w:t xml:space="preserve">; </w:t>
      </w:r>
      <w:hyperlink r:id="rId8433">
        <w:r>
          <w:rPr>
            <w:color w:val="0000EE"/>
            <w:u w:val="single"/>
          </w:rPr>
          <w:t>1Tm 3.5–6</w:t>
        </w:r>
      </w:hyperlink>
      <w:r>
        <w:t>). É importante perceber como uma ampla gama de experiências foi atribuída ao Espírito: experiências extáticas (</w:t>
      </w:r>
      <w:hyperlink r:id="rId8434">
        <w:r>
          <w:rPr>
            <w:color w:val="0000EE"/>
            <w:u w:val="single"/>
          </w:rPr>
          <w:t>Atos 2.24</w:t>
        </w:r>
      </w:hyperlink>
      <w:r>
        <w:t xml:space="preserve">; </w:t>
      </w:r>
      <w:hyperlink r:id="rId8435">
        <w:r>
          <w:rPr>
            <w:color w:val="0000EE"/>
            <w:u w:val="single"/>
          </w:rPr>
          <w:t>10.43–47</w:t>
        </w:r>
      </w:hyperlink>
      <w:r>
        <w:t xml:space="preserve">; </w:t>
      </w:r>
      <w:hyperlink r:id="rId8436">
        <w:r>
          <w:rPr>
            <w:color w:val="0000EE"/>
            <w:u w:val="single"/>
          </w:rPr>
          <w:t>19.6</w:t>
        </w:r>
      </w:hyperlink>
      <w:r>
        <w:t xml:space="preserve">; cf. </w:t>
      </w:r>
      <w:hyperlink r:id="rId8437">
        <w:r>
          <w:rPr>
            <w:color w:val="0000EE"/>
            <w:u w:val="single"/>
          </w:rPr>
          <w:t>10.10</w:t>
        </w:r>
      </w:hyperlink>
      <w:r>
        <w:t xml:space="preserve">; </w:t>
      </w:r>
      <w:hyperlink r:id="rId8438">
        <w:r>
          <w:rPr>
            <w:color w:val="0000EE"/>
            <w:u w:val="single"/>
          </w:rPr>
          <w:t>22.17</w:t>
        </w:r>
      </w:hyperlink>
      <w:r>
        <w:t xml:space="preserve"> — “em êxtase”; </w:t>
      </w:r>
      <w:hyperlink r:id="rId2175">
        <w:r>
          <w:rPr>
            <w:color w:val="0000EE"/>
            <w:u w:val="single"/>
          </w:rPr>
          <w:t>2Co 12.1–4</w:t>
        </w:r>
      </w:hyperlink>
      <w:r>
        <w:t xml:space="preserve">; </w:t>
      </w:r>
      <w:hyperlink r:id="rId8439">
        <w:r>
          <w:rPr>
            <w:color w:val="0000EE"/>
            <w:u w:val="single"/>
          </w:rPr>
          <w:t>Ap 1.10</w:t>
        </w:r>
      </w:hyperlink>
      <w:r>
        <w:t xml:space="preserve">), experiências emocionais (p. ex., amor — </w:t>
      </w:r>
      <w:hyperlink r:id="rId1179">
        <w:r>
          <w:rPr>
            <w:color w:val="0000EE"/>
            <w:u w:val="single"/>
          </w:rPr>
          <w:t>Rm 5.5</w:t>
        </w:r>
      </w:hyperlink>
      <w:r>
        <w:t xml:space="preserve">; alegria — </w:t>
      </w:r>
      <w:hyperlink r:id="rId8440">
        <w:r>
          <w:rPr>
            <w:color w:val="0000EE"/>
            <w:u w:val="single"/>
          </w:rPr>
          <w:t>Atos 13.52</w:t>
        </w:r>
      </w:hyperlink>
      <w:r>
        <w:t xml:space="preserve">; </w:t>
      </w:r>
      <w:hyperlink r:id="rId8441">
        <w:r>
          <w:rPr>
            <w:color w:val="0000EE"/>
            <w:u w:val="single"/>
          </w:rPr>
          <w:t>1Ts 1.6</w:t>
        </w:r>
      </w:hyperlink>
      <w:r>
        <w:t xml:space="preserve">; ver também </w:t>
      </w:r>
      <w:hyperlink r:id="rId720">
        <w:r>
          <w:rPr>
            <w:color w:val="0000EE"/>
            <w:u w:val="single"/>
          </w:rPr>
          <w:t>Gl 5.22</w:t>
        </w:r>
      </w:hyperlink>
      <w:r>
        <w:t xml:space="preserve">; </w:t>
      </w:r>
      <w:hyperlink r:id="rId8442">
        <w:r>
          <w:rPr>
            <w:color w:val="0000EE"/>
            <w:u w:val="single"/>
          </w:rPr>
          <w:t>Fp 2.1–2</w:t>
        </w:r>
      </w:hyperlink>
      <w:r>
        <w:t>), experiências de iluminação (</w:t>
      </w:r>
      <w:hyperlink r:id="rId8443">
        <w:r>
          <w:rPr>
            <w:color w:val="0000EE"/>
            <w:u w:val="single"/>
          </w:rPr>
          <w:t>2Co 3.14–17</w:t>
        </w:r>
      </w:hyperlink>
      <w:r>
        <w:t xml:space="preserve">; </w:t>
      </w:r>
      <w:hyperlink r:id="rId8444">
        <w:r>
          <w:rPr>
            <w:color w:val="0000EE"/>
            <w:u w:val="single"/>
          </w:rPr>
          <w:t>Ef 1.17–18</w:t>
        </w:r>
      </w:hyperlink>
      <w:r>
        <w:t xml:space="preserve">; </w:t>
      </w:r>
      <w:hyperlink r:id="rId8407">
        <w:r>
          <w:rPr>
            <w:color w:val="0000EE"/>
            <w:u w:val="single"/>
          </w:rPr>
          <w:t>Hb 6.4–5</w:t>
        </w:r>
      </w:hyperlink>
      <w:r>
        <w:t xml:space="preserve">; </w:t>
      </w:r>
      <w:hyperlink r:id="rId8445">
        <w:r>
          <w:rPr>
            <w:color w:val="0000EE"/>
            <w:u w:val="single"/>
          </w:rPr>
          <w:t>1Jo 2.20–21</w:t>
        </w:r>
      </w:hyperlink>
      <w:r>
        <w:t>) e experiências que emitem na transformação moral (</w:t>
      </w:r>
      <w:hyperlink r:id="rId5776">
        <w:r>
          <w:rPr>
            <w:color w:val="0000EE"/>
            <w:u w:val="single"/>
          </w:rPr>
          <w:t>1Co 6.9–11</w:t>
        </w:r>
      </w:hyperlink>
      <w:r>
        <w:t>). Da mesma forma, quando Paulo fala de dons espirituais, chamados charismata (atos ou palavras que trazem a graça divina à expressão concreta), ele evidentemente tem uma ampla gama de eventos reais em mente: fala inspirada (</w:t>
      </w:r>
      <w:hyperlink r:id="rId8446">
        <w:r>
          <w:rPr>
            <w:color w:val="0000EE"/>
            <w:u w:val="single"/>
          </w:rPr>
          <w:t>1Co 12.8–10</w:t>
        </w:r>
      </w:hyperlink>
      <w:r>
        <w:t xml:space="preserve">; </w:t>
      </w:r>
      <w:hyperlink r:id="rId8447">
        <w:r>
          <w:rPr>
            <w:color w:val="0000EE"/>
            <w:u w:val="single"/>
          </w:rPr>
          <w:t>1Ts 1.5</w:t>
        </w:r>
      </w:hyperlink>
      <w:r>
        <w:t>), milagres e curas (</w:t>
      </w:r>
      <w:hyperlink r:id="rId6431">
        <w:r>
          <w:rPr>
            <w:color w:val="0000EE"/>
            <w:u w:val="single"/>
          </w:rPr>
          <w:t>1Co 12.9</w:t>
        </w:r>
      </w:hyperlink>
      <w:r>
        <w:t xml:space="preserve">; </w:t>
      </w:r>
      <w:hyperlink r:id="rId8448">
        <w:r>
          <w:rPr>
            <w:color w:val="0000EE"/>
            <w:u w:val="single"/>
          </w:rPr>
          <w:t>Gl 3.5</w:t>
        </w:r>
      </w:hyperlink>
      <w:r>
        <w:t xml:space="preserve">; cf. </w:t>
      </w:r>
      <w:hyperlink r:id="rId8449">
        <w:r>
          <w:rPr>
            <w:color w:val="0000EE"/>
            <w:u w:val="single"/>
          </w:rPr>
          <w:t>Hb 2.4</w:t>
        </w:r>
      </w:hyperlink>
      <w:r>
        <w:t>), e vários atos de serviço e ajuda, de conselho e administração, e de ajuda e misericórdia (</w:t>
      </w:r>
      <w:hyperlink r:id="rId6026">
        <w:r>
          <w:rPr>
            <w:color w:val="0000EE"/>
            <w:u w:val="single"/>
          </w:rPr>
          <w:t>Rm 12.7–8</w:t>
        </w:r>
      </w:hyperlink>
      <w:r>
        <w:t xml:space="preserve">; </w:t>
      </w:r>
      <w:hyperlink r:id="rId2279">
        <w:r>
          <w:rPr>
            <w:color w:val="0000EE"/>
            <w:u w:val="single"/>
          </w:rPr>
          <w:t>1Co 12.28</w:t>
        </w:r>
      </w:hyperlink>
      <w:r>
        <w:t>).</w:t>
      </w:r>
    </w:p>
    <w:p>
      <w:r/>
      <w:r>
        <w:t>Ao falar assim do Espírito em termos de experiência, não devemos enfatizar demais experiências ou manifestações específicas, como se o cristianismo primitivo consistia em uma sequência de experiências no topo da montanha ou de elevações espirituais. Claramente havia tais experiências, de fato uma ampla gama de experiências, mas nenhuma experiência é escolhida para ser buscada por todos (exceto profecia). Não há distintamente segunda (ou terceira) experiência do Espírito no NT, e Paulo advertiu contra a supervalorização de manifestações específicas do Espírito (</w:t>
      </w:r>
      <w:hyperlink r:id="rId8450">
        <w:r>
          <w:rPr>
            <w:color w:val="0000EE"/>
            <w:u w:val="single"/>
          </w:rPr>
          <w:t>1Co 14.6–19</w:t>
        </w:r>
      </w:hyperlink>
      <w:r>
        <w:t xml:space="preserve">; </w:t>
      </w:r>
      <w:hyperlink r:id="rId5929">
        <w:r>
          <w:rPr>
            <w:color w:val="0000EE"/>
            <w:u w:val="single"/>
          </w:rPr>
          <w:t>2Co 12.1–10</w:t>
        </w:r>
      </w:hyperlink>
      <w:r>
        <w:t xml:space="preserve">; cf. </w:t>
      </w:r>
      <w:hyperlink r:id="rId8451">
        <w:r>
          <w:rPr>
            <w:color w:val="0000EE"/>
            <w:u w:val="single"/>
          </w:rPr>
          <w:t>Mc 8.11–13</w:t>
        </w:r>
      </w:hyperlink>
      <w:r>
        <w:t xml:space="preserve">). Onde experiências específicas são valorizadas, são como manifestações de uma experiência mais sustentada, expressões específicas de um relacionamento subjacente (cf. </w:t>
      </w:r>
      <w:hyperlink r:id="rId8452">
        <w:r>
          <w:rPr>
            <w:color w:val="0000EE"/>
            <w:u w:val="single"/>
          </w:rPr>
          <w:t>Atos 6.3–5</w:t>
        </w:r>
      </w:hyperlink>
      <w:r>
        <w:t xml:space="preserve">; </w:t>
      </w:r>
      <w:hyperlink r:id="rId3136">
        <w:r>
          <w:rPr>
            <w:color w:val="0000EE"/>
            <w:u w:val="single"/>
          </w:rPr>
          <w:t>11.24</w:t>
        </w:r>
      </w:hyperlink>
      <w:r>
        <w:t xml:space="preserve"> — “cheios do Espírito”; </w:t>
      </w:r>
      <w:hyperlink r:id="rId7666">
        <w:r>
          <w:rPr>
            <w:color w:val="0000EE"/>
            <w:u w:val="single"/>
          </w:rPr>
          <w:t>Ef 5.18</w:t>
        </w:r>
      </w:hyperlink>
      <w:r>
        <w:t xml:space="preserve">). O que estamos em contato aqui é o vigor da dimensão experiencial do cristianismo primitivo. Se o Espírito é o sopro da nova vida em Cristo (cf. </w:t>
      </w:r>
      <w:hyperlink r:id="rId8453">
        <w:r>
          <w:rPr>
            <w:color w:val="0000EE"/>
            <w:u w:val="single"/>
          </w:rPr>
          <w:t>Ez 37.9–10,14</w:t>
        </w:r>
      </w:hyperlink>
      <w:r>
        <w:t xml:space="preserve">; </w:t>
      </w:r>
      <w:hyperlink r:id="rId8405">
        <w:r>
          <w:rPr>
            <w:color w:val="0000EE"/>
            <w:u w:val="single"/>
          </w:rPr>
          <w:t>Jo 20.22</w:t>
        </w:r>
      </w:hyperlink>
      <w:r>
        <w:t xml:space="preserve">; </w:t>
      </w:r>
      <w:hyperlink r:id="rId8423">
        <w:r>
          <w:rPr>
            <w:color w:val="0000EE"/>
            <w:u w:val="single"/>
          </w:rPr>
          <w:t>1Co 15.45</w:t>
        </w:r>
      </w:hyperlink>
      <w:r>
        <w:t>), então presumivelmente a analogia se estende ainda mais, e a experiência do Espírito é como a experiência da respiração: não se está consciente disso o tempo todo, mas se não está consciente disso, pelo menos às vezes, algo está errado.</w:t>
      </w:r>
    </w:p>
    <w:p>
      <w:pPr>
        <w:pStyle w:val="Heading4"/>
      </w:pPr>
      <w:r>
        <w:t>A comunhão do Espírito</w:t>
      </w:r>
    </w:p>
    <w:p>
      <w:r/>
      <w:r>
        <w:t>Foi fora desta experiência compartilhada do Espírito que a primeira comunidade cristã cresceu e se desenvolveu, pois isso é o que “a comunhão [koinonia] do Espírito” significa corretamente: participação comum no mesmo Espírito (</w:t>
      </w:r>
      <w:hyperlink r:id="rId8454">
        <w:r>
          <w:rPr>
            <w:color w:val="0000EE"/>
            <w:u w:val="single"/>
          </w:rPr>
          <w:t>Fp 2.1</w:t>
        </w:r>
      </w:hyperlink>
      <w:r>
        <w:t xml:space="preserve">; cf. </w:t>
      </w:r>
      <w:hyperlink r:id="rId4652">
        <w:r>
          <w:rPr>
            <w:color w:val="0000EE"/>
            <w:u w:val="single"/>
          </w:rPr>
          <w:t>Atos 2.42</w:t>
        </w:r>
      </w:hyperlink>
      <w:r>
        <w:t xml:space="preserve">; </w:t>
      </w:r>
      <w:hyperlink r:id="rId8455">
        <w:r>
          <w:rPr>
            <w:color w:val="0000EE"/>
            <w:u w:val="single"/>
          </w:rPr>
          <w:t>1Co 1.4–9</w:t>
        </w:r>
      </w:hyperlink>
      <w:r>
        <w:t>). Foi o dom do Espírito que trouxe aqueles em Samaria, Cesareia e em outros lugares efetivamente para a comunidade do Espírito (Atos 8,10). Do mesmo modo, foi a experiência do único Espírito que forneceu o laço unificador nas igrejas da missão de Paulo (</w:t>
      </w:r>
      <w:hyperlink r:id="rId420">
        <w:r>
          <w:rPr>
            <w:color w:val="0000EE"/>
            <w:u w:val="single"/>
          </w:rPr>
          <w:t>1Co 12.13</w:t>
        </w:r>
      </w:hyperlink>
      <w:r>
        <w:t xml:space="preserve">; </w:t>
      </w:r>
      <w:hyperlink r:id="rId8456">
        <w:r>
          <w:rPr>
            <w:color w:val="0000EE"/>
            <w:u w:val="single"/>
          </w:rPr>
          <w:t>Ef 4.3–4</w:t>
        </w:r>
      </w:hyperlink>
      <w:r>
        <w:t xml:space="preserve">; </w:t>
      </w:r>
      <w:hyperlink r:id="rId8442">
        <w:r>
          <w:rPr>
            <w:color w:val="0000EE"/>
            <w:u w:val="single"/>
          </w:rPr>
          <w:t>Fp 2.1–2</w:t>
        </w:r>
      </w:hyperlink>
      <w:r>
        <w:t>). Aqui vemos a real importância das manifestações divinas do Espírito para Paulo: é fora da diversidade dessas manifestações específicas que o corpo de Cristo cresce em unidade (</w:t>
      </w:r>
      <w:hyperlink r:id="rId8457">
        <w:r>
          <w:rPr>
            <w:color w:val="0000EE"/>
            <w:u w:val="single"/>
          </w:rPr>
          <w:t>Rm 12.4–8</w:t>
        </w:r>
      </w:hyperlink>
      <w:r>
        <w:t xml:space="preserve">; </w:t>
      </w:r>
      <w:hyperlink r:id="rId8458">
        <w:r>
          <w:rPr>
            <w:color w:val="0000EE"/>
            <w:u w:val="single"/>
          </w:rPr>
          <w:t>1Co 12.12–17</w:t>
        </w:r>
      </w:hyperlink>
      <w:r>
        <w:t xml:space="preserve">; </w:t>
      </w:r>
      <w:hyperlink r:id="rId8459">
        <w:r>
          <w:rPr>
            <w:color w:val="0000EE"/>
            <w:u w:val="single"/>
          </w:rPr>
          <w:t>Ef 4.4–16</w:t>
        </w:r>
      </w:hyperlink>
      <w:r>
        <w:t>).</w:t>
      </w:r>
      <w:r/>
      <w:r/>
    </w:p>
    <w:p>
      <w:r/>
    </w:p>
    <w:p>
      <w:pPr>
        <w:pStyle w:val="Heading2"/>
      </w:pPr>
      <w:r>
        <w:t>Espírito de Jesus Cristo</w:t>
      </w:r>
      <w:r/>
    </w:p>
    <w:p>
      <w:r/>
      <w:r>
        <w:t>O Espírito identificado com Jesus Cristo.</w:t>
      </w:r>
    </w:p>
    <w:p>
      <w:r/>
      <w:r>
        <w:t>O desenvolvimento e elemento mais importante na compreensão cristã primitiva do Espírito é que o Espírito agora é o Espírito de Jesus Cristo (</w:t>
      </w:r>
      <w:hyperlink r:id="rId3797">
        <w:r>
          <w:rPr>
            <w:color w:val="0000EE"/>
            <w:u w:val="single"/>
          </w:rPr>
          <w:t>At 16.7</w:t>
        </w:r>
      </w:hyperlink>
      <w:r>
        <w:t xml:space="preserve">; </w:t>
      </w:r>
      <w:hyperlink r:id="rId3276">
        <w:r>
          <w:rPr>
            <w:color w:val="0000EE"/>
            <w:u w:val="single"/>
          </w:rPr>
          <w:t>Rm 8.9</w:t>
        </w:r>
      </w:hyperlink>
      <w:r>
        <w:t xml:space="preserve">; </w:t>
      </w:r>
      <w:hyperlink r:id="rId5716">
        <w:r>
          <w:rPr>
            <w:color w:val="0000EE"/>
            <w:u w:val="single"/>
          </w:rPr>
          <w:t>Gl 4.6</w:t>
        </w:r>
      </w:hyperlink>
      <w:r>
        <w:t xml:space="preserve">; </w:t>
      </w:r>
      <w:hyperlink r:id="rId8460">
        <w:r>
          <w:rPr>
            <w:color w:val="0000EE"/>
            <w:u w:val="single"/>
          </w:rPr>
          <w:t>Fp 1.19</w:t>
        </w:r>
      </w:hyperlink>
      <w:r>
        <w:t xml:space="preserve">; </w:t>
      </w:r>
      <w:hyperlink r:id="rId6110">
        <w:r>
          <w:rPr>
            <w:color w:val="0000EE"/>
            <w:u w:val="single"/>
          </w:rPr>
          <w:t>1Pe 1.11</w:t>
        </w:r>
      </w:hyperlink>
      <w:r>
        <w:t xml:space="preserve">; veja também </w:t>
      </w:r>
      <w:hyperlink r:id="rId3574">
        <w:r>
          <w:rPr>
            <w:color w:val="0000EE"/>
            <w:u w:val="single"/>
          </w:rPr>
          <w:t>Jo 7.38</w:t>
        </w:r>
      </w:hyperlink>
      <w:r>
        <w:t xml:space="preserve">; </w:t>
      </w:r>
      <w:hyperlink r:id="rId3741">
        <w:r>
          <w:rPr>
            <w:color w:val="0000EE"/>
            <w:u w:val="single"/>
          </w:rPr>
          <w:t>15.26</w:t>
        </w:r>
      </w:hyperlink>
      <w:r>
        <w:t xml:space="preserve">; </w:t>
      </w:r>
      <w:hyperlink r:id="rId2674">
        <w:r>
          <w:rPr>
            <w:color w:val="0000EE"/>
            <w:u w:val="single"/>
          </w:rPr>
          <w:t>16.7</w:t>
        </w:r>
      </w:hyperlink>
      <w:r>
        <w:t xml:space="preserve">; </w:t>
      </w:r>
      <w:hyperlink r:id="rId8461">
        <w:r>
          <w:rPr>
            <w:color w:val="0000EE"/>
            <w:u w:val="single"/>
          </w:rPr>
          <w:t>19.30</w:t>
        </w:r>
      </w:hyperlink>
      <w:r>
        <w:t xml:space="preserve">; </w:t>
      </w:r>
      <w:hyperlink r:id="rId2064">
        <w:r>
          <w:rPr>
            <w:color w:val="0000EE"/>
            <w:u w:val="single"/>
          </w:rPr>
          <w:t>Ap 3.1</w:t>
        </w:r>
      </w:hyperlink>
      <w:r>
        <w:t xml:space="preserve">; </w:t>
      </w:r>
      <w:hyperlink r:id="rId8462">
        <w:r>
          <w:rPr>
            <w:color w:val="0000EE"/>
            <w:u w:val="single"/>
          </w:rPr>
          <w:t>5.6</w:t>
        </w:r>
      </w:hyperlink>
      <w:r>
        <w:t>). O Espírito deve ser identificado como o Espírito que dá testemunho de Jesus (</w:t>
      </w:r>
      <w:hyperlink r:id="rId3741">
        <w:r>
          <w:rPr>
            <w:color w:val="0000EE"/>
            <w:u w:val="single"/>
          </w:rPr>
          <w:t>Jo 15.26</w:t>
        </w:r>
      </w:hyperlink>
      <w:r>
        <w:t xml:space="preserve">; </w:t>
      </w:r>
      <w:hyperlink r:id="rId3742">
        <w:r>
          <w:rPr>
            <w:color w:val="0000EE"/>
            <w:u w:val="single"/>
          </w:rPr>
          <w:t>16.13–15</w:t>
        </w:r>
      </w:hyperlink>
      <w:r>
        <w:t xml:space="preserve">; </w:t>
      </w:r>
      <w:hyperlink r:id="rId8463">
        <w:r>
          <w:rPr>
            <w:color w:val="0000EE"/>
            <w:u w:val="single"/>
          </w:rPr>
          <w:t>At 5.32</w:t>
        </w:r>
      </w:hyperlink>
      <w:r>
        <w:t xml:space="preserve">; </w:t>
      </w:r>
      <w:hyperlink r:id="rId8464">
        <w:r>
          <w:rPr>
            <w:color w:val="0000EE"/>
            <w:u w:val="single"/>
          </w:rPr>
          <w:t>1Co 12.3</w:t>
        </w:r>
      </w:hyperlink>
      <w:r>
        <w:t xml:space="preserve">; </w:t>
      </w:r>
      <w:hyperlink r:id="rId4291">
        <w:r>
          <w:rPr>
            <w:color w:val="0000EE"/>
            <w:u w:val="single"/>
          </w:rPr>
          <w:t>1Jo 4.2</w:t>
        </w:r>
      </w:hyperlink>
      <w:r>
        <w:t xml:space="preserve">; </w:t>
      </w:r>
      <w:hyperlink r:id="rId8465">
        <w:r>
          <w:rPr>
            <w:color w:val="0000EE"/>
            <w:u w:val="single"/>
          </w:rPr>
          <w:t>5.7–8</w:t>
        </w:r>
      </w:hyperlink>
      <w:r>
        <w:t xml:space="preserve">; </w:t>
      </w:r>
      <w:hyperlink r:id="rId2065">
        <w:r>
          <w:rPr>
            <w:color w:val="0000EE"/>
            <w:u w:val="single"/>
          </w:rPr>
          <w:t>Ap 19.10</w:t>
        </w:r>
      </w:hyperlink>
      <w:r>
        <w:t>), mas também, e mais profundamente, como o Espírito que inspirou e capacitou o próprio Jesus. Este Espírito tornou-se disponível aos crentes após a ressurreição de Cristo.</w:t>
      </w:r>
    </w:p>
    <w:p>
      <w:r/>
      <w:r>
        <w:t xml:space="preserve">Os apóstolos João e Paulo foram bastante claros em seus escritos sobre Cristo se tornar espírito através da ressurreição. Os versículos principais escritos por João são </w:t>
      </w:r>
      <w:hyperlink r:id="rId8425">
        <w:r>
          <w:rPr>
            <w:color w:val="0000EE"/>
            <w:u w:val="single"/>
          </w:rPr>
          <w:t>Jo 6.63</w:t>
        </w:r>
      </w:hyperlink>
      <w:r>
        <w:t xml:space="preserve">; </w:t>
      </w:r>
      <w:hyperlink r:id="rId8428">
        <w:r>
          <w:rPr>
            <w:color w:val="0000EE"/>
            <w:u w:val="single"/>
          </w:rPr>
          <w:t>7.37–39</w:t>
        </w:r>
      </w:hyperlink>
      <w:r>
        <w:t xml:space="preserve">; </w:t>
      </w:r>
      <w:hyperlink r:id="rId8466">
        <w:r>
          <w:rPr>
            <w:color w:val="0000EE"/>
            <w:u w:val="single"/>
          </w:rPr>
          <w:t>14.16–18</w:t>
        </w:r>
      </w:hyperlink>
      <w:r>
        <w:t xml:space="preserve">; </w:t>
      </w:r>
      <w:hyperlink r:id="rId8405">
        <w:r>
          <w:rPr>
            <w:color w:val="0000EE"/>
            <w:u w:val="single"/>
          </w:rPr>
          <w:t>20.22</w:t>
        </w:r>
      </w:hyperlink>
      <w:r>
        <w:t xml:space="preserve">; e </w:t>
      </w:r>
      <w:hyperlink r:id="rId8430">
        <w:r>
          <w:rPr>
            <w:color w:val="0000EE"/>
            <w:u w:val="single"/>
          </w:rPr>
          <w:t>1Jo 3.24</w:t>
        </w:r>
      </w:hyperlink>
      <w:r>
        <w:t xml:space="preserve">; </w:t>
      </w:r>
      <w:hyperlink r:id="rId8431">
        <w:r>
          <w:rPr>
            <w:color w:val="0000EE"/>
            <w:u w:val="single"/>
          </w:rPr>
          <w:t>4.13</w:t>
        </w:r>
      </w:hyperlink>
      <w:r>
        <w:t xml:space="preserve">. As passagens críticas escritas por Paulo são </w:t>
      </w:r>
      <w:hyperlink r:id="rId8467">
        <w:r>
          <w:rPr>
            <w:color w:val="0000EE"/>
            <w:u w:val="single"/>
          </w:rPr>
          <w:t>Rm 8.9–10</w:t>
        </w:r>
      </w:hyperlink>
      <w:r>
        <w:t xml:space="preserve">; </w:t>
      </w:r>
      <w:hyperlink r:id="rId8423">
        <w:r>
          <w:rPr>
            <w:color w:val="0000EE"/>
            <w:u w:val="single"/>
          </w:rPr>
          <w:t>1Co 15.45</w:t>
        </w:r>
      </w:hyperlink>
      <w:r>
        <w:t xml:space="preserve">; </w:t>
      </w:r>
      <w:hyperlink r:id="rId8047">
        <w:r>
          <w:rPr>
            <w:color w:val="0000EE"/>
            <w:u w:val="single"/>
          </w:rPr>
          <w:t>2Co 3.17–18</w:t>
        </w:r>
      </w:hyperlink>
      <w:r>
        <w:t xml:space="preserve">; e </w:t>
      </w:r>
      <w:hyperlink r:id="rId8468">
        <w:r>
          <w:rPr>
            <w:color w:val="0000EE"/>
            <w:u w:val="single"/>
          </w:rPr>
          <w:t>1Co 6.17</w:t>
        </w:r>
      </w:hyperlink>
      <w:r>
        <w:t>.</w:t>
      </w:r>
    </w:p>
    <w:p>
      <w:r/>
      <w:r>
        <w:t>A revelação sobre o Espírito de Jesus é progressiva no Evangelho de João. João não nos diz desde o início que as pessoas não poderiam realmente receber a vida eterna até a hora da glorificação de Cristo. Ao longo do Evangelho, Jesus declara a várias pessoas que ele pode lhes dar a vida eterna se elas acreditarem nele. Ele lhes promete a água da vida, o pão da vida e a luz da vida. Mas ninguém poderia realmente participar disso até depois que o Senhor tivesse ressuscitado. Como um antegosto, como uma amostra, eles poderiam receber vida através das palavras do Senhor porque suas palavras eram elas mesmas espírito e vida (</w:t>
      </w:r>
      <w:hyperlink r:id="rId8425">
        <w:r>
          <w:rPr>
            <w:color w:val="0000EE"/>
            <w:u w:val="single"/>
          </w:rPr>
          <w:t>Jo 6.63</w:t>
        </w:r>
      </w:hyperlink>
      <w:r>
        <w:t xml:space="preserve">); no entanto, só quando o Espírito se tornasse disponível que os crentes poderiam realmente se tornar os recipientes da vida divina e eterna. Após o discurso do Senhor em </w:t>
      </w:r>
      <w:hyperlink r:id="rId4659">
        <w:r>
          <w:rPr>
            <w:color w:val="0000EE"/>
            <w:u w:val="single"/>
          </w:rPr>
          <w:t>João 6</w:t>
        </w:r>
      </w:hyperlink>
      <w:r>
        <w:t xml:space="preserve">, Jesus disse: “É o Espírito que dá vida, a carne não aproveita nada” (v. </w:t>
      </w:r>
      <w:hyperlink r:id="rId8425">
        <w:r>
          <w:rPr>
            <w:color w:val="0000EE"/>
            <w:u w:val="single"/>
          </w:rPr>
          <w:t>63</w:t>
        </w:r>
      </w:hyperlink>
      <w:r>
        <w:t>). Na carne, Jesus não poderia lhes dar o pão da vida, mas quando o Espírito se tornasse disponível, eles poderiam ter vida. Novamente, Jesus ofereceu a água da vida — até mesmo a vida fluindo como rios de água viva — para os judeus reunidos na Festa dos Tabernáculos. Ele lhes disse para virem e beberem dele. Mas ninguém poderia, naquele momento e lugar, vir e beber dele. Então João acrescentou uma nota: “Jesus estava falando a respeito do Espírito Santo, que aqueles que criam nele iriam receber. Essas pessoas não tinham recebido o Espírito porque Jesus ainda não havia voltado para a presença gloriosa de Deus.” (</w:t>
      </w:r>
      <w:hyperlink r:id="rId8469">
        <w:r>
          <w:rPr>
            <w:color w:val="0000EE"/>
            <w:u w:val="single"/>
          </w:rPr>
          <w:t>7.39</w:t>
        </w:r>
      </w:hyperlink>
      <w:r>
        <w:t xml:space="preserve">). Uma vez que Jesus fosse glorificado através da ressurreição, o Espírito do Jesus glorificado estaria disponível para as pessoas beberem. Em </w:t>
      </w:r>
      <w:hyperlink r:id="rId4659">
        <w:r>
          <w:rPr>
            <w:color w:val="0000EE"/>
            <w:u w:val="single"/>
          </w:rPr>
          <w:t>João 6</w:t>
        </w:r>
      </w:hyperlink>
      <w:r>
        <w:t xml:space="preserve">, Jesus ofereceu-se como o pão da vida para ser comido pelas pessoas; e em </w:t>
      </w:r>
      <w:hyperlink r:id="rId8470">
        <w:r>
          <w:rPr>
            <w:color w:val="0000EE"/>
            <w:u w:val="single"/>
          </w:rPr>
          <w:t>João 7</w:t>
        </w:r>
      </w:hyperlink>
      <w:r>
        <w:t xml:space="preserve">, ele ofereceu-se como a água da vida para refrescar os homens. Mas ninguém poderia comê-lo ou bebê-lo até que ele se tornasse espírito, como foi insinuado em </w:t>
      </w:r>
      <w:hyperlink r:id="rId8425">
        <w:r>
          <w:rPr>
            <w:color w:val="0000EE"/>
            <w:u w:val="single"/>
          </w:rPr>
          <w:t>João 6.63</w:t>
        </w:r>
      </w:hyperlink>
      <w:r>
        <w:t xml:space="preserve"> e então declarado claramente em </w:t>
      </w:r>
      <w:hyperlink r:id="rId8469">
        <w:r>
          <w:rPr>
            <w:color w:val="0000EE"/>
            <w:u w:val="single"/>
          </w:rPr>
          <w:t>João 7.39</w:t>
        </w:r>
      </w:hyperlink>
      <w:r>
        <w:t>.</w:t>
      </w:r>
    </w:p>
    <w:p>
      <w:r/>
      <w:r>
        <w:t xml:space="preserve">Em </w:t>
      </w:r>
      <w:hyperlink r:id="rId8466">
        <w:r>
          <w:rPr>
            <w:color w:val="0000EE"/>
            <w:u w:val="single"/>
          </w:rPr>
          <w:t>João 14.16–18</w:t>
        </w:r>
      </w:hyperlink>
      <w:r>
        <w:t xml:space="preserve">, Jesus deu um passo adiante ao se identificar com o Espírito. Ele disse aos discípulos que lhes daria outro Consolador. Então, ele lhes disse que deveriam saber quem era esse Consolador porque ele estava, naquele momento, habitando com eles e, em um futuro próximo, estaria neles. Quem mais além de Jesus estava habitando com eles naquele momento? Depois de dizer aos discípulos que o Consolador viria a eles, ele disse: “Eu estou vindo para vocês”. Primeiro ele disse que o Consolador viria a eles e habitaria neles, e então, na mesma frase, ele disse que viria a eles e habitaria neles (veja </w:t>
      </w:r>
      <w:hyperlink r:id="rId8471">
        <w:r>
          <w:rPr>
            <w:color w:val="0000EE"/>
            <w:u w:val="single"/>
          </w:rPr>
          <w:t>14.20</w:t>
        </w:r>
      </w:hyperlink>
      <w:r>
        <w:t>). Em resumo, a vinda do Consolador para os discípulos era a mesma coisa que a vinda de Jesus para os discípulos. O Consolador que estava habitando com os discípulos naquela noite era o Espírito em Cristo; o Consolador que estaria nos discípulos (após a ressurreição) seria Cristo no Espírito.</w:t>
      </w:r>
    </w:p>
    <w:p>
      <w:r/>
      <w:r>
        <w:t>Na noite da ressurreição, o Senhor Jesus apareceu aos discípulos e então soprou neles o Espírito Santo. Este sopro, reminiscente do sopro de Deus em Adão o fôlego de vida (</w:t>
      </w:r>
      <w:hyperlink r:id="rId292">
        <w:r>
          <w:rPr>
            <w:color w:val="0000EE"/>
            <w:u w:val="single"/>
          </w:rPr>
          <w:t>Gn 2.7</w:t>
        </w:r>
      </w:hyperlink>
      <w:r>
        <w:t>), tornou-se o cumprimento de tudo o que havia sido prometido e antecipado anteriormente no Evangelho de João. Através deste compartilhar, os discípulos foram regenerados e habitados pelo Espírito de Jesus Cristo. Este evento histórico marcou o gênesis da nova criação. Jesus agora podia ser recebido como o pão da vida, a água da vida e a luz da vida. Os crentes agora possuíam sua vida divina, eterna e ressuscitada. A partir daquele momento, Cristo como espírito habitava em seus crentes. Assim, em sua primeira epístola João podia dizer: “E por isso sabemos que ele permanece em nós, pelo Espírito que nos deu” (</w:t>
      </w:r>
      <w:hyperlink r:id="rId8430">
        <w:r>
          <w:rPr>
            <w:color w:val="0000EE"/>
            <w:u w:val="single"/>
          </w:rPr>
          <w:t>1Jo 3.24</w:t>
        </w:r>
      </w:hyperlink>
      <w:r>
        <w:t>), e novamente, “Por isso sabemos que permanecemos nele e ele em nós, porque nos deu do seu Espírito” (</w:t>
      </w:r>
      <w:hyperlink r:id="rId8431">
        <w:r>
          <w:rPr>
            <w:color w:val="0000EE"/>
            <w:u w:val="single"/>
          </w:rPr>
          <w:t>4.13</w:t>
        </w:r>
      </w:hyperlink>
      <w:r>
        <w:t>).</w:t>
      </w:r>
    </w:p>
    <w:p>
      <w:r/>
      <w:r>
        <w:t>Os apóstolos tiveram uma grande adaptação a fazer após a ressurreição de Cristo. Eles estavam tão acostumados com sua presença física que foi difícil para eles aprenderem a viver por sua presença espiritual e interior. Durante os 40 dias após sua ressurreição, desde o momento em que os apóstolos receberam a inspiração do Espírito, Cristo estava ensinando os discípulos a fazer a transição. Ele aparecia fisicamente e depois desaparecia intermitentemente. Suas aparições foram muito frequentes no início e depois diminuíram gradualmente. Seu objetivo era guiar os apóstolos a conhecê-lo em sua presença invisível. No entanto, isso era tão novo para eles que ele teve que continuar aparecendo para fortalecê-los e tranquilizá-los. Mas seu verdadeiro desejo era ajudá-los a viver pela fé e não pela visão. Quando ele apareceu aos discípulos enquanto estavam todos juntos pela segunda vez, com Tomé presente, ele repreendeu Tomé por sua incredulidade. Então ele pronunciou esta bênção: “Bem-aventurados os que não me veem e ainda assim creem” (</w:t>
      </w:r>
      <w:hyperlink r:id="rId2664">
        <w:r>
          <w:rPr>
            <w:color w:val="0000EE"/>
            <w:u w:val="single"/>
          </w:rPr>
          <w:t>Jo 20.29</w:t>
        </w:r>
      </w:hyperlink>
      <w:r>
        <w:t>).</w:t>
      </w:r>
    </w:p>
    <w:p>
      <w:r/>
      <w:r>
        <w:t>O apóstolo Paulo foi um desses "abençoados". Ele não conheceu Cristo na carne. Ele conheceu apenas o Cristo ressuscitado (</w:t>
      </w:r>
      <w:hyperlink r:id="rId8472">
        <w:r>
          <w:rPr>
            <w:color w:val="0000EE"/>
            <w:u w:val="single"/>
          </w:rPr>
          <w:t>2Co 5.15–16</w:t>
        </w:r>
      </w:hyperlink>
      <w:r>
        <w:t>). Nesse sentido, ele tinha uma vantagem sobre os primeiros apóstolos. Eles tiveram que fazer um grande ajuste, mas desde o início, Paulo conheceu o Cristo ressuscitado como Espírito. Paulo tornou-se o precursor de todos aqueles cristãos que nunca viram Jesus na carne e que vieram a experimentá-lo no Espírito. Sim, Paulo viu o Senhor ressuscitado; ele foi o último a fazê-lo (</w:t>
      </w:r>
      <w:hyperlink r:id="rId153">
        <w:r>
          <w:rPr>
            <w:color w:val="0000EE"/>
            <w:u w:val="single"/>
          </w:rPr>
          <w:t>1Co 15.8</w:t>
        </w:r>
      </w:hyperlink>
      <w:r>
        <w:t>). E a partir de então, ele percebeu que Jesus era um homem glorificado, exaltado muito acima de tudo. Paulo escreveu muito sobre isso, mas seus escritos não deixaram o Jesus acima de tudo distante, porque isso não foi o que Paulo experimentou. Qualquer cristão experiente deve ser capaz de testemunhar que o Cristo nos céus é também o Cristo no coração.</w:t>
      </w:r>
    </w:p>
    <w:p>
      <w:r/>
      <w:r>
        <w:t xml:space="preserve">Em seus escritos, Paulo frequentemente fala do Espírito e de Cristo de forma sinônima. Isso é evidente em </w:t>
      </w:r>
      <w:hyperlink r:id="rId8467">
        <w:r>
          <w:rPr>
            <w:color w:val="0000EE"/>
            <w:u w:val="single"/>
          </w:rPr>
          <w:t>Romanos 8.9–10</w:t>
        </w:r>
      </w:hyperlink>
      <w:r>
        <w:t>. Os termos “Espírito de Deus”, “Espírito de Cristo” e “Cristo” são usados de forma intercambiável. O Espírito de Deus é o Espírito de Cristo, e o Espírito de Cristo é Cristo. Nestes versículos, é evidente que Paulo identificou o Espírito com Cristo porque na experiência cristã eles são absolutamente idênticos. Não existe tal coisa como uma experiência de Cristo separada do Espírito. A separação e/ou distinção existe na teologia trinitária — e por razões muito boas — mas a separação é quase inexistente na experiência real. Várias das declarações de Paulo são escritas do ponto de vista da experiência.</w:t>
      </w:r>
    </w:p>
    <w:p>
      <w:r/>
      <w:r>
        <w:t xml:space="preserve">Em </w:t>
      </w:r>
      <w:hyperlink r:id="rId8423">
        <w:r>
          <w:rPr>
            <w:color w:val="0000EE"/>
            <w:u w:val="single"/>
          </w:rPr>
          <w:t>1 Coríntios 15.45</w:t>
        </w:r>
      </w:hyperlink>
      <w:r>
        <w:t>, Paulo diz que o Jesus ressuscitado tornou-se espírito vivificante. Note que o versículo não diz que Jesus se tornou o Espírito, como se a segunda pessoa da Trindade se tornasse a terceira, mas que Jesus se tornou espírito no sentido de que sua existência e forma mortais foram metamorfoseadas em uma existência e forma espirituais. A pessoa de Jesus não foi mudada através da ressurreição, apenas sua forma. Com essa forma espiritual alterada, Jesus recuperou o estado essencial de ser do qual ele havia se esvaziado ao se tornar homem. Antes de se tornar homem, ele subsistia na forma de Deus (</w:t>
      </w:r>
      <w:hyperlink r:id="rId8473">
        <w:r>
          <w:rPr>
            <w:color w:val="0000EE"/>
            <w:u w:val="single"/>
          </w:rPr>
          <w:t>Fp 2.6</w:t>
        </w:r>
      </w:hyperlink>
      <w:r>
        <w:t xml:space="preserve">), cuja forma é Espírito e, assim, estava unido ao Espírito (o terceiro da Trindade), enquanto ainda permanecia distinto. Assim, quando a escritura diz que o Senhor “tornou-se espírito vivificante”, não significa que o Filho se tornou o Espírito Santo. Mas indica que Cristo, através da ressurreição, apropriou-se de uma nova forma espiritual (enquanto ainda retinha um corpo — um glorificado) que lhe permitiu iniciar uma nova existência espiritual (veja </w:t>
      </w:r>
      <w:hyperlink r:id="rId4290">
        <w:r>
          <w:rPr>
            <w:color w:val="0000EE"/>
            <w:u w:val="single"/>
          </w:rPr>
          <w:t>1Pe 3.18</w:t>
        </w:r>
      </w:hyperlink>
      <w:r>
        <w:t>).</w:t>
      </w:r>
    </w:p>
    <w:p>
      <w:r/>
      <w:r>
        <w:t xml:space="preserve">Em </w:t>
      </w:r>
      <w:hyperlink r:id="rId865">
        <w:r>
          <w:rPr>
            <w:color w:val="0000EE"/>
            <w:u w:val="single"/>
          </w:rPr>
          <w:t>2 Coríntios 3</w:t>
        </w:r>
      </w:hyperlink>
      <w:r>
        <w:t xml:space="preserve">, Paulo explica que o ministério do NT é um ministério realizado pelo Espírito do Deus vivo (v. </w:t>
      </w:r>
      <w:hyperlink r:id="rId869">
        <w:r>
          <w:rPr>
            <w:color w:val="0000EE"/>
            <w:u w:val="single"/>
          </w:rPr>
          <w:t>3</w:t>
        </w:r>
      </w:hyperlink>
      <w:r>
        <w:t xml:space="preserve">), que é o Espírito que dá vida (v. </w:t>
      </w:r>
      <w:hyperlink r:id="rId852">
        <w:r>
          <w:rPr>
            <w:color w:val="0000EE"/>
            <w:u w:val="single"/>
          </w:rPr>
          <w:t>6</w:t>
        </w:r>
      </w:hyperlink>
      <w:r>
        <w:t xml:space="preserve">). De fato, toda a economia do NT é caracterizada como “o ministério do Espírito” (v. </w:t>
      </w:r>
      <w:hyperlink r:id="rId8474">
        <w:r>
          <w:rPr>
            <w:color w:val="0000EE"/>
            <w:u w:val="single"/>
          </w:rPr>
          <w:t>8</w:t>
        </w:r>
      </w:hyperlink>
      <w:r>
        <w:t>). Ao mesmo tempo, Paulo enfatiza que a função do ministério do NT é levar o povo de Deus a ver e experimentar o glorioso Cristo (</w:t>
      </w:r>
      <w:hyperlink r:id="rId8475">
        <w:r>
          <w:rPr>
            <w:color w:val="0000EE"/>
            <w:u w:val="single"/>
          </w:rPr>
          <w:t>3.3,14,16–18</w:t>
        </w:r>
      </w:hyperlink>
      <w:r>
        <w:t xml:space="preserve">; </w:t>
      </w:r>
      <w:hyperlink r:id="rId8476">
        <w:r>
          <w:rPr>
            <w:color w:val="0000EE"/>
            <w:u w:val="single"/>
          </w:rPr>
          <w:t>4.4–6</w:t>
        </w:r>
      </w:hyperlink>
      <w:r>
        <w:t>). É nesse contexto que Paulo declara ousadamente: “O Senhor é o Espírito” (</w:t>
      </w:r>
      <w:hyperlink r:id="rId8432">
        <w:r>
          <w:rPr>
            <w:color w:val="0000EE"/>
            <w:u w:val="single"/>
          </w:rPr>
          <w:t>3.17</w:t>
        </w:r>
      </w:hyperlink>
      <w:r>
        <w:t xml:space="preserve">). Aquele que volta seu coração para o Senhor está, de fato, voltando seu coração para o Espírito. Se o Senhor não fosse o Espírito habitando nos crentes, como poderiam eles voltar seus corações para ele? E como poderiam ser transformados na mesma imagem? Em </w:t>
      </w:r>
      <w:hyperlink r:id="rId370">
        <w:r>
          <w:rPr>
            <w:color w:val="0000EE"/>
            <w:u w:val="single"/>
          </w:rPr>
          <w:t>2 Coríntios 3.18</w:t>
        </w:r>
      </w:hyperlink>
      <w:r>
        <w:t xml:space="preserve"> diz: “Mas todos nós, com rosto descoberto refletindo a glória do Senhor, estamos sendo transformados na mesma imagem de glória em glória, assim como do Senhor-Espírito”. Segundo o grego, a última frase deste versículo poderia ser traduzida como “o Senhor, que é o Espírito” (veja NTLH) ou “pelo Espírito do Senhor” (veja ARC), ou "pelo Senhor, o Espírito" (veja ARA), porque a expressão “o Espírito” está em aposição direta a “o Senhor” (ou seja, é uma descrição adicional do Senhor). Assim, o Senhor é o Espírito.</w:t>
      </w:r>
    </w:p>
    <w:p>
      <w:r/>
      <w:r>
        <w:t>Em conclusão, quando as Escrituras identificam o Espírito com Cristo e vice-versa, a identificação não é um equívoco. Cristo não é o Espírito Santo. Cristo e o Espírito são pessoas distintas da Trindade, como é afirmado pelo ensino geral da Palavra. Mas as Escrituras identificam Cristo e o Espírito no contexto da experiência cristã. Seria preciso dizer que os cristãos experimentam Cristo através de seu Espírito, o Espírito de Cristo. Não se pode conhecer Jesus separado do Espírito ou de outra forma que não seja através do Espírito.</w:t>
      </w:r>
    </w:p>
    <w:p>
      <w:r/>
      <w:r>
        <w:rPr>
          <w:i/>
        </w:rPr>
        <w:t>Veja também</w:t>
      </w:r>
      <w:r>
        <w:t xml:space="preserve"> </w:t>
      </w:r>
      <w:r>
        <w:t>Ressurreição</w:t>
      </w:r>
      <w:r>
        <w:t>.</w:t>
      </w:r>
      <w:r/>
      <w:r/>
    </w:p>
    <w:p>
      <w:r/>
    </w:p>
    <w:p>
      <w:pPr>
        <w:pStyle w:val="Heading2"/>
      </w:pPr>
      <w:r>
        <w:t>Espíritos em prisão</w:t>
      </w:r>
      <w:r/>
    </w:p>
    <w:p>
      <w:r/>
      <w:r>
        <w:t xml:space="preserve">Termo usado em </w:t>
      </w:r>
      <w:hyperlink r:id="rId8477">
        <w:r>
          <w:rPr>
            <w:color w:val="0000EE"/>
            <w:u w:val="single"/>
          </w:rPr>
          <w:t>1 Pedro 3.18–20a</w:t>
        </w:r>
      </w:hyperlink>
      <w:r>
        <w:t xml:space="preserve">. Há pouca concordância entre os estudiosos sobre a que realmente se refere "espíritos em prisão" ou por que Jesus teria ido pregar para eles. Martinho Lutero confessou que o versículo </w:t>
      </w:r>
      <w:hyperlink r:id="rId112">
        <w:r>
          <w:rPr>
            <w:color w:val="0000EE"/>
            <w:u w:val="single"/>
          </w:rPr>
          <w:t>19</w:t>
        </w:r>
      </w:hyperlink>
      <w:r>
        <w:t xml:space="preserve"> “é um texto incrível e tão obscuro quanto qualquer outro no Novo Testamento, e não tenho certeza se sei o que São Pedro quer dizer”. Devido a tanta discordância e incerteza, várias interpretações possíveis são apresentadas aqui.</w:t>
      </w:r>
    </w:p>
    <w:p>
      <w:r/>
      <w:r>
        <w:t>Primeiro, muitos comentaristas interpretam "espíritos em prisão" como uma referência aos espíritos desencarnados das pessoas que desobedeceram à pregação de Noé e agora estão no Sheol ou Hades — o lugar dos descrentes falecidos. Alguns acreditam que Cristo pregou o evangelho a eles para que pudessem acreditar e ser salvos (embora haja pouco, se algum, apoio no NT de que uma pessoa que morre como descrente possa ter uma segunda chance). Outros acreditam que Cristo simplesmente proclamou sua vitória sobre Satanás e tornou conhecidas as bênçãos que esses espíritos rejeitaram de uma vez por todas.</w:t>
      </w:r>
    </w:p>
    <w:p>
      <w:r/>
      <w:r>
        <w:t xml:space="preserve">Segundo outros comentaristas, os “espíritos em prisão” não são espíritos humanos, mas sim os mesmos seres sobrenaturais mencionados em </w:t>
      </w:r>
      <w:hyperlink r:id="rId2673">
        <w:r>
          <w:rPr>
            <w:color w:val="0000EE"/>
            <w:u w:val="single"/>
          </w:rPr>
          <w:t xml:space="preserve">1 Pedro 3.22 </w:t>
        </w:r>
      </w:hyperlink>
      <w:r>
        <w:t xml:space="preserve">— os anjos malignos, autoridades e poderes. Eles estão relacionados aos “filhos de Deus” em </w:t>
      </w:r>
      <w:hyperlink r:id="rId8478">
        <w:r>
          <w:rPr>
            <w:color w:val="0000EE"/>
            <w:u w:val="single"/>
          </w:rPr>
          <w:t>Gênesis 6.1–4</w:t>
        </w:r>
      </w:hyperlink>
      <w:r>
        <w:t xml:space="preserve">. Em apoio a isso, argumentam que a proclamação a esses espíritos ocorre não antes, mas depois da ressurreição de Jesus, e assim provavelmente não é uma </w:t>
      </w:r>
      <w:r>
        <w:rPr>
          <w:i/>
        </w:rPr>
        <w:t>descida</w:t>
      </w:r>
      <w:r>
        <w:t xml:space="preserve"> aos mortos, mas uma </w:t>
      </w:r>
      <w:r>
        <w:rPr>
          <w:i/>
        </w:rPr>
        <w:t>ascensão</w:t>
      </w:r>
      <w:r>
        <w:t xml:space="preserve"> aos “lugares celestiais”, onde vivem os poderes espirituais rebeldes (veja </w:t>
      </w:r>
      <w:hyperlink r:id="rId4786">
        <w:r>
          <w:rPr>
            <w:color w:val="0000EE"/>
            <w:u w:val="single"/>
          </w:rPr>
          <w:t>Ef 6.12</w:t>
        </w:r>
      </w:hyperlink>
      <w:r>
        <w:t>). Além disso, no livro judaico pré-cristão de 1 Enoque, Enoque é retratado proclamando a condenação aos anjos apóstatas. Assim, Cristo é visto como o novo Enoque, declarando aos “espíritos em prisão” sua vitória na cruz e sua derrota final.</w:t>
      </w:r>
    </w:p>
    <w:p>
      <w:r/>
      <w:r>
        <w:t xml:space="preserve">Finalmente, outros ainda sugeriram que a pregação de Cristo não foi nem para seres espirituais sobrenaturais nem para os espíritos dos mortos no Hades. Em vez disso, a pregação ocorreu nos dias de Noé e foi dirigida aos contemporâneos de Noé, que, por terem desobedecido, agora estão em prisão. Em outras palavras, o Espírito de Cristo, referido em </w:t>
      </w:r>
      <w:hyperlink r:id="rId6110">
        <w:r>
          <w:rPr>
            <w:color w:val="0000EE"/>
            <w:u w:val="single"/>
          </w:rPr>
          <w:t>1 Pedro 1.11</w:t>
        </w:r>
      </w:hyperlink>
      <w:r>
        <w:t>, e que existia antes da Encarnação, inspirou Noé a pregar ao povo. Nesta interpretação, não há "descida ao inferno" e nenhuma declaração aos anjos caídos. O texto simplesmente diz que Cristo em sua dimensão espiritual pregou nos dias de Noé.</w:t>
      </w:r>
    </w:p>
    <w:p>
      <w:r/>
      <w:r>
        <w:rPr>
          <w:i/>
        </w:rPr>
        <w:t>Veja também</w:t>
      </w:r>
      <w:r>
        <w:t xml:space="preserve"> </w:t>
      </w:r>
      <w:r>
        <w:t>Primeira carta de Pedro</w:t>
      </w:r>
      <w:r>
        <w:t>.</w:t>
      </w:r>
      <w:r/>
      <w:r/>
    </w:p>
    <w:p>
      <w:r/>
    </w:p>
    <w:p>
      <w:pPr>
        <w:pStyle w:val="Heading2"/>
      </w:pPr>
      <w:r>
        <w:t>Esquecimento, Terra do</w:t>
      </w:r>
      <w:r/>
    </w:p>
    <w:p>
      <w:r/>
      <w:r>
        <w:t>Eufemismo para a morada dos mortos. Uma vez na terra do esquecimento, acredita-se que os mortos sejam esquecidos por Deus (</w:t>
      </w:r>
      <w:hyperlink r:id="rId8479">
        <w:r>
          <w:rPr>
            <w:color w:val="0000EE"/>
            <w:u w:val="single"/>
          </w:rPr>
          <w:t>Sl 88.12</w:t>
        </w:r>
      </w:hyperlink>
      <w:r>
        <w:t>) e pelas pessoas (</w:t>
      </w:r>
      <w:hyperlink r:id="rId8480">
        <w:r>
          <w:rPr>
            <w:color w:val="0000EE"/>
            <w:u w:val="single"/>
          </w:rPr>
          <w:t>Ec 9.5–6</w:t>
        </w:r>
      </w:hyperlink>
      <w:r>
        <w:t xml:space="preserve">). </w:t>
      </w:r>
      <w:hyperlink r:id="rId8481">
        <w:r>
          <w:rPr>
            <w:color w:val="0000EE"/>
            <w:u w:val="single"/>
          </w:rPr>
          <w:t>Jó 14.21–22</w:t>
        </w:r>
      </w:hyperlink>
      <w:r>
        <w:t xml:space="preserve"> sugere, no entanto, que os falecidos mantêm alguma autoconsciência no Sheol.</w:t>
      </w:r>
    </w:p>
    <w:p>
      <w:r/>
      <w:r>
        <w:rPr>
          <w:i/>
        </w:rPr>
        <w:t>Consulte também</w:t>
      </w:r>
      <w:r>
        <w:t xml:space="preserve"> </w:t>
      </w:r>
      <w:r>
        <w:t>Sheol</w:t>
      </w:r>
      <w:r>
        <w:t>.</w:t>
      </w:r>
      <w:r/>
      <w:r/>
    </w:p>
    <w:p>
      <w:r/>
    </w:p>
    <w:p>
      <w:pPr>
        <w:pStyle w:val="Heading2"/>
      </w:pPr>
      <w:r>
        <w:t>Essênios</w:t>
      </w:r>
      <w:r/>
    </w:p>
    <w:p>
      <w:r/>
      <w:r>
        <w:t>Seita ou comunidade judaica na Palestina no último século a.C. e no primeiro século d.C.</w:t>
      </w:r>
    </w:p>
    <w:p>
      <w:r/>
      <w:r>
        <w:t>Resumo</w:t>
      </w:r>
    </w:p>
    <w:p>
      <w:r/>
      <w:r>
        <w:t>• O nome</w:t>
      </w:r>
    </w:p>
    <w:p>
      <w:r/>
      <w:r>
        <w:t>• Fontes de informações</w:t>
      </w:r>
    </w:p>
    <w:p>
      <w:r/>
      <w:r>
        <w:t>• Origem e história</w:t>
      </w:r>
    </w:p>
    <w:p>
      <w:r/>
      <w:r>
        <w:t>• Ingresso na seita</w:t>
      </w:r>
    </w:p>
    <w:p>
      <w:r/>
      <w:r>
        <w:t>• Vida em comunidade</w:t>
      </w:r>
    </w:p>
    <w:p>
      <w:r/>
      <w:r>
        <w:t>• Crenças religiosas</w:t>
      </w:r>
    </w:p>
    <w:p>
      <w:r/>
      <w:r>
        <w:t>• Os Essênios e a Comunidade de Qumran</w:t>
      </w:r>
    </w:p>
    <w:p>
      <w:pPr>
        <w:pStyle w:val="Heading3"/>
      </w:pPr>
      <w:r>
        <w:t>O nome</w:t>
      </w:r>
    </w:p>
    <w:p>
      <w:r/>
      <w:r>
        <w:t xml:space="preserve">A seita é chamada de </w:t>
      </w:r>
      <w:r>
        <w:rPr>
          <w:i/>
        </w:rPr>
        <w:t>Esseni, Osseni, Ossaei, Essaeans</w:t>
      </w:r>
      <w:r>
        <w:t xml:space="preserve"> e outras variações; às vezes, duas formas diferentes são encontradas no mesmo autor. Nenhuma explicação satisfatória para o nome foi dada, mas vários estudiosos tendem a preferir "curandeiros", o que dificilmente parece provável, já que o termo descreve os Terapeutas ("Curandeiros"), uma seita que estava apenas remotamente relacionada aos Essênios, se é que estavam.</w:t>
      </w:r>
    </w:p>
    <w:p>
      <w:pPr>
        <w:pStyle w:val="Heading3"/>
      </w:pPr>
      <w:r>
        <w:t>Fontes de informação</w:t>
      </w:r>
    </w:p>
    <w:p>
      <w:r/>
      <w:r>
        <w:t xml:space="preserve">As principais fontes de informação sobre os Essênios são (1) Filo de Alexandria, um judeu que viveu no Egito de cerca de 30 a.C. até algum tempo depois de 40 d.C., em suas obras </w:t>
      </w:r>
      <w:r>
        <w:rPr>
          <w:i/>
        </w:rPr>
        <w:t>Que Todo Homem Bom Seja Livre</w:t>
      </w:r>
      <w:r>
        <w:t xml:space="preserve"> e </w:t>
      </w:r>
      <w:r>
        <w:rPr>
          <w:i/>
        </w:rPr>
        <w:t>Apologia para os Judeus;</w:t>
      </w:r>
      <w:r>
        <w:t xml:space="preserve"> (2) Flávio Josefo, um judeu da Palestina e posteriormente de Roma, que viveu de 37 d.C. até cerca de 100 d.C., em suas obras </w:t>
      </w:r>
      <w:r>
        <w:rPr>
          <w:i/>
        </w:rPr>
        <w:t>Guerra dos Judeus</w:t>
      </w:r>
      <w:r>
        <w:t xml:space="preserve"> e </w:t>
      </w:r>
      <w:r>
        <w:rPr>
          <w:i/>
        </w:rPr>
        <w:t xml:space="preserve">Antiguidades Judaicas </w:t>
      </w:r>
      <w:r>
        <w:t xml:space="preserve">— nossas fontes mais extensas; (3) Plínio, o Velho, um romano que morreu em 79 d.C. e que pode ter estado na Palestina com Tito durante a Guerra Judaica, em sua </w:t>
      </w:r>
      <w:r>
        <w:rPr>
          <w:i/>
        </w:rPr>
        <w:t>História Natural;</w:t>
      </w:r>
      <w:r>
        <w:t xml:space="preserve"> e (4) Hipólito de Roma, em sua obra </w:t>
      </w:r>
      <w:r>
        <w:rPr>
          <w:i/>
        </w:rPr>
        <w:t>Refutação de Todas as Heresias,</w:t>
      </w:r>
      <w:r>
        <w:t xml:space="preserve"> escrita por volta de 230 d.C. e amplamente dependente de Josefo.</w:t>
      </w:r>
    </w:p>
    <w:p>
      <w:r/>
      <w:r>
        <w:t>Josefo nos relata que decidiu conhecer intimamente as três “seitas” judaicas, então ele se juntou aos essênios quando tinha 16 anos. No entanto, como ele se tornou fariseu aos 19 anos e os ritos iniciatórios dos essênios levavam pelo menos três anos, devemos concluir que ele não teve tempo ou oportunidade de aprender muito sobre a vida interna dos essênios.</w:t>
      </w:r>
    </w:p>
    <w:p>
      <w:pPr>
        <w:pStyle w:val="Heading3"/>
      </w:pPr>
      <w:r>
        <w:t>Origem e história</w:t>
      </w:r>
    </w:p>
    <w:p>
      <w:r/>
      <w:r>
        <w:t xml:space="preserve">A primeira menção dos essênios, assim como a dos fariseus e saduceus, ocorre na época de Jônatas (160–143 a.C.), sucessor de Judas Macabeu (veja </w:t>
      </w:r>
      <w:r>
        <w:rPr>
          <w:i/>
        </w:rPr>
        <w:t>Antiguidades</w:t>
      </w:r>
      <w:r>
        <w:t xml:space="preserve"> de Josefo 13.5.9). Josefo chama esses grupos de "seitas" (do grego haireseis), um termo que às vezes conota movimentos heréticos, mas esse é um significado posterior da palavra. Lucas usa o mesmo termo para fariseus (</w:t>
      </w:r>
      <w:hyperlink r:id="rId6072">
        <w:r>
          <w:rPr>
            <w:color w:val="0000EE"/>
            <w:u w:val="single"/>
          </w:rPr>
          <w:t>At 15.5</w:t>
        </w:r>
      </w:hyperlink>
      <w:r>
        <w:t xml:space="preserve">; </w:t>
      </w:r>
      <w:hyperlink r:id="rId8482">
        <w:r>
          <w:rPr>
            <w:color w:val="0000EE"/>
            <w:u w:val="single"/>
          </w:rPr>
          <w:t>26.5</w:t>
        </w:r>
      </w:hyperlink>
      <w:r>
        <w:t>), saduceus (</w:t>
      </w:r>
      <w:hyperlink r:id="rId8483">
        <w:r>
          <w:rPr>
            <w:color w:val="0000EE"/>
            <w:u w:val="single"/>
          </w:rPr>
          <w:t>5.17</w:t>
        </w:r>
      </w:hyperlink>
      <w:r>
        <w:t>) e cristãos (</w:t>
      </w:r>
      <w:hyperlink r:id="rId8484">
        <w:r>
          <w:rPr>
            <w:color w:val="0000EE"/>
            <w:u w:val="single"/>
          </w:rPr>
          <w:t>24.5,14</w:t>
        </w:r>
      </w:hyperlink>
      <w:r>
        <w:t xml:space="preserve">; </w:t>
      </w:r>
      <w:hyperlink r:id="rId8485">
        <w:r>
          <w:rPr>
            <w:color w:val="0000EE"/>
            <w:u w:val="single"/>
          </w:rPr>
          <w:t>28.22</w:t>
        </w:r>
      </w:hyperlink>
      <w:r>
        <w:t>).</w:t>
      </w:r>
    </w:p>
    <w:p>
      <w:r/>
      <w:r>
        <w:t>A revolta dos Macabeus começou em 167 a.C. O pano de fundo da insurreição foi uma disputa entre os gregos selêucidas e os gregos ptolomaicos, com a Palestina como objeto da disputa. Os selêucidas venceram em 198 a.C., mas havia partidos pró-sírios e pró-egípcios na Judeia. Além disso, o helenismo, fortemente promovido pelos selêucidas, tinha se enraizado profundamente em muitos judeus. Para participar dos jogos atléticos, alguns judeus até recorreram a operações para eliminar o sinal da circuncisão (</w:t>
      </w:r>
      <w:hyperlink r:id="rId8486">
        <w:r>
          <w:rPr>
            <w:color w:val="0000EE"/>
            <w:u w:val="single"/>
          </w:rPr>
          <w:t>1Mc 1.15</w:t>
        </w:r>
      </w:hyperlink>
      <w:r>
        <w:t xml:space="preserve">). Em 168, o rei selêucida Antíoco IV Epifânio vendeu o sumo sacerdócio judaico ao maior licitante, Menelau. Quando isso foi rejeitado pela população judaica, uma perseguição violenta irrompeu. Em algum momento, surgiu um grupo de judeus piedosos que se juntaram aos Macabeus na revolta. Nós os conhecemos como os Hasidim (ou Hasideanos, Assideanos, "os piedosos"; cf. </w:t>
      </w:r>
      <w:hyperlink r:id="rId8487">
        <w:r>
          <w:rPr>
            <w:color w:val="0000EE"/>
            <w:u w:val="single"/>
          </w:rPr>
          <w:t>1Mc 2.42</w:t>
        </w:r>
      </w:hyperlink>
      <w:r>
        <w:t>).</w:t>
      </w:r>
    </w:p>
    <w:p>
      <w:r/>
      <w:r>
        <w:t>Devido a inúmeras semelhanças na doutrina, é geralmente aceito que os fariseus são ou os descendentes diretos dos Hasidim ou um de dois ou mais grupos de descendentes. Também é geralmente aceito que os essênios são um grupo que se separou dos fariseus ou dos Hasidim. Qumran (a comunidade dos Manuscritos do Mar Morto) é vista como um ramo dos essênios ou como outro grupo de separatistas intimamente relacionado, cuja origem foi aproximadamente no mesmo período.</w:t>
      </w:r>
    </w:p>
    <w:p>
      <w:r/>
      <w:r>
        <w:t>Josefo menciona apenas três seitas judaicas: fariseus, saduceus e essênios (</w:t>
      </w:r>
      <w:r>
        <w:rPr>
          <w:i/>
        </w:rPr>
        <w:t>Antiguidades</w:t>
      </w:r>
      <w:r>
        <w:t xml:space="preserve"> 18.1.2). Portanto, muitas vezes se conclui que essas eram as únicas seitas judaicas naquela época. Esta é uma conclusão equivocada. Sabemos de pelo menos sete seitas judaicas, e talvez até doze. Provavelmente há alguma sobreposição, e nem sempre é claro se um grupo específico deve ser descrito como um partido religioso (e.g., os zelotes). Mas podemos contestar o número de seitas de Josefo por outros dados que ele fornece. Segundo Josefo, havia 6.000 fariseus (</w:t>
      </w:r>
      <w:r>
        <w:rPr>
          <w:i/>
        </w:rPr>
        <w:t>Antiguidades</w:t>
      </w:r>
      <w:r>
        <w:t xml:space="preserve"> 17.2.4) e 4.000 essênios (</w:t>
      </w:r>
      <w:r>
        <w:rPr>
          <w:i/>
        </w:rPr>
        <w:t>Antiguidades</w:t>
      </w:r>
      <w:r>
        <w:t xml:space="preserve"> 18.1.5; cf. </w:t>
      </w:r>
      <w:r>
        <w:rPr>
          <w:i/>
        </w:rPr>
        <w:t>Cada Homem Bom</w:t>
      </w:r>
      <w:r>
        <w:t xml:space="preserve"> de Filo 76), e os saduceus eram menos numerosos que os fariseus (cf. </w:t>
      </w:r>
      <w:r>
        <w:rPr>
          <w:i/>
        </w:rPr>
        <w:t>Guerras</w:t>
      </w:r>
      <w:r>
        <w:t xml:space="preserve"> 2.8.14). Isso explicaria, no máximo, 16.000 pessoas, e a população da Judeia estava bem além desse número. Além disso, o próprio Josefo fala de uma “quarta filosofia” (</w:t>
      </w:r>
      <w:r>
        <w:rPr>
          <w:i/>
        </w:rPr>
        <w:t>Antiguidades</w:t>
      </w:r>
      <w:r>
        <w:t xml:space="preserve"> 18.1.6), que alguns estudiosos identificam com os zelotes, embora Josefo nunca o faça. Só podemos concluir que, na visão de Josefo, havia três seitas ou grupos principais de judeus.</w:t>
      </w:r>
    </w:p>
    <w:p>
      <w:r/>
      <w:r>
        <w:t>Os essênios deixaram as cidades da Palestina e passaram a viver em cidades e vilarejos. Plínio os localiza a oeste do Mar Morto e afirma: “Abaixo deles estava En-Gedi” (</w:t>
      </w:r>
      <w:r>
        <w:rPr>
          <w:i/>
        </w:rPr>
        <w:t>História Natural</w:t>
      </w:r>
      <w:r>
        <w:t xml:space="preserve"> 5.15.73), uma declaração que poderia significar tanto que En-Gedi estava em uma elevação mais baixa quanto que estava ao sul. Os estudiosos não são unânimes na interpretação dessa afirmação.</w:t>
      </w:r>
    </w:p>
    <w:p>
      <w:pPr>
        <w:pStyle w:val="Heading3"/>
      </w:pPr>
      <w:r>
        <w:t>Admissão à seita</w:t>
      </w:r>
    </w:p>
    <w:p>
      <w:r/>
      <w:r>
        <w:t>A admissão aos essênios era um processo longo e complicado, consistindo em um ano como postulante e dois anos adicionais de participação limitada na comunidade. O noviço fazia juramentos solenes, que incluíam seu relacionamento com Deus e com seus companheiros membros. Ele jurava odiar os ímpios e amar a verdade, não esconder nada da comunidade e não revelar nada aos de fora, e transmitir as doutrinas exatamente como as recebeu. Até que fizesse esses juramentos, ele não podia tocar na comida da comunidade.</w:t>
      </w:r>
    </w:p>
    <w:p>
      <w:pPr>
        <w:pStyle w:val="Heading3"/>
      </w:pPr>
      <w:r>
        <w:t>Vida em comunidade</w:t>
      </w:r>
    </w:p>
    <w:p>
      <w:r/>
      <w:r>
        <w:t>Quando um novo membro se juntava aos Essênios, ele entregava toda a sua propriedade à comunidade. Os membros individuais não possuíam bens, propriedades ou casas. Viviam de forma frugal, tendo apenas o necessário para viver. Desprezavam riquezas, não tinham escravos e não se envolviam em comércio. Trabalhavam em campos ou em ofícios que contribuíam para a paz e não fabricavam instrumentos de guerra. Viviam em fraternidades, comiam juntos, possuíam propriedades em comum, tinham uma bolsa comum e um estoque comum de roupas. Eles sempre usavam roupas brancas.</w:t>
      </w:r>
    </w:p>
    <w:p>
      <w:r/>
      <w:r>
        <w:t>A evidência é um tanto confusa sobre suas opiniões sobre o casamento. Eles ou o baniram completamente ou o desprezaram, considerando a continência como uma de suas virtudes. Havia essênios que se casavam, mas estes viam o relacionamento matrimonial apenas como um meio de gerar filhos para que a raça pudesse continuar.</w:t>
      </w:r>
    </w:p>
    <w:p>
      <w:r/>
      <w:r>
        <w:t>Há também evidências contraditórias em relação às crianças. Segundo Filo, eles não tinham crianças, adolescentes, nem mesmo jovens. Josefo, por outro lado, nos diz que eles adotavam crianças, e os essênios que se casavam criavam seus próprios filhos.</w:t>
      </w:r>
    </w:p>
    <w:p>
      <w:r/>
      <w:r>
        <w:t>Os essênios eram divididos em quatro grupos ou classes e não faziam nada a menos que fosse ordenado por superiores, exceto por obras de misericórdia. Eles obedeciam aos seus anciãos. A justiça era administrada em uma assembleia de 100 membros ou mais. Para ofensas graves, a penalidade era a expulsão da comunidade, e o membro expulso geralmente morria de fome devido aos rigorosos juramentos que havia feito.</w:t>
      </w:r>
    </w:p>
    <w:p>
      <w:pPr>
        <w:pStyle w:val="Heading4"/>
      </w:pPr>
      <w:r>
        <w:t>Um dia típico</w:t>
      </w:r>
    </w:p>
    <w:p>
      <w:r/>
      <w:r>
        <w:t>Josefo descreve um dia típico na vida dos essênios. Eles se levantavam antes do amanhecer e recitavam orações ao sol nascente (o que provavelmente não deve ser interpretado como adoração ao sol). Em seguida, cada homem trabalhava em seu ofício até a quinta hora (11 da manhã). Nesse momento, a comunidade se reunia, vestia tangas de linho, banhava-se em água fria e depois ia para o edifício que era restrito aos membros, para um refeitório que era ainda mais restrito àqueles que eram puros. Cada essênio recebia pão e uma tigela de comida. O sacerdote fazia uma oração antes que alguém pudesse tocar na comida, e outra oração após a refeição. Depois, os membros deixavam de lado suas vestes sagradas e retomavam seu trabalho até a noite. A refeição da noite era realizada da mesma maneira que a refeição do meio-dia. Eles comiam em silêncio e falavam apenas por sua vez, comendo e bebendo apenas o necessário para se satisfazerem.</w:t>
      </w:r>
    </w:p>
    <w:p>
      <w:pPr>
        <w:pStyle w:val="Heading3"/>
      </w:pPr>
      <w:r>
        <w:t>Crenças religiosas</w:t>
      </w:r>
    </w:p>
    <w:p>
      <w:r/>
      <w:r>
        <w:t>É um tanto arriscado tentar reconstruir a teologia essênia a partir de Josefo e Filo, pois ambos esses escritores pensavam de forma filosófica em vez de teológica.</w:t>
      </w:r>
    </w:p>
    <w:p>
      <w:r/>
      <w:r>
        <w:t>Os essênios não se preocupavam com lógica ou filosofia natural, mas dedicavam-se à ética. Josefo os compara aos pitagóricos gregos (</w:t>
      </w:r>
      <w:r>
        <w:rPr>
          <w:i/>
        </w:rPr>
        <w:t>Antiguidades</w:t>
      </w:r>
      <w:r>
        <w:t xml:space="preserve"> 15.10.4), mas não explica isso em detalhes. Os essênios estavam preocupados com a pureza e mentes santas. Eles rejeitavam juramentos (aparentemente exceto o juramento solene que faziam ao entrar na seita) e consideravam sua palavra suficiente. Observavam o sétimo dia, indo às sinagogas e sentando-se de acordo com a idade. Um lia e outro explicava, fazendo uso de símbolos e do uso triplo de definições (o que pode ser uma referência ao método rabínico de exegese). Não realizavam trabalho no sábado. Há confusão em relação ao assunto dos sacrifícios; ou eles não ofereciam sacrifícios (</w:t>
      </w:r>
      <w:r>
        <w:rPr>
          <w:i/>
        </w:rPr>
        <w:t>Todo Homem Bom</w:t>
      </w:r>
      <w:r>
        <w:t xml:space="preserve"> de Filo) ou sacrificavam entre si e não enviavam sacrifícios ao Templo (</w:t>
      </w:r>
      <w:r>
        <w:rPr>
          <w:i/>
        </w:rPr>
        <w:t>Antiguidades</w:t>
      </w:r>
      <w:r>
        <w:t xml:space="preserve"> 18.1.5 de Josefo). Eles enviavam ofertas ao Templo, de acordo com essa mesma passagem em Josefo. O nome do legislador (Moisés? ou o próprio Deus?) era objeto de grande veneração.</w:t>
      </w:r>
    </w:p>
    <w:p>
      <w:r/>
      <w:r>
        <w:t>Os essênios estudavam livros sagrados e eram habilidosos em prever o futuro. Josefo menciona um essênio, Menaém, que previu que Herodes seria rei (</w:t>
      </w:r>
      <w:r>
        <w:rPr>
          <w:i/>
        </w:rPr>
        <w:t>Antiguidades</w:t>
      </w:r>
      <w:r>
        <w:t xml:space="preserve"> 15.10.5). Eles também estudavam as obras dos antigos (o que parece significar obras além das Escrituras) e tornaram-se proficientes no conhecimento de cura, de raízes e de pedras. Os essênios acreditavam que suas almas eram imortais; no entanto, como Josefo parece ter entendido essa doutrina, o corpo era “corruptível e sua matéria constituinte impermanente” (</w:t>
      </w:r>
      <w:r>
        <w:rPr>
          <w:i/>
        </w:rPr>
        <w:t>Guerra</w:t>
      </w:r>
      <w:r>
        <w:t xml:space="preserve"> 2.8.11), o que pode implicar uma negação da ressurreição.</w:t>
      </w:r>
    </w:p>
    <w:p>
      <w:r/>
      <w:r>
        <w:t>O material disponível para nós dificilmente é satisfatório para reconstruir a teologia dos essênios. Está claro, no entanto, que eles eram judeus devotados à lei, mas com certos enfoques ou peculiaridades que os diferenciavam tanto dos fariseus quanto dos saduceus. Eles eram ascéticos, embora alguns deles se casassem, e eram pacifistas, apesar de Josefo mencionar um essênio chamado João que era general no exército (</w:t>
      </w:r>
      <w:r>
        <w:rPr>
          <w:i/>
        </w:rPr>
        <w:t>Guerra</w:t>
      </w:r>
      <w:r>
        <w:t xml:space="preserve"> 2.20.4). Acima de tudo, eles eram exclusivistas, afastando-se de outros judeus e vivendo um tipo de vida comunitária ou comunista.</w:t>
      </w:r>
    </w:p>
    <w:p>
      <w:pPr>
        <w:pStyle w:val="Heading3"/>
      </w:pPr>
      <w:r>
        <w:t>Os Essênios e a Comunidade de Qumran</w:t>
      </w:r>
    </w:p>
    <w:p>
      <w:r/>
      <w:r>
        <w:t>Há muitas semelhanças entre os Essênios e o povo dos Rolos do Mar Morto. Ambos eram seitas judaicas. Ambos eram grupos comunitários que se retiraram do fluxo comum do Judaísmo. Ambos estavam localizados a oeste do Mar Morto. Ambos tinham processos longos e rigorosos para admissão de novos membros. Ambos tinham um juramento de admissão. Ambos odiavam os ímpios e amavam os membros da comunidade. Ambos exigiam a entrega de toda a propriedade à seita. Ambos mantinham seus segredos dentro do próprio grupo. A vida diária — orações, banhos rituais, refeições comuns, o estudo e interpretação da Bíblia, e a preocupação com a pureza — é marcadamente semelhante. A observância meticulosa do sábado, a divisão em categorias ou sortes, e a autoridade de anciãos e superiores são características de cada grupo. Ambos tinham um grupo mínimo de dez pessoas necessário para a assembleia. Ambos tinham leis de expulsão para ofensas graves.</w:t>
      </w:r>
    </w:p>
    <w:p>
      <w:r/>
      <w:r>
        <w:t>As diferenças também são notáveis e não são frequentemente destacadas. Obviamente, a comunidade de Qumran não poderia ter constituído todos os essênios, mas era, no máximo, uma pequena fração (talvez 200) dos 4.000 essênios. Além disso, era, na melhor das hipóteses, apenas uma das cidades e vilarejos dos essênios. Se os qumranianos trabalhavam em ofícios, não sabemos nada sobre isso, seja a partir de seus textos ou da arqueologia de Qumran. Da mesma forma, não sabemos nada sobre sua atitude em relação à guerra ou aos instrumentos de guerra. Mas sabemos pelo Rolo da Guerra (1QM) que eles tinham um conceito elaborado da guerra final, com um exército, armas, manobras e afins, e não parecem pacifistas (cf 1QS 9.16,22–23; 10.18; 1QSa 1.19–21). Parece que os qumranianos se envolviam em comércio (CD 13.14–15). Não temos informações sobre qualquer estoque comum de roupas em Qumran. A partir da literatura do Mar Morto, sabemos que havia provisões para casamento, para crianças pequenas, adolescentes e jovens. Claro, os qumranianos podem ter sido os essênios que se casavam aos quais Josefo se refere. A admissão ao grupo de Qumran era um processo de dois anos; para os essênios, era de três anos.</w:t>
      </w:r>
    </w:p>
    <w:p>
      <w:r/>
      <w:r>
        <w:t>Não sabemos nada sobre orações de Qumran ao sol ou sobre banhos diários, embora algumas das “cisternas” provavelmente fossem piscinas de imersão. Ao contrário dos essênios, os qumranianos usavam juramentos, e há seções extensas sobre juramentos em sua literatura (CD 9.8–12; 15.1–10; 16.6–18). A atitude de Qumran em relação aos sacrifícios não é totalmente clara, mas há provisão para o envio de sacrifícios ao Templo. Não conhecemos nenhuma aversão ao óleo entre os qumranianos, como é descrito para os essênios.</w:t>
      </w:r>
    </w:p>
    <w:p>
      <w:r/>
      <w:r>
        <w:t>Não há evidências de que os qumranianos usassem definições triplas em sua interpretação bíblica. O uso de símbolos em seus escritos é mínimo. Não há evidências de que estudassem conhecimentos de cura, raízes ou pedras. Se eram especialistas em prever o futuro, não temos registro disso.</w:t>
      </w:r>
    </w:p>
    <w:p>
      <w:r/>
      <w:r>
        <w:t>O arranjo de assentos em Qumran era por classificação e não por idade, como entre os essênios. A classificação era alterada por um exame anual em Qumran. Não há indicação de que a justiça em Qumran era conduzida por 100 homens; ao contrário, parece ter sido administrada por um conselho de 15 (1QS 8.1) ou 10 (CD 9.4–5).</w:t>
      </w:r>
    </w:p>
    <w:p>
      <w:r/>
      <w:r>
        <w:t>Dadas as semelhanças, devemos concluir que havia algum tipo de relação entre os Essênios e a comunidade de Qumran. Considerando as diferenças, somos levados a concluir que eles não eram exatamente os mesmos. Existem várias explicações possíveis: (1) Os essênios e os qumranianos podem ter começado como a mesma cisão dos hassidim e, posteriormente, se dividido novamente. De fato, os Manuscritos do Mar Morto, particularmente o Documento de Damasco (CD), sugerem algum tipo de divisão no período anterior do grupo. (2) Os essênios de Josefo e Filo são cerca de um século posteriores à literatura dos qumranianos e podem ter se alterado um pouco durante esse período. (3) Os essênios estavam localizados em várias cidades e vilas e podem ter desenvolvido variações locais significativas, de modo que Josefo pode ter tirado sua descrição de um local, Filo e Plínio de outros, enquanto o grupo de Qumran representa ainda outra forma variante local. Há pouco para orientar uma preferência por qualquer uma dessas explicações.</w:t>
      </w:r>
    </w:p>
    <w:p>
      <w:r/>
      <w:r>
        <w:rPr>
          <w:i/>
        </w:rPr>
        <w:t>Veja também</w:t>
      </w:r>
      <w:r>
        <w:t xml:space="preserve"> </w:t>
      </w:r>
      <w:r>
        <w:t>Rolos do Mar Morto</w:t>
      </w:r>
      <w:r>
        <w:t xml:space="preserve">; </w:t>
      </w:r>
      <w:r>
        <w:t>Judaísmo</w:t>
      </w:r>
      <w:r>
        <w:t xml:space="preserve">; </w:t>
      </w:r>
      <w:r>
        <w:t>Fariseus</w:t>
      </w:r>
      <w:r>
        <w:t xml:space="preserve">; </w:t>
      </w:r>
      <w:r>
        <w:t>Qumran</w:t>
      </w:r>
      <w:r>
        <w:t>.</w:t>
      </w:r>
      <w:r/>
      <w:r/>
    </w:p>
    <w:p>
      <w:r/>
    </w:p>
    <w:p>
      <w:pPr>
        <w:pStyle w:val="Heading2"/>
      </w:pPr>
      <w:r>
        <w:t>Estado intermediário</w:t>
      </w:r>
      <w:r/>
    </w:p>
    <w:p>
      <w:r/>
      <w:r>
        <w:t xml:space="preserve">O estado de um ser humano após a morte e antes da ressurreição final. Em outras palavras, o que acontece com uma pessoa quando ela morre antes da ressurreição? Esse ensinamento é mais desenvolvido no Novo Testamento do que no Antigo Testamento. É um erro pensar que a referência a isso está completamente ausente no Antigo Testamento (por exemplo, </w:t>
      </w:r>
      <w:hyperlink r:id="rId8488">
        <w:r>
          <w:rPr>
            <w:color w:val="0000EE"/>
            <w:u w:val="single"/>
          </w:rPr>
          <w:t>Jó 19.25</w:t>
        </w:r>
      </w:hyperlink>
      <w:r>
        <w:t>).</w:t>
      </w:r>
    </w:p>
    <w:p>
      <w:pPr>
        <w:pStyle w:val="Heading3"/>
      </w:pPr>
      <w:r>
        <w:t>O que a Bíblia diz sobre o estado intermediário?</w:t>
      </w:r>
    </w:p>
    <w:p>
      <w:r/>
      <w:r>
        <w:t xml:space="preserve">De acordo com Cristo, o estado intermediário é deduzível de textos como </w:t>
      </w:r>
      <w:hyperlink r:id="rId906">
        <w:r>
          <w:rPr>
            <w:color w:val="0000EE"/>
            <w:u w:val="single"/>
          </w:rPr>
          <w:t>Êxodo 3.6</w:t>
        </w:r>
      </w:hyperlink>
      <w:r>
        <w:t xml:space="preserve"> e </w:t>
      </w:r>
      <w:hyperlink r:id="rId8489">
        <w:r>
          <w:rPr>
            <w:color w:val="0000EE"/>
            <w:u w:val="single"/>
          </w:rPr>
          <w:t>Mateus 22.32</w:t>
        </w:r>
      </w:hyperlink>
      <w:r>
        <w:t xml:space="preserve">. Mesmo no Novo Testamento, um relato do estado intermediário não é dado claramente. É sugerido a partir do ensino sobre a morte física e ressurreição de todas as pessoas, mas principalmente dos crentes. Isso é ensinado pelo próprio Cristo em </w:t>
      </w:r>
      <w:hyperlink r:id="rId8490">
        <w:r>
          <w:rPr>
            <w:color w:val="0000EE"/>
            <w:u w:val="single"/>
          </w:rPr>
          <w:t>Mateus 22.30–32.</w:t>
        </w:r>
      </w:hyperlink>
      <w:r>
        <w:t xml:space="preserve"> Os apóstolos, particularmente Paulo, ensinam isso como, por exemplo, em </w:t>
      </w:r>
      <w:hyperlink r:id="rId5845">
        <w:r>
          <w:rPr>
            <w:color w:val="0000EE"/>
            <w:u w:val="single"/>
          </w:rPr>
          <w:t>1 Coríntios 15</w:t>
        </w:r>
      </w:hyperlink>
      <w:r>
        <w:t>.</w:t>
      </w:r>
    </w:p>
    <w:p>
      <w:r/>
      <w:r>
        <w:t>Além disso, a Bíblia ensina que um ser humano é uma unidade de alma e corpo e não simplesmente uma alma que por acaso está encarnada (</w:t>
      </w:r>
      <w:hyperlink r:id="rId292">
        <w:r>
          <w:rPr>
            <w:color w:val="0000EE"/>
            <w:u w:val="single"/>
          </w:rPr>
          <w:t>Gn 2.7</w:t>
        </w:r>
      </w:hyperlink>
      <w:r>
        <w:t>). Isso fornece algumas informações sobre o que acontece a uma pessoa após a morte. A partir de tais detalhes, duas conclusões podem ser tiradas sobre o estado intermediário:</w:t>
      </w:r>
    </w:p>
    <w:p>
      <w:pPr>
        <w:pStyle w:val="ListNumber"/>
        <w:spacing w:line="240" w:lineRule="auto"/>
        <w:ind w:left="720"/>
      </w:pPr>
      <w:r/>
      <w:r>
        <w:t>A morte física não é o fim total da vida do indivíduo. A pessoa continua a viver após isso. Isso não ocorre apenas nas memórias daqueles que sobrevivem, mas como uma personalidade distinta. No caso dos crentes, eles estão cientes da presença amorosa de Deus (</w:t>
      </w:r>
      <w:hyperlink r:id="rId5076">
        <w:r>
          <w:rPr>
            <w:color w:val="0000EE"/>
            <w:u w:val="single"/>
          </w:rPr>
          <w:t>Fp 1.23</w:t>
        </w:r>
      </w:hyperlink>
      <w:r>
        <w:t>);</w:t>
      </w:r>
    </w:p>
    <w:p>
      <w:pPr>
        <w:pStyle w:val="ListNumber"/>
        <w:spacing w:line="240" w:lineRule="auto"/>
        <w:ind w:left="720"/>
      </w:pPr>
      <w:r/>
      <w:r>
        <w:t>Tal existência não é como os humanos foram destinados a ser. É incompleta ou incomum, já que ter um corpo é essencial para uma pessoa ser a imagem de Deus. O indivíduo, sobrevivendo à morte, espera pela ressurreição do corpo. No caso de um cristão, ele ou ela experimentará a redenção completa, um estado de total liberdade do pecado na presença de Cristo (</w:t>
      </w:r>
      <w:hyperlink r:id="rId8491">
        <w:r>
          <w:rPr>
            <w:color w:val="0000EE"/>
            <w:u w:val="single"/>
          </w:rPr>
          <w:t>1Co 15.50–58</w:t>
        </w:r>
      </w:hyperlink>
      <w:r>
        <w:t>).</w:t>
      </w:r>
    </w:p>
    <w:p>
      <w:r/>
      <w:r>
        <w:t xml:space="preserve">É menos claro sobre o estado intermediário para aqueles que não são cristãos. Isso inclui a passagem difícil sobre Cristo pregando aos “espíritos em prisão” em </w:t>
      </w:r>
      <w:hyperlink r:id="rId8492">
        <w:r>
          <w:rPr>
            <w:color w:val="0000EE"/>
            <w:u w:val="single"/>
          </w:rPr>
          <w:t>1 Pedro 3.19–20</w:t>
        </w:r>
      </w:hyperlink>
      <w:r>
        <w:t>.</w:t>
      </w:r>
    </w:p>
    <w:p>
      <w:pPr>
        <w:pStyle w:val="Heading3"/>
      </w:pPr>
      <w:r>
        <w:t>Como é o estado intermediário?</w:t>
      </w:r>
    </w:p>
    <w:p>
      <w:r/>
      <w:r>
        <w:t xml:space="preserve">As Escrituras são limitadas na forma como mostram como é a vida no estado intermediário. Em </w:t>
      </w:r>
      <w:hyperlink r:id="rId5076">
        <w:r>
          <w:rPr>
            <w:color w:val="0000EE"/>
            <w:u w:val="single"/>
          </w:rPr>
          <w:t xml:space="preserve">Filipenses 1.23, </w:t>
        </w:r>
      </w:hyperlink>
      <w:r>
        <w:t>Paulo diz de si mesmo que após sua morte ele estará “com Cristo, o que é muito melhor", mas ele não dá detalhes. Não é sábio procurar esses detalhes em incidentes bíblicos como o de Saul e a "médium de En-Dor" (</w:t>
      </w:r>
      <w:hyperlink r:id="rId8062">
        <w:r>
          <w:rPr>
            <w:color w:val="0000EE"/>
            <w:u w:val="single"/>
          </w:rPr>
          <w:t>1Sm 28.7</w:t>
        </w:r>
      </w:hyperlink>
      <w:r>
        <w:t>). Um médium é uma pessoa que se comunica com seres humanos no mundo espiritual. Este texto tem muitas interpretações diferentes.</w:t>
      </w:r>
    </w:p>
    <w:p>
      <w:r/>
      <w:r>
        <w:t xml:space="preserve">A parábola de Cristo sobre o homem rico e Lázaro em </w:t>
      </w:r>
      <w:hyperlink r:id="rId8493">
        <w:r>
          <w:rPr>
            <w:color w:val="0000EE"/>
            <w:u w:val="single"/>
          </w:rPr>
          <w:t>Lucas 16.19–31</w:t>
        </w:r>
      </w:hyperlink>
      <w:r>
        <w:t xml:space="preserve"> também é difícil por causa de seu caráter simbólico. O propósito desta parábola é ensinar sobre a importância da vida presente para o destino eterno de uma pessoa. Deve ser tratada com cautela. Talvez o máximo que se possa dizer é que os mortos em Cristo estão “imediatamente com Deus”. Eles descansam em sua presença amorosa até a ressurreição. Os não salvos estão em uma condição desconfortável aguardando sua ressurreição para o julgamento (</w:t>
      </w:r>
      <w:hyperlink r:id="rId8494">
        <w:r>
          <w:rPr>
            <w:color w:val="0000EE"/>
            <w:u w:val="single"/>
          </w:rPr>
          <w:t>Jo 5.29</w:t>
        </w:r>
      </w:hyperlink>
      <w:r>
        <w:t>).</w:t>
      </w:r>
    </w:p>
    <w:p>
      <w:pPr>
        <w:pStyle w:val="Heading3"/>
      </w:pPr>
      <w:r>
        <w:t>O estado intermediário no pensamento cristão</w:t>
      </w:r>
    </w:p>
    <w:p>
      <w:r/>
      <w:r>
        <w:t>Ao longo da história, os cristãos têm considerado três ideias principais para entender melhor o que a Bíblia ensina sobre o tempo entre a morte de uma pessoa e o julgamento final:</w:t>
      </w:r>
    </w:p>
    <w:p>
      <w:pPr>
        <w:pStyle w:val="ListNumber"/>
        <w:spacing w:line="240" w:lineRule="auto"/>
        <w:ind w:left="720"/>
      </w:pPr>
      <w:r/>
      <w:r>
        <w:t>Os filósofos gregos, especialmente Platão, influenciaram como alguns cristãos pensam sobre a fé. Essa influência apareceu muitas vezes ao longo da história cristã. O pensamento platônico separa o corpo físico, que é mau, da alma, que é boa.</w:t>
      </w:r>
    </w:p>
    <w:p>
      <w:r/>
      <w:r>
        <w:t>A Bíblia inclui o ensino de Paulo sobre a diferença entre carne [corpo físico] e espírito. Algumas pessoas não entenderam corretamente o que Paulo quis dizer sobre isso. Elas focaram demais na alma e não o suficiente no corpo.</w:t>
      </w:r>
    </w:p>
    <w:p>
      <w:r/>
      <w:r>
        <w:t>Esse mal-entendido levou a dois problemas:</w:t>
      </w:r>
    </w:p>
    <w:p>
      <w:pPr>
        <w:pStyle w:val="ListNumber"/>
        <w:spacing w:line="240" w:lineRule="auto"/>
        <w:ind w:left="1440"/>
      </w:pPr>
      <w:r/>
      <w:r>
        <w:t>As pessoas prestaram menos atenção ao ensinamento da Bíblia de que Deus ressuscitará os mortos;</w:t>
      </w:r>
    </w:p>
    <w:p>
      <w:pPr>
        <w:pStyle w:val="ListNumber"/>
        <w:spacing w:line="240" w:lineRule="auto"/>
        <w:ind w:left="1440"/>
      </w:pPr>
      <w:r/>
      <w:r>
        <w:t>Algumas pessoas ignoraram completamente que essa ressurreição dos mortos acontecerá no fim dos tempos.</w:t>
      </w:r>
    </w:p>
    <w:p>
      <w:r/>
      <w:r>
        <w:t>Pessoas que seguem as ideias de Platão acreditam:</w:t>
      </w:r>
    </w:p>
    <w:p>
      <w:pPr>
        <w:pStyle w:val="ListBullet"/>
        <w:spacing w:line="240" w:lineRule="auto"/>
        <w:ind w:left="1440"/>
      </w:pPr>
      <w:r/>
      <w:r>
        <w:t>As coisas físicas são menos importantes do que as coisas espirituais;</w:t>
      </w:r>
    </w:p>
    <w:p>
      <w:pPr>
        <w:pStyle w:val="ListBullet"/>
        <w:spacing w:line="240" w:lineRule="auto"/>
        <w:ind w:left="1440"/>
      </w:pPr>
      <w:r/>
      <w:r>
        <w:t>A alma é mais importante que o corpo;</w:t>
      </w:r>
    </w:p>
    <w:p>
      <w:pPr>
        <w:pStyle w:val="ListBullet"/>
        <w:spacing w:line="240" w:lineRule="auto"/>
        <w:ind w:left="1440"/>
      </w:pPr>
      <w:r/>
      <w:r>
        <w:t>O levantamento físico de corpos mortos não é muito importante.</w:t>
      </w:r>
    </w:p>
    <w:p>
      <w:r/>
      <w:r>
        <w:t>A crença de que a alma vive sem um corpo após a morte é, às vezes, usada em vez da ideia de um estado temporário antes da ressurreição. No entanto, não há apoio claro para essa crença na Bíblia. Na teologia moderna, há uma tendência de minimizar os aspectos históricos da fé, semelhante a como as pessoas costumavam minimizar o corpo físico. Isso muitas vezes leva a tornar a vida após a morte apenas espiritual ou até mesmo negá-la completamente. No entanto, a Bíblia deixa claro que o estado intermediário é um período entre duas formas de ter um corpo: nossos corpos físicos atuais e o "corpo espiritual" (</w:t>
      </w:r>
      <w:hyperlink r:id="rId5977">
        <w:r>
          <w:rPr>
            <w:color w:val="0000EE"/>
            <w:u w:val="single"/>
          </w:rPr>
          <w:t>1Co 15.44</w:t>
        </w:r>
      </w:hyperlink>
      <w:r>
        <w:t>). A segunda fase ocorre na segunda vinda de Cristo (</w:t>
      </w:r>
      <w:hyperlink r:id="rId8495">
        <w:r>
          <w:rPr>
            <w:color w:val="0000EE"/>
            <w:u w:val="single"/>
          </w:rPr>
          <w:t>15.23</w:t>
        </w:r>
      </w:hyperlink>
      <w:r>
        <w:t>).</w:t>
      </w:r>
    </w:p>
    <w:p>
      <w:pPr>
        <w:pStyle w:val="ListNumber"/>
        <w:spacing w:line="240" w:lineRule="auto"/>
        <w:ind w:left="720"/>
      </w:pPr>
      <w:r/>
      <w:r>
        <w:t>Durante a Reforma, surgiu uma controvérsia entre João Calvino e alguns dos Anabatistas sobre o "sono da alma". Calvino acreditava fortemente que o estado intermediário é de consciência da presença de Deus. Isso era algo que seus oponentes negavam. Para Calvino, tal negação era o mesmo que sustentar que a alma é destruída na morte. Era o mesmo que negar que Cristo exerce domínio sobre os mortos antes de serem ressuscitados. A visão de Calvino é apoiada pela declaração de Paulo de que nada separa o crente do amor de Deus. "Nada" significa que nem mesmo a morte pode nos separar do amor de Deus (</w:t>
      </w:r>
      <w:hyperlink r:id="rId8496">
        <w:r>
          <w:rPr>
            <w:color w:val="0000EE"/>
            <w:u w:val="single"/>
          </w:rPr>
          <w:t>Rm 8.35–39</w:t>
        </w:r>
      </w:hyperlink>
      <w:r>
        <w:t>).</w:t>
      </w:r>
    </w:p>
    <w:p>
      <w:r/>
      <w:r>
        <w:t>O ensino bíblico de que, ao morrer, o crente "dorme" (</w:t>
      </w:r>
      <w:hyperlink r:id="rId8497">
        <w:r>
          <w:rPr>
            <w:color w:val="0000EE"/>
            <w:u w:val="single"/>
          </w:rPr>
          <w:t>1Ts 4.14</w:t>
        </w:r>
      </w:hyperlink>
      <w:r>
        <w:t>) é interpretado como significando que os mortos não mais se comunicam com os vivos na terra e não mais se envolvem em trabalho, mas estão em um estado de descanso. "Adormecer em Jesus" significa desfrutar da presença de Jesus em um estado sem corpo. A comparação mais próxima é como uma pessoa sonhando que pode estar consciente, mas não depende da função de nenhum dos sentidos do corpo.</w:t>
      </w:r>
    </w:p>
    <w:p>
      <w:pPr>
        <w:pStyle w:val="ListNumber"/>
        <w:spacing w:line="240" w:lineRule="auto"/>
        <w:ind w:left="720"/>
      </w:pPr>
      <w:r/>
      <w:r>
        <w:t>As pessoas podem mudar espiritualmente após a morte, ou seu estado espiritual é permanente na morte? Esta questão inclui três partes principais:</w:t>
      </w:r>
    </w:p>
    <w:p>
      <w:pPr>
        <w:pStyle w:val="ListBullet"/>
        <w:spacing w:line="240" w:lineRule="auto"/>
        <w:ind w:left="1440"/>
      </w:pPr>
      <w:r/>
      <w:r>
        <w:t>As pessoas podem se afastar de seus pecados (arrepender-se) após a morte?</w:t>
      </w:r>
    </w:p>
    <w:p>
      <w:pPr>
        <w:pStyle w:val="ListBullet"/>
        <w:spacing w:line="240" w:lineRule="auto"/>
        <w:ind w:left="1440"/>
      </w:pPr>
      <w:r/>
      <w:r>
        <w:t>As pessoas podem se aproximar mais de Deus após a morte?</w:t>
      </w:r>
    </w:p>
    <w:p>
      <w:pPr>
        <w:pStyle w:val="ListBullet"/>
        <w:spacing w:line="240" w:lineRule="auto"/>
        <w:ind w:left="1440"/>
      </w:pPr>
      <w:r/>
      <w:r>
        <w:t>As pessoas podem ser purificadas de seus pecados após a morte?</w:t>
      </w:r>
    </w:p>
    <w:p>
      <w:r/>
      <w:r>
        <w:t>É o ensinamento da Igreja Católica Romana que a morte é seguida pelo purgatório para todos os que são imperfeitos. No purgatório, a alma é libertada dos resquícios do pecado. O período de purgação pode ser reduzido pelos dons, orações e missas daqueles que sobrevivem ao falecido.</w:t>
      </w:r>
    </w:p>
    <w:p>
      <w:r/>
      <w:r>
        <w:t>A maioria dos protestantes rejeita essa ideia por discordar do ensino bíblico. Três argumentos são apresentados:</w:t>
      </w:r>
    </w:p>
    <w:p>
      <w:pPr>
        <w:pStyle w:val="ListNumber"/>
        <w:spacing w:line="240" w:lineRule="auto"/>
        <w:ind w:left="1440"/>
      </w:pPr>
      <w:r/>
      <w:r>
        <w:t>O trabalho de Cristo está completo e terminado (</w:t>
      </w:r>
      <w:hyperlink r:id="rId8498">
        <w:r>
          <w:rPr>
            <w:color w:val="0000EE"/>
            <w:u w:val="single"/>
          </w:rPr>
          <w:t>Hb 9.28</w:t>
        </w:r>
      </w:hyperlink>
      <w:r>
        <w:t>);</w:t>
      </w:r>
    </w:p>
    <w:p>
      <w:pPr>
        <w:pStyle w:val="ListNumber"/>
        <w:spacing w:line="240" w:lineRule="auto"/>
        <w:ind w:left="1440"/>
      </w:pPr>
      <w:r/>
      <w:r>
        <w:t>É impossível para um ser humano ganhar ou de outra forma obter graça para outro (</w:t>
      </w:r>
      <w:hyperlink r:id="rId8499">
        <w:r>
          <w:rPr>
            <w:color w:val="0000EE"/>
            <w:u w:val="single"/>
          </w:rPr>
          <w:t>Lc 17.10</w:t>
        </w:r>
      </w:hyperlink>
      <w:r>
        <w:t>);</w:t>
      </w:r>
    </w:p>
    <w:p>
      <w:pPr>
        <w:pStyle w:val="ListNumber"/>
        <w:spacing w:line="240" w:lineRule="auto"/>
        <w:ind w:left="1440"/>
      </w:pPr>
      <w:r/>
      <w:r>
        <w:t>A Bíblia ensina que o estado eterno da alma é determinado por sua condição na morte (</w:t>
      </w:r>
      <w:hyperlink r:id="rId2153">
        <w:r>
          <w:rPr>
            <w:color w:val="0000EE"/>
            <w:u w:val="single"/>
          </w:rPr>
          <w:t>Hb 9.27</w:t>
        </w:r>
      </w:hyperlink>
      <w:r>
        <w:t>).</w:t>
      </w:r>
    </w:p>
    <w:p>
      <w:r/>
      <w:r>
        <w:rPr>
          <w:i/>
        </w:rPr>
        <w:t>Veja também</w:t>
      </w:r>
      <w:r>
        <w:t xml:space="preserve"> </w:t>
      </w:r>
      <w:r>
        <w:t>Morto, Lugar do</w:t>
      </w:r>
      <w:r>
        <w:t xml:space="preserve">; </w:t>
      </w:r>
      <w:r>
        <w:t>Hades</w:t>
      </w:r>
      <w:r>
        <w:t xml:space="preserve">; </w:t>
      </w:r>
      <w:r>
        <w:t>Céu</w:t>
      </w:r>
      <w:r>
        <w:t xml:space="preserve">; </w:t>
      </w:r>
      <w:r>
        <w:t>Inferno</w:t>
      </w:r>
      <w:r>
        <w:t xml:space="preserve">; </w:t>
      </w:r>
      <w:r>
        <w:t>Paraíso</w:t>
      </w:r>
      <w:r>
        <w:t xml:space="preserve">; </w:t>
      </w:r>
      <w:r>
        <w:t>Sheol</w:t>
      </w:r>
      <w:r>
        <w:t>.</w:t>
      </w:r>
      <w:r/>
      <w:r/>
    </w:p>
    <w:p>
      <w:r/>
    </w:p>
    <w:p>
      <w:pPr>
        <w:pStyle w:val="Heading2"/>
      </w:pPr>
      <w:r>
        <w:t>Estalagem</w:t>
      </w:r>
      <w:r/>
    </w:p>
    <w:p>
      <w:r/>
      <w:r>
        <w:t>Uma estalagem é um local onde os viajantes podem passar a noite durante uma viagem. As estalagens evoluíram ao longo do tempo, de abrigos simples para locais mais semelhantes aos hotéis de hoje.</w:t>
      </w:r>
    </w:p>
    <w:p>
      <w:pPr>
        <w:pStyle w:val="Heading3"/>
      </w:pPr>
      <w:r>
        <w:t>Estalagens no Antigo Testamento</w:t>
      </w:r>
    </w:p>
    <w:p>
      <w:r/>
      <w:r>
        <w:t>A palavra "estalagem" aparece três vezes em traduções mais antigas da Bíblia (como a Versão Almeida Revista e Corrigida) no Antigo Testamento. Duas dessas ocorrências são quando os irmãos de José descansam durante a noite em suas viagens entre o Egito e Canaã (</w:t>
      </w:r>
      <w:hyperlink r:id="rId8500">
        <w:r>
          <w:rPr>
            <w:color w:val="0000EE"/>
            <w:u w:val="single"/>
          </w:rPr>
          <w:t>Gn 42.27</w:t>
        </w:r>
      </w:hyperlink>
      <w:r>
        <w:t xml:space="preserve">; </w:t>
      </w:r>
      <w:hyperlink r:id="rId8501">
        <w:r>
          <w:rPr>
            <w:color w:val="0000EE"/>
            <w:u w:val="single"/>
          </w:rPr>
          <w:t>43.21</w:t>
        </w:r>
      </w:hyperlink>
      <w:r>
        <w:t>, ainda que a palavra "estalagem" não apareça na ARC). A terceira ocorrência é quando Moisés retorna ao Egito de Midiã para liderar os filhos de Israel (</w:t>
      </w:r>
      <w:hyperlink r:id="rId8502">
        <w:r>
          <w:rPr>
            <w:color w:val="0000EE"/>
            <w:u w:val="single"/>
          </w:rPr>
          <w:t>Êx 4.24</w:t>
        </w:r>
      </w:hyperlink>
      <w:r>
        <w:t>).</w:t>
      </w:r>
    </w:p>
    <w:p>
      <w:r/>
      <w:r>
        <w:t>A NTLH traduz cada uma dessas instâncias como "local de passar a noite". No tempo de Abraão e Moisés, o Oriente Próximo não tinha estalagens como as conhecemos hoje. Nossa ideia de uma estalagem é um local público onde os viajantes podem pagar para se hospedar.</w:t>
      </w:r>
    </w:p>
    <w:p>
      <w:r/>
      <w:r>
        <w:t xml:space="preserve">Em áreas povoadas, um viajante geralmente podia esperar que as pessoas locais lhe oferecessem um lugar para ficar. Em todo o Oriente Próximo, oferecer hospedagem era considerado um dever importante (veja </w:t>
      </w:r>
      <w:hyperlink r:id="rId8503">
        <w:r>
          <w:rPr>
            <w:color w:val="0000EE"/>
            <w:u w:val="single"/>
          </w:rPr>
          <w:t>Gn 19.1–3</w:t>
        </w:r>
      </w:hyperlink>
      <w:r>
        <w:t xml:space="preserve">; </w:t>
      </w:r>
      <w:hyperlink r:id="rId8504">
        <w:r>
          <w:rPr>
            <w:color w:val="0000EE"/>
            <w:u w:val="single"/>
          </w:rPr>
          <w:t>Jz 19.15–21</w:t>
        </w:r>
      </w:hyperlink>
      <w:r>
        <w:t>). Em áreas desertas, os viajantes montavam seu próprio abrigo (</w:t>
      </w:r>
      <w:hyperlink r:id="rId8505">
        <w:r>
          <w:rPr>
            <w:color w:val="0000EE"/>
            <w:u w:val="single"/>
          </w:rPr>
          <w:t>Gn 28.11</w:t>
        </w:r>
      </w:hyperlink>
      <w:r>
        <w:t>). Eles também traziam sua própria comida (</w:t>
      </w:r>
      <w:hyperlink r:id="rId8506">
        <w:r>
          <w:rPr>
            <w:color w:val="0000EE"/>
            <w:u w:val="single"/>
          </w:rPr>
          <w:t>Js 9.11–13</w:t>
        </w:r>
      </w:hyperlink>
      <w:r>
        <w:t>).</w:t>
      </w:r>
    </w:p>
    <w:p>
      <w:r/>
      <w:r>
        <w:t>Não sabemos exatamente quando as verdadeiras estalagens começaram na Palestina. Alguns acreditam que elas vieram de outros países, já que as palavras judaicas para "estalagem" vêm do grego e do latim. Textos antigos como o Targum e Josefo (</w:t>
      </w:r>
      <w:r>
        <w:rPr>
          <w:i/>
        </w:rPr>
        <w:t>Antiguidades</w:t>
      </w:r>
      <w:r>
        <w:t xml:space="preserve"> 5.1.12) chamam Raabe de estalajadeira (</w:t>
      </w:r>
      <w:hyperlink r:id="rId8507">
        <w:r>
          <w:rPr>
            <w:color w:val="0000EE"/>
            <w:u w:val="single"/>
          </w:rPr>
          <w:t>Js 2.1</w:t>
        </w:r>
      </w:hyperlink>
      <w:r>
        <w:t>). No entanto, pode ser que não houvesse estalagens na época de Josué. Há, contudo, paralelos no Oriente Próximo de mulheres mantendo um estabelecimento que oferece tanto quartos quanto atividade sexual para viajantes.</w:t>
      </w:r>
    </w:p>
    <w:p>
      <w:pPr>
        <w:pStyle w:val="Heading3"/>
      </w:pPr>
      <w:r>
        <w:t>Estalagens no Novo Testamento</w:t>
      </w:r>
    </w:p>
    <w:p>
      <w:r/>
      <w:r>
        <w:t>Sabe-se que as pousadas gregas existiam já no século V a.C. Elas se tornaram comuns nas áreas influenciadas pela cultura grega. Essas pousadas eram geralmente desconfortáveis e inseguras.</w:t>
      </w:r>
    </w:p>
    <w:p>
      <w:r/>
      <w:r>
        <w:t>Esse tipo de "estalagem" com um "estalajadeiro" é onde o Bom Samaritano levou o homem que foi roubado (</w:t>
      </w:r>
      <w:hyperlink r:id="rId8508">
        <w:r>
          <w:rPr>
            <w:color w:val="0000EE"/>
            <w:u w:val="single"/>
          </w:rPr>
          <w:t>Lc 10.34–35</w:t>
        </w:r>
      </w:hyperlink>
      <w:r>
        <w:t>). Essa estalagem provavelmente era muito parecida com um khan (uma pequena estalagem dentro das cidades) ou caravançarai (uma estalagem maior na periferia de uma cidade, especialmente ao longo das rotas comerciais). Essas seriam comuns ao longo das rotas comerciais na Síria por muito tempo.</w:t>
      </w:r>
    </w:p>
    <w:p>
      <w:r/>
      <w:r>
        <w:t>Essas pousadas eram edifícios quadrados com uma área aberta no meio, onde água e abrigo estavam disponíveis, mas os viajantes geralmente traziam sua própria comida e, às vezes, sua própria roupa de cama. O Bom Samaritano claramente esperava que o anfitrião cuidasse do homem ferido. É difícil dizer se isso era normal ou apenas devido à emergência.</w:t>
      </w:r>
    </w:p>
    <w:p>
      <w:r/>
      <w:r>
        <w:t>A pousada na história de Jesus sobre o Bom Samaritano há muito tempo é identificada com o Khan Hathrur. Ela está localizada a meio caminho entre Jerusalém e Jericó, embora a estrutura atual seja provavelmente apenas uma das muitas construídas no mesmo local.</w:t>
      </w:r>
    </w:p>
    <w:p>
      <w:r/>
      <w:r>
        <w:t>Duas outras partes bem conhecidas do Novo Testamento falam sobre diferentes tipos de lugares para ficar. Primeiro, os cristãos de Roma encontraram Paulo, que era prisioneiro, em Três Tabernas, um ponto de parada a 53 quilômetros de Roma onde as duas estradas se encontravam (</w:t>
      </w:r>
      <w:hyperlink r:id="rId6293">
        <w:r>
          <w:rPr>
            <w:color w:val="0000EE"/>
            <w:u w:val="single"/>
          </w:rPr>
          <w:t>At 28.15</w:t>
        </w:r>
      </w:hyperlink>
      <w:r>
        <w:t>). Segundo, há a "estalagem" que não tinha lugar para José e Maria (</w:t>
      </w:r>
      <w:hyperlink r:id="rId8509">
        <w:r>
          <w:rPr>
            <w:color w:val="0000EE"/>
            <w:u w:val="single"/>
          </w:rPr>
          <w:t>Lc 2.7</w:t>
        </w:r>
      </w:hyperlink>
      <w:r>
        <w:t>). Esta palavra também é traduzida como "pensão" (NTLH) e "casa" (</w:t>
      </w:r>
      <w:hyperlink r:id="rId4625">
        <w:r>
          <w:rPr>
            <w:color w:val="0000EE"/>
            <w:u w:val="single"/>
          </w:rPr>
          <w:t>Mc 14.14</w:t>
        </w:r>
      </w:hyperlink>
      <w:r>
        <w:t xml:space="preserve">; </w:t>
      </w:r>
      <w:hyperlink r:id="rId8510">
        <w:r>
          <w:rPr>
            <w:color w:val="0000EE"/>
            <w:u w:val="single"/>
          </w:rPr>
          <w:t>Lc 22.11</w:t>
        </w:r>
      </w:hyperlink>
      <w:r>
        <w:t>, ARC).</w:t>
      </w:r>
    </w:p>
    <w:p>
      <w:r/>
      <w:r>
        <w:t>Os judeus em Jerusalém estavam orgulhosos de ter quartos de hóspedes suficientes para todos os visitantes que vinham para a Páscoa. Isso também era verdade para a multidão no Pentecostes (</w:t>
      </w:r>
      <w:hyperlink r:id="rId8511">
        <w:r>
          <w:rPr>
            <w:color w:val="0000EE"/>
            <w:u w:val="single"/>
          </w:rPr>
          <w:t>At 2.6–11</w:t>
        </w:r>
      </w:hyperlink>
      <w:r>
        <w:t>). Parece que José e Maria esperavam encontrar um lugar assim em Belém para o censo, mas todos os quartos estavam ocupados.</w:t>
      </w:r>
    </w:p>
    <w:p>
      <w:r/>
      <w:r>
        <w:rPr>
          <w:i/>
        </w:rPr>
        <w:t>Veja também</w:t>
      </w:r>
      <w:r>
        <w:t xml:space="preserve"> </w:t>
      </w:r>
      <w:r>
        <w:t>Viagem</w:t>
      </w:r>
      <w:r>
        <w:t>.</w:t>
      </w:r>
      <w:r/>
      <w:r/>
    </w:p>
    <w:p>
      <w:r/>
    </w:p>
    <w:p>
      <w:pPr>
        <w:pStyle w:val="Heading2"/>
      </w:pPr>
      <w:r>
        <w:t>Esterilidade</w:t>
      </w:r>
      <w:r/>
    </w:p>
    <w:p>
      <w:r/>
      <w:r>
        <w:t>A condição de ser estéril (incapaz de ter filhos) ou de não ter filhos.</w:t>
      </w:r>
    </w:p>
    <w:p>
      <w:r/>
      <w:r>
        <w:t>Um útero fechado era visto como uma tragédia pessoal. Após o dilúvio, Deus ordenou às pessoas: "Sejam fecundos, multipliquem-se e encham a terra" (</w:t>
      </w:r>
      <w:hyperlink r:id="rId8512">
        <w:r>
          <w:rPr>
            <w:color w:val="0000EE"/>
            <w:u w:val="single"/>
          </w:rPr>
          <w:t>Gn 9.1</w:t>
        </w:r>
      </w:hyperlink>
      <w:r>
        <w:t>). Mais tarde, Jeremias deu conselhos semelhantes (</w:t>
      </w:r>
      <w:hyperlink r:id="rId8513">
        <w:r>
          <w:rPr>
            <w:color w:val="0000EE"/>
            <w:u w:val="single"/>
          </w:rPr>
          <w:t>Jr 29.6</w:t>
        </w:r>
      </w:hyperlink>
      <w:r>
        <w:t>). Uma esposa estéril em um casamento poligâmico (onde um homem tem várias esposas) poderia ser ridicularizada ou sofrer de ciúmes extremos (</w:t>
      </w:r>
      <w:hyperlink r:id="rId8514">
        <w:r>
          <w:rPr>
            <w:color w:val="0000EE"/>
            <w:u w:val="single"/>
          </w:rPr>
          <w:t>Gn 16.4</w:t>
        </w:r>
      </w:hyperlink>
      <w:r>
        <w:t xml:space="preserve">; </w:t>
      </w:r>
      <w:hyperlink r:id="rId8515">
        <w:r>
          <w:rPr>
            <w:color w:val="0000EE"/>
            <w:u w:val="single"/>
          </w:rPr>
          <w:t>Jr 30.1</w:t>
        </w:r>
      </w:hyperlink>
      <w:r>
        <w:t xml:space="preserve">). A pressão para ter filhos para seu marido era tão intensa que uma esposa estéril poderia oferecer ao marido uma mãe de aluguel (uma mulher que teria um bebê para o casal; </w:t>
      </w:r>
      <w:hyperlink r:id="rId8516">
        <w:r>
          <w:rPr>
            <w:color w:val="0000EE"/>
            <w:u w:val="single"/>
          </w:rPr>
          <w:t>Gn 16.1–2</w:t>
        </w:r>
      </w:hyperlink>
      <w:r>
        <w:t xml:space="preserve">; </w:t>
      </w:r>
      <w:hyperlink r:id="rId8149">
        <w:r>
          <w:rPr>
            <w:color w:val="0000EE"/>
            <w:u w:val="single"/>
          </w:rPr>
          <w:t>30.3</w:t>
        </w:r>
      </w:hyperlink>
      <w:r>
        <w:t>). Se um marido morresse sem filhos, esperava-se que seu irmão tivesse filhos com sua esposa em seu nome (</w:t>
      </w:r>
      <w:hyperlink r:id="rId8517">
        <w:r>
          <w:rPr>
            <w:color w:val="0000EE"/>
            <w:u w:val="single"/>
          </w:rPr>
          <w:t>Gn 38.8</w:t>
        </w:r>
      </w:hyperlink>
      <w:r>
        <w:t>).</w:t>
      </w:r>
    </w:p>
    <w:p>
      <w:r/>
      <w:r>
        <w:t>A esterilidade poderia ser uma maldição ou um castigo divino (</w:t>
      </w:r>
      <w:hyperlink r:id="rId8518">
        <w:r>
          <w:rPr>
            <w:color w:val="0000EE"/>
            <w:u w:val="single"/>
          </w:rPr>
          <w:t>Os 9.11,14</w:t>
        </w:r>
      </w:hyperlink>
      <w:r>
        <w:t xml:space="preserve">; </w:t>
      </w:r>
      <w:hyperlink r:id="rId8519">
        <w:r>
          <w:rPr>
            <w:color w:val="0000EE"/>
            <w:u w:val="single"/>
          </w:rPr>
          <w:t>Gn 20.17–18</w:t>
        </w:r>
      </w:hyperlink>
      <w:r>
        <w:t>). Poderia ser removida após orações fervorosas (</w:t>
      </w:r>
      <w:hyperlink r:id="rId8520">
        <w:r>
          <w:rPr>
            <w:color w:val="0000EE"/>
            <w:u w:val="single"/>
          </w:rPr>
          <w:t>Gn 25.21</w:t>
        </w:r>
      </w:hyperlink>
      <w:r>
        <w:t xml:space="preserve">; </w:t>
      </w:r>
      <w:hyperlink r:id="rId8521">
        <w:r>
          <w:rPr>
            <w:color w:val="0000EE"/>
            <w:u w:val="single"/>
          </w:rPr>
          <w:t>1Sm 1.16,20</w:t>
        </w:r>
      </w:hyperlink>
      <w:r>
        <w:t>). Também poderia ser removida pelo profeta ou mensageiro de Deus (</w:t>
      </w:r>
      <w:hyperlink r:id="rId8522">
        <w:r>
          <w:rPr>
            <w:color w:val="0000EE"/>
            <w:u w:val="single"/>
          </w:rPr>
          <w:t>2Rs 4.16</w:t>
        </w:r>
      </w:hyperlink>
      <w:r>
        <w:t xml:space="preserve">; </w:t>
      </w:r>
      <w:hyperlink r:id="rId6887">
        <w:r>
          <w:rPr>
            <w:color w:val="0000EE"/>
            <w:u w:val="single"/>
          </w:rPr>
          <w:t>Gn 18.14</w:t>
        </w:r>
      </w:hyperlink>
      <w:r>
        <w:t>).</w:t>
      </w:r>
    </w:p>
    <w:p>
      <w:r/>
      <w:r>
        <w:t>Em uma história, uma esposa que havia parado de ter filhos trocou mandrágoras (uma planta que acreditavam ajudar na fertilidade) pela chance de dormir com seu marido e teve mais três filhos (</w:t>
      </w:r>
      <w:hyperlink r:id="rId8523">
        <w:r>
          <w:rPr>
            <w:color w:val="0000EE"/>
            <w:u w:val="single"/>
          </w:rPr>
          <w:t>Gn 30.14–21</w:t>
        </w:r>
      </w:hyperlink>
      <w:r>
        <w:t xml:space="preserve">). Deus prometeu que, se Israel obedecesse às Suas leis, eles não experimentariam infertilidade (incapacidade de ter filhos; </w:t>
      </w:r>
      <w:hyperlink r:id="rId8524">
        <w:r>
          <w:rPr>
            <w:color w:val="0000EE"/>
            <w:u w:val="single"/>
          </w:rPr>
          <w:t>Dt 7.14</w:t>
        </w:r>
      </w:hyperlink>
      <w:r>
        <w:t>). Inusitadamente, textos antigos também consideravam que a esterilidade poderia resultar da infertilidade masculina. Por fim, apesar de quão ruim era a esterilidade, Jesus disse às mulheres de Jerusalém que seria melhor do que o sofrimento que estavam prestes a enfrentar (</w:t>
      </w:r>
      <w:hyperlink r:id="rId8525">
        <w:r>
          <w:rPr>
            <w:color w:val="0000EE"/>
            <w:u w:val="single"/>
          </w:rPr>
          <w:t>Lc 23.29</w:t>
        </w:r>
      </w:hyperlink>
      <w:r>
        <w:t>). Ele estava ensinando que problemas físicos não são tão importantes quanto os espirituais.</w:t>
      </w:r>
      <w:r/>
      <w:r/>
    </w:p>
    <w:p>
      <w:r/>
    </w:p>
    <w:p>
      <w:pPr>
        <w:pStyle w:val="Heading2"/>
      </w:pPr>
      <w:r>
        <w:t>Estêvão</w:t>
      </w:r>
      <w:r/>
    </w:p>
    <w:p>
      <w:r/>
      <w:r>
        <w:t>Estêvão foi um dos primeiros diáconos (líderes que cuidavam das necessidades práticas) na igreja primitiva. Ele foi a primeira pessoa a morrer por sua fé em Jesus.</w:t>
      </w:r>
    </w:p>
    <w:p>
      <w:pPr>
        <w:pStyle w:val="Heading3"/>
      </w:pPr>
      <w:r>
        <w:t>O papel de Estêvão na igreja primitiva</w:t>
      </w:r>
    </w:p>
    <w:p>
      <w:r/>
      <w:r>
        <w:t>Para Lucas, Estêvão demonstra como algumas pessoas na igreja primitiva de Jerusalém estavam se interessando mais pela cultura grega. Além disso, o discurso de Estêvão critica o judaísmo tradicional e sugere espalhar o evangelho além da Judeia (</w:t>
      </w:r>
      <w:hyperlink r:id="rId8526">
        <w:r>
          <w:rPr>
            <w:color w:val="0000EE"/>
            <w:u w:val="single"/>
          </w:rPr>
          <w:t>At 7.1–53</w:t>
        </w:r>
      </w:hyperlink>
      <w:r>
        <w:t>).</w:t>
      </w:r>
    </w:p>
    <w:p>
      <w:r/>
      <w:r>
        <w:t xml:space="preserve">Em </w:t>
      </w:r>
      <w:hyperlink r:id="rId2902">
        <w:r>
          <w:rPr>
            <w:color w:val="0000EE"/>
            <w:u w:val="single"/>
          </w:rPr>
          <w:t>Atos 6</w:t>
        </w:r>
      </w:hyperlink>
      <w:r>
        <w:t>, Lucas descreve a primeira divisão na igreja primitiva. A comunidade incluía dois grupos de crentes judeus: "hebreus" e "helenistas". Esses termos indicam uma diferença cultural e de idioma. Os hebreus vinham de sinagogas de língua aramaica, e os helenistas vinham de sinagogas de língua grega. Estêvão foi um dos sete diáconos escolhidos para cuidar dos helenistas. Desde o início, sua importância se destaca. Ele é o único descrito como "cheio de fé e do Espírito Santo" (</w:t>
      </w:r>
      <w:hyperlink r:id="rId1992">
        <w:r>
          <w:rPr>
            <w:color w:val="0000EE"/>
            <w:u w:val="single"/>
          </w:rPr>
          <w:t>At 6.5</w:t>
        </w:r>
      </w:hyperlink>
      <w:r>
        <w:t>). Após a escolha dos diáconos, Estêvão é mencionado novamente como "cheio de graça e poder". Ele realizou "grandes maravilhas e sinais entre o povo" (</w:t>
      </w:r>
      <w:hyperlink r:id="rId7089">
        <w:r>
          <w:rPr>
            <w:color w:val="0000EE"/>
            <w:u w:val="single"/>
          </w:rPr>
          <w:t>At 6.8</w:t>
        </w:r>
      </w:hyperlink>
      <w:r>
        <w:t>).</w:t>
      </w:r>
    </w:p>
    <w:p>
      <w:pPr>
        <w:pStyle w:val="Heading3"/>
      </w:pPr>
      <w:r>
        <w:t>O julgamento de Estêvão diante do Sinédrio</w:t>
      </w:r>
    </w:p>
    <w:p>
      <w:r/>
      <w:r>
        <w:t>A pregação de Estêvão causou conflito com as sinagogas de língua grega em Jerusalém (</w:t>
      </w:r>
      <w:hyperlink r:id="rId743">
        <w:r>
          <w:rPr>
            <w:color w:val="0000EE"/>
            <w:u w:val="single"/>
          </w:rPr>
          <w:t>At 6.9</w:t>
        </w:r>
      </w:hyperlink>
      <w:r>
        <w:t>). Seu discurso perante o Sinédrio mostra que Estêvão queria se separar dos antigos costumes judaicos e práticas do templo. O relato de Lucas sobre a prisão e julgamento de Estêvão (</w:t>
      </w:r>
      <w:hyperlink r:id="rId8527">
        <w:r>
          <w:rPr>
            <w:color w:val="0000EE"/>
            <w:u w:val="single"/>
          </w:rPr>
          <w:t>6.10–7.60</w:t>
        </w:r>
      </w:hyperlink>
      <w:r>
        <w:t>) espelha o julgamento de Jesus. Desde que a Judeia se tornou uma província, o governador romano controlava a maioria das punições. No entanto, o Sinédrio ainda podia processar ofensas ao templo. Estêvão foi, em última análise, apedrejado até a morte (</w:t>
      </w:r>
      <w:hyperlink r:id="rId8528">
        <w:r>
          <w:rPr>
            <w:color w:val="0000EE"/>
            <w:u w:val="single"/>
          </w:rPr>
          <w:t>At 7.54–60</w:t>
        </w:r>
      </w:hyperlink>
      <w:r>
        <w:t xml:space="preserve">). Como o primeiro mártir da igreja, Estêvão imitou Jesus até na morte. Ele entregou seu espírito a Jesus (como Jesus fez ao Pai, </w:t>
      </w:r>
      <w:hyperlink r:id="rId7874">
        <w:r>
          <w:rPr>
            <w:color w:val="0000EE"/>
            <w:u w:val="single"/>
          </w:rPr>
          <w:t>Lc 23.46</w:t>
        </w:r>
      </w:hyperlink>
      <w:r>
        <w:t>) e pediu perdão para seus assassinos (</w:t>
      </w:r>
      <w:hyperlink r:id="rId8529">
        <w:r>
          <w:rPr>
            <w:color w:val="0000EE"/>
            <w:u w:val="single"/>
          </w:rPr>
          <w:t>At 7.59–60</w:t>
        </w:r>
      </w:hyperlink>
      <w:r>
        <w:t>).</w:t>
      </w:r>
    </w:p>
    <w:p>
      <w:pPr>
        <w:pStyle w:val="Heading3"/>
      </w:pPr>
      <w:r>
        <w:t>Discurso e martírio de Estêvão</w:t>
      </w:r>
    </w:p>
    <w:p>
      <w:r/>
      <w:r>
        <w:t xml:space="preserve">O discurso de Estêvão em </w:t>
      </w:r>
      <w:hyperlink r:id="rId2881">
        <w:r>
          <w:rPr>
            <w:color w:val="0000EE"/>
            <w:u w:val="single"/>
          </w:rPr>
          <w:t>Atos 7</w:t>
        </w:r>
      </w:hyperlink>
      <w:r>
        <w:t xml:space="preserve"> é sua defesa. Também serve ao objetivo de Lucas de espalhar o evangelho para outras terras (</w:t>
      </w:r>
      <w:hyperlink r:id="rId2897">
        <w:r>
          <w:rPr>
            <w:color w:val="0000EE"/>
            <w:u w:val="single"/>
          </w:rPr>
          <w:t>At 1.8</w:t>
        </w:r>
      </w:hyperlink>
      <w:r>
        <w:t>). É o discurso mais longo em Atos e ocorre em um momento crucial na história da igreja primitiva. Estêvão revisa a história bíblica e argumenta que o núcleo do Judaísmo estava em risco. Ele observa que os judeus se orgulhavam do templo, mas que não era a ideia original de Deus. O templo de Salomão era diferente do tabernáculo no deserto. Estêvão também usa a Torá para destacar a repetida desobediência de Israel. As mesmas escrituras previram a vinda do "justo", que Israel crucificou.</w:t>
      </w:r>
    </w:p>
    <w:p>
      <w:r/>
      <w:r>
        <w:t>O discurso de Estêvão tem significados importantes. Ele demonstra que as fronteiras nacionais e religiosas do Judaísmo não limitam Deus. A atitude exclusiva do Judaísmo é antinatural, e a obra de Deus está sempre em movimento. Se Estêvão estava certo, a igreja judaica deveria estar livre para levar o evangelho além da Judeia. O martírio de Estêvão resultou em perseguição em Jerusalém (</w:t>
      </w:r>
      <w:hyperlink r:id="rId8530">
        <w:r>
          <w:rPr>
            <w:color w:val="0000EE"/>
            <w:u w:val="single"/>
          </w:rPr>
          <w:t>At 8.1–3</w:t>
        </w:r>
      </w:hyperlink>
      <w:r>
        <w:t>). Isso também levou à propagação do evangelho para os samaritanos e depois para os gregos.</w:t>
      </w:r>
      <w:r/>
      <w:r/>
    </w:p>
    <w:p>
      <w:r/>
    </w:p>
    <w:p>
      <w:pPr>
        <w:pStyle w:val="Heading2"/>
      </w:pPr>
      <w:r>
        <w:t>Estoicismo, Estóicos</w:t>
      </w:r>
      <w:r/>
    </w:p>
    <w:p>
      <w:r/>
      <w:r>
        <w:t>Uma filosofia grega amplamente difundida, bem representada na audiência em Atenas ouvindo Paulo (</w:t>
      </w:r>
      <w:hyperlink r:id="rId2827">
        <w:r>
          <w:rPr>
            <w:color w:val="0000EE"/>
            <w:u w:val="single"/>
          </w:rPr>
          <w:t>At 17.16–34</w:t>
        </w:r>
      </w:hyperlink>
      <w:r>
        <w:t>). O apóstolo provavelmente estava familiarizado com ela, pois havia começado em Atenas por volta de 300 a.C., com o ensino de Zeno na “stoa” (pórticos) de edifícios públicos, e se espalhou por todo o mundo greco-romano. Era conhecida, por exemplo, em Tarso e na ilha de Chipre, de modo que Paulo sem dúvida teria encontrado estóicos anteriormente em suas viagens e possivelmente até mesmo em sua cidade natal. O alcance e o poder de sua influência são indicados pelo fato de que o Imperador Romano Marco Aurélio (180 d.C.) era ele próprio um estóico, e alguns dos escritos filosóficos dele sobreviveram.</w:t>
      </w:r>
    </w:p>
    <w:p>
      <w:r/>
      <w:r>
        <w:t>Os primeiros estóicos estavam principalmente preocupados com a cosmologia, ou seja, o estudo da origem da natureza e suas leis. Eles eram materialistas, sustentando que todas as coisas vêm de um único elemento básico, o fogo, e eventualmente retornarão a esse elemento em uma vasta conflagração cósmica. Portanto, tinham uma visão cíclica da história cósmica, na qual um universo após outro surge e é destruído. Tanto a ordem das coisas como as conhecemos quanto esse padrão cíclico da história eram atribuídos ao poder organizador e sustentador de uma força penetrante conhecida como o logos, que às vezes é considerado divino. Suas leis eram as leis da natureza às quais todas as criaturas devem se conformar. Ele dá a todas as coisas sua natureza essencial e, assim, dá vida e razão aos homens. De fato, o Logos está no homem, tomando a forma da alma humana. Portanto, viver de acordo com a razão é viver de acordo com a ordem natural das coisas, e isso é bom. A obediência consciente à lei natural liberta o homem do medo e da preocupação com circunstâncias externas sobre as quais ele não tem controle, mas que ainda são regidas pelas leis da natureza. A boa vida, então, é aquela em que a razão, não a paixão, governa, e a paz de espírito e a harmonia com a natureza prevalecem consequentemente.</w:t>
      </w:r>
    </w:p>
    <w:p>
      <w:r/>
      <w:r>
        <w:t xml:space="preserve">As ideias estoicas se mostraram atraentes para alguns cristãos devido às aparentes semelhanças entre o logos estoico e o Logos de </w:t>
      </w:r>
      <w:hyperlink r:id="rId8034">
        <w:r>
          <w:rPr>
            <w:color w:val="0000EE"/>
            <w:u w:val="single"/>
          </w:rPr>
          <w:t>João 1.1–18</w:t>
        </w:r>
      </w:hyperlink>
      <w:r>
        <w:t>, e entre a ideia de lei natural e a lei de Deus.</w:t>
      </w:r>
    </w:p>
    <w:p>
      <w:r/>
      <w:r>
        <w:rPr>
          <w:i/>
        </w:rPr>
        <w:t>Veja também</w:t>
      </w:r>
      <w:r>
        <w:t xml:space="preserve"> </w:t>
      </w:r>
      <w:r>
        <w:t>Epicuristas</w:t>
      </w:r>
      <w:r>
        <w:t xml:space="preserve">; </w:t>
      </w:r>
      <w:r>
        <w:t>Filosofia</w:t>
      </w:r>
      <w:r>
        <w:t>.</w:t>
      </w:r>
      <w:r/>
      <w:r/>
    </w:p>
    <w:p>
      <w:r/>
    </w:p>
    <w:p>
      <w:pPr>
        <w:pStyle w:val="Heading2"/>
      </w:pPr>
      <w:r>
        <w:t>ESTORAQUE</w:t>
      </w:r>
      <w:r/>
    </w:p>
    <w:p>
      <w:r/>
      <w:r>
        <w:t>Uma das especiarias aromáticas usadas por Moisés para fazer a oferta de incenso (</w:t>
      </w:r>
      <w:hyperlink r:id="rId2631">
        <w:r>
          <w:rPr>
            <w:color w:val="0000EE"/>
            <w:u w:val="single"/>
          </w:rPr>
          <w:t>Êx 30.34</w:t>
        </w:r>
      </w:hyperlink>
      <w:r>
        <w:t>).</w:t>
      </w:r>
    </w:p>
    <w:p>
      <w:r/>
      <w:r>
        <w:rPr>
          <w:i/>
        </w:rPr>
        <w:t>Veja</w:t>
      </w:r>
      <w:r>
        <w:t xml:space="preserve"> </w:t>
      </w:r>
      <w:r>
        <w:t>Plantas (Bálsamo</w:t>
      </w:r>
      <w:r>
        <w:t xml:space="preserve">; </w:t>
      </w:r>
      <w:r>
        <w:t>Árvore de Estoraque).</w:t>
      </w:r>
      <w:r/>
      <w:r/>
    </w:p>
    <w:p>
      <w:r/>
    </w:p>
    <w:p>
      <w:pPr>
        <w:pStyle w:val="Heading2"/>
      </w:pPr>
      <w:r>
        <w:t>Estoraque doce</w:t>
      </w:r>
      <w:r/>
    </w:p>
    <w:p>
      <w:r/>
      <w:r>
        <w:t>Uma árvore pequena de galhos rígidos era usada para fazer incenso. O estoraque era extraído dela (</w:t>
      </w:r>
      <w:hyperlink r:id="rId2631">
        <w:r>
          <w:rPr>
            <w:color w:val="0000EE"/>
            <w:u w:val="single"/>
          </w:rPr>
          <w:t>Êx 30.34</w:t>
        </w:r>
      </w:hyperlink>
      <w:r>
        <w:t>).</w:t>
      </w:r>
    </w:p>
    <w:p>
      <w:r/>
      <w:r>
        <w:rPr>
          <w:i/>
        </w:rPr>
        <w:t>Veja</w:t>
      </w:r>
      <w:r>
        <w:t xml:space="preserve"> </w:t>
      </w:r>
      <w:r>
        <w:t>Plantas (Árvore de Estoraque)</w:t>
      </w:r>
      <w:r>
        <w:t>.</w:t>
      </w:r>
      <w:r/>
      <w:r/>
    </w:p>
    <w:p>
      <w:r/>
    </w:p>
    <w:p>
      <w:pPr>
        <w:pStyle w:val="Heading2"/>
      </w:pPr>
      <w:r>
        <w:t>Estrada Real</w:t>
      </w:r>
      <w:r/>
    </w:p>
    <w:p>
      <w:r/>
      <w:r>
        <w:t>A estrada que corre de norte a sul através do planalto transjordaniano. Ela aparece no AT apenas duas vezes em pedidos dos israelitas para usar essa estrada ao passar por Edom (</w:t>
      </w:r>
      <w:hyperlink r:id="rId8531">
        <w:r>
          <w:rPr>
            <w:color w:val="0000EE"/>
            <w:u w:val="single"/>
          </w:rPr>
          <w:t>Nm 20.17</w:t>
        </w:r>
      </w:hyperlink>
      <w:r>
        <w:t>) e pelo reino amorita de Hesbom (</w:t>
      </w:r>
      <w:hyperlink r:id="rId7546">
        <w:r>
          <w:rPr>
            <w:color w:val="0000EE"/>
            <w:u w:val="single"/>
          </w:rPr>
          <w:t>21.22</w:t>
        </w:r>
      </w:hyperlink>
      <w:r>
        <w:t>). A rota também pode ser chamada simplesmente de “a estrada” (</w:t>
      </w:r>
      <w:hyperlink r:id="rId8532">
        <w:r>
          <w:rPr>
            <w:color w:val="0000EE"/>
            <w:u w:val="single"/>
          </w:rPr>
          <w:t>20.19</w:t>
        </w:r>
      </w:hyperlink>
      <w:r>
        <w:t>). O segmento norte é chamado de “o caminho de Basã” (</w:t>
      </w:r>
      <w:hyperlink r:id="rId8533">
        <w:r>
          <w:rPr>
            <w:color w:val="0000EE"/>
            <w:u w:val="single"/>
          </w:rPr>
          <w:t>Nm 21.33</w:t>
        </w:r>
      </w:hyperlink>
      <w:r>
        <w:t xml:space="preserve">; </w:t>
      </w:r>
      <w:hyperlink r:id="rId8534">
        <w:r>
          <w:rPr>
            <w:color w:val="0000EE"/>
            <w:u w:val="single"/>
          </w:rPr>
          <w:t>Dt 3.1</w:t>
        </w:r>
      </w:hyperlink>
      <w:r>
        <w:t>).</w:t>
      </w:r>
    </w:p>
    <w:p>
      <w:r/>
      <w:r>
        <w:t>Esta estrada conectava Damasco com a rota das caravanas que passavam pelo Hijaz até o sul da Arábia e as ricas fontes de especiarias, perfumes e outros produtos exóticos (</w:t>
      </w:r>
      <w:hyperlink r:id="rId4255">
        <w:r>
          <w:rPr>
            <w:color w:val="0000EE"/>
            <w:u w:val="single"/>
          </w:rPr>
          <w:t>1Rs 10.2</w:t>
        </w:r>
      </w:hyperlink>
      <w:r>
        <w:t xml:space="preserve">; </w:t>
      </w:r>
      <w:hyperlink r:id="rId8535">
        <w:r>
          <w:rPr>
            <w:color w:val="0000EE"/>
            <w:u w:val="single"/>
          </w:rPr>
          <w:t>Ez 27.22</w:t>
        </w:r>
      </w:hyperlink>
      <w:r>
        <w:t>). O controle sobre ela era um fator chave na geopolítica de Israel e seus rivais.</w:t>
      </w:r>
    </w:p>
    <w:p>
      <w:r/>
      <w:r>
        <w:t>A topografia local limita as possíveis linhas de marcha a duas rotas paralelas. Existe uma dupla divisória ao longo de todo o planalto transjordaniano. Uma é criada pelos riachos mais curtos que cortam as montanhas de leste a oeste; eles deixam uma divisória cerca de 21 a 26 quilômetros a leste do Vale do Jordão. Os riachos maiores, o Yarmuk, Jaboque, Arnom e Zered, começam a cerca de 40 a 48 quilômetros a leste, geralmente correndo para o norte antes de curvar para oeste. A rota que os contorna a leste deve seguir as bordas do deserto árabe do norte. Embora esta última tenha um percurso mais fácil de seguir, passa por menos fontes boas de água e assentamentos onde suprimentos poderiam ser obtidos. A primeira, na divisória ocidental, tinha água abundante e era margeada por grandes cidades; no entanto, as caravanas tinham que negociar os desfiladeiros íngremes dos quatro grandes leitos secos.</w:t>
      </w:r>
    </w:p>
    <w:p>
      <w:r/>
      <w:r>
        <w:t xml:space="preserve">O registro mais antigo de movimento ao longo desta rota está em </w:t>
      </w:r>
      <w:hyperlink r:id="rId1116">
        <w:r>
          <w:rPr>
            <w:color w:val="0000EE"/>
            <w:u w:val="single"/>
          </w:rPr>
          <w:t>Gênesis 14</w:t>
        </w:r>
      </w:hyperlink>
      <w:r>
        <w:t>. Os quatro reis partiram de Astarote, a capital de Basã, para Hã no norte de Gileade, depois para Savé-Quiriataim no planalto Moabita, e finalmente para o Monte Seir até El-Parã. Os patriarcas provavelmente sempre usaram este caminho ao viajar para Canaã; Jacó passou por Gileade (</w:t>
      </w:r>
      <w:hyperlink r:id="rId8536">
        <w:r>
          <w:rPr>
            <w:color w:val="0000EE"/>
            <w:u w:val="single"/>
          </w:rPr>
          <w:t>Gn 31.21</w:t>
        </w:r>
      </w:hyperlink>
      <w:r>
        <w:t>) e estabeleceu uma base em Sucote antes de atravessar o Jordão para Canaã (</w:t>
      </w:r>
      <w:hyperlink r:id="rId3878">
        <w:r>
          <w:rPr>
            <w:color w:val="0000EE"/>
            <w:u w:val="single"/>
          </w:rPr>
          <w:t>33.17</w:t>
        </w:r>
      </w:hyperlink>
      <w:r>
        <w:t>).</w:t>
      </w:r>
      <w:r/>
      <w:r/>
    </w:p>
    <w:p>
      <w:r/>
    </w:p>
    <w:p>
      <w:pPr>
        <w:pStyle w:val="Heading2"/>
      </w:pPr>
      <w:r>
        <w:t>Estrado</w:t>
      </w:r>
      <w:r/>
    </w:p>
    <w:p>
      <w:r/>
      <w:r>
        <w:t>Apoio baixo em formato de banquinho, usado para repouso dos pés.</w:t>
      </w:r>
    </w:p>
    <w:p>
      <w:r/>
      <w:r>
        <w:t>Parte da grande quantidade de ouro do Rei Salomão foi usada para fazer um estrado para seu trono de marfim (</w:t>
      </w:r>
      <w:hyperlink r:id="rId8537">
        <w:r>
          <w:rPr>
            <w:color w:val="0000EE"/>
            <w:u w:val="single"/>
          </w:rPr>
          <w:t>2Cr 9.18</w:t>
        </w:r>
      </w:hyperlink>
      <w:r>
        <w:t>). A palavra é frequentemente usada como um símbolo. Tanto a Arca da Aliança quanto o templo são referidos como "o estrado de Deus" (</w:t>
      </w:r>
      <w:hyperlink r:id="rId8538">
        <w:r>
          <w:rPr>
            <w:color w:val="0000EE"/>
            <w:u w:val="single"/>
          </w:rPr>
          <w:t>1Cr 28.2</w:t>
        </w:r>
      </w:hyperlink>
      <w:r>
        <w:t xml:space="preserve">; </w:t>
      </w:r>
      <w:hyperlink r:id="rId8539">
        <w:r>
          <w:rPr>
            <w:color w:val="0000EE"/>
            <w:u w:val="single"/>
          </w:rPr>
          <w:t>Sl 99.5</w:t>
        </w:r>
      </w:hyperlink>
      <w:r>
        <w:t xml:space="preserve">; </w:t>
      </w:r>
      <w:hyperlink r:id="rId8540">
        <w:r>
          <w:rPr>
            <w:color w:val="0000EE"/>
            <w:u w:val="single"/>
          </w:rPr>
          <w:t>132.7</w:t>
        </w:r>
      </w:hyperlink>
      <w:r>
        <w:t xml:space="preserve">; </w:t>
      </w:r>
      <w:hyperlink r:id="rId8541">
        <w:r>
          <w:rPr>
            <w:color w:val="0000EE"/>
            <w:u w:val="single"/>
          </w:rPr>
          <w:t>Lm 2.1</w:t>
        </w:r>
      </w:hyperlink>
      <w:r>
        <w:t xml:space="preserve">; compare </w:t>
      </w:r>
      <w:hyperlink r:id="rId3362">
        <w:r>
          <w:rPr>
            <w:color w:val="0000EE"/>
            <w:u w:val="single"/>
          </w:rPr>
          <w:t>Is 60.13</w:t>
        </w:r>
      </w:hyperlink>
      <w:r>
        <w:t>). Estes eram lugares especiais onde a presença de Deus habitava e onde ele mostrava seu poder como rei. Assim como um rei pode descansar seus pés em um estrado enquanto está sentado em seu trono, esses lugares sagrados eram vistos como locais onde a glória de Deus estava presente.</w:t>
      </w:r>
    </w:p>
    <w:p>
      <w:r/>
      <w:r>
        <w:t>A Bíblia diz que Deus faria os inimigos do Messias (o escolhido de Deus) se tornarem como um estrado debaixo de seus pés (</w:t>
      </w:r>
      <w:hyperlink r:id="rId2667">
        <w:r>
          <w:rPr>
            <w:color w:val="0000EE"/>
            <w:u w:val="single"/>
          </w:rPr>
          <w:t>Sl 110.1</w:t>
        </w:r>
      </w:hyperlink>
      <w:r>
        <w:t>). Isso significa que Deus daria ao Messias poder completo sobre seus inimigos, assim como alguém tem controle sobre o que está debaixo de seus pés. Muitas passagens no Novo Testamento repetem essa ideia de que o Messias derrotaria seus inimigos (</w:t>
      </w:r>
      <w:hyperlink r:id="rId8542">
        <w:r>
          <w:rPr>
            <w:color w:val="0000EE"/>
            <w:u w:val="single"/>
          </w:rPr>
          <w:t>Mt 22.44</w:t>
        </w:r>
      </w:hyperlink>
      <w:r>
        <w:t xml:space="preserve">; </w:t>
      </w:r>
      <w:hyperlink r:id="rId8386">
        <w:r>
          <w:rPr>
            <w:color w:val="0000EE"/>
            <w:u w:val="single"/>
          </w:rPr>
          <w:t>Mc 12.36</w:t>
        </w:r>
      </w:hyperlink>
      <w:r>
        <w:t xml:space="preserve">; </w:t>
      </w:r>
      <w:hyperlink r:id="rId8543">
        <w:r>
          <w:rPr>
            <w:color w:val="0000EE"/>
            <w:u w:val="single"/>
          </w:rPr>
          <w:t>Lc 20.43</w:t>
        </w:r>
      </w:hyperlink>
      <w:r>
        <w:t xml:space="preserve">; </w:t>
      </w:r>
      <w:hyperlink r:id="rId8544">
        <w:r>
          <w:rPr>
            <w:color w:val="0000EE"/>
            <w:u w:val="single"/>
          </w:rPr>
          <w:t>At 2.35</w:t>
        </w:r>
      </w:hyperlink>
      <w:r>
        <w:t xml:space="preserve">; </w:t>
      </w:r>
      <w:hyperlink r:id="rId8545">
        <w:r>
          <w:rPr>
            <w:color w:val="0000EE"/>
            <w:u w:val="single"/>
          </w:rPr>
          <w:t>Hb 1.13</w:t>
        </w:r>
      </w:hyperlink>
      <w:r>
        <w:t xml:space="preserve">; </w:t>
      </w:r>
      <w:hyperlink r:id="rId8546">
        <w:r>
          <w:rPr>
            <w:color w:val="0000EE"/>
            <w:u w:val="single"/>
          </w:rPr>
          <w:t>10.13</w:t>
        </w:r>
      </w:hyperlink>
      <w:r>
        <w:t>). Nesses versículos, "estrado" significa literalmente "algo debaixo do pé".</w:t>
      </w:r>
      <w:r/>
      <w:r/>
    </w:p>
    <w:p>
      <w:r/>
    </w:p>
    <w:p>
      <w:pPr>
        <w:pStyle w:val="Heading2"/>
      </w:pPr>
      <w:r>
        <w:t>Estrangeiro</w:t>
      </w:r>
      <w:r/>
    </w:p>
    <w:p>
      <w:r/>
      <w:r>
        <w:t>Uma pessoa que não é cidadã. Um estrangeiro pode ser um hóspede temporário, residente temporário ou desconhecido.</w:t>
      </w:r>
    </w:p>
    <w:p>
      <w:r/>
      <w:r>
        <w:t>A palavra hebraica que significa "estrangeiro" é traduzida corretamente em todas as ocasiões em algumas versões bíblicas como a Versão Almeida e Corrigida. No entanto, a Versão NTLH a utiliza em seu sentido mais verdadeiro em apenas duas ocasiões (</w:t>
      </w:r>
      <w:hyperlink r:id="rId8547">
        <w:r>
          <w:rPr>
            <w:color w:val="0000EE"/>
            <w:u w:val="single"/>
          </w:rPr>
          <w:t>Dt 15.3</w:t>
        </w:r>
      </w:hyperlink>
      <w:r>
        <w:t xml:space="preserve">; </w:t>
      </w:r>
      <w:hyperlink r:id="rId7570">
        <w:r>
          <w:rPr>
            <w:color w:val="0000EE"/>
            <w:u w:val="single"/>
          </w:rPr>
          <w:t>Ob 1.11</w:t>
        </w:r>
      </w:hyperlink>
      <w:r>
        <w:t>). Na maioria dos casos, a Versão Almeida e Corrigida traduz a palavra como "estrangeiro" (</w:t>
      </w:r>
      <w:hyperlink r:id="rId5221">
        <w:r>
          <w:rPr>
            <w:color w:val="0000EE"/>
            <w:u w:val="single"/>
          </w:rPr>
          <w:t>Dt 14.21</w:t>
        </w:r>
      </w:hyperlink>
      <w:r>
        <w:t xml:space="preserve">; </w:t>
      </w:r>
      <w:hyperlink r:id="rId8548">
        <w:r>
          <w:rPr>
            <w:color w:val="0000EE"/>
            <w:u w:val="single"/>
          </w:rPr>
          <w:t>Jó 19.15</w:t>
        </w:r>
      </w:hyperlink>
      <w:r>
        <w:t xml:space="preserve">; </w:t>
      </w:r>
      <w:hyperlink r:id="rId8549">
        <w:r>
          <w:rPr>
            <w:color w:val="0000EE"/>
            <w:u w:val="single"/>
          </w:rPr>
          <w:t>Sl 69.8</w:t>
        </w:r>
      </w:hyperlink>
      <w:r>
        <w:t xml:space="preserve">; </w:t>
      </w:r>
      <w:hyperlink r:id="rId8550">
        <w:r>
          <w:rPr>
            <w:color w:val="0000EE"/>
            <w:u w:val="single"/>
          </w:rPr>
          <w:t>Lm 5.2</w:t>
        </w:r>
      </w:hyperlink>
      <w:r>
        <w:t>) ou "peregrino" (</w:t>
      </w:r>
      <w:hyperlink r:id="rId6207">
        <w:r>
          <w:rPr>
            <w:color w:val="0000EE"/>
            <w:u w:val="single"/>
          </w:rPr>
          <w:t>Gn 15.13</w:t>
        </w:r>
      </w:hyperlink>
      <w:r>
        <w:t xml:space="preserve">; </w:t>
      </w:r>
      <w:hyperlink r:id="rId8551">
        <w:r>
          <w:rPr>
            <w:color w:val="0000EE"/>
            <w:u w:val="single"/>
          </w:rPr>
          <w:t>Êx 2.22</w:t>
        </w:r>
      </w:hyperlink>
      <w:r>
        <w:t xml:space="preserve">; </w:t>
      </w:r>
      <w:hyperlink r:id="rId8552">
        <w:r>
          <w:rPr>
            <w:color w:val="0000EE"/>
            <w:u w:val="single"/>
          </w:rPr>
          <w:t>Lv 25.35</w:t>
        </w:r>
      </w:hyperlink>
      <w:r>
        <w:t>). Outra palavra hebraica significa "peregrino" ou "estrangeiro" (</w:t>
      </w:r>
      <w:hyperlink r:id="rId8552">
        <w:r>
          <w:rPr>
            <w:color w:val="0000EE"/>
            <w:u w:val="single"/>
          </w:rPr>
          <w:t>Lv 25.35</w:t>
        </w:r>
      </w:hyperlink>
      <w:r>
        <w:t xml:space="preserve">; </w:t>
      </w:r>
      <w:hyperlink r:id="rId8553">
        <w:r>
          <w:rPr>
            <w:color w:val="0000EE"/>
            <w:u w:val="single"/>
          </w:rPr>
          <w:t>1Cr 29.15</w:t>
        </w:r>
      </w:hyperlink>
      <w:r>
        <w:t xml:space="preserve">; </w:t>
      </w:r>
      <w:hyperlink r:id="rId8554">
        <w:r>
          <w:rPr>
            <w:color w:val="0000EE"/>
            <w:u w:val="single"/>
          </w:rPr>
          <w:t>Sl 39.12</w:t>
        </w:r>
      </w:hyperlink>
      <w:r>
        <w:t>). No entanto, é mais frequentemente traduzida como "estrangeiro".</w:t>
      </w:r>
    </w:p>
    <w:p>
      <w:r/>
      <w:r>
        <w:t>Um hóspede temporário ou residente era geralmente alguém que queria estabelecer residência temporária ou havia se mudado de uma tribo para outra, tentando obter certas vantagens ou direitos pertencentes ao povo nativo que vivia ali. Uma tribo inteira poderia ser residente temporária em Israel. Este foi o caso dos gibeonitas (</w:t>
      </w:r>
      <w:hyperlink r:id="rId761">
        <w:r>
          <w:rPr>
            <w:color w:val="0000EE"/>
            <w:u w:val="single"/>
          </w:rPr>
          <w:t>Js 9</w:t>
        </w:r>
      </w:hyperlink>
      <w:r>
        <w:t>) e dos beerotitas (</w:t>
      </w:r>
      <w:hyperlink r:id="rId8555">
        <w:r>
          <w:rPr>
            <w:color w:val="0000EE"/>
            <w:u w:val="single"/>
          </w:rPr>
          <w:t>2Sm 4.3</w:t>
        </w:r>
      </w:hyperlink>
      <w:r>
        <w:t xml:space="preserve">; cp. </w:t>
      </w:r>
      <w:hyperlink r:id="rId8556">
        <w:r>
          <w:rPr>
            <w:color w:val="0000EE"/>
            <w:u w:val="single"/>
          </w:rPr>
          <w:t>2Cr 2.17</w:t>
        </w:r>
      </w:hyperlink>
      <w:r>
        <w:t>). Os próprios israelitas foram residentes temporários na terra do Egito (</w:t>
      </w:r>
      <w:hyperlink r:id="rId6207">
        <w:r>
          <w:rPr>
            <w:color w:val="0000EE"/>
            <w:u w:val="single"/>
          </w:rPr>
          <w:t>Gn 15.13</w:t>
        </w:r>
      </w:hyperlink>
      <w:r>
        <w:t xml:space="preserve">; </w:t>
      </w:r>
      <w:hyperlink r:id="rId8557">
        <w:r>
          <w:rPr>
            <w:color w:val="0000EE"/>
            <w:u w:val="single"/>
          </w:rPr>
          <w:t>23.4</w:t>
        </w:r>
      </w:hyperlink>
      <w:r>
        <w:t xml:space="preserve">; </w:t>
      </w:r>
      <w:hyperlink r:id="rId8558">
        <w:r>
          <w:rPr>
            <w:color w:val="0000EE"/>
            <w:u w:val="single"/>
          </w:rPr>
          <w:t>26.3</w:t>
        </w:r>
      </w:hyperlink>
      <w:r>
        <w:t xml:space="preserve">; </w:t>
      </w:r>
      <w:hyperlink r:id="rId8559">
        <w:r>
          <w:rPr>
            <w:color w:val="0000EE"/>
            <w:u w:val="single"/>
          </w:rPr>
          <w:t>47.4</w:t>
        </w:r>
      </w:hyperlink>
      <w:r>
        <w:t xml:space="preserve">; </w:t>
      </w:r>
      <w:hyperlink r:id="rId8551">
        <w:r>
          <w:rPr>
            <w:color w:val="0000EE"/>
            <w:u w:val="single"/>
          </w:rPr>
          <w:t>Êx 2.22</w:t>
        </w:r>
      </w:hyperlink>
      <w:r>
        <w:t xml:space="preserve">; </w:t>
      </w:r>
      <w:hyperlink r:id="rId5670">
        <w:r>
          <w:rPr>
            <w:color w:val="0000EE"/>
            <w:u w:val="single"/>
          </w:rPr>
          <w:t>23.9</w:t>
        </w:r>
      </w:hyperlink>
      <w:r>
        <w:t>) e em outras terras (</w:t>
      </w:r>
      <w:hyperlink r:id="rId8560">
        <w:r>
          <w:rPr>
            <w:color w:val="0000EE"/>
            <w:u w:val="single"/>
          </w:rPr>
          <w:t>Rt 1.1</w:t>
        </w:r>
      </w:hyperlink>
      <w:r>
        <w:t>).</w:t>
      </w:r>
    </w:p>
    <w:p>
      <w:r/>
      <w:r>
        <w:t>Estrangeiros ou residentes temporários tinham certos direitos enquanto estavam em Israel, mas também enfrentavam algumas limitações. Eles podiam oferecer sacrifícios (</w:t>
      </w:r>
      <w:hyperlink r:id="rId8561">
        <w:r>
          <w:rPr>
            <w:color w:val="0000EE"/>
            <w:u w:val="single"/>
          </w:rPr>
          <w:t>Lv 17.8</w:t>
        </w:r>
      </w:hyperlink>
      <w:r>
        <w:t xml:space="preserve">; </w:t>
      </w:r>
      <w:hyperlink r:id="rId8562">
        <w:r>
          <w:rPr>
            <w:color w:val="0000EE"/>
            <w:u w:val="single"/>
          </w:rPr>
          <w:t>22.18</w:t>
        </w:r>
      </w:hyperlink>
      <w:r>
        <w:t>), mas não podiam entrar no santuário a menos que fossem circuncidados (</w:t>
      </w:r>
      <w:hyperlink r:id="rId8563">
        <w:r>
          <w:rPr>
            <w:color w:val="0000EE"/>
            <w:u w:val="single"/>
          </w:rPr>
          <w:t>Ez 44.9</w:t>
        </w:r>
      </w:hyperlink>
      <w:r>
        <w:t>). Eles podiam participar dos três grandes festivais judaicos (</w:t>
      </w:r>
      <w:hyperlink r:id="rId8564">
        <w:r>
          <w:rPr>
            <w:color w:val="0000EE"/>
            <w:u w:val="single"/>
          </w:rPr>
          <w:t>Dt 16.11,14</w:t>
        </w:r>
      </w:hyperlink>
      <w:r>
        <w:t>), mas não podiam comer a refeição da Páscoa a menos que fossem circuncidados (</w:t>
      </w:r>
      <w:hyperlink r:id="rId8565">
        <w:r>
          <w:rPr>
            <w:color w:val="0000EE"/>
            <w:u w:val="single"/>
          </w:rPr>
          <w:t>Êx 12.43,48</w:t>
        </w:r>
      </w:hyperlink>
      <w:r>
        <w:t>). Os estrangeiros não eram obrigados a seguir a religião israelita, mas compartilhavam alguns de seus benefícios (</w:t>
      </w:r>
      <w:hyperlink r:id="rId8566">
        <w:r>
          <w:rPr>
            <w:color w:val="0000EE"/>
            <w:u w:val="single"/>
          </w:rPr>
          <w:t>Dt 14.29</w:t>
        </w:r>
      </w:hyperlink>
      <w:r>
        <w:t>). Eles não deviam trabalhar no sábado ou no Dia da Expiação (</w:t>
      </w:r>
      <w:hyperlink r:id="rId8567">
        <w:r>
          <w:rPr>
            <w:color w:val="0000EE"/>
            <w:u w:val="single"/>
          </w:rPr>
          <w:t>Êx 20.10</w:t>
        </w:r>
      </w:hyperlink>
      <w:r>
        <w:t xml:space="preserve">; </w:t>
      </w:r>
      <w:hyperlink r:id="rId8568">
        <w:r>
          <w:rPr>
            <w:color w:val="0000EE"/>
            <w:u w:val="single"/>
          </w:rPr>
          <w:t>23.12</w:t>
        </w:r>
      </w:hyperlink>
      <w:r>
        <w:t xml:space="preserve">; </w:t>
      </w:r>
      <w:hyperlink r:id="rId8569">
        <w:r>
          <w:rPr>
            <w:color w:val="0000EE"/>
            <w:u w:val="single"/>
          </w:rPr>
          <w:t>Lv 16.29</w:t>
        </w:r>
      </w:hyperlink>
      <w:r>
        <w:t xml:space="preserve">; </w:t>
      </w:r>
      <w:hyperlink r:id="rId1614">
        <w:r>
          <w:rPr>
            <w:color w:val="0000EE"/>
            <w:u w:val="single"/>
          </w:rPr>
          <w:t>Dt 5.14</w:t>
        </w:r>
      </w:hyperlink>
      <w:r>
        <w:t>) e podiam ser apedrejados por insultar ou blasfemar o nome de Deus (</w:t>
      </w:r>
      <w:hyperlink r:id="rId7271">
        <w:r>
          <w:rPr>
            <w:color w:val="0000EE"/>
            <w:u w:val="single"/>
          </w:rPr>
          <w:t>Lv 24.16</w:t>
        </w:r>
      </w:hyperlink>
      <w:r>
        <w:t xml:space="preserve">; </w:t>
      </w:r>
      <w:hyperlink r:id="rId3799">
        <w:r>
          <w:rPr>
            <w:color w:val="0000EE"/>
            <w:u w:val="single"/>
          </w:rPr>
          <w:t>Nm 15.30</w:t>
        </w:r>
      </w:hyperlink>
      <w:r>
        <w:t>). Os estrangeiros eram proibidos de comer sangue (</w:t>
      </w:r>
      <w:hyperlink r:id="rId8570">
        <w:r>
          <w:rPr>
            <w:color w:val="0000EE"/>
            <w:u w:val="single"/>
          </w:rPr>
          <w:t>Lv 17.10–12</w:t>
        </w:r>
      </w:hyperlink>
      <w:r>
        <w:t>), mas podiam comer animais que morreram de morte natural (</w:t>
      </w:r>
      <w:hyperlink r:id="rId5221">
        <w:r>
          <w:rPr>
            <w:color w:val="0000EE"/>
            <w:u w:val="single"/>
          </w:rPr>
          <w:t>Dt 14.21</w:t>
        </w:r>
      </w:hyperlink>
      <w:r>
        <w:t>). O código de moralidade sexual de Israel também se aplicava aos estrangeiros (</w:t>
      </w:r>
      <w:hyperlink r:id="rId8571">
        <w:r>
          <w:rPr>
            <w:color w:val="0000EE"/>
            <w:u w:val="single"/>
          </w:rPr>
          <w:t>Lv 18.26</w:t>
        </w:r>
      </w:hyperlink>
      <w:r>
        <w:t>). Havia proibições contra israelitas se casarem com estrangeiros, mas isso era, no entanto, uma ocorrência comum (</w:t>
      </w:r>
      <w:hyperlink r:id="rId8572">
        <w:r>
          <w:rPr>
            <w:color w:val="0000EE"/>
            <w:u w:val="single"/>
          </w:rPr>
          <w:t>Gn 34.14</w:t>
        </w:r>
      </w:hyperlink>
      <w:r>
        <w:t xml:space="preserve">; </w:t>
      </w:r>
      <w:hyperlink r:id="rId8573">
        <w:r>
          <w:rPr>
            <w:color w:val="0000EE"/>
            <w:u w:val="single"/>
          </w:rPr>
          <w:t>Êx 34.12,16</w:t>
        </w:r>
      </w:hyperlink>
      <w:r>
        <w:t xml:space="preserve">; </w:t>
      </w:r>
      <w:hyperlink r:id="rId4556">
        <w:r>
          <w:rPr>
            <w:color w:val="0000EE"/>
            <w:u w:val="single"/>
          </w:rPr>
          <w:t>Dt 7.3–4</w:t>
        </w:r>
      </w:hyperlink>
      <w:r>
        <w:t xml:space="preserve">; </w:t>
      </w:r>
      <w:hyperlink r:id="rId8574">
        <w:r>
          <w:rPr>
            <w:color w:val="0000EE"/>
            <w:u w:val="single"/>
          </w:rPr>
          <w:t>Js 23.12</w:t>
        </w:r>
      </w:hyperlink>
      <w:r>
        <w:t>).</w:t>
      </w:r>
    </w:p>
    <w:p>
      <w:r/>
      <w:r>
        <w:t>Os direitos dos cidadãos foram concedidos aos estrangeiros pela lei de Moisés (</w:t>
      </w:r>
      <w:hyperlink r:id="rId8575">
        <w:r>
          <w:rPr>
            <w:color w:val="0000EE"/>
            <w:u w:val="single"/>
          </w:rPr>
          <w:t>Êx 12.49</w:t>
        </w:r>
      </w:hyperlink>
      <w:r>
        <w:t xml:space="preserve">; </w:t>
      </w:r>
      <w:hyperlink r:id="rId8576">
        <w:r>
          <w:rPr>
            <w:color w:val="0000EE"/>
            <w:u w:val="single"/>
          </w:rPr>
          <w:t>Lv 24.22</w:t>
        </w:r>
      </w:hyperlink>
      <w:r>
        <w:t>). Eles estavam sujeitos aos mesmos processos legais e punições (</w:t>
      </w:r>
      <w:hyperlink r:id="rId7195">
        <w:r>
          <w:rPr>
            <w:color w:val="0000EE"/>
            <w:u w:val="single"/>
          </w:rPr>
          <w:t>Lv 20.2</w:t>
        </w:r>
      </w:hyperlink>
      <w:r>
        <w:t xml:space="preserve">; </w:t>
      </w:r>
      <w:hyperlink r:id="rId8577">
        <w:r>
          <w:rPr>
            <w:color w:val="0000EE"/>
            <w:u w:val="single"/>
          </w:rPr>
          <w:t>24.16,22</w:t>
        </w:r>
      </w:hyperlink>
      <w:r>
        <w:t xml:space="preserve">; </w:t>
      </w:r>
      <w:hyperlink r:id="rId8578">
        <w:r>
          <w:rPr>
            <w:color w:val="0000EE"/>
            <w:u w:val="single"/>
          </w:rPr>
          <w:t>Dt 1.16</w:t>
        </w:r>
      </w:hyperlink>
      <w:r>
        <w:t>). Eles deviam ser tratados com cortesia (</w:t>
      </w:r>
      <w:hyperlink r:id="rId8579">
        <w:r>
          <w:rPr>
            <w:color w:val="0000EE"/>
            <w:u w:val="single"/>
          </w:rPr>
          <w:t>Êx 22.21</w:t>
        </w:r>
      </w:hyperlink>
      <w:r>
        <w:t xml:space="preserve">; </w:t>
      </w:r>
      <w:hyperlink r:id="rId5670">
        <w:r>
          <w:rPr>
            <w:color w:val="0000EE"/>
            <w:u w:val="single"/>
          </w:rPr>
          <w:t>23.9</w:t>
        </w:r>
      </w:hyperlink>
      <w:r>
        <w:t>). Eles deviam ser amados como aqueles sob o amor de Deus (</w:t>
      </w:r>
      <w:hyperlink r:id="rId8580">
        <w:r>
          <w:rPr>
            <w:color w:val="0000EE"/>
            <w:u w:val="single"/>
          </w:rPr>
          <w:t>Lv 19.34</w:t>
        </w:r>
      </w:hyperlink>
      <w:r>
        <w:t xml:space="preserve">; </w:t>
      </w:r>
      <w:hyperlink r:id="rId8581">
        <w:r>
          <w:rPr>
            <w:color w:val="0000EE"/>
            <w:u w:val="single"/>
          </w:rPr>
          <w:t>Dt 10.18–19</w:t>
        </w:r>
      </w:hyperlink>
      <w:r>
        <w:t>). E deviam ser tratados generosamente (</w:t>
      </w:r>
      <w:hyperlink r:id="rId8332">
        <w:r>
          <w:rPr>
            <w:color w:val="0000EE"/>
            <w:u w:val="single"/>
          </w:rPr>
          <w:t>Lv 19.10</w:t>
        </w:r>
      </w:hyperlink>
      <w:r>
        <w:t xml:space="preserve">; </w:t>
      </w:r>
      <w:hyperlink r:id="rId5110">
        <w:r>
          <w:rPr>
            <w:color w:val="0000EE"/>
            <w:u w:val="single"/>
          </w:rPr>
          <w:t>23.22</w:t>
        </w:r>
      </w:hyperlink>
      <w:r>
        <w:t xml:space="preserve">; </w:t>
      </w:r>
      <w:hyperlink r:id="rId8582">
        <w:r>
          <w:rPr>
            <w:color w:val="0000EE"/>
            <w:u w:val="single"/>
          </w:rPr>
          <w:t>Dt 24.19–22</w:t>
        </w:r>
      </w:hyperlink>
      <w:r>
        <w:t>). Eles podiam receber asilo (proteção ou abrigo) em tempos de dificuldade (</w:t>
      </w:r>
      <w:hyperlink r:id="rId8583">
        <w:r>
          <w:rPr>
            <w:color w:val="0000EE"/>
            <w:u w:val="single"/>
          </w:rPr>
          <w:t>Nm 35.15</w:t>
        </w:r>
      </w:hyperlink>
      <w:r>
        <w:t xml:space="preserve">; </w:t>
      </w:r>
      <w:hyperlink r:id="rId8584">
        <w:r>
          <w:rPr>
            <w:color w:val="0000EE"/>
            <w:u w:val="single"/>
          </w:rPr>
          <w:t>Js 20.9</w:t>
        </w:r>
      </w:hyperlink>
      <w:r>
        <w:t>). Servos estrangeiros deviam receber tratamento igual aos servos hebreus (</w:t>
      </w:r>
      <w:hyperlink r:id="rId8585">
        <w:r>
          <w:rPr>
            <w:color w:val="0000EE"/>
            <w:u w:val="single"/>
          </w:rPr>
          <w:t>Dt 24.14</w:t>
        </w:r>
      </w:hyperlink>
      <w:r>
        <w:t>). Um estrangeiro não podia participar de deliberações tribais ou se tornar rei (</w:t>
      </w:r>
      <w:hyperlink r:id="rId8586">
        <w:r>
          <w:rPr>
            <w:color w:val="0000EE"/>
            <w:u w:val="single"/>
          </w:rPr>
          <w:t>17.15</w:t>
        </w:r>
      </w:hyperlink>
      <w:r>
        <w:t>). O profeta Ezequiel aguardava o tempo futuro quando o Messias reinará. Então o estrangeiro compartilharia todas as bênçãos da terra com o próprio povo de Deus (</w:t>
      </w:r>
      <w:hyperlink r:id="rId8587">
        <w:r>
          <w:rPr>
            <w:color w:val="0000EE"/>
            <w:u w:val="single"/>
          </w:rPr>
          <w:t>Ez 47.22–23</w:t>
        </w:r>
      </w:hyperlink>
      <w:r>
        <w:t>).</w:t>
      </w:r>
    </w:p>
    <w:p>
      <w:r/>
      <w:r>
        <w:t>No Novo Testamento, "estrangeiro" é frequentemente usado simbolicamente. Por um lado, a obra de Cristo permitiu que todos os estrangeiros (por exemplo, aqueles separados de Cristo) se tornassem membros da família de Deus (</w:t>
      </w:r>
      <w:hyperlink r:id="rId8588">
        <w:r>
          <w:rPr>
            <w:color w:val="0000EE"/>
            <w:u w:val="single"/>
          </w:rPr>
          <w:t>Ef 2.11–19</w:t>
        </w:r>
      </w:hyperlink>
      <w:r>
        <w:t>). Por outro lado, os cristãos devem se considerar estrangeiros neste mundo (</w:t>
      </w:r>
      <w:hyperlink r:id="rId8589">
        <w:r>
          <w:rPr>
            <w:color w:val="0000EE"/>
            <w:u w:val="single"/>
          </w:rPr>
          <w:t>Hb 11.13</w:t>
        </w:r>
      </w:hyperlink>
      <w:r>
        <w:t xml:space="preserve">; </w:t>
      </w:r>
      <w:hyperlink r:id="rId8590">
        <w:r>
          <w:rPr>
            <w:color w:val="0000EE"/>
            <w:u w:val="single"/>
          </w:rPr>
          <w:t>1Pe 2.11</w:t>
        </w:r>
      </w:hyperlink>
      <w:r>
        <w:t>).</w:t>
      </w:r>
    </w:p>
    <w:p>
      <w:r/>
      <w:r>
        <w:rPr>
          <w:i/>
        </w:rPr>
        <w:t>Veja também</w:t>
      </w:r>
      <w:r>
        <w:t xml:space="preserve"> </w:t>
      </w:r>
      <w:r>
        <w:t>Bárbaro</w:t>
      </w:r>
      <w:r>
        <w:t xml:space="preserve">; </w:t>
      </w:r>
      <w:r>
        <w:t>Vizinho</w:t>
      </w:r>
      <w:r>
        <w:t>.</w:t>
      </w:r>
      <w:r/>
      <w:r/>
    </w:p>
    <w:p>
      <w:r/>
    </w:p>
    <w:p>
      <w:pPr>
        <w:pStyle w:val="Heading2"/>
      </w:pPr>
      <w:r>
        <w:t>Estrangulamento</w:t>
      </w:r>
      <w:r/>
    </w:p>
    <w:p>
      <w:r/>
      <w:r>
        <w:t>Estrangulamento é o ato de sufocar ou asfixiar uma pessoa ou animal apertando a garganta, interrompendo o fluxo de ar e sangue. Na Bíblia, o termo refere-se a animais que foram mortos sem que seu sangue fosse drenado, como por asfixia. Foi uma das quatro práticas que os primeiros cristãos gentios foram solicitados a evitar por respeito aos seus irmãos e irmãs cristãos judeus.</w:t>
      </w:r>
    </w:p>
    <w:p>
      <w:r/>
      <w:r>
        <w:t>A lei judaica não permitia comer carne de animais cujo sangue não fosse totalmente drenado quando eram mortos. O Concílio de Jerusalém pediu à igreja primitiva que seguisse essa prática para manter a paz entre cristãos judeus e gentios (</w:t>
      </w:r>
      <w:hyperlink r:id="rId8591">
        <w:r>
          <w:rPr>
            <w:color w:val="0000EE"/>
            <w:u w:val="single"/>
          </w:rPr>
          <w:t>At 15.20,29</w:t>
        </w:r>
      </w:hyperlink>
      <w:r>
        <w:t xml:space="preserve">; </w:t>
      </w:r>
      <w:hyperlink r:id="rId8592">
        <w:r>
          <w:rPr>
            <w:color w:val="0000EE"/>
            <w:u w:val="single"/>
          </w:rPr>
          <w:t>21.25</w:t>
        </w:r>
      </w:hyperlink>
      <w:r>
        <w:t>).</w:t>
      </w:r>
    </w:p>
    <w:p>
      <w:r/>
      <w:r>
        <w:t>O estrangulamento também era uma das quatro maneiras pelas quais os tribunais da lei judaica aplicavam a pena de morte. Embora a Bíblia não mencione isso como um método de punição, o estrangulamento foi posteriormente utilizado pelo Judaísmo Rabínico como uma forma de execução.</w:t>
      </w:r>
    </w:p>
    <w:p>
      <w:r/>
      <w:r>
        <w:rPr>
          <w:i/>
        </w:rPr>
        <w:t>Veja também</w:t>
      </w:r>
      <w:r>
        <w:t xml:space="preserve"> </w:t>
      </w:r>
      <w:r>
        <w:t>Direito penal e penalidades</w:t>
      </w:r>
      <w:r>
        <w:t>.</w:t>
      </w:r>
      <w:r/>
      <w:r/>
    </w:p>
    <w:p>
      <w:r/>
    </w:p>
    <w:p>
      <w:pPr>
        <w:pStyle w:val="Heading2"/>
      </w:pPr>
      <w:r>
        <w:t>Estrela no leste</w:t>
      </w:r>
      <w:r/>
    </w:p>
    <w:p>
      <w:r/>
      <w:r>
        <w:t>Estrela que guiou os magos até o menino Jesus (</w:t>
      </w:r>
      <w:hyperlink r:id="rId8593">
        <w:r>
          <w:rPr>
            <w:color w:val="0000EE"/>
            <w:u w:val="single"/>
          </w:rPr>
          <w:t>Mt 2.2,7</w:t>
        </w:r>
      </w:hyperlink>
      <w:hyperlink r:id="rId8594">
        <w:r>
          <w:rPr>
            <w:color w:val="0000EE"/>
            <w:u w:val="single"/>
          </w:rPr>
          <w:t>–</w:t>
        </w:r>
      </w:hyperlink>
      <w:hyperlink r:id="rId8593">
        <w:r>
          <w:rPr>
            <w:color w:val="0000EE"/>
            <w:u w:val="single"/>
          </w:rPr>
          <w:t>10</w:t>
        </w:r>
      </w:hyperlink>
      <w:r>
        <w:t>). Os magos eram sábios de uma terra oriental (possivelmente Partia, Babilônia ou Arábia) que vieram a Herodes. Eles explicaram que tinham visto a estrela do Rei dos Judeus em sua terra natal. Herodes e os escribas judeus direcionaram os magos a Belém. A estrela então os guiou até onde Jesus nasceu.</w:t>
      </w:r>
    </w:p>
    <w:p>
      <w:r/>
      <w:r>
        <w:t>Muitas teorias foram sugeridas para explicar esse fenômeno. No século XVII, Johannes Kepler propôs que uma supernova poderia produzir uma luz extraordinária. Muitas dessas explosões são registradas a cada ano, mas poucas são visíveis a olho nu. Nenhuma é conhecida do tempo de Cristo. Os antigos eram fascinados por cometas. O cometa de Halley foi visto pela primeira vez em 240 a.C. Se calculado em intervalos de 77 anos, ele teria aparecido na Judeia por volta de 12–11 a.C. No entanto, essa data é muito anterior ao nascimento de Jesus.</w:t>
      </w:r>
    </w:p>
    <w:p>
      <w:r/>
      <w:r>
        <w:t>Os cometas eram geralmente associados a desastres no mundo antigo. Os antigos também praticavam a astrologia, estudando as constelações e o movimento dos planetas. Eles observavam de perto alinhamentos planetários raros. Em 7 a.C., Júpiter e Saturno se alinharam em Peixes, um evento que ocorre a cada 257 anos. Essa teoria sustentava que Júpiter era o governante do mundo, enquanto Saturno estava ligado à Síria-Palestina, e Peixes estava associado aos tempos finais.</w:t>
      </w:r>
    </w:p>
    <w:p>
      <w:r/>
      <w:r>
        <w:t xml:space="preserve">Leitores do primeiro século, sejam judeus ou gregos, não teriam ficado surpresos ao ler sobre uma nova estrela anunciando o nascimento de Jesus. Em </w:t>
      </w:r>
      <w:hyperlink r:id="rId8594">
        <w:r>
          <w:rPr>
            <w:color w:val="0000EE"/>
            <w:u w:val="single"/>
          </w:rPr>
          <w:t>Mateus 2.2,</w:t>
        </w:r>
      </w:hyperlink>
      <w:r>
        <w:t xml:space="preserve"> a frase "no Oriente" pode significar "ao seu nascer". Isso poderia significar que os magos viram uma nova estrela e a interpretaram como marcando um evento importante. Na sociedade greco-romana, os céus frequentemente previam ou explicavam eventos, como a fundação de Roma e o nascimento de Augusto. O judaísmo também enfatizava a importância das estrelas. Josefo notou eventos estelares durante a queda de Jerusalém em d.C 70. Além disso, os rabinos eram fascinados pela imagem na história de Balaão em </w:t>
      </w:r>
      <w:hyperlink r:id="rId2807">
        <w:r>
          <w:rPr>
            <w:color w:val="0000EE"/>
            <w:u w:val="single"/>
          </w:rPr>
          <w:t>Números 24.17</w:t>
        </w:r>
      </w:hyperlink>
      <w:r>
        <w:t xml:space="preserve"> (veja especialmente </w:t>
      </w:r>
      <w:hyperlink r:id="rId2807">
        <w:r>
          <w:rPr>
            <w:color w:val="0000EE"/>
            <w:u w:val="single"/>
          </w:rPr>
          <w:t>Nm 24.17</w:t>
        </w:r>
      </w:hyperlink>
      <w:r>
        <w:t xml:space="preserve"> na Septuaginta) e simbolizavam suas expectativas messiânicas em uma estrela. Isso também era comum em Qumran (Documento de Damasco 7.19 e seguintes; 1QM 11.6; compare Testamento de Levi 18.3; </w:t>
      </w:r>
      <w:hyperlink r:id="rId6634">
        <w:r>
          <w:rPr>
            <w:color w:val="0000EE"/>
            <w:u w:val="single"/>
          </w:rPr>
          <w:t>Ap 22.16</w:t>
        </w:r>
      </w:hyperlink>
      <w:r>
        <w:t>). Da mesma forma, moedas cunhadas após a revolta de Simão Bar-Kochba ("filho de uma estrela") apresentavam uma estrela.</w:t>
      </w:r>
    </w:p>
    <w:p>
      <w:r/>
      <w:r>
        <w:rPr>
          <w:i/>
        </w:rPr>
        <w:t>Veja</w:t>
      </w:r>
      <w:r>
        <w:t xml:space="preserve"> </w:t>
      </w:r>
      <w:r>
        <w:t>Astronomia</w:t>
      </w:r>
      <w:r>
        <w:t>.</w:t>
      </w:r>
      <w:r/>
      <w:r/>
    </w:p>
    <w:p>
      <w:r/>
    </w:p>
    <w:p>
      <w:pPr>
        <w:pStyle w:val="Heading2"/>
      </w:pPr>
      <w:r>
        <w:t>Estupro</w:t>
      </w:r>
      <w:r/>
    </w:p>
    <w:p>
      <w:r/>
      <w:r>
        <w:t xml:space="preserve">O ato de um homem forçar uma mulher a ter relações sexuais contra a vontade dela. Dois casos são registrados no AT: Siquém, filho de Hamor, um heveu, estuprou Diná (veja </w:t>
      </w:r>
      <w:hyperlink r:id="rId8595">
        <w:r>
          <w:rPr>
            <w:color w:val="0000EE"/>
            <w:u w:val="single"/>
          </w:rPr>
          <w:t>Gn 34.2–7</w:t>
        </w:r>
      </w:hyperlink>
      <w:r>
        <w:t>), e Amnom estuprou sua irmã Tamar (</w:t>
      </w:r>
      <w:hyperlink r:id="rId8596">
        <w:r>
          <w:rPr>
            <w:color w:val="0000EE"/>
            <w:u w:val="single"/>
          </w:rPr>
          <w:t>2Sm 13.14</w:t>
        </w:r>
      </w:hyperlink>
      <w:r>
        <w:t>). Em ambos os casos, seus irmãos vingaram o estupro de sua irmã.</w:t>
      </w:r>
    </w:p>
    <w:p>
      <w:r/>
      <w:r>
        <w:rPr>
          <w:i/>
        </w:rPr>
        <w:t>Veja também</w:t>
      </w:r>
      <w:r>
        <w:t xml:space="preserve"> </w:t>
      </w:r>
      <w:r>
        <w:t>Diná</w:t>
      </w:r>
      <w:r>
        <w:t xml:space="preserve">; </w:t>
      </w:r>
      <w:r>
        <w:t>Tamar (Pessoa) #2</w:t>
      </w:r>
      <w:r>
        <w:t>.</w:t>
      </w:r>
      <w:r/>
      <w:r/>
    </w:p>
    <w:p>
      <w:r/>
    </w:p>
    <w:p>
      <w:pPr>
        <w:pStyle w:val="Heading2"/>
      </w:pPr>
      <w:r>
        <w:t>Etã</w:t>
      </w:r>
      <w:r/>
    </w:p>
    <w:p>
      <w:r/>
      <w:r>
        <w:t>O primeiro acampamento dos hebreus após deixarem Sucote (</w:t>
      </w:r>
      <w:hyperlink r:id="rId8597">
        <w:r>
          <w:rPr>
            <w:color w:val="0000EE"/>
            <w:u w:val="single"/>
          </w:rPr>
          <w:t>Êx 13.20</w:t>
        </w:r>
      </w:hyperlink>
      <w:r>
        <w:t>). Talvez estivesse na fronteira do deserto de Sur (</w:t>
      </w:r>
      <w:hyperlink r:id="rId8598">
        <w:r>
          <w:rPr>
            <w:color w:val="0000EE"/>
            <w:u w:val="single"/>
          </w:rPr>
          <w:t>Êx 15.22</w:t>
        </w:r>
      </w:hyperlink>
      <w:r>
        <w:t xml:space="preserve">; </w:t>
      </w:r>
      <w:hyperlink r:id="rId8599">
        <w:r>
          <w:rPr>
            <w:color w:val="0000EE"/>
            <w:u w:val="single"/>
          </w:rPr>
          <w:t>Nm 33.6–8</w:t>
        </w:r>
      </w:hyperlink>
      <w:r>
        <w:t>). Alguns estudiosos sugeriram que fosse uma fortaleza egípcia, mas provavelmente não era.</w:t>
      </w:r>
      <w:r/>
      <w:r/>
    </w:p>
    <w:p>
      <w:r/>
    </w:p>
    <w:p>
      <w:pPr>
        <w:pStyle w:val="Heading2"/>
      </w:pPr>
      <w:r>
        <w:t>Etã</w:t>
      </w:r>
      <w:r/>
    </w:p>
    <w:p>
      <w:r/>
      <w:r>
        <w:t>1. Homem sábio comparável a Salomão (</w:t>
      </w:r>
      <w:hyperlink r:id="rId328">
        <w:r>
          <w:rPr>
            <w:color w:val="0000EE"/>
            <w:u w:val="single"/>
          </w:rPr>
          <w:t>1Rs 4.31</w:t>
        </w:r>
      </w:hyperlink>
      <w:r>
        <w:t xml:space="preserve">) e provavelmente o autor do </w:t>
      </w:r>
      <w:hyperlink r:id="rId8600">
        <w:r>
          <w:rPr>
            <w:color w:val="0000EE"/>
            <w:u w:val="single"/>
          </w:rPr>
          <w:t>Salmo 89</w:t>
        </w:r>
      </w:hyperlink>
      <w:r>
        <w:t>. Não há certeza se ele foi contemporâneo de Salomão.</w:t>
      </w:r>
    </w:p>
    <w:p>
      <w:r/>
      <w:r>
        <w:t>2. Descendente de Judá e filho de Zerá (</w:t>
      </w:r>
      <w:hyperlink r:id="rId8601">
        <w:r>
          <w:rPr>
            <w:color w:val="0000EE"/>
            <w:u w:val="single"/>
          </w:rPr>
          <w:t>1Cr 2.6</w:t>
        </w:r>
      </w:hyperlink>
      <w:r>
        <w:t>), possivelmente o mesmo que o #1 acima. No entanto, são atribuídos pais diferentes nas duas passagens.</w:t>
      </w:r>
    </w:p>
    <w:p>
      <w:r/>
      <w:r>
        <w:t>3. Filho de Zima, um descendente de Gérson, o filho mais velho de Levi (</w:t>
      </w:r>
      <w:hyperlink r:id="rId8602">
        <w:r>
          <w:rPr>
            <w:color w:val="0000EE"/>
            <w:u w:val="single"/>
          </w:rPr>
          <w:t>1Cr 6.42</w:t>
        </w:r>
      </w:hyperlink>
      <w:r>
        <w:t>).</w:t>
      </w:r>
    </w:p>
    <w:p>
      <w:r/>
      <w:r>
        <w:t>4. Descendente de Levi através de seu filho Merari, e filho de Quisi (</w:t>
      </w:r>
      <w:hyperlink r:id="rId8603">
        <w:r>
          <w:rPr>
            <w:color w:val="0000EE"/>
            <w:u w:val="single"/>
          </w:rPr>
          <w:t>1Cr 6.44</w:t>
        </w:r>
      </w:hyperlink>
      <w:r>
        <w:t>) ou Cuchaías (</w:t>
      </w:r>
      <w:hyperlink r:id="rId8604">
        <w:r>
          <w:rPr>
            <w:color w:val="0000EE"/>
            <w:u w:val="single"/>
          </w:rPr>
          <w:t>15.17</w:t>
        </w:r>
      </w:hyperlink>
      <w:r>
        <w:t xml:space="preserve">). Ele foi um dos três músicos notáveis, junto com Hemã e Asafe, nomeados por Davi (vv. </w:t>
      </w:r>
      <w:hyperlink r:id="rId8605">
        <w:r>
          <w:rPr>
            <w:color w:val="0000EE"/>
            <w:u w:val="single"/>
          </w:rPr>
          <w:t>16–19</w:t>
        </w:r>
      </w:hyperlink>
      <w:r>
        <w:t xml:space="preserve">). Provavelmente foi este Etã cujo nome é atribuído no título do </w:t>
      </w:r>
      <w:hyperlink r:id="rId8606">
        <w:r>
          <w:rPr>
            <w:color w:val="0000EE"/>
            <w:u w:val="single"/>
          </w:rPr>
          <w:t>Salmo 39</w:t>
        </w:r>
      </w:hyperlink>
      <w:r>
        <w:t xml:space="preserve"> (como “Jedutum,” como ele é chamado em </w:t>
      </w:r>
      <w:hyperlink r:id="rId8607">
        <w:r>
          <w:rPr>
            <w:color w:val="0000EE"/>
            <w:u w:val="single"/>
          </w:rPr>
          <w:t>1Cr 16.41</w:t>
        </w:r>
      </w:hyperlink>
      <w:r>
        <w:t xml:space="preserve">; </w:t>
      </w:r>
      <w:hyperlink r:id="rId2649">
        <w:r>
          <w:rPr>
            <w:color w:val="0000EE"/>
            <w:u w:val="single"/>
          </w:rPr>
          <w:t>25.1</w:t>
        </w:r>
      </w:hyperlink>
      <w:r>
        <w:t>) como “músico principal”; é provável que ele tenha composto a música para o salmo.</w:t>
      </w:r>
      <w:r/>
      <w:r/>
    </w:p>
    <w:p>
      <w:r/>
    </w:p>
    <w:p>
      <w:pPr>
        <w:pStyle w:val="Heading2"/>
      </w:pPr>
      <w:r>
        <w:t>Eternidade</w:t>
      </w:r>
      <w:r/>
    </w:p>
    <w:p>
      <w:r/>
      <w:r>
        <w:t>Tempo sem início nem fim.</w:t>
      </w:r>
    </w:p>
    <w:p>
      <w:pPr>
        <w:pStyle w:val="Heading3"/>
      </w:pPr>
      <w:r>
        <w:t>Eternidade no Antigo Testamento</w:t>
      </w:r>
    </w:p>
    <w:p>
      <w:r/>
      <w:r>
        <w:t xml:space="preserve">O Antigo Testamento não possui uma palavra única que signifique o mesmo que nossa palavra em português "eternidade". Em vez disso, essa ideia vem de expressões como "de geração em geração" e "de era em era". A ideia de que Deus criou e controla a história levou à crença de que a vida de Deus não tem fim. Portanto, Deus é descrito como "eterno" (veja </w:t>
      </w:r>
      <w:hyperlink r:id="rId3863">
        <w:r>
          <w:rPr>
            <w:color w:val="0000EE"/>
            <w:u w:val="single"/>
          </w:rPr>
          <w:t>Gn 21.33</w:t>
        </w:r>
      </w:hyperlink>
      <w:r>
        <w:t xml:space="preserve">; </w:t>
      </w:r>
      <w:hyperlink r:id="rId8608">
        <w:r>
          <w:rPr>
            <w:color w:val="0000EE"/>
            <w:u w:val="single"/>
          </w:rPr>
          <w:t>Is 26.4</w:t>
        </w:r>
      </w:hyperlink>
      <w:r>
        <w:t xml:space="preserve">; </w:t>
      </w:r>
      <w:hyperlink r:id="rId6802">
        <w:r>
          <w:rPr>
            <w:color w:val="0000EE"/>
            <w:u w:val="single"/>
          </w:rPr>
          <w:t>40.28</w:t>
        </w:r>
      </w:hyperlink>
      <w:r>
        <w:t>). Os hebreus sabiam que Deus é eterno, ao contrário dos demais povos. O tempo deles na terra é limitado.</w:t>
      </w:r>
    </w:p>
    <w:p>
      <w:pPr>
        <w:pStyle w:val="Heading3"/>
      </w:pPr>
      <w:r>
        <w:t>Eternidade no Novo Testamento</w:t>
      </w:r>
    </w:p>
    <w:p>
      <w:r/>
      <w:r>
        <w:t xml:space="preserve">O Novo Testamento continua essas ideias do Judaísmo e do Antigo Testamento. No idioma grego, uma palavra descreve ambos os períodos de tempo e a natureza eterna de Deus. Por exemplo, a palavra traduzida como "eterno" em </w:t>
      </w:r>
      <w:hyperlink r:id="rId8609">
        <w:r>
          <w:rPr>
            <w:color w:val="0000EE"/>
            <w:u w:val="single"/>
          </w:rPr>
          <w:t>Romanos 16.26</w:t>
        </w:r>
      </w:hyperlink>
      <w:r>
        <w:t xml:space="preserve"> vem da palavra grega traduzida como "eon", que significa "era" ou "um tempo muito longo".</w:t>
      </w:r>
    </w:p>
    <w:p>
      <w:r/>
      <w:r>
        <w:t>Deus governa sobre todos os períodos de tempo, e Ele não tem começo nem fim. Ele dá propósito e ordem à vida humana, mesmo que os humanos vivam apenas por um tempo limitado. O Novo Testamento nos diz que o tempo eventualmente terminará. Isso complementa o que o Antigo Testamento ensina sobre Deus criar tudo. Juntos, esses ensinamentos nos ajudam a entender que Deus é eterno. Outra maneira de dizer isso é que Deus existia antes de tudo e continuará a existir depois de tudo.</w:t>
      </w:r>
    </w:p>
    <w:p>
      <w:r/>
      <w:r>
        <w:t>O Novo Testamento fala sobre como Deus se revelou através de Jesus Cristo de maneiras semelhantes àquelas que o Antigo Testamento descreve Deus se revelando a Israel. O Novo Testamento usa preposições com a palavra "eon" de maneiras diferentes ao falar sobre o tempo. Por exemplo:</w:t>
      </w:r>
    </w:p>
    <w:p>
      <w:pPr>
        <w:pStyle w:val="ListBullet"/>
        <w:spacing w:line="240" w:lineRule="auto"/>
        <w:ind w:left="720"/>
      </w:pPr>
      <w:r/>
      <w:r>
        <w:t xml:space="preserve">"Nunca antes" é literalmente "fora da era" em </w:t>
      </w:r>
      <w:hyperlink r:id="rId8610">
        <w:r>
          <w:rPr>
            <w:color w:val="0000EE"/>
            <w:u w:val="single"/>
          </w:rPr>
          <w:t>João 9.32</w:t>
        </w:r>
      </w:hyperlink>
    </w:p>
    <w:p>
      <w:pPr>
        <w:pStyle w:val="ListBullet"/>
        <w:spacing w:line="240" w:lineRule="auto"/>
        <w:ind w:left="720"/>
      </w:pPr>
      <w:r/>
      <w:r>
        <w:t xml:space="preserve">"de eras passadas" é literalmente "da era" em </w:t>
      </w:r>
      <w:hyperlink r:id="rId8611">
        <w:r>
          <w:rPr>
            <w:color w:val="0000EE"/>
            <w:u w:val="single"/>
          </w:rPr>
          <w:t>Lucas 1.70</w:t>
        </w:r>
      </w:hyperlink>
    </w:p>
    <w:p>
      <w:pPr>
        <w:pStyle w:val="ListBullet"/>
        <w:spacing w:line="240" w:lineRule="auto"/>
        <w:ind w:left="720"/>
      </w:pPr>
      <w:r/>
      <w:r>
        <w:t>"para sempre" é literalmente "para era" (</w:t>
      </w:r>
      <w:hyperlink r:id="rId2815">
        <w:r>
          <w:rPr>
            <w:color w:val="0000EE"/>
            <w:u w:val="single"/>
          </w:rPr>
          <w:t>Judas 1.13</w:t>
        </w:r>
      </w:hyperlink>
      <w:r>
        <w:t>)</w:t>
      </w:r>
    </w:p>
    <w:p>
      <w:pPr>
        <w:pStyle w:val="ListBullet"/>
        <w:spacing w:line="240" w:lineRule="auto"/>
        <w:ind w:left="720"/>
      </w:pPr>
      <w:r/>
      <w:r>
        <w:t>"para a eternidade" é literalmente "para as eras" (</w:t>
      </w:r>
      <w:hyperlink r:id="rId602">
        <w:r>
          <w:rPr>
            <w:color w:val="0000EE"/>
            <w:u w:val="single"/>
          </w:rPr>
          <w:t>João 4.14</w:t>
        </w:r>
      </w:hyperlink>
      <w:r>
        <w:t>)</w:t>
      </w:r>
    </w:p>
    <w:p>
      <w:r/>
      <w:r>
        <w:t>As duas primeiras frases referem-se a um tempo muito distante no passado. As duas últimas frases referem-se a um futuro indefinido, frequentemente traduzido como "para sempre".</w:t>
      </w:r>
    </w:p>
    <w:p>
      <w:pPr>
        <w:pStyle w:val="Heading3"/>
      </w:pPr>
      <w:r>
        <w:t>Diferentes perspectivas de tempo e eternidade</w:t>
      </w:r>
    </w:p>
    <w:p>
      <w:r/>
      <w:r>
        <w:t>A visão da Bíblia sobre a eternidade era diferente do que outras culturas acreditavam naquela época. Muitas culturas pensavam que o tempo se movia em círculos, com eventos acontecendo repetidamente. Isso era especialmente verdadeiro na cultura grega, onde as pessoas viam o tempo como um círculo que se repetia continuamente.</w:t>
      </w:r>
    </w:p>
    <w:p>
      <w:r/>
      <w:r>
        <w:t>No pensamento grego, a salvação significava encontrar uma maneira de escapar deste ciclo interminável de tempo para alcançar um estado onde o tempo não existia. No entanto, a Bíblia vê o tempo de forma diferente. Ela descreve o tempo como uma linha reta que tem um começo e um fim, ambos sob o controle de Deus.</w:t>
      </w:r>
    </w:p>
    <w:p>
      <w:r/>
      <w:r>
        <w:t>Isso significa que a Bíblia também vê a salvação de forma diferente. Na Bíblia, a salvação não ocorre através da fuga do tempo. Em vez disso, ela acontece na vida de cada pessoa à medida que experimenta Deus e avança em direção à conclusão final que Ele planejou.</w:t>
      </w:r>
    </w:p>
    <w:p>
      <w:r/>
      <w:r>
        <w:t>As visões grega e bíblica do tempo diferem. Isso levanta a questão: o que é a eternidade? É apenas tempo sem fim? Ou é algo diferente, como a atemporalidade? A Bíblia sugere que a eternidade não é a atemporalidade. Não é o oposto do tempo presente. O tempo presente e a eternidade compartilham algumas características básicas.</w:t>
      </w:r>
    </w:p>
    <w:p>
      <w:pPr>
        <w:pStyle w:val="Heading3"/>
      </w:pPr>
      <w:r>
        <w:t>As duas eras do tempo</w:t>
      </w:r>
    </w:p>
    <w:p>
      <w:r/>
      <w:r>
        <w:t>O Novo Testamento (seguindo o ensino judaico) divide o tempo em duas partes:</w:t>
      </w:r>
    </w:p>
    <w:p>
      <w:pPr>
        <w:pStyle w:val="ListBullet"/>
        <w:spacing w:line="240" w:lineRule="auto"/>
        <w:ind w:left="720"/>
      </w:pPr>
      <w:r/>
      <w:r>
        <w:t>"esta era atual" (o tempo em que vivemos agora)</w:t>
      </w:r>
    </w:p>
    <w:p>
      <w:pPr>
        <w:pStyle w:val="ListBullet"/>
        <w:spacing w:line="240" w:lineRule="auto"/>
        <w:ind w:left="720"/>
      </w:pPr>
      <w:r/>
      <w:r>
        <w:t>"a era vindoura" (o tempo futuro prometido por Deus)</w:t>
      </w:r>
    </w:p>
    <w:p>
      <w:r/>
      <w:r>
        <w:t>A diferença entre essas eras não é apenas sobre tempo versus ausência de tempo. A 'era vindoura' será um tempo futuro real com suas próprias qualidades especiais. Quando a Bíblia descreve como essa nova era começará, ela nos apresenta muitos detalhes sobre o que acontecerá.</w:t>
      </w:r>
    </w:p>
    <w:p>
      <w:r/>
      <w:r>
        <w:t xml:space="preserve">Esta nova era não simplesmente retornará as coisas ao estado inicial. Em vez disso, ela completará o plano de Deus para tudo, conforme descrito em </w:t>
      </w:r>
      <w:hyperlink r:id="rId8612">
        <w:r>
          <w:rPr>
            <w:color w:val="0000EE"/>
            <w:u w:val="single"/>
          </w:rPr>
          <w:t>Apocalipse 1.4</w:t>
        </w:r>
      </w:hyperlink>
      <w:r>
        <w:t>, onde Deus é chamado de "Aquele que é, que era e que há de vir". É por isso que a Bíblia a chama de "a nova criação".</w:t>
      </w:r>
    </w:p>
    <w:p>
      <w:pPr>
        <w:pStyle w:val="Heading3"/>
      </w:pPr>
      <w:r>
        <w:t>As idades moderna e contemporânea juntas</w:t>
      </w:r>
    </w:p>
    <w:p>
      <w:r/>
      <w:r>
        <w:t>O Novo Testamento ensina que a "era vindoura" já começou. Ela teve início com a vida e obra de Cristo, mesmo que ainda vivamos na era presente. Ambas as eras estão ocorrendo simultaneamente agora.</w:t>
      </w:r>
    </w:p>
    <w:p>
      <w:r/>
      <w:r>
        <w:t>Podemos ver essa ideia em várias frases que a Bíblia utiliza. Por exemplo:</w:t>
      </w:r>
    </w:p>
    <w:p>
      <w:pPr>
        <w:pStyle w:val="ListBullet"/>
        <w:spacing w:line="240" w:lineRule="auto"/>
        <w:ind w:left="720"/>
      </w:pPr>
      <w:r/>
      <w:r>
        <w:t>"os primeiros frutos"</w:t>
      </w:r>
    </w:p>
    <w:p>
      <w:pPr>
        <w:pStyle w:val="ListBullet"/>
        <w:spacing w:line="240" w:lineRule="auto"/>
        <w:ind w:left="720"/>
      </w:pPr>
      <w:r/>
      <w:r>
        <w:t>"a promessa da nossa herança"</w:t>
      </w:r>
    </w:p>
    <w:p>
      <w:pPr>
        <w:pStyle w:val="ListBullet"/>
        <w:spacing w:line="240" w:lineRule="auto"/>
        <w:ind w:left="720"/>
      </w:pPr>
      <w:r/>
      <w:r>
        <w:t>"os últimos dias"</w:t>
      </w:r>
    </w:p>
    <w:p>
      <w:r/>
      <w:r>
        <w:t xml:space="preserve">Por exemplo, </w:t>
      </w:r>
      <w:hyperlink r:id="rId8112">
        <w:r>
          <w:rPr>
            <w:color w:val="0000EE"/>
            <w:u w:val="single"/>
          </w:rPr>
          <w:t>Hebreus 6.5</w:t>
        </w:r>
      </w:hyperlink>
      <w:r>
        <w:t xml:space="preserve"> fala sobre pessoas que já "experimentaram a bondade da palavra de Deus e os poderes da era vindoura". Isso significa que os seguidores de Jesus podem desfrutar de algumas das bênçãos da era futura agora, por causa do que Jesus fez para nos salvar.</w:t>
      </w:r>
    </w:p>
    <w:p>
      <w:pPr>
        <w:pStyle w:val="Heading3"/>
      </w:pPr>
      <w:r>
        <w:t>Entendendo o tempo e a eternidade</w:t>
      </w:r>
    </w:p>
    <w:p>
      <w:r/>
      <w:r>
        <w:t>A eternidade não é o oposto do tempo. Não é um estado onde o tempo não existe. Em vez disso, a eternidade é o tempo sem limites. Ela começou quando Jesus trouxe o reino de Deus e continua para sempre no futuro.</w:t>
      </w:r>
    </w:p>
    <w:p>
      <w:r/>
      <w:r>
        <w:t xml:space="preserve">Deus governa tanto o nosso tempo presente (que </w:t>
      </w:r>
      <w:hyperlink r:id="rId8109">
        <w:r>
          <w:rPr>
            <w:color w:val="0000EE"/>
            <w:u w:val="single"/>
          </w:rPr>
          <w:t xml:space="preserve">Gl 1.4 </w:t>
        </w:r>
      </w:hyperlink>
      <w:r>
        <w:t>chama de "esta era presente e má") quanto a eternidade. Como Senhor de todo o tempo, Deus dá propósito e significado a ambos.</w:t>
      </w:r>
    </w:p>
    <w:p>
      <w:r/>
      <w:r>
        <w:rPr>
          <w:i/>
        </w:rPr>
        <w:t>Veja também</w:t>
      </w:r>
      <w:r>
        <w:t xml:space="preserve"> </w:t>
      </w:r>
      <w:r>
        <w:t>Idade</w:t>
      </w:r>
      <w:r>
        <w:t xml:space="preserve">; </w:t>
      </w:r>
      <w:r>
        <w:t>Deus, Ser e Atributos</w:t>
      </w:r>
      <w:r>
        <w:t>.</w:t>
      </w:r>
      <w:r/>
      <w:r/>
    </w:p>
    <w:p>
      <w:r/>
    </w:p>
    <w:p>
      <w:pPr>
        <w:pStyle w:val="Heading2"/>
      </w:pPr>
      <w:r>
        <w:t>Etiópia</w:t>
      </w:r>
      <w:r/>
    </w:p>
    <w:p>
      <w:r/>
      <w:r>
        <w:t>A Bíblia usa dois nomes diferentes para a terra ao sul do Egito. No Antigo Testamento, a Etiópia era chamada de "Cuxe" (</w:t>
      </w:r>
      <w:hyperlink r:id="rId4120">
        <w:r>
          <w:rPr>
            <w:color w:val="0000EE"/>
            <w:u w:val="single"/>
          </w:rPr>
          <w:t>Gn 10.6</w:t>
        </w:r>
      </w:hyperlink>
      <w:r>
        <w:t xml:space="preserve">; </w:t>
      </w:r>
      <w:hyperlink r:id="rId4121">
        <w:r>
          <w:rPr>
            <w:color w:val="0000EE"/>
            <w:u w:val="single"/>
          </w:rPr>
          <w:t>1Cr 1.8</w:t>
        </w:r>
      </w:hyperlink>
      <w:r>
        <w:t xml:space="preserve">; </w:t>
      </w:r>
      <w:hyperlink r:id="rId7768">
        <w:r>
          <w:rPr>
            <w:color w:val="0000EE"/>
            <w:u w:val="single"/>
          </w:rPr>
          <w:t>Is 11.11</w:t>
        </w:r>
      </w:hyperlink>
      <w:r>
        <w:t>). "Cuxe" é a transliteração em português da palavra hebraica para esta terra. Quando a Bíblia foi posteriormente traduzida para o grego, os tradutores usaram o nome "Etiópia" em vez de "Cuxe".</w:t>
      </w:r>
    </w:p>
    <w:p>
      <w:r/>
      <w:r>
        <w:t xml:space="preserve">No entanto, eles mantiveram o nome "Cuxe" ao listar diferentes grupos de pessoas em </w:t>
      </w:r>
      <w:hyperlink r:id="rId6441">
        <w:r>
          <w:rPr>
            <w:color w:val="0000EE"/>
            <w:u w:val="single"/>
          </w:rPr>
          <w:t>Gênesis 10.6–8</w:t>
        </w:r>
      </w:hyperlink>
      <w:r>
        <w:t xml:space="preserve"> e </w:t>
      </w:r>
      <w:hyperlink r:id="rId8613">
        <w:r>
          <w:rPr>
            <w:color w:val="0000EE"/>
            <w:u w:val="single"/>
          </w:rPr>
          <w:t>1 Crônicas 1.8–10</w:t>
        </w:r>
      </w:hyperlink>
      <w:r>
        <w:t>. Algumas traduções da Bíblia em português seguem esse padrão grego e usam "Etiópia" para o lugar e "Cuxe" quando é um nome pessoal. Outras traduções em português usam "Cuxe" tanto para o lugar quanto para o nome pessoal, assim como "cuxita" para pessoas que vivem na terra (</w:t>
      </w:r>
      <w:hyperlink r:id="rId8614">
        <w:r>
          <w:rPr>
            <w:color w:val="0000EE"/>
            <w:u w:val="single"/>
          </w:rPr>
          <w:t>2Sm 18.21–23,31–32</w:t>
        </w:r>
      </w:hyperlink>
      <w:r>
        <w:t>).</w:t>
      </w:r>
    </w:p>
    <w:p>
      <w:pPr>
        <w:pStyle w:val="Heading3"/>
      </w:pPr>
      <w:r>
        <w:t>A história da antiga Etiópia e seus nomes</w:t>
      </w:r>
    </w:p>
    <w:p>
      <w:r/>
      <w:r>
        <w:t>O nome hebraico "Cuxe" originalmente veio da língua egípcia. Os egípcios usaram este nome pela primeira vez durante o período chamado Reino Médio. Naquela época, referia-se apenas a uma pequena área perto de duas partes rochosas do Rio Nilo. Mais tarde, durante o período chamado Novo Reino (de cerca de 1570 a 1160 a.C.), o nome Cuxe passou a designar uma área muito maior que se estendia mais ao sul. Hoje, essa área maior inclui partes do que agora chamamos de Núbia e norte do Sudão.</w:t>
      </w:r>
    </w:p>
    <w:p>
      <w:r/>
      <w:r>
        <w:t xml:space="preserve">É importante entender que a Etiópia mencionada na Bíblia não é a mesma que o país chamado Etiópia hoje. O país moderno da Etiópia costumava ser chamado de Abissínia. O nome "Etiópia" vem do idioma grego. Alguns estudiosos acreditam que significa "rosto queimado" (compare </w:t>
      </w:r>
      <w:hyperlink r:id="rId4183">
        <w:r>
          <w:rPr>
            <w:color w:val="0000EE"/>
            <w:u w:val="single"/>
          </w:rPr>
          <w:t>At 8.27</w:t>
        </w:r>
      </w:hyperlink>
      <w:r>
        <w:t>). Este nome antigo influenciou o nome árabe "Beled es Sudan", que significa "terra dos negros". É daqui que vem o nome moderno "Sudão".</w:t>
      </w:r>
    </w:p>
    <w:p>
      <w:r/>
      <w:r>
        <w:t xml:space="preserve">Os escritores do Antigo Testamento usaram o nome "Cuxe" da mesma forma que os egípcios. Eles o usaram para descrever a terra seca que se estendia ao sul até uma cidade chamada Assuã (que a Bíblia chama de Sinim em </w:t>
      </w:r>
      <w:hyperlink r:id="rId8615">
        <w:r>
          <w:rPr>
            <w:color w:val="0000EE"/>
            <w:u w:val="single"/>
          </w:rPr>
          <w:t>Ez 29.10</w:t>
        </w:r>
      </w:hyperlink>
      <w:r>
        <w:t>). Ninguém, nem mesmo os egípcios, sabia exatamente onde terminavam as fronteiras dessa terra. Eles apenas sabiam que ia além de uma cidade chamada Meroé, no que hoje é o Sudão.</w:t>
      </w:r>
    </w:p>
    <w:p>
      <w:r/>
      <w:r>
        <w:t>A maior parte da Etiópia era composta por terras desérticas a leste do Rio Nilo. As características acidentadas do terreno tornavam a viagem muito perigosa. O próprio rio também era perigoso. Grandes rochas emergiam da água, forçando o rio a seguir por caminhos estreitos. Isso criava águas turbulentas que podiam facilmente afundar barcos. Essas barreiras naturais ajudavam a proteger o Egito de ataques vindos do sul. No entanto, elas também tornavam a Etiópia um lugar muito difícil de se viver.</w:t>
      </w:r>
    </w:p>
    <w:p>
      <w:r/>
      <w:r>
        <w:t>A terra na Núbia egípcia e no norte do Sudão era principalmente adequada para a agricultura, mas frequentemente era inundada. Devido a essas inundações, o povo núbio teve que se mudar para uma área entre duas cidades chamadas Aswan e Kom Ombo.</w:t>
      </w:r>
    </w:p>
    <w:p>
      <w:r/>
      <w:r>
        <w:t>Como a Núbia é principalmente desértica, recebe muito pouca chuva. Apenas as áreas mais distantes rio acima recebem mais precipitação. A cidade de Meroé foi uma vez a capital desta região. Ela está situada em uma área especial entre dois rios, o Rio Nilo de um lado e o Rio Atbara do outro. As pessoas chamavam essa área de "ilha de Meroé". Nos tempos antigos, esta terra tinha solo bom para o cultivo de plantas e pode ter sido coberta por muitas árvores porque recebia chuva em certas épocas do ano.</w:t>
      </w:r>
    </w:p>
    <w:p>
      <w:pPr>
        <w:pStyle w:val="Heading3"/>
      </w:pPr>
      <w:r>
        <w:t>A antiga Etiópia na Bíblia</w:t>
      </w:r>
    </w:p>
    <w:p>
      <w:r/>
      <w:r>
        <w:t>O livro de Ester nos informa que a Etiópia (Cuxe) era a província mais ao sudoeste do Império Persa (</w:t>
      </w:r>
      <w:hyperlink r:id="rId8616">
        <w:r>
          <w:rPr>
            <w:color w:val="0000EE"/>
            <w:u w:val="single"/>
          </w:rPr>
          <w:t>Et 1.1</w:t>
        </w:r>
      </w:hyperlink>
      <w:r>
        <w:t xml:space="preserve">; </w:t>
      </w:r>
      <w:hyperlink r:id="rId4063">
        <w:r>
          <w:rPr>
            <w:color w:val="0000EE"/>
            <w:u w:val="single"/>
          </w:rPr>
          <w:t>8.9</w:t>
        </w:r>
      </w:hyperlink>
      <w:r>
        <w:t xml:space="preserve">). Os "rios" da Etiópia eram provavelmente o Nilo e o Atbara (compare </w:t>
      </w:r>
      <w:hyperlink r:id="rId8617">
        <w:r>
          <w:rPr>
            <w:color w:val="0000EE"/>
            <w:u w:val="single"/>
          </w:rPr>
          <w:t>Is 18.1</w:t>
        </w:r>
      </w:hyperlink>
      <w:r>
        <w:t xml:space="preserve">; </w:t>
      </w:r>
      <w:hyperlink r:id="rId7104">
        <w:r>
          <w:rPr>
            <w:color w:val="0000EE"/>
            <w:u w:val="single"/>
          </w:rPr>
          <w:t>Sf 3.10</w:t>
        </w:r>
      </w:hyperlink>
      <w:r>
        <w:t>). Muitas coisas valiosas vinham da Etiópia (</w:t>
      </w:r>
      <w:hyperlink r:id="rId8618">
        <w:r>
          <w:rPr>
            <w:color w:val="0000EE"/>
            <w:u w:val="single"/>
          </w:rPr>
          <w:t>Jó 28.19</w:t>
        </w:r>
      </w:hyperlink>
      <w:r>
        <w:t xml:space="preserve">; </w:t>
      </w:r>
      <w:hyperlink r:id="rId8619">
        <w:r>
          <w:rPr>
            <w:color w:val="0000EE"/>
            <w:u w:val="single"/>
          </w:rPr>
          <w:t>Is 45.14</w:t>
        </w:r>
      </w:hyperlink>
      <w:r>
        <w:t>). Registros egípcios nos indicam que isso incluía pedras preciosas, animais e produtos agrícolas.</w:t>
      </w:r>
    </w:p>
    <w:p>
      <w:r/>
      <w:r>
        <w:t>Alguns dos profetas de Deus escreveram sobre a Etiópia de diferentes maneiras. Alguns disseram que os judeus que foram forçados a viver na Etiópia voltariam para casa (</w:t>
      </w:r>
      <w:hyperlink r:id="rId8620">
        <w:r>
          <w:rPr>
            <w:color w:val="0000EE"/>
            <w:u w:val="single"/>
          </w:rPr>
          <w:t>Sl 87.4</w:t>
        </w:r>
      </w:hyperlink>
      <w:r>
        <w:t xml:space="preserve">; </w:t>
      </w:r>
      <w:hyperlink r:id="rId7768">
        <w:r>
          <w:rPr>
            <w:color w:val="0000EE"/>
            <w:u w:val="single"/>
          </w:rPr>
          <w:t>Is 11.11</w:t>
        </w:r>
      </w:hyperlink>
      <w:r>
        <w:t>). Outros profetas alertaram que Deus julgaria a Etiópia (</w:t>
      </w:r>
      <w:hyperlink r:id="rId8621">
        <w:r>
          <w:rPr>
            <w:color w:val="0000EE"/>
            <w:u w:val="single"/>
          </w:rPr>
          <w:t>Is 20.3</w:t>
        </w:r>
      </w:hyperlink>
      <w:r>
        <w:t xml:space="preserve">; </w:t>
      </w:r>
      <w:hyperlink r:id="rId8622">
        <w:r>
          <w:rPr>
            <w:color w:val="0000EE"/>
            <w:u w:val="single"/>
          </w:rPr>
          <w:t>Ez 30.4</w:t>
        </w:r>
      </w:hyperlink>
      <w:r>
        <w:t xml:space="preserve">; </w:t>
      </w:r>
      <w:hyperlink r:id="rId8623">
        <w:r>
          <w:rPr>
            <w:color w:val="0000EE"/>
            <w:u w:val="single"/>
          </w:rPr>
          <w:t>Sf 2.12</w:t>
        </w:r>
      </w:hyperlink>
      <w:r>
        <w:t>). Mas, como a Etiópia estava sob o controle de Deus, ela poderia receber tanto o castigo quanto a bênção de Deus. Alguns profetas escreveram que o povo etíope um dia acreditaria no Deus de Israel (</w:t>
      </w:r>
      <w:hyperlink r:id="rId8624">
        <w:r>
          <w:rPr>
            <w:color w:val="0000EE"/>
            <w:u w:val="single"/>
          </w:rPr>
          <w:t>Sl 68.31</w:t>
        </w:r>
      </w:hyperlink>
      <w:r>
        <w:t xml:space="preserve">; </w:t>
      </w:r>
      <w:hyperlink r:id="rId8619">
        <w:r>
          <w:rPr>
            <w:color w:val="0000EE"/>
            <w:u w:val="single"/>
          </w:rPr>
          <w:t>Is 45.14</w:t>
        </w:r>
      </w:hyperlink>
      <w:r>
        <w:t xml:space="preserve">; </w:t>
      </w:r>
      <w:hyperlink r:id="rId7104">
        <w:r>
          <w:rPr>
            <w:color w:val="0000EE"/>
            <w:u w:val="single"/>
          </w:rPr>
          <w:t>Sf 3.10</w:t>
        </w:r>
      </w:hyperlink>
      <w:r>
        <w:t>).</w:t>
      </w:r>
    </w:p>
    <w:p>
      <w:r/>
      <w:r>
        <w:t xml:space="preserve">A Etiópia mencionada em </w:t>
      </w:r>
      <w:hyperlink r:id="rId4183">
        <w:r>
          <w:rPr>
            <w:color w:val="0000EE"/>
            <w:u w:val="single"/>
          </w:rPr>
          <w:t>Atos 8.27</w:t>
        </w:r>
      </w:hyperlink>
      <w:r>
        <w:t xml:space="preserve"> era o reino de Candace. "Candace" era o título dado a todas as rainhas que governavam a Etiópia. A rainha governava a partir de uma cidade chamada Meroé. Por volta de 300 d.C., Meroé havia se tornado a nova capital da Etiópia.</w:t>
      </w:r>
    </w:p>
    <w:p>
      <w:r/>
      <w:r>
        <w:rPr>
          <w:i/>
        </w:rPr>
        <w:t>Veja também</w:t>
      </w:r>
      <w:r>
        <w:t xml:space="preserve"> </w:t>
      </w:r>
      <w:r>
        <w:t>Cuxe (local)</w:t>
      </w:r>
      <w:r>
        <w:t>.</w:t>
      </w:r>
      <w:r/>
      <w:r/>
    </w:p>
    <w:p>
      <w:r/>
    </w:p>
    <w:p>
      <w:pPr>
        <w:pStyle w:val="Heading2"/>
      </w:pPr>
      <w:r>
        <w:t>Eunice</w:t>
      </w:r>
      <w:r/>
    </w:p>
    <w:p>
      <w:r/>
      <w:r>
        <w:t>A mãe do apóstolo Timóteo e filha de Lóide (</w:t>
      </w:r>
      <w:hyperlink r:id="rId7588">
        <w:r>
          <w:rPr>
            <w:color w:val="0000EE"/>
            <w:u w:val="single"/>
          </w:rPr>
          <w:t>2Tm 1.5</w:t>
        </w:r>
      </w:hyperlink>
      <w:r>
        <w:t>). Ela era esposa de um homem grego pagão. Eunice era uma judia cristã (</w:t>
      </w:r>
      <w:hyperlink r:id="rId6697">
        <w:r>
          <w:rPr>
            <w:color w:val="0000EE"/>
            <w:u w:val="single"/>
          </w:rPr>
          <w:t>At 16.1</w:t>
        </w:r>
      </w:hyperlink>
      <w:r>
        <w:t>). Ela ensinou a Timóteo as Escrituras do Antigo Testamento “desde a infância” (</w:t>
      </w:r>
      <w:hyperlink r:id="rId8625">
        <w:r>
          <w:rPr>
            <w:color w:val="0000EE"/>
            <w:u w:val="single"/>
          </w:rPr>
          <w:t>2Tm 3.15</w:t>
        </w:r>
      </w:hyperlink>
      <w:r>
        <w:t xml:space="preserve">). Eunice se converteu ao cristianismo durante a primeira viagem do apóstolo Paulo à sua casa em Listra. Isso aconteceu algum tempo antes de sua visita mencionada em </w:t>
      </w:r>
      <w:hyperlink r:id="rId6697">
        <w:r>
          <w:rPr>
            <w:color w:val="0000EE"/>
            <w:u w:val="single"/>
          </w:rPr>
          <w:t>At 16.1.</w:t>
        </w:r>
      </w:hyperlink>
    </w:p>
    <w:p>
      <w:r/>
      <w:r>
        <w:rPr>
          <w:i/>
        </w:rPr>
        <w:t>Veja também</w:t>
      </w:r>
      <w:r>
        <w:t xml:space="preserve"> </w:t>
      </w:r>
      <w:r>
        <w:t>Timóteo (Pessoa)</w:t>
      </w:r>
      <w:r>
        <w:t>.</w:t>
      </w:r>
      <w:r/>
      <w:r/>
    </w:p>
    <w:p>
      <w:r/>
    </w:p>
    <w:p>
      <w:pPr>
        <w:pStyle w:val="Heading2"/>
      </w:pPr>
      <w:r>
        <w:t>Eunuco</w:t>
      </w:r>
      <w:r/>
    </w:p>
    <w:p>
      <w:r/>
      <w:r>
        <w:t xml:space="preserve">Um oficial na corte ou na casa de um governante, muitas vezes designado para os aposentos das mulheres. Muitos desses homens eram castrados (tendo seus órgãos genitais masculinos removidos), embora nem sempre (compare </w:t>
      </w:r>
      <w:hyperlink r:id="rId8159">
        <w:r>
          <w:rPr>
            <w:color w:val="0000EE"/>
            <w:u w:val="single"/>
          </w:rPr>
          <w:t>Gn 39.1</w:t>
        </w:r>
      </w:hyperlink>
      <w:r>
        <w:t>). Eunucos eram funcionários públicos em:</w:t>
      </w:r>
    </w:p>
    <w:p>
      <w:pPr>
        <w:pStyle w:val="ListBullet"/>
        <w:spacing w:line="240" w:lineRule="auto"/>
        <w:ind w:left="720"/>
      </w:pPr>
      <w:r/>
      <w:r>
        <w:t>Israel (</w:t>
      </w:r>
      <w:hyperlink r:id="rId7161">
        <w:r>
          <w:rPr>
            <w:color w:val="0000EE"/>
            <w:u w:val="single"/>
          </w:rPr>
          <w:t>1Sm 8.15</w:t>
        </w:r>
      </w:hyperlink>
      <w:r>
        <w:t xml:space="preserve">; </w:t>
      </w:r>
      <w:hyperlink r:id="rId8626">
        <w:r>
          <w:rPr>
            <w:color w:val="0000EE"/>
            <w:u w:val="single"/>
          </w:rPr>
          <w:t>1Cr 28.1</w:t>
        </w:r>
      </w:hyperlink>
      <w:r>
        <w:t>);</w:t>
      </w:r>
    </w:p>
    <w:p>
      <w:pPr>
        <w:pStyle w:val="ListBullet"/>
        <w:spacing w:line="240" w:lineRule="auto"/>
        <w:ind w:left="720"/>
      </w:pPr>
      <w:r/>
      <w:r>
        <w:t>Pérsia (</w:t>
      </w:r>
      <w:hyperlink r:id="rId8627">
        <w:r>
          <w:rPr>
            <w:color w:val="0000EE"/>
            <w:u w:val="single"/>
          </w:rPr>
          <w:t>Es 2.3</w:t>
        </w:r>
      </w:hyperlink>
      <w:r>
        <w:t>);</w:t>
      </w:r>
    </w:p>
    <w:p>
      <w:pPr>
        <w:pStyle w:val="ListBullet"/>
        <w:spacing w:line="240" w:lineRule="auto"/>
        <w:ind w:left="720"/>
      </w:pPr>
      <w:r/>
      <w:r>
        <w:t>Etiópia (</w:t>
      </w:r>
      <w:hyperlink r:id="rId8628">
        <w:r>
          <w:rPr>
            <w:color w:val="0000EE"/>
            <w:u w:val="single"/>
          </w:rPr>
          <w:t>Jr 38.7</w:t>
        </w:r>
      </w:hyperlink>
      <w:r>
        <w:t xml:space="preserve">; </w:t>
      </w:r>
      <w:hyperlink r:id="rId4183">
        <w:r>
          <w:rPr>
            <w:color w:val="0000EE"/>
            <w:u w:val="single"/>
          </w:rPr>
          <w:t>At 8.27</w:t>
        </w:r>
      </w:hyperlink>
      <w:r>
        <w:t>);</w:t>
      </w:r>
    </w:p>
    <w:p>
      <w:pPr>
        <w:pStyle w:val="ListBullet"/>
        <w:spacing w:line="240" w:lineRule="auto"/>
        <w:ind w:left="720"/>
      </w:pPr>
      <w:r/>
      <w:r>
        <w:t>Babilônia (</w:t>
      </w:r>
      <w:hyperlink r:id="rId8629">
        <w:r>
          <w:rPr>
            <w:color w:val="0000EE"/>
            <w:u w:val="single"/>
          </w:rPr>
          <w:t>Dn 1.3</w:t>
        </w:r>
      </w:hyperlink>
      <w:r>
        <w:t>).</w:t>
      </w:r>
    </w:p>
    <w:p>
      <w:r/>
      <w:r>
        <w:t>Os eunucos não faziam parte do culto público em Israel (</w:t>
      </w:r>
      <w:hyperlink r:id="rId8630">
        <w:r>
          <w:rPr>
            <w:color w:val="0000EE"/>
            <w:u w:val="single"/>
          </w:rPr>
          <w:t>Dt 23.1</w:t>
        </w:r>
      </w:hyperlink>
      <w:r>
        <w:t>), mas o profeta Isaías referiu-se a eles no reino messiânico restaurado (</w:t>
      </w:r>
      <w:hyperlink r:id="rId8631">
        <w:r>
          <w:rPr>
            <w:color w:val="0000EE"/>
            <w:u w:val="single"/>
          </w:rPr>
          <w:t>Is 56.3–5</w:t>
        </w:r>
      </w:hyperlink>
      <w:r>
        <w:t xml:space="preserve">; veja </w:t>
      </w:r>
      <w:hyperlink r:id="rId2884">
        <w:r>
          <w:rPr>
            <w:color w:val="0000EE"/>
            <w:u w:val="single"/>
          </w:rPr>
          <w:t>At 8</w:t>
        </w:r>
      </w:hyperlink>
      <w:r>
        <w:t>).</w:t>
      </w:r>
    </w:p>
    <w:p>
      <w:r/>
      <w:r>
        <w:t xml:space="preserve">O eunuco etíope em </w:t>
      </w:r>
      <w:hyperlink r:id="rId8632">
        <w:r>
          <w:rPr>
            <w:color w:val="0000EE"/>
            <w:u w:val="single"/>
          </w:rPr>
          <w:t>At 8.27–39</w:t>
        </w:r>
      </w:hyperlink>
      <w:r>
        <w:t xml:space="preserve"> provavelmente estava encarregado da Tesouraria. Ele é creditado por espalhar o Cristianismo na Etiópia.</w:t>
      </w:r>
    </w:p>
    <w:p>
      <w:r/>
      <w:r>
        <w:t>Jesus mencionou três tipos de eunucos (</w:t>
      </w:r>
      <w:hyperlink r:id="rId4606">
        <w:r>
          <w:rPr>
            <w:color w:val="0000EE"/>
            <w:u w:val="single"/>
          </w:rPr>
          <w:t>Mt 19.12</w:t>
        </w:r>
      </w:hyperlink>
      <w:r>
        <w:t>), incluindo aqueles que se fizeram eunucos por causa do reino. Isso provavelmente se refere àqueles que decidem nunca se casar para servir ao reino (e.g., João Batista, Jesus e o apóstolo Paulo).</w:t>
      </w:r>
      <w:r/>
      <w:r/>
    </w:p>
    <w:p>
      <w:r/>
    </w:p>
    <w:p>
      <w:pPr>
        <w:pStyle w:val="Heading2"/>
      </w:pPr>
      <w:r>
        <w:t>Euroaquilão</w:t>
      </w:r>
      <w:r/>
    </w:p>
    <w:p>
      <w:r/>
      <w:r>
        <w:t xml:space="preserve">A transliteração da versão ARC da palavra grega para o poderoso vento nordeste mencionado durante a jornada de Paulo a Roma em </w:t>
      </w:r>
      <w:hyperlink r:id="rId8633">
        <w:r>
          <w:rPr>
            <w:color w:val="0000EE"/>
            <w:u w:val="single"/>
          </w:rPr>
          <w:t>At 27.14</w:t>
        </w:r>
      </w:hyperlink>
      <w:r>
        <w:t>. Este perigoso vento tempestuoso atingiu o navio repentinamente após eles terem zarpado do porto de Bons Portos na ilha de Creta. As traduções modernas da Bíblia chamam isso de "nordeste".</w:t>
      </w:r>
    </w:p>
    <w:p>
      <w:r/>
      <w:r>
        <w:rPr>
          <w:i/>
        </w:rPr>
        <w:t>Veja</w:t>
      </w:r>
      <w:r>
        <w:t xml:space="preserve"> </w:t>
      </w:r>
      <w:r>
        <w:t>Nordeste</w:t>
      </w:r>
      <w:r>
        <w:t>.</w:t>
      </w:r>
      <w:r/>
      <w:r/>
    </w:p>
    <w:p>
      <w:r/>
    </w:p>
    <w:p>
      <w:pPr>
        <w:pStyle w:val="Heading2"/>
      </w:pPr>
      <w:r>
        <w:t>Euroaquilão</w:t>
      </w:r>
      <w:r/>
    </w:p>
    <w:p>
      <w:r/>
      <w:r>
        <w:t xml:space="preserve">Um nome dado ao vento tempestuoso de </w:t>
      </w:r>
      <w:hyperlink r:id="rId8633">
        <w:r>
          <w:rPr>
            <w:color w:val="0000EE"/>
            <w:u w:val="single"/>
          </w:rPr>
          <w:t>Atos 27.14</w:t>
        </w:r>
      </w:hyperlink>
      <w:r>
        <w:t>. O nome Euroaquilão significa "o vento sudoeste que levanta ondas". Por causa disso, algumas versões em português usam o nome Euroaquilão em sua tradução. Outras Bíblias traduzem como "nordeste", seguindo uma definição que vem do inglês. Paulo se deparou com esta tempestade em sua jornada para Roma. Contra o conselho de Paulo, o navio deixou um porto perto de Laséia. Eles navegaram perto da costa de Creta enquanto uma brisa suave os empurrava. Provavelmente, quando estavam a menos de 14 quilômetros da costa, uma tempestade violenta e repentina ameaçou seu pequeno barco.</w:t>
      </w:r>
    </w:p>
    <w:p>
      <w:r/>
      <w:r>
        <w:t xml:space="preserve">Na versão NTLH é chamado de "vento muito forte". </w:t>
      </w:r>
      <w:r/>
      <w:r/>
    </w:p>
    <w:p>
      <w:r/>
    </w:p>
    <w:p>
      <w:pPr>
        <w:pStyle w:val="Heading2"/>
      </w:pPr>
      <w:r>
        <w:t>Êutico</w:t>
      </w:r>
      <w:r/>
    </w:p>
    <w:p>
      <w:r/>
      <w:r>
        <w:t xml:space="preserve">Um jovem cujo nome era comum entre escravos. Êutico aparece apenas uma vez na Bíblia, em </w:t>
      </w:r>
      <w:hyperlink r:id="rId8634">
        <w:r>
          <w:rPr>
            <w:color w:val="0000EE"/>
            <w:u w:val="single"/>
          </w:rPr>
          <w:t>Atos 20.9</w:t>
        </w:r>
      </w:hyperlink>
      <w:r>
        <w:t>. O nome Êutico tem origens gregas e significa "afortunado" ou "boa sorte". Este significado cria um contraste interessante com sua história.</w:t>
      </w:r>
    </w:p>
    <w:p>
      <w:r/>
      <w:r>
        <w:t xml:space="preserve">Êutico aparece em uma história sobre um acidente que ocorreu enquanto o apóstolo Paulo pregava na cidade de Trôade. Êutico estava sentado no parapeito de uma janela ouvindo o longo sermão de Paulo. À medida que a noite avançava, Êutico ficou com muito sono. Ele caiu em um sono profundo e depois caiu da janela, que estava no terceiro andar do prédio. As pessoas pensaram que ele havia morrido pela queda, mas o apóstolo Paulo desceu até ele e o trouxe de volta à vida (vv. </w:t>
      </w:r>
      <w:hyperlink r:id="rId8635">
        <w:r>
          <w:rPr>
            <w:color w:val="0000EE"/>
            <w:u w:val="single"/>
          </w:rPr>
          <w:t>7–12</w:t>
        </w:r>
      </w:hyperlink>
      <w:r>
        <w:t>).</w:t>
      </w:r>
      <w:r/>
      <w:r/>
    </w:p>
    <w:p>
      <w:r/>
    </w:p>
    <w:p>
      <w:pPr>
        <w:pStyle w:val="Heading2"/>
      </w:pPr>
      <w:r>
        <w:t>EVA</w:t>
      </w:r>
      <w:r/>
    </w:p>
    <w:p>
      <w:r/>
      <w:r>
        <w:t>Primeira mulher, "a mãe de todos os viventes" (</w:t>
      </w:r>
      <w:hyperlink r:id="rId8636">
        <w:r>
          <w:rPr>
            <w:color w:val="0000EE"/>
            <w:u w:val="single"/>
          </w:rPr>
          <w:t>Gn 3.20</w:t>
        </w:r>
      </w:hyperlink>
      <w:r>
        <w:t>). O livro de Gênesis relata que, após Deus ter terminado sua criação de Adão, ele viu que não era bom para Adão estar sozinho. Ele decidiu criar "uma ajudadora adequada para ele" (</w:t>
      </w:r>
      <w:hyperlink r:id="rId8637">
        <w:r>
          <w:rPr>
            <w:color w:val="0000EE"/>
            <w:u w:val="single"/>
          </w:rPr>
          <w:t>2.18</w:t>
        </w:r>
      </w:hyperlink>
      <w:r>
        <w:t xml:space="preserve">). A mulher é chamada de Ezer (em hebraico lit. "ajuda"), uma palavra que aparece em outros lugares no AT em referência a Deus como a ajuda de Israel. Fazendo Adão cair em um sono profundo, Deus tomou uma de suas costelas e a usou para formar Eva (v. </w:t>
      </w:r>
      <w:hyperlink r:id="rId8638">
        <w:r>
          <w:rPr>
            <w:color w:val="0000EE"/>
            <w:u w:val="single"/>
          </w:rPr>
          <w:t>21–25</w:t>
        </w:r>
      </w:hyperlink>
      <w:r>
        <w:t>).</w:t>
      </w:r>
    </w:p>
    <w:p>
      <w:r/>
      <w:r>
        <w:t>Eva recebeu dois nomes de Adão. O primeiro foi "mulher", uma designação genérica com conotações teológicas que denotam sua relação com o homem (</w:t>
      </w:r>
      <w:hyperlink r:id="rId8639">
        <w:r>
          <w:rPr>
            <w:color w:val="0000EE"/>
            <w:u w:val="single"/>
          </w:rPr>
          <w:t>Gn 2.23</w:t>
        </w:r>
      </w:hyperlink>
      <w:r>
        <w:t>). O segundo, Eva ("vida"), foi dado após a queda e refere-se ao seu papel na procriação da raça humana (</w:t>
      </w:r>
      <w:hyperlink r:id="rId8636">
        <w:r>
          <w:rPr>
            <w:color w:val="0000EE"/>
            <w:u w:val="single"/>
          </w:rPr>
          <w:t>3.20</w:t>
        </w:r>
      </w:hyperlink>
      <w:r>
        <w:t>).</w:t>
      </w:r>
    </w:p>
    <w:p>
      <w:r/>
      <w:r>
        <w:t>Adão e Eva são retratados vivendo no Éden, servindo a Deus e satisfazendo as necessidades um do outro. Então o mal entrou quando Eva foi tentada pela serpente a desobedecer ao mandamento de Deus, que proibia comer o fruto da árvore do conhecimento do bem e do mal (</w:t>
      </w:r>
      <w:hyperlink r:id="rId2622">
        <w:r>
          <w:rPr>
            <w:color w:val="0000EE"/>
            <w:u w:val="single"/>
          </w:rPr>
          <w:t>Gn 2.17</w:t>
        </w:r>
      </w:hyperlink>
      <w:r>
        <w:t xml:space="preserve">; </w:t>
      </w:r>
      <w:hyperlink r:id="rId8640">
        <w:r>
          <w:rPr>
            <w:color w:val="0000EE"/>
            <w:u w:val="single"/>
          </w:rPr>
          <w:t>3.3</w:t>
        </w:r>
      </w:hyperlink>
      <w:r>
        <w:t>). Enganada pela persuasão sutil da serpente, Eva transgrediu a vontade de Deus ao comer o fruto. Adão fez o mesmo quando ela trouxe um pouco para ele, embora ele não tenha sido enganado como ela foi. Ambos então reconheceram sua nudez e fizeram vestes de folhas de figueira.</w:t>
      </w:r>
    </w:p>
    <w:p>
      <w:r/>
      <w:r>
        <w:t>Quando Deus veio para comungar com eles, eles se esconderam dele. Quando ele exigiu uma explicação, Adão culpou Eva, e Eva culpou a serpente. Deus disse a Eva que, como resultado do pecado deles, o parto seria uma experiência dolorosa e seu marido a governaria (</w:t>
      </w:r>
      <w:hyperlink r:id="rId305">
        <w:r>
          <w:rPr>
            <w:color w:val="0000EE"/>
            <w:u w:val="single"/>
          </w:rPr>
          <w:t>Gn 3.16</w:t>
        </w:r>
      </w:hyperlink>
      <w:r>
        <w:t>). Eva mais tarde se tornou a mãe de Caim, Abel, Sete e outros filhos (</w:t>
      </w:r>
      <w:hyperlink r:id="rId8641">
        <w:r>
          <w:rPr>
            <w:color w:val="0000EE"/>
            <w:u w:val="single"/>
          </w:rPr>
          <w:t>4.1–2,25</w:t>
        </w:r>
      </w:hyperlink>
      <w:r>
        <w:t xml:space="preserve">; </w:t>
      </w:r>
      <w:hyperlink r:id="rId7015">
        <w:r>
          <w:rPr>
            <w:color w:val="0000EE"/>
            <w:u w:val="single"/>
          </w:rPr>
          <w:t>5.4</w:t>
        </w:r>
      </w:hyperlink>
      <w:r>
        <w:t>).</w:t>
      </w:r>
    </w:p>
    <w:p>
      <w:r/>
      <w:r>
        <w:t>Eva é mencionada duas vezes no NT. Em sua carta a Timóteo, o apóstolo Paulo referiu-se a ela ao discutir se as mulheres podiam ou não ensinar (</w:t>
      </w:r>
      <w:hyperlink r:id="rId8642">
        <w:r>
          <w:rPr>
            <w:color w:val="0000EE"/>
            <w:u w:val="single"/>
          </w:rPr>
          <w:t>1Tm 2.13</w:t>
        </w:r>
      </w:hyperlink>
      <w:r>
        <w:t xml:space="preserve">). Ele disse que uma mulher não podia ensinar ou ter autoridade sobre um homem por causa da prioridade do homem na criação e da responsabilidade de Eva pela transgressão original (veja </w:t>
      </w:r>
      <w:hyperlink r:id="rId8643">
        <w:r>
          <w:rPr>
            <w:color w:val="0000EE"/>
            <w:u w:val="single"/>
          </w:rPr>
          <w:t>2Co 11.3</w:t>
        </w:r>
      </w:hyperlink>
      <w:r>
        <w:t>).</w:t>
      </w:r>
    </w:p>
    <w:p>
      <w:r/>
      <w:r>
        <w:rPr>
          <w:i/>
        </w:rPr>
        <w:t>Veja também</w:t>
      </w:r>
      <w:r>
        <w:t xml:space="preserve"> </w:t>
      </w:r>
      <w:r>
        <w:t>Adão (Pessoa)</w:t>
      </w:r>
      <w:r>
        <w:t xml:space="preserve">; </w:t>
      </w:r>
      <w:r>
        <w:t>Jardim do Éden</w:t>
      </w:r>
      <w:r>
        <w:t>.</w:t>
      </w:r>
      <w:r/>
      <w:r/>
    </w:p>
    <w:p>
      <w:r/>
    </w:p>
    <w:p>
      <w:pPr>
        <w:pStyle w:val="Heading2"/>
      </w:pPr>
      <w:r>
        <w:t>Evangelho</w:t>
      </w:r>
      <w:r/>
    </w:p>
    <w:p>
      <w:r/>
      <w:r>
        <w:t>Termo usado para várias maneiras de descrever as boas novas de que Deus oferece salvação através de Jesus Cristo.</w:t>
      </w:r>
    </w:p>
    <w:p>
      <w:pPr>
        <w:pStyle w:val="Heading3"/>
      </w:pPr>
      <w:r>
        <w:t>Resumo</w:t>
      </w:r>
    </w:p>
    <w:p>
      <w:pPr>
        <w:pStyle w:val="ListBullet"/>
        <w:spacing w:line="240" w:lineRule="auto"/>
        <w:ind w:left="720"/>
      </w:pPr>
      <w:r/>
      <w:r>
        <w:t>A mensagem do Evangelho de Isaías</w:t>
      </w:r>
    </w:p>
    <w:p>
      <w:pPr>
        <w:pStyle w:val="ListBullet"/>
        <w:spacing w:line="240" w:lineRule="auto"/>
        <w:ind w:left="720"/>
      </w:pPr>
      <w:r/>
      <w:r>
        <w:t>O Evangelho no Novo Testamento</w:t>
      </w:r>
    </w:p>
    <w:p>
      <w:pPr>
        <w:pStyle w:val="ListBullet"/>
        <w:spacing w:line="240" w:lineRule="auto"/>
        <w:ind w:left="720"/>
      </w:pPr>
      <w:r/>
      <w:r>
        <w:t>As Boas Novas da vinda de Cristo</w:t>
      </w:r>
    </w:p>
    <w:p>
      <w:pPr>
        <w:pStyle w:val="ListBullet"/>
        <w:spacing w:line="240" w:lineRule="auto"/>
        <w:ind w:left="720"/>
      </w:pPr>
      <w:r/>
      <w:r>
        <w:t>O Evangelho de acordo com Jesus</w:t>
      </w:r>
    </w:p>
    <w:p>
      <w:pPr>
        <w:pStyle w:val="ListBullet"/>
        <w:spacing w:line="240" w:lineRule="auto"/>
        <w:ind w:left="720"/>
      </w:pPr>
      <w:r/>
      <w:r>
        <w:t>O Evangelho após a ressurreição de Jesus</w:t>
      </w:r>
    </w:p>
    <w:p>
      <w:pPr>
        <w:pStyle w:val="Heading3"/>
      </w:pPr>
      <w:r>
        <w:t>A mensagem do Evangelho de Isaías</w:t>
      </w:r>
    </w:p>
    <w:p>
      <w:r/>
      <w:r>
        <w:t>De todas as passagens citadas, as de Isaías fornecem o pano de fundo mais importante para o evangelho no Novo Testamento. De acordo com o evangelho de Isaías, é apenas Deus que salva. Não há explicação para sua ação salvadora, exceto em sua própria natureza. A libertação de Israel é imerecida. Israel não é mais digno do amor de Deus agora do que quando foi para o cativeiro. Em qualquer medida que Israel tenha pago o que era devido por seus pecados passados (</w:t>
      </w:r>
      <w:hyperlink r:id="rId8644">
        <w:r>
          <w:rPr>
            <w:color w:val="0000EE"/>
            <w:u w:val="single"/>
          </w:rPr>
          <w:t>Isaías 40.2</w:t>
        </w:r>
      </w:hyperlink>
      <w:r>
        <w:t>), ele continua a ser um povo pecador (</w:t>
      </w:r>
      <w:hyperlink r:id="rId8645">
        <w:r>
          <w:rPr>
            <w:color w:val="0000EE"/>
            <w:u w:val="single"/>
          </w:rPr>
          <w:t>42.25</w:t>
        </w:r>
      </w:hyperlink>
      <w:r>
        <w:t xml:space="preserve">; </w:t>
      </w:r>
      <w:hyperlink r:id="rId8646">
        <w:r>
          <w:rPr>
            <w:color w:val="0000EE"/>
            <w:u w:val="single"/>
          </w:rPr>
          <w:t>46.12–13</w:t>
        </w:r>
      </w:hyperlink>
      <w:r>
        <w:t xml:space="preserve">; </w:t>
      </w:r>
      <w:hyperlink r:id="rId8647">
        <w:r>
          <w:rPr>
            <w:color w:val="0000EE"/>
            <w:u w:val="single"/>
          </w:rPr>
          <w:t>48.1</w:t>
        </w:r>
      </w:hyperlink>
      <w:r>
        <w:t>). É apenas pela graça de Deus que Israel é salvo (</w:t>
      </w:r>
      <w:hyperlink r:id="rId8648">
        <w:r>
          <w:rPr>
            <w:color w:val="0000EE"/>
            <w:u w:val="single"/>
          </w:rPr>
          <w:t>55.1–7</w:t>
        </w:r>
      </w:hyperlink>
      <w:r>
        <w:t>). Pelo projeto de Deus, a salvação de Israel depende não de sua própria justiça, mas da dele (</w:t>
      </w:r>
      <w:hyperlink r:id="rId8649">
        <w:r>
          <w:rPr>
            <w:color w:val="0000EE"/>
            <w:u w:val="single"/>
          </w:rPr>
          <w:t>41.10</w:t>
        </w:r>
      </w:hyperlink>
      <w:r>
        <w:t xml:space="preserve">; </w:t>
      </w:r>
      <w:hyperlink r:id="rId8650">
        <w:r>
          <w:rPr>
            <w:color w:val="0000EE"/>
            <w:u w:val="single"/>
          </w:rPr>
          <w:t>45.24</w:t>
        </w:r>
      </w:hyperlink>
      <w:r>
        <w:t xml:space="preserve">; </w:t>
      </w:r>
      <w:hyperlink r:id="rId8651">
        <w:r>
          <w:rPr>
            <w:color w:val="0000EE"/>
            <w:u w:val="single"/>
          </w:rPr>
          <w:t>46.13</w:t>
        </w:r>
      </w:hyperlink>
      <w:r>
        <w:t xml:space="preserve">; </w:t>
      </w:r>
      <w:hyperlink r:id="rId8652">
        <w:r>
          <w:rPr>
            <w:color w:val="0000EE"/>
            <w:u w:val="single"/>
          </w:rPr>
          <w:t>51.5–6</w:t>
        </w:r>
      </w:hyperlink>
      <w:r>
        <w:t xml:space="preserve">). Não existindo justiça para recompensar, o Senhor age para </w:t>
      </w:r>
      <w:r>
        <w:rPr>
          <w:i/>
        </w:rPr>
        <w:t>criar</w:t>
      </w:r>
      <w:r>
        <w:t xml:space="preserve"> justiça em Israel (</w:t>
      </w:r>
      <w:hyperlink r:id="rId8653">
        <w:r>
          <w:rPr>
            <w:color w:val="0000EE"/>
            <w:u w:val="single"/>
          </w:rPr>
          <w:t>45.8</w:t>
        </w:r>
      </w:hyperlink>
      <w:r>
        <w:t xml:space="preserve">; </w:t>
      </w:r>
      <w:hyperlink r:id="rId3373">
        <w:r>
          <w:rPr>
            <w:color w:val="0000EE"/>
            <w:u w:val="single"/>
          </w:rPr>
          <w:t>61.3,10–11</w:t>
        </w:r>
      </w:hyperlink>
      <w:r>
        <w:t>).</w:t>
      </w:r>
    </w:p>
    <w:p>
      <w:r/>
      <w:r>
        <w:t>No entanto, como essas referências indicam, a salvação não é realizada em detrimento da justiça. A penalidade pelos pecados de Israel deve ser paga de forma integral. A misericórdia de Deus não é posta em questão. Pelo contrário, é precisamente aqui que sua misericórdia é expressa de forma mais incisiva, pois a pena não é exigida de seu povo, mas do Servo nomeado para ficar em seu lugar (</w:t>
      </w:r>
      <w:hyperlink r:id="rId8654">
        <w:r>
          <w:rPr>
            <w:color w:val="0000EE"/>
            <w:u w:val="single"/>
          </w:rPr>
          <w:t>Isaías</w:t>
        </w:r>
      </w:hyperlink>
      <w:r>
        <w:t xml:space="preserve"> </w:t>
      </w:r>
      <w:hyperlink r:id="rId8654">
        <w:r>
          <w:rPr>
            <w:color w:val="0000EE"/>
            <w:u w:val="single"/>
          </w:rPr>
          <w:t>53.4–12</w:t>
        </w:r>
      </w:hyperlink>
      <w:r>
        <w:t>). Através da obra do Servo, muitos serão justificados (</w:t>
      </w:r>
      <w:hyperlink r:id="rId8655">
        <w:r>
          <w:rPr>
            <w:color w:val="0000EE"/>
            <w:u w:val="single"/>
          </w:rPr>
          <w:t>53.11</w:t>
        </w:r>
      </w:hyperlink>
      <w:r>
        <w:t xml:space="preserve">). O Evangelista (o pregador das boas novas) virá, como previsto em </w:t>
      </w:r>
      <w:hyperlink r:id="rId8656">
        <w:r>
          <w:rPr>
            <w:color w:val="0000EE"/>
            <w:u w:val="single"/>
          </w:rPr>
          <w:t>Isaías 61</w:t>
        </w:r>
      </w:hyperlink>
      <w:r>
        <w:t xml:space="preserve">. Ele é chamado de Ungido (versículo </w:t>
      </w:r>
      <w:hyperlink r:id="rId8373">
        <w:r>
          <w:rPr>
            <w:color w:val="0000EE"/>
            <w:u w:val="single"/>
          </w:rPr>
          <w:t>1</w:t>
        </w:r>
      </w:hyperlink>
      <w:r>
        <w:t xml:space="preserve">) que proclama o ano do favor do Senhor (versículo </w:t>
      </w:r>
      <w:hyperlink r:id="rId8657">
        <w:r>
          <w:rPr>
            <w:color w:val="0000EE"/>
            <w:u w:val="single"/>
          </w:rPr>
          <w:t>2</w:t>
        </w:r>
      </w:hyperlink>
      <w:r>
        <w:t xml:space="preserve">). Deus será glorificado através de sua pregação (versículo </w:t>
      </w:r>
      <w:hyperlink r:id="rId3373">
        <w:r>
          <w:rPr>
            <w:color w:val="0000EE"/>
            <w:u w:val="single"/>
          </w:rPr>
          <w:t>3</w:t>
        </w:r>
      </w:hyperlink>
      <w:r>
        <w:t>).</w:t>
      </w:r>
    </w:p>
    <w:p>
      <w:pPr>
        <w:pStyle w:val="Heading3"/>
      </w:pPr>
      <w:r>
        <w:t>O Evangelho no Novo Testamento</w:t>
      </w:r>
    </w:p>
    <w:p>
      <w:r/>
      <w:r>
        <w:t>Em apenas dois lugares (</w:t>
      </w:r>
      <w:hyperlink r:id="rId8658">
        <w:r>
          <w:rPr>
            <w:color w:val="0000EE"/>
            <w:u w:val="single"/>
          </w:rPr>
          <w:t>Gálatas 3.8</w:t>
        </w:r>
      </w:hyperlink>
      <w:r>
        <w:t xml:space="preserve">; </w:t>
      </w:r>
      <w:hyperlink r:id="rId8659">
        <w:r>
          <w:rPr>
            <w:color w:val="0000EE"/>
            <w:u w:val="single"/>
          </w:rPr>
          <w:t>Hebreus 4.2,6</w:t>
        </w:r>
      </w:hyperlink>
      <w:r>
        <w:t xml:space="preserve">) o Novo Testamento fala da proclamação do evangelho antes da era cristã. Isso é bastante notável, dada (1) a presença inconfundível do evangelho no Antigo Testamento, (2) a extensão da terminologia do evangelho no Novo Testamento (no grego, o substantivo aparece 76 vezes, e o verbo, 54), e (3) o fato de que o Novo Testamento apresenta Cristo como o. cumprimento do Antigo Testamento e se baseia profundamente no Antigo Testamento para interpretar sua pessoa e obra. Não apenas é notável, como é muito significativo. Indica que o uso do Novo Testamento depende não apenas do </w:t>
      </w:r>
      <w:r>
        <w:rPr>
          <w:i/>
        </w:rPr>
        <w:t>caráter</w:t>
      </w:r>
      <w:r>
        <w:t xml:space="preserve"> da mensagem (verdade sobre salvação), mas também de </w:t>
      </w:r>
      <w:r>
        <w:rPr>
          <w:i/>
        </w:rPr>
        <w:t>eventos históricos</w:t>
      </w:r>
      <w:r>
        <w:t xml:space="preserve">. Quase sem exceção, o Novo Testamento restringe sua aplicação da terminologia do evangelho às proclamações feitas durante o tempo do cumprimento — a era em que a salvação prometida no Antigo Testamento é realmente cumprida. O Novo Testamento não está preocupado com promessas de salvação, mas com notícias de salvação. De acordo com </w:t>
      </w:r>
      <w:hyperlink r:id="rId8660">
        <w:r>
          <w:rPr>
            <w:color w:val="0000EE"/>
            <w:u w:val="single"/>
          </w:rPr>
          <w:t>Marcos 1.1–4</w:t>
        </w:r>
      </w:hyperlink>
      <w:r>
        <w:t xml:space="preserve">, o evangelho “começa” não no Antigo Testamento, mas com João Batista, na obra de quem a profecia do Antigo Testamento é cumprida. Em </w:t>
      </w:r>
      <w:hyperlink r:id="rId8661">
        <w:r>
          <w:rPr>
            <w:color w:val="0000EE"/>
            <w:u w:val="single"/>
          </w:rPr>
          <w:t>Romanos 1.1–5</w:t>
        </w:r>
      </w:hyperlink>
      <w:r>
        <w:t xml:space="preserve">, o evangelho é representado como uma bênção prometida no Antigo Testamento, mas não realmente dada até que Jesus venha (veja também </w:t>
      </w:r>
      <w:hyperlink r:id="rId8662">
        <w:r>
          <w:rPr>
            <w:color w:val="0000EE"/>
            <w:u w:val="single"/>
          </w:rPr>
          <w:t>Atos 13.32–33</w:t>
        </w:r>
      </w:hyperlink>
      <w:r>
        <w:t>).</w:t>
      </w:r>
    </w:p>
    <w:p>
      <w:pPr>
        <w:pStyle w:val="Heading3"/>
      </w:pPr>
      <w:r>
        <w:t>As Boas Novas da vinda de Cristo</w:t>
      </w:r>
    </w:p>
    <w:p>
      <w:r/>
      <w:r>
        <w:t>O nascimento prometido de João Batista são boas novas (</w:t>
      </w:r>
      <w:hyperlink r:id="rId8663">
        <w:r>
          <w:rPr>
            <w:color w:val="0000EE"/>
            <w:u w:val="single"/>
          </w:rPr>
          <w:t>Lucas 1.19</w:t>
        </w:r>
      </w:hyperlink>
      <w:r>
        <w:t xml:space="preserve">), não apenas para seus pais (versículos </w:t>
      </w:r>
      <w:hyperlink r:id="rId8664">
        <w:r>
          <w:rPr>
            <w:color w:val="0000EE"/>
            <w:u w:val="single"/>
          </w:rPr>
          <w:t>7, 24–25</w:t>
        </w:r>
      </w:hyperlink>
      <w:r>
        <w:t xml:space="preserve">), mas para todas as pessoas: João é enviado para prepará-los para a vinda do Messias (versículos </w:t>
      </w:r>
      <w:hyperlink r:id="rId8665">
        <w:r>
          <w:rPr>
            <w:color w:val="0000EE"/>
            <w:u w:val="single"/>
          </w:rPr>
          <w:t>14–17, 67–79</w:t>
        </w:r>
      </w:hyperlink>
      <w:r>
        <w:t>). A própria pregação de João são boas novas (</w:t>
      </w:r>
      <w:hyperlink r:id="rId8666">
        <w:r>
          <w:rPr>
            <w:color w:val="0000EE"/>
            <w:u w:val="single"/>
          </w:rPr>
          <w:t>3.18</w:t>
        </w:r>
      </w:hyperlink>
      <w:r>
        <w:t xml:space="preserve">) pela mesma razão. O Messias viria para exercer julgamento, um processo que envolve tanto condenação quanto salvação (versículos </w:t>
      </w:r>
      <w:hyperlink r:id="rId8667">
        <w:r>
          <w:rPr>
            <w:color w:val="0000EE"/>
            <w:u w:val="single"/>
          </w:rPr>
          <w:t>3–17</w:t>
        </w:r>
      </w:hyperlink>
      <w:r>
        <w:t xml:space="preserve">). A mensagem de João são as boas novas para os pecadores, pois eles são advertidos da condenação iminente e instigados a se arrepender antes que seja tarde demais (versículos </w:t>
      </w:r>
      <w:hyperlink r:id="rId8668">
        <w:r>
          <w:rPr>
            <w:color w:val="0000EE"/>
            <w:u w:val="single"/>
          </w:rPr>
          <w:t>7–9</w:t>
        </w:r>
      </w:hyperlink>
      <w:r>
        <w:t xml:space="preserve">). São boas novas para aqueles que se arrependem, pois a eles é prometido perdão (versículo </w:t>
      </w:r>
      <w:hyperlink r:id="rId3191">
        <w:r>
          <w:rPr>
            <w:color w:val="0000EE"/>
            <w:u w:val="single"/>
          </w:rPr>
          <w:t>3</w:t>
        </w:r>
      </w:hyperlink>
      <w:r>
        <w:t xml:space="preserve">) e participação na comunidade do Messias (versículo </w:t>
      </w:r>
      <w:hyperlink r:id="rId8669">
        <w:r>
          <w:rPr>
            <w:color w:val="0000EE"/>
            <w:u w:val="single"/>
          </w:rPr>
          <w:t>17</w:t>
        </w:r>
      </w:hyperlink>
      <w:r>
        <w:t>). O nascimento do próprio Salvador é anunciado como boas novas trazendo grande alegria (</w:t>
      </w:r>
      <w:hyperlink r:id="rId8670">
        <w:r>
          <w:rPr>
            <w:color w:val="0000EE"/>
            <w:u w:val="single"/>
          </w:rPr>
          <w:t>2:10–11</w:t>
        </w:r>
      </w:hyperlink>
      <w:r>
        <w:t>).</w:t>
      </w:r>
    </w:p>
    <w:p>
      <w:pPr>
        <w:pStyle w:val="Heading3"/>
      </w:pPr>
      <w:r>
        <w:t>O Evangelho de acordo com Jesus</w:t>
      </w:r>
    </w:p>
    <w:p>
      <w:pPr>
        <w:pStyle w:val="Heading4"/>
      </w:pPr>
      <w:r>
        <w:t>A vinda do Reino de Deus</w:t>
      </w:r>
    </w:p>
    <w:p>
      <w:r/>
      <w:r>
        <w:t>Jesus foi autorizado por Deus e ungido pelo Espírito Santo para proclamar o evangelho (</w:t>
      </w:r>
      <w:hyperlink r:id="rId8671">
        <w:r>
          <w:rPr>
            <w:color w:val="0000EE"/>
            <w:u w:val="single"/>
          </w:rPr>
          <w:t>Marcos 1.14</w:t>
        </w:r>
      </w:hyperlink>
      <w:r>
        <w:t xml:space="preserve">; </w:t>
      </w:r>
      <w:hyperlink r:id="rId1168">
        <w:r>
          <w:rPr>
            <w:color w:val="0000EE"/>
            <w:u w:val="single"/>
          </w:rPr>
          <w:t>Lucas 4.18</w:t>
        </w:r>
      </w:hyperlink>
      <w:r>
        <w:t>). No centro de sua pregação está o anúncio “Chegou a hora… e o reino de Deus está próximo. Arrependam-se e creiam no evangelho!” (</w:t>
      </w:r>
      <w:hyperlink r:id="rId2608">
        <w:r>
          <w:rPr>
            <w:color w:val="0000EE"/>
            <w:u w:val="single"/>
          </w:rPr>
          <w:t>Marcos 1.15</w:t>
        </w:r>
      </w:hyperlink>
      <w:r>
        <w:t xml:space="preserve">). (Para obter mais referências sobre este evangelho, veja </w:t>
      </w:r>
      <w:hyperlink r:id="rId8672">
        <w:r>
          <w:rPr>
            <w:color w:val="0000EE"/>
            <w:u w:val="single"/>
          </w:rPr>
          <w:t>Mateus 4.23</w:t>
        </w:r>
      </w:hyperlink>
      <w:r>
        <w:t xml:space="preserve">; </w:t>
      </w:r>
      <w:hyperlink r:id="rId8673">
        <w:r>
          <w:rPr>
            <w:color w:val="0000EE"/>
            <w:u w:val="single"/>
          </w:rPr>
          <w:t>9.35</w:t>
        </w:r>
      </w:hyperlink>
      <w:r>
        <w:t xml:space="preserve">; </w:t>
      </w:r>
      <w:hyperlink r:id="rId8031">
        <w:r>
          <w:rPr>
            <w:color w:val="0000EE"/>
            <w:u w:val="single"/>
          </w:rPr>
          <w:t>24.14</w:t>
        </w:r>
      </w:hyperlink>
      <w:r>
        <w:t xml:space="preserve">; </w:t>
      </w:r>
      <w:hyperlink r:id="rId8674">
        <w:r>
          <w:rPr>
            <w:color w:val="0000EE"/>
            <w:u w:val="single"/>
          </w:rPr>
          <w:t>26.13</w:t>
        </w:r>
      </w:hyperlink>
      <w:r>
        <w:t xml:space="preserve">; </w:t>
      </w:r>
      <w:hyperlink r:id="rId8675">
        <w:r>
          <w:rPr>
            <w:color w:val="0000EE"/>
            <w:u w:val="single"/>
          </w:rPr>
          <w:t>Marcos 8.35</w:t>
        </w:r>
      </w:hyperlink>
      <w:r>
        <w:t xml:space="preserve">; </w:t>
      </w:r>
      <w:hyperlink r:id="rId8676">
        <w:r>
          <w:rPr>
            <w:color w:val="0000EE"/>
            <w:u w:val="single"/>
          </w:rPr>
          <w:t>10.29</w:t>
        </w:r>
      </w:hyperlink>
      <w:r>
        <w:t xml:space="preserve">; </w:t>
      </w:r>
      <w:hyperlink r:id="rId8677">
        <w:r>
          <w:rPr>
            <w:color w:val="0000EE"/>
            <w:u w:val="single"/>
          </w:rPr>
          <w:t>13.10</w:t>
        </w:r>
      </w:hyperlink>
      <w:r>
        <w:t xml:space="preserve">; </w:t>
      </w:r>
      <w:hyperlink r:id="rId8678">
        <w:r>
          <w:rPr>
            <w:color w:val="0000EE"/>
            <w:u w:val="single"/>
          </w:rPr>
          <w:t>14.9</w:t>
        </w:r>
      </w:hyperlink>
      <w:r>
        <w:t xml:space="preserve">; </w:t>
      </w:r>
      <w:hyperlink r:id="rId8679">
        <w:r>
          <w:rPr>
            <w:color w:val="0000EE"/>
            <w:u w:val="single"/>
          </w:rPr>
          <w:t>Lucas 4.43</w:t>
        </w:r>
      </w:hyperlink>
      <w:r>
        <w:t xml:space="preserve">; </w:t>
      </w:r>
      <w:hyperlink r:id="rId8680">
        <w:r>
          <w:rPr>
            <w:color w:val="0000EE"/>
            <w:u w:val="single"/>
          </w:rPr>
          <w:t>8.1</w:t>
        </w:r>
      </w:hyperlink>
      <w:r>
        <w:t xml:space="preserve">; </w:t>
      </w:r>
      <w:hyperlink r:id="rId8681">
        <w:r>
          <w:rPr>
            <w:color w:val="0000EE"/>
            <w:u w:val="single"/>
          </w:rPr>
          <w:t>16.16</w:t>
        </w:r>
      </w:hyperlink>
      <w:r>
        <w:t>). A mensagem são boas novas por várias razões:</w:t>
      </w:r>
    </w:p>
    <w:p>
      <w:pPr>
        <w:pStyle w:val="ListNumber"/>
        <w:spacing w:line="240" w:lineRule="auto"/>
        <w:ind w:left="720"/>
      </w:pPr>
      <w:r/>
      <w:r>
        <w:t>O reino está chegando. O Deus que Jesus proclama é o governante final sobre tudo o que ele fez. No entanto, apesar deste fato, seu governo é incompleto: sua vontade não é feita na terra como é no céu. O que é errado, e não o que é certo, prevalece. Mas de acordo com Jesus, essas condições não são finais. Quando o reino vier, o governo de Deus será completo. O erro será julgado, a justiça estabelecida e seu povo abençoado.</w:t>
      </w:r>
    </w:p>
    <w:p>
      <w:pPr>
        <w:pStyle w:val="ListNumber"/>
        <w:spacing w:line="240" w:lineRule="auto"/>
        <w:ind w:left="720"/>
      </w:pPr>
      <w:r/>
      <w:r>
        <w:t xml:space="preserve">O reino está começando </w:t>
      </w:r>
      <w:r>
        <w:rPr>
          <w:i/>
        </w:rPr>
        <w:t>agora</w:t>
      </w:r>
      <w:r>
        <w:t>. “Chegou a hora”, declara Jesus (</w:t>
      </w:r>
      <w:hyperlink r:id="rId2608">
        <w:r>
          <w:rPr>
            <w:color w:val="0000EE"/>
            <w:u w:val="single"/>
          </w:rPr>
          <w:t>Marcos 1.15a</w:t>
        </w:r>
      </w:hyperlink>
      <w:r>
        <w:t>). O tempo designado para a realização das promessas do Antigo Testamento chegou.</w:t>
      </w:r>
    </w:p>
    <w:p>
      <w:pPr>
        <w:pStyle w:val="ListNumber"/>
        <w:spacing w:line="240" w:lineRule="auto"/>
        <w:ind w:left="720"/>
      </w:pPr>
      <w:r/>
      <w:r>
        <w:t>A consumação do reino portanto, não é mais uma perspectiva distante. A realização completa do governo de Deus está “perto” (</w:t>
      </w:r>
      <w:hyperlink r:id="rId2608">
        <w:r>
          <w:rPr>
            <w:color w:val="0000EE"/>
            <w:u w:val="single"/>
          </w:rPr>
          <w:t>Marcos 1:15b</w:t>
        </w:r>
      </w:hyperlink>
      <w:r>
        <w:t>).</w:t>
      </w:r>
    </w:p>
    <w:p>
      <w:pPr>
        <w:pStyle w:val="ListNumber"/>
        <w:spacing w:line="240" w:lineRule="auto"/>
        <w:ind w:left="720"/>
      </w:pPr>
      <w:r/>
      <w:r>
        <w:t>Deus está estabelecendo seu governo para um propósito salvador. Isso está implícito no chamado de Jesus para o arrependimento (</w:t>
      </w:r>
      <w:hyperlink r:id="rId2608">
        <w:r>
          <w:rPr>
            <w:color w:val="0000EE"/>
            <w:u w:val="single"/>
          </w:rPr>
          <w:t>Marcos 1:15c</w:t>
        </w:r>
      </w:hyperlink>
      <w:r>
        <w:t>). Isto fica especialmente claro nas passagens às quais agora nos voltamos.</w:t>
      </w:r>
    </w:p>
    <w:p>
      <w:pPr>
        <w:pStyle w:val="Heading4"/>
      </w:pPr>
      <w:r>
        <w:t>A salvação dos pobres</w:t>
      </w:r>
    </w:p>
    <w:p>
      <w:r/>
      <w:r>
        <w:t xml:space="preserve">Convidado para ler as Escrituras na sinagoga em Nazaré, Jesus se volta para </w:t>
      </w:r>
      <w:hyperlink r:id="rId8656">
        <w:r>
          <w:rPr>
            <w:color w:val="0000EE"/>
            <w:u w:val="single"/>
          </w:rPr>
          <w:t>Isaías 61</w:t>
        </w:r>
      </w:hyperlink>
      <w:r>
        <w:t>: “O Espírito do Senhor DEUS está sobre mim, porque o SENHOR me ungiu para pregar boas novas aos pobres. Ele me enviou para curar os de coração partido, para proclamar liberdade aos cativos e liberdade aos prisioneiros, para proclamar o ano do favor do Senhor” (</w:t>
      </w:r>
      <w:hyperlink r:id="rId8682">
        <w:r>
          <w:rPr>
            <w:color w:val="0000EE"/>
            <w:u w:val="single"/>
          </w:rPr>
          <w:t>Lucas 4.18–19</w:t>
        </w:r>
      </w:hyperlink>
      <w:r>
        <w:t>).</w:t>
      </w:r>
    </w:p>
    <w:p>
      <w:r/>
      <w:r>
        <w:t xml:space="preserve">Tendo lido a profecia, Jesus anuncia seu cumprimento em seu próprio ministério (versículo </w:t>
      </w:r>
      <w:hyperlink r:id="rId8683">
        <w:r>
          <w:rPr>
            <w:color w:val="0000EE"/>
            <w:u w:val="single"/>
          </w:rPr>
          <w:t>21</w:t>
        </w:r>
      </w:hyperlink>
      <w:r>
        <w:t xml:space="preserve">). Incluídos entre aqueles a quem Jesus veio libertar, estão os fisicamente enfermos, como os cegos (versículo </w:t>
      </w:r>
      <w:hyperlink r:id="rId1168">
        <w:r>
          <w:rPr>
            <w:color w:val="0000EE"/>
            <w:u w:val="single"/>
          </w:rPr>
          <w:t>18</w:t>
        </w:r>
      </w:hyperlink>
      <w:r>
        <w:t xml:space="preserve">) e os leprosos (versículo </w:t>
      </w:r>
      <w:hyperlink r:id="rId7977">
        <w:r>
          <w:rPr>
            <w:color w:val="0000EE"/>
            <w:u w:val="single"/>
          </w:rPr>
          <w:t>27</w:t>
        </w:r>
      </w:hyperlink>
      <w:r>
        <w:t xml:space="preserve">). (Compare as referências aos milagres de cura nos versículos </w:t>
      </w:r>
      <w:hyperlink r:id="rId8684">
        <w:r>
          <w:rPr>
            <w:color w:val="0000EE"/>
            <w:u w:val="single"/>
          </w:rPr>
          <w:t>23,33</w:t>
        </w:r>
      </w:hyperlink>
      <w:r>
        <w:t>–</w:t>
      </w:r>
      <w:hyperlink r:id="rId8684">
        <w:r>
          <w:rPr>
            <w:color w:val="0000EE"/>
            <w:u w:val="single"/>
          </w:rPr>
          <w:t>41</w:t>
        </w:r>
      </w:hyperlink>
      <w:r>
        <w:t xml:space="preserve">; a conexão estreita entre evangelizar e curar em </w:t>
      </w:r>
      <w:hyperlink r:id="rId8672">
        <w:r>
          <w:rPr>
            <w:color w:val="0000EE"/>
            <w:u w:val="single"/>
          </w:rPr>
          <w:t>Mateus</w:t>
        </w:r>
      </w:hyperlink>
      <w:r>
        <w:t xml:space="preserve"> 4.23</w:t>
      </w:r>
      <w:hyperlink r:id="rId8673">
        <w:r>
          <w:rPr>
            <w:color w:val="0000EE"/>
            <w:u w:val="single"/>
          </w:rPr>
          <w:t>; 9.35</w:t>
        </w:r>
      </w:hyperlink>
      <w:r>
        <w:t xml:space="preserve">; </w:t>
      </w:r>
      <w:hyperlink r:id="rId4641">
        <w:r>
          <w:rPr>
            <w:color w:val="0000EE"/>
            <w:u w:val="single"/>
          </w:rPr>
          <w:t>11.5</w:t>
        </w:r>
      </w:hyperlink>
      <w:r>
        <w:t xml:space="preserve">; </w:t>
      </w:r>
      <w:hyperlink r:id="rId8685">
        <w:r>
          <w:rPr>
            <w:color w:val="0000EE"/>
            <w:u w:val="single"/>
          </w:rPr>
          <w:t>Lucas 7.21</w:t>
        </w:r>
      </w:hyperlink>
      <w:r>
        <w:t>–</w:t>
      </w:r>
      <w:hyperlink r:id="rId8685">
        <w:r>
          <w:rPr>
            <w:color w:val="0000EE"/>
            <w:u w:val="single"/>
          </w:rPr>
          <w:t>22</w:t>
        </w:r>
      </w:hyperlink>
      <w:r>
        <w:t xml:space="preserve">; </w:t>
      </w:r>
      <w:hyperlink r:id="rId8686">
        <w:r>
          <w:rPr>
            <w:color w:val="0000EE"/>
            <w:u w:val="single"/>
          </w:rPr>
          <w:t>9.6</w:t>
        </w:r>
      </w:hyperlink>
      <w:r>
        <w:t xml:space="preserve">; e a descrição em </w:t>
      </w:r>
      <w:hyperlink r:id="rId8687">
        <w:r>
          <w:rPr>
            <w:color w:val="0000EE"/>
            <w:u w:val="single"/>
          </w:rPr>
          <w:t>Mt 12.22</w:t>
        </w:r>
      </w:hyperlink>
      <w:r>
        <w:t>–</w:t>
      </w:r>
      <w:hyperlink r:id="rId8687">
        <w:r>
          <w:rPr>
            <w:color w:val="0000EE"/>
            <w:u w:val="single"/>
          </w:rPr>
          <w:t>29</w:t>
        </w:r>
      </w:hyperlink>
      <w:r>
        <w:t xml:space="preserve">; </w:t>
      </w:r>
      <w:hyperlink r:id="rId8688">
        <w:r>
          <w:rPr>
            <w:color w:val="0000EE"/>
            <w:u w:val="single"/>
          </w:rPr>
          <w:t>Lucas 13.11</w:t>
        </w:r>
      </w:hyperlink>
      <w:r>
        <w:t>–</w:t>
      </w:r>
      <w:hyperlink r:id="rId8688">
        <w:r>
          <w:rPr>
            <w:color w:val="0000EE"/>
            <w:u w:val="single"/>
          </w:rPr>
          <w:t>16</w:t>
        </w:r>
      </w:hyperlink>
      <w:r>
        <w:t>, dos fisicamente aflitos como cativos de Satanás agora libertados por Jesus). Também estão incluídos os materialmente pobres — pessoas como a viúva ajudada por Elias durante a fome (</w:t>
      </w:r>
      <w:hyperlink r:id="rId7910">
        <w:r>
          <w:rPr>
            <w:color w:val="0000EE"/>
            <w:u w:val="single"/>
          </w:rPr>
          <w:t>Lucas 4.25</w:t>
        </w:r>
      </w:hyperlink>
      <w:r>
        <w:t>–</w:t>
      </w:r>
      <w:hyperlink r:id="rId7910">
        <w:r>
          <w:rPr>
            <w:color w:val="0000EE"/>
            <w:u w:val="single"/>
          </w:rPr>
          <w:t>26</w:t>
        </w:r>
      </w:hyperlink>
      <w:r>
        <w:t xml:space="preserve">). É o literalmente pobre e faminto quem Jesus chama de “felizes” em </w:t>
      </w:r>
      <w:hyperlink r:id="rId8689">
        <w:r>
          <w:rPr>
            <w:color w:val="0000EE"/>
            <w:u w:val="single"/>
          </w:rPr>
          <w:t>Lucas 6.20</w:t>
        </w:r>
      </w:hyperlink>
      <w:r>
        <w:t>–</w:t>
      </w:r>
      <w:hyperlink r:id="rId8689">
        <w:r>
          <w:rPr>
            <w:color w:val="0000EE"/>
            <w:u w:val="single"/>
          </w:rPr>
          <w:t>21</w:t>
        </w:r>
      </w:hyperlink>
      <w:r>
        <w:t>.</w:t>
      </w:r>
    </w:p>
    <w:p>
      <w:r/>
      <w:r>
        <w:t xml:space="preserve">No entanto, é principalmente a pobreza “espiritual” que está em vista. Ainda aplicando </w:t>
      </w:r>
      <w:hyperlink r:id="rId8656">
        <w:r>
          <w:rPr>
            <w:color w:val="0000EE"/>
            <w:u w:val="single"/>
          </w:rPr>
          <w:t>Isaías 61</w:t>
        </w:r>
      </w:hyperlink>
      <w:r>
        <w:t xml:space="preserve">, Jesus fala em </w:t>
      </w:r>
      <w:hyperlink r:id="rId8690">
        <w:r>
          <w:rPr>
            <w:color w:val="0000EE"/>
            <w:u w:val="single"/>
          </w:rPr>
          <w:t>Mateus 5.3</w:t>
        </w:r>
      </w:hyperlink>
      <w:r>
        <w:t xml:space="preserve"> dos “pobres em espírito”. Essas são pessoas quebrantadas e entristecidas pela miséria e pobreza, opressão e injustiça, sofrimento e morte, apostasia nacional e pecado pessoal — pessoas que em sua crise se voltam para Deus e esperam ansiosamente que ele traga justiça, conceda sua misericórdia e estabeleça seu reino. É para essas pessoas que Jesus traz boas novas (</w:t>
      </w:r>
      <w:hyperlink r:id="rId8691">
        <w:r>
          <w:rPr>
            <w:color w:val="0000EE"/>
            <w:u w:val="single"/>
          </w:rPr>
          <w:t>Mateus 5.3</w:t>
        </w:r>
      </w:hyperlink>
      <w:r>
        <w:t>–</w:t>
      </w:r>
      <w:hyperlink r:id="rId8691">
        <w:r>
          <w:rPr>
            <w:color w:val="0000EE"/>
            <w:u w:val="single"/>
          </w:rPr>
          <w:t>10</w:t>
        </w:r>
      </w:hyperlink>
      <w:r>
        <w:t>). Deus enviou Jesus para inaugurar o reino, para resgatar os perdidos, libertar os escravos, remediar os aflitos, cicatrizar os corações que estão partidos e perdoar os pecadores (</w:t>
      </w:r>
      <w:hyperlink r:id="rId8692">
        <w:r>
          <w:rPr>
            <w:color w:val="0000EE"/>
            <w:u w:val="single"/>
          </w:rPr>
          <w:t>Marcos 2.5,10,17</w:t>
        </w:r>
      </w:hyperlink>
      <w:r>
        <w:t xml:space="preserve">; </w:t>
      </w:r>
      <w:hyperlink r:id="rId921">
        <w:r>
          <w:rPr>
            <w:color w:val="0000EE"/>
            <w:u w:val="single"/>
          </w:rPr>
          <w:t>10.45</w:t>
        </w:r>
      </w:hyperlink>
      <w:r>
        <w:t xml:space="preserve">; </w:t>
      </w:r>
      <w:hyperlink r:id="rId8693">
        <w:r>
          <w:rPr>
            <w:color w:val="0000EE"/>
            <w:u w:val="single"/>
          </w:rPr>
          <w:t>Lucas 4.18</w:t>
        </w:r>
      </w:hyperlink>
      <w:r>
        <w:t>–</w:t>
      </w:r>
      <w:hyperlink r:id="rId8693">
        <w:r>
          <w:rPr>
            <w:color w:val="0000EE"/>
            <w:u w:val="single"/>
          </w:rPr>
          <w:t>21</w:t>
        </w:r>
      </w:hyperlink>
      <w:r>
        <w:t xml:space="preserve">; </w:t>
      </w:r>
      <w:hyperlink r:id="rId8694">
        <w:r>
          <w:rPr>
            <w:color w:val="0000EE"/>
            <w:u w:val="single"/>
          </w:rPr>
          <w:t>7.48</w:t>
        </w:r>
      </w:hyperlink>
      <w:r>
        <w:t>–</w:t>
      </w:r>
      <w:hyperlink r:id="rId8694">
        <w:r>
          <w:rPr>
            <w:color w:val="0000EE"/>
            <w:u w:val="single"/>
          </w:rPr>
          <w:t>49</w:t>
        </w:r>
      </w:hyperlink>
      <w:r>
        <w:t xml:space="preserve">; </w:t>
      </w:r>
      <w:hyperlink r:id="rId1169">
        <w:r>
          <w:rPr>
            <w:color w:val="0000EE"/>
            <w:u w:val="single"/>
          </w:rPr>
          <w:t>15.1</w:t>
        </w:r>
      </w:hyperlink>
      <w:r>
        <w:t>–</w:t>
      </w:r>
      <w:hyperlink r:id="rId1169">
        <w:r>
          <w:rPr>
            <w:color w:val="0000EE"/>
            <w:u w:val="single"/>
          </w:rPr>
          <w:t>32</w:t>
        </w:r>
      </w:hyperlink>
      <w:r>
        <w:t xml:space="preserve">; </w:t>
      </w:r>
      <w:hyperlink r:id="rId8695">
        <w:r>
          <w:rPr>
            <w:color w:val="0000EE"/>
            <w:u w:val="single"/>
          </w:rPr>
          <w:t>19.10</w:t>
        </w:r>
      </w:hyperlink>
      <w:r>
        <w:t>).</w:t>
      </w:r>
    </w:p>
    <w:p>
      <w:pPr>
        <w:pStyle w:val="Heading4"/>
      </w:pPr>
      <w:r>
        <w:t>O presente da graça</w:t>
      </w:r>
    </w:p>
    <w:p>
      <w:r/>
      <w:r>
        <w:t>A chegada do reino não é o efeito ou recompensa do esforço humano, mas a resposta de Deus ao dilema humano — o presente de seu favor (</w:t>
      </w:r>
      <w:hyperlink r:id="rId8696">
        <w:r>
          <w:rPr>
            <w:color w:val="0000EE"/>
            <w:u w:val="single"/>
          </w:rPr>
          <w:t>Lucas 12.32</w:t>
        </w:r>
      </w:hyperlink>
      <w:r>
        <w:t>). Correspondentemente, a explicação para a salvação dos pobres não está em lugar algum, mas no próprio caráter de Deus. Como o próprio pródigo [da parábola do filho pródigo] reconheceu, ele dificilmente merecia ser o servo de seu pai, muito menos seu filho. Nada do que ele fez, nem mesmo seu arrependimento, explicava o amor do pai (</w:t>
      </w:r>
      <w:hyperlink r:id="rId8697">
        <w:r>
          <w:rPr>
            <w:color w:val="0000EE"/>
            <w:u w:val="single"/>
          </w:rPr>
          <w:t>15.11</w:t>
        </w:r>
      </w:hyperlink>
      <w:r>
        <w:t>–</w:t>
      </w:r>
      <w:hyperlink r:id="rId8697">
        <w:r>
          <w:rPr>
            <w:color w:val="0000EE"/>
            <w:u w:val="single"/>
          </w:rPr>
          <w:t>32</w:t>
        </w:r>
      </w:hyperlink>
      <w:r>
        <w:t>).</w:t>
      </w:r>
    </w:p>
    <w:p>
      <w:r/>
      <w:r>
        <w:t xml:space="preserve">Na parábola de </w:t>
      </w:r>
      <w:hyperlink r:id="rId8698">
        <w:r>
          <w:rPr>
            <w:color w:val="0000EE"/>
            <w:u w:val="single"/>
          </w:rPr>
          <w:t>Mateus 20.1</w:t>
        </w:r>
      </w:hyperlink>
      <w:r>
        <w:t>–</w:t>
      </w:r>
      <w:hyperlink r:id="rId8698">
        <w:r>
          <w:rPr>
            <w:color w:val="0000EE"/>
            <w:u w:val="single"/>
          </w:rPr>
          <w:t>16</w:t>
        </w:r>
      </w:hyperlink>
      <w:r>
        <w:t xml:space="preserve">, é devido inteiramente à bondade do empregador que os últimos trabalhadores a serem contratados recebam o salário de um dia inteiro. O primeiro devedor na história de </w:t>
      </w:r>
      <w:hyperlink r:id="rId7384">
        <w:r>
          <w:rPr>
            <w:color w:val="0000EE"/>
            <w:u w:val="single"/>
          </w:rPr>
          <w:t>Mateus 18.23</w:t>
        </w:r>
      </w:hyperlink>
      <w:r>
        <w:t>–</w:t>
      </w:r>
      <w:hyperlink r:id="rId7384">
        <w:r>
          <w:rPr>
            <w:color w:val="0000EE"/>
            <w:u w:val="single"/>
          </w:rPr>
          <w:t>35</w:t>
        </w:r>
      </w:hyperlink>
      <w:r>
        <w:t xml:space="preserve"> não merecia nada a mais do que o direito de ser vendido como escravo. Em vez disso, o rei cancelou sua enorme dívida. O cobrador de impostos, que não tinha nada para oferecer a Deus além de uma confissão de pecado e um pedido de misericórdia, foi para casa justificado (</w:t>
      </w:r>
      <w:hyperlink r:id="rId8699">
        <w:r>
          <w:rPr>
            <w:color w:val="0000EE"/>
            <w:u w:val="single"/>
          </w:rPr>
          <w:t>Lucas 18.13</w:t>
        </w:r>
      </w:hyperlink>
      <w:r>
        <w:t>–</w:t>
      </w:r>
      <w:hyperlink r:id="rId8699">
        <w:r>
          <w:rPr>
            <w:color w:val="0000EE"/>
            <w:u w:val="single"/>
          </w:rPr>
          <w:t>14</w:t>
        </w:r>
      </w:hyperlink>
      <w:r>
        <w:t xml:space="preserve">). O mesmo vale para os mais virtuosos entre os pobres, como as pessoas descritas em </w:t>
      </w:r>
      <w:hyperlink r:id="rId8700">
        <w:r>
          <w:rPr>
            <w:color w:val="0000EE"/>
            <w:u w:val="single"/>
          </w:rPr>
          <w:t>Mateus 5.7</w:t>
        </w:r>
      </w:hyperlink>
      <w:r>
        <w:t>–</w:t>
      </w:r>
      <w:hyperlink r:id="rId8700">
        <w:r>
          <w:rPr>
            <w:color w:val="0000EE"/>
            <w:u w:val="single"/>
          </w:rPr>
          <w:t>10</w:t>
        </w:r>
      </w:hyperlink>
      <w:r>
        <w:t>. Sua virtude é real, não imaginada. No entanto, ao guardar os mandamentos de Deus, eles não o colocam em sua dívida. Eles estão simplesmente fazendo seu dever (</w:t>
      </w:r>
      <w:hyperlink r:id="rId8701">
        <w:r>
          <w:rPr>
            <w:color w:val="0000EE"/>
            <w:u w:val="single"/>
          </w:rPr>
          <w:t>Lucas 17:7</w:t>
        </w:r>
      </w:hyperlink>
      <w:r>
        <w:t>–</w:t>
      </w:r>
      <w:hyperlink r:id="rId8701">
        <w:r>
          <w:rPr>
            <w:color w:val="0000EE"/>
            <w:u w:val="single"/>
          </w:rPr>
          <w:t>10</w:t>
        </w:r>
      </w:hyperlink>
      <w:r>
        <w:t>).</w:t>
      </w:r>
    </w:p>
    <w:p>
      <w:r/>
      <w:r>
        <w:t>Além disso, até os mais misericordiosos precisam de misericórdia divina (</w:t>
      </w:r>
      <w:hyperlink r:id="rId8702">
        <w:r>
          <w:rPr>
            <w:color w:val="0000EE"/>
            <w:u w:val="single"/>
          </w:rPr>
          <w:t>Mateus 5.7</w:t>
        </w:r>
      </w:hyperlink>
      <w:r>
        <w:t xml:space="preserve">). Pois até mesmo aqueles que mais desejam obedecer à lei de Deus são incapazes de satisfazer todos os seus requisitos (compare </w:t>
      </w:r>
      <w:hyperlink r:id="rId8703">
        <w:r>
          <w:rPr>
            <w:color w:val="0000EE"/>
            <w:u w:val="single"/>
          </w:rPr>
          <w:t>11.28</w:t>
        </w:r>
      </w:hyperlink>
      <w:r>
        <w:t>–</w:t>
      </w:r>
      <w:hyperlink r:id="rId8703">
        <w:r>
          <w:rPr>
            <w:color w:val="0000EE"/>
            <w:u w:val="single"/>
          </w:rPr>
          <w:t>30</w:t>
        </w:r>
      </w:hyperlink>
      <w:r>
        <w:t xml:space="preserve">). O primeiro servo em </w:t>
      </w:r>
      <w:hyperlink r:id="rId7384">
        <w:r>
          <w:rPr>
            <w:color w:val="0000EE"/>
            <w:u w:val="single"/>
          </w:rPr>
          <w:t>Mateus 18.23</w:t>
        </w:r>
      </w:hyperlink>
      <w:r>
        <w:t>–</w:t>
      </w:r>
      <w:hyperlink r:id="rId7384">
        <w:r>
          <w:rPr>
            <w:color w:val="0000EE"/>
            <w:u w:val="single"/>
          </w:rPr>
          <w:t>35</w:t>
        </w:r>
      </w:hyperlink>
      <w:r>
        <w:t xml:space="preserve"> deve muito mais dinheiro do que alguém em tal situação poderia pagar. Isso serve para magnificar a generosidade do rei. A graça depende de seu exercício da incapacidade de seus objetos (</w:t>
      </w:r>
      <w:hyperlink r:id="rId8704">
        <w:r>
          <w:rPr>
            <w:color w:val="0000EE"/>
            <w:u w:val="single"/>
          </w:rPr>
          <w:t>Lucas 14.12</w:t>
        </w:r>
      </w:hyperlink>
      <w:r>
        <w:t>–</w:t>
      </w:r>
      <w:hyperlink r:id="rId8704">
        <w:r>
          <w:rPr>
            <w:color w:val="0000EE"/>
            <w:u w:val="single"/>
          </w:rPr>
          <w:t>14</w:t>
        </w:r>
      </w:hyperlink>
      <w:r>
        <w:t>).</w:t>
      </w:r>
    </w:p>
    <w:p>
      <w:pPr>
        <w:pStyle w:val="Heading4"/>
      </w:pPr>
      <w:r>
        <w:t>O chamado para a salvação</w:t>
      </w:r>
    </w:p>
    <w:p>
      <w:r/>
      <w:r>
        <w:t>Os israelitas são, sem exceção, um povo pecador, todos eles necessitam da salvação que Jesus traz (</w:t>
      </w:r>
      <w:hyperlink r:id="rId8705">
        <w:r>
          <w:rPr>
            <w:color w:val="0000EE"/>
            <w:u w:val="single"/>
          </w:rPr>
          <w:t>Mateus 1.21</w:t>
        </w:r>
      </w:hyperlink>
      <w:r>
        <w:t xml:space="preserve">; </w:t>
      </w:r>
      <w:hyperlink r:id="rId8706">
        <w:r>
          <w:rPr>
            <w:color w:val="0000EE"/>
            <w:u w:val="single"/>
          </w:rPr>
          <w:t>Lucas 1.77</w:t>
        </w:r>
      </w:hyperlink>
      <w:r>
        <w:t>). Em demonstração da graça de Deus, Jesus proclamou seu evangelho para toda a nação (</w:t>
      </w:r>
      <w:hyperlink r:id="rId8672">
        <w:r>
          <w:rPr>
            <w:color w:val="0000EE"/>
            <w:u w:val="single"/>
          </w:rPr>
          <w:t>Mateus 4.23</w:t>
        </w:r>
      </w:hyperlink>
      <w:r>
        <w:t xml:space="preserve">; </w:t>
      </w:r>
      <w:hyperlink r:id="rId8673">
        <w:r>
          <w:rPr>
            <w:color w:val="0000EE"/>
            <w:u w:val="single"/>
          </w:rPr>
          <w:t>9.35</w:t>
        </w:r>
      </w:hyperlink>
      <w:r>
        <w:t xml:space="preserve">; </w:t>
      </w:r>
      <w:hyperlink r:id="rId8707">
        <w:r>
          <w:rPr>
            <w:color w:val="0000EE"/>
            <w:u w:val="single"/>
          </w:rPr>
          <w:t>15.24</w:t>
        </w:r>
      </w:hyperlink>
      <w:r>
        <w:t xml:space="preserve">; </w:t>
      </w:r>
      <w:hyperlink r:id="rId8679">
        <w:r>
          <w:rPr>
            <w:color w:val="0000EE"/>
            <w:u w:val="single"/>
          </w:rPr>
          <w:t>Lucas 4.43</w:t>
        </w:r>
      </w:hyperlink>
      <w:r>
        <w:t xml:space="preserve">; </w:t>
      </w:r>
      <w:hyperlink r:id="rId8686">
        <w:r>
          <w:rPr>
            <w:color w:val="0000EE"/>
            <w:u w:val="single"/>
          </w:rPr>
          <w:t>9.6</w:t>
        </w:r>
      </w:hyperlink>
      <w:r>
        <w:t xml:space="preserve">; </w:t>
      </w:r>
      <w:hyperlink r:id="rId8708">
        <w:r>
          <w:rPr>
            <w:color w:val="0000EE"/>
            <w:u w:val="single"/>
          </w:rPr>
          <w:t>20.1</w:t>
        </w:r>
      </w:hyperlink>
      <w:r>
        <w:t>). Do mais respeitável ao menor, todos são convocados para se submeter ao governo de Deus, todos são convidados a vir e participar livremente do banquete que ele serviu (</w:t>
      </w:r>
      <w:hyperlink r:id="rId8709">
        <w:r>
          <w:rPr>
            <w:color w:val="0000EE"/>
            <w:u w:val="single"/>
          </w:rPr>
          <w:t>Lucas 14.16</w:t>
        </w:r>
      </w:hyperlink>
      <w:r>
        <w:t>–</w:t>
      </w:r>
      <w:hyperlink r:id="rId8709">
        <w:r>
          <w:rPr>
            <w:color w:val="0000EE"/>
            <w:u w:val="single"/>
          </w:rPr>
          <w:t>24</w:t>
        </w:r>
      </w:hyperlink>
      <w:r>
        <w:t>). Mas o presente da salvação deve ser recebido para que seja experimentado (</w:t>
      </w:r>
      <w:hyperlink r:id="rId8710">
        <w:r>
          <w:rPr>
            <w:color w:val="0000EE"/>
            <w:u w:val="single"/>
          </w:rPr>
          <w:t>Marcos 10.15</w:t>
        </w:r>
      </w:hyperlink>
      <w:r>
        <w:t>). E embora seja de fato um presente que custa nada, também é um tesouro inestimável, pelo qual uma pessoa sábia sacrificará livremente todo o resto (</w:t>
      </w:r>
      <w:hyperlink r:id="rId8711">
        <w:r>
          <w:rPr>
            <w:color w:val="0000EE"/>
            <w:u w:val="single"/>
          </w:rPr>
          <w:t>Mateus 13.44</w:t>
        </w:r>
      </w:hyperlink>
      <w:r>
        <w:t>–</w:t>
      </w:r>
      <w:hyperlink r:id="rId8711">
        <w:r>
          <w:rPr>
            <w:color w:val="0000EE"/>
            <w:u w:val="single"/>
          </w:rPr>
          <w:t>46</w:t>
        </w:r>
      </w:hyperlink>
      <w:r>
        <w:t>). É um sacrifício excedido apenas pelo preço de rejeitar o evangelho (</w:t>
      </w:r>
      <w:hyperlink r:id="rId8712">
        <w:r>
          <w:rPr>
            <w:color w:val="0000EE"/>
            <w:u w:val="single"/>
          </w:rPr>
          <w:t>Mateus 11.20</w:t>
        </w:r>
      </w:hyperlink>
      <w:r>
        <w:t>–</w:t>
      </w:r>
      <w:hyperlink r:id="rId8712">
        <w:r>
          <w:rPr>
            <w:color w:val="0000EE"/>
            <w:u w:val="single"/>
          </w:rPr>
          <w:t>24</w:t>
        </w:r>
      </w:hyperlink>
      <w:r>
        <w:t xml:space="preserve">; </w:t>
      </w:r>
      <w:hyperlink r:id="rId8713">
        <w:r>
          <w:rPr>
            <w:color w:val="0000EE"/>
            <w:u w:val="single"/>
          </w:rPr>
          <w:t>Marcos 8.34</w:t>
        </w:r>
      </w:hyperlink>
      <w:r>
        <w:t>–</w:t>
      </w:r>
      <w:hyperlink r:id="rId8713">
        <w:r>
          <w:rPr>
            <w:color w:val="0000EE"/>
            <w:u w:val="single"/>
          </w:rPr>
          <w:t>39</w:t>
        </w:r>
      </w:hyperlink>
      <w:r>
        <w:t xml:space="preserve">; </w:t>
      </w:r>
      <w:hyperlink r:id="rId8714">
        <w:r>
          <w:rPr>
            <w:color w:val="0000EE"/>
            <w:u w:val="single"/>
          </w:rPr>
          <w:t>Lucas 14.24,33</w:t>
        </w:r>
      </w:hyperlink>
      <w:r>
        <w:t>).</w:t>
      </w:r>
    </w:p>
    <w:p>
      <w:r/>
      <w:r>
        <w:t>“Arrependam-se e creiam no evangelho”, Jesus ordena (</w:t>
      </w:r>
      <w:hyperlink r:id="rId2608">
        <w:r>
          <w:rPr>
            <w:color w:val="0000EE"/>
            <w:u w:val="single"/>
          </w:rPr>
          <w:t>Marcos 1:15</w:t>
        </w:r>
      </w:hyperlink>
      <w:r>
        <w:t>). Os hipócritas e os autossuficientes devem ser surpreendidos por seu falso senso de segurança e humildemente reconhecer sua necessidade de Deus (</w:t>
      </w:r>
      <w:hyperlink r:id="rId8715">
        <w:r>
          <w:rPr>
            <w:color w:val="0000EE"/>
            <w:u w:val="single"/>
          </w:rPr>
          <w:t>Lucas 6.24</w:t>
        </w:r>
      </w:hyperlink>
      <w:r>
        <w:t>–</w:t>
      </w:r>
      <w:hyperlink r:id="rId8715">
        <w:r>
          <w:rPr>
            <w:color w:val="0000EE"/>
            <w:u w:val="single"/>
          </w:rPr>
          <w:t>26</w:t>
        </w:r>
      </w:hyperlink>
      <w:r>
        <w:t>). Só então a mensagem de Jesus para os pobres será vista como evangelho. Um anúncio de libertação (</w:t>
      </w:r>
      <w:hyperlink r:id="rId8682">
        <w:r>
          <w:rPr>
            <w:color w:val="0000EE"/>
            <w:u w:val="single"/>
          </w:rPr>
          <w:t>4.18</w:t>
        </w:r>
      </w:hyperlink>
      <w:r>
        <w:t>–</w:t>
      </w:r>
      <w:hyperlink r:id="rId8682">
        <w:r>
          <w:rPr>
            <w:color w:val="0000EE"/>
            <w:u w:val="single"/>
          </w:rPr>
          <w:t>19</w:t>
        </w:r>
      </w:hyperlink>
      <w:r>
        <w:t>) são boas novas apenas para as pessoas que são escravizadas e sabem disso. O chamado se aplica também aos desprovidos e aos aflitos. Aqueles entre eles que lamentam sua sorte devem se arrepender de seus pecados.</w:t>
      </w:r>
    </w:p>
    <w:p>
      <w:r/>
      <w:r>
        <w:t xml:space="preserve">Mas algo mais é necessário para que a resposta seja completa: uma pessoa não pode acreditar no evangelho de Jesus sem um compromisso com a </w:t>
      </w:r>
      <w:r>
        <w:rPr>
          <w:i/>
        </w:rPr>
        <w:t>Pessoa</w:t>
      </w:r>
      <w:r>
        <w:t xml:space="preserve"> de Cristo (</w:t>
      </w:r>
      <w:hyperlink r:id="rId1191">
        <w:r>
          <w:rPr>
            <w:color w:val="0000EE"/>
            <w:u w:val="single"/>
          </w:rPr>
          <w:t>João 3.16</w:t>
        </w:r>
      </w:hyperlink>
      <w:r>
        <w:t>). Mesmo aqueles que já são “pobres em espírito”, no sentido definido anteriormente, não são realmente “felizes” até que reconheçam a verdade das alegações de Jesus (</w:t>
      </w:r>
      <w:hyperlink r:id="rId8716">
        <w:r>
          <w:rPr>
            <w:color w:val="0000EE"/>
            <w:u w:val="single"/>
          </w:rPr>
          <w:t>Mateus 11.6</w:t>
        </w:r>
      </w:hyperlink>
      <w:r>
        <w:t>) e se comprometam com uma vida de obediência em seus termos (</w:t>
      </w:r>
      <w:hyperlink r:id="rId8717">
        <w:r>
          <w:rPr>
            <w:color w:val="0000EE"/>
            <w:u w:val="single"/>
          </w:rPr>
          <w:t>7.21</w:t>
        </w:r>
      </w:hyperlink>
      <w:r>
        <w:t>–</w:t>
      </w:r>
      <w:hyperlink r:id="rId8717">
        <w:r>
          <w:rPr>
            <w:color w:val="0000EE"/>
            <w:u w:val="single"/>
          </w:rPr>
          <w:t>27</w:t>
        </w:r>
      </w:hyperlink>
      <w:r>
        <w:t>). Isso nos prepara para o próximo ponto.</w:t>
      </w:r>
    </w:p>
    <w:p>
      <w:pPr>
        <w:pStyle w:val="Heading4"/>
      </w:pPr>
      <w:r>
        <w:t>Em resumo</w:t>
      </w:r>
    </w:p>
    <w:p>
      <w:r/>
      <w:r>
        <w:t>Em todo o ministério terreno de Jesus, o tema de seu evangelho permanece a chegada progressiva do reino de Deus (</w:t>
      </w:r>
      <w:hyperlink r:id="rId8672">
        <w:r>
          <w:rPr>
            <w:color w:val="0000EE"/>
            <w:u w:val="single"/>
          </w:rPr>
          <w:t>Mateus 4.23</w:t>
        </w:r>
      </w:hyperlink>
      <w:r>
        <w:t xml:space="preserve">; </w:t>
      </w:r>
      <w:hyperlink r:id="rId8031">
        <w:r>
          <w:rPr>
            <w:color w:val="0000EE"/>
            <w:u w:val="single"/>
          </w:rPr>
          <w:t>24.14</w:t>
        </w:r>
      </w:hyperlink>
      <w:r>
        <w:t xml:space="preserve">; </w:t>
      </w:r>
      <w:hyperlink r:id="rId8679">
        <w:r>
          <w:rPr>
            <w:color w:val="0000EE"/>
            <w:u w:val="single"/>
          </w:rPr>
          <w:t>Lucas 4.43</w:t>
        </w:r>
      </w:hyperlink>
      <w:r>
        <w:t xml:space="preserve">; </w:t>
      </w:r>
      <w:hyperlink r:id="rId8681">
        <w:r>
          <w:rPr>
            <w:color w:val="0000EE"/>
            <w:u w:val="single"/>
          </w:rPr>
          <w:t>16.16</w:t>
        </w:r>
      </w:hyperlink>
      <w:r>
        <w:t>), uma mensagem que é pregada quase exclusivamente aos judeus (</w:t>
      </w:r>
      <w:hyperlink r:id="rId8718">
        <w:r>
          <w:rPr>
            <w:color w:val="0000EE"/>
            <w:u w:val="single"/>
          </w:rPr>
          <w:t>Mateus 10.5</w:t>
        </w:r>
      </w:hyperlink>
      <w:r>
        <w:t>–</w:t>
      </w:r>
      <w:hyperlink r:id="rId8718">
        <w:r>
          <w:rPr>
            <w:color w:val="0000EE"/>
            <w:u w:val="single"/>
          </w:rPr>
          <w:t>6</w:t>
        </w:r>
      </w:hyperlink>
      <w:r>
        <w:t xml:space="preserve">; </w:t>
      </w:r>
      <w:hyperlink r:id="rId8707">
        <w:r>
          <w:rPr>
            <w:color w:val="0000EE"/>
            <w:u w:val="single"/>
          </w:rPr>
          <w:t>15.24</w:t>
        </w:r>
      </w:hyperlink>
      <w:r>
        <w:t>). No entanto, Jesus também fornece vislumbres do que o evangelho deveria se tornar uma vez que sua obra na terra fosse realizada:</w:t>
      </w:r>
    </w:p>
    <w:p>
      <w:pPr>
        <w:pStyle w:val="ListNumber"/>
        <w:spacing w:line="240" w:lineRule="auto"/>
        <w:ind w:left="720"/>
      </w:pPr>
      <w:r/>
      <w:r>
        <w:t xml:space="preserve">Em </w:t>
      </w:r>
      <w:hyperlink r:id="rId8675">
        <w:r>
          <w:rPr>
            <w:color w:val="0000EE"/>
            <w:u w:val="single"/>
          </w:rPr>
          <w:t>Marcos 8.35</w:t>
        </w:r>
      </w:hyperlink>
      <w:r>
        <w:t xml:space="preserve"> e </w:t>
      </w:r>
      <w:hyperlink r:id="rId8676">
        <w:r>
          <w:rPr>
            <w:color w:val="0000EE"/>
            <w:u w:val="single"/>
          </w:rPr>
          <w:t>10.29</w:t>
        </w:r>
      </w:hyperlink>
      <w:r>
        <w:t xml:space="preserve"> Jesus fala de indivíduos que precisavam fazer grandes sacrifícios “por Minha causa e pelo evangelho”. Embora distintos, a pessoa de Jesus e o evangelho estão aqui associados da maneira mais próxima possível. O tempo estava se aproximando em que o Proclamador do evangelho se tornaria o Proclamado.</w:t>
      </w:r>
    </w:p>
    <w:p>
      <w:pPr>
        <w:pStyle w:val="ListNumber"/>
        <w:spacing w:line="240" w:lineRule="auto"/>
        <w:ind w:left="720"/>
      </w:pPr>
      <w:r/>
      <w:r>
        <w:t xml:space="preserve">Em </w:t>
      </w:r>
      <w:hyperlink r:id="rId8677">
        <w:r>
          <w:rPr>
            <w:color w:val="0000EE"/>
            <w:u w:val="single"/>
          </w:rPr>
          <w:t>Marcos 13.10</w:t>
        </w:r>
      </w:hyperlink>
      <w:r>
        <w:t xml:space="preserve"> e </w:t>
      </w:r>
      <w:hyperlink r:id="rId8031">
        <w:r>
          <w:rPr>
            <w:color w:val="0000EE"/>
            <w:u w:val="single"/>
          </w:rPr>
          <w:t>Mateus 24.14</w:t>
        </w:r>
      </w:hyperlink>
      <w:r>
        <w:t xml:space="preserve"> (e a textualmente duvidosa passagem de </w:t>
      </w:r>
      <w:hyperlink r:id="rId8719">
        <w:r>
          <w:rPr>
            <w:color w:val="0000EE"/>
            <w:u w:val="single"/>
          </w:rPr>
          <w:t>Marcos 16.15</w:t>
        </w:r>
      </w:hyperlink>
      <w:r>
        <w:t>) Jesus prevê que o evangelho do reino será pregado às nações gentias.</w:t>
      </w:r>
    </w:p>
    <w:p>
      <w:pPr>
        <w:pStyle w:val="ListNumber"/>
        <w:spacing w:line="240" w:lineRule="auto"/>
        <w:ind w:left="720"/>
      </w:pPr>
      <w:r/>
      <w:r>
        <w:t xml:space="preserve">Em </w:t>
      </w:r>
      <w:hyperlink r:id="rId8720">
        <w:r>
          <w:rPr>
            <w:color w:val="0000EE"/>
            <w:u w:val="single"/>
          </w:rPr>
          <w:t>Marcos 14</w:t>
        </w:r>
      </w:hyperlink>
      <w:r>
        <w:t xml:space="preserve">, tendo interpretado a ação de uma mulher (versículo </w:t>
      </w:r>
      <w:hyperlink r:id="rId3905">
        <w:r>
          <w:rPr>
            <w:color w:val="0000EE"/>
            <w:u w:val="single"/>
          </w:rPr>
          <w:t>3</w:t>
        </w:r>
      </w:hyperlink>
      <w:r>
        <w:t xml:space="preserve">) como uma unção de seu corpo de antemão para o sepultamento (versículo </w:t>
      </w:r>
      <w:hyperlink r:id="rId8721">
        <w:r>
          <w:rPr>
            <w:color w:val="0000EE"/>
            <w:u w:val="single"/>
          </w:rPr>
          <w:t>8</w:t>
        </w:r>
      </w:hyperlink>
      <w:r>
        <w:t xml:space="preserve">), Jesus declara: “E em verdade vos digo que, onde quer que o evangelho seja pregado em todo o mundo, o que ela fez também será contado em memória dela” (versículo </w:t>
      </w:r>
      <w:hyperlink r:id="rId8678">
        <w:r>
          <w:rPr>
            <w:color w:val="0000EE"/>
            <w:u w:val="single"/>
          </w:rPr>
          <w:t>9</w:t>
        </w:r>
      </w:hyperlink>
      <w:r>
        <w:t xml:space="preserve">; compare </w:t>
      </w:r>
      <w:hyperlink r:id="rId8674">
        <w:r>
          <w:rPr>
            <w:color w:val="0000EE"/>
            <w:u w:val="single"/>
          </w:rPr>
          <w:t>Mateus 26.13</w:t>
        </w:r>
      </w:hyperlink>
      <w:r>
        <w:t xml:space="preserve">). Esta declaração implica fortemente que tanto a pessoa de Jesus quanto o evento de sua morte figurarão de forma proeminente na mensagem que deve ser proclamada. Caso contrário, é estranho que o evangelho e este ato específico estejam tão solenemente ligados. Neste texto, já há uma indicação de como a morte de Jesus é crucial para a salvação, como anunciada em seu evangelho (compare </w:t>
      </w:r>
      <w:hyperlink r:id="rId8722">
        <w:r>
          <w:rPr>
            <w:color w:val="0000EE"/>
            <w:u w:val="single"/>
          </w:rPr>
          <w:t>Marcos 14.22</w:t>
        </w:r>
      </w:hyperlink>
      <w:r>
        <w:t>–</w:t>
      </w:r>
      <w:hyperlink r:id="rId8722">
        <w:r>
          <w:rPr>
            <w:color w:val="0000EE"/>
            <w:u w:val="single"/>
          </w:rPr>
          <w:t>24</w:t>
        </w:r>
      </w:hyperlink>
      <w:r>
        <w:t>), e para o início da missão de compartilhar o evangelho com os gentios (</w:t>
      </w:r>
      <w:hyperlink r:id="rId920">
        <w:r>
          <w:rPr>
            <w:color w:val="0000EE"/>
            <w:u w:val="single"/>
          </w:rPr>
          <w:t>Mateus 20.28</w:t>
        </w:r>
      </w:hyperlink>
      <w:r>
        <w:t xml:space="preserve"> é vital para explicar a mudança de </w:t>
      </w:r>
      <w:hyperlink r:id="rId8707">
        <w:r>
          <w:rPr>
            <w:color w:val="0000EE"/>
            <w:u w:val="single"/>
          </w:rPr>
          <w:t>Mateus 15.24</w:t>
        </w:r>
      </w:hyperlink>
      <w:r>
        <w:t xml:space="preserve"> para </w:t>
      </w:r>
      <w:hyperlink r:id="rId8032">
        <w:r>
          <w:rPr>
            <w:color w:val="0000EE"/>
            <w:u w:val="single"/>
          </w:rPr>
          <w:t>28.18</w:t>
        </w:r>
      </w:hyperlink>
      <w:r>
        <w:t>–</w:t>
      </w:r>
      <w:hyperlink r:id="rId8032">
        <w:r>
          <w:rPr>
            <w:color w:val="0000EE"/>
            <w:u w:val="single"/>
          </w:rPr>
          <w:t>20</w:t>
        </w:r>
      </w:hyperlink>
      <w:r>
        <w:t>).</w:t>
      </w:r>
    </w:p>
    <w:p>
      <w:pPr>
        <w:pStyle w:val="Heading3"/>
      </w:pPr>
      <w:r>
        <w:t>O Evangelho após a ressurreição de Jesus</w:t>
      </w:r>
    </w:p>
    <w:p>
      <w:r/>
      <w:r>
        <w:t xml:space="preserve">Após a ressurreição de Jesus, o evangelho foi proclamado por suas testemunhas. O conteúdo deste evangelho é registrado no livro de Atos e nas cartas de Paulo. O termo grego </w:t>
      </w:r>
      <w:r>
        <w:rPr>
          <w:i/>
        </w:rPr>
        <w:t>euangelizomai</w:t>
      </w:r>
      <w:r>
        <w:t xml:space="preserve"> pode ser traduzido como “evangelizar”, “proclamar” ou “trazer boas novas”. Das 43 ocorrências de </w:t>
      </w:r>
      <w:r>
        <w:rPr>
          <w:i/>
        </w:rPr>
        <w:t>euangelizomai</w:t>
      </w:r>
      <w:r>
        <w:t xml:space="preserve"> além dos evangelhos do Novo Testamento, 15 ocorrem em Atos e 21 nos escritos de Paulo. Das 64 ocorrências do termo grego </w:t>
      </w:r>
      <w:r>
        <w:rPr>
          <w:i/>
        </w:rPr>
        <w:t>euangelion</w:t>
      </w:r>
      <w:r>
        <w:t>, que pode ser traduzido como “evangelho” ou “boas novas”, duas ocorrem em Atos e nada menos que 60 em Paulo.</w:t>
      </w:r>
    </w:p>
    <w:p>
      <w:pPr>
        <w:pStyle w:val="Heading4"/>
      </w:pPr>
      <w:r>
        <w:t>O Evangelho de Cristo</w:t>
      </w:r>
    </w:p>
    <w:p>
      <w:r/>
      <w:r>
        <w:t>Tendo ressuscitado dos mortos, Jesus Cristo evangeliza novamente (</w:t>
      </w:r>
      <w:hyperlink r:id="rId8723">
        <w:r>
          <w:rPr>
            <w:color w:val="0000EE"/>
            <w:u w:val="single"/>
          </w:rPr>
          <w:t>Efésios 2.16</w:t>
        </w:r>
      </w:hyperlink>
      <w:r>
        <w:t>–</w:t>
      </w:r>
      <w:hyperlink r:id="rId8723">
        <w:r>
          <w:rPr>
            <w:color w:val="0000EE"/>
            <w:u w:val="single"/>
          </w:rPr>
          <w:t>17</w:t>
        </w:r>
      </w:hyperlink>
      <w:r>
        <w:t>), fazendo isso agora através de seus representantes nomeados (</w:t>
      </w:r>
      <w:hyperlink r:id="rId8724">
        <w:r>
          <w:rPr>
            <w:color w:val="0000EE"/>
            <w:u w:val="single"/>
          </w:rPr>
          <w:t>Romanos 15.16</w:t>
        </w:r>
      </w:hyperlink>
      <w:r>
        <w:t>–</w:t>
      </w:r>
      <w:hyperlink r:id="rId8724">
        <w:r>
          <w:rPr>
            <w:color w:val="0000EE"/>
            <w:u w:val="single"/>
          </w:rPr>
          <w:t>18</w:t>
        </w:r>
      </w:hyperlink>
      <w:r>
        <w:t xml:space="preserve">; </w:t>
      </w:r>
      <w:hyperlink r:id="rId2287">
        <w:r>
          <w:rPr>
            <w:color w:val="0000EE"/>
            <w:u w:val="single"/>
          </w:rPr>
          <w:t>1 Coríntios 1.17</w:t>
        </w:r>
      </w:hyperlink>
      <w:r>
        <w:t xml:space="preserve">; </w:t>
      </w:r>
      <w:hyperlink r:id="rId8725">
        <w:r>
          <w:rPr>
            <w:color w:val="0000EE"/>
            <w:u w:val="single"/>
          </w:rPr>
          <w:t>9.12</w:t>
        </w:r>
      </w:hyperlink>
      <w:r>
        <w:t>–</w:t>
      </w:r>
      <w:hyperlink r:id="rId8725">
        <w:r>
          <w:rPr>
            <w:color w:val="0000EE"/>
            <w:u w:val="single"/>
          </w:rPr>
          <w:t>18</w:t>
        </w:r>
      </w:hyperlink>
      <w:r>
        <w:t xml:space="preserve">; </w:t>
      </w:r>
      <w:hyperlink r:id="rId8726">
        <w:r>
          <w:rPr>
            <w:color w:val="0000EE"/>
            <w:u w:val="single"/>
          </w:rPr>
          <w:t>Gálatas 4.13–14</w:t>
        </w:r>
      </w:hyperlink>
      <w:r>
        <w:t xml:space="preserve">; </w:t>
      </w:r>
      <w:hyperlink r:id="rId3778">
        <w:r>
          <w:rPr>
            <w:color w:val="0000EE"/>
            <w:u w:val="single"/>
          </w:rPr>
          <w:t>Efésios 4.11</w:t>
        </w:r>
      </w:hyperlink>
      <w:r>
        <w:t xml:space="preserve">; </w:t>
      </w:r>
      <w:hyperlink r:id="rId8727">
        <w:r>
          <w:rPr>
            <w:color w:val="0000EE"/>
            <w:u w:val="single"/>
          </w:rPr>
          <w:t>2 Timóteo 1.9</w:t>
        </w:r>
      </w:hyperlink>
      <w:r>
        <w:t>–</w:t>
      </w:r>
      <w:hyperlink r:id="rId8727">
        <w:r>
          <w:rPr>
            <w:color w:val="0000EE"/>
            <w:u w:val="single"/>
          </w:rPr>
          <w:t>11</w:t>
        </w:r>
      </w:hyperlink>
      <w:r>
        <w:t>). Mais do que isso, Cristo se tornou o tema central do evangelho. O Proclamador é agora o Proclamado. Isso é repetidamente afirmado em Atos (</w:t>
      </w:r>
      <w:hyperlink r:id="rId8728">
        <w:r>
          <w:rPr>
            <w:color w:val="0000EE"/>
            <w:u w:val="single"/>
          </w:rPr>
          <w:t>5.42</w:t>
        </w:r>
      </w:hyperlink>
      <w:r>
        <w:t xml:space="preserve">; </w:t>
      </w:r>
      <w:hyperlink r:id="rId8729">
        <w:r>
          <w:rPr>
            <w:color w:val="0000EE"/>
            <w:u w:val="single"/>
          </w:rPr>
          <w:t>8:4</w:t>
        </w:r>
      </w:hyperlink>
      <w:r>
        <w:t>–</w:t>
      </w:r>
      <w:hyperlink r:id="rId8729">
        <w:r>
          <w:rPr>
            <w:color w:val="0000EE"/>
            <w:u w:val="single"/>
          </w:rPr>
          <w:t>5,35</w:t>
        </w:r>
      </w:hyperlink>
      <w:r>
        <w:t xml:space="preserve">; </w:t>
      </w:r>
      <w:hyperlink r:id="rId4993">
        <w:r>
          <w:rPr>
            <w:color w:val="0000EE"/>
            <w:u w:val="single"/>
          </w:rPr>
          <w:t>11.20</w:t>
        </w:r>
      </w:hyperlink>
      <w:r>
        <w:t xml:space="preserve">; </w:t>
      </w:r>
      <w:hyperlink r:id="rId8094">
        <w:r>
          <w:rPr>
            <w:color w:val="0000EE"/>
            <w:u w:val="single"/>
          </w:rPr>
          <w:t>17.18</w:t>
        </w:r>
      </w:hyperlink>
      <w:r>
        <w:t>) e nos escritos de Paulo (</w:t>
      </w:r>
      <w:hyperlink r:id="rId8730">
        <w:r>
          <w:rPr>
            <w:color w:val="0000EE"/>
            <w:u w:val="single"/>
          </w:rPr>
          <w:t>Romanos 1.1</w:t>
        </w:r>
      </w:hyperlink>
      <w:r>
        <w:t>–</w:t>
      </w:r>
      <w:hyperlink r:id="rId8730">
        <w:r>
          <w:rPr>
            <w:color w:val="0000EE"/>
            <w:u w:val="single"/>
          </w:rPr>
          <w:t>4</w:t>
        </w:r>
      </w:hyperlink>
      <w:r>
        <w:t xml:space="preserve">; </w:t>
      </w:r>
      <w:hyperlink r:id="rId8731">
        <w:r>
          <w:rPr>
            <w:color w:val="0000EE"/>
            <w:u w:val="single"/>
          </w:rPr>
          <w:t>10.8</w:t>
        </w:r>
      </w:hyperlink>
      <w:r>
        <w:t>–</w:t>
      </w:r>
      <w:hyperlink r:id="rId8731">
        <w:r>
          <w:rPr>
            <w:color w:val="0000EE"/>
            <w:u w:val="single"/>
          </w:rPr>
          <w:t>17</w:t>
        </w:r>
      </w:hyperlink>
      <w:r>
        <w:t xml:space="preserve">; </w:t>
      </w:r>
      <w:hyperlink r:id="rId8732">
        <w:r>
          <w:rPr>
            <w:color w:val="0000EE"/>
            <w:u w:val="single"/>
          </w:rPr>
          <w:t>15.19</w:t>
        </w:r>
      </w:hyperlink>
      <w:r>
        <w:t>–</w:t>
      </w:r>
      <w:hyperlink r:id="rId8732">
        <w:r>
          <w:rPr>
            <w:color w:val="0000EE"/>
            <w:u w:val="single"/>
          </w:rPr>
          <w:t>20</w:t>
        </w:r>
      </w:hyperlink>
      <w:r>
        <w:t xml:space="preserve">; </w:t>
      </w:r>
      <w:hyperlink r:id="rId8476">
        <w:r>
          <w:rPr>
            <w:color w:val="0000EE"/>
            <w:u w:val="single"/>
          </w:rPr>
          <w:t>2 Coríntios 4.4</w:t>
        </w:r>
      </w:hyperlink>
      <w:r>
        <w:t>–</w:t>
      </w:r>
      <w:hyperlink r:id="rId8476">
        <w:r>
          <w:rPr>
            <w:color w:val="0000EE"/>
            <w:u w:val="single"/>
          </w:rPr>
          <w:t>6</w:t>
        </w:r>
      </w:hyperlink>
      <w:r>
        <w:t xml:space="preserve">; </w:t>
      </w:r>
      <w:hyperlink r:id="rId8733">
        <w:r>
          <w:rPr>
            <w:color w:val="0000EE"/>
            <w:u w:val="single"/>
          </w:rPr>
          <w:t>11.4</w:t>
        </w:r>
      </w:hyperlink>
      <w:r>
        <w:t xml:space="preserve">; </w:t>
      </w:r>
      <w:hyperlink r:id="rId8734">
        <w:r>
          <w:rPr>
            <w:color w:val="0000EE"/>
            <w:u w:val="single"/>
          </w:rPr>
          <w:t>Gálatas 1.16</w:t>
        </w:r>
      </w:hyperlink>
      <w:r>
        <w:t xml:space="preserve">; </w:t>
      </w:r>
      <w:hyperlink r:id="rId3756">
        <w:r>
          <w:rPr>
            <w:color w:val="0000EE"/>
            <w:u w:val="single"/>
          </w:rPr>
          <w:t>Efésios 3.8</w:t>
        </w:r>
      </w:hyperlink>
      <w:r>
        <w:t xml:space="preserve">; </w:t>
      </w:r>
      <w:hyperlink r:id="rId8735">
        <w:r>
          <w:rPr>
            <w:color w:val="0000EE"/>
            <w:u w:val="single"/>
          </w:rPr>
          <w:t>Filipenses 1.15</w:t>
        </w:r>
      </w:hyperlink>
      <w:r>
        <w:t>–</w:t>
      </w:r>
      <w:hyperlink r:id="rId8735">
        <w:r>
          <w:rPr>
            <w:color w:val="0000EE"/>
            <w:u w:val="single"/>
          </w:rPr>
          <w:t>18</w:t>
        </w:r>
      </w:hyperlink>
      <w:r>
        <w:t xml:space="preserve">; </w:t>
      </w:r>
      <w:hyperlink r:id="rId8736">
        <w:r>
          <w:rPr>
            <w:color w:val="0000EE"/>
            <w:u w:val="single"/>
          </w:rPr>
          <w:t>2 Timóteo 2.8</w:t>
        </w:r>
      </w:hyperlink>
      <w:r>
        <w:t xml:space="preserve">). O Novo Testamento sempre fala do </w:t>
      </w:r>
      <w:r>
        <w:rPr>
          <w:i/>
        </w:rPr>
        <w:t>evangelho</w:t>
      </w:r>
      <w:r>
        <w:t xml:space="preserve"> — nunca dos evangelhos — de Cristo. Um segundo evangelho é tão inconcebível e tão desnecessário quanto um segundo Cristo. Este é o evangelho que Deus autoriza (por exemplo, </w:t>
      </w:r>
      <w:hyperlink r:id="rId8737">
        <w:r>
          <w:rPr>
            <w:color w:val="0000EE"/>
            <w:u w:val="single"/>
          </w:rPr>
          <w:t>Romanos 1.1</w:t>
        </w:r>
      </w:hyperlink>
      <w:r>
        <w:t>–</w:t>
      </w:r>
      <w:hyperlink r:id="rId8737">
        <w:r>
          <w:rPr>
            <w:color w:val="0000EE"/>
            <w:u w:val="single"/>
          </w:rPr>
          <w:t>17</w:t>
        </w:r>
      </w:hyperlink>
      <w:r>
        <w:t xml:space="preserve">) e proclama (por exemplo, </w:t>
      </w:r>
      <w:hyperlink r:id="rId8738">
        <w:r>
          <w:rPr>
            <w:color w:val="0000EE"/>
            <w:u w:val="single"/>
          </w:rPr>
          <w:t>2 Tessalonicenses 2.13</w:t>
        </w:r>
      </w:hyperlink>
      <w:r>
        <w:t>–</w:t>
      </w:r>
      <w:hyperlink r:id="rId8738">
        <w:r>
          <w:rPr>
            <w:color w:val="0000EE"/>
            <w:u w:val="single"/>
          </w:rPr>
          <w:t>14</w:t>
        </w:r>
      </w:hyperlink>
      <w:r>
        <w:t>).</w:t>
      </w:r>
    </w:p>
    <w:p>
      <w:r/>
      <w:hyperlink r:id="rId4961">
        <w:r>
          <w:rPr>
            <w:color w:val="0000EE"/>
            <w:u w:val="single"/>
          </w:rPr>
          <w:t>Gálatas 2.7</w:t>
        </w:r>
      </w:hyperlink>
      <w:r>
        <w:t>–</w:t>
      </w:r>
      <w:hyperlink r:id="rId4961">
        <w:r>
          <w:rPr>
            <w:color w:val="0000EE"/>
            <w:u w:val="single"/>
          </w:rPr>
          <w:t>9</w:t>
        </w:r>
      </w:hyperlink>
      <w:r>
        <w:t xml:space="preserve"> fala não de dois evangelhos, mas de dois campos missionários. Paulo (o apóstolo dos gentios) e Pedro (o apóstolo dos judeus) são ambos encarregados "do evangelho de Cristo” (</w:t>
      </w:r>
      <w:hyperlink r:id="rId8739">
        <w:r>
          <w:rPr>
            <w:color w:val="0000EE"/>
            <w:u w:val="single"/>
          </w:rPr>
          <w:t>Gálatas 1.7</w:t>
        </w:r>
      </w:hyperlink>
      <w:r>
        <w:t xml:space="preserve">; compare </w:t>
      </w:r>
      <w:hyperlink r:id="rId4775">
        <w:r>
          <w:rPr>
            <w:color w:val="0000EE"/>
            <w:u w:val="single"/>
          </w:rPr>
          <w:t>1 Coríntios 15.1</w:t>
        </w:r>
      </w:hyperlink>
      <w:r>
        <w:t>–</w:t>
      </w:r>
      <w:hyperlink r:id="rId4775">
        <w:r>
          <w:rPr>
            <w:color w:val="0000EE"/>
            <w:u w:val="single"/>
          </w:rPr>
          <w:t>11</w:t>
        </w:r>
      </w:hyperlink>
      <w:r>
        <w:t>), a mensagem que Deus ordenou para a salvação de judeus e gentios (</w:t>
      </w:r>
      <w:hyperlink r:id="rId735">
        <w:r>
          <w:rPr>
            <w:color w:val="0000EE"/>
            <w:u w:val="single"/>
          </w:rPr>
          <w:t>Romanos 1.16</w:t>
        </w:r>
      </w:hyperlink>
      <w:r>
        <w:t xml:space="preserve">). O “evangelho diferente” que Paulo denuncia em </w:t>
      </w:r>
      <w:hyperlink r:id="rId8740">
        <w:r>
          <w:rPr>
            <w:color w:val="0000EE"/>
            <w:u w:val="single"/>
          </w:rPr>
          <w:t>Gálatas 1.6</w:t>
        </w:r>
      </w:hyperlink>
      <w:r>
        <w:t>–</w:t>
      </w:r>
      <w:hyperlink r:id="rId8740">
        <w:r>
          <w:rPr>
            <w:color w:val="0000EE"/>
            <w:u w:val="single"/>
          </w:rPr>
          <w:t>9</w:t>
        </w:r>
      </w:hyperlink>
      <w:r>
        <w:t xml:space="preserve"> e </w:t>
      </w:r>
      <w:hyperlink r:id="rId8733">
        <w:r>
          <w:rPr>
            <w:color w:val="0000EE"/>
            <w:u w:val="single"/>
          </w:rPr>
          <w:t>2 Coríntios 11.4</w:t>
        </w:r>
      </w:hyperlink>
      <w:r>
        <w:t xml:space="preserve"> não é outro evangelho sobre Jesus, mas uma mensagem sobre “outro Jesus” — não o verdadeiro, mas aquele que existe apenas nas mentes e nas mensagens daqueles que o proclamam. Pregar o verdadeiro Cristo é pregar o verdadeiro evangelho, por mais questionáveis que sejam os motivos (</w:t>
      </w:r>
      <w:hyperlink r:id="rId8735">
        <w:r>
          <w:rPr>
            <w:color w:val="0000EE"/>
            <w:u w:val="single"/>
          </w:rPr>
          <w:t>Filipenses 1.15</w:t>
        </w:r>
      </w:hyperlink>
      <w:r>
        <w:t>–</w:t>
      </w:r>
      <w:hyperlink r:id="rId8735">
        <w:r>
          <w:rPr>
            <w:color w:val="0000EE"/>
            <w:u w:val="single"/>
          </w:rPr>
          <w:t>18,27</w:t>
        </w:r>
      </w:hyperlink>
      <w:r>
        <w:t>), e responder corretamente ao evangelho é se voltar para Cristo (</w:t>
      </w:r>
      <w:hyperlink r:id="rId8741">
        <w:r>
          <w:rPr>
            <w:color w:val="0000EE"/>
            <w:u w:val="single"/>
          </w:rPr>
          <w:t>Atos 11.20</w:t>
        </w:r>
      </w:hyperlink>
      <w:r>
        <w:t>–</w:t>
      </w:r>
      <w:hyperlink r:id="rId8741">
        <w:r>
          <w:rPr>
            <w:color w:val="0000EE"/>
            <w:u w:val="single"/>
          </w:rPr>
          <w:t>21</w:t>
        </w:r>
      </w:hyperlink>
      <w:r>
        <w:t xml:space="preserve">; </w:t>
      </w:r>
      <w:hyperlink r:id="rId8731">
        <w:r>
          <w:rPr>
            <w:color w:val="0000EE"/>
            <w:u w:val="single"/>
          </w:rPr>
          <w:t>Romanos 10.8</w:t>
        </w:r>
      </w:hyperlink>
      <w:r>
        <w:t>–</w:t>
      </w:r>
      <w:hyperlink r:id="rId8731">
        <w:r>
          <w:rPr>
            <w:color w:val="0000EE"/>
            <w:u w:val="single"/>
          </w:rPr>
          <w:t>17</w:t>
        </w:r>
      </w:hyperlink>
      <w:r>
        <w:t xml:space="preserve">; </w:t>
      </w:r>
      <w:hyperlink r:id="rId8742">
        <w:r>
          <w:rPr>
            <w:color w:val="0000EE"/>
            <w:u w:val="single"/>
          </w:rPr>
          <w:t>Gálatas 2.14</w:t>
        </w:r>
      </w:hyperlink>
      <w:r>
        <w:t>–</w:t>
      </w:r>
      <w:hyperlink r:id="rId8742">
        <w:r>
          <w:rPr>
            <w:color w:val="0000EE"/>
            <w:u w:val="single"/>
          </w:rPr>
          <w:t>16</w:t>
        </w:r>
      </w:hyperlink>
      <w:r>
        <w:t>).</w:t>
      </w:r>
    </w:p>
    <w:p>
      <w:pPr>
        <w:pStyle w:val="Heading4"/>
      </w:pPr>
      <w:r>
        <w:t>O Evangelho como uma testemunha de eventos salvadores</w:t>
      </w:r>
    </w:p>
    <w:p>
      <w:r/>
      <w:r>
        <w:t>O evangelho testifica em todos os aspectos da obra salvadora de Cristo, desde seu nascimento (</w:t>
      </w:r>
      <w:hyperlink r:id="rId4288">
        <w:r>
          <w:rPr>
            <w:color w:val="0000EE"/>
            <w:u w:val="single"/>
          </w:rPr>
          <w:t>Romanos 1.3</w:t>
        </w:r>
      </w:hyperlink>
      <w:r>
        <w:t xml:space="preserve">; </w:t>
      </w:r>
      <w:hyperlink r:id="rId8736">
        <w:r>
          <w:rPr>
            <w:color w:val="0000EE"/>
            <w:u w:val="single"/>
          </w:rPr>
          <w:t>2 Timóteo 2.8</w:t>
        </w:r>
      </w:hyperlink>
      <w:r>
        <w:t>) e ministério público (</w:t>
      </w:r>
      <w:hyperlink r:id="rId6102">
        <w:r>
          <w:rPr>
            <w:color w:val="0000EE"/>
            <w:u w:val="single"/>
          </w:rPr>
          <w:t>Marcos 1.1</w:t>
        </w:r>
      </w:hyperlink>
      <w:r>
        <w:t xml:space="preserve">; </w:t>
      </w:r>
      <w:hyperlink r:id="rId8743">
        <w:r>
          <w:rPr>
            <w:color w:val="0000EE"/>
            <w:u w:val="single"/>
          </w:rPr>
          <w:t>Atos 10.36</w:t>
        </w:r>
      </w:hyperlink>
      <w:r>
        <w:t>–</w:t>
      </w:r>
      <w:hyperlink r:id="rId8743">
        <w:r>
          <w:rPr>
            <w:color w:val="0000EE"/>
            <w:u w:val="single"/>
          </w:rPr>
          <w:t>38</w:t>
        </w:r>
      </w:hyperlink>
      <w:r>
        <w:t>) até sua segunda vinda (</w:t>
      </w:r>
      <w:hyperlink r:id="rId5127">
        <w:r>
          <w:rPr>
            <w:color w:val="0000EE"/>
            <w:u w:val="single"/>
          </w:rPr>
          <w:t>Colossenses 1:5, 23</w:t>
        </w:r>
      </w:hyperlink>
      <w:r>
        <w:t xml:space="preserve">; compare </w:t>
      </w:r>
      <w:hyperlink r:id="rId5126">
        <w:r>
          <w:rPr>
            <w:color w:val="0000EE"/>
            <w:u w:val="single"/>
          </w:rPr>
          <w:t>3.1</w:t>
        </w:r>
      </w:hyperlink>
      <w:r>
        <w:t>–</w:t>
      </w:r>
      <w:hyperlink r:id="rId5126">
        <w:r>
          <w:rPr>
            <w:color w:val="0000EE"/>
            <w:u w:val="single"/>
          </w:rPr>
          <w:t>4</w:t>
        </w:r>
      </w:hyperlink>
      <w:r>
        <w:t xml:space="preserve">; </w:t>
      </w:r>
      <w:hyperlink r:id="rId8744">
        <w:r>
          <w:rPr>
            <w:color w:val="0000EE"/>
            <w:u w:val="single"/>
          </w:rPr>
          <w:t>1 Tessalonicenses 1.5</w:t>
        </w:r>
      </w:hyperlink>
      <w:r>
        <w:t>–</w:t>
      </w:r>
      <w:hyperlink r:id="rId8744">
        <w:r>
          <w:rPr>
            <w:color w:val="0000EE"/>
            <w:u w:val="single"/>
          </w:rPr>
          <w:t>10</w:t>
        </w:r>
      </w:hyperlink>
      <w:r>
        <w:t>) e o julgamento final (</w:t>
      </w:r>
      <w:hyperlink r:id="rId8745">
        <w:r>
          <w:rPr>
            <w:color w:val="0000EE"/>
            <w:u w:val="single"/>
          </w:rPr>
          <w:t>Romanos 2.16</w:t>
        </w:r>
      </w:hyperlink>
      <w:r>
        <w:t xml:space="preserve">). Mas a morte e a ressurreição de Cristo são os fatores mais cruciais para a realização da salvação, e que, portanto, são mais proeminentes no testemunho do evangelho. Esses são os eventos pelos quais a proclamação de Marcos apresenta seu clímax (capítulos </w:t>
      </w:r>
      <w:hyperlink r:id="rId8746">
        <w:r>
          <w:rPr>
            <w:color w:val="0000EE"/>
            <w:u w:val="single"/>
          </w:rPr>
          <w:t>15–16</w:t>
        </w:r>
      </w:hyperlink>
      <w:r>
        <w:t>), e para os quais todo o restante se prepara (</w:t>
      </w:r>
      <w:hyperlink r:id="rId6301">
        <w:r>
          <w:rPr>
            <w:color w:val="0000EE"/>
            <w:u w:val="single"/>
          </w:rPr>
          <w:t>8.31</w:t>
        </w:r>
      </w:hyperlink>
      <w:r>
        <w:t xml:space="preserve">; </w:t>
      </w:r>
      <w:hyperlink r:id="rId6302">
        <w:r>
          <w:rPr>
            <w:color w:val="0000EE"/>
            <w:u w:val="single"/>
          </w:rPr>
          <w:t>9.31</w:t>
        </w:r>
      </w:hyperlink>
      <w:r>
        <w:t xml:space="preserve">; </w:t>
      </w:r>
      <w:hyperlink r:id="rId6303">
        <w:r>
          <w:rPr>
            <w:color w:val="0000EE"/>
            <w:u w:val="single"/>
          </w:rPr>
          <w:t>10.33</w:t>
        </w:r>
      </w:hyperlink>
      <w:r>
        <w:t>–</w:t>
      </w:r>
      <w:hyperlink r:id="rId6303">
        <w:r>
          <w:rPr>
            <w:color w:val="0000EE"/>
            <w:u w:val="single"/>
          </w:rPr>
          <w:t>34</w:t>
        </w:r>
      </w:hyperlink>
      <w:r>
        <w:t xml:space="preserve">; </w:t>
      </w:r>
      <w:hyperlink r:id="rId8747">
        <w:r>
          <w:rPr>
            <w:color w:val="0000EE"/>
            <w:u w:val="single"/>
          </w:rPr>
          <w:t>12.6</w:t>
        </w:r>
      </w:hyperlink>
      <w:r>
        <w:t>–</w:t>
      </w:r>
      <w:hyperlink r:id="rId8747">
        <w:r>
          <w:rPr>
            <w:color w:val="0000EE"/>
            <w:u w:val="single"/>
          </w:rPr>
          <w:t>8</w:t>
        </w:r>
      </w:hyperlink>
      <w:r>
        <w:t>). Uma ênfase especial é colocada sobre a morte de Jesus como o meio de salvação do pecado (</w:t>
      </w:r>
      <w:hyperlink r:id="rId921">
        <w:r>
          <w:rPr>
            <w:color w:val="0000EE"/>
            <w:u w:val="single"/>
          </w:rPr>
          <w:t>10.45</w:t>
        </w:r>
      </w:hyperlink>
      <w:r>
        <w:t xml:space="preserve">; </w:t>
      </w:r>
      <w:hyperlink r:id="rId8748">
        <w:r>
          <w:rPr>
            <w:color w:val="0000EE"/>
            <w:u w:val="single"/>
          </w:rPr>
          <w:t>14.3</w:t>
        </w:r>
      </w:hyperlink>
      <w:r>
        <w:t>–</w:t>
      </w:r>
      <w:hyperlink r:id="rId8748">
        <w:r>
          <w:rPr>
            <w:color w:val="0000EE"/>
            <w:u w:val="single"/>
          </w:rPr>
          <w:t>9, 22–24</w:t>
        </w:r>
      </w:hyperlink>
      <w:r>
        <w:t>).</w:t>
      </w:r>
    </w:p>
    <w:p>
      <w:r/>
      <w:r>
        <w:t>No evangelho de Paulo, também, a morte e ressurreição de Jesus são centrais (</w:t>
      </w:r>
      <w:hyperlink r:id="rId6335">
        <w:r>
          <w:rPr>
            <w:color w:val="0000EE"/>
            <w:u w:val="single"/>
          </w:rPr>
          <w:t>Romanos 4.25</w:t>
        </w:r>
      </w:hyperlink>
      <w:r>
        <w:t xml:space="preserve">; </w:t>
      </w:r>
      <w:hyperlink r:id="rId8749">
        <w:r>
          <w:rPr>
            <w:color w:val="0000EE"/>
            <w:u w:val="single"/>
          </w:rPr>
          <w:t>1 Coríntios 15.1</w:t>
        </w:r>
      </w:hyperlink>
      <w:r>
        <w:t>–</w:t>
      </w:r>
      <w:hyperlink r:id="rId8749">
        <w:r>
          <w:rPr>
            <w:color w:val="0000EE"/>
            <w:u w:val="single"/>
          </w:rPr>
          <w:t>4</w:t>
        </w:r>
      </w:hyperlink>
      <w:r>
        <w:t>), com a cruz no centro (</w:t>
      </w:r>
      <w:hyperlink r:id="rId6328">
        <w:r>
          <w:rPr>
            <w:color w:val="0000EE"/>
            <w:u w:val="single"/>
          </w:rPr>
          <w:t>1 Coríntios 1.17 –2.5</w:t>
        </w:r>
      </w:hyperlink>
      <w:r>
        <w:t>. Se Cristo não tivesse ressuscitado dos mortos, Paulo argumenta, pregar sobre a cruz seria uma perda de tempo (</w:t>
      </w:r>
      <w:hyperlink r:id="rId8750">
        <w:r>
          <w:rPr>
            <w:color w:val="0000EE"/>
            <w:u w:val="single"/>
          </w:rPr>
          <w:t>1 Coríntios 15.14,17</w:t>
        </w:r>
      </w:hyperlink>
      <w:r>
        <w:t xml:space="preserve">; compare </w:t>
      </w:r>
      <w:hyperlink r:id="rId8751">
        <w:r>
          <w:rPr>
            <w:color w:val="0000EE"/>
            <w:u w:val="single"/>
          </w:rPr>
          <w:t>Romanos 6.3</w:t>
        </w:r>
      </w:hyperlink>
      <w:r>
        <w:t>–</w:t>
      </w:r>
      <w:hyperlink r:id="rId8751">
        <w:r>
          <w:rPr>
            <w:color w:val="0000EE"/>
            <w:u w:val="single"/>
          </w:rPr>
          <w:t>11</w:t>
        </w:r>
      </w:hyperlink>
      <w:r>
        <w:t>). No entanto, agora que Cristo ressuscitou, sua morte merece ênfase especial como o lugar onde Deus fornece expiação pelos pecados (</w:t>
      </w:r>
      <w:hyperlink r:id="rId8752">
        <w:r>
          <w:rPr>
            <w:color w:val="0000EE"/>
            <w:u w:val="single"/>
          </w:rPr>
          <w:t>Romanos 3.21</w:t>
        </w:r>
      </w:hyperlink>
      <w:r>
        <w:t>–</w:t>
      </w:r>
      <w:hyperlink r:id="rId8752">
        <w:r>
          <w:rPr>
            <w:color w:val="0000EE"/>
            <w:u w:val="single"/>
          </w:rPr>
          <w:t>26</w:t>
        </w:r>
      </w:hyperlink>
      <w:r>
        <w:t xml:space="preserve">; </w:t>
      </w:r>
      <w:hyperlink r:id="rId8753">
        <w:r>
          <w:rPr>
            <w:color w:val="0000EE"/>
            <w:u w:val="single"/>
          </w:rPr>
          <w:t>5.6</w:t>
        </w:r>
      </w:hyperlink>
      <w:r>
        <w:t>–</w:t>
      </w:r>
      <w:hyperlink r:id="rId8753">
        <w:r>
          <w:rPr>
            <w:color w:val="0000EE"/>
            <w:u w:val="single"/>
          </w:rPr>
          <w:t>11</w:t>
        </w:r>
      </w:hyperlink>
      <w:r>
        <w:t xml:space="preserve">; </w:t>
      </w:r>
      <w:hyperlink r:id="rId8754">
        <w:r>
          <w:rPr>
            <w:color w:val="0000EE"/>
            <w:u w:val="single"/>
          </w:rPr>
          <w:t>2 Coríntios 5.14</w:t>
        </w:r>
      </w:hyperlink>
      <w:r>
        <w:t>–</w:t>
      </w:r>
      <w:hyperlink r:id="rId8754">
        <w:r>
          <w:rPr>
            <w:color w:val="0000EE"/>
            <w:u w:val="single"/>
          </w:rPr>
          <w:t>21</w:t>
        </w:r>
      </w:hyperlink>
      <w:r>
        <w:t xml:space="preserve">; </w:t>
      </w:r>
      <w:hyperlink r:id="rId6340">
        <w:r>
          <w:rPr>
            <w:color w:val="0000EE"/>
            <w:u w:val="single"/>
          </w:rPr>
          <w:t>Efésios 1.7</w:t>
        </w:r>
      </w:hyperlink>
      <w:r>
        <w:t>). [Expiação é o ato pelo qual Deus e a humanidade são reunidos em um relacionamento pessoal]. O evangelho de acordo com Atos proclama a morte de Jesus (</w:t>
      </w:r>
      <w:hyperlink r:id="rId8755">
        <w:r>
          <w:rPr>
            <w:color w:val="0000EE"/>
            <w:u w:val="single"/>
          </w:rPr>
          <w:t>Atos 8.25</w:t>
        </w:r>
      </w:hyperlink>
      <w:r>
        <w:t xml:space="preserve">; </w:t>
      </w:r>
      <w:hyperlink r:id="rId8756">
        <w:r>
          <w:rPr>
            <w:color w:val="0000EE"/>
            <w:u w:val="single"/>
          </w:rPr>
          <w:t>20.24,28</w:t>
        </w:r>
      </w:hyperlink>
      <w:r>
        <w:t xml:space="preserve">; compare </w:t>
      </w:r>
      <w:hyperlink r:id="rId8757">
        <w:r>
          <w:rPr>
            <w:color w:val="0000EE"/>
            <w:u w:val="single"/>
          </w:rPr>
          <w:t>10.36</w:t>
        </w:r>
      </w:hyperlink>
      <w:r>
        <w:t>–</w:t>
      </w:r>
      <w:hyperlink r:id="rId8757">
        <w:r>
          <w:rPr>
            <w:color w:val="0000EE"/>
            <w:u w:val="single"/>
          </w:rPr>
          <w:t>43</w:t>
        </w:r>
      </w:hyperlink>
      <w:r>
        <w:t>) e especialmente sua ressurreição, o evento pelo qual ele conquistou a morte e foi exaltado como Senhor e Juiz vindouro (</w:t>
      </w:r>
      <w:hyperlink r:id="rId8757">
        <w:r>
          <w:rPr>
            <w:color w:val="0000EE"/>
            <w:u w:val="single"/>
          </w:rPr>
          <w:t>10.36–43</w:t>
        </w:r>
      </w:hyperlink>
      <w:r>
        <w:t xml:space="preserve">; </w:t>
      </w:r>
      <w:hyperlink r:id="rId8662">
        <w:r>
          <w:rPr>
            <w:color w:val="0000EE"/>
            <w:u w:val="single"/>
          </w:rPr>
          <w:t>13.32</w:t>
        </w:r>
      </w:hyperlink>
      <w:r>
        <w:t>–</w:t>
      </w:r>
      <w:hyperlink r:id="rId8662">
        <w:r>
          <w:rPr>
            <w:color w:val="0000EE"/>
            <w:u w:val="single"/>
          </w:rPr>
          <w:t>33</w:t>
        </w:r>
      </w:hyperlink>
      <w:r>
        <w:t xml:space="preserve">; </w:t>
      </w:r>
      <w:hyperlink r:id="rId8094">
        <w:r>
          <w:rPr>
            <w:color w:val="0000EE"/>
            <w:u w:val="single"/>
          </w:rPr>
          <w:t>17.18,31</w:t>
        </w:r>
      </w:hyperlink>
      <w:r>
        <w:t>). De acordo com 1 Pedro, os portadores do evangelho (</w:t>
      </w:r>
      <w:hyperlink r:id="rId5075">
        <w:r>
          <w:rPr>
            <w:color w:val="0000EE"/>
            <w:u w:val="single"/>
          </w:rPr>
          <w:t>1 Pedro 1.12</w:t>
        </w:r>
      </w:hyperlink>
      <w:r>
        <w:t>) se concentraram, como os profetas do Antigo Testamento, nos “sofrimentos de Cristo e nas glórias que virão” (</w:t>
      </w:r>
      <w:hyperlink r:id="rId6110">
        <w:r>
          <w:rPr>
            <w:color w:val="0000EE"/>
            <w:u w:val="single"/>
          </w:rPr>
          <w:t>1.11</w:t>
        </w:r>
      </w:hyperlink>
      <w:r>
        <w:t xml:space="preserve">; compare </w:t>
      </w:r>
      <w:hyperlink r:id="rId8758">
        <w:r>
          <w:rPr>
            <w:color w:val="0000EE"/>
            <w:u w:val="single"/>
          </w:rPr>
          <w:t>1.18</w:t>
        </w:r>
      </w:hyperlink>
      <w:r>
        <w:t>–</w:t>
      </w:r>
      <w:hyperlink r:id="rId8758">
        <w:r>
          <w:rPr>
            <w:color w:val="0000EE"/>
            <w:u w:val="single"/>
          </w:rPr>
          <w:t>19</w:t>
        </w:r>
      </w:hyperlink>
      <w:r>
        <w:t xml:space="preserve">; </w:t>
      </w:r>
      <w:hyperlink r:id="rId8759">
        <w:r>
          <w:rPr>
            <w:color w:val="0000EE"/>
            <w:u w:val="single"/>
          </w:rPr>
          <w:t>2.21</w:t>
        </w:r>
      </w:hyperlink>
      <w:r>
        <w:t>–</w:t>
      </w:r>
      <w:hyperlink r:id="rId8759">
        <w:r>
          <w:rPr>
            <w:color w:val="0000EE"/>
            <w:u w:val="single"/>
          </w:rPr>
          <w:t>24</w:t>
        </w:r>
      </w:hyperlink>
      <w:r>
        <w:t xml:space="preserve">; </w:t>
      </w:r>
      <w:hyperlink r:id="rId8760">
        <w:r>
          <w:rPr>
            <w:color w:val="0000EE"/>
            <w:u w:val="single"/>
          </w:rPr>
          <w:t>3.18</w:t>
        </w:r>
      </w:hyperlink>
      <w:r>
        <w:t>–</w:t>
      </w:r>
      <w:hyperlink r:id="rId8760">
        <w:r>
          <w:rPr>
            <w:color w:val="0000EE"/>
            <w:u w:val="single"/>
          </w:rPr>
          <w:t>22</w:t>
        </w:r>
      </w:hyperlink>
      <w:r>
        <w:t>).</w:t>
      </w:r>
    </w:p>
    <w:p>
      <w:pPr>
        <w:pStyle w:val="Heading4"/>
      </w:pPr>
      <w:r>
        <w:t>O Evangelho como um poder para salvação</w:t>
      </w:r>
    </w:p>
    <w:p>
      <w:r/>
      <w:r>
        <w:t xml:space="preserve">O evangelho é muito mais do que um relatório de eventos passados e uma exposição de doutrina. Paulo declara em </w:t>
      </w:r>
      <w:hyperlink r:id="rId8761">
        <w:r>
          <w:rPr>
            <w:color w:val="0000EE"/>
            <w:u w:val="single"/>
          </w:rPr>
          <w:t>1 Coríntios 1.17</w:t>
        </w:r>
      </w:hyperlink>
      <w:r>
        <w:t>–</w:t>
      </w:r>
      <w:hyperlink r:id="rId8761">
        <w:r>
          <w:rPr>
            <w:color w:val="0000EE"/>
            <w:u w:val="single"/>
          </w:rPr>
          <w:t>18</w:t>
        </w:r>
      </w:hyperlink>
      <w:r>
        <w:t xml:space="preserve"> e novamente em </w:t>
      </w:r>
      <w:hyperlink r:id="rId735">
        <w:r>
          <w:rPr>
            <w:color w:val="0000EE"/>
            <w:u w:val="single"/>
          </w:rPr>
          <w:t>Romanos 1.16</w:t>
        </w:r>
      </w:hyperlink>
      <w:r>
        <w:t xml:space="preserve"> que o evangelho é “o poder de Deus”. O evangelho não é meramente uma testemunha de seu poder, mas uma </w:t>
      </w:r>
      <w:r>
        <w:rPr>
          <w:i/>
        </w:rPr>
        <w:t>expressão</w:t>
      </w:r>
      <w:r>
        <w:t xml:space="preserve"> de seu poder. Assim, não pode ser contido (</w:t>
      </w:r>
      <w:hyperlink r:id="rId8762">
        <w:r>
          <w:rPr>
            <w:color w:val="0000EE"/>
            <w:u w:val="single"/>
          </w:rPr>
          <w:t>2 Timóteo 2.8</w:t>
        </w:r>
      </w:hyperlink>
      <w:r>
        <w:t>–</w:t>
      </w:r>
      <w:hyperlink r:id="rId8762">
        <w:r>
          <w:rPr>
            <w:color w:val="0000EE"/>
            <w:u w:val="single"/>
          </w:rPr>
          <w:t>9</w:t>
        </w:r>
      </w:hyperlink>
      <w:r>
        <w:t xml:space="preserve">). “Nosso evangelho veio a vocês não apenas em palavra, mas também em poder”, escreve Paulo em </w:t>
      </w:r>
      <w:hyperlink r:id="rId8447">
        <w:r>
          <w:rPr>
            <w:color w:val="0000EE"/>
            <w:u w:val="single"/>
          </w:rPr>
          <w:t>1 Tessalonicenses 1.5</w:t>
        </w:r>
      </w:hyperlink>
      <w:r>
        <w:t xml:space="preserve">. Seu ponto não é que o evangelho foi acompanhado de obras poderosas (embora isso tenha acontecido; compare </w:t>
      </w:r>
      <w:hyperlink r:id="rId8763">
        <w:r>
          <w:rPr>
            <w:color w:val="0000EE"/>
            <w:u w:val="single"/>
          </w:rPr>
          <w:t>Romanos 15.18</w:t>
        </w:r>
      </w:hyperlink>
      <w:r>
        <w:t>–</w:t>
      </w:r>
      <w:hyperlink r:id="rId8763">
        <w:r>
          <w:rPr>
            <w:color w:val="0000EE"/>
            <w:u w:val="single"/>
          </w:rPr>
          <w:t>19</w:t>
        </w:r>
      </w:hyperlink>
      <w:r>
        <w:t>), mas que o próprio evangelho é uma obra poderosa. Deus o faz através de seu Espírito Santo (</w:t>
      </w:r>
      <w:hyperlink r:id="rId8763">
        <w:r>
          <w:rPr>
            <w:color w:val="0000EE"/>
            <w:u w:val="single"/>
          </w:rPr>
          <w:t>Romanos 15.18–19</w:t>
        </w:r>
      </w:hyperlink>
      <w:r>
        <w:t xml:space="preserve">; </w:t>
      </w:r>
      <w:hyperlink r:id="rId6331">
        <w:r>
          <w:rPr>
            <w:color w:val="0000EE"/>
            <w:u w:val="single"/>
          </w:rPr>
          <w:t>1 Coríntios 2.1</w:t>
        </w:r>
      </w:hyperlink>
      <w:r>
        <w:t>–</w:t>
      </w:r>
      <w:hyperlink r:id="rId6331">
        <w:r>
          <w:rPr>
            <w:color w:val="0000EE"/>
            <w:u w:val="single"/>
          </w:rPr>
          <w:t>5</w:t>
        </w:r>
      </w:hyperlink>
      <w:r>
        <w:t xml:space="preserve">; </w:t>
      </w:r>
      <w:hyperlink r:id="rId8441">
        <w:r>
          <w:rPr>
            <w:color w:val="0000EE"/>
            <w:u w:val="single"/>
          </w:rPr>
          <w:t>1 Tessalonicenses 1.6</w:t>
        </w:r>
      </w:hyperlink>
      <w:r>
        <w:t>).</w:t>
      </w:r>
    </w:p>
    <w:p>
      <w:r/>
      <w:r>
        <w:t xml:space="preserve">Além disso, o propósito singular de Deus em exercer seu poder é mudar a vida das pessoas, libertá-las do pecado e da morte, e reconciliá-las com ele mesmo — resumindo, salvá-las. O evangelho tem poder para efetuar a salvação que anuncia e para transmitir a vida que promete (por exemplo, </w:t>
      </w:r>
      <w:hyperlink r:id="rId735">
        <w:r>
          <w:rPr>
            <w:color w:val="0000EE"/>
            <w:u w:val="single"/>
          </w:rPr>
          <w:t>Romanos 1.16</w:t>
        </w:r>
      </w:hyperlink>
      <w:r>
        <w:t xml:space="preserve">; </w:t>
      </w:r>
      <w:hyperlink r:id="rId8731">
        <w:r>
          <w:rPr>
            <w:color w:val="0000EE"/>
            <w:u w:val="single"/>
          </w:rPr>
          <w:t>10.8</w:t>
        </w:r>
      </w:hyperlink>
      <w:r>
        <w:t>–</w:t>
      </w:r>
      <w:hyperlink r:id="rId8731">
        <w:r>
          <w:rPr>
            <w:color w:val="0000EE"/>
            <w:u w:val="single"/>
          </w:rPr>
          <w:t>17</w:t>
        </w:r>
      </w:hyperlink>
      <w:r>
        <w:t xml:space="preserve">; </w:t>
      </w:r>
      <w:hyperlink r:id="rId8761">
        <w:r>
          <w:rPr>
            <w:color w:val="0000EE"/>
            <w:u w:val="single"/>
          </w:rPr>
          <w:t>1 Coríntios 1.17</w:t>
        </w:r>
      </w:hyperlink>
      <w:r>
        <w:t>–</w:t>
      </w:r>
      <w:hyperlink r:id="rId8761">
        <w:r>
          <w:rPr>
            <w:color w:val="0000EE"/>
            <w:u w:val="single"/>
          </w:rPr>
          <w:t>18</w:t>
        </w:r>
      </w:hyperlink>
      <w:r>
        <w:t xml:space="preserve">; </w:t>
      </w:r>
      <w:hyperlink r:id="rId8764">
        <w:r>
          <w:rPr>
            <w:color w:val="0000EE"/>
            <w:u w:val="single"/>
          </w:rPr>
          <w:t>15.1</w:t>
        </w:r>
      </w:hyperlink>
      <w:r>
        <w:t>–</w:t>
      </w:r>
      <w:hyperlink r:id="rId8764">
        <w:r>
          <w:rPr>
            <w:color w:val="0000EE"/>
            <w:u w:val="single"/>
          </w:rPr>
          <w:t>2</w:t>
        </w:r>
      </w:hyperlink>
      <w:r>
        <w:t xml:space="preserve">; </w:t>
      </w:r>
      <w:hyperlink r:id="rId3216">
        <w:r>
          <w:rPr>
            <w:color w:val="0000EE"/>
            <w:u w:val="single"/>
          </w:rPr>
          <w:t>Efésios 1.13</w:t>
        </w:r>
      </w:hyperlink>
      <w:r>
        <w:t xml:space="preserve">; </w:t>
      </w:r>
      <w:hyperlink r:id="rId8738">
        <w:r>
          <w:rPr>
            <w:color w:val="0000EE"/>
            <w:u w:val="single"/>
          </w:rPr>
          <w:t>2 Tessalonicenses 2.13</w:t>
        </w:r>
      </w:hyperlink>
      <w:r>
        <w:t>–</w:t>
      </w:r>
      <w:hyperlink r:id="rId8738">
        <w:r>
          <w:rPr>
            <w:color w:val="0000EE"/>
            <w:u w:val="single"/>
          </w:rPr>
          <w:t>14</w:t>
        </w:r>
      </w:hyperlink>
      <w:r>
        <w:t xml:space="preserve">; </w:t>
      </w:r>
      <w:hyperlink r:id="rId8765">
        <w:r>
          <w:rPr>
            <w:color w:val="0000EE"/>
            <w:u w:val="single"/>
          </w:rPr>
          <w:t>2 Timóteo 1.8</w:t>
        </w:r>
      </w:hyperlink>
      <w:r>
        <w:t>–</w:t>
      </w:r>
      <w:hyperlink r:id="rId8765">
        <w:r>
          <w:rPr>
            <w:color w:val="0000EE"/>
            <w:u w:val="single"/>
          </w:rPr>
          <w:t>11</w:t>
        </w:r>
      </w:hyperlink>
      <w:r>
        <w:t xml:space="preserve">; </w:t>
      </w:r>
      <w:hyperlink r:id="rId8766">
        <w:r>
          <w:rPr>
            <w:color w:val="0000EE"/>
            <w:u w:val="single"/>
          </w:rPr>
          <w:t>1 Pedro 1.23</w:t>
        </w:r>
      </w:hyperlink>
      <w:r>
        <w:t>–</w:t>
      </w:r>
      <w:hyperlink r:id="rId8766">
        <w:r>
          <w:rPr>
            <w:color w:val="0000EE"/>
            <w:u w:val="single"/>
          </w:rPr>
          <w:t>25</w:t>
        </w:r>
      </w:hyperlink>
      <w:r>
        <w:t>). Se as pessoas quiserem experimentar a salvação, elas devem ouvir e crer no evangelho. É precisamente nesta e através desta mensagem que o poder salvador manifestado na pessoa e na obra de Cristo (especialmente em sua morte e ressurreição) é transmitido aos homens e mulheres, e tornado eficaz em suas vidas. Da mesma forma, é em associação com o evangelho, ou como um resultado direto da recepção do evangelho, que o Espírito Santo é transmitido aos crentes (</w:t>
      </w:r>
      <w:hyperlink r:id="rId8767">
        <w:r>
          <w:rPr>
            <w:color w:val="0000EE"/>
            <w:u w:val="single"/>
          </w:rPr>
          <w:t>Atos 10.36</w:t>
        </w:r>
      </w:hyperlink>
      <w:r>
        <w:t>–</w:t>
      </w:r>
      <w:hyperlink r:id="rId8767">
        <w:r>
          <w:rPr>
            <w:color w:val="0000EE"/>
            <w:u w:val="single"/>
          </w:rPr>
          <w:t>44</w:t>
        </w:r>
      </w:hyperlink>
      <w:r>
        <w:t xml:space="preserve">; </w:t>
      </w:r>
      <w:hyperlink r:id="rId8768">
        <w:r>
          <w:rPr>
            <w:color w:val="0000EE"/>
            <w:u w:val="single"/>
          </w:rPr>
          <w:t>15.7</w:t>
        </w:r>
      </w:hyperlink>
      <w:r>
        <w:t>–</w:t>
      </w:r>
      <w:hyperlink r:id="rId8768">
        <w:r>
          <w:rPr>
            <w:color w:val="0000EE"/>
            <w:u w:val="single"/>
          </w:rPr>
          <w:t>8</w:t>
        </w:r>
      </w:hyperlink>
      <w:r>
        <w:t xml:space="preserve">; </w:t>
      </w:r>
      <w:hyperlink r:id="rId8733">
        <w:r>
          <w:rPr>
            <w:color w:val="0000EE"/>
            <w:u w:val="single"/>
          </w:rPr>
          <w:t>2 Coríntios 11.4</w:t>
        </w:r>
      </w:hyperlink>
      <w:r>
        <w:t xml:space="preserve">; </w:t>
      </w:r>
      <w:hyperlink r:id="rId8769">
        <w:r>
          <w:rPr>
            <w:color w:val="0000EE"/>
            <w:u w:val="single"/>
          </w:rPr>
          <w:t>Gálatas 3.1</w:t>
        </w:r>
      </w:hyperlink>
      <w:r>
        <w:t>–</w:t>
      </w:r>
      <w:hyperlink r:id="rId8769">
        <w:r>
          <w:rPr>
            <w:color w:val="0000EE"/>
            <w:u w:val="single"/>
          </w:rPr>
          <w:t>2</w:t>
        </w:r>
      </w:hyperlink>
      <w:r>
        <w:t>). Em suma, o evangelho é o lugar decisivo de encontro entre o pecador e Deus, o Salvador.</w:t>
      </w:r>
    </w:p>
    <w:p>
      <w:pPr>
        <w:pStyle w:val="Heading4"/>
      </w:pPr>
      <w:r>
        <w:t>O Evangelho da graça</w:t>
      </w:r>
    </w:p>
    <w:p>
      <w:r/>
      <w:r>
        <w:t>De acordo com o testemunho de Pedro no Conselho de Jerusalém (</w:t>
      </w:r>
      <w:hyperlink r:id="rId5337">
        <w:r>
          <w:rPr>
            <w:color w:val="0000EE"/>
            <w:u w:val="single"/>
          </w:rPr>
          <w:t>Atos 15.7</w:t>
        </w:r>
      </w:hyperlink>
      <w:r>
        <w:t>–</w:t>
      </w:r>
      <w:hyperlink r:id="rId5337">
        <w:r>
          <w:rPr>
            <w:color w:val="0000EE"/>
            <w:u w:val="single"/>
          </w:rPr>
          <w:t>11</w:t>
        </w:r>
      </w:hyperlink>
      <w:r>
        <w:t>), uma parte essencial do evangelho — para gentios e judeus — é a salvação “através da graça do Senhor Jesus”. Perto do fim de sua carreira missionária, Paulo afirma que seu interesse básico tem sido “anunciar as boas novas da graça de Deus” (</w:t>
      </w:r>
      <w:hyperlink r:id="rId8756">
        <w:r>
          <w:rPr>
            <w:color w:val="0000EE"/>
            <w:u w:val="single"/>
          </w:rPr>
          <w:t>Atos 20.24</w:t>
        </w:r>
      </w:hyperlink>
      <w:r>
        <w:t>). Esta declaração pode ser entendida apenas em relação ao conceito de Paulo da justiça de Deus, como especialmente estabelecido em Romanos. Paulo está aqui não apenas expondo um atributo divino. Em vez disso, ele está dramatizando uma atividade divina — a manifestação da justiça de Deus agora, “no tempo presente” (</w:t>
      </w:r>
      <w:hyperlink r:id="rId8770">
        <w:r>
          <w:rPr>
            <w:color w:val="0000EE"/>
            <w:u w:val="single"/>
          </w:rPr>
          <w:t>Romanos 3.26</w:t>
        </w:r>
      </w:hyperlink>
      <w:r>
        <w:t>), na nova era iniciada com a chegada de Jesus. A manifestação é dupla. Ver os dois aspectos juntos, e fazê-lo no contexto do evangelho declarado por Isaías e por Jesus (ambos influenciaram fortemente Paulo), respectivamente, nos ajudará a entender por que Paulo fala do “evangelho da graça de Deus”.</w:t>
      </w:r>
    </w:p>
    <w:p>
      <w:r/>
      <w:r>
        <w:t xml:space="preserve">Primeiro, o evangelho é um </w:t>
      </w:r>
      <w:r>
        <w:rPr>
          <w:i/>
        </w:rPr>
        <w:t>testemunho</w:t>
      </w:r>
      <w:r>
        <w:t xml:space="preserve"> da graça de Deus. Ao oferecer seu Filho como um sacrifício pelos pecados (</w:t>
      </w:r>
      <w:hyperlink r:id="rId2767">
        <w:r>
          <w:rPr>
            <w:color w:val="0000EE"/>
            <w:u w:val="single"/>
          </w:rPr>
          <w:t>Romanos 3.25a</w:t>
        </w:r>
      </w:hyperlink>
      <w:r>
        <w:t xml:space="preserve">), Deus demonstra sua justiça (versículos </w:t>
      </w:r>
      <w:hyperlink r:id="rId8771">
        <w:r>
          <w:rPr>
            <w:color w:val="0000EE"/>
            <w:u w:val="single"/>
          </w:rPr>
          <w:t>25b</w:t>
        </w:r>
      </w:hyperlink>
      <w:r>
        <w:t>–</w:t>
      </w:r>
      <w:hyperlink r:id="rId8771">
        <w:r>
          <w:rPr>
            <w:color w:val="0000EE"/>
            <w:u w:val="single"/>
          </w:rPr>
          <w:t>26</w:t>
        </w:r>
      </w:hyperlink>
      <w:r>
        <w:t xml:space="preserve">). Ou seja, na morte de Jesus, pecados anteriormente “passados” (versículo </w:t>
      </w:r>
      <w:hyperlink r:id="rId2767">
        <w:r>
          <w:rPr>
            <w:color w:val="0000EE"/>
            <w:u w:val="single"/>
          </w:rPr>
          <w:t>25c</w:t>
        </w:r>
      </w:hyperlink>
      <w:r>
        <w:t xml:space="preserve">) se tornam o objeto da ira (compare </w:t>
      </w:r>
      <w:hyperlink r:id="rId4423">
        <w:r>
          <w:rPr>
            <w:color w:val="0000EE"/>
            <w:u w:val="single"/>
          </w:rPr>
          <w:t>1.18</w:t>
        </w:r>
      </w:hyperlink>
      <w:r>
        <w:t>) e do julgamento de Deus. No entanto, no mesmo lugar onde Deus lida de forma justa e decisiva com pecados, ele mostra sua graça aos pecadores. Pois o julgamento contra o pecado está focado não nos próprios pecadores, mas naquele que foi nomeado para agir em seu nome e tomar seu lugar (</w:t>
      </w:r>
      <w:hyperlink r:id="rId6335">
        <w:r>
          <w:rPr>
            <w:color w:val="0000EE"/>
            <w:u w:val="single"/>
          </w:rPr>
          <w:t>Romanos 4.25</w:t>
        </w:r>
      </w:hyperlink>
      <w:r>
        <w:t xml:space="preserve">; </w:t>
      </w:r>
      <w:hyperlink r:id="rId8772">
        <w:r>
          <w:rPr>
            <w:color w:val="0000EE"/>
            <w:u w:val="single"/>
          </w:rPr>
          <w:t>5.6,11</w:t>
        </w:r>
      </w:hyperlink>
      <w:r>
        <w:t xml:space="preserve">; compare </w:t>
      </w:r>
      <w:hyperlink r:id="rId3239">
        <w:r>
          <w:rPr>
            <w:color w:val="0000EE"/>
            <w:u w:val="single"/>
          </w:rPr>
          <w:t>2 Coríntios 5.21</w:t>
        </w:r>
      </w:hyperlink>
      <w:r>
        <w:t xml:space="preserve">; </w:t>
      </w:r>
      <w:hyperlink r:id="rId6300">
        <w:r>
          <w:rPr>
            <w:color w:val="0000EE"/>
            <w:u w:val="single"/>
          </w:rPr>
          <w:t>Gálatas 3.13</w:t>
        </w:r>
      </w:hyperlink>
      <w:r>
        <w:t>). Nesta base, os pecadores são livremente perdoados (</w:t>
      </w:r>
      <w:hyperlink r:id="rId8773">
        <w:r>
          <w:rPr>
            <w:color w:val="0000EE"/>
            <w:u w:val="single"/>
          </w:rPr>
          <w:t>Romanos 3.24</w:t>
        </w:r>
      </w:hyperlink>
      <w:r>
        <w:t>). “A graça do Senhor Jesus” (</w:t>
      </w:r>
      <w:hyperlink r:id="rId4973">
        <w:r>
          <w:rPr>
            <w:color w:val="0000EE"/>
            <w:u w:val="single"/>
          </w:rPr>
          <w:t>Atos 15.11</w:t>
        </w:r>
      </w:hyperlink>
      <w:r>
        <w:t>) para com os pecadores também fica em evidência, pois ele suporta de bom grado sua maldade e sofre as consequências de seus atos errados (</w:t>
      </w:r>
      <w:hyperlink r:id="rId4289">
        <w:r>
          <w:rPr>
            <w:color w:val="0000EE"/>
            <w:u w:val="single"/>
          </w:rPr>
          <w:t>Gálatas 2.20</w:t>
        </w:r>
      </w:hyperlink>
      <w:r>
        <w:t xml:space="preserve">; compare </w:t>
      </w:r>
      <w:hyperlink r:id="rId8774">
        <w:r>
          <w:rPr>
            <w:color w:val="0000EE"/>
            <w:u w:val="single"/>
          </w:rPr>
          <w:t>2 Coríntios 8.9</w:t>
        </w:r>
      </w:hyperlink>
      <w:r>
        <w:t xml:space="preserve">; </w:t>
      </w:r>
      <w:hyperlink r:id="rId6131">
        <w:r>
          <w:rPr>
            <w:color w:val="0000EE"/>
            <w:u w:val="single"/>
          </w:rPr>
          <w:t>Filipenses 2.6</w:t>
        </w:r>
      </w:hyperlink>
      <w:r>
        <w:t>–</w:t>
      </w:r>
      <w:hyperlink r:id="rId6131">
        <w:r>
          <w:rPr>
            <w:color w:val="0000EE"/>
            <w:u w:val="single"/>
          </w:rPr>
          <w:t>8</w:t>
        </w:r>
      </w:hyperlink>
      <w:r>
        <w:t>).</w:t>
      </w:r>
    </w:p>
    <w:p>
      <w:r/>
      <w:r>
        <w:t xml:space="preserve">Segundo, o evangelho é um </w:t>
      </w:r>
      <w:r>
        <w:rPr>
          <w:i/>
        </w:rPr>
        <w:t>meio</w:t>
      </w:r>
      <w:r>
        <w:t xml:space="preserve"> da graça de Deus. “O evangelho revela a justiça de Deus”, diz Paulo (</w:t>
      </w:r>
      <w:hyperlink r:id="rId3247">
        <w:r>
          <w:rPr>
            <w:color w:val="0000EE"/>
            <w:u w:val="single"/>
          </w:rPr>
          <w:t>Romanos 1.17</w:t>
        </w:r>
      </w:hyperlink>
      <w:r>
        <w:t xml:space="preserve">). Com isso, ele quer dizer, não que o evangelho fala sobre a justiça de Deus (embora fale), mas que a justiça de Deus está ativamente em ação no evangelho. Esta atividade, por sua vez, explica como o evangelho se torna “o poder de Deus para salvação” (versículo </w:t>
      </w:r>
      <w:hyperlink r:id="rId735">
        <w:r>
          <w:rPr>
            <w:color w:val="0000EE"/>
            <w:u w:val="single"/>
          </w:rPr>
          <w:t>16</w:t>
        </w:r>
      </w:hyperlink>
      <w:r>
        <w:t xml:space="preserve">). E como Deus demonstra sua justiça neste cenário? Em suma, ao concedê-lo como um presente gratuito a seres humanos pecadores. Permanece a justiça de Deus, mas pela graça de Deus, é uma justiça na qual os seres humanos podem compartilhar. Além disso, participar da justiça de Deus depende de ser pessoalmente unido com Jesus Cristo. Na visão de Paulo, a pessoa salva é alguém que foi absolvido, justificado e “declarado justo” por Deus, o juiz. A base para o veredicto não é que eu em mim mesmo sou justo (Deus justifica os ímpios, </w:t>
      </w:r>
      <w:hyperlink r:id="rId8775">
        <w:r>
          <w:rPr>
            <w:color w:val="0000EE"/>
            <w:u w:val="single"/>
          </w:rPr>
          <w:t>Romanos 4.5</w:t>
        </w:r>
      </w:hyperlink>
      <w:r>
        <w:t xml:space="preserve">). Deus também não me trata como se eu fosse justo. De acordo com Paulo, sou declarado justo porque realmente </w:t>
      </w:r>
      <w:r>
        <w:rPr>
          <w:i/>
        </w:rPr>
        <w:t>sou</w:t>
      </w:r>
      <w:r>
        <w:t xml:space="preserve"> justo — não por mim mesmo, mas em Cristo (</w:t>
      </w:r>
      <w:hyperlink r:id="rId8776">
        <w:r>
          <w:rPr>
            <w:color w:val="0000EE"/>
            <w:u w:val="single"/>
          </w:rPr>
          <w:t>1 Coríntios 1.30</w:t>
        </w:r>
      </w:hyperlink>
      <w:r>
        <w:t xml:space="preserve">; </w:t>
      </w:r>
      <w:hyperlink r:id="rId3239">
        <w:r>
          <w:rPr>
            <w:color w:val="0000EE"/>
            <w:u w:val="single"/>
          </w:rPr>
          <w:t>2 Coríntios 5.21</w:t>
        </w:r>
      </w:hyperlink>
      <w:r>
        <w:t xml:space="preserve">; </w:t>
      </w:r>
      <w:hyperlink r:id="rId8777">
        <w:r>
          <w:rPr>
            <w:color w:val="0000EE"/>
            <w:u w:val="single"/>
          </w:rPr>
          <w:t>Filipenses 3.9</w:t>
        </w:r>
      </w:hyperlink>
      <w:r>
        <w:t>). Esta união é estabelecida através da revelação — e a oferta gratuita — da justiça de Deus no evangelho (</w:t>
      </w:r>
      <w:hyperlink r:id="rId8778">
        <w:r>
          <w:rPr>
            <w:color w:val="0000EE"/>
            <w:u w:val="single"/>
          </w:rPr>
          <w:t>Romanos 1.16</w:t>
        </w:r>
      </w:hyperlink>
      <w:r>
        <w:t>–</w:t>
      </w:r>
      <w:hyperlink r:id="rId8778">
        <w:r>
          <w:rPr>
            <w:color w:val="0000EE"/>
            <w:u w:val="single"/>
          </w:rPr>
          <w:t>17</w:t>
        </w:r>
      </w:hyperlink>
      <w:r>
        <w:t>).</w:t>
      </w:r>
    </w:p>
    <w:p>
      <w:pPr>
        <w:pStyle w:val="Heading4"/>
      </w:pPr>
      <w:r>
        <w:t>Respondendo ao Evangelho</w:t>
      </w:r>
    </w:p>
    <w:p>
      <w:r/>
      <w:r>
        <w:t>O evangelho pede por uma resposta tríplice:</w:t>
      </w:r>
    </w:p>
    <w:p>
      <w:pPr>
        <w:pStyle w:val="ListNumber"/>
        <w:spacing w:line="240" w:lineRule="auto"/>
        <w:ind w:left="720"/>
      </w:pPr>
      <w:r/>
      <w:r>
        <w:rPr>
          <w:i/>
        </w:rPr>
        <w:t>Crença</w:t>
      </w:r>
      <w:r>
        <w:t>. O evangelho, diz Paulo, é “o poder de Deus para salvação a todos os que crêem” (</w:t>
      </w:r>
      <w:hyperlink r:id="rId735">
        <w:r>
          <w:rPr>
            <w:color w:val="0000EE"/>
            <w:u w:val="single"/>
          </w:rPr>
          <w:t>Romanos 1.16</w:t>
        </w:r>
      </w:hyperlink>
      <w:r>
        <w:t>). Para Paulo, a fé é o abandono de toda a confiança nas “obras da lei” para a justificação (</w:t>
      </w:r>
      <w:hyperlink r:id="rId8779">
        <w:r>
          <w:rPr>
            <w:color w:val="0000EE"/>
            <w:u w:val="single"/>
          </w:rPr>
          <w:t>3.28</w:t>
        </w:r>
      </w:hyperlink>
      <w:r>
        <w:t xml:space="preserve">) e total dependência da graça de Deus como demonstrado na obra de Cristo, especialmente sua morte (versículo </w:t>
      </w:r>
      <w:hyperlink r:id="rId2767">
        <w:r>
          <w:rPr>
            <w:color w:val="0000EE"/>
            <w:u w:val="single"/>
          </w:rPr>
          <w:t>25</w:t>
        </w:r>
      </w:hyperlink>
      <w:r>
        <w:t xml:space="preserve">). Assim, o “evangelho diferente” de </w:t>
      </w:r>
      <w:hyperlink r:id="rId6275">
        <w:r>
          <w:rPr>
            <w:color w:val="0000EE"/>
            <w:u w:val="single"/>
          </w:rPr>
          <w:t>Gálatas 1.6</w:t>
        </w:r>
      </w:hyperlink>
      <w:r>
        <w:t xml:space="preserve"> e </w:t>
      </w:r>
      <w:hyperlink r:id="rId8733">
        <w:r>
          <w:rPr>
            <w:color w:val="0000EE"/>
            <w:u w:val="single"/>
          </w:rPr>
          <w:t>2 Coríntios 11.4</w:t>
        </w:r>
      </w:hyperlink>
      <w:r>
        <w:t xml:space="preserve"> é enganoso, pois prega a salvação por mérito pessoal em vez de (ou junto com) a obra de Cristo (compare </w:t>
      </w:r>
      <w:hyperlink r:id="rId8780">
        <w:r>
          <w:rPr>
            <w:color w:val="0000EE"/>
            <w:u w:val="single"/>
          </w:rPr>
          <w:t>Gálatas 2.16</w:t>
        </w:r>
      </w:hyperlink>
      <w:r>
        <w:t>). Em última análise, a fé está em Deus (</w:t>
      </w:r>
      <w:hyperlink r:id="rId8781">
        <w:r>
          <w:rPr>
            <w:color w:val="0000EE"/>
            <w:u w:val="single"/>
          </w:rPr>
          <w:t>Romanos 4.24</w:t>
        </w:r>
      </w:hyperlink>
      <w:r>
        <w:t xml:space="preserve">; </w:t>
      </w:r>
      <w:hyperlink r:id="rId8782">
        <w:r>
          <w:rPr>
            <w:color w:val="0000EE"/>
            <w:u w:val="single"/>
          </w:rPr>
          <w:t>1 Tessalonicenses 1.8</w:t>
        </w:r>
      </w:hyperlink>
      <w:r>
        <w:t>–</w:t>
      </w:r>
      <w:hyperlink r:id="rId8782">
        <w:r>
          <w:rPr>
            <w:color w:val="0000EE"/>
            <w:u w:val="single"/>
          </w:rPr>
          <w:t>9</w:t>
        </w:r>
      </w:hyperlink>
      <w:r>
        <w:t>) e em Cristo (</w:t>
      </w:r>
      <w:hyperlink r:id="rId4437">
        <w:r>
          <w:rPr>
            <w:color w:val="0000EE"/>
            <w:u w:val="single"/>
          </w:rPr>
          <w:t>Romanos 3.22,26</w:t>
        </w:r>
      </w:hyperlink>
      <w:r>
        <w:t xml:space="preserve">; </w:t>
      </w:r>
      <w:hyperlink r:id="rId8780">
        <w:r>
          <w:rPr>
            <w:color w:val="0000EE"/>
            <w:u w:val="single"/>
          </w:rPr>
          <w:t>Gálatas 2.16,20</w:t>
        </w:r>
      </w:hyperlink>
      <w:r>
        <w:t>). No entanto, é imperativo que se creia no evangelho também (</w:t>
      </w:r>
      <w:hyperlink r:id="rId7090">
        <w:r>
          <w:rPr>
            <w:color w:val="0000EE"/>
            <w:u w:val="single"/>
          </w:rPr>
          <w:t>Atos 8.12</w:t>
        </w:r>
      </w:hyperlink>
      <w:r>
        <w:t xml:space="preserve">; </w:t>
      </w:r>
      <w:hyperlink r:id="rId8741">
        <w:r>
          <w:rPr>
            <w:color w:val="0000EE"/>
            <w:u w:val="single"/>
          </w:rPr>
          <w:t>11.20</w:t>
        </w:r>
      </w:hyperlink>
      <w:r>
        <w:t>–</w:t>
      </w:r>
      <w:hyperlink r:id="rId8741">
        <w:r>
          <w:rPr>
            <w:color w:val="0000EE"/>
            <w:u w:val="single"/>
          </w:rPr>
          <w:t>21</w:t>
        </w:r>
      </w:hyperlink>
      <w:r>
        <w:t xml:space="preserve">; </w:t>
      </w:r>
      <w:hyperlink r:id="rId7856">
        <w:r>
          <w:rPr>
            <w:color w:val="0000EE"/>
            <w:u w:val="single"/>
          </w:rPr>
          <w:t>15.7</w:t>
        </w:r>
      </w:hyperlink>
      <w:r>
        <w:t xml:space="preserve">; </w:t>
      </w:r>
      <w:hyperlink r:id="rId735">
        <w:r>
          <w:rPr>
            <w:color w:val="0000EE"/>
            <w:u w:val="single"/>
          </w:rPr>
          <w:t>Romanos 1.16</w:t>
        </w:r>
      </w:hyperlink>
      <w:r>
        <w:t xml:space="preserve">; </w:t>
      </w:r>
      <w:hyperlink r:id="rId8731">
        <w:r>
          <w:rPr>
            <w:color w:val="0000EE"/>
            <w:u w:val="single"/>
          </w:rPr>
          <w:t>10.8</w:t>
        </w:r>
      </w:hyperlink>
      <w:r>
        <w:t>–</w:t>
      </w:r>
      <w:hyperlink r:id="rId8731">
        <w:r>
          <w:rPr>
            <w:color w:val="0000EE"/>
            <w:u w:val="single"/>
          </w:rPr>
          <w:t>17</w:t>
        </w:r>
      </w:hyperlink>
      <w:r>
        <w:t xml:space="preserve">; </w:t>
      </w:r>
      <w:hyperlink r:id="rId8783">
        <w:r>
          <w:rPr>
            <w:color w:val="0000EE"/>
            <w:u w:val="single"/>
          </w:rPr>
          <w:t>1 Coríntios 1.17</w:t>
        </w:r>
      </w:hyperlink>
      <w:r>
        <w:t>–</w:t>
      </w:r>
      <w:hyperlink r:id="rId8783">
        <w:r>
          <w:rPr>
            <w:color w:val="0000EE"/>
            <w:u w:val="single"/>
          </w:rPr>
          <w:t>24</w:t>
        </w:r>
      </w:hyperlink>
      <w:r>
        <w:t xml:space="preserve">; </w:t>
      </w:r>
      <w:hyperlink r:id="rId950">
        <w:r>
          <w:rPr>
            <w:color w:val="0000EE"/>
            <w:u w:val="single"/>
          </w:rPr>
          <w:t>Filipenses 1.27</w:t>
        </w:r>
      </w:hyperlink>
      <w:r>
        <w:t xml:space="preserve">; </w:t>
      </w:r>
      <w:hyperlink r:id="rId8659">
        <w:r>
          <w:rPr>
            <w:color w:val="0000EE"/>
            <w:u w:val="single"/>
          </w:rPr>
          <w:t>Hebreus 4.2</w:t>
        </w:r>
      </w:hyperlink>
      <w:r>
        <w:t>), pois é apenas por este meio que a salvação de Deus é dada a conhecer e mediada. Além disso, crer no evangelho implica arrependimento (</w:t>
      </w:r>
      <w:hyperlink r:id="rId5496">
        <w:r>
          <w:rPr>
            <w:color w:val="0000EE"/>
            <w:u w:val="single"/>
          </w:rPr>
          <w:t>Atos 14.15</w:t>
        </w:r>
      </w:hyperlink>
      <w:r>
        <w:t xml:space="preserve">; </w:t>
      </w:r>
      <w:hyperlink r:id="rId2600">
        <w:r>
          <w:rPr>
            <w:color w:val="0000EE"/>
            <w:u w:val="single"/>
          </w:rPr>
          <w:t>20.21,24</w:t>
        </w:r>
      </w:hyperlink>
      <w:r>
        <w:t xml:space="preserve">; </w:t>
      </w:r>
      <w:hyperlink r:id="rId8744">
        <w:r>
          <w:rPr>
            <w:color w:val="0000EE"/>
            <w:u w:val="single"/>
          </w:rPr>
          <w:t>1 Tessalonicenses 1.5</w:t>
        </w:r>
      </w:hyperlink>
      <w:r>
        <w:t>–</w:t>
      </w:r>
      <w:hyperlink r:id="rId8744">
        <w:r>
          <w:rPr>
            <w:color w:val="0000EE"/>
            <w:u w:val="single"/>
          </w:rPr>
          <w:t>10</w:t>
        </w:r>
      </w:hyperlink>
      <w:r>
        <w:t>) e obediência (</w:t>
      </w:r>
      <w:hyperlink r:id="rId8784">
        <w:r>
          <w:rPr>
            <w:color w:val="0000EE"/>
            <w:u w:val="single"/>
          </w:rPr>
          <w:t>Romanos 1.5</w:t>
        </w:r>
      </w:hyperlink>
      <w:r>
        <w:t xml:space="preserve">; </w:t>
      </w:r>
      <w:hyperlink r:id="rId8724">
        <w:r>
          <w:rPr>
            <w:color w:val="0000EE"/>
            <w:u w:val="single"/>
          </w:rPr>
          <w:t>15.16</w:t>
        </w:r>
      </w:hyperlink>
      <w:r>
        <w:t>–</w:t>
      </w:r>
      <w:hyperlink r:id="rId8724">
        <w:r>
          <w:rPr>
            <w:color w:val="0000EE"/>
            <w:u w:val="single"/>
          </w:rPr>
          <w:t>18</w:t>
        </w:r>
      </w:hyperlink>
      <w:r>
        <w:t xml:space="preserve">; </w:t>
      </w:r>
      <w:hyperlink r:id="rId8785">
        <w:r>
          <w:rPr>
            <w:color w:val="0000EE"/>
            <w:u w:val="single"/>
          </w:rPr>
          <w:t>Hebreus 4.6</w:t>
        </w:r>
      </w:hyperlink>
      <w:r>
        <w:t>). Aqueles que se negam a obedecer ao evangelho estão colocando suas vidas em perigo (</w:t>
      </w:r>
      <w:hyperlink r:id="rId8786">
        <w:r>
          <w:rPr>
            <w:color w:val="0000EE"/>
            <w:u w:val="single"/>
          </w:rPr>
          <w:t>2 Tessalonicenses 1.5</w:t>
        </w:r>
      </w:hyperlink>
      <w:r>
        <w:t>–</w:t>
      </w:r>
      <w:hyperlink r:id="rId8786">
        <w:r>
          <w:rPr>
            <w:color w:val="0000EE"/>
            <w:u w:val="single"/>
          </w:rPr>
          <w:t>10</w:t>
        </w:r>
      </w:hyperlink>
      <w:r>
        <w:t xml:space="preserve">; </w:t>
      </w:r>
      <w:hyperlink r:id="rId4510">
        <w:r>
          <w:rPr>
            <w:color w:val="0000EE"/>
            <w:u w:val="single"/>
          </w:rPr>
          <w:t>1 Pedro 4.17</w:t>
        </w:r>
      </w:hyperlink>
      <w:r>
        <w:t>).</w:t>
      </w:r>
    </w:p>
    <w:p>
      <w:pPr>
        <w:pStyle w:val="ListNumber"/>
        <w:spacing w:line="240" w:lineRule="auto"/>
        <w:ind w:left="720"/>
      </w:pPr>
      <w:r/>
      <w:r>
        <w:rPr>
          <w:i/>
        </w:rPr>
        <w:t>Crescimento.</w:t>
      </w:r>
      <w:r>
        <w:t xml:space="preserve"> O evangelho é mais do que uma mensagem a ser recebida. Também é um lugar onde se manter (</w:t>
      </w:r>
      <w:hyperlink r:id="rId8764">
        <w:r>
          <w:rPr>
            <w:color w:val="0000EE"/>
            <w:u w:val="single"/>
          </w:rPr>
          <w:t>1 Coríntios 15.1</w:t>
        </w:r>
      </w:hyperlink>
      <w:r>
        <w:t>–</w:t>
      </w:r>
      <w:hyperlink r:id="rId8764">
        <w:r>
          <w:rPr>
            <w:color w:val="0000EE"/>
            <w:u w:val="single"/>
          </w:rPr>
          <w:t>2</w:t>
        </w:r>
      </w:hyperlink>
      <w:r>
        <w:t xml:space="preserve">). É o sustentador da vida, bem como doador da vida. Deve-se crescer como cristão, não se voltando do evangelho para outras coisas (se afastar do evangelho é abandonar Deus e Cristo, </w:t>
      </w:r>
      <w:hyperlink r:id="rId6275">
        <w:r>
          <w:rPr>
            <w:color w:val="0000EE"/>
            <w:u w:val="single"/>
          </w:rPr>
          <w:t>Gálatas 1.6</w:t>
        </w:r>
      </w:hyperlink>
      <w:r>
        <w:t xml:space="preserve">), mas mergulhando cada vez mais profundamente no evangelho. Em </w:t>
      </w:r>
      <w:hyperlink r:id="rId8787">
        <w:r>
          <w:rPr>
            <w:color w:val="0000EE"/>
            <w:u w:val="single"/>
          </w:rPr>
          <w:t>Romanos 1.15</w:t>
        </w:r>
      </w:hyperlink>
      <w:r>
        <w:t>, Paulo expressa sua sede em proclamar o evangelho aos cristãos em Roma. Nos capítulos seguintes, antecipando sua visita, ele oferece uma de suas exposições mais profundas do evangelho — uma que nunca foi sondada e seu poder nunca foi esgotado.</w:t>
      </w:r>
    </w:p>
    <w:p>
      <w:pPr>
        <w:pStyle w:val="ListNumber"/>
        <w:spacing w:line="240" w:lineRule="auto"/>
        <w:ind w:left="720"/>
      </w:pPr>
      <w:r/>
      <w:r>
        <w:rPr>
          <w:i/>
        </w:rPr>
        <w:t>Esperança.</w:t>
      </w:r>
      <w:r>
        <w:t xml:space="preserve"> “A esperança do evangelho” (</w:t>
      </w:r>
      <w:hyperlink r:id="rId8788">
        <w:r>
          <w:rPr>
            <w:color w:val="0000EE"/>
            <w:u w:val="single"/>
          </w:rPr>
          <w:t>Colossenses 1.23</w:t>
        </w:r>
      </w:hyperlink>
      <w:r>
        <w:t>) inclui não apenas o retorno de Cristo e a glória do céu (</w:t>
      </w:r>
      <w:hyperlink r:id="rId5127">
        <w:r>
          <w:rPr>
            <w:color w:val="0000EE"/>
            <w:u w:val="single"/>
          </w:rPr>
          <w:t>Colossenses 1.5</w:t>
        </w:r>
      </w:hyperlink>
      <w:r>
        <w:t xml:space="preserve">; </w:t>
      </w:r>
      <w:hyperlink r:id="rId5126">
        <w:r>
          <w:rPr>
            <w:color w:val="0000EE"/>
            <w:u w:val="single"/>
          </w:rPr>
          <w:t>3.1</w:t>
        </w:r>
      </w:hyperlink>
      <w:r>
        <w:t>–</w:t>
      </w:r>
      <w:hyperlink r:id="rId5126">
        <w:r>
          <w:rPr>
            <w:color w:val="0000EE"/>
            <w:u w:val="single"/>
          </w:rPr>
          <w:t>4</w:t>
        </w:r>
      </w:hyperlink>
      <w:r>
        <w:t xml:space="preserve">; </w:t>
      </w:r>
      <w:hyperlink r:id="rId8789">
        <w:r>
          <w:rPr>
            <w:color w:val="0000EE"/>
            <w:u w:val="single"/>
          </w:rPr>
          <w:t>2 Tessalonicenses 2.14</w:t>
        </w:r>
      </w:hyperlink>
      <w:r>
        <w:t>–</w:t>
      </w:r>
      <w:hyperlink r:id="rId8789">
        <w:r>
          <w:rPr>
            <w:color w:val="0000EE"/>
            <w:u w:val="single"/>
          </w:rPr>
          <w:t>16</w:t>
        </w:r>
      </w:hyperlink>
      <w:r>
        <w:t>), mas também o julgamento final. Para aqueles que abraçam o evangelho, o julgamento final não contém terrores, porque o Juiz [Cristo] é o mesmo que os resgata da ira que está por vir (</w:t>
      </w:r>
      <w:hyperlink r:id="rId8790">
        <w:r>
          <w:rPr>
            <w:color w:val="0000EE"/>
            <w:u w:val="single"/>
          </w:rPr>
          <w:t>1 Tessalonicenses 1.10</w:t>
        </w:r>
      </w:hyperlink>
      <w:r>
        <w:t>). Aqueles que estão unidos a ele não precisam temer a condenação agora ou no final (</w:t>
      </w:r>
      <w:hyperlink r:id="rId8791">
        <w:r>
          <w:rPr>
            <w:color w:val="0000EE"/>
            <w:u w:val="single"/>
          </w:rPr>
          <w:t>Romanos 8.1</w:t>
        </w:r>
      </w:hyperlink>
      <w:r>
        <w:t>). Em vez disso, o julgamento final marcará sua vindicação final (</w:t>
      </w:r>
      <w:hyperlink r:id="rId5673">
        <w:r>
          <w:rPr>
            <w:color w:val="0000EE"/>
            <w:u w:val="single"/>
          </w:rPr>
          <w:t>1 Coríntios 4.5</w:t>
        </w:r>
      </w:hyperlink>
      <w:r>
        <w:t xml:space="preserve">; </w:t>
      </w:r>
      <w:hyperlink r:id="rId8792">
        <w:r>
          <w:rPr>
            <w:color w:val="0000EE"/>
            <w:u w:val="single"/>
          </w:rPr>
          <w:t>Gálatas 5.5</w:t>
        </w:r>
      </w:hyperlink>
      <w:r>
        <w:t>). Assim, este tema não é apenas uma consequência, mas uma parte integral das boas novas (</w:t>
      </w:r>
      <w:hyperlink r:id="rId8745">
        <w:r>
          <w:rPr>
            <w:color w:val="0000EE"/>
            <w:u w:val="single"/>
          </w:rPr>
          <w:t>Romanos 2.16</w:t>
        </w:r>
      </w:hyperlink>
      <w:r>
        <w:t>). Aqueles que morreram desde que acreditaram no evangelho (</w:t>
      </w:r>
      <w:hyperlink r:id="rId113">
        <w:r>
          <w:rPr>
            <w:color w:val="0000EE"/>
            <w:u w:val="single"/>
          </w:rPr>
          <w:t>1 Pedro 4.6</w:t>
        </w:r>
      </w:hyperlink>
      <w:r>
        <w:t>) podem parecer ter sofrido um destino comum a todas as pessoas, ou até mesmo a condenação reservada para os sem lei. Na verdade, sua resposta ao evangelho os assegura de aprovação do Senhor que vem (</w:t>
      </w:r>
      <w:hyperlink r:id="rId8793">
        <w:r>
          <w:rPr>
            <w:color w:val="0000EE"/>
            <w:u w:val="single"/>
          </w:rPr>
          <w:t>4.5</w:t>
        </w:r>
      </w:hyperlink>
      <w:r>
        <w:t>–</w:t>
      </w:r>
      <w:hyperlink r:id="rId8793">
        <w:r>
          <w:rPr>
            <w:color w:val="0000EE"/>
            <w:u w:val="single"/>
          </w:rPr>
          <w:t>6</w:t>
        </w:r>
      </w:hyperlink>
      <w:r>
        <w:t xml:space="preserve">; </w:t>
      </w:r>
      <w:hyperlink r:id="rId4803">
        <w:r>
          <w:rPr>
            <w:color w:val="0000EE"/>
            <w:u w:val="single"/>
          </w:rPr>
          <w:t>5.4</w:t>
        </w:r>
      </w:hyperlink>
      <w:r>
        <w:t>) e de participação na herança imperecível do céu (</w:t>
      </w:r>
      <w:hyperlink r:id="rId4802">
        <w:r>
          <w:rPr>
            <w:color w:val="0000EE"/>
            <w:u w:val="single"/>
          </w:rPr>
          <w:t>1.4</w:t>
        </w:r>
      </w:hyperlink>
      <w:r>
        <w:t>).</w:t>
      </w:r>
      <w:r/>
      <w:r/>
    </w:p>
    <w:p>
      <w:r/>
    </w:p>
    <w:p>
      <w:pPr>
        <w:pStyle w:val="Heading2"/>
      </w:pPr>
      <w:r>
        <w:t>Evangelhos Sinóticos*</w:t>
      </w:r>
      <w:r/>
    </w:p>
    <w:p>
      <w:r/>
      <w:r>
        <w:t>Termo (significa literalmente “mesma visão”) aplicado a Mateus, Marcos e Lucas porque veem o ministério de Jesus geralmente do mesmo ponto de vista, o que é bastante diferente do Evangelho de João.</w:t>
      </w:r>
    </w:p>
    <w:p>
      <w:r/>
      <w:r>
        <w:t>As semelhanças entre esses três Evangelhos incluem seu uso de um esboço comum: introdução; ministério de João Batista e o batismo e tentação de Jesus; o amplo ministério de Jesus na Galileia; sua jornada e ministério através de Samaria, Pereia e Judeia rural; e a semana da Páscoa, morte e ressurreição de Jesus em Jerusalém. Os livros também registram a mesma ênfase no ensino de Jesus — a presença, natureza e implantação do reino de Deus. Além disso, esses três Evangelhos relatam grande parte do mesmo material, geralmente na mesma ordem, e muitas vezes com palavras semelhantes ou idênticas.</w:t>
      </w:r>
    </w:p>
    <w:p>
      <w:r/>
      <w:r>
        <w:t>Além das semelhanças, também há diferenças marcantes entre Mateus, Marcos e Lucas. Esses caem nas mesmas categorias gerais que as semelhanças — esboço, material, organização e redação. Mateus e Lucas também têm material comum considerável não encontrado em Marcos, que, exceto pela cura do escravo do centurião, é composto exclusivamente das palavras e ensinamentos de Jesus. Cada Evangelho também contém relatos e ensinamentos que são únicos. O resultado é uma rica diversidade dentro da unidade sinótica, cada um dos quais fornece retratos de Jesus de uma variedade de pontos de vista. Mateus enfatiza o judaísmo de Jesus e a continuidade de sua pessoa e obra com a mensagem do AT. O rápido relato de Marcos apresenta Jesus como um homem de ação, o Filho do Homem que era um servo entre os homens. Lucas, no estilo literário grego requintado, parece se dirigir aos gentios cultos e mostra Jesus como um amigo de grupos desfavorecidos.</w:t>
      </w:r>
    </w:p>
    <w:p>
      <w:r/>
      <w:r>
        <w:t>As tentativas de explicar tanto as semelhanças quanto as diferenças dentro desses Evangelhos consistem no “problema sinótico”. As soluções foram buscadas de muitas maneiras. Já no segundo século, Tatiano combinou os quatro relatos em um; “harmonias” adicionais dos relatos dos Evangelhos tem sido continuamente produzidas. Desde o século 17, os estudiosos tentaram explicar as semelhanças e diferenças examinando os estágios pelos quais se presume que o material do Evangelho tenha passado antes de chegar à sua forma atual. A crítica da forma tenta identificar as influências do período de transmissão oral; a crítica da fonte ou literária considera os supostos documentos escritos dos quais os evangelistas extraíram informações; a crítica da redação (ou editorial) busca determinar a natureza ou propósitos e personalidades dos editores-autores finais sobre os relatos das atividades e ensinamentos de Jesus. Outras sugestões chamaram a atenção para a adaptação do material para um público específico, as semelhanças entre os relatos sinópticos dos ensinamentos de Jesus e os relatos paralelos dos rabinos judeus no Talmude, e mais. Nenhuma solução completamente satisfatória para o problema sinótico está disponível. O fato é que as Escrituras apresentam Jesus em várias perspectivas; o leitor consciente deve buscar o propósito divino das semelhanças e das diferenças dessas proclamações das “boas novas de Jesus Cristo, o Filho de Deus” (</w:t>
      </w:r>
      <w:hyperlink r:id="rId6102">
        <w:r>
          <w:rPr>
            <w:color w:val="0000EE"/>
            <w:u w:val="single"/>
          </w:rPr>
          <w:t>Mc 1.1</w:t>
        </w:r>
      </w:hyperlink>
      <w:r>
        <w:t xml:space="preserve">). </w:t>
      </w:r>
      <w:r>
        <w:rPr>
          <w:i/>
        </w:rPr>
        <w:t>Veja</w:t>
      </w:r>
      <w:r>
        <w:t xml:space="preserve"> </w:t>
      </w:r>
      <w:r>
        <w:t>Evangelho</w:t>
      </w:r>
      <w:r>
        <w:t xml:space="preserve">; </w:t>
      </w:r>
      <w:r>
        <w:t>Lucas, Evangelho de</w:t>
      </w:r>
      <w:r>
        <w:t xml:space="preserve">; </w:t>
      </w:r>
      <w:r>
        <w:t>Marcos, Evangelho de</w:t>
      </w:r>
      <w:r>
        <w:t xml:space="preserve">; </w:t>
      </w:r>
      <w:r>
        <w:t>Mateus, Evangelho de</w:t>
      </w:r>
      <w:r>
        <w:t>.</w:t>
      </w:r>
      <w:r/>
      <w:r/>
    </w:p>
    <w:p>
      <w:r/>
    </w:p>
    <w:p>
      <w:pPr>
        <w:pStyle w:val="Heading2"/>
      </w:pPr>
      <w:r>
        <w:t>Evangelista</w:t>
      </w:r>
      <w:r/>
    </w:p>
    <w:p>
      <w:r/>
      <w:r>
        <w:t>Um evangelista é uma pessoa que anuncia e compartilha as boas-novas sobre Jesus Cristo. Este termo aparece três vezes no Novo Testamento.</w:t>
      </w:r>
    </w:p>
    <w:p>
      <w:r/>
      <w:r>
        <w:t>O apóstolo Paulo exortou a igreja de Éfeso a "que vivam de uma maneira que esteja de acordo com o que Deus quis quando chamou vocês" (</w:t>
      </w:r>
      <w:hyperlink r:id="rId8794">
        <w:r>
          <w:rPr>
            <w:color w:val="0000EE"/>
            <w:u w:val="single"/>
          </w:rPr>
          <w:t>Ef 4.1–12</w:t>
        </w:r>
      </w:hyperlink>
      <w:r>
        <w:t xml:space="preserve">). Sua exortação enfatizou os dons dados a cada pessoa "para conservar... a união que o Espírito dá" (v. </w:t>
      </w:r>
      <w:hyperlink r:id="rId8795">
        <w:r>
          <w:rPr>
            <w:color w:val="0000EE"/>
            <w:u w:val="single"/>
          </w:rPr>
          <w:t>3</w:t>
        </w:r>
      </w:hyperlink>
      <w:r>
        <w:t xml:space="preserve">). Paulo explicou que depois que Jesus subiu ao céu, ele “escolheu alguns para serem apóstolos, outros para profetas, outros para evangelistas e ainda outros para pastores e mestres da Igreja” (v. </w:t>
      </w:r>
      <w:hyperlink r:id="rId3778">
        <w:r>
          <w:rPr>
            <w:color w:val="0000EE"/>
            <w:u w:val="single"/>
          </w:rPr>
          <w:t>11</w:t>
        </w:r>
      </w:hyperlink>
      <w:r>
        <w:t>). Isso significa que Jesus escolhe pessoas para esses diferentes papéis e as concede à igreja como presentes.</w:t>
      </w:r>
    </w:p>
    <w:p>
      <w:r/>
      <w:r>
        <w:t>O evangelista é um dos dons que Jesus concede à igreja. O significado do termo indica que a tarefa do evangelista é contar às pessoas fora da igreja sobre Jesus. Seu papel é semelhante ao de um apóstolo, mas com uma diferença fundamental. Um apóstolo precisava conhecer Jesus pessoalmente durante seu tempo na terra (</w:t>
      </w:r>
      <w:hyperlink r:id="rId2266">
        <w:r>
          <w:rPr>
            <w:color w:val="0000EE"/>
            <w:u w:val="single"/>
          </w:rPr>
          <w:t>At 1.21–22</w:t>
        </w:r>
      </w:hyperlink>
      <w:r>
        <w:t>). O evangelista é diferente do pastor ou mestre. Enquanto os evangelistas apresentam Jesus às pessoas pela primeira vez, pastores e mestres ajudam os crentes a crescer em sua fé posteriormente. A referência a "Filipe, o evangelista" (</w:t>
      </w:r>
      <w:hyperlink r:id="rId4727">
        <w:r>
          <w:rPr>
            <w:color w:val="0000EE"/>
            <w:u w:val="single"/>
          </w:rPr>
          <w:t>21.8</w:t>
        </w:r>
      </w:hyperlink>
      <w:r>
        <w:t>) apoia a ideia de evangelista como um título. É um ministério dotado ao qual Jesus chama alguns na igreja.</w:t>
      </w:r>
    </w:p>
    <w:p>
      <w:r/>
      <w:r>
        <w:t>Uma pessoa pode ter mais de um papel na igreja. Por exemplo, Paulo disse a Timóteo, que era pastor e mestre, para “fazer a obra de um evangelista” (</w:t>
      </w:r>
      <w:hyperlink r:id="rId8796">
        <w:r>
          <w:rPr>
            <w:color w:val="0000EE"/>
            <w:u w:val="single"/>
          </w:rPr>
          <w:t>2Tm 4.5</w:t>
        </w:r>
      </w:hyperlink>
      <w:r>
        <w:t>). Isso mostra que “evangelista” pode significar tanto um papel principal que alguém é chamado a desempenhar quanto uma tarefa que outros líderes da igreja podem realizar como parte de seu trabalho.</w:t>
      </w:r>
    </w:p>
    <w:p>
      <w:r/>
      <w:r>
        <w:rPr>
          <w:i/>
        </w:rPr>
        <w:t>Veja também</w:t>
      </w:r>
      <w:r>
        <w:t xml:space="preserve"> </w:t>
      </w:r>
      <w:r>
        <w:t>Dons Espirituais</w:t>
      </w:r>
      <w:r>
        <w:t>.</w:t>
      </w:r>
      <w:r/>
      <w:r/>
    </w:p>
    <w:p>
      <w:r/>
    </w:p>
    <w:p>
      <w:pPr>
        <w:pStyle w:val="Heading2"/>
      </w:pPr>
      <w:r>
        <w:t>Evi</w:t>
      </w:r>
      <w:r/>
    </w:p>
    <w:p>
      <w:r/>
      <w:r>
        <w:t>Evi foi um dos cinco reis de Midiã que foram mortos em uma batalha contra Israel sob a liderança de Moisés (</w:t>
      </w:r>
      <w:hyperlink r:id="rId2977">
        <w:r>
          <w:rPr>
            <w:color w:val="0000EE"/>
            <w:u w:val="single"/>
          </w:rPr>
          <w:t>Nm 31.8</w:t>
        </w:r>
      </w:hyperlink>
      <w:r>
        <w:t xml:space="preserve">). Deus aparentemente disse a Moisés para lutar contra Midiã porque os midianitas haviam levado os israelitas a praticar religiões pagãs. </w:t>
      </w:r>
      <w:hyperlink r:id="rId8797">
        <w:r>
          <w:rPr>
            <w:color w:val="0000EE"/>
            <w:u w:val="single"/>
          </w:rPr>
          <w:t>Josué 13.21</w:t>
        </w:r>
      </w:hyperlink>
      <w:r>
        <w:t xml:space="preserve"> chama Evi de príncipe de Seom, o rei midianita.</w:t>
      </w:r>
      <w:r/>
      <w:r/>
    </w:p>
    <w:p>
      <w:r/>
    </w:p>
    <w:p>
      <w:pPr>
        <w:pStyle w:val="Heading2"/>
      </w:pPr>
      <w:r>
        <w:t>Exaltação de Cristo</w:t>
      </w:r>
      <w:r/>
    </w:p>
    <w:p>
      <w:r/>
      <w:r>
        <w:t>A glória e a autoridade que Jesus recebeu após concluir sua obra na Terra, que terminou em sofrimento e morte. Esta exaltação é tanto a conclusão de seu sacrifício pela humanidade quanto a recompensa por sua completa obediência a Deus Pai. A exaltação inclui três eventos principais:</w:t>
      </w:r>
    </w:p>
    <w:p>
      <w:pPr>
        <w:pStyle w:val="ListNumber"/>
        <w:spacing w:line="240" w:lineRule="auto"/>
        <w:ind w:left="720"/>
      </w:pPr>
      <w:r/>
      <w:r>
        <w:t>A ressurreição de Jesus (retorno à vida após a morte);</w:t>
      </w:r>
    </w:p>
    <w:p>
      <w:pPr>
        <w:pStyle w:val="ListNumber"/>
        <w:spacing w:line="240" w:lineRule="auto"/>
        <w:ind w:left="720"/>
      </w:pPr>
      <w:r/>
      <w:r>
        <w:t>A ascensão de Jesus (subida ao céu);</w:t>
      </w:r>
    </w:p>
    <w:p>
      <w:pPr>
        <w:pStyle w:val="ListNumber"/>
        <w:spacing w:line="240" w:lineRule="auto"/>
        <w:ind w:left="720"/>
      </w:pPr>
      <w:r/>
      <w:r>
        <w:t>A entronização de Jesus no céu (assumindo seu lugar como governante no Reino de Deus).</w:t>
      </w:r>
    </w:p>
    <w:p>
      <w:r/>
      <w:r>
        <w:t>Durante seu ministério terreno, Jesus previu que sofreria, morreria e seria sepultado (</w:t>
      </w:r>
      <w:hyperlink r:id="rId920">
        <w:r>
          <w:rPr>
            <w:color w:val="0000EE"/>
            <w:u w:val="single"/>
          </w:rPr>
          <w:t>Mt 20.28</w:t>
        </w:r>
      </w:hyperlink>
      <w:r>
        <w:t xml:space="preserve">; </w:t>
      </w:r>
      <w:hyperlink r:id="rId5090">
        <w:r>
          <w:rPr>
            <w:color w:val="0000EE"/>
            <w:u w:val="single"/>
          </w:rPr>
          <w:t>Jo3.14</w:t>
        </w:r>
      </w:hyperlink>
      <w:r>
        <w:t xml:space="preserve">; </w:t>
      </w:r>
      <w:hyperlink r:id="rId8798">
        <w:r>
          <w:rPr>
            <w:color w:val="0000EE"/>
            <w:u w:val="single"/>
          </w:rPr>
          <w:t>6.51</w:t>
        </w:r>
      </w:hyperlink>
      <w:r>
        <w:t xml:space="preserve">; </w:t>
      </w:r>
      <w:hyperlink r:id="rId8799">
        <w:r>
          <w:rPr>
            <w:color w:val="0000EE"/>
            <w:u w:val="single"/>
          </w:rPr>
          <w:t>10.11</w:t>
        </w:r>
      </w:hyperlink>
      <w:r>
        <w:t>). Ele também previu que Deus Pai o elevaria a uma posição de poder e glória no céu (</w:t>
      </w:r>
      <w:hyperlink r:id="rId8800">
        <w:r>
          <w:rPr>
            <w:color w:val="0000EE"/>
            <w:u w:val="single"/>
          </w:rPr>
          <w:t>Lc 24.26</w:t>
        </w:r>
      </w:hyperlink>
      <w:r>
        <w:t xml:space="preserve">; </w:t>
      </w:r>
      <w:hyperlink r:id="rId8801">
        <w:r>
          <w:rPr>
            <w:color w:val="0000EE"/>
            <w:u w:val="single"/>
          </w:rPr>
          <w:t>Jo 17.5</w:t>
        </w:r>
      </w:hyperlink>
      <w:r>
        <w:t>). Jesus demonstrou esse padrão de sofrimento seguido de glória quando encontrou alguns gregos que queriam vê-lo (</w:t>
      </w:r>
      <w:hyperlink r:id="rId8802">
        <w:r>
          <w:rPr>
            <w:color w:val="0000EE"/>
            <w:u w:val="single"/>
          </w:rPr>
          <w:t>Jo 12.20–36</w:t>
        </w:r>
      </w:hyperlink>
      <w:r>
        <w:t>). Jesus afirmou que, através de seu sofrimento e ressurreição, até mesmo os gentios (pessoas não-judaicas) poderiam conhecer Deus. Quando Jesus disse: “Chegou a hora de ser revelada a natureza divina do Filho do Homem” (</w:t>
      </w:r>
      <w:hyperlink r:id="rId8803">
        <w:r>
          <w:rPr>
            <w:color w:val="0000EE"/>
            <w:u w:val="single"/>
          </w:rPr>
          <w:t>Jo 12.23</w:t>
        </w:r>
      </w:hyperlink>
      <w:r>
        <w:t>), ele quis dizer que seria honrado e glorificado no céu após seu sofrimento. Este ensinamento tornou-se a base para o entendimento da exaltação de Jesus pela igreja primitiva.</w:t>
      </w:r>
    </w:p>
    <w:p>
      <w:pPr>
        <w:pStyle w:val="Heading4"/>
      </w:pPr>
      <w:r>
        <w:t>A ressurreição: Jesus retornou à vida após a morte.</w:t>
      </w:r>
    </w:p>
    <w:p>
      <w:r/>
      <w:r>
        <w:t>A ressurreição de Jesus é o primeiro evento em sua exaltação. É um ensinamento central do Novo Testamento (</w:t>
      </w:r>
      <w:hyperlink r:id="rId8804">
        <w:r>
          <w:rPr>
            <w:color w:val="0000EE"/>
            <w:u w:val="single"/>
          </w:rPr>
          <w:t>At 2.24,32</w:t>
        </w:r>
      </w:hyperlink>
      <w:r>
        <w:t xml:space="preserve">; </w:t>
      </w:r>
      <w:hyperlink r:id="rId8805">
        <w:r>
          <w:rPr>
            <w:color w:val="0000EE"/>
            <w:u w:val="single"/>
          </w:rPr>
          <w:t>3.15</w:t>
        </w:r>
      </w:hyperlink>
      <w:r>
        <w:t xml:space="preserve">; </w:t>
      </w:r>
      <w:hyperlink r:id="rId8806">
        <w:r>
          <w:rPr>
            <w:color w:val="0000EE"/>
            <w:u w:val="single"/>
          </w:rPr>
          <w:t>4.10</w:t>
        </w:r>
      </w:hyperlink>
      <w:r>
        <w:t xml:space="preserve">; </w:t>
      </w:r>
      <w:hyperlink r:id="rId6103">
        <w:r>
          <w:rPr>
            <w:color w:val="0000EE"/>
            <w:u w:val="single"/>
          </w:rPr>
          <w:t>Rm 1.4</w:t>
        </w:r>
      </w:hyperlink>
      <w:r>
        <w:t xml:space="preserve">; </w:t>
      </w:r>
      <w:hyperlink r:id="rId6250">
        <w:r>
          <w:rPr>
            <w:color w:val="0000EE"/>
            <w:u w:val="single"/>
          </w:rPr>
          <w:t>1Co 15.4</w:t>
        </w:r>
      </w:hyperlink>
      <w:r>
        <w:t>). Desde o início, os cristãos acreditavam que em um tempo e lugar específicos, Jesus ressuscitou dos mortos e entrou na vida eterna. O evento único da ressurreição de Jesus distingue o Cristianismo de outras religiões. O Novo Testamento mostra que Jesus previu sua ressurreição. Quando os judeus questionaram sua autoridade, Jesus disse: “Derrubem este Templo, e eu o construirei de novo em três dias” (</w:t>
      </w:r>
      <w:hyperlink r:id="rId8807">
        <w:r>
          <w:rPr>
            <w:color w:val="0000EE"/>
            <w:u w:val="single"/>
          </w:rPr>
          <w:t>Jo 2.19</w:t>
        </w:r>
      </w:hyperlink>
      <w:r>
        <w:t>). Após Pedro confessar que Jesus era o Filho de Deus, Jesus disse aos seus discípulos que seria morto e então ressuscitado no terceiro dia (</w:t>
      </w:r>
      <w:hyperlink r:id="rId1386">
        <w:r>
          <w:rPr>
            <w:color w:val="0000EE"/>
            <w:u w:val="single"/>
          </w:rPr>
          <w:t>Mt 16.21</w:t>
        </w:r>
      </w:hyperlink>
      <w:r>
        <w:t>). Ele repetiu isso aos seus discípulos na Galileia, dizendo que seria morto e ressuscitado no terceiro dia: “O Filho do Homem será entregue nas mãos dos homens, e eles vão matá-lo; mas três dias depois ele será ressuscitado” (</w:t>
      </w:r>
      <w:hyperlink r:id="rId8808">
        <w:r>
          <w:rPr>
            <w:color w:val="0000EE"/>
            <w:u w:val="single"/>
          </w:rPr>
          <w:t>Mt 17.22–23</w:t>
        </w:r>
      </w:hyperlink>
      <w:r>
        <w:t>). O Novo Testamento enfatiza a certeza da ressurreição de Jesus três dias após sua morte.</w:t>
      </w:r>
    </w:p>
    <w:p>
      <w:r/>
      <w:r>
        <w:t>O Novo Testamento também explica o significado da ressurreição de Jesus:</w:t>
      </w:r>
    </w:p>
    <w:p>
      <w:pPr>
        <w:pStyle w:val="ListNumber"/>
        <w:spacing w:line="240" w:lineRule="auto"/>
        <w:ind w:left="720"/>
      </w:pPr>
      <w:r/>
      <w:r>
        <w:t>Isso prova o poder de Cristo sobre a morte (</w:t>
      </w:r>
      <w:hyperlink r:id="rId8434">
        <w:r>
          <w:rPr>
            <w:color w:val="0000EE"/>
            <w:u w:val="single"/>
          </w:rPr>
          <w:t>At 2.24</w:t>
        </w:r>
      </w:hyperlink>
      <w:r>
        <w:t xml:space="preserve">; </w:t>
      </w:r>
      <w:hyperlink r:id="rId8809">
        <w:r>
          <w:rPr>
            <w:color w:val="0000EE"/>
            <w:u w:val="single"/>
          </w:rPr>
          <w:t>1Co 15.54–56</w:t>
        </w:r>
      </w:hyperlink>
      <w:r>
        <w:t>);</w:t>
      </w:r>
    </w:p>
    <w:p>
      <w:pPr>
        <w:pStyle w:val="ListNumber"/>
        <w:spacing w:line="240" w:lineRule="auto"/>
        <w:ind w:left="720"/>
      </w:pPr>
      <w:r/>
      <w:r>
        <w:t>Confirma os ensinamentos de Cristo, particularmente sua afirmação de ser o Filho de Deus (</w:t>
      </w:r>
      <w:hyperlink r:id="rId6120">
        <w:r>
          <w:rPr>
            <w:color w:val="0000EE"/>
            <w:u w:val="single"/>
          </w:rPr>
          <w:t>At 2.36</w:t>
        </w:r>
      </w:hyperlink>
      <w:r>
        <w:t xml:space="preserve">; </w:t>
      </w:r>
      <w:hyperlink r:id="rId6103">
        <w:r>
          <w:rPr>
            <w:color w:val="0000EE"/>
            <w:u w:val="single"/>
          </w:rPr>
          <w:t>Rm 1.4</w:t>
        </w:r>
      </w:hyperlink>
      <w:r>
        <w:t>);</w:t>
      </w:r>
    </w:p>
    <w:p>
      <w:pPr>
        <w:pStyle w:val="ListNumber"/>
        <w:spacing w:line="240" w:lineRule="auto"/>
        <w:ind w:left="720"/>
      </w:pPr>
      <w:r/>
      <w:r>
        <w:t>Isso mostra que Deus aprovou o sofrimento de Jesus (</w:t>
      </w:r>
      <w:hyperlink r:id="rId8810">
        <w:r>
          <w:rPr>
            <w:color w:val="0000EE"/>
            <w:u w:val="single"/>
          </w:rPr>
          <w:t>Fp 2.8–9</w:t>
        </w:r>
      </w:hyperlink>
      <w:r>
        <w:t>);</w:t>
      </w:r>
    </w:p>
    <w:p>
      <w:pPr>
        <w:pStyle w:val="ListNumber"/>
        <w:spacing w:line="240" w:lineRule="auto"/>
        <w:ind w:left="720"/>
      </w:pPr>
      <w:r/>
      <w:r>
        <w:t>Permite que os crentes sejam reconciliados com Deus (</w:t>
      </w:r>
      <w:hyperlink r:id="rId6335">
        <w:r>
          <w:rPr>
            <w:color w:val="0000EE"/>
            <w:u w:val="single"/>
          </w:rPr>
          <w:t>Rm 4.25</w:t>
        </w:r>
      </w:hyperlink>
      <w:r>
        <w:t>) e experimentem o renascimento espiritual (</w:t>
      </w:r>
      <w:hyperlink r:id="rId8811">
        <w:r>
          <w:rPr>
            <w:color w:val="0000EE"/>
            <w:u w:val="single"/>
          </w:rPr>
          <w:t>1Pe 1.3</w:t>
        </w:r>
      </w:hyperlink>
      <w:r>
        <w:t>);</w:t>
      </w:r>
    </w:p>
    <w:p>
      <w:pPr>
        <w:pStyle w:val="ListNumber"/>
        <w:spacing w:line="240" w:lineRule="auto"/>
        <w:ind w:left="720"/>
      </w:pPr>
      <w:r/>
      <w:r>
        <w:t>Garante que os cristãos também serão ressuscitados (</w:t>
      </w:r>
      <w:hyperlink r:id="rId3233">
        <w:r>
          <w:rPr>
            <w:color w:val="0000EE"/>
            <w:u w:val="single"/>
          </w:rPr>
          <w:t>Rm 6.5</w:t>
        </w:r>
      </w:hyperlink>
      <w:r>
        <w:t xml:space="preserve">; </w:t>
      </w:r>
      <w:hyperlink r:id="rId8812">
        <w:r>
          <w:rPr>
            <w:color w:val="0000EE"/>
            <w:u w:val="single"/>
          </w:rPr>
          <w:t>1Co 15.22–24</w:t>
        </w:r>
      </w:hyperlink>
      <w:r>
        <w:t>).</w:t>
      </w:r>
    </w:p>
    <w:p>
      <w:r/>
      <w:r>
        <w:t>O Novo Testamento ensina que Deus ressuscitou Jesus dos mortos (</w:t>
      </w:r>
      <w:hyperlink r:id="rId903">
        <w:r>
          <w:rPr>
            <w:color w:val="0000EE"/>
            <w:u w:val="single"/>
          </w:rPr>
          <w:t>Sl 16.10</w:t>
        </w:r>
      </w:hyperlink>
      <w:r>
        <w:t xml:space="preserve">; </w:t>
      </w:r>
      <w:hyperlink r:id="rId8813">
        <w:r>
          <w:rPr>
            <w:color w:val="0000EE"/>
            <w:u w:val="single"/>
          </w:rPr>
          <w:t>At 2.32</w:t>
        </w:r>
      </w:hyperlink>
      <w:r>
        <w:t xml:space="preserve">; </w:t>
      </w:r>
      <w:hyperlink r:id="rId6892">
        <w:r>
          <w:rPr>
            <w:color w:val="0000EE"/>
            <w:u w:val="single"/>
          </w:rPr>
          <w:t>Ef 1.19–20</w:t>
        </w:r>
      </w:hyperlink>
      <w:r>
        <w:t>), mas também diz que Jesus tinha o poder de ressuscitar a si mesmo (</w:t>
      </w:r>
      <w:hyperlink r:id="rId8807">
        <w:r>
          <w:rPr>
            <w:color w:val="0000EE"/>
            <w:u w:val="single"/>
          </w:rPr>
          <w:t>Jo 2.19</w:t>
        </w:r>
      </w:hyperlink>
      <w:r>
        <w:t xml:space="preserve">; </w:t>
      </w:r>
      <w:hyperlink r:id="rId8814">
        <w:r>
          <w:rPr>
            <w:color w:val="0000EE"/>
            <w:u w:val="single"/>
          </w:rPr>
          <w:t>10.17–18</w:t>
        </w:r>
      </w:hyperlink>
      <w:r>
        <w:t>).</w:t>
      </w:r>
    </w:p>
    <w:p>
      <w:pPr>
        <w:pStyle w:val="Heading4"/>
      </w:pPr>
      <w:r>
        <w:t>A ascensão: Jesus subiu ao céu.</w:t>
      </w:r>
    </w:p>
    <w:p>
      <w:r/>
      <w:r>
        <w:t>A ascensão representa a segunda fase da exaltação de Cristo. De acordo com o Novo Testamento (</w:t>
      </w:r>
      <w:hyperlink r:id="rId2660">
        <w:r>
          <w:rPr>
            <w:color w:val="0000EE"/>
            <w:u w:val="single"/>
          </w:rPr>
          <w:t>Lc 24.50–51</w:t>
        </w:r>
      </w:hyperlink>
      <w:r>
        <w:t xml:space="preserve">; </w:t>
      </w:r>
      <w:hyperlink r:id="rId2659">
        <w:r>
          <w:rPr>
            <w:color w:val="0000EE"/>
            <w:u w:val="single"/>
          </w:rPr>
          <w:t>At 1.9–11</w:t>
        </w:r>
      </w:hyperlink>
      <w:r>
        <w:t>), Jesus ascendeu ao céu 40 dias após sua ressurreição. No Evangelho de João, Jesus frequentemente menciona sua ascensão (</w:t>
      </w:r>
      <w:hyperlink r:id="rId4766">
        <w:r>
          <w:rPr>
            <w:color w:val="0000EE"/>
            <w:u w:val="single"/>
          </w:rPr>
          <w:t>Jo 3.13</w:t>
        </w:r>
      </w:hyperlink>
      <w:r>
        <w:t xml:space="preserve">; </w:t>
      </w:r>
      <w:hyperlink r:id="rId8815">
        <w:r>
          <w:rPr>
            <w:color w:val="0000EE"/>
            <w:u w:val="single"/>
          </w:rPr>
          <w:t>6.62</w:t>
        </w:r>
      </w:hyperlink>
      <w:r>
        <w:t xml:space="preserve">; </w:t>
      </w:r>
      <w:hyperlink r:id="rId8816">
        <w:r>
          <w:rPr>
            <w:color w:val="0000EE"/>
            <w:u w:val="single"/>
          </w:rPr>
          <w:t>14.12</w:t>
        </w:r>
      </w:hyperlink>
      <w:r>
        <w:t xml:space="preserve">; </w:t>
      </w:r>
      <w:hyperlink r:id="rId2663">
        <w:r>
          <w:rPr>
            <w:color w:val="0000EE"/>
            <w:u w:val="single"/>
          </w:rPr>
          <w:t>20.17</w:t>
        </w:r>
      </w:hyperlink>
      <w:r>
        <w:t>), mostrando que ele acreditava que iria para o céu, um lugar real e verdadeiro (</w:t>
      </w:r>
      <w:hyperlink r:id="rId2677">
        <w:r>
          <w:rPr>
            <w:color w:val="0000EE"/>
            <w:u w:val="single"/>
          </w:rPr>
          <w:t>Jo 14.2</w:t>
        </w:r>
      </w:hyperlink>
      <w:r>
        <w:t>). O apóstolo Paulo conectou a ascensão com a vitória de Cristo sobre seus inimigos e a concessão de dons espirituais à igreja (</w:t>
      </w:r>
      <w:hyperlink r:id="rId3588">
        <w:r>
          <w:rPr>
            <w:color w:val="0000EE"/>
            <w:u w:val="single"/>
          </w:rPr>
          <w:t>Ef 4.8</w:t>
        </w:r>
      </w:hyperlink>
      <w:r>
        <w:t>). Jesus, tendo conquistado a vitória, retornou ao trono de seu Pai para abençoar seus seguidores. Paulo descreve este evento como o "mistério" da fé cristã: Cristo, que "apareceu em carne", foi "elevado à glória" (</w:t>
      </w:r>
      <w:hyperlink r:id="rId2672">
        <w:r>
          <w:rPr>
            <w:color w:val="0000EE"/>
            <w:u w:val="single"/>
          </w:rPr>
          <w:t>1Tm 3.16</w:t>
        </w:r>
      </w:hyperlink>
      <w:r>
        <w:t>).</w:t>
      </w:r>
    </w:p>
    <w:p>
      <w:r/>
      <w:r>
        <w:t>A Epístola aos Hebreus relaciona a ascensão de Jesus ao seu papel como Sumo Sacerdote no templo celestial. Jesus, que resistiu a todas as tentações terrenas, "passou pelos céus". Ele agora compreende plenamente seus seguidores e lhes oferece graça em tempos de necessidade (</w:t>
      </w:r>
      <w:hyperlink r:id="rId2687">
        <w:r>
          <w:rPr>
            <w:color w:val="0000EE"/>
            <w:u w:val="single"/>
          </w:rPr>
          <w:t>Hb 4.14–16</w:t>
        </w:r>
      </w:hyperlink>
      <w:r>
        <w:t>). Hebreus afirma que Jesus ascendeu ao templo celestial (</w:t>
      </w:r>
      <w:hyperlink r:id="rId955">
        <w:r>
          <w:rPr>
            <w:color w:val="0000EE"/>
            <w:u w:val="single"/>
          </w:rPr>
          <w:t>Hb 6.19</w:t>
        </w:r>
      </w:hyperlink>
      <w:r>
        <w:t>). Ele trouxe seu sangue (</w:t>
      </w:r>
      <w:hyperlink r:id="rId2682">
        <w:r>
          <w:rPr>
            <w:color w:val="0000EE"/>
            <w:u w:val="single"/>
          </w:rPr>
          <w:t>Hb 9.12</w:t>
        </w:r>
      </w:hyperlink>
      <w:r>
        <w:t>) como o sacrifício supremo para aparecer diante de Deus pela humanidade (</w:t>
      </w:r>
      <w:hyperlink r:id="rId2681">
        <w:r>
          <w:rPr>
            <w:color w:val="0000EE"/>
            <w:u w:val="single"/>
          </w:rPr>
          <w:t>Hb 9.24</w:t>
        </w:r>
      </w:hyperlink>
      <w:r>
        <w:t>).</w:t>
      </w:r>
    </w:p>
    <w:p>
      <w:r/>
      <w:r>
        <w:t>O Novo Testamento dá grande importância a esta parte da exaltação de Jesus. Através de sua ascensão ao Pai, Jesus:</w:t>
      </w:r>
    </w:p>
    <w:p>
      <w:pPr>
        <w:pStyle w:val="ListNumber"/>
        <w:spacing w:line="240" w:lineRule="auto"/>
        <w:ind w:left="720"/>
      </w:pPr>
      <w:r/>
      <w:r>
        <w:t>Demonstrou sua vitória sobre todos os inimigos terrenos (</w:t>
      </w:r>
      <w:hyperlink r:id="rId3588">
        <w:r>
          <w:rPr>
            <w:color w:val="0000EE"/>
            <w:u w:val="single"/>
          </w:rPr>
          <w:t>Ef 4.8</w:t>
        </w:r>
      </w:hyperlink>
      <w:r>
        <w:t>);</w:t>
      </w:r>
    </w:p>
    <w:p>
      <w:pPr>
        <w:pStyle w:val="ListNumber"/>
        <w:spacing w:line="240" w:lineRule="auto"/>
        <w:ind w:left="720"/>
      </w:pPr>
      <w:r/>
      <w:r>
        <w:t>Enviou o prometido Espírito Santo (</w:t>
      </w:r>
      <w:hyperlink r:id="rId2674">
        <w:r>
          <w:rPr>
            <w:color w:val="0000EE"/>
            <w:u w:val="single"/>
          </w:rPr>
          <w:t>Jo 16.7</w:t>
        </w:r>
      </w:hyperlink>
      <w:r>
        <w:t xml:space="preserve">; </w:t>
      </w:r>
      <w:hyperlink r:id="rId8817">
        <w:r>
          <w:rPr>
            <w:color w:val="0000EE"/>
            <w:u w:val="single"/>
          </w:rPr>
          <w:t>At 2.33</w:t>
        </w:r>
      </w:hyperlink>
      <w:r>
        <w:t>), o que só poderia acontecer após sua glorificação (</w:t>
      </w:r>
      <w:hyperlink r:id="rId8469">
        <w:r>
          <w:rPr>
            <w:color w:val="0000EE"/>
            <w:u w:val="single"/>
          </w:rPr>
          <w:t>Jo 7.39</w:t>
        </w:r>
      </w:hyperlink>
      <w:r>
        <w:t>);</w:t>
      </w:r>
    </w:p>
    <w:p>
      <w:pPr>
        <w:pStyle w:val="ListNumber"/>
        <w:spacing w:line="240" w:lineRule="auto"/>
        <w:ind w:left="720"/>
      </w:pPr>
      <w:r/>
      <w:r>
        <w:t>Começou seu trabalho como o Sumo Sacerdote no céu (</w:t>
      </w:r>
      <w:hyperlink r:id="rId2680">
        <w:r>
          <w:rPr>
            <w:color w:val="0000EE"/>
            <w:u w:val="single"/>
          </w:rPr>
          <w:t>Hb 6.20</w:t>
        </w:r>
      </w:hyperlink>
      <w:r>
        <w:t>).</w:t>
      </w:r>
    </w:p>
    <w:p>
      <w:pPr>
        <w:pStyle w:val="Heading4"/>
      </w:pPr>
      <w:r>
        <w:t>A entronização: Jesus assumiu seu lugar como governante no reino de Deus.</w:t>
      </w:r>
    </w:p>
    <w:p>
      <w:r/>
      <w:r>
        <w:t>A etapa final da exaltação de Jesus é sua entronização à direita de Deus Pai. Após seu sofrimento, morte, ressurreição e ascensão, a Bíblia descreve Jesus como estando sentado à direita de Deus. A frase “ao lado direito de Deus” (</w:t>
      </w:r>
      <w:hyperlink r:id="rId8818">
        <w:r>
          <w:rPr>
            <w:color w:val="0000EE"/>
            <w:u w:val="single"/>
          </w:rPr>
          <w:t>At 7.55–56</w:t>
        </w:r>
      </w:hyperlink>
      <w:r>
        <w:t xml:space="preserve">) é uma maneira figurativa de dizer que Jesus agora tem poder e autoridade universais na presença de Deus. Esta parte da exaltação de Jesus cumpre sua oração registrada em </w:t>
      </w:r>
      <w:hyperlink r:id="rId8801">
        <w:r>
          <w:rPr>
            <w:color w:val="0000EE"/>
            <w:u w:val="single"/>
          </w:rPr>
          <w:t>João 17.5</w:t>
        </w:r>
      </w:hyperlink>
      <w:r>
        <w:t>: “E agora, Pai, dá-me na tua presença a mesma grandeza divina que eu tinha contigo antes de o mundo existir”.</w:t>
      </w:r>
    </w:p>
    <w:p>
      <w:r/>
      <w:r>
        <w:t>No Antigo Testamento, Deus é frequentemente descrito como estando sentado no trono do universo. Isso demonstra:</w:t>
      </w:r>
    </w:p>
    <w:p>
      <w:pPr>
        <w:pStyle w:val="ListBullet"/>
        <w:spacing w:line="240" w:lineRule="auto"/>
        <w:ind w:left="720"/>
      </w:pPr>
      <w:r/>
      <w:r>
        <w:t>Soberania (</w:t>
      </w:r>
      <w:hyperlink r:id="rId2076">
        <w:r>
          <w:rPr>
            <w:color w:val="0000EE"/>
            <w:u w:val="single"/>
          </w:rPr>
          <w:t>1Rs 22.19</w:t>
        </w:r>
      </w:hyperlink>
      <w:r>
        <w:t xml:space="preserve">; </w:t>
      </w:r>
      <w:hyperlink r:id="rId2137">
        <w:r>
          <w:rPr>
            <w:color w:val="0000EE"/>
            <w:u w:val="single"/>
          </w:rPr>
          <w:t>Sl 99.1</w:t>
        </w:r>
      </w:hyperlink>
      <w:r>
        <w:t>);</w:t>
      </w:r>
    </w:p>
    <w:p>
      <w:pPr>
        <w:pStyle w:val="ListBullet"/>
        <w:spacing w:line="240" w:lineRule="auto"/>
        <w:ind w:left="720"/>
      </w:pPr>
      <w:r/>
      <w:r>
        <w:t>Majestade (</w:t>
      </w:r>
      <w:hyperlink r:id="rId8819">
        <w:r>
          <w:rPr>
            <w:color w:val="0000EE"/>
            <w:u w:val="single"/>
          </w:rPr>
          <w:t>Is 6.1–4</w:t>
        </w:r>
      </w:hyperlink>
      <w:r>
        <w:t>);</w:t>
      </w:r>
    </w:p>
    <w:p>
      <w:pPr>
        <w:pStyle w:val="ListBullet"/>
        <w:spacing w:line="240" w:lineRule="auto"/>
        <w:ind w:left="720"/>
      </w:pPr>
      <w:r/>
      <w:r>
        <w:t>Santidade (</w:t>
      </w:r>
      <w:hyperlink r:id="rId8820">
        <w:r>
          <w:rPr>
            <w:color w:val="0000EE"/>
            <w:u w:val="single"/>
          </w:rPr>
          <w:t>Sl 47.8</w:t>
        </w:r>
      </w:hyperlink>
      <w:r>
        <w:t>).</w:t>
      </w:r>
    </w:p>
    <w:p>
      <w:r/>
      <w:r>
        <w:t>Nas culturas orientais, ser convidado a sentar-se à direita de um governante era um sinal de grande honra e autoridade (</w:t>
      </w:r>
      <w:hyperlink r:id="rId8821">
        <w:r>
          <w:rPr>
            <w:color w:val="0000EE"/>
            <w:u w:val="single"/>
          </w:rPr>
          <w:t>1Rs 2.19</w:t>
        </w:r>
      </w:hyperlink>
      <w:r>
        <w:t xml:space="preserve">). O Antigo Testamento previu que o Cristo exaltado receberia esta honra especial (veja </w:t>
      </w:r>
      <w:hyperlink r:id="rId3547">
        <w:r>
          <w:rPr>
            <w:color w:val="0000EE"/>
            <w:u w:val="single"/>
          </w:rPr>
          <w:t>Sl 8.5</w:t>
        </w:r>
      </w:hyperlink>
      <w:r>
        <w:t xml:space="preserve">, que é citado em </w:t>
      </w:r>
      <w:hyperlink r:id="rId8822">
        <w:r>
          <w:rPr>
            <w:color w:val="0000EE"/>
            <w:u w:val="single"/>
          </w:rPr>
          <w:t>Hb 2.8</w:t>
        </w:r>
      </w:hyperlink>
      <w:r>
        <w:t xml:space="preserve">; também veja </w:t>
      </w:r>
      <w:hyperlink r:id="rId2667">
        <w:r>
          <w:rPr>
            <w:color w:val="0000EE"/>
            <w:u w:val="single"/>
          </w:rPr>
          <w:t>Sl 110.1</w:t>
        </w:r>
      </w:hyperlink>
      <w:r>
        <w:t>).</w:t>
      </w:r>
    </w:p>
    <w:p>
      <w:r/>
      <w:r>
        <w:t xml:space="preserve">A Epístola aos Hebreus destaca a exaltação de Cristo. Ela vê sua entronização celestial como o resultado de seu sacrifício completo. Também marca o início de seu papel como Sumo Sacerdote no santuário celestial. </w:t>
      </w:r>
      <w:hyperlink r:id="rId8823">
        <w:r>
          <w:rPr>
            <w:color w:val="0000EE"/>
            <w:u w:val="single"/>
          </w:rPr>
          <w:t>Hb 8.1–2</w:t>
        </w:r>
      </w:hyperlink>
      <w:r>
        <w:t xml:space="preserve"> apresenta Cristo como estando à direita do trono de Deus no céu, servindo como ministro no templo celestial. Esta entronização confirma o término do trabalho de Jesus na terra e seu novo papel como mediador de uma aliança superior. </w:t>
      </w:r>
      <w:hyperlink r:id="rId8824">
        <w:r>
          <w:rPr>
            <w:color w:val="0000EE"/>
            <w:u w:val="single"/>
          </w:rPr>
          <w:t>Hb 10.11–18</w:t>
        </w:r>
      </w:hyperlink>
      <w:r>
        <w:t xml:space="preserve"> contrasta os sacrifícios repetidos e ineficazes dos sacerdotes do Antigo Testamento com o sacrifício único e eficaz de Cristo. Ele agora está à direita de Deus, intercedendo pelos crentes.</w:t>
      </w:r>
      <w:r/>
      <w:r/>
    </w:p>
    <w:p>
      <w:r/>
    </w:p>
    <w:p>
      <w:pPr>
        <w:pStyle w:val="Heading2"/>
      </w:pPr>
      <w:r>
        <w:t>Exilado</w:t>
      </w:r>
      <w:r/>
    </w:p>
    <w:p>
      <w:r/>
      <w:r>
        <w:t>Tradução em português de dois termos hebraicos relacionados cujos significados principais são afastar, banir ou expulsar. Em cinco de sete passagens, o termo refere-se a exilados de Israel que devem ser reunidos pelo Senhor (</w:t>
      </w:r>
      <w:hyperlink r:id="rId8825">
        <w:r>
          <w:rPr>
            <w:color w:val="0000EE"/>
            <w:u w:val="single"/>
          </w:rPr>
          <w:t>Sl 147.2</w:t>
        </w:r>
      </w:hyperlink>
      <w:r>
        <w:t xml:space="preserve">; </w:t>
      </w:r>
      <w:hyperlink r:id="rId3053">
        <w:r>
          <w:rPr>
            <w:color w:val="0000EE"/>
            <w:u w:val="single"/>
          </w:rPr>
          <w:t>Is 11.12</w:t>
        </w:r>
      </w:hyperlink>
      <w:r>
        <w:t xml:space="preserve">; </w:t>
      </w:r>
      <w:hyperlink r:id="rId1970">
        <w:r>
          <w:rPr>
            <w:color w:val="0000EE"/>
            <w:u w:val="single"/>
          </w:rPr>
          <w:t>27.13</w:t>
        </w:r>
      </w:hyperlink>
      <w:r>
        <w:t xml:space="preserve">; </w:t>
      </w:r>
      <w:hyperlink r:id="rId8826">
        <w:r>
          <w:rPr>
            <w:color w:val="0000EE"/>
            <w:u w:val="single"/>
          </w:rPr>
          <w:t>56.8</w:t>
        </w:r>
      </w:hyperlink>
      <w:r>
        <w:t xml:space="preserve">; </w:t>
      </w:r>
      <w:hyperlink r:id="rId8827">
        <w:r>
          <w:rPr>
            <w:color w:val="0000EE"/>
            <w:u w:val="single"/>
          </w:rPr>
          <w:t>Jr 30.17</w:t>
        </w:r>
      </w:hyperlink>
      <w:r>
        <w:t>). Em outras duas passagens, refere-se a fugitivos de Moabe (</w:t>
      </w:r>
      <w:hyperlink r:id="rId8828">
        <w:r>
          <w:rPr>
            <w:color w:val="0000EE"/>
            <w:u w:val="single"/>
          </w:rPr>
          <w:t>Is 16.3–4</w:t>
        </w:r>
      </w:hyperlink>
      <w:r>
        <w:t>) e de Elão (</w:t>
      </w:r>
      <w:hyperlink r:id="rId8829">
        <w:r>
          <w:rPr>
            <w:color w:val="0000EE"/>
            <w:u w:val="single"/>
          </w:rPr>
          <w:t>Jr 49.36</w:t>
        </w:r>
      </w:hyperlink>
      <w:r>
        <w:t>).</w:t>
      </w:r>
      <w:r/>
      <w:r/>
    </w:p>
    <w:p>
      <w:r/>
    </w:p>
    <w:p>
      <w:pPr>
        <w:pStyle w:val="Heading2"/>
      </w:pPr>
      <w:r>
        <w:t>Êxodo, o</w:t>
      </w:r>
      <w:r/>
    </w:p>
    <w:p>
      <w:r/>
      <w:r>
        <w:t>A saída de Israel do Egito, liderada por Moisés, foi um dos eventos mais significativos na história dos hebreus. O Êxodo demonstrou de forma única o poder de Deus em favor de seu povo, que trabalhava sob condições de trabalho forçado para os egípcios. As circunstâncias dramáticas em que o Êxodo ocorreu foram frequentemente mencionadas em períodos subsequentes do AT. Quando os hebreus eram oprimidos, eles recordavam esse grande evento histórico e confiavam em Deus para uma futura libertação.</w:t>
      </w:r>
    </w:p>
    <w:p>
      <w:r/>
      <w:r>
        <w:t>A historicidade do Êxodo do Egito é, sem dúvida, um dos pontos históricos e religiosos fundamentais da tradição judaica. No entanto, atribuir uma data precisa ao evento é uma questão completamente diferente, em parte porque certas referências escriturais podem ser interpretadas de várias maneiras, e em parte porque existem poucas evidências arqueológicas do Egito que abordem a questão. Como os egípcios regularmente ignoravam defeitos em seus registros e desfiguravam inscrições pertencentes a compatriotas impopulares, é improvável que algo semelhante a um registro literário egípcio do Êxodo seja obtido. Grande parte das informações sobre a data do Êxodo é, portanto, de caráter inferencial, o que apresenta aos historiadores bíblicos um dos problemas mais complexos de cronologia.</w:t>
      </w:r>
    </w:p>
    <w:p>
      <w:pPr>
        <w:pStyle w:val="Heading3"/>
      </w:pPr>
      <w:r>
        <w:t>Data do Êxodo</w:t>
      </w:r>
    </w:p>
    <w:p>
      <w:r/>
      <w:r>
        <w:t>Determinar a data do Êxodo tem sido um desafio para os estudiosos bíblicos há muito tempo. No início do século 20, muitos estudiosos, tanto liberais quanto conservadores, situaram a data para o final do século 13 a.C. No entanto, nem todos concordavam que o Êxodo foi um único evento. Alguns acreditavam que os hebreus entraram na Palestina duas vezes, em momentos bastante distintos. Mas essa visão desconsidera o relato bíblico.</w:t>
      </w:r>
    </w:p>
    <w:p>
      <w:r/>
      <w:r>
        <w:t xml:space="preserve">De acordo com </w:t>
      </w:r>
      <w:hyperlink r:id="rId6208">
        <w:r>
          <w:rPr>
            <w:color w:val="0000EE"/>
            <w:u w:val="single"/>
          </w:rPr>
          <w:t>Êxodo 12.40</w:t>
        </w:r>
      </w:hyperlink>
      <w:r>
        <w:t>, o tempo que os descendentes de Jacó residiram na terra do Egito foi de 430 anos. Deus já havia predito esse intervalo de tempo a Abrão (</w:t>
      </w:r>
      <w:hyperlink r:id="rId6207">
        <w:r>
          <w:rPr>
            <w:color w:val="0000EE"/>
            <w:u w:val="single"/>
          </w:rPr>
          <w:t>Gn 15.13</w:t>
        </w:r>
      </w:hyperlink>
      <w:r>
        <w:t>). A profecia de Gênesis, no entanto, não indicava quando essa ocupação começaria.</w:t>
      </w:r>
    </w:p>
    <w:p>
      <w:r/>
      <w:r>
        <w:t xml:space="preserve">A Septuaginta (a primeira tradução grega do AT), em sua versão de </w:t>
      </w:r>
      <w:hyperlink r:id="rId6208">
        <w:r>
          <w:rPr>
            <w:color w:val="0000EE"/>
            <w:u w:val="single"/>
          </w:rPr>
          <w:t>Êxodo 12.40</w:t>
        </w:r>
      </w:hyperlink>
      <w:r>
        <w:t>, reduziu o período de ocupação no Egito para 215 anos. Isso pode indicar que existiam duas tradições da história do Êxodo. Uma permanência de quatro séculos pode ter sido calculada a partir do período em que um povo asiático conhecido como os hicsos invadiu o Egito (c. 1720 a.C.) e o governou por cerca de um século e meio. O período de 215 anos preservado na Septuaginta pode ser o intervalo de tempo entre a expulsão dos hicsos e o próprio Êxodo.</w:t>
      </w:r>
    </w:p>
    <w:p>
      <w:r/>
      <w:r>
        <w:t xml:space="preserve">Informações mais específicas sobre o início da monarquia de Israel, no entanto, são relevantes para a época em que os hebreus escaparam do Egito. </w:t>
      </w:r>
      <w:hyperlink r:id="rId5414">
        <w:r>
          <w:rPr>
            <w:color w:val="0000EE"/>
            <w:u w:val="single"/>
          </w:rPr>
          <w:t>1Rs 6.1</w:t>
        </w:r>
      </w:hyperlink>
      <w:r>
        <w:t xml:space="preserve"> indica que Salomão construiu o templo em Jerusalém 480 anos depois que os israelitas foram conduzidos para fora do Egito por Moisés. Levando esse número ao pé da letra e considerando uma data de 961 a.C. para a referência a Salomão, o Êxodo teria ocorrido por volta de 1441 a.C. Com base em tais dados bíblicos, alguns estudiosos argumentam por uma data do século XV a.C. para o Êxodo, conectando-o com o reinado do Faraó Amenófis II (c. 1450–1425 a.C.) como o tempo da opressão de Israel. Outros estudiosos estão igualmente convencidos de que o Êxodo ocorreu no século XIII a.C.</w:t>
      </w:r>
    </w:p>
    <w:p>
      <w:pPr>
        <w:pStyle w:val="Heading3"/>
      </w:pPr>
      <w:r>
        <w:t>Rota do Êxodo</w:t>
      </w:r>
    </w:p>
    <w:p>
      <w:r/>
      <w:r>
        <w:t>Os dados bíblicos sobre a rota do Êxodo indicam que a fuga começou em Ramessés (</w:t>
      </w:r>
      <w:hyperlink r:id="rId8830">
        <w:r>
          <w:rPr>
            <w:color w:val="0000EE"/>
            <w:u w:val="single"/>
          </w:rPr>
          <w:t>Ex 12.37</w:t>
        </w:r>
      </w:hyperlink>
      <w:r>
        <w:t>). Este local foi identificado como Tânis por pesquisadores antigos, mas estudos mais recentes sugerem Qantir, cerca de 27,4 quilômetros a sudoeste de Tânis, como o local preferido. Agora parece certo que os monumentos em Tânis, aparentemente erguidos por Ramsés, foram mal interpretados. Nenhum desses monumentos parece ter se originado em Tânis, mas foram levados para lá por reis posteriores que os reutilizaram. Assim, a principal evidência para identificar Tânis com Ramsés provou ser enganosa. As escavações em Qantir, por outro lado, revelaram indícios de palácios, templos e casas, todos de origem local. Tais evidências sugerem que Qantir, e não Tânis, foi o Ramessés de onde o Êxodo começou. Além disso, Ramessés, ao contrário de Tânis, estava localizado ao lado de um corpo de água (as “Águas de Re” mencionadas em fontes egípcias), o que novamente está em conformidade com o relato bíblico.</w:t>
      </w:r>
    </w:p>
    <w:p>
      <w:r/>
      <w:r>
        <w:t>De Ramessés, os israelitas se moveram para Sucote (</w:t>
      </w:r>
      <w:hyperlink r:id="rId8831">
        <w:r>
          <w:rPr>
            <w:color w:val="0000EE"/>
            <w:u w:val="single"/>
          </w:rPr>
          <w:t>Nm 33.5</w:t>
        </w:r>
      </w:hyperlink>
      <w:r>
        <w:t>), geralmente identificada com Tell el-Maskhuta, uma fortificação na área oriental do Wadi Tumeilat, a oeste dos Lagos Amargos. De Sucote, eles viajaram para Etã (</w:t>
      </w:r>
      <w:hyperlink r:id="rId8597">
        <w:r>
          <w:rPr>
            <w:color w:val="0000EE"/>
            <w:u w:val="single"/>
          </w:rPr>
          <w:t>Ex 13.20</w:t>
        </w:r>
      </w:hyperlink>
      <w:r>
        <w:t xml:space="preserve">), que estava na fronteira do deserto de Sur. Os hebreus foram então instruídos a retornar para noroeste para que o cenário pudesse ser preparado para os eventos do Êxodo propriamente dito. Assim, eles acamparam entre Migdol e o “mar”, perto de dois locais chamados Pi-Hairote e Baal-Zefom. Pi-Hairote pode ter sido um lago, as “águas Hi”, mencionadas em documentos egípcios. Baal-Zefom foi identificado com a posterior Tafnes (Tell Defenneh) perto de Qantara. Ambas as identificações carecem de certeza, mas esses locais provavelmente estavam localizados na parte nordeste da área do delta do Rio Nilo, perto do Lago Menzaleh. O “mar” era um lago de juncos de papiro, descrito em </w:t>
      </w:r>
      <w:hyperlink r:id="rId8598">
        <w:r>
          <w:rPr>
            <w:color w:val="0000EE"/>
            <w:u w:val="single"/>
          </w:rPr>
          <w:t>Êxodo 15.22</w:t>
        </w:r>
      </w:hyperlink>
      <w:r>
        <w:t xml:space="preserve"> como o “mar de juncos”, o equivalente em português de uma frase egípcia que significa “pântanos de papiro”. Na maioria das traduções em português, o hebraico para “mar de juncos” foi traduzido como “Mar Vermelho”.</w:t>
      </w:r>
    </w:p>
    <w:p>
      <w:r/>
      <w:r>
        <w:t>Fontes do século XIII a.C. mencionam a existência de um grande pântano de papiro na área de Ramessés, que poderia ser aquele referido nas Escrituras. Outras sugestões equiparam o “mar de juncos” à extensão sudeste do Lago Menzaleh ou a algum corpo de água logo ao sul, talvez o Lago Ballah, todos razoavelmente próximos uns dos outros. A topografia nunca pode ser determinada com precisão completa, uma vez que a construção do Canal de Suez drenou uma série de lagos e pântanos, dos quais o “mar de juncos” possivelmente fazia parte.</w:t>
      </w:r>
    </w:p>
    <w:p>
      <w:r/>
      <w:r>
        <w:t>No acampamento em Migdol, os hebreus foram alcançados pelos egípcios que os perseguiam e pareciam estar irremediavelmente encurralados. Então o Senhor realizou um dos maiores milagres da história. Ele primeiro impediu que os egípcios encontrassem os hebreus naquela noite por meio de uma coluna de nuvem (</w:t>
      </w:r>
      <w:hyperlink r:id="rId8832">
        <w:r>
          <w:rPr>
            <w:color w:val="0000EE"/>
            <w:u w:val="single"/>
          </w:rPr>
          <w:t>Êx 14.19–20</w:t>
        </w:r>
      </w:hyperlink>
      <w:r>
        <w:t>). Moisés levantou sua vara sobre o mar de juncos, e um forte vento do leste soprou sobre a água durante toda a noite. Pela manhã, uma faixa do fundo do mar foi exposta e secou, permitindo que os israelitas fugissem por ela. Quando os egípcios perseguiram seus antigos escravos, Moisés novamente levantou sua vara, o vento cessou, e as águas voltaram aos níveis normais, prendendo os carros e soldados egípcios e causando grandes perdas. Um cântico de vitória (</w:t>
      </w:r>
      <w:hyperlink r:id="rId8833">
        <w:r>
          <w:rPr>
            <w:color w:val="0000EE"/>
            <w:u w:val="single"/>
          </w:rPr>
          <w:t>Êx 15.1–21</w:t>
        </w:r>
      </w:hyperlink>
      <w:r>
        <w:t>), típico dos costumes do antigo Oriente Próximo em guerras, foi a resposta imediata dos cativos libertados a Deus.</w:t>
      </w:r>
    </w:p>
    <w:p>
      <w:r/>
      <w:r>
        <w:t>A separação das águas é um fenômeno que tem sido observado periodicamente em várias partes do mundo. Sempre ocorre da mesma maneira e envolve um vento forte deslocando um corpo de água. Lagos rasos, rios ou pântanos são facilmente separados nessas condições. A referência nas escrituras ao vento leste indica que Deus utilizou milagrosamente esse fenômeno natural para resgatar seu povo.</w:t>
      </w:r>
    </w:p>
    <w:p>
      <w:r/>
      <w:r>
        <w:t>Após escaparem com sucesso dos egípcios, os hebreus viajaram para o deserto de Sur, a três dias de viagem das águas amargas de Mara (</w:t>
      </w:r>
      <w:hyperlink r:id="rId8834">
        <w:r>
          <w:rPr>
            <w:color w:val="0000EE"/>
            <w:u w:val="single"/>
          </w:rPr>
          <w:t>Êx 15.22–25</w:t>
        </w:r>
      </w:hyperlink>
      <w:r>
        <w:t xml:space="preserve">). Em </w:t>
      </w:r>
      <w:hyperlink r:id="rId8835">
        <w:r>
          <w:rPr>
            <w:color w:val="0000EE"/>
            <w:u w:val="single"/>
          </w:rPr>
          <w:t>Números 33.8</w:t>
        </w:r>
      </w:hyperlink>
      <w:r>
        <w:t>, o deserto de Sur é identificado com Etã, que os israelitas já haviam deixado. Assim, parece que eles se moveram para o norte de Migdol, após o que se moveram novamente para o sul em direção ao deserto na área de Etã. Os israelitas não puderam entrar na Península do Sinai pelas rotas normais, que eram guardadas por fortalezas egípcias. Além disso, eles foram instruídos a não viajar pela estrada ao norte que levava ao “caminho da terra dos filisteus” (</w:t>
      </w:r>
      <w:hyperlink r:id="rId8836">
        <w:r>
          <w:rPr>
            <w:color w:val="0000EE"/>
            <w:u w:val="single"/>
          </w:rPr>
          <w:t>Êx 13.17</w:t>
        </w:r>
      </w:hyperlink>
      <w:r>
        <w:t xml:space="preserve">) em direção a Canaã. Consequentemente, a melhor maneira de satisfazer ambas as condições era mover-se para sudeste em direção ao Sinai o mais discretamente possível, tomando cuidado para evitar as rotas de acesso a Serabit el-Khadem na região central da península, onde os egípcios mineravam turquesa e cobre. As narrativas de </w:t>
      </w:r>
      <w:hyperlink r:id="rId8837">
        <w:r>
          <w:rPr>
            <w:color w:val="0000EE"/>
            <w:u w:val="single"/>
          </w:rPr>
          <w:t>Números 33.9–15</w:t>
        </w:r>
      </w:hyperlink>
      <w:r>
        <w:t xml:space="preserve"> mostram que os acampamentos israelitas estavam localizados em uma área ao sul do “mar de juncos”, provando que os refugiados não haviam tomado a rota ao norte, ou a rota “filisteia”.</w:t>
      </w:r>
    </w:p>
    <w:p>
      <w:pPr>
        <w:pStyle w:val="Heading3"/>
      </w:pPr>
      <w:r>
        <w:t>O tema do Êxodo nas Escrituras</w:t>
      </w:r>
    </w:p>
    <w:p>
      <w:pPr>
        <w:pStyle w:val="Heading4"/>
      </w:pPr>
      <w:r>
        <w:t>Antigo Testamento</w:t>
      </w:r>
    </w:p>
    <w:p>
      <w:r/>
      <w:r>
        <w:t>O motivo da libertação do cativeiro no Egito ficou gravado de forma indelével na mente hebraica, especialmente porque era reforçado a cada ano pela celebração da refeição da Páscoa (</w:t>
      </w:r>
      <w:hyperlink r:id="rId8838">
        <w:r>
          <w:rPr>
            <w:color w:val="0000EE"/>
            <w:u w:val="single"/>
          </w:rPr>
          <w:t>Ex 12.12–14</w:t>
        </w:r>
      </w:hyperlink>
      <w:r>
        <w:t>). Em cada celebração posterior, os hebreus eram conscientizados de que já haviam sido cativos, mas pela provisão e poder de Deus, agora eram pessoas livres — uma nação eleita e sacerdócio santo (</w:t>
      </w:r>
      <w:hyperlink r:id="rId8839">
        <w:r>
          <w:rPr>
            <w:color w:val="0000EE"/>
            <w:u w:val="single"/>
          </w:rPr>
          <w:t>Dt 26.19</w:t>
        </w:r>
      </w:hyperlink>
      <w:r>
        <w:t>).</w:t>
      </w:r>
    </w:p>
    <w:p>
      <w:r/>
      <w:r>
        <w:t>Em períodos posteriores, salmos foram escritos recontando a história de Israel à luz do grande evento libertador do Êxodo (</w:t>
      </w:r>
      <w:hyperlink r:id="rId8840">
        <w:r>
          <w:rPr>
            <w:color w:val="0000EE"/>
            <w:u w:val="single"/>
          </w:rPr>
          <w:t>Sl 105</w:t>
        </w:r>
      </w:hyperlink>
      <w:r>
        <w:t xml:space="preserve">; </w:t>
      </w:r>
      <w:hyperlink r:id="rId8841">
        <w:r>
          <w:rPr>
            <w:color w:val="0000EE"/>
            <w:u w:val="single"/>
          </w:rPr>
          <w:t>106</w:t>
        </w:r>
      </w:hyperlink>
      <w:r>
        <w:t xml:space="preserve">; </w:t>
      </w:r>
      <w:hyperlink r:id="rId729">
        <w:r>
          <w:rPr>
            <w:color w:val="0000EE"/>
            <w:u w:val="single"/>
          </w:rPr>
          <w:t>114</w:t>
        </w:r>
      </w:hyperlink>
      <w:r>
        <w:t xml:space="preserve">; </w:t>
      </w:r>
      <w:hyperlink r:id="rId1160">
        <w:r>
          <w:rPr>
            <w:color w:val="0000EE"/>
            <w:u w:val="single"/>
          </w:rPr>
          <w:t>136</w:t>
        </w:r>
      </w:hyperlink>
      <w:r>
        <w:t>). Essas composições ressoam com triunfo e gratidão. Relatos hebraicos da escravidão no Egito retratam a vida rigorosa, a opressão e o trabalho árduo. Agora se sabe que havia vários grupos estrangeiros no Egito na época, e que a punição corporal sofrida pelos hebreus era uma característica normal da vida cotidiana egípcia. Em resumo, não havia discriminação contra os hebreus como grupo; em vez disso, eles tinham a duvidosa distinção de serem tratados como trabalhadores egípcios comuns. Sempre que eram oprimidos, os hebreus podiam olhar para trás, para o grande milagre do Êxodo, e acreditar que o que Deus havia feito uma vez, ele poderia fazer novamente. Isso era de grande consolo para os fiéis exilados chorando às margens das águas da Babilônia (</w:t>
      </w:r>
      <w:hyperlink r:id="rId8842">
        <w:r>
          <w:rPr>
            <w:color w:val="0000EE"/>
            <w:u w:val="single"/>
          </w:rPr>
          <w:t>Sl 137.1</w:t>
        </w:r>
      </w:hyperlink>
      <w:r>
        <w:t xml:space="preserve">) enquanto aguardavam outro Êxodo, quando Deus os conduziria em triunfo de uma Babilônia destruída (v. </w:t>
      </w:r>
      <w:hyperlink r:id="rId8843">
        <w:r>
          <w:rPr>
            <w:color w:val="0000EE"/>
            <w:u w:val="single"/>
          </w:rPr>
          <w:t>8</w:t>
        </w:r>
      </w:hyperlink>
      <w:r>
        <w:t>) de volta à Palestina.</w:t>
      </w:r>
    </w:p>
    <w:p>
      <w:pPr>
        <w:pStyle w:val="Heading4"/>
      </w:pPr>
      <w:r>
        <w:t>Novo Testamento</w:t>
      </w:r>
    </w:p>
    <w:p>
      <w:r/>
      <w:r>
        <w:t>A poderosa obra de Deus na época do Êxodo foi lembrada em algumas ocasiões pelos escritores do NT, mesmo que Cristo já tivesse sido sacrificado como "nosso Cordeiro da Páscoa" (</w:t>
      </w:r>
      <w:hyperlink r:id="rId4668">
        <w:r>
          <w:rPr>
            <w:color w:val="0000EE"/>
            <w:u w:val="single"/>
          </w:rPr>
          <w:t>1Co 5.7</w:t>
        </w:r>
      </w:hyperlink>
      <w:r>
        <w:t>, NTLH) naquela época. Em seu discurso perante o Conselho de Jerusalém, Estevão fez uma recitação tradicional da história do AT, mencionando o evento do Mar Vermelho (</w:t>
      </w:r>
      <w:hyperlink r:id="rId5588">
        <w:r>
          <w:rPr>
            <w:color w:val="0000EE"/>
            <w:u w:val="single"/>
          </w:rPr>
          <w:t>At 7.36</w:t>
        </w:r>
      </w:hyperlink>
      <w:r>
        <w:t>) como parte de uma demonstração do poder de Deus para mudar os assuntos humanos. O apóstolo Paulo usou a experiência do Êxodo para lembrar seus ouvintes de que muitos que foram libertados da opressão naquela época nunca chegaram à Terra Prometida (</w:t>
      </w:r>
      <w:hyperlink r:id="rId8844">
        <w:r>
          <w:rPr>
            <w:color w:val="0000EE"/>
            <w:u w:val="single"/>
          </w:rPr>
          <w:t>1Co 10.1–5</w:t>
        </w:r>
      </w:hyperlink>
      <w:r>
        <w:t>). Em vez de se comprometerem totalmente com Deus em confiança e obediência, os israelitas caíram vítimas de tentações de vários tipos no deserto. Assim, Paulo enfatizou que, como é possível que os cristãos se tornem náufragos (</w:t>
      </w:r>
      <w:hyperlink r:id="rId8845">
        <w:r>
          <w:rPr>
            <w:color w:val="0000EE"/>
            <w:u w:val="single"/>
          </w:rPr>
          <w:t>9.27</w:t>
        </w:r>
      </w:hyperlink>
      <w:r>
        <w:t xml:space="preserve">), eles devem se apegar a Cristo, a Rocha, e levar suas responsabilidades espirituais a sério. Em </w:t>
      </w:r>
      <w:hyperlink r:id="rId8846">
        <w:r>
          <w:rPr>
            <w:color w:val="0000EE"/>
            <w:u w:val="single"/>
          </w:rPr>
          <w:t>Hebreus 11.27–29</w:t>
        </w:r>
      </w:hyperlink>
      <w:r>
        <w:t>, outra recitação histórica lista os heróis da fé, mencionando especialmente Moisés e seu papel no Êxodo.</w:t>
      </w:r>
    </w:p>
    <w:p>
      <w:r/>
      <w:r>
        <w:rPr>
          <w:i/>
        </w:rPr>
        <w:t>Veja também</w:t>
      </w:r>
      <w:r>
        <w:t xml:space="preserve"> </w:t>
      </w:r>
      <w:r>
        <w:t>Êxodo, Livro de</w:t>
      </w:r>
      <w:r>
        <w:t>.</w:t>
      </w:r>
      <w:r/>
      <w:r/>
    </w:p>
    <w:p>
      <w:r/>
    </w:p>
    <w:p>
      <w:pPr>
        <w:pStyle w:val="Heading2"/>
      </w:pPr>
      <w:r>
        <w:t>Exorcismo, Exorcista</w:t>
      </w:r>
      <w:r/>
    </w:p>
    <w:p>
      <w:r/>
      <w:r>
        <w:t>Um exorcismo é a prática de expulsar demônios e espíritos malignos. Um exorcista é a pessoa que realiza um exorcismo.</w:t>
      </w:r>
    </w:p>
    <w:p>
      <w:r/>
      <w:r>
        <w:t xml:space="preserve">Muitas pessoas no antigo Oriente Próximo afirmavam que podiam expulsar ou controlar demônios. Alguns dos milagres de Jesus registrados nos Evangelhos são exorcismos. Mas </w:t>
      </w:r>
      <w:hyperlink r:id="rId8847">
        <w:r>
          <w:rPr>
            <w:color w:val="0000EE"/>
            <w:u w:val="single"/>
          </w:rPr>
          <w:t>Atos 19.13</w:t>
        </w:r>
      </w:hyperlink>
      <w:r>
        <w:t xml:space="preserve"> é a única outra referência bíblica ao exorcismo entre os judeus. No entanto, em </w:t>
      </w:r>
      <w:hyperlink r:id="rId6672">
        <w:r>
          <w:rPr>
            <w:color w:val="0000EE"/>
            <w:u w:val="single"/>
          </w:rPr>
          <w:t>1 Samuel 16.14–23</w:t>
        </w:r>
      </w:hyperlink>
      <w:r>
        <w:t>, Davi agiu como um exorcista quando tocou sua harpa para afastar um espírito maligno do Rei Saul.</w:t>
      </w:r>
    </w:p>
    <w:p>
      <w:r/>
      <w:r>
        <w:rPr>
          <w:i/>
        </w:rPr>
        <w:t>Veja também</w:t>
      </w:r>
      <w:r>
        <w:t xml:space="preserve"> </w:t>
      </w:r>
      <w:r>
        <w:t>Demônio</w:t>
      </w:r>
      <w:r>
        <w:t xml:space="preserve">; </w:t>
      </w:r>
      <w:r>
        <w:t>Possessão demoníaca</w:t>
      </w:r>
      <w:r>
        <w:t>.</w:t>
      </w:r>
      <w:r/>
      <w:r/>
    </w:p>
    <w:p>
      <w:r/>
    </w:p>
    <w:p>
      <w:pPr>
        <w:pStyle w:val="Heading2"/>
      </w:pPr>
      <w:r>
        <w:t>Exortação</w:t>
      </w:r>
      <w:r/>
    </w:p>
    <w:p>
      <w:r/>
      <w:r>
        <w:t>Exortação significa encorajar fortemente alguém a fazer o que é certo. A palavra vem de uma palavra grega que significa "um chamado de alguém ao lado para ajudar". No Novo Testamento, geralmente significa instar alguém a fazer a coisa certa. Às vezes, a mesma palavra também pode significar confortar e apoiar alguém. O significado correto depende de como a palavra é usada naquela parte da Bíblia.</w:t>
      </w:r>
    </w:p>
    <w:p>
      <w:pPr>
        <w:pStyle w:val="Heading3"/>
      </w:pPr>
      <w:r>
        <w:t>Exemplos de exortação</w:t>
      </w:r>
    </w:p>
    <w:p>
      <w:r/>
      <w:hyperlink r:id="rId8848">
        <w:r>
          <w:rPr>
            <w:color w:val="0000EE"/>
            <w:u w:val="single"/>
          </w:rPr>
          <w:t xml:space="preserve">Lucas 3.7–18 </w:t>
        </w:r>
      </w:hyperlink>
      <w:r>
        <w:t>apresenta um excelente exemplo de exortação como incentivo para que as pessoas ajam. Nesta passagem, João Batista exortou fortemente o povo judeu a realizar várias ações:</w:t>
      </w:r>
    </w:p>
    <w:p>
      <w:pPr>
        <w:pStyle w:val="ListBullet"/>
        <w:spacing w:line="240" w:lineRule="auto"/>
        <w:ind w:left="720"/>
      </w:pPr>
      <w:r/>
      <w:r>
        <w:t>Mostrem, através de suas ações, que estão realmente arrependidos de seus pecados</w:t>
      </w:r>
    </w:p>
    <w:p>
      <w:pPr>
        <w:pStyle w:val="ListBullet"/>
        <w:spacing w:line="240" w:lineRule="auto"/>
        <w:ind w:left="720"/>
      </w:pPr>
      <w:r/>
      <w:r>
        <w:t>Pare de pensar que ser descendente de Abraão os protegerá do castigo de Deus</w:t>
      </w:r>
    </w:p>
    <w:p>
      <w:pPr>
        <w:pStyle w:val="ListBullet"/>
        <w:spacing w:line="240" w:lineRule="auto"/>
        <w:ind w:left="720"/>
      </w:pPr>
      <w:r/>
      <w:r>
        <w:t>Compartilhar suas roupas e alimentos com pessoas que precisam deles</w:t>
      </w:r>
    </w:p>
    <w:p>
      <w:r/>
      <w:r>
        <w:t>Ele também orientou grupos específicos sobre o que deveriam fazer:</w:t>
      </w:r>
    </w:p>
    <w:p>
      <w:pPr>
        <w:pStyle w:val="ListBullet"/>
        <w:spacing w:line="240" w:lineRule="auto"/>
        <w:ind w:left="720"/>
      </w:pPr>
      <w:r/>
      <w:r>
        <w:t>Ele instruiu os coletores de impostos a recolherem apenas a quantia de dinheiro que era devida</w:t>
      </w:r>
    </w:p>
    <w:p>
      <w:pPr>
        <w:pStyle w:val="ListBullet"/>
        <w:spacing w:line="240" w:lineRule="auto"/>
        <w:ind w:left="720"/>
      </w:pPr>
      <w:r/>
      <w:r>
        <w:t>Ele disse aos soldados para:</w:t>
      </w:r>
    </w:p>
    <w:p>
      <w:pPr>
        <w:pStyle w:val="ListBullet"/>
        <w:spacing w:line="240" w:lineRule="auto"/>
        <w:ind w:left="1440"/>
      </w:pPr>
      <w:r/>
      <w:r>
        <w:t>Não roube dinheiro das pessoas</w:t>
      </w:r>
    </w:p>
    <w:p>
      <w:pPr>
        <w:pStyle w:val="ListBullet"/>
        <w:spacing w:line="240" w:lineRule="auto"/>
        <w:ind w:left="1440"/>
      </w:pPr>
      <w:r/>
      <w:r>
        <w:t>Não faça acusações falsas contra as pessoas</w:t>
      </w:r>
    </w:p>
    <w:p>
      <w:pPr>
        <w:pStyle w:val="ListBullet"/>
        <w:spacing w:line="240" w:lineRule="auto"/>
        <w:ind w:left="1440"/>
      </w:pPr>
      <w:r/>
      <w:r>
        <w:t>Esteja satisfeito com o pagamento deles</w:t>
      </w:r>
    </w:p>
    <w:p>
      <w:pPr>
        <w:pStyle w:val="Heading3"/>
      </w:pPr>
      <w:r>
        <w:t>Exortação como um dom espiritual</w:t>
      </w:r>
    </w:p>
    <w:p>
      <w:r/>
      <w:r>
        <w:t>Deus concede a algumas pessoas na igreja a habilidade especial de encorajar e guiar os outros. Este dom de exortação beneficia toda a igreja (</w:t>
      </w:r>
      <w:hyperlink r:id="rId1410">
        <w:r>
          <w:rPr>
            <w:color w:val="0000EE"/>
            <w:u w:val="single"/>
          </w:rPr>
          <w:t>Rm 12.8</w:t>
        </w:r>
      </w:hyperlink>
      <w:r>
        <w:t>). Quando alguém usa corretamente o dom de profecia, um dos resultados é que pode encorajar os outros a fazer o que é certo (</w:t>
      </w:r>
      <w:hyperlink r:id="rId8849">
        <w:r>
          <w:rPr>
            <w:color w:val="0000EE"/>
            <w:u w:val="single"/>
          </w:rPr>
          <w:t>1Co 14.3,31</w:t>
        </w:r>
      </w:hyperlink>
      <w:r>
        <w:t>). Também era um dever que Paulo ordenou a Timóteo: "Persiste em ler, exortar e ensinar" (</w:t>
      </w:r>
      <w:hyperlink r:id="rId8850">
        <w:r>
          <w:rPr>
            <w:color w:val="0000EE"/>
            <w:u w:val="single"/>
          </w:rPr>
          <w:t>1Tm 4.13</w:t>
        </w:r>
      </w:hyperlink>
      <w:r>
        <w:t>). O livro de Hebreus também fala sobre encorajamento, dizendo aos leitores para não desconsiderarem a correção de Deus ou desistirem quando Deus os corrige (</w:t>
      </w:r>
      <w:hyperlink r:id="rId7297">
        <w:r>
          <w:rPr>
            <w:color w:val="0000EE"/>
            <w:u w:val="single"/>
          </w:rPr>
          <w:t>Hb 12.5</w:t>
        </w:r>
      </w:hyperlink>
      <w:r>
        <w:t>).</w:t>
      </w:r>
    </w:p>
    <w:p>
      <w:pPr>
        <w:pStyle w:val="Heading3"/>
      </w:pPr>
      <w:r>
        <w:t>Exortação como conforto e encorajamento</w:t>
      </w:r>
    </w:p>
    <w:p>
      <w:r/>
      <w:r>
        <w:t xml:space="preserve">Em </w:t>
      </w:r>
      <w:hyperlink r:id="rId5877">
        <w:r>
          <w:rPr>
            <w:color w:val="0000EE"/>
            <w:u w:val="single"/>
          </w:rPr>
          <w:t>2 Coríntios 1.3–7</w:t>
        </w:r>
      </w:hyperlink>
      <w:r>
        <w:t>, a palavra grega para exortação significa conforto e encorajamento. Nesta passagem, Paulo escreve sobre pessoas que estavam sofrendo por seguirem Cristo. Ele explica que Deus nos conforta durante tempos difíceis para que possamos confortar outros que estão passando por lutas semelhantes.</w:t>
      </w:r>
    </w:p>
    <w:p>
      <w:r/>
      <w:r>
        <w:t xml:space="preserve">Outro exemplo está em </w:t>
      </w:r>
      <w:hyperlink r:id="rId705">
        <w:r>
          <w:rPr>
            <w:color w:val="0000EE"/>
            <w:u w:val="single"/>
          </w:rPr>
          <w:t>Atos 15.31</w:t>
        </w:r>
      </w:hyperlink>
      <w:r>
        <w:t>. A igreja em Antioquia recebeu notícias encorajadoras dos líderes em Jerusalém. As pessoas estavam preocupadas porque alguns mestres estavam dizendo que todos os cristãos deviam seguir costumes judaicos, como a circuncisão, para serem salvos. Quando ouviram que isso não era verdade, sentiram-se confortados e aliviados.</w:t>
      </w:r>
    </w:p>
    <w:p>
      <w:r/>
      <w:r>
        <w:t xml:space="preserve">Paulo também usa esta palavra para significar "conforto" em </w:t>
      </w:r>
      <w:hyperlink r:id="rId8851">
        <w:r>
          <w:rPr>
            <w:color w:val="0000EE"/>
            <w:u w:val="single"/>
          </w:rPr>
          <w:t>1 Tessalonicenses 4.18</w:t>
        </w:r>
      </w:hyperlink>
      <w:r>
        <w:t>. Aqui, ele diz aos crentes que as pessoas que morrem como seguidores de Cristo não perderão as bênçãos que Jesus trará quando Ele retornar. Ele lhes diz para confortarem uns aos outros com esta verdade.</w:t>
      </w:r>
    </w:p>
    <w:p>
      <w:r/>
      <w:r>
        <w:rPr>
          <w:i/>
        </w:rPr>
        <w:t>Veja</w:t>
      </w:r>
      <w:r>
        <w:t xml:space="preserve"> </w:t>
      </w:r>
      <w:r>
        <w:t>Dons Espirituais</w:t>
      </w:r>
      <w:r>
        <w:t>.</w:t>
      </w:r>
      <w:r/>
      <w:r/>
    </w:p>
    <w:p>
      <w:r/>
    </w:p>
    <w:p>
      <w:pPr>
        <w:pStyle w:val="Heading2"/>
      </w:pPr>
      <w:r>
        <w:t>Expiação</w:t>
      </w:r>
      <w:r/>
    </w:p>
    <w:p>
      <w:r/>
      <w:r>
        <w:t>No pensamento cristão, "expiação" refere-se ao processo pelo qual Deus e a humanidade são reconectados e trazidos para um relacionamento pessoal. O termo implica a remoção da separação ou alienação entre Deus e os humanos. A palavra vem de termos anglo-saxões que significam "fazer um só" ou "união". Está intimamente associada à reconexão e ao perdão.</w:t>
      </w:r>
    </w:p>
    <w:p>
      <w:r/>
      <w:r>
        <w:t>Traduções modernas corretamente usam "reconciliação". Apesar da mudança nas palavras, o conceito de expiação é central para o Novo Testamento e para a teologia cristã como um todo. Ele enfatiza que Deus toma a iniciativa na salvação humana, oferecendo graça perdoadora através da expiação. Para os humanos, que não podem se conectar a Deus por si mesmos, a expiação fornece um "caminho novo e vivo" para se conectar com Deus.</w:t>
      </w:r>
    </w:p>
    <w:p>
      <w:r/>
      <w:r>
        <w:t>A necessidade de expiação se deve à pecaminosidade humana, como retratado ao longo das Escrituras:</w:t>
      </w:r>
    </w:p>
    <w:p>
      <w:pPr>
        <w:pStyle w:val="ListBullet"/>
        <w:spacing w:line="240" w:lineRule="auto"/>
        <w:ind w:left="720"/>
      </w:pPr>
      <w:r/>
      <w:r>
        <w:t>O profeta Isaías disse: "Todos nós éramos como ovelhas que se haviam perdido" (</w:t>
      </w:r>
      <w:hyperlink r:id="rId8852">
        <w:r>
          <w:rPr>
            <w:color w:val="0000EE"/>
            <w:u w:val="single"/>
          </w:rPr>
          <w:t>Is 53.6</w:t>
        </w:r>
      </w:hyperlink>
      <w:r>
        <w:t>).</w:t>
      </w:r>
    </w:p>
    <w:p>
      <w:pPr>
        <w:pStyle w:val="ListBullet"/>
        <w:spacing w:line="240" w:lineRule="auto"/>
        <w:ind w:left="720"/>
      </w:pPr>
      <w:r/>
      <w:r>
        <w:t>Jeremias disse: "Quem pode entender o coração humano? Não há nada que engane tanto como ele; está doente demais para ser curado" (</w:t>
      </w:r>
      <w:hyperlink r:id="rId5689">
        <w:r>
          <w:rPr>
            <w:color w:val="0000EE"/>
            <w:u w:val="single"/>
          </w:rPr>
          <w:t>Jr 17.9</w:t>
        </w:r>
      </w:hyperlink>
      <w:r>
        <w:t>).</w:t>
      </w:r>
    </w:p>
    <w:p>
      <w:pPr>
        <w:pStyle w:val="ListBullet"/>
        <w:spacing w:line="240" w:lineRule="auto"/>
        <w:ind w:left="720"/>
      </w:pPr>
      <w:r/>
      <w:r>
        <w:t>Davi, o salmista, clamou: "Não há mais ninguém que faça o bem, não há nem mesmo uma só pessoa" (</w:t>
      </w:r>
      <w:hyperlink r:id="rId8853">
        <w:r>
          <w:rPr>
            <w:color w:val="0000EE"/>
            <w:u w:val="single"/>
          </w:rPr>
          <w:t>Sl 14.3</w:t>
        </w:r>
      </w:hyperlink>
      <w:r>
        <w:t>).</w:t>
      </w:r>
    </w:p>
    <w:p>
      <w:r/>
      <w:r>
        <w:t>Paulo descreveu a pecaminosidade do homem causada por sua desobediência e idolatria (</w:t>
      </w:r>
      <w:hyperlink r:id="rId7517">
        <w:r>
          <w:rPr>
            <w:color w:val="0000EE"/>
            <w:u w:val="single"/>
          </w:rPr>
          <w:t>Rm 1.18–32</w:t>
        </w:r>
      </w:hyperlink>
      <w:r>
        <w:t>). Ele resumiu: "Todos pecaram e estão afastados da presença gloriosa de Deus" (</w:t>
      </w:r>
      <w:hyperlink r:id="rId4436">
        <w:r>
          <w:rPr>
            <w:color w:val="0000EE"/>
            <w:u w:val="single"/>
          </w:rPr>
          <w:t>Rm 3.23</w:t>
        </w:r>
      </w:hyperlink>
      <w:r>
        <w:t>).</w:t>
      </w:r>
    </w:p>
    <w:p>
      <w:r/>
      <w:r>
        <w:t>Em outro lugar, Paulo descreveu os seres humanos como:</w:t>
      </w:r>
    </w:p>
    <w:p>
      <w:pPr>
        <w:pStyle w:val="ListBullet"/>
        <w:spacing w:line="240" w:lineRule="auto"/>
        <w:ind w:left="720"/>
      </w:pPr>
      <w:r/>
      <w:r>
        <w:t>inimigos de Deus (</w:t>
      </w:r>
      <w:hyperlink r:id="rId8854">
        <w:r>
          <w:rPr>
            <w:color w:val="0000EE"/>
            <w:u w:val="single"/>
          </w:rPr>
          <w:t>Rm 5.10</w:t>
        </w:r>
      </w:hyperlink>
      <w:r>
        <w:t>);</w:t>
      </w:r>
    </w:p>
    <w:p>
      <w:pPr>
        <w:pStyle w:val="ListBullet"/>
        <w:spacing w:line="240" w:lineRule="auto"/>
        <w:ind w:left="720"/>
      </w:pPr>
      <w:r/>
      <w:r>
        <w:t>"inimizade contra Deus" (</w:t>
      </w:r>
      <w:hyperlink r:id="rId8855">
        <w:r>
          <w:rPr>
            <w:color w:val="0000EE"/>
            <w:u w:val="single"/>
          </w:rPr>
          <w:t>Rm 8.7</w:t>
        </w:r>
      </w:hyperlink>
      <w:r>
        <w:t>);</w:t>
      </w:r>
    </w:p>
    <w:p>
      <w:pPr>
        <w:pStyle w:val="ListBullet"/>
        <w:spacing w:line="240" w:lineRule="auto"/>
        <w:ind w:left="720"/>
      </w:pPr>
      <w:r/>
      <w:r>
        <w:t>"longe de Deus... inimigos dele por causa das coisas más que vocês faziam e pensavam" (</w:t>
      </w:r>
      <w:hyperlink r:id="rId8856">
        <w:r>
          <w:rPr>
            <w:color w:val="0000EE"/>
            <w:u w:val="single"/>
          </w:rPr>
          <w:t>Cl 1.21</w:t>
        </w:r>
      </w:hyperlink>
      <w:r>
        <w:t>);</w:t>
      </w:r>
    </w:p>
    <w:p>
      <w:pPr>
        <w:pStyle w:val="ListBullet"/>
        <w:spacing w:line="240" w:lineRule="auto"/>
        <w:ind w:left="720"/>
      </w:pPr>
      <w:r/>
      <w:r>
        <w:t>assim como Adão: "Como resultado, a morte se espalhou por toda a raça humana porque todos pecaram" (</w:t>
      </w:r>
      <w:hyperlink r:id="rId4445">
        <w:r>
          <w:rPr>
            <w:color w:val="0000EE"/>
            <w:u w:val="single"/>
          </w:rPr>
          <w:t>Rm 5.12</w:t>
        </w:r>
      </w:hyperlink>
      <w:r>
        <w:t>).</w:t>
      </w:r>
    </w:p>
    <w:p>
      <w:r/>
      <w:r>
        <w:t>O problema do pecado humano é agravado pela santidade de Deus. Deus não pode tolerar o pecado. Isaías viu o Deus santo no templo e sentiu medo por causa de seus próprios pecados (</w:t>
      </w:r>
      <w:hyperlink r:id="rId8857">
        <w:r>
          <w:rPr>
            <w:color w:val="0000EE"/>
            <w:u w:val="single"/>
          </w:rPr>
          <w:t>Is 6.1–5</w:t>
        </w:r>
      </w:hyperlink>
      <w:r>
        <w:t>). As pessoas são muito pecadoras, e Deus é completamente santo. Por causa disso, as pessoas têm medo de Deus e não podem mudar essa situação por conta própria. Elas estão perdidas e desamparadas, enfrentando o julgamento de Deus. Elas não podem se reconciliar com Deus ou merecer o cuidado de Deus.</w:t>
      </w:r>
    </w:p>
    <w:p>
      <w:r/>
      <w:r>
        <w:t>Somente Deus pode possibilitar que as pessoas se reconciliem com Ele. A forma como Deus realiza isso na Bíblia nos revela tanto sobre a natureza divina quanto sobre a natureza humana.</w:t>
      </w:r>
    </w:p>
    <w:p>
      <w:r/>
      <w:r>
        <w:t>No idioma hebraico do Antigo Testamento, a palavra frequentemente traduzida como "expiar" significa "apagar", "eliminar", "cobrir" ou, de forma mais geral, "remover." Esta palavra é traduzida de diferentes maneiras, como:</w:t>
      </w:r>
    </w:p>
    <w:p>
      <w:pPr>
        <w:pStyle w:val="ListBullet"/>
        <w:spacing w:line="240" w:lineRule="auto"/>
        <w:ind w:left="720"/>
      </w:pPr>
      <w:r/>
      <w:r>
        <w:t>"fazer expiação";</w:t>
      </w:r>
    </w:p>
    <w:p>
      <w:pPr>
        <w:pStyle w:val="ListBullet"/>
        <w:spacing w:line="240" w:lineRule="auto"/>
        <w:ind w:left="720"/>
      </w:pPr>
      <w:r/>
      <w:r>
        <w:t>"perdoar";</w:t>
      </w:r>
    </w:p>
    <w:p>
      <w:pPr>
        <w:pStyle w:val="ListBullet"/>
        <w:spacing w:line="240" w:lineRule="auto"/>
        <w:ind w:left="720"/>
      </w:pPr>
      <w:r/>
      <w:r>
        <w:t>"apaziguar";</w:t>
      </w:r>
    </w:p>
    <w:p>
      <w:pPr>
        <w:pStyle w:val="ListBullet"/>
        <w:spacing w:line="240" w:lineRule="auto"/>
        <w:ind w:left="720"/>
      </w:pPr>
      <w:r/>
      <w:r>
        <w:t>"pacificar";</w:t>
      </w:r>
    </w:p>
    <w:p>
      <w:pPr>
        <w:pStyle w:val="ListBullet"/>
        <w:spacing w:line="240" w:lineRule="auto"/>
        <w:ind w:left="720"/>
      </w:pPr>
      <w:r/>
      <w:r>
        <w:t>"indulto";</w:t>
      </w:r>
    </w:p>
    <w:p>
      <w:pPr>
        <w:pStyle w:val="ListBullet"/>
        <w:spacing w:line="240" w:lineRule="auto"/>
        <w:ind w:left="720"/>
      </w:pPr>
      <w:r/>
      <w:r>
        <w:t>"purificar";</w:t>
      </w:r>
    </w:p>
    <w:p>
      <w:pPr>
        <w:pStyle w:val="ListBullet"/>
        <w:spacing w:line="240" w:lineRule="auto"/>
        <w:ind w:left="720"/>
      </w:pPr>
      <w:r/>
      <w:r>
        <w:t>"protelar";</w:t>
      </w:r>
    </w:p>
    <w:p>
      <w:pPr>
        <w:pStyle w:val="ListBullet"/>
        <w:spacing w:line="240" w:lineRule="auto"/>
        <w:ind w:left="720"/>
      </w:pPr>
      <w:r/>
      <w:r>
        <w:t>"reconciliar";</w:t>
      </w:r>
    </w:p>
    <w:p>
      <w:r/>
      <w:r>
        <w:t>No Antigo Testamento, a maneira mais comum de fazer expiação era através do sacrifício de animais. A parte mais importante de um sacrifício era o derramamento de sangue. A Bíblia diz que a vida está no sangue (</w:t>
      </w:r>
      <w:hyperlink r:id="rId5222">
        <w:r>
          <w:rPr>
            <w:color w:val="0000EE"/>
            <w:u w:val="single"/>
          </w:rPr>
          <w:t>Lv 17.11</w:t>
        </w:r>
      </w:hyperlink>
      <w:r>
        <w:t>). Quando o sangue era derramado, significava que a vida era entregue e a morte ocorria. Nos sacrifícios, o sangue representava a morte, não a vida. Algumas pessoas pensam que o derramamento do sangue tornava a vida disponível para as pessoas. Mas era a vida da carne que estava no sangue, e a carne era sacrificada. No Novo Testamento, é porque Jesus ressuscitou dos mortos que sua vida está disponível para os crentes.</w:t>
      </w:r>
    </w:p>
    <w:p>
      <w:r/>
      <w:r>
        <w:t>Nem toda menção de expiação no Antigo Testamento envolvia derramamento de sangue. No Dia da Expiação, dois bodes eram utilizados:</w:t>
      </w:r>
    </w:p>
    <w:p>
      <w:pPr>
        <w:pStyle w:val="ListBullet"/>
        <w:spacing w:line="240" w:lineRule="auto"/>
        <w:ind w:left="720"/>
      </w:pPr>
      <w:r/>
      <w:r>
        <w:t>Uma cabra foi sacrificada.</w:t>
      </w:r>
    </w:p>
    <w:p>
      <w:pPr>
        <w:pStyle w:val="ListBullet"/>
        <w:spacing w:line="240" w:lineRule="auto"/>
        <w:ind w:left="720"/>
      </w:pPr>
      <w:r/>
      <w:r>
        <w:t>O outro bode foi "apresentado vivo perante o Senhor para fazer expiação" (</w:t>
      </w:r>
      <w:hyperlink r:id="rId2936">
        <w:r>
          <w:rPr>
            <w:color w:val="0000EE"/>
            <w:u w:val="single"/>
          </w:rPr>
          <w:t>Lv 16.10</w:t>
        </w:r>
      </w:hyperlink>
      <w:r>
        <w:t>).</w:t>
      </w:r>
    </w:p>
    <w:p>
      <w:r/>
      <w:r>
        <w:t>Este segundo bode, chamado de "bode expiatório", era enviado ao deserto carregando os pecados do povo. Enviar o bode embora substituía o derramamento de sangue. O bode sofria no lugar do povo. Era um substituto para eles.</w:t>
      </w:r>
    </w:p>
    <w:p>
      <w:r/>
      <w:r>
        <w:t>Havia também outras maneiras de realizar a expiação:</w:t>
      </w:r>
    </w:p>
    <w:p>
      <w:pPr>
        <w:pStyle w:val="ListBullet"/>
        <w:spacing w:line="240" w:lineRule="auto"/>
        <w:ind w:left="720"/>
      </w:pPr>
      <w:r/>
      <w:r>
        <w:t>Os israelitas deram dinheiro para o templo (</w:t>
      </w:r>
      <w:hyperlink r:id="rId8858">
        <w:r>
          <w:rPr>
            <w:color w:val="0000EE"/>
            <w:u w:val="single"/>
          </w:rPr>
          <w:t>Êx 30.16</w:t>
        </w:r>
      </w:hyperlink>
      <w:r>
        <w:t>).</w:t>
      </w:r>
    </w:p>
    <w:p>
      <w:pPr>
        <w:pStyle w:val="ListBullet"/>
        <w:spacing w:line="240" w:lineRule="auto"/>
        <w:ind w:left="720"/>
      </w:pPr>
      <w:r/>
      <w:r>
        <w:t>Arão e Moisés usaram incenso para impedir que uma doença se espalhasse: “Ele ofereceu o incenso e fez expiação pelo povo” (</w:t>
      </w:r>
      <w:hyperlink r:id="rId8859">
        <w:r>
          <w:rPr>
            <w:color w:val="0000EE"/>
            <w:u w:val="single"/>
          </w:rPr>
          <w:t>Nm 16.47</w:t>
        </w:r>
      </w:hyperlink>
      <w:r>
        <w:t>).</w:t>
      </w:r>
    </w:p>
    <w:p>
      <w:r/>
      <w:r>
        <w:t>Esses poucos casos especiais não alteram a ideia principal do Antigo Testamento sobre a expiação através do sacrifício animal. O Novo Testamento resume isso dizendo: "sem derramamento de sangue não há perdão" (</w:t>
      </w:r>
      <w:hyperlink r:id="rId8860">
        <w:r>
          <w:rPr>
            <w:color w:val="0000EE"/>
            <w:u w:val="single"/>
          </w:rPr>
          <w:t>Hb 9.22</w:t>
        </w:r>
      </w:hyperlink>
      <w:r>
        <w:t>).</w:t>
      </w:r>
    </w:p>
    <w:p>
      <w:r/>
      <w:r>
        <w:t>No Antigo Testamento, a ideia de expiação pelo pecado levou a palavras como:</w:t>
      </w:r>
    </w:p>
    <w:p>
      <w:pPr>
        <w:pStyle w:val="ListBullet"/>
        <w:spacing w:line="240" w:lineRule="auto"/>
        <w:ind w:left="720"/>
      </w:pPr>
      <w:r/>
      <w:r>
        <w:t>"expiação" (remoção de culpa);</w:t>
      </w:r>
    </w:p>
    <w:p>
      <w:pPr>
        <w:pStyle w:val="ListBullet"/>
        <w:spacing w:line="240" w:lineRule="auto"/>
        <w:ind w:left="720"/>
      </w:pPr>
      <w:r/>
      <w:r>
        <w:t>"perdão".</w:t>
      </w:r>
    </w:p>
    <w:p>
      <w:r/>
      <w:r>
        <w:t>A ideia de expiação para a ira ou julgamento de Deus resultou em palavras como:</w:t>
      </w:r>
    </w:p>
    <w:p>
      <w:pPr>
        <w:pStyle w:val="ListBullet"/>
        <w:spacing w:line="240" w:lineRule="auto"/>
        <w:ind w:left="720"/>
      </w:pPr>
      <w:r/>
      <w:r>
        <w:t>"Propiciação" (transferir a ira de Deus para outro lugar);</w:t>
      </w:r>
    </w:p>
    <w:p>
      <w:pPr>
        <w:pStyle w:val="ListBullet"/>
        <w:spacing w:line="240" w:lineRule="auto"/>
        <w:ind w:left="720"/>
      </w:pPr>
      <w:r/>
      <w:r>
        <w:t>"Reconciliação" (restaurar uma relação amigável).</w:t>
      </w:r>
    </w:p>
    <w:p>
      <w:r/>
      <w:r>
        <w:t>Traduções modernas da Bíblia em inglês utilizam palavras diferentes para explicar a ideia de expiação que Deus oferece.</w:t>
      </w:r>
    </w:p>
    <w:p>
      <w:r/>
      <w:r>
        <w:t>O Novo Testamento mostra claramente que a obra de Cristo, especialmente sua morte na cruz, proporciona expiação. O Novo Testamento ainda usa a linguagem do Antigo Testamento, especialmente a palavra "sangue". Por exemplo, o Novo Testamento fala sobre:</w:t>
      </w:r>
    </w:p>
    <w:p>
      <w:pPr>
        <w:pStyle w:val="ListBullet"/>
        <w:spacing w:line="240" w:lineRule="auto"/>
        <w:ind w:left="720"/>
      </w:pPr>
      <w:r/>
      <w:r>
        <w:t>o “sangue do novo testamento” (</w:t>
      </w:r>
      <w:hyperlink r:id="rId856">
        <w:r>
          <w:rPr>
            <w:color w:val="0000EE"/>
            <w:u w:val="single"/>
          </w:rPr>
          <w:t>Mt 26.28</w:t>
        </w:r>
      </w:hyperlink>
      <w:r>
        <w:t>);</w:t>
      </w:r>
    </w:p>
    <w:p>
      <w:pPr>
        <w:pStyle w:val="ListBullet"/>
        <w:spacing w:line="240" w:lineRule="auto"/>
        <w:ind w:left="720"/>
      </w:pPr>
      <w:r/>
      <w:r>
        <w:t>o “novo testamento no meu sangue” (</w:t>
      </w:r>
      <w:hyperlink r:id="rId824">
        <w:r>
          <w:rPr>
            <w:color w:val="0000EE"/>
            <w:u w:val="single"/>
          </w:rPr>
          <w:t>Lc 22.20</w:t>
        </w:r>
      </w:hyperlink>
      <w:r>
        <w:t>);</w:t>
      </w:r>
    </w:p>
    <w:p>
      <w:pPr>
        <w:pStyle w:val="ListBullet"/>
        <w:spacing w:line="240" w:lineRule="auto"/>
        <w:ind w:left="720"/>
      </w:pPr>
      <w:r/>
      <w:r>
        <w:t>o “sangue de Cristo” (</w:t>
      </w:r>
      <w:hyperlink r:id="rId6341">
        <w:r>
          <w:rPr>
            <w:color w:val="0000EE"/>
            <w:u w:val="single"/>
          </w:rPr>
          <w:t>Ef 2.13</w:t>
        </w:r>
      </w:hyperlink>
      <w:r>
        <w:t>);</w:t>
      </w:r>
    </w:p>
    <w:p>
      <w:pPr>
        <w:pStyle w:val="ListBullet"/>
        <w:spacing w:line="240" w:lineRule="auto"/>
        <w:ind w:left="720"/>
      </w:pPr>
      <w:r/>
      <w:r>
        <w:t>o “sangue da sua cruz” (</w:t>
      </w:r>
      <w:hyperlink r:id="rId5154">
        <w:r>
          <w:rPr>
            <w:color w:val="0000EE"/>
            <w:u w:val="single"/>
          </w:rPr>
          <w:t>Cl 1.20</w:t>
        </w:r>
      </w:hyperlink>
      <w:r>
        <w:t>).</w:t>
      </w:r>
    </w:p>
    <w:p>
      <w:r/>
      <w:r>
        <w:t>O Novo Testamento também menciona frequentemente "a cruz" e "a morte de Cristo", que significam quase a mesma coisa que "sangue" nesses casos. O Novo Testamento é chamado de "nova aliança" de Jesus Cristo, oficializada por seu sangue.</w:t>
      </w:r>
    </w:p>
    <w:p>
      <w:r/>
      <w:r>
        <w:rPr>
          <w:i/>
        </w:rPr>
        <w:t>Veja também</w:t>
      </w:r>
      <w:r>
        <w:t xml:space="preserve"> </w:t>
      </w:r>
      <w:r>
        <w:t>Propiciação</w:t>
      </w:r>
      <w:r>
        <w:t xml:space="preserve">; </w:t>
      </w:r>
      <w:r>
        <w:t>Expiação</w:t>
      </w:r>
      <w:r>
        <w:t xml:space="preserve">; </w:t>
      </w:r>
      <w:r>
        <w:t>Ofertas e Sacrifícios</w:t>
      </w:r>
      <w:r>
        <w:t xml:space="preserve">; </w:t>
      </w:r>
      <w:r>
        <w:t>Dia da Expiação</w:t>
      </w:r>
      <w:r>
        <w:t xml:space="preserve">; </w:t>
      </w:r>
      <w:r>
        <w:t>Redentor, Redenção</w:t>
      </w:r>
      <w:r>
        <w:t xml:space="preserve">; </w:t>
      </w:r>
      <w:r>
        <w:t>Resgate</w:t>
      </w:r>
      <w:r>
        <w:t>.</w:t>
      </w:r>
      <w:r/>
      <w:r/>
    </w:p>
    <w:p>
      <w:r/>
    </w:p>
    <w:p>
      <w:pPr>
        <w:pStyle w:val="Heading2"/>
      </w:pPr>
      <w:r>
        <w:t>Expiação</w:t>
      </w:r>
      <w:r/>
    </w:p>
    <w:p>
      <w:r/>
      <w:r>
        <w:t>Expiação, purificação ou remoção do pecado ou de sua culpa. O termo aparece em algumas traduções em português (e.g. ARC) como “expiação” (</w:t>
      </w:r>
      <w:hyperlink r:id="rId2685">
        <w:r>
          <w:rPr>
            <w:color w:val="0000EE"/>
            <w:u w:val="single"/>
          </w:rPr>
          <w:t>Hb 2.17</w:t>
        </w:r>
      </w:hyperlink>
      <w:r>
        <w:t>) ou “propiciação” (</w:t>
      </w:r>
      <w:hyperlink r:id="rId2767">
        <w:r>
          <w:rPr>
            <w:color w:val="0000EE"/>
            <w:u w:val="single"/>
          </w:rPr>
          <w:t>Rm 3.25</w:t>
        </w:r>
      </w:hyperlink>
      <w:r>
        <w:t xml:space="preserve">; </w:t>
      </w:r>
      <w:hyperlink r:id="rId1202">
        <w:r>
          <w:rPr>
            <w:color w:val="0000EE"/>
            <w:u w:val="single"/>
          </w:rPr>
          <w:t>1Jo 2.2</w:t>
        </w:r>
      </w:hyperlink>
      <w:r>
        <w:t xml:space="preserve">; </w:t>
      </w:r>
      <w:hyperlink r:id="rId8861">
        <w:r>
          <w:rPr>
            <w:color w:val="0000EE"/>
            <w:u w:val="single"/>
          </w:rPr>
          <w:t>4.10</w:t>
        </w:r>
      </w:hyperlink>
      <w:r>
        <w:t>). “Expiação” também aparece em algumas traduções em português de certas passagens do AT (</w:t>
      </w:r>
      <w:hyperlink r:id="rId8862">
        <w:r>
          <w:rPr>
            <w:color w:val="0000EE"/>
            <w:u w:val="single"/>
          </w:rPr>
          <w:t>Nm 35.33</w:t>
        </w:r>
      </w:hyperlink>
      <w:r>
        <w:t xml:space="preserve">; </w:t>
      </w:r>
      <w:hyperlink r:id="rId8863">
        <w:r>
          <w:rPr>
            <w:color w:val="0000EE"/>
            <w:u w:val="single"/>
          </w:rPr>
          <w:t>Dt 32.43</w:t>
        </w:r>
      </w:hyperlink>
      <w:r>
        <w:t xml:space="preserve">; </w:t>
      </w:r>
      <w:hyperlink r:id="rId8864">
        <w:r>
          <w:rPr>
            <w:color w:val="0000EE"/>
            <w:u w:val="single"/>
          </w:rPr>
          <w:t>1Sm 3.14</w:t>
        </w:r>
      </w:hyperlink>
      <w:r>
        <w:t xml:space="preserve">; </w:t>
      </w:r>
      <w:hyperlink r:id="rId3594">
        <w:r>
          <w:rPr>
            <w:color w:val="0000EE"/>
            <w:u w:val="single"/>
          </w:rPr>
          <w:t>Is 27.9</w:t>
        </w:r>
      </w:hyperlink>
      <w:r>
        <w:t>). A palavra não aparece em traduções modernas da Bíblia.</w:t>
      </w:r>
    </w:p>
    <w:p>
      <w:r/>
      <w:r>
        <w:t>A família de palavras hebraicas traduzidas como “expiação” refere-se fundamentalmente a uma solução para o pecado, e a associação mais comum é com a ideia de expiação. Expiação está relacionada à remoção da mancha do pecado e, portanto, o termo está associado a palavras como “perdoar”, “purificar”, “limpar” ou “expiar”.</w:t>
      </w:r>
    </w:p>
    <w:p>
      <w:r/>
      <w:r>
        <w:t>Todas as referências no NT à expiação estão relacionadas ao sacrifício de Cristo pelo pecado humano. Na Bíblia, tanto a expiação quanto a propiciação fazem parte da obra de expiação de Deus. O sacrifício de Cristo tanto propicia (afasta) a ira de Deus quanto expia (cobre) o pecado humano. A obra redentora de Deus é tanto pessoal, ou relacional, quanto objetiva. Quando um contexto bíblico se concentra na ira de Deus, a propiciação está envolvida; quando o pecado humano é o foco, então a redenção proporciona expiação.</w:t>
      </w:r>
    </w:p>
    <w:p>
      <w:r/>
      <w:r>
        <w:rPr>
          <w:i/>
        </w:rPr>
        <w:t>Veja também</w:t>
      </w:r>
      <w:r>
        <w:t xml:space="preserve"> </w:t>
      </w:r>
      <w:r>
        <w:t>Expiação</w:t>
      </w:r>
      <w:r>
        <w:t xml:space="preserve">; </w:t>
      </w:r>
      <w:r>
        <w:t>Ofertas e sacrifícios</w:t>
      </w:r>
      <w:r>
        <w:t xml:space="preserve">; </w:t>
      </w:r>
      <w:r>
        <w:t>Propiciação</w:t>
      </w:r>
      <w:r>
        <w:t>.</w:t>
      </w:r>
      <w:r/>
      <w:r/>
    </w:p>
    <w:p>
      <w:r/>
    </w:p>
    <w:p>
      <w:pPr>
        <w:pStyle w:val="Heading2"/>
      </w:pPr>
      <w:r>
        <w:t>Ezequias</w:t>
      </w:r>
      <w:r/>
    </w:p>
    <w:p>
      <w:r/>
      <w:r>
        <w:t xml:space="preserve">1. Rei de Judá de 715 a 686 a.C. O relato do reinado de Ezequias está em </w:t>
      </w:r>
      <w:hyperlink r:id="rId8865">
        <w:r>
          <w:rPr>
            <w:color w:val="0000EE"/>
            <w:u w:val="single"/>
          </w:rPr>
          <w:t>2 Reis 18.1–20.21</w:t>
        </w:r>
      </w:hyperlink>
      <w:r>
        <w:t xml:space="preserve">, </w:t>
      </w:r>
      <w:hyperlink r:id="rId8866">
        <w:r>
          <w:rPr>
            <w:color w:val="0000EE"/>
            <w:u w:val="single"/>
          </w:rPr>
          <w:t>2 Crônicas 29.1–32.33</w:t>
        </w:r>
      </w:hyperlink>
      <w:r>
        <w:t xml:space="preserve"> e </w:t>
      </w:r>
      <w:hyperlink r:id="rId8867">
        <w:r>
          <w:rPr>
            <w:color w:val="0000EE"/>
            <w:u w:val="single"/>
          </w:rPr>
          <w:t>Isaías 36.1–39.8</w:t>
        </w:r>
      </w:hyperlink>
      <w:r>
        <w:t>.</w:t>
      </w:r>
    </w:p>
    <w:p>
      <w:pPr>
        <w:pStyle w:val="Heading3"/>
      </w:pPr>
      <w:r>
        <w:t>Cronologia</w:t>
      </w:r>
    </w:p>
    <w:p>
      <w:r/>
      <w:r>
        <w:t>Ezequias assumiu o trono de Judá aos 25 anos e governou por 29 anos (</w:t>
      </w:r>
      <w:hyperlink r:id="rId6232">
        <w:r>
          <w:rPr>
            <w:color w:val="0000EE"/>
            <w:u w:val="single"/>
          </w:rPr>
          <w:t>2Rs 18.2</w:t>
        </w:r>
      </w:hyperlink>
      <w:r>
        <w:t xml:space="preserve">; </w:t>
      </w:r>
      <w:hyperlink r:id="rId8868">
        <w:r>
          <w:rPr>
            <w:color w:val="0000EE"/>
            <w:u w:val="single"/>
          </w:rPr>
          <w:t>2Cr 29.1</w:t>
        </w:r>
      </w:hyperlink>
      <w:r>
        <w:t>). Sua mãe era Abi (</w:t>
      </w:r>
      <w:hyperlink r:id="rId6232">
        <w:r>
          <w:rPr>
            <w:color w:val="0000EE"/>
            <w:u w:val="single"/>
          </w:rPr>
          <w:t>2Rs 18.2</w:t>
        </w:r>
      </w:hyperlink>
      <w:r>
        <w:t xml:space="preserve">; </w:t>
      </w:r>
      <w:hyperlink r:id="rId8868">
        <w:r>
          <w:rPr>
            <w:color w:val="0000EE"/>
            <w:u w:val="single"/>
          </w:rPr>
          <w:t>2Cr 29.1</w:t>
        </w:r>
      </w:hyperlink>
      <w:r>
        <w:t>; “Abias,” uma forma mais longa), filha de Zacarias. A cronologia do reinado de Ezequias é difícil de estabelecer com certeza. A Bíblia diz que o cerco assírio de Samaria, capital do reino do norte de Israel, começou no quarto ano de seu reinado e que Samaria caiu no sexto ano (</w:t>
      </w:r>
      <w:hyperlink r:id="rId8869">
        <w:r>
          <w:rPr>
            <w:color w:val="0000EE"/>
            <w:u w:val="single"/>
          </w:rPr>
          <w:t>2Rs 18.9–10</w:t>
        </w:r>
      </w:hyperlink>
      <w:r>
        <w:t>), o que faria seu reinado começar por volta de 728 a.C. e terminar por volta de 699 a.C. O rei assírio Senaqueribe sitiou as cidades fortificadas de Judá durante o 14º ano de Ezequias (</w:t>
      </w:r>
      <w:hyperlink r:id="rId6226">
        <w:r>
          <w:rPr>
            <w:color w:val="0000EE"/>
            <w:u w:val="single"/>
          </w:rPr>
          <w:t>2Rs 18.13</w:t>
        </w:r>
      </w:hyperlink>
      <w:r>
        <w:t>), o que teria sido 714 a.C. Registros assírios, no entanto, indicam que Senaqueribe subiu ao trono assírio em 705 a.C. e que sua campanha judaica ocorreu em 701 a.C. A solução mais geralmente aceita para a discrepância é que Ezequias subiu ao trono em 715 a.C., provavelmente após uma co-regência com seu pai, Acaz, que começou em 728 a.C. Essa solução harmoniza-se com a afirmação de que o cerco de Senaqueribe ocorreu no 14º ano do reinado de Ezequias, ou 701 a.C.</w:t>
      </w:r>
    </w:p>
    <w:p>
      <w:pPr>
        <w:pStyle w:val="Heading3"/>
      </w:pPr>
      <w:r>
        <w:t>Reformas religiosas de Ezequias</w:t>
      </w:r>
    </w:p>
    <w:p>
      <w:r/>
      <w:r>
        <w:t>Ezequias subiu ao trono em um momento crítico na história de Judá. Sargão II havia tomado Samaria em 722 a.C., e Judá estava militarmente enfraquecido por guerras e incursões de nações vizinhas durante o reinado de Acaz. Talvez motivado pelos avisos ao reino do norte entregues pelos profetas Amós e Oseias de que o castigo viria se Israel não voltasse para Deus, Ezequias iniciou suas reformas religiosas logo após assumir o trono.</w:t>
      </w:r>
    </w:p>
    <w:p>
      <w:r/>
      <w:r>
        <w:t>No primeiro mês de seu reinado, Ezequias abriu as portas do templo e as reparou. Ele reuniu os levitas e ordenou que se santificassem, assim como o templo, e restabelecessem as cerimônias religiosas que há muito tempo estavam negligenciadas. Ezequias trouxe sacrifícios, e o serviço sacerdotal do templo foi restaurado (</w:t>
      </w:r>
      <w:hyperlink r:id="rId8870">
        <w:r>
          <w:rPr>
            <w:color w:val="0000EE"/>
            <w:u w:val="single"/>
          </w:rPr>
          <w:t>2Cr 29</w:t>
        </w:r>
      </w:hyperlink>
      <w:r>
        <w:t>).</w:t>
      </w:r>
    </w:p>
    <w:p>
      <w:r/>
      <w:r>
        <w:t>Ezequias então enviou convites por todo Judá e Israel para a celebração da Páscoa em Jerusalém (realizada um mês após o tempo prescrito porque os sacerdotes e o povo não puderam estar prontos antes). Esperava-se que a unificação religiosa fosse um prelúdio para a reunificação política do reino do norte de Israel e do reino do sul de Judá. No entanto, a maioria das tribos do norte zombou dos mensageiros judeus que trouxeram os convites, e apenas algumas pessoas das tribos de Aser, Manassés e Zebulom foram a Jerusalém para a celebração (</w:t>
      </w:r>
      <w:hyperlink r:id="rId8871">
        <w:r>
          <w:rPr>
            <w:color w:val="0000EE"/>
            <w:u w:val="single"/>
          </w:rPr>
          <w:t>2Cr 30</w:t>
        </w:r>
      </w:hyperlink>
      <w:r>
        <w:t>).</w:t>
      </w:r>
    </w:p>
    <w:p>
      <w:r/>
      <w:r>
        <w:t>Após a observância da Páscoa, os adoradores começaram a destruir os altos e altares. Eles quebraram as colunas e cortaram os postes-ídolos por todo Judá e Benjamim, e também foram a Efraim e Manassés (</w:t>
      </w:r>
      <w:hyperlink r:id="rId8872">
        <w:r>
          <w:rPr>
            <w:color w:val="0000EE"/>
            <w:u w:val="single"/>
          </w:rPr>
          <w:t>2Cr 31.1</w:t>
        </w:r>
      </w:hyperlink>
      <w:r>
        <w:t>). Ezequias até quebrou a serpente de bronze que Moisés havia feito (</w:t>
      </w:r>
      <w:hyperlink r:id="rId8873">
        <w:r>
          <w:rPr>
            <w:color w:val="0000EE"/>
            <w:u w:val="single"/>
          </w:rPr>
          <w:t>Nm 21.6–9</w:t>
        </w:r>
      </w:hyperlink>
      <w:r>
        <w:t>), pois ela havia se tornado um objeto de adoração e foi identificada com uma divindade serpente, Neustã (</w:t>
      </w:r>
      <w:hyperlink r:id="rId1871">
        <w:r>
          <w:rPr>
            <w:color w:val="0000EE"/>
            <w:u w:val="single"/>
          </w:rPr>
          <w:t>2Rs 18.4</w:t>
        </w:r>
      </w:hyperlink>
      <w:r>
        <w:t>). Por causa de suas reformas abrangentes, gerações posteriores disseram de Ezequias: “</w:t>
      </w:r>
      <w:r>
        <w:t>nunca teve um rei como ele, nem antes nem depois daquela época</w:t>
      </w:r>
      <w:r>
        <w:t>” (</w:t>
      </w:r>
      <w:hyperlink r:id="rId8874">
        <w:r>
          <w:rPr>
            <w:color w:val="0000EE"/>
            <w:u w:val="single"/>
          </w:rPr>
          <w:t>2Rs 18.5</w:t>
        </w:r>
      </w:hyperlink>
      <w:r>
        <w:t>, NTLH).</w:t>
      </w:r>
    </w:p>
    <w:p>
      <w:pPr>
        <w:pStyle w:val="Heading3"/>
      </w:pPr>
      <w:r>
        <w:t>A ameaça Assíria</w:t>
      </w:r>
    </w:p>
    <w:p>
      <w:r/>
      <w:r>
        <w:t>Ezequias sabia que o crescente domínio internacional da Assíria era uma ameaça séria para seu reino, mas, seguindo a política de submissão de seu pai, inicialmente não tentou nenhuma resistência.</w:t>
      </w:r>
    </w:p>
    <w:p>
      <w:r/>
      <w:r>
        <w:t>As inscrições do rei assírio Sargão II registram sua campanha vitoriosa em 711 a.C. contra uma revolta de Aziru, rei de Asdode, que pediu ajuda ao Egito e Judá. Talvez uma profecia recebida por Isaías tenha alertado Ezequias para não interferir no cerco de Asdode (</w:t>
      </w:r>
      <w:hyperlink r:id="rId2695">
        <w:r>
          <w:rPr>
            <w:color w:val="0000EE"/>
            <w:u w:val="single"/>
          </w:rPr>
          <w:t>Is 20</w:t>
        </w:r>
      </w:hyperlink>
      <w:r>
        <w:t>), e assim nenhuma ação punitiva foi tomada contra Judá pela Assíria. Sargão morreu em 705, e seu filho Senaqueribe subiu ao trono. Isso desencadeou uma rebelião generalizada em todas as províncias assírias. Ezequias reteve o tributo ao novo governante assírio e, aproveitando a situação confusa, fez incursões contra os filisteus (</w:t>
      </w:r>
      <w:hyperlink r:id="rId8875">
        <w:r>
          <w:rPr>
            <w:color w:val="0000EE"/>
            <w:u w:val="single"/>
          </w:rPr>
          <w:t>2Rs 18.8</w:t>
        </w:r>
      </w:hyperlink>
      <w:r>
        <w:t>). Após subjugar elementos rebeldes no Leste, Senaqueribe iniciou sua campanha contra a "terra de Hatti" (o nome assírio para os países ocidentais) em 701 a.C. Em preparação, Ezequias reparou a muralha da cidade de Jerusalém, ergueu torres sobre ela, construiu outra muralha do lado de fora e fortaleceu o Milo na Cidade de Davi. Ele também armazenou grandes quantidades de armas e escudos (</w:t>
      </w:r>
      <w:hyperlink r:id="rId8876">
        <w:r>
          <w:rPr>
            <w:color w:val="0000EE"/>
            <w:u w:val="single"/>
          </w:rPr>
          <w:t>2Cr 32.5</w:t>
        </w:r>
      </w:hyperlink>
      <w:r>
        <w:t>). Sabendo da necessidade de um abastecimento adequado de água para uma cidade sob cerco, Ezequias mandou escavar um túnel de 542 metros (1.777 pés) através de rocha sólida, desde a fonte de Giom até o Poço de Siloé, para trazer água para dentro da cidade e impedir que os assírios tivessem acesso à água da fonte fora da cidade (</w:t>
      </w:r>
      <w:hyperlink r:id="rId2782">
        <w:r>
          <w:rPr>
            <w:color w:val="0000EE"/>
            <w:u w:val="single"/>
          </w:rPr>
          <w:t>2Rs 20.20</w:t>
        </w:r>
      </w:hyperlink>
      <w:r>
        <w:t xml:space="preserve">; </w:t>
      </w:r>
      <w:hyperlink r:id="rId8877">
        <w:r>
          <w:rPr>
            <w:color w:val="0000EE"/>
            <w:u w:val="single"/>
          </w:rPr>
          <w:t>2Cr 32.3–4</w:t>
        </w:r>
      </w:hyperlink>
      <w:r>
        <w:t>). A inscrição de Siloé, esculpida dentro do próprio túnel, registra a conclusão desse notável canal e é um dos exemplos mais antigos preservados da língua hebraica.</w:t>
      </w:r>
    </w:p>
    <w:p>
      <w:r/>
      <w:r>
        <w:t>Senaqueribe invadiu a Palestina e, após uma campanha extensa, reprimiu a rebelião local. Essa campanha está bem documentada nos registros assírios, incluindo uma descrição de seu cerco a Jerusalém em 701, e essa documentação é complementada pelo relato bíblico (</w:t>
      </w:r>
      <w:hyperlink r:id="rId2780">
        <w:r>
          <w:rPr>
            <w:color w:val="0000EE"/>
            <w:u w:val="single"/>
          </w:rPr>
          <w:t>2Rs 18.13–19.37</w:t>
        </w:r>
      </w:hyperlink>
      <w:r>
        <w:t xml:space="preserve">; </w:t>
      </w:r>
      <w:hyperlink r:id="rId8878">
        <w:r>
          <w:rPr>
            <w:color w:val="0000EE"/>
            <w:u w:val="single"/>
          </w:rPr>
          <w:t>2Cr 32.1–22</w:t>
        </w:r>
      </w:hyperlink>
      <w:r>
        <w:t xml:space="preserve">; </w:t>
      </w:r>
      <w:hyperlink r:id="rId2781">
        <w:r>
          <w:rPr>
            <w:color w:val="0000EE"/>
            <w:u w:val="single"/>
          </w:rPr>
          <w:t>Is 36–37</w:t>
        </w:r>
      </w:hyperlink>
      <w:r>
        <w:t>). Sidom, as cidades da Fenícia e os vizinhos imediatos de Judá (incluindo Biblos, Arnom, Moabe, Edom e Asdode) submeteram-se aos assírios. Cidades filisteias resistentes também foram tomadas. Senaqueribe sitiou Ecrom, cujo rei, Padi (um súdito leal de Senaqueribe), havia sido preso por seus próprios súditos e entregue em correntes a Ezequias. Um grande exército egípcio e etíope falhou em socorrer os ekronitas, que foram derrotados pelos assírios nas proximidades de Elteque. Ecrom foi capturada, e Padi foi reconduzido ao trono por Senaqueribe.</w:t>
      </w:r>
    </w:p>
    <w:p>
      <w:r/>
      <w:r>
        <w:t>Senaqueribe então voltou sua atenção para as cidades fortificadas de Judá e as conquistou uma por uma (</w:t>
      </w:r>
      <w:hyperlink r:id="rId6226">
        <w:r>
          <w:rPr>
            <w:color w:val="0000EE"/>
            <w:u w:val="single"/>
          </w:rPr>
          <w:t>2Rs 18.13</w:t>
        </w:r>
      </w:hyperlink>
      <w:r>
        <w:t>). Registros assírios afirmam que ele capturou 46 cidades muradas e inúmeras aldeias, incluindo Laquis e Debir (sudoeste de Jerusalém), 200.150 pessoas, casas, gado e rebanhos sem número. Enquanto Laquis ainda estava sob cerco, Ezequias percebeu que era inútil resistir e enviou uma mensagem a Senaqueribe oferecendo-se para se render e pagar qualquer tributo que ele impusesse. O governante assírio exigiu um tributo enorme de 300 talentos de prata (800 talentos de acordo com os registros assírios, ou uma cifra exagerada ou calculada por um padrão diferente) e 30 talentos de ouro. Para pagar esse tributo, Ezequias pegou toda a prata no templo e nos tesouros reais, e retirou o ouro das portas e batentes do templo (</w:t>
      </w:r>
      <w:hyperlink r:id="rId8879">
        <w:r>
          <w:rPr>
            <w:color w:val="0000EE"/>
            <w:u w:val="single"/>
          </w:rPr>
          <w:t>2Rs 18.14–16</w:t>
        </w:r>
      </w:hyperlink>
      <w:r>
        <w:t>). Esse tesouro foi enviado a Senaqueribe junto com outros presentes que, de acordo com o relato assírio, incluíam algumas das próprias filhas de Ezequias como concubinas.</w:t>
      </w:r>
    </w:p>
    <w:p>
      <w:r/>
      <w:r>
        <w:t xml:space="preserve">O relato em </w:t>
      </w:r>
      <w:hyperlink r:id="rId8880">
        <w:r>
          <w:rPr>
            <w:color w:val="0000EE"/>
            <w:u w:val="single"/>
          </w:rPr>
          <w:t>2 Reis 18.17–19.37</w:t>
        </w:r>
      </w:hyperlink>
      <w:r>
        <w:t xml:space="preserve"> levanta a questão de saber se houve outra invasão de Judá em uma data posterior, ou se esta passagem fornece detalhes adicionais sobre a invasão de 701. Embora Ezequias já tivesse se submetido e pago tributo, esses versículos descrevem novas exigências assírias. Aqueles que acreditam que foi uma única invasão sugerem que este é um relato da delegação assíria enviada por Senaqueribe para exigir a rendição de Jerusalém enquanto Laquis ainda estava sob cerco. A delegação incluía o Tartã, Rabsaris e Rabsaqué (títulos de oficiais da corte em vez de nomes pessoais). Eles alertaram os cidadãos de que seu Deus não era mais capaz de salvá-los do que os deuses de outras cidades derrotadas pelos assírios. Em aflição, Ezequias enviou uma mensagem ao profeta Isaías, que assegurou ao rei que Senaqueribe ouviria um boato e retornaria à sua própria terra e lá morreria pela espada (</w:t>
      </w:r>
      <w:hyperlink r:id="rId8881">
        <w:r>
          <w:rPr>
            <w:color w:val="0000EE"/>
            <w:u w:val="single"/>
          </w:rPr>
          <w:t>2Rs 19.1–7</w:t>
        </w:r>
      </w:hyperlink>
      <w:r>
        <w:t>). Pouco depois, Senaqueribe recebeu notícias da revolta da Babilônia em suas províncias orientais, então partiu imediatamente sem tomar Jerusalém. Os registros assírios não afirmam que Jerusalém foi tomada, mas apenas dizem que Ezequias foi “encerrado em Jerusalém como um pássaro em uma gaiola.” Os vizinhos ao redor de Judá celebraram sua libertação e trouxeram presentes de gratidão a Ezequias (</w:t>
      </w:r>
      <w:hyperlink r:id="rId8882">
        <w:r>
          <w:rPr>
            <w:color w:val="0000EE"/>
            <w:u w:val="single"/>
          </w:rPr>
          <w:t>2Cr 32.23</w:t>
        </w:r>
      </w:hyperlink>
      <w:r>
        <w:t>).</w:t>
      </w:r>
    </w:p>
    <w:p>
      <w:r/>
      <w:r>
        <w:t>Mais tarde, o rei assírio soube que Tiraca, rei da Etiópia, estava avançando contra ele, então enviou outra mensagem ameaçadora a Ezequias, provavelmente para alertá-lo contra fazer uma aliança com Tiraca. Ezequias levou o assunto diante do Senhor e recebeu a palavra de Isaías de que o rei assírio retornaria pelo mesmo caminho que veio e que Jerusalém permaneceria intocada. Logo depois, em uma intervenção milagrosa de Deus, 185.000 tropas assírias foram mortas, e o monarca assírio abandonou seus planos de conquistar Ezequias. Essa calamidade embaraçosa, compreensivelmente, não é mencionada pelos registros assírios. Em 681 a.C., Senaqueribe foi morto por dois de seus filhos, como Isaías havia predito (</w:t>
      </w:r>
      <w:hyperlink r:id="rId8883">
        <w:r>
          <w:rPr>
            <w:color w:val="0000EE"/>
            <w:u w:val="single"/>
          </w:rPr>
          <w:t>2Rs 19.7,37</w:t>
        </w:r>
      </w:hyperlink>
      <w:r>
        <w:t>).</w:t>
      </w:r>
    </w:p>
    <w:p>
      <w:r/>
      <w:r>
        <w:t>Algum tempo antes de 701, Ezequias ficou gravemente doente, e Isaías lhe disse para se preparar para a morte. O rei orou fervorosamente por uma extensão de vida, e Deus prometeu-lhe mais 15 anos, bem como a libertação dos assírios. Ezequias pediu a Isaías um sinal de que seria curado, e uma sombra projetada pelo sol recuou 10 degraus, ao contrário de sua direção normal (</w:t>
      </w:r>
      <w:hyperlink r:id="rId8884">
        <w:r>
          <w:rPr>
            <w:color w:val="0000EE"/>
            <w:u w:val="single"/>
          </w:rPr>
          <w:t>2Rs 20.1–11</w:t>
        </w:r>
      </w:hyperlink>
      <w:r>
        <w:t>).</w:t>
      </w:r>
    </w:p>
    <w:p>
      <w:r/>
      <w:r>
        <w:t>Algum tempo após sua recuperação, Ezequias recebeu uma delegação com presentes de Merodaque-Baladã da Babilônia, ostensivamente para parabenizá-lo por seu retorno à saúde. O verdadeiro objetivo da visita era provavelmente alistar Ezequias como aliado em uma conspiração que estava sendo formada contra a Assíria. O rei mostrou aos enviados babilônicos todo o ouro, prata e outros valores que possuía. Este ato trouxe um aviso de Isaías de que chegaria o dia em que todos esses tesouros seriam levados para Babilônia (</w:t>
      </w:r>
      <w:hyperlink r:id="rId2778">
        <w:r>
          <w:rPr>
            <w:color w:val="0000EE"/>
            <w:u w:val="single"/>
          </w:rPr>
          <w:t>2Rs 20.12–19</w:t>
        </w:r>
      </w:hyperlink>
      <w:r>
        <w:t>).</w:t>
      </w:r>
    </w:p>
    <w:p>
      <w:r/>
      <w:r>
        <w:t>Ezequias viveu o restante de sua vida em paz e prosperidade. Pode ter sido durante esse tempo que ele incentivou os esforços literários em Judá, que incluíram a cópia de alguns dos provérbios de Salomão (</w:t>
      </w:r>
      <w:hyperlink r:id="rId8885">
        <w:r>
          <w:rPr>
            <w:color w:val="0000EE"/>
            <w:u w:val="single"/>
          </w:rPr>
          <w:t>Pv 25–29</w:t>
        </w:r>
      </w:hyperlink>
      <w:r>
        <w:t>). Após sua morte em 686, ele foi sucedido por seu filho Manassés, que provavelmente se tornou co-regente 10 anos antes.</w:t>
      </w:r>
    </w:p>
    <w:p>
      <w:r/>
      <w:r>
        <w:rPr>
          <w:i/>
        </w:rPr>
        <w:t>Veja também</w:t>
      </w:r>
      <w:r>
        <w:t xml:space="preserve"> </w:t>
      </w:r>
      <w:r>
        <w:t>Cronologia da Bíblia (Antigo Testamento)</w:t>
      </w:r>
      <w:r>
        <w:t xml:space="preserve">; </w:t>
      </w:r>
      <w:r>
        <w:t>História de Israel</w:t>
      </w:r>
      <w:r>
        <w:t xml:space="preserve">; </w:t>
      </w:r>
      <w:r>
        <w:t>Rei</w:t>
      </w:r>
      <w:r>
        <w:t>.</w:t>
      </w:r>
    </w:p>
    <w:p>
      <w:r/>
      <w:r>
        <w:t>2. Chefe de uma família de exilados (os filhos de Ater), 98 de cujos descendentes retornaram do exílio babilônico com Zorobabel (</w:t>
      </w:r>
      <w:hyperlink r:id="rId8886">
        <w:r>
          <w:rPr>
            <w:color w:val="0000EE"/>
            <w:u w:val="single"/>
          </w:rPr>
          <w:t>Ed 2.16</w:t>
        </w:r>
      </w:hyperlink>
      <w:r>
        <w:t xml:space="preserve">; </w:t>
      </w:r>
      <w:hyperlink r:id="rId8887">
        <w:r>
          <w:rPr>
            <w:color w:val="0000EE"/>
            <w:u w:val="single"/>
          </w:rPr>
          <w:t>Ne 7.21</w:t>
        </w:r>
      </w:hyperlink>
      <w:r>
        <w:t xml:space="preserve">; </w:t>
      </w:r>
      <w:hyperlink r:id="rId8888">
        <w:r>
          <w:rPr>
            <w:color w:val="0000EE"/>
            <w:u w:val="single"/>
          </w:rPr>
          <w:t>10.17</w:t>
        </w:r>
      </w:hyperlink>
      <w:r>
        <w:t>).</w:t>
      </w:r>
    </w:p>
    <w:p>
      <w:r/>
      <w:r>
        <w:t>3. Antepassado do profeta Sofonias, possivelmente o próprio Rei Ezequias (</w:t>
      </w:r>
      <w:hyperlink r:id="rId8889">
        <w:r>
          <w:rPr>
            <w:color w:val="0000EE"/>
            <w:u w:val="single"/>
          </w:rPr>
          <w:t>Sf 1.1</w:t>
        </w:r>
      </w:hyperlink>
      <w:r>
        <w:t>).</w:t>
      </w:r>
      <w:r/>
      <w:r/>
    </w:p>
    <w:p>
      <w:r/>
    </w:p>
    <w:p>
      <w:pPr>
        <w:pStyle w:val="Heading2"/>
      </w:pPr>
      <w:r>
        <w:t>Ezequiel, Livro de</w:t>
      </w:r>
      <w:r/>
    </w:p>
    <w:p>
      <w:r/>
      <w:r>
        <w:t>Livro profético do Antigo Testamento, originado na época do exílio babilônico.</w:t>
      </w:r>
    </w:p>
    <w:p>
      <w:r/>
      <w:r>
        <w:t>Resumo</w:t>
      </w:r>
    </w:p>
    <w:p>
      <w:r/>
      <w:r>
        <w:t>• Autor</w:t>
      </w:r>
    </w:p>
    <w:p>
      <w:r/>
      <w:r>
        <w:t>• Data e contexto</w:t>
      </w:r>
    </w:p>
    <w:p>
      <w:r/>
      <w:r>
        <w:t>• Conteúdo</w:t>
      </w:r>
    </w:p>
    <w:p>
      <w:pPr>
        <w:pStyle w:val="Heading3"/>
      </w:pPr>
      <w:r>
        <w:t>Autor</w:t>
      </w:r>
    </w:p>
    <w:p>
      <w:r/>
      <w:r>
        <w:t>Ezequiel era filho de Buzi (</w:t>
      </w:r>
      <w:hyperlink r:id="rId8890">
        <w:r>
          <w:rPr>
            <w:color w:val="0000EE"/>
            <w:u w:val="single"/>
          </w:rPr>
          <w:t>1.3</w:t>
        </w:r>
      </w:hyperlink>
      <w:r>
        <w:t>), membro de uma família sacerdotal. Não está claro se ele realmente serviu no templo como sacerdote, mas essa era sua formação. Seus escritos mostram que ele conhecia as regulamentações para os sacrifícios, os rituais e as expectativas do povo em relação a um sacerdote. No exílio, Ezequiel, o sacerdote, transmitiu a palavra de Deus sobre o futuro do templo para seus companheiros exilados. Estabelecidos em Tel-Abibe, no canal de Quebar, os milhares de deportados levavam uma existência precária. Eles esperavam por um rápido retorno a Judá e uma melhora na situação internacional. Sua esperança era alimentada pela pregação entusiasmada de falsos profetas, comparados a chacais entre as ruínas (</w:t>
      </w:r>
      <w:hyperlink r:id="rId8891">
        <w:r>
          <w:rPr>
            <w:color w:val="0000EE"/>
            <w:u w:val="single"/>
          </w:rPr>
          <w:t>13.4</w:t>
        </w:r>
      </w:hyperlink>
      <w:r>
        <w:t xml:space="preserve">). Eles piedosamente diziam: “O Senhor declara... ,” mas na verdade eram auto-comissionados (v. </w:t>
      </w:r>
      <w:hyperlink r:id="rId8892">
        <w:r>
          <w:rPr>
            <w:color w:val="0000EE"/>
            <w:u w:val="single"/>
          </w:rPr>
          <w:t>6</w:t>
        </w:r>
      </w:hyperlink>
      <w:r>
        <w:t xml:space="preserve">). Eles enganavam o povo com uma mensagem de paz em um momento em que o julgamento de Deus estava prestes a ser derramado sobre seu povo (v. </w:t>
      </w:r>
      <w:hyperlink r:id="rId8893">
        <w:r>
          <w:rPr>
            <w:color w:val="0000EE"/>
            <w:u w:val="single"/>
          </w:rPr>
          <w:t>10</w:t>
        </w:r>
      </w:hyperlink>
      <w:r>
        <w:t>). Eles levaram o povo a desconfiar da profecia a tal ponto que um provérbio circulava entre o povo dizendo que “os dias se prolongam, e toda visão vem a nada” (</w:t>
      </w:r>
      <w:hyperlink r:id="rId8894">
        <w:r>
          <w:rPr>
            <w:color w:val="0000EE"/>
            <w:u w:val="single"/>
          </w:rPr>
          <w:t>12.22</w:t>
        </w:r>
      </w:hyperlink>
      <w:r>
        <w:t xml:space="preserve">). Muito tempo havia passado desde que visões do julgamento de Deus foram dadas ao povo, e nada podia ser interpretado como um cumprimento dessas visões. Ezequiel foi chamado a servir sua comunidade por meio de atos simbólicos, visões e mensagens verbais para convencer o povo de que o julgamento de Deus era iminente (v. </w:t>
      </w:r>
      <w:hyperlink r:id="rId8895">
        <w:r>
          <w:rPr>
            <w:color w:val="0000EE"/>
            <w:u w:val="single"/>
          </w:rPr>
          <w:t>23</w:t>
        </w:r>
      </w:hyperlink>
      <w:r>
        <w:t>).</w:t>
      </w:r>
    </w:p>
    <w:p>
      <w:pPr>
        <w:pStyle w:val="Heading3"/>
      </w:pPr>
      <w:r>
        <w:t>Data e contexto</w:t>
      </w:r>
    </w:p>
    <w:p>
      <w:r/>
      <w:r>
        <w:t>O ministério do profeta Ezequiel pode ser melhor compreendido no contexto de seu tempo. Se, como acreditava o pai da igreja Orígenes, a vaga referência “no trigésimo ano” (</w:t>
      </w:r>
      <w:hyperlink r:id="rId8896">
        <w:r>
          <w:rPr>
            <w:color w:val="0000EE"/>
            <w:u w:val="single"/>
          </w:rPr>
          <w:t>1.1</w:t>
        </w:r>
      </w:hyperlink>
      <w:r>
        <w:t>) marca a idade do profeta na época de sua primeira visão, Ezequiel nasceu durante o reinado do Rei Josias de Judá (c. 640–609 a.C.). Josias era neto do Rei Manassés, cujos atos sacrílegos trouxeram o julgamento de Deus sobre o reino de Judá (</w:t>
      </w:r>
      <w:hyperlink r:id="rId8897">
        <w:r>
          <w:rPr>
            <w:color w:val="0000EE"/>
            <w:u w:val="single"/>
          </w:rPr>
          <w:t>2Rs 21.10–15</w:t>
        </w:r>
      </w:hyperlink>
      <w:r>
        <w:t>).</w:t>
      </w:r>
    </w:p>
    <w:p>
      <w:r/>
      <w:r>
        <w:t>Embora a situação política de Judá fosse perigosa, Josias liderou a nação em uma reforma radical que começou com a descoberta do “Livro da Lei” (</w:t>
      </w:r>
      <w:hyperlink r:id="rId8898">
        <w:r>
          <w:rPr>
            <w:color w:val="0000EE"/>
            <w:u w:val="single"/>
          </w:rPr>
          <w:t>2Rs 22</w:t>
        </w:r>
      </w:hyperlink>
      <w:r>
        <w:t>) no ano em que Ezequiel nasceu (c. 621 a.C.). A idolatria foi eliminada e o povo voltou-se para Deus, mas o julgamento de Deus sobre Judá era imutável (</w:t>
      </w:r>
      <w:hyperlink r:id="rId8899">
        <w:r>
          <w:rPr>
            <w:color w:val="0000EE"/>
            <w:u w:val="single"/>
          </w:rPr>
          <w:t>23.26–27</w:t>
        </w:r>
      </w:hyperlink>
      <w:r>
        <w:t xml:space="preserve">). Josias errou ao tentar fazer de Judá um reino com o qual outros estados tinham que se preocupar. Ele foi ameaçado quando o Faraó egípcio Neco passou por Judá a caminho de ajudar o enfraquecido reino assírio. Josias marchou para enfrentar as forças egípcias, mas suas tropas não conseguiram resistir aos egípcios, e ele morreu em batalha (v. </w:t>
      </w:r>
      <w:hyperlink r:id="rId8900">
        <w:r>
          <w:rPr>
            <w:color w:val="0000EE"/>
            <w:u w:val="single"/>
          </w:rPr>
          <w:t>29</w:t>
        </w:r>
      </w:hyperlink>
      <w:r>
        <w:t>). O Egito tomou o controle de Judá, e o Faraó Neco colocou Jeoaquim no poder sobre Jerusalém. No entanto, o controle egípcio não durou muito, pois em 605 a.C. Egito e Assíria foram derrotados pelo rei da Babilônia Nabucodonosor em Carquemis. Os babilônios então avançaram para o sul em direção a Jerusalém, e a primeira deportação de líderes judeus (entre eles o profeta Daniel) ocorreu.</w:t>
      </w:r>
    </w:p>
    <w:p>
      <w:r/>
      <w:r>
        <w:t>Jeoaquim foi permitido continuar governando Judá como um rei vassalo de Nabucodonosor. No entanto, seus negócios com o Egito provocaram a ira do Imperador sobre ele. Antes que os babilônios pudessem lidar com a situação em Judá, Jeoaquim morreu e seu filho Joaquim foi coroado. Quando as forças babilônicas chegaram aos portões de Jerusalém, Joaquim e milhares da aristocracia foram levados para Babilônia (</w:t>
      </w:r>
      <w:hyperlink r:id="rId8901">
        <w:r>
          <w:rPr>
            <w:color w:val="0000EE"/>
            <w:u w:val="single"/>
          </w:rPr>
          <w:t>2 Reis 24.10–17</w:t>
        </w:r>
      </w:hyperlink>
      <w:r>
        <w:t>). Entre esses deportados estava Ezequiel, então com cerca de 25 anos de idade.</w:t>
      </w:r>
    </w:p>
    <w:p>
      <w:r/>
      <w:r>
        <w:t>Embora o livro diga o contrário, muitos estudiosos acreditam que Ezequiel viveu e ensinou em Judá durante o cerco e a queda de Jerusalém (586 a.C.). Eles concluem isso a partir da familiaridade de Ezequiel com a idolatria no templo e suas descrições vívidas dos últimos dias de Jerusalém (</w:t>
      </w:r>
      <w:hyperlink r:id="rId8902">
        <w:r>
          <w:rPr>
            <w:color w:val="0000EE"/>
            <w:u w:val="single"/>
          </w:rPr>
          <w:t>Ez 8.11</w:t>
        </w:r>
      </w:hyperlink>
      <w:r>
        <w:t xml:space="preserve">). Outros acreditam que Ezequiel ministrou tanto à comunidade exilada quanto aos judeus que viviam em Judá. Nenhuma interpretação faz plena justiça às afirmações do próprio livro. Ezequiel foi exilado em 597 a.C. Ele foi chamado para levar a palavra de Deus aos deportados em Tel-Abibe; ele teve uma visão das práticas horríveis no pátio do templo; e ele estava familiarizado com Jerusalém e Judá por ter vivido lá e por relatos sobre os acontecimentos em Jerusalém que chegavam aos exilados através de mensageiros. Jeremias, contemporâneo de Ezequiel, estava profetizando em Jerusalém, mas não há evidências de que Jeremias e Ezequiel conhecessem o ministério um do outro. Se Ezequiel tivesse levado a palavra de Deus a Jerusalém durante o cerco, alguma referência a Jeremias poderia aparecer em seus escritos. Se Jeremias fosse apoiado pelo ministério de Ezequiel em Jerusalém, ele provavelmente teria incluído uma palavra positiva para seu colega em seu livro. O livro de Ezequiel diz claramente que Ezequiel viveu e pregou no exílio (veja </w:t>
      </w:r>
      <w:hyperlink r:id="rId8903">
        <w:r>
          <w:rPr>
            <w:color w:val="0000EE"/>
            <w:u w:val="single"/>
          </w:rPr>
          <w:t>1.1–3</w:t>
        </w:r>
      </w:hyperlink>
      <w:r>
        <w:t xml:space="preserve">; </w:t>
      </w:r>
      <w:hyperlink r:id="rId8904">
        <w:r>
          <w:rPr>
            <w:color w:val="0000EE"/>
            <w:u w:val="single"/>
          </w:rPr>
          <w:t>11.24–25</w:t>
        </w:r>
      </w:hyperlink>
      <w:r>
        <w:t>).</w:t>
      </w:r>
    </w:p>
    <w:p>
      <w:pPr>
        <w:pStyle w:val="Heading3"/>
      </w:pPr>
      <w:r>
        <w:t>Conteúdo</w:t>
      </w:r>
    </w:p>
    <w:p>
      <w:r/>
      <w:r>
        <w:t xml:space="preserve">A profecia de Ezequiel é facilmente delineada por assunto e cronologia. A cronologia do período permite uma divisão antes e depois de 586 a.C. (a queda de Jerusalém). Os capítulos </w:t>
      </w:r>
      <w:hyperlink r:id="rId8905">
        <w:r>
          <w:rPr>
            <w:color w:val="0000EE"/>
            <w:u w:val="single"/>
          </w:rPr>
          <w:t>1–24</w:t>
        </w:r>
      </w:hyperlink>
      <w:r>
        <w:t xml:space="preserve"> cobrem o ministério de Ezequiel antes de 586, enquanto os capítulos </w:t>
      </w:r>
      <w:hyperlink r:id="rId8906">
        <w:r>
          <w:rPr>
            <w:color w:val="0000EE"/>
            <w:u w:val="single"/>
          </w:rPr>
          <w:t>33–48</w:t>
        </w:r>
      </w:hyperlink>
      <w:r>
        <w:t xml:space="preserve"> representam seu ministério após 586. Os capítulos </w:t>
      </w:r>
      <w:hyperlink r:id="rId8907">
        <w:r>
          <w:rPr>
            <w:color w:val="0000EE"/>
            <w:u w:val="single"/>
          </w:rPr>
          <w:t>25–32</w:t>
        </w:r>
      </w:hyperlink>
      <w:r>
        <w:t xml:space="preserve"> (oráculos contra as nações estrangeiras) funcionam como uma transição entre as duas principais divisões do livro.</w:t>
      </w:r>
    </w:p>
    <w:p>
      <w:r/>
      <w:r>
        <w:t>O esboço do livro, de acordo com o assunto, se divide em quatro partes: o chamado de Ezequiel (</w:t>
      </w:r>
      <w:hyperlink r:id="rId8908">
        <w:r>
          <w:rPr>
            <w:color w:val="0000EE"/>
            <w:u w:val="single"/>
          </w:rPr>
          <w:t>1.1–3.21</w:t>
        </w:r>
      </w:hyperlink>
      <w:r>
        <w:t>); profecias de julgamento contra Israel (</w:t>
      </w:r>
      <w:hyperlink r:id="rId8909">
        <w:r>
          <w:rPr>
            <w:color w:val="0000EE"/>
            <w:u w:val="single"/>
          </w:rPr>
          <w:t>3.22–24.27</w:t>
        </w:r>
      </w:hyperlink>
      <w:r>
        <w:t>); oráculos contra as nações (</w:t>
      </w:r>
      <w:hyperlink r:id="rId8907">
        <w:r>
          <w:rPr>
            <w:color w:val="0000EE"/>
            <w:u w:val="single"/>
          </w:rPr>
          <w:t>25.1–32.32</w:t>
        </w:r>
      </w:hyperlink>
      <w:r>
        <w:t>); e proclamação de esperança (</w:t>
      </w:r>
      <w:hyperlink r:id="rId8906">
        <w:r>
          <w:rPr>
            <w:color w:val="0000EE"/>
            <w:u w:val="single"/>
          </w:rPr>
          <w:t>33.1–48.35</w:t>
        </w:r>
      </w:hyperlink>
      <w:r>
        <w:t>).</w:t>
      </w:r>
    </w:p>
    <w:p>
      <w:pPr>
        <w:pStyle w:val="Heading4"/>
      </w:pPr>
      <w:r>
        <w:t>O chamado de Ezequiel (</w:t>
      </w:r>
      <w:hyperlink r:id="rId8908">
        <w:r>
          <w:rPr>
            <w:color w:val="0000EE"/>
            <w:u w:val="single"/>
          </w:rPr>
          <w:t>1.1–3.21</w:t>
        </w:r>
      </w:hyperlink>
      <w:r>
        <w:t>)</w:t>
      </w:r>
    </w:p>
    <w:p>
      <w:r/>
      <w:r>
        <w:t>O chamado do profeta, de certa forma, foi semelhante ao de Isaías e Jeremias. Isaías recebeu sua missão em uma visão da glória de Deus no templo (</w:t>
      </w:r>
      <w:hyperlink r:id="rId1938">
        <w:r>
          <w:rPr>
            <w:color w:val="0000EE"/>
            <w:u w:val="single"/>
          </w:rPr>
          <w:t>Is 6</w:t>
        </w:r>
      </w:hyperlink>
      <w:r>
        <w:t>). Jeremias foi chamado inesperadamente em sua juventude e recebeu sinais que expuseram solenemente a natureza de sua missão (</w:t>
      </w:r>
      <w:hyperlink r:id="rId8910">
        <w:r>
          <w:rPr>
            <w:color w:val="0000EE"/>
            <w:u w:val="single"/>
          </w:rPr>
          <w:t>Jr 1.11–15</w:t>
        </w:r>
      </w:hyperlink>
      <w:r>
        <w:t>). O chamado de Ezequiel combinou esses dois elementos. A revelação da glória de Deus ao profeta, ao mesmo tempo, revelou a natureza da missão do profeta. O chamado de Ezequiel continha uma descrição completa da glória de Deus. Isaías afirmou brevemente que viu o Senhor entronizado no templo e concentrou-se nos serafins que representavam e magnificavam a glória de Deus. Ezequiel elaborou sobre a revelação da glória do Senhor, bem como sobre os anjos ministradores que precediam o Senhor como parte de sua comitiva real. A visão da glória de Deus, embora difícil de entender, é a chave para o livro de Ezequiel.</w:t>
      </w:r>
    </w:p>
    <w:p>
      <w:r/>
      <w:r>
        <w:t xml:space="preserve">Ezequiel, como sacerdote, estava preocupado com o futuro do templo. Aquele lugar sagrado havia sido ordenado por Deus como sua morada entre seu povo. A glória, presença e santidade de Deus eram simbolizadas no templo (veja </w:t>
      </w:r>
      <w:hyperlink r:id="rId8911">
        <w:r>
          <w:rPr>
            <w:color w:val="0000EE"/>
            <w:u w:val="single"/>
          </w:rPr>
          <w:t>1Rs 8.10–11</w:t>
        </w:r>
      </w:hyperlink>
      <w:r>
        <w:t>). No exílio, Ezequiel não podia servir seu povo como sacerdote, pois eles estavam longe de Jerusalém, a cidade que Deus havia escolhido. Contra todas as expectativas, o Senhor se revelou a Ezequiel na terra da Babilônia. Ao chamar Ezequiel para um ministério profético, Deus assegurou a seu servo que ele não havia abandonado seu povo, mesmo que eles tivessem sido banidos da Terra Prometida.</w:t>
      </w:r>
    </w:p>
    <w:p>
      <w:r/>
      <w:r>
        <w:t xml:space="preserve">A visão do profeta começou com uma tempestade. Quando uma grande nuvem se aproximou do norte, Ezequiel viu um brilho ao redor da nuvem, quatro criaturas e quatro rodas. A combinação de criaturas e rodas sugere que o Senhor apareceu em uma carruagem. A carruagem de Deus é uma representação familiar no Antigo Testamento de sua vinda em julgamento (veja </w:t>
      </w:r>
      <w:hyperlink r:id="rId8912">
        <w:r>
          <w:rPr>
            <w:color w:val="0000EE"/>
            <w:u w:val="single"/>
          </w:rPr>
          <w:t>Is 66.15–16</w:t>
        </w:r>
      </w:hyperlink>
      <w:r>
        <w:t>). As rodas dentro de rodas e a posição das quatro criaturas vivas podem significar o controle total de Deus sobre toda a terra, permitindo que Ele mova sua "carruagem de julgamento" em qualquer direção. É também possível que as criaturas vivas com suas quatro faces, e as rodas cheias de olhos, sejam símbolos separados mostrando que Deus vê tudo o que acontece e, assim, conhece a situação dos exilados. Na visão, a atenção do profeta foi atraída para um trono acima das cabeças das criaturas. No trono estava "a aparência da semelhança da glória do Senhor" (</w:t>
      </w:r>
      <w:hyperlink r:id="rId8913">
        <w:r>
          <w:rPr>
            <w:color w:val="0000EE"/>
            <w:u w:val="single"/>
          </w:rPr>
          <w:t>1.28</w:t>
        </w:r>
      </w:hyperlink>
      <w:r>
        <w:t>). Em sua visão da vinda de Deus em julgamento, Ezequiel recebeu seu chamado para o ministério profético: "Homem mortal, eu o estou mandando ao povo de Israel, que se revoltou e se virou contra mim" (</w:t>
      </w:r>
      <w:hyperlink r:id="rId8914">
        <w:r>
          <w:rPr>
            <w:color w:val="0000EE"/>
            <w:u w:val="single"/>
          </w:rPr>
          <w:t>2.3</w:t>
        </w:r>
      </w:hyperlink>
      <w:r>
        <w:t>, NTLH). Durante uma hora sombria da história de Israel, Ezequiel teve que profetizar, repreender seus companheiros exilados (</w:t>
      </w:r>
      <w:hyperlink r:id="rId8915">
        <w:r>
          <w:rPr>
            <w:color w:val="0000EE"/>
            <w:u w:val="single"/>
          </w:rPr>
          <w:t>3.11</w:t>
        </w:r>
      </w:hyperlink>
      <w:r>
        <w:t>) e ser responsável como vigia sobre a casa de Israel (</w:t>
      </w:r>
      <w:hyperlink r:id="rId8916">
        <w:r>
          <w:rPr>
            <w:color w:val="0000EE"/>
            <w:u w:val="single"/>
          </w:rPr>
          <w:t>3.17</w:t>
        </w:r>
      </w:hyperlink>
      <w:r>
        <w:t xml:space="preserve">; cf. </w:t>
      </w:r>
      <w:hyperlink r:id="rId8917">
        <w:r>
          <w:rPr>
            <w:color w:val="0000EE"/>
            <w:u w:val="single"/>
          </w:rPr>
          <w:t>33.1–9</w:t>
        </w:r>
      </w:hyperlink>
      <w:r>
        <w:t>). Simbólico de sua missão era um rolo cheio de lamentações e desgraça (</w:t>
      </w:r>
      <w:hyperlink r:id="rId8918">
        <w:r>
          <w:rPr>
            <w:color w:val="0000EE"/>
            <w:u w:val="single"/>
          </w:rPr>
          <w:t>2.9–10</w:t>
        </w:r>
      </w:hyperlink>
      <w:r>
        <w:t>), que ao ser comido se tornou doce como mel (</w:t>
      </w:r>
      <w:hyperlink r:id="rId8919">
        <w:r>
          <w:rPr>
            <w:color w:val="0000EE"/>
            <w:u w:val="single"/>
          </w:rPr>
          <w:t>3.1–3</w:t>
        </w:r>
      </w:hyperlink>
      <w:r>
        <w:t>). Por mais difícil que fosse a missão, a presença de Deus e o cumprimento certo das profecias adoçaram a tarefa de Ezequiel. Tal encorajamento tinha a intenção de afastar qualquer medo dos israelitas rebeldes (</w:t>
      </w:r>
      <w:hyperlink r:id="rId8920">
        <w:r>
          <w:rPr>
            <w:color w:val="0000EE"/>
            <w:u w:val="single"/>
          </w:rPr>
          <w:t>2.6–7</w:t>
        </w:r>
      </w:hyperlink>
      <w:r>
        <w:t>). Em vez de se sentir exaltado com sua missão, no entanto, Ezequiel ficou desanimado.</w:t>
      </w:r>
    </w:p>
    <w:p>
      <w:r/>
      <w:r>
        <w:t>Uma semana depois, a palavra do Senhor veio a Ezequiel para lembrá-lo de seu papel importante como vigia (</w:t>
      </w:r>
      <w:hyperlink r:id="rId8921">
        <w:r>
          <w:rPr>
            <w:color w:val="0000EE"/>
            <w:u w:val="single"/>
          </w:rPr>
          <w:t>3.16–17</w:t>
        </w:r>
      </w:hyperlink>
      <w:r>
        <w:t xml:space="preserve">). Ezequiel tornou-se responsável por Israel como nação, não apenas por indivíduos. Seu testemunho a Israel tinha o objetivo expresso de promover o arrependimento nacional (vv. </w:t>
      </w:r>
      <w:hyperlink r:id="rId8922">
        <w:r>
          <w:rPr>
            <w:color w:val="0000EE"/>
            <w:u w:val="single"/>
          </w:rPr>
          <w:t>18–19</w:t>
        </w:r>
      </w:hyperlink>
      <w:r>
        <w:t>).</w:t>
      </w:r>
    </w:p>
    <w:p>
      <w:r/>
      <w:r>
        <w:t>Ezequiel foi confinado em sua casa por Deus (</w:t>
      </w:r>
      <w:hyperlink r:id="rId8923">
        <w:r>
          <w:rPr>
            <w:color w:val="0000EE"/>
            <w:u w:val="single"/>
          </w:rPr>
          <w:t>3.24–25</w:t>
        </w:r>
      </w:hyperlink>
      <w:r>
        <w:t xml:space="preserve">). O ministério em casa deveria ser realizado apenas com aqueles israelitas que buscavam a vontade de Deus, pois o Senhor havia abandonado aqueles que continuavam em sua apostasia. A palavra profética não ajudaria os apóstatas (v. </w:t>
      </w:r>
      <w:hyperlink r:id="rId8924">
        <w:r>
          <w:rPr>
            <w:color w:val="0000EE"/>
            <w:u w:val="single"/>
          </w:rPr>
          <w:t>26</w:t>
        </w:r>
      </w:hyperlink>
      <w:r>
        <w:t xml:space="preserve">). O princípio do ministério de Ezequiel é encontrado em </w:t>
      </w:r>
      <w:hyperlink r:id="rId8925">
        <w:r>
          <w:rPr>
            <w:color w:val="0000EE"/>
            <w:u w:val="single"/>
          </w:rPr>
          <w:t>3.27</w:t>
        </w:r>
      </w:hyperlink>
      <w:r>
        <w:t xml:space="preserve">: “Depois, quando eu falar de novo com você e lhe devolver a fala, você dirá a esse povo o que eu, o SENHOR Deus, disser. Alguns deles vão ouvir, mas outros não, porque são um povo rebelde” (NTLH; cf. </w:t>
      </w:r>
      <w:hyperlink r:id="rId8926">
        <w:r>
          <w:rPr>
            <w:color w:val="0000EE"/>
            <w:u w:val="single"/>
          </w:rPr>
          <w:t>Mt 11.15</w:t>
        </w:r>
      </w:hyperlink>
      <w:r>
        <w:t xml:space="preserve">; </w:t>
      </w:r>
      <w:hyperlink r:id="rId8927">
        <w:r>
          <w:rPr>
            <w:color w:val="0000EE"/>
            <w:u w:val="single"/>
          </w:rPr>
          <w:t>13.43</w:t>
        </w:r>
      </w:hyperlink>
      <w:r>
        <w:t>).</w:t>
      </w:r>
    </w:p>
    <w:p>
      <w:pPr>
        <w:pStyle w:val="Heading4"/>
      </w:pPr>
      <w:r>
        <w:t>Profecias de julgamento contra Israel (</w:t>
      </w:r>
      <w:hyperlink r:id="rId8909">
        <w:r>
          <w:rPr>
            <w:color w:val="0000EE"/>
            <w:u w:val="single"/>
          </w:rPr>
          <w:t>3.22–24.27</w:t>
        </w:r>
      </w:hyperlink>
      <w:r>
        <w:t>)</w:t>
      </w:r>
    </w:p>
    <w:p>
      <w:r/>
      <w:r>
        <w:t xml:space="preserve">O simbolismo ocupa um lugar de destaque nos escritos de Ezequiel. Seu histórico e preparação sacerdotal provavelmente o prepararam para receber e comunicar a palavra de Deus por meio de atos e discursos simbólicos. Os capítulos </w:t>
      </w:r>
      <w:hyperlink r:id="rId8928">
        <w:r>
          <w:rPr>
            <w:color w:val="0000EE"/>
            <w:u w:val="single"/>
          </w:rPr>
          <w:t>4</w:t>
        </w:r>
      </w:hyperlink>
      <w:r>
        <w:t xml:space="preserve"> e </w:t>
      </w:r>
      <w:hyperlink r:id="rId8929">
        <w:r>
          <w:rPr>
            <w:color w:val="0000EE"/>
            <w:u w:val="single"/>
          </w:rPr>
          <w:t>5</w:t>
        </w:r>
      </w:hyperlink>
      <w:r>
        <w:t xml:space="preserve"> contêm quatro atos simbólicos: (1) o cerco de Jerusalém é retratado em um tijolo (</w:t>
      </w:r>
      <w:hyperlink r:id="rId8930">
        <w:r>
          <w:rPr>
            <w:color w:val="0000EE"/>
            <w:u w:val="single"/>
          </w:rPr>
          <w:t>Ez 4.1–3</w:t>
        </w:r>
      </w:hyperlink>
      <w:r>
        <w:t xml:space="preserve">); (2) a iniquidade de Israel é representada pelo fato de Ezequiel deitar-se de lado (vv. </w:t>
      </w:r>
      <w:hyperlink r:id="rId8931">
        <w:r>
          <w:rPr>
            <w:color w:val="0000EE"/>
            <w:u w:val="single"/>
          </w:rPr>
          <w:t>4–8</w:t>
        </w:r>
      </w:hyperlink>
      <w:r>
        <w:t xml:space="preserve">); (3) a tristeza e o horror de Jerusalém nos últimos dias do cerco são representados pela comida e bebida de Ezequiel (vv. </w:t>
      </w:r>
      <w:hyperlink r:id="rId8932">
        <w:r>
          <w:rPr>
            <w:color w:val="0000EE"/>
            <w:u w:val="single"/>
          </w:rPr>
          <w:t>9–17</w:t>
        </w:r>
      </w:hyperlink>
      <w:r>
        <w:t>); (4) o destino de Jerusalém é representado pelo cabelo do profeta sendo cortado (</w:t>
      </w:r>
      <w:hyperlink r:id="rId8933">
        <w:r>
          <w:rPr>
            <w:color w:val="0000EE"/>
            <w:u w:val="single"/>
          </w:rPr>
          <w:t>5.1–4</w:t>
        </w:r>
      </w:hyperlink>
      <w:r>
        <w:t>).</w:t>
      </w:r>
    </w:p>
    <w:p>
      <w:r/>
      <w:r>
        <w:t>As instruções de Ezequiel foram ainda mais esclarecidas pela explicação de Deus sobre a apostasia de Israel (</w:t>
      </w:r>
      <w:hyperlink r:id="rId8934">
        <w:r>
          <w:rPr>
            <w:color w:val="0000EE"/>
            <w:u w:val="single"/>
          </w:rPr>
          <w:t>5.6–7</w:t>
        </w:r>
      </w:hyperlink>
      <w:r>
        <w:t xml:space="preserve">) e seu julgamento sobre Israel (vv. </w:t>
      </w:r>
      <w:hyperlink r:id="rId8935">
        <w:r>
          <w:rPr>
            <w:color w:val="0000EE"/>
            <w:u w:val="single"/>
          </w:rPr>
          <w:t>8–12</w:t>
        </w:r>
      </w:hyperlink>
      <w:r>
        <w:t xml:space="preserve">). O julgamento durará até que os israelitas admitam que, em aliança e fidelidade, seu Senhor infligiu um julgamento justo sobre eles (v. </w:t>
      </w:r>
      <w:hyperlink r:id="rId8936">
        <w:r>
          <w:rPr>
            <w:color w:val="0000EE"/>
            <w:u w:val="single"/>
          </w:rPr>
          <w:t>13</w:t>
        </w:r>
      </w:hyperlink>
      <w:r>
        <w:t>).</w:t>
      </w:r>
    </w:p>
    <w:p>
      <w:r/>
      <w:r>
        <w:t xml:space="preserve">Deus direcionaria seu julgamento primeiro contra o povo e a cidade de Jerusalém. Em seguida, estavam as montanhas de Israel (cap. </w:t>
      </w:r>
      <w:hyperlink r:id="rId8937">
        <w:r>
          <w:rPr>
            <w:color w:val="0000EE"/>
            <w:u w:val="single"/>
          </w:rPr>
          <w:t>6</w:t>
        </w:r>
      </w:hyperlink>
      <w:r>
        <w:t xml:space="preserve">) e a terra (cap. </w:t>
      </w:r>
      <w:hyperlink r:id="rId8938">
        <w:r>
          <w:rPr>
            <w:color w:val="0000EE"/>
            <w:u w:val="single"/>
          </w:rPr>
          <w:t>7</w:t>
        </w:r>
      </w:hyperlink>
      <w:r>
        <w:t>). A ira de Deus incluía as cidades e os locais de culto na região montanhosa de Judá, não deixando proteção para o povo (</w:t>
      </w:r>
      <w:hyperlink r:id="rId8939">
        <w:r>
          <w:rPr>
            <w:color w:val="0000EE"/>
            <w:u w:val="single"/>
          </w:rPr>
          <w:t>6.3–6</w:t>
        </w:r>
      </w:hyperlink>
      <w:r>
        <w:t>). As abominações que eram praticadas por toda a terra fizeram com que o julgamento de Deus caísse sobre a terra, assim como sobre o povo (</w:t>
      </w:r>
      <w:hyperlink r:id="rId8940">
        <w:r>
          <w:rPr>
            <w:color w:val="0000EE"/>
            <w:u w:val="single"/>
          </w:rPr>
          <w:t>7.2–3,10–11,23</w:t>
        </w:r>
      </w:hyperlink>
      <w:r>
        <w:t>). Mas, porque Deus é justo, ele julgou o povo de acordo com seus modos de vida, desejando que eles mais uma vez o reconhecessem como seu Deus (</w:t>
      </w:r>
      <w:hyperlink r:id="rId8941">
        <w:r>
          <w:rPr>
            <w:color w:val="0000EE"/>
            <w:u w:val="single"/>
          </w:rPr>
          <w:t>7.27</w:t>
        </w:r>
      </w:hyperlink>
      <w:r>
        <w:t>).</w:t>
      </w:r>
    </w:p>
    <w:p>
      <w:r/>
      <w:r>
        <w:t xml:space="preserve">O profeta então (caps. </w:t>
      </w:r>
      <w:hyperlink r:id="rId8942">
        <w:r>
          <w:rPr>
            <w:color w:val="0000EE"/>
            <w:u w:val="single"/>
          </w:rPr>
          <w:t>8–11</w:t>
        </w:r>
      </w:hyperlink>
      <w:r>
        <w:t xml:space="preserve">) focou nas abominações praticadas em Jerusalém, especialmente a idolatria nos pátios do templo, que resultou no julgamento anunciado nos capítulos </w:t>
      </w:r>
      <w:hyperlink r:id="rId8943">
        <w:r>
          <w:rPr>
            <w:color w:val="0000EE"/>
            <w:u w:val="single"/>
          </w:rPr>
          <w:t>1–7</w:t>
        </w:r>
      </w:hyperlink>
      <w:r>
        <w:t>. Um ídolo havia sido erguido no pátio interno (</w:t>
      </w:r>
      <w:hyperlink r:id="rId8944">
        <w:r>
          <w:rPr>
            <w:color w:val="0000EE"/>
            <w:u w:val="single"/>
          </w:rPr>
          <w:t>8.3–5</w:t>
        </w:r>
      </w:hyperlink>
      <w:r>
        <w:t xml:space="preserve">). Perto do muro do pátio, os anciãos da cidade estavam prestando homenagem aos ídolos que cercavam o pátio (vv. </w:t>
      </w:r>
      <w:hyperlink r:id="rId8945">
        <w:r>
          <w:rPr>
            <w:color w:val="0000EE"/>
            <w:u w:val="single"/>
          </w:rPr>
          <w:t>11–12</w:t>
        </w:r>
      </w:hyperlink>
      <w:r>
        <w:t xml:space="preserve">). Mais próximo do templo, mulheres estavam chorando pelo deus Tamuz (v. </w:t>
      </w:r>
      <w:hyperlink r:id="rId6907">
        <w:r>
          <w:rPr>
            <w:color w:val="0000EE"/>
            <w:u w:val="single"/>
          </w:rPr>
          <w:t>14</w:t>
        </w:r>
      </w:hyperlink>
      <w:r>
        <w:t xml:space="preserve">), e homens estavam adorando o sol (v. </w:t>
      </w:r>
      <w:hyperlink r:id="rId8946">
        <w:r>
          <w:rPr>
            <w:color w:val="0000EE"/>
            <w:u w:val="single"/>
          </w:rPr>
          <w:t>16</w:t>
        </w:r>
      </w:hyperlink>
      <w:r>
        <w:t>). Em preparação para o julgamento final sobre a terra, o profeta colocou uma marca nas testas dos poucos israelitas fiéis para que eles sobrevivessem (</w:t>
      </w:r>
      <w:hyperlink r:id="rId8947">
        <w:r>
          <w:rPr>
            <w:color w:val="0000EE"/>
            <w:u w:val="single"/>
          </w:rPr>
          <w:t>9.4–6</w:t>
        </w:r>
      </w:hyperlink>
      <w:r>
        <w:t xml:space="preserve">). Então (cap. </w:t>
      </w:r>
      <w:hyperlink r:id="rId8948">
        <w:r>
          <w:rPr>
            <w:color w:val="0000EE"/>
            <w:u w:val="single"/>
          </w:rPr>
          <w:t>10</w:t>
        </w:r>
      </w:hyperlink>
      <w:r>
        <w:t>), a glória de Deus, que havia preenchido o templo desde o tempo de Salomão, gradualmente partiu: “Aí a glória do SENHOR se afastou da cidade e foi parar sobre o monte que está a leste dela” (</w:t>
      </w:r>
      <w:hyperlink r:id="rId8949">
        <w:r>
          <w:rPr>
            <w:color w:val="0000EE"/>
            <w:u w:val="single"/>
          </w:rPr>
          <w:t>11.23</w:t>
        </w:r>
      </w:hyperlink>
      <w:r>
        <w:t xml:space="preserve">, NTLH). O povo, agora sem proteção divina, estava sendo entregue aos babilônios (v. </w:t>
      </w:r>
      <w:hyperlink r:id="rId8950">
        <w:r>
          <w:rPr>
            <w:color w:val="0000EE"/>
            <w:u w:val="single"/>
          </w:rPr>
          <w:t>9</w:t>
        </w:r>
      </w:hyperlink>
      <w:r>
        <w:t>).</w:t>
      </w:r>
    </w:p>
    <w:p>
      <w:r/>
      <w:r>
        <w:t>A mensagem de destruição para Jerusalém contém quatro elementos de esperança: restauração do povo (</w:t>
      </w:r>
      <w:hyperlink r:id="rId8951">
        <w:r>
          <w:rPr>
            <w:color w:val="0000EE"/>
            <w:u w:val="single"/>
          </w:rPr>
          <w:t>11.17</w:t>
        </w:r>
      </w:hyperlink>
      <w:r>
        <w:t xml:space="preserve">), restauração da terra (v. </w:t>
      </w:r>
      <w:hyperlink r:id="rId8951">
        <w:r>
          <w:rPr>
            <w:color w:val="0000EE"/>
            <w:u w:val="single"/>
          </w:rPr>
          <w:t>17</w:t>
        </w:r>
      </w:hyperlink>
      <w:r>
        <w:t xml:space="preserve">), purificação do povo (v. </w:t>
      </w:r>
      <w:hyperlink r:id="rId8952">
        <w:r>
          <w:rPr>
            <w:color w:val="0000EE"/>
            <w:u w:val="single"/>
          </w:rPr>
          <w:t>18</w:t>
        </w:r>
      </w:hyperlink>
      <w:r>
        <w:t xml:space="preserve">) e renovação da comunhão entre Deus e seu povo (vv. </w:t>
      </w:r>
      <w:hyperlink r:id="rId8953">
        <w:r>
          <w:rPr>
            <w:color w:val="0000EE"/>
            <w:u w:val="single"/>
          </w:rPr>
          <w:t>19–20</w:t>
        </w:r>
      </w:hyperlink>
      <w:r>
        <w:t xml:space="preserve">). O profeta desenvolve esses quatro temas nos capítulos </w:t>
      </w:r>
      <w:hyperlink r:id="rId8906">
        <w:r>
          <w:rPr>
            <w:color w:val="0000EE"/>
            <w:u w:val="single"/>
          </w:rPr>
          <w:t>33–48</w:t>
        </w:r>
      </w:hyperlink>
      <w:r>
        <w:t>.</w:t>
      </w:r>
    </w:p>
    <w:p>
      <w:r/>
      <w:r>
        <w:t xml:space="preserve">As visões dos capítulos </w:t>
      </w:r>
      <w:hyperlink r:id="rId8948">
        <w:r>
          <w:rPr>
            <w:color w:val="0000EE"/>
            <w:u w:val="single"/>
          </w:rPr>
          <w:t>10</w:t>
        </w:r>
      </w:hyperlink>
      <w:r>
        <w:t xml:space="preserve"> e </w:t>
      </w:r>
      <w:hyperlink r:id="rId8954">
        <w:r>
          <w:rPr>
            <w:color w:val="0000EE"/>
            <w:u w:val="single"/>
          </w:rPr>
          <w:t>11</w:t>
        </w:r>
      </w:hyperlink>
      <w:r>
        <w:t xml:space="preserve"> deixaram claro que, quando Deus retirou sua presença de Jerusalém, o exílio estava se aproximando. Aqueles que já estavam na Babilônia não estavam dispostos a acreditar que uma devastação tão extensa de Jerusalém ocorreria ou que o povo seria todo exilado e a terra se tornaria desolada.</w:t>
      </w:r>
    </w:p>
    <w:p>
      <w:r/>
      <w:r>
        <w:t xml:space="preserve">Ezequiel encenou a certeza da palavra de julgamento de Deus ao fazer as malas e mostrá-las aos seus companheiros exilados. Primeiro, ele colocou as malas no pátio fora de sua modesta casa. Em seguida, ele saiu fazendo um buraco na parede. Finalmente, o profeta caminhou pelo assentamento com suas malas à vista de todos. Observadores céticos não entenderam Ezequiel e provavelmente pensaram que ele estava louco. Os crentes que o viram entenderam. Suas ações estranhas dramatizaram como os assessores do rei fariam de tudo para ajudar o Rei Zedequias a escapar pouco antes da queda de Jerusalém. </w:t>
      </w:r>
      <w:hyperlink r:id="rId8955">
        <w:r>
          <w:rPr>
            <w:color w:val="0000EE"/>
            <w:u w:val="single"/>
          </w:rPr>
          <w:t>Segundo Reis 25</w:t>
        </w:r>
      </w:hyperlink>
      <w:r>
        <w:t xml:space="preserve"> relata como o rei e seus soldados deixaram Jerusalém em direção ao deserto, para serem alcançados pelos babilônios em Jericó e levados perante Nabucodonosor em Ribla. Como cativo, Zedequias testemunhou o assassinato de seus filhos; então seus olhos foram furados, e ele foi enviado ao exílio com os outros judeus (cf. </w:t>
      </w:r>
      <w:hyperlink r:id="rId3957">
        <w:r>
          <w:rPr>
            <w:color w:val="0000EE"/>
            <w:u w:val="single"/>
          </w:rPr>
          <w:t>Ez 12.13</w:t>
        </w:r>
      </w:hyperlink>
      <w:r>
        <w:t xml:space="preserve">). A explicação do profeta concluiu com uma palavra de conforto. Por causa de sua aliança com Abraão, Deus prometeu não destruir completamente o povo. Um remanescente que superou a espada, a fome e a peste viveria para contar a história do julgamento de Deus (vv. </w:t>
      </w:r>
      <w:hyperlink r:id="rId8956">
        <w:r>
          <w:rPr>
            <w:color w:val="0000EE"/>
            <w:u w:val="single"/>
          </w:rPr>
          <w:t>15–16</w:t>
        </w:r>
      </w:hyperlink>
      <w:r>
        <w:t>).</w:t>
      </w:r>
    </w:p>
    <w:p>
      <w:r/>
      <w:r>
        <w:t>Ezequiel ilustrou ainda mais a aflição da nação comendo como se estivesse tomado pelo medo, retratando o grande trauma que todos os habitantes de Judá em breve sofreriam.</w:t>
      </w:r>
    </w:p>
    <w:p>
      <w:r/>
      <w:r>
        <w:t>Ambos os atos simbólicos, empacotar seus pertences e comer, enfatizavam a veracidade da palavra de Deus. O povo precisava enfrentar a natureza de seu Deus: Ele é magnífico, e quando fala, suas palavras são poderosas e se cumprem. Assim, a devastação da terra e o exílio do povo foram um cumprimento da palavra de Deus através dos profetas. O julgamento visava produzir um reconhecimento do Senhor, arrependimento e um retorno a Deus. Alguns em Judá duvidavam da eficácia das profecias de Deus, dizendo: “O tempo passa, tornando mentiroso todo profeta” (</w:t>
      </w:r>
      <w:hyperlink r:id="rId8894">
        <w:r>
          <w:rPr>
            <w:color w:val="0000EE"/>
            <w:u w:val="single"/>
          </w:rPr>
          <w:t>12.22</w:t>
        </w:r>
      </w:hyperlink>
      <w:r>
        <w:t xml:space="preserve">). Outros pensavam que a palavra de Deus se realizaria em um futuro distante (v. </w:t>
      </w:r>
      <w:hyperlink r:id="rId8957">
        <w:r>
          <w:rPr>
            <w:color w:val="0000EE"/>
            <w:u w:val="single"/>
          </w:rPr>
          <w:t>27</w:t>
        </w:r>
      </w:hyperlink>
      <w:r>
        <w:t xml:space="preserve">). A atitude predominante de desconfiança na palavra de Deus havia sido estimulada pela pregação popular de falsos profetas (cap. </w:t>
      </w:r>
      <w:hyperlink r:id="rId8958">
        <w:r>
          <w:rPr>
            <w:color w:val="0000EE"/>
            <w:u w:val="single"/>
          </w:rPr>
          <w:t>13</w:t>
        </w:r>
      </w:hyperlink>
      <w:r>
        <w:t xml:space="preserve">). Nunca comissionados pelo Senhor, eles enganavam o povo de Deus mentindo e os desviando com mensagens de paz (vv. </w:t>
      </w:r>
      <w:hyperlink r:id="rId8959">
        <w:r>
          <w:rPr>
            <w:color w:val="0000EE"/>
            <w:u w:val="single"/>
          </w:rPr>
          <w:t>8–10</w:t>
        </w:r>
      </w:hyperlink>
      <w:r>
        <w:t xml:space="preserve">). Maldade, mentira e engano eram encorajados entre o povo por tais falsos profetas (v. </w:t>
      </w:r>
      <w:hyperlink r:id="rId8960">
        <w:r>
          <w:rPr>
            <w:color w:val="0000EE"/>
            <w:u w:val="single"/>
          </w:rPr>
          <w:t>22</w:t>
        </w:r>
      </w:hyperlink>
      <w:r>
        <w:t xml:space="preserve">). A magnitude de seu pecado e sua grande responsabilidade pela queda de Judá seriam correspondidas pelo pesado julgamento do Senhor. No entanto, Deus salvaria seu povo de tal maldade e prepararia uma nação justa com quem manteria sua aliança (v. </w:t>
      </w:r>
      <w:hyperlink r:id="rId8961">
        <w:r>
          <w:rPr>
            <w:color w:val="0000EE"/>
            <w:u w:val="single"/>
          </w:rPr>
          <w:t>23</w:t>
        </w:r>
      </w:hyperlink>
      <w:r>
        <w:t>).</w:t>
      </w:r>
    </w:p>
    <w:p>
      <w:r/>
      <w:r>
        <w:t>A certeza do julgamento estava ligada à veracidade da palavra de Deus. A difícil tarefa de Ezequiel em afirmar a destruição de Jerusalém para ouvintes teimosos foi intensificada pela idolatria do povo. Todo o seu modo de vida negava a existência de Deus. Eles praticavam idolatria em sua adoração e tinham erguido ídolos em seus corações (</w:t>
      </w:r>
      <w:hyperlink r:id="rId8962">
        <w:r>
          <w:rPr>
            <w:color w:val="0000EE"/>
            <w:u w:val="single"/>
          </w:rPr>
          <w:t>14.3</w:t>
        </w:r>
      </w:hyperlink>
      <w:r>
        <w:t xml:space="preserve">). Antes que a aliança com Deus pudesse ser restaurada, eles precisavam ser purificados de sua idolatria. Mesmo assim, o arrependimento não garantiria imunidade ao julgamento. Espada, fome, feras selvagens e pragas devastariam a população (v. </w:t>
      </w:r>
      <w:hyperlink r:id="rId8963">
        <w:r>
          <w:rPr>
            <w:color w:val="0000EE"/>
            <w:u w:val="single"/>
          </w:rPr>
          <w:t>21</w:t>
        </w:r>
      </w:hyperlink>
      <w:r>
        <w:t xml:space="preserve">). Após a execução de seu julgamento, Deus acolheria de volta aqueles sobreviventes que se voltaram para Ele em busca de misericórdia. Deus certamente realizaria tudo o que pretendia para o bem de seu povo (v. </w:t>
      </w:r>
      <w:hyperlink r:id="rId8964">
        <w:r>
          <w:rPr>
            <w:color w:val="0000EE"/>
            <w:u w:val="single"/>
          </w:rPr>
          <w:t>23</w:t>
        </w:r>
      </w:hyperlink>
      <w:r>
        <w:t>).</w:t>
      </w:r>
    </w:p>
    <w:p>
      <w:r/>
      <w:r>
        <w:t xml:space="preserve">Nos capítulos </w:t>
      </w:r>
      <w:hyperlink r:id="rId8965">
        <w:r>
          <w:rPr>
            <w:color w:val="0000EE"/>
            <w:u w:val="single"/>
          </w:rPr>
          <w:t>15–17</w:t>
        </w:r>
      </w:hyperlink>
      <w:r>
        <w:t>, Ezequiel utiliza três parábolas para expor a apostasia, a atual inutilidade e o julgamento de Israel. Jerusalém e Judá são comparadas a um pedaço de madeira queimada, uma mulher adúltera e uma videira.</w:t>
      </w:r>
    </w:p>
    <w:p>
      <w:r/>
      <w:r>
        <w:t xml:space="preserve">O capítulo </w:t>
      </w:r>
      <w:hyperlink r:id="rId8966">
        <w:r>
          <w:rPr>
            <w:color w:val="0000EE"/>
            <w:u w:val="single"/>
          </w:rPr>
          <w:t>15</w:t>
        </w:r>
      </w:hyperlink>
      <w:r>
        <w:t xml:space="preserve"> revisa o caso de Jerusalém. Jerusalém é comparada a um pedaço de madeira, cujas extremidades foram queimadas pelo fogo, de modo que a madeira não tem valor. Assim como todo o pedaço de madeira é queimado em vez de ser salvo, Jerusalém passaria por uma devastação completa (</w:t>
      </w:r>
      <w:hyperlink r:id="rId8967">
        <w:r>
          <w:rPr>
            <w:color w:val="0000EE"/>
            <w:u w:val="single"/>
          </w:rPr>
          <w:t>15.7–8</w:t>
        </w:r>
      </w:hyperlink>
      <w:r>
        <w:t>).</w:t>
      </w:r>
    </w:p>
    <w:p>
      <w:r/>
      <w:r>
        <w:t xml:space="preserve">O capítulo </w:t>
      </w:r>
      <w:hyperlink r:id="rId472">
        <w:r>
          <w:rPr>
            <w:color w:val="0000EE"/>
            <w:u w:val="single"/>
          </w:rPr>
          <w:t>16</w:t>
        </w:r>
      </w:hyperlink>
      <w:r>
        <w:t xml:space="preserve"> apresenta o caso de Deus contra Jerusalém de uma perspectiva diferente, destacando seu cuidado por Jerusalém no passado. Os começos de sua história são comparados ao nascimento de uma criança do sexo feminino, deixada abandonada por sua mãe (</w:t>
      </w:r>
      <w:hyperlink r:id="rId8968">
        <w:r>
          <w:rPr>
            <w:color w:val="0000EE"/>
            <w:u w:val="single"/>
          </w:rPr>
          <w:t>16.3–5</w:t>
        </w:r>
      </w:hyperlink>
      <w:r>
        <w:t xml:space="preserve">). Deus adotou a criança, lavou-a e vestiu-a (vv. </w:t>
      </w:r>
      <w:hyperlink r:id="rId8969">
        <w:r>
          <w:rPr>
            <w:color w:val="0000EE"/>
            <w:u w:val="single"/>
          </w:rPr>
          <w:t>6–7</w:t>
        </w:r>
      </w:hyperlink>
      <w:r>
        <w:t xml:space="preserve">). Ele fez uma aliança com ela (v. </w:t>
      </w:r>
      <w:hyperlink r:id="rId8970">
        <w:r>
          <w:rPr>
            <w:color w:val="0000EE"/>
            <w:u w:val="single"/>
          </w:rPr>
          <w:t>8</w:t>
        </w:r>
      </w:hyperlink>
      <w:r>
        <w:t xml:space="preserve">), tornando-a sua própria posse. Ele generosamente deu a ela todas as coisas boas da vida (vv. </w:t>
      </w:r>
      <w:hyperlink r:id="rId4585">
        <w:r>
          <w:rPr>
            <w:color w:val="0000EE"/>
            <w:u w:val="single"/>
          </w:rPr>
          <w:t>9–13</w:t>
        </w:r>
      </w:hyperlink>
      <w:r>
        <w:t xml:space="preserve">). No auge de seu desenvolvimento, a fama de Jerusalém se espalhou entre as nações (v. </w:t>
      </w:r>
      <w:hyperlink r:id="rId8971">
        <w:r>
          <w:rPr>
            <w:color w:val="0000EE"/>
            <w:u w:val="single"/>
          </w:rPr>
          <w:t>14</w:t>
        </w:r>
      </w:hyperlink>
      <w:r>
        <w:t xml:space="preserve">). Sua autoconfiança a tornou uma prostituta espiritual ao adotar as práticas religiosas e o modo de vida das nações (vv. </w:t>
      </w:r>
      <w:hyperlink r:id="rId8972">
        <w:r>
          <w:rPr>
            <w:color w:val="0000EE"/>
            <w:u w:val="single"/>
          </w:rPr>
          <w:t>15–34</w:t>
        </w:r>
      </w:hyperlink>
      <w:r>
        <w:t>). As cidades de Sodoma (</w:t>
      </w:r>
      <w:hyperlink r:id="rId172">
        <w:r>
          <w:rPr>
            <w:color w:val="0000EE"/>
            <w:u w:val="single"/>
          </w:rPr>
          <w:t>Gn 19</w:t>
        </w:r>
      </w:hyperlink>
      <w:r>
        <w:t>) e Samaria (</w:t>
      </w:r>
      <w:hyperlink r:id="rId189">
        <w:r>
          <w:rPr>
            <w:color w:val="0000EE"/>
            <w:u w:val="single"/>
          </w:rPr>
          <w:t>2Rs 17.6</w:t>
        </w:r>
      </w:hyperlink>
      <w:r>
        <w:t>), conhecidas por sua imoralidade, são chamadas de irmãs de Jerusalém (</w:t>
      </w:r>
      <w:hyperlink r:id="rId8973">
        <w:r>
          <w:rPr>
            <w:color w:val="0000EE"/>
            <w:u w:val="single"/>
          </w:rPr>
          <w:t>Ez 16.46</w:t>
        </w:r>
      </w:hyperlink>
      <w:r>
        <w:t xml:space="preserve">). Elas foram julgadas por Deus, mas a corrupção dessas cidades era pequena comparada à lascívia de Jerusalém (vv. </w:t>
      </w:r>
      <w:hyperlink r:id="rId8974">
        <w:r>
          <w:rPr>
            <w:color w:val="0000EE"/>
            <w:u w:val="single"/>
          </w:rPr>
          <w:t>48–51</w:t>
        </w:r>
      </w:hyperlink>
      <w:r>
        <w:t xml:space="preserve">). Assim, Jerusalém também certamente cairia e se tornaria desolada. No entanto, Ezequiel antecipa o resultado final do julgamento; Jerusalém será restaurada à bênção da aliança (vv. </w:t>
      </w:r>
      <w:hyperlink r:id="rId8975">
        <w:r>
          <w:rPr>
            <w:color w:val="0000EE"/>
            <w:u w:val="single"/>
          </w:rPr>
          <w:t>62–63</w:t>
        </w:r>
      </w:hyperlink>
      <w:r>
        <w:t>) após seu arrependimento.</w:t>
      </w:r>
    </w:p>
    <w:p>
      <w:r/>
      <w:r>
        <w:t xml:space="preserve">A terceira parábola (cap. </w:t>
      </w:r>
      <w:hyperlink r:id="rId8069">
        <w:r>
          <w:rPr>
            <w:color w:val="0000EE"/>
            <w:u w:val="single"/>
          </w:rPr>
          <w:t>17</w:t>
        </w:r>
      </w:hyperlink>
      <w:r>
        <w:t>) foca na soberania de Deus sobre os desenvolvimentos políticos. A Assíria já não era uma potência a ser considerada. Babilônia e Egito ambos exerciam domínio, embora o equilíbrio de poder estivesse se inclinando a favor de Babilônia. Sua extensão de poder é comparada a uma águia. Nabucodonosor, retratado como “uma grande águia com asas largas cheias de penas multicoloridas”, assumiu o controle sobre os assuntos de Judá removendo Joaquim, “o ramo mais alto de um cedro”, do cargo e exilando-o com jovens líderes do estado judeu (</w:t>
      </w:r>
      <w:hyperlink r:id="rId8976">
        <w:r>
          <w:rPr>
            <w:color w:val="0000EE"/>
            <w:u w:val="single"/>
          </w:rPr>
          <w:t>17.3–4</w:t>
        </w:r>
      </w:hyperlink>
      <w:r>
        <w:t xml:space="preserve">). Ezequiel estava entre eles. Nabucodonosor permitiu que os judeus controlassem seus próprios assuntos sob Zedequias, mas esperava que eles fossem sujeitos a Babilônia e não a qualquer outro poder. Mas Judá (comparado a uma videira) tentou se aliar ao Faraó Hofra do Egito, “outra grande águia com asas largas e plumagem cheia” (v. </w:t>
      </w:r>
      <w:hyperlink r:id="rId8977">
        <w:r>
          <w:rPr>
            <w:color w:val="0000EE"/>
            <w:u w:val="single"/>
          </w:rPr>
          <w:t>7</w:t>
        </w:r>
      </w:hyperlink>
      <w:r>
        <w:t xml:space="preserve">), contra Nabucodonosor. A tolice de Zedequias em voltar-se para o Egito faria Nabucodonosor arrancar a videira pelas raízes e fazê-la murchar (vv. </w:t>
      </w:r>
      <w:hyperlink r:id="rId8978">
        <w:r>
          <w:rPr>
            <w:color w:val="0000EE"/>
            <w:u w:val="single"/>
          </w:rPr>
          <w:t>9–10</w:t>
        </w:r>
      </w:hyperlink>
      <w:r>
        <w:t xml:space="preserve">). Ao explicar a parábola, Deus disse aos exilados que a queda de Judá foi resultado de sua infidelidade ao Rei Nabucodonosor, a quem Judá devia lealdade por aliança (vv. </w:t>
      </w:r>
      <w:hyperlink r:id="rId8979">
        <w:r>
          <w:rPr>
            <w:color w:val="0000EE"/>
            <w:u w:val="single"/>
          </w:rPr>
          <w:t>13–18</w:t>
        </w:r>
      </w:hyperlink>
      <w:r>
        <w:t xml:space="preserve">). A infidelidade de Judá assim se estendeu a todos os seus relacionamentos: religiosos, culturais e políticos. Após o exílio, Deus prometeu que restauraria seu povo à sua terra sob um Messias, “um broto tenro” (v. </w:t>
      </w:r>
      <w:hyperlink r:id="rId8980">
        <w:r>
          <w:rPr>
            <w:color w:val="0000EE"/>
            <w:u w:val="single"/>
          </w:rPr>
          <w:t>22</w:t>
        </w:r>
      </w:hyperlink>
      <w:r>
        <w:t xml:space="preserve">). O governo messiânico é simbolizado pelo jovem ramo, que quando plantado na terra se tornará um magnífico cedro, dando sombra e proteção aos pássaros. O capítulo </w:t>
      </w:r>
      <w:hyperlink r:id="rId8069">
        <w:r>
          <w:rPr>
            <w:color w:val="0000EE"/>
            <w:u w:val="single"/>
          </w:rPr>
          <w:t>17</w:t>
        </w:r>
      </w:hyperlink>
      <w:r>
        <w:t xml:space="preserve"> é uma afirmação inspiradora da soberania de Deus nos assuntos humanos (“Todas as árvores dos campos ficarão sabendo que eu sou o SENHOR. Eu derrubo as árvores altas e faço as árvores pequenas crescerem. Eu seco as árvores verdes e faço com que as árvores secas fiquem verdes de novo” — </w:t>
      </w:r>
      <w:hyperlink r:id="rId8981">
        <w:r>
          <w:rPr>
            <w:color w:val="0000EE"/>
            <w:u w:val="single"/>
          </w:rPr>
          <w:t>17.24</w:t>
        </w:r>
      </w:hyperlink>
      <w:r>
        <w:t>, NTLH).</w:t>
      </w:r>
    </w:p>
    <w:p>
      <w:r/>
      <w:r>
        <w:t xml:space="preserve">Os capítulos </w:t>
      </w:r>
      <w:hyperlink r:id="rId8982">
        <w:r>
          <w:rPr>
            <w:color w:val="0000EE"/>
            <w:u w:val="single"/>
          </w:rPr>
          <w:t>18–22</w:t>
        </w:r>
      </w:hyperlink>
      <w:r>
        <w:t xml:space="preserve"> contêm os oráculos de Ezequiel para Judá, seus líderes e os exilados. Primeiro, ele expõe o padrão de justiça de Deus: “A pessoa que pecar é que morrerá” (</w:t>
      </w:r>
      <w:hyperlink r:id="rId349">
        <w:r>
          <w:rPr>
            <w:color w:val="0000EE"/>
            <w:u w:val="single"/>
          </w:rPr>
          <w:t>18.4</w:t>
        </w:r>
      </w:hyperlink>
      <w:r>
        <w:t xml:space="preserve">, NTLH). O povo está acusando Deus de injustiça, pois acreditam estar sob o julgamento de Deus pelos pecados de seus antepassados (vv. </w:t>
      </w:r>
      <w:hyperlink r:id="rId8983">
        <w:r>
          <w:rPr>
            <w:color w:val="0000EE"/>
            <w:u w:val="single"/>
          </w:rPr>
          <w:t>25–29</w:t>
        </w:r>
      </w:hyperlink>
      <w:r>
        <w:t>). Embora os Dez Mandamentos digam que Deus pode punir “aqueles que me odeiam, até os seus bisnetos e trinetos” (</w:t>
      </w:r>
      <w:hyperlink r:id="rId7441">
        <w:r>
          <w:rPr>
            <w:color w:val="0000EE"/>
            <w:u w:val="single"/>
          </w:rPr>
          <w:t>Ex 20.5</w:t>
        </w:r>
      </w:hyperlink>
      <w:r>
        <w:t>, NTLH), o profeta defende a justiça de Deus, dizendo ao povo que eles não estão sendo punidos apenas pelo pecado de seus antepassados. Cada pessoa deve ser diretamente responsável perante Deus; o pecador morrerá na maldade, e o justo viverá pela justiça. Uma vida de fidelidade à lei moral e civil de Deus será recompensada (</w:t>
      </w:r>
      <w:hyperlink r:id="rId8984">
        <w:r>
          <w:rPr>
            <w:color w:val="0000EE"/>
            <w:u w:val="single"/>
          </w:rPr>
          <w:t>Ez 18.5–9</w:t>
        </w:r>
      </w:hyperlink>
      <w:r>
        <w:t xml:space="preserve">). Mesmo que o pai de alguém tenha sido um pecador, o pecado do pai não é transferível (vv. </w:t>
      </w:r>
      <w:hyperlink r:id="rId8985">
        <w:r>
          <w:rPr>
            <w:color w:val="0000EE"/>
            <w:u w:val="single"/>
          </w:rPr>
          <w:t>14–18</w:t>
        </w:r>
      </w:hyperlink>
      <w:r>
        <w:t xml:space="preserve">). Deus está pronto para perdoar qualquer pecador que se arrependa (v. </w:t>
      </w:r>
      <w:hyperlink r:id="rId8986">
        <w:r>
          <w:rPr>
            <w:color w:val="0000EE"/>
            <w:u w:val="single"/>
          </w:rPr>
          <w:t>27</w:t>
        </w:r>
      </w:hyperlink>
      <w:r>
        <w:t xml:space="preserve">). A defesa da justiça de Deus pelo profeta torna-se um chamado ao arrependimento. Os pecadores em Judá e no exílio foram assim advertidos das consequências de seu mal, e foram exortados a retornar ao seu Deus e ao seu padrão de certo e errado (vv. </w:t>
      </w:r>
      <w:hyperlink r:id="rId8987">
        <w:r>
          <w:rPr>
            <w:color w:val="0000EE"/>
            <w:u w:val="single"/>
          </w:rPr>
          <w:t>31–32</w:t>
        </w:r>
      </w:hyperlink>
      <w:r>
        <w:t>).</w:t>
      </w:r>
    </w:p>
    <w:p>
      <w:r/>
      <w:r>
        <w:t xml:space="preserve">O capítulo </w:t>
      </w:r>
      <w:hyperlink r:id="rId8988">
        <w:r>
          <w:rPr>
            <w:color w:val="0000EE"/>
            <w:u w:val="single"/>
          </w:rPr>
          <w:t>19</w:t>
        </w:r>
      </w:hyperlink>
      <w:r>
        <w:t xml:space="preserve"> contém duas parábolas na forma de uma lamentação. A primeira retrata uma leoa e seus dois filhotes. A leoa é Hamutal, a esposa do Rei Josias (</w:t>
      </w:r>
      <w:hyperlink r:id="rId8989">
        <w:r>
          <w:rPr>
            <w:color w:val="0000EE"/>
            <w:u w:val="single"/>
          </w:rPr>
          <w:t>2Rs 23.31</w:t>
        </w:r>
      </w:hyperlink>
      <w:r>
        <w:t xml:space="preserve">), que teve dois filhos: Jeoás e Zedequias. Jeoás é referido em </w:t>
      </w:r>
      <w:hyperlink r:id="rId8990">
        <w:r>
          <w:rPr>
            <w:color w:val="0000EE"/>
            <w:u w:val="single"/>
          </w:rPr>
          <w:t>Ezequiel 19.3–4</w:t>
        </w:r>
      </w:hyperlink>
      <w:r>
        <w:t xml:space="preserve"> como um filhote que cresceu e foi levado para o Egito (pelo Faraó Neco em 608 a.C.; veja </w:t>
      </w:r>
      <w:hyperlink r:id="rId8991">
        <w:r>
          <w:rPr>
            <w:color w:val="0000EE"/>
            <w:u w:val="single"/>
          </w:rPr>
          <w:t>2Rs 23.31–34</w:t>
        </w:r>
      </w:hyperlink>
      <w:r>
        <w:t>). Zedequias sucedeu ao trono dez anos depois. Na lamentação, o profeta representa imaginativamente Zedequias como um jovem filhote que é finalmente levado para a Babilônia como um governante rebelde (</w:t>
      </w:r>
      <w:hyperlink r:id="rId8992">
        <w:r>
          <w:rPr>
            <w:color w:val="0000EE"/>
            <w:u w:val="single"/>
          </w:rPr>
          <w:t>Ez 19.7–9</w:t>
        </w:r>
      </w:hyperlink>
      <w:r>
        <w:t xml:space="preserve">). A segunda parábola muda a imagem para uma videira, representando Israel (v. </w:t>
      </w:r>
      <w:hyperlink r:id="rId8993">
        <w:r>
          <w:rPr>
            <w:color w:val="0000EE"/>
            <w:u w:val="single"/>
          </w:rPr>
          <w:t>10</w:t>
        </w:r>
      </w:hyperlink>
      <w:r>
        <w:t xml:space="preserve">). Nos seus primeiros dias, Deus abençoou Israel com governantes fortes, mas agora a videira estava murchando enquanto Zedequias liderava Judá irresponsavelmente em seus últimos dias. A lamentação de Ezequiel enfatiza a falta de um bom candidato para o trono e a falta de vida na videira (vv. </w:t>
      </w:r>
      <w:hyperlink r:id="rId8994">
        <w:r>
          <w:rPr>
            <w:color w:val="0000EE"/>
            <w:u w:val="single"/>
          </w:rPr>
          <w:t>13–14</w:t>
        </w:r>
      </w:hyperlink>
      <w:r>
        <w:t>).</w:t>
      </w:r>
    </w:p>
    <w:p>
      <w:r/>
      <w:r>
        <w:t xml:space="preserve">No capítulo </w:t>
      </w:r>
      <w:hyperlink r:id="rId8995">
        <w:r>
          <w:rPr>
            <w:color w:val="0000EE"/>
            <w:u w:val="single"/>
          </w:rPr>
          <w:t>20</w:t>
        </w:r>
      </w:hyperlink>
      <w:r>
        <w:t>, o profeta conclui o argumento de Deus contra seu povo. Ele revisa a história passada de Israel, começando com a auto-revelação de Deus no Egito (</w:t>
      </w:r>
      <w:hyperlink r:id="rId8996">
        <w:r>
          <w:rPr>
            <w:color w:val="0000EE"/>
            <w:u w:val="single"/>
          </w:rPr>
          <w:t>20.5–6</w:t>
        </w:r>
      </w:hyperlink>
      <w:r>
        <w:t xml:space="preserve">). Ele escolheu para si uma nação teimosa, ligada à idolatria (v. </w:t>
      </w:r>
      <w:hyperlink r:id="rId8997">
        <w:r>
          <w:rPr>
            <w:color w:val="0000EE"/>
            <w:u w:val="single"/>
          </w:rPr>
          <w:t>8</w:t>
        </w:r>
      </w:hyperlink>
      <w:r>
        <w:t xml:space="preserve">) e propensa à apostasia (vv. </w:t>
      </w:r>
      <w:hyperlink r:id="rId8998">
        <w:r>
          <w:rPr>
            <w:color w:val="0000EE"/>
            <w:u w:val="single"/>
          </w:rPr>
          <w:t>13,21</w:t>
        </w:r>
      </w:hyperlink>
      <w:r>
        <w:t xml:space="preserve">). Israel queria ser uma das grandes nações (v. </w:t>
      </w:r>
      <w:hyperlink r:id="rId8999">
        <w:r>
          <w:rPr>
            <w:color w:val="0000EE"/>
            <w:u w:val="single"/>
          </w:rPr>
          <w:t>32</w:t>
        </w:r>
      </w:hyperlink>
      <w:r>
        <w:t xml:space="preserve">) em vez de um povo santificado (v. </w:t>
      </w:r>
      <w:hyperlink r:id="rId9000">
        <w:r>
          <w:rPr>
            <w:color w:val="0000EE"/>
            <w:u w:val="single"/>
          </w:rPr>
          <w:t>12</w:t>
        </w:r>
      </w:hyperlink>
      <w:r>
        <w:t xml:space="preserve">). Como resultado de sua dureza espiritual, Israel é disperso para viver entre as nações (v. </w:t>
      </w:r>
      <w:hyperlink r:id="rId9001">
        <w:r>
          <w:rPr>
            <w:color w:val="0000EE"/>
            <w:u w:val="single"/>
          </w:rPr>
          <w:t>35</w:t>
        </w:r>
      </w:hyperlink>
      <w:r>
        <w:t xml:space="preserve">). No entanto, Deus tinha uma aliança solene com Israel, feita por juramento aos patriarcas Abraão, Isaque e Jacó. Com base nessa aliança, Deus estenderá compaixão àqueles que se arrependem de seus caminhos pecaminosos (vv. </w:t>
      </w:r>
      <w:hyperlink r:id="rId9002">
        <w:r>
          <w:rPr>
            <w:color w:val="0000EE"/>
            <w:u w:val="single"/>
          </w:rPr>
          <w:t>37–44</w:t>
        </w:r>
      </w:hyperlink>
      <w:r>
        <w:t xml:space="preserve">). No julgamento e restauração de Israel, as nações verão a santidade de Deus, que não tolera a infidelidade em Israel (v. </w:t>
      </w:r>
      <w:hyperlink r:id="rId9003">
        <w:r>
          <w:rPr>
            <w:color w:val="0000EE"/>
            <w:u w:val="single"/>
          </w:rPr>
          <w:t>41</w:t>
        </w:r>
      </w:hyperlink>
      <w:r>
        <w:t>).</w:t>
      </w:r>
    </w:p>
    <w:p>
      <w:r/>
      <w:r>
        <w:t>As profecias de Ezequiel alternam entre o julgamento de Deus sobre o pecado de Israel e a restauração de Israel, conectando o passado e o futuro de Israel. Diante das dúvidas do povo sobre o julgamento iminente de Jerusalém, ele enfatiza a necessidade do julgamento e do arrependimento. Ainda assim, a futura restauração de um remanescente é mencionada ocasionalmente como o contraponto de sua mensagem de julgamento. Após anunciar a queda de Jerusalém, o profeta muda de uma mensagem de julgamento para uma de esperança.</w:t>
      </w:r>
    </w:p>
    <w:p>
      <w:r/>
      <w:r>
        <w:t>O profeta retorna à proclamação de julgamento em quatro oráculos (</w:t>
      </w:r>
      <w:hyperlink r:id="rId9004">
        <w:r>
          <w:rPr>
            <w:color w:val="0000EE"/>
            <w:u w:val="single"/>
          </w:rPr>
          <w:t>20.45–21.32</w:t>
        </w:r>
      </w:hyperlink>
      <w:r>
        <w:t>). Ele fala contra a área do deserto do Neguebe (</w:t>
      </w:r>
      <w:hyperlink r:id="rId9005">
        <w:r>
          <w:rPr>
            <w:color w:val="0000EE"/>
            <w:u w:val="single"/>
          </w:rPr>
          <w:t>20.45–49</w:t>
        </w:r>
      </w:hyperlink>
      <w:r>
        <w:t>), Jerusalém e a terra de Israel (</w:t>
      </w:r>
      <w:hyperlink r:id="rId9006">
        <w:r>
          <w:rPr>
            <w:color w:val="0000EE"/>
            <w:u w:val="single"/>
          </w:rPr>
          <w:t>21.2–17,20–27</w:t>
        </w:r>
      </w:hyperlink>
      <w:r>
        <w:t xml:space="preserve">), e contra os amonitas (vv. </w:t>
      </w:r>
      <w:hyperlink r:id="rId9007">
        <w:r>
          <w:rPr>
            <w:color w:val="0000EE"/>
            <w:u w:val="single"/>
          </w:rPr>
          <w:t>28–32</w:t>
        </w:r>
      </w:hyperlink>
      <w:r>
        <w:t xml:space="preserve">). Deus permitiu que a espada de Nabucodonosor fosse seu instrumento de julgamento sobre os judeus (v. </w:t>
      </w:r>
      <w:hyperlink r:id="rId9008">
        <w:r>
          <w:rPr>
            <w:color w:val="0000EE"/>
            <w:u w:val="single"/>
          </w:rPr>
          <w:t>19</w:t>
        </w:r>
      </w:hyperlink>
      <w:r>
        <w:t xml:space="preserve">). Ele cuidaria do julgamento sobre os amonitas. Os judeus recuperariam sua glória anterior, mas a memória dos amonitas pereceria (vv. </w:t>
      </w:r>
      <w:hyperlink r:id="rId9009">
        <w:r>
          <w:rPr>
            <w:color w:val="0000EE"/>
            <w:u w:val="single"/>
          </w:rPr>
          <w:t>27,32</w:t>
        </w:r>
      </w:hyperlink>
      <w:r>
        <w:t xml:space="preserve">). O oráculo contra os amonitas antecipa um tratado maior sobre os outros vizinhos de Israel: Moabe, Edom, Filístia, Tiro, Sidom e Egito (caps. </w:t>
      </w:r>
      <w:hyperlink r:id="rId9010">
        <w:r>
          <w:rPr>
            <w:color w:val="0000EE"/>
            <w:u w:val="single"/>
          </w:rPr>
          <w:t>25–29</w:t>
        </w:r>
      </w:hyperlink>
      <w:r>
        <w:t>).</w:t>
      </w:r>
    </w:p>
    <w:p>
      <w:r/>
      <w:r>
        <w:t xml:space="preserve">Os capítulos </w:t>
      </w:r>
      <w:hyperlink r:id="rId9011">
        <w:r>
          <w:rPr>
            <w:color w:val="0000EE"/>
            <w:u w:val="single"/>
          </w:rPr>
          <w:t>22–24</w:t>
        </w:r>
      </w:hyperlink>
      <w:r>
        <w:t xml:space="preserve"> contêm uma série renovada de acusações contra Jerusalém. A liderança religiosa e civil de Jerusalém (os profetas, sacerdotes e príncipes) é corrupta, e o povo seguiu seu exemplo (</w:t>
      </w:r>
      <w:hyperlink r:id="rId9012">
        <w:r>
          <w:rPr>
            <w:color w:val="0000EE"/>
            <w:u w:val="single"/>
          </w:rPr>
          <w:t>22.25–30</w:t>
        </w:r>
      </w:hyperlink>
      <w:r>
        <w:t xml:space="preserve">). A parábola das duas irmãs, Oolá e Oolibá, é uma variação da parábola da Jerusalém adúltera (cap. </w:t>
      </w:r>
      <w:hyperlink r:id="rId9013">
        <w:r>
          <w:rPr>
            <w:color w:val="0000EE"/>
            <w:u w:val="single"/>
          </w:rPr>
          <w:t>23</w:t>
        </w:r>
      </w:hyperlink>
      <w:r>
        <w:t xml:space="preserve">; cf. cap. </w:t>
      </w:r>
      <w:hyperlink r:id="rId472">
        <w:r>
          <w:rPr>
            <w:color w:val="0000EE"/>
            <w:u w:val="single"/>
          </w:rPr>
          <w:t>16</w:t>
        </w:r>
      </w:hyperlink>
      <w:r>
        <w:t xml:space="preserve">). Ela difere no fato de que a comparação feita entre Jerusalém, prestes a ser exilada, e Samaria, já em exílio, é mais explícita na parábola de Oolá e Oolibá. No capítulo </w:t>
      </w:r>
      <w:hyperlink r:id="rId472">
        <w:r>
          <w:rPr>
            <w:color w:val="0000EE"/>
            <w:u w:val="single"/>
          </w:rPr>
          <w:t>16</w:t>
        </w:r>
      </w:hyperlink>
      <w:r>
        <w:t xml:space="preserve">, Jerusalém foi acusada de pecados maiores que Sodoma e Samaria, mas foi prometida restauração. Apenas a natureza adúltera das duas irmãs e o julgamento de Deus sobre elas é enfatizado no capítulo </w:t>
      </w:r>
      <w:hyperlink r:id="rId9013">
        <w:r>
          <w:rPr>
            <w:color w:val="0000EE"/>
            <w:u w:val="single"/>
          </w:rPr>
          <w:t>23</w:t>
        </w:r>
      </w:hyperlink>
      <w:r>
        <w:t xml:space="preserve">, sem nenhuma palavra de restauração. Esta parábola é uma introdução adequada à do pote fervente (cap. </w:t>
      </w:r>
      <w:hyperlink r:id="rId9014">
        <w:r>
          <w:rPr>
            <w:color w:val="0000EE"/>
            <w:u w:val="single"/>
          </w:rPr>
          <w:t>24</w:t>
        </w:r>
      </w:hyperlink>
      <w:r>
        <w:t>), na qual Jerusalém é comparada a um pote enferrujado fervendo com água. Os habitantes de Jerusalém, comparados a pedaços de carne no pote fervente, morrerão na cidade. A parábola foi pronunciada no dia inicial do cerco de Nabucodonosor a Jerusalém. Assim, os exilados foram divinamente advertidos da intenção de Deus de destruir o templo (</w:t>
      </w:r>
      <w:hyperlink r:id="rId9015">
        <w:r>
          <w:rPr>
            <w:color w:val="0000EE"/>
            <w:u w:val="single"/>
          </w:rPr>
          <w:t>24.21</w:t>
        </w:r>
      </w:hyperlink>
      <w:r>
        <w:t>) e foram preparados para mensageiros trazendo as más notícias da queda de Jerusalém.</w:t>
      </w:r>
    </w:p>
    <w:p>
      <w:r/>
      <w:r>
        <w:t>Aqueles oráculos e parábolas concluem a primeira parte do livro. Ezequiel apresentou o caso de Deus contra a casa rebelde de Judá de várias maneiras. Suas metáforas compararam Judá a um pedaço de madeira queimada, a uma videira desenraizada, a um bebê que cresceu e se tornou uma adúltera, e a Oolibá, a mulher adúltera. Ele refutou argumentos contra o cumprimento da palavra de Deus e contra a justiça de Deus. Ele assegurou aos exilados que Deus não abandonará os justos e que o futuro de Israel começa com um remanescente justo. A escrita de Ezequiel oscilou do julgamento para a restauração, enquanto o tempo aproximava Judá da hora de sua queda.</w:t>
      </w:r>
    </w:p>
    <w:p>
      <w:pPr>
        <w:pStyle w:val="Heading4"/>
      </w:pPr>
      <w:r>
        <w:t>Oráculos contra as nações (</w:t>
      </w:r>
      <w:hyperlink r:id="rId8907">
        <w:r>
          <w:rPr>
            <w:color w:val="0000EE"/>
            <w:u w:val="single"/>
          </w:rPr>
          <w:t>25.1–32.32</w:t>
        </w:r>
      </w:hyperlink>
      <w:r>
        <w:t>)</w:t>
      </w:r>
    </w:p>
    <w:p>
      <w:r/>
      <w:r>
        <w:t>Amom, Moabe e Edom eram vizinhos de Israel ao leste. Como eram etnicamente relacionados a Israel, não foram atacados pelos israelitas em sua marcha para a Terra Prometida. Amom e Moabe eram descendentes de Ló, sobrinho de Abraão, e os edomitas descendiam de Esaú, irmão de Jacó. Embora Deus tenha proibido a guerra com eles, as relações entre Israel e seus vizinhos orientais sempre foram tensas. Israel foi invadido pelos amonitas por um tempo, e Israel nunca teve sucesso em controlar as relações comerciais competitivas dos edomitas. Essas nações vizinhas se juntaram ao ataque babilônico contra Jerusalém e se alegraram quando Jerusalém caiu e o templo foi devastado (</w:t>
      </w:r>
      <w:hyperlink r:id="rId9016">
        <w:r>
          <w:rPr>
            <w:color w:val="0000EE"/>
            <w:u w:val="single"/>
          </w:rPr>
          <w:t>Ez 25.3–12</w:t>
        </w:r>
      </w:hyperlink>
      <w:r>
        <w:t xml:space="preserve">). Eles estavam prontos para tomar e saquear as cidades de Judá e instigar problemas em um momento em que Jerusalém estava angustiada. Portanto, diz Ezequiel, o julgamento de Deus também se estenderá a Amom, Moabe e Edom (vv. </w:t>
      </w:r>
      <w:hyperlink r:id="rId9017">
        <w:r>
          <w:rPr>
            <w:color w:val="0000EE"/>
            <w:u w:val="single"/>
          </w:rPr>
          <w:t>4–14</w:t>
        </w:r>
      </w:hyperlink>
      <w:r>
        <w:t>).</w:t>
      </w:r>
    </w:p>
    <w:p>
      <w:r/>
      <w:r>
        <w:t>Os filisteus foram inimigos de Israel ao sudoeste. Durante o período dos juízes e da monarquia unida, os filisteus controlaram grande parte do território de Israel. O rei Davi limitou com sucesso a ameaça filisteia, confinando-os ao seu próprio território. Mas nos dias de Ezequiel, eles ainda eram considerados o inimigo "eterno" de Israel (</w:t>
      </w:r>
      <w:hyperlink r:id="rId9018">
        <w:r>
          <w:rPr>
            <w:color w:val="0000EE"/>
            <w:u w:val="single"/>
          </w:rPr>
          <w:t>25.15</w:t>
        </w:r>
      </w:hyperlink>
      <w:r>
        <w:t>), possivelmente intensificado pelo apoio filisteu à invasão babilônica de Judá.</w:t>
      </w:r>
    </w:p>
    <w:p>
      <w:r/>
      <w:r>
        <w:t>A cidade de Tiro havia recebido relatos da queda de Jerusalém e estava pronta para explorar a oportunidade em seu próprio benefício (</w:t>
      </w:r>
      <w:hyperlink r:id="rId9019">
        <w:r>
          <w:rPr>
            <w:color w:val="0000EE"/>
            <w:u w:val="single"/>
          </w:rPr>
          <w:t>26.2</w:t>
        </w:r>
      </w:hyperlink>
      <w:r>
        <w:t>). A posição comercial de Tiro era incomparável; seus navios cruzavam os mares para trocar mercadorias com muitas terras distantes (</w:t>
      </w:r>
      <w:hyperlink r:id="rId9020">
        <w:r>
          <w:rPr>
            <w:color w:val="0000EE"/>
            <w:u w:val="single"/>
          </w:rPr>
          <w:t>Ez 27</w:t>
        </w:r>
      </w:hyperlink>
      <w:r>
        <w:t>). Mas Tiro logo seria destruída pelos babilônios, sua riqueza secaria com a destruição da frota e o assassinato de seus marinheiros (</w:t>
      </w:r>
      <w:hyperlink r:id="rId9021">
        <w:r>
          <w:rPr>
            <w:color w:val="0000EE"/>
            <w:u w:val="single"/>
          </w:rPr>
          <w:t>27.26</w:t>
        </w:r>
      </w:hyperlink>
      <w:r>
        <w:t>).</w:t>
      </w:r>
    </w:p>
    <w:p>
      <w:r/>
      <w:r>
        <w:t xml:space="preserve">O príncipe de Tiro é destacado no capítulo </w:t>
      </w:r>
      <w:hyperlink r:id="rId9022">
        <w:r>
          <w:rPr>
            <w:color w:val="0000EE"/>
            <w:u w:val="single"/>
          </w:rPr>
          <w:t>28</w:t>
        </w:r>
      </w:hyperlink>
      <w:r>
        <w:t xml:space="preserve">, mas o versículo </w:t>
      </w:r>
      <w:hyperlink r:id="rId9023">
        <w:r>
          <w:rPr>
            <w:color w:val="0000EE"/>
            <w:u w:val="single"/>
          </w:rPr>
          <w:t>12</w:t>
        </w:r>
      </w:hyperlink>
      <w:r>
        <w:t xml:space="preserve"> refere-se ao “rei” de Tiro. Os intérpretes discordam se eles são uma ou duas pessoas. Aqueles que distinguem entre os dois entendem que o príncipe de Tiro é o governante daquela cidade, mas consideram que o “rei” de Tiro representa Satanás (</w:t>
      </w:r>
      <w:hyperlink r:id="rId9024">
        <w:r>
          <w:rPr>
            <w:color w:val="0000EE"/>
            <w:u w:val="single"/>
          </w:rPr>
          <w:t>28.13–15</w:t>
        </w:r>
      </w:hyperlink>
      <w:r>
        <w:t xml:space="preserve">). O Jardim do Éden, com todo o seu esplendor, é um cenário apropriado para a glória original de um Satanás angelical antes de sua queda. Mas não há razão dentro do contexto para distinguir entre o príncipe e o rei de Tiro. Ambos são descritos como tendo se exaltado, tomaram autoridade sobre os homens como se fossem deuses e desfrutaram de todo o esplendor e realeza que pertencem a Deus. Tanto o príncipe quanto o rei caem de sua alta posição. A passagem é um magnífico exemplo da habilidade literária de Ezequiel. Ele desenha uma imagem gloriosa do Jardim do Éden, retrabalhando o mesmo tema ao descrever a glória e a queda do rei de Tiro. Ezequiel o apresenta como um Querubim, de acordo com a crença local de que o rei era divino. Ele vestia as melhores roupas, com nove tipos de pedras preciosas (v. </w:t>
      </w:r>
      <w:hyperlink r:id="rId9025">
        <w:r>
          <w:rPr>
            <w:color w:val="0000EE"/>
            <w:u w:val="single"/>
          </w:rPr>
          <w:t>13</w:t>
        </w:r>
      </w:hyperlink>
      <w:r>
        <w:t xml:space="preserve">). Embora Deus o tenha elevado ao trono real (vv. </w:t>
      </w:r>
      <w:hyperlink r:id="rId9026">
        <w:r>
          <w:rPr>
            <w:color w:val="0000EE"/>
            <w:u w:val="single"/>
          </w:rPr>
          <w:t>13–14</w:t>
        </w:r>
      </w:hyperlink>
      <w:r>
        <w:t xml:space="preserve">), o coração do rei voltou-se para o materialismo e para a corrupção religiosa e judicial (vv. </w:t>
      </w:r>
      <w:hyperlink r:id="rId9027">
        <w:r>
          <w:rPr>
            <w:color w:val="0000EE"/>
            <w:u w:val="single"/>
          </w:rPr>
          <w:t>16–18</w:t>
        </w:r>
      </w:hyperlink>
      <w:r>
        <w:t xml:space="preserve">). Em certo sentido, o rei (príncipe) representa o povo de Tiro. Todos eram culpados de corrupção, injustiça e violência. Se Deus julgou seu povo da aliança por sua perversão da justiça e por seus pecados, seu julgamento certamente viria também sobre a cidade de Tiro (vv. </w:t>
      </w:r>
      <w:hyperlink r:id="rId9028">
        <w:r>
          <w:rPr>
            <w:color w:val="0000EE"/>
            <w:u w:val="single"/>
          </w:rPr>
          <w:t>18–19</w:t>
        </w:r>
      </w:hyperlink>
      <w:r>
        <w:t>). Quando os babilônios marcharam sobre Tiro, eles laboriosamente construíram um cais do continente até a cidade. Ao mesmo tempo, navios de Tiro carregados de bens e tesouros navegavam pelo Mediterrâneo, de modo que quando as tropas de Nabucodonosor finalmente romperam as muralhas, pouco saque pôde ser levado (</w:t>
      </w:r>
      <w:hyperlink r:id="rId9029">
        <w:r>
          <w:rPr>
            <w:color w:val="0000EE"/>
            <w:u w:val="single"/>
          </w:rPr>
          <w:t>29.18</w:t>
        </w:r>
      </w:hyperlink>
      <w:r>
        <w:t>).</w:t>
      </w:r>
    </w:p>
    <w:p>
      <w:r/>
      <w:r>
        <w:t>A cidade de Sidom também celebrou a destruição de Jerusalém. Sidom era uma cidade portuária na Fenícia, ao norte de Tiro. Por meio de pestilência e guerra, os habitantes de Sidom aprenderiam sobre a justiça do Deus de Israel.</w:t>
      </w:r>
    </w:p>
    <w:p>
      <w:r/>
      <w:r>
        <w:t>Seis nações (Amom, Moabe, Edom, Filístia, Tiro e Sidom) desprezaram Israel na queda de Jerusalém. Como Deus havia investido sua santidade no templo de Jerusalém e em seu povo, a destruição do templo e o exílio do povo significavam para as nações que o Deus de Israel era impotente. Elas não perceberam que a razão para o destino de Israel era a intolerância de Deus ao pecado de seu povo. A santidade de Deus exigia a punição do pecado e também a vindicação de seu nome (</w:t>
      </w:r>
      <w:hyperlink r:id="rId9030">
        <w:r>
          <w:rPr>
            <w:color w:val="0000EE"/>
            <w:u w:val="single"/>
          </w:rPr>
          <w:t>28.22–23</w:t>
        </w:r>
      </w:hyperlink>
      <w:r>
        <w:t xml:space="preserve">). Deus ainda estava preocupado com seu povo, para que Israel soubesse que ele havia removido o desprezo de seus vizinhos (v. </w:t>
      </w:r>
      <w:hyperlink r:id="rId9031">
        <w:r>
          <w:rPr>
            <w:color w:val="0000EE"/>
            <w:u w:val="single"/>
          </w:rPr>
          <w:t>24</w:t>
        </w:r>
      </w:hyperlink>
      <w:r>
        <w:t xml:space="preserve">). Na restauração de Israel, o Senhor manifestaria ainda mais sua santidade diante das nações. Israel receberia de volta a terra, vinhedos e casas, e desfrutaria da abundância do Senhor em paz (vv. </w:t>
      </w:r>
      <w:hyperlink r:id="rId9032">
        <w:r>
          <w:rPr>
            <w:color w:val="0000EE"/>
            <w:u w:val="single"/>
          </w:rPr>
          <w:t>25–26</w:t>
        </w:r>
      </w:hyperlink>
      <w:r>
        <w:t>).</w:t>
      </w:r>
    </w:p>
    <w:p>
      <w:r/>
      <w:r>
        <w:t>O Egito havia convencido o povo de Israel e Judá de que, com sua ajuda, os assírios e os babilônios não conseguiriam se manter na Palestina. Em 722 a.C., as tropas assírias tomaram a capital do norte, Samaria, e em 586 os babilônios conquistaram Jerusalém, enquanto o Egito permanecia passivo. Os egípcios desejavam o controle sobre a Palestina por razões econômicas, mas não à custa de seu próprio bem-estar. O Egito também perderia sua liderança sob o julgamento de Deus (</w:t>
      </w:r>
      <w:hyperlink r:id="rId9033">
        <w:r>
          <w:rPr>
            <w:color w:val="0000EE"/>
            <w:u w:val="single"/>
          </w:rPr>
          <w:t>29.9–16</w:t>
        </w:r>
      </w:hyperlink>
      <w:r>
        <w:t>). Reduzido à dependência de potências estrangeiras, o Egito não seria mais um obstáculo para Israel. Primeiro, a Babilônia foi autorizada a quebrar o poder do Egito (</w:t>
      </w:r>
      <w:hyperlink r:id="rId9034">
        <w:r>
          <w:rPr>
            <w:color w:val="0000EE"/>
            <w:u w:val="single"/>
          </w:rPr>
          <w:t>23.1–32.21</w:t>
        </w:r>
      </w:hyperlink>
      <w:r>
        <w:t>); mais tarde, os persas, gregos e romanos incorporariam o Egito como uma província. A queda do Egito coincidiu com a queda de vários reinos grandes e pequenos: Assíria (</w:t>
      </w:r>
      <w:hyperlink r:id="rId9035">
        <w:r>
          <w:rPr>
            <w:color w:val="0000EE"/>
            <w:u w:val="single"/>
          </w:rPr>
          <w:t>32.22–23</w:t>
        </w:r>
      </w:hyperlink>
      <w:r>
        <w:t xml:space="preserve">), Elão (vv. </w:t>
      </w:r>
      <w:hyperlink r:id="rId7775">
        <w:r>
          <w:rPr>
            <w:color w:val="0000EE"/>
            <w:u w:val="single"/>
          </w:rPr>
          <w:t>24–25</w:t>
        </w:r>
      </w:hyperlink>
      <w:r>
        <w:t xml:space="preserve">), Meseque e Tubal (vv. </w:t>
      </w:r>
      <w:hyperlink r:id="rId9036">
        <w:r>
          <w:rPr>
            <w:color w:val="0000EE"/>
            <w:u w:val="single"/>
          </w:rPr>
          <w:t>26–28</w:t>
        </w:r>
      </w:hyperlink>
      <w:r>
        <w:t xml:space="preserve">), Edom (v. </w:t>
      </w:r>
      <w:hyperlink r:id="rId7574">
        <w:r>
          <w:rPr>
            <w:color w:val="0000EE"/>
            <w:u w:val="single"/>
          </w:rPr>
          <w:t>29</w:t>
        </w:r>
      </w:hyperlink>
      <w:r>
        <w:t xml:space="preserve">), e Sidom (v. </w:t>
      </w:r>
      <w:hyperlink r:id="rId9037">
        <w:r>
          <w:rPr>
            <w:color w:val="0000EE"/>
            <w:u w:val="single"/>
          </w:rPr>
          <w:t>30</w:t>
        </w:r>
      </w:hyperlink>
      <w:r>
        <w:t>).</w:t>
      </w:r>
    </w:p>
    <w:p>
      <w:pPr>
        <w:pStyle w:val="Heading4"/>
      </w:pPr>
      <w:r>
        <w:t>Proclamação de esperança (</w:t>
      </w:r>
      <w:hyperlink r:id="rId8906">
        <w:r>
          <w:rPr>
            <w:color w:val="0000EE"/>
            <w:u w:val="single"/>
          </w:rPr>
          <w:t>33.1–48.35</w:t>
        </w:r>
      </w:hyperlink>
      <w:r>
        <w:t>)</w:t>
      </w:r>
    </w:p>
    <w:p>
      <w:r/>
      <w:r>
        <w:t xml:space="preserve">Após as visões do julgamento de Deus sobre as nações vizinhas, Ezequiel retorna à esperança futura de Israel. Na primeira seção principal de seu livro, ele tratou das razões para o exílio de Judá e a destruição do templo, aludindo frequentemente ao futuro de Israel. No entanto, a organização do material pelo profeta incluiu, entre as profecias do julgamento e restauração de Israel, os oráculos do julgamento de Deus sobre os vizinhos de Israel que haviam encorajado e se alegrado com sua queda. Ao longo de sua história, Israel permitiu que nações estrangeiras influenciassem sua religião, cultura e forma de governo. A redução de seus poderes significava que Israel, restaurado à Terra Prometida, estaria mais livre para a fidelidade a Deus. Antes de retomar o tema da restauração, Ezequiel revisa as ênfases dos capítulos </w:t>
      </w:r>
      <w:hyperlink r:id="rId8905">
        <w:r>
          <w:rPr>
            <w:color w:val="0000EE"/>
            <w:u w:val="single"/>
          </w:rPr>
          <w:t>1–24</w:t>
        </w:r>
      </w:hyperlink>
      <w:r>
        <w:t>: (1) Ele foi chamado para ser um vigia sobre Israel (</w:t>
      </w:r>
      <w:hyperlink r:id="rId8917">
        <w:r>
          <w:rPr>
            <w:color w:val="0000EE"/>
            <w:u w:val="single"/>
          </w:rPr>
          <w:t>33.1–9</w:t>
        </w:r>
      </w:hyperlink>
      <w:r>
        <w:t xml:space="preserve">; cf. </w:t>
      </w:r>
      <w:hyperlink r:id="rId8908">
        <w:r>
          <w:rPr>
            <w:color w:val="0000EE"/>
            <w:u w:val="single"/>
          </w:rPr>
          <w:t>1.1–3.21</w:t>
        </w:r>
      </w:hyperlink>
      <w:r>
        <w:t>). (2) Israel havia pecado contra o Senhor e precisava receber um julgamento justo (</w:t>
      </w:r>
      <w:hyperlink r:id="rId9038">
        <w:r>
          <w:rPr>
            <w:color w:val="0000EE"/>
            <w:u w:val="single"/>
          </w:rPr>
          <w:t>33.10</w:t>
        </w:r>
      </w:hyperlink>
      <w:r>
        <w:t xml:space="preserve">). (3) Jerusalém seria tomada pelos babilônios (v. </w:t>
      </w:r>
      <w:hyperlink r:id="rId9039">
        <w:r>
          <w:rPr>
            <w:color w:val="0000EE"/>
            <w:u w:val="single"/>
          </w:rPr>
          <w:t>21</w:t>
        </w:r>
      </w:hyperlink>
      <w:r>
        <w:t xml:space="preserve">). (4) O arrependimento de Israel é necessário para a restauração (vv. </w:t>
      </w:r>
      <w:hyperlink r:id="rId9040">
        <w:r>
          <w:rPr>
            <w:color w:val="0000EE"/>
            <w:u w:val="single"/>
          </w:rPr>
          <w:t>11–16</w:t>
        </w:r>
      </w:hyperlink>
      <w:r>
        <w:t>).</w:t>
      </w:r>
    </w:p>
    <w:p>
      <w:r/>
      <w:r>
        <w:t>Até então, seu ministério não tinha sido bem-sucedido. Os exilados que ouviram suas mensagens apreciavam muito as habilidades retóricas e literárias de Ezequiel (</w:t>
      </w:r>
      <w:hyperlink r:id="rId9041">
        <w:r>
          <w:rPr>
            <w:color w:val="0000EE"/>
            <w:u w:val="single"/>
          </w:rPr>
          <w:t>33.32</w:t>
        </w:r>
      </w:hyperlink>
      <w:r>
        <w:t xml:space="preserve">). Eles prontamente aceitaram Ezequiel como um vigia que alertava o povo sobre a catástrofe iminente em Jerusalém e podem ter admitido que seu pecado era a razão para o julgamento de Deus sobre Israel e Jerusalém. No entanto, eram lentos em aplicar a palavra profética em suas próprias vidas. Deus estava pronto para perdoar seus pecados se eles se arrependessem, o reconhecessem e demonstrassem seu espírito renovado praticando a lei de Deus (v. </w:t>
      </w:r>
      <w:hyperlink r:id="rId9041">
        <w:r>
          <w:rPr>
            <w:color w:val="0000EE"/>
            <w:u w:val="single"/>
          </w:rPr>
          <w:t>32</w:t>
        </w:r>
      </w:hyperlink>
      <w:r>
        <w:t xml:space="preserve">). Agora que as notícias de Jerusalém haviam sido relatadas aos exilados (v. </w:t>
      </w:r>
      <w:hyperlink r:id="rId9039">
        <w:r>
          <w:rPr>
            <w:color w:val="0000EE"/>
            <w:u w:val="single"/>
          </w:rPr>
          <w:t>21</w:t>
        </w:r>
      </w:hyperlink>
      <w:r>
        <w:t xml:space="preserve">), a necessidade de o povo agir responsavelmente era ainda mais urgente. O Senhor havia demonstrado que Ezequiel era um verdadeiro profeta (v. </w:t>
      </w:r>
      <w:hyperlink r:id="rId9042">
        <w:r>
          <w:rPr>
            <w:color w:val="0000EE"/>
            <w:u w:val="single"/>
          </w:rPr>
          <w:t>33</w:t>
        </w:r>
      </w:hyperlink>
      <w:r>
        <w:t>).</w:t>
      </w:r>
    </w:p>
    <w:p>
      <w:r/>
      <w:r>
        <w:t>O sucesso do ministério de Ezequiel não foi medido em números. Ele declarou fielmente a palavra de Deus através de palavras, sinais e parábolas. Os exilados haviam seguido as falsas esperanças proclamadas por falsos “pastores” que se enriqueceram às custas do rebanho (</w:t>
      </w:r>
      <w:hyperlink r:id="rId9043">
        <w:r>
          <w:rPr>
            <w:color w:val="0000EE"/>
            <w:u w:val="single"/>
          </w:rPr>
          <w:t>34.2–3</w:t>
        </w:r>
      </w:hyperlink>
      <w:r>
        <w:t xml:space="preserve">). Eles não cuidaram dos necessitados (v. </w:t>
      </w:r>
      <w:hyperlink r:id="rId9044">
        <w:r>
          <w:rPr>
            <w:color w:val="0000EE"/>
            <w:u w:val="single"/>
          </w:rPr>
          <w:t>4</w:t>
        </w:r>
      </w:hyperlink>
      <w:r>
        <w:t xml:space="preserve">) e permitiram que o rebanho se dispersasse (vv. </w:t>
      </w:r>
      <w:hyperlink r:id="rId9045">
        <w:r>
          <w:rPr>
            <w:color w:val="0000EE"/>
            <w:u w:val="single"/>
          </w:rPr>
          <w:t>5–6</w:t>
        </w:r>
      </w:hyperlink>
      <w:r>
        <w:t>). Deus prometeu ao seu povo que Ele seria o pastor fiel, reuniria as ovelhas, as alimentaria e cuidaria delas (</w:t>
      </w:r>
      <w:hyperlink r:id="rId9046">
        <w:r>
          <w:rPr>
            <w:color w:val="0000EE"/>
            <w:u w:val="single"/>
          </w:rPr>
          <w:t>34.11–15</w:t>
        </w:r>
      </w:hyperlink>
      <w:r>
        <w:t xml:space="preserve">; cf. </w:t>
      </w:r>
      <w:hyperlink r:id="rId9047">
        <w:r>
          <w:rPr>
            <w:color w:val="0000EE"/>
            <w:u w:val="single"/>
          </w:rPr>
          <w:t>Sl 23</w:t>
        </w:r>
      </w:hyperlink>
      <w:r>
        <w:t>). Deus também distinguiria entre as ovelhas e os bodes, para identificar de quem os corações estavam corretos com Ele, para que as verdadeiras ovelhas pudessem ser restauradas ao rebanho de Deus (</w:t>
      </w:r>
      <w:hyperlink r:id="rId9048">
        <w:r>
          <w:rPr>
            <w:color w:val="0000EE"/>
            <w:u w:val="single"/>
          </w:rPr>
          <w:t>Ez 34.20–22</w:t>
        </w:r>
      </w:hyperlink>
      <w:r>
        <w:t xml:space="preserve">). A promessa de Deus incluía a restauração da terra e a restauração da dinastia davídica divinamente designada (v. </w:t>
      </w:r>
      <w:hyperlink r:id="rId9049">
        <w:r>
          <w:rPr>
            <w:color w:val="0000EE"/>
            <w:u w:val="single"/>
          </w:rPr>
          <w:t>24</w:t>
        </w:r>
      </w:hyperlink>
      <w:r>
        <w:t xml:space="preserve">). A renovada comunhão entre o Senhor e Israel sob o governante messiânico seria selada com uma nova aliança, a “aliança de paz”. Essa aliança assegurava ao povo a bênção de Deus sobre seu trabalho, trazendo-lhes colheitas abundantes (vv. </w:t>
      </w:r>
      <w:hyperlink r:id="rId9050">
        <w:r>
          <w:rPr>
            <w:color w:val="0000EE"/>
            <w:u w:val="single"/>
          </w:rPr>
          <w:t>26–27</w:t>
        </w:r>
      </w:hyperlink>
      <w:r>
        <w:t xml:space="preserve">). O povo não seria forçado a lutar contra a natureza em seus empreendimentos (vv. </w:t>
      </w:r>
      <w:hyperlink r:id="rId9051">
        <w:r>
          <w:rPr>
            <w:color w:val="0000EE"/>
            <w:u w:val="single"/>
          </w:rPr>
          <w:t>25–28</w:t>
        </w:r>
      </w:hyperlink>
      <w:r>
        <w:t xml:space="preserve">). Eles não teriam que lutar contra outros povos que pudessem tentar compartilhar de suas bênçãos à força (vv. </w:t>
      </w:r>
      <w:hyperlink r:id="rId9052">
        <w:r>
          <w:rPr>
            <w:color w:val="0000EE"/>
            <w:u w:val="single"/>
          </w:rPr>
          <w:t>27–29</w:t>
        </w:r>
      </w:hyperlink>
      <w:r>
        <w:t xml:space="preserve">). A visão profética antecipava os eventos da restauração de Israel após o exílio, a vinda de Jesus, o Messias (cf. </w:t>
      </w:r>
      <w:hyperlink r:id="rId9053">
        <w:r>
          <w:rPr>
            <w:color w:val="0000EE"/>
            <w:u w:val="single"/>
          </w:rPr>
          <w:t>Jo 10</w:t>
        </w:r>
      </w:hyperlink>
      <w:r>
        <w:t>), e a plena restauração do mundo amaldiçoado pelo pecado.</w:t>
      </w:r>
    </w:p>
    <w:p>
      <w:r/>
      <w:r>
        <w:t xml:space="preserve">O capítulo </w:t>
      </w:r>
      <w:hyperlink r:id="rId9054">
        <w:r>
          <w:rPr>
            <w:color w:val="0000EE"/>
            <w:u w:val="single"/>
          </w:rPr>
          <w:t>34</w:t>
        </w:r>
      </w:hyperlink>
      <w:r>
        <w:t xml:space="preserve"> é fundamental para as mensagens de restauração. As ênfases incluem a execução do versículo frequentemente repetido “Eles serão verdadeiramente o meu povo, e eu serei o seu Deus” (</w:t>
      </w:r>
      <w:hyperlink r:id="rId9055">
        <w:r>
          <w:rPr>
            <w:color w:val="0000EE"/>
            <w:u w:val="single"/>
          </w:rPr>
          <w:t>11.20</w:t>
        </w:r>
      </w:hyperlink>
      <w:r>
        <w:t xml:space="preserve">; cf. </w:t>
      </w:r>
      <w:hyperlink r:id="rId9056">
        <w:r>
          <w:rPr>
            <w:color w:val="0000EE"/>
            <w:u w:val="single"/>
          </w:rPr>
          <w:t>34.30</w:t>
        </w:r>
      </w:hyperlink>
      <w:r>
        <w:t xml:space="preserve">; </w:t>
      </w:r>
      <w:hyperlink r:id="rId9057">
        <w:r>
          <w:rPr>
            <w:color w:val="0000EE"/>
            <w:u w:val="single"/>
          </w:rPr>
          <w:t>36.28</w:t>
        </w:r>
      </w:hyperlink>
      <w:r>
        <w:t>). Os aspectos mais significativos do tema da restauração incluem: (1) a graciosa restauração de Deus do seu povo para a bênção da aliança (</w:t>
      </w:r>
      <w:hyperlink r:id="rId9058">
        <w:r>
          <w:rPr>
            <w:color w:val="0000EE"/>
            <w:u w:val="single"/>
          </w:rPr>
          <w:t>36.20–36</w:t>
        </w:r>
      </w:hyperlink>
      <w:r>
        <w:t xml:space="preserve">; </w:t>
      </w:r>
      <w:hyperlink r:id="rId9059">
        <w:r>
          <w:rPr>
            <w:color w:val="0000EE"/>
            <w:u w:val="single"/>
          </w:rPr>
          <w:t>37.23–26</w:t>
        </w:r>
      </w:hyperlink>
      <w:r>
        <w:t xml:space="preserve">; </w:t>
      </w:r>
      <w:hyperlink r:id="rId9060">
        <w:r>
          <w:rPr>
            <w:color w:val="0000EE"/>
            <w:u w:val="single"/>
          </w:rPr>
          <w:t>39.25</w:t>
        </w:r>
      </w:hyperlink>
      <w:r>
        <w:t>); (2) a restauração de Deus da nação de Israel à terra (</w:t>
      </w:r>
      <w:hyperlink r:id="rId9061">
        <w:r>
          <w:rPr>
            <w:color w:val="0000EE"/>
            <w:u w:val="single"/>
          </w:rPr>
          <w:t>36.1–15,24</w:t>
        </w:r>
      </w:hyperlink>
      <w:r>
        <w:t xml:space="preserve">; </w:t>
      </w:r>
      <w:hyperlink r:id="rId9062">
        <w:r>
          <w:rPr>
            <w:color w:val="0000EE"/>
            <w:u w:val="single"/>
          </w:rPr>
          <w:t>37.14–23</w:t>
        </w:r>
      </w:hyperlink>
      <w:r>
        <w:t xml:space="preserve">; </w:t>
      </w:r>
      <w:hyperlink r:id="rId9063">
        <w:r>
          <w:rPr>
            <w:color w:val="0000EE"/>
            <w:u w:val="single"/>
          </w:rPr>
          <w:t>39.27</w:t>
        </w:r>
      </w:hyperlink>
      <w:r>
        <w:t>); (3) o novo pacto de Deus, dando seu Espírito ao seu povo (</w:t>
      </w:r>
      <w:hyperlink r:id="rId4969">
        <w:r>
          <w:rPr>
            <w:color w:val="0000EE"/>
            <w:u w:val="single"/>
          </w:rPr>
          <w:t>36.25–27</w:t>
        </w:r>
      </w:hyperlink>
      <w:r>
        <w:t xml:space="preserve">; </w:t>
      </w:r>
      <w:hyperlink r:id="rId9064">
        <w:r>
          <w:rPr>
            <w:color w:val="0000EE"/>
            <w:u w:val="single"/>
          </w:rPr>
          <w:t>37.14</w:t>
        </w:r>
      </w:hyperlink>
      <w:r>
        <w:t xml:space="preserve">; </w:t>
      </w:r>
      <w:hyperlink r:id="rId3271">
        <w:r>
          <w:rPr>
            <w:color w:val="0000EE"/>
            <w:u w:val="single"/>
          </w:rPr>
          <w:t>39.29</w:t>
        </w:r>
      </w:hyperlink>
      <w:r>
        <w:t>), e sua bênção sobre seu povo (</w:t>
      </w:r>
      <w:hyperlink r:id="rId9065">
        <w:r>
          <w:rPr>
            <w:color w:val="0000EE"/>
            <w:u w:val="single"/>
          </w:rPr>
          <w:t>36.8–12,29–38</w:t>
        </w:r>
      </w:hyperlink>
      <w:r>
        <w:t xml:space="preserve">; </w:t>
      </w:r>
      <w:hyperlink r:id="rId9066">
        <w:r>
          <w:rPr>
            <w:color w:val="0000EE"/>
            <w:u w:val="single"/>
          </w:rPr>
          <w:t>39.9–10,26</w:t>
        </w:r>
      </w:hyperlink>
      <w:r>
        <w:t>), assegurando-lhes vitória sobre seus inimigos (</w:t>
      </w:r>
      <w:hyperlink r:id="rId7571">
        <w:r>
          <w:rPr>
            <w:color w:val="0000EE"/>
            <w:u w:val="single"/>
          </w:rPr>
          <w:t>35.1–15</w:t>
        </w:r>
      </w:hyperlink>
      <w:r>
        <w:t xml:space="preserve">; </w:t>
      </w:r>
      <w:hyperlink r:id="rId9067">
        <w:r>
          <w:rPr>
            <w:color w:val="0000EE"/>
            <w:u w:val="single"/>
          </w:rPr>
          <w:t>36.36</w:t>
        </w:r>
      </w:hyperlink>
      <w:r>
        <w:t xml:space="preserve">; </w:t>
      </w:r>
      <w:hyperlink r:id="rId9068">
        <w:r>
          <w:rPr>
            <w:color w:val="0000EE"/>
            <w:u w:val="single"/>
          </w:rPr>
          <w:t>37.28</w:t>
        </w:r>
      </w:hyperlink>
      <w:r>
        <w:t xml:space="preserve">; </w:t>
      </w:r>
      <w:hyperlink r:id="rId9069">
        <w:r>
          <w:rPr>
            <w:color w:val="0000EE"/>
            <w:u w:val="single"/>
          </w:rPr>
          <w:t>38.1–39.24</w:t>
        </w:r>
      </w:hyperlink>
      <w:r>
        <w:t>); (4) a nomeação de Deus de um rei davídico, o Messias, sobre seu povo (</w:t>
      </w:r>
      <w:hyperlink r:id="rId6614">
        <w:r>
          <w:rPr>
            <w:color w:val="0000EE"/>
            <w:u w:val="single"/>
          </w:rPr>
          <w:t>37.24–25</w:t>
        </w:r>
      </w:hyperlink>
      <w:r>
        <w:t>); e (5) o templo de Deus restaurado entre seu povo (</w:t>
      </w:r>
      <w:hyperlink r:id="rId9070">
        <w:r>
          <w:rPr>
            <w:color w:val="0000EE"/>
            <w:u w:val="single"/>
          </w:rPr>
          <w:t>37.26–27</w:t>
        </w:r>
      </w:hyperlink>
      <w:r>
        <w:t>).</w:t>
      </w:r>
    </w:p>
    <w:p>
      <w:r/>
      <w:r>
        <w:t>O povo de Deus</w:t>
      </w:r>
    </w:p>
    <w:p>
      <w:r/>
      <w:r>
        <w:t>A rejeição dos exilados não durou para sempre. Com base na aliança abraâmica, o Senhor prometeu abençoar o remanescente fiel e fazer deles um novo povo. A imagem de um vale de ossos secos é particularmente apropriada. Os ossos secos representam o povo de Deus sem esperança (</w:t>
      </w:r>
      <w:hyperlink r:id="rId9071">
        <w:r>
          <w:rPr>
            <w:color w:val="0000EE"/>
            <w:u w:val="single"/>
          </w:rPr>
          <w:t>37.11</w:t>
        </w:r>
      </w:hyperlink>
      <w:r>
        <w:t xml:space="preserve">). Ezequiel proclama a eles as boas-novas de que Deus os renovará e restaurará (v. </w:t>
      </w:r>
      <w:hyperlink r:id="rId9072">
        <w:r>
          <w:rPr>
            <w:color w:val="0000EE"/>
            <w:u w:val="single"/>
          </w:rPr>
          <w:t>12</w:t>
        </w:r>
      </w:hyperlink>
      <w:r>
        <w:t>). O propósito do Senhor para seu povo é que todas as nações honrem seu santo nome através de seu povo (</w:t>
      </w:r>
      <w:hyperlink r:id="rId9073">
        <w:r>
          <w:rPr>
            <w:color w:val="0000EE"/>
            <w:u w:val="single"/>
          </w:rPr>
          <w:t>39.7,25–27</w:t>
        </w:r>
      </w:hyperlink>
      <w:r>
        <w:t>).</w:t>
      </w:r>
    </w:p>
    <w:p>
      <w:r/>
      <w:r>
        <w:t>A terra</w:t>
      </w:r>
    </w:p>
    <w:p>
      <w:r/>
      <w:r>
        <w:t>A promessa também se estende à terra, originalmente dada a Abraão e seus descendentes. A aliança abraâmica incluía um elemento messiânico, pois através da família de Abraão vivendo na Terra Prometida, todas as nações receberiam a bênção de Deus (</w:t>
      </w:r>
      <w:hyperlink r:id="rId799">
        <w:r>
          <w:rPr>
            <w:color w:val="0000EE"/>
            <w:u w:val="single"/>
          </w:rPr>
          <w:t>Gn 12.3</w:t>
        </w:r>
      </w:hyperlink>
      <w:r>
        <w:t>). Em uma visão, Ezequiel viu os limites e descreveu a divisão da terra (</w:t>
      </w:r>
      <w:hyperlink r:id="rId9074">
        <w:r>
          <w:rPr>
            <w:color w:val="0000EE"/>
            <w:u w:val="single"/>
          </w:rPr>
          <w:t>Ez 47–48</w:t>
        </w:r>
      </w:hyperlink>
      <w:r>
        <w:t>). A cidade real de Jerusalém é o símbolo central da presença de Deus entre seu povo; seu nome será “O Senhor está lá” (</w:t>
      </w:r>
      <w:hyperlink r:id="rId9075">
        <w:r>
          <w:rPr>
            <w:color w:val="0000EE"/>
            <w:u w:val="single"/>
          </w:rPr>
          <w:t>48.8–35</w:t>
        </w:r>
      </w:hyperlink>
      <w:r>
        <w:t>).</w:t>
      </w:r>
    </w:p>
    <w:p>
      <w:r/>
      <w:r>
        <w:t>A nova aliança</w:t>
      </w:r>
    </w:p>
    <w:p>
      <w:r/>
      <w:r>
        <w:t>O pacto abraâmico é renovado, uma aliança graciosa que expressa o relacionamento restaurado. “Aliança de paz” descreve adequadamente sua natureza e benefícios. Ao povo inquieto de Deus é prometido descanso de sua busca, de seus inimigos e de seu trabalho. A mudança no relacionamento é ainda mais enfatizada pelo envio do Espírito de Deus, que adicionará uma nova dimensão ao estilo de vida de seu povo. A obediência a Deus não será mais restringida, pois o Espírito de Deus ajuda seu povo a fazer sua vontade. Um novo coração, controlado pelo Espírito de Deus, é dado ao povo do Senhor (</w:t>
      </w:r>
      <w:hyperlink r:id="rId844">
        <w:r>
          <w:rPr>
            <w:color w:val="0000EE"/>
            <w:u w:val="single"/>
          </w:rPr>
          <w:t>36.26–27</w:t>
        </w:r>
      </w:hyperlink>
      <w:r>
        <w:t>). A presença do Espírito também significa uma nova vida para o povo (</w:t>
      </w:r>
      <w:hyperlink r:id="rId9064">
        <w:r>
          <w:rPr>
            <w:color w:val="0000EE"/>
            <w:u w:val="single"/>
          </w:rPr>
          <w:t>37.14</w:t>
        </w:r>
      </w:hyperlink>
      <w:r>
        <w:t xml:space="preserve">; veja </w:t>
      </w:r>
      <w:hyperlink r:id="rId9076">
        <w:r>
          <w:rPr>
            <w:color w:val="0000EE"/>
            <w:u w:val="single"/>
          </w:rPr>
          <w:t>Jo 3.8,16</w:t>
        </w:r>
      </w:hyperlink>
      <w:r>
        <w:t xml:space="preserve">; </w:t>
      </w:r>
      <w:hyperlink r:id="rId3200">
        <w:r>
          <w:rPr>
            <w:color w:val="0000EE"/>
            <w:u w:val="single"/>
          </w:rPr>
          <w:t>At 2.38</w:t>
        </w:r>
      </w:hyperlink>
      <w:r>
        <w:t xml:space="preserve">; </w:t>
      </w:r>
      <w:hyperlink r:id="rId9077">
        <w:r>
          <w:rPr>
            <w:color w:val="0000EE"/>
            <w:u w:val="single"/>
          </w:rPr>
          <w:t>Rm 8.2–4,15</w:t>
        </w:r>
      </w:hyperlink>
      <w:r>
        <w:t>).</w:t>
      </w:r>
    </w:p>
    <w:p>
      <w:r/>
      <w:r>
        <w:t>O Messias</w:t>
      </w:r>
    </w:p>
    <w:p>
      <w:r/>
      <w:r>
        <w:t>A esperança do Antigo Testamento de um rei messiânico é cristalizada na mensagem de Ezequiel. Seu governo será eterno (</w:t>
      </w:r>
      <w:hyperlink r:id="rId3614">
        <w:r>
          <w:rPr>
            <w:color w:val="0000EE"/>
            <w:u w:val="single"/>
          </w:rPr>
          <w:t>Ez 37.25</w:t>
        </w:r>
      </w:hyperlink>
      <w:r>
        <w:t xml:space="preserve">), sobre todo o povo de Deus que tem novos corações (vv. </w:t>
      </w:r>
      <w:hyperlink r:id="rId9078">
        <w:r>
          <w:rPr>
            <w:color w:val="0000EE"/>
            <w:u w:val="single"/>
          </w:rPr>
          <w:t>15–25</w:t>
        </w:r>
      </w:hyperlink>
      <w:r>
        <w:t>).</w:t>
      </w:r>
    </w:p>
    <w:p>
      <w:r/>
      <w:r>
        <w:t>O templo</w:t>
      </w:r>
    </w:p>
    <w:p>
      <w:r/>
      <w:r>
        <w:t>Como sacerdote, Ezequiel estava profundamente interessado no templo, no sacerdócio, nas regulamentações sacrificiais e nos festivais. Uma grande seção da última parte da profecia descreve a adoração renovada no templo (</w:t>
      </w:r>
      <w:hyperlink r:id="rId9079">
        <w:r>
          <w:rPr>
            <w:color w:val="0000EE"/>
            <w:u w:val="single"/>
          </w:rPr>
          <w:t>40.1–46.24</w:t>
        </w:r>
      </w:hyperlink>
      <w:r>
        <w:t xml:space="preserve">). Sua visão da glória de Deus, tão importante nas mensagens do julgamento de Deus sobre Jerusalém (caps. </w:t>
      </w:r>
      <w:hyperlink r:id="rId9080">
        <w:r>
          <w:rPr>
            <w:color w:val="0000EE"/>
            <w:u w:val="single"/>
          </w:rPr>
          <w:t>1</w:t>
        </w:r>
      </w:hyperlink>
      <w:r>
        <w:t xml:space="preserve">, </w:t>
      </w:r>
      <w:hyperlink r:id="rId9081">
        <w:r>
          <w:rPr>
            <w:color w:val="0000EE"/>
            <w:u w:val="single"/>
          </w:rPr>
          <w:t>10–11</w:t>
        </w:r>
      </w:hyperlink>
      <w:r>
        <w:t>), agora assegura ao remanescente que Deus não abandonou seu povo (</w:t>
      </w:r>
      <w:hyperlink r:id="rId9082">
        <w:r>
          <w:rPr>
            <w:color w:val="0000EE"/>
            <w:u w:val="single"/>
          </w:rPr>
          <w:t>43.2–5</w:t>
        </w:r>
      </w:hyperlink>
      <w:r>
        <w:t>). Ele habitará entre eles, pois o templo é um símbolo da presença de Deus (</w:t>
      </w:r>
      <w:hyperlink r:id="rId5903">
        <w:r>
          <w:rPr>
            <w:color w:val="0000EE"/>
            <w:u w:val="single"/>
          </w:rPr>
          <w:t>37.27</w:t>
        </w:r>
      </w:hyperlink>
      <w:r>
        <w:t xml:space="preserve">). Alguns intérpretes acreditam que o templo, com seu ritual descrito em </w:t>
      </w:r>
      <w:hyperlink r:id="rId9079">
        <w:r>
          <w:rPr>
            <w:color w:val="0000EE"/>
            <w:u w:val="single"/>
          </w:rPr>
          <w:t>Ezequiel 40–46</w:t>
        </w:r>
      </w:hyperlink>
      <w:r>
        <w:t>, será restaurado na era messiânica antes do último julgamento. Outros acreditam que as promessas sobre o templo fornecem uma resposta simbólica positiva à maior preocupação de Ezequiel: se Deus retornará para estar com seu povo (</w:t>
      </w:r>
      <w:hyperlink r:id="rId9083">
        <w:r>
          <w:rPr>
            <w:color w:val="0000EE"/>
            <w:u w:val="single"/>
          </w:rPr>
          <w:t>48.35</w:t>
        </w:r>
      </w:hyperlink>
      <w:r>
        <w:t xml:space="preserve">; veja </w:t>
      </w:r>
      <w:hyperlink r:id="rId9084">
        <w:r>
          <w:rPr>
            <w:color w:val="0000EE"/>
            <w:u w:val="single"/>
          </w:rPr>
          <w:t>Jo 2.21</w:t>
        </w:r>
      </w:hyperlink>
      <w:r>
        <w:t xml:space="preserve">; </w:t>
      </w:r>
      <w:hyperlink r:id="rId9085">
        <w:r>
          <w:rPr>
            <w:color w:val="0000EE"/>
            <w:u w:val="single"/>
          </w:rPr>
          <w:t>Ap 21.22</w:t>
        </w:r>
      </w:hyperlink>
      <w:r>
        <w:t>).</w:t>
      </w:r>
    </w:p>
    <w:p>
      <w:r/>
      <w:r>
        <w:t xml:space="preserve">Existem várias interpretações dos capítulos </w:t>
      </w:r>
      <w:hyperlink r:id="rId9086">
        <w:r>
          <w:rPr>
            <w:color w:val="0000EE"/>
            <w:u w:val="single"/>
          </w:rPr>
          <w:t>34–48</w:t>
        </w:r>
      </w:hyperlink>
      <w:r>
        <w:t>. Como vigia de Israel, Ezequiel tinha uma mensagem para a comunidade judaica exilada. Assim, o cumprimento da profecia deve ter começado com o decreto de Ciro I (538 a.C.) permitindo que os judeus retornassem à sua terra (</w:t>
      </w:r>
      <w:hyperlink r:id="rId9087">
        <w:r>
          <w:rPr>
            <w:color w:val="0000EE"/>
            <w:u w:val="single"/>
          </w:rPr>
          <w:t>Ed 1.1–3</w:t>
        </w:r>
      </w:hyperlink>
      <w:r>
        <w:t>). Existem duas escolas rivais de interpretação sobre como a profecia é cumprida além da restauração de Israel à terra. Aqueles que interpretam Israel como simplesmente a nação veem o retorno moderno do povo judeu à terra de Israel como uma continuação da promessa profética de Deus. Eles acreditam que o plano de Deus para Israel está sendo cumprido juntamente com, e além de, seu plano para a igreja cristã. O cumprimento dessas profecias será inaugurado pela vinda do rei messiânico, que trará paz terrena ao povo judeu. O culto no templo (</w:t>
      </w:r>
      <w:hyperlink r:id="rId2164">
        <w:r>
          <w:rPr>
            <w:color w:val="0000EE"/>
            <w:u w:val="single"/>
          </w:rPr>
          <w:t>Ez 40–48</w:t>
        </w:r>
      </w:hyperlink>
      <w:r>
        <w:t>) será restaurado de alguma forma durante o período do reino messiânico. A igreja desfrutará de uma pequena participação em todos os eventos centrados nos judeus. As promessas da visão de Ezequiel são, portanto, limitadas à nação de Israel e devem ser cumpridas antes da vinda de um novo céu e terra.</w:t>
      </w:r>
    </w:p>
    <w:p>
      <w:r/>
      <w:r>
        <w:t>Outros intérpretes acreditam que Ezequiel escreveu para o benefício dos descendentes espirituais de Abraão que acreditam, como Abraão, nas promessas de Deus (</w:t>
      </w:r>
      <w:hyperlink r:id="rId793">
        <w:r>
          <w:rPr>
            <w:color w:val="0000EE"/>
            <w:u w:val="single"/>
          </w:rPr>
          <w:t>Gn 15.6</w:t>
        </w:r>
      </w:hyperlink>
      <w:r>
        <w:t xml:space="preserve">; cf. </w:t>
      </w:r>
      <w:hyperlink r:id="rId9088">
        <w:r>
          <w:rPr>
            <w:color w:val="0000EE"/>
            <w:u w:val="single"/>
          </w:rPr>
          <w:t>Rm 4.11–13</w:t>
        </w:r>
      </w:hyperlink>
      <w:r>
        <w:t xml:space="preserve">; </w:t>
      </w:r>
      <w:hyperlink r:id="rId9089">
        <w:r>
          <w:rPr>
            <w:color w:val="0000EE"/>
            <w:u w:val="single"/>
          </w:rPr>
          <w:t>Gl 3.6–9,29</w:t>
        </w:r>
      </w:hyperlink>
      <w:r>
        <w:t>). Todos que têm fé como Abraão, sejam judeus ou gentios, são considerados descendentes de Abraão (</w:t>
      </w:r>
      <w:hyperlink r:id="rId9090">
        <w:r>
          <w:rPr>
            <w:color w:val="0000EE"/>
            <w:u w:val="single"/>
          </w:rPr>
          <w:t>Gl 3.28–29</w:t>
        </w:r>
      </w:hyperlink>
      <w:r>
        <w:t xml:space="preserve">). A mensagem de Ezequiel, portanto, incluiria toda a obra graciosa de Deus entre os gentios cristãos, que se tornaram os destinatários das promessas e benefícios de Deus. É possível, com base em </w:t>
      </w:r>
      <w:hyperlink r:id="rId9091">
        <w:r>
          <w:rPr>
            <w:color w:val="0000EE"/>
            <w:u w:val="single"/>
          </w:rPr>
          <w:t>1 Pedro 1.10–11</w:t>
        </w:r>
      </w:hyperlink>
      <w:r>
        <w:t>, interpretar a linguagem de Ezequiel como uma expressão profética de como a graça de Deus viria a todos aqueles que se reconciliam com Deus através da fé no evangelho.</w:t>
      </w:r>
    </w:p>
    <w:p>
      <w:r/>
      <w:r>
        <w:rPr>
          <w:i/>
        </w:rPr>
        <w:t>Veja também</w:t>
      </w:r>
      <w:r>
        <w:t xml:space="preserve"> </w:t>
      </w:r>
      <w:r>
        <w:t>Diáspora dos judeus</w:t>
      </w:r>
      <w:r>
        <w:t xml:space="preserve">; </w:t>
      </w:r>
      <w:r>
        <w:t>Ezequiel (Pessoa)</w:t>
      </w:r>
      <w:r>
        <w:t xml:space="preserve">; </w:t>
      </w:r>
      <w:r>
        <w:t>Profecia</w:t>
      </w:r>
      <w:r>
        <w:t>.</w:t>
      </w:r>
      <w:r/>
      <w:r/>
    </w:p>
    <w:p>
      <w:r/>
    </w:p>
    <w:p>
      <w:pPr>
        <w:pStyle w:val="Heading2"/>
      </w:pPr>
      <w:r>
        <w:t>Ézer</w:t>
      </w:r>
      <w:r/>
    </w:p>
    <w:p>
      <w:r/>
      <w:r>
        <w:t>1. Líder de uma tribo horita (</w:t>
      </w:r>
      <w:hyperlink r:id="rId7277">
        <w:r>
          <w:rPr>
            <w:color w:val="0000EE"/>
            <w:u w:val="single"/>
          </w:rPr>
          <w:t>Gn 36.21</w:t>
        </w:r>
      </w:hyperlink>
      <w:r>
        <w:t xml:space="preserve">; </w:t>
      </w:r>
      <w:hyperlink r:id="rId7278">
        <w:r>
          <w:rPr>
            <w:color w:val="0000EE"/>
            <w:u w:val="single"/>
          </w:rPr>
          <w:t>1Cr 1.38</w:t>
        </w:r>
      </w:hyperlink>
      <w:r>
        <w:t>);</w:t>
      </w:r>
    </w:p>
    <w:p>
      <w:r/>
      <w:r>
        <w:t>2. Descendente e provavelmente filho de Efraim. Ele foi morto enquanto fazia uma incursão ao gado dos filisteus (</w:t>
      </w:r>
      <w:hyperlink r:id="rId9092">
        <w:r>
          <w:rPr>
            <w:color w:val="0000EE"/>
            <w:u w:val="single"/>
          </w:rPr>
          <w:t>1Cr 7.21</w:t>
        </w:r>
      </w:hyperlink>
      <w:r>
        <w:t>);</w:t>
      </w:r>
    </w:p>
    <w:p>
      <w:r/>
      <w:r>
        <w:t>3. Homem de Judá, descendente de Hur (</w:t>
      </w:r>
      <w:hyperlink r:id="rId9093">
        <w:r>
          <w:rPr>
            <w:color w:val="0000EE"/>
            <w:u w:val="single"/>
          </w:rPr>
          <w:t>1Cr 4.4</w:t>
        </w:r>
      </w:hyperlink>
      <w:r>
        <w:t>);</w:t>
      </w:r>
    </w:p>
    <w:p>
      <w:r/>
      <w:r>
        <w:t>4. Gaditas que se juntaram a Davi em Ziclague (</w:t>
      </w:r>
      <w:hyperlink r:id="rId7891">
        <w:r>
          <w:rPr>
            <w:color w:val="0000EE"/>
            <w:u w:val="single"/>
          </w:rPr>
          <w:t>1Cr 12.9</w:t>
        </w:r>
      </w:hyperlink>
      <w:r>
        <w:t>);</w:t>
      </w:r>
    </w:p>
    <w:p>
      <w:r/>
      <w:r>
        <w:t>5. O filho de Jesua, que governou Mispa e reparou o muro de Jerusalém (</w:t>
      </w:r>
      <w:hyperlink r:id="rId9094">
        <w:r>
          <w:rPr>
            <w:color w:val="0000EE"/>
            <w:u w:val="single"/>
          </w:rPr>
          <w:t>Ne 3.19</w:t>
        </w:r>
      </w:hyperlink>
      <w:r>
        <w:t>);</w:t>
      </w:r>
    </w:p>
    <w:p>
      <w:r/>
      <w:r>
        <w:t>6. Sacerdote que participou da cerimônia de dedicação do muro de Jerusalém (</w:t>
      </w:r>
      <w:hyperlink r:id="rId7766">
        <w:r>
          <w:rPr>
            <w:color w:val="0000EE"/>
            <w:u w:val="single"/>
          </w:rPr>
          <w:t>Ne 12.42</w:t>
        </w:r>
      </w:hyperlink>
      <w:r>
        <w:t>).</w:t>
      </w:r>
      <w:r/>
      <w:r/>
    </w:p>
    <w:p>
      <w:r/>
    </w:p>
    <w:p>
      <w:pPr>
        <w:pStyle w:val="Heading2"/>
      </w:pPr>
      <w:r>
        <w:t>Eziom-Geber</w:t>
      </w:r>
      <w:r/>
    </w:p>
    <w:p>
      <w:r/>
      <w:r>
        <w:t>Importante porto próximo a algumas ruínas significativas na cabeceira do Golfo de Ácaba. Eziom-Geber foi uma das estações onde os israelitas acamparam enquanto estavam a caminho das Campinas de Moabe (</w:t>
      </w:r>
      <w:hyperlink r:id="rId9095">
        <w:r>
          <w:rPr>
            <w:color w:val="0000EE"/>
            <w:u w:val="single"/>
          </w:rPr>
          <w:t>Nm 33.35–36</w:t>
        </w:r>
      </w:hyperlink>
      <w:r>
        <w:t xml:space="preserve">; </w:t>
      </w:r>
      <w:hyperlink r:id="rId2315">
        <w:r>
          <w:rPr>
            <w:color w:val="0000EE"/>
            <w:u w:val="single"/>
          </w:rPr>
          <w:t>Dt 2.8</w:t>
        </w:r>
      </w:hyperlink>
      <w:r>
        <w:t>). A cidade não é mencionada novamente até o tempo de Salomão. A partir deste porto, Salomão e Hirão, rei de Tiro, realizaram uma empreitada comercial lucrativa. Os produtos de Salomão incluíam cobre (extraído na Arabá em Timna, a 24 quilômetros ao norte de Eziom-Geber), azeite de oliva e possivelmente produtos comprados do Egito, como linho e carros de guerra (</w:t>
      </w:r>
      <w:hyperlink r:id="rId1719">
        <w:r>
          <w:rPr>
            <w:color w:val="0000EE"/>
            <w:u w:val="single"/>
          </w:rPr>
          <w:t>1Rs 10.28–29</w:t>
        </w:r>
      </w:hyperlink>
      <w:r>
        <w:t>). Os “navios de Társis”, junto com os navios de Hirão, faziam uma viagem de ida e volta de três anos de Eziom-Geber para muitos portos ao longo das costas da África e Arábia e possivelmente até a Índia (</w:t>
      </w:r>
      <w:hyperlink r:id="rId1465">
        <w:r>
          <w:rPr>
            <w:color w:val="0000EE"/>
            <w:u w:val="single"/>
          </w:rPr>
          <w:t>1Rs 10.22</w:t>
        </w:r>
      </w:hyperlink>
      <w:r>
        <w:t xml:space="preserve">). Em troca, a frota trazia de volta ouro de Ofir, juntamente com pedras preciosas, madeira de almugue (vv. </w:t>
      </w:r>
      <w:hyperlink r:id="rId9096">
        <w:r>
          <w:rPr>
            <w:color w:val="0000EE"/>
            <w:u w:val="single"/>
          </w:rPr>
          <w:t>11–12</w:t>
        </w:r>
      </w:hyperlink>
      <w:r>
        <w:t xml:space="preserve">, ARC), prata, marfim, macacos e pavões (v. </w:t>
      </w:r>
      <w:hyperlink r:id="rId1465">
        <w:r>
          <w:rPr>
            <w:color w:val="0000EE"/>
            <w:u w:val="single"/>
          </w:rPr>
          <w:t>22</w:t>
        </w:r>
      </w:hyperlink>
      <w:r>
        <w:t>). A aliança de Salomão com os fenícios de Tiro deu-lhe um porto no Mediterrâneo (que ele próprio não possuía). A aliança também deu a Hirão e aos fenícios uma saída em Eziom-Geber para o comércio no Oceano Índico.</w:t>
      </w:r>
    </w:p>
    <w:p>
      <w:r/>
      <w:r>
        <w:t>Com a divisão do reino após Salomão, o porto ficou sob o controle de Judá. Foi queimado e destruído por Sisaque do Egito em sua invasão de Judá no quinto ano de Roboão (925 a.C.). Uma segunda cidade foi construída sobre as ruínas, mas não há menção de uma marinha. Josafá conseguiu restaurar a frota para navegar novamente, mas alguma tempestade ou outro desastre naufragou os navios (</w:t>
      </w:r>
      <w:hyperlink r:id="rId2336">
        <w:r>
          <w:rPr>
            <w:color w:val="0000EE"/>
            <w:u w:val="single"/>
          </w:rPr>
          <w:t>1Rs 22.48</w:t>
        </w:r>
      </w:hyperlink>
      <w:r>
        <w:t xml:space="preserve">). Na história subsequente de Judá, o reino conseguiu usar o porto quando estava forte, mas em seus momentos de fraqueza, outras nações o fizeram (e.g., Edom, </w:t>
      </w:r>
      <w:hyperlink r:id="rId7563">
        <w:r>
          <w:rPr>
            <w:color w:val="0000EE"/>
            <w:u w:val="single"/>
          </w:rPr>
          <w:t>2Rs 8.20–22</w:t>
        </w:r>
      </w:hyperlink>
      <w:r>
        <w:t xml:space="preserve">; </w:t>
      </w:r>
      <w:hyperlink r:id="rId7568">
        <w:r>
          <w:rPr>
            <w:color w:val="0000EE"/>
            <w:u w:val="single"/>
          </w:rPr>
          <w:t>16.6</w:t>
        </w:r>
      </w:hyperlink>
      <w:r>
        <w:t xml:space="preserve">). </w:t>
      </w:r>
    </w:p>
    <w:p>
      <w:r/>
      <w:r>
        <w:rPr>
          <w:i/>
        </w:rPr>
        <w:t>Veja</w:t>
      </w:r>
      <w:r>
        <w:t xml:space="preserve"> </w:t>
      </w:r>
      <w:r>
        <w:t>Êxodo, O</w:t>
      </w:r>
      <w:r>
        <w:t xml:space="preserve">; </w:t>
      </w:r>
      <w:r>
        <w:t>Peregrinações no deserto</w:t>
      </w:r>
      <w:r>
        <w:t>.</w:t>
      </w:r>
      <w:r/>
      <w:r/>
    </w:p>
    <w:p>
      <w:r/>
    </w:p>
    <w:p>
      <w:pPr>
        <w:pStyle w:val="Heading2"/>
      </w:pPr>
      <w:r>
        <w:t>Ezraíta</w:t>
      </w:r>
      <w:r/>
    </w:p>
    <w:p>
      <w:r/>
      <w:r>
        <w:t>Palavra que ocorre apenas três vezes no AT. Duas vezes é usada como título para Etã (</w:t>
      </w:r>
      <w:hyperlink r:id="rId328">
        <w:r>
          <w:rPr>
            <w:color w:val="0000EE"/>
            <w:u w:val="single"/>
          </w:rPr>
          <w:t>1Rs 4.31</w:t>
        </w:r>
      </w:hyperlink>
      <w:r>
        <w:t xml:space="preserve">; </w:t>
      </w:r>
      <w:hyperlink r:id="rId9097">
        <w:r>
          <w:rPr>
            <w:color w:val="0000EE"/>
            <w:u w:val="single"/>
          </w:rPr>
          <w:t>título do Sl 89</w:t>
        </w:r>
      </w:hyperlink>
      <w:r>
        <w:t>) e uma vez como nome dado a Hemã (</w:t>
      </w:r>
      <w:hyperlink r:id="rId9098">
        <w:r>
          <w:rPr>
            <w:color w:val="0000EE"/>
            <w:u w:val="single"/>
          </w:rPr>
          <w:t>título do Sl 88</w:t>
        </w:r>
      </w:hyperlink>
      <w:r>
        <w:t>). Atualmente, não se entende mais que seja um nome de família, e sim a designação de um membro de uma família pré-israelita.</w:t>
      </w:r>
      <w:r/>
      <w:r/>
    </w:p>
    <w:p>
      <w:r/>
    </w:p>
    <w:p>
      <w:pPr>
        <w:pStyle w:val="Heading2"/>
      </w:pPr>
      <w:r>
        <w:t>Fabricante de tendas</w:t>
      </w:r>
      <w:r/>
    </w:p>
    <w:p>
      <w:r/>
      <w:r>
        <w:t>Artesãos que faziam tendas a partir do tecido feito com o pelo de cabras. O termo grego para fabricante de tendas pode ter descrito uma variedade de atividades em tecido e couro. A única referência bíblica (</w:t>
      </w:r>
      <w:hyperlink r:id="rId9099">
        <w:r>
          <w:rPr>
            <w:color w:val="0000EE"/>
            <w:u w:val="single"/>
          </w:rPr>
          <w:t>At 18.3</w:t>
        </w:r>
      </w:hyperlink>
      <w:r>
        <w:t>) é a Áquila e Priscila de Corinto. Eles trabalhavam como fabricantes de tendas. O apóstolo Paulo juntou-se a eles porque tinha sido treinado no mesmo ofício. Ele ganhava a vida regularmente com esse comércio durante suas viagens missionárias (</w:t>
      </w:r>
      <w:hyperlink r:id="rId9100">
        <w:r>
          <w:rPr>
            <w:color w:val="0000EE"/>
            <w:u w:val="single"/>
          </w:rPr>
          <w:t>2Co 11.7–10</w:t>
        </w:r>
      </w:hyperlink>
      <w:r>
        <w:t xml:space="preserve">; </w:t>
      </w:r>
      <w:hyperlink r:id="rId9101">
        <w:r>
          <w:rPr>
            <w:color w:val="0000EE"/>
            <w:u w:val="single"/>
          </w:rPr>
          <w:t>1Ts 2.9</w:t>
        </w:r>
      </w:hyperlink>
      <w:r>
        <w:t xml:space="preserve">; </w:t>
      </w:r>
      <w:hyperlink r:id="rId9102">
        <w:r>
          <w:rPr>
            <w:color w:val="0000EE"/>
            <w:u w:val="single"/>
          </w:rPr>
          <w:t>2Ts 3.8</w:t>
        </w:r>
      </w:hyperlink>
      <w:r>
        <w:t>).</w:t>
      </w:r>
      <w:r/>
      <w:r/>
    </w:p>
    <w:p>
      <w:r/>
    </w:p>
    <w:p>
      <w:pPr>
        <w:pStyle w:val="Heading2"/>
      </w:pPr>
      <w:r>
        <w:t>Falcão</w:t>
      </w:r>
      <w:r/>
    </w:p>
    <w:p>
      <w:r/>
      <w:r>
        <w:t>Uma ave de rapina (um tipo de ave que caça e come outros animais). Os falcões são conhecidos por sua visão extremamente aguçada. O Antigo Testamento os lista como cerimonialmente impuros para consumo (</w:t>
      </w:r>
      <w:hyperlink r:id="rId9103">
        <w:r>
          <w:rPr>
            <w:color w:val="0000EE"/>
            <w:u w:val="single"/>
          </w:rPr>
          <w:t>Lv 11.14</w:t>
        </w:r>
      </w:hyperlink>
      <w:r>
        <w:t xml:space="preserve">; </w:t>
      </w:r>
      <w:hyperlink r:id="rId9104">
        <w:r>
          <w:rPr>
            <w:color w:val="0000EE"/>
            <w:u w:val="single"/>
          </w:rPr>
          <w:t>Jó 28.7</w:t>
        </w:r>
      </w:hyperlink>
      <w:r>
        <w:t>).</w:t>
      </w:r>
    </w:p>
    <w:p>
      <w:r/>
      <w:r>
        <w:rPr>
          <w:i/>
        </w:rPr>
        <w:t>Veja</w:t>
      </w:r>
      <w:r>
        <w:t xml:space="preserve"> </w:t>
      </w:r>
      <w:r>
        <w:t>Aves (francelho ou falcão)</w:t>
      </w:r>
      <w:r>
        <w:t>.</w:t>
      </w:r>
      <w:r/>
      <w:r/>
    </w:p>
    <w:p>
      <w:r/>
    </w:p>
    <w:p>
      <w:pPr>
        <w:pStyle w:val="Heading2"/>
      </w:pPr>
      <w:r>
        <w:t>Faraó</w:t>
      </w:r>
      <w:r/>
    </w:p>
    <w:p>
      <w:r/>
      <w:r>
        <w:t>O governante do Egito também era conhecido como "o Rei do Alto e Baixo Egito". Ele vivia em um palácio conhecido como a "grande casa", que simbolizava sua autoridade. A palavra egípcia para palácio foi aplicada aos próprios reis durante o Novo Reino (c. 1550–1070 a.C.). Como rei, o Faraó personificava o governo dos deuses sobre o Egito. As dinastias 18ª e 19ª frequentemente usavam o termo "Faraó" sem mencionar o nome real do Faraó.</w:t>
      </w:r>
    </w:p>
    <w:p>
      <w:r/>
      <w:r>
        <w:t>O título não era usado oficialmente. Em vez disso, era uma designação popular para o rei. No AT, o título era usado para se referir a homens que viveram em diferentes períodos históricos. Eles eram representantes de várias dinastias. O uso da designação real sem o nome era suficiente para o período em que o Faraó governava ou para pessoas que conheciam o Faraó. Para nós hoje, muitas vezes é difícil determinar quem era o Faraó em um determinado período e em qual período dinástico ele governou.</w:t>
      </w:r>
    </w:p>
    <w:p>
      <w:r/>
      <w:r>
        <w:t>No AT, o título Faraó aparece sozinho (</w:t>
      </w:r>
      <w:hyperlink r:id="rId9105">
        <w:r>
          <w:rPr>
            <w:color w:val="0000EE"/>
            <w:u w:val="single"/>
          </w:rPr>
          <w:t>Gn 12.15</w:t>
        </w:r>
      </w:hyperlink>
      <w:r>
        <w:t>), assim como com a descrição adicional “rei do Egito” (</w:t>
      </w:r>
      <w:hyperlink r:id="rId1105">
        <w:r>
          <w:rPr>
            <w:color w:val="0000EE"/>
            <w:u w:val="single"/>
          </w:rPr>
          <w:t>Dt 7.8</w:t>
        </w:r>
      </w:hyperlink>
      <w:r>
        <w:t>), e o nome do Faraó, como Neco (</w:t>
      </w:r>
      <w:hyperlink r:id="rId8900">
        <w:r>
          <w:rPr>
            <w:color w:val="0000EE"/>
            <w:u w:val="single"/>
          </w:rPr>
          <w:t>2Rs 23.29</w:t>
        </w:r>
      </w:hyperlink>
      <w:r>
        <w:t>). O Faraó era considerado um representante dos deuses Rá e Amon na terra. Eles mantinham a ordem divina no Egito e apoiavam os templos. A posição do Faraó como chefe de estado civil e religioso lhe conferia uma autoridade única. Ao contrário de seus homólogos nas nações vizinhas, a autoridade do rei egípcio não era facilmente abalada por insurreições.</w:t>
      </w:r>
    </w:p>
    <w:p>
      <w:r/>
      <w:r>
        <w:t>É difícil identificar os faraós durante o período dos patriarcas. Abraão e José tiveram relações com os faraós do Médio Reino e do Segundo Período Intermediário. Além disso, a identidade do Faraó da opressão dos israelitas e do Êxodo não está satisfatoriamente resolvida. Aqueles que defendem a datação antiga do Êxodo veem Tutmés III como o Faraó que iniciou a opressão dos israelitas no Egito (</w:t>
      </w:r>
      <w:hyperlink r:id="rId9106">
        <w:r>
          <w:rPr>
            <w:color w:val="0000EE"/>
            <w:u w:val="single"/>
          </w:rPr>
          <w:t>Êx 1.8</w:t>
        </w:r>
      </w:hyperlink>
      <w:r>
        <w:t>). Nesta visão, Amenófis II (c. 1440 a.C.), que sucedeu Tutmés após sua morte (</w:t>
      </w:r>
      <w:hyperlink r:id="rId9107">
        <w:r>
          <w:rPr>
            <w:color w:val="0000EE"/>
            <w:u w:val="single"/>
          </w:rPr>
          <w:t>2.23</w:t>
        </w:r>
      </w:hyperlink>
      <w:r>
        <w:t>), é o Faraó do Êxodo. Outra visão é que a opressão começou sob a 18ª dinastia e continuou até a 19ª dinastia. Nesta visão, Ramsés II é o Faraó do Êxodo (c. 1290 a.C.).</w:t>
      </w:r>
    </w:p>
    <w:p>
      <w:r/>
      <w:r>
        <w:t>Durante a monarquia unida, a posição de Israel como uma potência internacional cresceu. Davi subjugou as nações nas zonas fronteiriças de Israel. Quando Joabe tomou Edom, um príncipe edomita, Hadade, fugiu para o Egito para encontrar proteção na corte do Faraó. A 21ª dinastia governava no Egito durante o tempo de Davi, e pode ser que o Faraó Siamun tenha acolhido Hadade como uma arma política a ser usada contra a crescente força de Israel (</w:t>
      </w:r>
      <w:hyperlink r:id="rId9108">
        <w:r>
          <w:rPr>
            <w:color w:val="0000EE"/>
            <w:u w:val="single"/>
          </w:rPr>
          <w:t>1Rs 11.14–22</w:t>
        </w:r>
      </w:hyperlink>
      <w:r>
        <w:t>). O Faraó Siamun possivelmente também pode ser identificado com o Faraó que fez uma incursão na costa filisteia, conquistando Gezer para ser dado como dote a Salomão no casamento de sua filha com Salomão (</w:t>
      </w:r>
      <w:hyperlink r:id="rId9109">
        <w:r>
          <w:rPr>
            <w:color w:val="0000EE"/>
            <w:u w:val="single"/>
          </w:rPr>
          <w:t>3.1–2</w:t>
        </w:r>
      </w:hyperlink>
      <w:r>
        <w:t>). Com o colapso da unidade de Israel, o Faraó Sisaque (Shishong I) da 22ª dinastia fez uma campanha contra Judá e Israel e levou muitos despojos com ele (</w:t>
      </w:r>
      <w:hyperlink r:id="rId7120">
        <w:r>
          <w:rPr>
            <w:color w:val="0000EE"/>
            <w:u w:val="single"/>
          </w:rPr>
          <w:t>14.25–26</w:t>
        </w:r>
      </w:hyperlink>
      <w:r>
        <w:t>).</w:t>
      </w:r>
    </w:p>
    <w:p>
      <w:r/>
      <w:r>
        <w:t>O Faraó Neco derrotou as forças judaicas em Megido, matando o rei Josias em combate (</w:t>
      </w:r>
      <w:hyperlink r:id="rId8900">
        <w:r>
          <w:rPr>
            <w:color w:val="0000EE"/>
            <w:u w:val="single"/>
          </w:rPr>
          <w:t>2Rs 23.29</w:t>
        </w:r>
      </w:hyperlink>
      <w:r>
        <w:t>). O último rei de Judá (Zedequias) esperava em vão por ajuda do Egito, onde o Faraó Hofra da 26ª dinastia governava. O profeta Ezequiel falou duramente contra o rei do Egito: “Diga que o SENHOR Deus está dizendo isto ao rei do Egito: ‘Eu estou contra você, crocodilo monstruoso deitado no rio... Ali eles serão um reino pequeno, o mais fraco de todos, e nunca mais dominarão outras nações. Eu os os diminuirei tanto, que não serão capazes de dominá-las’” (</w:t>
      </w:r>
      <w:hyperlink r:id="rId9110">
        <w:r>
          <w:rPr>
            <w:color w:val="0000EE"/>
            <w:u w:val="single"/>
          </w:rPr>
          <w:t>Ez 29.3,14,15</w:t>
        </w:r>
      </w:hyperlink>
      <w:r>
        <w:t>, NTLH). Sob o regime persa, o poder dos faraós diminuiu, cumprindo a palavra profética.</w:t>
      </w:r>
    </w:p>
    <w:p>
      <w:r/>
      <w:r>
        <w:rPr>
          <w:i/>
        </w:rPr>
        <w:t>Veja também</w:t>
      </w:r>
      <w:r>
        <w:t xml:space="preserve"> </w:t>
      </w:r>
      <w:r>
        <w:t>Egito, Egípcio</w:t>
      </w:r>
      <w:r>
        <w:t>.</w:t>
      </w:r>
      <w:r/>
      <w:r/>
    </w:p>
    <w:p>
      <w:r/>
    </w:p>
    <w:p>
      <w:pPr>
        <w:pStyle w:val="Heading2"/>
      </w:pPr>
      <w:r>
        <w:t>Farinha</w:t>
      </w:r>
      <w:r/>
    </w:p>
    <w:p>
      <w:r/>
      <w:r>
        <w:t>Uma substância em pó, fina feita moendo os grãos internos do trigo. Na Bíblia, a farinha era usada na panificação e também para ofertas de cereais (</w:t>
      </w:r>
      <w:hyperlink r:id="rId18">
        <w:r>
          <w:rPr>
            <w:color w:val="0000EE"/>
            <w:u w:val="single"/>
          </w:rPr>
          <w:t>Lv 2</w:t>
        </w:r>
      </w:hyperlink>
      <w:r>
        <w:t>).</w:t>
      </w:r>
    </w:p>
    <w:p>
      <w:r/>
      <w:r>
        <w:rPr>
          <w:i/>
        </w:rPr>
        <w:t>Veja</w:t>
      </w:r>
      <w:r>
        <w:t xml:space="preserve"> </w:t>
      </w:r>
      <w:r>
        <w:t>Alimentos e preparação de alimentos</w:t>
      </w:r>
      <w:r>
        <w:t>.</w:t>
      </w:r>
      <w:r/>
      <w:r/>
    </w:p>
    <w:p>
      <w:r/>
    </w:p>
    <w:p>
      <w:pPr>
        <w:pStyle w:val="Heading2"/>
      </w:pPr>
      <w:r>
        <w:t>Fariseus</w:t>
      </w:r>
      <w:r/>
    </w:p>
    <w:p>
      <w:r/>
      <w:r>
        <w:t>Seita religiosa ativa na Palestina durante o período do NT. Os fariseus são consistentemente retratados nos Evangelhos como os antagonistas de Jesus. É comumente sustentado que os fariseus representavam o judaísmo dominante no início do primeiro século e que eles foram caracterizados por uma variedade de características moralmente objetáveis. Assim, a maioria dos dicionários bíblicos e obras semelhantes de referência descrevem os fariseus como gananciosos, hipócritas, sem senso de justiça, excessivamente interessados em cumprir os detalhes literais da lei e insensíveis ao significado espiritual do AT. Essas e outras características são, além disso, vistas como dando forma ao judaísmo de forma mais geral.</w:t>
      </w:r>
    </w:p>
    <w:p>
      <w:r/>
      <w:r>
        <w:t>Há vários problemas com esta percepção comum do judaísmo farisaico. Em primeiro lugar, os próprios Evangelhos dão algumas informações importantes que parecem inconsistentes com esta visão. Segundo, os documentos primários do judaísmo rabínico (como a Mishná, o Talmud, e os Midrashim) são positivos e louváveis. Terceiro, tornou-se cada vez mais claro, especialmente desde a descoberta dos Manuscritos do Mar Morto, que antes de 70 d.C., os fariseus constituíam apenas um pequeno movimento em uma sociedade altamente diversificada; qualquer que seja sua popularidade e influência, eles dificilmente podem ser tomados como representantes do judaísmo em geral.</w:t>
      </w:r>
    </w:p>
    <w:p>
      <w:pPr>
        <w:pStyle w:val="Heading3"/>
      </w:pPr>
      <w:r>
        <w:t>Origem</w:t>
      </w:r>
    </w:p>
    <w:p>
      <w:r/>
      <w:r>
        <w:t>As origens dos fariseus são obscuras. De acordo com a tradição judaica, o judaísmo farisaico (= rabínico) pode ser rastreado até Esdras e os começos do movimento dos escribas no quinto século a.C. No extremo oposto, alguns estudiosos argumentam que, uma vez que não há referências explícitas aos fariseus em documentos históricos antes do segundo século a.C., o farisaísmo apareceu de repente após a revolta dos Macabeus (167 a.C.). Muitos especialistas tomam a posição de que talvez já no terceiro século a.C. se possa encontrar evidências de uma forma incipiente de farisaísmo (como em A Sabedoria de Josué [Jesus] ben Sirach, também conhecido como Eclesiástico). Pode muito bem ser, além disso, que as atividades intelectuais associadas com a obra dos escribas tinham algo a ver com o desenvolvimento dos fariseus. Também é provável que antes da revolta dos Macabeus, alguns interesses farisaicos distintos apareceram em conexão com o desenvolvimento dos Hasidim (“os fiéis” — tradicionalistas que se opuseram à influência grega na sociedade judaica).</w:t>
      </w:r>
    </w:p>
    <w:p>
      <w:r/>
      <w:r>
        <w:t>De acordo com uma interpretação popular e razoável, os hassidins ficaram desiludidos com os governantes macabeus, que violavam as sensibilidades judaicas em vários aspectos. Alguns dos hassidim se separaram da nação e se desenvolveram em seitas não-conformistas, como a dos essênios. Aqueles que permaneceram tentaram exercer sua influência na vida judaica e se desenvolveram na seita dos fariseus.</w:t>
      </w:r>
    </w:p>
    <w:p>
      <w:r/>
      <w:r>
        <w:t>Os fariseus, sem dúvida, desempenharam um papel significativo nos assuntos judaicos durante o século seguinte, mesmo que às vezes eles tivessem pouca influência política. Nos tempos do NT, eles eram amplamente reconhecidos como líderes religiosos. Josefo, que nos diz que ele pertencia a esta seita, escreveu no final do primeiro século d.C. que os fariseus eram “extremamente influentes entre os habitantes da cidade; e todas as orações e ritos sagrados de adoração divina são realizados de acordo com sua exposição. Este é o grande tributo que os habitantes das cidades, praticando o ideal mais alto tanto em seu modo de vida quanto em seu sermão, pagaram à excelência dos fariseus” (</w:t>
      </w:r>
      <w:r>
        <w:rPr>
          <w:i/>
        </w:rPr>
        <w:t>Antiguidades</w:t>
      </w:r>
      <w:r>
        <w:t xml:space="preserve"> 18.15). Não podemos determinar se esta descrição se aplica ao período antes de 70 d.C., mas as evidências dos próprios Evangelhos confirmam isso em certa medida. Por exemplo, a parábola do publicano e do fariseu (</w:t>
      </w:r>
      <w:hyperlink r:id="rId9111">
        <w:r>
          <w:rPr>
            <w:color w:val="0000EE"/>
            <w:u w:val="single"/>
          </w:rPr>
          <w:t>Lc 18.9–14</w:t>
        </w:r>
      </w:hyperlink>
      <w:r>
        <w:t>), enquanto condena o fariseu, faz sentido apenas se apreciarmos a reversão de papel que ela anuncia: o publicano ímpio, não o geralmente considerado como justo, vai para casa justificado.</w:t>
      </w:r>
    </w:p>
    <w:p>
      <w:pPr>
        <w:pStyle w:val="Heading3"/>
      </w:pPr>
      <w:r>
        <w:t>Características básicas</w:t>
      </w:r>
    </w:p>
    <w:p>
      <w:r/>
      <w:r>
        <w:t xml:space="preserve">Não é possível dar uma caracterização precisa dos fariseus, uma vez que os estudiosos discordam fortemente sobre sua distinção fundamental. Alguns enfatizam a noção de “separação”, em parte com base na suposta etimologia do nome (do hebraico </w:t>
      </w:r>
      <w:r>
        <w:rPr>
          <w:i/>
        </w:rPr>
        <w:t>parush</w:t>
      </w:r>
      <w:r>
        <w:t xml:space="preserve">, “separado”, embora outras sugestões tenham sido feitas). Um ponto de vista mais cuidadosamente variado chama a atenção para o interesse dos fariseus com a pureza ritual (cf. </w:t>
      </w:r>
      <w:hyperlink r:id="rId9112">
        <w:r>
          <w:rPr>
            <w:color w:val="0000EE"/>
            <w:u w:val="single"/>
          </w:rPr>
          <w:t>Mc 7.1–4</w:t>
        </w:r>
      </w:hyperlink>
      <w:r>
        <w:t>). Algumas das evidências indicam que os fariseus desejavam aplicar os rituais sacerdotais às pessoas em geral (este fator pode ajudar a explicar a relativa facilidade com que os fariseus se adaptaram à ausência do templo e seus sacrifícios após 70 d.C.). Ainda outra posição vê os fariseus como a classe de estudiosos. A conexão próxima entre eles e os escribas (especialistas na lei) confere credibilidade a esta visão, assim como o fato de que grande parte da literatura rabínica posterior reflete uma busca intelectual, especialmente em suas argumentações lógicas detalhadas sobre o significado e aplicação da Torá.</w:t>
      </w:r>
    </w:p>
    <w:p>
      <w:r/>
      <w:r>
        <w:t xml:space="preserve">Essas várias abordagens não são mutuamente exclusivas. Além disso, parece haver um acordo generalizado sobre uma convicção teológica que era fundamental para o farisaísmo, a saber, seu compromisso com a noção de uma lei dupla: a Torá escrita (o AT, principalmente o Pentateuco) e a Torá oral (as tradições transmitidas através de muitas gerações de rabinos). Esta é certamente uma característica que os distinguiu dos saduceus (cf. </w:t>
      </w:r>
      <w:r>
        <w:rPr>
          <w:i/>
        </w:rPr>
        <w:t>Antiguidades</w:t>
      </w:r>
      <w:r>
        <w:t xml:space="preserve"> de Josefo 13.297–98). Estes últimos aceitavam apenas a autoridade dos livros de Moisés e argumentaram fortemente que a importância de que os fariseus atribuíam às tradições orais representava uma inovação injustificável. Essas tradições, que tentavam regular as vidas das pessoas diante de Deus, se tornaram cada vez mais detalhadas ao longo do tempo e foram eventualmente reunidas e escritas como um único documento, a Mishná (datada de c. 210 d.C.). Em algum lugar em seu desenvolvimento, a visão surgiu de que a própria lei oral havia sido dada por Deus a Moisés e, assim, compartilhava a autoridade divina com as Escrituras.</w:t>
      </w:r>
    </w:p>
    <w:p>
      <w:r/>
      <w:r>
        <w:t>Um olhar minucioso para o NT ajuda a entender que esta característica mais do que qualquer outra coisa explica a natureza do conflito entre o ponto de vista farisaico e a mensagem do evangelho. O apóstolo Paulo, por exemplo, enfatiza a distinção de sua pregação apostólica contrastando-a com “as tradições dos pais”, que ele zelosamente perseguiu em sua juventude (</w:t>
      </w:r>
      <w:hyperlink r:id="rId9113">
        <w:r>
          <w:rPr>
            <w:color w:val="0000EE"/>
            <w:u w:val="single"/>
          </w:rPr>
          <w:t>Gl 1.14</w:t>
        </w:r>
      </w:hyperlink>
      <w:r>
        <w:t xml:space="preserve">). Especialmente instrutiva é a passagem chave em </w:t>
      </w:r>
      <w:hyperlink r:id="rId5749">
        <w:r>
          <w:rPr>
            <w:color w:val="0000EE"/>
            <w:u w:val="single"/>
          </w:rPr>
          <w:t>Mc 7</w:t>
        </w:r>
      </w:hyperlink>
      <w:r>
        <w:t xml:space="preserve">, onde está escrito que os fariseus se queixaram a Jesus: “Por que seus discípulos não vivem de acordo com a tradição dos anciãos em vez de comer sua comida com as mãos ‘sujas’?” (v. </w:t>
      </w:r>
      <w:hyperlink r:id="rId8201">
        <w:r>
          <w:rPr>
            <w:color w:val="0000EE"/>
            <w:u w:val="single"/>
          </w:rPr>
          <w:t>5</w:t>
        </w:r>
      </w:hyperlink>
      <w:r>
        <w:t xml:space="preserve">, NVI). A resposta de Cristo contraria sua crítica com um sério indiciamento: “Vocês abandonaram os mandamentos de Deus e estão se apegando às tradições dos homensen. . . Assim vocês anulam a palavra de Deus por sua tradição que vocês transmitiram” (vv. </w:t>
      </w:r>
      <w:hyperlink r:id="rId9114">
        <w:r>
          <w:rPr>
            <w:color w:val="0000EE"/>
            <w:u w:val="single"/>
          </w:rPr>
          <w:t>8</w:t>
        </w:r>
      </w:hyperlink>
      <w:r>
        <w:t>,</w:t>
      </w:r>
      <w:hyperlink r:id="rId9115">
        <w:r>
          <w:rPr>
            <w:color w:val="0000EE"/>
            <w:u w:val="single"/>
          </w:rPr>
          <w:t>13</w:t>
        </w:r>
      </w:hyperlink>
      <w:r>
        <w:t xml:space="preserve">; cf. </w:t>
      </w:r>
      <w:hyperlink r:id="rId9116">
        <w:r>
          <w:rPr>
            <w:color w:val="0000EE"/>
            <w:u w:val="single"/>
          </w:rPr>
          <w:t>Mt 15.1–6</w:t>
        </w:r>
      </w:hyperlink>
      <w:r>
        <w:t>).</w:t>
      </w:r>
    </w:p>
    <w:p>
      <w:r/>
      <w:r>
        <w:t xml:space="preserve">A importância que os fariseus atribuíram às suas interpretações da lei comprometeu a autoridade da própria revelação de Deus. Para piorar as coisas, a genialidade dessas interpretações era distorcer a doutrina da graça relaxando os padrões divinos. O próprio exemplo usado por Jesus em </w:t>
      </w:r>
      <w:hyperlink r:id="rId9117">
        <w:r>
          <w:rPr>
            <w:color w:val="0000EE"/>
            <w:u w:val="single"/>
          </w:rPr>
          <w:t>Mc 7.10–12</w:t>
        </w:r>
      </w:hyperlink>
      <w:r>
        <w:t xml:space="preserve"> indica que uma regulamentação rabínica — o Corbã — tornou possível que as pessoas ignorassem o quinto mandamento e se sentissem justificadas ao fazê-lo.</w:t>
      </w:r>
    </w:p>
    <w:p>
      <w:r/>
      <w:r>
        <w:t xml:space="preserve">Os regulamentos farisaicos eram numerosos e agravantes, mas pelo menos eles poderiam ser cumpridos. Aqueles que seguiam escrupulosamente as tradições rabínicas estavam em perigo de concluir que sua conduta satisfazia as demandas de Deus (cf. a descrição de Paulo de sua própria atitude pré-conversão, </w:t>
      </w:r>
      <w:hyperlink r:id="rId9118">
        <w:r>
          <w:rPr>
            <w:color w:val="0000EE"/>
            <w:u w:val="single"/>
          </w:rPr>
          <w:t>Fp 3.6</w:t>
        </w:r>
      </w:hyperlink>
      <w:r>
        <w:t>). E um senso silenciado do próprio pecado anda de mãos dadas com um falso senso de segurança espiritual; a necessidade de depender da misericórdia de Deus não parece mais crucial. Este é, claro, o ponto da parábola do publicano e do fariseu (</w:t>
      </w:r>
      <w:hyperlink r:id="rId9111">
        <w:r>
          <w:rPr>
            <w:color w:val="0000EE"/>
            <w:u w:val="single"/>
          </w:rPr>
          <w:t>Lc 18.9–14</w:t>
        </w:r>
      </w:hyperlink>
      <w:r>
        <w:t>). Em contraste, Jesus pede uma justiça muito maior do que a dos fariseus: “Sede perfeitos, como seu Pai que está no céu é perfeito” (</w:t>
      </w:r>
      <w:hyperlink r:id="rId5371">
        <w:r>
          <w:rPr>
            <w:color w:val="0000EE"/>
            <w:u w:val="single"/>
          </w:rPr>
          <w:t>Mt 5.48</w:t>
        </w:r>
      </w:hyperlink>
      <w:r>
        <w:t xml:space="preserve">; cf. v. </w:t>
      </w:r>
      <w:hyperlink r:id="rId4605">
        <w:r>
          <w:rPr>
            <w:color w:val="0000EE"/>
            <w:u w:val="single"/>
          </w:rPr>
          <w:t>20</w:t>
        </w:r>
      </w:hyperlink>
      <w:r>
        <w:t>).</w:t>
      </w:r>
    </w:p>
    <w:p>
      <w:r/>
      <w:r>
        <w:rPr>
          <w:i/>
        </w:rPr>
        <w:t>Veja também</w:t>
      </w:r>
      <w:r>
        <w:t xml:space="preserve"> </w:t>
      </w:r>
      <w:r>
        <w:t>essênios</w:t>
      </w:r>
      <w:r>
        <w:t xml:space="preserve">; </w:t>
      </w:r>
      <w:r>
        <w:t>judeu</w:t>
      </w:r>
      <w:r>
        <w:t xml:space="preserve">; </w:t>
      </w:r>
      <w:r>
        <w:t>judaísmo</w:t>
      </w:r>
      <w:r>
        <w:t xml:space="preserve">; </w:t>
      </w:r>
      <w:r>
        <w:t>saduceus</w:t>
      </w:r>
      <w:r>
        <w:t xml:space="preserve">; </w:t>
      </w:r>
      <w:r>
        <w:t>Talmud</w:t>
      </w:r>
      <w:r>
        <w:t xml:space="preserve">; </w:t>
      </w:r>
      <w:r>
        <w:t>Torá</w:t>
      </w:r>
      <w:r>
        <w:t xml:space="preserve">; </w:t>
      </w:r>
      <w:r>
        <w:t>Tradição</w:t>
      </w:r>
      <w:r>
        <w:t xml:space="preserve">; </w:t>
      </w:r>
      <w:r>
        <w:t>Tradição, Oral</w:t>
      </w:r>
      <w:r>
        <w:t>.</w:t>
      </w:r>
      <w:r/>
      <w:r/>
    </w:p>
    <w:p>
      <w:r/>
    </w:p>
    <w:p>
      <w:pPr>
        <w:pStyle w:val="Heading2"/>
      </w:pPr>
      <w:r>
        <w:t>Fé</w:t>
      </w:r>
      <w:r/>
    </w:p>
    <w:p>
      <w:r/>
      <w:r>
        <w:t>Crença naquilo que não tem prova tangível; confiança em Deus.</w:t>
      </w:r>
    </w:p>
    <w:p>
      <w:pPr>
        <w:pStyle w:val="Heading3"/>
      </w:pPr>
      <w:r>
        <w:t>Definição de fé</w:t>
      </w:r>
    </w:p>
    <w:p>
      <w:r/>
      <w:r>
        <w:t xml:space="preserve">No AT e NT, “fé” traz consigo vários significados. Pode significar uma confiança simples em Deus ou na Palavra de Deus, e em outros momentos a fé se torna quase equivalente à obediência ativa. Também pode encontrar expressão na afirmação de uma confissão de fé. Ainda, pode se referir a todo o corpo de doutrina ou verdade cristã recebida — “a verdade”. Em </w:t>
      </w:r>
      <w:hyperlink r:id="rId9119">
        <w:r>
          <w:rPr>
            <w:color w:val="0000EE"/>
            <w:u w:val="single"/>
          </w:rPr>
          <w:t>Colossenses 2.7</w:t>
        </w:r>
      </w:hyperlink>
      <w:r>
        <w:t xml:space="preserve">, o termo sugere que é algo a ser aceito em sua totalidade e incorporado na vida pessoal. Em </w:t>
      </w:r>
      <w:hyperlink r:id="rId9120">
        <w:r>
          <w:rPr>
            <w:color w:val="0000EE"/>
            <w:u w:val="single"/>
          </w:rPr>
          <w:t>2 Timóteo 4.7</w:t>
        </w:r>
      </w:hyperlink>
      <w:r>
        <w:t>, Paulo testemunha que “manteve a fé”.</w:t>
      </w:r>
    </w:p>
    <w:p>
      <w:pPr>
        <w:pStyle w:val="Heading3"/>
      </w:pPr>
      <w:r>
        <w:t>Fé no Antigo Testamento</w:t>
      </w:r>
    </w:p>
    <w:p>
      <w:r/>
      <w:r>
        <w:t>O AT também enfatiza, com ênfase, a fé como confiança na aliança de Deus, ou na aliança que Deus fez com Abraão e seus descendentes. O chamado de Abraão e a promessa de que seus descendentes seriam usados na história da redenção se tornaram a base das narrativas do AT, sendo visto como a realização dessa aliança. Uma vez que a nação de Israel foi trazida à existência, Deus a sustentou e a protegeu. O Êxodo do Egito é uma indicação proeminente de que Deus estava no labor de restaurar seu povo para a Terra Prometida. A obediência do povo de Deus como a expressão apropriada de fé é vista claramente no AT. Sem ver a Deus, seu povo obedecia e cria nele. Abraão deixou sua terra natal para ir para território desconhecido. O povo de Israel deixou o Egito, seguindo a liderança de Deus, para uma terra que não podia ver. A promessa de Deus lhes deu coragem para possuir a terra prometida a eles. Após o Êxodo, a aliança de Abraão foi confirmada com o povo de Israel pela aspersão de sangue (</w:t>
      </w:r>
      <w:hyperlink r:id="rId9121">
        <w:r>
          <w:rPr>
            <w:color w:val="0000EE"/>
            <w:u w:val="single"/>
          </w:rPr>
          <w:t>Êx 24.6–7</w:t>
        </w:r>
      </w:hyperlink>
      <w:r>
        <w:t>). Deveria haver obediência estrita aos mandamentos de Deus como uma expressão de fé. Esta resposta da fé humana à fidelidade do Senhor era nacional e coletiva. Também havia mandamentos e casos de fé subjetiva.</w:t>
      </w:r>
    </w:p>
    <w:p>
      <w:r/>
      <w:r>
        <w:t>Não apenas as porções narrativas e jurídicas do AT, mas, também os escritos poéticos e proféticos enfatizam a fé. Os Salmos abundam em expressões de confiança pessoal no Senhor, mesmo em tempos sombrios. Habacuque aponta que “os justos viverão pela sua fé” (</w:t>
      </w:r>
      <w:hyperlink r:id="rId3605">
        <w:r>
          <w:rPr>
            <w:color w:val="0000EE"/>
            <w:u w:val="single"/>
          </w:rPr>
          <w:t>Hc 2.4</w:t>
        </w:r>
      </w:hyperlink>
      <w:r>
        <w:t>). De tais casos, está claro que, à medida que o ensino do Senhor para Israel prosseguia adiante, a questão da fé na fidelidade de Deus se tornou cada vez mais uma instância de resposta individual e pessoal, e é nos Profetas que vários ingredientes — como confiança, obediência, medo e certeza — se misturam na compreensão de tal fé pessoal.</w:t>
      </w:r>
    </w:p>
    <w:p>
      <w:pPr>
        <w:pStyle w:val="Heading3"/>
      </w:pPr>
      <w:r>
        <w:t>Fé no Novo Testamento</w:t>
      </w:r>
    </w:p>
    <w:p>
      <w:r/>
      <w:r>
        <w:t>Em oposição ao AT, onde a ênfase é sobre a fidelidade de Deus, no NT a ênfase é colocada na fé ativa e como resposta do ouvinte à revelação prometida e final no Messias, Jesus. Tanto o verbo quanto o substantivo descrevem habitualmente a resposta adequada das pessoas à palavra de Jesus e ao evangelho.</w:t>
      </w:r>
    </w:p>
    <w:p>
      <w:pPr>
        <w:pStyle w:val="Heading4"/>
      </w:pPr>
      <w:r>
        <w:t>Os Evangelhos Sinóticos</w:t>
      </w:r>
    </w:p>
    <w:p>
      <w:r/>
      <w:r>
        <w:t>A característica mais marcante dos Evangelhos sinóticos (citada abaixo da ARA) é o uso da fé sem identificar seu objeto: “se vocês tivessem fé, mesmo que fosse do tamanho de uma semente de mostarda” (</w:t>
      </w:r>
      <w:hyperlink r:id="rId9122">
        <w:r>
          <w:rPr>
            <w:color w:val="0000EE"/>
            <w:u w:val="single"/>
          </w:rPr>
          <w:t>Mt 17.20</w:t>
        </w:r>
      </w:hyperlink>
      <w:r>
        <w:t>); “Jesus viu que eles tinham fé [...]” (</w:t>
      </w:r>
      <w:hyperlink r:id="rId8692">
        <w:r>
          <w:rPr>
            <w:color w:val="0000EE"/>
            <w:u w:val="single"/>
          </w:rPr>
          <w:t>Mc 2.5</w:t>
        </w:r>
      </w:hyperlink>
      <w:r>
        <w:t>); “A sua fé salvou você” (</w:t>
      </w:r>
      <w:hyperlink r:id="rId9123">
        <w:r>
          <w:rPr>
            <w:color w:val="0000EE"/>
            <w:u w:val="single"/>
          </w:rPr>
          <w:t>Lc 7.50</w:t>
        </w:r>
      </w:hyperlink>
      <w:r>
        <w:t>). Jesus é retratado como alguém que, por sua obra e palavra, abre a porta para a fé e torna a fé possível. A pergunta não é se a fé está em Jesus ou no Pai; a implicação é, sem dúvida, ambos, mas, assim como é com todo verdadeiro portador da Palavra de Deus, o olho da fé está voltado para Aquele que envia.</w:t>
      </w:r>
    </w:p>
    <w:p>
      <w:r/>
      <w:r>
        <w:t>Em mais de uma ocasião, Jesus nega o pedido de um milagre para evidenciar suas palavras (</w:t>
      </w:r>
      <w:hyperlink r:id="rId9124">
        <w:r>
          <w:rPr>
            <w:color w:val="0000EE"/>
            <w:u w:val="single"/>
          </w:rPr>
          <w:t>Mt 12.38–39</w:t>
        </w:r>
      </w:hyperlink>
      <w:r>
        <w:t xml:space="preserve">; </w:t>
      </w:r>
      <w:hyperlink r:id="rId2297">
        <w:r>
          <w:rPr>
            <w:color w:val="0000EE"/>
            <w:u w:val="single"/>
          </w:rPr>
          <w:t>16.1–4</w:t>
        </w:r>
      </w:hyperlink>
      <w:r>
        <w:t>). Fé é resposta apenas à Palavra, sem quaisquer adereços de apoio. Nenhum sinal deve ser dado, mas o sinal de Jonas. Na história do homem rico e Lázaro (</w:t>
      </w:r>
      <w:hyperlink r:id="rId8493">
        <w:r>
          <w:rPr>
            <w:color w:val="0000EE"/>
            <w:u w:val="single"/>
          </w:rPr>
          <w:t>Lc 16.19–31</w:t>
        </w:r>
      </w:hyperlink>
      <w:r>
        <w:t xml:space="preserve">), Jesus nega a demanda pelo espetáculo e insiste que o ouvinte deve responder à palavra dada por ele (cf. </w:t>
      </w:r>
      <w:hyperlink r:id="rId2664">
        <w:r>
          <w:rPr>
            <w:color w:val="0000EE"/>
            <w:u w:val="single"/>
          </w:rPr>
          <w:t>Jo 20.29</w:t>
        </w:r>
      </w:hyperlink>
      <w:r>
        <w:t>). A Palavra exige autorrenúncia e compromisso. Assim, a própria natureza da Palavra e da fé se torna um obstáculo para os orgulhosos e poderosos.</w:t>
      </w:r>
    </w:p>
    <w:p>
      <w:r/>
      <w:r>
        <w:t>A fé é o meio pelo qual o poder de Deus é tornado visível. Move montanhas, cura os doentes e é o meio de entrada no reino. Pode conter alguma mistura com a dúvida, como o pai que buscava a cura para seu filho (“Eu creio; ajude minha descrença!” [</w:t>
      </w:r>
      <w:hyperlink r:id="rId9125">
        <w:r>
          <w:rPr>
            <w:color w:val="0000EE"/>
            <w:u w:val="single"/>
          </w:rPr>
          <w:t>Mc 9.24</w:t>
        </w:r>
      </w:hyperlink>
      <w:r>
        <w:t>]), ou como João Batista na prisão que, mesmo com suas dúvidas, foi confirmado por Jesus como o maior dentre a descendência da mulher (</w:t>
      </w:r>
      <w:hyperlink r:id="rId9126">
        <w:r>
          <w:rPr>
            <w:color w:val="0000EE"/>
            <w:u w:val="single"/>
          </w:rPr>
          <w:t>Mt 11.2–15</w:t>
        </w:r>
      </w:hyperlink>
      <w:r>
        <w:t>). A percepção de Pedro (e a dos outros discípulos) era falha, mas Jesus afirma a confissão de Pedro como a pedra fundamental da igreja. Os Evangelhos sinóticos retratam a fé primitiva dos discípulos em todas as suas limitações e fraquezas, mas ainda é fé, e a fé é sua resposta positiva à palavra e obra de Jesus.</w:t>
      </w:r>
    </w:p>
    <w:p>
      <w:pPr>
        <w:pStyle w:val="Heading4"/>
      </w:pPr>
      <w:r>
        <w:t>O quarto Evangelho</w:t>
      </w:r>
    </w:p>
    <w:p>
      <w:r/>
      <w:r>
        <w:t>Fé é um conceito especialmente significativo no Evangelho de João (citado abaixo da NTLH), embora a palavra (no grego) ocorra apenas como um verbo. Muitas vezes, a referência tem a ver com aceitar que algo é verdadeiro, isto é, crença simples: “Creiam no que lhes digo: eu estou no Pai e o Pai está em mim” (</w:t>
      </w:r>
      <w:hyperlink r:id="rId9127">
        <w:r>
          <w:rPr>
            <w:color w:val="0000EE"/>
            <w:u w:val="single"/>
          </w:rPr>
          <w:t>Jo 14.11</w:t>
        </w:r>
      </w:hyperlink>
      <w:r>
        <w:t>); “Se vocês acreditassem em Moisés, acreditariam também em mim” (</w:t>
      </w:r>
      <w:hyperlink r:id="rId9128">
        <w:r>
          <w:rPr>
            <w:color w:val="0000EE"/>
            <w:u w:val="single"/>
          </w:rPr>
          <w:t>Jo 5.46</w:t>
        </w:r>
      </w:hyperlink>
      <w:r>
        <w:t>).</w:t>
      </w:r>
    </w:p>
    <w:p>
      <w:r/>
      <w:r>
        <w:t xml:space="preserve">Ainda mais significativa é a expressão especial “acreditar” no sentido de colocar a confiança em algo externo. A forma específica da expressão não possui paralelo antes do quarto Evangelho e pode muito bem expressar o forte senso de confiança pessoal no Verbo eterno que se tornou carne. Em </w:t>
      </w:r>
      <w:hyperlink r:id="rId1191">
        <w:r>
          <w:rPr>
            <w:color w:val="0000EE"/>
            <w:u w:val="single"/>
          </w:rPr>
          <w:t>João 3.16</w:t>
        </w:r>
      </w:hyperlink>
      <w:r>
        <w:t>, quem coloca sua fé nele tem a vida eterna. Aqueles que colocam sua fé nele recebem poder para se tornarem filhos de Deus — para nascer de Deus (</w:t>
      </w:r>
      <w:hyperlink r:id="rId9129">
        <w:r>
          <w:rPr>
            <w:color w:val="0000EE"/>
            <w:u w:val="single"/>
          </w:rPr>
          <w:t>Jo 1.12</w:t>
        </w:r>
      </w:hyperlink>
      <w:r>
        <w:t>). Eles nunca terão sede (</w:t>
      </w:r>
      <w:hyperlink r:id="rId4695">
        <w:r>
          <w:rPr>
            <w:color w:val="0000EE"/>
            <w:u w:val="single"/>
          </w:rPr>
          <w:t>6.35</w:t>
        </w:r>
      </w:hyperlink>
      <w:r>
        <w:t>); eles viverão, mesmo que morram (</w:t>
      </w:r>
      <w:hyperlink r:id="rId3754">
        <w:r>
          <w:rPr>
            <w:color w:val="0000EE"/>
            <w:u w:val="single"/>
          </w:rPr>
          <w:t>11.25</w:t>
        </w:r>
      </w:hyperlink>
      <w:r>
        <w:t>).</w:t>
      </w:r>
    </w:p>
    <w:p>
      <w:r/>
      <w:r>
        <w:t xml:space="preserve">Em outros lugares, João fala de confiança ou fé em um sentido absoluto, isto é, sem se referir àquele em quem a confiança é colocada. Em </w:t>
      </w:r>
      <w:hyperlink r:id="rId9130">
        <w:r>
          <w:rPr>
            <w:color w:val="0000EE"/>
            <w:u w:val="single"/>
          </w:rPr>
          <w:t>João 11.15</w:t>
        </w:r>
      </w:hyperlink>
      <w:r>
        <w:t>, Jesus chega após a morte de Lázaro e está alegre “para que possais crer”. O resultado será fé. Da mesma forma, no prólogo (</w:t>
      </w:r>
      <w:hyperlink r:id="rId9131">
        <w:r>
          <w:rPr>
            <w:color w:val="0000EE"/>
            <w:u w:val="single"/>
          </w:rPr>
          <w:t>1.7</w:t>
        </w:r>
      </w:hyperlink>
      <w:r>
        <w:t>), João Batista dá testemunho para que, através dele, todos possam acreditar. Ao satisfazer a dúvida de Tomé sobre a ressurreição, Jesus diz: “Você creu porque me viu? Felizes são os que não viram, mas assim mesmo creram!” (</w:t>
      </w:r>
      <w:hyperlink r:id="rId2664">
        <w:r>
          <w:rPr>
            <w:color w:val="0000EE"/>
            <w:u w:val="single"/>
          </w:rPr>
          <w:t>20.29</w:t>
        </w:r>
      </w:hyperlink>
      <w:r>
        <w:t>). Nessas e outras passagens, o resultado fundamental do testemunho de Jesus acerca de si é a confiança.</w:t>
      </w:r>
    </w:p>
    <w:p>
      <w:r/>
      <w:r>
        <w:t xml:space="preserve">Fé e conhecimento estão intimamente relacionados. Em </w:t>
      </w:r>
      <w:hyperlink r:id="rId3703">
        <w:r>
          <w:rPr>
            <w:color w:val="0000EE"/>
            <w:u w:val="single"/>
          </w:rPr>
          <w:t>João 6.69</w:t>
        </w:r>
      </w:hyperlink>
      <w:r>
        <w:t xml:space="preserve"> Pedro diz: “Nós temos crido e conhecido que tu és o Santo de Deus”. Em sua oração sacerdotal, Jesus diz que a vida eterna é “que te conheçam a ti, o único Deus verdadeiro, e a Jesus Cristo, a quem enviaste” (</w:t>
      </w:r>
      <w:hyperlink r:id="rId5409">
        <w:r>
          <w:rPr>
            <w:color w:val="0000EE"/>
            <w:u w:val="single"/>
          </w:rPr>
          <w:t>Jo 17.3</w:t>
        </w:r>
      </w:hyperlink>
      <w:r>
        <w:t>). Além disso, Deus é visto através dos olhos da fé. Ninguém nunca viu a Deus, mas o Unigênito o revelou (</w:t>
      </w:r>
      <w:hyperlink r:id="rId9132">
        <w:r>
          <w:rPr>
            <w:color w:val="0000EE"/>
            <w:u w:val="single"/>
          </w:rPr>
          <w:t>1.18</w:t>
        </w:r>
      </w:hyperlink>
      <w:r>
        <w:t>). Aquele que viu Jesus viu o Pai (</w:t>
      </w:r>
      <w:hyperlink r:id="rId9133">
        <w:r>
          <w:rPr>
            <w:color w:val="0000EE"/>
            <w:u w:val="single"/>
          </w:rPr>
          <w:t>14.9</w:t>
        </w:r>
      </w:hyperlink>
      <w:r>
        <w:t>).</w:t>
      </w:r>
    </w:p>
    <w:p>
      <w:r/>
      <w:r>
        <w:t>Acreditar também é expresso no verbo “receber”. Aqueles que recebem a Cristo recebem poder para se tornarem filhos de Deus (</w:t>
      </w:r>
      <w:hyperlink r:id="rId9129">
        <w:r>
          <w:rPr>
            <w:color w:val="0000EE"/>
            <w:u w:val="single"/>
          </w:rPr>
          <w:t>Jo 1.12</w:t>
        </w:r>
      </w:hyperlink>
      <w:r>
        <w:t>). A confiança é aquela forma na qual conhecer ou ver a glória de Deus (</w:t>
      </w:r>
      <w:hyperlink r:id="rId3743">
        <w:r>
          <w:rPr>
            <w:color w:val="0000EE"/>
            <w:u w:val="single"/>
          </w:rPr>
          <w:t>1.14</w:t>
        </w:r>
      </w:hyperlink>
      <w:r>
        <w:t xml:space="preserve">; </w:t>
      </w:r>
      <w:hyperlink r:id="rId9134">
        <w:r>
          <w:rPr>
            <w:color w:val="0000EE"/>
            <w:u w:val="single"/>
          </w:rPr>
          <w:t>17.4</w:t>
        </w:r>
      </w:hyperlink>
      <w:r>
        <w:t>) é tornada presente.</w:t>
      </w:r>
    </w:p>
    <w:p>
      <w:pPr>
        <w:pStyle w:val="Heading4"/>
      </w:pPr>
      <w:r>
        <w:t>Os escritos de Paulo</w:t>
      </w:r>
    </w:p>
    <w:p>
      <w:r/>
      <w:r>
        <w:t>Nas cartas de Paulo (citadas abaixo da NTLH), ele escreve sobre fé de vários ângulos. Ele coloca a fé em oposição às “obras da lei” como a única e verdadeira base para a justiça (</w:t>
      </w:r>
      <w:hyperlink r:id="rId9135">
        <w:r>
          <w:rPr>
            <w:color w:val="0000EE"/>
            <w:u w:val="single"/>
          </w:rPr>
          <w:t>Rm 1–4</w:t>
        </w:r>
      </w:hyperlink>
      <w:r>
        <w:t xml:space="preserve">; </w:t>
      </w:r>
      <w:hyperlink r:id="rId9136">
        <w:r>
          <w:rPr>
            <w:color w:val="0000EE"/>
            <w:u w:val="single"/>
          </w:rPr>
          <w:t>Gl 1–4</w:t>
        </w:r>
      </w:hyperlink>
      <w:r>
        <w:t>) e apela a Abraão para provar seu ponto: “Ele creu em Deus, e por isso Deus o aceitou” (</w:t>
      </w:r>
      <w:hyperlink r:id="rId793">
        <w:r>
          <w:rPr>
            <w:color w:val="0000EE"/>
            <w:u w:val="single"/>
          </w:rPr>
          <w:t>Gn 15.6</w:t>
        </w:r>
      </w:hyperlink>
      <w:r>
        <w:t xml:space="preserve">; cf. </w:t>
      </w:r>
      <w:hyperlink r:id="rId8775">
        <w:r>
          <w:rPr>
            <w:color w:val="0000EE"/>
            <w:u w:val="single"/>
          </w:rPr>
          <w:t>Rm 4.5</w:t>
        </w:r>
      </w:hyperlink>
      <w:r>
        <w:t xml:space="preserve">; </w:t>
      </w:r>
      <w:hyperlink r:id="rId9137">
        <w:r>
          <w:rPr>
            <w:color w:val="0000EE"/>
            <w:u w:val="single"/>
          </w:rPr>
          <w:t>Gl 3.6</w:t>
        </w:r>
      </w:hyperlink>
      <w:r>
        <w:t>). Isso está inteiramente dissociado da lei (</w:t>
      </w:r>
      <w:hyperlink r:id="rId9138">
        <w:r>
          <w:rPr>
            <w:color w:val="0000EE"/>
            <w:u w:val="single"/>
          </w:rPr>
          <w:t>Rm 3.21</w:t>
        </w:r>
      </w:hyperlink>
      <w:r>
        <w:t>); a justiça é o presente de Deus através da fé em Cristo, especificamente em sua obra expiatória. Por trás da convicção de Paulo, está sua consciência da pecaminosidade radical e profunda dos seres humanos, o que torna-os perdidos. A humanidade está morta no pecado, mas, é vivificada pela fé na palavra e na obra de Jesus mediada através do evangelho.</w:t>
      </w:r>
    </w:p>
    <w:p>
      <w:r/>
      <w:r>
        <w:t>Fé, então, é fé em Jesus Cristo. O número de metáforas que Paulo emprega para descrever as consequências da fé é assombroso. É pela fé que os crentes são justificados (</w:t>
      </w:r>
      <w:hyperlink r:id="rId376">
        <w:r>
          <w:rPr>
            <w:color w:val="0000EE"/>
            <w:u w:val="single"/>
          </w:rPr>
          <w:t>Rm 5.1</w:t>
        </w:r>
      </w:hyperlink>
      <w:r>
        <w:t>), reconciliados (</w:t>
      </w:r>
      <w:hyperlink r:id="rId9139">
        <w:r>
          <w:rPr>
            <w:color w:val="0000EE"/>
            <w:u w:val="single"/>
          </w:rPr>
          <w:t>2Co 5.18</w:t>
        </w:r>
      </w:hyperlink>
      <w:r>
        <w:t>), redimidos (</w:t>
      </w:r>
      <w:hyperlink r:id="rId6340">
        <w:r>
          <w:rPr>
            <w:color w:val="0000EE"/>
            <w:u w:val="single"/>
          </w:rPr>
          <w:t>Ef 1.7</w:t>
        </w:r>
      </w:hyperlink>
      <w:r>
        <w:t>), tornados vivos (</w:t>
      </w:r>
      <w:hyperlink r:id="rId9140">
        <w:r>
          <w:rPr>
            <w:color w:val="0000EE"/>
            <w:u w:val="single"/>
          </w:rPr>
          <w:t>2.5</w:t>
        </w:r>
      </w:hyperlink>
      <w:r>
        <w:t>), adotados na família de Deus (</w:t>
      </w:r>
      <w:hyperlink r:id="rId9141">
        <w:r>
          <w:rPr>
            <w:color w:val="0000EE"/>
            <w:u w:val="single"/>
          </w:rPr>
          <w:t>Rm 8.15–16</w:t>
        </w:r>
      </w:hyperlink>
      <w:r>
        <w:t>), recriados (</w:t>
      </w:r>
      <w:hyperlink r:id="rId374">
        <w:r>
          <w:rPr>
            <w:color w:val="0000EE"/>
            <w:u w:val="single"/>
          </w:rPr>
          <w:t>2Co 5.17</w:t>
        </w:r>
      </w:hyperlink>
      <w:r>
        <w:t>), transportados para um novo reino (</w:t>
      </w:r>
      <w:hyperlink r:id="rId5159">
        <w:r>
          <w:rPr>
            <w:color w:val="0000EE"/>
            <w:u w:val="single"/>
          </w:rPr>
          <w:t>Cl 1.13</w:t>
        </w:r>
      </w:hyperlink>
      <w:r>
        <w:t>) e libertados (</w:t>
      </w:r>
      <w:hyperlink r:id="rId9142">
        <w:r>
          <w:rPr>
            <w:color w:val="0000EE"/>
            <w:u w:val="single"/>
          </w:rPr>
          <w:t>Gl 5.1</w:t>
        </w:r>
      </w:hyperlink>
      <w:r>
        <w:t xml:space="preserve">). A fé é, para Paulo, a condição </w:t>
      </w:r>
      <w:r>
        <w:rPr>
          <w:i/>
        </w:rPr>
        <w:t>sine qua non</w:t>
      </w:r>
      <w:r>
        <w:t xml:space="preserve"> de todos os aspectos da salvação, da graça que convence para receber a herança completa na vinda do Senhor.</w:t>
      </w:r>
    </w:p>
    <w:p>
      <w:r/>
      <w:r>
        <w:t>Nas cartas de Paulo, a fé está ligada ao amor, de modo que o grande expoente da justificação pela fé se torna o expoente expressivo do distinto amor cristão, também. Dizer que a fé é indispensável para a salvação é apenas parte da verdade, pois a fé se expressa através do amor: “Porque, em Cristo Jesus, nem a circuncisão, nem a incircuncisão têm valor algum, mas a fé que atua pelo amor” (</w:t>
      </w:r>
      <w:hyperlink r:id="rId1177">
        <w:r>
          <w:rPr>
            <w:color w:val="0000EE"/>
            <w:u w:val="single"/>
          </w:rPr>
          <w:t>Gl 5.6</w:t>
        </w:r>
      </w:hyperlink>
      <w:r>
        <w:t>); “Ainda que eu tenha tamanha fé, se não tiver amor, nada serei” (</w:t>
      </w:r>
      <w:hyperlink r:id="rId9143">
        <w:r>
          <w:rPr>
            <w:color w:val="0000EE"/>
            <w:u w:val="single"/>
          </w:rPr>
          <w:t>1Co 13.2</w:t>
        </w:r>
      </w:hyperlink>
      <w:r>
        <w:t xml:space="preserve">). O amor é tanto a gênese quanto a expressão final da fé. Logo, mesmo para Paulo, não pode haver separação </w:t>
      </w:r>
      <w:r>
        <w:rPr>
          <w:i/>
        </w:rPr>
        <w:t>total</w:t>
      </w:r>
      <w:r>
        <w:t xml:space="preserve"> entre fé e obras. Este amor de que Paulo fala é o fruto essencial do Espírito através de quem a vida de fé é vivida. Apenas em virtude do Espírito que habita em nós é que a fé encontra expressão no amor.</w:t>
      </w:r>
    </w:p>
    <w:p>
      <w:pPr>
        <w:pStyle w:val="Heading4"/>
      </w:pPr>
      <w:r>
        <w:t>Epístolas Gerais</w:t>
      </w:r>
    </w:p>
    <w:p>
      <w:r/>
      <w:r>
        <w:t>Tiago fala de fé como sendo completada pelas obras (</w:t>
      </w:r>
      <w:hyperlink r:id="rId9144">
        <w:r>
          <w:rPr>
            <w:color w:val="0000EE"/>
            <w:u w:val="single"/>
          </w:rPr>
          <w:t>Tg 2.22</w:t>
        </w:r>
      </w:hyperlink>
      <w:r>
        <w:t xml:space="preserve">). Ele se opôs a esse conceito de fé que pensa primariamente em confissão de fé, de acreditar que algo é verdadeiro sem agir de acordo com ele. Tiago, assim como Paulo, assume a primazia da fé, mas ele está advertindo contra aqueles que chegariam às conclusões erradas. A fé separada das obras não é fé; é estéril (v. </w:t>
      </w:r>
      <w:hyperlink r:id="rId9145">
        <w:r>
          <w:rPr>
            <w:color w:val="0000EE"/>
            <w:u w:val="single"/>
          </w:rPr>
          <w:t>20</w:t>
        </w:r>
      </w:hyperlink>
      <w:r>
        <w:t>). A dimensão prática da fé é a ênfase de grande parte desta epístola.</w:t>
      </w:r>
    </w:p>
    <w:p>
      <w:r/>
      <w:r>
        <w:t>O escritor de Hebreus reconhece que a fé sempre foi característica do povo de Deus e de seus líderes especialmente vocacionados. A fé torna substancial o que de outra forma é nebuloso e incerto; torna evidente o que não é visível. Pela fé, o povo de Deus tem um fundamento mais seguro para suas vidas e suas ações do que o mundo é capaz de discernir (</w:t>
      </w:r>
      <w:hyperlink r:id="rId9146">
        <w:r>
          <w:rPr>
            <w:color w:val="0000EE"/>
            <w:u w:val="single"/>
          </w:rPr>
          <w:t>Hb 11.1</w:t>
        </w:r>
      </w:hyperlink>
      <w:r>
        <w:t>). A grande nuvem de testemunhas (</w:t>
      </w:r>
      <w:hyperlink r:id="rId9147">
        <w:r>
          <w:rPr>
            <w:color w:val="0000EE"/>
            <w:u w:val="single"/>
          </w:rPr>
          <w:t>12.1</w:t>
        </w:r>
      </w:hyperlink>
      <w:r>
        <w:t>) dá testemunho, por meio da sua fé, acerca da fidelidade de Deus.</w:t>
      </w:r>
    </w:p>
    <w:p>
      <w:r/>
      <w:r>
        <w:t>A fé é iniciada pela Palavra de Deus, encontra sua expressão através do Espírito Santo que nos é dado, e testifica do senhorio de Jesus Cristo.</w:t>
      </w:r>
      <w:r/>
      <w:r/>
    </w:p>
    <w:p>
      <w:r/>
    </w:p>
    <w:p>
      <w:pPr>
        <w:pStyle w:val="Heading2"/>
      </w:pPr>
      <w:r>
        <w:t>Febre ardente</w:t>
      </w:r>
      <w:r/>
    </w:p>
    <w:p>
      <w:r/>
      <w:r>
        <w:t>Uma febre intensa caracterizada por calafrios, comum na malária. A "febre" (</w:t>
      </w:r>
      <w:hyperlink r:id="rId9148">
        <w:r>
          <w:rPr>
            <w:color w:val="0000EE"/>
            <w:u w:val="single"/>
          </w:rPr>
          <w:t>Dt 28.22</w:t>
        </w:r>
      </w:hyperlink>
      <w:r>
        <w:t>) pode "destruir sua visão e drenar sua vida" (</w:t>
      </w:r>
      <w:hyperlink r:id="rId9149">
        <w:r>
          <w:rPr>
            <w:color w:val="0000EE"/>
            <w:u w:val="single"/>
          </w:rPr>
          <w:t>Lv 26.16</w:t>
        </w:r>
      </w:hyperlink>
      <w:r>
        <w:t>). Ambas as passagens descrevem punições que os israelitas sofreriam se desobedecessem às leis de Deus.</w:t>
      </w:r>
    </w:p>
    <w:p>
      <w:r/>
      <w:r>
        <w:t>Nas primeiras traduções da Septuaginta (uma tradução grega do Antigo Testamento), os tradutores usaram a palavra grega para icterícia para traduzir o termo hebraico para febre, provavelmente devido aos sintomas semelhantes que ambas as doenças apresentam, especialmente em relação à malária.</w:t>
      </w:r>
    </w:p>
    <w:p>
      <w:r/>
      <w:r>
        <w:rPr>
          <w:i/>
        </w:rPr>
        <w:t>Veja também</w:t>
      </w:r>
      <w:r>
        <w:t xml:space="preserve"> </w:t>
      </w:r>
      <w:r>
        <w:t>Medicina e Prática Médica</w:t>
      </w:r>
      <w:r>
        <w:t>.</w:t>
      </w:r>
      <w:r/>
      <w:r/>
    </w:p>
    <w:p>
      <w:r/>
    </w:p>
    <w:p>
      <w:pPr>
        <w:pStyle w:val="Heading2"/>
      </w:pPr>
      <w:r>
        <w:t>Feitiçaria</w:t>
      </w:r>
      <w:r/>
    </w:p>
    <w:p>
      <w:r/>
      <w:r>
        <w:t>Um praticante de feitiçaria (feiticeiro) afirma ter poderes sobrenaturais para realizar magia, prever o futuro e contatar espíritos malignos por meio de palavras e objetos especiais. Feiticeiros estavam presentes em:</w:t>
      </w:r>
    </w:p>
    <w:p>
      <w:pPr>
        <w:pStyle w:val="ListBullet"/>
        <w:spacing w:line="240" w:lineRule="auto"/>
        <w:ind w:left="720"/>
      </w:pPr>
      <w:r/>
      <w:r>
        <w:t>As cortes reais do Egito (</w:t>
      </w:r>
      <w:hyperlink r:id="rId9150">
        <w:r>
          <w:rPr>
            <w:color w:val="0000EE"/>
            <w:u w:val="single"/>
          </w:rPr>
          <w:t>Êx 7.11</w:t>
        </w:r>
      </w:hyperlink>
      <w:r>
        <w:t>);</w:t>
      </w:r>
    </w:p>
    <w:p>
      <w:pPr>
        <w:pStyle w:val="ListBullet"/>
        <w:spacing w:line="240" w:lineRule="auto"/>
        <w:ind w:left="720"/>
      </w:pPr>
      <w:r/>
      <w:r>
        <w:t>Assíria (</w:t>
      </w:r>
      <w:hyperlink r:id="rId9151">
        <w:r>
          <w:rPr>
            <w:color w:val="0000EE"/>
            <w:u w:val="single"/>
          </w:rPr>
          <w:t>Na 3.4</w:t>
        </w:r>
      </w:hyperlink>
      <w:r>
        <w:t>);</w:t>
      </w:r>
    </w:p>
    <w:p>
      <w:pPr>
        <w:pStyle w:val="ListBullet"/>
        <w:spacing w:line="240" w:lineRule="auto"/>
        <w:ind w:left="720"/>
      </w:pPr>
      <w:r/>
      <w:r>
        <w:t>Babilônia (</w:t>
      </w:r>
      <w:hyperlink r:id="rId9152">
        <w:r>
          <w:rPr>
            <w:color w:val="0000EE"/>
            <w:u w:val="single"/>
          </w:rPr>
          <w:t>Dn 2.2</w:t>
        </w:r>
      </w:hyperlink>
      <w:r>
        <w:t>).</w:t>
      </w:r>
    </w:p>
    <w:p>
      <w:r/>
      <w:r>
        <w:t>A feitiçaria não era permitida em Israel (</w:t>
      </w:r>
      <w:hyperlink r:id="rId9153">
        <w:r>
          <w:rPr>
            <w:color w:val="0000EE"/>
            <w:u w:val="single"/>
          </w:rPr>
          <w:t>Dt 18.10</w:t>
        </w:r>
      </w:hyperlink>
      <w:r>
        <w:t>). Era punível com a morte (</w:t>
      </w:r>
      <w:hyperlink r:id="rId7237">
        <w:r>
          <w:rPr>
            <w:color w:val="0000EE"/>
            <w:u w:val="single"/>
          </w:rPr>
          <w:t>Êx 22.18</w:t>
        </w:r>
      </w:hyperlink>
      <w:r>
        <w:t>). No entanto, os israelitas ainda procuravam feiticeiros (</w:t>
      </w:r>
      <w:hyperlink r:id="rId9154">
        <w:r>
          <w:rPr>
            <w:color w:val="0000EE"/>
            <w:u w:val="single"/>
          </w:rPr>
          <w:t>2Rs 17.17</w:t>
        </w:r>
      </w:hyperlink>
      <w:r>
        <w:t xml:space="preserve">; </w:t>
      </w:r>
      <w:hyperlink r:id="rId6678">
        <w:r>
          <w:rPr>
            <w:color w:val="0000EE"/>
            <w:u w:val="single"/>
          </w:rPr>
          <w:t>2 Cr 33.6</w:t>
        </w:r>
      </w:hyperlink>
      <w:r>
        <w:t xml:space="preserve">; </w:t>
      </w:r>
      <w:hyperlink r:id="rId9155">
        <w:r>
          <w:rPr>
            <w:color w:val="0000EE"/>
            <w:u w:val="single"/>
          </w:rPr>
          <w:t>Mq 5.12</w:t>
        </w:r>
      </w:hyperlink>
      <w:r>
        <w:t>). Isso deixava Deus irado (</w:t>
      </w:r>
      <w:hyperlink r:id="rId9156">
        <w:r>
          <w:rPr>
            <w:color w:val="0000EE"/>
            <w:u w:val="single"/>
          </w:rPr>
          <w:t>Is 57.3</w:t>
        </w:r>
      </w:hyperlink>
      <w:r>
        <w:t xml:space="preserve">; </w:t>
      </w:r>
      <w:hyperlink r:id="rId450">
        <w:r>
          <w:rPr>
            <w:color w:val="0000EE"/>
            <w:u w:val="single"/>
          </w:rPr>
          <w:t>Ml 3.5</w:t>
        </w:r>
      </w:hyperlink>
      <w:r>
        <w:t>).</w:t>
      </w:r>
    </w:p>
    <w:p>
      <w:r/>
      <w:r>
        <w:t>Paulo listou a feitiçaria como um pecado (</w:t>
      </w:r>
      <w:hyperlink r:id="rId9157">
        <w:r>
          <w:rPr>
            <w:color w:val="0000EE"/>
            <w:u w:val="single"/>
          </w:rPr>
          <w:t>Gl 5.20</w:t>
        </w:r>
      </w:hyperlink>
      <w:r>
        <w:t>). O livro de Apocalipse diz que as pessoas que praticam feitiçaria serão lançadas no lago de fogo (</w:t>
      </w:r>
      <w:hyperlink r:id="rId144">
        <w:r>
          <w:rPr>
            <w:color w:val="0000EE"/>
            <w:u w:val="single"/>
          </w:rPr>
          <w:t>Ap 21.8</w:t>
        </w:r>
      </w:hyperlink>
      <w:r>
        <w:t>). Elas serão separadas dos justos para sempre (</w:t>
      </w:r>
      <w:hyperlink r:id="rId1609">
        <w:r>
          <w:rPr>
            <w:color w:val="0000EE"/>
            <w:u w:val="single"/>
          </w:rPr>
          <w:t>Ap 22.15</w:t>
        </w:r>
      </w:hyperlink>
      <w:r>
        <w:t>).</w:t>
      </w:r>
    </w:p>
    <w:p>
      <w:r/>
      <w:r>
        <w:rPr>
          <w:i/>
        </w:rPr>
        <w:t>Veja também</w:t>
      </w:r>
      <w:r>
        <w:t xml:space="preserve"> </w:t>
      </w:r>
      <w:r>
        <w:t>Magia</w:t>
      </w:r>
      <w:r>
        <w:t>.</w:t>
      </w:r>
      <w:r/>
      <w:r/>
    </w:p>
    <w:p>
      <w:r/>
    </w:p>
    <w:p>
      <w:pPr>
        <w:pStyle w:val="Heading2"/>
      </w:pPr>
      <w:r>
        <w:t>FEL</w:t>
      </w:r>
      <w:r/>
    </w:p>
    <w:p>
      <w:r/>
      <w:r>
        <w:t>As principais traduções literais do português traduzem como fel, veneno ou qualquer tipo de substância amarga.</w:t>
      </w:r>
    </w:p>
    <w:p>
      <w:pPr>
        <w:pStyle w:val="ListNumber"/>
        <w:spacing w:line="240" w:lineRule="auto"/>
        <w:ind w:left="720"/>
      </w:pPr>
      <w:r/>
      <w:r>
        <w:t>Bílis. Uma substância amarga de cor amarelo-acastanhada feita pelo fígado (</w:t>
      </w:r>
      <w:hyperlink r:id="rId2554">
        <w:r>
          <w:rPr>
            <w:color w:val="0000EE"/>
            <w:u w:val="single"/>
          </w:rPr>
          <w:t>Jó 16.13</w:t>
        </w:r>
      </w:hyperlink>
      <w:r>
        <w:t>) ou o órgão que contém a bile (</w:t>
      </w:r>
      <w:hyperlink r:id="rId9158">
        <w:r>
          <w:rPr>
            <w:color w:val="0000EE"/>
            <w:u w:val="single"/>
          </w:rPr>
          <w:t>Jó 20.25</w:t>
        </w:r>
      </w:hyperlink>
      <w:r>
        <w:t>).</w:t>
      </w:r>
    </w:p>
    <w:p>
      <w:pPr>
        <w:pStyle w:val="ListNumber"/>
        <w:spacing w:line="240" w:lineRule="auto"/>
        <w:ind w:left="720"/>
      </w:pPr>
      <w:r/>
      <w:r>
        <w:t>Uma erva muito amarga e venenosa. Pode ser a mesma que cicuta, coloquinte ou papoula. A palavra hebraica para "fel" também se refere a:</w:t>
      </w:r>
    </w:p>
    <w:p>
      <w:pPr>
        <w:pStyle w:val="ListNumber"/>
        <w:spacing w:line="240" w:lineRule="auto"/>
        <w:ind w:left="1440"/>
      </w:pPr>
      <w:r/>
      <w:r>
        <w:t>“Fruto amargo” (</w:t>
      </w:r>
      <w:hyperlink r:id="rId9159">
        <w:r>
          <w:rPr>
            <w:color w:val="0000EE"/>
            <w:u w:val="single"/>
          </w:rPr>
          <w:t>Dt 29.18)</w:t>
        </w:r>
      </w:hyperlink>
    </w:p>
    <w:p>
      <w:pPr>
        <w:pStyle w:val="ListNumber"/>
        <w:spacing w:line="240" w:lineRule="auto"/>
        <w:ind w:left="1440"/>
      </w:pPr>
      <w:r/>
      <w:r>
        <w:t>O "veneno" de uma cobra venenosa (</w:t>
      </w:r>
      <w:hyperlink r:id="rId9160">
        <w:r>
          <w:rPr>
            <w:color w:val="0000EE"/>
            <w:u w:val="single"/>
          </w:rPr>
          <w:t>Jó 20.14,16)</w:t>
        </w:r>
      </w:hyperlink>
    </w:p>
    <w:p>
      <w:pPr>
        <w:pStyle w:val="ListNumber"/>
        <w:spacing w:line="240" w:lineRule="auto"/>
        <w:ind w:left="1440"/>
      </w:pPr>
      <w:r/>
      <w:r>
        <w:t>Um veneno dado a uma pessoa como alimento (</w:t>
      </w:r>
      <w:hyperlink r:id="rId9161">
        <w:r>
          <w:rPr>
            <w:color w:val="0000EE"/>
            <w:u w:val="single"/>
          </w:rPr>
          <w:t>Sl 69.21)</w:t>
        </w:r>
      </w:hyperlink>
    </w:p>
    <w:p>
      <w:pPr>
        <w:pStyle w:val="ListNumber"/>
        <w:spacing w:line="240" w:lineRule="auto"/>
        <w:ind w:left="1440"/>
      </w:pPr>
      <w:r/>
      <w:r>
        <w:t>Um castigo divino como "água envenenada" (</w:t>
      </w:r>
      <w:hyperlink r:id="rId9162">
        <w:r>
          <w:rPr>
            <w:color w:val="0000EE"/>
            <w:u w:val="single"/>
          </w:rPr>
          <w:t>Jr 8.14</w:t>
        </w:r>
      </w:hyperlink>
      <w:r>
        <w:t xml:space="preserve">; </w:t>
      </w:r>
      <w:hyperlink r:id="rId204">
        <w:r>
          <w:rPr>
            <w:color w:val="0000EE"/>
            <w:u w:val="single"/>
          </w:rPr>
          <w:t>9.15</w:t>
        </w:r>
      </w:hyperlink>
      <w:r>
        <w:t xml:space="preserve">; </w:t>
      </w:r>
      <w:hyperlink r:id="rId205">
        <w:r>
          <w:rPr>
            <w:color w:val="0000EE"/>
            <w:u w:val="single"/>
          </w:rPr>
          <w:t>23.15</w:t>
        </w:r>
      </w:hyperlink>
      <w:r>
        <w:t>)</w:t>
      </w:r>
    </w:p>
    <w:p>
      <w:pPr>
        <w:pStyle w:val="ListNumber"/>
        <w:spacing w:line="240" w:lineRule="auto"/>
        <w:ind w:left="1440"/>
      </w:pPr>
      <w:r/>
      <w:r>
        <w:t>A amarga experiência de Israel com o julgamento divino (</w:t>
      </w:r>
      <w:hyperlink r:id="rId9163">
        <w:r>
          <w:rPr>
            <w:color w:val="0000EE"/>
            <w:u w:val="single"/>
          </w:rPr>
          <w:t>Lm 3.5,19</w:t>
        </w:r>
      </w:hyperlink>
      <w:r>
        <w:t>)</w:t>
      </w:r>
    </w:p>
    <w:p>
      <w:pPr>
        <w:pStyle w:val="ListNumber"/>
        <w:spacing w:line="240" w:lineRule="auto"/>
        <w:ind w:left="1440"/>
      </w:pPr>
      <w:r/>
      <w:r>
        <w:t>O julgamento divino contra Israel brotando como "ervas venenosas" em um campo (</w:t>
      </w:r>
      <w:hyperlink r:id="rId9164">
        <w:r>
          <w:rPr>
            <w:color w:val="0000EE"/>
            <w:u w:val="single"/>
          </w:rPr>
          <w:t>Os 10.4</w:t>
        </w:r>
      </w:hyperlink>
      <w:r>
        <w:t>)</w:t>
      </w:r>
    </w:p>
    <w:p>
      <w:pPr>
        <w:pStyle w:val="ListNumber"/>
        <w:spacing w:line="240" w:lineRule="auto"/>
        <w:ind w:left="1440"/>
      </w:pPr>
      <w:r/>
      <w:r>
        <w:t>A perversão da justiça por Israel ao transformar "justiça em veneno" (</w:t>
      </w:r>
      <w:hyperlink r:id="rId209">
        <w:r>
          <w:rPr>
            <w:color w:val="0000EE"/>
            <w:u w:val="single"/>
          </w:rPr>
          <w:t>Am 6.12</w:t>
        </w:r>
      </w:hyperlink>
      <w:r>
        <w:t>).</w:t>
      </w:r>
    </w:p>
    <w:p>
      <w:pPr>
        <w:pStyle w:val="ListNumber"/>
        <w:spacing w:line="240" w:lineRule="auto"/>
        <w:ind w:left="720"/>
      </w:pPr>
      <w:r/>
      <w:r>
        <w:t xml:space="preserve">Uma substância de gosto desagradável no Novo Testamento. </w:t>
      </w:r>
      <w:hyperlink r:id="rId6319">
        <w:r>
          <w:rPr>
            <w:color w:val="0000EE"/>
            <w:u w:val="single"/>
          </w:rPr>
          <w:t>Mateus 27.34</w:t>
        </w:r>
      </w:hyperlink>
      <w:r>
        <w:t xml:space="preserve"> menciona o fel misturado com vinho que foi oferecido a Cristo na cruz. </w:t>
      </w:r>
      <w:hyperlink r:id="rId6315">
        <w:r>
          <w:rPr>
            <w:color w:val="0000EE"/>
            <w:u w:val="single"/>
          </w:rPr>
          <w:t>Marcos 15.23</w:t>
        </w:r>
      </w:hyperlink>
      <w:r>
        <w:t xml:space="preserve"> chama a substância de “mirra”, que pode ser a substância específica misturada com o vinho. Em </w:t>
      </w:r>
      <w:hyperlink r:id="rId9165">
        <w:r>
          <w:rPr>
            <w:color w:val="0000EE"/>
            <w:u w:val="single"/>
          </w:rPr>
          <w:t>Atos 8.23,</w:t>
        </w:r>
      </w:hyperlink>
      <w:r>
        <w:t xml:space="preserve"> Pedro descreveu o estado espiritual de Simão, o mágico, como estando “envenenado pela amargura.”</w:t>
      </w:r>
    </w:p>
    <w:p>
      <w:r/>
      <w:r>
        <w:rPr>
          <w:i/>
        </w:rPr>
        <w:t>Veja também</w:t>
      </w:r>
      <w:r>
        <w:t xml:space="preserve"> </w:t>
      </w:r>
      <w:r>
        <w:t>Plantas (cabaça, selvagem)</w:t>
      </w:r>
      <w:r>
        <w:t>.</w:t>
      </w:r>
      <w:r/>
      <w:r/>
    </w:p>
    <w:p>
      <w:r/>
    </w:p>
    <w:p>
      <w:pPr>
        <w:pStyle w:val="Heading2"/>
      </w:pPr>
      <w:r>
        <w:t>Felix, Antônio</w:t>
      </w:r>
      <w:r/>
    </w:p>
    <w:p>
      <w:r/>
      <w:r>
        <w:t>Procurador romano (governador) da Judeia (52–60 d.C), sucedendo Cumanus, nomeado por Cláudio e sucedido por Festo Pórcio. O irmão de Félix, Palas, um romano proeminente e influente, intercedeu em seu favor após ele ser chamado de volta de seu cargo por Nero. Durante seu governo opressivo, Félix utilizou a ajuda de ladrões para mandar assassinar Jônatas, o sumo sacerdote. Sua tirania foi citada como a causa da revolta judaica que eclodiu seis anos após ele ser chamado de volta. Félix teve três esposas: uma desconhecida, outra neta de Marco Antônio e Cleópatra, e outra a irmã judia de Agripa II, cujo nome era Drusila. Aos 16 anos, Drusila deixou seu marido, o Rei Azizus de Emesa, para se casar com Félix. Ela mais tarde lhe deu um filho, Agripa.</w:t>
      </w:r>
    </w:p>
    <w:p>
      <w:r/>
      <w:r>
        <w:t>Félix estava servindo como governador quando o apóstolo Paulo foi levado diante dele em Cesareia para responder às acusações contra ele após o tumulto em Jerusalém (</w:t>
      </w:r>
      <w:hyperlink r:id="rId9166">
        <w:r>
          <w:rPr>
            <w:color w:val="0000EE"/>
            <w:u w:val="single"/>
          </w:rPr>
          <w:t>At 23.24–24.27</w:t>
        </w:r>
      </w:hyperlink>
      <w:r>
        <w:t>). Após um atraso de cinco dias, Tértulo, porta-voz dos judeus, e outros chegaram para apresentar suas acusações. Félix adiou uma decisão até que pudesse ouvir de Lísias, o tribuno. Enquanto isso, Paulo foi colocado em custódia limitada. Félix esperava obter dinheiro de suborno para sua liberação. Como resultado, Paulo foi detido por dois anos, durante os quais ele e Félix frequentemente conversavam. A mensagem do apóstolo sobre “uma vida correta, o domínio próprio e o Dia do Juízo Final” alarmou muito Félix (</w:t>
      </w:r>
      <w:hyperlink r:id="rId9167">
        <w:r>
          <w:rPr>
            <w:color w:val="0000EE"/>
            <w:u w:val="single"/>
          </w:rPr>
          <w:t>24.25</w:t>
        </w:r>
      </w:hyperlink>
      <w:r>
        <w:t>). Não há registro de sua vida após ser chamado de volta por Nero.</w:t>
      </w:r>
      <w:r/>
      <w:r/>
    </w:p>
    <w:p>
      <w:r/>
    </w:p>
    <w:p>
      <w:pPr>
        <w:pStyle w:val="Heading2"/>
      </w:pPr>
      <w:r>
        <w:t>Fenice</w:t>
      </w:r>
      <w:r/>
    </w:p>
    <w:p>
      <w:pPr>
        <w:pStyle w:val="ListNumber"/>
        <w:spacing w:line="240" w:lineRule="auto"/>
        <w:ind w:left="720"/>
      </w:pPr>
      <w:r/>
      <w:r>
        <w:t>Fenice era um porto ao longo da costa sul de Creta (</w:t>
      </w:r>
      <w:hyperlink r:id="rId6075">
        <w:r>
          <w:rPr>
            <w:color w:val="0000EE"/>
            <w:u w:val="single"/>
          </w:rPr>
          <w:t>At 27.12</w:t>
        </w:r>
      </w:hyperlink>
      <w:r>
        <w:t>). A Bíblia NTLH translitera esse nome como "Fênix".</w:t>
      </w:r>
    </w:p>
    <w:p>
      <w:r/>
      <w:r>
        <w:rPr>
          <w:i/>
        </w:rPr>
        <w:t>Veja</w:t>
      </w:r>
      <w:r>
        <w:t xml:space="preserve"> </w:t>
      </w:r>
      <w:r>
        <w:t>Fênix</w:t>
      </w:r>
      <w:r>
        <w:t>.</w:t>
      </w:r>
      <w:r/>
      <w:r/>
    </w:p>
    <w:p>
      <w:r/>
    </w:p>
    <w:p>
      <w:pPr>
        <w:pStyle w:val="Heading2"/>
      </w:pPr>
      <w:r>
        <w:t>Fenícia, Fenícios</w:t>
      </w:r>
      <w:r/>
    </w:p>
    <w:p>
      <w:r/>
      <w:r>
        <w:t>Grupo de cidades-estado (e seus residentes) que ocupavam uma faixa da planície costeira síria ao pé das Montanhas do Líbano. "Fenícia" também era escrita como "Fenice" ou "Finícia". Em determinado momento, esses estados se estendiam de Carmelo no sul até Arvade no norte, uma distância de menos de 321,8 quilômetros. Em nenhum lugar a planície fenícia tem mais de 6,4 quilômetros de largura. Nessas planícies férteis surgiram cidades-estado independentes, portanto, Fenícia não era nem uma unidade política nem geográfica.</w:t>
      </w:r>
    </w:p>
    <w:p>
      <w:r/>
      <w:r>
        <w:t>Sem bons portos naturais, os fenícios precisaram construir os seus próprios. Felizmente, eles tinham abundantes suprimentos de magníficos cedros nas encostas ocidentais das Montanhas do Líbano, que dominavam. Assim, tinham boa madeira para construção de navios e uma importante fonte de receita em uma região do mundo carente de madeira. No mar, havia algumas das melhores criaturas produtoras de corante (caramujos marinhos) do Mediterrâneo, possibilitando a produção de têxteis e corantes de qualidade. Essas duas fontes de renda eram complementadas pela superior produção industrial em metal e vidraria e pelo transporte de mercadorias de outros povos em navios fenícios. Com o tempo, colônias fenícias surgiram ao longo de suas rotas comerciais. Entre elas, destacava-se Cartago.</w:t>
      </w:r>
    </w:p>
    <w:p>
      <w:r/>
      <w:r>
        <w:t>Resumo</w:t>
      </w:r>
    </w:p>
    <w:p>
      <w:r/>
      <w:r>
        <w:t>• História</w:t>
      </w:r>
    </w:p>
    <w:p>
      <w:r/>
      <w:r>
        <w:t xml:space="preserve">• Significado cultural e histórico </w:t>
      </w:r>
    </w:p>
    <w:p>
      <w:r/>
      <w:r>
        <w:t>• Religião</w:t>
      </w:r>
    </w:p>
    <w:p>
      <w:r/>
      <w:r>
        <w:t>• Fenícia e a Bíblia</w:t>
      </w:r>
    </w:p>
    <w:p>
      <w:pPr>
        <w:pStyle w:val="Heading3"/>
      </w:pPr>
      <w:r>
        <w:t>História</w:t>
      </w:r>
    </w:p>
    <w:p>
      <w:r/>
      <w:r>
        <w:t>Embora povos de origem mediterrânea tenham ocupado o Líbano por volta de 4000 a.C., não houve desenvolvimento político ou cultural significativo na área até depois de 3000 a.C., quando os cananeus chegaram. A cultura e o estoque étnico cananeus (hamítico) foram diluídos por uma invasão amorita (semítica) da Fenícia, Síria e Palestina por volta de 2000 a.C. Subsequentemente, os semitas tornaram-se dominantes na área.</w:t>
      </w:r>
    </w:p>
    <w:p>
      <w:r/>
      <w:r>
        <w:t>Muito antes da chegada dos semitas, os egípcios estabeleceram contatos comerciais com a Fenícia. Durante o Antigo Reino (c. 2700–2200 a.C.), os egípcios parecem ter controlado praticamente Biblos, cerca de 40,2 quilômetros ao norte de Beirute. Era o principal porto pelo qual a madeira fenícia era transportada para o Egito, enquanto o papiro egípcio e influências culturais entravam na Fenícia.</w:t>
      </w:r>
    </w:p>
    <w:p>
      <w:r/>
      <w:r>
        <w:t>Embora a influência egípcia tenha diminuído durante o Primeiro Período Intermediário do Egito (2200–2050 a.C.), ela foi totalmente restaurada durante o Médio Império. De fato, alguns estudiosos gostam de considerar grande parte da Fenícia como parte de um Império Médio Egípcio nessa época (2050–1800 a.C.), mas outros acreditam que o controle do Egito era apenas econômico. Subsequentemente, os hicsos dominaram toda a extremidade oriental do Mediterrâneo.</w:t>
      </w:r>
    </w:p>
    <w:p>
      <w:r/>
      <w:r>
        <w:t>Durante o período do império egípcio (c. 1580–1100 a.C.), os egípcios inicialmente controlaram efetivamente as cidades da Fenícia, chegando até a estacionar guarnições nelas. No entanto, na parte final do período, egípcios e hititas lutaram pelo domínio da Fenícia. Por volta de 1100 a.C., tanto o império egípcio quanto o hitita chegaram ao fim, e a Fenícia entrou em um período de independência.</w:t>
      </w:r>
    </w:p>
    <w:p>
      <w:r/>
      <w:r>
        <w:t>Durante os dois séculos seguintes, Tiro aumentou seu poder e estabeleceu uma hegemonia sobre as outras cidades fenícias. De especial importância nessa ascensão ao poder foram os esforços de Hirão I. Ao mesmo tempo, a monarquia unida hebraica estava se formando, e as duas potências se aproximaram em empreendimentos de benefício mútuo.</w:t>
      </w:r>
    </w:p>
    <w:p>
      <w:r/>
      <w:r>
        <w:t>As condições mudaram no século IX. Em 868 a.C., Assurnasirpal da Assíria forçou os estados fenícios a pagar tributo, e sua liberdade foi perdida novamente. Mas sob os assírios, os fenícios prosperaram e estabeleceram numerosas colônias no oeste. No final do século VIII, Isaías podia exaltar eloquentemente a prosperidade de Tiro (</w:t>
      </w:r>
      <w:hyperlink r:id="rId9168">
        <w:r>
          <w:rPr>
            <w:color w:val="0000EE"/>
            <w:u w:val="single"/>
          </w:rPr>
          <w:t>Is 23.3–8</w:t>
        </w:r>
      </w:hyperlink>
      <w:r>
        <w:t>).</w:t>
      </w:r>
    </w:p>
    <w:p>
      <w:r/>
      <w:r>
        <w:t>Com o passar do tempo, os fenícios ficaram inquietos com o aumento das restrições assírias às suas liberdades. Por volta de 678 a.C., Sidom liderou uma revolta contra Esar-Hadom da Assíria, que acabou sendo um fracasso total. Os furiosos assírios mataram ou capturaram a maioria dos habitantes e arrasaram a cidade de Sidom, intimidando assim todos os fenícios. No entanto, o poder assírio diminuiu posteriormente, e Tiro tornou-se independente por volta de 625 a.C. Sua grandeza permaneceu em grande parte, e Ezequiel escreveu uma descrição notável de suas conquistas (</w:t>
      </w:r>
      <w:hyperlink r:id="rId9020">
        <w:r>
          <w:rPr>
            <w:color w:val="0000EE"/>
            <w:u w:val="single"/>
          </w:rPr>
          <w:t>Ez 27</w:t>
        </w:r>
      </w:hyperlink>
      <w:r>
        <w:t>).</w:t>
      </w:r>
    </w:p>
    <w:p>
      <w:r/>
      <w:r>
        <w:t>Após Nabucodonosor da Babilônia destruir Jerusalém em 586 a.C., ele voltou sua atenção para a Fenícia, conquistando facilmente a reconstruída Sidom, mas levando 13 anos para subjugar Tiro. Naquela época, ele conquistou apenas a cidade continental de Tiro. No entanto, a cidade insular estava segura porque Nabucodonosor não tinha frota. A grandeza de Tiro se foi; a cidade continental nunca foi reconstruída.</w:t>
      </w:r>
    </w:p>
    <w:p>
      <w:r/>
      <w:r>
        <w:t>Quando Ciro, o Grande, conquistou o Império Babilônico em 539 a.C., os fenícios foram absorvidos pacificamente. No entanto, cerca de dois séculos depois, eles participaram de uma rebelião contra os persas. Quando o exército persa se posicionou diante de Sidom em 352 a.C. e os habitantes enfrentaram a destruição de suas casas e a possibilidade de serem vendidos como escravos, eles incendiaram suas casas e pereceram com elas. Estima-se que 40.000 pessoas morreram nas chamas. As outras cidades fenícias não tiveram coragem para continuar a rebelião.</w:t>
      </w:r>
    </w:p>
    <w:p>
      <w:r/>
      <w:r>
        <w:t>Quando Alexandre, o Grande, passou pela Fenícia em 332 a.C., a maioria das cidades celebrou a libertação do domínio persa e abriu seus portões para ele. Tiro, no entanto, não fez o mesmo e foi totalmente destruída após um cerco de sete meses. Quando a cidade foi reconstruída, foi povoada por imigrantes da Ásia Menor e teve pouca conexão étnica com o período anterior. A supremacia marítima fenícia foi quebrada para sempre.</w:t>
      </w:r>
    </w:p>
    <w:p>
      <w:r/>
      <w:r>
        <w:t>Subsequentemente, a Fenícia ficou sob o controle dos Ptolomeus (286 a.C.), dos Selêucidas (198 a.C.) e dos Romanos (64 a.C.). Durante o período romano, a Fenícia fazia parte da província da Síria e desfrutou de nova prosperidade durante a Pax Romana (a paz romana) dos primeiros dois séculos da era cristã. Naquela época, estava amplamente helenizada e seu antigo caráter semítico havia desaparecido.</w:t>
      </w:r>
    </w:p>
    <w:p>
      <w:pPr>
        <w:pStyle w:val="Heading3"/>
      </w:pPr>
      <w:r>
        <w:t>Significado cultural e histórico</w:t>
      </w:r>
    </w:p>
    <w:p>
      <w:r/>
      <w:r>
        <w:t>Como os melhores marinheiros do mundo antigo, os fenícios dominaram o Mediterrâneo durante a primeira metade do primeiro milênio a.C., assim como o Mar Egeu por grande parte desse período. Como intrépidos navegadores, eles não apenas transportavam produtos, mas também transmitiam ideias e processos e se engajavam em muita troca cultural.</w:t>
      </w:r>
    </w:p>
    <w:p>
      <w:r/>
      <w:r>
        <w:t>Embora não haja evidências de que os fenícios tenham inventado o alfabeto, eles o disseminaram de maneira tão ampla que ele se tornou conhecido como o alfabeto fenício. Especialmente importante foi a sua transmissão aos gregos (pelo menos por volta de 750 a.C.), que então adicionaram vogais e o repassaram para o mundo ocidental.</w:t>
      </w:r>
    </w:p>
    <w:p>
      <w:r/>
      <w:r>
        <w:t>Os fenícios também estabeleceram colônias em vários locais no oeste do Mediterrâneo, notavelmente durante o século VIII a.C. A mais poderosa dessas colônias foi Cartago, que em seu auge controlava a parte ocidental do norte da África, grande parte da Espanha e várias ilhas do Mediterrâneo, e quase levou Roma à ruína durante o século III a.C.</w:t>
      </w:r>
    </w:p>
    <w:p>
      <w:r/>
      <w:r>
        <w:t>Além disso, os fenícios desenvolveram técnicas avançadas em metalurgia; alguns estudiosos acreditam que os egípcios e possivelmente até os povos do Egeu derivaram alguns de seus processos dos fenícios. Embora possam não ter inventado a fabricação de vidro, como muitos autores antigos afirmam, certamente contribuíram muito para o seu desenvolvimento e a disseminação de seu conhecimento no mundo antigo. Os fenícios exportavam grandes quantidades de corante púrpura ou tecido tingido e seus famosos cedros. Cedros do Líbano chegaram não apenas à Palestina, mas também ao Egito, Mesopotâmia e ao distante Irã.</w:t>
      </w:r>
    </w:p>
    <w:p>
      <w:r/>
      <w:r>
        <w:t>De todas as exportações fenícias, a mais severamente censurada nas Escrituras foi o culto a Baal, que entrou no reino de Israel por meio do casamento de Jezabel com Acabe, e no reino de Judá através do casamento de sua filha Atalia com Jeorão.</w:t>
      </w:r>
    </w:p>
    <w:p>
      <w:pPr>
        <w:pStyle w:val="Heading3"/>
      </w:pPr>
      <w:r>
        <w:t>Religião</w:t>
      </w:r>
    </w:p>
    <w:p>
      <w:r/>
      <w:r>
        <w:t>Sabe-se menos sobre a religião fenícia do que sobre a de outros povos da antiguidade. Isso se deve principalmente ao fato de que a literatura dos fenícios não foi preservada. Não se pode ter certeza de que as informações da antiga Ugarit, na vizinha Síria, refletem corretamente as práticas e crenças religiosas das cidades fenícias. Também não se deve presumir que a religião das colônias da Fenícia foi transportada sem modificações do país de origem. Infelizmente, o que o AT diz sobre a religião dos cananeus não diferencia as crenças ou práticas das cidades fenícias individuais. As informações a seguir foram obtidas quase exclusivamente de fontes fenícias.</w:t>
      </w:r>
    </w:p>
    <w:p>
      <w:r/>
      <w:r>
        <w:t>Vários nomes gerais apareceram na religião fenícia. El era tanto a palavra semítica para deus quanto o nome de um deus específico que era o chefe do panteão. Baal simplesmente significa "Senhor", mas também se aplica ao filho de El. Baalat significa "senhora", mas muitas vezes designava uma divindade específica como a Baalat de Gebal ou Biblos. A palavra hebraica melek significava "rei" ou "governante", mas poderia formar parte do nome de uma divindade, como Melqart ("governante da cidade"), deus principal de Tiro.</w:t>
      </w:r>
    </w:p>
    <w:p>
      <w:r/>
      <w:r>
        <w:t>Assim como nas cidades-estado gregas, as cidades fenícias tinham divindades patronas que não eram necessariamente a principal do panteão. Do lado feminino, havia realmente apenas uma divindade adorada em todas as cidades, a deusa mãe e da fertilidade Ashtart ou Astarte (hebraico, Astarote), a babilônica Ishtar. Ela era considerada a geradora dos deuses e dos homens, bem como das plantas. A promiscuidade caracterizava sua conduta, e a prostituição religiosa era realizada em seu nome.</w:t>
      </w:r>
    </w:p>
    <w:p>
      <w:r/>
      <w:r>
        <w:t>Baalat Gebal, que simbolizava a fertilidade e, portanto, correspondia a Astarte, era a divindade preeminente de Biblos, mas Adônis também tinha grande importância. Sendo o jovem deus que morreu e foi ressuscitado, ele estava associado à morte e ao renascimento anual da vegetação.</w:t>
      </w:r>
    </w:p>
    <w:p>
      <w:r/>
      <w:r>
        <w:t>Astarte também era predominante no panteão de Sidom, como demonstrado por inúmeras inscrições, templos construídos em sua honra e pelo fato de que reis e rainhas se autodenominavam seus sacerdotes. A divindade masculina mais envolvida na vida sidônia era Eshmun, que se pensava corresponder a Adônis em função. Pelos gregos, ele foi identificado como Asclépio, deus da cura.</w:t>
      </w:r>
    </w:p>
    <w:p>
      <w:r/>
      <w:r>
        <w:t>O deus principal de Tiro era Melqart, o Baal ou Senhor de Tiro. Como uma festa anual de ressurreição era celebrada em sua honra, ele foi equiparado a Eshmun de Sidom e Adônis de Biblos. Os gregos identificaram Melqart com Heracles ou Hércules. Quando Tiro passou a dominar as outras cidades fenícias, Melqart ascendeu a uma posição de destaque em seus panteões. Melqart teria sido o Baal introduzido em Israel nos dias de Acabe, que se casou com Jezabel de Tiro. A principal divindade feminina de Tiro era Astarte. Hirão construiu templos tanto para Melqart quanto para Astarte em Tiro, e Salomão trouxe a adoração de Astarte (Astarote) para Jerusalém em seu tempo (</w:t>
      </w:r>
      <w:hyperlink r:id="rId9169">
        <w:r>
          <w:rPr>
            <w:color w:val="0000EE"/>
            <w:u w:val="single"/>
          </w:rPr>
          <w:t>1Rs 11.5</w:t>
        </w:r>
      </w:hyperlink>
      <w:r>
        <w:t>). Seu santuário continuou a atormentar os judeus até a reforma de Josias no final do século VII a.C. (</w:t>
      </w:r>
      <w:hyperlink r:id="rId6911">
        <w:r>
          <w:rPr>
            <w:color w:val="0000EE"/>
            <w:u w:val="single"/>
          </w:rPr>
          <w:t>2Rs 23.13</w:t>
        </w:r>
      </w:hyperlink>
      <w:r>
        <w:t>).</w:t>
      </w:r>
    </w:p>
    <w:p>
      <w:r/>
      <w:r>
        <w:t>Os locais de adoração de Baal eram ou lugares altos nas colinas (compostos por um altar e uma coluna de pedra representando Baal, e uma árvore ou poste representando Astarte) ou recintos de pedra com um altar, uma coluna de pedra e uma árvore. Às vezes, eram edifícios de templos cobertos. Os sacrifícios consistiam em animais e vegetais, e em tempos de grande desastre, em seres humanos. Grandes festivais religiosos eram realizados em observância à conexão do deus com o ritmo das estações. Quando ele e a natureza morriam, havia luto, ritos funerários e talvez auto-tortura. O festival da primavera, que celebrava sua ressurreição e nova vida na natureza e que buscava a fertilidade da natureza, comumente era acompanhado por prostituição sacramental. A idolatria, o sacrifício humano e a promiscuidade sexual associados à adoração de Baal trouxeram sobre ela a condenação especial de Deus.</w:t>
      </w:r>
    </w:p>
    <w:p>
      <w:pPr>
        <w:pStyle w:val="Heading3"/>
      </w:pPr>
      <w:r>
        <w:t>Fenícia e a Bíblia</w:t>
      </w:r>
    </w:p>
    <w:p>
      <w:r/>
      <w:r>
        <w:t xml:space="preserve">A Fenícia começou a se envolver na história bíblica logo após 1000 a.C., quando Davi obteve de Hirão I de Tiro alguns dos muito cobiçados cedros do Líbano para a construção de seu palácio. Salomão também comprou cedro de Hirão para seu palácio e o Templo. Ele contratou artesãos fenícios para construir o Templo, fortificações em centros estratégicos e uma grande instalação portuária em Eziom-Geber, no Golfo de Ácaba, um braço do Mar Vermelho. O design arquitetônico fenício foi empregado em vários projetos de construção hebraicos nos dias de Salomão, e a competência fenícia em construção naval tornou possível a marinha mercante de Salomão. Marinheiros fenícios tripulavam os navios após serem lançados (veja </w:t>
      </w:r>
      <w:hyperlink r:id="rId9170">
        <w:r>
          <w:rPr>
            <w:color w:val="0000EE"/>
            <w:u w:val="single"/>
          </w:rPr>
          <w:t>1Rs 9.10–28</w:t>
        </w:r>
      </w:hyperlink>
      <w:r>
        <w:t>).</w:t>
      </w:r>
    </w:p>
    <w:p>
      <w:r/>
      <w:r>
        <w:t xml:space="preserve">Durante a primeira metade do século IX a.C., o impacto fenício em Israel foi amplamente religioso. Foi então que Jezabel, uma princesa de Tiro, casou-se com Acabe e introduziu o culto a Baal no reino do norte. Mais de um século depois, a Fenícia foi alvo de condenação profética. Isaías (antes de 700 a.C., veja </w:t>
      </w:r>
      <w:hyperlink r:id="rId9171">
        <w:r>
          <w:rPr>
            <w:color w:val="0000EE"/>
            <w:u w:val="single"/>
          </w:rPr>
          <w:t>Is 23</w:t>
        </w:r>
      </w:hyperlink>
      <w:r>
        <w:t xml:space="preserve">) e Ezequiel (cerca de 600 a.C., veja </w:t>
      </w:r>
      <w:hyperlink r:id="rId9172">
        <w:r>
          <w:rPr>
            <w:color w:val="0000EE"/>
            <w:u w:val="single"/>
          </w:rPr>
          <w:t>Ez 26.2–19</w:t>
        </w:r>
      </w:hyperlink>
      <w:r>
        <w:t xml:space="preserve">; </w:t>
      </w:r>
      <w:hyperlink r:id="rId9173">
        <w:r>
          <w:rPr>
            <w:color w:val="0000EE"/>
            <w:u w:val="single"/>
          </w:rPr>
          <w:t>28.1–23</w:t>
        </w:r>
      </w:hyperlink>
      <w:r>
        <w:t>) lançaram previsões de sofrimento e destruição tanto sobre Tiro quanto sobre Sidom.</w:t>
      </w:r>
    </w:p>
    <w:p>
      <w:r/>
      <w:r>
        <w:t>Nos tempos do NT, o apóstolo Paulo passou uma semana em Tiro com um grupo de cristãos durante seu retorno a Jerusalém no final de sua terceira viagem missionária (</w:t>
      </w:r>
      <w:hyperlink r:id="rId9174">
        <w:r>
          <w:rPr>
            <w:color w:val="0000EE"/>
            <w:u w:val="single"/>
          </w:rPr>
          <w:t>At 21.2–7</w:t>
        </w:r>
      </w:hyperlink>
      <w:r>
        <w:t>).</w:t>
      </w:r>
    </w:p>
    <w:p>
      <w:r/>
      <w:r>
        <w:rPr>
          <w:i/>
        </w:rPr>
        <w:t>Veja também</w:t>
      </w:r>
      <w:r>
        <w:t xml:space="preserve"> </w:t>
      </w:r>
      <w:r>
        <w:t>Deidades e religião cananeia</w:t>
      </w:r>
      <w:r>
        <w:t>.</w:t>
      </w:r>
      <w:r/>
      <w:r/>
    </w:p>
    <w:p>
      <w:r/>
    </w:p>
    <w:p>
      <w:pPr>
        <w:pStyle w:val="Heading2"/>
      </w:pPr>
      <w:r>
        <w:t>Fênix</w:t>
      </w:r>
      <w:r/>
    </w:p>
    <w:p>
      <w:r/>
      <w:r>
        <w:t>Fênix era uma cidade portuária na costa sul de Creta. O apóstolo Paulo e as pessoas com quem ele viajava esperavam ficar lá durante o inverno em sua viagem a Roma (</w:t>
      </w:r>
      <w:hyperlink r:id="rId6075">
        <w:r>
          <w:rPr>
            <w:color w:val="0000EE"/>
            <w:u w:val="single"/>
          </w:rPr>
          <w:t>At 27.12</w:t>
        </w:r>
      </w:hyperlink>
      <w:r>
        <w:t>, “Fenice” na versão ARC).</w:t>
      </w:r>
    </w:p>
    <w:p>
      <w:r/>
      <w:r>
        <w:t>Fênix ficava a oeste de um lugar chamado Bons Portos, perto da pequena ilha de Cauda. Paulo aconselhou os líderes do navio a permanecerem em Bons Portos, mas eles decidiram continuar navegando em direção a Fênix.</w:t>
      </w:r>
    </w:p>
    <w:p>
      <w:r/>
      <w:r>
        <w:t xml:space="preserve">Enquanto o navio estava a caminho, um vento forte veio do nordeste. Essa tempestade empurrou o navio para o sul e oeste, além da ilha de Cauda (vv. </w:t>
      </w:r>
      <w:hyperlink r:id="rId9175">
        <w:r>
          <w:rPr>
            <w:color w:val="0000EE"/>
            <w:u w:val="single"/>
          </w:rPr>
          <w:t>9–17</w:t>
        </w:r>
      </w:hyperlink>
      <w:r>
        <w:t>). O vento era tão forte que quase levou o navio para bancos de areia perigosos na costa do Norte da África. Estes eram chamados de Baixios de Syrte Maior.</w:t>
      </w:r>
    </w:p>
    <w:p>
      <w:r/>
      <w:r>
        <w:t>Lucas diz que Fênix estava voltada para noroeste e sudoeste (</w:t>
      </w:r>
      <w:hyperlink r:id="rId6075">
        <w:r>
          <w:rPr>
            <w:color w:val="0000EE"/>
            <w:u w:val="single"/>
          </w:rPr>
          <w:t>At 27.12</w:t>
        </w:r>
      </w:hyperlink>
      <w:r>
        <w:t>). Isso corresponde à localização de uma cidade moderna chamada Phoinika, perto da ponta oeste do Cabo Mouros. Nos tempos antigos, este porto era profundo e seguro para navios. Também oferecia abrigo contra os fortes ventos de inverno. O nome Fênix ainda sobrevive no nome moderno Phoinika.</w:t>
      </w:r>
      <w:r/>
      <w:r/>
    </w:p>
    <w:p>
      <w:r/>
    </w:p>
    <w:p>
      <w:pPr>
        <w:pStyle w:val="Heading2"/>
      </w:pPr>
      <w:r>
        <w:t>Fereseus</w:t>
      </w:r>
      <w:r/>
    </w:p>
    <w:p>
      <w:r/>
      <w:r>
        <w:t>Um dos vários segmentos populacionais que ocupavam a terra da Palestina antes e depois da conquista israelita (</w:t>
      </w:r>
      <w:hyperlink r:id="rId9176">
        <w:r>
          <w:rPr>
            <w:color w:val="0000EE"/>
            <w:u w:val="single"/>
          </w:rPr>
          <w:t>Gn 15.20</w:t>
        </w:r>
      </w:hyperlink>
      <w:r>
        <w:t xml:space="preserve">; </w:t>
      </w:r>
      <w:hyperlink r:id="rId1209">
        <w:r>
          <w:rPr>
            <w:color w:val="0000EE"/>
            <w:u w:val="single"/>
          </w:rPr>
          <w:t>Êx 3.8,17</w:t>
        </w:r>
      </w:hyperlink>
      <w:r>
        <w:t xml:space="preserve">; </w:t>
      </w:r>
      <w:hyperlink r:id="rId1211">
        <w:r>
          <w:rPr>
            <w:color w:val="0000EE"/>
            <w:u w:val="single"/>
          </w:rPr>
          <w:t>23.23</w:t>
        </w:r>
      </w:hyperlink>
      <w:r>
        <w:t xml:space="preserve">; </w:t>
      </w:r>
      <w:hyperlink r:id="rId1212">
        <w:r>
          <w:rPr>
            <w:color w:val="0000EE"/>
            <w:u w:val="single"/>
          </w:rPr>
          <w:t>33.2</w:t>
        </w:r>
      </w:hyperlink>
      <w:r>
        <w:t xml:space="preserve">; </w:t>
      </w:r>
      <w:hyperlink r:id="rId9177">
        <w:r>
          <w:rPr>
            <w:color w:val="0000EE"/>
            <w:u w:val="single"/>
          </w:rPr>
          <w:t>34.11</w:t>
        </w:r>
      </w:hyperlink>
      <w:r>
        <w:t xml:space="preserve">; </w:t>
      </w:r>
      <w:hyperlink r:id="rId9178">
        <w:r>
          <w:rPr>
            <w:color w:val="0000EE"/>
            <w:u w:val="single"/>
          </w:rPr>
          <w:t>Dt 7.1</w:t>
        </w:r>
      </w:hyperlink>
      <w:r>
        <w:t xml:space="preserve">; </w:t>
      </w:r>
      <w:hyperlink r:id="rId9179">
        <w:r>
          <w:rPr>
            <w:color w:val="0000EE"/>
            <w:u w:val="single"/>
          </w:rPr>
          <w:t>20.17</w:t>
        </w:r>
      </w:hyperlink>
      <w:r>
        <w:t xml:space="preserve">; </w:t>
      </w:r>
      <w:hyperlink r:id="rId9180">
        <w:r>
          <w:rPr>
            <w:color w:val="0000EE"/>
            <w:u w:val="single"/>
          </w:rPr>
          <w:t>Js 3.10</w:t>
        </w:r>
      </w:hyperlink>
      <w:r>
        <w:t xml:space="preserve">; </w:t>
      </w:r>
      <w:hyperlink r:id="rId9181">
        <w:r>
          <w:rPr>
            <w:color w:val="0000EE"/>
            <w:u w:val="single"/>
          </w:rPr>
          <w:t>9.1</w:t>
        </w:r>
      </w:hyperlink>
      <w:r>
        <w:t xml:space="preserve">; </w:t>
      </w:r>
      <w:hyperlink r:id="rId9182">
        <w:r>
          <w:rPr>
            <w:color w:val="0000EE"/>
            <w:u w:val="single"/>
          </w:rPr>
          <w:t>11.3</w:t>
        </w:r>
      </w:hyperlink>
      <w:r>
        <w:t xml:space="preserve">; </w:t>
      </w:r>
      <w:hyperlink r:id="rId9183">
        <w:r>
          <w:rPr>
            <w:color w:val="0000EE"/>
            <w:u w:val="single"/>
          </w:rPr>
          <w:t>12.8</w:t>
        </w:r>
      </w:hyperlink>
      <w:r>
        <w:t xml:space="preserve">; </w:t>
      </w:r>
      <w:hyperlink r:id="rId9184">
        <w:r>
          <w:rPr>
            <w:color w:val="0000EE"/>
            <w:u w:val="single"/>
          </w:rPr>
          <w:t>24.11</w:t>
        </w:r>
      </w:hyperlink>
      <w:r>
        <w:t xml:space="preserve">; </w:t>
      </w:r>
      <w:hyperlink r:id="rId9185">
        <w:r>
          <w:rPr>
            <w:color w:val="0000EE"/>
            <w:u w:val="single"/>
          </w:rPr>
          <w:t>1Rs 9.20</w:t>
        </w:r>
      </w:hyperlink>
      <w:r>
        <w:t xml:space="preserve">; </w:t>
      </w:r>
      <w:hyperlink r:id="rId9186">
        <w:r>
          <w:rPr>
            <w:color w:val="0000EE"/>
            <w:u w:val="single"/>
          </w:rPr>
          <w:t>2Cr 8.7</w:t>
        </w:r>
      </w:hyperlink>
      <w:r>
        <w:t xml:space="preserve">; </w:t>
      </w:r>
      <w:hyperlink r:id="rId9187">
        <w:r>
          <w:rPr>
            <w:color w:val="0000EE"/>
            <w:u w:val="single"/>
          </w:rPr>
          <w:t>Ed 9.1</w:t>
        </w:r>
      </w:hyperlink>
      <w:r>
        <w:t xml:space="preserve">; </w:t>
      </w:r>
      <w:hyperlink r:id="rId5682">
        <w:r>
          <w:rPr>
            <w:color w:val="0000EE"/>
            <w:u w:val="single"/>
          </w:rPr>
          <w:t>Ne 9.8</w:t>
        </w:r>
      </w:hyperlink>
      <w:r>
        <w:t>). Fereseu também é conhecido pelo termo "periseu", apesar de raramente usado assim. A enumeração desses povos ao longo do AT serve a uma variedade de propósitos, nenhum dos quais é estritamente histórico ou geográfico. Serve para informar o leitor que, não importa quão numerosos, o destino desses povos é certo quando o tempo de Deus chegar (</w:t>
      </w:r>
      <w:hyperlink r:id="rId9176">
        <w:r>
          <w:rPr>
            <w:color w:val="0000EE"/>
            <w:u w:val="single"/>
          </w:rPr>
          <w:t>Gn 15.20</w:t>
        </w:r>
      </w:hyperlink>
      <w:r>
        <w:t xml:space="preserve">; </w:t>
      </w:r>
      <w:hyperlink r:id="rId1494">
        <w:r>
          <w:rPr>
            <w:color w:val="0000EE"/>
            <w:u w:val="single"/>
          </w:rPr>
          <w:t>Êx 3.8</w:t>
        </w:r>
      </w:hyperlink>
      <w:r>
        <w:t>). Em outras ocasiões, eles são mencionados para ilustrar a hostilidade dos inimigos de Deus contra o avanço de Israel na terra prometida a eles pelo Senhor (</w:t>
      </w:r>
      <w:hyperlink r:id="rId9181">
        <w:r>
          <w:rPr>
            <w:color w:val="0000EE"/>
            <w:u w:val="single"/>
          </w:rPr>
          <w:t>Js 9.1</w:t>
        </w:r>
      </w:hyperlink>
      <w:r>
        <w:t xml:space="preserve">; </w:t>
      </w:r>
      <w:hyperlink r:id="rId9182">
        <w:r>
          <w:rPr>
            <w:color w:val="0000EE"/>
            <w:u w:val="single"/>
          </w:rPr>
          <w:t>11.3</w:t>
        </w:r>
      </w:hyperlink>
      <w:r>
        <w:t xml:space="preserve">; </w:t>
      </w:r>
      <w:hyperlink r:id="rId9184">
        <w:r>
          <w:rPr>
            <w:color w:val="0000EE"/>
            <w:u w:val="single"/>
          </w:rPr>
          <w:t>24.11</w:t>
        </w:r>
      </w:hyperlink>
      <w:r>
        <w:t>). Mas também são retratados como conquistados e reduzidos a trabalho servil (</w:t>
      </w:r>
      <w:hyperlink r:id="rId9183">
        <w:r>
          <w:rPr>
            <w:color w:val="0000EE"/>
            <w:u w:val="single"/>
          </w:rPr>
          <w:t>Js 12.8</w:t>
        </w:r>
      </w:hyperlink>
      <w:r>
        <w:t xml:space="preserve">; </w:t>
      </w:r>
      <w:hyperlink r:id="rId9185">
        <w:r>
          <w:rPr>
            <w:color w:val="0000EE"/>
            <w:u w:val="single"/>
          </w:rPr>
          <w:t>1Rs 9.20</w:t>
        </w:r>
      </w:hyperlink>
      <w:r>
        <w:t>). No período pós-exílico, continuam a ser uma ameaça à pureza de vida da comunidade da aliança recentemente estabelecida na terra de seus pais (</w:t>
      </w:r>
      <w:hyperlink r:id="rId9187">
        <w:r>
          <w:rPr>
            <w:color w:val="0000EE"/>
            <w:u w:val="single"/>
          </w:rPr>
          <w:t>Ed 9.1</w:t>
        </w:r>
      </w:hyperlink>
      <w:r>
        <w:t>).</w:t>
      </w:r>
    </w:p>
    <w:p>
      <w:r/>
      <w:r>
        <w:t>Existem algumas instâncias onde a palavra “fereseus” ocorre em conjunto com “cananeus” (</w:t>
      </w:r>
      <w:hyperlink r:id="rId9188">
        <w:r>
          <w:rPr>
            <w:color w:val="0000EE"/>
            <w:u w:val="single"/>
          </w:rPr>
          <w:t>Gn 13.7</w:t>
        </w:r>
      </w:hyperlink>
      <w:r>
        <w:t xml:space="preserve">; </w:t>
      </w:r>
      <w:hyperlink r:id="rId9189">
        <w:r>
          <w:rPr>
            <w:color w:val="0000EE"/>
            <w:u w:val="single"/>
          </w:rPr>
          <w:t>34.30</w:t>
        </w:r>
      </w:hyperlink>
      <w:r>
        <w:t xml:space="preserve">; </w:t>
      </w:r>
      <w:hyperlink r:id="rId9190">
        <w:r>
          <w:rPr>
            <w:color w:val="0000EE"/>
            <w:u w:val="single"/>
          </w:rPr>
          <w:t>Jz 1.4–5</w:t>
        </w:r>
      </w:hyperlink>
      <w:r>
        <w:t>), e em uma instância é combinada com “refains” (</w:t>
      </w:r>
      <w:hyperlink r:id="rId9191">
        <w:r>
          <w:rPr>
            <w:color w:val="0000EE"/>
            <w:u w:val="single"/>
          </w:rPr>
          <w:t>Js 17.15</w:t>
        </w:r>
      </w:hyperlink>
      <w:r>
        <w:t>). O nome “Pirizzi” também ocorre uma vez nas tábuas de El Amarna.</w:t>
      </w:r>
    </w:p>
    <w:p>
      <w:r/>
      <w:r>
        <w:t xml:space="preserve">A identidade exata dos fereseus ainda permanece obscura. Em algumas instâncias em que o nome aparece junto com "cananeus", parece referir-se a um dos principais componentes da população de Canaã. Alguns até sugeriram que os fereseus eram a população pré-cananeia da Palestina, considerando a omissão deles na lista de </w:t>
      </w:r>
      <w:hyperlink r:id="rId7547">
        <w:r>
          <w:rPr>
            <w:color w:val="0000EE"/>
            <w:u w:val="single"/>
          </w:rPr>
          <w:t>Gênesis 10</w:t>
        </w:r>
      </w:hyperlink>
      <w:r>
        <w:t>. Mas isso não pode ser comprovado. Outros tentaram interpretar este nome como um apelativo que significa "habitantes de aldeias sem muralhas". Esta visão encontra algum apoio em outra palavra hebraica, perazoth</w:t>
      </w:r>
      <w:r>
        <w:rPr>
          <w:i/>
        </w:rPr>
        <w:t>,</w:t>
      </w:r>
      <w:r>
        <w:t xml:space="preserve"> "aldeias sem muralhas" (</w:t>
      </w:r>
      <w:hyperlink r:id="rId9192">
        <w:r>
          <w:rPr>
            <w:color w:val="0000EE"/>
            <w:u w:val="single"/>
          </w:rPr>
          <w:t>Et 9.19</w:t>
        </w:r>
      </w:hyperlink>
      <w:r>
        <w:t xml:space="preserve">; </w:t>
      </w:r>
      <w:hyperlink r:id="rId9193">
        <w:r>
          <w:rPr>
            <w:color w:val="0000EE"/>
            <w:u w:val="single"/>
          </w:rPr>
          <w:t>Ez 38.11</w:t>
        </w:r>
      </w:hyperlink>
      <w:r>
        <w:t xml:space="preserve">; </w:t>
      </w:r>
      <w:hyperlink r:id="rId9194">
        <w:r>
          <w:rPr>
            <w:color w:val="0000EE"/>
            <w:u w:val="single"/>
          </w:rPr>
          <w:t>Zc 2.4</w:t>
        </w:r>
      </w:hyperlink>
      <w:r>
        <w:t>; cf. também perazi</w:t>
      </w:r>
      <w:r>
        <w:rPr>
          <w:i/>
        </w:rPr>
        <w:t>,</w:t>
      </w:r>
      <w:r>
        <w:t xml:space="preserve"> "campo aberto", </w:t>
      </w:r>
      <w:hyperlink r:id="rId9195">
        <w:r>
          <w:rPr>
            <w:color w:val="0000EE"/>
            <w:u w:val="single"/>
          </w:rPr>
          <w:t>Dt 3.5</w:t>
        </w:r>
      </w:hyperlink>
      <w:r>
        <w:t xml:space="preserve">; </w:t>
      </w:r>
      <w:hyperlink r:id="rId9196">
        <w:r>
          <w:rPr>
            <w:color w:val="0000EE"/>
            <w:u w:val="single"/>
          </w:rPr>
          <w:t>1Sm 6.18</w:t>
        </w:r>
      </w:hyperlink>
      <w:r>
        <w:t>). Mas o fato de que o nome ocorre com tanta frequência entre outros povos cuja identidade é conhecida deve servir de alerta contra tal abordagem.</w:t>
      </w:r>
    </w:p>
    <w:p>
      <w:r/>
      <w:r>
        <w:t xml:space="preserve">Vários comentaristas, em vez de considerar os ferezeus como um dos principais componentes da população de Canaã, tentaram localizá-los nas proximidades de Betel (cf. </w:t>
      </w:r>
      <w:hyperlink r:id="rId9188">
        <w:r>
          <w:rPr>
            <w:color w:val="0000EE"/>
            <w:u w:val="single"/>
          </w:rPr>
          <w:t>Gn 13.7</w:t>
        </w:r>
      </w:hyperlink>
      <w:r>
        <w:t>), de Siquém (</w:t>
      </w:r>
      <w:hyperlink r:id="rId9189">
        <w:r>
          <w:rPr>
            <w:color w:val="0000EE"/>
            <w:u w:val="single"/>
          </w:rPr>
          <w:t>34.30</w:t>
        </w:r>
      </w:hyperlink>
      <w:r>
        <w:t>) ou no território de Judá (</w:t>
      </w:r>
      <w:hyperlink r:id="rId9190">
        <w:r>
          <w:rPr>
            <w:color w:val="0000EE"/>
            <w:u w:val="single"/>
          </w:rPr>
          <w:t>Jz 1.4–5</w:t>
        </w:r>
      </w:hyperlink>
      <w:r>
        <w:t xml:space="preserve">). No entanto, esses locais não são de forma alguma contíguos. A referência aos refains em </w:t>
      </w:r>
      <w:hyperlink r:id="rId9191">
        <w:r>
          <w:rPr>
            <w:color w:val="0000EE"/>
            <w:u w:val="single"/>
          </w:rPr>
          <w:t>Josué 17.15</w:t>
        </w:r>
      </w:hyperlink>
      <w:r>
        <w:t xml:space="preserve"> levou à sugestão de que os ferezeus pertenciam à região de Transjordânia, mas isso não decorre nem do contexto imediato nem do uso da palavra “refains” em outros lugares.</w:t>
      </w:r>
    </w:p>
    <w:p>
      <w:r/>
      <w:r>
        <w:rPr>
          <w:i/>
        </w:rPr>
        <w:t>Veja também</w:t>
      </w:r>
      <w:r>
        <w:t xml:space="preserve"> </w:t>
      </w:r>
      <w:r>
        <w:t>Canaã, Cananeus</w:t>
      </w:r>
      <w:r>
        <w:t>.</w:t>
      </w:r>
      <w:r/>
      <w:r/>
    </w:p>
    <w:p>
      <w:r/>
    </w:p>
    <w:p>
      <w:pPr>
        <w:pStyle w:val="Heading2"/>
      </w:pPr>
      <w:r>
        <w:t>Fermento*</w:t>
      </w:r>
      <w:r/>
    </w:p>
    <w:p>
      <w:r/>
      <w:r>
        <w:t>Qualquer substância que produza fermentação quando adicionada à massa. O fermento pode significar a massa já afetada pelo fermento, colocado na farinha para que pudesse passar por toda a massa antes de assar, ou pode se referir à massa que cresceu sob a influência do fermento. Os primeiros hebreus aparentemente dependiam de um pedaço de massa fermentada para a transmissão do fermento; só muito mais tarde os resíduos do vinho foram usadas como fermento.</w:t>
      </w:r>
    </w:p>
    <w:p>
      <w:r/>
      <w:r>
        <w:t>Os antigos israelitas regularmente comiam pão fermentado (</w:t>
      </w:r>
      <w:hyperlink r:id="rId9197">
        <w:r>
          <w:rPr>
            <w:color w:val="0000EE"/>
            <w:u w:val="single"/>
          </w:rPr>
          <w:t>Os 7.4</w:t>
        </w:r>
      </w:hyperlink>
      <w:r>
        <w:t>), mas na comemoração da Páscoa, eles foram proibidos de comer pão fermentado ou até mesmo tê-lo em suas casas durante o período de Páscoa (</w:t>
      </w:r>
      <w:hyperlink r:id="rId9198">
        <w:r>
          <w:rPr>
            <w:color w:val="0000EE"/>
            <w:u w:val="single"/>
          </w:rPr>
          <w:t>Êx 13.7</w:t>
        </w:r>
      </w:hyperlink>
      <w:r>
        <w:t>). Esta observância anual garantia que o povo não esqueceria seu êxodo apressado do Egito, quando o mandamento de Deus não deu tempo para a preparação do pão fermentado. O povo foi forçado a levar consigo suas amassadeiras e a massa com a qual assavam bolos sem fermento para sustentá-los durante a jornada (</w:t>
      </w:r>
      <w:hyperlink r:id="rId9199">
        <w:r>
          <w:rPr>
            <w:color w:val="0000EE"/>
            <w:u w:val="single"/>
          </w:rPr>
          <w:t>Êx 12.34–39</w:t>
        </w:r>
      </w:hyperlink>
      <w:r>
        <w:t xml:space="preserve">; </w:t>
      </w:r>
      <w:hyperlink r:id="rId9200">
        <w:r>
          <w:rPr>
            <w:color w:val="0000EE"/>
            <w:u w:val="single"/>
          </w:rPr>
          <w:t>Dt 16.3</w:t>
        </w:r>
      </w:hyperlink>
      <w:r>
        <w:t>).</w:t>
      </w:r>
    </w:p>
    <w:p>
      <w:r/>
      <w:r>
        <w:t>Possivelmente porque a fermentação implicava desintegração e corrupção, o fermento foi excluído de todas as ofertas colocadas no altar para serem sacrificadas a Deus (</w:t>
      </w:r>
      <w:hyperlink r:id="rId9201">
        <w:r>
          <w:rPr>
            <w:color w:val="0000EE"/>
            <w:u w:val="single"/>
          </w:rPr>
          <w:t>Êx 23.18</w:t>
        </w:r>
      </w:hyperlink>
      <w:r>
        <w:t xml:space="preserve">; </w:t>
      </w:r>
      <w:hyperlink r:id="rId9202">
        <w:r>
          <w:rPr>
            <w:color w:val="0000EE"/>
            <w:u w:val="single"/>
          </w:rPr>
          <w:t>34.25</w:t>
        </w:r>
      </w:hyperlink>
      <w:r>
        <w:t>). Também não era permitido nas ofertas de grãos (</w:t>
      </w:r>
      <w:hyperlink r:id="rId5231">
        <w:r>
          <w:rPr>
            <w:color w:val="0000EE"/>
            <w:u w:val="single"/>
          </w:rPr>
          <w:t>Lv 2.11</w:t>
        </w:r>
      </w:hyperlink>
      <w:r>
        <w:t xml:space="preserve">; </w:t>
      </w:r>
      <w:hyperlink r:id="rId9203">
        <w:r>
          <w:rPr>
            <w:color w:val="0000EE"/>
            <w:u w:val="single"/>
          </w:rPr>
          <w:t>6.17</w:t>
        </w:r>
      </w:hyperlink>
      <w:r>
        <w:t>). As Escrituras não nos dizem se os pães da proposição (ou pão da Presença) eram sem fermento, mas o historiador Josefo afirma que era fermentado (</w:t>
      </w:r>
      <w:r>
        <w:rPr>
          <w:i/>
        </w:rPr>
        <w:t>Antiguidades</w:t>
      </w:r>
      <w:r>
        <w:t xml:space="preserve"> 3.6.6).</w:t>
      </w:r>
    </w:p>
    <w:p>
      <w:r/>
      <w:r>
        <w:t>Duas exceções a esta regra devem ser observadas. O fermento poderia ser usado em ofertas que deveriam ser comidas pelos sacerdotes ou outros. O pão fermentado podia acompanhar a oferta de paz (</w:t>
      </w:r>
      <w:hyperlink r:id="rId9204">
        <w:r>
          <w:rPr>
            <w:color w:val="0000EE"/>
            <w:u w:val="single"/>
          </w:rPr>
          <w:t>Lv 7.13</w:t>
        </w:r>
      </w:hyperlink>
      <w:r>
        <w:t>), e era ofertado na Festa das Semanas (Pentecostes) porque representava a comida diária comum que Deus forneceu para seu povo (</w:t>
      </w:r>
      <w:hyperlink r:id="rId9205">
        <w:r>
          <w:rPr>
            <w:color w:val="0000EE"/>
            <w:u w:val="single"/>
          </w:rPr>
          <w:t>23.17</w:t>
        </w:r>
      </w:hyperlink>
      <w:r>
        <w:t>).</w:t>
      </w:r>
    </w:p>
    <w:p>
      <w:r/>
      <w:r>
        <w:t xml:space="preserve">A ação lenta do fermento provou ser um problema durante o estágio agrícola do desenvolvimento hebraico, especialmente durante os primeiros dias agitados da colheita. Portanto, a massa sem fermento se tornou cada vez mais comum para o preparo cotidiano. Esta prática foi encorajada pelo crescimento da ideia de que o fermento representava decadência e corrupção, assim como outras coisas fermentadas. Esta visão excluía o fermento como algo inconsistente com o conceito da santidade perfeita de Deus. Plutarco estava expressando uma crença antiga, também comum entre outros povos, quando escreveu: “Ora, o fermento é ele próprio o fruto da corrupção e corrompe a massa de farinha com a qual foi misturado”. O apóstolo Paulo cita um provérbio semelhante em </w:t>
      </w:r>
      <w:hyperlink r:id="rId9206">
        <w:r>
          <w:rPr>
            <w:color w:val="0000EE"/>
            <w:u w:val="single"/>
          </w:rPr>
          <w:t>1 Coríntios 5.6</w:t>
        </w:r>
      </w:hyperlink>
      <w:r>
        <w:t xml:space="preserve"> e </w:t>
      </w:r>
      <w:hyperlink r:id="rId9207">
        <w:r>
          <w:rPr>
            <w:color w:val="0000EE"/>
            <w:u w:val="single"/>
          </w:rPr>
          <w:t>Gálatas 5.9</w:t>
        </w:r>
      </w:hyperlink>
      <w:r>
        <w:t>.</w:t>
      </w:r>
    </w:p>
    <w:p>
      <w:r/>
      <w:r>
        <w:t>A coisa significativa sobre o fermento é seu poder, que pode simbolizar o bem ou o mal. Normalmente, embora nem sempre, o fermento era um símbolo do mal no pensamento rabínico. Jesus se referiu ao fermento no sentido adverso quando ele usou a palavra para descrever a doutrina corrupta dos fariseus e saduceus (</w:t>
      </w:r>
      <w:hyperlink r:id="rId9208">
        <w:r>
          <w:rPr>
            <w:color w:val="0000EE"/>
            <w:u w:val="single"/>
          </w:rPr>
          <w:t>Mt 16.6,11–12</w:t>
        </w:r>
      </w:hyperlink>
      <w:r>
        <w:t>) e de Herodes (</w:t>
      </w:r>
      <w:hyperlink r:id="rId9209">
        <w:r>
          <w:rPr>
            <w:color w:val="0000EE"/>
            <w:u w:val="single"/>
          </w:rPr>
          <w:t>Mc 8.15</w:t>
        </w:r>
      </w:hyperlink>
      <w:r>
        <w:t>). O fermento dos fariseus é identificado em outro lugar como hipocrisia (</w:t>
      </w:r>
      <w:hyperlink r:id="rId9210">
        <w:r>
          <w:rPr>
            <w:color w:val="0000EE"/>
            <w:u w:val="single"/>
          </w:rPr>
          <w:t>Lc 12.1</w:t>
        </w:r>
      </w:hyperlink>
      <w:r>
        <w:t xml:space="preserve">; cf. </w:t>
      </w:r>
      <w:hyperlink r:id="rId9211">
        <w:r>
          <w:rPr>
            <w:color w:val="0000EE"/>
            <w:u w:val="single"/>
          </w:rPr>
          <w:t>Mt 23.28</w:t>
        </w:r>
      </w:hyperlink>
      <w:r>
        <w:t>).</w:t>
      </w:r>
    </w:p>
    <w:p>
      <w:r/>
      <w:r>
        <w:t>Paulo aplica o mesmo conceito à corrupção moral, advertindo que “um pouco de fermento leveda toda a massa” e admoestando seus leitores a limpar-se do fermento velho, isto é, os vestígios de suas vidas não regeneradas, e viver a vida cristã com o “pão sem fermento da sinceridade e verdade” (</w:t>
      </w:r>
      <w:hyperlink r:id="rId5769">
        <w:r>
          <w:rPr>
            <w:color w:val="0000EE"/>
            <w:u w:val="single"/>
          </w:rPr>
          <w:t>1Co 5.6–8</w:t>
        </w:r>
      </w:hyperlink>
      <w:r>
        <w:t>).</w:t>
      </w:r>
    </w:p>
    <w:p>
      <w:r/>
      <w:r>
        <w:t>Por outro lado, Cristo usa o conceito de efeito do fermento sobre a massa em seu bom senso para fornecer aos seus discípulos uma parábola breve, mas memorável (</w:t>
      </w:r>
      <w:hyperlink r:id="rId9212">
        <w:r>
          <w:rPr>
            <w:color w:val="0000EE"/>
            <w:u w:val="single"/>
          </w:rPr>
          <w:t>Mt 13.33</w:t>
        </w:r>
      </w:hyperlink>
      <w:r>
        <w:t xml:space="preserve">; </w:t>
      </w:r>
      <w:hyperlink r:id="rId9213">
        <w:r>
          <w:rPr>
            <w:color w:val="0000EE"/>
            <w:u w:val="single"/>
          </w:rPr>
          <w:t>Lc 13.20–21</w:t>
        </w:r>
      </w:hyperlink>
      <w:r>
        <w:t>), em que o fermento ilustra a influência cumulativa e penetrante do reino de Deus no mundo.</w:t>
      </w:r>
    </w:p>
    <w:p>
      <w:r/>
      <w:r>
        <w:rPr>
          <w:i/>
        </w:rPr>
        <w:t>Veja também</w:t>
      </w:r>
      <w:r>
        <w:t xml:space="preserve"> </w:t>
      </w:r>
      <w:r>
        <w:t>Pão</w:t>
      </w:r>
      <w:r>
        <w:t xml:space="preserve">; </w:t>
      </w:r>
      <w:r>
        <w:t>Festas e Festivais de Israel</w:t>
      </w:r>
      <w:r>
        <w:t xml:space="preserve">; </w:t>
      </w:r>
      <w:r>
        <w:t>Alimentos e Preparação de Alimentos</w:t>
      </w:r>
      <w:r>
        <w:t xml:space="preserve">; </w:t>
      </w:r>
      <w:r>
        <w:t>Pão sem fermento</w:t>
      </w:r>
      <w:r>
        <w:t>.</w:t>
      </w:r>
      <w:r/>
      <w:r/>
    </w:p>
    <w:p>
      <w:r/>
    </w:p>
    <w:p>
      <w:pPr>
        <w:pStyle w:val="Heading2"/>
      </w:pPr>
      <w:r>
        <w:t>Ferreiro</w:t>
      </w:r>
      <w:r/>
    </w:p>
    <w:p>
      <w:r/>
      <w:r>
        <w:t>Uma pessoa que usava bronze e cobre para fazer ferramentas, implementos e ornamentos (</w:t>
      </w:r>
      <w:hyperlink r:id="rId9214">
        <w:r>
          <w:rPr>
            <w:color w:val="0000EE"/>
            <w:u w:val="single"/>
          </w:rPr>
          <w:t>Êx 26.11,37</w:t>
        </w:r>
      </w:hyperlink>
      <w:r>
        <w:t xml:space="preserve">; </w:t>
      </w:r>
      <w:hyperlink r:id="rId9215">
        <w:r>
          <w:rPr>
            <w:color w:val="0000EE"/>
            <w:u w:val="single"/>
          </w:rPr>
          <w:t>27.2–10</w:t>
        </w:r>
      </w:hyperlink>
      <w:r>
        <w:t xml:space="preserve">; </w:t>
      </w:r>
      <w:hyperlink r:id="rId9216">
        <w:r>
          <w:rPr>
            <w:color w:val="0000EE"/>
            <w:u w:val="single"/>
          </w:rPr>
          <w:t>Js 6.19,24</w:t>
        </w:r>
      </w:hyperlink>
      <w:r>
        <w:t xml:space="preserve">; </w:t>
      </w:r>
      <w:hyperlink r:id="rId9217">
        <w:r>
          <w:rPr>
            <w:color w:val="0000EE"/>
            <w:u w:val="single"/>
          </w:rPr>
          <w:t>1Sm 17.5–6</w:t>
        </w:r>
      </w:hyperlink>
      <w:r>
        <w:t xml:space="preserve">; </w:t>
      </w:r>
      <w:hyperlink r:id="rId9218">
        <w:r>
          <w:rPr>
            <w:color w:val="0000EE"/>
            <w:u w:val="single"/>
          </w:rPr>
          <w:t>2Sm 8.8</w:t>
        </w:r>
      </w:hyperlink>
      <w:r>
        <w:t>). O termo “ferreiro” é usado apenas no Novo Testamento (</w:t>
      </w:r>
      <w:hyperlink r:id="rId742">
        <w:r>
          <w:rPr>
            <w:color w:val="0000EE"/>
            <w:u w:val="single"/>
          </w:rPr>
          <w:t>2Tm 4.14</w:t>
        </w:r>
      </w:hyperlink>
      <w:r>
        <w:t>). No entanto, essa ocupação foi importante ao longo da história da Bíblia.</w:t>
      </w:r>
    </w:p>
    <w:p>
      <w:r/>
      <w:r>
        <w:rPr>
          <w:i/>
        </w:rPr>
        <w:t>Veja também</w:t>
      </w:r>
      <w:r>
        <w:t xml:space="preserve"> </w:t>
      </w:r>
      <w:r>
        <w:t>Minerais e Metais</w:t>
      </w:r>
      <w:r>
        <w:t>.</w:t>
      </w:r>
      <w:r/>
      <w:r/>
    </w:p>
    <w:p>
      <w:r/>
    </w:p>
    <w:p>
      <w:pPr>
        <w:pStyle w:val="Heading2"/>
      </w:pPr>
      <w:r>
        <w:t>Ferreiro</w:t>
      </w:r>
      <w:r/>
    </w:p>
    <w:p>
      <w:r/>
      <w:r>
        <w:t>Um artesão que normalmente trabalhava em ferro (</w:t>
      </w:r>
      <w:hyperlink r:id="rId9219">
        <w:r>
          <w:rPr>
            <w:color w:val="0000EE"/>
            <w:u w:val="single"/>
          </w:rPr>
          <w:t>Is 44.12</w:t>
        </w:r>
      </w:hyperlink>
      <w:r>
        <w:t>). O primeiro trabalhador em ferro registrado na Bíblia é Tubalcaim (</w:t>
      </w:r>
      <w:hyperlink r:id="rId2612">
        <w:r>
          <w:rPr>
            <w:color w:val="0000EE"/>
            <w:u w:val="single"/>
          </w:rPr>
          <w:t>Gn 4.22</w:t>
        </w:r>
      </w:hyperlink>
      <w:r>
        <w:t>). Em Israel, o ferro tornou-se amplamente conhecido e utilizado por volta do século 11 a.C. (</w:t>
      </w:r>
      <w:hyperlink r:id="rId1117">
        <w:r>
          <w:rPr>
            <w:color w:val="0000EE"/>
            <w:u w:val="single"/>
          </w:rPr>
          <w:t>Dt 3.11</w:t>
        </w:r>
      </w:hyperlink>
      <w:r>
        <w:t xml:space="preserve">; </w:t>
      </w:r>
      <w:hyperlink r:id="rId9216">
        <w:r>
          <w:rPr>
            <w:color w:val="0000EE"/>
            <w:u w:val="single"/>
          </w:rPr>
          <w:t>Js 6.19,24</w:t>
        </w:r>
      </w:hyperlink>
      <w:r>
        <w:t xml:space="preserve">; </w:t>
      </w:r>
      <w:hyperlink r:id="rId9220">
        <w:r>
          <w:rPr>
            <w:color w:val="0000EE"/>
            <w:u w:val="single"/>
          </w:rPr>
          <w:t>17.16</w:t>
        </w:r>
      </w:hyperlink>
      <w:r>
        <w:t xml:space="preserve">; </w:t>
      </w:r>
      <w:hyperlink r:id="rId9221">
        <w:r>
          <w:rPr>
            <w:color w:val="0000EE"/>
            <w:u w:val="single"/>
          </w:rPr>
          <w:t>Jz 1.19</w:t>
        </w:r>
      </w:hyperlink>
      <w:r>
        <w:t xml:space="preserve">; </w:t>
      </w:r>
      <w:hyperlink r:id="rId9222">
        <w:r>
          <w:rPr>
            <w:color w:val="0000EE"/>
            <w:u w:val="single"/>
          </w:rPr>
          <w:t>4.3,13</w:t>
        </w:r>
      </w:hyperlink>
      <w:r>
        <w:t xml:space="preserve">). </w:t>
      </w:r>
      <w:r>
        <w:rPr>
          <w:i/>
        </w:rPr>
        <w:t>Veja</w:t>
      </w:r>
      <w:r>
        <w:t xml:space="preserve"> </w:t>
      </w:r>
      <w:r>
        <w:t>Minerais e Metais</w:t>
      </w:r>
      <w:r>
        <w:t>.</w:t>
      </w:r>
      <w:r/>
      <w:r/>
    </w:p>
    <w:p>
      <w:r/>
    </w:p>
    <w:p>
      <w:pPr>
        <w:pStyle w:val="Heading2"/>
      </w:pPr>
      <w:r>
        <w:t>Ferreiro</w:t>
      </w:r>
      <w:r/>
    </w:p>
    <w:p>
      <w:r/>
      <w:r>
        <w:t>Trabalhador em metais; um ferreiro. O primeiro metalúrgico mencionado na Bíblia é Tubalcaim (</w:t>
      </w:r>
      <w:hyperlink r:id="rId2612">
        <w:r>
          <w:rPr>
            <w:color w:val="0000EE"/>
            <w:u w:val="single"/>
          </w:rPr>
          <w:t>Gn 4.22</w:t>
        </w:r>
      </w:hyperlink>
      <w:r>
        <w:t xml:space="preserve">). O termo abrange metalúrgicos de todos os tipos: cobre, bronze, ferro, prata e ouro. Ourives são mencionados em </w:t>
      </w:r>
      <w:hyperlink r:id="rId9223">
        <w:r>
          <w:rPr>
            <w:color w:val="0000EE"/>
            <w:u w:val="single"/>
          </w:rPr>
          <w:t>Juízes 17.4</w:t>
        </w:r>
      </w:hyperlink>
      <w:r>
        <w:t xml:space="preserve"> e </w:t>
      </w:r>
      <w:hyperlink r:id="rId9224">
        <w:r>
          <w:rPr>
            <w:color w:val="0000EE"/>
            <w:u w:val="single"/>
          </w:rPr>
          <w:t>Atos 19.24</w:t>
        </w:r>
      </w:hyperlink>
      <w:r>
        <w:t>. Ferreiros eram raros ou até inexistentes em Israel até a época de Samuel, e os israelitas tinham que ir aos ferreiros filisteus para afiar suas ferramentas de ferro (</w:t>
      </w:r>
      <w:hyperlink r:id="rId4191">
        <w:r>
          <w:rPr>
            <w:color w:val="0000EE"/>
            <w:u w:val="single"/>
          </w:rPr>
          <w:t>1Sm 13.19</w:t>
        </w:r>
      </w:hyperlink>
      <w:r>
        <w:t>). Nos dias dos reis, os ferreiros israelitas estavam ativos e foram posteriormente levados ao cativeiro por Nabucodonosor (</w:t>
      </w:r>
      <w:hyperlink r:id="rId9225">
        <w:r>
          <w:rPr>
            <w:color w:val="0000EE"/>
            <w:u w:val="single"/>
          </w:rPr>
          <w:t>2Rs 24.14–16</w:t>
        </w:r>
      </w:hyperlink>
      <w:r>
        <w:t xml:space="preserve">; </w:t>
      </w:r>
      <w:hyperlink r:id="rId9226">
        <w:r>
          <w:rPr>
            <w:color w:val="0000EE"/>
            <w:u w:val="single"/>
          </w:rPr>
          <w:t>Jr 24.1</w:t>
        </w:r>
      </w:hyperlink>
      <w:r>
        <w:t xml:space="preserve">; </w:t>
      </w:r>
      <w:hyperlink r:id="rId9227">
        <w:r>
          <w:rPr>
            <w:color w:val="0000EE"/>
            <w:u w:val="single"/>
          </w:rPr>
          <w:t>29.2</w:t>
        </w:r>
      </w:hyperlink>
      <w:r>
        <w:t>). Detalhes do trabalho do ferreiro são dados em vários relatos (</w:t>
      </w:r>
      <w:hyperlink r:id="rId9228">
        <w:r>
          <w:rPr>
            <w:color w:val="0000EE"/>
            <w:u w:val="single"/>
          </w:rPr>
          <w:t>Pv 25.4</w:t>
        </w:r>
      </w:hyperlink>
      <w:r>
        <w:t xml:space="preserve">; </w:t>
      </w:r>
      <w:hyperlink r:id="rId9219">
        <w:r>
          <w:rPr>
            <w:color w:val="0000EE"/>
            <w:u w:val="single"/>
          </w:rPr>
          <w:t>Is 44.12</w:t>
        </w:r>
      </w:hyperlink>
      <w:r>
        <w:t xml:space="preserve">; </w:t>
      </w:r>
      <w:hyperlink r:id="rId4477">
        <w:r>
          <w:rPr>
            <w:color w:val="0000EE"/>
            <w:u w:val="single"/>
          </w:rPr>
          <w:t>54.16</w:t>
        </w:r>
      </w:hyperlink>
      <w:r>
        <w:t xml:space="preserve">). Os ferreiros mencionados em </w:t>
      </w:r>
      <w:hyperlink r:id="rId9229">
        <w:r>
          <w:rPr>
            <w:color w:val="0000EE"/>
            <w:u w:val="single"/>
          </w:rPr>
          <w:t>Zacarias 1.20</w:t>
        </w:r>
      </w:hyperlink>
      <w:r>
        <w:t xml:space="preserve"> são provavelmente ferreiros em geral ou aqueles que trabalham especificamente com ferro.</w:t>
      </w:r>
    </w:p>
    <w:p>
      <w:r/>
      <w:r>
        <w:rPr>
          <w:i/>
        </w:rPr>
        <w:t>Veja também</w:t>
      </w:r>
      <w:r>
        <w:t xml:space="preserve"> </w:t>
      </w:r>
      <w:r>
        <w:t>Minerais e metais</w:t>
      </w:r>
      <w:r>
        <w:t xml:space="preserve">; </w:t>
      </w:r>
      <w:r>
        <w:t>Pedras preciosas</w:t>
      </w:r>
      <w:r>
        <w:t>.</w:t>
      </w:r>
      <w:r/>
      <w:r/>
    </w:p>
    <w:p>
      <w:r/>
    </w:p>
    <w:p>
      <w:pPr>
        <w:pStyle w:val="Heading2"/>
      </w:pPr>
      <w:r>
        <w:t>Festa da Colheita</w:t>
      </w:r>
      <w:r/>
    </w:p>
    <w:p>
      <w:r/>
      <w:r>
        <w:t>A Festa da Colheita era um dos três principais festivais celebrados pelo povo de Israel. Também era chamada de Festa das Cabanas ou Festa dos Tabernáculos. Algumas traduções dizem "Festa das Barracas". Este festival celebrava o fim do ano agrícola, quando todas as colheitas já tinham sido recolhidas (</w:t>
      </w:r>
      <w:hyperlink r:id="rId402">
        <w:r>
          <w:rPr>
            <w:color w:val="0000EE"/>
            <w:u w:val="single"/>
          </w:rPr>
          <w:t>Lv 23.39–43</w:t>
        </w:r>
      </w:hyperlink>
      <w:r>
        <w:t>).</w:t>
      </w:r>
    </w:p>
    <w:p>
      <w:r/>
      <w:r>
        <w:t>Durante esta celebração, os israelitas moravam em abrigos temporários feitos de galhos de árvores por sete dias. Isso os lembrava do período em que seus antepassados viveram em abrigos semelhantes no deserto.</w:t>
      </w:r>
    </w:p>
    <w:p>
      <w:r/>
      <w:r>
        <w:rPr>
          <w:i/>
        </w:rPr>
        <w:t>Veja</w:t>
      </w:r>
      <w:r>
        <w:t xml:space="preserve"> </w:t>
      </w:r>
      <w:r>
        <w:t>Festas e festivais de Israel</w:t>
      </w:r>
      <w:r>
        <w:t>.</w:t>
      </w:r>
      <w:r/>
      <w:r/>
    </w:p>
    <w:p>
      <w:r/>
    </w:p>
    <w:p>
      <w:pPr>
        <w:pStyle w:val="Heading2"/>
      </w:pPr>
      <w:r>
        <w:t>Festa dos barracas</w:t>
      </w:r>
      <w:r/>
    </w:p>
    <w:p>
      <w:r/>
      <w:r>
        <w:t>A festa das barracas é um dos três grandes festivais de Israel. Este festival celebrava o fim do ano agrícola, quando todas as colheitas já haviam sido feitas. Durante este festival, o povo judeu construía abrigos temporários chamados "tabernáculos" ou "tendas" para lembrar como Deus os salvou do Egito (</w:t>
      </w:r>
      <w:hyperlink r:id="rId402">
        <w:r>
          <w:rPr>
            <w:color w:val="0000EE"/>
            <w:u w:val="single"/>
          </w:rPr>
          <w:t>Lv 23.39–43</w:t>
        </w:r>
      </w:hyperlink>
      <w:r>
        <w:t>). Esses tabernáculos (ou barracas) eram semelhantes aos abrigos temporários em que os israelitas viveram durante sua jornada pelo deserto após saírem do Egito.</w:t>
      </w:r>
    </w:p>
    <w:p>
      <w:r/>
      <w:r>
        <w:rPr>
          <w:i/>
        </w:rPr>
        <w:t>Veja também</w:t>
      </w:r>
      <w:r>
        <w:t xml:space="preserve"> </w:t>
      </w:r>
      <w:r>
        <w:t>Festas e festivais de Israel</w:t>
      </w:r>
      <w:r>
        <w:t>.</w:t>
      </w:r>
      <w:r/>
      <w:r/>
    </w:p>
    <w:p>
      <w:r/>
    </w:p>
    <w:p>
      <w:pPr>
        <w:pStyle w:val="Heading2"/>
      </w:pPr>
      <w:r>
        <w:t>Festa dos Tabernáculos</w:t>
      </w:r>
      <w:r/>
    </w:p>
    <w:p>
      <w:r/>
      <w:r>
        <w:t>A Festa dos Tabernáculos, também chamada de Festa das Cabanas, Abrigos ou da Colheita, era um dos três festivais mais importantes em Israel. Ela celebrava a conclusão do ano agrícola. Durante este festival, o povo judeu construía abrigos temporários chamados "cabanas" ou "tabernáculos" para lembrar como Deus os salvou do Egito (</w:t>
      </w:r>
      <w:hyperlink r:id="rId528">
        <w:r>
          <w:rPr>
            <w:color w:val="0000EE"/>
            <w:u w:val="single"/>
          </w:rPr>
          <w:t>Lv 23.33–43</w:t>
        </w:r>
      </w:hyperlink>
      <w:r>
        <w:t>). Esses abrigos temporários eram semelhantes aos que os israelitas usaram durante sua jornada pelo deserto após saírem do Egito.</w:t>
      </w:r>
    </w:p>
    <w:p>
      <w:r/>
      <w:r>
        <w:rPr>
          <w:i/>
        </w:rPr>
        <w:t>Veja</w:t>
      </w:r>
      <w:r>
        <w:t xml:space="preserve"> </w:t>
      </w:r>
      <w:r>
        <w:t>Festas e festivais de Israel</w:t>
      </w:r>
      <w:r>
        <w:t>.</w:t>
      </w:r>
      <w:r/>
      <w:r/>
    </w:p>
    <w:p>
      <w:r/>
    </w:p>
    <w:p>
      <w:pPr>
        <w:pStyle w:val="Heading2"/>
      </w:pPr>
      <w:r>
        <w:t>Festas E Festivais De Israel</w:t>
      </w:r>
      <w:r/>
    </w:p>
    <w:p>
      <w:r/>
      <w:r>
        <w:t>Ocasiões de alegria pública ou privada para comemorar algum evento ou personagem significativo. O elemento de celebração tem um significado especial no ciclo de ocasiões religiosas e os ritos e cerimônias associados a esses dias específicos. Embora a ideia de uma festa geralmente implique um banquete com comida e bebida abundantes, este elemento não é indispensável. Às vezes há apenas uma quantidade simbólica, como na celebração da Comunhão Sagrada (Santa Ceia).</w:t>
      </w:r>
    </w:p>
    <w:p>
      <w:r/>
      <w:r>
        <w:t xml:space="preserve">No uso contemporâneo, “festival” geralmente se refere a atividades que se estendem ao longo de um período de tempo, enquanto “festa” indica uma parte da celebração, muitas vezes uma refeição. No entanto, no uso religioso, tanto antigo quanto moderno, as duas palavras são usadas de forma intercambiável. Os antigos hebreus empregavam as palavras mo’ed (“estações”) e hag para suas grandes celebrações públicas, enquanto as festas de uma natureza mais privada eram comumente descritas pelo termo </w:t>
      </w:r>
      <w:r>
        <w:rPr>
          <w:i/>
        </w:rPr>
        <w:t>mishteh</w:t>
      </w:r>
      <w:r>
        <w:t>. A maioria das traduções em inglês das Escrituras não diferenciam entre essas palavras.</w:t>
      </w:r>
    </w:p>
    <w:p>
      <w:pPr>
        <w:pStyle w:val="Heading3"/>
      </w:pPr>
      <w:r>
        <w:t>Festas e suas funções</w:t>
      </w:r>
    </w:p>
    <w:p>
      <w:r/>
      <w:r>
        <w:t>Cada festival coloca grande ênfase na participação da comunidade e na continuidade da tradição social ou religiosa, especialmente onde as celebrações são elementos de um calendário civil ou religioso regular. Sem apoio da comunidade, mesmo em uma celebração familiar, nenhum festival pode ser bem-sucedido. Quando há participação pública, um festival pode reforçar a memória individual e comunitária de ocasiões específicas, e pode perpetuar essa reserva de lembrança ao longo de anos e gerações. Tal memória compartilhada tem um efeito harmonioso sobre uma comunidade cooperativa, grande ou pequena, e serve para estabelecer as tradições pelas quais o grupo vive. Se o festival comemora um evento específico ou celebra algum ideal elevado, esse tema se torna mais firmemente incorporado nas mentes dos participantes ao ser associado repetidamente aos ritos e cerimônias realizadas. As festas dos antigos hebreus tinham esta função positiva. Os grandes festivais de seu calendário religioso comemoravam ocasiões específicas em que Deus havia estendido a mão em poder para intervir por seu povo ou havia provido para eles em seu sofrimento. Ao celebrar essas festas regularmente, os hebreus continuamente afirmaram que seu Deus havia dirigido seu destino. Sua prova repetida da ajuda e amor de Deus por eles os lembrava de que ele ainda era capaz de sustentá-los. Especialmente em tempos de adversidade, apontava para a realidade da presença e atividade de Deus entre eles. A fé sustentada por estes meios forneceu uma dimensão espiritual inestimável para a vida da nação e providenciou um senso de continuidade sob provisão e orientação divinas. Apenas quando elementos corruptos ou pagãos foram introduzidos em ocasiões festivas este importante ingrediente da vida nacional começou a perder sua vitalidade.</w:t>
      </w:r>
    </w:p>
    <w:p>
      <w:pPr>
        <w:pStyle w:val="Heading3"/>
      </w:pPr>
      <w:r>
        <w:t>Festivais do Antigo Testamento</w:t>
      </w:r>
    </w:p>
    <w:p>
      <w:pPr>
        <w:pStyle w:val="Heading4"/>
      </w:pPr>
      <w:r>
        <w:t>Festivais gerais</w:t>
      </w:r>
    </w:p>
    <w:p>
      <w:r/>
      <w:r>
        <w:t>Essas ocasiões eram surpreendentemente numerosas em Israel, considerando o modo de vida bastante rígido refletido em grande parte do AT. Sem dúvida, tais celebrações desviavam ou compensavam as adversidades e inseguranças da existência no antigo Oriente Próximo, e os israelitas aproveitavam ao máximo todas as oportunidades. Um casamento era uma das ocasiões mais óbvias para celebração, e não é surpreendente que uma festa tenha sido preparada para o casamento de Raquel e Jacó (</w:t>
      </w:r>
      <w:hyperlink r:id="rId3090">
        <w:r>
          <w:rPr>
            <w:color w:val="0000EE"/>
            <w:u w:val="single"/>
          </w:rPr>
          <w:t>Gn 29.22</w:t>
        </w:r>
      </w:hyperlink>
      <w:r>
        <w:t>) na qual toda a comunidade próxima participava. Apenas quanto tempo esta festa específica durou é desconhecido, mas alguns festivais de casamento continuaram por uma semana, como no caso do casamento entre Sansão e a mulher de Timná (</w:t>
      </w:r>
      <w:hyperlink r:id="rId9230">
        <w:r>
          <w:rPr>
            <w:color w:val="0000EE"/>
            <w:u w:val="single"/>
          </w:rPr>
          <w:t>Jz 14.17</w:t>
        </w:r>
      </w:hyperlink>
      <w:r>
        <w:t>). O vinho que alegra o coração do homem (</w:t>
      </w:r>
      <w:hyperlink r:id="rId5642">
        <w:r>
          <w:rPr>
            <w:color w:val="0000EE"/>
            <w:u w:val="single"/>
          </w:rPr>
          <w:t>Sl 104.15</w:t>
        </w:r>
      </w:hyperlink>
      <w:r>
        <w:t>) era consumido livremente em tais ocasiões.</w:t>
      </w:r>
    </w:p>
    <w:p>
      <w:r/>
      <w:r>
        <w:t>Os aniversários eram muitas vezes celebrados em um espírito festivo, especialmente onde uma pessoa da realeza era o foco (</w:t>
      </w:r>
      <w:hyperlink r:id="rId3883">
        <w:r>
          <w:rPr>
            <w:color w:val="0000EE"/>
            <w:u w:val="single"/>
          </w:rPr>
          <w:t>Gn 40.20</w:t>
        </w:r>
      </w:hyperlink>
      <w:r>
        <w:t>). O sonho de Salomão foi comemorado com uma festa fornecida para seus servos (</w:t>
      </w:r>
      <w:hyperlink r:id="rId9231">
        <w:r>
          <w:rPr>
            <w:color w:val="0000EE"/>
            <w:u w:val="single"/>
          </w:rPr>
          <w:t>1Rs 3.15</w:t>
        </w:r>
      </w:hyperlink>
      <w:r>
        <w:t>), e quando o templo foi dedicado, a ocasião foi celebrada por uma semana inteira (</w:t>
      </w:r>
      <w:hyperlink r:id="rId9232">
        <w:r>
          <w:rPr>
            <w:color w:val="0000EE"/>
            <w:u w:val="single"/>
          </w:rPr>
          <w:t>8.65</w:t>
        </w:r>
      </w:hyperlink>
      <w:r>
        <w:t xml:space="preserve">). Reis e rainhas realizavam festas periodicamente para marcar certas ocasiões ou expressar boa vontade (cf. </w:t>
      </w:r>
      <w:hyperlink r:id="rId9233">
        <w:r>
          <w:rPr>
            <w:color w:val="0000EE"/>
            <w:u w:val="single"/>
          </w:rPr>
          <w:t>Et 1.3</w:t>
        </w:r>
      </w:hyperlink>
      <w:r>
        <w:t xml:space="preserve">; </w:t>
      </w:r>
      <w:hyperlink r:id="rId3099">
        <w:r>
          <w:rPr>
            <w:color w:val="0000EE"/>
            <w:u w:val="single"/>
          </w:rPr>
          <w:t>2.18</w:t>
        </w:r>
      </w:hyperlink>
      <w:r>
        <w:t xml:space="preserve">; </w:t>
      </w:r>
      <w:hyperlink r:id="rId9234">
        <w:r>
          <w:rPr>
            <w:color w:val="0000EE"/>
            <w:u w:val="single"/>
          </w:rPr>
          <w:t>5.4, 14</w:t>
        </w:r>
      </w:hyperlink>
      <w:r>
        <w:t xml:space="preserve">; </w:t>
      </w:r>
      <w:hyperlink r:id="rId9235">
        <w:r>
          <w:rPr>
            <w:color w:val="0000EE"/>
            <w:u w:val="single"/>
          </w:rPr>
          <w:t>7.2, 7</w:t>
        </w:r>
      </w:hyperlink>
      <w:r>
        <w:t xml:space="preserve">; </w:t>
      </w:r>
      <w:hyperlink r:id="rId9236">
        <w:r>
          <w:rPr>
            <w:color w:val="0000EE"/>
            <w:u w:val="single"/>
          </w:rPr>
          <w:t>Dn 5.1</w:t>
        </w:r>
      </w:hyperlink>
      <w:r>
        <w:t>). Os pastores tradicionalmente faziam uma festa para a tosa das primeiras ovelhas (</w:t>
      </w:r>
      <w:hyperlink r:id="rId9237">
        <w:r>
          <w:rPr>
            <w:color w:val="0000EE"/>
            <w:u w:val="single"/>
          </w:rPr>
          <w:t>Dt 18.4</w:t>
        </w:r>
      </w:hyperlink>
      <w:r>
        <w:t>).</w:t>
      </w:r>
    </w:p>
    <w:p>
      <w:pPr>
        <w:pStyle w:val="Heading4"/>
      </w:pPr>
      <w:r>
        <w:t>Festivais pré-exílicos</w:t>
      </w:r>
    </w:p>
    <w:p>
      <w:r/>
      <w:r>
        <w:t xml:space="preserve">Além dos festivais gerais, que eram frequentemente de natureza laica (secular), as festas públicas eram prescritas para os israelitas que tinham um significado especificamente espiritual. Eles deveriam enfatizar a atividade de Deus em nome de seu povo e lembrá-los de que a bênção divina contínua dependia de sua obediência à sua vontade. O catálogo de festivais em </w:t>
      </w:r>
      <w:hyperlink r:id="rId9238">
        <w:r>
          <w:rPr>
            <w:color w:val="0000EE"/>
            <w:u w:val="single"/>
          </w:rPr>
          <w:t>Levítico 23.2</w:t>
        </w:r>
      </w:hyperlink>
      <w:r>
        <w:t xml:space="preserve"> começou com uma obrigação para observar o sábado. O sétimo dia, em que Deus parou de criar (</w:t>
      </w:r>
      <w:hyperlink r:id="rId7018">
        <w:r>
          <w:rPr>
            <w:color w:val="0000EE"/>
            <w:u w:val="single"/>
          </w:rPr>
          <w:t>Gn 2.3</w:t>
        </w:r>
      </w:hyperlink>
      <w:r>
        <w:t>), era santo, embora seja difícil determinar em que medida era guardado até o tempo de Moisés (</w:t>
      </w:r>
      <w:hyperlink r:id="rId802">
        <w:r>
          <w:rPr>
            <w:color w:val="0000EE"/>
            <w:u w:val="single"/>
          </w:rPr>
          <w:t>Êx 20.8–11</w:t>
        </w:r>
      </w:hyperlink>
      <w:r>
        <w:t>). Daquele momento em diante, a observância do sábado enfatizou a abstenção de todo o trabalho assim como para comemorar adequadamente o próprio descanso de Deus da atividade criativa (</w:t>
      </w:r>
      <w:hyperlink r:id="rId9239">
        <w:r>
          <w:rPr>
            <w:color w:val="0000EE"/>
            <w:u w:val="single"/>
          </w:rPr>
          <w:t>31.17</w:t>
        </w:r>
      </w:hyperlink>
      <w:r>
        <w:t>) e sua libertação de seu povo da escravidão no Egito (</w:t>
      </w:r>
      <w:hyperlink r:id="rId803">
        <w:r>
          <w:rPr>
            <w:color w:val="0000EE"/>
            <w:u w:val="single"/>
          </w:rPr>
          <w:t>Dt 5.12–15</w:t>
        </w:r>
      </w:hyperlink>
      <w:r>
        <w:t>). A celebração do sábado era o sinal de um relacionamento especial entre Deus e os israelitas. Durante este período de 24 horas, até mesmo tarefas triviais como fazer fogo (</w:t>
      </w:r>
      <w:hyperlink r:id="rId9240">
        <w:r>
          <w:rPr>
            <w:color w:val="0000EE"/>
            <w:u w:val="single"/>
          </w:rPr>
          <w:t>Êx 35.3</w:t>
        </w:r>
      </w:hyperlink>
      <w:r>
        <w:t>) ou coletar madeira (</w:t>
      </w:r>
      <w:hyperlink r:id="rId9241">
        <w:r>
          <w:rPr>
            <w:color w:val="0000EE"/>
            <w:u w:val="single"/>
          </w:rPr>
          <w:t>Nm 15.32–33</w:t>
        </w:r>
      </w:hyperlink>
      <w:r>
        <w:t>) eram proibidas sob pena de morte. Viagens de qualquer distância também estavam sob a proibição do sábado (</w:t>
      </w:r>
      <w:hyperlink r:id="rId1966">
        <w:r>
          <w:rPr>
            <w:color w:val="0000EE"/>
            <w:u w:val="single"/>
          </w:rPr>
          <w:t>Êx 16.29</w:t>
        </w:r>
      </w:hyperlink>
      <w:r>
        <w:t>). As ofertas especiais faziam parte da observância (</w:t>
      </w:r>
      <w:hyperlink r:id="rId9242">
        <w:r>
          <w:rPr>
            <w:color w:val="0000EE"/>
            <w:u w:val="single"/>
          </w:rPr>
          <w:t>Nm 28.9–10</w:t>
        </w:r>
      </w:hyperlink>
      <w:r>
        <w:t>), e o pão da Presença era substituído no tabernáculo (</w:t>
      </w:r>
      <w:hyperlink r:id="rId9243">
        <w:r>
          <w:rPr>
            <w:color w:val="0000EE"/>
            <w:u w:val="single"/>
          </w:rPr>
          <w:t>Lv 24.5–8</w:t>
        </w:r>
      </w:hyperlink>
      <w:r>
        <w:t xml:space="preserve">). Apesar das restrições de atividade, o sábado deveria simbolizar um tempo de felicidade e segurança na presença de Deus (cf. </w:t>
      </w:r>
      <w:hyperlink r:id="rId9244">
        <w:r>
          <w:rPr>
            <w:color w:val="0000EE"/>
            <w:u w:val="single"/>
          </w:rPr>
          <w:t>Is 58.13–14</w:t>
        </w:r>
      </w:hyperlink>
      <w:r>
        <w:t>), uma vez que sua observância traria bênção ao indivíduo e a toda a terra.</w:t>
      </w:r>
    </w:p>
    <w:p>
      <w:r/>
      <w:r>
        <w:t>Festival da Lua Nova</w:t>
      </w:r>
    </w:p>
    <w:p>
      <w:r/>
      <w:r>
        <w:t>A lua nova era uma celebração mensal baseada no calendário lunar. Era especialmente apropriada para um povo agrícola, uma vez que todos poderiam dizer quando a lua era nova. Ofertas especiais eram prescritas para este festival, consistindo em um sacrifício queimado, uma oferta de grãos e uma oferta de bebida (</w:t>
      </w:r>
      <w:hyperlink r:id="rId514">
        <w:r>
          <w:rPr>
            <w:color w:val="0000EE"/>
            <w:u w:val="single"/>
          </w:rPr>
          <w:t>Nm 28.11–15</w:t>
        </w:r>
      </w:hyperlink>
      <w:r>
        <w:t>). Além disso, um bode macho era sacrificado a Deus como uma oferta pelo pecado, e toques de trombeta eram tocadas sobre as ofertas sacrificiais como um memorial diante de Deus (</w:t>
      </w:r>
      <w:hyperlink r:id="rId9245">
        <w:r>
          <w:rPr>
            <w:color w:val="0000EE"/>
            <w:u w:val="single"/>
          </w:rPr>
          <w:t>10.10</w:t>
        </w:r>
      </w:hyperlink>
      <w:r>
        <w:t xml:space="preserve">). Os sacrifícios prescritos para o festival da lua nova eram significativamente maiores do que aqueles exigidos em </w:t>
      </w:r>
      <w:hyperlink r:id="rId9242">
        <w:r>
          <w:rPr>
            <w:color w:val="0000EE"/>
            <w:u w:val="single"/>
          </w:rPr>
          <w:t>Números 28.9–10</w:t>
        </w:r>
      </w:hyperlink>
      <w:r>
        <w:t xml:space="preserve"> para o sábado semanal.</w:t>
      </w:r>
    </w:p>
    <w:p>
      <w:r/>
      <w:r>
        <w:t>Esta festa lunar foi popular ao longo da história israelita. Durante a monarquia, os levitas eram obrigados a assistir aos sacerdotes aarônicos no festival da lua nova, bem como no sábado (</w:t>
      </w:r>
      <w:hyperlink r:id="rId9246">
        <w:r>
          <w:rPr>
            <w:color w:val="0000EE"/>
            <w:u w:val="single"/>
          </w:rPr>
          <w:t>1Cr 23.29–31</w:t>
        </w:r>
      </w:hyperlink>
      <w:r>
        <w:t xml:space="preserve">). Os profetas pré-exílicos podem muito bem ter se aproveitado das grandes reuniões para dar orientação às pessoas ou proclamar oráculos proféticos (cf. </w:t>
      </w:r>
      <w:hyperlink r:id="rId9247">
        <w:r>
          <w:rPr>
            <w:color w:val="0000EE"/>
            <w:u w:val="single"/>
          </w:rPr>
          <w:t>2Rs 4.23</w:t>
        </w:r>
      </w:hyperlink>
      <w:r>
        <w:t>), embora até que ponto isso era feito seja incerto. Nem todos achavam o período de descanso e celebração valioso, no entanto, e Amós (</w:t>
      </w:r>
      <w:hyperlink r:id="rId2985">
        <w:r>
          <w:rPr>
            <w:color w:val="0000EE"/>
            <w:u w:val="single"/>
          </w:rPr>
          <w:t>Am 8.5</w:t>
        </w:r>
      </w:hyperlink>
      <w:r>
        <w:t xml:space="preserve">) se queixou dos israelitas avarentos que sentiam que tais observâncias interferiam no negócio de ganhar a vida. A festa não poderia ser observada quando os judeus estavam no exílio na Babilônia (cf. </w:t>
      </w:r>
      <w:hyperlink r:id="rId9248">
        <w:r>
          <w:rPr>
            <w:color w:val="0000EE"/>
            <w:u w:val="single"/>
          </w:rPr>
          <w:t>Os 2.11</w:t>
        </w:r>
      </w:hyperlink>
      <w:r>
        <w:t>), mas sob Esdras e Neemias, sua observância foi restaurada (</w:t>
      </w:r>
      <w:hyperlink r:id="rId9249">
        <w:r>
          <w:rPr>
            <w:color w:val="0000EE"/>
            <w:u w:val="single"/>
          </w:rPr>
          <w:t>Ne 10.33</w:t>
        </w:r>
      </w:hyperlink>
      <w:r>
        <w:t xml:space="preserve">). Em </w:t>
      </w:r>
      <w:hyperlink r:id="rId9250">
        <w:r>
          <w:rPr>
            <w:color w:val="0000EE"/>
            <w:u w:val="single"/>
          </w:rPr>
          <w:t>Isaías 66.22–23</w:t>
        </w:r>
      </w:hyperlink>
      <w:r>
        <w:t>, estava relacionado com o destino final de Israel e era uma parte aceita das ordenanças para o templo ideal de Ezequiel (</w:t>
      </w:r>
      <w:hyperlink r:id="rId9251">
        <w:r>
          <w:rPr>
            <w:color w:val="0000EE"/>
            <w:u w:val="single"/>
          </w:rPr>
          <w:t>Ez 45.17</w:t>
        </w:r>
      </w:hyperlink>
      <w:r>
        <w:t>).</w:t>
      </w:r>
    </w:p>
    <w:p>
      <w:r/>
      <w:r>
        <w:t xml:space="preserve">O propósito do festival era melhorar a unidade da vida nacional, lembrando aos israelitas que a aliança de Deus com seus antepassados era permanente e ainda obrigatória para a nação. Também enfatizava a natureza amorosa e providencial de um Deus que poderia começar um relacionamento desse tipo e realizar suas promessas com fidelidade completa (cf. </w:t>
      </w:r>
      <w:hyperlink r:id="rId9252">
        <w:r>
          <w:rPr>
            <w:color w:val="0000EE"/>
            <w:u w:val="single"/>
          </w:rPr>
          <w:t>Sl 104.19</w:t>
        </w:r>
      </w:hyperlink>
      <w:r>
        <w:t>).</w:t>
      </w:r>
    </w:p>
    <w:p>
      <w:r/>
      <w:r>
        <w:t>O Festival das Trombetas</w:t>
      </w:r>
    </w:p>
    <w:p>
      <w:r/>
      <w:r>
        <w:t>O Festival das Trombetas era celebrado no primeiro dia da sétima lua nova. Este mês, posteriormente chamado de Tishri, era especialmente santo, e por esta razão era governado por certos regulamentos diferentes dos festivais comuns da lua nova. As trombetas eram tocadas no primeiro dia (</w:t>
      </w:r>
      <w:hyperlink r:id="rId9253">
        <w:r>
          <w:rPr>
            <w:color w:val="0000EE"/>
            <w:u w:val="single"/>
          </w:rPr>
          <w:t>Lv 23.24</w:t>
        </w:r>
      </w:hyperlink>
      <w:r>
        <w:t xml:space="preserve">) quando os sacrifícios de animais e cereais eram oferecidos. A partir de </w:t>
      </w:r>
      <w:hyperlink r:id="rId9254">
        <w:r>
          <w:rPr>
            <w:color w:val="0000EE"/>
            <w:u w:val="single"/>
          </w:rPr>
          <w:t>Números 29.2–6</w:t>
        </w:r>
      </w:hyperlink>
      <w:r>
        <w:t xml:space="preserve">, parece que as ofertas exigidas para esta festa específica excediam as prescritas para o sacrifício normal do sábado, mas eram de alguma forma menores do que as exigidas para o festival contínuo da lua nova (cf. </w:t>
      </w:r>
      <w:hyperlink r:id="rId9255">
        <w:r>
          <w:rPr>
            <w:color w:val="0000EE"/>
            <w:u w:val="single"/>
          </w:rPr>
          <w:t>Nm 28.11</w:t>
        </w:r>
      </w:hyperlink>
      <w:r>
        <w:t>). Esta festa deveria ser observada como um dia de descanso solene e como uma convocação santa, e as trombetas eram tocadas como um memorial triunfante da grande provisão de Deus para seu povo através da aliança do Sinai.</w:t>
      </w:r>
    </w:p>
    <w:p>
      <w:r/>
      <w:r>
        <w:t>O sétimo mês era especialmente sagrado, em parte por causa de seu lugar no ciclo sagrado dos setes, mas também porque o Dia da Expiação (ou Yom Kippur) e a Festa dos Tabernáculos, ou Tendas (Abrigos), ocorreram durante este período. A última festa seguia o Dia da Expiação por cerca de cinco dias (</w:t>
      </w:r>
      <w:hyperlink r:id="rId9256">
        <w:r>
          <w:rPr>
            <w:color w:val="0000EE"/>
            <w:u w:val="single"/>
          </w:rPr>
          <w:t>Lv 23.33</w:t>
        </w:r>
      </w:hyperlink>
      <w:r>
        <w:t>), e seu caráter alegre servia para compensar um pouco a solenidade da ocasião penitencial anual, quando a nação confessava seus pecados coletivos e os via banidos simbolicamente para o deserto enquanto o bode expiatório era expulso da congregação.</w:t>
      </w:r>
    </w:p>
    <w:p>
      <w:r/>
      <w:r>
        <w:t>O Ano Sabático</w:t>
      </w:r>
    </w:p>
    <w:p>
      <w:r/>
      <w:r>
        <w:t>Outro festival intimamente conectado com a instituição do sábado era o ano sabático. No final de cada ciclo de seis anos, os 12 meses seguintes eram observados como um “sábado de descanso para a terra”. Durante este intervalo, o terreno deveria descansar (</w:t>
      </w:r>
      <w:hyperlink r:id="rId3467">
        <w:r>
          <w:rPr>
            <w:color w:val="0000EE"/>
            <w:u w:val="single"/>
          </w:rPr>
          <w:t>Êx 23.11</w:t>
        </w:r>
      </w:hyperlink>
      <w:r>
        <w:t>) sem qualquer forma de cultivo, e tudo o que brotava e crescia naturalmente era atribuído aos pobres e necessitados (</w:t>
      </w:r>
      <w:hyperlink r:id="rId8147">
        <w:r>
          <w:rPr>
            <w:color w:val="0000EE"/>
            <w:u w:val="single"/>
          </w:rPr>
          <w:t>Lv 25.6</w:t>
        </w:r>
      </w:hyperlink>
      <w:r>
        <w:t xml:space="preserve">). Esta provisão para a própria terra constituía um dos princípios ecológicos mais importantes das Escrituras. Como o povo de Deus, a terra era santa, e assim como eles precisavam ter intervalos regulares de descanso do trabalho diário para recuperar sua energia e vitalidade espiritual através da adoração, o terreno precisava descansar e se recuperar da tensão do cultivo constante. O festival lembrava aos israelitas que a terra em que eles viviam havia sido dada a eles por Deus em seu cumprimento de sua aliança de prover ricamente suas necessidades físicas (cf. </w:t>
      </w:r>
      <w:hyperlink r:id="rId5107">
        <w:r>
          <w:rPr>
            <w:color w:val="0000EE"/>
            <w:u w:val="single"/>
          </w:rPr>
          <w:t>Dt 8.7–10</w:t>
        </w:r>
      </w:hyperlink>
      <w:r>
        <w:t>). Para evitar que os israelitas experimentassem qualquer escassez ou outras privações durante o ano sabático, Deus prometeu que no ano imediatamente anterior ao período sabático, a terra produziria frutos suficientes para os próximos três anos (</w:t>
      </w:r>
      <w:hyperlink r:id="rId1967">
        <w:r>
          <w:rPr>
            <w:color w:val="0000EE"/>
            <w:u w:val="single"/>
          </w:rPr>
          <w:t>Lv 25.21</w:t>
        </w:r>
      </w:hyperlink>
      <w:r>
        <w:t>). Esta garantia foi baseada na experiência das peregrinações no deserto, quando, no sexto dia da semana, o maná aparecia para durar suficientemente até o sábado (</w:t>
      </w:r>
      <w:hyperlink r:id="rId9257">
        <w:r>
          <w:rPr>
            <w:color w:val="0000EE"/>
            <w:u w:val="single"/>
          </w:rPr>
          <w:t>Êx 16.5</w:t>
        </w:r>
      </w:hyperlink>
      <w:r>
        <w:t>).</w:t>
      </w:r>
    </w:p>
    <w:p>
      <w:r/>
      <w:r>
        <w:t xml:space="preserve">No período deste festival, a reivindicação absoluta de Deus sobre a terra era reafirmada (cf. </w:t>
      </w:r>
      <w:hyperlink r:id="rId1955">
        <w:r>
          <w:rPr>
            <w:color w:val="0000EE"/>
            <w:u w:val="single"/>
          </w:rPr>
          <w:t>Lv 25.23</w:t>
        </w:r>
      </w:hyperlink>
      <w:r>
        <w:t>), e a fé da nação na capacidade de Deus de prover para necessidades futuras era reforçada. As provisões que libertavam a terra por um ano da escravidão agrícola eram paralelas ao sétimo ano de descanso daqueles que exigiam a libertação de escravos e devedores. Esses membros desfavorecidos da sociedade deveriam ser libertos de suas obrigações de servidão. Como resultado, homens e mulheres que haviam se tornado escravos por uma razão ou outra recebiam liberdade pessoal (</w:t>
      </w:r>
      <w:hyperlink r:id="rId9258">
        <w:r>
          <w:rPr>
            <w:color w:val="0000EE"/>
            <w:u w:val="single"/>
          </w:rPr>
          <w:t>Êx 21.2–6</w:t>
        </w:r>
      </w:hyperlink>
      <w:r>
        <w:t>), e sob a proclamação da libertação do Senhor, as disposições que se aplicavam à dívida eram anuladas (</w:t>
      </w:r>
      <w:hyperlink r:id="rId9259">
        <w:r>
          <w:rPr>
            <w:color w:val="0000EE"/>
            <w:u w:val="single"/>
          </w:rPr>
          <w:t>Dt 15.1–6</w:t>
        </w:r>
      </w:hyperlink>
      <w:r>
        <w:t xml:space="preserve">). O ano sabático parece ter sido uma parte regular da vida israelita pré-exílica, embora alguns abusos tenham sido observados em </w:t>
      </w:r>
      <w:hyperlink r:id="rId9260">
        <w:r>
          <w:rPr>
            <w:color w:val="0000EE"/>
            <w:u w:val="single"/>
          </w:rPr>
          <w:t>Jeremias 34.8–22</w:t>
        </w:r>
      </w:hyperlink>
      <w:r>
        <w:t>. Lá, o profeta aproveitou a oportunidade apresentada para instruir as pessoas na natureza e no propósito da ordenança do ano sabático. Ele também advertiu os judeus rebeldes que, porque eles haviam desobedecido aos mandamentos de Deus ao negar a liberdade adequada aos seus escravos, eles teriam sua própria liberdade tirada de uma maneira muito mais séria ao serem levados cativos para a Babilônia depois de verem sua terra destruída. A lição não foi perdida por aqueles que voltaram do exílio, pois sob a administração de Neemias, os judeus se ligaram por uma aliança para observar o princípio do ano sabático (</w:t>
      </w:r>
      <w:hyperlink r:id="rId9261">
        <w:r>
          <w:rPr>
            <w:color w:val="0000EE"/>
            <w:u w:val="single"/>
          </w:rPr>
          <w:t>Ne 10.31</w:t>
        </w:r>
      </w:hyperlink>
      <w:r>
        <w:t>). Este empreendimento evidentemente tomou seu ímpeto da leitura da lei de Moisés na Festa das Tendas (Abrigos), que coincidentemente ocorreu no início do ano sabático (</w:t>
      </w:r>
      <w:hyperlink r:id="rId9262">
        <w:r>
          <w:rPr>
            <w:color w:val="0000EE"/>
            <w:u w:val="single"/>
          </w:rPr>
          <w:t>Ne 8.13–18</w:t>
        </w:r>
      </w:hyperlink>
      <w:r>
        <w:t>).</w:t>
      </w:r>
    </w:p>
    <w:p>
      <w:r/>
      <w:r>
        <w:t>Jubileu</w:t>
      </w:r>
    </w:p>
    <w:p>
      <w:r/>
      <w:r>
        <w:t>Outra festa ainda baseada no princípio do sábado era o Ano do Jubileu, ou ano pentecostal (</w:t>
      </w:r>
      <w:hyperlink r:id="rId9263">
        <w:r>
          <w:rPr>
            <w:color w:val="0000EE"/>
            <w:u w:val="single"/>
          </w:rPr>
          <w:t>Lv 25.8–55</w:t>
        </w:r>
      </w:hyperlink>
      <w:r>
        <w:t xml:space="preserve">; </w:t>
      </w:r>
      <w:hyperlink r:id="rId9264">
        <w:r>
          <w:rPr>
            <w:color w:val="0000EE"/>
            <w:u w:val="single"/>
          </w:rPr>
          <w:t>27.17–24</w:t>
        </w:r>
      </w:hyperlink>
      <w:r>
        <w:t>). Como o ano sabático estava relacionado com o conceito do sétimo dia, o ano pentecostal (50º) marcava a conclusão de um ciclo de sete anos sabáticos. O início de um ano jubilar era proclamado no Dia da Expiação em toda a terra por meio de toques de trombeta (</w:t>
      </w:r>
      <w:hyperlink r:id="rId1956">
        <w:r>
          <w:rPr>
            <w:color w:val="0000EE"/>
            <w:u w:val="single"/>
          </w:rPr>
          <w:t>Lv 25.9</w:t>
        </w:r>
      </w:hyperlink>
      <w:r>
        <w:t>). As atividades que ocorreriam durante o ano pentecostal eram semelhantes às prescritas para o ano sabático. Uma característica especial era que a terra que havia sido vendida durante os 49 anos anteriores era devolvida aos seus proprietários originais, um procedimento que às vezes envolvia ajustes financeiros. Para evitar o abuso do processo através do oportunismo ou especulação, os hebreus eram instruídos a lidar de forma justa e honesta uns com os outros no temor de Deus, que era o verdadeiro proprietário da terra (</w:t>
      </w:r>
      <w:hyperlink r:id="rId9265">
        <w:r>
          <w:rPr>
            <w:color w:val="0000EE"/>
            <w:u w:val="single"/>
          </w:rPr>
          <w:t>Lv 25.14–17</w:t>
        </w:r>
      </w:hyperlink>
      <w:r>
        <w:t>). Como no ano sabático, Deus prometeu prover antes do ano jubilar para que ninguém sofresse privações. Foi durante o Ano do Jubileu que aqueles que eram escravos nas famílias hebraicas receberam sua liberdade, para que todos na terra começassem um novo ciclo de anos sabáticos em pé de igualdade, como pessoas livres sob Deus.</w:t>
      </w:r>
    </w:p>
    <w:p>
      <w:pPr>
        <w:pStyle w:val="Heading4"/>
      </w:pPr>
      <w:r>
        <w:t>Festivais sazonais</w:t>
      </w:r>
    </w:p>
    <w:p>
      <w:r/>
      <w:r>
        <w:t xml:space="preserve">Três festivais anuais que seguiam as estações do ano, em vez de fases da lua, forneciam ocasiões importantes para comemorar o poder e a provisão de Deus na vida nacional. Esses festivais eram designados pelo termo </w:t>
      </w:r>
      <w:r>
        <w:rPr>
          <w:i/>
        </w:rPr>
        <w:t>hag</w:t>
      </w:r>
      <w:r>
        <w:t xml:space="preserve">, indicando um festival geralmente observado por algum tipo de peregrinação. Esses três festivais foram prescritos em </w:t>
      </w:r>
      <w:hyperlink r:id="rId9266">
        <w:r>
          <w:rPr>
            <w:color w:val="0000EE"/>
            <w:u w:val="single"/>
          </w:rPr>
          <w:t>Êxodo 23.14–17</w:t>
        </w:r>
      </w:hyperlink>
      <w:r>
        <w:t xml:space="preserve"> e </w:t>
      </w:r>
      <w:hyperlink r:id="rId398">
        <w:r>
          <w:rPr>
            <w:color w:val="0000EE"/>
            <w:u w:val="single"/>
          </w:rPr>
          <w:t>Deuteronômio 16.16</w:t>
        </w:r>
      </w:hyperlink>
      <w:r>
        <w:t>, e consistiam na Festa da Páscoa e Pães sem fermento, na Festa das Semanas (Pentecostes) e na Festa das Tendas (Tabernáculos). Nessas ocasiões, todos os machos de Israel receberam ordens de fazer peregrinação ao santuário e celebrar esses festivais (</w:t>
      </w:r>
      <w:hyperlink r:id="rId7019">
        <w:r>
          <w:rPr>
            <w:color w:val="0000EE"/>
            <w:u w:val="single"/>
          </w:rPr>
          <w:t>Êx 12.14</w:t>
        </w:r>
      </w:hyperlink>
      <w:r>
        <w:t>). A Páscoa e a Festa dos Pães sem Fermento eram originalmente ordenanças separadas, mas uma vez que estas sempre seguiam imediatamente após o rito de Páscoa, elas naturalmente se misturavam em uma única festa.</w:t>
      </w:r>
    </w:p>
    <w:p>
      <w:r/>
      <w:r>
        <w:t>Páscoa</w:t>
      </w:r>
    </w:p>
    <w:p>
      <w:r/>
      <w:r>
        <w:t>A Páscoa era de supremo significado teológico para os israelitas, uma vez que marcou um dos atos mais importantes de intervenção divina em sua história, o início de sua libertação da escravidão no Egito, quando, na praga final, Deus destruiu os primogênitos dos egípcios, mas poupou aqueles israelitas que tinham suas casas manchadas de sangue nos umbrais das portas (</w:t>
      </w:r>
      <w:hyperlink r:id="rId9267">
        <w:r>
          <w:rPr>
            <w:color w:val="0000EE"/>
            <w:u w:val="single"/>
          </w:rPr>
          <w:t>Êx 12.11–30</w:t>
        </w:r>
      </w:hyperlink>
      <w:r>
        <w:t xml:space="preserve">). Deus ordenou que o dia fosse observado como uma festa memorial (v. </w:t>
      </w:r>
      <w:hyperlink r:id="rId7019">
        <w:r>
          <w:rPr>
            <w:color w:val="0000EE"/>
            <w:u w:val="single"/>
          </w:rPr>
          <w:t>14</w:t>
        </w:r>
      </w:hyperlink>
      <w:r>
        <w:t>), e a próxima celebração da Páscoa ocorreu no Deserto do Sinai (</w:t>
      </w:r>
      <w:hyperlink r:id="rId9268">
        <w:r>
          <w:rPr>
            <w:color w:val="0000EE"/>
            <w:u w:val="single"/>
          </w:rPr>
          <w:t>Nm 9.1–5</w:t>
        </w:r>
      </w:hyperlink>
      <w:r>
        <w:t xml:space="preserve">). No calendário hebraico, o festival de Páscoa vinha no primeiro mês, chamado Abibe em </w:t>
      </w:r>
      <w:hyperlink r:id="rId9269">
        <w:r>
          <w:rPr>
            <w:color w:val="0000EE"/>
            <w:u w:val="single"/>
          </w:rPr>
          <w:t>Deuteronômio 16.1</w:t>
        </w:r>
      </w:hyperlink>
      <w:r>
        <w:t xml:space="preserve">, mas ficou conhecido após o exílio como Nisã (cf. </w:t>
      </w:r>
      <w:hyperlink r:id="rId4061">
        <w:r>
          <w:rPr>
            <w:color w:val="0000EE"/>
            <w:u w:val="single"/>
          </w:rPr>
          <w:t>Ne 2.1</w:t>
        </w:r>
      </w:hyperlink>
      <w:r>
        <w:t>). O rito de Páscoa ocorria na 14ª noite (</w:t>
      </w:r>
      <w:hyperlink r:id="rId7020">
        <w:r>
          <w:rPr>
            <w:color w:val="0000EE"/>
            <w:u w:val="single"/>
          </w:rPr>
          <w:t>Lv 23.5</w:t>
        </w:r>
      </w:hyperlink>
      <w:r>
        <w:t>), e isso era seguido por um período de sete dias durante o qual nada levedado (fermentado) era para ser comido. O princípio de remover todo o fermento do pão era semelhante ao que estava por trás da drenagem do sangue da carne animal. Tanto o fermento quanto o sangue tinham poder vivificante e deveriam ser mantidos separados como uma oferta a Deus. O primeiro e o sétimo dias deste período eram marcados por uma assembleia santa, durante a qual o único trabalho permitido era a preparação de alimentos (</w:t>
      </w:r>
      <w:hyperlink r:id="rId9270">
        <w:r>
          <w:rPr>
            <w:color w:val="0000EE"/>
            <w:u w:val="single"/>
          </w:rPr>
          <w:t>Êx 12.16</w:t>
        </w:r>
      </w:hyperlink>
      <w:r>
        <w:t>). Este período em que o pão sem fermento era comido foi descrito como um festival porque abria o período de sete semanas da colheita de grãos (</w:t>
      </w:r>
      <w:hyperlink r:id="rId9271">
        <w:r>
          <w:rPr>
            <w:color w:val="0000EE"/>
            <w:u w:val="single"/>
          </w:rPr>
          <w:t>Dt 16.9</w:t>
        </w:r>
      </w:hyperlink>
      <w:r>
        <w:t>). Durante esta festa, sacrifícios queimados especiais eram oferecidos, seguidos com um feixe de cevada recém-colhida na Festa das Primícias. Nos tempos do NT, os festivais de Páscoa e Pães Ázimos (sem fermento) eram celebrações bem frequentadas e eram conhecidos como os “dias dos pães ázimos” (</w:t>
      </w:r>
      <w:hyperlink r:id="rId9272">
        <w:r>
          <w:rPr>
            <w:color w:val="0000EE"/>
            <w:u w:val="single"/>
          </w:rPr>
          <w:t>Lc 22.1</w:t>
        </w:r>
      </w:hyperlink>
      <w:r>
        <w:t xml:space="preserve">; </w:t>
      </w:r>
      <w:hyperlink r:id="rId6266">
        <w:r>
          <w:rPr>
            <w:color w:val="0000EE"/>
            <w:u w:val="single"/>
          </w:rPr>
          <w:t>Atos 12.3</w:t>
        </w:r>
      </w:hyperlink>
      <w:r>
        <w:t>). O tema da libertação de Israel do poder do Egito por intervenção divina assegurava aos israelitas que Deus estava sempre pronto para agir em nome de um povo fiel e obediente da aliança. Também os lembrava que eles haviam sido escravos (</w:t>
      </w:r>
      <w:hyperlink r:id="rId9273">
        <w:r>
          <w:rPr>
            <w:color w:val="0000EE"/>
            <w:u w:val="single"/>
          </w:rPr>
          <w:t>Dt 16.12</w:t>
        </w:r>
      </w:hyperlink>
      <w:r>
        <w:t xml:space="preserve">). Na vida israelita, as primeiras observâncias dos Pães Ázimos e da Páscoa eram comparativamente simples em caráter, mas durante a monarquia rituais da Páscoa mais elaborados entraram em uso (cf. </w:t>
      </w:r>
      <w:hyperlink r:id="rId9274">
        <w:r>
          <w:rPr>
            <w:color w:val="0000EE"/>
            <w:u w:val="single"/>
          </w:rPr>
          <w:t>2Rs 23.21–23</w:t>
        </w:r>
      </w:hyperlink>
      <w:r>
        <w:t xml:space="preserve">; </w:t>
      </w:r>
      <w:hyperlink r:id="rId9275">
        <w:r>
          <w:rPr>
            <w:color w:val="0000EE"/>
            <w:u w:val="single"/>
          </w:rPr>
          <w:t>2Cr 35.1–19</w:t>
        </w:r>
      </w:hyperlink>
      <w:r>
        <w:t>).</w:t>
      </w:r>
    </w:p>
    <w:p>
      <w:r/>
      <w:r>
        <w:t>Pentecostes</w:t>
      </w:r>
    </w:p>
    <w:p>
      <w:r/>
      <w:r>
        <w:t>O segundo grande festival, Pentecostes (ou Semanas) durava apenas um dia e era observado no 50º dia após o feixe de cevada recém-colhido ter sido oferecido diante do Senhor no final da Festa dos Pães sem Fermento (</w:t>
      </w:r>
      <w:hyperlink r:id="rId6261">
        <w:r>
          <w:rPr>
            <w:color w:val="0000EE"/>
            <w:u w:val="single"/>
          </w:rPr>
          <w:t>Dt 16.9–12</w:t>
        </w:r>
      </w:hyperlink>
      <w:r>
        <w:t xml:space="preserve">). O festival marcava o fim da colheita da cevada e o início da colheita do trigo, o início do período em que as primícias poderiam ser oferecidas (cf. </w:t>
      </w:r>
      <w:hyperlink r:id="rId5106">
        <w:r>
          <w:rPr>
            <w:color w:val="0000EE"/>
            <w:u w:val="single"/>
          </w:rPr>
          <w:t>Êx 23.16</w:t>
        </w:r>
      </w:hyperlink>
      <w:r>
        <w:t xml:space="preserve">; </w:t>
      </w:r>
      <w:hyperlink r:id="rId4073">
        <w:r>
          <w:rPr>
            <w:color w:val="0000EE"/>
            <w:u w:val="single"/>
          </w:rPr>
          <w:t>34.22</w:t>
        </w:r>
      </w:hyperlink>
      <w:r>
        <w:t xml:space="preserve">; </w:t>
      </w:r>
      <w:hyperlink r:id="rId9276">
        <w:r>
          <w:rPr>
            <w:color w:val="0000EE"/>
            <w:u w:val="single"/>
          </w:rPr>
          <w:t>Nm 28.26</w:t>
        </w:r>
      </w:hyperlink>
      <w:r>
        <w:t>). O dia da festa era marcado pela apresentação de dois pães de farinha de trigo, juntamente com sacrifícios de sete cordeiros, dois carneiros e um novilho (</w:t>
      </w:r>
      <w:hyperlink r:id="rId9277">
        <w:r>
          <w:rPr>
            <w:color w:val="0000EE"/>
            <w:u w:val="single"/>
          </w:rPr>
          <w:t>Lv 23.15–20</w:t>
        </w:r>
      </w:hyperlink>
      <w:r>
        <w:t>). Os presentes de livre arbítrio (vontade) a Deus eram apresentados para refletir gratidão por suas bênçãos, e toda a ocasião era de alegria pública (</w:t>
      </w:r>
      <w:hyperlink r:id="rId9278">
        <w:r>
          <w:rPr>
            <w:color w:val="0000EE"/>
            <w:u w:val="single"/>
          </w:rPr>
          <w:t>Dt 16.10–11</w:t>
        </w:r>
      </w:hyperlink>
      <w:r>
        <w:t>). Uma vez que o Pentecostes era essencialmente um festival da colheita (</w:t>
      </w:r>
      <w:hyperlink r:id="rId5106">
        <w:r>
          <w:rPr>
            <w:color w:val="0000EE"/>
            <w:u w:val="single"/>
          </w:rPr>
          <w:t>Êx 23.16</w:t>
        </w:r>
      </w:hyperlink>
      <w:r>
        <w:t xml:space="preserve">), os israelitas eram chamados a reconhecer que eles dependiam inteiramente de Deus para sua prosperidade material. Em </w:t>
      </w:r>
      <w:hyperlink r:id="rId6958">
        <w:r>
          <w:rPr>
            <w:color w:val="0000EE"/>
            <w:u w:val="single"/>
          </w:rPr>
          <w:t>Deuteronômio 26</w:t>
        </w:r>
      </w:hyperlink>
      <w:r>
        <w:t>, instruções específicas foram dadas para o ritual de apresentar as primícias da colheita. Compreendia uma grande confissão de fé estabelecida dentro da estrutura da história de Israel, e recontava a libertação de Deus da nação da opressão egípcia e sua provisão de uma terra que poderia suprir amplamente as necessidades de seu povo.</w:t>
      </w:r>
    </w:p>
    <w:p>
      <w:r/>
      <w:r>
        <w:t>Festival dos Tabernáculos</w:t>
      </w:r>
    </w:p>
    <w:p>
      <w:r/>
      <w:r>
        <w:t>Este festival, conhecido de várias maneiras como a Festa das Tendas, Tabernáculos, Barracas (</w:t>
      </w:r>
      <w:hyperlink r:id="rId9279">
        <w:r>
          <w:rPr>
            <w:color w:val="0000EE"/>
            <w:u w:val="single"/>
          </w:rPr>
          <w:t>Lv 23.34</w:t>
        </w:r>
      </w:hyperlink>
      <w:r>
        <w:t xml:space="preserve">; </w:t>
      </w:r>
      <w:hyperlink r:id="rId9280">
        <w:r>
          <w:rPr>
            <w:color w:val="0000EE"/>
            <w:u w:val="single"/>
          </w:rPr>
          <w:t>Dt 16.13</w:t>
        </w:r>
      </w:hyperlink>
      <w:r>
        <w:t>), ou Colheita (</w:t>
      </w:r>
      <w:hyperlink r:id="rId4073">
        <w:r>
          <w:rPr>
            <w:color w:val="0000EE"/>
            <w:u w:val="single"/>
          </w:rPr>
          <w:t>Êx 34.22</w:t>
        </w:r>
      </w:hyperlink>
      <w:r>
        <w:t>), era a terceira grande ocasião que todos os homens hebreus eram obrigados a observar anualmente. Começava no 15º dia do sétimo mês (Tishri), logo após a observância do Dia da Expiação, que caía no 10º dia. A Festa das Cabanas durava uma semana e envolvia peregrinação. Estava associada inicialmente com o final do ano (</w:t>
      </w:r>
      <w:hyperlink r:id="rId4073">
        <w:r>
          <w:rPr>
            <w:color w:val="0000EE"/>
            <w:u w:val="single"/>
          </w:rPr>
          <w:t>Êx 34.22</w:t>
        </w:r>
      </w:hyperlink>
      <w:r>
        <w:t xml:space="preserve">), quando o trabalho agrícola havia sido concluído. O primeiro dia era marcado por uma pausa simbólica de toda a atividade, após a qual ofertas queimadas eram apresentadas ao Senhor. O oitavo dia também era aquele em que a congregação de Israel se abstinha do trabalho manual e novamente oferecia sacrifícios queimados. </w:t>
      </w:r>
      <w:hyperlink r:id="rId402">
        <w:r>
          <w:rPr>
            <w:color w:val="0000EE"/>
            <w:u w:val="single"/>
          </w:rPr>
          <w:t>Levítico 23.39–43</w:t>
        </w:r>
      </w:hyperlink>
      <w:r>
        <w:t xml:space="preserve"> forneceu detalhes para os rituais que deram ao festival seu nome especial de tendas, abrigos ou tabernáculos. O fruto das “árvores boas” deveria ser reunido no primeiro dia da festa, juntamente com folhas de palmeiras, ramos de salgueiro e ramos de árvores em folha cheia. Desses, abrigos ou cabanas rústicas deveriam ser construídas nas quais as pessoas moravam durante a semana da festa. A cada sétimo ano, as observâncias eram marcadas por um recital público das provisões da aliança com as quais os israelitas sob Moisés haviam se comprometido, um procedimento projetado para manter frescas em suas mentes, as obrigações, bem como as bênçãos do relacionamento da aliança. Uma observância especialmente significativa da Festa dos Tabernáculos ocorreu no tempo de Esdras, quando a comunidade judaica voltou da Babilônia — uma celebração de um tipo desconhecido há centenas de anos (</w:t>
      </w:r>
      <w:hyperlink r:id="rId9262">
        <w:r>
          <w:rPr>
            <w:color w:val="0000EE"/>
            <w:u w:val="single"/>
          </w:rPr>
          <w:t>Ne 8.13–18</w:t>
        </w:r>
      </w:hyperlink>
      <w:r>
        <w:t xml:space="preserve">). No contexto, parece que a observância da festa havia parado durante a monarquia. A festa em Siló, onde Ana foi confundida com uma mulher bêbada, e a festa referida em </w:t>
      </w:r>
      <w:hyperlink r:id="rId9281">
        <w:r>
          <w:rPr>
            <w:color w:val="0000EE"/>
            <w:u w:val="single"/>
          </w:rPr>
          <w:t>Juízes 21.19</w:t>
        </w:r>
      </w:hyperlink>
      <w:r>
        <w:t xml:space="preserve"> era, evidentemente, a Festa das Tendas. Em uma visão profética na qual ele viu todas as nações vindo a Jerusalém para observar a Festa das Tendas, Zacarias advertiu que aqueles que não continuaram esta tradição poderiam esperar sofrimento e escassez de comida (</w:t>
      </w:r>
      <w:hyperlink r:id="rId9282">
        <w:r>
          <w:rPr>
            <w:color w:val="0000EE"/>
            <w:u w:val="single"/>
          </w:rPr>
          <w:t>Zc 14.16–19</w:t>
        </w:r>
      </w:hyperlink>
      <w:r>
        <w:t>).</w:t>
      </w:r>
    </w:p>
    <w:p>
      <w:pPr>
        <w:pStyle w:val="Heading4"/>
      </w:pPr>
      <w:r>
        <w:t>Festivais pós-exílicos</w:t>
      </w:r>
    </w:p>
    <w:p>
      <w:r/>
      <w:r>
        <w:t>Há alguns festivais menores que foram criados no período após os judeus terem voltado do exílio; alguns desses festivais tiveram sua origem em ocasiões históricas específicas.</w:t>
      </w:r>
    </w:p>
    <w:p>
      <w:r/>
      <w:r>
        <w:t>O Festival de Purim</w:t>
      </w:r>
    </w:p>
    <w:p>
      <w:r/>
      <w:r>
        <w:t>O Festival de Purim, também conhecido como Festival de Sortes, era uma ocasião alegre que ocorria no 14º dia do 12º mês (Adar). Celebrava a maneira pela qual Ester e Mordecai foram usados por Deus para livrar seu povo no Império Persa do extermínio por Hamã (</w:t>
      </w:r>
      <w:hyperlink r:id="rId9283">
        <w:r>
          <w:rPr>
            <w:color w:val="0000EE"/>
            <w:u w:val="single"/>
          </w:rPr>
          <w:t>Et 9.21, 24–28</w:t>
        </w:r>
      </w:hyperlink>
      <w:r>
        <w:t xml:space="preserve">). A festa era observada no 14º dia de Adar por aqueles que viviam em aldeias, e no 15º dia pelos habitantes de vilas e cidades muradas. A explicação do nome do festival é dada em </w:t>
      </w:r>
      <w:hyperlink r:id="rId9284">
        <w:r>
          <w:rPr>
            <w:color w:val="0000EE"/>
            <w:u w:val="single"/>
          </w:rPr>
          <w:t>Ester 9.24–26</w:t>
        </w:r>
      </w:hyperlink>
      <w:r>
        <w:t>, e sua observância lembrava aos hebreus a capacidade de Deus de salvá-los durante um tempo de atividade antissemita na Pérsia. A libertação lembrada neste festival consolava os judeus em outras ocasiões quando eles sofriam perseguição. Tradicionalmente, o pergaminho de Ester era lido em voz alta na sinagoga na noite antes da festa, e havia um grande clamor, especialmente entre os filhos presentes, sempre que os nomes do odiado Hamã e seus filhos eram mencionados.</w:t>
      </w:r>
    </w:p>
    <w:p>
      <w:r/>
      <w:r>
        <w:t>Festival da Dedicação do Templo</w:t>
      </w:r>
    </w:p>
    <w:p>
      <w:r/>
      <w:r>
        <w:t>Outro festival alegre que durava oito dias era a Festa da Dedicação do Templo (</w:t>
      </w:r>
      <w:hyperlink r:id="rId9285">
        <w:r>
          <w:rPr>
            <w:color w:val="0000EE"/>
            <w:u w:val="single"/>
          </w:rPr>
          <w:t>1Mc 4.52–59</w:t>
        </w:r>
      </w:hyperlink>
      <w:r>
        <w:t xml:space="preserve">; </w:t>
      </w:r>
      <w:hyperlink r:id="rId9286">
        <w:r>
          <w:rPr>
            <w:color w:val="0000EE"/>
            <w:u w:val="single"/>
          </w:rPr>
          <w:t>2Mc 10.6–8</w:t>
        </w:r>
      </w:hyperlink>
      <w:r>
        <w:t>), familiar aos leitores modernos como Hanukkah, ou o Festival das Luzes. A dedicação específica que levou a festa ocorreu em 164 a.C., quando Judas Macabeu reconsagrou o templo em Jerusalém depois de ele ter sido contaminado por Antíoco IV Epifânio. As celebrações começavam no 25º dia do nono mês (Kislev) e eram marcadas à noite por luzes e lanternas brilhantes. As histórias de oposição corajosa dos macabeus às forças esmagadoras do paganismo eram contadas, e a festa era de louvor a Deus por sua maravilhosa libertação dos judeus durante o período macabeu.</w:t>
      </w:r>
    </w:p>
    <w:p>
      <w:pPr>
        <w:pStyle w:val="Heading3"/>
      </w:pPr>
      <w:r>
        <w:t>Festivais do Novo Testamento</w:t>
      </w:r>
    </w:p>
    <w:p>
      <w:r/>
      <w:r>
        <w:t xml:space="preserve">No tempo de Cristo, o sábado era observado rigorosamente e era a ocasião para a adoração na sinagoga (cf. </w:t>
      </w:r>
      <w:hyperlink r:id="rId9287">
        <w:r>
          <w:rPr>
            <w:color w:val="0000EE"/>
            <w:u w:val="single"/>
          </w:rPr>
          <w:t>Lc 4.16</w:t>
        </w:r>
      </w:hyperlink>
      <w:r>
        <w:t xml:space="preserve">; </w:t>
      </w:r>
      <w:hyperlink r:id="rId9288">
        <w:r>
          <w:rPr>
            <w:color w:val="0000EE"/>
            <w:u w:val="single"/>
          </w:rPr>
          <w:t>Atos 13.14</w:t>
        </w:r>
      </w:hyperlink>
      <w:r>
        <w:t xml:space="preserve">; </w:t>
      </w:r>
      <w:hyperlink r:id="rId5758">
        <w:r>
          <w:rPr>
            <w:color w:val="0000EE"/>
            <w:u w:val="single"/>
          </w:rPr>
          <w:t>18.4</w:t>
        </w:r>
      </w:hyperlink>
      <w:r>
        <w:t xml:space="preserve">). A lei farisaica proibia todo o trabalho, e Jesus entrou em conflito com as autoridades frequentemente por violações dos regulamentos do sábado (cf. </w:t>
      </w:r>
      <w:hyperlink r:id="rId9289">
        <w:r>
          <w:rPr>
            <w:color w:val="0000EE"/>
            <w:u w:val="single"/>
          </w:rPr>
          <w:t>Mt 12.1–4</w:t>
        </w:r>
      </w:hyperlink>
      <w:r>
        <w:t xml:space="preserve">; </w:t>
      </w:r>
      <w:hyperlink r:id="rId9290">
        <w:r>
          <w:rPr>
            <w:color w:val="0000EE"/>
            <w:u w:val="single"/>
          </w:rPr>
          <w:t>Mc 3.1–5</w:t>
        </w:r>
      </w:hyperlink>
      <w:r>
        <w:t xml:space="preserve">; </w:t>
      </w:r>
      <w:hyperlink r:id="rId9291">
        <w:r>
          <w:rPr>
            <w:color w:val="0000EE"/>
            <w:u w:val="single"/>
          </w:rPr>
          <w:t>Lc 13.10–17</w:t>
        </w:r>
      </w:hyperlink>
      <w:r>
        <w:t xml:space="preserve">). Na igreja primitiva, a adoração ocorria no “primeiro dia da semana” (isto é, domingo) para comemorar a ressurreição de Cristo. Os primeiros cristãos inicialmente participaram de cerimônias judaicas (cf. </w:t>
      </w:r>
      <w:hyperlink r:id="rId6285">
        <w:r>
          <w:rPr>
            <w:color w:val="0000EE"/>
            <w:u w:val="single"/>
          </w:rPr>
          <w:t>Atos 20.16</w:t>
        </w:r>
      </w:hyperlink>
      <w:r>
        <w:t xml:space="preserve">; </w:t>
      </w:r>
      <w:hyperlink r:id="rId9292">
        <w:r>
          <w:rPr>
            <w:color w:val="0000EE"/>
            <w:u w:val="single"/>
          </w:rPr>
          <w:t>1Co 16.8</w:t>
        </w:r>
      </w:hyperlink>
      <w:r>
        <w:t>). Foi durante a Festa de Pentecostes, após a ressurreição e ascensão de Cristo, que o Espírito foi derramado (</w:t>
      </w:r>
      <w:hyperlink r:id="rId9293">
        <w:r>
          <w:rPr>
            <w:color w:val="0000EE"/>
            <w:u w:val="single"/>
          </w:rPr>
          <w:t>Atos 2.1–4</w:t>
        </w:r>
      </w:hyperlink>
      <w:r>
        <w:t xml:space="preserve">), cumprindo </w:t>
      </w:r>
      <w:hyperlink r:id="rId845">
        <w:r>
          <w:rPr>
            <w:color w:val="0000EE"/>
            <w:u w:val="single"/>
          </w:rPr>
          <w:t>Joel 2.28–32</w:t>
        </w:r>
      </w:hyperlink>
      <w:r>
        <w:t xml:space="preserve"> e começando a história da igreja cristã como tal.</w:t>
      </w:r>
    </w:p>
    <w:p>
      <w:r/>
      <w:r>
        <w:t xml:space="preserve">A Páscoa e a Festa dos Pães sem Fermento eram de grande significado na vida de Cristo (cf. </w:t>
      </w:r>
      <w:hyperlink r:id="rId9294">
        <w:r>
          <w:rPr>
            <w:color w:val="0000EE"/>
            <w:u w:val="single"/>
          </w:rPr>
          <w:t>Jo 4.45</w:t>
        </w:r>
      </w:hyperlink>
      <w:r>
        <w:t xml:space="preserve">; </w:t>
      </w:r>
      <w:hyperlink r:id="rId6258">
        <w:r>
          <w:rPr>
            <w:color w:val="0000EE"/>
            <w:u w:val="single"/>
          </w:rPr>
          <w:t>5.1</w:t>
        </w:r>
      </w:hyperlink>
      <w:r>
        <w:t xml:space="preserve">; </w:t>
      </w:r>
      <w:hyperlink r:id="rId6257">
        <w:r>
          <w:rPr>
            <w:color w:val="0000EE"/>
            <w:u w:val="single"/>
          </w:rPr>
          <w:t>6.4</w:t>
        </w:r>
      </w:hyperlink>
      <w:r>
        <w:t xml:space="preserve">; </w:t>
      </w:r>
      <w:hyperlink r:id="rId9295">
        <w:r>
          <w:rPr>
            <w:color w:val="0000EE"/>
            <w:u w:val="single"/>
          </w:rPr>
          <w:t>12.1–26</w:t>
        </w:r>
      </w:hyperlink>
      <w:r>
        <w:t xml:space="preserve">), pois a ocasião era muito popular nos tempos do NT (cf. </w:t>
      </w:r>
      <w:hyperlink r:id="rId9296">
        <w:r>
          <w:rPr>
            <w:color w:val="0000EE"/>
            <w:u w:val="single"/>
          </w:rPr>
          <w:t>12.20</w:t>
        </w:r>
      </w:hyperlink>
      <w:r>
        <w:t>). Na Páscoa, Pilatos havia instituído o costume de clemência a um prisioneiro nomeado pela população (</w:t>
      </w:r>
      <w:hyperlink r:id="rId9297">
        <w:r>
          <w:rPr>
            <w:color w:val="0000EE"/>
            <w:u w:val="single"/>
          </w:rPr>
          <w:t>Mt 27.15</w:t>
        </w:r>
      </w:hyperlink>
      <w:r>
        <w:t xml:space="preserve">; </w:t>
      </w:r>
      <w:hyperlink r:id="rId9298">
        <w:r>
          <w:rPr>
            <w:color w:val="0000EE"/>
            <w:u w:val="single"/>
          </w:rPr>
          <w:t>Mc 15.6</w:t>
        </w:r>
      </w:hyperlink>
      <w:r>
        <w:t xml:space="preserve">). Jesus participou ativamente nos rituais da Páscoa (cf. </w:t>
      </w:r>
      <w:hyperlink r:id="rId9299">
        <w:r>
          <w:rPr>
            <w:color w:val="0000EE"/>
            <w:u w:val="single"/>
          </w:rPr>
          <w:t>Lc 2.42</w:t>
        </w:r>
      </w:hyperlink>
      <w:r>
        <w:t xml:space="preserve">; </w:t>
      </w:r>
      <w:hyperlink r:id="rId6256">
        <w:r>
          <w:rPr>
            <w:color w:val="0000EE"/>
            <w:u w:val="single"/>
          </w:rPr>
          <w:t>Jo 2.13</w:t>
        </w:r>
      </w:hyperlink>
      <w:r>
        <w:t xml:space="preserve">; </w:t>
      </w:r>
      <w:hyperlink r:id="rId6257">
        <w:r>
          <w:rPr>
            <w:color w:val="0000EE"/>
            <w:u w:val="single"/>
          </w:rPr>
          <w:t>6.4</w:t>
        </w:r>
      </w:hyperlink>
      <w:r>
        <w:t>). A Última Ceia com seus discípulos ocorreu pouco antes da Páscoa (</w:t>
      </w:r>
      <w:hyperlink r:id="rId4665">
        <w:r>
          <w:rPr>
            <w:color w:val="0000EE"/>
            <w:u w:val="single"/>
          </w:rPr>
          <w:t>Jo 13.1</w:t>
        </w:r>
      </w:hyperlink>
      <w:r>
        <w:t>), quando Judas Iscariotes traiu Jesus e o entregou aos fariseus (</w:t>
      </w:r>
      <w:hyperlink r:id="rId9300">
        <w:r>
          <w:rPr>
            <w:color w:val="0000EE"/>
            <w:u w:val="single"/>
          </w:rPr>
          <w:t>Lc 22.4–6</w:t>
        </w:r>
      </w:hyperlink>
      <w:r>
        <w:t>). O partir do pão e o beber do vinho naquela celebração da Páscoa (</w:t>
      </w:r>
      <w:hyperlink r:id="rId5297">
        <w:r>
          <w:rPr>
            <w:color w:val="0000EE"/>
            <w:u w:val="single"/>
          </w:rPr>
          <w:t>Mc 14.22–25</w:t>
        </w:r>
      </w:hyperlink>
      <w:r>
        <w:t>) estavam relacionados diretamente com a morte próxima de Cristo na cruz de um modo sacramental. Os discípulos de Cristo foram instruídos a observar este rito como um memorial de seu sofrimento e morte pelo pecado humano (</w:t>
      </w:r>
      <w:hyperlink r:id="rId9301">
        <w:r>
          <w:rPr>
            <w:color w:val="0000EE"/>
            <w:u w:val="single"/>
          </w:rPr>
          <w:t>1Co 11.24–26</w:t>
        </w:r>
      </w:hyperlink>
      <w:r>
        <w:t>) e como uma proclamação do poder da cruz até que o Senhor volte em glória. Alguns estudiosos sugeriram que Cristo estava realmente pendurado na cruz quando o cordeiro de Páscoa estava sendo abatido, e se essa cronologia estiver correta, representaria Jesus graficamente como o “Cordeiro de Deus, que tira o pecado do mundo” (</w:t>
      </w:r>
      <w:hyperlink r:id="rId404">
        <w:r>
          <w:rPr>
            <w:color w:val="0000EE"/>
            <w:u w:val="single"/>
          </w:rPr>
          <w:t>Jo 1.29</w:t>
        </w:r>
      </w:hyperlink>
      <w:r>
        <w:t>, ARA). Jesus também estava presente uma vez quando a Festa dos Tabernáculos foi celebrada (</w:t>
      </w:r>
      <w:hyperlink r:id="rId9302">
        <w:r>
          <w:rPr>
            <w:color w:val="0000EE"/>
            <w:u w:val="single"/>
          </w:rPr>
          <w:t>7.10</w:t>
        </w:r>
      </w:hyperlink>
      <w:r>
        <w:t xml:space="preserve">). Em seus dias, a água era carregada em procissão do tanque de Siloé como uma oferta a Deus, e a cerimônia provavelmente incitou o sermão de Cristo sobre água viva e vida eterna (vv. </w:t>
      </w:r>
      <w:hyperlink r:id="rId8428">
        <w:r>
          <w:rPr>
            <w:color w:val="0000EE"/>
            <w:u w:val="single"/>
          </w:rPr>
          <w:t>37–39</w:t>
        </w:r>
      </w:hyperlink>
      <w:r>
        <w:t>). Em pelo menos uma ocasião, Jesus estava em Jerusalém quando o Festival das Luzes ocorreu (</w:t>
      </w:r>
      <w:hyperlink r:id="rId9303">
        <w:r>
          <w:rPr>
            <w:color w:val="0000EE"/>
            <w:u w:val="single"/>
          </w:rPr>
          <w:t>Jo 10.22</w:t>
        </w:r>
      </w:hyperlink>
      <w:r>
        <w:t>) e escapou por pouco da morte por apedrejamento.</w:t>
      </w:r>
    </w:p>
    <w:p>
      <w:r/>
      <w:r>
        <w:t xml:space="preserve">Jesus era acolhido ocasionalmente em festas privadas (cf. </w:t>
      </w:r>
      <w:hyperlink r:id="rId9304">
        <w:r>
          <w:rPr>
            <w:color w:val="0000EE"/>
            <w:u w:val="single"/>
          </w:rPr>
          <w:t>Lc 5.29</w:t>
        </w:r>
      </w:hyperlink>
      <w:r>
        <w:t>), e uma vez remediou uma situação de emergência quando o vinho acabou em uma cerimônia de casamento (</w:t>
      </w:r>
      <w:hyperlink r:id="rId9305">
        <w:r>
          <w:rPr>
            <w:color w:val="0000EE"/>
            <w:u w:val="single"/>
          </w:rPr>
          <w:t>Jo 2.8–10</w:t>
        </w:r>
      </w:hyperlink>
      <w:r>
        <w:t>). Ele criticava os fariseus por garantir os principais assentos nas festas (</w:t>
      </w:r>
      <w:hyperlink r:id="rId9306">
        <w:r>
          <w:rPr>
            <w:color w:val="0000EE"/>
            <w:u w:val="single"/>
          </w:rPr>
          <w:t>Mt 23.6</w:t>
        </w:r>
      </w:hyperlink>
      <w:r>
        <w:t xml:space="preserve">; </w:t>
      </w:r>
      <w:hyperlink r:id="rId8212">
        <w:r>
          <w:rPr>
            <w:color w:val="0000EE"/>
            <w:u w:val="single"/>
          </w:rPr>
          <w:t>Mc 12.39</w:t>
        </w:r>
      </w:hyperlink>
      <w:r>
        <w:t xml:space="preserve">; </w:t>
      </w:r>
      <w:hyperlink r:id="rId8213">
        <w:r>
          <w:rPr>
            <w:color w:val="0000EE"/>
            <w:u w:val="single"/>
          </w:rPr>
          <w:t>Lc 20.46</w:t>
        </w:r>
      </w:hyperlink>
      <w:r>
        <w:t>) e ensinava que os festivais deveriam beneficiar os pobres (</w:t>
      </w:r>
      <w:hyperlink r:id="rId9307">
        <w:r>
          <w:rPr>
            <w:color w:val="0000EE"/>
            <w:u w:val="single"/>
          </w:rPr>
          <w:t>Lc 14.13</w:t>
        </w:r>
      </w:hyperlink>
      <w:r>
        <w:t>).</w:t>
      </w:r>
    </w:p>
    <w:p>
      <w:pPr>
        <w:pStyle w:val="Heading3"/>
      </w:pPr>
      <w:r>
        <w:t>Simbolismo das Festas</w:t>
      </w:r>
    </w:p>
    <w:p>
      <w:r/>
      <w:r>
        <w:t>Muitos aspectos das antigas festas hebraicas foram interpretados simbolicamente na igreja primitiva. Paulo considerava os primeiros cristãos hebreus como as primícias do Israel de Deus (</w:t>
      </w:r>
      <w:hyperlink r:id="rId9308">
        <w:r>
          <w:rPr>
            <w:color w:val="0000EE"/>
            <w:u w:val="single"/>
          </w:rPr>
          <w:t>Rm 11.16</w:t>
        </w:r>
      </w:hyperlink>
      <w:r>
        <w:t xml:space="preserve">). Em </w:t>
      </w:r>
      <w:hyperlink r:id="rId5974">
        <w:r>
          <w:rPr>
            <w:color w:val="0000EE"/>
            <w:u w:val="single"/>
          </w:rPr>
          <w:t>Romanos 8.23</w:t>
        </w:r>
      </w:hyperlink>
      <w:r>
        <w:t xml:space="preserve">, o Espírito Santo como sendo posse dos cristãos foi considerado apenas um símbolo do que estava por vir, e como tal era as primícias do Espírito. Os próprios cristãos foram descritos em </w:t>
      </w:r>
      <w:hyperlink r:id="rId9309">
        <w:r>
          <w:rPr>
            <w:color w:val="0000EE"/>
            <w:u w:val="single"/>
          </w:rPr>
          <w:t>Tiago 1.18</w:t>
        </w:r>
      </w:hyperlink>
      <w:r>
        <w:t xml:space="preserve"> como as primícias das criaturas de Deus que foram trazidas pela Palavra da Verdade. A ressurreição de Jesus foi considerada por Paulo como as primícias daqueles que dormiam (</w:t>
      </w:r>
      <w:hyperlink r:id="rId9310">
        <w:r>
          <w:rPr>
            <w:color w:val="0000EE"/>
            <w:u w:val="single"/>
          </w:rPr>
          <w:t>1Co 15.20, 23</w:t>
        </w:r>
      </w:hyperlink>
      <w:r>
        <w:t>). Em uma alusão aos festivais do AT, Paulo falou sobre os sábados, luas novas e festas como sendo apenas uma sombra das coisas boas que estão por vir (</w:t>
      </w:r>
      <w:hyperlink r:id="rId9311">
        <w:r>
          <w:rPr>
            <w:color w:val="0000EE"/>
            <w:u w:val="single"/>
          </w:rPr>
          <w:t>Cl 2.16–17</w:t>
        </w:r>
      </w:hyperlink>
      <w:r>
        <w:t>). A Páscoa foi usada figurativamente para enfatizar que Cristo, nosso Cordeiro Pascoal, havia sido sacrificado por nós. Os crentes foram incentivados a guardar a festa com os pães ázimos (sem fermento) da sinceridade e verdade, e não com o velho fermento da malícia e do mal (</w:t>
      </w:r>
      <w:hyperlink r:id="rId9312">
        <w:r>
          <w:rPr>
            <w:color w:val="0000EE"/>
            <w:u w:val="single"/>
          </w:rPr>
          <w:t>1Co 5.7–8</w:t>
        </w:r>
      </w:hyperlink>
      <w:r>
        <w:t>).</w:t>
      </w:r>
    </w:p>
    <w:p>
      <w:r/>
      <w:r>
        <w:rPr>
          <w:i/>
        </w:rPr>
        <w:t>Veja também</w:t>
      </w:r>
      <w:r>
        <w:t xml:space="preserve"> </w:t>
      </w:r>
      <w:r>
        <w:t>Calendários, Antigo e Moderno</w:t>
      </w:r>
      <w:r>
        <w:t xml:space="preserve">; </w:t>
      </w:r>
      <w:r>
        <w:t>Ofertas e Sacrifícios</w:t>
      </w:r>
      <w:r>
        <w:t xml:space="preserve">; </w:t>
      </w:r>
      <w:r>
        <w:t>Tabernáculo</w:t>
      </w:r>
      <w:r>
        <w:t xml:space="preserve">; </w:t>
      </w:r>
      <w:r>
        <w:t>Templo</w:t>
      </w:r>
      <w:r>
        <w:t>.</w:t>
      </w:r>
      <w:r/>
      <w:r/>
    </w:p>
    <w:p>
      <w:r/>
    </w:p>
    <w:p>
      <w:pPr>
        <w:pStyle w:val="Heading2"/>
      </w:pPr>
      <w:r>
        <w:t>Festival das Trombetas</w:t>
      </w:r>
      <w:r/>
    </w:p>
    <w:p>
      <w:r/>
      <w:r>
        <w:t>Um dia sagrado para os israelitas que marcava o início das festas de outono. Era um dia de descanso quando nenhum trabalho regular era realizado. Durante este festival, os israelitas tocavam trombetas para convocar um tempo de lembrança, reflexão e preparação para o próximo Dia da Expiação. O festival era um momento para lembrar a aliança de Deus com eles, particularmente o acordo feito no Monte Sinai (</w:t>
      </w:r>
      <w:hyperlink r:id="rId9313">
        <w:r>
          <w:rPr>
            <w:color w:val="0000EE"/>
            <w:u w:val="single"/>
          </w:rPr>
          <w:t>Lv 23.23–25</w:t>
        </w:r>
      </w:hyperlink>
      <w:r>
        <w:t>).</w:t>
      </w:r>
    </w:p>
    <w:p>
      <w:r/>
      <w:r>
        <w:rPr>
          <w:i/>
        </w:rPr>
        <w:t xml:space="preserve">Veja </w:t>
      </w:r>
      <w:r>
        <w:t>Festas e festivais de Israel</w:t>
      </w:r>
      <w:r>
        <w:t>.</w:t>
      </w:r>
      <w:r/>
      <w:r/>
    </w:p>
    <w:p>
      <w:r/>
    </w:p>
    <w:p>
      <w:pPr>
        <w:pStyle w:val="Heading2"/>
      </w:pPr>
      <w:r>
        <w:t>Festo, Pórcio</w:t>
      </w:r>
      <w:r/>
    </w:p>
    <w:p>
      <w:r/>
      <w:r>
        <w:t>Procurador romano (governador) da Judeia, que sucedeu Antônio Félix e foi sucedido por Albino. A data exata da ascensão ao poder de Pórcio Festo é debatida, mas foi reduzida para algum momento entre 55 e 60 d.C. As únicas fontes que mencionam Festo são o livro de Atos e os escritos de Josefo, um historiador judeu que viveu em Roma no primeiro século d.C. (</w:t>
      </w:r>
      <w:r>
        <w:rPr>
          <w:i/>
        </w:rPr>
        <w:t>Antiguidades</w:t>
      </w:r>
      <w:r>
        <w:t xml:space="preserve"> 20.8.9–11; 9.1).</w:t>
      </w:r>
    </w:p>
    <w:p>
      <w:r/>
      <w:r>
        <w:t>Josefo escreveu que Festo governou com sabedoria e justiça, em contraste com Félix e Albino. Os bandidos sicários (nomeados pelas pequenas espadas que carregavam), que haviam aterrorizado o campo palestino, foram eliminados sob o governo de Festo. Apesar disso, ele não conseguiu reverter os danos causados por seu predecessor, Félix, que havia agravado o conflito entre pagãos e judeus.</w:t>
      </w:r>
    </w:p>
    <w:p>
      <w:r/>
      <w:r>
        <w:t>O NT relata que o novo procurador Festo viajou de Cesareia (onde Paulo estava sob custódia) para Jerusalém (</w:t>
      </w:r>
      <w:hyperlink r:id="rId9314">
        <w:r>
          <w:rPr>
            <w:color w:val="0000EE"/>
            <w:u w:val="single"/>
          </w:rPr>
          <w:t>At 25.1</w:t>
        </w:r>
      </w:hyperlink>
      <w:r>
        <w:t xml:space="preserve">). Os líderes judeus o confrontaram lá e apresentaram acusações contra Paulo. Ao retornar a Cesareia, Festo ouviu a defesa de Paulo (v. </w:t>
      </w:r>
      <w:hyperlink r:id="rId9315">
        <w:r>
          <w:rPr>
            <w:color w:val="0000EE"/>
            <w:u w:val="single"/>
          </w:rPr>
          <w:t>6</w:t>
        </w:r>
      </w:hyperlink>
      <w:r>
        <w:t xml:space="preserve">). Ele concedeu o apelo do apóstolo para ser ouvido por César (o direito de qualquer romano acusado de um crime capital) em um esforço para evitar mais disputas religiosas em sua jurisdição (vv. </w:t>
      </w:r>
      <w:hyperlink r:id="rId9316">
        <w:r>
          <w:rPr>
            <w:color w:val="0000EE"/>
            <w:u w:val="single"/>
          </w:rPr>
          <w:t>11–12</w:t>
        </w:r>
      </w:hyperlink>
      <w:r>
        <w:t xml:space="preserve">). Quando o rei Agripa chegou alguns dias depois, Festo estava em um dilema, incapaz de entender as acusações dos judeus contra Paulo (vv. </w:t>
      </w:r>
      <w:hyperlink r:id="rId2874">
        <w:r>
          <w:rPr>
            <w:color w:val="0000EE"/>
            <w:u w:val="single"/>
          </w:rPr>
          <w:t>25–27</w:t>
        </w:r>
      </w:hyperlink>
      <w:r>
        <w:t>). Após o discurso de Paulo diante do rei, Festo declarou em voz alta que ele estava louco (</w:t>
      </w:r>
      <w:hyperlink r:id="rId9317">
        <w:r>
          <w:rPr>
            <w:color w:val="0000EE"/>
            <w:u w:val="single"/>
          </w:rPr>
          <w:t>26.24</w:t>
        </w:r>
      </w:hyperlink>
      <w:r>
        <w:t xml:space="preserve">), embora ainda concordasse que Paulo não havia feito nada para merecer a morte ou prisão (v. </w:t>
      </w:r>
      <w:hyperlink r:id="rId2877">
        <w:r>
          <w:rPr>
            <w:color w:val="0000EE"/>
            <w:u w:val="single"/>
          </w:rPr>
          <w:t>31</w:t>
        </w:r>
      </w:hyperlink>
      <w:r>
        <w:t>).</w:t>
      </w:r>
      <w:r/>
      <w:r/>
    </w:p>
    <w:p>
      <w:r/>
    </w:p>
    <w:p>
      <w:pPr>
        <w:pStyle w:val="Heading2"/>
      </w:pPr>
      <w:r>
        <w:t>Fiandeira, Fiar</w:t>
      </w:r>
      <w:r/>
    </w:p>
    <w:p>
      <w:r/>
      <w:r>
        <w:t xml:space="preserve">Em todos os períodos da história de Israel, as mulheres fiavam fibras em fios. No entanto, uma classe de fiandeiras profissionais surgiu ao lado delas. </w:t>
      </w:r>
      <w:hyperlink r:id="rId9318">
        <w:r>
          <w:rPr>
            <w:color w:val="0000EE"/>
            <w:u w:val="single"/>
          </w:rPr>
          <w:t>Êxodo 35.25–26</w:t>
        </w:r>
      </w:hyperlink>
      <w:r>
        <w:t xml:space="preserve"> menciona as mulheres fiandeiras. Entre suas outras virtudes, a boa esposa de </w:t>
      </w:r>
      <w:hyperlink r:id="rId9319">
        <w:r>
          <w:rPr>
            <w:color w:val="0000EE"/>
            <w:u w:val="single"/>
          </w:rPr>
          <w:t>Provérbios 31</w:t>
        </w:r>
      </w:hyperlink>
      <w:r>
        <w:t xml:space="preserve"> se dedicava à fiação (</w:t>
      </w:r>
      <w:hyperlink r:id="rId1838">
        <w:r>
          <w:rPr>
            <w:color w:val="0000EE"/>
            <w:u w:val="single"/>
          </w:rPr>
          <w:t>Pv 31.19</w:t>
        </w:r>
      </w:hyperlink>
      <w:r>
        <w:t>). Jesus falou dos lírios do campo que não precisavam fiar (</w:t>
      </w:r>
      <w:hyperlink r:id="rId9320">
        <w:r>
          <w:rPr>
            <w:color w:val="0000EE"/>
            <w:u w:val="single"/>
          </w:rPr>
          <w:t>Mt 6.28</w:t>
        </w:r>
      </w:hyperlink>
      <w:r>
        <w:t xml:space="preserve">; </w:t>
      </w:r>
      <w:hyperlink r:id="rId9321">
        <w:r>
          <w:rPr>
            <w:color w:val="0000EE"/>
            <w:u w:val="single"/>
          </w:rPr>
          <w:t>Lc 12.27</w:t>
        </w:r>
      </w:hyperlink>
      <w:r>
        <w:t>).</w:t>
      </w:r>
      <w:r/>
      <w:r/>
    </w:p>
    <w:p>
      <w:r/>
    </w:p>
    <w:p>
      <w:pPr>
        <w:pStyle w:val="Heading2"/>
      </w:pPr>
      <w:r>
        <w:t>Ficol</w:t>
      </w:r>
      <w:r/>
    </w:p>
    <w:p>
      <w:r/>
      <w:r>
        <w:t>O líder do exército de Abimeleque estava presente quando Abimeleque fez acordos de paz com Abraão e, mais tarde, com Isaque (</w:t>
      </w:r>
      <w:hyperlink r:id="rId9322">
        <w:r>
          <w:rPr>
            <w:color w:val="0000EE"/>
            <w:u w:val="single"/>
          </w:rPr>
          <w:t>Gn 21.22,32</w:t>
        </w:r>
      </w:hyperlink>
      <w:r>
        <w:t xml:space="preserve">; </w:t>
      </w:r>
      <w:hyperlink r:id="rId2919">
        <w:r>
          <w:rPr>
            <w:color w:val="0000EE"/>
            <w:u w:val="single"/>
          </w:rPr>
          <w:t>26.26</w:t>
        </w:r>
      </w:hyperlink>
      <w:r>
        <w:t>). A presença de um comandante do exército deveria ter indicado que Abraão estava vulnerável. No entanto, os inimigos reconheceram o poder superior do Deus de Abraão e, por isso, procuraram viver em paz com ele.</w:t>
      </w:r>
      <w:r/>
      <w:r/>
    </w:p>
    <w:p>
      <w:r/>
    </w:p>
    <w:p>
      <w:pPr>
        <w:pStyle w:val="Heading2"/>
      </w:pPr>
      <w:r>
        <w:t>Fidelidade</w:t>
      </w:r>
      <w:r/>
    </w:p>
    <w:p>
      <w:r/>
      <w:r>
        <w:t>Fidelidade significa manter-se leal e verdadeiro a alguém ou algo. Ela se manifesta por meio de uma forte dedicação e do cumprimento de promessas. No idioma hebraico original da Bíblia, as palavras para "fé" e "fidelidade" estão intimamente ligadas.</w:t>
      </w:r>
    </w:p>
    <w:p>
      <w:r/>
      <w:r>
        <w:t>A principal palavra hebraica para fidelidade está relacionada à nossa palavra "amém". Esta palavra significa "tornar forte", "apoiar", ou "sustentar". Em um sentido físico, é usada para pilares que fornecem suporte para portas (</w:t>
      </w:r>
      <w:hyperlink r:id="rId9323">
        <w:r>
          <w:rPr>
            <w:color w:val="0000EE"/>
            <w:u w:val="single"/>
          </w:rPr>
          <w:t>2Rs 18.16</w:t>
        </w:r>
      </w:hyperlink>
      <w:r>
        <w:t>). Moisés usou esta palavra quando disse que não podia sustentar todo o povo israelita sozinho (</w:t>
      </w:r>
      <w:hyperlink r:id="rId1028">
        <w:r>
          <w:rPr>
            <w:color w:val="0000EE"/>
            <w:u w:val="single"/>
          </w:rPr>
          <w:t>Nm 11.12</w:t>
        </w:r>
      </w:hyperlink>
      <w:r>
        <w:t>). Deus, no entanto, é um suporte firme para seu povo para sempre (</w:t>
      </w:r>
      <w:hyperlink r:id="rId9324">
        <w:r>
          <w:rPr>
            <w:color w:val="0000EE"/>
            <w:u w:val="single"/>
          </w:rPr>
          <w:t>Dt 7.9</w:t>
        </w:r>
      </w:hyperlink>
      <w:r>
        <w:t xml:space="preserve">; </w:t>
      </w:r>
      <w:hyperlink r:id="rId9325">
        <w:r>
          <w:rPr>
            <w:color w:val="0000EE"/>
            <w:u w:val="single"/>
          </w:rPr>
          <w:t>Is 49.7</w:t>
        </w:r>
      </w:hyperlink>
      <w:r>
        <w:t>).</w:t>
      </w:r>
    </w:p>
    <w:p>
      <w:r/>
      <w:r>
        <w:t>Palavras como "firmeza", "constância" ou "confiabilidade" descrevem melhor o conceito de fidelidade. Confiabilidade ou firmeza são características de uma pessoa em quem se pode confiar. Ser infiel é ser indigno de confiança ou crença. No Antigo Testamento, "fidelidade" e "verdade" têm significados semelhantes. Deus é consistentemente verdadeiro, por isso ele é o objeto lógico da confiança humana (</w:t>
      </w:r>
      <w:hyperlink r:id="rId9326">
        <w:r>
          <w:rPr>
            <w:color w:val="0000EE"/>
            <w:u w:val="single"/>
          </w:rPr>
          <w:t>Sl 71.22</w:t>
        </w:r>
      </w:hyperlink>
      <w:r>
        <w:t xml:space="preserve">; </w:t>
      </w:r>
      <w:hyperlink r:id="rId9327">
        <w:r>
          <w:rPr>
            <w:color w:val="0000EE"/>
            <w:u w:val="single"/>
          </w:rPr>
          <w:t>Is 61.8</w:t>
        </w:r>
      </w:hyperlink>
      <w:r>
        <w:t>). Quando aplicado a Deus, "fidelidade" indica seu compromisso inabalável com suas promessas.</w:t>
      </w:r>
    </w:p>
    <w:p>
      <w:pPr>
        <w:pStyle w:val="Heading3"/>
      </w:pPr>
      <w:r>
        <w:t>A fidelidade de Deus</w:t>
      </w:r>
    </w:p>
    <w:p>
      <w:r/>
      <w:r>
        <w:t>Apesar da infidelidade de Israel, Deus mostrou-se confiável (</w:t>
      </w:r>
      <w:hyperlink r:id="rId9328">
        <w:r>
          <w:rPr>
            <w:color w:val="0000EE"/>
            <w:u w:val="single"/>
          </w:rPr>
          <w:t>Dt 32.20</w:t>
        </w:r>
      </w:hyperlink>
      <w:r>
        <w:t xml:space="preserve">; cp. </w:t>
      </w:r>
      <w:hyperlink r:id="rId4434">
        <w:r>
          <w:rPr>
            <w:color w:val="0000EE"/>
            <w:u w:val="single"/>
          </w:rPr>
          <w:t>Rm 3.3</w:t>
        </w:r>
      </w:hyperlink>
      <w:r>
        <w:t>). Sua fidelidade é grande (</w:t>
      </w:r>
      <w:hyperlink r:id="rId9329">
        <w:r>
          <w:rPr>
            <w:color w:val="0000EE"/>
            <w:u w:val="single"/>
          </w:rPr>
          <w:t>Lm 3.23</w:t>
        </w:r>
      </w:hyperlink>
      <w:r>
        <w:t>). Ele é leal ao seu pacto (acordo especial) e sempre demonstrará seu amor constante ao seu povo (</w:t>
      </w:r>
      <w:hyperlink r:id="rId1160">
        <w:r>
          <w:rPr>
            <w:color w:val="0000EE"/>
            <w:u w:val="single"/>
          </w:rPr>
          <w:t>Sl 136</w:t>
        </w:r>
      </w:hyperlink>
      <w:r>
        <w:t>).</w:t>
      </w:r>
    </w:p>
    <w:p>
      <w:r/>
      <w:r>
        <w:t>Jesus Cristo é o maior exemplo de fidelidade na Bíblia. Ele demonstrou ser fiel a Deus, o Pai, e em falar a verdade sobre Deus (</w:t>
      </w:r>
      <w:hyperlink r:id="rId9330">
        <w:r>
          <w:rPr>
            <w:color w:val="0000EE"/>
            <w:u w:val="single"/>
          </w:rPr>
          <w:t>Hb 3.2</w:t>
        </w:r>
      </w:hyperlink>
      <w:r>
        <w:t xml:space="preserve">; </w:t>
      </w:r>
      <w:hyperlink r:id="rId9331">
        <w:r>
          <w:rPr>
            <w:color w:val="0000EE"/>
            <w:u w:val="single"/>
          </w:rPr>
          <w:t>Ap 1.5</w:t>
        </w:r>
      </w:hyperlink>
      <w:r>
        <w:t>). Deus convida todas as pessoas a serem fiéis, seguindo Jesus Cristo e dependendo dele para todas as coisas (</w:t>
      </w:r>
      <w:hyperlink r:id="rId3605">
        <w:r>
          <w:rPr>
            <w:color w:val="0000EE"/>
            <w:u w:val="single"/>
          </w:rPr>
          <w:t>Hc 2.4</w:t>
        </w:r>
      </w:hyperlink>
      <w:r>
        <w:t xml:space="preserve">; cp. </w:t>
      </w:r>
      <w:hyperlink r:id="rId3247">
        <w:r>
          <w:rPr>
            <w:color w:val="0000EE"/>
            <w:u w:val="single"/>
          </w:rPr>
          <w:t>Rm 1.17</w:t>
        </w:r>
      </w:hyperlink>
      <w:r>
        <w:t>).</w:t>
      </w:r>
    </w:p>
    <w:p>
      <w:pPr>
        <w:pStyle w:val="Heading3"/>
      </w:pPr>
      <w:r>
        <w:t>Fidelidade do ser humano</w:t>
      </w:r>
    </w:p>
    <w:p>
      <w:r/>
      <w:r>
        <w:t>Em ambos os Testamentos, Antigo e Novo, fé e fidelidade estão interligadas. Ter fé significa mais do que apenas concordar que Deus fala a verdade. Significa comprometer-se com essa verdade e demonstrá-la por meio da obediência contínua.</w:t>
      </w:r>
    </w:p>
    <w:p>
      <w:r/>
      <w:r>
        <w:t>A vida de Abraão nos mostra o que é a fidelidade. Ele acreditou nas palavras de Deus e agiu conforme elas. Ele demonstrou sua fé por:</w:t>
      </w:r>
    </w:p>
    <w:p>
      <w:pPr>
        <w:pStyle w:val="ListBullet"/>
        <w:spacing w:line="240" w:lineRule="auto"/>
        <w:ind w:left="720"/>
      </w:pPr>
      <w:r/>
      <w:r>
        <w:t>Deixando sua casa e seu país</w:t>
      </w:r>
    </w:p>
    <w:p>
      <w:pPr>
        <w:pStyle w:val="ListBullet"/>
        <w:spacing w:line="240" w:lineRule="auto"/>
        <w:ind w:left="720"/>
      </w:pPr>
      <w:r/>
      <w:r>
        <w:t>Viver em um país estrangeiro</w:t>
      </w:r>
    </w:p>
    <w:p>
      <w:pPr>
        <w:pStyle w:val="ListBullet"/>
        <w:spacing w:line="240" w:lineRule="auto"/>
        <w:ind w:left="720"/>
      </w:pPr>
      <w:r/>
      <w:r>
        <w:t>Estar disposto a oferecer seu único filho Isaque, conforme Deus ordenou</w:t>
      </w:r>
    </w:p>
    <w:p>
      <w:r/>
      <w:r>
        <w:t>A disposição de Abraão em sacrificar seu filho Isaque demonstra uma fidelidade extraordinária a Deus. O Novo Testamento elogia a fé constante de Abraão e instrui os cristãos a seguirem seu exemplo (</w:t>
      </w:r>
      <w:hyperlink r:id="rId4365">
        <w:r>
          <w:rPr>
            <w:color w:val="0000EE"/>
            <w:u w:val="single"/>
          </w:rPr>
          <w:t>Gl 3.6–9</w:t>
        </w:r>
      </w:hyperlink>
      <w:r>
        <w:t xml:space="preserve">; </w:t>
      </w:r>
      <w:hyperlink r:id="rId9332">
        <w:r>
          <w:rPr>
            <w:color w:val="0000EE"/>
            <w:u w:val="single"/>
          </w:rPr>
          <w:t>Hb 11.8–10</w:t>
        </w:r>
      </w:hyperlink>
      <w:r>
        <w:t>). A fidelidade não é apenas uma ação isolada. Ela deve moldar toda a vida de todos que afirmam ter fé em Deus.</w:t>
      </w:r>
      <w:r/>
      <w:r/>
    </w:p>
    <w:p>
      <w:r/>
    </w:p>
    <w:p>
      <w:pPr>
        <w:pStyle w:val="Heading2"/>
      </w:pPr>
      <w:r>
        <w:t>Fígado</w:t>
      </w:r>
      <w:r/>
    </w:p>
    <w:p>
      <w:r/>
      <w:r>
        <w:t>Um grande órgão no abdômen que desempenha muitas funções essenciais para a vida. O escritor de Provérbios sabia quão importante o fígado era para a vida quando escreveu que uma ferida de flecha no fígado causaria a morte (</w:t>
      </w:r>
      <w:hyperlink r:id="rId9333">
        <w:r>
          <w:rPr>
            <w:color w:val="0000EE"/>
            <w:u w:val="single"/>
          </w:rPr>
          <w:t>Pv 7.23</w:t>
        </w:r>
      </w:hyperlink>
      <w:r>
        <w:t>). Na Bíblia, o fígado é mais frequentemente mencionado ao descrever sacrifícios de animais (</w:t>
      </w:r>
      <w:hyperlink r:id="rId9334">
        <w:r>
          <w:rPr>
            <w:color w:val="0000EE"/>
            <w:u w:val="single"/>
          </w:rPr>
          <w:t>Êx 29.13,22</w:t>
        </w:r>
      </w:hyperlink>
      <w:r>
        <w:t xml:space="preserve">; </w:t>
      </w:r>
      <w:hyperlink r:id="rId9335">
        <w:r>
          <w:rPr>
            <w:color w:val="0000EE"/>
            <w:u w:val="single"/>
          </w:rPr>
          <w:t>Lv 3.4,10,15</w:t>
        </w:r>
      </w:hyperlink>
      <w:r>
        <w:t>).</w:t>
      </w:r>
    </w:p>
    <w:p>
      <w:r/>
      <w:r>
        <w:t xml:space="preserve">Na antiga Babilônia, o fígado de ovelha era às vezes usado para adivinhação. Cada pequeno detalhe do fígado era examinado em busca de presságios. Arqueólogos recuperaram modelos de fígados de ovelha em bronze e argila cozida. Eles datam do século 16 a.C. Evidentemente, este é o uso do fígado feito pelo rei da Babilônia em </w:t>
      </w:r>
      <w:hyperlink r:id="rId9336">
        <w:r>
          <w:rPr>
            <w:color w:val="0000EE"/>
            <w:u w:val="single"/>
          </w:rPr>
          <w:t>Ezequiel 21.21</w:t>
        </w:r>
      </w:hyperlink>
      <w:r>
        <w:t>. Este uso do fígado de ovelha foi popular até os gregos. Rivalizou com a astrologia por muitos séculos.</w:t>
      </w:r>
      <w:r/>
      <w:r/>
    </w:p>
    <w:p>
      <w:r/>
    </w:p>
    <w:p>
      <w:pPr>
        <w:pStyle w:val="Heading2"/>
      </w:pPr>
      <w:r>
        <w:t>Filactério</w:t>
      </w:r>
      <w:r/>
    </w:p>
    <w:p>
      <w:r/>
      <w:r>
        <w:t>Um pequeno estojo de oração contendo passagens das Escrituras. Judeus devotos o usam durante a oração. Durante a oração, homens judeus ortodoxos usam duas pequenas caixas de couro preto. Elas contêm Escrituras.</w:t>
      </w:r>
    </w:p>
    <w:p>
      <w:r/>
      <w:r>
        <w:t>Provavelmente, o filactério não era uma caixa de Escrituras. Era uma tira de pergaminho com quatro passagens do Antigo Testamento em hebraico. As passagens eram:</w:t>
      </w:r>
    </w:p>
    <w:p>
      <w:pPr>
        <w:pStyle w:val="ListNumber"/>
        <w:spacing w:line="240" w:lineRule="auto"/>
        <w:ind w:left="720"/>
      </w:pPr>
      <w:r/>
      <w:hyperlink r:id="rId9337">
        <w:r>
          <w:rPr>
            <w:color w:val="0000EE"/>
            <w:u w:val="single"/>
          </w:rPr>
          <w:t>Êxodo 13.1</w:t>
        </w:r>
      </w:hyperlink>
      <w:hyperlink r:id="rId9338">
        <w:r>
          <w:rPr>
            <w:color w:val="0000EE"/>
            <w:u w:val="single"/>
          </w:rPr>
          <w:t>–</w:t>
        </w:r>
      </w:hyperlink>
      <w:hyperlink r:id="rId9337">
        <w:r>
          <w:rPr>
            <w:color w:val="0000EE"/>
            <w:u w:val="single"/>
          </w:rPr>
          <w:t>10</w:t>
        </w:r>
      </w:hyperlink>
      <w:r>
        <w:t>;</w:t>
      </w:r>
    </w:p>
    <w:p>
      <w:pPr>
        <w:pStyle w:val="ListNumber"/>
        <w:spacing w:line="240" w:lineRule="auto"/>
        <w:ind w:left="720"/>
      </w:pPr>
      <w:r/>
      <w:hyperlink r:id="rId9337">
        <w:r>
          <w:rPr>
            <w:color w:val="0000EE"/>
            <w:u w:val="single"/>
          </w:rPr>
          <w:t>Êxodo 11</w:t>
        </w:r>
      </w:hyperlink>
      <w:hyperlink r:id="rId9338">
        <w:r>
          <w:rPr>
            <w:color w:val="0000EE"/>
            <w:u w:val="single"/>
          </w:rPr>
          <w:t>–</w:t>
        </w:r>
      </w:hyperlink>
      <w:hyperlink r:id="rId9337">
        <w:r>
          <w:rPr>
            <w:color w:val="0000EE"/>
            <w:u w:val="single"/>
          </w:rPr>
          <w:t>16</w:t>
        </w:r>
      </w:hyperlink>
      <w:r>
        <w:t>;</w:t>
      </w:r>
    </w:p>
    <w:p>
      <w:pPr>
        <w:pStyle w:val="ListNumber"/>
        <w:spacing w:line="240" w:lineRule="auto"/>
        <w:ind w:left="720"/>
      </w:pPr>
      <w:r/>
      <w:hyperlink r:id="rId1340">
        <w:r>
          <w:rPr>
            <w:color w:val="0000EE"/>
            <w:u w:val="single"/>
          </w:rPr>
          <w:t>Deuteronômio 6.4–9</w:t>
        </w:r>
      </w:hyperlink>
      <w:r>
        <w:t>;</w:t>
      </w:r>
    </w:p>
    <w:p>
      <w:pPr>
        <w:pStyle w:val="ListNumber"/>
        <w:spacing w:line="240" w:lineRule="auto"/>
        <w:ind w:left="720"/>
      </w:pPr>
      <w:r/>
      <w:hyperlink r:id="rId9339">
        <w:r>
          <w:rPr>
            <w:color w:val="0000EE"/>
            <w:u w:val="single"/>
          </w:rPr>
          <w:t>Deuteronômio 11.13–21</w:t>
        </w:r>
      </w:hyperlink>
      <w:r>
        <w:t>.</w:t>
      </w:r>
    </w:p>
    <w:p>
      <w:r/>
      <w:r>
        <w:t xml:space="preserve">A passagem de </w:t>
      </w:r>
      <w:hyperlink r:id="rId1340">
        <w:r>
          <w:rPr>
            <w:color w:val="0000EE"/>
            <w:u w:val="single"/>
          </w:rPr>
          <w:t>Deuteronômio 6.4–9</w:t>
        </w:r>
      </w:hyperlink>
      <w:r>
        <w:t xml:space="preserve"> contém o “Shemá” — a confissão de que Deus é o único Senhor. Todos os quatro trechos afirmam que Deus ordena ao seu povo que amarre suas leis em suas mãos e as tenha como "faixas amarradas" entre seus olhos. Os judeus interpretaram isso de forma não literal e dispensaram o adorno físico. Alguns judeus, no entanto, seguiram o mandamento literalmente. Eles começaram a usar porções de suas Escrituras em suas testas e mãos. Não há consenso entre os estudiosos sobre quando exatamente começaram a fazer isso. Há uma menção explícita da prática já em 100 a.C. em um documento judaico não bíblico. Alguns acreditam que começou já no quarto século a.C., se não antes.</w:t>
      </w:r>
    </w:p>
    <w:p>
      <w:r/>
      <w:r>
        <w:t xml:space="preserve">Em </w:t>
      </w:r>
      <w:hyperlink r:id="rId8209">
        <w:r>
          <w:rPr>
            <w:color w:val="0000EE"/>
            <w:u w:val="single"/>
          </w:rPr>
          <w:t>Mateus 23.5,</w:t>
        </w:r>
      </w:hyperlink>
      <w:r>
        <w:t xml:space="preserve"> Jesus condenou os escribas e fariseus por, entre outras coisas, o hábito de "alargar seus filactérios". O contexto da passagem é a rejeição de Jesus às suas práticas religiosas ostensivas. Aparentemente, o filactério largo impressionaria os outros com o quão religioso o usuário era. Era evidência de orgulho, pretensão e hipocrisia na religião.</w:t>
      </w:r>
    </w:p>
    <w:p>
      <w:r/>
      <w:r>
        <w:rPr>
          <w:i/>
        </w:rPr>
        <w:t>Veja também</w:t>
      </w:r>
      <w:r>
        <w:t xml:space="preserve"> </w:t>
      </w:r>
      <w:r>
        <w:t>Amuleto</w:t>
      </w:r>
      <w:r>
        <w:t xml:space="preserve">; </w:t>
      </w:r>
      <w:r>
        <w:t>Frontal</w:t>
      </w:r>
      <w:r>
        <w:t>.</w:t>
      </w:r>
      <w:r/>
      <w:r/>
    </w:p>
    <w:p>
      <w:r/>
    </w:p>
    <w:p>
      <w:pPr>
        <w:pStyle w:val="Heading2"/>
      </w:pPr>
      <w:r>
        <w:t>Filemom (Pessoa)</w:t>
      </w:r>
      <w:r/>
    </w:p>
    <w:p>
      <w:r/>
      <w:r>
        <w:t>Filemom era um cristão conhecido apenas pela carta que o apóstolo Paulo escreveu para ele. O Novo Testamento não o menciona em nenhum outro lugar.</w:t>
      </w:r>
    </w:p>
    <w:p>
      <w:r/>
      <w:hyperlink r:id="rId9340">
        <w:r>
          <w:rPr>
            <w:color w:val="0000EE"/>
            <w:u w:val="single"/>
          </w:rPr>
          <w:t>Colossenses 4.17</w:t>
        </w:r>
      </w:hyperlink>
      <w:r>
        <w:t xml:space="preserve"> menciona Arquipo, um homem de Colossos, junto com Filemom em </w:t>
      </w:r>
      <w:hyperlink r:id="rId9341">
        <w:r>
          <w:rPr>
            <w:color w:val="0000EE"/>
            <w:u w:val="single"/>
          </w:rPr>
          <w:t>Filemom 1.2</w:t>
        </w:r>
      </w:hyperlink>
      <w:r>
        <w:t>. Arquipo pode ter sido filho de Filemom. Embora Paulo nunca tenha visitado Colossos, é claro que ele conhecia bem Filemom (</w:t>
      </w:r>
      <w:hyperlink r:id="rId9342">
        <w:r>
          <w:rPr>
            <w:color w:val="0000EE"/>
            <w:u w:val="single"/>
          </w:rPr>
          <w:t>Cl 2.1</w:t>
        </w:r>
      </w:hyperlink>
      <w:r>
        <w:t>). Paulo o chamou de “nosso amigo e companheiro de trabalho” (</w:t>
      </w:r>
      <w:hyperlink r:id="rId9343">
        <w:r>
          <w:rPr>
            <w:color w:val="0000EE"/>
            <w:u w:val="single"/>
          </w:rPr>
          <w:t>Fm 1.1</w:t>
        </w:r>
      </w:hyperlink>
      <w:r>
        <w:t>). Talvez Filemom tenha trabalhado com Paulo durante a missão de três anos de Paulo em Éfeso (</w:t>
      </w:r>
      <w:hyperlink r:id="rId9344">
        <w:r>
          <w:rPr>
            <w:color w:val="0000EE"/>
            <w:u w:val="single"/>
          </w:rPr>
          <w:t>At 19.8–10</w:t>
        </w:r>
      </w:hyperlink>
      <w:r>
        <w:t xml:space="preserve">; </w:t>
      </w:r>
      <w:hyperlink r:id="rId7623">
        <w:r>
          <w:rPr>
            <w:color w:val="0000EE"/>
            <w:u w:val="single"/>
          </w:rPr>
          <w:t>20.31</w:t>
        </w:r>
      </w:hyperlink>
      <w:r>
        <w:t>).</w:t>
      </w:r>
    </w:p>
    <w:p>
      <w:r/>
      <w:r>
        <w:t>Paulo sabia que podia apelar a Filemom em nome de Onésimo, que era o escravo fugitivo de Filemom. A carta a Filemom foca no pedido de Paulo para que Filemom aceite Onésimo de volta, não apenas como escravo, mas como um irmão em Cristo.</w:t>
      </w:r>
    </w:p>
    <w:p>
      <w:r/>
      <w:r>
        <w:rPr>
          <w:i/>
        </w:rPr>
        <w:t>Veja também</w:t>
      </w:r>
      <w:r>
        <w:t xml:space="preserve"> </w:t>
      </w:r>
      <w:r>
        <w:t>Filemom, Carta para</w:t>
      </w:r>
      <w:r>
        <w:t>.</w:t>
      </w:r>
      <w:r/>
      <w:r/>
    </w:p>
    <w:p>
      <w:r/>
    </w:p>
    <w:p>
      <w:pPr>
        <w:pStyle w:val="Heading2"/>
      </w:pPr>
      <w:r>
        <w:t>Filemom, Carta A</w:t>
      </w:r>
      <w:r/>
    </w:p>
    <w:p>
      <w:r/>
      <w:r>
        <w:t>A menor das epístolas da prisão de Paulo.</w:t>
      </w:r>
    </w:p>
    <w:p>
      <w:r/>
      <w:r>
        <w:t>Resumo</w:t>
      </w:r>
    </w:p>
    <w:p>
      <w:r/>
      <w:r>
        <w:t>• Autor</w:t>
      </w:r>
    </w:p>
    <w:p>
      <w:r/>
      <w:r>
        <w:t>• Origem</w:t>
      </w:r>
    </w:p>
    <w:p>
      <w:r/>
      <w:r>
        <w:t>• Destinatário</w:t>
      </w:r>
    </w:p>
    <w:p>
      <w:r/>
      <w:r>
        <w:t>• Contexto</w:t>
      </w:r>
    </w:p>
    <w:p>
      <w:r/>
      <w:r>
        <w:t>• Propósito</w:t>
      </w:r>
    </w:p>
    <w:p>
      <w:r/>
      <w:r>
        <w:t>• Ensino</w:t>
      </w:r>
    </w:p>
    <w:p>
      <w:pPr>
        <w:pStyle w:val="Heading3"/>
      </w:pPr>
      <w:r>
        <w:t>Autor</w:t>
      </w:r>
    </w:p>
    <w:p>
      <w:r/>
      <w:r>
        <w:t>De acordo com seu costume e com os cânones contemporâneos do gênero epistolar, o apóstolo Paulo se identifica como o autor desta carta. Ele diz que ele era um prisioneiro na época em que escrevia (</w:t>
      </w:r>
      <w:hyperlink r:id="rId5119">
        <w:r>
          <w:rPr>
            <w:color w:val="0000EE"/>
            <w:u w:val="single"/>
          </w:rPr>
          <w:t>Fm 1.9–10,13,23</w:t>
        </w:r>
      </w:hyperlink>
      <w:r>
        <w:t>) por causa de seu testemunho de Jesus Cristo.</w:t>
      </w:r>
    </w:p>
    <w:p>
      <w:pPr>
        <w:pStyle w:val="Heading3"/>
      </w:pPr>
      <w:r>
        <w:t>Origem</w:t>
      </w:r>
    </w:p>
    <w:p>
      <w:r/>
      <w:r>
        <w:t>É difícil verificar a localização da prisão de Paulo no momento da escrita. De Cesareia, Éfeso, ou Roma, qualquer um dos últimos locais parece corresponder aos dados disponíveis nesta epístola e em Colossenses, com os quais está intimamente relacionado (</w:t>
      </w:r>
      <w:hyperlink r:id="rId9345">
        <w:r>
          <w:rPr>
            <w:color w:val="0000EE"/>
            <w:u w:val="single"/>
          </w:rPr>
          <w:t>Cl 4.7–14</w:t>
        </w:r>
      </w:hyperlink>
      <w:r>
        <w:t xml:space="preserve">; cf. </w:t>
      </w:r>
      <w:hyperlink r:id="rId9346">
        <w:r>
          <w:rPr>
            <w:color w:val="0000EE"/>
            <w:u w:val="single"/>
          </w:rPr>
          <w:t>Fm 1.23–24</w:t>
        </w:r>
      </w:hyperlink>
      <w:r>
        <w:t>). A menção de Marcos e Lucas como companheiros de Paulo favorece Roma como o ponto de origem da carta (</w:t>
      </w:r>
      <w:hyperlink r:id="rId2499">
        <w:r>
          <w:rPr>
            <w:color w:val="0000EE"/>
            <w:u w:val="single"/>
          </w:rPr>
          <w:t>Fm 1.24</w:t>
        </w:r>
      </w:hyperlink>
      <w:r>
        <w:t xml:space="preserve">). No entanto, a proximidade relativa de Éfeso a Colossos, onde Filemom residia (cerca de 160,9 quilômetros de distância), e o anúncio da próxima visita de Paulo a Colossos (v. </w:t>
      </w:r>
      <w:hyperlink r:id="rId9347">
        <w:r>
          <w:rPr>
            <w:color w:val="0000EE"/>
            <w:u w:val="single"/>
          </w:rPr>
          <w:t>22</w:t>
        </w:r>
      </w:hyperlink>
      <w:r>
        <w:t>) sugere Éfeso como o lugar de confinamento. Embora uma prisão de Éfeso não seja explicitamente mencionada no livro de Atos, o relato dos esforços missionários de Paulo naquela cidade deixa claro que ele encontrou uma oposição considerável (</w:t>
      </w:r>
      <w:hyperlink r:id="rId9348">
        <w:r>
          <w:rPr>
            <w:color w:val="0000EE"/>
            <w:u w:val="single"/>
          </w:rPr>
          <w:t>At 20.19</w:t>
        </w:r>
      </w:hyperlink>
      <w:r>
        <w:t>), que Paulo descreve em termos que poderiam implicar um tempo gasto na prisão (</w:t>
      </w:r>
      <w:hyperlink r:id="rId5133">
        <w:r>
          <w:rPr>
            <w:color w:val="0000EE"/>
            <w:u w:val="single"/>
          </w:rPr>
          <w:t>1Co 15.32</w:t>
        </w:r>
      </w:hyperlink>
      <w:r>
        <w:t xml:space="preserve">; </w:t>
      </w:r>
      <w:hyperlink r:id="rId5134">
        <w:r>
          <w:rPr>
            <w:color w:val="0000EE"/>
            <w:u w:val="single"/>
          </w:rPr>
          <w:t>2Co 1.8–10</w:t>
        </w:r>
      </w:hyperlink>
      <w:r>
        <w:t>).</w:t>
      </w:r>
    </w:p>
    <w:p>
      <w:pPr>
        <w:pStyle w:val="Heading3"/>
      </w:pPr>
      <w:r>
        <w:t>Destinatário</w:t>
      </w:r>
    </w:p>
    <w:p>
      <w:r/>
      <w:r>
        <w:t>Este documento é muitas vezes visto impropriamente como uma nota pessoal de Paulo a Filemom, seu convertido e amigo, líder da igreja em Colossos e proprietário de escravos. Na realidade, a epístola é dirigida a Filemom, a Áfia (presumivelmente a esposa de Filemom), a Arquipo e à congregação de crentes que se encontraram na casa de Filemom (</w:t>
      </w:r>
      <w:hyperlink r:id="rId9349">
        <w:r>
          <w:rPr>
            <w:color w:val="0000EE"/>
            <w:u w:val="single"/>
          </w:rPr>
          <w:t>Fm 1.1–2</w:t>
        </w:r>
      </w:hyperlink>
      <w:r>
        <w:t xml:space="preserve">). As saudações são enviadas pelo moderador da epístola em nome de Epafras, Marcos, Aristarco, Demas e Lucas, que representam juntos um contingente impressionante de líderes da igreja (vv. </w:t>
      </w:r>
      <w:hyperlink r:id="rId9346">
        <w:r>
          <w:rPr>
            <w:color w:val="0000EE"/>
            <w:u w:val="single"/>
          </w:rPr>
          <w:t>23–24</w:t>
        </w:r>
      </w:hyperlink>
      <w:r>
        <w:t>). O propósito de Paulo ao mencioná-los é fazer Filemom perceber que sua resposta ao apelo de Paulo não será uma decisão privada, mas pela qual ele será responsável perante a comunidade dos crentes da qual ele faz parte. No corpo de Cristo, questões que dizem respeito aos relacionamentos dos crentes entre si são de interesse para toda a comunidade. Tais assuntos podem não ser tratados como questões privadas, uma vez que eles necessariamente afetam o bem-estar de toda a igreja (</w:t>
      </w:r>
      <w:hyperlink r:id="rId9350">
        <w:r>
          <w:rPr>
            <w:color w:val="0000EE"/>
            <w:u w:val="single"/>
          </w:rPr>
          <w:t>Mt 18.15–20</w:t>
        </w:r>
      </w:hyperlink>
      <w:r>
        <w:t>).</w:t>
      </w:r>
    </w:p>
    <w:p>
      <w:r/>
      <w:r>
        <w:t>A epístola deixa claro que um laço caloroso de amor fraterno existia entre Paulo e Filemom. O apóstolo chama Filemom de seu “colega de trabalho amado” (</w:t>
      </w:r>
      <w:hyperlink r:id="rId9343">
        <w:r>
          <w:rPr>
            <w:color w:val="0000EE"/>
            <w:u w:val="single"/>
          </w:rPr>
          <w:t>Fm 1.1</w:t>
        </w:r>
      </w:hyperlink>
      <w:r>
        <w:t xml:space="preserve">); ele o elogia em termos efusivos pelo envolvimento de Filemom no empreendimento missionário (vv. </w:t>
      </w:r>
      <w:hyperlink r:id="rId9351">
        <w:r>
          <w:rPr>
            <w:color w:val="0000EE"/>
            <w:u w:val="single"/>
          </w:rPr>
          <w:t>5–7</w:t>
        </w:r>
      </w:hyperlink>
      <w:r>
        <w:t xml:space="preserve">); ele apela a ele com base no amor (v. </w:t>
      </w:r>
      <w:hyperlink r:id="rId9352">
        <w:r>
          <w:rPr>
            <w:color w:val="0000EE"/>
            <w:u w:val="single"/>
          </w:rPr>
          <w:t>9</w:t>
        </w:r>
      </w:hyperlink>
      <w:r>
        <w:t xml:space="preserve">); ele evoca sua participação de uma parceria comum (v. </w:t>
      </w:r>
      <w:hyperlink r:id="rId9353">
        <w:r>
          <w:rPr>
            <w:color w:val="0000EE"/>
            <w:u w:val="single"/>
          </w:rPr>
          <w:t>17</w:t>
        </w:r>
      </w:hyperlink>
      <w:r>
        <w:t xml:space="preserve">); ele lembra gentilmente a Filemom que ele deve sua salvação a Paulo (v. </w:t>
      </w:r>
      <w:hyperlink r:id="rId9354">
        <w:r>
          <w:rPr>
            <w:color w:val="0000EE"/>
            <w:u w:val="single"/>
          </w:rPr>
          <w:t>19</w:t>
        </w:r>
      </w:hyperlink>
      <w:r>
        <w:t xml:space="preserve">), e ele diz que confia nele para fazer o que é pedido dele e ainda mais (v. </w:t>
      </w:r>
      <w:hyperlink r:id="rId9355">
        <w:r>
          <w:rPr>
            <w:color w:val="0000EE"/>
            <w:u w:val="single"/>
          </w:rPr>
          <w:t>21</w:t>
        </w:r>
      </w:hyperlink>
      <w:r>
        <w:t>).</w:t>
      </w:r>
    </w:p>
    <w:p>
      <w:pPr>
        <w:pStyle w:val="Heading3"/>
      </w:pPr>
      <w:r>
        <w:t>Contexto</w:t>
      </w:r>
    </w:p>
    <w:p>
      <w:r/>
      <w:r>
        <w:t xml:space="preserve">O objeto da carta de Paulo pertence a um terceiro — Onésimo, o escravo fugitivo de Filemom. Depois de ter cometido alguma indiscrição não revelada na carta (v. </w:t>
      </w:r>
      <w:hyperlink r:id="rId9356">
        <w:r>
          <w:rPr>
            <w:color w:val="0000EE"/>
            <w:u w:val="single"/>
          </w:rPr>
          <w:t>18</w:t>
        </w:r>
      </w:hyperlink>
      <w:r>
        <w:t xml:space="preserve">), o escravo havia escapado, e tendo viajado para a grande cidade, ele havia buscado o anonimato entre os grupos heterogêneos de pessoas que formam a subclasse de qualquer metrópole. Através de circunstâncias providenciais que permanecem envoltas em mistério, o escravo fugitivo havia chegado sob a influência de Paulo; ele havia sido convertido por ele (v. </w:t>
      </w:r>
      <w:hyperlink r:id="rId9357">
        <w:r>
          <w:rPr>
            <w:color w:val="0000EE"/>
            <w:u w:val="single"/>
          </w:rPr>
          <w:t>10</w:t>
        </w:r>
      </w:hyperlink>
      <w:r>
        <w:t xml:space="preserve">), havia se tornado amigo do coração de Paulo (v. </w:t>
      </w:r>
      <w:hyperlink r:id="rId9358">
        <w:r>
          <w:rPr>
            <w:color w:val="0000EE"/>
            <w:u w:val="single"/>
          </w:rPr>
          <w:t>12</w:t>
        </w:r>
      </w:hyperlink>
      <w:r>
        <w:t xml:space="preserve">), e havia se envolvido com ele na obra do evangelho na medida em que Paulo teria ficado feliz em mantê-lo em seu serviço como seu irmão fiel e querido (v. </w:t>
      </w:r>
      <w:hyperlink r:id="rId9359">
        <w:r>
          <w:rPr>
            <w:color w:val="0000EE"/>
            <w:u w:val="single"/>
          </w:rPr>
          <w:t>13</w:t>
        </w:r>
      </w:hyperlink>
      <w:r>
        <w:t xml:space="preserve">; </w:t>
      </w:r>
      <w:hyperlink r:id="rId9360">
        <w:r>
          <w:rPr>
            <w:color w:val="0000EE"/>
            <w:u w:val="single"/>
          </w:rPr>
          <w:t>Cl 4.9</w:t>
        </w:r>
      </w:hyperlink>
      <w:r>
        <w:t>).</w:t>
      </w:r>
    </w:p>
    <w:p>
      <w:r/>
      <w:r>
        <w:t>Paulo sabia que, se ele tivesse mantido Onésimo ao seu lado como colega de trabalho, Filemom teria sido compelido a prestar atenção à sua decisão (</w:t>
      </w:r>
      <w:hyperlink r:id="rId9361">
        <w:r>
          <w:rPr>
            <w:color w:val="0000EE"/>
            <w:u w:val="single"/>
          </w:rPr>
          <w:t>Fm 1.13–14</w:t>
        </w:r>
      </w:hyperlink>
      <w:r>
        <w:t xml:space="preserve">). No entanto, Paulo decidiu usar a situação ambígua que havia se desenvolvido como a ocasião para fazer Filemom pensar nas implicações de sua fé na escravidão, e fazê-lo libertar Onésimo e elevá-lo ao status de irmão, não apenas em um sentido espiritual (“no Senhor”), mas também em relação a seu status civil (“na carne”, v. </w:t>
      </w:r>
      <w:hyperlink r:id="rId4296">
        <w:r>
          <w:rPr>
            <w:color w:val="0000EE"/>
            <w:u w:val="single"/>
          </w:rPr>
          <w:t>16</w:t>
        </w:r>
      </w:hyperlink>
      <w:r>
        <w:t>). Que Filemom aceitou o pedido de Paulo e concedeu a liberdade a Onésimo é atestado pela preservação deste documento. Se Filemom tivesse rejeitado o pedido de Paulo, ele teria provavelmente destruído a carta para apagar da memória humana o que teria se tornado evidência incriminadora de sua teimosia.</w:t>
      </w:r>
    </w:p>
    <w:p>
      <w:r/>
      <w:r>
        <w:t xml:space="preserve">Um pós-escrito intrigante foi adicionado a esta história pela descoberta das repetidas referências a um bispo idoso chamado Onésimo que liderou a igreja em Éfeso no início do segundo século, de acordo com a carta de Inácio aos efésios. A identificação do bispo com o escravo de Filemom é sugerida pelo uso na carta de Inácio do jogo de Paulo sobre palavras com o nome de Onésimo nos versos </w:t>
      </w:r>
      <w:hyperlink r:id="rId9362">
        <w:r>
          <w:rPr>
            <w:color w:val="0000EE"/>
            <w:u w:val="single"/>
          </w:rPr>
          <w:t>11</w:t>
        </w:r>
      </w:hyperlink>
      <w:r>
        <w:t xml:space="preserve"> e </w:t>
      </w:r>
      <w:hyperlink r:id="rId9363">
        <w:r>
          <w:rPr>
            <w:color w:val="0000EE"/>
            <w:u w:val="single"/>
          </w:rPr>
          <w:t>20</w:t>
        </w:r>
      </w:hyperlink>
      <w:r>
        <w:t xml:space="preserve"> (Onésimo significa “útil” ou “benéfico”). Se este for o caso, é concebível que o ex-escravo fosse o indivíduo que coletava as cartas paulinas que foram eventualmente integradas no cânon do NT, incluindo a carta a Filemom.</w:t>
      </w:r>
    </w:p>
    <w:p>
      <w:pPr>
        <w:pStyle w:val="Heading3"/>
      </w:pPr>
      <w:r>
        <w:t>Propósito</w:t>
      </w:r>
    </w:p>
    <w:p>
      <w:r/>
      <w:r>
        <w:t xml:space="preserve">O propósito da carta de Paulo a Filemom era dramatizar a incompatibilidade da instituição da escravidão com o cristianismo e, assim, obter a libertação de Onésimo. Não há evidências na epístola de que Paulo estava receoso com a ideia de Filemom infligir a Onésimo as duras punições que foram prescritas pela lei romana para os escravos fugitivos. No entanto, Paulo estava preocupado de que Onésimo não fosse reintegrado como um escravo, mas que ele fosse recebido como um membro de pleno direito da família de Filemom, e que ele fosse tratado com pelo menos a mesmo respeito e dignidade que poderiam ter sido estendidas ao próprio Paulo (vv. </w:t>
      </w:r>
      <w:hyperlink r:id="rId9353">
        <w:r>
          <w:rPr>
            <w:color w:val="0000EE"/>
            <w:u w:val="single"/>
          </w:rPr>
          <w:t>17,21</w:t>
        </w:r>
      </w:hyperlink>
      <w:r>
        <w:t>).</w:t>
      </w:r>
    </w:p>
    <w:p>
      <w:pPr>
        <w:pStyle w:val="Heading3"/>
      </w:pPr>
      <w:r>
        <w:t>Ensinamento</w:t>
      </w:r>
    </w:p>
    <w:p>
      <w:r/>
      <w:r>
        <w:t>Entre os muitos ensinamentos contidos nesta pequena epístola, três merecem menção especial.</w:t>
      </w:r>
    </w:p>
    <w:p>
      <w:r/>
      <w:r>
        <w:t>Primeiro, a carta testifica do desafio revolucionário trazido pelo evangelho às instituições carregadas de pecado da sociedade. Como tal, constitui uma condenação da prática da escravidão. Jesus havia negado aos seus seguidores o direito de possuir ou controlar outros seres humanos. Dentro da comunidade cristã, o domínio ou liderança deveria ser exercido na servidão da parte inferior da escada social, em vez de hierarquicamente ao longo das linhas de autoridade (</w:t>
      </w:r>
      <w:hyperlink r:id="rId9364">
        <w:r>
          <w:rPr>
            <w:color w:val="0000EE"/>
            <w:u w:val="single"/>
          </w:rPr>
          <w:t>Mc 10.42–45</w:t>
        </w:r>
      </w:hyperlink>
      <w:r>
        <w:t>). Como resultado, as diferenças de classes haviam se tornado irrelevantes entre os cristãos. Em Cristo, não havia nem escravo, nem livre, mas todos eram um nele (</w:t>
      </w:r>
      <w:hyperlink r:id="rId5177">
        <w:r>
          <w:rPr>
            <w:color w:val="0000EE"/>
            <w:u w:val="single"/>
          </w:rPr>
          <w:t>Gl 3.28</w:t>
        </w:r>
      </w:hyperlink>
      <w:r>
        <w:t>). Os cristãos escravos que poderiam obter sua liberdade deveriam se beneficiar da oportunidade (</w:t>
      </w:r>
      <w:hyperlink r:id="rId9365">
        <w:r>
          <w:rPr>
            <w:color w:val="0000EE"/>
            <w:u w:val="single"/>
          </w:rPr>
          <w:t>1Co 7.21</w:t>
        </w:r>
      </w:hyperlink>
      <w:r>
        <w:t>), e aqueles que eram livres deveriam evitar se tornar escravos dos homens (</w:t>
      </w:r>
      <w:hyperlink r:id="rId9366">
        <w:r>
          <w:rPr>
            <w:color w:val="0000EE"/>
            <w:u w:val="single"/>
          </w:rPr>
          <w:t>1Co 7.23</w:t>
        </w:r>
      </w:hyperlink>
      <w:r>
        <w:t xml:space="preserve">; </w:t>
      </w:r>
      <w:hyperlink r:id="rId9142">
        <w:r>
          <w:rPr>
            <w:color w:val="0000EE"/>
            <w:u w:val="single"/>
          </w:rPr>
          <w:t>Gl 5.1</w:t>
        </w:r>
      </w:hyperlink>
      <w:r>
        <w:t>). Por outro lado, os proprietários de escravos cristãos deveriam agir como servos de seus escravos (</w:t>
      </w:r>
      <w:hyperlink r:id="rId8176">
        <w:r>
          <w:rPr>
            <w:color w:val="0000EE"/>
            <w:u w:val="single"/>
          </w:rPr>
          <w:t>Ef 6.9</w:t>
        </w:r>
      </w:hyperlink>
      <w:r>
        <w:t>), e todos os cristãos deveriam ser servos uns dos outros (</w:t>
      </w:r>
      <w:hyperlink r:id="rId4355">
        <w:r>
          <w:rPr>
            <w:color w:val="0000EE"/>
            <w:u w:val="single"/>
          </w:rPr>
          <w:t>Gl 5.13</w:t>
        </w:r>
      </w:hyperlink>
      <w:r>
        <w:t>). Consequentemente, Filemom deveria receber Onésimo “não mais como um escravo” (</w:t>
      </w:r>
      <w:hyperlink r:id="rId4296">
        <w:r>
          <w:rPr>
            <w:color w:val="0000EE"/>
            <w:u w:val="single"/>
          </w:rPr>
          <w:t>Fm 1.16</w:t>
        </w:r>
      </w:hyperlink>
      <w:r>
        <w:t>).</w:t>
      </w:r>
    </w:p>
    <w:p>
      <w:r/>
      <w:r>
        <w:t>Segundo, se a adesão ao evangelho proíbe uma manutenção conservadora do status quo, também descarta sua derrubada violenta. O temperamento revolucionário do evangelho é expresso em uma postura de servidão, em vez de na hostilidade militante. Onésimo foi aconselhado por Paulo a demonstrar esta teologia da libertação voltando em submissão a Filemom para permitir que o Espírito Santo efetuasse uma mudança radical em seu relacionamento. O emprego dos métodos de Satanás para alcançar os resultados do reino descartam a intervenção divina e resulta no aumento da opressão.</w:t>
      </w:r>
    </w:p>
    <w:p>
      <w:r/>
      <w:r>
        <w:t xml:space="preserve">Finalmente, a epístola fornece um modelo magistral de religiosidade inspirada. A situação que havia se desenvolvido entre Filemom e Onésimo exigiu a mediação de um defensor que poderia comandar o respeito do primeiro para falar com sucesso em nome deste último. Para ganhar seu caso, Paulo usou a psicologia da recomendação (vv. </w:t>
      </w:r>
      <w:hyperlink r:id="rId9367">
        <w:r>
          <w:rPr>
            <w:color w:val="0000EE"/>
            <w:u w:val="single"/>
          </w:rPr>
          <w:t>4–7</w:t>
        </w:r>
      </w:hyperlink>
      <w:r>
        <w:t xml:space="preserve">); ele enfatizou seu próprio sofrimento autosacrificial por causa do evangelho (v. </w:t>
      </w:r>
      <w:hyperlink r:id="rId9352">
        <w:r>
          <w:rPr>
            <w:color w:val="0000EE"/>
            <w:u w:val="single"/>
          </w:rPr>
          <w:t>9</w:t>
        </w:r>
      </w:hyperlink>
      <w:r>
        <w:t xml:space="preserve">); ele jogou com base na boa vontade de Filemom (v. </w:t>
      </w:r>
      <w:hyperlink r:id="rId9368">
        <w:r>
          <w:rPr>
            <w:color w:val="0000EE"/>
            <w:u w:val="single"/>
          </w:rPr>
          <w:t>14</w:t>
        </w:r>
      </w:hyperlink>
      <w:r>
        <w:t xml:space="preserve">); ele apelou aos laços pessoais de amizade (vv. </w:t>
      </w:r>
      <w:hyperlink r:id="rId9353">
        <w:r>
          <w:rPr>
            <w:color w:val="0000EE"/>
            <w:u w:val="single"/>
          </w:rPr>
          <w:t>17,20</w:t>
        </w:r>
      </w:hyperlink>
      <w:r>
        <w:t xml:space="preserve">); ele se ofereceu para assumir a responsabilidade pelas perdas incorridas (v. 18); ele lembrou a Filemom de sua própria dívida para com Paulo (v. </w:t>
      </w:r>
      <w:hyperlink r:id="rId9354">
        <w:r>
          <w:rPr>
            <w:color w:val="0000EE"/>
            <w:u w:val="single"/>
          </w:rPr>
          <w:t>19</w:t>
        </w:r>
      </w:hyperlink>
      <w:r>
        <w:t xml:space="preserve">); e ele anunciou um próximo encontro que poderia ter causado o constrangimento se Filemom tivesse hesitado a seu pedido (v. </w:t>
      </w:r>
      <w:hyperlink r:id="rId9347">
        <w:r>
          <w:rPr>
            <w:color w:val="0000EE"/>
            <w:u w:val="single"/>
          </w:rPr>
          <w:t>22</w:t>
        </w:r>
      </w:hyperlink>
      <w:r>
        <w:t>). A abordagem de Paulo é pessoal e pastoral, amigável, mas fervorosa. Exibe um equilíbrio perfeito de firmeza e sutileza. Demonstra como a liderança cristã genuína deve ser exercida através de persuasão e apelo, em vez de por imposições autoritárias pesadas.</w:t>
      </w:r>
    </w:p>
    <w:p>
      <w:r/>
      <w:r>
        <w:t>Embora seja um dos menores documentos na Bíblia, a Carta a Filemom permanece como um monumento atemporal à dignidade e igualdade conferidas por Cristo a todos os seres humanos, independentemente de posição, gênero, classe ou status. Também oferece aos cristãos um mandato e uma metodologia para buscar uma reforma social eficaz.</w:t>
      </w:r>
    </w:p>
    <w:p>
      <w:r/>
      <w:r>
        <w:rPr>
          <w:i/>
        </w:rPr>
        <w:t>Veja também</w:t>
      </w:r>
      <w:r>
        <w:t xml:space="preserve"> </w:t>
      </w:r>
      <w:r>
        <w:t>Paulo, O Apóstolo</w:t>
      </w:r>
      <w:r>
        <w:t xml:space="preserve">; </w:t>
      </w:r>
      <w:r>
        <w:t>Filemom (Pessoa)</w:t>
      </w:r>
      <w:r>
        <w:t>.</w:t>
      </w:r>
      <w:r/>
      <w:r/>
    </w:p>
    <w:p>
      <w:r/>
    </w:p>
    <w:p>
      <w:pPr>
        <w:pStyle w:val="Heading2"/>
      </w:pPr>
      <w:r>
        <w:t>Filha do Faraó</w:t>
      </w:r>
      <w:r/>
    </w:p>
    <w:p>
      <w:pPr>
        <w:pStyle w:val="ListNumber"/>
        <w:spacing w:line="240" w:lineRule="auto"/>
        <w:ind w:left="720"/>
      </w:pPr>
      <w:r/>
      <w:r>
        <w:t>Uma princesa egípcia que resgatou o bebê Moisés e o adotou como seu próprio filho (</w:t>
      </w:r>
      <w:hyperlink r:id="rId9369">
        <w:r>
          <w:rPr>
            <w:color w:val="0000EE"/>
            <w:u w:val="single"/>
          </w:rPr>
          <w:t>Êx 2.5–10</w:t>
        </w:r>
      </w:hyperlink>
      <w:r>
        <w:t xml:space="preserve">; </w:t>
      </w:r>
      <w:hyperlink r:id="rId9370">
        <w:r>
          <w:rPr>
            <w:color w:val="0000EE"/>
            <w:u w:val="single"/>
          </w:rPr>
          <w:t>At 7.21</w:t>
        </w:r>
      </w:hyperlink>
      <w:r>
        <w:t xml:space="preserve">; </w:t>
      </w:r>
      <w:hyperlink r:id="rId9371">
        <w:r>
          <w:rPr>
            <w:color w:val="0000EE"/>
            <w:u w:val="single"/>
          </w:rPr>
          <w:t>Hb 11.24</w:t>
        </w:r>
      </w:hyperlink>
      <w:r>
        <w:t>). Se aceitarmos uma data anterior para o êxodo (quando Moisés liderou os israelitas para fora do Egito), essa mãe adotiva de Moisés poderia ter sido Hatshepsut. Alguns estudiosos que aceitam uma data posterior para o êxodo acreditam que o Faraó da opressão foi Ramsés II. Se for assim, essa princesa pode ter sido a filha de Seti I ou de um faraó posterior da 18ª dinastia. Ela provavelmente nasceu de uma concubina de um harém real perto da região de Gósen.</w:t>
      </w:r>
    </w:p>
    <w:p>
      <w:pPr>
        <w:pStyle w:val="ListNumber"/>
        <w:spacing w:line="240" w:lineRule="auto"/>
        <w:ind w:left="720"/>
      </w:pPr>
      <w:r/>
      <w:r>
        <w:t>Uma princesa egípcia, uma das duas esposas de Merede (um descendente de Calebe) que deu à luz três filhos (</w:t>
      </w:r>
      <w:hyperlink r:id="rId7618">
        <w:r>
          <w:rPr>
            <w:color w:val="0000EE"/>
            <w:u w:val="single"/>
          </w:rPr>
          <w:t>1Cr 4.17</w:t>
        </w:r>
      </w:hyperlink>
      <w:r>
        <w:t>). Seu nome, Bitia (que significa "filha do Senhor"), implica que ela se converteu à adoração ao Deus de Israel. Não se sabe qual Faraó era seu pai.</w:t>
      </w:r>
    </w:p>
    <w:p>
      <w:pPr>
        <w:pStyle w:val="ListNumber"/>
        <w:spacing w:line="240" w:lineRule="auto"/>
        <w:ind w:left="720"/>
      </w:pPr>
      <w:r/>
      <w:r>
        <w:t>Uma princesa com quem Salomão se casou para formar uma aliança com o Egito. Seu pai provavelmente era Siamun, que governou de 978 a 959 a.C. Ele deu a Salomão a cidade de Gezer como presente de casamento (</w:t>
      </w:r>
      <w:hyperlink r:id="rId9372">
        <w:r>
          <w:rPr>
            <w:color w:val="0000EE"/>
            <w:u w:val="single"/>
          </w:rPr>
          <w:t>1Rs 3.1</w:t>
        </w:r>
      </w:hyperlink>
      <w:r>
        <w:t xml:space="preserve">; </w:t>
      </w:r>
      <w:hyperlink r:id="rId766">
        <w:r>
          <w:rPr>
            <w:color w:val="0000EE"/>
            <w:u w:val="single"/>
          </w:rPr>
          <w:t>9.16</w:t>
        </w:r>
      </w:hyperlink>
      <w:r>
        <w:t xml:space="preserve">; </w:t>
      </w:r>
      <w:hyperlink r:id="rId4568">
        <w:r>
          <w:rPr>
            <w:color w:val="0000EE"/>
            <w:u w:val="single"/>
          </w:rPr>
          <w:t>11.1</w:t>
        </w:r>
      </w:hyperlink>
      <w:r>
        <w:t>). Salomão construiu para ela um palácio em Jerusalém porque não queria que ela morasse na casa de Davi (</w:t>
      </w:r>
      <w:hyperlink r:id="rId9373">
        <w:r>
          <w:rPr>
            <w:color w:val="0000EE"/>
            <w:u w:val="single"/>
          </w:rPr>
          <w:t>1Rs 7.8</w:t>
        </w:r>
      </w:hyperlink>
      <w:r>
        <w:t xml:space="preserve">; </w:t>
      </w:r>
      <w:hyperlink r:id="rId9374">
        <w:r>
          <w:rPr>
            <w:color w:val="0000EE"/>
            <w:u w:val="single"/>
          </w:rPr>
          <w:t>9.24</w:t>
        </w:r>
      </w:hyperlink>
      <w:r>
        <w:t xml:space="preserve">; </w:t>
      </w:r>
      <w:hyperlink r:id="rId9375">
        <w:r>
          <w:rPr>
            <w:color w:val="0000EE"/>
            <w:u w:val="single"/>
          </w:rPr>
          <w:t>2Cr 8.11</w:t>
        </w:r>
      </w:hyperlink>
      <w:r>
        <w:t>).</w:t>
      </w:r>
      <w:r/>
      <w:r/>
    </w:p>
    <w:p>
      <w:r/>
    </w:p>
    <w:p>
      <w:pPr>
        <w:pStyle w:val="Heading2"/>
      </w:pPr>
      <w:r>
        <w:t>Filho De Deus</w:t>
      </w:r>
      <w:r/>
    </w:p>
    <w:p>
      <w:r/>
      <w:r>
        <w:t>Termo usado para expressar a divindade de Jesus de Nazaré como o Filho divino único.</w:t>
      </w:r>
    </w:p>
    <w:p>
      <w:r/>
      <w:r>
        <w:t>A filiação única de Jesus é antitética para os conceitos de filiação populares no mundo antigo. No helenismo, as pessoas acreditavam que um homem poderia ser um “filho dos deuses” de muitas maneiras: na mitologia, pela coabitação de um deus com uma mulher imaginada como sobre-humana; na política, dando aos generais e imperadores altas honras na seita da adoração do imperador romano; em medicina, chamando um médico de “filho de Asclépio”; e eventualmente atribuindo a qualquer um com poderes ou qualidades misteriosas o título, ou fama de “homem divino”.</w:t>
      </w:r>
    </w:p>
    <w:p>
      <w:pPr>
        <w:pStyle w:val="Heading3"/>
      </w:pPr>
      <w:r>
        <w:t>O termo no Antigo Testamento</w:t>
      </w:r>
    </w:p>
    <w:p>
      <w:r/>
      <w:r>
        <w:t>No AT, certos homens que viveram antes do tempo de Noé (</w:t>
      </w:r>
      <w:hyperlink r:id="rId8478">
        <w:r>
          <w:rPr>
            <w:color w:val="0000EE"/>
            <w:u w:val="single"/>
          </w:rPr>
          <w:t>Gn 6.1–4</w:t>
        </w:r>
      </w:hyperlink>
      <w:r>
        <w:t xml:space="preserve">), “os anjos” (incluindo Satanás, </w:t>
      </w:r>
      <w:hyperlink r:id="rId7986">
        <w:r>
          <w:rPr>
            <w:color w:val="0000EE"/>
            <w:u w:val="single"/>
          </w:rPr>
          <w:t>Jó 1.6</w:t>
        </w:r>
      </w:hyperlink>
      <w:r>
        <w:t xml:space="preserve">; </w:t>
      </w:r>
      <w:hyperlink r:id="rId9376">
        <w:r>
          <w:rPr>
            <w:color w:val="0000EE"/>
            <w:u w:val="single"/>
          </w:rPr>
          <w:t>2.1</w:t>
        </w:r>
      </w:hyperlink>
      <w:r>
        <w:t>) e outros seres celestiais (</w:t>
      </w:r>
      <w:hyperlink r:id="rId9377">
        <w:r>
          <w:rPr>
            <w:color w:val="0000EE"/>
            <w:u w:val="single"/>
          </w:rPr>
          <w:t>Sl 29.1</w:t>
        </w:r>
      </w:hyperlink>
      <w:r>
        <w:t xml:space="preserve">; </w:t>
      </w:r>
      <w:hyperlink r:id="rId9378">
        <w:r>
          <w:rPr>
            <w:color w:val="0000EE"/>
            <w:u w:val="single"/>
          </w:rPr>
          <w:t>82.6</w:t>
        </w:r>
      </w:hyperlink>
      <w:r>
        <w:t xml:space="preserve">; </w:t>
      </w:r>
      <w:hyperlink r:id="rId9379">
        <w:r>
          <w:rPr>
            <w:color w:val="0000EE"/>
            <w:u w:val="single"/>
          </w:rPr>
          <w:t>89.6</w:t>
        </w:r>
      </w:hyperlink>
      <w:r>
        <w:t>) são chamados de “filhos de Deus”. Israel como povo era o filho escolhido de Deus. Esta filiação corporativa se tornou a base da redenção de Israel do Egito: “Israel é meu filho primogênito” (</w:t>
      </w:r>
      <w:hyperlink r:id="rId9380">
        <w:r>
          <w:rPr>
            <w:color w:val="0000EE"/>
            <w:u w:val="single"/>
          </w:rPr>
          <w:t>Êx 4.22</w:t>
        </w:r>
      </w:hyperlink>
      <w:r>
        <w:t xml:space="preserve">; cf. </w:t>
      </w:r>
      <w:hyperlink r:id="rId9381">
        <w:r>
          <w:rPr>
            <w:color w:val="0000EE"/>
            <w:u w:val="single"/>
          </w:rPr>
          <w:t>Jr 31.9</w:t>
        </w:r>
      </w:hyperlink>
      <w:r>
        <w:t>). A filiação corporativa era o contexto para o foco na filiação pessoal na sanção divina de Davi como rei: “Eu serei seu pai, e ele será meu filho” (</w:t>
      </w:r>
      <w:hyperlink r:id="rId331">
        <w:r>
          <w:rPr>
            <w:color w:val="0000EE"/>
            <w:u w:val="single"/>
          </w:rPr>
          <w:t>2Sm 7.14</w:t>
        </w:r>
      </w:hyperlink>
      <w:r>
        <w:t>). A filiação “adotiva” de Davi era por decreto divino: “Eu proclamarei o decreto:… ‘Você é meu filho; hoje eu me tornei seu Pai’ (</w:t>
      </w:r>
      <w:hyperlink r:id="rId2007">
        <w:r>
          <w:rPr>
            <w:color w:val="0000EE"/>
            <w:u w:val="single"/>
          </w:rPr>
          <w:t>Sl 2.7</w:t>
        </w:r>
      </w:hyperlink>
      <w:r>
        <w:t>); e era o protótipo profético da filiação “essencial” de Jesus, o filho real de Davi (</w:t>
      </w:r>
      <w:hyperlink r:id="rId9382">
        <w:r>
          <w:rPr>
            <w:color w:val="0000EE"/>
            <w:u w:val="single"/>
          </w:rPr>
          <w:t>Mt 3.17</w:t>
        </w:r>
      </w:hyperlink>
      <w:r>
        <w:t xml:space="preserve">; </w:t>
      </w:r>
      <w:hyperlink r:id="rId3197">
        <w:r>
          <w:rPr>
            <w:color w:val="0000EE"/>
            <w:u w:val="single"/>
          </w:rPr>
          <w:t>Mc 1.11</w:t>
        </w:r>
      </w:hyperlink>
      <w:r>
        <w:t xml:space="preserve">; </w:t>
      </w:r>
      <w:hyperlink r:id="rId2895">
        <w:r>
          <w:rPr>
            <w:color w:val="0000EE"/>
            <w:u w:val="single"/>
          </w:rPr>
          <w:t>Lc 3.22</w:t>
        </w:r>
      </w:hyperlink>
      <w:r>
        <w:t xml:space="preserve">; </w:t>
      </w:r>
      <w:hyperlink r:id="rId6128">
        <w:r>
          <w:rPr>
            <w:color w:val="0000EE"/>
            <w:u w:val="single"/>
          </w:rPr>
          <w:t>Atos 13.33</w:t>
        </w:r>
      </w:hyperlink>
      <w:r>
        <w:t xml:space="preserve">; </w:t>
      </w:r>
      <w:hyperlink r:id="rId9383">
        <w:r>
          <w:rPr>
            <w:color w:val="0000EE"/>
            <w:u w:val="single"/>
          </w:rPr>
          <w:t>Hb 1.5</w:t>
        </w:r>
      </w:hyperlink>
      <w:r>
        <w:t xml:space="preserve">; </w:t>
      </w:r>
      <w:hyperlink r:id="rId6109">
        <w:r>
          <w:rPr>
            <w:color w:val="0000EE"/>
            <w:u w:val="single"/>
          </w:rPr>
          <w:t>5.5</w:t>
        </w:r>
      </w:hyperlink>
      <w:r>
        <w:t>). Outras profecias messiânicas atribuem nomes divinos ao Messias Davídico: “Emanuel” (</w:t>
      </w:r>
      <w:hyperlink r:id="rId9384">
        <w:r>
          <w:rPr>
            <w:color w:val="0000EE"/>
            <w:u w:val="single"/>
          </w:rPr>
          <w:t>Is 7.13–14</w:t>
        </w:r>
      </w:hyperlink>
      <w:r>
        <w:t>) e “Deus Poderoso, Pai da Eternidade” (</w:t>
      </w:r>
      <w:hyperlink r:id="rId9385">
        <w:r>
          <w:rPr>
            <w:color w:val="0000EE"/>
            <w:u w:val="single"/>
          </w:rPr>
          <w:t>Is 9.6–7</w:t>
        </w:r>
      </w:hyperlink>
      <w:r>
        <w:t>). Esses são realizados em Jesus (</w:t>
      </w:r>
      <w:hyperlink r:id="rId3590">
        <w:r>
          <w:rPr>
            <w:color w:val="0000EE"/>
            <w:u w:val="single"/>
          </w:rPr>
          <w:t>Mt 1.23</w:t>
        </w:r>
      </w:hyperlink>
      <w:r>
        <w:t xml:space="preserve">; </w:t>
      </w:r>
      <w:hyperlink r:id="rId9386">
        <w:r>
          <w:rPr>
            <w:color w:val="0000EE"/>
            <w:u w:val="single"/>
          </w:rPr>
          <w:t>21.4–10</w:t>
        </w:r>
      </w:hyperlink>
      <w:r>
        <w:t xml:space="preserve">; </w:t>
      </w:r>
      <w:hyperlink r:id="rId6626">
        <w:r>
          <w:rPr>
            <w:color w:val="0000EE"/>
            <w:u w:val="single"/>
          </w:rPr>
          <w:t>22.41–45</w:t>
        </w:r>
      </w:hyperlink>
      <w:r>
        <w:t>).</w:t>
      </w:r>
    </w:p>
    <w:p>
      <w:pPr>
        <w:pStyle w:val="Heading3"/>
      </w:pPr>
      <w:r>
        <w:t>Nos Evangelhos</w:t>
      </w:r>
    </w:p>
    <w:p>
      <w:r/>
      <w:r>
        <w:t>A identificação de Jesus como o Filho de Deus é revelada nos Evangelhos de três maneiras distintas.</w:t>
      </w:r>
    </w:p>
    <w:p>
      <w:r/>
      <w:r>
        <w:t xml:space="preserve">O primeiro é sua </w:t>
      </w:r>
      <w:r>
        <w:rPr>
          <w:i/>
        </w:rPr>
        <w:t>filiação eterna e pessoal.</w:t>
      </w:r>
      <w:r>
        <w:t xml:space="preserve"> A filiação pessoal de Jesus é revelada na confissão de Pedro: “Você é o Cristo, o Filho do Deus vivo” (</w:t>
      </w:r>
      <w:hyperlink r:id="rId3704">
        <w:r>
          <w:rPr>
            <w:color w:val="0000EE"/>
            <w:u w:val="single"/>
          </w:rPr>
          <w:t>Mt 16.16</w:t>
        </w:r>
      </w:hyperlink>
      <w:r>
        <w:t>) e na identificação de Jesus de si em seu julgamento: “'Você é o Cristo, o Filho do Abençoado?'... ‘Eu sou’, disse Jesus” (</w:t>
      </w:r>
      <w:hyperlink r:id="rId8029">
        <w:r>
          <w:rPr>
            <w:color w:val="0000EE"/>
            <w:u w:val="single"/>
          </w:rPr>
          <w:t>Mc 14.61–62</w:t>
        </w:r>
      </w:hyperlink>
      <w:r>
        <w:t>). Em ambos os casos, a questão é seu ser pessoal ou essência, sua identificação eterna.</w:t>
      </w:r>
    </w:p>
    <w:p>
      <w:r/>
      <w:r>
        <w:t>Muito antes da Criação, mesmo da eternidade, o Pai e o Filho desfrutavam de comunhão um com o outro. Sabemos disso porque a Bíblia nos diz isso — mas não em qualquer grande detalhe. Na maioria das vezes, as Escrituras estão em silêncio sobre a cena pré-mundana. E, no entanto, há alguns versos que levantam o véu ligeiramente e nos dão um vislumbre desse relacionamento sublime e divino que sempre existiu entre o Pai e o Filho.</w:t>
      </w:r>
    </w:p>
    <w:p>
      <w:r/>
      <w:r>
        <w:t xml:space="preserve">De todos os livros na Bíblia, o Evangelho de João tem mais a dizer sobre o relacionamento entre o Pai e o Filho. É da pena inspirada de João que lemos desde o início: “No princípio era a Palavra, e a Palavra estava com Deus, e a Palavra era Deus”. Esta é uma descrição bastante explícita. O grego transmite algo mais pitoresco: “No início era a Palavra, e a Palavra estava face a face com Deus, e a Palavra era ele mesmo Deus”. Imagine, o Verbo, que era o Filho pré-encarnado de Deus, estava cara a cara com Deus. A expressão “face a face” traduz a preposição grega pros (abreviação de </w:t>
      </w:r>
      <w:r>
        <w:rPr>
          <w:i/>
        </w:rPr>
        <w:t>prosopon pros prosopon</w:t>
      </w:r>
      <w:r>
        <w:t>, “face a face”, uma expressão comum em grego koiné). A expressão significa comunhão íntima. O Pai e Filho desfrutaram de uma comunhão tão íntima desde a eternidade. Como eles devem ter se deleitado uns nos outros!</w:t>
      </w:r>
    </w:p>
    <w:p>
      <w:r/>
      <w:r>
        <w:t xml:space="preserve">Depois que o Filho de Deus se tornou um homem e começou seu ministério na terra, ele se referiu ao relacionamento que ele desfrutava com o Pai antes da fundação do mundo. Jesus falou do que ele havia visto e ouvido com o Pai antes de vir à terra (veja </w:t>
      </w:r>
      <w:hyperlink r:id="rId4766">
        <w:r>
          <w:rPr>
            <w:color w:val="0000EE"/>
            <w:u w:val="single"/>
          </w:rPr>
          <w:t>João 3.13</w:t>
        </w:r>
      </w:hyperlink>
      <w:r>
        <w:t xml:space="preserve"> e </w:t>
      </w:r>
      <w:hyperlink r:id="rId9387">
        <w:r>
          <w:rPr>
            <w:color w:val="0000EE"/>
            <w:u w:val="single"/>
          </w:rPr>
          <w:t>8.38</w:t>
        </w:r>
      </w:hyperlink>
      <w:r>
        <w:t xml:space="preserve">). Jesus ansiava por voltar para aquela esfera gloriosa. Em sua oração antes de ir para a cruz (no cap. </w:t>
      </w:r>
      <w:hyperlink r:id="rId9388">
        <w:r>
          <w:rPr>
            <w:color w:val="0000EE"/>
            <w:u w:val="single"/>
          </w:rPr>
          <w:t>17</w:t>
        </w:r>
      </w:hyperlink>
      <w:r>
        <w:t xml:space="preserve">), ele pediu ao Pai para glorificá-lo com a glória que ele tinha com o Pai antes que o mundo existisse (v. </w:t>
      </w:r>
      <w:hyperlink r:id="rId8801">
        <w:r>
          <w:rPr>
            <w:color w:val="0000EE"/>
            <w:u w:val="single"/>
          </w:rPr>
          <w:t>5</w:t>
        </w:r>
      </w:hyperlink>
      <w:r>
        <w:t xml:space="preserve">). Jesus queria recapturar sua igualdade primordial com o Pai — algo que ele havia renunciado de bom grado por causa do plano de seu Pai (veja </w:t>
      </w:r>
      <w:hyperlink r:id="rId9389">
        <w:r>
          <w:rPr>
            <w:color w:val="0000EE"/>
            <w:u w:val="single"/>
          </w:rPr>
          <w:t>Fp 2.6–7</w:t>
        </w:r>
      </w:hyperlink>
      <w:r>
        <w:t>). Enquanto ele orava ao Pai, uma declaração maravilhosa escapou de seus lábios: “Pai, (…) tu me amaste antes da fundação do mundo” (</w:t>
      </w:r>
      <w:hyperlink r:id="rId6866">
        <w:r>
          <w:rPr>
            <w:color w:val="0000EE"/>
            <w:u w:val="single"/>
          </w:rPr>
          <w:t>Jo 17.24</w:t>
        </w:r>
      </w:hyperlink>
      <w:r>
        <w:t>). O Filho de Deus, o Filho único, era o único objeto do amor do Pai.</w:t>
      </w:r>
    </w:p>
    <w:p>
      <w:r/>
      <w:r>
        <w:t xml:space="preserve">O segundo aspecto da filiação de Jesus é sua </w:t>
      </w:r>
      <w:r>
        <w:rPr>
          <w:i/>
        </w:rPr>
        <w:t>filiação na natividade.</w:t>
      </w:r>
      <w:r>
        <w:t xml:space="preserve"> A natividade de Jesus é atribuída à paternidade direta e espiritual de Deus. Jesus é o Filho de Deus porque sua encarnação e nascimento na raça humana foram criados pelo Espírito Santo. Em Mateus, a concepção de Jesus “é do Espírito Santo” (</w:t>
      </w:r>
      <w:hyperlink r:id="rId5980">
        <w:r>
          <w:rPr>
            <w:color w:val="0000EE"/>
            <w:u w:val="single"/>
          </w:rPr>
          <w:t>Mt 1.20</w:t>
        </w:r>
      </w:hyperlink>
      <w:r>
        <w:t xml:space="preserve">). Ele deve ser nomeado “Jesus” (que significa Yahweh é salvação) “porque ele salvará seu povo de seus pecados” (v. </w:t>
      </w:r>
      <w:hyperlink r:id="rId8705">
        <w:r>
          <w:rPr>
            <w:color w:val="0000EE"/>
            <w:u w:val="single"/>
          </w:rPr>
          <w:t>21</w:t>
        </w:r>
      </w:hyperlink>
      <w:r>
        <w:t xml:space="preserve">), e “Emanuel” (Deus conosco) porque ele mesmo é o Filho de Deus em carne humana (v. </w:t>
      </w:r>
      <w:hyperlink r:id="rId3590">
        <w:r>
          <w:rPr>
            <w:color w:val="0000EE"/>
            <w:u w:val="single"/>
          </w:rPr>
          <w:t>23</w:t>
        </w:r>
      </w:hyperlink>
      <w:r>
        <w:t>). Em Lucas, a concepção de Jesus foi pelo Espírito Santo e o poder do Altíssimo (</w:t>
      </w:r>
      <w:hyperlink r:id="rId9390">
        <w:r>
          <w:rPr>
            <w:color w:val="0000EE"/>
            <w:u w:val="single"/>
          </w:rPr>
          <w:t>Lc 1.31, 35</w:t>
        </w:r>
      </w:hyperlink>
      <w:r>
        <w:t xml:space="preserve">), então Jesus foi chamado de “Filho de Deus” (v. </w:t>
      </w:r>
      <w:hyperlink r:id="rId2011">
        <w:r>
          <w:rPr>
            <w:color w:val="0000EE"/>
            <w:u w:val="single"/>
          </w:rPr>
          <w:t>35</w:t>
        </w:r>
      </w:hyperlink>
      <w:r>
        <w:t>). Se o pai de Jesus tivesse sido o homem José, ele teria sido chamado de “Jesus, o filho de José”. O ensino de Lucas significa claramente que, uma vez que o Espírito de Deus era o pai de Jesus, este filho da virgem Maria é devidamente chamado de “Jesus, o Filho de Deus”.</w:t>
      </w:r>
    </w:p>
    <w:p>
      <w:r/>
      <w:r>
        <w:t xml:space="preserve">O terceiro aspecto é sua </w:t>
      </w:r>
      <w:r>
        <w:rPr>
          <w:i/>
        </w:rPr>
        <w:t>filiação messiânica.</w:t>
      </w:r>
      <w:r>
        <w:t xml:space="preserve"> Jesus é o Filho e representante do Pai, com a missão terrena de estabelecer o reino de Deus. Em seu batismo, ele começou sua missão com a coroação do Pai: “Este é meu Filho amado, com quem estou bem satisfeito” (</w:t>
      </w:r>
      <w:hyperlink r:id="rId9382">
        <w:r>
          <w:rPr>
            <w:color w:val="0000EE"/>
            <w:u w:val="single"/>
          </w:rPr>
          <w:t>Mt 3.17</w:t>
        </w:r>
      </w:hyperlink>
      <w:r>
        <w:t xml:space="preserve">; cf. </w:t>
      </w:r>
      <w:hyperlink r:id="rId2007">
        <w:r>
          <w:rPr>
            <w:color w:val="0000EE"/>
            <w:u w:val="single"/>
          </w:rPr>
          <w:t>Sl 2.7</w:t>
        </w:r>
      </w:hyperlink>
      <w:r>
        <w:t>). Jesus recebeu um pronunciamento semelhante do céu em sua Transfiguração (</w:t>
      </w:r>
      <w:hyperlink r:id="rId9391">
        <w:r>
          <w:rPr>
            <w:color w:val="0000EE"/>
            <w:u w:val="single"/>
          </w:rPr>
          <w:t>Lc 9.35</w:t>
        </w:r>
      </w:hyperlink>
      <w:r>
        <w:t>). Como Filho messiânico, Jesus completou perfeitamente o trabalho redentor que lhe foi dado por seu Pai.</w:t>
      </w:r>
    </w:p>
    <w:p>
      <w:pPr>
        <w:pStyle w:val="Heading3"/>
      </w:pPr>
      <w:r>
        <w:t>Nas epístolas do Novo Testamento</w:t>
      </w:r>
    </w:p>
    <w:p>
      <w:r/>
      <w:r>
        <w:t>Paulo falou da filiação essencial e ontológica de Jesus — não como um fato isolado, mas no contexto de sua obra redentora. Foi como Filho de Deus que Jesus tomou a natureza humana (</w:t>
      </w:r>
      <w:hyperlink r:id="rId4288">
        <w:r>
          <w:rPr>
            <w:color w:val="0000EE"/>
            <w:u w:val="single"/>
          </w:rPr>
          <w:t>Rm 1.3</w:t>
        </w:r>
      </w:hyperlink>
      <w:r>
        <w:t>) e como “o Filho de Deus” que ele foi ressuscitado e entronizado em poder (</w:t>
      </w:r>
      <w:hyperlink r:id="rId6882">
        <w:r>
          <w:rPr>
            <w:color w:val="0000EE"/>
            <w:u w:val="single"/>
          </w:rPr>
          <w:t>Mt 28.18</w:t>
        </w:r>
      </w:hyperlink>
      <w:r>
        <w:t xml:space="preserve">; </w:t>
      </w:r>
      <w:hyperlink r:id="rId6103">
        <w:r>
          <w:rPr>
            <w:color w:val="0000EE"/>
            <w:u w:val="single"/>
          </w:rPr>
          <w:t>Rm 1.4</w:t>
        </w:r>
      </w:hyperlink>
      <w:r>
        <w:t xml:space="preserve">; </w:t>
      </w:r>
      <w:hyperlink r:id="rId9392">
        <w:r>
          <w:rPr>
            <w:color w:val="0000EE"/>
            <w:u w:val="single"/>
          </w:rPr>
          <w:t>1Co 15.28</w:t>
        </w:r>
      </w:hyperlink>
      <w:r>
        <w:t>). A Encarnação é mencionada como “Deus enviando seu próprio Filho” (</w:t>
      </w:r>
      <w:hyperlink r:id="rId9393">
        <w:r>
          <w:rPr>
            <w:color w:val="0000EE"/>
            <w:u w:val="single"/>
          </w:rPr>
          <w:t>Rm 8.3</w:t>
        </w:r>
      </w:hyperlink>
      <w:r>
        <w:t xml:space="preserve">; </w:t>
      </w:r>
      <w:hyperlink r:id="rId6832">
        <w:r>
          <w:rPr>
            <w:color w:val="0000EE"/>
            <w:u w:val="single"/>
          </w:rPr>
          <w:t>Gl 4.4</w:t>
        </w:r>
      </w:hyperlink>
      <w:r>
        <w:t>) para a redenção da humanidade, uma redenção que foi realizada “através da morte de seu Filho” (</w:t>
      </w:r>
      <w:hyperlink r:id="rId8854">
        <w:r>
          <w:rPr>
            <w:color w:val="0000EE"/>
            <w:u w:val="single"/>
          </w:rPr>
          <w:t>Rm 5.10</w:t>
        </w:r>
      </w:hyperlink>
      <w:r>
        <w:t xml:space="preserve">; </w:t>
      </w:r>
      <w:hyperlink r:id="rId368">
        <w:r>
          <w:rPr>
            <w:color w:val="0000EE"/>
            <w:u w:val="single"/>
          </w:rPr>
          <w:t>8.29,32</w:t>
        </w:r>
      </w:hyperlink>
      <w:r>
        <w:t>). Como consequência, os fiéis podem ter “comunhão com seu Filho, Jesus Cristo, nosso Senhor” (</w:t>
      </w:r>
      <w:hyperlink r:id="rId9394">
        <w:r>
          <w:rPr>
            <w:color w:val="0000EE"/>
            <w:u w:val="single"/>
          </w:rPr>
          <w:t>1Co 1.9</w:t>
        </w:r>
      </w:hyperlink>
      <w:r>
        <w:t>), e eles podem viver pela fé no “Filho de Deus” (</w:t>
      </w:r>
      <w:hyperlink r:id="rId4289">
        <w:r>
          <w:rPr>
            <w:color w:val="0000EE"/>
            <w:u w:val="single"/>
          </w:rPr>
          <w:t>Gl 2.20</w:t>
        </w:r>
      </w:hyperlink>
      <w:r>
        <w:t>). A primeira pregação de Paulo foi “que Jesus é o Filho de Deus” (</w:t>
      </w:r>
      <w:hyperlink r:id="rId9395">
        <w:r>
          <w:rPr>
            <w:color w:val="0000EE"/>
            <w:u w:val="single"/>
          </w:rPr>
          <w:t>Atos 9.20</w:t>
        </w:r>
      </w:hyperlink>
      <w:r>
        <w:t xml:space="preserve">); isso foi mais tarde exposto por Paulo à luz do </w:t>
      </w:r>
      <w:hyperlink r:id="rId2007">
        <w:r>
          <w:rPr>
            <w:color w:val="0000EE"/>
            <w:u w:val="single"/>
          </w:rPr>
          <w:t>Salmo 2.7</w:t>
        </w:r>
      </w:hyperlink>
      <w:r>
        <w:t xml:space="preserve"> (veja </w:t>
      </w:r>
      <w:hyperlink r:id="rId6128">
        <w:r>
          <w:rPr>
            <w:color w:val="0000EE"/>
            <w:u w:val="single"/>
          </w:rPr>
          <w:t>Atos 13.33</w:t>
        </w:r>
      </w:hyperlink>
      <w:r>
        <w:t>).</w:t>
      </w:r>
    </w:p>
    <w:p>
      <w:r/>
      <w:r>
        <w:t>Em Hebreus, Jesus é “o Filho”, que é o “primogênito” e “herdeiro” pessoal de Deus, que é criador e sustentador do universo, e é o “esplendor da glória de Deus” (</w:t>
      </w:r>
      <w:hyperlink r:id="rId9396">
        <w:r>
          <w:rPr>
            <w:color w:val="0000EE"/>
            <w:u w:val="single"/>
          </w:rPr>
          <w:t>Hb 1.2–12</w:t>
        </w:r>
      </w:hyperlink>
      <w:r>
        <w:t xml:space="preserve">; </w:t>
      </w:r>
      <w:hyperlink r:id="rId4508">
        <w:r>
          <w:rPr>
            <w:color w:val="0000EE"/>
            <w:u w:val="single"/>
          </w:rPr>
          <w:t>3.6</w:t>
        </w:r>
      </w:hyperlink>
      <w:r>
        <w:t xml:space="preserve">; </w:t>
      </w:r>
      <w:hyperlink r:id="rId6109">
        <w:r>
          <w:rPr>
            <w:color w:val="0000EE"/>
            <w:u w:val="single"/>
          </w:rPr>
          <w:t>5.5</w:t>
        </w:r>
      </w:hyperlink>
      <w:r>
        <w:t>). Como Filho, ele é o Sumo Sacerdote final e eterno que ascendeu ao céu com o trabalho mediador perfeito para sempre (</w:t>
      </w:r>
      <w:hyperlink r:id="rId2679">
        <w:r>
          <w:rPr>
            <w:color w:val="0000EE"/>
            <w:u w:val="single"/>
          </w:rPr>
          <w:t>4.14</w:t>
        </w:r>
      </w:hyperlink>
      <w:r>
        <w:t xml:space="preserve">; </w:t>
      </w:r>
      <w:hyperlink r:id="rId9397">
        <w:r>
          <w:rPr>
            <w:color w:val="0000EE"/>
            <w:u w:val="single"/>
          </w:rPr>
          <w:t>6.6</w:t>
        </w:r>
      </w:hyperlink>
      <w:r>
        <w:t xml:space="preserve">; </w:t>
      </w:r>
      <w:hyperlink r:id="rId9398">
        <w:r>
          <w:rPr>
            <w:color w:val="0000EE"/>
            <w:u w:val="single"/>
          </w:rPr>
          <w:t>7.3,28</w:t>
        </w:r>
      </w:hyperlink>
      <w:r>
        <w:t xml:space="preserve">). Em </w:t>
      </w:r>
      <w:hyperlink r:id="rId9399">
        <w:r>
          <w:rPr>
            <w:color w:val="0000EE"/>
            <w:u w:val="single"/>
          </w:rPr>
          <w:t>1João 4</w:t>
        </w:r>
      </w:hyperlink>
      <w:r>
        <w:t xml:space="preserve"> e </w:t>
      </w:r>
      <w:hyperlink r:id="rId9400">
        <w:r>
          <w:rPr>
            <w:color w:val="0000EE"/>
            <w:u w:val="single"/>
          </w:rPr>
          <w:t>5</w:t>
        </w:r>
      </w:hyperlink>
      <w:r>
        <w:t>, a crença em Jesus como o Filho de Deus encarnado é essencial para a salvação; a descrença vem do espírito do Anticristo.</w:t>
      </w:r>
    </w:p>
    <w:p>
      <w:r/>
      <w:r>
        <w:rPr>
          <w:i/>
        </w:rPr>
        <w:t>Ver também</w:t>
      </w:r>
      <w:r>
        <w:t xml:space="preserve"> </w:t>
      </w:r>
      <w:r>
        <w:t>Cristologia</w:t>
      </w:r>
      <w:r>
        <w:t xml:space="preserve">; </w:t>
      </w:r>
      <w:r>
        <w:t>Jesus Cristo, Ensinamentos de</w:t>
      </w:r>
      <w:r>
        <w:t xml:space="preserve">; </w:t>
      </w:r>
      <w:r>
        <w:t>Messias</w:t>
      </w:r>
      <w:r>
        <w:t xml:space="preserve">; </w:t>
      </w:r>
      <w:r>
        <w:t>Filho do Homem</w:t>
      </w:r>
      <w:r>
        <w:t>.</w:t>
      </w:r>
      <w:r/>
      <w:r/>
    </w:p>
    <w:p>
      <w:r/>
    </w:p>
    <w:p>
      <w:pPr>
        <w:pStyle w:val="Heading2"/>
      </w:pPr>
      <w:r>
        <w:t>Filho Do Homem</w:t>
      </w:r>
      <w:r/>
    </w:p>
    <w:p>
      <w:r/>
      <w:r>
        <w:t>Título messiânico usado por Jesus para expressar sua origem celestial, missão terrena e vinda gloriosa do futuro. Não se refere apenas à sua natureza humana ou humanidade, como alguns pais da igreja ou estudiosos contemporâneos acreditam. Em vez disso, mostra a origem celestial e a dignidade divina de Jesus; o mistério de sua manifestação em forma humana; e sua missão terrena que o levou para a cruz e depois para a glória.</w:t>
      </w:r>
    </w:p>
    <w:p>
      <w:r/>
      <w:r>
        <w:t>O pano de fundo do termo “Filho do Homem” é encontrado no AT. É encontrado principalmente no livro de Ezequiel, uma vez que este profeta foi referido como “filho do homem” 90 vezes. Por exemplo, Deus se dirigiu a ele: “Filho do Homem, põe-te em seus pés, e eu falarei com você” (</w:t>
      </w:r>
      <w:hyperlink r:id="rId9401">
        <w:r>
          <w:rPr>
            <w:color w:val="0000EE"/>
            <w:u w:val="single"/>
          </w:rPr>
          <w:t>Ez 2.1</w:t>
        </w:r>
      </w:hyperlink>
      <w:r>
        <w:t xml:space="preserve">). O uso do termo “Filho do Homem” por Jesus e muitos temas de Ezequiel sugerem que ele queria se identificar como o profeta do fim dos tempos que, como Ezequiel (capítulos </w:t>
      </w:r>
      <w:hyperlink r:id="rId8928">
        <w:r>
          <w:rPr>
            <w:color w:val="0000EE"/>
            <w:u w:val="single"/>
          </w:rPr>
          <w:t>4</w:t>
        </w:r>
      </w:hyperlink>
      <w:r>
        <w:t xml:space="preserve">, </w:t>
      </w:r>
      <w:hyperlink r:id="rId8938">
        <w:r>
          <w:rPr>
            <w:color w:val="0000EE"/>
            <w:u w:val="single"/>
          </w:rPr>
          <w:t>7</w:t>
        </w:r>
      </w:hyperlink>
      <w:r>
        <w:t xml:space="preserve">, </w:t>
      </w:r>
      <w:hyperlink r:id="rId8948">
        <w:r>
          <w:rPr>
            <w:color w:val="0000EE"/>
            <w:u w:val="single"/>
          </w:rPr>
          <w:t>10</w:t>
        </w:r>
      </w:hyperlink>
      <w:r>
        <w:t xml:space="preserve">, </w:t>
      </w:r>
      <w:hyperlink r:id="rId9402">
        <w:r>
          <w:rPr>
            <w:color w:val="0000EE"/>
            <w:u w:val="single"/>
          </w:rPr>
          <w:t>22</w:t>
        </w:r>
      </w:hyperlink>
      <w:r>
        <w:t xml:space="preserve">, </w:t>
      </w:r>
      <w:hyperlink r:id="rId2164">
        <w:r>
          <w:rPr>
            <w:color w:val="0000EE"/>
            <w:u w:val="single"/>
          </w:rPr>
          <w:t>40–48</w:t>
        </w:r>
      </w:hyperlink>
      <w:r>
        <w:t>), tinha a última palavra sobre a destruição de Jerusalém e a restauração do reino de Deus em Israel (</w:t>
      </w:r>
      <w:hyperlink r:id="rId9403">
        <w:r>
          <w:rPr>
            <w:color w:val="0000EE"/>
            <w:u w:val="single"/>
          </w:rPr>
          <w:t>Mt 23–24</w:t>
        </w:r>
      </w:hyperlink>
      <w:r>
        <w:t xml:space="preserve">; </w:t>
      </w:r>
      <w:hyperlink r:id="rId9404">
        <w:r>
          <w:rPr>
            <w:color w:val="0000EE"/>
            <w:u w:val="single"/>
          </w:rPr>
          <w:t>Atos 1.6–8</w:t>
        </w:r>
      </w:hyperlink>
      <w:r>
        <w:t>).</w:t>
      </w:r>
    </w:p>
    <w:p>
      <w:r/>
      <w:r>
        <w:t xml:space="preserve">A fonte específica do termo é </w:t>
      </w:r>
      <w:hyperlink r:id="rId3649">
        <w:r>
          <w:rPr>
            <w:color w:val="0000EE"/>
            <w:u w:val="single"/>
          </w:rPr>
          <w:t>Daniel 7.13–14</w:t>
        </w:r>
      </w:hyperlink>
      <w:r>
        <w:t>, onde Daniel tem uma visão de alguém “como um filho do homem” que “vem com as nuvens” para a presença do “Ancião de Dias”, que lhe dá o reino universal e eterno de Deus. Jesus citou repetidamente partes deste texto ensinando sobre sua segunda vinda (</w:t>
      </w:r>
      <w:hyperlink r:id="rId9405">
        <w:r>
          <w:rPr>
            <w:color w:val="0000EE"/>
            <w:u w:val="single"/>
          </w:rPr>
          <w:t>Mt 16.27</w:t>
        </w:r>
      </w:hyperlink>
      <w:r>
        <w:t xml:space="preserve">; </w:t>
      </w:r>
      <w:hyperlink r:id="rId9406">
        <w:r>
          <w:rPr>
            <w:color w:val="0000EE"/>
            <w:u w:val="single"/>
          </w:rPr>
          <w:t>19.28</w:t>
        </w:r>
      </w:hyperlink>
      <w:r>
        <w:t xml:space="preserve">; </w:t>
      </w:r>
      <w:hyperlink r:id="rId3650">
        <w:r>
          <w:rPr>
            <w:color w:val="0000EE"/>
            <w:u w:val="single"/>
          </w:rPr>
          <w:t>24.30</w:t>
        </w:r>
      </w:hyperlink>
      <w:r>
        <w:t xml:space="preserve">; </w:t>
      </w:r>
      <w:hyperlink r:id="rId9407">
        <w:r>
          <w:rPr>
            <w:color w:val="0000EE"/>
            <w:u w:val="single"/>
          </w:rPr>
          <w:t>25.31</w:t>
        </w:r>
      </w:hyperlink>
      <w:r>
        <w:t xml:space="preserve">; </w:t>
      </w:r>
      <w:hyperlink r:id="rId9408">
        <w:r>
          <w:rPr>
            <w:color w:val="0000EE"/>
            <w:u w:val="single"/>
          </w:rPr>
          <w:t>26.64</w:t>
        </w:r>
      </w:hyperlink>
      <w:r>
        <w:t>). Claramente, Jesus entendeu esta passagem como profética sobre si e retratando sua encarnação, ascensão e herança do reino de Deus.</w:t>
      </w:r>
    </w:p>
    <w:p>
      <w:r/>
      <w:r>
        <w:t>Nos Evangelhos, o termo “Filho do Homem” é usado por Jesus cerca de 80 vezes como uma maneira oculta e indireta de falar sobre si (Mt, 32 vezes; Mc 14 vezes; Lc 26 vezes; Jo 10 vezes). Em todos esses textos, Jesus sempre foi o orador, e ninguém nunca se dirigiu a ele como “Filho do Homem”. Em alguns textos, a referência é tão misteriosa que alguns intérpretes insistem que Jesus estava falando sobre outra pessoa. Tal dúvida sobre isso é registrada em apenas um texto em João, onde a multidão pergunta a Jesus: “Quem é este ‘Filho do Homem’?” (</w:t>
      </w:r>
      <w:hyperlink r:id="rId9409">
        <w:r>
          <w:rPr>
            <w:color w:val="0000EE"/>
            <w:u w:val="single"/>
          </w:rPr>
          <w:t>Jo 12.34</w:t>
        </w:r>
      </w:hyperlink>
      <w:r>
        <w:t>). Na maioria dos textos, a identificação com Jesus é clara. Em alguns, é explícito: “Quem os homens dizem que o Filho do Homem é?” — seguido por: “Quem vocês dizem que eu sou?” (</w:t>
      </w:r>
      <w:hyperlink r:id="rId9410">
        <w:r>
          <w:rPr>
            <w:color w:val="0000EE"/>
            <w:u w:val="single"/>
          </w:rPr>
          <w:t>Mt 16.13, 15</w:t>
        </w:r>
      </w:hyperlink>
      <w:r>
        <w:t>). A conclusão geralmente tirada é que Jesus usou o termo como um título messiânico para si mesmo, para que ele pudesse falar modestamente sobre sua pessoa e missão, mas comunicar o fato importante que ele desejava revelar sobre si. Ele poderia fazer isso com originalidade porque o termo não estava cheio de equívocos populares sobre o Messias.</w:t>
      </w:r>
    </w:p>
    <w:p>
      <w:r/>
      <w:r>
        <w:t xml:space="preserve">O termo ocorre apenas quatro outras vezes no NT. Em </w:t>
      </w:r>
      <w:hyperlink r:id="rId9411">
        <w:r>
          <w:rPr>
            <w:color w:val="0000EE"/>
            <w:u w:val="single"/>
          </w:rPr>
          <w:t>Atos 7.56</w:t>
        </w:r>
      </w:hyperlink>
      <w:r>
        <w:t xml:space="preserve">, Estêvão diz: “Veja, vejo os céus abertos e o Filho do Homem de pé no lugar de honra à direita de Deus!” </w:t>
      </w:r>
      <w:hyperlink r:id="rId9412">
        <w:r>
          <w:rPr>
            <w:color w:val="0000EE"/>
            <w:u w:val="single"/>
          </w:rPr>
          <w:t>Hebreus 2.6</w:t>
        </w:r>
      </w:hyperlink>
      <w:r>
        <w:t xml:space="preserve"> aplica </w:t>
      </w:r>
      <w:hyperlink r:id="rId343">
        <w:r>
          <w:rPr>
            <w:color w:val="0000EE"/>
            <w:u w:val="single"/>
          </w:rPr>
          <w:t>o Salmo 8:4</w:t>
        </w:r>
      </w:hyperlink>
      <w:r>
        <w:t xml:space="preserve"> a Jesus. Finalmente, </w:t>
      </w:r>
      <w:hyperlink r:id="rId9413">
        <w:r>
          <w:rPr>
            <w:color w:val="0000EE"/>
            <w:u w:val="single"/>
          </w:rPr>
          <w:t>Apocalipse 1.13</w:t>
        </w:r>
      </w:hyperlink>
      <w:r>
        <w:t xml:space="preserve"> e </w:t>
      </w:r>
      <w:hyperlink r:id="rId5616">
        <w:r>
          <w:rPr>
            <w:color w:val="0000EE"/>
            <w:u w:val="single"/>
          </w:rPr>
          <w:t>14.14</w:t>
        </w:r>
      </w:hyperlink>
      <w:r>
        <w:t xml:space="preserve"> descrevem visões de alguém “como um filho do homem”, que é, sem dúvida, o Jesus glorificado.</w:t>
      </w:r>
    </w:p>
    <w:p>
      <w:r/>
      <w:r>
        <w:t>Nos Evangelhos sinóticos, o primeiro tema relacionado com o uso do título “Filho do Homem” por Jesus é o de sua vinda à terra para realizar sua missão messiânica. Jesus comparou sua condição terrena com sua glória celestial anterior dizendo: “As raposas têm buracos, e as aves do ar têm ninhos; mas o Filho do Homem não tem onde reclinar a cabeça” (</w:t>
      </w:r>
      <w:hyperlink r:id="rId3916">
        <w:r>
          <w:rPr>
            <w:color w:val="0000EE"/>
            <w:u w:val="single"/>
          </w:rPr>
          <w:t>Mt 8.20</w:t>
        </w:r>
      </w:hyperlink>
      <w:r>
        <w:t xml:space="preserve">; ver </w:t>
      </w:r>
      <w:hyperlink r:id="rId3917">
        <w:r>
          <w:rPr>
            <w:color w:val="0000EE"/>
            <w:u w:val="single"/>
          </w:rPr>
          <w:t>Lc 9.58</w:t>
        </w:r>
      </w:hyperlink>
      <w:r>
        <w:t>). Isso indica que o Filho do Homem abriu mão de seu lar celestial para sofrer todas as humilhações de seu ministério terreno (</w:t>
      </w:r>
      <w:hyperlink r:id="rId9414">
        <w:r>
          <w:rPr>
            <w:color w:val="0000EE"/>
            <w:u w:val="single"/>
          </w:rPr>
          <w:t>Fp 2.5–11</w:t>
        </w:r>
      </w:hyperlink>
      <w:r>
        <w:t>).</w:t>
      </w:r>
    </w:p>
    <w:p>
      <w:r/>
      <w:r>
        <w:t>Jesus usou o título para reivindicar privilégios divinos, dizendo: “O Filho do Homem é Senhor do sábado” (</w:t>
      </w:r>
      <w:hyperlink r:id="rId9415">
        <w:r>
          <w:rPr>
            <w:color w:val="0000EE"/>
            <w:u w:val="single"/>
          </w:rPr>
          <w:t>Mt 12.8</w:t>
        </w:r>
      </w:hyperlink>
      <w:r>
        <w:t xml:space="preserve">; </w:t>
      </w:r>
      <w:hyperlink r:id="rId9416">
        <w:r>
          <w:rPr>
            <w:color w:val="0000EE"/>
            <w:u w:val="single"/>
          </w:rPr>
          <w:t>Mc 2.28</w:t>
        </w:r>
      </w:hyperlink>
      <w:r>
        <w:t xml:space="preserve">; </w:t>
      </w:r>
      <w:hyperlink r:id="rId9417">
        <w:r>
          <w:rPr>
            <w:color w:val="0000EE"/>
            <w:u w:val="single"/>
          </w:rPr>
          <w:t>Lc 6.5</w:t>
        </w:r>
      </w:hyperlink>
      <w:r>
        <w:t>). O sábado, uma instituição divina, pode não ser revisado por homens comuns. Mas uma vez que Jesus é o Filho do Homem do céu, ele é livre para governar como Senhor até mesmo do sábado, porque ele é o mesmo Senhor que instituiu o sábado (</w:t>
      </w:r>
      <w:hyperlink r:id="rId6698">
        <w:r>
          <w:rPr>
            <w:color w:val="0000EE"/>
            <w:u w:val="single"/>
          </w:rPr>
          <w:t>Gn 2.2</w:t>
        </w:r>
      </w:hyperlink>
      <w:r>
        <w:t xml:space="preserve">; </w:t>
      </w:r>
      <w:hyperlink r:id="rId802">
        <w:r>
          <w:rPr>
            <w:color w:val="0000EE"/>
            <w:u w:val="single"/>
          </w:rPr>
          <w:t>Êx 20.8–11</w:t>
        </w:r>
      </w:hyperlink>
      <w:r>
        <w:t>). Depois de curar o paralítico em Cafarnaum, Jesus afirmou que “o Filho do Homem tem autoridade na terra para perdoar pecados” (</w:t>
      </w:r>
      <w:hyperlink r:id="rId9418">
        <w:r>
          <w:rPr>
            <w:color w:val="0000EE"/>
            <w:u w:val="single"/>
          </w:rPr>
          <w:t>Mt 9.6</w:t>
        </w:r>
      </w:hyperlink>
      <w:r>
        <w:t xml:space="preserve">; </w:t>
      </w:r>
      <w:hyperlink r:id="rId6398">
        <w:r>
          <w:rPr>
            <w:color w:val="0000EE"/>
            <w:u w:val="single"/>
          </w:rPr>
          <w:t>Mc 2.10</w:t>
        </w:r>
      </w:hyperlink>
      <w:r>
        <w:t xml:space="preserve">; </w:t>
      </w:r>
      <w:hyperlink r:id="rId9419">
        <w:r>
          <w:rPr>
            <w:color w:val="0000EE"/>
            <w:u w:val="single"/>
          </w:rPr>
          <w:t>Lc 5.24</w:t>
        </w:r>
      </w:hyperlink>
      <w:r>
        <w:t>). Anteriormente, o perdão dos pecados veio do céu e de Deus, mas agora o perdão é dado na terra por Jesus.</w:t>
      </w:r>
    </w:p>
    <w:p>
      <w:r/>
      <w:r>
        <w:t>O segundo aspecto do uso do título “Filho do Homem” por Jesus diz respeito a seu sofrimento, morte e ressurreição gloriosa como a maneira misteriosa de realizar sua missão terrena como o Filho do Homem. Jesus desenvolveu o tema de seu sofrimento depois que Pedro o confessou como Messias e Filho de Deus (</w:t>
      </w:r>
      <w:hyperlink r:id="rId3704">
        <w:r>
          <w:rPr>
            <w:color w:val="0000EE"/>
            <w:u w:val="single"/>
          </w:rPr>
          <w:t>Mt 16.16</w:t>
        </w:r>
      </w:hyperlink>
      <w:r>
        <w:t xml:space="preserve">). A previsão de Jesus de seu sofrimento como o Filho do Homem começa em </w:t>
      </w:r>
      <w:hyperlink r:id="rId9420">
        <w:r>
          <w:rPr>
            <w:color w:val="0000EE"/>
            <w:u w:val="single"/>
          </w:rPr>
          <w:t>Marcos 8.31–32</w:t>
        </w:r>
      </w:hyperlink>
      <w:r>
        <w:t xml:space="preserve"> e é repetida em vários outros textos. Os Evangelhos expandem o tema para incluir zombaria e açoitamento (</w:t>
      </w:r>
      <w:hyperlink r:id="rId9421">
        <w:r>
          <w:rPr>
            <w:color w:val="0000EE"/>
            <w:u w:val="single"/>
          </w:rPr>
          <w:t>Mt 17.12</w:t>
        </w:r>
      </w:hyperlink>
      <w:r>
        <w:t xml:space="preserve">; </w:t>
      </w:r>
      <w:hyperlink r:id="rId9422">
        <w:r>
          <w:rPr>
            <w:color w:val="0000EE"/>
            <w:u w:val="single"/>
          </w:rPr>
          <w:t>20.18</w:t>
        </w:r>
      </w:hyperlink>
      <w:r>
        <w:t xml:space="preserve">; </w:t>
      </w:r>
      <w:hyperlink r:id="rId6301">
        <w:r>
          <w:rPr>
            <w:color w:val="0000EE"/>
            <w:u w:val="single"/>
          </w:rPr>
          <w:t>Mc 8.31</w:t>
        </w:r>
      </w:hyperlink>
      <w:r>
        <w:t xml:space="preserve">; </w:t>
      </w:r>
      <w:hyperlink r:id="rId9423">
        <w:r>
          <w:rPr>
            <w:color w:val="0000EE"/>
            <w:u w:val="single"/>
          </w:rPr>
          <w:t>Lc 9.22</w:t>
        </w:r>
      </w:hyperlink>
      <w:r>
        <w:t>), traição por Judas (</w:t>
      </w:r>
      <w:hyperlink r:id="rId9424">
        <w:r>
          <w:rPr>
            <w:color w:val="0000EE"/>
            <w:u w:val="single"/>
          </w:rPr>
          <w:t>Mt 17.22</w:t>
        </w:r>
      </w:hyperlink>
      <w:r>
        <w:t xml:space="preserve">; </w:t>
      </w:r>
      <w:hyperlink r:id="rId9425">
        <w:r>
          <w:rPr>
            <w:color w:val="0000EE"/>
            <w:u w:val="single"/>
          </w:rPr>
          <w:t>26.24–25</w:t>
        </w:r>
      </w:hyperlink>
      <w:r>
        <w:t xml:space="preserve">; </w:t>
      </w:r>
      <w:hyperlink r:id="rId9426">
        <w:r>
          <w:rPr>
            <w:color w:val="0000EE"/>
            <w:u w:val="single"/>
          </w:rPr>
          <w:t>Mc 14.21,41</w:t>
        </w:r>
      </w:hyperlink>
      <w:r>
        <w:t>), rejeição pelos líderes judeus (</w:t>
      </w:r>
      <w:hyperlink r:id="rId9422">
        <w:r>
          <w:rPr>
            <w:color w:val="0000EE"/>
            <w:u w:val="single"/>
          </w:rPr>
          <w:t>Mt 20.18</w:t>
        </w:r>
      </w:hyperlink>
      <w:r>
        <w:t>), morte por crucificação (</w:t>
      </w:r>
      <w:hyperlink r:id="rId9427">
        <w:r>
          <w:rPr>
            <w:color w:val="0000EE"/>
            <w:u w:val="single"/>
          </w:rPr>
          <w:t>Mt 20.19</w:t>
        </w:r>
      </w:hyperlink>
      <w:r>
        <w:t xml:space="preserve">; </w:t>
      </w:r>
      <w:hyperlink r:id="rId9428">
        <w:r>
          <w:rPr>
            <w:color w:val="0000EE"/>
            <w:u w:val="single"/>
          </w:rPr>
          <w:t>Mc 9.12</w:t>
        </w:r>
      </w:hyperlink>
      <w:r>
        <w:t xml:space="preserve">, 31; </w:t>
      </w:r>
      <w:hyperlink r:id="rId9429">
        <w:r>
          <w:rPr>
            <w:color w:val="0000EE"/>
            <w:u w:val="single"/>
          </w:rPr>
          <w:t>10.33</w:t>
        </w:r>
      </w:hyperlink>
      <w:r>
        <w:t>), sepultamento por três dias (</w:t>
      </w:r>
      <w:hyperlink r:id="rId1881">
        <w:r>
          <w:rPr>
            <w:color w:val="0000EE"/>
            <w:u w:val="single"/>
          </w:rPr>
          <w:t>Mt 12.40</w:t>
        </w:r>
      </w:hyperlink>
      <w:r>
        <w:t xml:space="preserve">; </w:t>
      </w:r>
      <w:hyperlink r:id="rId9430">
        <w:r>
          <w:rPr>
            <w:color w:val="0000EE"/>
            <w:u w:val="single"/>
          </w:rPr>
          <w:t>Lc 11.30</w:t>
        </w:r>
      </w:hyperlink>
      <w:r>
        <w:t>) e ressurreição (</w:t>
      </w:r>
      <w:hyperlink r:id="rId8808">
        <w:r>
          <w:rPr>
            <w:color w:val="0000EE"/>
            <w:u w:val="single"/>
          </w:rPr>
          <w:t>Mt 17.22–23</w:t>
        </w:r>
      </w:hyperlink>
      <w:r>
        <w:t xml:space="preserve">; </w:t>
      </w:r>
      <w:hyperlink r:id="rId6301">
        <w:r>
          <w:rPr>
            <w:color w:val="0000EE"/>
            <w:u w:val="single"/>
          </w:rPr>
          <w:t>Mc 8.31</w:t>
        </w:r>
      </w:hyperlink>
      <w:r>
        <w:t>).</w:t>
      </w:r>
    </w:p>
    <w:p>
      <w:r/>
      <w:r>
        <w:t>No famoso texto “O Filho do Homem não veio para ser servido, mas para servir e dar sua vida em resgate por muitos” (</w:t>
      </w:r>
      <w:hyperlink r:id="rId920">
        <w:r>
          <w:rPr>
            <w:color w:val="0000EE"/>
            <w:u w:val="single"/>
          </w:rPr>
          <w:t>Mt 20.28</w:t>
        </w:r>
      </w:hyperlink>
      <w:r>
        <w:t xml:space="preserve">; </w:t>
      </w:r>
      <w:hyperlink r:id="rId921">
        <w:r>
          <w:rPr>
            <w:color w:val="0000EE"/>
            <w:u w:val="single"/>
          </w:rPr>
          <w:t>Mc 10.45</w:t>
        </w:r>
      </w:hyperlink>
      <w:r>
        <w:t>), Jesus ensina que sua morte foi um sacrifício substituto para a salvação de seu povo. Esta ideia vem do entendimento de Jesus de si como o Servo sofredor do Senhor (</w:t>
      </w:r>
      <w:hyperlink r:id="rId3618">
        <w:r>
          <w:rPr>
            <w:color w:val="0000EE"/>
            <w:u w:val="single"/>
          </w:rPr>
          <w:t>Is 53</w:t>
        </w:r>
      </w:hyperlink>
      <w:r>
        <w:t>).</w:t>
      </w:r>
    </w:p>
    <w:p>
      <w:r/>
      <w:r>
        <w:t>Jesus também usou o título “Filho do Homem” para ensinar sobre sua segunda vinda. Como Filho do Homem, Jesus voltará para a terra do céu na glória de seu Pai com os anjos (</w:t>
      </w:r>
      <w:hyperlink r:id="rId9405">
        <w:r>
          <w:rPr>
            <w:color w:val="0000EE"/>
            <w:u w:val="single"/>
          </w:rPr>
          <w:t>Mt 16.27</w:t>
        </w:r>
      </w:hyperlink>
      <w:r>
        <w:t xml:space="preserve">; </w:t>
      </w:r>
      <w:hyperlink r:id="rId467">
        <w:r>
          <w:rPr>
            <w:color w:val="0000EE"/>
            <w:u w:val="single"/>
          </w:rPr>
          <w:t>Mc 8.38</w:t>
        </w:r>
      </w:hyperlink>
      <w:r>
        <w:t xml:space="preserve">; </w:t>
      </w:r>
      <w:hyperlink r:id="rId9431">
        <w:r>
          <w:rPr>
            <w:color w:val="0000EE"/>
            <w:u w:val="single"/>
          </w:rPr>
          <w:t>Lc 9.26</w:t>
        </w:r>
      </w:hyperlink>
      <w:r>
        <w:t>). Primeiro, ele estará sentado à direita de Deus, e então ele virá novamente (</w:t>
      </w:r>
      <w:hyperlink r:id="rId9408">
        <w:r>
          <w:rPr>
            <w:color w:val="0000EE"/>
            <w:u w:val="single"/>
          </w:rPr>
          <w:t>Mt 26.64</w:t>
        </w:r>
      </w:hyperlink>
      <w:r>
        <w:t xml:space="preserve">; </w:t>
      </w:r>
      <w:hyperlink r:id="rId4778">
        <w:r>
          <w:rPr>
            <w:color w:val="0000EE"/>
            <w:u w:val="single"/>
          </w:rPr>
          <w:t>Mc 14.62</w:t>
        </w:r>
      </w:hyperlink>
      <w:r>
        <w:t xml:space="preserve">; </w:t>
      </w:r>
      <w:hyperlink r:id="rId9432">
        <w:r>
          <w:rPr>
            <w:color w:val="0000EE"/>
            <w:u w:val="single"/>
          </w:rPr>
          <w:t>Lc 22.69</w:t>
        </w:r>
      </w:hyperlink>
      <w:r>
        <w:t>) com as nuvens (</w:t>
      </w:r>
      <w:hyperlink r:id="rId3650">
        <w:r>
          <w:rPr>
            <w:color w:val="0000EE"/>
            <w:u w:val="single"/>
          </w:rPr>
          <w:t>Mt 24.30</w:t>
        </w:r>
      </w:hyperlink>
      <w:r>
        <w:t xml:space="preserve">; </w:t>
      </w:r>
      <w:hyperlink r:id="rId9433">
        <w:r>
          <w:rPr>
            <w:color w:val="0000EE"/>
            <w:u w:val="single"/>
          </w:rPr>
          <w:t>Mc 13.26</w:t>
        </w:r>
      </w:hyperlink>
      <w:r>
        <w:t xml:space="preserve">; </w:t>
      </w:r>
      <w:hyperlink r:id="rId9434">
        <w:r>
          <w:rPr>
            <w:color w:val="0000EE"/>
            <w:u w:val="single"/>
          </w:rPr>
          <w:t>Lc 21.27</w:t>
        </w:r>
      </w:hyperlink>
      <w:r>
        <w:t>). Esta vinda será inesperada (</w:t>
      </w:r>
      <w:hyperlink r:id="rId9435">
        <w:r>
          <w:rPr>
            <w:color w:val="0000EE"/>
            <w:u w:val="single"/>
          </w:rPr>
          <w:t>Mt 24.27</w:t>
        </w:r>
      </w:hyperlink>
      <w:r>
        <w:t xml:space="preserve">; </w:t>
      </w:r>
      <w:hyperlink r:id="rId9436">
        <w:r>
          <w:rPr>
            <w:color w:val="0000EE"/>
            <w:u w:val="single"/>
          </w:rPr>
          <w:t>Lc 12.40</w:t>
        </w:r>
      </w:hyperlink>
      <w:r>
        <w:t>), como um relâmpago ou o dilúvio de Noé (</w:t>
      </w:r>
      <w:hyperlink r:id="rId9437">
        <w:r>
          <w:rPr>
            <w:color w:val="0000EE"/>
            <w:u w:val="single"/>
          </w:rPr>
          <w:t>Mt 24.37</w:t>
        </w:r>
      </w:hyperlink>
      <w:r>
        <w:t xml:space="preserve">; </w:t>
      </w:r>
      <w:hyperlink r:id="rId9438">
        <w:r>
          <w:rPr>
            <w:color w:val="0000EE"/>
            <w:u w:val="single"/>
          </w:rPr>
          <w:t>Lc 17.24</w:t>
        </w:r>
      </w:hyperlink>
      <w:r>
        <w:t>). Sua vinda será para a reunião dos eleitos; o julgamento de todas as nações da terra (</w:t>
      </w:r>
      <w:hyperlink r:id="rId9406">
        <w:r>
          <w:rPr>
            <w:color w:val="0000EE"/>
            <w:u w:val="single"/>
          </w:rPr>
          <w:t>Mt 19.28</w:t>
        </w:r>
      </w:hyperlink>
      <w:r>
        <w:t xml:space="preserve">; </w:t>
      </w:r>
      <w:hyperlink r:id="rId9439">
        <w:r>
          <w:rPr>
            <w:color w:val="0000EE"/>
            <w:u w:val="single"/>
          </w:rPr>
          <w:t>25.32</w:t>
        </w:r>
      </w:hyperlink>
      <w:r>
        <w:t>); e a restauração da justiça final no mundo (</w:t>
      </w:r>
      <w:hyperlink r:id="rId9406">
        <w:r>
          <w:rPr>
            <w:color w:val="0000EE"/>
            <w:u w:val="single"/>
          </w:rPr>
          <w:t>19.28</w:t>
        </w:r>
      </w:hyperlink>
      <w:r>
        <w:t xml:space="preserve">; </w:t>
      </w:r>
      <w:hyperlink r:id="rId9440">
        <w:r>
          <w:rPr>
            <w:color w:val="0000EE"/>
            <w:u w:val="single"/>
          </w:rPr>
          <w:t>25.46</w:t>
        </w:r>
      </w:hyperlink>
      <w:r>
        <w:t>).</w:t>
      </w:r>
    </w:p>
    <w:p>
      <w:r/>
      <w:r>
        <w:t xml:space="preserve">Nessas passagens, Jesus muda o foco da vitória provisória em seu sofrimento e ressurreição para a vitória final do Filho do Homem em sua segunda vinda. Novamente, o destaque está na origem celestial e privilégios divinos do Filho do Homem. Este homem Jesus, o Filho do Homem, será o juiz final (cf. </w:t>
      </w:r>
      <w:hyperlink r:id="rId9441">
        <w:r>
          <w:rPr>
            <w:color w:val="0000EE"/>
            <w:u w:val="single"/>
          </w:rPr>
          <w:t>Atos 17.31</w:t>
        </w:r>
      </w:hyperlink>
      <w:r>
        <w:t>).</w:t>
      </w:r>
    </w:p>
    <w:p>
      <w:r/>
      <w:r>
        <w:t>O Evangelho de João tem seu próprio material distinto sobre o Filho do Homem. Os anjos são ditos para ascender e descer sobre o Filho do Homem (</w:t>
      </w:r>
      <w:hyperlink r:id="rId9442">
        <w:r>
          <w:rPr>
            <w:color w:val="0000EE"/>
            <w:u w:val="single"/>
          </w:rPr>
          <w:t>Jo 1.51</w:t>
        </w:r>
      </w:hyperlink>
      <w:r>
        <w:t>), significando assim que ele é uma pessoa que existia antes do tempo e veio do céu para a terra (</w:t>
      </w:r>
      <w:hyperlink r:id="rId4766">
        <w:r>
          <w:rPr>
            <w:color w:val="0000EE"/>
            <w:u w:val="single"/>
          </w:rPr>
          <w:t>3.13</w:t>
        </w:r>
      </w:hyperlink>
      <w:r>
        <w:t xml:space="preserve">; </w:t>
      </w:r>
      <w:hyperlink r:id="rId8815">
        <w:r>
          <w:rPr>
            <w:color w:val="0000EE"/>
            <w:u w:val="single"/>
          </w:rPr>
          <w:t>6.62</w:t>
        </w:r>
      </w:hyperlink>
      <w:r>
        <w:t>). Seu ser levantado (pela crucificação) trará vida eterna para todos os que acreditam nele (</w:t>
      </w:r>
      <w:hyperlink r:id="rId5090">
        <w:r>
          <w:rPr>
            <w:color w:val="0000EE"/>
            <w:u w:val="single"/>
          </w:rPr>
          <w:t>3.14</w:t>
        </w:r>
      </w:hyperlink>
      <w:r>
        <w:t>). O Filho do Homem (</w:t>
      </w:r>
      <w:hyperlink r:id="rId5090">
        <w:r>
          <w:rPr>
            <w:color w:val="0000EE"/>
            <w:u w:val="single"/>
          </w:rPr>
          <w:t>3.14</w:t>
        </w:r>
      </w:hyperlink>
      <w:r>
        <w:t>) também é o Filho de Deus (</w:t>
      </w:r>
      <w:hyperlink r:id="rId1191">
        <w:r>
          <w:rPr>
            <w:color w:val="0000EE"/>
            <w:u w:val="single"/>
          </w:rPr>
          <w:t>3.16</w:t>
        </w:r>
      </w:hyperlink>
      <w:r>
        <w:t>), o único Filho de Deus (</w:t>
      </w:r>
      <w:hyperlink r:id="rId9132">
        <w:r>
          <w:rPr>
            <w:color w:val="0000EE"/>
            <w:u w:val="single"/>
          </w:rPr>
          <w:t>1.18</w:t>
        </w:r>
      </w:hyperlink>
      <w:r>
        <w:t xml:space="preserve">; </w:t>
      </w:r>
      <w:hyperlink r:id="rId9443">
        <w:r>
          <w:rPr>
            <w:color w:val="0000EE"/>
            <w:u w:val="single"/>
          </w:rPr>
          <w:t>3.18</w:t>
        </w:r>
      </w:hyperlink>
      <w:r>
        <w:t>). De forma bem simples, no Evangelho de João, o título “Filho do Homem” é equivalente ao título “Filho de Deus”. Revela sua divindade, existência antes do tempo, origem celestial e privilégios divinos. Afirma sua presente condição terrena para revelação e sofrimento, e sua futura glória do fim dos tempos. O Pai deu ao Filho do Homem autoridade para ressuscitar os mortos e julgar o mundo (</w:t>
      </w:r>
      <w:hyperlink r:id="rId9444">
        <w:r>
          <w:rPr>
            <w:color w:val="0000EE"/>
            <w:u w:val="single"/>
          </w:rPr>
          <w:t>5.25–27</w:t>
        </w:r>
      </w:hyperlink>
      <w:r>
        <w:t>).</w:t>
      </w:r>
    </w:p>
    <w:p>
      <w:r/>
      <w:r>
        <w:rPr>
          <w:i/>
        </w:rPr>
        <w:t>Ver também</w:t>
      </w:r>
      <w:r>
        <w:t xml:space="preserve"> </w:t>
      </w:r>
      <w:r>
        <w:t>Cristologia</w:t>
      </w:r>
      <w:r>
        <w:t xml:space="preserve">; </w:t>
      </w:r>
      <w:r>
        <w:t>Jesus Cristo, Ensinamentos de</w:t>
      </w:r>
      <w:r>
        <w:t xml:space="preserve">; </w:t>
      </w:r>
      <w:r>
        <w:t>Messias</w:t>
      </w:r>
      <w:r>
        <w:t xml:space="preserve">; </w:t>
      </w:r>
      <w:r>
        <w:t>Filho de Deus</w:t>
      </w:r>
      <w:r>
        <w:t>.</w:t>
      </w:r>
      <w:r/>
      <w:r/>
    </w:p>
    <w:p>
      <w:r/>
    </w:p>
    <w:p>
      <w:pPr>
        <w:pStyle w:val="Heading2"/>
      </w:pPr>
      <w:r>
        <w:t>Filhos Do Trovão</w:t>
      </w:r>
      <w:r/>
    </w:p>
    <w:p>
      <w:r/>
      <w:r>
        <w:t>Tradução da palavra “Boanerges”, o sobrenome dado por Jesus a Tiago e João (</w:t>
      </w:r>
      <w:hyperlink r:id="rId3824">
        <w:r>
          <w:rPr>
            <w:color w:val="0000EE"/>
            <w:u w:val="single"/>
          </w:rPr>
          <w:t>Mc 3.17</w:t>
        </w:r>
      </w:hyperlink>
      <w:r>
        <w:t xml:space="preserve">). </w:t>
      </w:r>
      <w:r>
        <w:rPr>
          <w:i/>
        </w:rPr>
        <w:t>Ver</w:t>
      </w:r>
      <w:r>
        <w:t xml:space="preserve"> </w:t>
      </w:r>
      <w:r>
        <w:t>Boanerges</w:t>
      </w:r>
      <w:r>
        <w:t>.</w:t>
      </w:r>
      <w:r/>
      <w:r/>
    </w:p>
    <w:p>
      <w:r/>
    </w:p>
    <w:p>
      <w:pPr>
        <w:pStyle w:val="Heading2"/>
      </w:pPr>
      <w:r>
        <w:t>Filhos e filhas de Deus</w:t>
      </w:r>
      <w:r/>
    </w:p>
    <w:p>
      <w:r/>
      <w:r>
        <w:t xml:space="preserve">Expressão que designa seres humanos que nasceram de Deus e se tornaram parte de sua família. Quando a Bíblia fala dos filhos de Deus, não pretende excluir as mulheres. O termo “filhos” inclui todos os crentes. Mas as Escrituras quase sempre usam a palavra “filhos” — com uma exceção no NT, </w:t>
      </w:r>
      <w:hyperlink r:id="rId9445">
        <w:r>
          <w:rPr>
            <w:color w:val="0000EE"/>
            <w:u w:val="single"/>
          </w:rPr>
          <w:t>2 Coríntios 6.18</w:t>
        </w:r>
      </w:hyperlink>
      <w:r>
        <w:t>, em que o povo de Deus é chamado de “filhos e filhas”.</w:t>
      </w:r>
    </w:p>
    <w:p>
      <w:r/>
      <w:r>
        <w:t xml:space="preserve">Desde o início, Deus Pai desejou ter muitos filhos e filhas compartilhando a imagem e semelhança de seu Filho amado. Pode-se dizer que seu único Filho lhe trouxe tanta satisfação que ele ansiava por ter muitos mais. Isso pode ter sido o impulso para a criação do universo e, mais especificamente, dos seres humanos (veja </w:t>
      </w:r>
      <w:hyperlink r:id="rId6087">
        <w:r>
          <w:rPr>
            <w:color w:val="0000EE"/>
            <w:u w:val="single"/>
          </w:rPr>
          <w:t>Gn 1.26–27</w:t>
        </w:r>
      </w:hyperlink>
      <w:r>
        <w:t xml:space="preserve">). </w:t>
      </w:r>
      <w:hyperlink r:id="rId9446">
        <w:r>
          <w:rPr>
            <w:color w:val="0000EE"/>
            <w:u w:val="single"/>
          </w:rPr>
          <w:t>Provérbios 8</w:t>
        </w:r>
      </w:hyperlink>
      <w:r>
        <w:t xml:space="preserve"> indica que Deus se deleitava com os filhos dos homens. Isso é novamente expresso no NT, especialmente no livro de Efésios. Os versículos iniciais de Efésios ressoam com essa nota: o desejo do coração de Deus era obter muitos filhos em e através de seu Filho. Os muitos filhos, em união com o Filho único, trariam grande glória e satisfação ao Pai.</w:t>
      </w:r>
    </w:p>
    <w:p>
      <w:r/>
      <w:r>
        <w:t xml:space="preserve">Paulo usou uma palavra grega em </w:t>
      </w:r>
      <w:hyperlink r:id="rId9447">
        <w:r>
          <w:rPr>
            <w:color w:val="0000EE"/>
            <w:u w:val="single"/>
          </w:rPr>
          <w:t>Efésios 1.5,9</w:t>
        </w:r>
      </w:hyperlink>
      <w:r>
        <w:t xml:space="preserve"> e </w:t>
      </w:r>
      <w:hyperlink r:id="rId6827">
        <w:r>
          <w:rPr>
            <w:color w:val="0000EE"/>
            <w:u w:val="single"/>
          </w:rPr>
          <w:t>11</w:t>
        </w:r>
      </w:hyperlink>
      <w:r>
        <w:t xml:space="preserve"> que transmite a ideia de desejo, até mesmo desejo do coração. A palavra é geralmente traduzida como “vontade” — “a vontade de Deus”. Mas a palavra “vontade” oculta o significado principal. A palavra grega (thelema) é primariamente uma palavra emocional e secundariamente volitiva. A vontade de Deus nesse contexto expressa mais o desejo do coração de Deus do que apenas uma intenção. Na verdade Deus tem sim uma intenção, um propósito, um plano. Isso é chamado de prothesis em grego (veja </w:t>
      </w:r>
      <w:hyperlink r:id="rId6827">
        <w:r>
          <w:rPr>
            <w:color w:val="0000EE"/>
            <w:u w:val="single"/>
          </w:rPr>
          <w:t>Ef 1.11</w:t>
        </w:r>
      </w:hyperlink>
      <w:r>
        <w:t xml:space="preserve">), e literalmente significa “uma disposição antecipada” (como um plano). Este plano foi criado pelo conselho de Deus (chamado boule em grego, </w:t>
      </w:r>
      <w:hyperlink r:id="rId6827">
        <w:r>
          <w:rPr>
            <w:color w:val="0000EE"/>
            <w:u w:val="single"/>
          </w:rPr>
          <w:t>Ef 1.11</w:t>
        </w:r>
      </w:hyperlink>
      <w:r>
        <w:t xml:space="preserve">). Mas por trás do plano e do conselho não estava apenas uma mente brilhante, mas um coração de amor e de bom prazer. Portanto, Paulo fala sobre “o bom prazer do desejo do coração de Deus” (v </w:t>
      </w:r>
      <w:hyperlink r:id="rId7650">
        <w:r>
          <w:rPr>
            <w:color w:val="0000EE"/>
            <w:u w:val="single"/>
          </w:rPr>
          <w:t>5</w:t>
        </w:r>
      </w:hyperlink>
      <w:r>
        <w:t xml:space="preserve">). Paulo também diz: “Ele nos revelou o mistério do seu desejo do coração, segundo o seu bom prazer que ele propôs nele” (v. </w:t>
      </w:r>
      <w:hyperlink r:id="rId9448">
        <w:r>
          <w:rPr>
            <w:color w:val="0000EE"/>
            <w:u w:val="single"/>
          </w:rPr>
          <w:t>9</w:t>
        </w:r>
      </w:hyperlink>
      <w:r>
        <w:t>).</w:t>
      </w:r>
    </w:p>
    <w:p>
      <w:r/>
      <w:r>
        <w:t xml:space="preserve">O impulso do propósito eterno de Deus veio do desejo de um coração, e esse desejo era ter muitos filhos feitos à semelhança de seu único Filho (veja </w:t>
      </w:r>
      <w:hyperlink r:id="rId9449">
        <w:r>
          <w:rPr>
            <w:color w:val="0000EE"/>
            <w:u w:val="single"/>
          </w:rPr>
          <w:t>Rm 8.26–28</w:t>
        </w:r>
      </w:hyperlink>
      <w:r>
        <w:t>). Em amor, ele predestinou muitas pessoas para participar desta “filiação” — não por seus próprios méritos, mas por virtude de estarem unidas ao Filho (</w:t>
      </w:r>
      <w:hyperlink r:id="rId9450">
        <w:r>
          <w:rPr>
            <w:color w:val="0000EE"/>
            <w:u w:val="single"/>
          </w:rPr>
          <w:t>Ef 1.4–5</w:t>
        </w:r>
      </w:hyperlink>
      <w:r>
        <w:t xml:space="preserve">). Observe com que frequência em </w:t>
      </w:r>
      <w:hyperlink r:id="rId9451">
        <w:r>
          <w:rPr>
            <w:color w:val="0000EE"/>
            <w:u w:val="single"/>
          </w:rPr>
          <w:t>Efésios 1</w:t>
        </w:r>
      </w:hyperlink>
      <w:r>
        <w:t xml:space="preserve"> Paulo fala da posição dos crentes “nele”. Fora dele (o Filho), ninguém poderia ser filho de Deus e ninguém poderia agradar ao Pai. Os muitos filhos e filhas devem todos os seus privilégios divinos ao Amado, como aqueles que receberam graça por meio dele (v. </w:t>
      </w:r>
      <w:hyperlink r:id="rId9452">
        <w:r>
          <w:rPr>
            <w:color w:val="0000EE"/>
            <w:u w:val="single"/>
          </w:rPr>
          <w:t>6</w:t>
        </w:r>
      </w:hyperlink>
      <w:r>
        <w:t>). Se não fosse pela satisfação de Deus em seu Filho amado, não haveria a inspiração para a criação do homem em primeiro lugar. Os humanos existem porque Deus quis obter muitos filhos e filhas, cada um portando a imagem do Filho único de Deus. As pessoas agradam a Deus e lhe trazem satisfação por estarem unidas àquele que sempre o satisfez. À parte do Filho, ninguém tem acesso ao Pai. Mas por causa da redenção do Filho, todos os crentes têm o direito de se tornarem filhos de Deus (</w:t>
      </w:r>
      <w:hyperlink r:id="rId9129">
        <w:r>
          <w:rPr>
            <w:color w:val="0000EE"/>
            <w:u w:val="single"/>
          </w:rPr>
          <w:t>Jo 1.12</w:t>
        </w:r>
      </w:hyperlink>
      <w:r>
        <w:t>) e agora têm acesso ao Pai através do Filho (</w:t>
      </w:r>
      <w:hyperlink r:id="rId408">
        <w:r>
          <w:rPr>
            <w:color w:val="0000EE"/>
            <w:u w:val="single"/>
          </w:rPr>
          <w:t>14.6</w:t>
        </w:r>
      </w:hyperlink>
      <w:r>
        <w:t>).</w:t>
      </w:r>
      <w:r/>
      <w:r/>
    </w:p>
    <w:p>
      <w:r/>
    </w:p>
    <w:p>
      <w:pPr>
        <w:pStyle w:val="Heading2"/>
      </w:pPr>
      <w:r>
        <w:t>Filipe</w:t>
      </w:r>
      <w:r/>
    </w:p>
    <w:p>
      <w:r/>
      <w:r>
        <w:t>1. Apóstolo que é colocado em quinto lugar em cada uma das listas dos doze após os dois pares de irmãos, Simão Pedro e André, e Tiago e João (</w:t>
      </w:r>
      <w:hyperlink r:id="rId747">
        <w:r>
          <w:rPr>
            <w:color w:val="0000EE"/>
            <w:u w:val="single"/>
          </w:rPr>
          <w:t>Mt 10.3</w:t>
        </w:r>
      </w:hyperlink>
      <w:r>
        <w:t xml:space="preserve">; </w:t>
      </w:r>
      <w:hyperlink r:id="rId748">
        <w:r>
          <w:rPr>
            <w:color w:val="0000EE"/>
            <w:u w:val="single"/>
          </w:rPr>
          <w:t>Mc 3.18</w:t>
        </w:r>
      </w:hyperlink>
      <w:r>
        <w:t xml:space="preserve">; </w:t>
      </w:r>
      <w:hyperlink r:id="rId9453">
        <w:r>
          <w:rPr>
            <w:color w:val="0000EE"/>
            <w:u w:val="single"/>
          </w:rPr>
          <w:t>Lc 6.14</w:t>
        </w:r>
      </w:hyperlink>
      <w:r>
        <w:t>). João diz que quando João Batista testificou de Jesus com as palavras: “Eis o Cordeiro de Deus!” dois de seus discípulos começaram a seguir Jesus, e que um desses dois era André, que então declarou a seu irmão Simão Pedro: “Encontramos o Messias” e o levou a Jesus. (O outro discípulo anônimo era provavelmente o próprio João, o escritor deste relato). No dia seguinte, Jesus foi para a Galileia e lá encontrou Filipe, e dirigiu-se a ele, chamando: “Siga-me”. João acrescenta que Filipe era de Betsaida. Filipe por sua vez encontrou Natanael e lhe disse: “Encontramos aquele de quem Moisés na lei e também os profetas escreveram”, e convidou Natanael para vir e ver por si mesmo. Natanael estava cético que qualquer bem poderia sair de Nazaré (</w:t>
      </w:r>
      <w:hyperlink r:id="rId9454">
        <w:r>
          <w:rPr>
            <w:color w:val="0000EE"/>
            <w:u w:val="single"/>
          </w:rPr>
          <w:t>Jo 1.35–51</w:t>
        </w:r>
      </w:hyperlink>
      <w:r>
        <w:t>, NTLH). A partir disso, conclui-se que Filipe foi um dos primeiros a seguir Jesus e que ele não perdeu tempo em persuadir os outros a fazer o mesmo.</w:t>
      </w:r>
    </w:p>
    <w:p>
      <w:r/>
      <w:r>
        <w:t>Como os outros apóstolos, no entanto, ele ainda tinha muito a aprender sobre a pessoa e o poder de Cristo. Daí, a pergunta teste de Jesus a ele na ocasião da alimentação dos 5.000: “Como compraremos pão para que essas pessoas comam?” e a resposta perplexa de Filipe de que mesmo que eles tivessem 200 denários (isto é, uma grande soma, aproximadamente o salário de uma pessoa por meio ano), não comprariam pão suficiente para cada um receber pelo menos um pouco de comida (</w:t>
      </w:r>
      <w:hyperlink r:id="rId9455">
        <w:r>
          <w:rPr>
            <w:color w:val="0000EE"/>
            <w:u w:val="single"/>
          </w:rPr>
          <w:t>Jo 6.5–7</w:t>
        </w:r>
      </w:hyperlink>
      <w:r>
        <w:t>). O milagre resultante ensinou a ele que a alimentação desta multidão não apresentava problema para aquele que é o Senhor de toda a criação. A próxima aparição de Filipe é em Jerusalém após a entrada triunfal de Cristo na cidade, quando “alguns gregos” (isto é, não judeus de língua grega) se aproximaram dele com o pedido “Senhor, queremos ver Jesus”. Filipe informa André, e juntos, eles os levam a Jesus (</w:t>
      </w:r>
      <w:hyperlink r:id="rId1446">
        <w:r>
          <w:rPr>
            <w:color w:val="0000EE"/>
            <w:u w:val="single"/>
          </w:rPr>
          <w:t>12.20–22</w:t>
        </w:r>
      </w:hyperlink>
      <w:r>
        <w:t xml:space="preserve">). Isso talvez indique que Filipe era uma pessoa a quem os outros achavam prontamente acessível, e também que falava grego. No cenáculo, antes de sua prisão e julgamento, Jesus aproveitou a oportunidade para dar instruções adicionais a Filipe, que havia dito: “Senhor, mostra-nos o Pai, e ficaremos satisfeitos”. Filipe esperava, talvez, com toda a devoção, pelo privilégio de alguma revelação especial (que lembra o pedido de Moisés, </w:t>
      </w:r>
      <w:hyperlink r:id="rId9456">
        <w:r>
          <w:rPr>
            <w:color w:val="0000EE"/>
            <w:u w:val="single"/>
          </w:rPr>
          <w:t>Êx 33.18</w:t>
        </w:r>
      </w:hyperlink>
      <w:r>
        <w:t>). Mas Jesus o ensinou que ele mesmo, o Filho encarnado, é a revelação completamente suficiente do Pai para a humanidade (</w:t>
      </w:r>
      <w:hyperlink r:id="rId9457">
        <w:r>
          <w:rPr>
            <w:color w:val="0000EE"/>
            <w:u w:val="single"/>
          </w:rPr>
          <w:t>Jo 14.8–10</w:t>
        </w:r>
      </w:hyperlink>
      <w:r>
        <w:t>).</w:t>
      </w:r>
    </w:p>
    <w:p>
      <w:r/>
      <w:r>
        <w:t>Há uma tendência de confundir o apóstolo com o evangelista (veja abaixo) de mesmo nome. Parece provável, no entanto, que após pregar em várias partes, o apóstolo se estabeleceu em Hierápolis, uma cidade da província romana da Ásia, e lá morreu. Se sua morte foi natural ou um martírio, é incerto.</w:t>
      </w:r>
    </w:p>
    <w:p>
      <w:r/>
      <w:r>
        <w:rPr>
          <w:i/>
        </w:rPr>
        <w:t>Veja também</w:t>
      </w:r>
      <w:r>
        <w:t xml:space="preserve"> </w:t>
      </w:r>
      <w:r>
        <w:t>Apóstolo, Apostolado</w:t>
      </w:r>
      <w:r>
        <w:t>.</w:t>
      </w:r>
    </w:p>
    <w:p>
      <w:r/>
      <w:r>
        <w:t>2. Judeu helenista e um dos sete homens nomeados pela igreja em Jerusalém para supervisionar o ministério diário de assistência às viúvas empobrecidas da comunidade cristã. Todos eles, incluindo Filipe, tinham nomes gregos, e um deles, Nicolau, era um prosélito (isto é, não um judeu de nascimento). Se eles eram considerados diáconos no sentido técnico não fica absolutamente claro no relato; esta ocasião, no entanto, tem sido geralmente aceita como a origem da ordem do diaconato (</w:t>
      </w:r>
      <w:hyperlink r:id="rId9458">
        <w:r>
          <w:rPr>
            <w:color w:val="0000EE"/>
            <w:u w:val="single"/>
          </w:rPr>
          <w:t>Atos 6.1–7</w:t>
        </w:r>
      </w:hyperlink>
      <w:r>
        <w:t xml:space="preserve">). Dos sete, Estêvão e Filipe são os únicos de quem temos algum registro adicional no NT. Eles são descritos como homens de boa reputação, cheios do Espírito e de sabedoria (v. </w:t>
      </w:r>
      <w:hyperlink r:id="rId7086">
        <w:r>
          <w:rPr>
            <w:color w:val="0000EE"/>
            <w:u w:val="single"/>
          </w:rPr>
          <w:t>3</w:t>
        </w:r>
      </w:hyperlink>
      <w:r>
        <w:t>).</w:t>
      </w:r>
    </w:p>
    <w:p>
      <w:r/>
      <w:r>
        <w:t xml:space="preserve">Que Filipe se tornou conhecido como “o evangelista” é evidente em </w:t>
      </w:r>
      <w:hyperlink r:id="rId4727">
        <w:r>
          <w:rPr>
            <w:color w:val="0000EE"/>
            <w:u w:val="single"/>
          </w:rPr>
          <w:t>Atos 21.8</w:t>
        </w:r>
      </w:hyperlink>
      <w:r>
        <w:t>. A designação era devidamente merecida, pois quando os cristãos de Jerusalém foram espalhados pela perseguição liderada por Saulo de Tarso, Filipe foi para uma cidade de Samaria e proclamou o evangelho lá com tal poder que um grande número de pessoas se converteu alegremente a Cristo (</w:t>
      </w:r>
      <w:hyperlink r:id="rId3133">
        <w:r>
          <w:rPr>
            <w:color w:val="0000EE"/>
            <w:u w:val="single"/>
          </w:rPr>
          <w:t>Atos 8.1–8</w:t>
        </w:r>
      </w:hyperlink>
      <w:r>
        <w:t xml:space="preserve">). No meio desta obra extraordinária, Filipe foi divinamente instruído a deixar Samaria e descer para a área do deserto, na parte sul do país. Humanamente falando, para ele se ausentar das multidões, que estavam respondendo tão avidamente à sua pregação, e ir para o território desabitado no sul, deve ter parecido tolice. No entanto, Filipe se mostrou não apenas sensível, mas também obediente à vontade de Deus e seguiu esta orientação sem questionar. No deserto, ele encontrou não uma multidão, mas uma única pessoa, um importante oficial da corte etíope que havia visitado Jerusalém e que agora, estava voltando para a África. A sabedoria de Deus em dirigir Filipe para este lugar foi totalmente justificada, pois o etíope estava lendo </w:t>
      </w:r>
      <w:hyperlink r:id="rId3618">
        <w:r>
          <w:rPr>
            <w:color w:val="0000EE"/>
            <w:u w:val="single"/>
          </w:rPr>
          <w:t>Isaías 53</w:t>
        </w:r>
      </w:hyperlink>
      <w:r>
        <w:t xml:space="preserve">, o grande capítulo do "evangelho" do AT. Filipe lhe transmitiu as boas novas de que esta profecia apontava para Jesus Cristo. Em seguida, o etíope acreditou e foi batizado, e seguiu seu caminho regozijando-se (vv. </w:t>
      </w:r>
      <w:hyperlink r:id="rId9459">
        <w:r>
          <w:rPr>
            <w:color w:val="0000EE"/>
            <w:u w:val="single"/>
          </w:rPr>
          <w:t>25–40</w:t>
        </w:r>
      </w:hyperlink>
      <w:r>
        <w:t>). A conversão desta pessoa significava não apenas que Filipe foi o primeiro a proclamar o evangelho a um gentio, mas também que o evangelho foi levado por este oficial da corte etíope para o continente da África.</w:t>
      </w:r>
    </w:p>
    <w:p>
      <w:r/>
      <w:r>
        <w:t>O orgulho nacionalista predominante dos judeus era tal que eles desprezavam os samaritanos e consideravam os gentios como cerimonialmente impuros. Mas Filipe, por sua ardente pregação de Cristo, primeiro aos samaritanos, e depois aos etíopes, refletiu a maneira pela qual o evangelho penetrou nas barreiras sociais e dissolveu os preconceitos raciais e demonstrou que a graça de Deus em Cristo Jesus está disponível gratuitamente para todos. Posteriormente, Filipe fez sua casa na cidade costeira de Cesareia. Lá, ele acolheu hospitaleiramente Paulo e Lucas quando estavam a caminho de Jerusalém no final da terceira jornada missionária do apóstolo. Lucas nos diz que Filipe tinha quatro filhas solteiras que eram profetisas (</w:t>
      </w:r>
      <w:hyperlink r:id="rId9460">
        <w:r>
          <w:rPr>
            <w:color w:val="0000EE"/>
            <w:u w:val="single"/>
          </w:rPr>
          <w:t>Atos 21.8–9</w:t>
        </w:r>
      </w:hyperlink>
      <w:r>
        <w:t>). Não muito tempo depois, quando Paulo estava preso em Cesareia por dois anos, a bondade e amizade de Filipe devem ter significado muito para ele (</w:t>
      </w:r>
      <w:hyperlink r:id="rId9461">
        <w:r>
          <w:rPr>
            <w:color w:val="0000EE"/>
            <w:u w:val="single"/>
          </w:rPr>
          <w:t>23.31–35</w:t>
        </w:r>
      </w:hyperlink>
      <w:r>
        <w:t xml:space="preserve">; </w:t>
      </w:r>
      <w:hyperlink r:id="rId9462">
        <w:r>
          <w:rPr>
            <w:color w:val="0000EE"/>
            <w:u w:val="single"/>
          </w:rPr>
          <w:t>24.23, 27</w:t>
        </w:r>
      </w:hyperlink>
      <w:r>
        <w:t>).</w:t>
      </w:r>
    </w:p>
    <w:p>
      <w:r/>
      <w:r>
        <w:t xml:space="preserve">3. Filho de Herodes, o Grande, e Cleópatra e meio-irmão de Antipas, cuja mãe era Maltace. Ele é chamado de Herodes em </w:t>
      </w:r>
      <w:hyperlink r:id="rId9463">
        <w:r>
          <w:rPr>
            <w:color w:val="0000EE"/>
            <w:u w:val="single"/>
          </w:rPr>
          <w:t>Lucas 3.1</w:t>
        </w:r>
      </w:hyperlink>
      <w:r>
        <w:t>. Este foi tetrarca da Pereia e da Galileia de 4 a.C. a 39 d.C.; Filipe foi tetrarca da Itureia e Traconite (além de certos outros territórios) ao nordeste da Galileia por 37 anos (4 a.C. a 33 d.C.). Sua esposa era sua sobrinha Salomé, que dançou para Herodes em troca da cabeça de João Batista (</w:t>
      </w:r>
      <w:hyperlink r:id="rId9464">
        <w:r>
          <w:rPr>
            <w:color w:val="0000EE"/>
            <w:u w:val="single"/>
          </w:rPr>
          <w:t>Mt 14.3–12</w:t>
        </w:r>
      </w:hyperlink>
      <w:r>
        <w:t xml:space="preserve">; </w:t>
      </w:r>
      <w:hyperlink r:id="rId9465">
        <w:r>
          <w:rPr>
            <w:color w:val="0000EE"/>
            <w:u w:val="single"/>
          </w:rPr>
          <w:t>Mc 6.17–29</w:t>
        </w:r>
      </w:hyperlink>
      <w:r>
        <w:t>).</w:t>
      </w:r>
    </w:p>
    <w:p>
      <w:r/>
      <w:r>
        <w:rPr>
          <w:i/>
        </w:rPr>
        <w:t>Veja também</w:t>
      </w:r>
      <w:r>
        <w:t xml:space="preserve"> </w:t>
      </w:r>
      <w:r>
        <w:t>Herodes, Família Herodiana</w:t>
      </w:r>
      <w:r>
        <w:t>.</w:t>
      </w:r>
    </w:p>
    <w:p>
      <w:r/>
      <w:r>
        <w:t>4. Filho de Herodes, o Grande, e de Mariamne, e marido da mãe de Salomé, Herodias, que o deixou para se tornar a amante de seu meio-irmão Herodes Antipas. Foi por este relacionamento imoral que João Batista repreendeu Herodes e mais tarde foi preso e decapitado (</w:t>
      </w:r>
      <w:hyperlink r:id="rId9464">
        <w:r>
          <w:rPr>
            <w:color w:val="0000EE"/>
            <w:u w:val="single"/>
          </w:rPr>
          <w:t>Mt 14.3–12</w:t>
        </w:r>
      </w:hyperlink>
      <w:r>
        <w:t xml:space="preserve">; </w:t>
      </w:r>
      <w:hyperlink r:id="rId9465">
        <w:r>
          <w:rPr>
            <w:color w:val="0000EE"/>
            <w:u w:val="single"/>
          </w:rPr>
          <w:t>Mc 6.17–29</w:t>
        </w:r>
      </w:hyperlink>
      <w:r>
        <w:t xml:space="preserve">; </w:t>
      </w:r>
      <w:hyperlink r:id="rId9466">
        <w:r>
          <w:rPr>
            <w:color w:val="0000EE"/>
            <w:u w:val="single"/>
          </w:rPr>
          <w:t>Lc 3.19–20</w:t>
        </w:r>
      </w:hyperlink>
      <w:r>
        <w:t>).</w:t>
      </w:r>
      <w:r/>
      <w:r/>
    </w:p>
    <w:p>
      <w:r/>
    </w:p>
    <w:p>
      <w:pPr>
        <w:pStyle w:val="Heading2"/>
      </w:pPr>
      <w:r>
        <w:t>Filipenses, Carta aos</w:t>
      </w:r>
      <w:r/>
    </w:p>
    <w:p>
      <w:r/>
      <w:r>
        <w:t>Uma das cartas que Paulo escreveu enquanto estava preso.</w:t>
      </w:r>
    </w:p>
    <w:p>
      <w:r/>
      <w:r>
        <w:t>Resumo</w:t>
      </w:r>
    </w:p>
    <w:p>
      <w:r/>
      <w:r>
        <w:t>• Autor</w:t>
      </w:r>
    </w:p>
    <w:p>
      <w:r/>
      <w:r>
        <w:t>• Data e origem</w:t>
      </w:r>
    </w:p>
    <w:p>
      <w:r/>
      <w:r>
        <w:t>• Contexto</w:t>
      </w:r>
    </w:p>
    <w:p>
      <w:r/>
      <w:r>
        <w:t>• Temas teológicos</w:t>
      </w:r>
    </w:p>
    <w:p>
      <w:r/>
      <w:r>
        <w:t>• Conteúdo</w:t>
      </w:r>
    </w:p>
    <w:p>
      <w:pPr>
        <w:pStyle w:val="Heading3"/>
      </w:pPr>
      <w:r>
        <w:t>Autor</w:t>
      </w:r>
    </w:p>
    <w:p>
      <w:r/>
      <w:r>
        <w:t>Filipenses é semelhante a 2 Coríntios, Colossenses, 1 e 2 Tessalonicenses e Filemom porque Paulo compartilhou a autoria com Timóteo. O nome de Timóteo aparece no início dessas cartas, mas ele provavelmente atuou apenas como secretário de Paulo.</w:t>
      </w:r>
    </w:p>
    <w:p>
      <w:pPr>
        <w:pStyle w:val="Heading3"/>
      </w:pPr>
      <w:r>
        <w:t>Data e origem</w:t>
      </w:r>
    </w:p>
    <w:p>
      <w:r/>
      <w:r>
        <w:t>Paulo escreveu da prisão (</w:t>
      </w:r>
      <w:hyperlink r:id="rId9467">
        <w:r>
          <w:rPr>
            <w:color w:val="0000EE"/>
            <w:u w:val="single"/>
          </w:rPr>
          <w:t>Fp 1.12–13</w:t>
        </w:r>
      </w:hyperlink>
      <w:r>
        <w:t xml:space="preserve">), mas não sabemos onde ele estava detido. Roma é o local mais provável, datando por volta de 62 d.C.. No entanto, alguns acham que as viagens mencionadas em </w:t>
      </w:r>
      <w:hyperlink r:id="rId9468">
        <w:r>
          <w:rPr>
            <w:color w:val="0000EE"/>
            <w:u w:val="single"/>
          </w:rPr>
          <w:t>Filipenses 4.14</w:t>
        </w:r>
      </w:hyperlink>
      <w:r>
        <w:t xml:space="preserve"> e </w:t>
      </w:r>
      <w:hyperlink r:id="rId9469">
        <w:r>
          <w:rPr>
            <w:color w:val="0000EE"/>
            <w:u w:val="single"/>
          </w:rPr>
          <w:t>2.25–26</w:t>
        </w:r>
      </w:hyperlink>
      <w:r>
        <w:t xml:space="preserve"> tornam Roma improvável. Os filipenses ouviram que Paulo estava na prisão e enviaram um presente com Epafrodito. Epafrodito então ouviu em Roma que os filipenses sabiam que ele estava doente. Por causa disso, alguns sugerem Éfeso por volta de 55 d.C., ou Cesareia por volta de 58 d.C.. Paulo foi preso em Cesareia (</w:t>
      </w:r>
      <w:hyperlink r:id="rId9470">
        <w:r>
          <w:rPr>
            <w:color w:val="0000EE"/>
            <w:u w:val="single"/>
          </w:rPr>
          <w:t>At 23.33–35</w:t>
        </w:r>
      </w:hyperlink>
      <w:r>
        <w:t xml:space="preserve">), mas a saudação “da casa de César” é difícil de explicar se escrita lá. Éfeso é perto o suficiente de Filipos para comunicação frequente, mas Atos não registra uma prisão lá. Teríamos que supor que o relato de Lucas em </w:t>
      </w:r>
      <w:hyperlink r:id="rId2756">
        <w:r>
          <w:rPr>
            <w:color w:val="0000EE"/>
            <w:u w:val="single"/>
          </w:rPr>
          <w:t>Atos 19</w:t>
        </w:r>
      </w:hyperlink>
      <w:r>
        <w:t xml:space="preserve"> está incompleto e que Paulo estava sob custódia protetora durante o tumulto (veja especialmente </w:t>
      </w:r>
      <w:hyperlink r:id="rId9471">
        <w:r>
          <w:rPr>
            <w:color w:val="0000EE"/>
            <w:u w:val="single"/>
          </w:rPr>
          <w:t>Atos 19.30–31</w:t>
        </w:r>
      </w:hyperlink>
      <w:r>
        <w:t>). No entanto, tal prisão provavelmente não faria Paulo se perguntar se seu tempo “deixar esta vida e estar com Cristo” havia chegado (</w:t>
      </w:r>
      <w:hyperlink r:id="rId5076">
        <w:r>
          <w:rPr>
            <w:color w:val="0000EE"/>
            <w:u w:val="single"/>
          </w:rPr>
          <w:t>Fp 1.23</w:t>
        </w:r>
      </w:hyperlink>
      <w:r>
        <w:t>). No momento da escrita, ele estava claramente enfrentando uma acusação séria.</w:t>
      </w:r>
    </w:p>
    <w:p>
      <w:r/>
      <w:r>
        <w:t>A localização tradicional, Roma, parece a mais adequada. Paulo foi preso lá por pelo menos dois anos (</w:t>
      </w:r>
      <w:hyperlink r:id="rId2878">
        <w:r>
          <w:rPr>
            <w:color w:val="0000EE"/>
            <w:u w:val="single"/>
          </w:rPr>
          <w:t>At 28.30</w:t>
        </w:r>
      </w:hyperlink>
      <w:r>
        <w:t>), e levava cerca de três semanas para viajar de Roma a Filipos.</w:t>
      </w:r>
    </w:p>
    <w:p>
      <w:pPr>
        <w:pStyle w:val="Heading3"/>
      </w:pPr>
      <w:r>
        <w:t>Contexto</w:t>
      </w:r>
    </w:p>
    <w:p>
      <w:r/>
      <w:r>
        <w:t>Filipos era uma colônia romana (</w:t>
      </w:r>
      <w:hyperlink r:id="rId9472">
        <w:r>
          <w:rPr>
            <w:color w:val="0000EE"/>
            <w:u w:val="single"/>
          </w:rPr>
          <w:t>At 16.12</w:t>
        </w:r>
      </w:hyperlink>
      <w:r>
        <w:t xml:space="preserve">), um privilégio raro para cidades fora da Itália. Cerca de 90 anos antes do evangelho chegar lá por volta de 50 d.C., muitos soldados romanos se estabeleceram na cidade, expandindo-a significativamente. Seus oficiais comandantes facilitaram esse assentamento. Como resultado, Filipos ganhou seu status de colônia, o que significava que seus cidadãos eram tratados como se vivessem na Itália, com uma administração totalmente romana. Paulo refere-se a esse status em </w:t>
      </w:r>
      <w:hyperlink r:id="rId9473">
        <w:r>
          <w:rPr>
            <w:color w:val="0000EE"/>
            <w:u w:val="single"/>
          </w:rPr>
          <w:t>Filipenses 3.20</w:t>
        </w:r>
      </w:hyperlink>
      <w:r>
        <w:t>, ensinando que os cristãos são cidadãos de uma cidade celestial enquanto vivem em outro lugar. Filipos era um lugar rico e movimentado, um importante centro na Macedônia. Era lar de seguidores de muitas religiões tanto do Leste quanto do Oeste. Havia uma forte comunidade judaica e muitos pagãos.</w:t>
      </w:r>
    </w:p>
    <w:p>
      <w:pPr>
        <w:pStyle w:val="Heading3"/>
      </w:pPr>
      <w:r>
        <w:t>Temas teológicos</w:t>
      </w:r>
    </w:p>
    <w:p>
      <w:r/>
      <w:r>
        <w:t xml:space="preserve">O encarceramento de Paulo é central para a mensagem da carta, não apenas como informações de fundo. Durante seu encarceramento, ele experimentou a humildade mencionada em </w:t>
      </w:r>
      <w:hyperlink r:id="rId9474">
        <w:r>
          <w:rPr>
            <w:color w:val="0000EE"/>
            <w:u w:val="single"/>
          </w:rPr>
          <w:t>Filipenses 4.12</w:t>
        </w:r>
      </w:hyperlink>
      <w:r>
        <w:t xml:space="preserve">, usando a mesma palavra encontrada em </w:t>
      </w:r>
      <w:hyperlink r:id="rId7878">
        <w:r>
          <w:rPr>
            <w:color w:val="0000EE"/>
            <w:u w:val="single"/>
          </w:rPr>
          <w:t>2.8</w:t>
        </w:r>
      </w:hyperlink>
      <w:r>
        <w:t xml:space="preserve"> para descrever a auto-humilhação de Cristo até a morte. O padrão do ministério de Jesus descrito no "hino" de </w:t>
      </w:r>
      <w:hyperlink r:id="rId5124">
        <w:r>
          <w:rPr>
            <w:color w:val="0000EE"/>
            <w:u w:val="single"/>
          </w:rPr>
          <w:t xml:space="preserve">Filipenses 2.6–11 </w:t>
        </w:r>
      </w:hyperlink>
      <w:r>
        <w:t>— humilhação seguida de glorificação — reflete a vida de Paulo e a visão que ele compartilha com os filipenses. Junto com a humilhação e o sofrimento, a alegria é outro tema importante da carta. A verdadeira alegria emerge do sofrimento e do autossacrifício. De fato, Filipenses poderia ser chamada de “A Epístola da Alegria”. Outros temas importantes incluem o evangelho, o Dia do Senhor, e uma comparação do passado judaico de Paulo com sua experiência cristã atual (</w:t>
      </w:r>
      <w:hyperlink r:id="rId9475">
        <w:r>
          <w:rPr>
            <w:color w:val="0000EE"/>
            <w:u w:val="single"/>
          </w:rPr>
          <w:t>Fp 3.4–16</w:t>
        </w:r>
      </w:hyperlink>
      <w:r>
        <w:t xml:space="preserve">), além do famoso “hino” em </w:t>
      </w:r>
      <w:hyperlink r:id="rId9476">
        <w:r>
          <w:rPr>
            <w:color w:val="0000EE"/>
            <w:u w:val="single"/>
          </w:rPr>
          <w:t>Filipenses 2</w:t>
        </w:r>
      </w:hyperlink>
      <w:r>
        <w:t>.</w:t>
      </w:r>
    </w:p>
    <w:p>
      <w:pPr>
        <w:pStyle w:val="Heading3"/>
      </w:pPr>
      <w:r>
        <w:t>Conteúdo</w:t>
      </w:r>
    </w:p>
    <w:p>
      <w:pPr>
        <w:pStyle w:val="Heading4"/>
      </w:pPr>
      <w:r>
        <w:t>Saudação e oração de abertura (</w:t>
      </w:r>
      <w:hyperlink r:id="rId9477">
        <w:r>
          <w:rPr>
            <w:color w:val="0000EE"/>
            <w:u w:val="single"/>
          </w:rPr>
          <w:t>1.1–11</w:t>
        </w:r>
      </w:hyperlink>
      <w:r>
        <w:t>)</w:t>
      </w:r>
    </w:p>
    <w:p>
      <w:r/>
      <w:r>
        <w:t>No primeiro parágrafo de sua carta, Paulo introduz os temas principais nos quais ele se concentrará. Seu calor pessoal em relação aos filipenses é claro: “Vocês estão sempre no meu coração... o meu grande amor por todos vocês” (</w:t>
      </w:r>
      <w:hyperlink r:id="rId9478">
        <w:r>
          <w:rPr>
            <w:color w:val="0000EE"/>
            <w:u w:val="single"/>
          </w:rPr>
          <w:t>Fp 1.7–8</w:t>
        </w:r>
      </w:hyperlink>
      <w:r>
        <w:t>). Esta ideia de amor e sofrimento permeia toda a carta. Também é notável que a carta começa e termina com os temas de “graça” e “os santos” (</w:t>
      </w:r>
      <w:hyperlink r:id="rId9479">
        <w:r>
          <w:rPr>
            <w:color w:val="0000EE"/>
            <w:u w:val="single"/>
          </w:rPr>
          <w:t>Fp 1.1–2</w:t>
        </w:r>
      </w:hyperlink>
      <w:r>
        <w:t xml:space="preserve">; </w:t>
      </w:r>
      <w:hyperlink r:id="rId9480">
        <w:r>
          <w:rPr>
            <w:color w:val="0000EE"/>
            <w:u w:val="single"/>
          </w:rPr>
          <w:t>4.21–23</w:t>
        </w:r>
      </w:hyperlink>
      <w:r>
        <w:t>). A graça de Cristo, que alcança as pessoas pecadoras e as transforma, separando-as do mundo, é um foco chave para Paulo. “Os santos” são aqueles que, tocados por essa graça, são transformados em coração e mente, permitindo que seu amor cresça em conhecimento e discernimento (</w:t>
      </w:r>
      <w:hyperlink r:id="rId9481">
        <w:r>
          <w:rPr>
            <w:color w:val="0000EE"/>
            <w:u w:val="single"/>
          </w:rPr>
          <w:t>Fp 1.9</w:t>
        </w:r>
      </w:hyperlink>
      <w:r>
        <w:t>).</w:t>
      </w:r>
    </w:p>
    <w:p>
      <w:r/>
      <w:r>
        <w:t xml:space="preserve">Dois temas importantes aparecem aqui. A palavra grega </w:t>
      </w:r>
      <w:r>
        <w:rPr>
          <w:i/>
        </w:rPr>
        <w:t>phroneo</w:t>
      </w:r>
      <w:r>
        <w:t>, que significa "pensar", é usada mais em Filipenses do que em qualquer outra carta de Paulo, aparecendo nove vezes em comparação com sete em Romanos. Infelizmente, as traduções em português não a traduzem de forma consistente, tornando difícil para os leitores perceberem sua repetição e o foco no uso correto da mente. Para Paulo, isso é crucial: como pensamos é central para a vida cristã. Nestes versículos iniciais, ele deixa claro que o amor que sente pelos filipenses reflete a maneira cristã de pensar sobre eles (</w:t>
      </w:r>
      <w:hyperlink r:id="rId9482">
        <w:r>
          <w:rPr>
            <w:color w:val="0000EE"/>
            <w:u w:val="single"/>
          </w:rPr>
          <w:t>Fp 1.7</w:t>
        </w:r>
      </w:hyperlink>
      <w:r>
        <w:t>: "E é justo que eu me sinta assim a respeito de vocês"). Isso naturalmente leva a outro foco — crescimento. A "mente cristã" não se desenvolve da noite para o dia. Paulo ora para que essa mente cresça, dando aos filipenses discernimento que transformará seu caráter e os preparará para “o dia da vinda de Cristo” (</w:t>
      </w:r>
      <w:hyperlink r:id="rId9483">
        <w:r>
          <w:rPr>
            <w:color w:val="0000EE"/>
            <w:u w:val="single"/>
          </w:rPr>
          <w:t>Fp 1.10–11</w:t>
        </w:r>
      </w:hyperlink>
      <w:r>
        <w:t xml:space="preserve">; veja também </w:t>
      </w:r>
      <w:hyperlink r:id="rId7024">
        <w:r>
          <w:rPr>
            <w:color w:val="0000EE"/>
            <w:u w:val="single"/>
          </w:rPr>
          <w:t>1.6</w:t>
        </w:r>
      </w:hyperlink>
      <w:r>
        <w:t>).</w:t>
      </w:r>
    </w:p>
    <w:p>
      <w:r/>
      <w:r>
        <w:t>Nesta oração de abertura, vemos um foco no evangelho e na comunhão. Paulo agradece aos filipenses por sua parceria no evangelho (</w:t>
      </w:r>
      <w:hyperlink r:id="rId5303">
        <w:r>
          <w:rPr>
            <w:color w:val="0000EE"/>
            <w:u w:val="single"/>
          </w:rPr>
          <w:t>Fp 1.5</w:t>
        </w:r>
      </w:hyperlink>
      <w:r>
        <w:t xml:space="preserve">; veja também </w:t>
      </w:r>
      <w:hyperlink r:id="rId9482">
        <w:r>
          <w:rPr>
            <w:color w:val="0000EE"/>
            <w:u w:val="single"/>
          </w:rPr>
          <w:t>1.7</w:t>
        </w:r>
      </w:hyperlink>
      <w:r>
        <w:t>). Ele também introduz o importante tema da alegria (</w:t>
      </w:r>
      <w:hyperlink r:id="rId9484">
        <w:r>
          <w:rPr>
            <w:color w:val="0000EE"/>
            <w:u w:val="single"/>
          </w:rPr>
          <w:t>Fp 1.4</w:t>
        </w:r>
      </w:hyperlink>
      <w:r>
        <w:t>). Esses três elementos são cruciais para toda a carta.</w:t>
      </w:r>
    </w:p>
    <w:p>
      <w:pPr>
        <w:pStyle w:val="Heading4"/>
      </w:pPr>
      <w:r>
        <w:t>Paulo e seu encarceramento: Cristo exaltado (</w:t>
      </w:r>
      <w:hyperlink r:id="rId9485">
        <w:r>
          <w:rPr>
            <w:color w:val="0000EE"/>
            <w:u w:val="single"/>
          </w:rPr>
          <w:t>1.12–26</w:t>
        </w:r>
      </w:hyperlink>
      <w:r>
        <w:t>)</w:t>
      </w:r>
    </w:p>
    <w:p>
      <w:r/>
      <w:r>
        <w:t>Paulo escreve sobre sua situação para destacar o cerne de sua mensagem. Quando ele diz: “Pois para mim viver é Cristo" (</w:t>
      </w:r>
      <w:hyperlink r:id="rId9486">
        <w:r>
          <w:rPr>
            <w:color w:val="0000EE"/>
            <w:u w:val="single"/>
          </w:rPr>
          <w:t>Fp 1.21</w:t>
        </w:r>
      </w:hyperlink>
      <w:r>
        <w:t>), ele quer dizer mais do que apenas passar cada momento em comunhão com o Senhor e servi-lo. Ele também quer dizer que ele demonstra Cristo através de sua própria vida e experiências. Mais tarde, ele dirá: “Ponham em prática o que vocês receberam e aprenderam de mim, tanto com as minhas palavras como com as minhas ações” (</w:t>
      </w:r>
      <w:hyperlink r:id="rId9487">
        <w:r>
          <w:rPr>
            <w:color w:val="0000EE"/>
            <w:u w:val="single"/>
          </w:rPr>
          <w:t>Fp 4.9</w:t>
        </w:r>
      </w:hyperlink>
      <w:r>
        <w:t>). Poucos ministros cristãos fariam tal afirmação hoje. No entanto, Paulo acreditava que, como apóstolo de Cristo, ele tinha o privilégio não apenas de falar por Cristo, mas também de viver a vida de Cristo em suas próprias ações, mesmo que isso significasse sofrimento e humilhação.</w:t>
      </w:r>
    </w:p>
    <w:p>
      <w:r/>
      <w:r>
        <w:t>Existem dois desafios principais aqui:</w:t>
      </w:r>
    </w:p>
    <w:p>
      <w:pPr>
        <w:pStyle w:val="ListNumber"/>
        <w:spacing w:line="240" w:lineRule="auto"/>
        <w:ind w:left="720"/>
      </w:pPr>
      <w:r/>
      <w:r>
        <w:t xml:space="preserve">É difícil entender a situação que Paulo menciona em </w:t>
      </w:r>
      <w:hyperlink r:id="rId9488">
        <w:r>
          <w:rPr>
            <w:color w:val="0000EE"/>
            <w:u w:val="single"/>
          </w:rPr>
          <w:t>Filipenses 1.12–18</w:t>
        </w:r>
      </w:hyperlink>
      <w:r>
        <w:t>. A igreja em Roma, se esse for o local dele, estava dividida sobre sua prisão. Alguns crentes estavam realmente felizes que ele estava na cadeia. Sua prisão parecia motivá-los a pregar sua própria versão do evangelho. Em vez de ficar chateado, Paulo estava feliz. “Mas que importa?” ele pergunta (</w:t>
      </w:r>
      <w:hyperlink r:id="rId9489">
        <w:r>
          <w:rPr>
            <w:color w:val="0000EE"/>
            <w:u w:val="single"/>
          </w:rPr>
          <w:t>Fp 1.18</w:t>
        </w:r>
      </w:hyperlink>
      <w:r>
        <w:t>). Seja por amigo ou inimigo, Cristo estava sendo proclamado de uma nova maneira por causa de sua prisão (</w:t>
      </w:r>
      <w:hyperlink r:id="rId9490">
        <w:r>
          <w:rPr>
            <w:color w:val="0000EE"/>
            <w:u w:val="single"/>
          </w:rPr>
          <w:t>Fp 1.14</w:t>
        </w:r>
      </w:hyperlink>
      <w:r>
        <w:t>). Paulo geralmente defendia a pureza da Palavra, então esses rivais provavelmente não eram hereges.</w:t>
      </w:r>
    </w:p>
    <w:p>
      <w:pPr>
        <w:pStyle w:val="ListNumber"/>
        <w:spacing w:line="240" w:lineRule="auto"/>
        <w:ind w:left="720"/>
      </w:pPr>
      <w:r/>
      <w:r>
        <w:t xml:space="preserve">O outro desafio histórico envolve </w:t>
      </w:r>
      <w:hyperlink r:id="rId9491">
        <w:r>
          <w:rPr>
            <w:color w:val="0000EE"/>
            <w:u w:val="single"/>
          </w:rPr>
          <w:t>Filipenses 1.19–26</w:t>
        </w:r>
      </w:hyperlink>
      <w:r>
        <w:t>. A princípio, Paulo parece incerto sobre o resultado de sua prisão (</w:t>
      </w:r>
      <w:hyperlink r:id="rId9492">
        <w:r>
          <w:rPr>
            <w:color w:val="0000EE"/>
            <w:u w:val="single"/>
          </w:rPr>
          <w:t>Fp 1.19–21</w:t>
        </w:r>
      </w:hyperlink>
      <w:r>
        <w:t>). Em seguida, ele sugere que pode escolher entre a vida e a morte (</w:t>
      </w:r>
      <w:hyperlink r:id="rId9493">
        <w:r>
          <w:rPr>
            <w:color w:val="0000EE"/>
            <w:u w:val="single"/>
          </w:rPr>
          <w:t>Fp 1.22</w:t>
        </w:r>
      </w:hyperlink>
      <w:r>
        <w:t>). Finalmente, ele diz aos filipenses que está confiante de que permanecerá vivo (</w:t>
      </w:r>
      <w:hyperlink r:id="rId9494">
        <w:r>
          <w:rPr>
            <w:color w:val="0000EE"/>
            <w:u w:val="single"/>
          </w:rPr>
          <w:t>Fp 1.25</w:t>
        </w:r>
      </w:hyperlink>
      <w:r>
        <w:t>). A melhor explicação é que Paulo acreditava que o Espírito Santo pessoalmente o assegurou de que sua prisão não levaria à sua execução.</w:t>
      </w:r>
    </w:p>
    <w:p>
      <w:r/>
      <w:r>
        <w:t>A atitude dele em relação à própria morte é muito comovente. Ele esperava ser resgatado, seja pela vida ou pela morte (</w:t>
      </w:r>
      <w:hyperlink r:id="rId9495">
        <w:r>
          <w:rPr>
            <w:color w:val="0000EE"/>
            <w:u w:val="single"/>
          </w:rPr>
          <w:t>Fp 1.19–20</w:t>
        </w:r>
      </w:hyperlink>
      <w:r>
        <w:t>), e tinha forte confiança de que morrer é "bem melhor" (</w:t>
      </w:r>
      <w:hyperlink r:id="rId5076">
        <w:r>
          <w:rPr>
            <w:color w:val="0000EE"/>
            <w:u w:val="single"/>
          </w:rPr>
          <w:t>Fp 1.23</w:t>
        </w:r>
      </w:hyperlink>
      <w:r>
        <w:t>) porque significa estar "com Cristo." Esta seção termina de forma alegre.</w:t>
      </w:r>
    </w:p>
    <w:p>
      <w:pPr>
        <w:pStyle w:val="Heading4"/>
      </w:pPr>
      <w:r>
        <w:t>A vida digna do evangelho (</w:t>
      </w:r>
      <w:hyperlink r:id="rId9496">
        <w:r>
          <w:rPr>
            <w:color w:val="0000EE"/>
            <w:u w:val="single"/>
          </w:rPr>
          <w:t>1.27–2.18</w:t>
        </w:r>
      </w:hyperlink>
      <w:r>
        <w:t>)</w:t>
      </w:r>
    </w:p>
    <w:p>
      <w:r/>
      <w:r>
        <w:t xml:space="preserve">Esta seção termina com "alegria", assim como a última, e sua mensagem principal está no chamado inicial de </w:t>
      </w:r>
      <w:hyperlink r:id="rId950">
        <w:r>
          <w:rPr>
            <w:color w:val="0000EE"/>
            <w:u w:val="single"/>
          </w:rPr>
          <w:t>Filipenses 1.27</w:t>
        </w:r>
      </w:hyperlink>
      <w:r>
        <w:t>. Paulo desejava que os filipenses não tivessem diferença entre o que dizem e o que fazem, onde o evangelho que acreditam é o evangelho que vivem. A seção está dividida em quatro partes, intituladas da seguinte forma:</w:t>
      </w:r>
    </w:p>
    <w:p>
      <w:pPr>
        <w:pStyle w:val="ListNumber"/>
        <w:spacing w:line="240" w:lineRule="auto"/>
        <w:ind w:left="720"/>
      </w:pPr>
      <w:r/>
      <w:r>
        <w:t>Viver dignamente em um mundo desafiador (</w:t>
      </w:r>
      <w:hyperlink r:id="rId9497">
        <w:r>
          <w:rPr>
            <w:color w:val="0000EE"/>
            <w:u w:val="single"/>
          </w:rPr>
          <w:t>Fp 1.27–30</w:t>
        </w:r>
      </w:hyperlink>
      <w:r>
        <w:t>)</w:t>
      </w:r>
    </w:p>
    <w:p>
      <w:pPr>
        <w:pStyle w:val="ListNumber"/>
        <w:spacing w:line="240" w:lineRule="auto"/>
        <w:ind w:left="720"/>
      </w:pPr>
      <w:r/>
      <w:r>
        <w:t>Viver dignamente em comunhão cristã (</w:t>
      </w:r>
      <w:hyperlink r:id="rId5310">
        <w:r>
          <w:rPr>
            <w:color w:val="0000EE"/>
            <w:u w:val="single"/>
          </w:rPr>
          <w:t>Fp 2.1–4)</w:t>
        </w:r>
      </w:hyperlink>
    </w:p>
    <w:p>
      <w:pPr>
        <w:pStyle w:val="ListNumber"/>
        <w:spacing w:line="240" w:lineRule="auto"/>
        <w:ind w:left="720"/>
      </w:pPr>
      <w:r/>
      <w:r>
        <w:t>O evangelho que nos inspira (</w:t>
      </w:r>
      <w:hyperlink r:id="rId9414">
        <w:r>
          <w:rPr>
            <w:color w:val="0000EE"/>
            <w:u w:val="single"/>
          </w:rPr>
          <w:t>Fp 2.5–11)</w:t>
        </w:r>
      </w:hyperlink>
    </w:p>
    <w:p>
      <w:pPr>
        <w:pStyle w:val="ListNumber"/>
        <w:spacing w:line="240" w:lineRule="auto"/>
        <w:ind w:left="720"/>
      </w:pPr>
      <w:r/>
      <w:r>
        <w:t>Prioridades para vidas dignas do evangelho (</w:t>
      </w:r>
      <w:hyperlink r:id="rId9498">
        <w:r>
          <w:rPr>
            <w:color w:val="0000EE"/>
            <w:u w:val="single"/>
          </w:rPr>
          <w:t>Fp 2.12–18</w:t>
        </w:r>
      </w:hyperlink>
      <w:r>
        <w:t>)</w:t>
      </w:r>
    </w:p>
    <w:p>
      <w:r/>
      <w:r>
        <w:t>Paulo não queria que os Filipenses pensassem que ele estava em uma situação pior do que a deles. Ele escreveu: “Agora vocês podem tomar parte comigo na luta. Como vocês sabem, a luta que vocês viram que tive no passado é a mesma que ainda continua” (</w:t>
      </w:r>
      <w:hyperlink r:id="rId9499">
        <w:r>
          <w:rPr>
            <w:color w:val="0000EE"/>
            <w:u w:val="single"/>
          </w:rPr>
          <w:t>Fp 1.30</w:t>
        </w:r>
      </w:hyperlink>
      <w:r>
        <w:t>). Sofrer em um mundo hostil faz parte de ser um discípulo cristão. Se acreditamos em um evangelho sobre alguém que, embora igual a Deus, deixou a glória do céu e enfrentou não apenas a encarnação, mas também uma morte terrível (</w:t>
      </w:r>
      <w:hyperlink r:id="rId6131">
        <w:r>
          <w:rPr>
            <w:color w:val="0000EE"/>
            <w:u w:val="single"/>
          </w:rPr>
          <w:t>Fp 2.6–8</w:t>
        </w:r>
      </w:hyperlink>
      <w:r>
        <w:t>), então devemos ver o sofrimento não como um fardo, mas como um privilégio. “Pois ele tem dado a vocês o privilégio de servir a Cristo, não somente crendo nele, mas também sofrendo por ele” (</w:t>
      </w:r>
      <w:hyperlink r:id="rId9500">
        <w:r>
          <w:rPr>
            <w:color w:val="0000EE"/>
            <w:u w:val="single"/>
          </w:rPr>
          <w:t>Fp 1.29</w:t>
        </w:r>
      </w:hyperlink>
      <w:r>
        <w:t>).</w:t>
      </w:r>
    </w:p>
    <w:p>
      <w:r/>
      <w:r>
        <w:t>Os crentes precisam de unidade para enfrentar a hostilidade do mundo. Eles devem permanecer juntos, lutando pelas boas-novas (</w:t>
      </w:r>
      <w:hyperlink r:id="rId950">
        <w:r>
          <w:rPr>
            <w:color w:val="0000EE"/>
            <w:u w:val="single"/>
          </w:rPr>
          <w:t>Fp 1.27</w:t>
        </w:r>
      </w:hyperlink>
      <w:r>
        <w:t xml:space="preserve">). Acreditar em um único evangelho cria uma frente unida contra o mundo, não apenas uma defensiva. O tema da unidade continua em </w:t>
      </w:r>
      <w:hyperlink r:id="rId9476">
        <w:r>
          <w:rPr>
            <w:color w:val="0000EE"/>
            <w:u w:val="single"/>
          </w:rPr>
          <w:t>Filipenses 2</w:t>
        </w:r>
      </w:hyperlink>
      <w:r>
        <w:t>, onde Paulo discute a vida dentro da comunhão (</w:t>
      </w:r>
      <w:hyperlink r:id="rId5310">
        <w:r>
          <w:rPr>
            <w:color w:val="0000EE"/>
            <w:u w:val="single"/>
          </w:rPr>
          <w:t>2.1–4</w:t>
        </w:r>
      </w:hyperlink>
      <w:r>
        <w:t>). Ele sugere que a unidade externa é impossível sem verdadeira unidade em amor, espírito e propósito (</w:t>
      </w:r>
      <w:hyperlink r:id="rId9501">
        <w:r>
          <w:rPr>
            <w:color w:val="0000EE"/>
            <w:u w:val="single"/>
          </w:rPr>
          <w:t>Fp 2.2</w:t>
        </w:r>
      </w:hyperlink>
      <w:r>
        <w:t>), independentemente de sua situação. Essa unidade requer ternura e compaixão entre eles (</w:t>
      </w:r>
      <w:hyperlink r:id="rId8454">
        <w:r>
          <w:rPr>
            <w:color w:val="0000EE"/>
            <w:u w:val="single"/>
          </w:rPr>
          <w:t>Fp 2.1</w:t>
        </w:r>
      </w:hyperlink>
      <w:r>
        <w:t xml:space="preserve">). A progressão em </w:t>
      </w:r>
      <w:hyperlink r:id="rId8454">
        <w:r>
          <w:rPr>
            <w:color w:val="0000EE"/>
            <w:u w:val="single"/>
          </w:rPr>
          <w:t>Filipenses 2.1</w:t>
        </w:r>
      </w:hyperlink>
      <w:r>
        <w:t xml:space="preserve"> atinge seu ápice com essa ideia, levando ao famoso “hino” em </w:t>
      </w:r>
      <w:hyperlink r:id="rId5124">
        <w:r>
          <w:rPr>
            <w:color w:val="0000EE"/>
            <w:u w:val="single"/>
          </w:rPr>
          <w:t>Filipenses 2.6–11</w:t>
        </w:r>
      </w:hyperlink>
      <w:r>
        <w:t>. Tal ternura só prosperará se eles acreditarem no evangelho celebrado no hino.</w:t>
      </w:r>
    </w:p>
    <w:p>
      <w:r/>
      <w:r>
        <w:t xml:space="preserve">É impossível saber se </w:t>
      </w:r>
      <w:hyperlink r:id="rId5124">
        <w:r>
          <w:rPr>
            <w:color w:val="0000EE"/>
            <w:u w:val="single"/>
          </w:rPr>
          <w:t>Filipenses 2.6–11</w:t>
        </w:r>
      </w:hyperlink>
      <w:r>
        <w:t xml:space="preserve"> era um hino real cantado no culto cristão primitivo. A linguagem de Paulo tem uma qualidade hínica, mas não é poética. Muitos estudiosos acreditam que Paulo não escreveu esses versos ele mesmo, mas citou uma peça litúrgica bem conhecida. O que é certo é que seu estilo de linguagem muda, e ele expressa ideias únicas aqui.</w:t>
      </w:r>
    </w:p>
    <w:p>
      <w:r/>
      <w:r>
        <w:t>O hino se encaixa perfeitamente em seu contexto e é o coração de toda a carta. Ele mostra como prisão e libertação, juntamente com sofrimento e alegria, refletem as próprias experiências de Jesus. Jesus morreu e ressuscitou, foi humilhado e depois glorificado.</w:t>
      </w:r>
    </w:p>
    <w:p>
      <w:pPr>
        <w:pStyle w:val="Heading4"/>
      </w:pPr>
      <w:r>
        <w:t>Dois exemplos e amigos dignos (</w:t>
      </w:r>
      <w:hyperlink r:id="rId9502">
        <w:r>
          <w:rPr>
            <w:color w:val="0000EE"/>
            <w:u w:val="single"/>
          </w:rPr>
          <w:t>2.19–30</w:t>
        </w:r>
      </w:hyperlink>
      <w:r>
        <w:t>)</w:t>
      </w:r>
    </w:p>
    <w:p>
      <w:r/>
      <w:r>
        <w:t>Paulo escreve sobre sua situação e planos, mas esta seção é mais do que apenas detalhes práticos. Ele explica por que enviou a carta com Epafrodito em vez de Timóteo. Ele os usa como exemplos de viver pelo evangelho, que ele havia acabado de discutir. Timóteo "é o único que se preocupa com vocês... se interessa pelo bem-estar de vocês" (</w:t>
      </w:r>
      <w:hyperlink r:id="rId9503">
        <w:r>
          <w:rPr>
            <w:color w:val="0000EE"/>
            <w:u w:val="single"/>
          </w:rPr>
          <w:t>Fp 2.20</w:t>
        </w:r>
      </w:hyperlink>
      <w:r>
        <w:t>) porque busca os interesses de Jesus Cristo, não os seus próprios (</w:t>
      </w:r>
      <w:hyperlink r:id="rId9504">
        <w:r>
          <w:rPr>
            <w:color w:val="0000EE"/>
            <w:u w:val="single"/>
          </w:rPr>
          <w:t>2.21</w:t>
        </w:r>
      </w:hyperlink>
      <w:r>
        <w:t>). Ele vive o evangelho e está comprometido com seu trabalho (</w:t>
      </w:r>
      <w:hyperlink r:id="rId9505">
        <w:r>
          <w:rPr>
            <w:color w:val="0000EE"/>
            <w:u w:val="single"/>
          </w:rPr>
          <w:t>Fp 2.22</w:t>
        </w:r>
      </w:hyperlink>
      <w:r>
        <w:t>). Epafrodito é semelhante, mas de uma maneira diferente. Sua conexão com Jesus se mostra em sua doença e na dor de estar separado dos outros. Como Jesus, ele arriscou sua vida (</w:t>
      </w:r>
      <w:hyperlink r:id="rId919">
        <w:r>
          <w:rPr>
            <w:color w:val="0000EE"/>
            <w:u w:val="single"/>
          </w:rPr>
          <w:t>Fp 2.30</w:t>
        </w:r>
      </w:hyperlink>
      <w:r>
        <w:t>) e foi restaurado à vida (</w:t>
      </w:r>
      <w:hyperlink r:id="rId9506">
        <w:r>
          <w:rPr>
            <w:color w:val="0000EE"/>
            <w:u w:val="single"/>
          </w:rPr>
          <w:t>2.27</w:t>
        </w:r>
      </w:hyperlink>
      <w:r>
        <w:t>). Agora, ele retornará aos filipenses, e sua alegria compartilhada demonstrará ainda mais o evangelho.</w:t>
      </w:r>
    </w:p>
    <w:p>
      <w:pPr>
        <w:pStyle w:val="Heading4"/>
      </w:pPr>
      <w:r>
        <w:t>Avançando e mantendo-se firmes (</w:t>
      </w:r>
      <w:hyperlink r:id="rId9507">
        <w:r>
          <w:rPr>
            <w:color w:val="0000EE"/>
            <w:u w:val="single"/>
          </w:rPr>
          <w:t>3.1–4.1</w:t>
        </w:r>
      </w:hyperlink>
      <w:r>
        <w:t>)</w:t>
      </w:r>
    </w:p>
    <w:p>
      <w:r/>
      <w:r>
        <w:t>Esta seção começa e termina com alegria (</w:t>
      </w:r>
      <w:hyperlink r:id="rId9508">
        <w:r>
          <w:rPr>
            <w:color w:val="0000EE"/>
            <w:u w:val="single"/>
          </w:rPr>
          <w:t>Fp 3.1</w:t>
        </w:r>
      </w:hyperlink>
      <w:r>
        <w:t xml:space="preserve">; </w:t>
      </w:r>
      <w:hyperlink r:id="rId5957">
        <w:r>
          <w:rPr>
            <w:color w:val="0000EE"/>
            <w:u w:val="single"/>
          </w:rPr>
          <w:t>4.1</w:t>
        </w:r>
      </w:hyperlink>
      <w:r>
        <w:t xml:space="preserve">) — não por acaso. O caminho da cruz que Paulo descreve é também um caminho de alegria (veja </w:t>
      </w:r>
      <w:hyperlink r:id="rId2683">
        <w:r>
          <w:rPr>
            <w:color w:val="0000EE"/>
            <w:u w:val="single"/>
          </w:rPr>
          <w:t>Hebreus 12.2</w:t>
        </w:r>
      </w:hyperlink>
      <w:r>
        <w:t>). Também começa e termina com a frase “meus irmãos”, o que é intencional. Paulo escreve sobre si mesmo, sugerindo que sua experiência é típica. Ele encoraja os leitores a esperar e buscar o mesmo padrão em suas vidas. Ele escreveu: “Meus irmãos, continuem a ser meus imitadores. E olhem com atenção também os que vivem de acordo com o exemplo que temos dado a vocês” (</w:t>
      </w:r>
      <w:hyperlink r:id="rId9509">
        <w:r>
          <w:rPr>
            <w:color w:val="0000EE"/>
            <w:u w:val="single"/>
          </w:rPr>
          <w:t>Fp 3.17</w:t>
        </w:r>
      </w:hyperlink>
      <w:r>
        <w:t xml:space="preserve">). Depois de apresentar Timóteo e Epafrodito como exemplos em </w:t>
      </w:r>
      <w:hyperlink r:id="rId9502">
        <w:r>
          <w:rPr>
            <w:color w:val="0000EE"/>
            <w:u w:val="single"/>
          </w:rPr>
          <w:t>Filipenses 2.19–30</w:t>
        </w:r>
      </w:hyperlink>
      <w:r>
        <w:t>, Paulo agora usa a si mesmo como exemplo.</w:t>
      </w:r>
    </w:p>
    <w:p>
      <w:r/>
      <w:r>
        <w:t xml:space="preserve">O tom muda drasticamente em </w:t>
      </w:r>
      <w:hyperlink r:id="rId1608">
        <w:r>
          <w:rPr>
            <w:color w:val="0000EE"/>
            <w:u w:val="single"/>
          </w:rPr>
          <w:t>Filipenses 3.2</w:t>
        </w:r>
      </w:hyperlink>
      <w:r>
        <w:t xml:space="preserve"> quando Paulo adverte os filipenses sobre "esses cachorros", provavelmente os mesmos que ele chama de "seus inimigos" em </w:t>
      </w:r>
      <w:hyperlink r:id="rId9510">
        <w:r>
          <w:rPr>
            <w:color w:val="0000EE"/>
            <w:u w:val="single"/>
          </w:rPr>
          <w:t>Filipenses 1.28</w:t>
        </w:r>
      </w:hyperlink>
      <w:r>
        <w:t>. Anteriormente, ele se concentrou na força interior dos filipenses contra eles, sem especificar quem eram. Agora, ele os examina de perto para mostrar aos filipenses que a vida cristã exige uma reversão completa dos valores de seus oponentes.</w:t>
      </w:r>
    </w:p>
    <w:p>
      <w:r/>
      <w:r>
        <w:t xml:space="preserve">Eram provavelmente judeus, semelhantes aos de </w:t>
      </w:r>
      <w:hyperlink r:id="rId9511">
        <w:r>
          <w:rPr>
            <w:color w:val="0000EE"/>
            <w:u w:val="single"/>
          </w:rPr>
          <w:t>Atos 17.5</w:t>
        </w:r>
      </w:hyperlink>
      <w:r>
        <w:t>, que se opuseram ao trabalho de Paulo em Tessalônica. Eles acreditavam ser o povo escolhido de Deus, mas Paulo via isso como uma confiança no esforço humano (</w:t>
      </w:r>
      <w:hyperlink r:id="rId9512">
        <w:r>
          <w:rPr>
            <w:color w:val="0000EE"/>
            <w:u w:val="single"/>
          </w:rPr>
          <w:t>Fp 3.4</w:t>
        </w:r>
      </w:hyperlink>
      <w:r>
        <w:t>). Eles pensavam que a justiça vinha da obediência estrita à lei de Deus em todos os aspectos da vida. No entanto, Paulo argumentava que isso era buscar uma justiça pessoal (</w:t>
      </w:r>
      <w:hyperlink r:id="rId8777">
        <w:r>
          <w:rPr>
            <w:color w:val="0000EE"/>
            <w:u w:val="single"/>
          </w:rPr>
          <w:t>Fp 3.9</w:t>
        </w:r>
      </w:hyperlink>
      <w:r>
        <w:t>), não relacionada à justiça que Deus oferece. Paulo insistia apaixonadamente que o verdadeiro caminho para ser o povo de Deus é através da abnegação. Ele considerava tudo o que antes valorizava como judeu como sem valor (</w:t>
      </w:r>
      <w:hyperlink r:id="rId9513">
        <w:r>
          <w:rPr>
            <w:color w:val="0000EE"/>
            <w:u w:val="single"/>
          </w:rPr>
          <w:t>Fp 3.8</w:t>
        </w:r>
      </w:hyperlink>
      <w:r>
        <w:t>), uma perda por causa de Cristo (</w:t>
      </w:r>
      <w:hyperlink r:id="rId9514">
        <w:r>
          <w:rPr>
            <w:color w:val="0000EE"/>
            <w:u w:val="single"/>
          </w:rPr>
          <w:t>3.7</w:t>
        </w:r>
      </w:hyperlink>
      <w:r>
        <w:t>). A única maneira de alcançar a justiça é através da fé em Cristo (</w:t>
      </w:r>
      <w:hyperlink r:id="rId8777">
        <w:r>
          <w:rPr>
            <w:color w:val="0000EE"/>
            <w:u w:val="single"/>
          </w:rPr>
          <w:t>3.9</w:t>
        </w:r>
      </w:hyperlink>
      <w:r>
        <w:t>). Os cristãos devem se tornar como Cristo em sua morte para experimentar o poder de sua ressurreição (</w:t>
      </w:r>
      <w:hyperlink r:id="rId6016">
        <w:r>
          <w:rPr>
            <w:color w:val="0000EE"/>
            <w:u w:val="single"/>
          </w:rPr>
          <w:t>3.10</w:t>
        </w:r>
      </w:hyperlink>
      <w:r>
        <w:t>). Para Paulo, morrer com Cristo significava não apenas suportar a prisão e outras dificuldades por Cristo, mas também abrir mão de todos os aspectos valorizados de sua herança judaica.</w:t>
      </w:r>
    </w:p>
    <w:p>
      <w:pPr>
        <w:pStyle w:val="Heading4"/>
      </w:pPr>
      <w:r>
        <w:t>Pensando, regozijando, compartilhando (</w:t>
      </w:r>
      <w:hyperlink r:id="rId9515">
        <w:r>
          <w:rPr>
            <w:color w:val="0000EE"/>
            <w:u w:val="single"/>
          </w:rPr>
          <w:t>4.2–23</w:t>
        </w:r>
      </w:hyperlink>
      <w:r>
        <w:t>)</w:t>
      </w:r>
    </w:p>
    <w:p>
      <w:r/>
      <w:r>
        <w:t xml:space="preserve">O tom muda repentinamente tanto em </w:t>
      </w:r>
      <w:hyperlink r:id="rId9516">
        <w:r>
          <w:rPr>
            <w:color w:val="0000EE"/>
            <w:u w:val="single"/>
          </w:rPr>
          <w:t>Filipenses 4.2</w:t>
        </w:r>
      </w:hyperlink>
      <w:r>
        <w:t xml:space="preserve"> quanto em </w:t>
      </w:r>
      <w:hyperlink r:id="rId9517">
        <w:r>
          <w:rPr>
            <w:color w:val="0000EE"/>
            <w:u w:val="single"/>
          </w:rPr>
          <w:t>4.10</w:t>
        </w:r>
      </w:hyperlink>
      <w:r>
        <w:t xml:space="preserve">. Alguns estudiosos acreditam que um editor compilou Filipenses a partir de diferentes cartas. No entanto, quando Paulo se dirige a Evódia e Síntique em </w:t>
      </w:r>
      <w:hyperlink r:id="rId9516">
        <w:r>
          <w:rPr>
            <w:color w:val="0000EE"/>
            <w:u w:val="single"/>
          </w:rPr>
          <w:t>Filipenses 4.2</w:t>
        </w:r>
      </w:hyperlink>
      <w:r>
        <w:t xml:space="preserve">, ele não muda de assunto. A conexão com a última seção é semelhante à ligação entre </w:t>
      </w:r>
      <w:hyperlink r:id="rId9497">
        <w:r>
          <w:rPr>
            <w:color w:val="0000EE"/>
            <w:u w:val="single"/>
          </w:rPr>
          <w:t>Filipenses 1.27–30</w:t>
        </w:r>
      </w:hyperlink>
      <w:r>
        <w:t xml:space="preserve"> e o primeiro parágrafo em </w:t>
      </w:r>
      <w:hyperlink r:id="rId9476">
        <w:r>
          <w:rPr>
            <w:color w:val="0000EE"/>
            <w:u w:val="single"/>
          </w:rPr>
          <w:t>Filipenses 2</w:t>
        </w:r>
      </w:hyperlink>
      <w:r>
        <w:t>. Como os cristãos podem se manter firmes contra os inimigos da cruz de Cristo (</w:t>
      </w:r>
      <w:hyperlink r:id="rId9518">
        <w:r>
          <w:rPr>
            <w:color w:val="0000EE"/>
            <w:u w:val="single"/>
          </w:rPr>
          <w:t>Fp 3.18</w:t>
        </w:r>
      </w:hyperlink>
      <w:r>
        <w:t>) se estão divididos? Se há apenas um evangelho, a desarmonia entre os cristãos significa que o evangelho não é totalmente eficaz. Portanto, Evódia e Síntique são instadas a "viver bem uma com a outra como irmãs na fé" (</w:t>
      </w:r>
      <w:hyperlink r:id="rId9516">
        <w:r>
          <w:rPr>
            <w:color w:val="0000EE"/>
            <w:u w:val="single"/>
          </w:rPr>
          <w:t>Fp 4.2</w:t>
        </w:r>
      </w:hyperlink>
      <w:r>
        <w:t>). Elas são lembradas de sua unidade passada quando trabalharam juntas pelo evangelho (</w:t>
      </w:r>
      <w:hyperlink r:id="rId9519">
        <w:r>
          <w:rPr>
            <w:color w:val="0000EE"/>
            <w:u w:val="single"/>
          </w:rPr>
          <w:t>Fp 4.3</w:t>
        </w:r>
      </w:hyperlink>
      <w:r>
        <w:t>).</w:t>
      </w:r>
    </w:p>
    <w:p>
      <w:r/>
      <w:r>
        <w:t xml:space="preserve">Paulo os encoraja a concordar, mas isso não significa que eles devem ter as mesmas opiniões sobre tudo. Significa que eles devem compartilhar um amor comum por Cristo e pelo evangelho. No restante da carta, Paulo explica o que essa unidade significa na prática — tanto o que deveria significar quanto o que significou para os filipenses. Usar a mente é importante, e em </w:t>
      </w:r>
      <w:hyperlink r:id="rId9520">
        <w:r>
          <w:rPr>
            <w:color w:val="0000EE"/>
            <w:u w:val="single"/>
          </w:rPr>
          <w:t>Filipenses 4.4–9</w:t>
        </w:r>
      </w:hyperlink>
      <w:r>
        <w:t>, Paulo descreve a vida cristã. Ele enfatiza a oração cuidadosa e inteligente (</w:t>
      </w:r>
      <w:hyperlink r:id="rId8097">
        <w:r>
          <w:rPr>
            <w:color w:val="0000EE"/>
            <w:u w:val="single"/>
          </w:rPr>
          <w:t>Fp 4.6–7</w:t>
        </w:r>
      </w:hyperlink>
      <w:r>
        <w:t>) e o foco da mente em “tudo o que é bom e merece elogios" (</w:t>
      </w:r>
      <w:hyperlink r:id="rId9521">
        <w:r>
          <w:rPr>
            <w:color w:val="0000EE"/>
            <w:u w:val="single"/>
          </w:rPr>
          <w:t>Fp 4.8</w:t>
        </w:r>
      </w:hyperlink>
      <w:r>
        <w:t>). Esse foco levará a uma vida cheia de paz e alegria, independentemente das circunstâncias.</w:t>
      </w:r>
    </w:p>
    <w:p>
      <w:r/>
      <w:r>
        <w:t>Paulo agradece à igreja de Filipos por sua unidade e apoio, apesar de alguma desarmonia. Eles demonstraram sua unidade com Paulo enviando um presente através de Epafrodito. Paulo escreve, "vocês fizeram bem em me ajudar nas minhas aflições" (</w:t>
      </w:r>
      <w:hyperlink r:id="rId9468">
        <w:r>
          <w:rPr>
            <w:color w:val="0000EE"/>
            <w:u w:val="single"/>
          </w:rPr>
          <w:t>Fp 4.14</w:t>
        </w:r>
      </w:hyperlink>
      <w:r>
        <w:t xml:space="preserve">). Isso nos lembra do hino em </w:t>
      </w:r>
      <w:hyperlink r:id="rId5124">
        <w:r>
          <w:rPr>
            <w:color w:val="0000EE"/>
            <w:u w:val="single"/>
          </w:rPr>
          <w:t>Filipenses 2.6–11</w:t>
        </w:r>
      </w:hyperlink>
      <w:r>
        <w:t xml:space="preserve">. O evangelho fala daquele que veio do céu para carregar nossos fardos, levando ao compartilhamento mútuo. Paulo mostra uma atitude positiva em relação à sua situação: "Sei o que é estar necessitado [a mesma palavra que em </w:t>
      </w:r>
      <w:hyperlink r:id="rId7878">
        <w:r>
          <w:rPr>
            <w:color w:val="0000EE"/>
            <w:u w:val="single"/>
          </w:rPr>
          <w:t>Filipenses 2.8</w:t>
        </w:r>
      </w:hyperlink>
      <w:r>
        <w:t>] e sei também o que é ter mais do que é preciso" (</w:t>
      </w:r>
      <w:hyperlink r:id="rId9474">
        <w:r>
          <w:rPr>
            <w:color w:val="0000EE"/>
            <w:u w:val="single"/>
          </w:rPr>
          <w:t>Fp 4.12</w:t>
        </w:r>
      </w:hyperlink>
      <w:r>
        <w:t>). Estando unidos com Cristo, não nos preocupamos com nossas necessidades. Em vez disso, compartilhamos quaisquer desafios ou sucessos que ele nos proporciona, confiando que Deus suprirá todas as nossas necessidades "de acordo com as gloriosas riquezas que ele tem para oferecer por meio de Cristo Jesus". (</w:t>
      </w:r>
      <w:hyperlink r:id="rId9522">
        <w:r>
          <w:rPr>
            <w:color w:val="0000EE"/>
            <w:u w:val="single"/>
          </w:rPr>
          <w:t>Fp 4.19</w:t>
        </w:r>
      </w:hyperlink>
      <w:r>
        <w:t>).</w:t>
      </w:r>
    </w:p>
    <w:p>
      <w:r/>
      <w:r>
        <w:rPr>
          <w:i/>
        </w:rPr>
        <w:t>Veja também</w:t>
      </w:r>
      <w:r>
        <w:t xml:space="preserve"> </w:t>
      </w:r>
      <w:r>
        <w:t>Paulo, O Apóstolo</w:t>
      </w:r>
      <w:r>
        <w:t xml:space="preserve">; </w:t>
      </w:r>
      <w:r>
        <w:t>Filipos</w:t>
      </w:r>
      <w:r>
        <w:t>.</w:t>
      </w:r>
      <w:r/>
      <w:r/>
    </w:p>
    <w:p>
      <w:r/>
    </w:p>
    <w:p>
      <w:pPr>
        <w:pStyle w:val="Heading2"/>
      </w:pPr>
      <w:r>
        <w:t>Filipos</w:t>
      </w:r>
      <w:r/>
    </w:p>
    <w:p>
      <w:r/>
      <w:r>
        <w:t>Pequena vila da Trácia (conhecida no mundo antigo como "As Fontes") até cerca de 357 a.C., quando o pai de Alexandre, o Grande, Filipe II da Macedônia, conquistou o local e o reconstruiu. Ele deu à vila o seu nome ("Cidade de Filipe"), fortificou-a como uma fortaleza militar para subjugar a área e explorou as minas de ouro próximas. Duzentos anos depois, na era romana, tornou-se uma cidade principal de um dos quatro distritos romanos em que a Macedônia foi dividida. No entanto, por estar a cerca de 16 quilômetros para o interior do porto de Neápolis, seu crescimento foi limitado. A vizinha Anfípolis (sudoeste) era o centro do governo romano.</w:t>
      </w:r>
    </w:p>
    <w:p>
      <w:r/>
      <w:r>
        <w:t>Filipos ganhou fama mundial em 42 a.C. como o local onde os exércitos imperiais de Antônio e Otaviano derrotaram os generais republicanos Bruto e Cássio (os assassinos de Júlio César). A vitória abriu caminho para o surgimento do Império Romano sob o governo de Otaviano (Augusto).</w:t>
      </w:r>
    </w:p>
    <w:p>
      <w:r/>
      <w:r>
        <w:t xml:space="preserve">Veteranos da guerra de 42 a.C. e de outras batalhas comumente se estabeleceram em Filipos. Quando Paulo chegou à cidade, ela ainda refletia sua herança militar latina. Situada na Via Egnácia, era uma parada naquela grande estrada militar que conectava o Adriático ao Egeu. Possuía um orgulho cívico distinto, pois era uma colônia romana (desfrutando de inúmeros privilégios, como isenções fiscais), promovia o latim como sua língua oficial e abrigava numerosos cidadãos romanos. Seu governo era modelado na constituição municipal de Roma (seu líder ostentando títulos romanos por toda parte), e as pessoas viviam como se estivessem de fato localizadas na Itália. Como Lucas registra em </w:t>
      </w:r>
      <w:hyperlink r:id="rId9523">
        <w:r>
          <w:rPr>
            <w:color w:val="0000EE"/>
            <w:u w:val="single"/>
          </w:rPr>
          <w:t>Atos 16.21</w:t>
        </w:r>
      </w:hyperlink>
      <w:r>
        <w:t>, os cidadãos se viam como romanos.</w:t>
      </w:r>
    </w:p>
    <w:p>
      <w:r/>
      <w:r>
        <w:t>Paulo visitou a cidade em sua segunda viagem missionária e anos depois escreveu uma carta à igreja. O relato de Atos dá atenção detalhada à visita de Paulo. A narrativa refere-se regularmente à herança romana da cidade: não apenas Paulo emprega com sucesso sua cidadania romana em sua defesa (</w:t>
      </w:r>
      <w:hyperlink r:id="rId4902">
        <w:r>
          <w:rPr>
            <w:color w:val="0000EE"/>
            <w:u w:val="single"/>
          </w:rPr>
          <w:t>At 16.37</w:t>
        </w:r>
      </w:hyperlink>
      <w:r>
        <w:t xml:space="preserve">), mas os magistrados da cidade têm o digno título latino de </w:t>
      </w:r>
      <w:r>
        <w:rPr>
          <w:i/>
        </w:rPr>
        <w:t>pretor</w:t>
      </w:r>
      <w:r>
        <w:t xml:space="preserve"> (dado em sua tradução grega, </w:t>
      </w:r>
      <w:r>
        <w:rPr>
          <w:i/>
        </w:rPr>
        <w:t xml:space="preserve">strategos </w:t>
      </w:r>
      <w:r>
        <w:t xml:space="preserve">— vv. </w:t>
      </w:r>
      <w:hyperlink r:id="rId9524">
        <w:r>
          <w:rPr>
            <w:color w:val="0000EE"/>
            <w:u w:val="single"/>
          </w:rPr>
          <w:t xml:space="preserve">20–22,38 </w:t>
        </w:r>
      </w:hyperlink>
      <w:r>
        <w:t xml:space="preserve">— e que as Bíblias em português traduzem como “magistrado”). Parece ter havido uma pequena comunidade judaica aqui. A igreja começou com mulheres judias crentes que se reuniam fora da cidade porque não havia sinagoga. Mais tarde, elas se reuniram na casa de uma importante convertida chamada Lídia (vv. </w:t>
      </w:r>
      <w:hyperlink r:id="rId9525">
        <w:r>
          <w:rPr>
            <w:color w:val="0000EE"/>
            <w:u w:val="single"/>
          </w:rPr>
          <w:t>14–15,40</w:t>
        </w:r>
      </w:hyperlink>
      <w:r>
        <w:t>).</w:t>
      </w:r>
    </w:p>
    <w:p>
      <w:r/>
      <w:r>
        <w:t>Alguns sugeriram que Lucas pode ter tido um interesse especial em Filipos, demonstrado por sua atenção cuidadosa à cidade e pelas seções de “nós” no livro de Atos. A primeira seção de “nós” (quando Lucas se junta a Paulo) começa e termina em Filipos (</w:t>
      </w:r>
      <w:hyperlink r:id="rId9526">
        <w:r>
          <w:rPr>
            <w:color w:val="0000EE"/>
            <w:u w:val="single"/>
          </w:rPr>
          <w:t>At 16.10,40</w:t>
        </w:r>
      </w:hyperlink>
      <w:r>
        <w:t>). Isso sugere que Lucas ficou na cidade após a partida de Paulo. Então, na terceira viagem, Lucas se junta a Paulo novamente quando o apóstolo passa por Filipos (</w:t>
      </w:r>
      <w:hyperlink r:id="rId9527">
        <w:r>
          <w:rPr>
            <w:color w:val="0000EE"/>
            <w:u w:val="single"/>
          </w:rPr>
          <w:t>20.6</w:t>
        </w:r>
      </w:hyperlink>
      <w:r>
        <w:t>).</w:t>
      </w:r>
      <w:r/>
      <w:r/>
    </w:p>
    <w:p>
      <w:r/>
    </w:p>
    <w:p>
      <w:pPr>
        <w:pStyle w:val="Heading2"/>
      </w:pPr>
      <w:r>
        <w:t>Filístia, filisteus</w:t>
      </w:r>
      <w:r/>
    </w:p>
    <w:p>
      <w:r/>
      <w:r>
        <w:t>Pequeno país situado no sudoeste da Palestina, ao longo da costa do Mediterrâneo; povo Egeu que se estabeleceu na planície marítima de Canaã.</w:t>
      </w:r>
    </w:p>
    <w:p>
      <w:r/>
      <w:r>
        <w:t>Resumo</w:t>
      </w:r>
    </w:p>
    <w:p>
      <w:r/>
      <w:r>
        <w:t>• Território</w:t>
      </w:r>
    </w:p>
    <w:p>
      <w:r/>
      <w:r>
        <w:t>• O povo</w:t>
      </w:r>
    </w:p>
    <w:p>
      <w:r/>
      <w:r>
        <w:t>• Governo</w:t>
      </w:r>
    </w:p>
    <w:p>
      <w:r/>
      <w:r>
        <w:t>• Religião e objetos cerimoniais</w:t>
      </w:r>
    </w:p>
    <w:p>
      <w:r/>
      <w:r>
        <w:t>• Os filisteus e Israel</w:t>
      </w:r>
    </w:p>
    <w:p>
      <w:pPr>
        <w:pStyle w:val="Heading3"/>
      </w:pPr>
      <w:r>
        <w:t>Território</w:t>
      </w:r>
    </w:p>
    <w:p>
      <w:r/>
      <w:r>
        <w:t xml:space="preserve">Estritamente falando, Filístia é aquela parte da planície marítima chamada de planície de Filístia, estendendo-se do Wadi el-Arish (Rio do Egito) no sul, cerca de 112 quilômetros ao norte até o Nahr el-Aujah, 8 quilômetros ao norte de Jope. Perto de Gaza, a planície atinge sua maior largura, cerca de 48 quilômetros. Há dunas de areia perto da costa, mas a maior parte da área é muito fértil e produz uma abundância de grãos (cf. </w:t>
      </w:r>
      <w:hyperlink r:id="rId9528">
        <w:r>
          <w:rPr>
            <w:color w:val="0000EE"/>
            <w:u w:val="single"/>
          </w:rPr>
          <w:t>Jz 15.1–5</w:t>
        </w:r>
      </w:hyperlink>
      <w:r>
        <w:t>) e frutas.</w:t>
      </w:r>
    </w:p>
    <w:p>
      <w:r/>
      <w:r>
        <w:t>A principal rodovia entre o Leste e o Egito ficava ao longo da costa. Isso era uma vantagem comercial para os filisteus, mas os deixava vulneráveis a invasões estrangeiras. Deus não conduziu Israel do Egito a Canaã por essa rota mais curta através da terra dos filisteus, porque não queria que eles enfrentassem combates ferozes dos filisteus (ou talvez de uma guarnição egípcia estacionada lá) tão cedo (</w:t>
      </w:r>
      <w:hyperlink r:id="rId8836">
        <w:r>
          <w:rPr>
            <w:color w:val="0000EE"/>
            <w:u w:val="single"/>
          </w:rPr>
          <w:t>Êx 13.17</w:t>
        </w:r>
      </w:hyperlink>
      <w:r>
        <w:t>). Aparentemente, os filisteus tinham pouco a temer dos egípcios, pois alguns estudiosos pensam que os egípcios tiveram participação no estabelecimento dos filisteus na Palestina.</w:t>
      </w:r>
    </w:p>
    <w:p>
      <w:r/>
      <w:r>
        <w:t>A partir dessa área restrita, os filisteus logo sentiram a necessidade de expandir. As passagens através da Sefelá proporcionavam acesso natural à região montanhosa de Israel. Eles estabeleceram postos avançados no território israelita, e na época da batalha em que Saul e seus filhos foram mortos, os filisteus exerciam controle sobre a cidade de Bete-Seã (</w:t>
      </w:r>
      <w:hyperlink r:id="rId9529">
        <w:r>
          <w:rPr>
            <w:color w:val="0000EE"/>
            <w:u w:val="single"/>
          </w:rPr>
          <w:t>1Sm 31.10</w:t>
        </w:r>
      </w:hyperlink>
      <w:r>
        <w:t>).</w:t>
      </w:r>
    </w:p>
    <w:p>
      <w:pPr>
        <w:pStyle w:val="Heading3"/>
      </w:pPr>
      <w:r>
        <w:t>O povo</w:t>
      </w:r>
    </w:p>
    <w:p>
      <w:r/>
      <w:r>
        <w:t>A Bíblia afirma que os filisteus vieram de Caftor (</w:t>
      </w:r>
      <w:hyperlink r:id="rId2930">
        <w:r>
          <w:rPr>
            <w:color w:val="0000EE"/>
            <w:u w:val="single"/>
          </w:rPr>
          <w:t>Dt 2.23</w:t>
        </w:r>
      </w:hyperlink>
      <w:r>
        <w:t xml:space="preserve">; </w:t>
      </w:r>
      <w:hyperlink r:id="rId3993">
        <w:r>
          <w:rPr>
            <w:color w:val="0000EE"/>
            <w:u w:val="single"/>
          </w:rPr>
          <w:t>Jr 47.4</w:t>
        </w:r>
      </w:hyperlink>
      <w:r>
        <w:t xml:space="preserve">; </w:t>
      </w:r>
      <w:hyperlink r:id="rId1278">
        <w:r>
          <w:rPr>
            <w:color w:val="0000EE"/>
            <w:u w:val="single"/>
          </w:rPr>
          <w:t>Am 9.7</w:t>
        </w:r>
      </w:hyperlink>
      <w:r>
        <w:t xml:space="preserve">), geralmente considerado como Creta, embora alguns estudiosos o coloquem na Ásia Menor. A vestimenta dos filisteus, como mostrado em Medinet Habu, é semelhante à dos cretenses, especialmente o cocar. O nome dos queretitas foi equiparado aos cretenses, pois os nomes têm a mesma base consonantal: </w:t>
      </w:r>
      <w:r>
        <w:rPr>
          <w:i/>
        </w:rPr>
        <w:t>c, r,</w:t>
      </w:r>
      <w:r>
        <w:t xml:space="preserve"> e </w:t>
      </w:r>
      <w:r>
        <w:rPr>
          <w:i/>
        </w:rPr>
        <w:t>t.</w:t>
      </w:r>
      <w:r>
        <w:t xml:space="preserve"> Os queretitas eram aparentemente um subgrupo dos filisteus que viviam no Neguebe, não longe de Ziclague, lar de Davi entre os filisteus (cf. </w:t>
      </w:r>
      <w:hyperlink r:id="rId4049">
        <w:r>
          <w:rPr>
            <w:color w:val="0000EE"/>
            <w:u w:val="single"/>
          </w:rPr>
          <w:t>1Sm 30.14</w:t>
        </w:r>
      </w:hyperlink>
      <w:r>
        <w:t xml:space="preserve">). Os queretitas e os peletitas estavam entre os guarda-costas de Davi, junto com 600 geteus (homens de Gate) (cf. </w:t>
      </w:r>
      <w:hyperlink r:id="rId9530">
        <w:r>
          <w:rPr>
            <w:color w:val="0000EE"/>
            <w:u w:val="single"/>
          </w:rPr>
          <w:t>2Sm 15.19</w:t>
        </w:r>
      </w:hyperlink>
      <w:r>
        <w:t xml:space="preserve">; </w:t>
      </w:r>
      <w:hyperlink r:id="rId9531">
        <w:r>
          <w:rPr>
            <w:color w:val="0000EE"/>
            <w:u w:val="single"/>
          </w:rPr>
          <w:t>20.7,23</w:t>
        </w:r>
      </w:hyperlink>
      <w:r>
        <w:t xml:space="preserve">; </w:t>
      </w:r>
      <w:hyperlink r:id="rId9532">
        <w:r>
          <w:rPr>
            <w:color w:val="0000EE"/>
            <w:u w:val="single"/>
          </w:rPr>
          <w:t>1Cr 18.17</w:t>
        </w:r>
      </w:hyperlink>
      <w:r>
        <w:t>).</w:t>
      </w:r>
    </w:p>
    <w:p>
      <w:r/>
      <w:r>
        <w:t>O nome filisteus é reconhecível em várias línguas. Em hebraico, eles são conhecidos como os Pelishtim</w:t>
      </w:r>
      <w:r>
        <w:rPr>
          <w:i/>
        </w:rPr>
        <w:t>,</w:t>
      </w:r>
      <w:r>
        <w:t xml:space="preserve"> que foi traduzido para o português como filisteus. Nas fontes egípcias, eles estão listados entre os Povos do Mar e são chamados de </w:t>
      </w:r>
      <w:r>
        <w:rPr>
          <w:i/>
        </w:rPr>
        <w:t>Peleset</w:t>
      </w:r>
      <w:r>
        <w:t xml:space="preserve"> ou </w:t>
      </w:r>
      <w:r>
        <w:rPr>
          <w:i/>
        </w:rPr>
        <w:t>Peleste.</w:t>
      </w:r>
      <w:r>
        <w:t xml:space="preserve"> Eles são mais conhecidos por sua participação na invasão do Egito pelos Povos do Mar, que foram derrotados por Ramsés III em uma batalha terrestre e marítima no Delta. Cenas detalhadas dessa luta são mostradas em relevo profundo na parede externa norte do templo de Ramsés III em Medinet Habu, em frente a Luxor. Essas representações dão uma ideia do traje e armamento dos filisteus, que são facilmente identificados por seu cocar, feito de penas (ou juncos?).</w:t>
      </w:r>
    </w:p>
    <w:p>
      <w:r/>
      <w:r>
        <w:t>Essas pessoas se estabeleceram ao longo da costa da Palestina após serem derrotadas por Ramsés, mas é possível que algumas tenham permanecido em Canaã a caminho do Egito. Talvez uma migração anterior para a Palestina tenha ocorrido, possivelmente antes da época dos patriarcas.</w:t>
      </w:r>
    </w:p>
    <w:p>
      <w:pPr>
        <w:pStyle w:val="Heading3"/>
      </w:pPr>
      <w:r>
        <w:t>Governo</w:t>
      </w:r>
    </w:p>
    <w:p>
      <w:r/>
      <w:r>
        <w:t xml:space="preserve">Filístia não tinha um único governante sobre toda a sua terra; as cidades eram independentes, funcionando como cidades-estado. Os líderes dessas cidades não eram chamados de reis, mas na Bíblia eram mencionados como "senhores" ou "governantes" (e.g., </w:t>
      </w:r>
      <w:hyperlink r:id="rId9533">
        <w:r>
          <w:rPr>
            <w:color w:val="0000EE"/>
            <w:u w:val="single"/>
          </w:rPr>
          <w:t>1Sm 5.11</w:t>
        </w:r>
      </w:hyperlink>
      <w:r>
        <w:t xml:space="preserve">; </w:t>
      </w:r>
      <w:hyperlink r:id="rId9534">
        <w:r>
          <w:rPr>
            <w:color w:val="0000EE"/>
            <w:u w:val="single"/>
          </w:rPr>
          <w:t>6.12</w:t>
        </w:r>
      </w:hyperlink>
      <w:r>
        <w:t xml:space="preserve">; </w:t>
      </w:r>
      <w:hyperlink r:id="rId9535">
        <w:r>
          <w:rPr>
            <w:color w:val="0000EE"/>
            <w:u w:val="single"/>
          </w:rPr>
          <w:t>29.2</w:t>
        </w:r>
      </w:hyperlink>
      <w:r>
        <w:t>), e havia cinco deles, correspondendo às cinco principais cidades que compunham a Pentápolis Filisteia: Gaza, Asquelom, Asdode, Gate e Ecrom (</w:t>
      </w:r>
      <w:hyperlink r:id="rId9536">
        <w:r>
          <w:rPr>
            <w:color w:val="0000EE"/>
            <w:u w:val="single"/>
          </w:rPr>
          <w:t>1Sm 6.17</w:t>
        </w:r>
      </w:hyperlink>
      <w:r>
        <w:t xml:space="preserve">; cf. </w:t>
      </w:r>
      <w:hyperlink r:id="rId2696">
        <w:r>
          <w:rPr>
            <w:color w:val="0000EE"/>
            <w:u w:val="single"/>
          </w:rPr>
          <w:t>Jr 25.20</w:t>
        </w:r>
      </w:hyperlink>
      <w:r>
        <w:t>). O povo tinha voz em questões que lhes diziam respeito — por exemplo, o retorno da Arca da Aliança (</w:t>
      </w:r>
      <w:hyperlink r:id="rId9537">
        <w:r>
          <w:rPr>
            <w:color w:val="0000EE"/>
            <w:u w:val="single"/>
          </w:rPr>
          <w:t>1Sm 5.6–12</w:t>
        </w:r>
      </w:hyperlink>
      <w:r>
        <w:t xml:space="preserve">) — mas as grandes decisões eram tomadas por votação majoritária dos cinco senhores. Enquanto Davi e seus homens viviam em Ziclague, por exemplo, os filisteus planejaram uma grande campanha militar contra Israel. Davi estava sujeito a Aquis, rei de Gate, que pediu a Davi para se unir aos filisteus contra Israel. Davi concordou com isso, mas quando os senhores filisteus descobriram que Davi estava presente, eles reclamaram e votaram para excluí-lo (cap. </w:t>
      </w:r>
      <w:hyperlink r:id="rId9538">
        <w:r>
          <w:rPr>
            <w:color w:val="0000EE"/>
            <w:u w:val="single"/>
          </w:rPr>
          <w:t>29</w:t>
        </w:r>
      </w:hyperlink>
      <w:r>
        <w:t>).</w:t>
      </w:r>
    </w:p>
    <w:p>
      <w:pPr>
        <w:pStyle w:val="Heading3"/>
      </w:pPr>
      <w:r>
        <w:t>Religião e objetos cerimoniais</w:t>
      </w:r>
    </w:p>
    <w:p>
      <w:r/>
      <w:r>
        <w:t>Os deuses que os filisteus trouxeram com eles parecem ter sido abandonados relativamente cedo em favor das divindades cananeias. Um deus filisteu primário mencionado na Bíblia é Dagom, um deus do grão. Templos para Dagom foram encontrados em Ras Shamra (Ugarit) e Mari. A Bíblia menciona um templo de Dagom em Gaza (</w:t>
      </w:r>
      <w:hyperlink r:id="rId9539">
        <w:r>
          <w:rPr>
            <w:color w:val="0000EE"/>
            <w:u w:val="single"/>
          </w:rPr>
          <w:t>Jz 16.23–30</w:t>
        </w:r>
      </w:hyperlink>
      <w:r>
        <w:t>) e outro em Asdode (</w:t>
      </w:r>
      <w:hyperlink r:id="rId9540">
        <w:r>
          <w:rPr>
            <w:color w:val="0000EE"/>
            <w:u w:val="single"/>
          </w:rPr>
          <w:t>1Sm 5.1–5</w:t>
        </w:r>
      </w:hyperlink>
      <w:r>
        <w:t>).</w:t>
      </w:r>
    </w:p>
    <w:p>
      <w:pPr>
        <w:pStyle w:val="Heading3"/>
      </w:pPr>
      <w:r>
        <w:t>Os filisteus e Israel</w:t>
      </w:r>
    </w:p>
    <w:p>
      <w:r/>
      <w:r>
        <w:t xml:space="preserve">As várias formas de “filisteu” e “Filístia” aparecem quase 300 vezes no AT, principalmente nos livros de Juízes e Samuel. A ocorrência mais antiga está em </w:t>
      </w:r>
      <w:hyperlink r:id="rId3994">
        <w:r>
          <w:rPr>
            <w:color w:val="0000EE"/>
            <w:u w:val="single"/>
          </w:rPr>
          <w:t>Gênesis 10.14</w:t>
        </w:r>
      </w:hyperlink>
      <w:r>
        <w:t xml:space="preserve">, onde é dito que os filisteus vieram dos Casluins, um povo não identificado relacionado aos Caftorins (cf. </w:t>
      </w:r>
      <w:hyperlink r:id="rId3992">
        <w:r>
          <w:rPr>
            <w:color w:val="0000EE"/>
            <w:u w:val="single"/>
          </w:rPr>
          <w:t>1Cr 1.12</w:t>
        </w:r>
      </w:hyperlink>
      <w:r>
        <w:t>).</w:t>
      </w:r>
    </w:p>
    <w:p>
      <w:r/>
      <w:r>
        <w:t>Tanto Abraão quanto Isaque tiveram contatos com os filisteus em Gerar, em incidentes paralelos envolvendo suas esposas (</w:t>
      </w:r>
      <w:hyperlink r:id="rId91">
        <w:r>
          <w:rPr>
            <w:color w:val="0000EE"/>
            <w:u w:val="single"/>
          </w:rPr>
          <w:t>Gn 20</w:t>
        </w:r>
      </w:hyperlink>
      <w:r>
        <w:t xml:space="preserve">; </w:t>
      </w:r>
      <w:hyperlink r:id="rId9541">
        <w:r>
          <w:rPr>
            <w:color w:val="0000EE"/>
            <w:u w:val="single"/>
          </w:rPr>
          <w:t>26</w:t>
        </w:r>
      </w:hyperlink>
      <w:r>
        <w:t>). Aqui, no entanto, os filisteus não estão na costa, mas em Gerar e até o leste, em Berseba (</w:t>
      </w:r>
      <w:hyperlink r:id="rId9542">
        <w:r>
          <w:rPr>
            <w:color w:val="0000EE"/>
            <w:u w:val="single"/>
          </w:rPr>
          <w:t>26.33</w:t>
        </w:r>
      </w:hyperlink>
      <w:r>
        <w:t>). Em ambas as referências, o rei de Gerar é chamado Abimeleque — um bom nome semítico. Foi sugerido que os filisteus daquela época haviam migrado anteriormente de Creta, mas isso não foi demonstrado.</w:t>
      </w:r>
    </w:p>
    <w:p>
      <w:r/>
      <w:r>
        <w:t>Após a conquista israelita de Canaã, os filisteus começaram a exercer superioridade sobre os israelitas. Um povo agressivo e militante, os filisteus tinham a vantagem de armas superiores, pois usavam ferro e mantinham um monopólio sobre a fabricação de ferro na área. Seu controle sobre Israel permitiu-lhes proibir a metalurgia em Israel, forçando os israelitas a irem aos filisteus até mesmo para afiar ferramentas (</w:t>
      </w:r>
      <w:hyperlink r:id="rId2513">
        <w:r>
          <w:rPr>
            <w:color w:val="0000EE"/>
            <w:u w:val="single"/>
          </w:rPr>
          <w:t>1Sm 13.19–22</w:t>
        </w:r>
      </w:hyperlink>
      <w:r>
        <w:t xml:space="preserve">). Os israelitas estavam tão mal armados que apenas Saul e Jônatas tinham uma espada ou uma lança (v </w:t>
      </w:r>
      <w:hyperlink r:id="rId9543">
        <w:r>
          <w:rPr>
            <w:color w:val="0000EE"/>
            <w:u w:val="single"/>
          </w:rPr>
          <w:t>22</w:t>
        </w:r>
      </w:hyperlink>
      <w:r>
        <w:t>). Instalações para fundição de ferro foram encontradas em Asdode, Tell Qasile, Tell Jemmeh e Tel Mor.</w:t>
      </w:r>
    </w:p>
    <w:p>
      <w:r/>
      <w:r>
        <w:t>Os relevos de Medinet Habu mostram os filisteus armados com lanças e espadas longas e retas, utilizando grandes escudos redondos para proteção. Eles possuíam carruagens para três homens com rodas de seis raios e transportavam pessoas em carros sólidos de duas rodas puxados por quatro bois. Seus navios eram equipados com uma vela quadrada, semelhante à dos egípcios, e tinham uma proa em forma de pato, que possivelmente era usada para arremeter contra embarcações inimigas.</w:t>
      </w:r>
    </w:p>
    <w:p>
      <w:r/>
      <w:r>
        <w:t>A apostasia surgiu cedo em Israel, e o Senhor usou os filisteus para castigar seu povo. Sangar libertou Israel matando 600 filisteus com uma aguilhada de boi (</w:t>
      </w:r>
      <w:hyperlink r:id="rId9544">
        <w:r>
          <w:rPr>
            <w:color w:val="0000EE"/>
            <w:u w:val="single"/>
          </w:rPr>
          <w:t>Jz 3.31</w:t>
        </w:r>
      </w:hyperlink>
      <w:r>
        <w:t>). O relato de Sansão contém muitos elementos da vida filisteia (</w:t>
      </w:r>
      <w:hyperlink r:id="rId6477">
        <w:r>
          <w:rPr>
            <w:color w:val="0000EE"/>
            <w:u w:val="single"/>
          </w:rPr>
          <w:t>13.1–16.31</w:t>
        </w:r>
      </w:hyperlink>
      <w:r>
        <w:t>). Este registro demonstra que havia casamentos entre israelitas e filisteus, o que era contrário à lei do AT.</w:t>
      </w:r>
    </w:p>
    <w:p>
      <w:r/>
      <w:r>
        <w:t xml:space="preserve">A guerra entre Israel e os filisteus é relatada em </w:t>
      </w:r>
      <w:hyperlink r:id="rId474">
        <w:r>
          <w:rPr>
            <w:color w:val="0000EE"/>
            <w:u w:val="single"/>
          </w:rPr>
          <w:t>1 Samuel 4.1</w:t>
        </w:r>
      </w:hyperlink>
      <w:r>
        <w:t>, quando os israelitas estavam acampados em Ebenezer e os filisteus em Afeca. Os filisteus venceram aquela batalha e capturaram a Arca da Aliança (</w:t>
      </w:r>
      <w:hyperlink r:id="rId9545">
        <w:r>
          <w:rPr>
            <w:color w:val="0000EE"/>
            <w:u w:val="single"/>
          </w:rPr>
          <w:t>1Sm 4.17</w:t>
        </w:r>
      </w:hyperlink>
      <w:r>
        <w:t>), que eles devolveram após sete meses porque o Senhor enviou pragas sobre eles (</w:t>
      </w:r>
      <w:hyperlink r:id="rId2456">
        <w:r>
          <w:rPr>
            <w:color w:val="0000EE"/>
            <w:u w:val="single"/>
          </w:rPr>
          <w:t>5.1–6.21</w:t>
        </w:r>
      </w:hyperlink>
      <w:r>
        <w:t xml:space="preserve">). Mais tarde, quando Samuel se tornou líder, os filisteus atacaram Israel em Mispa, mas Deus deu a vitória a Israel. Nessa ocasião, Samuel ergueu uma pedra memorial e a chamou de Ebenezer (“Pedra de Ajuda”, </w:t>
      </w:r>
      <w:hyperlink r:id="rId9546">
        <w:r>
          <w:rPr>
            <w:color w:val="0000EE"/>
            <w:u w:val="single"/>
          </w:rPr>
          <w:t>7.12</w:t>
        </w:r>
      </w:hyperlink>
      <w:r>
        <w:t xml:space="preserve">). Os filisteus não invadiram Israel novamente durante a vida de Samuel, e Israel recuperou cidades que haviam sido tomadas pelos filisteus (v </w:t>
      </w:r>
      <w:hyperlink r:id="rId1241">
        <w:r>
          <w:rPr>
            <w:color w:val="0000EE"/>
            <w:u w:val="single"/>
          </w:rPr>
          <w:t>14</w:t>
        </w:r>
      </w:hyperlink>
      <w:r>
        <w:t>).</w:t>
      </w:r>
    </w:p>
    <w:p>
      <w:r/>
      <w:r>
        <w:t xml:space="preserve">A maior atividade dos filisteus em território israelita ocorreu durante o reinado de Saul, o primeiro rei de Israel. Mais de 80 referências aos filisteus estão relacionadas a esse período. Os filisteus estabeleceram postos avançados ou guarnições em várias partes de Israel (cf. </w:t>
      </w:r>
      <w:hyperlink r:id="rId9547">
        <w:r>
          <w:rPr>
            <w:color w:val="0000EE"/>
            <w:u w:val="single"/>
          </w:rPr>
          <w:t>1Sm 10.5</w:t>
        </w:r>
      </w:hyperlink>
      <w:r>
        <w:t xml:space="preserve">; </w:t>
      </w:r>
      <w:hyperlink r:id="rId9548">
        <w:r>
          <w:rPr>
            <w:color w:val="0000EE"/>
            <w:u w:val="single"/>
          </w:rPr>
          <w:t>13.3</w:t>
        </w:r>
      </w:hyperlink>
      <w:r>
        <w:t>). Jônatas derrotou a guarnição em Geba (</w:t>
      </w:r>
      <w:hyperlink r:id="rId9548">
        <w:r>
          <w:rPr>
            <w:color w:val="0000EE"/>
            <w:u w:val="single"/>
          </w:rPr>
          <w:t>13.3</w:t>
        </w:r>
      </w:hyperlink>
      <w:r>
        <w:t xml:space="preserve">); sua façanha relatada em </w:t>
      </w:r>
      <w:hyperlink r:id="rId9549">
        <w:r>
          <w:rPr>
            <w:color w:val="0000EE"/>
            <w:u w:val="single"/>
          </w:rPr>
          <w:t>1 Samuel 14.1–15</w:t>
        </w:r>
      </w:hyperlink>
      <w:r>
        <w:t xml:space="preserve"> levou a uma derrota dos filisteus.</w:t>
      </w:r>
    </w:p>
    <w:p>
      <w:r/>
      <w:r>
        <w:t>Um confronto entre os exércitos dos filisteus e dos Israelitas ocorreu no Vale de Elá, onde os Filisteus desafiaram Israel a fornecer um oponente para enfrentar seu campeão, Golias, em combate singular (</w:t>
      </w:r>
      <w:hyperlink r:id="rId9550">
        <w:r>
          <w:rPr>
            <w:color w:val="0000EE"/>
            <w:u w:val="single"/>
          </w:rPr>
          <w:t>1Sm 17.1–11</w:t>
        </w:r>
      </w:hyperlink>
      <w:r>
        <w:t>). O jovem pastor Davi matou Golias; Davi tornou-se um herói, mas o ciúme de Saul fez de Davi um homem perseguido. Enquanto fugia do exército de Saul, os homens de Davi resgataram a cidade de Queila dos filisteus (</w:t>
      </w:r>
      <w:hyperlink r:id="rId9551">
        <w:r>
          <w:rPr>
            <w:color w:val="0000EE"/>
            <w:u w:val="single"/>
          </w:rPr>
          <w:t>23.1–5</w:t>
        </w:r>
      </w:hyperlink>
      <w:r>
        <w:t xml:space="preserve">). Eventualmente, Davi buscou asilo político com Aquis, rei de Gate, que lhe deu a cidade de Ziclague, de onde Davi fez incursões no Neguebe (cap </w:t>
      </w:r>
      <w:hyperlink r:id="rId6575">
        <w:r>
          <w:rPr>
            <w:color w:val="0000EE"/>
            <w:u w:val="single"/>
          </w:rPr>
          <w:t>27</w:t>
        </w:r>
      </w:hyperlink>
      <w:r>
        <w:t>).</w:t>
      </w:r>
    </w:p>
    <w:p>
      <w:r/>
      <w:r>
        <w:t>Quando os filisteus estavam se preparando para a guerra contra Israel, Aquis pediu a Davi para se juntar às forças dos filisteus, e Davi concordou. No entanto, os senhores dos filisteus votaram contra essa participação, pois temiam que Davi se voltasse contra eles (</w:t>
      </w:r>
      <w:hyperlink r:id="rId9552">
        <w:r>
          <w:rPr>
            <w:color w:val="0000EE"/>
            <w:u w:val="single"/>
          </w:rPr>
          <w:t>1Sm 28.1–2</w:t>
        </w:r>
      </w:hyperlink>
      <w:r>
        <w:t xml:space="preserve">; </w:t>
      </w:r>
      <w:hyperlink r:id="rId9538">
        <w:r>
          <w:rPr>
            <w:color w:val="0000EE"/>
            <w:u w:val="single"/>
          </w:rPr>
          <w:t>29</w:t>
        </w:r>
      </w:hyperlink>
      <w:r>
        <w:t>). Na batalha que se seguiu, Saul e seus filhos foram mortos no Monte Gilboa pelos filisteus (</w:t>
      </w:r>
      <w:hyperlink r:id="rId9553">
        <w:r>
          <w:rPr>
            <w:color w:val="0000EE"/>
            <w:u w:val="single"/>
          </w:rPr>
          <w:t>31.1–7</w:t>
        </w:r>
      </w:hyperlink>
      <w:r>
        <w:t xml:space="preserve">). Os filisteus cortaram a cabeça de Saul, colocaram sua armadura no templo de Astarote em Bete-Seã e penduraram seu corpo na muralha daquela cidade (vv </w:t>
      </w:r>
      <w:hyperlink r:id="rId9554">
        <w:r>
          <w:rPr>
            <w:color w:val="0000EE"/>
            <w:u w:val="single"/>
          </w:rPr>
          <w:t>8–11</w:t>
        </w:r>
      </w:hyperlink>
      <w:r>
        <w:t>).</w:t>
      </w:r>
    </w:p>
    <w:p>
      <w:r/>
      <w:r>
        <w:t>Quando os filisteus souberam que Davi havia se tornado rei, fizeram um esforço para destruí-lo, mas ele os derrotou "de Geba a Gezer" (</w:t>
      </w:r>
      <w:hyperlink r:id="rId9555">
        <w:r>
          <w:rPr>
            <w:color w:val="0000EE"/>
            <w:u w:val="single"/>
          </w:rPr>
          <w:t>2Sm 5.17–25</w:t>
        </w:r>
      </w:hyperlink>
      <w:r>
        <w:t>). Davi quebrou o poder dos filisteus, e embora eles tenham tentado novamente guerrear contra Israel, não tiveram sucesso (</w:t>
      </w:r>
      <w:hyperlink r:id="rId9556">
        <w:r>
          <w:rPr>
            <w:color w:val="0000EE"/>
            <w:u w:val="single"/>
          </w:rPr>
          <w:t>21.15–21</w:t>
        </w:r>
      </w:hyperlink>
      <w:r>
        <w:t>).</w:t>
      </w:r>
    </w:p>
    <w:p>
      <w:r/>
      <w:r>
        <w:t>Uzias guerreou contra os filisteus; ele derrubou os muros de Gate, Jabne e Asdode e construiu cidades na Filístia (</w:t>
      </w:r>
      <w:hyperlink r:id="rId9557">
        <w:r>
          <w:rPr>
            <w:color w:val="0000EE"/>
            <w:u w:val="single"/>
          </w:rPr>
          <w:t>2Cr 26.6–7</w:t>
        </w:r>
      </w:hyperlink>
      <w:r>
        <w:t>). No reinado de Acaz, os filisteus invadiram a Sefelá e o Neguebe e capturaram várias cidades (</w:t>
      </w:r>
      <w:hyperlink r:id="rId9558">
        <w:r>
          <w:rPr>
            <w:color w:val="0000EE"/>
            <w:u w:val="single"/>
          </w:rPr>
          <w:t>28.18</w:t>
        </w:r>
      </w:hyperlink>
      <w:r>
        <w:t>). Ezequias lutou contra os filisteus até Gaza (</w:t>
      </w:r>
      <w:hyperlink r:id="rId8875">
        <w:r>
          <w:rPr>
            <w:color w:val="0000EE"/>
            <w:u w:val="single"/>
          </w:rPr>
          <w:t>2Rs 18.8</w:t>
        </w:r>
      </w:hyperlink>
      <w:r>
        <w:t>).</w:t>
      </w:r>
    </w:p>
    <w:p>
      <w:r/>
      <w:r>
        <w:t>As referências aos filisteus nos profetas são relativamente poucas, embora Jeremias dedique um curto capítulo aos filisteus (</w:t>
      </w:r>
      <w:hyperlink r:id="rId9559">
        <w:r>
          <w:rPr>
            <w:color w:val="0000EE"/>
            <w:u w:val="single"/>
          </w:rPr>
          <w:t>Jr 47</w:t>
        </w:r>
      </w:hyperlink>
      <w:r>
        <w:t>). Os filisteus foram gradualmente assimilados à cultura cananeia e desapareceram das páginas da Bíblia e da história secular, deixando o nome Palestina como um monumento à sua presença.</w:t>
      </w:r>
      <w:r/>
      <w:r/>
    </w:p>
    <w:p>
      <w:r/>
    </w:p>
    <w:p>
      <w:pPr>
        <w:pStyle w:val="Heading2"/>
      </w:pPr>
      <w:r>
        <w:t>Filo, Judeu</w:t>
      </w:r>
      <w:r/>
    </w:p>
    <w:p>
      <w:r/>
      <w:r>
        <w:t>Filósofo judeu helenístico (c. 25 a.C.– 40 d.C.) cujo pensamento apresenta o primeiro grande confronto da fé bíblica com o pensamento grego.</w:t>
      </w:r>
    </w:p>
    <w:p>
      <w:r/>
      <w:r>
        <w:t xml:space="preserve">Filho de uma proeminente família alexandrina, Filo foi educado tanto na fé judaica quanto na filosofia e cultura grega. Dos eventos de sua vida, sabemos pouco, exceto que em 40 d.C. ele liderou uma delegação da comunidade judaica em Alexandria ao Imperador Calígula em Roma. A tensão étnica em Alexandria havia crescido à medida que a população judaica aumentava e prosperava. A tensão eclodiu em 42 d.C. em tumultos pelos gregos e na expulsão dos judeus das seções gentias nas quais eles haviam se espalhado. O sucesso comercial dos judeus, particularmente no comércio de trigo, levou a um anti-semitismo intensificado. Dos tumultos surgiram dois tratados apologéticos de Filo Judeu, </w:t>
      </w:r>
      <w:r>
        <w:rPr>
          <w:i/>
        </w:rPr>
        <w:t>Contra Flaco</w:t>
      </w:r>
      <w:r>
        <w:t xml:space="preserve"> (Flaco estava governando em Alexandria) e </w:t>
      </w:r>
      <w:r>
        <w:rPr>
          <w:i/>
        </w:rPr>
        <w:t>Embaixada a Calígula</w:t>
      </w:r>
      <w:r>
        <w:t xml:space="preserve"> (Calígula era Imperador em Roma).</w:t>
      </w:r>
    </w:p>
    <w:p>
      <w:r/>
      <w:r>
        <w:t>A comunidade judaica em Alexandria estava completamente helenizada. Até mesmo as Escrituras eram lidas na tradução grega chamada Septuaginta. Apesar de esses judeus viverem e participarem da cultura grega, eles permaneciam ortodoxos. Filo não era exceção. Por um lado, ele observava cuidadosamente a lei mosaica e sustentava que ela é a vontade infalivelmente revelada de Deus, tanto para o povo escolhido de Deus — os judeus — quanto para os gentios. Por outro lado, Filo era muito grego. Provavelmente conhecia o hebraico apenas de forma imperfeita e recebeu uma educação liberal sob tutores gregos. Sua Bíblia era o AT, especialmente o Pentateuco, que ele considerava mais autoritativo, mas ele a lia na tradução grega. Porque ele acreditava que a Septuaginta era divinamente inspirada, Filo não tinha necessidade de se referir ao texto hebraico original.</w:t>
      </w:r>
    </w:p>
    <w:p>
      <w:r/>
      <w:r>
        <w:t>Para entender o trabalho de Filo, é preciso reconhecer que a necessidade de chegar a um acordo com a cultura grega não surgiu apenas de uma necessidade prática, mas também do fato de que o judaísmo é uma religião missionária. Os judeus não podiam simplesmente virar as costas para o mundo grego, pois os profetas haviam chamado Israel para ser uma luz para os gentios. A partir de seus estudos, Filo também estava convencido de que há muito de verdadeiro na filosofia grega. Consequentemente, ele estava ansioso para encontrar alguma maneira de correlacionar e harmonizar a verdade revelada biblicamente com os ensinamentos dos filósofos. Como um crente judeu considerando as reivindicações da filosofia grega, Filo foi confrontado com problemas muito semelhantes aos que um cristão enfrenta com as teorias científicas da evolução em nossos dias.</w:t>
      </w:r>
    </w:p>
    <w:p>
      <w:r/>
      <w:r>
        <w:t>O método que Filo usou para harmonizar as Escrituras com os ensinamentos dos filósofos foi a interpretação alegórica. Este método de interpretação já havia sido praticado por muitos antes de Filo, e muitos outros seguiram seu exemplo. Através do uso deste método, Gênesis poderia ser lido como um mito contemporâneo sobre a condição humana e a busca do homem pela salvação, em vez de uma lenda antiga e um tanto rude (como os gregos a veriam). A leitura adequada do texto não oferece história e geografia antigas, mas sim verdade filosófica e moral. Segundo Filo, Moisés — tanto porque foi divinamente instruído quanto porque alcançou o auge da filosofia — não recorreu a ficções míticas, como fazem poetas e sofistas; ele foi capaz de tornar as ideias visíveis. Usando a interpretação alegórica, Filo encontrou no relato histórico e na lei cerimonial um significado interior e espiritual que incorpora a verdade que ele encontrou no pensamento grego.</w:t>
      </w:r>
    </w:p>
    <w:p>
      <w:r/>
      <w:r>
        <w:t>Ao lidar com a concepção de Deus, Filo abordou as visões gregas de forma crítica e rejeitou o que era contrário às Escrituras. No entanto, ao lidar com a estrutura e composição do mundo, as Escrituras são bastante vagas, e assim Filo se sentiu livre para adotar o que parecia mais razoável nos escritos dos filósofos. Ele acreditava que Deus é a fonte tanto da lei mosaica quanto das verdades da filosofia grega. A mente humana é feita à imagem do Logos divino, e por isso tem alguma capacidade de receber e descobrir verdades sobre realidades que vão além do que se sente.</w:t>
      </w:r>
    </w:p>
    <w:p>
      <w:r/>
      <w:r>
        <w:t>Entre os filósofos, Filo encontrou a visão de Platão mais próxima da verdade. Deus existiu desde a eternidade sem um mundo, e depois de criar o mundo, continuou a existir acima e além dele. Deus é a causa ativa, e este mundo é passivo, incapaz de vida e movimento por si só, mas uma obra-prima perfeita quando posto em movimento, moldado e vivificado por Deus. Além disso, Deus não negligencia sua criação, mas cuida dela e a preserva. Este cuidado é chamado de providência. Enquanto os gregos falavam de uma providência universal que preserva os processos naturais, para Filo a providência adquiriu um novo significado. É o cuidado de Deus por seres individuais, de modo que inclui o poder de suspender as leis da natureza.</w:t>
      </w:r>
    </w:p>
    <w:p>
      <w:r/>
      <w:r>
        <w:t>Deus é um, mas é a fonte de toda multiplicidade. Ele é imutável e autossuficiente e, portanto, não precisa do mundo. A criação tem sua origem em sua bondade. Embora Moisés tenha dito que o mundo foi criado em seis dias, Deus deve ser pensado como fazendo todas as coisas simultaneamente. O relato de seis dias serve para mostrar que há ordem nas coisas. O mundo visível foi criado a partir do não-ser, do nada. Toda a matéria disponível foi usada na criação, então o mundo é único. O mundo foi criado pela vontade de Deus e pode ser imperecível. Filo pensava que Platão seguiu Moisés ao pensar que o mundo foi criado por Deus.</w:t>
      </w:r>
    </w:p>
    <w:p>
      <w:r/>
      <w:r>
        <w:t>Quanto à doutrina do Logos, Filo é tanto dependente quanto crítico dos filósofos gregos. Platão afirmou que existem ideias eternas às quais o Artesão ou Criador olhou ao formar o mundo. Filo não podia aceitar essa posição, porque somente Deus é eterno. Ele harmonizou as duas visões afirmando que, desde a eternidade, as ideias existiam como pensamentos de Deus, mas se tornaram um mundo inteligível totalmente formado apenas quando Deus quis criar o mundo visível. O universo das ideias, que não tem localização além da razão divina, é o padrão segundo o qual o mundo sensível foi feito.</w:t>
      </w:r>
    </w:p>
    <w:p>
      <w:r/>
      <w:r>
        <w:t>Para Filo, o Logos é muito mais do que apenas o instrumento pelo qual o mundo visível foi feito. Também é descrito como "a ideia das ideias", o Filho primogênito do Pai incriado e "Segundo Deus", o arquétipo da razão humana. O Logos é o poder vital que mantém unida toda a hierarquia dos seres criados. Como vice-rei de Deus, ele medeia a revelação para a ordem criada. Ele está na fronteira entre Criador e criatura. Ele é o sumo sacerdote que intercede com Deus em nome dos mortais. Ele apareceu na sarça ardente e habitou em Moisés. Alguns pensam que o Logos é Deus, mas ele é realmente a imagem de Deus. Embora se possa ter certeza de que o Logos não era uma pessoa para Filo, o status exato desse poder em relação a Deus não é de forma alguma claro.</w:t>
      </w:r>
    </w:p>
    <w:p>
      <w:r/>
      <w:r>
        <w:t xml:space="preserve">Vários aspectos deste ensino foram abordados por escritores cristãos, mais notavelmente João, que ensinou que o Logos (a Palavra) é o instrumento pelo qual Deus criou o mundo (veja </w:t>
      </w:r>
      <w:hyperlink r:id="rId9560">
        <w:r>
          <w:rPr>
            <w:color w:val="0000EE"/>
            <w:u w:val="single"/>
          </w:rPr>
          <w:t>Jo 1.1–4</w:t>
        </w:r>
      </w:hyperlink>
      <w:r>
        <w:t>). Sobre as origens desta visão, muito menos se sabe. Parece que a noção do Logos era corrente no judaísmo helenístico. Sua função no pensamento de Filo parece indicar que foram considerações filosóficas, em vez de bíblicas, que foram mais significativas em seu ensino.</w:t>
      </w:r>
    </w:p>
    <w:p>
      <w:r/>
      <w:r>
        <w:t>Filo tinha outras visões sobre a criação. Ele acreditava que, enquanto os corpos celestes são criaturas vivas dotadas de mente e não suscetíveis ao mal, o homem tem uma natureza mista, sujeita ao fracasso. Ele pode ser tanto sábio quanto tolo, justo e injusto. Deus fez todas as coisas boas por si mesmo, mas o homem, porque é suscetível tanto ao bem quanto ao mal, deve ter sido feito por deidades menores. É por isso que somos informados por Moisés que Deus disse: “</w:t>
      </w:r>
      <w:r>
        <w:rPr>
          <w:i/>
        </w:rPr>
        <w:t>Façamos</w:t>
      </w:r>
      <w:r>
        <w:t xml:space="preserve"> o homem” (</w:t>
      </w:r>
      <w:hyperlink r:id="rId9561">
        <w:r>
          <w:rPr>
            <w:color w:val="0000EE"/>
            <w:u w:val="single"/>
          </w:rPr>
          <w:t>Gn 1.26</w:t>
        </w:r>
      </w:hyperlink>
      <w:r>
        <w:t>, ênfase adicionada). No caso do homem, então, ser criado envolveu uma Queda. Aqui também há dois passos na Criação. Primeiro, há o homem criado à imagem divina, e isso é uma ideia ou tipo, um objeto apenas de pensamento, incorpóreo, nem masculino nem feminino, e por natureza incorruptível (</w:t>
      </w:r>
      <w:hyperlink r:id="rId9561">
        <w:r>
          <w:rPr>
            <w:color w:val="0000EE"/>
            <w:u w:val="single"/>
          </w:rPr>
          <w:t>Gn 1.26</w:t>
        </w:r>
      </w:hyperlink>
      <w:r>
        <w:t>). Mais tarde, diz que “Deus formou o homem do pó da terra e soprou em suas narinas o fôlego da vida” (</w:t>
      </w:r>
      <w:hyperlink r:id="rId292">
        <w:r>
          <w:rPr>
            <w:color w:val="0000EE"/>
            <w:u w:val="single"/>
          </w:rPr>
          <w:t>Gn 2.7</w:t>
        </w:r>
      </w:hyperlink>
      <w:r>
        <w:t>). Este homem tornou-se um objeto de percepção sensorial, consistindo de corpo e alma, homem ou mulher, por natureza mortal. A mulher tornou-se para o homem o início de uma vida censurável. Quando o homem e a mulher se viram, o desejo foi despertado, e esse desejo produziu prazer corporal. Este prazer é o início dos erros e da violação da lei. O Jardim do Éden também deve ser interpretado simbolicamente em vez de literalmente. Nunca houve árvores da vida ou de entendimento, nem é provável que alguma vez apareçam na terra. A árvore da vida significa reverência a Deus; a árvore do conhecimento do bem e do mal significa prudência moral.</w:t>
      </w:r>
    </w:p>
    <w:p>
      <w:r/>
      <w:r>
        <w:t>Vê-se em Filo, então, uma tendência ao dualismo em que o espírito é bom e a matéria é má, uma tendência derivada do platonismo e lida no AT. Isso levou Filo a concordar com os estóicos que o único bem é o bem da alma. Deus nos dá o mundo para usar, não para possuir. Para ascender ao mundo eterno da mente, um homem deve suprimir todas as respostas ao mundo sensível. Em geral, Filo tendia a um ascetismo que negava o mundo.</w:t>
      </w:r>
    </w:p>
    <w:p>
      <w:r/>
      <w:r>
        <w:t>O único templo digno de Deus é uma alma pura. A verdadeira religião consiste na devoção interior em vez de aspectos externos. Nesta vida, a alma é uma peregrina, como Abraão ou como os israelitas vagando no deserto. Através da autodisciplina espiritual, a alma percebe que o corpo é um grande obstáculo à perfeição. O objetivo desta espiritualidade é aproximar-se de Deus, que atraiu a mente para si. Deus é cognoscível pela mente, mas é incognoscível em si mesmo. Podemos saber apenas que ele é, não o que ele é. Para Filo, a alma em sua busca pela perfeição acaba descobrindo que deve deixar de confiar em si mesma e deve reconhecer que a virtude é um dom de Deus. O homem que descobriu suas próprias limitações vem a conhecer Deus e sua própria dependência de Deus.</w:t>
      </w:r>
    </w:p>
    <w:p>
      <w:r/>
      <w:r>
        <w:t>Embora Josefo tenha emprestado algo de Filo, a maior influência de Filo foi sobre os escritores cristãos. O judaísmo helenístico tornou-se menos significativo à medida que o judaísmo dos rabinos se tornou a norma durante os dois séculos seguintes. Em contraste, os cristãos dos séculos segundo e terceiro tinham muito em comum com Filo. Partes de sua obra foram traduzidas para o latim e armênio. Clemente e Orígenes, entre os pais gregos, e Ambrósio, entre os pais latinos, foram especialmente devedores a ele.</w:t>
      </w:r>
      <w:r/>
      <w:r/>
    </w:p>
    <w:p>
      <w:r/>
    </w:p>
    <w:p>
      <w:pPr>
        <w:pStyle w:val="Heading2"/>
      </w:pPr>
      <w:r>
        <w:t>Filosofia</w:t>
      </w:r>
      <w:r/>
    </w:p>
    <w:p>
      <w:r/>
      <w:r>
        <w:t>Filosofia significa 'amor à sabedoria'. É uma maneira de pensar cuidadosamente sobre as questões fundamentais da vida. Os filósofos buscam encontrar sabedoria, compreendê-la e explicar por que ela é importante.</w:t>
      </w:r>
    </w:p>
    <w:p>
      <w:pPr>
        <w:pStyle w:val="Heading3"/>
      </w:pPr>
      <w:r>
        <w:t>Filosofia na Bíblia</w:t>
      </w:r>
    </w:p>
    <w:p>
      <w:r/>
      <w:r>
        <w:t>A palavra 'filosofia' aparece apenas uma vez na Bíblia. No entanto, no mundo grego antigo, tanto o judaísmo quanto o cristianismo eram vistos como tipos de filosofia. Os filósofos gregos referiam-se aos judeus como um povo filosófico porque a religião bíblica, ao contrário da religião grega, tenta explicar a totalidade da realidade e fornece orientações claras sobre como viver.</w:t>
      </w:r>
    </w:p>
    <w:p>
      <w:r/>
      <w:r>
        <w:t xml:space="preserve">A palavra "filosofia" aparece apenas uma vez na Bíblia, em </w:t>
      </w:r>
      <w:hyperlink r:id="rId9562">
        <w:r>
          <w:rPr>
            <w:color w:val="0000EE"/>
            <w:u w:val="single"/>
          </w:rPr>
          <w:t>Colossenses 2.8–10</w:t>
        </w:r>
      </w:hyperlink>
      <w:r>
        <w:t>. Neste trecho, Paulo explica que existem dois tipos diferentes de filosofia. Um tipo segue os ensinamentos de Cristo, enquanto o outro segue a tradição humana, ou “espíritos que dominam o Universo”. Paulo adverte os Colossenses a não seguirem tradições humanas vazias ou forças espirituais básicas do mundo.</w:t>
      </w:r>
    </w:p>
    <w:p>
      <w:r/>
      <w:r>
        <w:t>Em vez disso, ele quer que eles sigam o modo de pensar de Cristo. Isso porque Cristo, que é totalmente Deus em forma humana, oferece verdadeira sabedoria. Ao contrário das forças espirituais básicas que algumas pessoas seguiam, Cristo é "o cabeça sobre todo governante e autoridade". Paulo não diz que toda filosofia é ruim. Em vez disso, ele ensina que a melhor filosofia vem de seguir os ensinamentos de Cristo, que são a base para sabedoria e filosofia.</w:t>
      </w:r>
    </w:p>
    <w:p>
      <w:r/>
      <w:r>
        <w:t>Em contraste com os simples “espíritos elementares”, Cristo é o “cabeça de todo governo e autoridade”. Ele é a maior fonte de verdade e justiça. A disciplina da filosofia não é condenada, pois a alternativa ao engano e à tradição humana é a “filosofia... segundo Cristo”.</w:t>
      </w:r>
    </w:p>
    <w:p>
      <w:r/>
      <w:r>
        <w:t>A filosofia como uma forma formal de pensar começou na Grécia após o Antigo Testamento ser escrito. É por isso que não encontramos a palavra "filosofia" no Antigo Testamento. No entanto, alguns livros no Antigo Testamento são semelhantes a livros de filosofia porque ajudam as pessoas a refletir sobre as grandes questões da vida. Por exemplo, o livro de Provérbios oferece sabedoria e conselhos para viver bem. Os livros de Jó e Eclesiastes fazem perguntas importantes sobre por que as coisas acontecem e o que dá sentido à vida.</w:t>
      </w:r>
    </w:p>
    <w:p>
      <w:pPr>
        <w:pStyle w:val="Heading3"/>
      </w:pPr>
      <w:r>
        <w:t>A influência do pensamento grego</w:t>
      </w:r>
    </w:p>
    <w:p>
      <w:r/>
      <w:r>
        <w:t>A Bíblia e a filosofia pagã de sua época tinham algumas coisas em comum. Um exemplo é a ideia de mudar a forma como se vive após aceitar novas crenças. Na época em que o Novo Testamento foi escrito, as pessoas entendiam que aceitar novas crenças significava mudar todo o seu modo de vida. Chamamos esse tipo de mudança de "conversão".</w:t>
      </w:r>
    </w:p>
    <w:p>
      <w:r/>
      <w:r>
        <w:t>Outra semelhança era a maneira como os professores compartilhavam suas ideias por meio de cartas. Antes de o Novo Testamento ser escrito, professores gregos como Platão e Isócrates escreviam cartas para explicar suas crenças e ensinar as pessoas a viver. Mais tarde, os escritores do Novo Testamento também usaram cartas para ensinar as pessoas sobre sua fé.</w:t>
      </w:r>
    </w:p>
    <w:p>
      <w:r/>
      <w:r>
        <w:t>Durante o período em que o Novo Testamento foi escrito, a filosofia era muito prática. As pessoas estudavam filosofia para aprender a viver bem. Os filósofos também dedicavam muito tempo a refletir sobre Deus, embora tivessem ideias diferentes sobre como Deus era. Naquela época, muitas pessoas buscavam duas coisas: queriam saber como viver corretamente e desejavam conhecer mais sobre Deus.</w:t>
      </w:r>
    </w:p>
    <w:p>
      <w:pPr>
        <w:pStyle w:val="Heading3"/>
      </w:pPr>
      <w:r>
        <w:t>Epicureus e estóicos</w:t>
      </w:r>
    </w:p>
    <w:p>
      <w:r/>
      <w:r>
        <w:t>Duas filosofias específicas são mencionadas no Novo Testamento: Epicurismo e Estoicismo (</w:t>
      </w:r>
      <w:hyperlink r:id="rId8094">
        <w:r>
          <w:rPr>
            <w:color w:val="0000EE"/>
            <w:u w:val="single"/>
          </w:rPr>
          <w:t>At 17.18</w:t>
        </w:r>
      </w:hyperlink>
      <w:r>
        <w:t>). Os epicureus seguiam um professor chamado Epicuro, que viveu em Atenas de cerca de 342 a 270 a.C. Epicuro ensinava às pessoas maneiras práticas de viver uma vida feliz por:</w:t>
      </w:r>
    </w:p>
    <w:p>
      <w:pPr>
        <w:pStyle w:val="ListBullet"/>
        <w:spacing w:line="240" w:lineRule="auto"/>
        <w:ind w:left="720"/>
      </w:pPr>
      <w:r/>
      <w:r>
        <w:t>Seja equilibrado em seu comportamento</w:t>
      </w:r>
    </w:p>
    <w:p>
      <w:pPr>
        <w:pStyle w:val="ListBullet"/>
        <w:spacing w:line="240" w:lineRule="auto"/>
        <w:ind w:left="720"/>
      </w:pPr>
      <w:r/>
      <w:r>
        <w:t>Construindo bons relacionamentos com os outros</w:t>
      </w:r>
    </w:p>
    <w:p>
      <w:r/>
      <w:r>
        <w:t>Epicuro pensava que tudo, incluindo as pessoas, era composto por pequenas partículas materiais chamadas átomos. Ele acreditava que esses átomos se uniam por acaso e que não havia um plano divino por trás disso.</w:t>
      </w:r>
    </w:p>
    <w:p>
      <w:r/>
      <w:r>
        <w:t>Os estóicos, assim como os epicureus, ensinavam as pessoas a viver vidas equilibradas. No entanto, tinham crenças diferentes sobre o mundo. Acreditavam que tudo acontece por uma razão e que o mundo tem um propósito. Ensinavam que esse propósito vem de algo que chamavam de Logos (ou "razão"). Acreditavam que o Logos estava em toda parte e controlava tudo.</w:t>
      </w:r>
    </w:p>
    <w:p>
      <w:r/>
      <w:r>
        <w:t>Assim como os epicureus, os estóicos acreditavam que tudo no mundo é físico ou material — incluindo pessoas, deuses e até mesmo o Logos em si. Às vezes, eles até afirmavam que o Logos era Deus.</w:t>
      </w:r>
    </w:p>
    <w:p>
      <w:r/>
      <w:r>
        <w:t>Quando Paulo estava em Atenas, ele provavelmente encontrou outro grupo de filósofos chamados "céticos acadêmicos". Esses pensadores acreditavam que os humanos não podem compreender completamente nada. Eles ensinavam que as pessoas deveriam ter cuidado ao afirmar que algo é definitivamente verdadeiro ou falso. No entanto, eles entendiam que as pessoas ainda precisam tomar decisões em suas vidas diárias. Eles também estavam muito interessados em aprender no que outras pessoas acreditavam.</w:t>
      </w:r>
    </w:p>
    <w:p>
      <w:r/>
      <w:r>
        <w:t>A Bíblia nos diz que todos em Atenas naquela época — tanto os locais quanto os visitantes — adoravam ouvir e falar sobre novas ideias (</w:t>
      </w:r>
      <w:hyperlink r:id="rId9563">
        <w:r>
          <w:rPr>
            <w:color w:val="0000EE"/>
            <w:u w:val="single"/>
          </w:rPr>
          <w:t>At 17.21</w:t>
        </w:r>
      </w:hyperlink>
      <w:r>
        <w:t>). Isso fazia de Atenas um lugar onde as pessoas gostavam de ter discussões profundas sobre diferentes crenças.</w:t>
      </w:r>
    </w:p>
    <w:p>
      <w:pPr>
        <w:pStyle w:val="Heading3"/>
      </w:pPr>
      <w:r>
        <w:t>Mensagem de Paulo para Atenas</w:t>
      </w:r>
    </w:p>
    <w:p>
      <w:r/>
      <w:r>
        <w:t>Como o povo de Atenas estava muito interessado em novas ideias, fazia sentido que Paulo compartilhasse as boas-novas sobre Jesus com eles. Ele conseguiu convencer algumas pessoas a se tornarem seguidores de Jesus.</w:t>
      </w:r>
    </w:p>
    <w:p>
      <w:r/>
      <w:r>
        <w:t>Quando Paulo falou aos atenienses, ele começou encontrando pontos em comum. Ele citou dois de seus próprios filósofos:</w:t>
      </w:r>
    </w:p>
    <w:p>
      <w:pPr>
        <w:pStyle w:val="ListBullet"/>
        <w:spacing w:line="240" w:lineRule="auto"/>
        <w:ind w:left="720"/>
      </w:pPr>
      <w:r/>
      <w:r>
        <w:t>Epimênides, que viveu nos anos 500 a.C., disse: "Nele vivemos, nos movemos e existimos"</w:t>
      </w:r>
    </w:p>
    <w:p>
      <w:pPr>
        <w:pStyle w:val="ListBullet"/>
        <w:spacing w:line="240" w:lineRule="auto"/>
        <w:ind w:left="720"/>
      </w:pPr>
      <w:r/>
      <w:r>
        <w:t>Cleantes, um estóico que viveu nos anos 200 a.C., disse: "Nós somos seus descendentes"</w:t>
      </w:r>
    </w:p>
    <w:p>
      <w:r/>
      <w:r>
        <w:t>No entanto, a maioria dos filósofos não aceitou a mensagem de Paulo. Eles estavam especialmente incomodados com duas coisas que Paulo ensinou:</w:t>
      </w:r>
    </w:p>
    <w:p>
      <w:pPr>
        <w:pStyle w:val="ListNumber"/>
        <w:spacing w:line="240" w:lineRule="auto"/>
        <w:ind w:left="720"/>
      </w:pPr>
      <w:r/>
      <w:r>
        <w:t>Que Jesus era único e especial de uma maneira que nenhuma outra pessoa jamais foi</w:t>
      </w:r>
    </w:p>
    <w:p>
      <w:pPr>
        <w:pStyle w:val="ListNumber"/>
        <w:spacing w:line="240" w:lineRule="auto"/>
        <w:ind w:left="720"/>
      </w:pPr>
      <w:r/>
      <w:r>
        <w:t>Que Jesus morreu e ressuscitou</w:t>
      </w:r>
    </w:p>
    <w:p>
      <w:r/>
      <w:r>
        <w:t>Essas ideias iam contra o que os filósofos acreditavam. Eles pensavam que, quando as pessoas morriam, era o fim — não havia retorno à vida. Isso mostra como as crenças cristãs eram diferentes das outras filosofias daquela época.</w:t>
      </w:r>
    </w:p>
    <w:p>
      <w:r/>
      <w:r>
        <w:rPr>
          <w:i/>
        </w:rPr>
        <w:t>Veja também</w:t>
      </w:r>
      <w:r>
        <w:t xml:space="preserve"> </w:t>
      </w:r>
      <w:r>
        <w:t>Epicuristas</w:t>
      </w:r>
      <w:r>
        <w:t xml:space="preserve">; </w:t>
      </w:r>
      <w:r>
        <w:t>Estoicismo, Estóicos</w:t>
      </w:r>
      <w:r>
        <w:t>.</w:t>
      </w:r>
      <w:r/>
      <w:r/>
    </w:p>
    <w:p>
      <w:r/>
    </w:p>
    <w:p>
      <w:pPr>
        <w:pStyle w:val="Heading2"/>
      </w:pPr>
      <w:r>
        <w:t>Fineias</w:t>
      </w:r>
      <w:r/>
    </w:p>
    <w:p>
      <w:pPr>
        <w:pStyle w:val="ListNumber"/>
        <w:spacing w:line="240" w:lineRule="auto"/>
        <w:ind w:left="720"/>
      </w:pPr>
      <w:r/>
      <w:r>
        <w:t>O filho de Eleazar e neto de Arão (</w:t>
      </w:r>
      <w:hyperlink r:id="rId9564">
        <w:r>
          <w:rPr>
            <w:color w:val="0000EE"/>
            <w:u w:val="single"/>
          </w:rPr>
          <w:t>Êx 6.25</w:t>
        </w:r>
      </w:hyperlink>
      <w:r>
        <w:t>). Ele também foi o pai de Abisua (</w:t>
      </w:r>
      <w:hyperlink r:id="rId9565">
        <w:r>
          <w:rPr>
            <w:color w:val="0000EE"/>
            <w:u w:val="single"/>
          </w:rPr>
          <w:t>1Cr 6.4,50</w:t>
        </w:r>
      </w:hyperlink>
      <w:r>
        <w:t>). Enquanto Eleazar servia como sumo sacerdote, Fineias estava encarregado dos porteiros do tabernáculo (</w:t>
      </w:r>
      <w:hyperlink r:id="rId9566">
        <w:r>
          <w:rPr>
            <w:color w:val="0000EE"/>
            <w:u w:val="single"/>
          </w:rPr>
          <w:t>1Cr 9.20</w:t>
        </w:r>
      </w:hyperlink>
      <w:r>
        <w:t xml:space="preserve">). Eleazar, seu pai, era encarregado dos porteiros quando Arão era o sumo sacerdote (compare </w:t>
      </w:r>
      <w:hyperlink r:id="rId7800">
        <w:r>
          <w:rPr>
            <w:color w:val="0000EE"/>
            <w:u w:val="single"/>
          </w:rPr>
          <w:t>Nm 3.32</w:t>
        </w:r>
      </w:hyperlink>
      <w:r>
        <w:t>).</w:t>
      </w:r>
    </w:p>
    <w:p>
      <w:r/>
      <w:r>
        <w:t>Quando os israelitas pecaram adorando Baal de Peor em Sitim, Fineias ficou muito irritado. Ele matou tanto um homem israelita quanto uma mulher midianita por causa de seu comportamento imoral (</w:t>
      </w:r>
      <w:hyperlink r:id="rId9567">
        <w:r>
          <w:rPr>
            <w:color w:val="0000EE"/>
            <w:u w:val="single"/>
          </w:rPr>
          <w:t>Nm 25.7</w:t>
        </w:r>
      </w:hyperlink>
      <w:r>
        <w:t>). Após essa ação, Deus não estava mais irado com Israel. Deus fez um acordo especial (aliança) de paz com Fineias, prometendo que ele e seus descendentes sempre serviriam como sacerdotes (</w:t>
      </w:r>
      <w:hyperlink r:id="rId9568">
        <w:r>
          <w:rPr>
            <w:color w:val="0000EE"/>
            <w:u w:val="single"/>
          </w:rPr>
          <w:t>Nm 25.11–13</w:t>
        </w:r>
      </w:hyperlink>
      <w:r>
        <w:t>). Este feito foi contado como justiça para Fineias por todas as gerações futuras (</w:t>
      </w:r>
      <w:hyperlink r:id="rId9569">
        <w:r>
          <w:rPr>
            <w:color w:val="0000EE"/>
            <w:u w:val="single"/>
          </w:rPr>
          <w:t>Sl 106.30</w:t>
        </w:r>
      </w:hyperlink>
      <w:r>
        <w:t xml:space="preserve">). Exceto por um curto período, quando Eli serviu como sumo sacerdote (compare </w:t>
      </w:r>
      <w:hyperlink r:id="rId9570">
        <w:r>
          <w:rPr>
            <w:color w:val="0000EE"/>
            <w:u w:val="single"/>
          </w:rPr>
          <w:t>1Sm 1–3</w:t>
        </w:r>
      </w:hyperlink>
      <w:r>
        <w:t xml:space="preserve">; </w:t>
      </w:r>
      <w:hyperlink r:id="rId9571">
        <w:r>
          <w:rPr>
            <w:color w:val="0000EE"/>
            <w:u w:val="single"/>
          </w:rPr>
          <w:t>14.3</w:t>
        </w:r>
      </w:hyperlink>
      <w:r>
        <w:t>), Fineias e seus descendentes serviram como sumos sacerdotes até que os romanos destruíram o templo de Jerusalém em 70 d.C.</w:t>
      </w:r>
    </w:p>
    <w:p>
      <w:r/>
      <w:r>
        <w:t>Após o incidente com Baal de Peor, Fineias juntou-se a Israel na luta contra os midianitas (</w:t>
      </w:r>
      <w:hyperlink r:id="rId9572">
        <w:r>
          <w:rPr>
            <w:color w:val="0000EE"/>
            <w:u w:val="single"/>
          </w:rPr>
          <w:t>Nm 31.6</w:t>
        </w:r>
      </w:hyperlink>
      <w:r>
        <w:t>). Depois que Israel tomou o controle da terra de Canaã, Fineias recebeu a cidade de Gibeá na região montanhosa de Efraim como sua herança (</w:t>
      </w:r>
      <w:hyperlink r:id="rId7815">
        <w:r>
          <w:rPr>
            <w:color w:val="0000EE"/>
            <w:u w:val="single"/>
          </w:rPr>
          <w:t>Js 24.33</w:t>
        </w:r>
      </w:hyperlink>
      <w:r>
        <w:t>). Mais tarde, ele foi enviado com alguns líderes israelitas para questionar sobre um altar que foi construído no lado oeste do rio Jordão pelas tribos israelitas que viviam no lado leste (</w:t>
      </w:r>
      <w:hyperlink r:id="rId9573">
        <w:r>
          <w:rPr>
            <w:color w:val="0000EE"/>
            <w:u w:val="single"/>
          </w:rPr>
          <w:t>Js 22.13,30–32</w:t>
        </w:r>
      </w:hyperlink>
      <w:r>
        <w:t>). Em outra ocasião, em Betel, Fineias prometeu a Israel vitória na batalha contra a tribo de Benjamim (</w:t>
      </w:r>
      <w:hyperlink r:id="rId9574">
        <w:r>
          <w:rPr>
            <w:color w:val="0000EE"/>
            <w:u w:val="single"/>
          </w:rPr>
          <w:t>Jz 20.28</w:t>
        </w:r>
      </w:hyperlink>
      <w:r>
        <w:t>). Seus descendentes, Esdras, o escriba, e Gérson, retornaram com suas famílias a Jerusalém após o exílio na Babilônia (</w:t>
      </w:r>
      <w:hyperlink r:id="rId9575">
        <w:r>
          <w:rPr>
            <w:color w:val="0000EE"/>
            <w:u w:val="single"/>
          </w:rPr>
          <w:t>Ed 7.5</w:t>
        </w:r>
      </w:hyperlink>
      <w:r>
        <w:t>;</w:t>
      </w:r>
      <w:hyperlink r:id="rId9576">
        <w:r>
          <w:rPr>
            <w:color w:val="0000EE"/>
            <w:u w:val="single"/>
          </w:rPr>
          <w:t>8.2</w:t>
        </w:r>
      </w:hyperlink>
      <w:r>
        <w:t>).</w:t>
      </w:r>
    </w:p>
    <w:p>
      <w:pPr>
        <w:pStyle w:val="ListNumber"/>
        <w:spacing w:line="240" w:lineRule="auto"/>
        <w:ind w:left="720"/>
      </w:pPr>
      <w:r/>
      <w:r>
        <w:t>Um dos dois filhos de Eli, que serviu como sacerdote em Siló (</w:t>
      </w:r>
      <w:hyperlink r:id="rId399">
        <w:r>
          <w:rPr>
            <w:color w:val="0000EE"/>
            <w:u w:val="single"/>
          </w:rPr>
          <w:t>1Sm 1.3</w:t>
        </w:r>
      </w:hyperlink>
      <w:r>
        <w:t>). De acordo com 1 Samuel, este Fineias era um sacerdote terrível. Ele e seu irmão Hofni abusaram dos sacrifícios que as pessoas ofereciam (</w:t>
      </w:r>
      <w:hyperlink r:id="rId9577">
        <w:r>
          <w:rPr>
            <w:color w:val="0000EE"/>
            <w:u w:val="single"/>
          </w:rPr>
          <w:t>1Sm 2.12–17</w:t>
        </w:r>
      </w:hyperlink>
      <w:r>
        <w:t>). Eles desrespeitaram o santuário (</w:t>
      </w:r>
      <w:hyperlink r:id="rId4180">
        <w:r>
          <w:rPr>
            <w:color w:val="0000EE"/>
            <w:u w:val="single"/>
          </w:rPr>
          <w:t>1Sm 2.22</w:t>
        </w:r>
      </w:hyperlink>
      <w:r>
        <w:t>). Eles ignoraram os avisos de seu pai Eli (</w:t>
      </w:r>
      <w:hyperlink r:id="rId9578">
        <w:r>
          <w:rPr>
            <w:color w:val="0000EE"/>
            <w:u w:val="single"/>
          </w:rPr>
          <w:t>1Sm 2.25</w:t>
        </w:r>
      </w:hyperlink>
      <w:r>
        <w:t>). Um homem de Deus disse a Eli que seu filho morreria (</w:t>
      </w:r>
      <w:hyperlink r:id="rId7865">
        <w:r>
          <w:rPr>
            <w:color w:val="0000EE"/>
            <w:u w:val="single"/>
          </w:rPr>
          <w:t>1Sm 2.34</w:t>
        </w:r>
      </w:hyperlink>
      <w:r>
        <w:t>). Mais tarde, durante uma guerra com os filisteus, Fineias foi morto no mesmo dia em que sua esposa deu à luz seu filho, que foi chamado de Icabô (</w:t>
      </w:r>
      <w:hyperlink r:id="rId9579">
        <w:r>
          <w:rPr>
            <w:color w:val="0000EE"/>
            <w:u w:val="single"/>
          </w:rPr>
          <w:t>1Sm 4.11,17–19</w:t>
        </w:r>
      </w:hyperlink>
      <w:r>
        <w:t xml:space="preserve">; </w:t>
      </w:r>
      <w:hyperlink r:id="rId9571">
        <w:r>
          <w:rPr>
            <w:color w:val="0000EE"/>
            <w:u w:val="single"/>
          </w:rPr>
          <w:t>14.3</w:t>
        </w:r>
      </w:hyperlink>
      <w:r>
        <w:t>).</w:t>
      </w:r>
    </w:p>
    <w:p>
      <w:pPr>
        <w:pStyle w:val="ListNumber"/>
        <w:spacing w:line="240" w:lineRule="auto"/>
        <w:ind w:left="720"/>
      </w:pPr>
      <w:r/>
      <w:r>
        <w:t>O pai de Eleazar. Este Eleazar ajudou Meremote e os levitas chamados Jozabade e Noadia a contar os metais valiosos e recipientes do templo durante o período após o exílio na Babilônia (</w:t>
      </w:r>
      <w:hyperlink r:id="rId7828">
        <w:r>
          <w:rPr>
            <w:color w:val="0000EE"/>
            <w:u w:val="single"/>
          </w:rPr>
          <w:t>Ed 8.33</w:t>
        </w:r>
      </w:hyperlink>
      <w:r>
        <w:t>).</w:t>
      </w:r>
      <w:r/>
      <w:r/>
    </w:p>
    <w:p>
      <w:r/>
    </w:p>
    <w:p>
      <w:pPr>
        <w:pStyle w:val="Heading2"/>
      </w:pPr>
      <w:r>
        <w:t>Firmamento</w:t>
      </w:r>
      <w:r/>
    </w:p>
    <w:p>
      <w:r/>
      <w:r>
        <w:t>Palavra bíblica para a atmosfera sobre a terra. O significado original desta palavra refere-se ao espaço que é estendido ou expandido. Os hebreus provavelmente consideravam o "firmamento" como um céu semelhante a um vazio onde estavam as nuvens, o sol e a lua.</w:t>
      </w:r>
    </w:p>
    <w:p>
      <w:r/>
      <w:r>
        <w:t>Durante o segundo dia da criação, Deus criou a atmosfera, ou firmamento, acima da terra. Ele fez isso para separar as águas abaixo dele das águas acima dele. Deus chamou o firmamento de céu (</w:t>
      </w:r>
      <w:hyperlink r:id="rId9580">
        <w:r>
          <w:rPr>
            <w:color w:val="0000EE"/>
            <w:u w:val="single"/>
          </w:rPr>
          <w:t>Gn 1.6–8</w:t>
        </w:r>
      </w:hyperlink>
      <w:r>
        <w:t xml:space="preserve">). O firmamento atmosférico serve como uma área de suporte na qual os corpos celestes existem e funcionam de acordo com os propósitos para os quais Deus os criou. No quarto dia da criação, Deus criou as luzes no firmamento. Elas deveriam distinguir noite e dia, bem como ser sinais das diferentes estações. A luz maior no firmamento, o sol, controlava os dias, enquanto a luz menor, a lua, controlava as noites (v. </w:t>
      </w:r>
      <w:hyperlink r:id="rId2808">
        <w:r>
          <w:rPr>
            <w:color w:val="0000EE"/>
            <w:u w:val="single"/>
          </w:rPr>
          <w:t>14–19</w:t>
        </w:r>
      </w:hyperlink>
      <w:r>
        <w:t>).</w:t>
      </w:r>
    </w:p>
    <w:p>
      <w:r/>
      <w:r>
        <w:t>O termo "firmamento" é mencionado duas vezes nos Salmos como o lugar da obra de Deus (</w:t>
      </w:r>
      <w:hyperlink r:id="rId6896">
        <w:r>
          <w:rPr>
            <w:color w:val="0000EE"/>
            <w:u w:val="single"/>
          </w:rPr>
          <w:t>Sl 19.1</w:t>
        </w:r>
      </w:hyperlink>
      <w:r>
        <w:t xml:space="preserve">; </w:t>
      </w:r>
      <w:hyperlink r:id="rId9581">
        <w:r>
          <w:rPr>
            <w:color w:val="0000EE"/>
            <w:u w:val="single"/>
          </w:rPr>
          <w:t>150.1</w:t>
        </w:r>
      </w:hyperlink>
      <w:r>
        <w:t>). Também ocorrendo nos livros de Ezequiel (</w:t>
      </w:r>
      <w:hyperlink r:id="rId9582">
        <w:r>
          <w:rPr>
            <w:color w:val="0000EE"/>
            <w:u w:val="single"/>
          </w:rPr>
          <w:t>Ez 1.22–26</w:t>
        </w:r>
      </w:hyperlink>
      <w:r>
        <w:t xml:space="preserve">; </w:t>
      </w:r>
      <w:hyperlink r:id="rId9583">
        <w:r>
          <w:rPr>
            <w:color w:val="0000EE"/>
            <w:u w:val="single"/>
          </w:rPr>
          <w:t>10.1</w:t>
        </w:r>
      </w:hyperlink>
      <w:r>
        <w:t>) e Daniel (</w:t>
      </w:r>
      <w:hyperlink r:id="rId9584">
        <w:r>
          <w:rPr>
            <w:color w:val="0000EE"/>
            <w:u w:val="single"/>
          </w:rPr>
          <w:t>Dn 12.3</w:t>
        </w:r>
      </w:hyperlink>
      <w:r>
        <w:t>), o firmamento está sempre relacionado à criação.</w:t>
      </w:r>
      <w:r/>
      <w:r/>
    </w:p>
    <w:p>
      <w:r/>
    </w:p>
    <w:p>
      <w:pPr>
        <w:pStyle w:val="Heading2"/>
      </w:pPr>
      <w:r>
        <w:t>Fluxo De Sangue*</w:t>
      </w:r>
      <w:r/>
    </w:p>
    <w:p>
      <w:r/>
      <w:r>
        <w:t xml:space="preserve">1. Corrimento vaginal como o que ocorre durante a menstruação. </w:t>
      </w:r>
      <w:hyperlink r:id="rId9585">
        <w:r>
          <w:rPr>
            <w:color w:val="0000EE"/>
            <w:u w:val="single"/>
          </w:rPr>
          <w:t>Lv 15</w:t>
        </w:r>
      </w:hyperlink>
      <w:r>
        <w:t xml:space="preserve"> contém leis sociais e sanitárias que Deus deu a Moisés sobre fluxos genitais. Uma mulher com sangramento vaginal era considerada cerimonialmente impura durante o sangramento e por sete dias depois. Ela não poderia ir ao tabernáculo ou templo para cultuar enquanto estivesse impura, ou se misturar com multidões na rua ou no mercado. Qualquer um que tocasse nela ou em suas roupas, cama, cadeira e similares também seria declarado cerimonialmente impuro (</w:t>
      </w:r>
      <w:hyperlink r:id="rId9586">
        <w:r>
          <w:rPr>
            <w:color w:val="0000EE"/>
            <w:u w:val="single"/>
          </w:rPr>
          <w:t>Lv 15.19–28</w:t>
        </w:r>
      </w:hyperlink>
      <w:r>
        <w:t>). A relação sexual não era permitida enquanto a mulher estava cerimonialmente impura. Sete dias após seu sangramento parar, uma mulher apresentaria ao sacerdote duas rolas ou jovens pombos como ofertas para expiar o tempo de sua impureza (</w:t>
      </w:r>
      <w:hyperlink r:id="rId9587">
        <w:r>
          <w:rPr>
            <w:color w:val="0000EE"/>
            <w:u w:val="single"/>
          </w:rPr>
          <w:t>Lv 15.29–30</w:t>
        </w:r>
      </w:hyperlink>
      <w:r>
        <w:t>).</w:t>
      </w:r>
    </w:p>
    <w:p>
      <w:r/>
      <w:r>
        <w:t>A cura milagrosa de Jesus de uma mulher que havia estado com hemorragia (lenta ou intermitentemente) por 12 anos foi registrada em três dos quatro Evangelhos (</w:t>
      </w:r>
      <w:hyperlink r:id="rId9588">
        <w:r>
          <w:rPr>
            <w:color w:val="0000EE"/>
            <w:u w:val="single"/>
          </w:rPr>
          <w:t>Mt 9.20–22</w:t>
        </w:r>
      </w:hyperlink>
      <w:r>
        <w:t xml:space="preserve">; </w:t>
      </w:r>
      <w:hyperlink r:id="rId9589">
        <w:r>
          <w:rPr>
            <w:color w:val="0000EE"/>
            <w:u w:val="single"/>
          </w:rPr>
          <w:t>Mc 5.25–34</w:t>
        </w:r>
      </w:hyperlink>
      <w:r>
        <w:t xml:space="preserve">; </w:t>
      </w:r>
      <w:hyperlink r:id="rId9590">
        <w:r>
          <w:rPr>
            <w:color w:val="0000EE"/>
            <w:u w:val="single"/>
          </w:rPr>
          <w:t>Lc 8.43–48</w:t>
        </w:r>
      </w:hyperlink>
      <w:r>
        <w:t>). Se seu sangramento fosse vaginal, os anos de impureza cerimonial e separação devem ter sido especialmente angustiantes para ela. Além de ser ansiosa e desconfortável, ela também teria sido incapaz de ter filhos. Além disso, ela havia “sofrido muito com muitos médicos” e “havia gasto tudo o que tinha para pagar por eles, mas ela havia não melhorado” (</w:t>
      </w:r>
      <w:hyperlink r:id="rId7452">
        <w:r>
          <w:rPr>
            <w:color w:val="0000EE"/>
            <w:u w:val="single"/>
          </w:rPr>
          <w:t>Mc 5.26</w:t>
        </w:r>
      </w:hyperlink>
      <w:r>
        <w:t>). Em desespero, ela ignorou as regras sobre impureza e abriu caminho por uma multidão para tocar Jesus. Quando ela o tocou, o sangramento parou imediata e permanentemente.</w:t>
      </w:r>
    </w:p>
    <w:p>
      <w:r/>
      <w:r>
        <w:t>2. Presença de sangue nas fezes. O “fluxo sangrento” (KJV) do qual o pai de Públio sofria era alguma forma de disenteria (</w:t>
      </w:r>
      <w:hyperlink r:id="rId6428">
        <w:r>
          <w:rPr>
            <w:color w:val="0000EE"/>
            <w:u w:val="single"/>
          </w:rPr>
          <w:t>At 28.8</w:t>
        </w:r>
      </w:hyperlink>
      <w:r>
        <w:t>).</w:t>
      </w:r>
    </w:p>
    <w:p>
      <w:r/>
      <w:r>
        <w:rPr>
          <w:i/>
        </w:rPr>
        <w:t>Veja também</w:t>
      </w:r>
      <w:r>
        <w:t xml:space="preserve"> </w:t>
      </w:r>
      <w:r>
        <w:t>Medicina e Prática Médica</w:t>
      </w:r>
      <w:r>
        <w:t xml:space="preserve">; </w:t>
      </w:r>
      <w:r>
        <w:t>Hemorragia</w:t>
      </w:r>
      <w:r>
        <w:t>.</w:t>
      </w:r>
      <w:r/>
      <w:r/>
    </w:p>
    <w:p>
      <w:r/>
    </w:p>
    <w:p>
      <w:pPr>
        <w:pStyle w:val="Heading2"/>
      </w:pPr>
      <w:r>
        <w:t>Fome</w:t>
      </w:r>
      <w:r/>
    </w:p>
    <w:p>
      <w:r/>
      <w:r>
        <w:t>Uma fome ocorre quando muitas pessoas em uma área não têm comida suficiente para comer, geralmente durando meses ou anos. Durante uma fome, as colheitas não crescem, e a comida se torna muito difícil de encontrar. Isso causa grande sofrimento para as pessoas que vivem nessa região.</w:t>
      </w:r>
    </w:p>
    <w:p>
      <w:r/>
      <w:r>
        <w:t>A fome sempre fez parte da vida humana, com outros desastres (como guerra e doença). Às vezes, havia chuva suficiente, mas outras vezes a chuva caía cedo demais, tarde demais ou em quantidade insuficiente (</w:t>
      </w:r>
      <w:hyperlink r:id="rId9591">
        <w:r>
          <w:rPr>
            <w:color w:val="0000EE"/>
            <w:u w:val="single"/>
          </w:rPr>
          <w:t>Lv 26.19</w:t>
        </w:r>
      </w:hyperlink>
      <w:r>
        <w:t xml:space="preserve">; </w:t>
      </w:r>
      <w:hyperlink r:id="rId9592">
        <w:r>
          <w:rPr>
            <w:color w:val="0000EE"/>
            <w:u w:val="single"/>
          </w:rPr>
          <w:t>Am 4.7–8</w:t>
        </w:r>
      </w:hyperlink>
      <w:r>
        <w:t>). As pessoas no Oriente Próximo, incluindo os israelitas, acreditavam que a fome era um julgamento de Deus. Como Deus é o Criador e Sustentador, ele controla o mundo natural. A fome não era um acidente. Quer uma fome fosse causada por falta de chuva, granizo ou qualquer outro evento, Deus era a causa.</w:t>
      </w:r>
    </w:p>
    <w:p>
      <w:pPr>
        <w:pStyle w:val="Heading4"/>
      </w:pPr>
      <w:r>
        <w:t>Quais as causas das fomes no antigo Oriente Próximo?</w:t>
      </w:r>
    </w:p>
    <w:p>
      <w:r/>
      <w:r>
        <w:t>A causa mais comum da fome era a falta de chuva. Essas fomes ocorreram no tempo de Abraão e Isaque (</w:t>
      </w:r>
      <w:hyperlink r:id="rId9593">
        <w:r>
          <w:rPr>
            <w:color w:val="0000EE"/>
            <w:u w:val="single"/>
          </w:rPr>
          <w:t>Gn 12.10</w:t>
        </w:r>
      </w:hyperlink>
      <w:r>
        <w:t xml:space="preserve">; </w:t>
      </w:r>
      <w:hyperlink r:id="rId9594">
        <w:r>
          <w:rPr>
            <w:color w:val="0000EE"/>
            <w:u w:val="single"/>
          </w:rPr>
          <w:t>26.1</w:t>
        </w:r>
      </w:hyperlink>
      <w:r>
        <w:t>). José estava muito preocupado em sobreviver às fomes no Egito (</w:t>
      </w:r>
      <w:hyperlink r:id="rId9595">
        <w:r>
          <w:rPr>
            <w:color w:val="0000EE"/>
            <w:u w:val="single"/>
          </w:rPr>
          <w:t>Gn 41–47</w:t>
        </w:r>
      </w:hyperlink>
      <w:r>
        <w:t>). O Rio Nilo era extremamente importante para o cultivo de alimentos no antigo Egito. O rio trazia água de regiões montanhosas distantes para irrigar as plantações. Se não viesse água suficiente pelo rio, as pessoas no Egito não teriam comida suficiente para comer.</w:t>
      </w:r>
    </w:p>
    <w:p>
      <w:r/>
      <w:r>
        <w:t>Além da falta de chuva, a fome também pode ser causada por:</w:t>
      </w:r>
    </w:p>
    <w:p>
      <w:pPr>
        <w:pStyle w:val="ListBullet"/>
        <w:spacing w:line="240" w:lineRule="auto"/>
        <w:ind w:left="720"/>
      </w:pPr>
      <w:r/>
      <w:r>
        <w:t>Granizo e tempestades (</w:t>
      </w:r>
      <w:hyperlink r:id="rId9596">
        <w:r>
          <w:rPr>
            <w:color w:val="0000EE"/>
            <w:u w:val="single"/>
          </w:rPr>
          <w:t>Êx 9.28</w:t>
        </w:r>
      </w:hyperlink>
      <w:r>
        <w:t xml:space="preserve">; </w:t>
      </w:r>
      <w:hyperlink r:id="rId9597">
        <w:r>
          <w:rPr>
            <w:color w:val="0000EE"/>
            <w:u w:val="single"/>
          </w:rPr>
          <w:t>1Sm 12.17</w:t>
        </w:r>
      </w:hyperlink>
      <w:r>
        <w:t>)</w:t>
      </w:r>
    </w:p>
    <w:p>
      <w:pPr>
        <w:pStyle w:val="ListBullet"/>
        <w:spacing w:line="240" w:lineRule="auto"/>
        <w:ind w:left="720"/>
      </w:pPr>
      <w:r/>
      <w:r>
        <w:t>Gafanhotos e outras pragas (</w:t>
      </w:r>
      <w:hyperlink r:id="rId9598">
        <w:r>
          <w:rPr>
            <w:color w:val="0000EE"/>
            <w:u w:val="single"/>
          </w:rPr>
          <w:t>Êx 10.15</w:t>
        </w:r>
      </w:hyperlink>
      <w:r>
        <w:t xml:space="preserve">; </w:t>
      </w:r>
      <w:hyperlink r:id="rId9599">
        <w:r>
          <w:rPr>
            <w:color w:val="0000EE"/>
            <w:u w:val="single"/>
          </w:rPr>
          <w:t>Am 4.9</w:t>
        </w:r>
      </w:hyperlink>
      <w:r>
        <w:t>)</w:t>
      </w:r>
    </w:p>
    <w:p>
      <w:pPr>
        <w:pStyle w:val="ListBullet"/>
        <w:spacing w:line="240" w:lineRule="auto"/>
        <w:ind w:left="720"/>
      </w:pPr>
      <w:r/>
      <w:r>
        <w:t>Invasão por exércitos estrangeiros (</w:t>
      </w:r>
      <w:hyperlink r:id="rId9600">
        <w:r>
          <w:rPr>
            <w:color w:val="0000EE"/>
            <w:u w:val="single"/>
          </w:rPr>
          <w:t>Dt 28.53</w:t>
        </w:r>
      </w:hyperlink>
      <w:r>
        <w:t xml:space="preserve">; </w:t>
      </w:r>
      <w:hyperlink r:id="rId5201">
        <w:r>
          <w:rPr>
            <w:color w:val="0000EE"/>
            <w:u w:val="single"/>
          </w:rPr>
          <w:t>2Rs 6.25</w:t>
        </w:r>
      </w:hyperlink>
      <w:r>
        <w:t xml:space="preserve">; </w:t>
      </w:r>
      <w:hyperlink r:id="rId9601">
        <w:r>
          <w:rPr>
            <w:color w:val="0000EE"/>
            <w:u w:val="single"/>
          </w:rPr>
          <w:t>25.3</w:t>
        </w:r>
      </w:hyperlink>
      <w:r>
        <w:t xml:space="preserve">; </w:t>
      </w:r>
      <w:hyperlink r:id="rId9602">
        <w:r>
          <w:rPr>
            <w:color w:val="0000EE"/>
            <w:u w:val="single"/>
          </w:rPr>
          <w:t>Lm 4.9</w:t>
        </w:r>
      </w:hyperlink>
      <w:r>
        <w:t>–</w:t>
      </w:r>
      <w:hyperlink r:id="rId9602">
        <w:r>
          <w:rPr>
            <w:color w:val="0000EE"/>
            <w:u w:val="single"/>
          </w:rPr>
          <w:t>10</w:t>
        </w:r>
      </w:hyperlink>
      <w:r>
        <w:t>)</w:t>
      </w:r>
    </w:p>
    <w:p>
      <w:r/>
      <w:r>
        <w:t>Quando ocorreram fomes, doenças frequentemente se espalharam entre o povo (</w:t>
      </w:r>
      <w:hyperlink r:id="rId1507">
        <w:r>
          <w:rPr>
            <w:color w:val="0000EE"/>
            <w:u w:val="single"/>
          </w:rPr>
          <w:t>1Rs 8.37</w:t>
        </w:r>
      </w:hyperlink>
      <w:r>
        <w:t xml:space="preserve">; </w:t>
      </w:r>
      <w:hyperlink r:id="rId9603">
        <w:r>
          <w:rPr>
            <w:color w:val="0000EE"/>
            <w:u w:val="single"/>
          </w:rPr>
          <w:t>Jr 14.12</w:t>
        </w:r>
      </w:hyperlink>
      <w:r>
        <w:t xml:space="preserve">; </w:t>
      </w:r>
      <w:hyperlink r:id="rId9604">
        <w:r>
          <w:rPr>
            <w:color w:val="0000EE"/>
            <w:u w:val="single"/>
          </w:rPr>
          <w:t>21.9</w:t>
        </w:r>
      </w:hyperlink>
      <w:r>
        <w:t>).</w:t>
      </w:r>
    </w:p>
    <w:p>
      <w:pPr>
        <w:pStyle w:val="Heading3"/>
      </w:pPr>
      <w:r>
        <w:t>Como as fomes afetaram as pessoas na Bíblia?</w:t>
      </w:r>
    </w:p>
    <w:p>
      <w:r/>
      <w:r>
        <w:t>Fomes afetaram a vida de muitas pessoas na Bíblia. Mudou a vida de Noemi e Rute (</w:t>
      </w:r>
      <w:hyperlink r:id="rId8560">
        <w:r>
          <w:rPr>
            <w:color w:val="0000EE"/>
            <w:u w:val="single"/>
          </w:rPr>
          <w:t>Rt 1.1</w:t>
        </w:r>
      </w:hyperlink>
      <w:r>
        <w:t>). Deus elevou José a uma posição de poder durante uma fome. A fome também impactou a vida de:</w:t>
      </w:r>
    </w:p>
    <w:p>
      <w:pPr>
        <w:pStyle w:val="ListBullet"/>
        <w:spacing w:line="240" w:lineRule="auto"/>
        <w:ind w:left="720"/>
      </w:pPr>
      <w:r/>
      <w:r>
        <w:t>Davi (rei) (</w:t>
      </w:r>
      <w:hyperlink r:id="rId9605">
        <w:r>
          <w:rPr>
            <w:color w:val="0000EE"/>
            <w:u w:val="single"/>
          </w:rPr>
          <w:t>2 Sm 21.1</w:t>
        </w:r>
      </w:hyperlink>
      <w:r>
        <w:t>)</w:t>
      </w:r>
    </w:p>
    <w:p>
      <w:pPr>
        <w:pStyle w:val="ListBullet"/>
        <w:spacing w:line="240" w:lineRule="auto"/>
        <w:ind w:left="720"/>
      </w:pPr>
      <w:r/>
      <w:r>
        <w:t>Elias (</w:t>
      </w:r>
      <w:hyperlink r:id="rId7894">
        <w:r>
          <w:rPr>
            <w:color w:val="0000EE"/>
            <w:u w:val="single"/>
          </w:rPr>
          <w:t>1Rs 17</w:t>
        </w:r>
      </w:hyperlink>
      <w:r>
        <w:t>)</w:t>
      </w:r>
    </w:p>
    <w:p>
      <w:pPr>
        <w:pStyle w:val="ListBullet"/>
        <w:spacing w:line="240" w:lineRule="auto"/>
        <w:ind w:left="720"/>
      </w:pPr>
      <w:r/>
      <w:r>
        <w:t>Eliseu (</w:t>
      </w:r>
      <w:hyperlink r:id="rId5197">
        <w:r>
          <w:rPr>
            <w:color w:val="0000EE"/>
            <w:u w:val="single"/>
          </w:rPr>
          <w:t>2Rs 4.38</w:t>
        </w:r>
      </w:hyperlink>
      <w:r>
        <w:t xml:space="preserve">; </w:t>
      </w:r>
      <w:hyperlink r:id="rId5201">
        <w:r>
          <w:rPr>
            <w:color w:val="0000EE"/>
            <w:u w:val="single"/>
          </w:rPr>
          <w:t>6.25</w:t>
        </w:r>
      </w:hyperlink>
      <w:r>
        <w:t>)</w:t>
      </w:r>
    </w:p>
    <w:p>
      <w:pPr>
        <w:pStyle w:val="ListBullet"/>
        <w:spacing w:line="240" w:lineRule="auto"/>
        <w:ind w:left="720"/>
      </w:pPr>
      <w:r/>
      <w:r>
        <w:t>Zedequias (</w:t>
      </w:r>
      <w:hyperlink r:id="rId9606">
        <w:r>
          <w:rPr>
            <w:color w:val="0000EE"/>
            <w:u w:val="single"/>
          </w:rPr>
          <w:t>2Rs 25.2</w:t>
        </w:r>
      </w:hyperlink>
      <w:r>
        <w:t>–</w:t>
      </w:r>
      <w:hyperlink r:id="rId9606">
        <w:r>
          <w:rPr>
            <w:color w:val="0000EE"/>
            <w:u w:val="single"/>
          </w:rPr>
          <w:t>3</w:t>
        </w:r>
      </w:hyperlink>
      <w:r>
        <w:t>)</w:t>
      </w:r>
    </w:p>
    <w:p>
      <w:pPr>
        <w:pStyle w:val="Heading4"/>
      </w:pPr>
      <w:r>
        <w:t>Por que Deus enviou fomes?</w:t>
      </w:r>
    </w:p>
    <w:p>
      <w:r/>
      <w:r>
        <w:t>Deus enviou fomes por diferentes razões:</w:t>
      </w:r>
    </w:p>
    <w:p>
      <w:pPr>
        <w:pStyle w:val="ListBullet"/>
        <w:spacing w:line="240" w:lineRule="auto"/>
        <w:ind w:left="720"/>
      </w:pPr>
      <w:r/>
      <w:r>
        <w:t>Para avisar (</w:t>
      </w:r>
      <w:hyperlink r:id="rId221">
        <w:r>
          <w:rPr>
            <w:color w:val="0000EE"/>
            <w:u w:val="single"/>
          </w:rPr>
          <w:t>1Rs 17.1</w:t>
        </w:r>
      </w:hyperlink>
      <w:r>
        <w:t>)</w:t>
      </w:r>
    </w:p>
    <w:p>
      <w:pPr>
        <w:pStyle w:val="ListBullet"/>
        <w:spacing w:line="240" w:lineRule="auto"/>
        <w:ind w:left="720"/>
      </w:pPr>
      <w:r/>
      <w:r>
        <w:t>Para corrigir (</w:t>
      </w:r>
      <w:hyperlink r:id="rId9605">
        <w:r>
          <w:rPr>
            <w:color w:val="0000EE"/>
            <w:u w:val="single"/>
          </w:rPr>
          <w:t>2Sm 21.1</w:t>
        </w:r>
      </w:hyperlink>
      <w:r>
        <w:t>)</w:t>
      </w:r>
    </w:p>
    <w:p>
      <w:pPr>
        <w:pStyle w:val="ListBullet"/>
        <w:spacing w:line="240" w:lineRule="auto"/>
        <w:ind w:left="720"/>
      </w:pPr>
      <w:r/>
      <w:r>
        <w:t>Para punir (</w:t>
      </w:r>
      <w:hyperlink r:id="rId9607">
        <w:r>
          <w:rPr>
            <w:color w:val="0000EE"/>
            <w:u w:val="single"/>
          </w:rPr>
          <w:t>Jr 14.12,15</w:t>
        </w:r>
      </w:hyperlink>
      <w:r>
        <w:t>)</w:t>
      </w:r>
    </w:p>
    <w:p>
      <w:r/>
      <w:r>
        <w:t>As fomes previstas por Jesus e pelo escritor do Apocalipse eram sinais de julgamento (</w:t>
      </w:r>
      <w:hyperlink r:id="rId9608">
        <w:r>
          <w:rPr>
            <w:color w:val="0000EE"/>
            <w:u w:val="single"/>
          </w:rPr>
          <w:t>Mc 13.8</w:t>
        </w:r>
      </w:hyperlink>
      <w:r>
        <w:t xml:space="preserve">; </w:t>
      </w:r>
      <w:hyperlink r:id="rId9609">
        <w:r>
          <w:rPr>
            <w:color w:val="0000EE"/>
            <w:u w:val="single"/>
          </w:rPr>
          <w:t>Ap 18.8</w:t>
        </w:r>
      </w:hyperlink>
      <w:r>
        <w:t>).</w:t>
      </w:r>
      <w:r/>
      <w:r/>
    </w:p>
    <w:p>
      <w:r/>
    </w:p>
    <w:p>
      <w:pPr>
        <w:pStyle w:val="Heading2"/>
      </w:pPr>
      <w:r>
        <w:t>Formiga</w:t>
      </w:r>
      <w:r/>
    </w:p>
    <w:p>
      <w:r/>
      <w:r>
        <w:t>Um inseto é usado como exemplo de trabalhadores ativos que armazenam comida no verão (</w:t>
      </w:r>
      <w:hyperlink r:id="rId9610">
        <w:r>
          <w:rPr>
            <w:color w:val="0000EE"/>
            <w:u w:val="single"/>
          </w:rPr>
          <w:t>Pv 6.6</w:t>
        </w:r>
      </w:hyperlink>
      <w:r>
        <w:t xml:space="preserve">; </w:t>
      </w:r>
      <w:hyperlink r:id="rId9611">
        <w:r>
          <w:rPr>
            <w:color w:val="0000EE"/>
            <w:u w:val="single"/>
          </w:rPr>
          <w:t>30.25</w:t>
        </w:r>
      </w:hyperlink>
      <w:r>
        <w:t>).</w:t>
      </w:r>
    </w:p>
    <w:p>
      <w:r/>
      <w:r>
        <w:t xml:space="preserve">As formigas são mencionadas apenas duas vezes na Bíblia, ambas no livro de Provérbios. Por muitos anos, alguns culparam Salomão por um erro biológico. </w:t>
      </w:r>
      <w:hyperlink r:id="rId1460">
        <w:r>
          <w:rPr>
            <w:color w:val="0000EE"/>
            <w:u w:val="single"/>
          </w:rPr>
          <w:t xml:space="preserve">Provérbios 6.8 </w:t>
        </w:r>
      </w:hyperlink>
      <w:r>
        <w:t>diz "prepara suas provisões no verão; recolhe seu alimento na colheita". Críticos da Bíblia apontaram que, até onde se sabia na época, as formigas não armazenam comida. Eles assumiram que Salomão provavelmente havia chutado um formigueiro. Ele confundiu as cascas dos casulos com grãos. Ou, ele viu formigas carregando pedaços de grãos, folhas e outros materiais para seus ninhos.</w:t>
      </w:r>
    </w:p>
    <w:p>
      <w:r/>
      <w:r>
        <w:t xml:space="preserve">Pelo menos três espécies de formigas que armazenam grãos são agora conhecidas. Duas ocorrem em Israel e a outra em países mediterrâneos. A espécie específica mencionada por Salomão em </w:t>
      </w:r>
      <w:hyperlink r:id="rId1461">
        <w:r>
          <w:rPr>
            <w:color w:val="0000EE"/>
            <w:u w:val="single"/>
          </w:rPr>
          <w:t>Provérbios 6.6–8</w:t>
        </w:r>
      </w:hyperlink>
      <w:r>
        <w:t xml:space="preserve"> e </w:t>
      </w:r>
      <w:hyperlink r:id="rId1462">
        <w:r>
          <w:rPr>
            <w:color w:val="0000EE"/>
            <w:u w:val="single"/>
          </w:rPr>
          <w:t>Provérbios 30.24–25</w:t>
        </w:r>
      </w:hyperlink>
      <w:r>
        <w:t xml:space="preserve"> é provavelmente a formiga colhedora </w:t>
      </w:r>
      <w:r>
        <w:rPr>
          <w:i/>
        </w:rPr>
        <w:t>(Messor semirufus).</w:t>
      </w:r>
      <w:r>
        <w:t xml:space="preserve"> Suas casas são câmaras planas conectadas por galerias. Elas estão espalhadas por uma área de cerca de 1,8 metros (seis pés) de diâmetro e 0,3 metros (um pé) de profundidade no solo.</w:t>
      </w:r>
    </w:p>
    <w:p>
      <w:r/>
      <w:r>
        <w:t>As sementes são coletadas do chão ou colhidas das plantas. A cabeça, a parte mais macia do grão, é mordida para evitar o crescimento. A casca e as cápsulas vazias são jogadas em pilhas de lixo fora do ninho. Os celeiros individuais podem ter 12,7 centímetros de espessura e 1,2 centímetros de altura. Sabe-se que alguns ninhos têm 12 metros de diâmetro e aproximadamente dois metros de profundidade, com várias entradas.</w:t>
      </w:r>
      <w:r/>
      <w:r/>
    </w:p>
    <w:p>
      <w:r/>
    </w:p>
    <w:p>
      <w:pPr>
        <w:pStyle w:val="Heading2"/>
      </w:pPr>
      <w:r>
        <w:t>Fornalha</w:t>
      </w:r>
      <w:r/>
    </w:p>
    <w:p>
      <w:r/>
      <w:r>
        <w:t>Uma estrutura de tijolo ou pedra utilizada para diversos fins, tanto domésticos quanto comerciais. Seu design incluía uma caixa de fogo, chaminé, câmara de aquecimento e abertura de acesso. Os fornos eram usados para:</w:t>
      </w:r>
    </w:p>
    <w:p>
      <w:pPr>
        <w:pStyle w:val="ListBullet"/>
        <w:spacing w:line="240" w:lineRule="auto"/>
        <w:ind w:left="720"/>
      </w:pPr>
      <w:r/>
      <w:r>
        <w:t>Fusão de minério</w:t>
      </w:r>
    </w:p>
    <w:p>
      <w:pPr>
        <w:pStyle w:val="ListBullet"/>
        <w:spacing w:line="240" w:lineRule="auto"/>
        <w:ind w:left="720"/>
      </w:pPr>
      <w:r/>
      <w:r>
        <w:t>Derretimento de minério</w:t>
      </w:r>
    </w:p>
    <w:p>
      <w:pPr>
        <w:pStyle w:val="ListBullet"/>
        <w:spacing w:line="240" w:lineRule="auto"/>
        <w:ind w:left="720"/>
      </w:pPr>
      <w:r/>
      <w:r>
        <w:t>Forjamento</w:t>
      </w:r>
    </w:p>
    <w:p>
      <w:pPr>
        <w:pStyle w:val="ListBullet"/>
        <w:spacing w:line="240" w:lineRule="auto"/>
        <w:ind w:left="720"/>
      </w:pPr>
      <w:r/>
      <w:r>
        <w:t>Queima de cerâmica</w:t>
      </w:r>
    </w:p>
    <w:p>
      <w:pPr>
        <w:pStyle w:val="ListBullet"/>
        <w:spacing w:line="240" w:lineRule="auto"/>
        <w:ind w:left="720"/>
      </w:pPr>
      <w:r/>
      <w:r>
        <w:t>Queima de tijolos</w:t>
      </w:r>
    </w:p>
    <w:p>
      <w:pPr>
        <w:pStyle w:val="ListBullet"/>
        <w:spacing w:line="240" w:lineRule="auto"/>
        <w:ind w:left="720"/>
      </w:pPr>
      <w:r/>
      <w:r>
        <w:t>Produção de cal</w:t>
      </w:r>
    </w:p>
    <w:p>
      <w:r/>
      <w:r>
        <w:t xml:space="preserve">A Bíblia menciona diferentes tipos de fornos. O forno do oleiro, usado para fazer cal e queimar cerâmica, é mencionado em </w:t>
      </w:r>
      <w:hyperlink r:id="rId9612">
        <w:r>
          <w:rPr>
            <w:color w:val="0000EE"/>
            <w:u w:val="single"/>
          </w:rPr>
          <w:t>Gênesis 19.28</w:t>
        </w:r>
      </w:hyperlink>
      <w:r>
        <w:t xml:space="preserve">; </w:t>
      </w:r>
      <w:hyperlink r:id="rId9613">
        <w:r>
          <w:rPr>
            <w:color w:val="0000EE"/>
            <w:u w:val="single"/>
          </w:rPr>
          <w:t>Êxodo 9.8,10</w:t>
        </w:r>
      </w:hyperlink>
      <w:r>
        <w:t xml:space="preserve">; </w:t>
      </w:r>
      <w:hyperlink r:id="rId9614">
        <w:r>
          <w:rPr>
            <w:color w:val="0000EE"/>
            <w:u w:val="single"/>
          </w:rPr>
          <w:t>19.18</w:t>
        </w:r>
      </w:hyperlink>
      <w:r>
        <w:t>. Esses fornos em forma de cúpula, muitas vezes feitos de calcário, tinham uma chaminé e um buraco para combustível na parte inferior, produzindo fumaça espessa e escura.</w:t>
      </w:r>
    </w:p>
    <w:p>
      <w:r/>
      <w:r>
        <w:t>Embora os hebreus raramente usassem grandes fornalhas de fundição, exceto possivelmente durante o reinado de Salomão, eles estavam familiarizados com elas devido ao seu uso no Líbano. Muitas referências do Antigo Testamento a tais fornalhas são simbólicas (</w:t>
      </w:r>
      <w:hyperlink r:id="rId9615">
        <w:r>
          <w:rPr>
            <w:color w:val="0000EE"/>
            <w:u w:val="single"/>
          </w:rPr>
          <w:t>Dt 4.20</w:t>
        </w:r>
      </w:hyperlink>
      <w:r>
        <w:t xml:space="preserve">; </w:t>
      </w:r>
      <w:hyperlink r:id="rId9616">
        <w:r>
          <w:rPr>
            <w:color w:val="0000EE"/>
            <w:u w:val="single"/>
          </w:rPr>
          <w:t>1Rs 8.51</w:t>
        </w:r>
      </w:hyperlink>
      <w:r>
        <w:t xml:space="preserve">; </w:t>
      </w:r>
      <w:hyperlink r:id="rId9617">
        <w:r>
          <w:rPr>
            <w:color w:val="0000EE"/>
            <w:u w:val="single"/>
          </w:rPr>
          <w:t>Pv 17.3</w:t>
        </w:r>
      </w:hyperlink>
      <w:r>
        <w:t xml:space="preserve">; </w:t>
      </w:r>
      <w:hyperlink r:id="rId9618">
        <w:r>
          <w:rPr>
            <w:color w:val="0000EE"/>
            <w:u w:val="single"/>
          </w:rPr>
          <w:t>27.21</w:t>
        </w:r>
      </w:hyperlink>
      <w:r>
        <w:t xml:space="preserve">; </w:t>
      </w:r>
      <w:hyperlink r:id="rId9619">
        <w:r>
          <w:rPr>
            <w:color w:val="0000EE"/>
            <w:u w:val="single"/>
          </w:rPr>
          <w:t>Is 48.10</w:t>
        </w:r>
      </w:hyperlink>
      <w:r>
        <w:t xml:space="preserve">; </w:t>
      </w:r>
      <w:hyperlink r:id="rId9620">
        <w:r>
          <w:rPr>
            <w:color w:val="0000EE"/>
            <w:u w:val="single"/>
          </w:rPr>
          <w:t>Jr 11.4</w:t>
        </w:r>
      </w:hyperlink>
      <w:r>
        <w:t xml:space="preserve">; </w:t>
      </w:r>
      <w:hyperlink r:id="rId9621">
        <w:r>
          <w:rPr>
            <w:color w:val="0000EE"/>
            <w:u w:val="single"/>
          </w:rPr>
          <w:t>Ez 22.18–22</w:t>
        </w:r>
      </w:hyperlink>
      <w:r>
        <w:t xml:space="preserve">). Uma história notável envolvendo uma grande fornalha de fundição é a de Sadraque, Mesaque e Abednego em </w:t>
      </w:r>
      <w:hyperlink r:id="rId6539">
        <w:r>
          <w:rPr>
            <w:color w:val="0000EE"/>
            <w:u w:val="single"/>
          </w:rPr>
          <w:t>Daniel 3</w:t>
        </w:r>
      </w:hyperlink>
      <w:r>
        <w:t>.</w:t>
      </w:r>
    </w:p>
    <w:p>
      <w:r/>
      <w:r>
        <w:t>A Bíblia frequentemente usa "fornalha" metaforicamente para representar a disciplina de Deus, punição ou refinamento de caráter (</w:t>
      </w:r>
      <w:hyperlink r:id="rId9615">
        <w:r>
          <w:rPr>
            <w:color w:val="0000EE"/>
            <w:u w:val="single"/>
          </w:rPr>
          <w:t>Dt 4.20</w:t>
        </w:r>
      </w:hyperlink>
      <w:r>
        <w:t xml:space="preserve">; </w:t>
      </w:r>
      <w:hyperlink r:id="rId9616">
        <w:r>
          <w:rPr>
            <w:color w:val="0000EE"/>
            <w:u w:val="single"/>
          </w:rPr>
          <w:t>1Rs 8.51</w:t>
        </w:r>
      </w:hyperlink>
      <w:r>
        <w:t xml:space="preserve">; </w:t>
      </w:r>
      <w:hyperlink r:id="rId9619">
        <w:r>
          <w:rPr>
            <w:color w:val="0000EE"/>
            <w:u w:val="single"/>
          </w:rPr>
          <w:t>Is 48.10</w:t>
        </w:r>
      </w:hyperlink>
      <w:r>
        <w:t xml:space="preserve">; </w:t>
      </w:r>
      <w:hyperlink r:id="rId9622">
        <w:r>
          <w:rPr>
            <w:color w:val="0000EE"/>
            <w:u w:val="single"/>
          </w:rPr>
          <w:t>Jr 6.27–30</w:t>
        </w:r>
      </w:hyperlink>
      <w:r>
        <w:t xml:space="preserve">; </w:t>
      </w:r>
      <w:hyperlink r:id="rId9621">
        <w:r>
          <w:rPr>
            <w:color w:val="0000EE"/>
            <w:u w:val="single"/>
          </w:rPr>
          <w:t>Ez 22.18–22</w:t>
        </w:r>
      </w:hyperlink>
      <w:r>
        <w:t>). No Novo Testamento, "fornalha" simboliza o inferno (</w:t>
      </w:r>
      <w:hyperlink r:id="rId9623">
        <w:r>
          <w:rPr>
            <w:color w:val="0000EE"/>
            <w:u w:val="single"/>
          </w:rPr>
          <w:t>Mt 13.42,50</w:t>
        </w:r>
      </w:hyperlink>
      <w:r>
        <w:t xml:space="preserve">; </w:t>
      </w:r>
      <w:hyperlink r:id="rId121">
        <w:r>
          <w:rPr>
            <w:color w:val="0000EE"/>
            <w:u w:val="single"/>
          </w:rPr>
          <w:t>Ap 9.2</w:t>
        </w:r>
      </w:hyperlink>
      <w:r>
        <w:t>). A imagem do refinamento também representa as provações da vida preparando alguém para a vida após a morte (</w:t>
      </w:r>
      <w:hyperlink r:id="rId4801">
        <w:r>
          <w:rPr>
            <w:color w:val="0000EE"/>
            <w:u w:val="single"/>
          </w:rPr>
          <w:t>Tg 1.12</w:t>
        </w:r>
      </w:hyperlink>
      <w:r>
        <w:t xml:space="preserve">; </w:t>
      </w:r>
      <w:hyperlink r:id="rId9624">
        <w:r>
          <w:rPr>
            <w:color w:val="0000EE"/>
            <w:u w:val="single"/>
          </w:rPr>
          <w:t>1Pe 1.7</w:t>
        </w:r>
      </w:hyperlink>
      <w:r>
        <w:t>).</w:t>
      </w:r>
    </w:p>
    <w:p>
      <w:r/>
      <w:r>
        <w:t xml:space="preserve">Em </w:t>
      </w:r>
      <w:hyperlink r:id="rId9625">
        <w:r>
          <w:rPr>
            <w:color w:val="0000EE"/>
            <w:u w:val="single"/>
          </w:rPr>
          <w:t>Apocalipse 1.15</w:t>
        </w:r>
      </w:hyperlink>
      <w:r>
        <w:t>, a visão de João descreve o Filho do Homem com pés "como bronze refinado na fornalha e depois polido". Esta imagem de bronze refinado simboliza o poder de Cristo para derrotar seus inimigos.</w:t>
      </w:r>
      <w:r/>
      <w:r/>
    </w:p>
    <w:p>
      <w:r/>
    </w:p>
    <w:p>
      <w:pPr>
        <w:pStyle w:val="Heading2"/>
      </w:pPr>
      <w:r>
        <w:t>Fornicação*</w:t>
      </w:r>
      <w:r/>
    </w:p>
    <w:p>
      <w:r/>
      <w:r>
        <w:t>Impureza, imoralidade sexual. A palavra “fornicação” é usada nas Escrituras para significar várias coisas diferentes.</w:t>
      </w:r>
    </w:p>
    <w:p>
      <w:r/>
      <w:r>
        <w:t xml:space="preserve">Seu significado geral se refere a todo tipo de relação sexual ilegal, isto é, qualquer relação sexual, exceto aquele entre um marido e uma esposa. Por exemplo, em </w:t>
      </w:r>
      <w:hyperlink r:id="rId9626">
        <w:r>
          <w:rPr>
            <w:color w:val="0000EE"/>
            <w:u w:val="single"/>
          </w:rPr>
          <w:t>1Co 5.1</w:t>
        </w:r>
      </w:hyperlink>
      <w:r>
        <w:t xml:space="preserve"> (NTLH), a palavra é usada duas vezes para se referir a um pecado que estava sendo tolerado pela igreja: um homem aparentemente estava coabitando com sua madrasta. Em uma lista de pecados terríveis em </w:t>
      </w:r>
      <w:hyperlink r:id="rId9627">
        <w:r>
          <w:rPr>
            <w:color w:val="0000EE"/>
            <w:u w:val="single"/>
          </w:rPr>
          <w:t>Rm 1.29</w:t>
        </w:r>
      </w:hyperlink>
      <w:r>
        <w:t>, o apóstolo Paulo incluiu fornicação, aparentemente pretendendo que o termo significasse todos os atos de imoralidade sexual (NTLH). Em 1 Coríntios, o contexto sugere que Paulo usou a palavra em referência a todos os tipos de atividade sexual ilícita (</w:t>
      </w:r>
      <w:hyperlink r:id="rId9628">
        <w:r>
          <w:rPr>
            <w:color w:val="0000EE"/>
            <w:u w:val="single"/>
          </w:rPr>
          <w:t>6.13,18</w:t>
        </w:r>
      </w:hyperlink>
      <w:r>
        <w:t xml:space="preserve">). Em </w:t>
      </w:r>
      <w:hyperlink r:id="rId5782">
        <w:r>
          <w:rPr>
            <w:color w:val="0000EE"/>
            <w:u w:val="single"/>
          </w:rPr>
          <w:t>1Co 7.2</w:t>
        </w:r>
      </w:hyperlink>
      <w:r>
        <w:t xml:space="preserve"> (NTLH), Paulo usou a palavra grega plural para “fornicações” para implicar as várias maneiras pelas quais o pecado pode se manifestar. Ele deu assim uma razão pela qual as pessoas em Corinto deveriam se casar e viver juntas corretamente. Um dos pecados incluídos no sentido geral da palavra é o adultério.</w:t>
      </w:r>
    </w:p>
    <w:p>
      <w:r/>
      <w:r>
        <w:t>“Fornicação” também tem um senso mais limitado de atividade sexual imoral entre pessoas solteiras. Tal significado está implícito nessas listas bíblicas onde tanto a fornicação quanto o adultério se juntam. A lista de Jesus dos pecados contaminantes que procedem do coração de uma pessoa inclui “fornicação” e “adultério” (</w:t>
      </w:r>
      <w:hyperlink r:id="rId3805">
        <w:r>
          <w:rPr>
            <w:color w:val="0000EE"/>
            <w:u w:val="single"/>
          </w:rPr>
          <w:t>Mt 15.19</w:t>
        </w:r>
      </w:hyperlink>
      <w:r>
        <w:t xml:space="preserve">; </w:t>
      </w:r>
      <w:hyperlink r:id="rId9629">
        <w:r>
          <w:rPr>
            <w:color w:val="0000EE"/>
            <w:u w:val="single"/>
          </w:rPr>
          <w:t>Mc 7.21</w:t>
        </w:r>
      </w:hyperlink>
      <w:r>
        <w:t>). A lista de Paulo desses pecadores que não herdarão o reino de Deus também contém tanto os fornicadores quanto os adúlteros (</w:t>
      </w:r>
      <w:hyperlink r:id="rId453">
        <w:r>
          <w:rPr>
            <w:color w:val="0000EE"/>
            <w:u w:val="single"/>
          </w:rPr>
          <w:t>1Co 6.9</w:t>
        </w:r>
      </w:hyperlink>
      <w:r>
        <w:t>, NTLH).</w:t>
      </w:r>
    </w:p>
    <w:p>
      <w:r/>
      <w:r>
        <w:t xml:space="preserve">“Fornicação” em </w:t>
      </w:r>
      <w:hyperlink r:id="rId441">
        <w:r>
          <w:rPr>
            <w:color w:val="0000EE"/>
            <w:u w:val="single"/>
          </w:rPr>
          <w:t>Mt 5.32</w:t>
        </w:r>
      </w:hyperlink>
      <w:r>
        <w:t xml:space="preserve"> e </w:t>
      </w:r>
      <w:hyperlink r:id="rId442">
        <w:r>
          <w:rPr>
            <w:color w:val="0000EE"/>
            <w:u w:val="single"/>
          </w:rPr>
          <w:t>19.9</w:t>
        </w:r>
      </w:hyperlink>
      <w:r>
        <w:t xml:space="preserve"> (como traduzido pela NTLH) é geralmente tomada por estudantes bíblicos hoje para se referir especificamente ao adultério (veja NTLH). A tradução de porneia tem a ver com interpretação, em vez de tradução. Os estudiosos discordam sobre se a frase citada por Jesus relativa ao divórcio tem a ver com fornicação em um sentido geral ou limitado. Ele poderia ter se referido apenas ao adultério, ou ele poderia ter estado incluindo geralmente com outros pecados sexuais.</w:t>
      </w:r>
    </w:p>
    <w:p>
      <w:r/>
      <w:r>
        <w:t xml:space="preserve">Um uso figurativo da palavra “fornicação” aparece tanto no AT quanto no NT. Originando-se nas descrições de Israel e da igreja como a esposa do Senhor ou a noiva, a apostasia de Deus e idolatria são chamadas de fornicação (veja, p. ex., </w:t>
      </w:r>
      <w:hyperlink r:id="rId9630">
        <w:r>
          <w:rPr>
            <w:color w:val="0000EE"/>
            <w:u w:val="single"/>
          </w:rPr>
          <w:t>Jr 2</w:t>
        </w:r>
      </w:hyperlink>
      <w:r>
        <w:t xml:space="preserve">). </w:t>
      </w:r>
      <w:hyperlink r:id="rId472">
        <w:r>
          <w:rPr>
            <w:color w:val="0000EE"/>
            <w:u w:val="single"/>
          </w:rPr>
          <w:t>Ezequiel 16</w:t>
        </w:r>
      </w:hyperlink>
      <w:r>
        <w:t xml:space="preserve"> usa infidelidade aos votos de casamento como um símbolo do relacionamento rebelde de Jerusalém com Deus. Jerusalém havia se tornado uma “esposa infiel” a ele. Os primeiros três capítulos de Oseias usam o relacionamento do profeta Oseias e sua esposa infiel, Gômer, como uma ilustração de como a nação de Israel havia se tornado culpada de fornicação contra seu “marido”, o Senhor, indo atrás de outros deuses. No livro de Apocalipse, o uso figurativo de “fornicação” e “paixão impura” é atribuído à Babilônia, a grande mãe das prostitutas (</w:t>
      </w:r>
      <w:hyperlink r:id="rId9631">
        <w:r>
          <w:rPr>
            <w:color w:val="0000EE"/>
            <w:u w:val="single"/>
          </w:rPr>
          <w:t>Ap 14.8</w:t>
        </w:r>
      </w:hyperlink>
      <w:r>
        <w:t xml:space="preserve">; </w:t>
      </w:r>
      <w:hyperlink r:id="rId9632">
        <w:r>
          <w:rPr>
            <w:color w:val="0000EE"/>
            <w:u w:val="single"/>
          </w:rPr>
          <w:t>17.2–4</w:t>
        </w:r>
      </w:hyperlink>
      <w:r>
        <w:t xml:space="preserve">; </w:t>
      </w:r>
      <w:hyperlink r:id="rId9633">
        <w:r>
          <w:rPr>
            <w:color w:val="0000EE"/>
            <w:u w:val="single"/>
          </w:rPr>
          <w:t>18.3</w:t>
        </w:r>
      </w:hyperlink>
      <w:r>
        <w:t xml:space="preserve">; </w:t>
      </w:r>
      <w:hyperlink r:id="rId9634">
        <w:r>
          <w:rPr>
            <w:color w:val="0000EE"/>
            <w:u w:val="single"/>
          </w:rPr>
          <w:t>19.2</w:t>
        </w:r>
      </w:hyperlink>
      <w:r>
        <w:t>).</w:t>
      </w:r>
    </w:p>
    <w:p>
      <w:r/>
      <w:r>
        <w:rPr>
          <w:i/>
        </w:rPr>
        <w:t>Veja também</w:t>
      </w:r>
      <w:r>
        <w:t xml:space="preserve"> </w:t>
      </w:r>
      <w:r>
        <w:t>Adultério</w:t>
      </w:r>
      <w:r>
        <w:t>.</w:t>
      </w:r>
      <w:r/>
      <w:r/>
    </w:p>
    <w:p>
      <w:r/>
    </w:p>
    <w:p>
      <w:pPr>
        <w:pStyle w:val="Heading2"/>
      </w:pPr>
      <w:r>
        <w:t>Forte, Fortificação</w:t>
      </w:r>
      <w:r/>
    </w:p>
    <w:p>
      <w:r/>
      <w:r>
        <w:t>Um forte é um edifício ou local projetado para defesa. Uma fortificação é qualquer estrutura construída para proteger um local durante o ataque. Nos tempos antigos, as cidades eram protegidas por muros, fortes centrais (chamados de cidadelas) e, às vezes, por fossos profundos cheios de água.</w:t>
      </w:r>
    </w:p>
    <w:p>
      <w:pPr>
        <w:pStyle w:val="Heading3"/>
      </w:pPr>
      <w:r>
        <w:t>Cidades fortificadas</w:t>
      </w:r>
    </w:p>
    <w:p>
      <w:r/>
      <w:r>
        <w:t>As fortificações seguiam a paisagem natural da área que circundava uma cidade. As defesas das cidades antigas eram simples. Elas eram feitas amontoando terra contra as paredes e estruturas externas, o que dificultava a aproximação e entrada das forças inimigas na cidade. Ao construir uma cidade, as pessoas procuravam lugares que fossem naturalmente fáceis de defender, preferindo locais altos, como colinas íngremes ou áreas isoladas que ofereciam proteção natural.</w:t>
      </w:r>
    </w:p>
    <w:p>
      <w:r/>
      <w:r>
        <w:t>As pessoas também construíram cidades em locais com abundância de água, acesso a vias navegáveis para viagens ou no cruzamento de estradas importantes. No entanto, esses locais eram mais difíceis de defender, então construir muralhas e defesas fortes exigia mais tempo e dinheiro.</w:t>
      </w:r>
    </w:p>
    <w:p>
      <w:pPr>
        <w:pStyle w:val="Heading3"/>
      </w:pPr>
      <w:r>
        <w:t>Materiais de construção</w:t>
      </w:r>
    </w:p>
    <w:p>
      <w:r/>
      <w:r>
        <w:t>As pessoas construíam fortificações usando qualquer material que pudessem encontrar, como pedras quebradas, rochas soltas e terra compactada. Elas cobriam esses materiais com uma camada espessa de argila ou gesso para ocultar o que estava por baixo. Isso tornava mais difícil para os inimigos saberem quão fortes as paredes realmente eram. Na frente das paredes, cavavam valas profundas ou fossos, às vezes cortando-os na rocha sólida. Essas valas dificultavam que os inimigos se aproximassem das paredes ou cavassem túneis por baixo delas.</w:t>
      </w:r>
    </w:p>
    <w:p>
      <w:pPr>
        <w:pStyle w:val="Heading3"/>
      </w:pPr>
      <w:r>
        <w:t>Torres</w:t>
      </w:r>
    </w:p>
    <w:p>
      <w:r/>
      <w:r>
        <w:t>As pessoas construíram torres nas partes mais vulneráveis das muralhas, como cantos, portões e locais onde a água entrava na cidade. Essas torres fortaleciam as defesas. Dentro de cada torre havia escadas e salas onde os soldados permaneciam para proteger a cidade. Vigias especiais nas torres alertavam a todos quando percebiam o perigo se aproximando.</w:t>
      </w:r>
    </w:p>
    <w:p>
      <w:pPr>
        <w:pStyle w:val="Heading3"/>
      </w:pPr>
      <w:r>
        <w:t>Portas</w:t>
      </w:r>
    </w:p>
    <w:p>
      <w:r/>
      <w:r>
        <w:t>Os portões da cidade eram muito resistentes. Eles eram feitos com barras e ferrolhos grossos de bronze ou ferro. Cada portão pendia em postes robustos que estavam fixados no chão abaixo e na viga acima da entrada. Para tornar os portões ainda mais difíceis de romper, as cidades frequentemente tinham vários portões, um atrás do outro. Entre esses portões, havia salas onde os guardas ficavam.</w:t>
      </w:r>
    </w:p>
    <w:p>
      <w:pPr>
        <w:pStyle w:val="Heading3"/>
      </w:pPr>
      <w:r>
        <w:t>Como as fortificações evoluíram ao longo do tempo?</w:t>
      </w:r>
    </w:p>
    <w:p>
      <w:r/>
      <w:r>
        <w:t>Escavações arqueológicas de antigos fortes mostram como os métodos de construção melhoraram ao longo do tempo, desde os começos simples até a época de Jesus. Os primeiros fortes foram construídos com tijolos básicos e pedras brutas. As pedras usadas nas paredes eram de tamanhos e formas diferentes e não eram cortadas suavemente. Os construtores preenchiam as lacunas entre as pedras com pequenas rochas e pedaços de calcário.</w:t>
      </w:r>
    </w:p>
    <w:p>
      <w:r/>
      <w:r>
        <w:t>Mais tarde, os construtores aprenderam a fazer um material de cobertura forte (chamado argamassa) para aplicar sobre as paredes. Isso tornou as paredes mais resistentes. Somente muito tempo depois, durante a época em que o povo judeu governava sua terra, os construtores começaram a usar pedras cuidadosamente cortadas e moldadas.</w:t>
      </w:r>
    </w:p>
    <w:p>
      <w:pPr>
        <w:pStyle w:val="Heading3"/>
      </w:pPr>
      <w:r>
        <w:t>Deus como uma fortaleza</w:t>
      </w:r>
    </w:p>
    <w:p>
      <w:r/>
      <w:r>
        <w:t>A Bíblia frequentemente compara Deus a uma fortaleza ou torre alta. Isso nos ajuda a entender como Deus protege aqueles que confiam nele. Os profetas ensinaram que a verdadeira força da nação vinha de Deus, não de paredes de tijolos e pedras. Eles disseram ao povo para confiar em Deus como seu lugar seguro ou refúgio (</w:t>
      </w:r>
      <w:hyperlink r:id="rId9635">
        <w:r>
          <w:rPr>
            <w:color w:val="0000EE"/>
            <w:u w:val="single"/>
          </w:rPr>
          <w:t>2Sm 22.2–3,33</w:t>
        </w:r>
      </w:hyperlink>
      <w:r>
        <w:t xml:space="preserve">; </w:t>
      </w:r>
      <w:hyperlink r:id="rId9636">
        <w:r>
          <w:rPr>
            <w:color w:val="0000EE"/>
            <w:u w:val="single"/>
          </w:rPr>
          <w:t>Pv 10.29</w:t>
        </w:r>
      </w:hyperlink>
      <w:r>
        <w:t xml:space="preserve">; </w:t>
      </w:r>
      <w:hyperlink r:id="rId9637">
        <w:r>
          <w:rPr>
            <w:color w:val="0000EE"/>
            <w:u w:val="single"/>
          </w:rPr>
          <w:t>Is 25.4</w:t>
        </w:r>
      </w:hyperlink>
      <w:r>
        <w:t xml:space="preserve">; </w:t>
      </w:r>
      <w:hyperlink r:id="rId9638">
        <w:r>
          <w:rPr>
            <w:color w:val="0000EE"/>
            <w:u w:val="single"/>
          </w:rPr>
          <w:t>Jr 16.19</w:t>
        </w:r>
      </w:hyperlink>
      <w:r>
        <w:t xml:space="preserve">; </w:t>
      </w:r>
      <w:hyperlink r:id="rId9639">
        <w:r>
          <w:rPr>
            <w:color w:val="0000EE"/>
            <w:u w:val="single"/>
          </w:rPr>
          <w:t>Os 8.14</w:t>
        </w:r>
      </w:hyperlink>
      <w:r>
        <w:t xml:space="preserve">; </w:t>
      </w:r>
      <w:hyperlink r:id="rId9640">
        <w:r>
          <w:rPr>
            <w:color w:val="0000EE"/>
            <w:u w:val="single"/>
          </w:rPr>
          <w:t>Jl 3.16</w:t>
        </w:r>
      </w:hyperlink>
      <w:r>
        <w:t xml:space="preserve">; </w:t>
      </w:r>
      <w:hyperlink r:id="rId9641">
        <w:r>
          <w:rPr>
            <w:color w:val="0000EE"/>
            <w:u w:val="single"/>
          </w:rPr>
          <w:t>Na 1.7</w:t>
        </w:r>
      </w:hyperlink>
      <w:r>
        <w:t>).</w:t>
      </w:r>
    </w:p>
    <w:p>
      <w:r/>
      <w:r>
        <w:rPr>
          <w:i/>
        </w:rPr>
        <w:t>Consulte também</w:t>
      </w:r>
      <w:r>
        <w:t xml:space="preserve"> </w:t>
      </w:r>
      <w:r>
        <w:t>Guerra</w:t>
      </w:r>
      <w:r>
        <w:t xml:space="preserve">; </w:t>
      </w:r>
      <w:r>
        <w:t>Cidade</w:t>
      </w:r>
      <w:r>
        <w:t xml:space="preserve">; </w:t>
      </w:r>
      <w:r>
        <w:t>Torre de Vigia</w:t>
      </w:r>
      <w:r>
        <w:t>.</w:t>
      </w:r>
      <w:r/>
      <w:r/>
    </w:p>
    <w:p>
      <w:r/>
    </w:p>
    <w:p>
      <w:pPr>
        <w:pStyle w:val="Heading2"/>
      </w:pPr>
      <w:r>
        <w:t>Fórum</w:t>
      </w:r>
      <w:r/>
    </w:p>
    <w:p>
      <w:r/>
      <w:r>
        <w:t>Área aberta nas cidades romanas usada para comércio, assuntos políticos e questões judiciais. O fórum geralmente situava-se em terreno plano, tinha forma retangular e era cercado por templos, tribunais, colunatas e outros edifícios públicos.</w:t>
      </w:r>
    </w:p>
    <w:p>
      <w:r/>
      <w:r>
        <w:t>O Fórum de Ápio servia como ponto de parada para viajantes na Via Ápia, localizado a aproximadamente 70 quilômetros ao sul de Roma, onde Paulo encontrou cristãos de Roma enquanto seguia para a capital sob guarda (</w:t>
      </w:r>
      <w:hyperlink r:id="rId6293">
        <w:r>
          <w:rPr>
            <w:color w:val="0000EE"/>
            <w:u w:val="single"/>
          </w:rPr>
          <w:t>At 28.15</w:t>
        </w:r>
      </w:hyperlink>
      <w:r>
        <w:t>).</w:t>
      </w:r>
    </w:p>
    <w:p>
      <w:r/>
      <w:r>
        <w:t>Os fóruns mais importantes eram aqueles localizados na cidade de Roma. Estes foram construídos em diferentes momentos de sua história, e os fóruns existentes foram modificados através de construções contínuas. A cidade de Roma, onde Paulo foi julgado, contava com vários fóruns, incluindo o de Júlio César (iniciado por ele e concluído por Augusto) e o de César Augusto. O mais importante era o Fórum Romano, centro do mundo na época de Paulo. Situava-se entre as duas colinas centrais das sete colinas sobre as quais Roma foi edificada. Possuía numerosas colunas, estátuas, obras de arte e edifícios relevantes para a vida política e religiosa do império.</w:t>
      </w:r>
    </w:p>
    <w:p>
      <w:r/>
      <w:r>
        <w:t>Se Paulo tivesse sido levado diretamente para a cidade pelo centurião responsável, teria passado pelo arco triunfal de Augusto, pelo templo de Castor e Pólux, e pelos templos dedicados a Júlio e Augusto para o culto ao Imperador. Ao chegar ao Fórum Romano propriamente dito, ele teria notado a noroeste o famoso centro ideal da cidade (e assim do império), e a sudoeste o marco dourado, indicando distâncias para lugares tão distantes quanto Londres a oeste e Jerusalém a leste. Ao fundo estava o templo de Júpiter, principal deus do panteão romano. No lado sul havia um grande edifício público, a Basílica Júlia, concluída em 12 d.C., o provável local da pronúncia da sentença de morte de Paulo. No lado norte estava a Basílica Emília, um edifício do qual colunas de mármore foram retiradas e usadas na construção de uma igreja sobre o local tradicional do túmulo de Paulo. Essa igreja foi concluída em 398 d.C. e permaneceu por 1.400 anos.</w:t>
      </w:r>
    </w:p>
    <w:p>
      <w:r/>
      <w:r>
        <w:rPr>
          <w:i/>
        </w:rPr>
        <w:t>Veja também</w:t>
      </w:r>
      <w:r>
        <w:t xml:space="preserve"> </w:t>
      </w:r>
      <w:r>
        <w:t>Ápio, Fórum de</w:t>
      </w:r>
      <w:r>
        <w:t>.</w:t>
      </w:r>
      <w:r/>
      <w:r/>
    </w:p>
    <w:p>
      <w:r/>
    </w:p>
    <w:p>
      <w:pPr>
        <w:pStyle w:val="Heading2"/>
      </w:pPr>
      <w:r>
        <w:t>Franja</w:t>
      </w:r>
      <w:r/>
    </w:p>
    <w:p>
      <w:r/>
      <w:r>
        <w:t>A borda de uma vestimenta, ou um “decote”. Os homens judeus usavam quatro franjas em suas vestes superiores porque Deus os ordenou a fazer isso (</w:t>
      </w:r>
      <w:hyperlink r:id="rId9642">
        <w:r>
          <w:rPr>
            <w:color w:val="0000EE"/>
            <w:u w:val="single"/>
          </w:rPr>
          <w:t>Dt 22.12</w:t>
        </w:r>
      </w:hyperlink>
      <w:r>
        <w:t>). Essas franjas serviam como lembretes das leis de Deus.</w:t>
      </w:r>
      <w:r/>
      <w:r/>
    </w:p>
    <w:p>
      <w:r/>
    </w:p>
    <w:p>
      <w:pPr>
        <w:pStyle w:val="Heading2"/>
      </w:pPr>
      <w:r>
        <w:t>Frígia</w:t>
      </w:r>
      <w:r/>
    </w:p>
    <w:p>
      <w:r/>
      <w:r>
        <w:t>Área no oeste da Turquia, no planalto da Anatólia, cujas fronteiras não podem ser definidas com precisão. Os frígios eram originalmente europeus, chamados de frígios pelos gregos, que cruzaram o Helesponto vindos da Macedônia e da Trácia e se estabeleceram aqui. Esta migração seguiu o padrão geral de invasões da Europa para esta região da Ásia Menor. Os frígios formaram uma poderosa confederação que floresceu entre a queda do Império Hitita e a ascensão do Império Lídio, ou seja, entre os séculos XIII e VII antes de Cristo.</w:t>
      </w:r>
    </w:p>
    <w:p>
      <w:r/>
      <w:r>
        <w:t>A capital religiosa deles estava em "Cidade de Midas", a moderna Yazilikaya, cerca de 241 quilômetros a sudoeste de Ancara. Esta "cidade de Midas" consistia em uma acrópole, defendida por uma muralha com torres, e uma cidade baixa. Dentro de uma grande caverna havia uma fonte, acessada por degraus cortados na rocha, que fornecia água para as cidades alta e baixa. O famoso túmulo ou monumento do Rei Midas tem uma inscrição frígia que menciona a deusa "Mida", identificada com Cibele, a deusa mãe, considerada a mãe mítica do rei. Arqueólogos franceses em 1948–49 descobriram vestígios que indicam que a cidade foi destruída no século VI a.C., reconstruída cerca de um século depois e finalmente destruída no século III a.C.</w:t>
      </w:r>
    </w:p>
    <w:p>
      <w:r/>
      <w:r>
        <w:t xml:space="preserve">Sua principal deusa era Cibele. Ela mais tarde se tornou a deusa da fertilidade de toda a Anatólia. Ritos orgiásticos eram realizados em sua honra, levando à sensualidade destinada a facilitar a reprodução entre humanos, animais e colheitas. Quando os jônios e os gregos se estabeleceram em Mileto e Éfeso, Cibele foi transformada em Ártemis, a deusa grega da fertilidade, cujo templo em Éfeso era uma das sete maravilhas do mundo. Sua imagem originalmente era uma pedra de meteorito negra (cf. </w:t>
      </w:r>
      <w:hyperlink r:id="rId7099">
        <w:r>
          <w:rPr>
            <w:color w:val="0000EE"/>
            <w:u w:val="single"/>
          </w:rPr>
          <w:t>At 19.35</w:t>
        </w:r>
      </w:hyperlink>
      <w:r>
        <w:t>). Ela se tornou a consorte de Adônis, um deus da vegetação, e seus ritos de fertilidade eram comuns em todo o Oriente Médio. Esta deusa foi importada para Roma; um templo em sua honra foi construído no Monte Capitolino logo após a organização do império.</w:t>
      </w:r>
    </w:p>
    <w:p>
      <w:r/>
      <w:r>
        <w:t>Tribos gaulesas invadiram a região cerca de três séculos antes de Paulo. Isso alterou a situação demográfica, resultando em divisões políticas, geográficas e étnicas que nem sempre coincidiam. O que antes era Frígia passou a ser conhecido como Galácia devido aos novos habitantes. No entanto, os nomes antigos persistiram.</w:t>
      </w:r>
    </w:p>
    <w:p>
      <w:r/>
      <w:r>
        <w:t>Os judeus foram incentivados a se estabelecer nesta área pelos reis sírios. Eles eram uma parte importante da sociedade, e suas sinagogas podiam ser encontradas em todas as principais cidades. Paulo passou por esta área em seu caminho de Licônia para Trôade (</w:t>
      </w:r>
      <w:hyperlink r:id="rId4336">
        <w:r>
          <w:rPr>
            <w:color w:val="0000EE"/>
            <w:u w:val="single"/>
          </w:rPr>
          <w:t>At 16.6</w:t>
        </w:r>
      </w:hyperlink>
      <w:r>
        <w:t>) depois de ter sido proibido pelo Espírito Santo de falar a palavra de Deus na Ásia. O evangelho provavelmente chegou a esta área através dos peregrinos que foram a Jerusalém e ouviram Pedro pregar. Lá, para seu espanto, ouviram os primeiros crentes proclamando as obras de Deus em sua própria língua nativa (</w:t>
      </w:r>
      <w:hyperlink r:id="rId9643">
        <w:r>
          <w:rPr>
            <w:color w:val="0000EE"/>
            <w:u w:val="single"/>
          </w:rPr>
          <w:t>2.8–11</w:t>
        </w:r>
      </w:hyperlink>
      <w:r>
        <w:t>). Alguns se converteram e voltaram para casa para espalhar as boas-novas.</w:t>
      </w:r>
    </w:p>
    <w:p>
      <w:r/>
      <w:r>
        <w:t>O cristianismo fez incursões precoces e recebeu uma ampla adesão aqui, como indicado pelo fato de que, no meio do segundo século, Montano, um líder zeloso da igreja, surgiu e chamou a igreja de volta ao dinamismo primitivo que caracterizou o Pentecostes. Assim, surgiu a seita do Montanismo, na qual o líder às vezes era visto como a encarnação do Espírito Santo ou o oráculo de Deus. Em uma perspectiva mais favorável, o movimento é visto como um retorno ao cristianismo primitivo e um protesto contra o formalismo crescente entre as igrejas. No terceiro século, toda a região era quase inteiramente cristã, segundo Eusébio.</w:t>
      </w:r>
      <w:r/>
      <w:r/>
    </w:p>
    <w:p>
      <w:r/>
    </w:p>
    <w:p>
      <w:pPr>
        <w:pStyle w:val="Heading2"/>
      </w:pPr>
      <w:r>
        <w:t>Frontal</w:t>
      </w:r>
      <w:r/>
    </w:p>
    <w:p>
      <w:r/>
      <w:r>
        <w:t>Uma tradução de uma palavra hebraica refere-se a qualquer coisa amarrada na testa (</w:t>
      </w:r>
      <w:hyperlink r:id="rId9644">
        <w:r>
          <w:rPr>
            <w:color w:val="0000EE"/>
            <w:u w:val="single"/>
          </w:rPr>
          <w:t>Êx 13.16</w:t>
        </w:r>
      </w:hyperlink>
      <w:r>
        <w:t xml:space="preserve">; </w:t>
      </w:r>
      <w:hyperlink r:id="rId9645">
        <w:r>
          <w:rPr>
            <w:color w:val="0000EE"/>
            <w:u w:val="single"/>
          </w:rPr>
          <w:t>Dt 6.8</w:t>
        </w:r>
      </w:hyperlink>
      <w:r>
        <w:t xml:space="preserve">; </w:t>
      </w:r>
      <w:hyperlink r:id="rId9646">
        <w:r>
          <w:rPr>
            <w:color w:val="0000EE"/>
            <w:u w:val="single"/>
          </w:rPr>
          <w:t>11.18</w:t>
        </w:r>
      </w:hyperlink>
      <w:r>
        <w:t>). Os filactérios (caixas de couro) do tempo de Jesus (</w:t>
      </w:r>
      <w:hyperlink r:id="rId8209">
        <w:r>
          <w:rPr>
            <w:color w:val="0000EE"/>
            <w:u w:val="single"/>
          </w:rPr>
          <w:t>Mt 23.5</w:t>
        </w:r>
      </w:hyperlink>
      <w:r>
        <w:t>) eram usados diariamente na oração matinal por todo israelita do sexo masculino com mais de 13 anos. Eles consistiam em quatro passagens das Escrituras (</w:t>
      </w:r>
      <w:hyperlink r:id="rId9338">
        <w:r>
          <w:rPr>
            <w:color w:val="0000EE"/>
            <w:u w:val="single"/>
          </w:rPr>
          <w:t>Êx 13.1–10</w:t>
        </w:r>
      </w:hyperlink>
      <w:r>
        <w:t xml:space="preserve">; </w:t>
      </w:r>
      <w:hyperlink r:id="rId9647">
        <w:r>
          <w:rPr>
            <w:color w:val="0000EE"/>
            <w:u w:val="single"/>
          </w:rPr>
          <w:t>13.11–16</w:t>
        </w:r>
      </w:hyperlink>
      <w:r>
        <w:t xml:space="preserve">; </w:t>
      </w:r>
      <w:hyperlink r:id="rId1340">
        <w:r>
          <w:rPr>
            <w:color w:val="0000EE"/>
            <w:u w:val="single"/>
          </w:rPr>
          <w:t>Dt 6.4–9</w:t>
        </w:r>
      </w:hyperlink>
      <w:r>
        <w:t xml:space="preserve">; </w:t>
      </w:r>
      <w:hyperlink r:id="rId9339">
        <w:r>
          <w:rPr>
            <w:color w:val="0000EE"/>
            <w:u w:val="single"/>
          </w:rPr>
          <w:t>11.13–21</w:t>
        </w:r>
      </w:hyperlink>
      <w:r>
        <w:t>) escritas em pergaminho e colocadas em pequenas caixas de couro amarradas na testa e no braço esquerdo. Os filactérios podem ter sido os pergaminhos ou as caixas de couro. Não há provas que sugiram que os israelitas fizeram filactérios durante o tempo de Moisés. Os comandos provavelmente não eram literais. Eles visavam mostrar o valor memorial da Festa dos Pães Asmos e a importância da Lei na vida do povo. Para os fariseus, obedecer visivelmente à Lei substituiu a necessidade de aplicar a Palavra de Deus ao coração (</w:t>
      </w:r>
      <w:hyperlink r:id="rId8209">
        <w:r>
          <w:rPr>
            <w:color w:val="0000EE"/>
            <w:u w:val="single"/>
          </w:rPr>
          <w:t>Mt 23.5</w:t>
        </w:r>
      </w:hyperlink>
      <w:r>
        <w:t>).</w:t>
      </w:r>
    </w:p>
    <w:p>
      <w:r/>
      <w:r>
        <w:rPr>
          <w:i/>
        </w:rPr>
        <w:t>Veja também</w:t>
      </w:r>
      <w:r>
        <w:t xml:space="preserve"> </w:t>
      </w:r>
      <w:r>
        <w:t>Filactério</w:t>
      </w:r>
      <w:r>
        <w:t xml:space="preserve">; </w:t>
      </w:r>
      <w:r>
        <w:t>Amuleto</w:t>
      </w:r>
      <w:r>
        <w:t>.</w:t>
      </w:r>
      <w:r/>
      <w:r/>
    </w:p>
    <w:p>
      <w:r/>
    </w:p>
    <w:p>
      <w:pPr>
        <w:pStyle w:val="Heading2"/>
      </w:pPr>
      <w:r>
        <w:t>Furúnculo</w:t>
      </w:r>
      <w:r/>
    </w:p>
    <w:p>
      <w:r/>
      <w:r>
        <w:t xml:space="preserve">Uma área inflamada de inchaço na pele. Na medicina moderna, um "furúnculo" é um inchaço cheio de pus, causado por germes infecciosos, geralmente </w:t>
      </w:r>
      <w:r>
        <w:rPr>
          <w:i/>
        </w:rPr>
        <w:t>estafilococos</w:t>
      </w:r>
      <w:r>
        <w:t xml:space="preserve">. O pus é uma mistura de germes e glóbulos brancos, que são a defesa do corpo contra os germes. Embora dolorosos, os furúnculos geralmente cicatrizam naturalmente após romperem ou serem abertos. Um furúnculo mais severo com várias aberturas é chamado de </w:t>
      </w:r>
      <w:r>
        <w:rPr>
          <w:i/>
        </w:rPr>
        <w:t>carbúnculo</w:t>
      </w:r>
      <w:r>
        <w:t xml:space="preserve">. Se a infecção for mais profunda e atingir órgãos ou tecidos internos, é chamada de </w:t>
      </w:r>
      <w:r>
        <w:rPr>
          <w:i/>
        </w:rPr>
        <w:t>abscesso</w:t>
      </w:r>
      <w:r>
        <w:t xml:space="preserve"> e pode até ser fatal.</w:t>
      </w:r>
    </w:p>
    <w:p>
      <w:r/>
      <w:r>
        <w:t>Na Bíblia, a palavra traduzida como "furúnculo" provavelmente se referia a uma variedade de doenças de pele. A sexta praga que Deus infligiu ao Egito através de Moisés e Arão foi uma praga de furúnculos (</w:t>
      </w:r>
      <w:hyperlink r:id="rId9648">
        <w:r>
          <w:rPr>
            <w:color w:val="0000EE"/>
            <w:u w:val="single"/>
          </w:rPr>
          <w:t>Êx 9.9–11</w:t>
        </w:r>
      </w:hyperlink>
      <w:r>
        <w:t xml:space="preserve">; </w:t>
      </w:r>
      <w:hyperlink r:id="rId9649">
        <w:r>
          <w:rPr>
            <w:color w:val="0000EE"/>
            <w:u w:val="single"/>
          </w:rPr>
          <w:t>Dt 28.27,35</w:t>
        </w:r>
      </w:hyperlink>
      <w:r>
        <w:t>) ou bolhas. Furúnculos ou erupções cutâneas de um certo tipo foram descritos nas leis mosaicas sobre saúde e limpeza como um sinal de lepra (</w:t>
      </w:r>
      <w:hyperlink r:id="rId9650">
        <w:r>
          <w:rPr>
            <w:color w:val="0000EE"/>
            <w:u w:val="single"/>
          </w:rPr>
          <w:t>Lv 13.1–8,18–23</w:t>
        </w:r>
      </w:hyperlink>
      <w:r>
        <w:t>). Os “terríveis furúnculos dos pés à cabeça” de Jó (</w:t>
      </w:r>
      <w:hyperlink r:id="rId9651">
        <w:r>
          <w:rPr>
            <w:color w:val="0000EE"/>
            <w:u w:val="single"/>
          </w:rPr>
          <w:t>Jó 2.7–8,12</w:t>
        </w:r>
      </w:hyperlink>
      <w:r>
        <w:t>) provavelmente eram muito disseminados para serem chamados de furúnculos no sentido moderno. Ele pode ter tido:</w:t>
      </w:r>
    </w:p>
    <w:p>
      <w:pPr>
        <w:pStyle w:val="ListBullet"/>
        <w:spacing w:line="240" w:lineRule="auto"/>
        <w:ind w:left="720"/>
      </w:pPr>
      <w:r/>
      <w:r>
        <w:t>Varíola;</w:t>
      </w:r>
    </w:p>
    <w:p>
      <w:pPr>
        <w:pStyle w:val="ListBullet"/>
        <w:spacing w:line="240" w:lineRule="auto"/>
        <w:ind w:left="720"/>
      </w:pPr>
      <w:r/>
      <w:r>
        <w:t>Psoríase;</w:t>
      </w:r>
    </w:p>
    <w:p>
      <w:pPr>
        <w:pStyle w:val="ListBullet"/>
        <w:spacing w:line="240" w:lineRule="auto"/>
        <w:ind w:left="720"/>
      </w:pPr>
      <w:r/>
      <w:r>
        <w:t>Lepra tuberculóide;</w:t>
      </w:r>
    </w:p>
    <w:p>
      <w:pPr>
        <w:pStyle w:val="ListBullet"/>
        <w:spacing w:line="240" w:lineRule="auto"/>
        <w:ind w:left="720"/>
      </w:pPr>
      <w:r/>
      <w:r>
        <w:t>Alguma outra doença que causou coceira intensa.</w:t>
      </w:r>
    </w:p>
    <w:p>
      <w:r/>
      <w:r>
        <w:t>A ferida do rei Ezequias provavelmente era uma do grupo de furúnculos (</w:t>
      </w:r>
      <w:hyperlink r:id="rId9652">
        <w:r>
          <w:rPr>
            <w:color w:val="0000EE"/>
            <w:u w:val="single"/>
          </w:rPr>
          <w:t>2Rs 20.1–7</w:t>
        </w:r>
      </w:hyperlink>
      <w:r>
        <w:t xml:space="preserve">; </w:t>
      </w:r>
      <w:hyperlink r:id="rId5247">
        <w:r>
          <w:rPr>
            <w:color w:val="0000EE"/>
            <w:u w:val="single"/>
          </w:rPr>
          <w:t>Is 38.21</w:t>
        </w:r>
      </w:hyperlink>
      <w:r>
        <w:t>).</w:t>
      </w:r>
    </w:p>
    <w:p>
      <w:r/>
      <w:r>
        <w:rPr>
          <w:i/>
        </w:rPr>
        <w:t>Veja</w:t>
      </w:r>
      <w:r>
        <w:t xml:space="preserve"> </w:t>
      </w:r>
      <w:r>
        <w:t>Medicina e prática médica</w:t>
      </w:r>
      <w:r>
        <w:t xml:space="preserve">; </w:t>
      </w:r>
      <w:r>
        <w:t>Doença</w:t>
      </w:r>
      <w:r>
        <w:t xml:space="preserve">; </w:t>
      </w:r>
      <w:r>
        <w:t>Pragas sobre o Egito</w:t>
      </w:r>
      <w:r>
        <w:t>.</w:t>
      </w:r>
      <w:r/>
      <w:r/>
    </w:p>
    <w:p>
      <w:r/>
    </w:p>
    <w:p>
      <w:pPr>
        <w:pStyle w:val="Heading2"/>
      </w:pPr>
      <w:r>
        <w:t>Fute</w:t>
      </w:r>
      <w:r/>
    </w:p>
    <w:p>
      <w:r/>
      <w:r>
        <w:t xml:space="preserve">1. Ortografia da NVI de Pute, o terceiro filho de Cam, em </w:t>
      </w:r>
      <w:hyperlink r:id="rId4120">
        <w:r>
          <w:rPr>
            <w:color w:val="0000EE"/>
            <w:u w:val="single"/>
          </w:rPr>
          <w:t>Gênesis 10.6</w:t>
        </w:r>
      </w:hyperlink>
      <w:r>
        <w:t xml:space="preserve">. </w:t>
      </w:r>
      <w:r>
        <w:rPr>
          <w:i/>
        </w:rPr>
        <w:t>Veja</w:t>
      </w:r>
      <w:r>
        <w:t xml:space="preserve"> </w:t>
      </w:r>
      <w:r>
        <w:t>Pute (Pessoa)</w:t>
      </w:r>
      <w:r>
        <w:t>.</w:t>
      </w:r>
    </w:p>
    <w:p>
      <w:r/>
      <w:r>
        <w:t xml:space="preserve">2. Ortografia da NVI de Pute, uma região próxima ao Egito ao longo do Mar Mediterrâneo, em </w:t>
      </w:r>
      <w:hyperlink r:id="rId9653">
        <w:r>
          <w:rPr>
            <w:color w:val="0000EE"/>
            <w:u w:val="single"/>
          </w:rPr>
          <w:t>Ezequiel 27.10</w:t>
        </w:r>
      </w:hyperlink>
      <w:r>
        <w:t xml:space="preserve">. </w:t>
      </w:r>
      <w:r>
        <w:rPr>
          <w:i/>
        </w:rPr>
        <w:t>Veja</w:t>
      </w:r>
      <w:r>
        <w:t xml:space="preserve"> </w:t>
      </w:r>
      <w:r>
        <w:t>Pute (Lugar)</w:t>
      </w:r>
      <w:r>
        <w:t>.</w:t>
      </w:r>
      <w:r/>
      <w:r/>
    </w:p>
    <w:p>
      <w:r/>
    </w:p>
    <w:p>
      <w:pPr>
        <w:pStyle w:val="Heading2"/>
      </w:pPr>
      <w:r>
        <w:t>Gaã</w:t>
      </w:r>
      <w:r/>
    </w:p>
    <w:p>
      <w:r/>
      <w:r>
        <w:t>Filho de Naor, irmão de Abraão, e sua concubina Reumá (</w:t>
      </w:r>
      <w:hyperlink r:id="rId5348">
        <w:r>
          <w:rPr>
            <w:color w:val="0000EE"/>
            <w:u w:val="single"/>
          </w:rPr>
          <w:t>Gn 22.24</w:t>
        </w:r>
      </w:hyperlink>
      <w:r>
        <w:t>).</w:t>
      </w:r>
      <w:r/>
      <w:r/>
    </w:p>
    <w:p>
      <w:r/>
    </w:p>
    <w:p>
      <w:pPr>
        <w:pStyle w:val="Heading2"/>
      </w:pPr>
      <w:r>
        <w:t>Gabar-se</w:t>
      </w:r>
      <w:r/>
    </w:p>
    <w:p>
      <w:r/>
      <w:r>
        <w:t>Gabar-se significa falar com orgulho sobre o que você pode fazer, o que fez ou o que o torna especial. Na Bíblia, gabar-se às vezes tem um significado mais positivo. "Gloriar-se em" significa que alguém celebra ou dá honra a algo bom.</w:t>
      </w:r>
    </w:p>
    <w:p>
      <w:pPr>
        <w:pStyle w:val="Heading3"/>
      </w:pPr>
      <w:r>
        <w:t>Gabar-se no Antigo Testamento</w:t>
      </w:r>
    </w:p>
    <w:p>
      <w:r/>
      <w:r>
        <w:t>No Antigo Testamento, "gabar-se" descreve os ímpios. Eles confiam em seus recursos, não em Deus (</w:t>
      </w:r>
      <w:hyperlink r:id="rId7432">
        <w:r>
          <w:rPr>
            <w:color w:val="0000EE"/>
            <w:u w:val="single"/>
          </w:rPr>
          <w:t>Sl 52.1</w:t>
        </w:r>
      </w:hyperlink>
      <w:r>
        <w:t xml:space="preserve">; </w:t>
      </w:r>
      <w:hyperlink r:id="rId9654">
        <w:r>
          <w:rPr>
            <w:color w:val="0000EE"/>
            <w:u w:val="single"/>
          </w:rPr>
          <w:t>94.3–4</w:t>
        </w:r>
      </w:hyperlink>
      <w:r>
        <w:t>). Inimigos de Israel se gabavam de suas vitórias e reivindicavam a glória para si mesmos (</w:t>
      </w:r>
      <w:hyperlink r:id="rId9655">
        <w:r>
          <w:rPr>
            <w:color w:val="0000EE"/>
            <w:u w:val="single"/>
          </w:rPr>
          <w:t>Dt 32.27</w:t>
        </w:r>
      </w:hyperlink>
      <w:r>
        <w:t xml:space="preserve">; </w:t>
      </w:r>
      <w:hyperlink r:id="rId9656">
        <w:r>
          <w:rPr>
            <w:color w:val="0000EE"/>
            <w:u w:val="single"/>
          </w:rPr>
          <w:t>Sl 10.3</w:t>
        </w:r>
      </w:hyperlink>
      <w:r>
        <w:t xml:space="preserve">; </w:t>
      </w:r>
      <w:hyperlink r:id="rId9657">
        <w:r>
          <w:rPr>
            <w:color w:val="0000EE"/>
            <w:u w:val="single"/>
          </w:rPr>
          <w:t>35.26</w:t>
        </w:r>
      </w:hyperlink>
      <w:r>
        <w:t xml:space="preserve">; </w:t>
      </w:r>
      <w:hyperlink r:id="rId9658">
        <w:r>
          <w:rPr>
            <w:color w:val="0000EE"/>
            <w:u w:val="single"/>
          </w:rPr>
          <w:t>73.9</w:t>
        </w:r>
      </w:hyperlink>
      <w:r>
        <w:t xml:space="preserve">; </w:t>
      </w:r>
      <w:hyperlink r:id="rId4867">
        <w:r>
          <w:rPr>
            <w:color w:val="0000EE"/>
            <w:u w:val="single"/>
          </w:rPr>
          <w:t>Is 3.9</w:t>
        </w:r>
      </w:hyperlink>
      <w:r>
        <w:t>). Eles se vangloriavam de suas riquezas e sabedoria (</w:t>
      </w:r>
      <w:hyperlink r:id="rId9659">
        <w:r>
          <w:rPr>
            <w:color w:val="0000EE"/>
            <w:u w:val="single"/>
          </w:rPr>
          <w:t>Sl 49.6</w:t>
        </w:r>
      </w:hyperlink>
      <w:r>
        <w:t xml:space="preserve">; </w:t>
      </w:r>
      <w:hyperlink r:id="rId5451">
        <w:r>
          <w:rPr>
            <w:color w:val="0000EE"/>
            <w:u w:val="single"/>
          </w:rPr>
          <w:t>Is 19.11</w:t>
        </w:r>
      </w:hyperlink>
      <w:r>
        <w:t>). O Senhor diz que "Se alguém quiser se orgulhar, que se orgulhe de me conhecer e de me entender; porque eu, o Senhor, sou Deus de amor e faço o que é justo e direito no mundo" (</w:t>
      </w:r>
      <w:hyperlink r:id="rId3634">
        <w:r>
          <w:rPr>
            <w:color w:val="0000EE"/>
            <w:u w:val="single"/>
          </w:rPr>
          <w:t>Jr 9.24</w:t>
        </w:r>
      </w:hyperlink>
      <w:r>
        <w:t>).</w:t>
      </w:r>
    </w:p>
    <w:p>
      <w:pPr>
        <w:pStyle w:val="Heading3"/>
      </w:pPr>
      <w:r>
        <w:t>Gabar-se no Novo Testamento</w:t>
      </w:r>
    </w:p>
    <w:p>
      <w:r/>
      <w:r>
        <w:t>Jesus contou uma história sobre um fariseu orgulhoso que se gabava para Deus em oração (</w:t>
      </w:r>
      <w:hyperlink r:id="rId9660">
        <w:r>
          <w:rPr>
            <w:color w:val="0000EE"/>
            <w:u w:val="single"/>
          </w:rPr>
          <w:t>Lc 18.10–14</w:t>
        </w:r>
      </w:hyperlink>
      <w:r>
        <w:t>). A maioria dos usos da palavra no Novo Testamento ocorre nas cartas do apóstolo Paulo. Gabar-se de suas próprias conquistas é errado. Em vez disso, a Bíblia ensina que é bom louvar o que Deus fez (</w:t>
      </w:r>
      <w:hyperlink r:id="rId9661">
        <w:r>
          <w:rPr>
            <w:color w:val="0000EE"/>
            <w:u w:val="single"/>
          </w:rPr>
          <w:t>Rm 3.27–28</w:t>
        </w:r>
      </w:hyperlink>
      <w:r>
        <w:t xml:space="preserve">; </w:t>
      </w:r>
      <w:hyperlink r:id="rId9662">
        <w:r>
          <w:rPr>
            <w:color w:val="0000EE"/>
            <w:u w:val="single"/>
          </w:rPr>
          <w:t>2Co 10.17</w:t>
        </w:r>
      </w:hyperlink>
      <w:r>
        <w:t xml:space="preserve">; </w:t>
      </w:r>
      <w:hyperlink r:id="rId6351">
        <w:r>
          <w:rPr>
            <w:color w:val="0000EE"/>
            <w:u w:val="single"/>
          </w:rPr>
          <w:t>Gl 6.14</w:t>
        </w:r>
      </w:hyperlink>
      <w:r>
        <w:t>). Evite a autojustiça e a ostentação (</w:t>
      </w:r>
      <w:hyperlink r:id="rId9663">
        <w:r>
          <w:rPr>
            <w:color w:val="0000EE"/>
            <w:u w:val="single"/>
          </w:rPr>
          <w:t>Rm 1.30</w:t>
        </w:r>
      </w:hyperlink>
      <w:r>
        <w:t xml:space="preserve">; </w:t>
      </w:r>
      <w:hyperlink r:id="rId9664">
        <w:r>
          <w:rPr>
            <w:color w:val="0000EE"/>
            <w:u w:val="single"/>
          </w:rPr>
          <w:t>2.17,23</w:t>
        </w:r>
      </w:hyperlink>
      <w:r>
        <w:t xml:space="preserve">; </w:t>
      </w:r>
      <w:hyperlink r:id="rId9665">
        <w:r>
          <w:rPr>
            <w:color w:val="0000EE"/>
            <w:u w:val="single"/>
          </w:rPr>
          <w:t>Ef 2.9</w:t>
        </w:r>
      </w:hyperlink>
      <w:r>
        <w:t xml:space="preserve">; </w:t>
      </w:r>
      <w:hyperlink r:id="rId9666">
        <w:r>
          <w:rPr>
            <w:color w:val="0000EE"/>
            <w:u w:val="single"/>
          </w:rPr>
          <w:t>2Tm 3.2</w:t>
        </w:r>
      </w:hyperlink>
      <w:r>
        <w:t>). Paulo associou a ostentação à atitude autoconfiante de alguns judeus que haviam cumprido a lei. Para Paulo, a única ostentação legítima era se gloriar (alegrar-se) no Senhor (</w:t>
      </w:r>
      <w:hyperlink r:id="rId9667">
        <w:r>
          <w:rPr>
            <w:color w:val="0000EE"/>
            <w:u w:val="single"/>
          </w:rPr>
          <w:t>Rm 5.11</w:t>
        </w:r>
      </w:hyperlink>
      <w:r>
        <w:t xml:space="preserve">). </w:t>
      </w:r>
      <w:hyperlink r:id="rId9668">
        <w:r>
          <w:rPr>
            <w:color w:val="0000EE"/>
            <w:u w:val="single"/>
          </w:rPr>
          <w:t>Romanos 5.3</w:t>
        </w:r>
      </w:hyperlink>
      <w:r>
        <w:t xml:space="preserve"> contrasta a visão rabínica de gloriar-se nos sofrimentos com a de Paulo. Paulo acreditava que seus sofrimentos apontavam para o poder de Deus e sua esperança para o futuro.</w:t>
      </w:r>
    </w:p>
    <w:p>
      <w:r/>
      <w:r>
        <w:t>Ao contrário de seus oponentes, Paulo não se gabava comparando-se a outros. Como Cristo trabalhava através dele e Deus o recomendava, ele podia dar glória a Deus (</w:t>
      </w:r>
      <w:hyperlink r:id="rId9669">
        <w:r>
          <w:rPr>
            <w:color w:val="0000EE"/>
            <w:u w:val="single"/>
          </w:rPr>
          <w:t>2Co 3.2–6</w:t>
        </w:r>
      </w:hyperlink>
      <w:r>
        <w:t>;</w:t>
      </w:r>
      <w:hyperlink r:id="rId9670">
        <w:r>
          <w:rPr>
            <w:color w:val="0000EE"/>
            <w:u w:val="single"/>
          </w:rPr>
          <w:t xml:space="preserve"> 10.18</w:t>
        </w:r>
      </w:hyperlink>
      <w:r>
        <w:t>). Paulo preferia se gabar de sua fraqueza e do poder e força do Senhor (</w:t>
      </w:r>
      <w:hyperlink r:id="rId9671">
        <w:r>
          <w:rPr>
            <w:color w:val="0000EE"/>
            <w:u w:val="single"/>
          </w:rPr>
          <w:t>2Co 12.5,9</w:t>
        </w:r>
      </w:hyperlink>
      <w:r>
        <w:t>).</w:t>
      </w:r>
    </w:p>
    <w:p>
      <w:r/>
      <w:r>
        <w:t>O apóstolo elogiou um grupo de cristãos (</w:t>
      </w:r>
      <w:hyperlink r:id="rId9672">
        <w:r>
          <w:rPr>
            <w:color w:val="0000EE"/>
            <w:u w:val="single"/>
          </w:rPr>
          <w:t>2Co 7.4,14</w:t>
        </w:r>
      </w:hyperlink>
      <w:r>
        <w:t xml:space="preserve">; </w:t>
      </w:r>
      <w:hyperlink r:id="rId9673">
        <w:r>
          <w:rPr>
            <w:color w:val="0000EE"/>
            <w:u w:val="single"/>
          </w:rPr>
          <w:t>8.24</w:t>
        </w:r>
      </w:hyperlink>
      <w:r>
        <w:t xml:space="preserve">; </w:t>
      </w:r>
      <w:hyperlink r:id="rId9674">
        <w:r>
          <w:rPr>
            <w:color w:val="0000EE"/>
            <w:u w:val="single"/>
          </w:rPr>
          <w:t>9.2–3</w:t>
        </w:r>
      </w:hyperlink>
      <w:r>
        <w:t>). No entanto, sua intenção era demonstrar confiança neles, não se vangloriar. Paulo não gostava de se gabar, mas o fez para se defender dos críticos na igreja de Corinto. Ele mencionou que aqueles que deveriam tê-lo elogiado, em vez disso, o forçaram a se envolver em uma ostentação "tola" (</w:t>
      </w:r>
      <w:hyperlink r:id="rId9675">
        <w:r>
          <w:rPr>
            <w:color w:val="0000EE"/>
            <w:u w:val="single"/>
          </w:rPr>
          <w:t>2Co 12.11</w:t>
        </w:r>
      </w:hyperlink>
      <w:r>
        <w:t>).</w:t>
      </w:r>
    </w:p>
    <w:p>
      <w:r/>
      <w:r>
        <w:rPr>
          <w:i/>
        </w:rPr>
        <w:t>Veja também</w:t>
      </w:r>
      <w:r>
        <w:t xml:space="preserve"> </w:t>
      </w:r>
      <w:r>
        <w:t>Orgulho</w:t>
      </w:r>
      <w:r>
        <w:t>.</w:t>
      </w:r>
      <w:r/>
      <w:r/>
    </w:p>
    <w:p>
      <w:r/>
    </w:p>
    <w:p>
      <w:pPr>
        <w:pStyle w:val="Heading2"/>
      </w:pPr>
      <w:r>
        <w:t>Gadara*, Gadarenos</w:t>
      </w:r>
      <w:r/>
    </w:p>
    <w:p>
      <w:r/>
      <w:r>
        <w:t>Cidade de Decápolis e seus habitantes, mencionada apenas uma vez nos melhores manuscritos do NT. Jesus havia atravessado para o lado oriental do Mar da Galileia e curado o endemoniado chamado de Legião, a quem ele encontrou no “terra dos gadarenos” (</w:t>
      </w:r>
      <w:hyperlink r:id="rId9676">
        <w:r>
          <w:rPr>
            <w:color w:val="0000EE"/>
            <w:u w:val="single"/>
          </w:rPr>
          <w:t>Mt 8.28</w:t>
        </w:r>
      </w:hyperlink>
      <w:r>
        <w:t xml:space="preserve">). O relato de Marcos em </w:t>
      </w:r>
      <w:hyperlink r:id="rId9677">
        <w:r>
          <w:rPr>
            <w:color w:val="0000EE"/>
            <w:u w:val="single"/>
          </w:rPr>
          <w:t>5.1</w:t>
        </w:r>
      </w:hyperlink>
      <w:r>
        <w:t xml:space="preserve"> e o de Lucas em </w:t>
      </w:r>
      <w:hyperlink r:id="rId9678">
        <w:r>
          <w:rPr>
            <w:color w:val="0000EE"/>
            <w:u w:val="single"/>
          </w:rPr>
          <w:t>8.26,37</w:t>
        </w:r>
      </w:hyperlink>
      <w:r>
        <w:t xml:space="preserve"> dizia “Gerasenos”. (A NTLH, seguindo o Textus Receptus, tem nomes de variantes aqui; em </w:t>
      </w:r>
      <w:hyperlink r:id="rId9676">
        <w:r>
          <w:rPr>
            <w:color w:val="0000EE"/>
            <w:u w:val="single"/>
          </w:rPr>
          <w:t>Mateus 8.28</w:t>
        </w:r>
      </w:hyperlink>
      <w:r>
        <w:t xml:space="preserve"> lê “Gergesenos”, e em Marcos e Lucas lê “Gadarenos”). Os nomes das variantes entre os escritores dos Evangelhos podem ser devido ao fato de que Gerasa era a área geográfica mais ampla da qual Gadara era uma cidade principal. Os geógrafos concluem que o local mais provável para o salto dos porcos no mar teria sido uma faixa de costa íngreme perto de Gergesa, uma cidade menor e menos importante da área. Isso se encaixaria em outra sugestão de que Mateus era um nativo da região e então ele identificou o lugar preciso, enquanto Marcos e Lucas pretendiam apontar a localização geral para seus leitores gregos e romanos, uma vez que Gergesa era pequena e relativamente desconhecida, enquanto Gadara era uma cidade grega de alguma importância.</w:t>
      </w:r>
    </w:p>
    <w:p>
      <w:r/>
      <w:r>
        <w:t xml:space="preserve">O nome Gadara indica que a cidade era de origem semítica. Estava localizada de 8 a 10 quilômetros a sudeste do Mar da Galileia, e seu território incluía as fontes termais de el Hamme, ao norte do rio Yarmuk. A primeira referência a ele na história foi quando foi capturado por Antíoco III (218 a.C.). Mais tarde, foi tomada pelos judeus sob Alexandre Janeu (103 a.C.), e os habitantes foram escravizados e forçados a receber a lei de Moisés. A cidade foi demolida pelos judeus, mas quando a área foi reconquistada por Pompeu, foi reconstruída (63 a.C.). Tornou-se uma cidade livre sob Pompeu e se juntou à federação de cidades gregas na Transjordânia conhecida como Decápolis. Augusto César acrescentou Gadara ao território de Herodes, o Grande (30 a.C.), e na morte de Herodes, foi anexado à Síria (4 a.C.). Durante a rebelião judaica (66–70 d.C.), Vespasiano tomou a cidade, e ela continuou a florescer por muitos anos. Era a sede de um bispado cristão de 325 d.C. até a conquista muçulmana. </w:t>
      </w:r>
      <w:r>
        <w:rPr>
          <w:i/>
        </w:rPr>
        <w:t>Veja</w:t>
      </w:r>
      <w:r>
        <w:t xml:space="preserve"> </w:t>
      </w:r>
      <w:r>
        <w:t>Decápolis</w:t>
      </w:r>
      <w:r>
        <w:t xml:space="preserve">; </w:t>
      </w:r>
      <w:r>
        <w:t>Gerasenos</w:t>
      </w:r>
      <w:r>
        <w:t xml:space="preserve">; </w:t>
      </w:r>
      <w:r>
        <w:t>Gergesa, Gergesenos</w:t>
      </w:r>
      <w:r>
        <w:t>.</w:t>
      </w:r>
      <w:r/>
      <w:r/>
    </w:p>
    <w:p>
      <w:r/>
    </w:p>
    <w:p>
      <w:pPr>
        <w:pStyle w:val="Heading2"/>
      </w:pPr>
      <w:r>
        <w:t>Gade (Pessoa)</w:t>
      </w:r>
      <w:r/>
    </w:p>
    <w:p>
      <w:pPr>
        <w:pStyle w:val="ListNumber"/>
        <w:spacing w:line="240" w:lineRule="auto"/>
        <w:ind w:left="720"/>
      </w:pPr>
      <w:r/>
      <w:r>
        <w:t>Um dos 12 filhos de Jacó (</w:t>
      </w:r>
      <w:hyperlink r:id="rId9679">
        <w:r>
          <w:rPr>
            <w:color w:val="0000EE"/>
            <w:u w:val="single"/>
          </w:rPr>
          <w:t>Gn 35.26</w:t>
        </w:r>
      </w:hyperlink>
      <w:r>
        <w:t xml:space="preserve">; </w:t>
      </w:r>
      <w:hyperlink r:id="rId9680">
        <w:r>
          <w:rPr>
            <w:color w:val="0000EE"/>
            <w:u w:val="single"/>
          </w:rPr>
          <w:t>1Cr 2.2</w:t>
        </w:r>
      </w:hyperlink>
      <w:r>
        <w:t>). Sua mãe era Zilpa, que servia como serva da esposa de Jacó, Lia. Quando Gade nasceu, Lia ficou muito feliz e o chamou de Gade, que significa "boa sorte" (</w:t>
      </w:r>
      <w:hyperlink r:id="rId9681">
        <w:r>
          <w:rPr>
            <w:color w:val="0000EE"/>
            <w:u w:val="single"/>
          </w:rPr>
          <w:t>Gn 30.11</w:t>
        </w:r>
      </w:hyperlink>
      <w:r>
        <w:t>). Mais tarde, Gade e sua família se mudaram com Jacó para o Egito (</w:t>
      </w:r>
      <w:hyperlink r:id="rId6456">
        <w:r>
          <w:rPr>
            <w:color w:val="0000EE"/>
            <w:u w:val="single"/>
          </w:rPr>
          <w:t>Êx 1.4</w:t>
        </w:r>
      </w:hyperlink>
      <w:r>
        <w:t>).</w:t>
      </w:r>
    </w:p>
    <w:p>
      <w:r/>
      <w:r>
        <w:t xml:space="preserve">Antes de Jacó morrer, ele deu bênçãos especiais a cada um de seus filhos. Ele disse a Gade que inimigos frequentemente atacariam seu povo, mas eles revidariam com sucesso e venceriam (veja </w:t>
      </w:r>
      <w:hyperlink r:id="rId9682">
        <w:r>
          <w:rPr>
            <w:color w:val="0000EE"/>
            <w:u w:val="single"/>
          </w:rPr>
          <w:t>Gn 49.19</w:t>
        </w:r>
      </w:hyperlink>
      <w:r>
        <w:t xml:space="preserve"> e o artigo </w:t>
      </w:r>
      <w:r>
        <w:t>Gade, Tribo de</w:t>
      </w:r>
      <w:r>
        <w:t>).</w:t>
      </w:r>
    </w:p>
    <w:p>
      <w:r/>
      <w:r>
        <w:t>Gade teve sete filhos (</w:t>
      </w:r>
      <w:hyperlink r:id="rId2469">
        <w:r>
          <w:rPr>
            <w:color w:val="0000EE"/>
            <w:u w:val="single"/>
          </w:rPr>
          <w:t>Gn 46.16</w:t>
        </w:r>
      </w:hyperlink>
      <w:r>
        <w:t>). Seus descendentes ficaram conhecidos como os gaditas (</w:t>
      </w:r>
      <w:hyperlink r:id="rId2525">
        <w:r>
          <w:rPr>
            <w:color w:val="0000EE"/>
            <w:u w:val="single"/>
          </w:rPr>
          <w:t>Dt 3.12,16</w:t>
        </w:r>
      </w:hyperlink>
      <w:r>
        <w:t>). Os gaditas formaram uma das 12 tribos de Israel (</w:t>
      </w:r>
      <w:hyperlink r:id="rId6787">
        <w:r>
          <w:rPr>
            <w:color w:val="0000EE"/>
            <w:u w:val="single"/>
          </w:rPr>
          <w:t>Nm 2.14</w:t>
        </w:r>
      </w:hyperlink>
      <w:r>
        <w:t>).</w:t>
      </w:r>
    </w:p>
    <w:p>
      <w:r/>
      <w:r>
        <w:rPr>
          <w:i/>
        </w:rPr>
        <w:t>Veja também</w:t>
      </w:r>
      <w:r>
        <w:t xml:space="preserve"> </w:t>
      </w:r>
      <w:r>
        <w:t>Gade, Tribo de</w:t>
      </w:r>
      <w:r>
        <w:t>.</w:t>
      </w:r>
    </w:p>
    <w:p>
      <w:pPr>
        <w:pStyle w:val="ListNumber"/>
        <w:spacing w:line="240" w:lineRule="auto"/>
        <w:ind w:left="720"/>
      </w:pPr>
      <w:r/>
      <w:r>
        <w:t>Um profeta e vidente durante o reinado de Davi. Ele deu conselhos de Deus a Davi sobre onde ir e o que fazer. Quando Davi estava se escondendo de seus inimigos, Gade lhe disse para deixar a cidade de Mispa em Moabe e voltar para a terra de Judá (</w:t>
      </w:r>
      <w:hyperlink r:id="rId9683">
        <w:r>
          <w:rPr>
            <w:color w:val="0000EE"/>
            <w:u w:val="single"/>
          </w:rPr>
          <w:t>1Sm 22.5</w:t>
        </w:r>
      </w:hyperlink>
      <w:r>
        <w:t>). Mais tarde, quando Davi contou seus soldados contra a vontade de Deus, Gade lhe falou sobre o castigo de Deus (</w:t>
      </w:r>
      <w:hyperlink r:id="rId9684">
        <w:r>
          <w:rPr>
            <w:color w:val="0000EE"/>
            <w:u w:val="single"/>
          </w:rPr>
          <w:t>2Sm 24.11–14,18–19</w:t>
        </w:r>
      </w:hyperlink>
      <w:r>
        <w:t xml:space="preserve">; </w:t>
      </w:r>
      <w:hyperlink r:id="rId9685">
        <w:r>
          <w:rPr>
            <w:color w:val="0000EE"/>
            <w:u w:val="single"/>
          </w:rPr>
          <w:t>1Cr 21.9–19</w:t>
        </w:r>
      </w:hyperlink>
      <w:r>
        <w:t>).</w:t>
      </w:r>
    </w:p>
    <w:p>
      <w:r/>
      <w:r>
        <w:t>Gade também ajudou Davi e outro profeta chamado Natã a organizar como as pessoas adorariam a Deus no templo (</w:t>
      </w:r>
      <w:hyperlink r:id="rId9686">
        <w:r>
          <w:rPr>
            <w:color w:val="0000EE"/>
            <w:u w:val="single"/>
          </w:rPr>
          <w:t>2Cr 29.25</w:t>
        </w:r>
      </w:hyperlink>
      <w:r>
        <w:t>). Ele documentou os eventos da vida de Davi como um registro para as gerações futuras (</w:t>
      </w:r>
      <w:hyperlink r:id="rId6145">
        <w:r>
          <w:rPr>
            <w:color w:val="0000EE"/>
            <w:u w:val="single"/>
          </w:rPr>
          <w:t>1Cr 29.29</w:t>
        </w:r>
      </w:hyperlink>
      <w:r>
        <w:t>).</w:t>
      </w:r>
      <w:r/>
      <w:r/>
    </w:p>
    <w:p>
      <w:r/>
    </w:p>
    <w:p>
      <w:pPr>
        <w:pStyle w:val="Heading2"/>
      </w:pPr>
      <w:r>
        <w:t>Gade, tribo de</w:t>
      </w:r>
      <w:r/>
    </w:p>
    <w:p>
      <w:pPr>
        <w:pStyle w:val="Heading3"/>
      </w:pPr>
      <w:r>
        <w:t>O começo da tribo de Gade</w:t>
      </w:r>
    </w:p>
    <w:p>
      <w:r/>
      <w:r>
        <w:t>A tribo israelita descendia do sétimo filho de Jacó, Gade (</w:t>
      </w:r>
      <w:hyperlink r:id="rId9681">
        <w:r>
          <w:rPr>
            <w:color w:val="0000EE"/>
            <w:u w:val="single"/>
          </w:rPr>
          <w:t>Gn 30.11</w:t>
        </w:r>
      </w:hyperlink>
      <w:r>
        <w:t xml:space="preserve">; </w:t>
      </w:r>
      <w:hyperlink r:id="rId9687">
        <w:r>
          <w:rPr>
            <w:color w:val="0000EE"/>
            <w:u w:val="single"/>
          </w:rPr>
          <w:t>Nm 1.24–25</w:t>
        </w:r>
      </w:hyperlink>
      <w:r>
        <w:t>). Era a oitava maior tribo entre aquelas que saíram do Egito com Moisés, com base no número de guerreiros contados (</w:t>
      </w:r>
      <w:hyperlink r:id="rId2400">
        <w:r>
          <w:rPr>
            <w:color w:val="0000EE"/>
            <w:u w:val="single"/>
          </w:rPr>
          <w:t>Nm 1.1–3,24–25</w:t>
        </w:r>
      </w:hyperlink>
      <w:r>
        <w:t>). A tribo era conhecida por criar gado e tinha a reputação de ser feroz em batalha (</w:t>
      </w:r>
      <w:hyperlink r:id="rId560">
        <w:r>
          <w:rPr>
            <w:color w:val="0000EE"/>
            <w:u w:val="single"/>
          </w:rPr>
          <w:t>Nm 32.1</w:t>
        </w:r>
      </w:hyperlink>
      <w:r>
        <w:t xml:space="preserve">; </w:t>
      </w:r>
      <w:hyperlink r:id="rId9688">
        <w:r>
          <w:rPr>
            <w:color w:val="0000EE"/>
            <w:u w:val="single"/>
          </w:rPr>
          <w:t>Dt 33.20</w:t>
        </w:r>
      </w:hyperlink>
      <w:r>
        <w:t>).</w:t>
      </w:r>
    </w:p>
    <w:p>
      <w:r/>
      <w:r>
        <w:t>Durante o período no deserto, a tribo de Gade foi liderada por Eliasafe, filho de Deuel (</w:t>
      </w:r>
      <w:hyperlink r:id="rId6784">
        <w:r>
          <w:rPr>
            <w:color w:val="0000EE"/>
            <w:u w:val="single"/>
          </w:rPr>
          <w:t>Nm 1.14</w:t>
        </w:r>
      </w:hyperlink>
      <w:r>
        <w:t xml:space="preserve">; </w:t>
      </w:r>
      <w:hyperlink r:id="rId6787">
        <w:r>
          <w:rPr>
            <w:color w:val="0000EE"/>
            <w:u w:val="single"/>
          </w:rPr>
          <w:t>2.14</w:t>
        </w:r>
      </w:hyperlink>
      <w:r>
        <w:t xml:space="preserve">; </w:t>
      </w:r>
      <w:hyperlink r:id="rId9689">
        <w:r>
          <w:rPr>
            <w:color w:val="0000EE"/>
            <w:u w:val="single"/>
          </w:rPr>
          <w:t>7.42</w:t>
        </w:r>
      </w:hyperlink>
      <w:r>
        <w:t xml:space="preserve">; </w:t>
      </w:r>
      <w:hyperlink r:id="rId6786">
        <w:r>
          <w:rPr>
            <w:color w:val="0000EE"/>
            <w:u w:val="single"/>
          </w:rPr>
          <w:t>10.20</w:t>
        </w:r>
      </w:hyperlink>
      <w:r>
        <w:t>). Quando os israelitas acampavam, Gade estava posicionado ao sul do Tabernáculo, atrás das tribos de Rúben e Simeão (</w:t>
      </w:r>
      <w:hyperlink r:id="rId9690">
        <w:r>
          <w:rPr>
            <w:color w:val="0000EE"/>
            <w:u w:val="single"/>
          </w:rPr>
          <w:t>Nm 2.14–15</w:t>
        </w:r>
      </w:hyperlink>
      <w:r>
        <w:t>). A tribo é mencionada durante a oferta tribal ao Tabernáculo e após a praga que Deus trouxe sobre Israel (</w:t>
      </w:r>
      <w:hyperlink r:id="rId9691">
        <w:r>
          <w:rPr>
            <w:color w:val="0000EE"/>
            <w:u w:val="single"/>
          </w:rPr>
          <w:t>Nm 7.42–47</w:t>
        </w:r>
      </w:hyperlink>
      <w:r>
        <w:t xml:space="preserve">; </w:t>
      </w:r>
      <w:hyperlink r:id="rId9692">
        <w:r>
          <w:rPr>
            <w:color w:val="0000EE"/>
            <w:u w:val="single"/>
          </w:rPr>
          <w:t>26.15,18</w:t>
        </w:r>
      </w:hyperlink>
      <w:r>
        <w:t>). Geuel, filho de Maqui, representou a tribo de Gade como um dos 12 espiões enviados por Moisés para explorar a terra de Canaã (</w:t>
      </w:r>
      <w:hyperlink r:id="rId9693">
        <w:r>
          <w:rPr>
            <w:color w:val="0000EE"/>
            <w:u w:val="single"/>
          </w:rPr>
          <w:t>Nm 13.15</w:t>
        </w:r>
      </w:hyperlink>
      <w:r>
        <w:t>).</w:t>
      </w:r>
    </w:p>
    <w:p>
      <w:pPr>
        <w:pStyle w:val="Heading3"/>
      </w:pPr>
      <w:r>
        <w:t>O território da tribo de Gade</w:t>
      </w:r>
    </w:p>
    <w:p>
      <w:r/>
      <w:r>
        <w:t>Quando os israelitas se aproximaram da Terra Prometida, as tribos de Gade, Rúben e metade da tribo de Manassés pediram para viver a leste do rio Jordão. A terra ali era adequada para o seu gado (</w:t>
      </w:r>
      <w:hyperlink r:id="rId9694">
        <w:r>
          <w:rPr>
            <w:color w:val="0000EE"/>
            <w:u w:val="single"/>
          </w:rPr>
          <w:t>Nm 32.1–2</w:t>
        </w:r>
      </w:hyperlink>
      <w:r>
        <w:t>). Moisés concedeu esse pedido com a condição de que eles ajudassem na conquista de Canaã (</w:t>
      </w:r>
      <w:hyperlink r:id="rId9695">
        <w:r>
          <w:rPr>
            <w:color w:val="0000EE"/>
            <w:u w:val="single"/>
          </w:rPr>
          <w:t>Nm 32.20–22</w:t>
        </w:r>
      </w:hyperlink>
      <w:r>
        <w:t xml:space="preserve">; </w:t>
      </w:r>
      <w:hyperlink r:id="rId9696">
        <w:r>
          <w:rPr>
            <w:color w:val="0000EE"/>
            <w:u w:val="single"/>
          </w:rPr>
          <w:t>Js 1.12–18</w:t>
        </w:r>
      </w:hyperlink>
      <w:r>
        <w:t>). Durante a conquista sob Josué, a tribo de Gade é mencionada especificamente na batalha de Jericó (</w:t>
      </w:r>
      <w:hyperlink r:id="rId9697">
        <w:r>
          <w:rPr>
            <w:color w:val="0000EE"/>
            <w:u w:val="single"/>
          </w:rPr>
          <w:t>Js 4.12</w:t>
        </w:r>
      </w:hyperlink>
      <w:r>
        <w:t xml:space="preserve">). Após a conquista, Gade, junto com Rúben e metade de Manassés, se estabeleceram em sua terra a leste do rio Jordão (cp. </w:t>
      </w:r>
      <w:hyperlink r:id="rId9698">
        <w:r>
          <w:rPr>
            <w:color w:val="0000EE"/>
            <w:u w:val="single"/>
          </w:rPr>
          <w:t>Nm 34.13–14</w:t>
        </w:r>
      </w:hyperlink>
      <w:r>
        <w:t xml:space="preserve">; </w:t>
      </w:r>
      <w:hyperlink r:id="rId9699">
        <w:r>
          <w:rPr>
            <w:color w:val="0000EE"/>
            <w:u w:val="single"/>
          </w:rPr>
          <w:t>Js 12.6</w:t>
        </w:r>
      </w:hyperlink>
      <w:r>
        <w:t xml:space="preserve">; </w:t>
      </w:r>
      <w:hyperlink r:id="rId9700">
        <w:r>
          <w:rPr>
            <w:color w:val="0000EE"/>
            <w:u w:val="single"/>
          </w:rPr>
          <w:t>13.8</w:t>
        </w:r>
      </w:hyperlink>
      <w:r>
        <w:t>).</w:t>
      </w:r>
    </w:p>
    <w:p>
      <w:r/>
      <w:r>
        <w:t>A herança de Gade estava entre a tribo de Manassés ao norte e a tribo de Rúben ao sul. Sua fronteira oriental era o Deserto Arábico, e sua fronteira ocidental era o Rio Jordão. A região não tinha fronteiras claramente definidas entre as duas tribos e meia. Toda a área era comumente referida como Gileade e Basã (</w:t>
      </w:r>
      <w:hyperlink r:id="rId2535">
        <w:r>
          <w:rPr>
            <w:color w:val="0000EE"/>
            <w:u w:val="single"/>
          </w:rPr>
          <w:t>2Rs 10.33</w:t>
        </w:r>
      </w:hyperlink>
      <w:r>
        <w:t>). O território de Gade se estendia ao norte até o Mar de Quinerete (Galileia) e ao sul até as cidades de Aroer e Hesbom, com o Rio Jaboque sendo a fronteira oriental nas montanhas (</w:t>
      </w:r>
      <w:hyperlink r:id="rId9701">
        <w:r>
          <w:rPr>
            <w:color w:val="0000EE"/>
            <w:u w:val="single"/>
          </w:rPr>
          <w:t>Dt 3.12–13</w:t>
        </w:r>
      </w:hyperlink>
      <w:r>
        <w:t xml:space="preserve">; </w:t>
      </w:r>
      <w:hyperlink r:id="rId9702">
        <w:r>
          <w:rPr>
            <w:color w:val="0000EE"/>
            <w:u w:val="single"/>
          </w:rPr>
          <w:t>Js 12.1–6</w:t>
        </w:r>
      </w:hyperlink>
      <w:r>
        <w:t xml:space="preserve">; </w:t>
      </w:r>
      <w:hyperlink r:id="rId9703">
        <w:r>
          <w:rPr>
            <w:color w:val="0000EE"/>
            <w:u w:val="single"/>
          </w:rPr>
          <w:t>13.24–28</w:t>
        </w:r>
      </w:hyperlink>
      <w:r>
        <w:t>).</w:t>
      </w:r>
    </w:p>
    <w:p>
      <w:pPr>
        <w:pStyle w:val="Heading3"/>
      </w:pPr>
      <w:r>
        <w:t>Interação de Gade com outras tribos</w:t>
      </w:r>
    </w:p>
    <w:p>
      <w:r/>
      <w:r>
        <w:t>A história de Gade, desde seu assentamento até o cativeiro babilônico, esteve intimamente ligada às tribos de Rúben e Manassés. Pouco depois de se estabelecerem em sua terra, essas tribos quase causaram uma guerra civil ao construir um grande altar (</w:t>
      </w:r>
      <w:hyperlink r:id="rId1128">
        <w:r>
          <w:rPr>
            <w:color w:val="0000EE"/>
            <w:u w:val="single"/>
          </w:rPr>
          <w:t>Js 22.10–34</w:t>
        </w:r>
      </w:hyperlink>
      <w:r>
        <w:t>). Durante o tempo dos juízes, os gaditas, juntamente com outros habitantes de Gileade, foram ameaçados pelos amonitas até serem derrotados por Jefté (Jz 11). Alguns membros da tribo de Gade se juntaram a Davi em Ziclague durante seu exílio (</w:t>
      </w:r>
      <w:hyperlink r:id="rId9704">
        <w:r>
          <w:rPr>
            <w:color w:val="0000EE"/>
            <w:u w:val="single"/>
          </w:rPr>
          <w:t>1Cr 12.14,37</w:t>
        </w:r>
      </w:hyperlink>
      <w:r>
        <w:t>). No 14º ano do reinado de Davi, Gade e as outras duas tribos e meia foram organizadas sob a supervisão de um encarregado chamado Jerias (</w:t>
      </w:r>
      <w:hyperlink r:id="rId4890">
        <w:r>
          <w:rPr>
            <w:color w:val="0000EE"/>
            <w:u w:val="single"/>
          </w:rPr>
          <w:t>1Cr 26.30–32</w:t>
        </w:r>
      </w:hyperlink>
      <w:r>
        <w:t>).</w:t>
      </w:r>
    </w:p>
    <w:p>
      <w:pPr>
        <w:pStyle w:val="Heading3"/>
      </w:pPr>
      <w:r>
        <w:t>História posterior</w:t>
      </w:r>
    </w:p>
    <w:p>
      <w:r/>
      <w:r>
        <w:t>Durante o período do reino dividido, as tribos a leste do Jordão foram frequentemente atacadas. Durante o reinado de Jeú, de 841 a 814 a.C., o rei arameu Hazael assumiu o controle de toda a terra a leste do Jordão, incluindo o território de Gade. Mais tarde, os gaditas foram levados cativos por Tiglate-Pileser, rei da Assíria (</w:t>
      </w:r>
      <w:hyperlink r:id="rId3165">
        <w:r>
          <w:rPr>
            <w:color w:val="0000EE"/>
            <w:u w:val="single"/>
          </w:rPr>
          <w:t>2Rs 15.29</w:t>
        </w:r>
      </w:hyperlink>
      <w:r>
        <w:t xml:space="preserve">; </w:t>
      </w:r>
      <w:hyperlink r:id="rId9705">
        <w:r>
          <w:rPr>
            <w:color w:val="0000EE"/>
            <w:u w:val="single"/>
          </w:rPr>
          <w:t>1Cr 5.26–27</w:t>
        </w:r>
      </w:hyperlink>
      <w:r>
        <w:t>). Após isso, os amonitas ocuparam a terra de Gade (</w:t>
      </w:r>
      <w:hyperlink r:id="rId9706">
        <w:r>
          <w:rPr>
            <w:color w:val="0000EE"/>
            <w:u w:val="single"/>
          </w:rPr>
          <w:t>Jr 49.1</w:t>
        </w:r>
      </w:hyperlink>
      <w:r>
        <w:t>).</w:t>
      </w:r>
    </w:p>
    <w:p>
      <w:r/>
      <w:r>
        <w:t>No período após o exílio na Babilônia, Gade é mencionado apenas uma vez, na visão de Ezequiel sobre a restauração de Israel (</w:t>
      </w:r>
      <w:hyperlink r:id="rId8018">
        <w:r>
          <w:rPr>
            <w:color w:val="0000EE"/>
            <w:u w:val="single"/>
          </w:rPr>
          <w:t>Ez 48.1,27–28,34</w:t>
        </w:r>
      </w:hyperlink>
      <w:r>
        <w:t>). No Novo Testamento, a tribo de Gade é listada entre as tribos seladas por Deus no livro de Apocalipse (</w:t>
      </w:r>
      <w:hyperlink r:id="rId9707">
        <w:r>
          <w:rPr>
            <w:color w:val="0000EE"/>
            <w:u w:val="single"/>
          </w:rPr>
          <w:t>Ap 7.5</w:t>
        </w:r>
      </w:hyperlink>
      <w:r>
        <w:t>).</w:t>
      </w:r>
    </w:p>
    <w:p>
      <w:r/>
      <w:r>
        <w:rPr>
          <w:i/>
        </w:rPr>
        <w:t>Veja também</w:t>
      </w:r>
      <w:r>
        <w:t xml:space="preserve"> </w:t>
      </w:r>
      <w:r>
        <w:t>Israel, História de</w:t>
      </w:r>
      <w:r>
        <w:t xml:space="preserve">; </w:t>
      </w:r>
      <w:r>
        <w:t>Gade (Pessoa) #1</w:t>
      </w:r>
      <w:r>
        <w:t>.</w:t>
      </w:r>
      <w:r/>
      <w:r/>
    </w:p>
    <w:p>
      <w:r/>
    </w:p>
    <w:p>
      <w:pPr>
        <w:pStyle w:val="Heading2"/>
      </w:pPr>
      <w:r>
        <w:t>Gadi</w:t>
      </w:r>
      <w:r/>
    </w:p>
    <w:p>
      <w:r/>
      <w:r>
        <w:t>Um homem da tribo de Manassés. Moisés o enviou para explorar a terra de Canaã (</w:t>
      </w:r>
      <w:hyperlink r:id="rId9708">
        <w:r>
          <w:rPr>
            <w:color w:val="0000EE"/>
            <w:u w:val="single"/>
          </w:rPr>
          <w:t>Nm 13.11</w:t>
        </w:r>
      </w:hyperlink>
      <w:r>
        <w:t>).</w:t>
      </w:r>
      <w:r/>
      <w:r/>
    </w:p>
    <w:p>
      <w:r/>
    </w:p>
    <w:p>
      <w:pPr>
        <w:pStyle w:val="Heading2"/>
      </w:pPr>
      <w:r>
        <w:t>Gadiel</w:t>
      </w:r>
      <w:r/>
    </w:p>
    <w:p>
      <w:r/>
      <w:r>
        <w:t>O filho de Sodi da tribo de Zebulom. Moisés enviou Gadiel para explorar a terra de Canaã (</w:t>
      </w:r>
      <w:hyperlink r:id="rId9709">
        <w:r>
          <w:rPr>
            <w:color w:val="0000EE"/>
            <w:u w:val="single"/>
          </w:rPr>
          <w:t>Nm 13.10</w:t>
        </w:r>
      </w:hyperlink>
      <w:r>
        <w:t>).</w:t>
      </w:r>
      <w:r/>
      <w:r/>
    </w:p>
    <w:p>
      <w:r/>
    </w:p>
    <w:p>
      <w:pPr>
        <w:pStyle w:val="Heading2"/>
      </w:pPr>
      <w:r>
        <w:t>Gadita</w:t>
      </w:r>
      <w:r/>
    </w:p>
    <w:p>
      <w:r/>
      <w:r>
        <w:t>Um membro da tribo de Gade (</w:t>
      </w:r>
      <w:hyperlink r:id="rId2525">
        <w:r>
          <w:rPr>
            <w:color w:val="0000EE"/>
            <w:u w:val="single"/>
          </w:rPr>
          <w:t>Dt 3.12,16</w:t>
        </w:r>
      </w:hyperlink>
      <w:r>
        <w:t>). Os textos de Deuteronômio mencionados, literalmente em hebraico está "gadita" ao invés de "da tribo de Gade".</w:t>
      </w:r>
    </w:p>
    <w:p>
      <w:r/>
      <w:r>
        <w:rPr>
          <w:i/>
        </w:rPr>
        <w:t>Veja</w:t>
      </w:r>
      <w:r>
        <w:t xml:space="preserve"> </w:t>
      </w:r>
      <w:r>
        <w:t>Gade (Pessoa) #1</w:t>
      </w:r>
      <w:r>
        <w:t xml:space="preserve">; </w:t>
      </w:r>
      <w:r>
        <w:t>Gade, Tribo de</w:t>
      </w:r>
      <w:r>
        <w:t>.</w:t>
      </w:r>
      <w:r/>
      <w:r/>
    </w:p>
    <w:p>
      <w:r/>
    </w:p>
    <w:p>
      <w:pPr>
        <w:pStyle w:val="Heading2"/>
      </w:pPr>
      <w:r>
        <w:t>Gaetã</w:t>
      </w:r>
      <w:r/>
    </w:p>
    <w:p>
      <w:r/>
      <w:r>
        <w:t>O neto de Esaú, o quarto filho de Elifaz e um chefe edomita (</w:t>
      </w:r>
      <w:hyperlink r:id="rId9710">
        <w:r>
          <w:rPr>
            <w:color w:val="0000EE"/>
            <w:u w:val="single"/>
          </w:rPr>
          <w:t>Gn 36.11,16</w:t>
        </w:r>
      </w:hyperlink>
      <w:r>
        <w:t xml:space="preserve">; </w:t>
      </w:r>
      <w:hyperlink r:id="rId1031">
        <w:r>
          <w:rPr>
            <w:color w:val="0000EE"/>
            <w:u w:val="single"/>
          </w:rPr>
          <w:t>1Cr 1.36</w:t>
        </w:r>
      </w:hyperlink>
      <w:r>
        <w:t>).</w:t>
      </w:r>
      <w:r/>
      <w:r/>
    </w:p>
    <w:p>
      <w:r/>
    </w:p>
    <w:p>
      <w:pPr>
        <w:pStyle w:val="Heading2"/>
      </w:pPr>
      <w:r>
        <w:t>Gaio</w:t>
      </w:r>
      <w:r/>
    </w:p>
    <w:p>
      <w:pPr>
        <w:pStyle w:val="ListNumber"/>
        <w:spacing w:line="240" w:lineRule="auto"/>
        <w:ind w:left="720"/>
      </w:pPr>
      <w:r/>
      <w:r>
        <w:t>Um homem da Macedônia que viajou com o apóstolo Paulo durante a terceira viagem missionária do apóstolo. Manifestantes agarraram Gaio e Aristarco em Éfeso. Demétrio, o ourives, iniciou o tumulto (</w:t>
      </w:r>
      <w:hyperlink r:id="rId2496">
        <w:r>
          <w:rPr>
            <w:color w:val="0000EE"/>
            <w:u w:val="single"/>
          </w:rPr>
          <w:t>At 19.29</w:t>
        </w:r>
      </w:hyperlink>
      <w:r>
        <w:t>).</w:t>
      </w:r>
    </w:p>
    <w:p>
      <w:pPr>
        <w:pStyle w:val="ListNumber"/>
        <w:spacing w:line="240" w:lineRule="auto"/>
        <w:ind w:left="720"/>
      </w:pPr>
      <w:r/>
      <w:r>
        <w:t>Um homem de Derbe na Licaônia (uma região no que é agora a Turquia). Ele viajou com o apóstolo Paulo de Éfeso para a Macedônia (</w:t>
      </w:r>
      <w:hyperlink r:id="rId2497">
        <w:r>
          <w:rPr>
            <w:color w:val="0000EE"/>
            <w:u w:val="single"/>
          </w:rPr>
          <w:t>At 20.4</w:t>
        </w:r>
      </w:hyperlink>
      <w:r>
        <w:t>). Alguns o identificaram com o número 1 acima.</w:t>
      </w:r>
    </w:p>
    <w:p>
      <w:pPr>
        <w:pStyle w:val="ListNumber"/>
        <w:spacing w:line="240" w:lineRule="auto"/>
        <w:ind w:left="720"/>
      </w:pPr>
      <w:r/>
      <w:r>
        <w:t>Um cristão importante em Corinto. Ele hospedou Paulo e toda a igreja lá (</w:t>
      </w:r>
      <w:hyperlink r:id="rId4126">
        <w:r>
          <w:rPr>
            <w:color w:val="0000EE"/>
            <w:u w:val="single"/>
          </w:rPr>
          <w:t>Rm 16.23</w:t>
        </w:r>
      </w:hyperlink>
      <w:r>
        <w:t xml:space="preserve">). Paulo escreveu a carta aos Romanos em Corinto. Portanto, o Gaio mencionado em </w:t>
      </w:r>
      <w:hyperlink r:id="rId4382">
        <w:r>
          <w:rPr>
            <w:color w:val="0000EE"/>
            <w:u w:val="single"/>
          </w:rPr>
          <w:t>1Co 1.14</w:t>
        </w:r>
      </w:hyperlink>
      <w:r>
        <w:t xml:space="preserve"> é provavelmente a mesma pessoa. Se for assim, Paulo o batizou.</w:t>
      </w:r>
    </w:p>
    <w:p>
      <w:pPr>
        <w:pStyle w:val="ListNumber"/>
        <w:spacing w:line="240" w:lineRule="auto"/>
        <w:ind w:left="720"/>
      </w:pPr>
      <w:r/>
      <w:r>
        <w:t>Um homem a quem o apóstolo João dirigiu sua terceira carta (</w:t>
      </w:r>
      <w:hyperlink r:id="rId9711">
        <w:r>
          <w:rPr>
            <w:color w:val="0000EE"/>
            <w:u w:val="single"/>
          </w:rPr>
          <w:t>3Jo 1.1</w:t>
        </w:r>
      </w:hyperlink>
      <w:r>
        <w:t>).</w:t>
      </w:r>
      <w:r/>
      <w:r/>
    </w:p>
    <w:p>
      <w:r/>
    </w:p>
    <w:p>
      <w:pPr>
        <w:pStyle w:val="Heading2"/>
      </w:pPr>
      <w:r>
        <w:t>Gaivota*</w:t>
      </w:r>
      <w:r/>
    </w:p>
    <w:p>
      <w:r/>
      <w:r>
        <w:t xml:space="preserve">Qualquer um dos vários pássaros da família Larídea. A NTLH traduz como “gaivota” (ARC “cuco”) em </w:t>
      </w:r>
      <w:hyperlink r:id="rId9712">
        <w:r>
          <w:rPr>
            <w:color w:val="0000EE"/>
            <w:u w:val="single"/>
          </w:rPr>
          <w:t>Levítico 11.16</w:t>
        </w:r>
      </w:hyperlink>
      <w:r>
        <w:t xml:space="preserve"> e </w:t>
      </w:r>
      <w:hyperlink r:id="rId9713">
        <w:r>
          <w:rPr>
            <w:color w:val="0000EE"/>
            <w:u w:val="single"/>
          </w:rPr>
          <w:t>Deuteronômio 14.15</w:t>
        </w:r>
      </w:hyperlink>
      <w:r>
        <w:t xml:space="preserve"> é incerto. </w:t>
        <w:br/>
        <w:br/>
      </w:r>
      <w:r>
        <w:rPr>
          <w:i/>
        </w:rPr>
        <w:t>Veja</w:t>
      </w:r>
      <w:r>
        <w:t xml:space="preserve"> </w:t>
      </w:r>
      <w:r>
        <w:t>Pássaros (Gaivota)</w:t>
      </w:r>
      <w:r>
        <w:t>.</w:t>
      </w:r>
      <w:r/>
      <w:r/>
    </w:p>
    <w:p>
      <w:r/>
    </w:p>
    <w:p>
      <w:pPr>
        <w:pStyle w:val="Heading2"/>
      </w:pPr>
      <w:r>
        <w:t>Galácia</w:t>
      </w:r>
      <w:r/>
    </w:p>
    <w:p>
      <w:r/>
      <w:r>
        <w:t>Galácia foi um antigo reino nas planícies centrais da Ásia Menor (atual Turquia). Foi formado quando pessoas chamadas gauleses se mudaram para lá vindas da Europa Ocidental.</w:t>
      </w:r>
    </w:p>
    <w:p>
      <w:pPr>
        <w:pStyle w:val="Heading3"/>
      </w:pPr>
      <w:r>
        <w:t>História antiga</w:t>
      </w:r>
    </w:p>
    <w:p>
      <w:r/>
      <w:r>
        <w:t>Os Gauleses (também chamados de Celtas) eram um grupo de pessoas conhecidas por seu poder militar. Em 390 a.C., eles capturaram a cidade de Roma. Mais tarde, tentaram conquistar a Grécia, mas foram derrotados. Após essa derrota, eles se mudaram para a Ásia Menor. Inicialmente, os Gauleses se espalharam por grande parte da Ásia Menor. No entanto, em 230 a.C., um governante chamado Átalo I os derrotou. Após essa derrota, tiveram que viver em uma área menor, que passou a ser conhecida como Galácia. Naquela época, os Gauleses eram compostos por três tribos: os Trocmi, Tolistobogii e Tectosages. Essas tribos se estabeleceram nas cidades de Tavium, Pessinus e Ancira. Em 189 a.C., esses Gálatas ficaram sob o controle dos Romanos, mas foram autorizados a se governar.</w:t>
      </w:r>
    </w:p>
    <w:p>
      <w:pPr>
        <w:pStyle w:val="Heading3"/>
      </w:pPr>
      <w:r>
        <w:t>História de Roma</w:t>
      </w:r>
    </w:p>
    <w:p>
      <w:r/>
      <w:r>
        <w:t>Após a morte do Rei Amintas em 25 a.C., a Galácia tornou-se uma província romana. Seus limites consistiam nas áreas étnicas da Galácia propriamente dita. Além disso, Licaônia, Isáuria e partes da Frígia e Pisídia faziam parte dela. Isso incluía as cidades de Derbe, Listra, Icônio e Antioquia da Pisídia. O apóstolo Paulo visitou todas essas cidades em sua primeira viagem missionária. As pessoas usam o termo “Galácia” de duas maneiras diferentes. Pode descrever a área ocupada pelos gauleses no norte ou pode descrever toda a província romana, que incluía as cidades do sul. Portanto, há debate sobre o destino da carta de Paulo aos Gálatas.</w:t>
      </w:r>
    </w:p>
    <w:p>
      <w:r/>
      <w:r>
        <w:t>Os primeiros habitantes do norte da Galácia foram os Frígios. Muitos ainda residiam lá no primeiro século d.C. Alguns gregos e uma grande comunidade judaica também viviam na região. Embora muitos grupos diferentes habitassem o local, o povo celta tornou-se o maior e mais influente grupo. Os Celtas eram conhecidos por sua independência. No entanto, também tinham a reputação de beber em excesso e realizar celebrações extravagantes. Em suas crenças religiosas, eram bastante supersticiosos. Eles eram especialmente atraídos pela adoração de uma deusa chamada Cibele, cujas cerimônias religiosas incluíam rituais intensos e selvagens.</w:t>
      </w:r>
    </w:p>
    <w:p>
      <w:r/>
      <w:r>
        <w:t>As partes norte e sul da Galácia eram diferentes entre si. Nas cidades do sul, a cultura grega exercia uma influência mais forte, especialmente entre as pessoas educadas. Essas pessoas frequentemente falavam grego e seguiam os costumes gregos.</w:t>
      </w:r>
    </w:p>
    <w:p>
      <w:r/>
      <w:r>
        <w:t>No entanto, o povo comum no sul da Galácia manteve muitas tradições frígias. Assim como o povo do norte, eles também adoravam a deusa Cibele, mas de maneira diferente. A cultura grega havia alterado a forma como as pessoas praticavam essa religião no sul. Por exemplo, em Antioquia da Pisídia, eles chamavam Cibele de "Gênio de Antioquia". Já em Icônio, eles a chamavam de "Atena Polias".</w:t>
      </w:r>
    </w:p>
    <w:p>
      <w:pPr>
        <w:pStyle w:val="Heading3"/>
      </w:pPr>
      <w:r>
        <w:t>A terra da Galácia</w:t>
      </w:r>
    </w:p>
    <w:p>
      <w:r/>
      <w:r>
        <w:t>As regiões norte e sul da Galácia eram muito diferentes em sua paisagem e localização. As cidades do norte estavam situadas em uma área elevada e plana chamada planalto. Esta área tinha abundância de água e era atravessada por uma importante estrada que conectava ao Mar Egeu no oeste. Devido a essa boa localização, as cidades do norte tornaram-se ricos centros comerciais.</w:t>
      </w:r>
    </w:p>
    <w:p>
      <w:r/>
      <w:r>
        <w:t xml:space="preserve">No entanto, o acesso às cidades de norte a sul era complicado. Montanhas separavam as duas regiões, dificultando a comunicação e o comércio entre o norte e o sul. Eles construíram as cidades do sul na estrada entre a Síria e a Ásia. A localização das cidades do sul contribuiu para que se tornassem importantes na história cristã primitiva. Paulo estabeleceu igrejas nessas cidades do sul durante sua primeira viagem missionária (cp. </w:t>
      </w:r>
      <w:hyperlink r:id="rId2859">
        <w:r>
          <w:rPr>
            <w:color w:val="0000EE"/>
            <w:u w:val="single"/>
          </w:rPr>
          <w:t>At 13–14</w:t>
        </w:r>
      </w:hyperlink>
      <w:r>
        <w:t>).</w:t>
      </w:r>
    </w:p>
    <w:p>
      <w:r/>
      <w:r>
        <w:t xml:space="preserve">Galácia é mencionada em </w:t>
      </w:r>
      <w:hyperlink r:id="rId4336">
        <w:r>
          <w:rPr>
            <w:color w:val="0000EE"/>
            <w:u w:val="single"/>
          </w:rPr>
          <w:t>Atos 16.6</w:t>
        </w:r>
      </w:hyperlink>
      <w:r>
        <w:t xml:space="preserve"> e </w:t>
      </w:r>
      <w:hyperlink r:id="rId4337">
        <w:r>
          <w:rPr>
            <w:color w:val="0000EE"/>
            <w:u w:val="single"/>
          </w:rPr>
          <w:t>18.23</w:t>
        </w:r>
      </w:hyperlink>
      <w:r>
        <w:t xml:space="preserve"> junto com Frígia</w:t>
      </w:r>
      <w:hyperlink r:id="rId4337">
        <w:r>
          <w:rPr>
            <w:color w:val="0000EE"/>
            <w:u w:val="single"/>
          </w:rPr>
          <w:t xml:space="preserve">. </w:t>
        </w:r>
      </w:hyperlink>
      <w:r>
        <w:t>No entanto, não está claro se Paulo alguma vez visitou ou estabeleceu igrejas na área norte. As únicas outras referências a Galácia no Novo Testamento parecem referir-se às cidades do sul (</w:t>
      </w:r>
      <w:hyperlink r:id="rId4390">
        <w:r>
          <w:rPr>
            <w:color w:val="0000EE"/>
            <w:u w:val="single"/>
          </w:rPr>
          <w:t>1Co 16.1</w:t>
        </w:r>
      </w:hyperlink>
      <w:r>
        <w:t xml:space="preserve">; </w:t>
      </w:r>
      <w:hyperlink r:id="rId9714">
        <w:r>
          <w:rPr>
            <w:color w:val="0000EE"/>
            <w:u w:val="single"/>
          </w:rPr>
          <w:t>2Tm 4.10</w:t>
        </w:r>
      </w:hyperlink>
      <w:r>
        <w:t xml:space="preserve">; </w:t>
      </w:r>
      <w:hyperlink r:id="rId2751">
        <w:r>
          <w:rPr>
            <w:color w:val="0000EE"/>
            <w:u w:val="single"/>
          </w:rPr>
          <w:t>1Pe 1.1</w:t>
        </w:r>
      </w:hyperlink>
      <w:r>
        <w:t>).</w:t>
      </w:r>
    </w:p>
    <w:p>
      <w:r/>
      <w:r>
        <w:rPr>
          <w:i/>
        </w:rPr>
        <w:t>Veja</w:t>
      </w:r>
      <w:r>
        <w:t xml:space="preserve"> </w:t>
      </w:r>
      <w:r>
        <w:t>GÁLATAS, Carta aos</w:t>
      </w:r>
      <w:r>
        <w:t>.</w:t>
      </w:r>
      <w:r/>
      <w:r/>
    </w:p>
    <w:p>
      <w:r/>
    </w:p>
    <w:p>
      <w:pPr>
        <w:pStyle w:val="Heading2"/>
      </w:pPr>
      <w:r>
        <w:t>Gálbano</w:t>
      </w:r>
      <w:r/>
    </w:p>
    <w:p>
      <w:r/>
      <w:r>
        <w:t>O gálbano é um material que vem de uma planta da mesma família que a cenoura e a salsa. Foi um dos ingredientes usados para fazer um perfume especial para o tabernáculo (</w:t>
      </w:r>
      <w:hyperlink r:id="rId2631">
        <w:r>
          <w:rPr>
            <w:color w:val="0000EE"/>
            <w:u w:val="single"/>
          </w:rPr>
          <w:t>Êx 30.34</w:t>
        </w:r>
      </w:hyperlink>
      <w:r>
        <w:t>).</w:t>
      </w:r>
    </w:p>
    <w:p>
      <w:r/>
      <w:r>
        <w:t>A planta galbano é alta e cresce naturalmente na Síria e na Pérsia (atual Irã). Ela possui pequenas flores esbranquiçadas esverdeadas e frutos que crescem em cachos no topo do caule. Suas folhas são divididas em muitas pequenas partes, semelhantes às folhas de salsa ou cenoura.</w:t>
      </w:r>
    </w:p>
    <w:p>
      <w:r/>
      <w:r>
        <w:t>Para coletar o gálbano, as pessoas cortam o caule próximo ao solo. Isso faz com que a planta libere um líquido leitoso que endurece em uma substância cerosa e marrom. Atualmente, o gálbano é utilizado para fazer verniz, um revestimento transparente que protege madeira e outros materiais.</w:t>
      </w:r>
    </w:p>
    <w:p>
      <w:r/>
      <w:r>
        <w:t xml:space="preserve">O gálbano também é mencionado no livro de Eclesiástico. </w:t>
      </w:r>
      <w:hyperlink r:id="rId9715">
        <w:r>
          <w:rPr>
            <w:color w:val="0000EE"/>
            <w:u w:val="single"/>
          </w:rPr>
          <w:t>Eclesiastes 24.15</w:t>
        </w:r>
      </w:hyperlink>
      <w:r>
        <w:t xml:space="preserve"> descreve o gálbano como tendo um cheiro agradável. Embora o gálbano sozinho não tenha um cheiro muito bom, quando misturado com outros ingredientes, ajudava a criar um óleo de aroma doce.</w:t>
      </w:r>
    </w:p>
    <w:p>
      <w:r/>
      <w:r>
        <w:rPr>
          <w:i/>
        </w:rPr>
        <w:t>Veja também</w:t>
      </w:r>
      <w:r>
        <w:t xml:space="preserve"> </w:t>
      </w:r>
      <w:r>
        <w:t>Plantas</w:t>
      </w:r>
      <w:r>
        <w:t>.</w:t>
      </w:r>
      <w:r/>
      <w:r/>
    </w:p>
    <w:p>
      <w:r/>
    </w:p>
    <w:p>
      <w:pPr>
        <w:pStyle w:val="Heading2"/>
      </w:pPr>
      <w:r>
        <w:t>Galeede</w:t>
      </w:r>
      <w:r/>
    </w:p>
    <w:p>
      <w:r/>
      <w:r>
        <w:t>Nome que significa literalmente "um monte de testemunha". Jacó deu este nome a um monte de pedras erguido como testemunha do pacto de amizade feito entre ele e seu sogro, Labão, que chamou o monte de Jegar-Saaduta (</w:t>
      </w:r>
      <w:hyperlink r:id="rId9716">
        <w:r>
          <w:rPr>
            <w:color w:val="0000EE"/>
            <w:u w:val="single"/>
          </w:rPr>
          <w:t>Gn 31.47,48</w:t>
        </w:r>
      </w:hyperlink>
      <w:r>
        <w:t>). Sua localização é desconhecida. O nome Galeede não deve ser confundido com o nome Gileade, designação do território a leste do Jordão.</w:t>
      </w:r>
      <w:r/>
      <w:r/>
    </w:p>
    <w:p>
      <w:r/>
    </w:p>
    <w:p>
      <w:pPr>
        <w:pStyle w:val="Heading2"/>
      </w:pPr>
      <w:r>
        <w:t>Galileia</w:t>
      </w:r>
      <w:r/>
    </w:p>
    <w:p>
      <w:r/>
      <w:r>
        <w:t>Área no Norte da Palestina que, na história anterior de Israel, tinha fronteiras que não estavam claramente definidas, mas que se tornaram mais precisamente definidas no período do governo romano. O nome em português Galileia vem de duas palavras hebraicas que significam “circuito” ou “distrito”.</w:t>
      </w:r>
    </w:p>
    <w:p>
      <w:pPr>
        <w:pStyle w:val="Heading3"/>
      </w:pPr>
      <w:r>
        <w:t>Contexto histórico</w:t>
      </w:r>
    </w:p>
    <w:p>
      <w:r/>
      <w:r>
        <w:t>Nos tempos do AT, a Galileia não era significativa na vida israelita, mas nos tempos do NT, era um centro populacional judaico proeminente. A Galileia é mencionada pela primeira vez na Bíblia como a localização de Quedes, uma cidade de refúgio na região montanhosa de Naftali (</w:t>
      </w:r>
      <w:hyperlink r:id="rId4873">
        <w:r>
          <w:rPr>
            <w:color w:val="0000EE"/>
            <w:u w:val="single"/>
          </w:rPr>
          <w:t>Js 20.7</w:t>
        </w:r>
      </w:hyperlink>
      <w:r>
        <w:t xml:space="preserve">; cf. </w:t>
      </w:r>
      <w:hyperlink r:id="rId9717">
        <w:r>
          <w:rPr>
            <w:color w:val="0000EE"/>
            <w:u w:val="single"/>
          </w:rPr>
          <w:t>21.32</w:t>
        </w:r>
      </w:hyperlink>
      <w:r>
        <w:t xml:space="preserve">; </w:t>
      </w:r>
      <w:hyperlink r:id="rId9718">
        <w:r>
          <w:rPr>
            <w:color w:val="0000EE"/>
            <w:u w:val="single"/>
          </w:rPr>
          <w:t>1Cr 6.76</w:t>
        </w:r>
      </w:hyperlink>
      <w:r>
        <w:t>).</w:t>
      </w:r>
    </w:p>
    <w:p>
      <w:r/>
      <w:r>
        <w:t>A Galileia originalmente designou a área habitada pelas tribos de Naftali, Zebulom (</w:t>
      </w:r>
      <w:hyperlink r:id="rId9719">
        <w:r>
          <w:rPr>
            <w:color w:val="0000EE"/>
            <w:u w:val="single"/>
          </w:rPr>
          <w:t>Is 9.1</w:t>
        </w:r>
      </w:hyperlink>
      <w:r>
        <w:t xml:space="preserve">) e possivelmente Aser (se Cabul em </w:t>
      </w:r>
      <w:hyperlink r:id="rId9720">
        <w:r>
          <w:rPr>
            <w:color w:val="0000EE"/>
            <w:u w:val="single"/>
          </w:rPr>
          <w:t>Js 19.27</w:t>
        </w:r>
      </w:hyperlink>
      <w:r>
        <w:t xml:space="preserve"> for a mesma cidade que em </w:t>
      </w:r>
      <w:hyperlink r:id="rId9721">
        <w:r>
          <w:rPr>
            <w:color w:val="0000EE"/>
            <w:u w:val="single"/>
          </w:rPr>
          <w:t>1Rs 9.11–13</w:t>
        </w:r>
      </w:hyperlink>
      <w:r>
        <w:t>). Nenhuma dessas tribos foi capaz de expulsar completamente os habitantes cananeus originais (</w:t>
      </w:r>
      <w:hyperlink r:id="rId9722">
        <w:r>
          <w:rPr>
            <w:color w:val="0000EE"/>
            <w:u w:val="single"/>
          </w:rPr>
          <w:t>Jz 1.30–33</w:t>
        </w:r>
      </w:hyperlink>
      <w:r>
        <w:t xml:space="preserve">; </w:t>
      </w:r>
      <w:hyperlink r:id="rId9723">
        <w:r>
          <w:rPr>
            <w:color w:val="0000EE"/>
            <w:u w:val="single"/>
          </w:rPr>
          <w:t>2.1–4</w:t>
        </w:r>
      </w:hyperlink>
      <w:r>
        <w:t>), e como resultado, a Galileia tendia a ser racialmente misturada. As cidades que o rei Salomão deu a Hirão, rei gentio de Tiro, estavam dentro da Galileia (</w:t>
      </w:r>
      <w:hyperlink r:id="rId9724">
        <w:r>
          <w:rPr>
            <w:color w:val="0000EE"/>
            <w:u w:val="single"/>
          </w:rPr>
          <w:t>1Rs 9.11</w:t>
        </w:r>
      </w:hyperlink>
      <w:r>
        <w:t xml:space="preserve">), e a mistura gentia naquela área pode ter influenciado a escolha de Salomão dessas cidades como um presente. Esta condição de raça mista também é a base provável para a designação em </w:t>
      </w:r>
      <w:hyperlink r:id="rId9719">
        <w:r>
          <w:rPr>
            <w:color w:val="0000EE"/>
            <w:u w:val="single"/>
          </w:rPr>
          <w:t>Isaías 9.1</w:t>
        </w:r>
      </w:hyperlink>
      <w:r>
        <w:t xml:space="preserve">, “Galileia das nações” (cf. </w:t>
      </w:r>
      <w:hyperlink r:id="rId9725">
        <w:r>
          <w:rPr>
            <w:color w:val="0000EE"/>
            <w:u w:val="single"/>
          </w:rPr>
          <w:t>Mt 4.15</w:t>
        </w:r>
      </w:hyperlink>
      <w:r>
        <w:t xml:space="preserve">; </w:t>
      </w:r>
      <w:hyperlink r:id="rId9726">
        <w:r>
          <w:rPr>
            <w:color w:val="0000EE"/>
            <w:u w:val="single"/>
          </w:rPr>
          <w:t>1Mc 5.15</w:t>
        </w:r>
      </w:hyperlink>
      <w:r>
        <w:t>).</w:t>
      </w:r>
    </w:p>
    <w:p>
      <w:r/>
      <w:r>
        <w:t>Durante a monarquia, a Galileia era uma zona de amortecimento entre Israel e a Síria, e suportava o peso das invasões sírias contra Israel. Este fato é citado pelo profeta Isaías (</w:t>
      </w:r>
      <w:hyperlink r:id="rId9719">
        <w:r>
          <w:rPr>
            <w:color w:val="0000EE"/>
            <w:u w:val="single"/>
          </w:rPr>
          <w:t>Is 9.1</w:t>
        </w:r>
      </w:hyperlink>
      <w:r>
        <w:t>), mas ele viu isso como o prelúdio de dias melhores quando o rei messiânico reinaria. A Galileia foi conquistada pelo rei sírio Ben-Hadade (</w:t>
      </w:r>
      <w:hyperlink r:id="rId9727">
        <w:r>
          <w:rPr>
            <w:color w:val="0000EE"/>
            <w:u w:val="single"/>
          </w:rPr>
          <w:t>1Rs 15.20</w:t>
        </w:r>
      </w:hyperlink>
      <w:r>
        <w:t>) e foi provavelmente restaurada pelo rei Acabe, de Israel. A Galileia foi mais tarde subjugada pelos arameus sob Hazael (</w:t>
      </w:r>
      <w:hyperlink r:id="rId6451">
        <w:r>
          <w:rPr>
            <w:color w:val="0000EE"/>
            <w:u w:val="single"/>
          </w:rPr>
          <w:t>2Rs 10.32</w:t>
        </w:r>
      </w:hyperlink>
      <w:r>
        <w:t xml:space="preserve">; </w:t>
      </w:r>
      <w:hyperlink r:id="rId9728">
        <w:r>
          <w:rPr>
            <w:color w:val="0000EE"/>
            <w:u w:val="single"/>
          </w:rPr>
          <w:t>12.18</w:t>
        </w:r>
      </w:hyperlink>
      <w:r>
        <w:t xml:space="preserve">; </w:t>
      </w:r>
      <w:hyperlink r:id="rId9729">
        <w:r>
          <w:rPr>
            <w:color w:val="0000EE"/>
            <w:u w:val="single"/>
          </w:rPr>
          <w:t>13.22</w:t>
        </w:r>
      </w:hyperlink>
      <w:r>
        <w:t>) e recuperada por Jeroboão II (</w:t>
      </w:r>
      <w:hyperlink r:id="rId9730">
        <w:r>
          <w:rPr>
            <w:color w:val="0000EE"/>
            <w:u w:val="single"/>
          </w:rPr>
          <w:t>2Rs 14.23–25</w:t>
        </w:r>
      </w:hyperlink>
      <w:r>
        <w:t>). Como resultado das conquistas Assírias na área de Damasco e da Galileia em 732 a.C. por Tiglate-Pileser III (</w:t>
      </w:r>
      <w:hyperlink r:id="rId3165">
        <w:r>
          <w:rPr>
            <w:color w:val="0000EE"/>
            <w:u w:val="single"/>
          </w:rPr>
          <w:t>2Rs 15.29</w:t>
        </w:r>
      </w:hyperlink>
      <w:r>
        <w:t>), mais gentios foram importados para a área, enquanto muitos dos habitantes judeus foram deportados. Isso naturalmente levou a uma maior influência e domínio gentio na Galileia. Sob a influência sucessiva da Babilônia, Pérsia, Grécia e Síria, a Galileia estava constantemente experimentando infiltração e migração. Desde o tempo da conquista Assíria de Israel até cerca do final do segundo século a.C., a população da Galileia era dominada pelos gentios, com apenas alguns judeus.</w:t>
      </w:r>
    </w:p>
    <w:p>
      <w:r/>
      <w:r>
        <w:t>Os judeus que restavam na Galileia foram trazidos para a Judeia por Simão Macabeu em 164 a.C. (</w:t>
      </w:r>
      <w:hyperlink r:id="rId9731">
        <w:r>
          <w:rPr>
            <w:color w:val="0000EE"/>
            <w:u w:val="single"/>
          </w:rPr>
          <w:t>1Mc 5.21–23</w:t>
        </w:r>
      </w:hyperlink>
      <w:r>
        <w:t>). A Galileia foi conquistada por Aristóbulo I (104–103 a.C.), que forçou os habitantes a serem circuncidados e a se submeterem às leis judaicas, um trabalho que provavelmente já havia sido iniciado por João Hircano (134–104 a.C.).</w:t>
      </w:r>
    </w:p>
    <w:p>
      <w:r/>
      <w:r>
        <w:t>Herodes, o Grande (governante sob Roma, 37–4 a.C.) acrescentou a Galileia em seu reino, e mais judeus foram atraídos para lá. Josefo registrou que a Galileia tinha 240 cidades e vilas e 100.000 homens disponíveis para lutar contra os romanos. Após a morte de Herodes, o Grande, a Galileia foi incluída na tetrarquia de Herodes Antipas (4 a.C.–39 d.C.). Com o banimento de Herodes Antipas em 39 d.C., a Galileia foi adicionada ao território de Herodes Agripa I, que a governou até sua morte em 44 d.C. Roma administrava diretamente a Galileia até que ela foi colocada sob o governo de Herodes Agripa II. Ao lado dos romanos durante as revoltas judaicas, ele foi capaz de manter sua posição até 100 d.C. Apesar da tentativa dos galileus ganharem independência, a facção revolucionária foi subjugada por Vespasiano em 67 d.C. Após a morte de Herodes Agripa II, a Galileia se tornou parte da província romana da Síria.</w:t>
      </w:r>
    </w:p>
    <w:p>
      <w:r/>
      <w:r>
        <w:t>Após a queda de Jerusalém em 70 d.C., o Sinédrio e muitos outros judeus do Sul da Palestina foram para a Galileia. Como resultado, cidades como Tiberíades e Séforis se tornaram judaicas, e os judeus dispersos passaram a ver a Galileia como seu centro. Tiberíades se tornou um centro de aprendizado judaico, e foi lá que foram feitas importantes contribuições como o sistema tiberiano de vogais apontando o texto consonantal hebraico, bem como a formulação da Mishná e o Talmude.</w:t>
      </w:r>
    </w:p>
    <w:p>
      <w:r/>
      <w:r>
        <w:t>Desde aproximadamente 451 d.C. até que o domínio muçulmano sobre a Galileia começou no século 7, a região foi governada pelo patriarcado cristão de Jerusalém, estabelecido pelo Concílio de Calcedônia em 451 d.C. O domínio muçulmano do sétimo século em diante era contínuo, exceto pelos intervalos causados pelas Cruzadas do século 12 e pela Primeira Guerra Mundial. Toda a Galileia foi incluída no moderno estado de Israel desde sua criação em 1948.</w:t>
      </w:r>
    </w:p>
    <w:p>
      <w:pPr>
        <w:pStyle w:val="Heading3"/>
      </w:pPr>
      <w:r>
        <w:t>Fronteiras</w:t>
      </w:r>
    </w:p>
    <w:p>
      <w:r/>
      <w:r>
        <w:t>A Galileia era delimitada a leste pelo alto Rio Jordão e o Mar da Galileia e ao sul pela planície de Esdrelão, que servia como uma fronteira natural entre a Galileia e Samaria. Às vezes, a planície era incluída na Galileia, como foi durante o período intertestamentário (</w:t>
      </w:r>
      <w:hyperlink r:id="rId9732">
        <w:r>
          <w:rPr>
            <w:color w:val="0000EE"/>
            <w:u w:val="single"/>
          </w:rPr>
          <w:t>1Mc 10.30</w:t>
        </w:r>
      </w:hyperlink>
      <w:r>
        <w:t xml:space="preserve">; </w:t>
      </w:r>
      <w:hyperlink r:id="rId9733">
        <w:r>
          <w:rPr>
            <w:color w:val="0000EE"/>
            <w:u w:val="single"/>
          </w:rPr>
          <w:t>12.47–49</w:t>
        </w:r>
      </w:hyperlink>
      <w:r>
        <w:t>). Enquanto a fronteira do norte era incerta e variável durante a história da Galileia, nos tempos do NT chegava ao Lago de Hula. A fronteira ocidental seguia o Mar Mediterrâneo até o Monte Carmelo.</w:t>
      </w:r>
    </w:p>
    <w:p>
      <w:r/>
      <w:r>
        <w:t xml:space="preserve">Desde o tempo do reino dividido até a conquista assíria da Galileia (734 a.C.), era a parte mais ao norte do reino de Israel. A área foi dividida em alta Galileia e baixa Galileia pela planície de Ramá, que ficava entre Cafarnaum e Ptolemais (cf. </w:t>
      </w:r>
      <w:hyperlink r:id="rId9734">
        <w:r>
          <w:rPr>
            <w:color w:val="0000EE"/>
            <w:u w:val="single"/>
          </w:rPr>
          <w:t>Jt 1.8</w:t>
        </w:r>
      </w:hyperlink>
      <w:r>
        <w:t xml:space="preserve">; </w:t>
      </w:r>
      <w:hyperlink r:id="rId9735">
        <w:r>
          <w:rPr>
            <w:color w:val="0000EE"/>
            <w:u w:val="single"/>
          </w:rPr>
          <w:t>1Mc 12.49</w:t>
        </w:r>
      </w:hyperlink>
      <w:r>
        <w:t xml:space="preserve">; </w:t>
      </w:r>
      <w:r>
        <w:rPr>
          <w:i/>
        </w:rPr>
        <w:t>Guerra</w:t>
      </w:r>
      <w:r>
        <w:t xml:space="preserve"> de Josefo 3.3.1). Na Mishná (compilação da interpretação rabínica inicial da lei), a Galileia é dividida em três partes correspondentes às divisões naturais de planície e regiões montanhosas. Sob o domínio romano, a Galileia tinha de cerca de 40 a 50 quilômetros de leste a oeste e cerca de 55 a 65 quilômetros de norte a sul.</w:t>
      </w:r>
    </w:p>
    <w:p>
      <w:pPr>
        <w:pStyle w:val="Heading3"/>
      </w:pPr>
      <w:r>
        <w:t>Geografia</w:t>
      </w:r>
    </w:p>
    <w:p>
      <w:r/>
      <w:r>
        <w:t>A atraente paisagem da Galileia é composta de colinas de calcário vulcânicas e planícies aluviais férteis. Seu clima é mais frio do que o de qualquer outra parte da Palestina, e sua beleza e fertilidade contrastam fortemente com as colinas estéreis e ensolaradas do sul da Palestina.</w:t>
      </w:r>
    </w:p>
    <w:p>
      <w:r/>
      <w:r>
        <w:t>As características físicas variam das altas montanhas no Norte até a planície de Esdrelão, no Sul. O Monte Tabor é proeminente no Leste, enquanto o Monte Carmelo se destaca no oeste. Grande parte da região superior da Galileia está a 914,4 metros acima do nível do mar, e nos tempos do NT era em grande parte florestada e menos densamente habitada do que a parte inferior da Galileia. A Baixa Galileia começa a 450 a 600 metros acima do nível do mar e desce acentuadamente para o Mar da Galileia, mais de 182,9 metros abaixo do nível do mar.</w:t>
      </w:r>
    </w:p>
    <w:p>
      <w:r/>
      <w:r>
        <w:t>Além da média anual de chuvas de 63,5 centímetros, a Galileia é regada pelos riachos que fluem das nascentes nas colinas e são as principais fontes do belo Rio Quisom em Jenin, e das nascentes do rio Jordão, o maior rio na Palestina. O solo também é umedecido por orvalho pesado resultante das condições climáticas criadas pela cordilheira do Líbano ao Norte.</w:t>
      </w:r>
    </w:p>
    <w:p>
      <w:pPr>
        <w:pStyle w:val="Heading3"/>
      </w:pPr>
      <w:r>
        <w:t>Cidades</w:t>
      </w:r>
    </w:p>
    <w:p>
      <w:r/>
      <w:r>
        <w:t>Entre as cidades mais notáveis no início da história da Galileia estavam Quedes, em Naftali, uma cidade de refúgio (</w:t>
      </w:r>
      <w:hyperlink r:id="rId4873">
        <w:r>
          <w:rPr>
            <w:color w:val="0000EE"/>
            <w:u w:val="single"/>
          </w:rPr>
          <w:t>Js 20.7</w:t>
        </w:r>
      </w:hyperlink>
      <w:r>
        <w:t xml:space="preserve">; </w:t>
      </w:r>
      <w:hyperlink r:id="rId9717">
        <w:r>
          <w:rPr>
            <w:color w:val="0000EE"/>
            <w:u w:val="single"/>
          </w:rPr>
          <w:t>21.32</w:t>
        </w:r>
      </w:hyperlink>
      <w:r>
        <w:t xml:space="preserve">; </w:t>
      </w:r>
      <w:hyperlink r:id="rId9718">
        <w:r>
          <w:rPr>
            <w:color w:val="0000EE"/>
            <w:u w:val="single"/>
          </w:rPr>
          <w:t>1Cr 6.76</w:t>
        </w:r>
      </w:hyperlink>
      <w:r>
        <w:t>), e Hazor, cerca de 16 quilômetros ao Norte do Mar da Galileia (</w:t>
      </w:r>
      <w:hyperlink r:id="rId9736">
        <w:r>
          <w:rPr>
            <w:color w:val="0000EE"/>
            <w:u w:val="single"/>
          </w:rPr>
          <w:t>Js 11.10</w:t>
        </w:r>
      </w:hyperlink>
      <w:r>
        <w:t xml:space="preserve">; </w:t>
      </w:r>
      <w:hyperlink r:id="rId9737">
        <w:r>
          <w:rPr>
            <w:color w:val="0000EE"/>
            <w:u w:val="single"/>
          </w:rPr>
          <w:t>1Rs 9.15</w:t>
        </w:r>
      </w:hyperlink>
      <w:r>
        <w:t>). Durante o tempo de Cristo, Corazim (</w:t>
      </w:r>
      <w:hyperlink r:id="rId9738">
        <w:r>
          <w:rPr>
            <w:color w:val="0000EE"/>
            <w:u w:val="single"/>
          </w:rPr>
          <w:t>Mt 11.21</w:t>
        </w:r>
      </w:hyperlink>
      <w:r>
        <w:t>) e Cafarnaum (</w:t>
      </w:r>
      <w:hyperlink r:id="rId3980">
        <w:r>
          <w:rPr>
            <w:color w:val="0000EE"/>
            <w:u w:val="single"/>
          </w:rPr>
          <w:t>4.13</w:t>
        </w:r>
      </w:hyperlink>
      <w:r>
        <w:t xml:space="preserve">; </w:t>
      </w:r>
      <w:hyperlink r:id="rId3990">
        <w:r>
          <w:rPr>
            <w:color w:val="0000EE"/>
            <w:u w:val="single"/>
          </w:rPr>
          <w:t>11.23</w:t>
        </w:r>
      </w:hyperlink>
      <w:r>
        <w:t>) eram cidades proeminentes localizadas no Nordeste, perto do Mar da Galileia. Cafarnaum parece ter sido um centro para o ministério de Jesus na área (</w:t>
      </w:r>
      <w:hyperlink r:id="rId3980">
        <w:r>
          <w:rPr>
            <w:color w:val="0000EE"/>
            <w:u w:val="single"/>
          </w:rPr>
          <w:t>Mt 4.13</w:t>
        </w:r>
      </w:hyperlink>
      <w:r>
        <w:t xml:space="preserve">; </w:t>
      </w:r>
      <w:hyperlink r:id="rId3985">
        <w:r>
          <w:rPr>
            <w:color w:val="0000EE"/>
            <w:u w:val="single"/>
          </w:rPr>
          <w:t>Mc 2.1</w:t>
        </w:r>
      </w:hyperlink>
      <w:r>
        <w:t xml:space="preserve">; </w:t>
      </w:r>
      <w:hyperlink r:id="rId9739">
        <w:r>
          <w:rPr>
            <w:color w:val="0000EE"/>
            <w:u w:val="single"/>
          </w:rPr>
          <w:t>9.33</w:t>
        </w:r>
      </w:hyperlink>
      <w:r>
        <w:t>; etc). Nazaré é especialmente significante como a cidade da infância de Cristo (</w:t>
      </w:r>
      <w:hyperlink r:id="rId9740">
        <w:r>
          <w:rPr>
            <w:color w:val="0000EE"/>
            <w:u w:val="single"/>
          </w:rPr>
          <w:t>Mt 2.22–23</w:t>
        </w:r>
      </w:hyperlink>
      <w:r>
        <w:t xml:space="preserve">; </w:t>
      </w:r>
      <w:hyperlink r:id="rId9741">
        <w:r>
          <w:rPr>
            <w:color w:val="0000EE"/>
            <w:u w:val="single"/>
          </w:rPr>
          <w:t>Lc 2.39</w:t>
        </w:r>
      </w:hyperlink>
      <w:r>
        <w:t xml:space="preserve">; </w:t>
      </w:r>
      <w:hyperlink r:id="rId9287">
        <w:r>
          <w:rPr>
            <w:color w:val="0000EE"/>
            <w:u w:val="single"/>
          </w:rPr>
          <w:t>4.16</w:t>
        </w:r>
      </w:hyperlink>
      <w:r>
        <w:t>; etc). Naim (</w:t>
      </w:r>
      <w:hyperlink r:id="rId9742">
        <w:r>
          <w:rPr>
            <w:color w:val="0000EE"/>
            <w:u w:val="single"/>
          </w:rPr>
          <w:t>Lc 7.11–17</w:t>
        </w:r>
      </w:hyperlink>
      <w:r>
        <w:t>), localizado na borda Norte da montanha, agora chamada de Pequeno Hermom, e Caná da Galileia (</w:t>
      </w:r>
      <w:hyperlink r:id="rId6717">
        <w:r>
          <w:rPr>
            <w:color w:val="0000EE"/>
            <w:u w:val="single"/>
          </w:rPr>
          <w:t>Jo 2.1–11</w:t>
        </w:r>
      </w:hyperlink>
      <w:r>
        <w:t>) também tiveram um papel importante no ministério de Cristo. Séforis e Tiberíades eram cidades importantes durante a administração romana.</w:t>
      </w:r>
    </w:p>
    <w:p>
      <w:pPr>
        <w:pStyle w:val="Heading3"/>
      </w:pPr>
      <w:r>
        <w:t>Estradas e Viagens</w:t>
      </w:r>
    </w:p>
    <w:p>
      <w:r/>
      <w:r>
        <w:t>Muitas estradas atravessavam a Galileia, e aquelas nos tempos do NT eram superiores devido à construção e manutenção romanas.</w:t>
      </w:r>
    </w:p>
    <w:p>
      <w:r/>
      <w:r>
        <w:t>Entre as rotas de comércio mais conhecidas estava a Via Maris (o Caminho do Mar), que percorria a Galileia em seu caminho de Damasco para o Egito. Outra estrada principal ia de Tiberíades, perto do Mar da Galileia, para Aco (Ptolemais), um porto na Costa Fenícia. As principais rotas de caravanas também conectavam a Galileia com os mercados do Oriente. A área estava ligada por uma rede de estradas secundárias de conexão que se ramificavam das principais rodovias.</w:t>
      </w:r>
    </w:p>
    <w:p>
      <w:pPr>
        <w:pStyle w:val="Heading3"/>
      </w:pPr>
      <w:r>
        <w:t>Habitantes</w:t>
      </w:r>
    </w:p>
    <w:p>
      <w:r/>
      <w:r>
        <w:t xml:space="preserve">Os habitantes da Galileia (galileus) eram basicamente judeus em orientação religiosa e patriótica, mas eles eram compostos de vários elementos étnicos. A influência desta mistura era suficiente para causar diferenças reconhecíveis na fala do Sul da Palestina (cf. </w:t>
      </w:r>
      <w:hyperlink r:id="rId9743">
        <w:r>
          <w:rPr>
            <w:color w:val="0000EE"/>
            <w:u w:val="single"/>
          </w:rPr>
          <w:t>Mt 26.69, 73</w:t>
        </w:r>
      </w:hyperlink>
      <w:r>
        <w:t>). Os galileus absorveram mais influências gregas e romanas do que os judeus da Judeia. A mistura racial, diferenças na fala e localização fizeram com que os judeus da Judeia vissem a Galileia e seus habitantes com desprezo (</w:t>
      </w:r>
      <w:hyperlink r:id="rId9744">
        <w:r>
          <w:rPr>
            <w:color w:val="0000EE"/>
            <w:u w:val="single"/>
          </w:rPr>
          <w:t>Jo 1.46</w:t>
        </w:r>
      </w:hyperlink>
      <w:r>
        <w:t xml:space="preserve">; </w:t>
      </w:r>
      <w:hyperlink r:id="rId9745">
        <w:r>
          <w:rPr>
            <w:color w:val="0000EE"/>
            <w:u w:val="single"/>
          </w:rPr>
          <w:t>7.41, 52</w:t>
        </w:r>
      </w:hyperlink>
      <w:r>
        <w:t>).</w:t>
      </w:r>
    </w:p>
    <w:p>
      <w:r/>
      <w:r>
        <w:t>A Baixa Galileia era densamente povoada com aldeias, e nos tempos do NT a população era provavelmente de cerca de três milhões. A fertilidade do solo e a resultante frutificação do país produziram uma população judaica próspera, especialmente nos séculos após o tempo de Cristo.</w:t>
      </w:r>
    </w:p>
    <w:p>
      <w:pPr>
        <w:pStyle w:val="Heading3"/>
      </w:pPr>
      <w:r>
        <w:t>Governo</w:t>
      </w:r>
    </w:p>
    <w:p>
      <w:r/>
      <w:r>
        <w:t>A Galileia estava sob o governo romano dos imperadores Augusto e Tibério durante o tempo de Cristo. As fortificações romanas em toda a Galileia eram um lembrete constante da presença e influência do Império Romano. Durante o ministério de Cristo, Roma instalou o tetrarca Herodes Antipas (</w:t>
      </w:r>
      <w:hyperlink r:id="rId9746">
        <w:r>
          <w:rPr>
            <w:color w:val="0000EE"/>
            <w:u w:val="single"/>
          </w:rPr>
          <w:t>Mt 14.1</w:t>
        </w:r>
      </w:hyperlink>
      <w:r>
        <w:t xml:space="preserve">; </w:t>
      </w:r>
      <w:hyperlink r:id="rId9747">
        <w:r>
          <w:rPr>
            <w:color w:val="0000EE"/>
            <w:u w:val="single"/>
          </w:rPr>
          <w:t>Lc 23.5–7</w:t>
        </w:r>
      </w:hyperlink>
      <w:r>
        <w:t>) para governar o território. Ele foi nomeado para o cargo quando tinha 17 anos. Séforis foi sua primeira capital; por volta de 22 d.C., ele construiu Tiberíades na margem do Mar da Galileia como sua nova capital, em honra do imperador.</w:t>
      </w:r>
    </w:p>
    <w:p>
      <w:pPr>
        <w:pStyle w:val="Heading3"/>
      </w:pPr>
      <w:r>
        <w:t>Produtos</w:t>
      </w:r>
    </w:p>
    <w:p>
      <w:r/>
      <w:r>
        <w:t>Colheitas abundantes permitiram que a Galileia fornecesse produtos para as cidades fenícias vizinhas de Tiro e Sidom em meados do primeiro século d.C. As principais colheitas incluíam uvas, romãs, azeitonas e grãos. A pesca no Mar da Galileia era um negócio proeminente nos tempos do NT (</w:t>
      </w:r>
      <w:hyperlink r:id="rId9748">
        <w:r>
          <w:rPr>
            <w:color w:val="0000EE"/>
            <w:u w:val="single"/>
          </w:rPr>
          <w:t>Mc 1.14–20</w:t>
        </w:r>
      </w:hyperlink>
      <w:r>
        <w:t>).</w:t>
      </w:r>
    </w:p>
    <w:p>
      <w:pPr>
        <w:pStyle w:val="Heading3"/>
      </w:pPr>
      <w:r>
        <w:t>Jesus e a Galileia</w:t>
      </w:r>
    </w:p>
    <w:p>
      <w:r/>
      <w:r>
        <w:t>Jesus foi criado na Galileia (</w:t>
      </w:r>
      <w:hyperlink r:id="rId9287">
        <w:r>
          <w:rPr>
            <w:color w:val="0000EE"/>
            <w:u w:val="single"/>
          </w:rPr>
          <w:t>Lc 4.16</w:t>
        </w:r>
      </w:hyperlink>
      <w:r>
        <w:t>), e 11 de seus 12 discípulos eram de lá (Judas Iscariotes era o único da Judeia).</w:t>
      </w:r>
    </w:p>
    <w:p>
      <w:r/>
      <w:r>
        <w:t>A cultura, o comércio, a atividade agrícola e a pesca formaram o pano de fundo para grande parte do ministério de Jesus, como suas parábolas mostram (</w:t>
      </w:r>
      <w:hyperlink r:id="rId9749">
        <w:r>
          <w:rPr>
            <w:color w:val="0000EE"/>
            <w:u w:val="single"/>
          </w:rPr>
          <w:t>Mt 20.1–8</w:t>
        </w:r>
      </w:hyperlink>
      <w:r>
        <w:t xml:space="preserve">; </w:t>
      </w:r>
      <w:hyperlink r:id="rId9750">
        <w:r>
          <w:rPr>
            <w:color w:val="0000EE"/>
            <w:u w:val="single"/>
          </w:rPr>
          <w:t>21.33</w:t>
        </w:r>
      </w:hyperlink>
      <w:r>
        <w:t xml:space="preserve">; </w:t>
      </w:r>
      <w:hyperlink r:id="rId9751">
        <w:r>
          <w:rPr>
            <w:color w:val="0000EE"/>
            <w:u w:val="single"/>
          </w:rPr>
          <w:t>Mc 4.3</w:t>
        </w:r>
      </w:hyperlink>
      <w:r>
        <w:t xml:space="preserve">; </w:t>
      </w:r>
      <w:hyperlink r:id="rId9752">
        <w:r>
          <w:rPr>
            <w:color w:val="0000EE"/>
            <w:u w:val="single"/>
          </w:rPr>
          <w:t>Lc 13.6–9</w:t>
        </w:r>
      </w:hyperlink>
      <w:r>
        <w:t>). Os primeiros três Evangelhos estão em grande parte envolvidos no ministério de Cristo na Galileia, com grande parte dele se passando ao redor do Mar da Galileia. A maioria de suas parábolas (19 de 32) foram faladas aqui, e a grande maioria de seus milagres (25 de 33) foram realizados na Galileia. Jesus recebeu seu retorno mais positivo nesta região. O Sermão do Monte foi falado na Galileia, e uma de suas montanhas era a cena da Transfiguração do Senhor. Muitas das mulheres que seguiam a Cristo e ministravam a ele também vieram de lá (</w:t>
      </w:r>
      <w:hyperlink r:id="rId9753">
        <w:r>
          <w:rPr>
            <w:color w:val="0000EE"/>
            <w:u w:val="single"/>
          </w:rPr>
          <w:t>Mt 27.55</w:t>
        </w:r>
      </w:hyperlink>
      <w:r>
        <w:t>). Duas das aparições mais significativas de Cristo após a ressurreição ocorreram na Galileia (</w:t>
      </w:r>
      <w:hyperlink r:id="rId7338">
        <w:r>
          <w:rPr>
            <w:color w:val="0000EE"/>
            <w:u w:val="single"/>
          </w:rPr>
          <w:t>Mt 28.16–20</w:t>
        </w:r>
      </w:hyperlink>
      <w:r>
        <w:t xml:space="preserve">; </w:t>
      </w:r>
      <w:hyperlink r:id="rId9754">
        <w:r>
          <w:rPr>
            <w:color w:val="0000EE"/>
            <w:u w:val="single"/>
          </w:rPr>
          <w:t>Jo 21.1–23</w:t>
        </w:r>
      </w:hyperlink>
      <w:r>
        <w:t>), e um dos próprios títulos de Cristo, Jesus de Nazaré (</w:t>
      </w:r>
      <w:hyperlink r:id="rId9755">
        <w:r>
          <w:rPr>
            <w:color w:val="0000EE"/>
            <w:u w:val="single"/>
          </w:rPr>
          <w:t>Jo 1.45</w:t>
        </w:r>
      </w:hyperlink>
      <w:r>
        <w:t>), o identificava como um galileu.</w:t>
      </w:r>
    </w:p>
    <w:p>
      <w:pPr>
        <w:pStyle w:val="Heading3"/>
      </w:pPr>
      <w:r>
        <w:t>Galileus</w:t>
      </w:r>
    </w:p>
    <w:p>
      <w:r/>
      <w:r>
        <w:t xml:space="preserve">Uma vez que Jesus e a maioria dos 12 discípulos eram da Galileia, era natural que o termo fosse aplicado a todos os seus seguidores, especialmente uma vez que implicava que o movimento não era tão puro quanto o judaísmo da Judeia. Alguns intérpretes acreditam que </w:t>
      </w:r>
      <w:hyperlink r:id="rId9756">
        <w:r>
          <w:rPr>
            <w:color w:val="0000EE"/>
            <w:u w:val="single"/>
          </w:rPr>
          <w:t>Lucas 22.59</w:t>
        </w:r>
      </w:hyperlink>
      <w:r>
        <w:t xml:space="preserve"> é um exemplo do uso de “galileu” como um título; em </w:t>
      </w:r>
      <w:hyperlink r:id="rId8138">
        <w:r>
          <w:rPr>
            <w:color w:val="0000EE"/>
            <w:u w:val="single"/>
          </w:rPr>
          <w:t>Atos 1.11</w:t>
        </w:r>
      </w:hyperlink>
      <w:r>
        <w:t xml:space="preserve"> e </w:t>
      </w:r>
      <w:hyperlink r:id="rId9757">
        <w:r>
          <w:rPr>
            <w:color w:val="0000EE"/>
            <w:u w:val="single"/>
          </w:rPr>
          <w:t>2.7</w:t>
        </w:r>
      </w:hyperlink>
      <w:r>
        <w:t>, é meramente uma referência geográfica. Uma referência segura aos cristãos por esse título aparece na obra do filósofo pagão Epiteto (50?–135? d.C.), que ficou impressionado com a forma como os cristãos morreram por sua fé. Não fica claro quão comum era o título de galileu, mas obviamente havia se espalhado da Judeia para Roma, onde Epiteto viveu.</w:t>
      </w:r>
    </w:p>
    <w:p>
      <w:r/>
      <w:r>
        <w:rPr>
          <w:i/>
        </w:rPr>
        <w:t>Veja também</w:t>
      </w:r>
      <w:r>
        <w:t xml:space="preserve"> </w:t>
      </w:r>
      <w:r>
        <w:t>Palestina</w:t>
      </w:r>
      <w:r>
        <w:t xml:space="preserve">; </w:t>
      </w:r>
      <w:r>
        <w:t>Mar da Galileia</w:t>
      </w:r>
      <w:r>
        <w:t>.</w:t>
      </w:r>
      <w:r/>
      <w:r/>
    </w:p>
    <w:p>
      <w:r/>
    </w:p>
    <w:p>
      <w:pPr>
        <w:pStyle w:val="Heading2"/>
      </w:pPr>
      <w:r>
        <w:t>Gálio</w:t>
      </w:r>
      <w:r/>
    </w:p>
    <w:p>
      <w:r/>
      <w:r>
        <w:t>Gálio foi um oficial romano no primeiro século d.C. Ele nasceu em Córdoba, Espanha, em 3 a.C. Seu nome de nascimento era Marcus Annaeus Novatus. Ele morreu em 65 d.C. Gálio era filho de Marcus Annaeus Seneca e irmão mais velho do filósofo Sêneca.</w:t>
      </w:r>
    </w:p>
    <w:p>
      <w:r/>
      <w:r>
        <w:t>Gálio mudou-se para Roma durante o reinado do Imperador Tibério. Mais tarde, foi adotado por um famoso orador público chamado Lúcio Junius Gálio. Após a adoção, Novatus passou a se chamar Gálio. Lúcio Junius Gálio era um homem rico e treinou Gálio para trabalhar no governo e no serviço público.</w:t>
      </w:r>
    </w:p>
    <w:p>
      <w:r/>
      <w:r>
        <w:t>Gálio serviu como procônsul romano (governador) da Acaia entre 51–53 d.C.</w:t>
      </w:r>
    </w:p>
    <w:p>
      <w:r/>
      <w:r>
        <w:t>Durante a primeira visita do apóstolo Paulo a Corinto, alguns judeus apresentaram uma queixa contra ele. Eles disseram a Gálio que Paulo estava ensinando as pessoas a adorar a Deus de uma maneira que era contra a lei (</w:t>
      </w:r>
      <w:hyperlink r:id="rId2862">
        <w:r>
          <w:rPr>
            <w:color w:val="0000EE"/>
            <w:u w:val="single"/>
          </w:rPr>
          <w:t>At 18.12–17</w:t>
        </w:r>
      </w:hyperlink>
      <w:r>
        <w:t>). Gálio rapidamente rejeitou a queixa deles, afirmando que a questão era sobre a lei judaica, não a lei romana. Gálio se recusou a julgar uma disputa religiosa. Essa resposta era típica dos governadores romanos, que frequentemente evitavam se envolver em discussões sobre religião.</w:t>
      </w:r>
    </w:p>
    <w:p>
      <w:r/>
      <w:r>
        <w:t xml:space="preserve">Gálio teve que deixar a Acaia porque adoeceu. Mais tarde, ele retornou a Roma e serviu como </w:t>
      </w:r>
      <w:r>
        <w:rPr>
          <w:i/>
        </w:rPr>
        <w:t>consul suffectus</w:t>
      </w:r>
      <w:r>
        <w:t xml:space="preserve"> (um cônsul temporário) sob o Imperador Nero. Em algum momento, Gálio foi associado a uma conspiração contra Nero. A princípio, Nero o perdoou. Mas depois, Gálio foi forçado a tirar a própria vida.</w:t>
      </w:r>
      <w:r/>
      <w:r/>
    </w:p>
    <w:p>
      <w:r/>
    </w:p>
    <w:p>
      <w:pPr>
        <w:pStyle w:val="Heading2"/>
      </w:pPr>
      <w:r>
        <w:t>Gamaliel</w:t>
      </w:r>
      <w:r/>
    </w:p>
    <w:p>
      <w:pPr>
        <w:pStyle w:val="ListNumber"/>
        <w:spacing w:line="240" w:lineRule="auto"/>
        <w:ind w:left="720"/>
      </w:pPr>
      <w:r/>
      <w:r>
        <w:t>Filho de Pedazur e líder da tribo de Manassés (</w:t>
      </w:r>
      <w:hyperlink r:id="rId9758">
        <w:r>
          <w:rPr>
            <w:color w:val="0000EE"/>
            <w:u w:val="single"/>
          </w:rPr>
          <w:t>Nm 10.23</w:t>
        </w:r>
      </w:hyperlink>
      <w:r>
        <w:t>). Moisés escolheu Gamaliel para ajudar a contar o povo no deserto perto do Monte Sinai (</w:t>
      </w:r>
      <w:hyperlink r:id="rId1097">
        <w:r>
          <w:rPr>
            <w:color w:val="0000EE"/>
            <w:u w:val="single"/>
          </w:rPr>
          <w:t>1.10</w:t>
        </w:r>
      </w:hyperlink>
      <w:r>
        <w:t>). Moisés também o escolheu para organizar a tribo para a jornada à Terra Prometida (</w:t>
      </w:r>
      <w:hyperlink r:id="rId9759">
        <w:r>
          <w:rPr>
            <w:color w:val="0000EE"/>
            <w:u w:val="single"/>
          </w:rPr>
          <w:t>2.20</w:t>
        </w:r>
      </w:hyperlink>
      <w:r>
        <w:t>). Gamaliel participou da cerimônia especial de 12 dias quando os líderes apresentaram ofertas na dedicação do altar após a conclusão do tabernáculo (</w:t>
      </w:r>
      <w:hyperlink r:id="rId9760">
        <w:r>
          <w:rPr>
            <w:color w:val="0000EE"/>
            <w:u w:val="single"/>
          </w:rPr>
          <w:t>7.54,59</w:t>
        </w:r>
      </w:hyperlink>
      <w:r>
        <w:t>).</w:t>
      </w:r>
    </w:p>
    <w:p>
      <w:pPr>
        <w:pStyle w:val="ListNumber"/>
        <w:spacing w:line="240" w:lineRule="auto"/>
        <w:ind w:left="720"/>
      </w:pPr>
      <w:r/>
      <w:r>
        <w:t>Um erudito judeu, Gamaliel viveu no primeiro século d.C. Ele morreu 18 anos antes de o general romano Tito destruir Jerusalém (em 70 d.C.).</w:t>
      </w:r>
    </w:p>
    <w:p>
      <w:r/>
      <w:r>
        <w:t>Gamaliel era altamente respeitado por todos. Quando Pedro e os outros apóstolos foram levados perante o conselho irado em Jerusalém, ele deu conselhos cuidadosos que provavelmente salvaram a vida dos apóstolos (</w:t>
      </w:r>
      <w:hyperlink r:id="rId9761">
        <w:r>
          <w:rPr>
            <w:color w:val="0000EE"/>
            <w:u w:val="single"/>
          </w:rPr>
          <w:t>At 5.27–40</w:t>
        </w:r>
      </w:hyperlink>
      <w:r>
        <w:t>).</w:t>
      </w:r>
    </w:p>
    <w:p>
      <w:r/>
      <w:hyperlink r:id="rId4901">
        <w:r>
          <w:rPr>
            <w:color w:val="0000EE"/>
            <w:u w:val="single"/>
          </w:rPr>
          <w:t xml:space="preserve">Atos 22.3 também </w:t>
        </w:r>
      </w:hyperlink>
      <w:r>
        <w:t>menciona Gamaliel como o rabino com quem Paulo estudou quando era jovem em Jerusalém. Um rabino é um professor e líder religioso judeu. Durante aquele tempo em Israel, vários grupos de rabinos se desenvolveram. Dois dos mais importantes foram as escolas farisaicas concorrentes de Hillel e Samai. Ambos os professores tiveram grande influência no pensamento judaico. A escola de Hillel enfatizava a tradição até mesmo acima da lei. A escola de Samai ensinava que a lei era mais importante do que a tradição. A escola de Hillel foi mais influente, e muitos rabinos posteriores seguiram seus ensinamentos.</w:t>
      </w:r>
    </w:p>
    <w:p>
      <w:r/>
      <w:r>
        <w:t>De acordo com a tradição, Gamaliel é neto de Hillel. Ele aprendeu todo o escopo da filosofia e teologia que seu avô ensinou. Gamaliel era membro do Sinédrio, o alto conselho dos judeus em Jerusalém. Ele serviu como presidente do Sinédrio durante o tempo dos imperadores romanos Tibério, Calígula e Cláudio. Ao contrário de outros professores judeus, ele era aberto ao aprendizado grego.</w:t>
      </w:r>
    </w:p>
    <w:p>
      <w:r/>
      <w:r>
        <w:t>O aprendizado de Gamaliel era tão respeitado e sua influência tão grande que ele é um dos apenas sete estudiosos judeus honrados com o título de Rabban. As pessoas o chamavam de "Beleza da Lei". O Talmude (uma importante coleção de ensinamentos judaicos) até afirma que "desde que Rabban Gamaliel morreu, a glória da Lei cessou".</w:t>
      </w:r>
      <w:r/>
      <w:r/>
    </w:p>
    <w:p>
      <w:r/>
    </w:p>
    <w:p>
      <w:pPr>
        <w:pStyle w:val="Heading2"/>
      </w:pPr>
      <w:r>
        <w:t>Gangrena</w:t>
      </w:r>
      <w:r/>
    </w:p>
    <w:p>
      <w:r/>
      <w:r>
        <w:t>Gangrena ocorre quando o tecido morre devido à perda do suprimento sanguíneo vital para aquela parte do corpo. Isso geralmente acontece na extremidade mais distante, como as pontas dos dedos das mãos ou dos pés. A parte afetada ficará preta, e os cirurgiões amputarão a área morta. Eles fazem isso para evitar que o dano ao tecido se espalhe para outras partes do membro ou coloque a vida da pessoa em risco.</w:t>
      </w:r>
    </w:p>
    <w:p>
      <w:r/>
      <w:r>
        <w:t>O termo "gangrena" ocorre apenas uma vez nas Escrituras (</w:t>
      </w:r>
      <w:hyperlink r:id="rId9762">
        <w:r>
          <w:rPr>
            <w:color w:val="0000EE"/>
            <w:u w:val="single"/>
          </w:rPr>
          <w:t>2Tm 2.17</w:t>
        </w:r>
      </w:hyperlink>
      <w:r>
        <w:t>). Paulo adverte Timóteo a não permitir conversas que desonrem a Deus. Quando as pessoas desonram a Deus na maneira como falam, isso encoraja mais pessoas a desonrar a Deus na maneira como agem. Paulo compara isso à forma como a gangrena tende a se espalhar para os tecidos circundantes do corpo.</w:t>
      </w:r>
    </w:p>
    <w:p>
      <w:r/>
      <w:r>
        <w:t>A doença nos pés do Rei Asa (</w:t>
      </w:r>
      <w:hyperlink r:id="rId7450">
        <w:r>
          <w:rPr>
            <w:color w:val="0000EE"/>
            <w:u w:val="single"/>
          </w:rPr>
          <w:t>2Cr 16.12</w:t>
        </w:r>
      </w:hyperlink>
      <w:r>
        <w:t>) não foi nomeada, mas pode ter sido gangrena. Pode-se comparar a lepra de Miriã, a irmã de Moisés, à gangrena. As Escrituras comparam a condição dela à carne deteriorada de um bebê natimorto (</w:t>
      </w:r>
      <w:hyperlink r:id="rId9763">
        <w:r>
          <w:rPr>
            <w:color w:val="0000EE"/>
            <w:u w:val="single"/>
          </w:rPr>
          <w:t>Nm 12.12</w:t>
        </w:r>
      </w:hyperlink>
      <w:r>
        <w:t>).</w:t>
      </w:r>
    </w:p>
    <w:p>
      <w:r/>
      <w:r>
        <w:rPr>
          <w:i/>
        </w:rPr>
        <w:t>Veja também</w:t>
      </w:r>
      <w:r>
        <w:t xml:space="preserve"> </w:t>
      </w:r>
      <w:r>
        <w:t>Medicina e prática médica</w:t>
      </w:r>
      <w:r>
        <w:t>.</w:t>
      </w:r>
      <w:r/>
      <w:r/>
    </w:p>
    <w:p>
      <w:r/>
    </w:p>
    <w:p>
      <w:pPr>
        <w:pStyle w:val="Heading2"/>
      </w:pPr>
      <w:r>
        <w:t>Garça</w:t>
      </w:r>
      <w:r/>
    </w:p>
    <w:p>
      <w:r/>
      <w:r>
        <w:t>Pássaro de pernas longas e pescoço comprido, considerado impuro segundo a lei judaica (</w:t>
      </w:r>
      <w:hyperlink r:id="rId1477">
        <w:r>
          <w:rPr>
            <w:color w:val="0000EE"/>
            <w:u w:val="single"/>
          </w:rPr>
          <w:t>Lv 11.19</w:t>
        </w:r>
      </w:hyperlink>
      <w:r>
        <w:t xml:space="preserve">; </w:t>
      </w:r>
      <w:hyperlink r:id="rId1478">
        <w:r>
          <w:rPr>
            <w:color w:val="0000EE"/>
            <w:u w:val="single"/>
          </w:rPr>
          <w:t>Dt 14.18</w:t>
        </w:r>
      </w:hyperlink>
      <w:r>
        <w:t xml:space="preserve">). </w:t>
      </w:r>
      <w:r>
        <w:rPr>
          <w:i/>
        </w:rPr>
        <w:t>Veja</w:t>
      </w:r>
      <w:r>
        <w:t xml:space="preserve"> </w:t>
      </w:r>
      <w:r>
        <w:t>Aves</w:t>
      </w:r>
      <w:r>
        <w:t>.</w:t>
      </w:r>
      <w:r/>
      <w:r/>
    </w:p>
    <w:p>
      <w:r/>
    </w:p>
    <w:p>
      <w:pPr>
        <w:pStyle w:val="Heading2"/>
      </w:pPr>
      <w:r>
        <w:t>Garmita</w:t>
      </w:r>
      <w:r/>
    </w:p>
    <w:p>
      <w:r/>
      <w:r>
        <w:t xml:space="preserve">Designação para Abiqueila em </w:t>
      </w:r>
      <w:hyperlink r:id="rId9764">
        <w:r>
          <w:rPr>
            <w:color w:val="0000EE"/>
            <w:u w:val="single"/>
          </w:rPr>
          <w:t>1 Crônicas 4.19</w:t>
        </w:r>
      </w:hyperlink>
      <w:r>
        <w:t xml:space="preserve">. A palavra, que significa "ossudo", parece indicar força (a mesma palavra hebraica é usada em </w:t>
      </w:r>
      <w:hyperlink r:id="rId9765">
        <w:r>
          <w:rPr>
            <w:color w:val="0000EE"/>
            <w:u w:val="single"/>
          </w:rPr>
          <w:t>Jó 40.18</w:t>
        </w:r>
      </w:hyperlink>
      <w:r>
        <w:t xml:space="preserve"> e </w:t>
      </w:r>
      <w:hyperlink r:id="rId9766">
        <w:r>
          <w:rPr>
            <w:color w:val="0000EE"/>
            <w:u w:val="single"/>
          </w:rPr>
          <w:t>Pv 25.15</w:t>
        </w:r>
      </w:hyperlink>
      <w:r>
        <w:t>).</w:t>
      </w:r>
      <w:r/>
      <w:r/>
    </w:p>
    <w:p>
      <w:r/>
    </w:p>
    <w:p>
      <w:pPr>
        <w:pStyle w:val="Heading2"/>
      </w:pPr>
      <w:r>
        <w:t>Gaulanite*</w:t>
      </w:r>
      <w:r/>
    </w:p>
    <w:p>
      <w:r/>
      <w:r>
        <w:t>Pequena província a leste do Mar da Galileia, situada entre o Monte Hermon e o rio Jamurque estendendo-se talvez até o rio Jordão. Tomou seu nome da antiga cidade de Golã. Arqueólogos descobriram extensas ruínas a 27 quilômetros a leste do Mar da Galileia, que eles consideram ser os restos de Golã. Moisés nomeou Golã como uma cidade de refúgio para a meia-tribo de Manassés a leste do Jordão (</w:t>
      </w:r>
      <w:hyperlink r:id="rId9767">
        <w:r>
          <w:rPr>
            <w:color w:val="0000EE"/>
            <w:u w:val="single"/>
          </w:rPr>
          <w:t>Dt 4.41,43</w:t>
        </w:r>
      </w:hyperlink>
      <w:r>
        <w:t>), e Josué a nomeou aos levitas gersonitas (</w:t>
      </w:r>
      <w:hyperlink r:id="rId3526">
        <w:r>
          <w:rPr>
            <w:color w:val="0000EE"/>
            <w:u w:val="single"/>
          </w:rPr>
          <w:t>Js 20.8</w:t>
        </w:r>
      </w:hyperlink>
      <w:r>
        <w:t xml:space="preserve">; </w:t>
      </w:r>
      <w:hyperlink r:id="rId9768">
        <w:r>
          <w:rPr>
            <w:color w:val="0000EE"/>
            <w:u w:val="single"/>
          </w:rPr>
          <w:t>21.27</w:t>
        </w:r>
      </w:hyperlink>
      <w:r>
        <w:t xml:space="preserve">; </w:t>
      </w:r>
      <w:hyperlink r:id="rId2798">
        <w:r>
          <w:rPr>
            <w:color w:val="0000EE"/>
            <w:u w:val="single"/>
          </w:rPr>
          <w:t>1Cr 6.71</w:t>
        </w:r>
      </w:hyperlink>
      <w:r>
        <w:t>). De acordo com Josefo, Alexandre Janeu sofreu uma pesada derrota neste lugar e mais tarde destruiu a cidade (</w:t>
      </w:r>
      <w:r>
        <w:rPr>
          <w:i/>
        </w:rPr>
        <w:t>Antiguidades 8.2.3</w:t>
      </w:r>
      <w:r>
        <w:t>). Josefo também identificou um Judas que liderou uma revolta fiscal como sendo de Gaulanite (18.1.1), enquanto Lucas o chamou de galileu (</w:t>
      </w:r>
      <w:hyperlink r:id="rId4712">
        <w:r>
          <w:rPr>
            <w:color w:val="0000EE"/>
            <w:u w:val="single"/>
          </w:rPr>
          <w:t>At 5.37</w:t>
        </w:r>
      </w:hyperlink>
      <w:r>
        <w:t>). Mais tarde, Josefo o chamou de galileu (</w:t>
      </w:r>
      <w:r>
        <w:rPr>
          <w:i/>
        </w:rPr>
        <w:t>Antiguidades 20.5.2</w:t>
      </w:r>
      <w:r>
        <w:t xml:space="preserve">; </w:t>
      </w:r>
      <w:r>
        <w:rPr>
          <w:i/>
        </w:rPr>
        <w:t>Guerra 2.8.1</w:t>
      </w:r>
      <w:r>
        <w:t>). É bem possível que este Judas tenha vivido nesses lugares em tempos diferentes.</w:t>
      </w:r>
    </w:p>
    <w:p>
      <w:r/>
      <w:r>
        <w:t>Após a morte de Herodes em 4 a.C., Filipe herdou Gaulanite, fazendo de sua capital Betsaida Júlias, que ele havia reconstruído e nomeado após a filha de Augusto César. Jesus viajou nesta área (</w:t>
      </w:r>
      <w:hyperlink r:id="rId9769">
        <w:r>
          <w:rPr>
            <w:color w:val="0000EE"/>
            <w:u w:val="single"/>
          </w:rPr>
          <w:t>Mc 6.45</w:t>
        </w:r>
      </w:hyperlink>
      <w:r>
        <w:t xml:space="preserve">; </w:t>
      </w:r>
      <w:hyperlink r:id="rId9770">
        <w:r>
          <w:rPr>
            <w:color w:val="0000EE"/>
            <w:u w:val="single"/>
          </w:rPr>
          <w:t>8.22</w:t>
        </w:r>
      </w:hyperlink>
      <w:r>
        <w:t>), e permaneceu sob firme controle romano até 66 d.C., quando a guerra judaica estourou. Os revolucionários judeus posteriormente se esconderam em suas alturas e os romanos lutaram várias campanhas aqui.</w:t>
      </w:r>
    </w:p>
    <w:p>
      <w:r/>
      <w:r>
        <w:rPr>
          <w:i/>
        </w:rPr>
        <w:t>Veja também</w:t>
      </w:r>
      <w:r>
        <w:t xml:space="preserve"> </w:t>
      </w:r>
      <w:r>
        <w:t>Golã</w:t>
      </w:r>
      <w:r>
        <w:t xml:space="preserve">; </w:t>
      </w:r>
      <w:r>
        <w:t>Herodes, Família Herodiana</w:t>
      </w:r>
      <w:r>
        <w:t>.</w:t>
      </w:r>
      <w:r/>
      <w:r/>
    </w:p>
    <w:p>
      <w:r/>
    </w:p>
    <w:p>
      <w:pPr>
        <w:pStyle w:val="Heading2"/>
      </w:pPr>
      <w:r>
        <w:t>Gaza</w:t>
      </w:r>
      <w:r/>
    </w:p>
    <w:p>
      <w:r/>
      <w:r>
        <w:t>Cidade próxima à costa palestina, cerca de 80 quilômetros a oeste-sudoeste de Jerusalém. Tem sido ocupada quase continuamente desde os tempos antigos; a moderna Gaza desempenha um papel importante no conflito entre árabes e israelenses. Gazita e gazatita são nomes bíblicos para os residentes da cidade.</w:t>
      </w:r>
    </w:p>
    <w:p>
      <w:r/>
      <w:r>
        <w:t>Localizada aproximadamente no meio da planície da Filístia, Gaza era uma área agrícola rica, onde o trigo e grãos similares prosperavam. Situada a cerca de 5 quilômetros do Mediterrâneo, a importância de Gaza como o maior centro comercial da antiga Palestina não vinha do mar, mas das estradas, que traziam caravanas de todas as partes do Crescente Fértil. Essa acessibilidade também era uma desvantagem, pois as estradas ao longo da costa eram a rota mais fácil para os exércitos do Egito, Assíria, Babilônia, Pérsia, Grécia e Roma. Muitas vezes, Gaza sofria por ser um ponto de passagem.</w:t>
      </w:r>
    </w:p>
    <w:p>
      <w:r/>
      <w:r>
        <w:t>Nos registros da história secular, Gaza aparece pela primeira vez nos anais de Tutmés III no templo de Karnak. Tutmés, de forma inteligente, programou suas campanhas asiáticas logo após a colheita egípcia e a tempo de apreender a colheita da Palestina.</w:t>
      </w:r>
    </w:p>
    <w:p>
      <w:r/>
      <w:r>
        <w:t>Na Carta de Amarna 289, Abdu-Heba de Jerusalém reconheceu que Gaza era leal ao rei do Egito, mas reclamou que Addaya, o governante egípcio da Palestina cuja residência era em Gaza, havia levado a guarnição que o Faraó havia enviado para Jerusalém. A partir do final do século 13 a.C., há uma carta satírica composta como um exercício para treinamento de escribas. Nesta carta, escrita por um escriba para menosprezar outro, vários itinerários são traçados, incluindo um da fronteira do Egito até Gaza.</w:t>
      </w:r>
    </w:p>
    <w:p>
      <w:r/>
      <w:r>
        <w:t xml:space="preserve">O Faraó Neco (610–595 a.C.) capturou e castigou Gaza e Asquelom no reinado de Josias em Judá (cf. </w:t>
      </w:r>
      <w:hyperlink r:id="rId9771">
        <w:r>
          <w:rPr>
            <w:color w:val="0000EE"/>
            <w:u w:val="single"/>
          </w:rPr>
          <w:t>Jr 47.1,5</w:t>
        </w:r>
      </w:hyperlink>
      <w:r>
        <w:t>).</w:t>
      </w:r>
    </w:p>
    <w:p>
      <w:r/>
      <w:r>
        <w:t>Tiglate-Pileser III (745–727 a.C.) menciona Hanno de Gaza, que fugiu para o Egito pouco antes da captura de Gaza pelos assírios. No Prisma do Instituto Oriental e no Prisma de Taylor, Senaqueribe (705–681 a.C.) relata sua invasão da Palestina e como prendeu Ezequias “como um pássaro em uma gaiola”. Ele capturou 46 das cidades fortificadas de Ezequias e as entregou a três reis menores, incluindo Sillibel de Gaza, que também é mencionado por Esar-Hadom (681–669 a.C.) e Assurbanípal (669–633 a.C.). A referência ao “rei de Gaza” também aparece nos registros de Nabucodonosor II da Babilônia (604–562 a.C.).</w:t>
      </w:r>
    </w:p>
    <w:p>
      <w:r/>
      <w:r>
        <w:t>Em 332 a.C., Gaza foi capturada e punida por Alexandre, o Grande. Ele ficou irritado porque a cidade resistiu a ele por dois meses, então matou todos os homens e vendeu as mulheres e crianças como escravos. Durante o período dos Macabeus, foi tomada por Alexandre Janeu, que massacrou seus habitantes.</w:t>
      </w:r>
    </w:p>
    <w:p>
      <w:r/>
      <w:r>
        <w:t xml:space="preserve">Na Bíblia, Gaza é mencionada pela primeira vez em </w:t>
      </w:r>
      <w:hyperlink r:id="rId382">
        <w:r>
          <w:rPr>
            <w:color w:val="0000EE"/>
            <w:u w:val="single"/>
          </w:rPr>
          <w:t>Gênesis 10.19</w:t>
        </w:r>
      </w:hyperlink>
      <w:r>
        <w:t>, onde é dito que o território dos cananeus se estendia de Sidom até Gaza. Em um resumo das conquistas de Josué, uma das dimensões da área conquistada é “de Cades-Barneia até Gaza” (</w:t>
      </w:r>
      <w:hyperlink r:id="rId9772">
        <w:r>
          <w:rPr>
            <w:color w:val="0000EE"/>
            <w:u w:val="single"/>
          </w:rPr>
          <w:t>Js 10.41</w:t>
        </w:r>
      </w:hyperlink>
      <w:r>
        <w:t>). Josué destruiu todos os anaquins na terra, mas alguns permaneceram em Gaza e outras cidades filisteias (</w:t>
      </w:r>
      <w:hyperlink r:id="rId9773">
        <w:r>
          <w:rPr>
            <w:color w:val="0000EE"/>
            <w:u w:val="single"/>
          </w:rPr>
          <w:t>11.22</w:t>
        </w:r>
      </w:hyperlink>
      <w:r>
        <w:t>). Outro povo antigo, os avins, “que viviam em aldeias até Gaza”, foram aniquilados e substituídos pelos caftorins de Caftor, ou Creta (</w:t>
      </w:r>
      <w:hyperlink r:id="rId2930">
        <w:r>
          <w:rPr>
            <w:color w:val="0000EE"/>
            <w:u w:val="single"/>
          </w:rPr>
          <w:t>Dt 2.23</w:t>
        </w:r>
      </w:hyperlink>
      <w:r>
        <w:t>). Gaza, junto com suas cidades e vilas, foi listada entre a herança tribal de Judá (</w:t>
      </w:r>
      <w:hyperlink r:id="rId9774">
        <w:r>
          <w:rPr>
            <w:color w:val="0000EE"/>
            <w:u w:val="single"/>
          </w:rPr>
          <w:t>Js 15.47</w:t>
        </w:r>
      </w:hyperlink>
      <w:r>
        <w:t>). Na época da idade avançada de Josué, Gaza e as outras quatro cidades da Pentápolis filisteia são mencionadas entre os territórios ainda não tomados (</w:t>
      </w:r>
      <w:hyperlink r:id="rId2688">
        <w:r>
          <w:rPr>
            <w:color w:val="0000EE"/>
            <w:u w:val="single"/>
          </w:rPr>
          <w:t>13.3</w:t>
        </w:r>
      </w:hyperlink>
      <w:r>
        <w:t xml:space="preserve">); em </w:t>
      </w:r>
      <w:hyperlink r:id="rId9775">
        <w:r>
          <w:rPr>
            <w:color w:val="0000EE"/>
            <w:u w:val="single"/>
          </w:rPr>
          <w:t>Juízes 1.18–19</w:t>
        </w:r>
      </w:hyperlink>
      <w:r>
        <w:t>, no entanto, é relatado que Judá a tomou.</w:t>
      </w:r>
    </w:p>
    <w:p>
      <w:r/>
      <w:r>
        <w:t>Durante o tempo dos juízes, invasores midianitas devastaram Israel, saqueando e destruindo, até mesmo até Gaza (</w:t>
      </w:r>
      <w:hyperlink r:id="rId9776">
        <w:r>
          <w:rPr>
            <w:color w:val="0000EE"/>
            <w:u w:val="single"/>
          </w:rPr>
          <w:t>Jz 6.4</w:t>
        </w:r>
      </w:hyperlink>
      <w:r>
        <w:t>). Nesse período, o principal interesse bíblico em Gaza concentra-se na vida e nas façanhas de Sansão. As mulheres filisteias eram a fraqueza de Sansão. Ele foi a Gaza e encontrou uma prostituta com quem teve relações (</w:t>
      </w:r>
      <w:hyperlink r:id="rId9777">
        <w:r>
          <w:rPr>
            <w:color w:val="0000EE"/>
            <w:u w:val="single"/>
          </w:rPr>
          <w:t>16.1</w:t>
        </w:r>
      </w:hyperlink>
      <w:r>
        <w:t>). O povo de Gaza soube que ele estava lá e decidiu matá-lo pela manhã, mas Sansão se levantou à meia-noite, foi até o portão da cidade, pegou as portas, os postes e a tranca do portão e os carregou até o topo de uma colina de frente para Hebrom.</w:t>
      </w:r>
    </w:p>
    <w:p>
      <w:r/>
      <w:r>
        <w:t>Seu envolvimento com outra mulher filisteia, Dalila, resultou em sua captura pelos filisteus, que arrancaram seus olhos e o levaram para Gaza (</w:t>
      </w:r>
      <w:hyperlink r:id="rId4634">
        <w:r>
          <w:rPr>
            <w:color w:val="0000EE"/>
            <w:u w:val="single"/>
          </w:rPr>
          <w:t>Jz 16.21</w:t>
        </w:r>
      </w:hyperlink>
      <w:r>
        <w:t>), onde foi amarrado e forçado a moer no moinho da prisão. Em um dia de festival no templo de Dagom, os adoradores em festa chamaram Sansão para que pudessem zombar dele. Sua força estava retornando, e Deus respondeu à sua oração por vingança. Sansão deslocou as duas colunas que sustentavam o teto de laje de pedra do templo pagão, e então Sansão morreu, junto com um grande número de gazitas.</w:t>
      </w:r>
    </w:p>
    <w:p>
      <w:r/>
      <w:r>
        <w:t>Gaza é mencionada como a fronteira sul de Israel durante o reinado de Salomão, que governou sobre “toda a região a oeste do Eufrates, de Tifsa até Gaza” (</w:t>
      </w:r>
      <w:hyperlink r:id="rId9778">
        <w:r>
          <w:rPr>
            <w:color w:val="0000EE"/>
            <w:u w:val="single"/>
          </w:rPr>
          <w:t>1Rs 4.24</w:t>
        </w:r>
      </w:hyperlink>
      <w:r>
        <w:t>). Ezequias derrotou os filisteus até Gaza (</w:t>
      </w:r>
      <w:hyperlink r:id="rId8875">
        <w:r>
          <w:rPr>
            <w:color w:val="0000EE"/>
            <w:u w:val="single"/>
          </w:rPr>
          <w:t>2Rs 18.8</w:t>
        </w:r>
      </w:hyperlink>
      <w:r>
        <w:t>). Quando ele se rebelou contra a Assíria, Senaqueribe veio e tomou 46 das cidades de Ezequias e as entregou ao rei de Gaza e a dois outros reis.</w:t>
      </w:r>
    </w:p>
    <w:p>
      <w:r/>
      <w:hyperlink r:id="rId9559">
        <w:r>
          <w:rPr>
            <w:color w:val="0000EE"/>
            <w:u w:val="single"/>
          </w:rPr>
          <w:t>Jeremias 47</w:t>
        </w:r>
      </w:hyperlink>
      <w:r>
        <w:t xml:space="preserve"> registra uma profecia contra os filisteus, que o Senhor deu ao profeta antes de Faraó atacar Gaza (v. </w:t>
      </w:r>
      <w:hyperlink r:id="rId9779">
        <w:r>
          <w:rPr>
            <w:color w:val="0000EE"/>
            <w:u w:val="single"/>
          </w:rPr>
          <w:t>1</w:t>
        </w:r>
      </w:hyperlink>
      <w:r>
        <w:t xml:space="preserve">; cf. v. </w:t>
      </w:r>
      <w:hyperlink r:id="rId9780">
        <w:r>
          <w:rPr>
            <w:color w:val="0000EE"/>
            <w:u w:val="single"/>
          </w:rPr>
          <w:t>5</w:t>
        </w:r>
      </w:hyperlink>
      <w:r>
        <w:t>; veja Neco acima). Amós dá profecias específicas de julgamento contra Gaza (</w:t>
      </w:r>
      <w:hyperlink r:id="rId9781">
        <w:r>
          <w:rPr>
            <w:color w:val="0000EE"/>
            <w:u w:val="single"/>
          </w:rPr>
          <w:t>Am 1.6–7</w:t>
        </w:r>
      </w:hyperlink>
      <w:r>
        <w:t>). Sofonias também afirma que Gaza seria deserta (</w:t>
      </w:r>
      <w:hyperlink r:id="rId2697">
        <w:r>
          <w:rPr>
            <w:color w:val="0000EE"/>
            <w:u w:val="single"/>
          </w:rPr>
          <w:t>Sf 2.4</w:t>
        </w:r>
      </w:hyperlink>
      <w:r>
        <w:t xml:space="preserve">). </w:t>
      </w:r>
      <w:hyperlink r:id="rId9782">
        <w:r>
          <w:rPr>
            <w:color w:val="0000EE"/>
            <w:u w:val="single"/>
          </w:rPr>
          <w:t>Zacarias 9</w:t>
        </w:r>
      </w:hyperlink>
      <w:r>
        <w:t xml:space="preserve"> apresenta um oráculo de julgamento no qual é dito que Gaza sofrerá e que seu rei perecerá.</w:t>
      </w:r>
    </w:p>
    <w:p>
      <w:r/>
      <w:r>
        <w:t>No NT há apenas uma referência a Gaza (</w:t>
      </w:r>
      <w:hyperlink r:id="rId1930">
        <w:r>
          <w:rPr>
            <w:color w:val="0000EE"/>
            <w:u w:val="single"/>
          </w:rPr>
          <w:t>At 8.26</w:t>
        </w:r>
      </w:hyperlink>
      <w:r>
        <w:t xml:space="preserve">). Filipe, que estava pregando na Samaria, foi instruído por um anjo a ir para o sul, para “a estrada que vai de Jerusalém a Gaza”. Aqui ele encontrou o tesoureiro da Etiópia, que estava lendo </w:t>
      </w:r>
      <w:hyperlink r:id="rId3618">
        <w:r>
          <w:rPr>
            <w:color w:val="0000EE"/>
            <w:u w:val="single"/>
          </w:rPr>
          <w:t>Isaías 53</w:t>
        </w:r>
      </w:hyperlink>
      <w:r>
        <w:t xml:space="preserve"> enquanto viajava em seu carro. Filipe pregou o evangelho a este homem e o batizou.</w:t>
      </w:r>
    </w:p>
    <w:p>
      <w:r/>
      <w:r>
        <w:rPr>
          <w:i/>
        </w:rPr>
        <w:t>Veja também</w:t>
      </w:r>
      <w:r>
        <w:t xml:space="preserve"> </w:t>
      </w:r>
      <w:r>
        <w:t>Filístia, filisteus</w:t>
      </w:r>
      <w:r>
        <w:t>.</w:t>
      </w:r>
      <w:r/>
      <w:r/>
    </w:p>
    <w:p>
      <w:r/>
    </w:p>
    <w:p>
      <w:pPr>
        <w:pStyle w:val="Heading2"/>
      </w:pPr>
      <w:r>
        <w:t>Geada</w:t>
      </w:r>
      <w:r/>
    </w:p>
    <w:p>
      <w:r/>
      <w:r>
        <w:t>Vapor de água congelado ou orvalho (</w:t>
      </w:r>
      <w:hyperlink r:id="rId9783">
        <w:r>
          <w:rPr>
            <w:color w:val="0000EE"/>
            <w:u w:val="single"/>
          </w:rPr>
          <w:t>Sl 78.47</w:t>
        </w:r>
      </w:hyperlink>
      <w:r>
        <w:t xml:space="preserve">; </w:t>
      </w:r>
      <w:hyperlink r:id="rId1842">
        <w:r>
          <w:rPr>
            <w:color w:val="0000EE"/>
            <w:u w:val="single"/>
          </w:rPr>
          <w:t>147.16</w:t>
        </w:r>
      </w:hyperlink>
      <w:r>
        <w:t xml:space="preserve">; </w:t>
      </w:r>
      <w:hyperlink r:id="rId9784">
        <w:r>
          <w:rPr>
            <w:color w:val="0000EE"/>
            <w:u w:val="single"/>
          </w:rPr>
          <w:t>148.8</w:t>
        </w:r>
      </w:hyperlink>
      <w:r>
        <w:t xml:space="preserve">; </w:t>
      </w:r>
      <w:hyperlink r:id="rId9785">
        <w:r>
          <w:rPr>
            <w:color w:val="0000EE"/>
            <w:u w:val="single"/>
          </w:rPr>
          <w:t>Jr 36.30</w:t>
        </w:r>
      </w:hyperlink>
      <w:r>
        <w:t xml:space="preserve">; </w:t>
      </w:r>
      <w:hyperlink r:id="rId9786">
        <w:r>
          <w:rPr>
            <w:color w:val="0000EE"/>
            <w:u w:val="single"/>
          </w:rPr>
          <w:t>Zc 14.6</w:t>
        </w:r>
      </w:hyperlink>
      <w:r>
        <w:t>).</w:t>
      </w:r>
      <w:r/>
      <w:r/>
    </w:p>
    <w:p>
      <w:r/>
    </w:p>
    <w:p>
      <w:pPr>
        <w:pStyle w:val="Heading2"/>
      </w:pPr>
      <w:r>
        <w:t>Gebal</w:t>
      </w:r>
      <w:r/>
    </w:p>
    <w:p>
      <w:r/>
      <w:r>
        <w:t>1. Uma das primeiras aldeias na Fenícia e Síria (junto com Ras Shamra e Tell ej-Judeideh); também chamada de Biblos (“livros”) pelos gregos. Estava situada no Mediterrâneo, cerca de 32 quilômetros ao norte da moderna Beirute e era um importante centro comercial e ponto de saída para as madeiras nobres do Líbano no período em que era uma colônia egípcia e quando os interesses diplomáticos e comerciais do Egito se estendiam por toda a Síria. Era uma cidade-reino de acordo com as cartas de Amarna (c. 1400–1350 a.C.), e impressões de selos encontradas lá de um período muito antigo sugerem que estava em uma importante rota de troca através da Palestina e Síria. Seus habitantes eram chamados de gebalitas (</w:t>
      </w:r>
      <w:hyperlink r:id="rId9787">
        <w:r>
          <w:rPr>
            <w:color w:val="0000EE"/>
            <w:u w:val="single"/>
          </w:rPr>
          <w:t>Js 13.5</w:t>
        </w:r>
      </w:hyperlink>
      <w:r>
        <w:t>). Enquanto era um grande centro comercial, uma realização mais importante dos gebalitas foi o desenvolvimento de um sistema de escrita silábica modelado no egípcio. Passado da Fenícia para a Grécia, tornou-se o ancestral do nosso próprio alfabeto.</w:t>
      </w:r>
    </w:p>
    <w:p>
      <w:r/>
      <w:r>
        <w:t>2. Território ao sudeste do Mar Morto, associado com Amom e Ameleque como hostis a Israel (</w:t>
      </w:r>
      <w:hyperlink r:id="rId1057">
        <w:r>
          <w:rPr>
            <w:color w:val="0000EE"/>
            <w:u w:val="single"/>
          </w:rPr>
          <w:t>Sl 83.7</w:t>
        </w:r>
      </w:hyperlink>
      <w:r>
        <w:t>).</w:t>
      </w:r>
      <w:r/>
      <w:r/>
    </w:p>
    <w:p>
      <w:r/>
    </w:p>
    <w:p>
      <w:pPr>
        <w:pStyle w:val="Heading2"/>
      </w:pPr>
      <w:r>
        <w:t>Geena*</w:t>
      </w:r>
      <w:r/>
    </w:p>
    <w:p>
      <w:r/>
      <w:r>
        <w:t>Transliteração em inglês da forma grega de uma palavra aramaica, derivada da frase hebraica “o Vale de [o(s) filho(s) de Hinom”. O nome designa adequadamente um vale profundo que delimita os territórios das tribos de Benjamim e Judá (</w:t>
      </w:r>
      <w:hyperlink r:id="rId9788">
        <w:r>
          <w:rPr>
            <w:color w:val="0000EE"/>
            <w:u w:val="single"/>
          </w:rPr>
          <w:t>Js 15.8</w:t>
        </w:r>
      </w:hyperlink>
      <w:r>
        <w:t xml:space="preserve">; </w:t>
      </w:r>
      <w:hyperlink r:id="rId9789">
        <w:r>
          <w:rPr>
            <w:color w:val="0000EE"/>
            <w:u w:val="single"/>
          </w:rPr>
          <w:t>18.16</w:t>
        </w:r>
      </w:hyperlink>
      <w:r>
        <w:t>). É comumente identificado com Wadi el-Rababi que corre sob o muro ocidental da Cidade Velha, formando um desfiladeiro profundo ao sul de Jerusalém.</w:t>
      </w:r>
    </w:p>
    <w:p>
      <w:r/>
      <w:r>
        <w:t>O lugar se tornou notório por causa das práticas idólatras realizadas lá nos dias dos reis de Judá Acaz e Manassés, especialmente envolvendo o crime hediondo de sacrifícios infantis associados às cerimônias de Moloque (</w:t>
      </w:r>
      <w:hyperlink r:id="rId135">
        <w:r>
          <w:rPr>
            <w:color w:val="0000EE"/>
            <w:u w:val="single"/>
          </w:rPr>
          <w:t>2Rs 16.3</w:t>
        </w:r>
      </w:hyperlink>
      <w:r>
        <w:t xml:space="preserve">; </w:t>
      </w:r>
      <w:hyperlink r:id="rId9790">
        <w:r>
          <w:rPr>
            <w:color w:val="0000EE"/>
            <w:u w:val="single"/>
          </w:rPr>
          <w:t>21.6</w:t>
        </w:r>
      </w:hyperlink>
      <w:r>
        <w:t xml:space="preserve">; </w:t>
      </w:r>
      <w:hyperlink r:id="rId9791">
        <w:r>
          <w:rPr>
            <w:color w:val="0000EE"/>
            <w:u w:val="single"/>
          </w:rPr>
          <w:t>2Cr 28.3</w:t>
        </w:r>
      </w:hyperlink>
      <w:r>
        <w:t xml:space="preserve">; </w:t>
      </w:r>
      <w:hyperlink r:id="rId6678">
        <w:r>
          <w:rPr>
            <w:color w:val="0000EE"/>
            <w:u w:val="single"/>
          </w:rPr>
          <w:t>33.6</w:t>
        </w:r>
      </w:hyperlink>
      <w:r>
        <w:t xml:space="preserve">; </w:t>
      </w:r>
      <w:hyperlink r:id="rId9792">
        <w:r>
          <w:rPr>
            <w:color w:val="0000EE"/>
            <w:u w:val="single"/>
          </w:rPr>
          <w:t>Jr 19.6</w:t>
        </w:r>
      </w:hyperlink>
      <w:r>
        <w:t xml:space="preserve">; </w:t>
      </w:r>
      <w:hyperlink r:id="rId9793">
        <w:r>
          <w:rPr>
            <w:color w:val="0000EE"/>
            <w:u w:val="single"/>
          </w:rPr>
          <w:t>32.35</w:t>
        </w:r>
      </w:hyperlink>
      <w:r>
        <w:t>). A reforma espiritual do rei Josias trouxe um fim a esses procedimentos sinistros (</w:t>
      </w:r>
      <w:hyperlink r:id="rId9794">
        <w:r>
          <w:rPr>
            <w:color w:val="0000EE"/>
            <w:u w:val="single"/>
          </w:rPr>
          <w:t>2Rs 23.10</w:t>
        </w:r>
      </w:hyperlink>
      <w:r>
        <w:t>). O profeta Jeremias se referiu ao vale ao retratar o julgamento de Deus sobre seu povo (</w:t>
      </w:r>
      <w:hyperlink r:id="rId9795">
        <w:r>
          <w:rPr>
            <w:color w:val="0000EE"/>
            <w:u w:val="single"/>
          </w:rPr>
          <w:t>Jr 2.23</w:t>
        </w:r>
      </w:hyperlink>
      <w:r>
        <w:t xml:space="preserve">; </w:t>
      </w:r>
      <w:hyperlink r:id="rId9796">
        <w:r>
          <w:rPr>
            <w:color w:val="0000EE"/>
            <w:u w:val="single"/>
          </w:rPr>
          <w:t>7.30–32</w:t>
        </w:r>
      </w:hyperlink>
      <w:r>
        <w:t xml:space="preserve">; </w:t>
      </w:r>
      <w:hyperlink r:id="rId9797">
        <w:r>
          <w:rPr>
            <w:color w:val="0000EE"/>
            <w:u w:val="single"/>
          </w:rPr>
          <w:t>19.5–6</w:t>
        </w:r>
      </w:hyperlink>
      <w:r>
        <w:t>).</w:t>
      </w:r>
    </w:p>
    <w:p>
      <w:r/>
      <w:r>
        <w:t>Posteriormente, o vale parece ter sido usado para a queima do lixo da cidade e dos corpos mortos de criminosos. De forma interessante, uma tradição bem estabelecida localiza a cena do suicídio de Judas e a consequente compra do Campo do Oleiro no lado sul deste vale.</w:t>
      </w:r>
    </w:p>
    <w:p>
      <w:r/>
      <w:r>
        <w:t xml:space="preserve">A fama do desfiladeiro de extrema maldade deu origem, especialmente durante o período intertestamentário, a usar seu nome como um termo para o lugar de punição final para os ímpios (1 Enoque 18.11–16; 27.1–3; 54.1s. ; 56.3–4; 90.26; </w:t>
      </w:r>
      <w:hyperlink r:id="rId9798">
        <w:r>
          <w:rPr>
            <w:color w:val="0000EE"/>
            <w:u w:val="single"/>
          </w:rPr>
          <w:t>2Ed 7.36</w:t>
        </w:r>
      </w:hyperlink>
      <w:r>
        <w:t xml:space="preserve">; cp. </w:t>
      </w:r>
      <w:hyperlink r:id="rId9799">
        <w:r>
          <w:rPr>
            <w:color w:val="0000EE"/>
            <w:u w:val="single"/>
          </w:rPr>
          <w:t>Is 30.33</w:t>
        </w:r>
      </w:hyperlink>
      <w:r>
        <w:t xml:space="preserve">; </w:t>
      </w:r>
      <w:hyperlink r:id="rId9800">
        <w:r>
          <w:rPr>
            <w:color w:val="0000EE"/>
            <w:u w:val="single"/>
          </w:rPr>
          <w:t>66.24</w:t>
        </w:r>
      </w:hyperlink>
      <w:r>
        <w:t xml:space="preserve">; </w:t>
      </w:r>
      <w:hyperlink r:id="rId3264">
        <w:r>
          <w:rPr>
            <w:color w:val="0000EE"/>
            <w:u w:val="single"/>
          </w:rPr>
          <w:t>Dn 7.10</w:t>
        </w:r>
      </w:hyperlink>
      <w:r>
        <w:t>). O próprio Jesus utiliza o termo para designar a morada final dos ímpios impenitentes (</w:t>
      </w:r>
      <w:hyperlink r:id="rId9801">
        <w:r>
          <w:rPr>
            <w:color w:val="0000EE"/>
            <w:u w:val="single"/>
          </w:rPr>
          <w:t>Mt 5.22</w:t>
        </w:r>
      </w:hyperlink>
      <w:r>
        <w:t xml:space="preserve">; </w:t>
      </w:r>
      <w:hyperlink r:id="rId953">
        <w:r>
          <w:rPr>
            <w:color w:val="0000EE"/>
            <w:u w:val="single"/>
          </w:rPr>
          <w:t>10.28</w:t>
        </w:r>
      </w:hyperlink>
      <w:r>
        <w:t xml:space="preserve">; </w:t>
      </w:r>
      <w:hyperlink r:id="rId9802">
        <w:r>
          <w:rPr>
            <w:color w:val="0000EE"/>
            <w:u w:val="single"/>
          </w:rPr>
          <w:t>18.9</w:t>
        </w:r>
      </w:hyperlink>
      <w:r>
        <w:t xml:space="preserve">). Uma vez que Geena é um abismo </w:t>
      </w:r>
      <w:hyperlink r:id="rId6693">
        <w:r>
          <w:rPr>
            <w:color w:val="0000EE"/>
            <w:u w:val="single"/>
          </w:rPr>
          <w:t>ardente</w:t>
        </w:r>
      </w:hyperlink>
      <w:r>
        <w:t xml:space="preserve"> (</w:t>
      </w:r>
      <w:hyperlink r:id="rId9803">
        <w:r>
          <w:rPr>
            <w:color w:val="0000EE"/>
            <w:u w:val="single"/>
          </w:rPr>
          <w:t>Mc 9.43</w:t>
        </w:r>
      </w:hyperlink>
      <w:r>
        <w:t>), também é o lago de fogo (</w:t>
      </w:r>
      <w:hyperlink r:id="rId9623">
        <w:r>
          <w:rPr>
            <w:color w:val="0000EE"/>
            <w:u w:val="single"/>
          </w:rPr>
          <w:t>Mt 13.42,50</w:t>
        </w:r>
      </w:hyperlink>
      <w:r>
        <w:t xml:space="preserve">; </w:t>
      </w:r>
      <w:hyperlink r:id="rId9804">
        <w:r>
          <w:rPr>
            <w:color w:val="0000EE"/>
            <w:u w:val="single"/>
          </w:rPr>
          <w:t>Ap 20.14–15</w:t>
        </w:r>
      </w:hyperlink>
      <w:r>
        <w:t>) para o qual todos os ímpios serão finalmente consignados (</w:t>
      </w:r>
      <w:hyperlink r:id="rId9805">
        <w:r>
          <w:rPr>
            <w:color w:val="0000EE"/>
            <w:u w:val="single"/>
          </w:rPr>
          <w:t>Mt 23.15,33</w:t>
        </w:r>
      </w:hyperlink>
      <w:r>
        <w:t>), juntamente com Satanás e seus demônios (</w:t>
      </w:r>
      <w:hyperlink r:id="rId6692">
        <w:r>
          <w:rPr>
            <w:color w:val="0000EE"/>
            <w:u w:val="single"/>
          </w:rPr>
          <w:t>Mt 25.41</w:t>
        </w:r>
      </w:hyperlink>
      <w:r>
        <w:t xml:space="preserve">; </w:t>
      </w:r>
      <w:hyperlink r:id="rId8093">
        <w:r>
          <w:rPr>
            <w:color w:val="0000EE"/>
            <w:u w:val="single"/>
          </w:rPr>
          <w:t>Ap 19.20; 20.10</w:t>
        </w:r>
      </w:hyperlink>
      <w:r>
        <w:t>).</w:t>
      </w:r>
    </w:p>
    <w:p>
      <w:r/>
      <w:r>
        <w:t xml:space="preserve">Geena deve ser cautelosamente diferenciada de outros termos em relação à vida após a morte ou estado final. Considerando que o AT “Sheol” e no NT “hades” designam uniformemente a morada temporária dos mortos (antes do último Dia do Julgamento), “Geena” especifica o lugar final onde os ímpios sofrerão a punição eterna (cp. </w:t>
      </w:r>
      <w:hyperlink r:id="rId9806">
        <w:r>
          <w:rPr>
            <w:color w:val="0000EE"/>
            <w:u w:val="single"/>
          </w:rPr>
          <w:t>Sl 49.14–15</w:t>
        </w:r>
      </w:hyperlink>
      <w:r>
        <w:t xml:space="preserve"> com </w:t>
      </w:r>
      <w:hyperlink r:id="rId953">
        <w:r>
          <w:rPr>
            <w:color w:val="0000EE"/>
            <w:u w:val="single"/>
          </w:rPr>
          <w:t>Mt 10.28</w:t>
        </w:r>
      </w:hyperlink>
      <w:r>
        <w:t xml:space="preserve">). A forma grega “Tártaro” ocorre apenas em </w:t>
      </w:r>
      <w:hyperlink r:id="rId110">
        <w:r>
          <w:rPr>
            <w:color w:val="0000EE"/>
            <w:u w:val="single"/>
          </w:rPr>
          <w:t>2Pe 2.4</w:t>
        </w:r>
      </w:hyperlink>
      <w:r>
        <w:t xml:space="preserve"> e identifica a morada específica dos anjos que caíram na revolta satânica primitiva.</w:t>
      </w:r>
    </w:p>
    <w:p>
      <w:r/>
      <w:r>
        <w:rPr>
          <w:i/>
        </w:rPr>
        <w:t>Veja também</w:t>
      </w:r>
      <w:r>
        <w:t xml:space="preserve"> </w:t>
      </w:r>
      <w:r>
        <w:t>Mortos, Lugar do</w:t>
      </w:r>
      <w:r>
        <w:t xml:space="preserve">; </w:t>
      </w:r>
      <w:r>
        <w:t>Morte</w:t>
      </w:r>
      <w:r>
        <w:t xml:space="preserve">; </w:t>
      </w:r>
      <w:r>
        <w:t>Hades</w:t>
      </w:r>
      <w:r>
        <w:t xml:space="preserve">; </w:t>
      </w:r>
      <w:r>
        <w:t>Inferno</w:t>
      </w:r>
      <w:r>
        <w:t xml:space="preserve">; </w:t>
      </w:r>
      <w:r>
        <w:t>Sheol</w:t>
      </w:r>
      <w:r>
        <w:t>.</w:t>
      </w:r>
      <w:r/>
      <w:r/>
    </w:p>
    <w:p>
      <w:r/>
    </w:p>
    <w:p>
      <w:pPr>
        <w:pStyle w:val="Heading2"/>
      </w:pPr>
      <w:r>
        <w:t>Gemali</w:t>
      </w:r>
      <w:r/>
    </w:p>
    <w:p>
      <w:r/>
      <w:r>
        <w:t>O pai de Amiel. Amiel foi um dos 12 espiões enviados por Moisés para explorar a terra de Canaã (</w:t>
      </w:r>
      <w:hyperlink r:id="rId1080">
        <w:r>
          <w:rPr>
            <w:color w:val="0000EE"/>
            <w:u w:val="single"/>
          </w:rPr>
          <w:t>Nm 13.12</w:t>
        </w:r>
      </w:hyperlink>
      <w:r>
        <w:t>).</w:t>
      </w:r>
      <w:r/>
      <w:r/>
    </w:p>
    <w:p>
      <w:r/>
    </w:p>
    <w:p>
      <w:pPr>
        <w:pStyle w:val="Heading2"/>
      </w:pPr>
      <w:r>
        <w:t>Gematria</w:t>
      </w:r>
      <w:r/>
    </w:p>
    <w:p>
      <w:r/>
      <w:r>
        <w:t>Um dos métodos rabínicos usados pelos professores judeus para interpretar o Antigo Testamento envolvia analisar palavras com base no valor numérico de suas letras ou rearranjar letras de acordo com um sistema específico. Por exemplo, alguns rabinos argumentaram que Eliezer (</w:t>
      </w:r>
      <w:hyperlink r:id="rId166">
        <w:r>
          <w:rPr>
            <w:color w:val="0000EE"/>
            <w:u w:val="single"/>
          </w:rPr>
          <w:t>Gn 15.2</w:t>
        </w:r>
      </w:hyperlink>
      <w:r>
        <w:t>) representava todos os servos de Abraão combinados porque o nome de Eliezer equivale a 318, que era o número de servos de Abraão (</w:t>
      </w:r>
      <w:hyperlink r:id="rId9807">
        <w:r>
          <w:rPr>
            <w:color w:val="0000EE"/>
            <w:u w:val="single"/>
          </w:rPr>
          <w:t>Gn 14.14</w:t>
        </w:r>
      </w:hyperlink>
      <w:r>
        <w:t xml:space="preserve">). Outro exemplo é como o nome "Babilônia" é derivado em </w:t>
      </w:r>
      <w:hyperlink r:id="rId9808">
        <w:r>
          <w:rPr>
            <w:color w:val="0000EE"/>
            <w:u w:val="single"/>
          </w:rPr>
          <w:t>Jeremias 25.26</w:t>
        </w:r>
      </w:hyperlink>
      <w:r>
        <w:t xml:space="preserve"> e </w:t>
      </w:r>
      <w:hyperlink r:id="rId9809">
        <w:r>
          <w:rPr>
            <w:color w:val="0000EE"/>
            <w:u w:val="single"/>
          </w:rPr>
          <w:t>51.41</w:t>
        </w:r>
      </w:hyperlink>
      <w:r>
        <w:t xml:space="preserve"> ao mudar a última letra da palavra hebraica para Babilônia para a primeira letra da mesma palavra.</w:t>
      </w:r>
    </w:p>
    <w:p>
      <w:r/>
      <w:r>
        <w:t>Na Epístola de Barnabé, um texto pseudepigráfico, os 318 servos de Abraão (</w:t>
      </w:r>
      <w:hyperlink r:id="rId9807">
        <w:r>
          <w:rPr>
            <w:color w:val="0000EE"/>
            <w:u w:val="single"/>
          </w:rPr>
          <w:t>Gn 14.14</w:t>
        </w:r>
      </w:hyperlink>
      <w:r>
        <w:t xml:space="preserve">) são vistos como simbolizando a morte de Jesus na cruz. Esta interpretação é baseada na letra grega </w:t>
      </w:r>
      <w:r>
        <w:rPr>
          <w:i/>
        </w:rPr>
        <w:t>Tau</w:t>
      </w:r>
      <w:r>
        <w:t>, ou "t", que tem um valor numérico de 300 e tem forma de cruz, e 18, que corresponde às duas primeiras letras da palavra grega para Jesus.</w:t>
      </w:r>
    </w:p>
    <w:p>
      <w:r/>
      <w:r>
        <w:t>No livro do Apocalipse, o número da besta é 666 (</w:t>
      </w:r>
      <w:hyperlink r:id="rId8080">
        <w:r>
          <w:rPr>
            <w:color w:val="0000EE"/>
            <w:u w:val="single"/>
          </w:rPr>
          <w:t>Ap 13.18</w:t>
        </w:r>
      </w:hyperlink>
      <w:r>
        <w:t>). No simbolismo bíblico, o número sete é considerado perfeito, e três setes representam a perfeição completa. Assim, 666 é visto como inferior a essa perfeição.</w:t>
      </w:r>
      <w:r/>
      <w:r/>
    </w:p>
    <w:p>
      <w:r/>
    </w:p>
    <w:p>
      <w:pPr>
        <w:pStyle w:val="Heading2"/>
      </w:pPr>
      <w:r>
        <w:t>Genealogia</w:t>
      </w:r>
      <w:r/>
    </w:p>
    <w:p>
      <w:r/>
      <w:r>
        <w:t xml:space="preserve">Registro ou estudo de descendência envolvendo um traçado para trás ou para a frente da ascendência de uma nação, tribo, família ou indivíduo. Os hebreus não eram as únicas pessoas no mundo antigo a se interessar em manter registros genealógicos. A lista de reis sumérios do terceiro milênio a.C. contém registros dos primeiros governantes da Mesopotâmia. Nos registros babilônicos, a palavra “filho” era frequentemente usada no sentido de “descendente de”. O rei Tiraca do Egito (c. 685 a.C.) se referiu a seu “pai”, Sesostris III, que viveu cerca de 1.200 anos antes dele. Os gregos e os romanos também mantinham registros genealógicos. No entanto, as genealogias bíblicas, especialmente aquelas em Gênesis e </w:t>
      </w:r>
      <w:hyperlink r:id="rId6132">
        <w:r>
          <w:rPr>
            <w:color w:val="0000EE"/>
            <w:u w:val="single"/>
          </w:rPr>
          <w:t>1 Crônicas 1–9</w:t>
        </w:r>
      </w:hyperlink>
      <w:r>
        <w:t>, são únicas na literatura do antigo Oriente Próximo. Apenas no início da era islâmica são encontrados registros genealógicos tão amplos. Mesmo hoje em meio aos semitas tribais, como os nômades árabes, há um interesse intenso na genealogia, e não é incomum que um árabe seja capaz de recitar com precisão os nomes de seus antepassados por 10 ou 15 gerações atrás, cobrindo um período de várias centenas de anos.</w:t>
      </w:r>
    </w:p>
    <w:p>
      <w:pPr>
        <w:pStyle w:val="Heading3"/>
      </w:pPr>
      <w:r>
        <w:t>Termos usados</w:t>
      </w:r>
    </w:p>
    <w:p>
      <w:r/>
      <w:r>
        <w:t>A palavra “genealogia” ocorre apenas uma vez como um substantivo no AT hebraico (</w:t>
      </w:r>
      <w:hyperlink r:id="rId9810">
        <w:r>
          <w:rPr>
            <w:color w:val="0000EE"/>
            <w:u w:val="single"/>
          </w:rPr>
          <w:t>Ne 7.5</w:t>
        </w:r>
      </w:hyperlink>
      <w:r>
        <w:t xml:space="preserve">), onde se refere a um registro daqueles que voltaram para Jerusalém com Zorobabel no final do exílio. A forma verbal da mesma palavra é encontrada um total de 20 vezes em 1—2 Crônicas, Esdras e Neemias. Os termos “gerações” e “livro das gerações”, usados em Gênesis e em outros lugares no AT, transmitem a mesma ideia. Os termos equivalentes do NT são encontrados em </w:t>
      </w:r>
      <w:hyperlink r:id="rId9811">
        <w:r>
          <w:rPr>
            <w:color w:val="0000EE"/>
            <w:u w:val="single"/>
          </w:rPr>
          <w:t>1 Timóteo 1.4</w:t>
        </w:r>
      </w:hyperlink>
      <w:r>
        <w:t xml:space="preserve"> e </w:t>
      </w:r>
      <w:hyperlink r:id="rId9812">
        <w:r>
          <w:rPr>
            <w:color w:val="0000EE"/>
            <w:u w:val="single"/>
          </w:rPr>
          <w:t>Tito 3.9</w:t>
        </w:r>
      </w:hyperlink>
      <w:r>
        <w:t xml:space="preserve"> (“genealogias”) e </w:t>
      </w:r>
      <w:hyperlink r:id="rId817">
        <w:r>
          <w:rPr>
            <w:color w:val="0000EE"/>
            <w:u w:val="single"/>
          </w:rPr>
          <w:t>Mateus 1.1</w:t>
        </w:r>
      </w:hyperlink>
      <w:r>
        <w:t>, que se refere ao “livro da genealogia” de Jesus Cristo.</w:t>
      </w:r>
    </w:p>
    <w:p>
      <w:pPr>
        <w:pStyle w:val="Heading3"/>
      </w:pPr>
      <w:r>
        <w:t>Propósito dos registros genealógicos</w:t>
      </w:r>
    </w:p>
    <w:p>
      <w:r/>
      <w:r>
        <w:t>A manutenção de registros genealógicos no antigo Israel era uma atividade importante e servia a vários propósitos úteis. A promessa de Deus de uma terra a Abraão e seus descendentes tornou esses registros necessários para estabelecer e preservar a distribuição da terra; um registro genealógico serviu como evidência de um título legítimo da propriedade ancestral. As genealogias eram essenciais para a preservação do sacerdócio exclusivo que havia sido estabelecido pela lei mosaica. No tempo de Josefo, cada sacerdote deveria ser capaz de provar sua descendência.</w:t>
      </w:r>
    </w:p>
    <w:p>
      <w:r/>
      <w:r>
        <w:t>Uma das razões mais importantes para manter registros genealógicos era estabelecer e manter o direito de sucessão real em Judá através da família de Davi. A crença de que o Messias viria da casa davídica tornava esses registros ainda mais importantes.</w:t>
      </w:r>
    </w:p>
    <w:p>
      <w:r/>
      <w:r>
        <w:t>Outros propósitos servidos por esses registros familiares incluíam a imposição do dever militar de acordo com as famílias (</w:t>
      </w:r>
      <w:hyperlink r:id="rId9813">
        <w:r>
          <w:rPr>
            <w:color w:val="0000EE"/>
            <w:u w:val="single"/>
          </w:rPr>
          <w:t>Nm 1.2–3</w:t>
        </w:r>
      </w:hyperlink>
      <w:r>
        <w:t>). A posição no acampamento e na marcha do Egito era determinada por tribos e famílias (</w:t>
      </w:r>
      <w:hyperlink r:id="rId9814">
        <w:r>
          <w:rPr>
            <w:color w:val="0000EE"/>
            <w:u w:val="single"/>
          </w:rPr>
          <w:t>2.2,17</w:t>
        </w:r>
      </w:hyperlink>
      <w:r>
        <w:t xml:space="preserve">; </w:t>
      </w:r>
      <w:hyperlink r:id="rId9815">
        <w:r>
          <w:rPr>
            <w:color w:val="0000EE"/>
            <w:u w:val="single"/>
          </w:rPr>
          <w:t>10.11–28</w:t>
        </w:r>
      </w:hyperlink>
      <w:r>
        <w:t>). Além disso, as bênçãos de Deus eram passadas de um membro da família para seus descendentes (</w:t>
      </w:r>
      <w:hyperlink r:id="rId7192">
        <w:r>
          <w:rPr>
            <w:color w:val="0000EE"/>
            <w:u w:val="single"/>
          </w:rPr>
          <w:t>Gn 27</w:t>
        </w:r>
      </w:hyperlink>
      <w:r>
        <w:t>). A tensão colocada na pureza da congregação (</w:t>
      </w:r>
      <w:hyperlink r:id="rId759">
        <w:r>
          <w:rPr>
            <w:color w:val="0000EE"/>
            <w:u w:val="single"/>
          </w:rPr>
          <w:t>Deuteronômio 7.1–4</w:t>
        </w:r>
      </w:hyperlink>
      <w:r>
        <w:t xml:space="preserve">; </w:t>
      </w:r>
      <w:hyperlink r:id="rId9816">
        <w:r>
          <w:rPr>
            <w:color w:val="0000EE"/>
            <w:u w:val="single"/>
          </w:rPr>
          <w:t>23.1–8</w:t>
        </w:r>
      </w:hyperlink>
      <w:r>
        <w:t>) exigiu registros familiares completos, especialmente no período pós-exílico. Com a insistência de Esdras e Neemias na pureza racial, e com a remoção de elementos estrangeiros de meio do povo (</w:t>
      </w:r>
      <w:hyperlink r:id="rId9817">
        <w:r>
          <w:rPr>
            <w:color w:val="0000EE"/>
            <w:u w:val="single"/>
          </w:rPr>
          <w:t>Ed 2.59–63</w:t>
        </w:r>
      </w:hyperlink>
      <w:r>
        <w:t xml:space="preserve">; </w:t>
      </w:r>
      <w:hyperlink r:id="rId9818">
        <w:r>
          <w:rPr>
            <w:color w:val="0000EE"/>
            <w:u w:val="single"/>
          </w:rPr>
          <w:t>10.9–44</w:t>
        </w:r>
      </w:hyperlink>
      <w:r>
        <w:t xml:space="preserve">; </w:t>
      </w:r>
      <w:hyperlink r:id="rId9819">
        <w:r>
          <w:rPr>
            <w:color w:val="0000EE"/>
            <w:u w:val="single"/>
          </w:rPr>
          <w:t>Ne 13.23–28</w:t>
        </w:r>
      </w:hyperlink>
      <w:r>
        <w:t>), a evidência escrita de pureza da descendência se tornou essencial; o interesse na compilação de genealogias tornou-se intenso após o exílio.</w:t>
      </w:r>
    </w:p>
    <w:p>
      <w:r/>
      <w:r>
        <w:t xml:space="preserve">A linhagem era normalmente traçada através dos membros homens da família, com as mulheres mencionadas raramente (por exemplo, </w:t>
      </w:r>
      <w:hyperlink r:id="rId9820">
        <w:r>
          <w:rPr>
            <w:color w:val="0000EE"/>
            <w:u w:val="single"/>
          </w:rPr>
          <w:t>Gn 11.29</w:t>
        </w:r>
      </w:hyperlink>
      <w:r>
        <w:t xml:space="preserve">, Sara e Milca; </w:t>
      </w:r>
      <w:hyperlink r:id="rId3512">
        <w:r>
          <w:rPr>
            <w:color w:val="0000EE"/>
            <w:u w:val="single"/>
          </w:rPr>
          <w:t>22.23</w:t>
        </w:r>
      </w:hyperlink>
      <w:r>
        <w:t xml:space="preserve">, Rebeca; e </w:t>
      </w:r>
      <w:hyperlink r:id="rId9821">
        <w:r>
          <w:rPr>
            <w:color w:val="0000EE"/>
            <w:u w:val="single"/>
          </w:rPr>
          <w:t>Nm 26.33–27.11</w:t>
        </w:r>
      </w:hyperlink>
      <w:r>
        <w:t>, onde a herança da propriedade das filhas de Zelofeade estava envolvida). Mateus menciona três mulheres: Tamar, Raabe e Rute; e no segundo grupo faz alusão a Bate-Seba (veja debate abaixo).</w:t>
      </w:r>
    </w:p>
    <w:p>
      <w:pPr>
        <w:pStyle w:val="Heading3"/>
      </w:pPr>
      <w:r>
        <w:t>Principais listas genealógicas na Bíblia</w:t>
      </w:r>
    </w:p>
    <w:p>
      <w:r/>
      <w:r>
        <w:t xml:space="preserve">As principais fontes de material genealógico no Antigo Testamento são encontradas em Gênesis, Números, 2 Samuel, 1 Reis, 1—2 Crônicas (que contêm a maior quantidade de material genealógico na Bíblia), Esdras e Neemias. As genealogias de Jesus Cristo em </w:t>
      </w:r>
      <w:hyperlink r:id="rId9822">
        <w:r>
          <w:rPr>
            <w:color w:val="0000EE"/>
            <w:u w:val="single"/>
          </w:rPr>
          <w:t>Mateus 1</w:t>
        </w:r>
      </w:hyperlink>
      <w:r>
        <w:t xml:space="preserve"> e </w:t>
      </w:r>
      <w:hyperlink r:id="rId3692">
        <w:r>
          <w:rPr>
            <w:color w:val="0000EE"/>
            <w:u w:val="single"/>
          </w:rPr>
          <w:t>Lucas 3</w:t>
        </w:r>
      </w:hyperlink>
      <w:r>
        <w:t xml:space="preserve"> são os únicos registros do NT. Juntos, eles contêm um registro genealógico de Adão até Cristo.</w:t>
      </w:r>
    </w:p>
    <w:p>
      <w:r/>
      <w:r>
        <w:t>Agrupadas por períodos históricos, as seguintes são as principais listas genealógicas encontradas na Bíblia:</w:t>
      </w:r>
    </w:p>
    <w:p>
      <w:pPr>
        <w:pStyle w:val="Heading4"/>
      </w:pPr>
      <w:r>
        <w:t>Antes do Dilúvio</w:t>
      </w:r>
    </w:p>
    <w:p>
      <w:r/>
      <w:r>
        <w:t xml:space="preserve">Três listas são deste período. O primeiro, encontrado em </w:t>
      </w:r>
      <w:hyperlink r:id="rId9823">
        <w:r>
          <w:rPr>
            <w:color w:val="0000EE"/>
            <w:u w:val="single"/>
          </w:rPr>
          <w:t>Gênesis 4.17–22</w:t>
        </w:r>
      </w:hyperlink>
      <w:r>
        <w:t xml:space="preserve">, traça os descendentes de Caim por sete gerações e explica a origem hereditária de certas profissões e ofícios. O segundo, </w:t>
      </w:r>
      <w:hyperlink r:id="rId9824">
        <w:r>
          <w:rPr>
            <w:color w:val="0000EE"/>
            <w:u w:val="single"/>
          </w:rPr>
          <w:t>Gênesis 4.25–26</w:t>
        </w:r>
      </w:hyperlink>
      <w:r>
        <w:t xml:space="preserve">, começa o relato dos descendentes de Sete, a posteridade de Adão que tem sua fidelidade a Deus contrastada com a posteridade ímpia de Caim. A terceira lista, </w:t>
      </w:r>
      <w:hyperlink r:id="rId6203">
        <w:r>
          <w:rPr>
            <w:color w:val="0000EE"/>
            <w:u w:val="single"/>
          </w:rPr>
          <w:t>Gênesis 5.1–32</w:t>
        </w:r>
      </w:hyperlink>
      <w:r>
        <w:t xml:space="preserve"> (cf. </w:t>
      </w:r>
      <w:hyperlink r:id="rId9825">
        <w:r>
          <w:rPr>
            <w:color w:val="0000EE"/>
            <w:u w:val="single"/>
          </w:rPr>
          <w:t>1Cr 1.1–4</w:t>
        </w:r>
      </w:hyperlink>
      <w:r>
        <w:t>), traça os descendentes de Adão por Sete até Noé e seus filhos na época do Dilúvio.</w:t>
      </w:r>
    </w:p>
    <w:p>
      <w:pPr>
        <w:pStyle w:val="Heading4"/>
      </w:pPr>
      <w:r>
        <w:t>De Noé até Abraão</w:t>
      </w:r>
    </w:p>
    <w:p>
      <w:r/>
      <w:hyperlink r:id="rId7547">
        <w:r>
          <w:rPr>
            <w:color w:val="0000EE"/>
            <w:u w:val="single"/>
          </w:rPr>
          <w:t>Gênesis 10.1–32</w:t>
        </w:r>
      </w:hyperlink>
      <w:r>
        <w:t xml:space="preserve"> (cf. </w:t>
      </w:r>
      <w:hyperlink r:id="rId9826">
        <w:r>
          <w:rPr>
            <w:color w:val="0000EE"/>
            <w:u w:val="single"/>
          </w:rPr>
          <w:t>1Cr 1.4–23</w:t>
        </w:r>
      </w:hyperlink>
      <w:r>
        <w:t xml:space="preserve">), frequentemente chamada de “mesa das nações”, contém uma lista das nações que descendem dos filhos de Noé (Sem, Cão e Jafé). </w:t>
      </w:r>
      <w:hyperlink r:id="rId9827">
        <w:r>
          <w:rPr>
            <w:color w:val="0000EE"/>
            <w:u w:val="single"/>
          </w:rPr>
          <w:t>Gênesis 11.10–26</w:t>
        </w:r>
      </w:hyperlink>
      <w:r>
        <w:t xml:space="preserve"> (cf. </w:t>
      </w:r>
      <w:hyperlink r:id="rId9828">
        <w:r>
          <w:rPr>
            <w:color w:val="0000EE"/>
            <w:u w:val="single"/>
          </w:rPr>
          <w:t>1Cr 1.24–27</w:t>
        </w:r>
      </w:hyperlink>
      <w:r>
        <w:t xml:space="preserve">) traça os descendentes de Sem até o tempo de Abraão, e </w:t>
      </w:r>
      <w:hyperlink r:id="rId9829">
        <w:r>
          <w:rPr>
            <w:color w:val="0000EE"/>
            <w:u w:val="single"/>
          </w:rPr>
          <w:t>Gênesis 11.27–30</w:t>
        </w:r>
      </w:hyperlink>
      <w:r>
        <w:t xml:space="preserve"> (ver também </w:t>
      </w:r>
      <w:hyperlink r:id="rId9830">
        <w:r>
          <w:rPr>
            <w:color w:val="0000EE"/>
            <w:u w:val="single"/>
          </w:rPr>
          <w:t>Gn 22.20–24</w:t>
        </w:r>
      </w:hyperlink>
      <w:r>
        <w:t>) lista os descendentes de Naor, o irmão de Abraão.</w:t>
      </w:r>
    </w:p>
    <w:p>
      <w:pPr>
        <w:pStyle w:val="Heading4"/>
      </w:pPr>
      <w:r>
        <w:t>De Abraão até a descida ao Egito</w:t>
      </w:r>
    </w:p>
    <w:p>
      <w:r/>
      <w:r>
        <w:t xml:space="preserve">Os descendentes de Abraão por Hagar, Sara e Quetura são encontrados em </w:t>
      </w:r>
      <w:hyperlink r:id="rId9831">
        <w:r>
          <w:rPr>
            <w:color w:val="0000EE"/>
            <w:u w:val="single"/>
          </w:rPr>
          <w:t>Gênesis 16.15</w:t>
        </w:r>
      </w:hyperlink>
      <w:r>
        <w:t xml:space="preserve">, </w:t>
      </w:r>
      <w:hyperlink r:id="rId9832">
        <w:r>
          <w:rPr>
            <w:color w:val="0000EE"/>
            <w:u w:val="single"/>
          </w:rPr>
          <w:t>21.1–3</w:t>
        </w:r>
      </w:hyperlink>
      <w:r>
        <w:t xml:space="preserve"> e </w:t>
      </w:r>
      <w:hyperlink r:id="rId9833">
        <w:r>
          <w:rPr>
            <w:color w:val="0000EE"/>
            <w:u w:val="single"/>
          </w:rPr>
          <w:t>25.1–4</w:t>
        </w:r>
      </w:hyperlink>
      <w:r>
        <w:t xml:space="preserve"> (introduzindo os árabes como descendentes de Abraão; cf. </w:t>
      </w:r>
      <w:hyperlink r:id="rId9834">
        <w:r>
          <w:rPr>
            <w:color w:val="0000EE"/>
            <w:u w:val="single"/>
          </w:rPr>
          <w:t>1Cr 1.28–34</w:t>
        </w:r>
      </w:hyperlink>
      <w:r>
        <w:t xml:space="preserve">). </w:t>
      </w:r>
      <w:hyperlink r:id="rId9835">
        <w:r>
          <w:rPr>
            <w:color w:val="0000EE"/>
            <w:u w:val="single"/>
          </w:rPr>
          <w:t>Gênesis 19.37–38</w:t>
        </w:r>
      </w:hyperlink>
      <w:r>
        <w:t xml:space="preserve"> liga os moabitas e os amonitas a Abraão através de seu sobrinho Ló. Uma lista genealógica muito importante durante este período é a dos descendentes de Jacó, dando o relato da filiação, nascimento e nome dos fundadores das 12 tribos de Israel (</w:t>
      </w:r>
      <w:hyperlink r:id="rId9836">
        <w:r>
          <w:rPr>
            <w:color w:val="0000EE"/>
            <w:u w:val="single"/>
          </w:rPr>
          <w:t>Gn 29.31–30.24</w:t>
        </w:r>
      </w:hyperlink>
      <w:r>
        <w:t xml:space="preserve">; </w:t>
      </w:r>
      <w:hyperlink r:id="rId9837">
        <w:r>
          <w:rPr>
            <w:color w:val="0000EE"/>
            <w:u w:val="single"/>
          </w:rPr>
          <w:t>35.16–26</w:t>
        </w:r>
      </w:hyperlink>
      <w:r>
        <w:t>). Esaú é reconhecido como o ancestral dos edomitas; seus descendentes edomitas são rastreados através de suas três esposas (</w:t>
      </w:r>
      <w:hyperlink r:id="rId3166">
        <w:r>
          <w:rPr>
            <w:color w:val="0000EE"/>
            <w:u w:val="single"/>
          </w:rPr>
          <w:t>Gn 26.34</w:t>
        </w:r>
      </w:hyperlink>
      <w:r>
        <w:t xml:space="preserve">; </w:t>
      </w:r>
      <w:hyperlink r:id="rId7548">
        <w:r>
          <w:rPr>
            <w:color w:val="0000EE"/>
            <w:u w:val="single"/>
          </w:rPr>
          <w:t>36.1–43</w:t>
        </w:r>
      </w:hyperlink>
      <w:r>
        <w:t xml:space="preserve">; </w:t>
      </w:r>
      <w:hyperlink r:id="rId9838">
        <w:r>
          <w:rPr>
            <w:color w:val="0000EE"/>
            <w:u w:val="single"/>
          </w:rPr>
          <w:t>1Cr 1.35–54</w:t>
        </w:r>
      </w:hyperlink>
      <w:r>
        <w:t xml:space="preserve">). A lista da família de Jacó no momento em que ele entrou no Egito, numerando 70, é encontrada em </w:t>
      </w:r>
      <w:hyperlink r:id="rId9839">
        <w:r>
          <w:rPr>
            <w:color w:val="0000EE"/>
            <w:u w:val="single"/>
          </w:rPr>
          <w:t>Gênesis 46.1–27</w:t>
        </w:r>
      </w:hyperlink>
      <w:r>
        <w:t xml:space="preserve"> (cf. </w:t>
      </w:r>
      <w:hyperlink r:id="rId9840">
        <w:r>
          <w:rPr>
            <w:color w:val="0000EE"/>
            <w:u w:val="single"/>
          </w:rPr>
          <w:t>Êx 6.14–16</w:t>
        </w:r>
      </w:hyperlink>
      <w:r>
        <w:t xml:space="preserve">; </w:t>
      </w:r>
      <w:hyperlink r:id="rId9841">
        <w:r>
          <w:rPr>
            <w:color w:val="0000EE"/>
            <w:u w:val="single"/>
          </w:rPr>
          <w:t>Nm 26.1–51</w:t>
        </w:r>
      </w:hyperlink>
      <w:r>
        <w:t xml:space="preserve">; </w:t>
      </w:r>
      <w:hyperlink r:id="rId9842">
        <w:r>
          <w:rPr>
            <w:color w:val="0000EE"/>
            <w:u w:val="single"/>
          </w:rPr>
          <w:t>1Cr 2–8</w:t>
        </w:r>
      </w:hyperlink>
      <w:r>
        <w:t xml:space="preserve">). Uma lista parcial dos chefes das casas paternas de Rúben, Simeão e Levi é encontrada em </w:t>
      </w:r>
      <w:hyperlink r:id="rId3251">
        <w:r>
          <w:rPr>
            <w:color w:val="0000EE"/>
            <w:u w:val="single"/>
          </w:rPr>
          <w:t>Êxodo 6.14–25</w:t>
        </w:r>
      </w:hyperlink>
      <w:r>
        <w:t>; o principal propósito desta genealogia é estabelecer Arão e Moisés como membros da tribo de Levi.</w:t>
      </w:r>
    </w:p>
    <w:p>
      <w:pPr>
        <w:pStyle w:val="Heading4"/>
      </w:pPr>
      <w:r>
        <w:t>Do Êxodo à conquista de Canaã</w:t>
      </w:r>
    </w:p>
    <w:p>
      <w:r/>
      <w:r>
        <w:t>Enquanto as tribos ainda estavam no deserto após deixar o Egito, um censo foi feito para determinar o número total de israelitas (</w:t>
      </w:r>
      <w:hyperlink r:id="rId9843">
        <w:r>
          <w:rPr>
            <w:color w:val="0000EE"/>
            <w:u w:val="single"/>
          </w:rPr>
          <w:t>Nm 1.4–54</w:t>
        </w:r>
      </w:hyperlink>
      <w:r>
        <w:t xml:space="preserve">; </w:t>
      </w:r>
      <w:hyperlink r:id="rId9844">
        <w:r>
          <w:rPr>
            <w:color w:val="0000EE"/>
            <w:u w:val="single"/>
          </w:rPr>
          <w:t>2.2–33</w:t>
        </w:r>
      </w:hyperlink>
      <w:r>
        <w:t>). Durante este mesmo período, uma genealogia da família de Arão foi compilada, e um censo separado foi feito dos levitas (</w:t>
      </w:r>
      <w:hyperlink r:id="rId9845">
        <w:r>
          <w:rPr>
            <w:color w:val="0000EE"/>
            <w:u w:val="single"/>
          </w:rPr>
          <w:t>3.1–39</w:t>
        </w:r>
      </w:hyperlink>
      <w:r>
        <w:t xml:space="preserve">). Uma lista dos 12 espiões que espiavam a terra e as tribos que eles representavam é dada em </w:t>
      </w:r>
      <w:hyperlink r:id="rId9846">
        <w:r>
          <w:rPr>
            <w:color w:val="0000EE"/>
            <w:u w:val="single"/>
          </w:rPr>
          <w:t>Números 13.4–16</w:t>
        </w:r>
      </w:hyperlink>
      <w:r>
        <w:t>; os nomes mais importantes nesta lista são Calebe e Josué. Perto do fim das peregrinações pelo deserto, outro censo das pessoas foi ordenado; o número total era aproximadamente o mesmo do primeiro censo quase 40 anos antes (</w:t>
      </w:r>
      <w:hyperlink r:id="rId9847">
        <w:r>
          <w:rPr>
            <w:color w:val="0000EE"/>
            <w:u w:val="single"/>
          </w:rPr>
          <w:t>26.4–51,57–62</w:t>
        </w:r>
      </w:hyperlink>
      <w:r>
        <w:t>). Enquanto as tribos se aproximavam da Terra Prometida, uma lista foi preparada dos representantes tribais que participariam da divisão da terra (</w:t>
      </w:r>
      <w:hyperlink r:id="rId9848">
        <w:r>
          <w:rPr>
            <w:color w:val="0000EE"/>
            <w:u w:val="single"/>
          </w:rPr>
          <w:t>34.16–29</w:t>
        </w:r>
      </w:hyperlink>
      <w:r>
        <w:t>).</w:t>
      </w:r>
    </w:p>
    <w:p>
      <w:pPr>
        <w:pStyle w:val="Heading4"/>
      </w:pPr>
      <w:r>
        <w:t>Período dos Reis</w:t>
      </w:r>
    </w:p>
    <w:p>
      <w:r/>
      <w:r>
        <w:t xml:space="preserve">Durante todo o período da monarquia, mais de 400 anos, os únicos registros genealógicos de qualquer consequência são aqueles que pertencem a Davi. Seus descendentes são rastreados através de 20 governantes que se sentaram no trono de Judá até que a nação caiu diante dos babilônios em 586 a.C. (1–2Rs; cf. </w:t>
      </w:r>
      <w:hyperlink r:id="rId9849">
        <w:r>
          <w:rPr>
            <w:color w:val="0000EE"/>
            <w:u w:val="single"/>
          </w:rPr>
          <w:t>1Cr 11.1 — 2Cr 36.21</w:t>
        </w:r>
      </w:hyperlink>
      <w:r>
        <w:t xml:space="preserve">). Uma lista dos filhos de Davi é encontrada em </w:t>
      </w:r>
      <w:hyperlink r:id="rId9850">
        <w:r>
          <w:rPr>
            <w:color w:val="0000EE"/>
            <w:u w:val="single"/>
          </w:rPr>
          <w:t>2 Samuel 3.2–5</w:t>
        </w:r>
      </w:hyperlink>
      <w:r>
        <w:t xml:space="preserve"> e </w:t>
      </w:r>
      <w:hyperlink r:id="rId9851">
        <w:r>
          <w:rPr>
            <w:color w:val="0000EE"/>
            <w:u w:val="single"/>
          </w:rPr>
          <w:t>5.14–16</w:t>
        </w:r>
      </w:hyperlink>
      <w:r>
        <w:t xml:space="preserve"> (cf. </w:t>
      </w:r>
      <w:hyperlink r:id="rId3184">
        <w:r>
          <w:rPr>
            <w:color w:val="0000EE"/>
            <w:u w:val="single"/>
          </w:rPr>
          <w:t>1Cr 3.1–9</w:t>
        </w:r>
      </w:hyperlink>
      <w:r>
        <w:t xml:space="preserve">; </w:t>
      </w:r>
      <w:hyperlink r:id="rId9852">
        <w:r>
          <w:rPr>
            <w:color w:val="0000EE"/>
            <w:u w:val="single"/>
          </w:rPr>
          <w:t>14.4–7</w:t>
        </w:r>
      </w:hyperlink>
      <w:r>
        <w:t xml:space="preserve">). Seus homens poderosos, um grupo de elite de soldados, são nomeados em </w:t>
      </w:r>
      <w:hyperlink r:id="rId9853">
        <w:r>
          <w:rPr>
            <w:color w:val="0000EE"/>
            <w:u w:val="single"/>
          </w:rPr>
          <w:t>2 Samuel 23.8–39</w:t>
        </w:r>
      </w:hyperlink>
      <w:r>
        <w:t xml:space="preserve"> (cf. </w:t>
      </w:r>
      <w:hyperlink r:id="rId9854">
        <w:r>
          <w:rPr>
            <w:color w:val="0000EE"/>
            <w:u w:val="single"/>
          </w:rPr>
          <w:t>1Cr 11.10–47</w:t>
        </w:r>
      </w:hyperlink>
      <w:r>
        <w:t xml:space="preserve">). Seus recrutas em Ziclague são registrados em </w:t>
      </w:r>
      <w:hyperlink r:id="rId9855">
        <w:r>
          <w:rPr>
            <w:color w:val="0000EE"/>
            <w:u w:val="single"/>
          </w:rPr>
          <w:t>1 Crônicas 12.1–22</w:t>
        </w:r>
      </w:hyperlink>
      <w:r>
        <w:t xml:space="preserve">. Aqueles que eram seus músicos e porteiros quando a arca foi trazida para Jerusalém são nomeados em </w:t>
      </w:r>
      <w:hyperlink r:id="rId9856">
        <w:r>
          <w:rPr>
            <w:color w:val="0000EE"/>
            <w:u w:val="single"/>
          </w:rPr>
          <w:t>1 Crônicas 15.1–24</w:t>
        </w:r>
      </w:hyperlink>
      <w:r>
        <w:t xml:space="preserve"> (cf. </w:t>
      </w:r>
      <w:hyperlink r:id="rId9857">
        <w:r>
          <w:rPr>
            <w:color w:val="0000EE"/>
            <w:u w:val="single"/>
          </w:rPr>
          <w:t>1Cr 16.5–6,37–43</w:t>
        </w:r>
      </w:hyperlink>
      <w:r>
        <w:t xml:space="preserve">). A organização política e religiosa de Davi do reino — incluindo os levitas, sacerdotes, cantores, carregadores e outros oficiais administrativos e oficiais militares — é encontrada em </w:t>
      </w:r>
      <w:hyperlink r:id="rId6133">
        <w:r>
          <w:rPr>
            <w:color w:val="0000EE"/>
            <w:u w:val="single"/>
          </w:rPr>
          <w:t>1 Crônicas 23–27</w:t>
        </w:r>
      </w:hyperlink>
      <w:r>
        <w:t>. Apesar da atividade literária associada ao reino de Salomão, o único registro genealógico preservado deste período é o dos príncipes e 12 oficiais de Salomão (</w:t>
      </w:r>
      <w:hyperlink r:id="rId9858">
        <w:r>
          <w:rPr>
            <w:color w:val="0000EE"/>
            <w:u w:val="single"/>
          </w:rPr>
          <w:t>1Rs 4.1–19</w:t>
        </w:r>
      </w:hyperlink>
      <w:r>
        <w:t>). A genealogia de um profeta é traçada até quatro gerações antes (</w:t>
      </w:r>
      <w:hyperlink r:id="rId8889">
        <w:r>
          <w:rPr>
            <w:color w:val="0000EE"/>
            <w:u w:val="single"/>
          </w:rPr>
          <w:t>Sf 1.1</w:t>
        </w:r>
      </w:hyperlink>
      <w:r>
        <w:t>).</w:t>
      </w:r>
    </w:p>
    <w:p>
      <w:pPr>
        <w:pStyle w:val="Heading4"/>
      </w:pPr>
      <w:r>
        <w:t>O período Pós-exílico</w:t>
      </w:r>
    </w:p>
    <w:p>
      <w:r/>
      <w:r>
        <w:t xml:space="preserve">Durante o período pós-exílico, a manutenção de registros genealógicos provavelmente recebeu seu maior ímpeto através da atividade de Esdras e Neemias, principalmente por causa de sua insistência na pureza racial e na purificação de elementos estrangeiros da comunidade. Uma lista dos exilados que voltaram com Zorobabel é encontrada em </w:t>
      </w:r>
      <w:hyperlink r:id="rId4708">
        <w:r>
          <w:rPr>
            <w:color w:val="0000EE"/>
            <w:u w:val="single"/>
          </w:rPr>
          <w:t>Ed 2.1–70</w:t>
        </w:r>
      </w:hyperlink>
      <w:r>
        <w:t xml:space="preserve"> (cf. </w:t>
      </w:r>
      <w:hyperlink r:id="rId9859">
        <w:r>
          <w:rPr>
            <w:color w:val="0000EE"/>
            <w:u w:val="single"/>
          </w:rPr>
          <w:t>Ne 7.6–73</w:t>
        </w:r>
      </w:hyperlink>
      <w:r>
        <w:t xml:space="preserve">, onde a mesma lista é encontrada). Uma lista daqueles que voltaram com Esdras está incluída em </w:t>
      </w:r>
      <w:hyperlink r:id="rId9860">
        <w:r>
          <w:rPr>
            <w:color w:val="0000EE"/>
            <w:u w:val="single"/>
          </w:rPr>
          <w:t>8.1–20</w:t>
        </w:r>
      </w:hyperlink>
      <w:r>
        <w:t>. A própria genealogia de Esdras também é registrada (</w:t>
      </w:r>
      <w:hyperlink r:id="rId9575">
        <w:r>
          <w:rPr>
            <w:color w:val="0000EE"/>
            <w:u w:val="single"/>
          </w:rPr>
          <w:t>Ed 7.5</w:t>
        </w:r>
      </w:hyperlink>
      <w:r>
        <w:t>). Há uma lista dos judeus que se casaram com mulheres estrangeiras que incluíam sacerdotes, levitas, cantores, carregadores e outros israelitas (</w:t>
      </w:r>
      <w:hyperlink r:id="rId9861">
        <w:r>
          <w:rPr>
            <w:color w:val="0000EE"/>
            <w:u w:val="single"/>
          </w:rPr>
          <w:t>Ed 10.18–44</w:t>
        </w:r>
      </w:hyperlink>
      <w:r>
        <w:t xml:space="preserve">). </w:t>
      </w:r>
      <w:hyperlink r:id="rId9862">
        <w:r>
          <w:rPr>
            <w:color w:val="0000EE"/>
            <w:u w:val="single"/>
          </w:rPr>
          <w:t>Neemias 8.4–7</w:t>
        </w:r>
      </w:hyperlink>
      <w:r>
        <w:t xml:space="preserve"> nomeia os levitas e outros que assistiam a Esdras quando ele leu a lei publicamente. Neemias também contém uma lista daqueles que participaram da cerimônia do estabelecimento do pacto (</w:t>
      </w:r>
      <w:hyperlink r:id="rId9863">
        <w:r>
          <w:rPr>
            <w:color w:val="0000EE"/>
            <w:u w:val="single"/>
          </w:rPr>
          <w:t>Ne 10.1–27</w:t>
        </w:r>
      </w:hyperlink>
      <w:r>
        <w:t>) e uma lista dos que viviam em Jerusalém e outras cidades (</w:t>
      </w:r>
      <w:hyperlink r:id="rId9864">
        <w:r>
          <w:rPr>
            <w:color w:val="0000EE"/>
            <w:u w:val="single"/>
          </w:rPr>
          <w:t>11.3–36</w:t>
        </w:r>
      </w:hyperlink>
      <w:r>
        <w:t>). Seu interesse no sacerdócio é refletido na lista de sacerdotes e levitas que voltaram com Zorobabel (</w:t>
      </w:r>
      <w:hyperlink r:id="rId9865">
        <w:r>
          <w:rPr>
            <w:color w:val="0000EE"/>
            <w:u w:val="single"/>
          </w:rPr>
          <w:t>12.1–9</w:t>
        </w:r>
      </w:hyperlink>
      <w:r>
        <w:t xml:space="preserve">), dos sumos sacerdotes de Jesua até Jadua (vv </w:t>
      </w:r>
      <w:hyperlink r:id="rId9866">
        <w:r>
          <w:rPr>
            <w:color w:val="0000EE"/>
            <w:u w:val="single"/>
          </w:rPr>
          <w:t>10–11</w:t>
        </w:r>
      </w:hyperlink>
      <w:r>
        <w:t xml:space="preserve">), dos chefes das famílias sacerdotais (vv </w:t>
      </w:r>
      <w:hyperlink r:id="rId9867">
        <w:r>
          <w:rPr>
            <w:color w:val="0000EE"/>
            <w:u w:val="single"/>
          </w:rPr>
          <w:t>12–21</w:t>
        </w:r>
      </w:hyperlink>
      <w:r>
        <w:t xml:space="preserve">), dos levitas e carregadores que serviam sob o sumo sacerdote (vv </w:t>
      </w:r>
      <w:hyperlink r:id="rId9868">
        <w:r>
          <w:rPr>
            <w:color w:val="0000EE"/>
            <w:u w:val="single"/>
          </w:rPr>
          <w:t>22–26</w:t>
        </w:r>
      </w:hyperlink>
      <w:r>
        <w:t xml:space="preserve">) e dos príncipes e sacerdotes que estavam presentes na dedicação do muro reconstruído de Jerusalém (vv </w:t>
      </w:r>
      <w:hyperlink r:id="rId9869">
        <w:r>
          <w:rPr>
            <w:color w:val="0000EE"/>
            <w:u w:val="single"/>
          </w:rPr>
          <w:t>31–42</w:t>
        </w:r>
      </w:hyperlink>
      <w:r>
        <w:t>).</w:t>
      </w:r>
    </w:p>
    <w:p>
      <w:r/>
      <w:r>
        <w:t>O registro genealógico final que deve ser mencionado é a genealogia de Adão até Saul (</w:t>
      </w:r>
      <w:hyperlink r:id="rId6205">
        <w:r>
          <w:rPr>
            <w:color w:val="0000EE"/>
            <w:u w:val="single"/>
          </w:rPr>
          <w:t>1Cr 1–8</w:t>
        </w:r>
      </w:hyperlink>
      <w:r>
        <w:t>), a seção mais longa de material genealógico na Bíblia. Está devidamente incluído com as genealogias compiladas durante o período pós-exílico, já que o cronista desconhecido (alguns pensam que ele era Esdras) preparou esta lista por volta de 400 a.C. a partir de registros existentes e documentos disponíveis para ele. Seu propósito parece ter sido conservar a pureza do sangue na nação restaurada e insistir que o bem-estar da nação dependia de sua fidelidade à lei de Deus.</w:t>
      </w:r>
    </w:p>
    <w:p>
      <w:pPr>
        <w:pStyle w:val="Heading4"/>
      </w:pPr>
      <w:r>
        <w:t>O período do Novo Testamento</w:t>
      </w:r>
    </w:p>
    <w:p>
      <w:r/>
      <w:r>
        <w:t xml:space="preserve">As únicas genealogias de efeito no NT são aquelas relativas a Jesus Cristo em </w:t>
      </w:r>
      <w:hyperlink r:id="rId9870">
        <w:r>
          <w:rPr>
            <w:color w:val="0000EE"/>
            <w:u w:val="single"/>
          </w:rPr>
          <w:t>Mateus 1.1–17</w:t>
        </w:r>
      </w:hyperlink>
      <w:r>
        <w:t xml:space="preserve"> e </w:t>
      </w:r>
      <w:hyperlink r:id="rId9871">
        <w:r>
          <w:rPr>
            <w:color w:val="0000EE"/>
            <w:u w:val="single"/>
          </w:rPr>
          <w:t>Lucas 3.23–38</w:t>
        </w:r>
      </w:hyperlink>
      <w:r>
        <w:t xml:space="preserve">. </w:t>
      </w:r>
      <w:r>
        <w:rPr>
          <w:i/>
        </w:rPr>
        <w:t>Ver</w:t>
      </w:r>
      <w:r>
        <w:t xml:space="preserve"> </w:t>
      </w:r>
      <w:r>
        <w:t>Genealogia de Jesus Cristo</w:t>
      </w:r>
      <w:r>
        <w:t>.</w:t>
      </w:r>
      <w:r/>
      <w:r/>
    </w:p>
    <w:p>
      <w:r/>
    </w:p>
    <w:p>
      <w:pPr>
        <w:pStyle w:val="Heading2"/>
      </w:pPr>
      <w:r>
        <w:t>Genealogia de Jesus Cristo</w:t>
      </w:r>
      <w:r/>
    </w:p>
    <w:p>
      <w:r/>
      <w:r>
        <w:t xml:space="preserve">Relato da descendência humana de Jesus. O NT registra a genealogia de Jesus duas vezes em grande detalhe: em </w:t>
      </w:r>
      <w:hyperlink r:id="rId9870">
        <w:r>
          <w:rPr>
            <w:color w:val="0000EE"/>
            <w:u w:val="single"/>
          </w:rPr>
          <w:t>Mateus 1.1–17</w:t>
        </w:r>
      </w:hyperlink>
      <w:r>
        <w:t xml:space="preserve"> e em </w:t>
      </w:r>
      <w:hyperlink r:id="rId9871">
        <w:r>
          <w:rPr>
            <w:color w:val="0000EE"/>
            <w:u w:val="single"/>
          </w:rPr>
          <w:t>Lucas 3.23–38</w:t>
        </w:r>
      </w:hyperlink>
      <w:r>
        <w:t>.</w:t>
      </w:r>
    </w:p>
    <w:p>
      <w:r/>
      <w:r>
        <w:t>Resumo</w:t>
      </w:r>
    </w:p>
    <w:p>
      <w:r/>
      <w:r>
        <w:t>• Genealogia de Mateus</w:t>
      </w:r>
    </w:p>
    <w:p>
      <w:r/>
      <w:r>
        <w:t>• Genealogia de Lucas</w:t>
      </w:r>
    </w:p>
    <w:p>
      <w:r/>
      <w:r>
        <w:t>• A relação entre os dois registros</w:t>
      </w:r>
    </w:p>
    <w:p>
      <w:pPr>
        <w:pStyle w:val="Heading3"/>
      </w:pPr>
      <w:r>
        <w:t>Genealogia de Mateus (</w:t>
      </w:r>
      <w:hyperlink r:id="rId9870">
        <w:r>
          <w:rPr>
            <w:color w:val="0000EE"/>
            <w:u w:val="single"/>
          </w:rPr>
          <w:t>1.1–17</w:t>
        </w:r>
      </w:hyperlink>
      <w:r>
        <w:t>)</w:t>
      </w:r>
    </w:p>
    <w:p>
      <w:r/>
      <w:hyperlink r:id="rId817">
        <w:r>
          <w:rPr>
            <w:color w:val="0000EE"/>
            <w:u w:val="single"/>
          </w:rPr>
          <w:t>Mateus 1.1</w:t>
        </w:r>
      </w:hyperlink>
      <w:r>
        <w:t xml:space="preserve"> apresenta Jesus Cristo como “o filho de Davi, o filho de Abraão.” Com esses dois nomes, Mateus destaca a relação terrena de Jesus com as alianças abraâmica (</w:t>
      </w:r>
      <w:hyperlink r:id="rId350">
        <w:r>
          <w:rPr>
            <w:color w:val="0000EE"/>
            <w:u w:val="single"/>
          </w:rPr>
          <w:t>Gn 17.1–8</w:t>
        </w:r>
      </w:hyperlink>
      <w:r>
        <w:t>) e davídica (</w:t>
      </w:r>
      <w:hyperlink r:id="rId2006">
        <w:r>
          <w:rPr>
            <w:color w:val="0000EE"/>
            <w:u w:val="single"/>
          </w:rPr>
          <w:t>2Sm 7.12–16</w:t>
        </w:r>
      </w:hyperlink>
      <w:r>
        <w:t>) de promessa. Então, começando com o patriarca Abraão, Mateus traça a ascendência humana de Jesus através do rei Davi até José, “o marido de Maria, de quem nasceu Jesus, que é chamado Cristo” (</w:t>
      </w:r>
      <w:hyperlink r:id="rId9872">
        <w:r>
          <w:rPr>
            <w:color w:val="0000EE"/>
            <w:u w:val="single"/>
          </w:rPr>
          <w:t>Mt 1.16</w:t>
        </w:r>
      </w:hyperlink>
      <w:r>
        <w:t xml:space="preserve">). Mateus resume seu relato: “Assim, houve catorze gerações desde Abraão até Davi, e catorze, desde Davi até que os israelitas foram levados para a Babilônia. Daí até o nascimento do Messias, também houve catorze gerações” (v. </w:t>
      </w:r>
      <w:hyperlink r:id="rId9873">
        <w:r>
          <w:rPr>
            <w:color w:val="0000EE"/>
            <w:u w:val="single"/>
          </w:rPr>
          <w:t>17</w:t>
        </w:r>
      </w:hyperlink>
      <w:r>
        <w:t>, NTLH).</w:t>
      </w:r>
    </w:p>
    <w:p>
      <w:r/>
      <w:r>
        <w:t>Um exame do tratamento de Mateus desse material genealógico revela várias peculiaridades interessantes:</w:t>
      </w:r>
    </w:p>
    <w:p>
      <w:r/>
      <w:r>
        <w:t>1. A organização dos nomes em três grupos de 14 parece ser um dispositivo artificial.</w:t>
      </w:r>
    </w:p>
    <w:p>
      <w:r/>
      <w:r>
        <w:t xml:space="preserve">2. Para ter 14 nomes no segundo grupo, Mateus omite três reis — Acazias, Joás e Amazias — entre Jorão e Uzias (v. </w:t>
      </w:r>
      <w:hyperlink r:id="rId9874">
        <w:r>
          <w:rPr>
            <w:color w:val="0000EE"/>
            <w:u w:val="single"/>
          </w:rPr>
          <w:t>8</w:t>
        </w:r>
      </w:hyperlink>
      <w:r>
        <w:t xml:space="preserve">), e um, Jeoaquim, entre Josias e Jeconias (v. </w:t>
      </w:r>
      <w:hyperlink r:id="rId9875">
        <w:r>
          <w:rPr>
            <w:color w:val="0000EE"/>
            <w:u w:val="single"/>
          </w:rPr>
          <w:t>11</w:t>
        </w:r>
      </w:hyperlink>
      <w:r>
        <w:t>).</w:t>
      </w:r>
    </w:p>
    <w:p>
      <w:r/>
      <w:r>
        <w:t>3. No primeiro grupo, Mateus menciona três mulheres — Tamar, Raabe e Rute; e no segundo grupo, ele alude a Bate-Seba. Esta é uma prática incomum em genealogias, e ainda mais estranha quando se nota que essas quatro representam o que poderia ser considerado como manchas morais na história da dinastia davídica — Tamar, vítima de incesto; Raabe, uma prostituta; Rute, uma moabita; e Bate-Seba, uma adúltera.</w:t>
      </w:r>
    </w:p>
    <w:p>
      <w:r/>
      <w:r>
        <w:t>4. No primeiro grupo, Mateus menciona os irmãos de Judá e Zerá, irmão de Perez. No segundo grupo, ele menciona os irmãos de Jeconias.</w:t>
      </w:r>
    </w:p>
    <w:p>
      <w:r/>
      <w:r>
        <w:t xml:space="preserve">5. No versículo </w:t>
      </w:r>
      <w:hyperlink r:id="rId3187">
        <w:r>
          <w:rPr>
            <w:color w:val="0000EE"/>
            <w:u w:val="single"/>
          </w:rPr>
          <w:t>6</w:t>
        </w:r>
      </w:hyperlink>
      <w:r>
        <w:t>, Davi é referido como “o rei”.</w:t>
      </w:r>
    </w:p>
    <w:p>
      <w:r/>
      <w:r>
        <w:t>A partir desses dados, é evidente que Mateus não pretende apresentar uma genealogia rigorosa; o arranjo é artificial e inclui material estranho, provavelmente com algum propósito além de apenas apresentar os antepassados de Jesus. O arranjo dos nomes em grupos de 14 por Mateus, provavelmente guiado por um interesse em retratar Jesus para os judeus como o rei Prometido de Israel e herdeiro legítimo do trono davídico, confere um movimento histórico definido à genealogia ao dividi-la em três períodos de tempo. Estes destacam, respectivamente, a origem, ascensão ao poder e decadência da casa davídica, sendo o último ponto representado pelo humilde nascimento do herdeiro prometido a um carpinteiro de Nazaré.</w:t>
      </w:r>
    </w:p>
    <w:p>
      <w:r/>
      <w:r>
        <w:t>Os 14 nomes em cada grupo podem ser um esforço para destacar o caráter triplamente real do filho de Maria, focando no valor numérico 14 das letras hebraicas no nome de Davi (d=4, v=6, d=4). Este número também é o dobro do número sagrado sete, de modo que toda a lista é composta por três conjuntos de dois setes cada. No entanto, é possível que as agrupações artificiais tenham sido apenas destinadas a ajudar na memorização.</w:t>
      </w:r>
    </w:p>
    <w:p>
      <w:r/>
      <w:r>
        <w:t>Em relação à segunda peculiaridade — o “nome ausente” no terceiro grupo — deve-se concluir que Davi ou Jeconias deve ser contado duas vezes, pois são os nomes centrais que separam os três grupos, ou que um nome foi erroneamente omitido em uma cópia do Evangelho original de Mateus.</w:t>
      </w:r>
    </w:p>
    <w:p>
      <w:r/>
      <w:r>
        <w:t>A terceira peculiaridade não apresenta nenhuma dificuldade. Numerosas genealogias nas Escrituras omitem alguns nomes. Escritores do Antigo Oriente Próximo frequentemente usavam a frase "filho de" ou a palavra "gerou" de forma bastante flexível, relacionando netos ou bisnetos, por exemplo, a antepassados anteriores sem indicar todos os ancestrais intermediários. A mente moderna não deve exigir uma precisão nos registros antigos que os próprios escritores da época não consideravam necessária.</w:t>
      </w:r>
    </w:p>
    <w:p>
      <w:r/>
      <w:r>
        <w:t>As mulheres mencionadas na genealogia — a quarta peculiaridade — podem ter sido incluídas para neutralizar a crítica judaica sobre o nascimento de Jesus (</w:t>
      </w:r>
      <w:hyperlink r:id="rId9876">
        <w:r>
          <w:rPr>
            <w:color w:val="0000EE"/>
            <w:u w:val="single"/>
          </w:rPr>
          <w:t>1.18–25</w:t>
        </w:r>
      </w:hyperlink>
      <w:r>
        <w:t>), mostrando que uniões irregulares não desqualificavam a ascendência legal do Messias.</w:t>
      </w:r>
    </w:p>
    <w:p>
      <w:r/>
      <w:r>
        <w:t>A razão para incluir vários irmãos na genealogia em três pontos — a quinta peculiaridade — não é facilmente discernível. A menção de “Judá e seus irmãos” (</w:t>
      </w:r>
      <w:hyperlink r:id="rId9877">
        <w:r>
          <w:rPr>
            <w:color w:val="0000EE"/>
            <w:u w:val="single"/>
          </w:rPr>
          <w:t>1.2</w:t>
        </w:r>
      </w:hyperlink>
      <w:r>
        <w:t>) pode simplesmente estar seguindo uma prática estabelecida de mencionar os 12 patriarcas juntos.</w:t>
      </w:r>
    </w:p>
    <w:p>
      <w:r/>
      <w:r>
        <w:t>Finalmente, a descrição de Davi como “o rei” (</w:t>
      </w:r>
      <w:hyperlink r:id="rId3187">
        <w:r>
          <w:rPr>
            <w:color w:val="0000EE"/>
            <w:u w:val="single"/>
          </w:rPr>
          <w:t>1.6</w:t>
        </w:r>
      </w:hyperlink>
      <w:r>
        <w:t>) destaca o caráter davídico ou real da lista.</w:t>
      </w:r>
    </w:p>
    <w:p>
      <w:r/>
      <w:r>
        <w:t xml:space="preserve">As fontes utilizadas na compilação do primeiro grupo na genealogia basearam-se em registros preservados em </w:t>
      </w:r>
      <w:hyperlink r:id="rId9878">
        <w:r>
          <w:rPr>
            <w:color w:val="0000EE"/>
            <w:u w:val="single"/>
          </w:rPr>
          <w:t>1 Crônicas 1.27–2.15</w:t>
        </w:r>
      </w:hyperlink>
      <w:r>
        <w:t xml:space="preserve"> e em </w:t>
      </w:r>
      <w:hyperlink r:id="rId1092">
        <w:r>
          <w:rPr>
            <w:color w:val="0000EE"/>
            <w:u w:val="single"/>
          </w:rPr>
          <w:t>Rute 4.18–22</w:t>
        </w:r>
      </w:hyperlink>
      <w:r>
        <w:t>. O segundo grupo seguiu os registros encontrados em 1–2 Reis e 2 Crônicas. O terceiro grupo baseou-se principalmente em registros públicos ou privados do período intertestamentário; os nove nomes de Abiúde a Jacó não são mencionados em outros lugares nas Escrituras.</w:t>
      </w:r>
    </w:p>
    <w:p>
      <w:r/>
      <w:r>
        <w:t>Com base nessa genealogia, se houvesse um trono davídico nos dias de José, o humilde carpinteiro seria o herdeiro legal, e Jesus seria o próximo na linha de sucessão para herdar o assento real.</w:t>
      </w:r>
    </w:p>
    <w:p>
      <w:r/>
      <w:r>
        <w:t>Tem sido argumentado contra essa compreensão da genealogia de Mateus que a presença de Jeconias na lista (</w:t>
      </w:r>
      <w:hyperlink r:id="rId9875">
        <w:r>
          <w:rPr>
            <w:color w:val="0000EE"/>
            <w:u w:val="single"/>
          </w:rPr>
          <w:t>Mt 1.11</w:t>
        </w:r>
      </w:hyperlink>
      <w:r>
        <w:t>) compromete, se não nega completamente, a reivindicação legal ao trono davídico de todos os que descendem diretamente dele. Isso porque o Senhor declarou sobre ele: “Este homem está condenado a ficar sem filhos e será um fracassado. Ele não terá descendentes que sejam reis, como Davi, e que reinem em Judá. Eu, o SENHOR, falei” (</w:t>
      </w:r>
      <w:hyperlink r:id="rId9879">
        <w:r>
          <w:rPr>
            <w:color w:val="0000EE"/>
            <w:u w:val="single"/>
          </w:rPr>
          <w:t>Jr 22.30</w:t>
        </w:r>
      </w:hyperlink>
      <w:r>
        <w:t>, NTLH). Portanto, diz-se que não poderia ter sido a intenção de Mateus representar os homens de Sealtiel a José como herdeiros legais do trono.</w:t>
      </w:r>
    </w:p>
    <w:p>
      <w:r/>
      <w:r>
        <w:t>Este é um ponto que, admitidamente, poderia descartar a visão de que a lista apresenta os descendentes de Davi, se não fosse pelo fato de que Sealtiel, que no registro de Mateus é representado como filho de Jeconias, aparece também na genealogia de Lucas como filho de Neri (</w:t>
      </w:r>
      <w:hyperlink r:id="rId557">
        <w:r>
          <w:rPr>
            <w:color w:val="0000EE"/>
            <w:u w:val="single"/>
          </w:rPr>
          <w:t>Lc 3.27</w:t>
        </w:r>
      </w:hyperlink>
      <w:r>
        <w:t xml:space="preserve">). O nome de Neri é exclusivo do Evangelho de Lucas, então é impossível verificar seu uso em outro lugar para descobrir a verdadeira paternidade de Sealtiel. Mas não é surpreendente, à luz de </w:t>
      </w:r>
      <w:hyperlink r:id="rId9879">
        <w:r>
          <w:rPr>
            <w:color w:val="0000EE"/>
            <w:u w:val="single"/>
          </w:rPr>
          <w:t>Jeremias 22.30</w:t>
        </w:r>
      </w:hyperlink>
      <w:r>
        <w:t>, encontrá-lo listado em ambos os relatos com pais diferentes. Neri provavelmente era o verdadeiro pai de Sealtiel, e embora seja impossível determinar a relação precisa de Neri com Jeconias, pode ser que aqueles responsáveis por determinar e manter o registro dos herdeiros legais ao trono davídico tenham olhado para a linha colateral de Neri e selecionado Sealtiel como o homem a ser legalmente adotado na linha e aquele através de quem a linha continuaria. Sealtiel pode muito bem ter morrido sem um descendente masculino, o que tornou necessário olhar para Zorobabel, filho de Pedaías, irmão de Sealtiel por adoção, como o herdeiro legal ao trono davídico. Por este par de adoções, a maldição sobre Jeconias foi cumprida enquanto um verdadeiro neto de Jeconias continuava a linha, na medida em que o neto era legalmente filho de Sealtiel, que por sua vez era o verdadeiro filho de Neri. A presença de Jeconias na genealogia é uma força, em vez de uma fraqueza, para a interpretação de que o Evangelho de Mateus pretendia apresentar os herdeiros legais do trono davídico, já que apenas um escritor consciente dos problemas em torno da linhagem de Jeconias, mas também ciente de uma explicação, apresentaria tal ancestralidade a um público judeu que ele estava buscando convencer de que Jesus era de fato o Messias real.</w:t>
      </w:r>
    </w:p>
    <w:p>
      <w:pPr>
        <w:pStyle w:val="Heading3"/>
      </w:pPr>
      <w:r>
        <w:t>Genealogia de Lucas (</w:t>
      </w:r>
      <w:hyperlink r:id="rId9871">
        <w:r>
          <w:rPr>
            <w:color w:val="0000EE"/>
            <w:u w:val="single"/>
          </w:rPr>
          <w:t>3.23–38</w:t>
        </w:r>
      </w:hyperlink>
      <w:r>
        <w:t>)</w:t>
      </w:r>
    </w:p>
    <w:p>
      <w:r/>
      <w:r>
        <w:t>A genealogia de Lucas também apresenta peculiaridades.</w:t>
      </w:r>
    </w:p>
    <w:p>
      <w:r/>
      <w:r>
        <w:t>1. Alguns expositores consideraram significativo que a genealogia de Lucas não esteja no início do Evangelho, mas sim no início do ministério de Jesus.</w:t>
      </w:r>
    </w:p>
    <w:p>
      <w:r/>
      <w:r>
        <w:t>2. O relato de Lucas, em contraste com o de Mateus, começa com Jesus e traça sua linhagem de volta através da história do AT. Isso parece incomum, pois a maioria das genealogias segue a ordem de sucessão.</w:t>
      </w:r>
    </w:p>
    <w:p>
      <w:r/>
      <w:r>
        <w:t>3. Além disso, a narrativa de Lucas não termina com Abraão, mas vai até "Adão, filho de Deus" (</w:t>
      </w:r>
      <w:hyperlink r:id="rId315">
        <w:r>
          <w:rPr>
            <w:color w:val="0000EE"/>
            <w:u w:val="single"/>
          </w:rPr>
          <w:t>Lc 3.38</w:t>
        </w:r>
      </w:hyperlink>
      <w:r>
        <w:t>).</w:t>
      </w:r>
    </w:p>
    <w:p>
      <w:r/>
      <w:r>
        <w:t>Alguns veem a primeira peculiaridade como resultado do desejo de Lucas de encerrar um período da história sagrada e sinalizar o início de outro com a pessoa e, especialmente, o ministério de Jesus. A genealogia, localizada onde está, destaca a obra de Cristo em relação aos relatos de seu nascimento e preparação.</w:t>
      </w:r>
    </w:p>
    <w:p>
      <w:r/>
      <w:r>
        <w:t>Muitos sugeriram que a ordem regressiva na genealogia é provavelmente o meio utilizado por Lucas para focar a atenção em Jesus. O fato de Lucas ter rastreado a ancestralidade de Jesus até Adão, "o filho de Deus", provavelmente se deve a ele ter escrito para romanos e gregos. Ao rastrear a ancestralidade de Jesus até Adão, ele demonstra que Jesus está relacionado a toda a raça humana. Na genealogia de Lucas, Jesus e Adão são ambos "filhos de Deus"; Jesus, é claro, é o filho de Deus por natureza; Adão, o filho de Deus por ter sido criado à imagem de Deus.</w:t>
      </w:r>
    </w:p>
    <w:p>
      <w:r/>
      <w:r>
        <w:t xml:space="preserve">Quanto às suas fontes, é bastante certo que Lucas usou a versão da Septuaginta (versão grega antiga do AT) de </w:t>
      </w:r>
      <w:hyperlink r:id="rId2791">
        <w:r>
          <w:rPr>
            <w:color w:val="0000EE"/>
            <w:u w:val="single"/>
          </w:rPr>
          <w:t>Gênesis 11.12</w:t>
        </w:r>
      </w:hyperlink>
      <w:r>
        <w:t>, que insere o nome Cainã entre Selá e Arfaxade (</w:t>
      </w:r>
      <w:hyperlink r:id="rId2485">
        <w:r>
          <w:rPr>
            <w:color w:val="0000EE"/>
            <w:u w:val="single"/>
          </w:rPr>
          <w:t>Lc 3.36</w:t>
        </w:r>
      </w:hyperlink>
      <w:r>
        <w:t xml:space="preserve">), e os registros de </w:t>
      </w:r>
      <w:hyperlink r:id="rId9880">
        <w:r>
          <w:rPr>
            <w:color w:val="0000EE"/>
            <w:u w:val="single"/>
          </w:rPr>
          <w:t>1 Crônicas 1–3</w:t>
        </w:r>
      </w:hyperlink>
      <w:r>
        <w:t xml:space="preserve"> para a história até Davi. Para o período de Davi a Jesus, a maioria dos expositores concorda que Lucas se baseou em informações provavelmente recebidas diretamente de Maria ou de pessoas próximas a ela. Era uma prática comum entre o povo judeu que os registros genealógicos fossem mantidos tanto publicamente quanto privadamente. Havia uma preocupação especial nas famílias de descendência davídica em preservar seus registros ancestrais por causa das profecias do AT de que o Messias nasceria na casa de Davi.</w:t>
      </w:r>
    </w:p>
    <w:p>
      <w:r/>
      <w:r>
        <w:t xml:space="preserve">Lucas, sem dúvida, pretendia realizar mais com sua lista do que apenas apresentar vários ancestrais de Jesus. Como Lucas não destacou Davi em sua lista, pode-se supor que ele não estava ansioso para apresentar uma lista de herdeiros legais ao trono davídico — não que a questão não fosse de sua preocupação (cf. </w:t>
      </w:r>
      <w:hyperlink r:id="rId9881">
        <w:r>
          <w:rPr>
            <w:color w:val="0000EE"/>
            <w:u w:val="single"/>
          </w:rPr>
          <w:t>Lc 1.27,32,69</w:t>
        </w:r>
      </w:hyperlink>
      <w:r>
        <w:t xml:space="preserve">; </w:t>
      </w:r>
      <w:hyperlink r:id="rId9882">
        <w:r>
          <w:rPr>
            <w:color w:val="0000EE"/>
            <w:u w:val="single"/>
          </w:rPr>
          <w:t>2.4,11</w:t>
        </w:r>
      </w:hyperlink>
      <w:r>
        <w:t>). Em vez disso, uma preocupação ao longo do Evangelho de Lucas é esta ênfase — a de retratar o Cristo como o Salvador de romanos e gregos — na verdade, do mundo. Portanto, embora Lucas tenha traçado a ancestralidade de Jesus através da linha ancestral de José até Davi, ele continuou além de Davi até Adão. Jesus é um membro da raça à qual todas as pessoas pertencem.</w:t>
      </w:r>
    </w:p>
    <w:p>
      <w:pPr>
        <w:pStyle w:val="Heading3"/>
      </w:pPr>
      <w:r>
        <w:t>O relacionamento entre os dois registros</w:t>
      </w:r>
    </w:p>
    <w:p>
      <w:r/>
      <w:r>
        <w:t>Mesmo uma análise superficial das duas genealogias de Jesus mostrará várias diferenças. Por exemplo, a genealogia de Mateus compreende 41 gerações, enquanto Lucas lista 76. Lucas inclui o período entre Adão e Abraão; Mateus não. Embora as duas listas sejam praticamente idênticas de Abraão a Davi, elas divergem no período de Davi a Jesus, com Mateus traçando a linhagem de Jesus de Davi através de Salomão em 27 gerações, enquanto Lucas traça a linhagem de Jesus de Davi através de Natã, outro filho, em 42 gerações. Além disso, em apenas um ponto as linhas convergem durante este período: nos nomes de Sealtiel e Zorobabel, que são sem dúvida os mesmos homens em ambas as listas. Finalmente, Mateus apresenta José como o filho de Jacó (</w:t>
      </w:r>
      <w:hyperlink r:id="rId9872">
        <w:r>
          <w:rPr>
            <w:color w:val="0000EE"/>
            <w:u w:val="single"/>
          </w:rPr>
          <w:t>Mt 1.16</w:t>
        </w:r>
      </w:hyperlink>
      <w:r>
        <w:t>), enquanto no relato de Lucas ele é o filho de Eli (</w:t>
      </w:r>
      <w:hyperlink r:id="rId6246">
        <w:r>
          <w:rPr>
            <w:color w:val="0000EE"/>
            <w:u w:val="single"/>
          </w:rPr>
          <w:t>Lc 3.23</w:t>
        </w:r>
      </w:hyperlink>
      <w:r>
        <w:t>).</w:t>
      </w:r>
    </w:p>
    <w:p>
      <w:r/>
      <w:r>
        <w:t>Como essas diferenças podem ser explicadas? As diferenças entre essas listas resultam dos propósitos para os quais foram compiladas e dos significados que pretendiam transmitir.</w:t>
      </w:r>
    </w:p>
    <w:p>
      <w:r/>
      <w:r>
        <w:t xml:space="preserve">Uma explicação amplamente aceita é que Mateus apresenta a ascendência de Jesus através de José e que Lucas apresenta sua ascendência através de Maria. Nesta interpretação, Jacó era o verdadeiro pai de José, e Eli (provavelmente o pai de Maria) tornou-se o pai adotivo de José, ou seja, José era "filho" de Eli, ou herdeiro, por seu casamento com Maria, assumindo que Eli não tinha filhos (cf. </w:t>
      </w:r>
      <w:hyperlink r:id="rId9883">
        <w:r>
          <w:rPr>
            <w:color w:val="0000EE"/>
            <w:u w:val="single"/>
          </w:rPr>
          <w:t>Nm 27.1–11</w:t>
        </w:r>
      </w:hyperlink>
      <w:r>
        <w:t xml:space="preserve">; </w:t>
      </w:r>
      <w:hyperlink r:id="rId9884">
        <w:r>
          <w:rPr>
            <w:color w:val="0000EE"/>
            <w:u w:val="single"/>
          </w:rPr>
          <w:t>36.1–12</w:t>
        </w:r>
      </w:hyperlink>
      <w:r>
        <w:t>). Esta visão é certamente uma possibilidade e não deve ser rejeitada de imediato. Se Maria fosse descendente direta de Davi, poderia ser dito literalmente de qualquer filho dela: “Ele é a semente de Davi”.</w:t>
      </w:r>
    </w:p>
    <w:p>
      <w:r/>
      <w:r>
        <w:t>Por outro lado, muitos estudiosos preferem considerar a genealogia de Lucas como sendo de José em vez de Maria, já que é para a ascendência de José que Lucas chama a atenção do leitor (</w:t>
      </w:r>
      <w:hyperlink r:id="rId4577">
        <w:r>
          <w:rPr>
            <w:color w:val="0000EE"/>
            <w:u w:val="single"/>
          </w:rPr>
          <w:t>Lc 1.27</w:t>
        </w:r>
      </w:hyperlink>
      <w:r>
        <w:t xml:space="preserve">; </w:t>
      </w:r>
      <w:hyperlink r:id="rId3351">
        <w:r>
          <w:rPr>
            <w:color w:val="0000EE"/>
            <w:u w:val="single"/>
          </w:rPr>
          <w:t>2.4</w:t>
        </w:r>
      </w:hyperlink>
      <w:r>
        <w:t>). Além disso, em nenhum lugar das Escrituras é dito que Maria é de descendência davídica. Se o fato de que José não era o pai biológico de Jesus anula qualquer valor que a linhagem de José poderia ter para um filho real, por que Lucas aponta para a linhagem de José duas vezes, e para a de Maria nenhuma vez?</w:t>
      </w:r>
    </w:p>
    <w:p>
      <w:r/>
      <w:r>
        <w:t>Uma grande dificuldade para a visão que considera ambas as genealogias como sendo de José está relacionada aos dois pais de José. Uma solução é que Mateus apresenta os descendentes legais de Davi, enquanto Lucas apresenta os descendentes reais de Davi na linha à qual José pertencia. Isso significaria que Eli era o verdadeiro pai de José e que Jacó era seu pai adotivo legal. Como isso poderia ser é facilmente explicável. Assumindo que o pai de Jacó, Matã (</w:t>
      </w:r>
      <w:hyperlink r:id="rId7830">
        <w:r>
          <w:rPr>
            <w:color w:val="0000EE"/>
            <w:u w:val="single"/>
          </w:rPr>
          <w:t>Mt 1.15</w:t>
        </w:r>
      </w:hyperlink>
      <w:r>
        <w:t>), e o pai de Eli, Matate (</w:t>
      </w:r>
      <w:hyperlink r:id="rId9885">
        <w:r>
          <w:rPr>
            <w:color w:val="0000EE"/>
            <w:u w:val="single"/>
          </w:rPr>
          <w:t>Lc 3.24</w:t>
        </w:r>
      </w:hyperlink>
      <w:r>
        <w:t>), são a mesma pessoa, então Jacó (o mais velho) pode ter morrido sem um descendente masculino, de modo que seu sobrinho, filho de seu irmão Eli, teria se tornado seu herdeiro.</w:t>
      </w:r>
    </w:p>
    <w:p>
      <w:r/>
      <w:r>
        <w:t>Se Matã e Matate não são a mesma pessoa, pode-se supor que Jacó, o herdeiro legal do trono, morreu sem descendentes e que José, filho de Eli, tornou-se o herdeiro legal imediatamente após a morte de Eli, sendo contado como filho de Jacó em uma lista de herdeiros legais do trono. Possivelmente Eli, um parente, casou-se com a viúva de Jacó, tornando assim José, filho dessa união, filho de Eli e filho de Jacó por casamento de levirato. Em outras palavras, há várias explicações possíveis para essa divergência.</w:t>
      </w:r>
    </w:p>
    <w:p>
      <w:r/>
      <w:r>
        <w:t>Uma outra grande objeção à visão que considera ambas as genealogias como sendo de José é que, devido ao nascimento virginal de Jesus, não se pode de forma alguma falar de Jesus como sendo literalmente a semente de Davi — uma proposição que a Escritura parece insistir. Esta objeção foi adequadamente refutada: (1) por causa da maneira realista com que os judeus encaravam a paternidade adotiva; e (2) porque o relacionamento em que Jesus estava com José era muito mais próximo do que um caso de adoção comum, não havendo pai terreno para contestar a relação paternal de José com Jesus. Jesus poderia e seria considerado como filho e herdeiro de José com total propriedade, satisfazendo toda exigência escriturística de que ele fosse a “semente de Davi.” A questão, portanto, se Maria assim como José era descendente de Davi não precisa ser respondida de uma forma ou de outra por alguém que deseja defender a descendência davídica de Jesus.</w:t>
      </w:r>
    </w:p>
    <w:p>
      <w:r/>
      <w:r>
        <w:t>Está além do alcance humano descobrir com certeza a solução completa para as divergências entre as duas genealogias de Jesus, ou a relação real de Jesus com elas. Já foi dito o suficiente para demonstrar que elas são reconciliáveis, e os propósitos de cada uma, sugeridos aqui, indicam que qualquer um dos caminhos delineados acima faz plena justiça à descendência davídica de Jesus, como herdeiro legítimo do trono prometido de seu antepassado, e também ao seu nascimento virginal por Maria.</w:t>
      </w:r>
    </w:p>
    <w:p>
      <w:r/>
      <w:r>
        <w:rPr>
          <w:i/>
        </w:rPr>
        <w:t>Veja também</w:t>
      </w:r>
      <w:r>
        <w:t xml:space="preserve"> </w:t>
      </w:r>
      <w:r>
        <w:t>Genealogia</w:t>
      </w:r>
      <w:r>
        <w:t xml:space="preserve">; </w:t>
      </w:r>
      <w:r>
        <w:t>Encarnação</w:t>
      </w:r>
      <w:r>
        <w:t xml:space="preserve">; </w:t>
      </w:r>
      <w:r>
        <w:t>Jesus Cristo, Vida e ensinamentos</w:t>
      </w:r>
      <w:r>
        <w:t xml:space="preserve">; </w:t>
      </w:r>
      <w:r>
        <w:t>Nascimento virginal de Jesus</w:t>
      </w:r>
      <w:r>
        <w:t>.</w:t>
      </w:r>
      <w:r/>
      <w:r/>
    </w:p>
    <w:p>
      <w:r/>
    </w:p>
    <w:p>
      <w:pPr>
        <w:pStyle w:val="Heading2"/>
      </w:pPr>
      <w:r>
        <w:t>Genesaré</w:t>
      </w:r>
      <w:r/>
    </w:p>
    <w:p>
      <w:r/>
      <w:r>
        <w:t>Área na margem noroeste do Mar da Galileia entre Cafarnaum e Magdala, onde muitos dos milagres de cura de Jesus ocorreram (</w:t>
      </w:r>
      <w:hyperlink r:id="rId9886">
        <w:r>
          <w:rPr>
            <w:color w:val="0000EE"/>
            <w:u w:val="single"/>
          </w:rPr>
          <w:t>Mt 14.34</w:t>
        </w:r>
      </w:hyperlink>
      <w:r>
        <w:t xml:space="preserve">; </w:t>
      </w:r>
      <w:hyperlink r:id="rId9887">
        <w:r>
          <w:rPr>
            <w:color w:val="0000EE"/>
            <w:u w:val="single"/>
          </w:rPr>
          <w:t>Mc 6.53</w:t>
        </w:r>
      </w:hyperlink>
      <w:r>
        <w:t>).</w:t>
      </w:r>
    </w:p>
    <w:p>
      <w:r/>
      <w:r>
        <w:t>A planície de Genesaré, como a região era chamada, se estende ao longo de uma distância de cerca de 6,5 quilômetros, com uma largura média do mar até as montanhas de aproximadamente 1,6 quilômetros. A topografia é geralmente nivelada, com a terra subindo lentamente à medida que se aproxima das montanhas na fronteira. O solo incomumente fértil é irrigado por riachos e rios fluindo e conhecido por sua produtividade. As temperaturas que variam de quente a ameno permitem uma longa estação de crescimento e colheitas abundantes. Os frutos de Genesaré eram tão excepcionais que os rabinos não os permitiam em Jerusalém durante as celebrações das festas, temendo que muitos comparecessem apenas para desfrutar de sua suculência. Os rabinos chamaram esta área de Jardim de Deus. Durante a vida de Jesus, a área era considerada o local do jardim da Palestina. Árvores como a nogueira, palmeira, azeitona e figo, que exigem uma ampla diversidade de condições de cultivo, todas prosperavam aqui. As ricas colheitas de uvas, nozes, arroz, trigo, vegetais e melões, bem como árvores selvagens e flores, eram comuns. Mais tarde, séculos de negligência fizeram com que a planície fosse em grande parte coberta de arbustos, embora nos anos mais recentes, certas áreas tenham sido limpas e a produtividade restaurada.</w:t>
      </w:r>
    </w:p>
    <w:p>
      <w:r/>
      <w:r>
        <w:t xml:space="preserve">Em </w:t>
      </w:r>
      <w:hyperlink r:id="rId9888">
        <w:r>
          <w:rPr>
            <w:color w:val="0000EE"/>
            <w:u w:val="single"/>
          </w:rPr>
          <w:t>Lc 5.1</w:t>
        </w:r>
      </w:hyperlink>
      <w:r>
        <w:t>, o Mar da Galileia é referido como o Lago de Genesaré. O nome alternativo, sem dúvida, derivou sua origem da planície na fronteira.</w:t>
      </w:r>
    </w:p>
    <w:p>
      <w:r/>
      <w:r>
        <w:t>Genesaré (mais precisamente denominado Genesar) também era o nome posterior da cidade Chinnerote (</w:t>
      </w:r>
      <w:hyperlink r:id="rId2318">
        <w:r>
          <w:rPr>
            <w:color w:val="0000EE"/>
            <w:u w:val="single"/>
          </w:rPr>
          <w:t>Js 11.2</w:t>
        </w:r>
      </w:hyperlink>
      <w:r>
        <w:t>), uma cidade antiga que havia muito tempo caído em ruína nos dias de Jesus.</w:t>
      </w:r>
      <w:r/>
      <w:r/>
    </w:p>
    <w:p>
      <w:r/>
    </w:p>
    <w:p>
      <w:pPr>
        <w:pStyle w:val="Heading2"/>
      </w:pPr>
      <w:r>
        <w:t>Gera</w:t>
      </w:r>
      <w:r/>
    </w:p>
    <w:p>
      <w:r/>
      <w:r>
        <w:t>1. Um dos filhos de Benjamim (</w:t>
      </w:r>
      <w:hyperlink r:id="rId661">
        <w:r>
          <w:rPr>
            <w:color w:val="0000EE"/>
            <w:u w:val="single"/>
          </w:rPr>
          <w:t>Gn 46.21</w:t>
        </w:r>
      </w:hyperlink>
      <w:r>
        <w:t xml:space="preserve">). O nome, no entanto, não aparece em uma lista semelhante em </w:t>
      </w:r>
      <w:hyperlink r:id="rId9889">
        <w:r>
          <w:rPr>
            <w:color w:val="0000EE"/>
            <w:u w:val="single"/>
          </w:rPr>
          <w:t>Números 26.38–41;</w:t>
        </w:r>
      </w:hyperlink>
    </w:p>
    <w:p>
      <w:r/>
      <w:r>
        <w:t>2. Pai do juiz Eúde (</w:t>
      </w:r>
      <w:hyperlink r:id="rId3412">
        <w:r>
          <w:rPr>
            <w:color w:val="0000EE"/>
            <w:u w:val="single"/>
          </w:rPr>
          <w:t>Jz 3.15</w:t>
        </w:r>
      </w:hyperlink>
      <w:r>
        <w:t>);</w:t>
      </w:r>
    </w:p>
    <w:p>
      <w:r/>
      <w:r>
        <w:t>3. Pai de Simei. Simei amaldiçoou e atirou pedras em Davi durante a rebelião de Absalão; mais tarde, ele pediu o perdão de Davi (</w:t>
      </w:r>
      <w:hyperlink r:id="rId9890">
        <w:r>
          <w:rPr>
            <w:color w:val="0000EE"/>
            <w:u w:val="single"/>
          </w:rPr>
          <w:t>2Sm 16.5</w:t>
        </w:r>
      </w:hyperlink>
      <w:r>
        <w:t xml:space="preserve">; </w:t>
      </w:r>
      <w:hyperlink r:id="rId9891">
        <w:r>
          <w:rPr>
            <w:color w:val="0000EE"/>
            <w:u w:val="single"/>
          </w:rPr>
          <w:t>19.16–18</w:t>
        </w:r>
      </w:hyperlink>
      <w:r>
        <w:t xml:space="preserve">; </w:t>
      </w:r>
      <w:hyperlink r:id="rId9892">
        <w:r>
          <w:rPr>
            <w:color w:val="0000EE"/>
            <w:u w:val="single"/>
          </w:rPr>
          <w:t>1Rs 2.8</w:t>
        </w:r>
      </w:hyperlink>
      <w:r>
        <w:t>);</w:t>
      </w:r>
    </w:p>
    <w:p>
      <w:r/>
      <w:r>
        <w:t>4. Filho de Bela da tribo de Benjamim (</w:t>
      </w:r>
      <w:hyperlink r:id="rId9893">
        <w:r>
          <w:rPr>
            <w:color w:val="0000EE"/>
            <w:u w:val="single"/>
          </w:rPr>
          <w:t>1Cr 8.3,5</w:t>
        </w:r>
      </w:hyperlink>
      <w:r>
        <w:t xml:space="preserve">); alternativamente chamado de Heglam no versículo </w:t>
      </w:r>
      <w:hyperlink r:id="rId667">
        <w:r>
          <w:rPr>
            <w:color w:val="0000EE"/>
            <w:u w:val="single"/>
          </w:rPr>
          <w:t>7</w:t>
        </w:r>
      </w:hyperlink>
      <w:r>
        <w:t>.</w:t>
      </w:r>
      <w:r/>
      <w:r/>
    </w:p>
    <w:p>
      <w:r/>
    </w:p>
    <w:p>
      <w:pPr>
        <w:pStyle w:val="Heading2"/>
      </w:pPr>
      <w:r>
        <w:t>Gerar</w:t>
      </w:r>
      <w:r/>
    </w:p>
    <w:p>
      <w:r/>
      <w:r>
        <w:t>Cidade localizada no oeste do Neguebe. Foi usada como um marco geográfico definindo o limite ocidental do território dos cananeus, de Sidom a Gaza (</w:t>
      </w:r>
      <w:hyperlink r:id="rId382">
        <w:r>
          <w:rPr>
            <w:color w:val="0000EE"/>
            <w:u w:val="single"/>
          </w:rPr>
          <w:t>Gn 10.19</w:t>
        </w:r>
      </w:hyperlink>
      <w:r>
        <w:t>). Abraão residiu temporariamente nesta cidade, ocasião em que enganou Abimeleque, o rei, fazendo-o acreditar que Sara era sua irmã (</w:t>
      </w:r>
      <w:hyperlink r:id="rId9894">
        <w:r>
          <w:rPr>
            <w:color w:val="0000EE"/>
            <w:u w:val="single"/>
          </w:rPr>
          <w:t>20.1–2</w:t>
        </w:r>
      </w:hyperlink>
      <w:r>
        <w:t>). Mais tarde, Isaque se estabeleceu nesta cidade e também escondeu seu casamento com Rebeca por medo de represálias dos homens da cidade. Isaque eventualmente deixou a cidade, mudando-se para o vale próximo de Gerar devido aos seus conflitos com os filisteus. Aqui, os pastores de Gerar discutiram com os servos de Isaque sobre um poço recém-cavado, e Abimeleque, rei dos filisteus, fez uma aliança com Isaque (</w:t>
      </w:r>
      <w:hyperlink r:id="rId9895">
        <w:r>
          <w:rPr>
            <w:color w:val="0000EE"/>
            <w:u w:val="single"/>
          </w:rPr>
          <w:t>26.1–26</w:t>
        </w:r>
      </w:hyperlink>
      <w:r>
        <w:t>). É duvidoso que o rei Abimeleque de Gerar (</w:t>
      </w:r>
      <w:hyperlink r:id="rId9896">
        <w:r>
          <w:rPr>
            <w:color w:val="0000EE"/>
            <w:u w:val="single"/>
          </w:rPr>
          <w:t>20.2</w:t>
        </w:r>
      </w:hyperlink>
      <w:r>
        <w:t>) fosse a mesma pessoa que Abimeleque, rei dos filisteus (</w:t>
      </w:r>
      <w:hyperlink r:id="rId9897">
        <w:r>
          <w:rPr>
            <w:color w:val="0000EE"/>
            <w:u w:val="single"/>
          </w:rPr>
          <w:t>26.8</w:t>
        </w:r>
      </w:hyperlink>
      <w:r>
        <w:t>). Abimeleque provavelmente era um sobrenome ou um título oficial.</w:t>
      </w:r>
    </w:p>
    <w:p>
      <w:r/>
      <w:r>
        <w:t>Durante o período patriarcal, Gerar surgiu como uma cidade cananeia dominante no Neguebe; no entanto, no relato de Josué sobre a Conquista, esta cidade não foi mencionada entre as cidades filisteias ainda a serem conquistadas (</w:t>
      </w:r>
      <w:hyperlink r:id="rId9898">
        <w:r>
          <w:rPr>
            <w:color w:val="0000EE"/>
            <w:u w:val="single"/>
          </w:rPr>
          <w:t>Js 13.2–3</w:t>
        </w:r>
      </w:hyperlink>
      <w:r>
        <w:t>) ou na lista de cidades já derrotadas (</w:t>
      </w:r>
      <w:hyperlink r:id="rId9899">
        <w:r>
          <w:rPr>
            <w:color w:val="0000EE"/>
            <w:u w:val="single"/>
          </w:rPr>
          <w:t>15.21–22</w:t>
        </w:r>
      </w:hyperlink>
      <w:r>
        <w:t>). Mais tarde, no período dos reis, Gerar foi mencionada como a cidade mais ao sul para a qual o exército etíope fugiu antes de ser completamente destruído pelo Rei Asa de Judá (910–869 a.C.) e seu exército (</w:t>
      </w:r>
      <w:hyperlink r:id="rId9900">
        <w:r>
          <w:rPr>
            <w:color w:val="0000EE"/>
            <w:u w:val="single"/>
          </w:rPr>
          <w:t>2Cr 14.13–14</w:t>
        </w:r>
      </w:hyperlink>
      <w:r>
        <w:t>). Talvez o fértil vale de Gedor (</w:t>
      </w:r>
      <w:hyperlink r:id="rId9901">
        <w:r>
          <w:rPr>
            <w:color w:val="0000EE"/>
            <w:u w:val="single"/>
          </w:rPr>
          <w:t>1Cr 4.39</w:t>
        </w:r>
      </w:hyperlink>
      <w:r>
        <w:t xml:space="preserve">; cf. </w:t>
      </w:r>
      <w:hyperlink r:id="rId9902">
        <w:r>
          <w:rPr>
            <w:color w:val="0000EE"/>
            <w:u w:val="single"/>
          </w:rPr>
          <w:t>Gn 26.17</w:t>
        </w:r>
      </w:hyperlink>
      <w:r>
        <w:t xml:space="preserve">), anteriormente habitado pelos filhos de Cam (cf. </w:t>
      </w:r>
      <w:hyperlink r:id="rId382">
        <w:r>
          <w:rPr>
            <w:color w:val="0000EE"/>
            <w:u w:val="single"/>
          </w:rPr>
          <w:t>Gn 10.19</w:t>
        </w:r>
      </w:hyperlink>
      <w:r>
        <w:t xml:space="preserve">), fosse idêntico ao vale de Gerar. Gedor foi possivelmente um erro de escrita posterior onde o copista confundiu a letra hebraica </w:t>
      </w:r>
      <w:r>
        <w:rPr>
          <w:i/>
        </w:rPr>
        <w:t>r</w:t>
      </w:r>
      <w:r>
        <w:t xml:space="preserve"> com um </w:t>
      </w:r>
      <w:r>
        <w:rPr>
          <w:i/>
        </w:rPr>
        <w:t>d.</w:t>
      </w:r>
    </w:p>
    <w:p>
      <w:r/>
      <w:r>
        <w:t>O local de Gerar pode ser identificado como Tell Abu Hureireh, ao longo da margem noroeste do Wadi esh-Sheri’ah, a 24 quilômetros a noroeste de Berseba e 19 quilômetros a sudeste de Gaza.</w:t>
      </w:r>
      <w:r/>
      <w:r/>
    </w:p>
    <w:p>
      <w:r/>
    </w:p>
    <w:p>
      <w:pPr>
        <w:pStyle w:val="Heading2"/>
      </w:pPr>
      <w:r>
        <w:t>Gerasa*, Gerasenos</w:t>
      </w:r>
      <w:r/>
    </w:p>
    <w:p>
      <w:r/>
      <w:r>
        <w:t>Cidade e distrito em Decápolis. Gerasa era uma cidade romana bem conhecida situada nas colinas da Transjordânia cerca de 56 quilômetros a sudeste do Mar da Galileia e 31 quilômetros a leste do rio Jordão. Foi originalmente estabelecida como uma cidade grega por Alexandre, o Grande, por volta de 333 a.C. Em 85 a.C., o monarca judeu Alexandre Janeu conquistou a cidade. Gerasa permaneceu nas mãos dos judeus até que Pompeu a trouxe sob controle romano em 63 a.C., momento em que foi incorporada na província da Síria e mais tarde incluída em Decápolis. O local de Gerasa é idêntico com a moderna Jerash.</w:t>
      </w:r>
    </w:p>
    <w:p>
      <w:r/>
      <w:r>
        <w:t xml:space="preserve">Embora a cidade não seja nomeada no NT, </w:t>
      </w:r>
      <w:hyperlink r:id="rId9677">
        <w:r>
          <w:rPr>
            <w:color w:val="0000EE"/>
            <w:u w:val="single"/>
          </w:rPr>
          <w:t>Mc 5.1</w:t>
        </w:r>
      </w:hyperlink>
      <w:r>
        <w:t xml:space="preserve"> e </w:t>
      </w:r>
      <w:hyperlink r:id="rId9903">
        <w:r>
          <w:rPr>
            <w:color w:val="0000EE"/>
            <w:u w:val="single"/>
          </w:rPr>
          <w:t>Lc 8.26–37</w:t>
        </w:r>
      </w:hyperlink>
      <w:r>
        <w:t xml:space="preserve"> mencionam o “terra dos gerasenos” (ARA) como o lugar onde Jesus curou o endemoninhado e os porcos se afogaram no Mar da Galileia. O relato paralelo em </w:t>
      </w:r>
      <w:hyperlink r:id="rId9676">
        <w:r>
          <w:rPr>
            <w:color w:val="0000EE"/>
            <w:u w:val="single"/>
          </w:rPr>
          <w:t>Mt 8.28</w:t>
        </w:r>
      </w:hyperlink>
      <w:r>
        <w:t xml:space="preserve"> diz a “terra dos gadarenos” (ARA).</w:t>
      </w:r>
    </w:p>
    <w:p>
      <w:r/>
      <w:r>
        <w:t>A leitura de “gerasenos” em Marcos e Lucas é encontrada nos melhores manuscritos do NT sobre as alterações escribais posteriores de “gadarenos” e “gerasenos”. Gadara era uma cidade importante de Decápolis onde a jurisdição política se estendia até as margens orientais do Mar da Galileia. Foi adicionado talvez por copistas posteriores para harmonizar os relatos de Marcos e Lucas com o Evangelho de Mateus. Gergesa era uma cidade ao longo da costa oriental do Mar da Galileia e o nome foi provavelmente inserido nos textos de Marcos e Lucas para fazer melhor sentido geográfico do milagre de Jesus. No entanto, “o distrito dos gerasenos” tem o melhor apoio textual e deve ser entendido como o local pretendido de Marcos e Lucas para o exorcismo e milagre de Jesus. Para os leitores romanos e gregos não palestinos de Marcos e os Evangelhos de Lucas, o pequeno distrito regional de Gadara seria desconhecido; no entanto, a cidade romana rica de Gerasa seria amplamente conhecida e adequada como uma designação geográfica para o milagre de Jesus no Mar da Galileia.</w:t>
      </w:r>
    </w:p>
    <w:p>
      <w:r/>
      <w:r>
        <w:rPr>
          <w:i/>
        </w:rPr>
        <w:t>Veja também</w:t>
      </w:r>
      <w:r>
        <w:t xml:space="preserve"> </w:t>
      </w:r>
      <w:r>
        <w:t>Decápolis</w:t>
      </w:r>
      <w:r>
        <w:t xml:space="preserve">; </w:t>
      </w:r>
      <w:r>
        <w:t>Gadara, Gadarenos</w:t>
      </w:r>
      <w:r>
        <w:t xml:space="preserve">; </w:t>
      </w:r>
      <w:r>
        <w:t>Girgaseus</w:t>
      </w:r>
      <w:r>
        <w:t>.</w:t>
      </w:r>
      <w:r/>
      <w:r/>
    </w:p>
    <w:p>
      <w:r/>
    </w:p>
    <w:p>
      <w:pPr>
        <w:pStyle w:val="Heading2"/>
      </w:pPr>
      <w:r>
        <w:t>Gerizim, Monte</w:t>
      </w:r>
      <w:r/>
    </w:p>
    <w:p>
      <w:r/>
      <w:r>
        <w:t>Montanha (moderna Jebel et-Tor) de onde as bênçãos deveriam ser proclamadas, assim como as maldições deveriam vir do Monte Ebal (</w:t>
      </w:r>
      <w:hyperlink r:id="rId9904">
        <w:r>
          <w:rPr>
            <w:color w:val="0000EE"/>
            <w:u w:val="single"/>
          </w:rPr>
          <w:t>Dt 11.29</w:t>
        </w:r>
      </w:hyperlink>
      <w:r>
        <w:t>). As duas montanhas designadas por Deus estavam opostas uma à outra, e o cenário era memorável, com seis tribos posicionadas no Monte Gerizim e seis no Monte Ebal, os levitas posicionados no vale entre elas — recitando as bênçãos e as maldições (</w:t>
      </w:r>
      <w:hyperlink r:id="rId9905">
        <w:r>
          <w:rPr>
            <w:color w:val="0000EE"/>
            <w:u w:val="single"/>
          </w:rPr>
          <w:t>Dt 27.11–28.68</w:t>
        </w:r>
      </w:hyperlink>
      <w:r>
        <w:t xml:space="preserve">; </w:t>
      </w:r>
      <w:hyperlink r:id="rId9906">
        <w:r>
          <w:rPr>
            <w:color w:val="0000EE"/>
            <w:u w:val="single"/>
          </w:rPr>
          <w:t>Js 8.33–35</w:t>
        </w:r>
      </w:hyperlink>
      <w:r>
        <w:t xml:space="preserve">). A montanha fica perto de Siquém, cerca de 16 quilômetros a sudeste da cidade de Samaria, e é referida pela mulher de Samaria em </w:t>
      </w:r>
      <w:hyperlink r:id="rId9907">
        <w:r>
          <w:rPr>
            <w:color w:val="0000EE"/>
            <w:u w:val="single"/>
          </w:rPr>
          <w:t>João 4.20–23</w:t>
        </w:r>
      </w:hyperlink>
      <w:r>
        <w:t xml:space="preserve"> como a montanha onde “nossos antepassados adoraram”. Abraão, de fato, havia construído um altar nesta área (</w:t>
      </w:r>
      <w:hyperlink r:id="rId9908">
        <w:r>
          <w:rPr>
            <w:color w:val="0000EE"/>
            <w:u w:val="single"/>
          </w:rPr>
          <w:t>Gn 12.6–7</w:t>
        </w:r>
      </w:hyperlink>
      <w:r>
        <w:t xml:space="preserve">; </w:t>
      </w:r>
      <w:hyperlink r:id="rId9909">
        <w:r>
          <w:rPr>
            <w:color w:val="0000EE"/>
            <w:u w:val="single"/>
          </w:rPr>
          <w:t>33.18–20</w:t>
        </w:r>
      </w:hyperlink>
      <w:r>
        <w:t>), e foi um local reverenciado para a adoração samaritana por séculos. Jesus responde à mulher apontando que a localidade física da adoração (seja Gerizim ou Jerusalém) não é importante — a realidade espiritual é. Deve-se adorar em espírito e em verdade.</w:t>
      </w:r>
    </w:p>
    <w:p>
      <w:r/>
      <w:r>
        <w:t>Foi nesta área que os ossos de José foram enterrados (</w:t>
      </w:r>
      <w:hyperlink r:id="rId7168">
        <w:r>
          <w:rPr>
            <w:color w:val="0000EE"/>
            <w:u w:val="single"/>
          </w:rPr>
          <w:t>Js 24.32</w:t>
        </w:r>
      </w:hyperlink>
      <w:r>
        <w:t xml:space="preserve">) e onde Josué convocou o povo para renovar sua aliança com o Deus de seus pais (vv. </w:t>
      </w:r>
      <w:hyperlink r:id="rId9910">
        <w:r>
          <w:rPr>
            <w:color w:val="0000EE"/>
            <w:u w:val="single"/>
          </w:rPr>
          <w:t>25–27</w:t>
        </w:r>
      </w:hyperlink>
      <w:r>
        <w:t xml:space="preserve">). Josefo registra em suas </w:t>
      </w:r>
      <w:r>
        <w:rPr>
          <w:i/>
        </w:rPr>
        <w:t>Antiguidades</w:t>
      </w:r>
      <w:r>
        <w:t xml:space="preserve"> (11.8.2–4) a promessa de Sanbalate a Manassés de preservar para ele a honra do sacerdócio e também de construir um templo no Monte Gerizim semelhante ao de Jerusalém. Aparentemente, foi destruído mais tarde pelas forças macabeias sob o comando de Hircano (</w:t>
      </w:r>
      <w:r>
        <w:rPr>
          <w:i/>
        </w:rPr>
        <w:t>Antiguidades</w:t>
      </w:r>
      <w:r>
        <w:t xml:space="preserve"> 13.9.1). Os samaritanos ainda adoram em Nablus, que fica ao pé do Monte Gerizim, mas são uma comunidade em diminuição mantida precariamente unida.</w:t>
      </w:r>
      <w:r/>
      <w:r/>
    </w:p>
    <w:p>
      <w:r/>
    </w:p>
    <w:p>
      <w:pPr>
        <w:pStyle w:val="Heading2"/>
      </w:pPr>
      <w:r>
        <w:t>Gérson</w:t>
      </w:r>
      <w:r/>
    </w:p>
    <w:p>
      <w:pPr>
        <w:pStyle w:val="ListNumber"/>
        <w:spacing w:line="240" w:lineRule="auto"/>
        <w:ind w:left="720"/>
      </w:pPr>
      <w:r/>
      <w:r>
        <w:t>Filho de Moisés com Zípora, nascido em Midiã quando Moisés foi forçado a fugir do Egito (</w:t>
      </w:r>
      <w:hyperlink r:id="rId8551">
        <w:r>
          <w:rPr>
            <w:color w:val="0000EE"/>
            <w:u w:val="single"/>
          </w:rPr>
          <w:t>Êx 2.22</w:t>
        </w:r>
      </w:hyperlink>
      <w:r>
        <w:t xml:space="preserve">; </w:t>
      </w:r>
      <w:hyperlink r:id="rId9911">
        <w:r>
          <w:rPr>
            <w:color w:val="0000EE"/>
            <w:u w:val="single"/>
          </w:rPr>
          <w:t>18.3</w:t>
        </w:r>
      </w:hyperlink>
      <w:r>
        <w:t xml:space="preserve">; </w:t>
      </w:r>
      <w:hyperlink r:id="rId9912">
        <w:r>
          <w:rPr>
            <w:color w:val="0000EE"/>
            <w:u w:val="single"/>
          </w:rPr>
          <w:t>1Cr 23.15,16</w:t>
        </w:r>
      </w:hyperlink>
      <w:r>
        <w:t>);</w:t>
      </w:r>
    </w:p>
    <w:p>
      <w:pPr>
        <w:pStyle w:val="ListNumber"/>
        <w:spacing w:line="240" w:lineRule="auto"/>
        <w:ind w:left="720"/>
      </w:pPr>
      <w:r/>
      <w:r>
        <w:t>O pai de Jônatas. Ele e seus filhos serviram como sacerdotes para a tribo de Dã. O povo de Dã fez uma estátua esculpida para adorar como um deus, quebrando o mandamento de Deus contra ídolos. Eles escolheram Jônatas, filho de Gérson, para ser seu sacerdote e liderar sua adoração (</w:t>
      </w:r>
      <w:hyperlink r:id="rId7688">
        <w:r>
          <w:rPr>
            <w:color w:val="0000EE"/>
            <w:u w:val="single"/>
          </w:rPr>
          <w:t>Jz 18.30</w:t>
        </w:r>
      </w:hyperlink>
      <w:r>
        <w:t>);</w:t>
      </w:r>
    </w:p>
    <w:p>
      <w:pPr>
        <w:pStyle w:val="ListNumber"/>
        <w:spacing w:line="240" w:lineRule="auto"/>
        <w:ind w:left="720"/>
      </w:pPr>
      <w:r/>
      <w:r>
        <w:t>Uma grafia alternativa de Gérson, o filho mais velho de Levi (</w:t>
      </w:r>
      <w:hyperlink r:id="rId9913">
        <w:r>
          <w:rPr>
            <w:color w:val="0000EE"/>
            <w:u w:val="single"/>
          </w:rPr>
          <w:t>1Cr 6.1,16–17,20,43</w:t>
        </w:r>
      </w:hyperlink>
      <w:r>
        <w:t xml:space="preserve">; </w:t>
      </w:r>
      <w:hyperlink r:id="rId9914">
        <w:r>
          <w:rPr>
            <w:color w:val="0000EE"/>
            <w:u w:val="single"/>
          </w:rPr>
          <w:t>23.6–7</w:t>
        </w:r>
      </w:hyperlink>
      <w:r>
        <w:t>);</w:t>
      </w:r>
    </w:p>
    <w:p>
      <w:r/>
      <w:r>
        <w:rPr>
          <w:i/>
        </w:rPr>
        <w:t>Veja também</w:t>
      </w:r>
      <w:r>
        <w:t xml:space="preserve"> </w:t>
      </w:r>
      <w:r>
        <w:t>Gérson, gersonitas</w:t>
      </w:r>
      <w:r>
        <w:t>.</w:t>
      </w:r>
    </w:p>
    <w:p>
      <w:pPr>
        <w:pStyle w:val="ListNumber"/>
        <w:spacing w:line="240" w:lineRule="auto"/>
        <w:ind w:left="720"/>
      </w:pPr>
      <w:r/>
      <w:r>
        <w:t>Um ancestral de Sebuel, o principal oficial sobre o Tesouro do templo durante o reinado de Davi (</w:t>
      </w:r>
      <w:hyperlink r:id="rId9915">
        <w:r>
          <w:rPr>
            <w:color w:val="0000EE"/>
            <w:u w:val="single"/>
          </w:rPr>
          <w:t>1Cr 26.24</w:t>
        </w:r>
      </w:hyperlink>
      <w:r>
        <w:t>);</w:t>
      </w:r>
    </w:p>
    <w:p>
      <w:pPr>
        <w:pStyle w:val="ListNumber"/>
        <w:spacing w:line="240" w:lineRule="auto"/>
        <w:ind w:left="720"/>
      </w:pPr>
      <w:r/>
      <w:r>
        <w:t>O filho de Fineias que retornou com Esdras após o exílio na Babilônia (</w:t>
      </w:r>
      <w:hyperlink r:id="rId9576">
        <w:r>
          <w:rPr>
            <w:color w:val="0000EE"/>
            <w:u w:val="single"/>
          </w:rPr>
          <w:t>Ed 8.2</w:t>
        </w:r>
      </w:hyperlink>
      <w:r>
        <w:t>).</w:t>
      </w:r>
      <w:r/>
      <w:r/>
    </w:p>
    <w:p>
      <w:r/>
    </w:p>
    <w:p>
      <w:pPr>
        <w:pStyle w:val="Heading2"/>
      </w:pPr>
      <w:r>
        <w:t>GÉRSON, gersonitas</w:t>
      </w:r>
      <w:r/>
    </w:p>
    <w:p>
      <w:r/>
      <w:r>
        <w:t>O filho mais velho de Levi (também chamado Gérson) que foi para o Egito com Israel (</w:t>
      </w:r>
      <w:hyperlink r:id="rId5014">
        <w:r>
          <w:rPr>
            <w:color w:val="0000EE"/>
            <w:u w:val="single"/>
          </w:rPr>
          <w:t>Gn 46.11</w:t>
        </w:r>
      </w:hyperlink>
      <w:r>
        <w:t xml:space="preserve">; </w:t>
      </w:r>
      <w:hyperlink r:id="rId5021">
        <w:r>
          <w:rPr>
            <w:color w:val="0000EE"/>
            <w:u w:val="single"/>
          </w:rPr>
          <w:t>Nm 3.17</w:t>
        </w:r>
      </w:hyperlink>
      <w:r>
        <w:t xml:space="preserve">; </w:t>
      </w:r>
      <w:hyperlink r:id="rId9916">
        <w:r>
          <w:rPr>
            <w:color w:val="0000EE"/>
            <w:u w:val="single"/>
          </w:rPr>
          <w:t>1Cr 6.1</w:t>
        </w:r>
      </w:hyperlink>
      <w:r>
        <w:t>). Ele se tornou o ancestral de um grupo de levitas chamados gersonitas que saíram do Egito com Moisés (</w:t>
      </w:r>
      <w:hyperlink r:id="rId9917">
        <w:r>
          <w:rPr>
            <w:color w:val="0000EE"/>
            <w:u w:val="single"/>
          </w:rPr>
          <w:t>Êx 6.16–17</w:t>
        </w:r>
      </w:hyperlink>
      <w:r>
        <w:t xml:space="preserve">; </w:t>
      </w:r>
      <w:hyperlink r:id="rId9918">
        <w:r>
          <w:rPr>
            <w:color w:val="0000EE"/>
            <w:u w:val="single"/>
          </w:rPr>
          <w:t>Nm 3.18,21</w:t>
        </w:r>
      </w:hyperlink>
      <w:r>
        <w:t>).</w:t>
      </w:r>
    </w:p>
    <w:p>
      <w:r/>
      <w:r>
        <w:t>Quando as cidades levíticas foram distribuídas, os gersonitas foram listados como um dos maiores grupos levíticos em Israel (</w:t>
      </w:r>
      <w:hyperlink r:id="rId9919">
        <w:r>
          <w:rPr>
            <w:color w:val="0000EE"/>
            <w:u w:val="single"/>
          </w:rPr>
          <w:t>Js 21.1–7</w:t>
        </w:r>
      </w:hyperlink>
      <w:r>
        <w:t>). Algumas passagens bíblicas mostram que eles eram, às vezes, o principal grupo de trabalho entre os levitas (</w:t>
      </w:r>
      <w:hyperlink r:id="rId5014">
        <w:r>
          <w:rPr>
            <w:color w:val="0000EE"/>
            <w:u w:val="single"/>
          </w:rPr>
          <w:t>Gn 46.11</w:t>
        </w:r>
      </w:hyperlink>
      <w:r>
        <w:t xml:space="preserve">; </w:t>
      </w:r>
      <w:hyperlink r:id="rId5015">
        <w:r>
          <w:rPr>
            <w:color w:val="0000EE"/>
            <w:u w:val="single"/>
          </w:rPr>
          <w:t>Êx 6.16</w:t>
        </w:r>
      </w:hyperlink>
      <w:r>
        <w:t xml:space="preserve">; </w:t>
      </w:r>
      <w:hyperlink r:id="rId5021">
        <w:r>
          <w:rPr>
            <w:color w:val="0000EE"/>
            <w:u w:val="single"/>
          </w:rPr>
          <w:t>Nm 3.17</w:t>
        </w:r>
      </w:hyperlink>
      <w:r>
        <w:t xml:space="preserve">; </w:t>
      </w:r>
      <w:hyperlink r:id="rId5030">
        <w:r>
          <w:rPr>
            <w:color w:val="0000EE"/>
            <w:u w:val="single"/>
          </w:rPr>
          <w:t>26.57</w:t>
        </w:r>
      </w:hyperlink>
      <w:r>
        <w:t xml:space="preserve">; </w:t>
      </w:r>
      <w:hyperlink r:id="rId5022">
        <w:r>
          <w:rPr>
            <w:color w:val="0000EE"/>
            <w:u w:val="single"/>
          </w:rPr>
          <w:t>1Cr 6.1,16</w:t>
        </w:r>
      </w:hyperlink>
      <w:r>
        <w:t xml:space="preserve">; </w:t>
      </w:r>
      <w:hyperlink r:id="rId5023">
        <w:r>
          <w:rPr>
            <w:color w:val="0000EE"/>
            <w:u w:val="single"/>
          </w:rPr>
          <w:t>23.6</w:t>
        </w:r>
      </w:hyperlink>
      <w:r>
        <w:t>).</w:t>
      </w:r>
    </w:p>
    <w:p>
      <w:r/>
      <w:r>
        <w:t>De acordo com o livro de Números, os gersonitas acamparam atrás do tabernáculo no lado oeste durante a jornada no deserto (</w:t>
      </w:r>
      <w:hyperlink r:id="rId9920">
        <w:r>
          <w:rPr>
            <w:color w:val="0000EE"/>
            <w:u w:val="single"/>
          </w:rPr>
          <w:t>Nm 3.23</w:t>
        </w:r>
      </w:hyperlink>
      <w:r>
        <w:t>). No início do segundo ano após saírem do Egito, havia cerca de 7.500 homens gersonitas (</w:t>
      </w:r>
      <w:hyperlink r:id="rId9921">
        <w:r>
          <w:rPr>
            <w:color w:val="0000EE"/>
            <w:u w:val="single"/>
          </w:rPr>
          <w:t>Nm 3.22</w:t>
        </w:r>
      </w:hyperlink>
      <w:r>
        <w:t>). Somente homens entre 30 e 50 anos podiam servir no tabernáculo. Na época daquela contagem inicial, havia 2.630 desses homens (</w:t>
      </w:r>
      <w:hyperlink r:id="rId9922">
        <w:r>
          <w:rPr>
            <w:color w:val="0000EE"/>
            <w:u w:val="single"/>
          </w:rPr>
          <w:t>Nm 4.39,40</w:t>
        </w:r>
      </w:hyperlink>
      <w:r>
        <w:t>). Eles eram responsáveis por cuidar e mover as partes externas do tabernáculo (</w:t>
      </w:r>
      <w:hyperlink r:id="rId9923">
        <w:r>
          <w:rPr>
            <w:color w:val="0000EE"/>
            <w:u w:val="single"/>
          </w:rPr>
          <w:t>Nm 3.25,26</w:t>
        </w:r>
      </w:hyperlink>
      <w:r>
        <w:t xml:space="preserve">; </w:t>
      </w:r>
      <w:hyperlink r:id="rId9924">
        <w:r>
          <w:rPr>
            <w:color w:val="0000EE"/>
            <w:u w:val="single"/>
          </w:rPr>
          <w:t>4.24,27,28</w:t>
        </w:r>
      </w:hyperlink>
      <w:r>
        <w:t>). Eles receberam dois carros e quatro bois para esse trabalho, e Arão e seus filhos os supervisionavam (</w:t>
      </w:r>
      <w:hyperlink r:id="rId9925">
        <w:r>
          <w:rPr>
            <w:color w:val="0000EE"/>
            <w:u w:val="single"/>
          </w:rPr>
          <w:t>Nm 4.27</w:t>
        </w:r>
      </w:hyperlink>
      <w:r>
        <w:t>).</w:t>
      </w:r>
    </w:p>
    <w:p>
      <w:r/>
      <w:r>
        <w:t>Depois que os israelitas se estabeleceram pela primeira vez em Canaã, os gersonitas receberam 13 cidades na parte norte da terra. Essas cidades estavam localizadas nas áreas tribais de Issacar, Aser, Naftali e Manassés (</w:t>
      </w:r>
      <w:hyperlink r:id="rId9926">
        <w:r>
          <w:rPr>
            <w:color w:val="0000EE"/>
            <w:u w:val="single"/>
          </w:rPr>
          <w:t>Js 21.6</w:t>
        </w:r>
      </w:hyperlink>
      <w:r>
        <w:t>).</w:t>
      </w:r>
    </w:p>
    <w:p>
      <w:r/>
      <w:r>
        <w:t>Durante o reinado do Rei Davi, os gersonitas estavam entre os levitas designados para servir no templo (</w:t>
      </w:r>
      <w:hyperlink r:id="rId9927">
        <w:r>
          <w:rPr>
            <w:color w:val="0000EE"/>
            <w:u w:val="single"/>
          </w:rPr>
          <w:t>1Cr 23.6–11</w:t>
        </w:r>
      </w:hyperlink>
      <w:r>
        <w:t>). As famílias gersonitas de Ladã e Jeieli eram responsáveis pela Tesouraria da casa de Deus (</w:t>
      </w:r>
      <w:hyperlink r:id="rId9928">
        <w:r>
          <w:rPr>
            <w:color w:val="0000EE"/>
            <w:u w:val="single"/>
          </w:rPr>
          <w:t>1Cr 26.20–22</w:t>
        </w:r>
      </w:hyperlink>
      <w:r>
        <w:t>). A pedido de Davi, Asafe e sua família, que eram gersonitas, ajudaram a dirigir a música no templo (</w:t>
      </w:r>
      <w:hyperlink r:id="rId2646">
        <w:r>
          <w:rPr>
            <w:color w:val="0000EE"/>
            <w:u w:val="single"/>
          </w:rPr>
          <w:t>1Cr 25.1–2</w:t>
        </w:r>
      </w:hyperlink>
      <w:r>
        <w:t>). Durante o reinado do Rei Ezequias, os gersonitas estavam entre os levitas que limparam o templo (</w:t>
      </w:r>
      <w:hyperlink r:id="rId9929">
        <w:r>
          <w:rPr>
            <w:color w:val="0000EE"/>
            <w:u w:val="single"/>
          </w:rPr>
          <w:t>2Cr 29.1–6,12</w:t>
        </w:r>
      </w:hyperlink>
      <w:r>
        <w:t>). Após o exílio na Babilônia, os descendentes de Asafe tocaram música para celebrar o lançamento da fundação do templo e a dedicação das muralhas da cidade (</w:t>
      </w:r>
      <w:hyperlink r:id="rId4906">
        <w:r>
          <w:rPr>
            <w:color w:val="0000EE"/>
            <w:u w:val="single"/>
          </w:rPr>
          <w:t>Ed 3.10</w:t>
        </w:r>
      </w:hyperlink>
      <w:r>
        <w:t xml:space="preserve">; </w:t>
      </w:r>
      <w:hyperlink r:id="rId9930">
        <w:r>
          <w:rPr>
            <w:color w:val="0000EE"/>
            <w:u w:val="single"/>
          </w:rPr>
          <w:t>Ne 12.31–36</w:t>
        </w:r>
      </w:hyperlink>
      <w:r>
        <w:t>).</w:t>
      </w:r>
    </w:p>
    <w:p>
      <w:r/>
      <w:r>
        <w:rPr>
          <w:i/>
        </w:rPr>
        <w:t>Veja também</w:t>
      </w:r>
      <w:r>
        <w:t xml:space="preserve"> </w:t>
      </w:r>
      <w:r>
        <w:t>LEVI, Tribo de</w:t>
      </w:r>
      <w:r>
        <w:t xml:space="preserve">; </w:t>
      </w:r>
      <w:r>
        <w:t>Sacerdotes e levitas</w:t>
      </w:r>
      <w:r>
        <w:t>.</w:t>
      </w:r>
      <w:r/>
      <w:r/>
    </w:p>
    <w:p>
      <w:r/>
    </w:p>
    <w:p>
      <w:pPr>
        <w:pStyle w:val="Heading2"/>
      </w:pPr>
      <w:r>
        <w:t>Gesur, Gesuritas</w:t>
      </w:r>
      <w:r/>
    </w:p>
    <w:p>
      <w:r/>
      <w:r>
        <w:t>1. Distrito e seus habitantes a leste do Rio Jordão, na divisão tribal da meia-tribo de Manassés (</w:t>
      </w:r>
      <w:hyperlink r:id="rId9931">
        <w:r>
          <w:rPr>
            <w:color w:val="0000EE"/>
            <w:u w:val="single"/>
          </w:rPr>
          <w:t>Js 13.11</w:t>
        </w:r>
      </w:hyperlink>
      <w:r>
        <w:t>). A maioria dos geógrafos bíblicos o coloca perto de Basã, na costa nordeste do Mar da Galileia. Na conquista da terra, os israelitas derrotaram Ogue, rei de Basã, e Jair de Manassés tomou Basã até a fronteira dos gesuritas e maacatitas (</w:t>
      </w:r>
      <w:hyperlink r:id="rId2491">
        <w:r>
          <w:rPr>
            <w:color w:val="0000EE"/>
            <w:u w:val="single"/>
          </w:rPr>
          <w:t>Dt 3.14</w:t>
        </w:r>
      </w:hyperlink>
      <w:r>
        <w:t>). Embora a terra dos gesuritas tenha sido dada às tribos transjordânicas (</w:t>
      </w:r>
      <w:hyperlink r:id="rId9931">
        <w:r>
          <w:rPr>
            <w:color w:val="0000EE"/>
            <w:u w:val="single"/>
          </w:rPr>
          <w:t>Js 13.11</w:t>
        </w:r>
      </w:hyperlink>
      <w:r>
        <w:t xml:space="preserve">), Israel não os expulsou (v. </w:t>
      </w:r>
      <w:hyperlink r:id="rId9932">
        <w:r>
          <w:rPr>
            <w:color w:val="0000EE"/>
            <w:u w:val="single"/>
          </w:rPr>
          <w:t>13</w:t>
        </w:r>
      </w:hyperlink>
      <w:r>
        <w:t>). Mais tarde, Gesur e Arã tomaram pelo menos 60 cidades dos israelitas em Transjordânia (</w:t>
      </w:r>
      <w:hyperlink r:id="rId9933">
        <w:r>
          <w:rPr>
            <w:color w:val="0000EE"/>
            <w:u w:val="single"/>
          </w:rPr>
          <w:t>1Cr 2.23</w:t>
        </w:r>
      </w:hyperlink>
      <w:r>
        <w:t>).</w:t>
      </w:r>
    </w:p>
    <w:p>
      <w:r/>
      <w:r>
        <w:t>Davi casou-se com Maaca, filha de Talmai, rei de Gesur, e ela deu à luz Absalão (</w:t>
      </w:r>
      <w:hyperlink r:id="rId190">
        <w:r>
          <w:rPr>
            <w:color w:val="0000EE"/>
            <w:u w:val="single"/>
          </w:rPr>
          <w:t>2Sm 3.3</w:t>
        </w:r>
      </w:hyperlink>
      <w:r>
        <w:t xml:space="preserve">; </w:t>
      </w:r>
      <w:hyperlink r:id="rId9934">
        <w:r>
          <w:rPr>
            <w:color w:val="0000EE"/>
            <w:u w:val="single"/>
          </w:rPr>
          <w:t>1Cr 3.2</w:t>
        </w:r>
      </w:hyperlink>
      <w:r>
        <w:t>). Após o assassinato vingativo de Amnom, Absalão fugiu para Gesur em busca de refúgio com seu avô, Talmai (</w:t>
      </w:r>
      <w:hyperlink r:id="rId1101">
        <w:r>
          <w:rPr>
            <w:color w:val="0000EE"/>
            <w:u w:val="single"/>
          </w:rPr>
          <w:t>2Sm 13.37</w:t>
        </w:r>
      </w:hyperlink>
      <w:r>
        <w:t>) e permaneceu lá por três anos.</w:t>
      </w:r>
    </w:p>
    <w:p>
      <w:r/>
      <w:r>
        <w:rPr>
          <w:i/>
        </w:rPr>
        <w:t>Veja também</w:t>
      </w:r>
      <w:r>
        <w:t xml:space="preserve"> </w:t>
      </w:r>
      <w:r>
        <w:t>Síria, Sírios</w:t>
      </w:r>
      <w:r>
        <w:t>.</w:t>
      </w:r>
    </w:p>
    <w:p>
      <w:r/>
      <w:r>
        <w:t>2. Nome de uma área e seu povo ao sul de Filístia. Entre as terras ainda não conquistadas na época da avançada velhice de Josué estão listadas “</w:t>
      </w:r>
      <w:r>
        <w:t>Falta conquistar a região dos filisteus e dos gesuritas. 3(Essa terra, que vai desde o riacho de Sior, na divisa do Egito, até a divisa de Ecrom, no Norte</w:t>
      </w:r>
      <w:r>
        <w:t>” (</w:t>
      </w:r>
      <w:hyperlink r:id="rId9898">
        <w:r>
          <w:rPr>
            <w:color w:val="0000EE"/>
            <w:u w:val="single"/>
          </w:rPr>
          <w:t xml:space="preserve">Js 13.2–3 </w:t>
        </w:r>
      </w:hyperlink>
      <w:r>
        <w:t>NTLH). Quando Davi viveu em Ziclague, no território de Aquis, rei de Gate, Davi fez incursões sobre os gesuritas e outros “até Sur, à terra do Egito” (</w:t>
      </w:r>
      <w:hyperlink r:id="rId1052">
        <w:r>
          <w:rPr>
            <w:color w:val="0000EE"/>
            <w:u w:val="single"/>
          </w:rPr>
          <w:t>1Sm 27.8</w:t>
        </w:r>
      </w:hyperlink>
      <w:r>
        <w:t>).</w:t>
      </w:r>
      <w:r/>
      <w:r/>
    </w:p>
    <w:p>
      <w:r/>
    </w:p>
    <w:p>
      <w:pPr>
        <w:pStyle w:val="Heading2"/>
      </w:pPr>
      <w:r>
        <w:t>Geter</w:t>
      </w:r>
      <w:r/>
    </w:p>
    <w:p>
      <w:r/>
      <w:r>
        <w:t>Filho de Aram e neto de Sem (</w:t>
      </w:r>
      <w:hyperlink r:id="rId9935">
        <w:r>
          <w:rPr>
            <w:color w:val="0000EE"/>
            <w:u w:val="single"/>
          </w:rPr>
          <w:t>Gn 10.23</w:t>
        </w:r>
      </w:hyperlink>
      <w:r>
        <w:t xml:space="preserve">). Em </w:t>
      </w:r>
      <w:hyperlink r:id="rId2311">
        <w:r>
          <w:rPr>
            <w:color w:val="0000EE"/>
            <w:u w:val="single"/>
          </w:rPr>
          <w:t>1 Crônicas 1.17</w:t>
        </w:r>
      </w:hyperlink>
      <w:r>
        <w:t>, ele é listado como um dos filhos de Sem.</w:t>
      </w:r>
      <w:r/>
      <w:r/>
    </w:p>
    <w:p>
      <w:r/>
    </w:p>
    <w:p>
      <w:pPr>
        <w:pStyle w:val="Heading2"/>
      </w:pPr>
      <w:r>
        <w:t>Geuel</w:t>
      </w:r>
      <w:r/>
    </w:p>
    <w:p>
      <w:r/>
      <w:r>
        <w:t>Um filho de Maqui da tribo de Gade. Geuel foi um dos 12 espiões escolhidos por Moisés para explorar a terra de Canaã (</w:t>
      </w:r>
      <w:hyperlink r:id="rId9693">
        <w:r>
          <w:rPr>
            <w:color w:val="0000EE"/>
            <w:u w:val="single"/>
          </w:rPr>
          <w:t>Nm 13.15</w:t>
        </w:r>
      </w:hyperlink>
      <w:r>
        <w:t>).</w:t>
      </w:r>
      <w:r/>
      <w:r/>
    </w:p>
    <w:p>
      <w:r/>
    </w:p>
    <w:p>
      <w:pPr>
        <w:pStyle w:val="Heading2"/>
      </w:pPr>
      <w:r>
        <w:t>Gideoni</w:t>
      </w:r>
      <w:r/>
    </w:p>
    <w:p>
      <w:r/>
      <w:r>
        <w:t>Gideoni era o pai de Abidã. Abidã era o líder da tribo de Benjamim quando os israelitas estavam viajando pelo deserto do Sinai após escaparem do Egito (</w:t>
      </w:r>
      <w:hyperlink r:id="rId77">
        <w:r>
          <w:rPr>
            <w:color w:val="0000EE"/>
            <w:u w:val="single"/>
          </w:rPr>
          <w:t>Nm 1.11</w:t>
        </w:r>
      </w:hyperlink>
      <w:r>
        <w:t xml:space="preserve">; </w:t>
      </w:r>
      <w:hyperlink r:id="rId78">
        <w:r>
          <w:rPr>
            <w:color w:val="0000EE"/>
            <w:u w:val="single"/>
          </w:rPr>
          <w:t>2.22</w:t>
        </w:r>
      </w:hyperlink>
      <w:r>
        <w:t xml:space="preserve">; </w:t>
      </w:r>
      <w:hyperlink r:id="rId9936">
        <w:r>
          <w:rPr>
            <w:color w:val="0000EE"/>
            <w:u w:val="single"/>
          </w:rPr>
          <w:t>10.24</w:t>
        </w:r>
      </w:hyperlink>
      <w:r>
        <w:t>). Como líder tribal, Gideoni apresentou a oferta da tribo durante a cerimônia de dedicação do tabernáculo (</w:t>
      </w:r>
      <w:hyperlink r:id="rId79">
        <w:r>
          <w:rPr>
            <w:color w:val="0000EE"/>
            <w:u w:val="single"/>
          </w:rPr>
          <w:t>7.60–65</w:t>
        </w:r>
      </w:hyperlink>
      <w:r>
        <w:t>).</w:t>
      </w:r>
      <w:r/>
      <w:r/>
    </w:p>
    <w:p>
      <w:r/>
    </w:p>
    <w:p>
      <w:pPr>
        <w:pStyle w:val="Heading2"/>
      </w:pPr>
      <w:r>
        <w:t>Gigantes</w:t>
      </w:r>
      <w:r/>
    </w:p>
    <w:p>
      <w:r/>
      <w:r>
        <w:t xml:space="preserve">Tradução em português de quatro palavras hebraicas diferentes. Uma dessas palavras ocorre em </w:t>
      </w:r>
      <w:hyperlink r:id="rId9937">
        <w:r>
          <w:rPr>
            <w:color w:val="0000EE"/>
            <w:u w:val="single"/>
          </w:rPr>
          <w:t>Jó 16.14</w:t>
        </w:r>
      </w:hyperlink>
      <w:r>
        <w:t>, onde a palavra hebraica é traduzida como “guerreiro” na maioria das Bíblias em português. Outra palavra hebraica é traduzida como “gigantes” ou “nefilins” (uma transliteração do hebraico) também na maioria das Bíblias em português (</w:t>
      </w:r>
      <w:hyperlink r:id="rId9938">
        <w:r>
          <w:rPr>
            <w:color w:val="0000EE"/>
            <w:u w:val="single"/>
          </w:rPr>
          <w:t>Gn 6.4</w:t>
        </w:r>
      </w:hyperlink>
      <w:r>
        <w:t xml:space="preserve">; </w:t>
      </w:r>
      <w:hyperlink r:id="rId9939">
        <w:r>
          <w:rPr>
            <w:color w:val="0000EE"/>
            <w:u w:val="single"/>
          </w:rPr>
          <w:t>Nm 13.33</w:t>
        </w:r>
      </w:hyperlink>
      <w:r>
        <w:t>). O significado original deste termo hebraico é desconhecido, mas parece ser usado para um grupo ou raça de pessoas. Como nenhum dos termos traduzidos como “gigantes” tem esse significado real, não podemos ter certeza de que os nefilins tinham estatura física incomum.</w:t>
      </w:r>
    </w:p>
    <w:p>
      <w:r/>
      <w:r>
        <w:t xml:space="preserve">Em várias passagens, as bïblias traduzem como “gigantes” ou “refains” (e.g., </w:t>
      </w:r>
      <w:hyperlink r:id="rId9940">
        <w:r>
          <w:rPr>
            <w:color w:val="0000EE"/>
            <w:u w:val="single"/>
          </w:rPr>
          <w:t>Dt 2.20</w:t>
        </w:r>
      </w:hyperlink>
      <w:r>
        <w:t xml:space="preserve">; </w:t>
      </w:r>
      <w:hyperlink r:id="rId1117">
        <w:r>
          <w:rPr>
            <w:color w:val="0000EE"/>
            <w:u w:val="single"/>
          </w:rPr>
          <w:t>3.11</w:t>
        </w:r>
      </w:hyperlink>
      <w:r>
        <w:t xml:space="preserve">; </w:t>
      </w:r>
      <w:hyperlink r:id="rId2795">
        <w:r>
          <w:rPr>
            <w:color w:val="0000EE"/>
            <w:u w:val="single"/>
          </w:rPr>
          <w:t>Js 12.4</w:t>
        </w:r>
      </w:hyperlink>
      <w:r>
        <w:t>). Essa palavra, geralmente no plural, refere-se a várias tribos de pessoas que habitavam a Palestina e que podem ter sido incomumente grandes em tamanho físico. Elas incluíam os anaquins da área costeira de Judá e região montanhosa ao redor de Hebrom (</w:t>
      </w:r>
      <w:hyperlink r:id="rId9941">
        <w:r>
          <w:rPr>
            <w:color w:val="0000EE"/>
            <w:u w:val="single"/>
          </w:rPr>
          <w:t>Dt 2.11</w:t>
        </w:r>
      </w:hyperlink>
      <w:r>
        <w:t xml:space="preserve">), os emins de Moabe (v </w:t>
      </w:r>
      <w:hyperlink r:id="rId9942">
        <w:r>
          <w:rPr>
            <w:color w:val="0000EE"/>
            <w:u w:val="single"/>
          </w:rPr>
          <w:t>10</w:t>
        </w:r>
      </w:hyperlink>
      <w:r>
        <w:t xml:space="preserve">), os zanzumins de Amom (v </w:t>
      </w:r>
      <w:hyperlink r:id="rId9940">
        <w:r>
          <w:rPr>
            <w:color w:val="0000EE"/>
            <w:u w:val="single"/>
          </w:rPr>
          <w:t>20</w:t>
        </w:r>
      </w:hyperlink>
      <w:r>
        <w:t>) e os habitantes de Basã (</w:t>
      </w:r>
      <w:hyperlink r:id="rId1117">
        <w:r>
          <w:rPr>
            <w:color w:val="0000EE"/>
            <w:u w:val="single"/>
          </w:rPr>
          <w:t>3.11</w:t>
        </w:r>
      </w:hyperlink>
      <w:r>
        <w:t>). A palavra também aparece em Josué (</w:t>
      </w:r>
      <w:hyperlink r:id="rId2795">
        <w:r>
          <w:rPr>
            <w:color w:val="0000EE"/>
            <w:u w:val="single"/>
          </w:rPr>
          <w:t>Js 12.4</w:t>
        </w:r>
      </w:hyperlink>
      <w:r>
        <w:t xml:space="preserve">; </w:t>
      </w:r>
      <w:hyperlink r:id="rId7578">
        <w:r>
          <w:rPr>
            <w:color w:val="0000EE"/>
            <w:u w:val="single"/>
          </w:rPr>
          <w:t>13.12</w:t>
        </w:r>
      </w:hyperlink>
      <w:r>
        <w:t xml:space="preserve">; </w:t>
      </w:r>
      <w:hyperlink r:id="rId9788">
        <w:r>
          <w:rPr>
            <w:color w:val="0000EE"/>
            <w:u w:val="single"/>
          </w:rPr>
          <w:t>15.8</w:t>
        </w:r>
      </w:hyperlink>
      <w:r>
        <w:t xml:space="preserve">; </w:t>
      </w:r>
      <w:hyperlink r:id="rId9191">
        <w:r>
          <w:rPr>
            <w:color w:val="0000EE"/>
            <w:u w:val="single"/>
          </w:rPr>
          <w:t>17.15</w:t>
        </w:r>
      </w:hyperlink>
      <w:r>
        <w:t xml:space="preserve">; </w:t>
      </w:r>
      <w:hyperlink r:id="rId9789">
        <w:r>
          <w:rPr>
            <w:color w:val="0000EE"/>
            <w:u w:val="single"/>
          </w:rPr>
          <w:t>18.16</w:t>
        </w:r>
      </w:hyperlink>
      <w:r>
        <w:t>). Alguns intérpretes sugeriram que essas pessoas eram os habitantes originais da Palestina, que eram tribos distintas de pessoas altas e que foram eventualmente conquistadas e absorvidas pelos cananeus, filisteus, hebreus e outros povos invasores. Outros intérpretes argumentam que eles não eram tribos raciais distintas, mas indivíduos de grande estatura, talvez resultado de doença, que eram encontrados entre as várias raças e tribos da Palestina. Nenhuma das propostas pode ser estabelecida com certeza. Outro termo hebraico é traduzido como “gigante” ou "homem de grande estatura" (</w:t>
      </w:r>
      <w:hyperlink r:id="rId9943">
        <w:r>
          <w:rPr>
            <w:color w:val="0000EE"/>
            <w:u w:val="single"/>
          </w:rPr>
          <w:t>2Sm 21.16–22</w:t>
        </w:r>
      </w:hyperlink>
      <w:r>
        <w:t xml:space="preserve">; </w:t>
      </w:r>
      <w:hyperlink r:id="rId9944">
        <w:r>
          <w:rPr>
            <w:color w:val="0000EE"/>
            <w:u w:val="single"/>
          </w:rPr>
          <w:t>1Cr 20.4–8</w:t>
        </w:r>
      </w:hyperlink>
      <w:r>
        <w:t>).</w:t>
      </w:r>
    </w:p>
    <w:p>
      <w:r/>
      <w:r>
        <w:t>Talvez o gigante mais famoso na literatura bíblica seja Golias de Gate, o soldado filisteu que desafiou o exército do Rei Saul no Vale de Elá e os deixou consternados e com medo (</w:t>
      </w:r>
      <w:hyperlink r:id="rId9945">
        <w:r>
          <w:rPr>
            <w:color w:val="0000EE"/>
            <w:u w:val="single"/>
          </w:rPr>
          <w:t>1Sm 17</w:t>
        </w:r>
      </w:hyperlink>
      <w:r>
        <w:t>). Diz-se que ele tinha seis côvados e um palmo de altura, o que foi interpretado de várias maneiras como estando entre 2,3 a 2,9 metros. A derrota de Golias por Davi trouxe destaque ao jovem em Israel (</w:t>
      </w:r>
      <w:hyperlink r:id="rId9946">
        <w:r>
          <w:rPr>
            <w:color w:val="0000EE"/>
            <w:u w:val="single"/>
          </w:rPr>
          <w:t>18.5–7</w:t>
        </w:r>
      </w:hyperlink>
      <w:r>
        <w:t>). Golias não é referido no texto como um “gigante”, mas sua altura o marca como alguém de tamanho gigantesco. O Rei Ogue de Basã era outra pessoa de altura incomum (</w:t>
      </w:r>
      <w:hyperlink r:id="rId1117">
        <w:r>
          <w:rPr>
            <w:color w:val="0000EE"/>
            <w:u w:val="single"/>
          </w:rPr>
          <w:t>Dt 3.11</w:t>
        </w:r>
      </w:hyperlink>
      <w:r>
        <w:t>).</w:t>
      </w:r>
    </w:p>
    <w:p>
      <w:r/>
      <w:r>
        <w:rPr>
          <w:i/>
        </w:rPr>
        <w:t>Veja também</w:t>
      </w:r>
      <w:r>
        <w:t xml:space="preserve"> </w:t>
      </w:r>
      <w:r>
        <w:t>Nefilins</w:t>
      </w:r>
      <w:r>
        <w:t>.</w:t>
      </w:r>
      <w:r/>
      <w:r/>
    </w:p>
    <w:p>
      <w:r/>
    </w:p>
    <w:p>
      <w:pPr>
        <w:pStyle w:val="Heading2"/>
      </w:pPr>
      <w:r>
        <w:t>Gileade (lugar)</w:t>
      </w:r>
      <w:r/>
    </w:p>
    <w:p>
      <w:r/>
      <w:r>
        <w:t>1. Região Leste do Rio Jordão. Geralmente usada para designar o território ocupado por todas as tribos israelitas transjordânicas (</w:t>
      </w:r>
      <w:hyperlink r:id="rId6448">
        <w:r>
          <w:rPr>
            <w:color w:val="0000EE"/>
            <w:u w:val="single"/>
          </w:rPr>
          <w:t>Jz 20.1</w:t>
        </w:r>
      </w:hyperlink>
      <w:r>
        <w:t xml:space="preserve">; </w:t>
      </w:r>
      <w:hyperlink r:id="rId2535">
        <w:r>
          <w:rPr>
            <w:color w:val="0000EE"/>
            <w:u w:val="single"/>
          </w:rPr>
          <w:t>2Rs 10.33</w:t>
        </w:r>
      </w:hyperlink>
      <w:r>
        <w:t xml:space="preserve">; </w:t>
      </w:r>
      <w:hyperlink r:id="rId9947">
        <w:r>
          <w:rPr>
            <w:color w:val="0000EE"/>
            <w:u w:val="single"/>
          </w:rPr>
          <w:t>Jr 50.19</w:t>
        </w:r>
      </w:hyperlink>
      <w:r>
        <w:t xml:space="preserve">; </w:t>
      </w:r>
      <w:hyperlink r:id="rId9948">
        <w:r>
          <w:rPr>
            <w:color w:val="0000EE"/>
            <w:u w:val="single"/>
          </w:rPr>
          <w:t>Zc 10.10</w:t>
        </w:r>
      </w:hyperlink>
      <w:r>
        <w:t>). Especificamente, Gileade é a área da Transjordânia situada entre os rios Yarmuk e Arnom e dividida pelo rio Jaboque.</w:t>
      </w:r>
    </w:p>
    <w:p>
      <w:r/>
      <w:r>
        <w:t xml:space="preserve">O chamado Domo de Gileade é uma extensão da região montanhosa central de Judá, elevando-se a alturas de mais de 3.000 pés (914,4 metros) acima do Vale do Jordão. Os vales e colinas eram bem irrigados por numerosos rios e afluentes, tornando as partes mais planas do campo adequadas para a agricultura, especialmente oliveiras, videiras e grãos (cf. </w:t>
      </w:r>
      <w:hyperlink r:id="rId7451">
        <w:r>
          <w:rPr>
            <w:color w:val="0000EE"/>
            <w:u w:val="single"/>
          </w:rPr>
          <w:t>Jr 8.22</w:t>
        </w:r>
      </w:hyperlink>
      <w:r>
        <w:t xml:space="preserve">; </w:t>
      </w:r>
      <w:hyperlink r:id="rId9949">
        <w:r>
          <w:rPr>
            <w:color w:val="0000EE"/>
            <w:u w:val="single"/>
          </w:rPr>
          <w:t>46.11</w:t>
        </w:r>
      </w:hyperlink>
      <w:r>
        <w:t xml:space="preserve">; </w:t>
      </w:r>
      <w:hyperlink r:id="rId9950">
        <w:r>
          <w:rPr>
            <w:color w:val="0000EE"/>
            <w:u w:val="single"/>
          </w:rPr>
          <w:t>Os 2.8</w:t>
        </w:r>
      </w:hyperlink>
      <w:r>
        <w:t>). As colinas densamente florestadas e acidentadas eram às vezes comparadas às do Líbano (</w:t>
      </w:r>
      <w:hyperlink r:id="rId9951">
        <w:r>
          <w:rPr>
            <w:color w:val="0000EE"/>
            <w:u w:val="single"/>
          </w:rPr>
          <w:t>Jr 22.6</w:t>
        </w:r>
      </w:hyperlink>
      <w:r>
        <w:t xml:space="preserve">; </w:t>
      </w:r>
      <w:hyperlink r:id="rId9948">
        <w:r>
          <w:rPr>
            <w:color w:val="0000EE"/>
            <w:u w:val="single"/>
          </w:rPr>
          <w:t>Zc 10.10</w:t>
        </w:r>
      </w:hyperlink>
      <w:r>
        <w:t xml:space="preserve">) e faziam da terra um refúgio para aqueles em fuga, já que o terreno impedia a perseguição fácil por inimigos (cf. </w:t>
      </w:r>
      <w:hyperlink r:id="rId8536">
        <w:r>
          <w:rPr>
            <w:color w:val="0000EE"/>
            <w:u w:val="single"/>
          </w:rPr>
          <w:t>Gn 31.21</w:t>
        </w:r>
      </w:hyperlink>
      <w:r>
        <w:t xml:space="preserve">; </w:t>
      </w:r>
      <w:hyperlink r:id="rId9952">
        <w:r>
          <w:rPr>
            <w:color w:val="0000EE"/>
            <w:u w:val="single"/>
          </w:rPr>
          <w:t>1Sm 13.7</w:t>
        </w:r>
      </w:hyperlink>
      <w:r>
        <w:t>).</w:t>
      </w:r>
    </w:p>
    <w:p>
      <w:r/>
      <w:r>
        <w:t>Originalmente, a região de Gileade foi atribuída às tribos de Rúben, Gade e Manassés (</w:t>
      </w:r>
      <w:hyperlink r:id="rId1125">
        <w:r>
          <w:rPr>
            <w:color w:val="0000EE"/>
            <w:u w:val="single"/>
          </w:rPr>
          <w:t>Nm 32</w:t>
        </w:r>
      </w:hyperlink>
      <w:r>
        <w:t>). Durante o período dos juízes, a segurança israelita na região foi ameaçada pelos midianitas e amalequitas, mas foi protegida pelas ações militares de Gideão (</w:t>
      </w:r>
      <w:hyperlink r:id="rId9953">
        <w:r>
          <w:rPr>
            <w:color w:val="0000EE"/>
            <w:u w:val="single"/>
          </w:rPr>
          <w:t>Jz 6–7</w:t>
        </w:r>
      </w:hyperlink>
      <w:r>
        <w:t xml:space="preserve">). Meio século depois, Jefté foi chamado de volta do exílio para libertar Gileade do domínio opressivo dos amonitas (caps. </w:t>
      </w:r>
      <w:hyperlink r:id="rId9954">
        <w:r>
          <w:rPr>
            <w:color w:val="0000EE"/>
            <w:u w:val="single"/>
          </w:rPr>
          <w:t>10–11</w:t>
        </w:r>
      </w:hyperlink>
      <w:r>
        <w:t>). Durante a monarquia unida, Saul libertou Jabes-Gileade do domínio amonita (</w:t>
      </w:r>
      <w:hyperlink r:id="rId1135">
        <w:r>
          <w:rPr>
            <w:color w:val="0000EE"/>
            <w:u w:val="single"/>
          </w:rPr>
          <w:t>1Sm 11.1–11</w:t>
        </w:r>
      </w:hyperlink>
      <w:r>
        <w:t xml:space="preserve">; </w:t>
      </w:r>
      <w:hyperlink r:id="rId9955">
        <w:r>
          <w:rPr>
            <w:color w:val="0000EE"/>
            <w:u w:val="single"/>
          </w:rPr>
          <w:t>31.8–13</w:t>
        </w:r>
      </w:hyperlink>
      <w:r>
        <w:t xml:space="preserve">; </w:t>
      </w:r>
      <w:hyperlink r:id="rId9956">
        <w:r>
          <w:rPr>
            <w:color w:val="0000EE"/>
            <w:u w:val="single"/>
          </w:rPr>
          <w:t>2Sm 2.1–7</w:t>
        </w:r>
      </w:hyperlink>
      <w:r>
        <w:t>). Abner estabeleceu Isbosete como rival de Davi em Gileade (</w:t>
      </w:r>
      <w:hyperlink r:id="rId9957">
        <w:r>
          <w:rPr>
            <w:color w:val="0000EE"/>
            <w:u w:val="single"/>
          </w:rPr>
          <w:t>2Sm 2.8,9</w:t>
        </w:r>
      </w:hyperlink>
      <w:r>
        <w:t>). Davi conquistou os amonitas que controlavam Gileade enquanto expandia as fronteiras de Israel (</w:t>
      </w:r>
      <w:hyperlink r:id="rId1136">
        <w:r>
          <w:rPr>
            <w:color w:val="0000EE"/>
            <w:u w:val="single"/>
          </w:rPr>
          <w:t>8.11,12</w:t>
        </w:r>
      </w:hyperlink>
      <w:r>
        <w:t xml:space="preserve">; </w:t>
      </w:r>
      <w:hyperlink r:id="rId9958">
        <w:r>
          <w:rPr>
            <w:color w:val="0000EE"/>
            <w:u w:val="single"/>
          </w:rPr>
          <w:t>10.1–19</w:t>
        </w:r>
      </w:hyperlink>
      <w:r>
        <w:t xml:space="preserve">). Ele fugiu para lá em busca de refúgio durante a rebelião de Absalão (caps. </w:t>
      </w:r>
      <w:hyperlink r:id="rId9959">
        <w:r>
          <w:rPr>
            <w:color w:val="0000EE"/>
            <w:u w:val="single"/>
          </w:rPr>
          <w:t>15–17</w:t>
        </w:r>
      </w:hyperlink>
      <w:r>
        <w:t xml:space="preserve">) e foi finalmente restaurado ao trono quando Absalão foi morto na floresta de Efraim (caps. </w:t>
      </w:r>
      <w:hyperlink r:id="rId9960">
        <w:r>
          <w:rPr>
            <w:color w:val="0000EE"/>
            <w:u w:val="single"/>
          </w:rPr>
          <w:t>18,19</w:t>
        </w:r>
      </w:hyperlink>
      <w:r>
        <w:t xml:space="preserve">). Gileade permaneceu um campo de batalha durante a monarquia dividida, quando os israelitas primeiro guerrearam com os sírios (arameus; </w:t>
      </w:r>
      <w:hyperlink r:id="rId9961">
        <w:r>
          <w:rPr>
            <w:color w:val="0000EE"/>
            <w:u w:val="single"/>
          </w:rPr>
          <w:t>1Rs 20.23–43</w:t>
        </w:r>
      </w:hyperlink>
      <w:r>
        <w:t xml:space="preserve">; </w:t>
      </w:r>
      <w:hyperlink r:id="rId9962">
        <w:r>
          <w:rPr>
            <w:color w:val="0000EE"/>
            <w:u w:val="single"/>
          </w:rPr>
          <w:t>22.1–4,29–40</w:t>
        </w:r>
      </w:hyperlink>
      <w:r>
        <w:t xml:space="preserve">; </w:t>
      </w:r>
      <w:hyperlink r:id="rId9729">
        <w:r>
          <w:rPr>
            <w:color w:val="0000EE"/>
            <w:u w:val="single"/>
          </w:rPr>
          <w:t>2Rs 13.22</w:t>
        </w:r>
      </w:hyperlink>
      <w:r>
        <w:t xml:space="preserve">; </w:t>
      </w:r>
      <w:hyperlink r:id="rId1277">
        <w:r>
          <w:rPr>
            <w:color w:val="0000EE"/>
            <w:u w:val="single"/>
          </w:rPr>
          <w:t>Am 1.3</w:t>
        </w:r>
      </w:hyperlink>
      <w:r>
        <w:t>) e depois com os assírios, que tomaram o território de Peca em 733 a.C. e deportaram a população israelita, rompendo assim o vínculo de Gileade com o reino do norte (</w:t>
      </w:r>
      <w:hyperlink r:id="rId9963">
        <w:r>
          <w:rPr>
            <w:color w:val="0000EE"/>
            <w:u w:val="single"/>
          </w:rPr>
          <w:t>2Rs 15.27–31</w:t>
        </w:r>
      </w:hyperlink>
      <w:r>
        <w:t>);</w:t>
      </w:r>
    </w:p>
    <w:p>
      <w:r/>
      <w:r>
        <w:t>2. Uma cidade condenada por sua maldade (</w:t>
      </w:r>
      <w:hyperlink r:id="rId9964">
        <w:r>
          <w:rPr>
            <w:color w:val="0000EE"/>
            <w:u w:val="single"/>
          </w:rPr>
          <w:t>Os 6.8</w:t>
        </w:r>
      </w:hyperlink>
      <w:r>
        <w:t xml:space="preserve">), possivelmente um nome abreviado para Jabes-Gileade ou Ramote-Gileade. Esta pode ser a mesma Gileade que foi identificada com Mispa #5. (cf. </w:t>
      </w:r>
      <w:hyperlink r:id="rId9965">
        <w:r>
          <w:rPr>
            <w:color w:val="0000EE"/>
            <w:u w:val="single"/>
          </w:rPr>
          <w:t>Jz 10.17–18</w:t>
        </w:r>
      </w:hyperlink>
      <w:r>
        <w:t>).</w:t>
      </w:r>
      <w:r/>
      <w:r/>
    </w:p>
    <w:p>
      <w:r/>
    </w:p>
    <w:p>
      <w:pPr>
        <w:pStyle w:val="Heading2"/>
      </w:pPr>
      <w:r>
        <w:t>Gileade (Pessoa)</w:t>
      </w:r>
      <w:r/>
    </w:p>
    <w:p>
      <w:pPr>
        <w:pStyle w:val="ListNumber"/>
        <w:spacing w:line="240" w:lineRule="auto"/>
        <w:ind w:left="720"/>
      </w:pPr>
      <w:r/>
      <w:r>
        <w:t>Um filho de Maquir da tribo de Manassés (</w:t>
      </w:r>
      <w:hyperlink r:id="rId9966">
        <w:r>
          <w:rPr>
            <w:color w:val="0000EE"/>
            <w:u w:val="single"/>
          </w:rPr>
          <w:t>Nm 26.29–33</w:t>
        </w:r>
      </w:hyperlink>
      <w:r>
        <w:t>). Ele foi líder do clã de seus descendentes durante o tempo de Moisés (</w:t>
      </w:r>
      <w:hyperlink r:id="rId9967">
        <w:r>
          <w:rPr>
            <w:color w:val="0000EE"/>
            <w:u w:val="single"/>
          </w:rPr>
          <w:t>26.29</w:t>
        </w:r>
      </w:hyperlink>
      <w:r>
        <w:t xml:space="preserve">; </w:t>
      </w:r>
      <w:hyperlink r:id="rId9968">
        <w:r>
          <w:rPr>
            <w:color w:val="0000EE"/>
            <w:u w:val="single"/>
          </w:rPr>
          <w:t>27.1</w:t>
        </w:r>
      </w:hyperlink>
      <w:r>
        <w:t xml:space="preserve">; </w:t>
      </w:r>
      <w:hyperlink r:id="rId9969">
        <w:r>
          <w:rPr>
            <w:color w:val="0000EE"/>
            <w:u w:val="single"/>
          </w:rPr>
          <w:t>36.1</w:t>
        </w:r>
      </w:hyperlink>
      <w:r>
        <w:t>).</w:t>
      </w:r>
    </w:p>
    <w:p>
      <w:pPr>
        <w:pStyle w:val="ListNumber"/>
        <w:spacing w:line="240" w:lineRule="auto"/>
        <w:ind w:left="720"/>
      </w:pPr>
      <w:r/>
      <w:r>
        <w:t>O pai de Jefté durante o período dos juízes (</w:t>
      </w:r>
      <w:hyperlink r:id="rId7187">
        <w:r>
          <w:rPr>
            <w:color w:val="0000EE"/>
            <w:u w:val="single"/>
          </w:rPr>
          <w:t>Jz 11.1–2</w:t>
        </w:r>
      </w:hyperlink>
      <w:r>
        <w:t>). Jefté foi o líder dos gileaditas e juiz sobre Israel.</w:t>
      </w:r>
    </w:p>
    <w:p>
      <w:pPr>
        <w:pStyle w:val="ListNumber"/>
        <w:spacing w:line="240" w:lineRule="auto"/>
        <w:ind w:left="720"/>
      </w:pPr>
      <w:r/>
      <w:r>
        <w:t>Um filho de Miguel da tribo de Gade. Ele viveu em Basã durante o primeiro assentamento da Palestina (</w:t>
      </w:r>
      <w:hyperlink r:id="rId59">
        <w:r>
          <w:rPr>
            <w:color w:val="0000EE"/>
            <w:u w:val="single"/>
          </w:rPr>
          <w:t>1Cr 5.14</w:t>
        </w:r>
      </w:hyperlink>
      <w:r>
        <w:t>).</w:t>
      </w:r>
      <w:r/>
      <w:r/>
    </w:p>
    <w:p>
      <w:r/>
    </w:p>
    <w:p>
      <w:pPr>
        <w:pStyle w:val="Heading2"/>
      </w:pPr>
      <w:r>
        <w:t>GILEADE, Bálsamo de</w:t>
      </w:r>
      <w:r/>
    </w:p>
    <w:p>
      <w:r/>
      <w:r>
        <w:t>Substância de identificação incerta e uma das várias resinas usadas no Oriente Próximo para fins medicinais. Não crescia em Gileade, mas pode ter recebido seu nome por ser exportada para o Egito e Fenícia a partir de Gileade (</w:t>
      </w:r>
      <w:hyperlink r:id="rId1495">
        <w:r>
          <w:rPr>
            <w:color w:val="0000EE"/>
            <w:u w:val="single"/>
          </w:rPr>
          <w:t>Gn 37.25</w:t>
        </w:r>
      </w:hyperlink>
      <w:r>
        <w:t xml:space="preserve">; </w:t>
      </w:r>
      <w:hyperlink r:id="rId568">
        <w:r>
          <w:rPr>
            <w:color w:val="0000EE"/>
            <w:u w:val="single"/>
          </w:rPr>
          <w:t>Ez 27.17</w:t>
        </w:r>
      </w:hyperlink>
      <w:r>
        <w:t>). A substância supostamente possuía qualidades adstringentes, antissépticas e outras terapêuticas.</w:t>
      </w:r>
    </w:p>
    <w:p>
      <w:r/>
      <w:r>
        <w:rPr>
          <w:i/>
        </w:rPr>
        <w:t>Veja também</w:t>
      </w:r>
      <w:r>
        <w:t xml:space="preserve"> </w:t>
      </w:r>
      <w:r>
        <w:t>Medicina e prática médica</w:t>
      </w:r>
      <w:r>
        <w:t xml:space="preserve">; </w:t>
      </w:r>
      <w:r>
        <w:t>Plantas (bálsamo)</w:t>
      </w:r>
      <w:r>
        <w:t>.</w:t>
      </w:r>
      <w:r/>
      <w:r/>
    </w:p>
    <w:p>
      <w:r/>
    </w:p>
    <w:p>
      <w:pPr>
        <w:pStyle w:val="Heading2"/>
      </w:pPr>
      <w:r>
        <w:t>Gilgal</w:t>
      </w:r>
      <w:r/>
    </w:p>
    <w:p>
      <w:r/>
      <w:r>
        <w:t>1. Cidade próxima a Jericó. Gilgal foi atribuída à tribo de Benjamim quando Canaã foi dividida entre as tribos de Israel. Por muitos anos, foi um centro de importância religiosa, política e militar, especialmente durante os períodos da conquista de Canaã e o início da monarquia sob Saul.</w:t>
      </w:r>
    </w:p>
    <w:p>
      <w:r/>
      <w:r>
        <w:t>Gilgal foi o primeiro lugar onde Israel acampou na Palestina após a travessia milagrosa do Rio Jordão (</w:t>
      </w:r>
      <w:hyperlink r:id="rId9970">
        <w:r>
          <w:rPr>
            <w:color w:val="0000EE"/>
            <w:u w:val="single"/>
          </w:rPr>
          <w:t>Js 4.19</w:t>
        </w:r>
      </w:hyperlink>
      <w:r>
        <w:t>). Sem dúvida, o tabernáculo foi montado aqui, já que Israel ocupou Gilgal por algum tempo e o usou como o centro da comunidade. Vários eventos religiosos significativos ocorreram em Gilgal: a circuncisão de todos os homens hebreus nascidos no deserto durante os 40 anos de peregrinação (</w:t>
      </w:r>
      <w:hyperlink r:id="rId4950">
        <w:r>
          <w:rPr>
            <w:color w:val="0000EE"/>
            <w:u w:val="single"/>
          </w:rPr>
          <w:t>5.2–9</w:t>
        </w:r>
      </w:hyperlink>
      <w:r>
        <w:t>), a celebração da Páscoa (v.</w:t>
      </w:r>
      <w:hyperlink r:id="rId6744">
        <w:r>
          <w:rPr>
            <w:color w:val="0000EE"/>
            <w:u w:val="single"/>
          </w:rPr>
          <w:t>10</w:t>
        </w:r>
      </w:hyperlink>
      <w:r>
        <w:t>), a cessação do maná (v.</w:t>
      </w:r>
      <w:hyperlink r:id="rId9971">
        <w:r>
          <w:rPr>
            <w:color w:val="0000EE"/>
            <w:u w:val="single"/>
          </w:rPr>
          <w:t>12</w:t>
        </w:r>
      </w:hyperlink>
      <w:r>
        <w:t>) e uma manifestação divina a Josué pelo “comandante do exército do Senhor” (vv.</w:t>
      </w:r>
      <w:hyperlink r:id="rId9972">
        <w:r>
          <w:rPr>
            <w:color w:val="0000EE"/>
            <w:u w:val="single"/>
          </w:rPr>
          <w:t>13–15</w:t>
        </w:r>
      </w:hyperlink>
      <w:r>
        <w:t>).</w:t>
      </w:r>
    </w:p>
    <w:p>
      <w:r/>
      <w:r>
        <w:t>Militarmente, Gilgal foi o primeiro ponto de apoio de Israel em Canaã e a base de operações para a Conquista. A partir daqui, Josué liderou Israel na conquista de Jericó (</w:t>
      </w:r>
      <w:hyperlink r:id="rId9973">
        <w:r>
          <w:rPr>
            <w:color w:val="0000EE"/>
            <w:u w:val="single"/>
          </w:rPr>
          <w:t>Js 6</w:t>
        </w:r>
      </w:hyperlink>
      <w:r>
        <w:t>) e Ai (</w:t>
      </w:r>
      <w:hyperlink r:id="rId9974">
        <w:r>
          <w:rPr>
            <w:color w:val="0000EE"/>
            <w:u w:val="single"/>
          </w:rPr>
          <w:t>8.3</w:t>
        </w:r>
      </w:hyperlink>
      <w:r>
        <w:t>), formou um tratado com os gibeonitas (</w:t>
      </w:r>
      <w:hyperlink r:id="rId9975">
        <w:r>
          <w:rPr>
            <w:color w:val="0000EE"/>
            <w:u w:val="single"/>
          </w:rPr>
          <w:t>9.3–15</w:t>
        </w:r>
      </w:hyperlink>
      <w:r>
        <w:t>), atacou os cinco reis amorreus (</w:t>
      </w:r>
      <w:hyperlink r:id="rId9976">
        <w:r>
          <w:rPr>
            <w:color w:val="0000EE"/>
            <w:u w:val="single"/>
          </w:rPr>
          <w:t>10.6–43</w:t>
        </w:r>
      </w:hyperlink>
      <w:r>
        <w:t>) e lançou sua campanha ao norte (cp.</w:t>
      </w:r>
      <w:hyperlink r:id="rId5421">
        <w:r>
          <w:rPr>
            <w:color w:val="0000EE"/>
            <w:u w:val="single"/>
          </w:rPr>
          <w:t>11</w:t>
        </w:r>
      </w:hyperlink>
      <w:r>
        <w:t>). Em Gilgal, Judá, Manassés e Efraim receberam suas porções da Palestina (cps.</w:t>
      </w:r>
      <w:hyperlink r:id="rId9977">
        <w:r>
          <w:rPr>
            <w:color w:val="0000EE"/>
            <w:u w:val="single"/>
          </w:rPr>
          <w:t>15–17</w:t>
        </w:r>
      </w:hyperlink>
      <w:r>
        <w:t>).</w:t>
      </w:r>
    </w:p>
    <w:p>
      <w:r/>
      <w:r>
        <w:t>Após a relocação do tabernáculo em Siló, Gilgal manteve sua importância para Israel. Era uma das cidades visitadas regularmente por Samuel em seu circuito anual como juiz (</w:t>
      </w:r>
      <w:hyperlink r:id="rId9978">
        <w:r>
          <w:rPr>
            <w:color w:val="0000EE"/>
            <w:u w:val="single"/>
          </w:rPr>
          <w:t>1Sm 7.16</w:t>
        </w:r>
      </w:hyperlink>
      <w:r>
        <w:t>) e era um dos principais locais para oferecer sacrifícios (</w:t>
      </w:r>
      <w:hyperlink r:id="rId9979">
        <w:r>
          <w:rPr>
            <w:color w:val="0000EE"/>
            <w:u w:val="single"/>
          </w:rPr>
          <w:t>10.8</w:t>
        </w:r>
      </w:hyperlink>
      <w:r>
        <w:t xml:space="preserve">; </w:t>
      </w:r>
      <w:hyperlink r:id="rId9980">
        <w:r>
          <w:rPr>
            <w:color w:val="0000EE"/>
            <w:u w:val="single"/>
          </w:rPr>
          <w:t>13.9–10</w:t>
        </w:r>
      </w:hyperlink>
      <w:r>
        <w:t xml:space="preserve">; </w:t>
      </w:r>
      <w:hyperlink r:id="rId9981">
        <w:r>
          <w:rPr>
            <w:color w:val="0000EE"/>
            <w:u w:val="single"/>
          </w:rPr>
          <w:t>15.21</w:t>
        </w:r>
      </w:hyperlink>
      <w:r>
        <w:t>). Em Gilgal, Saul, um benjamita, foi coroado rei (</w:t>
      </w:r>
      <w:hyperlink r:id="rId9982">
        <w:r>
          <w:rPr>
            <w:color w:val="0000EE"/>
            <w:u w:val="single"/>
          </w:rPr>
          <w:t>11.14–15</w:t>
        </w:r>
      </w:hyperlink>
      <w:r>
        <w:t>) e mais tarde rejeitado (</w:t>
      </w:r>
      <w:hyperlink r:id="rId9983">
        <w:r>
          <w:rPr>
            <w:color w:val="0000EE"/>
            <w:u w:val="single"/>
          </w:rPr>
          <w:t>13.4–15</w:t>
        </w:r>
      </w:hyperlink>
      <w:r>
        <w:t xml:space="preserve">; </w:t>
      </w:r>
      <w:hyperlink r:id="rId9984">
        <w:r>
          <w:rPr>
            <w:color w:val="0000EE"/>
            <w:u w:val="single"/>
          </w:rPr>
          <w:t>15.17–31</w:t>
        </w:r>
      </w:hyperlink>
      <w:r>
        <w:t>). Aqui, os homens de Judá encontraram Davi retornando à Palestina após a rebelião de Absalão (</w:t>
      </w:r>
      <w:hyperlink r:id="rId9985">
        <w:r>
          <w:rPr>
            <w:color w:val="0000EE"/>
            <w:u w:val="single"/>
          </w:rPr>
          <w:t>2Sm 19.15</w:t>
        </w:r>
      </w:hyperlink>
      <w:r>
        <w:t>). Que Gilgal ainda era um centro religioso de alguma importância até o século VIII a.C. é indicado na denúncia por Oseias e Amós do santuário e culto sacrificial localizado lá (</w:t>
      </w:r>
      <w:hyperlink r:id="rId9986">
        <w:r>
          <w:rPr>
            <w:color w:val="0000EE"/>
            <w:u w:val="single"/>
          </w:rPr>
          <w:t>Os 4.15</w:t>
        </w:r>
      </w:hyperlink>
      <w:r>
        <w:t xml:space="preserve">; </w:t>
      </w:r>
      <w:hyperlink r:id="rId9987">
        <w:r>
          <w:rPr>
            <w:color w:val="0000EE"/>
            <w:u w:val="single"/>
          </w:rPr>
          <w:t>9.15</w:t>
        </w:r>
      </w:hyperlink>
      <w:r>
        <w:t xml:space="preserve">; </w:t>
      </w:r>
      <w:hyperlink r:id="rId9988">
        <w:r>
          <w:rPr>
            <w:color w:val="0000EE"/>
            <w:u w:val="single"/>
          </w:rPr>
          <w:t>12.11</w:t>
        </w:r>
      </w:hyperlink>
      <w:r>
        <w:t xml:space="preserve">; </w:t>
      </w:r>
      <w:hyperlink r:id="rId1332">
        <w:r>
          <w:rPr>
            <w:color w:val="0000EE"/>
            <w:u w:val="single"/>
          </w:rPr>
          <w:t>Am 4.4</w:t>
        </w:r>
      </w:hyperlink>
      <w:r>
        <w:t xml:space="preserve">; </w:t>
      </w:r>
      <w:hyperlink r:id="rId1304">
        <w:r>
          <w:rPr>
            <w:color w:val="0000EE"/>
            <w:u w:val="single"/>
          </w:rPr>
          <w:t>5.5</w:t>
        </w:r>
      </w:hyperlink>
      <w:r>
        <w:t>).</w:t>
      </w:r>
    </w:p>
    <w:p>
      <w:r/>
      <w:r>
        <w:t xml:space="preserve">A localização exata de Gilgal é disputada entre arqueólogos. Alguns a localizam em Khirbet en-Nitleh, cerca de 3,2 quilômetros (2 milhas) a leste da moderna Jericó. Outros preferem Khirbet Mefjir, um monte a cerca de 1,6 quilômetro (1 milha) da antiga Jericó (Tell es-Sultan). </w:t>
      </w:r>
      <w:hyperlink r:id="rId9970">
        <w:r>
          <w:rPr>
            <w:color w:val="0000EE"/>
            <w:u w:val="single"/>
          </w:rPr>
          <w:t>Josué 4.19</w:t>
        </w:r>
      </w:hyperlink>
      <w:r>
        <w:t xml:space="preserve"> a coloca na fronteira oriental de Jericó, e Josefo dá a distância do local de travessia do Jordão até Gilgal como 50 estádios (5,8 milhas, ou 9,3 quilômetros), com Gilgal estando a cerca de 10 estádios de Jericó (</w:t>
      </w:r>
      <w:r>
        <w:rPr>
          <w:i/>
        </w:rPr>
        <w:t>Antiguidades</w:t>
      </w:r>
      <w:r>
        <w:t xml:space="preserve"> 5.6.4). Essas distâncias se encaixam melhor com Khirbet Mefjir.</w:t>
      </w:r>
    </w:p>
    <w:p>
      <w:r/>
      <w:r>
        <w:t>2. Local possivelmente perto de Jericó (</w:t>
      </w:r>
      <w:hyperlink r:id="rId9989">
        <w:r>
          <w:rPr>
            <w:color w:val="0000EE"/>
            <w:u w:val="single"/>
          </w:rPr>
          <w:t>Dt 11.30</w:t>
        </w:r>
      </w:hyperlink>
      <w:r>
        <w:t>); no entanto, a linguagem da passagem sugere que está localizado nas proximidades do Monte Ebal e do Monte Gerizim.</w:t>
      </w:r>
    </w:p>
    <w:p>
      <w:r/>
      <w:r>
        <w:t>3. Local que descreve a fronteira norte de Judá (</w:t>
      </w:r>
      <w:hyperlink r:id="rId9990">
        <w:r>
          <w:rPr>
            <w:color w:val="0000EE"/>
            <w:u w:val="single"/>
          </w:rPr>
          <w:t>Js 15.7</w:t>
        </w:r>
      </w:hyperlink>
      <w:r>
        <w:t xml:space="preserve">). Estava perto de Adumim e talvez pudesse ser identificado com Gelilote em </w:t>
      </w:r>
      <w:hyperlink r:id="rId9991">
        <w:r>
          <w:rPr>
            <w:color w:val="0000EE"/>
            <w:u w:val="single"/>
          </w:rPr>
          <w:t>Josué 18.17</w:t>
        </w:r>
      </w:hyperlink>
      <w:r>
        <w:t>.</w:t>
      </w:r>
    </w:p>
    <w:p>
      <w:r/>
      <w:r>
        <w:t>5. Lugar mencionado em conexão com Elias e Eliseu (</w:t>
      </w:r>
      <w:hyperlink r:id="rId9992">
        <w:r>
          <w:rPr>
            <w:color w:val="0000EE"/>
            <w:u w:val="single"/>
          </w:rPr>
          <w:t>2Rs 2.1</w:t>
        </w:r>
      </w:hyperlink>
      <w:r>
        <w:t xml:space="preserve">; </w:t>
      </w:r>
      <w:hyperlink r:id="rId5197">
        <w:r>
          <w:rPr>
            <w:color w:val="0000EE"/>
            <w:u w:val="single"/>
          </w:rPr>
          <w:t>4.38</w:t>
        </w:r>
      </w:hyperlink>
      <w:r>
        <w:t>). Era aparentemente uma cidade mais distante do rio Jordão do que #1 acima. Na história da ascensão de Elias ao céu, ele e Eliseu estavam indo de Gilgal para Betel e depois para Jericó. Como o relato coloca Betel entre Gilgal e Jericó, não poderia ter sido o primeiro Gilgal. Pode referir-se à moderna Jiljiliah, uma cidade no topo de uma colina na Palestina central, cerca de sete milhas (11,3 quilômetros) ao norte de Betel.</w:t>
      </w:r>
      <w:r/>
      <w:r/>
    </w:p>
    <w:p>
      <w:r/>
    </w:p>
    <w:p>
      <w:pPr>
        <w:pStyle w:val="Heading2"/>
      </w:pPr>
      <w:r>
        <w:t>Girgaseus</w:t>
      </w:r>
      <w:r/>
    </w:p>
    <w:p>
      <w:r/>
      <w:r>
        <w:t>Uma tribo cananeia (</w:t>
      </w:r>
      <w:hyperlink r:id="rId1207">
        <w:r>
          <w:rPr>
            <w:color w:val="0000EE"/>
            <w:u w:val="single"/>
          </w:rPr>
          <w:t>Gn 10.16</w:t>
        </w:r>
      </w:hyperlink>
      <w:r>
        <w:t xml:space="preserve">; </w:t>
      </w:r>
      <w:hyperlink r:id="rId9993">
        <w:r>
          <w:rPr>
            <w:color w:val="0000EE"/>
            <w:u w:val="single"/>
          </w:rPr>
          <w:t>1Cr 1.14</w:t>
        </w:r>
      </w:hyperlink>
      <w:r>
        <w:t>) cuja terra foi prometida a Abraão (</w:t>
      </w:r>
      <w:hyperlink r:id="rId9994">
        <w:r>
          <w:rPr>
            <w:color w:val="0000EE"/>
            <w:u w:val="single"/>
          </w:rPr>
          <w:t>Gn 15.21</w:t>
        </w:r>
      </w:hyperlink>
      <w:r>
        <w:t xml:space="preserve">; </w:t>
      </w:r>
      <w:hyperlink r:id="rId9178">
        <w:r>
          <w:rPr>
            <w:color w:val="0000EE"/>
            <w:u w:val="single"/>
          </w:rPr>
          <w:t>Dt 7.1</w:t>
        </w:r>
      </w:hyperlink>
      <w:r>
        <w:t xml:space="preserve">; </w:t>
      </w:r>
      <w:hyperlink r:id="rId9180">
        <w:r>
          <w:rPr>
            <w:color w:val="0000EE"/>
            <w:u w:val="single"/>
          </w:rPr>
          <w:t>Js 3.10</w:t>
        </w:r>
      </w:hyperlink>
      <w:r>
        <w:t>). A terra foi finalmente adquirida (</w:t>
      </w:r>
      <w:hyperlink r:id="rId9184">
        <w:r>
          <w:rPr>
            <w:color w:val="0000EE"/>
            <w:u w:val="single"/>
          </w:rPr>
          <w:t>Js 24.11</w:t>
        </w:r>
      </w:hyperlink>
      <w:r>
        <w:t xml:space="preserve">; </w:t>
      </w:r>
      <w:hyperlink r:id="rId5682">
        <w:r>
          <w:rPr>
            <w:color w:val="0000EE"/>
            <w:u w:val="single"/>
          </w:rPr>
          <w:t>Ne 9.8</w:t>
        </w:r>
      </w:hyperlink>
      <w:r>
        <w:t xml:space="preserve">). A localização da tribo é desconhecida. Eles podem ter vivido em Karkisha, uma cidade mencionada nos textos hititas, ou em Kirkishati, uma área a leste do Tigre. O nome </w:t>
      </w:r>
      <w:r>
        <w:rPr>
          <w:i/>
        </w:rPr>
        <w:t>Gresh</w:t>
      </w:r>
      <w:r>
        <w:t xml:space="preserve"> apareceu em textos ugaríticos do século 13 a.C. e pode indicar uma tribo. Em </w:t>
      </w:r>
      <w:hyperlink r:id="rId9676">
        <w:r>
          <w:rPr>
            <w:color w:val="0000EE"/>
            <w:u w:val="single"/>
          </w:rPr>
          <w:t>Mt 8.28</w:t>
        </w:r>
      </w:hyperlink>
      <w:r>
        <w:t xml:space="preserve">; </w:t>
      </w:r>
      <w:hyperlink r:id="rId9677">
        <w:r>
          <w:rPr>
            <w:color w:val="0000EE"/>
            <w:u w:val="single"/>
          </w:rPr>
          <w:t>Mc 5.1</w:t>
        </w:r>
      </w:hyperlink>
      <w:r>
        <w:t xml:space="preserve">; e </w:t>
      </w:r>
      <w:hyperlink r:id="rId9678">
        <w:r>
          <w:rPr>
            <w:color w:val="0000EE"/>
            <w:u w:val="single"/>
          </w:rPr>
          <w:t>Lc 8.26</w:t>
        </w:r>
      </w:hyperlink>
      <w:r>
        <w:t>, um nome traduzido de várias maneiras como “Gergesenos” (KJV), “Gerasenos” e “Gadarenos” podem preservar a tradição de que os girgaseus viveram na Palestina.</w:t>
      </w:r>
      <w:r/>
      <w:r/>
    </w:p>
    <w:p>
      <w:r/>
    </w:p>
    <w:p>
      <w:pPr>
        <w:pStyle w:val="Heading2"/>
      </w:pPr>
      <w:r>
        <w:t>Gitite</w:t>
      </w:r>
      <w:r/>
    </w:p>
    <w:p>
      <w:r/>
      <w:r>
        <w:t xml:space="preserve">Termo hebraico obscuro nas superscrições dos </w:t>
      </w:r>
      <w:hyperlink r:id="rId4745">
        <w:r>
          <w:rPr>
            <w:color w:val="0000EE"/>
            <w:u w:val="single"/>
          </w:rPr>
          <w:t>Salmos 8</w:t>
        </w:r>
      </w:hyperlink>
      <w:r>
        <w:t xml:space="preserve">, </w:t>
      </w:r>
      <w:hyperlink r:id="rId9995">
        <w:r>
          <w:rPr>
            <w:color w:val="0000EE"/>
            <w:u w:val="single"/>
          </w:rPr>
          <w:t>81</w:t>
        </w:r>
      </w:hyperlink>
      <w:r>
        <w:t xml:space="preserve"> e </w:t>
      </w:r>
      <w:hyperlink r:id="rId2961">
        <w:r>
          <w:rPr>
            <w:color w:val="0000EE"/>
            <w:u w:val="single"/>
          </w:rPr>
          <w:t>84</w:t>
        </w:r>
      </w:hyperlink>
      <w:r>
        <w:t xml:space="preserve">; possivelmente um instrumento musical ou uma indicação musical, sinalizando a atmosfera com o qual os salmos deveriam ser executados. </w:t>
      </w:r>
      <w:r>
        <w:rPr>
          <w:i/>
        </w:rPr>
        <w:t>Veja</w:t>
      </w:r>
      <w:r>
        <w:t xml:space="preserve"> </w:t>
      </w:r>
      <w:r>
        <w:t>Música</w:t>
      </w:r>
      <w:r>
        <w:t xml:space="preserve">; </w:t>
      </w:r>
      <w:r>
        <w:t>Instrumentos Musicais</w:t>
      </w:r>
      <w:r>
        <w:t>.</w:t>
      </w:r>
      <w:r/>
      <w:r/>
    </w:p>
    <w:p>
      <w:r/>
    </w:p>
    <w:p>
      <w:pPr>
        <w:pStyle w:val="Heading2"/>
      </w:pPr>
      <w:r>
        <w:t>Glória</w:t>
      </w:r>
      <w:r/>
    </w:p>
    <w:p>
      <w:r/>
      <w:r>
        <w:t>O esplendor singular de Deus e as consequências para a humanidade.</w:t>
      </w:r>
    </w:p>
    <w:p>
      <w:pPr>
        <w:pStyle w:val="Heading3"/>
      </w:pPr>
      <w:r>
        <w:t>A glória de Deus</w:t>
      </w:r>
    </w:p>
    <w:p>
      <w:r/>
      <w:r>
        <w:t>A glória de Deus pode ser descrita em dois sentidos: (1) Como uma categoria ou atributo geral, e (2) Como uma categoria particular que se refere a manifestações históricas específicas de sua presença.</w:t>
      </w:r>
    </w:p>
    <w:p>
      <w:pPr>
        <w:pStyle w:val="Heading4"/>
      </w:pPr>
      <w:r>
        <w:t>Como um atributo</w:t>
      </w:r>
    </w:p>
    <w:p>
      <w:r/>
      <w:r>
        <w:t>A glória de Deus se refere principalmente à sua beleza majestosa e esplendor; também se refere à expressão do caráter de Deus (</w:t>
      </w:r>
      <w:hyperlink r:id="rId4436">
        <w:r>
          <w:rPr>
            <w:color w:val="0000EE"/>
            <w:u w:val="single"/>
          </w:rPr>
          <w:t>Rm 3.23</w:t>
        </w:r>
      </w:hyperlink>
      <w:r>
        <w:t>). As Escrituras registram louvor a seu nome glorioso (</w:t>
      </w:r>
      <w:hyperlink r:id="rId9996">
        <w:r>
          <w:rPr>
            <w:color w:val="0000EE"/>
            <w:u w:val="single"/>
          </w:rPr>
          <w:t>Ne 9.5</w:t>
        </w:r>
      </w:hyperlink>
      <w:r>
        <w:t>), o descrevem como o Pai glorioso (</w:t>
      </w:r>
      <w:hyperlink r:id="rId6895">
        <w:r>
          <w:rPr>
            <w:color w:val="0000EE"/>
            <w:u w:val="single"/>
          </w:rPr>
          <w:t>Ef 1.17</w:t>
        </w:r>
      </w:hyperlink>
      <w:r>
        <w:t>) e o Rei da glória (</w:t>
      </w:r>
      <w:hyperlink r:id="rId9997">
        <w:r>
          <w:rPr>
            <w:color w:val="0000EE"/>
            <w:u w:val="single"/>
          </w:rPr>
          <w:t>Sl 24</w:t>
        </w:r>
      </w:hyperlink>
      <w:r>
        <w:t>); ele é exaltado acima dos céus, e sua glória está sobre toda a terra (</w:t>
      </w:r>
      <w:hyperlink r:id="rId9998">
        <w:r>
          <w:rPr>
            <w:color w:val="0000EE"/>
            <w:u w:val="single"/>
          </w:rPr>
          <w:t>Sl 57.5,11</w:t>
        </w:r>
      </w:hyperlink>
      <w:r>
        <w:t xml:space="preserve">; </w:t>
      </w:r>
      <w:hyperlink r:id="rId9999">
        <w:r>
          <w:rPr>
            <w:color w:val="0000EE"/>
            <w:u w:val="single"/>
          </w:rPr>
          <w:t>108.5</w:t>
        </w:r>
      </w:hyperlink>
      <w:r>
        <w:t xml:space="preserve">; </w:t>
      </w:r>
      <w:hyperlink r:id="rId10000">
        <w:r>
          <w:rPr>
            <w:color w:val="0000EE"/>
            <w:u w:val="single"/>
          </w:rPr>
          <w:t>113.4</w:t>
        </w:r>
      </w:hyperlink>
      <w:r>
        <w:t>). Ele é o Deus de glória que apareceu aos patriarcas do AT (</w:t>
      </w:r>
      <w:hyperlink r:id="rId6893">
        <w:r>
          <w:rPr>
            <w:color w:val="0000EE"/>
            <w:u w:val="single"/>
          </w:rPr>
          <w:t>At 7.2</w:t>
        </w:r>
      </w:hyperlink>
      <w:r>
        <w:t>). Ele é zeloso para manter sua glória e não permite que ela seja dada a outro (</w:t>
      </w:r>
      <w:hyperlink r:id="rId10001">
        <w:r>
          <w:rPr>
            <w:color w:val="0000EE"/>
            <w:u w:val="single"/>
          </w:rPr>
          <w:t>Is 42.8</w:t>
        </w:r>
      </w:hyperlink>
      <w:r>
        <w:t>); ele age para trazer glória a si mesmo (</w:t>
      </w:r>
      <w:hyperlink r:id="rId10002">
        <w:r>
          <w:rPr>
            <w:color w:val="0000EE"/>
            <w:u w:val="single"/>
          </w:rPr>
          <w:t>Sl 79.9</w:t>
        </w:r>
      </w:hyperlink>
      <w:r>
        <w:t xml:space="preserve">; </w:t>
      </w:r>
      <w:hyperlink r:id="rId10003">
        <w:r>
          <w:rPr>
            <w:color w:val="0000EE"/>
            <w:u w:val="single"/>
          </w:rPr>
          <w:t>Is 48.11</w:t>
        </w:r>
      </w:hyperlink>
      <w:r>
        <w:t>).</w:t>
      </w:r>
    </w:p>
    <w:p>
      <w:r/>
      <w:r>
        <w:t>A glória de Deus é proclamada pela Criação (</w:t>
      </w:r>
      <w:hyperlink r:id="rId6896">
        <w:r>
          <w:rPr>
            <w:color w:val="0000EE"/>
            <w:u w:val="single"/>
          </w:rPr>
          <w:t>Sl 19.1</w:t>
        </w:r>
      </w:hyperlink>
      <w:r>
        <w:t xml:space="preserve">; </w:t>
      </w:r>
      <w:hyperlink r:id="rId10004">
        <w:r>
          <w:rPr>
            <w:color w:val="0000EE"/>
            <w:u w:val="single"/>
          </w:rPr>
          <w:t>97.6</w:t>
        </w:r>
      </w:hyperlink>
      <w:r>
        <w:t xml:space="preserve">; </w:t>
      </w:r>
      <w:hyperlink r:id="rId6086">
        <w:r>
          <w:rPr>
            <w:color w:val="0000EE"/>
            <w:u w:val="single"/>
          </w:rPr>
          <w:t>Rm 1.20</w:t>
        </w:r>
      </w:hyperlink>
      <w:r>
        <w:t>). É revelado por seus poderosos atos de salvação e libertação (</w:t>
      </w:r>
      <w:hyperlink r:id="rId10005">
        <w:r>
          <w:rPr>
            <w:color w:val="0000EE"/>
            <w:u w:val="single"/>
          </w:rPr>
          <w:t>1Cr 16.24</w:t>
        </w:r>
      </w:hyperlink>
      <w:r>
        <w:t xml:space="preserve">; </w:t>
      </w:r>
      <w:hyperlink r:id="rId10006">
        <w:r>
          <w:rPr>
            <w:color w:val="0000EE"/>
            <w:u w:val="single"/>
          </w:rPr>
          <w:t>Sl 72.18–19</w:t>
        </w:r>
      </w:hyperlink>
      <w:r>
        <w:t xml:space="preserve">; </w:t>
      </w:r>
      <w:hyperlink r:id="rId10007">
        <w:r>
          <w:rPr>
            <w:color w:val="0000EE"/>
            <w:u w:val="single"/>
          </w:rPr>
          <w:t>96.3</w:t>
        </w:r>
      </w:hyperlink>
      <w:r>
        <w:t xml:space="preserve">; </w:t>
      </w:r>
      <w:hyperlink r:id="rId10008">
        <w:r>
          <w:rPr>
            <w:color w:val="0000EE"/>
            <w:u w:val="single"/>
          </w:rPr>
          <w:t>145.10–12</w:t>
        </w:r>
      </w:hyperlink>
      <w:r>
        <w:t xml:space="preserve">; </w:t>
      </w:r>
      <w:hyperlink r:id="rId10009">
        <w:r>
          <w:rPr>
            <w:color w:val="0000EE"/>
            <w:u w:val="single"/>
          </w:rPr>
          <w:t>Jo 11.4,40</w:t>
        </w:r>
      </w:hyperlink>
      <w:r>
        <w:t>). Sua glória é o tema do louvor (</w:t>
      </w:r>
      <w:hyperlink r:id="rId10010">
        <w:r>
          <w:rPr>
            <w:color w:val="0000EE"/>
            <w:u w:val="single"/>
          </w:rPr>
          <w:t>1Cr 16.24–29</w:t>
        </w:r>
      </w:hyperlink>
      <w:r>
        <w:t xml:space="preserve">; </w:t>
      </w:r>
      <w:hyperlink r:id="rId10011">
        <w:r>
          <w:rPr>
            <w:color w:val="0000EE"/>
            <w:u w:val="single"/>
          </w:rPr>
          <w:t>Sl 29.1–2, 9</w:t>
        </w:r>
      </w:hyperlink>
      <w:r>
        <w:t xml:space="preserve">; </w:t>
      </w:r>
      <w:hyperlink r:id="rId10012">
        <w:r>
          <w:rPr>
            <w:color w:val="0000EE"/>
            <w:u w:val="single"/>
          </w:rPr>
          <w:t>66.1–2</w:t>
        </w:r>
      </w:hyperlink>
      <w:r>
        <w:t xml:space="preserve">; </w:t>
      </w:r>
      <w:hyperlink r:id="rId10013">
        <w:r>
          <w:rPr>
            <w:color w:val="0000EE"/>
            <w:u w:val="single"/>
          </w:rPr>
          <w:t>96.7–8</w:t>
        </w:r>
      </w:hyperlink>
      <w:r>
        <w:t xml:space="preserve">; </w:t>
      </w:r>
      <w:hyperlink r:id="rId10014">
        <w:r>
          <w:rPr>
            <w:color w:val="0000EE"/>
            <w:u w:val="single"/>
          </w:rPr>
          <w:t>115.1</w:t>
        </w:r>
      </w:hyperlink>
      <w:r>
        <w:t xml:space="preserve">; </w:t>
      </w:r>
      <w:hyperlink r:id="rId10015">
        <w:r>
          <w:rPr>
            <w:color w:val="0000EE"/>
            <w:u w:val="single"/>
          </w:rPr>
          <w:t>Is 42.12</w:t>
        </w:r>
      </w:hyperlink>
      <w:r>
        <w:t xml:space="preserve">; </w:t>
      </w:r>
      <w:hyperlink r:id="rId10016">
        <w:r>
          <w:rPr>
            <w:color w:val="0000EE"/>
            <w:u w:val="single"/>
          </w:rPr>
          <w:t>Rm 4.20</w:t>
        </w:r>
      </w:hyperlink>
      <w:r>
        <w:t xml:space="preserve">; </w:t>
      </w:r>
      <w:hyperlink r:id="rId2670">
        <w:r>
          <w:rPr>
            <w:color w:val="0000EE"/>
            <w:u w:val="single"/>
          </w:rPr>
          <w:t>Fp 2.9–11</w:t>
        </w:r>
      </w:hyperlink>
      <w:r>
        <w:t>).</w:t>
      </w:r>
    </w:p>
    <w:p>
      <w:pPr>
        <w:pStyle w:val="Heading4"/>
      </w:pPr>
      <w:r>
        <w:t>Como Sua Presença</w:t>
      </w:r>
    </w:p>
    <w:p>
      <w:r/>
      <w:r>
        <w:t>As referências à glória do Senhor são muitas vezes a manifestações históricas específicas de sua presença; imagens de luz e fogo estão proeminentemente associadas a essas ocorrências. O exemplo mais importante é o que é conhecido na literatura rabínica como a glória da shekinah, uma frase que significa a “glória de habitação”. Se refere principalmente à presença de Deus no pilar de nuvem e fogo no AT.</w:t>
      </w:r>
    </w:p>
    <w:p>
      <w:r/>
      <w:r>
        <w:t xml:space="preserve">A primeira referência explícita à nuvem de glória é encontrada em </w:t>
      </w:r>
      <w:hyperlink r:id="rId10017">
        <w:r>
          <w:rPr>
            <w:color w:val="0000EE"/>
            <w:u w:val="single"/>
          </w:rPr>
          <w:t>Êx 13.21–22</w:t>
        </w:r>
      </w:hyperlink>
      <w:r>
        <w:t>. Na época do êxodo, a glória de Deus apareceu na coluna de nuvem e de fogo para guiar o povo através do mar e do deserto (</w:t>
      </w:r>
      <w:hyperlink r:id="rId10018">
        <w:r>
          <w:rPr>
            <w:color w:val="0000EE"/>
            <w:u w:val="single"/>
          </w:rPr>
          <w:t>Ne 9.11–12,19</w:t>
        </w:r>
      </w:hyperlink>
      <w:r>
        <w:t>). No Sinai, com Israel acampado ao redor da montanha, a glória de Deus vêm na nuvem e no fogo para falar com Moisés aos olhos do povo (</w:t>
      </w:r>
      <w:hyperlink r:id="rId10019">
        <w:r>
          <w:rPr>
            <w:color w:val="0000EE"/>
            <w:u w:val="single"/>
          </w:rPr>
          <w:t>Êx 19.9,16–18</w:t>
        </w:r>
      </w:hyperlink>
      <w:r>
        <w:t xml:space="preserve">; </w:t>
      </w:r>
      <w:hyperlink r:id="rId10020">
        <w:r>
          <w:rPr>
            <w:color w:val="0000EE"/>
            <w:u w:val="single"/>
          </w:rPr>
          <w:t>24.15–18</w:t>
        </w:r>
      </w:hyperlink>
      <w:r>
        <w:t xml:space="preserve">; </w:t>
      </w:r>
      <w:hyperlink r:id="rId10021">
        <w:r>
          <w:rPr>
            <w:color w:val="0000EE"/>
            <w:u w:val="single"/>
          </w:rPr>
          <w:t>Dt 5.5,22–24</w:t>
        </w:r>
      </w:hyperlink>
      <w:r>
        <w:t>). Quando Moisés recebe um vislumbre dessa glória não escondida pela nuvem e fogo, seu próprio rosto se torna radiante e deve ser velado por causa do medo do povo (</w:t>
      </w:r>
      <w:hyperlink r:id="rId10022">
        <w:r>
          <w:rPr>
            <w:color w:val="0000EE"/>
            <w:u w:val="single"/>
          </w:rPr>
          <w:t>Êx 33.18–23</w:t>
        </w:r>
      </w:hyperlink>
      <w:r>
        <w:t xml:space="preserve">; </w:t>
      </w:r>
      <w:hyperlink r:id="rId5890">
        <w:r>
          <w:rPr>
            <w:color w:val="0000EE"/>
            <w:u w:val="single"/>
          </w:rPr>
          <w:t>34.29–35</w:t>
        </w:r>
      </w:hyperlink>
      <w:r>
        <w:t xml:space="preserve">; </w:t>
      </w:r>
      <w:hyperlink r:id="rId10023">
        <w:r>
          <w:rPr>
            <w:color w:val="0000EE"/>
            <w:u w:val="single"/>
          </w:rPr>
          <w:t>2Co 3.7–18</w:t>
        </w:r>
      </w:hyperlink>
      <w:r>
        <w:t>).</w:t>
      </w:r>
    </w:p>
    <w:p>
      <w:r/>
      <w:r>
        <w:t>A imagem de Israel acampada ao redor da glória de Deus no Sinai retrata Deus habitando no meio de seu povo. Quando o tabernáculo é concluído e as pessoas saem em sua marcha, a nuvem de glória da presença de Deus habita sobre eles ao longo de sua jornada (</w:t>
      </w:r>
      <w:hyperlink r:id="rId10024">
        <w:r>
          <w:rPr>
            <w:color w:val="0000EE"/>
            <w:u w:val="single"/>
          </w:rPr>
          <w:t>Êx 40.34–38</w:t>
        </w:r>
      </w:hyperlink>
      <w:r>
        <w:t xml:space="preserve">; </w:t>
      </w:r>
      <w:hyperlink r:id="rId10025">
        <w:r>
          <w:rPr>
            <w:color w:val="0000EE"/>
            <w:u w:val="single"/>
          </w:rPr>
          <w:t>Nm 10.11–12</w:t>
        </w:r>
      </w:hyperlink>
      <w:r>
        <w:t>). Quando eles se acampam, as tribos cercam o tabernáculo (</w:t>
      </w:r>
      <w:hyperlink r:id="rId10026">
        <w:r>
          <w:rPr>
            <w:color w:val="0000EE"/>
            <w:u w:val="single"/>
          </w:rPr>
          <w:t>Nm 1.50–2.2</w:t>
        </w:r>
      </w:hyperlink>
      <w:r>
        <w:t>), e a nuvem os lembra de sua presença no meio de eles. Mais tarde, a mesma glória enche o novo templo que Salomão constrói (</w:t>
      </w:r>
      <w:hyperlink r:id="rId10027">
        <w:r>
          <w:rPr>
            <w:color w:val="0000EE"/>
            <w:u w:val="single"/>
          </w:rPr>
          <w:t>2Cr 5.13–6.1</w:t>
        </w:r>
      </w:hyperlink>
      <w:r>
        <w:t xml:space="preserve">; </w:t>
      </w:r>
      <w:hyperlink r:id="rId10028">
        <w:r>
          <w:rPr>
            <w:color w:val="0000EE"/>
            <w:u w:val="single"/>
          </w:rPr>
          <w:t>7.1–3</w:t>
        </w:r>
      </w:hyperlink>
      <w:r>
        <w:t>). Os salmistas celebraram Jerusalém e o templo como o lugar onde sua glória habitava (</w:t>
      </w:r>
      <w:hyperlink r:id="rId10029">
        <w:r>
          <w:rPr>
            <w:color w:val="0000EE"/>
            <w:u w:val="single"/>
          </w:rPr>
          <w:t>Sl 26.8</w:t>
        </w:r>
      </w:hyperlink>
      <w:r>
        <w:t xml:space="preserve">; </w:t>
      </w:r>
      <w:hyperlink r:id="rId10030">
        <w:r>
          <w:rPr>
            <w:color w:val="0000EE"/>
            <w:u w:val="single"/>
          </w:rPr>
          <w:t>63.2</w:t>
        </w:r>
      </w:hyperlink>
      <w:r>
        <w:t xml:space="preserve">; </w:t>
      </w:r>
      <w:hyperlink r:id="rId10031">
        <w:r>
          <w:rPr>
            <w:color w:val="0000EE"/>
            <w:u w:val="single"/>
          </w:rPr>
          <w:t>85.9</w:t>
        </w:r>
      </w:hyperlink>
      <w:r>
        <w:t>); Deus estava no meio deles.</w:t>
      </w:r>
    </w:p>
    <w:p>
      <w:r/>
      <w:r>
        <w:t>Mais tarde na história de Israel, eles negaram a presença gloriosa de Deus (</w:t>
      </w:r>
      <w:hyperlink r:id="rId10032">
        <w:r>
          <w:rPr>
            <w:color w:val="0000EE"/>
            <w:u w:val="single"/>
          </w:rPr>
          <w:t>Is 3.8</w:t>
        </w:r>
      </w:hyperlink>
      <w:r>
        <w:t>) e trocaram a glória do Senhor por ídolos feitos por mãos humanas (</w:t>
      </w:r>
      <w:hyperlink r:id="rId1564">
        <w:r>
          <w:rPr>
            <w:color w:val="0000EE"/>
            <w:u w:val="single"/>
          </w:rPr>
          <w:t>Sl 106.20</w:t>
        </w:r>
      </w:hyperlink>
      <w:r>
        <w:t xml:space="preserve">; </w:t>
      </w:r>
      <w:hyperlink r:id="rId10033">
        <w:r>
          <w:rPr>
            <w:color w:val="0000EE"/>
            <w:u w:val="single"/>
          </w:rPr>
          <w:t>Jr 2.10–11</w:t>
        </w:r>
      </w:hyperlink>
      <w:r>
        <w:t xml:space="preserve">; cp. </w:t>
      </w:r>
      <w:hyperlink r:id="rId10034">
        <w:r>
          <w:rPr>
            <w:color w:val="0000EE"/>
            <w:u w:val="single"/>
          </w:rPr>
          <w:t>Rm 1.23</w:t>
        </w:r>
      </w:hyperlink>
      <w:r>
        <w:t>). Por causa de sua desobediência, o julgamento veio contra Jerusalém; as penalidades da violação da aliança foram impostas a eles. Deus não seria mais o Deus de um povo desobediente (</w:t>
      </w:r>
      <w:hyperlink r:id="rId1108">
        <w:r>
          <w:rPr>
            <w:color w:val="0000EE"/>
            <w:u w:val="single"/>
          </w:rPr>
          <w:t>Os 1.9</w:t>
        </w:r>
      </w:hyperlink>
      <w:r>
        <w:t>). A presença de Deus na nuvem de glória deixou o templo (</w:t>
      </w:r>
      <w:hyperlink r:id="rId10035">
        <w:r>
          <w:rPr>
            <w:color w:val="0000EE"/>
            <w:u w:val="single"/>
          </w:rPr>
          <w:t>Ez 10.4,18–19</w:t>
        </w:r>
      </w:hyperlink>
      <w:r>
        <w:t xml:space="preserve">; </w:t>
      </w:r>
      <w:hyperlink r:id="rId10036">
        <w:r>
          <w:rPr>
            <w:color w:val="0000EE"/>
            <w:u w:val="single"/>
          </w:rPr>
          <w:t>11.22</w:t>
        </w:r>
      </w:hyperlink>
      <w:r>
        <w:t>), e Israel foi para o exílio (</w:t>
      </w:r>
      <w:hyperlink r:id="rId10037">
        <w:r>
          <w:rPr>
            <w:color w:val="0000EE"/>
            <w:u w:val="single"/>
          </w:rPr>
          <w:t>12.1–15</w:t>
        </w:r>
      </w:hyperlink>
      <w:r>
        <w:t>).</w:t>
      </w:r>
    </w:p>
    <w:p>
      <w:r/>
      <w:r>
        <w:t>No entanto, fora deste julgamento, Deus determinou trazer um remanescente para reconstruir a cidade e o templo. Em suas visões, Ezequiel viu a glória do Senhor voltar para habitar no templo novamente (</w:t>
      </w:r>
      <w:hyperlink r:id="rId10038">
        <w:r>
          <w:rPr>
            <w:color w:val="0000EE"/>
            <w:u w:val="single"/>
          </w:rPr>
          <w:t>Ez 43.2–9</w:t>
        </w:r>
      </w:hyperlink>
      <w:r>
        <w:t>), um tempo em que a glória voltaria para um povo purificado e habitaria entre eles para sempre. Quando o exílio terminou e o segundo templo estava em construção, Ageu e Zacarias exortaram o povo a continuar com a promessa da volta da glória de Deus de encher o templo como havia feito no primeiro templo e “ser glória no meio deles” (</w:t>
      </w:r>
      <w:hyperlink r:id="rId10039">
        <w:r>
          <w:rPr>
            <w:color w:val="0000EE"/>
            <w:u w:val="single"/>
          </w:rPr>
          <w:t>Ag 2.3–9</w:t>
        </w:r>
      </w:hyperlink>
      <w:r>
        <w:t xml:space="preserve">; </w:t>
      </w:r>
      <w:hyperlink r:id="rId10040">
        <w:r>
          <w:rPr>
            <w:color w:val="0000EE"/>
            <w:u w:val="single"/>
          </w:rPr>
          <w:t>Zc 2.5,10–11</w:t>
        </w:r>
      </w:hyperlink>
      <w:r>
        <w:t>).</w:t>
      </w:r>
    </w:p>
    <w:p>
      <w:pPr>
        <w:pStyle w:val="Heading3"/>
      </w:pPr>
      <w:r>
        <w:t>A glória de Deus em Jesus Cristo</w:t>
      </w:r>
    </w:p>
    <w:p>
      <w:r/>
      <w:r>
        <w:t xml:space="preserve">Não somos informados se a glória da shekinah voltou para o segundo templo. Mas somos informados de que a glória de Deus foi vista novamente na terra na pessoa de Jesus Cristo. </w:t>
      </w:r>
      <w:hyperlink r:id="rId3743">
        <w:r>
          <w:rPr>
            <w:color w:val="0000EE"/>
            <w:u w:val="single"/>
          </w:rPr>
          <w:t>Jo 1.14</w:t>
        </w:r>
      </w:hyperlink>
      <w:r>
        <w:t xml:space="preserve"> diz: “A Palavra se tornou carne e </w:t>
      </w:r>
      <w:r>
        <w:rPr>
          <w:i/>
        </w:rPr>
        <w:t>habitou</w:t>
      </w:r>
      <w:r>
        <w:t xml:space="preserve"> entre nós, e vimos sua </w:t>
      </w:r>
      <w:r>
        <w:rPr>
          <w:i/>
        </w:rPr>
        <w:t>glória</w:t>
      </w:r>
      <w:r>
        <w:t>, glória como do único Filho” Como tal, Jesus era o novo tabernáculo para a glória permanente de Deus. Em Jesus, Deus habitava entre as pessoas. Uma vez que Cristo era (e é) a própria imagem de Deus, ver a luz de seu rosto era conhecer a glória de Deus (</w:t>
      </w:r>
      <w:hyperlink r:id="rId8476">
        <w:r>
          <w:rPr>
            <w:color w:val="0000EE"/>
            <w:u w:val="single"/>
          </w:rPr>
          <w:t>2Co 4.4–6</w:t>
        </w:r>
      </w:hyperlink>
      <w:r>
        <w:t>). Ver Jesus era ver uma “luz para os gentios e a glória de Israel” (</w:t>
      </w:r>
      <w:hyperlink r:id="rId10041">
        <w:r>
          <w:rPr>
            <w:color w:val="0000EE"/>
            <w:u w:val="single"/>
          </w:rPr>
          <w:t>Lc 2.30–32</w:t>
        </w:r>
      </w:hyperlink>
      <w:r>
        <w:t>). Os discípulos que testemunharam a Transfiguração (</w:t>
      </w:r>
      <w:hyperlink r:id="rId10042">
        <w:r>
          <w:rPr>
            <w:color w:val="0000EE"/>
            <w:u w:val="single"/>
          </w:rPr>
          <w:t>Mt 17.1–8</w:t>
        </w:r>
      </w:hyperlink>
      <w:r>
        <w:t>) viram sua glória de uma maneira maravilhosa (</w:t>
      </w:r>
      <w:hyperlink r:id="rId10043">
        <w:r>
          <w:rPr>
            <w:color w:val="0000EE"/>
            <w:u w:val="single"/>
          </w:rPr>
          <w:t>2Pe 1.16–17</w:t>
        </w:r>
      </w:hyperlink>
      <w:r>
        <w:t xml:space="preserve">), pois era uma glória que transbordava de seu corpo humano. Este transbordar de glória prefigurou a glorificação que Cristo experimentou na ressurreição e ascensão (veja </w:t>
      </w:r>
      <w:hyperlink r:id="rId8801">
        <w:r>
          <w:rPr>
            <w:color w:val="0000EE"/>
            <w:u w:val="single"/>
          </w:rPr>
          <w:t>Jo 17.5</w:t>
        </w:r>
      </w:hyperlink>
      <w:r>
        <w:t xml:space="preserve">; </w:t>
      </w:r>
      <w:hyperlink r:id="rId9414">
        <w:r>
          <w:rPr>
            <w:color w:val="0000EE"/>
            <w:u w:val="single"/>
          </w:rPr>
          <w:t>Fp 2.5–11</w:t>
        </w:r>
      </w:hyperlink>
      <w:r>
        <w:t>).</w:t>
      </w:r>
    </w:p>
    <w:p>
      <w:r/>
      <w:r>
        <w:t>Porque Jesus se humilhou e foi obediente até a morte, Deus o exaltou altamente (</w:t>
      </w:r>
      <w:hyperlink r:id="rId8810">
        <w:r>
          <w:rPr>
            <w:color w:val="0000EE"/>
            <w:u w:val="single"/>
          </w:rPr>
          <w:t>Fp 2.8–9</w:t>
        </w:r>
      </w:hyperlink>
      <w:r>
        <w:t>). Depois que ele sofreu a morte na cruz, ele entrou em sua glória (</w:t>
      </w:r>
      <w:hyperlink r:id="rId8800">
        <w:r>
          <w:rPr>
            <w:color w:val="0000EE"/>
            <w:u w:val="single"/>
          </w:rPr>
          <w:t>Lc 24.26</w:t>
        </w:r>
      </w:hyperlink>
      <w:r>
        <w:t>) com um corpo novo e glorioso (</w:t>
      </w:r>
      <w:hyperlink r:id="rId10044">
        <w:r>
          <w:rPr>
            <w:color w:val="0000EE"/>
            <w:u w:val="single"/>
          </w:rPr>
          <w:t>1Co 15.39–43</w:t>
        </w:r>
      </w:hyperlink>
      <w:r>
        <w:t xml:space="preserve">; </w:t>
      </w:r>
      <w:hyperlink r:id="rId5975">
        <w:r>
          <w:rPr>
            <w:color w:val="0000EE"/>
            <w:u w:val="single"/>
          </w:rPr>
          <w:t>Fp 3.21</w:t>
        </w:r>
      </w:hyperlink>
      <w:r>
        <w:t>). O Cristo glorificado apareceu aos seus servos. Estêvão viu sua glória (</w:t>
      </w:r>
      <w:hyperlink r:id="rId10045">
        <w:r>
          <w:rPr>
            <w:color w:val="0000EE"/>
            <w:u w:val="single"/>
          </w:rPr>
          <w:t>At 7.55</w:t>
        </w:r>
      </w:hyperlink>
      <w:r>
        <w:t>), e Saulo foi cegado por seu esplendor (</w:t>
      </w:r>
      <w:hyperlink r:id="rId10046">
        <w:r>
          <w:rPr>
            <w:color w:val="0000EE"/>
            <w:u w:val="single"/>
          </w:rPr>
          <w:t>9.3</w:t>
        </w:r>
      </w:hyperlink>
      <w:r>
        <w:t>). Esse mesmo Cristo é previsto que voltará em glória. Ele se sentará em seu trono no julgamento (</w:t>
      </w:r>
      <w:hyperlink r:id="rId9407">
        <w:r>
          <w:rPr>
            <w:color w:val="0000EE"/>
            <w:u w:val="single"/>
          </w:rPr>
          <w:t>Mt 25.31</w:t>
        </w:r>
      </w:hyperlink>
      <w:r>
        <w:t>); o mal será punido (</w:t>
      </w:r>
      <w:hyperlink r:id="rId9405">
        <w:r>
          <w:rPr>
            <w:color w:val="0000EE"/>
            <w:u w:val="single"/>
          </w:rPr>
          <w:t>16.27</w:t>
        </w:r>
      </w:hyperlink>
      <w:r>
        <w:t xml:space="preserve">; </w:t>
      </w:r>
      <w:hyperlink r:id="rId3650">
        <w:r>
          <w:rPr>
            <w:color w:val="0000EE"/>
            <w:u w:val="single"/>
          </w:rPr>
          <w:t>24.30</w:t>
        </w:r>
      </w:hyperlink>
      <w:r>
        <w:t xml:space="preserve">; </w:t>
      </w:r>
      <w:hyperlink r:id="rId9433">
        <w:r>
          <w:rPr>
            <w:color w:val="0000EE"/>
            <w:u w:val="single"/>
          </w:rPr>
          <w:t>Mc 13.26</w:t>
        </w:r>
      </w:hyperlink>
      <w:r>
        <w:t xml:space="preserve">; </w:t>
      </w:r>
      <w:hyperlink r:id="rId9434">
        <w:r>
          <w:rPr>
            <w:color w:val="0000EE"/>
            <w:u w:val="single"/>
          </w:rPr>
          <w:t>Lc 21.27</w:t>
        </w:r>
      </w:hyperlink>
      <w:r>
        <w:t xml:space="preserve">; </w:t>
      </w:r>
      <w:hyperlink r:id="rId10047">
        <w:r>
          <w:rPr>
            <w:color w:val="0000EE"/>
            <w:u w:val="single"/>
          </w:rPr>
          <w:t>2Ts 2.9–10</w:t>
        </w:r>
      </w:hyperlink>
      <w:r>
        <w:t>). Aqueles que o professaram diante dos homens não precisam temer seu aparecimento glorioso (</w:t>
      </w:r>
      <w:hyperlink r:id="rId467">
        <w:r>
          <w:rPr>
            <w:color w:val="0000EE"/>
            <w:u w:val="single"/>
          </w:rPr>
          <w:t>Mc 8.38</w:t>
        </w:r>
      </w:hyperlink>
      <w:r>
        <w:t>).</w:t>
      </w:r>
    </w:p>
    <w:p>
      <w:r/>
      <w:r>
        <w:t>Na consumação, toda a terra será cheia de sua glória (</w:t>
      </w:r>
      <w:hyperlink r:id="rId1071">
        <w:r>
          <w:rPr>
            <w:color w:val="0000EE"/>
            <w:u w:val="single"/>
          </w:rPr>
          <w:t>Sl 72.19</w:t>
        </w:r>
      </w:hyperlink>
      <w:r>
        <w:t xml:space="preserve">; </w:t>
      </w:r>
      <w:hyperlink r:id="rId6877">
        <w:r>
          <w:rPr>
            <w:color w:val="0000EE"/>
            <w:u w:val="single"/>
          </w:rPr>
          <w:t>Is 6.3</w:t>
        </w:r>
      </w:hyperlink>
      <w:r>
        <w:t xml:space="preserve">; </w:t>
      </w:r>
      <w:hyperlink r:id="rId10048">
        <w:r>
          <w:rPr>
            <w:color w:val="0000EE"/>
            <w:u w:val="single"/>
          </w:rPr>
          <w:t>Hb 2.14</w:t>
        </w:r>
      </w:hyperlink>
      <w:r>
        <w:t>). Não haverá mais uma nuvem de glória sobre um templo para marcar o Lugar Santo, pois haverá um novo céu e uma nova terra (</w:t>
      </w:r>
      <w:hyperlink r:id="rId2161">
        <w:r>
          <w:rPr>
            <w:color w:val="0000EE"/>
            <w:u w:val="single"/>
          </w:rPr>
          <w:t>Ap 21.1</w:t>
        </w:r>
      </w:hyperlink>
      <w:r>
        <w:t xml:space="preserve">). A Cidade Santa terá o esplendor da glória de Deus (vv. </w:t>
      </w:r>
      <w:hyperlink r:id="rId10049">
        <w:r>
          <w:rPr>
            <w:color w:val="0000EE"/>
            <w:u w:val="single"/>
          </w:rPr>
          <w:t>10–11</w:t>
        </w:r>
      </w:hyperlink>
      <w:r>
        <w:t>).</w:t>
      </w:r>
    </w:p>
    <w:p>
      <w:pPr>
        <w:pStyle w:val="Heading3"/>
      </w:pPr>
      <w:r>
        <w:t>Glória e o Povo de Deus</w:t>
      </w:r>
    </w:p>
    <w:p>
      <w:r/>
      <w:r>
        <w:t xml:space="preserve">O povo de Deus experimentou a glória da presença de Deus. A nuvem de glória do AT era </w:t>
      </w:r>
      <w:r>
        <w:rPr>
          <w:i/>
        </w:rPr>
        <w:t>sua</w:t>
      </w:r>
      <w:r>
        <w:t xml:space="preserve"> glória (</w:t>
      </w:r>
      <w:hyperlink r:id="rId1564">
        <w:r>
          <w:rPr>
            <w:color w:val="0000EE"/>
            <w:u w:val="single"/>
          </w:rPr>
          <w:t>Sl 106.20</w:t>
        </w:r>
      </w:hyperlink>
      <w:r>
        <w:t xml:space="preserve">; </w:t>
      </w:r>
      <w:hyperlink r:id="rId6920">
        <w:r>
          <w:rPr>
            <w:color w:val="0000EE"/>
            <w:u w:val="single"/>
          </w:rPr>
          <w:t>Jr 2.11</w:t>
        </w:r>
      </w:hyperlink>
      <w:r>
        <w:t>). Cristo veio como a encarnação da glória de Deus; Deus estava no meio de seu povo. Quando Cristo ascendeu, ele enviou seu Espírito aos crentes (</w:t>
      </w:r>
      <w:hyperlink r:id="rId10050">
        <w:r>
          <w:rPr>
            <w:color w:val="0000EE"/>
            <w:u w:val="single"/>
          </w:rPr>
          <w:t>Jo 16.7–14</w:t>
        </w:r>
      </w:hyperlink>
      <w:r>
        <w:t>) para que Deus pudesse viver no meio de seu povo. O Espírito de glória repousa sobre aqueles que sofrem pelo nome de Cristo (</w:t>
      </w:r>
      <w:hyperlink r:id="rId10051">
        <w:r>
          <w:rPr>
            <w:color w:val="0000EE"/>
            <w:u w:val="single"/>
          </w:rPr>
          <w:t>1Pe 4.14</w:t>
        </w:r>
      </w:hyperlink>
      <w:r>
        <w:t>); esse Espírito é a garantia da herança gloriosa dos santos (</w:t>
      </w:r>
      <w:hyperlink r:id="rId10052">
        <w:r>
          <w:rPr>
            <w:color w:val="0000EE"/>
            <w:u w:val="single"/>
          </w:rPr>
          <w:t>Rm 8.16–17</w:t>
        </w:r>
      </w:hyperlink>
      <w:r>
        <w:t>).</w:t>
      </w:r>
    </w:p>
    <w:p>
      <w:r/>
      <w:r>
        <w:t>Deus deu ao seu povo a esperança da glória (</w:t>
      </w:r>
      <w:hyperlink r:id="rId4404">
        <w:r>
          <w:rPr>
            <w:color w:val="0000EE"/>
            <w:u w:val="single"/>
          </w:rPr>
          <w:t>Rm 5.2</w:t>
        </w:r>
      </w:hyperlink>
      <w:r>
        <w:t xml:space="preserve">; </w:t>
      </w:r>
      <w:hyperlink r:id="rId5975">
        <w:r>
          <w:rPr>
            <w:color w:val="0000EE"/>
            <w:u w:val="single"/>
          </w:rPr>
          <w:t>Fp 3.21</w:t>
        </w:r>
      </w:hyperlink>
      <w:r>
        <w:t xml:space="preserve">; </w:t>
      </w:r>
      <w:hyperlink r:id="rId10053">
        <w:r>
          <w:rPr>
            <w:color w:val="0000EE"/>
            <w:u w:val="single"/>
          </w:rPr>
          <w:t>Cl 1.27</w:t>
        </w:r>
      </w:hyperlink>
      <w:r>
        <w:t xml:space="preserve">; </w:t>
      </w:r>
      <w:hyperlink r:id="rId10054">
        <w:r>
          <w:rPr>
            <w:color w:val="0000EE"/>
            <w:u w:val="single"/>
          </w:rPr>
          <w:t>Jd 1.24–25</w:t>
        </w:r>
      </w:hyperlink>
      <w:r>
        <w:t>). Aqueles a quem ele escolheu ele também glorificará (</w:t>
      </w:r>
      <w:hyperlink r:id="rId10055">
        <w:r>
          <w:rPr>
            <w:color w:val="0000EE"/>
            <w:u w:val="single"/>
          </w:rPr>
          <w:t>Rm 8.30</w:t>
        </w:r>
      </w:hyperlink>
      <w:r>
        <w:t xml:space="preserve">; </w:t>
      </w:r>
      <w:hyperlink r:id="rId10056">
        <w:r>
          <w:rPr>
            <w:color w:val="0000EE"/>
            <w:u w:val="single"/>
          </w:rPr>
          <w:t>9.23</w:t>
        </w:r>
      </w:hyperlink>
      <w:r>
        <w:t>); eles compartilharão na glória de Cristo (</w:t>
      </w:r>
      <w:hyperlink r:id="rId10057">
        <w:r>
          <w:rPr>
            <w:color w:val="0000EE"/>
            <w:u w:val="single"/>
          </w:rPr>
          <w:t>Cl 3.4</w:t>
        </w:r>
      </w:hyperlink>
      <w:r>
        <w:t xml:space="preserve">; </w:t>
      </w:r>
      <w:hyperlink r:id="rId10058">
        <w:r>
          <w:rPr>
            <w:color w:val="0000EE"/>
            <w:u w:val="single"/>
          </w:rPr>
          <w:t>2Ts 2.14</w:t>
        </w:r>
      </w:hyperlink>
      <w:r>
        <w:t xml:space="preserve">; </w:t>
      </w:r>
      <w:hyperlink r:id="rId7841">
        <w:r>
          <w:rPr>
            <w:color w:val="0000EE"/>
            <w:u w:val="single"/>
          </w:rPr>
          <w:t>2Tm 2.10</w:t>
        </w:r>
      </w:hyperlink>
      <w:r>
        <w:t>). Os sofrimentos desta era não se comparam com a glória que será revelada (</w:t>
      </w:r>
      <w:hyperlink r:id="rId10059">
        <w:r>
          <w:rPr>
            <w:color w:val="0000EE"/>
            <w:u w:val="single"/>
          </w:rPr>
          <w:t>Rm 8.18</w:t>
        </w:r>
      </w:hyperlink>
      <w:r>
        <w:t xml:space="preserve">; </w:t>
      </w:r>
      <w:hyperlink r:id="rId10060">
        <w:r>
          <w:rPr>
            <w:color w:val="0000EE"/>
            <w:u w:val="single"/>
          </w:rPr>
          <w:t>2Co 4.17</w:t>
        </w:r>
      </w:hyperlink>
      <w:r>
        <w:t>). Toda a criação deseja ver a liberdade gloriosa dos filhos de Deus (</w:t>
      </w:r>
      <w:hyperlink r:id="rId10061">
        <w:r>
          <w:rPr>
            <w:color w:val="0000EE"/>
            <w:u w:val="single"/>
          </w:rPr>
          <w:t>Rm 8.21</w:t>
        </w:r>
      </w:hyperlink>
      <w:r>
        <w:t>). Esta esperança de glória é tão certa que Pedro pode falar de participar dela mesmo agora (</w:t>
      </w:r>
      <w:hyperlink r:id="rId1415">
        <w:r>
          <w:rPr>
            <w:color w:val="0000EE"/>
            <w:u w:val="single"/>
          </w:rPr>
          <w:t>1Pe 5.1</w:t>
        </w:r>
      </w:hyperlink>
      <w:r>
        <w:t xml:space="preserve">) enquanto espera essa glória eterna (v. </w:t>
      </w:r>
      <w:hyperlink r:id="rId8854">
        <w:r>
          <w:rPr>
            <w:color w:val="0000EE"/>
            <w:u w:val="single"/>
          </w:rPr>
          <w:t>10</w:t>
        </w:r>
      </w:hyperlink>
      <w:r>
        <w:t>). Como participantes na glória de Cristo, a igreja é chamada para glorificar a Deus. Por causa da esperança que está neles, eles se purificam (</w:t>
      </w:r>
      <w:hyperlink r:id="rId10062">
        <w:r>
          <w:rPr>
            <w:color w:val="0000EE"/>
            <w:u w:val="single"/>
          </w:rPr>
          <w:t>1Jo 3.3</w:t>
        </w:r>
      </w:hyperlink>
      <w:r>
        <w:t>).</w:t>
      </w:r>
    </w:p>
    <w:p>
      <w:r/>
      <w:r>
        <w:rPr>
          <w:i/>
        </w:rPr>
        <w:t>Veja também</w:t>
      </w:r>
      <w:r>
        <w:t xml:space="preserve"> </w:t>
      </w:r>
      <w:r>
        <w:t>Gloriar-se</w:t>
      </w:r>
      <w:r>
        <w:t xml:space="preserve">; </w:t>
      </w:r>
      <w:r>
        <w:t>Deus, Ser e Atributos de</w:t>
      </w:r>
      <w:r>
        <w:t xml:space="preserve">; </w:t>
      </w:r>
      <w:r>
        <w:t>Coluna de Fogo e Nuvem</w:t>
      </w:r>
      <w:r>
        <w:t xml:space="preserve">; </w:t>
      </w:r>
      <w:r>
        <w:t>Shekinah</w:t>
      </w:r>
      <w:r>
        <w:t xml:space="preserve">; </w:t>
      </w:r>
      <w:r>
        <w:t>Teofania</w:t>
      </w:r>
      <w:r>
        <w:t xml:space="preserve">; </w:t>
      </w:r>
      <w:r>
        <w:t>Riqueza</w:t>
      </w:r>
      <w:r>
        <w:t>.</w:t>
      </w:r>
      <w:r/>
      <w:r/>
    </w:p>
    <w:p>
      <w:r/>
    </w:p>
    <w:p>
      <w:pPr>
        <w:pStyle w:val="Heading2"/>
      </w:pPr>
      <w:r>
        <w:t>Glorificação</w:t>
      </w:r>
      <w:r/>
    </w:p>
    <w:p>
      <w:r/>
      <w:r>
        <w:t>Uma expressão da glória e do esplendor de Deus.</w:t>
      </w:r>
    </w:p>
    <w:p>
      <w:r/>
      <w:r>
        <w:t>Em hebraico, a palavra para "glória" originalmente significava "peso" ou "importante". Com o tempo, passou a descrever alguém influente, rico ou poderoso. Nos tempos antigos, pessoas ricas e poderosas usavam roupas finas e joias. Por causa disso, a glória de uma pessoa referia-se aos sinais visíveis de sua riqueza e poder. Glória também passou a significar beleza porque roupas finas e joias eram bonitas. Essa ideia de glória foi posteriormente estendida a Deus.</w:t>
      </w:r>
    </w:p>
    <w:p>
      <w:pPr>
        <w:pStyle w:val="Heading3"/>
      </w:pPr>
      <w:r>
        <w:t>Glória de Deus</w:t>
      </w:r>
    </w:p>
    <w:p>
      <w:r/>
      <w:r>
        <w:t xml:space="preserve">No Antigo Testamento, a glória de Deus refere-se a algo claro e evidente sobre Ele. O livro de Êxodo contém muitas referências à glória de Deus. Por exemplo, havia a coluna de fogo, e a glória de Deus entrou no santo dos santos no tabernáculo (veja </w:t>
      </w:r>
      <w:hyperlink r:id="rId10024">
        <w:r>
          <w:rPr>
            <w:color w:val="0000EE"/>
            <w:u w:val="single"/>
          </w:rPr>
          <w:t>Êx 40.34–38</w:t>
        </w:r>
      </w:hyperlink>
      <w:r>
        <w:t>).</w:t>
      </w:r>
    </w:p>
    <w:p>
      <w:r/>
      <w:r>
        <w:t>Quando o tabernáculo estava sendo construído (</w:t>
      </w:r>
      <w:hyperlink r:id="rId10063">
        <w:r>
          <w:rPr>
            <w:color w:val="0000EE"/>
            <w:u w:val="single"/>
          </w:rPr>
          <w:t>Êx 25–27</w:t>
        </w:r>
      </w:hyperlink>
      <w:r>
        <w:t>), glória e beleza estavam conectadas. Alguns acreditam que a "bondade" do Senhor que Moisés viu (</w:t>
      </w:r>
      <w:hyperlink r:id="rId10064">
        <w:r>
          <w:rPr>
            <w:color w:val="0000EE"/>
            <w:u w:val="single"/>
          </w:rPr>
          <w:t>Êx 33.19</w:t>
        </w:r>
      </w:hyperlink>
      <w:r>
        <w:t>) também poderia ser traduzida como "beleza". Portanto, a glória de Deus também pode significar sua beleza.</w:t>
      </w:r>
    </w:p>
    <w:p>
      <w:r/>
      <w:r>
        <w:t xml:space="preserve">O Novo Testamento continua a ideia do Antigo Testamento de que Deus é cheio de glória (veja a visão de Deus em sua glória em </w:t>
      </w:r>
      <w:hyperlink r:id="rId2072">
        <w:r>
          <w:rPr>
            <w:color w:val="0000EE"/>
            <w:u w:val="single"/>
          </w:rPr>
          <w:t>Ap 4</w:t>
        </w:r>
      </w:hyperlink>
      <w:r>
        <w:t>). No entanto, o Novo Testamento foca mais na glória de Cristo. A transfiguração de Cristo mostrou sua glória abertamente (</w:t>
      </w:r>
      <w:hyperlink r:id="rId10042">
        <w:r>
          <w:rPr>
            <w:color w:val="0000EE"/>
            <w:u w:val="single"/>
          </w:rPr>
          <w:t>Mt 17.1–8</w:t>
        </w:r>
      </w:hyperlink>
      <w:r>
        <w:t>). O apóstolo Paulo chamou Jesus de Senhor da glória (</w:t>
      </w:r>
      <w:hyperlink r:id="rId10065">
        <w:r>
          <w:rPr>
            <w:color w:val="0000EE"/>
            <w:u w:val="single"/>
          </w:rPr>
          <w:t>1Co 2.8</w:t>
        </w:r>
      </w:hyperlink>
      <w:r>
        <w:t>) e disse que a glória de Deus brilhava em seu rosto (</w:t>
      </w:r>
      <w:hyperlink r:id="rId370">
        <w:r>
          <w:rPr>
            <w:color w:val="0000EE"/>
            <w:u w:val="single"/>
          </w:rPr>
          <w:t>2Co 3.18</w:t>
        </w:r>
      </w:hyperlink>
      <w:r>
        <w:t>). O Evangelho de João é especialmente conhecido como o "Evangelho da Glória". Na encarnação (quando o Filho de Deus se tornou humano), Jesus mostrou a glória que tinha como o único Filho do Pai (</w:t>
      </w:r>
      <w:hyperlink r:id="rId3743">
        <w:r>
          <w:rPr>
            <w:color w:val="0000EE"/>
            <w:u w:val="single"/>
          </w:rPr>
          <w:t>Jo 1.14</w:t>
        </w:r>
      </w:hyperlink>
      <w:r>
        <w:t>). A ressurreição de Lázaro foi outro exemplo da glória de Deus demonstrada através de Cristo (</w:t>
      </w:r>
      <w:hyperlink r:id="rId10066">
        <w:r>
          <w:rPr>
            <w:color w:val="0000EE"/>
            <w:u w:val="single"/>
          </w:rPr>
          <w:t>Jo 11.40</w:t>
        </w:r>
      </w:hyperlink>
      <w:r>
        <w:t xml:space="preserve">). Em </w:t>
      </w:r>
      <w:hyperlink r:id="rId9388">
        <w:r>
          <w:rPr>
            <w:color w:val="0000EE"/>
            <w:u w:val="single"/>
          </w:rPr>
          <w:t>Jo 17</w:t>
        </w:r>
      </w:hyperlink>
      <w:r>
        <w:t>, Jesus orou a respeito da sua glória e disse que seus discípulos também compartilhariam dela.</w:t>
      </w:r>
    </w:p>
    <w:p>
      <w:pPr>
        <w:pStyle w:val="Heading3"/>
      </w:pPr>
      <w:r>
        <w:t>Glorificação do crente</w:t>
      </w:r>
    </w:p>
    <w:p>
      <w:r/>
      <w:r>
        <w:t xml:space="preserve">Em </w:t>
      </w:r>
      <w:hyperlink r:id="rId370">
        <w:r>
          <w:rPr>
            <w:color w:val="0000EE"/>
            <w:u w:val="single"/>
          </w:rPr>
          <w:t>2Co 3.18</w:t>
        </w:r>
      </w:hyperlink>
      <w:r>
        <w:t>, a transformação espiritual é descrita como ser transformado "de glória em glória". A glorificação é o passo final nessa transformação. No processo de salvação, Paulo lista a glorificação como o último evento (</w:t>
      </w:r>
      <w:hyperlink r:id="rId10067">
        <w:r>
          <w:rPr>
            <w:color w:val="0000EE"/>
            <w:u w:val="single"/>
          </w:rPr>
          <w:t>Rm 8.28–30</w:t>
        </w:r>
      </w:hyperlink>
      <w:r>
        <w:t xml:space="preserve">). O verbo usado em </w:t>
      </w:r>
      <w:hyperlink r:id="rId10055">
        <w:r>
          <w:rPr>
            <w:color w:val="0000EE"/>
            <w:u w:val="single"/>
          </w:rPr>
          <w:t>Rm 8.30</w:t>
        </w:r>
      </w:hyperlink>
      <w:r>
        <w:t xml:space="preserve"> está no passado, o que sugere a certeza e a finalidade da glorificação. A glorificação é a conclusão, perfeição e plena realização da salvação.</w:t>
      </w:r>
    </w:p>
    <w:p>
      <w:r/>
      <w:r>
        <w:t xml:space="preserve">A glorificação é encontrada na santificação perfeita (o processo de se tornar santo) à medida que se relaciona com o caráter interior de uma pessoa. Nenhuma passagem singular na Bíblia cobre este tema em detalhe, mas </w:t>
      </w:r>
      <w:hyperlink r:id="rId10068">
        <w:r>
          <w:rPr>
            <w:color w:val="0000EE"/>
            <w:u w:val="single"/>
          </w:rPr>
          <w:t>Ef 5.27</w:t>
        </w:r>
      </w:hyperlink>
      <w:r>
        <w:t xml:space="preserve"> oferece um bom resumo. Nesta passagem, Paulo escreveu sobre apresentar a igreja a Cristo. O que Paulo diz sobre a igreja aplica-se a cada cristão. Jesus apresentará a igreja a si mesmo "sem mancha ou ruga ou qualquer outra imperfeição, mas santa e irrepreensível". Da mesma forma, em </w:t>
      </w:r>
      <w:hyperlink r:id="rId7841">
        <w:r>
          <w:rPr>
            <w:color w:val="0000EE"/>
            <w:u w:val="single"/>
          </w:rPr>
          <w:t>2Tm 2.10</w:t>
        </w:r>
      </w:hyperlink>
      <w:r>
        <w:t>, Paulo diz: "Suporto todas as coisas por causa dos eleitos, para que também eles obtenham a salvação que está em Cristo Jesus, com glória eterna".</w:t>
      </w:r>
    </w:p>
    <w:p>
      <w:r/>
      <w:r>
        <w:t>Assim como o caráter interior de um crente é glorificado, o seu corpo também o é. Paulo chama a ressurreição do corpo de "redenção dos nossos corpos" (</w:t>
      </w:r>
      <w:hyperlink r:id="rId5974">
        <w:r>
          <w:rPr>
            <w:color w:val="0000EE"/>
            <w:u w:val="single"/>
          </w:rPr>
          <w:t>Rm 8.23</w:t>
        </w:r>
      </w:hyperlink>
      <w:r>
        <w:t xml:space="preserve">). Em </w:t>
      </w:r>
      <w:hyperlink r:id="rId5975">
        <w:r>
          <w:rPr>
            <w:color w:val="0000EE"/>
            <w:u w:val="single"/>
          </w:rPr>
          <w:t>Fp 3.21</w:t>
        </w:r>
      </w:hyperlink>
      <w:r>
        <w:t>, Paulo fala sobre transformar nossos corpos de humilhação (corpos enfraquecidos pelo pecado e mortalidade) em corpos de glória como o de Cristo. O poder que fará isso é o mesmo poder de Deus que controla tudo.</w:t>
      </w:r>
    </w:p>
    <w:p>
      <w:r/>
      <w:r>
        <w:t xml:space="preserve">A discussão mais detalhada sobre a glorificação do corpo é encontrada em </w:t>
      </w:r>
      <w:hyperlink r:id="rId5845">
        <w:r>
          <w:rPr>
            <w:color w:val="0000EE"/>
            <w:u w:val="single"/>
          </w:rPr>
          <w:t>1Co 15</w:t>
        </w:r>
      </w:hyperlink>
      <w:r>
        <w:t xml:space="preserve">, com detalhes adicionais em </w:t>
      </w:r>
      <w:hyperlink r:id="rId6707">
        <w:r>
          <w:rPr>
            <w:color w:val="0000EE"/>
            <w:u w:val="single"/>
          </w:rPr>
          <w:t>2Co 5</w:t>
        </w:r>
      </w:hyperlink>
      <w:r>
        <w:t xml:space="preserve">. O tema de Paulo em </w:t>
      </w:r>
      <w:hyperlink r:id="rId5845">
        <w:r>
          <w:rPr>
            <w:color w:val="0000EE"/>
            <w:u w:val="single"/>
          </w:rPr>
          <w:t>1Co 15</w:t>
        </w:r>
      </w:hyperlink>
      <w:r>
        <w:t xml:space="preserve"> é que, da mesma maneira que os cristãos têm os corpos mortais de Adão, eles terão corpos imortais assim como o Filho de Deus. Paulo contrasta esses dois corpos. O corpo atual pode ser destruído, mas o corpo da ressurreição será imperecível. O corpo atual é desonroso, mas o corpo da ressurreição será glorioso. O corpo atual é fraco, mas o corpo da ressurreição será poderoso. O corpo presente pertence a este mundo físico, mas o corpo da ressurreição pertencerá ao futuro, mundo espiritual e eterno.</w:t>
      </w:r>
    </w:p>
    <w:p>
      <w:r/>
      <w:r>
        <w:t>A salvação envolve:</w:t>
      </w:r>
    </w:p>
    <w:p>
      <w:pPr>
        <w:pStyle w:val="ListBullet"/>
        <w:spacing w:line="240" w:lineRule="auto"/>
        <w:ind w:left="720"/>
      </w:pPr>
      <w:r/>
      <w:r>
        <w:t>Justificação (ser considerado justo)</w:t>
      </w:r>
    </w:p>
    <w:p>
      <w:pPr>
        <w:pStyle w:val="ListBullet"/>
        <w:spacing w:line="240" w:lineRule="auto"/>
        <w:ind w:left="720"/>
      </w:pPr>
      <w:r/>
      <w:r>
        <w:t>Regeneração (ser feito novo)</w:t>
      </w:r>
    </w:p>
    <w:p>
      <w:pPr>
        <w:pStyle w:val="ListBullet"/>
        <w:spacing w:line="240" w:lineRule="auto"/>
        <w:ind w:left="720"/>
      </w:pPr>
      <w:r/>
      <w:r>
        <w:t>Santificação (tornar-se santo)</w:t>
      </w:r>
    </w:p>
    <w:p>
      <w:r/>
      <w:r>
        <w:t>Na vida futura, está incluída a glorificação do ser interior e a ressurreição do corpo em glória. Uma pessoa glorificada também deve viver em um ambiente glorificado. Portanto, a Bíblia termina com uma descrição de um novo céu glorioso, uma nova terra e uma nova Jerusalém.</w:t>
      </w:r>
    </w:p>
    <w:p>
      <w:r/>
      <w:r>
        <w:rPr>
          <w:i/>
        </w:rPr>
        <w:t>Veja também</w:t>
      </w:r>
      <w:r>
        <w:t xml:space="preserve"> </w:t>
      </w:r>
      <w:r>
        <w:t>Glória</w:t>
      </w:r>
      <w:r>
        <w:t xml:space="preserve">; </w:t>
      </w:r>
      <w:r>
        <w:t>Ressurreição</w:t>
      </w:r>
      <w:r>
        <w:t>.</w:t>
      </w:r>
      <w:r/>
      <w:r/>
    </w:p>
    <w:p>
      <w:r/>
    </w:p>
    <w:p>
      <w:pPr>
        <w:pStyle w:val="Heading2"/>
      </w:pPr>
      <w:r>
        <w:t>Goim</w:t>
      </w:r>
      <w:r/>
    </w:p>
    <w:p>
      <w:r/>
      <w:r>
        <w:t xml:space="preserve">1. Pessoas ou região mencionada em </w:t>
      </w:r>
      <w:hyperlink r:id="rId7778">
        <w:r>
          <w:rPr>
            <w:color w:val="0000EE"/>
            <w:u w:val="single"/>
          </w:rPr>
          <w:t>Gênesis 14.1,9</w:t>
        </w:r>
      </w:hyperlink>
      <w:r>
        <w:t xml:space="preserve"> como governada por um rei chamado Tidal. A palavra é traduzida de várias formas como "nações" e "Goim" (NTLH). Tidal, junto com outros três reis — Anrafel de Sinar, Arioque de Elasar e Quedorlaomer de Elão — atacaram várias cidades no Vale de Sidim perto do Mar Morto (</w:t>
      </w:r>
      <w:hyperlink r:id="rId10069">
        <w:r>
          <w:rPr>
            <w:color w:val="0000EE"/>
            <w:u w:val="single"/>
          </w:rPr>
          <w:t>Gn 14.3</w:t>
        </w:r>
      </w:hyperlink>
      <w:r>
        <w:t xml:space="preserve">). Eles derrotaram os cinco reis da região do vale, saquearam suas cidades e capturaram Ló, sobrinho de Abraão, que vivia em Sodoma (v. </w:t>
      </w:r>
      <w:hyperlink r:id="rId10070">
        <w:r>
          <w:rPr>
            <w:color w:val="0000EE"/>
            <w:u w:val="single"/>
          </w:rPr>
          <w:t>12</w:t>
        </w:r>
      </w:hyperlink>
      <w:r>
        <w:t xml:space="preserve">). Quando Abraão soube disso, reuniu seus soldados, perseguiu os reis vitoriosos, derrotou-os e resgatou Ló (vv. </w:t>
      </w:r>
      <w:hyperlink r:id="rId10071">
        <w:r>
          <w:rPr>
            <w:color w:val="0000EE"/>
            <w:u w:val="single"/>
          </w:rPr>
          <w:t>13–16</w:t>
        </w:r>
      </w:hyperlink>
      <w:r>
        <w:t>).</w:t>
      </w:r>
    </w:p>
    <w:p>
      <w:r/>
      <w:r>
        <w:t>2. Pessoas mencionadas em conexão com a vitória de Josué sobre um rei desconhecido de Goim (</w:t>
      </w:r>
      <w:hyperlink r:id="rId10072">
        <w:r>
          <w:rPr>
            <w:color w:val="0000EE"/>
            <w:u w:val="single"/>
          </w:rPr>
          <w:t>Js 12.23</w:t>
        </w:r>
      </w:hyperlink>
      <w:r>
        <w:t>). A localização desses povos é incerta, já que o versículo menciona "Gilgal" no texto hebraico e "Galileia" na Septuaginta.</w:t>
      </w:r>
      <w:r/>
      <w:r/>
    </w:p>
    <w:p>
      <w:r/>
    </w:p>
    <w:p>
      <w:pPr>
        <w:pStyle w:val="Heading2"/>
      </w:pPr>
      <w:r>
        <w:t>Golã</w:t>
      </w:r>
      <w:r/>
    </w:p>
    <w:p>
      <w:r/>
      <w:r>
        <w:t>Cidade é um distrito no território dado a Manassés em Basã. Foi a cidade de refúgio mais ao norte a leste do Rio Jordão (</w:t>
      </w:r>
      <w:hyperlink r:id="rId3525">
        <w:r>
          <w:rPr>
            <w:color w:val="0000EE"/>
            <w:u w:val="single"/>
          </w:rPr>
          <w:t>Dt 4.43</w:t>
        </w:r>
      </w:hyperlink>
      <w:r>
        <w:t xml:space="preserve">; </w:t>
      </w:r>
      <w:hyperlink r:id="rId3526">
        <w:r>
          <w:rPr>
            <w:color w:val="0000EE"/>
            <w:u w:val="single"/>
          </w:rPr>
          <w:t>Js 20.8</w:t>
        </w:r>
      </w:hyperlink>
      <w:r>
        <w:t>), dada à família levita de Gérson (</w:t>
      </w:r>
      <w:hyperlink r:id="rId9768">
        <w:r>
          <w:rPr>
            <w:color w:val="0000EE"/>
            <w:u w:val="single"/>
          </w:rPr>
          <w:t>Js 21.27</w:t>
        </w:r>
      </w:hyperlink>
      <w:r>
        <w:t xml:space="preserve">; </w:t>
      </w:r>
      <w:hyperlink r:id="rId2798">
        <w:r>
          <w:rPr>
            <w:color w:val="0000EE"/>
            <w:u w:val="single"/>
          </w:rPr>
          <w:t>1Cr 6.71</w:t>
        </w:r>
      </w:hyperlink>
      <w:r>
        <w:t>). De identificação incerta, era conhecida por Josefo como uma área fértil, e por Eusébio como uma vila. A melhor sugestão atual a coloca em Sehem el-Jolan, a leste do rio el-’Allan.</w:t>
      </w:r>
    </w:p>
    <w:p>
      <w:r/>
      <w:r>
        <w:rPr>
          <w:i/>
        </w:rPr>
        <w:t>Veja também</w:t>
      </w:r>
      <w:r>
        <w:t xml:space="preserve"> </w:t>
      </w:r>
      <w:r>
        <w:t>Cidades refúgio</w:t>
      </w:r>
      <w:r>
        <w:t xml:space="preserve">; </w:t>
      </w:r>
      <w:r>
        <w:t>Cidades levíticas</w:t>
      </w:r>
      <w:r>
        <w:t>.</w:t>
      </w:r>
      <w:r/>
      <w:r/>
    </w:p>
    <w:p>
      <w:r/>
    </w:p>
    <w:p>
      <w:pPr>
        <w:pStyle w:val="Heading2"/>
      </w:pPr>
      <w:r>
        <w:t>Golfo de Ácaba</w:t>
      </w:r>
      <w:r/>
    </w:p>
    <w:p>
      <w:r/>
      <w:r>
        <w:t>O ramo oriental do Mar Vermelho separa a Arábia Saudita da Península do Sinai. O Mar Vermelho possui dois golfos ao norte. A largura do golfo varia de 19 a 27 quilômetros e seu comprimento é de 161 quilômetros.</w:t>
      </w:r>
    </w:p>
    <w:p>
      <w:r/>
      <w:r>
        <w:t>A cidade portuária de Elate (ou Eloth) está localizada no extremo norte do Golfo de Ácaba. Ela é mencionada no relato dos 40 anos de peregrinação dos israelitas no deserto (</w:t>
      </w:r>
      <w:hyperlink r:id="rId2315">
        <w:r>
          <w:rPr>
            <w:color w:val="0000EE"/>
            <w:u w:val="single"/>
          </w:rPr>
          <w:t>Dt 2.8</w:t>
        </w:r>
      </w:hyperlink>
      <w:r>
        <w:t>). Do seu porto de Eziom-Geber, o Rei Salomão enviou navios pelo Golfo de Ácaba até Ofir (</w:t>
      </w:r>
      <w:hyperlink r:id="rId765">
        <w:r>
          <w:rPr>
            <w:color w:val="0000EE"/>
            <w:u w:val="single"/>
          </w:rPr>
          <w:t>1Rs 9.26–28</w:t>
        </w:r>
      </w:hyperlink>
      <w:r>
        <w:t>).</w:t>
      </w:r>
      <w:r/>
      <w:r/>
    </w:p>
    <w:p>
      <w:r/>
    </w:p>
    <w:p>
      <w:pPr>
        <w:pStyle w:val="Heading2"/>
      </w:pPr>
      <w:r>
        <w:t>Goma</w:t>
      </w:r>
      <w:r/>
    </w:p>
    <w:p>
      <w:r/>
      <w:r>
        <w:t xml:space="preserve">Nome geral para tragacanto, usado no comércio e obtido da seiva de arbustos do gênero </w:t>
      </w:r>
      <w:r>
        <w:rPr>
          <w:i/>
        </w:rPr>
        <w:t>Astragalus</w:t>
      </w:r>
      <w:r>
        <w:t xml:space="preserve"> (</w:t>
      </w:r>
      <w:hyperlink r:id="rId5193">
        <w:r>
          <w:rPr>
            <w:color w:val="0000EE"/>
            <w:u w:val="single"/>
          </w:rPr>
          <w:t>Gn 43.11</w:t>
        </w:r>
      </w:hyperlink>
      <w:r>
        <w:t xml:space="preserve">). Esses arbustos cresciam amplamente no Oriente Próximo. A goma do </w:t>
      </w:r>
      <w:r>
        <w:rPr>
          <w:i/>
        </w:rPr>
        <w:t>Astragalus tragacantha</w:t>
      </w:r>
      <w:r>
        <w:t xml:space="preserve"> ainda é usada comercialmente. </w:t>
      </w:r>
      <w:r>
        <w:rPr>
          <w:i/>
        </w:rPr>
        <w:t>Veja</w:t>
      </w:r>
      <w:r>
        <w:t xml:space="preserve"> </w:t>
      </w:r>
      <w:r>
        <w:t>Plantas</w:t>
      </w:r>
      <w:r>
        <w:t xml:space="preserve"> (</w:t>
      </w:r>
      <w:r>
        <w:t>Aloé</w:t>
      </w:r>
      <w:r>
        <w:t xml:space="preserve">; </w:t>
      </w:r>
      <w:r>
        <w:t>Bálsamo</w:t>
      </w:r>
      <w:r>
        <w:t xml:space="preserve">; </w:t>
      </w:r>
      <w:r>
        <w:t>Mirra</w:t>
      </w:r>
      <w:r>
        <w:t>).</w:t>
      </w:r>
      <w:r/>
      <w:r/>
    </w:p>
    <w:p>
      <w:r/>
    </w:p>
    <w:p>
      <w:pPr>
        <w:pStyle w:val="Heading2"/>
      </w:pPr>
      <w:r>
        <w:t>Gômer</w:t>
      </w:r>
      <w:r/>
    </w:p>
    <w:p>
      <w:r/>
      <w:r>
        <w:t>1. Filho de Jafé, que era filho de Noé (</w:t>
      </w:r>
      <w:hyperlink r:id="rId10073">
        <w:r>
          <w:rPr>
            <w:color w:val="0000EE"/>
            <w:u w:val="single"/>
          </w:rPr>
          <w:t>Gn 10.2</w:t>
        </w:r>
      </w:hyperlink>
      <w:r>
        <w:t xml:space="preserve">; cf. </w:t>
      </w:r>
      <w:hyperlink r:id="rId10074">
        <w:r>
          <w:rPr>
            <w:color w:val="0000EE"/>
            <w:u w:val="single"/>
          </w:rPr>
          <w:t>1Cr 1.5</w:t>
        </w:r>
      </w:hyperlink>
      <w:r>
        <w:t>). Ele teve três filhos: Asquenaz, Rifate e Togarma (</w:t>
      </w:r>
      <w:hyperlink r:id="rId10075">
        <w:r>
          <w:rPr>
            <w:color w:val="0000EE"/>
            <w:u w:val="single"/>
          </w:rPr>
          <w:t>Gn 10.3</w:t>
        </w:r>
      </w:hyperlink>
      <w:r>
        <w:t xml:space="preserve">; </w:t>
      </w:r>
      <w:hyperlink r:id="rId2758">
        <w:r>
          <w:rPr>
            <w:color w:val="0000EE"/>
            <w:u w:val="single"/>
          </w:rPr>
          <w:t>1Cr 1.6</w:t>
        </w:r>
      </w:hyperlink>
      <w:r>
        <w:t>). Ele é o progenitor dos antigos Cimerianos, que, segundo a profecia de Ezequiel, se uniriam a Gogue, o líder dos magogitas, em um esforço para exterminar Israel (</w:t>
      </w:r>
      <w:hyperlink r:id="rId10076">
        <w:r>
          <w:rPr>
            <w:color w:val="0000EE"/>
            <w:u w:val="single"/>
          </w:rPr>
          <w:t>Ez 38.6</w:t>
        </w:r>
      </w:hyperlink>
      <w:r>
        <w:t>).</w:t>
      </w:r>
    </w:p>
    <w:p>
      <w:r/>
      <w:r>
        <w:t>2. A filha de Diblaim, uma prostituta, que então se tornou esposa de Oseias por comando divino. Após dar filhos a Oseias, ela recaiu na imoralidade, mas foi redimida. Seu comportamento serviu como uma ilustração da infidelidade de Israel a Deus (</w:t>
      </w:r>
      <w:hyperlink r:id="rId819">
        <w:r>
          <w:rPr>
            <w:color w:val="0000EE"/>
            <w:u w:val="single"/>
          </w:rPr>
          <w:t>Os 1–3</w:t>
        </w:r>
      </w:hyperlink>
      <w:r>
        <w:t>).</w:t>
      </w:r>
    </w:p>
    <w:p>
      <w:r/>
      <w:r>
        <w:rPr>
          <w:i/>
        </w:rPr>
        <w:t>Veja também</w:t>
      </w:r>
      <w:r>
        <w:t xml:space="preserve"> </w:t>
      </w:r>
      <w:r>
        <w:t>Oseias (Pessoa)</w:t>
      </w:r>
      <w:r>
        <w:t>.</w:t>
      </w:r>
      <w:r/>
      <w:r/>
    </w:p>
    <w:p>
      <w:r/>
    </w:p>
    <w:p>
      <w:pPr>
        <w:pStyle w:val="Heading2"/>
      </w:pPr>
      <w:r>
        <w:t>Gômer</w:t>
      </w:r>
      <w:r/>
    </w:p>
    <w:p>
      <w:r/>
      <w:r>
        <w:t>Uma unidade de medida usada na coleta de maná (</w:t>
      </w:r>
      <w:hyperlink r:id="rId10077">
        <w:r>
          <w:rPr>
            <w:color w:val="0000EE"/>
            <w:u w:val="single"/>
          </w:rPr>
          <w:t>Êx 16.16,18,22,36</w:t>
        </w:r>
      </w:hyperlink>
      <w:r>
        <w:t>).</w:t>
      </w:r>
    </w:p>
    <w:p>
      <w:r/>
      <w:r>
        <w:rPr>
          <w:i/>
        </w:rPr>
        <w:t>Veja</w:t>
      </w:r>
      <w:r>
        <w:t xml:space="preserve"> </w:t>
      </w:r>
      <w:r>
        <w:t>Pesos e medidas</w:t>
      </w:r>
      <w:r>
        <w:t>.</w:t>
      </w:r>
      <w:r/>
      <w:r/>
    </w:p>
    <w:p>
      <w:r/>
    </w:p>
    <w:p>
      <w:pPr>
        <w:pStyle w:val="Heading2"/>
      </w:pPr>
      <w:r>
        <w:t>Gomorra</w:t>
      </w:r>
      <w:r/>
    </w:p>
    <w:p>
      <w:r/>
      <w:r>
        <w:t>Uma das "cidades do vale" destruída por Deus devido à sua maldade (</w:t>
      </w:r>
      <w:hyperlink r:id="rId172">
        <w:r>
          <w:rPr>
            <w:color w:val="0000EE"/>
            <w:u w:val="single"/>
          </w:rPr>
          <w:t>Gn 19</w:t>
        </w:r>
      </w:hyperlink>
      <w:r>
        <w:t xml:space="preserve">). </w:t>
      </w:r>
      <w:r>
        <w:rPr>
          <w:i/>
        </w:rPr>
        <w:t>Veja</w:t>
      </w:r>
      <w:r>
        <w:t xml:space="preserve"> </w:t>
      </w:r>
      <w:r>
        <w:t>Cidades da Planície</w:t>
      </w:r>
      <w:r>
        <w:t xml:space="preserve">; </w:t>
      </w:r>
      <w:r>
        <w:t>Sodoma e Gomorra</w:t>
      </w:r>
      <w:r>
        <w:t>.</w:t>
      </w:r>
      <w:r/>
      <w:r/>
    </w:p>
    <w:p>
      <w:r/>
    </w:p>
    <w:p>
      <w:pPr>
        <w:pStyle w:val="Heading2"/>
      </w:pPr>
      <w:r>
        <w:t>Gortina</w:t>
      </w:r>
      <w:r/>
    </w:p>
    <w:p>
      <w:r/>
      <w:r>
        <w:t>Gortina era uma cidade na ilha de Creta. Está na lista de lugares para onde os romanos enviaram cartas (</w:t>
      </w:r>
      <w:hyperlink r:id="rId2617">
        <w:r>
          <w:rPr>
            <w:color w:val="0000EE"/>
            <w:u w:val="single"/>
          </w:rPr>
          <w:t>1Mc 15.23</w:t>
        </w:r>
      </w:hyperlink>
      <w:r>
        <w:t>). Essas cartas instruíam reis e países a não prejudicarem o povo judeu (</w:t>
      </w:r>
      <w:hyperlink r:id="rId10078">
        <w:r>
          <w:rPr>
            <w:color w:val="0000EE"/>
            <w:u w:val="single"/>
          </w:rPr>
          <w:t>15.19</w:t>
        </w:r>
      </w:hyperlink>
      <w:r>
        <w:t>).</w:t>
      </w:r>
    </w:p>
    <w:p>
      <w:r/>
      <w:r>
        <w:t>No início da história grega, Gortina se uniu a outra cidade chamada Cnossos para controlar Creta. No entanto, essas duas cidades logo começaram a lutar entre si. Quando os romanos assumiram o controle da área, fizeram de Gortina a capital de Creta.</w:t>
      </w:r>
    </w:p>
    <w:p>
      <w:r/>
      <w:r>
        <w:t>Em 1884, pesquisadores fizeram uma descoberta importante em Gortina. Eles encontraram um conjunto de leis antigas do século V a.C. chamado código legal de Gortina.</w:t>
      </w:r>
    </w:p>
    <w:p>
      <w:r/>
      <w:r>
        <w:t>Gortina ficava perto de um lugar chamado Bons Portos. Assim, o apóstolo Paulo pode ter pregado as boas-novas sobre Jesus aos residentes judeus lá durante sua viagem a Roma (</w:t>
      </w:r>
      <w:hyperlink r:id="rId6291">
        <w:r>
          <w:rPr>
            <w:color w:val="0000EE"/>
            <w:u w:val="single"/>
          </w:rPr>
          <w:t>At 27.8–9</w:t>
        </w:r>
      </w:hyperlink>
      <w:r>
        <w:t>).</w:t>
      </w:r>
      <w:r/>
      <w:r/>
    </w:p>
    <w:p>
      <w:r/>
    </w:p>
    <w:p>
      <w:pPr>
        <w:pStyle w:val="Heading2"/>
      </w:pPr>
      <w:r>
        <w:t>Gósen</w:t>
      </w:r>
      <w:r/>
    </w:p>
    <w:p>
      <w:r/>
      <w:r>
        <w:t xml:space="preserve">1. Região geográfica no Egito ocupada pelos israelitas durante sua permanência no Egito, desde a época de José até o êxodo. </w:t>
      </w:r>
      <w:hyperlink r:id="rId10079">
        <w:r>
          <w:rPr>
            <w:color w:val="0000EE"/>
            <w:u w:val="single"/>
          </w:rPr>
          <w:t>Gn 46–47</w:t>
        </w:r>
      </w:hyperlink>
      <w:r>
        <w:t xml:space="preserve"> nos fornece várias informações sobre Gósen: (a) Era uma parte definida do Egito. (b) Foi o lugar onde José encontrou seu pai após anos de separação, quando Jacó mudou sua família para o Egito. (c) Era uma área boa para pastagem de rebanhos. Gósen foi associada aos cultos de touros egípcios e era importante para a criação de animais. Em um período, os príncipes de Tebas enviaram seu gado para o Delta para pastar, mesmo que estivesse sob controle dos hicsos. Provavelmente, gado sagrado também era pastoreado lá pelos egípcios. (d) É chamada de “a melhor da terra” em dois versículos diferentes (</w:t>
      </w:r>
      <w:hyperlink r:id="rId10080">
        <w:r>
          <w:rPr>
            <w:color w:val="0000EE"/>
            <w:u w:val="single"/>
          </w:rPr>
          <w:t>Gn 47.6,11</w:t>
        </w:r>
      </w:hyperlink>
      <w:r>
        <w:t>) e é identificada como a “terra de Ramessés.” (e) Provavelmente tinha um posto militar em sua fronteira oriental e pode não ter sido densamente habitada por egípcios.</w:t>
      </w:r>
    </w:p>
    <w:p>
      <w:r/>
      <w:r>
        <w:t xml:space="preserve">O nome Gósen não é de origem egípcia, mas semítico, e atesta a ocupação da região por semitas antes do Novo Reino do Egito. A Septuaginta lê "Gesem da Arábia" em vez de "terra de Gósen" em </w:t>
      </w:r>
      <w:hyperlink r:id="rId10081">
        <w:r>
          <w:rPr>
            <w:color w:val="0000EE"/>
            <w:u w:val="single"/>
          </w:rPr>
          <w:t>Gn 45.10</w:t>
        </w:r>
      </w:hyperlink>
      <w:r>
        <w:t xml:space="preserve"> e </w:t>
      </w:r>
      <w:hyperlink r:id="rId10082">
        <w:r>
          <w:rPr>
            <w:color w:val="0000EE"/>
            <w:u w:val="single"/>
          </w:rPr>
          <w:t>46.34</w:t>
        </w:r>
      </w:hyperlink>
      <w:r>
        <w:t>. Ptolomeu, o geógrafo, disse que Arábia era um nome egípcio para a fronteira oriental do Delta do Nilo, o que explicaria a terminologia da Septuaginta.</w:t>
      </w:r>
    </w:p>
    <w:p>
      <w:r/>
      <w:r>
        <w:t>Gósen era uma região de cerca de 900 milhas quadradas (1.448,1 quilômetros quadrados), composta por dois distritos. A metade ocidental se estendia de Zoã a Bubastis, uma distância de cerca de 35 milhas (56,3 quilômetros) de norte a sul. Este distrito era uma planície irrigada, contendo algumas das terras mais férteis do Egito. Tem cerca de 15 milhas (24,1 quilômetros) de largura no Mar Mediterrâneo e se estreita para cerca de 10 milhas (16,1 quilômetros) entre Zagazig e Tell el-Kebir ao sul. O setor oriental contém uma grande área desértica entre a Planície do Nilo e o Suez. À medida que se estende para o sul de Daphnai até o Wadi Tumilat, aumenta em largura para cerca de 40 milhas (64,4 quilômetros) de leste a oeste. Ao sul desta seção, mais área desértica se estende até o Suez ao sul e dos Lagos Amargos no leste até Heliópolis no oeste. A disposição física de Gósen é importante para determinar a rota do êxodo. Dada a descrição acima, o Wadi Tumilat teria sido a rota mais lógica para o Mar Vermelho para pessoas que estavam conduzindo rebanhos e manadas. A rota teria levado do lado sul do campo de Zoã perto de Bubastis, leste da borda do deserto e a cabeceira dos Lagos Amargos.</w:t>
      </w:r>
    </w:p>
    <w:p>
      <w:r/>
      <w:r>
        <w:t>2. Área no território conquistado e ocupada pelos israelitas sob Josué (</w:t>
      </w:r>
      <w:hyperlink r:id="rId9772">
        <w:r>
          <w:rPr>
            <w:color w:val="0000EE"/>
            <w:u w:val="single"/>
          </w:rPr>
          <w:t>Js 10.41</w:t>
        </w:r>
      </w:hyperlink>
      <w:r>
        <w:t xml:space="preserve">, país de Gósen; </w:t>
      </w:r>
      <w:hyperlink r:id="rId2319">
        <w:r>
          <w:rPr>
            <w:color w:val="0000EE"/>
            <w:u w:val="single"/>
          </w:rPr>
          <w:t>Js 11.16</w:t>
        </w:r>
      </w:hyperlink>
      <w:r>
        <w:t>, terra de Gósen). Provavelmente estava na região montanhosa de Judá entre Hebrom e o Neguebe.</w:t>
      </w:r>
    </w:p>
    <w:p>
      <w:r/>
      <w:r>
        <w:t>3. Cidade no território de Judá (</w:t>
      </w:r>
      <w:hyperlink r:id="rId10083">
        <w:r>
          <w:rPr>
            <w:color w:val="0000EE"/>
            <w:u w:val="single"/>
          </w:rPr>
          <w:t>Js 15.51</w:t>
        </w:r>
      </w:hyperlink>
      <w:r>
        <w:t>). Pode ter sido a cidade central do distrito discutido no item 2 acima, mas isso é incerto.</w:t>
      </w:r>
      <w:r/>
      <w:r/>
    </w:p>
    <w:p>
      <w:r/>
    </w:p>
    <w:p>
      <w:pPr>
        <w:pStyle w:val="Heading2"/>
      </w:pPr>
      <w:r>
        <w:t>Governador</w:t>
      </w:r>
      <w:r/>
    </w:p>
    <w:p>
      <w:r/>
      <w:r>
        <w:t>Na Bíblia, o termo "governador" é traduzido a partir de pelo menos dez palavras hebraicas diferentes e cinco palavras gregas. As traduções da Bíblia para o inglês nem sempre usam a mesma palavra para esses termos. Elas frequentemente utilizam muitos títulos para descrever a mesma palavra hebraica, como:</w:t>
      </w:r>
    </w:p>
    <w:p>
      <w:pPr>
        <w:pStyle w:val="ListBullet"/>
        <w:spacing w:line="240" w:lineRule="auto"/>
        <w:ind w:left="720"/>
      </w:pPr>
      <w:r/>
      <w:r>
        <w:t>Supervisor</w:t>
      </w:r>
    </w:p>
    <w:p>
      <w:pPr>
        <w:pStyle w:val="ListBullet"/>
        <w:spacing w:line="240" w:lineRule="auto"/>
        <w:ind w:left="720"/>
      </w:pPr>
      <w:r/>
      <w:r>
        <w:t>Oficial</w:t>
      </w:r>
    </w:p>
    <w:p>
      <w:pPr>
        <w:pStyle w:val="ListBullet"/>
        <w:spacing w:line="240" w:lineRule="auto"/>
        <w:ind w:left="720"/>
      </w:pPr>
      <w:r/>
      <w:r>
        <w:t>Líder</w:t>
      </w:r>
    </w:p>
    <w:p>
      <w:pPr>
        <w:pStyle w:val="ListBullet"/>
        <w:spacing w:line="240" w:lineRule="auto"/>
        <w:ind w:left="720"/>
      </w:pPr>
      <w:r/>
      <w:r>
        <w:t>Juiz</w:t>
      </w:r>
    </w:p>
    <w:p>
      <w:pPr>
        <w:pStyle w:val="ListBullet"/>
        <w:spacing w:line="240" w:lineRule="auto"/>
        <w:ind w:left="720"/>
      </w:pPr>
      <w:r/>
      <w:r>
        <w:t>Chefe</w:t>
      </w:r>
    </w:p>
    <w:p>
      <w:r/>
      <w:r>
        <w:t>O mesmo problema aparece na Septuaginta (o Antigo Testamento em grego).</w:t>
      </w:r>
    </w:p>
    <w:p>
      <w:r/>
      <w:r>
        <w:t>Um governador era uma pessoa de alta patente com autoridade sobre pessoas, terras ou ambos. Às vezes, o posto e o poder de um governador vinham do próprio cargo. Outras vezes, eram baseados em nascimento nobre, riqueza ou conquistas públicas. Um governador geralmente obtinha sua autoridade de um rei, tornando-se um representante na área que governava. Isso era verdade para figuras como:</w:t>
      </w:r>
    </w:p>
    <w:p>
      <w:pPr>
        <w:pStyle w:val="ListBullet"/>
        <w:spacing w:line="240" w:lineRule="auto"/>
        <w:ind w:left="720"/>
      </w:pPr>
      <w:r/>
      <w:r>
        <w:t>José (</w:t>
      </w:r>
      <w:hyperlink r:id="rId10084">
        <w:r>
          <w:rPr>
            <w:color w:val="0000EE"/>
            <w:u w:val="single"/>
          </w:rPr>
          <w:t>Gn 42.6</w:t>
        </w:r>
      </w:hyperlink>
      <w:r>
        <w:t>)</w:t>
      </w:r>
    </w:p>
    <w:p>
      <w:pPr>
        <w:pStyle w:val="ListBullet"/>
        <w:spacing w:line="240" w:lineRule="auto"/>
        <w:ind w:left="720"/>
      </w:pPr>
      <w:r/>
      <w:r>
        <w:t>Gedalias (</w:t>
      </w:r>
      <w:hyperlink r:id="rId10085">
        <w:r>
          <w:rPr>
            <w:color w:val="0000EE"/>
            <w:u w:val="single"/>
          </w:rPr>
          <w:t>Jr 40.5</w:t>
        </w:r>
      </w:hyperlink>
      <w:r>
        <w:t>)</w:t>
      </w:r>
    </w:p>
    <w:p>
      <w:pPr>
        <w:pStyle w:val="ListBullet"/>
        <w:spacing w:line="240" w:lineRule="auto"/>
        <w:ind w:left="720"/>
      </w:pPr>
      <w:r/>
      <w:r>
        <w:t>Daniel (</w:t>
      </w:r>
      <w:hyperlink r:id="rId10086">
        <w:r>
          <w:rPr>
            <w:color w:val="0000EE"/>
            <w:u w:val="single"/>
          </w:rPr>
          <w:t>Dn 2.48</w:t>
        </w:r>
      </w:hyperlink>
      <w:r>
        <w:t>)</w:t>
      </w:r>
    </w:p>
    <w:p>
      <w:pPr>
        <w:pStyle w:val="ListBullet"/>
        <w:spacing w:line="240" w:lineRule="auto"/>
        <w:ind w:left="720"/>
      </w:pPr>
      <w:r/>
      <w:r>
        <w:t>Zorobabel (</w:t>
      </w:r>
      <w:hyperlink r:id="rId495">
        <w:r>
          <w:rPr>
            <w:color w:val="0000EE"/>
            <w:u w:val="single"/>
          </w:rPr>
          <w:t>Ag 1.1</w:t>
        </w:r>
      </w:hyperlink>
      <w:r>
        <w:t>)</w:t>
      </w:r>
    </w:p>
    <w:p>
      <w:r/>
      <w:r>
        <w:t>No entanto, uma palavra hebraica para "governador" também poderia significar "governante absoluto" (</w:t>
      </w:r>
      <w:hyperlink r:id="rId2530">
        <w:r>
          <w:rPr>
            <w:color w:val="0000EE"/>
            <w:u w:val="single"/>
          </w:rPr>
          <w:t>Js 12.2</w:t>
        </w:r>
      </w:hyperlink>
      <w:r>
        <w:t>) ou uma pessoa agindo sob a autoridade de outra.</w:t>
      </w:r>
    </w:p>
    <w:p>
      <w:r/>
      <w:r>
        <w:t>O termo mais comum do Antigo Testamento para "governador" provavelmente vem de uma frase acádica que significa "Senhor de um distrito". Esses governadores geralmente usavam poder militar para manter o controle (</w:t>
      </w:r>
      <w:hyperlink r:id="rId10087">
        <w:r>
          <w:rPr>
            <w:color w:val="0000EE"/>
            <w:u w:val="single"/>
          </w:rPr>
          <w:t>2Rs 18.24</w:t>
        </w:r>
      </w:hyperlink>
      <w:r>
        <w:t xml:space="preserve">; </w:t>
      </w:r>
      <w:hyperlink r:id="rId2580">
        <w:r>
          <w:rPr>
            <w:color w:val="0000EE"/>
            <w:u w:val="single"/>
          </w:rPr>
          <w:t>Ne 2.7</w:t>
        </w:r>
      </w:hyperlink>
      <w:r>
        <w:t xml:space="preserve">; </w:t>
      </w:r>
      <w:hyperlink r:id="rId10088">
        <w:r>
          <w:rPr>
            <w:color w:val="0000EE"/>
            <w:u w:val="single"/>
          </w:rPr>
          <w:t>Jr 51.23,28</w:t>
        </w:r>
      </w:hyperlink>
      <w:r>
        <w:t>). Durante os períodos persa e grego, um governador chamado "sátrapa" era provavelmente um oficial civil. Antes do exílio babilônico, o líder de uma cidade-estado era frequentemente chamado de "governador" (</w:t>
      </w:r>
      <w:hyperlink r:id="rId10089">
        <w:r>
          <w:rPr>
            <w:color w:val="0000EE"/>
            <w:u w:val="single"/>
          </w:rPr>
          <w:t>1Rs 22.26</w:t>
        </w:r>
      </w:hyperlink>
      <w:r>
        <w:t xml:space="preserve">; </w:t>
      </w:r>
      <w:hyperlink r:id="rId10090">
        <w:r>
          <w:rPr>
            <w:color w:val="0000EE"/>
            <w:u w:val="single"/>
          </w:rPr>
          <w:t>2Cr 34.8</w:t>
        </w:r>
      </w:hyperlink>
      <w:r>
        <w:t xml:space="preserve">). O escritor do </w:t>
      </w:r>
      <w:hyperlink r:id="rId10091">
        <w:r>
          <w:rPr>
            <w:color w:val="0000EE"/>
            <w:u w:val="single"/>
          </w:rPr>
          <w:t>Sl 22.28</w:t>
        </w:r>
      </w:hyperlink>
      <w:r>
        <w:t xml:space="preserve"> usou o título para descrever Deus como o governante de seu povo. Um oficial do templo que colocou o profeta Jeremias no tronco (uma forma de punição) também era chamado de "governador" (às vezes traduzido como "oficial"). Um governador militar provavelmente comandava uma ou mais unidades de soldados. Em alguns casos, "governador" era um título especial, como visto em </w:t>
      </w:r>
      <w:hyperlink r:id="rId7696">
        <w:r>
          <w:rPr>
            <w:color w:val="0000EE"/>
            <w:u w:val="single"/>
          </w:rPr>
          <w:t>Ed 2.63</w:t>
        </w:r>
      </w:hyperlink>
      <w:r>
        <w:t xml:space="preserve"> e </w:t>
      </w:r>
      <w:hyperlink r:id="rId7697">
        <w:r>
          <w:rPr>
            <w:color w:val="0000EE"/>
            <w:u w:val="single"/>
          </w:rPr>
          <w:t>Ne 7.65</w:t>
        </w:r>
      </w:hyperlink>
      <w:r>
        <w:t>.</w:t>
      </w:r>
    </w:p>
    <w:p>
      <w:r/>
      <w:r>
        <w:t>Problemas de tradução do grego também são comuns. As diferentes palavras gregas usadas para "governador" frequentemente se referiam a diferentes níveis de liderança. Isso é evidente com termos como "etnarca" (</w:t>
      </w:r>
      <w:hyperlink r:id="rId10092">
        <w:r>
          <w:rPr>
            <w:color w:val="0000EE"/>
            <w:u w:val="single"/>
          </w:rPr>
          <w:t>1Mc 14.47</w:t>
        </w:r>
      </w:hyperlink>
      <w:r>
        <w:t xml:space="preserve">; </w:t>
      </w:r>
      <w:hyperlink r:id="rId6509">
        <w:r>
          <w:rPr>
            <w:color w:val="0000EE"/>
            <w:u w:val="single"/>
          </w:rPr>
          <w:t>2Co 11.32</w:t>
        </w:r>
      </w:hyperlink>
      <w:r>
        <w:t>), que significa alguém que governava como um representante de um rei. Outras palavras referiam-se a oficiais provinciais romanos. Esses governadores são mencionados nos escritos do Novo Testamento (</w:t>
      </w:r>
      <w:hyperlink r:id="rId10093">
        <w:r>
          <w:rPr>
            <w:color w:val="0000EE"/>
            <w:u w:val="single"/>
          </w:rPr>
          <w:t>Mt 10.18</w:t>
        </w:r>
      </w:hyperlink>
      <w:r>
        <w:t xml:space="preserve">; </w:t>
      </w:r>
      <w:hyperlink r:id="rId4711">
        <w:r>
          <w:rPr>
            <w:color w:val="0000EE"/>
            <w:u w:val="single"/>
          </w:rPr>
          <w:t>Lc 2.2</w:t>
        </w:r>
      </w:hyperlink>
      <w:r>
        <w:t xml:space="preserve">; </w:t>
      </w:r>
      <w:hyperlink r:id="rId9463">
        <w:r>
          <w:rPr>
            <w:color w:val="0000EE"/>
            <w:u w:val="single"/>
          </w:rPr>
          <w:t>3.1</w:t>
        </w:r>
      </w:hyperlink>
      <w:r>
        <w:t xml:space="preserve">; </w:t>
      </w:r>
      <w:hyperlink r:id="rId10094">
        <w:r>
          <w:rPr>
            <w:color w:val="0000EE"/>
            <w:u w:val="single"/>
          </w:rPr>
          <w:t>At 23.24</w:t>
        </w:r>
      </w:hyperlink>
      <w:r>
        <w:t xml:space="preserve">; </w:t>
      </w:r>
      <w:hyperlink r:id="rId10095">
        <w:r>
          <w:rPr>
            <w:color w:val="0000EE"/>
            <w:u w:val="single"/>
          </w:rPr>
          <w:t>1Pe 2.14</w:t>
        </w:r>
      </w:hyperlink>
      <w:r>
        <w:t xml:space="preserve">) e eram responsáveis por manter a lei e a ordem em suas áreas. Nos tempos do Novo Testamento, a Judeia estava sob o controle do governador da Síria. Na versão King James em inglês, o termo "governador" às vezes é usado de uma maneira antiquada. Por exemplo: o "governador" na versão King James de </w:t>
      </w:r>
      <w:hyperlink r:id="rId10096">
        <w:r>
          <w:rPr>
            <w:color w:val="0000EE"/>
            <w:u w:val="single"/>
          </w:rPr>
          <w:t xml:space="preserve">Tg 3.4 </w:t>
        </w:r>
      </w:hyperlink>
      <w:r>
        <w:t>refere-se ao piloto de um navio.</w:t>
      </w:r>
      <w:r/>
      <w:r/>
    </w:p>
    <w:p>
      <w:r/>
    </w:p>
    <w:p>
      <w:pPr>
        <w:pStyle w:val="Heading2"/>
      </w:pPr>
      <w:r>
        <w:t>Governante</w:t>
      </w:r>
      <w:r/>
    </w:p>
    <w:p>
      <w:r/>
      <w:r>
        <w:t>O termo possui muitos significados. Ele traduz 13 palavras hebraicas e 3 palavras gregas.</w:t>
      </w:r>
    </w:p>
    <w:p>
      <w:r/>
      <w:r>
        <w:t>Em um sentido político, um governante era aquele que controlava um estado (</w:t>
      </w:r>
      <w:hyperlink r:id="rId10097">
        <w:r>
          <w:rPr>
            <w:color w:val="0000EE"/>
            <w:u w:val="single"/>
          </w:rPr>
          <w:t>2Cr 7.18</w:t>
        </w:r>
      </w:hyperlink>
      <w:r>
        <w:t xml:space="preserve">; </w:t>
      </w:r>
      <w:hyperlink r:id="rId10098">
        <w:r>
          <w:rPr>
            <w:color w:val="0000EE"/>
            <w:u w:val="single"/>
          </w:rPr>
          <w:t>Sl 105.20</w:t>
        </w:r>
      </w:hyperlink>
      <w:r>
        <w:t xml:space="preserve">; </w:t>
      </w:r>
      <w:hyperlink r:id="rId10099">
        <w:r>
          <w:rPr>
            <w:color w:val="0000EE"/>
            <w:u w:val="single"/>
          </w:rPr>
          <w:t>Pv 23.1</w:t>
        </w:r>
      </w:hyperlink>
      <w:r>
        <w:t xml:space="preserve">; </w:t>
      </w:r>
      <w:hyperlink r:id="rId1484">
        <w:r>
          <w:rPr>
            <w:color w:val="0000EE"/>
            <w:u w:val="single"/>
          </w:rPr>
          <w:t>28.15</w:t>
        </w:r>
      </w:hyperlink>
      <w:r>
        <w:t xml:space="preserve">; </w:t>
      </w:r>
      <w:hyperlink r:id="rId10100">
        <w:r>
          <w:rPr>
            <w:color w:val="0000EE"/>
            <w:u w:val="single"/>
          </w:rPr>
          <w:t>Ec 10.4</w:t>
        </w:r>
      </w:hyperlink>
      <w:r>
        <w:t xml:space="preserve">; </w:t>
      </w:r>
      <w:hyperlink r:id="rId4741">
        <w:r>
          <w:rPr>
            <w:color w:val="0000EE"/>
            <w:u w:val="single"/>
          </w:rPr>
          <w:t>Is 14.5</w:t>
        </w:r>
      </w:hyperlink>
      <w:r>
        <w:t xml:space="preserve">; </w:t>
      </w:r>
      <w:hyperlink r:id="rId10101">
        <w:r>
          <w:rPr>
            <w:color w:val="0000EE"/>
            <w:u w:val="single"/>
          </w:rPr>
          <w:t>16.1</w:t>
        </w:r>
      </w:hyperlink>
      <w:r>
        <w:t xml:space="preserve">; </w:t>
      </w:r>
      <w:hyperlink r:id="rId9325">
        <w:r>
          <w:rPr>
            <w:color w:val="0000EE"/>
            <w:u w:val="single"/>
          </w:rPr>
          <w:t>49.7</w:t>
        </w:r>
      </w:hyperlink>
      <w:r>
        <w:t xml:space="preserve">; </w:t>
      </w:r>
      <w:hyperlink r:id="rId10102">
        <w:r>
          <w:rPr>
            <w:color w:val="0000EE"/>
            <w:u w:val="single"/>
          </w:rPr>
          <w:t>Jr 33.26</w:t>
        </w:r>
      </w:hyperlink>
      <w:r>
        <w:t xml:space="preserve">; </w:t>
      </w:r>
      <w:hyperlink r:id="rId10103">
        <w:r>
          <w:rPr>
            <w:color w:val="0000EE"/>
            <w:u w:val="single"/>
          </w:rPr>
          <w:t>51.46</w:t>
        </w:r>
      </w:hyperlink>
      <w:r>
        <w:t xml:space="preserve">; </w:t>
      </w:r>
      <w:hyperlink r:id="rId3333">
        <w:r>
          <w:rPr>
            <w:color w:val="0000EE"/>
            <w:u w:val="single"/>
          </w:rPr>
          <w:t>Mq 5.2</w:t>
        </w:r>
      </w:hyperlink>
      <w:r>
        <w:t>), ou um estado que controlava um povo (</w:t>
      </w:r>
      <w:hyperlink r:id="rId10104">
        <w:r>
          <w:rPr>
            <w:color w:val="0000EE"/>
            <w:u w:val="single"/>
          </w:rPr>
          <w:t>Jz 15.11</w:t>
        </w:r>
      </w:hyperlink>
      <w:r>
        <w:t>). O termo usual para governante era "rei". No entanto, muitos em Israel preferiam o termo hebraico traduzido como "líder", significando "aquele colocado à frente". Isso se devia às associações desagradáveis com o rei. Por exemplo, Samuel rejeitou o primeiro termo, mas usou o segundo (</w:t>
      </w:r>
      <w:hyperlink r:id="rId10105">
        <w:r>
          <w:rPr>
            <w:color w:val="0000EE"/>
            <w:u w:val="single"/>
          </w:rPr>
          <w:t>1Sm 9.16</w:t>
        </w:r>
      </w:hyperlink>
      <w:r>
        <w:t xml:space="preserve">; </w:t>
      </w:r>
      <w:hyperlink r:id="rId3319">
        <w:r>
          <w:rPr>
            <w:color w:val="0000EE"/>
            <w:u w:val="single"/>
          </w:rPr>
          <w:t>10.1</w:t>
        </w:r>
      </w:hyperlink>
      <w:r>
        <w:t xml:space="preserve">; </w:t>
      </w:r>
      <w:hyperlink r:id="rId5735">
        <w:r>
          <w:rPr>
            <w:color w:val="0000EE"/>
            <w:u w:val="single"/>
          </w:rPr>
          <w:t>13.14</w:t>
        </w:r>
      </w:hyperlink>
      <w:r>
        <w:t xml:space="preserve">; </w:t>
      </w:r>
      <w:hyperlink r:id="rId10106">
        <w:r>
          <w:rPr>
            <w:color w:val="0000EE"/>
            <w:u w:val="single"/>
          </w:rPr>
          <w:t>25.30</w:t>
        </w:r>
      </w:hyperlink>
      <w:r>
        <w:t xml:space="preserve">; </w:t>
      </w:r>
      <w:hyperlink r:id="rId10107">
        <w:r>
          <w:rPr>
            <w:color w:val="0000EE"/>
            <w:u w:val="single"/>
          </w:rPr>
          <w:t>2Sm 5.2</w:t>
        </w:r>
      </w:hyperlink>
      <w:r>
        <w:t xml:space="preserve">; </w:t>
      </w:r>
      <w:hyperlink r:id="rId7834">
        <w:r>
          <w:rPr>
            <w:color w:val="0000EE"/>
            <w:u w:val="single"/>
          </w:rPr>
          <w:t>6.21</w:t>
        </w:r>
      </w:hyperlink>
      <w:r>
        <w:t xml:space="preserve">; </w:t>
      </w:r>
      <w:hyperlink r:id="rId10108">
        <w:r>
          <w:rPr>
            <w:color w:val="0000EE"/>
            <w:u w:val="single"/>
          </w:rPr>
          <w:t>7.8</w:t>
        </w:r>
      </w:hyperlink>
      <w:r>
        <w:t>). Outras palavras hebraicas são traduzidas como "governante". No entanto, a maioria das traduções modernas prefere alternativas a este termo mais genérico.</w:t>
      </w:r>
    </w:p>
    <w:p>
      <w:r/>
      <w:r>
        <w:t xml:space="preserve">No Novo Testamento, a palavra grega para "governante" refere-se a líderes administrativos ou religiosos (veja </w:t>
      </w:r>
      <w:hyperlink r:id="rId10109">
        <w:r>
          <w:rPr>
            <w:color w:val="0000EE"/>
            <w:u w:val="single"/>
          </w:rPr>
          <w:t>Mt 9.18,23</w:t>
        </w:r>
      </w:hyperlink>
      <w:r>
        <w:t xml:space="preserve">; </w:t>
      </w:r>
      <w:hyperlink r:id="rId10110">
        <w:r>
          <w:rPr>
            <w:color w:val="0000EE"/>
            <w:u w:val="single"/>
          </w:rPr>
          <w:t>Lc 8.41</w:t>
        </w:r>
      </w:hyperlink>
      <w:r>
        <w:t xml:space="preserve">; </w:t>
      </w:r>
      <w:hyperlink r:id="rId10111">
        <w:r>
          <w:rPr>
            <w:color w:val="0000EE"/>
            <w:u w:val="single"/>
          </w:rPr>
          <w:t>18.18</w:t>
        </w:r>
      </w:hyperlink>
      <w:r>
        <w:t xml:space="preserve">; </w:t>
      </w:r>
      <w:hyperlink r:id="rId10112">
        <w:r>
          <w:rPr>
            <w:color w:val="0000EE"/>
            <w:u w:val="single"/>
          </w:rPr>
          <w:t>23.35</w:t>
        </w:r>
      </w:hyperlink>
      <w:r>
        <w:t xml:space="preserve">; </w:t>
      </w:r>
      <w:hyperlink r:id="rId10113">
        <w:r>
          <w:rPr>
            <w:color w:val="0000EE"/>
            <w:u w:val="single"/>
          </w:rPr>
          <w:t>24.20</w:t>
        </w:r>
      </w:hyperlink>
      <w:r>
        <w:t xml:space="preserve">; </w:t>
      </w:r>
      <w:hyperlink r:id="rId10114">
        <w:r>
          <w:rPr>
            <w:color w:val="0000EE"/>
            <w:u w:val="single"/>
          </w:rPr>
          <w:t>Jo 3.1</w:t>
        </w:r>
      </w:hyperlink>
      <w:r>
        <w:t xml:space="preserve">; </w:t>
      </w:r>
      <w:hyperlink r:id="rId10115">
        <w:r>
          <w:rPr>
            <w:color w:val="0000EE"/>
            <w:u w:val="single"/>
          </w:rPr>
          <w:t>7.26,48</w:t>
        </w:r>
      </w:hyperlink>
      <w:r>
        <w:t xml:space="preserve">; </w:t>
      </w:r>
      <w:hyperlink r:id="rId2139">
        <w:r>
          <w:rPr>
            <w:color w:val="0000EE"/>
            <w:u w:val="single"/>
          </w:rPr>
          <w:t>12.31</w:t>
        </w:r>
      </w:hyperlink>
      <w:r>
        <w:t xml:space="preserve">; </w:t>
      </w:r>
      <w:hyperlink r:id="rId10116">
        <w:r>
          <w:rPr>
            <w:color w:val="0000EE"/>
            <w:u w:val="single"/>
          </w:rPr>
          <w:t>At 3.17</w:t>
        </w:r>
      </w:hyperlink>
      <w:r>
        <w:t xml:space="preserve">; </w:t>
      </w:r>
      <w:hyperlink r:id="rId10117">
        <w:r>
          <w:rPr>
            <w:color w:val="0000EE"/>
            <w:u w:val="single"/>
          </w:rPr>
          <w:t>4.5,26</w:t>
        </w:r>
      </w:hyperlink>
      <w:r>
        <w:t xml:space="preserve">; </w:t>
      </w:r>
      <w:hyperlink r:id="rId10118">
        <w:r>
          <w:rPr>
            <w:color w:val="0000EE"/>
            <w:u w:val="single"/>
          </w:rPr>
          <w:t>7.27,35</w:t>
        </w:r>
      </w:hyperlink>
      <w:r>
        <w:t xml:space="preserve">; </w:t>
      </w:r>
      <w:hyperlink r:id="rId10119">
        <w:r>
          <w:rPr>
            <w:color w:val="0000EE"/>
            <w:u w:val="single"/>
          </w:rPr>
          <w:t>13.27</w:t>
        </w:r>
      </w:hyperlink>
      <w:r>
        <w:t xml:space="preserve">; </w:t>
      </w:r>
      <w:hyperlink r:id="rId10120">
        <w:r>
          <w:rPr>
            <w:color w:val="0000EE"/>
            <w:u w:val="single"/>
          </w:rPr>
          <w:t>14.5</w:t>
        </w:r>
      </w:hyperlink>
      <w:r>
        <w:t xml:space="preserve">; </w:t>
      </w:r>
      <w:hyperlink r:id="rId10121">
        <w:r>
          <w:rPr>
            <w:color w:val="0000EE"/>
            <w:u w:val="single"/>
          </w:rPr>
          <w:t>16.19</w:t>
        </w:r>
      </w:hyperlink>
      <w:r>
        <w:t xml:space="preserve">; </w:t>
      </w:r>
      <w:hyperlink r:id="rId10122">
        <w:r>
          <w:rPr>
            <w:color w:val="0000EE"/>
            <w:u w:val="single"/>
          </w:rPr>
          <w:t>23.5</w:t>
        </w:r>
      </w:hyperlink>
      <w:r>
        <w:t xml:space="preserve">; </w:t>
      </w:r>
      <w:hyperlink r:id="rId4730">
        <w:r>
          <w:rPr>
            <w:color w:val="0000EE"/>
            <w:u w:val="single"/>
          </w:rPr>
          <w:t>Rm 13.3</w:t>
        </w:r>
      </w:hyperlink>
      <w:r>
        <w:t xml:space="preserve">). </w:t>
      </w:r>
      <w:hyperlink r:id="rId4786">
        <w:r>
          <w:rPr>
            <w:color w:val="0000EE"/>
            <w:u w:val="single"/>
          </w:rPr>
          <w:t>Efésios 6.12</w:t>
        </w:r>
      </w:hyperlink>
      <w:r>
        <w:t xml:space="preserve"> menciona os governantes das trevas deste mundo.</w:t>
      </w:r>
    </w:p>
    <w:p>
      <w:r/>
      <w:r>
        <w:rPr>
          <w:i/>
        </w:rPr>
        <w:t>Veja também</w:t>
      </w:r>
      <w:r>
        <w:t xml:space="preserve"> </w:t>
      </w:r>
      <w:r>
        <w:t>Rei</w:t>
      </w:r>
      <w:r>
        <w:t>.</w:t>
      </w:r>
      <w:r/>
      <w:r/>
    </w:p>
    <w:p>
      <w:r/>
    </w:p>
    <w:p>
      <w:pPr>
        <w:pStyle w:val="Heading2"/>
      </w:pPr>
      <w:r>
        <w:t>Graça</w:t>
      </w:r>
      <w:r/>
    </w:p>
    <w:p>
      <w:r/>
      <w:r>
        <w:t>O presente de Deus expresso em suas ações de estender misericórdia, bondade amorosa e salvação às pessoas.</w:t>
      </w:r>
    </w:p>
    <w:p>
      <w:r/>
      <w:r>
        <w:t>A graça é a dimensão da atividade divina que permite que Deus confronte a indiferença e a rebelião humanas com uma capacidade inesgotável de perdoar e abençoar. Deus é gracioso em ação. A doutrina da graça divina está na base do entendimento do AT e do NT. No entanto, o AT apenas antecipa se prepara para a expressão completa da graça que se torna manifesta no NT.</w:t>
      </w:r>
    </w:p>
    <w:p>
      <w:pPr>
        <w:pStyle w:val="Heading3"/>
      </w:pPr>
      <w:r>
        <w:t>Graça no Antigo Testamento</w:t>
      </w:r>
    </w:p>
    <w:p>
      <w:r/>
      <w:r>
        <w:t>No início da narrativa do AT, Deus se revela como um “Eu sou o SENHOR, o Deus Eterno! Eu tenho compaixão e misericórdia, não fico irado com facilidade, e a minha fidelidade e o meu amor são tão grandes, que não podem ser medidos” (</w:t>
      </w:r>
      <w:hyperlink r:id="rId10123">
        <w:r>
          <w:rPr>
            <w:color w:val="0000EE"/>
            <w:u w:val="single"/>
          </w:rPr>
          <w:t>Êx 34.6</w:t>
        </w:r>
      </w:hyperlink>
      <w:r>
        <w:t>). Como resultado, torna-se possível para os humanos imerecedores se aproximarem dele com a oração: “Senhor, se, agora, achei graça aos teus olhos…”. (</w:t>
      </w:r>
      <w:hyperlink r:id="rId10124">
        <w:r>
          <w:rPr>
            <w:color w:val="0000EE"/>
            <w:u w:val="single"/>
          </w:rPr>
          <w:t>Êx 34.9</w:t>
        </w:r>
      </w:hyperlink>
      <w:r>
        <w:t>, ARA). Através da iniciativa divina, a alienação humana de Deus é transformada por ele em um estado de aceitação imerecida que abre o caminho para a reconciliação e utilidade redentora.</w:t>
      </w:r>
    </w:p>
    <w:p>
      <w:r/>
      <w:r>
        <w:t>A graça divina já estava operante no Jardim do Éden quando Deus respondeu ao desastre da queda com a promessa de redenção (</w:t>
      </w:r>
      <w:hyperlink r:id="rId309">
        <w:r>
          <w:rPr>
            <w:color w:val="0000EE"/>
            <w:u w:val="single"/>
          </w:rPr>
          <w:t>Gn 3.15</w:t>
        </w:r>
      </w:hyperlink>
      <w:r>
        <w:t>) e cuidado solícito, em vez de abandono ou aniquilação retributiva. O chamado para Abraão era uma extensão da graça, não apenas para ele como indivíduo, mas através dele como um meio de alcance universal. Como parte inseparável da promessa de Deus de bênção individual a Abraão e de uma bênção nacional a seus descendentes, foi dada a indicação de que as bênçãos individuais e nacionais seriam instrumentais para produzir uma bênção universal “a todas as famílias da terra” (</w:t>
      </w:r>
      <w:hyperlink r:id="rId10125">
        <w:r>
          <w:rPr>
            <w:color w:val="0000EE"/>
            <w:u w:val="single"/>
          </w:rPr>
          <w:t>Gn 12.2–3</w:t>
        </w:r>
      </w:hyperlink>
      <w:r>
        <w:t>). Consequentemente, tanto a eleição de Abraão quanto a promessa de bênção universal encontram expressão em um pacto dado por Deus, o objeto do qual é estender a graça de Deus a toda a raça humana. Em uma confirmação solene da promessa a Abraão, Deus afirmou: “Eu faço com você esta aliança: prometo que você será o pai de muitas nações… A aliança que estou fazendo para sempre com você e com os seus descendentes é a seguinte: eu serei para sempre o Deus de você e o Deus dos seus descendentes” (</w:t>
      </w:r>
      <w:hyperlink r:id="rId10126">
        <w:r>
          <w:rPr>
            <w:color w:val="0000EE"/>
            <w:u w:val="single"/>
          </w:rPr>
          <w:t>Gn 17.4,7</w:t>
        </w:r>
      </w:hyperlink>
      <w:r>
        <w:t>). Esta promessa deveria ser entendida como encontrar satisfação com base na graça, não na raça, para que ela se tornasse aplicável a todos os descendentes de Abraão — não apenas aos crentes judeus, seus descendentes raciais, mas também aos seus descendentes espirituais, crentes de todas as nações que professam uma fé como a de Abraão (</w:t>
      </w:r>
      <w:hyperlink r:id="rId10127">
        <w:r>
          <w:rPr>
            <w:color w:val="0000EE"/>
            <w:u w:val="single"/>
          </w:rPr>
          <w:t>Rm 4.16</w:t>
        </w:r>
      </w:hyperlink>
      <w:r>
        <w:t>). Assim, da perspectiva da graça divina, a eleição de Abraão e da nação de Israel não era um fim em si mesma. Era o plano de Deus para estender seus projetos redentores a todos os crentes, de todas as nações. Ao estender sua graça a Abraão, Deus estava estabelecendo os primórdios da igreja, a comunidade da graça.</w:t>
      </w:r>
    </w:p>
    <w:p>
      <w:r/>
      <w:r>
        <w:t>O exclusivismo divino evidenciado na eleição de Abraão e em se tornar o destinatário da graça de Deus, fornece um modelo para a seleção de todos os indivíduos usados por Deus na história da redenção. Além dos benefícios da graça concedidos a indivíduos como Abraão, Davi, os profetas e mais tarde os apóstolos, em virtude de seu chamado, havia o potencial de suas contribuições para a realização da aliança de Deus em nome da comunidade daqueles que compartilham a fé de Abraão — a igreja. Nos tratos graciosos de Deus com Israel, com seus patriarcas e seus líderes, Deus estava lançando as bases para seu alcance da graça à igreja universal. As intervenções graciosas de Deus na antiga aliança tinham a intenção de manifestar o ultimato da igreja em seus propósitos redentores. No exercício de seus ministérios, os profetas da antiga aliança sabiam que eles estavam servindo não a si, mas à igreja (</w:t>
      </w:r>
      <w:hyperlink r:id="rId10128">
        <w:r>
          <w:rPr>
            <w:color w:val="0000EE"/>
            <w:u w:val="single"/>
          </w:rPr>
          <w:t>1Pe 1.10–12</w:t>
        </w:r>
      </w:hyperlink>
      <w:r>
        <w:t>).</w:t>
      </w:r>
    </w:p>
    <w:p>
      <w:r/>
      <w:r>
        <w:t>Como uma expressão transitória e mediadora da graça divina, as instituições da antiga aliança possuíam apenas uma validade temporária que foi substituída pelas manifestações finais da graça de Deus na nova aliança (</w:t>
      </w:r>
      <w:hyperlink r:id="rId10129">
        <w:r>
          <w:rPr>
            <w:color w:val="0000EE"/>
            <w:u w:val="single"/>
          </w:rPr>
          <w:t>Hb 8.6–7</w:t>
        </w:r>
      </w:hyperlink>
      <w:r>
        <w:t>). Consequentemente, a antiga aliança era para se tornar obsoleta e substituída por uma nova aliança que exibiria a manifestação completa da graça de Deus. A proverbial tensão entre lei e graça se torna inteligível nesta perspectiva. Como a eleição da raça de Israel, a lei (como uma das instituições mais visíveis da antiga aliança) era uma medida temporária da graça divina concedida para antecipar e preparar o pacto da justificação através da graça pela fé em Jesus Cristo (</w:t>
      </w:r>
      <w:hyperlink r:id="rId10130">
        <w:r>
          <w:rPr>
            <w:color w:val="0000EE"/>
            <w:u w:val="single"/>
          </w:rPr>
          <w:t>Gl 3.23–29</w:t>
        </w:r>
      </w:hyperlink>
      <w:r>
        <w:t xml:space="preserve">; </w:t>
      </w:r>
      <w:hyperlink r:id="rId10131">
        <w:r>
          <w:rPr>
            <w:color w:val="0000EE"/>
            <w:u w:val="single"/>
          </w:rPr>
          <w:t>Hb 10.1</w:t>
        </w:r>
      </w:hyperlink>
      <w:r>
        <w:t>).</w:t>
      </w:r>
    </w:p>
    <w:p>
      <w:pPr>
        <w:pStyle w:val="Heading3"/>
      </w:pPr>
      <w:r>
        <w:t>Graça no Novo Testamento</w:t>
      </w:r>
    </w:p>
    <w:p>
      <w:r/>
      <w:r>
        <w:t>O conceito de graça definido como o envolvimento ativo de Deus em nome de seu povo recebe um foco mais nítido no NT. A graça divina se encarna na pessoa de Jesus Cristo, que demonstra visivelmente a natureza dinâmica da graça de Deus e realiza em seu ministério de redenção as promessas da antiga aliança em relação aos tratos graciosos de Deus com a humanidade (</w:t>
      </w:r>
      <w:hyperlink r:id="rId3743">
        <w:r>
          <w:rPr>
            <w:color w:val="0000EE"/>
            <w:u w:val="single"/>
          </w:rPr>
          <w:t>Jo 1.14,17</w:t>
        </w:r>
      </w:hyperlink>
      <w:r>
        <w:t>).</w:t>
      </w:r>
    </w:p>
    <w:p>
      <w:r/>
      <w:r>
        <w:t>A graça de Deus manifestada em Jesus Cristo permite que Deus perdoe os pecadores e os reúne na igreja, a comunidade da nova aliança. Durante seu ministério, Jesus pronunciou repetidamente as palavras de perdão em um grande número de pecadores e ministrou o socorro benevolente de Deus a uma variedade de necessidades humanas desesperadas. Através de ensinamentos como o perdão do pai ao filho pródigo e a busca pelas ovelhas perdidas, Jesus deixou claro que ele havia vindo para buscar e salvar aqueles que estavam perdidos. Mas, em última análise, foi sua morte redentora na cruz que abriu bem o portão da salvação para os pecadores arrependidos encontrarem acesso à graça perdoadora e restauradora de Deus. Esta verdade simples é formulada na doutrina da justificação pela fé através da graça (</w:t>
      </w:r>
      <w:hyperlink r:id="rId4436">
        <w:r>
          <w:rPr>
            <w:color w:val="0000EE"/>
            <w:u w:val="single"/>
          </w:rPr>
          <w:t>Rm 3.23</w:t>
        </w:r>
      </w:hyperlink>
      <w:r>
        <w:t xml:space="preserve">; </w:t>
      </w:r>
      <w:hyperlink r:id="rId10132">
        <w:r>
          <w:rPr>
            <w:color w:val="0000EE"/>
            <w:u w:val="single"/>
          </w:rPr>
          <w:t>Tt 3.7</w:t>
        </w:r>
      </w:hyperlink>
      <w:r>
        <w:t>). De acordo com este ensino, a provisão graciosa de Deus da morte substitutiva de Cristo o capacita a pronunciar um veredicto de “justo” ou “não culpado” sobre pecadores arrependidos e incluí-los em seus propósitos eternos. Como resultado, eles entram no reino da atividade graciosa de Deus, o que os permite implementar o processo de santificação individual em cooperação com o Espírito Santo.</w:t>
      </w:r>
    </w:p>
    <w:p>
      <w:r/>
      <w:r>
        <w:t>A graça de Deus manifestada em Jesus Cristo também permite que Deus conceda aos crentes benefícios imerecidos que enriquecem suas vidas e os unem na igreja, o corpo de Cristo. Sua aceitação com base na graça os beneficia a uma nova posição de filhos de Deus, membros da família de Deus, para que eles se relacionem com ele como com seu Pai celestial (</w:t>
      </w:r>
      <w:hyperlink r:id="rId10133">
        <w:r>
          <w:rPr>
            <w:color w:val="0000EE"/>
            <w:u w:val="single"/>
          </w:rPr>
          <w:t>Gl 4.4–6</w:t>
        </w:r>
      </w:hyperlink>
      <w:r>
        <w:t>). Consequentemente, eles se tornam membros de uma comunidade onde as distinções de raça, clãs e sexo são irrelevantes, uma vez que todos eles se tornaram igualmente herdeiros da promessa duradoura de Deus a Abraão de bênção universal (</w:t>
      </w:r>
      <w:hyperlink r:id="rId9090">
        <w:r>
          <w:rPr>
            <w:color w:val="0000EE"/>
            <w:u w:val="single"/>
          </w:rPr>
          <w:t>3.28–29</w:t>
        </w:r>
      </w:hyperlink>
      <w:r>
        <w:t>). A fim de enriquecer suas vidas individuais e assegurar a utilidade de sua participação na vida da nova comunidade, o Espírito Santo graciosamente energiza os crentes com uma variedade de dons para o desempenho dos ministérios projetados para beneficiar a igreja (</w:t>
      </w:r>
      <w:hyperlink r:id="rId10134">
        <w:r>
          <w:rPr>
            <w:color w:val="0000EE"/>
            <w:u w:val="single"/>
          </w:rPr>
          <w:t>Rm 12.6–8</w:t>
        </w:r>
      </w:hyperlink>
      <w:r>
        <w:t>). Acima de tudo esses ministérios são o do apóstolo, em si intimamente ligado à provisão graciosa de Deus (</w:t>
      </w:r>
      <w:hyperlink r:id="rId8784">
        <w:r>
          <w:rPr>
            <w:color w:val="0000EE"/>
            <w:u w:val="single"/>
          </w:rPr>
          <w:t>1.5</w:t>
        </w:r>
      </w:hyperlink>
      <w:r>
        <w:t xml:space="preserve">; </w:t>
      </w:r>
      <w:hyperlink r:id="rId4399">
        <w:r>
          <w:rPr>
            <w:color w:val="0000EE"/>
            <w:u w:val="single"/>
          </w:rPr>
          <w:t>15.15–16</w:t>
        </w:r>
      </w:hyperlink>
      <w:r>
        <w:t>), uma vez que se combina com o ministério dos profetas da antiguidade para fornecer a estrutura fundamental da igreja (</w:t>
      </w:r>
      <w:hyperlink r:id="rId10135">
        <w:r>
          <w:rPr>
            <w:color w:val="0000EE"/>
            <w:u w:val="single"/>
          </w:rPr>
          <w:t>Ef 2.20</w:t>
        </w:r>
      </w:hyperlink>
      <w:r>
        <w:t>). Como as riquezas da graça divina são livremente esbanjadas sobre os crentes em sua vida comunitária na terra (</w:t>
      </w:r>
      <w:hyperlink r:id="rId10136">
        <w:r>
          <w:rPr>
            <w:color w:val="0000EE"/>
            <w:u w:val="single"/>
          </w:rPr>
          <w:t>1.7–8</w:t>
        </w:r>
      </w:hyperlink>
      <w:r>
        <w:t>), a igreja levada para a eternidade demonstrará, por sua própria existência, as riquezas imensuráveis da graça de Deus em Jesus Cristo (</w:t>
      </w:r>
      <w:hyperlink r:id="rId4784">
        <w:r>
          <w:rPr>
            <w:color w:val="0000EE"/>
            <w:u w:val="single"/>
          </w:rPr>
          <w:t>2.6</w:t>
        </w:r>
      </w:hyperlink>
      <w:r>
        <w:t>).</w:t>
      </w:r>
    </w:p>
    <w:p>
      <w:r/>
      <w:r>
        <w:t>Finalmente, a graça de Deus manifestada em Jesus Cristo permite que Deus faça com que cada crente reflita sua graça através do seu caráter e relacionamentos. A condição irredutível para receber a graça de Deus é humildade (</w:t>
      </w:r>
      <w:hyperlink r:id="rId10137">
        <w:r>
          <w:rPr>
            <w:color w:val="0000EE"/>
            <w:u w:val="single"/>
          </w:rPr>
          <w:t>Tg 4.6</w:t>
        </w:r>
      </w:hyperlink>
      <w:r>
        <w:t xml:space="preserve">; </w:t>
      </w:r>
      <w:hyperlink r:id="rId10138">
        <w:r>
          <w:rPr>
            <w:color w:val="0000EE"/>
            <w:u w:val="single"/>
          </w:rPr>
          <w:t>1Pe 5.5</w:t>
        </w:r>
      </w:hyperlink>
      <w:r>
        <w:t>). Tal humildade em relação a Deus permite que os crentes pratiquem a humildade em relação a outras pessoas. De uma posição de graça, eles podem deixar de lado o egoísmo e presunção para tratar os outros com deferência (</w:t>
      </w:r>
      <w:hyperlink r:id="rId10139">
        <w:r>
          <w:rPr>
            <w:color w:val="0000EE"/>
            <w:u w:val="single"/>
          </w:rPr>
          <w:t>Fp 2.3–4</w:t>
        </w:r>
      </w:hyperlink>
      <w:r>
        <w:t>) em uma atitude de servidão mútua (</w:t>
      </w:r>
      <w:hyperlink r:id="rId7668">
        <w:r>
          <w:rPr>
            <w:color w:val="0000EE"/>
            <w:u w:val="single"/>
          </w:rPr>
          <w:t>Ef 5.21</w:t>
        </w:r>
      </w:hyperlink>
      <w:r>
        <w:t>), e em um espírito de perdão mútuo (</w:t>
      </w:r>
      <w:hyperlink r:id="rId7384">
        <w:r>
          <w:rPr>
            <w:color w:val="0000EE"/>
            <w:u w:val="single"/>
          </w:rPr>
          <w:t>Mt 18.23–35</w:t>
        </w:r>
      </w:hyperlink>
      <w:r>
        <w:t>) para que até mesmo sua comunicação possa exibir a graça divina (</w:t>
      </w:r>
      <w:hyperlink r:id="rId10140">
        <w:r>
          <w:rPr>
            <w:color w:val="0000EE"/>
            <w:u w:val="single"/>
          </w:rPr>
          <w:t>Cl 4.6</w:t>
        </w:r>
      </w:hyperlink>
      <w:r>
        <w:t>). Uma vez que a graça de Jesus Cristo constitui o contexto existencial das vidas e relacionamentos dos crentes, eles são exortados a não perverter a graça de Deus em prática ímpia (</w:t>
      </w:r>
      <w:hyperlink r:id="rId10141">
        <w:r>
          <w:rPr>
            <w:color w:val="0000EE"/>
            <w:u w:val="single"/>
          </w:rPr>
          <w:t>Judas 1.4</w:t>
        </w:r>
      </w:hyperlink>
      <w:r>
        <w:t>), mas em vez disso crescer na graça do Senhor (</w:t>
      </w:r>
      <w:hyperlink r:id="rId7039">
        <w:r>
          <w:rPr>
            <w:color w:val="0000EE"/>
            <w:u w:val="single"/>
          </w:rPr>
          <w:t>2Pe 3.18</w:t>
        </w:r>
      </w:hyperlink>
      <w:r>
        <w:t>).</w:t>
      </w:r>
    </w:p>
    <w:p>
      <w:r/>
      <w:r>
        <w:t>O significado essencial da graça na Bíblia se refere ao caráter de Deus de exercer boa vontade em relação às suas criaturas. Este caráter favorável de Deus encontra sua expressão suprema em Jesus Cristo. Por sua própria definição, esta graça é tornada totalmente acessível a todos os seres humanos, sem outra condição prévia além de um desejo arrependido de recebê-la (</w:t>
      </w:r>
      <w:hyperlink r:id="rId10142">
        <w:r>
          <w:rPr>
            <w:color w:val="0000EE"/>
            <w:u w:val="single"/>
          </w:rPr>
          <w:t>Tt 2.11–12</w:t>
        </w:r>
      </w:hyperlink>
      <w:r>
        <w:t>). Como resultado, a condição humana de alienação de Deus e de seus propósitos é substituída pelo acesso à aquilo que de outra forma seria inacessível: a majestade de Deus representada por um trono. Isso para que sua graça possa se tornar disponível para atender às necessidades humanas (</w:t>
      </w:r>
      <w:hyperlink r:id="rId10143">
        <w:r>
          <w:rPr>
            <w:color w:val="0000EE"/>
            <w:u w:val="single"/>
          </w:rPr>
          <w:t>Hb 4.16</w:t>
        </w:r>
      </w:hyperlink>
      <w:r>
        <w:t>). A alternativa trágica para receber a graça de Deus é permanecer em uma alienação sem esperança ou buscar tentativas estéreis de merecer o favor de Deus através dos esforços humanos fadados à futilidade (</w:t>
      </w:r>
      <w:hyperlink r:id="rId5721">
        <w:r>
          <w:rPr>
            <w:color w:val="0000EE"/>
            <w:u w:val="single"/>
          </w:rPr>
          <w:t>Rm 1.21</w:t>
        </w:r>
      </w:hyperlink>
      <w:r>
        <w:t>). A aceitação incondicional de Deus dos pecadores pode ser condicionada apenas pela rejeição de sua aceitação.</w:t>
      </w:r>
    </w:p>
    <w:p>
      <w:r/>
      <w:r>
        <w:t>Como Cristo representa o cumprimento, a encarnação e o provedor da graça divina, os primeiros cristãos se referiam livremente à graça de Deus como “a graça de nosso Senhor Jesus Cristo”. Esta graça foi concebida como sendo tão básica e tão penetrante em suas vidas individuais e na existência de suas comunidades de fé que eles naturalmente acoplavam a saudação tradicional de shalom (“paz”) com uma referência à graça de Jesus Cristo. Esta é a razão para a onipresente repetição de numerosas variações na fórmula básica de saudação encontrada em quase todos os livros do NT: “A graça de nosso Senhor Jesus Cristo seja com todos vocês” (</w:t>
      </w:r>
      <w:hyperlink r:id="rId10144">
        <w:r>
          <w:rPr>
            <w:color w:val="0000EE"/>
            <w:u w:val="single"/>
          </w:rPr>
          <w:t>2Ts 3.18</w:t>
        </w:r>
      </w:hyperlink>
      <w:r>
        <w:t>).</w:t>
      </w:r>
    </w:p>
    <w:p>
      <w:r/>
      <w:r>
        <w:rPr>
          <w:i/>
        </w:rPr>
        <w:t>Ver também</w:t>
      </w:r>
      <w:r>
        <w:t xml:space="preserve"> </w:t>
      </w:r>
      <w:r>
        <w:t>Deus, Ser e Atributos de</w:t>
      </w:r>
      <w:r>
        <w:t xml:space="preserve">; </w:t>
      </w:r>
      <w:r>
        <w:t>Amor</w:t>
      </w:r>
      <w:r>
        <w:t xml:space="preserve">; </w:t>
      </w:r>
      <w:r>
        <w:t>Misericórdia</w:t>
      </w:r>
      <w:r>
        <w:t>.</w:t>
      </w:r>
      <w:r/>
      <w:r/>
    </w:p>
    <w:p>
      <w:r/>
    </w:p>
    <w:p>
      <w:pPr>
        <w:pStyle w:val="Heading2"/>
      </w:pPr>
      <w:r>
        <w:t>Grande Lagarto</w:t>
      </w:r>
      <w:r/>
    </w:p>
    <w:p>
      <w:r/>
      <w:r>
        <w:t>Um dos répteis que a lei judaica listava como cerimonialmente impuro (</w:t>
      </w:r>
      <w:hyperlink r:id="rId1808">
        <w:r>
          <w:rPr>
            <w:color w:val="0000EE"/>
            <w:u w:val="single"/>
          </w:rPr>
          <w:t>Lv 11.29</w:t>
        </w:r>
      </w:hyperlink>
      <w:r>
        <w:t>). Poucas versões em português descrevem dessa maneira. Em geral as traduções em português trazem apenas "lagarto".</w:t>
      </w:r>
    </w:p>
    <w:p>
      <w:r/>
      <w:r>
        <w:rPr>
          <w:i/>
        </w:rPr>
        <w:t>Veja</w:t>
      </w:r>
      <w:r>
        <w:t xml:space="preserve"> </w:t>
      </w:r>
      <w:r>
        <w:t>Lagarto</w:t>
      </w:r>
      <w:r>
        <w:t>.</w:t>
      </w:r>
      <w:r/>
      <w:r/>
    </w:p>
    <w:p>
      <w:r/>
    </w:p>
    <w:p>
      <w:pPr>
        <w:pStyle w:val="Heading2"/>
      </w:pPr>
      <w:r>
        <w:t>Gratidão</w:t>
      </w:r>
      <w:r/>
    </w:p>
    <w:p>
      <w:r/>
      <w:r>
        <w:t>Uma expressão natural de agradecimento em resposta a bênçãos, proteção ou amor. Na tradição comum ao Judaísmo e ao Cristianismo, a gratidão não é uma ferramenta para manipular a vontade de Deus. Ela nunca é forçada ou fabricada na mente de alguém. Pelo contrário, a gratidão é um compromisso alegre da personalidade de alguém com Deus.</w:t>
      </w:r>
    </w:p>
    <w:p>
      <w:r/>
      <w:r>
        <w:t>No Antigo Testamento, a gratidão a Deus era a única condição para que a vida pudesse ser desfrutada. Para os judeus, cada aspecto da criação fornecia evidências do senhorio de Deus sobre toda a vida. O povo hebreu agradecia a Ele pela magnificência do universo (</w:t>
      </w:r>
      <w:hyperlink r:id="rId10145">
        <w:r>
          <w:rPr>
            <w:color w:val="0000EE"/>
            <w:u w:val="single"/>
          </w:rPr>
          <w:t>Sl 19.1–4</w:t>
        </w:r>
      </w:hyperlink>
      <w:r>
        <w:t xml:space="preserve">; </w:t>
      </w:r>
      <w:hyperlink r:id="rId10146">
        <w:r>
          <w:rPr>
            <w:color w:val="0000EE"/>
            <w:u w:val="single"/>
          </w:rPr>
          <w:t>33.6–9</w:t>
        </w:r>
      </w:hyperlink>
      <w:r>
        <w:t xml:space="preserve">; </w:t>
      </w:r>
      <w:hyperlink r:id="rId10147">
        <w:r>
          <w:rPr>
            <w:color w:val="0000EE"/>
            <w:u w:val="single"/>
          </w:rPr>
          <w:t>104.1–24</w:t>
        </w:r>
      </w:hyperlink>
      <w:r>
        <w:t>). Quando recebiam boas-novas, agradeciam a Deus por sua bondade e grandes feitos (</w:t>
      </w:r>
      <w:hyperlink r:id="rId10148">
        <w:r>
          <w:rPr>
            <w:color w:val="0000EE"/>
            <w:u w:val="single"/>
          </w:rPr>
          <w:t>1Cr 16.8–12</w:t>
        </w:r>
      </w:hyperlink>
      <w:r>
        <w:t>). Quando recebiam más notícias, também davam graças, confiando que Ele era um Deus justo (</w:t>
      </w:r>
      <w:hyperlink r:id="rId10149">
        <w:r>
          <w:rPr>
            <w:color w:val="0000EE"/>
            <w:u w:val="single"/>
          </w:rPr>
          <w:t>Jó 1.21</w:t>
        </w:r>
      </w:hyperlink>
      <w:r>
        <w:t>).</w:t>
      </w:r>
    </w:p>
    <w:p>
      <w:r/>
      <w:r>
        <w:t>Esses mesmos sentimentos são encontrados em escritos judaicos posteriores, como o Talmude. O povo de Israel agradeceu a Deus por Sua fidelidade às promessas da aliança:</w:t>
      </w:r>
    </w:p>
    <w:p>
      <w:pPr>
        <w:pStyle w:val="ListNumber"/>
        <w:spacing w:line="240" w:lineRule="auto"/>
        <w:ind w:left="720"/>
      </w:pPr>
      <w:r/>
      <w:r>
        <w:t>Os israelitas agradeceram a Deus pela libertação dos inimigos (</w:t>
      </w:r>
      <w:hyperlink r:id="rId10150">
        <w:r>
          <w:rPr>
            <w:color w:val="0000EE"/>
            <w:u w:val="single"/>
          </w:rPr>
          <w:t>Sl 18.17</w:t>
        </w:r>
      </w:hyperlink>
      <w:r>
        <w:t xml:space="preserve">; </w:t>
      </w:r>
      <w:hyperlink r:id="rId10151">
        <w:r>
          <w:rPr>
            <w:color w:val="0000EE"/>
            <w:u w:val="single"/>
          </w:rPr>
          <w:t>30.1</w:t>
        </w:r>
      </w:hyperlink>
      <w:r>
        <w:t xml:space="preserve">; </w:t>
      </w:r>
      <w:hyperlink r:id="rId10152">
        <w:r>
          <w:rPr>
            <w:color w:val="0000EE"/>
            <w:u w:val="single"/>
          </w:rPr>
          <w:t>44.1–8</w:t>
        </w:r>
      </w:hyperlink>
      <w:r>
        <w:t>) e da morte (</w:t>
      </w:r>
      <w:hyperlink r:id="rId10153">
        <w:r>
          <w:rPr>
            <w:color w:val="0000EE"/>
            <w:u w:val="single"/>
          </w:rPr>
          <w:t>Sl 30.8–12</w:t>
        </w:r>
      </w:hyperlink>
      <w:r>
        <w:t xml:space="preserve">; </w:t>
      </w:r>
      <w:hyperlink r:id="rId10154">
        <w:r>
          <w:rPr>
            <w:color w:val="0000EE"/>
            <w:u w:val="single"/>
          </w:rPr>
          <w:t>Is 38.18–20)</w:t>
        </w:r>
      </w:hyperlink>
      <w:r>
        <w:t>.</w:t>
      </w:r>
    </w:p>
    <w:p>
      <w:pPr>
        <w:pStyle w:val="ListNumber"/>
        <w:spacing w:line="240" w:lineRule="auto"/>
        <w:ind w:left="720"/>
      </w:pPr>
      <w:r/>
      <w:r>
        <w:t>Os israelitas agradeceram a Deus pelo perdão dos pecados (</w:t>
      </w:r>
      <w:hyperlink r:id="rId10155">
        <w:r>
          <w:rPr>
            <w:color w:val="0000EE"/>
            <w:u w:val="single"/>
          </w:rPr>
          <w:t>Sl 32.5</w:t>
        </w:r>
      </w:hyperlink>
      <w:r>
        <w:t xml:space="preserve">; </w:t>
      </w:r>
      <w:hyperlink r:id="rId10156">
        <w:r>
          <w:rPr>
            <w:color w:val="0000EE"/>
            <w:u w:val="single"/>
          </w:rPr>
          <w:t>99.8</w:t>
        </w:r>
      </w:hyperlink>
      <w:r>
        <w:t xml:space="preserve">; </w:t>
      </w:r>
      <w:hyperlink r:id="rId6384">
        <w:r>
          <w:rPr>
            <w:color w:val="0000EE"/>
            <w:u w:val="single"/>
          </w:rPr>
          <w:t>103.3</w:t>
        </w:r>
      </w:hyperlink>
      <w:r>
        <w:t xml:space="preserve">; </w:t>
      </w:r>
      <w:hyperlink r:id="rId10157">
        <w:r>
          <w:rPr>
            <w:color w:val="0000EE"/>
            <w:u w:val="single"/>
          </w:rPr>
          <w:t>Is 12.1</w:t>
        </w:r>
      </w:hyperlink>
      <w:r>
        <w:t>).</w:t>
      </w:r>
    </w:p>
    <w:p>
      <w:pPr>
        <w:pStyle w:val="ListNumber"/>
        <w:spacing w:line="240" w:lineRule="auto"/>
        <w:ind w:left="720"/>
      </w:pPr>
      <w:r/>
      <w:r>
        <w:t>Os israelitas agradeceram a Deus por respostas às orações (</w:t>
      </w:r>
      <w:hyperlink r:id="rId10158">
        <w:r>
          <w:rPr>
            <w:color w:val="0000EE"/>
            <w:u w:val="single"/>
          </w:rPr>
          <w:t>Sl 28.6</w:t>
        </w:r>
      </w:hyperlink>
      <w:r>
        <w:t xml:space="preserve">; </w:t>
      </w:r>
      <w:hyperlink r:id="rId10159">
        <w:r>
          <w:rPr>
            <w:color w:val="0000EE"/>
            <w:u w:val="single"/>
          </w:rPr>
          <w:t>66.19</w:t>
        </w:r>
      </w:hyperlink>
      <w:r>
        <w:t>).</w:t>
      </w:r>
    </w:p>
    <w:p>
      <w:pPr>
        <w:pStyle w:val="ListNumber"/>
        <w:spacing w:line="240" w:lineRule="auto"/>
        <w:ind w:left="720"/>
      </w:pPr>
      <w:r/>
      <w:r>
        <w:t>Os israelitas agradeceram a Deus pela compaixão para com os aflitos e oprimidos (</w:t>
      </w:r>
      <w:hyperlink r:id="rId10160">
        <w:r>
          <w:rPr>
            <w:color w:val="0000EE"/>
            <w:u w:val="single"/>
          </w:rPr>
          <w:t>Sl 34.2</w:t>
        </w:r>
      </w:hyperlink>
      <w:r>
        <w:t xml:space="preserve">; </w:t>
      </w:r>
      <w:hyperlink r:id="rId10161">
        <w:r>
          <w:rPr>
            <w:color w:val="0000EE"/>
            <w:u w:val="single"/>
          </w:rPr>
          <w:t>72.12</w:t>
        </w:r>
      </w:hyperlink>
      <w:r>
        <w:t>).</w:t>
      </w:r>
    </w:p>
    <w:p>
      <w:pPr>
        <w:pStyle w:val="ListNumber"/>
        <w:spacing w:line="240" w:lineRule="auto"/>
        <w:ind w:left="720"/>
      </w:pPr>
      <w:r/>
      <w:r>
        <w:t>Os israelitas agradeceram a Deus por executar justiça (</w:t>
      </w:r>
      <w:hyperlink r:id="rId10162">
        <w:r>
          <w:rPr>
            <w:color w:val="0000EE"/>
            <w:u w:val="single"/>
          </w:rPr>
          <w:t>Dt 32.4</w:t>
        </w:r>
      </w:hyperlink>
      <w:r>
        <w:t xml:space="preserve">; </w:t>
      </w:r>
      <w:hyperlink r:id="rId10163">
        <w:r>
          <w:rPr>
            <w:color w:val="0000EE"/>
            <w:u w:val="single"/>
          </w:rPr>
          <w:t>Sl 99.4</w:t>
        </w:r>
      </w:hyperlink>
      <w:r>
        <w:t>).</w:t>
      </w:r>
    </w:p>
    <w:p>
      <w:pPr>
        <w:pStyle w:val="ListNumber"/>
        <w:spacing w:line="240" w:lineRule="auto"/>
        <w:ind w:left="720"/>
      </w:pPr>
      <w:r/>
      <w:r>
        <w:t>Os israelitas agradeceram a Deus pela orientação contínua (</w:t>
      </w:r>
      <w:hyperlink r:id="rId10164">
        <w:r>
          <w:rPr>
            <w:color w:val="0000EE"/>
            <w:u w:val="single"/>
          </w:rPr>
          <w:t>Sl 32.8</w:t>
        </w:r>
      </w:hyperlink>
      <w:r>
        <w:t xml:space="preserve">; </w:t>
      </w:r>
      <w:hyperlink r:id="rId10165">
        <w:r>
          <w:rPr>
            <w:color w:val="0000EE"/>
            <w:u w:val="single"/>
          </w:rPr>
          <w:t>Is 30.20–21</w:t>
        </w:r>
      </w:hyperlink>
      <w:r>
        <w:t>).</w:t>
      </w:r>
    </w:p>
    <w:p>
      <w:r/>
      <w:r>
        <w:t>A gratidão era uma parte tão vital da religião de Israel que permeava a maioria das cerimônias e costumes. Ofertas de gratidão reconheciam as bênçãos de Deus (</w:t>
      </w:r>
      <w:hyperlink r:id="rId10166">
        <w:r>
          <w:rPr>
            <w:color w:val="0000EE"/>
            <w:u w:val="single"/>
          </w:rPr>
          <w:t>Lv 7.12–13</w:t>
        </w:r>
      </w:hyperlink>
      <w:r>
        <w:t xml:space="preserve">; </w:t>
      </w:r>
      <w:hyperlink r:id="rId10167">
        <w:r>
          <w:rPr>
            <w:color w:val="0000EE"/>
            <w:u w:val="single"/>
          </w:rPr>
          <w:t>22.29</w:t>
        </w:r>
      </w:hyperlink>
      <w:r>
        <w:t xml:space="preserve">; </w:t>
      </w:r>
      <w:hyperlink r:id="rId10168">
        <w:r>
          <w:rPr>
            <w:color w:val="0000EE"/>
            <w:u w:val="single"/>
          </w:rPr>
          <w:t>Sl 50.14</w:t>
        </w:r>
      </w:hyperlink>
      <w:r>
        <w:t>). Gritos de alegria (</w:t>
      </w:r>
      <w:hyperlink r:id="rId10169">
        <w:r>
          <w:rPr>
            <w:color w:val="0000EE"/>
            <w:u w:val="single"/>
          </w:rPr>
          <w:t>Sl 42.4</w:t>
        </w:r>
      </w:hyperlink>
      <w:r>
        <w:t>), cânticos de louvor (</w:t>
      </w:r>
      <w:hyperlink r:id="rId10170">
        <w:r>
          <w:rPr>
            <w:color w:val="0000EE"/>
            <w:u w:val="single"/>
          </w:rPr>
          <w:t>Sl 145.7</w:t>
        </w:r>
      </w:hyperlink>
      <w:r>
        <w:t xml:space="preserve">; </w:t>
      </w:r>
      <w:hyperlink r:id="rId10171">
        <w:r>
          <w:rPr>
            <w:color w:val="0000EE"/>
            <w:u w:val="single"/>
          </w:rPr>
          <w:t>149.1</w:t>
        </w:r>
      </w:hyperlink>
      <w:r>
        <w:t>) e música e dança (</w:t>
      </w:r>
      <w:hyperlink r:id="rId10172">
        <w:r>
          <w:rPr>
            <w:color w:val="0000EE"/>
            <w:u w:val="single"/>
          </w:rPr>
          <w:t>Sl 150.3–5</w:t>
        </w:r>
      </w:hyperlink>
      <w:r>
        <w:t>) todos contribuíam para o espírito de ação de graças na adoração. Festas e festivais eram celebrados em lembrança do amor constante de Deus ao longo de sua história (</w:t>
      </w:r>
      <w:hyperlink r:id="rId10173">
        <w:r>
          <w:rPr>
            <w:color w:val="0000EE"/>
            <w:u w:val="single"/>
          </w:rPr>
          <w:t>Dt 16.9–15</w:t>
        </w:r>
      </w:hyperlink>
      <w:r>
        <w:t xml:space="preserve">; </w:t>
      </w:r>
      <w:hyperlink r:id="rId10174">
        <w:r>
          <w:rPr>
            <w:color w:val="0000EE"/>
            <w:u w:val="single"/>
          </w:rPr>
          <w:t>2Cr 30.21–22</w:t>
        </w:r>
      </w:hyperlink>
      <w:r>
        <w:t>). O rei Davi nomeou sacerdotes levíticos para oferecerem graças a Deus (</w:t>
      </w:r>
      <w:hyperlink r:id="rId10175">
        <w:r>
          <w:rPr>
            <w:color w:val="0000EE"/>
            <w:u w:val="single"/>
          </w:rPr>
          <w:t>1Cr 16.4</w:t>
        </w:r>
      </w:hyperlink>
      <w:r>
        <w:t>). Este costume foi mantido pelos reis Salomão (</w:t>
      </w:r>
      <w:hyperlink r:id="rId4234">
        <w:r>
          <w:rPr>
            <w:color w:val="0000EE"/>
            <w:u w:val="single"/>
          </w:rPr>
          <w:t>2Cr 5.12–13</w:t>
        </w:r>
      </w:hyperlink>
      <w:r>
        <w:t>) e Ezequias (</w:t>
      </w:r>
      <w:hyperlink r:id="rId10176">
        <w:r>
          <w:rPr>
            <w:color w:val="0000EE"/>
            <w:u w:val="single"/>
          </w:rPr>
          <w:t>2Cr 31.2</w:t>
        </w:r>
      </w:hyperlink>
      <w:r>
        <w:t>) e por aqueles que retornaram do exílio na Babilônia (</w:t>
      </w:r>
      <w:hyperlink r:id="rId10177">
        <w:r>
          <w:rPr>
            <w:color w:val="0000EE"/>
            <w:u w:val="single"/>
          </w:rPr>
          <w:t>Ne 11.17</w:t>
        </w:r>
      </w:hyperlink>
      <w:r>
        <w:t xml:space="preserve">; </w:t>
      </w:r>
      <w:hyperlink r:id="rId10178">
        <w:r>
          <w:rPr>
            <w:color w:val="0000EE"/>
            <w:u w:val="single"/>
          </w:rPr>
          <w:t>12.24,27</w:t>
        </w:r>
      </w:hyperlink>
      <w:r>
        <w:t>).</w:t>
      </w:r>
    </w:p>
    <w:p>
      <w:r/>
      <w:r>
        <w:t>No Novo Testamento, o foco da gratidão é o amor de Deus expresso na obra redentora de Cristo. O apóstolo Paulo agradeceu a Deus por esse dom da graça (</w:t>
      </w:r>
      <w:hyperlink r:id="rId10179">
        <w:r>
          <w:rPr>
            <w:color w:val="0000EE"/>
            <w:u w:val="single"/>
          </w:rPr>
          <w:t>1Co 1.4</w:t>
        </w:r>
      </w:hyperlink>
      <w:r>
        <w:t xml:space="preserve">; </w:t>
      </w:r>
      <w:hyperlink r:id="rId5915">
        <w:r>
          <w:rPr>
            <w:color w:val="0000EE"/>
            <w:u w:val="single"/>
          </w:rPr>
          <w:t>2Co 9.15</w:t>
        </w:r>
      </w:hyperlink>
      <w:r>
        <w:t>) e pela capacidade de pregar o evangelho (</w:t>
      </w:r>
      <w:hyperlink r:id="rId10180">
        <w:r>
          <w:rPr>
            <w:color w:val="0000EE"/>
            <w:u w:val="single"/>
          </w:rPr>
          <w:t>2Co 2.14</w:t>
        </w:r>
      </w:hyperlink>
      <w:r>
        <w:t xml:space="preserve">; </w:t>
      </w:r>
      <w:hyperlink r:id="rId10181">
        <w:r>
          <w:rPr>
            <w:color w:val="0000EE"/>
            <w:u w:val="single"/>
          </w:rPr>
          <w:t>1Tm 1.12</w:t>
        </w:r>
      </w:hyperlink>
      <w:r>
        <w:t>). Paulo participou com gratidão dos dons espirituais (</w:t>
      </w:r>
      <w:hyperlink r:id="rId5839">
        <w:r>
          <w:rPr>
            <w:color w:val="0000EE"/>
            <w:u w:val="single"/>
          </w:rPr>
          <w:t>1Co 14.18</w:t>
        </w:r>
      </w:hyperlink>
      <w:r>
        <w:t>). A gratidão pelo amor e fé entre os crentes permeia suas cartas (</w:t>
      </w:r>
      <w:hyperlink r:id="rId10182">
        <w:r>
          <w:rPr>
            <w:color w:val="0000EE"/>
            <w:u w:val="single"/>
          </w:rPr>
          <w:t>Rm 6.17</w:t>
        </w:r>
      </w:hyperlink>
      <w:r>
        <w:t xml:space="preserve">; </w:t>
      </w:r>
      <w:hyperlink r:id="rId10183">
        <w:r>
          <w:rPr>
            <w:color w:val="0000EE"/>
            <w:u w:val="single"/>
          </w:rPr>
          <w:t>Ef 1.15–16</w:t>
        </w:r>
      </w:hyperlink>
      <w:r>
        <w:t xml:space="preserve">; </w:t>
      </w:r>
      <w:hyperlink r:id="rId10184">
        <w:r>
          <w:rPr>
            <w:color w:val="0000EE"/>
            <w:u w:val="single"/>
          </w:rPr>
          <w:t>Fp 1.3–5</w:t>
        </w:r>
      </w:hyperlink>
      <w:r>
        <w:t xml:space="preserve">; </w:t>
      </w:r>
      <w:hyperlink r:id="rId10185">
        <w:r>
          <w:rPr>
            <w:color w:val="0000EE"/>
            <w:u w:val="single"/>
          </w:rPr>
          <w:t>Cl 1.3–4</w:t>
        </w:r>
      </w:hyperlink>
      <w:r>
        <w:t xml:space="preserve">; </w:t>
      </w:r>
      <w:hyperlink r:id="rId10186">
        <w:r>
          <w:rPr>
            <w:color w:val="0000EE"/>
            <w:u w:val="single"/>
          </w:rPr>
          <w:t>1Ts 1.2–3</w:t>
        </w:r>
      </w:hyperlink>
      <w:r>
        <w:t>).</w:t>
      </w:r>
    </w:p>
    <w:p>
      <w:r/>
      <w:r>
        <w:t>Como a expressão de gratidão está tão intimamente ligada à resposta de fé, Paulo incentivou os crentes a darem graças em todas as coisas (</w:t>
      </w:r>
      <w:hyperlink r:id="rId10187">
        <w:r>
          <w:rPr>
            <w:color w:val="0000EE"/>
            <w:u w:val="single"/>
          </w:rPr>
          <w:t>Rm 14.6</w:t>
        </w:r>
      </w:hyperlink>
      <w:r>
        <w:t xml:space="preserve">; </w:t>
      </w:r>
      <w:hyperlink r:id="rId10188">
        <w:r>
          <w:rPr>
            <w:color w:val="0000EE"/>
            <w:u w:val="single"/>
          </w:rPr>
          <w:t>1Ts 5.18</w:t>
        </w:r>
      </w:hyperlink>
      <w:r>
        <w:t>). Ele ordenou que os cristãos orassem com ações de graças em nome de Cristo (</w:t>
      </w:r>
      <w:hyperlink r:id="rId10189">
        <w:r>
          <w:rPr>
            <w:color w:val="0000EE"/>
            <w:u w:val="single"/>
          </w:rPr>
          <w:t>Fp 4.6</w:t>
        </w:r>
      </w:hyperlink>
      <w:r>
        <w:t xml:space="preserve">; </w:t>
      </w:r>
      <w:hyperlink r:id="rId6093">
        <w:r>
          <w:rPr>
            <w:color w:val="0000EE"/>
            <w:u w:val="single"/>
          </w:rPr>
          <w:t>Cl 4.2</w:t>
        </w:r>
      </w:hyperlink>
      <w:r>
        <w:t>), que tornou toda ação de graças possível (</w:t>
      </w:r>
      <w:hyperlink r:id="rId10190">
        <w:r>
          <w:rPr>
            <w:color w:val="0000EE"/>
            <w:u w:val="single"/>
          </w:rPr>
          <w:t>Ef 5.20</w:t>
        </w:r>
      </w:hyperlink>
      <w:r>
        <w:t>). Em seu ensinamento sobre como celebrar a Ceia do Senhor, Paulo especificou que os cristãos deveriam dar graças, assim como o Senhor “deu graças” (</w:t>
      </w:r>
      <w:hyperlink r:id="rId4675">
        <w:r>
          <w:rPr>
            <w:color w:val="0000EE"/>
            <w:u w:val="single"/>
          </w:rPr>
          <w:t>1Co 11.24</w:t>
        </w:r>
      </w:hyperlink>
      <w:r>
        <w:t>).</w:t>
      </w:r>
      <w:r/>
      <w:r/>
    </w:p>
    <w:p>
      <w:r/>
    </w:p>
    <w:p>
      <w:pPr>
        <w:pStyle w:val="Heading2"/>
      </w:pPr>
      <w:r>
        <w:t>Grécia, Grego</w:t>
      </w:r>
      <w:r/>
    </w:p>
    <w:p>
      <w:r/>
      <w:r>
        <w:t xml:space="preserve">As referências bíblicas à Grécia e ao povo grego são frequentemente pouco claras. No Antigo Testamento, algumas passagens referem-se à Grécia ou aos gregos como "Javã" ou "os filhos de Javã". Javã foi o quarto filho de Jafé, que aparece na "tabela das nações" em </w:t>
      </w:r>
      <w:hyperlink r:id="rId7547">
        <w:r>
          <w:rPr>
            <w:color w:val="0000EE"/>
            <w:u w:val="single"/>
          </w:rPr>
          <w:t>Gênesis 10</w:t>
        </w:r>
      </w:hyperlink>
      <w:r>
        <w:t>. Assim como o nome Israel vem de Jacó, o nome Javã é usado para seus descendentes. As descrições bíblicas de Javã e seus filhos mostram que eles viveram na terra da Grécia e eram gregos (</w:t>
      </w:r>
      <w:hyperlink r:id="rId10074">
        <w:r>
          <w:rPr>
            <w:color w:val="0000EE"/>
            <w:u w:val="single"/>
          </w:rPr>
          <w:t>1Cr 1.5,7</w:t>
        </w:r>
      </w:hyperlink>
      <w:r>
        <w:t xml:space="preserve">; </w:t>
      </w:r>
      <w:hyperlink r:id="rId10191">
        <w:r>
          <w:rPr>
            <w:color w:val="0000EE"/>
            <w:u w:val="single"/>
          </w:rPr>
          <w:t>Is 66.19</w:t>
        </w:r>
      </w:hyperlink>
      <w:r>
        <w:t xml:space="preserve">; </w:t>
      </w:r>
      <w:hyperlink r:id="rId10192">
        <w:r>
          <w:rPr>
            <w:color w:val="0000EE"/>
            <w:u w:val="single"/>
          </w:rPr>
          <w:t>Ez 27.13</w:t>
        </w:r>
      </w:hyperlink>
      <w:r>
        <w:t xml:space="preserve">). O livro de Daniel até descreve o império de Alexandre, o Grande, o que confirma que Javã significa Grécia. Quando estudiosos judeus traduziram a Bíblia hebraica para o grego (a Septuaginta), frequentemente substituíram o nome Javã pela palavra para "grego". Isso acontece em passagens como </w:t>
      </w:r>
      <w:hyperlink r:id="rId10193">
        <w:r>
          <w:rPr>
            <w:color w:val="0000EE"/>
            <w:u w:val="single"/>
          </w:rPr>
          <w:t>Dn 8.21</w:t>
        </w:r>
      </w:hyperlink>
      <w:r>
        <w:t xml:space="preserve">; </w:t>
      </w:r>
      <w:hyperlink r:id="rId10194">
        <w:r>
          <w:rPr>
            <w:color w:val="0000EE"/>
            <w:u w:val="single"/>
          </w:rPr>
          <w:t>10.20</w:t>
        </w:r>
      </w:hyperlink>
      <w:r>
        <w:t xml:space="preserve">; </w:t>
      </w:r>
      <w:hyperlink r:id="rId10195">
        <w:r>
          <w:rPr>
            <w:color w:val="0000EE"/>
            <w:u w:val="single"/>
          </w:rPr>
          <w:t>11.2</w:t>
        </w:r>
      </w:hyperlink>
      <w:r>
        <w:t xml:space="preserve">; </w:t>
      </w:r>
      <w:hyperlink r:id="rId10196">
        <w:r>
          <w:rPr>
            <w:color w:val="0000EE"/>
            <w:u w:val="single"/>
          </w:rPr>
          <w:t>Zc 9.13</w:t>
        </w:r>
      </w:hyperlink>
      <w:r>
        <w:t xml:space="preserve">; e </w:t>
      </w:r>
      <w:hyperlink r:id="rId10197">
        <w:r>
          <w:rPr>
            <w:color w:val="0000EE"/>
            <w:u w:val="single"/>
          </w:rPr>
          <w:t>Jl 3.6</w:t>
        </w:r>
      </w:hyperlink>
      <w:r>
        <w:t>.</w:t>
      </w:r>
    </w:p>
    <w:p>
      <w:r/>
      <w:r>
        <w:t>No NT, o termo “grego” parece ter o sentido especial de helenista, isto é, judeus que vivem em cidades helenísticas (</w:t>
      </w:r>
      <w:hyperlink r:id="rId10198">
        <w:r>
          <w:rPr>
            <w:color w:val="0000EE"/>
            <w:u w:val="single"/>
          </w:rPr>
          <w:t>At 6.1</w:t>
        </w:r>
      </w:hyperlink>
      <w:r>
        <w:t xml:space="preserve">; </w:t>
      </w:r>
      <w:hyperlink r:id="rId10199">
        <w:r>
          <w:rPr>
            <w:color w:val="0000EE"/>
            <w:u w:val="single"/>
          </w:rPr>
          <w:t>9.29</w:t>
        </w:r>
      </w:hyperlink>
      <w:r>
        <w:t xml:space="preserve">; </w:t>
      </w:r>
      <w:hyperlink r:id="rId4993">
        <w:r>
          <w:rPr>
            <w:color w:val="0000EE"/>
            <w:u w:val="single"/>
          </w:rPr>
          <w:t>11.20</w:t>
        </w:r>
      </w:hyperlink>
      <w:r>
        <w:t xml:space="preserve">). O termo em </w:t>
      </w:r>
      <w:hyperlink r:id="rId9296">
        <w:r>
          <w:rPr>
            <w:color w:val="0000EE"/>
            <w:u w:val="single"/>
          </w:rPr>
          <w:t>Jo 12.20</w:t>
        </w:r>
      </w:hyperlink>
      <w:r>
        <w:t xml:space="preserve">, </w:t>
      </w:r>
      <w:hyperlink r:id="rId10200">
        <w:r>
          <w:rPr>
            <w:color w:val="0000EE"/>
            <w:u w:val="single"/>
          </w:rPr>
          <w:t>At 14.1</w:t>
        </w:r>
      </w:hyperlink>
      <w:r>
        <w:t xml:space="preserve">, e </w:t>
      </w:r>
      <w:hyperlink r:id="rId10201">
        <w:r>
          <w:rPr>
            <w:color w:val="0000EE"/>
            <w:u w:val="single"/>
          </w:rPr>
          <w:t>16.1–3</w:t>
        </w:r>
      </w:hyperlink>
      <w:r>
        <w:t xml:space="preserve"> parece se referir aos gregos especificamente. Mas muitas vezes no NT, o termo “grego” era usado para não-judeus porque os judeus reconheciam apenas judeus e não-judeus. Daí o termo era praticamente sinônimo de gentios (</w:t>
      </w:r>
      <w:hyperlink r:id="rId735">
        <w:r>
          <w:rPr>
            <w:color w:val="0000EE"/>
            <w:u w:val="single"/>
          </w:rPr>
          <w:t>Rm 1.16</w:t>
        </w:r>
      </w:hyperlink>
      <w:r>
        <w:t xml:space="preserve">; </w:t>
      </w:r>
      <w:hyperlink r:id="rId10202">
        <w:r>
          <w:rPr>
            <w:color w:val="0000EE"/>
            <w:u w:val="single"/>
          </w:rPr>
          <w:t>10.12</w:t>
        </w:r>
      </w:hyperlink>
      <w:r>
        <w:t xml:space="preserve">; </w:t>
      </w:r>
      <w:hyperlink r:id="rId10203">
        <w:r>
          <w:rPr>
            <w:color w:val="0000EE"/>
            <w:u w:val="single"/>
          </w:rPr>
          <w:t>1Co 1.22,24</w:t>
        </w:r>
      </w:hyperlink>
      <w:r>
        <w:t xml:space="preserve">; </w:t>
      </w:r>
      <w:hyperlink r:id="rId4977">
        <w:r>
          <w:rPr>
            <w:color w:val="0000EE"/>
            <w:u w:val="single"/>
          </w:rPr>
          <w:t>Gl 2.3</w:t>
        </w:r>
      </w:hyperlink>
      <w:r>
        <w:t xml:space="preserve">; </w:t>
      </w:r>
      <w:hyperlink r:id="rId5177">
        <w:r>
          <w:rPr>
            <w:color w:val="0000EE"/>
            <w:u w:val="single"/>
          </w:rPr>
          <w:t>3.28</w:t>
        </w:r>
      </w:hyperlink>
      <w:r>
        <w:t>). Às vezes, o termo “grego” se refere à língua (</w:t>
      </w:r>
      <w:hyperlink r:id="rId10204">
        <w:r>
          <w:rPr>
            <w:color w:val="0000EE"/>
            <w:u w:val="single"/>
          </w:rPr>
          <w:t>Jo 19.20</w:t>
        </w:r>
      </w:hyperlink>
      <w:r>
        <w:t xml:space="preserve">; </w:t>
      </w:r>
      <w:hyperlink r:id="rId10205">
        <w:r>
          <w:rPr>
            <w:color w:val="0000EE"/>
            <w:u w:val="single"/>
          </w:rPr>
          <w:t>At 21.37</w:t>
        </w:r>
      </w:hyperlink>
      <w:r>
        <w:t xml:space="preserve">; </w:t>
      </w:r>
      <w:hyperlink r:id="rId36">
        <w:r>
          <w:rPr>
            <w:color w:val="0000EE"/>
            <w:u w:val="single"/>
          </w:rPr>
          <w:t>Ap 9.11</w:t>
        </w:r>
      </w:hyperlink>
      <w:r>
        <w:t>). O uso do termo “grega” para a mulher siro-fenícia (</w:t>
      </w:r>
      <w:hyperlink r:id="rId10206">
        <w:r>
          <w:rPr>
            <w:color w:val="0000EE"/>
            <w:u w:val="single"/>
          </w:rPr>
          <w:t>Mc 7.26</w:t>
        </w:r>
      </w:hyperlink>
      <w:r>
        <w:t>) pode ser um termo cultural. Em Atos, as referências são feitas aos gregos nas sinagogas como observadores. Esses podem ter sido gregos como tal, embora a certeza não seja possível (</w:t>
      </w:r>
      <w:hyperlink r:id="rId10200">
        <w:r>
          <w:rPr>
            <w:color w:val="0000EE"/>
            <w:u w:val="single"/>
          </w:rPr>
          <w:t>At 14.1</w:t>
        </w:r>
      </w:hyperlink>
      <w:r>
        <w:t xml:space="preserve">; </w:t>
      </w:r>
      <w:hyperlink r:id="rId7098">
        <w:r>
          <w:rPr>
            <w:color w:val="0000EE"/>
            <w:u w:val="single"/>
          </w:rPr>
          <w:t>17.4</w:t>
        </w:r>
      </w:hyperlink>
      <w:r>
        <w:t xml:space="preserve">; </w:t>
      </w:r>
      <w:hyperlink r:id="rId5758">
        <w:r>
          <w:rPr>
            <w:color w:val="0000EE"/>
            <w:u w:val="single"/>
          </w:rPr>
          <w:t>18.4</w:t>
        </w:r>
      </w:hyperlink>
      <w:r>
        <w:t>).</w:t>
      </w:r>
    </w:p>
    <w:p>
      <w:pPr>
        <w:pStyle w:val="Heading3"/>
      </w:pPr>
      <w:r>
        <w:t>Geografia</w:t>
      </w:r>
    </w:p>
    <w:p>
      <w:r/>
      <w:r>
        <w:t>A antiga terra natal grega compreendia o extremo sul da Península dos Bálcãs. Mas às vezes os falantes de grego eram encontrados nas ilhas do Mar Egeu, ao oeste da Ásia Menor, sul da Itália e Sicília.</w:t>
      </w:r>
    </w:p>
    <w:p>
      <w:pPr>
        <w:pStyle w:val="Heading3"/>
      </w:pPr>
      <w:r>
        <w:t>A emergência da cultura grega</w:t>
      </w:r>
    </w:p>
    <w:p>
      <w:r/>
      <w:r>
        <w:t>Após o término das guerras persas (497 a.C.), Atenas entrou em um período notável de grandeza. Atenas foi reconstruída e seu porto de Pireu foi fortificado. Quando os cidadãos atenienses embarcaram em um rumo de democracia desenfreada, o caos parecia ameaçar, mas Péricles, um líder brilhante, restaurou o equilíbrio do estado e Atenas logo reconquistou sua glória. Vastos edifícios foram erguidos na Acrópole, notavelmente o Pártenon (dedicado a Atena, a deusa de Atenas). Atenas se tornou rica, em parte devido as contribuições para a Liga de Delos. O poder do mar ateniense cresceu. Estava presente em Atenas uma abundância de escravos, artesãos, artífices, negociantes estrangeiros, artistas, poetas, filósofos, mestres, atores, cientistas, médicos, historiadores, mestres religiosos e especialistas em assuntos militares e navais. Os grandes escritores do quinto e do quarto séculos a.C. incluíam dramaturgos como Ésquilo, Sófocles e Eurípedes, historiadores como Tucídides e Heródoto, e filósofos como Sócrates, Platão e Aristóteles. Houve um florescimento de arte e arquitetura. Era uma era de ouro de realização surpreendente na arte, pensamento, literatura e arquitetura.</w:t>
      </w:r>
    </w:p>
    <w:p>
      <w:pPr>
        <w:pStyle w:val="Heading3"/>
      </w:pPr>
      <w:r>
        <w:t>A era do helenismo</w:t>
      </w:r>
    </w:p>
    <w:p>
      <w:r/>
      <w:r>
        <w:t>A grande glória de Atenas perdeu seu vigor antes do quarto século a.C. terminar. Filipe da Macedônia, com ambições de império, dirigiu para o oeste, e em 338 a.C. Atenas e Tebas foram sobrecarregadas — a Grécia se uniu em um Império Macedônio. Filipe foi assassinado em 366 a.C., mas Alexandre, seu filho, educado na tradição ateniense, assumiu o trabalho de seu pai e antes de sua própria morte em 323 a.C. havia conquistado a Pérsia e alcançado o Punjabe, na Índia. No final, ele exerceu seu controle de Cáucaso até o Deserto da Líbia e as fronteiras da Etiópia também. Na morte de Alexandre, seus vastos territórios foram divididos entre quatro generais. Após alguns ajustes, três divisões emergiram — Egito sob Ptolomeu; Ásia Menor, Síria e o Oriente sob Seleuco; e Macedônia sob Antígono.</w:t>
      </w:r>
    </w:p>
    <w:p>
      <w:r/>
      <w:r>
        <w:t>Finalmente, toda a área grega ficou sob o controle dos romanos, que se mudaram para áreas gregas em 198 a.C. e ao longo dos anos estabeleceram várias províncias romanas, como Acaia (</w:t>
      </w:r>
      <w:hyperlink r:id="rId4071">
        <w:r>
          <w:rPr>
            <w:color w:val="0000EE"/>
            <w:u w:val="single"/>
          </w:rPr>
          <w:t>At 18.12</w:t>
        </w:r>
      </w:hyperlink>
      <w:r>
        <w:t>). Foi para o mundo do helenismo, agora sob Roma, que os cristãos se moveram com a mensagem do evangelho no primeiro século d.C.</w:t>
      </w:r>
    </w:p>
    <w:p>
      <w:pPr>
        <w:pStyle w:val="Heading3"/>
      </w:pPr>
      <w:r>
        <w:t>Os gregos na Palestina</w:t>
      </w:r>
    </w:p>
    <w:p>
      <w:r/>
      <w:r>
        <w:t>As escavações mostraram que houve contato entre a Palestina e as áreas do Egeu ao longo de muitos séculos. Do período do Bronze médio (a era patriarcal), a cerâmica média Minoica II foi encontrada em vários locais. Os filisteus, que faziam parte dos Povos do Mar no século 13 a.C., se estabeleceram em áreas da Palestina costeira e desenvolveram sua própria cultura lá, deixando grande parte de sua cerâmica distintiva. Durante o período por volta de 1370–1200 a.C., vários povos do Egeu e da Ásia Menor ocidental encontraram seu caminho para a Palestina. A cerâmica micênica foi encontrada em vários locais. De um período posterior, ainda, numerosos exemplos de cerâmica de figuras negras áticas do século VI a.C. e cerâmica de figuras vermelhas áticas do período em torno de 530–300 a.C. foram encontradas em escavações. Moedas de prata cunhadas em imitação das dracmas áticas vêm do mesmo período. Com a ascensão do helenismo e a invasão da Palestina pelos governantes ptolemaicos e selêucidas, a influência grega aumentou muito. A presença de cerâmica grega, como frascos de Rodes, e a influência das características arquitetônicas gregas nos edifícios enfatizam o significado da influência grega na Palestina, bem como em toda a região do Levante e o interior. Com a vinda dos romanos, essas influências continuaram. O grego era a língua do comércio. De fato, o NT foi escrito no grego das pessoas comuns, e uma grande variedade de inscrições gregas veio à luz dos tempos romanos.</w:t>
      </w:r>
    </w:p>
    <w:p>
      <w:r/>
      <w:r>
        <w:rPr>
          <w:i/>
        </w:rPr>
        <w:t>Veja também</w:t>
      </w:r>
      <w:r>
        <w:t xml:space="preserve"> </w:t>
      </w:r>
      <w:r>
        <w:t>Alexandre #1</w:t>
      </w:r>
      <w:r>
        <w:t xml:space="preserve">; </w:t>
      </w:r>
      <w:r>
        <w:t>Alexandria</w:t>
      </w:r>
      <w:r>
        <w:t xml:space="preserve">; </w:t>
      </w:r>
      <w:r>
        <w:t>Helenismo</w:t>
      </w:r>
      <w:r>
        <w:t xml:space="preserve">; </w:t>
      </w:r>
      <w:r>
        <w:t>Helenistas</w:t>
      </w:r>
      <w:r>
        <w:t xml:space="preserve">; </w:t>
      </w:r>
      <w:r>
        <w:t>Judaísmo</w:t>
      </w:r>
      <w:r>
        <w:t>.</w:t>
      </w:r>
      <w:r/>
      <w:r/>
    </w:p>
    <w:p>
      <w:r/>
    </w:p>
    <w:p>
      <w:pPr>
        <w:pStyle w:val="Heading2"/>
      </w:pPr>
      <w:r>
        <w:t>Grelha, Grade</w:t>
      </w:r>
      <w:r/>
    </w:p>
    <w:p>
      <w:r/>
      <w:r>
        <w:t>Uma rede de bronze que cercava a metade inferior do altar do holocausto no tabernáculo (</w:t>
      </w:r>
      <w:hyperlink r:id="rId10207">
        <w:r>
          <w:rPr>
            <w:color w:val="0000EE"/>
            <w:u w:val="single"/>
          </w:rPr>
          <w:t>Êxodo 27.4</w:t>
        </w:r>
      </w:hyperlink>
      <w:r>
        <w:t>).</w:t>
      </w:r>
    </w:p>
    <w:p>
      <w:r/>
      <w:r>
        <w:rPr>
          <w:i/>
        </w:rPr>
        <w:t>Veja também</w:t>
      </w:r>
      <w:r>
        <w:t xml:space="preserve"> </w:t>
      </w:r>
      <w:r>
        <w:t>Altar</w:t>
      </w:r>
      <w:r>
        <w:t>.</w:t>
      </w:r>
      <w:r/>
      <w:r/>
    </w:p>
    <w:p>
      <w:r/>
    </w:p>
    <w:p>
      <w:pPr>
        <w:pStyle w:val="Heading2"/>
      </w:pPr>
      <w:r>
        <w:t>Grilo</w:t>
      </w:r>
      <w:r/>
    </w:p>
    <w:p>
      <w:r/>
      <w:r>
        <w:t xml:space="preserve">Um inseto alado com quatro patas (da família científica </w:t>
      </w:r>
      <w:r>
        <w:rPr>
          <w:i/>
        </w:rPr>
        <w:t>Orthoptera</w:t>
      </w:r>
      <w:r>
        <w:t>). Esses insetos estão relacionados aos gafanhotos e às locustas. Os israelitas consideravam os grilos cerimonialmente limpos para comer (</w:t>
      </w:r>
      <w:hyperlink r:id="rId1574">
        <w:r>
          <w:rPr>
            <w:color w:val="0000EE"/>
            <w:u w:val="single"/>
          </w:rPr>
          <w:t>Lv 11.22</w:t>
        </w:r>
      </w:hyperlink>
      <w:r>
        <w:t>). A referência na Bíblia pode, na verdade, estar descrevendo um dos estágios de crescimento do gafanhoto-migratório, em vez do que chamamos de grilos hoje.</w:t>
      </w:r>
    </w:p>
    <w:p>
      <w:r/>
      <w:r>
        <w:rPr>
          <w:i/>
        </w:rPr>
        <w:t>Veja também</w:t>
      </w:r>
      <w:r>
        <w:t xml:space="preserve"> </w:t>
      </w:r>
      <w:r>
        <w:t>Besouro</w:t>
      </w:r>
      <w:r>
        <w:t xml:space="preserve">; </w:t>
      </w:r>
      <w:r>
        <w:t>Gafanhoto</w:t>
      </w:r>
      <w:r>
        <w:t xml:space="preserve">; </w:t>
      </w:r>
      <w:r>
        <w:t>Gafanhoto-migratório</w:t>
      </w:r>
      <w:r>
        <w:t>.</w:t>
      </w:r>
      <w:r/>
      <w:r/>
    </w:p>
    <w:p>
      <w:r/>
    </w:p>
    <w:p>
      <w:pPr>
        <w:pStyle w:val="Heading2"/>
      </w:pPr>
      <w:r>
        <w:t>Gudgoda</w:t>
      </w:r>
      <w:r/>
    </w:p>
    <w:p>
      <w:r/>
      <w:r>
        <w:t>Nome alternativo para Hor-Hagidgade, um dos locais de parada nas peregrinações pelo deserto dos israelitas (</w:t>
      </w:r>
      <w:hyperlink r:id="rId10208">
        <w:r>
          <w:rPr>
            <w:color w:val="0000EE"/>
            <w:u w:val="single"/>
          </w:rPr>
          <w:t>Dt 10.7</w:t>
        </w:r>
      </w:hyperlink>
      <w:r>
        <w:t xml:space="preserve">). </w:t>
      </w:r>
      <w:r>
        <w:rPr>
          <w:i/>
        </w:rPr>
        <w:t>Veja</w:t>
      </w:r>
      <w:r>
        <w:t xml:space="preserve"> </w:t>
      </w:r>
      <w:r>
        <w:t>Hor-Hagidgade</w:t>
      </w:r>
      <w:r>
        <w:t>.</w:t>
      </w:r>
      <w:r/>
      <w:r/>
    </w:p>
    <w:p>
      <w:r/>
    </w:p>
    <w:p>
      <w:pPr>
        <w:pStyle w:val="Heading2"/>
      </w:pPr>
      <w:r>
        <w:t>Guerra</w:t>
      </w:r>
      <w:r/>
    </w:p>
    <w:p>
      <w:r/>
      <w:r>
        <w:t>Os meios pelos quais uma nação tenta controlar outra usando a força. A importância da guerra antiga é evidenciada pelo esforço dedicado a melhorar armas e defesas.</w:t>
      </w:r>
    </w:p>
    <w:p>
      <w:pPr>
        <w:pStyle w:val="Heading3"/>
      </w:pPr>
      <w:r>
        <w:t>Métodos de guerra</w:t>
      </w:r>
    </w:p>
    <w:p>
      <w:pPr>
        <w:pStyle w:val="Heading4"/>
      </w:pPr>
      <w:r>
        <w:t>Combate padrão</w:t>
      </w:r>
    </w:p>
    <w:p>
      <w:r/>
      <w:r>
        <w:t>Unidades de cavalaria (soldados a cavalo) surgiram no final do segundo milênio a.C. e no início do primeiro. A carga de cavalaria atuava como uma força poderosa para grandes exércitos. Sua mobilidade permitia concentrar poder de fogo em pontos estratégicos. Os assírios combinaram sua infantaria, cavalaria e carros de guerra em uma forte força de batalha. Nações vizinhas menores frequentemente tinham que recuar para trás de suas muralhas, pois não conseguiam enfrentar o grande exército assírio em campos abertos. A Idade do Ferro II é rica em monumentos ilustrados. Os relevos de guerra assírios mostram imagens detalhadas de suas vitórias e do tamanho das cidades defendidas. Poucas cenas mostram combate padrão em campos abertos. Nestas, carros de guerra atacam de todas as direções, engajando o inimigo ao longo da batalha. Outros grupos fazem a limpeza, eliminando a resistência inimiga deixada após a carga dos carros de guerra.</w:t>
      </w:r>
    </w:p>
    <w:p>
      <w:r/>
      <w:r>
        <w:t>O terreno sempre foi um fator crucial. Em batalhas típicas em campo aberto, os comandantes geralmente posicionavam suas melhores tropas no lado direito. Um comandante grego, Epaminondas, que morreu em 362 a.C., surpreendeu o exército espartano com uma nova tática. Ele utilizou um ataque inclinado com uma ala esquerda mais forte. Filipe da Macedônia e seu filho Alexandre também surpreenderam seus inimigos. Eles empregaram diferentes planos de ataque baseados na formação de falange.</w:t>
      </w:r>
    </w:p>
    <w:p>
      <w:pPr>
        <w:pStyle w:val="Heading4"/>
      </w:pPr>
      <w:r>
        <w:t>Batalha em campo aberto: o duelo</w:t>
      </w:r>
    </w:p>
    <w:p>
      <w:r/>
      <w:r>
        <w:t>Nos tempos do antigo Oriente Próximo, os duelos ofereciam uma alternativa ao combate regular. Um duelo era uma luta entre dois campeões representando forças opostas. Ambos os exércitos concordavam previamente em aceitar o resultado do duelo. Este método visava evitar as altas baixas de batalhas em grande escala. O relato mais antigo e detalhado desse estilo de guerra está no Conto de Sinuhe. Sinuhe, um camareiro na corte real da 12ª dinastia, escolheu o exílio e viajou para o norte da Palestina e Síria. Lá, ele viveu entre tribos semíticas e foi desafiado para um duelo por um campeão local. Sinuhe o derrotou e tomou seus bens.</w:t>
      </w:r>
    </w:p>
    <w:p>
      <w:r/>
      <w:r>
        <w:t>Os duelos eram comuns em outros exércitos mais tarde, mas Israel não os conhecia antes de Davi e Golias (</w:t>
      </w:r>
      <w:hyperlink r:id="rId9945">
        <w:r>
          <w:rPr>
            <w:color w:val="0000EE"/>
            <w:u w:val="single"/>
          </w:rPr>
          <w:t>1Sm 17</w:t>
        </w:r>
      </w:hyperlink>
      <w:r>
        <w:t>). O exército filisteu havia chegado a Judá até Socó e estava posicionado em uma colina. Em frente a eles, em outra colina, estava o exército de Saul. O Vale de Elá estava entre os dois acampamentos. A cada dia, o campeão filisteu, Golias, desafiava os israelitas, sugerindo que a batalha fosse decidida por dois guerreiros lutando. Davi aceitou o desafio e, após matar Golias, os filisteus fugiram, recusando-se a honrar o acordo. O exército israelita então perseguiu os filisteus, causando muitas baixas.</w:t>
      </w:r>
    </w:p>
    <w:p>
      <w:pPr>
        <w:pStyle w:val="Heading4"/>
      </w:pPr>
      <w:r>
        <w:t>Ataques a cidades fortificadas</w:t>
      </w:r>
    </w:p>
    <w:p>
      <w:r/>
      <w:r>
        <w:t>A maioria das cidades no antigo Oriente Próximo era construída em locais fáceis de defender e com benefícios econômicos. Uma cidade fortificada era protegida por muros fortes. Atacar uma cidade fortificada apresentava diferentes desafios tanto para o atacante quanto para o defensor. Cada lado agia em resposta aos movimentos do outro. Os sistemas de defesa visavam bloquear os métodos de ataque, que eram criados para romper os sistemas de defesa.</w:t>
      </w:r>
    </w:p>
    <w:p>
      <w:r/>
      <w:r>
        <w:t>Existiam cinco maneiras de conquistar uma cidade fortificada:</w:t>
      </w:r>
    </w:p>
    <w:p>
      <w:pPr>
        <w:pStyle w:val="ListNumber"/>
        <w:spacing w:line="240" w:lineRule="auto"/>
        <w:ind w:left="720"/>
      </w:pPr>
      <w:r/>
      <w:r>
        <w:t>Subindo as muralhas;</w:t>
      </w:r>
    </w:p>
    <w:p>
      <w:pPr>
        <w:pStyle w:val="ListNumber"/>
        <w:spacing w:line="240" w:lineRule="auto"/>
        <w:ind w:left="720"/>
      </w:pPr>
      <w:r/>
      <w:r>
        <w:t>Derrubando as muralhas;</w:t>
      </w:r>
    </w:p>
    <w:p>
      <w:pPr>
        <w:pStyle w:val="ListNumber"/>
        <w:spacing w:line="240" w:lineRule="auto"/>
        <w:ind w:left="720"/>
      </w:pPr>
      <w:r/>
      <w:r>
        <w:t>Fazendo um túnel sob as muralhas;</w:t>
      </w:r>
    </w:p>
    <w:p>
      <w:pPr>
        <w:pStyle w:val="ListNumber"/>
        <w:spacing w:line="240" w:lineRule="auto"/>
        <w:ind w:left="720"/>
      </w:pPr>
      <w:r/>
      <w:r>
        <w:t>Sitiando;</w:t>
      </w:r>
    </w:p>
    <w:p>
      <w:pPr>
        <w:pStyle w:val="ListNumber"/>
        <w:spacing w:line="240" w:lineRule="auto"/>
        <w:ind w:left="720"/>
      </w:pPr>
      <w:r/>
      <w:r>
        <w:t>Utilizando truques.</w:t>
      </w:r>
    </w:p>
    <w:p>
      <w:r/>
      <w:r>
        <w:t>Muitas vezes, era necessário combinar dois ou mais métodos para superar as defesas.</w:t>
      </w:r>
    </w:p>
    <w:p>
      <w:r/>
      <w:r>
        <w:t>A história bíblica da conquista de Siquém por Abimeleque (</w:t>
      </w:r>
      <w:hyperlink r:id="rId10209">
        <w:r>
          <w:rPr>
            <w:color w:val="0000EE"/>
            <w:u w:val="single"/>
          </w:rPr>
          <w:t>Jz 9</w:t>
        </w:r>
      </w:hyperlink>
      <w:r>
        <w:t>) descreve um ataque a uma cidade fortificada durante o tempo dos juízes (Idade do Ferro I). Quando o povo de Siquém e seus aliados se rebelaram contra Abimeleque, ele respondeu atacando a cidade. Ele moveu seu exército de soldados contratados à noite e lançou um ataque surpresa ao amanhecer (</w:t>
      </w:r>
      <w:hyperlink r:id="rId10210">
        <w:r>
          <w:rPr>
            <w:color w:val="0000EE"/>
            <w:u w:val="single"/>
          </w:rPr>
          <w:t>Jz 9.32–35</w:t>
        </w:r>
      </w:hyperlink>
      <w:r>
        <w:t>). Os homens de Siquém lutaram fora dos portões da cidade, mas tiveram que recuar para trás das muralhas. No dia seguinte, Abimeleque atacou a cidade. Ele dividiu suas forças em três grupos e liderou um grupo para atacar os portões em um momento crítico (</w:t>
      </w:r>
      <w:hyperlink r:id="rId10211">
        <w:r>
          <w:rPr>
            <w:color w:val="0000EE"/>
            <w:u w:val="single"/>
          </w:rPr>
          <w:t>Jz 9.43–44</w:t>
        </w:r>
      </w:hyperlink>
      <w:r>
        <w:t>). Eles romperam o portão e tomaram o controle das muralhas principais, mas os defensores restantes da cidade escaparam para uma fortaleza interna, o templo de Baal-Berite.</w:t>
      </w:r>
    </w:p>
    <w:p>
      <w:r/>
      <w:r>
        <w:t>Muitos relevos mostram grupos de soldados defendendo uma cidadela (a parte mais forte das defesas de uma cidade) após inimigos terem rompido a muralha da cidade. Escavações arqueológicas em Siquém confirmam que seu templo, assim como os de outras cidades cananeias, foi construído como uma torre fortificada com fortes bastiões perto da entrada. A torre de Siquém era bem fortificada e cobria uma pequena área, permitindo que seus defensores concentrassem seus ataques nas tropas de Abimeleque. Como não conseguiram capturá-la pela força, Abimeleque ordenou que seus soldados cortassem lenha com suas machadinhas de batalha. Eles empilharam a lenha contra a fortaleza e a incendiaram (</w:t>
      </w:r>
      <w:hyperlink r:id="rId10212">
        <w:r>
          <w:rPr>
            <w:color w:val="0000EE"/>
            <w:u w:val="single"/>
          </w:rPr>
          <w:t>Jz 9.48,49</w:t>
        </w:r>
      </w:hyperlink>
      <w:r>
        <w:t>). Todos os defensores dentro da torre morreram.</w:t>
      </w:r>
    </w:p>
    <w:p>
      <w:r/>
      <w:r>
        <w:t>Atacar uma cidadela interna sempre foi arriscado para um exército, como visto após a captura da torre de Siquém. Abimeleque então mirou na cidade de Tebes, usando o mesmo plano bem-sucedido de Siquém. No entanto, enquanto ele se preparava para queimar a porta da torre onde os defensores haviam fugido, uma mulher deixou cair uma pedra de moinho sobre ele, esmagando seu crânio (</w:t>
      </w:r>
      <w:hyperlink r:id="rId10213">
        <w:r>
          <w:rPr>
            <w:color w:val="0000EE"/>
            <w:u w:val="single"/>
          </w:rPr>
          <w:t>Jz 9.50–53</w:t>
        </w:r>
      </w:hyperlink>
      <w:r>
        <w:t>). Este evento se tornou um ditado sobre o perigo de se aproximar demais das paredes de torres fortificadas (</w:t>
      </w:r>
      <w:hyperlink r:id="rId10214">
        <w:r>
          <w:rPr>
            <w:color w:val="0000EE"/>
            <w:u w:val="single"/>
          </w:rPr>
          <w:t>2Sm 11.19–21</w:t>
        </w:r>
      </w:hyperlink>
      <w:r>
        <w:t>).</w:t>
      </w:r>
    </w:p>
    <w:p>
      <w:pPr>
        <w:pStyle w:val="Heading4"/>
      </w:pPr>
      <w:r>
        <w:t>Comunicação e inteligência</w:t>
      </w:r>
    </w:p>
    <w:p>
      <w:r/>
      <w:r>
        <w:t>Durante o período patriarcal (período do Bronze Médio), temos registros detalhados sobre sistemas de comunicação em tempos de guerra. Documentos de Mari, no Eufrates, mostram um sistema bem desenvolvido que utilizava sinais. À noite, as pessoas usavam tochas ou archotes para enviar sinais com base em um código pré-estabelecido. Este sistema era comum na Mesopotâmia e em outras regiões para solicitar rapidamente ajuda quando uma cidade enfrentava um ataque.</w:t>
      </w:r>
    </w:p>
    <w:p>
      <w:r/>
      <w:r>
        <w:t>No final da Idade do Bronze, cavaleiros eram às vezes usados para tarefas de comunicação e para reunir informações sobre o inimigo. Os serviços de inteligência ajudavam a planejar e executar operações militares. A Bíblia destaca a importância da inteligência e o uso de espiões ou batedores durante a conquista de Canaã. Antes de entrar na terra, Moisés enviou homens em uma missão de espionagem. Ele lhes disse para reunir informações sobre a geografia da terra, a força de seu povo, se a terra era fértil, a condição das cidades e se eram fortificadas. Ele também pediu que relatassem se a terra poderia sustentar uma grande população (</w:t>
      </w:r>
      <w:hyperlink r:id="rId10215">
        <w:r>
          <w:rPr>
            <w:color w:val="0000EE"/>
            <w:u w:val="single"/>
          </w:rPr>
          <w:t>Nm 13.17–20</w:t>
        </w:r>
      </w:hyperlink>
      <w:r>
        <w:t>).</w:t>
      </w:r>
    </w:p>
    <w:p>
      <w:r/>
      <w:r>
        <w:t>A inteligência tática foi crucial. Josué enviou espiões para Jericó e Ai antes de iniciar ações militares contra eles (</w:t>
      </w:r>
      <w:hyperlink r:id="rId8507">
        <w:r>
          <w:rPr>
            <w:color w:val="0000EE"/>
            <w:u w:val="single"/>
          </w:rPr>
          <w:t>Js 2.1</w:t>
        </w:r>
      </w:hyperlink>
      <w:r>
        <w:t xml:space="preserve">; </w:t>
      </w:r>
      <w:hyperlink r:id="rId10216">
        <w:r>
          <w:rPr>
            <w:color w:val="0000EE"/>
            <w:u w:val="single"/>
          </w:rPr>
          <w:t>7.2</w:t>
        </w:r>
      </w:hyperlink>
      <w:r>
        <w:t>). Os relatórios que ele recebeu sobre a força e o espírito dos cananeus o ajudaram a planejar seu ataque. Durante o tempo dos juízes, a conquista de Betel (</w:t>
      </w:r>
      <w:hyperlink r:id="rId3479">
        <w:r>
          <w:rPr>
            <w:color w:val="0000EE"/>
            <w:u w:val="single"/>
          </w:rPr>
          <w:t>Js 1.22–26</w:t>
        </w:r>
      </w:hyperlink>
      <w:r>
        <w:t>) foi diretamente devido à inteligência de uma patrulha de reconhecimento. As tribos de José enviaram batedores para vigiar a cidade. Ela estava fortemente fortificada e parecia impossível de capturar. Os batedores encontraram um homem saindo da cidade — não pelo portão principal, que estava bem fechado, mas por uma porta ou túnel escondido. Para salvar sua vida e a de sua família, ele revelou a localização do túnel sob as muralhas. A cidade foi invadida através do túnel e capturada.</w:t>
      </w:r>
    </w:p>
    <w:p>
      <w:pPr>
        <w:pStyle w:val="Heading4"/>
      </w:pPr>
      <w:r>
        <w:t>Ataque e penetração: a abertura</w:t>
      </w:r>
    </w:p>
    <w:p>
      <w:r/>
      <w:r>
        <w:t>Para penetrar diretamente nas defesas de uma cidade antiga, os atacantes quebravam o portão ou as paredes principais usando martelos, machados, lanças, espadas ou um aríete. Monumentos ilustrados e registros escritos mostram que, durante o início do período do Bronze Médio, os atacantes usavam aríetes contra cidades fortificadas. A imagem mais antiga conhecida de um aríete está em uma cena de cerco das pinturas murais de Beni Hasan, datando do século 20 a.C. Este aríete é um dispositivo simples, assemelhando-se a uma pequena cabana com um telhado ligeiramente pontiagudo. Ele podia ser movido próximo a uma fortaleza usando duas barras transversais paralelas. A estrutura abrigava dois ou três soldados que operavam manualmente um poste muito longo com uma ponta afiada, provavelmente de metal.</w:t>
      </w:r>
    </w:p>
    <w:p>
      <w:r/>
      <w:r>
        <w:t>Os documentos de Mari fornecem informações de 200 anos depois. Eles descrevem a eficácia dos aríetes feitos principalmente de madeira. Apesar de serem muito pesados, as pessoas conseguiam mover a arma de cerco por longas distâncias. Um documento menciona o uso de uma carroça puxada por animais de tração e um barco para transportar um aríete até uma cidade sitiada.</w:t>
      </w:r>
    </w:p>
    <w:p>
      <w:r/>
      <w:r>
        <w:t>Mover um aríete para a posição sempre expunha a unidade de demolição ao fogo pesado dos defensores acima. Seu peso tornava difícil movê-lo. O terreno perto das muralhas era frequentemente irregular, rochoso e íngreme. Quando o alvo era uma seção da muralha, a força de assalto precisava construir uma rampa de terra. Às vezes, eles a reforçavam com tábuas de madeira ou pedras. A rampa fornecia um caminho para mover o aríete da base da encosta até a muralha externa. Uma vez na posição, eles tinham que frear o aríete para impedi-lo de rolar para trás. Construir tal rampa foi necessário na campanha de Joabe contra a cidade fortificada de Abel em Bete-Maaca (</w:t>
      </w:r>
      <w:hyperlink r:id="rId10217">
        <w:r>
          <w:rPr>
            <w:color w:val="0000EE"/>
            <w:u w:val="single"/>
          </w:rPr>
          <w:t>2Sm 20.15</w:t>
        </w:r>
      </w:hyperlink>
      <w:r>
        <w:t>). O relato bíblico mostra que Israel usou algum tipo de aríete sob o reinado do Rei Davi durante a monarquia inicial.</w:t>
      </w:r>
    </w:p>
    <w:p>
      <w:r/>
      <w:r>
        <w:t>Os primeiros relevos assírios mostram que proteger as unidades de ataque era muito importante. Eles usavam torres de assalto altas e móveis feitas de madeira junto com um aríete. Essas torres, posicionadas perto de uma operação de brecha e tripuladas por arqueiros, forneciam fogo de cobertura contra os defensores na muralha. As torres de cerco reduziam a vantagem de poder de fogo dos defensores e os distraíam da equipe que estava rompendo as muralhas.</w:t>
      </w:r>
    </w:p>
    <w:p>
      <w:r/>
      <w:r>
        <w:t>Os detalhes dos relevos assírios nos ajudam a imaginar claramente o que aconteceu com Jerusalém, conforme contado ao profeta Ezequiel (</w:t>
      </w:r>
      <w:hyperlink r:id="rId8930">
        <w:r>
          <w:rPr>
            <w:color w:val="0000EE"/>
            <w:u w:val="single"/>
          </w:rPr>
          <w:t>Ez 4.1–3</w:t>
        </w:r>
      </w:hyperlink>
      <w:r>
        <w:t xml:space="preserve">; </w:t>
      </w:r>
      <w:hyperlink r:id="rId10218">
        <w:r>
          <w:rPr>
            <w:color w:val="0000EE"/>
            <w:u w:val="single"/>
          </w:rPr>
          <w:t>21.22</w:t>
        </w:r>
      </w:hyperlink>
      <w:r>
        <w:t>). O portão era o principal alvo porque era a parte mais fraca da muralha. O caminho até o portão tornava desnecessária a construção de uma rampa especial. Durante a destruição de um portão, espadas eram às vezes usadas para forçar a abertura das portas e quebrar as dobradiças. Portas de madeira sem proteção metálica eram frequentemente incendiadas.</w:t>
      </w:r>
    </w:p>
    <w:p>
      <w:r/>
      <w:r>
        <w:t>O aríete ainda era utilizado para derrubar paredes durante o período helenístico-romano. Em 63 a.C., o comandante romano Pompeu usou aríetes de Tiro contra os defensores de Jerusalém. Com eles, ele rompeu a muralha fortificada ao redor do templo. A máquina de cerco na coluna de Trajano possuía uma viga com uma cabeça de ferro em forma de carneiro. Ela se movia até uma parede em uma estrutura protegida por um teto de madeira coberto com argila ou peles. Uma versão projetada para perfurar paredes foi utilizada por Tito durante o cerco de Jerusalém em 70 d.C.</w:t>
      </w:r>
    </w:p>
    <w:p>
      <w:r/>
      <w:r>
        <w:t xml:space="preserve">O aríete não era a única ferramenta usada para romper uma parede. Tropas treinadas como sapadores (soldados que derrubam paredes) derrubariam uma seção da parede usando alavancas de ponta afiada como piques, espadas ou lanças, e às vezes marretas (veja </w:t>
      </w:r>
      <w:hyperlink r:id="rId10219">
        <w:r>
          <w:rPr>
            <w:color w:val="0000EE"/>
            <w:u w:val="single"/>
          </w:rPr>
          <w:t>Ez 26.8,9</w:t>
        </w:r>
      </w:hyperlink>
      <w:r>
        <w:t xml:space="preserve">). No exército de </w:t>
      </w:r>
      <w:r>
        <w:t>Assurbanipal</w:t>
      </w:r>
      <w:r>
        <w:t xml:space="preserve">, esses homens usavam casacos de malha de corpo inteiro para proteção. Sob reis assírios posteriores, eles usavam escudos redondos e retangulares, que carregavam nas costas durante a demolição. Mais tarde, </w:t>
      </w:r>
      <w:r>
        <w:t>Assurbanipal</w:t>
      </w:r>
      <w:r>
        <w:t xml:space="preserve"> confiava apenas nesses sapadores para penetrar diretamente em uma cidade fortificada. Ele projetou um enorme escudo para sua proteção. A cabeça curva do escudo podia ser apoiada contra a parede, protegendo o sapador de projéteis enquanto ele trabalhava embaixo dela.</w:t>
      </w:r>
    </w:p>
    <w:p>
      <w:pPr>
        <w:pStyle w:val="Heading4"/>
      </w:pPr>
      <w:r>
        <w:t>Escalando as muralhas</w:t>
      </w:r>
    </w:p>
    <w:p>
      <w:r/>
      <w:r>
        <w:t>Uma cena de batalha em calcário na tumba de Anta em Dashashe no Alto Egito (século 24 a.C.) mostra as atividades de cerco mais antigas conhecidas. Ela retrata egípcios usando uma escada de escalada contra as muralhas de uma cidade fortificada. Na época de Sargão, as muralhas se tornaram muito mais espessas, permitindo muralhas mais altas e resistentes. Essas muralhas fortes também reduziram a eficácia dos aríetes. Sargão, e especialmente seu sucessor Assurbanípal, adaptaram-se construindo escadas de escalada mais longas. Algumas escadas atingiam de 7,6 a 9,1 metros (25 a 30 pés) com base no número de degraus.</w:t>
      </w:r>
    </w:p>
    <w:p>
      <w:pPr>
        <w:pStyle w:val="Heading4"/>
      </w:pPr>
      <w:r>
        <w:t>Derrubando as muralhas</w:t>
      </w:r>
    </w:p>
    <w:p>
      <w:r/>
      <w:r>
        <w:t>Uma operação de escavação de túneis poderia começar além do alcance de qualquer arma que os defensores possuíssem. Uma vez no subsolo, a unidade estava segura do fogo inimigo. A escavação de túneis poderia ocorrer à noite para maximizar o elemento surpresa. No entanto, era um processo longo que exigia muita habilidade técnica. Se os defensores descobrissem a operação antes de ser concluída, poderiam destruir a unidade ao emergir. Escavar túneis sob as muralhas da cidade era comum na guerra da Idade do Ferro II. Relevos, documentos escritos e escavações arqueológicas confirmam isso, pois encontraram restos de túneis de ataque daquela época.</w:t>
      </w:r>
    </w:p>
    <w:p>
      <w:pPr>
        <w:pStyle w:val="Heading4"/>
      </w:pPr>
      <w:r>
        <w:t>Sitiando</w:t>
      </w:r>
    </w:p>
    <w:p>
      <w:r/>
      <w:r>
        <w:t>Quando uma cidade murada estava em uma colina alta, um longo cerco era outra maneira de conquistá-la. Ao cercar a cidade e impedir que ajuda ou suprimentos chegassem aos defensores, o exército atacante poderia fazer com que as pessoas dentro dela morressem de fome. Este método reduzia o risco para os atacantes. O sucesso dependia da capacidade deles de bloquear a ajuda externa e impedir que os defensores escapassem. Os exércitos geralmente optavam por um cerco quando as defesas de uma cidade eram fortes demais para um ataque direto. Os assírios sitiaram Samaria por três anos (</w:t>
      </w:r>
      <w:hyperlink r:id="rId8869">
        <w:r>
          <w:rPr>
            <w:color w:val="0000EE"/>
            <w:u w:val="single"/>
          </w:rPr>
          <w:t>2Rs 18.9–10</w:t>
        </w:r>
      </w:hyperlink>
      <w:r>
        <w:t>).</w:t>
      </w:r>
    </w:p>
    <w:p>
      <w:r/>
      <w:r>
        <w:t>As condições únicas de um cerco levaram à criação da catapulta. Esta foi uma importante inovação da artilharia grega e uma melhoria em relação ao arco e à funda. Inicialmente, era um arco reforçado em um suporte usado para disparar flechas. Foi introduzida por volta de 400 a.C. por Demétrio I, que pode ter emprestado a ideia dos fenícios em Cartago.</w:t>
      </w:r>
    </w:p>
    <w:p>
      <w:r/>
      <w:r>
        <w:t>Com o tempo, o instrumento foi aprimorado. A catapulta de torção, uma arma poderosa, utilizava fios fortemente torcidos de material elástico, muitas vezes feitos de cabelo de mulheres. Um guincho apertava esses fios, que eram liberados de repente. A catapulta podia disparar flechas, grandes pedras ou cestos de fogo a até 183 metros. Ela podia limpar os defensores de uma muralha enquanto um aríete rompia ou um grupo de abordagem atacava de uma torre móvel.</w:t>
      </w:r>
    </w:p>
    <w:p>
      <w:r/>
      <w:r>
        <w:t>Em uma cidade sitiada, os principais problemas eram os suprimentos de comida e água. A Bíblia destaca o horror da fome durante o cerco de Samaria pelo sírio Ben-Hadade na época do profeta Eliseu. As mulheres foram forçadas a comer seus filhos (</w:t>
      </w:r>
      <w:hyperlink r:id="rId10220">
        <w:r>
          <w:rPr>
            <w:color w:val="0000EE"/>
            <w:u w:val="single"/>
          </w:rPr>
          <w:t>2Rs 6.26–29</w:t>
        </w:r>
      </w:hyperlink>
      <w:r>
        <w:t>). Um exército sitiador tentaria piorar essas condições. Em um dos relevos de cerco de Ashurnasirpal II, um defensor abaixa um balde da muralha para pegar água de um riacho abaixo, enquanto um soldado assírio corta a corda com sua adaga.</w:t>
      </w:r>
    </w:p>
    <w:p>
      <w:pPr>
        <w:pStyle w:val="Heading4"/>
      </w:pPr>
      <w:r>
        <w:t>Ardis e estratagemas</w:t>
      </w:r>
    </w:p>
    <w:p>
      <w:r/>
      <w:r>
        <w:t>Diferentes truques poderiam atrair defensores para fora de uma cidade ou infiltrar tropas. Se um pequeno grupo entrasse em uma cidade usando um plano engenhoso, eles poderiam dominar os guardas e abrir os portões para um exército atacante. As muralhas de uma cidade eram inúteis uma vez que o inimigo estivesse dentro. Além disso, romper as defesas em um ponto frequentemente fazia todo o sistema desmoronar. A história do cavalo de Troia é o exemplo mais famoso de um truque que contornou as defesas de uma cidade antiga bem protegida.</w:t>
      </w:r>
    </w:p>
    <w:p>
      <w:r/>
      <w:r>
        <w:t>Na história bíblica do cerco de Samaria por Ben-Hadade, o cerco sírio terminou de repente. Jorão, o rei de Israel, pensou que era um truque. Ele não acreditou no relato de quatro leprosos de que os sírios haviam partido, deixando para trás grandes suprimentos de comida (</w:t>
      </w:r>
      <w:hyperlink r:id="rId10221">
        <w:r>
          <w:rPr>
            <w:color w:val="0000EE"/>
            <w:u w:val="single"/>
          </w:rPr>
          <w:t>2Rs 7.12</w:t>
        </w:r>
      </w:hyperlink>
      <w:r>
        <w:t>). Josué havia usado uma tática semelhante em Ai (</w:t>
      </w:r>
      <w:hyperlink r:id="rId10222">
        <w:r>
          <w:rPr>
            <w:color w:val="0000EE"/>
            <w:u w:val="single"/>
          </w:rPr>
          <w:t>Js 8.3–8</w:t>
        </w:r>
      </w:hyperlink>
      <w:r>
        <w:t>).</w:t>
      </w:r>
    </w:p>
    <w:p>
      <w:r/>
      <w:r>
        <w:t>Em outras ocasiões, exércitos poderosos usaram guerra psicológica para enfraquecer a resistência. Por exemplo, Senaqueribe tentou capturar Jerusalém durante o reinado de Ezequias (</w:t>
      </w:r>
      <w:hyperlink r:id="rId10223">
        <w:r>
          <w:rPr>
            <w:color w:val="0000EE"/>
            <w:u w:val="single"/>
          </w:rPr>
          <w:t>2Rs 18,19</w:t>
        </w:r>
      </w:hyperlink>
      <w:r>
        <w:t>). A conversa entre o general assírio e os delegados de Ezequias mostra que o assírio tinha a intenção de minar a confiança dos defensores.</w:t>
      </w:r>
    </w:p>
    <w:p>
      <w:r/>
      <w:r>
        <w:t>Uma emboscada é uma estratégia para capturar e derrotar um inimigo quando ele está menos preparado. Seu sucesso depende do elemento surpresa. Com boas informações, conhecimento do terreno e cobertura noturna, um pequeno grupo pode lançar uma emboscada eficaz contra uma força muito maior.</w:t>
      </w:r>
    </w:p>
    <w:p>
      <w:r/>
      <w:r>
        <w:t>Emboscadas eram uma tática comum de combate durante a conquista de Canaã. A queda de Ai ocorreu devido a uma emboscada bem-sucedida (</w:t>
      </w:r>
      <w:hyperlink r:id="rId10224">
        <w:r>
          <w:rPr>
            <w:color w:val="0000EE"/>
            <w:u w:val="single"/>
          </w:rPr>
          <w:t>Js 8.1–23</w:t>
        </w:r>
      </w:hyperlink>
      <w:r>
        <w:t>). À noite, Josué moveu uma grande força para um local escondido atrás da cidade. Ele então liderou o restante do exército israelita para um vale ao norte da cidade fortificada, fazendo parecer que planejavam atacar. Esse truque atraiu a principal força de Ai para longe da cidade para lutar contra Israel na planície de Arabá. Quando os israelitas recuaram, parecendo derrotados, os defensores restantes de Ai perseguiram o exército em fuga de Josué. Com a cidade desprotegida, a principal força israelita emergiu do esconderijo, entrou na cidade e a incendiou. Tarde demais, os homens de Ai viram a fumaça e perceberam a armadilha. O exército de Josué virou-se para atacar seus perseguidores, prendendo-os entre duas forças israelitas. Atacados pela frente e por trás, o exército de Ai foi destruído pela emboscada bem planejada.</w:t>
      </w:r>
    </w:p>
    <w:p>
      <w:pPr>
        <w:pStyle w:val="Heading3"/>
      </w:pPr>
      <w:r>
        <w:t>Fortificações e defesa</w:t>
      </w:r>
    </w:p>
    <w:p>
      <w:r/>
      <w:r>
        <w:t>As fortificações mais antigas conhecidas no mundo, datando de cerca de 7000 a.C., foram descobertas em 1954 em Jericó. Elas eram impressionantes tanto em design quanto em construção. A parte principal do sistema de defesa era uma muralha, com uma seção na borda oeste da antiga cidade ainda de pé, com 6,4 metros (21 pés) de altura. Escavações adicionais revelaram um grande fosso esculpido em rocha sólida na base da muralha, medindo 8 metros (27 pés) de largura e 2,7 metros (9 pés) de profundidade. Como eles conseguiram isso apenas com ferramentas de pedra permanece um mistério. Uma terceira parte da defesa de Jericó era uma torre circular de pedra maciça, com 9 metros (30 pés) de altura, provavelmente anexada ao lado interno da muralha ocidental. O propósito exato da torre ainda é desconhecido, mas Jericó Neolítico mostra a evidência mais antiga de uma cidade fortificada com uma muralha, torre e fosso.</w:t>
      </w:r>
    </w:p>
    <w:p>
      <w:r/>
      <w:r>
        <w:t>No meio da Idade do Bronze, um sistema de defesa padrão consistia em quatro partes: um fosso, uma parede externa, uma parede interna e uma estrutura de portão forte. O fosso, a parede externa e as defesas adicionais protegiam a encosta íngreme e a base da parede principal. Eles tinham como objetivo impedir que um aríete rompesse.</w:t>
      </w:r>
    </w:p>
    <w:p>
      <w:pPr>
        <w:pStyle w:val="Heading4"/>
      </w:pPr>
      <w:r>
        <w:t>Muros da cidade</w:t>
      </w:r>
    </w:p>
    <w:p>
      <w:r/>
      <w:r>
        <w:t>Construir uma parede simples poderia apenas interromper temporariamente o avanço de um inimigo, já que as paredes podiam ser escaladas ou quebradas. As paredes serviam como uma plataforma para os defensores contra-atacarem. O sistema de muralhas tinha três partes principais: a parede como barreira; uma estrutura superior para os defensores se posicionarem e se protegerem; e obstáculos e armadilhas na frente da parede para manter os arqueiros afastados e deter aríetes.</w:t>
      </w:r>
    </w:p>
    <w:p>
      <w:r/>
      <w:r>
        <w:t>O parapeito, uma característica protetora construída ao longo da borda superior da parede, proporcionava segurança e mobilidade aos defensores. Ele tinha aberturas para direcionar o fogo. De longe, os entalhes quadrados pareciam uma fileira de dentes com lacunas. Os dentes, chamados de merlões, atuavam como uma barreira contra mísseis inimigos. As lacunas, conhecidas como frestas ou ameias, permitiam que os defensores disparassem suas armas. Torres especiais projetavam-se da parede, espaçadas a não mais do que o dobro do alcance de um arco. Essas torres permitiam que os defensores atirassem nas tropas que se aproximavam das paredes. Para proteger a parede principal, os construtores podiam adicionar uma parede externa. Esta parede só poderia ser rompida ou escalada sob fogo pesado dos parapeitos da parede principal. Outro método era cavar um fosso largo e profundo ao redor da base da parede principal. Um fosso impedia o inimigo de usar um aríete, a menos que o atravessassem ou o preenchessem, tudo isso sob fogo pesado dos defensores.</w:t>
      </w:r>
    </w:p>
    <w:p>
      <w:r/>
      <w:r>
        <w:t xml:space="preserve">As fortificações de casamata, introduzidas no período do Bronze Médio, evoluíram a partir de paredes duplas feitas de pedras cortadas. O espaço entre as paredes era dividido em câmaras, ou casamatas, usadas para armazenamento ou habitação. O sistema de casamatas hitita, introduzido na Palestina na época de Saul, foi amplamente adotado na Síria e na Palestina. Um excelente exemplo foi encontrado em Gibeá, onde a cidadela de Saul estava localizada, datando do final do século 11 a.C. As paredes duplas, incluindo as casamatas, têm 4,6 metros (15 pés) de espessura. O mesmo tipo de construção foi encontrado em escavações de três cidades salomônicas: Hazor, Gezer e Megido (veja </w:t>
      </w:r>
      <w:hyperlink r:id="rId9737">
        <w:r>
          <w:rPr>
            <w:color w:val="0000EE"/>
            <w:u w:val="single"/>
          </w:rPr>
          <w:t>1Rs 9.15</w:t>
        </w:r>
      </w:hyperlink>
      <w:r>
        <w:t>). As paredes de casamatas dessas antigas cidades têm 5,5 metros (18 pés) de espessura.</w:t>
      </w:r>
    </w:p>
    <w:p>
      <w:r/>
      <w:r>
        <w:t>Os reinos divididos de Judá e Israel não eram conhecidos por sua tecnologia de guerra ofensiva. No entanto, vários reis se concentraram em melhorar as defesas. Uzias era especialmente conhecido por suas conquistas na guerra defensiva, "seus engenheiros construíram máquinas de guerra que eram postas nas torres e nas esquinas das muralhas, a fim de atirarem flechas e pedras grandes" (</w:t>
      </w:r>
      <w:hyperlink r:id="rId1065">
        <w:r>
          <w:rPr>
            <w:color w:val="0000EE"/>
            <w:u w:val="single"/>
          </w:rPr>
          <w:t>2Cr 26.15</w:t>
        </w:r>
      </w:hyperlink>
      <w:r>
        <w:t>). Essas máquinas eram estruturas protetoras especiais que ajudavam os arqueiros e permitiam que grandes pedras fossem lançadas sobre as tropas atacantes.</w:t>
      </w:r>
    </w:p>
    <w:p>
      <w:pPr>
        <w:pStyle w:val="Heading4"/>
      </w:pPr>
      <w:r>
        <w:t>Entrada</w:t>
      </w:r>
    </w:p>
    <w:p>
      <w:r/>
      <w:r>
        <w:t>Em qualquer ataque a uma cidade fortificada, o portão era sempre o principal alvo. Os portões da cidade eram projetados para colocar os atacantes em alto risco enquanto mantinham os defensores seguros. As estradas que levavam a uma cidade em uma colina subiam a encosta, seja para a esquerda ou para a direita. Essas estradas geralmente se aproximavam do portão pela direita, forçando os atacantes a expor seu lado direito aos defensores na muralha. Como seguravam seus escudos na mão esquerda, isso os tornava mais vulneráveis.</w:t>
      </w:r>
    </w:p>
    <w:p>
      <w:r/>
      <w:r>
        <w:t>Para evitar que as pesadas portas de madeira do portão pegassem fogo, as pessoas frequentemente as cobriam com metal. Um portão largo o suficiente para carruagens precisava de portas duplas. A linha onde as duas portas se encontravam era o ponto mais fraco. Para reforçá-la, adicionavam grandes ferrolhos e uma viga pesada na parte de trás de ambas as portas. Encaixes nos batentes das portas mantinham a viga no lugar.</w:t>
      </w:r>
    </w:p>
    <w:p>
      <w:r/>
      <w:r>
        <w:t>Outra parte do complexo de defesa em um portão incluía torres em cada lado do portão, projetando-se da face externa da muralha. Soldados inimigos tentando quebrar as portas com machados ou incendiá-las com tochas ficavam expostos a pesados ataques laterais dos defensores nas torres. De um telhado sobre o portão com uma varanda, os defensores podiam concentrar seu poder de fogo nos atacantes abaixo. Essas estruturas adicionais transformavam um portão em uma pequena fortaleza.</w:t>
      </w:r>
    </w:p>
    <w:p>
      <w:pPr>
        <w:pStyle w:val="Heading4"/>
      </w:pPr>
      <w:r>
        <w:t>Força interna</w:t>
      </w:r>
    </w:p>
    <w:p>
      <w:r/>
      <w:r>
        <w:t>Uma grande fraqueza das muralhas e portões de uma cidade era seu tamanho. Uma cidade média poderia ter um perímetro de 800 metros (meia milha), enquanto uma cidade maior poderia ter mais de 1,6 quilômetros (uma milha). Toda a muralha precisava ser defendida contra brechas, escaladas ou túneis. Um exército atacante usaria estratégias para dispersar os defensores ao longo de todo o perímetro, mas concentraria seu ataque principal em um ponto. Uma vez que os atacantes rompessem a muralha, as defesas do perímetro se tornariam inúteis. Portanto, as cidades frequentemente adicionavam muralhas internas para dividi-las em seções, cada uma capaz de se defender. Além disso, uma fortaleza seria construída no ponto mais alto da cidade como uma unidade defensiva separada.</w:t>
      </w:r>
    </w:p>
    <w:p>
      <w:r/>
      <w:r>
        <w:t xml:space="preserve">Os primeiros exemplos dessas fortificações, chamadas migdols, datam do final da Idade do Bronze. Eram pequenas cidadelas construídas para proteger alvos militares importantes, como fontes de água, rotas estratégicas, terras agrícolas ou fronteiras. Em 1960, arqueólogos descobriram um migdol perto de Asdode, Israel. Ele tinha um layout quadrado com bastiões retangulares e era de dois andares, semelhante a estruturas mostradas em relevos egípcios daquela época. As pessoas usavam o mesmo design para fortificar templos dentro das cidades. Esses templos fortificados serviam como locais de refúgio e como a última defesa de uma cidade se suas muralhas fossem violadas (veja </w:t>
      </w:r>
      <w:hyperlink r:id="rId10225">
        <w:r>
          <w:rPr>
            <w:color w:val="0000EE"/>
            <w:u w:val="single"/>
          </w:rPr>
          <w:t>Jz 9.45–51</w:t>
        </w:r>
      </w:hyperlink>
      <w:r>
        <w:t>).</w:t>
      </w:r>
    </w:p>
    <w:p>
      <w:r/>
      <w:r>
        <w:t>Em tempos posteriores, uma cidadela interna poderia incluir um complexo com o palácio fortificado do governador, as residências de seus principais ministros e, às vezes, um templo. Essas cidadelas pareciam cidades fortificadas, com uma muralha principal, um portão, uma muralha externa e, às vezes, um fosso. Pequenas e fortemente fortificadas, as cidadelas permitiam que o governador e as pessoas restantes as defendessem como último recurso. Zinri poderia ter resistido ao exército de Onri por muito tempo na cidadela de Tirza, se ele não a tivesse incendiado e cometido suicídio (</w:t>
      </w:r>
      <w:hyperlink r:id="rId10226">
        <w:r>
          <w:rPr>
            <w:color w:val="0000EE"/>
            <w:u w:val="single"/>
          </w:rPr>
          <w:t>1Rs 16.17,18</w:t>
        </w:r>
      </w:hyperlink>
      <w:r>
        <w:t>).</w:t>
      </w:r>
    </w:p>
    <w:p>
      <w:pPr>
        <w:pStyle w:val="Heading4"/>
      </w:pPr>
      <w:r>
        <w:t>Abastecimento de água durante o cerco</w:t>
      </w:r>
    </w:p>
    <w:p>
      <w:r/>
      <w:r>
        <w:t>Para defender uma cidade durante um longo cerco, era essencial garantir o suprimento de alimentos e água. Vários reis de Judá trabalharam para resolver a questão do armazenamento de alimentos. Por exemplo, Roboão fortaleceu várias cidades nas fronteiras ocidental, oriental e sul do seu reino. Ele as transformou em centros para armazenar alimentos, óleo e vinho (</w:t>
      </w:r>
      <w:hyperlink r:id="rId10227">
        <w:r>
          <w:rPr>
            <w:color w:val="0000EE"/>
            <w:u w:val="single"/>
          </w:rPr>
          <w:t>2Cr 11.5–11</w:t>
        </w:r>
      </w:hyperlink>
      <w:r>
        <w:t>).</w:t>
      </w:r>
    </w:p>
    <w:p>
      <w:r/>
      <w:r>
        <w:t>Armazenar alimentos era mais fácil do que armazenar água. Cisternas construídas para coletar água da chuva ajudavam, mas muitas vezes secavam, especialmente durante secas. As cidades às vezes eram construídas perto de riachos ou rios, usando a água como parte de sua defesa. No entanto, para uma cidade em uma colina, a fonte de água poderia ser uma nascente na base da encosta, fora das muralhas da cidade. Às vezes, as pessoas podiam bloquear a boca da nascente e esconder sua localização dos inimigos, permitindo ainda o acesso para os residentes. Em Megido, um poço vertical de 30 metros (100 pés) de profundidade conectava-se a um túnel horizontal de cerca de 61 metros (200 pés) de comprimento, levando ao abastecimento de água na extremidade oeste da cidade, além das fortificações. Este trabalho foi realizado durante o tempo de Salomão ou Acabe.</w:t>
      </w:r>
    </w:p>
    <w:p>
      <w:r/>
      <w:r>
        <w:t>Os esforços de Ezequias para garantir água fresca durante um cerco em Jerusalém são notáveis. Seu trabalho de engenharia é mencionado tanto no “Louvor dos Homens Famosos” na Bíblia quanto no livro apócrifo de Siraque (</w:t>
      </w:r>
      <w:hyperlink r:id="rId2782">
        <w:r>
          <w:rPr>
            <w:color w:val="0000EE"/>
            <w:u w:val="single"/>
          </w:rPr>
          <w:t>2Rs 20.20</w:t>
        </w:r>
      </w:hyperlink>
      <w:r>
        <w:t xml:space="preserve">; </w:t>
      </w:r>
      <w:hyperlink r:id="rId4863">
        <w:r>
          <w:rPr>
            <w:color w:val="0000EE"/>
            <w:u w:val="single"/>
          </w:rPr>
          <w:t>2Cr 32.30</w:t>
        </w:r>
      </w:hyperlink>
      <w:r>
        <w:t xml:space="preserve">; </w:t>
      </w:r>
      <w:hyperlink r:id="rId10228">
        <w:r>
          <w:rPr>
            <w:color w:val="0000EE"/>
            <w:u w:val="single"/>
          </w:rPr>
          <w:t>Si 48.17</w:t>
        </w:r>
      </w:hyperlink>
      <w:r>
        <w:t>). Ezequias selou a fonte de Giom e escavou um canal de 548 metros (1.800 pés) através da rocha para levar água até a cidade. Ezequias descreveu isso na inscrição de Siloé. Duas equipes trabalharam com martelos, cunhas e picaretas, começando de extremidades opostas. A equipe na fonte utilizou um túnel mais antigo (</w:t>
      </w:r>
      <w:hyperlink r:id="rId10229">
        <w:r>
          <w:rPr>
            <w:color w:val="0000EE"/>
            <w:u w:val="single"/>
          </w:rPr>
          <w:t>Is 22.11</w:t>
        </w:r>
      </w:hyperlink>
      <w:r>
        <w:t>) e moveu-se para o sul em direção à cidade. A outra equipe começou no reservatório, movendo-se para nordeste, depois sudeste, até se alinhar com a primeira equipe. Elas quase se desencontraram, ficando cerca de um metro e meio (cinco pés) de distância, mas um grito através de uma fenda na rocha ajudou-as a se conectar. Ambas as equipes viraram bruscamente à direita, completando o túnel. As ações de Ezequias, tomadas antes da invasão de Senaqueribe a Judá, explicam por que os assírios não conseguiram capturar Jerusalém, ao contrário de Samaria durante o tempo de Sargão.</w:t>
      </w:r>
    </w:p>
    <w:p>
      <w:pPr>
        <w:pStyle w:val="Heading3"/>
      </w:pPr>
      <w:r>
        <w:t>Organização militar hebraica</w:t>
      </w:r>
    </w:p>
    <w:p>
      <w:pPr>
        <w:pStyle w:val="Heading4"/>
      </w:pPr>
      <w:r>
        <w:t>Exército tribal</w:t>
      </w:r>
    </w:p>
    <w:p>
      <w:r/>
      <w:r>
        <w:t>Quando os israelitas deixaram o Egito, eles foram organizados por tribos e divisões. Essa organização serviu de exemplo para a estrutura militar. Após permanecerem no Monte Sinai, as 12 tribos foram divididas em divisões ou corpos de exército, e as patentes militares começaram a se formar. Os "oficiais do exército" (</w:t>
      </w:r>
      <w:hyperlink r:id="rId10230">
        <w:r>
          <w:rPr>
            <w:color w:val="0000EE"/>
            <w:u w:val="single"/>
          </w:rPr>
          <w:t>Nm 31.14</w:t>
        </w:r>
      </w:hyperlink>
      <w:r>
        <w:t>) comandavam unidades de 1.000 ou 100 homens, indicando que o exército estava dividido em grupos de dez. Mais tarde, houve referências a unidades de:</w:t>
      </w:r>
    </w:p>
    <w:p>
      <w:pPr>
        <w:pStyle w:val="ListBullet"/>
        <w:spacing w:line="240" w:lineRule="auto"/>
        <w:ind w:left="720"/>
      </w:pPr>
      <w:r/>
      <w:r>
        <w:t>Mil (a divisão);</w:t>
      </w:r>
    </w:p>
    <w:p>
      <w:pPr>
        <w:pStyle w:val="ListBullet"/>
        <w:spacing w:line="240" w:lineRule="auto"/>
        <w:ind w:left="720"/>
      </w:pPr>
      <w:r/>
      <w:r>
        <w:t>Cem (a companhia);</w:t>
      </w:r>
    </w:p>
    <w:p>
      <w:pPr>
        <w:pStyle w:val="ListBullet"/>
        <w:spacing w:line="240" w:lineRule="auto"/>
        <w:ind w:left="720"/>
      </w:pPr>
      <w:r/>
      <w:r>
        <w:t>Cinquenta (o pelotão);</w:t>
      </w:r>
    </w:p>
    <w:p>
      <w:pPr>
        <w:pStyle w:val="ListBullet"/>
        <w:spacing w:line="240" w:lineRule="auto"/>
        <w:ind w:left="720"/>
      </w:pPr>
      <w:r/>
      <w:r>
        <w:t>Dez (a seção).</w:t>
      </w:r>
    </w:p>
    <w:p>
      <w:r/>
      <w:r>
        <w:t>Exceto pelos levitas, que cuidavam do tabernáculo (</w:t>
      </w:r>
      <w:hyperlink r:id="rId10231">
        <w:r>
          <w:rPr>
            <w:color w:val="0000EE"/>
            <w:u w:val="single"/>
          </w:rPr>
          <w:t>Nm 2.33</w:t>
        </w:r>
      </w:hyperlink>
      <w:r>
        <w:t xml:space="preserve">), homens com 20 anos ou mais que podiam lutar eram designados para o exército tribal. No entanto, alguns indivíduos estavam isentos do serviço militar (veja </w:t>
      </w:r>
      <w:hyperlink r:id="rId10232">
        <w:r>
          <w:rPr>
            <w:color w:val="0000EE"/>
            <w:u w:val="single"/>
          </w:rPr>
          <w:t>Dt 20.5–9</w:t>
        </w:r>
      </w:hyperlink>
      <w:r>
        <w:t xml:space="preserve">; </w:t>
      </w:r>
      <w:hyperlink r:id="rId10233">
        <w:r>
          <w:rPr>
            <w:color w:val="0000EE"/>
            <w:u w:val="single"/>
          </w:rPr>
          <w:t>24.5</w:t>
        </w:r>
      </w:hyperlink>
      <w:r>
        <w:t xml:space="preserve">; </w:t>
      </w:r>
      <w:hyperlink r:id="rId10234">
        <w:r>
          <w:rPr>
            <w:color w:val="0000EE"/>
            <w:u w:val="single"/>
          </w:rPr>
          <w:t>Jz 7.3</w:t>
        </w:r>
      </w:hyperlink>
      <w:r>
        <w:t>).</w:t>
      </w:r>
    </w:p>
    <w:p>
      <w:r/>
      <w:r>
        <w:t>Mesmo após a conquista de Canaã, o exército tribal era principalmente uma milícia (um exército de cidadãos comuns) convocada durante emergências. A tribo gerenciava a organização da milícia. Cada clã e família enviava o número necessário de guerreiros quando os líderes tribais os chamavam para a batalha. Como o clã era a unidade básica, os recrutas seguiam seus próprios líderes. Por exemplo, os irmãos de Davi serviram em uma divisão composta por combatentes de seu clã, liderada por um capitão (</w:t>
      </w:r>
      <w:hyperlink r:id="rId10235">
        <w:r>
          <w:rPr>
            <w:color w:val="0000EE"/>
            <w:u w:val="single"/>
          </w:rPr>
          <w:t>1Sm 17.18</w:t>
        </w:r>
      </w:hyperlink>
      <w:r>
        <w:t xml:space="preserve">; </w:t>
      </w:r>
      <w:hyperlink r:id="rId10236">
        <w:r>
          <w:rPr>
            <w:color w:val="0000EE"/>
            <w:u w:val="single"/>
          </w:rPr>
          <w:t>18.13</w:t>
        </w:r>
      </w:hyperlink>
      <w:r>
        <w:t>). Quando a emergência terminava, a milícia se dissolvia, e os soldados retornavam às suas áreas de origem.</w:t>
      </w:r>
    </w:p>
    <w:p>
      <w:r/>
      <w:r>
        <w:t xml:space="preserve">Antes de Saul, nenhum líder tribal ou de clã controlava todo o grupo de tribos trabalhando juntas (confederação tribal) porque a terra estava dividida entre as tribos (veja </w:t>
      </w:r>
      <w:hyperlink r:id="rId1135">
        <w:r>
          <w:rPr>
            <w:color w:val="0000EE"/>
            <w:u w:val="single"/>
          </w:rPr>
          <w:t>1Sm 11.1–11</w:t>
        </w:r>
      </w:hyperlink>
      <w:r>
        <w:t xml:space="preserve">). Ciúmes e rivalidades tribais frequentemente ameaçavam a unidade nacional e dificultavam a ação conjunta, mesmo em tempos críticos. No entanto, às vezes uma crise severa forçava os exércitos das tribos a se unirem. Esses exércitos multitribais eram organizados em companhias de 1.000, 100 e 50, e divididos em famílias sob oficiais nomeados. Há evidências de organização baseada em tipos de armas (veja </w:t>
      </w:r>
      <w:hyperlink r:id="rId10237">
        <w:r>
          <w:rPr>
            <w:color w:val="0000EE"/>
            <w:u w:val="single"/>
          </w:rPr>
          <w:t>1Cr 12.24–38</w:t>
        </w:r>
      </w:hyperlink>
      <w:r>
        <w:t>). A tribo de Benjamim se especializava no arco e na funda, enquanto as tribos de Gade, Judá e Naftali eram habilidosas com a lança e o escudo.</w:t>
      </w:r>
    </w:p>
    <w:p>
      <w:r/>
      <w:r>
        <w:t>Cada tribo precisava fornecer seu próprio exército (</w:t>
      </w:r>
      <w:hyperlink r:id="rId10238">
        <w:r>
          <w:rPr>
            <w:color w:val="0000EE"/>
            <w:u w:val="single"/>
          </w:rPr>
          <w:t>Jz 20.9,10</w:t>
        </w:r>
      </w:hyperlink>
      <w:r>
        <w:t xml:space="preserve">). Um em cada dez soldados coletava alimentos para os outros, seja de proprietários ricos (veja </w:t>
      </w:r>
      <w:hyperlink r:id="rId6573">
        <w:r>
          <w:rPr>
            <w:color w:val="0000EE"/>
            <w:u w:val="single"/>
          </w:rPr>
          <w:t>1Sm 25</w:t>
        </w:r>
      </w:hyperlink>
      <w:r>
        <w:t xml:space="preserve">) ou de recursos naturais. Naquela organização militar inicial, os soldados geralmente eram pagos com suprimentos e uma parte dos despojos de batalha (veja </w:t>
      </w:r>
      <w:hyperlink r:id="rId10239">
        <w:r>
          <w:rPr>
            <w:color w:val="0000EE"/>
            <w:u w:val="single"/>
          </w:rPr>
          <w:t>1Sm 30.21–25</w:t>
        </w:r>
      </w:hyperlink>
      <w:r>
        <w:t>).</w:t>
      </w:r>
    </w:p>
    <w:p>
      <w:pPr>
        <w:pStyle w:val="Heading4"/>
      </w:pPr>
      <w:r>
        <w:t>Exército profissional</w:t>
      </w:r>
    </w:p>
    <w:p>
      <w:r/>
      <w:r>
        <w:t>Israel não tinha um exército regular até o reino unido. A transição de uma milícia popular para um exército profissional ocorreu sob Saul. Durante seu governo, Saul transformou o sistema de tribos separadas em um reino com um único governante (</w:t>
      </w:r>
      <w:hyperlink r:id="rId10240">
        <w:r>
          <w:rPr>
            <w:color w:val="0000EE"/>
            <w:u w:val="single"/>
          </w:rPr>
          <w:t>1Sm 13.2</w:t>
        </w:r>
      </w:hyperlink>
      <w:r>
        <w:t>). Os ataques dos filisteus a Israel levaram à criação de um exército permanente forte. No entanto, o exército era pequeno, com 3.000 homens divididos em três grupos de 1.000 cada (</w:t>
      </w:r>
      <w:hyperlink r:id="rId10240">
        <w:r>
          <w:rPr>
            <w:color w:val="0000EE"/>
            <w:u w:val="single"/>
          </w:rPr>
          <w:t>1Sm 13.2</w:t>
        </w:r>
      </w:hyperlink>
      <w:r>
        <w:t xml:space="preserve">; </w:t>
      </w:r>
      <w:hyperlink r:id="rId10241">
        <w:r>
          <w:rPr>
            <w:color w:val="0000EE"/>
            <w:u w:val="single"/>
          </w:rPr>
          <w:t>24.2</w:t>
        </w:r>
      </w:hyperlink>
      <w:r>
        <w:t>). Às vezes, esses soldados de carreira recebiam concessões de terras como pagamento (</w:t>
      </w:r>
      <w:hyperlink r:id="rId10242">
        <w:r>
          <w:rPr>
            <w:color w:val="0000EE"/>
            <w:u w:val="single"/>
          </w:rPr>
          <w:t>1Sm 8.14</w:t>
        </w:r>
      </w:hyperlink>
      <w:r>
        <w:t>) e uma parte do saque. No exército de Saul, Abner, Jônatas e Davi tinham papéis específicos. Abner foi nomeado comandante do exército (</w:t>
      </w:r>
      <w:hyperlink r:id="rId10243">
        <w:r>
          <w:rPr>
            <w:color w:val="0000EE"/>
            <w:u w:val="single"/>
          </w:rPr>
          <w:t>1Sm 17.55</w:t>
        </w:r>
      </w:hyperlink>
      <w:r>
        <w:t>) e provavelmente liderava uma das divisões. O grupo de homens valentes de Davi, conhecido como “os trinta”, formou o núcleo de liderança de seu exército quando ele se tornou rei.</w:t>
      </w:r>
    </w:p>
    <w:p>
      <w:r/>
      <w:r>
        <w:t>Davi manteve um exército profissional e criou uma milícia nacional com 12 regimentos. Cada regimento servia por um mês ao ano sob o comando de oficiais profissionais (</w:t>
      </w:r>
      <w:hyperlink r:id="rId10244">
        <w:r>
          <w:rPr>
            <w:color w:val="0000EE"/>
            <w:u w:val="single"/>
          </w:rPr>
          <w:t>1Cr 27.1–15</w:t>
        </w:r>
      </w:hyperlink>
      <w:r>
        <w:t>). Cada regimento, recrutado de diferentes tribos, tinha 24.000 soldados. Este sistema dava a Davi uma grande força de reserva para emergências. As reservas e provavelmente o exército profissional eram organizados em unidades de 1.000, 100, 50 e 10. Joabe, um especialista em guerra de cerco (</w:t>
      </w:r>
      <w:hyperlink r:id="rId10217">
        <w:r>
          <w:rPr>
            <w:color w:val="0000EE"/>
            <w:u w:val="single"/>
          </w:rPr>
          <w:t>2Sm 20.15</w:t>
        </w:r>
      </w:hyperlink>
      <w:r>
        <w:t>), liderava o exército profissional, enquanto Amasa liderava a milícia dos cidadãos. Davi era o comandante geral das forças militares.</w:t>
      </w:r>
    </w:p>
    <w:p>
      <w:r/>
      <w:r>
        <w:t>O exército profissional do Rei Davi se desenvolveu a partir de um pequeno grupo de combatentes que o serviram durante seu conflito com Saul. Este grupo veterano incluía a família de Davi, membros do clã e outros que se sentiam oprimidos pelo governo de Saul (</w:t>
      </w:r>
      <w:hyperlink r:id="rId10245">
        <w:r>
          <w:rPr>
            <w:color w:val="0000EE"/>
            <w:u w:val="single"/>
          </w:rPr>
          <w:t>1Sm 22.1,2</w:t>
        </w:r>
      </w:hyperlink>
      <w:r>
        <w:t>). O grupo tinha entre 400 e 600 homens (</w:t>
      </w:r>
      <w:hyperlink r:id="rId7369">
        <w:r>
          <w:rPr>
            <w:color w:val="0000EE"/>
            <w:u w:val="single"/>
          </w:rPr>
          <w:t>1Sm 22.2</w:t>
        </w:r>
      </w:hyperlink>
      <w:r>
        <w:t xml:space="preserve">; </w:t>
      </w:r>
      <w:hyperlink r:id="rId10246">
        <w:r>
          <w:rPr>
            <w:color w:val="0000EE"/>
            <w:u w:val="single"/>
          </w:rPr>
          <w:t>23.13</w:t>
        </w:r>
      </w:hyperlink>
      <w:r>
        <w:t xml:space="preserve">; </w:t>
      </w:r>
      <w:hyperlink r:id="rId10247">
        <w:r>
          <w:rPr>
            <w:color w:val="0000EE"/>
            <w:u w:val="single"/>
          </w:rPr>
          <w:t>27.2</w:t>
        </w:r>
      </w:hyperlink>
      <w:r>
        <w:t>). Mercenários (soldados pagos) eram claramente parte do exército de Davi. Urias, o hitita, e Itai de Gate são exemplos notáveis, junto com muitos soldados de carreira de origens filisteias, como os queretitas e os peletitas sob o comando de Benaia (</w:t>
      </w:r>
      <w:hyperlink r:id="rId10248">
        <w:r>
          <w:rPr>
            <w:color w:val="0000EE"/>
            <w:u w:val="single"/>
          </w:rPr>
          <w:t>2Sm 8.18</w:t>
        </w:r>
      </w:hyperlink>
      <w:r>
        <w:t xml:space="preserve">; </w:t>
      </w:r>
      <w:hyperlink r:id="rId10249">
        <w:r>
          <w:rPr>
            <w:color w:val="0000EE"/>
            <w:u w:val="single"/>
          </w:rPr>
          <w:t>15.19–22</w:t>
        </w:r>
      </w:hyperlink>
      <w:r>
        <w:t xml:space="preserve">; </w:t>
      </w:r>
      <w:hyperlink r:id="rId10250">
        <w:r>
          <w:rPr>
            <w:color w:val="0000EE"/>
            <w:u w:val="single"/>
          </w:rPr>
          <w:t>23.22–23</w:t>
        </w:r>
      </w:hyperlink>
      <w:r>
        <w:t>).</w:t>
      </w:r>
    </w:p>
    <w:p>
      <w:r/>
      <w:r>
        <w:t xml:space="preserve">Os governantes que descendiam do Rei Davi e governaram após ele mantiveram um exército permanente de soldados pagos até 701 a.C. Depois disso, tornou-se muito caro. O alto custo de manutenção desse exército, financiado por pesados impostos e trabalho forçado, foi uma razão chave para os problemas do reino após a morte de Salomão (veja </w:t>
      </w:r>
      <w:hyperlink r:id="rId10251">
        <w:r>
          <w:rPr>
            <w:color w:val="0000EE"/>
            <w:u w:val="single"/>
          </w:rPr>
          <w:t>1Rs 10.26–29</w:t>
        </w:r>
      </w:hyperlink>
      <w:r>
        <w:t xml:space="preserve">; </w:t>
      </w:r>
      <w:hyperlink r:id="rId10252">
        <w:r>
          <w:rPr>
            <w:color w:val="0000EE"/>
            <w:u w:val="single"/>
          </w:rPr>
          <w:t>12.4–19</w:t>
        </w:r>
      </w:hyperlink>
      <w:r>
        <w:t>). Após a invasão de Senaqueribe em 701 a.C., o reino do sul de Judá passou a depender inteiramente de uma milícia de cidadãos para defesa. As pessoas geralmente acreditam que o reino do norte de Israel não usava um exército profissional, mas o Rei Acabe usou alguns mercenários para se defender contra Ben-Hadade da Síria (</w:t>
      </w:r>
      <w:hyperlink r:id="rId10253">
        <w:r>
          <w:rPr>
            <w:color w:val="0000EE"/>
            <w:u w:val="single"/>
          </w:rPr>
          <w:t>1Rs 20.15–20</w:t>
        </w:r>
      </w:hyperlink>
      <w:r>
        <w:t>).</w:t>
      </w:r>
    </w:p>
    <w:p>
      <w:r/>
      <w:r>
        <w:rPr>
          <w:i/>
        </w:rPr>
        <w:t xml:space="preserve">Veja </w:t>
      </w:r>
      <w:r>
        <w:t>Armaduras e armas</w:t>
      </w:r>
      <w:r>
        <w:t>.</w:t>
      </w:r>
      <w:r/>
      <w:r/>
    </w:p>
    <w:p>
      <w:r/>
    </w:p>
    <w:p>
      <w:pPr>
        <w:pStyle w:val="Heading2"/>
      </w:pPr>
      <w:r>
        <w:t>Guerra santa</w:t>
      </w:r>
      <w:r/>
    </w:p>
    <w:p>
      <w:r/>
      <w:r>
        <w:t xml:space="preserve">Um tipo de guerra é descrito no livro de Deuteronômio, especialmente no cap. </w:t>
      </w:r>
      <w:hyperlink r:id="rId10254">
        <w:r>
          <w:rPr>
            <w:color w:val="0000EE"/>
            <w:u w:val="single"/>
          </w:rPr>
          <w:t>20</w:t>
        </w:r>
      </w:hyperlink>
      <w:r>
        <w:t>. A guerra santa não era travada apenas por reis e seus soldados treinados. É vista como a guerra de Deus. Deus está diretamente envolvido ao lado de seu povo da aliança, que é escolhido para lutar em Seu nome.</w:t>
      </w:r>
    </w:p>
    <w:p>
      <w:r/>
      <w:r>
        <w:t>O tamanho do exército não era importante. Às vezes, os números eram até reduzidos para mostrar que a vitória não vinha da força militar, mas da ação de Deus contra seus inimigos. Quando Israel obedecia a Deus e seguia suas instruções de batalha, a guerra estava de acordo com a vontade de Deus. Deus a comandava, e seu povo confiava nele na batalha.</w:t>
      </w:r>
    </w:p>
    <w:p>
      <w:r/>
      <w:r>
        <w:t>Deus é chamado de “homem de guerra”, e a Bíblia diz que “a batalha é do Senhor” (</w:t>
      </w:r>
      <w:hyperlink r:id="rId10255">
        <w:r>
          <w:rPr>
            <w:color w:val="0000EE"/>
            <w:u w:val="single"/>
          </w:rPr>
          <w:t>1Sm 17.47</w:t>
        </w:r>
      </w:hyperlink>
      <w:r>
        <w:t xml:space="preserve">; cp. </w:t>
      </w:r>
      <w:hyperlink r:id="rId10256">
        <w:r>
          <w:rPr>
            <w:color w:val="0000EE"/>
            <w:u w:val="single"/>
          </w:rPr>
          <w:t>18.17</w:t>
        </w:r>
      </w:hyperlink>
      <w:r>
        <w:t xml:space="preserve">; </w:t>
      </w:r>
      <w:hyperlink r:id="rId10257">
        <w:r>
          <w:rPr>
            <w:color w:val="0000EE"/>
            <w:u w:val="single"/>
          </w:rPr>
          <w:t>25.28</w:t>
        </w:r>
      </w:hyperlink>
      <w:r>
        <w:t>). Com essa fé, é fácil entender como os israelitas viam a guerra santa como uma forma de Deus agir através deles. Eles acreditavam que seus inimigos eram também inimigos de Deus. Eles pensavam que Deus os usaria para cumprir Seus propósitos de salvação para o mundo.</w:t>
      </w:r>
    </w:p>
    <w:p>
      <w:pPr>
        <w:pStyle w:val="Heading3"/>
      </w:pPr>
      <w:r>
        <w:t>Exemplos de Guerra Santa na Bíblia</w:t>
      </w:r>
    </w:p>
    <w:p>
      <w:r/>
      <w:r>
        <w:t>Moisés acreditava que Deus declarou guerra e enviou seu povo para lutar (</w:t>
      </w:r>
      <w:hyperlink r:id="rId10258">
        <w:r>
          <w:rPr>
            <w:color w:val="0000EE"/>
            <w:u w:val="single"/>
          </w:rPr>
          <w:t>Êx 17.16</w:t>
        </w:r>
      </w:hyperlink>
      <w:r>
        <w:t xml:space="preserve">; </w:t>
      </w:r>
      <w:hyperlink r:id="rId10259">
        <w:r>
          <w:rPr>
            <w:color w:val="0000EE"/>
            <w:u w:val="single"/>
          </w:rPr>
          <w:t>Nm 31.3</w:t>
        </w:r>
      </w:hyperlink>
      <w:r>
        <w:t>). Em momentos-chave na guerra, "o terror do Senhor" caía sobre o inimigo. Isso permitia que o exército menor de Israel derrotasse exércitos muito maiores (</w:t>
      </w:r>
      <w:hyperlink r:id="rId10260">
        <w:r>
          <w:rPr>
            <w:color w:val="0000EE"/>
            <w:u w:val="single"/>
          </w:rPr>
          <w:t>Js 10.10–14</w:t>
        </w:r>
      </w:hyperlink>
      <w:r>
        <w:t xml:space="preserve">; </w:t>
      </w:r>
      <w:hyperlink r:id="rId10261">
        <w:r>
          <w:rPr>
            <w:color w:val="0000EE"/>
            <w:u w:val="single"/>
          </w:rPr>
          <w:t>Jz 4.12–16</w:t>
        </w:r>
      </w:hyperlink>
      <w:r>
        <w:t xml:space="preserve">; </w:t>
      </w:r>
      <w:hyperlink r:id="rId10262">
        <w:r>
          <w:rPr>
            <w:color w:val="0000EE"/>
            <w:u w:val="single"/>
          </w:rPr>
          <w:t>2Sm 5.24–25</w:t>
        </w:r>
      </w:hyperlink>
      <w:r>
        <w:t>).</w:t>
      </w:r>
    </w:p>
    <w:p>
      <w:r/>
      <w:r>
        <w:t>Em um momento de crise militar, o profeta Eliseu foi capaz de ver o exército celestial de Deus cercando Samaria, pronto para derrotar os poderosos exércitos sírios. Eliseu orou, e os soldados sírios ficaram cegos e se tornaram impotentes contra Israel (</w:t>
      </w:r>
      <w:hyperlink r:id="rId10263">
        <w:r>
          <w:rPr>
            <w:color w:val="0000EE"/>
            <w:u w:val="single"/>
          </w:rPr>
          <w:t>2Rs 6.15–23</w:t>
        </w:r>
      </w:hyperlink>
      <w:r>
        <w:t>).</w:t>
      </w:r>
    </w:p>
    <w:p>
      <w:pPr>
        <w:pStyle w:val="Heading3"/>
      </w:pPr>
      <w:r>
        <w:t>Como Israel buscou a orientação de Deus na Guerra</w:t>
      </w:r>
    </w:p>
    <w:p>
      <w:r/>
      <w:r>
        <w:t>Diferentes métodos foram utilizados para descobrir a vontade de Deus e garantir sua participação ativa na batalha. Estes incluíam:</w:t>
      </w:r>
    </w:p>
    <w:p>
      <w:pPr>
        <w:pStyle w:val="ListBullet"/>
        <w:spacing w:line="240" w:lineRule="auto"/>
        <w:ind w:left="720"/>
      </w:pPr>
      <w:r/>
      <w:r>
        <w:t>mensagens de profetas (</w:t>
      </w:r>
      <w:hyperlink r:id="rId10264">
        <w:r>
          <w:rPr>
            <w:color w:val="0000EE"/>
            <w:u w:val="single"/>
          </w:rPr>
          <w:t>1Rs 22.5–23</w:t>
        </w:r>
      </w:hyperlink>
      <w:r>
        <w:t>);</w:t>
      </w:r>
    </w:p>
    <w:p>
      <w:pPr>
        <w:pStyle w:val="ListBullet"/>
        <w:spacing w:line="240" w:lineRule="auto"/>
        <w:ind w:left="720"/>
      </w:pPr>
      <w:r/>
      <w:r>
        <w:t>objetos especiais usados para determinar a vontade de Deus, chamados Urim e Tumim (</w:t>
      </w:r>
      <w:hyperlink r:id="rId10265">
        <w:r>
          <w:rPr>
            <w:color w:val="0000EE"/>
            <w:u w:val="single"/>
          </w:rPr>
          <w:t>Êx 28.30</w:t>
        </w:r>
      </w:hyperlink>
      <w:r>
        <w:t xml:space="preserve">; </w:t>
      </w:r>
      <w:hyperlink r:id="rId10266">
        <w:r>
          <w:rPr>
            <w:color w:val="0000EE"/>
            <w:u w:val="single"/>
          </w:rPr>
          <w:t>Lv 8.8</w:t>
        </w:r>
      </w:hyperlink>
      <w:r>
        <w:t>);</w:t>
      </w:r>
    </w:p>
    <w:p>
      <w:pPr>
        <w:pStyle w:val="ListBullet"/>
        <w:spacing w:line="240" w:lineRule="auto"/>
        <w:ind w:left="720"/>
      </w:pPr>
      <w:r/>
      <w:r>
        <w:t>uma vestimenta sacerdotal chamada éfode (</w:t>
      </w:r>
      <w:hyperlink r:id="rId7683">
        <w:r>
          <w:rPr>
            <w:color w:val="0000EE"/>
            <w:u w:val="single"/>
          </w:rPr>
          <w:t>1Sm 30.7</w:t>
        </w:r>
      </w:hyperlink>
      <w:r>
        <w:t>) e;</w:t>
      </w:r>
    </w:p>
    <w:p>
      <w:pPr>
        <w:pStyle w:val="ListBullet"/>
        <w:spacing w:line="240" w:lineRule="auto"/>
        <w:ind w:left="720"/>
      </w:pPr>
      <w:r/>
      <w:r>
        <w:t>A Arca da Aliança.</w:t>
      </w:r>
    </w:p>
    <w:p>
      <w:r/>
      <w:r>
        <w:t>Os líderes de Israel buscavam a orientação de Deus para suas estratégias militares. Nenhum passo era dado sem a aprovação e orientação de Deus (</w:t>
      </w:r>
      <w:hyperlink r:id="rId10267">
        <w:r>
          <w:rPr>
            <w:color w:val="0000EE"/>
            <w:u w:val="single"/>
          </w:rPr>
          <w:t>2Sm 5.19–23</w:t>
        </w:r>
      </w:hyperlink>
      <w:r>
        <w:t>).</w:t>
      </w:r>
    </w:p>
    <w:p>
      <w:pPr>
        <w:pStyle w:val="Heading3"/>
      </w:pPr>
      <w:r>
        <w:t>Guerra Santa e a Terra Prometida</w:t>
      </w:r>
    </w:p>
    <w:p>
      <w:r/>
      <w:r>
        <w:t>Desde que Deus prometeu a terra de Canaã ao povo de Israel, ela era de fato a terra prometida. A Bíblia a descreve como pertencente a eles por aliança divina (um acordo vinculativo feito por Deus com seu povo). A terra prometida era, nesse sentido, "a Terra Santa". Defender essa terra contra invasores era considerado uma guerra santa. O inimigo invasor estava entrando em um território sagrado que pertencia ao povo de Deus por decreto imutável. Assim, invadir a terra prometida atraía o julgamento de Deus sobre si mesmos.</w:t>
      </w:r>
    </w:p>
    <w:p>
      <w:pPr>
        <w:pStyle w:val="Heading3"/>
      </w:pPr>
      <w:r>
        <w:t>A completa destruição dos inimigos</w:t>
      </w:r>
    </w:p>
    <w:p>
      <w:r/>
      <w:r>
        <w:t xml:space="preserve">Dessa perspectiva, a destruição completa dos inimigos de Israel era necessária. Isso era especialmente verdadeiro para inimigos pagãos e corruptos. A palavra hebraica </w:t>
      </w:r>
      <w:r>
        <w:rPr>
          <w:i/>
        </w:rPr>
        <w:t>herem</w:t>
      </w:r>
      <w:r>
        <w:t xml:space="preserve"> originalmente significava "dedicado". Passou a significar "dedicado à destruição" como algo hostil ao governo de Deus (</w:t>
      </w:r>
      <w:hyperlink r:id="rId10268">
        <w:r>
          <w:rPr>
            <w:color w:val="0000EE"/>
            <w:u w:val="single"/>
          </w:rPr>
          <w:t>Js 6.17–18</w:t>
        </w:r>
      </w:hyperlink>
      <w:r>
        <w:t>). O plano de Deus não deve ser impedido, bloqueado ou interrompido por qualquer idolatria degradante ou imoralidade corruptora (</w:t>
      </w:r>
      <w:hyperlink r:id="rId6981">
        <w:r>
          <w:rPr>
            <w:color w:val="0000EE"/>
            <w:u w:val="single"/>
          </w:rPr>
          <w:t>Dt 7</w:t>
        </w:r>
      </w:hyperlink>
      <w:r>
        <w:t>).</w:t>
      </w:r>
    </w:p>
    <w:p>
      <w:r/>
      <w:r>
        <w:t>Cidades inimigas dentro da terra prometida deveriam ser completamente destruídas (uma prática conhecida como "o banimento"). Somente prata, ouro, bronze e vasos de ferro deveriam ser poupados. Eles foram colocados na tesouraria de Deus como itens sagrados (</w:t>
      </w:r>
      <w:hyperlink r:id="rId10269">
        <w:r>
          <w:rPr>
            <w:color w:val="0000EE"/>
            <w:u w:val="single"/>
          </w:rPr>
          <w:t>Js 6.17–21</w:t>
        </w:r>
      </w:hyperlink>
      <w:r>
        <w:t xml:space="preserve">; </w:t>
      </w:r>
      <w:hyperlink r:id="rId10270">
        <w:r>
          <w:rPr>
            <w:color w:val="0000EE"/>
            <w:u w:val="single"/>
          </w:rPr>
          <w:t>1Sm 15.3</w:t>
        </w:r>
      </w:hyperlink>
      <w:r>
        <w:t>).</w:t>
      </w:r>
    </w:p>
    <w:p>
      <w:pPr>
        <w:pStyle w:val="Heading3"/>
      </w:pPr>
      <w:r>
        <w:t>Guerra Santa e o futuro de paz de Deus</w:t>
      </w:r>
    </w:p>
    <w:p>
      <w:r/>
      <w:r>
        <w:t>Havia um aspecto distinto voltado para o futuro no conceito de guerra santa. Ele ia além das vitórias de Deus em batalhas específicas e apontava para o fim de toda guerra e conflito. Também apontava para um tempo final de paz que demonstrará a retidão e a soberania dos propósitos salvadores de Deus. Também evidenciará a preocupação e o objetivo de Deus para o seu próprio povo.</w:t>
      </w:r>
    </w:p>
    <w:p>
      <w:r/>
      <w:r>
        <w:t>Um tempo final de paz virá após Deus derrotar todo o mal. Depois disso, armas de guerra serão transformadas em ferramentas para a paz (</w:t>
      </w:r>
      <w:hyperlink r:id="rId10271">
        <w:r>
          <w:rPr>
            <w:color w:val="0000EE"/>
            <w:u w:val="single"/>
          </w:rPr>
          <w:t>Is 2.4</w:t>
        </w:r>
      </w:hyperlink>
      <w:r>
        <w:t xml:space="preserve">; </w:t>
      </w:r>
      <w:hyperlink r:id="rId10272">
        <w:r>
          <w:rPr>
            <w:color w:val="0000EE"/>
            <w:u w:val="single"/>
          </w:rPr>
          <w:t>Mq 4.3</w:t>
        </w:r>
      </w:hyperlink>
      <w:r>
        <w:t>). Isso acontecerá sob o governo do Messias (o líder escolhido por Deus), o Príncipe da Paz (</w:t>
      </w:r>
      <w:hyperlink r:id="rId5463">
        <w:r>
          <w:rPr>
            <w:color w:val="0000EE"/>
            <w:u w:val="single"/>
          </w:rPr>
          <w:t>Is 9.6</w:t>
        </w:r>
      </w:hyperlink>
      <w:r>
        <w:t>). Ele triunfará sobre todos os inimigos de Deus no Grande Dia do Senhor (</w:t>
      </w:r>
      <w:hyperlink r:id="rId10273">
        <w:r>
          <w:rPr>
            <w:color w:val="0000EE"/>
            <w:u w:val="single"/>
          </w:rPr>
          <w:t>Sl 110</w:t>
        </w:r>
      </w:hyperlink>
      <w:r>
        <w:t xml:space="preserve">; </w:t>
      </w:r>
      <w:hyperlink r:id="rId3470">
        <w:r>
          <w:rPr>
            <w:color w:val="0000EE"/>
            <w:u w:val="single"/>
          </w:rPr>
          <w:t>Dn 7</w:t>
        </w:r>
      </w:hyperlink>
      <w:r>
        <w:t xml:space="preserve">; </w:t>
      </w:r>
      <w:hyperlink r:id="rId10274">
        <w:r>
          <w:rPr>
            <w:color w:val="0000EE"/>
            <w:u w:val="single"/>
          </w:rPr>
          <w:t>Zc 14</w:t>
        </w:r>
      </w:hyperlink>
      <w:r>
        <w:t>).</w:t>
      </w:r>
      <w:r/>
      <w:r/>
    </w:p>
    <w:p>
      <w:r/>
    </w:p>
    <w:p>
      <w:pPr>
        <w:pStyle w:val="Heading2"/>
      </w:pPr>
      <w:r>
        <w:t>Guisado</w:t>
      </w:r>
      <w:r/>
    </w:p>
    <w:p>
      <w:r/>
      <w:r>
        <w:t>Ensopado de vegetais de cor vermelha, comumente servido no AT (</w:t>
      </w:r>
      <w:hyperlink r:id="rId541">
        <w:r>
          <w:rPr>
            <w:color w:val="0000EE"/>
            <w:u w:val="single"/>
          </w:rPr>
          <w:t>Ag 2.12</w:t>
        </w:r>
      </w:hyperlink>
      <w:r>
        <w:t>). O guisado era feito de lentilhas, ervas, cebolas e, às vezes, carne. Seu aroma se mostrou forte o suficiente para transferir o direito de primogenitura de Esaú para Jacó (</w:t>
      </w:r>
      <w:hyperlink r:id="rId8128">
        <w:r>
          <w:rPr>
            <w:color w:val="0000EE"/>
            <w:u w:val="single"/>
          </w:rPr>
          <w:t>Gn 25.29–34</w:t>
        </w:r>
      </w:hyperlink>
      <w:r>
        <w:t>). Os discípulos de Eliseu apreciavam seu valor nutritivo (</w:t>
      </w:r>
      <w:hyperlink r:id="rId5234">
        <w:r>
          <w:rPr>
            <w:color w:val="0000EE"/>
            <w:u w:val="single"/>
          </w:rPr>
          <w:t>2Rs 4.38–41</w:t>
        </w:r>
      </w:hyperlink>
      <w:r>
        <w:t>).</w:t>
      </w:r>
      <w:r/>
      <w:r/>
    </w:p>
    <w:p>
      <w:r/>
    </w:p>
    <w:p>
      <w:pPr>
        <w:pStyle w:val="Heading2"/>
      </w:pPr>
      <w:r>
        <w:t>Guni</w:t>
      </w:r>
      <w:r/>
    </w:p>
    <w:p>
      <w:r/>
      <w:r>
        <w:t>1. Filho de Naftali e neto de Jacó (</w:t>
      </w:r>
      <w:hyperlink r:id="rId10275">
        <w:r>
          <w:rPr>
            <w:color w:val="0000EE"/>
            <w:u w:val="single"/>
          </w:rPr>
          <w:t>Gn 46.24</w:t>
        </w:r>
      </w:hyperlink>
      <w:r>
        <w:t xml:space="preserve">; </w:t>
      </w:r>
      <w:hyperlink r:id="rId10276">
        <w:r>
          <w:rPr>
            <w:color w:val="0000EE"/>
            <w:u w:val="single"/>
          </w:rPr>
          <w:t>1Cr 7.13</w:t>
        </w:r>
      </w:hyperlink>
      <w:r>
        <w:t>).</w:t>
      </w:r>
    </w:p>
    <w:p>
      <w:r/>
      <w:r>
        <w:t>2. Pai de Abdiel da tribo de Gade (</w:t>
      </w:r>
      <w:hyperlink r:id="rId10277">
        <w:r>
          <w:rPr>
            <w:color w:val="0000EE"/>
            <w:u w:val="single"/>
          </w:rPr>
          <w:t>1Cr 5.15</w:t>
        </w:r>
      </w:hyperlink>
      <w:r>
        <w:t>).</w:t>
      </w:r>
      <w:r/>
      <w:r/>
    </w:p>
    <w:p>
      <w:r/>
    </w:p>
    <w:p>
      <w:pPr>
        <w:pStyle w:val="Heading2"/>
      </w:pPr>
      <w:r>
        <w:t>Gunita</w:t>
      </w:r>
      <w:r/>
    </w:p>
    <w:p>
      <w:r/>
      <w:r>
        <w:t>Um descendente de Guni, filho de Naftali (</w:t>
      </w:r>
      <w:hyperlink r:id="rId10278">
        <w:r>
          <w:rPr>
            <w:color w:val="0000EE"/>
            <w:u w:val="single"/>
          </w:rPr>
          <w:t>Nm 26.48</w:t>
        </w:r>
      </w:hyperlink>
      <w:r>
        <w:t>).</w:t>
      </w:r>
    </w:p>
    <w:p>
      <w:r/>
      <w:r>
        <w:rPr>
          <w:i/>
        </w:rPr>
        <w:t>Veja</w:t>
      </w:r>
      <w:r>
        <w:t xml:space="preserve"> </w:t>
      </w:r>
      <w:r>
        <w:t>Guni #1</w:t>
      </w:r>
      <w:r>
        <w:t>.</w:t>
      </w:r>
      <w:r/>
      <w:r/>
    </w:p>
    <w:p>
      <w:r/>
    </w:p>
    <w:p>
      <w:pPr>
        <w:pStyle w:val="Heading2"/>
      </w:pPr>
      <w:r>
        <w:t>Hã (Lugar)</w:t>
      </w:r>
      <w:r/>
    </w:p>
    <w:p>
      <w:r/>
      <w:r>
        <w:t>Local onde Quedorlaomer e seus aliados derrotaram os zuzins (</w:t>
      </w:r>
      <w:hyperlink r:id="rId1114">
        <w:r>
          <w:rPr>
            <w:color w:val="0000EE"/>
            <w:u w:val="single"/>
          </w:rPr>
          <w:t>Gn 14.5</w:t>
        </w:r>
      </w:hyperlink>
      <w:r>
        <w:t>). O nome provavelmente é preservado por Tell Hã, perto da vila moderna no vale (wadi) Er-Rejeilah. Assentamentos da Idade do Bronze e do Ferro foram desenterrados lá.</w:t>
      </w:r>
      <w:r/>
      <w:r/>
    </w:p>
    <w:p>
      <w:r/>
    </w:p>
    <w:p>
      <w:pPr>
        <w:pStyle w:val="Heading2"/>
      </w:pPr>
      <w:r>
        <w:t>Hadade</w:t>
      </w:r>
      <w:r/>
    </w:p>
    <w:p>
      <w:r/>
      <w:r>
        <w:t>1. Oitavo dos 12 filhos de Ismael, e assim um neto de Abraão (</w:t>
      </w:r>
      <w:hyperlink r:id="rId10279">
        <w:r>
          <w:rPr>
            <w:color w:val="0000EE"/>
            <w:u w:val="single"/>
          </w:rPr>
          <w:t>Gn 25.15</w:t>
        </w:r>
      </w:hyperlink>
      <w:r>
        <w:t xml:space="preserve">; </w:t>
      </w:r>
      <w:hyperlink r:id="rId622">
        <w:r>
          <w:rPr>
            <w:color w:val="0000EE"/>
            <w:u w:val="single"/>
          </w:rPr>
          <w:t>1Cr 1.30</w:t>
        </w:r>
      </w:hyperlink>
      <w:r>
        <w:t xml:space="preserve">). A versão bíblica (inglesa) KJV lê “Hadar” em </w:t>
      </w:r>
      <w:hyperlink r:id="rId10279">
        <w:r>
          <w:rPr>
            <w:color w:val="0000EE"/>
            <w:u w:val="single"/>
          </w:rPr>
          <w:t>Gênesis 25.15</w:t>
        </w:r>
      </w:hyperlink>
      <w:r>
        <w:t xml:space="preserve"> e “Hadade” em </w:t>
      </w:r>
      <w:hyperlink r:id="rId622">
        <w:r>
          <w:rPr>
            <w:color w:val="0000EE"/>
            <w:u w:val="single"/>
          </w:rPr>
          <w:t>1 Crônicas 1.30</w:t>
        </w:r>
      </w:hyperlink>
      <w:r>
        <w:t>, enquanto ARC e NTLH leem “Hadade” em ambas as passagens.</w:t>
      </w:r>
    </w:p>
    <w:p>
      <w:r/>
      <w:r>
        <w:t>2. Governante edomita, filho de Bedade, que reinou antes do cativeiro hebreu no Egito e conquistou uma importante vitória sobre os midianitas na planície de Moabe (</w:t>
      </w:r>
      <w:hyperlink r:id="rId10280">
        <w:r>
          <w:rPr>
            <w:color w:val="0000EE"/>
            <w:u w:val="single"/>
          </w:rPr>
          <w:t>Gn 36.35–36</w:t>
        </w:r>
      </w:hyperlink>
      <w:r>
        <w:t xml:space="preserve">; </w:t>
      </w:r>
      <w:hyperlink r:id="rId10281">
        <w:r>
          <w:rPr>
            <w:color w:val="0000EE"/>
            <w:u w:val="single"/>
          </w:rPr>
          <w:t>1Cr 1.46–47</w:t>
        </w:r>
      </w:hyperlink>
      <w:r>
        <w:t>).</w:t>
      </w:r>
    </w:p>
    <w:p>
      <w:r/>
      <w:r>
        <w:t>3. Outro rei de Edom, um dos poucos cuja esposa, Meetabel, foi mencionada pelo nome. Sua cidade capital era Paú (</w:t>
      </w:r>
      <w:hyperlink r:id="rId10282">
        <w:r>
          <w:rPr>
            <w:color w:val="0000EE"/>
            <w:u w:val="single"/>
          </w:rPr>
          <w:t>Gn 36.39</w:t>
        </w:r>
      </w:hyperlink>
      <w:r>
        <w:t xml:space="preserve">; </w:t>
      </w:r>
      <w:hyperlink r:id="rId10283">
        <w:r>
          <w:rPr>
            <w:color w:val="0000EE"/>
            <w:u w:val="single"/>
          </w:rPr>
          <w:t>1Cr 1.50–51</w:t>
        </w:r>
      </w:hyperlink>
      <w:r>
        <w:t>).</w:t>
      </w:r>
    </w:p>
    <w:p>
      <w:r/>
      <w:r>
        <w:t>4. Príncipe da casa real de Edom que fugiu para o Egito após Davi e Joabe conquistarem Edom e ocuparem a terra. Ele cresceu no Egito e ganhou o favor do Faraó, que lhe deu sua cunhada como esposa. Mais tarde, quando Davi já estava morto, ele desejou retornar a Edom e liderar uma revolta contra Salomão (</w:t>
      </w:r>
      <w:hyperlink r:id="rId10284">
        <w:r>
          <w:rPr>
            <w:color w:val="0000EE"/>
            <w:u w:val="single"/>
          </w:rPr>
          <w:t>1Rs 11.14–25</w:t>
        </w:r>
      </w:hyperlink>
      <w:r>
        <w:t>). Alguns estudiosos o identificam com o #3 acima.</w:t>
      </w:r>
      <w:r/>
      <w:r/>
    </w:p>
    <w:p>
      <w:r/>
    </w:p>
    <w:p>
      <w:pPr>
        <w:pStyle w:val="Heading2"/>
      </w:pPr>
      <w:r>
        <w:t>Hades</w:t>
      </w:r>
      <w:r/>
    </w:p>
    <w:p>
      <w:r/>
      <w:r>
        <w:t>Na mitologia grega, Hades era o deus do submundo e irmão de Zeus. Hades também era conhecido como Plutão. Ele raptou Perséfone, o que causou o inverno. Seu reino também era chamado de Hades (além de Tártaro). Hades era a terra sombria onde os mortos residiam.</w:t>
      </w:r>
    </w:p>
    <w:p>
      <w:r/>
      <w:r>
        <w:t>Odisseu entrou nesse reino e alimentou os fantasmas com sangue para obter direções de volta para casa (</w:t>
      </w:r>
      <w:r>
        <w:rPr>
          <w:i/>
        </w:rPr>
        <w:t>Odisseia</w:t>
      </w:r>
      <w:r>
        <w:t xml:space="preserve"> de Homero 4.834). Originalmente, os gregos pensavam em Hades como simplesmente o túmulo. Representava uma existência sombria e fantasmagórica para todos os que morriam, bons e maus igualmente. Gradualmente, gregos e romanos passaram a ver Hades como um lugar de recompensa e punição. Hades tornou-se um reino organizado e guardado onde os bons eram recompensados nos Campos Elísios. Os maus eram igualmente punidos (assim descrito pelo poeta romano Virgílio, 70–19 a.C.).</w:t>
      </w:r>
    </w:p>
    <w:p>
      <w:r/>
      <w:r>
        <w:t>"Hades" tornou-se importante para os judeus como a palavra usada para traduzir para o grego o nome hebraico "Sheol". Esta foi uma tradução muito adequada para a palavra hebraica usada pelos tradutores do Novo Testamento grego, a Septuaginta. Ambas as palavras podem significar o túmulo físico ou a morte (</w:t>
      </w:r>
      <w:hyperlink r:id="rId10285">
        <w:r>
          <w:rPr>
            <w:color w:val="0000EE"/>
            <w:u w:val="single"/>
          </w:rPr>
          <w:t>Gn 37.35</w:t>
        </w:r>
      </w:hyperlink>
      <w:r>
        <w:t xml:space="preserve">; </w:t>
      </w:r>
      <w:hyperlink r:id="rId10286">
        <w:r>
          <w:rPr>
            <w:color w:val="0000EE"/>
            <w:u w:val="single"/>
          </w:rPr>
          <w:t>Pv 5.5</w:t>
        </w:r>
      </w:hyperlink>
      <w:r>
        <w:t xml:space="preserve">; </w:t>
      </w:r>
      <w:hyperlink r:id="rId10287">
        <w:r>
          <w:rPr>
            <w:color w:val="0000EE"/>
            <w:u w:val="single"/>
          </w:rPr>
          <w:t>7.27</w:t>
        </w:r>
      </w:hyperlink>
      <w:r>
        <w:t>). Ambas as palavras referiam-se a um submundo escuro onde a existência era, na melhor das hipóteses, sombria (</w:t>
      </w:r>
      <w:hyperlink r:id="rId8290">
        <w:r>
          <w:rPr>
            <w:color w:val="0000EE"/>
            <w:u w:val="single"/>
          </w:rPr>
          <w:t>Jó 10.21–22</w:t>
        </w:r>
      </w:hyperlink>
      <w:r>
        <w:t>;</w:t>
      </w:r>
      <w:hyperlink r:id="rId10288">
        <w:r>
          <w:rPr>
            <w:color w:val="0000EE"/>
            <w:u w:val="single"/>
          </w:rPr>
          <w:t xml:space="preserve"> 38.17</w:t>
        </w:r>
      </w:hyperlink>
      <w:r>
        <w:t xml:space="preserve">; </w:t>
      </w:r>
      <w:hyperlink r:id="rId10289">
        <w:r>
          <w:rPr>
            <w:color w:val="0000EE"/>
            <w:u w:val="single"/>
          </w:rPr>
          <w:t>Is 14.9</w:t>
        </w:r>
      </w:hyperlink>
      <w:r>
        <w:t>).</w:t>
      </w:r>
    </w:p>
    <w:p>
      <w:r/>
      <w:r>
        <w:t>Sheol é descrito como estando sob o oceano e como tendo barras e portões (</w:t>
      </w:r>
      <w:hyperlink r:id="rId10290">
        <w:r>
          <w:rPr>
            <w:color w:val="0000EE"/>
            <w:u w:val="single"/>
          </w:rPr>
          <w:t>Jó 26.5–6</w:t>
        </w:r>
      </w:hyperlink>
      <w:r>
        <w:t>;</w:t>
      </w:r>
      <w:hyperlink r:id="rId10291">
        <w:r>
          <w:rPr>
            <w:color w:val="0000EE"/>
            <w:u w:val="single"/>
          </w:rPr>
          <w:t>17.16</w:t>
        </w:r>
      </w:hyperlink>
      <w:r>
        <w:t xml:space="preserve">; </w:t>
      </w:r>
      <w:hyperlink r:id="rId10292">
        <w:r>
          <w:rPr>
            <w:color w:val="0000EE"/>
            <w:u w:val="single"/>
          </w:rPr>
          <w:t>Jn 2.2–3</w:t>
        </w:r>
      </w:hyperlink>
      <w:r>
        <w:t>). Todas as pessoas vão para lá, sejam boas ou más (</w:t>
      </w:r>
      <w:hyperlink r:id="rId344">
        <w:r>
          <w:rPr>
            <w:color w:val="0000EE"/>
            <w:u w:val="single"/>
          </w:rPr>
          <w:t>Sl 89.48</w:t>
        </w:r>
      </w:hyperlink>
      <w:r>
        <w:t>). Na literatura mais antiga, não há esperança de libertação de Sheol/Hades.</w:t>
      </w:r>
    </w:p>
    <w:p>
      <w:r/>
      <w:r>
        <w:t xml:space="preserve">C. S. Lewis descreve bem esse conceito em </w:t>
      </w:r>
      <w:r>
        <w:rPr>
          <w:i/>
        </w:rPr>
        <w:t>A Cadeira de Prata:</w:t>
      </w:r>
      <w:r>
        <w:t xml:space="preserve"> "Muitos afundam, e poucos retornam às terras ensolaradas". Claro, todas essas descrições estão na literatura poética. É difícil dizer quão literalmente os hebreus ou os gregos interpretavam suas descrições de Hades/Sheol. Eles podem ter simplesmente usado a linguagem pictórica mais antiga da poesia grega para descrever um conceito para o qual as palavras em prosa eram inadequadas.</w:t>
      </w:r>
    </w:p>
    <w:p>
      <w:r/>
      <w:r>
        <w:t>Judeus e gregos entraram em contato com influências literárias persas. Após o retorno do povo judeu do exílio, escritores estavam compondo seus livros (p. ex. Malaquias, Daniel e alguns salmos) no contexto da influência persa.</w:t>
      </w:r>
    </w:p>
    <w:p>
      <w:r/>
      <w:r>
        <w:t>Os gregos entraram em contato com a literatura persa um pouco mais tarde (eles lutaram contra os persas de 520 a 479 a.C. e os conquistaram de 334 a 330 a.C.).</w:t>
      </w:r>
    </w:p>
    <w:p>
      <w:r/>
      <w:r>
        <w:t>Seja devido à influência persa ou não, durante este período, a ideia de recompensa e punição após a morte se desenvolveu. Sheol/Hades mudou de uma terra de sombras para um lugar distinto de recompensa e punição tanto para gregos (e romanos) quanto para judeus.</w:t>
      </w:r>
    </w:p>
    <w:p>
      <w:r/>
      <w:r>
        <w:t>Josefo registra que os fariseus acreditavam em recompensa e punição após a morte (</w:t>
      </w:r>
      <w:r>
        <w:rPr>
          <w:i/>
        </w:rPr>
        <w:t>Antiguidades</w:t>
      </w:r>
      <w:r>
        <w:t xml:space="preserve"> 18.1.3). Uma ideia semelhante aparece em 1 Enoque 22. Nesses casos na literatura judaica, Hades indica um lugar dos mortos, que possui duas ou mais seções.</w:t>
      </w:r>
    </w:p>
    <w:p>
      <w:r/>
      <w:r>
        <w:t xml:space="preserve">Em outra literatura judaica, Hades é o lugar de tormento para os ímpios. Os justos entram no paraíso (Salmos de Salomão 14; </w:t>
      </w:r>
      <w:hyperlink r:id="rId10293">
        <w:r>
          <w:rPr>
            <w:color w:val="0000EE"/>
            <w:u w:val="single"/>
          </w:rPr>
          <w:t>Sb 2.1</w:t>
        </w:r>
      </w:hyperlink>
      <w:r>
        <w:t xml:space="preserve">; </w:t>
      </w:r>
      <w:hyperlink r:id="rId10294">
        <w:r>
          <w:rPr>
            <w:color w:val="0000EE"/>
            <w:u w:val="single"/>
          </w:rPr>
          <w:t>3.1</w:t>
        </w:r>
      </w:hyperlink>
      <w:r>
        <w:t>). Assim, no início do período do Novo Testamento, Hades tem três significados:</w:t>
      </w:r>
    </w:p>
    <w:p>
      <w:pPr>
        <w:pStyle w:val="ListNumber"/>
        <w:spacing w:line="240" w:lineRule="auto"/>
        <w:ind w:left="720"/>
      </w:pPr>
      <w:r/>
      <w:r>
        <w:t>morte</w:t>
      </w:r>
    </w:p>
    <w:p>
      <w:pPr>
        <w:pStyle w:val="ListNumber"/>
        <w:spacing w:line="240" w:lineRule="auto"/>
        <w:ind w:left="720"/>
      </w:pPr>
      <w:r/>
      <w:r>
        <w:t>o lugar de todos os mortos, e</w:t>
      </w:r>
    </w:p>
    <w:p>
      <w:pPr>
        <w:pStyle w:val="ListNumber"/>
        <w:spacing w:line="240" w:lineRule="auto"/>
        <w:ind w:left="720"/>
      </w:pPr>
      <w:r/>
      <w:r>
        <w:t>o lugar dos mortos ímpios apenas.</w:t>
      </w:r>
    </w:p>
    <w:p>
      <w:r/>
      <w:r>
        <w:t>O contexto determina qual significado um autor pretende em uma passagem específica.</w:t>
      </w:r>
    </w:p>
    <w:p>
      <w:r/>
      <w:r>
        <w:t xml:space="preserve">Todos esses significados aparecem no Novo Testamento. Em </w:t>
      </w:r>
      <w:hyperlink r:id="rId3990">
        <w:r>
          <w:rPr>
            <w:color w:val="0000EE"/>
            <w:u w:val="single"/>
          </w:rPr>
          <w:t>Mt 11.23</w:t>
        </w:r>
      </w:hyperlink>
      <w:r>
        <w:t xml:space="preserve"> e </w:t>
      </w:r>
      <w:hyperlink r:id="rId10295">
        <w:r>
          <w:rPr>
            <w:color w:val="0000EE"/>
            <w:u w:val="single"/>
          </w:rPr>
          <w:t>Lc 10.15</w:t>
        </w:r>
      </w:hyperlink>
      <w:r>
        <w:t>, Jesus fala sobre a descida de Cafarnaum ao mundo dos mortos. Muito provavelmente, ele quer dizer que a cidade vai "morrer" ou ser destruída. "Hades" significa "morte" neste contexto, assim como "céu" significa "exaltação".</w:t>
      </w:r>
    </w:p>
    <w:p>
      <w:r/>
      <w:hyperlink r:id="rId10296">
        <w:r>
          <w:rPr>
            <w:color w:val="0000EE"/>
            <w:u w:val="single"/>
          </w:rPr>
          <w:t>Ap 6.8</w:t>
        </w:r>
      </w:hyperlink>
      <w:r>
        <w:t xml:space="preserve"> também exemplifica isso: a Morte vem em um cavalo, e o Hades (um símbolo da morte) vem logo atrás. A personificação do Hades provavelmente vem do Antigo Testamento, onde Hades/Sheol é visto como um monstro que devora pessoas (</w:t>
      </w:r>
      <w:hyperlink r:id="rId10297">
        <w:r>
          <w:rPr>
            <w:color w:val="0000EE"/>
            <w:u w:val="single"/>
          </w:rPr>
          <w:t>Pv 1.12</w:t>
        </w:r>
      </w:hyperlink>
      <w:r>
        <w:t xml:space="preserve">; </w:t>
      </w:r>
      <w:hyperlink r:id="rId35">
        <w:r>
          <w:rPr>
            <w:color w:val="0000EE"/>
            <w:u w:val="single"/>
          </w:rPr>
          <w:t>27.20</w:t>
        </w:r>
      </w:hyperlink>
      <w:r>
        <w:t xml:space="preserve">; </w:t>
      </w:r>
      <w:hyperlink r:id="rId10298">
        <w:r>
          <w:rPr>
            <w:color w:val="0000EE"/>
            <w:u w:val="single"/>
          </w:rPr>
          <w:t>30.16</w:t>
        </w:r>
      </w:hyperlink>
      <w:r>
        <w:t xml:space="preserve">; </w:t>
      </w:r>
      <w:hyperlink r:id="rId10299">
        <w:r>
          <w:rPr>
            <w:color w:val="0000EE"/>
            <w:u w:val="single"/>
          </w:rPr>
          <w:t>Is 5.14</w:t>
        </w:r>
      </w:hyperlink>
      <w:r>
        <w:t xml:space="preserve">; </w:t>
      </w:r>
      <w:hyperlink r:id="rId10300">
        <w:r>
          <w:rPr>
            <w:color w:val="0000EE"/>
            <w:u w:val="single"/>
          </w:rPr>
          <w:t>28.15,18</w:t>
        </w:r>
      </w:hyperlink>
      <w:r>
        <w:t xml:space="preserve">; </w:t>
      </w:r>
      <w:hyperlink r:id="rId10301">
        <w:r>
          <w:rPr>
            <w:color w:val="0000EE"/>
            <w:u w:val="single"/>
          </w:rPr>
          <w:t>Hc 2.5</w:t>
        </w:r>
      </w:hyperlink>
      <w:r>
        <w:t>).</w:t>
      </w:r>
    </w:p>
    <w:p>
      <w:r/>
      <w:hyperlink r:id="rId10302">
        <w:r>
          <w:rPr>
            <w:color w:val="0000EE"/>
            <w:u w:val="single"/>
          </w:rPr>
          <w:t>Mt 16.18</w:t>
        </w:r>
      </w:hyperlink>
      <w:r>
        <w:t xml:space="preserve"> é um uso mais complexo de Hades. A igreja será edificada sobre uma rocha e os portões de Hades não prevalecerão contra ela. Aqui, o lugar dos mortos (completo com portões e barras) simboliza a morte. Os cristãos podem, de fato, ser mortos, mas a morte (os portões de Hades) não os reterá mais do que reteve Cristo. Aquele que saiu de Hades trará seu povo para fora também.</w:t>
      </w:r>
    </w:p>
    <w:p>
      <w:r/>
      <w:r>
        <w:t xml:space="preserve">Este é também o significado de </w:t>
      </w:r>
      <w:hyperlink r:id="rId10303">
        <w:r>
          <w:rPr>
            <w:color w:val="0000EE"/>
            <w:u w:val="single"/>
          </w:rPr>
          <w:t>At 2.27</w:t>
        </w:r>
      </w:hyperlink>
      <w:r>
        <w:t xml:space="preserve"> (citando </w:t>
      </w:r>
      <w:hyperlink r:id="rId903">
        <w:r>
          <w:rPr>
            <w:color w:val="0000EE"/>
            <w:u w:val="single"/>
          </w:rPr>
          <w:t>Sl 16.10</w:t>
        </w:r>
      </w:hyperlink>
      <w:r>
        <w:t xml:space="preserve">). Cristo não permaneceu morto e sua vida não ficou no Hades. Ao contrário de Davi, ele ressuscitou dos mortos. Em qualquer um desses casos, Hades poderia ser simplesmente um símbolo para a morte. Ou poderia significar que Cristo e o cristão realmente foram a um lugar dos mortos chamado Hades. Provavelmente a primeira interpretação é a pretendida. Seja qual for o caso, já que Cristo ressuscitou, ele conquistou a morte e o Hades. Ele aparece em </w:t>
      </w:r>
      <w:hyperlink r:id="rId10304">
        <w:r>
          <w:rPr>
            <w:color w:val="0000EE"/>
            <w:u w:val="single"/>
          </w:rPr>
          <w:t>Ap 1.18</w:t>
        </w:r>
      </w:hyperlink>
      <w:r>
        <w:t xml:space="preserve"> como aquele que segura as chaves (o controle) de ambos.</w:t>
      </w:r>
    </w:p>
    <w:p>
      <w:r/>
      <w:r>
        <w:t xml:space="preserve">Duas passagens do Novo Testamento referem-se a Hades como o lugar onde os mortos existem: </w:t>
      </w:r>
      <w:hyperlink r:id="rId10305">
        <w:r>
          <w:rPr>
            <w:color w:val="0000EE"/>
            <w:u w:val="single"/>
          </w:rPr>
          <w:t>Ap 20.13–14</w:t>
        </w:r>
      </w:hyperlink>
      <w:r>
        <w:t xml:space="preserve"> e </w:t>
      </w:r>
      <w:hyperlink r:id="rId10306">
        <w:r>
          <w:rPr>
            <w:color w:val="0000EE"/>
            <w:u w:val="single"/>
          </w:rPr>
          <w:t>Lc 16.23</w:t>
        </w:r>
      </w:hyperlink>
      <w:r>
        <w:t xml:space="preserve">. Em </w:t>
      </w:r>
      <w:hyperlink r:id="rId8143">
        <w:r>
          <w:rPr>
            <w:color w:val="0000EE"/>
            <w:u w:val="single"/>
          </w:rPr>
          <w:t>Ap 20</w:t>
        </w:r>
      </w:hyperlink>
      <w:r>
        <w:t xml:space="preserve">, Hades é esvaziado (seja de todos os mortos ou dos mortos ímpios, dependendo da escatologia de cada um), completando a ressurreição. Quando os ímpios são julgados e lançados no lago de fogo (Geena), Hades também é lançado. </w:t>
      </w:r>
      <w:hyperlink r:id="rId10306">
        <w:r>
          <w:rPr>
            <w:color w:val="0000EE"/>
            <w:u w:val="single"/>
          </w:rPr>
          <w:t>Lucas 16.23</w:t>
        </w:r>
      </w:hyperlink>
      <w:r>
        <w:t>, no entanto, refere-se claramente a Hades como o lugar dos mortos ímpios. Lá, o homem rico é atormentado em uma chama, enquanto o homem pobre, Lázaro, vai para o paraíso (seio de Abraão).</w:t>
      </w:r>
    </w:p>
    <w:p>
      <w:r/>
      <w:r>
        <w:t>Hades, então, significa três coisas no Novo Testamento, assim como na literatura judaica:</w:t>
      </w:r>
    </w:p>
    <w:p>
      <w:pPr>
        <w:pStyle w:val="ListNumber"/>
        <w:spacing w:line="240" w:lineRule="auto"/>
        <w:ind w:left="720"/>
      </w:pPr>
      <w:r/>
      <w:r>
        <w:t>A morte e seu poder são os significados mais frequentes, especialmente em usos metafóricos.</w:t>
      </w:r>
    </w:p>
    <w:p>
      <w:pPr>
        <w:pStyle w:val="ListNumber"/>
        <w:spacing w:line="240" w:lineRule="auto"/>
        <w:ind w:left="720"/>
      </w:pPr>
      <w:r/>
      <w:r>
        <w:t>Também se refere ao lugar dos mortos em geral, quando um escritor deseja agrupar todos os mortos.</w:t>
      </w:r>
    </w:p>
    <w:p>
      <w:pPr>
        <w:pStyle w:val="ListNumber"/>
        <w:spacing w:line="240" w:lineRule="auto"/>
        <w:ind w:left="720"/>
      </w:pPr>
      <w:r/>
      <w:r>
        <w:t>Significa, finalmente, o lugar onde os mortos ímpios são atormentados antes do julgamento final. Este é o seu significado mais restrito, ocorrendo apenas uma vez no Novo Testamento (</w:t>
      </w:r>
      <w:hyperlink r:id="rId10306">
        <w:r>
          <w:rPr>
            <w:color w:val="0000EE"/>
            <w:u w:val="single"/>
          </w:rPr>
          <w:t>Lc 16.23</w:t>
        </w:r>
      </w:hyperlink>
      <w:r>
        <w:t xml:space="preserve">). A Bíblia não se aprofunda neste tormento. A imagem de Dante em </w:t>
      </w:r>
      <w:r>
        <w:rPr>
          <w:i/>
        </w:rPr>
        <w:t>O Inferno</w:t>
      </w:r>
      <w:r>
        <w:t xml:space="preserve"> baseia-se mais em especulações posteriores e concepções greco-romanas de Hades do que na Bíblia.</w:t>
      </w:r>
    </w:p>
    <w:p>
      <w:r/>
      <w:r>
        <w:rPr>
          <w:i/>
        </w:rPr>
        <w:t>Veja também</w:t>
      </w:r>
      <w:r>
        <w:t xml:space="preserve"> </w:t>
      </w:r>
      <w:r>
        <w:t>Lugar dos mortos</w:t>
      </w:r>
      <w:r>
        <w:t xml:space="preserve">; </w:t>
      </w:r>
      <w:r>
        <w:t>Geena</w:t>
      </w:r>
      <w:r>
        <w:t xml:space="preserve">; </w:t>
      </w:r>
      <w:r>
        <w:t>Inferno</w:t>
      </w:r>
      <w:r>
        <w:t xml:space="preserve">; </w:t>
      </w:r>
      <w:r>
        <w:t>Sheol</w:t>
      </w:r>
      <w:r>
        <w:t>.</w:t>
      </w:r>
      <w:r/>
      <w:r/>
    </w:p>
    <w:p>
      <w:r/>
    </w:p>
    <w:p>
      <w:pPr>
        <w:pStyle w:val="Heading2"/>
      </w:pPr>
      <w:r>
        <w:t>Hagarita</w:t>
      </w:r>
      <w:r/>
    </w:p>
    <w:p>
      <w:r/>
      <w:r>
        <w:t>A maioria das Bíblias em português transliteram este nome como "hagarenos", porém a NTLH usa "hagarita". Tribo árabe descendente de Agar, concubina de Abraão. Sendo nômades, os hagaritas vagavam pelo deserto a leste de Gileade. As relações entre Israel e os hagaritas eram geralmente hostis. Durante o reinado de Saul, a tribo de Rúben lutou contra eles e foi derrotada (</w:t>
      </w:r>
      <w:hyperlink r:id="rId10307">
        <w:r>
          <w:rPr>
            <w:color w:val="0000EE"/>
            <w:u w:val="single"/>
          </w:rPr>
          <w:t>1Cr 5.10</w:t>
        </w:r>
      </w:hyperlink>
      <w:r>
        <w:t>). Mais tarde, no entanto, com a ajuda de Gade e da meia tribo de Manassés, Rúben conseguiu tomar suas terras e mantê-las até o exílio (</w:t>
      </w:r>
      <w:hyperlink r:id="rId10308">
        <w:r>
          <w:rPr>
            <w:color w:val="0000EE"/>
            <w:u w:val="single"/>
          </w:rPr>
          <w:t>1Cr 5.19–20</w:t>
        </w:r>
      </w:hyperlink>
      <w:r>
        <w:t xml:space="preserve">). À luz dessa hostilidade, é fácil entender a oração de Asafe contra eles em </w:t>
      </w:r>
      <w:hyperlink r:id="rId10309">
        <w:r>
          <w:rPr>
            <w:color w:val="0000EE"/>
            <w:u w:val="single"/>
          </w:rPr>
          <w:t>Salmo 83.6</w:t>
        </w:r>
      </w:hyperlink>
      <w:r>
        <w:t>. Davi, por outro lado, fez de um hagarita, Jaziz, o mordomo de todos os seus rebanhos (</w:t>
      </w:r>
      <w:hyperlink r:id="rId10310">
        <w:r>
          <w:rPr>
            <w:color w:val="0000EE"/>
            <w:u w:val="single"/>
          </w:rPr>
          <w:t>1Cr 27.31</w:t>
        </w:r>
      </w:hyperlink>
      <w:r>
        <w:t>).</w:t>
      </w:r>
      <w:r/>
      <w:r/>
    </w:p>
    <w:p>
      <w:r/>
    </w:p>
    <w:p>
      <w:pPr>
        <w:pStyle w:val="Heading2"/>
      </w:pPr>
      <w:r>
        <w:t>Hagi</w:t>
      </w:r>
      <w:r/>
    </w:p>
    <w:p>
      <w:r/>
      <w:r>
        <w:t>Filho de Gade e fundador da família dos hagitas (</w:t>
      </w:r>
      <w:hyperlink r:id="rId2469">
        <w:r>
          <w:rPr>
            <w:color w:val="0000EE"/>
            <w:u w:val="single"/>
          </w:rPr>
          <w:t>Gn 46.16</w:t>
        </w:r>
      </w:hyperlink>
      <w:r>
        <w:t xml:space="preserve">; </w:t>
      </w:r>
      <w:hyperlink r:id="rId9692">
        <w:r>
          <w:rPr>
            <w:color w:val="0000EE"/>
            <w:u w:val="single"/>
          </w:rPr>
          <w:t>Nm 26.15</w:t>
        </w:r>
      </w:hyperlink>
      <w:r>
        <w:t>).</w:t>
      </w:r>
      <w:r/>
      <w:r/>
    </w:p>
    <w:p>
      <w:r/>
    </w:p>
    <w:p>
      <w:pPr>
        <w:pStyle w:val="Heading2"/>
      </w:pPr>
      <w:r>
        <w:t>Haguita</w:t>
      </w:r>
      <w:r/>
    </w:p>
    <w:p>
      <w:r/>
      <w:r>
        <w:t>Qualquer descendente de Hagui (</w:t>
      </w:r>
      <w:hyperlink r:id="rId9692">
        <w:r>
          <w:rPr>
            <w:color w:val="0000EE"/>
            <w:u w:val="single"/>
          </w:rPr>
          <w:t>Nm 26.15</w:t>
        </w:r>
      </w:hyperlink>
      <w:r>
        <w:t>).</w:t>
      </w:r>
    </w:p>
    <w:p>
      <w:r/>
      <w:r>
        <w:rPr>
          <w:i/>
        </w:rPr>
        <w:t>Veja</w:t>
      </w:r>
      <w:r>
        <w:t xml:space="preserve"> </w:t>
      </w:r>
      <w:r>
        <w:t>Hagui</w:t>
      </w:r>
      <w:r>
        <w:t>.</w:t>
      </w:r>
      <w:r/>
      <w:r/>
    </w:p>
    <w:p>
      <w:r/>
    </w:p>
    <w:p>
      <w:pPr>
        <w:pStyle w:val="Heading2"/>
      </w:pPr>
      <w:r>
        <w:t>Hairote</w:t>
      </w:r>
      <w:r/>
    </w:p>
    <w:p>
      <w:r/>
      <w:r>
        <w:t>Outro nome para "Pi-Hairote", um lugar que os israelitas visitaram em sua jornada do Egito para a Terra Prometida (</w:t>
      </w:r>
      <w:hyperlink r:id="rId8835">
        <w:r>
          <w:rPr>
            <w:color w:val="0000EE"/>
            <w:u w:val="single"/>
          </w:rPr>
          <w:t>Nm 33.8</w:t>
        </w:r>
      </w:hyperlink>
      <w:r>
        <w:t>).</w:t>
      </w:r>
    </w:p>
    <w:p>
      <w:r/>
      <w:r>
        <w:rPr>
          <w:i/>
        </w:rPr>
        <w:t>Veja</w:t>
      </w:r>
      <w:r>
        <w:t xml:space="preserve"> </w:t>
      </w:r>
      <w:r>
        <w:t>Pi-Hairote</w:t>
      </w:r>
      <w:r>
        <w:t>.</w:t>
      </w:r>
      <w:r/>
      <w:r/>
    </w:p>
    <w:p>
      <w:r/>
    </w:p>
    <w:p>
      <w:pPr>
        <w:pStyle w:val="Heading2"/>
      </w:pPr>
      <w:r>
        <w:t>Halacá</w:t>
      </w:r>
      <w:r/>
    </w:p>
    <w:p>
      <w:r/>
      <w:r>
        <w:t xml:space="preserve">O termo para a lei judaica. Halacá significa literalmente "caminhar". Ela fornece o modo de vida judaico autoritário conforme escrito na Mishná. Mostra aos judeus como eles devem viver suas vidas e o que devem fazer (veja </w:t>
      </w:r>
      <w:hyperlink r:id="rId10311">
        <w:r>
          <w:rPr>
            <w:color w:val="0000EE"/>
            <w:u w:val="single"/>
          </w:rPr>
          <w:t>Êx 18.20</w:t>
        </w:r>
      </w:hyperlink>
      <w:r>
        <w:t>).</w:t>
      </w:r>
    </w:p>
    <w:p>
      <w:r/>
      <w:r>
        <w:t>Halacá é baseada em duas fontes principais. Primeiro, vem das leis bíblicas encontradas na Lei escrita (o Pentateuco, os primeiros cinco livros da Bíblia) e na lei oral. De acordo com a tradição judaica, a lei oral foi dada a Moisés no Monte Sinai, mas não foi escrita. Ela foi transmitida através de muitas gerações e mais tarde registrada no Talmude (uma coleção de escritos judaicos que explicam a lei).</w:t>
      </w:r>
    </w:p>
    <w:p>
      <w:r/>
      <w:r>
        <w:t>Por exemplo, o Pentateuco diz para não trabalhar no sábado, mas não explica o que significa "trabalho". A Lei escrita não esclarece essa questão. No entanto, no Talmude encontramos a Halacá, que interpreta a Lei escrita. O Talmude explica o que significa "trabalho" no sábado.</w:t>
      </w:r>
    </w:p>
    <w:p>
      <w:r/>
      <w:r>
        <w:t>Em segundo lugar, a Halacá abrange todos os ensinamentos e decisões de importantes estudiosos judeus ao longo da história. Todas essas fontes reunidas (a lei escrita e oral, além da história da erudição jurídica judaica) formam o que chamamos de Halacá. Essas fontes auxiliam na tomada de decisões religiosas e legais em comunidades judaicas ortodoxas.</w:t>
      </w:r>
    </w:p>
    <w:p>
      <w:r/>
      <w:r>
        <w:t>A Halacá é destinada a abranger todas as áreas da vida. Ela oferece orientação sobre hábitos alimentares, vida sexual, ética nos negócios, atividades sociais, entretenimento e muito mais. Como abrange tantos aspectos da vida diária, as pessoas frequentemente a chamam de "o jeito judaico". Ela serve como o guia legal e prático judaico para viver.</w:t>
      </w:r>
    </w:p>
    <w:p>
      <w:r/>
      <w:r>
        <w:rPr>
          <w:i/>
        </w:rPr>
        <w:t>Veja também</w:t>
      </w:r>
      <w:r>
        <w:t xml:space="preserve"> </w:t>
      </w:r>
      <w:r>
        <w:t>Hagadá</w:t>
      </w:r>
      <w:r>
        <w:t xml:space="preserve">; </w:t>
      </w:r>
      <w:r>
        <w:t>Talmude</w:t>
      </w:r>
      <w:r>
        <w:t>.</w:t>
      </w:r>
      <w:r/>
      <w:r/>
    </w:p>
    <w:p>
      <w:r/>
    </w:p>
    <w:p>
      <w:pPr>
        <w:pStyle w:val="Heading2"/>
      </w:pPr>
      <w:r>
        <w:t>Hallel</w:t>
      </w:r>
      <w:r/>
    </w:p>
    <w:p>
      <w:r/>
      <w:r>
        <w:t xml:space="preserve">Uma palavra hebraica que descreve um cântico de louvor a Deus. Mais tarde, no Talmud (lei religiosa judaica) e nos escritos dos rabinos (ou professores), referia-se a grupos de salmos de louvor a Deus. </w:t>
      </w:r>
      <w:hyperlink r:id="rId728">
        <w:r>
          <w:rPr>
            <w:color w:val="0000EE"/>
            <w:u w:val="single"/>
          </w:rPr>
          <w:t>Salmos 113–118</w:t>
        </w:r>
      </w:hyperlink>
      <w:r>
        <w:t xml:space="preserve"> eram chamados de Hallel Egípcio, e a antiga tradição judaica acreditava que Moisés os escreveu.</w:t>
      </w:r>
    </w:p>
    <w:p>
      <w:r/>
      <w:r>
        <w:t>Durante o período do templo, este Hallel era lido em 18 dias do ano, mas apenas em uma noite, isto é, na Páscoa. Era lido em partes durante a Páscoa:</w:t>
      </w:r>
    </w:p>
    <w:p>
      <w:pPr>
        <w:pStyle w:val="ListBullet"/>
        <w:spacing w:line="240" w:lineRule="auto"/>
        <w:ind w:left="720"/>
      </w:pPr>
      <w:r/>
      <w:hyperlink r:id="rId10312">
        <w:r>
          <w:rPr>
            <w:color w:val="0000EE"/>
            <w:u w:val="single"/>
          </w:rPr>
          <w:t>Salmos 113–114</w:t>
        </w:r>
      </w:hyperlink>
      <w:r>
        <w:t xml:space="preserve"> eram lidos antes da refeição e antes de beber o segundo copo.</w:t>
      </w:r>
    </w:p>
    <w:p>
      <w:pPr>
        <w:pStyle w:val="ListBullet"/>
        <w:spacing w:line="240" w:lineRule="auto"/>
        <w:ind w:left="720"/>
      </w:pPr>
      <w:r/>
      <w:hyperlink r:id="rId730">
        <w:r>
          <w:rPr>
            <w:color w:val="0000EE"/>
            <w:u w:val="single"/>
          </w:rPr>
          <w:t>Salmos 115–118</w:t>
        </w:r>
      </w:hyperlink>
      <w:r>
        <w:t xml:space="preserve"> eram lidos após o último cálice ser preenchido.</w:t>
      </w:r>
    </w:p>
    <w:p>
      <w:r/>
      <w:r>
        <w:t>Esta é provavelmente a canção que Jesus e seus discípulos cantaram na Santa Ceia (</w:t>
      </w:r>
      <w:hyperlink r:id="rId731">
        <w:r>
          <w:rPr>
            <w:color w:val="0000EE"/>
            <w:u w:val="single"/>
          </w:rPr>
          <w:t>Mt 26.30</w:t>
        </w:r>
      </w:hyperlink>
      <w:r>
        <w:t xml:space="preserve">; </w:t>
      </w:r>
      <w:hyperlink r:id="rId732">
        <w:r>
          <w:rPr>
            <w:color w:val="0000EE"/>
            <w:u w:val="single"/>
          </w:rPr>
          <w:t>Mc 14.26</w:t>
        </w:r>
      </w:hyperlink>
      <w:r>
        <w:t>). Este Hallel também era usado para as festas de pães asmos, Pentecostes, Tabernáculos e Dedicação.</w:t>
      </w:r>
    </w:p>
    <w:p>
      <w:r/>
      <w:r>
        <w:t xml:space="preserve">O Grande Hallel era </w:t>
      </w:r>
      <w:hyperlink r:id="rId1160">
        <w:r>
          <w:rPr>
            <w:color w:val="0000EE"/>
            <w:u w:val="single"/>
          </w:rPr>
          <w:t>o Salmo 136</w:t>
        </w:r>
      </w:hyperlink>
      <w:r>
        <w:t xml:space="preserve"> e, às vezes, </w:t>
      </w:r>
      <w:hyperlink r:id="rId10313">
        <w:r>
          <w:rPr>
            <w:color w:val="0000EE"/>
            <w:u w:val="single"/>
          </w:rPr>
          <w:t>os Salmos 120–136</w:t>
        </w:r>
      </w:hyperlink>
      <w:r>
        <w:t xml:space="preserve">. </w:t>
      </w:r>
      <w:hyperlink r:id="rId10314">
        <w:r>
          <w:rPr>
            <w:color w:val="0000EE"/>
            <w:u w:val="single"/>
          </w:rPr>
          <w:t>Os Salmos 146–148</w:t>
        </w:r>
      </w:hyperlink>
      <w:r>
        <w:t xml:space="preserve"> também formavam um único Hallel. Estes eram usados durante o serviço matinal diário da sinagoga.</w:t>
      </w:r>
    </w:p>
    <w:p>
      <w:r/>
      <w:r>
        <w:rPr>
          <w:i/>
        </w:rPr>
        <w:t>Veja também</w:t>
      </w:r>
      <w:r>
        <w:t xml:space="preserve"> </w:t>
      </w:r>
      <w:r>
        <w:t>Aleluia</w:t>
      </w:r>
      <w:r>
        <w:t xml:space="preserve">; </w:t>
      </w:r>
      <w:r>
        <w:t>Talmude</w:t>
      </w:r>
      <w:r>
        <w:t>.</w:t>
      </w:r>
      <w:r/>
      <w:r/>
    </w:p>
    <w:p>
      <w:r/>
    </w:p>
    <w:p>
      <w:pPr>
        <w:pStyle w:val="Heading2"/>
      </w:pPr>
      <w:r>
        <w:t>Hamate</w:t>
      </w:r>
      <w:r/>
    </w:p>
    <w:p>
      <w:r/>
      <w:r>
        <w:t>1. Cidade e distrito localizados a cerca de 200 quilômetros ao norte de Damasco (Síria), no rio Orontes. Os primeiros residentes aparentemente eram da raça dos hamateus, descendentes de Canaã (</w:t>
      </w:r>
      <w:hyperlink r:id="rId2618">
        <w:r>
          <w:rPr>
            <w:color w:val="0000EE"/>
            <w:u w:val="single"/>
          </w:rPr>
          <w:t>Gn 10.18</w:t>
        </w:r>
      </w:hyperlink>
      <w:r>
        <w:t>), mas os habitantes posteriores eram semitas. Era para ser o limite norte da nação de Israel, descrito como a “entrada de Hamate” (</w:t>
      </w:r>
      <w:hyperlink r:id="rId10315">
        <w:r>
          <w:rPr>
            <w:color w:val="0000EE"/>
            <w:u w:val="single"/>
          </w:rPr>
          <w:t>Nm 34.7–8</w:t>
        </w:r>
      </w:hyperlink>
      <w:r>
        <w:t xml:space="preserve">; </w:t>
      </w:r>
      <w:hyperlink r:id="rId9787">
        <w:r>
          <w:rPr>
            <w:color w:val="0000EE"/>
            <w:u w:val="single"/>
          </w:rPr>
          <w:t>Js 13.5</w:t>
        </w:r>
      </w:hyperlink>
      <w:r>
        <w:t>; hebraico, Lebo Hamate), mas na verdade foi assim apenas no início da monarquia e sob Jeroboão II (793–753 a.C.). A localização é incerta, mas ficava entre as montanhas do Líbano e Anti-Líbano. Alguns estudiosos pensaram nisso como um nome de lugar real, Lebo-Hamate, e o identificaram com o moderno Lebweh no Orontes. Outros o localizaram em outro lugar na Síria.</w:t>
      </w:r>
    </w:p>
    <w:p>
      <w:r/>
      <w:r>
        <w:t>Hamate foi estabelecida durante o período Neolítico e destruída por volta de 1750 a.C., possivelmente pelos hicsos. Posteriormente, foi reconstruída e conquistada por Tutmés III (1502–1448 a.C.), e enquanto o Egito controlava a Síria, Hamate prosperou. Várias inscrições hititas foram descobertas, revelando que Hamate havia se tornado a capital de um pequeno reino hitita antes de 900 a.C.</w:t>
      </w:r>
    </w:p>
    <w:p>
      <w:r/>
      <w:r>
        <w:t>Quando Davi lutou contra Hadadezer, rei de Zobá, e o derrotou, Toí, rei de Hamate, enviou seu filho para parabenizar Davi (</w:t>
      </w:r>
      <w:hyperlink r:id="rId10316">
        <w:r>
          <w:rPr>
            <w:color w:val="0000EE"/>
            <w:u w:val="single"/>
          </w:rPr>
          <w:t>2Sm 8.9–10</w:t>
        </w:r>
      </w:hyperlink>
      <w:r>
        <w:t>). Desde que Salomão construiu cidades-armazém na região de Hamate (</w:t>
      </w:r>
      <w:hyperlink r:id="rId10317">
        <w:r>
          <w:rPr>
            <w:color w:val="0000EE"/>
            <w:u w:val="single"/>
          </w:rPr>
          <w:t>2Cr 8.4</w:t>
        </w:r>
      </w:hyperlink>
      <w:r>
        <w:t>), foi sugerido que Hamate se tornou um reino tributário de Israel. Durante o reinado de Acabe de Israel, as inscrições reais assírias afirmam que Irhulini, rei de Hamate, aliou-se com Damasco, Israel e os 12 reis da costa para resistir aos avanços de Salmanesar III (860–825 a.C.). A aliança deteve Salmanesar, embora ele continuasse a assediar a Síria, e por volta de 846 a.C. ele conquistou a aliança síria, quando Hamate se tornou sujeita à Assíria. Em 730 a.C., Eni-Ilus, então rei de Hamate, pagou tributo a Tiglate-Pileser III. Por volta de 720 a.C., Sargão II colonizou Hamate com 4.300 assírios e moveu muitas pessoas de diferentes áreas de seu reino, incluindo Hamate, para Samaria (</w:t>
      </w:r>
      <w:hyperlink r:id="rId2956">
        <w:r>
          <w:rPr>
            <w:color w:val="0000EE"/>
            <w:u w:val="single"/>
          </w:rPr>
          <w:t>2Rs 17.24</w:t>
        </w:r>
      </w:hyperlink>
      <w:r>
        <w:t>). Os israelitas também foram aparentemente colonizados em Hamate (</w:t>
      </w:r>
      <w:hyperlink r:id="rId7768">
        <w:r>
          <w:rPr>
            <w:color w:val="0000EE"/>
            <w:u w:val="single"/>
          </w:rPr>
          <w:t>Is 11.11</w:t>
        </w:r>
      </w:hyperlink>
      <w:r>
        <w:t xml:space="preserve">). Outras referências do AT à conquista assíria de Hamate incluem </w:t>
      </w:r>
      <w:hyperlink r:id="rId10318">
        <w:r>
          <w:rPr>
            <w:color w:val="0000EE"/>
            <w:u w:val="single"/>
          </w:rPr>
          <w:t>2 Reis 18.34</w:t>
        </w:r>
      </w:hyperlink>
      <w:r>
        <w:t xml:space="preserve">, </w:t>
      </w:r>
      <w:hyperlink r:id="rId10319">
        <w:r>
          <w:rPr>
            <w:color w:val="0000EE"/>
            <w:u w:val="single"/>
          </w:rPr>
          <w:t>19.13</w:t>
        </w:r>
      </w:hyperlink>
      <w:r>
        <w:t xml:space="preserve">, </w:t>
      </w:r>
      <w:hyperlink r:id="rId4103">
        <w:r>
          <w:rPr>
            <w:color w:val="0000EE"/>
            <w:u w:val="single"/>
          </w:rPr>
          <w:t>Isaías 10.9</w:t>
        </w:r>
      </w:hyperlink>
      <w:r>
        <w:t xml:space="preserve">, </w:t>
      </w:r>
      <w:hyperlink r:id="rId10320">
        <w:r>
          <w:rPr>
            <w:color w:val="0000EE"/>
            <w:u w:val="single"/>
          </w:rPr>
          <w:t>36.19</w:t>
        </w:r>
      </w:hyperlink>
      <w:r>
        <w:t xml:space="preserve">, </w:t>
      </w:r>
      <w:hyperlink r:id="rId10321">
        <w:r>
          <w:rPr>
            <w:color w:val="0000EE"/>
            <w:u w:val="single"/>
          </w:rPr>
          <w:t>37.13</w:t>
        </w:r>
      </w:hyperlink>
      <w:r>
        <w:t xml:space="preserve"> e </w:t>
      </w:r>
      <w:hyperlink r:id="rId4104">
        <w:r>
          <w:rPr>
            <w:color w:val="0000EE"/>
            <w:u w:val="single"/>
          </w:rPr>
          <w:t>Amós 6.2</w:t>
        </w:r>
      </w:hyperlink>
      <w:r>
        <w:t>. Mais tarde, a cidade parece ter sido sujeita a Damasco (</w:t>
      </w:r>
      <w:hyperlink r:id="rId10322">
        <w:r>
          <w:rPr>
            <w:color w:val="0000EE"/>
            <w:u w:val="single"/>
          </w:rPr>
          <w:t>Jr 49.23</w:t>
        </w:r>
      </w:hyperlink>
      <w:r>
        <w:t>). Alguns dos profetas previram que Israel eventualmente estenderia suas fronteiras novamente até Hamate (</w:t>
      </w:r>
      <w:hyperlink r:id="rId10323">
        <w:r>
          <w:rPr>
            <w:color w:val="0000EE"/>
            <w:u w:val="single"/>
          </w:rPr>
          <w:t>Ez 47.16–17</w:t>
        </w:r>
      </w:hyperlink>
      <w:r>
        <w:t xml:space="preserve">; </w:t>
      </w:r>
      <w:hyperlink r:id="rId8018">
        <w:r>
          <w:rPr>
            <w:color w:val="0000EE"/>
            <w:u w:val="single"/>
          </w:rPr>
          <w:t>48.1</w:t>
        </w:r>
      </w:hyperlink>
      <w:r>
        <w:t xml:space="preserve">; </w:t>
      </w:r>
      <w:hyperlink r:id="rId10324">
        <w:r>
          <w:rPr>
            <w:color w:val="0000EE"/>
            <w:u w:val="single"/>
          </w:rPr>
          <w:t>Zc 9.2</w:t>
        </w:r>
      </w:hyperlink>
      <w:r>
        <w:t>).</w:t>
      </w:r>
    </w:p>
    <w:p>
      <w:r/>
      <w:r>
        <w:t>Durante o período dos Macabeus, Jônatas Macabeu e seu exército encontraram o exército de Demétrio em Hamate (</w:t>
      </w:r>
      <w:hyperlink r:id="rId10325">
        <w:r>
          <w:rPr>
            <w:color w:val="0000EE"/>
            <w:u w:val="single"/>
          </w:rPr>
          <w:t>1Mc 12.25</w:t>
        </w:r>
      </w:hyperlink>
      <w:r>
        <w:t>). Segundo Josefo, Antíoco Epifânio mudou seu nome para Epifânia (</w:t>
      </w:r>
      <w:r>
        <w:rPr>
          <w:i/>
        </w:rPr>
        <w:t>Antiguidades</w:t>
      </w:r>
      <w:r>
        <w:t xml:space="preserve"> 1.4.2), nome pelo qual era conhecido pelos gregos e romanos.</w:t>
      </w:r>
    </w:p>
    <w:p>
      <w:r/>
      <w:r>
        <w:rPr>
          <w:i/>
        </w:rPr>
        <w:t>Veja também</w:t>
      </w:r>
      <w:r>
        <w:t xml:space="preserve"> </w:t>
      </w:r>
      <w:r>
        <w:t>Entrada de Hamate</w:t>
      </w:r>
      <w:r>
        <w:t>.</w:t>
      </w:r>
    </w:p>
    <w:p>
      <w:r/>
      <w:r>
        <w:t xml:space="preserve">2. Hamate-Zobá é mencionada em </w:t>
      </w:r>
      <w:hyperlink r:id="rId10326">
        <w:r>
          <w:rPr>
            <w:color w:val="0000EE"/>
            <w:u w:val="single"/>
          </w:rPr>
          <w:t>2 Crônicas 8.3</w:t>
        </w:r>
      </w:hyperlink>
      <w:r>
        <w:t xml:space="preserve"> como uma cidade conquistada por Salomão. Alguns sugeriram que era a mesma cidade que a Hamate mencionada acima, enquanto outros sugerem que era uma cidade diferente no distrito de Zobá.</w:t>
      </w:r>
    </w:p>
    <w:p>
      <w:r/>
      <w:r>
        <w:rPr>
          <w:i/>
        </w:rPr>
        <w:t>Veja também</w:t>
      </w:r>
      <w:r>
        <w:t xml:space="preserve"> </w:t>
      </w:r>
      <w:r>
        <w:t>Hamate-Zobá</w:t>
      </w:r>
      <w:r>
        <w:t>.</w:t>
      </w:r>
      <w:r/>
      <w:r/>
    </w:p>
    <w:p>
      <w:r/>
    </w:p>
    <w:p>
      <w:pPr>
        <w:pStyle w:val="Heading2"/>
      </w:pPr>
      <w:r>
        <w:t>Hamate*, Entrada de</w:t>
      </w:r>
      <w:r/>
    </w:p>
    <w:p>
      <w:r/>
      <w:r>
        <w:t>Local de identificação incerta, marcando a fronteira norte do território dos Cananeus prometido a Israel por Deus (</w:t>
      </w:r>
      <w:hyperlink r:id="rId10327">
        <w:r>
          <w:rPr>
            <w:color w:val="0000EE"/>
            <w:u w:val="single"/>
          </w:rPr>
          <w:t>Nm 34.8</w:t>
        </w:r>
      </w:hyperlink>
      <w:r>
        <w:t>), mas somente alcançado na época da monarquia (</w:t>
      </w:r>
      <w:hyperlink r:id="rId9232">
        <w:r>
          <w:rPr>
            <w:color w:val="0000EE"/>
            <w:u w:val="single"/>
          </w:rPr>
          <w:t>1Rs 8.65</w:t>
        </w:r>
      </w:hyperlink>
      <w:r>
        <w:t xml:space="preserve">; </w:t>
      </w:r>
      <w:hyperlink r:id="rId10328">
        <w:r>
          <w:rPr>
            <w:color w:val="0000EE"/>
            <w:u w:val="single"/>
          </w:rPr>
          <w:t>1Cr 13.5</w:t>
        </w:r>
      </w:hyperlink>
      <w:r>
        <w:t xml:space="preserve">; </w:t>
      </w:r>
      <w:hyperlink r:id="rId10329">
        <w:r>
          <w:rPr>
            <w:color w:val="0000EE"/>
            <w:u w:val="single"/>
          </w:rPr>
          <w:t>2Cr 7.8</w:t>
        </w:r>
      </w:hyperlink>
      <w:r>
        <w:t>).</w:t>
      </w:r>
    </w:p>
    <w:p>
      <w:r/>
      <w:r>
        <w:t>Após a morte de Salomão, o reino foi dividido e a fronteira norte diminuiu. Somente durante o reinado de Jeroboão II, filho de Joás (793–753 a.C.), rei do reino do norte (chamado Israel), as fronteiras do norte se estenderam novamente até a entrada de Hamate (</w:t>
      </w:r>
      <w:hyperlink r:id="rId9730">
        <w:r>
          <w:rPr>
            <w:color w:val="0000EE"/>
            <w:u w:val="single"/>
          </w:rPr>
          <w:t>2Rs 14.23–25</w:t>
        </w:r>
      </w:hyperlink>
      <w:r>
        <w:t>).</w:t>
      </w:r>
    </w:p>
    <w:p>
      <w:r/>
      <w:r>
        <w:t>Tanto Amós quanto Ezequiel referem-se à entrada de Hamate em suas profecias sobre Israel (</w:t>
      </w:r>
      <w:hyperlink r:id="rId10330">
        <w:r>
          <w:rPr>
            <w:color w:val="0000EE"/>
            <w:u w:val="single"/>
          </w:rPr>
          <w:t>Am 6.14</w:t>
        </w:r>
      </w:hyperlink>
      <w:r>
        <w:t xml:space="preserve">; </w:t>
      </w:r>
      <w:hyperlink r:id="rId10331">
        <w:r>
          <w:rPr>
            <w:color w:val="0000EE"/>
            <w:u w:val="single"/>
          </w:rPr>
          <w:t>Ez 47.15–20</w:t>
        </w:r>
      </w:hyperlink>
      <w:r>
        <w:t xml:space="preserve">; </w:t>
      </w:r>
      <w:hyperlink r:id="rId8018">
        <w:r>
          <w:rPr>
            <w:color w:val="0000EE"/>
            <w:u w:val="single"/>
          </w:rPr>
          <w:t>48.1</w:t>
        </w:r>
      </w:hyperlink>
      <w:r>
        <w:t xml:space="preserve">). Algumas autoridades consideram o lugar como a antiga cidade de Lebo-Hamate, identificada com a moderna Lebweh. </w:t>
      </w:r>
      <w:r>
        <w:rPr>
          <w:i/>
        </w:rPr>
        <w:t>Veja</w:t>
      </w:r>
      <w:r>
        <w:t xml:space="preserve"> </w:t>
      </w:r>
      <w:r>
        <w:t>Hamate #1</w:t>
      </w:r>
      <w:r>
        <w:t xml:space="preserve">; </w:t>
      </w:r>
      <w:r>
        <w:t>Lebo-Hamate</w:t>
      </w:r>
      <w:r>
        <w:t>.</w:t>
      </w:r>
      <w:r/>
      <w:r/>
    </w:p>
    <w:p>
      <w:r/>
    </w:p>
    <w:p>
      <w:pPr>
        <w:pStyle w:val="Heading2"/>
      </w:pPr>
      <w:r>
        <w:t>Hamateu</w:t>
      </w:r>
      <w:r/>
    </w:p>
    <w:p>
      <w:r/>
      <w:r>
        <w:t>Residente de Hamate (</w:t>
      </w:r>
      <w:hyperlink r:id="rId2618">
        <w:r>
          <w:rPr>
            <w:color w:val="0000EE"/>
            <w:u w:val="single"/>
          </w:rPr>
          <w:t>Gn 10.18</w:t>
        </w:r>
      </w:hyperlink>
      <w:r>
        <w:t xml:space="preserve">; </w:t>
      </w:r>
      <w:hyperlink r:id="rId2619">
        <w:r>
          <w:rPr>
            <w:color w:val="0000EE"/>
            <w:u w:val="single"/>
          </w:rPr>
          <w:t>1Cr 1.16</w:t>
        </w:r>
      </w:hyperlink>
      <w:r>
        <w:t xml:space="preserve">). </w:t>
      </w:r>
      <w:r>
        <w:rPr>
          <w:i/>
        </w:rPr>
        <w:t>Veja</w:t>
      </w:r>
      <w:r>
        <w:t xml:space="preserve"> </w:t>
      </w:r>
      <w:r>
        <w:t>Hamate #1</w:t>
      </w:r>
      <w:r>
        <w:t>.</w:t>
      </w:r>
      <w:r/>
      <w:r/>
    </w:p>
    <w:p>
      <w:r/>
    </w:p>
    <w:p>
      <w:pPr>
        <w:pStyle w:val="Heading2"/>
      </w:pPr>
      <w:r>
        <w:t>Hamor</w:t>
      </w:r>
      <w:r/>
    </w:p>
    <w:p>
      <w:r/>
      <w:r>
        <w:t>Um príncipe heveu ou horita que governava a área ao redor de Siquém (</w:t>
      </w:r>
      <w:hyperlink r:id="rId10332">
        <w:r>
          <w:rPr>
            <w:color w:val="0000EE"/>
            <w:u w:val="single"/>
          </w:rPr>
          <w:t>Gn 34.2</w:t>
        </w:r>
      </w:hyperlink>
      <w:r>
        <w:t>). Quando Jacó retornou de Padã-Arã com sua família, ele comprou terras de Hamor. Durante esse tempo, o filho de Hamor, Siquém, forçou Diná, filha de Jacó, a ter relações sexuais com ele, contra a vontade dela.</w:t>
      </w:r>
    </w:p>
    <w:p>
      <w:r/>
      <w:r>
        <w:t>A pedido de seu filho, Hamor pediu a Jacó para que Siquém se casasse com Diná. Ele ofereceu um dote. Simeão e Levi, fingindo ser amigos, enganaram os homens que viviam naquela cidade para que fossem circuncidados. Então, eles os atacaram e mataram antes que se recuperassem, buscando vingança pela humilhação de sua irmã.</w:t>
      </w:r>
    </w:p>
    <w:p>
      <w:r/>
      <w:r>
        <w:t>“Hamor” é a palavra hebraica que Jacó usa para se referir a Issacar ao abençoar seus filhos (</w:t>
      </w:r>
      <w:hyperlink r:id="rId10333">
        <w:r>
          <w:rPr>
            <w:color w:val="0000EE"/>
            <w:u w:val="single"/>
          </w:rPr>
          <w:t>Gn 49.14</w:t>
        </w:r>
      </w:hyperlink>
      <w:r>
        <w:t xml:space="preserve">). É a palavra usual para “jumento” no Antigo Testamento (p. ex. </w:t>
      </w:r>
      <w:hyperlink r:id="rId1621">
        <w:r>
          <w:rPr>
            <w:color w:val="0000EE"/>
            <w:u w:val="single"/>
          </w:rPr>
          <w:t>Gn 42.26</w:t>
        </w:r>
      </w:hyperlink>
      <w:r>
        <w:t xml:space="preserve">; </w:t>
      </w:r>
      <w:hyperlink r:id="rId1569">
        <w:r>
          <w:rPr>
            <w:color w:val="0000EE"/>
            <w:u w:val="single"/>
          </w:rPr>
          <w:t>Êx 20.17</w:t>
        </w:r>
      </w:hyperlink>
      <w:r>
        <w:t xml:space="preserve">; </w:t>
      </w:r>
      <w:hyperlink r:id="rId10334">
        <w:r>
          <w:rPr>
            <w:color w:val="0000EE"/>
            <w:u w:val="single"/>
          </w:rPr>
          <w:t>Jz 15.15</w:t>
        </w:r>
      </w:hyperlink>
      <w:r>
        <w:t xml:space="preserve">; </w:t>
      </w:r>
      <w:hyperlink r:id="rId5407">
        <w:r>
          <w:rPr>
            <w:color w:val="0000EE"/>
            <w:u w:val="single"/>
          </w:rPr>
          <w:t>Is 1.3</w:t>
        </w:r>
      </w:hyperlink>
      <w:r>
        <w:t xml:space="preserve">; </w:t>
      </w:r>
      <w:hyperlink r:id="rId10335">
        <w:r>
          <w:rPr>
            <w:color w:val="0000EE"/>
            <w:u w:val="single"/>
          </w:rPr>
          <w:t>Zc 9.9</w:t>
        </w:r>
      </w:hyperlink>
      <w:r>
        <w:t>).</w:t>
      </w:r>
      <w:r/>
      <w:r/>
    </w:p>
    <w:p>
      <w:r/>
    </w:p>
    <w:p>
      <w:pPr>
        <w:pStyle w:val="Heading2"/>
      </w:pPr>
      <w:r>
        <w:t>Hamul, Hamulita</w:t>
      </w:r>
      <w:r/>
    </w:p>
    <w:p>
      <w:r/>
      <w:r>
        <w:t>O filho mais novo de Perez (</w:t>
      </w:r>
      <w:hyperlink r:id="rId8103">
        <w:r>
          <w:rPr>
            <w:color w:val="0000EE"/>
            <w:u w:val="single"/>
          </w:rPr>
          <w:t>Gn 46.12</w:t>
        </w:r>
      </w:hyperlink>
      <w:r>
        <w:t xml:space="preserve">; </w:t>
      </w:r>
      <w:hyperlink r:id="rId10336">
        <w:r>
          <w:rPr>
            <w:color w:val="0000EE"/>
            <w:u w:val="single"/>
          </w:rPr>
          <w:t>1Cr 2.5</w:t>
        </w:r>
      </w:hyperlink>
      <w:r>
        <w:t>) e fundador da família hamulita (</w:t>
      </w:r>
      <w:hyperlink r:id="rId10337">
        <w:r>
          <w:rPr>
            <w:color w:val="0000EE"/>
            <w:u w:val="single"/>
          </w:rPr>
          <w:t>Nm 26.21</w:t>
        </w:r>
      </w:hyperlink>
      <w:r>
        <w:t>).</w:t>
      </w:r>
      <w:r/>
      <w:r/>
    </w:p>
    <w:p>
      <w:r/>
    </w:p>
    <w:p>
      <w:pPr>
        <w:pStyle w:val="Heading2"/>
      </w:pPr>
      <w:r>
        <w:t>Hamurabi, Código de leis de</w:t>
      </w:r>
      <w:r/>
    </w:p>
    <w:p>
      <w:r/>
      <w:r>
        <w:t>Um código de leis criado por Hamurabi, o último grande rei da primeira dinastia babilônica, que governou aproximadamente de 1790 a 1750 a.C. Foi criado para proteger os direitos dos cidadãos e delinear seus deveres.</w:t>
      </w:r>
    </w:p>
    <w:p>
      <w:pPr>
        <w:pStyle w:val="Heading3"/>
      </w:pPr>
      <w:r>
        <w:t>A descoberta do Código de Hamurabi</w:t>
      </w:r>
    </w:p>
    <w:p>
      <w:r/>
      <w:r>
        <w:t>As leis foram esculpidas em pilares de pedra, muitas vezes colocados em mercados ou perto de templos para que todos pudessem ver. O exemplo mais completo encontrado até agora é da parte final de seu reinado. Arqueólogos franceses descobriram o pilar em Susã em 1901. Era feito de pedra diorito preto e tinha 2,4 metros (oito pés) de altura. Tinha uma escultura de Hamurabi recebendo símbolos de realeza e lei do deus Shamash (o deus mesopotâmico da justiça). Abaixo dessa escultura havia uma introdução poética, seguida por 282 leis, e uma declaração final louvando as virtudes de Hamurabi, seu cuidado com seu povo e sua obediência ao grande deus Marduque e ao deus da justiça, Shamash. Os deuses são invocados para amaldiçoar qualquer um que desafie o pilar.</w:t>
      </w:r>
    </w:p>
    <w:p>
      <w:r/>
      <w:r>
        <w:t>Os elamitas levaram-no para Susã como um troféu de batalha em 1160 a.C. Agora está no Louvre em Paris. O código é um conjunto de leis baseadas nas leis sumérias e semíticas antigas. O código de Hamurabi tem muitas semelhanças com as leis dos assírios, hititas e hebreus.</w:t>
      </w:r>
    </w:p>
    <w:p>
      <w:pPr>
        <w:pStyle w:val="Heading3"/>
      </w:pPr>
      <w:r>
        <w:t>Leis e punições fundamentais</w:t>
      </w:r>
    </w:p>
    <w:p>
      <w:r/>
      <w:r>
        <w:t>A primeira parte do Código de Hamurabi listava punições para crimes graves, tais como:</w:t>
      </w:r>
    </w:p>
    <w:p>
      <w:pPr>
        <w:pStyle w:val="ListBullet"/>
        <w:spacing w:line="240" w:lineRule="auto"/>
        <w:ind w:left="720"/>
      </w:pPr>
      <w:r/>
      <w:r>
        <w:t>Levar alguém à força (rapto).</w:t>
      </w:r>
    </w:p>
    <w:p>
      <w:pPr>
        <w:pStyle w:val="ListBullet"/>
        <w:spacing w:line="240" w:lineRule="auto"/>
        <w:ind w:left="720"/>
      </w:pPr>
      <w:r/>
      <w:r>
        <w:t>Furtar objetos que pertencem a outras pessoas.</w:t>
      </w:r>
    </w:p>
    <w:p>
      <w:pPr>
        <w:pStyle w:val="ListBullet"/>
        <w:spacing w:line="240" w:lineRule="auto"/>
        <w:ind w:left="720"/>
      </w:pPr>
      <w:r/>
      <w:r>
        <w:t>Comprar ou manter objetos que foram roubados.</w:t>
      </w:r>
    </w:p>
    <w:p>
      <w:pPr>
        <w:pStyle w:val="ListBullet"/>
        <w:spacing w:line="240" w:lineRule="auto"/>
        <w:ind w:left="720"/>
      </w:pPr>
      <w:r/>
      <w:r>
        <w:t>Invadir um edifício à força e sem permissão.</w:t>
      </w:r>
    </w:p>
    <w:p>
      <w:pPr>
        <w:pStyle w:val="ListBullet"/>
        <w:spacing w:line="240" w:lineRule="auto"/>
        <w:ind w:left="720"/>
      </w:pPr>
      <w:r/>
      <w:r>
        <w:t>Roubo durante emergências, como incêndios ou tumultos (saque).</w:t>
      </w:r>
    </w:p>
    <w:p>
      <w:pPr>
        <w:pStyle w:val="ListBullet"/>
        <w:spacing w:line="240" w:lineRule="auto"/>
        <w:ind w:left="720"/>
      </w:pPr>
      <w:r/>
      <w:r>
        <w:t>Mentir após prometer dizer a verdade no tribunal.</w:t>
      </w:r>
    </w:p>
    <w:p>
      <w:pPr>
        <w:pStyle w:val="ListBullet"/>
        <w:spacing w:line="240" w:lineRule="auto"/>
        <w:ind w:left="720"/>
      </w:pPr>
      <w:r/>
      <w:r>
        <w:t>Acusar alguém falsamente de um crime.</w:t>
      </w:r>
    </w:p>
    <w:p>
      <w:pPr>
        <w:pStyle w:val="ListBullet"/>
        <w:spacing w:line="240" w:lineRule="auto"/>
        <w:ind w:left="720"/>
      </w:pPr>
      <w:r/>
      <w:r>
        <w:t>Ajudar alguém a se esconder da justiça.</w:t>
      </w:r>
    </w:p>
    <w:p>
      <w:r/>
      <w:r>
        <w:t>A morte era uma possível punição para esses crimes, especialmente se o roubo envolvesse subtrair de um templo ou do estado, ou se uma testemunha mentisse em um caso com pena de morte.</w:t>
      </w:r>
    </w:p>
    <w:p>
      <w:r/>
      <w:r>
        <w:t>Todas as transações válidas ocorreram na presença de testemunhas, e o testemunho delas precisava ser confiável em disputas. Eles aplicaram justiça rápida a um homem culpado de invadir um prédio sem permissão:</w:t>
      </w:r>
    </w:p>
    <w:p>
      <w:r/>
      <w:r>
        <w:t>“Se um homem invadir uma casa, deve-se colocá-lo à morte na brecha e emparedá-lo” (seção 21).</w:t>
      </w:r>
    </w:p>
    <w:p>
      <w:r/>
      <w:r>
        <w:t>Para um saqueador durante um incêndio:</w:t>
      </w:r>
    </w:p>
    <w:p>
      <w:r/>
      <w:r>
        <w:t>“Se um incêndio ocorrer na casa de um homem, e alguém, ao tentar apagá-lo, roubar os bens do proprietário, essa pessoa deverá ser lançada naquele fogo” (seção 25).</w:t>
      </w:r>
    </w:p>
    <w:p>
      <w:pPr>
        <w:pStyle w:val="Heading3"/>
      </w:pPr>
      <w:r>
        <w:t>Leis sobre propriedade e negócios</w:t>
      </w:r>
    </w:p>
    <w:p>
      <w:r/>
      <w:r>
        <w:t>A próxima seção descreve como a lei protegia tanto as pessoas que possuíam terras quanto aquelas que trabalhavam nelas. Explica o que cada pessoa precisava fazer e quais direitos possuíam. O oficial tinha que gerenciar seus soldados, assim como os soldados tinham que servir ao estado. A lei também protegia a propriedade de um soldado enquanto ele servia no exército. Um inquilino precisava usar a propriedade alugada de maneira sábia e benéfica. Se a terra alugada de um inquilino inundasse antes da colheita, a lei o isentava de pagar o aluguel naquele ano. Ele também precisava ter cuidado com as colheitas dos vizinhos e evitar inundar seus campos com irrigação excessiva (seções 30–56).</w:t>
      </w:r>
    </w:p>
    <w:p>
      <w:r/>
      <w:r>
        <w:t>A discussão detalhada sobre contratos e leis comerciais revela a ampla gama dessas transações. Se alguém pegasse dinheiro emprestado de um comerciante e não pudesse pagar, tinha que reembolsar com bens, como tâmaras de sua própria colheita. A taxa de juros permitida era de cerca de 20 por cento. A lei protegia os mutuários de credores que usavam um pequeno peso de grãos ou dinheiro e exigiam reembolso com juros em um peso maior. Qualquer pessoa pega fazendo isso perdia o que tinha emprestado. As vendedoras de vinho foram advertidas contra a venda com peso reduzido (seção 108). Altas taxas de juros se aplicavam à compra de vinho a crédito, então poucas pessoas provavelmente usavam essa forma inicial de crédito.</w:t>
      </w:r>
    </w:p>
    <w:p>
      <w:r/>
      <w:r>
        <w:t>Para garantir uma divisão justa ao encerrar uma parceria, a transação ocorria na presença de "Deus", provavelmente no templo. Esperava-se que um comerciante que tomasse dinheiro emprestado com juros obtivesse lucro. Se ele tivesse sucesso, reembolsava tanto o valor original quanto os juros. Se ele falhasse, era considerado um comerciante ruim e tinha que reembolsar ao mercador o dobro do valor emprestado. No entanto, se o dinheiro fosse emprestado como um favor e o comerciante sofresse uma perda, apenas o principal era reembolsável sem juros. Um comerciante roubado por bandidos não precisava fazer o pagamento. Recibos selados eram usados para garantir práticas comerciais justas. Em disputas sobre um empréstimo, se o mercador provasse seu caso, o comerciante tinha que devolver três vezes o valor emprestado. Se o comerciante provasse seu caso, o mercador pagava ao comerciante seis vezes o valor original envolvido (seções 98–107).</w:t>
      </w:r>
    </w:p>
    <w:p>
      <w:r/>
      <w:r>
        <w:t>Um credor não podia tomar o dinheiro ou o grão de um devedor sem permissão. Se o fizesse, tinha que devolvê-lo e perder o empréstimo. Às vezes, uma pessoa podia ser mantida como garantia. Se a pessoa morresse naturalmente durante esse tempo, nenhuma reivindicação poderia ser feita. No entanto, se a pessoa morresse por maus-tratos, era exigida compensação com base na posição social. Se a garantia fosse um escravo, a compensação era um terço de uma mina de prata, e o empréstimo era perdoado. Se a garantia fosse o filho de um homem, o filho do credor era condenado à morte como compensação. Quando uma esposa, filho ou filha era obrigada a prestar serviço para pagar uma dívida, o máximo de servidão era de três anos (seções 113–117).</w:t>
      </w:r>
    </w:p>
    <w:p>
      <w:r/>
      <w:r>
        <w:t>Um homem precisava manter seguro qualquer coisa deixada com ele. Se ladrões a roubassem porque sua moradia não era segura, ele deveria reembolsar o proprietário. Se alguém alegasse falsamente que sua propriedade havia sido perdida, teria que pagar ao conselho da cidade o dobro do valor reivindicado.</w:t>
      </w:r>
    </w:p>
    <w:p>
      <w:pPr>
        <w:pStyle w:val="Heading3"/>
      </w:pPr>
      <w:r>
        <w:t>Leis sobre sexo, casamento e família</w:t>
      </w:r>
    </w:p>
    <w:p>
      <w:r/>
      <w:r>
        <w:t>Havia muitas leis sobre sexo e casamento (seções 127–162). Como a maioria dos acordos, o casamento precisava de um contrato para ser válido. O adultério frequentemente levava à pena de morte, mas um homem podia pedir para poupar a vida de sua esposa. A vítima de estupro não era punida. De acordo com a lei mosaica, se o ato acontecesse na cidade, a mulher também era considerada culpada porque se esperava que ela gritasse por ajuda. Se acontecesse fora das muralhas da cidade, ela não era culpada porque seus gritos não poderiam ser ouvidos. O código de Hamurabi mostrava preocupação com as mulheres que eram abandonadas ou cujos maridos eram capturados. Essas mulheres podiam viver com outro homem se não pudessem se sustentar.</w:t>
      </w:r>
    </w:p>
    <w:p>
      <w:r/>
      <w:r>
        <w:t>Quando uma mulher se divorciava, ela recebia seu dote de volta. Se não houvesse dote, ela recebia uma mina de prata. Se o marido fosse um camponês, ela recebia um terço de uma mina de prata. Se uma mulher negligenciasse suas obrigações domésticas para iniciar um negócio, seu marido poderia se divorciar dela sem pagamento. Ele também poderia se casar novamente sem se divorciar dela, fazendo-a viver como uma serva na casa.</w:t>
      </w:r>
    </w:p>
    <w:p>
      <w:r/>
      <w:r>
        <w:t>Uma escrava que tivesse um filho com seu mestre não podia ser vendida. Se um homem se casasse com uma mulher doente e depois escolhesse se casar com outra, a esposa doente poderia permanecer na casa. Seu marido tinha que sustentá-la por toda a vida. Uma mulher que matasse seu marido por seu amante era empalada em estacas (seção 153). Incesto levava à morte ou banimento. Casos de quebra de promessa geralmente exigiam o pagamento do dobro do valor do dote. Quando uma esposa morria, seu dote passava a fazer parte da herança de seus filhos. Se ela morresse sem filhos e seu pai devolvesse o preço do casamento, seu marido não poderia reivindicar seu dote, que deveria voltar para seu pai (seções 162–163). Os direitos de um filho mais novo e solteiro eram protegidos, assim como os dos filhos de um mestre com uma escrava. Um filho não podia ser deserdado por seu pai, a menos que cometesse uma ofensa grave. Uma viúva era protegida das exigências financeiras excessivas de seus filhos. Se uma mulher livre se casasse com um escravo, seus filhos seriam livres. Se o escravo morresse, sua viúva mantinha seu dote e metade dos bens adquiridos durante o casamento. O dono do escravo ficava com o restante. As mulheres que trabalhavam no templo também eram protegidas por lei.</w:t>
      </w:r>
    </w:p>
    <w:p>
      <w:r/>
      <w:r>
        <w:t>De acordo com a lei hebraica, um pai tinha que ensinar seu filho a ganhar a vida. O Código de Hamurabi exigia que um filho adotivo recebesse o mesmo treinamento. Se o filho adotivo não fosse criado como uma criança natural na família, ele poderia retornar à sua casa original.</w:t>
      </w:r>
    </w:p>
    <w:p>
      <w:r/>
      <w:r>
        <w:t>Se um homem posteriormente formasse sua própria família e mandasse a criança adotiva embora, a criança poderia levar um terço dos bens do homem. No entanto, a criança não poderia levar nenhuma terra ou casa, pois estas pertenciam aos filhos biológicos do homem. Se uma criança morresse enquanto estava sob os cuidados de uma ama e ela aceitasse outra criança sem informar os novos empregadores sobre a morte, eles cortavam seu seio.</w:t>
      </w:r>
    </w:p>
    <w:p>
      <w:pPr>
        <w:pStyle w:val="Heading3"/>
      </w:pPr>
      <w:r>
        <w:t>Leis sobre lesões e cuidados médicos</w:t>
      </w:r>
    </w:p>
    <w:p>
      <w:r/>
      <w:r>
        <w:t>A parte mais famosa do código de leis de Hamurabi trata de agressão: “Se um homem ferir o olho de um aristocrata [pessoa nobre ou rica], ferirão o olho dele”. Da mesma forma, se ele quebrar o osso de um homem ou arrancar um dente, enfrentará a mesma punição (seções 196–197). No entanto, se a pessoa ferida for um plebeu (sem posição ou título), o infrator deve pagar uma multa de uma mina de prata por destruir um olho ou quebrar um osso. Se a pessoa ferida for um escravo, o infrator deve pagar metade do valor do escravo. As punições por agressão simples dependem da posição das duas pessoas envolvidas. Se um homem jurar que o golpe não foi intencional, ele pode apenas ter que pagar a conta do médico. Outras penalidades se aplicam se o golpe for fatal ou causar aborto em uma mulher (seções 209–214).</w:t>
      </w:r>
    </w:p>
    <w:p>
      <w:r/>
      <w:r>
        <w:t>As taxas para cirurgiões estavam claramente definidas. Salvar uma vida ou realizar uma cirurgia ocular custava dez siclos de prata para um aristocrata, cinco para um plebeu e dois para um escravo. Se um paciente aristocrata morresse ou perdesse um olho durante a cirurgia, o cirurgião corria o risco de ter sua mão cortada (seção 218). Se um escravo morresse durante a cirurgia, o cirurgião tinha que substituir o escravo. Para colocar um osso quebrado ou curar um tendão torcido, o médico cobrava cinco, três ou dois siclos, com base no status do paciente (seções 221–223).</w:t>
      </w:r>
    </w:p>
    <w:p>
      <w:pPr>
        <w:pStyle w:val="Heading3"/>
      </w:pPr>
      <w:r>
        <w:t>Leis sobre trabalho e comércio</w:t>
      </w:r>
    </w:p>
    <w:p>
      <w:r/>
      <w:r>
        <w:t>A última seção de leis aborda a proteção das pessoas contra o trabalho inadequado de construtores de casas e barcos. Inclui regras para alugar animais ou contratar pessoas, roubo de ferramentas agrícolas, taxas para contratação e pagamento de salários, além de regras para compra e venda de escravos (seções 228–282).</w:t>
      </w:r>
    </w:p>
    <w:p>
      <w:r/>
      <w:r>
        <w:t>Se um homem alugasse os bois de seu mestre em vez de usá-los em seus próprios campos, ele teria que pagar o aluguel usual de grãos pelo campo. Se ele não pudesse pagar, os bois o arrastariam pelo campo.</w:t>
      </w:r>
    </w:p>
    <w:p>
      <w:pPr>
        <w:pStyle w:val="Heading3"/>
      </w:pPr>
      <w:r>
        <w:t>Comparação com a Lei de Moisés</w:t>
      </w:r>
    </w:p>
    <w:p>
      <w:r/>
      <w:r>
        <w:t>Devido às semelhanças culturais, não é surpreendente que o código de Hamurabi e a lei Mosaica tenham algumas similaridades. Ambos os conjuntos de leis previam a pena de morte para:</w:t>
      </w:r>
    </w:p>
    <w:p>
      <w:pPr>
        <w:pStyle w:val="ListBullet"/>
        <w:spacing w:line="240" w:lineRule="auto"/>
        <w:ind w:left="720"/>
      </w:pPr>
      <w:r/>
      <w:r>
        <w:t xml:space="preserve">Adultério (Hamurabi seção 129; </w:t>
      </w:r>
      <w:hyperlink r:id="rId456">
        <w:r>
          <w:rPr>
            <w:color w:val="0000EE"/>
            <w:u w:val="single"/>
          </w:rPr>
          <w:t>Lv 20.10</w:t>
        </w:r>
      </w:hyperlink>
      <w:r>
        <w:t xml:space="preserve">; </w:t>
      </w:r>
      <w:hyperlink r:id="rId457">
        <w:r>
          <w:rPr>
            <w:color w:val="0000EE"/>
            <w:u w:val="single"/>
          </w:rPr>
          <w:t>Dt 22.22</w:t>
        </w:r>
      </w:hyperlink>
      <w:r>
        <w:t>)</w:t>
      </w:r>
    </w:p>
    <w:p>
      <w:pPr>
        <w:pStyle w:val="ListBullet"/>
        <w:spacing w:line="240" w:lineRule="auto"/>
        <w:ind w:left="720"/>
      </w:pPr>
      <w:r/>
      <w:r>
        <w:t xml:space="preserve">Sequestro e venda de uma pessoa (Hamurabi seção 114; </w:t>
      </w:r>
      <w:hyperlink r:id="rId7207">
        <w:r>
          <w:rPr>
            <w:color w:val="0000EE"/>
            <w:u w:val="single"/>
          </w:rPr>
          <w:t>Êx 21.16</w:t>
        </w:r>
      </w:hyperlink>
      <w:r>
        <w:t>)</w:t>
      </w:r>
    </w:p>
    <w:p>
      <w:r/>
      <w:r>
        <w:t xml:space="preserve">O </w:t>
      </w:r>
      <w:r>
        <w:rPr>
          <w:i/>
        </w:rPr>
        <w:t>lex talionis</w:t>
      </w:r>
      <w:r>
        <w:t xml:space="preserve">, ou a lei de talião, em </w:t>
      </w:r>
      <w:hyperlink r:id="rId10338">
        <w:r>
          <w:rPr>
            <w:color w:val="0000EE"/>
            <w:u w:val="single"/>
          </w:rPr>
          <w:t>Êx 21.23–25</w:t>
        </w:r>
      </w:hyperlink>
      <w:r>
        <w:t xml:space="preserve"> e </w:t>
      </w:r>
      <w:hyperlink r:id="rId10339">
        <w:r>
          <w:rPr>
            <w:color w:val="0000EE"/>
            <w:u w:val="single"/>
          </w:rPr>
          <w:t>Dt 19.21</w:t>
        </w:r>
      </w:hyperlink>
      <w:r>
        <w:t xml:space="preserve"> também está presente nas leis de Hamurábi, como nas seções 197, 210 e 230. No entanto, as diferenças são importantes também. As leis de Hamurábi permitiam às mulheres direitos iguais ao divórcio (seção 142), mas a lei mosaica não incluía esses direitos (veja </w:t>
      </w:r>
      <w:hyperlink r:id="rId4534">
        <w:r>
          <w:rPr>
            <w:color w:val="0000EE"/>
            <w:u w:val="single"/>
          </w:rPr>
          <w:t>Dt 24.1–4</w:t>
        </w:r>
      </w:hyperlink>
      <w:r>
        <w:t>). O código de Hamurábi era principalmente prático e, embora emitido sob Shamash, o deus da justiça, prestava pouca atenção aos princípios éticos e espirituais.</w:t>
      </w:r>
    </w:p>
    <w:p>
      <w:r/>
      <w:r>
        <w:rPr>
          <w:i/>
        </w:rPr>
        <w:t>Veja também</w:t>
      </w:r>
      <w:r>
        <w:t xml:space="preserve"> </w:t>
      </w:r>
      <w:r>
        <w:t>Direito civil e justiça</w:t>
      </w:r>
      <w:r>
        <w:t xml:space="preserve">; </w:t>
      </w:r>
      <w:r>
        <w:t>Direito penal e punição</w:t>
      </w:r>
      <w:r>
        <w:t xml:space="preserve">; </w:t>
      </w:r>
      <w:r>
        <w:t>Direito, conceito bíblico de</w:t>
      </w:r>
      <w:r>
        <w:t>.</w:t>
      </w:r>
      <w:r/>
      <w:r/>
    </w:p>
    <w:p>
      <w:r/>
    </w:p>
    <w:p>
      <w:pPr>
        <w:pStyle w:val="Heading2"/>
      </w:pPr>
      <w:r>
        <w:t>Haniel</w:t>
      </w:r>
      <w:r/>
    </w:p>
    <w:p>
      <w:pPr>
        <w:pStyle w:val="ListNumber"/>
        <w:spacing w:line="240" w:lineRule="auto"/>
        <w:ind w:left="720"/>
      </w:pPr>
      <w:r/>
      <w:r>
        <w:t>Um filho de Éfode e líder da tribo de Manassés. Ele representou sua tribo quando Moisés distribuiu a terra a Israel (</w:t>
      </w:r>
      <w:hyperlink r:id="rId7679">
        <w:r>
          <w:rPr>
            <w:color w:val="0000EE"/>
            <w:u w:val="single"/>
          </w:rPr>
          <w:t>Nm 34.23</w:t>
        </w:r>
      </w:hyperlink>
      <w:r>
        <w:t>).</w:t>
      </w:r>
    </w:p>
    <w:p>
      <w:pPr>
        <w:pStyle w:val="ListNumber"/>
        <w:spacing w:line="240" w:lineRule="auto"/>
        <w:ind w:left="720"/>
      </w:pPr>
      <w:r/>
      <w:r>
        <w:t>Um filho de Ula e guerreiro na tribo de Aser (</w:t>
      </w:r>
      <w:hyperlink r:id="rId10340">
        <w:r>
          <w:rPr>
            <w:color w:val="0000EE"/>
            <w:u w:val="single"/>
          </w:rPr>
          <w:t>1Cr 7.39</w:t>
        </w:r>
      </w:hyperlink>
      <w:r>
        <w:t>).</w:t>
      </w:r>
      <w:r/>
      <w:r/>
    </w:p>
    <w:p>
      <w:r/>
    </w:p>
    <w:p>
      <w:pPr>
        <w:pStyle w:val="Heading2"/>
      </w:pPr>
      <w:r>
        <w:t>Harã (Lugar)</w:t>
      </w:r>
      <w:r/>
    </w:p>
    <w:p>
      <w:r/>
      <w:r>
        <w:t xml:space="preserve">Cidade do norte da Mesopotâmia, mencionada pela primeira vez em </w:t>
      </w:r>
      <w:hyperlink r:id="rId160">
        <w:r>
          <w:rPr>
            <w:color w:val="0000EE"/>
            <w:u w:val="single"/>
          </w:rPr>
          <w:t>Gênesis 11.31</w:t>
        </w:r>
      </w:hyperlink>
      <w:r>
        <w:t xml:space="preserve"> como o destino de Terá, pai de Abraão, ao migrar de Ur dos Caldeus, e sua residência até sua morte. Aos 75 anos, Abraão foi ordenado por Deus a se mudar para uma terra que Deus tinha para ele (</w:t>
      </w:r>
      <w:hyperlink r:id="rId3397">
        <w:r>
          <w:rPr>
            <w:color w:val="0000EE"/>
            <w:u w:val="single"/>
          </w:rPr>
          <w:t>Gn 12.1–4</w:t>
        </w:r>
      </w:hyperlink>
      <w:r>
        <w:t>). Havia parentes que permaneceram em Harã, para onde Jacó, neto de Abraão, fugiu com medo de Esaú (</w:t>
      </w:r>
      <w:hyperlink r:id="rId10341">
        <w:r>
          <w:rPr>
            <w:color w:val="0000EE"/>
            <w:u w:val="single"/>
          </w:rPr>
          <w:t>27.42–43</w:t>
        </w:r>
      </w:hyperlink>
      <w:r>
        <w:t>). Jacó ficou em Harã muitos anos enquanto servia seu tio Labão e adquiria Lia e Raquel como esposas, além de muitas ovelhas e cabras, servos, camelos e jumentos (</w:t>
      </w:r>
      <w:hyperlink r:id="rId10342">
        <w:r>
          <w:rPr>
            <w:color w:val="0000EE"/>
            <w:u w:val="single"/>
          </w:rPr>
          <w:t>30.43</w:t>
        </w:r>
      </w:hyperlink>
      <w:r>
        <w:t>).</w:t>
      </w:r>
    </w:p>
    <w:p>
      <w:r/>
      <w:r>
        <w:t>Esta "cidade de Naor" (</w:t>
      </w:r>
      <w:hyperlink r:id="rId10343">
        <w:r>
          <w:rPr>
            <w:color w:val="0000EE"/>
            <w:u w:val="single"/>
          </w:rPr>
          <w:t>Gn 11.27–29</w:t>
        </w:r>
      </w:hyperlink>
      <w:r>
        <w:t xml:space="preserve">; </w:t>
      </w:r>
      <w:hyperlink r:id="rId10344">
        <w:r>
          <w:rPr>
            <w:color w:val="0000EE"/>
            <w:u w:val="single"/>
          </w:rPr>
          <w:t>24.10</w:t>
        </w:r>
      </w:hyperlink>
      <w:r>
        <w:t xml:space="preserve">; </w:t>
      </w:r>
      <w:hyperlink r:id="rId10345">
        <w:r>
          <w:rPr>
            <w:color w:val="0000EE"/>
            <w:u w:val="single"/>
          </w:rPr>
          <w:t>27.43</w:t>
        </w:r>
      </w:hyperlink>
      <w:r>
        <w:t>) foi estabelecida no terceiro milênio a.C., e sua localização em um ramo do Eufrates rapidamente a tornou um importante centro comercial. Talvez a antiga rota comercial que ligava Damasco, Nínive e Carquemis passasse por Harã. Ezequiel menciona o comércio entre Harã e Tiro (</w:t>
      </w:r>
      <w:hyperlink r:id="rId4105">
        <w:r>
          <w:rPr>
            <w:color w:val="0000EE"/>
            <w:u w:val="single"/>
          </w:rPr>
          <w:t>Ez 27.23</w:t>
        </w:r>
      </w:hyperlink>
      <w:r>
        <w:t xml:space="preserve">). Harã era uma cidade aramaica e era famosa por seu culto ao deus lunar Sin e Nikkal. Este sistema era uma ramificação do culto encontrado na suméria Ur. Sin e sua consorte Nikkal eram reverenciados não apenas aqui, mas em toda Canaã e até mesmo no Egito. O culto persistiu além dos tempos do NT, com seu templo sendo finalmente destruído pelos mongóis no século 13 d.C. Não é de se admirar que Deus tenha ordenado a Abraão que deixasse este centro de idolatria. A moderna Harã preserva a antiga grafia cuneiforme (Charran) do nome (cf. NTLH "Harã", </w:t>
      </w:r>
      <w:hyperlink r:id="rId10346">
        <w:r>
          <w:rPr>
            <w:color w:val="0000EE"/>
            <w:u w:val="single"/>
          </w:rPr>
          <w:t>Atos 7.2,4</w:t>
        </w:r>
      </w:hyperlink>
      <w:r>
        <w:t>).</w:t>
      </w:r>
      <w:r/>
      <w:r/>
    </w:p>
    <w:p>
      <w:r/>
    </w:p>
    <w:p>
      <w:pPr>
        <w:pStyle w:val="Heading2"/>
      </w:pPr>
      <w:r>
        <w:t>Harã (Pessoa)</w:t>
      </w:r>
      <w:r/>
    </w:p>
    <w:p>
      <w:r/>
      <w:r>
        <w:t>1. Filho de Tera, pai de Abraão e avô de Ló (</w:t>
      </w:r>
      <w:hyperlink r:id="rId10347">
        <w:r>
          <w:rPr>
            <w:color w:val="0000EE"/>
            <w:u w:val="single"/>
          </w:rPr>
          <w:t>Gn 11.26–31</w:t>
        </w:r>
      </w:hyperlink>
      <w:r>
        <w:t>).</w:t>
      </w:r>
    </w:p>
    <w:p>
      <w:r/>
      <w:r>
        <w:t>2. O filho de Calebe com sua concubina Efá, membro da tribo de Judá e pai de Gazez (</w:t>
      </w:r>
      <w:hyperlink r:id="rId7615">
        <w:r>
          <w:rPr>
            <w:color w:val="0000EE"/>
            <w:u w:val="single"/>
          </w:rPr>
          <w:t>1Cr 2.46</w:t>
        </w:r>
      </w:hyperlink>
      <w:r>
        <w:t>).</w:t>
      </w:r>
    </w:p>
    <w:p>
      <w:r/>
      <w:r>
        <w:t>3. O filho de Simei, um membro da divisão gersonita da tribo de Levi (</w:t>
      </w:r>
      <w:hyperlink r:id="rId10348">
        <w:r>
          <w:rPr>
            <w:color w:val="0000EE"/>
            <w:u w:val="single"/>
          </w:rPr>
          <w:t>1Cr 23.9</w:t>
        </w:r>
      </w:hyperlink>
      <w:r>
        <w:t>).</w:t>
      </w:r>
      <w:r/>
      <w:r/>
    </w:p>
    <w:p>
      <w:r/>
    </w:p>
    <w:p>
      <w:pPr>
        <w:pStyle w:val="Heading2"/>
      </w:pPr>
      <w:r>
        <w:t>Harada</w:t>
      </w:r>
      <w:r/>
    </w:p>
    <w:p>
      <w:r/>
      <w:r>
        <w:t>O vigésimo acampamento selvagem dos israelitas em sua jornada do Egito para a Terra Prometida. É o nono lugar onde acamparam após deixarem o Sinai. Está listado entre o Monte Sefer e Maquelote. Sua localização é incerta (</w:t>
      </w:r>
      <w:hyperlink r:id="rId10349">
        <w:r>
          <w:rPr>
            <w:color w:val="0000EE"/>
            <w:u w:val="single"/>
          </w:rPr>
          <w:t>Nm 33.24–25</w:t>
        </w:r>
      </w:hyperlink>
      <w:r>
        <w:t>).</w:t>
      </w:r>
      <w:r/>
      <w:r/>
    </w:p>
    <w:p>
      <w:r/>
    </w:p>
    <w:p>
      <w:pPr>
        <w:pStyle w:val="Heading2"/>
      </w:pPr>
      <w:r>
        <w:t>Hasideus, Hasidim</w:t>
      </w:r>
      <w:r/>
    </w:p>
    <w:p>
      <w:r/>
      <w:r>
        <w:t>Transliterações de uma palavra hebraica que significa "os piedosos", em algumas traduções "dos que amam a Deus". A influência dos costumes e modos gregos ameaçou a preservação dos padrões de vida judaicos nos séculos III e IV a.C. Os judeus foram obrigados a usar a língua grega em suas vidas diárias, e com a língua veio a influência da cultura grega. Este processo foi bastante aparente na Palestina durante o segundo século a.C., e o povo judeu respondeu de duas maneiras antagônicas: um grupo era amigável aos gregos; o outro grupo estabeleceu como seu objetivo a estrita adesão aos princípios do judaísmo. Este último grupo, conhecido como "os piedosos", ou Hasideus, valorizava os ideais de observância responsável da aliança (</w:t>
      </w:r>
      <w:hyperlink r:id="rId9324">
        <w:r>
          <w:rPr>
            <w:color w:val="0000EE"/>
            <w:u w:val="single"/>
          </w:rPr>
          <w:t>Dt 7.9</w:t>
        </w:r>
      </w:hyperlink>
      <w:r>
        <w:t>), e no período macabeu tornou-se militante em seus esforços para adorar a Deus de acordo com a lei mosaica. Tanto os fariseus quanto os essênios podem ter tido raízes iniciais no movimento hassídico.</w:t>
      </w:r>
    </w:p>
    <w:p>
      <w:r/>
      <w:r>
        <w:rPr>
          <w:i/>
        </w:rPr>
        <w:t>Veja também</w:t>
      </w:r>
      <w:r>
        <w:t xml:space="preserve"> </w:t>
      </w:r>
      <w:r>
        <w:t>Essênios</w:t>
      </w:r>
      <w:r>
        <w:t xml:space="preserve">; </w:t>
      </w:r>
      <w:r>
        <w:t>Judaísmo</w:t>
      </w:r>
      <w:r>
        <w:t xml:space="preserve">; </w:t>
      </w:r>
      <w:r>
        <w:t>Fariseus</w:t>
      </w:r>
      <w:r>
        <w:t>.</w:t>
      </w:r>
      <w:r/>
      <w:r/>
    </w:p>
    <w:p>
      <w:r/>
    </w:p>
    <w:p>
      <w:pPr>
        <w:pStyle w:val="Heading2"/>
      </w:pPr>
      <w:r>
        <w:t>Hasmona</w:t>
      </w:r>
      <w:r/>
    </w:p>
    <w:p>
      <w:r/>
      <w:r>
        <w:t>Um dos lugares onde os israelitas pararam durante os 40 anos em que vagaram no deserto (</w:t>
      </w:r>
      <w:hyperlink r:id="rId10350">
        <w:r>
          <w:rPr>
            <w:color w:val="0000EE"/>
            <w:u w:val="single"/>
          </w:rPr>
          <w:t>Nm 33.29–30</w:t>
        </w:r>
      </w:hyperlink>
      <w:r>
        <w:t>).</w:t>
      </w:r>
    </w:p>
    <w:p>
      <w:r/>
      <w:r>
        <w:rPr>
          <w:i/>
        </w:rPr>
        <w:t>Veja</w:t>
      </w:r>
      <w:r>
        <w:t xml:space="preserve"> </w:t>
      </w:r>
      <w:r>
        <w:t>Peregrinações no deserto</w:t>
      </w:r>
      <w:r>
        <w:t>.</w:t>
      </w:r>
      <w:r/>
      <w:r/>
    </w:p>
    <w:p>
      <w:r/>
    </w:p>
    <w:p>
      <w:pPr>
        <w:pStyle w:val="Heading2"/>
      </w:pPr>
      <w:r>
        <w:t>Havilá (Lugar)</w:t>
      </w:r>
      <w:r/>
    </w:p>
    <w:p>
      <w:r/>
      <w:r>
        <w:t>Terra na vizinhança do Éden, agora desconhecida, mas diz no texto bíblico que era regada pelo rio Pisom e conter suprimentos de ouro, bdélio e pedra de ônix (</w:t>
      </w:r>
      <w:hyperlink r:id="rId10351">
        <w:r>
          <w:rPr>
            <w:color w:val="0000EE"/>
            <w:u w:val="single"/>
          </w:rPr>
          <w:t>Gn 2.11–12</w:t>
        </w:r>
      </w:hyperlink>
      <w:r>
        <w:t xml:space="preserve">). A localização de Havilá tem sido objeto de muita disputa. Não pode ter qualquer conexão com a Havilá de </w:t>
      </w:r>
      <w:hyperlink r:id="rId10352">
        <w:r>
          <w:rPr>
            <w:color w:val="0000EE"/>
            <w:u w:val="single"/>
          </w:rPr>
          <w:t>1 Samuel 15.7</w:t>
        </w:r>
      </w:hyperlink>
      <w:r>
        <w:t>, onde Saul lutou contra certos amalequitas, porque o local das narrativas do Éden é mesopotâmico e não palestino. Com base no mesmo princípio, qualquer tentativa de localizar Havilá no sul da Arábia, na região da Somália ou Índia estaria equivocada. O “rio” Pisom pode ter sido um canal de irrigação, já que o acádio não tem uma palavra separada para esses dois diferentes corpos de água, e o costume mesopotâmico era nomear grandes canais de irrigação como se fossem rios. Isso ajudaria a explicar a sobrevivência do nome “Pisom” muito tempo depois que o canal havia desaparecido. O Pisom era um dos quatro ramos que o rio formava uma vez que deixava o Éden; portanto, Havilá deve ter estado ao norte, já que a narrativa assume uma perspectiva rio acima. Provavelmente Havilá estava na área geral da planície de Sinar e era regada por um grande canal de irrigação. Tanto Havilá quanto o canal há muito desapareceram.</w:t>
      </w:r>
      <w:r/>
      <w:r/>
    </w:p>
    <w:p>
      <w:r/>
    </w:p>
    <w:p>
      <w:pPr>
        <w:pStyle w:val="Heading2"/>
      </w:pPr>
      <w:r>
        <w:t>Havilá (Pessoa)</w:t>
      </w:r>
      <w:r/>
    </w:p>
    <w:p>
      <w:r/>
      <w:r>
        <w:t>1. Descendente de Cuxe (</w:t>
      </w:r>
      <w:hyperlink r:id="rId6646">
        <w:r>
          <w:rPr>
            <w:color w:val="0000EE"/>
            <w:u w:val="single"/>
          </w:rPr>
          <w:t>Gn 10.7</w:t>
        </w:r>
      </w:hyperlink>
      <w:r>
        <w:t xml:space="preserve">; </w:t>
      </w:r>
      <w:hyperlink r:id="rId6647">
        <w:r>
          <w:rPr>
            <w:color w:val="0000EE"/>
            <w:u w:val="single"/>
          </w:rPr>
          <w:t>1Cr 1.9</w:t>
        </w:r>
      </w:hyperlink>
      <w:r>
        <w:t>).</w:t>
      </w:r>
    </w:p>
    <w:p>
      <w:r/>
      <w:r>
        <w:t>2. Descendente de Sem através de Joctã (</w:t>
      </w:r>
      <w:hyperlink r:id="rId10353">
        <w:r>
          <w:rPr>
            <w:color w:val="0000EE"/>
            <w:u w:val="single"/>
          </w:rPr>
          <w:t>Gn 10.29</w:t>
        </w:r>
      </w:hyperlink>
      <w:r>
        <w:t xml:space="preserve">; </w:t>
      </w:r>
      <w:hyperlink r:id="rId10354">
        <w:r>
          <w:rPr>
            <w:color w:val="0000EE"/>
            <w:u w:val="single"/>
          </w:rPr>
          <w:t>1Cr 1.23</w:t>
        </w:r>
      </w:hyperlink>
      <w:r>
        <w:t>).</w:t>
      </w:r>
      <w:r/>
      <w:r/>
    </w:p>
    <w:p>
      <w:r/>
    </w:p>
    <w:p>
      <w:pPr>
        <w:pStyle w:val="Heading2"/>
      </w:pPr>
      <w:r>
        <w:t>Havote-Jair, Havote-Jair</w:t>
      </w:r>
      <w:r/>
    </w:p>
    <w:p>
      <w:r/>
      <w:r>
        <w:t xml:space="preserve">No texto original usa-se Havote-Jair. Série de assentamentos na borda de Basã, do outro lado do Jordão, capturados por Jair, de acordo com </w:t>
      </w:r>
      <w:hyperlink r:id="rId10355">
        <w:r>
          <w:rPr>
            <w:color w:val="0000EE"/>
            <w:u w:val="single"/>
          </w:rPr>
          <w:t>Nm 32.41</w:t>
        </w:r>
      </w:hyperlink>
      <w:r>
        <w:t xml:space="preserve">. Devido à sua localização, eles foram alocados à meia-tribo de Manassés. O número dessas aldeias é dado em </w:t>
      </w:r>
      <w:hyperlink r:id="rId3164">
        <w:r>
          <w:rPr>
            <w:color w:val="0000EE"/>
            <w:u w:val="single"/>
          </w:rPr>
          <w:t>Josué 13.29–30</w:t>
        </w:r>
      </w:hyperlink>
      <w:r>
        <w:t xml:space="preserve"> como 60, e provavelmente estão incluídas nas cidades e vilas de </w:t>
      </w:r>
      <w:hyperlink r:id="rId10356">
        <w:r>
          <w:rPr>
            <w:color w:val="0000EE"/>
            <w:u w:val="single"/>
          </w:rPr>
          <w:t>1 Crônicas 2.22–23</w:t>
        </w:r>
      </w:hyperlink>
      <w:r>
        <w:t>, embora apenas 23 cidades sejam especificadas como pertencentes a Jair. A tradução literal usa “Basã-havoth-Jair” (</w:t>
      </w:r>
      <w:hyperlink r:id="rId2491">
        <w:r>
          <w:rPr>
            <w:color w:val="0000EE"/>
            <w:u w:val="single"/>
          </w:rPr>
          <w:t>Dt 3.14</w:t>
        </w:r>
      </w:hyperlink>
      <w:r>
        <w:t xml:space="preserve">) torna a localização tão específica quanto no hebraico. Em </w:t>
      </w:r>
      <w:hyperlink r:id="rId10357">
        <w:r>
          <w:rPr>
            <w:color w:val="0000EE"/>
            <w:u w:val="single"/>
          </w:rPr>
          <w:t>Juízes 10.4</w:t>
        </w:r>
      </w:hyperlink>
      <w:r>
        <w:t xml:space="preserve">, um juiz chamado Jair tinha 30 filhos que controlavam 30 cidades chamadas Havote-Jair. Mas ele é obviamente diferente do Jair de </w:t>
      </w:r>
      <w:hyperlink r:id="rId10355">
        <w:r>
          <w:rPr>
            <w:color w:val="0000EE"/>
            <w:u w:val="single"/>
          </w:rPr>
          <w:t>Números 32.41</w:t>
        </w:r>
      </w:hyperlink>
      <w:r>
        <w:t xml:space="preserve">. Se seus filhos controlavam apenas 30 assentamentos, ele provavelmente governava os 30 restantes. Em </w:t>
      </w:r>
      <w:hyperlink r:id="rId10358">
        <w:r>
          <w:rPr>
            <w:color w:val="0000EE"/>
            <w:u w:val="single"/>
          </w:rPr>
          <w:t>1 Crônicas 2.21–24</w:t>
        </w:r>
      </w:hyperlink>
      <w:r>
        <w:t>, que reflete uma relação entre Judá e Manassés, foi dito que Jair tinha 23 cidades em Gileade quando Gesur e Aram capturaram 60 vilas dos assentamentos de tendas de Jair e Quenate e suas dependências. Embora os números variantes apresentem dificuldades, a narrativa em si pode ser a maneira do Cronista de indicar o senso de soberania de Judá sobre Gileade.</w:t>
      </w:r>
      <w:r/>
      <w:r/>
    </w:p>
    <w:p>
      <w:r/>
    </w:p>
    <w:p>
      <w:pPr>
        <w:pStyle w:val="Heading2"/>
      </w:pPr>
      <w:r>
        <w:t>Hazar-Adar</w:t>
      </w:r>
      <w:r/>
    </w:p>
    <w:p>
      <w:r/>
      <w:r>
        <w:t>Uma cidade, junto com Azmom, que marcou a fronteira sul de Judá (</w:t>
      </w:r>
      <w:hyperlink r:id="rId262">
        <w:r>
          <w:rPr>
            <w:color w:val="0000EE"/>
            <w:u w:val="single"/>
          </w:rPr>
          <w:t>Nm 34.4</w:t>
        </w:r>
      </w:hyperlink>
      <w:r>
        <w:t>). Geralmente é identificada com Khirbet el-Qudeirat, perto de Cades-Barneia.</w:t>
      </w:r>
    </w:p>
    <w:p>
      <w:r/>
      <w:r>
        <w:t xml:space="preserve">A passagem paralela em </w:t>
      </w:r>
      <w:hyperlink r:id="rId10359">
        <w:r>
          <w:rPr>
            <w:color w:val="0000EE"/>
            <w:u w:val="single"/>
          </w:rPr>
          <w:t>Josué 15.3–4</w:t>
        </w:r>
      </w:hyperlink>
      <w:r>
        <w:t xml:space="preserve"> lista quatro lugares em vez de dois:</w:t>
      </w:r>
    </w:p>
    <w:p>
      <w:pPr>
        <w:pStyle w:val="ListBullet"/>
        <w:spacing w:line="240" w:lineRule="auto"/>
        <w:ind w:left="720"/>
      </w:pPr>
      <w:r/>
      <w:r>
        <w:t>Hezrom</w:t>
      </w:r>
    </w:p>
    <w:p>
      <w:pPr>
        <w:pStyle w:val="ListBullet"/>
        <w:spacing w:line="240" w:lineRule="auto"/>
        <w:ind w:left="720"/>
      </w:pPr>
      <w:r/>
      <w:r>
        <w:t>Adar</w:t>
      </w:r>
    </w:p>
    <w:p>
      <w:pPr>
        <w:pStyle w:val="ListBullet"/>
        <w:spacing w:line="240" w:lineRule="auto"/>
        <w:ind w:left="720"/>
      </w:pPr>
      <w:r/>
      <w:r>
        <w:t>Carca</w:t>
      </w:r>
    </w:p>
    <w:p>
      <w:pPr>
        <w:pStyle w:val="ListBullet"/>
        <w:spacing w:line="240" w:lineRule="auto"/>
        <w:ind w:left="720"/>
      </w:pPr>
      <w:r/>
      <w:r>
        <w:t>Azmom</w:t>
      </w:r>
    </w:p>
    <w:p>
      <w:r/>
      <w:r>
        <w:t>Alguns sugeriram que Hazar-Adar e Adar são o mesmo lugar. Outros acreditam que ele foi renomeado para Hezrom para distingui-lo de Adar.</w:t>
      </w:r>
      <w:r/>
      <w:r/>
    </w:p>
    <w:p>
      <w:r/>
    </w:p>
    <w:p>
      <w:pPr>
        <w:pStyle w:val="Heading2"/>
      </w:pPr>
      <w:r>
        <w:t>Hazar-Enã, Hazar-Enom</w:t>
      </w:r>
      <w:r/>
    </w:p>
    <w:p>
      <w:r/>
      <w:r>
        <w:t>Local que descreve o canto nordeste da fronteira de Israel (</w:t>
      </w:r>
      <w:hyperlink r:id="rId10360">
        <w:r>
          <w:rPr>
            <w:color w:val="0000EE"/>
            <w:u w:val="single"/>
          </w:rPr>
          <w:t>Nm 34.9–10</w:t>
        </w:r>
      </w:hyperlink>
      <w:r>
        <w:t xml:space="preserve">); alternadamente escrito como Hazar-enom em </w:t>
      </w:r>
      <w:hyperlink r:id="rId10361">
        <w:r>
          <w:rPr>
            <w:color w:val="0000EE"/>
            <w:u w:val="single"/>
          </w:rPr>
          <w:t>Ezequiel 47.17–18</w:t>
        </w:r>
      </w:hyperlink>
      <w:r>
        <w:t xml:space="preserve"> e </w:t>
      </w:r>
      <w:hyperlink r:id="rId8018">
        <w:r>
          <w:rPr>
            <w:color w:val="0000EE"/>
            <w:u w:val="single"/>
          </w:rPr>
          <w:t>48.1</w:t>
        </w:r>
      </w:hyperlink>
      <w:r>
        <w:t>. A (NTLH) traduz como Enom. É identificado com o moderno Hadr na base do Monte Hermon.</w:t>
      </w:r>
      <w:r/>
      <w:r/>
    </w:p>
    <w:p>
      <w:r/>
    </w:p>
    <w:p>
      <w:pPr>
        <w:pStyle w:val="Heading2"/>
      </w:pPr>
      <w:r>
        <w:t>Hazar-Mavé</w:t>
      </w:r>
      <w:r/>
    </w:p>
    <w:p>
      <w:r/>
      <w:r>
        <w:t>Somente a NTLH usa a grafia diferente como "Hazarmavé". Descendente de Sem através de Joctã (</w:t>
      </w:r>
      <w:hyperlink r:id="rId966">
        <w:r>
          <w:rPr>
            <w:color w:val="0000EE"/>
            <w:u w:val="single"/>
          </w:rPr>
          <w:t>Gn 10.26;</w:t>
        </w:r>
      </w:hyperlink>
      <w:r>
        <w:t xml:space="preserve"> </w:t>
      </w:r>
      <w:hyperlink r:id="rId967">
        <w:r>
          <w:rPr>
            <w:color w:val="0000EE"/>
            <w:u w:val="single"/>
          </w:rPr>
          <w:t>1Cr 1.20</w:t>
        </w:r>
      </w:hyperlink>
      <w:r>
        <w:t>), cuja descendência viveu no sul da Arábia (</w:t>
      </w:r>
      <w:hyperlink r:id="rId10362">
        <w:r>
          <w:rPr>
            <w:color w:val="0000EE"/>
            <w:u w:val="single"/>
          </w:rPr>
          <w:t>Gn 10.30</w:t>
        </w:r>
      </w:hyperlink>
      <w:r>
        <w:t>) no Wadi Hadhramaut. Escavações lá revelaram uma economia florescente no quinto século a.C., baseada no comércio de incenso. Este comércio, revivido no segundo século a.C., tornou a área próspera e influente.</w:t>
      </w:r>
      <w:r/>
      <w:r/>
    </w:p>
    <w:p>
      <w:r/>
    </w:p>
    <w:p>
      <w:pPr>
        <w:pStyle w:val="Heading2"/>
      </w:pPr>
      <w:r>
        <w:t>Hazazão-Tamar</w:t>
      </w:r>
      <w:r/>
    </w:p>
    <w:p>
      <w:r/>
      <w:r>
        <w:t xml:space="preserve">Cidade identificável com En-Gedi em </w:t>
      </w:r>
      <w:hyperlink r:id="rId8066">
        <w:r>
          <w:rPr>
            <w:color w:val="0000EE"/>
            <w:u w:val="single"/>
          </w:rPr>
          <w:t>2 Crônicas 20.2</w:t>
        </w:r>
      </w:hyperlink>
      <w:r>
        <w:t>. Durante o tempo de Abraão, era habitada por amorreus que foram subjugados por Quedorlaomer enquanto ele e outros reis orientais varriam a área (</w:t>
      </w:r>
      <w:hyperlink r:id="rId3970">
        <w:r>
          <w:rPr>
            <w:color w:val="0000EE"/>
            <w:u w:val="single"/>
          </w:rPr>
          <w:t>Gn 14.7</w:t>
        </w:r>
      </w:hyperlink>
      <w:r>
        <w:t>). Foi sugerido que pode ser a Tadmor que Salomão fortificou (</w:t>
      </w:r>
      <w:hyperlink r:id="rId10363">
        <w:r>
          <w:rPr>
            <w:color w:val="0000EE"/>
            <w:u w:val="single"/>
          </w:rPr>
          <w:t>1Rs 9.18</w:t>
        </w:r>
      </w:hyperlink>
      <w:r>
        <w:t>), e Tamar colocada por Ezequiel a sudeste de Israel (</w:t>
      </w:r>
      <w:hyperlink r:id="rId10364">
        <w:r>
          <w:rPr>
            <w:color w:val="0000EE"/>
            <w:u w:val="single"/>
          </w:rPr>
          <w:t>Ez 47.18–19</w:t>
        </w:r>
      </w:hyperlink>
      <w:r>
        <w:t xml:space="preserve">; </w:t>
      </w:r>
      <w:hyperlink r:id="rId3968">
        <w:r>
          <w:rPr>
            <w:color w:val="0000EE"/>
            <w:u w:val="single"/>
          </w:rPr>
          <w:t>48.28</w:t>
        </w:r>
      </w:hyperlink>
      <w:r>
        <w:t>). Aparentemente, Wadi Hasasa recebeu o nome do antigo local.</w:t>
      </w:r>
      <w:r/>
      <w:r/>
    </w:p>
    <w:p>
      <w:r/>
    </w:p>
    <w:p>
      <w:pPr>
        <w:pStyle w:val="Heading2"/>
      </w:pPr>
      <w:r>
        <w:t>Hazazão-Tamar</w:t>
      </w:r>
      <w:r/>
    </w:p>
    <w:p>
      <w:r/>
      <w:r>
        <w:t xml:space="preserve">A grafia da cidade de Hazazom-Tamar na NTLH em </w:t>
      </w:r>
      <w:hyperlink r:id="rId3970">
        <w:r>
          <w:rPr>
            <w:color w:val="0000EE"/>
            <w:u w:val="single"/>
          </w:rPr>
          <w:t>Gênesis 14.7</w:t>
        </w:r>
      </w:hyperlink>
      <w:r>
        <w:t xml:space="preserve">. </w:t>
      </w:r>
      <w:r>
        <w:rPr>
          <w:i/>
        </w:rPr>
        <w:t>Veja</w:t>
      </w:r>
      <w:r>
        <w:t xml:space="preserve"> </w:t>
      </w:r>
      <w:r>
        <w:t>Hazazom-Tamar</w:t>
      </w:r>
      <w:r>
        <w:t>.</w:t>
      </w:r>
      <w:r/>
      <w:r/>
    </w:p>
    <w:p>
      <w:r/>
    </w:p>
    <w:p>
      <w:pPr>
        <w:pStyle w:val="Heading2"/>
      </w:pPr>
      <w:r>
        <w:t>Hazer-Haticom</w:t>
      </w:r>
      <w:r/>
    </w:p>
    <w:p>
      <w:r/>
      <w:r>
        <w:t>Marco de fronteira ao longo do perímetro norte de Israel (</w:t>
      </w:r>
      <w:hyperlink r:id="rId10365">
        <w:r>
          <w:rPr>
            <w:color w:val="0000EE"/>
            <w:u w:val="single"/>
          </w:rPr>
          <w:t>Ez 47.16</w:t>
        </w:r>
      </w:hyperlink>
      <w:r>
        <w:t xml:space="preserve">). Em conjunto com o uso de Hazar-Enã neste contexto, e em comparação com </w:t>
      </w:r>
      <w:hyperlink r:id="rId10360">
        <w:r>
          <w:rPr>
            <w:color w:val="0000EE"/>
            <w:u w:val="single"/>
          </w:rPr>
          <w:t>Números 34.9–10</w:t>
        </w:r>
      </w:hyperlink>
      <w:r>
        <w:t>, parece que Hazer-Haticom pode representar um erro de escrita para Hazar-Enã. Traduções em português como a ARC usam Hazer-Haticom. A NTHL utiliza apenas Haticom.</w:t>
      </w:r>
      <w:r/>
      <w:r/>
    </w:p>
    <w:p>
      <w:r/>
    </w:p>
    <w:p>
      <w:pPr>
        <w:pStyle w:val="Heading2"/>
      </w:pPr>
      <w:r>
        <w:t>Hazerim</w:t>
      </w:r>
      <w:r/>
    </w:p>
    <w:p>
      <w:r/>
      <w:r>
        <w:t xml:space="preserve">Transliteração do palavra hebraica que nos textos das versões português como </w:t>
      </w:r>
      <w:hyperlink r:id="rId2930">
        <w:r>
          <w:rPr>
            <w:color w:val="0000EE"/>
            <w:u w:val="single"/>
          </w:rPr>
          <w:t>Deuteronômio 2.23</w:t>
        </w:r>
      </w:hyperlink>
      <w:r>
        <w:t xml:space="preserve"> é traduzido como Aldeia. Em vez do nome próprio de uma cidade, pode ser um termo genérico para “aldeias”, uma tradução preferida por algumas traduções.</w:t>
      </w:r>
      <w:r/>
      <w:r/>
    </w:p>
    <w:p>
      <w:r/>
    </w:p>
    <w:p>
      <w:pPr>
        <w:pStyle w:val="Heading2"/>
      </w:pPr>
      <w:r>
        <w:t>Hazerote</w:t>
      </w:r>
      <w:r/>
    </w:p>
    <w:p>
      <w:r/>
      <w:r>
        <w:t>Acampamento dos israelitas durante suas peregrinações no deserto. Foi o terceiro acampamento desde o Monte Sinai (</w:t>
      </w:r>
      <w:hyperlink r:id="rId10366">
        <w:r>
          <w:rPr>
            <w:color w:val="0000EE"/>
            <w:u w:val="single"/>
          </w:rPr>
          <w:t>Nm 11.35</w:t>
        </w:r>
      </w:hyperlink>
      <w:r>
        <w:t xml:space="preserve">; </w:t>
      </w:r>
      <w:hyperlink r:id="rId10367">
        <w:r>
          <w:rPr>
            <w:color w:val="0000EE"/>
            <w:u w:val="single"/>
          </w:rPr>
          <w:t>12.16</w:t>
        </w:r>
      </w:hyperlink>
      <w:r>
        <w:t xml:space="preserve">; </w:t>
      </w:r>
      <w:hyperlink r:id="rId10368">
        <w:r>
          <w:rPr>
            <w:color w:val="0000EE"/>
            <w:u w:val="single"/>
          </w:rPr>
          <w:t>33.17–18</w:t>
        </w:r>
      </w:hyperlink>
      <w:r>
        <w:t xml:space="preserve">; </w:t>
      </w:r>
      <w:hyperlink r:id="rId2314">
        <w:r>
          <w:rPr>
            <w:color w:val="0000EE"/>
            <w:u w:val="single"/>
          </w:rPr>
          <w:t>Dt 1.1</w:t>
        </w:r>
      </w:hyperlink>
      <w:r>
        <w:t>). Aqui, Miriã e Arão falaram contra Moisés por ele ter se casado com uma mulher cuxita e questionaram se Deus falava apenas através de Moisés (</w:t>
      </w:r>
      <w:hyperlink r:id="rId10369">
        <w:r>
          <w:rPr>
            <w:color w:val="0000EE"/>
            <w:u w:val="single"/>
          </w:rPr>
          <w:t>Nm 12.1–2</w:t>
        </w:r>
      </w:hyperlink>
      <w:r>
        <w:t>). O local é provavelmente a moderna ‘Ain Khadra, cerca de 48 quilômetros a nordeste de Jebel Musa.</w:t>
      </w:r>
    </w:p>
    <w:p>
      <w:r/>
      <w:r>
        <w:rPr>
          <w:i/>
        </w:rPr>
        <w:t>Veja também</w:t>
      </w:r>
      <w:r>
        <w:t xml:space="preserve"> </w:t>
      </w:r>
      <w:r>
        <w:t>Peregrinações no deserto</w:t>
      </w:r>
      <w:r>
        <w:t>.</w:t>
      </w:r>
      <w:r/>
      <w:r/>
    </w:p>
    <w:p>
      <w:r/>
    </w:p>
    <w:p>
      <w:pPr>
        <w:pStyle w:val="Heading2"/>
      </w:pPr>
      <w:r>
        <w:t>Hazo</w:t>
      </w:r>
      <w:r/>
    </w:p>
    <w:p>
      <w:r/>
      <w:r>
        <w:t>Quinto filho de Naor (</w:t>
      </w:r>
      <w:hyperlink r:id="rId10370">
        <w:r>
          <w:rPr>
            <w:color w:val="0000EE"/>
            <w:u w:val="single"/>
          </w:rPr>
          <w:t>Gn 22.22</w:t>
        </w:r>
      </w:hyperlink>
      <w:r>
        <w:t>); provavelmente usado como nome para um clã descendente de Naor. Foi identificado com o nome Hazu, que designava uma região montanhosa no norte da Arábia mencionada em uma inscrição que relata a campanha árabe de Esar-Hadom.</w:t>
      </w:r>
      <w:r/>
      <w:r/>
    </w:p>
    <w:p>
      <w:r/>
    </w:p>
    <w:p>
      <w:pPr>
        <w:pStyle w:val="Heading2"/>
      </w:pPr>
      <w:r>
        <w:t>Héber</w:t>
      </w:r>
      <w:r/>
    </w:p>
    <w:p>
      <w:pPr>
        <w:pStyle w:val="ListNumber"/>
        <w:spacing w:line="240" w:lineRule="auto"/>
        <w:ind w:left="720"/>
      </w:pPr>
      <w:r/>
      <w:r>
        <w:t>Um descendente de Jacó por meio de Aser e Berias (</w:t>
      </w:r>
      <w:hyperlink r:id="rId2708">
        <w:r>
          <w:rPr>
            <w:color w:val="0000EE"/>
            <w:u w:val="single"/>
          </w:rPr>
          <w:t>Gn 46.17</w:t>
        </w:r>
      </w:hyperlink>
      <w:r>
        <w:t>) e pai da família dos heberitas (</w:t>
      </w:r>
      <w:hyperlink r:id="rId10371">
        <w:r>
          <w:rPr>
            <w:color w:val="0000EE"/>
            <w:u w:val="single"/>
          </w:rPr>
          <w:t>Nm 26.45</w:t>
        </w:r>
      </w:hyperlink>
      <w:r>
        <w:t xml:space="preserve">; </w:t>
      </w:r>
      <w:hyperlink r:id="rId10372">
        <w:r>
          <w:rPr>
            <w:color w:val="0000EE"/>
            <w:u w:val="single"/>
          </w:rPr>
          <w:t>1Cr 7.31–32</w:t>
        </w:r>
      </w:hyperlink>
      <w:r>
        <w:t>).</w:t>
      </w:r>
    </w:p>
    <w:p>
      <w:pPr>
        <w:pStyle w:val="ListNumber"/>
        <w:spacing w:line="240" w:lineRule="auto"/>
        <w:ind w:left="720"/>
      </w:pPr>
      <w:r/>
      <w:r>
        <w:t>Héber, o queneu, era o marido de Jael, a mulher que astutamente matou Sísera (</w:t>
      </w:r>
      <w:hyperlink r:id="rId10373">
        <w:r>
          <w:rPr>
            <w:color w:val="0000EE"/>
            <w:u w:val="single"/>
          </w:rPr>
          <w:t>Jz 4.11–21</w:t>
        </w:r>
      </w:hyperlink>
      <w:r>
        <w:t xml:space="preserve">; </w:t>
      </w:r>
      <w:hyperlink r:id="rId4197">
        <w:r>
          <w:rPr>
            <w:color w:val="0000EE"/>
            <w:u w:val="single"/>
          </w:rPr>
          <w:t>5.24</w:t>
        </w:r>
      </w:hyperlink>
      <w:r>
        <w:t>).</w:t>
      </w:r>
    </w:p>
    <w:p>
      <w:pPr>
        <w:pStyle w:val="ListNumber"/>
        <w:spacing w:line="240" w:lineRule="auto"/>
        <w:ind w:left="720"/>
      </w:pPr>
      <w:r/>
      <w:r>
        <w:t>Judaíta, filho de Merede e pai de Socó (</w:t>
      </w:r>
      <w:hyperlink r:id="rId10374">
        <w:r>
          <w:rPr>
            <w:color w:val="0000EE"/>
            <w:u w:val="single"/>
          </w:rPr>
          <w:t>1Cr 4.18</w:t>
        </w:r>
      </w:hyperlink>
      <w:r>
        <w:t>).</w:t>
      </w:r>
    </w:p>
    <w:p>
      <w:pPr>
        <w:pStyle w:val="ListNumber"/>
        <w:spacing w:line="240" w:lineRule="auto"/>
        <w:ind w:left="720"/>
      </w:pPr>
      <w:r/>
      <w:r>
        <w:t>Filho de Elpaal da tribo de Judá (</w:t>
      </w:r>
      <w:hyperlink r:id="rId10375">
        <w:r>
          <w:rPr>
            <w:color w:val="0000EE"/>
            <w:u w:val="single"/>
          </w:rPr>
          <w:t>1Cr 8.17</w:t>
        </w:r>
      </w:hyperlink>
      <w:r>
        <w:t>).</w:t>
      </w:r>
    </w:p>
    <w:p>
      <w:pPr>
        <w:pStyle w:val="ListNumber"/>
        <w:spacing w:line="240" w:lineRule="auto"/>
        <w:ind w:left="720"/>
      </w:pPr>
      <w:r/>
      <w:r>
        <w:t xml:space="preserve">A grafia da versão King James em inglês para Eber em </w:t>
      </w:r>
      <w:hyperlink r:id="rId7531">
        <w:r>
          <w:rPr>
            <w:color w:val="0000EE"/>
            <w:u w:val="single"/>
          </w:rPr>
          <w:t>1Cr 5.13</w:t>
        </w:r>
      </w:hyperlink>
      <w:r>
        <w:t xml:space="preserve">; </w:t>
      </w:r>
      <w:hyperlink r:id="rId7533">
        <w:r>
          <w:rPr>
            <w:color w:val="0000EE"/>
            <w:u w:val="single"/>
          </w:rPr>
          <w:t>8.22</w:t>
        </w:r>
      </w:hyperlink>
      <w:r>
        <w:t xml:space="preserve">; e </w:t>
      </w:r>
      <w:hyperlink r:id="rId7530">
        <w:r>
          <w:rPr>
            <w:color w:val="0000EE"/>
            <w:u w:val="single"/>
          </w:rPr>
          <w:t>Lucas 3.35</w:t>
        </w:r>
      </w:hyperlink>
      <w:r>
        <w:t xml:space="preserve">. </w:t>
      </w:r>
      <w:r>
        <w:rPr>
          <w:i/>
        </w:rPr>
        <w:t>Veja</w:t>
      </w:r>
      <w:r>
        <w:t xml:space="preserve"> </w:t>
      </w:r>
      <w:r>
        <w:t>Eber #1, #2, #4</w:t>
      </w:r>
      <w:r>
        <w:t>.</w:t>
      </w:r>
      <w:r/>
      <w:r/>
    </w:p>
    <w:p>
      <w:r/>
    </w:p>
    <w:p>
      <w:pPr>
        <w:pStyle w:val="Heading2"/>
      </w:pPr>
      <w:r>
        <w:t>Heberitas</w:t>
      </w:r>
      <w:r/>
    </w:p>
    <w:p>
      <w:r/>
      <w:r>
        <w:t>Descendentes de Héber na família do patriarca Jacó (</w:t>
      </w:r>
      <w:hyperlink r:id="rId10371">
        <w:r>
          <w:rPr>
            <w:color w:val="0000EE"/>
            <w:u w:val="single"/>
          </w:rPr>
          <w:t>Nm 26.45</w:t>
        </w:r>
      </w:hyperlink>
      <w:r>
        <w:t>).</w:t>
      </w:r>
    </w:p>
    <w:p>
      <w:r/>
      <w:r>
        <w:rPr>
          <w:i/>
        </w:rPr>
        <w:t>Veja</w:t>
      </w:r>
      <w:r>
        <w:t xml:space="preserve"> </w:t>
      </w:r>
      <w:r>
        <w:t>Heber #1</w:t>
      </w:r>
      <w:r>
        <w:t>.</w:t>
      </w:r>
      <w:r/>
      <w:r/>
    </w:p>
    <w:p>
      <w:r/>
    </w:p>
    <w:p>
      <w:pPr>
        <w:pStyle w:val="Heading2"/>
      </w:pPr>
      <w:r>
        <w:t>Hebreus, Carta aos</w:t>
      </w:r>
      <w:r/>
    </w:p>
    <w:p>
      <w:r/>
      <w:r>
        <w:t>Um dos livros mais profundos e enigmáticos do NT. A identidade de seu autor, a época de sua escrita, as pessoas e o lugar para os quais foi enviado estão todos envoltos em mistério. No entanto, apesar da incerteza, Hebreus continua sendo um dos livros mais oportunos e relevantes da Bíblia. Cerca de 300 anos atrás, John Owen, o puritano inglês, comentou apropriadamente: “Sem dúvida, a Epístola mais importante depois de Romanos é esta aos Hebreus”. A carta é tanto doutrinária quanto prática, teológica e pastoral. Em resumo, constrói um argumento convincente para a superioridade do Cristianismo. Hebreus também reflete a preocupação apaixonada do coração de um pastor. Aqueles que experimentaram a obra suprema da graça de Deus em Cristo são instados a manter firme a palavra final de Deus revelada em seu Filho.</w:t>
      </w:r>
    </w:p>
    <w:p>
      <w:r/>
      <w:r>
        <w:t>Ao contrário da maioria das outras epístolas do NT, Hebreus não começa como uma carta. Não há saudação introdutória, o escritor não é identificado e não há menção daqueles a quem o documento é dirigido. O autor caracteriza a obra como uma “palavras de ânimo” (</w:t>
      </w:r>
      <w:hyperlink r:id="rId10376">
        <w:r>
          <w:rPr>
            <w:color w:val="0000EE"/>
            <w:u w:val="single"/>
          </w:rPr>
          <w:t>13.22</w:t>
        </w:r>
      </w:hyperlink>
      <w:r>
        <w:t xml:space="preserve">, NTLH), o que sugere um sermão ou homilia oral (cf. </w:t>
      </w:r>
      <w:hyperlink r:id="rId4810">
        <w:r>
          <w:rPr>
            <w:color w:val="0000EE"/>
            <w:u w:val="single"/>
          </w:rPr>
          <w:t>At 13.15</w:t>
        </w:r>
      </w:hyperlink>
      <w:r>
        <w:t>). No entanto, sua conclusão é a de uma carta convencional (</w:t>
      </w:r>
      <w:hyperlink r:id="rId10377">
        <w:r>
          <w:rPr>
            <w:color w:val="0000EE"/>
            <w:u w:val="single"/>
          </w:rPr>
          <w:t>Hb 13.22–25</w:t>
        </w:r>
      </w:hyperlink>
      <w:r>
        <w:t xml:space="preserve">). Alguns detectaram uma transição gradual no documento de um ensaio para uma forma mais especificamente epistolar (cf. </w:t>
      </w:r>
      <w:hyperlink r:id="rId10378">
        <w:r>
          <w:rPr>
            <w:color w:val="0000EE"/>
            <w:u w:val="single"/>
          </w:rPr>
          <w:t>2.1</w:t>
        </w:r>
      </w:hyperlink>
      <w:r>
        <w:t xml:space="preserve">; </w:t>
      </w:r>
      <w:hyperlink r:id="rId10379">
        <w:r>
          <w:rPr>
            <w:color w:val="0000EE"/>
            <w:u w:val="single"/>
          </w:rPr>
          <w:t>4.1</w:t>
        </w:r>
      </w:hyperlink>
      <w:r>
        <w:t xml:space="preserve">; </w:t>
      </w:r>
      <w:hyperlink r:id="rId10377">
        <w:r>
          <w:rPr>
            <w:color w:val="0000EE"/>
            <w:u w:val="single"/>
          </w:rPr>
          <w:t>13.22–25</w:t>
        </w:r>
      </w:hyperlink>
      <w:r>
        <w:t>). As evidências sugerem, portanto, que o autor pode ter transformado a original “palavra de exortação” homilética em forma de carta quando a necessidade de se comunicar por escrito com seus amigos cristãos se tornou urgente.</w:t>
      </w:r>
    </w:p>
    <w:p>
      <w:r/>
      <w:r>
        <w:t>Resumo</w:t>
      </w:r>
    </w:p>
    <w:p>
      <w:r/>
      <w:r>
        <w:t>• Autor</w:t>
      </w:r>
    </w:p>
    <w:p>
      <w:r/>
      <w:r>
        <w:t>• Contexto</w:t>
      </w:r>
    </w:p>
    <w:p>
      <w:r/>
      <w:r>
        <w:t>• Data</w:t>
      </w:r>
    </w:p>
    <w:p>
      <w:r/>
      <w:r>
        <w:t>• Origem e destino</w:t>
      </w:r>
    </w:p>
    <w:p>
      <w:r/>
      <w:r>
        <w:t>• Propósito</w:t>
      </w:r>
    </w:p>
    <w:p>
      <w:r/>
      <w:r>
        <w:t>• Conteúdo</w:t>
      </w:r>
    </w:p>
    <w:p>
      <w:pPr>
        <w:pStyle w:val="Heading3"/>
      </w:pPr>
      <w:r>
        <w:t>Autor</w:t>
      </w:r>
    </w:p>
    <w:p>
      <w:r/>
      <w:r>
        <w:t>O autor do livro não é mencionado diretamente na carta. Desde o final do segundo século, várias autoridades associaram o documento ao apóstolo Paulo. Clemente de Alexandria (m. 220) teorizou que Paulo escreveu a carta em hebraico para os judeus e que Lucas a traduziu para o grego. No entanto, essa sugestão não foi amplamente aceita por estudiosos modernos. O aluno de Clemente, Orígenes (m. 254), afirmou de forma mais geral que os pensamentos da carta são paulinos, mas que o estilo é diferente dos escritos conhecidos do apóstolo. Outras autoridades antigas, como Jerônimo (m. 419) e Agostinho (m. 430), persuadidos de que a canonicidade exigia autoria apostólica, também afirmaram que Paulo era o autor.</w:t>
      </w:r>
    </w:p>
    <w:p>
      <w:r/>
      <w:r>
        <w:t xml:space="preserve">No entanto, vários fatores argumentam contra a autoria paulina de Hebreus. O anonimato da carta contraria o padrão consistente de Paulo se apresentar na saudação inicial de suas cartas. Além disso, </w:t>
      </w:r>
      <w:hyperlink r:id="rId10380">
        <w:r>
          <w:rPr>
            <w:color w:val="0000EE"/>
            <w:u w:val="single"/>
          </w:rPr>
          <w:t>Hebreus 2.3</w:t>
        </w:r>
      </w:hyperlink>
      <w:r>
        <w:t xml:space="preserve"> indica que o escritor foi discipulado por testemunhas oculares do Senhor. No entanto, Paulo insiste que seu conhecimento de Cristo foi adquirido a partir de um encontro direto com o Cristo ressuscitado (cf. </w:t>
      </w:r>
      <w:hyperlink r:id="rId2281">
        <w:r>
          <w:rPr>
            <w:color w:val="0000EE"/>
            <w:u w:val="single"/>
          </w:rPr>
          <w:t>Gl 1.12</w:t>
        </w:r>
      </w:hyperlink>
      <w:r>
        <w:t>). F. F. Bruce avalia a autoria de Hebreus da seguinte forma: “Podemos dizer com certeza que o pensamento da epístola não é de Paulo, a linguagem não é de Paulo, e a técnica de citações do AT não é de Paulo”.</w:t>
      </w:r>
    </w:p>
    <w:p>
      <w:r/>
      <w:r>
        <w:t xml:space="preserve">A tradição cristã primitiva sugere que Barnabé pode ter escrito Hebreus. Segundo Tertuliano (m. 220), muitas autoridades antigas acreditavam que Barnabé era responsável pela carta. </w:t>
      </w:r>
      <w:hyperlink r:id="rId4832">
        <w:r>
          <w:rPr>
            <w:color w:val="0000EE"/>
            <w:u w:val="single"/>
          </w:rPr>
          <w:t>Atos 4.36</w:t>
        </w:r>
      </w:hyperlink>
      <w:r>
        <w:t xml:space="preserve"> fala dele como um “filho da exortação” (cf. </w:t>
      </w:r>
      <w:hyperlink r:id="rId10376">
        <w:r>
          <w:rPr>
            <w:color w:val="0000EE"/>
            <w:u w:val="single"/>
          </w:rPr>
          <w:t>Hb 13.22</w:t>
        </w:r>
      </w:hyperlink>
      <w:r>
        <w:t>). Além disso, como levita, Barnabé estaria familiarizado com o ritual sacrificial judaico, que é tão proeminente na carta.</w:t>
      </w:r>
    </w:p>
    <w:p>
      <w:r/>
      <w:r>
        <w:t>Lutero foi o primeiro a sugerir que Hebreus pode ter sido escrito por Apolo, “um excelente homem de aprendizado, que foi discípulo dos apóstolos, aprendeu muito com eles e era muito versado nas Escrituras”. Como nativo de Alexandria (</w:t>
      </w:r>
      <w:hyperlink r:id="rId744">
        <w:r>
          <w:rPr>
            <w:color w:val="0000EE"/>
            <w:u w:val="single"/>
          </w:rPr>
          <w:t>At 18.24</w:t>
        </w:r>
      </w:hyperlink>
      <w:r>
        <w:t>), Apolo estaria familiarizado com a interpretação tipológica evidente em Hebreus. Claramente, Apolo era o tipo de homem qualificado para escrever Hebreus.</w:t>
      </w:r>
    </w:p>
    <w:p>
      <w:r/>
      <w:r>
        <w:t>Outros nomes foram sugeridos como possíveis autores. Calvino supôs que Lucas ou Clemente de Roma foi responsável pela carta. Nota-se que o grego de Hebreus se assemelha à linguagem e estilo do terceiro Evangelho e de Atos. Outros teorizam que Hebreus pode ter sido escrito por Silas, um cristão judeu de Jerusalém que estaria profundamente familiarizado com o ritual levítico. Silas é descrito como um dos “líderes da igreja” (</w:t>
      </w:r>
      <w:hyperlink r:id="rId3153">
        <w:r>
          <w:rPr>
            <w:color w:val="0000EE"/>
            <w:u w:val="single"/>
          </w:rPr>
          <w:t>At 15.22</w:t>
        </w:r>
      </w:hyperlink>
      <w:r>
        <w:t>). Ele foi um colaborador de Paulo na missão gentia e, aparentemente, era conhecido em Roma, assim como em Jerusalém (</w:t>
      </w:r>
      <w:hyperlink r:id="rId10381">
        <w:r>
          <w:rPr>
            <w:color w:val="0000EE"/>
            <w:u w:val="single"/>
          </w:rPr>
          <w:t>1Pe 5.12–13</w:t>
        </w:r>
      </w:hyperlink>
      <w:r>
        <w:t>).</w:t>
      </w:r>
    </w:p>
    <w:p>
      <w:r/>
      <w:r>
        <w:t>Em conclusão, é provável que o autor de Hebreus tenha sido um cristão judeu de segunda geração, um mestre do grego clássico cuja Bíblia era a Septuaginta, familiarizado com a filosofia alexandrina do primeiro século e um apologista criativo da fé cristã. Quanto à identidade desse autor, podemos afirmar o mesmo que Orígenes no terceiro século: “Mas quanto a quem realmente escreveu a Carta, só Deus sabe”.</w:t>
      </w:r>
    </w:p>
    <w:p>
      <w:pPr>
        <w:pStyle w:val="Heading3"/>
      </w:pPr>
      <w:r>
        <w:t>Contexto</w:t>
      </w:r>
    </w:p>
    <w:p>
      <w:r/>
      <w:r>
        <w:t>O título muito antigo da carta, "Aos Hebreus", sugere que o livro se refere a cristãos judeus vivendo na Dispersão. A própria carta oferece algumas pistas sobre as circunstâncias históricas que cercam sua composição. Não muito tempo após se tornarem cristãos, os leitores da carta enfrentaram severa perseguição (</w:t>
      </w:r>
      <w:hyperlink r:id="rId10382">
        <w:r>
          <w:rPr>
            <w:color w:val="0000EE"/>
            <w:u w:val="single"/>
          </w:rPr>
          <w:t>Hb 10.32–36</w:t>
        </w:r>
      </w:hyperlink>
      <w:r>
        <w:t>). Durante seu julgamento, os novos crentes suportaram prisão, confisco de bens pessoais e ridículo público. No entanto, a perseguição não foi fatal; eles ainda não haviam sido chamados a entregar suas vidas em martírio (</w:t>
      </w:r>
      <w:hyperlink r:id="rId10383">
        <w:r>
          <w:rPr>
            <w:color w:val="0000EE"/>
            <w:u w:val="single"/>
          </w:rPr>
          <w:t>12.4</w:t>
        </w:r>
      </w:hyperlink>
      <w:r>
        <w:t>). Em meio à empolgação de sua nova fé em Cristo, eles demonstraram preocupação prática e amor ao ministrar aos companheiros crentes necessitados (</w:t>
      </w:r>
      <w:hyperlink r:id="rId10384">
        <w:r>
          <w:rPr>
            <w:color w:val="0000EE"/>
            <w:u w:val="single"/>
          </w:rPr>
          <w:t>6.10</w:t>
        </w:r>
      </w:hyperlink>
      <w:r>
        <w:t>) e confortar outros que haviam sido assediados por sua fé (</w:t>
      </w:r>
      <w:hyperlink r:id="rId10385">
        <w:r>
          <w:rPr>
            <w:color w:val="0000EE"/>
            <w:u w:val="single"/>
          </w:rPr>
          <w:t>10.34</w:t>
        </w:r>
      </w:hyperlink>
      <w:r>
        <w:t>).</w:t>
      </w:r>
    </w:p>
    <w:p>
      <w:r/>
      <w:r>
        <w:t>No entanto, desde a época desses primeiros testes, os leitores tinham feito pouco progresso na maturidade cristã (</w:t>
      </w:r>
      <w:hyperlink r:id="rId10386">
        <w:r>
          <w:rPr>
            <w:color w:val="0000EE"/>
            <w:u w:val="single"/>
          </w:rPr>
          <w:t>5.11–13</w:t>
        </w:r>
      </w:hyperlink>
      <w:r>
        <w:t>). Além disso, diante de uma nova onda de perseguição e desanimados com um aparente atraso na vinda do Senhor, os crentes começaram a vacilar e a perder a esperança. De fato, ameaçavam renunciar a Jesus Cristo e voltar à segurança da religião judaica, que gozava da proteção da lei romana.</w:t>
      </w:r>
    </w:p>
    <w:p>
      <w:r/>
      <w:r>
        <w:t>Assim, lemos que, por causa dos ensinamentos estranhos e novos de certos judaizantes que procuravam trazê-los de volta à sua antiga religião (</w:t>
      </w:r>
      <w:hyperlink r:id="rId5734">
        <w:r>
          <w:rPr>
            <w:color w:val="0000EE"/>
            <w:u w:val="single"/>
          </w:rPr>
          <w:t>13.9</w:t>
        </w:r>
      </w:hyperlink>
      <w:r>
        <w:t>), os crentes vacilantes haviam negligenciado reunir-se (</w:t>
      </w:r>
      <w:hyperlink r:id="rId10387">
        <w:r>
          <w:rPr>
            <w:color w:val="0000EE"/>
            <w:u w:val="single"/>
          </w:rPr>
          <w:t>10.25</w:t>
        </w:r>
      </w:hyperlink>
      <w:r>
        <w:t>) e haviam perdido a confiança em seus líderes espirituais (</w:t>
      </w:r>
      <w:hyperlink r:id="rId10388">
        <w:r>
          <w:rPr>
            <w:color w:val="0000EE"/>
            <w:u w:val="single"/>
          </w:rPr>
          <w:t>13.17</w:t>
        </w:r>
      </w:hyperlink>
      <w:r>
        <w:t>). Diante da possibilidade de que esses cristãos judeus pudessem abandonar sua fé completamente, o escritor os adverte severamente sobre as trágicas consequências de renunciar ao Filho (</w:t>
      </w:r>
      <w:hyperlink r:id="rId10389">
        <w:r>
          <w:rPr>
            <w:color w:val="0000EE"/>
            <w:u w:val="single"/>
          </w:rPr>
          <w:t>6.4–6</w:t>
        </w:r>
      </w:hyperlink>
      <w:r>
        <w:t xml:space="preserve">; </w:t>
      </w:r>
      <w:hyperlink r:id="rId10390">
        <w:r>
          <w:rPr>
            <w:color w:val="0000EE"/>
            <w:u w:val="single"/>
          </w:rPr>
          <w:t>10.26–31</w:t>
        </w:r>
      </w:hyperlink>
      <w:r>
        <w:t xml:space="preserve">; </w:t>
      </w:r>
      <w:hyperlink r:id="rId10391">
        <w:r>
          <w:rPr>
            <w:color w:val="0000EE"/>
            <w:u w:val="single"/>
          </w:rPr>
          <w:t>13.12–19</w:t>
        </w:r>
      </w:hyperlink>
      <w:r>
        <w:t>) e os exorta a renovar seu compromisso com Cristo, a principal e última revelação de Deus.</w:t>
      </w:r>
    </w:p>
    <w:p>
      <w:pPr>
        <w:pStyle w:val="Heading3"/>
      </w:pPr>
      <w:r>
        <w:t>Data</w:t>
      </w:r>
    </w:p>
    <w:p>
      <w:r/>
      <w:r>
        <w:t>Sem informações concretas sobre o autor e os destinatários da carta, não há certeza quanto à data de sua escrita. Observamos que o autor de Hebreus, e provavelmente seus leitores também, foram discipulados por aqueles que conheceram Jesus pessoalmente (</w:t>
      </w:r>
      <w:hyperlink r:id="rId10380">
        <w:r>
          <w:rPr>
            <w:color w:val="0000EE"/>
            <w:u w:val="single"/>
          </w:rPr>
          <w:t>2.3</w:t>
        </w:r>
      </w:hyperlink>
      <w:r>
        <w:t>). Outras evidências na carta sugerem que Paulo provavelmente já havia falecido. Timóteo, o jovem associado de Paulo, ainda estava vivo (</w:t>
      </w:r>
      <w:hyperlink r:id="rId10392">
        <w:r>
          <w:rPr>
            <w:color w:val="0000EE"/>
            <w:u w:val="single"/>
          </w:rPr>
          <w:t>13.23</w:t>
        </w:r>
      </w:hyperlink>
      <w:r>
        <w:t>).</w:t>
      </w:r>
    </w:p>
    <w:p>
      <w:r/>
      <w:r>
        <w:t xml:space="preserve">A ausência de qualquer menção em Hebreus sobre a destruição do templo de Jerusalém é significativa para datar a carta. Em termos de seu argumento de que a antiga aliança havia passado e o sacerdócio legal havia sido superado, o autor dificilmente teria omitido a menção da destruição do templo se tivesse escrito a carta depois de 70 d.C. </w:t>
      </w:r>
      <w:hyperlink r:id="rId10393">
        <w:r>
          <w:rPr>
            <w:color w:val="0000EE"/>
            <w:u w:val="single"/>
          </w:rPr>
          <w:t>Hebreus 9.6–10</w:t>
        </w:r>
      </w:hyperlink>
      <w:r>
        <w:t xml:space="preserve"> e </w:t>
      </w:r>
      <w:hyperlink r:id="rId10394">
        <w:r>
          <w:rPr>
            <w:color w:val="0000EE"/>
            <w:u w:val="single"/>
          </w:rPr>
          <w:t>10.1–4,11–14</w:t>
        </w:r>
      </w:hyperlink>
      <w:r>
        <w:t xml:space="preserve"> sugerem claramente que os sacrifícios judaicos ainda estavam sendo oferecidos. Portanto, pode-se supor com algum grau de certeza que a carta foi escrita antes de 70 d.C. Se foi escrita após a morte de Paulo, isso a colocaria após 67 d.C., a data tradicional de sua execução. Assim, Hebreus pode ter sido escrito no período de 67–70 d.C.</w:t>
      </w:r>
    </w:p>
    <w:p>
      <w:pPr>
        <w:pStyle w:val="Heading3"/>
      </w:pPr>
      <w:r>
        <w:t>Origem e destino</w:t>
      </w:r>
    </w:p>
    <w:p>
      <w:r/>
      <w:r>
        <w:t>O lugar de onde Hebreus foi escrito também é incerto. Alguns manuscritos da carta trazem a subscrição “escrito de Roma” ou “escrito da Itália”. Tais anotações são deduções baseadas na declaração “Os cristãos da Itália enviam suas saudações” (</w:t>
      </w:r>
      <w:hyperlink r:id="rId10395">
        <w:r>
          <w:rPr>
            <w:color w:val="0000EE"/>
            <w:u w:val="single"/>
          </w:rPr>
          <w:t>13.24</w:t>
        </w:r>
      </w:hyperlink>
      <w:r>
        <w:t>). Muito provavelmente isso indica que o autor está enviando saudações a uma igreja na Itália em nome de cristãos italianos associados a ele em outra terra, possivelmente na Ásia. No entanto, não podemos determinar o ponto de origem com certeza.</w:t>
      </w:r>
    </w:p>
    <w:p>
      <w:r/>
      <w:r>
        <w:t>Foi sugerido que a carta foi escrita para um grupo de judeus convertidos ao cristianismo. No entanto, a comunidade para a qual foi enviada é uma questão de debate. As opiniões variam de Judeia a Espanha. A tradição diz que Hebreus foi direcionada a cristãos judeus que viviam na Palestina. Mas contra um destino palestino pode-se argumentar: (1) os leitores não tiveram contato pessoal com Jesus (</w:t>
      </w:r>
      <w:hyperlink r:id="rId10380">
        <w:r>
          <w:rPr>
            <w:color w:val="0000EE"/>
            <w:u w:val="single"/>
          </w:rPr>
          <w:t>2.3</w:t>
        </w:r>
      </w:hyperlink>
      <w:r>
        <w:t xml:space="preserve">), um evento improvável para residentes da Palestina em meados do primeiro século; (2) a afirmação em </w:t>
      </w:r>
      <w:hyperlink r:id="rId10383">
        <w:r>
          <w:rPr>
            <w:color w:val="0000EE"/>
            <w:u w:val="single"/>
          </w:rPr>
          <w:t>12.4</w:t>
        </w:r>
      </w:hyperlink>
      <w:r>
        <w:t xml:space="preserve"> de que seus leitores ainda não haviam dado suas vidas dificilmente poderia ser dita dos cristãos palestinos do período; (3) a generosidade dos crentes (</w:t>
      </w:r>
      <w:hyperlink r:id="rId10385">
        <w:r>
          <w:rPr>
            <w:color w:val="0000EE"/>
            <w:u w:val="single"/>
          </w:rPr>
          <w:t>10.34</w:t>
        </w:r>
      </w:hyperlink>
      <w:r>
        <w:t xml:space="preserve">; </w:t>
      </w:r>
      <w:hyperlink r:id="rId10396">
        <w:r>
          <w:rPr>
            <w:color w:val="0000EE"/>
            <w:u w:val="single"/>
          </w:rPr>
          <w:t>13.16</w:t>
        </w:r>
      </w:hyperlink>
      <w:r>
        <w:t>) era inconsistente com a pobreza da igreja de Jerusalém; e (4) o tom geral da carta é helenístico em vez de rabínico.</w:t>
      </w:r>
    </w:p>
    <w:p>
      <w:r/>
      <w:r>
        <w:t>Outras propostas para a destinação de Hebreus incluem (1) Cesareia, considerando a autoria de Lucas; (2) Antioquia da Síria ou Chipre, assumindo que Barnabé escreveu a carta; (3) Éfeso, devido à conversão de muitos judeus durante o ministério de Paulo naquela cidade; (4) Colossos, observando certas semelhanças entre a heresia colossense e as falsas crenças dos “Hebreus”; e (5) Alexandria, devido à aparente influência do filósofo Filo de Alexandria na carta.</w:t>
      </w:r>
    </w:p>
    <w:p>
      <w:r/>
      <w:r>
        <w:t xml:space="preserve">A tese de que Hebreus foi direcionado a um grupo de cristãos judeus em Roma tem encontrado apoio entre vários estudiosos. Os argumentos a favor de um destino romano incluem os seguintes fatos: (1) A carta era conhecida em Roma não mais tarde que 96 d.C. (2) </w:t>
      </w:r>
      <w:hyperlink r:id="rId10397">
        <w:r>
          <w:rPr>
            <w:color w:val="0000EE"/>
            <w:u w:val="single"/>
          </w:rPr>
          <w:t>Romanos 11.13,18</w:t>
        </w:r>
      </w:hyperlink>
      <w:r>
        <w:t xml:space="preserve"> sugere que a igreja em Roma consistia em uma minoria cristã-judaica. (3) Referências à perseguição e sofrimento enfrentados pelos leitores (</w:t>
      </w:r>
      <w:hyperlink r:id="rId10398">
        <w:r>
          <w:rPr>
            <w:color w:val="0000EE"/>
            <w:u w:val="single"/>
          </w:rPr>
          <w:t>Hb 10.32–33</w:t>
        </w:r>
      </w:hyperlink>
      <w:r>
        <w:t xml:space="preserve">; </w:t>
      </w:r>
      <w:hyperlink r:id="rId10383">
        <w:r>
          <w:rPr>
            <w:color w:val="0000EE"/>
            <w:u w:val="single"/>
          </w:rPr>
          <w:t>12.4</w:t>
        </w:r>
      </w:hyperlink>
      <w:r>
        <w:t>) são consistentes com medidas repressivas conhecidas impostas pelas autoridades romanas. (4) Há uma boa possibilidade de que santos que “vêm da Itália” transmitissem saudações aos seus irmãos em Roma. (5) A comunidade judaica em Roma preservou certas características do judaísmo não conformista ou sectário que explicariam várias semelhanças notáveis entre a teologia e a práxis da comunidade de Qumran e aquelas expressas em Hebreus.</w:t>
      </w:r>
    </w:p>
    <w:p>
      <w:r/>
      <w:r>
        <w:t xml:space="preserve">É provável que a carta tenha sido endereçada a um pequeno subgrupo dentro de uma igreja local. A exortação em </w:t>
      </w:r>
      <w:hyperlink r:id="rId5139">
        <w:r>
          <w:rPr>
            <w:color w:val="0000EE"/>
            <w:u w:val="single"/>
          </w:rPr>
          <w:t>5.12</w:t>
        </w:r>
      </w:hyperlink>
      <w:r>
        <w:t xml:space="preserve"> (NTLH) — "Depois de tanto tempo, vocês já deviam ser mestres" — dificilmente teria sido relevante para toda a congregação. </w:t>
      </w:r>
      <w:hyperlink r:id="rId10399">
        <w:r>
          <w:rPr>
            <w:color w:val="0000EE"/>
            <w:u w:val="single"/>
          </w:rPr>
          <w:t>Hebreus 13.7,24</w:t>
        </w:r>
      </w:hyperlink>
      <w:r>
        <w:t xml:space="preserve"> dá mais suporte à teoria de que a carta foi enviada a um pequeno grupo, talvez a uma "igreja doméstica" dentro de uma assembleia maior.</w:t>
      </w:r>
    </w:p>
    <w:p>
      <w:r/>
      <w:r>
        <w:t>Provisoriamente, pode-se concluir que os destinatários eram convertidos do judaísmo que habitavam na Dispersão. Assim, eles estavam familiarizados com o judaísmo do Antigo Testamento e conheciam a filosofia religiosa do mundo grego. Possivelmente, os leitores faziam parte de uma comunhão doméstica que tendia a se dissociar do grupo principal (</w:t>
      </w:r>
      <w:hyperlink r:id="rId10387">
        <w:r>
          <w:rPr>
            <w:color w:val="0000EE"/>
            <w:u w:val="single"/>
          </w:rPr>
          <w:t>10.25</w:t>
        </w:r>
      </w:hyperlink>
      <w:r>
        <w:t xml:space="preserve">). A existência de tais igrejas domésticas em Roma é confirmada por </w:t>
      </w:r>
      <w:hyperlink r:id="rId10400">
        <w:r>
          <w:rPr>
            <w:color w:val="0000EE"/>
            <w:u w:val="single"/>
          </w:rPr>
          <w:t>Romanos 16.5,14–15</w:t>
        </w:r>
      </w:hyperlink>
      <w:r>
        <w:t>.</w:t>
      </w:r>
    </w:p>
    <w:p>
      <w:pPr>
        <w:pStyle w:val="Heading3"/>
      </w:pPr>
      <w:r>
        <w:t>Propósito</w:t>
      </w:r>
    </w:p>
    <w:p>
      <w:r/>
      <w:r>
        <w:t>Em resposta à ameaça de que seus amigos judeus-cristãos pudessem renunciar ao cristianismo e voltar ao judaísmo, o escritor, por meio de uma "palavra de exortação" (</w:t>
      </w:r>
      <w:hyperlink r:id="rId10376">
        <w:r>
          <w:rPr>
            <w:color w:val="0000EE"/>
            <w:u w:val="single"/>
          </w:rPr>
          <w:t>13.22</w:t>
        </w:r>
      </w:hyperlink>
      <w:r>
        <w:t>), comunicou-lhes a finalidade da revelação cristã. Ele também procurou informar seus leitores desanimados e vacilantes que Cristo, o objeto da revelação final de Deus, é imensamente superior aos maiores heróis do judaísmo. O autor, além disso, afirmou o caráter celestial e eterno da salvação assegurada por Cristo. Enquanto o sistema sacrificial legal era impotente para efetuar a remissão do pecado, Cristo, o eterno Sumo Sacerdote, "ele pode, hoje e sempre, salvar as pessoas que vão a Deus por meio dele" (</w:t>
      </w:r>
      <w:hyperlink r:id="rId4777">
        <w:r>
          <w:rPr>
            <w:color w:val="0000EE"/>
            <w:u w:val="single"/>
          </w:rPr>
          <w:t>7.25</w:t>
        </w:r>
      </w:hyperlink>
      <w:r>
        <w:t>, NTLH).</w:t>
      </w:r>
    </w:p>
    <w:p>
      <w:r/>
      <w:r>
        <w:t>Em resumo, o escritor recomendou aos seus leitores a necessidade de paciência e perseverança em meio à perseguição e aos sofrimentos aos quais os herdeiros da salvação eterna estão inevitavelmente expostos. Assim como Jesus, o precursor da nossa fé, sofreu e pacientemente perseverou em antecipação à recompensa eterna, assim também os crentes assediados e oprimidos devem “levantem as suas mãos cansadas e fortaleçam os seus joelhos enfraquecidos” (</w:t>
      </w:r>
      <w:hyperlink r:id="rId678">
        <w:r>
          <w:rPr>
            <w:color w:val="0000EE"/>
            <w:u w:val="single"/>
          </w:rPr>
          <w:t>12.12</w:t>
        </w:r>
      </w:hyperlink>
      <w:r>
        <w:t>, NTLH) em antecipação à sua recepção naquele eterno “reino que não pode ser abalado” (</w:t>
      </w:r>
      <w:hyperlink r:id="rId10401">
        <w:r>
          <w:rPr>
            <w:color w:val="0000EE"/>
            <w:u w:val="single"/>
          </w:rPr>
          <w:t>12.28</w:t>
        </w:r>
      </w:hyperlink>
      <w:r>
        <w:t>, NTLH).</w:t>
      </w:r>
    </w:p>
    <w:p>
      <w:r/>
      <w:r>
        <w:t>O propósito final do autor ao escrever foi proclamar o temível julgamento que aguarda aqueles que repudiam Jesus Cristo. Já que “nosso Deus é um fogo destruidor” (</w:t>
      </w:r>
      <w:hyperlink r:id="rId10402">
        <w:r>
          <w:rPr>
            <w:color w:val="0000EE"/>
            <w:u w:val="single"/>
          </w:rPr>
          <w:t>12.29</w:t>
        </w:r>
      </w:hyperlink>
      <w:r>
        <w:t>, NTLH), “como é que nós escaparemos do castigo se desprezarmos uma salvação tão grande?” (</w:t>
      </w:r>
      <w:hyperlink r:id="rId10380">
        <w:r>
          <w:rPr>
            <w:color w:val="0000EE"/>
            <w:u w:val="single"/>
          </w:rPr>
          <w:t>2.3</w:t>
        </w:r>
      </w:hyperlink>
      <w:r>
        <w:t>, NTLH)?</w:t>
      </w:r>
    </w:p>
    <w:p>
      <w:pPr>
        <w:pStyle w:val="Heading3"/>
      </w:pPr>
      <w:r>
        <w:t>Conteúdo</w:t>
      </w:r>
    </w:p>
    <w:p>
      <w:r/>
      <w:r>
        <w:t>Depois de Romanos, Hebreus é o livro mais doutrinário do NT. O autor apresenta uma série de argumentos importantes para demonstrar a superioridade do evangelho de Cristo em relação à religião do judaísmo. Como Jesus é definitivo tanto em relação à sua pessoa quanto ao seu trabalho, o cristianismo é a fé suprema e normativa. O particularismo do livro contrasta com o espírito do mundo moderno.</w:t>
      </w:r>
    </w:p>
    <w:p>
      <w:pPr>
        <w:pStyle w:val="Heading4"/>
      </w:pPr>
      <w:r>
        <w:t>A superioridade do Filho em relação a revelação anterior (</w:t>
      </w:r>
      <w:hyperlink r:id="rId10403">
        <w:r>
          <w:rPr>
            <w:color w:val="0000EE"/>
            <w:u w:val="single"/>
          </w:rPr>
          <w:t>1.1–4</w:t>
        </w:r>
      </w:hyperlink>
      <w:r>
        <w:t>)</w:t>
      </w:r>
    </w:p>
    <w:p>
      <w:r/>
      <w:r>
        <w:t xml:space="preserve">O escritor reconhece que Deus se revelou aos profetas antigos de muitas maneiras — através de sonhos, visões, fala audível e atos poderosos. Mas “nestes últimos dias” (o advento dos tempos finais, cf. </w:t>
      </w:r>
      <w:hyperlink r:id="rId8056">
        <w:r>
          <w:rPr>
            <w:color w:val="0000EE"/>
            <w:u w:val="single"/>
          </w:rPr>
          <w:t>9.26</w:t>
        </w:r>
      </w:hyperlink>
      <w:r>
        <w:t>) Deus falou finalmente e definitivamente através de seu próprio Filho (</w:t>
      </w:r>
      <w:hyperlink r:id="rId8114">
        <w:r>
          <w:rPr>
            <w:color w:val="0000EE"/>
            <w:u w:val="single"/>
          </w:rPr>
          <w:t>1.2</w:t>
        </w:r>
      </w:hyperlink>
      <w:r>
        <w:t>). Central para o argumento é o fato de que, de uma forma ou de outra, os profetas receberam uma palavra eterna de Deus. No entanto, dada a relação íntima do Filho com o Pai, a última revelação de Deus surgiu das profundezas do seu próprio ser.</w:t>
      </w:r>
    </w:p>
    <w:p>
      <w:r/>
      <w:r>
        <w:t>A identificação do Filho como o ápice da divina revelação leva a uma declaração concisa, mas profunda, da pessoa de Cristo e sua obra cósmica. O Filho reflete a glória de Deus, pois a soma dos atributos divinos brilha intensamente através de sua pessoa. Além disso, ele carrega a própria imagem e marca da natureza de Deus (</w:t>
      </w:r>
      <w:hyperlink r:id="rId2666">
        <w:r>
          <w:rPr>
            <w:color w:val="0000EE"/>
            <w:u w:val="single"/>
          </w:rPr>
          <w:t>1.3</w:t>
        </w:r>
      </w:hyperlink>
      <w:r>
        <w:t xml:space="preserve">), assim como a cera carrega a impressão do selo. Jesus, como a palavra final de Deus na revelação, é verdadeiramente o Filho divino e eterno de Deus. A excelência de Cristo é ainda mais exibida no fato de que ele é o poderoso agente através do qual o universo foi criado (v. </w:t>
      </w:r>
      <w:hyperlink r:id="rId8114">
        <w:r>
          <w:rPr>
            <w:color w:val="0000EE"/>
            <w:u w:val="single"/>
          </w:rPr>
          <w:t>2</w:t>
        </w:r>
      </w:hyperlink>
      <w:r>
        <w:t xml:space="preserve">) e por quem a ordem cósmica é sustentada (v. </w:t>
      </w:r>
      <w:hyperlink r:id="rId2666">
        <w:r>
          <w:rPr>
            <w:color w:val="0000EE"/>
            <w:u w:val="single"/>
          </w:rPr>
          <w:t>3</w:t>
        </w:r>
      </w:hyperlink>
      <w:r>
        <w:t xml:space="preserve">). No âmbito moral, ele realizou a purificação dos pecados e agora está entronizado à direita de Deus (cf. </w:t>
      </w:r>
      <w:hyperlink r:id="rId10404">
        <w:r>
          <w:rPr>
            <w:color w:val="0000EE"/>
            <w:u w:val="single"/>
          </w:rPr>
          <w:t>8.1</w:t>
        </w:r>
      </w:hyperlink>
      <w:r>
        <w:t>). O prazer de Deus em relação ao Filho é visto no fato de que ele nomeou Cristo herdeiro e cabeça de tudo (</w:t>
      </w:r>
      <w:hyperlink r:id="rId8114">
        <w:r>
          <w:rPr>
            <w:color w:val="0000EE"/>
            <w:u w:val="single"/>
          </w:rPr>
          <w:t>1.2</w:t>
        </w:r>
      </w:hyperlink>
      <w:r>
        <w:t xml:space="preserve">). Seu nome é superado por nenhum, exceto Deus Pai (v. </w:t>
      </w:r>
      <w:hyperlink r:id="rId10405">
        <w:r>
          <w:rPr>
            <w:color w:val="0000EE"/>
            <w:u w:val="single"/>
          </w:rPr>
          <w:t>4</w:t>
        </w:r>
      </w:hyperlink>
      <w:r>
        <w:t>).</w:t>
      </w:r>
    </w:p>
    <w:p>
      <w:pPr>
        <w:pStyle w:val="Heading4"/>
      </w:pPr>
      <w:r>
        <w:t>A superioridade do Filho em relação aos anjos (</w:t>
      </w:r>
      <w:hyperlink r:id="rId10406">
        <w:r>
          <w:rPr>
            <w:color w:val="0000EE"/>
            <w:u w:val="single"/>
          </w:rPr>
          <w:t>1.5–2.18</w:t>
        </w:r>
      </w:hyperlink>
      <w:r>
        <w:t>)</w:t>
      </w:r>
    </w:p>
    <w:p>
      <w:r/>
      <w:r>
        <w:t>Os anjos desfrutavam de um status exaltado no judaísmo bíblico e pós-bíblico. Tradicionalmente, os judeus acreditavam que os anjos louvavam a Deus em seu trono, mediavam a revelação de Deus aos homens, cumpriam a vontade de Deus e ajudavam o povo de Deus. Os anjos eram muito superiores aos homens em poder e conhecimento. De acordo com a apócrifa judaica, os anjos governavam as estrelas e eram responsáveis pela ascensão e queda das civilizações. No pensamento de Qumran, seres angelicais se envolveriam em uma luta cósmica final com Belial e as forças do mal no fim dos tempos.</w:t>
      </w:r>
    </w:p>
    <w:p>
      <w:r/>
      <w:r>
        <w:t>Nesse contexto, o autor de Hebreus argumenta que o Filho é imensamente superior aos anjos. Para provar seu ponto, o autor reúne uma série de textos bem conhecidos do AT e os aplica diretamente ao Filho. Deus nunca disse a nenhum anjo: “Hoje eu me tornei seu Pai” (</w:t>
      </w:r>
      <w:hyperlink r:id="rId2007">
        <w:r>
          <w:rPr>
            <w:color w:val="0000EE"/>
            <w:u w:val="single"/>
          </w:rPr>
          <w:t>Sl 2.7</w:t>
        </w:r>
      </w:hyperlink>
      <w:r>
        <w:t>). No entanto, tal afirmação foi feita em relação ao Filho (</w:t>
      </w:r>
      <w:hyperlink r:id="rId9383">
        <w:r>
          <w:rPr>
            <w:color w:val="0000EE"/>
            <w:u w:val="single"/>
          </w:rPr>
          <w:t>Hb 1.5</w:t>
        </w:r>
      </w:hyperlink>
      <w:r>
        <w:t xml:space="preserve">). Quando o Filho se encarnou no mundo, ele recebeu a adoração obediente dos anjos (v. </w:t>
      </w:r>
      <w:hyperlink r:id="rId10407">
        <w:r>
          <w:rPr>
            <w:color w:val="0000EE"/>
            <w:u w:val="single"/>
          </w:rPr>
          <w:t>6</w:t>
        </w:r>
      </w:hyperlink>
      <w:r>
        <w:t xml:space="preserve">). Sua é a soberania, a eternidade e a majestade à direita de Deus (vv. </w:t>
      </w:r>
      <w:hyperlink r:id="rId10408">
        <w:r>
          <w:rPr>
            <w:color w:val="0000EE"/>
            <w:u w:val="single"/>
          </w:rPr>
          <w:t>8,11–12</w:t>
        </w:r>
      </w:hyperlink>
      <w:r>
        <w:t xml:space="preserve">). Em contraste, os anjos são “apenas servos” (v. </w:t>
      </w:r>
      <w:hyperlink r:id="rId6684">
        <w:r>
          <w:rPr>
            <w:color w:val="0000EE"/>
            <w:u w:val="single"/>
          </w:rPr>
          <w:t>14</w:t>
        </w:r>
      </w:hyperlink>
      <w:r>
        <w:t>) que estão abaixo do Filho em dignidade e poder.</w:t>
      </w:r>
    </w:p>
    <w:p>
      <w:r/>
      <w:r>
        <w:t xml:space="preserve">Em </w:t>
      </w:r>
      <w:hyperlink r:id="rId10409">
        <w:r>
          <w:rPr>
            <w:color w:val="0000EE"/>
            <w:u w:val="single"/>
          </w:rPr>
          <w:t>Hebreus 2.1–4</w:t>
        </w:r>
      </w:hyperlink>
      <w:r>
        <w:t>, o escritor adverte, de forma parentética, sua congregação vacilante sobre o perigo de se afastar da verdade de Deus. Se a desobediência à lei mediada por anjos resultou em punição severa, quão mais severo seria o julgamento de Deus sobre aqueles que pisoteiam a revelação entregue pelo Filho? Se a graça salvadora de Deus em Cristo for negligenciada, a retribuição certamente seguirá (</w:t>
      </w:r>
      <w:hyperlink r:id="rId10380">
        <w:r>
          <w:rPr>
            <w:color w:val="0000EE"/>
            <w:u w:val="single"/>
          </w:rPr>
          <w:t>2.3</w:t>
        </w:r>
      </w:hyperlink>
      <w:r>
        <w:t>).</w:t>
      </w:r>
    </w:p>
    <w:p>
      <w:r/>
      <w:r>
        <w:t>A menção dos anjos leva a mente do escritor à humilhação e exaltação de Jesus (</w:t>
      </w:r>
      <w:hyperlink r:id="rId10410">
        <w:r>
          <w:rPr>
            <w:color w:val="0000EE"/>
            <w:u w:val="single"/>
          </w:rPr>
          <w:t>2.5–18</w:t>
        </w:r>
      </w:hyperlink>
      <w:r>
        <w:t xml:space="preserve">). </w:t>
      </w:r>
      <w:hyperlink r:id="rId4745">
        <w:r>
          <w:rPr>
            <w:color w:val="0000EE"/>
            <w:u w:val="single"/>
          </w:rPr>
          <w:t>Salmo 8</w:t>
        </w:r>
      </w:hyperlink>
      <w:r>
        <w:t>, uma canção sobre a pequenez e, no entanto, a significância do homem, é aplicada à experiência de Jesus. Ao assumir carne e sangue humanos, Jesus foi feito “por pouco tempo em posição inferior à dos anjos” (</w:t>
      </w:r>
      <w:hyperlink r:id="rId7985">
        <w:r>
          <w:rPr>
            <w:color w:val="0000EE"/>
            <w:u w:val="single"/>
          </w:rPr>
          <w:t>Hb 2.7</w:t>
        </w:r>
      </w:hyperlink>
      <w:r>
        <w:t xml:space="preserve">, NTLH). Mas, após a conclusão de sua obra terrena, ele foi elevado acima dos anjos e coroado com a glória e honra do céu (v. </w:t>
      </w:r>
      <w:hyperlink r:id="rId8051">
        <w:r>
          <w:rPr>
            <w:color w:val="0000EE"/>
            <w:u w:val="single"/>
          </w:rPr>
          <w:t>9</w:t>
        </w:r>
      </w:hyperlink>
      <w:r>
        <w:t xml:space="preserve">). As implicações teológicas da descida e ascensão de Cristo são cuidadosamente explicadas: Cristo desceu à terra (1) para trazer muitos filhos à glória (v. </w:t>
      </w:r>
      <w:hyperlink r:id="rId10411">
        <w:r>
          <w:rPr>
            <w:color w:val="0000EE"/>
            <w:u w:val="single"/>
          </w:rPr>
          <w:t>10</w:t>
        </w:r>
      </w:hyperlink>
      <w:r>
        <w:t xml:space="preserve">), (2) para destruir o diabo (v. </w:t>
      </w:r>
      <w:hyperlink r:id="rId10412">
        <w:r>
          <w:rPr>
            <w:color w:val="0000EE"/>
            <w:u w:val="single"/>
          </w:rPr>
          <w:t>14</w:t>
        </w:r>
      </w:hyperlink>
      <w:r>
        <w:t xml:space="preserve">), (3) para libertar seu povo da escravidão da morte (v. </w:t>
      </w:r>
      <w:hyperlink r:id="rId10413">
        <w:r>
          <w:rPr>
            <w:color w:val="0000EE"/>
            <w:u w:val="single"/>
          </w:rPr>
          <w:t>15</w:t>
        </w:r>
      </w:hyperlink>
      <w:r>
        <w:t xml:space="preserve">), e (4) para fazer uma oferta na cruz pelos pecados do povo (v. </w:t>
      </w:r>
      <w:hyperlink r:id="rId2685">
        <w:r>
          <w:rPr>
            <w:color w:val="0000EE"/>
            <w:u w:val="single"/>
          </w:rPr>
          <w:t>17</w:t>
        </w:r>
      </w:hyperlink>
      <w:r>
        <w:t xml:space="preserve">). Ele ascendeu ao céu (1) para interceder em nosso favor como um fiel Sumo Sacerdote (v. </w:t>
      </w:r>
      <w:hyperlink r:id="rId2685">
        <w:r>
          <w:rPr>
            <w:color w:val="0000EE"/>
            <w:u w:val="single"/>
          </w:rPr>
          <w:t>17</w:t>
        </w:r>
      </w:hyperlink>
      <w:r>
        <w:t xml:space="preserve">), e (2) para socorrer aqueles que são severamente tentados (v. </w:t>
      </w:r>
      <w:hyperlink r:id="rId8053">
        <w:r>
          <w:rPr>
            <w:color w:val="0000EE"/>
            <w:u w:val="single"/>
          </w:rPr>
          <w:t>18</w:t>
        </w:r>
      </w:hyperlink>
      <w:r>
        <w:t xml:space="preserve">). O resumo perfeito da pessoa e obra de Cristo é dado em </w:t>
      </w:r>
      <w:hyperlink r:id="rId8051">
        <w:r>
          <w:rPr>
            <w:color w:val="0000EE"/>
            <w:u w:val="single"/>
          </w:rPr>
          <w:t>Hebreus 2.9</w:t>
        </w:r>
      </w:hyperlink>
      <w:r>
        <w:t>: “Mas nós vemos Jesus fazendo isso. Por um pouco de tempo ele foi colocado em posição inferior à dos anjos, para que, pela graça de Deus, ele morresse por todas as pessoas.” (NTLH).</w:t>
      </w:r>
    </w:p>
    <w:p>
      <w:pPr>
        <w:pStyle w:val="Heading4"/>
      </w:pPr>
      <w:r>
        <w:t>A superioridade do Filho em relação a Moisés e Josué (</w:t>
      </w:r>
      <w:hyperlink r:id="rId10414">
        <w:r>
          <w:rPr>
            <w:color w:val="0000EE"/>
            <w:u w:val="single"/>
          </w:rPr>
          <w:t>3.1–4.13</w:t>
        </w:r>
      </w:hyperlink>
      <w:r>
        <w:t>)</w:t>
      </w:r>
    </w:p>
    <w:p>
      <w:r/>
      <w:r>
        <w:t>Cristãos judeus que consideravam retornar ao judaísmo certamente acreditavam que Moisés era uma das maiores figuras na história de Israel. Tão estimado era aquele que liderou Israel para fora do Egito através do deserto e que lhes deu a Lei, que não havia ninguém na história de Israel tão honrado quanto Moisés. No entanto, o autor de Hebreus argumenta que Moisés, embora fiel ao seu chamado, era apenas um servo na casa de Deus. Jesus, em contraste, não era um servo, mas um Filho; ele não era apenas um habitante da casa, mas o próprio construtor da estrutura. Jesus, portanto, transcende em muito a figura reverenciada de Moisés.</w:t>
      </w:r>
    </w:p>
    <w:p>
      <w:r/>
      <w:r>
        <w:t xml:space="preserve">Implicações práticas são extraídas da superioridade de Jesus sobre Moisés. Do </w:t>
      </w:r>
      <w:hyperlink r:id="rId6700">
        <w:r>
          <w:rPr>
            <w:color w:val="0000EE"/>
            <w:u w:val="single"/>
          </w:rPr>
          <w:t>Salmo 95.7–11</w:t>
        </w:r>
      </w:hyperlink>
      <w:r>
        <w:t>, o escritor relembra a trágica experiência de Israel sob Moisés durante as andanças no deserto (</w:t>
      </w:r>
      <w:hyperlink r:id="rId3975">
        <w:r>
          <w:rPr>
            <w:color w:val="0000EE"/>
            <w:u w:val="single"/>
          </w:rPr>
          <w:t>Hb 3.7–19</w:t>
        </w:r>
      </w:hyperlink>
      <w:r>
        <w:t xml:space="preserve">). Ao longo dos 40 anos de experiência no deserto, o povo endureceu seus corações e se rebelou contra Deus. Em resposta, Deus foi provocado por sua teimosia e jurou que aqueles que pecaram nunca entrariam no descanso que ele iria proporcionar (vv. </w:t>
      </w:r>
      <w:hyperlink r:id="rId10415">
        <w:r>
          <w:rPr>
            <w:color w:val="0000EE"/>
            <w:u w:val="single"/>
          </w:rPr>
          <w:t>10–11,18</w:t>
        </w:r>
      </w:hyperlink>
      <w:r>
        <w:t xml:space="preserve">). Assim, o escritor argumenta que se a desobediência a Deus sob Moisés teve consequências sérias, abandonar Cristo será muito mais perigoso. Portanto, os cristãos vacilantes são instados a vigiar para que, devido a um coração mau e incrédulo, não se afastem do Deus vivo (v. </w:t>
      </w:r>
      <w:hyperlink r:id="rId874">
        <w:r>
          <w:rPr>
            <w:color w:val="0000EE"/>
            <w:u w:val="single"/>
          </w:rPr>
          <w:t>12</w:t>
        </w:r>
      </w:hyperlink>
      <w:r>
        <w:t xml:space="preserve">). Nada menos que uma persistência firme levará à conquista do objetivo celestial (v. </w:t>
      </w:r>
      <w:hyperlink r:id="rId850">
        <w:r>
          <w:rPr>
            <w:color w:val="0000EE"/>
            <w:u w:val="single"/>
          </w:rPr>
          <w:t>14</w:t>
        </w:r>
      </w:hyperlink>
      <w:r>
        <w:t>).</w:t>
      </w:r>
    </w:p>
    <w:p>
      <w:r/>
      <w:r>
        <w:t>Josué também foi considerado um grande líder de Israel. No entanto, devido à desobediência, o povo sob a liderança de Josué não conseguiu entrar no descanso que Deus havia planejado. Esse descanso mencionado corresponde ao descanso sabático de Deus (</w:t>
      </w:r>
      <w:hyperlink r:id="rId10416">
        <w:r>
          <w:rPr>
            <w:color w:val="0000EE"/>
            <w:u w:val="single"/>
          </w:rPr>
          <w:t>4.3–4</w:t>
        </w:r>
      </w:hyperlink>
      <w:r>
        <w:t xml:space="preserve">), e é um conceito intimamente relacionado à salvação. É uma realidade espiritual alcançada ao nos afastarmos de nossas próprias obras vazias e confiarmos na obra concluída de Cristo (v. </w:t>
      </w:r>
      <w:hyperlink r:id="rId10417">
        <w:r>
          <w:rPr>
            <w:color w:val="0000EE"/>
            <w:u w:val="single"/>
          </w:rPr>
          <w:t>10</w:t>
        </w:r>
      </w:hyperlink>
      <w:r>
        <w:t xml:space="preserve">). O autor lembra aos leitores que “Assim ainda fica para o povo de Deus um descanso, como o descanso de Deus no sétimo dia” (v. </w:t>
      </w:r>
      <w:hyperlink r:id="rId10418">
        <w:r>
          <w:rPr>
            <w:color w:val="0000EE"/>
            <w:u w:val="single"/>
          </w:rPr>
          <w:t>9</w:t>
        </w:r>
      </w:hyperlink>
      <w:r>
        <w:t xml:space="preserve">, NTLH), um que somente Cristo pode proporcionar. Os cristãos não apenas se beneficiam desse descanso sabático na era presente, mas também antecipam sua plena realização na era vindoura. Um dos principais meios de garantir a entrada no descanso sabático da salvação é a Palavra de Deus (v. </w:t>
      </w:r>
      <w:hyperlink r:id="rId942">
        <w:r>
          <w:rPr>
            <w:color w:val="0000EE"/>
            <w:u w:val="single"/>
          </w:rPr>
          <w:t>12</w:t>
        </w:r>
      </w:hyperlink>
      <w:r>
        <w:t>). A Palavra viva e poderosa penetra nas profundezas mais íntimas da alma, revela nossa condição empobrecida e fortalece o coração confiante.</w:t>
      </w:r>
    </w:p>
    <w:p>
      <w:pPr>
        <w:pStyle w:val="Heading4"/>
      </w:pPr>
      <w:r>
        <w:t>A superioridade do sacerdócio do Filho (</w:t>
      </w:r>
      <w:hyperlink r:id="rId10419">
        <w:r>
          <w:rPr>
            <w:color w:val="0000EE"/>
            <w:u w:val="single"/>
          </w:rPr>
          <w:t>4.14–7.28</w:t>
        </w:r>
      </w:hyperlink>
      <w:r>
        <w:t>)</w:t>
      </w:r>
    </w:p>
    <w:p>
      <w:r/>
      <w:r>
        <w:t>Quase metade de Hebreus é dedicada ao sacerdócio de Jesus Cristo. O autor se esforça muito para demonstrar que o reverenciado sistema sacerdotal aarônico foi substituído pelo Sumo Sacerdote “na linha de Melquisedeque” (</w:t>
      </w:r>
      <w:hyperlink r:id="rId10420">
        <w:r>
          <w:rPr>
            <w:color w:val="0000EE"/>
            <w:u w:val="single"/>
          </w:rPr>
          <w:t>5.6</w:t>
        </w:r>
      </w:hyperlink>
      <w:r>
        <w:t xml:space="preserve">; </w:t>
      </w:r>
      <w:hyperlink r:id="rId2680">
        <w:r>
          <w:rPr>
            <w:color w:val="0000EE"/>
            <w:u w:val="single"/>
          </w:rPr>
          <w:t>6.20</w:t>
        </w:r>
      </w:hyperlink>
      <w:r>
        <w:t xml:space="preserve">; </w:t>
      </w:r>
      <w:hyperlink r:id="rId10421">
        <w:r>
          <w:rPr>
            <w:color w:val="0000EE"/>
            <w:u w:val="single"/>
          </w:rPr>
          <w:t>7.11</w:t>
        </w:r>
      </w:hyperlink>
      <w:r>
        <w:t>). Este tema central já havia sido antecipado anteriormente quando Cristo foi referido como “nosso misericordioso e fiel Sumo Sacerdote diante de Deus” que fez expiação pelos pecados (</w:t>
      </w:r>
      <w:hyperlink r:id="rId2685">
        <w:r>
          <w:rPr>
            <w:color w:val="0000EE"/>
            <w:u w:val="single"/>
          </w:rPr>
          <w:t>2.17</w:t>
        </w:r>
      </w:hyperlink>
      <w:r>
        <w:t>).</w:t>
      </w:r>
    </w:p>
    <w:p>
      <w:r/>
      <w:r>
        <w:t>Hebreus afirma que o sacerdócio de Jesus é a base definitiva da confiança dos crentes (</w:t>
      </w:r>
      <w:hyperlink r:id="rId2687">
        <w:r>
          <w:rPr>
            <w:color w:val="0000EE"/>
            <w:u w:val="single"/>
          </w:rPr>
          <w:t>4.14–16</w:t>
        </w:r>
      </w:hyperlink>
      <w:r>
        <w:t xml:space="preserve">). Em três aspectos, Jesus supera a antiga ordem sacerdotal legal. Primeiro, ele é um sumo sacerdote </w:t>
      </w:r>
      <w:r>
        <w:rPr>
          <w:i/>
        </w:rPr>
        <w:t>exaltado</w:t>
      </w:r>
      <w:r>
        <w:t xml:space="preserve"> (v. </w:t>
      </w:r>
      <w:hyperlink r:id="rId2679">
        <w:r>
          <w:rPr>
            <w:color w:val="0000EE"/>
            <w:u w:val="single"/>
          </w:rPr>
          <w:t>14</w:t>
        </w:r>
      </w:hyperlink>
      <w:r>
        <w:t xml:space="preserve">). O sumo sacerdote judeu subia ao monte para entrar no santuário do templo. Mas Jesus, nosso grande sumo sacerdote, ascendeu ao próprio céu e entrou no santuário nas alturas. Ele ministra não em um tabernáculo terrestre, mas na própria presença de Deus. Segundo, Jesus é um sumo sacerdote </w:t>
      </w:r>
      <w:r>
        <w:rPr>
          <w:i/>
        </w:rPr>
        <w:t>empático</w:t>
      </w:r>
      <w:r>
        <w:t xml:space="preserve"> (v. </w:t>
      </w:r>
      <w:hyperlink r:id="rId3240">
        <w:r>
          <w:rPr>
            <w:color w:val="0000EE"/>
            <w:u w:val="single"/>
          </w:rPr>
          <w:t>15</w:t>
        </w:r>
      </w:hyperlink>
      <w:r>
        <w:t xml:space="preserve">a). Totalmente Deus e totalmente homem, Jesus sofre junto com seu povo em suas provações e aflições. Da perspectiva do céu, ele sabe plenamente o que seu povo é chamado a suportar. Ele "sente" nossas dores, e o faz perfeitamente. Finalmente, Jesus é um sumo sacerdote </w:t>
      </w:r>
      <w:r>
        <w:rPr>
          <w:i/>
        </w:rPr>
        <w:t>sem pecado</w:t>
      </w:r>
      <w:r>
        <w:t xml:space="preserve"> (v. </w:t>
      </w:r>
      <w:hyperlink r:id="rId3240">
        <w:r>
          <w:rPr>
            <w:color w:val="0000EE"/>
            <w:u w:val="single"/>
          </w:rPr>
          <w:t>15</w:t>
        </w:r>
      </w:hyperlink>
      <w:r>
        <w:t>b). Dia após dia (</w:t>
      </w:r>
      <w:hyperlink r:id="rId872">
        <w:r>
          <w:rPr>
            <w:color w:val="0000EE"/>
            <w:u w:val="single"/>
          </w:rPr>
          <w:t>7.27</w:t>
        </w:r>
      </w:hyperlink>
      <w:r>
        <w:t xml:space="preserve">), ano após ano, os sacerdotes levíticos eram obrigados a trazer sacrifícios por seus próprios pecados. No entanto, Jesus não tinha pecado que precisasse ser purificado, pois “Ele é perfeito e não tem nenhum pecado ou falha” (v. </w:t>
      </w:r>
      <w:hyperlink r:id="rId6869">
        <w:r>
          <w:rPr>
            <w:color w:val="0000EE"/>
            <w:u w:val="single"/>
          </w:rPr>
          <w:t>26</w:t>
        </w:r>
      </w:hyperlink>
      <w:r>
        <w:t>, NTLH). Em vista das perfeições sacerdotais de Jesus, os cristãos fortemente tentados são instados a vir ao trono da graça para receber misericórdia e encontrar graça para ajudar em tempos de necessidade (</w:t>
      </w:r>
      <w:hyperlink r:id="rId10143">
        <w:r>
          <w:rPr>
            <w:color w:val="0000EE"/>
            <w:u w:val="single"/>
          </w:rPr>
          <w:t>4.16</w:t>
        </w:r>
      </w:hyperlink>
      <w:r>
        <w:t>).</w:t>
      </w:r>
    </w:p>
    <w:p>
      <w:r/>
      <w:r>
        <w:t>Para aqueles que não estão convencidos de que Jesus era de fato um sacerdote legítimo, dois pré-requisitos para o sacerdócio são detalhados. Primeiro, se o sumo sacerdote deve representar a humanidade perante Deus, ele deve ser escolhido dentre os homens (</w:t>
      </w:r>
      <w:hyperlink r:id="rId10422">
        <w:r>
          <w:rPr>
            <w:color w:val="0000EE"/>
            <w:u w:val="single"/>
          </w:rPr>
          <w:t>5.1–2</w:t>
        </w:r>
      </w:hyperlink>
      <w:r>
        <w:t xml:space="preserve">). E segundo, ele deve ser chamado por Deus para o ofício de sumo sacerdote, como foi Arão (v. </w:t>
      </w:r>
      <w:hyperlink r:id="rId10423">
        <w:r>
          <w:rPr>
            <w:color w:val="0000EE"/>
            <w:u w:val="single"/>
          </w:rPr>
          <w:t>4</w:t>
        </w:r>
      </w:hyperlink>
      <w:r>
        <w:t xml:space="preserve">). Cristo satisfez plenamente essas qualificações. Através dos </w:t>
      </w:r>
      <w:hyperlink r:id="rId2007">
        <w:r>
          <w:rPr>
            <w:color w:val="0000EE"/>
            <w:u w:val="single"/>
          </w:rPr>
          <w:t>Salmos 2.7</w:t>
        </w:r>
      </w:hyperlink>
      <w:r>
        <w:t xml:space="preserve"> e </w:t>
      </w:r>
      <w:hyperlink r:id="rId6824">
        <w:r>
          <w:rPr>
            <w:color w:val="0000EE"/>
            <w:u w:val="single"/>
          </w:rPr>
          <w:t>110.4</w:t>
        </w:r>
      </w:hyperlink>
      <w:r>
        <w:t xml:space="preserve"> é mostrado que Jesus não assumiu esse ofício por si mesmo, mas foi nomeado por Deus (</w:t>
      </w:r>
      <w:hyperlink r:id="rId10424">
        <w:r>
          <w:rPr>
            <w:color w:val="0000EE"/>
            <w:u w:val="single"/>
          </w:rPr>
          <w:t>Hb 5.5–6</w:t>
        </w:r>
      </w:hyperlink>
      <w:r>
        <w:t xml:space="preserve">). Além disso, pela obediência que ele teve que aprender (v. </w:t>
      </w:r>
      <w:hyperlink r:id="rId10425">
        <w:r>
          <w:rPr>
            <w:color w:val="0000EE"/>
            <w:u w:val="single"/>
          </w:rPr>
          <w:t>8</w:t>
        </w:r>
      </w:hyperlink>
      <w:r>
        <w:t xml:space="preserve">) e pela agonia da experiência no Getsêmani (v. </w:t>
      </w:r>
      <w:hyperlink r:id="rId7030">
        <w:r>
          <w:rPr>
            <w:color w:val="0000EE"/>
            <w:u w:val="single"/>
          </w:rPr>
          <w:t>7</w:t>
        </w:r>
      </w:hyperlink>
      <w:r>
        <w:t xml:space="preserve">), fica claro que Jesus era em todos os aspectos um homem. No entanto, Hebreus deixa perfeitamente claro que Jesus não era um sacerdote da ordem de Arão, mas um sumo sacerdote na linhagem de Melquisedeque (v. </w:t>
      </w:r>
      <w:hyperlink r:id="rId10426">
        <w:r>
          <w:rPr>
            <w:color w:val="0000EE"/>
            <w:u w:val="single"/>
          </w:rPr>
          <w:t>10</w:t>
        </w:r>
      </w:hyperlink>
      <w:r>
        <w:t>).</w:t>
      </w:r>
    </w:p>
    <w:p>
      <w:r/>
      <w:r>
        <w:t>Após introduzir o tema de Cristo como um sumo sacerdote melquisedequiano, o escritor relembra que seus leitores não estavam prontos para um ensino tão avançado. Embora não fossem novos convertidos (</w:t>
      </w:r>
      <w:hyperlink r:id="rId5139">
        <w:r>
          <w:rPr>
            <w:color w:val="0000EE"/>
            <w:u w:val="single"/>
          </w:rPr>
          <w:t>5.12</w:t>
        </w:r>
      </w:hyperlink>
      <w:r>
        <w:t>), seus amigos permaneceram espiritualmente imaturos e lentos. Portanto, o escritor lança o desafio de avançar para a maturidade cristã, para estarem prontos para o alimento sólido do ensino avançado.</w:t>
      </w:r>
    </w:p>
    <w:p>
      <w:r/>
      <w:r>
        <w:t xml:space="preserve">Em sua digressão, o escritor adverte não apenas contra a imaturidade espiritual, mas também contra a "apostasia". A questão que agora surge é se o ensino sobre apostasia do autor em </w:t>
      </w:r>
      <w:hyperlink r:id="rId10427">
        <w:r>
          <w:rPr>
            <w:color w:val="0000EE"/>
            <w:u w:val="single"/>
          </w:rPr>
          <w:t>Hebreus 6.4–8</w:t>
        </w:r>
      </w:hyperlink>
      <w:r>
        <w:t xml:space="preserve"> e </w:t>
      </w:r>
      <w:hyperlink r:id="rId10390">
        <w:r>
          <w:rPr>
            <w:color w:val="0000EE"/>
            <w:u w:val="single"/>
          </w:rPr>
          <w:t>10.26–31</w:t>
        </w:r>
      </w:hyperlink>
      <w:r>
        <w:t xml:space="preserve"> contradiz a doutrina do NT sobre a perseverança dos santos. Sem dúvida, não contradiz. Alguns estudiosos sustentam que aqueles a quem se dirigia não eram verdadeiros cristãos, portanto a questão não é de apostasia. É possível, como Judas Iscariotes ou Simão o Mágico (</w:t>
      </w:r>
      <w:hyperlink r:id="rId10428">
        <w:r>
          <w:rPr>
            <w:color w:val="0000EE"/>
            <w:u w:val="single"/>
          </w:rPr>
          <w:t>At 8.9–24</w:t>
        </w:r>
      </w:hyperlink>
      <w:r>
        <w:t>), possuir considerável conhecimento do evangelho e não alcançar um compromisso pessoal. Mas o escritor deixa bastante claro que, no caso de seus destinatários, ele está convencido do contrário (</w:t>
      </w:r>
      <w:hyperlink r:id="rId10429">
        <w:r>
          <w:rPr>
            <w:color w:val="0000EE"/>
            <w:u w:val="single"/>
          </w:rPr>
          <w:t>Hb 6.9</w:t>
        </w:r>
      </w:hyperlink>
      <w:r>
        <w:t>). A visão mais razoável é que, nessas duas passagens exortativas, o escritor apresenta um argumento hipotético alertando seus amigos sobre a extrema seriedade de retornar ao judaísmo. Ou seja, se uma queda ocorresse, a renovação seria impossível a menos que Cristo morresse uma segunda vez. O escritor resume o ponto dessas passagens difíceis com as palavras "Terrível coisa é cair nas mãos do Deus vivo!" (</w:t>
      </w:r>
      <w:hyperlink r:id="rId10430">
        <w:r>
          <w:rPr>
            <w:color w:val="0000EE"/>
            <w:u w:val="single"/>
          </w:rPr>
          <w:t>10.31</w:t>
        </w:r>
      </w:hyperlink>
      <w:r>
        <w:t>, NTLH). No entanto, os seguidores de Cristo podem confiantemente agarrar-se às promessas de Deus, confirmadas por juramento solene, para vê-los através de suas provações (</w:t>
      </w:r>
      <w:hyperlink r:id="rId10431">
        <w:r>
          <w:rPr>
            <w:color w:val="0000EE"/>
            <w:u w:val="single"/>
          </w:rPr>
          <w:t>6.13–18</w:t>
        </w:r>
      </w:hyperlink>
      <w:r>
        <w:t>). Deus é totalmente digno de confiança em manter o crente firme.</w:t>
      </w:r>
    </w:p>
    <w:p>
      <w:r/>
      <w:hyperlink r:id="rId7424">
        <w:r>
          <w:rPr>
            <w:color w:val="0000EE"/>
            <w:u w:val="single"/>
          </w:rPr>
          <w:t>Hebreus 7</w:t>
        </w:r>
      </w:hyperlink>
      <w:r>
        <w:t xml:space="preserve"> apresenta um argumento complexo para a superioridade do sacerdócio de Cristo sobre a antiga ordem legal. Melquisedeque, o antigo sacerdote-rei de Salém (</w:t>
      </w:r>
      <w:hyperlink r:id="rId10432">
        <w:r>
          <w:rPr>
            <w:color w:val="0000EE"/>
            <w:u w:val="single"/>
          </w:rPr>
          <w:t>Gn 14.18–20</w:t>
        </w:r>
      </w:hyperlink>
      <w:r>
        <w:t>), é considerado um tipo primordial de Cristo. Ele é “rei de justiça” e “rei de paz” (</w:t>
      </w:r>
      <w:hyperlink r:id="rId10433">
        <w:r>
          <w:rPr>
            <w:color w:val="0000EE"/>
            <w:u w:val="single"/>
          </w:rPr>
          <w:t>Hb 7.2</w:t>
        </w:r>
      </w:hyperlink>
      <w:r>
        <w:t xml:space="preserve">). O solene sacerdote de Salém possui figurativamente o que Cristo possui de fato: nem mãe nem pai, nem início nem fim de vida (v. </w:t>
      </w:r>
      <w:hyperlink r:id="rId9398">
        <w:r>
          <w:rPr>
            <w:color w:val="0000EE"/>
            <w:u w:val="single"/>
          </w:rPr>
          <w:t>3</w:t>
        </w:r>
      </w:hyperlink>
      <w:r>
        <w:t xml:space="preserve">). Melquisedeque é mostrado como superior a Abraão em três aspectos: (1) Melquisedeque abençoou o patriarca (vv. </w:t>
      </w:r>
      <w:hyperlink r:id="rId10434">
        <w:r>
          <w:rPr>
            <w:color w:val="0000EE"/>
            <w:u w:val="single"/>
          </w:rPr>
          <w:t>1,7</w:t>
        </w:r>
      </w:hyperlink>
      <w:r>
        <w:t xml:space="preserve">); (2) ele aceitou dízimos de Abraão (vv. </w:t>
      </w:r>
      <w:hyperlink r:id="rId10435">
        <w:r>
          <w:rPr>
            <w:color w:val="0000EE"/>
            <w:u w:val="single"/>
          </w:rPr>
          <w:t>2–6</w:t>
        </w:r>
      </w:hyperlink>
      <w:r>
        <w:t xml:space="preserve">); e (3) Melquisedeque continua vivo, já que o AT em nenhum lugar menciona sua morte (v. </w:t>
      </w:r>
      <w:hyperlink r:id="rId10436">
        <w:r>
          <w:rPr>
            <w:color w:val="0000EE"/>
            <w:u w:val="single"/>
          </w:rPr>
          <w:t>8</w:t>
        </w:r>
      </w:hyperlink>
      <w:r>
        <w:t xml:space="preserve">). Segue-se que, uma vez que Levi estava nos lombos de Abraão como descendente (v. </w:t>
      </w:r>
      <w:hyperlink r:id="rId10437">
        <w:r>
          <w:rPr>
            <w:color w:val="0000EE"/>
            <w:u w:val="single"/>
          </w:rPr>
          <w:t>10</w:t>
        </w:r>
      </w:hyperlink>
      <w:r>
        <w:t xml:space="preserve">), Melquisedeque é superior aos sacerdotes levíticos. E na medida em que Cristo é um sacerdote à semelhança de Melquisedeque (v. </w:t>
      </w:r>
      <w:hyperlink r:id="rId10438">
        <w:r>
          <w:rPr>
            <w:color w:val="0000EE"/>
            <w:u w:val="single"/>
          </w:rPr>
          <w:t>15</w:t>
        </w:r>
      </w:hyperlink>
      <w:r>
        <w:t>), conclui-se que o Filho de Deus é mais excelente do que o antigo sacerdócio legal.</w:t>
      </w:r>
    </w:p>
    <w:p>
      <w:r/>
      <w:r>
        <w:t>O resultado é que o antigo sacerdócio levítico foi substituído pelo sacerdócio de Cristo. O fim da antiga ordem era inevitável, pois seus sacrifícios repetitivos de animais nunca poderiam alcançar a perfeição espiritual (</w:t>
      </w:r>
      <w:hyperlink r:id="rId10421">
        <w:r>
          <w:rPr>
            <w:color w:val="0000EE"/>
            <w:u w:val="single"/>
          </w:rPr>
          <w:t>7.11</w:t>
        </w:r>
      </w:hyperlink>
      <w:r>
        <w:t xml:space="preserve">). Era um sistema caracterizado por fraqueza e inutilidade (v. </w:t>
      </w:r>
      <w:hyperlink r:id="rId10439">
        <w:r>
          <w:rPr>
            <w:color w:val="0000EE"/>
            <w:u w:val="single"/>
          </w:rPr>
          <w:t>18</w:t>
        </w:r>
      </w:hyperlink>
      <w:r>
        <w:t xml:space="preserve">). Em contraste, o sacerdócio de Cristo é indestrutível, eterno, ininterrupto, eficaz, final e perfeito (vv. </w:t>
      </w:r>
      <w:hyperlink r:id="rId10440">
        <w:r>
          <w:rPr>
            <w:color w:val="0000EE"/>
            <w:u w:val="single"/>
          </w:rPr>
          <w:t>16,21,24–27</w:t>
        </w:r>
      </w:hyperlink>
      <w:r>
        <w:t>). O perdão e a reconciliação são possíveis apenas através de Cristo, nosso grande Sumo Sacerdote.</w:t>
      </w:r>
    </w:p>
    <w:p>
      <w:pPr>
        <w:pStyle w:val="Heading4"/>
      </w:pPr>
      <w:r>
        <w:t>A superioridade da obra sacerdotal do Filho (</w:t>
      </w:r>
      <w:hyperlink r:id="rId10441">
        <w:r>
          <w:rPr>
            <w:color w:val="0000EE"/>
            <w:u w:val="single"/>
          </w:rPr>
          <w:t>8.1–10.39</w:t>
        </w:r>
      </w:hyperlink>
      <w:r>
        <w:t>)</w:t>
      </w:r>
    </w:p>
    <w:p>
      <w:r/>
      <w:r>
        <w:t>Como o ofício sacerdotal de Cristo supera em muito a antiga ordem, segue-se que seu ministério sacerdotal é superior a tudo o que veio antes. O tema de Cristo como sumo sacerdote em um santuário melhor é introduzido (</w:t>
      </w:r>
      <w:hyperlink r:id="rId4771">
        <w:r>
          <w:rPr>
            <w:color w:val="0000EE"/>
            <w:u w:val="single"/>
          </w:rPr>
          <w:t>8.1–5</w:t>
        </w:r>
      </w:hyperlink>
      <w:r>
        <w:t xml:space="preserve">). O autor utiliza a distinção de Platão entre a forma ideal no céu e a cópia imperfeita na terra para argumentar que o santuário e os sacrifícios levíticos são meras sombras das realidades celestiais: (1) Cristo ministra na verdadeira tenda que é o santuário celestial (vv. </w:t>
      </w:r>
      <w:hyperlink r:id="rId10442">
        <w:r>
          <w:rPr>
            <w:color w:val="0000EE"/>
            <w:u w:val="single"/>
          </w:rPr>
          <w:t>2,5</w:t>
        </w:r>
      </w:hyperlink>
      <w:r>
        <w:t xml:space="preserve">); (2) ele realiza seu serviço de sumo sacerdote na própria presença do Pai, o que resulta em um ministério muito mais eficaz (vv. </w:t>
      </w:r>
      <w:hyperlink r:id="rId10443">
        <w:r>
          <w:rPr>
            <w:color w:val="0000EE"/>
            <w:u w:val="single"/>
          </w:rPr>
          <w:t>1,6</w:t>
        </w:r>
      </w:hyperlink>
      <w:r>
        <w:t xml:space="preserve">); e (3) sua oblação na cruz foi o sacrifício supremo (v. </w:t>
      </w:r>
      <w:hyperlink r:id="rId10444">
        <w:r>
          <w:rPr>
            <w:color w:val="0000EE"/>
            <w:u w:val="single"/>
          </w:rPr>
          <w:t>3</w:t>
        </w:r>
      </w:hyperlink>
      <w:r>
        <w:t>). Quão irracional é que seus leitores cristãos voltem ao antigo sistema sacerdotal judaico!</w:t>
      </w:r>
    </w:p>
    <w:p>
      <w:r/>
      <w:r>
        <w:t>Cristo é o ministro de uma nova e melhor aliança (</w:t>
      </w:r>
      <w:hyperlink r:id="rId10445">
        <w:r>
          <w:rPr>
            <w:color w:val="0000EE"/>
            <w:u w:val="single"/>
          </w:rPr>
          <w:t>8.6–13</w:t>
        </w:r>
      </w:hyperlink>
      <w:r>
        <w:t xml:space="preserve">). A antiga aliança estabelecida por Deus com os antepassados da nação não deveria ser desprezada; no entanto, ela se tornou ineficaz e obsoleta (v. </w:t>
      </w:r>
      <w:hyperlink r:id="rId880">
        <w:r>
          <w:rPr>
            <w:color w:val="0000EE"/>
            <w:u w:val="single"/>
          </w:rPr>
          <w:t>13</w:t>
        </w:r>
      </w:hyperlink>
      <w:r>
        <w:t>). De fato, o profeta Jeremias (</w:t>
      </w:r>
      <w:hyperlink r:id="rId833">
        <w:r>
          <w:rPr>
            <w:color w:val="0000EE"/>
            <w:u w:val="single"/>
          </w:rPr>
          <w:t>Jr 31.31–34</w:t>
        </w:r>
      </w:hyperlink>
      <w:r>
        <w:t>) previu a nova aliança que Deus inauguraria com seu povo. Esta nova aliança selada por Cristo envolve (1) o trabalho imediato do Espírito Santo na mente e no coração (</w:t>
      </w:r>
      <w:hyperlink r:id="rId5728">
        <w:r>
          <w:rPr>
            <w:color w:val="0000EE"/>
            <w:u w:val="single"/>
          </w:rPr>
          <w:t>Hb 8.10</w:t>
        </w:r>
      </w:hyperlink>
      <w:r>
        <w:t xml:space="preserve">); (2) um conhecimento pessoal e íntimo de Deus (v. </w:t>
      </w:r>
      <w:hyperlink r:id="rId10446">
        <w:r>
          <w:rPr>
            <w:color w:val="0000EE"/>
            <w:u w:val="single"/>
          </w:rPr>
          <w:t>11</w:t>
        </w:r>
      </w:hyperlink>
      <w:r>
        <w:t xml:space="preserve">); e (3) a plena absolvição dos pecados (v. </w:t>
      </w:r>
      <w:hyperlink r:id="rId10447">
        <w:r>
          <w:rPr>
            <w:color w:val="0000EE"/>
            <w:u w:val="single"/>
          </w:rPr>
          <w:t>12</w:t>
        </w:r>
      </w:hyperlink>
      <w:r>
        <w:t>). Esta nova e melhor aliança foi estabelecida sobre a obra de Cristo, o grande Sumo Sacerdote.</w:t>
      </w:r>
    </w:p>
    <w:p>
      <w:r/>
      <w:r>
        <w:t xml:space="preserve">O Capítulo </w:t>
      </w:r>
      <w:hyperlink r:id="rId10448">
        <w:r>
          <w:rPr>
            <w:color w:val="0000EE"/>
            <w:u w:val="single"/>
          </w:rPr>
          <w:t>9</w:t>
        </w:r>
      </w:hyperlink>
      <w:r>
        <w:t xml:space="preserve"> oferece uma comparação detalhada da eficácia do serviço sacerdotal sob os antigos e novos pactos. Os sacerdotes levíticos ministravam em um santuário material na terra (vv. </w:t>
      </w:r>
      <w:hyperlink r:id="rId10449">
        <w:r>
          <w:rPr>
            <w:color w:val="0000EE"/>
            <w:u w:val="single"/>
          </w:rPr>
          <w:t>1–5</w:t>
        </w:r>
      </w:hyperlink>
      <w:r>
        <w:t xml:space="preserve">). As características do tabernáculo e seus utensílios são descritas para destacar sua obsolescência. Mais importante, no entanto, é o caráter do ritual sacrificial realizado no santuário terrestre. Os sacerdotes judeus em seu serviço diário não tinham permissão para entrar no Santo dos Santos, que continha a Arca da Aliança e o propiciatório — o lugar de expiação dos pecados (v. </w:t>
      </w:r>
      <w:hyperlink r:id="rId10450">
        <w:r>
          <w:rPr>
            <w:color w:val="0000EE"/>
            <w:u w:val="single"/>
          </w:rPr>
          <w:t>6</w:t>
        </w:r>
      </w:hyperlink>
      <w:r>
        <w:t xml:space="preserve">). Somente o sumo sacerdote podia entrar no Santo dos Santos, e então apenas uma vez por ano no Dia da Expiação, e somente após sacrificar por seus próprios pecados (v. </w:t>
      </w:r>
      <w:hyperlink r:id="rId10451">
        <w:r>
          <w:rPr>
            <w:color w:val="0000EE"/>
            <w:u w:val="single"/>
          </w:rPr>
          <w:t>7</w:t>
        </w:r>
      </w:hyperlink>
      <w:r>
        <w:t xml:space="preserve">). A inacessibilidade do Santo dos Santos significava que o acesso à presença de Deus não havia sido aberto. A presença do véu simbolizava que o povo não tinha caminho para o trono de Deus, os sacerdotes não tinham caminho, e o sumo sacerdote tinha um caminho limitado e apenas uma vez por ano. Além disso, os sacrifícios trazidos pelos sacerdotes judeus não podiam purificar a consciência, mas apenas lidavam com a purificação ritual externa (vv. </w:t>
      </w:r>
      <w:hyperlink r:id="rId10452">
        <w:r>
          <w:rPr>
            <w:color w:val="0000EE"/>
            <w:u w:val="single"/>
          </w:rPr>
          <w:t>9–10</w:t>
        </w:r>
      </w:hyperlink>
      <w:r>
        <w:t xml:space="preserve">). Um sacrifício verdadeiramente eficaz deve aguardar “o tempo da reforma” (v. </w:t>
      </w:r>
      <w:hyperlink r:id="rId10453">
        <w:r>
          <w:rPr>
            <w:color w:val="0000EE"/>
            <w:u w:val="single"/>
          </w:rPr>
          <w:t>10</w:t>
        </w:r>
      </w:hyperlink>
      <w:r>
        <w:t>).</w:t>
      </w:r>
    </w:p>
    <w:p>
      <w:r/>
      <w:r>
        <w:t>O ministério sacerdotal de Cristo é mostrado como muito mais eficaz. Primeiro, o Sumo Sacerdote cristão trouxe um sacrifício melhor (</w:t>
      </w:r>
      <w:hyperlink r:id="rId876">
        <w:r>
          <w:rPr>
            <w:color w:val="0000EE"/>
            <w:u w:val="single"/>
          </w:rPr>
          <w:t>9.11–14</w:t>
        </w:r>
      </w:hyperlink>
      <w:r>
        <w:t xml:space="preserve">), e aqui chegamos ao coração da mensagem de Hebreus. Utilizando a imagem do tabernáculo, o autor demonstra que Cristo, nosso Sumo Sacerdote, realizou o que os sacerdotes judeus não conseguiram fazer. Ele entrou no Santo dos Santos celestial, não repetidamente, mas </w:t>
      </w:r>
      <w:r>
        <w:rPr>
          <w:i/>
        </w:rPr>
        <w:t>uma vez</w:t>
      </w:r>
      <w:r>
        <w:t xml:space="preserve"> por todas, efetivando assim uma redenção completa (v. </w:t>
      </w:r>
      <w:hyperlink r:id="rId2682">
        <w:r>
          <w:rPr>
            <w:color w:val="0000EE"/>
            <w:u w:val="single"/>
          </w:rPr>
          <w:t>12</w:t>
        </w:r>
      </w:hyperlink>
      <w:r>
        <w:t xml:space="preserve">). Cristo trouxe ao altar, não o sangue de touros e bodes, mas o sangue de sua própria vida. O Senhor não apenas entregou um corpo material, mas apresentou-se a Deus através do Espírito eterno (v. </w:t>
      </w:r>
      <w:hyperlink r:id="rId883">
        <w:r>
          <w:rPr>
            <w:color w:val="0000EE"/>
            <w:u w:val="single"/>
          </w:rPr>
          <w:t>14</w:t>
        </w:r>
      </w:hyperlink>
      <w:r>
        <w:t>). O melhor sacrifício de Cristo, portanto, vai além da purificação da carne para a purificação da consciência contaminada.</w:t>
      </w:r>
    </w:p>
    <w:p>
      <w:r/>
      <w:r>
        <w:t>Em segundo lugar, Cristo, através de sua morte, instituiu uma aliança melhor (</w:t>
      </w:r>
      <w:hyperlink r:id="rId10454">
        <w:r>
          <w:rPr>
            <w:color w:val="0000EE"/>
            <w:u w:val="single"/>
          </w:rPr>
          <w:t>9.15–23</w:t>
        </w:r>
      </w:hyperlink>
      <w:r>
        <w:t xml:space="preserve">). O ensinamento de </w:t>
      </w:r>
      <w:hyperlink r:id="rId10445">
        <w:r>
          <w:rPr>
            <w:color w:val="0000EE"/>
            <w:u w:val="single"/>
          </w:rPr>
          <w:t>Hebreus 8.6–13</w:t>
        </w:r>
      </w:hyperlink>
      <w:r>
        <w:t xml:space="preserve"> é desenvolvido ainda mais. A antiga aliança foi selada com o sangue de bezerros e bodes (</w:t>
      </w:r>
      <w:hyperlink r:id="rId5598">
        <w:r>
          <w:rPr>
            <w:color w:val="0000EE"/>
            <w:u w:val="single"/>
          </w:rPr>
          <w:t>9.19</w:t>
        </w:r>
      </w:hyperlink>
      <w:r>
        <w:t xml:space="preserve">). Mas a nova aliança foi ratificada com o sangue de Cristo, o próprio Filho de Deus. A nova aliança, portanto, poderia realizar o que a antiga aliança apenas prenunciava — perdão e purificação dos pecados (v. </w:t>
      </w:r>
      <w:hyperlink r:id="rId8860">
        <w:r>
          <w:rPr>
            <w:color w:val="0000EE"/>
            <w:u w:val="single"/>
          </w:rPr>
          <w:t>22</w:t>
        </w:r>
      </w:hyperlink>
      <w:r>
        <w:t>).</w:t>
      </w:r>
    </w:p>
    <w:p>
      <w:r/>
      <w:r>
        <w:t>Terceiro, Cristo ministra em um tabernáculo melhor (</w:t>
      </w:r>
      <w:hyperlink r:id="rId10455">
        <w:r>
          <w:rPr>
            <w:color w:val="0000EE"/>
            <w:u w:val="single"/>
          </w:rPr>
          <w:t>9.24–28</w:t>
        </w:r>
      </w:hyperlink>
      <w:r>
        <w:t xml:space="preserve">). Nosso Senhor entrou, não em um santuário meramente terrestre, mas no lugar santo do céu, para nos representar (v. </w:t>
      </w:r>
      <w:hyperlink r:id="rId2681">
        <w:r>
          <w:rPr>
            <w:color w:val="0000EE"/>
            <w:u w:val="single"/>
          </w:rPr>
          <w:t>24</w:t>
        </w:r>
      </w:hyperlink>
      <w:r>
        <w:t xml:space="preserve">). O acesso ao trono não é limitado a um dia por ano, pois Ele está continuamente na presença do Pai. Também não é necessário que sacrifícios repetidos sejam feitos. O único sacrifício de Cristo na cruz conquistou o pecado de uma vez por todas (v. </w:t>
      </w:r>
      <w:hyperlink r:id="rId8056">
        <w:r>
          <w:rPr>
            <w:color w:val="0000EE"/>
            <w:u w:val="single"/>
          </w:rPr>
          <w:t>26</w:t>
        </w:r>
      </w:hyperlink>
      <w:r>
        <w:t>). Em suma, no que diz respeito ao santuário, à aliança e aos sacrifícios, o Sumo Sacerdote cristão é vastamente superior à antiga ordem judaica.</w:t>
      </w:r>
    </w:p>
    <w:p>
      <w:r/>
      <w:r>
        <w:t xml:space="preserve">Para enfatizar esses pontos cruciais, o autor no capítulo </w:t>
      </w:r>
      <w:hyperlink r:id="rId10456">
        <w:r>
          <w:rPr>
            <w:color w:val="0000EE"/>
            <w:u w:val="single"/>
          </w:rPr>
          <w:t>10</w:t>
        </w:r>
      </w:hyperlink>
      <w:r>
        <w:t xml:space="preserve"> expande o tema da absoluta finalidade do trabalho sacerdotal de Cristo. O argumento anterior sobre o caráter fútil dos sacrifícios levíticos (</w:t>
      </w:r>
      <w:hyperlink r:id="rId10457">
        <w:r>
          <w:rPr>
            <w:color w:val="0000EE"/>
            <w:u w:val="single"/>
          </w:rPr>
          <w:t>9.6–14</w:t>
        </w:r>
      </w:hyperlink>
      <w:r>
        <w:t>) é repetido para ênfase (</w:t>
      </w:r>
      <w:hyperlink r:id="rId10458">
        <w:r>
          <w:rPr>
            <w:color w:val="0000EE"/>
            <w:u w:val="single"/>
          </w:rPr>
          <w:t>10.1–4</w:t>
        </w:r>
      </w:hyperlink>
      <w:r>
        <w:t xml:space="preserve">). A legislação cerimonial mosaica exigia sacrifícios repetitivos, que nunca poderiam aperfeiçoar o adorador (v. </w:t>
      </w:r>
      <w:hyperlink r:id="rId10131">
        <w:r>
          <w:rPr>
            <w:color w:val="0000EE"/>
            <w:u w:val="single"/>
          </w:rPr>
          <w:t>1</w:t>
        </w:r>
      </w:hyperlink>
      <w:r>
        <w:t xml:space="preserve">). Em vez de purificar a vida de alguém, eles serviam apenas como um lembrete anual do pecado (v. </w:t>
      </w:r>
      <w:hyperlink r:id="rId849">
        <w:r>
          <w:rPr>
            <w:color w:val="0000EE"/>
            <w:u w:val="single"/>
          </w:rPr>
          <w:t>3</w:t>
        </w:r>
      </w:hyperlink>
      <w:r>
        <w:t>) até que Cristo viesse.</w:t>
      </w:r>
    </w:p>
    <w:p>
      <w:r/>
      <w:r>
        <w:t xml:space="preserve">O escritor encontra em </w:t>
      </w:r>
      <w:hyperlink r:id="rId10459">
        <w:r>
          <w:rPr>
            <w:color w:val="0000EE"/>
            <w:u w:val="single"/>
          </w:rPr>
          <w:t>Salmo 40.6–8</w:t>
        </w:r>
      </w:hyperlink>
      <w:r>
        <w:t xml:space="preserve"> uma previsão de que o eterno Cristo se tornaria homem com o propósito de oferecer a si mesmo como o sacrifício supremo pelo pecado (</w:t>
      </w:r>
      <w:hyperlink r:id="rId10460">
        <w:r>
          <w:rPr>
            <w:color w:val="0000EE"/>
            <w:u w:val="single"/>
          </w:rPr>
          <w:t>Hb 10.5–10</w:t>
        </w:r>
      </w:hyperlink>
      <w:r>
        <w:t xml:space="preserve">). Mais uma vez, o poder santificador da única auto-oblação de Cristo é enfatizado (v. </w:t>
      </w:r>
      <w:hyperlink r:id="rId5992">
        <w:r>
          <w:rPr>
            <w:color w:val="0000EE"/>
            <w:u w:val="single"/>
          </w:rPr>
          <w:t>10</w:t>
        </w:r>
      </w:hyperlink>
      <w:r>
        <w:t xml:space="preserve">). O contraste vívido é novamente traçado entre o ministério ineficaz dos sacerdotes judeus que permanecem de pé durante o ritual diário (v. </w:t>
      </w:r>
      <w:hyperlink r:id="rId10461">
        <w:r>
          <w:rPr>
            <w:color w:val="0000EE"/>
            <w:u w:val="single"/>
          </w:rPr>
          <w:t>11</w:t>
        </w:r>
      </w:hyperlink>
      <w:r>
        <w:t xml:space="preserve">), e o eficaz único sacrifício de Cristo, que agora está sentado à direita de Deus (v. </w:t>
      </w:r>
      <w:hyperlink r:id="rId874">
        <w:r>
          <w:rPr>
            <w:color w:val="0000EE"/>
            <w:u w:val="single"/>
          </w:rPr>
          <w:t>12</w:t>
        </w:r>
      </w:hyperlink>
      <w:r>
        <w:t xml:space="preserve">). Já que Jesus “porque, por meio de um único sacrifício, ele aperfeiçoou para sempre os que estão sendo santificados” (v. </w:t>
      </w:r>
      <w:hyperlink r:id="rId850">
        <w:r>
          <w:rPr>
            <w:color w:val="0000EE"/>
            <w:u w:val="single"/>
          </w:rPr>
          <w:t>14</w:t>
        </w:r>
      </w:hyperlink>
      <w:r>
        <w:t xml:space="preserve">, NTLH), nada pode ser acrescentado ao que o soberano sentado realizou (v. </w:t>
      </w:r>
      <w:hyperlink r:id="rId10462">
        <w:r>
          <w:rPr>
            <w:color w:val="0000EE"/>
            <w:u w:val="single"/>
          </w:rPr>
          <w:t>18</w:t>
        </w:r>
      </w:hyperlink>
      <w:r>
        <w:t>).</w:t>
      </w:r>
    </w:p>
    <w:p>
      <w:r/>
      <w:r>
        <w:t>Considerando a clara superioridade do ofício e obra sacerdotal de Cristo, os cristãos em dificuldade são exortados a se apropriar dos meios de graça disponíveis (</w:t>
      </w:r>
      <w:hyperlink r:id="rId10463">
        <w:r>
          <w:rPr>
            <w:color w:val="0000EE"/>
            <w:u w:val="single"/>
          </w:rPr>
          <w:t>10.19–39</w:t>
        </w:r>
      </w:hyperlink>
      <w:r>
        <w:t xml:space="preserve">). Em meio a provações e perseguições, eles devem lembrar que Cristo abriu efetivamente o caminho para Deus (vv. </w:t>
      </w:r>
      <w:hyperlink r:id="rId409">
        <w:r>
          <w:rPr>
            <w:color w:val="0000EE"/>
            <w:u w:val="single"/>
          </w:rPr>
          <w:t>19–20</w:t>
        </w:r>
      </w:hyperlink>
      <w:r>
        <w:t xml:space="preserve">). Eles são chamados a se aproximar de Deus com fé, com corações purificados pelo sacrifício de Cristo (v. </w:t>
      </w:r>
      <w:hyperlink r:id="rId3048">
        <w:r>
          <w:rPr>
            <w:color w:val="0000EE"/>
            <w:u w:val="single"/>
          </w:rPr>
          <w:t>22</w:t>
        </w:r>
      </w:hyperlink>
      <w:r>
        <w:t xml:space="preserve">). Aqueles tentados a retornar à religião legal devem manter-se firmes e apoiar uns aos outros em amor (vv. </w:t>
      </w:r>
      <w:hyperlink r:id="rId10464">
        <w:r>
          <w:rPr>
            <w:color w:val="0000EE"/>
            <w:u w:val="single"/>
          </w:rPr>
          <w:t>23–24</w:t>
        </w:r>
      </w:hyperlink>
      <w:r>
        <w:t xml:space="preserve">). Os meios de graça proporcionados pela adoração coletiva não devem ser negligenciados (v. </w:t>
      </w:r>
      <w:hyperlink r:id="rId10387">
        <w:r>
          <w:rPr>
            <w:color w:val="0000EE"/>
            <w:u w:val="single"/>
          </w:rPr>
          <w:t>25</w:t>
        </w:r>
      </w:hyperlink>
      <w:r>
        <w:t xml:space="preserve">). Em resumo, os cristãos judeus vacilantes são convocados a uma renovada resistência e fidelidade ao seu Senhor (vv. </w:t>
      </w:r>
      <w:hyperlink r:id="rId10390">
        <w:r>
          <w:rPr>
            <w:color w:val="0000EE"/>
            <w:u w:val="single"/>
          </w:rPr>
          <w:t>26–31</w:t>
        </w:r>
      </w:hyperlink>
      <w:r>
        <w:t>). O que Deus prometeu ao seu povo, ele certamente cumprirá.</w:t>
      </w:r>
    </w:p>
    <w:p>
      <w:pPr>
        <w:pStyle w:val="Heading4"/>
      </w:pPr>
      <w:r>
        <w:t>A superioridade da vida de fé (</w:t>
      </w:r>
      <w:hyperlink r:id="rId10465">
        <w:r>
          <w:rPr>
            <w:color w:val="0000EE"/>
            <w:u w:val="single"/>
          </w:rPr>
          <w:t>11.1–12.29</w:t>
        </w:r>
      </w:hyperlink>
      <w:r>
        <w:t>)</w:t>
      </w:r>
    </w:p>
    <w:p>
      <w:r/>
      <w:r>
        <w:t>A discussão sobre fé e perseverança como solução para o desânimo (</w:t>
      </w:r>
      <w:hyperlink r:id="rId10466">
        <w:r>
          <w:rPr>
            <w:color w:val="0000EE"/>
            <w:u w:val="single"/>
          </w:rPr>
          <w:t>10.36–38</w:t>
        </w:r>
      </w:hyperlink>
      <w:r>
        <w:t>) leva a uma consideração mais completa do tema da fé. A fé é um conceito proeminente no livro de Hebreus, como evidenciado pelo fato de que a palavra ocorre cerca de 35 vezes na carta. A ideia paulina de fé como meio de justificação legal é adaptada às circunstâncias particulares dos cristãos judeus ameaçados. O conceito de fé é mais amplo neste livro do que a fé estritamente salvadora discutida por Paulo, pois leva à salvação espiritual (</w:t>
      </w:r>
      <w:hyperlink r:id="rId10467">
        <w:r>
          <w:rPr>
            <w:color w:val="0000EE"/>
            <w:u w:val="single"/>
          </w:rPr>
          <w:t>11.39–40</w:t>
        </w:r>
      </w:hyperlink>
      <w:r>
        <w:t>). A fé é o poder pelo qual as realidades invisíveis do céu são retidas para satisfazer a alma. A fé permite ao discípulo cristão ver o mundo e interpretar o curso da história a partir da perspectiva divina. A fé é o meio de vitória sobre o mundo do pecado e da aflição. Através da fé, o crente se aproxima do trono da graça (</w:t>
      </w:r>
      <w:hyperlink r:id="rId10143">
        <w:r>
          <w:rPr>
            <w:color w:val="0000EE"/>
            <w:u w:val="single"/>
          </w:rPr>
          <w:t>4.16</w:t>
        </w:r>
      </w:hyperlink>
      <w:r>
        <w:t>) com confiança e certeza de que Deus o capacitará a vencer.</w:t>
      </w:r>
    </w:p>
    <w:p>
      <w:r/>
      <w:r>
        <w:t>A vitória que a fé proporciona é amplamente ilustrada na história do povo de Deus no AT. Abel, Enoque e Noé na história primitiva; Abraão, o pai da fé; Moisés, o líder da jovem nação; e muitos profetas valentes e mártires servem como memoriais vivos do poder superador da fé. E, ainda assim, Deus tem algo melhor reservado para o seu povo santificado, a igreja (</w:t>
      </w:r>
      <w:hyperlink r:id="rId10468">
        <w:r>
          <w:rPr>
            <w:color w:val="0000EE"/>
            <w:u w:val="single"/>
          </w:rPr>
          <w:t>11.40</w:t>
        </w:r>
      </w:hyperlink>
      <w:r>
        <w:t>): a realidade do Cristo vivo.</w:t>
      </w:r>
    </w:p>
    <w:p>
      <w:r/>
      <w:r>
        <w:t>No entanto, o maior exemplo de resistência firme no sofrimento é Jesus, "pois é por meio dele que a nossa fé começa, e é ele quem a aperfeiçoa" (</w:t>
      </w:r>
      <w:hyperlink r:id="rId2683">
        <w:r>
          <w:rPr>
            <w:color w:val="0000EE"/>
            <w:u w:val="single"/>
          </w:rPr>
          <w:t>12.2</w:t>
        </w:r>
      </w:hyperlink>
      <w:r>
        <w:t xml:space="preserve">, NTLH). Quando cercado de provações, o cristão precisa lembrar de Cristo, que, em antecipação à coroa celestial, suportou a cruz e sua vergonha. As provações do cristão são triviais em comparação com o que Jesus Cristo foi chamado a sofrer (v. </w:t>
      </w:r>
      <w:hyperlink r:id="rId957">
        <w:r>
          <w:rPr>
            <w:color w:val="0000EE"/>
            <w:u w:val="single"/>
          </w:rPr>
          <w:t>3</w:t>
        </w:r>
      </w:hyperlink>
      <w:r>
        <w:t xml:space="preserve">). Além disso, para o povo de Deus, o sofrimento e a perseguição acabam sendo bênçãos disfarçadas. A vara da disciplina confirma nosso status como filhos do Deus vivo (vv. </w:t>
      </w:r>
      <w:hyperlink r:id="rId10469">
        <w:r>
          <w:rPr>
            <w:color w:val="0000EE"/>
            <w:u w:val="single"/>
          </w:rPr>
          <w:t>5–10</w:t>
        </w:r>
      </w:hyperlink>
      <w:r>
        <w:t xml:space="preserve">). Mas além disso, o soberano Deus é capaz de transformar o sofrimento do cristão em bênçãos inestimáveis (v. </w:t>
      </w:r>
      <w:hyperlink r:id="rId7310">
        <w:r>
          <w:rPr>
            <w:color w:val="0000EE"/>
            <w:u w:val="single"/>
          </w:rPr>
          <w:t>11</w:t>
        </w:r>
      </w:hyperlink>
      <w:r>
        <w:t xml:space="preserve">). Portanto, os santos vacilantes devem se esforçar pela integridade e maturidade espiritual, cuidando para não serem dominados pela amargura e ressentimento (v. </w:t>
      </w:r>
      <w:hyperlink r:id="rId10470">
        <w:r>
          <w:rPr>
            <w:color w:val="0000EE"/>
            <w:u w:val="single"/>
          </w:rPr>
          <w:t>15</w:t>
        </w:r>
      </w:hyperlink>
      <w:r>
        <w:t>).</w:t>
      </w:r>
    </w:p>
    <w:p>
      <w:pPr>
        <w:pStyle w:val="Heading4"/>
      </w:pPr>
      <w:r>
        <w:t>Exortações finais e bênção (</w:t>
      </w:r>
      <w:hyperlink r:id="rId10471">
        <w:r>
          <w:rPr>
            <w:color w:val="0000EE"/>
            <w:u w:val="single"/>
          </w:rPr>
          <w:t>13.1–25</w:t>
        </w:r>
      </w:hyperlink>
      <w:r>
        <w:t>)</w:t>
      </w:r>
    </w:p>
    <w:p>
      <w:r/>
      <w:r>
        <w:t>O escritor, em suas palavras finais, desafia seus amigos cristãos a serem fiéis às tarefas que têm pela frente. Eles devem demonstrar amor contínuo aos irmãos, oferecer hospitalidade aos estranhos, manter a santidade do casamento, estar contentes com o que possuem atualmente e serem obedientes aos seus líderes espirituais (</w:t>
      </w:r>
      <w:hyperlink r:id="rId10472">
        <w:r>
          <w:rPr>
            <w:color w:val="0000EE"/>
            <w:u w:val="single"/>
          </w:rPr>
          <w:t>13.1–7</w:t>
        </w:r>
      </w:hyperlink>
      <w:r>
        <w:t>).</w:t>
      </w:r>
    </w:p>
    <w:p>
      <w:r/>
      <w:r>
        <w:t>Os leitores são alertados contra a astúcia dos judaizantes, que os desviariam de Jesus Cristo, aquele que permanece “o mesmo ontem, hoje e sempre” (</w:t>
      </w:r>
      <w:hyperlink r:id="rId10473">
        <w:r>
          <w:rPr>
            <w:color w:val="0000EE"/>
            <w:u w:val="single"/>
          </w:rPr>
          <w:t>13.8</w:t>
        </w:r>
      </w:hyperlink>
      <w:r>
        <w:t xml:space="preserve">). A determinação espiritual é fortalecida ao relembrar o exemplo de Cristo, que “sofreu fora dos portões da cidade” para a salvação deles (v. </w:t>
      </w:r>
      <w:hyperlink r:id="rId10474">
        <w:r>
          <w:rPr>
            <w:color w:val="0000EE"/>
            <w:u w:val="single"/>
          </w:rPr>
          <w:t>12</w:t>
        </w:r>
      </w:hyperlink>
      <w:r>
        <w:t xml:space="preserve">). Como povo de Deus, eles são desafiados a seguir Cristo “fora do acampamento”, suportando abusos por ele (v. </w:t>
      </w:r>
      <w:hyperlink r:id="rId10475">
        <w:r>
          <w:rPr>
            <w:color w:val="0000EE"/>
            <w:u w:val="single"/>
          </w:rPr>
          <w:t>13</w:t>
        </w:r>
      </w:hyperlink>
      <w:r>
        <w:t xml:space="preserve">). A paciência e a perseverança são possíveis quando o cristão percebe que não tem uma cidade duradoura aqui (v. </w:t>
      </w:r>
      <w:hyperlink r:id="rId10476">
        <w:r>
          <w:rPr>
            <w:color w:val="0000EE"/>
            <w:u w:val="single"/>
          </w:rPr>
          <w:t>14</w:t>
        </w:r>
      </w:hyperlink>
      <w:r>
        <w:t>). Seu objetivo é a Jerusalém celestial, a cidade eterna de Deus.</w:t>
      </w:r>
    </w:p>
    <w:p>
      <w:r/>
      <w:r>
        <w:t>A carta anônima aos desconhecidos “Hebreus” encerra-se com uma gloriosa bênção. O Deus dos cristãos é descrito como o grande “Deus da paz” (</w:t>
      </w:r>
      <w:hyperlink r:id="rId881">
        <w:r>
          <w:rPr>
            <w:color w:val="0000EE"/>
            <w:u w:val="single"/>
          </w:rPr>
          <w:t>13.20</w:t>
        </w:r>
      </w:hyperlink>
      <w:r>
        <w:t xml:space="preserve">), e Jesus é “o grande Pastor das ovelhas”, que estabeleceu uma nova e eterna aliança e então ressuscitou triunfante dos mortos. E a promessa é feita à alma confiante de que o Deus triúno “dê tudo de bom que vocês precisam para fazer a sua vontade” (v. </w:t>
      </w:r>
      <w:hyperlink r:id="rId10477">
        <w:r>
          <w:rPr>
            <w:color w:val="0000EE"/>
            <w:u w:val="single"/>
          </w:rPr>
          <w:t>21</w:t>
        </w:r>
      </w:hyperlink>
      <w:r>
        <w:t>, NTLH).</w:t>
      </w:r>
    </w:p>
    <w:p>
      <w:r/>
      <w:r>
        <w:t>A carta aos Hebreus é rica em ensinamentos doutrinários. Ela revela mais sobre o Jesus histórico do que qualquer outra carta do Novo Testamento. Somente ela explica a obra expiatória de Cristo sob o conceito do sacerdote Melquisedeque. A discussão da carta sobre arrependimento, justificação, santificação e perseverança a torna uma mina de ensinamentos sobre salvação. Sua explicação sobre os antigos e novos pactos, o julgamento iminente e o mundo por vir faz uma contribuição significativa à teologia cristã. Além disso, o ensinamento da carta sobre fé, perseverança e o cristão prático se combinam para fazer de Hebreus um dos documentos mais importantes que Deus deu à igreja.</w:t>
      </w:r>
      <w:r/>
      <w:r/>
    </w:p>
    <w:p>
      <w:r/>
    </w:p>
    <w:p>
      <w:pPr>
        <w:pStyle w:val="Heading2"/>
      </w:pPr>
      <w:r>
        <w:t>Hebrom (lugar)</w:t>
      </w:r>
      <w:r/>
    </w:p>
    <w:p>
      <w:r/>
      <w:r>
        <w:t>Cidade antiga ainda existente hoje. Foi construída na extremidade sul das terras altas que se estendem de norte a sul ao longo da Palestina. Nos tempos patriarcais, era conhecida como Quiriate-Arba (</w:t>
      </w:r>
      <w:hyperlink r:id="rId10478">
        <w:r>
          <w:rPr>
            <w:color w:val="0000EE"/>
            <w:u w:val="single"/>
          </w:rPr>
          <w:t>Gn 23.2</w:t>
        </w:r>
      </w:hyperlink>
      <w:r>
        <w:t>) e ficava na colina conhecida como El Arbain. A cidade moderna se estende por ambas as cristas da cadeia de montanhas.</w:t>
      </w:r>
    </w:p>
    <w:p>
      <w:r/>
      <w:r>
        <w:t>Hebrom está situada a 40 quilômetros a sudoeste de Jerusalém e a menos de 3,2 quilômetros de Manre, onde Abraão passou grande parte de sua vida. Está a 914 metros acima do nível do mar e marca o extremo sul das terras altas da Judeia. A partir dessa elevação, o terreno desce rapidamente para o leste, mas gradualmente para o oeste e sul. O solo é relativamente fértil, e uma variedade de frutas (maçãs, ameixas, figos, romãs, damascos), nozes e vegetais são cultivados facilmente. Ao sul está o Neguebe, onde a terra de pastagem é excelente. Um grande número de nascentes e poços pontilham a paisagem e garantem aos residentes uma abundância de água.</w:t>
      </w:r>
    </w:p>
    <w:p>
      <w:r/>
      <w:r>
        <w:t>Nos tempos do Antigo Testamento, Hebrom incluía Manre, o lugar onde Abraão construiu um altar ao Senhor após se separar de Ló (</w:t>
      </w:r>
      <w:hyperlink r:id="rId4472">
        <w:r>
          <w:rPr>
            <w:color w:val="0000EE"/>
            <w:u w:val="single"/>
          </w:rPr>
          <w:t>Gn 13.18</w:t>
        </w:r>
      </w:hyperlink>
      <w:r>
        <w:t>). Foi aqui também que ele soube da captura de seu sobrinho Ló (</w:t>
      </w:r>
      <w:hyperlink r:id="rId10479">
        <w:r>
          <w:rPr>
            <w:color w:val="0000EE"/>
            <w:u w:val="single"/>
          </w:rPr>
          <w:t>14.12–16</w:t>
        </w:r>
      </w:hyperlink>
      <w:r>
        <w:t xml:space="preserve">); e aqui que, anos depois, ele recebeu três anjos e foi informado do julgamento que em breve cairia sobre Sodoma e Gomorra (cap. </w:t>
      </w:r>
      <w:hyperlink r:id="rId171">
        <w:r>
          <w:rPr>
            <w:color w:val="0000EE"/>
            <w:u w:val="single"/>
          </w:rPr>
          <w:t>18</w:t>
        </w:r>
      </w:hyperlink>
      <w:r>
        <w:t>).</w:t>
      </w:r>
    </w:p>
    <w:p>
      <w:r/>
      <w:r>
        <w:t>Sara morreu em Hebrom, e Abraão comprou a caverna de Macpela de Efrom, o hitita (</w:t>
      </w:r>
      <w:hyperlink r:id="rId10480">
        <w:r>
          <w:rPr>
            <w:color w:val="0000EE"/>
            <w:u w:val="single"/>
          </w:rPr>
          <w:t>Gn 23.8–9,17</w:t>
        </w:r>
      </w:hyperlink>
      <w:r>
        <w:t xml:space="preserve">; </w:t>
      </w:r>
      <w:hyperlink r:id="rId10481">
        <w:r>
          <w:rPr>
            <w:color w:val="0000EE"/>
            <w:u w:val="single"/>
          </w:rPr>
          <w:t>25.9–10</w:t>
        </w:r>
      </w:hyperlink>
      <w:r>
        <w:t xml:space="preserve">; </w:t>
      </w:r>
      <w:hyperlink r:id="rId10482">
        <w:r>
          <w:rPr>
            <w:color w:val="0000EE"/>
            <w:u w:val="single"/>
          </w:rPr>
          <w:t>49.29–32</w:t>
        </w:r>
      </w:hyperlink>
      <w:r>
        <w:t xml:space="preserve">; </w:t>
      </w:r>
      <w:hyperlink r:id="rId10483">
        <w:r>
          <w:rPr>
            <w:color w:val="0000EE"/>
            <w:u w:val="single"/>
          </w:rPr>
          <w:t>50.12–13</w:t>
        </w:r>
      </w:hyperlink>
      <w:r>
        <w:t>) para enterrá-la. Esta caverna está agora dentro das muralhas da cidade moderna, e a famosa mesquita de Haram el-Khalil foi construída sobre ela.</w:t>
      </w:r>
    </w:p>
    <w:p>
      <w:r/>
      <w:r>
        <w:t>Na época do Êxodo dos israelitas do Egito, espiões foram enviados à terra. Eles começaram no sul e atravessaram as terras altas centrais da Palestina de Cades-Barneia através de Hebrom até Reobe (</w:t>
      </w:r>
      <w:hyperlink r:id="rId10484">
        <w:r>
          <w:rPr>
            <w:color w:val="0000EE"/>
            <w:u w:val="single"/>
          </w:rPr>
          <w:t>Nm 13.17–21</w:t>
        </w:r>
      </w:hyperlink>
      <w:r>
        <w:t xml:space="preserve">). No retorno, trouxeram evidências da produtividade da terra (vv. </w:t>
      </w:r>
      <w:hyperlink r:id="rId8145">
        <w:r>
          <w:rPr>
            <w:color w:val="0000EE"/>
            <w:u w:val="single"/>
          </w:rPr>
          <w:t>23–24</w:t>
        </w:r>
      </w:hyperlink>
      <w:r>
        <w:t xml:space="preserve">). De </w:t>
      </w:r>
      <w:hyperlink r:id="rId9939">
        <w:r>
          <w:rPr>
            <w:color w:val="0000EE"/>
            <w:u w:val="single"/>
          </w:rPr>
          <w:t>Números 13.33</w:t>
        </w:r>
      </w:hyperlink>
      <w:r>
        <w:t xml:space="preserve"> sabemos que gigantes (“filhos de Anaque”) viviam em Hebrom. A visão desses homens encheu dez dos espiões de medo. Apenas Calebe e Josué se mostraram à altura da ocasião. Por causa de sua fé, eles foram prometidos uma posse na terra, e Calebe recebeu Hebrom (</w:t>
      </w:r>
      <w:hyperlink r:id="rId10485">
        <w:r>
          <w:rPr>
            <w:color w:val="0000EE"/>
            <w:u w:val="single"/>
          </w:rPr>
          <w:t>Js 14.9,13</w:t>
        </w:r>
      </w:hyperlink>
      <w:r>
        <w:t>). Os espiões infiéis morreram em uma praga na presença do Senhor (</w:t>
      </w:r>
      <w:hyperlink r:id="rId10486">
        <w:r>
          <w:rPr>
            <w:color w:val="0000EE"/>
            <w:u w:val="single"/>
          </w:rPr>
          <w:t>Nm 14.36–37</w:t>
        </w:r>
      </w:hyperlink>
      <w:r>
        <w:t>).</w:t>
      </w:r>
    </w:p>
    <w:p>
      <w:r/>
      <w:r>
        <w:t>Durante o período dos juízes, Hebrom é mencionada em conexão com Sansão. Quando preso dentro da cidade de Gaza, ele carregou os portões e os deixou em Hebrom (</w:t>
      </w:r>
      <w:hyperlink r:id="rId2594">
        <w:r>
          <w:rPr>
            <w:color w:val="0000EE"/>
            <w:u w:val="single"/>
          </w:rPr>
          <w:t>Jz 16.3</w:t>
        </w:r>
      </w:hyperlink>
      <w:r>
        <w:t>). Após a morte de Saul, o primeiro rei de Israel, Davi foi coroado rei das tribos de Judá e Benjamim em Hebrom (</w:t>
      </w:r>
      <w:hyperlink r:id="rId10487">
        <w:r>
          <w:rPr>
            <w:color w:val="0000EE"/>
            <w:u w:val="single"/>
          </w:rPr>
          <w:t>2Sm 2.1</w:t>
        </w:r>
      </w:hyperlink>
      <w:r>
        <w:t>). Ele fez desta cidade sua capital, pois estava mais centralmente localizada do que Benjamim, e sua posição na extremidade sul da cadeia montanhosa a afastava o máximo possível das 10 tribos do norte que seguiram Isbosete, filho de Saul. Era suficientemente distante dos filisteus a oeste e dos amalequitas ao sul para evitar atenção, e também era facilmente defensável. Hebrom também ficava na junção de várias rotas comerciais importantes, o que garantia sua proeminência. Mais tarde, no entanto, quando Davi foi feito rei sobre todo Israel, ele mudou sua capital para Jerusalém — um ato que deve ter desagradado ao povo de Hebrom.</w:t>
      </w:r>
    </w:p>
    <w:p>
      <w:r/>
      <w:r>
        <w:t>Quando Absalão desejou obter apoio para sua reivindicação ao trono, ele iniciou sua revolta a partir de Hebrom (</w:t>
      </w:r>
      <w:hyperlink r:id="rId10488">
        <w:r>
          <w:rPr>
            <w:color w:val="0000EE"/>
            <w:u w:val="single"/>
          </w:rPr>
          <w:t>2Sm 15.7–12</w:t>
        </w:r>
      </w:hyperlink>
      <w:r>
        <w:t>). Após a morte de Salomão, filho de Davi, o reino foi dividido. Roboão, temendo um ataque dos egípcios em sua fronteira sul, fortificou Hebrom (</w:t>
      </w:r>
      <w:hyperlink r:id="rId10489">
        <w:r>
          <w:rPr>
            <w:color w:val="0000EE"/>
            <w:u w:val="single"/>
          </w:rPr>
          <w:t>2Cr 11.1–12</w:t>
        </w:r>
      </w:hyperlink>
      <w:r>
        <w:t>). A partir desse momento, a cidade desaparece do registro do AT.</w:t>
      </w:r>
    </w:p>
    <w:p>
      <w:r/>
      <w:r>
        <w:rPr>
          <w:i/>
        </w:rPr>
        <w:t>Veja</w:t>
      </w:r>
      <w:r>
        <w:t xml:space="preserve"> </w:t>
      </w:r>
      <w:r>
        <w:t>Ebron</w:t>
      </w:r>
      <w:r>
        <w:t>.</w:t>
      </w:r>
      <w:r/>
      <w:r/>
    </w:p>
    <w:p>
      <w:r/>
    </w:p>
    <w:p>
      <w:pPr>
        <w:pStyle w:val="Heading2"/>
      </w:pPr>
      <w:r>
        <w:t>Hebrom (Pessoa)</w:t>
      </w:r>
      <w:r/>
    </w:p>
    <w:p>
      <w:pPr>
        <w:pStyle w:val="ListNumber"/>
        <w:spacing w:line="240" w:lineRule="auto"/>
        <w:ind w:left="720"/>
      </w:pPr>
      <w:r/>
      <w:r>
        <w:t>O terceiro dos quatro filhos de Coate. Hebrom era um descendente de Levi (</w:t>
      </w:r>
      <w:hyperlink r:id="rId5016">
        <w:r>
          <w:rPr>
            <w:color w:val="0000EE"/>
            <w:u w:val="single"/>
          </w:rPr>
          <w:t>Êx 6.18</w:t>
        </w:r>
      </w:hyperlink>
      <w:r>
        <w:t xml:space="preserve">; </w:t>
      </w:r>
      <w:hyperlink r:id="rId10490">
        <w:r>
          <w:rPr>
            <w:color w:val="0000EE"/>
            <w:u w:val="single"/>
          </w:rPr>
          <w:t>Nm 3.19</w:t>
        </w:r>
      </w:hyperlink>
      <w:r>
        <w:t xml:space="preserve">; </w:t>
      </w:r>
      <w:hyperlink r:id="rId10491">
        <w:r>
          <w:rPr>
            <w:color w:val="0000EE"/>
            <w:u w:val="single"/>
          </w:rPr>
          <w:t>1Cr 6.2,18</w:t>
        </w:r>
      </w:hyperlink>
      <w:r>
        <w:t xml:space="preserve">; </w:t>
      </w:r>
      <w:hyperlink r:id="rId5034">
        <w:r>
          <w:rPr>
            <w:color w:val="0000EE"/>
            <w:u w:val="single"/>
          </w:rPr>
          <w:t>23.12</w:t>
        </w:r>
      </w:hyperlink>
      <w:r>
        <w:t>). Os filhos de Hebrom eram Jerias, Amarias, Jaaziel e Jecameão (</w:t>
      </w:r>
      <w:hyperlink r:id="rId10492">
        <w:r>
          <w:rPr>
            <w:color w:val="0000EE"/>
            <w:u w:val="single"/>
          </w:rPr>
          <w:t>1Cr 23.19</w:t>
        </w:r>
      </w:hyperlink>
      <w:r>
        <w:t>). Os descendentes de Hebrom eram chamados de hebronitas. Eles são mencionados em um censo realizado nas campinas de Moabe (</w:t>
      </w:r>
      <w:hyperlink r:id="rId5738">
        <w:r>
          <w:rPr>
            <w:color w:val="0000EE"/>
            <w:u w:val="single"/>
          </w:rPr>
          <w:t>Nm 26.58</w:t>
        </w:r>
      </w:hyperlink>
      <w:r>
        <w:t>). Os hebronitas são mencionados em conexão com a transferência da arca para Jerusalém no tempo de Davi (</w:t>
      </w:r>
      <w:hyperlink r:id="rId10493">
        <w:r>
          <w:rPr>
            <w:color w:val="0000EE"/>
            <w:u w:val="single"/>
          </w:rPr>
          <w:t>1Cr 15.9</w:t>
        </w:r>
      </w:hyperlink>
      <w:r>
        <w:t xml:space="preserve">; </w:t>
      </w:r>
      <w:hyperlink r:id="rId10494">
        <w:r>
          <w:rPr>
            <w:color w:val="0000EE"/>
            <w:u w:val="single"/>
          </w:rPr>
          <w:t>26.23,30–31</w:t>
        </w:r>
      </w:hyperlink>
      <w:r>
        <w:t>).</w:t>
      </w:r>
    </w:p>
    <w:p>
      <w:pPr>
        <w:pStyle w:val="ListNumber"/>
        <w:spacing w:line="240" w:lineRule="auto"/>
        <w:ind w:left="720"/>
      </w:pPr>
      <w:r/>
      <w:r>
        <w:t>Filho de Maressa e pai de Corá (</w:t>
      </w:r>
      <w:hyperlink r:id="rId10495">
        <w:r>
          <w:rPr>
            <w:color w:val="0000EE"/>
            <w:u w:val="single"/>
          </w:rPr>
          <w:t>1Cr 2.42–43</w:t>
        </w:r>
      </w:hyperlink>
      <w:r>
        <w:t>).</w:t>
      </w:r>
      <w:r/>
      <w:r/>
    </w:p>
    <w:p>
      <w:r/>
    </w:p>
    <w:p>
      <w:pPr>
        <w:pStyle w:val="Heading2"/>
      </w:pPr>
      <w:r>
        <w:t>Hebronita</w:t>
      </w:r>
      <w:r/>
    </w:p>
    <w:p>
      <w:r/>
      <w:r>
        <w:t>Qualquer descendente de Hebrom da tribo de Levi (</w:t>
      </w:r>
      <w:hyperlink r:id="rId1973">
        <w:r>
          <w:rPr>
            <w:color w:val="0000EE"/>
            <w:u w:val="single"/>
          </w:rPr>
          <w:t>Nm 3.27</w:t>
        </w:r>
      </w:hyperlink>
      <w:r>
        <w:t xml:space="preserve">; </w:t>
      </w:r>
      <w:hyperlink r:id="rId5738">
        <w:r>
          <w:rPr>
            <w:color w:val="0000EE"/>
            <w:u w:val="single"/>
          </w:rPr>
          <w:t>26.58</w:t>
        </w:r>
      </w:hyperlink>
      <w:r>
        <w:t xml:space="preserve">; </w:t>
      </w:r>
      <w:hyperlink r:id="rId10494">
        <w:r>
          <w:rPr>
            <w:color w:val="0000EE"/>
            <w:u w:val="single"/>
          </w:rPr>
          <w:t>1Cr 26.23,30–31</w:t>
        </w:r>
      </w:hyperlink>
      <w:r>
        <w:t>).</w:t>
      </w:r>
    </w:p>
    <w:p>
      <w:r/>
      <w:r>
        <w:rPr>
          <w:i/>
        </w:rPr>
        <w:t>Veja</w:t>
      </w:r>
      <w:r>
        <w:t xml:space="preserve"> </w:t>
      </w:r>
      <w:r>
        <w:t>Hebrom (Pessoa) #1</w:t>
      </w:r>
      <w:r>
        <w:t>.</w:t>
      </w:r>
      <w:r/>
      <w:r/>
    </w:p>
    <w:p>
      <w:r/>
    </w:p>
    <w:p>
      <w:pPr>
        <w:pStyle w:val="Heading2"/>
      </w:pPr>
      <w:r>
        <w:t>Héfer (Pessoa)</w:t>
      </w:r>
      <w:r/>
    </w:p>
    <w:p>
      <w:pPr>
        <w:pStyle w:val="ListNumber"/>
        <w:spacing w:line="240" w:lineRule="auto"/>
        <w:ind w:left="720"/>
      </w:pPr>
      <w:r/>
      <w:r>
        <w:t>Um homem da tribo de Manassés e fundador do clã Heferita (</w:t>
      </w:r>
      <w:hyperlink r:id="rId10496">
        <w:r>
          <w:rPr>
            <w:color w:val="0000EE"/>
            <w:u w:val="single"/>
          </w:rPr>
          <w:t>Nm 26.32</w:t>
        </w:r>
      </w:hyperlink>
      <w:r>
        <w:t>).</w:t>
      </w:r>
    </w:p>
    <w:p>
      <w:pPr>
        <w:pStyle w:val="ListNumber"/>
        <w:spacing w:line="240" w:lineRule="auto"/>
        <w:ind w:left="720"/>
      </w:pPr>
      <w:r/>
      <w:r>
        <w:t>Um filho de Azur da tribo de Judá (</w:t>
      </w:r>
      <w:hyperlink r:id="rId10497">
        <w:r>
          <w:rPr>
            <w:color w:val="0000EE"/>
            <w:u w:val="single"/>
          </w:rPr>
          <w:t>1Cr 4.6</w:t>
        </w:r>
      </w:hyperlink>
      <w:r>
        <w:t>).</w:t>
      </w:r>
    </w:p>
    <w:p>
      <w:pPr>
        <w:pStyle w:val="ListNumber"/>
        <w:spacing w:line="240" w:lineRule="auto"/>
        <w:ind w:left="720"/>
      </w:pPr>
      <w:r/>
      <w:r>
        <w:t>Um dos "valentes" do Rei Davi (</w:t>
      </w:r>
      <w:hyperlink r:id="rId10498">
        <w:r>
          <w:rPr>
            <w:color w:val="0000EE"/>
            <w:u w:val="single"/>
          </w:rPr>
          <w:t>1Cr 11.36</w:t>
        </w:r>
      </w:hyperlink>
      <w:r>
        <w:t>).</w:t>
      </w:r>
      <w:r/>
      <w:r/>
    </w:p>
    <w:p>
      <w:r/>
    </w:p>
    <w:p>
      <w:pPr>
        <w:pStyle w:val="Heading2"/>
      </w:pPr>
      <w:r>
        <w:t>Heferita</w:t>
      </w:r>
      <w:r/>
    </w:p>
    <w:p>
      <w:r/>
      <w:r>
        <w:t>Qualquer descendente de Héfer da tribo de Manassés (</w:t>
      </w:r>
      <w:hyperlink r:id="rId10496">
        <w:r>
          <w:rPr>
            <w:color w:val="0000EE"/>
            <w:u w:val="single"/>
          </w:rPr>
          <w:t>Nm 26.32</w:t>
        </w:r>
      </w:hyperlink>
      <w:r>
        <w:t>).</w:t>
      </w:r>
    </w:p>
    <w:p>
      <w:r/>
      <w:r>
        <w:rPr>
          <w:i/>
        </w:rPr>
        <w:t>Veja</w:t>
      </w:r>
      <w:r>
        <w:t xml:space="preserve"> </w:t>
      </w:r>
      <w:r>
        <w:t>Héfer (Pessoa) #1</w:t>
      </w:r>
      <w:r>
        <w:t>.</w:t>
      </w:r>
      <w:r/>
      <w:r/>
    </w:p>
    <w:p>
      <w:r/>
    </w:p>
    <w:p>
      <w:pPr>
        <w:pStyle w:val="Heading2"/>
      </w:pPr>
      <w:r>
        <w:t>Helenismo</w:t>
      </w:r>
      <w:r/>
    </w:p>
    <w:p>
      <w:r/>
      <w:r>
        <w:t>Aquela combinação única de ideais culturais, filosóficos e éticos gregos teve um impacto profundo no desenvolvimento da cultura em todo o mundo mediterrâneo. Embora os antecedentes do movimento tenham ocorrido muito antes, a Era Helenística é geralmente considerada como tendo começado em 323 a.C., com a morte de Alexandre, e continuado até 30 a.C., quando Roma conquistou o Egito, ou (mais provavelmente) até 300 d.C. A própria Roma foi culturalmente conquistada pelo Helenismo.</w:t>
      </w:r>
    </w:p>
    <w:p>
      <w:r/>
      <w:r>
        <w:t>Resumo:</w:t>
      </w:r>
    </w:p>
    <w:p>
      <w:r/>
      <w:r>
        <w:t>• Período Helenístico;</w:t>
      </w:r>
    </w:p>
    <w:p>
      <w:r/>
      <w:r>
        <w:t>• Helenismo e Judaísmo; e</w:t>
      </w:r>
    </w:p>
    <w:p>
      <w:r/>
      <w:r>
        <w:t>• Helenismo e Cristianismo.</w:t>
      </w:r>
    </w:p>
    <w:p>
      <w:pPr>
        <w:pStyle w:val="Heading3"/>
      </w:pPr>
      <w:r>
        <w:t>Período Helenístico</w:t>
      </w:r>
    </w:p>
    <w:p>
      <w:r/>
      <w:r>
        <w:t>Alexandre, o Grande, foi mais do que um conquistador militar. Ele estabeleceu a cultura helenística como norma em todo o seu reino. Ele ensinou aos povos conquistados a língua e os costumes gregos, e construiu novas cidades gregas (34 no total), como Alexandria no Egito, que se tornaram bastiões do helenismo. Sua maior realização foi mais cultural do que territorial; após ele, o helenismo dominou o mundo ocidental por séculos. Alexandre liderou o triunfo do dialeto ático koiné (comum) sobre os outros dialetos gregos, tornando-se a principal força na helenização do Oriente. O dialeto koiné seria a base para a aceitação do helenismo pelos povos subjugados. O primeiro período após sua morte foi caracterizado pela dissolução do império de Alexandre e um equilíbrio emergente de poder entre as forças de Ptolomeu, que controlava o Egito e a Palestina; Seleuco, que governava a Babilônia e a Ásia Menor; e Antípatro (seguido por Antígono), que reinava sobre a Macedônia e o Helesponto.</w:t>
      </w:r>
    </w:p>
    <w:p>
      <w:r/>
      <w:r>
        <w:t>No Leste, o século seguinte foi marcado por confrontos intermitentes entre os Ptolomeus e os Selêucidas, resultando na Palestina se tornando um estado tampão entre os dois. Uma diferença importante é que os Ptolomeus tinham um reino unificado e, portanto, não estavam interessados em mudanças; sob seu domínio, a Palestina era autônoma tanto culturalmente quanto religiosamente. No entanto, os Selêucidas controlavam muitos grupos diferentes e, assim, tentaram unificá-los forçando a helenização sobre eles. Isso finalmente levou à bem-sucedida revolta dos judeus sob os Macabeus e à desintegração de ambos os impérios. No Ocidente, Roma tornou-se progressivamente envolvida nos assuntos gregos e, por volta de 149 a.C., controlava politicamente as terras gregas, enquanto eles próprios eram dominados pelos ideais gregos culturalmente.</w:t>
      </w:r>
    </w:p>
    <w:p>
      <w:r/>
      <w:r>
        <w:t>Durante este período, surgiu uma crescente classe média, em parte porque as conquistas de Alexandre levaram a uma vasta dispersão de gregos nas terras conquistadas. A redistribuição de riqueza resultante foi baseada em uma educação grega e na aceitação dos ideais helenísticos. O termo "civilizado" passou a ser identificado com o modo de vida grego. A educação era controlada pela ideia de uma retórica sólida, de modo que o estilo prevalecia sobre a verdade. O drama grego voltou-se para a comédia, que enfatizava o realismo nas emoções humanas, e a arte helenística tornou-se ainda mais naturalista do que no período clássico.</w:t>
      </w:r>
    </w:p>
    <w:p>
      <w:r/>
      <w:r>
        <w:t>A filosofia também se desenvolveu, com pelo menos três escolas surgindo para dominar o pensamento grego nos séculos seguintes. Curiosamente, todas as três se concentraram na ética prática em vez da busca clássica pela verdade e conhecimento. Os Cínicos, fundados por Diógenes, enfatizavam uma autossuficiência total que deixava o indivíduo em um vácuo social, mas ensinavam como lidar com a miséria humana. As duas escolas mais influentes foram os Epicuristas e os Estóicos. Epicuro buscava a liberdade da ansiedade ou medo e ensinava que a paz da alma só poderia ser derivada de uma experiência disciplinada e moderada dos prazeres. O resultado foi um afastamento da sociedade para o próprio eu. O Estoicismo, fundado por Zenão e nomeado após a stoa (pórtico) em Atenas onde ele ensinava, era semelhante ao cinismo em sua ênfase na autossuficiência, mas combinava isso com um foco na fraternidade humana. Cada pessoa deveria buscar a virtude e viver acima das vicissitudes da vida. Esta última filosofia tornou-se o centro do Helenismo na época de Cristo.</w:t>
      </w:r>
    </w:p>
    <w:p>
      <w:pPr>
        <w:pStyle w:val="Heading3"/>
      </w:pPr>
      <w:r>
        <w:t>Helenismo e Judaísmo</w:t>
      </w:r>
    </w:p>
    <w:p>
      <w:r/>
      <w:r>
        <w:t>O judaísmo foi praticamente a única cultura que resistiu ao avanço do Helenismo. Portanto, o poder desse movimento pode ser visto no grau em que influenciou o Judaísmo.</w:t>
      </w:r>
    </w:p>
    <w:p>
      <w:r/>
      <w:r>
        <w:t>A atração pelo Helenismo era sentida principalmente pela nobreza de classe alta e era mais forte nas comunidades judaicas da Diáspora. No entanto, sob os Selêucidas, o sacerdócio do templo era pró-helenista, o que adicionava uma dimensão religiosa à pressão econômica sobre os ricos. Desde o início, a Palestina estava dividida em duas facções: a nobreza urbana, que tentava transformar Jerusalém em outra pólis, ou cidade-estado helenística, adicionando coisas como ginásios e drama grego; e os camponeses agrícolas e pobres, que viam no Helenismo uma ameaça à própria existência do sistema mosaico.</w:t>
      </w:r>
    </w:p>
    <w:p>
      <w:r/>
      <w:r>
        <w:t>Os judeus precisaram aprender o grego koiné para realizar transações comerciais e participar de questões legais. A arqueologia mostra que quase todas as inscrições na Palestina do terceiro século a.C. estavam em grego, e a tradução da Torá para o grego na Septuaginta demonstra a penetração da língua nas comunidades judaicas fora da Palestina (comunidades da Diáspora). O ginásio era a escola nas cidades helenísticas, e a educação grega era essencial para a cidadania. Alexandria, no Egito, tornou-se o centro intelectual do mundo grego, e sua influência sobre a forte comunidade judaica naquela cidade foi considerável. Esperava-se que judeus abastados nas terras da Dispersão e na própria Jerusalém recebessem uma educação no ginásio. Muitos seguiram a prática grega de participar nus em esportes, como pode ser visto na literatura do período intertestamentário, que se torna fortemente antagônica um século depois (devido à aversão judaica a tal exibição pública). As escolas sinagogais judaicas, como resultado da competição com os ginásios, adotaram modos gregos. De fato, o desenvolvimento da tradição dos escribas é em parte devido a essa interação; o movimento foi do sistema oligárquico da era do templo para uma instrução democrática de todo o povo.</w:t>
      </w:r>
    </w:p>
    <w:p>
      <w:r/>
      <w:r>
        <w:t>A literatura e a filosofia judaicas foram permeadas por padrões helenísticos. Isso é evidente em 1 e 2 Macabeus, que refletem a historiografia grega. A influência helenística pode ser observada em praticamente todas as obras judaicas desse período. O principal expoente foi, sem dúvida, Fílon de Alexandria, cuja interpretação alegórica do AT foi projetada para tornar os ensinamentos judaicos aceitáveis ao mundo helenístico e vice-versa. Essa atitude era bastante comum. O simbolismo da escrita apocalíptica judaica foi influenciado por uma combinação de temas helenísticos e orientais (principalmente persas), e até mesmo o movimento essênio hiperconservador utilizou formas de pensamento moldadas pela penetração do judaísmo por ideias helenísticas e persas. O foco no “conhecimento eterno” e no “mistério revelado” e a combinação dualística de história da salvação e antropologia são evidências disso. Claro, a influência não foi unilateral. O desenvolvimento da filosofia grega foi fortemente influenciado por formas semíticas, especialmente fenícias; e a forte piedade judaica era muito atraente para a mente grega.</w:t>
      </w:r>
    </w:p>
    <w:p>
      <w:r/>
      <w:r>
        <w:t>É importante destacar que até mesmo o Judaísmo da Palestina no primeiro século a.C. era um judaísmo helenístico. A universalidade do grego koiné, a infiltração do aprendizado e dos padrões de pensamento gregos, a presença de literatura judaica em grego e a incorporação de dispositivos retóricos helenísticos, até mesmo na própria literatura do movimento de oposição, demonstram o poder do Helenismo na Palestina.</w:t>
      </w:r>
    </w:p>
    <w:p>
      <w:pPr>
        <w:pStyle w:val="Heading3"/>
      </w:pPr>
      <w:r>
        <w:t>Helenismo e Cristianismo</w:t>
      </w:r>
    </w:p>
    <w:p>
      <w:r/>
      <w:r>
        <w:t xml:space="preserve">Alguns estudiosos tentaram dividir o cristianismo primitivo em períodos caracterizados por visões palestinas, helenístico-judaicas e helenísticas. No entanto, como as evidências acima mostraram, isso não é de forma alguma uma tarefa fácil, já que até mesmo a Judeia foi influenciada por padrões de pensamento gregos. Certamente, a postura reacionária contra o helenismo no judaísmo é paralela ao conflito helenista-hebraico de </w:t>
      </w:r>
      <w:hyperlink r:id="rId2902">
        <w:r>
          <w:rPr>
            <w:color w:val="0000EE"/>
            <w:u w:val="single"/>
          </w:rPr>
          <w:t>Atos 6</w:t>
        </w:r>
      </w:hyperlink>
      <w:r>
        <w:t xml:space="preserve"> e à missão gentílica. No entanto, desde os estágios mais iniciais, a influência do helenismo na igreja pode ser rastreada. Além disso, torna-se praticamente impossível saber se uma frase é retirada de fontes palestinas ou helenísticas, devido à penetração mútua de ambas na própria Palestina e à natureza bilíngue da igreja desde o início.</w:t>
      </w:r>
    </w:p>
    <w:p>
      <w:r/>
      <w:r>
        <w:t xml:space="preserve">Isso não significa que não houvesse diferenças reais. O pano de fundo helenístico de Estevão permitiu-lhe ver as implicações lógicas da terra e do templo tipificando Cristo (cf. </w:t>
      </w:r>
      <w:hyperlink r:id="rId10499">
        <w:r>
          <w:rPr>
            <w:color w:val="0000EE"/>
            <w:u w:val="single"/>
          </w:rPr>
          <w:t>At 6–7</w:t>
        </w:r>
      </w:hyperlink>
      <w:r>
        <w:t>), enquanto a igreja mais conservadora de Jerusalém não o fez. Além disso, um estudo dos discursos em Atos mostra que o querigma (pregação) se desenvolveu de maneira diferente para audiências judaicas e gentias. O primeiro se concentrou no cumprimento do AT e o segundo na penetração ativa da história pelo único Deus verdadeiro, que, ao contrário dos ídolos mortos, se envolveu nos assuntos humanos.</w:t>
      </w:r>
    </w:p>
    <w:p>
      <w:r/>
      <w:r>
        <w:t xml:space="preserve">O fato de que o NT foi escrito em grego koiné torna a influência muito direta. Obras fortemente orientadas para o judaísmo, como Hebreus ou Tiago, são escritas em grego polido, e até mesmo os Evangelhos, que registram a vida de Jesus em um contexto judaico, refletem a historiografia helenística (e.g., um interesse no significado teológico dos eventos históricos). Mais obviamente helenísticas, é claro, são as ideias encontradas nas Epístolas decorrentes da missão gentia. Hinos antigos como </w:t>
      </w:r>
      <w:hyperlink r:id="rId10500">
        <w:r>
          <w:rPr>
            <w:color w:val="0000EE"/>
            <w:u w:val="single"/>
          </w:rPr>
          <w:t>Colossenses 1.15–22</w:t>
        </w:r>
      </w:hyperlink>
      <w:r>
        <w:t xml:space="preserve"> usam terminologia dos ambientes helenísticos para descrever a incomparável superioridade de Jesus sobre os ideais pagãos. A ênfase na missão universal, embora baseada nos ensinamentos de Jesus, desenvolveu-se durante a missão gentia; a igreja primitiva a interpretou de acordo com a teologia prosélita judaica, que era que os gentios se tornavam cristãos após se tornarem judeus.</w:t>
      </w:r>
    </w:p>
    <w:p>
      <w:r/>
      <w:r>
        <w:rPr>
          <w:i/>
        </w:rPr>
        <w:t>Veja também</w:t>
      </w:r>
      <w:r>
        <w:t xml:space="preserve"> </w:t>
      </w:r>
      <w:r>
        <w:t>Epicuristas</w:t>
      </w:r>
      <w:r>
        <w:t xml:space="preserve">; </w:t>
      </w:r>
      <w:r>
        <w:t>Gnosticismo</w:t>
      </w:r>
      <w:r>
        <w:t xml:space="preserve">; </w:t>
      </w:r>
      <w:r>
        <w:t>Grécia, Grego</w:t>
      </w:r>
      <w:r>
        <w:t xml:space="preserve">; </w:t>
      </w:r>
      <w:r>
        <w:t>Helenistas</w:t>
      </w:r>
      <w:r>
        <w:t xml:space="preserve">; </w:t>
      </w:r>
      <w:r>
        <w:t>Judaísmo</w:t>
      </w:r>
      <w:r>
        <w:t xml:space="preserve">; </w:t>
      </w:r>
      <w:r>
        <w:t>Estoicismo, Estóicos</w:t>
      </w:r>
      <w:r>
        <w:t>.</w:t>
      </w:r>
      <w:r/>
      <w:r/>
    </w:p>
    <w:p>
      <w:r/>
    </w:p>
    <w:p>
      <w:pPr>
        <w:pStyle w:val="Heading2"/>
      </w:pPr>
      <w:r>
        <w:t>Helenistas</w:t>
      </w:r>
      <w:r/>
    </w:p>
    <w:p>
      <w:r/>
      <w:r>
        <w:t xml:space="preserve">Nome usado em </w:t>
      </w:r>
      <w:hyperlink r:id="rId10501">
        <w:r>
          <w:rPr>
            <w:color w:val="0000EE"/>
            <w:u w:val="single"/>
          </w:rPr>
          <w:t>Atos 6.1,9.29</w:t>
        </w:r>
      </w:hyperlink>
      <w:r>
        <w:t xml:space="preserve">, e possivelmente </w:t>
      </w:r>
      <w:hyperlink r:id="rId4993">
        <w:r>
          <w:rPr>
            <w:color w:val="0000EE"/>
            <w:u w:val="single"/>
          </w:rPr>
          <w:t>11.20</w:t>
        </w:r>
      </w:hyperlink>
      <w:r>
        <w:t xml:space="preserve"> para um ramo distinto da igreja primitiva caracterizado por modos de pensamento gregos. Sua identificação real é disputada, e as seguintes possibilidades foram propostas: (1) judeus de fala grega em vez de judeus de fala aramaica (mas “hebreus”, como em </w:t>
      </w:r>
      <w:hyperlink r:id="rId10198">
        <w:r>
          <w:rPr>
            <w:color w:val="0000EE"/>
            <w:u w:val="single"/>
          </w:rPr>
          <w:t>6.1</w:t>
        </w:r>
      </w:hyperlink>
      <w:r>
        <w:t xml:space="preserve">, raramente era usado em um sentido linguístico); (2) prosélitos de “gregos” em oposição aos verdadeiros judeus (a lista de diáconos em </w:t>
      </w:r>
      <w:hyperlink r:id="rId1992">
        <w:r>
          <w:rPr>
            <w:color w:val="0000EE"/>
            <w:u w:val="single"/>
          </w:rPr>
          <w:t>6.5</w:t>
        </w:r>
      </w:hyperlink>
      <w:r>
        <w:t xml:space="preserve"> torna isso duvidoso, pois é improvável que todos fossem prosélitos); (3) judeus da diáspora vivendo na Palestina (se encaixa em </w:t>
      </w:r>
      <w:hyperlink r:id="rId1402">
        <w:r>
          <w:rPr>
            <w:color w:val="0000EE"/>
            <w:u w:val="single"/>
          </w:rPr>
          <w:t>6.1–6</w:t>
        </w:r>
      </w:hyperlink>
      <w:r>
        <w:t xml:space="preserve"> mas não nas outras passagens); (4) seita pró-helenista dentro do judaísmo (isso não se encaixa no tom geral das passagens); (5) gentios que se juntaram à igreja em uma data precoce (isso realmente não se encaixa no contexto de todas as três passagens); (6) um termo geral, não específico, referindo-se simplesmente a alguém que fala grego ou segue costumes gregos (ou ambos). Esta é a melhor resposta, como um estudo do contexto ilustra.</w:t>
      </w:r>
    </w:p>
    <w:p>
      <w:r/>
      <w:r>
        <w:t xml:space="preserve">Em </w:t>
      </w:r>
      <w:hyperlink r:id="rId10198">
        <w:r>
          <w:rPr>
            <w:color w:val="0000EE"/>
            <w:u w:val="single"/>
          </w:rPr>
          <w:t>6.1</w:t>
        </w:r>
      </w:hyperlink>
      <w:r>
        <w:t xml:space="preserve">, o grupo provavelmente era composto por judeus helenísticos que viviam na Palestina. Isso é evidenciado nos diáconos escolhidos em </w:t>
      </w:r>
      <w:hyperlink r:id="rId1992">
        <w:r>
          <w:rPr>
            <w:color w:val="0000EE"/>
            <w:u w:val="single"/>
          </w:rPr>
          <w:t>6.5</w:t>
        </w:r>
      </w:hyperlink>
      <w:r>
        <w:t xml:space="preserve">. Lucas usou nomes gregos para todos eles, provavelmente não porque fossem gregos, mas para simbolizar o desejo dos apóstolos de unificar os grupos separados. A maioria dos judeus no mundo antigo tinha três nomes — um judeu, um grego e um romano — e usava um ou outro dependendo da ocasião. A diversidade é ainda mais aparente em </w:t>
      </w:r>
      <w:hyperlink r:id="rId743">
        <w:r>
          <w:rPr>
            <w:color w:val="0000EE"/>
            <w:u w:val="single"/>
          </w:rPr>
          <w:t>6.9</w:t>
        </w:r>
      </w:hyperlink>
      <w:r>
        <w:t>. Os judeus helenísticos diferiam suficientemente em seu histórico e hábitos de adoração, especialmente no uso do grego no serviço, de modo que haveria sinagogas separadas para eles (havia sete dessas apenas em Jerusalém). Isso criou uma situação potencialmente divisiva para a igreja primitiva, e o cisma aqui foi o resultado. Os “hebreus” naturalmente tenderiam a alocar o fundo comum para aqueles que conheciam, e assim a separação entre os grupos aumentaria o problema.</w:t>
      </w:r>
    </w:p>
    <w:p>
      <w:r/>
      <w:r>
        <w:t xml:space="preserve">Em </w:t>
      </w:r>
      <w:hyperlink r:id="rId10199">
        <w:r>
          <w:rPr>
            <w:color w:val="0000EE"/>
            <w:u w:val="single"/>
          </w:rPr>
          <w:t>9.29</w:t>
        </w:r>
      </w:hyperlink>
      <w:r>
        <w:t xml:space="preserve">, os “helenistas” são membros do mesmo grupo. Paulo, ele próprio um judeu da diáspora, naturalmente procuraria seus antigos compatriotas em sua primeira visita a Jerusalém após sua conversão. Em </w:t>
      </w:r>
      <w:hyperlink r:id="rId4993">
        <w:r>
          <w:rPr>
            <w:color w:val="0000EE"/>
            <w:u w:val="single"/>
          </w:rPr>
          <w:t>11.20</w:t>
        </w:r>
      </w:hyperlink>
      <w:r>
        <w:t xml:space="preserve">, as evidências dos manuscritos estão igualmente divididas entre “helenistas” e “gregos”. Como “helenista” é usado em </w:t>
      </w:r>
      <w:hyperlink r:id="rId4993">
        <w:r>
          <w:rPr>
            <w:color w:val="0000EE"/>
            <w:u w:val="single"/>
          </w:rPr>
          <w:t>11.20</w:t>
        </w:r>
      </w:hyperlink>
      <w:r>
        <w:t xml:space="preserve">, designa a população de fala grega de Antioquia e, portanto, gentios em geral. Isso é diferente dos usos em </w:t>
      </w:r>
      <w:hyperlink r:id="rId10198">
        <w:r>
          <w:rPr>
            <w:color w:val="0000EE"/>
            <w:u w:val="single"/>
          </w:rPr>
          <w:t>6.1</w:t>
        </w:r>
      </w:hyperlink>
      <w:r>
        <w:t xml:space="preserve"> e </w:t>
      </w:r>
      <w:hyperlink r:id="rId10199">
        <w:r>
          <w:rPr>
            <w:color w:val="0000EE"/>
            <w:u w:val="single"/>
          </w:rPr>
          <w:t>9.29</w:t>
        </w:r>
      </w:hyperlink>
      <w:r>
        <w:t>.</w:t>
      </w:r>
    </w:p>
    <w:p>
      <w:r/>
      <w:r>
        <w:rPr>
          <w:i/>
        </w:rPr>
        <w:t>Veja também</w:t>
      </w:r>
      <w:r>
        <w:t xml:space="preserve"> </w:t>
      </w:r>
      <w:r>
        <w:t>Atos dos Apóstolos, Livro de</w:t>
      </w:r>
      <w:r>
        <w:t xml:space="preserve">; </w:t>
      </w:r>
      <w:r>
        <w:t>Helenismo</w:t>
      </w:r>
      <w:r>
        <w:t xml:space="preserve">; </w:t>
      </w:r>
      <w:r>
        <w:t>Judaísmo</w:t>
      </w:r>
      <w:r>
        <w:t>.</w:t>
      </w:r>
      <w:r/>
      <w:r/>
    </w:p>
    <w:p>
      <w:r/>
    </w:p>
    <w:p>
      <w:pPr>
        <w:pStyle w:val="Heading2"/>
      </w:pPr>
      <w:r>
        <w:t>Heleque, Helequita</w:t>
      </w:r>
      <w:r/>
    </w:p>
    <w:p>
      <w:r/>
      <w:r>
        <w:t>Um filho de Gileade da tribo de Manassés (</w:t>
      </w:r>
      <w:hyperlink r:id="rId2761">
        <w:r>
          <w:rPr>
            <w:color w:val="0000EE"/>
            <w:u w:val="single"/>
          </w:rPr>
          <w:t>Js 17.2</w:t>
        </w:r>
      </w:hyperlink>
      <w:r>
        <w:t>). Ele fundou o clã Helequita (</w:t>
      </w:r>
      <w:hyperlink r:id="rId82">
        <w:r>
          <w:rPr>
            <w:color w:val="0000EE"/>
            <w:u w:val="single"/>
          </w:rPr>
          <w:t>Nm 26.30</w:t>
        </w:r>
      </w:hyperlink>
      <w:r>
        <w:t>).</w:t>
      </w:r>
      <w:r/>
      <w:r/>
    </w:p>
    <w:p>
      <w:r/>
    </w:p>
    <w:p>
      <w:pPr>
        <w:pStyle w:val="Heading2"/>
      </w:pPr>
      <w:r>
        <w:t>Heliópolis</w:t>
      </w:r>
      <w:r/>
    </w:p>
    <w:p>
      <w:r/>
      <w:r>
        <w:t>Uma antiga cidade egípcia conhecida por adorar o deus do sol Rá. Seu nome significa "cidade do sol". Estava localizada na área do delta do Rio Nilo no Baixo Egito, perto da moderna Cairo. Heliópolis tornou-se importante por volta de 2400 a.C., quando Atum-Rá se tornou o deus principal. Muitos faraós melhoraram os templos da cidade e construíram monumentos, especialmente durante o período do Novo Reino (1570–1150 a.C.).</w:t>
      </w:r>
    </w:p>
    <w:p>
      <w:r/>
      <w:r>
        <w:t>Os templos em Heliópolis mantinham os registros reais, por isso os sacerdotes se tornaram os historiadores oficiais do Egito. Heródoto, um historiador grego do século V a.C., afirmou que os sacerdotes em Heliópolis eram famosos por conhecerem a história egípcia. A cidade também possuía escolas para sacerdotes e uma escola de medicina.</w:t>
      </w:r>
    </w:p>
    <w:p>
      <w:r/>
      <w:r>
        <w:t>Havia outros centros de adoração ao sol no Egito, mas Heliópolis permaneceu popular por cerca de 2.000 anos. Embora não fosse muito importante politicamente, teve uma grande influência na religião. O templo de Rá em Heliópolis era o segundo maior edifício religioso do Egito, depois do templo de Amon em Tebas.</w:t>
      </w:r>
    </w:p>
    <w:p>
      <w:r/>
      <w:r>
        <w:t>No Antigo Testamento, Heliópolis é chamada de Om. Quando José trabalhou para o governo egípcio, ele se casou com Asenate, cujo pai Potífera era sacerdote de Om (</w:t>
      </w:r>
      <w:hyperlink r:id="rId7996">
        <w:r>
          <w:rPr>
            <w:color w:val="0000EE"/>
            <w:u w:val="single"/>
          </w:rPr>
          <w:t>Gn 41.45,50</w:t>
        </w:r>
      </w:hyperlink>
      <w:r>
        <w:t xml:space="preserve">; </w:t>
      </w:r>
      <w:hyperlink r:id="rId2938">
        <w:r>
          <w:rPr>
            <w:color w:val="0000EE"/>
            <w:u w:val="single"/>
          </w:rPr>
          <w:t>46.20</w:t>
        </w:r>
      </w:hyperlink>
      <w:r>
        <w:t>). O profeta Ezequiel advertiu que o rei babilônico Nabucodonosor destruiria cidades egípcias, incluindo Heliópolis (</w:t>
      </w:r>
      <w:hyperlink r:id="rId10502">
        <w:r>
          <w:rPr>
            <w:color w:val="0000EE"/>
            <w:u w:val="single"/>
          </w:rPr>
          <w:t>Ez 30.17</w:t>
        </w:r>
      </w:hyperlink>
      <w:r>
        <w:t>).</w:t>
      </w:r>
    </w:p>
    <w:p>
      <w:r/>
      <w:r>
        <w:t xml:space="preserve">No livro de </w:t>
      </w:r>
      <w:hyperlink r:id="rId10503">
        <w:r>
          <w:rPr>
            <w:color w:val="0000EE"/>
            <w:u w:val="single"/>
          </w:rPr>
          <w:t>Amós 1.5</w:t>
        </w:r>
      </w:hyperlink>
      <w:r>
        <w:t xml:space="preserve">, a Bíblia em inglês Revised Standard Version (RSV) oferece uma maneira diferente de ler "Vale de Áven". Na margem, sugere "Om" como outra possível tradução. A mesma mudança é vista em </w:t>
      </w:r>
      <w:hyperlink r:id="rId10502">
        <w:r>
          <w:rPr>
            <w:color w:val="0000EE"/>
            <w:u w:val="single"/>
          </w:rPr>
          <w:t>Ez 30.17</w:t>
        </w:r>
      </w:hyperlink>
      <w:r>
        <w:t>, onde a New Living Translation (NLT) usa "Heliópolis" no lugar.</w:t>
      </w:r>
    </w:p>
    <w:p>
      <w:r/>
      <w:r>
        <w:t>Jeremias também disse que os pilares sagrados de Heliópolis seriam destruídos (</w:t>
      </w:r>
      <w:hyperlink r:id="rId10504">
        <w:r>
          <w:rPr>
            <w:color w:val="0000EE"/>
            <w:u w:val="single"/>
          </w:rPr>
          <w:t>Jr 43.13</w:t>
        </w:r>
      </w:hyperlink>
      <w:r>
        <w:t xml:space="preserve">). </w:t>
      </w:r>
      <w:hyperlink r:id="rId10505">
        <w:r>
          <w:rPr>
            <w:color w:val="0000EE"/>
            <w:u w:val="single"/>
          </w:rPr>
          <w:t>Isaías 19.18</w:t>
        </w:r>
      </w:hyperlink>
      <w:r>
        <w:t xml:space="preserve"> pode também se referir a Heliópolis.</w:t>
      </w:r>
    </w:p>
    <w:p>
      <w:r/>
      <w:r>
        <w:t>Heliópolis perdeu importância nos séculos IV e III a.C., em parte devido à nova biblioteca em Alexandria. Alexandria tornou-se o principal centro de aprendizado do Egito.</w:t>
      </w:r>
    </w:p>
    <w:p>
      <w:r/>
      <w:r>
        <w:t>Hoje, não resta muito da antiga cidade do sol, mas ainda se pode ver um obelisco construído por Sesóstris I no local de Heliópolis. Sesóstris I governou o Egito de 1971 a 1928 a.C. Vários obeliscos de Heliópolis, construídos por Tutmés III, foram movidos para diferentes partes do mundo nos tempos modernos. Tutmés III governou o Egito de 1490 a 1436 a.C.</w:t>
      </w:r>
      <w:r/>
      <w:r/>
    </w:p>
    <w:p>
      <w:r/>
    </w:p>
    <w:p>
      <w:pPr>
        <w:pStyle w:val="Heading2"/>
      </w:pPr>
      <w:r>
        <w:t>Helom</w:t>
      </w:r>
      <w:r/>
    </w:p>
    <w:p>
      <w:r/>
      <w:r>
        <w:t>O pai de Eliabe. Ele era o líder da tribo de Zebulom quando Moisés contou todo o povo israelita (chamado de censo) por ordem de Deus (</w:t>
      </w:r>
      <w:hyperlink r:id="rId7879">
        <w:r>
          <w:rPr>
            <w:color w:val="0000EE"/>
            <w:u w:val="single"/>
          </w:rPr>
          <w:t>Nm 1.9</w:t>
        </w:r>
      </w:hyperlink>
      <w:r>
        <w:t xml:space="preserve">; </w:t>
      </w:r>
      <w:hyperlink r:id="rId7880">
        <w:r>
          <w:rPr>
            <w:color w:val="0000EE"/>
            <w:u w:val="single"/>
          </w:rPr>
          <w:t>2.7</w:t>
        </w:r>
      </w:hyperlink>
      <w:r>
        <w:t xml:space="preserve">; </w:t>
      </w:r>
      <w:hyperlink r:id="rId7882">
        <w:r>
          <w:rPr>
            <w:color w:val="0000EE"/>
            <w:u w:val="single"/>
          </w:rPr>
          <w:t>7.24,29</w:t>
        </w:r>
      </w:hyperlink>
      <w:r>
        <w:t xml:space="preserve">; </w:t>
      </w:r>
      <w:hyperlink r:id="rId7881">
        <w:r>
          <w:rPr>
            <w:color w:val="0000EE"/>
            <w:u w:val="single"/>
          </w:rPr>
          <w:t>10.16</w:t>
        </w:r>
      </w:hyperlink>
      <w:r>
        <w:t>).</w:t>
      </w:r>
      <w:r/>
      <w:r/>
    </w:p>
    <w:p>
      <w:r/>
    </w:p>
    <w:p>
      <w:pPr>
        <w:pStyle w:val="Heading2"/>
      </w:pPr>
      <w:r>
        <w:t>Hemorragia</w:t>
      </w:r>
      <w:r/>
    </w:p>
    <w:p>
      <w:r/>
      <w:r>
        <w:t>Emissão de sangue, vindo de qualquer corte ou sangramento nasal (</w:t>
      </w:r>
      <w:hyperlink r:id="rId10506">
        <w:r>
          <w:rPr>
            <w:color w:val="0000EE"/>
            <w:u w:val="single"/>
          </w:rPr>
          <w:t>Pv 30.33</w:t>
        </w:r>
      </w:hyperlink>
      <w:r>
        <w:t xml:space="preserve">). No entanto, nas Escrituras, quase sempre se refere ao sangramento vaginal. As leis sobre a menstruação normal e anormal são dadas em </w:t>
      </w:r>
      <w:hyperlink r:id="rId10507">
        <w:r>
          <w:rPr>
            <w:color w:val="0000EE"/>
            <w:u w:val="single"/>
          </w:rPr>
          <w:t>Levítico 15.19–30</w:t>
        </w:r>
      </w:hyperlink>
      <w:r>
        <w:t>. Uma mulher com menstruação normal era considerada impura por sete dias, juntamente com qualquer coisa que entrasse em contato com ela. Uma mulher que sangrasse por mais de sete dias era considerada impura enquanto estivesse sangrando e por mais sete dias adicionais.</w:t>
      </w:r>
    </w:p>
    <w:p>
      <w:r/>
      <w:r>
        <w:t>Todos os Evangelhos, exceto João, dão um relato da cura milagrosa de Jesus da mulher que teve uma hemorragia por 12 anos (</w:t>
      </w:r>
      <w:hyperlink r:id="rId9588">
        <w:r>
          <w:rPr>
            <w:color w:val="0000EE"/>
            <w:u w:val="single"/>
          </w:rPr>
          <w:t>Mt 9.20–22</w:t>
        </w:r>
      </w:hyperlink>
      <w:r>
        <w:t xml:space="preserve">; </w:t>
      </w:r>
      <w:hyperlink r:id="rId9589">
        <w:r>
          <w:rPr>
            <w:color w:val="0000EE"/>
            <w:u w:val="single"/>
          </w:rPr>
          <w:t>Mc 5.25–34</w:t>
        </w:r>
      </w:hyperlink>
      <w:r>
        <w:t xml:space="preserve">; </w:t>
      </w:r>
      <w:hyperlink r:id="rId9590">
        <w:r>
          <w:rPr>
            <w:color w:val="0000EE"/>
            <w:u w:val="single"/>
          </w:rPr>
          <w:t>Lc 8.43–48</w:t>
        </w:r>
      </w:hyperlink>
      <w:r>
        <w:t>). Ao tocar a roupa de Jesus, a mulher estava realmente violando as leis do AT sobre a menstruação e tornando a roupa de Jesus impura (</w:t>
      </w:r>
      <w:hyperlink r:id="rId9585">
        <w:r>
          <w:rPr>
            <w:color w:val="0000EE"/>
            <w:u w:val="single"/>
          </w:rPr>
          <w:t>Lv 15</w:t>
        </w:r>
      </w:hyperlink>
      <w:r>
        <w:t>). Seu ato corajoso de fé em Jesus a curou.</w:t>
      </w:r>
    </w:p>
    <w:p>
      <w:r/>
      <w:r>
        <w:rPr>
          <w:i/>
        </w:rPr>
        <w:t>Veja também</w:t>
      </w:r>
      <w:r>
        <w:t xml:space="preserve"> </w:t>
      </w:r>
      <w:r>
        <w:t>Medicina e Prática Médica</w:t>
      </w:r>
      <w:r>
        <w:t>.</w:t>
      </w:r>
      <w:r/>
      <w:r/>
    </w:p>
    <w:p>
      <w:r/>
    </w:p>
    <w:p>
      <w:pPr>
        <w:pStyle w:val="Heading2"/>
      </w:pPr>
      <w:r>
        <w:t>Hemorroida</w:t>
      </w:r>
      <w:r/>
    </w:p>
    <w:p>
      <w:r/>
      <w:r>
        <w:t xml:space="preserve">1. Tradução de algumas versões em português (e.g. ARC) para úlcera em </w:t>
      </w:r>
      <w:hyperlink r:id="rId7464">
        <w:r>
          <w:rPr>
            <w:color w:val="0000EE"/>
            <w:u w:val="single"/>
          </w:rPr>
          <w:t>Deuteronômio 28.27</w:t>
        </w:r>
      </w:hyperlink>
      <w:r>
        <w:t xml:space="preserve">. </w:t>
      </w:r>
    </w:p>
    <w:p>
      <w:r/>
      <w:r>
        <w:rPr>
          <w:i/>
        </w:rPr>
        <w:t>Veja</w:t>
      </w:r>
      <w:r>
        <w:t xml:space="preserve"> </w:t>
      </w:r>
      <w:r>
        <w:t>Ferida</w:t>
      </w:r>
      <w:r>
        <w:t>.</w:t>
      </w:r>
    </w:p>
    <w:p>
      <w:r/>
      <w:r>
        <w:t xml:space="preserve">2. Tradução de algumas versões em português (e.g. ARC) para tumor em </w:t>
      </w:r>
      <w:hyperlink r:id="rId9537">
        <w:r>
          <w:rPr>
            <w:color w:val="0000EE"/>
            <w:u w:val="single"/>
          </w:rPr>
          <w:t>1 Samuel 5.6–12</w:t>
        </w:r>
      </w:hyperlink>
      <w:r>
        <w:t xml:space="preserve"> e </w:t>
      </w:r>
      <w:hyperlink r:id="rId10508">
        <w:r>
          <w:rPr>
            <w:color w:val="0000EE"/>
            <w:u w:val="single"/>
          </w:rPr>
          <w:t>6.4–17</w:t>
        </w:r>
      </w:hyperlink>
      <w:r>
        <w:t xml:space="preserve">. </w:t>
      </w:r>
    </w:p>
    <w:p>
      <w:r/>
      <w:r>
        <w:rPr>
          <w:i/>
        </w:rPr>
        <w:t>Veja</w:t>
      </w:r>
      <w:r>
        <w:t xml:space="preserve"> </w:t>
      </w:r>
      <w:r>
        <w:t>Tumor</w:t>
      </w:r>
      <w:r>
        <w:t>.</w:t>
      </w:r>
      <w:r/>
      <w:r/>
    </w:p>
    <w:p>
      <w:r/>
    </w:p>
    <w:p>
      <w:pPr>
        <w:pStyle w:val="Heading2"/>
      </w:pPr>
      <w:r>
        <w:t>Hendã</w:t>
      </w:r>
      <w:r/>
    </w:p>
    <w:p>
      <w:r/>
      <w:r>
        <w:t>Filho de Disom e descendente de Seir, o horita (</w:t>
      </w:r>
      <w:hyperlink r:id="rId8134">
        <w:r>
          <w:rPr>
            <w:color w:val="0000EE"/>
            <w:u w:val="single"/>
          </w:rPr>
          <w:t>Gn 36.26</w:t>
        </w:r>
      </w:hyperlink>
      <w:r>
        <w:t>). Ele também é chamado de Hanrão</w:t>
      </w:r>
      <w:r>
        <w:rPr>
          <w:b/>
          <w:i/>
        </w:rPr>
        <w:t xml:space="preserve"> </w:t>
      </w:r>
      <w:r>
        <w:t xml:space="preserve">em </w:t>
      </w:r>
      <w:hyperlink r:id="rId7357">
        <w:r>
          <w:rPr>
            <w:color w:val="0000EE"/>
            <w:u w:val="single"/>
          </w:rPr>
          <w:t>1Cr 1.41.</w:t>
        </w:r>
      </w:hyperlink>
      <w:r/>
      <w:r/>
    </w:p>
    <w:p>
      <w:r/>
    </w:p>
    <w:p>
      <w:pPr>
        <w:pStyle w:val="Heading2"/>
      </w:pPr>
      <w:r>
        <w:t>Herança</w:t>
      </w:r>
      <w:r/>
    </w:p>
    <w:p>
      <w:r/>
      <w:r>
        <w:t>Legado ou doação. A herança desempenha um papel incomumente significativo nas Escrituras quando é usada para transmitir verdades teológicas. Como poderíamos esperar, essas aplicações teológicas refletem os costumes legais em vigor durante os tempos do AT e do NT.</w:t>
      </w:r>
    </w:p>
    <w:p>
      <w:pPr>
        <w:pStyle w:val="Heading3"/>
      </w:pPr>
      <w:r>
        <w:t>Aspecto legal e histórico</w:t>
      </w:r>
    </w:p>
    <w:p>
      <w:pPr>
        <w:pStyle w:val="Heading4"/>
      </w:pPr>
      <w:r>
        <w:t>Os patriarcas</w:t>
      </w:r>
    </w:p>
    <w:p>
      <w:r/>
      <w:r>
        <w:t>Aprendemos algo das práticas do início do segundo milênio a.C. das histórias patriarcais em Gênesis. Por exemplo, a narrativa indica que o primogênito normalmente poderia esperar receber o direito de primogenitura. No entanto, as exceções abundam. Ismael (</w:t>
      </w:r>
      <w:hyperlink r:id="rId9831">
        <w:r>
          <w:rPr>
            <w:color w:val="0000EE"/>
            <w:u w:val="single"/>
          </w:rPr>
          <w:t>Gn 16.15</w:t>
        </w:r>
      </w:hyperlink>
      <w:r>
        <w:t xml:space="preserve">; </w:t>
      </w:r>
      <w:hyperlink r:id="rId10509">
        <w:r>
          <w:rPr>
            <w:color w:val="0000EE"/>
            <w:u w:val="single"/>
          </w:rPr>
          <w:t>17.15–21</w:t>
        </w:r>
      </w:hyperlink>
      <w:r>
        <w:t>), Esaú (</w:t>
      </w:r>
      <w:hyperlink r:id="rId10510">
        <w:r>
          <w:rPr>
            <w:color w:val="0000EE"/>
            <w:u w:val="single"/>
          </w:rPr>
          <w:t>25.23</w:t>
        </w:r>
      </w:hyperlink>
      <w:r>
        <w:t>) e Rúben (</w:t>
      </w:r>
      <w:hyperlink r:id="rId10511">
        <w:r>
          <w:rPr>
            <w:color w:val="0000EE"/>
            <w:u w:val="single"/>
          </w:rPr>
          <w:t>49.3–4</w:t>
        </w:r>
      </w:hyperlink>
      <w:r>
        <w:t>) não receberam o direito de primogenitura. Outro item de interesse especial é a sugestão de Abraão de que, na ausência de um filho, seu servo Eliezer poderia ser considerado como o herdeiro (</w:t>
      </w:r>
      <w:hyperlink r:id="rId10512">
        <w:r>
          <w:rPr>
            <w:color w:val="0000EE"/>
            <w:u w:val="single"/>
          </w:rPr>
          <w:t>15.2–5</w:t>
        </w:r>
      </w:hyperlink>
      <w:r>
        <w:t>); os estudiosos encontraram confirmação desta prática nos documentos jurídicos hurritas do segundo milênio.</w:t>
      </w:r>
    </w:p>
    <w:p>
      <w:pPr>
        <w:pStyle w:val="Heading4"/>
      </w:pPr>
      <w:r>
        <w:t>A nação hebraica</w:t>
      </w:r>
    </w:p>
    <w:p>
      <w:r/>
      <w:r>
        <w:t xml:space="preserve">De acordo com </w:t>
      </w:r>
      <w:hyperlink r:id="rId5355">
        <w:r>
          <w:rPr>
            <w:color w:val="0000EE"/>
            <w:u w:val="single"/>
          </w:rPr>
          <w:t>Deuteronômio 21.15–17</w:t>
        </w:r>
      </w:hyperlink>
      <w:r>
        <w:t>, os primogênitos hebreus eram legalmente incluídos em uma porção dupla da herança. A lei israelita também provia às viúvas através da prática do casamento levirato (</w:t>
      </w:r>
      <w:hyperlink r:id="rId4546">
        <w:r>
          <w:rPr>
            <w:color w:val="0000EE"/>
            <w:u w:val="single"/>
          </w:rPr>
          <w:t>Dt 25.5</w:t>
        </w:r>
      </w:hyperlink>
      <w:r>
        <w:t xml:space="preserve">; ver </w:t>
      </w:r>
      <w:hyperlink r:id="rId8517">
        <w:r>
          <w:rPr>
            <w:color w:val="0000EE"/>
            <w:u w:val="single"/>
          </w:rPr>
          <w:t>Gn 38.8</w:t>
        </w:r>
      </w:hyperlink>
      <w:r>
        <w:t xml:space="preserve">; </w:t>
      </w:r>
      <w:hyperlink r:id="rId10513">
        <w:r>
          <w:rPr>
            <w:color w:val="0000EE"/>
            <w:u w:val="single"/>
          </w:rPr>
          <w:t>Rt 4.5</w:t>
        </w:r>
      </w:hyperlink>
      <w:r>
        <w:t>).</w:t>
      </w:r>
    </w:p>
    <w:p>
      <w:r/>
      <w:r>
        <w:t xml:space="preserve">De acordo com </w:t>
      </w:r>
      <w:hyperlink r:id="rId9883">
        <w:r>
          <w:rPr>
            <w:color w:val="0000EE"/>
            <w:u w:val="single"/>
          </w:rPr>
          <w:t>Números 27.1–11</w:t>
        </w:r>
      </w:hyperlink>
      <w:r>
        <w:t>, as filhas de Zelofeade argumentaram que deveriam receber a herança, uma vez que seu pai havia morrido sem filhos. Consequentemente, Deus decretou que se um homem morresse sem filhos, a herança deveria ser transferida para sua filha; se ele não tivesse filha, para seus irmãos; se ele não tivesse irmãos, para seus parentes mais próximos. Este incidente especial também ilustra a importância de preservar os bens tribais: as filhas de Zelofeade não podiam se casar fora da tribo de Manassés, pois isso significaria transferência da propriedade para outra tribo (</w:t>
      </w:r>
      <w:hyperlink r:id="rId10514">
        <w:r>
          <w:rPr>
            <w:color w:val="0000EE"/>
            <w:u w:val="single"/>
          </w:rPr>
          <w:t>Nm 36</w:t>
        </w:r>
      </w:hyperlink>
      <w:r>
        <w:t>).</w:t>
      </w:r>
    </w:p>
    <w:p>
      <w:r/>
      <w:r>
        <w:t xml:space="preserve">Quão altamente os israelitas valorizavam os bens herdados de sua família pode ser reunido de </w:t>
      </w:r>
      <w:hyperlink r:id="rId10515">
        <w:r>
          <w:rPr>
            <w:color w:val="0000EE"/>
            <w:u w:val="single"/>
          </w:rPr>
          <w:t>Levítico 25.25–28</w:t>
        </w:r>
      </w:hyperlink>
      <w:r>
        <w:t xml:space="preserve">. Se um indivíduo vendesse sua terra por razões financeiras, deve ser feita uma provisão para um parente resgatá-la; se ele não tivesse nenhum parente próximo, ele ainda poderia comprá-la de volta mais tarde, e mesmo se ele não pudesse se dar ao luxo de fazê-lo, a terra automaticamente reverteria para ele no Ano do Jubileu, quando todas as dívidas eram canceladas (note também </w:t>
      </w:r>
      <w:hyperlink r:id="rId10516">
        <w:r>
          <w:rPr>
            <w:color w:val="0000EE"/>
            <w:u w:val="single"/>
          </w:rPr>
          <w:t>Lv 27.14–25</w:t>
        </w:r>
      </w:hyperlink>
      <w:r>
        <w:t>).</w:t>
      </w:r>
    </w:p>
    <w:p>
      <w:pPr>
        <w:pStyle w:val="Heading4"/>
      </w:pPr>
      <w:r>
        <w:t>No Novo Testamento</w:t>
      </w:r>
    </w:p>
    <w:p>
      <w:r/>
      <w:r>
        <w:t xml:space="preserve">Além da referência ao casamento levirato em </w:t>
      </w:r>
      <w:hyperlink r:id="rId10517">
        <w:r>
          <w:rPr>
            <w:color w:val="0000EE"/>
            <w:u w:val="single"/>
          </w:rPr>
          <w:t>Mateus 22.23–33</w:t>
        </w:r>
      </w:hyperlink>
      <w:r>
        <w:t xml:space="preserve"> (</w:t>
      </w:r>
      <w:hyperlink r:id="rId10518">
        <w:r>
          <w:rPr>
            <w:color w:val="0000EE"/>
            <w:u w:val="single"/>
          </w:rPr>
          <w:t>Mc 12.18–27</w:t>
        </w:r>
      </w:hyperlink>
      <w:r>
        <w:t xml:space="preserve">; </w:t>
      </w:r>
      <w:hyperlink r:id="rId10519">
        <w:r>
          <w:rPr>
            <w:color w:val="0000EE"/>
            <w:u w:val="single"/>
          </w:rPr>
          <w:t>Lc 20.27–40</w:t>
        </w:r>
      </w:hyperlink>
      <w:r>
        <w:t>), o NT tem pouco a dizer sobre princípios de transferência de propriedade durante os tempos romanos.</w:t>
      </w:r>
    </w:p>
    <w:p>
      <w:r/>
      <w:r>
        <w:t>Na parábola do filho pródigo, o filho mais novo da família pediu sua parte da herança (</w:t>
      </w:r>
      <w:hyperlink r:id="rId10520">
        <w:r>
          <w:rPr>
            <w:color w:val="0000EE"/>
            <w:u w:val="single"/>
          </w:rPr>
          <w:t>Lc 15.12</w:t>
        </w:r>
      </w:hyperlink>
      <w:r>
        <w:t>). Deve-se também notar que o filho mais velho, que com falsa piedade desprezava o comportamento de seu irmão, não havia protestado quando seu irmão pedia a herança; pelo contrário, o irmão mais velho também, sem se queixar, recebeu sua parte — presumivelmente uma porção dupla.</w:t>
      </w:r>
    </w:p>
    <w:p>
      <w:r/>
      <w:r>
        <w:t>Em outra passagem significativa (</w:t>
      </w:r>
      <w:hyperlink r:id="rId10521">
        <w:r>
          <w:rPr>
            <w:color w:val="0000EE"/>
            <w:u w:val="single"/>
          </w:rPr>
          <w:t>Gl 4.1–2</w:t>
        </w:r>
      </w:hyperlink>
      <w:r>
        <w:t>), Paulo buscando ilustrar um ponto teológico, se refere às práticas mundanas. Um herdeiro, ele nos diz, está sujeito aos guardiões e supervisores durante sua infância, até o tempo que ele realmente herda. O ponto que Paulo quer estabelecer é claro o suficiente, mas a ilustração não coincide com o que sabemos da lei romana e, infelizmente, os estudiosos foram incapazes de identificar o costume social preciso em vista. Pode ser que Paulo estava fazendo referência, em geral, em vez de termos estritamente legais, a alguma prática com a qual ele e os gálatas estavam familiarizados.</w:t>
      </w:r>
    </w:p>
    <w:p>
      <w:pPr>
        <w:pStyle w:val="Heading3"/>
      </w:pPr>
      <w:r>
        <w:t>Aspecto teológico</w:t>
      </w:r>
    </w:p>
    <w:p>
      <w:pPr>
        <w:pStyle w:val="Heading4"/>
      </w:pPr>
      <w:r>
        <w:t>Canaã como herança de Israel</w:t>
      </w:r>
    </w:p>
    <w:p>
      <w:r/>
      <w:r>
        <w:t>A convicção de que Deus deu a Palestina aos israelitas por sua herança serve como uma ponte entre os dados históricos e os teológicos. O elemento histórico está no fato óbvio de que a Terra Prometida, uma sociedade física, era certamente ocupada pelos hebreus e se distribuía entre suas tribos. Teologicamente, no entanto, as Escrituras falam desta ocupação como um presente divino; com efeito, até o método de distribuição era baseado no conceito de que a terra pertence a Deus (</w:t>
      </w:r>
      <w:hyperlink r:id="rId1955">
        <w:r>
          <w:rPr>
            <w:color w:val="0000EE"/>
            <w:u w:val="single"/>
          </w:rPr>
          <w:t>Lv 25.23</w:t>
        </w:r>
      </w:hyperlink>
      <w:r>
        <w:t xml:space="preserve">; ver </w:t>
      </w:r>
      <w:hyperlink r:id="rId10522">
        <w:r>
          <w:rPr>
            <w:color w:val="0000EE"/>
            <w:u w:val="single"/>
          </w:rPr>
          <w:t>Êx 15.17</w:t>
        </w:r>
      </w:hyperlink>
      <w:r>
        <w:t xml:space="preserve">; </w:t>
      </w:r>
      <w:hyperlink r:id="rId10523">
        <w:r>
          <w:rPr>
            <w:color w:val="0000EE"/>
            <w:u w:val="single"/>
          </w:rPr>
          <w:t>Js 22.27</w:t>
        </w:r>
      </w:hyperlink>
      <w:r>
        <w:t xml:space="preserve">; </w:t>
      </w:r>
      <w:hyperlink r:id="rId10524">
        <w:r>
          <w:rPr>
            <w:color w:val="0000EE"/>
            <w:u w:val="single"/>
          </w:rPr>
          <w:t>Ez 38.16</w:t>
        </w:r>
      </w:hyperlink>
      <w:r>
        <w:t xml:space="preserve">; </w:t>
      </w:r>
      <w:hyperlink r:id="rId10525">
        <w:r>
          <w:rPr>
            <w:color w:val="0000EE"/>
            <w:u w:val="single"/>
          </w:rPr>
          <w:t>Jl 1.6</w:t>
        </w:r>
      </w:hyperlink>
      <w:r>
        <w:t>).</w:t>
      </w:r>
    </w:p>
    <w:p>
      <w:r/>
      <w:r>
        <w:t xml:space="preserve">O tema remete aos tempos remotos de </w:t>
      </w:r>
      <w:hyperlink r:id="rId162">
        <w:r>
          <w:rPr>
            <w:color w:val="0000EE"/>
            <w:u w:val="single"/>
          </w:rPr>
          <w:t>Gênesis 12.1–3</w:t>
        </w:r>
      </w:hyperlink>
      <w:r>
        <w:t>. Deus, ao escolher Abraão, o instruiu a se mudar para um novo país e prometeu torná-lo uma grande e abençoada nação (</w:t>
      </w:r>
      <w:hyperlink r:id="rId10526">
        <w:r>
          <w:rPr>
            <w:color w:val="0000EE"/>
            <w:u w:val="single"/>
          </w:rPr>
          <w:t>Hb 11.8</w:t>
        </w:r>
      </w:hyperlink>
      <w:r>
        <w:t>). O significado da terra nesta promessa abraâmica ficou mais explícito mais tarde, quando somos informados de que Deus prometeu dar Canaã aos descendentes de Abraão após quatro séculos de escravidão egípcia (</w:t>
      </w:r>
      <w:hyperlink r:id="rId10527">
        <w:r>
          <w:rPr>
            <w:color w:val="0000EE"/>
            <w:u w:val="single"/>
          </w:rPr>
          <w:t>Gn 15.12–21</w:t>
        </w:r>
      </w:hyperlink>
      <w:r>
        <w:t xml:space="preserve">; ver </w:t>
      </w:r>
      <w:hyperlink r:id="rId10528">
        <w:r>
          <w:rPr>
            <w:color w:val="0000EE"/>
            <w:u w:val="single"/>
          </w:rPr>
          <w:t>Atos 7.5</w:t>
        </w:r>
      </w:hyperlink>
      <w:r>
        <w:t>).</w:t>
      </w:r>
    </w:p>
    <w:p>
      <w:r/>
      <w:r>
        <w:t xml:space="preserve">Uma vez que Canaã estava ocupada por habitantes ímpios, a terra deveria ser tomada à força; herdar a terra, portanto, realmente significa </w:t>
      </w:r>
      <w:r>
        <w:rPr>
          <w:i/>
        </w:rPr>
        <w:t>tomar posse</w:t>
      </w:r>
      <w:r>
        <w:t xml:space="preserve"> dela. Israel deve confiar em Deus, de quem é a terra, para dar-lhes a vitória (</w:t>
      </w:r>
      <w:hyperlink r:id="rId10529">
        <w:r>
          <w:rPr>
            <w:color w:val="0000EE"/>
            <w:u w:val="single"/>
          </w:rPr>
          <w:t>Js 1.1–9</w:t>
        </w:r>
      </w:hyperlink>
      <w:r>
        <w:t xml:space="preserve">; </w:t>
      </w:r>
      <w:hyperlink r:id="rId2462">
        <w:r>
          <w:rPr>
            <w:color w:val="0000EE"/>
            <w:u w:val="single"/>
          </w:rPr>
          <w:t>21.43–45</w:t>
        </w:r>
      </w:hyperlink>
      <w:r>
        <w:t xml:space="preserve">; </w:t>
      </w:r>
      <w:hyperlink r:id="rId10530">
        <w:r>
          <w:rPr>
            <w:color w:val="0000EE"/>
            <w:u w:val="single"/>
          </w:rPr>
          <w:t>Jz 7.2</w:t>
        </w:r>
      </w:hyperlink>
      <w:r>
        <w:t xml:space="preserve">; </w:t>
      </w:r>
      <w:hyperlink r:id="rId10531">
        <w:r>
          <w:rPr>
            <w:color w:val="0000EE"/>
            <w:u w:val="single"/>
          </w:rPr>
          <w:t>Sl 44.1–3</w:t>
        </w:r>
      </w:hyperlink>
      <w:r>
        <w:t xml:space="preserve">; </w:t>
      </w:r>
      <w:hyperlink r:id="rId10532">
        <w:r>
          <w:rPr>
            <w:color w:val="0000EE"/>
            <w:u w:val="single"/>
          </w:rPr>
          <w:t>Atos 13.19</w:t>
        </w:r>
      </w:hyperlink>
      <w:r>
        <w:t xml:space="preserve">). Uma vez que eles conquistaram a terra, ela foi dividida entre as tribos de acordo com seu tamanho (seguindo as instruções em </w:t>
      </w:r>
      <w:hyperlink r:id="rId10533">
        <w:r>
          <w:rPr>
            <w:color w:val="0000EE"/>
            <w:u w:val="single"/>
          </w:rPr>
          <w:t>Nm 26.52–54</w:t>
        </w:r>
      </w:hyperlink>
      <w:r>
        <w:t xml:space="preserve">). Deus ordenou ainda às pessoas que dividissem a terra por sorte (vv </w:t>
      </w:r>
      <w:hyperlink r:id="rId10534">
        <w:r>
          <w:rPr>
            <w:color w:val="0000EE"/>
            <w:u w:val="single"/>
          </w:rPr>
          <w:t>55–56</w:t>
        </w:r>
      </w:hyperlink>
      <w:r>
        <w:t>). Assim, desde a promessa inicial a Abraão, até a distribuição real da terra e até mesmo com referência ao futuro (</w:t>
      </w:r>
      <w:hyperlink r:id="rId10535">
        <w:r>
          <w:rPr>
            <w:color w:val="0000EE"/>
            <w:u w:val="single"/>
          </w:rPr>
          <w:t>Is 60.21</w:t>
        </w:r>
      </w:hyperlink>
      <w:r>
        <w:t xml:space="preserve">; </w:t>
      </w:r>
      <w:hyperlink r:id="rId10536">
        <w:r>
          <w:rPr>
            <w:color w:val="0000EE"/>
            <w:u w:val="single"/>
          </w:rPr>
          <w:t>Ez 45.1–8</w:t>
        </w:r>
      </w:hyperlink>
      <w:r>
        <w:t xml:space="preserve">; </w:t>
      </w:r>
      <w:hyperlink r:id="rId10537">
        <w:r>
          <w:rPr>
            <w:color w:val="0000EE"/>
            <w:u w:val="single"/>
          </w:rPr>
          <w:t>47.13–48.29</w:t>
        </w:r>
      </w:hyperlink>
      <w:r>
        <w:t>), as pessoas estavam plenamente cientes de que sua herança estava nas mãos de um Senhor soberano.</w:t>
      </w:r>
    </w:p>
    <w:p>
      <w:pPr>
        <w:pStyle w:val="Heading4"/>
      </w:pPr>
      <w:r>
        <w:t>A herança do crente</w:t>
      </w:r>
    </w:p>
    <w:p>
      <w:r/>
      <w:r>
        <w:t>No AT, encontramos o conceito de herança transferido do puramente físico para o espiritual. A tribo de Levi, que constituía o clã sacerdotal, não recebeu herança, porque “o Senhor é sua herança” (</w:t>
      </w:r>
      <w:hyperlink r:id="rId4881">
        <w:r>
          <w:rPr>
            <w:color w:val="0000EE"/>
            <w:u w:val="single"/>
          </w:rPr>
          <w:t>Dt 18.1–2</w:t>
        </w:r>
      </w:hyperlink>
      <w:r>
        <w:t xml:space="preserve">; ver </w:t>
      </w:r>
      <w:hyperlink r:id="rId10538">
        <w:r>
          <w:rPr>
            <w:color w:val="0000EE"/>
            <w:u w:val="single"/>
          </w:rPr>
          <w:t>Nm 18.8–24</w:t>
        </w:r>
      </w:hyperlink>
      <w:r>
        <w:t>). Os levitas, em outras palavras, não recebiam nenhuma porção de terra, mas em seu serviço a Deus, eles poderiam começar a desfrutar das bênçãos mais completas para as quais a herança da terra apontava.</w:t>
      </w:r>
    </w:p>
    <w:p>
      <w:r/>
      <w:r>
        <w:t xml:space="preserve">Que esta verdade não poderia ser restrita aos levitas é insinuada em </w:t>
      </w:r>
      <w:hyperlink r:id="rId806">
        <w:r>
          <w:rPr>
            <w:color w:val="0000EE"/>
            <w:u w:val="single"/>
          </w:rPr>
          <w:t>Êxodo 19.6</w:t>
        </w:r>
      </w:hyperlink>
      <w:r>
        <w:t xml:space="preserve">, onde toda a nação é chamada de “reino de sacerdotes” (ver </w:t>
      </w:r>
      <w:hyperlink r:id="rId3643">
        <w:r>
          <w:rPr>
            <w:color w:val="0000EE"/>
            <w:u w:val="single"/>
          </w:rPr>
          <w:t>1Pe 2.9</w:t>
        </w:r>
      </w:hyperlink>
      <w:r>
        <w:t xml:space="preserve">). </w:t>
      </w:r>
      <w:hyperlink r:id="rId5290">
        <w:r>
          <w:rPr>
            <w:color w:val="0000EE"/>
            <w:u w:val="single"/>
          </w:rPr>
          <w:t>O Salmo 16</w:t>
        </w:r>
      </w:hyperlink>
      <w:r>
        <w:t xml:space="preserve"> deixa claro que ninguém entendia mais claramente do que Davi o que essas palavras implicavam. Mesmo que ele fosse privado da herança física de Israel, ele havia recebido uma herança mais bonita, o próprio Senhor, na presença de quem ele encontrou alegria completa e prazeres eternos (</w:t>
      </w:r>
      <w:hyperlink r:id="rId10539">
        <w:r>
          <w:rPr>
            <w:color w:val="0000EE"/>
            <w:u w:val="single"/>
          </w:rPr>
          <w:t>Sl 16.5–6,11</w:t>
        </w:r>
      </w:hyperlink>
      <w:r>
        <w:t xml:space="preserve">; ver também </w:t>
      </w:r>
      <w:hyperlink r:id="rId10540">
        <w:r>
          <w:rPr>
            <w:color w:val="0000EE"/>
            <w:u w:val="single"/>
          </w:rPr>
          <w:t>Sl 73.25–26</w:t>
        </w:r>
      </w:hyperlink>
      <w:r>
        <w:t xml:space="preserve">; </w:t>
      </w:r>
      <w:hyperlink r:id="rId10541">
        <w:r>
          <w:rPr>
            <w:color w:val="0000EE"/>
            <w:u w:val="single"/>
          </w:rPr>
          <w:t>142.5</w:t>
        </w:r>
      </w:hyperlink>
      <w:r>
        <w:t xml:space="preserve">; </w:t>
      </w:r>
      <w:hyperlink r:id="rId10542">
        <w:r>
          <w:rPr>
            <w:color w:val="0000EE"/>
            <w:u w:val="single"/>
          </w:rPr>
          <w:t>Is 58.14</w:t>
        </w:r>
      </w:hyperlink>
      <w:r>
        <w:t xml:space="preserve">; </w:t>
      </w:r>
      <w:hyperlink r:id="rId10543">
        <w:r>
          <w:rPr>
            <w:color w:val="0000EE"/>
            <w:u w:val="single"/>
          </w:rPr>
          <w:t>Lm 3.24</w:t>
        </w:r>
      </w:hyperlink>
      <w:r>
        <w:t>).</w:t>
      </w:r>
    </w:p>
    <w:p>
      <w:r/>
      <w:r>
        <w:t xml:space="preserve">No judaísmo posterior, durante e após o período intertestamental, a figura foi estendida consideravelmente. Por exemplo, os rabinos começaram a falar da lei como a herança dos fiéis. Além disso, eles podem dar à ideia uma mudança negativa, como quando os ímpios são ditos herdarem o inferno (cf. </w:t>
      </w:r>
      <w:hyperlink r:id="rId10544">
        <w:r>
          <w:rPr>
            <w:color w:val="0000EE"/>
            <w:u w:val="single"/>
          </w:rPr>
          <w:t>Jó 27.13</w:t>
        </w:r>
      </w:hyperlink>
      <w:r>
        <w:t>). Nenhuma dessas figuras é encontrada no NT.</w:t>
      </w:r>
    </w:p>
    <w:p>
      <w:r/>
      <w:r>
        <w:t>Também lemos na literatura judaica declarações sobre herdar a era por vir, o reino, a vida eterna; essas ideias ocorrem com frequência no NT (</w:t>
      </w:r>
      <w:hyperlink r:id="rId10545">
        <w:r>
          <w:rPr>
            <w:color w:val="0000EE"/>
            <w:u w:val="single"/>
          </w:rPr>
          <w:t>Mt 19.29</w:t>
        </w:r>
      </w:hyperlink>
      <w:r>
        <w:t xml:space="preserve">; </w:t>
      </w:r>
      <w:hyperlink r:id="rId10546">
        <w:r>
          <w:rPr>
            <w:color w:val="0000EE"/>
            <w:u w:val="single"/>
          </w:rPr>
          <w:t>25.34</w:t>
        </w:r>
      </w:hyperlink>
      <w:r>
        <w:t xml:space="preserve">; </w:t>
      </w:r>
      <w:hyperlink r:id="rId10547">
        <w:r>
          <w:rPr>
            <w:color w:val="0000EE"/>
            <w:u w:val="single"/>
          </w:rPr>
          <w:t>Lc 10.25</w:t>
        </w:r>
      </w:hyperlink>
      <w:r>
        <w:t xml:space="preserve">; </w:t>
      </w:r>
      <w:hyperlink r:id="rId10111">
        <w:r>
          <w:rPr>
            <w:color w:val="0000EE"/>
            <w:u w:val="single"/>
          </w:rPr>
          <w:t>18.18</w:t>
        </w:r>
      </w:hyperlink>
      <w:r>
        <w:t xml:space="preserve">; </w:t>
      </w:r>
      <w:hyperlink r:id="rId10548">
        <w:r>
          <w:rPr>
            <w:color w:val="0000EE"/>
            <w:u w:val="single"/>
          </w:rPr>
          <w:t>1Co 6.9–10</w:t>
        </w:r>
      </w:hyperlink>
      <w:r>
        <w:t xml:space="preserve">; </w:t>
      </w:r>
      <w:hyperlink r:id="rId4279">
        <w:r>
          <w:rPr>
            <w:color w:val="0000EE"/>
            <w:u w:val="single"/>
          </w:rPr>
          <w:t>15.50</w:t>
        </w:r>
      </w:hyperlink>
      <w:r>
        <w:t xml:space="preserve">; </w:t>
      </w:r>
      <w:hyperlink r:id="rId10549">
        <w:r>
          <w:rPr>
            <w:color w:val="0000EE"/>
            <w:u w:val="single"/>
          </w:rPr>
          <w:t>Gl 5.21</w:t>
        </w:r>
      </w:hyperlink>
      <w:r>
        <w:t xml:space="preserve">; </w:t>
      </w:r>
      <w:hyperlink r:id="rId10550">
        <w:r>
          <w:rPr>
            <w:color w:val="0000EE"/>
            <w:u w:val="single"/>
          </w:rPr>
          <w:t>Ef 5.5</w:t>
        </w:r>
      </w:hyperlink>
      <w:r>
        <w:t xml:space="preserve">; </w:t>
      </w:r>
      <w:hyperlink r:id="rId10132">
        <w:r>
          <w:rPr>
            <w:color w:val="0000EE"/>
            <w:u w:val="single"/>
          </w:rPr>
          <w:t>Tt 3.7</w:t>
        </w:r>
      </w:hyperlink>
      <w:r>
        <w:t xml:space="preserve">; </w:t>
      </w:r>
      <w:hyperlink r:id="rId10551">
        <w:r>
          <w:rPr>
            <w:color w:val="0000EE"/>
            <w:u w:val="single"/>
          </w:rPr>
          <w:t>Tg 2.5</w:t>
        </w:r>
      </w:hyperlink>
      <w:r>
        <w:t>). Tal herança, no entanto, pertence apenas àqueles que são santificados pela palavra de Deus (</w:t>
      </w:r>
      <w:hyperlink r:id="rId10552">
        <w:r>
          <w:rPr>
            <w:color w:val="0000EE"/>
            <w:u w:val="single"/>
          </w:rPr>
          <w:t>Atos 20.32</w:t>
        </w:r>
      </w:hyperlink>
      <w:r>
        <w:t xml:space="preserve">; </w:t>
      </w:r>
      <w:hyperlink r:id="rId3207">
        <w:r>
          <w:rPr>
            <w:color w:val="0000EE"/>
            <w:u w:val="single"/>
          </w:rPr>
          <w:t>26.18</w:t>
        </w:r>
      </w:hyperlink>
      <w:r>
        <w:t xml:space="preserve">; </w:t>
      </w:r>
      <w:hyperlink r:id="rId10553">
        <w:r>
          <w:rPr>
            <w:color w:val="0000EE"/>
            <w:u w:val="single"/>
          </w:rPr>
          <w:t>Cl 1.12</w:t>
        </w:r>
      </w:hyperlink>
      <w:r>
        <w:t xml:space="preserve">; observe também </w:t>
      </w:r>
      <w:hyperlink r:id="rId10554">
        <w:r>
          <w:rPr>
            <w:color w:val="0000EE"/>
            <w:u w:val="single"/>
          </w:rPr>
          <w:t>Jo 17.17</w:t>
        </w:r>
      </w:hyperlink>
      <w:r>
        <w:t xml:space="preserve">; </w:t>
      </w:r>
      <w:hyperlink r:id="rId10555">
        <w:r>
          <w:rPr>
            <w:color w:val="0000EE"/>
            <w:u w:val="single"/>
          </w:rPr>
          <w:t>Cl 3.23–24</w:t>
        </w:r>
      </w:hyperlink>
      <w:r>
        <w:t>). Essas bênçãos futuras não excluem o físico (</w:t>
      </w:r>
      <w:hyperlink r:id="rId10556">
        <w:r>
          <w:rPr>
            <w:color w:val="0000EE"/>
            <w:u w:val="single"/>
          </w:rPr>
          <w:t>Mt 5.5</w:t>
        </w:r>
      </w:hyperlink>
      <w:r>
        <w:t xml:space="preserve">; observe </w:t>
      </w:r>
      <w:hyperlink r:id="rId10557">
        <w:r>
          <w:rPr>
            <w:color w:val="0000EE"/>
            <w:u w:val="single"/>
          </w:rPr>
          <w:t>Sl 37.11,29</w:t>
        </w:r>
      </w:hyperlink>
      <w:r>
        <w:t xml:space="preserve">; </w:t>
      </w:r>
      <w:hyperlink r:id="rId10535">
        <w:r>
          <w:rPr>
            <w:color w:val="0000EE"/>
            <w:u w:val="single"/>
          </w:rPr>
          <w:t>Is 60.21</w:t>
        </w:r>
      </w:hyperlink>
      <w:r>
        <w:t xml:space="preserve">; </w:t>
      </w:r>
      <w:hyperlink r:id="rId10558">
        <w:r>
          <w:rPr>
            <w:color w:val="0000EE"/>
            <w:u w:val="single"/>
          </w:rPr>
          <w:t>Rm 4.13</w:t>
        </w:r>
      </w:hyperlink>
      <w:r>
        <w:t xml:space="preserve">; </w:t>
      </w:r>
      <w:hyperlink r:id="rId6708">
        <w:r>
          <w:rPr>
            <w:color w:val="0000EE"/>
            <w:u w:val="single"/>
          </w:rPr>
          <w:t>2Pe 3.13</w:t>
        </w:r>
      </w:hyperlink>
      <w:r>
        <w:t>), mas certamente excluem a fragilidade humana, pois a herança de Deus é imperecível (</w:t>
      </w:r>
      <w:hyperlink r:id="rId4279">
        <w:r>
          <w:rPr>
            <w:color w:val="0000EE"/>
            <w:u w:val="single"/>
          </w:rPr>
          <w:t>1Co 15.50</w:t>
        </w:r>
      </w:hyperlink>
      <w:r>
        <w:t>). Em suma, nossa herança é nada menos do que a salvação completa (</w:t>
      </w:r>
      <w:hyperlink r:id="rId6684">
        <w:r>
          <w:rPr>
            <w:color w:val="0000EE"/>
            <w:u w:val="single"/>
          </w:rPr>
          <w:t>Hb 1.14</w:t>
        </w:r>
      </w:hyperlink>
      <w:r>
        <w:t xml:space="preserve">; </w:t>
      </w:r>
      <w:hyperlink r:id="rId7147">
        <w:r>
          <w:rPr>
            <w:color w:val="0000EE"/>
            <w:u w:val="single"/>
          </w:rPr>
          <w:t>11.7</w:t>
        </w:r>
      </w:hyperlink>
      <w:r>
        <w:t>), que Deus guarda atentamente para nós no céu (</w:t>
      </w:r>
      <w:hyperlink r:id="rId4802">
        <w:r>
          <w:rPr>
            <w:color w:val="0000EE"/>
            <w:u w:val="single"/>
          </w:rPr>
          <w:t>1Pe 1.4</w:t>
        </w:r>
      </w:hyperlink>
      <w:r>
        <w:t>).</w:t>
      </w:r>
    </w:p>
    <w:p>
      <w:r/>
      <w:r>
        <w:t xml:space="preserve">Sem dúvida, a característica mais significativa no NT é sua ênfase de que, como resultado da obra de Cristo, seu povo começa </w:t>
      </w:r>
      <w:r>
        <w:rPr>
          <w:i/>
        </w:rPr>
        <w:t>agora</w:t>
      </w:r>
      <w:r>
        <w:t xml:space="preserve"> mesmo a receber a herança prometida. O Evangelho de João frequentemente enfatiza a realidade presente da vida eterna, assim como a Carta aos Hebreus (cf. </w:t>
      </w:r>
      <w:hyperlink r:id="rId10559">
        <w:r>
          <w:rPr>
            <w:color w:val="0000EE"/>
            <w:u w:val="single"/>
          </w:rPr>
          <w:t>6.12–17</w:t>
        </w:r>
      </w:hyperlink>
      <w:r>
        <w:t xml:space="preserve"> com </w:t>
      </w:r>
      <w:hyperlink r:id="rId854">
        <w:r>
          <w:rPr>
            <w:color w:val="0000EE"/>
            <w:u w:val="single"/>
          </w:rPr>
          <w:t>9.15</w:t>
        </w:r>
      </w:hyperlink>
      <w:r>
        <w:t xml:space="preserve"> e </w:t>
      </w:r>
      <w:hyperlink r:id="rId8589">
        <w:r>
          <w:rPr>
            <w:color w:val="0000EE"/>
            <w:u w:val="single"/>
          </w:rPr>
          <w:t>11.13,39–40</w:t>
        </w:r>
      </w:hyperlink>
      <w:r>
        <w:t>).</w:t>
      </w:r>
    </w:p>
    <w:p>
      <w:r/>
      <w:r>
        <w:t xml:space="preserve">Paulo trata todo este assunto completamente em </w:t>
      </w:r>
      <w:hyperlink r:id="rId10560">
        <w:r>
          <w:rPr>
            <w:color w:val="0000EE"/>
            <w:u w:val="single"/>
          </w:rPr>
          <w:t>Gálatas 3.7–4.7</w:t>
        </w:r>
      </w:hyperlink>
      <w:r>
        <w:t>. Em resposta aos judaizantes, que afirmam que a herança abraâmica é restrita àqueles que se tornam judeus por meio da circuncisão, Paulo argumenta vigorosamente que os verdadeiros filhos de Abraão são aqueles que acreditam, sejam judeus ou gentios (</w:t>
      </w:r>
      <w:hyperlink r:id="rId10561">
        <w:r>
          <w:rPr>
            <w:color w:val="0000EE"/>
            <w:u w:val="single"/>
          </w:rPr>
          <w:t>3.7</w:t>
        </w:r>
      </w:hyperlink>
      <w:r>
        <w:t xml:space="preserve">; ver </w:t>
      </w:r>
      <w:hyperlink r:id="rId10562">
        <w:r>
          <w:rPr>
            <w:color w:val="0000EE"/>
            <w:u w:val="single"/>
          </w:rPr>
          <w:t>Atos 26.16–18</w:t>
        </w:r>
      </w:hyperlink>
      <w:r>
        <w:t xml:space="preserve">; </w:t>
      </w:r>
      <w:hyperlink r:id="rId4412">
        <w:r>
          <w:rPr>
            <w:color w:val="0000EE"/>
            <w:u w:val="single"/>
          </w:rPr>
          <w:t>Ef 3.6</w:t>
        </w:r>
      </w:hyperlink>
      <w:r>
        <w:t>). Eles se tornam herdeiros da promessa de Deus, pois eles recebem o Espírito (</w:t>
      </w:r>
      <w:hyperlink r:id="rId10563">
        <w:r>
          <w:rPr>
            <w:color w:val="0000EE"/>
            <w:u w:val="single"/>
          </w:rPr>
          <w:t>Gl 3.14</w:t>
        </w:r>
      </w:hyperlink>
      <w:r>
        <w:t xml:space="preserve">). O princípio da herança é promessa, não a Lei (v </w:t>
      </w:r>
      <w:hyperlink r:id="rId10564">
        <w:r>
          <w:rPr>
            <w:color w:val="0000EE"/>
            <w:u w:val="single"/>
          </w:rPr>
          <w:t>18</w:t>
        </w:r>
      </w:hyperlink>
      <w:r>
        <w:t xml:space="preserve">). Aqueles que acreditam são trazidos à união com Cristo (vv </w:t>
      </w:r>
      <w:hyperlink r:id="rId10565">
        <w:r>
          <w:rPr>
            <w:color w:val="0000EE"/>
            <w:u w:val="single"/>
          </w:rPr>
          <w:t>27–29</w:t>
        </w:r>
      </w:hyperlink>
      <w:r>
        <w:t xml:space="preserve">); mas então eles não são meros filhos de Abraão, mas de Deus (vv </w:t>
      </w:r>
      <w:hyperlink r:id="rId10566">
        <w:r>
          <w:rPr>
            <w:color w:val="0000EE"/>
            <w:u w:val="single"/>
          </w:rPr>
          <w:t>26</w:t>
        </w:r>
      </w:hyperlink>
      <w:r>
        <w:t xml:space="preserve">), pois Cristo é o Filho de Deus e Deus determinou enviar o Espírito de seu Filho aos crentes para que eles também possam chamar a Deus </w:t>
      </w:r>
      <w:r>
        <w:rPr>
          <w:i/>
        </w:rPr>
        <w:t>de Pai</w:t>
      </w:r>
      <w:r>
        <w:t xml:space="preserve"> (</w:t>
      </w:r>
      <w:hyperlink r:id="rId10567">
        <w:r>
          <w:rPr>
            <w:color w:val="0000EE"/>
            <w:u w:val="single"/>
          </w:rPr>
          <w:t>Gl 4.4–7</w:t>
        </w:r>
      </w:hyperlink>
      <w:r>
        <w:t xml:space="preserve">; ver também </w:t>
      </w:r>
      <w:hyperlink r:id="rId9141">
        <w:r>
          <w:rPr>
            <w:color w:val="0000EE"/>
            <w:u w:val="single"/>
          </w:rPr>
          <w:t>Rm 8.15–16</w:t>
        </w:r>
      </w:hyperlink>
      <w:r>
        <w:t>).</w:t>
      </w:r>
    </w:p>
    <w:p>
      <w:r/>
      <w:r>
        <w:t>De fato, o próprio Cristo como Filho é o verdadeiro herdeiro (</w:t>
      </w:r>
      <w:hyperlink r:id="rId10568">
        <w:r>
          <w:rPr>
            <w:color w:val="0000EE"/>
            <w:u w:val="single"/>
          </w:rPr>
          <w:t>Mt 21.38</w:t>
        </w:r>
      </w:hyperlink>
      <w:r>
        <w:t xml:space="preserve">; </w:t>
      </w:r>
      <w:hyperlink r:id="rId10569">
        <w:r>
          <w:rPr>
            <w:color w:val="0000EE"/>
            <w:u w:val="single"/>
          </w:rPr>
          <w:t>Mc 12.7</w:t>
        </w:r>
      </w:hyperlink>
      <w:r>
        <w:t xml:space="preserve">; </w:t>
      </w:r>
      <w:hyperlink r:id="rId10570">
        <w:r>
          <w:rPr>
            <w:color w:val="0000EE"/>
            <w:u w:val="single"/>
          </w:rPr>
          <w:t>Lc 20.14</w:t>
        </w:r>
      </w:hyperlink>
      <w:r>
        <w:t>); ele herdou um nome acima de todos os nomes (</w:t>
      </w:r>
      <w:hyperlink r:id="rId10571">
        <w:r>
          <w:rPr>
            <w:color w:val="0000EE"/>
            <w:u w:val="single"/>
          </w:rPr>
          <w:t>Fp 2.9</w:t>
        </w:r>
      </w:hyperlink>
      <w:r>
        <w:t xml:space="preserve">; </w:t>
      </w:r>
      <w:hyperlink r:id="rId10405">
        <w:r>
          <w:rPr>
            <w:color w:val="0000EE"/>
            <w:u w:val="single"/>
          </w:rPr>
          <w:t>Hb 1.4</w:t>
        </w:r>
      </w:hyperlink>
      <w:r>
        <w:t>) e foi nomeado herdeiro de todas as coisas (</w:t>
      </w:r>
      <w:hyperlink r:id="rId8114">
        <w:r>
          <w:rPr>
            <w:color w:val="0000EE"/>
            <w:u w:val="single"/>
          </w:rPr>
          <w:t>Hb 1.2</w:t>
        </w:r>
      </w:hyperlink>
      <w:r>
        <w:t xml:space="preserve">; ver </w:t>
      </w:r>
      <w:hyperlink r:id="rId10572">
        <w:r>
          <w:rPr>
            <w:color w:val="0000EE"/>
            <w:u w:val="single"/>
          </w:rPr>
          <w:t>Sl 2.7–8</w:t>
        </w:r>
      </w:hyperlink>
      <w:r>
        <w:t xml:space="preserve">; </w:t>
      </w:r>
      <w:hyperlink r:id="rId6882">
        <w:r>
          <w:rPr>
            <w:color w:val="0000EE"/>
            <w:u w:val="single"/>
          </w:rPr>
          <w:t>Mt 28.18</w:t>
        </w:r>
      </w:hyperlink>
      <w:r>
        <w:t>). Mas por sua graça, todos os que se tornam seus através da fé são contados como herdeiros com ele (</w:t>
      </w:r>
      <w:hyperlink r:id="rId10573">
        <w:r>
          <w:rPr>
            <w:color w:val="0000EE"/>
            <w:u w:val="single"/>
          </w:rPr>
          <w:t>Rm 8.17</w:t>
        </w:r>
      </w:hyperlink>
      <w:r>
        <w:t>).</w:t>
      </w:r>
    </w:p>
    <w:p>
      <w:pPr>
        <w:pStyle w:val="Heading4"/>
      </w:pPr>
      <w:r>
        <w:t>A herança de Deus</w:t>
      </w:r>
    </w:p>
    <w:p>
      <w:r/>
      <w:r>
        <w:t>Com uma mudança ousada na metáfora, as Escrituras falam dos crentes como a herança de Deus. Na bela “Canção de Moisés”, o autor fala de Deus como o Pai dos israelitas (</w:t>
      </w:r>
      <w:hyperlink r:id="rId10574">
        <w:r>
          <w:rPr>
            <w:color w:val="0000EE"/>
            <w:u w:val="single"/>
          </w:rPr>
          <w:t>Dt 32.6</w:t>
        </w:r>
      </w:hyperlink>
      <w:r>
        <w:t xml:space="preserve">), que se interessou especialmente por sua herança (v </w:t>
      </w:r>
      <w:hyperlink r:id="rId10575">
        <w:r>
          <w:rPr>
            <w:color w:val="0000EE"/>
            <w:u w:val="single"/>
          </w:rPr>
          <w:t>8</w:t>
        </w:r>
      </w:hyperlink>
      <w:r>
        <w:t>). Então somos informados por que Deus se importa: “Mas escolheu Israel para ser o seu povo; os descendentes de Jacó pertencem ao SENHOR” (</w:t>
      </w:r>
      <w:hyperlink r:id="rId10576">
        <w:r>
          <w:rPr>
            <w:color w:val="0000EE"/>
            <w:u w:val="single"/>
          </w:rPr>
          <w:t>Dt 32.9</w:t>
        </w:r>
      </w:hyperlink>
      <w:r>
        <w:t xml:space="preserve">). Este tema se torna muito proeminente em todo o AT (e.g., </w:t>
      </w:r>
      <w:hyperlink r:id="rId10577">
        <w:r>
          <w:rPr>
            <w:color w:val="0000EE"/>
            <w:u w:val="single"/>
          </w:rPr>
          <w:t>Dt 9.26–29</w:t>
        </w:r>
      </w:hyperlink>
      <w:r>
        <w:t xml:space="preserve">; </w:t>
      </w:r>
      <w:hyperlink r:id="rId10578">
        <w:r>
          <w:rPr>
            <w:color w:val="0000EE"/>
            <w:u w:val="single"/>
          </w:rPr>
          <w:t>1Rs 8.51–53</w:t>
        </w:r>
      </w:hyperlink>
      <w:r>
        <w:t xml:space="preserve">; </w:t>
      </w:r>
      <w:hyperlink r:id="rId10579">
        <w:r>
          <w:rPr>
            <w:color w:val="0000EE"/>
            <w:u w:val="single"/>
          </w:rPr>
          <w:t>Sl 28.9</w:t>
        </w:r>
      </w:hyperlink>
      <w:r>
        <w:t xml:space="preserve">; </w:t>
      </w:r>
      <w:hyperlink r:id="rId10580">
        <w:r>
          <w:rPr>
            <w:color w:val="0000EE"/>
            <w:u w:val="single"/>
          </w:rPr>
          <w:t>33.12</w:t>
        </w:r>
      </w:hyperlink>
      <w:r>
        <w:t xml:space="preserve">; </w:t>
      </w:r>
      <w:hyperlink r:id="rId10581">
        <w:r>
          <w:rPr>
            <w:color w:val="0000EE"/>
            <w:u w:val="single"/>
          </w:rPr>
          <w:t>74.2</w:t>
        </w:r>
      </w:hyperlink>
      <w:r>
        <w:t xml:space="preserve">; </w:t>
      </w:r>
      <w:hyperlink r:id="rId10582">
        <w:r>
          <w:rPr>
            <w:color w:val="0000EE"/>
            <w:u w:val="single"/>
          </w:rPr>
          <w:t>Is 19.25</w:t>
        </w:r>
      </w:hyperlink>
      <w:r>
        <w:t xml:space="preserve">; </w:t>
      </w:r>
      <w:hyperlink r:id="rId10583">
        <w:r>
          <w:rPr>
            <w:color w:val="0000EE"/>
            <w:u w:val="single"/>
          </w:rPr>
          <w:t>Jr 10.16</w:t>
        </w:r>
      </w:hyperlink>
      <w:r>
        <w:t xml:space="preserve">; </w:t>
      </w:r>
      <w:hyperlink r:id="rId10584">
        <w:r>
          <w:rPr>
            <w:color w:val="0000EE"/>
            <w:u w:val="single"/>
          </w:rPr>
          <w:t>Zc 2.12</w:t>
        </w:r>
      </w:hyperlink>
      <w:r>
        <w:t xml:space="preserve">). Em outro lugar, Israel é mencionado como a possessão especial de Deus (e.g., </w:t>
      </w:r>
      <w:hyperlink r:id="rId10585">
        <w:r>
          <w:rPr>
            <w:color w:val="0000EE"/>
            <w:u w:val="single"/>
          </w:rPr>
          <w:t>Êx 19.5</w:t>
        </w:r>
      </w:hyperlink>
      <w:r>
        <w:t xml:space="preserve">; </w:t>
      </w:r>
      <w:hyperlink r:id="rId10586">
        <w:r>
          <w:rPr>
            <w:color w:val="0000EE"/>
            <w:u w:val="single"/>
          </w:rPr>
          <w:t>Dt 7.6</w:t>
        </w:r>
      </w:hyperlink>
      <w:r>
        <w:t>).</w:t>
      </w:r>
    </w:p>
    <w:p>
      <w:r/>
      <w:r>
        <w:t xml:space="preserve">Em </w:t>
      </w:r>
      <w:hyperlink r:id="rId10587">
        <w:r>
          <w:rPr>
            <w:color w:val="0000EE"/>
            <w:u w:val="single"/>
          </w:rPr>
          <w:t>Efésios 1.14</w:t>
        </w:r>
      </w:hyperlink>
      <w:r>
        <w:t xml:space="preserve"> “a redenção da possessão” se refere à salvação final dos crentes, que são o tesouro de Deus. Além disso, “obtivemos uma herança” (</w:t>
      </w:r>
      <w:hyperlink r:id="rId6827">
        <w:r>
          <w:rPr>
            <w:color w:val="0000EE"/>
            <w:u w:val="single"/>
          </w:rPr>
          <w:t>Ef 1.11</w:t>
        </w:r>
      </w:hyperlink>
      <w:r>
        <w:t xml:space="preserve">) pode muito bem ser traduzido: “Fomos feitos uma herança”, isto é, fomos “escolhidos como a porção de Deus”, uma visão apoiada no verso </w:t>
      </w:r>
      <w:hyperlink r:id="rId10588">
        <w:r>
          <w:rPr>
            <w:color w:val="0000EE"/>
            <w:u w:val="single"/>
          </w:rPr>
          <w:t>18</w:t>
        </w:r>
      </w:hyperlink>
      <w:r>
        <w:t>. Nenhuma ideia mais fundamental do que esta pode ser encontrada nas Escrituras, e sua essência é expressa pelas palavras daquele que se senta no trono: “O vencedor herdará estas coisas, e eu lhe serei Deus, e ele me será filho” (</w:t>
      </w:r>
      <w:hyperlink r:id="rId10589">
        <w:r>
          <w:rPr>
            <w:color w:val="0000EE"/>
            <w:u w:val="single"/>
          </w:rPr>
          <w:t>Ap 21.7</w:t>
        </w:r>
      </w:hyperlink>
      <w:r>
        <w:t xml:space="preserve">, ARA; veja </w:t>
      </w:r>
      <w:hyperlink r:id="rId5901">
        <w:r>
          <w:rPr>
            <w:color w:val="0000EE"/>
            <w:u w:val="single"/>
          </w:rPr>
          <w:t>Lv 26.11–12</w:t>
        </w:r>
      </w:hyperlink>
      <w:r>
        <w:t xml:space="preserve">; </w:t>
      </w:r>
      <w:hyperlink r:id="rId331">
        <w:r>
          <w:rPr>
            <w:color w:val="0000EE"/>
            <w:u w:val="single"/>
          </w:rPr>
          <w:t>2Sm 7.14</w:t>
        </w:r>
      </w:hyperlink>
      <w:r>
        <w:t>).</w:t>
      </w:r>
    </w:p>
    <w:p>
      <w:r/>
      <w:r>
        <w:rPr>
          <w:i/>
        </w:rPr>
        <w:t>Ver também</w:t>
      </w:r>
      <w:r>
        <w:t xml:space="preserve"> </w:t>
      </w:r>
      <w:r>
        <w:t>Adoção</w:t>
      </w:r>
      <w:r>
        <w:t xml:space="preserve">; </w:t>
      </w:r>
      <w:r>
        <w:t>Direito de nascimento</w:t>
      </w:r>
      <w:r>
        <w:t xml:space="preserve"> </w:t>
      </w:r>
      <w:r>
        <w:t>Primogênito</w:t>
      </w:r>
      <w:r>
        <w:t xml:space="preserve">; </w:t>
      </w:r>
      <w:r>
        <w:t>Herdeiro</w:t>
      </w:r>
      <w:r>
        <w:t>.</w:t>
      </w:r>
      <w:r/>
      <w:r/>
    </w:p>
    <w:p>
      <w:r/>
    </w:p>
    <w:p>
      <w:pPr>
        <w:pStyle w:val="Heading2"/>
      </w:pPr>
      <w:r>
        <w:t>Herdeiro</w:t>
      </w:r>
      <w:r/>
    </w:p>
    <w:p>
      <w:r/>
      <w:r>
        <w:t>Aquele que herda algo ou está intitulado com uma herança futura; aquele que recebe a propriedade de uma pessoa falecida, especialmente com base na lei e geralmente por meio de um testamento. Tanto no AT quanto no NT, as palavras hebraicas e gregas abrangem essas ideias.</w:t>
      </w:r>
    </w:p>
    <w:p>
      <w:r/>
      <w:r>
        <w:t xml:space="preserve">Em </w:t>
      </w:r>
      <w:hyperlink r:id="rId790">
        <w:r>
          <w:rPr>
            <w:color w:val="0000EE"/>
            <w:u w:val="single"/>
          </w:rPr>
          <w:t>Gênesis 15</w:t>
        </w:r>
      </w:hyperlink>
      <w:r>
        <w:t xml:space="preserve">, depois que Deus havia reiterado sua promessa especial a Abraão, Abraão se perguntou como a realização da promessa poderia ocorrer. Na época, apenas seu mordomo, Eliezer de Damasco, era “o filho de sua casa”, isto é, que herdaria de sua grande família. Não havia nenhum filho nascido naturalmente de Abraão dentro da família (ver </w:t>
      </w:r>
      <w:hyperlink r:id="rId10590">
        <w:r>
          <w:rPr>
            <w:color w:val="0000EE"/>
            <w:u w:val="single"/>
          </w:rPr>
          <w:t>Gn 15.3–4</w:t>
        </w:r>
      </w:hyperlink>
      <w:r>
        <w:t>). Sem um filho nos tempos patriarcais, o principal mordomo de um homem poderia ser seu herdeiro como um substituto. Mais tarde, após o nascimento de Ismael (o filho de Abraão com Agar, a serva de Sara) e de Isaque (seu filho com Sara, sua esposa), surgiram problemas entre as mulheres, e Sara exigiu que Abraão enviasse Agar e seu filho embora, porque Sara não queria que Ismael fosse um herdeiro com seu próprio filho, Isaque (</w:t>
      </w:r>
      <w:hyperlink r:id="rId10591">
        <w:r>
          <w:rPr>
            <w:color w:val="0000EE"/>
            <w:u w:val="single"/>
          </w:rPr>
          <w:t>Gn 21.10</w:t>
        </w:r>
      </w:hyperlink>
      <w:r>
        <w:t>).</w:t>
      </w:r>
    </w:p>
    <w:p>
      <w:r/>
      <w:r>
        <w:t>Uma mulher sábia, por instigação de Joabe, contou a Davi uma história sobre si mesma e seus dois filhos. Ela disse que um filho matou o outro, e que sua família agora queria matar o filho restante pelo assassinato. Se isso acontecesse, ela alegou, o herdeiro de seu marido falecido seria destruído e a família seria deixada sem herança (</w:t>
      </w:r>
      <w:hyperlink r:id="rId4485">
        <w:r>
          <w:rPr>
            <w:color w:val="0000EE"/>
            <w:u w:val="single"/>
          </w:rPr>
          <w:t>2Sm 14.7</w:t>
        </w:r>
      </w:hyperlink>
      <w:r>
        <w:t>).</w:t>
      </w:r>
    </w:p>
    <w:p>
      <w:r/>
      <w:r>
        <w:t>Outra ilustração bíblica deste uso normal da palavra “herdeiro” é vista em uma parábola contada por Jesus. Os trabalhadores na vinha, que viram o filho de seu mestre vindo, disseram entre si: “Este é o herdeiro; ora, vamos, matemo-lo e apoderemo-nos da sua herança.” (</w:t>
      </w:r>
      <w:hyperlink r:id="rId10592">
        <w:r>
          <w:rPr>
            <w:color w:val="0000EE"/>
            <w:u w:val="single"/>
          </w:rPr>
          <w:t>Mt 21.33–43</w:t>
        </w:r>
      </w:hyperlink>
      <w:r>
        <w:t xml:space="preserve">, ARC; cf. </w:t>
      </w:r>
      <w:hyperlink r:id="rId10569">
        <w:r>
          <w:rPr>
            <w:color w:val="0000EE"/>
            <w:u w:val="single"/>
          </w:rPr>
          <w:t>Mc 12.7</w:t>
        </w:r>
      </w:hyperlink>
      <w:r>
        <w:t xml:space="preserve">; </w:t>
      </w:r>
      <w:hyperlink r:id="rId10570">
        <w:r>
          <w:rPr>
            <w:color w:val="0000EE"/>
            <w:u w:val="single"/>
          </w:rPr>
          <w:t>Lc 20.14</w:t>
        </w:r>
      </w:hyperlink>
      <w:r>
        <w:t>).</w:t>
      </w:r>
    </w:p>
    <w:p>
      <w:r/>
      <w:r>
        <w:t>Em várias referências no NT, a palavra “herdeiro” é usada para se referir ao crente em Cristo, que tem uma herança vinda por ser um filho de Deus, o Pai e, consequentemente, um co-herdeiro com Cristo (</w:t>
      </w:r>
      <w:hyperlink r:id="rId10052">
        <w:r>
          <w:rPr>
            <w:color w:val="0000EE"/>
            <w:u w:val="single"/>
          </w:rPr>
          <w:t>Rm 8.16–17</w:t>
        </w:r>
      </w:hyperlink>
      <w:r>
        <w:t xml:space="preserve">). A herança da salvação é referida de várias maneiras em diferentes seções do NT. Em </w:t>
      </w:r>
      <w:hyperlink r:id="rId6816">
        <w:r>
          <w:rPr>
            <w:color w:val="0000EE"/>
            <w:u w:val="single"/>
          </w:rPr>
          <w:t>Hebreus 6.17</w:t>
        </w:r>
      </w:hyperlink>
      <w:r>
        <w:t>, os cristãos são chamados de “herdeiros da promessa”. Esta promessa ocorreu quando Deus disse a Abraão: “Eu certamente o abençoarei ricamente, e multiplicarei seus descendentes em incontáveis milhões” (</w:t>
      </w:r>
      <w:hyperlink r:id="rId10593">
        <w:r>
          <w:rPr>
            <w:color w:val="0000EE"/>
            <w:u w:val="single"/>
          </w:rPr>
          <w:t>Hb 6.14</w:t>
        </w:r>
      </w:hyperlink>
      <w:r>
        <w:t xml:space="preserve">). Em </w:t>
      </w:r>
      <w:hyperlink r:id="rId7147">
        <w:r>
          <w:rPr>
            <w:color w:val="0000EE"/>
            <w:u w:val="single"/>
          </w:rPr>
          <w:t>Hebreus 11.7</w:t>
        </w:r>
      </w:hyperlink>
      <w:r>
        <w:t xml:space="preserve">, Noé é descrito como “e foi feito herdeiro da justiça que é segundo a fé” (ARC). Em </w:t>
      </w:r>
      <w:hyperlink r:id="rId10551">
        <w:r>
          <w:rPr>
            <w:color w:val="0000EE"/>
            <w:u w:val="single"/>
          </w:rPr>
          <w:t>Tiago 2.5</w:t>
        </w:r>
      </w:hyperlink>
      <w:r>
        <w:t>, os pobres no mundo ricos em fé são ditos “herdeiros do reino que ele prometeu aos que o amam” (ARC). Paulo escreve que aqueles que são justificados pela graça de Deus são feitos herdeiros de acordo com a esperança da vida eterna (</w:t>
      </w:r>
      <w:hyperlink r:id="rId10132">
        <w:r>
          <w:rPr>
            <w:color w:val="0000EE"/>
            <w:u w:val="single"/>
          </w:rPr>
          <w:t>Tt 3.7</w:t>
        </w:r>
      </w:hyperlink>
      <w:r>
        <w:t>).</w:t>
      </w:r>
    </w:p>
    <w:p>
      <w:r/>
      <w:r>
        <w:t xml:space="preserve">Em </w:t>
      </w:r>
      <w:hyperlink r:id="rId8114">
        <w:r>
          <w:rPr>
            <w:color w:val="0000EE"/>
            <w:u w:val="single"/>
          </w:rPr>
          <w:t>Hebreus 1.2</w:t>
        </w:r>
      </w:hyperlink>
      <w:r>
        <w:t>, a palavra “herdeiro” é usada com uma referência singular ao Filho de Deus, que é dito ter sido nomeado “herdeiro de todas as coisas” por seu Pai. Aqui está um exemplo em que alguém foi designado para receber uma herança, mas realmente entrará em posse completa dela muito mais tarde.</w:t>
      </w:r>
    </w:p>
    <w:p>
      <w:r/>
      <w:r>
        <w:t>Nos tempos bíblicos, o direito de primogenitura — isto é, o direito do filho mais velho na família de ser o herdeiro principal na família — prevalecia. Nos tempos do AT, o filho primogênito possuía o direito de primogenitura, o que incluía herdar uma porção dupla dos bens de seu pai e liderança da família (</w:t>
      </w:r>
      <w:hyperlink r:id="rId5355">
        <w:r>
          <w:rPr>
            <w:color w:val="0000EE"/>
            <w:u w:val="single"/>
          </w:rPr>
          <w:t>Dt 21.15–17</w:t>
        </w:r>
      </w:hyperlink>
      <w:r>
        <w:t>). Os outros filhos dividiam o restante igualmente. Se não houvesse filhos para herdar, as filhas se tornavam herdeiras (</w:t>
      </w:r>
      <w:hyperlink r:id="rId7214">
        <w:r>
          <w:rPr>
            <w:color w:val="0000EE"/>
            <w:u w:val="single"/>
          </w:rPr>
          <w:t>Nm 27.8</w:t>
        </w:r>
      </w:hyperlink>
      <w:r>
        <w:t xml:space="preserve">; </w:t>
      </w:r>
      <w:hyperlink r:id="rId9884">
        <w:r>
          <w:rPr>
            <w:color w:val="0000EE"/>
            <w:u w:val="single"/>
          </w:rPr>
          <w:t>36.1–12</w:t>
        </w:r>
      </w:hyperlink>
      <w:r>
        <w:t>), embora houvesse uma estipulação que as filhas não poderiam se casar fora de sua tribo. Era assim para preservar o território tribal intacto. Se não houvesse filhas, então os irmãos do homem morto herdavam; se não houvesse irmãos, então seus tios; e se não houvesse tios, então o parente mais próximo (</w:t>
      </w:r>
      <w:hyperlink r:id="rId10594">
        <w:r>
          <w:rPr>
            <w:color w:val="0000EE"/>
            <w:u w:val="single"/>
          </w:rPr>
          <w:t>27.9–11</w:t>
        </w:r>
      </w:hyperlink>
      <w:r>
        <w:t>). Como a questão da posse tribal era tão importante, é fácil entender por que havia tanto interesse pelos registros genealógicos entre o povo hebreu.</w:t>
      </w:r>
    </w:p>
    <w:p>
      <w:r/>
      <w:r>
        <w:rPr>
          <w:i/>
        </w:rPr>
        <w:t>Ver também</w:t>
      </w:r>
      <w:r>
        <w:t xml:space="preserve"> </w:t>
      </w:r>
      <w:r>
        <w:t>Primogênito</w:t>
      </w:r>
      <w:r>
        <w:t xml:space="preserve">; </w:t>
      </w:r>
      <w:r>
        <w:t>Herança</w:t>
      </w:r>
      <w:r>
        <w:t xml:space="preserve">; </w:t>
      </w:r>
      <w:r>
        <w:t>Direito de nascença</w:t>
      </w:r>
      <w:r>
        <w:t>.</w:t>
      </w:r>
      <w:r/>
      <w:r/>
    </w:p>
    <w:p>
      <w:r/>
    </w:p>
    <w:p>
      <w:pPr>
        <w:pStyle w:val="Heading2"/>
      </w:pPr>
      <w:r>
        <w:t>Heresia</w:t>
      </w:r>
      <w:r/>
    </w:p>
    <w:p>
      <w:r/>
      <w:r>
        <w:t>Um grupo sectário ou um ensinamento que se desvia da norma. A palavra grega (hairesis), que significa literalmente "escolha", designa uma seita ou facção. Por exemplo, os saduceus eram uma seita dentro do Judaísmo (</w:t>
      </w:r>
      <w:hyperlink r:id="rId8483">
        <w:r>
          <w:rPr>
            <w:color w:val="0000EE"/>
            <w:u w:val="single"/>
          </w:rPr>
          <w:t>At 5.17</w:t>
        </w:r>
      </w:hyperlink>
      <w:r>
        <w:t>), assim como os fariseus (</w:t>
      </w:r>
      <w:hyperlink r:id="rId6072">
        <w:r>
          <w:rPr>
            <w:color w:val="0000EE"/>
            <w:u w:val="single"/>
          </w:rPr>
          <w:t>15.5</w:t>
        </w:r>
      </w:hyperlink>
      <w:r>
        <w:t>). Quando muitos judeus inicialmente acreditaram que Jesus de Nazaré era o Messias, eles eram conhecidos como "a seita dos Nazarenos" (</w:t>
      </w:r>
      <w:hyperlink r:id="rId10595">
        <w:r>
          <w:rPr>
            <w:color w:val="0000EE"/>
            <w:u w:val="single"/>
          </w:rPr>
          <w:t>24.5</w:t>
        </w:r>
      </w:hyperlink>
      <w:r>
        <w:t>). Em cada um desses versículos, a palavra hairesis denota nada mais do que uma seita. Após o crescimento e desenvolvimento da igreja, qualquer grupo faccioso dentro de uma igreja local era chamado de hairesis — ou seja, era uma seita que mantinha certas opiniões contrárias às verdades estabelecidas pelos apóstolos. Em vista disso, Paulo disse à igreja de Corinto que seitas facciosas se desenvolveriam entre eles como uma forma de separar o falso do verdadeiro (</w:t>
      </w:r>
      <w:hyperlink r:id="rId10596">
        <w:r>
          <w:rPr>
            <w:color w:val="0000EE"/>
            <w:u w:val="single"/>
          </w:rPr>
          <w:t>1Co 11.19</w:t>
        </w:r>
      </w:hyperlink>
      <w:r>
        <w:t>). Eventualmente, a palavra "heresia" passou a conotar o ensinamento particular que levou alguns a se afastarem da ortodoxia. Assim, Pedro advertiu os cristãos sobre vários falsos mestres que tentariam enganar os crentes com seus ensinamentos heréticos (</w:t>
      </w:r>
      <w:hyperlink r:id="rId10597">
        <w:r>
          <w:rPr>
            <w:color w:val="0000EE"/>
            <w:u w:val="single"/>
          </w:rPr>
          <w:t>2Pe 2.1</w:t>
        </w:r>
      </w:hyperlink>
      <w:r>
        <w:t>). Na era moderna, é assim que a palavra "heresia" é geralmente entendida; é um ensinamento não ortodoxo e/ou falso que prejudica a fé de certos crentes e também causa facções divisivas dentro da igreja.</w:t>
      </w:r>
      <w:r/>
      <w:r/>
    </w:p>
    <w:p>
      <w:r/>
    </w:p>
    <w:p>
      <w:pPr>
        <w:pStyle w:val="Heading2"/>
      </w:pPr>
      <w:r>
        <w:t>Hermes</w:t>
      </w:r>
      <w:r/>
    </w:p>
    <w:p>
      <w:pPr>
        <w:pStyle w:val="ListNumber"/>
        <w:spacing w:line="240" w:lineRule="auto"/>
        <w:ind w:left="720"/>
      </w:pPr>
      <w:r/>
      <w:r>
        <w:t>Um deus grego que era filho de Zeus e Maia. Os romanos o chamavam de Mercúrio. Na mitologia grega, Hermes era o mensageiro dos deuses. Ele guiava as almas das pessoas falecidas para Hades (o lugar dos mortos). Ele era o deus da fertilidade, o patrono da música, o protetor dos viajantes e o deus da eloquência.</w:t>
      </w:r>
    </w:p>
    <w:p>
      <w:r/>
      <w:r>
        <w:t>Quando Paulo estava ministrando em Listra, o povo local pensou que o apóstolo Paulo era Hermes. Isso aconteceu porque Paulo realizou um milagre e era o principal orador. O povo de Listra acreditava que Paulo era um deus que havia vindo visitá-los em forma humana (</w:t>
      </w:r>
      <w:hyperlink r:id="rId10598">
        <w:r>
          <w:rPr>
            <w:color w:val="0000EE"/>
            <w:u w:val="single"/>
          </w:rPr>
          <w:t>At 14.11–12</w:t>
        </w:r>
      </w:hyperlink>
      <w:r>
        <w:t>, Mercúrio na versão ARC).</w:t>
      </w:r>
    </w:p>
    <w:p>
      <w:pPr>
        <w:pStyle w:val="ListNumber"/>
        <w:spacing w:line="240" w:lineRule="auto"/>
        <w:ind w:left="720"/>
      </w:pPr>
      <w:r/>
      <w:r>
        <w:t>Um cristão a quem Paulo enviou saudações em sua carta aos Romanos (</w:t>
      </w:r>
      <w:hyperlink r:id="rId10599">
        <w:r>
          <w:rPr>
            <w:color w:val="0000EE"/>
            <w:u w:val="single"/>
          </w:rPr>
          <w:t>Rm 16.14</w:t>
        </w:r>
      </w:hyperlink>
      <w:r>
        <w:t>).</w:t>
      </w:r>
      <w:r/>
      <w:r/>
    </w:p>
    <w:p>
      <w:r/>
    </w:p>
    <w:p>
      <w:pPr>
        <w:pStyle w:val="Heading2"/>
      </w:pPr>
      <w:r>
        <w:t>Hermon, Monte</w:t>
      </w:r>
      <w:r/>
    </w:p>
    <w:p>
      <w:r/>
      <w:r>
        <w:t>O Monte Hermom é uma grande montanha que marca a extremidade norte da terra que Josué e Moisés conquistaram a leste do Rio Jordão. Esta montanha serviu como a fronteira norte da terra dada à metade da tribo de Manassés, bem como a fronteira norte de todo Israel (</w:t>
      </w:r>
      <w:hyperlink r:id="rId10600">
        <w:r>
          <w:rPr>
            <w:color w:val="0000EE"/>
            <w:u w:val="single"/>
          </w:rPr>
          <w:t>Dt 3.8</w:t>
        </w:r>
      </w:hyperlink>
      <w:r>
        <w:t xml:space="preserve">; </w:t>
      </w:r>
      <w:hyperlink r:id="rId1982">
        <w:r>
          <w:rPr>
            <w:color w:val="0000EE"/>
            <w:u w:val="single"/>
          </w:rPr>
          <w:t>4.48</w:t>
        </w:r>
      </w:hyperlink>
      <w:r>
        <w:t xml:space="preserve">; </w:t>
      </w:r>
      <w:hyperlink r:id="rId10601">
        <w:r>
          <w:rPr>
            <w:color w:val="0000EE"/>
            <w:u w:val="single"/>
          </w:rPr>
          <w:t>Js 11.17</w:t>
        </w:r>
      </w:hyperlink>
      <w:r>
        <w:t xml:space="preserve">; </w:t>
      </w:r>
      <w:hyperlink r:id="rId10602">
        <w:r>
          <w:rPr>
            <w:color w:val="0000EE"/>
            <w:u w:val="single"/>
          </w:rPr>
          <w:t>12.1,5</w:t>
        </w:r>
      </w:hyperlink>
      <w:r>
        <w:t xml:space="preserve">; </w:t>
      </w:r>
      <w:hyperlink r:id="rId9931">
        <w:r>
          <w:rPr>
            <w:color w:val="0000EE"/>
            <w:u w:val="single"/>
          </w:rPr>
          <w:t>13.11</w:t>
        </w:r>
      </w:hyperlink>
      <w:r>
        <w:t xml:space="preserve">; </w:t>
      </w:r>
      <w:hyperlink r:id="rId1983">
        <w:r>
          <w:rPr>
            <w:color w:val="0000EE"/>
            <w:u w:val="single"/>
          </w:rPr>
          <w:t>1 Cr 5.23</w:t>
        </w:r>
      </w:hyperlink>
      <w:r>
        <w:t>). Ela se ergue bem acima do Vale do Líbano e da terra de Mispa (</w:t>
      </w:r>
      <w:hyperlink r:id="rId10603">
        <w:r>
          <w:rPr>
            <w:color w:val="0000EE"/>
            <w:u w:val="single"/>
          </w:rPr>
          <w:t>Js11.3,8</w:t>
        </w:r>
      </w:hyperlink>
      <w:r>
        <w:t>). Josué perseguiu os reis de Canaã até esta área após derrotá-los nas Águas de Merom (</w:t>
      </w:r>
      <w:hyperlink r:id="rId10601">
        <w:r>
          <w:rPr>
            <w:color w:val="0000EE"/>
            <w:u w:val="single"/>
          </w:rPr>
          <w:t>Js 11.17</w:t>
        </w:r>
      </w:hyperlink>
      <w:r>
        <w:t xml:space="preserve">; </w:t>
      </w:r>
      <w:hyperlink r:id="rId9787">
        <w:r>
          <w:rPr>
            <w:color w:val="0000EE"/>
            <w:u w:val="single"/>
          </w:rPr>
          <w:t>13.5</w:t>
        </w:r>
      </w:hyperlink>
      <w:r>
        <w:t>).</w:t>
      </w:r>
    </w:p>
    <w:p>
      <w:r/>
      <w:r>
        <w:t>A poesia da Bíblia elogia o Monte Hermom por duas coisas: sua grande altura e o orvalho que cai sobre o Monte Sião (</w:t>
      </w:r>
      <w:hyperlink r:id="rId10604">
        <w:r>
          <w:rPr>
            <w:color w:val="0000EE"/>
            <w:u w:val="single"/>
          </w:rPr>
          <w:t>Sl 133.3</w:t>
        </w:r>
      </w:hyperlink>
      <w:r>
        <w:t>). A montanha também era conhecida por seus animais selvagens (</w:t>
      </w:r>
      <w:hyperlink r:id="rId1746">
        <w:r>
          <w:rPr>
            <w:color w:val="0000EE"/>
            <w:u w:val="single"/>
          </w:rPr>
          <w:t>Ct 4.8</w:t>
        </w:r>
      </w:hyperlink>
      <w:r>
        <w:t>). Outras passagens da Bíblia mencionam-no junto com o Rio Jordão e o Monte Tabor (</w:t>
      </w:r>
      <w:hyperlink r:id="rId935">
        <w:r>
          <w:rPr>
            <w:color w:val="0000EE"/>
            <w:u w:val="single"/>
          </w:rPr>
          <w:t>Ss 42.6</w:t>
        </w:r>
      </w:hyperlink>
      <w:r>
        <w:t xml:space="preserve">; </w:t>
      </w:r>
      <w:hyperlink r:id="rId10605">
        <w:r>
          <w:rPr>
            <w:color w:val="0000EE"/>
            <w:u w:val="single"/>
          </w:rPr>
          <w:t>Sl 89.12</w:t>
        </w:r>
      </w:hyperlink>
      <w:r>
        <w:t>). A montanha em si tem cerca de 21 quilômetros de comprimento e se eleva a uma altura de 2,8 quilômetros.</w:t>
      </w:r>
      <w:r/>
      <w:r/>
    </w:p>
    <w:p>
      <w:r/>
    </w:p>
    <w:p>
      <w:pPr>
        <w:pStyle w:val="Heading2"/>
      </w:pPr>
      <w:r>
        <w:t>Herodes, Família Herodiana*</w:t>
      </w:r>
      <w:r/>
    </w:p>
    <w:p>
      <w:r/>
      <w:r>
        <w:t xml:space="preserve">Governantes políticos durante a vida de Cristo. Cristo nasceu quando Herodes, o Grande, estava governando. O filho de Herodes, Herodes Antipas, era o governante da Galileia e Pereia, os territórios nos quais Jesus e João Batista realizavam a maioria de seus ministérios. Foi este governante que decapitou João Batista e julgou Cristo pouco antes de sua morte. Herodes Agripa I é o perseguidor da igreja em </w:t>
      </w:r>
      <w:hyperlink r:id="rId2854">
        <w:r>
          <w:rPr>
            <w:color w:val="0000EE"/>
            <w:u w:val="single"/>
          </w:rPr>
          <w:t>Atos 12</w:t>
        </w:r>
      </w:hyperlink>
      <w:r>
        <w:t>, e Herodes Agripa II ouviu o testemunho de Paulo (</w:t>
      </w:r>
      <w:hyperlink r:id="rId10606">
        <w:r>
          <w:rPr>
            <w:color w:val="0000EE"/>
            <w:u w:val="single"/>
          </w:rPr>
          <w:t>Atos 26</w:t>
        </w:r>
      </w:hyperlink>
      <w:r>
        <w:t>) pouco antes de ele ir para Roma ser julgado por César. Sem um conhecimento da família herodiana, dificilmente se pode ter uma compreensão adequada dos tempos de Cristo.</w:t>
      </w:r>
    </w:p>
    <w:p>
      <w:r/>
      <w:r>
        <w:t>Resumo</w:t>
      </w:r>
    </w:p>
    <w:p>
      <w:r/>
      <w:r>
        <w:t>• A dinastia herodiana</w:t>
      </w:r>
    </w:p>
    <w:p>
      <w:r/>
      <w:r>
        <w:t>• Herodes, o Grande</w:t>
      </w:r>
    </w:p>
    <w:p>
      <w:r/>
      <w:r>
        <w:t>• Arquelau</w:t>
      </w:r>
    </w:p>
    <w:p>
      <w:r/>
      <w:r>
        <w:t>• Antipas</w:t>
      </w:r>
    </w:p>
    <w:p>
      <w:r/>
      <w:r>
        <w:t>• Filipe, o tetrarca</w:t>
      </w:r>
    </w:p>
    <w:p>
      <w:r/>
      <w:r>
        <w:t>• Agripa I</w:t>
      </w:r>
    </w:p>
    <w:p>
      <w:r/>
      <w:r>
        <w:t>• Agripa II</w:t>
      </w:r>
    </w:p>
    <w:p>
      <w:pPr>
        <w:pStyle w:val="Heading3"/>
      </w:pPr>
      <w:r>
        <w:t>A dinastia herodiana (67–47 a.C.)</w:t>
      </w:r>
    </w:p>
    <w:p>
      <w:r/>
      <w:r>
        <w:t xml:space="preserve">A dinastia herodiana se tornou proeminente durante a confusão que resultou na decadência da dinastia dos Asmoneus, a transferência da Síria e da Palestina para o governo romano, e as guerras civis que marcaram a decadência da nação. Grande parte do que sabemos sobre os Herodes vem dos escritos do historiador Josefo: </w:t>
      </w:r>
      <w:r>
        <w:rPr>
          <w:i/>
        </w:rPr>
        <w:t>Antiguidades dos Judeus</w:t>
      </w:r>
      <w:r>
        <w:t xml:space="preserve"> e </w:t>
      </w:r>
      <w:r>
        <w:rPr>
          <w:i/>
        </w:rPr>
        <w:t>A Guerra dos Judeus.</w:t>
      </w:r>
    </w:p>
    <w:p>
      <w:pPr>
        <w:pStyle w:val="Heading3"/>
      </w:pPr>
      <w:r>
        <w:t>Herodes, o Grande (47–4 a.C.)</w:t>
      </w:r>
    </w:p>
    <w:p>
      <w:pPr>
        <w:pStyle w:val="Heading4"/>
      </w:pPr>
      <w:r>
        <w:t>Como Governador da Galileia (47–37 a.C.)</w:t>
      </w:r>
    </w:p>
    <w:p>
      <w:r/>
      <w:r>
        <w:t>Herodes, o Grande, tornou-se governador da Galileia aos 25 anos. Embora ele tenha ganhado o respeito dos romanos e dos judeus galileus por rapidamente capturar e matar o líder bandido Ezequias, alguns na corte de Hircano pensaram que ele estava se tornando muito poderoso e providenciaram para que ele fosse levado a julgamento. Ele foi absolvido e libertado e, posteriormente, fugiu para Sexto César em Damasco. Sexto César, governador da Síria, nomeou Herodes governador de Celessíria, e assim ele se envolveu com os assuntos romanos na Síria. Ele permaneceu nesta posição sob uma série de governantes e foi bem-sucedido em coletar impostos e suprimir várias revoltas. Assim, em 41 a.C. quando Antônio chegou ao poder sob Otávio César, após consultar Hircano II, Sexto nomeou Herodes e Fasael como tetrarcas da Judeia.</w:t>
      </w:r>
    </w:p>
    <w:p>
      <w:pPr>
        <w:pStyle w:val="Heading4"/>
      </w:pPr>
      <w:r>
        <w:t>Como Rei (37–4 a.C.)</w:t>
      </w:r>
    </w:p>
    <w:p>
      <w:r/>
      <w:r>
        <w:t>O reinado de Herodes é dividido pela maioria dos estudiosos em três períodos: (1) consolidação de 37 a 25 a.C.; (2) prosperidade de 25 a 13 a.C.; e (3) problemas domésticos de 13 a 4 a.C.</w:t>
      </w:r>
    </w:p>
    <w:p>
      <w:r/>
      <w:r>
        <w:t>O período de consolidação se estendeu desde sua ascensão como rei em 37 a.C. até a morte dos filhos de Babas, os últimos representantes homens da família dos asmoneus. Durante este período, ele teve que lidar com muitos adversários poderosos.</w:t>
      </w:r>
    </w:p>
    <w:p>
      <w:r/>
      <w:r>
        <w:t>Os primeiros adversários, o povo e os fariseus, se opuseram ao fato de ele ser idumeu, meio judeu e um amigo dos romanos. Aqueles que se opuseram a ele foram punidos, e aqueles que ficaram do seu lado foram recompensados com favores e honras.</w:t>
      </w:r>
    </w:p>
    <w:p>
      <w:r/>
      <w:r>
        <w:t>Os segundos adversários eram aqueles da aristocracia que tomaram o partido de Antígono. Herodes havia matado 45 dos mais ricos e havia confiscado suas propriedades para reabastecer seus próprios cofres.</w:t>
      </w:r>
    </w:p>
    <w:p>
      <w:r/>
      <w:r>
        <w:t>O terceiro grupo de adversários era a família asmoneia. O principal problema de Herodes era sua sogra, Alexandra. Ela estava chateada por ele não haver nomeado outro asmoneu para o sumo sacerdócio para substituir Hircano, especificamente seu filho Aristóbulo. Ela escreveu a Cleópatra, pedindo-lhe para influenciar Antônio para forçar Herodes a remover o sumo sacerdote nomeado, Ananel, e substituí-lo por Aristóbulo. Finalmente, Herodes deu lugar à pressão. No final, após uma celebração da Festa dos Tabernáculos, Herodes fez com que Aristóbulo fosse afogado, fazendo parecer um acidente. Herodes acorrentou Alexandra e a colocou sob guarda para impedi-la de lhe causar mais problemas.</w:t>
      </w:r>
    </w:p>
    <w:p>
      <w:r/>
      <w:r>
        <w:t>O quarto adversário de Herodes era Cleópatra. Quando a guerra civil eclodiu entre Antônio e Otávio, Herodes queria ajudar Antônio. Mas Cleópatra persuadiu Antônio a estabelecer Herodes na batalha contra o rei árabe Malco, que havia falhado em pagar tributo a ela. Quando viu Herodes vencendo, ela ordenou às suas tropas que ajudassem Malco, esperando enfraquecer ambas as partes até o ponto de ruptura, para que pudesse absorvê-las. Após um terremoto catastrófico em seu domínio em 31 a.C., Herodes derrotou os árabes e voltou para casa. Logo depois, em 2 de setembro de 31 a.C., Otávio derrotou Antônio na Batalha de Áccio, resultando nos suicídios de Antônio e Cleópatra.</w:t>
      </w:r>
    </w:p>
    <w:p>
      <w:r/>
      <w:r>
        <w:t>O segundo período do reinado de Herodes foi um de prosperidade (25–14 a.C.). Foi um período de esplendor e prazer interrompido por perturbações ocasionais. De acordo com Josefo, a mais nobre de todas as realizações de Herodes foi a reconstrução do templo em Jerusalém, iniciada em 20/19 a.C. (</w:t>
      </w:r>
      <w:r>
        <w:rPr>
          <w:i/>
        </w:rPr>
        <w:t>Antiguidades</w:t>
      </w:r>
      <w:r>
        <w:t xml:space="preserve"> 15.8.1). A literatura rabínica afirma: “Aquele que não viu o Templo de Herodes nunca viu um edifício bonito” (Talmude babilônico: </w:t>
      </w:r>
      <w:r>
        <w:rPr>
          <w:i/>
        </w:rPr>
        <w:t>Baba Bathra</w:t>
      </w:r>
      <w:r>
        <w:t xml:space="preserve"> 4a). Antes disso, ele havia construído teatros, anfiteatros e hipódromos para homens e cavalos. Em 24 a.C. Herodes construiu para si um palácio real e construiu ou reconstruiu muitas fortalezas e templos gentios, incluindo a Torre de Estrato, mais tarde renomeada Cesareia.</w:t>
      </w:r>
    </w:p>
    <w:p>
      <w:r/>
      <w:r>
        <w:t>Durante este tempo, ele se tornou muito interessado na cultura e reuniu em torno dele homens talentosos na literatura e arte gregas. Os retóricos gregos foram nomeados para os mais altos cargos do estado. Um deles era Nicolau de Damasco, o instrutor e conselheiro de Herodes em filosofia, retórica e história. No final de 24 a.C., ele se casou com Mariamne, filha de Simão, um sacerdote bem conhecido em Jerusalém (ela será referida como Mariamne II).</w:t>
      </w:r>
    </w:p>
    <w:p>
      <w:r/>
      <w:r>
        <w:t>Durante este período, o governo de Herodes foi favoravelmente aceito pelo povo. Eles estavam irritados, no entanto, por duas coisas. Primeiro, ele violou a lei judaica por sua introdução dos jogos quinquenais em honra de César; e segundo, ele construiu teatros e hipódromos. Ele exigiu um juramento de lealdade de seus súditos, exceto por alguns poucos privilegiados. Além disso, ele não permitiria que eles se congregassem livremente por medo de uma revolta. Apesar dessas coisas, ele tinha bom controle do povo e o favoreceu duas vezes reduzindo os impostos (em 14 a.C. ele reduziu os impostos em um quarto).</w:t>
      </w:r>
    </w:p>
    <w:p>
      <w:r/>
      <w:r>
        <w:t>O terceiro período do governo de Herodes foi claramente marcado por problemas domésticos (13–4 a.C.). Naquele momento ele já havia se casado com dez esposas. Sua primeira esposa, Doris, teve apenas um filho, Antípatro. Ele repudiou Doris e Antípatro quando se casou com Mariamne I, permitindo-os visitar Jerusalém apenas durante os festivais. Ele se casou com Mariamne I em 37 a.C. Ela era a neta de Hircano e teve cinco filhos: duas filhas e três filhos. O filho mais novo morreu enquanto estava em Roma, e os dois filhos restantes deveriam desempenhar um papel importante nesta parte do reinado de Herodes. No final de 24 a.C., ele se casou com sua terceira esposa, Mariamne II, a quem nasceu um filho, Herodes (Filipe). Maltace, sua quarta esposa, era uma samaritana e mãe de dois filhos, Arquelau e Antipas. Sua quinta esposa, Cleópatra de Jerusalém, era a mãe de Filipe, o tetrarca. Das cinco esposas restantes, apenas Palas, Fedra e Elpsis são conhecidas pelo nome, e nenhuma desempenhou um papel significativo nos eventos deste período.</w:t>
      </w:r>
    </w:p>
    <w:p>
      <w:r/>
      <w:r>
        <w:t>Alexandre e Aristóbulo, os filhos de Mariamne I, eram seus favoritos. Imediatamente após seus próprios casamentos, os problemas começaram dentro da casa herodiana. Salomé, a irmã de Herodes e mãe de Berenice (esposa de Aristóbulo), odiava esses dois filhos, principalmente porque ela queria a posição e o favor que eles desfrutavam para seu próprio filho. Herodes decidiu chamar de volta seu filho exilado Antípatro para mostrar a Alexandre e Aristóbulo que havia outro herdeiro ao trono. Antípatro aproveitou ao máximo a situação e usou todos os meios concebíveis para adquirir o trono cobiçado. Finalmente, um homem de mau-caráter, Euricles de Lacedemônia, incumbiu-se de inflamar o pai contra seus dois filhos e vice-versa. Logo outros perversos se juntaram a Euricles, e a paciência de Herodes se esgotou. Ele colocou Alexandre e Aristóbulo na prisão e nomeou Antípatro como herdeiro.</w:t>
      </w:r>
    </w:p>
    <w:p>
      <w:r/>
      <w:r>
        <w:t>Em sua impaciência para obter o trono, Antípatro tentou envenenar Herodes. Esta trama falhou quando Feroras, o irmão de Herodes, bebeu o veneno por engano. Herodes colocou Antípatro na prisão e relatou o assunto ao imperador (ca. 5 a.C.). Neste momento, Herodes ficou muito doente com uma doença incurável. Ele elaborou um novo testamento que excluía seus filhos mais velhos, Arquelau e Filipe, porque Antípatro também havia envenenado sua mente contra eles. Ele escolheu seu filho mais novo, Antipas, como seu único sucessor.</w:t>
      </w:r>
    </w:p>
    <w:p>
      <w:r/>
      <w:r>
        <w:t>Foi durante este tempo que os homens sábios chegaram à Judeia, em busca do rei recém-nascido dos judeus. Herodes os instruiu a relatar a ele o paradeiro desta criança assim que o encontrassem. Sendo advertidos em um sonho, eles não o fizeram, mas voltaram para suas casas por outra rota. Deus advertiu José (marido da mãe de Jesus) para fugir para o Egito por causa da intenção de Herodes de matar Jesus. José pegou sua família e deixou Belém. Pouco depois, Herodes matou todos os filhos homens em Belém que tinham dois anos ou menos.</w:t>
      </w:r>
    </w:p>
    <w:p>
      <w:r/>
      <w:r>
        <w:t>A doença de Herodes ficou cada vez pior. Veio uma permissão de Roma para executar Antípatro, o que ele prontamente fez. Ele alterou novamente seu testamento, tornando Arquelau rei da Judeia, Idumeia e Samaria; Antipas tetrarca da Galileia e Pereia, e Filipe tetrarca dos territórios a leste da Galileia. No quinto dia após a execução de Antípatro, Herodes morreu em Jericó na primavera de 4 a.C. O povo aclamou Arquelau como seu rei.</w:t>
      </w:r>
    </w:p>
    <w:p>
      <w:pPr>
        <w:pStyle w:val="Heading3"/>
      </w:pPr>
      <w:r>
        <w:t>Arquelau (4 a.C.–6 d.C)</w:t>
      </w:r>
    </w:p>
    <w:p>
      <w:r/>
      <w:r>
        <w:t>Arquelau era o filho de Herodes, o Grande, e Maltace (uma samaritana), tendo nascido por volta de 22 a.C. Arquelau foi confrontado com uma grande variedade de problemas. Ele havia matado 3.000 pessoas ao reprimir uma revolução liderada por pessoas que buscavam vingar o sangue daqueles mortos por seu pai, Herodes. Assim, seu governo teve um mau começo. No Pentecostes em 4 a.C., outra revolta eclodiu, que durou cerca de dois meses e meio e durante a qual os pórticos do templo foram queimados e o tesouro foi saqueado pelos romanos. Esta agitação se espalhou para a região da Judeia, Galileia e Pereia.</w:t>
      </w:r>
    </w:p>
    <w:p>
      <w:r/>
      <w:r>
        <w:t>Arquelau tratou tanto os judeus quanto os samaritanos brutalmente (</w:t>
      </w:r>
      <w:r>
        <w:rPr>
          <w:i/>
        </w:rPr>
        <w:t>Guerra</w:t>
      </w:r>
      <w:r>
        <w:t xml:space="preserve"> 2.7.3), um fato confirmado pelos Evangelhos. Quando José voltou de sua fuga para o Egito e soube que Arquelau estava governando a Judeia, ele estava com medo de ir para lá e foi advertido contra isso por Deus; ele levou o menino Jesus para a Galileia (</w:t>
      </w:r>
      <w:hyperlink r:id="rId10607">
        <w:r>
          <w:rPr>
            <w:color w:val="0000EE"/>
            <w:u w:val="single"/>
          </w:rPr>
          <w:t>Mt 2.22</w:t>
        </w:r>
      </w:hyperlink>
      <w:r>
        <w:t>).</w:t>
      </w:r>
    </w:p>
    <w:p>
      <w:r/>
      <w:r>
        <w:t>A tirania de Arquelau finalmente fez com que os judeus e samaritanos enviassem uma delegação a Roma e se queixassem formalmente a Augusto. O fato de que inimigos tão amargos quanto os judeus e samaritanos poderem cooperar neste assunto indica a seriedade da queixa. Antipas e Filipe também foram a Roma para se queixar dele. Presumivelmente, eles ressentiram sua negligência como representante romano para a Palestina. Assim, em 6 d.C. Arquelau foi deposto e exilado para Viena na Gália (moderna Vienne no rio Ródano, ao sul de Lyon). Antipas e Filipe foram autorizados a manter seus respectivos governos, e os territórios de Arquelau foram reduzidos a uma província governada por prefeitos ou procuradores.</w:t>
      </w:r>
    </w:p>
    <w:p>
      <w:pPr>
        <w:pStyle w:val="Heading3"/>
      </w:pPr>
      <w:r>
        <w:t>Antipas (4 a.C.–39 d.C.)</w:t>
      </w:r>
    </w:p>
    <w:p>
      <w:r/>
      <w:r>
        <w:t>Antipas era o irmão mais novo de Arquelau, nascido por volta de 20 a.C. De todos os herodianos, ele é mais mencionado no NT porque governava a Galileia e a Pereia, onde tanto Jesus quanto João Batista concentravam seus ministérios.</w:t>
      </w:r>
    </w:p>
    <w:p>
      <w:r/>
      <w:r>
        <w:t>O domínio de Antipas estava em tumulto causado pela rebelião iniciada no Pentecostes em 4 a.C. Ele imediatamente partiu para restaurar a ordem e reconstruir o que havia sido destruído. Seguindo o exemplo de seu pai, Herodes, o Grande, Antipas fundou cidades. Séforis foi seu primeiro projeto; era a maior cidade na Galileia e sua capital até que ele construiu Tiberíades. Como Nazaré estava a apenas 6,4 quilômetros a sul-sudeste de Séforis, é bem possível que José, o marido de Maria, tenha sido empregado como carpinteiro (</w:t>
      </w:r>
      <w:hyperlink r:id="rId2205">
        <w:r>
          <w:rPr>
            <w:color w:val="0000EE"/>
            <w:u w:val="single"/>
          </w:rPr>
          <w:t>Mt 13.55</w:t>
        </w:r>
      </w:hyperlink>
      <w:r>
        <w:t xml:space="preserve">; </w:t>
      </w:r>
      <w:hyperlink r:id="rId4331">
        <w:r>
          <w:rPr>
            <w:color w:val="0000EE"/>
            <w:u w:val="single"/>
          </w:rPr>
          <w:t>Mc 6.3</w:t>
        </w:r>
      </w:hyperlink>
      <w:r>
        <w:t>) para ajudar a reconstruir aquela cidade.</w:t>
      </w:r>
    </w:p>
    <w:p>
      <w:r/>
      <w:r>
        <w:t xml:space="preserve">Das 12 cidades construídas pela família herodiana, Tiberíades é a mais importante. Foi a primeira cidade na história judaica a ser fundada com a estrutura municipal de uma </w:t>
      </w:r>
      <w:r>
        <w:rPr>
          <w:i/>
        </w:rPr>
        <w:t>pólis grega</w:t>
      </w:r>
      <w:r>
        <w:t>. Foi construída em honra do imperador reinante, Tibério. Devido ao fato de que um cemitério foi destruído no processo de construção, Tiberíades foi considerada impura pelos judeus. Antipas ofereceu casas e terras de graça, e isenções de impostos nos primeiros anos a qualquer um que se mudasse para a cidade. Ele concluiu a cidade em 23 d.C. e a fez sua capital.</w:t>
      </w:r>
    </w:p>
    <w:p>
      <w:r/>
      <w:r>
        <w:t>No mundo cristão, o incidente pelo qual Antipas é mais lembrado é sua decapitação de João Batista (</w:t>
      </w:r>
      <w:hyperlink r:id="rId9464">
        <w:r>
          <w:rPr>
            <w:color w:val="0000EE"/>
            <w:u w:val="single"/>
          </w:rPr>
          <w:t>Mt 14.3–12</w:t>
        </w:r>
      </w:hyperlink>
      <w:r>
        <w:t xml:space="preserve">; </w:t>
      </w:r>
      <w:hyperlink r:id="rId9465">
        <w:r>
          <w:rPr>
            <w:color w:val="0000EE"/>
            <w:u w:val="single"/>
          </w:rPr>
          <w:t>Mc 6.17–29</w:t>
        </w:r>
      </w:hyperlink>
      <w:r>
        <w:t xml:space="preserve">; </w:t>
      </w:r>
      <w:hyperlink r:id="rId9466">
        <w:r>
          <w:rPr>
            <w:color w:val="0000EE"/>
            <w:u w:val="single"/>
          </w:rPr>
          <w:t>Lc 3.19–20</w:t>
        </w:r>
      </w:hyperlink>
      <w:r>
        <w:t xml:space="preserve">; </w:t>
      </w:r>
      <w:r>
        <w:rPr>
          <w:i/>
        </w:rPr>
        <w:t>Antiguidades</w:t>
      </w:r>
      <w:r>
        <w:t xml:space="preserve"> 18.5.2.116–119). Houve uma confusão de eventos familiares que levaram à morte de João Batista. Antipas havia se casado com a filha de Aretas IV (o nome da filha é desconhecido). Aretas IV era o rei nabateu, e Augusto pode ter encorajado este casamento, pois ele favorecia casamentos entre vários governantes para promover a paz em seu império.</w:t>
      </w:r>
    </w:p>
    <w:p>
      <w:r/>
      <w:r>
        <w:t>Por volta de 29 d.C. Antipas fez uma viagem a Roma, e no caminho, ele fez uma visita a seu meio-irmão Herodes Filipe, que deve ter vivido em uma cidade costeira na Palestina. Antipas se apaixonou por Herodias, a esposa de Filipe, que também era a sobrinha de Antipas. A ideia de se tornar a esposa de um tetrarca a atraiu, e ela concordou em se casar com ele quando voltasse de Roma, se ele expulsasse a filha de Aretas. Antipas concordou com o plano, e quando a filha de Aretas ouviu falar disso, ela fugiu para seu pai. Esta foi uma violação da aliança política, bem como um insulto pessoal, que levou à retaliação de Aretas.</w:t>
      </w:r>
    </w:p>
    <w:p>
      <w:r/>
      <w:r>
        <w:t>O casamento de Antipas e Herodias estava em violação da lei mosaica que proibia o casamento com a esposa de um irmão (</w:t>
      </w:r>
      <w:hyperlink r:id="rId4547">
        <w:r>
          <w:rPr>
            <w:color w:val="0000EE"/>
            <w:u w:val="single"/>
          </w:rPr>
          <w:t>Lv 18.16</w:t>
        </w:r>
      </w:hyperlink>
      <w:r>
        <w:t xml:space="preserve">; </w:t>
      </w:r>
      <w:hyperlink r:id="rId10608">
        <w:r>
          <w:rPr>
            <w:color w:val="0000EE"/>
            <w:u w:val="single"/>
          </w:rPr>
          <w:t>20.21</w:t>
        </w:r>
      </w:hyperlink>
      <w:r>
        <w:t>), exceto para gerar filhos a um irmão falecido sem filhos, por um casamento levirato (</w:t>
      </w:r>
      <w:hyperlink r:id="rId4546">
        <w:r>
          <w:rPr>
            <w:color w:val="0000EE"/>
            <w:u w:val="single"/>
          </w:rPr>
          <w:t>Dt 25.5</w:t>
        </w:r>
      </w:hyperlink>
      <w:r>
        <w:t xml:space="preserve">; </w:t>
      </w:r>
      <w:hyperlink r:id="rId10609">
        <w:r>
          <w:rPr>
            <w:color w:val="0000EE"/>
            <w:u w:val="single"/>
          </w:rPr>
          <w:t>Mc 12.19</w:t>
        </w:r>
      </w:hyperlink>
      <w:r>
        <w:t>). Neste caso, Filipe não apenas teve uma filha, Salomé, mas ele ainda estava vivo. Esta é a situação que João Batista falou tão ousadamente contra, e Antipas o lançou na prisão. O ódio de Herodias por João Batista era grande demais para se contentar apenas com seu encarceramento. Em um momento apropriado, possivelmente o aniversário de Antipas, ela planejou um banquete em Maquero, na Pereia. Sua filha, Salomé, dançou para o rei, e em um momento impulsivo Antipas prometeu a ela sob juramento que lhe daria qualquer coisa, até metade de seu reino. Seguindo o conselho de sua mãe, ela pediu a cabeça de João Batista em um prato. Imediatamente Antipas lamentou sua promessa precipitada, mas, para não perder prestígio na presença de seus subordinados, ele atendeu o pedido. Assim, o ministério de João terminou por volta de 31 ou 32 d.C.</w:t>
      </w:r>
    </w:p>
    <w:p>
      <w:r/>
      <w:r>
        <w:t>Há três momentos específicos em que Antipas e Jesus são mencionados juntos nos Evangelhos.</w:t>
      </w:r>
    </w:p>
    <w:p>
      <w:r/>
      <w:r>
        <w:t>No início do ministério de Jesus, Antipas ouviu falar dele e comentou, talvez com ironia, que Jesus era João Batista ressuscitado (</w:t>
      </w:r>
      <w:hyperlink r:id="rId10610">
        <w:r>
          <w:rPr>
            <w:color w:val="0000EE"/>
            <w:u w:val="single"/>
          </w:rPr>
          <w:t>Mt 14.1–2</w:t>
        </w:r>
      </w:hyperlink>
      <w:r>
        <w:t xml:space="preserve">; </w:t>
      </w:r>
      <w:hyperlink r:id="rId10611">
        <w:r>
          <w:rPr>
            <w:color w:val="0000EE"/>
            <w:u w:val="single"/>
          </w:rPr>
          <w:t>Mc 6.14–16</w:t>
        </w:r>
      </w:hyperlink>
      <w:r>
        <w:t xml:space="preserve">; </w:t>
      </w:r>
      <w:hyperlink r:id="rId10612">
        <w:r>
          <w:rPr>
            <w:color w:val="0000EE"/>
            <w:u w:val="single"/>
          </w:rPr>
          <w:t>Lc 9.7–9</w:t>
        </w:r>
      </w:hyperlink>
      <w:r>
        <w:t>). Era óbvio para Antipas que o ministério de Jesus era ainda mais notável do que o de João, mas ele relutava em usar a força para realizar o encontro por medo de, mais uma vez, despertar a ira do povo contra ele. Por fim, Jesus se retirou dos territórios de Antipas sem o encontro dos dois.</w:t>
      </w:r>
    </w:p>
    <w:p>
      <w:r/>
      <w:r>
        <w:t>Mais tarde, quando Jesus se tornou mais popular, Antipas viu uma ameaça potencial a seu próprio poder e ameaçou matar Jesus. Assim, na última viagem de Jesus a Jerusalém, ele foi advertido por alguns dos fariseus de que deveria deixar os territórios de Antipas para sua própria segurança (</w:t>
      </w:r>
      <w:hyperlink r:id="rId10613">
        <w:r>
          <w:rPr>
            <w:color w:val="0000EE"/>
            <w:u w:val="single"/>
          </w:rPr>
          <w:t>Lc 13.31–33</w:t>
        </w:r>
      </w:hyperlink>
      <w:r>
        <w:t>). Jesus enviou como resposta a “aquela raposa” que ele continuaria seu ministério de cura e expulsar demônios por um pouco mais, e quando tivesse terminado, então ele iria a Jerusalém para morrer. O leão e a raposa eram muitas vezes contrastados na literatura antiga. O Leão de Judá, Jesus Cristo, não seria coagido pelo covarde astuto, Antipas.</w:t>
      </w:r>
    </w:p>
    <w:p>
      <w:r/>
      <w:r>
        <w:t>O encontro entre os dois ocorreu finalmente quando Jesus foi julgado por Antipas em 33 d.C. (</w:t>
      </w:r>
      <w:hyperlink r:id="rId10614">
        <w:r>
          <w:rPr>
            <w:color w:val="0000EE"/>
            <w:u w:val="single"/>
          </w:rPr>
          <w:t>Lc 23.6–12</w:t>
        </w:r>
      </w:hyperlink>
      <w:r>
        <w:t>). Uma vez que este evento é mencionado apenas por Lucas, alguns estudiosos o consideram lendário. Deve-se lembrar, no entanto, que o destinatário de Lucas era Teófilo, provavelmente um oficial romano, que estaria especialmente interessado na reconciliação entre Pilatos e Antipas mencionado nesta passagem.</w:t>
      </w:r>
    </w:p>
    <w:p>
      <w:r/>
      <w:r>
        <w:t>De acordo com o relato de Lucas, quando Pilatos não pôde encontrar nenhuma falha em Jesus, ele o enviou para Antipas (que estava celebrando a Páscoa em Jerusalém). Pilatos se livrou assim de uma situação embaraçosa. Uma razão mais sutil pode ter sido para reconciliar-se com Antipas. A relação deles estava bastante tensa desde o massacre galileu (</w:t>
      </w:r>
      <w:hyperlink r:id="rId10615">
        <w:r>
          <w:rPr>
            <w:color w:val="0000EE"/>
            <w:u w:val="single"/>
          </w:rPr>
          <w:t>Lc 13.1</w:t>
        </w:r>
      </w:hyperlink>
      <w:r>
        <w:t>), e porque Pilatos trouxe escudos votivos para Jerusalém, despertando a raiva dos judeus (</w:t>
      </w:r>
      <w:r>
        <w:rPr>
          <w:i/>
        </w:rPr>
        <w:t>Legatio ad Gaium</w:t>
      </w:r>
      <w:r>
        <w:t xml:space="preserve"> 299–304, de Filo). Quando Jesus foi trazido diante de Antipas, o governante apenas zombou dele e o enviou de volta a Pilatos. A principal realização política do incidente foi a reconciliação de Antipas e Pilatos.</w:t>
      </w:r>
    </w:p>
    <w:p>
      <w:pPr>
        <w:pStyle w:val="Heading3"/>
      </w:pPr>
      <w:r>
        <w:t>Filipe, o tetrarca (4 a.C.–34 d.C.)</w:t>
      </w:r>
    </w:p>
    <w:p>
      <w:r/>
      <w:r>
        <w:t>Filipe o tetrarca era o filho de Herodes, o Grande, e Cleópatra de Jerusalém, e nasceu por volta de 22 a.C. Quando o testamento de Herodes foi resolvido, Filipe foi nomeado tetrarca sobre Gaulanites, Auranites, Bataneia, Traconites e Itureia, todas na parte norte do domínio de Herodes, o Grande (</w:t>
      </w:r>
      <w:hyperlink r:id="rId9463">
        <w:r>
          <w:rPr>
            <w:color w:val="0000EE"/>
            <w:u w:val="single"/>
          </w:rPr>
          <w:t>Lc 3.1</w:t>
        </w:r>
      </w:hyperlink>
      <w:r>
        <w:t>). Seus súditos eram principalmente sírios e gregos. Assim, ele foi o primeiro e único herodiano a ter sua imagem em suas moedas.</w:t>
      </w:r>
    </w:p>
    <w:p>
      <w:r/>
      <w:r>
        <w:t>Ele construiu duas cidades. Primeiro, ele reconstruiu e ampliou Paneas e a renomeou Cesareia de Filipe. Aqui Pedro fez sua confissão de fé a Jesus e recebeu a revelação sobre a igreja (</w:t>
      </w:r>
      <w:hyperlink r:id="rId10616">
        <w:r>
          <w:rPr>
            <w:color w:val="0000EE"/>
            <w:u w:val="single"/>
          </w:rPr>
          <w:t>Mt 16.13–20</w:t>
        </w:r>
      </w:hyperlink>
      <w:r>
        <w:t xml:space="preserve">; </w:t>
      </w:r>
      <w:hyperlink r:id="rId10617">
        <w:r>
          <w:rPr>
            <w:color w:val="0000EE"/>
            <w:u w:val="single"/>
          </w:rPr>
          <w:t>Mc 8.27–30</w:t>
        </w:r>
      </w:hyperlink>
      <w:r>
        <w:t>). Em seguida, ele reconstruiu e ampliou Betsaida e a renomeou Julias. Aqui Jesus curou o homem cego (</w:t>
      </w:r>
      <w:hyperlink r:id="rId3509">
        <w:r>
          <w:rPr>
            <w:color w:val="0000EE"/>
            <w:u w:val="single"/>
          </w:rPr>
          <w:t>Mc 8.22–26</w:t>
        </w:r>
      </w:hyperlink>
      <w:r>
        <w:t>), e em um lugar do deserto nas proximidades, ele alimentou os 5.000 (</w:t>
      </w:r>
      <w:hyperlink r:id="rId3511">
        <w:r>
          <w:rPr>
            <w:color w:val="0000EE"/>
            <w:u w:val="single"/>
          </w:rPr>
          <w:t>Lc 9.10–17</w:t>
        </w:r>
      </w:hyperlink>
      <w:r>
        <w:t>).</w:t>
      </w:r>
    </w:p>
    <w:p>
      <w:r/>
      <w:r>
        <w:t>Filipe não era tão politicamente ambicioso quanto seus irmãos. Seu governo foi marcado pela tranquilidade e a lealdade de seus súditos. Quando Filipe morreu em 34 d.C., Tibério anexou seus territórios à Síria. Após Calígula se tornar imperador em 37 d.C., ele deu os territórios a Agripa I, irmão de Herodias.</w:t>
      </w:r>
    </w:p>
    <w:p>
      <w:pPr>
        <w:pStyle w:val="Heading3"/>
      </w:pPr>
      <w:r>
        <w:t>Agripa I (37–44 d.C.)</w:t>
      </w:r>
    </w:p>
    <w:p>
      <w:r/>
      <w:r>
        <w:t>Agripa I era o filho de Aristóbulo (filho de Herodes, o Grande, e Mariamne I) e Berenice. Ele nasceu em 10 a.C. e era o irmão de Herodias.</w:t>
      </w:r>
    </w:p>
    <w:p>
      <w:r/>
      <w:r>
        <w:t>Agripa I pode ser considerado a ovelha negra da família herodiana. Enquanto estava na escola em Roma, ele viveu uma vida desenfreada, incorrendo em muitas dívidas. Em Roma, ele se tornou um amigo de Caio Calígula e em um ponto afirmou que ele desejava que Calígula fosse rei em vez de Tibério. Isso foi ouvido e relatado a Tibério, que o aprisionou. Ele permaneceu na prisão até a morte de Tibério seis meses depois.</w:t>
      </w:r>
    </w:p>
    <w:p>
      <w:r/>
      <w:r>
        <w:t>Após a ascensão de Calígula ao trono, ele libertou Agripa e lhe deu os territórios de Filipe o tetrarca e a parte norte do território de Lisânias, bem como o título de rei. O título de rei despertou o ciúme de sua irmã Herodias, e isso eventualmente levou à queda de seu marido, Antipas. Naquela época (39 d.C.) Agripa adquiriu todos os territórios e propriedades de Antipas.</w:t>
      </w:r>
    </w:p>
    <w:p>
      <w:r/>
      <w:r>
        <w:t>Quando Calígula morreu em 41 d.C., Agripa conquistou o favor do novo imperador Cláudio, ao que Cláudio acrescentou a Judeia e Samaria ao território de Agripa. Este território foi uma vez governado pelo avô de Agripa, Herodes, o Grande.</w:t>
      </w:r>
    </w:p>
    <w:p>
      <w:r/>
      <w:r>
        <w:t>Agripa I é mencionado no NT por sua perseguição à igreja primitiva para obter o favor dos judeus (</w:t>
      </w:r>
      <w:hyperlink r:id="rId10618">
        <w:r>
          <w:rPr>
            <w:color w:val="0000EE"/>
            <w:u w:val="single"/>
          </w:rPr>
          <w:t>At 12.1–19</w:t>
        </w:r>
      </w:hyperlink>
      <w:r>
        <w:t>). Ele matou Tiago, o filho de Zebedeu, e aprisionou Pedro. Quando Pedro foi liberto por um anjo, Agripa mandou executar os sentinelas.</w:t>
      </w:r>
    </w:p>
    <w:p>
      <w:r/>
      <w:r>
        <w:t>Agripa morreu em 44 d.C. em Cesareia. Os relatos deste incidente são registrados tanto por Josefo (</w:t>
      </w:r>
      <w:r>
        <w:rPr>
          <w:i/>
        </w:rPr>
        <w:t>Antiguidades</w:t>
      </w:r>
      <w:r>
        <w:t xml:space="preserve"> 19.9.1.274–275; </w:t>
      </w:r>
      <w:r>
        <w:rPr>
          <w:i/>
        </w:rPr>
        <w:t>Guerra</w:t>
      </w:r>
      <w:r>
        <w:t xml:space="preserve"> 2.11.5.214–215) quanto pelas Escrituras. O incidente ocorreu em Cesareia; ele estava usando um manto de prata cintilante, e quando as pessoas o lisonjearam chamando-o de um deus, ele foi repentinamente atingido por uma doença mortal e morreu de maneira horrível. Ele deixou as filhas, Berenice, Mariamne e Drusila, e um filho, Agripa, que tinha 17 anos na época. Por causa da juventude de Agripa II, os territórios de seu pai foram temporariamente feitos de uma província.</w:t>
      </w:r>
    </w:p>
    <w:p>
      <w:pPr>
        <w:pStyle w:val="Heading3"/>
      </w:pPr>
      <w:r>
        <w:t>Agripa II (50–100 d.C.)</w:t>
      </w:r>
    </w:p>
    <w:p>
      <w:r/>
      <w:r>
        <w:t>Agripa II era o filho de Agripa I e Cipros. Em 50 d.C., seis anos após a morte de seu pai, Cláudio o fez rei de Cálcis.</w:t>
      </w:r>
    </w:p>
    <w:p>
      <w:r/>
      <w:r>
        <w:t>Agripa II estava no controle do tesouro do templo e das vestimentas do sumo sacerdote e, assim, poderia nomear o sumo sacerdote. Os romanos o consultaram sobre assuntos religiosos, e é provavelmente por isso que Festo o pediu para ouvir o apóstolo Paulo em Cesareia (59 d.C.), onde ele foi acompanhado por sua irmã Berenice (</w:t>
      </w:r>
      <w:hyperlink r:id="rId10619">
        <w:r>
          <w:rPr>
            <w:color w:val="0000EE"/>
            <w:u w:val="single"/>
          </w:rPr>
          <w:t>Atos 25–26</w:t>
        </w:r>
      </w:hyperlink>
      <w:r>
        <w:t>).</w:t>
      </w:r>
    </w:p>
    <w:p>
      <w:r/>
      <w:r>
        <w:t>Em maio de 66 d.C., a revolução Palestina começou (</w:t>
      </w:r>
      <w:r>
        <w:rPr>
          <w:i/>
        </w:rPr>
        <w:t>Guerra</w:t>
      </w:r>
      <w:r>
        <w:t xml:space="preserve"> 2.14.4.284). Quando falhou a tentativa de Agripa de acalmar a revolta, ele se tornou um firme aliado dos romanos ao longo de toda a guerra (66–70 d.C.). Durante este tempo, Nero cometeu suicídio, o novo imperador Galba foi assassinado, e Vespasiano se tornou o imperador. Depois de prometer sua lealdade ao novo imperador, Agripa permaneceu com Tito, o filho de Vespasiano, que estava no comando da guerra (</w:t>
      </w:r>
      <w:r>
        <w:rPr>
          <w:i/>
        </w:rPr>
        <w:t>História</w:t>
      </w:r>
      <w:r>
        <w:t xml:space="preserve"> de Tácito 5.81). Após a queda de Jerusalém (6 de agosto, 70 d.C.), Agripa estava provavelmente presente para celebrar a destruição de seu próprio povo.</w:t>
      </w:r>
    </w:p>
    <w:p>
      <w:r/>
      <w:r>
        <w:t xml:space="preserve">Após isso, Vespasiano adicionou novos territórios ao reino de Agripa, embora não se saiba exatamente quais. Em 79 d.C. Vespasiano morreu e Tito se tornou imperador. Pouco se sabe do governo de Agripa após isso, exceto que ele escreveu ao historiador Josefo louvando-o por </w:t>
      </w:r>
      <w:r>
        <w:rPr>
          <w:i/>
        </w:rPr>
        <w:t>A Guerra Judaica</w:t>
      </w:r>
      <w:r>
        <w:t>, e ele comprou uma cópia dela (</w:t>
      </w:r>
      <w:r>
        <w:rPr>
          <w:i/>
        </w:rPr>
        <w:t>Vida</w:t>
      </w:r>
      <w:r>
        <w:t xml:space="preserve"> de Josefo 65.361–367; </w:t>
      </w:r>
      <w:r>
        <w:rPr>
          <w:i/>
        </w:rPr>
        <w:t>Apião</w:t>
      </w:r>
      <w:r>
        <w:t xml:space="preserve"> 1.9.47–52).</w:t>
      </w:r>
    </w:p>
    <w:p>
      <w:r/>
      <w:r>
        <w:t xml:space="preserve">Embora o Talmude implica que Agripa II tinha duas esposas (Talmude babilônico: </w:t>
      </w:r>
      <w:r>
        <w:rPr>
          <w:i/>
        </w:rPr>
        <w:t>Sucá</w:t>
      </w:r>
      <w:r>
        <w:t xml:space="preserve"> 27a), Josefo não dá nenhuma indicação de que ele tinha esposas ou filhos. Em vez disso, ele era conhecido por seu relacionamento incestuoso com sua irmã Berenice. Ele morreu por volta de 100 d.C. Sua morte marcou o fim da dinastia herodiana.</w:t>
      </w:r>
    </w:p>
    <w:p>
      <w:r/>
      <w:r>
        <w:rPr>
          <w:i/>
        </w:rPr>
        <w:t>Veja também</w:t>
      </w:r>
      <w:r>
        <w:t xml:space="preserve"> </w:t>
      </w:r>
      <w:r>
        <w:t>Herodianos</w:t>
      </w:r>
      <w:r>
        <w:t xml:space="preserve">; </w:t>
      </w:r>
      <w:r>
        <w:t>Judaísmo</w:t>
      </w:r>
      <w:r>
        <w:t>.</w:t>
      </w:r>
      <w:r/>
      <w:r/>
    </w:p>
    <w:p>
      <w:r/>
    </w:p>
    <w:p>
      <w:pPr>
        <w:pStyle w:val="Heading2"/>
      </w:pPr>
      <w:r>
        <w:t>Herodianos*</w:t>
      </w:r>
      <w:r/>
    </w:p>
    <w:p>
      <w:r/>
      <w:r>
        <w:t xml:space="preserve">O partido judeu mencionado três vezes nos Evangelhos em conexão com dois incidentes (um na Galileia e outro em Jerusalém) e associado aos fariseus em sua oposição a Cristo. Em </w:t>
      </w:r>
      <w:hyperlink r:id="rId10620">
        <w:r>
          <w:rPr>
            <w:color w:val="0000EE"/>
            <w:u w:val="single"/>
          </w:rPr>
          <w:t>Marcos 3.6</w:t>
        </w:r>
      </w:hyperlink>
      <w:r>
        <w:t xml:space="preserve">, após a cura do homem com a mão paralisada, os fariseus saíram e se aconselharam com os herodianos, conspirando para matar Jesus. Em </w:t>
      </w:r>
      <w:hyperlink r:id="rId10621">
        <w:r>
          <w:rPr>
            <w:color w:val="0000EE"/>
            <w:u w:val="single"/>
          </w:rPr>
          <w:t>Mateus 22.16</w:t>
        </w:r>
      </w:hyperlink>
      <w:r>
        <w:t xml:space="preserve"> e </w:t>
      </w:r>
      <w:hyperlink r:id="rId10622">
        <w:r>
          <w:rPr>
            <w:color w:val="0000EE"/>
            <w:u w:val="single"/>
          </w:rPr>
          <w:t>Marcos 12.13</w:t>
        </w:r>
      </w:hyperlink>
      <w:r>
        <w:t>, os fariseus e herodianos se aliaram contra Cristo para prendê-lo em uma armadilha com sua pergunta sobre a legalidade de pagar impostos a César. Os herodianos nunca são mencionados em Lucas ou João.</w:t>
      </w:r>
    </w:p>
    <w:p>
      <w:r/>
      <w:r>
        <w:t xml:space="preserve">O verdadeiro problema vem em </w:t>
      </w:r>
      <w:hyperlink r:id="rId9209">
        <w:r>
          <w:rPr>
            <w:color w:val="0000EE"/>
            <w:u w:val="single"/>
          </w:rPr>
          <w:t>Marcos 8.15</w:t>
        </w:r>
      </w:hyperlink>
      <w:r>
        <w:t xml:space="preserve">, onde é citado o “fermento de Herodes”. Outra leitura é o “fermento dos herodianos”. No entanto, a passagem paralela em </w:t>
      </w:r>
      <w:hyperlink r:id="rId9208">
        <w:r>
          <w:rPr>
            <w:color w:val="0000EE"/>
            <w:u w:val="single"/>
          </w:rPr>
          <w:t>Mateus 16.6</w:t>
        </w:r>
      </w:hyperlink>
      <w:r>
        <w:t xml:space="preserve"> fala do “fermento dos fariseus e dos saduceus”. Os saduceus e os herodianos são a mesma coisa?</w:t>
      </w:r>
    </w:p>
    <w:p>
      <w:r/>
      <w:r>
        <w:t>Mateus tende a rotular os líderes religiosos como os adversários de Jesus, enquanto Marcos enfatiza que os adversários de Jesus eram tanto religiosos quanto políticos. Qual então é o significado do uso de Mateus do “fermento dos saduceus” no lugar do “fermento de Herodes” de Marcos ou “fermento dos herodianos”? Alguns supuseram que os herodianos eram um partido político composto principalmente de saduceus. Alguns os identificaram com os saduceus, e outros com os boetusianos, que eram usados alternadamente com o nome dos saduceus. Os boetusianos e os saduceus eram indistinguíveis teologicamente, mas os saduceus eram leais à dinastia dos asmoneus, enquanto os boetusianos eram ligados à casa herodiana e, consequentemente, eram chamados de herodianos. Assim, os herodianos tinham afiliações políticas com a casa herodiana e afiliações religiosas com os saduceus. Juntamente dos saduceus, os herodianos eram homens de influência — os aristocratas da Palestina.</w:t>
      </w:r>
    </w:p>
    <w:p>
      <w:r/>
      <w:r>
        <w:t xml:space="preserve">No entanto, durante o tempo de Jesus, as diferenças políticas entre os herodianos e os saduceus não eram tão distintas por causa do casamento do herodiano Herodes Antipas com as asmoneana Herodias. Os herodianos e os saduceus teriam estado do mesmo lado politicamente contra os fariseus, os primeiros sendo pró-governo, enquanto os fariseus eram anti-asmoneus e anti-herodianos. Congruentes com isso, </w:t>
      </w:r>
      <w:hyperlink r:id="rId10623">
        <w:r>
          <w:rPr>
            <w:color w:val="0000EE"/>
            <w:u w:val="single"/>
          </w:rPr>
          <w:t>Mateus 16.12</w:t>
        </w:r>
      </w:hyperlink>
      <w:r>
        <w:t xml:space="preserve"> e </w:t>
      </w:r>
      <w:hyperlink r:id="rId9209">
        <w:r>
          <w:rPr>
            <w:color w:val="0000EE"/>
            <w:u w:val="single"/>
          </w:rPr>
          <w:t>Marcos 8.15</w:t>
        </w:r>
      </w:hyperlink>
      <w:r>
        <w:t xml:space="preserve"> representam os fariseus e os saduceus/herodianos como partes contrárias que se opõem a Jesus.</w:t>
      </w:r>
    </w:p>
    <w:p>
      <w:r/>
      <w:r>
        <w:t>Em resumo, os herodianos também eram conhecidos como os boetusianos. Teologicamente, eles estavam de acordo com os saduceus, mas politicamente eles eram mais pró-herodianos do que os saduceus. Enquanto os fariseus buscavam um reino messiânico cataclísmico para remover o presente governo herodiano, os herodianos trabalhavam para manter a dinastia de Herodes no poder.</w:t>
      </w:r>
    </w:p>
    <w:p>
      <w:r/>
      <w:r>
        <w:rPr>
          <w:i/>
        </w:rPr>
        <w:t>Veja também</w:t>
      </w:r>
      <w:r>
        <w:t xml:space="preserve"> </w:t>
      </w:r>
      <w:r>
        <w:t>Herodes, família herodiana</w:t>
      </w:r>
      <w:r>
        <w:t>.</w:t>
      </w:r>
      <w:r/>
      <w:r/>
    </w:p>
    <w:p>
      <w:r/>
    </w:p>
    <w:p>
      <w:pPr>
        <w:pStyle w:val="Heading2"/>
      </w:pPr>
      <w:r>
        <w:t>Herodias</w:t>
      </w:r>
      <w:r/>
    </w:p>
    <w:p>
      <w:r/>
      <w:r>
        <w:t>Filha de Aristóbulo, o filho de Herodes, o Grande, e Berenice. Nascida entre 9 e 7 a.C., seu irmão mais velho era Herodes Agripa I. Em 6 a.C., ainda em sua infância, ela foi prometida por seu avô, Herodes, o Grande, a seu filho com Mariamne II, chamado Herodes Filipe. Herodias era a mãe de Salomé, nascida entre 15 e 19 d.C.</w:t>
      </w:r>
    </w:p>
    <w:p>
      <w:r/>
      <w:r>
        <w:t>Herodias e Herodes Filipe viviam na costa marítima da Judeia, possivelmente em Azoto ou Cesareia. Em 29 d.C. Herodes Antipas visitou a residência de Herodias (sua sobrinha) em seu caminho para Roma. Eles foram atraídos um pelo outro e Herodias concordou em se casar com ele, desde que ele se divorciasse de sua atual esposa, a filha de Aretas IV, o rei nabateu de Petra. Herodias, sendo uma asmoneia, não queria compartilhar a casa com uma árabe — inimigos antigos da dinastia asmoneia. Quando a filha de Aretas recebeu a notícia desta conspiração, ela escapou secretamente para seu pai, e Herodias e Antipas se casaram. Este incidente foi o início de hostilidades entre Antipas e Aretas, que eventualmente levou à guerra de Aretas contra Antipas e a derrota deste em 36 d.C.</w:t>
      </w:r>
    </w:p>
    <w:p>
      <w:r/>
      <w:r>
        <w:t>João Batista denunciou abertamente este casamento (</w:t>
      </w:r>
      <w:hyperlink r:id="rId9464">
        <w:r>
          <w:rPr>
            <w:color w:val="0000EE"/>
            <w:u w:val="single"/>
          </w:rPr>
          <w:t>Mt 14.3–12</w:t>
        </w:r>
      </w:hyperlink>
      <w:r>
        <w:t xml:space="preserve">; </w:t>
      </w:r>
      <w:hyperlink r:id="rId9465">
        <w:r>
          <w:rPr>
            <w:color w:val="0000EE"/>
            <w:u w:val="single"/>
          </w:rPr>
          <w:t>Mc 6.17–29</w:t>
        </w:r>
      </w:hyperlink>
      <w:r>
        <w:t xml:space="preserve">; </w:t>
      </w:r>
      <w:hyperlink r:id="rId9466">
        <w:r>
          <w:rPr>
            <w:color w:val="0000EE"/>
            <w:u w:val="single"/>
          </w:rPr>
          <w:t>Lc 3.19–20</w:t>
        </w:r>
      </w:hyperlink>
      <w:r>
        <w:t>) porque a lei judaica proibia o casamento com a esposa de um irmão (</w:t>
      </w:r>
      <w:hyperlink r:id="rId4547">
        <w:r>
          <w:rPr>
            <w:color w:val="0000EE"/>
            <w:u w:val="single"/>
          </w:rPr>
          <w:t>Lv 18.16</w:t>
        </w:r>
      </w:hyperlink>
      <w:r>
        <w:t xml:space="preserve">; </w:t>
      </w:r>
      <w:hyperlink r:id="rId10608">
        <w:r>
          <w:rPr>
            <w:color w:val="0000EE"/>
            <w:u w:val="single"/>
          </w:rPr>
          <w:t>20.21</w:t>
        </w:r>
      </w:hyperlink>
      <w:r>
        <w:t>), exceto para gerar filhos a um irmão falecido sem filhos por um casamento levirato (</w:t>
      </w:r>
      <w:hyperlink r:id="rId4546">
        <w:r>
          <w:rPr>
            <w:color w:val="0000EE"/>
            <w:u w:val="single"/>
          </w:rPr>
          <w:t>Dt 25.5</w:t>
        </w:r>
      </w:hyperlink>
      <w:r>
        <w:t xml:space="preserve">; </w:t>
      </w:r>
      <w:hyperlink r:id="rId10609">
        <w:r>
          <w:rPr>
            <w:color w:val="0000EE"/>
            <w:u w:val="single"/>
          </w:rPr>
          <w:t>Mc 12.19</w:t>
        </w:r>
      </w:hyperlink>
      <w:r>
        <w:t>). Neste caso, o irmão, Herodes Filipe, ainda estava vivo e tinha uma filha, Salomé. A denúncia ousada de João Batista levou Antipas a prendê-lo por volta de 30 ou 31 d.C. Herodias queria mais do que isso. Ela organizou, possivelmente no aniversário de Herodes Antipas, para que sua filha dançasse diante dele e seus magistrados. Em sinal de agradecimento, Herodes Antipas prometeu a Salomé até metade de seu reino. Seguindo o conselho de sua mãe, ela pediu a cabeça de João Batista em um prato.</w:t>
      </w:r>
    </w:p>
    <w:p>
      <w:r/>
      <w:r>
        <w:t>Herodias aparece pela última vez na história envolvida em uma intriga entre seu irmão, Agripa I, que havia sido designado rei pelo imperador Calígula, e seu marido Antipas, que há muito desejava esse título. Antipas, por insistência de sua esposa, foi a Roma para defender seu caso, mas ele perdeu e foi banido. Herodias, no entanto, permaneceu fiel e o seguiu até o exílio, mesmo que Calígula não a tivesse punido pelo fato de ser a irmã de Agripa.</w:t>
      </w:r>
    </w:p>
    <w:p>
      <w:r/>
      <w:r>
        <w:rPr>
          <w:i/>
        </w:rPr>
        <w:t>Veja também</w:t>
      </w:r>
      <w:r>
        <w:t xml:space="preserve"> </w:t>
      </w:r>
      <w:r>
        <w:t>Herodes, Família Herodiana</w:t>
      </w:r>
      <w:r>
        <w:t>.</w:t>
      </w:r>
      <w:r/>
      <w:r/>
    </w:p>
    <w:p>
      <w:r/>
    </w:p>
    <w:p>
      <w:pPr>
        <w:pStyle w:val="Heading2"/>
      </w:pPr>
      <w:r>
        <w:t>Hesbom</w:t>
      </w:r>
      <w:r/>
    </w:p>
    <w:p>
      <w:r/>
      <w:r>
        <w:t>Uma cidade importante do outro lado do Rio Jordão (Trans-Jordão). Ficava a cerca de 80 quilômetros (50 milhas) a leste de Jerusalém. Inicialmente, pertencia aos moabitas. Mais tarde, o rei amorita Seom conquistou Hesbom, tornando-a a capital de seu reino (</w:t>
      </w:r>
      <w:hyperlink r:id="rId10624">
        <w:r>
          <w:rPr>
            <w:color w:val="0000EE"/>
            <w:u w:val="single"/>
          </w:rPr>
          <w:t>Nm 21.25–30</w:t>
        </w:r>
      </w:hyperlink>
      <w:r>
        <w:t>). Israel capturou a cidade quando avançou para Canaã. A tribo de Rúben assumiu o controle desta porção do território amorita (</w:t>
      </w:r>
      <w:hyperlink r:id="rId10625">
        <w:r>
          <w:rPr>
            <w:color w:val="0000EE"/>
            <w:u w:val="single"/>
          </w:rPr>
          <w:t>Nm 32.37</w:t>
        </w:r>
      </w:hyperlink>
      <w:r>
        <w:t xml:space="preserve">; </w:t>
      </w:r>
      <w:hyperlink r:id="rId2945">
        <w:r>
          <w:rPr>
            <w:color w:val="0000EE"/>
            <w:u w:val="single"/>
          </w:rPr>
          <w:t>Js 13.17</w:t>
        </w:r>
      </w:hyperlink>
      <w:r>
        <w:t>). No entanto, estava na fronteira entre Rúben e Gade (</w:t>
      </w:r>
      <w:hyperlink r:id="rId10626">
        <w:r>
          <w:rPr>
            <w:color w:val="0000EE"/>
            <w:u w:val="single"/>
          </w:rPr>
          <w:t>Js 13.26</w:t>
        </w:r>
      </w:hyperlink>
      <w:r>
        <w:t>), o que resultou na ocupação pela tribo de Gade. Depois disso, os moabitas lutaram com Israel pelo controle desta terra.</w:t>
      </w:r>
    </w:p>
    <w:p>
      <w:r/>
      <w:r>
        <w:t>Durante o período em que os juízes lideravam Israel, diferentes grupos controlaram a terra em épocas distintas. (</w:t>
      </w:r>
      <w:hyperlink r:id="rId10627">
        <w:r>
          <w:rPr>
            <w:color w:val="0000EE"/>
            <w:u w:val="single"/>
          </w:rPr>
          <w:t>Jz 3.12</w:t>
        </w:r>
      </w:hyperlink>
      <w:r>
        <w:t xml:space="preserve">; </w:t>
      </w:r>
      <w:hyperlink r:id="rId10628">
        <w:r>
          <w:rPr>
            <w:color w:val="0000EE"/>
            <w:u w:val="single"/>
          </w:rPr>
          <w:t>1Sm 12.9–11</w:t>
        </w:r>
      </w:hyperlink>
      <w:r>
        <w:t xml:space="preserve">). Israel controlou Hesbom até por volta de 853 a.C. Então, Messa, rei de Moabe, a ocupou. As Escrituras mencionam Hesbom em profecias antes do exílio israelita para Babilônia (compare </w:t>
      </w:r>
      <w:hyperlink r:id="rId7794">
        <w:r>
          <w:rPr>
            <w:color w:val="0000EE"/>
            <w:u w:val="single"/>
          </w:rPr>
          <w:t>Is 15.4</w:t>
        </w:r>
      </w:hyperlink>
      <w:r>
        <w:t xml:space="preserve">; </w:t>
      </w:r>
      <w:hyperlink r:id="rId10629">
        <w:r>
          <w:rPr>
            <w:color w:val="0000EE"/>
            <w:u w:val="single"/>
          </w:rPr>
          <w:t>16.8–9</w:t>
        </w:r>
      </w:hyperlink>
      <w:r>
        <w:t xml:space="preserve">; </w:t>
      </w:r>
      <w:hyperlink r:id="rId10630">
        <w:r>
          <w:rPr>
            <w:color w:val="0000EE"/>
            <w:u w:val="single"/>
          </w:rPr>
          <w:t>Jr 48.2,33–34</w:t>
        </w:r>
      </w:hyperlink>
      <w:r>
        <w:t xml:space="preserve">). </w:t>
      </w:r>
      <w:hyperlink r:id="rId10631">
        <w:r>
          <w:rPr>
            <w:color w:val="0000EE"/>
            <w:u w:val="single"/>
          </w:rPr>
          <w:t>Jeremias 49.3</w:t>
        </w:r>
      </w:hyperlink>
      <w:r>
        <w:t xml:space="preserve"> parece indicar que os amonitas mais tarde tomaram controle de Hesbom.</w:t>
      </w:r>
    </w:p>
    <w:p>
      <w:r/>
      <w:r>
        <w:t>Foi uma importante cidade nabateia no período grego. Os judeus a conquistaram durante as campanhas de Alexandre Janeu, um rei hasmoneu e sumo sacerdote que governou a Judeia de 103 a 76 a.C. No período romano, Hesbom tornou-se parte da província da Síria.</w:t>
      </w:r>
      <w:r/>
      <w:r/>
    </w:p>
    <w:p>
      <w:r/>
    </w:p>
    <w:p>
      <w:pPr>
        <w:pStyle w:val="Heading2"/>
      </w:pPr>
      <w:r>
        <w:t>Hete</w:t>
      </w:r>
      <w:r/>
    </w:p>
    <w:p>
      <w:r/>
      <w:r>
        <w:t>Progenitor do povo hitita e descendente de Canaã, na linhagem de Cam (</w:t>
      </w:r>
      <w:hyperlink r:id="rId10632">
        <w:r>
          <w:rPr>
            <w:color w:val="0000EE"/>
            <w:u w:val="single"/>
          </w:rPr>
          <w:t>Gn 10.15</w:t>
        </w:r>
      </w:hyperlink>
      <w:r>
        <w:t xml:space="preserve">; </w:t>
      </w:r>
      <w:hyperlink r:id="rId10633">
        <w:r>
          <w:rPr>
            <w:color w:val="0000EE"/>
            <w:u w:val="single"/>
          </w:rPr>
          <w:t>1Cr 1.13</w:t>
        </w:r>
      </w:hyperlink>
      <w:r>
        <w:t xml:space="preserve">). </w:t>
      </w:r>
      <w:r>
        <w:rPr>
          <w:i/>
        </w:rPr>
        <w:t>Veja</w:t>
      </w:r>
      <w:r>
        <w:t xml:space="preserve"> </w:t>
      </w:r>
      <w:r>
        <w:t>Hititas</w:t>
      </w:r>
      <w:r>
        <w:t>.</w:t>
      </w:r>
      <w:r/>
      <w:r/>
    </w:p>
    <w:p>
      <w:r/>
    </w:p>
    <w:p>
      <w:pPr>
        <w:pStyle w:val="Heading2"/>
      </w:pPr>
      <w:r>
        <w:t>Heveus</w:t>
      </w:r>
      <w:r/>
    </w:p>
    <w:p>
      <w:r/>
      <w:r>
        <w:t>Nome de um grupo pré-israelita que vivia em Canaã. Embora ainda não descobertos ou avaliados arqueologicamente ou pela história secular como um povo, eram considerados descendentes de um filho de Canaã (</w:t>
      </w:r>
      <w:hyperlink r:id="rId2583">
        <w:r>
          <w:rPr>
            <w:color w:val="0000EE"/>
            <w:u w:val="single"/>
          </w:rPr>
          <w:t>Gn 10.17</w:t>
        </w:r>
      </w:hyperlink>
      <w:r>
        <w:t>) e como habitando áreas das Montanhas do Líbano (</w:t>
      </w:r>
      <w:hyperlink r:id="rId10634">
        <w:r>
          <w:rPr>
            <w:color w:val="0000EE"/>
            <w:u w:val="single"/>
          </w:rPr>
          <w:t>Jz 3.3</w:t>
        </w:r>
      </w:hyperlink>
      <w:r>
        <w:t>) e do Monte Hermon (</w:t>
      </w:r>
      <w:hyperlink r:id="rId9182">
        <w:r>
          <w:rPr>
            <w:color w:val="0000EE"/>
            <w:u w:val="single"/>
          </w:rPr>
          <w:t>Js 11.3</w:t>
        </w:r>
      </w:hyperlink>
      <w:r>
        <w:t>). Eles são frequentemente mencionados como um grupo desapossado por Israel (</w:t>
      </w:r>
      <w:hyperlink r:id="rId9183">
        <w:r>
          <w:rPr>
            <w:color w:val="0000EE"/>
            <w:u w:val="single"/>
          </w:rPr>
          <w:t>Js 12.8</w:t>
        </w:r>
      </w:hyperlink>
      <w:r>
        <w:t xml:space="preserve">; </w:t>
      </w:r>
      <w:hyperlink r:id="rId9184">
        <w:r>
          <w:rPr>
            <w:color w:val="0000EE"/>
            <w:u w:val="single"/>
          </w:rPr>
          <w:t>24.11</w:t>
        </w:r>
      </w:hyperlink>
      <w:r>
        <w:t xml:space="preserve">; </w:t>
      </w:r>
      <w:hyperlink r:id="rId9185">
        <w:r>
          <w:rPr>
            <w:color w:val="0000EE"/>
            <w:u w:val="single"/>
          </w:rPr>
          <w:t>1Rs 9.20</w:t>
        </w:r>
      </w:hyperlink>
      <w:r>
        <w:t>), mas que conseguiram sobreviver até o período do reino (</w:t>
      </w:r>
      <w:hyperlink r:id="rId10635">
        <w:r>
          <w:rPr>
            <w:color w:val="0000EE"/>
            <w:u w:val="single"/>
          </w:rPr>
          <w:t>2Sm 24.7</w:t>
        </w:r>
      </w:hyperlink>
      <w:r>
        <w:t xml:space="preserve">) e viviam naquela época perto de Tiro, assim como em outras áreas possíveis. Alguns estudiosos acreditam que um erro de cópia, envolvendo a troca das letras </w:t>
      </w:r>
      <w:r>
        <w:rPr>
          <w:i/>
        </w:rPr>
        <w:t>r</w:t>
      </w:r>
      <w:r>
        <w:t xml:space="preserve"> (resh) por </w:t>
      </w:r>
      <w:r>
        <w:rPr>
          <w:i/>
        </w:rPr>
        <w:t>w</w:t>
      </w:r>
      <w:r>
        <w:t xml:space="preserve"> (waw), foi responsável pela origem do nome heveu a partir de horeu.</w:t>
      </w:r>
    </w:p>
    <w:p>
      <w:r/>
      <w:r>
        <w:t xml:space="preserve">Outros sugeriram uma confusão de escribas nos nomes, já que Zibeão é chamado de heveu em </w:t>
      </w:r>
      <w:hyperlink r:id="rId3167">
        <w:r>
          <w:rPr>
            <w:color w:val="0000EE"/>
            <w:u w:val="single"/>
          </w:rPr>
          <w:t>Gênesis 36.2</w:t>
        </w:r>
      </w:hyperlink>
      <w:r>
        <w:t xml:space="preserve"> e de horeu nos versículos </w:t>
      </w:r>
      <w:hyperlink r:id="rId10636">
        <w:r>
          <w:rPr>
            <w:color w:val="0000EE"/>
            <w:u w:val="single"/>
          </w:rPr>
          <w:t>20</w:t>
        </w:r>
      </w:hyperlink>
      <w:r>
        <w:t xml:space="preserve"> e </w:t>
      </w:r>
      <w:hyperlink r:id="rId10637">
        <w:r>
          <w:rPr>
            <w:color w:val="0000EE"/>
            <w:u w:val="single"/>
          </w:rPr>
          <w:t>29</w:t>
        </w:r>
      </w:hyperlink>
      <w:r>
        <w:t>. Em vários casos, a Septuaginta usa "horeu" no lugar do Texto Massorético "heveu" (</w:t>
      </w:r>
      <w:hyperlink r:id="rId10332">
        <w:r>
          <w:rPr>
            <w:color w:val="0000EE"/>
            <w:u w:val="single"/>
          </w:rPr>
          <w:t>Gn 34.2</w:t>
        </w:r>
      </w:hyperlink>
      <w:r>
        <w:t xml:space="preserve">; </w:t>
      </w:r>
      <w:hyperlink r:id="rId10638">
        <w:r>
          <w:rPr>
            <w:color w:val="0000EE"/>
            <w:u w:val="single"/>
          </w:rPr>
          <w:t>Js 9.7</w:t>
        </w:r>
      </w:hyperlink>
      <w:r>
        <w:t>). Outras passagens na Septuaginta leem "hitita" em vez de "heveu" (</w:t>
      </w:r>
      <w:hyperlink r:id="rId9182">
        <w:r>
          <w:rPr>
            <w:color w:val="0000EE"/>
            <w:u w:val="single"/>
          </w:rPr>
          <w:t>Js 11.3</w:t>
        </w:r>
      </w:hyperlink>
      <w:r>
        <w:t xml:space="preserve">; </w:t>
      </w:r>
      <w:hyperlink r:id="rId10634">
        <w:r>
          <w:rPr>
            <w:color w:val="0000EE"/>
            <w:u w:val="single"/>
          </w:rPr>
          <w:t>Jz 3.3</w:t>
        </w:r>
      </w:hyperlink>
      <w:r>
        <w:t>).</w:t>
      </w:r>
    </w:p>
    <w:p>
      <w:r/>
      <w:r>
        <w:t xml:space="preserve">A sobreposição ou equivalência de heveus e horeus em </w:t>
      </w:r>
      <w:hyperlink r:id="rId7548">
        <w:r>
          <w:rPr>
            <w:color w:val="0000EE"/>
            <w:u w:val="single"/>
          </w:rPr>
          <w:t>Gênesis 36</w:t>
        </w:r>
      </w:hyperlink>
      <w:r>
        <w:t xml:space="preserve"> provavelmente indica alguma relação entre os dois povos (cf. ismaelitas e midianitas em </w:t>
      </w:r>
      <w:hyperlink r:id="rId10639">
        <w:r>
          <w:rPr>
            <w:color w:val="0000EE"/>
            <w:u w:val="single"/>
          </w:rPr>
          <w:t>Gn 37.27–28,36</w:t>
        </w:r>
      </w:hyperlink>
      <w:r>
        <w:t>). Talvez tanto os horeus quanto os heveus estejam relacionados aos hurrianos, que são bem documentados arqueologicamente.</w:t>
      </w:r>
    </w:p>
    <w:p>
      <w:r/>
      <w:r>
        <w:t>O fato de haver cerca de 25 ocorrências do nome "heveu(s)" no AT, quase um terço das quais aparecem em Josué, sugere que eles eram um povo distinto. Além dos heveus na Palestina, eles também apareceram no território Edomita (</w:t>
      </w:r>
      <w:hyperlink r:id="rId3167">
        <w:r>
          <w:rPr>
            <w:color w:val="0000EE"/>
            <w:u w:val="single"/>
          </w:rPr>
          <w:t>Gn 36.2</w:t>
        </w:r>
      </w:hyperlink>
      <w:r>
        <w:t>). As referências do AT aos heveus incluem Hamor (</w:t>
      </w:r>
      <w:hyperlink r:id="rId10332">
        <w:r>
          <w:rPr>
            <w:color w:val="0000EE"/>
            <w:u w:val="single"/>
          </w:rPr>
          <w:t>Gn 34.2</w:t>
        </w:r>
      </w:hyperlink>
      <w:r>
        <w:t>), os homens de Gibeão (</w:t>
      </w:r>
      <w:hyperlink r:id="rId10638">
        <w:r>
          <w:rPr>
            <w:color w:val="0000EE"/>
            <w:u w:val="single"/>
          </w:rPr>
          <w:t>Js 9.7</w:t>
        </w:r>
      </w:hyperlink>
      <w:r>
        <w:t>), os heveus do norte (</w:t>
      </w:r>
      <w:hyperlink r:id="rId10640">
        <w:r>
          <w:rPr>
            <w:color w:val="0000EE"/>
            <w:u w:val="single"/>
          </w:rPr>
          <w:t>Jz 3.3–8</w:t>
        </w:r>
      </w:hyperlink>
      <w:r>
        <w:t>) e aqueles que viviam perto de Tiro (</w:t>
      </w:r>
      <w:hyperlink r:id="rId10635">
        <w:r>
          <w:rPr>
            <w:color w:val="0000EE"/>
            <w:u w:val="single"/>
          </w:rPr>
          <w:t>2Sm 24.7</w:t>
        </w:r>
      </w:hyperlink>
      <w:r>
        <w:t>). Durante o reinado de Salomão, os heveus e outros habitantes estrangeiros da terra foram feitos escravos; ou seja, foram colocados sob trabalho forçado (</w:t>
      </w:r>
      <w:hyperlink r:id="rId10641">
        <w:r>
          <w:rPr>
            <w:color w:val="0000EE"/>
            <w:u w:val="single"/>
          </w:rPr>
          <w:t>1Rs 9.20–21</w:t>
        </w:r>
      </w:hyperlink>
      <w:r>
        <w:t xml:space="preserve">; </w:t>
      </w:r>
      <w:hyperlink r:id="rId9186">
        <w:r>
          <w:rPr>
            <w:color w:val="0000EE"/>
            <w:u w:val="single"/>
          </w:rPr>
          <w:t>2Cr 8.7</w:t>
        </w:r>
      </w:hyperlink>
      <w:r>
        <w:t>).</w:t>
      </w:r>
      <w:r/>
      <w:r/>
    </w:p>
    <w:p>
      <w:r/>
    </w:p>
    <w:p>
      <w:pPr>
        <w:pStyle w:val="Heading2"/>
      </w:pPr>
      <w:r>
        <w:t>Hezrom (Lugar)</w:t>
      </w:r>
      <w:r/>
    </w:p>
    <w:p>
      <w:r/>
      <w:r>
        <w:t>Uma cidade na fronteira do território de Judá (</w:t>
      </w:r>
      <w:hyperlink r:id="rId263">
        <w:r>
          <w:rPr>
            <w:color w:val="0000EE"/>
            <w:u w:val="single"/>
          </w:rPr>
          <w:t>Js 15.3</w:t>
        </w:r>
      </w:hyperlink>
      <w:r>
        <w:t xml:space="preserve">). Em </w:t>
      </w:r>
      <w:hyperlink r:id="rId262">
        <w:r>
          <w:rPr>
            <w:color w:val="0000EE"/>
            <w:u w:val="single"/>
          </w:rPr>
          <w:t>Números 34.4</w:t>
        </w:r>
      </w:hyperlink>
      <w:r>
        <w:t>, é provável que faça parte do nome Hazar-Adar.</w:t>
      </w:r>
      <w:r/>
      <w:r/>
    </w:p>
    <w:p>
      <w:r/>
    </w:p>
    <w:p>
      <w:pPr>
        <w:pStyle w:val="Heading2"/>
      </w:pPr>
      <w:r>
        <w:t>Hezrom (pessoa)</w:t>
      </w:r>
      <w:r/>
    </w:p>
    <w:p>
      <w:pPr>
        <w:pStyle w:val="ListNumber"/>
        <w:spacing w:line="240" w:lineRule="auto"/>
        <w:ind w:left="720"/>
      </w:pPr>
      <w:r/>
      <w:r>
        <w:t>Filho de Rúben (</w:t>
      </w:r>
      <w:hyperlink r:id="rId4258">
        <w:r>
          <w:rPr>
            <w:color w:val="0000EE"/>
            <w:u w:val="single"/>
          </w:rPr>
          <w:t>Gn 46.9</w:t>
        </w:r>
      </w:hyperlink>
      <w:r>
        <w:t xml:space="preserve">; </w:t>
      </w:r>
      <w:hyperlink r:id="rId4259">
        <w:r>
          <w:rPr>
            <w:color w:val="0000EE"/>
            <w:u w:val="single"/>
          </w:rPr>
          <w:t>Êx 6.14</w:t>
        </w:r>
      </w:hyperlink>
      <w:r>
        <w:t xml:space="preserve">; </w:t>
      </w:r>
      <w:hyperlink r:id="rId4260">
        <w:r>
          <w:rPr>
            <w:color w:val="0000EE"/>
            <w:u w:val="single"/>
          </w:rPr>
          <w:t>1Cr 5.3</w:t>
        </w:r>
      </w:hyperlink>
      <w:r>
        <w:t>) e fundador da família Hezronita na tribo de Rúben (</w:t>
      </w:r>
      <w:hyperlink r:id="rId4265">
        <w:r>
          <w:rPr>
            <w:color w:val="0000EE"/>
            <w:u w:val="single"/>
          </w:rPr>
          <w:t>Nm 26.6</w:t>
        </w:r>
      </w:hyperlink>
      <w:r>
        <w:t>).</w:t>
      </w:r>
    </w:p>
    <w:p>
      <w:pPr>
        <w:pStyle w:val="ListNumber"/>
        <w:spacing w:line="240" w:lineRule="auto"/>
        <w:ind w:left="720"/>
      </w:pPr>
      <w:r/>
      <w:r>
        <w:t>Filho de Perez (</w:t>
      </w:r>
      <w:hyperlink r:id="rId8103">
        <w:r>
          <w:rPr>
            <w:color w:val="0000EE"/>
            <w:u w:val="single"/>
          </w:rPr>
          <w:t>Gn 46.12</w:t>
        </w:r>
      </w:hyperlink>
      <w:r>
        <w:t xml:space="preserve">; </w:t>
      </w:r>
      <w:hyperlink r:id="rId10642">
        <w:r>
          <w:rPr>
            <w:color w:val="0000EE"/>
            <w:u w:val="single"/>
          </w:rPr>
          <w:t>Rt 4.18–19</w:t>
        </w:r>
      </w:hyperlink>
      <w:r>
        <w:t xml:space="preserve">; </w:t>
      </w:r>
      <w:hyperlink r:id="rId10643">
        <w:r>
          <w:rPr>
            <w:color w:val="0000EE"/>
            <w:u w:val="single"/>
          </w:rPr>
          <w:t>1 Cr 2.5–25</w:t>
        </w:r>
      </w:hyperlink>
      <w:r>
        <w:t xml:space="preserve">; </w:t>
      </w:r>
      <w:hyperlink r:id="rId4264">
        <w:r>
          <w:rPr>
            <w:color w:val="0000EE"/>
            <w:u w:val="single"/>
          </w:rPr>
          <w:t>4.1</w:t>
        </w:r>
      </w:hyperlink>
      <w:r>
        <w:t>) e fundador da família Hezronita na tribo de Judá (</w:t>
      </w:r>
      <w:hyperlink r:id="rId10337">
        <w:r>
          <w:rPr>
            <w:color w:val="0000EE"/>
            <w:u w:val="single"/>
          </w:rPr>
          <w:t>Nm 26.21</w:t>
        </w:r>
      </w:hyperlink>
      <w:r>
        <w:t>), um antepassado de Jesus Cristo (</w:t>
      </w:r>
      <w:hyperlink r:id="rId10644">
        <w:r>
          <w:rPr>
            <w:color w:val="0000EE"/>
            <w:u w:val="single"/>
          </w:rPr>
          <w:t>Mt 1.3</w:t>
        </w:r>
      </w:hyperlink>
      <w:r>
        <w:t xml:space="preserve">; </w:t>
      </w:r>
      <w:hyperlink r:id="rId1094">
        <w:r>
          <w:rPr>
            <w:color w:val="0000EE"/>
            <w:u w:val="single"/>
          </w:rPr>
          <w:t>Lc 3.33</w:t>
        </w:r>
      </w:hyperlink>
      <w:r>
        <w:t>).</w:t>
      </w:r>
    </w:p>
    <w:p>
      <w:r/>
      <w:r>
        <w:rPr>
          <w:i/>
        </w:rPr>
        <w:t>Consulte também</w:t>
      </w:r>
      <w:r>
        <w:t xml:space="preserve"> </w:t>
      </w:r>
      <w:r>
        <w:t>Genealogia de Jesus Cristo</w:t>
      </w:r>
      <w:r>
        <w:t>.</w:t>
      </w:r>
      <w:r/>
      <w:r/>
    </w:p>
    <w:p>
      <w:r/>
    </w:p>
    <w:p>
      <w:pPr>
        <w:pStyle w:val="Heading2"/>
      </w:pPr>
      <w:r>
        <w:t>Hicsos</w:t>
      </w:r>
      <w:r/>
    </w:p>
    <w:p>
      <w:r/>
      <w:r>
        <w:t>Um termo usado pelo historiador egípcio Maneton (que viveu por volta de 280 a.C.). "Hicsos" referia-se aos governantes estrangeiros das 15ª e 16ª dinastias do Egito (cerca de 1730 a 1570 a.C.). Eles foram chamados de "reis pastores" em um momento. No entanto, os estudiosos agora acreditam que esse nome surgiu de uma tradução equivocada de um texto egípcio.</w:t>
      </w:r>
    </w:p>
    <w:p>
      <w:pPr>
        <w:pStyle w:val="Heading3"/>
      </w:pPr>
      <w:r>
        <w:t>Quem foram os hicsos?</w:t>
      </w:r>
    </w:p>
    <w:p>
      <w:r/>
      <w:r>
        <w:t>Os hicsos eram semitas (pessoas relacionadas aos antigos hebreus), provavelmente entrando no Egito a partir da Síria e Palestina. Sua origem exata é incerta. Eles gradualmente se mudaram para o Egito durante o século XVIII a.C. Alguns podem até ter se casado com egípcios. Esse movimento foi facilitado porque o Egito estava fraco devido a lutas internas pelo poder. Alguns hicsos podem ter trabalhado em posições governamentais no Egito antes de assumirem o controle. Sua tomada de poder foi provavelmente mais um movimento político rápido do que uma grande conquista militar.</w:t>
      </w:r>
    </w:p>
    <w:p>
      <w:pPr>
        <w:pStyle w:val="Heading3"/>
      </w:pPr>
      <w:r>
        <w:t>Como os hicsos governaram o Egito?</w:t>
      </w:r>
    </w:p>
    <w:p>
      <w:r/>
      <w:r>
        <w:t>Os hicsos provavelmente estabeleceram sua capital em Qantir, na região do delta nordeste do Egito. Essa localização lhes permitiu manter conexões com a Palestina e a Síria. Qantir ficava perto de Gósen, onde os israelitas viveram durante seu tempo no Egito.</w:t>
      </w:r>
    </w:p>
    <w:p>
      <w:r/>
      <w:r>
        <w:t>Os hicsos introduziram carros de guerra no Egito. Mais tarde, os egípcios usaram essa nova ferramenta militar para expulsar os hicsos do Egito. A guerra com cavalos e carros tornou-se comum nos séculos seguintes. A presença dos hicsos também obrigou os egípcios a prestar atenção ao mundo mais amplo do Oriente Médio. Antes disso, os egípcios geralmente viam outros povos como não civilizados e se consideravam o centro cultural do mundo. Quando os hicsos foram expulsos por Ahmose por volta de 1570 a.C., o Egito iniciou um período de conquistas. Este foi o início de seu império, que durou do século XVI ao século XII a.C. Nenhum monumento do período dos hicsos foi encontrado. Quaisquer monumentos que existiram provavelmente foram destruídos quando o domínio egípcio retornou.</w:t>
      </w:r>
    </w:p>
    <w:p>
      <w:pPr>
        <w:pStyle w:val="Heading3"/>
      </w:pPr>
      <w:r>
        <w:t>Qual é a conexão dos hicsos com a Bíblia?</w:t>
      </w:r>
    </w:p>
    <w:p>
      <w:r/>
      <w:r>
        <w:t xml:space="preserve">A conexão entre os hicsos e a história de Israel é debatida. A questão principal está em entender </w:t>
      </w:r>
      <w:hyperlink r:id="rId9106">
        <w:r>
          <w:rPr>
            <w:color w:val="0000EE"/>
            <w:u w:val="single"/>
          </w:rPr>
          <w:t>Êxodo 1.8</w:t>
        </w:r>
      </w:hyperlink>
      <w:r>
        <w:t>: "Então, um novo rei, que não conhecia José, subiu ao poder no Egito". Existem duas visões principais:</w:t>
      </w:r>
    </w:p>
    <w:p>
      <w:pPr>
        <w:pStyle w:val="ListBullet"/>
        <w:spacing w:line="240" w:lineRule="auto"/>
        <w:ind w:left="720"/>
      </w:pPr>
      <w:r/>
      <w:r>
        <w:t>José viveu antes dos hicsos governarem o Egito.</w:t>
      </w:r>
    </w:p>
    <w:p>
      <w:pPr>
        <w:pStyle w:val="ListBullet"/>
        <w:spacing w:line="240" w:lineRule="auto"/>
        <w:ind w:left="720"/>
      </w:pPr>
      <w:r/>
      <w:r>
        <w:t>José viveu durante o domínio dos hicsos no Egito.</w:t>
      </w:r>
    </w:p>
    <w:p>
      <w:pPr>
        <w:pStyle w:val="Heading4"/>
      </w:pPr>
      <w:r>
        <w:t>José viveu antes dos hicsos governarem o Egito?</w:t>
      </w:r>
    </w:p>
    <w:p>
      <w:r/>
      <w:r>
        <w:t xml:space="preserve">Se José morreu pouco antes de 1800 a.C., e se os hicsos tomaram o Egito por volta de 1730 a.C., então o "novo rei" era um governante hicso que não conhecia José. Ou talvez ele não tivesse motivo para respeitar os descendentes de José, mesmo que soubesse sobre ele. A dura escravidão descrita em </w:t>
      </w:r>
      <w:hyperlink r:id="rId10645">
        <w:r>
          <w:rPr>
            <w:color w:val="0000EE"/>
            <w:u w:val="single"/>
          </w:rPr>
          <w:t>Êxodo 1.9–14</w:t>
        </w:r>
      </w:hyperlink>
      <w:r>
        <w:t xml:space="preserve"> teria, segundo essa visão, sido iniciada pelos hicsos. Os hicsos podem ter sido menos numerosos que os hebreus e temiam uma revolta (versículo </w:t>
      </w:r>
      <w:hyperlink r:id="rId10646">
        <w:r>
          <w:rPr>
            <w:color w:val="0000EE"/>
            <w:u w:val="single"/>
          </w:rPr>
          <w:t>9</w:t>
        </w:r>
      </w:hyperlink>
      <w:r>
        <w:t xml:space="preserve">). Ou os hicsos podem ter temido que os hebreus se unissem aos egípcios para derrubá-los (versículo </w:t>
      </w:r>
      <w:hyperlink r:id="rId10647">
        <w:r>
          <w:rPr>
            <w:color w:val="0000EE"/>
            <w:u w:val="single"/>
          </w:rPr>
          <w:t>10</w:t>
        </w:r>
      </w:hyperlink>
      <w:r>
        <w:t>). Nesta visão, o Faraó que ordenou às parteiras hebreias que matassem os meninos hebreus recém-nascidos (versículo</w:t>
      </w:r>
      <w:hyperlink r:id="rId10648">
        <w:r>
          <w:rPr>
            <w:color w:val="0000EE"/>
            <w:u w:val="single"/>
          </w:rPr>
          <w:t xml:space="preserve"> 15</w:t>
        </w:r>
      </w:hyperlink>
      <w:r>
        <w:t xml:space="preserve">) governou o Egito após os hicsos serem derrubados. Isso significaria que há um intervalo de pelo menos 150 anos entre os versículos </w:t>
      </w:r>
      <w:hyperlink r:id="rId10649">
        <w:r>
          <w:rPr>
            <w:color w:val="0000EE"/>
            <w:u w:val="single"/>
          </w:rPr>
          <w:t>14</w:t>
        </w:r>
      </w:hyperlink>
      <w:r>
        <w:t xml:space="preserve"> e </w:t>
      </w:r>
      <w:hyperlink r:id="rId10648">
        <w:r>
          <w:rPr>
            <w:color w:val="0000EE"/>
            <w:u w:val="single"/>
          </w:rPr>
          <w:t>15</w:t>
        </w:r>
      </w:hyperlink>
      <w:r>
        <w:t>.</w:t>
      </w:r>
    </w:p>
    <w:p>
      <w:pPr>
        <w:pStyle w:val="Heading4"/>
      </w:pPr>
      <w:r>
        <w:t>José viveu durante o governo dos hicsos no Egito?</w:t>
      </w:r>
    </w:p>
    <w:p>
      <w:r/>
      <w:r>
        <w:t>José chegou ao Egito durante o governo dos hicsos, não antes disso. Essa visão assume que governantes semitas como os hicsos acolheriam outro semita em seu governo. Eles também não se oporiam à família de Jacó se estabelecendo no Egito. Além disso, o fato de a família de Jacó ter vivido em Gósen se encaixa com o que sabemos sobre os hicsos controlando essa região. Essa visão também pode explicar por que os registros egípcios não mencionam José. Seu nome pode ter sido removido para evitar ofender o orgulho nacional egípcio posterior. Se esse raciocínio estiver correto, o "novo rei que não conhecia José" chegou ao poder após os hicsos terem sido derrubados. Depois que os egípcios derrotaram os hicsos, eles também teriam escravizado os hebreus, outro grupo semita.</w:t>
      </w:r>
    </w:p>
    <w:p>
      <w:pPr>
        <w:pStyle w:val="Heading4"/>
      </w:pPr>
      <w:r>
        <w:t>Os hicsos adoravam o mesmo Deus que os hebreus?</w:t>
      </w:r>
    </w:p>
    <w:p>
      <w:r/>
      <w:r>
        <w:t>Em ambos os casos, é evidente que os hicsos e os hebreus tinham crenças religiosas distintas. Os hicsos adoravam os deuses cananeus, especialmente Baal, em sua terra natal. Quando governaram o Egito, eles combinaram essa adoração com a do deus-sol egípcio.</w:t>
      </w:r>
      <w:r/>
      <w:r/>
    </w:p>
    <w:p>
      <w:r/>
    </w:p>
    <w:p>
      <w:pPr>
        <w:pStyle w:val="Heading2"/>
      </w:pPr>
      <w:r>
        <w:t>Hidequel</w:t>
      </w:r>
      <w:r/>
    </w:p>
    <w:p>
      <w:r/>
      <w:r>
        <w:t>Um nome hebraico para o Rio Tigre (</w:t>
      </w:r>
      <w:hyperlink r:id="rId2772">
        <w:r>
          <w:rPr>
            <w:color w:val="0000EE"/>
            <w:u w:val="single"/>
          </w:rPr>
          <w:t>Gênesis 2.14</w:t>
        </w:r>
      </w:hyperlink>
      <w:r>
        <w:t xml:space="preserve">; </w:t>
      </w:r>
      <w:hyperlink r:id="rId10650">
        <w:r>
          <w:rPr>
            <w:color w:val="0000EE"/>
            <w:u w:val="single"/>
          </w:rPr>
          <w:t>Daniel 10.4</w:t>
        </w:r>
      </w:hyperlink>
      <w:r>
        <w:t xml:space="preserve">). </w:t>
      </w:r>
      <w:r>
        <w:rPr>
          <w:i/>
        </w:rPr>
        <w:t>Veja</w:t>
      </w:r>
      <w:r>
        <w:t xml:space="preserve"> </w:t>
      </w:r>
      <w:r>
        <w:t>Rio Tigre</w:t>
      </w:r>
      <w:r>
        <w:t>.</w:t>
      </w:r>
      <w:r/>
      <w:r/>
    </w:p>
    <w:p>
      <w:r/>
    </w:p>
    <w:p>
      <w:pPr>
        <w:pStyle w:val="Heading2"/>
      </w:pPr>
      <w:r>
        <w:t>Hidropisia</w:t>
      </w:r>
      <w:r/>
    </w:p>
    <w:p>
      <w:r/>
      <w:r>
        <w:t>Um termo médico antigo para o excesso de fluido aquoso em qualquer tecido ou espaço do corpo.</w:t>
      </w:r>
    </w:p>
    <w:p>
      <w:r/>
      <w:r>
        <w:t xml:space="preserve">Hidropisia, mencionada em </w:t>
      </w:r>
      <w:hyperlink r:id="rId10651">
        <w:r>
          <w:rPr>
            <w:color w:val="0000EE"/>
            <w:u w:val="single"/>
          </w:rPr>
          <w:t>Lucas 14.2</w:t>
        </w:r>
      </w:hyperlink>
      <w:r>
        <w:t>, é um sintoma de distúrbios graves, como doenças do coração, rins ou fígado. Jesus curou um homem "que tinha hidropisia", mas sua doença não é descrita. A palavra "hidropisia" está agora desatualizada. Ela foi substituída por termos médicos mais específicos:</w:t>
      </w:r>
    </w:p>
    <w:p>
      <w:pPr>
        <w:pStyle w:val="ListBullet"/>
        <w:spacing w:line="240" w:lineRule="auto"/>
        <w:ind w:left="720"/>
      </w:pPr>
      <w:r/>
      <w:r>
        <w:t xml:space="preserve">Hidropisia no estômago agora é chamada de </w:t>
      </w:r>
      <w:r>
        <w:rPr>
          <w:i/>
        </w:rPr>
        <w:t>ascite</w:t>
      </w:r>
    </w:p>
    <w:p>
      <w:pPr>
        <w:pStyle w:val="ListBullet"/>
        <w:spacing w:line="240" w:lineRule="auto"/>
        <w:ind w:left="720"/>
      </w:pPr>
      <w:r/>
      <w:r>
        <w:t xml:space="preserve">Hidropisia na ou abaixo da pele é chamada de </w:t>
      </w:r>
      <w:r>
        <w:rPr>
          <w:i/>
        </w:rPr>
        <w:t>edema</w:t>
      </w:r>
    </w:p>
    <w:p>
      <w:pPr>
        <w:pStyle w:val="ListBullet"/>
        <w:spacing w:line="240" w:lineRule="auto"/>
        <w:ind w:left="720"/>
      </w:pPr>
      <w:r/>
      <w:r>
        <w:t xml:space="preserve">Hidropisia nos pulmões agora é chamada de </w:t>
      </w:r>
      <w:r>
        <w:rPr>
          <w:i/>
        </w:rPr>
        <w:t>hidrotórax</w:t>
      </w:r>
    </w:p>
    <w:p>
      <w:r/>
      <w:r>
        <w:t>Hidropisia não é mencionada diretamente no Antigo Testamento. Uma referência a pés inchados (</w:t>
      </w:r>
      <w:hyperlink r:id="rId10652">
        <w:r>
          <w:rPr>
            <w:color w:val="0000EE"/>
            <w:u w:val="single"/>
          </w:rPr>
          <w:t>Dt 8.4</w:t>
        </w:r>
      </w:hyperlink>
      <w:r>
        <w:t xml:space="preserve">) poderia se referir a </w:t>
      </w:r>
      <w:r>
        <w:rPr>
          <w:i/>
        </w:rPr>
        <w:t>edema pedal</w:t>
      </w:r>
      <w:r>
        <w:t xml:space="preserve"> ou simplesmente a bolhas.</w:t>
      </w:r>
    </w:p>
    <w:p>
      <w:r/>
      <w:r>
        <w:rPr>
          <w:i/>
        </w:rPr>
        <w:t>Veja também</w:t>
      </w:r>
      <w:r>
        <w:t xml:space="preserve"> </w:t>
      </w:r>
      <w:r>
        <w:t>Medicina e prática médica</w:t>
      </w:r>
      <w:r>
        <w:t>.</w:t>
      </w:r>
      <w:r/>
      <w:r/>
    </w:p>
    <w:p>
      <w:r/>
    </w:p>
    <w:p>
      <w:pPr>
        <w:pStyle w:val="Heading2"/>
      </w:pPr>
      <w:r>
        <w:t>Higaiom</w:t>
      </w:r>
      <w:r/>
    </w:p>
    <w:p>
      <w:r/>
      <w:r>
        <w:t xml:space="preserve">Notação musical no texto do </w:t>
      </w:r>
      <w:hyperlink r:id="rId10653">
        <w:r>
          <w:rPr>
            <w:color w:val="0000EE"/>
            <w:u w:val="single"/>
          </w:rPr>
          <w:t>Salmo 9.16</w:t>
        </w:r>
      </w:hyperlink>
      <w:r>
        <w:t xml:space="preserve">, presumivelmente indicando que o acompanhamento instrumental deve tocar suavemente. </w:t>
      </w:r>
      <w:r>
        <w:rPr>
          <w:i/>
        </w:rPr>
        <w:t>Consulte</w:t>
      </w:r>
      <w:r>
        <w:t xml:space="preserve"> </w:t>
      </w:r>
      <w:r>
        <w:t>Música</w:t>
      </w:r>
      <w:r>
        <w:t>.</w:t>
      </w:r>
      <w:r/>
      <w:r/>
    </w:p>
    <w:p>
      <w:r/>
    </w:p>
    <w:p>
      <w:pPr>
        <w:pStyle w:val="Heading2"/>
      </w:pPr>
      <w:r>
        <w:t>Hipocrisia</w:t>
      </w:r>
      <w:r/>
    </w:p>
    <w:p>
      <w:r/>
      <w:r>
        <w:t>O ato de fingir ser o que não é, especialmente a falsa aparência de ser religioso ou virtuoso. Nossa compreensão moderna da palavra “hipocrisia” é determinada por seu uso no NT, especialmente por Jesus. Tanto no NT quanto nos entendimentos subsequentes, o termo muitas vezes significava engano, representando erroneamente a verdade, ou alegando virtudes, ou qualidades que alguém não possui.</w:t>
      </w:r>
    </w:p>
    <w:p>
      <w:r/>
      <w:r>
        <w:t>Em contraste com seu significado consistentemente negativo na Bíblia, a hipocrisia, como primeiro usada pelos gregos, era uma palavra neutra. Em sua forma verbal, significava “explicar, interpretar ou expor”. Embora o substantivo “hipocrisia” possa significar “resposta”, a outra forma substantiva, “hipócrita”, quase sempre significava “ator” e provavelmente veio do verbo que significa “expor”.</w:t>
      </w:r>
    </w:p>
    <w:p>
      <w:r/>
      <w:r>
        <w:t>Originalmente, um hipócrita poderia ser um orador ou ator que interpretava as palavras de um poeta ou a música de um compositor. O ator, ou hipócrita, tentava tornar inteligível para seu público o que o poeta ou compositor havia escrito. Em uma escala maior, o hipócrita poderia ser um ator entre os outros em um drama realizado em um palco. Um bom hipócrita interpretava fielmente seu papel assumido, enquanto um hipócrita indesejável interpretava mal o seu papel. Devido à essencial neutralidade da palavra, palavras complementares eram necessárias para definir sua direção.</w:t>
      </w:r>
    </w:p>
    <w:p>
      <w:r/>
      <w:r>
        <w:t>Nos tempos helenísticos (ca. 325–125 a.C.), o mundo era comumente visto como um palco e toda a conduta humana como a arte de atuar. O papel e o roteiro de alguém eram moldados por seu ambiente familiar, cultural e religioso e podiam ser realizados de maneira bem-sucedida ou não. Quando usada neste sentido, a hipocrisia não carregava a ideia de fingimento ou farsa. No entanto, há casos em que o termo “hipócrita” foi usado para descrever uma pessoa que desempenhou o papel da vida de forma enganosa. A imagem apresentada ao público era apenas uma máscara por trás da qual o verdadeiro e diferente eu permanecia oculto.</w:t>
      </w:r>
    </w:p>
    <w:p>
      <w:r/>
      <w:r>
        <w:t>Os Evangelhos muitas vezes usam os termos “hipocrisia” (</w:t>
      </w:r>
      <w:hyperlink r:id="rId9211">
        <w:r>
          <w:rPr>
            <w:color w:val="0000EE"/>
            <w:u w:val="single"/>
          </w:rPr>
          <w:t>Mt 23.28</w:t>
        </w:r>
      </w:hyperlink>
      <w:r>
        <w:t xml:space="preserve">; </w:t>
      </w:r>
      <w:hyperlink r:id="rId10654">
        <w:r>
          <w:rPr>
            <w:color w:val="0000EE"/>
            <w:u w:val="single"/>
          </w:rPr>
          <w:t>Mc 12.15b</w:t>
        </w:r>
      </w:hyperlink>
      <w:r>
        <w:t xml:space="preserve">; </w:t>
      </w:r>
      <w:hyperlink r:id="rId9210">
        <w:r>
          <w:rPr>
            <w:color w:val="0000EE"/>
            <w:u w:val="single"/>
          </w:rPr>
          <w:t>Lc 12.1</w:t>
        </w:r>
      </w:hyperlink>
      <w:r>
        <w:t>) e “hipócrita” (</w:t>
      </w:r>
      <w:hyperlink r:id="rId10655">
        <w:r>
          <w:rPr>
            <w:color w:val="0000EE"/>
            <w:u w:val="single"/>
          </w:rPr>
          <w:t>Mt 7.5</w:t>
        </w:r>
      </w:hyperlink>
      <w:r>
        <w:t xml:space="preserve">; </w:t>
      </w:r>
      <w:hyperlink r:id="rId10656">
        <w:r>
          <w:rPr>
            <w:color w:val="0000EE"/>
            <w:u w:val="single"/>
          </w:rPr>
          <w:t>24.51</w:t>
        </w:r>
      </w:hyperlink>
      <w:r>
        <w:t xml:space="preserve">; </w:t>
      </w:r>
      <w:hyperlink r:id="rId10657">
        <w:r>
          <w:rPr>
            <w:color w:val="0000EE"/>
            <w:u w:val="single"/>
          </w:rPr>
          <w:t>Lc 6.42</w:t>
        </w:r>
      </w:hyperlink>
      <w:r>
        <w:t xml:space="preserve">; </w:t>
      </w:r>
      <w:hyperlink r:id="rId1566">
        <w:r>
          <w:rPr>
            <w:color w:val="0000EE"/>
            <w:u w:val="single"/>
          </w:rPr>
          <w:t>13.15</w:t>
        </w:r>
      </w:hyperlink>
      <w:r>
        <w:t>) para registrar o conflito entre Jesus e seus oponentes. Com relação aos fariseus e saduceus, Jesus detectou um contraste flagrante entre suas formas externas de justiça e seu fracasso em abraçar os aspectos mais substanciais da retidão: misericórdia, justiça, humildade, perdão e amor para com os desprezados (</w:t>
      </w:r>
      <w:hyperlink r:id="rId10658">
        <w:r>
          <w:rPr>
            <w:color w:val="0000EE"/>
            <w:u w:val="single"/>
          </w:rPr>
          <w:t>Lc 11.38,42</w:t>
        </w:r>
      </w:hyperlink>
      <w:r>
        <w:t>). Eles escondiam seu fracasso neste caso atrás de fingimento piedoso (</w:t>
      </w:r>
      <w:hyperlink r:id="rId10659">
        <w:r>
          <w:rPr>
            <w:color w:val="0000EE"/>
            <w:u w:val="single"/>
          </w:rPr>
          <w:t>Mc 7.1–13</w:t>
        </w:r>
      </w:hyperlink>
      <w:r>
        <w:t>). Internamente, eles estavam cheios de ganância e maldade (</w:t>
      </w:r>
      <w:hyperlink r:id="rId10660">
        <w:r>
          <w:rPr>
            <w:color w:val="0000EE"/>
            <w:u w:val="single"/>
          </w:rPr>
          <w:t>Lc 11.39</w:t>
        </w:r>
      </w:hyperlink>
      <w:r>
        <w:t>). A hipocrisia define aquele que apresenta uma aparência externa de justiça, mas que é interiormente marcado pela maldade (</w:t>
      </w:r>
      <w:hyperlink r:id="rId9211">
        <w:r>
          <w:rPr>
            <w:color w:val="0000EE"/>
            <w:u w:val="single"/>
          </w:rPr>
          <w:t>Mt 23.28</w:t>
        </w:r>
      </w:hyperlink>
      <w:r>
        <w:t>).</w:t>
      </w:r>
    </w:p>
    <w:p>
      <w:r/>
      <w:r>
        <w:t>Jesus condenou a hipocrisia porque distorce o mandamento justo de Deus. Em vez de buscar uma autêntica santidade interior, os hipócritas distorciam a justiça para um molde rígido que tinha como principal utilidade a exibição diante das pessoas (</w:t>
      </w:r>
      <w:hyperlink r:id="rId10661">
        <w:r>
          <w:rPr>
            <w:color w:val="0000EE"/>
            <w:u w:val="single"/>
          </w:rPr>
          <w:t>Mt 23.2–7</w:t>
        </w:r>
      </w:hyperlink>
      <w:r>
        <w:t>). A ideia deles de justiça revelava uma concepção distorcida de Deus e uma compreensão perversa de como ele reconcilia os pecadores consigo mesmo (</w:t>
      </w:r>
      <w:hyperlink r:id="rId140">
        <w:r>
          <w:rPr>
            <w:color w:val="0000EE"/>
            <w:u w:val="single"/>
          </w:rPr>
          <w:t>Lc 16.15</w:t>
        </w:r>
      </w:hyperlink>
      <w:r>
        <w:t>). Os hipócritas, que alegavam interpretar Deus para os humanos, na verdade, o representavam mal. Consequentemente, sua falsificação levava os pecadores para longe de Deus, em vez de para a reconciliação com ele (</w:t>
      </w:r>
      <w:hyperlink r:id="rId10662">
        <w:r>
          <w:rPr>
            <w:color w:val="0000EE"/>
            <w:u w:val="single"/>
          </w:rPr>
          <w:t>Lc 11.52</w:t>
        </w:r>
      </w:hyperlink>
      <w:r>
        <w:t>). Os hipócritas não apenas impedem que os outros entrem no reino de Deus, mas também se abstêm de entrar (</w:t>
      </w:r>
      <w:hyperlink r:id="rId10663">
        <w:r>
          <w:rPr>
            <w:color w:val="0000EE"/>
            <w:u w:val="single"/>
          </w:rPr>
          <w:t>Mt 23.13</w:t>
        </w:r>
      </w:hyperlink>
      <w:r>
        <w:t>).</w:t>
      </w:r>
      <w:r/>
      <w:r/>
    </w:p>
    <w:p>
      <w:r/>
    </w:p>
    <w:p>
      <w:pPr>
        <w:pStyle w:val="Heading2"/>
      </w:pPr>
      <w:r>
        <w:t>Hira</w:t>
      </w:r>
      <w:r/>
    </w:p>
    <w:p>
      <w:r/>
      <w:r>
        <w:t>Adulamita e amigo de Judá, dono da casa que Judá foi depois que ele e seus irmãos venderam José (</w:t>
      </w:r>
      <w:hyperlink r:id="rId10664">
        <w:r>
          <w:rPr>
            <w:color w:val="0000EE"/>
            <w:u w:val="single"/>
          </w:rPr>
          <w:t>Gn 38.1</w:t>
        </w:r>
      </w:hyperlink>
      <w:r>
        <w:t xml:space="preserve">). Ele acompanhou Judá à tosquia das ovelhas após a morte da esposa de Judá (v. </w:t>
      </w:r>
      <w:hyperlink r:id="rId10665">
        <w:r>
          <w:rPr>
            <w:color w:val="0000EE"/>
            <w:u w:val="single"/>
          </w:rPr>
          <w:t>12</w:t>
        </w:r>
      </w:hyperlink>
      <w:r>
        <w:t xml:space="preserve">) e serviu como mensageiro para levar um cabrito de Judá a Tamar (v. </w:t>
      </w:r>
      <w:hyperlink r:id="rId10666">
        <w:r>
          <w:rPr>
            <w:color w:val="0000EE"/>
            <w:u w:val="single"/>
          </w:rPr>
          <w:t>20</w:t>
        </w:r>
      </w:hyperlink>
      <w:r>
        <w:t>).</w:t>
      </w:r>
      <w:r/>
      <w:r/>
    </w:p>
    <w:p>
      <w:r/>
    </w:p>
    <w:p>
      <w:pPr>
        <w:pStyle w:val="Heading2"/>
      </w:pPr>
      <w:r>
        <w:t>Hirão</w:t>
      </w:r>
      <w:r/>
    </w:p>
    <w:p>
      <w:pPr>
        <w:pStyle w:val="ListNumber"/>
        <w:spacing w:line="240" w:lineRule="auto"/>
        <w:ind w:left="720"/>
      </w:pPr>
      <w:r/>
      <w:r>
        <w:t>Um rei de Tiro que governou durante o tempo do rei Davi e do rei Salomão. Após Davi conquistar Jerusalém e torná-la sua capital, Hirão enviou madeira de cedro, pedreiros e carpinteiros para construir seu palácio (</w:t>
      </w:r>
      <w:hyperlink r:id="rId3067">
        <w:r>
          <w:rPr>
            <w:color w:val="0000EE"/>
            <w:u w:val="single"/>
          </w:rPr>
          <w:t>2Sm 5.11</w:t>
        </w:r>
      </w:hyperlink>
      <w:r>
        <w:t xml:space="preserve">; </w:t>
      </w:r>
      <w:hyperlink r:id="rId4327">
        <w:r>
          <w:rPr>
            <w:color w:val="0000EE"/>
            <w:u w:val="single"/>
          </w:rPr>
          <w:t>1Cr 14.1</w:t>
        </w:r>
      </w:hyperlink>
      <w:r>
        <w:t>). Hirão permaneceu amigo de Davi durante toda a sua vida (</w:t>
      </w:r>
      <w:hyperlink r:id="rId10667">
        <w:r>
          <w:rPr>
            <w:color w:val="0000EE"/>
            <w:u w:val="single"/>
          </w:rPr>
          <w:t>1Rs 5.1</w:t>
        </w:r>
      </w:hyperlink>
      <w:r>
        <w:t>). Após a morte de Davi, ele continuou essa amizade com Salomão. Quando Salomão estava pronto para construir o templo, Hirão forneceu madeira das florestas do Líbano, ouro e artesãos habilidosos para ajudar a construir e mobiliar o templo. Em troca, Salomão deu a Hirão trigo e óleo para sua casa. Além disso, Salomão deu a Hirão 20 cidades na Galileia. Mas a Bíblia nos diz que Hirão não ficou satisfeito com elas (</w:t>
      </w:r>
      <w:hyperlink r:id="rId10668">
        <w:r>
          <w:rPr>
            <w:color w:val="0000EE"/>
            <w:u w:val="single"/>
          </w:rPr>
          <w:t>1Rs 5.1–11</w:t>
        </w:r>
      </w:hyperlink>
      <w:r>
        <w:t xml:space="preserve">; </w:t>
      </w:r>
      <w:hyperlink r:id="rId10669">
        <w:r>
          <w:rPr>
            <w:color w:val="0000EE"/>
            <w:u w:val="single"/>
          </w:rPr>
          <w:t>9.10–14</w:t>
        </w:r>
      </w:hyperlink>
      <w:r>
        <w:t>).</w:t>
      </w:r>
    </w:p>
    <w:p>
      <w:r/>
      <w:r>
        <w:t>Embora os israelitas não fossem um povo marítimo, Salomão mantinha uma frota de navios em Eziom-Geber (</w:t>
      </w:r>
      <w:hyperlink r:id="rId765">
        <w:r>
          <w:rPr>
            <w:color w:val="0000EE"/>
            <w:u w:val="single"/>
          </w:rPr>
          <w:t>1Rs 9.26–28</w:t>
        </w:r>
      </w:hyperlink>
      <w:r>
        <w:t>). Hirão ajudou Salomão fornecendo marinheiros e talvez navios para que a frota de Salomão funcionasse adequadamente. Os fenícios eram conhecidos como excelentes marinheiros que viajavam pelo Mar Mediterrâneo até o oeste, em Társis, na Espanha.</w:t>
      </w:r>
    </w:p>
    <w:p>
      <w:r/>
      <w:r>
        <w:t>Hirão provavelmente era filho de Abibal. Ele governou em Tiro por 34 anos e morreu aos 53 anos. Historiadores fenícios registram que Salomão se casou com a filha de Hirão.</w:t>
      </w:r>
    </w:p>
    <w:p>
      <w:pPr>
        <w:pStyle w:val="ListNumber"/>
        <w:spacing w:line="240" w:lineRule="auto"/>
        <w:ind w:left="720"/>
      </w:pPr>
      <w:r/>
      <w:r>
        <w:t>Um artesão de Tiro que trabalhou no templo de Salomão. Diziam que ele era filho de um homem de Tiro e de uma mulher da tribo de Naftali (</w:t>
      </w:r>
      <w:hyperlink r:id="rId10670">
        <w:r>
          <w:rPr>
            <w:color w:val="0000EE"/>
            <w:u w:val="single"/>
          </w:rPr>
          <w:t>1Rs 7.13–14</w:t>
        </w:r>
      </w:hyperlink>
      <w:r>
        <w:t xml:space="preserve">). Mas </w:t>
      </w:r>
      <w:hyperlink r:id="rId10671">
        <w:r>
          <w:rPr>
            <w:color w:val="0000EE"/>
            <w:u w:val="single"/>
          </w:rPr>
          <w:t>2 Crônicas 2.14</w:t>
        </w:r>
      </w:hyperlink>
      <w:r>
        <w:t xml:space="preserve"> diz que sua mãe era das “filhas de Dã”. É possível que seus ancestrais fossem da tribo de Dã (compare </w:t>
      </w:r>
      <w:hyperlink r:id="rId665">
        <w:r>
          <w:rPr>
            <w:color w:val="0000EE"/>
            <w:u w:val="single"/>
          </w:rPr>
          <w:t>Êx 38.23</w:t>
        </w:r>
      </w:hyperlink>
      <w:r>
        <w:t>). Ele criou vários móveis para o templo:</w:t>
      </w:r>
    </w:p>
    <w:p>
      <w:pPr>
        <w:pStyle w:val="ListBullet"/>
        <w:spacing w:line="240" w:lineRule="auto"/>
        <w:ind w:left="1440"/>
      </w:pPr>
      <w:r/>
      <w:r>
        <w:t>Dois pilares de bronze.</w:t>
      </w:r>
    </w:p>
    <w:p>
      <w:pPr>
        <w:pStyle w:val="ListBullet"/>
        <w:spacing w:line="240" w:lineRule="auto"/>
        <w:ind w:left="1440"/>
      </w:pPr>
      <w:r/>
      <w:r>
        <w:t>Os capitéis decorativos (topos) que adornavam os pilares.</w:t>
      </w:r>
    </w:p>
    <w:p>
      <w:pPr>
        <w:pStyle w:val="ListBullet"/>
        <w:spacing w:line="240" w:lineRule="auto"/>
        <w:ind w:left="1440"/>
      </w:pPr>
      <w:r/>
      <w:r>
        <w:t>O grande tanque de bronze chamado "mar fundido" e os 12 bois de bronze sobre os quais ele estava apoiado.</w:t>
      </w:r>
    </w:p>
    <w:p>
      <w:pPr>
        <w:pStyle w:val="ListBullet"/>
        <w:spacing w:line="240" w:lineRule="auto"/>
        <w:ind w:left="1440"/>
      </w:pPr>
      <w:r/>
      <w:r>
        <w:t>Duas bacias menores com seus suportes.</w:t>
      </w:r>
    </w:p>
    <w:p>
      <w:pPr>
        <w:pStyle w:val="ListBullet"/>
        <w:spacing w:line="240" w:lineRule="auto"/>
        <w:ind w:left="1440"/>
      </w:pPr>
      <w:r/>
      <w:r>
        <w:t>Pás, vasos e outros recipientes.</w:t>
      </w:r>
    </w:p>
    <w:p>
      <w:r/>
      <w:r>
        <w:t xml:space="preserve">Seu nome também é escrito Hurão em </w:t>
      </w:r>
      <w:hyperlink r:id="rId10672">
        <w:r>
          <w:rPr>
            <w:color w:val="0000EE"/>
            <w:u w:val="single"/>
          </w:rPr>
          <w:t>2 Crônicas 4.11</w:t>
        </w:r>
      </w:hyperlink>
      <w:r>
        <w:t xml:space="preserve">. Ele é chamado Hurão-Abi (Abi significa “mestre”) em </w:t>
      </w:r>
      <w:hyperlink r:id="rId10673">
        <w:r>
          <w:rPr>
            <w:color w:val="0000EE"/>
            <w:u w:val="single"/>
          </w:rPr>
          <w:t>2 Crônicas 2.13</w:t>
        </w:r>
      </w:hyperlink>
      <w:r>
        <w:t xml:space="preserve"> e </w:t>
      </w:r>
      <w:hyperlink r:id="rId10674">
        <w:r>
          <w:rPr>
            <w:color w:val="0000EE"/>
            <w:u w:val="single"/>
          </w:rPr>
          <w:t>4.16</w:t>
        </w:r>
      </w:hyperlink>
      <w:r>
        <w:t>.</w:t>
      </w:r>
      <w:r/>
      <w:r/>
    </w:p>
    <w:p>
      <w:r/>
    </w:p>
    <w:p>
      <w:pPr>
        <w:pStyle w:val="Heading2"/>
      </w:pPr>
      <w:r>
        <w:t>Hissopo</w:t>
      </w:r>
      <w:r/>
    </w:p>
    <w:p>
      <w:r/>
      <w:r>
        <w:t>Uma planta de manjerona síria ou egípcia (</w:t>
      </w:r>
      <w:hyperlink r:id="rId6324">
        <w:r>
          <w:rPr>
            <w:color w:val="0000EE"/>
            <w:u w:val="single"/>
          </w:rPr>
          <w:t>Êx 12.22</w:t>
        </w:r>
      </w:hyperlink>
      <w:r>
        <w:t xml:space="preserve">; </w:t>
      </w:r>
      <w:hyperlink r:id="rId10675">
        <w:r>
          <w:rPr>
            <w:color w:val="0000EE"/>
            <w:u w:val="single"/>
          </w:rPr>
          <w:t>Lv 14.4</w:t>
        </w:r>
      </w:hyperlink>
      <w:r>
        <w:t>).</w:t>
      </w:r>
    </w:p>
    <w:p>
      <w:r/>
      <w:r>
        <w:rPr>
          <w:i/>
        </w:rPr>
        <w:t xml:space="preserve">Veja </w:t>
      </w:r>
      <w:r>
        <w:t>Plantas</w:t>
      </w:r>
      <w:r>
        <w:t>.</w:t>
      </w:r>
      <w:r/>
      <w:r/>
    </w:p>
    <w:p>
      <w:r/>
    </w:p>
    <w:p>
      <w:pPr>
        <w:pStyle w:val="Heading2"/>
      </w:pPr>
      <w:r>
        <w:t>Hititas</w:t>
      </w:r>
      <w:r/>
    </w:p>
    <w:p>
      <w:r/>
      <w:r>
        <w:t>Pessoas bíblicas que figuram amplamente nas promessas de uma terra para os descendentes de Abrão e os filhos de Israel. Antes desconhecidos pela história secular e considerados um povo mítico por alguns críticos da história bíblica, informações sobre os hititas foram descobertas por arqueólogos e historiadores, e agora sabe-se que eles tinham um império centrado na Ásia Menor. Eles possuíam força militar suficiente para desafiar os exércitos do Egito sob o vaidoso Ramsés II e lutaram com ele até um impasse em Cades no Orontes.</w:t>
      </w:r>
    </w:p>
    <w:p>
      <w:r/>
      <w:r>
        <w:t>Na maior parte, as referências bíblicas não sugerem que os hititas fossem mais do que um grupo menor, mas a associação dos reis hititas e do Egito com o comércio de cavalos de Salomão e seu envolvimento nos conflitos da Síria e Israel na monarquia dividida indicam que os hititas eram um povo de grande importância.</w:t>
      </w:r>
    </w:p>
    <w:p>
      <w:pPr>
        <w:pStyle w:val="Heading3"/>
      </w:pPr>
      <w:r>
        <w:t>Geografia</w:t>
      </w:r>
    </w:p>
    <w:p>
      <w:r/>
      <w:r>
        <w:t>O Império Hitita tinha seu centro na Anatólia (Ásia Menor, atual Turquia), com sua capital em Hattusas (atual Baghazkoy) na curva do Rio Halys (atual Kizil Irmak). O império às vezes se estendia por uma área muito maior sem limites definidos, já que incluía cidades-estado que eram dependências do reino da Anatólia, relacionadas a ele por tratados, mas de outra forma não faziam parte dele. Devido à sua presença na Palestina-Síria, os hititas fizeram sua influência ser sentida no Egito e são bem conhecidos pela arte e inscrições daquele país. A presença dos hititas na Palestina é amplamente atestada na Bíblia, e o poder dos hititas em cidades palestinas como Hebrom é indicado nos tempos dos patriarcas.</w:t>
      </w:r>
    </w:p>
    <w:p>
      <w:pPr>
        <w:pStyle w:val="Heading3"/>
      </w:pPr>
      <w:r>
        <w:t>História</w:t>
      </w:r>
    </w:p>
    <w:p>
      <w:r/>
      <w:r>
        <w:t>Os hititas foram um dos vários grupos de povos, considerados nem semitas nem indo-europeus, que ocuparam o planalto da Anatólia no terceiro milênio a.C. No final deste milênio, os indo-europeus invadiram a área e assumiram o poder político.</w:t>
      </w:r>
    </w:p>
    <w:p>
      <w:r/>
      <w:r>
        <w:t>A história, no verdadeiro sentido, ou seja, baseada em registros escritos, começa na Anatólia por volta de 1900 a.C. com a chegada dos comerciantes assírios. Esses mercadores se estabeleceram em várias cidades e se comunicavam com sua terra natal usando tábuas cuneiformes. Vários desses registros foram encontrados perto de Kayseri. Eles mencionam a luta entre os principados hititas pela supremacia na Anatólia e referem-se a um Rei Anittas, conhecido por fontes hititas de data posterior.</w:t>
      </w:r>
    </w:p>
    <w:p>
      <w:r/>
      <w:r>
        <w:t>Durante o século XV a.C., o domínio dos hurritas foi quebrado pelas campanhas do rei egípcio Tutmés III, mas outro reino hurrita, Mitanni, logo se destacou na Ásia Ocidental. Mitanni representava uma ameaça para os hititas, mas com a chegada de um monarca ambicioso e energético, Suppiluliuma I (c. 1380–1340 a.C.), houve um ressurgimento da vitalidade hitita e da força do império. Este foi o período da escrita das cartas de Amarna, que testemunham a situação confusa na Palestina-Síria.</w:t>
      </w:r>
    </w:p>
    <w:p>
      <w:r/>
      <w:r>
        <w:t>Suppiluliuma realizou uma brilhante expedição militar contra Mitanni e, então, combinando força com genialidade diplomática, criou uma zona de amortecimento de cidades-estado vassalas, que estavam ligadas a ele por tratados, cujas cópias foram encontradas nos arquivos hititas.</w:t>
      </w:r>
    </w:p>
    <w:p>
      <w:r/>
      <w:r>
        <w:t>Durante a primeira metade do século XIV, a apatia de Amenófis III e a preocupação religiosa de Aquenáton permitiram que o império asiático do Egito se tornasse apenas uma lembrança. No entanto, com o início da 19ª dinastia, os egípcios se empenharam em recuperar o que haviam perdido. A disputa pela Palestina-Síria atingiu seu clímax com a famosa batalha de Cades no rio Orontes, onde os carros hititas inicialmente levaram vantagem. Ramsés II celebrou a batalha como uma vitória, embora tenha escapado com vida por pouco. O rei hitita, Muatal II, também reivindicou um triunfo, mas politicamente a batalha foi inconclusiva. O rei hitita seguinte, Hatusil III, assinou um tratado com Ramsés II no 21º ano do reinado do faraó egípcio; o pacto foi selado pelo casamento da filha de Hatusil III com Ramsés II.</w:t>
      </w:r>
    </w:p>
    <w:p>
      <w:r/>
      <w:r>
        <w:t xml:space="preserve">Por volta do meio do século 13 a.C., os hititas foram ameaçados pelo oeste pelos Ahhiyawa, possivelmente associados aos aqueus e aos Povos do Mar (veja </w:t>
      </w:r>
      <w:r>
        <w:t>Filístia, Filisteus</w:t>
      </w:r>
      <w:r>
        <w:t>). Foi uma onda dos Povos do Mar que levou o Império Hitita ao fim por volta de 1190 a.C. e avançou ao longo da costa oriental do Mediterrâneo até ser finalmente detida no Delta do Nilo por Ramsés III.</w:t>
      </w:r>
    </w:p>
    <w:p>
      <w:r/>
      <w:r>
        <w:t>No norte da Síria, cidades-estado independentes continuaram a ser governadas por reis com nomes hititas e ergueram monumentos inscritos com hieróglifos hititas. Os assírios continuaram a se referir à área como a Terra de Hatti, e o Antigo Testamento menciona esses governantes de principados como "reis dos hititas". Esses pequenos reinos logo foram submetidos a tributo assírio e se tornaram províncias assírias nos reinados de Salmanaser V e Sargão II, os governantes que também puseram fim ao reino do norte de Israel ao conquistar Samaria em 721 a.C.</w:t>
      </w:r>
    </w:p>
    <w:p>
      <w:pPr>
        <w:pStyle w:val="Heading3"/>
      </w:pPr>
      <w:r>
        <w:t>Línguas e literatura</w:t>
      </w:r>
    </w:p>
    <w:p>
      <w:r/>
      <w:r>
        <w:t>Nos textos encontrados em Boghazkoy, oito idiomas diferentes foram utilizados. Destes, apenas dois, o hitita e o acadiano, foram usados para registros reais oficiais. O acadiano era a língua franca do império e também o principal idioma das tábuas de Amarna. O hurriano é o único outro idioma no qual textos completos foram escritos. Os outros idiomas aparecem principalmente em passagens curtas em documentos religiosos hititas, e um é identificado apenas por alguns termos técnicos.</w:t>
      </w:r>
    </w:p>
    <w:p>
      <w:r/>
      <w:r>
        <w:t>Havia oito idiomas: (1) Hitita, também chamado de Nesita, foi reconhecido por B. Hrozny como tendo afinidades com o indo-europeu. Essa proposta foi inicialmente recebida com ceticismo entre os estudiosos, mas foi provada além de qualquer dúvida. (2) Hático (Hatiano), a língua do povo aborígene da Anatólia, é usada para discursos dos sacerdotes na realização do ritual cultual relacionado ao panteão hitita. (3) Luvita é outra língua indo-europeia, intimamente relacionada ao hitita. (4) Palaico, uma língua pouco conhecida, também é indo-europeia. (5) Hurriano aparece em muitos textos rituais. Fragmentos de uma tradução hurriana do Épico de Gilgamesh foram encontrados. Uma das tábuas de Amarna, escrita por Tushratta, rei de Mitanni, para Amenófis III, estava em hurriano. Também estão representados (6) a língua ariana dos governantes de Mitanni, (7) acadiano e (8) sumeriano. Além da escrita cuneiforme, os hititas usavam hieróglifos, que foram encontrados inscritos em pedra e chumbo.</w:t>
      </w:r>
    </w:p>
    <w:p>
      <w:r/>
      <w:r>
        <w:t>Os arquivos hititas continham textos de documentos oficiais, como tratados, leis, instruções, anais dos reis, cartas e outros registros históricos. Havia uma vasta literatura religiosa, incluindo mitos, lendas, épicos, encantamentos, rituais, presságios, orações e descrições de festivais e suas celebrações.</w:t>
      </w:r>
    </w:p>
    <w:p>
      <w:pPr>
        <w:pStyle w:val="Heading3"/>
      </w:pPr>
      <w:r>
        <w:t>As pessoas</w:t>
      </w:r>
    </w:p>
    <w:p>
      <w:r/>
      <w:r>
        <w:t>A diversidade linguística característica da civilização hitita é paralela à grande mistura de origens étnicas, especialmente na extensão geográfica coberta pelo império. A aparência física dos hititas é conhecida a partir de seus próprios relevos e de representações em monumentos egípcios. Suas representações mostram os hititas com rostos pouco atraentes, casacos pesados, chapéus altos e pontudos, e sapatos com pontas viradas para cima.</w:t>
      </w:r>
    </w:p>
    <w:p>
      <w:pPr>
        <w:pStyle w:val="Heading3"/>
      </w:pPr>
      <w:r>
        <w:t>Religião</w:t>
      </w:r>
    </w:p>
    <w:p>
      <w:r/>
      <w:r>
        <w:t>Os hititas possuíam um panteão de divindades, conhecidas pelo nome nas inscrições e pela presença nos relevos. Os deuses podem ser identificados por uma arma ou ferramenta na mão direita, um símbolo na mão esquerda, asas ou apetrechos semelhantes, ou pelo animal sagrado sobre o qual uma divindade pode estar.</w:t>
      </w:r>
    </w:p>
    <w:p>
      <w:r/>
      <w:r>
        <w:t>Um deus principal era o deus do clima, cujo animal sagrado era o touro. Da multiplicidade de cultos locais, surgiu um panteão oficial, liderado pela deusa do sol, Arinna, que era a divindade suprema do estado e do rei. Os tratados dos hititas geralmente contêm uma longa lista de divindades que serviam como testemunhas do tratado e do juramento.</w:t>
      </w:r>
    </w:p>
    <w:p>
      <w:pPr>
        <w:pStyle w:val="Heading3"/>
      </w:pPr>
      <w:r>
        <w:t>Hititas e a Bíblia</w:t>
      </w:r>
    </w:p>
    <w:p>
      <w:r/>
      <w:r>
        <w:t>O nome "hitita(s)" ocorre quase 50 vezes no AT, mas não aparece no NT. Se incluirmos as ocorrências do nome de Hete, o pai dos hititas, há mais de 60 citações na Bíblia. A maioria está relacionada à presença dos hititas em Canaã. Seu progenitor e epônimo, Hete, é listado em segundo lugar entre os filhos de Canaã na "tabela das nações" (</w:t>
      </w:r>
      <w:hyperlink r:id="rId10632">
        <w:r>
          <w:rPr>
            <w:color w:val="0000EE"/>
            <w:u w:val="single"/>
          </w:rPr>
          <w:t>Gn 10.15</w:t>
        </w:r>
      </w:hyperlink>
      <w:r>
        <w:t xml:space="preserve">; cf. </w:t>
      </w:r>
      <w:hyperlink r:id="rId10633">
        <w:r>
          <w:rPr>
            <w:color w:val="0000EE"/>
            <w:u w:val="single"/>
          </w:rPr>
          <w:t>1Cr 1.13</w:t>
        </w:r>
      </w:hyperlink>
      <w:r>
        <w:t>). A maioria das referências aos "filhos de Hete" aparece na narrativa da compra da caverna de Macpela por Abraão (</w:t>
      </w:r>
      <w:hyperlink r:id="rId179">
        <w:r>
          <w:rPr>
            <w:color w:val="0000EE"/>
            <w:u w:val="single"/>
          </w:rPr>
          <w:t>Gn 23</w:t>
        </w:r>
      </w:hyperlink>
      <w:r>
        <w:t>).</w:t>
      </w:r>
    </w:p>
    <w:p>
      <w:r/>
      <w:r>
        <w:t xml:space="preserve">As referências do AT aos hititas incluem </w:t>
      </w:r>
      <w:hyperlink r:id="rId3166">
        <w:r>
          <w:rPr>
            <w:color w:val="0000EE"/>
            <w:u w:val="single"/>
          </w:rPr>
          <w:t>Gênesis 26.34</w:t>
        </w:r>
      </w:hyperlink>
      <w:r>
        <w:t xml:space="preserve">; </w:t>
      </w:r>
      <w:hyperlink r:id="rId10676">
        <w:r>
          <w:rPr>
            <w:color w:val="0000EE"/>
            <w:u w:val="single"/>
          </w:rPr>
          <w:t>27.46</w:t>
        </w:r>
      </w:hyperlink>
      <w:r>
        <w:t xml:space="preserve"> (mulheres hititas); </w:t>
      </w:r>
      <w:hyperlink r:id="rId10482">
        <w:r>
          <w:rPr>
            <w:color w:val="0000EE"/>
            <w:u w:val="single"/>
          </w:rPr>
          <w:t>49.29–32</w:t>
        </w:r>
      </w:hyperlink>
      <w:r>
        <w:t xml:space="preserve">; </w:t>
      </w:r>
      <w:hyperlink r:id="rId7735">
        <w:r>
          <w:rPr>
            <w:color w:val="0000EE"/>
            <w:u w:val="single"/>
          </w:rPr>
          <w:t>50.13</w:t>
        </w:r>
      </w:hyperlink>
      <w:r>
        <w:t xml:space="preserve"> (Efrom); </w:t>
      </w:r>
      <w:hyperlink r:id="rId1212">
        <w:r>
          <w:rPr>
            <w:color w:val="0000EE"/>
            <w:u w:val="single"/>
          </w:rPr>
          <w:t>Êxodo 33.2</w:t>
        </w:r>
      </w:hyperlink>
      <w:r>
        <w:t xml:space="preserve">; </w:t>
      </w:r>
      <w:hyperlink r:id="rId4170">
        <w:r>
          <w:rPr>
            <w:color w:val="0000EE"/>
            <w:u w:val="single"/>
          </w:rPr>
          <w:t>Números 13.29</w:t>
        </w:r>
      </w:hyperlink>
      <w:r>
        <w:t xml:space="preserve">; </w:t>
      </w:r>
      <w:hyperlink r:id="rId9178">
        <w:r>
          <w:rPr>
            <w:color w:val="0000EE"/>
            <w:u w:val="single"/>
          </w:rPr>
          <w:t>Deuteronômio 7.1</w:t>
        </w:r>
      </w:hyperlink>
      <w:r>
        <w:t xml:space="preserve">; </w:t>
      </w:r>
      <w:hyperlink r:id="rId9179">
        <w:r>
          <w:rPr>
            <w:color w:val="0000EE"/>
            <w:u w:val="single"/>
          </w:rPr>
          <w:t>20.17</w:t>
        </w:r>
      </w:hyperlink>
      <w:r>
        <w:t xml:space="preserve"> (sua destruição); </w:t>
      </w:r>
      <w:hyperlink r:id="rId9182">
        <w:r>
          <w:rPr>
            <w:color w:val="0000EE"/>
            <w:u w:val="single"/>
          </w:rPr>
          <w:t>Josué 11.3</w:t>
        </w:r>
      </w:hyperlink>
      <w:r>
        <w:t xml:space="preserve">; </w:t>
      </w:r>
      <w:hyperlink r:id="rId9183">
        <w:r>
          <w:rPr>
            <w:color w:val="0000EE"/>
            <w:u w:val="single"/>
          </w:rPr>
          <w:t>12.8</w:t>
        </w:r>
      </w:hyperlink>
      <w:r>
        <w:t xml:space="preserve"> (ocupantes de Canaã); </w:t>
      </w:r>
      <w:hyperlink r:id="rId653">
        <w:r>
          <w:rPr>
            <w:color w:val="0000EE"/>
            <w:u w:val="single"/>
          </w:rPr>
          <w:t>1 Samuel 26.6</w:t>
        </w:r>
      </w:hyperlink>
      <w:r>
        <w:t xml:space="preserve">; </w:t>
      </w:r>
      <w:hyperlink r:id="rId10677">
        <w:r>
          <w:rPr>
            <w:color w:val="0000EE"/>
            <w:u w:val="single"/>
          </w:rPr>
          <w:t>2 Samuel 11–12</w:t>
        </w:r>
      </w:hyperlink>
      <w:r>
        <w:t xml:space="preserve"> (Urias, um guerreiro sob Davi); </w:t>
      </w:r>
      <w:hyperlink r:id="rId9185">
        <w:r>
          <w:rPr>
            <w:color w:val="0000EE"/>
            <w:u w:val="single"/>
          </w:rPr>
          <w:t>1 Reis 9.20</w:t>
        </w:r>
      </w:hyperlink>
      <w:r>
        <w:t xml:space="preserve">; </w:t>
      </w:r>
      <w:hyperlink r:id="rId10678">
        <w:r>
          <w:rPr>
            <w:color w:val="0000EE"/>
            <w:u w:val="single"/>
          </w:rPr>
          <w:t>10.29</w:t>
        </w:r>
      </w:hyperlink>
      <w:r>
        <w:t xml:space="preserve"> (trabalhadores ou comerciantes sob Salomão); </w:t>
      </w:r>
      <w:hyperlink r:id="rId4568">
        <w:r>
          <w:rPr>
            <w:color w:val="0000EE"/>
            <w:u w:val="single"/>
          </w:rPr>
          <w:t>11.1</w:t>
        </w:r>
      </w:hyperlink>
      <w:r>
        <w:t xml:space="preserve"> (esposa de Salomão); </w:t>
      </w:r>
      <w:hyperlink r:id="rId9187">
        <w:r>
          <w:rPr>
            <w:color w:val="0000EE"/>
            <w:u w:val="single"/>
          </w:rPr>
          <w:t>Esdras 9.1</w:t>
        </w:r>
      </w:hyperlink>
      <w:r>
        <w:t xml:space="preserve"> (estrangeiros); </w:t>
      </w:r>
      <w:hyperlink r:id="rId10679">
        <w:r>
          <w:rPr>
            <w:color w:val="0000EE"/>
            <w:u w:val="single"/>
          </w:rPr>
          <w:t>Ezequiel 16.3,45</w:t>
        </w:r>
      </w:hyperlink>
      <w:r>
        <w:t xml:space="preserve"> (antepassados de Jerusalém).</w:t>
      </w:r>
      <w:r/>
      <w:r/>
    </w:p>
    <w:p>
      <w:r/>
    </w:p>
    <w:p>
      <w:pPr>
        <w:pStyle w:val="Heading2"/>
      </w:pPr>
      <w:r>
        <w:t>Hoba</w:t>
      </w:r>
      <w:r/>
    </w:p>
    <w:p>
      <w:r/>
      <w:r>
        <w:t>Cidade para a qual Abraão perseguiu os exércitos sob Quedorlaomer (</w:t>
      </w:r>
      <w:hyperlink r:id="rId5055">
        <w:r>
          <w:rPr>
            <w:color w:val="0000EE"/>
            <w:u w:val="single"/>
          </w:rPr>
          <w:t>Gn 14.15</w:t>
        </w:r>
      </w:hyperlink>
      <w:r>
        <w:t>). Sua localização é incerta, mas várias sugestões foram feitas. Alguns a equiparam com Hobá, cerca de 80 quilômetros a noroeste de Damasco; outros, com o território chamado Ube nas Cartas de Amarna; e ainda outros, com Tell el-Salihite, 16 quilômetros a leste de Damasco.</w:t>
      </w:r>
      <w:r/>
      <w:r/>
    </w:p>
    <w:p>
      <w:r/>
    </w:p>
    <w:p>
      <w:pPr>
        <w:pStyle w:val="Heading2"/>
      </w:pPr>
      <w:r>
        <w:t>Hobabe</w:t>
      </w:r>
      <w:r/>
    </w:p>
    <w:p>
      <w:r/>
      <w:r>
        <w:t>Um membro do povo midianita que estava ligado à família de Moisés (</w:t>
      </w:r>
      <w:hyperlink r:id="rId10680">
        <w:r>
          <w:rPr>
            <w:color w:val="0000EE"/>
            <w:u w:val="single"/>
          </w:rPr>
          <w:t>Nm 10.29</w:t>
        </w:r>
      </w:hyperlink>
      <w:r>
        <w:t xml:space="preserve">; </w:t>
      </w:r>
      <w:hyperlink r:id="rId4012">
        <w:r>
          <w:rPr>
            <w:color w:val="0000EE"/>
            <w:u w:val="single"/>
          </w:rPr>
          <w:t>Jz 4.11</w:t>
        </w:r>
      </w:hyperlink>
      <w:r>
        <w:t>). Ele era sogro ou cunhado de Moisés. Se ele era sogro de Moisés, também era conhecido por dois outros nomes. Ele é geralmente chamado de Jetro (</w:t>
      </w:r>
      <w:hyperlink r:id="rId6724">
        <w:r>
          <w:rPr>
            <w:color w:val="0000EE"/>
            <w:u w:val="single"/>
          </w:rPr>
          <w:t>Êx 3.1</w:t>
        </w:r>
      </w:hyperlink>
      <w:r>
        <w:t xml:space="preserve">; </w:t>
      </w:r>
      <w:hyperlink r:id="rId10681">
        <w:r>
          <w:rPr>
            <w:color w:val="0000EE"/>
            <w:u w:val="single"/>
          </w:rPr>
          <w:t>4.18</w:t>
        </w:r>
      </w:hyperlink>
      <w:r>
        <w:t xml:space="preserve">; </w:t>
      </w:r>
      <w:hyperlink r:id="rId10682">
        <w:r>
          <w:rPr>
            <w:color w:val="0000EE"/>
            <w:u w:val="single"/>
          </w:rPr>
          <w:t>18.1–12</w:t>
        </w:r>
      </w:hyperlink>
      <w:r>
        <w:t>). Mas também é chamado de Reuel (</w:t>
      </w:r>
      <w:hyperlink r:id="rId10683">
        <w:r>
          <w:rPr>
            <w:color w:val="0000EE"/>
            <w:u w:val="single"/>
          </w:rPr>
          <w:t>Êx 2.18</w:t>
        </w:r>
      </w:hyperlink>
      <w:r>
        <w:t>). Jetro serviu como sacerdote de Midiã (</w:t>
      </w:r>
      <w:hyperlink r:id="rId2338">
        <w:r>
          <w:rPr>
            <w:color w:val="0000EE"/>
            <w:u w:val="single"/>
          </w:rPr>
          <w:t>Êx 18.1</w:t>
        </w:r>
      </w:hyperlink>
      <w:r>
        <w:t>). Ele foi o ancestral do povo queneu (</w:t>
      </w:r>
      <w:hyperlink r:id="rId4012">
        <w:r>
          <w:rPr>
            <w:color w:val="0000EE"/>
            <w:u w:val="single"/>
          </w:rPr>
          <w:t>Jz 4.11).</w:t>
        </w:r>
      </w:hyperlink>
    </w:p>
    <w:p>
      <w:r/>
      <w:r>
        <w:t xml:space="preserve">Os estudiosos não têm certeza se Hobabe era sogro ou cunhado de Moisés. Em </w:t>
      </w:r>
      <w:hyperlink r:id="rId4012">
        <w:r>
          <w:rPr>
            <w:color w:val="0000EE"/>
            <w:u w:val="single"/>
          </w:rPr>
          <w:t>Jz 4.11</w:t>
        </w:r>
      </w:hyperlink>
      <w:r>
        <w:t xml:space="preserve">, Hobabe parece ser a mesma pessoa que Jetro. Algumas cópias antigas da Bíblia acrescentam o nome "Hobabe" ao mencionar "o queneu, sogro de Moisés" em </w:t>
      </w:r>
      <w:hyperlink r:id="rId1039">
        <w:r>
          <w:rPr>
            <w:color w:val="0000EE"/>
            <w:u w:val="single"/>
          </w:rPr>
          <w:t>Jz 1.16</w:t>
        </w:r>
      </w:hyperlink>
      <w:r>
        <w:t xml:space="preserve">. Elas também acrescentam seu nome ao falar sobre Reuel em </w:t>
      </w:r>
      <w:hyperlink r:id="rId10683">
        <w:r>
          <w:rPr>
            <w:color w:val="0000EE"/>
            <w:u w:val="single"/>
          </w:rPr>
          <w:t>Êxodo 2.18</w:t>
        </w:r>
      </w:hyperlink>
      <w:r>
        <w:t xml:space="preserve">. No entanto, </w:t>
      </w:r>
      <w:hyperlink r:id="rId10680">
        <w:r>
          <w:rPr>
            <w:color w:val="0000EE"/>
            <w:u w:val="single"/>
          </w:rPr>
          <w:t>Números 10.29a</w:t>
        </w:r>
      </w:hyperlink>
      <w:r>
        <w:t xml:space="preserve"> poderia significar que Hobabe era filho de Reuel (o que o tornaria cunhado de Moisés). Nesta passagem, Moisés pede a Hobabe para ajudar a guiar os israelitas pelo deserto porque ele conhecia bem a área.</w:t>
      </w:r>
    </w:p>
    <w:p>
      <w:r/>
      <w:r>
        <w:rPr>
          <w:i/>
        </w:rPr>
        <w:t>Consulte também</w:t>
      </w:r>
      <w:r>
        <w:t xml:space="preserve"> </w:t>
      </w:r>
      <w:r>
        <w:t>Jetro</w:t>
      </w:r>
      <w:r>
        <w:t>.</w:t>
      </w:r>
      <w:r/>
      <w:r/>
    </w:p>
    <w:p>
      <w:r/>
    </w:p>
    <w:p>
      <w:pPr>
        <w:pStyle w:val="Heading2"/>
      </w:pPr>
      <w:r>
        <w:t>Hogla</w:t>
      </w:r>
      <w:r/>
    </w:p>
    <w:p>
      <w:r/>
      <w:r>
        <w:t>Uma das cinco filhas de Zelofeade (</w:t>
      </w:r>
      <w:hyperlink r:id="rId10684">
        <w:r>
          <w:rPr>
            <w:color w:val="0000EE"/>
            <w:u w:val="single"/>
          </w:rPr>
          <w:t>Nm 26.33</w:t>
        </w:r>
      </w:hyperlink>
      <w:r>
        <w:t xml:space="preserve">; </w:t>
      </w:r>
      <w:hyperlink r:id="rId9968">
        <w:r>
          <w:rPr>
            <w:color w:val="0000EE"/>
            <w:u w:val="single"/>
          </w:rPr>
          <w:t>27.1</w:t>
        </w:r>
      </w:hyperlink>
      <w:r>
        <w:t xml:space="preserve">; </w:t>
      </w:r>
      <w:hyperlink r:id="rId10685">
        <w:r>
          <w:rPr>
            <w:color w:val="0000EE"/>
            <w:u w:val="single"/>
          </w:rPr>
          <w:t>Js 17.3</w:t>
        </w:r>
      </w:hyperlink>
      <w:r>
        <w:t>). Zelofeade era da tribo de Manassés. Ele não tinha filhos, então sua herança foi passada para suas filhas. Elas se casaram dentro de sua própria tribo, conforme Deus ordenou. Assim, sua terra permaneceu na tribo da família de seu pai (</w:t>
      </w:r>
      <w:hyperlink r:id="rId10686">
        <w:r>
          <w:rPr>
            <w:color w:val="0000EE"/>
            <w:u w:val="single"/>
          </w:rPr>
          <w:t>Nm 36.11–12</w:t>
        </w:r>
      </w:hyperlink>
      <w:r>
        <w:t>).</w:t>
      </w:r>
      <w:r/>
      <w:r/>
    </w:p>
    <w:p>
      <w:r/>
    </w:p>
    <w:p>
      <w:pPr>
        <w:pStyle w:val="Heading2"/>
      </w:pPr>
      <w:r>
        <w:t>Homã</w:t>
      </w:r>
      <w:r/>
    </w:p>
    <w:p>
      <w:r/>
      <w:r>
        <w:t>1. O filho de Lotã, irmão de Hori e descendente de Seir, o horita (</w:t>
      </w:r>
      <w:hyperlink r:id="rId10687">
        <w:r>
          <w:rPr>
            <w:color w:val="0000EE"/>
            <w:u w:val="single"/>
          </w:rPr>
          <w:t>Gn 36.22</w:t>
        </w:r>
      </w:hyperlink>
      <w:r>
        <w:t>).</w:t>
      </w:r>
    </w:p>
    <w:p>
      <w:r/>
      <w:r>
        <w:t>2. Filho de Maol, descendente de Zerá da tribo de Judá e um dos sábios cuja sabedoria foi superada pelo rei Salomão (</w:t>
      </w:r>
      <w:hyperlink r:id="rId328">
        <w:r>
          <w:rPr>
            <w:color w:val="0000EE"/>
            <w:u w:val="single"/>
          </w:rPr>
          <w:t>1Rs 4.31</w:t>
        </w:r>
      </w:hyperlink>
      <w:r>
        <w:t xml:space="preserve">; </w:t>
      </w:r>
      <w:hyperlink r:id="rId8601">
        <w:r>
          <w:rPr>
            <w:color w:val="0000EE"/>
            <w:u w:val="single"/>
          </w:rPr>
          <w:t>1Cr 2.6</w:t>
        </w:r>
      </w:hyperlink>
      <w:r>
        <w:t xml:space="preserve">). Ele é possivelmente o ezraíta e autor do </w:t>
      </w:r>
      <w:hyperlink r:id="rId10688">
        <w:r>
          <w:rPr>
            <w:color w:val="0000EE"/>
            <w:u w:val="single"/>
          </w:rPr>
          <w:t>Salmo 88</w:t>
        </w:r>
      </w:hyperlink>
      <w:r>
        <w:t>.</w:t>
      </w:r>
    </w:p>
    <w:p>
      <w:r/>
      <w:r>
        <w:t>3. Levita coatita, filho de Joel e um dos designados, junto com Asafe e Etã (também chamado Jedutum), por Davi para liderar os músicos no santuário (</w:t>
      </w:r>
      <w:hyperlink r:id="rId328">
        <w:r>
          <w:rPr>
            <w:color w:val="0000EE"/>
            <w:u w:val="single"/>
          </w:rPr>
          <w:t>1Rs 4.31</w:t>
        </w:r>
      </w:hyperlink>
      <w:r>
        <w:t xml:space="preserve">; </w:t>
      </w:r>
      <w:hyperlink r:id="rId8604">
        <w:r>
          <w:rPr>
            <w:color w:val="0000EE"/>
            <w:u w:val="single"/>
          </w:rPr>
          <w:t>15.17</w:t>
        </w:r>
      </w:hyperlink>
      <w:r>
        <w:t xml:space="preserve">; </w:t>
      </w:r>
      <w:hyperlink r:id="rId8607">
        <w:r>
          <w:rPr>
            <w:color w:val="0000EE"/>
            <w:u w:val="single"/>
          </w:rPr>
          <w:t>16.41</w:t>
        </w:r>
      </w:hyperlink>
      <w:r>
        <w:t>). Durante o transporte da arca da casa de Obede-Edom para Jerusalém, ele foi responsável por tocar os címbalos de bronze (</w:t>
      </w:r>
      <w:hyperlink r:id="rId10689">
        <w:r>
          <w:rPr>
            <w:color w:val="0000EE"/>
            <w:u w:val="single"/>
          </w:rPr>
          <w:t>1Cr 15.19</w:t>
        </w:r>
      </w:hyperlink>
      <w:r>
        <w:t xml:space="preserve">; </w:t>
      </w:r>
      <w:hyperlink r:id="rId10690">
        <w:r>
          <w:rPr>
            <w:color w:val="0000EE"/>
            <w:u w:val="single"/>
          </w:rPr>
          <w:t>2Cr 5.12</w:t>
        </w:r>
      </w:hyperlink>
      <w:r>
        <w:t>). Hemã foi pai de 14 filhos e 3 filhas, todos os quais serviram como músicos na casa do Senhor (</w:t>
      </w:r>
      <w:hyperlink r:id="rId10691">
        <w:r>
          <w:rPr>
            <w:color w:val="0000EE"/>
            <w:u w:val="single"/>
          </w:rPr>
          <w:t>1Cr 25.1–6</w:t>
        </w:r>
      </w:hyperlink>
      <w:r>
        <w:t xml:space="preserve">). Mais tarde, seus descendentes participaram da purificação do templo durante o reinado do rei Ezequias (715–686 a.C.; </w:t>
      </w:r>
      <w:hyperlink r:id="rId10692">
        <w:r>
          <w:rPr>
            <w:color w:val="0000EE"/>
            <w:u w:val="single"/>
          </w:rPr>
          <w:t>2Cr 29.14</w:t>
        </w:r>
      </w:hyperlink>
      <w:r>
        <w:t xml:space="preserve">) e ajudaram na celebração da Páscoa iniciada pelo rei Josias (640–609 a.C.; </w:t>
      </w:r>
      <w:hyperlink r:id="rId2650">
        <w:r>
          <w:rPr>
            <w:color w:val="0000EE"/>
            <w:u w:val="single"/>
          </w:rPr>
          <w:t>2Cr 35.15</w:t>
        </w:r>
      </w:hyperlink>
      <w:r>
        <w:t>).</w:t>
      </w:r>
      <w:r/>
      <w:r/>
    </w:p>
    <w:p>
      <w:r/>
    </w:p>
    <w:p>
      <w:pPr>
        <w:pStyle w:val="Heading2"/>
      </w:pPr>
      <w:r>
        <w:t>Homem</w:t>
      </w:r>
      <w:r/>
    </w:p>
    <w:p>
      <w:r/>
      <w:r>
        <w:t>Ser humano, seja homem ou mulher.</w:t>
      </w:r>
    </w:p>
    <w:p>
      <w:r/>
      <w:r>
        <w:t>O ensino bíblico sobre o homem começa com uma noção correta sobre Deus. A perspectiva bíblica da antropologia (ou seja, o estudo do homem) é centralmente exibida no contexto de uma teologia elevada (ou seja, o estudo de Deus). Uma visão alta e reverente de Deus leva a uma visão nobre e digna do homem, enquanto um conceito mal desenvolvido de Deus frequentemente produz uma perspectiva distorcida sobre o homem. Assim, o homem pode ser visto como mais importante do que deveria, ou o homem pode ser visto como menos importante do que é bíblico. Qualquer visão é sub-bíblica. O lugar para começar um estudo do homem (que neste artigo é usado como um termo genérico para ambos os seres humanos masculinos e femininos) é com uma visão de Deus, seu Criador.</w:t>
      </w:r>
    </w:p>
    <w:p>
      <w:pPr>
        <w:pStyle w:val="Heading3"/>
      </w:pPr>
      <w:r>
        <w:t>Origem do Homem</w:t>
      </w:r>
    </w:p>
    <w:p>
      <w:r/>
      <w:r>
        <w:t xml:space="preserve">Contra as teorias naturalistas e materialistas das origens, a visão bíblica começa com a afirmação de que o Deus eterno criou o homem, a mais significativa de todas as suas obras criadas. Não é necessário que alguém subscreva a um cenário cronológico específico para a obra de Deus na criação do homem. Alguns cristãos acreditam que a Bíblia ensina uma cronologia fechada em </w:t>
      </w:r>
      <w:hyperlink r:id="rId1452">
        <w:r>
          <w:rPr>
            <w:color w:val="0000EE"/>
            <w:u w:val="single"/>
          </w:rPr>
          <w:t>Gênesis 1</w:t>
        </w:r>
      </w:hyperlink>
      <w:r>
        <w:t xml:space="preserve"> composta de seis dias literais de 24 horas (cf. </w:t>
      </w:r>
      <w:hyperlink r:id="rId10693">
        <w:r>
          <w:rPr>
            <w:color w:val="0000EE"/>
            <w:u w:val="single"/>
          </w:rPr>
          <w:t>Gn 1.5,8,13</w:t>
        </w:r>
      </w:hyperlink>
      <w:r>
        <w:t xml:space="preserve">, etc.), com o aparecimento impressionante e súbito do homem ocorrendo talvez há apenas cerca de 6.000 anos (cf. as cronologias associadas, mas não limitadas ao arcebispo Tiago Ussher, </w:t>
      </w:r>
      <w:r>
        <w:rPr>
          <w:i/>
        </w:rPr>
        <w:t>Annales,</w:t>
      </w:r>
      <w:r>
        <w:t xml:space="preserve"> 1650–58). Alguns que sustentam esse ponto de vista geral (às vezes chamado de ciência da criação) estendem a criação do homem para cerca de 10.000 anos atrás, com base em uma visão de alguma elasticidade nas cronologias de </w:t>
      </w:r>
      <w:hyperlink r:id="rId6203">
        <w:r>
          <w:rPr>
            <w:color w:val="0000EE"/>
            <w:u w:val="single"/>
          </w:rPr>
          <w:t>Gênesis 5</w:t>
        </w:r>
      </w:hyperlink>
      <w:r>
        <w:t xml:space="preserve"> e </w:t>
      </w:r>
      <w:hyperlink r:id="rId158">
        <w:r>
          <w:rPr>
            <w:color w:val="0000EE"/>
            <w:u w:val="single"/>
          </w:rPr>
          <w:t>11</w:t>
        </w:r>
      </w:hyperlink>
      <w:r>
        <w:t>.</w:t>
      </w:r>
    </w:p>
    <w:p>
      <w:r/>
      <w:r>
        <w:t xml:space="preserve">Outros acreditam que os textos de </w:t>
      </w:r>
      <w:hyperlink r:id="rId1452">
        <w:r>
          <w:rPr>
            <w:color w:val="0000EE"/>
            <w:u w:val="single"/>
          </w:rPr>
          <w:t>Gn 1</w:t>
        </w:r>
      </w:hyperlink>
      <w:r>
        <w:t xml:space="preserve"> e </w:t>
      </w:r>
      <w:hyperlink r:id="rId10694">
        <w:r>
          <w:rPr>
            <w:color w:val="0000EE"/>
            <w:u w:val="single"/>
          </w:rPr>
          <w:t>2</w:t>
        </w:r>
      </w:hyperlink>
      <w:r>
        <w:t xml:space="preserve"> podem ser interpretados de forma muito mais ampla para falar de uma antiguidade muito remota para a criação do homem (estendendo-se a milhões de anos). Eles argumentam que o processo (sob o controle e direção de Deus) pode ter desempenhado um papel significativo na obra criativa de Deus. Este ponto de vista é melhor denominado criacionismo progressivo, e deve ser contrastado com a evolução teísta, na qual Deus é geralmente visto como iniciando o processo, mas tendo pouca participação uma vez que os processos estão em movimento. Na abordagem anterior, o termo hebraico “dia” </w:t>
      </w:r>
      <w:r>
        <w:rPr>
          <w:i/>
        </w:rPr>
        <w:t>(</w:t>
      </w:r>
      <w:r>
        <w:t>yom</w:t>
      </w:r>
      <w:r>
        <w:rPr>
          <w:i/>
        </w:rPr>
        <w:t>)</w:t>
      </w:r>
      <w:r>
        <w:t xml:space="preserve"> em </w:t>
      </w:r>
      <w:hyperlink r:id="rId1452">
        <w:r>
          <w:rPr>
            <w:color w:val="0000EE"/>
            <w:u w:val="single"/>
          </w:rPr>
          <w:t>Gênesis 1</w:t>
        </w:r>
      </w:hyperlink>
      <w:r>
        <w:t xml:space="preserve"> pode referir-se a um período de tempo prolongado (por exemplo, a teoria do “dia-era”); assim, a expressão “uma tarde e uma manhã, o </w:t>
      </w:r>
      <w:r>
        <w:rPr>
          <w:i/>
        </w:rPr>
        <w:t>x</w:t>
      </w:r>
      <w:r>
        <w:t>º dia” pode ser um recurso literário para apresentar cenas sucessivas nas obras criativas de Deus através dos processos do tempo.</w:t>
      </w:r>
    </w:p>
    <w:p>
      <w:r/>
      <w:r>
        <w:t>Muitos cristãos se encontram em algum lugar entre uma cronologia conservadora e uma ampla para a origem do homem. No entanto, apesar das preferências individuais, é necessário concordar com o trabalho criativo de Deus na produção do homem para pensar biblicamente sobre o homem. A essência da fé começa com as palavras "Eu creio em Deus Pai Todo-poderoso, Criador do céu e da terra".</w:t>
      </w:r>
    </w:p>
    <w:p>
      <w:r/>
      <w:r>
        <w:t xml:space="preserve">O homem não é apenas criação de Deus, mas também o auge de seu esforço criativo. Muito antes da precisão moderna nessas coisas, os antigos estavam cientes das semelhanças anatômicas do homem com membros do reino animal. No entanto, apesar dessas semelhanças, o ponto de vista bíblico nunca coloca o homem no mesmo nível dos animais — o homem é distinto, o ponto alto da obra criativa de Deus, o ápice de seu artesanato. A progressão das coisas criadas em </w:t>
      </w:r>
      <w:hyperlink r:id="rId1452">
        <w:r>
          <w:rPr>
            <w:color w:val="0000EE"/>
            <w:u w:val="single"/>
          </w:rPr>
          <w:t>Gênesis 1</w:t>
        </w:r>
      </w:hyperlink>
      <w:r>
        <w:t xml:space="preserve"> é climática; todo o trabalho criativo de Deus culminou em sua formação do homem.</w:t>
      </w:r>
    </w:p>
    <w:p>
      <w:r/>
      <w:r>
        <w:t>As características comportamentais distintas do homem incluem linguagem, fabricação de ferramentas e cultura. As características experienciais distintas incluem consciência reflexiva, preocupação ética, impulsos estéticos, consciência histórica e preocupação metafísica. Esses fatores, individual e coletivamente, separam o homem de outras formas de vida animal. O homem é muito mais do que o "macaco nu" de algumas teorias evolutivas modernas. Mas a sociologia por si só não é suficiente para explicar a plena natureza do homem. Esse é o assunto da revelação divina.</w:t>
      </w:r>
    </w:p>
    <w:p>
      <w:r/>
      <w:r>
        <w:t xml:space="preserve">Embora o homem tenha continuidade com a criação de Deus (assumido nas palavras de </w:t>
      </w:r>
      <w:hyperlink r:id="rId292">
        <w:r>
          <w:rPr>
            <w:color w:val="0000EE"/>
            <w:u w:val="single"/>
          </w:rPr>
          <w:t>Gn 2.7</w:t>
        </w:r>
      </w:hyperlink>
      <w:r>
        <w:t>, sendo formado do pó da terra), o homem também é distinto de tudo o que o precede porque Deus soprou nele o fôlego de vida para que se tornasse uma alma vivente (</w:t>
      </w:r>
      <w:hyperlink r:id="rId292">
        <w:r>
          <w:rPr>
            <w:color w:val="0000EE"/>
            <w:u w:val="single"/>
          </w:rPr>
          <w:t>2.7</w:t>
        </w:r>
      </w:hyperlink>
      <w:r>
        <w:t>). O homem foi criado por Deus como macho e fêmea (</w:t>
      </w:r>
      <w:hyperlink r:id="rId7403">
        <w:r>
          <w:rPr>
            <w:color w:val="0000EE"/>
            <w:u w:val="single"/>
          </w:rPr>
          <w:t>1.27</w:t>
        </w:r>
      </w:hyperlink>
      <w:r>
        <w:t xml:space="preserve">), significando que o que é dito geralmente sobre o homem deve ser dito tanto do macho quanto da fêmea, e que a imagem mais verdadeira do que significa ser humano será encontrada no contexto do homem e da mulher juntos. Os comandos para multiplicar e exercer soberania sobre a terra foram dados a ambos os sexos como responsabilidade compartilhada. Da mesma forma, é o homem como macho e fêmea que se rebelou contra Deus e suporta as consequências desse pecado primordial no mundo pós-queda, e é o homem como macho e fêmea que Cristo veio redimir (cf. </w:t>
      </w:r>
      <w:hyperlink r:id="rId5177">
        <w:r>
          <w:rPr>
            <w:color w:val="0000EE"/>
            <w:u w:val="single"/>
          </w:rPr>
          <w:t>Gl 3.28</w:t>
        </w:r>
      </w:hyperlink>
      <w:r>
        <w:t>). Ao mesmo tempo, as palavras “macho” e “fêmea” denotam verdadeiras distinções. Muitas diferenças de gênero percebidas podem ser condicionadas culturalmente, ainda assim as distinções sexuais primárias entre macho (hebraico, zakar</w:t>
      </w:r>
      <w:r>
        <w:rPr>
          <w:i/>
        </w:rPr>
        <w:t>,</w:t>
      </w:r>
      <w:r>
        <w:t xml:space="preserve"> “o perfurador”) e fêmea (hebraico, neqeba</w:t>
      </w:r>
      <w:r>
        <w:rPr>
          <w:i/>
        </w:rPr>
        <w:t>,</w:t>
      </w:r>
      <w:r>
        <w:t xml:space="preserve"> “a perfurada”) são divinamente intencionadas. É necessário tanto o macho quanto a fêmea para exibir a imagem completa de Deus (veja </w:t>
      </w:r>
      <w:hyperlink r:id="rId7403">
        <w:r>
          <w:rPr>
            <w:color w:val="0000EE"/>
            <w:u w:val="single"/>
          </w:rPr>
          <w:t>Gn 1.27</w:t>
        </w:r>
      </w:hyperlink>
      <w:r>
        <w:t>).</w:t>
      </w:r>
    </w:p>
    <w:p>
      <w:r/>
      <w:r>
        <w:t xml:space="preserve">De fato, a afirmação bíblica mais impressionante sobre o homem é que Deus fez o homem </w:t>
      </w:r>
      <w:r>
        <w:rPr>
          <w:i/>
        </w:rPr>
        <w:t>à sua imagem.</w:t>
      </w:r>
      <w:r>
        <w:t xml:space="preserve"> De nenhuma outra criatura, nem mesmo os anjos, tal declaração é encontrada. As palavras “à imagem de Deus” em </w:t>
      </w:r>
      <w:hyperlink r:id="rId7146">
        <w:r>
          <w:rPr>
            <w:color w:val="0000EE"/>
            <w:u w:val="single"/>
          </w:rPr>
          <w:t>Gênesis 1.26–28</w:t>
        </w:r>
      </w:hyperlink>
      <w:r>
        <w:t xml:space="preserve"> são a base para a paráfrase do salmista em </w:t>
      </w:r>
      <w:hyperlink r:id="rId3547">
        <w:r>
          <w:rPr>
            <w:color w:val="0000EE"/>
            <w:u w:val="single"/>
          </w:rPr>
          <w:t>Salmo 8.5</w:t>
        </w:r>
      </w:hyperlink>
      <w:r>
        <w:t xml:space="preserve">, “pois o fizeste pouco menor que Deus” (tradução literal; “inferior aos anjos”, tradução da Septuaginta). O significado da frase “a imagem de Deus” (Latim, </w:t>
      </w:r>
      <w:r>
        <w:rPr>
          <w:i/>
        </w:rPr>
        <w:t>imago Dei</w:t>
      </w:r>
      <w:r>
        <w:t xml:space="preserve">) tem sido objeto de muito debate. Alguns pensaram que a frase se refere a uma representação física de Deus, mas isso é duvidoso, pois Deus é espírito (cf. </w:t>
      </w:r>
      <w:hyperlink r:id="rId6811">
        <w:r>
          <w:rPr>
            <w:color w:val="0000EE"/>
            <w:u w:val="single"/>
          </w:rPr>
          <w:t>Jo 4.24</w:t>
        </w:r>
      </w:hyperlink>
      <w:r>
        <w:t>). Outros acreditam que a frase se refere à personalidade do homem, que corresponde à personalidade de Deus (tendo intelecto, sensibilidades e vontade). Tais qualidades do homem podem ser encontradas na imagem de Deus; no entanto, esses variados aspectos da personalidade também são compartilhados por outros membros do reino animal e não são exclusivos da espécie humana.</w:t>
      </w:r>
    </w:p>
    <w:p>
      <w:r/>
      <w:r>
        <w:t>O significado básico da palavra "imagem" (hebraico, tselem) é "sombra", "representação" ou "semelhança". A imagem de Deus no homem revela a perspectiva de Deus sobre o valor e a dignidade do homem como uma representação ou sombra de si mesmo no mundo criado. Reis antigos da Assíria eram conhecidos por ter imagens físicas de si mesmos colocadas em distritos distantes como um lembrete para aqueles que poderiam estar propensos a esquecer que essas áreas faziam parte do império. Assim, Deus colocou no homem uma sombra de si mesmo, uma representação de sua presença, no mundo que ele criou.</w:t>
      </w:r>
    </w:p>
    <w:p>
      <w:r/>
      <w:r>
        <w:t xml:space="preserve">Esta visão da imagem de Deus no homem parece ser confirmada pelo contexto imediato em </w:t>
      </w:r>
      <w:hyperlink r:id="rId1452">
        <w:r>
          <w:rPr>
            <w:color w:val="0000EE"/>
            <w:u w:val="single"/>
          </w:rPr>
          <w:t>Gênesis 1</w:t>
        </w:r>
      </w:hyperlink>
      <w:r>
        <w:t>. O homem, criado à imagem de Deus, deve ter domínio sobre todas as outras obras de Deus (</w:t>
      </w:r>
      <w:hyperlink r:id="rId9561">
        <w:r>
          <w:rPr>
            <w:color w:val="0000EE"/>
            <w:u w:val="single"/>
          </w:rPr>
          <w:t>Gn 1.26</w:t>
        </w:r>
      </w:hyperlink>
      <w:r>
        <w:t xml:space="preserve">; veja também </w:t>
      </w:r>
      <w:hyperlink r:id="rId3547">
        <w:r>
          <w:rPr>
            <w:color w:val="0000EE"/>
            <w:u w:val="single"/>
          </w:rPr>
          <w:t>Sl 8.5</w:t>
        </w:r>
      </w:hyperlink>
      <w:r>
        <w:t>). Além disso, como representante do Criador, o homem deve responder a ele. A afirmação de Jesus sobre a espiritualidade de Deus resulta em uma resposta de adoração em espírito e em verdade (</w:t>
      </w:r>
      <w:hyperlink r:id="rId10695">
        <w:r>
          <w:rPr>
            <w:color w:val="0000EE"/>
            <w:u w:val="single"/>
          </w:rPr>
          <w:t>Jo 4.21–24</w:t>
        </w:r>
      </w:hyperlink>
      <w:r>
        <w:t>).</w:t>
      </w:r>
    </w:p>
    <w:p>
      <w:pPr>
        <w:pStyle w:val="Heading3"/>
      </w:pPr>
      <w:r>
        <w:t>A natureza do homem</w:t>
      </w:r>
    </w:p>
    <w:p>
      <w:r/>
      <w:r>
        <w:t xml:space="preserve">Pode-se tender a pensar no homem em partes, mas a ênfase bíblica está no homem como um todo. Os debates continuam sobre a natureza tripartida (três partes) do homem (cf. </w:t>
      </w:r>
      <w:hyperlink r:id="rId943">
        <w:r>
          <w:rPr>
            <w:color w:val="0000EE"/>
            <w:u w:val="single"/>
          </w:rPr>
          <w:t>1 Ts 5.23</w:t>
        </w:r>
      </w:hyperlink>
      <w:r>
        <w:t>) — espírito, alma e corpo — em oposição à natureza bipartida (duas partes) do homem, material e imaterial. Embora a Bíblia pareça apoiar ambas as posições, a questão mais importante em relação à natureza do homem é sua unidade, em vez do número de suas partes. Assim, uma visão bíblica do homem começa na afirmação de que se é uma pessoa composta de propriedades físicas e não físicas. Nas palavras de Karl Barth, a pessoa humana é “alma corporal, como também é corpo com alma”. Não há pessoa apenas no corpo, nem se pode facilmente pensar em um espírito sem corpo como uma pessoa, exceto em um estado temporário e transitório. O termo hebraico nefesh</w:t>
      </w:r>
      <w:r>
        <w:rPr>
          <w:i/>
        </w:rPr>
        <w:t>,</w:t>
      </w:r>
      <w:r>
        <w:t xml:space="preserve"> muitas vezes traduzido como “alma”, é melhor traduzido como “pessoa” na maioria dos contextos. A palavra hebraica ruach (“sopro,” “vento,” “espírito”) e as palavras gregas pneuma (“espírito”) e psuche (“alma”) frequentemente falam da parte imaterial do homem. Isso não é menos real do que o físico. Uma visão puramente material e física do homem é assustadoramente deficiente. Ao mesmo tempo, uma ênfase excessiva no espírito e uma desvalorização do físico não é nem realista nem equilibrada. Pode-se dizer: “Sou uma pessoa cuja existência depende atualmente muito do meu corpo físico. Mas sou mais do que corpo, mais do que carne. Quando meu corpo morre, ainda vivo. Quando minha carne se decompõe, eu existo. Mas um dia viverei em um corpo novamente. Pois a noção de um espírito desencarnado não é a medida completa da minha humanidade. O ideal de Deus para mim é viver minha vida no meu [novo] corpo. Assim, na esperança do estado eterno, acredito na ressurreição do corpo e na vida Eterna”.</w:t>
      </w:r>
    </w:p>
    <w:p>
      <w:r/>
      <w:r>
        <w:t xml:space="preserve">Não se pode avançar muito ao pensar na natureza do homem do ponto de vista bíblico sem primeiro enfrentar o problema da queda. </w:t>
      </w:r>
      <w:hyperlink r:id="rId2628">
        <w:r>
          <w:rPr>
            <w:color w:val="0000EE"/>
            <w:u w:val="single"/>
          </w:rPr>
          <w:t>Gênesis 3</w:t>
        </w:r>
      </w:hyperlink>
      <w:r>
        <w:t xml:space="preserve"> sugere que o homem não caído era imortal, que seus poderes de reprodução sexual não estavam originalmente ligados à dor no parto, e que seu trabalho não era perturbado por reveses na natureza. Após a queda, no entanto, tudo mudou: dentro do próprio homem, entre o homem e a mulher, em sua interação com a natureza e em seu relacionamento com o Criador.</w:t>
      </w:r>
    </w:p>
    <w:p>
      <w:r/>
      <w:r>
        <w:t xml:space="preserve">Como resultado da queda, o homem tornou-se profundamente caído, uma queda que se estende a todas as partes de sua pessoa. A frase “depravação total” não precisa significar que alguém é tão mau quanto poderia ser, mas sim que os resultados do pecado afetam todo o seu ser. Ao mesmo tempo, a imagem de Deus no homem continua de alguma forma após a queda, fornecendo a justificativa divina para a salvação (cf. </w:t>
      </w:r>
      <w:hyperlink r:id="rId4416">
        <w:r>
          <w:rPr>
            <w:color w:val="0000EE"/>
            <w:u w:val="single"/>
          </w:rPr>
          <w:t>Rm 5</w:t>
        </w:r>
      </w:hyperlink>
      <w:r>
        <w:t>). É essencialmente por causa da estimativa de Deus sobre o valor intrínseco do homem que a justificação divina da salvação pode ser mantida.</w:t>
      </w:r>
    </w:p>
    <w:p>
      <w:r/>
      <w:r>
        <w:t>O antigo debate entre a bondade essencial e a disposição maligna do homem encontra seu dilema e resolução no relato de Gênesis: Deus fez o homem para refletir conscientemente a dignidade e nobreza do Criador, mas o homem, por sua própria rebelião deliberada, voltou-se contra seu Criador e continua, exceto pela graça de Deus, no pecado subsequente que marca sua vida. Este pecado resultante é tanto uma qualidade de ser na pessoa caída, quanto numerosos e contínuos atos de orgulho e egoísmo. Embora a imagem de Deus no homem tenha sido manchada pela queda, ela pode ser estimulada novamente pelo trabalho eficaz do Espírito de Deus quando alguém chega à novidade de vida em Cristo. Esta obra graciosa de Deus traz renovação pessoal, restauração de relacionamentos com outros e comunhão com Deus.</w:t>
      </w:r>
    </w:p>
    <w:p>
      <w:r/>
      <w:r>
        <w:t>O homem, então, que foi criado bom por Deus, tornou-se mau por seus próprios meios, mas no poder de Deus ele pode recuperar o bem novamente. A redescoberta do que significa ser plenamente humano é encontrada na vida de Jesus, cuja vida humana é o novo começo para o homem. Portanto, Jesus é o novo Adão; em seu modelo há um novo começo que substitui o padrão anterior.</w:t>
      </w:r>
    </w:p>
    <w:p>
      <w:pPr>
        <w:pStyle w:val="Heading3"/>
      </w:pPr>
      <w:r>
        <w:t>Destino do homem</w:t>
      </w:r>
    </w:p>
    <w:p>
      <w:r/>
      <w:r>
        <w:t>Uma visão bíblica do homem deve incluir uma declaração equilibrada sobre sua origem divina, sua rebelião contra a graça de Deus, seu julgamento e sua perspectiva de redenção na pessoa do Salvador Jesus com a promessa de vida eterna. O homem tem um começo e viverá para sempre. Esta afirmação está em forte contraste com as teorias naturalistas de origens e destinos. Uma das tendências mais enganosas do pensamento moderno é o conceito de "aceitar a morte". Pessoas sem pensamento de Deus e sem esperança para a eternidade estão encorajando umas às outras a aceitar o inevitável declínio e desaparecimento de seus corpos como o fim natural da vida humana. A noção bíblica é que a morte no homem não é natural de forma alguma.</w:t>
      </w:r>
    </w:p>
    <w:p>
      <w:r/>
      <w:r>
        <w:t>A morte é uma característica adquirida, não o Destino natural do homem. Pode-se dizer que a morte é do corpo, mas não do espírito. O ensino bíblico é que, enquanto o corpo morre e se decompõe, a pessoa continua a viver na esperança de um corpo renovado. Aqueles que conheceram Cristo estarão com ele quando seus corpos morrem (</w:t>
      </w:r>
      <w:hyperlink r:id="rId5076">
        <w:r>
          <w:rPr>
            <w:color w:val="0000EE"/>
            <w:u w:val="single"/>
          </w:rPr>
          <w:t>Fp 1.23</w:t>
        </w:r>
      </w:hyperlink>
      <w:r>
        <w:t>) e antecipam a ressurreição do corpo para a vida eterna que virá (</w:t>
      </w:r>
      <w:hyperlink r:id="rId10696">
        <w:r>
          <w:rPr>
            <w:color w:val="0000EE"/>
            <w:u w:val="single"/>
          </w:rPr>
          <w:t>1Co 15.35–49</w:t>
        </w:r>
      </w:hyperlink>
      <w:r>
        <w:t>). Aqueles que morrem separados de Cristo não deixam de existir, mas são destinados a uma existência eterna de conhecimento consciente de que estão separados de Deus e não alcançaram seu destino de desfrutar de sua presença para sempre. O ensino bíblico sobre o destino dos perdidos é bastante desagradável para o homem moderno. Mesmo cristãos que geralmente têm uma visão elevada da inspiração bíblica podem se sentir desconfortáveis com a ideia de punição eterna dos ímpios. No entanto, a doutrina bíblica do julgamento final dos ímpios é tão bem estabelecida quanto a maioria dos ensinamentos na Bíblia.</w:t>
      </w:r>
    </w:p>
    <w:p>
      <w:r/>
      <w:r>
        <w:t>Uma das verdades mais dramáticas nas Escrituras sobre a natureza do homem é perceber que foi por causa do homem que Deus iniciou a obra de salvação que levou à encarnação do eterno Filho de Deus. Após sua ressurreição e ascensão, o Senhor Jesus Cristo retornou à sua posição eterna de glória e majestade no céu, onde permanece para sempre como o Deus-homem. Como Deus, ele compartilha todos os atributos do Pai e do Espírito Santo, e como homem, identifica-se com o homem. Ele se revela em um corpo físico, embora seja o corpo da ressurreição, as primícias da ressurreição de todos os que são seus. A encarnação, então, trouxe uma mudança eterna na divindade. Somente uma visão muito elevada do valor do homem poderia ter levado Deus a uma mudança tão fundamental em si mesmo. Como o escritor aos Hebreus afirma, “Os filhos, como ele os chama, são pessoas de carne e sangue. E por isso o próprio Jesus se tornou igual a eles, tomando parte na natureza humana deles” (</w:t>
      </w:r>
      <w:hyperlink r:id="rId10412">
        <w:r>
          <w:rPr>
            <w:color w:val="0000EE"/>
            <w:u w:val="single"/>
          </w:rPr>
          <w:t>Hb 2.14</w:t>
        </w:r>
      </w:hyperlink>
      <w:r>
        <w:t>).</w:t>
      </w:r>
    </w:p>
    <w:p>
      <w:r/>
      <w:r>
        <w:t>A medida final da nossa humanidade é que o homem foi feito para adorar a Deus e desfrutá-lo para sempre. Tais pensamentos não são atribuídos a nenhum outro ser criado. Mesmo os anjos, que mantiveram seu estado perfeito e que adoram o Pai em felicidade consciente, não têm exatamente o mesmo relacionamento com Deus que os homens redimidos (</w:t>
      </w:r>
      <w:hyperlink r:id="rId10697">
        <w:r>
          <w:rPr>
            <w:color w:val="0000EE"/>
            <w:u w:val="single"/>
          </w:rPr>
          <w:t>Hb 2.16</w:t>
        </w:r>
      </w:hyperlink>
      <w:r>
        <w:t>).</w:t>
      </w:r>
    </w:p>
    <w:p>
      <w:r/>
      <w:r>
        <w:t>O que é o homem? Em Cristo, o homem é tudo o que Deus quer que ele seja, em majestade e dignidade, e em alegria diante de seu trono para sempre.</w:t>
      </w:r>
    </w:p>
    <w:p>
      <w:r/>
      <w:r>
        <w:rPr>
          <w:i/>
        </w:rPr>
        <w:t>Veja também</w:t>
      </w:r>
      <w:r>
        <w:t xml:space="preserve"> </w:t>
      </w:r>
      <w:r>
        <w:t>Imagem de Deus</w:t>
      </w:r>
      <w:r>
        <w:t xml:space="preserve">; </w:t>
      </w:r>
      <w:r>
        <w:t>Homem, Natural</w:t>
      </w:r>
      <w:r>
        <w:t xml:space="preserve">; </w:t>
      </w:r>
      <w:r>
        <w:t>Homem, Velho e Novo</w:t>
      </w:r>
      <w:r>
        <w:t>.</w:t>
      </w:r>
      <w:r/>
      <w:r/>
    </w:p>
    <w:p>
      <w:r/>
    </w:p>
    <w:p>
      <w:pPr>
        <w:pStyle w:val="Heading2"/>
      </w:pPr>
      <w:r>
        <w:t>Homem, Natural</w:t>
      </w:r>
      <w:r/>
    </w:p>
    <w:p>
      <w:r/>
      <w:r>
        <w:t xml:space="preserve">"Homem natural" é uma expressão que ocorre em </w:t>
      </w:r>
      <w:hyperlink r:id="rId944">
        <w:r>
          <w:rPr>
            <w:color w:val="0000EE"/>
            <w:u w:val="single"/>
          </w:rPr>
          <w:t>1 Coríntios 2.14</w:t>
        </w:r>
      </w:hyperlink>
      <w:r>
        <w:t xml:space="preserve"> em certas traduções da Bíblia. A palavra traduzida como "natural" também é encontrada em </w:t>
      </w:r>
      <w:hyperlink r:id="rId5977">
        <w:r>
          <w:rPr>
            <w:color w:val="0000EE"/>
            <w:u w:val="single"/>
          </w:rPr>
          <w:t>1 Coríntios 15.44,46</w:t>
        </w:r>
      </w:hyperlink>
      <w:r>
        <w:t xml:space="preserve">; </w:t>
      </w:r>
      <w:hyperlink r:id="rId10698">
        <w:r>
          <w:rPr>
            <w:color w:val="0000EE"/>
            <w:u w:val="single"/>
          </w:rPr>
          <w:t>Tiago 3.15</w:t>
        </w:r>
      </w:hyperlink>
      <w:r>
        <w:t xml:space="preserve">; e </w:t>
      </w:r>
      <w:hyperlink r:id="rId10699">
        <w:r>
          <w:rPr>
            <w:color w:val="0000EE"/>
            <w:u w:val="single"/>
          </w:rPr>
          <w:t>Judas 1.19</w:t>
        </w:r>
      </w:hyperlink>
      <w:r>
        <w:t>.</w:t>
      </w:r>
    </w:p>
    <w:p>
      <w:pPr>
        <w:pStyle w:val="Heading3"/>
      </w:pPr>
      <w:r>
        <w:t>O que "homem natural" significa?</w:t>
      </w:r>
    </w:p>
    <w:p>
      <w:r/>
      <w:r>
        <w:t>Esta expressão está relacionada ao substantivo grego geralmente traduzido como "alma". O significado é determinado pelo contexto. Em 1 Coríntios, todos os quatro usos são contrastados com "espiritual", uma palavra comum nos escritos de Paulo. Em quase todas as instâncias, "espiritual" refere-se à obra do Espírito Santo.</w:t>
      </w:r>
    </w:p>
    <w:p>
      <w:r/>
      <w:r>
        <w:t>Aplicado a coisas, "espiritual" significa vindo do, ou produzido pelo, Espírito Santo. Os autores do Novo Testamento descrevem várias coisas como "espirituais":</w:t>
      </w:r>
    </w:p>
    <w:p>
      <w:pPr>
        <w:pStyle w:val="ListBullet"/>
        <w:spacing w:line="240" w:lineRule="auto"/>
        <w:ind w:left="720"/>
      </w:pPr>
      <w:r/>
      <w:r>
        <w:t xml:space="preserve">Paulo descreve a lei como "espiritual" em </w:t>
      </w:r>
      <w:hyperlink r:id="rId10700">
        <w:r>
          <w:rPr>
            <w:color w:val="0000EE"/>
            <w:u w:val="single"/>
          </w:rPr>
          <w:t>Romanos 7.14</w:t>
        </w:r>
      </w:hyperlink>
      <w:r>
        <w:t>;</w:t>
      </w:r>
    </w:p>
    <w:p>
      <w:pPr>
        <w:pStyle w:val="ListBullet"/>
        <w:spacing w:line="240" w:lineRule="auto"/>
        <w:ind w:left="720"/>
      </w:pPr>
      <w:r/>
      <w:r>
        <w:t xml:space="preserve">Paulo descreve os dons como "espirituais" em </w:t>
      </w:r>
      <w:hyperlink r:id="rId10701">
        <w:r>
          <w:rPr>
            <w:color w:val="0000EE"/>
            <w:u w:val="single"/>
          </w:rPr>
          <w:t>1 Coríntios 12.1</w:t>
        </w:r>
      </w:hyperlink>
      <w:r>
        <w:t>;</w:t>
      </w:r>
    </w:p>
    <w:p>
      <w:pPr>
        <w:pStyle w:val="ListBullet"/>
        <w:spacing w:line="240" w:lineRule="auto"/>
        <w:ind w:left="720"/>
      </w:pPr>
      <w:r/>
      <w:r>
        <w:t xml:space="preserve">Paulo descreve as bênçãos como "espirituais" em </w:t>
      </w:r>
      <w:hyperlink r:id="rId4782">
        <w:r>
          <w:rPr>
            <w:color w:val="0000EE"/>
            <w:u w:val="single"/>
          </w:rPr>
          <w:t>Efésios 1.3</w:t>
        </w:r>
      </w:hyperlink>
      <w:r>
        <w:t>;</w:t>
      </w:r>
    </w:p>
    <w:p>
      <w:pPr>
        <w:pStyle w:val="ListBullet"/>
        <w:spacing w:line="240" w:lineRule="auto"/>
        <w:ind w:left="720"/>
      </w:pPr>
      <w:r/>
      <w:r>
        <w:t xml:space="preserve">Pedro descreve os sacrifícios como "espirituais" em </w:t>
      </w:r>
      <w:hyperlink r:id="rId4509">
        <w:r>
          <w:rPr>
            <w:color w:val="0000EE"/>
            <w:u w:val="single"/>
          </w:rPr>
          <w:t>1 Pedro 2.5</w:t>
        </w:r>
      </w:hyperlink>
      <w:r>
        <w:t>.</w:t>
      </w:r>
    </w:p>
    <w:p>
      <w:r/>
      <w:r>
        <w:t>Quando a palavra é aplicada a pessoas, significa motivada e dirigida pelo Espírito Santo (</w:t>
      </w:r>
      <w:hyperlink r:id="rId10702">
        <w:r>
          <w:rPr>
            <w:color w:val="0000EE"/>
            <w:u w:val="single"/>
          </w:rPr>
          <w:t>1 Coríntios 2.15</w:t>
        </w:r>
      </w:hyperlink>
      <w:r>
        <w:t xml:space="preserve">; </w:t>
      </w:r>
      <w:hyperlink r:id="rId3770">
        <w:r>
          <w:rPr>
            <w:color w:val="0000EE"/>
            <w:u w:val="single"/>
          </w:rPr>
          <w:t>14.37</w:t>
        </w:r>
      </w:hyperlink>
      <w:r>
        <w:t xml:space="preserve">; </w:t>
      </w:r>
      <w:hyperlink r:id="rId5321">
        <w:r>
          <w:rPr>
            <w:color w:val="0000EE"/>
            <w:u w:val="single"/>
          </w:rPr>
          <w:t>Gálatas 6.1</w:t>
        </w:r>
      </w:hyperlink>
      <w:r>
        <w:t>). "Natural" é contrastado com "espiritual", então geralmente descreve o que está vazio ou é oposto ao Espírito Santo e seu trabalho.</w:t>
      </w:r>
    </w:p>
    <w:p>
      <w:pPr>
        <w:pStyle w:val="Heading3"/>
      </w:pPr>
      <w:r>
        <w:t>Diferenças entre o natural e o espiritual na Bíblia</w:t>
      </w:r>
    </w:p>
    <w:p>
      <w:r/>
      <w:r>
        <w:t xml:space="preserve">Em </w:t>
      </w:r>
      <w:hyperlink r:id="rId10703">
        <w:r>
          <w:rPr>
            <w:color w:val="0000EE"/>
            <w:u w:val="single"/>
          </w:rPr>
          <w:t>1 Coríntios 2.14–15</w:t>
        </w:r>
      </w:hyperlink>
      <w:r>
        <w:t>, o "homem natural" é colocado em contraste com o "homem espiritual". Neste contexto, o homem natural é aquele que não aceita as coisas que vêm do espírito de Deus (</w:t>
      </w:r>
      <w:hyperlink r:id="rId944">
        <w:r>
          <w:rPr>
            <w:color w:val="0000EE"/>
            <w:u w:val="single"/>
          </w:rPr>
          <w:t>1 Coríntios 2.14</w:t>
        </w:r>
      </w:hyperlink>
      <w:r>
        <w:t>). Pelo contrário, essas coisas são "loucura" para ele. Ele não pode entendê-las porque são "espiritualmente discernidas". Essa loucura é a loucura da incredulidade (</w:t>
      </w:r>
      <w:hyperlink r:id="rId10704">
        <w:r>
          <w:rPr>
            <w:color w:val="0000EE"/>
            <w:u w:val="single"/>
          </w:rPr>
          <w:t>1.21</w:t>
        </w:r>
      </w:hyperlink>
      <w:r>
        <w:t>), e o que falta é a percepção que só pode ser produzida pelo Espírito Santo. Claramente, Paulo tem em mente alguém sem, ou até mesmo oposto ao, Espírito Santo e à verdade revelada de Deus.</w:t>
      </w:r>
    </w:p>
    <w:p>
      <w:r/>
      <w:r>
        <w:t xml:space="preserve">Em </w:t>
      </w:r>
      <w:hyperlink r:id="rId10705">
        <w:r>
          <w:rPr>
            <w:color w:val="0000EE"/>
            <w:u w:val="single"/>
          </w:rPr>
          <w:t>1 Coríntios 15.44–46</w:t>
        </w:r>
      </w:hyperlink>
      <w:r>
        <w:t xml:space="preserve">, o contraste entre espiritual e natural ocorre em um contexto diferente. O "corpo" na morte é comparado ao "corpo" na ressurreição. O corpo do crente colocado no túmulo ("semeado") é um corpo natural (versículo </w:t>
      </w:r>
      <w:hyperlink r:id="rId5977">
        <w:r>
          <w:rPr>
            <w:color w:val="0000EE"/>
            <w:u w:val="single"/>
          </w:rPr>
          <w:t>44</w:t>
        </w:r>
      </w:hyperlink>
      <w:r>
        <w:t>a). O corpo do crente ressuscitado dos mortos será um corpo espiritual. O corpo ressuscitado será renovado e transformado pelo Espírito Santo (</w:t>
      </w:r>
      <w:hyperlink r:id="rId8412">
        <w:r>
          <w:rPr>
            <w:color w:val="0000EE"/>
            <w:u w:val="single"/>
          </w:rPr>
          <w:t>Romanos 8.11</w:t>
        </w:r>
      </w:hyperlink>
      <w:r>
        <w:t>).</w:t>
      </w:r>
    </w:p>
    <w:p>
      <w:r/>
      <w:r>
        <w:t xml:space="preserve">Em </w:t>
      </w:r>
      <w:hyperlink r:id="rId5977">
        <w:r>
          <w:rPr>
            <w:color w:val="0000EE"/>
            <w:u w:val="single"/>
          </w:rPr>
          <w:t>1 Coríntios 15.44b</w:t>
        </w:r>
      </w:hyperlink>
      <w:r>
        <w:t xml:space="preserve"> e </w:t>
      </w:r>
      <w:hyperlink r:id="rId8423">
        <w:r>
          <w:rPr>
            <w:color w:val="0000EE"/>
            <w:u w:val="single"/>
          </w:rPr>
          <w:t>45a</w:t>
        </w:r>
      </w:hyperlink>
      <w:r>
        <w:t>, no entanto, Paulo conecta o "corpo natural" a Adão antes da queda, quando Deus o criou (</w:t>
      </w:r>
      <w:hyperlink r:id="rId292">
        <w:r>
          <w:rPr>
            <w:color w:val="0000EE"/>
            <w:u w:val="single"/>
          </w:rPr>
          <w:t>Gênesis 2.7)</w:t>
        </w:r>
      </w:hyperlink>
      <w:r>
        <w:t>. Isso mostra que o que é natural refere-se à criação. Como criado originalmente por Deus, o "natural" era "muito bom" (</w:t>
      </w:r>
      <w:hyperlink r:id="rId10706">
        <w:r>
          <w:rPr>
            <w:color w:val="0000EE"/>
            <w:u w:val="single"/>
          </w:rPr>
          <w:t>Gênesis 1.31</w:t>
        </w:r>
      </w:hyperlink>
      <w:r>
        <w:t>). O pecado humano corrompeu o natural para a condenação da morte. Portanto, a rebelião pecaminosa do homem natural, medida pela criação original, agora é antinatural e anormal. O trabalho do Espírito Santo agora, em Cristo, é remover essa anormalidade e cumprir os propósitos originais da criação (</w:t>
      </w:r>
      <w:hyperlink r:id="rId10707">
        <w:r>
          <w:rPr>
            <w:color w:val="0000EE"/>
            <w:u w:val="single"/>
          </w:rPr>
          <w:t>Romanos 8.19</w:t>
        </w:r>
      </w:hyperlink>
      <w:hyperlink r:id="rId10705">
        <w:r>
          <w:rPr>
            <w:color w:val="0000EE"/>
            <w:u w:val="single"/>
          </w:rPr>
          <w:t>–</w:t>
        </w:r>
      </w:hyperlink>
      <w:hyperlink r:id="rId10707">
        <w:r>
          <w:rPr>
            <w:color w:val="0000EE"/>
            <w:u w:val="single"/>
          </w:rPr>
          <w:t>22</w:t>
        </w:r>
      </w:hyperlink>
      <w:r>
        <w:t xml:space="preserve">; </w:t>
      </w:r>
      <w:hyperlink r:id="rId374">
        <w:r>
          <w:rPr>
            <w:color w:val="0000EE"/>
            <w:u w:val="single"/>
          </w:rPr>
          <w:t>2 Coríntios 5.17</w:t>
        </w:r>
      </w:hyperlink>
      <w:r>
        <w:t>).</w:t>
      </w:r>
    </w:p>
    <w:p>
      <w:r/>
      <w:r>
        <w:rPr>
          <w:i/>
        </w:rPr>
        <w:t>Veja também</w:t>
      </w:r>
      <w:r>
        <w:t xml:space="preserve"> </w:t>
      </w:r>
      <w:r>
        <w:t>Homem</w:t>
      </w:r>
      <w:r>
        <w:t xml:space="preserve">; </w:t>
      </w:r>
      <w:r>
        <w:t>Homem, Velho e novo</w:t>
      </w:r>
      <w:r>
        <w:t>.</w:t>
      </w:r>
      <w:r/>
      <w:r/>
    </w:p>
    <w:p>
      <w:r/>
    </w:p>
    <w:p>
      <w:pPr>
        <w:pStyle w:val="Heading2"/>
      </w:pPr>
      <w:r>
        <w:t>Homem, Velho e novo</w:t>
      </w:r>
      <w:r/>
    </w:p>
    <w:p>
      <w:r/>
      <w:r>
        <w:t>Termos bíblicos usados para descrever o estado do homem em relação a Cristo. Os seres humanos são criados à imagem de Deus e são feitos para ter comunhão com ele (</w:t>
      </w:r>
      <w:hyperlink r:id="rId6087">
        <w:r>
          <w:rPr>
            <w:color w:val="0000EE"/>
            <w:u w:val="single"/>
          </w:rPr>
          <w:t>Gn 1.26–27</w:t>
        </w:r>
      </w:hyperlink>
      <w:r>
        <w:t>). Deus revelou a Adão e Eva sua vontade em uma situação específica (</w:t>
      </w:r>
      <w:hyperlink r:id="rId10708">
        <w:r>
          <w:rPr>
            <w:color w:val="0000EE"/>
            <w:u w:val="single"/>
          </w:rPr>
          <w:t>2.15–17</w:t>
        </w:r>
      </w:hyperlink>
      <w:r>
        <w:t>), mas eles usaram a liberdade de sua vontade para desobedecer ao mandamento de Deus (</w:t>
      </w:r>
      <w:hyperlink r:id="rId10709">
        <w:r>
          <w:rPr>
            <w:color w:val="0000EE"/>
            <w:u w:val="single"/>
          </w:rPr>
          <w:t>3.1–7</w:t>
        </w:r>
      </w:hyperlink>
      <w:r>
        <w:t>). Assim, a raça humana está morta em pecado (</w:t>
      </w:r>
      <w:hyperlink r:id="rId360">
        <w:r>
          <w:rPr>
            <w:color w:val="0000EE"/>
            <w:u w:val="single"/>
          </w:rPr>
          <w:t>Rm 5.12–21</w:t>
        </w:r>
      </w:hyperlink>
      <w:r>
        <w:t xml:space="preserve">; </w:t>
      </w:r>
      <w:hyperlink r:id="rId10710">
        <w:r>
          <w:rPr>
            <w:color w:val="0000EE"/>
            <w:u w:val="single"/>
          </w:rPr>
          <w:t>Ef 2.1–3</w:t>
        </w:r>
      </w:hyperlink>
      <w:r>
        <w:t>). O pecado de Adão e Eva foi transmitido a toda a humanidade (pecado original). Nascidos com a tendência ao pecado (</w:t>
      </w:r>
      <w:hyperlink r:id="rId7320">
        <w:r>
          <w:rPr>
            <w:color w:val="0000EE"/>
            <w:u w:val="single"/>
          </w:rPr>
          <w:t>Sl 51.5</w:t>
        </w:r>
      </w:hyperlink>
      <w:r>
        <w:t>), assim que a idade de responsabilidade moral é alcançada, os indivíduos começam a cometer seus próprios pecados. Paulo usa o termo “velho homem” para se referir a essa condição. O velho homem pode cumprir certas partes da lei e fazer várias coisas boas. Mas nenhum velho homem pode fazer coisas boas o suficiente para ganhar sua própria salvação. O velho homem deve ser transformado em um novo homem ou sofrerá as consequências de seu pecado. Somente Deus pode realizar essa mudança radical. Os seres humanos só podem aceitar pela fé o gracioso dom de Deus.</w:t>
      </w:r>
    </w:p>
    <w:p>
      <w:r/>
      <w:r>
        <w:t xml:space="preserve">Davi, no </w:t>
      </w:r>
      <w:hyperlink r:id="rId2603">
        <w:r>
          <w:rPr>
            <w:color w:val="0000EE"/>
            <w:u w:val="single"/>
          </w:rPr>
          <w:t>Salmo 51</w:t>
        </w:r>
      </w:hyperlink>
      <w:r>
        <w:t xml:space="preserve">, clama a Deus para tirar a culpa de seus pecados. No versículo </w:t>
      </w:r>
      <w:hyperlink r:id="rId5725">
        <w:r>
          <w:rPr>
            <w:color w:val="0000EE"/>
            <w:u w:val="single"/>
          </w:rPr>
          <w:t>10</w:t>
        </w:r>
      </w:hyperlink>
      <w:r>
        <w:t xml:space="preserve">, ele suplica: “Ó Deus, cria em mim um coração puro e dá-me uma vontade nova e firme!” (NTLH). Deus promete em </w:t>
      </w:r>
      <w:hyperlink r:id="rId5686">
        <w:r>
          <w:rPr>
            <w:color w:val="0000EE"/>
            <w:u w:val="single"/>
          </w:rPr>
          <w:t>Ezequiel 11.19</w:t>
        </w:r>
      </w:hyperlink>
      <w:r>
        <w:t xml:space="preserve">, </w:t>
      </w:r>
      <w:hyperlink r:id="rId10711">
        <w:r>
          <w:rPr>
            <w:color w:val="0000EE"/>
            <w:u w:val="single"/>
          </w:rPr>
          <w:t>18.31</w:t>
        </w:r>
      </w:hyperlink>
      <w:r>
        <w:t xml:space="preserve"> e </w:t>
      </w:r>
      <w:hyperlink r:id="rId10712">
        <w:r>
          <w:rPr>
            <w:color w:val="0000EE"/>
            <w:u w:val="single"/>
          </w:rPr>
          <w:t>36.26</w:t>
        </w:r>
      </w:hyperlink>
      <w:r>
        <w:t xml:space="preserve"> dar aos pecadores arrependidos um novo coração e um novo espírito. Em </w:t>
      </w:r>
      <w:hyperlink r:id="rId10713">
        <w:r>
          <w:rPr>
            <w:color w:val="0000EE"/>
            <w:u w:val="single"/>
          </w:rPr>
          <w:t>Romanos 6.5–11</w:t>
        </w:r>
      </w:hyperlink>
      <w:r>
        <w:t>, Paulo mostra como a velha natureza foi crucificada com Cristo, para que ele possa concluir: “Assim também vocês devem considerar-se mortos para o pecado e vivos para Deus em Cristo Jesus” (</w:t>
      </w:r>
      <w:hyperlink r:id="rId4319">
        <w:r>
          <w:rPr>
            <w:color w:val="0000EE"/>
            <w:u w:val="single"/>
          </w:rPr>
          <w:t>6.11</w:t>
        </w:r>
      </w:hyperlink>
      <w:r>
        <w:t xml:space="preserve">). Em </w:t>
      </w:r>
      <w:hyperlink r:id="rId10714">
        <w:r>
          <w:rPr>
            <w:color w:val="0000EE"/>
            <w:u w:val="single"/>
          </w:rPr>
          <w:t>Efésios 4.22–24</w:t>
        </w:r>
      </w:hyperlink>
      <w:r>
        <w:t xml:space="preserve"> e </w:t>
      </w:r>
      <w:hyperlink r:id="rId373">
        <w:r>
          <w:rPr>
            <w:color w:val="0000EE"/>
            <w:u w:val="single"/>
          </w:rPr>
          <w:t>Colossenses 3.9–10</w:t>
        </w:r>
      </w:hyperlink>
      <w:r>
        <w:t>, ele mostra ao crente que ele se despojou do velho homem e se revestiu do novo homem. Jesus fala dessa transformação radical como nascer de novo — não um segundo nascimento físico, como Nicodemos pensou, mas um nascimento espiritual (</w:t>
      </w:r>
      <w:hyperlink r:id="rId10715">
        <w:r>
          <w:rPr>
            <w:color w:val="0000EE"/>
            <w:u w:val="single"/>
          </w:rPr>
          <w:t>Jo 3.6</w:t>
        </w:r>
      </w:hyperlink>
      <w:r>
        <w:t>). Somente a graça de Deus pode transformar o velho homem no novo homem. O velho homem aceita o gracioso dom de Deus pela fé, mas até mesmo essa fé é um dom de Deus (</w:t>
      </w:r>
      <w:hyperlink r:id="rId10716">
        <w:r>
          <w:rPr>
            <w:color w:val="0000EE"/>
            <w:u w:val="single"/>
          </w:rPr>
          <w:t>Ef 2.8</w:t>
        </w:r>
      </w:hyperlink>
      <w:r>
        <w:t>). O novo homem se torna um filho de Deus. Ele não se torna imediatamente perfeito. Ele deve lutar contra o pecado ao longo desta vida enquanto se esforça para se aproximar cada vez mais do ideal de santidade perfeita. Ele alcançará essa perfeição apenas na ressurreição que está por vir (</w:t>
      </w:r>
      <w:hyperlink r:id="rId10717">
        <w:r>
          <w:rPr>
            <w:color w:val="0000EE"/>
            <w:u w:val="single"/>
          </w:rPr>
          <w:t>1Co 15.42–45</w:t>
        </w:r>
      </w:hyperlink>
      <w:r>
        <w:t>), quando todas as coisas serão feitas novas (</w:t>
      </w:r>
      <w:hyperlink r:id="rId10718">
        <w:r>
          <w:rPr>
            <w:color w:val="0000EE"/>
            <w:u w:val="single"/>
          </w:rPr>
          <w:t>Ap 21.5</w:t>
        </w:r>
      </w:hyperlink>
      <w:r>
        <w:t>).</w:t>
      </w:r>
    </w:p>
    <w:p>
      <w:r/>
      <w:r>
        <w:rPr>
          <w:i/>
        </w:rPr>
        <w:t>Veja também</w:t>
      </w:r>
      <w:r>
        <w:t xml:space="preserve"> </w:t>
      </w:r>
      <w:r>
        <w:t>Adão (Pessoa)</w:t>
      </w:r>
      <w:r>
        <w:t xml:space="preserve">; </w:t>
      </w:r>
      <w:r>
        <w:t>Homem</w:t>
      </w:r>
      <w:r>
        <w:t xml:space="preserve">; </w:t>
      </w:r>
      <w:r>
        <w:t>Homem, Natural</w:t>
      </w:r>
      <w:r>
        <w:t xml:space="preserve">; </w:t>
      </w:r>
      <w:r>
        <w:t>Regeneração</w:t>
      </w:r>
      <w:r>
        <w:t>.</w:t>
      </w:r>
      <w:r/>
      <w:r/>
    </w:p>
    <w:p>
      <w:r/>
    </w:p>
    <w:p>
      <w:pPr>
        <w:pStyle w:val="Heading2"/>
      </w:pPr>
      <w:r>
        <w:t>Homens livres</w:t>
      </w:r>
      <w:r/>
    </w:p>
    <w:p>
      <w:r/>
      <w:r>
        <w:t xml:space="preserve">A tradução da Nova Tradução na Linguagem de Hoje de "Libertos" em </w:t>
      </w:r>
      <w:hyperlink r:id="rId743">
        <w:r>
          <w:rPr>
            <w:color w:val="0000EE"/>
            <w:u w:val="single"/>
          </w:rPr>
          <w:t>At 6.9</w:t>
        </w:r>
      </w:hyperlink>
      <w:r>
        <w:t>. Estes eram ex-escravos que haviam obtido sua liberdade.</w:t>
      </w:r>
    </w:p>
    <w:p>
      <w:r/>
      <w:r>
        <w:rPr>
          <w:i/>
        </w:rPr>
        <w:t>Veja</w:t>
      </w:r>
      <w:r>
        <w:t xml:space="preserve"> </w:t>
      </w:r>
      <w:r>
        <w:t>Libertos</w:t>
      </w:r>
      <w:r>
        <w:t>.</w:t>
      </w:r>
      <w:r/>
      <w:r/>
    </w:p>
    <w:p>
      <w:r/>
    </w:p>
    <w:p>
      <w:pPr>
        <w:pStyle w:val="Heading2"/>
      </w:pPr>
      <w:r>
        <w:t>Honra</w:t>
      </w:r>
      <w:r/>
    </w:p>
    <w:p>
      <w:r/>
      <w:r>
        <w:t>Honra é o respeito, a boa reputação e a alta consideração que alguém recebe devido ao seu caráter ou ações. Também significa agir de maneira correta e pura.</w:t>
      </w:r>
    </w:p>
    <w:p>
      <w:pPr>
        <w:pStyle w:val="Heading3"/>
      </w:pPr>
      <w:r>
        <w:t>Honra no mundo antigo</w:t>
      </w:r>
    </w:p>
    <w:p>
      <w:r/>
      <w:r>
        <w:t>Nos tempos antigos, as pessoas frequentemente associavam honra com riqueza e posses. Por exemplo, nas histórias gregas, a honra do herói Odisseu dependia de recuperar seus pertences, e outro herói chamado Aquiles ganhava honra através dos presentes que recebia. Mais tarde, a palavra adquiriu a forte natureza ética com a qual agora a associamos. Platão foi um dos primeiros a ensinar que a honra tem uma qualidade pessoal e moral. Ele chamou isso de "honra interior". O mundo distingue uma pessoa com "honras exteriores". Platão ensinou que essas honras não têm valor definitivo. O que distingue ainda mais uma pessoa é o valor interior adquirido pela prática de uma vida virtuosa. Tanto os gregos quanto os romanos acreditavam que a honra era muito importante na vida.</w:t>
      </w:r>
    </w:p>
    <w:p>
      <w:pPr>
        <w:pStyle w:val="Heading3"/>
      </w:pPr>
      <w:r>
        <w:t>Honra na Bíblia</w:t>
      </w:r>
    </w:p>
    <w:p>
      <w:r/>
      <w:r>
        <w:t>A Bíblia nos oferece a compreensão mais verdadeira de honra. O Antigo Testamento exigia que os filhos honrassem seus pais (</w:t>
      </w:r>
      <w:hyperlink r:id="rId5750">
        <w:r>
          <w:rPr>
            <w:color w:val="0000EE"/>
            <w:u w:val="single"/>
          </w:rPr>
          <w:t>Êx 20.12</w:t>
        </w:r>
      </w:hyperlink>
      <w:r>
        <w:t>). Este mandamento aparece novamente no ensino ético do Novo Testamento (</w:t>
      </w:r>
      <w:hyperlink r:id="rId10719">
        <w:r>
          <w:rPr>
            <w:color w:val="0000EE"/>
            <w:u w:val="single"/>
          </w:rPr>
          <w:t>Ef 6.1–2</w:t>
        </w:r>
      </w:hyperlink>
      <w:r>
        <w:t>). Ainda mais importante é dar honra a Deus, que merece nossa completa obediência (</w:t>
      </w:r>
      <w:hyperlink r:id="rId10720">
        <w:r>
          <w:rPr>
            <w:color w:val="0000EE"/>
            <w:u w:val="single"/>
          </w:rPr>
          <w:t>Ap 4.11</w:t>
        </w:r>
      </w:hyperlink>
      <w:r>
        <w:t xml:space="preserve">). </w:t>
      </w:r>
      <w:hyperlink r:id="rId10721">
        <w:r>
          <w:rPr>
            <w:color w:val="0000EE"/>
            <w:u w:val="single"/>
          </w:rPr>
          <w:t>Pv 3.9</w:t>
        </w:r>
      </w:hyperlink>
      <w:r>
        <w:t xml:space="preserve"> nos ensina o que a lei exige: "Honra o Senhor com os teus bens e com as primícias de toda a tua colheita". Isso significa que devemos dedicar tanto nossas vidas quanto nossos pertences ao serviço de Deus.</w:t>
      </w:r>
    </w:p>
    <w:p>
      <w:r/>
      <w:r>
        <w:t>A Bíblia nos diz que as pessoas muitas vezes falham em honrar a Deus adequadamente. Ao longo da história, apenas Jesus Cristo honrou perfeitamente a Deus Pai ao seguir completamente a vontade de Deus. Isso levou Jesus a morrer na cruz, através da qual Deus o honrou grandemente (</w:t>
      </w:r>
      <w:hyperlink r:id="rId3610">
        <w:r>
          <w:rPr>
            <w:color w:val="0000EE"/>
            <w:u w:val="single"/>
          </w:rPr>
          <w:t>Is 52.13–53.12</w:t>
        </w:r>
      </w:hyperlink>
      <w:r>
        <w:t>). Deus Pai ressuscitou Jesus para sua posição permanente como nosso Grande Sumo Sacerdote, uma honra muito grande (</w:t>
      </w:r>
      <w:hyperlink r:id="rId10722">
        <w:r>
          <w:rPr>
            <w:color w:val="0000EE"/>
            <w:u w:val="single"/>
          </w:rPr>
          <w:t>Hb 5.4–5</w:t>
        </w:r>
      </w:hyperlink>
      <w:r>
        <w:t>). Jesus ensinou que seu Pai honraria qualquer um que o servisse (</w:t>
      </w:r>
      <w:hyperlink r:id="rId10723">
        <w:r>
          <w:rPr>
            <w:color w:val="0000EE"/>
            <w:u w:val="single"/>
          </w:rPr>
          <w:t>Jo 12.26</w:t>
        </w:r>
      </w:hyperlink>
      <w:r>
        <w:t>). No entanto, aqueles que rejeitam Jesus também rejeitam Deus Pai (</w:t>
      </w:r>
      <w:hyperlink r:id="rId10724">
        <w:r>
          <w:rPr>
            <w:color w:val="0000EE"/>
            <w:u w:val="single"/>
          </w:rPr>
          <w:t>15.23</w:t>
        </w:r>
      </w:hyperlink>
      <w:r>
        <w:t>).</w:t>
      </w:r>
    </w:p>
    <w:p>
      <w:pPr>
        <w:pStyle w:val="Heading3"/>
      </w:pPr>
      <w:r>
        <w:t>Honra na vida cristã</w:t>
      </w:r>
    </w:p>
    <w:p>
      <w:r/>
      <w:r>
        <w:t>Os cristãos devem honrar uns aos outros, considerando outros crentes como mais importantes do que a si mesmos (</w:t>
      </w:r>
      <w:hyperlink r:id="rId10725">
        <w:r>
          <w:rPr>
            <w:color w:val="0000EE"/>
            <w:u w:val="single"/>
          </w:rPr>
          <w:t>Rm 12.10</w:t>
        </w:r>
      </w:hyperlink>
      <w:r>
        <w:t>). Isso vem do conhecimento de que os cristãos receberam honra de Deus (</w:t>
      </w:r>
      <w:hyperlink r:id="rId9624">
        <w:r>
          <w:rPr>
            <w:color w:val="0000EE"/>
            <w:u w:val="single"/>
          </w:rPr>
          <w:t>1Pe 1.7</w:t>
        </w:r>
      </w:hyperlink>
      <w:r>
        <w:t>).</w:t>
      </w:r>
      <w:hyperlink r:id="rId9624">
        <w:r>
          <w:rPr>
            <w:color w:val="0000EE"/>
            <w:u w:val="single"/>
          </w:rPr>
          <w:t xml:space="preserve"> </w:t>
        </w:r>
      </w:hyperlink>
      <w:r>
        <w:t>Demonstrar honra aos outros deve influenciar a maneira como uma pessoa vive toda a sua vida:</w:t>
      </w:r>
    </w:p>
    <w:p>
      <w:pPr>
        <w:pStyle w:val="ListBullet"/>
        <w:spacing w:line="240" w:lineRule="auto"/>
        <w:ind w:left="720"/>
      </w:pPr>
      <w:r/>
      <w:r>
        <w:t>Os maridos devem honrar suas esposas, tratando-as com amor e respeito (</w:t>
      </w:r>
      <w:hyperlink r:id="rId10726">
        <w:r>
          <w:rPr>
            <w:color w:val="0000EE"/>
            <w:u w:val="single"/>
          </w:rPr>
          <w:t>1Pe 3.7</w:t>
        </w:r>
      </w:hyperlink>
      <w:r>
        <w:t>).</w:t>
      </w:r>
    </w:p>
    <w:p>
      <w:pPr>
        <w:pStyle w:val="ListBullet"/>
        <w:spacing w:line="240" w:lineRule="auto"/>
        <w:ind w:left="720"/>
      </w:pPr>
      <w:r/>
      <w:r>
        <w:t>Os servos cristãos devem honrar seus mestres para mostrar que seguem os ensinamentos de Jesus (</w:t>
      </w:r>
      <w:hyperlink r:id="rId10727">
        <w:r>
          <w:rPr>
            <w:color w:val="0000EE"/>
            <w:u w:val="single"/>
          </w:rPr>
          <w:t>1Tm 6.1</w:t>
        </w:r>
      </w:hyperlink>
      <w:r>
        <w:t xml:space="preserve">). (É importante entender que esse ensinamento foi escrito durante um período em que a escravidão era comum na sociedade. As instruções da Bíblia sobre como as pessoas escravizadas deveriam agir não significam que a escravidão é correta ou que os cristãos deveriam apoiá-la. Na verdade, os ensinamentos da Bíblia sobre a dignidade humana e tratar todos com honra ajudaram muitos cristãos a lutar contra a escravidão. Veja </w:t>
      </w:r>
      <w:r>
        <w:t>Escravo, escravidão</w:t>
      </w:r>
      <w:r>
        <w:t>.)</w:t>
      </w:r>
    </w:p>
    <w:p>
      <w:pPr>
        <w:pStyle w:val="ListBullet"/>
        <w:spacing w:line="240" w:lineRule="auto"/>
        <w:ind w:left="720"/>
      </w:pPr>
      <w:r/>
      <w:r>
        <w:t>Todos os cristãos devem mostrar a devida honra a todos, como a Bíblia ensina (</w:t>
      </w:r>
      <w:hyperlink r:id="rId10728">
        <w:r>
          <w:rPr>
            <w:color w:val="0000EE"/>
            <w:u w:val="single"/>
          </w:rPr>
          <w:t>Rm 13.7</w:t>
        </w:r>
      </w:hyperlink>
      <w:r>
        <w:t xml:space="preserve">; </w:t>
      </w:r>
      <w:hyperlink r:id="rId10729">
        <w:r>
          <w:rPr>
            <w:color w:val="0000EE"/>
            <w:u w:val="single"/>
          </w:rPr>
          <w:t>1Pe 2.17</w:t>
        </w:r>
      </w:hyperlink>
      <w:r>
        <w:t>).</w:t>
      </w:r>
      <w:r/>
      <w:r/>
    </w:p>
    <w:p>
      <w:r/>
    </w:p>
    <w:p>
      <w:pPr>
        <w:pStyle w:val="Heading2"/>
      </w:pPr>
      <w:r>
        <w:t>Hor, Monte</w:t>
      </w:r>
      <w:r/>
    </w:p>
    <w:p>
      <w:r/>
      <w:r>
        <w:t>1. Montanha localizada na fronteira da terra de Edom (</w:t>
      </w:r>
      <w:hyperlink r:id="rId10730">
        <w:r>
          <w:rPr>
            <w:color w:val="0000EE"/>
            <w:u w:val="single"/>
          </w:rPr>
          <w:t>Nm 20.23</w:t>
        </w:r>
      </w:hyperlink>
      <w:r>
        <w:t xml:space="preserve">; </w:t>
      </w:r>
      <w:hyperlink r:id="rId7550">
        <w:r>
          <w:rPr>
            <w:color w:val="0000EE"/>
            <w:u w:val="single"/>
          </w:rPr>
          <w:t>33.37</w:t>
        </w:r>
      </w:hyperlink>
      <w:r>
        <w:t>). O Monte Hor foi o primeiro lugar ao qual os israelitas chegaram (</w:t>
      </w:r>
      <w:hyperlink r:id="rId10731">
        <w:r>
          <w:rPr>
            <w:color w:val="0000EE"/>
            <w:u w:val="single"/>
          </w:rPr>
          <w:t>Nm 20.22</w:t>
        </w:r>
      </w:hyperlink>
      <w:r>
        <w:t>) após vagarem por quase 40 anos (</w:t>
      </w:r>
      <w:hyperlink r:id="rId10732">
        <w:r>
          <w:rPr>
            <w:color w:val="0000EE"/>
            <w:u w:val="single"/>
          </w:rPr>
          <w:t>Dt 2.14</w:t>
        </w:r>
      </w:hyperlink>
      <w:r>
        <w:t>). O irmão de Moisés, Arão, não teve permissão para entrar em Canaã porque se recusou a cumprir as instruções do Senhor em Meribá (</w:t>
      </w:r>
      <w:hyperlink r:id="rId10733">
        <w:r>
          <w:rPr>
            <w:color w:val="0000EE"/>
            <w:u w:val="single"/>
          </w:rPr>
          <w:t>Nm 20.7–13,24</w:t>
        </w:r>
      </w:hyperlink>
      <w:r>
        <w:t>). Despojado de suas vestes sacerdotais, que foram então colocadas em seu filho Eleazar, Arão morreu no topo do Monte Hor (</w:t>
      </w:r>
      <w:hyperlink r:id="rId10734">
        <w:r>
          <w:rPr>
            <w:color w:val="0000EE"/>
            <w:u w:val="single"/>
          </w:rPr>
          <w:t>Nm 20.25–29</w:t>
        </w:r>
      </w:hyperlink>
      <w:r>
        <w:t>) aos 123 anos. Um castigo semelhante foi posteriormente aplicado a Moisés, cuja morte no Monte Nebo é comparada à morte de Arão no Monte Hor (</w:t>
      </w:r>
      <w:hyperlink r:id="rId10735">
        <w:r>
          <w:rPr>
            <w:color w:val="0000EE"/>
            <w:u w:val="single"/>
          </w:rPr>
          <w:t>Dt 32.49–51</w:t>
        </w:r>
      </w:hyperlink>
      <w:r>
        <w:t xml:space="preserve">). De acordo com </w:t>
      </w:r>
      <w:hyperlink r:id="rId3305">
        <w:r>
          <w:rPr>
            <w:color w:val="0000EE"/>
            <w:u w:val="single"/>
          </w:rPr>
          <w:t>Deuteronômio 10.6</w:t>
        </w:r>
      </w:hyperlink>
      <w:r>
        <w:t xml:space="preserve">, Arão morreu e foi enterrado em Moserote (provavelmente o Moserote de </w:t>
      </w:r>
      <w:hyperlink r:id="rId10736">
        <w:r>
          <w:rPr>
            <w:color w:val="0000EE"/>
            <w:u w:val="single"/>
          </w:rPr>
          <w:t>Nm 33.30–31</w:t>
        </w:r>
      </w:hyperlink>
      <w:r>
        <w:t>), um lugar que deve ter sido muito próximo (ou talvez parte) do Monte Hor.</w:t>
      </w:r>
    </w:p>
    <w:p>
      <w:r/>
      <w:r>
        <w:t xml:space="preserve">A localização do Monte Hor permanece incerta. O local tradicional, Jebel Nebi Harun (que significa "a montanha do profeta Arão") tem quase 4.800 pés (1,5 quilômetros) de altura e é a montanha mais alta em Edom. Os muçulmanos afirmam que um pequeno edifício em seu cume é o túmulo de Arão. No entanto, Jebel Nebi Harun está localizado perto de Petra — no meio de Edom — e muito longe a leste de Cades. Uma localização mais provável é Jebel Madeira, situada na fronteira noroeste de Edom, cerca de 15 milhas (24 quilômetros) a nordeste de Cades. De qualquer forma, a palavra hebraica hor provavelmente significa "monte" (como em </w:t>
      </w:r>
      <w:hyperlink r:id="rId10737">
        <w:r>
          <w:rPr>
            <w:color w:val="0000EE"/>
            <w:u w:val="single"/>
          </w:rPr>
          <w:t>Gn 49.26</w:t>
        </w:r>
      </w:hyperlink>
      <w:r>
        <w:t>), de modo que "Monte Hor" talvez signifique simplesmente "montanha das montanhas" ou "alta montanha" em vez de ser um nome próprio.</w:t>
      </w:r>
    </w:p>
    <w:p>
      <w:r/>
      <w:r>
        <w:t>2. Outra montanha localizada no extremo norte (</w:t>
      </w:r>
      <w:hyperlink r:id="rId10315">
        <w:r>
          <w:rPr>
            <w:color w:val="0000EE"/>
            <w:u w:val="single"/>
          </w:rPr>
          <w:t>Nm 34.7–8</w:t>
        </w:r>
      </w:hyperlink>
      <w:r>
        <w:t>). Geralmente identificada como o Monte Hermon ou Jebel Akkar, talvez fosse simplesmente uma montanha excepcionalmente alta.</w:t>
      </w:r>
      <w:r/>
      <w:r/>
    </w:p>
    <w:p>
      <w:r/>
    </w:p>
    <w:p>
      <w:pPr>
        <w:pStyle w:val="Heading2"/>
      </w:pPr>
      <w:r>
        <w:t>Horeus</w:t>
      </w:r>
      <w:r/>
    </w:p>
    <w:p>
      <w:r/>
      <w:r>
        <w:t>Habitantes das cavernas do Monte Seir, segundo a tradição. Esses pré-edomitas eram chamados de filhos de Seir (</w:t>
      </w:r>
      <w:hyperlink r:id="rId10636">
        <w:r>
          <w:rPr>
            <w:color w:val="0000EE"/>
            <w:u w:val="single"/>
          </w:rPr>
          <w:t>Gn 36.20</w:t>
        </w:r>
      </w:hyperlink>
      <w:r>
        <w:t>). Na Bíblia, foram derrotados por Quedorlaomer e seus aliados (</w:t>
      </w:r>
      <w:hyperlink r:id="rId7779">
        <w:r>
          <w:rPr>
            <w:color w:val="0000EE"/>
            <w:u w:val="single"/>
          </w:rPr>
          <w:t>14.6</w:t>
        </w:r>
      </w:hyperlink>
      <w:r>
        <w:t>). Eles eram governados por chefes (</w:t>
      </w:r>
      <w:hyperlink r:id="rId10738">
        <w:r>
          <w:rPr>
            <w:color w:val="0000EE"/>
            <w:u w:val="single"/>
          </w:rPr>
          <w:t>36.29–30</w:t>
        </w:r>
      </w:hyperlink>
      <w:r>
        <w:t>) e, por fim, destruídos pelos descendentes de Esaú (</w:t>
      </w:r>
      <w:hyperlink r:id="rId10739">
        <w:r>
          <w:rPr>
            <w:color w:val="0000EE"/>
            <w:u w:val="single"/>
          </w:rPr>
          <w:t>Dt 2.12,22</w:t>
        </w:r>
      </w:hyperlink>
      <w:r>
        <w:t>).</w:t>
      </w:r>
    </w:p>
    <w:p>
      <w:r/>
      <w:r>
        <w:t xml:space="preserve">A etimologia popular e bíblica de "horeu" tem sido contestada desde a descoberta dos hurritas (curitas) como predecessores étnicos de muitas tribos do Oriente Próximo. Os hurritas eram um povo não semita das montanhas. Por volta do segundo milênio a.C., eles migraram para o norte e nordeste da Mesopotâmia, e mais tarde se moveram para as regiões da Síria e Palestina. Como a língua hurrita era prevalente na área ocidental do Jordão, e já que foneticamente "horita" é o equivalente hebraico do AT ao extrabíblico "hurrita", vários estudiosos e tradutores substituíram "hurrita" por "horita" (ou horeus). Muitos equipararam os heveus, que faziam parte do grupo linguístico e cultural hurrita, aos horeus. Esses críticos assumiram uma corrupção textual precoce do </w:t>
      </w:r>
      <w:r>
        <w:rPr>
          <w:i/>
        </w:rPr>
        <w:t>r(esh)</w:t>
      </w:r>
      <w:r>
        <w:t xml:space="preserve"> em ho</w:t>
      </w:r>
      <w:r>
        <w:rPr>
          <w:i/>
        </w:rPr>
        <w:t>r</w:t>
      </w:r>
      <w:r>
        <w:t xml:space="preserve">ita para </w:t>
      </w:r>
      <w:r>
        <w:rPr>
          <w:i/>
        </w:rPr>
        <w:t>w(aw)</w:t>
      </w:r>
      <w:r>
        <w:t xml:space="preserve"> em hi</w:t>
      </w:r>
      <w:r>
        <w:rPr>
          <w:i/>
        </w:rPr>
        <w:t>v</w:t>
      </w:r>
      <w:r>
        <w:t xml:space="preserve">ita. Um certo Zibeão é chamado de horita em </w:t>
      </w:r>
      <w:hyperlink r:id="rId10740">
        <w:r>
          <w:rPr>
            <w:color w:val="0000EE"/>
            <w:u w:val="single"/>
          </w:rPr>
          <w:t>Gn 36.20–30</w:t>
        </w:r>
      </w:hyperlink>
      <w:r>
        <w:t xml:space="preserve">, enquanto no versículo </w:t>
      </w:r>
      <w:hyperlink r:id="rId3167">
        <w:r>
          <w:rPr>
            <w:color w:val="0000EE"/>
            <w:u w:val="single"/>
          </w:rPr>
          <w:t>2</w:t>
        </w:r>
      </w:hyperlink>
      <w:r>
        <w:t xml:space="preserve"> o homem é chamado de heveu. A Septuaginta de </w:t>
      </w:r>
      <w:hyperlink r:id="rId10638">
        <w:r>
          <w:rPr>
            <w:color w:val="0000EE"/>
            <w:u w:val="single"/>
          </w:rPr>
          <w:t>Josué 9.7</w:t>
        </w:r>
      </w:hyperlink>
      <w:r>
        <w:t xml:space="preserve"> e </w:t>
      </w:r>
      <w:hyperlink r:id="rId10332">
        <w:r>
          <w:rPr>
            <w:color w:val="0000EE"/>
            <w:u w:val="single"/>
          </w:rPr>
          <w:t>Gênesis 34.2</w:t>
        </w:r>
      </w:hyperlink>
      <w:r>
        <w:t xml:space="preserve"> lê "horita" em vez de "heveu" como no Texto Massorético. Alguns manuscritos da Septuaginta leem "hitita" para o "heveu" do Texto Massorético (</w:t>
      </w:r>
      <w:hyperlink r:id="rId9182">
        <w:r>
          <w:rPr>
            <w:color w:val="0000EE"/>
            <w:u w:val="single"/>
          </w:rPr>
          <w:t>Js 11.3</w:t>
        </w:r>
      </w:hyperlink>
      <w:r>
        <w:t xml:space="preserve">, </w:t>
      </w:r>
      <w:hyperlink r:id="rId10634">
        <w:r>
          <w:rPr>
            <w:color w:val="0000EE"/>
            <w:u w:val="single"/>
          </w:rPr>
          <w:t>Jz 3.3</w:t>
        </w:r>
      </w:hyperlink>
      <w:r>
        <w:t xml:space="preserve">). Em </w:t>
      </w:r>
      <w:hyperlink r:id="rId3167">
        <w:r>
          <w:rPr>
            <w:color w:val="0000EE"/>
            <w:u w:val="single"/>
          </w:rPr>
          <w:t>Gênesis 36.2</w:t>
        </w:r>
      </w:hyperlink>
      <w:r>
        <w:t>, os manuscritos hebraicos existentes erroneamente leem "heveu" por "horita". Parece que as referências do AT não se encaixam nos hurritas, nem os nomes pessoais dos horeus correspondem a exemplos hurritas (</w:t>
      </w:r>
      <w:hyperlink r:id="rId10740">
        <w:r>
          <w:rPr>
            <w:color w:val="0000EE"/>
            <w:u w:val="single"/>
          </w:rPr>
          <w:t>Gn 36.20–30</w:t>
        </w:r>
      </w:hyperlink>
      <w:r>
        <w:t>). Eles parecem, em vez disso, ser semitas. Os horeus eram da Transjordânia e foram os predecessores dos edomitas (</w:t>
      </w:r>
      <w:hyperlink r:id="rId7779">
        <w:r>
          <w:rPr>
            <w:color w:val="0000EE"/>
            <w:u w:val="single"/>
          </w:rPr>
          <w:t>14.6</w:t>
        </w:r>
      </w:hyperlink>
      <w:r>
        <w:t>). Referências posteriores aos horeus podem ser aos horeus ocidentais, que talvez fossem hurritas (</w:t>
      </w:r>
      <w:hyperlink r:id="rId10741">
        <w:r>
          <w:rPr>
            <w:color w:val="0000EE"/>
            <w:u w:val="single"/>
          </w:rPr>
          <w:t>Is 17.9</w:t>
        </w:r>
      </w:hyperlink>
      <w:r>
        <w:t xml:space="preserve">) e não semitas, mas bastante distintos dos predecessores dos edomitas, os horeus orientais. O hebraico de </w:t>
      </w:r>
      <w:hyperlink r:id="rId10332">
        <w:r>
          <w:rPr>
            <w:color w:val="0000EE"/>
            <w:u w:val="single"/>
          </w:rPr>
          <w:t>Gênesis 34.2</w:t>
        </w:r>
      </w:hyperlink>
      <w:r>
        <w:t xml:space="preserve"> e </w:t>
      </w:r>
      <w:hyperlink r:id="rId10638">
        <w:r>
          <w:rPr>
            <w:color w:val="0000EE"/>
            <w:u w:val="single"/>
          </w:rPr>
          <w:t>Josué 9.7</w:t>
        </w:r>
      </w:hyperlink>
      <w:r>
        <w:t xml:space="preserve"> pode ser de uma família diferente de manuscritos daqueles usados pelos tradutores da Septuaginta, preservando suas próprias tradições étnicas. Parece melhor pensar tanto nos heveus quanto nos horeus como grupos étnicos conectados aos hurritas por língua e cultura.</w:t>
      </w:r>
    </w:p>
    <w:p>
      <w:r/>
      <w:r>
        <w:rPr>
          <w:i/>
        </w:rPr>
        <w:t>Veja também</w:t>
      </w:r>
      <w:r>
        <w:t xml:space="preserve"> </w:t>
      </w:r>
      <w:r>
        <w:t>Hurritas</w:t>
      </w:r>
      <w:r>
        <w:t xml:space="preserve">; </w:t>
      </w:r>
      <w:r>
        <w:t>Hivitas</w:t>
      </w:r>
      <w:r>
        <w:t>.</w:t>
      </w:r>
      <w:r/>
      <w:r/>
    </w:p>
    <w:p>
      <w:r/>
    </w:p>
    <w:p>
      <w:pPr>
        <w:pStyle w:val="Heading2"/>
      </w:pPr>
      <w:r>
        <w:t>Hor-Hagidgade</w:t>
      </w:r>
      <w:r/>
    </w:p>
    <w:p>
      <w:r/>
      <w:r>
        <w:t>Uma tradução literal traduz como Hor-Hagidgade. Local de acampamento dos israelitas durante suas peregrinações no deserto (</w:t>
      </w:r>
      <w:hyperlink r:id="rId10742">
        <w:r>
          <w:rPr>
            <w:color w:val="0000EE"/>
            <w:u w:val="single"/>
          </w:rPr>
          <w:t>Nm 33.32–33</w:t>
        </w:r>
      </w:hyperlink>
      <w:r>
        <w:t xml:space="preserve">). Pode ser o Gudgodá de </w:t>
      </w:r>
      <w:hyperlink r:id="rId10208">
        <w:r>
          <w:rPr>
            <w:color w:val="0000EE"/>
            <w:u w:val="single"/>
          </w:rPr>
          <w:t>Deuteronômio 10.7</w:t>
        </w:r>
      </w:hyperlink>
      <w:r>
        <w:t>, e foi identificado com Wadi Ghadaghed.</w:t>
      </w:r>
    </w:p>
    <w:p>
      <w:r/>
      <w:r>
        <w:rPr>
          <w:i/>
        </w:rPr>
        <w:t>Veja também</w:t>
      </w:r>
      <w:r>
        <w:t xml:space="preserve"> </w:t>
      </w:r>
      <w:r>
        <w:t>Peregrinações no deserto</w:t>
      </w:r>
      <w:r>
        <w:t>.</w:t>
      </w:r>
      <w:r/>
      <w:r/>
    </w:p>
    <w:p>
      <w:r/>
    </w:p>
    <w:p>
      <w:pPr>
        <w:pStyle w:val="Heading2"/>
      </w:pPr>
      <w:r>
        <w:t>Hori</w:t>
      </w:r>
      <w:r/>
    </w:p>
    <w:p>
      <w:r/>
      <w:r>
        <w:t>1. Primeiro filho de Lotã. Lotã foi o fundador de um subclã horita em Edom (</w:t>
      </w:r>
      <w:hyperlink r:id="rId10687">
        <w:r>
          <w:rPr>
            <w:color w:val="0000EE"/>
            <w:u w:val="single"/>
          </w:rPr>
          <w:t>Gn 36.22</w:t>
        </w:r>
      </w:hyperlink>
      <w:r>
        <w:t xml:space="preserve">; </w:t>
      </w:r>
      <w:hyperlink r:id="rId10743">
        <w:r>
          <w:rPr>
            <w:color w:val="0000EE"/>
            <w:u w:val="single"/>
          </w:rPr>
          <w:t>1Cr 1.39</w:t>
        </w:r>
      </w:hyperlink>
      <w:r>
        <w:t>).</w:t>
      </w:r>
    </w:p>
    <w:p>
      <w:r/>
      <w:r>
        <w:t>2. Pai de Safate e membro da tribo de Simeão. Safate foi um dos 12 espiões (</w:t>
      </w:r>
      <w:hyperlink r:id="rId10744">
        <w:r>
          <w:rPr>
            <w:color w:val="0000EE"/>
            <w:u w:val="single"/>
          </w:rPr>
          <w:t>Nm 13.5</w:t>
        </w:r>
      </w:hyperlink>
      <w:r>
        <w:t>).</w:t>
      </w:r>
      <w:r/>
      <w:r/>
    </w:p>
    <w:p>
      <w:r/>
    </w:p>
    <w:p>
      <w:pPr>
        <w:pStyle w:val="Heading2"/>
      </w:pPr>
      <w:r>
        <w:t>Horma</w:t>
      </w:r>
      <w:r/>
    </w:p>
    <w:p>
      <w:r/>
      <w:r>
        <w:t>Uma cidade próxima a Berseba, no Neguebe. Estava na fronteira das tribos de Judá e Simeão.</w:t>
      </w:r>
    </w:p>
    <w:p>
      <w:r/>
      <w:r>
        <w:t>No início, era um assentamento cananeu. Depois pertenceu à tribo de Judá e, então, à tribo de Simeão (</w:t>
      </w:r>
      <w:hyperlink r:id="rId10745">
        <w:r>
          <w:rPr>
            <w:color w:val="0000EE"/>
            <w:u w:val="single"/>
          </w:rPr>
          <w:t>Js 15.30</w:t>
        </w:r>
      </w:hyperlink>
      <w:r>
        <w:t>;</w:t>
      </w:r>
      <w:hyperlink r:id="rId10746">
        <w:r>
          <w:rPr>
            <w:color w:val="0000EE"/>
            <w:u w:val="single"/>
          </w:rPr>
          <w:t xml:space="preserve"> 19.4,9</w:t>
        </w:r>
      </w:hyperlink>
      <w:r>
        <w:t>). Na época em que Israel teve seus primeiros reis, Judá controlava essa área novamente (</w:t>
      </w:r>
      <w:hyperlink r:id="rId2637">
        <w:r>
          <w:rPr>
            <w:color w:val="0000EE"/>
            <w:u w:val="single"/>
          </w:rPr>
          <w:t>1Sm 30.30</w:t>
        </w:r>
      </w:hyperlink>
      <w:r>
        <w:t>).</w:t>
      </w:r>
    </w:p>
    <w:p>
      <w:r/>
      <w:r>
        <w:t>O nome cananeu "Zephath" mudou para "Horma" quando os hebreus o conquistaram pela primeira vez (</w:t>
      </w:r>
      <w:hyperlink r:id="rId10747">
        <w:r>
          <w:rPr>
            <w:color w:val="0000EE"/>
            <w:u w:val="single"/>
          </w:rPr>
          <w:t>Jz 1.17</w:t>
        </w:r>
      </w:hyperlink>
      <w:r>
        <w:t>). Horma tornou-se leal a Davi durante sua disputa contínua com o Rei Saul. Davi recompensou a cidade enviando-lhe alguns dos despojos de guerra de Ziclague (</w:t>
      </w:r>
      <w:hyperlink r:id="rId10748">
        <w:r>
          <w:rPr>
            <w:color w:val="0000EE"/>
            <w:u w:val="single"/>
          </w:rPr>
          <w:t>1Sm 30</w:t>
        </w:r>
      </w:hyperlink>
      <w:r>
        <w:t>).</w:t>
      </w:r>
    </w:p>
    <w:p>
      <w:r/>
      <w:hyperlink r:id="rId10745">
        <w:r>
          <w:rPr>
            <w:color w:val="0000EE"/>
            <w:u w:val="single"/>
          </w:rPr>
          <w:t>Josué 15.30</w:t>
        </w:r>
      </w:hyperlink>
      <w:r>
        <w:t xml:space="preserve"> descreve Horma como estando ao sul, perto de Kesil e Ziclague. Mas sua localização exata permanece desconhecida. A partir da referência em </w:t>
      </w:r>
      <w:hyperlink r:id="rId10749">
        <w:r>
          <w:rPr>
            <w:color w:val="0000EE"/>
            <w:u w:val="single"/>
          </w:rPr>
          <w:t>Números 14.45</w:t>
        </w:r>
      </w:hyperlink>
      <w:r>
        <w:t>, pode estar ao sul de Cades-Barneia. É aqui que os israelitas passaram grande parte do período no deserto.</w:t>
      </w:r>
      <w:r/>
      <w:r/>
    </w:p>
    <w:p>
      <w:r/>
    </w:p>
    <w:p>
      <w:pPr>
        <w:pStyle w:val="Heading2"/>
      </w:pPr>
      <w:r>
        <w:t>Hosana</w:t>
      </w:r>
      <w:r/>
    </w:p>
    <w:p>
      <w:r/>
      <w:r>
        <w:t xml:space="preserve">Uma expressão hebraica que significa "Salva-nos". Vem do </w:t>
      </w:r>
      <w:hyperlink r:id="rId10750">
        <w:r>
          <w:rPr>
            <w:color w:val="0000EE"/>
            <w:u w:val="single"/>
          </w:rPr>
          <w:t>Salmo 118.25</w:t>
        </w:r>
      </w:hyperlink>
      <w:r>
        <w:t>: "Salva-nos, ó Senhor, salva-nos".</w:t>
      </w:r>
    </w:p>
    <w:p>
      <w:r/>
      <w:hyperlink r:id="rId734">
        <w:r>
          <w:rPr>
            <w:color w:val="0000EE"/>
            <w:u w:val="single"/>
          </w:rPr>
          <w:t>Salmo 118</w:t>
        </w:r>
      </w:hyperlink>
      <w:r>
        <w:t xml:space="preserve"> é uma declaração de confiança na ajuda do Senhor. As pessoas recitam isso quando precisam. O salmo inteiro fazia parte de uma canção mais longa chamada Hallel. As pessoas cantavam isso em dias importantes. O versículo </w:t>
      </w:r>
      <w:hyperlink r:id="rId10750">
        <w:r>
          <w:rPr>
            <w:color w:val="0000EE"/>
            <w:u w:val="single"/>
          </w:rPr>
          <w:t>25</w:t>
        </w:r>
      </w:hyperlink>
      <w:r>
        <w:t xml:space="preserve"> era usado na Festa Judaica dos Tabernáculos ou tendas. Quando este versículo era lido, as pessoas agitavam ramos de murta, salgueiro e palmeiras. As pessoas também podem ter agitado ramos em outras ocasiões como uma forma de demonstrar alegria. Isso ocorre em </w:t>
      </w:r>
      <w:hyperlink r:id="rId10751">
        <w:r>
          <w:rPr>
            <w:color w:val="0000EE"/>
            <w:u w:val="single"/>
          </w:rPr>
          <w:t>2 Macabeus 10.6–7</w:t>
        </w:r>
      </w:hyperlink>
      <w:r>
        <w:t>, em uma cerimônia para tornar o templo sagrado novamente após ter sido mal utilizado.</w:t>
      </w:r>
    </w:p>
    <w:p>
      <w:r/>
      <w:r>
        <w:t>A multidão acolheu Jesus em Jerusalém gritando “Hosana” (</w:t>
      </w:r>
      <w:hyperlink r:id="rId10752">
        <w:r>
          <w:rPr>
            <w:color w:val="0000EE"/>
            <w:u w:val="single"/>
          </w:rPr>
          <w:t>Mt 21.9</w:t>
        </w:r>
      </w:hyperlink>
      <w:r>
        <w:t xml:space="preserve">; </w:t>
      </w:r>
      <w:hyperlink r:id="rId10753">
        <w:r>
          <w:rPr>
            <w:color w:val="0000EE"/>
            <w:u w:val="single"/>
          </w:rPr>
          <w:t>Mc 11.9–10</w:t>
        </w:r>
      </w:hyperlink>
      <w:r>
        <w:t xml:space="preserve">; </w:t>
      </w:r>
      <w:hyperlink r:id="rId5252">
        <w:r>
          <w:rPr>
            <w:color w:val="0000EE"/>
            <w:u w:val="single"/>
          </w:rPr>
          <w:t>Jo 12.13</w:t>
        </w:r>
      </w:hyperlink>
      <w:r>
        <w:t>). Então eles disseram: “Que Deus abençoe aquele que vem em nome de Deus, o Senhor!” (</w:t>
      </w:r>
      <w:hyperlink r:id="rId10754">
        <w:r>
          <w:rPr>
            <w:color w:val="0000EE"/>
            <w:u w:val="single"/>
          </w:rPr>
          <w:t>Salmo 118.26</w:t>
        </w:r>
      </w:hyperlink>
      <w:r>
        <w:t>). Isso significa que a multidão estava saudando Jesus como o Messias (o eleito de Deus).</w:t>
      </w:r>
    </w:p>
    <w:p>
      <w:r/>
      <w:r>
        <w:t>Mesmo antes do tempo de Jesus, as pessoas acreditavam que a frase “Deus abençoe aquele que vem em nome de Deus, o Senhor” se referia ao Messias. É possível que a palavra “Hosana” por si só tivesse um significado relacionado ao Messias.</w:t>
      </w:r>
    </w:p>
    <w:p>
      <w:r/>
      <w:r>
        <w:t xml:space="preserve">Outras coisas que as pessoas disseram quando Jesus entrou em Jerusalém apoiam essa ideia. Em </w:t>
      </w:r>
      <w:hyperlink r:id="rId10752">
        <w:r>
          <w:rPr>
            <w:color w:val="0000EE"/>
            <w:u w:val="single"/>
          </w:rPr>
          <w:t>Mateus 21.9</w:t>
        </w:r>
      </w:hyperlink>
      <w:r>
        <w:t xml:space="preserve">, Jesus é chamado de “Filho de Davi”. Em </w:t>
      </w:r>
      <w:hyperlink r:id="rId6625">
        <w:r>
          <w:rPr>
            <w:color w:val="0000EE"/>
            <w:u w:val="single"/>
          </w:rPr>
          <w:t>Marcos 11.10</w:t>
        </w:r>
      </w:hyperlink>
      <w:r>
        <w:t xml:space="preserve">, há menção sobre “o Reino de Davi, o nosso pai, o Reino que está vindo”. Em </w:t>
      </w:r>
      <w:hyperlink r:id="rId5252">
        <w:r>
          <w:rPr>
            <w:color w:val="0000EE"/>
            <w:u w:val="single"/>
          </w:rPr>
          <w:t>João 12.13</w:t>
        </w:r>
      </w:hyperlink>
      <w:r>
        <w:t>, Jesus é chamado de “o Rei de Israel”. Todas essas palavras sugerem que Jesus é o Messias.</w:t>
      </w:r>
    </w:p>
    <w:p>
      <w:r/>
      <w:r>
        <w:t>Não precisamos pensar que, ao gritar "Hosana", as pessoas estavam pensando em serem libertadas de seus governantes. Provavelmente, elas não sabiam como Jesus as salvaria. O máximo que podemos dizer é que acreditavam que Jesus foi enviado por Deus para salvá-las. Se não houvesse algo em seu louvor que Jesus visse como uma boa adoração, provavelmente ele não a teria aceitado. Somente mais tarde, quando ele morreu e voltou à vida, as pessoas entenderiam o que realmente significava Jesus ser o Messias.</w:t>
      </w:r>
    </w:p>
    <w:p>
      <w:r/>
      <w:r>
        <w:rPr>
          <w:i/>
        </w:rPr>
        <w:t>Consulte também</w:t>
      </w:r>
      <w:r>
        <w:t xml:space="preserve"> </w:t>
      </w:r>
      <w:r>
        <w:t>Hallel</w:t>
      </w:r>
      <w:r>
        <w:t xml:space="preserve">; </w:t>
      </w:r>
      <w:r>
        <w:t>Aleluia</w:t>
      </w:r>
      <w:r>
        <w:t xml:space="preserve">; </w:t>
      </w:r>
      <w:r>
        <w:t>Messias</w:t>
      </w:r>
      <w:r>
        <w:t>.</w:t>
      </w:r>
      <w:r/>
      <w:r/>
    </w:p>
    <w:p>
      <w:r/>
    </w:p>
    <w:p>
      <w:pPr>
        <w:pStyle w:val="Heading2"/>
      </w:pPr>
      <w:r>
        <w:t>Hospitalidade</w:t>
      </w:r>
      <w:r/>
    </w:p>
    <w:p>
      <w:r/>
      <w:r>
        <w:t>Conceito bíblico muitas vezes usado com os termos “convidado”, “estranho” e “peregrino”. É útil limitar o significado de “hospitalidade” à benevolência feita aos que estão fora do círculo normal de amigos, como está implícito no significado literal da palavra grega que significa “amor de estranhos”. Embora o conceito seja completamente endossado na Bíblia, ele é claramente encontrado nas civilizações não bíblicas, especialmente entre os povos nômades, onde obrigações definidas de fornecer comida, abrigo e proteção são reconhecidas.</w:t>
      </w:r>
    </w:p>
    <w:p>
      <w:r/>
      <w:r>
        <w:t>O exercício normal de hospitalidade no AT pode ser visto nos exemplos de Abraão e os três visitantes (</w:t>
      </w:r>
      <w:hyperlink r:id="rId10755">
        <w:r>
          <w:rPr>
            <w:color w:val="0000EE"/>
            <w:u w:val="single"/>
          </w:rPr>
          <w:t>Gn 18.2–8,16</w:t>
        </w:r>
      </w:hyperlink>
      <w:r>
        <w:t>), a recepção de Labão do servo de Abraão (</w:t>
      </w:r>
      <w:hyperlink r:id="rId10756">
        <w:r>
          <w:rPr>
            <w:color w:val="0000EE"/>
            <w:u w:val="single"/>
          </w:rPr>
          <w:t>24.15–61</w:t>
        </w:r>
      </w:hyperlink>
      <w:r>
        <w:t>) e o tratamento de Manoá ao anjo (</w:t>
      </w:r>
      <w:hyperlink r:id="rId10757">
        <w:r>
          <w:rPr>
            <w:color w:val="0000EE"/>
            <w:u w:val="single"/>
          </w:rPr>
          <w:t>Jz 13.15</w:t>
        </w:r>
      </w:hyperlink>
      <w:r>
        <w:t>). Mas também há casos em que o anfitrião se sentiu compelido a tomar medidas extremas para proteger seu convidado, até mesmo para o dano de sua própria família (</w:t>
      </w:r>
      <w:hyperlink r:id="rId10758">
        <w:r>
          <w:rPr>
            <w:color w:val="0000EE"/>
            <w:u w:val="single"/>
          </w:rPr>
          <w:t>Gn 19.1–8</w:t>
        </w:r>
      </w:hyperlink>
      <w:r>
        <w:t xml:space="preserve">; </w:t>
      </w:r>
      <w:hyperlink r:id="rId10759">
        <w:r>
          <w:rPr>
            <w:color w:val="0000EE"/>
            <w:u w:val="single"/>
          </w:rPr>
          <w:t>Jz 19.14–24</w:t>
        </w:r>
      </w:hyperlink>
      <w:r>
        <w:t>). A hospitalidade da família Sunamita também é digna de nota, embora Eliseu não fosse estranho para eles (</w:t>
      </w:r>
      <w:hyperlink r:id="rId10760">
        <w:r>
          <w:rPr>
            <w:color w:val="0000EE"/>
            <w:u w:val="single"/>
          </w:rPr>
          <w:t>2Rs 4.10</w:t>
        </w:r>
      </w:hyperlink>
      <w:r>
        <w:t>).</w:t>
      </w:r>
    </w:p>
    <w:p>
      <w:r/>
      <w:r>
        <w:t>De acordo com o NT, Jesus confiava na prática geral da hospitalidade ao enviar os discípulos (</w:t>
      </w:r>
      <w:hyperlink r:id="rId3554">
        <w:r>
          <w:rPr>
            <w:color w:val="0000EE"/>
            <w:u w:val="single"/>
          </w:rPr>
          <w:t>Lc 10.7</w:t>
        </w:r>
      </w:hyperlink>
      <w:r>
        <w:t>), bem como em suas próprias viagens. Como o evangelho era espalhado por missionários viajantes, os cristãos eram elogiados por entretê-los em suas casas (</w:t>
      </w:r>
      <w:hyperlink r:id="rId10761">
        <w:r>
          <w:rPr>
            <w:color w:val="0000EE"/>
            <w:u w:val="single"/>
          </w:rPr>
          <w:t>Hb 13.2</w:t>
        </w:r>
      </w:hyperlink>
      <w:r>
        <w:t xml:space="preserve">; </w:t>
      </w:r>
      <w:hyperlink r:id="rId10762">
        <w:r>
          <w:rPr>
            <w:color w:val="0000EE"/>
            <w:u w:val="single"/>
          </w:rPr>
          <w:t>1Pe 4.9</w:t>
        </w:r>
      </w:hyperlink>
      <w:r>
        <w:t xml:space="preserve">; </w:t>
      </w:r>
      <w:hyperlink r:id="rId10763">
        <w:r>
          <w:rPr>
            <w:color w:val="0000EE"/>
            <w:u w:val="single"/>
          </w:rPr>
          <w:t>3Jo 1.5–8</w:t>
        </w:r>
      </w:hyperlink>
      <w:r>
        <w:t>). Os líderes da Igreja não devem se isentar deste ministério (</w:t>
      </w:r>
      <w:hyperlink r:id="rId3796">
        <w:r>
          <w:rPr>
            <w:color w:val="0000EE"/>
            <w:u w:val="single"/>
          </w:rPr>
          <w:t>1Tm 3.2</w:t>
        </w:r>
      </w:hyperlink>
      <w:r>
        <w:t xml:space="preserve">; </w:t>
      </w:r>
      <w:hyperlink r:id="rId10764">
        <w:r>
          <w:rPr>
            <w:color w:val="0000EE"/>
            <w:u w:val="single"/>
          </w:rPr>
          <w:t>Tt 1.8</w:t>
        </w:r>
      </w:hyperlink>
      <w:r>
        <w:t>); fazer isso é motivo para julgamento (</w:t>
      </w:r>
      <w:hyperlink r:id="rId10765">
        <w:r>
          <w:rPr>
            <w:color w:val="0000EE"/>
            <w:u w:val="single"/>
          </w:rPr>
          <w:t>Mt 25.43–46</w:t>
        </w:r>
      </w:hyperlink>
      <w:r>
        <w:t>).</w:t>
      </w:r>
    </w:p>
    <w:p>
      <w:r/>
      <w:r>
        <w:rPr>
          <w:i/>
        </w:rPr>
        <w:t>Ver também</w:t>
      </w:r>
      <w:r>
        <w:t xml:space="preserve"> </w:t>
      </w:r>
      <w:r>
        <w:t>Estrangeiro</w:t>
      </w:r>
      <w:r>
        <w:t>.</w:t>
      </w:r>
      <w:r/>
      <w:r/>
    </w:p>
    <w:p>
      <w:r/>
    </w:p>
    <w:p>
      <w:pPr>
        <w:pStyle w:val="Heading2"/>
      </w:pPr>
      <w:r>
        <w:t>Hoste, Hostes do céu</w:t>
      </w:r>
      <w:r/>
    </w:p>
    <w:p>
      <w:r/>
      <w:r>
        <w:t>Expressões hebraicas encontradas frequentemente no Antigo Testamento. Essas expressões significam literalmente “exército” e “exército dos céus”. “Hoste” é basicamente um termo militar, ocorrendo quase 500 vezes no Antigo Testamento. Pode significar “exército” (</w:t>
      </w:r>
      <w:hyperlink r:id="rId10766">
        <w:r>
          <w:rPr>
            <w:color w:val="0000EE"/>
            <w:u w:val="single"/>
          </w:rPr>
          <w:t>2 Reis 18.17</w:t>
        </w:r>
      </w:hyperlink>
      <w:r>
        <w:t>), “anjos”, “corpos celestes”, ou “criação”.</w:t>
      </w:r>
    </w:p>
    <w:p>
      <w:r/>
      <w:r>
        <w:t>A frase “exército do céu” tem várias aplicações na Bíblia. Escritores antigos às vezes se referiam simbolicamente ao sol, à lua e às estrelas como um exército (</w:t>
      </w:r>
      <w:hyperlink r:id="rId10767">
        <w:r>
          <w:rPr>
            <w:color w:val="0000EE"/>
            <w:u w:val="single"/>
          </w:rPr>
          <w:t>Deuteronômio 4.19</w:t>
        </w:r>
      </w:hyperlink>
      <w:r>
        <w:t xml:space="preserve">; </w:t>
      </w:r>
      <w:hyperlink r:id="rId10768">
        <w:r>
          <w:rPr>
            <w:color w:val="0000EE"/>
            <w:u w:val="single"/>
          </w:rPr>
          <w:t>Juízes 5.20</w:t>
        </w:r>
      </w:hyperlink>
      <w:r>
        <w:t>). Nos cultos astrológicos da antiguidade, acreditava-se que corpos celestes eram animados por espíritos e, assim, constituíam um exército vivo que controlava o destino celestial. A adoração ao exército do céu foi uma das primeiras formas de idolatria. Era comum entre os israelitas em seus tempos de regressão do serviço a Deus (</w:t>
      </w:r>
      <w:hyperlink r:id="rId10769">
        <w:r>
          <w:rPr>
            <w:color w:val="0000EE"/>
            <w:u w:val="single"/>
          </w:rPr>
          <w:t>Jeremias 19.13</w:t>
        </w:r>
      </w:hyperlink>
      <w:r>
        <w:t xml:space="preserve">; </w:t>
      </w:r>
      <w:hyperlink r:id="rId4429">
        <w:r>
          <w:rPr>
            <w:color w:val="0000EE"/>
            <w:u w:val="single"/>
          </w:rPr>
          <w:t>Atos 7.42</w:t>
        </w:r>
      </w:hyperlink>
      <w:r>
        <w:t>). Embora advertidos contra tais crenças pagãs (</w:t>
      </w:r>
      <w:hyperlink r:id="rId10767">
        <w:r>
          <w:rPr>
            <w:color w:val="0000EE"/>
            <w:u w:val="single"/>
          </w:rPr>
          <w:t>Deuteronômio 4.19</w:t>
        </w:r>
      </w:hyperlink>
      <w:r>
        <w:t xml:space="preserve">; </w:t>
      </w:r>
      <w:hyperlink r:id="rId10770">
        <w:r>
          <w:rPr>
            <w:color w:val="0000EE"/>
            <w:u w:val="single"/>
          </w:rPr>
          <w:t>17.3</w:t>
        </w:r>
      </w:hyperlink>
      <w:r>
        <w:t>), os israelitas caíram na prática de adorar corpos celestes. Isso aconteceu particularmente durante os períodos assírio e babilônico (</w:t>
      </w:r>
      <w:hyperlink r:id="rId3540">
        <w:r>
          <w:rPr>
            <w:color w:val="0000EE"/>
            <w:u w:val="single"/>
          </w:rPr>
          <w:t>2 Reis 17.16</w:t>
        </w:r>
      </w:hyperlink>
      <w:r>
        <w:t xml:space="preserve">; </w:t>
      </w:r>
      <w:hyperlink r:id="rId10771">
        <w:r>
          <w:rPr>
            <w:color w:val="0000EE"/>
            <w:u w:val="single"/>
          </w:rPr>
          <w:t>21.3–5</w:t>
        </w:r>
      </w:hyperlink>
      <w:r>
        <w:t xml:space="preserve">; </w:t>
      </w:r>
      <w:hyperlink r:id="rId10772">
        <w:r>
          <w:rPr>
            <w:color w:val="0000EE"/>
            <w:u w:val="single"/>
          </w:rPr>
          <w:t>2 Crônicas 33.3–5</w:t>
        </w:r>
      </w:hyperlink>
      <w:r>
        <w:t xml:space="preserve">; </w:t>
      </w:r>
      <w:hyperlink r:id="rId10773">
        <w:r>
          <w:rPr>
            <w:color w:val="0000EE"/>
            <w:u w:val="single"/>
          </w:rPr>
          <w:t>Jeremias 8.2</w:t>
        </w:r>
      </w:hyperlink>
      <w:r>
        <w:t xml:space="preserve">; </w:t>
      </w:r>
      <w:hyperlink r:id="rId10774">
        <w:r>
          <w:rPr>
            <w:color w:val="0000EE"/>
            <w:u w:val="single"/>
          </w:rPr>
          <w:t>Sofonias 1.5</w:t>
        </w:r>
      </w:hyperlink>
      <w:r>
        <w:t>). O corretivo para essa prática pagã é a crença no Senhor como o Criador do céu e da terra. O Senhor é o Todo-poderoso, aquele que reuniu os corpos celestes ao seu comando e os ordenou para desempenhar uma função especial (</w:t>
      </w:r>
      <w:hyperlink r:id="rId2808">
        <w:r>
          <w:rPr>
            <w:color w:val="0000EE"/>
            <w:u w:val="single"/>
          </w:rPr>
          <w:t>Gênesis 1.14–19</w:t>
        </w:r>
      </w:hyperlink>
      <w:r>
        <w:t xml:space="preserve">; </w:t>
      </w:r>
      <w:hyperlink r:id="rId10775">
        <w:r>
          <w:rPr>
            <w:color w:val="0000EE"/>
            <w:u w:val="single"/>
          </w:rPr>
          <w:t>2.1</w:t>
        </w:r>
      </w:hyperlink>
      <w:r>
        <w:t xml:space="preserve">; </w:t>
      </w:r>
      <w:hyperlink r:id="rId10776">
        <w:r>
          <w:rPr>
            <w:color w:val="0000EE"/>
            <w:u w:val="single"/>
          </w:rPr>
          <w:t>Neemias 9.6</w:t>
        </w:r>
      </w:hyperlink>
      <w:r>
        <w:t xml:space="preserve">; </w:t>
      </w:r>
      <w:hyperlink r:id="rId10777">
        <w:r>
          <w:rPr>
            <w:color w:val="0000EE"/>
            <w:u w:val="single"/>
          </w:rPr>
          <w:t>Salmos 33.6</w:t>
        </w:r>
      </w:hyperlink>
      <w:r>
        <w:t xml:space="preserve">; </w:t>
      </w:r>
      <w:hyperlink r:id="rId10778">
        <w:r>
          <w:rPr>
            <w:color w:val="0000EE"/>
            <w:u w:val="single"/>
          </w:rPr>
          <w:t>103.21</w:t>
        </w:r>
      </w:hyperlink>
      <w:r>
        <w:t xml:space="preserve">; </w:t>
      </w:r>
      <w:hyperlink r:id="rId1939">
        <w:r>
          <w:rPr>
            <w:color w:val="0000EE"/>
            <w:u w:val="single"/>
          </w:rPr>
          <w:t>148.2</w:t>
        </w:r>
      </w:hyperlink>
      <w:r>
        <w:t xml:space="preserve">; </w:t>
      </w:r>
      <w:hyperlink r:id="rId10779">
        <w:r>
          <w:rPr>
            <w:color w:val="0000EE"/>
            <w:u w:val="single"/>
          </w:rPr>
          <w:t>Isaías 40.26</w:t>
        </w:r>
      </w:hyperlink>
      <w:r>
        <w:t xml:space="preserve">; </w:t>
      </w:r>
      <w:hyperlink r:id="rId10780">
        <w:r>
          <w:rPr>
            <w:color w:val="0000EE"/>
            <w:u w:val="single"/>
          </w:rPr>
          <w:t>45.12</w:t>
        </w:r>
      </w:hyperlink>
      <w:r>
        <w:t>).</w:t>
      </w:r>
    </w:p>
    <w:p>
      <w:r/>
      <w:r>
        <w:t>Deus é frequentemente chamado de "o Senhor Deus dos exércitos", ou seja, dos exércitos celestiais (</w:t>
      </w:r>
      <w:hyperlink r:id="rId10781">
        <w:r>
          <w:rPr>
            <w:color w:val="0000EE"/>
            <w:u w:val="single"/>
          </w:rPr>
          <w:t>Jeremias 5.14</w:t>
        </w:r>
      </w:hyperlink>
      <w:r>
        <w:t xml:space="preserve">; </w:t>
      </w:r>
      <w:hyperlink r:id="rId10782">
        <w:r>
          <w:rPr>
            <w:color w:val="0000EE"/>
            <w:u w:val="single"/>
          </w:rPr>
          <w:t>38.17</w:t>
        </w:r>
      </w:hyperlink>
      <w:r>
        <w:t xml:space="preserve">; </w:t>
      </w:r>
      <w:hyperlink r:id="rId10783">
        <w:r>
          <w:rPr>
            <w:color w:val="0000EE"/>
            <w:u w:val="single"/>
          </w:rPr>
          <w:t>44.7</w:t>
        </w:r>
      </w:hyperlink>
      <w:r>
        <w:t xml:space="preserve">; </w:t>
      </w:r>
      <w:hyperlink r:id="rId10784">
        <w:r>
          <w:rPr>
            <w:color w:val="0000EE"/>
            <w:u w:val="single"/>
          </w:rPr>
          <w:t>Oséias 12.5</w:t>
        </w:r>
      </w:hyperlink>
      <w:r>
        <w:t>). O exército celestial inclui anjos ou mensageiros que estão associados ao trabalho do Senhor no céu e na terra. Deus preside um conselho celestial composto por anjos ou "filhos de Deus" (</w:t>
      </w:r>
      <w:hyperlink r:id="rId9561">
        <w:r>
          <w:rPr>
            <w:color w:val="0000EE"/>
            <w:u w:val="single"/>
          </w:rPr>
          <w:t>Gênesis 1.26</w:t>
        </w:r>
      </w:hyperlink>
      <w:r>
        <w:t xml:space="preserve">; </w:t>
      </w:r>
      <w:hyperlink r:id="rId2076">
        <w:r>
          <w:rPr>
            <w:color w:val="0000EE"/>
            <w:u w:val="single"/>
          </w:rPr>
          <w:t>1 Reis 22.19</w:t>
        </w:r>
      </w:hyperlink>
      <w:r>
        <w:t xml:space="preserve">; </w:t>
      </w:r>
      <w:hyperlink r:id="rId7986">
        <w:r>
          <w:rPr>
            <w:color w:val="0000EE"/>
            <w:u w:val="single"/>
          </w:rPr>
          <w:t>Jó 1.6</w:t>
        </w:r>
      </w:hyperlink>
      <w:r>
        <w:t xml:space="preserve">; </w:t>
      </w:r>
      <w:hyperlink r:id="rId10785">
        <w:r>
          <w:rPr>
            <w:color w:val="0000EE"/>
            <w:u w:val="single"/>
          </w:rPr>
          <w:t>Salmo 82</w:t>
        </w:r>
      </w:hyperlink>
      <w:r>
        <w:t xml:space="preserve">; </w:t>
      </w:r>
      <w:hyperlink r:id="rId1938">
        <w:r>
          <w:rPr>
            <w:color w:val="0000EE"/>
            <w:u w:val="single"/>
          </w:rPr>
          <w:t>Isaías 6</w:t>
        </w:r>
      </w:hyperlink>
      <w:r>
        <w:t>). Mensageiros são enviados do conselho do Senhor para cumprir seu propósito (</w:t>
      </w:r>
      <w:hyperlink r:id="rId10786">
        <w:r>
          <w:rPr>
            <w:color w:val="0000EE"/>
            <w:u w:val="single"/>
          </w:rPr>
          <w:t>Gênesis 28.12–15</w:t>
        </w:r>
      </w:hyperlink>
      <w:r>
        <w:t xml:space="preserve">; </w:t>
      </w:r>
      <w:hyperlink r:id="rId10787">
        <w:r>
          <w:rPr>
            <w:color w:val="0000EE"/>
            <w:u w:val="single"/>
          </w:rPr>
          <w:t>Lucas 2.13</w:t>
        </w:r>
      </w:hyperlink>
      <w:r>
        <w:t>).</w:t>
      </w:r>
    </w:p>
    <w:p>
      <w:r/>
      <w:r>
        <w:t xml:space="preserve">Embora os exércitos sejam às vezes entendidos como as estrelas ou anjos, as tribos de Israel também são chamadas de “o exército do Senhor”. O “exército do céu” em </w:t>
      </w:r>
      <w:hyperlink r:id="rId10788">
        <w:r>
          <w:rPr>
            <w:color w:val="0000EE"/>
            <w:u w:val="single"/>
          </w:rPr>
          <w:t>Daniel 8.10–11</w:t>
        </w:r>
      </w:hyperlink>
      <w:r>
        <w:t xml:space="preserve"> parece ser uma linguagem figurativa referindo-se a Israel, “o povo santo” e Deus, o Rei de Israel, é chamado de “o Príncipe do exército”.</w:t>
      </w:r>
    </w:p>
    <w:p>
      <w:r/>
      <w:r>
        <w:t>As palavras gregas traduzidas como “hoste” ocorrem apenas duas vezes no Novo Testamento (</w:t>
      </w:r>
      <w:hyperlink r:id="rId10787">
        <w:r>
          <w:rPr>
            <w:color w:val="0000EE"/>
            <w:u w:val="single"/>
          </w:rPr>
          <w:t>Lucas 2.13</w:t>
        </w:r>
      </w:hyperlink>
      <w:r>
        <w:t xml:space="preserve">; </w:t>
      </w:r>
      <w:hyperlink r:id="rId4429">
        <w:r>
          <w:rPr>
            <w:color w:val="0000EE"/>
            <w:u w:val="single"/>
          </w:rPr>
          <w:t>Atos 7.42</w:t>
        </w:r>
      </w:hyperlink>
      <w:r>
        <w:t>). “Senhor dos Exércitos” é usado por Paulo e Tiago como um título para o Senhor (</w:t>
      </w:r>
      <w:hyperlink r:id="rId4871">
        <w:r>
          <w:rPr>
            <w:color w:val="0000EE"/>
            <w:u w:val="single"/>
          </w:rPr>
          <w:t>Romanos 9.29</w:t>
        </w:r>
      </w:hyperlink>
      <w:r>
        <w:t xml:space="preserve">; </w:t>
      </w:r>
      <w:hyperlink r:id="rId10789">
        <w:r>
          <w:rPr>
            <w:color w:val="0000EE"/>
            <w:u w:val="single"/>
          </w:rPr>
          <w:t>Tiago 5.4</w:t>
        </w:r>
      </w:hyperlink>
      <w:r>
        <w:t>). O termo expressa o poder soberano e a majestade de Deus na história, mas a identificação precisa dos “exércitos” que estão sob seu comando é incerta.</w:t>
      </w:r>
    </w:p>
    <w:p>
      <w:r/>
      <w:r>
        <w:rPr>
          <w:i/>
        </w:rPr>
        <w:t>Veja também</w:t>
      </w:r>
      <w:r>
        <w:t xml:space="preserve"> </w:t>
      </w:r>
      <w:r>
        <w:t>Senhor dos Exércitos</w:t>
      </w:r>
      <w:r>
        <w:t>.</w:t>
      </w:r>
      <w:r/>
      <w:r/>
    </w:p>
    <w:p>
      <w:r/>
    </w:p>
    <w:p>
      <w:pPr>
        <w:pStyle w:val="Heading2"/>
      </w:pPr>
      <w:r>
        <w:t>Hufã, hufamita</w:t>
      </w:r>
      <w:r/>
    </w:p>
    <w:p>
      <w:r/>
      <w:r>
        <w:t>Benjamita e o fundador da família hufamita (</w:t>
      </w:r>
      <w:hyperlink r:id="rId10790">
        <w:r>
          <w:rPr>
            <w:color w:val="0000EE"/>
            <w:u w:val="single"/>
          </w:rPr>
          <w:t>Nm 26.39</w:t>
        </w:r>
      </w:hyperlink>
      <w:r>
        <w:t>); ele talvez possa ser identificado com Hupim (</w:t>
      </w:r>
      <w:hyperlink r:id="rId661">
        <w:r>
          <w:rPr>
            <w:color w:val="0000EE"/>
            <w:u w:val="single"/>
          </w:rPr>
          <w:t>Gn 46.21</w:t>
        </w:r>
      </w:hyperlink>
      <w:r>
        <w:t xml:space="preserve">; </w:t>
      </w:r>
      <w:hyperlink r:id="rId10791">
        <w:r>
          <w:rPr>
            <w:color w:val="0000EE"/>
            <w:u w:val="single"/>
          </w:rPr>
          <w:t>1Cr 7.12,15</w:t>
        </w:r>
      </w:hyperlink>
      <w:r>
        <w:t>) e Hurão (</w:t>
      </w:r>
      <w:hyperlink r:id="rId10792">
        <w:r>
          <w:rPr>
            <w:color w:val="0000EE"/>
            <w:u w:val="single"/>
          </w:rPr>
          <w:t>1Cr 8.5</w:t>
        </w:r>
      </w:hyperlink>
      <w:r>
        <w:t>).</w:t>
      </w:r>
    </w:p>
    <w:p>
      <w:r/>
      <w:r>
        <w:rPr>
          <w:i/>
        </w:rPr>
        <w:t>Veja também</w:t>
      </w:r>
      <w:r>
        <w:t xml:space="preserve"> </w:t>
      </w:r>
      <w:r>
        <w:t>Hupim</w:t>
      </w:r>
      <w:r>
        <w:t xml:space="preserve">; </w:t>
      </w:r>
      <w:r>
        <w:t>Hurão #1</w:t>
      </w:r>
      <w:r>
        <w:t>.</w:t>
      </w:r>
      <w:r/>
      <w:r/>
    </w:p>
    <w:p>
      <w:r/>
    </w:p>
    <w:p>
      <w:pPr>
        <w:pStyle w:val="Heading2"/>
      </w:pPr>
      <w:r>
        <w:t>Hul</w:t>
      </w:r>
      <w:r/>
    </w:p>
    <w:p>
      <w:r/>
      <w:r>
        <w:t>Filho de Arã e neto de Sem (</w:t>
      </w:r>
      <w:hyperlink r:id="rId9935">
        <w:r>
          <w:rPr>
            <w:color w:val="0000EE"/>
            <w:u w:val="single"/>
          </w:rPr>
          <w:t>Gn 10.23</w:t>
        </w:r>
      </w:hyperlink>
      <w:r>
        <w:t xml:space="preserve">; </w:t>
      </w:r>
      <w:hyperlink r:id="rId2311">
        <w:r>
          <w:rPr>
            <w:color w:val="0000EE"/>
            <w:u w:val="single"/>
          </w:rPr>
          <w:t>1Cr 1.17</w:t>
        </w:r>
      </w:hyperlink>
      <w:r>
        <w:t>).</w:t>
      </w:r>
      <w:r/>
      <w:r/>
    </w:p>
    <w:p>
      <w:r/>
    </w:p>
    <w:p>
      <w:pPr>
        <w:pStyle w:val="Heading2"/>
      </w:pPr>
      <w:r>
        <w:t>Humildade</w:t>
      </w:r>
      <w:r/>
    </w:p>
    <w:p>
      <w:r/>
      <w:r>
        <w:t>Uma condição de modéstia ou aflição em que se experimenta uma perda de poder e prestígio. Fora da fé bíblica, a humildade neste sentido não seria geralmente considerada uma virtude. Dentro do contexto da tradição judaico-cristã, no entanto, a humildade é considerada a atitude adequada dos seres humanos em relação a seu Criador. A humildade é uma consciência grata e espontânea de que a vida é um presente, manifestando-se como um reconhecimento sincero e despretensioso da dependência absoluta de Deus.</w:t>
      </w:r>
    </w:p>
    <w:p>
      <w:r/>
      <w:r>
        <w:t>Na literatura bíblica, não há uma distinção clara entre humildade e mansidão ou paciência. Nos estágios iniciais da história de Israel, os humildes foram identificados como os pobres, os aflitos e os impotentes. O Senhor livra os humildes, mas derruba os orgulhosos (</w:t>
      </w:r>
      <w:hyperlink r:id="rId10793">
        <w:r>
          <w:rPr>
            <w:color w:val="0000EE"/>
            <w:u w:val="single"/>
          </w:rPr>
          <w:t>1Sm 2.7</w:t>
        </w:r>
      </w:hyperlink>
      <w:r>
        <w:t xml:space="preserve">; </w:t>
      </w:r>
      <w:hyperlink r:id="rId10794">
        <w:r>
          <w:rPr>
            <w:color w:val="0000EE"/>
            <w:u w:val="single"/>
          </w:rPr>
          <w:t>2Sm 22.28</w:t>
        </w:r>
      </w:hyperlink>
      <w:r>
        <w:t>). Diante do poder e glória de Deus, o patriarca Abraão confessou que ele era apenas pó e cinzas (</w:t>
      </w:r>
      <w:hyperlink r:id="rId4919">
        <w:r>
          <w:rPr>
            <w:color w:val="0000EE"/>
            <w:u w:val="single"/>
          </w:rPr>
          <w:t>Gn 18.27</w:t>
        </w:r>
      </w:hyperlink>
      <w:r>
        <w:t>). Israel começou como uma nação submetida à escravidão e se reconhecia como um povo escolhido não por causa da força numérica ou riqueza material, mas por causa do amor de Deus (</w:t>
      </w:r>
      <w:hyperlink r:id="rId7832">
        <w:r>
          <w:rPr>
            <w:color w:val="0000EE"/>
            <w:u w:val="single"/>
          </w:rPr>
          <w:t>Dt 7.7–8</w:t>
        </w:r>
      </w:hyperlink>
      <w:r>
        <w:t xml:space="preserve">). Ao atribuir a fonte de toda a riqueza e poder ao Senhor, essas duas principais fontes de orgulho e arrogância humanos são controladas (cf. </w:t>
      </w:r>
      <w:hyperlink r:id="rId10795">
        <w:r>
          <w:rPr>
            <w:color w:val="0000EE"/>
            <w:u w:val="single"/>
          </w:rPr>
          <w:t>Jr 9.23–24</w:t>
        </w:r>
      </w:hyperlink>
      <w:r>
        <w:t>).</w:t>
      </w:r>
    </w:p>
    <w:p>
      <w:r/>
      <w:r>
        <w:t>Os pobres humildes são o interesse constante do Senhor (</w:t>
      </w:r>
      <w:hyperlink r:id="rId10796">
        <w:r>
          <w:rPr>
            <w:color w:val="0000EE"/>
            <w:u w:val="single"/>
          </w:rPr>
          <w:t>Êx 23.6,11</w:t>
        </w:r>
      </w:hyperlink>
      <w:r>
        <w:t xml:space="preserve">; </w:t>
      </w:r>
      <w:hyperlink r:id="rId10797">
        <w:r>
          <w:rPr>
            <w:color w:val="0000EE"/>
            <w:u w:val="single"/>
          </w:rPr>
          <w:t>Dt 15.4,7</w:t>
        </w:r>
      </w:hyperlink>
      <w:r>
        <w:t>). Consequentemente, a humildade dos pobres tornou-se o símbolo do justo temente a Deus (</w:t>
      </w:r>
      <w:hyperlink r:id="rId325">
        <w:r>
          <w:rPr>
            <w:color w:val="0000EE"/>
            <w:u w:val="single"/>
          </w:rPr>
          <w:t>Nm 12.3</w:t>
        </w:r>
      </w:hyperlink>
      <w:r>
        <w:t>). No desenvolvimento do conceito de humildade no AT, a humildade é quase igualada com justiça e é identificada, juntamente com justiça e misericórdia, como a exigência de Deus (</w:t>
      </w:r>
      <w:hyperlink r:id="rId347">
        <w:r>
          <w:rPr>
            <w:color w:val="0000EE"/>
            <w:u w:val="single"/>
          </w:rPr>
          <w:t>Mq 6.8</w:t>
        </w:r>
      </w:hyperlink>
      <w:r>
        <w:t>). Nos Salmos especialmente, “os aflitos” é quase um termo técnico para os justos (</w:t>
      </w:r>
      <w:hyperlink r:id="rId10798">
        <w:r>
          <w:rPr>
            <w:color w:val="0000EE"/>
            <w:u w:val="single"/>
          </w:rPr>
          <w:t>Sl 22.26</w:t>
        </w:r>
      </w:hyperlink>
      <w:r>
        <w:t xml:space="preserve">; </w:t>
      </w:r>
      <w:hyperlink r:id="rId10799">
        <w:r>
          <w:rPr>
            <w:color w:val="0000EE"/>
            <w:u w:val="single"/>
          </w:rPr>
          <w:t>25.9</w:t>
        </w:r>
      </w:hyperlink>
      <w:r>
        <w:t xml:space="preserve">; </w:t>
      </w:r>
      <w:hyperlink r:id="rId10800">
        <w:r>
          <w:rPr>
            <w:color w:val="0000EE"/>
            <w:u w:val="single"/>
          </w:rPr>
          <w:t>147.6</w:t>
        </w:r>
      </w:hyperlink>
      <w:r>
        <w:t>).</w:t>
      </w:r>
    </w:p>
    <w:p>
      <w:r/>
      <w:r>
        <w:t>Além disso, a humildade é a resposta apropriada do pecador na presença da santidade de Deus. O profeta Isaías, confrontado pela glória de Deus no templo, clamou: “Minha destruição está selada, pois sou um homem pecador” (</w:t>
      </w:r>
      <w:hyperlink r:id="rId10801">
        <w:r>
          <w:rPr>
            <w:color w:val="0000EE"/>
            <w:u w:val="single"/>
          </w:rPr>
          <w:t>Is 6.5</w:t>
        </w:r>
      </w:hyperlink>
      <w:r>
        <w:t>). Assim, a humildade tornou-se mais um traço de caráter do que um termo que refletia um estado de pobreza material ou aflição. Tornou-se um conceito reflexivo da essência da piedade e devoção esperada de todas as pessoas que têm Deus como seu Senhor.</w:t>
      </w:r>
    </w:p>
    <w:p>
      <w:r/>
      <w:r>
        <w:t>Apenas raramente no NT a humildade refere-se a uma condição objetiva de pobreza, aflição ou opressão. O padrão de humildade é desenvolvido em conexão com Jesus como Messias. O ideal religioso de humildade que o AT atribuiu ao Rei que viria certamente aplicava-se a Jesus (</w:t>
      </w:r>
      <w:hyperlink r:id="rId10335">
        <w:r>
          <w:rPr>
            <w:color w:val="0000EE"/>
            <w:u w:val="single"/>
          </w:rPr>
          <w:t>Zc 9.9</w:t>
        </w:r>
      </w:hyperlink>
      <w:r>
        <w:t xml:space="preserve">; cf. </w:t>
      </w:r>
      <w:hyperlink r:id="rId10802">
        <w:r>
          <w:rPr>
            <w:color w:val="0000EE"/>
            <w:u w:val="single"/>
          </w:rPr>
          <w:t>Mt 21.4–5</w:t>
        </w:r>
      </w:hyperlink>
      <w:r>
        <w:t>). Como Filho de Deus, Jesus não pensou em si mesmo, mas viveu uma vida de obediência e confiança em Deus, o Pai. O apóstolo Paulo atribuiu ao Filho encarnado de Deus um autoesvaziamento pelo qual ele “se humilhou” e assumiu a forma de um servo (</w:t>
      </w:r>
      <w:hyperlink r:id="rId10803">
        <w:r>
          <w:rPr>
            <w:color w:val="0000EE"/>
            <w:u w:val="single"/>
          </w:rPr>
          <w:t>Fp 2.5–8</w:t>
        </w:r>
      </w:hyperlink>
      <w:r>
        <w:t>). O caráter de Jesus não exibiu orgulho ou arrogância.</w:t>
      </w:r>
    </w:p>
    <w:p>
      <w:r/>
      <w:r>
        <w:t>Embora ousado diante da hipocrisia e inabalável em sua repudiação da religião pretensiosa, Jesus era “gentil e humilde de coração” (</w:t>
      </w:r>
      <w:hyperlink r:id="rId936">
        <w:r>
          <w:rPr>
            <w:color w:val="0000EE"/>
            <w:u w:val="single"/>
          </w:rPr>
          <w:t>Mt 11.29</w:t>
        </w:r>
      </w:hyperlink>
      <w:r>
        <w:t>). Ele poderia, portanto, emitir uma grave advertência contra o desejo de status e repreender abertamente os fariseus por sua violência contra os pobres e oprimidos (</w:t>
      </w:r>
      <w:hyperlink r:id="rId10804">
        <w:r>
          <w:rPr>
            <w:color w:val="0000EE"/>
            <w:u w:val="single"/>
          </w:rPr>
          <w:t>Lc 14.11</w:t>
        </w:r>
      </w:hyperlink>
      <w:r>
        <w:t xml:space="preserve">; </w:t>
      </w:r>
      <w:hyperlink r:id="rId10805">
        <w:r>
          <w:rPr>
            <w:color w:val="0000EE"/>
            <w:u w:val="single"/>
          </w:rPr>
          <w:t>Mt 23.12</w:t>
        </w:r>
      </w:hyperlink>
      <w:r>
        <w:t>). Ao mesmo tempo, era humilde diante daqueles que ele havia se tornado servo e ajudador (</w:t>
      </w:r>
      <w:hyperlink r:id="rId10806">
        <w:r>
          <w:rPr>
            <w:color w:val="0000EE"/>
            <w:u w:val="single"/>
          </w:rPr>
          <w:t>Lc 22.27</w:t>
        </w:r>
      </w:hyperlink>
      <w:r>
        <w:t xml:space="preserve">; </w:t>
      </w:r>
      <w:hyperlink r:id="rId921">
        <w:r>
          <w:rPr>
            <w:color w:val="0000EE"/>
            <w:u w:val="single"/>
          </w:rPr>
          <w:t>Mc 10.45</w:t>
        </w:r>
      </w:hyperlink>
      <w:r>
        <w:t xml:space="preserve">; </w:t>
      </w:r>
      <w:hyperlink r:id="rId920">
        <w:r>
          <w:rPr>
            <w:color w:val="0000EE"/>
            <w:u w:val="single"/>
          </w:rPr>
          <w:t>Mt 20.28</w:t>
        </w:r>
      </w:hyperlink>
      <w:r>
        <w:t>). A mais alta dignidade de Jesus e sua disposição de aceitar a cruz em submissão à vontade do Pai são uma só. Então seu ensino sobre a pobreza de espírito soou verdadeiro como um testemunho de sua própria vida. Ele atribuiu toda a glória a seu Pai e viveu em total dependência dele (</w:t>
      </w:r>
      <w:hyperlink r:id="rId10807">
        <w:r>
          <w:rPr>
            <w:color w:val="0000EE"/>
            <w:u w:val="single"/>
          </w:rPr>
          <w:t>Jo 5.19</w:t>
        </w:r>
      </w:hyperlink>
      <w:r>
        <w:t xml:space="preserve">; </w:t>
      </w:r>
      <w:hyperlink r:id="rId10808">
        <w:r>
          <w:rPr>
            <w:color w:val="0000EE"/>
            <w:u w:val="single"/>
          </w:rPr>
          <w:t>6.38</w:t>
        </w:r>
      </w:hyperlink>
      <w:r>
        <w:t xml:space="preserve">; </w:t>
      </w:r>
      <w:hyperlink r:id="rId10809">
        <w:r>
          <w:rPr>
            <w:color w:val="0000EE"/>
            <w:u w:val="single"/>
          </w:rPr>
          <w:t>7.15</w:t>
        </w:r>
      </w:hyperlink>
      <w:r>
        <w:t xml:space="preserve">; </w:t>
      </w:r>
      <w:hyperlink r:id="rId6304">
        <w:r>
          <w:rPr>
            <w:color w:val="0000EE"/>
            <w:u w:val="single"/>
          </w:rPr>
          <w:t>8.28,50</w:t>
        </w:r>
      </w:hyperlink>
      <w:r>
        <w:t xml:space="preserve">; </w:t>
      </w:r>
      <w:hyperlink r:id="rId10810">
        <w:r>
          <w:rPr>
            <w:color w:val="0000EE"/>
            <w:u w:val="single"/>
          </w:rPr>
          <w:t>14.10,24</w:t>
        </w:r>
      </w:hyperlink>
      <w:r>
        <w:t>). Ao lavar os pés de seus discípulos, ele assumiu o papel de servo sem perder a dignidade ou a autoestima. E ele estabeleceu tal serviço como um modelo de vida que encontra felicidade em preferir os outros a si (</w:t>
      </w:r>
      <w:hyperlink r:id="rId10811">
        <w:r>
          <w:rPr>
            <w:color w:val="0000EE"/>
            <w:u w:val="single"/>
          </w:rPr>
          <w:t>Jo 13.1–20</w:t>
        </w:r>
      </w:hyperlink>
      <w:r>
        <w:t xml:space="preserve">; </w:t>
      </w:r>
      <w:hyperlink r:id="rId5310">
        <w:r>
          <w:rPr>
            <w:color w:val="0000EE"/>
            <w:u w:val="single"/>
          </w:rPr>
          <w:t>Fp 2.1–4</w:t>
        </w:r>
      </w:hyperlink>
      <w:r>
        <w:t>).</w:t>
      </w:r>
    </w:p>
    <w:p>
      <w:r/>
      <w:r>
        <w:t xml:space="preserve">Consequentemente, os discípulos de Jesus também são convocados para uma vida de humildade. Virando as costas ao status, segurança e sucesso, os cristãos buscam uma oportunidade de se realizar ao servir aos outros. Portanto, a humildade é o princípio de vida abrangente pelo qual o amor busca o bem dos outros e, assim, cumpre a lei (cf. </w:t>
      </w:r>
      <w:hyperlink r:id="rId10725">
        <w:r>
          <w:rPr>
            <w:color w:val="0000EE"/>
            <w:u w:val="single"/>
          </w:rPr>
          <w:t>Rm 12.10</w:t>
        </w:r>
      </w:hyperlink>
      <w:r>
        <w:t xml:space="preserve">; </w:t>
      </w:r>
      <w:hyperlink r:id="rId1173">
        <w:r>
          <w:rPr>
            <w:color w:val="0000EE"/>
            <w:u w:val="single"/>
          </w:rPr>
          <w:t>13.8–10</w:t>
        </w:r>
      </w:hyperlink>
      <w:r>
        <w:t>).</w:t>
      </w:r>
      <w:r/>
      <w:r/>
    </w:p>
    <w:p>
      <w:r/>
    </w:p>
    <w:p>
      <w:pPr>
        <w:pStyle w:val="Heading2"/>
      </w:pPr>
      <w:r>
        <w:t>Hupim</w:t>
      </w:r>
      <w:r/>
    </w:p>
    <w:p>
      <w:r/>
      <w:r>
        <w:t>Talvez o filho de Ir (Iri) e um descendente de Benjamim através da linhagem de Belá (</w:t>
      </w:r>
      <w:hyperlink r:id="rId661">
        <w:r>
          <w:rPr>
            <w:color w:val="0000EE"/>
            <w:u w:val="single"/>
          </w:rPr>
          <w:t>Gn 46.21</w:t>
        </w:r>
      </w:hyperlink>
      <w:r>
        <w:t xml:space="preserve">; </w:t>
      </w:r>
      <w:hyperlink r:id="rId10791">
        <w:r>
          <w:rPr>
            <w:color w:val="0000EE"/>
            <w:u w:val="single"/>
          </w:rPr>
          <w:t>1Cr 7.12,15</w:t>
        </w:r>
      </w:hyperlink>
      <w:r>
        <w:t>). Hupim é provavelmente uma grafia alternativa de Hufã, o pai da família hufamita da tribo de Benjamim (</w:t>
      </w:r>
      <w:hyperlink r:id="rId10790">
        <w:r>
          <w:rPr>
            <w:color w:val="0000EE"/>
            <w:u w:val="single"/>
          </w:rPr>
          <w:t>Nm 26.39</w:t>
        </w:r>
      </w:hyperlink>
      <w:r>
        <w:t>). Sua linhagem exata é difícil de determinar.</w:t>
      </w:r>
      <w:r/>
      <w:r/>
    </w:p>
    <w:p>
      <w:r/>
    </w:p>
    <w:p>
      <w:pPr>
        <w:pStyle w:val="Heading2"/>
      </w:pPr>
      <w:r>
        <w:t>Hur</w:t>
      </w:r>
      <w:r/>
    </w:p>
    <w:p>
      <w:pPr>
        <w:pStyle w:val="ListNumber"/>
        <w:spacing w:line="240" w:lineRule="auto"/>
        <w:ind w:left="720"/>
      </w:pPr>
      <w:r/>
      <w:r>
        <w:t>O assistente de Arão que ajudou a levantar as mãos de Moisés até que os amalequitas fossem derrotados em Refidim (</w:t>
      </w:r>
      <w:hyperlink r:id="rId10812">
        <w:r>
          <w:rPr>
            <w:color w:val="0000EE"/>
            <w:u w:val="single"/>
          </w:rPr>
          <w:t>Êx 17.8–13</w:t>
        </w:r>
      </w:hyperlink>
      <w:r>
        <w:t>). Ele é mencionado novamente como ajudando Arão a vigiar Israel enquanto Moisés estava no Monte Sinai (</w:t>
      </w:r>
      <w:hyperlink r:id="rId10813">
        <w:r>
          <w:rPr>
            <w:color w:val="0000EE"/>
            <w:u w:val="single"/>
          </w:rPr>
          <w:t>24.14</w:t>
        </w:r>
      </w:hyperlink>
      <w:r>
        <w:t>). Segundo Josefo, Hur era o marido de Miriã, a irmã de Moisés (</w:t>
      </w:r>
      <w:r>
        <w:rPr>
          <w:i/>
        </w:rPr>
        <w:t>Antiguidades</w:t>
      </w:r>
      <w:r>
        <w:t xml:space="preserve"> 3.2.4).</w:t>
      </w:r>
    </w:p>
    <w:p>
      <w:pPr>
        <w:pStyle w:val="ListNumber"/>
        <w:spacing w:line="240" w:lineRule="auto"/>
        <w:ind w:left="720"/>
      </w:pPr>
      <w:r/>
      <w:r>
        <w:t>O quarto dos cinco reis de Midiã que foi morto com Balaão pelos israelitas sob Moisés (</w:t>
      </w:r>
      <w:hyperlink r:id="rId2977">
        <w:r>
          <w:rPr>
            <w:color w:val="0000EE"/>
            <w:u w:val="single"/>
          </w:rPr>
          <w:t>Nm 31.8</w:t>
        </w:r>
      </w:hyperlink>
      <w:r>
        <w:t>). Ele também é referido como um dos “príncipes de Midiã” e “Seom” (</w:t>
      </w:r>
      <w:hyperlink r:id="rId8797">
        <w:r>
          <w:rPr>
            <w:color w:val="0000EE"/>
            <w:u w:val="single"/>
          </w:rPr>
          <w:t>Js 13.21</w:t>
        </w:r>
      </w:hyperlink>
      <w:r>
        <w:t>).</w:t>
      </w:r>
    </w:p>
    <w:p>
      <w:pPr>
        <w:pStyle w:val="ListNumber"/>
        <w:spacing w:line="240" w:lineRule="auto"/>
        <w:ind w:left="720"/>
      </w:pPr>
      <w:r/>
      <w:r>
        <w:t>O pai de um dos 12 oficiais que Salomão escolheu para fornecer comida para a casa do rei (</w:t>
      </w:r>
      <w:hyperlink r:id="rId10814">
        <w:r>
          <w:rPr>
            <w:color w:val="0000EE"/>
            <w:u w:val="single"/>
          </w:rPr>
          <w:t>1Rs 4.8</w:t>
        </w:r>
      </w:hyperlink>
      <w:r>
        <w:t>, "Ben-Hur" na ARC).</w:t>
      </w:r>
    </w:p>
    <w:p>
      <w:pPr>
        <w:pStyle w:val="ListNumber"/>
        <w:spacing w:line="240" w:lineRule="auto"/>
        <w:ind w:left="720"/>
      </w:pPr>
      <w:r/>
      <w:r>
        <w:t>O filho de Calebe e Efrate e avô de Bezalel (</w:t>
      </w:r>
      <w:hyperlink r:id="rId10815">
        <w:r>
          <w:rPr>
            <w:color w:val="0000EE"/>
            <w:u w:val="single"/>
          </w:rPr>
          <w:t>1Cr 2.19–20</w:t>
        </w:r>
      </w:hyperlink>
      <w:r>
        <w:t xml:space="preserve">; compare </w:t>
      </w:r>
      <w:hyperlink r:id="rId3519">
        <w:r>
          <w:rPr>
            <w:color w:val="0000EE"/>
            <w:u w:val="single"/>
          </w:rPr>
          <w:t>Êx 31.2</w:t>
        </w:r>
      </w:hyperlink>
      <w:r>
        <w:t xml:space="preserve">; </w:t>
      </w:r>
      <w:hyperlink r:id="rId3521">
        <w:r>
          <w:rPr>
            <w:color w:val="0000EE"/>
            <w:u w:val="single"/>
          </w:rPr>
          <w:t>38.22</w:t>
        </w:r>
      </w:hyperlink>
      <w:r>
        <w:t>). Alguns intérpretes consideram o Hur mencionado no ponto anterior como o avô de Bezalel. Outros acreditam que o Hur que ajudou Moisés era um homem diferente.</w:t>
      </w:r>
    </w:p>
    <w:p>
      <w:pPr>
        <w:pStyle w:val="ListNumber"/>
        <w:spacing w:line="240" w:lineRule="auto"/>
        <w:ind w:left="720"/>
      </w:pPr>
      <w:r/>
      <w:r>
        <w:t>O pai (ou talvez o nome da família) de Refaías, um líder após o exílio na Babilônia que ajudou Neemias a reconstruir o muro de Jerusalém (</w:t>
      </w:r>
      <w:hyperlink r:id="rId10816">
        <w:r>
          <w:rPr>
            <w:color w:val="0000EE"/>
            <w:u w:val="single"/>
          </w:rPr>
          <w:t>Ne 3.9</w:t>
        </w:r>
      </w:hyperlink>
      <w:r>
        <w:t>).</w:t>
      </w:r>
      <w:r/>
      <w:r/>
    </w:p>
    <w:p>
      <w:r/>
    </w:p>
    <w:p>
      <w:pPr>
        <w:pStyle w:val="Heading2"/>
      </w:pPr>
      <w:r>
        <w:t>Hurão (Hurã)</w:t>
      </w:r>
      <w:r/>
    </w:p>
    <w:p>
      <w:pPr>
        <w:pStyle w:val="ListNumber"/>
        <w:spacing w:line="240" w:lineRule="auto"/>
        <w:ind w:left="720"/>
      </w:pPr>
      <w:r/>
      <w:r>
        <w:t>Um filho de Bela da tribo de Benjamim (</w:t>
      </w:r>
      <w:hyperlink r:id="rId10792">
        <w:r>
          <w:rPr>
            <w:color w:val="0000EE"/>
            <w:u w:val="single"/>
          </w:rPr>
          <w:t>1Cr 8.5</w:t>
        </w:r>
      </w:hyperlink>
      <w:r>
        <w:t>). Ele pode ser a mesma pessoa que Hufã (</w:t>
      </w:r>
      <w:hyperlink r:id="rId10790">
        <w:r>
          <w:rPr>
            <w:color w:val="0000EE"/>
            <w:u w:val="single"/>
          </w:rPr>
          <w:t>Nm 26.39</w:t>
        </w:r>
      </w:hyperlink>
      <w:r>
        <w:t>). A NTLH usa a grafia Hurã.</w:t>
      </w:r>
    </w:p>
    <w:p>
      <w:pPr>
        <w:pStyle w:val="ListNumber"/>
        <w:spacing w:line="240" w:lineRule="auto"/>
        <w:ind w:left="720"/>
      </w:pPr>
      <w:r/>
      <w:r>
        <w:t>Outra grafia de Hirão, o rei fenício de Tiro que foi aliado de Davi e Salomão. Hirão forneceu materiais para a construção do templo (</w:t>
      </w:r>
      <w:hyperlink r:id="rId10817">
        <w:r>
          <w:rPr>
            <w:color w:val="0000EE"/>
            <w:u w:val="single"/>
          </w:rPr>
          <w:t>2Cr 2.3,11–12</w:t>
        </w:r>
      </w:hyperlink>
      <w:r>
        <w:t xml:space="preserve">; </w:t>
      </w:r>
      <w:hyperlink r:id="rId10818">
        <w:r>
          <w:rPr>
            <w:color w:val="0000EE"/>
            <w:u w:val="single"/>
          </w:rPr>
          <w:t>8.2,18</w:t>
        </w:r>
      </w:hyperlink>
      <w:r>
        <w:t xml:space="preserve">; </w:t>
      </w:r>
      <w:hyperlink r:id="rId10819">
        <w:r>
          <w:rPr>
            <w:color w:val="0000EE"/>
            <w:u w:val="single"/>
          </w:rPr>
          <w:t>9.10,21</w:t>
        </w:r>
      </w:hyperlink>
      <w:r>
        <w:t>).</w:t>
      </w:r>
    </w:p>
    <w:p>
      <w:r/>
      <w:r>
        <w:rPr>
          <w:i/>
        </w:rPr>
        <w:t>Veja</w:t>
      </w:r>
      <w:r>
        <w:t xml:space="preserve"> </w:t>
      </w:r>
      <w:r>
        <w:t>Hirão #1</w:t>
      </w:r>
      <w:r>
        <w:t>.</w:t>
      </w:r>
    </w:p>
    <w:p>
      <w:pPr>
        <w:pStyle w:val="ListNumber"/>
        <w:spacing w:line="240" w:lineRule="auto"/>
        <w:ind w:left="720"/>
      </w:pPr>
      <w:r/>
      <w:r>
        <w:t>Outra grafia de Hirão, um artesão de Tiro que trabalhou no templo de Salomão (</w:t>
      </w:r>
      <w:hyperlink r:id="rId10672">
        <w:r>
          <w:rPr>
            <w:color w:val="0000EE"/>
            <w:u w:val="single"/>
          </w:rPr>
          <w:t>2Cr 4.11</w:t>
        </w:r>
      </w:hyperlink>
      <w:r>
        <w:t>).</w:t>
      </w:r>
    </w:p>
    <w:p>
      <w:r/>
      <w:r>
        <w:rPr>
          <w:i/>
        </w:rPr>
        <w:t>Veja</w:t>
      </w:r>
      <w:r>
        <w:t xml:space="preserve"> </w:t>
      </w:r>
      <w:r>
        <w:t>Hirão #2</w:t>
      </w:r>
      <w:r>
        <w:t>.</w:t>
      </w:r>
      <w:r/>
      <w:r/>
    </w:p>
    <w:p>
      <w:r/>
    </w:p>
    <w:p>
      <w:pPr>
        <w:pStyle w:val="Heading2"/>
      </w:pPr>
      <w:r>
        <w:t>Husão</w:t>
      </w:r>
      <w:r/>
    </w:p>
    <w:p>
      <w:r/>
      <w:r>
        <w:t>O temanita que sucedeu a Jobabe como rei de Edom (</w:t>
      </w:r>
      <w:hyperlink r:id="rId10820">
        <w:r>
          <w:rPr>
            <w:color w:val="0000EE"/>
            <w:u w:val="single"/>
          </w:rPr>
          <w:t>Gn 36.34–35</w:t>
        </w:r>
      </w:hyperlink>
      <w:r>
        <w:t xml:space="preserve">; </w:t>
      </w:r>
      <w:hyperlink r:id="rId10821">
        <w:r>
          <w:rPr>
            <w:color w:val="0000EE"/>
            <w:u w:val="single"/>
          </w:rPr>
          <w:t>1Cr 1.45–46</w:t>
        </w:r>
      </w:hyperlink>
      <w:r>
        <w:t>).</w:t>
      </w:r>
      <w:r/>
      <w:r/>
    </w:p>
    <w:p>
      <w:r/>
    </w:p>
    <w:p>
      <w:pPr>
        <w:pStyle w:val="Heading2"/>
      </w:pPr>
      <w:r>
        <w:t>Husim</w:t>
      </w:r>
      <w:r/>
    </w:p>
    <w:p>
      <w:r/>
      <w:r>
        <w:t>1. Filho de Dã (</w:t>
      </w:r>
      <w:hyperlink r:id="rId6458">
        <w:r>
          <w:rPr>
            <w:color w:val="0000EE"/>
            <w:u w:val="single"/>
          </w:rPr>
          <w:t>Gn 46.23</w:t>
        </w:r>
      </w:hyperlink>
      <w:r>
        <w:t xml:space="preserve">), alternadamente chamado de Suã em </w:t>
      </w:r>
      <w:hyperlink r:id="rId10822">
        <w:r>
          <w:rPr>
            <w:color w:val="0000EE"/>
            <w:u w:val="single"/>
          </w:rPr>
          <w:t>Números 26.42</w:t>
        </w:r>
      </w:hyperlink>
      <w:r>
        <w:t>, onde é mencionado como o fundador da família suamita.</w:t>
      </w:r>
    </w:p>
    <w:p>
      <w:r/>
      <w:r>
        <w:t>2. Descendente benjamita de Aer (</w:t>
      </w:r>
      <w:hyperlink r:id="rId662">
        <w:r>
          <w:rPr>
            <w:color w:val="0000EE"/>
            <w:u w:val="single"/>
          </w:rPr>
          <w:t>1Cr 7.12</w:t>
        </w:r>
      </w:hyperlink>
      <w:r>
        <w:t>).</w:t>
      </w:r>
    </w:p>
    <w:p>
      <w:r/>
      <w:r>
        <w:t>3. Uma das três esposas de Saaraim, o benjamita (</w:t>
      </w:r>
      <w:hyperlink r:id="rId10823">
        <w:r>
          <w:rPr>
            <w:color w:val="0000EE"/>
            <w:u w:val="single"/>
          </w:rPr>
          <w:t>1Cr 8.8–11</w:t>
        </w:r>
      </w:hyperlink>
      <w:r>
        <w:t>).</w:t>
      </w:r>
      <w:r/>
      <w:r/>
    </w:p>
    <w:p>
      <w:r/>
    </w:p>
    <w:p>
      <w:pPr>
        <w:pStyle w:val="Heading2"/>
      </w:pPr>
      <w:r>
        <w:t>Huzote</w:t>
      </w:r>
      <w:r/>
    </w:p>
    <w:p>
      <w:r/>
      <w:r>
        <w:t>A grafia usada na versão NTLH para Quiriate-Huzote, uma cidade moabita (</w:t>
      </w:r>
      <w:hyperlink r:id="rId10824">
        <w:r>
          <w:rPr>
            <w:color w:val="0000EE"/>
            <w:u w:val="single"/>
          </w:rPr>
          <w:t>Nm 22.39</w:t>
        </w:r>
      </w:hyperlink>
      <w:r>
        <w:t>).</w:t>
      </w:r>
    </w:p>
    <w:p>
      <w:r/>
      <w:r>
        <w:rPr>
          <w:i/>
        </w:rPr>
        <w:t>Veja</w:t>
      </w:r>
      <w:r>
        <w:t xml:space="preserve"> </w:t>
      </w:r>
      <w:r>
        <w:t>Quiriate-Huzote</w:t>
      </w:r>
      <w:r>
        <w:t>.</w:t>
      </w:r>
      <w:r/>
      <w:r/>
    </w:p>
    <w:p>
      <w:r/>
    </w:p>
    <w:p>
      <w:pPr>
        <w:pStyle w:val="Heading2"/>
      </w:pPr>
      <w:r>
        <w:t>Íbis</w:t>
      </w:r>
      <w:r/>
    </w:p>
    <w:p>
      <w:r/>
      <w:r>
        <w:t xml:space="preserve">O íbis é uma ave pernalta com um bico longo e curvado. Esta ave aquática (nome científico </w:t>
      </w:r>
      <w:r>
        <w:rPr>
          <w:i/>
        </w:rPr>
        <w:t>Threskiornis aethiopica</w:t>
      </w:r>
      <w:r>
        <w:t>) é rara na Terra Santa atualmente, mas pode ter vivido lá durante os tempos bíblicos. Os antigos egípcios consideravam o íbis sagrado para seu deus Thoth (um deus da sabedoria e da escrita). O íbis quase desapareceu do Egito agora porque os pântanos ao longo do Rio Nilo secaram.</w:t>
      </w:r>
    </w:p>
    <w:p>
      <w:r/>
      <w:r>
        <w:t xml:space="preserve">Algumas traduções da Bíblia identificaram a ave em </w:t>
      </w:r>
      <w:hyperlink r:id="rId6033">
        <w:r>
          <w:rPr>
            <w:color w:val="0000EE"/>
            <w:u w:val="single"/>
          </w:rPr>
          <w:t>Levítico 11.17</w:t>
        </w:r>
      </w:hyperlink>
      <w:r>
        <w:t xml:space="preserve"> como o íbis, que é classificado como cerimonialmente impuro para comer. A mesma palavra hebraica aparece em </w:t>
      </w:r>
      <w:hyperlink r:id="rId6034">
        <w:r>
          <w:rPr>
            <w:color w:val="0000EE"/>
            <w:u w:val="single"/>
          </w:rPr>
          <w:t>Deuteronômio 14.16</w:t>
        </w:r>
      </w:hyperlink>
      <w:r>
        <w:t xml:space="preserve"> e </w:t>
      </w:r>
      <w:hyperlink r:id="rId1828">
        <w:r>
          <w:rPr>
            <w:color w:val="0000EE"/>
            <w:u w:val="single"/>
          </w:rPr>
          <w:t>Isaías 34.11</w:t>
        </w:r>
      </w:hyperlink>
      <w:r>
        <w:t xml:space="preserve">, onde a maioria das traduções da Bíblia usa "Corujão" em vez de "íbis". A maioria dos estudiosos da Bíblia hoje prefere a tradução "Grande coruja" ou "Corujão". A NTLH em </w:t>
      </w:r>
      <w:hyperlink r:id="rId6034">
        <w:r>
          <w:rPr>
            <w:color w:val="0000EE"/>
            <w:u w:val="single"/>
          </w:rPr>
          <w:t xml:space="preserve">Deuteronômio 14.16 </w:t>
        </w:r>
      </w:hyperlink>
      <w:r>
        <w:t xml:space="preserve">traduz como íbis, mas em </w:t>
      </w:r>
      <w:hyperlink r:id="rId1828">
        <w:r>
          <w:rPr>
            <w:color w:val="0000EE"/>
            <w:u w:val="single"/>
          </w:rPr>
          <w:t xml:space="preserve">Isaías 34.11 </w:t>
        </w:r>
      </w:hyperlink>
      <w:r>
        <w:t>traduz como corvos.</w:t>
      </w:r>
    </w:p>
    <w:p>
      <w:r/>
      <w:r>
        <w:rPr>
          <w:i/>
        </w:rPr>
        <w:t>Veja</w:t>
      </w:r>
      <w:r>
        <w:t xml:space="preserve"> </w:t>
      </w:r>
      <w:r>
        <w:t>Corujão</w:t>
      </w:r>
      <w:r>
        <w:t>.</w:t>
      </w:r>
      <w:r/>
      <w:r/>
    </w:p>
    <w:p>
      <w:r/>
    </w:p>
    <w:p>
      <w:pPr>
        <w:pStyle w:val="Heading2"/>
      </w:pPr>
      <w:r>
        <w:t>Icônio</w:t>
      </w:r>
      <w:r/>
    </w:p>
    <w:p>
      <w:r/>
      <w:r>
        <w:t>Uma cidade na parte sudoeste da Ásia Menor central. Sua localização ficava a cerca de 153 quilômetros da costa do Mediterrâneo. Hoje, Icônio é a cidade turca de Cônia, que também é a capital da província de Cônia.</w:t>
      </w:r>
    </w:p>
    <w:p>
      <w:pPr>
        <w:pStyle w:val="Heading3"/>
      </w:pPr>
      <w:r>
        <w:t>Economia</w:t>
      </w:r>
    </w:p>
    <w:p>
      <w:r/>
      <w:r>
        <w:t>Icônio era um centro agrícola famoso por seus campos de trigo e pomares de damasco e ameixa. Sua localização e clima ideais ajudaram a estabelecer Icônio como um elo importante nas rotas comerciais entre a Síria, Éfeso e Roma.</w:t>
      </w:r>
    </w:p>
    <w:p>
      <w:pPr>
        <w:pStyle w:val="Heading3"/>
      </w:pPr>
      <w:r>
        <w:t>Histórico</w:t>
      </w:r>
    </w:p>
    <w:p>
      <w:r/>
      <w:r>
        <w:t>A origem da cidade é incerta. Um grupo de tribos imigrantes do norte da Grécia, chamado Frígios, a fundou. O historiador grego Xenofonte, que viveu por volta de 428–354 a.C., menciona Icônio. Ele afirma que era uma cidade frígia visitada pelo Rei Ciro. Os habitantes de Icônio falavam a língua frígia, portanto, devem ter considerado que se originaram de lá. O nome de Icônio foi primeiramente Frígio.</w:t>
      </w:r>
    </w:p>
    <w:p>
      <w:r/>
      <w:r>
        <w:t xml:space="preserve">No entanto, um mito posterior atribuiu um significado grego ao nome. Segundo essa lenda, uma grande inundação destrói a humanidade. A vida é restaurada quando Prometeu e Atena sopram vida em figuras humanas. Essas figuras são feitas de lama deixada pelas águas em retirada. A palavra grega para “figura” é </w:t>
      </w:r>
      <w:r>
        <w:rPr>
          <w:i/>
        </w:rPr>
        <w:t>eikon.</w:t>
      </w:r>
      <w:r>
        <w:t xml:space="preserve"> De acordo com a lenda, é daí que Icônio recebe seu nome.</w:t>
      </w:r>
    </w:p>
    <w:p>
      <w:r/>
      <w:r>
        <w:t>No terceiro século a.C., os reis selêucidas da Síria governavam Icônio e promoviam a cultura grega. Os selêucidas rapidamente transformaram Icônio em uma cidade helenística onde se falava grego. Anualmente, dois magistrados nomeados governavam o povo. Mais tarde, os gauleses e os reis do Ponto dominaram Icônio de cerca de 165–63 a.C. No entanto, a cidade manteve seu caráter helenístico até os tempos do Novo Testamento. Em 36 a.C., Marco Antônio entregou a cidade ao rei Amintas. Quando ele morreu em 25 a.C., Icônio se uniu às cidades vizinhas de Listra, Derbe e Antioquia da Pisídia. Essas cidades se tornaram parte da província da Galácia e, posteriormente, foram incorporadas ao Império Romano.</w:t>
      </w:r>
    </w:p>
    <w:p>
      <w:pPr>
        <w:pStyle w:val="Heading3"/>
      </w:pPr>
      <w:r>
        <w:t>Icônio na Bíblia</w:t>
      </w:r>
    </w:p>
    <w:p>
      <w:r/>
      <w:r>
        <w:t>O apóstolo Paulo visitou Icônio em sua primeira viagem missionária. Depois que ele deixou Antioquia da Pisídia (</w:t>
      </w:r>
      <w:hyperlink r:id="rId10825">
        <w:r>
          <w:rPr>
            <w:color w:val="0000EE"/>
            <w:u w:val="single"/>
          </w:rPr>
          <w:t>At 13.51</w:t>
        </w:r>
      </w:hyperlink>
      <w:r>
        <w:t>), Paulo foi à sinagoga em Icônio. Inicialmente, sua pregação foi bem recebida tanto pelos judeus quanto pelos gregos. No entanto, os "judeus incrédulos" logo incitaram um motim contra ele (</w:t>
      </w:r>
      <w:hyperlink r:id="rId10826">
        <w:r>
          <w:rPr>
            <w:color w:val="0000EE"/>
            <w:u w:val="single"/>
          </w:rPr>
          <w:t>14.1–7</w:t>
        </w:r>
      </w:hyperlink>
      <w:r>
        <w:t xml:space="preserve">). Paulo fugiu para Listra, mas os judeus de Icônio o seguiram. Eles o apedrejaram e o deixaram como morto (v. </w:t>
      </w:r>
      <w:hyperlink r:id="rId1990">
        <w:r>
          <w:rPr>
            <w:color w:val="0000EE"/>
            <w:u w:val="single"/>
          </w:rPr>
          <w:t>19</w:t>
        </w:r>
      </w:hyperlink>
      <w:r>
        <w:t xml:space="preserve">; cp. </w:t>
      </w:r>
      <w:hyperlink r:id="rId2215">
        <w:r>
          <w:rPr>
            <w:color w:val="0000EE"/>
            <w:u w:val="single"/>
          </w:rPr>
          <w:t>2Tm 3.11</w:t>
        </w:r>
      </w:hyperlink>
      <w:r>
        <w:t>). Cuidado por amigos, Paulo juntou-se a Barnabé em Derbe. Lá, eles fizeram muitos discípulos. Depois, retornaram a Icônio para fortalecer os cristãos ali (</w:t>
      </w:r>
      <w:hyperlink r:id="rId10827">
        <w:r>
          <w:rPr>
            <w:color w:val="0000EE"/>
            <w:u w:val="single"/>
          </w:rPr>
          <w:t>At 14.20–23</w:t>
        </w:r>
      </w:hyperlink>
      <w:r>
        <w:t>). Mais tarde, Paulo partiu em uma segunda viagem missionária. Os cristãos em Icônio recomendaram Timóteo a Paulo e Silas (</w:t>
      </w:r>
      <w:hyperlink r:id="rId4976">
        <w:r>
          <w:rPr>
            <w:color w:val="0000EE"/>
            <w:u w:val="single"/>
          </w:rPr>
          <w:t>16.1–2</w:t>
        </w:r>
      </w:hyperlink>
      <w:r>
        <w:t>).</w:t>
      </w:r>
      <w:r/>
      <w:r/>
    </w:p>
    <w:p>
      <w:r/>
    </w:p>
    <w:p>
      <w:pPr>
        <w:pStyle w:val="Heading2"/>
      </w:pPr>
      <w:r>
        <w:t>Ídolos, Idolatria</w:t>
      </w:r>
      <w:r/>
    </w:p>
    <w:p>
      <w:r/>
      <w:r>
        <w:t>Imagens feitas pelo homem ou representações naturais adoradas como divindades; qualquer coisa que receba adoração além do único Deus verdadeiro. Idolatria é a adoração espiritual de um ídolo. Muitos idólatras servem literalmente ídolos: no antigo Egito, estátuas de deuses eram regularmente e ritualmente vestidas e alimentadas. Um conceito da adoração de um falso deus, Baal, é dado no relato do concurso no Monte Carmelo: os sacerdotes de Baal clamavam em voz alta, eles "saltavam" (ARC) ao redor do altar, cortavam-se com espadas e lanças (</w:t>
      </w:r>
      <w:hyperlink r:id="rId10828">
        <w:r>
          <w:rPr>
            <w:color w:val="0000EE"/>
            <w:u w:val="single"/>
          </w:rPr>
          <w:t>1Rs 18.26–29</w:t>
        </w:r>
      </w:hyperlink>
      <w:r>
        <w:t>). A adoração a Baal foi amplamente seguida por Israel durante o período da monarquia.</w:t>
      </w:r>
    </w:p>
    <w:p>
      <w:pPr>
        <w:pStyle w:val="Heading3"/>
      </w:pPr>
      <w:r>
        <w:t>No Antigo Testamento</w:t>
      </w:r>
    </w:p>
    <w:p>
      <w:r/>
      <w:r>
        <w:t>Os ancestrais de Abraão eram adoradores de ídolos na Mesopotâmia (</w:t>
      </w:r>
      <w:hyperlink r:id="rId10829">
        <w:r>
          <w:rPr>
            <w:color w:val="0000EE"/>
            <w:u w:val="single"/>
          </w:rPr>
          <w:t>Js 24.2</w:t>
        </w:r>
      </w:hyperlink>
      <w:r>
        <w:t>). Escavações arqueológicas nessa área revelaram imagens de inúmeras divindades, e a literatura religiosa mesopotâmica mostra o grosseiro politeísmo do qual Abraão se originou. A tendência dos israelitas para a idolatria era, em parte, a expressão do anseio humano universal por um deus que se pode ver e conhecer através dos sentidos físicos.</w:t>
      </w:r>
    </w:p>
    <w:p>
      <w:r/>
      <w:r>
        <w:t>A maior parte da idolatria dos israelitas foi adotada de seus vizinhos. Durante os mais de 400 anos que os descendentes de Jacó passaram no Egito, eles foram expostos à idolatria politeísta, o que influenciou sua mentalidade religiosa. No Sinai, enquanto Moisés recebia os Dez Mandamentos do Senhor, o povo exigiu que Arão fizesse deuses para eles (</w:t>
      </w:r>
      <w:hyperlink r:id="rId10830">
        <w:r>
          <w:rPr>
            <w:color w:val="0000EE"/>
            <w:u w:val="single"/>
          </w:rPr>
          <w:t>Êx 32.1–6</w:t>
        </w:r>
      </w:hyperlink>
      <w:r>
        <w:t>). Ele moldou um bezerro de ouro, seguindo uma forma egípcia, pois toda a família bovina era adorada no Egito — o touro Ápis, a vaca Hathor e o bezerro Mnevis.</w:t>
      </w:r>
    </w:p>
    <w:p>
      <w:r/>
      <w:r>
        <w:t>Foi após sua estadia no Egito (</w:t>
      </w:r>
      <w:hyperlink r:id="rId10831">
        <w:r>
          <w:rPr>
            <w:color w:val="0000EE"/>
            <w:u w:val="single"/>
          </w:rPr>
          <w:t>1Rs 11.40</w:t>
        </w:r>
      </w:hyperlink>
      <w:r>
        <w:t>) que Jeroboão se tornou rei de Israel e instalou bezerros de ouro, um em Betel e outro em Dã (</w:t>
      </w:r>
      <w:hyperlink r:id="rId3537">
        <w:r>
          <w:rPr>
            <w:color w:val="0000EE"/>
            <w:u w:val="single"/>
          </w:rPr>
          <w:t>12.26–33</w:t>
        </w:r>
      </w:hyperlink>
      <w:r>
        <w:t>), uma ação que lhe rendeu o rótulo de ser aquele que fez Israel pecar (</w:t>
      </w:r>
      <w:hyperlink r:id="rId10832">
        <w:r>
          <w:rPr>
            <w:color w:val="0000EE"/>
            <w:u w:val="single"/>
          </w:rPr>
          <w:t>2Rs 3.3</w:t>
        </w:r>
      </w:hyperlink>
      <w:r>
        <w:t>).</w:t>
      </w:r>
    </w:p>
    <w:p>
      <w:r/>
      <w:r>
        <w:t>Já nos tempos patriarcais há referências aos terafins, ou deuses domésticos. Exemplares desses ídolos foram encontrados em Ur dos Caldeus, Nuzi e outros locais, e são mencionados nas tábuas cuneiformes. Os terafins que Raquel roubou de Labão poderiam estar escondidos na sela de seu camelo (</w:t>
      </w:r>
      <w:hyperlink r:id="rId10833">
        <w:r>
          <w:rPr>
            <w:color w:val="0000EE"/>
            <w:u w:val="single"/>
          </w:rPr>
          <w:t>Gn 31.34</w:t>
        </w:r>
      </w:hyperlink>
      <w:r>
        <w:t>). Parece, no entanto, que no tempo de Davi tais ídolos eram maiores, pois quando os homens de Saul vieram para matar Davi, Mical, esposa de Davi e filha de Saul, ajudou Davi a escapar e então pegou tal imagem e a colocou em uma cama para fazer os homens pensarem que Davi estava doente (</w:t>
      </w:r>
      <w:hyperlink r:id="rId10834">
        <w:r>
          <w:rPr>
            <w:color w:val="0000EE"/>
            <w:u w:val="single"/>
          </w:rPr>
          <w:t>1Sm 19.11–16</w:t>
        </w:r>
      </w:hyperlink>
      <w:r>
        <w:t>).</w:t>
      </w:r>
    </w:p>
    <w:p>
      <w:r/>
      <w:r>
        <w:t>A proibição da idolatria é explicitamente declarada no Segundo Mandamento (</w:t>
      </w:r>
      <w:hyperlink r:id="rId7194">
        <w:r>
          <w:rPr>
            <w:color w:val="0000EE"/>
            <w:u w:val="single"/>
          </w:rPr>
          <w:t>Êx 20.4–5</w:t>
        </w:r>
      </w:hyperlink>
      <w:r>
        <w:t xml:space="preserve">, NTLH): “— Não faça imagens de nenhuma coisa que há lá em cima no céu, ou aqui embaixo na terra, ou nas águas debaixo da terra. Não se ajoelhe diante de ídolos, nem os adore, pois eu, o Senhor, sou o seu Deus e não tolero outros deuses" (cf. </w:t>
      </w:r>
      <w:hyperlink r:id="rId10835">
        <w:r>
          <w:rPr>
            <w:color w:val="0000EE"/>
            <w:u w:val="single"/>
          </w:rPr>
          <w:t>Êx 34.17</w:t>
        </w:r>
      </w:hyperlink>
      <w:r>
        <w:t xml:space="preserve">; </w:t>
      </w:r>
      <w:hyperlink r:id="rId6937">
        <w:r>
          <w:rPr>
            <w:color w:val="0000EE"/>
            <w:u w:val="single"/>
          </w:rPr>
          <w:t>Lv 19.4</w:t>
        </w:r>
      </w:hyperlink>
      <w:r>
        <w:t xml:space="preserve">; </w:t>
      </w:r>
      <w:hyperlink r:id="rId10836">
        <w:r>
          <w:rPr>
            <w:color w:val="0000EE"/>
            <w:u w:val="single"/>
          </w:rPr>
          <w:t>26.1</w:t>
        </w:r>
      </w:hyperlink>
      <w:r>
        <w:t xml:space="preserve">; </w:t>
      </w:r>
      <w:hyperlink r:id="rId10837">
        <w:r>
          <w:rPr>
            <w:color w:val="0000EE"/>
            <w:u w:val="single"/>
          </w:rPr>
          <w:t>Dt 4.15–19</w:t>
        </w:r>
      </w:hyperlink>
      <w:r>
        <w:t xml:space="preserve">; </w:t>
      </w:r>
      <w:hyperlink r:id="rId10838">
        <w:r>
          <w:rPr>
            <w:color w:val="0000EE"/>
            <w:u w:val="single"/>
          </w:rPr>
          <w:t>27.1–5</w:t>
        </w:r>
      </w:hyperlink>
      <w:r>
        <w:t>). Este mandamento é uma extensão ou auxiliar do primeiro, pois busca preservar a singularidade de Deus e proteger sua glória. A definição de idolatria foi ampliada durante o tempo de Samuel, que confrontou o rei Saul com a acusação de que a rebeldia é o mesmo que idolatria (</w:t>
      </w:r>
      <w:hyperlink r:id="rId6718">
        <w:r>
          <w:rPr>
            <w:color w:val="0000EE"/>
            <w:u w:val="single"/>
          </w:rPr>
          <w:t>1Sm 15.23</w:t>
        </w:r>
      </w:hyperlink>
      <w:r>
        <w:t>).</w:t>
      </w:r>
    </w:p>
    <w:p>
      <w:r/>
      <w:r>
        <w:t>Antes da conquista de Canaã, o Senhor continuava alertando Israel contra casar-se com membros da população nativa, pois Ele havia ordenado que Israel os aniquilasse. Essa medida tinha o objetivo de prevenir o enfraquecimento da vida moral em Israel (</w:t>
      </w:r>
      <w:hyperlink r:id="rId10839">
        <w:r>
          <w:rPr>
            <w:color w:val="0000EE"/>
            <w:u w:val="single"/>
          </w:rPr>
          <w:t>Êx 34.16</w:t>
        </w:r>
      </w:hyperlink>
      <w:r>
        <w:t xml:space="preserve">; </w:t>
      </w:r>
      <w:hyperlink r:id="rId4556">
        <w:r>
          <w:rPr>
            <w:color w:val="0000EE"/>
            <w:u w:val="single"/>
          </w:rPr>
          <w:t>Dt 7.3–4</w:t>
        </w:r>
      </w:hyperlink>
      <w:r>
        <w:t xml:space="preserve">). Esse princípio é novamente expandido no NT (cf. </w:t>
      </w:r>
      <w:hyperlink r:id="rId10840">
        <w:r>
          <w:rPr>
            <w:color w:val="0000EE"/>
            <w:u w:val="single"/>
          </w:rPr>
          <w:t>1Co 15.33</w:t>
        </w:r>
      </w:hyperlink>
      <w:r>
        <w:t xml:space="preserve">; </w:t>
      </w:r>
      <w:hyperlink r:id="rId4511">
        <w:r>
          <w:rPr>
            <w:color w:val="0000EE"/>
            <w:u w:val="single"/>
          </w:rPr>
          <w:t>2Co 6.14</w:t>
        </w:r>
      </w:hyperlink>
      <w:r>
        <w:t>). A história de Israel demonstrou a praticidade da proibição contra tais casamentos, pois eles inevitavelmente levavam à apostasia. Talvez o exemplo mais triste seja Salomão (</w:t>
      </w:r>
      <w:hyperlink r:id="rId4513">
        <w:r>
          <w:rPr>
            <w:color w:val="0000EE"/>
            <w:u w:val="single"/>
          </w:rPr>
          <w:t>1Rs 11.1–8</w:t>
        </w:r>
      </w:hyperlink>
      <w:r>
        <w:t xml:space="preserve">). Quando Salomão estava velho, suas esposas desviaram seu coração para outros deuses, de modo que ele não foi totalmente fiel ao Senhor seu Deus (v </w:t>
      </w:r>
      <w:hyperlink r:id="rId4554">
        <w:r>
          <w:rPr>
            <w:color w:val="0000EE"/>
            <w:u w:val="single"/>
          </w:rPr>
          <w:t>4</w:t>
        </w:r>
      </w:hyperlink>
      <w:r>
        <w:t>).</w:t>
      </w:r>
    </w:p>
    <w:p>
      <w:r/>
      <w:r>
        <w:t>Na época dos juízes, houve um caso infame de adoração a ídolos (</w:t>
      </w:r>
      <w:hyperlink r:id="rId10841">
        <w:r>
          <w:rPr>
            <w:color w:val="0000EE"/>
            <w:u w:val="single"/>
          </w:rPr>
          <w:t>Jz 17.1–18.31</w:t>
        </w:r>
      </w:hyperlink>
      <w:r>
        <w:t>). A mãe de um efraimita chamado Mica pegou 200 peças de prata e mandou um ourives transformá-las em uma imagem esculpida para seu filho. Ele também tinha um santuário, um éfode e terafins. Ele contratou um levita errante para ser seu sacerdote, mas homens da tribo de Dã vieram e levaram o levita, a imagem e todos os acessórios e estabeleceram esse ídolo em Dã, usando-o como objeto de sua adoração (</w:t>
      </w:r>
      <w:hyperlink r:id="rId6483">
        <w:r>
          <w:rPr>
            <w:color w:val="0000EE"/>
            <w:u w:val="single"/>
          </w:rPr>
          <w:t>18.30–31</w:t>
        </w:r>
      </w:hyperlink>
      <w:r>
        <w:t>).</w:t>
      </w:r>
    </w:p>
    <w:p>
      <w:r/>
      <w:r>
        <w:t>Nas Escrituras, os reis de Israel são avaliados com base no que fizeram em relação aos "lugares altos" e ídolos. Asa removeu todos os ídolos que seus antepassados haviam feito (</w:t>
      </w:r>
      <w:hyperlink r:id="rId10842">
        <w:r>
          <w:rPr>
            <w:color w:val="0000EE"/>
            <w:u w:val="single"/>
          </w:rPr>
          <w:t>1Rs 15.12</w:t>
        </w:r>
      </w:hyperlink>
      <w:r>
        <w:t xml:space="preserve">) e não permitiu que Maaca fosse rainha-mãe porque ela tinha uma imagem abominável feita para Aserá. Ele cortou e queimou a imagem (v </w:t>
      </w:r>
      <w:hyperlink r:id="rId10843">
        <w:r>
          <w:rPr>
            <w:color w:val="0000EE"/>
            <w:u w:val="single"/>
          </w:rPr>
          <w:t>13</w:t>
        </w:r>
      </w:hyperlink>
      <w:r>
        <w:t>). O rei israelita Acabe, no entanto, era um idólatra (</w:t>
      </w:r>
      <w:hyperlink r:id="rId10844">
        <w:r>
          <w:rPr>
            <w:color w:val="0000EE"/>
            <w:u w:val="single"/>
          </w:rPr>
          <w:t>1Rs 21.26</w:t>
        </w:r>
      </w:hyperlink>
      <w:r>
        <w:t xml:space="preserve">; cf. </w:t>
      </w:r>
      <w:hyperlink r:id="rId2244">
        <w:r>
          <w:rPr>
            <w:color w:val="0000EE"/>
            <w:u w:val="single"/>
          </w:rPr>
          <w:t>16.30–33</w:t>
        </w:r>
      </w:hyperlink>
      <w:r>
        <w:t>).</w:t>
      </w:r>
    </w:p>
    <w:p>
      <w:r/>
      <w:r>
        <w:t>Ezequias destruiu os lugares altos, quebrou as colunas e cortou os postes-ídolos (</w:t>
      </w:r>
      <w:hyperlink r:id="rId1871">
        <w:r>
          <w:rPr>
            <w:color w:val="0000EE"/>
            <w:u w:val="single"/>
          </w:rPr>
          <w:t>2Rs 18.4</w:t>
        </w:r>
      </w:hyperlink>
      <w:r>
        <w:t xml:space="preserve">; </w:t>
      </w:r>
      <w:hyperlink r:id="rId8872">
        <w:r>
          <w:rPr>
            <w:color w:val="0000EE"/>
            <w:u w:val="single"/>
          </w:rPr>
          <w:t>2Cr 31.1</w:t>
        </w:r>
      </w:hyperlink>
      <w:r>
        <w:t>). Ele também pôs fim a um culto estranho que ilustra a natureza insidiosa da idolatria. A serpente de bronze que Moisés levantou em um poste para salvar os israelitas da morte por picada de cobra (</w:t>
      </w:r>
      <w:hyperlink r:id="rId10845">
        <w:r>
          <w:rPr>
            <w:color w:val="0000EE"/>
            <w:u w:val="single"/>
          </w:rPr>
          <w:t>Nm 21.9</w:t>
        </w:r>
      </w:hyperlink>
      <w:r>
        <w:t xml:space="preserve">; cf. </w:t>
      </w:r>
      <w:hyperlink r:id="rId5090">
        <w:r>
          <w:rPr>
            <w:color w:val="0000EE"/>
            <w:u w:val="single"/>
          </w:rPr>
          <w:t>Jó 3.14</w:t>
        </w:r>
      </w:hyperlink>
      <w:r>
        <w:t>) havia sido preservada até o tempo de Ezequias. Ela havia recebido o nome de Neustã, e as pessoas a veneravam e queimavam incenso para ela. Ezequias a destruiu (</w:t>
      </w:r>
      <w:hyperlink r:id="rId1871">
        <w:r>
          <w:rPr>
            <w:color w:val="0000EE"/>
            <w:u w:val="single"/>
          </w:rPr>
          <w:t>2Rs 18.4</w:t>
        </w:r>
      </w:hyperlink>
      <w:r>
        <w:t>) porque o que havia sido um instrumento para o bem havia se tornado algo do mal.</w:t>
      </w:r>
    </w:p>
    <w:p>
      <w:r/>
      <w:r>
        <w:t>O profeta Isaías descreveu a fabricação de um ídolo em forma humana (</w:t>
      </w:r>
      <w:hyperlink r:id="rId10846">
        <w:r>
          <w:rPr>
            <w:color w:val="0000EE"/>
            <w:u w:val="single"/>
          </w:rPr>
          <w:t>Is 40.19–20</w:t>
        </w:r>
      </w:hyperlink>
      <w:r>
        <w:t xml:space="preserve">; </w:t>
      </w:r>
      <w:hyperlink r:id="rId10847">
        <w:r>
          <w:rPr>
            <w:color w:val="0000EE"/>
            <w:u w:val="single"/>
          </w:rPr>
          <w:t>44.9–17</w:t>
        </w:r>
      </w:hyperlink>
      <w:r>
        <w:t>). Imagens eram moldadas usando metal fundido (</w:t>
      </w:r>
      <w:hyperlink r:id="rId10848">
        <w:r>
          <w:rPr>
            <w:color w:val="0000EE"/>
            <w:u w:val="single"/>
          </w:rPr>
          <w:t>40.19</w:t>
        </w:r>
      </w:hyperlink>
      <w:r>
        <w:t xml:space="preserve">; </w:t>
      </w:r>
      <w:hyperlink r:id="rId10849">
        <w:r>
          <w:rPr>
            <w:color w:val="0000EE"/>
            <w:u w:val="single"/>
          </w:rPr>
          <w:t>44.10</w:t>
        </w:r>
      </w:hyperlink>
      <w:r>
        <w:t>). Estátuas eram forjadas por ferreiros (</w:t>
      </w:r>
      <w:hyperlink r:id="rId9219">
        <w:r>
          <w:rPr>
            <w:color w:val="0000EE"/>
            <w:u w:val="single"/>
          </w:rPr>
          <w:t>44.12</w:t>
        </w:r>
      </w:hyperlink>
      <w:r>
        <w:t>), esculpidas em madeira (</w:t>
      </w:r>
      <w:hyperlink r:id="rId10850">
        <w:r>
          <w:rPr>
            <w:color w:val="0000EE"/>
            <w:u w:val="single"/>
          </w:rPr>
          <w:t>44.13–17</w:t>
        </w:r>
      </w:hyperlink>
      <w:r>
        <w:t>) e revestidas com metal precioso (</w:t>
      </w:r>
      <w:hyperlink r:id="rId10848">
        <w:r>
          <w:rPr>
            <w:color w:val="0000EE"/>
            <w:u w:val="single"/>
          </w:rPr>
          <w:t>40.19</w:t>
        </w:r>
      </w:hyperlink>
      <w:r>
        <w:t>). Pequenas imagens de barro e placas também eram moldadas e queimadas em um forno, e estátuas eram esculpidas em pedra. O salmista falou contra ídolos e imagens (</w:t>
      </w:r>
      <w:hyperlink r:id="rId10851">
        <w:r>
          <w:rPr>
            <w:color w:val="0000EE"/>
            <w:u w:val="single"/>
          </w:rPr>
          <w:t>Salmos 96.5</w:t>
        </w:r>
      </w:hyperlink>
      <w:r>
        <w:t xml:space="preserve">; </w:t>
      </w:r>
      <w:hyperlink r:id="rId10852">
        <w:r>
          <w:rPr>
            <w:color w:val="0000EE"/>
            <w:u w:val="single"/>
          </w:rPr>
          <w:t>97.7</w:t>
        </w:r>
      </w:hyperlink>
      <w:r>
        <w:t xml:space="preserve">; </w:t>
      </w:r>
      <w:hyperlink r:id="rId10853">
        <w:r>
          <w:rPr>
            <w:color w:val="0000EE"/>
            <w:u w:val="single"/>
          </w:rPr>
          <w:t>106.34–39</w:t>
        </w:r>
      </w:hyperlink>
      <w:r>
        <w:t xml:space="preserve">) e a impotência dos ídolos é descrita em </w:t>
      </w:r>
      <w:hyperlink r:id="rId10854">
        <w:r>
          <w:rPr>
            <w:color w:val="0000EE"/>
            <w:u w:val="single"/>
          </w:rPr>
          <w:t>Salmos 115.4–8</w:t>
        </w:r>
      </w:hyperlink>
      <w:r>
        <w:t xml:space="preserve"> e </w:t>
      </w:r>
      <w:hyperlink r:id="rId10855">
        <w:r>
          <w:rPr>
            <w:color w:val="0000EE"/>
            <w:u w:val="single"/>
          </w:rPr>
          <w:t>135.15–18</w:t>
        </w:r>
      </w:hyperlink>
      <w:r>
        <w:t>.</w:t>
      </w:r>
    </w:p>
    <w:p>
      <w:r/>
      <w:r>
        <w:t>Os reinos do norte e do sul de Israel foram levados ao cativeiro porque abandonaram Deus e serviram ídolos. Os judeus estavam bem cientes de que a idolatria os havia levado ao cativeiro, e durante seu tempo na Babilônia, desenvolveram uma aversão aos ídolos que tem caracterizado o judaísmo até hoje.</w:t>
      </w:r>
    </w:p>
    <w:p>
      <w:pPr>
        <w:pStyle w:val="Heading3"/>
      </w:pPr>
      <w:r>
        <w:t>No Novo Testamento</w:t>
      </w:r>
    </w:p>
    <w:p>
      <w:r/>
      <w:r>
        <w:t>A discussão mais completa no NT sobre idolatria e o adorador de ídolos é encontrada na primeira epístola de Paulo aos coríntios. Em uma epístola anterior (não mais existente), Paulo havia instruído os Coríntios a não se associarem com aqueles que se diziam crentes, mas ainda eram adoradores de ídolos (</w:t>
      </w:r>
      <w:hyperlink r:id="rId5755">
        <w:r>
          <w:rPr>
            <w:color w:val="0000EE"/>
            <w:u w:val="single"/>
          </w:rPr>
          <w:t>1Co 5.9–11</w:t>
        </w:r>
      </w:hyperlink>
      <w:r>
        <w:t xml:space="preserve">). Após essa carta, os Coríntios devem ter pedido a Paulo esclarecimentos sobre este assunto. Assim, nesta epístola, Paulo fornece uma resposta à sua pergunta; o “adorador de ídolos” é mencionado em </w:t>
      </w:r>
      <w:hyperlink r:id="rId10856">
        <w:r>
          <w:rPr>
            <w:color w:val="0000EE"/>
            <w:u w:val="single"/>
          </w:rPr>
          <w:t>5.10–11,6.9,10.7</w:t>
        </w:r>
      </w:hyperlink>
      <w:r>
        <w:t xml:space="preserve">, e o termo “idolatria” é mencionado em </w:t>
      </w:r>
      <w:hyperlink r:id="rId10857">
        <w:r>
          <w:rPr>
            <w:color w:val="0000EE"/>
            <w:u w:val="single"/>
          </w:rPr>
          <w:t>10.14</w:t>
        </w:r>
      </w:hyperlink>
      <w:r>
        <w:t>.</w:t>
      </w:r>
    </w:p>
    <w:p>
      <w:r/>
      <w:r>
        <w:t xml:space="preserve">Os termos “idolatria” e “adorador de ídolos” estão relacionados a duas outras expressões: (1) “ídolo” </w:t>
      </w:r>
      <w:r>
        <w:rPr>
          <w:i/>
        </w:rPr>
        <w:t>(</w:t>
      </w:r>
      <w:r>
        <w:t>eidolon</w:t>
      </w:r>
      <w:r>
        <w:rPr>
          <w:i/>
        </w:rPr>
        <w:t>)</w:t>
      </w:r>
      <w:r>
        <w:t xml:space="preserve">, encontrado em </w:t>
      </w:r>
      <w:hyperlink r:id="rId6924">
        <w:r>
          <w:rPr>
            <w:color w:val="0000EE"/>
            <w:u w:val="single"/>
          </w:rPr>
          <w:t>1Co 8.4</w:t>
        </w:r>
      </w:hyperlink>
      <w:r>
        <w:t xml:space="preserve">; </w:t>
      </w:r>
      <w:hyperlink r:id="rId10858">
        <w:r>
          <w:rPr>
            <w:color w:val="0000EE"/>
            <w:u w:val="single"/>
          </w:rPr>
          <w:t>10.19</w:t>
        </w:r>
      </w:hyperlink>
      <w:r>
        <w:t xml:space="preserve">; </w:t>
      </w:r>
      <w:hyperlink r:id="rId10859">
        <w:r>
          <w:rPr>
            <w:color w:val="0000EE"/>
            <w:u w:val="single"/>
          </w:rPr>
          <w:t>12.2</w:t>
        </w:r>
      </w:hyperlink>
      <w:r>
        <w:t xml:space="preserve">; e (2) “comida sacrificada a ídolos” </w:t>
      </w:r>
      <w:r>
        <w:rPr>
          <w:i/>
        </w:rPr>
        <w:t>(</w:t>
      </w:r>
      <w:r>
        <w:t>eidolothutos</w:t>
      </w:r>
      <w:r>
        <w:rPr>
          <w:i/>
        </w:rPr>
        <w:t>)</w:t>
      </w:r>
      <w:r>
        <w:t xml:space="preserve">, encontrado em </w:t>
      </w:r>
      <w:hyperlink r:id="rId10860">
        <w:r>
          <w:rPr>
            <w:color w:val="0000EE"/>
            <w:u w:val="single"/>
          </w:rPr>
          <w:t>1Co 8.1,4,7</w:t>
        </w:r>
      </w:hyperlink>
      <w:r>
        <w:t xml:space="preserve">; </w:t>
      </w:r>
      <w:hyperlink r:id="rId10858">
        <w:r>
          <w:rPr>
            <w:color w:val="0000EE"/>
            <w:u w:val="single"/>
          </w:rPr>
          <w:t>10.19</w:t>
        </w:r>
      </w:hyperlink>
      <w:r>
        <w:t xml:space="preserve">. O tipo de idolatria que Paulo condena é aquela que envolvia cristãos oferecendo sacrifícios a ídolos e depois participando da comida que havia sido sacrificada a eles. Os participantes são chamados de adoradores de ídolos porque seu envolvimento em sacrifícios idólatras era percebido como tendo comunhão com demônios. Paulo proibia estritamente o consumo de comida sacrificial nos templos populares na presença de ídolos-demônios. Assim, ele compartilhava a mesma visão sobre ídolos que a maioria dos judeus em sua época. Para os judeus, ídolos e divindades pagãs eram idênticos. (Veja </w:t>
      </w:r>
      <w:hyperlink r:id="rId5490">
        <w:r>
          <w:rPr>
            <w:color w:val="0000EE"/>
            <w:u w:val="single"/>
          </w:rPr>
          <w:t>1Ts 1.9</w:t>
        </w:r>
      </w:hyperlink>
      <w:r>
        <w:t xml:space="preserve">, onde Paulo contrasta “ídolos” com “o Deus vivo e </w:t>
      </w:r>
      <w:r>
        <w:rPr>
          <w:i/>
        </w:rPr>
        <w:t>verdadeiro</w:t>
      </w:r>
      <w:r>
        <w:t>”). Para Paulo, ídolos em si mesmos não eram nada (</w:t>
      </w:r>
      <w:hyperlink r:id="rId6924">
        <w:r>
          <w:rPr>
            <w:color w:val="0000EE"/>
            <w:u w:val="single"/>
          </w:rPr>
          <w:t>1Co 8.4</w:t>
        </w:r>
      </w:hyperlink>
      <w:r>
        <w:t>); por trás do ídolo, no entanto, havia um demônio (</w:t>
      </w:r>
      <w:hyperlink r:id="rId6665">
        <w:r>
          <w:rPr>
            <w:color w:val="0000EE"/>
            <w:u w:val="single"/>
          </w:rPr>
          <w:t>10.20</w:t>
        </w:r>
      </w:hyperlink>
      <w:r>
        <w:t>).</w:t>
      </w:r>
    </w:p>
    <w:p>
      <w:r/>
      <w:r>
        <w:t xml:space="preserve">O consumo de alimentos sacrificiais nas refeições cultuais em templos pagãos foi censurado por Paulo porque se entendia que os participantes, assim, se uniam ao Demônio (veja </w:t>
      </w:r>
      <w:hyperlink r:id="rId10861">
        <w:r>
          <w:rPr>
            <w:color w:val="0000EE"/>
            <w:u w:val="single"/>
          </w:rPr>
          <w:t>1Co 10.19–21</w:t>
        </w:r>
      </w:hyperlink>
      <w:r>
        <w:t>). No entanto, Paulo não tinha problema com aqueles que compravam alimentos que haviam sobrado desses eventos e que depois eram vendidos no mercado. Em seu julgamento, se eles os comessem em casa, não estariam participando da idolatria. Eles poderiam comer esse alimento com boa consciência — a menos, é claro, que, ao fazê-lo, fossem o meio de destruir um crente mais fraco. Por causa de tais crentes, deve-se abster. Isso era uma questão de consciência (</w:t>
      </w:r>
      <w:hyperlink r:id="rId10862">
        <w:r>
          <w:rPr>
            <w:color w:val="0000EE"/>
            <w:u w:val="single"/>
          </w:rPr>
          <w:t>10.25–29</w:t>
        </w:r>
      </w:hyperlink>
      <w:r>
        <w:t>). Mas participar de festividades pagãs e comer refeições oferecidas a ídolos não era permitido de forma alguma.</w:t>
      </w:r>
    </w:p>
    <w:p>
      <w:r/>
      <w:r>
        <w:t xml:space="preserve">Os coríntios participavam regularmente dessas refeições antes de se tornarem cristãos e, aparentemente, continuaram a fazê-lo após sua conversão. Em Corinto, tais refeições eram uma prática comum tanto em festivais nacionais quanto em celebrações privadas. Os “deuses” (que Paulo considerava “demônios”) eram vistos como presentes nesses eventos porque os sacrifícios eram feitos para eles. Assim, participar desses eventos era unir-se aos demônios e, portanto, tornar-se um adorador de ídolos. Os antigos israelitas foram levados à idolatria por seus vizinhos pagãos em várias ocasiões, quando foram seduzidos a participar dessas celebrações pagãs (p. ex. </w:t>
      </w:r>
      <w:hyperlink r:id="rId2975">
        <w:r>
          <w:rPr>
            <w:color w:val="0000EE"/>
            <w:u w:val="single"/>
          </w:rPr>
          <w:t>Nm 25</w:t>
        </w:r>
      </w:hyperlink>
      <w:r>
        <w:t xml:space="preserve">; cf. </w:t>
      </w:r>
      <w:hyperlink r:id="rId2394">
        <w:r>
          <w:rPr>
            <w:color w:val="0000EE"/>
            <w:u w:val="single"/>
          </w:rPr>
          <w:t>Êx 32.6</w:t>
        </w:r>
      </w:hyperlink>
      <w:r>
        <w:t xml:space="preserve">). As festividades envolviam todo tipo de licenciosidade. Em </w:t>
      </w:r>
      <w:hyperlink r:id="rId4690">
        <w:r>
          <w:rPr>
            <w:color w:val="0000EE"/>
            <w:u w:val="single"/>
          </w:rPr>
          <w:t>1Co 10</w:t>
        </w:r>
      </w:hyperlink>
      <w:r>
        <w:t>, Paulo referiu-se a essa apostasia dos israelitas e usou-a como um exemplo negativo. Porque os israelitas se envolveram em festividades pagãs, foram levados à idolatria e fornicação, o que incitou a ira de Deus e trouxe destruição.</w:t>
      </w:r>
    </w:p>
    <w:p>
      <w:r/>
      <w:r>
        <w:t>Em outras epístolas paulinas, a idolatria é mencionada, mas não com a definição e discussão extensas que se encontram em 1 Coríntios. No entanto, Paulo se manifesta contra a idolatria real e o que poderíamos chamar de idolatria figurativa (ou seja, idolatria no sentido de desejar algo acima de Deus).</w:t>
      </w:r>
    </w:p>
    <w:p>
      <w:r/>
      <w:r>
        <w:t xml:space="preserve">Em </w:t>
      </w:r>
      <w:hyperlink r:id="rId7517">
        <w:r>
          <w:rPr>
            <w:color w:val="0000EE"/>
            <w:u w:val="single"/>
          </w:rPr>
          <w:t>Rm 1.18–32</w:t>
        </w:r>
      </w:hyperlink>
      <w:r>
        <w:t>, a licenciosidade sexual e outros pecados são, em última análise, atribuídos à idolatria. Os gentios, que deveriam ter sabido que Deus existia, como evidenciado na criação e na consciência, abandonaram o Deus imortal e invisível em troca de imagens mortais e visíveis (ou seja, ídolos). Por causa desse abandono, Deus os entregou para fazerem as coisas impuras que seus corações desejavam (</w:t>
      </w:r>
      <w:hyperlink r:id="rId4425">
        <w:r>
          <w:rPr>
            <w:color w:val="0000EE"/>
            <w:u w:val="single"/>
          </w:rPr>
          <w:t>Rm 1.24</w:t>
        </w:r>
      </w:hyperlink>
      <w:r>
        <w:t xml:space="preserve">). Assim, a idolatria está incluída na lista de Paulo do que ele chama de “as obras da carne” (veja </w:t>
      </w:r>
      <w:hyperlink r:id="rId10863">
        <w:r>
          <w:rPr>
            <w:color w:val="0000EE"/>
            <w:u w:val="single"/>
          </w:rPr>
          <w:t>Gl 5.19–20</w:t>
        </w:r>
      </w:hyperlink>
      <w:r>
        <w:t xml:space="preserve">). E aqueles que são adoradores de ídolos estão incluídos no catálogo de todas aquelas pessoas más que não herdarão o reino de Deus (veja </w:t>
      </w:r>
      <w:hyperlink r:id="rId453">
        <w:r>
          <w:rPr>
            <w:color w:val="0000EE"/>
            <w:u w:val="single"/>
          </w:rPr>
          <w:t>1Co 6.9</w:t>
        </w:r>
      </w:hyperlink>
      <w:r>
        <w:t>).</w:t>
      </w:r>
    </w:p>
    <w:p>
      <w:r/>
      <w:r>
        <w:t xml:space="preserve">Em </w:t>
      </w:r>
      <w:hyperlink r:id="rId10550">
        <w:r>
          <w:rPr>
            <w:color w:val="0000EE"/>
            <w:u w:val="single"/>
          </w:rPr>
          <w:t>Ef 5.5</w:t>
        </w:r>
      </w:hyperlink>
      <w:r>
        <w:t xml:space="preserve">, Paulo novamente inclui os idólatras entre aqueles que não herdarão o reino de Deus. No entanto, tais idólatras não são apenas aqueles que vão a templos pagãos e adoram ídolos; eles são aqueles que são gananciosos ou cobiçosos. De acordo com evidências de manuscritos superiores, o versículo diz: “Nenhum fornicador ou pessoa impura ou gananciosa, que é o mesmo que um idólatra, tem qualquer herança no reino de Cristo e de Deus”. O ponto parece ser que a pessoa gananciosa e cobiçosa que faz de seus desejos seu deus é muito semelhante a um idólatra. Assim, a cobiça e a idolatria são tornadas sinônimas. A passagem paralela, </w:t>
      </w:r>
      <w:hyperlink r:id="rId4322">
        <w:r>
          <w:rPr>
            <w:color w:val="0000EE"/>
            <w:u w:val="single"/>
          </w:rPr>
          <w:t>Cl 3.5</w:t>
        </w:r>
      </w:hyperlink>
      <w:r>
        <w:t>, torna isso explícito, dizendo literalmente que a cobiça é idolatria.</w:t>
      </w:r>
    </w:p>
    <w:p>
      <w:r/>
      <w:r>
        <w:rPr>
          <w:i/>
        </w:rPr>
        <w:t>Veja também</w:t>
      </w:r>
      <w:r>
        <w:t xml:space="preserve"> </w:t>
      </w:r>
      <w:r>
        <w:t>Deidades e religião dos cananeus</w:t>
      </w:r>
      <w:r>
        <w:t xml:space="preserve">; </w:t>
      </w:r>
      <w:r>
        <w:t>Deuses e deusas</w:t>
      </w:r>
      <w:r>
        <w:t xml:space="preserve">; </w:t>
      </w:r>
      <w:r>
        <w:t>Bosque</w:t>
      </w:r>
      <w:r>
        <w:t xml:space="preserve">; </w:t>
      </w:r>
      <w:r>
        <w:t>Lugar alto</w:t>
      </w:r>
      <w:r>
        <w:t>.</w:t>
      </w:r>
      <w:r/>
      <w:r/>
    </w:p>
    <w:p>
      <w:r/>
    </w:p>
    <w:p>
      <w:pPr>
        <w:pStyle w:val="Heading2"/>
      </w:pPr>
      <w:r>
        <w:t>Idumeia, Idumeus</w:t>
      </w:r>
      <w:r/>
    </w:p>
    <w:p>
      <w:r/>
      <w:r>
        <w:t>Termo derivado da forma grega de Edom (“vermelho”). A mudança de edomita para idumeu resultou das conquistas de Alexandre, o Grande, que tornaram o grego a língua comum da área. O nome foi aplicado ao antigo país dos edomitas e à porção do sul de Judá ocupada pelos descendentes de Esaú após os judeus terem sido deportados para Babilônia após a conquista por Nabucodonosor em 586 a.C. O país conhecido como Idumeia no período intertestamentário tinha sua fronteira norte em Bet-sur (Bete-Zur), a poucos quilômetros ao norte de Hebrom, e incluía parte da Sefelá (terra baixa) que se estendia até o antigo país filisteu (</w:t>
      </w:r>
      <w:hyperlink r:id="rId10864">
        <w:r>
          <w:rPr>
            <w:color w:val="0000EE"/>
            <w:u w:val="single"/>
          </w:rPr>
          <w:t>1Mc 4.15,22,61</w:t>
        </w:r>
      </w:hyperlink>
      <w:r>
        <w:t xml:space="preserve">; </w:t>
      </w:r>
      <w:hyperlink r:id="rId10865">
        <w:r>
          <w:rPr>
            <w:color w:val="0000EE"/>
            <w:u w:val="single"/>
          </w:rPr>
          <w:t>5.65</w:t>
        </w:r>
      </w:hyperlink>
      <w:r>
        <w:t>).</w:t>
      </w:r>
    </w:p>
    <w:p>
      <w:r/>
      <w:r>
        <w:t>Inicialmente conhecidos como edomitas, depois como nabateus e finalmente como idumeus, os ancestrais dos idumeus traçam sua linhagem até Esaú, o irmão mais velho de Jacó, que foi enganado tanto em seu direito de nascimento quanto em sua bênção (</w:t>
      </w:r>
      <w:hyperlink r:id="rId10866">
        <w:r>
          <w:rPr>
            <w:color w:val="0000EE"/>
            <w:u w:val="single"/>
          </w:rPr>
          <w:t>Gn 27.1–45</w:t>
        </w:r>
      </w:hyperlink>
      <w:r>
        <w:t>). Isso levou a conflitos entre os filhos de Israel e os descendentes de Esaú durante todo o período bíblico.</w:t>
      </w:r>
    </w:p>
    <w:p>
      <w:r/>
      <w:r>
        <w:t>Não é surpreendente, portanto, que os edomitas tenham se alegrado quando os babilônios conquistaram Israel. Os edomitas então ocuparam o território deixado pelos israelitas após a subjugação do reino pelos babilônios depois de 586 a.C.</w:t>
      </w:r>
    </w:p>
    <w:p>
      <w:r/>
      <w:r>
        <w:t>Por volta de 300 a.C., tribos árabes invadiram e tomaram a capital edomita Petra, forçando os edomitas restantes a se deslocarem para a área ao sul de Judá, que então passou a ser conhecida como Idumeia. Os invasores, conhecidos como nabateus, fizeram de Sela ou Petra o centro de seu comércio de caravanas tanto de leste a oeste quanto de norte a sul. Esses comerciantes do deserto, agora influenciados por ideias gregas, transformaram a "cratera" em forma de tigela de Petra em uma cidade fantástica com uma concentração de templos, tumbas e edifícios esculpidos na rocha, feitos do colorido arenito vermelho da região. Além de criar a cidade mais única do mundo, os nabateus eram excelentes comerciantes e agricultores. Como diz Josefo, eles não eram belicosos, mas habilidosos no comércio, na arte e na agricultura. Os nabateus criaram a fortaleza estratégica do deserto de Obodate, que, juntamente com Petra, comandava as rotas das caravanas. Os nabateus prosperaram de cerca de 100 a.C. a 100 d.C., quando os romanos gradualmente causaram seu declínio ao mudar as rotas das caravanas do sul do Mar Morto para a área em torno de Damasco e Palmira.</w:t>
      </w:r>
    </w:p>
    <w:p>
      <w:r/>
      <w:r>
        <w:t>Durante o período intertestamentário, os judeus que retornavam tiveram pequenos combates de fronteira com os idumeus. Hebrom foi capturada por Judas Macabeu (</w:t>
      </w:r>
      <w:hyperlink r:id="rId10865">
        <w:r>
          <w:rPr>
            <w:color w:val="0000EE"/>
            <w:u w:val="single"/>
          </w:rPr>
          <w:t>1Mc 5.65</w:t>
        </w:r>
      </w:hyperlink>
      <w:r>
        <w:t>). João Hircano obrigou os idumeus a se tornarem judeus e a se submeterem à circuncisão. O governador da Idumeia, Antípatro, que havia sido nomeado procurador da Judeia por Júlio César, era um idumeu. Antípatro designou seu filho Herodes como governador da Galileia. Isso abriu caminho para que Herodes se tornasse rei da Judeia, sob o título de Herodes, o Grande. Com a conquista da Judeia pelos romanos, primeiro em 70 d.C., e depois em 135 d.C., a Idumeia desapareceu da história. Somente nos últimos anos os arqueólogos começaram a desvendar alguns dos segredos dos idumeus e dos nabateus, seus conquistadores.</w:t>
      </w:r>
    </w:p>
    <w:p>
      <w:r/>
      <w:r>
        <w:rPr>
          <w:i/>
        </w:rPr>
        <w:t>Veja também</w:t>
      </w:r>
      <w:r>
        <w:t xml:space="preserve"> </w:t>
      </w:r>
      <w:r>
        <w:t>Edom, Edomitas</w:t>
      </w:r>
      <w:r>
        <w:t xml:space="preserve">; </w:t>
      </w:r>
      <w:r>
        <w:t>Judaísmo</w:t>
      </w:r>
      <w:r>
        <w:t>.</w:t>
      </w:r>
      <w:r/>
      <w:r/>
    </w:p>
    <w:p>
      <w:r/>
    </w:p>
    <w:p>
      <w:pPr>
        <w:pStyle w:val="Heading2"/>
      </w:pPr>
      <w:r>
        <w:t>Igal</w:t>
      </w:r>
      <w:r/>
    </w:p>
    <w:p>
      <w:pPr>
        <w:pStyle w:val="ListNumber"/>
        <w:spacing w:line="240" w:lineRule="auto"/>
        <w:ind w:left="720"/>
      </w:pPr>
      <w:r/>
      <w:r>
        <w:t>Grafia das Bíblias NTLH e NVI para Jigeal, um filho de José da tribo de Issacar. Ele foi um dos 12 espiões enviados por Moisés para explorar Canaã (</w:t>
      </w:r>
      <w:hyperlink r:id="rId10867">
        <w:r>
          <w:rPr>
            <w:color w:val="0000EE"/>
            <w:u w:val="single"/>
          </w:rPr>
          <w:t>Nm 13.7</w:t>
        </w:r>
      </w:hyperlink>
      <w:r>
        <w:t>).</w:t>
      </w:r>
    </w:p>
    <w:p>
      <w:pPr>
        <w:pStyle w:val="ListNumber"/>
        <w:spacing w:line="240" w:lineRule="auto"/>
        <w:ind w:left="720"/>
      </w:pPr>
      <w:r/>
      <w:r>
        <w:t>Um filho de Natã e um dos valentes do Rei Davi (</w:t>
      </w:r>
      <w:hyperlink r:id="rId10868">
        <w:r>
          <w:rPr>
            <w:color w:val="0000EE"/>
            <w:u w:val="single"/>
          </w:rPr>
          <w:t>2Sm 23.36</w:t>
        </w:r>
      </w:hyperlink>
      <w:r>
        <w:t xml:space="preserve">). Em </w:t>
      </w:r>
      <w:hyperlink r:id="rId10869">
        <w:r>
          <w:rPr>
            <w:color w:val="0000EE"/>
            <w:u w:val="single"/>
          </w:rPr>
          <w:t>1 Crônicas 11.38</w:t>
        </w:r>
      </w:hyperlink>
      <w:r>
        <w:t>, ele é chamado Joel, o irmão de Natã. Em hebraico, este nome difere de Igal por apenas uma letra.</w:t>
      </w:r>
    </w:p>
    <w:p>
      <w:pPr>
        <w:pStyle w:val="ListNumber"/>
        <w:spacing w:line="240" w:lineRule="auto"/>
        <w:ind w:left="720"/>
      </w:pPr>
      <w:r/>
      <w:r>
        <w:t>Um filho de Semaías e um descendente do Rei Davi através do Rei Jeoaquim (</w:t>
      </w:r>
      <w:hyperlink r:id="rId10870">
        <w:r>
          <w:rPr>
            <w:color w:val="0000EE"/>
            <w:u w:val="single"/>
          </w:rPr>
          <w:t>1Cr 3.22</w:t>
        </w:r>
      </w:hyperlink>
      <w:r>
        <w:t>).</w:t>
      </w:r>
      <w:r/>
      <w:r/>
    </w:p>
    <w:p>
      <w:r/>
    </w:p>
    <w:p>
      <w:pPr>
        <w:pStyle w:val="Heading2"/>
      </w:pPr>
      <w:r>
        <w:t>Igreja</w:t>
      </w:r>
      <w:r/>
    </w:p>
    <w:p>
      <w:r/>
      <w:r>
        <w:t>A palavra "igreja" refere-se a um grupo ou assembleia de pessoas que se reúnem para um propósito específico. Embora o termo seja mencionado apenas duas vezes nos Evangelhos (</w:t>
      </w:r>
      <w:hyperlink r:id="rId10302">
        <w:r>
          <w:rPr>
            <w:color w:val="0000EE"/>
            <w:u w:val="single"/>
          </w:rPr>
          <w:t>Mt 16.18</w:t>
        </w:r>
      </w:hyperlink>
      <w:r>
        <w:t xml:space="preserve">; </w:t>
      </w:r>
      <w:hyperlink r:id="rId10871">
        <w:r>
          <w:rPr>
            <w:color w:val="0000EE"/>
            <w:u w:val="single"/>
          </w:rPr>
          <w:t>18.17</w:t>
        </w:r>
      </w:hyperlink>
      <w:r>
        <w:t>), ele aparece frequentemente no livro de Atos, na maioria das cartas de Paulo e em outros escritos do Novo Testamento, especialmente no livro de Apocalipse.</w:t>
      </w:r>
    </w:p>
    <w:p>
      <w:r/>
      <w:r>
        <w:t>No Antigo Testamento, uma maneira de descrever o povo de Israel era chamá-los de "a congregação". Alguns grupos que acreditavam ser o verdadeiro Israel chamavam a si mesmos de "a congregação". Eles acreditavam que não eram Israel por nascimento. Este termo foi usado pelos escritores dos Manuscritos do Mar Morto e pelos primeiros cristãos, e é o que a palavra "igreja" originalmente significava. Os cristãos frequentemente referiam-se a si mesmos como "a igreja" ou "a congregação" (com "de Deus" sendo entendido sem precisar dizer).</w:t>
      </w:r>
    </w:p>
    <w:p>
      <w:r/>
      <w:r>
        <w:t>O termo "igreja" pode significar todos os crentes em todo o mundo ou qualquer grupo local deles. Representava a presença do povo de Deus em um lugar específico. É por isso que o Novo Testamento frequentemente usa o singular "igreja", mesmo quando fala sobre muitos grupos de crentes (</w:t>
      </w:r>
      <w:hyperlink r:id="rId10872">
        <w:r>
          <w:rPr>
            <w:color w:val="0000EE"/>
            <w:u w:val="single"/>
          </w:rPr>
          <w:t>At 9.31</w:t>
        </w:r>
      </w:hyperlink>
      <w:r>
        <w:t xml:space="preserve">; </w:t>
      </w:r>
      <w:hyperlink r:id="rId2271">
        <w:r>
          <w:rPr>
            <w:color w:val="0000EE"/>
            <w:u w:val="single"/>
          </w:rPr>
          <w:t>2Co 1.1</w:t>
        </w:r>
      </w:hyperlink>
      <w:r>
        <w:t>); o termo “igrejas” é raramente encontrado (</w:t>
      </w:r>
      <w:hyperlink r:id="rId10873">
        <w:r>
          <w:rPr>
            <w:color w:val="0000EE"/>
            <w:u w:val="single"/>
          </w:rPr>
          <w:t>At 15.41</w:t>
        </w:r>
      </w:hyperlink>
      <w:r>
        <w:t xml:space="preserve">; </w:t>
      </w:r>
      <w:hyperlink r:id="rId10874">
        <w:r>
          <w:rPr>
            <w:color w:val="0000EE"/>
            <w:u w:val="single"/>
          </w:rPr>
          <w:t>16.5</w:t>
        </w:r>
      </w:hyperlink>
      <w:r>
        <w:t>). Cada grupo ou o grupo inteiro era o lugar onde Deus estava presente (</w:t>
      </w:r>
      <w:hyperlink r:id="rId10302">
        <w:r>
          <w:rPr>
            <w:color w:val="0000EE"/>
            <w:u w:val="single"/>
          </w:rPr>
          <w:t>Mt 16.18</w:t>
        </w:r>
      </w:hyperlink>
      <w:r>
        <w:t xml:space="preserve">; </w:t>
      </w:r>
      <w:hyperlink r:id="rId10871">
        <w:r>
          <w:rPr>
            <w:color w:val="0000EE"/>
            <w:u w:val="single"/>
          </w:rPr>
          <w:t>18.17</w:t>
        </w:r>
      </w:hyperlink>
      <w:r>
        <w:t>). A congregação era algo que Deus havia comprado com o sangue de seu Filho (</w:t>
      </w:r>
      <w:hyperlink r:id="rId1409">
        <w:r>
          <w:rPr>
            <w:color w:val="0000EE"/>
            <w:u w:val="single"/>
          </w:rPr>
          <w:t>At 20.28</w:t>
        </w:r>
      </w:hyperlink>
      <w:r>
        <w:t>).</w:t>
      </w:r>
    </w:p>
    <w:p>
      <w:pPr>
        <w:pStyle w:val="Heading3"/>
      </w:pPr>
      <w:r>
        <w:t>Diferentes maneiras de usar "igreja" no Novo Testamento</w:t>
      </w:r>
    </w:p>
    <w:p>
      <w:r/>
      <w:r>
        <w:t xml:space="preserve">A palavra "igreja" no Novo Testamento também tem conexões com o mundo grego. Em grego, a palavra traduzida como "igreja" significava uma assembleia, uma reunião. Referia-se a um encontro político ou qualquer grupo que se reunisse. A palavra é usada dessa forma em </w:t>
      </w:r>
      <w:hyperlink r:id="rId10875">
        <w:r>
          <w:rPr>
            <w:color w:val="0000EE"/>
            <w:u w:val="single"/>
          </w:rPr>
          <w:t>Atos 19.32,39,41</w:t>
        </w:r>
      </w:hyperlink>
      <w:r>
        <w:t>.</w:t>
      </w:r>
    </w:p>
    <w:p>
      <w:r/>
      <w:r>
        <w:t>O uso cristão da palavra "igreja" no Novo Testamento varia amplamente:</w:t>
      </w:r>
    </w:p>
    <w:p>
      <w:pPr>
        <w:pStyle w:val="ListNumber"/>
        <w:spacing w:line="240" w:lineRule="auto"/>
        <w:ind w:left="720"/>
      </w:pPr>
      <w:r/>
      <w:r>
        <w:rPr>
          <w:b/>
        </w:rPr>
        <w:t>Como uma reunião da igreja:</w:t>
      </w:r>
      <w:r>
        <w:t xml:space="preserve"> às vezes, como no Antigo Testamento, refere-se a uma reunião da igreja. Por exemplo, Paulo diz aos cristãos em Corinto: “Quando vocês se reúnem como igreja” (</w:t>
      </w:r>
      <w:hyperlink r:id="rId10876">
        <w:r>
          <w:rPr>
            <w:color w:val="0000EE"/>
            <w:u w:val="single"/>
          </w:rPr>
          <w:t>1Co 11.18</w:t>
        </w:r>
      </w:hyperlink>
      <w:r>
        <w:t>). Isso significa que os cristãos são especialmente vistos como o povo de Deus quando se reúnem para adorar.</w:t>
      </w:r>
    </w:p>
    <w:p>
      <w:pPr>
        <w:pStyle w:val="ListNumber"/>
        <w:spacing w:line="240" w:lineRule="auto"/>
        <w:ind w:left="720"/>
      </w:pPr>
      <w:r/>
      <w:r>
        <w:rPr>
          <w:b/>
        </w:rPr>
        <w:t>Como o grupo inteiro em um lugar:</w:t>
      </w:r>
      <w:r>
        <w:t xml:space="preserve"> em passagens como </w:t>
      </w:r>
      <w:hyperlink r:id="rId10871">
        <w:r>
          <w:rPr>
            <w:color w:val="0000EE"/>
            <w:u w:val="single"/>
          </w:rPr>
          <w:t>Mateus 18.17</w:t>
        </w:r>
      </w:hyperlink>
      <w:r>
        <w:t xml:space="preserve">, </w:t>
      </w:r>
      <w:hyperlink r:id="rId10877">
        <w:r>
          <w:rPr>
            <w:color w:val="0000EE"/>
            <w:u w:val="single"/>
          </w:rPr>
          <w:t>At 5.11</w:t>
        </w:r>
      </w:hyperlink>
      <w:r>
        <w:t xml:space="preserve">, </w:t>
      </w:r>
      <w:hyperlink r:id="rId10878">
        <w:r>
          <w:rPr>
            <w:color w:val="0000EE"/>
            <w:u w:val="single"/>
          </w:rPr>
          <w:t>1 Coríntios 4.17</w:t>
        </w:r>
      </w:hyperlink>
      <w:r>
        <w:t xml:space="preserve">, e </w:t>
      </w:r>
      <w:hyperlink r:id="rId10879">
        <w:r>
          <w:rPr>
            <w:color w:val="0000EE"/>
            <w:u w:val="single"/>
          </w:rPr>
          <w:t>Filipenses 4.15</w:t>
        </w:r>
      </w:hyperlink>
      <w:r>
        <w:t>, “igreja” refere-se ao grupo inteiro de cristãos vivendo em um lugar. A natureza local de um grupo cristão é frequentemente destacada. Por exemplo, em frases como "a igreja em Jerusalém" (</w:t>
      </w:r>
      <w:hyperlink r:id="rId10880">
        <w:r>
          <w:rPr>
            <w:color w:val="0000EE"/>
            <w:u w:val="single"/>
          </w:rPr>
          <w:t>At 8.1</w:t>
        </w:r>
      </w:hyperlink>
      <w:r>
        <w:t>), “em Corinto” (</w:t>
      </w:r>
      <w:hyperlink r:id="rId10881">
        <w:r>
          <w:rPr>
            <w:color w:val="0000EE"/>
            <w:u w:val="single"/>
          </w:rPr>
          <w:t>1Co 1.2</w:t>
        </w:r>
      </w:hyperlink>
      <w:r>
        <w:t>), e “em Tessalônica” (</w:t>
      </w:r>
      <w:hyperlink r:id="rId3688">
        <w:r>
          <w:rPr>
            <w:color w:val="0000EE"/>
            <w:u w:val="single"/>
          </w:rPr>
          <w:t>1Ts 1.1</w:t>
        </w:r>
      </w:hyperlink>
      <w:r>
        <w:t>).</w:t>
      </w:r>
    </w:p>
    <w:p>
      <w:pPr>
        <w:pStyle w:val="ListNumber"/>
        <w:spacing w:line="240" w:lineRule="auto"/>
        <w:ind w:left="720"/>
      </w:pPr>
      <w:r/>
      <w:r>
        <w:rPr>
          <w:b/>
        </w:rPr>
        <w:t>Como igrejas domésticas:</w:t>
      </w:r>
      <w:r>
        <w:t xml:space="preserve"> em outros textos, pequenos grupos de cristãos que se reuniam na casa de alguém são chamados de igrejas, como aqueles que se reuniam na casa de Priscila e Áquila (</w:t>
      </w:r>
      <w:hyperlink r:id="rId2748">
        <w:r>
          <w:rPr>
            <w:color w:val="0000EE"/>
            <w:u w:val="single"/>
          </w:rPr>
          <w:t>Rm 16.5</w:t>
        </w:r>
      </w:hyperlink>
      <w:r>
        <w:t xml:space="preserve">; </w:t>
      </w:r>
      <w:hyperlink r:id="rId2303">
        <w:r>
          <w:rPr>
            <w:color w:val="0000EE"/>
            <w:u w:val="single"/>
          </w:rPr>
          <w:t>1Co 16.19</w:t>
        </w:r>
      </w:hyperlink>
      <w:r>
        <w:t>).</w:t>
      </w:r>
    </w:p>
    <w:p>
      <w:pPr>
        <w:pStyle w:val="ListNumber"/>
        <w:spacing w:line="240" w:lineRule="auto"/>
        <w:ind w:left="720"/>
      </w:pPr>
      <w:r/>
      <w:r>
        <w:rPr>
          <w:b/>
        </w:rPr>
        <w:t>Como a igreja universal:</w:t>
      </w:r>
      <w:r>
        <w:t xml:space="preserve"> ao longo do Novo Testamento, "a igreja" também pode significar a igreja universal, que inclui todos os crentes (</w:t>
      </w:r>
      <w:hyperlink r:id="rId10872">
        <w:r>
          <w:rPr>
            <w:color w:val="0000EE"/>
            <w:u w:val="single"/>
          </w:rPr>
          <w:t>At 9.31</w:t>
        </w:r>
      </w:hyperlink>
      <w:r>
        <w:t xml:space="preserve">; </w:t>
      </w:r>
      <w:hyperlink r:id="rId5773">
        <w:r>
          <w:rPr>
            <w:color w:val="0000EE"/>
            <w:u w:val="single"/>
          </w:rPr>
          <w:t>1Co 6.4</w:t>
        </w:r>
      </w:hyperlink>
      <w:r>
        <w:t xml:space="preserve">; </w:t>
      </w:r>
      <w:hyperlink r:id="rId7641">
        <w:r>
          <w:rPr>
            <w:color w:val="0000EE"/>
            <w:u w:val="single"/>
          </w:rPr>
          <w:t>Ef 1.22</w:t>
        </w:r>
      </w:hyperlink>
      <w:r>
        <w:t xml:space="preserve">; </w:t>
      </w:r>
      <w:hyperlink r:id="rId367">
        <w:r>
          <w:rPr>
            <w:color w:val="0000EE"/>
            <w:u w:val="single"/>
          </w:rPr>
          <w:t>Cl 1.18</w:t>
        </w:r>
      </w:hyperlink>
      <w:r>
        <w:t xml:space="preserve">). A primeira menção de Jesus sobre a fundação do movimento cristão em </w:t>
      </w:r>
      <w:hyperlink r:id="rId10302">
        <w:r>
          <w:rPr>
            <w:color w:val="0000EE"/>
            <w:u w:val="single"/>
          </w:rPr>
          <w:t>Mateus 16.18</w:t>
        </w:r>
      </w:hyperlink>
      <w:r>
        <w:t xml:space="preserve"> usa o termo nesse sentido mais amplo: "Edificarei a minha igreja, e as portas do Hades não prevalecerão contra ela".</w:t>
      </w:r>
    </w:p>
    <w:p>
      <w:r/>
      <w:r>
        <w:t>Paulo frequentemente se refere à igreja como "a igreja de Deus" (</w:t>
      </w:r>
      <w:hyperlink r:id="rId10881">
        <w:r>
          <w:rPr>
            <w:color w:val="0000EE"/>
            <w:u w:val="single"/>
          </w:rPr>
          <w:t>1Co 1.2</w:t>
        </w:r>
      </w:hyperlink>
      <w:r>
        <w:t xml:space="preserve">; </w:t>
      </w:r>
      <w:hyperlink r:id="rId5817">
        <w:r>
          <w:rPr>
            <w:color w:val="0000EE"/>
            <w:u w:val="single"/>
          </w:rPr>
          <w:t>10.32</w:t>
        </w:r>
      </w:hyperlink>
      <w:r>
        <w:t>) ou "as igrejas de Cristo" (</w:t>
      </w:r>
      <w:hyperlink r:id="rId3322">
        <w:r>
          <w:rPr>
            <w:color w:val="0000EE"/>
            <w:u w:val="single"/>
          </w:rPr>
          <w:t>Rm 16.16</w:t>
        </w:r>
      </w:hyperlink>
      <w:r>
        <w:t>). Isso confere a uma palavra grega comum um significado cristão distinto. Isso diferencia a assembleia cristã de outros grupos, tanto seculares quanto religiosos.</w:t>
      </w:r>
    </w:p>
    <w:p>
      <w:r/>
      <w:r>
        <w:t>O Novo Testamento como um todo deixa claro que a comunidade cristã se via como a comunidade dos tempos finais. Os cristãos acreditavam que foram chamados à existência pelo ato final de revelação e presença divina de Deus em Jesus de Nazaré. Paulo diz aos cristãos em Corinto que eles são aqueles “sobre quem o cumprimento dos tempos chegou” (</w:t>
      </w:r>
      <w:hyperlink r:id="rId8111">
        <w:r>
          <w:rPr>
            <w:color w:val="0000EE"/>
            <w:u w:val="single"/>
          </w:rPr>
          <w:t>1Co 10.11</w:t>
        </w:r>
      </w:hyperlink>
      <w:r>
        <w:t>). Isso significa que Deus havia visitado sua criação e chamado novas pessoas tanto do judaísmo quanto do mundo não-judaico. Essas pessoas foram capacitadas pelo Espírito de Deus para estarem presentes no mundo, compartilhando as boas-novas do amor radical e incondicional de Deus por sua criação (</w:t>
      </w:r>
      <w:hyperlink r:id="rId10882">
        <w:r>
          <w:rPr>
            <w:color w:val="0000EE"/>
            <w:u w:val="single"/>
          </w:rPr>
          <w:t>Ef 2.11–22</w:t>
        </w:r>
      </w:hyperlink>
      <w:r>
        <w:t>).</w:t>
      </w:r>
    </w:p>
    <w:p>
      <w:r/>
      <w:r>
        <w:t>Os Evangelhos nos dizem que Jesus escolheu 12 discípulos que se tornaram a fundação deste novo povo. A conexão com as 12 tribos de Israel é clara. Isso mostra que a igreja era vista tanto como enraizada no Judaísmo quanto como o plano de Deus para fazer de Israel "uma luz para as nações" (</w:t>
      </w:r>
      <w:hyperlink r:id="rId10883">
        <w:r>
          <w:rPr>
            <w:color w:val="0000EE"/>
            <w:u w:val="single"/>
          </w:rPr>
          <w:t>Is 49.6</w:t>
        </w:r>
      </w:hyperlink>
      <w:r>
        <w:t xml:space="preserve">; </w:t>
      </w:r>
      <w:hyperlink r:id="rId10884">
        <w:r>
          <w:rPr>
            <w:color w:val="0000EE"/>
            <w:u w:val="single"/>
          </w:rPr>
          <w:t>Rm 11.1–5</w:t>
        </w:r>
      </w:hyperlink>
      <w:r>
        <w:t>). Por causa disso, Paulo pode chamar essa nova comunidade gentio-judaica, essa nova criação, de “o Israel de Deus” (</w:t>
      </w:r>
      <w:hyperlink r:id="rId10885">
        <w:r>
          <w:rPr>
            <w:color w:val="0000EE"/>
            <w:u w:val="single"/>
          </w:rPr>
          <w:t>Gl 6.15–16</w:t>
        </w:r>
      </w:hyperlink>
      <w:r>
        <w:t>). Nesta nova comunidade, divisões tradicionais de raça, classe e gênero foram desfeitas. Elas haviam separado e classificado as pessoas em grupos inferiores e superiores. “Não há judeu nem grego, escravo nem livre, homem nem mulher, pois todos vocês são um em Cristo Jesus” (</w:t>
      </w:r>
      <w:hyperlink r:id="rId5177">
        <w:r>
          <w:rPr>
            <w:color w:val="0000EE"/>
            <w:u w:val="single"/>
          </w:rPr>
          <w:t>Gl 3.28</w:t>
        </w:r>
      </w:hyperlink>
      <w:r>
        <w:t>). Este grupo único é chamado de “o corpo de Cristo”.</w:t>
      </w:r>
    </w:p>
    <w:p>
      <w:pPr>
        <w:pStyle w:val="Heading3"/>
      </w:pPr>
      <w:r>
        <w:t>A igreja como corpo de Cristo</w:t>
      </w:r>
    </w:p>
    <w:p>
      <w:r/>
      <w:r>
        <w:t>Paulo é o único escritor do Novo Testamento a chamar a igreja de corpo de Cristo (</w:t>
      </w:r>
      <w:hyperlink r:id="rId10886">
        <w:r>
          <w:rPr>
            <w:color w:val="0000EE"/>
            <w:u w:val="single"/>
          </w:rPr>
          <w:t>Rm 12.5</w:t>
        </w:r>
      </w:hyperlink>
      <w:r>
        <w:t xml:space="preserve">; </w:t>
      </w:r>
      <w:hyperlink r:id="rId6017">
        <w:r>
          <w:rPr>
            <w:color w:val="0000EE"/>
            <w:u w:val="single"/>
          </w:rPr>
          <w:t>1Co 12.27</w:t>
        </w:r>
      </w:hyperlink>
      <w:r>
        <w:t xml:space="preserve">; </w:t>
      </w:r>
      <w:hyperlink r:id="rId366">
        <w:r>
          <w:rPr>
            <w:color w:val="0000EE"/>
            <w:u w:val="single"/>
          </w:rPr>
          <w:t>Ef 1.22–23</w:t>
        </w:r>
      </w:hyperlink>
      <w:r>
        <w:t xml:space="preserve">; </w:t>
      </w:r>
      <w:hyperlink r:id="rId10887">
        <w:r>
          <w:rPr>
            <w:color w:val="0000EE"/>
            <w:u w:val="single"/>
          </w:rPr>
          <w:t>4.12</w:t>
        </w:r>
      </w:hyperlink>
      <w:r>
        <w:t xml:space="preserve">; veja também </w:t>
      </w:r>
      <w:hyperlink r:id="rId5825">
        <w:r>
          <w:rPr>
            <w:color w:val="0000EE"/>
            <w:u w:val="single"/>
          </w:rPr>
          <w:t>1Co 10.16–17</w:t>
        </w:r>
      </w:hyperlink>
      <w:r>
        <w:t xml:space="preserve">; </w:t>
      </w:r>
      <w:hyperlink r:id="rId5830">
        <w:r>
          <w:rPr>
            <w:color w:val="0000EE"/>
            <w:u w:val="single"/>
          </w:rPr>
          <w:t>12.12–13</w:t>
        </w:r>
      </w:hyperlink>
      <w:r>
        <w:t>). Ele também descreve a igreja como “o corpo” do qual Cristo é a “cabeça” (</w:t>
      </w:r>
      <w:hyperlink r:id="rId3922">
        <w:r>
          <w:rPr>
            <w:color w:val="0000EE"/>
            <w:u w:val="single"/>
          </w:rPr>
          <w:t>Ef 4.15</w:t>
        </w:r>
      </w:hyperlink>
      <w:r>
        <w:t xml:space="preserve">; </w:t>
      </w:r>
      <w:hyperlink r:id="rId367">
        <w:r>
          <w:rPr>
            <w:color w:val="0000EE"/>
            <w:u w:val="single"/>
          </w:rPr>
          <w:t>Cl 1.18</w:t>
        </w:r>
      </w:hyperlink>
      <w:r>
        <w:t>). A origem exata dessa maneira de falar sobre a igreja não é clara, mas duas ideias são particularmente úteis para entender o pensamento de Paulo:</w:t>
      </w:r>
    </w:p>
    <w:p>
      <w:pPr>
        <w:pStyle w:val="ListNumber"/>
        <w:spacing w:line="240" w:lineRule="auto"/>
        <w:ind w:left="720"/>
      </w:pPr>
      <w:r/>
      <w:r>
        <w:rPr>
          <w:b/>
        </w:rPr>
        <w:t>Experiência de Paulo na estrada de Damasco:</w:t>
      </w:r>
      <w:r>
        <w:t xml:space="preserve"> de acordo com os relatos em </w:t>
      </w:r>
      <w:hyperlink r:id="rId10888">
        <w:r>
          <w:rPr>
            <w:color w:val="0000EE"/>
            <w:u w:val="single"/>
          </w:rPr>
          <w:t>Atos 9.3–7</w:t>
        </w:r>
      </w:hyperlink>
      <w:r>
        <w:t xml:space="preserve">; </w:t>
      </w:r>
      <w:hyperlink r:id="rId10889">
        <w:r>
          <w:rPr>
            <w:color w:val="0000EE"/>
            <w:u w:val="single"/>
          </w:rPr>
          <w:t>22.6–11</w:t>
        </w:r>
      </w:hyperlink>
      <w:r>
        <w:t xml:space="preserve">; </w:t>
      </w:r>
      <w:hyperlink r:id="rId2285">
        <w:r>
          <w:rPr>
            <w:color w:val="0000EE"/>
            <w:u w:val="single"/>
          </w:rPr>
          <w:t>26.12–18</w:t>
        </w:r>
      </w:hyperlink>
      <w:r>
        <w:t>, Jesus se identificou com seus discípulos perseguidos. Quando Paulo perseguia esses primeiros cristãos, ele estava, na verdade, lutando contra o próprio Cristo. Refletir sobre essa experiência pode ter levado Paulo a acreditar que o Cristo vivo estava tão intimamente identificado com sua comunidade que poderia ser chamado de seu “corpo”, significando a expressão real e física de sua presença.</w:t>
      </w:r>
    </w:p>
    <w:p>
      <w:pPr>
        <w:pStyle w:val="ListNumber"/>
        <w:spacing w:line="240" w:lineRule="auto"/>
        <w:ind w:left="720"/>
      </w:pPr>
      <w:r/>
      <w:r>
        <w:rPr>
          <w:b/>
        </w:rPr>
        <w:t>O conceito hebraico de solidariedade corporativa:</w:t>
      </w:r>
      <w:r>
        <w:t xml:space="preserve"> solidariedade corporativa é a ideia de que um grupo pode ser representado por uma única pessoa. Paulo era profundamente judeu, e ideias judaicas moldaram seu pensamento (</w:t>
      </w:r>
      <w:hyperlink r:id="rId3431">
        <w:r>
          <w:rPr>
            <w:color w:val="0000EE"/>
            <w:u w:val="single"/>
          </w:rPr>
          <w:t>Fp 3.5</w:t>
        </w:r>
      </w:hyperlink>
      <w:r>
        <w:t>). Nesse contexto, o indivíduo é visto como intimamente conectado à nação como um todo. O indivíduo não existe verdadeiramente separado do povo como um todo.</w:t>
      </w:r>
    </w:p>
    <w:p>
      <w:r/>
      <w:r>
        <w:t xml:space="preserve">Ao mesmo tempo, todo o povo pode ser representado por um indivíduo. Por exemplo, “Israel” é tanto o nome de uma pessoa quanto o nome de um povo inteiro. O “servo” em </w:t>
      </w:r>
      <w:hyperlink r:id="rId10890">
        <w:r>
          <w:rPr>
            <w:color w:val="0000EE"/>
            <w:u w:val="single"/>
          </w:rPr>
          <w:t>Isaías 42–53</w:t>
        </w:r>
      </w:hyperlink>
      <w:r>
        <w:t xml:space="preserve"> pode ser tanto um indivíduo (</w:t>
      </w:r>
      <w:hyperlink r:id="rId6408">
        <w:r>
          <w:rPr>
            <w:color w:val="0000EE"/>
            <w:u w:val="single"/>
          </w:rPr>
          <w:t>Is 42.1–4</w:t>
        </w:r>
      </w:hyperlink>
      <w:r>
        <w:t>) quanto a nação de Israel (</w:t>
      </w:r>
      <w:hyperlink r:id="rId10891">
        <w:r>
          <w:rPr>
            <w:color w:val="0000EE"/>
            <w:u w:val="single"/>
          </w:rPr>
          <w:t>Is 49.1–6</w:t>
        </w:r>
      </w:hyperlink>
      <w:r>
        <w:t>). Esta ideia de solidariedade corporativa (ou unidade) é o pano de fundo para a conexão estreita que Paulo faz entre "o primeiro Adão" e a humanidade pecadora. Também conecta "o último (ou segundo) Adão" (Cristo) com a humanidade renovada (</w:t>
      </w:r>
      <w:hyperlink r:id="rId10892">
        <w:r>
          <w:rPr>
            <w:color w:val="0000EE"/>
            <w:u w:val="single"/>
          </w:rPr>
          <w:t>1Co 15.45–49</w:t>
        </w:r>
      </w:hyperlink>
      <w:r>
        <w:t xml:space="preserve">; veja também </w:t>
      </w:r>
      <w:hyperlink r:id="rId360">
        <w:r>
          <w:rPr>
            <w:color w:val="0000EE"/>
            <w:u w:val="single"/>
          </w:rPr>
          <w:t>Rm 5.12–21</w:t>
        </w:r>
      </w:hyperlink>
      <w:r>
        <w:t>).</w:t>
      </w:r>
    </w:p>
    <w:p>
      <w:r/>
      <w:r>
        <w:t>Paulo expressa a relação próxima entre Cristo e sua igreja comparando-a à unidade e cooperação de um corpo físico (</w:t>
      </w:r>
      <w:hyperlink r:id="rId8457">
        <w:r>
          <w:rPr>
            <w:color w:val="0000EE"/>
            <w:u w:val="single"/>
          </w:rPr>
          <w:t>Rm 12.4–8</w:t>
        </w:r>
      </w:hyperlink>
      <w:r>
        <w:t xml:space="preserve">; </w:t>
      </w:r>
      <w:hyperlink r:id="rId3923">
        <w:r>
          <w:rPr>
            <w:color w:val="0000EE"/>
            <w:u w:val="single"/>
          </w:rPr>
          <w:t>1Co 12.12–27</w:t>
        </w:r>
      </w:hyperlink>
      <w:r>
        <w:t>). Para Paulo, a Ceia do Senhor é um exemplo específico dessa realidade: “O pão que partimos não é uma participação no corpo de Cristo? Porque há um só pão, nós, que somos muitos, somos um só corpo; pois todos participamos do único pão”. (</w:t>
      </w:r>
      <w:hyperlink r:id="rId5825">
        <w:r>
          <w:rPr>
            <w:color w:val="0000EE"/>
            <w:u w:val="single"/>
          </w:rPr>
          <w:t>1Co 10.16b–17</w:t>
        </w:r>
      </w:hyperlink>
      <w:r>
        <w:t>). Por causa disso, Paulo argumenta que cada função dentro do corpo tem seu lugar de direito.</w:t>
      </w:r>
    </w:p>
    <w:p>
      <w:r/>
      <w:r>
        <w:t>A divisão dentro do corpo (significando a igreja) indica que algo não está certo. O repetido apelo de Paulo pela unidade dentro da comunidade cristã é baseado nesta imagem da igreja como "o corpo de Cristo".</w:t>
      </w:r>
      <w:r/>
      <w:r/>
    </w:p>
    <w:p>
      <w:r/>
    </w:p>
    <w:p>
      <w:pPr>
        <w:pStyle w:val="Heading2"/>
      </w:pPr>
      <w:r>
        <w:t>Iim</w:t>
      </w:r>
      <w:r/>
    </w:p>
    <w:p>
      <w:r/>
      <w:r>
        <w:t>Uma cidade localizada perto de Edom. Estava na parte sul da terra que foi atribuída à tribo de Judá (</w:t>
      </w:r>
      <w:hyperlink r:id="rId10893">
        <w:r>
          <w:rPr>
            <w:color w:val="0000EE"/>
            <w:u w:val="single"/>
          </w:rPr>
          <w:t>Js 15.29</w:t>
        </w:r>
      </w:hyperlink>
      <w:r>
        <w:t>).</w:t>
      </w:r>
      <w:r/>
      <w:r/>
    </w:p>
    <w:p>
      <w:r/>
    </w:p>
    <w:p>
      <w:pPr>
        <w:pStyle w:val="Heading2"/>
      </w:pPr>
      <w:r>
        <w:t>Ije-Abarim</w:t>
      </w:r>
      <w:r/>
    </w:p>
    <w:p>
      <w:r/>
      <w:r>
        <w:t>Este foi um dos lugares onde Israel parou durante sua jornada pelo deserto (</w:t>
      </w:r>
      <w:hyperlink r:id="rId10894">
        <w:r>
          <w:rPr>
            <w:color w:val="0000EE"/>
            <w:u w:val="single"/>
          </w:rPr>
          <w:t>Nm 21.11</w:t>
        </w:r>
      </w:hyperlink>
      <w:r>
        <w:t xml:space="preserve"> e </w:t>
      </w:r>
      <w:hyperlink r:id="rId10895">
        <w:r>
          <w:rPr>
            <w:color w:val="0000EE"/>
            <w:u w:val="single"/>
          </w:rPr>
          <w:t>33.44</w:t>
        </w:r>
      </w:hyperlink>
      <w:r>
        <w:t>). Algumas versões em português traduzem essa localidade apenas como Abarim.</w:t>
      </w:r>
      <w:r/>
      <w:r/>
    </w:p>
    <w:p>
      <w:r/>
    </w:p>
    <w:p>
      <w:pPr>
        <w:pStyle w:val="Heading2"/>
      </w:pPr>
      <w:r>
        <w:t>Ijé-Abarim</w:t>
      </w:r>
      <w:r/>
    </w:p>
    <w:p>
      <w:r/>
      <w:r>
        <w:t>Um local de acampamento israelita na fronteira sudeste de Moabe durante suas peregrinações no deserto (</w:t>
      </w:r>
      <w:hyperlink r:id="rId10895">
        <w:r>
          <w:rPr>
            <w:color w:val="0000EE"/>
            <w:u w:val="single"/>
          </w:rPr>
          <w:t>Nm 33.44</w:t>
        </w:r>
      </w:hyperlink>
      <w:r>
        <w:t xml:space="preserve">). No versículo </w:t>
      </w:r>
      <w:hyperlink r:id="rId10896">
        <w:r>
          <w:rPr>
            <w:color w:val="0000EE"/>
            <w:u w:val="single"/>
          </w:rPr>
          <w:t>45</w:t>
        </w:r>
      </w:hyperlink>
      <w:r>
        <w:t xml:space="preserve">, a cidade é chamada de Iyim, que é uma forma abreviada de Ijé-Abarim. Outras traduções em português usam apenas Abarim. </w:t>
      </w:r>
      <w:r/>
      <w:r/>
    </w:p>
    <w:p>
      <w:r/>
    </w:p>
    <w:p>
      <w:pPr>
        <w:pStyle w:val="Heading2"/>
      </w:pPr>
      <w:r>
        <w:t>Ilírico</w:t>
      </w:r>
      <w:r/>
    </w:p>
    <w:p>
      <w:r/>
      <w:r>
        <w:t>Província romana a noroeste da Macedônia. Durante o auge do Império Romano (c. d.C 117), quando incluía a Dalmácia, Ilírico era delimitada pelo Mar Adriático a oeste e pelas províncias da Panônia ao norte, Moésia Superior a leste e Macedônia ao sul. Hoje, Eslovênia, Croácia, Bósnia e Iugoslávia ocupam esse território.</w:t>
      </w:r>
    </w:p>
    <w:p>
      <w:r/>
      <w:r>
        <w:t>Ao longo do século IV a.C., o povo de Ilírico guerreou com os macedônios até que o governante macedônio Filipe II os derrotou em 359 a.C. Durante o século III a.C., seus atos de pirataria contra navios gregos e romanos levaram a uma guerra com Roma que continuou intermitentemente por 60 anos (229–168 a.C.). Após uma série de revoltas e domínio romano esporádico, o território de Ilírico foi oficialmente incorporado ao império em 11 a.C. e renomeado Dalmácia. Levou mais 20 anos para que o povo fosse totalmente integrado à cultura romana.</w:t>
      </w:r>
    </w:p>
    <w:p>
      <w:r/>
      <w:r>
        <w:t>Em 229 a.C., o historiador romano Políbio afirmou que "os ilírios não eram inimigos de um povo específico, mas inimigos comuns de todos". Mais tarde, Estrabão, um geógrafo grego do primeiro século, ainda descrevia o povo do Ilírico como selvagem e saqueador.</w:t>
      </w:r>
    </w:p>
    <w:p>
      <w:r/>
      <w:r>
        <w:t>A única referência no NT a Ilírico é encontrada na declaração do apóstolo Paulo de que ele havia pregado o evangelho de Jerusalém até Ilírico (</w:t>
      </w:r>
      <w:hyperlink r:id="rId10897">
        <w:r>
          <w:rPr>
            <w:color w:val="0000EE"/>
            <w:u w:val="single"/>
          </w:rPr>
          <w:t>Rm 15.19</w:t>
        </w:r>
      </w:hyperlink>
      <w:r>
        <w:t>). Embora Atos não documente um ministério nessa região, Paulo pode ter visitado Ilírico durante sua visita à Macedônia e Acaia, pouco antes de retornar a Jerusalém (</w:t>
      </w:r>
      <w:hyperlink r:id="rId10898">
        <w:r>
          <w:rPr>
            <w:color w:val="0000EE"/>
            <w:u w:val="single"/>
          </w:rPr>
          <w:t>At 20.1–2</w:t>
        </w:r>
      </w:hyperlink>
      <w:r>
        <w:t>). Paulo expressou o desejo de continuar seu ministério na Espanha, um ambiente totalmente latino (</w:t>
      </w:r>
      <w:hyperlink r:id="rId10899">
        <w:r>
          <w:rPr>
            <w:color w:val="0000EE"/>
            <w:u w:val="single"/>
          </w:rPr>
          <w:t>Rm 15.28</w:t>
        </w:r>
      </w:hyperlink>
      <w:r>
        <w:t>); em Ilírico, ele teria sua primeira experiência em uma cultura mais latina do que grega.</w:t>
      </w:r>
    </w:p>
    <w:p>
      <w:r/>
      <w:r>
        <w:rPr>
          <w:i/>
        </w:rPr>
        <w:t>Veja também</w:t>
      </w:r>
      <w:r>
        <w:t xml:space="preserve"> </w:t>
      </w:r>
      <w:r>
        <w:t>Dalmácia</w:t>
      </w:r>
      <w:r>
        <w:t>.</w:t>
      </w:r>
      <w:r/>
      <w:r/>
    </w:p>
    <w:p>
      <w:r/>
    </w:p>
    <w:p>
      <w:pPr>
        <w:pStyle w:val="Heading2"/>
      </w:pPr>
      <w:r>
        <w:t>Imagem de Deus</w:t>
      </w:r>
      <w:r/>
    </w:p>
    <w:p>
      <w:r/>
      <w:r>
        <w:t>Semelhante a Deus, a afirmação mais básica a ser feita sobre a natureza dos seres humanos de uma perspectiva cristã. Os humanos são únicos entre as criaturas porque são semelhantes a Deus e, portanto, capazes de ter comunhão e relacionamento com Deus.</w:t>
      </w:r>
    </w:p>
    <w:p>
      <w:r/>
      <w:hyperlink r:id="rId6087">
        <w:r>
          <w:rPr>
            <w:color w:val="0000EE"/>
            <w:u w:val="single"/>
          </w:rPr>
          <w:t>Gênesis 1.26–27</w:t>
        </w:r>
      </w:hyperlink>
      <w:r>
        <w:t xml:space="preserve"> ensina que Deus decidiu criar o homem e a mulher à sua própria “imagem” e “semelhança” e que eles teriam domínio sobre a criação animal. Os dois termos usados no relato da criação e encontrados também no NT transmitem nuances de significado intimamente relacionadas, mas a diferença entre eles não é mais considerada teologicamente significativa.</w:t>
      </w:r>
    </w:p>
    <w:p>
      <w:r/>
      <w:r>
        <w:t xml:space="preserve">Porque </w:t>
      </w:r>
      <w:hyperlink r:id="rId292">
        <w:r>
          <w:rPr>
            <w:color w:val="0000EE"/>
            <w:u w:val="single"/>
          </w:rPr>
          <w:t>Gênesis 2.7</w:t>
        </w:r>
      </w:hyperlink>
      <w:r>
        <w:t xml:space="preserve"> afirma inequivocamente que o </w:t>
      </w:r>
      <w:r>
        <w:rPr>
          <w:i/>
        </w:rPr>
        <w:t>homem</w:t>
      </w:r>
      <w:r>
        <w:t xml:space="preserve"> tornou-se um ser vivente, a Bíblia não apresenta a visão de que uma criatura previamente viva desenvolveu-se em um humano, nem sugere que a imagem de Deus evoluiu de uma forma de vida inferior. No momento em que o homem e a mulher se tornaram criaturas viventes, eles eram a imagem de Deus. Tanto o homem quanto a mulher compartilham essa semelhança com Deus (</w:t>
      </w:r>
      <w:hyperlink r:id="rId7403">
        <w:r>
          <w:rPr>
            <w:color w:val="0000EE"/>
            <w:u w:val="single"/>
          </w:rPr>
          <w:t>Gênesis 1.27</w:t>
        </w:r>
      </w:hyperlink>
      <w:r>
        <w:t>).</w:t>
      </w:r>
    </w:p>
    <w:p>
      <w:r/>
      <w:r>
        <w:t xml:space="preserve">Outras passagens que falam sobre pessoas sendo criadas à imagem de Deus são </w:t>
      </w:r>
      <w:hyperlink r:id="rId10900">
        <w:r>
          <w:rPr>
            <w:color w:val="0000EE"/>
            <w:u w:val="single"/>
          </w:rPr>
          <w:t>Gênesis 5.1</w:t>
        </w:r>
      </w:hyperlink>
      <w:r>
        <w:t xml:space="preserve">, </w:t>
      </w:r>
      <w:hyperlink r:id="rId6358">
        <w:r>
          <w:rPr>
            <w:color w:val="0000EE"/>
            <w:u w:val="single"/>
          </w:rPr>
          <w:t>9.6</w:t>
        </w:r>
      </w:hyperlink>
      <w:r>
        <w:t xml:space="preserve">, </w:t>
      </w:r>
      <w:hyperlink r:id="rId10901">
        <w:r>
          <w:rPr>
            <w:color w:val="0000EE"/>
            <w:u w:val="single"/>
          </w:rPr>
          <w:t>1 Coríntios 11.7</w:t>
        </w:r>
      </w:hyperlink>
      <w:r>
        <w:t xml:space="preserve"> e </w:t>
      </w:r>
      <w:hyperlink r:id="rId10902">
        <w:r>
          <w:rPr>
            <w:color w:val="0000EE"/>
            <w:u w:val="single"/>
          </w:rPr>
          <w:t>Tiago 3.9</w:t>
        </w:r>
      </w:hyperlink>
      <w:r>
        <w:t xml:space="preserve">. </w:t>
      </w:r>
      <w:hyperlink r:id="rId372">
        <w:r>
          <w:rPr>
            <w:color w:val="0000EE"/>
            <w:u w:val="single"/>
          </w:rPr>
          <w:t>Efésios 4.24</w:t>
        </w:r>
      </w:hyperlink>
      <w:r>
        <w:t xml:space="preserve"> e </w:t>
      </w:r>
      <w:hyperlink r:id="rId6842">
        <w:r>
          <w:rPr>
            <w:color w:val="0000EE"/>
            <w:u w:val="single"/>
          </w:rPr>
          <w:t>Colossenses 3.10</w:t>
        </w:r>
      </w:hyperlink>
      <w:r>
        <w:t xml:space="preserve"> referem-se à recriação redentora da humanidade, mas essas passagens são geralmente consideradas diretamente relevantes para a compreensão da semelhança original da humanidade com Deus. Embora referências explícitas aos humanos como expressando a imagem de Deus sejam comparativamente infrequentes na Bíblia, essa própria verdade é a base de toda a relação entre Deus e os humanos e é, portanto, a pressuposição de todo o relato bíblico.</w:t>
      </w:r>
    </w:p>
    <w:p>
      <w:r/>
      <w:r>
        <w:t xml:space="preserve">A afirmação em </w:t>
      </w:r>
      <w:hyperlink r:id="rId1452">
        <w:r>
          <w:rPr>
            <w:color w:val="0000EE"/>
            <w:u w:val="single"/>
          </w:rPr>
          <w:t>Gênesis 1</w:t>
        </w:r>
      </w:hyperlink>
      <w:r>
        <w:t xml:space="preserve"> de que o homem e a mulher foram feitos à imagem de Deus não é feita sobre nenhuma das outras criaturas vivas. Os animais, os peixes e as aves não compartilham esse privilégio. É discutido se os anjos são imagem de Deus, mas certos teólogos entendem assim porque encontram a imagem na retidão moral. No entanto, não há declaração bíblica explícita a esse respeito.</w:t>
      </w:r>
    </w:p>
    <w:p>
      <w:r/>
      <w:r>
        <w:t xml:space="preserve">Em virtude de sua criação do pó da terra, a humanidade tem uma afinidade óbvia com a terra. Não é estranho, portanto, que o corpo, tanto em sua constituição quanto em suas funções, mostre semelhanças com outras criaturas terrenas. Mas os humanos são únicos em todos os aspectos de sua existência; não é apenas alguma parte de um humano ou alguma faculdade de um humano, mas um humano em sua totalidade é a imagem de Deus. O conceito bíblico não é que a imagem está </w:t>
      </w:r>
      <w:r>
        <w:rPr>
          <w:i/>
        </w:rPr>
        <w:t>em</w:t>
      </w:r>
      <w:r>
        <w:t xml:space="preserve"> homem e mulher, mas que homem e mulher </w:t>
      </w:r>
      <w:r>
        <w:rPr>
          <w:i/>
        </w:rPr>
        <w:t>são</w:t>
      </w:r>
      <w:r>
        <w:t xml:space="preserve"> a imagem de Deus.</w:t>
      </w:r>
    </w:p>
    <w:p>
      <w:r/>
      <w:r>
        <w:t xml:space="preserve">No entanto, assim como o parentesco do homem com a terra é mais claramente visível em seu corpo, a imagem de Deus é melhor vista quando os humanos são observados a partir da perspectiva de sua espiritualidade. Os teólogos procuraram neste ponto enumerar aqueles aspectos da espiritualidade que definem os humanos e os distinguem da criação animal. A imagem de Deus é então encontrada em algum atributo ou combinação de atributos, como racionalidade, vontade, liberdade, responsabilidade ou algo semelhante. Os teólogos contemporâneos preferem não enumerar atributos, e a Bíblia não apresenta a imagem de Deus dessa forma. No entanto, é a personalidade dos humanos que os separa dos animais e é um reflexo da personalidade de Deus. Os animais passaram à existir à partir </w:t>
      </w:r>
      <w:r>
        <w:rPr>
          <w:i/>
        </w:rPr>
        <w:t>de</w:t>
      </w:r>
      <w:r>
        <w:t xml:space="preserve"> Deus, mas os humanos têm seu ser </w:t>
      </w:r>
      <w:r>
        <w:rPr>
          <w:i/>
        </w:rPr>
        <w:t>em</w:t>
      </w:r>
      <w:r>
        <w:t xml:space="preserve"> Deus, e eles são sua descendência (</w:t>
      </w:r>
      <w:hyperlink r:id="rId10903">
        <w:r>
          <w:rPr>
            <w:color w:val="0000EE"/>
            <w:u w:val="single"/>
          </w:rPr>
          <w:t>Atos 17.28–29</w:t>
        </w:r>
      </w:hyperlink>
      <w:r>
        <w:t>).</w:t>
      </w:r>
    </w:p>
    <w:p>
      <w:r/>
      <w:r>
        <w:t xml:space="preserve">Outro aspecto importante da doutrina da imagem de Deus é desenvolvido a partir de </w:t>
      </w:r>
      <w:hyperlink r:id="rId372">
        <w:r>
          <w:rPr>
            <w:color w:val="0000EE"/>
            <w:u w:val="single"/>
          </w:rPr>
          <w:t>Efésios 4.24</w:t>
        </w:r>
      </w:hyperlink>
      <w:r>
        <w:t xml:space="preserve"> e </w:t>
      </w:r>
      <w:hyperlink r:id="rId6842">
        <w:r>
          <w:rPr>
            <w:color w:val="0000EE"/>
            <w:u w:val="single"/>
          </w:rPr>
          <w:t>Colossenses 3.10</w:t>
        </w:r>
      </w:hyperlink>
      <w:r>
        <w:t>. Esses versículos descrevem a recriação dos crentes à semelhança de Deus — em justiça, santidade da verdade e verdadeiro conhecimento. Em outras palavras, Paulo declara que os redimidos são recriados à imagem de Deus à medida que são transformados à imagem de Cristo, que possui a imagem imaculada de Deus. Assim como a queda no pecado não foi sem efeito sobre a imagem de Deus, também a redenção do pecado afeta os humanos como imagem de Deus. Efésios e Colossenses falam de renovação na imagem de Deus Criador, mas outros textos tornam-se ainda mais específicos em vista do ofício mediador de Cristo.</w:t>
      </w:r>
    </w:p>
    <w:p>
      <w:r/>
      <w:r>
        <w:t>Jesus Cristo é preeminentemente a imagem de Deus (</w:t>
      </w:r>
      <w:hyperlink r:id="rId2186">
        <w:r>
          <w:rPr>
            <w:color w:val="0000EE"/>
            <w:u w:val="single"/>
          </w:rPr>
          <w:t>2 Coríntios 4.4</w:t>
        </w:r>
      </w:hyperlink>
      <w:r>
        <w:t xml:space="preserve">; </w:t>
      </w:r>
      <w:hyperlink r:id="rId10904">
        <w:r>
          <w:rPr>
            <w:color w:val="0000EE"/>
            <w:u w:val="single"/>
          </w:rPr>
          <w:t>Colossenses 1.15</w:t>
        </w:r>
      </w:hyperlink>
      <w:r>
        <w:t xml:space="preserve">; </w:t>
      </w:r>
      <w:hyperlink r:id="rId2666">
        <w:r>
          <w:rPr>
            <w:color w:val="0000EE"/>
            <w:u w:val="single"/>
          </w:rPr>
          <w:t>Hebreus 1.3</w:t>
        </w:r>
      </w:hyperlink>
      <w:r>
        <w:t>). Frequentemente, isso é entendido exclusivamente como uma referência à divindade de Cristo. Ver Cristo é ver o Pai (</w:t>
      </w:r>
      <w:hyperlink r:id="rId9133">
        <w:r>
          <w:rPr>
            <w:color w:val="0000EE"/>
            <w:u w:val="single"/>
          </w:rPr>
          <w:t>João 14.9</w:t>
        </w:r>
      </w:hyperlink>
      <w:r>
        <w:t>). No entanto, nas passagens citadas, é o Mediador encarnado, o último Adão, que é pelo menos tudo o que Deus pretendia que o primeiro Adão fosse. A encarnação significa que Jesus é verdadeiramente humano, e porque ele é verdadeiramente humano, ele é verdadeiramente a imagem de Deus.</w:t>
      </w:r>
    </w:p>
    <w:p>
      <w:r/>
      <w:r>
        <w:t>Como o último Adão e o Mediador da nova aliança, Jesus traz seu povo à conformidade com sua própria imagem, a imagem do Filho de Deus (</w:t>
      </w:r>
      <w:hyperlink r:id="rId368">
        <w:r>
          <w:rPr>
            <w:color w:val="0000EE"/>
            <w:u w:val="single"/>
          </w:rPr>
          <w:t>Romanos 8.29</w:t>
        </w:r>
      </w:hyperlink>
      <w:r>
        <w:t>). Aquele que se tornou como seus irmãos, na semelhança da carne pecaminosa, destrói o pecado para que seus irmãos possam refletir sua própria glória. Eles são transformados na mesma imagem de glória em glória pelo Espírito do Senhor (</w:t>
      </w:r>
      <w:hyperlink r:id="rId370">
        <w:r>
          <w:rPr>
            <w:color w:val="0000EE"/>
            <w:u w:val="single"/>
          </w:rPr>
          <w:t>2 Coríntios 3.18</w:t>
        </w:r>
      </w:hyperlink>
      <w:r>
        <w:t>). O crente deve "Revestir-se de Cristo" (</w:t>
      </w:r>
      <w:hyperlink r:id="rId5083">
        <w:r>
          <w:rPr>
            <w:color w:val="0000EE"/>
            <w:u w:val="single"/>
          </w:rPr>
          <w:t>Romanos 13.14</w:t>
        </w:r>
      </w:hyperlink>
      <w:r>
        <w:t xml:space="preserve">; </w:t>
      </w:r>
      <w:hyperlink r:id="rId3212">
        <w:r>
          <w:rPr>
            <w:color w:val="0000EE"/>
            <w:u w:val="single"/>
          </w:rPr>
          <w:t>Gálatas 3.27</w:t>
        </w:r>
      </w:hyperlink>
      <w:r>
        <w:t xml:space="preserve">; cf. </w:t>
      </w:r>
      <w:hyperlink r:id="rId372">
        <w:r>
          <w:rPr>
            <w:color w:val="0000EE"/>
            <w:u w:val="single"/>
          </w:rPr>
          <w:t>Efésios 4.24</w:t>
        </w:r>
      </w:hyperlink>
      <w:r>
        <w:t xml:space="preserve">; </w:t>
      </w:r>
      <w:hyperlink r:id="rId6842">
        <w:r>
          <w:rPr>
            <w:color w:val="0000EE"/>
            <w:u w:val="single"/>
          </w:rPr>
          <w:t>Colossenses 3.10</w:t>
        </w:r>
      </w:hyperlink>
      <w:r>
        <w:t>, "a nova natureza" na imagem de Deus), uma ação também descrita como a formação de Cristo no crente (</w:t>
      </w:r>
      <w:hyperlink r:id="rId10905">
        <w:r>
          <w:rPr>
            <w:color w:val="0000EE"/>
            <w:u w:val="single"/>
          </w:rPr>
          <w:t>Gálatas 4.19</w:t>
        </w:r>
      </w:hyperlink>
      <w:r>
        <w:t>).</w:t>
      </w:r>
    </w:p>
    <w:p>
      <w:r/>
      <w:r>
        <w:t>Conformidade à imagem de Jesus Cristo é alcançada através do processo de santificação que é finalmente completado na ressurreição. Só então o corpo é transformado até ser moldado como o corpo glorioso de Cristo (</w:t>
      </w:r>
      <w:hyperlink r:id="rId5975">
        <w:r>
          <w:rPr>
            <w:color w:val="0000EE"/>
            <w:u w:val="single"/>
          </w:rPr>
          <w:t>Filipenses 3.21</w:t>
        </w:r>
      </w:hyperlink>
      <w:r>
        <w:t>). A restauração na imagem de Cristo vai além da criação na imagem de Deus, pois a imagem do terreno é então trocada pela imagem do celestial (</w:t>
      </w:r>
      <w:hyperlink r:id="rId369">
        <w:r>
          <w:rPr>
            <w:color w:val="0000EE"/>
            <w:u w:val="single"/>
          </w:rPr>
          <w:t>1 Coríntios 15.49</w:t>
        </w:r>
      </w:hyperlink>
      <w:r>
        <w:t>).</w:t>
      </w:r>
    </w:p>
    <w:p>
      <w:r/>
      <w:r>
        <w:rPr>
          <w:i/>
        </w:rPr>
        <w:t>Veja também</w:t>
      </w:r>
      <w:r>
        <w:t xml:space="preserve"> </w:t>
      </w:r>
      <w:r>
        <w:t>Homem</w:t>
      </w:r>
      <w:r>
        <w:t xml:space="preserve">; </w:t>
      </w:r>
      <w:r>
        <w:t>Mulher</w:t>
      </w:r>
      <w:r>
        <w:t>.</w:t>
      </w:r>
      <w:r/>
      <w:r/>
    </w:p>
    <w:p>
      <w:r/>
    </w:p>
    <w:p>
      <w:pPr>
        <w:pStyle w:val="Heading2"/>
      </w:pPr>
      <w:r>
        <w:t>Imna</w:t>
      </w:r>
      <w:r/>
    </w:p>
    <w:p>
      <w:r/>
      <w:r>
        <w:t>1. Filho de Aser (</w:t>
      </w:r>
      <w:hyperlink r:id="rId2708">
        <w:r>
          <w:rPr>
            <w:color w:val="0000EE"/>
            <w:u w:val="single"/>
          </w:rPr>
          <w:t>Gn 46.17</w:t>
        </w:r>
      </w:hyperlink>
      <w:r>
        <w:t xml:space="preserve">; </w:t>
      </w:r>
      <w:hyperlink r:id="rId2709">
        <w:r>
          <w:rPr>
            <w:color w:val="0000EE"/>
            <w:u w:val="single"/>
          </w:rPr>
          <w:t>1Cr 7.30</w:t>
        </w:r>
      </w:hyperlink>
      <w:r>
        <w:t>) e fundador da família Imnita (</w:t>
      </w:r>
      <w:hyperlink r:id="rId3442">
        <w:r>
          <w:rPr>
            <w:color w:val="0000EE"/>
            <w:u w:val="single"/>
          </w:rPr>
          <w:t>Nm 26.44</w:t>
        </w:r>
      </w:hyperlink>
      <w:r>
        <w:t>).</w:t>
      </w:r>
    </w:p>
    <w:p>
      <w:r/>
      <w:r>
        <w:t>2. Levita e pai de Coré. Coré foi um assistente do templo durante o reinado do Rei Ezequias (</w:t>
      </w:r>
      <w:hyperlink r:id="rId10906">
        <w:r>
          <w:rPr>
            <w:color w:val="0000EE"/>
            <w:u w:val="single"/>
          </w:rPr>
          <w:t>2Cr 31.14</w:t>
        </w:r>
      </w:hyperlink>
      <w:r>
        <w:t>).</w:t>
      </w:r>
      <w:r/>
      <w:r/>
    </w:p>
    <w:p>
      <w:r/>
    </w:p>
    <w:p>
      <w:pPr>
        <w:pStyle w:val="Heading2"/>
      </w:pPr>
      <w:r>
        <w:t>Imnaítas</w:t>
      </w:r>
      <w:r/>
    </w:p>
    <w:p>
      <w:r/>
      <w:r>
        <w:t>Qualquer descendente de Imna da tribo de Aser (</w:t>
      </w:r>
      <w:hyperlink r:id="rId3442">
        <w:r>
          <w:rPr>
            <w:color w:val="0000EE"/>
            <w:u w:val="single"/>
          </w:rPr>
          <w:t>Nm 26.44</w:t>
        </w:r>
      </w:hyperlink>
      <w:r>
        <w:t>).</w:t>
      </w:r>
    </w:p>
    <w:p>
      <w:r/>
      <w:r>
        <w:rPr>
          <w:i/>
        </w:rPr>
        <w:t>Veja</w:t>
      </w:r>
      <w:r>
        <w:t xml:space="preserve"> </w:t>
      </w:r>
      <w:r>
        <w:t>Imna #1</w:t>
      </w:r>
      <w:r>
        <w:t>.</w:t>
      </w:r>
      <w:r/>
      <w:r/>
    </w:p>
    <w:p>
      <w:r/>
    </w:p>
    <w:p>
      <w:pPr>
        <w:pStyle w:val="Heading2"/>
      </w:pPr>
      <w:r>
        <w:t>Impecabilidade de Cristo</w:t>
      </w:r>
      <w:r/>
    </w:p>
    <w:p>
      <w:r/>
      <w:r>
        <w:t>A Bíblia ensina que Jesus Cristo nunca pecou. Ele é perfeito em todos os aspectos como Filho de Deus. Sua natureza humana foi completamente santa, sem qualquer pecado.</w:t>
      </w:r>
    </w:p>
    <w:p>
      <w:pPr>
        <w:pStyle w:val="Heading3"/>
      </w:pPr>
      <w:r>
        <w:t>O que a Bíblia ensina sobre a impecabilidade de Cristo?</w:t>
      </w:r>
    </w:p>
    <w:p>
      <w:r/>
      <w:r>
        <w:t>A Bíblia afirma claramente que Jesus era sem pecado. Paulo afirma que Cristo “não conheceu pecado” (</w:t>
      </w:r>
      <w:hyperlink r:id="rId3239">
        <w:r>
          <w:rPr>
            <w:color w:val="0000EE"/>
            <w:u w:val="single"/>
          </w:rPr>
          <w:t>2Co 5.21</w:t>
        </w:r>
      </w:hyperlink>
      <w:r>
        <w:t>). Pedro diz “Ele não cometeu pecado, e nenhum engano foi encontrado em sua boca” (</w:t>
      </w:r>
      <w:hyperlink r:id="rId3241">
        <w:r>
          <w:rPr>
            <w:color w:val="0000EE"/>
            <w:u w:val="single"/>
          </w:rPr>
          <w:t>1Pe 2.22</w:t>
        </w:r>
      </w:hyperlink>
      <w:r>
        <w:t>). Ele o chama de “justo” (</w:t>
      </w:r>
      <w:hyperlink r:id="rId4290">
        <w:r>
          <w:rPr>
            <w:color w:val="0000EE"/>
            <w:u w:val="single"/>
          </w:rPr>
          <w:t>3.18</w:t>
        </w:r>
      </w:hyperlink>
      <w:r>
        <w:t>).</w:t>
      </w:r>
    </w:p>
    <w:p>
      <w:r/>
      <w:r>
        <w:t>O escritor aos Hebreus diz que Cristo é “santo, inocente, imaculado, separado dos pecadores” (</w:t>
      </w:r>
      <w:hyperlink r:id="rId6869">
        <w:r>
          <w:rPr>
            <w:color w:val="0000EE"/>
            <w:u w:val="single"/>
          </w:rPr>
          <w:t>Hb 7.26</w:t>
        </w:r>
      </w:hyperlink>
      <w:r>
        <w:t>). Tiago fala dele como “o justo” (</w:t>
      </w:r>
      <w:hyperlink r:id="rId10907">
        <w:r>
          <w:rPr>
            <w:color w:val="0000EE"/>
            <w:u w:val="single"/>
          </w:rPr>
          <w:t>Tg 5.6</w:t>
        </w:r>
      </w:hyperlink>
      <w:r>
        <w:t>). João diz que “nele não há pecado” (</w:t>
      </w:r>
      <w:hyperlink r:id="rId10908">
        <w:r>
          <w:rPr>
            <w:color w:val="0000EE"/>
            <w:u w:val="single"/>
          </w:rPr>
          <w:t>1Jo 3.5</w:t>
        </w:r>
      </w:hyperlink>
      <w:r>
        <w:t>). Nos Evangelhos e na pregação dos apóstolos, Jesus é repetidamente testemunhado como o Santo Filho de Deus, o Santo de Deus, o Santo e Justo (</w:t>
      </w:r>
      <w:hyperlink r:id="rId2011">
        <w:r>
          <w:rPr>
            <w:color w:val="0000EE"/>
            <w:u w:val="single"/>
          </w:rPr>
          <w:t>Lc 1.35</w:t>
        </w:r>
      </w:hyperlink>
      <w:r>
        <w:t xml:space="preserve">; </w:t>
      </w:r>
      <w:hyperlink r:id="rId3703">
        <w:r>
          <w:rPr>
            <w:color w:val="0000EE"/>
            <w:u w:val="single"/>
          </w:rPr>
          <w:t>Jo 6.69</w:t>
        </w:r>
      </w:hyperlink>
      <w:r>
        <w:t xml:space="preserve">; </w:t>
      </w:r>
      <w:hyperlink r:id="rId3145">
        <w:r>
          <w:rPr>
            <w:color w:val="0000EE"/>
            <w:u w:val="single"/>
          </w:rPr>
          <w:t>At 3.14</w:t>
        </w:r>
      </w:hyperlink>
      <w:r>
        <w:t>).</w:t>
      </w:r>
    </w:p>
    <w:p>
      <w:r/>
      <w:r>
        <w:t>O próprio Jesus perguntou aos seus oponentes: “Qual de vocês pode me provar culpado de pecado?” (</w:t>
      </w:r>
      <w:hyperlink r:id="rId10909">
        <w:r>
          <w:rPr>
            <w:color w:val="0000EE"/>
            <w:u w:val="single"/>
          </w:rPr>
          <w:t>Jo 8.46</w:t>
        </w:r>
      </w:hyperlink>
      <w:r>
        <w:t>). Ao longo de sua vida, Jesus viveu com o pleno conhecimento de que era santo e sem pecado. Muitas referências e inferências são feitas afirmando que ele é sem pecado. Ele cumpriu toda a lei em cada detalhe e em cada aspecto (</w:t>
      </w:r>
      <w:hyperlink r:id="rId10910">
        <w:r>
          <w:rPr>
            <w:color w:val="0000EE"/>
            <w:u w:val="single"/>
          </w:rPr>
          <w:t>Rm 10.4</w:t>
        </w:r>
      </w:hyperlink>
      <w:r>
        <w:t xml:space="preserve">; </w:t>
      </w:r>
      <w:hyperlink r:id="rId3240">
        <w:r>
          <w:rPr>
            <w:color w:val="0000EE"/>
            <w:u w:val="single"/>
          </w:rPr>
          <w:t>Hb 4.15</w:t>
        </w:r>
      </w:hyperlink>
      <w:r>
        <w:t>). A esposa de Pilatos considerava Jesus um homem justo (</w:t>
      </w:r>
      <w:hyperlink r:id="rId10911">
        <w:r>
          <w:rPr>
            <w:color w:val="0000EE"/>
            <w:u w:val="single"/>
          </w:rPr>
          <w:t>Mt 27.19</w:t>
        </w:r>
      </w:hyperlink>
      <w:r>
        <w:t>). O próprio Pilatos falou dele como um homem inocente (</w:t>
      </w:r>
      <w:hyperlink r:id="rId10911">
        <w:r>
          <w:rPr>
            <w:color w:val="0000EE"/>
            <w:u w:val="single"/>
          </w:rPr>
          <w:t>Mt 27.24</w:t>
        </w:r>
      </w:hyperlink>
      <w:r>
        <w:t>). Até mesmo Judas percebeu que ele próprio havia pecado ao “trair sangue inocente” (</w:t>
      </w:r>
      <w:hyperlink r:id="rId10912">
        <w:r>
          <w:rPr>
            <w:color w:val="0000EE"/>
            <w:u w:val="single"/>
          </w:rPr>
          <w:t>Mt 27.4</w:t>
        </w:r>
      </w:hyperlink>
      <w:r>
        <w:t>).</w:t>
      </w:r>
    </w:p>
    <w:p>
      <w:pPr>
        <w:pStyle w:val="Heading3"/>
      </w:pPr>
      <w:r>
        <w:t>O que significa Cristo ser sem pecado?</w:t>
      </w:r>
    </w:p>
    <w:p>
      <w:r/>
      <w:r>
        <w:t>A impecabilidade de Cristo significa mais do que apenas o fato de que ele nunca pecou. Há também uma questão importante sobre se Jesus poderia ter pecado de alguma forma. Era possível para Jesus pecar? Esta questão é conhecida como a impecabilidade de Cristo, o que significa que Cristo era incapaz de pecar. A visão oposta é a pecabilidade, que afirma que Jesus poderia ter pecado, embora ele tenha escolhido não fazê-lo. Ambas as visões levantam questões importantes:</w:t>
      </w:r>
    </w:p>
    <w:p>
      <w:pPr>
        <w:pStyle w:val="ListBullet"/>
        <w:spacing w:line="240" w:lineRule="auto"/>
        <w:ind w:left="720"/>
      </w:pPr>
      <w:r/>
      <w:r>
        <w:t>Se Jesus não podia pecar, como ele poderia realmente ser tentado? A Bíblia nos fala sobre várias ocasiões em que Jesus enfrentou a tentação.</w:t>
      </w:r>
    </w:p>
    <w:p>
      <w:pPr>
        <w:pStyle w:val="ListBullet"/>
        <w:spacing w:line="240" w:lineRule="auto"/>
        <w:ind w:left="720"/>
      </w:pPr>
      <w:r/>
      <w:r>
        <w:t>Se Jesus pudesse ter pecado (mesmo que não tenha), isso significaria que Deus poderia pecar? Este é um problema porque Jesus é completamente o Filho de Deus.</w:t>
      </w:r>
    </w:p>
    <w:p>
      <w:r/>
      <w:r>
        <w:t>Algumas pessoas dizem que Jesus poderia ter pecado como humano, mas não como Deus. Isso está errado porque as naturezas humana e divina de Jesus não podem ser separadas. Jesus não pode agir apenas como humano ou apenas como Deus. Ele é sempre ambos ao mesmo tempo. Isso fazia parte do erro dos antigos hereges nestorianos. Tudo o que Jesus faz, ele faz sendo totalmente Deus e totalmente humano.</w:t>
      </w:r>
    </w:p>
    <w:p>
      <w:r/>
      <w:r>
        <w:t>Ser tentado e ser incapaz de pecar podem ser verdade ao mesmo tempo. Isso é difícil para nós entendermos porque somos pecadores e sabemos como é fazer o errado. A experiência de Jesus foi única. Suas tentações no deserto e ao longo de sua vida foram reais, mesmo que fosse impossível para ele realmente pecar (</w:t>
      </w:r>
      <w:hyperlink r:id="rId10913">
        <w:r>
          <w:rPr>
            <w:color w:val="0000EE"/>
            <w:u w:val="single"/>
          </w:rPr>
          <w:t>Lc 22.28,39–46</w:t>
        </w:r>
      </w:hyperlink>
      <w:r>
        <w:t>).</w:t>
      </w:r>
    </w:p>
    <w:p>
      <w:r/>
      <w:r>
        <w:t>Aqui está um exemplo para ajudar a explicar isso: pense em uma fortaleza que não pode ser capturada enquanto suas defesas permanecerem fortes. Mesmo que a fortaleza não possa ser derrotada, inimigos ainda podem atacá-la ferozmente. De maneira semelhante, Jesus enfrentou tentações reais, mas não pôde ser derrotado por elas porque ele é o Santo Filho de Deus".</w:t>
      </w:r>
    </w:p>
    <w:p>
      <w:r/>
      <w:r>
        <w:t>Suas tentações foram reais. Portanto, “não temos um sumo sacerdote que não possa se compadecer das nossas fraquezas, mas temos um que, como nós, passou por todo tipo de tentação, porém sem pecado. Assim, aproximemo-nos do trono da graça com confiança, para que possamos receber misericórdia e encontrar graça que nos ajude no momento da necessidade” (</w:t>
      </w:r>
      <w:hyperlink r:id="rId10914">
        <w:r>
          <w:rPr>
            <w:color w:val="0000EE"/>
            <w:u w:val="single"/>
          </w:rPr>
          <w:t>Hb 4.15–16</w:t>
        </w:r>
      </w:hyperlink>
      <w:r>
        <w:t>).</w:t>
      </w:r>
      <w:r/>
      <w:r/>
    </w:p>
    <w:p>
      <w:r/>
    </w:p>
    <w:p>
      <w:pPr>
        <w:pStyle w:val="Heading2"/>
      </w:pPr>
      <w:r>
        <w:t>Imposto, Tributação</w:t>
      </w:r>
      <w:r/>
    </w:p>
    <w:p>
      <w:r/>
      <w:r>
        <w:t>Imposto é o dinheiro ou bens que nações poderosas retiravam das pessoas que viviam nelas. Esse pagamento, também chamado de tributo, geralmente incluía ouro, prata, animais, colheitas ou trabalho forçado. Governantes e sacerdotes também coletavam impostos para manter o templo.</w:t>
      </w:r>
    </w:p>
    <w:p>
      <w:r/>
      <w:r>
        <w:t xml:space="preserve">O termo "tributo" aparece pela primeira vez em </w:t>
      </w:r>
      <w:hyperlink r:id="rId10915">
        <w:r>
          <w:rPr>
            <w:color w:val="0000EE"/>
            <w:u w:val="single"/>
          </w:rPr>
          <w:t>Gênesis 49.15</w:t>
        </w:r>
      </w:hyperlink>
      <w:r>
        <w:t xml:space="preserve"> (às vezes traduzido como "trabalho forçado"). Em </w:t>
      </w:r>
      <w:hyperlink r:id="rId10916">
        <w:r>
          <w:rPr>
            <w:color w:val="0000EE"/>
            <w:u w:val="single"/>
          </w:rPr>
          <w:t>Números 31.28</w:t>
        </w:r>
      </w:hyperlink>
      <w:r>
        <w:t>, os despojos de batalha foram divididos para incluir um tributo para os sacerdotes. Inicialmente, os hebreus davam tributo ao templo como uma oferta voluntária ao Senhor (</w:t>
      </w:r>
      <w:hyperlink r:id="rId10917">
        <w:r>
          <w:rPr>
            <w:color w:val="0000EE"/>
            <w:u w:val="single"/>
          </w:rPr>
          <w:t>Dt 16.10</w:t>
        </w:r>
      </w:hyperlink>
      <w:r>
        <w:t>). Mais tarde, tornou-se um imposto obrigatório (</w:t>
      </w:r>
      <w:hyperlink r:id="rId3069">
        <w:r>
          <w:rPr>
            <w:color w:val="0000EE"/>
            <w:u w:val="single"/>
          </w:rPr>
          <w:t>Mt 17.24</w:t>
        </w:r>
      </w:hyperlink>
      <w:r>
        <w:t>).</w:t>
      </w:r>
    </w:p>
    <w:p>
      <w:pPr>
        <w:pStyle w:val="Heading3"/>
      </w:pPr>
      <w:r>
        <w:t>Tributos no mundo antigo</w:t>
      </w:r>
    </w:p>
    <w:p>
      <w:r/>
      <w:r>
        <w:t>Já em 2500 a.C., os impostos influenciavam muitos aspectos da vida na cidade de Lagash, incluindo renda, casamento, divórcio e morte. Os sumérios acreditavam que a terra pertencia ao deus e ao rei, então pagavam aluguel ou uma taxa.</w:t>
      </w:r>
    </w:p>
    <w:p>
      <w:pPr>
        <w:pStyle w:val="Heading4"/>
      </w:pPr>
      <w:r>
        <w:t>Tributos na Antiga Israel</w:t>
      </w:r>
    </w:p>
    <w:p>
      <w:r/>
      <w:r>
        <w:t>No Egito, José impôs um imposto de 20% sobre os grãos durante sete anos de fartura, o que ajudou durante os sete anos de fome (</w:t>
      </w:r>
      <w:hyperlink r:id="rId10918">
        <w:r>
          <w:rPr>
            <w:color w:val="0000EE"/>
            <w:u w:val="single"/>
          </w:rPr>
          <w:t>Gn 41.25–42.5</w:t>
        </w:r>
      </w:hyperlink>
      <w:r>
        <w:t>). Esse imposto foi possível porque o governante possuía a terra.</w:t>
      </w:r>
    </w:p>
    <w:p>
      <w:r/>
      <w:r>
        <w:t>No Egito, José coletou 20% dos grãos durante os sete anos de fartura para se preparar para os sete anos de fome (</w:t>
      </w:r>
      <w:hyperlink r:id="rId10918">
        <w:r>
          <w:rPr>
            <w:color w:val="0000EE"/>
            <w:u w:val="single"/>
          </w:rPr>
          <w:t>Gn 41.25–42.5</w:t>
        </w:r>
      </w:hyperlink>
      <w:r>
        <w:t>). Mais tarde, durante a fome, o povo vendeu suas terras ao Faraó, tornando-o proprietário da maior parte das terras do Egito. A partir de então, o povo cultivava a terra e dava ao Faraó um imposto de 20% sobre suas colheitas (</w:t>
      </w:r>
      <w:hyperlink r:id="rId7739">
        <w:r>
          <w:rPr>
            <w:color w:val="0000EE"/>
            <w:u w:val="single"/>
          </w:rPr>
          <w:t>Genesis 47:13–26</w:t>
        </w:r>
      </w:hyperlink>
      <w:r>
        <w:t>).</w:t>
      </w:r>
    </w:p>
    <w:p>
      <w:r/>
      <w:r>
        <w:t>Reis guerreiros como Davi mantinham sua tesouraria cheia sem tributar seu próprio povo. Povos conquistados, como os cananeus, contribuíam com riquezas para a tesouraria (</w:t>
      </w:r>
      <w:hyperlink r:id="rId10919">
        <w:r>
          <w:rPr>
            <w:color w:val="0000EE"/>
            <w:u w:val="single"/>
          </w:rPr>
          <w:t>2Sm 8.6–14</w:t>
        </w:r>
      </w:hyperlink>
      <w:r>
        <w:t xml:space="preserve">; </w:t>
      </w:r>
      <w:hyperlink r:id="rId6598">
        <w:r>
          <w:rPr>
            <w:color w:val="0000EE"/>
            <w:u w:val="single"/>
          </w:rPr>
          <w:t>1Cr 27.25–31</w:t>
        </w:r>
      </w:hyperlink>
      <w:r>
        <w:t>). Isso incluía prata, ouro, bronze, 1.700 cavaleiros e 20.000 soldados de infantaria. Davi e seus sucessores frequentemente impunham trabalho forçado a estrangeiros dentro das fronteiras de Israel (</w:t>
      </w:r>
      <w:hyperlink r:id="rId4249">
        <w:r>
          <w:rPr>
            <w:color w:val="0000EE"/>
            <w:u w:val="single"/>
          </w:rPr>
          <w:t>2Sm 20.24</w:t>
        </w:r>
      </w:hyperlink>
      <w:r>
        <w:t xml:space="preserve">; </w:t>
      </w:r>
      <w:hyperlink r:id="rId10641">
        <w:r>
          <w:rPr>
            <w:color w:val="0000EE"/>
            <w:u w:val="single"/>
          </w:rPr>
          <w:t>1Rs 9.20–21</w:t>
        </w:r>
      </w:hyperlink>
      <w:r>
        <w:t>).</w:t>
      </w:r>
    </w:p>
    <w:p>
      <w:r/>
      <w:r>
        <w:t>Israel provavelmente foi tributado pela primeira vez durante o reinado de Salomão. Durante esse período, a renda vinha de tributos, mas não dos despojos de guerra. Para sustentar a corte e os grandes projetos de construção, Salomão dividiu Israel em 12 áreas. Um oficial foi colocado sobre cada área. Os oficiais forneciam alimentos e apoio para a casa do rei por um mês por ano (</w:t>
      </w:r>
      <w:hyperlink r:id="rId10920">
        <w:r>
          <w:rPr>
            <w:color w:val="0000EE"/>
            <w:u w:val="single"/>
          </w:rPr>
          <w:t>1Rs 4.7</w:t>
        </w:r>
      </w:hyperlink>
      <w:r>
        <w:t>).</w:t>
      </w:r>
    </w:p>
    <w:p>
      <w:r/>
      <w:r>
        <w:t>Salomão também gerou renda ao taxar caravanas de comércio que passavam por seu reino. Além disso, tanto estrangeiros quanto israelitas foram obrigados a trabalhar em grandes projetos, especialmente no templo (</w:t>
      </w:r>
      <w:hyperlink r:id="rId10921">
        <w:r>
          <w:rPr>
            <w:color w:val="0000EE"/>
            <w:u w:val="single"/>
          </w:rPr>
          <w:t>1Rs 5.13</w:t>
        </w:r>
      </w:hyperlink>
      <w:r>
        <w:t xml:space="preserve">; </w:t>
      </w:r>
      <w:hyperlink r:id="rId10641">
        <w:r>
          <w:rPr>
            <w:color w:val="0000EE"/>
            <w:u w:val="single"/>
          </w:rPr>
          <w:t>9.20–21</w:t>
        </w:r>
      </w:hyperlink>
      <w:r>
        <w:t xml:space="preserve">; </w:t>
      </w:r>
      <w:hyperlink r:id="rId10922">
        <w:r>
          <w:rPr>
            <w:color w:val="0000EE"/>
            <w:u w:val="single"/>
          </w:rPr>
          <w:t>2Cr 8.7–8</w:t>
        </w:r>
      </w:hyperlink>
      <w:r>
        <w:t>). Arqueólogos encontraram alças de jarros com a frase hebraica “ao rei” estampada. Provavelmente, elas eram de grandes jarros usados para coletar mercadorias como parte de um imposto real (</w:t>
      </w:r>
      <w:hyperlink r:id="rId567">
        <w:r>
          <w:rPr>
            <w:color w:val="0000EE"/>
            <w:u w:val="single"/>
          </w:rPr>
          <w:t>2Cr 2.10</w:t>
        </w:r>
      </w:hyperlink>
      <w:r>
        <w:t>).</w:t>
      </w:r>
    </w:p>
    <w:p>
      <w:r/>
      <w:r>
        <w:t>Josafá conseguiu tributar as pessoas em casa (</w:t>
      </w:r>
      <w:hyperlink r:id="rId10923">
        <w:r>
          <w:rPr>
            <w:color w:val="0000EE"/>
            <w:u w:val="single"/>
          </w:rPr>
          <w:t>2Cr 17.5</w:t>
        </w:r>
      </w:hyperlink>
      <w:r>
        <w:t>). Ele também manteve o tributo do exterior, incluindo prata e ouro dos filisteus e 7.700 carneiros e 7.700 bodes dos árabes (</w:t>
      </w:r>
      <w:hyperlink r:id="rId10924">
        <w:r>
          <w:rPr>
            <w:color w:val="0000EE"/>
            <w:u w:val="single"/>
          </w:rPr>
          <w:t>2Cr 17.11–12</w:t>
        </w:r>
      </w:hyperlink>
      <w:r>
        <w:t>). À medida que os impérios vizinhos se tornavam mais fortes, Judá pagava tributo. Senaqueribe, rei da Assíria, exigiu 300 talentos de prata e 30 talentos de ouro, requerendo a remoção de ouro das portas do templo (</w:t>
      </w:r>
      <w:hyperlink r:id="rId8879">
        <w:r>
          <w:rPr>
            <w:color w:val="0000EE"/>
            <w:u w:val="single"/>
          </w:rPr>
          <w:t>2Rs 18.14–16</w:t>
        </w:r>
      </w:hyperlink>
      <w:r>
        <w:t>). Mais tarde, Faraó Neco exigiu 100 talentos de prata e um talento de ouro de Judá (</w:t>
      </w:r>
      <w:hyperlink r:id="rId10925">
        <w:r>
          <w:rPr>
            <w:color w:val="0000EE"/>
            <w:u w:val="single"/>
          </w:rPr>
          <w:t>2Rs 23.33</w:t>
        </w:r>
      </w:hyperlink>
      <w:r>
        <w:t>). Logo depois, Nabucodonosor levou todos os tesouros do templo e do palácio, 10.000 cativos, artesãos e ferreiros, deixando poucos em Jerusalém, exceto os pobres (</w:t>
      </w:r>
      <w:hyperlink r:id="rId10926">
        <w:r>
          <w:rPr>
            <w:color w:val="0000EE"/>
            <w:u w:val="single"/>
          </w:rPr>
          <w:t>2Rs 24.13–16</w:t>
        </w:r>
      </w:hyperlink>
      <w:r>
        <w:t>).</w:t>
      </w:r>
    </w:p>
    <w:p>
      <w:pPr>
        <w:pStyle w:val="Heading4"/>
      </w:pPr>
      <w:r>
        <w:t>Tributação internacional</w:t>
      </w:r>
    </w:p>
    <w:p>
      <w:r/>
      <w:r>
        <w:t>Os persas estabeleceram um sistema regular de impostos. Nesse sistema, os sátrapas (governadores provinciais) eram obrigados a pagar quantias fixas à Tesouraria real (</w:t>
      </w:r>
      <w:hyperlink r:id="rId10927">
        <w:r>
          <w:rPr>
            <w:color w:val="0000EE"/>
            <w:u w:val="single"/>
          </w:rPr>
          <w:t>Et 10.1</w:t>
        </w:r>
      </w:hyperlink>
      <w:r>
        <w:t>). Artaxerxes I isentou sacerdotes, levitas e trabalhadores do templo de impostos (</w:t>
      </w:r>
      <w:hyperlink r:id="rId10928">
        <w:r>
          <w:rPr>
            <w:color w:val="0000EE"/>
            <w:u w:val="single"/>
          </w:rPr>
          <w:t>Ed 7.24</w:t>
        </w:r>
      </w:hyperlink>
      <w:r>
        <w:t>). Um imposto adicional para a casa do governador incluía comida, vinho e 40 siclos de prata (</w:t>
      </w:r>
      <w:hyperlink r:id="rId10929">
        <w:r>
          <w:rPr>
            <w:color w:val="0000EE"/>
            <w:u w:val="single"/>
          </w:rPr>
          <w:t>Ne 5.14–15</w:t>
        </w:r>
      </w:hyperlink>
      <w:r>
        <w:t>). Como governador, Neemias não reivindicou essa concessão de alimentos porque considerava os impostos já onerosos. As pessoas tinham que pedir dinheiro emprestado contra seus campos, vinhedos e casas para pagar “o imposto do rei”. Isso significava que corriam o risco de perder suas propriedades se não conseguissem pagar os empréstimos. Dario permitiu que os judeus usassem o dinheiro dos impostos reais para reconstruir o templo (</w:t>
      </w:r>
      <w:hyperlink r:id="rId10930">
        <w:r>
          <w:rPr>
            <w:color w:val="0000EE"/>
            <w:u w:val="single"/>
          </w:rPr>
          <w:t>Ed 6.7–10</w:t>
        </w:r>
      </w:hyperlink>
      <w:r>
        <w:t>).</w:t>
      </w:r>
    </w:p>
    <w:p>
      <w:r/>
      <w:r>
        <w:t>Sob os Selêucidas, Ptolomeus e Romanos, a coleta de impostos mudou. O cargo de coletor de impostos era vendido ao maior lance, que então extraía o máximo de pagamentos das pessoas para construir riqueza pessoal. Os judeus pagavam dízimos para a manutenção do templo e impostos de até um terço do grão e metade das frutas cultivadas. Eles também pagavam impostos sobre consumo, vendas e capitação.</w:t>
      </w:r>
    </w:p>
    <w:p>
      <w:pPr>
        <w:pStyle w:val="Heading4"/>
      </w:pPr>
      <w:r>
        <w:t>Tributação na Lei e Prática Judaica</w:t>
      </w:r>
    </w:p>
    <w:p>
      <w:r/>
      <w:r>
        <w:t>Além dos impostos estrangeiros, judeus em todo o mundo com 20 anos ou mais (</w:t>
      </w:r>
      <w:hyperlink r:id="rId4136">
        <w:r>
          <w:rPr>
            <w:color w:val="0000EE"/>
            <w:u w:val="single"/>
          </w:rPr>
          <w:t>Êx 30.11–16</w:t>
        </w:r>
      </w:hyperlink>
      <w:r>
        <w:t>) pagavam meio siclo anualmente para apoiar o templo de Jerusalém (</w:t>
      </w:r>
      <w:hyperlink r:id="rId3069">
        <w:r>
          <w:rPr>
            <w:color w:val="0000EE"/>
            <w:u w:val="single"/>
          </w:rPr>
          <w:t>Mt 17.24</w:t>
        </w:r>
      </w:hyperlink>
      <w:r>
        <w:t>), mesmo após a destruição do templo em 70 d.C. Jesus foi questionado sobre esse imposto (</w:t>
      </w:r>
      <w:hyperlink r:id="rId10931">
        <w:r>
          <w:rPr>
            <w:color w:val="0000EE"/>
            <w:u w:val="single"/>
          </w:rPr>
          <w:t>Mt 17.25</w:t>
        </w:r>
      </w:hyperlink>
      <w:r>
        <w:t>) e sobre a legalidade de pagar impostos a Roma (</w:t>
      </w:r>
      <w:hyperlink r:id="rId10932">
        <w:r>
          <w:rPr>
            <w:color w:val="0000EE"/>
            <w:u w:val="single"/>
          </w:rPr>
          <w:t>Mt 22.17</w:t>
        </w:r>
      </w:hyperlink>
      <w:r>
        <w:t xml:space="preserve">; </w:t>
      </w:r>
      <w:hyperlink r:id="rId10933">
        <w:r>
          <w:rPr>
            <w:color w:val="0000EE"/>
            <w:u w:val="single"/>
          </w:rPr>
          <w:t>Mc 12.14–15</w:t>
        </w:r>
      </w:hyperlink>
      <w:r>
        <w:t xml:space="preserve">; </w:t>
      </w:r>
      <w:hyperlink r:id="rId10934">
        <w:r>
          <w:rPr>
            <w:color w:val="0000EE"/>
            <w:u w:val="single"/>
          </w:rPr>
          <w:t>Lc 20.22</w:t>
        </w:r>
      </w:hyperlink>
      <w:r>
        <w:t>). Apesar da famosa resposta de Jesus — “Dai a César o que é de César, e a Deus o que é de Deus” (</w:t>
      </w:r>
      <w:hyperlink r:id="rId10935">
        <w:r>
          <w:rPr>
            <w:color w:val="0000EE"/>
            <w:u w:val="single"/>
          </w:rPr>
          <w:t>Mt 22.21</w:t>
        </w:r>
      </w:hyperlink>
      <w:r>
        <w:t xml:space="preserve">; </w:t>
      </w:r>
      <w:hyperlink r:id="rId10936">
        <w:r>
          <w:rPr>
            <w:color w:val="0000EE"/>
            <w:u w:val="single"/>
          </w:rPr>
          <w:t>Mc 12.17</w:t>
        </w:r>
      </w:hyperlink>
      <w:r>
        <w:t xml:space="preserve">; </w:t>
      </w:r>
      <w:hyperlink r:id="rId10937">
        <w:r>
          <w:rPr>
            <w:color w:val="0000EE"/>
            <w:u w:val="single"/>
          </w:rPr>
          <w:t>Lc 20.25</w:t>
        </w:r>
      </w:hyperlink>
      <w:r>
        <w:t>) — ele foi acusado perante Pilatos de proibir impostos a César (</w:t>
      </w:r>
      <w:hyperlink r:id="rId10938">
        <w:r>
          <w:rPr>
            <w:color w:val="0000EE"/>
            <w:u w:val="single"/>
          </w:rPr>
          <w:t>Lc 23.2</w:t>
        </w:r>
      </w:hyperlink>
      <w:r>
        <w:t>). A igreja primitiva também apoiava a legalidade da tributação como um dever cívico (</w:t>
      </w:r>
      <w:hyperlink r:id="rId10939">
        <w:r>
          <w:rPr>
            <w:color w:val="0000EE"/>
            <w:u w:val="single"/>
          </w:rPr>
          <w:t>Rm 13.5–7</w:t>
        </w:r>
      </w:hyperlink>
      <w:r>
        <w:t>).</w:t>
      </w:r>
    </w:p>
    <w:p>
      <w:r/>
      <w:r>
        <w:rPr>
          <w:i/>
        </w:rPr>
        <w:t>Veja também</w:t>
      </w:r>
      <w:r>
        <w:t xml:space="preserve"> </w:t>
      </w:r>
      <w:r>
        <w:t>Dinheiro</w:t>
      </w:r>
      <w:r>
        <w:t xml:space="preserve">; </w:t>
      </w:r>
      <w:r>
        <w:t>Banqueiro, Bancos</w:t>
      </w:r>
      <w:r>
        <w:t xml:space="preserve">; </w:t>
      </w:r>
      <w:r>
        <w:t>Cobrador de impostos</w:t>
      </w:r>
      <w:r>
        <w:t>.</w:t>
      </w:r>
      <w:r/>
      <w:r/>
    </w:p>
    <w:p>
      <w:r/>
    </w:p>
    <w:p>
      <w:pPr>
        <w:pStyle w:val="Heading2"/>
      </w:pPr>
      <w:r>
        <w:t>Imputação</w:t>
      </w:r>
      <w:r/>
    </w:p>
    <w:p>
      <w:pPr>
        <w:pStyle w:val="Heading3"/>
      </w:pPr>
      <w:r>
        <w:t>O que é imputação?</w:t>
      </w:r>
    </w:p>
    <w:p>
      <w:r/>
      <w:r>
        <w:t>Imputação significa cobrar uma conta. É usado na Bíblia com referência legal ao pecado e à salvação sendo registrados por Deus. O ensino sobre imputação é uma parte fundamental da fé cristã.</w:t>
      </w:r>
    </w:p>
    <w:p>
      <w:r/>
      <w:r>
        <w:t xml:space="preserve">Embora o substantivo "imputação" não apareça na Bíblia, o verbo "imputar" é frequentemente encontrado tanto no Antigo quanto no Novo Testamento. O significado básico de "imputar" é "registrar em um livro ou conta". No contexto da salvação, a palavra é consistentemente usada em um sentido legal. Um bom exemplo disso está em </w:t>
      </w:r>
      <w:hyperlink r:id="rId9356">
        <w:r>
          <w:rPr>
            <w:color w:val="0000EE"/>
            <w:u w:val="single"/>
          </w:rPr>
          <w:t>Filemom 1.18</w:t>
        </w:r>
      </w:hyperlink>
      <w:r>
        <w:t>, onde o apóstolo Paulo assume a dívida de Onésimo, dizendo, "se ele... lhe deve alguma coisa, ponha isso na minha conta".</w:t>
      </w:r>
    </w:p>
    <w:p>
      <w:r/>
      <w:r>
        <w:t>Quando a Bíblia fala sobre imputar o bem ou o mal, isso não significa que o caráter moral de uma pessoa muda. Em vez disso, significa que, da perspectiva de Deus, a justiça ou o pecado são creditados na conta de uma pessoa. No sentido mais amplo, a Bíblia ensina que tanto Deus (</w:t>
      </w:r>
      <w:hyperlink r:id="rId10940">
        <w:r>
          <w:rPr>
            <w:color w:val="0000EE"/>
            <w:u w:val="single"/>
          </w:rPr>
          <w:t>Sl 32.2</w:t>
        </w:r>
      </w:hyperlink>
      <w:r>
        <w:t>) quanto as pessoas (</w:t>
      </w:r>
      <w:hyperlink r:id="rId10941">
        <w:r>
          <w:rPr>
            <w:color w:val="0000EE"/>
            <w:u w:val="single"/>
          </w:rPr>
          <w:t>1Sm 22.15</w:t>
        </w:r>
      </w:hyperlink>
      <w:r>
        <w:t>) participam desse processo. Boas ações eram frequentemente creditadas para recompensa (</w:t>
      </w:r>
      <w:hyperlink r:id="rId10942">
        <w:r>
          <w:rPr>
            <w:color w:val="0000EE"/>
            <w:u w:val="single"/>
          </w:rPr>
          <w:t>Sl 106.30–31</w:t>
        </w:r>
      </w:hyperlink>
      <w:r>
        <w:t>), enquanto más ações eram creditadas para punição (</w:t>
      </w:r>
      <w:hyperlink r:id="rId10943">
        <w:r>
          <w:rPr>
            <w:color w:val="0000EE"/>
            <w:u w:val="single"/>
          </w:rPr>
          <w:t>Lv 17.3–4</w:t>
        </w:r>
      </w:hyperlink>
      <w:r>
        <w:t>).</w:t>
      </w:r>
    </w:p>
    <w:p>
      <w:pPr>
        <w:pStyle w:val="Heading3"/>
      </w:pPr>
      <w:r>
        <w:t>Três maneiras como a Bíblia explica a imputação</w:t>
      </w:r>
    </w:p>
    <w:p>
      <w:r/>
      <w:r>
        <w:t>A Bíblia explica a imputação de três maneiras principais:</w:t>
      </w:r>
    </w:p>
    <w:p>
      <w:pPr>
        <w:pStyle w:val="ListNumber"/>
        <w:spacing w:line="240" w:lineRule="auto"/>
        <w:ind w:left="720"/>
      </w:pPr>
      <w:r/>
      <w:r>
        <w:t>O pecado original de Adão é imputado a todas as pessoas. No plano de Deus, o primeiro pecado de Adão foi atribuído a cada pessoa. Assim, todos compartilham a culpa e a penalidade desse pecado.</w:t>
      </w:r>
    </w:p>
    <w:p>
      <w:pPr>
        <w:pStyle w:val="ListNumber"/>
        <w:spacing w:line="240" w:lineRule="auto"/>
        <w:ind w:left="720"/>
      </w:pPr>
      <w:r/>
      <w:r>
        <w:t>O pecado e a culpa de todas as pessoas foram atribuídos a Cristo. Embora Jesus fosse sem pecado, ele assumiu a penalidade pelo pecado.</w:t>
      </w:r>
    </w:p>
    <w:p>
      <w:pPr>
        <w:pStyle w:val="ListNumber"/>
        <w:spacing w:line="240" w:lineRule="auto"/>
        <w:ind w:left="720"/>
      </w:pPr>
      <w:r/>
      <w:r>
        <w:t>A Bíblia ensina que a justiça de Cristo é atribuída aos crentes por causa de sua obra na cruz. Mesmo que os crentes não sejam perfeitamente santos, eles são justificados (declarados justos diante de Deus) perante a lei de Deus e estão "vestidos" com a justiça de Cristo.</w:t>
      </w:r>
    </w:p>
    <w:p>
      <w:pPr>
        <w:pStyle w:val="Heading3"/>
      </w:pPr>
      <w:r>
        <w:t>Imputação e salvação</w:t>
      </w:r>
    </w:p>
    <w:p>
      <w:r/>
      <w:r>
        <w:t>Paulo explicou que Cristo levou o castigo pelos pecados dos crentes na cruz. Ele escreveu que Deus “Em Cristo não havia pecado. Mas Deus colocou sobre Cristo a culpa dos nossos pecados para que nós, em união com ele, vivamos de acordo com a vontade de Deus” (</w:t>
      </w:r>
      <w:hyperlink r:id="rId3239">
        <w:r>
          <w:rPr>
            <w:color w:val="0000EE"/>
            <w:u w:val="single"/>
          </w:rPr>
          <w:t>2Co 5.21</w:t>
        </w:r>
      </w:hyperlink>
      <w:r>
        <w:t>). Paulo também disse que Cristo assumiu a maldição da lei mosaica (</w:t>
      </w:r>
      <w:hyperlink r:id="rId6300">
        <w:r>
          <w:rPr>
            <w:color w:val="0000EE"/>
            <w:u w:val="single"/>
          </w:rPr>
          <w:t>Gl 3.13</w:t>
        </w:r>
      </w:hyperlink>
      <w:r>
        <w:t xml:space="preserve">). Pedro, refletindo sobre </w:t>
      </w:r>
      <w:hyperlink r:id="rId3618">
        <w:r>
          <w:rPr>
            <w:color w:val="0000EE"/>
            <w:u w:val="single"/>
          </w:rPr>
          <w:t>Isaías 53</w:t>
        </w:r>
      </w:hyperlink>
      <w:r>
        <w:t>, disse que Cristo “levou os nossos pecados no seu corpo sobre a cruz a fim de que morrêssemos para o pecado” (</w:t>
      </w:r>
      <w:hyperlink r:id="rId5989">
        <w:r>
          <w:rPr>
            <w:color w:val="0000EE"/>
            <w:u w:val="single"/>
          </w:rPr>
          <w:t>1Pe 2.24</w:t>
        </w:r>
      </w:hyperlink>
      <w:r>
        <w:t>). A ideia de que a culpa do mundo foi colocada sobre o Salvador sem pecado ajuda a explicar o clamor de Cristo na cruz: “Meu Deus, meu Deus, por que me abandonaste?” (</w:t>
      </w:r>
      <w:hyperlink r:id="rId7869">
        <w:r>
          <w:rPr>
            <w:color w:val="0000EE"/>
            <w:u w:val="single"/>
          </w:rPr>
          <w:t>Mt 27.46</w:t>
        </w:r>
      </w:hyperlink>
      <w:r>
        <w:t>).</w:t>
      </w:r>
    </w:p>
    <w:p>
      <w:r/>
      <w:r>
        <w:t xml:space="preserve">Imputação também significa que a justiça de Cristo é creditada aos crentes. Um exemplo da vida de Abraão ilustra isso. Depois que Deus prometeu bênçãos a Abraão, </w:t>
      </w:r>
      <w:hyperlink r:id="rId793">
        <w:r>
          <w:rPr>
            <w:color w:val="0000EE"/>
            <w:u w:val="single"/>
          </w:rPr>
          <w:t>Gênesis 15.6</w:t>
        </w:r>
      </w:hyperlink>
      <w:r>
        <w:t xml:space="preserve"> diz que Abrão “creu em Deus, o SENHOR, e por isso o SENHOR o aceitou”. A Bíblia ensina que nenhuma pessoa possui naturalmente o nível de justiça que Deus exige (</w:t>
      </w:r>
      <w:hyperlink r:id="rId10944">
        <w:r>
          <w:rPr>
            <w:color w:val="0000EE"/>
            <w:u w:val="single"/>
          </w:rPr>
          <w:t>Sl 130.3</w:t>
        </w:r>
      </w:hyperlink>
      <w:r>
        <w:t xml:space="preserve">; </w:t>
      </w:r>
      <w:hyperlink r:id="rId10945">
        <w:r>
          <w:rPr>
            <w:color w:val="0000EE"/>
            <w:u w:val="single"/>
          </w:rPr>
          <w:t>Is 64.6</w:t>
        </w:r>
      </w:hyperlink>
      <w:r>
        <w:t xml:space="preserve">; </w:t>
      </w:r>
      <w:hyperlink r:id="rId10946">
        <w:r>
          <w:rPr>
            <w:color w:val="0000EE"/>
            <w:u w:val="single"/>
          </w:rPr>
          <w:t>Rm 3.10</w:t>
        </w:r>
      </w:hyperlink>
      <w:r>
        <w:t>). Mas em seu plano de salvação, Deus fornece a justiça necessária (</w:t>
      </w:r>
      <w:hyperlink r:id="rId8650">
        <w:r>
          <w:rPr>
            <w:color w:val="0000EE"/>
            <w:u w:val="single"/>
          </w:rPr>
          <w:t>Is 45.24</w:t>
        </w:r>
      </w:hyperlink>
      <w:r>
        <w:t xml:space="preserve">; </w:t>
      </w:r>
      <w:hyperlink r:id="rId10947">
        <w:r>
          <w:rPr>
            <w:color w:val="0000EE"/>
            <w:u w:val="single"/>
          </w:rPr>
          <w:t>54.17</w:t>
        </w:r>
      </w:hyperlink>
      <w:r>
        <w:t xml:space="preserve">; </w:t>
      </w:r>
      <w:hyperlink r:id="rId10948">
        <w:r>
          <w:rPr>
            <w:color w:val="0000EE"/>
            <w:u w:val="single"/>
          </w:rPr>
          <w:t>Os 10.12</w:t>
        </w:r>
      </w:hyperlink>
      <w:r>
        <w:t>). Quando uma pessoa aceita a obra de Cristo pela fé, Deus credita a justiça de Cristo a ela.</w:t>
      </w:r>
    </w:p>
    <w:p>
      <w:r/>
      <w:r>
        <w:t>A imputação da justiça divina aos crentes é um tema importante na Carta de Paulo aos Romanos (</w:t>
      </w:r>
      <w:hyperlink r:id="rId10949">
        <w:r>
          <w:rPr>
            <w:color w:val="0000EE"/>
            <w:u w:val="single"/>
          </w:rPr>
          <w:t>Rm 3.21–5.21</w:t>
        </w:r>
      </w:hyperlink>
      <w:r>
        <w:t>). Paulo fala sobre a alegria de um pecador que é declarado justo (</w:t>
      </w:r>
      <w:hyperlink r:id="rId10950">
        <w:r>
          <w:rPr>
            <w:color w:val="0000EE"/>
            <w:u w:val="single"/>
          </w:rPr>
          <w:t>Rm 4.6</w:t>
        </w:r>
      </w:hyperlink>
      <w:r>
        <w:t>). A imputação da justiça de Cristo também leva à justificação no tribunal da lei de Deus (</w:t>
      </w:r>
      <w:hyperlink r:id="rId10951">
        <w:r>
          <w:rPr>
            <w:color w:val="0000EE"/>
            <w:u w:val="single"/>
          </w:rPr>
          <w:t>Rm 5.18</w:t>
        </w:r>
      </w:hyperlink>
      <w:r>
        <w:t>). A morte de Cristo, creditada ao pecador, é a razão para a absolvição pelo Deus santo. A Bíblia ensina que os efeitos nocivos do pecado de Adão, que foram imputados à humanidade, são revertidos para aqueles que creem em Cristo. A imputação do pecado humano a Cristo permite que sua justiça seja creditada aos crentes.</w:t>
      </w:r>
    </w:p>
    <w:p>
      <w:r/>
      <w:r>
        <w:rPr>
          <w:i/>
        </w:rPr>
        <w:t>Veja também</w:t>
      </w:r>
      <w:r>
        <w:t xml:space="preserve"> </w:t>
      </w:r>
      <w:r>
        <w:t>Adão (Pessoa)</w:t>
      </w:r>
      <w:r>
        <w:t xml:space="preserve">; </w:t>
      </w:r>
      <w:r>
        <w:t>Cristologia</w:t>
      </w:r>
      <w:r>
        <w:t xml:space="preserve">; </w:t>
      </w:r>
      <w:r>
        <w:t>Queda do homem</w:t>
      </w:r>
      <w:r>
        <w:t xml:space="preserve">; </w:t>
      </w:r>
      <w:r>
        <w:t>Pecado</w:t>
      </w:r>
      <w:r>
        <w:t>.</w:t>
      </w:r>
      <w:r/>
      <w:r/>
    </w:p>
    <w:p>
      <w:r/>
    </w:p>
    <w:p>
      <w:pPr>
        <w:pStyle w:val="Heading2"/>
      </w:pPr>
      <w:r>
        <w:t>Incensário</w:t>
      </w:r>
      <w:r/>
    </w:p>
    <w:p>
      <w:r/>
      <w:r>
        <w:t>Um queimador de incenso, ou incensário, é um recipiente usado para queimar incenso. No Dia da Expiação, o sumo sacerdote queimava dois punhados de incenso no incensário. Ele fazia isso dentro do Lugar Santíssimo diante do Senhor (</w:t>
      </w:r>
      <w:hyperlink r:id="rId4478">
        <w:r>
          <w:rPr>
            <w:color w:val="0000EE"/>
            <w:u w:val="single"/>
          </w:rPr>
          <w:t>Lv 16.12</w:t>
        </w:r>
      </w:hyperlink>
      <w:r>
        <w:t>). Os queimadores de incenso do tabernáculo eram de bronze (</w:t>
      </w:r>
      <w:hyperlink r:id="rId10952">
        <w:r>
          <w:rPr>
            <w:color w:val="0000EE"/>
            <w:u w:val="single"/>
          </w:rPr>
          <w:t>Nm 16.39</w:t>
        </w:r>
      </w:hyperlink>
      <w:r>
        <w:t>). Além disso, os incensários usados pelos anjos no livro de Apocalipse eram de ouro (</w:t>
      </w:r>
      <w:hyperlink r:id="rId10953">
        <w:r>
          <w:rPr>
            <w:color w:val="0000EE"/>
            <w:u w:val="single"/>
          </w:rPr>
          <w:t>Ap 8.3–5</w:t>
        </w:r>
      </w:hyperlink>
      <w:r>
        <w:t>).</w:t>
      </w:r>
    </w:p>
    <w:p>
      <w:r/>
      <w:r>
        <w:rPr>
          <w:i/>
        </w:rPr>
        <w:t>Veja também</w:t>
      </w:r>
      <w:r>
        <w:t xml:space="preserve"> </w:t>
      </w:r>
      <w:r>
        <w:t>Tabernáculo</w:t>
      </w:r>
      <w:r>
        <w:t xml:space="preserve">; </w:t>
      </w:r>
      <w:r>
        <w:t>Templo</w:t>
      </w:r>
      <w:r>
        <w:t>.</w:t>
      </w:r>
      <w:r/>
      <w:r/>
    </w:p>
    <w:p>
      <w:r/>
    </w:p>
    <w:p>
      <w:pPr>
        <w:pStyle w:val="Heading2"/>
      </w:pPr>
      <w:r>
        <w:t>Incenso</w:t>
      </w:r>
      <w:r/>
    </w:p>
    <w:p>
      <w:r/>
      <w:r>
        <w:t>Uma resina gomosa e fragrante (um líquido espesso de plantas). Pode ser moída em pó e queimada para liberar um aroma semelhante ao bálsamo. É frequentemente mencionada junto com a mirra na Bíblia (</w:t>
      </w:r>
      <w:hyperlink r:id="rId10954">
        <w:r>
          <w:rPr>
            <w:color w:val="0000EE"/>
            <w:u w:val="single"/>
          </w:rPr>
          <w:t>Ct Sl 3.6</w:t>
        </w:r>
      </w:hyperlink>
      <w:r>
        <w:t xml:space="preserve">; </w:t>
      </w:r>
      <w:hyperlink r:id="rId10955">
        <w:r>
          <w:rPr>
            <w:color w:val="0000EE"/>
            <w:u w:val="single"/>
          </w:rPr>
          <w:t>4.6</w:t>
        </w:r>
      </w:hyperlink>
      <w:r>
        <w:t xml:space="preserve">; </w:t>
      </w:r>
      <w:hyperlink r:id="rId10956">
        <w:r>
          <w:rPr>
            <w:color w:val="0000EE"/>
            <w:u w:val="single"/>
          </w:rPr>
          <w:t>Mt 2.11</w:t>
        </w:r>
      </w:hyperlink>
      <w:r>
        <w:t xml:space="preserve">). O incenso vem de árvores balsâmicas do gênero Boswellia. É das espécies </w:t>
      </w:r>
      <w:r>
        <w:rPr>
          <w:i/>
        </w:rPr>
        <w:t>B. carterii</w:t>
      </w:r>
      <w:r>
        <w:t xml:space="preserve">, </w:t>
      </w:r>
      <w:r>
        <w:rPr>
          <w:i/>
        </w:rPr>
        <w:t>B. papyrifera</w:t>
      </w:r>
      <w:r>
        <w:t xml:space="preserve"> e </w:t>
      </w:r>
      <w:r>
        <w:rPr>
          <w:i/>
        </w:rPr>
        <w:t>B. thurifera</w:t>
      </w:r>
      <w:r>
        <w:t>. Essas árvores, que são relacionadas às árvores de terebintina, têm flores em forma de estrela que são brancas ou verdes com pontas rosadas. Para coletar a resina, é feito um corte profundo no tronco da árvore, o que libera uma goma de cor âmbar. Essas árvores eram nativas apenas de Sabá (Seba) na Arábia (</w:t>
      </w:r>
      <w:hyperlink r:id="rId7614">
        <w:r>
          <w:rPr>
            <w:color w:val="0000EE"/>
            <w:u w:val="single"/>
          </w:rPr>
          <w:t>Is 60.6</w:t>
        </w:r>
      </w:hyperlink>
      <w:r>
        <w:t xml:space="preserve">; </w:t>
      </w:r>
      <w:hyperlink r:id="rId10957">
        <w:r>
          <w:rPr>
            <w:color w:val="0000EE"/>
            <w:u w:val="single"/>
          </w:rPr>
          <w:t>Jr 6.20</w:t>
        </w:r>
      </w:hyperlink>
      <w:r>
        <w:t>) e da Somalilândia. Portanto, o incenso era caro. Era transportado para a Palestina por caravanas. A chamada árvore de incenso na Palestina (</w:t>
      </w:r>
      <w:hyperlink r:id="rId10958">
        <w:r>
          <w:rPr>
            <w:color w:val="0000EE"/>
            <w:u w:val="single"/>
          </w:rPr>
          <w:t>Ec 50.8</w:t>
        </w:r>
      </w:hyperlink>
      <w:r>
        <w:t xml:space="preserve">) era provavelmente </w:t>
      </w:r>
      <w:r>
        <w:rPr>
          <w:i/>
        </w:rPr>
        <w:t>Commiphora opobalsamum.</w:t>
      </w:r>
      <w:r>
        <w:t xml:space="preserve"> Sua resina era usada para produzir perfume.</w:t>
      </w:r>
    </w:p>
    <w:p>
      <w:r/>
      <w:r>
        <w:t>O incenso era usado sozinho ou misturado com outras substâncias para incenso. Era um dos ingredientes no incenso sagrado usado para adoração no tabernáculo (</w:t>
      </w:r>
      <w:hyperlink r:id="rId2631">
        <w:r>
          <w:rPr>
            <w:color w:val="0000EE"/>
            <w:u w:val="single"/>
          </w:rPr>
          <w:t>Êx 30.34</w:t>
        </w:r>
      </w:hyperlink>
      <w:r>
        <w:t>). Era colocado sobre o pão da Presença (</w:t>
      </w:r>
      <w:hyperlink r:id="rId10959">
        <w:r>
          <w:rPr>
            <w:color w:val="0000EE"/>
            <w:u w:val="single"/>
          </w:rPr>
          <w:t>Lv 24.7</w:t>
        </w:r>
      </w:hyperlink>
      <w:r>
        <w:t>) e misturado com óleo nas ofertas de cereais (</w:t>
      </w:r>
      <w:hyperlink r:id="rId10960">
        <w:r>
          <w:rPr>
            <w:color w:val="0000EE"/>
            <w:u w:val="single"/>
          </w:rPr>
          <w:t>Lv 2.1</w:t>
        </w:r>
      </w:hyperlink>
      <w:hyperlink r:id="rId10961">
        <w:r>
          <w:rPr>
            <w:color w:val="0000EE"/>
            <w:u w:val="single"/>
          </w:rPr>
          <w:t>–</w:t>
        </w:r>
      </w:hyperlink>
      <w:hyperlink r:id="rId10960">
        <w:r>
          <w:rPr>
            <w:color w:val="0000EE"/>
            <w:u w:val="single"/>
          </w:rPr>
          <w:t>2,14</w:t>
        </w:r>
      </w:hyperlink>
      <w:hyperlink r:id="rId10961">
        <w:r>
          <w:rPr>
            <w:color w:val="0000EE"/>
            <w:u w:val="single"/>
          </w:rPr>
          <w:t>–</w:t>
        </w:r>
      </w:hyperlink>
      <w:hyperlink r:id="rId10960">
        <w:r>
          <w:rPr>
            <w:color w:val="0000EE"/>
            <w:u w:val="single"/>
          </w:rPr>
          <w:t>16</w:t>
        </w:r>
      </w:hyperlink>
      <w:r>
        <w:t xml:space="preserve">; </w:t>
      </w:r>
      <w:hyperlink r:id="rId10962">
        <w:r>
          <w:rPr>
            <w:color w:val="0000EE"/>
            <w:u w:val="single"/>
          </w:rPr>
          <w:t>6.15</w:t>
        </w:r>
      </w:hyperlink>
      <w:r>
        <w:t>), embora não fosse incluído nas ofertas pelo pecado (</w:t>
      </w:r>
      <w:hyperlink r:id="rId19">
        <w:r>
          <w:rPr>
            <w:color w:val="0000EE"/>
            <w:u w:val="single"/>
          </w:rPr>
          <w:t>5.11</w:t>
        </w:r>
      </w:hyperlink>
      <w:r>
        <w:t>). O templo em Jerusalém mantinha um suprimento de incenso (</w:t>
      </w:r>
      <w:hyperlink r:id="rId10963">
        <w:r>
          <w:rPr>
            <w:color w:val="0000EE"/>
            <w:u w:val="single"/>
          </w:rPr>
          <w:t>Ne 13.5,9</w:t>
        </w:r>
      </w:hyperlink>
      <w:r>
        <w:t>). O incenso foi posteriormente usado em cosméticos e perfumes (</w:t>
      </w:r>
      <w:hyperlink r:id="rId10954">
        <w:r>
          <w:rPr>
            <w:color w:val="0000EE"/>
            <w:u w:val="single"/>
          </w:rPr>
          <w:t>Ct Sl 3.6</w:t>
        </w:r>
      </w:hyperlink>
      <w:r>
        <w:t>). Devido ao seu alto valor e seu uso na adoração, dar incenso como presente ao menino Jesus era considerado altamente apropriado (</w:t>
      </w:r>
      <w:hyperlink r:id="rId10956">
        <w:r>
          <w:rPr>
            <w:color w:val="0000EE"/>
            <w:u w:val="single"/>
          </w:rPr>
          <w:t>Mt 2.11</w:t>
        </w:r>
      </w:hyperlink>
      <w:r>
        <w:t>).</w:t>
      </w:r>
    </w:p>
    <w:p>
      <w:r/>
      <w:r>
        <w:rPr>
          <w:i/>
        </w:rPr>
        <w:t xml:space="preserve">Veja também </w:t>
      </w:r>
      <w:r>
        <w:t>Plantas</w:t>
      </w:r>
      <w:r>
        <w:t>.</w:t>
      </w:r>
      <w:r/>
      <w:r/>
    </w:p>
    <w:p>
      <w:r/>
    </w:p>
    <w:p>
      <w:pPr>
        <w:pStyle w:val="Heading2"/>
      </w:pPr>
      <w:r>
        <w:t>Incenso</w:t>
      </w:r>
      <w:r/>
    </w:p>
    <w:p>
      <w:r/>
      <w:r>
        <w:t>Especiarias e óleos fragrantes ou sacrifícios que enviam fumaça perfumada a Deus para agradá-lo.</w:t>
      </w:r>
    </w:p>
    <w:p>
      <w:r/>
      <w:r>
        <w:t>Pessoas de todas as idades sempre apreciaram odores fragrantes. Nos tempos antigos, os sacrifícios incluíam aromas agradáveis para agradar a divindade. O aroma era um fator crucial para que o deus aceitasse a oferta. Portanto, plantas aromáticas e perfumes exóticos eram valiosos tanto para fins seculares quanto religiosos.</w:t>
      </w:r>
    </w:p>
    <w:p>
      <w:r/>
      <w:r>
        <w:t>Especiarias e óleos preciosos eram valorizados junto com prata e ouro. A Rainha de Sabá trouxe especiarias para Salomão como presente (</w:t>
      </w:r>
      <w:hyperlink r:id="rId4255">
        <w:r>
          <w:rPr>
            <w:color w:val="0000EE"/>
            <w:u w:val="single"/>
          </w:rPr>
          <w:t>1Rs 10.2</w:t>
        </w:r>
      </w:hyperlink>
      <w:r>
        <w:t>). O incenso era guardado na tesouraria real (</w:t>
      </w:r>
      <w:hyperlink r:id="rId10964">
        <w:r>
          <w:rPr>
            <w:color w:val="0000EE"/>
            <w:u w:val="single"/>
          </w:rPr>
          <w:t>2Rs 20.13</w:t>
        </w:r>
      </w:hyperlink>
      <w:r>
        <w:t>). O preço das especiarias e óleos era extremamente inflacionado devido ao trabalho árduo de extração dos sucos, custos de transporte para importá-los de lugares distantes e altos lucros para os comerciantes que vendiam os perfumes.</w:t>
      </w:r>
    </w:p>
    <w:p>
      <w:r/>
      <w:r>
        <w:t>Consequentemente, os amantes às vezes comparavam sua amada à "mirra", uma "montanha de mirra" e uma "colina de incenso" (</w:t>
      </w:r>
      <w:hyperlink r:id="rId10965">
        <w:r>
          <w:rPr>
            <w:color w:val="0000EE"/>
            <w:u w:val="single"/>
          </w:rPr>
          <w:t>Ct 1.13</w:t>
        </w:r>
      </w:hyperlink>
      <w:r>
        <w:t xml:space="preserve">; </w:t>
      </w:r>
      <w:hyperlink r:id="rId10955">
        <w:r>
          <w:rPr>
            <w:color w:val="0000EE"/>
            <w:u w:val="single"/>
          </w:rPr>
          <w:t>4.6</w:t>
        </w:r>
      </w:hyperlink>
      <w:r>
        <w:t>). A fragrância do incenso criava o clima certo (</w:t>
      </w:r>
      <w:hyperlink r:id="rId10966">
        <w:r>
          <w:rPr>
            <w:color w:val="0000EE"/>
            <w:u w:val="single"/>
          </w:rPr>
          <w:t>1.12</w:t>
        </w:r>
      </w:hyperlink>
      <w:r>
        <w:t>). Toda especiaria conhecida por um comerciante queimava ao lado do leito de Salomão (</w:t>
      </w:r>
      <w:hyperlink r:id="rId10954">
        <w:r>
          <w:rPr>
            <w:color w:val="0000EE"/>
            <w:u w:val="single"/>
          </w:rPr>
          <w:t>3.6</w:t>
        </w:r>
      </w:hyperlink>
      <w:r>
        <w:t>). Um noivo se deleitava nos perfumes de sua amada. Ela era seu próprio jardim privado de incenso (</w:t>
      </w:r>
      <w:hyperlink r:id="rId10967">
        <w:r>
          <w:rPr>
            <w:color w:val="0000EE"/>
            <w:u w:val="single"/>
          </w:rPr>
          <w:t>4.10–14</w:t>
        </w:r>
      </w:hyperlink>
      <w:r>
        <w:t>). Até mesmo uma prostituta queimava incenso ao lado de sua cama (</w:t>
      </w:r>
      <w:hyperlink r:id="rId3024">
        <w:r>
          <w:rPr>
            <w:color w:val="0000EE"/>
            <w:u w:val="single"/>
          </w:rPr>
          <w:t>Ez 23.41</w:t>
        </w:r>
      </w:hyperlink>
      <w:r>
        <w:t xml:space="preserve">). Não é de se admirar que os sábios dissessem que "óleo perfumado" alegra o coração e a "doçura da amizade" conforta a alma (p. ex. </w:t>
      </w:r>
      <w:hyperlink r:id="rId5458">
        <w:r>
          <w:rPr>
            <w:color w:val="0000EE"/>
            <w:u w:val="single"/>
          </w:rPr>
          <w:t>Pv 27.9</w:t>
        </w:r>
      </w:hyperlink>
      <w:r>
        <w:t>).</w:t>
      </w:r>
    </w:p>
    <w:p>
      <w:pPr>
        <w:pStyle w:val="Heading3"/>
      </w:pPr>
      <w:r>
        <w:t>Tipos de incenso</w:t>
      </w:r>
    </w:p>
    <w:p>
      <w:r/>
      <w:r>
        <w:t>O incenso é mencionado com frequência na Bíblia. Era importado da Índia, da Somalilândia e da Arábia Feliz. A mirra também vinha da Arábia Feliz. A canela era outra fragrância importante do Ceilão e da China. O gálbano, o tragacanto (goma) e o láudano eram todos cultivados nas montanhas da Ásia Menor. O gálbano era o mais popular desses três, pois também era encontrado no Turquestão, na Pérsia, na Síria e em Creta. A henna, o açafrão e o bálsamo vinham de plantas aromáticas nativas de Israel. Em tempos pós-exílicos, outras plantas foram introduzidas na Palestina e cultivadas lá: a rosa, o narciso e o jasmim. Onycha parece ter sido produzida a partir da fauna local, e o almíscar (muskin) pode ter sido extraído de uma glândula do cervo-almiscarado.</w:t>
      </w:r>
    </w:p>
    <w:p>
      <w:r/>
      <w:r>
        <w:t>O incenso vinha em muitas formas. Poderia ser usado como grânulos colocados em uma bolsa pendurada no pescoço (</w:t>
      </w:r>
      <w:hyperlink r:id="rId10965">
        <w:r>
          <w:rPr>
            <w:color w:val="0000EE"/>
            <w:u w:val="single"/>
          </w:rPr>
          <w:t>Ct 1.13</w:t>
        </w:r>
      </w:hyperlink>
      <w:r>
        <w:t>). No geral, no entanto, os perfumes estavam em forma líquida, dissolvidos em azeite de oliva. Um bom exemplo disso é o “óleo sagrado da unção” (</w:t>
      </w:r>
      <w:hyperlink r:id="rId10968">
        <w:r>
          <w:rPr>
            <w:color w:val="0000EE"/>
            <w:u w:val="single"/>
          </w:rPr>
          <w:t>Êx 30.31</w:t>
        </w:r>
      </w:hyperlink>
      <w:r>
        <w:t>). Esses óleos eram usados para ungir os sacerdotes e reis de Israel. Somente os sacerdotes tinham permissão para prepará-los e administrá-los. O incenso continha especiarias cruas batidas até uma consistência fina e temperadas com sal para torná-las sagradas. Estacte, ônica, gálbano e incenso puro eram misturados em proporções iguais, tudo de acordo com a arte do perfumista (</w:t>
      </w:r>
      <w:hyperlink r:id="rId10969">
        <w:r>
          <w:rPr>
            <w:color w:val="0000EE"/>
            <w:u w:val="single"/>
          </w:rPr>
          <w:t>Êx 30.34–37</w:t>
        </w:r>
      </w:hyperlink>
      <w:r>
        <w:t>). As especiarias e o incenso para o santuário eram doados como presentes (</w:t>
      </w:r>
      <w:hyperlink r:id="rId10970">
        <w:r>
          <w:rPr>
            <w:color w:val="0000EE"/>
            <w:u w:val="single"/>
          </w:rPr>
          <w:t>Nm 7.14–86</w:t>
        </w:r>
      </w:hyperlink>
      <w:r>
        <w:t xml:space="preserve">; </w:t>
      </w:r>
      <w:hyperlink r:id="rId10971">
        <w:r>
          <w:rPr>
            <w:color w:val="0000EE"/>
            <w:u w:val="single"/>
          </w:rPr>
          <w:t>Jr 17.26</w:t>
        </w:r>
      </w:hyperlink>
      <w:r>
        <w:t xml:space="preserve">; </w:t>
      </w:r>
      <w:hyperlink r:id="rId3931">
        <w:r>
          <w:rPr>
            <w:color w:val="0000EE"/>
            <w:u w:val="single"/>
          </w:rPr>
          <w:t>41.5</w:t>
        </w:r>
      </w:hyperlink>
      <w:r>
        <w:t>) e guardados no templo (</w:t>
      </w:r>
      <w:hyperlink r:id="rId10963">
        <w:r>
          <w:rPr>
            <w:color w:val="0000EE"/>
            <w:u w:val="single"/>
          </w:rPr>
          <w:t>Ne 13.5,9</w:t>
        </w:r>
      </w:hyperlink>
      <w:r>
        <w:t>). Josefo descreveu o incenso de sua época como um composto muito mais complicado. Ele listou 13 ingredientes no melhor incenso da era herodiana.</w:t>
      </w:r>
    </w:p>
    <w:p>
      <w:pPr>
        <w:pStyle w:val="Heading3"/>
      </w:pPr>
      <w:r>
        <w:t>Oferta de incenso</w:t>
      </w:r>
    </w:p>
    <w:p>
      <w:r/>
      <w:r>
        <w:t>A arqueologia demonstrou que as oferendas de incenso eram comuns em todo o antigo Oriente Próximo desde os primeiros tempos de culto organizado. Pinturas e relevos egípcios do Novo Reino ocasionalmente mostram um homem segurando um incensário com incenso queimando. O incenso parece ter sido usado também nos rituais da Assíria, Babilônia e Arábia. Altares cananeus encontrados em Megido e Tell Beit Mirsim possuem altares de calcário com chifres (século X a.C.) que podem ter sido projetados para segurar uma tigela de incenso. Portanto, é seguro presumir que as oferendas de incenso também desempenharam algum papel no culto de Israel desde o início.</w:t>
      </w:r>
    </w:p>
    <w:p>
      <w:r/>
      <w:r>
        <w:t>As ofertas de incenso parecem ter servido a uma infinidade de propósitos. Elas podem ter sido usadas para afastar espíritos malignos e, assim, santificar todos os utensílios do local de adoração (</w:t>
      </w:r>
      <w:hyperlink r:id="rId10972">
        <w:r>
          <w:rPr>
            <w:color w:val="0000EE"/>
            <w:u w:val="single"/>
          </w:rPr>
          <w:t>Êx 30.26–29</w:t>
        </w:r>
      </w:hyperlink>
      <w:r>
        <w:t>). Sem dúvida, o doce cheiro do incenso fornecia um antídoto para o odor pútrido dos sacrifícios de animais. Portanto, se Deus fosse receber um aroma agradável e, assim, ficar satisfeito com uma oferta, o incenso era necessário para compensar o cheiro dos sacrifícios. No entanto, especiarias nunca eram adicionadas à carne dos animais ou aves.</w:t>
      </w:r>
    </w:p>
    <w:p>
      <w:r/>
      <w:r>
        <w:t>Em algumas ocasiões, o próprio incenso tornou-se um sacrifício. Como complemento a outros sacrifícios, apenas o incenso era queimado. Para aliviar uma praga, Arão realizou um ritual de queima de incenso (</w:t>
      </w:r>
      <w:hyperlink r:id="rId10973">
        <w:r>
          <w:rPr>
            <w:color w:val="0000EE"/>
            <w:u w:val="single"/>
          </w:rPr>
          <w:t>Nm 16.46–47</w:t>
        </w:r>
      </w:hyperlink>
      <w:r>
        <w:t>). No Dia da Expiação, o sumo sacerdote carregava incenso queimando e brasas quentes em uma panela (incensário) para dentro do Santo dos Santos (</w:t>
      </w:r>
      <w:hyperlink r:id="rId10974">
        <w:r>
          <w:rPr>
            <w:color w:val="0000EE"/>
            <w:u w:val="single"/>
          </w:rPr>
          <w:t>Lv 16.12–13</w:t>
        </w:r>
      </w:hyperlink>
      <w:r>
        <w:t>). Acreditava-se que o incenso queimando protegia a vida do sumo sacerdote, talvez porque a fumaça o impedia de ver a plena glória de Deus.</w:t>
      </w:r>
    </w:p>
    <w:p>
      <w:r/>
      <w:r>
        <w:t>O incenso foi adicionado ao grão para ofertas no altar de holocausto (</w:t>
      </w:r>
      <w:hyperlink r:id="rId10975">
        <w:r>
          <w:rPr>
            <w:color w:val="0000EE"/>
            <w:u w:val="single"/>
          </w:rPr>
          <w:t>Lv 2.1,15–16</w:t>
        </w:r>
      </w:hyperlink>
      <w:r>
        <w:t xml:space="preserve">; </w:t>
      </w:r>
      <w:hyperlink r:id="rId10962">
        <w:r>
          <w:rPr>
            <w:color w:val="0000EE"/>
            <w:u w:val="single"/>
          </w:rPr>
          <w:t>6.15</w:t>
        </w:r>
      </w:hyperlink>
      <w:r>
        <w:t>). Ele também acompanhava o pão da Presença (</w:t>
      </w:r>
      <w:hyperlink r:id="rId10959">
        <w:r>
          <w:rPr>
            <w:color w:val="0000EE"/>
            <w:u w:val="single"/>
          </w:rPr>
          <w:t>24.7</w:t>
        </w:r>
      </w:hyperlink>
      <w:r>
        <w:t>) em dois pratos. A serpente de bronze destruída por Ezequias em sua reforma havia se tornado um objeto profano ao qual se queimava incenso (</w:t>
      </w:r>
      <w:hyperlink r:id="rId1871">
        <w:r>
          <w:rPr>
            <w:color w:val="0000EE"/>
            <w:u w:val="single"/>
          </w:rPr>
          <w:t>2Rs 18.4</w:t>
        </w:r>
      </w:hyperlink>
      <w:r>
        <w:t>).</w:t>
      </w:r>
    </w:p>
    <w:p>
      <w:r/>
      <w:r>
        <w:t>Exceto no Dia da Expiação, o incenso era oferecido em um altar especial (</w:t>
      </w:r>
      <w:hyperlink r:id="rId10976">
        <w:r>
          <w:rPr>
            <w:color w:val="0000EE"/>
            <w:u w:val="single"/>
          </w:rPr>
          <w:t>Lv 4.7</w:t>
        </w:r>
      </w:hyperlink>
      <w:r>
        <w:t xml:space="preserve">; cf. </w:t>
      </w:r>
      <w:hyperlink r:id="rId10977">
        <w:r>
          <w:rPr>
            <w:color w:val="0000EE"/>
            <w:u w:val="single"/>
          </w:rPr>
          <w:t>Êx 30.9</w:t>
        </w:r>
      </w:hyperlink>
      <w:r>
        <w:t>), onde queimava de manhã e à noite e passou a ser chamado de "incenso perpétuo" (</w:t>
      </w:r>
      <w:hyperlink r:id="rId10978">
        <w:r>
          <w:rPr>
            <w:color w:val="0000EE"/>
            <w:u w:val="single"/>
          </w:rPr>
          <w:t>Êx 30.7–8</w:t>
        </w:r>
      </w:hyperlink>
      <w:r>
        <w:t>). Provavelmente, o altar de ouro no templo de Salomão (</w:t>
      </w:r>
      <w:hyperlink r:id="rId994">
        <w:r>
          <w:rPr>
            <w:color w:val="0000EE"/>
            <w:u w:val="single"/>
          </w:rPr>
          <w:t>1Rs 6.20–22</w:t>
        </w:r>
      </w:hyperlink>
      <w:r>
        <w:t>) era o altar de incenso.</w:t>
      </w:r>
    </w:p>
    <w:p>
      <w:r/>
      <w:r>
        <w:t>Oferecer incenso era um ritual sagrado, e as pessoas que o ofereciam desrespeitando os procedimentos eram condenadas (</w:t>
      </w:r>
      <w:hyperlink r:id="rId10979">
        <w:r>
          <w:rPr>
            <w:color w:val="0000EE"/>
            <w:u w:val="single"/>
          </w:rPr>
          <w:t>Lv 10.1–2</w:t>
        </w:r>
      </w:hyperlink>
      <w:r>
        <w:t xml:space="preserve">; </w:t>
      </w:r>
      <w:hyperlink r:id="rId10980">
        <w:r>
          <w:rPr>
            <w:color w:val="0000EE"/>
            <w:u w:val="single"/>
          </w:rPr>
          <w:t>Nm 16.6–50</w:t>
        </w:r>
      </w:hyperlink>
      <w:r>
        <w:t>). Uzias, o rei de Judá, tornou-se leproso porque ousou oferecer incenso (</w:t>
      </w:r>
      <w:hyperlink r:id="rId5450">
        <w:r>
          <w:rPr>
            <w:color w:val="0000EE"/>
            <w:u w:val="single"/>
          </w:rPr>
          <w:t>2Cr 26.16–21</w:t>
        </w:r>
      </w:hyperlink>
      <w:r>
        <w:t xml:space="preserve">). A queima de incenso em “lugares altos” é frequentemente criticada (p. ex. </w:t>
      </w:r>
      <w:hyperlink r:id="rId10981">
        <w:r>
          <w:rPr>
            <w:color w:val="0000EE"/>
            <w:u w:val="single"/>
          </w:rPr>
          <w:t>1Rs 22.43</w:t>
        </w:r>
      </w:hyperlink>
      <w:r>
        <w:t>), seja porque os santuários eram idólatras ou porque seus sacerdotes não cuidavam adequadamente como fazia o sacerdócio em Jerusalém. Profetas que criticaram a oferta de incenso (</w:t>
      </w:r>
      <w:hyperlink r:id="rId10982">
        <w:r>
          <w:rPr>
            <w:color w:val="0000EE"/>
            <w:u w:val="single"/>
          </w:rPr>
          <w:t>Is 1.13</w:t>
        </w:r>
      </w:hyperlink>
      <w:r>
        <w:t xml:space="preserve">; </w:t>
      </w:r>
      <w:hyperlink r:id="rId1827">
        <w:r>
          <w:rPr>
            <w:color w:val="0000EE"/>
            <w:u w:val="single"/>
          </w:rPr>
          <w:t>66.3</w:t>
        </w:r>
      </w:hyperlink>
      <w:r>
        <w:t xml:space="preserve">; </w:t>
      </w:r>
      <w:hyperlink r:id="rId10957">
        <w:r>
          <w:rPr>
            <w:color w:val="0000EE"/>
            <w:u w:val="single"/>
          </w:rPr>
          <w:t>Jr 6.20</w:t>
        </w:r>
      </w:hyperlink>
      <w:r>
        <w:t>) o fizeram para condenar um formalismo que estava vazio de devoção ao Deus de Israel.</w:t>
      </w:r>
    </w:p>
    <w:p>
      <w:pPr>
        <w:pStyle w:val="Heading3"/>
      </w:pPr>
      <w:r>
        <w:t>Significado do incenso</w:t>
      </w:r>
    </w:p>
    <w:p>
      <w:r/>
      <w:r>
        <w:t>Como o incenso era uma mercadoria preciosa, era uma oferta adequada a Deus (</w:t>
      </w:r>
      <w:hyperlink r:id="rId10983">
        <w:r>
          <w:rPr>
            <w:color w:val="0000EE"/>
            <w:u w:val="single"/>
          </w:rPr>
          <w:t>Ml 1.11</w:t>
        </w:r>
      </w:hyperlink>
      <w:r>
        <w:t>). As ofertas de incenso também proporcionavam uma sensação tangível da santidade de Deus, na qual o povo podia experimentar a expiação pelo pecado (</w:t>
      </w:r>
      <w:hyperlink r:id="rId10973">
        <w:r>
          <w:rPr>
            <w:color w:val="0000EE"/>
            <w:u w:val="single"/>
          </w:rPr>
          <w:t>Nm 16.46–47</w:t>
        </w:r>
      </w:hyperlink>
      <w:r>
        <w:t>). A fumaça subindo para o céu simbolizava as orações do povo (</w:t>
      </w:r>
      <w:hyperlink r:id="rId10984">
        <w:r>
          <w:rPr>
            <w:color w:val="0000EE"/>
            <w:u w:val="single"/>
          </w:rPr>
          <w:t>Sl 141.2</w:t>
        </w:r>
      </w:hyperlink>
      <w:r>
        <w:t xml:space="preserve">; </w:t>
      </w:r>
      <w:hyperlink r:id="rId10985">
        <w:r>
          <w:rPr>
            <w:color w:val="0000EE"/>
            <w:u w:val="single"/>
          </w:rPr>
          <w:t>Lc 1.10</w:t>
        </w:r>
      </w:hyperlink>
      <w:r>
        <w:t xml:space="preserve">; </w:t>
      </w:r>
      <w:hyperlink r:id="rId10986">
        <w:r>
          <w:rPr>
            <w:color w:val="0000EE"/>
            <w:u w:val="single"/>
          </w:rPr>
          <w:t>Ap 5.8</w:t>
        </w:r>
      </w:hyperlink>
      <w:r>
        <w:t xml:space="preserve">; </w:t>
      </w:r>
      <w:hyperlink r:id="rId10987">
        <w:r>
          <w:rPr>
            <w:color w:val="0000EE"/>
            <w:u w:val="single"/>
          </w:rPr>
          <w:t>8.3–4</w:t>
        </w:r>
      </w:hyperlink>
      <w:r>
        <w:t>). Ao mesmo tempo, a fumaça no templo simbolizava a presença de Deus, como havia sido retratada pela nuvem no deserto (</w:t>
      </w:r>
      <w:hyperlink r:id="rId9614">
        <w:r>
          <w:rPr>
            <w:color w:val="0000EE"/>
            <w:u w:val="single"/>
          </w:rPr>
          <w:t>Êx 19.18</w:t>
        </w:r>
      </w:hyperlink>
      <w:r>
        <w:t xml:space="preserve">; </w:t>
      </w:r>
      <w:hyperlink r:id="rId10988">
        <w:r>
          <w:rPr>
            <w:color w:val="0000EE"/>
            <w:u w:val="single"/>
          </w:rPr>
          <w:t>33.9–10</w:t>
        </w:r>
      </w:hyperlink>
      <w:r>
        <w:t xml:space="preserve">; </w:t>
      </w:r>
      <w:hyperlink r:id="rId10989">
        <w:r>
          <w:rPr>
            <w:color w:val="0000EE"/>
            <w:u w:val="single"/>
          </w:rPr>
          <w:t>Nm 11.25</w:t>
        </w:r>
      </w:hyperlink>
      <w:r>
        <w:t>). Juntamente com o sol nascente, a fumaça fornecia um símbolo poderoso para a glória do Senhor (</w:t>
      </w:r>
      <w:hyperlink r:id="rId10990">
        <w:r>
          <w:rPr>
            <w:color w:val="0000EE"/>
            <w:u w:val="single"/>
          </w:rPr>
          <w:t>Is 6.1–7</w:t>
        </w:r>
      </w:hyperlink>
      <w:r>
        <w:t>).</w:t>
      </w:r>
    </w:p>
    <w:p>
      <w:r/>
      <w:r>
        <w:t>A importância do incenso é ainda mais destacada pelas alusões do NT. O testemunho do cristão sobre Cristo é comparado à oferta de incenso (</w:t>
      </w:r>
      <w:hyperlink r:id="rId10991">
        <w:r>
          <w:rPr>
            <w:color w:val="0000EE"/>
            <w:u w:val="single"/>
          </w:rPr>
          <w:t>2Co 2.14–15</w:t>
        </w:r>
      </w:hyperlink>
      <w:r>
        <w:t>). O doce aroma do evangelho é contrastado com o cheiro de morte que leva à perdição. Da mesma forma, o dinheiro dos cristãos filipenses chegou a Paulo no espírito de um sacrifício de incenso (</w:t>
      </w:r>
      <w:hyperlink r:id="rId5332">
        <w:r>
          <w:rPr>
            <w:color w:val="0000EE"/>
            <w:u w:val="single"/>
          </w:rPr>
          <w:t>Fp 4.18</w:t>
        </w:r>
      </w:hyperlink>
      <w:r>
        <w:t>), uma expressão valiosa de amor e devoção. Finalmente, o incenso parece santificar e acompanhar as orações dos santos na presença de Deus (</w:t>
      </w:r>
      <w:hyperlink r:id="rId10986">
        <w:r>
          <w:rPr>
            <w:color w:val="0000EE"/>
            <w:u w:val="single"/>
          </w:rPr>
          <w:t>Ap 5.8</w:t>
        </w:r>
      </w:hyperlink>
      <w:r>
        <w:t xml:space="preserve">; </w:t>
      </w:r>
      <w:hyperlink r:id="rId10987">
        <w:r>
          <w:rPr>
            <w:color w:val="0000EE"/>
            <w:u w:val="single"/>
          </w:rPr>
          <w:t>8.3–4</w:t>
        </w:r>
      </w:hyperlink>
      <w:r>
        <w:t>). Nenhuma das referências do NT convoca o cristão a oferecer incenso, mas sim a aprender a devoção e dedicação à santidade representadas pela queima desta substância preciosa.</w:t>
      </w:r>
    </w:p>
    <w:p>
      <w:r/>
      <w:r>
        <w:rPr>
          <w:i/>
        </w:rPr>
        <w:t>Veja também</w:t>
      </w:r>
      <w:r>
        <w:t xml:space="preserve"> </w:t>
      </w:r>
      <w:r>
        <w:t>Plantas</w:t>
      </w:r>
      <w:r>
        <w:t xml:space="preserve"> (</w:t>
      </w:r>
      <w:r>
        <w:t>Aloé</w:t>
      </w:r>
      <w:r>
        <w:t xml:space="preserve">; </w:t>
      </w:r>
      <w:r>
        <w:t>Bálsamo</w:t>
      </w:r>
      <w:r>
        <w:t xml:space="preserve">; </w:t>
      </w:r>
      <w:r>
        <w:t>Cálamo</w:t>
      </w:r>
      <w:r>
        <w:t xml:space="preserve">; </w:t>
      </w:r>
      <w:r>
        <w:t>Canela</w:t>
      </w:r>
      <w:r>
        <w:t xml:space="preserve">; </w:t>
      </w:r>
      <w:r>
        <w:t>Incenso</w:t>
      </w:r>
      <w:r>
        <w:t xml:space="preserve">; </w:t>
      </w:r>
      <w:r>
        <w:t>Gálbano</w:t>
      </w:r>
      <w:r>
        <w:t xml:space="preserve">; </w:t>
      </w:r>
      <w:r>
        <w:t>Henna</w:t>
      </w:r>
      <w:r>
        <w:t xml:space="preserve">; </w:t>
      </w:r>
      <w:r>
        <w:t>Hissopo</w:t>
      </w:r>
      <w:r>
        <w:t xml:space="preserve">; </w:t>
      </w:r>
      <w:r>
        <w:t>Mirra</w:t>
      </w:r>
      <w:r>
        <w:t xml:space="preserve">; </w:t>
      </w:r>
      <w:r>
        <w:t>Nardo</w:t>
      </w:r>
      <w:r>
        <w:t xml:space="preserve">; </w:t>
      </w:r>
      <w:r>
        <w:t>Árvore de estoraque</w:t>
      </w:r>
      <w:r>
        <w:t xml:space="preserve">); </w:t>
      </w:r>
      <w:r>
        <w:t>Perfume</w:t>
      </w:r>
      <w:r>
        <w:t xml:space="preserve">; </w:t>
      </w:r>
      <w:r>
        <w:t>Tabernáculo</w:t>
      </w:r>
      <w:r>
        <w:t xml:space="preserve">; </w:t>
      </w:r>
      <w:r>
        <w:t>Templo</w:t>
      </w:r>
      <w:r>
        <w:t>.</w:t>
      </w:r>
      <w:r/>
      <w:r/>
    </w:p>
    <w:p>
      <w:r/>
    </w:p>
    <w:p>
      <w:pPr>
        <w:pStyle w:val="Heading2"/>
      </w:pPr>
      <w:r>
        <w:t>Incesto</w:t>
      </w:r>
      <w:r/>
    </w:p>
    <w:p>
      <w:r/>
      <w:r>
        <w:t>Relações sexuais entre parentes próximos.</w:t>
      </w:r>
    </w:p>
    <w:p>
      <w:r/>
      <w:r>
        <w:t xml:space="preserve">O incesto é fortemente proibido em </w:t>
      </w:r>
      <w:hyperlink r:id="rId2572">
        <w:r>
          <w:rPr>
            <w:color w:val="0000EE"/>
            <w:u w:val="single"/>
          </w:rPr>
          <w:t>Levítico 18</w:t>
        </w:r>
      </w:hyperlink>
      <w:r>
        <w:t xml:space="preserve">. </w:t>
      </w:r>
      <w:hyperlink r:id="rId10992">
        <w:r>
          <w:rPr>
            <w:color w:val="0000EE"/>
            <w:u w:val="single"/>
          </w:rPr>
          <w:t>Levítico 20</w:t>
        </w:r>
      </w:hyperlink>
      <w:r>
        <w:t xml:space="preserve"> até menciona que alguns tipos de incesto devem ser punidos com a morte. A Bíblia considera o incesto uma ofensa muito grave, chamando-o de desonroso e pervertido.</w:t>
      </w:r>
    </w:p>
    <w:p>
      <w:r/>
      <w:r>
        <w:t>Exemplos de incesto na Bíblia mostram que isso resulta de um mau caráter:</w:t>
      </w:r>
    </w:p>
    <w:p>
      <w:pPr>
        <w:pStyle w:val="ListBullet"/>
        <w:spacing w:line="240" w:lineRule="auto"/>
        <w:ind w:left="720"/>
      </w:pPr>
      <w:r/>
      <w:r>
        <w:t>As filhas de Ló embebedaram seu pai e dormiram com ele. Ambas ficaram grávidas (</w:t>
      </w:r>
      <w:hyperlink r:id="rId10993">
        <w:r>
          <w:rPr>
            <w:color w:val="0000EE"/>
            <w:u w:val="single"/>
          </w:rPr>
          <w:t>Gn 19.30</w:t>
        </w:r>
      </w:hyperlink>
      <w:r>
        <w:t>-</w:t>
      </w:r>
      <w:hyperlink r:id="rId10993">
        <w:r>
          <w:rPr>
            <w:color w:val="0000EE"/>
            <w:u w:val="single"/>
          </w:rPr>
          <w:t>38</w:t>
        </w:r>
      </w:hyperlink>
      <w:r>
        <w:t>).</w:t>
      </w:r>
    </w:p>
    <w:p>
      <w:pPr>
        <w:pStyle w:val="ListBullet"/>
        <w:spacing w:line="240" w:lineRule="auto"/>
        <w:ind w:left="720"/>
      </w:pPr>
      <w:r/>
      <w:r>
        <w:t>Amnom enganou e forçou-se sobre sua meia-irmã Tamar (</w:t>
      </w:r>
      <w:hyperlink r:id="rId10994">
        <w:r>
          <w:rPr>
            <w:color w:val="0000EE"/>
            <w:u w:val="single"/>
          </w:rPr>
          <w:t>2Sm 13.1</w:t>
        </w:r>
      </w:hyperlink>
      <w:r>
        <w:t>-</w:t>
      </w:r>
      <w:hyperlink r:id="rId10994">
        <w:r>
          <w:rPr>
            <w:color w:val="0000EE"/>
            <w:u w:val="single"/>
          </w:rPr>
          <w:t>22</w:t>
        </w:r>
      </w:hyperlink>
      <w:r>
        <w:t>) .</w:t>
      </w:r>
    </w:p>
    <w:p>
      <w:pPr>
        <w:pStyle w:val="ListBullet"/>
        <w:spacing w:line="240" w:lineRule="auto"/>
        <w:ind w:left="720"/>
      </w:pPr>
      <w:r/>
      <w:r>
        <w:t>Paulo criticou fortemente o incesto que acontecia na igreja de Corinto (</w:t>
      </w:r>
      <w:hyperlink r:id="rId10995">
        <w:r>
          <w:rPr>
            <w:color w:val="0000EE"/>
            <w:u w:val="single"/>
          </w:rPr>
          <w:t>1Co 5.1</w:t>
        </w:r>
      </w:hyperlink>
      <w:r>
        <w:t>-</w:t>
      </w:r>
      <w:hyperlink r:id="rId10995">
        <w:r>
          <w:rPr>
            <w:color w:val="0000EE"/>
            <w:u w:val="single"/>
          </w:rPr>
          <w:t>5</w:t>
        </w:r>
      </w:hyperlink>
      <w:r>
        <w:t>), mostrando que ainda era errado nos tempos do Novo Testamento.</w:t>
      </w:r>
    </w:p>
    <w:p>
      <w:r/>
      <w:r>
        <w:t xml:space="preserve">Relação de sangue, ou consanguinidade, é uma das razões para o contato sexual ilegal. Isso se aplica, por exemplo, a irmãos e irmãs, pais e filhos, avós e netos, assim como a algumas tias, tios, sobrinhas e sobrinhos. </w:t>
      </w:r>
      <w:hyperlink r:id="rId2572">
        <w:r>
          <w:rPr>
            <w:color w:val="0000EE"/>
            <w:u w:val="single"/>
          </w:rPr>
          <w:t>Levítico 18</w:t>
        </w:r>
      </w:hyperlink>
      <w:r>
        <w:t xml:space="preserve"> também proíbe sexo com parentes por casamento (afinidade) e algumas tias e tios. No antigo Israel, havia uma exceção: um homem poderia se casar com a viúva de seu irmão falecido se ela não tivesse filho (</w:t>
      </w:r>
      <w:hyperlink r:id="rId4536">
        <w:r>
          <w:rPr>
            <w:color w:val="0000EE"/>
            <w:u w:val="single"/>
          </w:rPr>
          <w:t>Dt 25.5</w:t>
        </w:r>
      </w:hyperlink>
      <w:r>
        <w:t>-</w:t>
      </w:r>
      <w:hyperlink r:id="rId4536">
        <w:r>
          <w:rPr>
            <w:color w:val="0000EE"/>
            <w:u w:val="single"/>
          </w:rPr>
          <w:t>10</w:t>
        </w:r>
      </w:hyperlink>
      <w:r>
        <w:t>).</w:t>
      </w:r>
    </w:p>
    <w:p>
      <w:r/>
      <w:r>
        <w:t>Embora existam razões genéticas para evitar o incesto entre parentes consanguíneos, o principal problema é que isso prejudica as famílias. Como as famílias são centrais para o trabalho de Deus na Terra, Ele julga o incesto de forma muito severa. As famílias não podem sobreviver quando há má conduta sexual entre seus membros.</w:t>
      </w:r>
      <w:r/>
      <w:r/>
    </w:p>
    <w:p>
      <w:r/>
    </w:p>
    <w:p>
      <w:pPr>
        <w:pStyle w:val="Heading2"/>
      </w:pPr>
      <w:r>
        <w:t>Incircuncisão</w:t>
      </w:r>
      <w:r/>
    </w:p>
    <w:p>
      <w:r/>
      <w:r>
        <w:t>É a condição natural do homem, ou seja, com o prepúcio cobrindo o pênis. Como os judeus, entre muitos outros povos, removiam isso cirurgicamente como um sinal de sua aliança com Deus (</w:t>
      </w:r>
      <w:hyperlink r:id="rId169">
        <w:r>
          <w:rPr>
            <w:color w:val="0000EE"/>
            <w:u w:val="single"/>
          </w:rPr>
          <w:t>Gn 17.9–14</w:t>
        </w:r>
      </w:hyperlink>
      <w:r>
        <w:t xml:space="preserve">; </w:t>
      </w:r>
      <w:hyperlink r:id="rId10996">
        <w:r>
          <w:rPr>
            <w:color w:val="0000EE"/>
            <w:u w:val="single"/>
          </w:rPr>
          <w:t>Êx 12.48</w:t>
        </w:r>
      </w:hyperlink>
      <w:r>
        <w:t xml:space="preserve">; </w:t>
      </w:r>
      <w:hyperlink r:id="rId10997">
        <w:r>
          <w:rPr>
            <w:color w:val="0000EE"/>
            <w:u w:val="single"/>
          </w:rPr>
          <w:t>Lv 12.3</w:t>
        </w:r>
      </w:hyperlink>
      <w:r>
        <w:t>), o termo passou a designar “não judeu” ou “gentio” (filisteus, gregos e romanos não circuncidavam, mas egípcios e muitos povos semitas sim). Por extensão, conotava “aqueles fora da aliança”.</w:t>
      </w:r>
    </w:p>
    <w:p>
      <w:r/>
      <w:r>
        <w:t>O termo "incircuncisão" ocorre 20 vezes no NT, geralmente significando simplesmente "gentio", em oposição a judeu. Paulo argumenta fortemente contra fazer tais distinções. Para Paulo, a atitude do coração de alguém em relação a Deus é muito mais importante do que a lei ritual, que não tem nada a ver com sua salvação (</w:t>
      </w:r>
      <w:hyperlink r:id="rId10998">
        <w:r>
          <w:rPr>
            <w:color w:val="0000EE"/>
            <w:u w:val="single"/>
          </w:rPr>
          <w:t>Rm 2.25–27</w:t>
        </w:r>
      </w:hyperlink>
      <w:r>
        <w:t>). Abraão se tornou um crente e foi justificado por Deus enquanto estava incircunciso, então a circuncisão não tem nada a ver com sua salvação (</w:t>
      </w:r>
      <w:hyperlink r:id="rId4403">
        <w:r>
          <w:rPr>
            <w:color w:val="0000EE"/>
            <w:u w:val="single"/>
          </w:rPr>
          <w:t>3.30</w:t>
        </w:r>
      </w:hyperlink>
      <w:r>
        <w:t xml:space="preserve">; </w:t>
      </w:r>
      <w:hyperlink r:id="rId4991">
        <w:r>
          <w:rPr>
            <w:color w:val="0000EE"/>
            <w:u w:val="single"/>
          </w:rPr>
          <w:t>4.9–12</w:t>
        </w:r>
      </w:hyperlink>
      <w:r>
        <w:t>). Anteriormente, os gentios eram excluídos do povo de Deus (</w:t>
      </w:r>
      <w:hyperlink r:id="rId4986">
        <w:r>
          <w:rPr>
            <w:color w:val="0000EE"/>
            <w:u w:val="single"/>
          </w:rPr>
          <w:t>Ef 2.11–12</w:t>
        </w:r>
      </w:hyperlink>
      <w:r>
        <w:t>), mas agora os crentes judeus e não judeus (gentios) se tornaram um em Cristo (</w:t>
      </w:r>
      <w:hyperlink r:id="rId4967">
        <w:r>
          <w:rPr>
            <w:color w:val="0000EE"/>
            <w:u w:val="single"/>
          </w:rPr>
          <w:t>Gl 2.7</w:t>
        </w:r>
      </w:hyperlink>
      <w:r>
        <w:t xml:space="preserve">; </w:t>
      </w:r>
      <w:hyperlink r:id="rId1177">
        <w:r>
          <w:rPr>
            <w:color w:val="0000EE"/>
            <w:u w:val="single"/>
          </w:rPr>
          <w:t>5.6</w:t>
        </w:r>
      </w:hyperlink>
      <w:r>
        <w:t xml:space="preserve">; </w:t>
      </w:r>
      <w:hyperlink r:id="rId375">
        <w:r>
          <w:rPr>
            <w:color w:val="0000EE"/>
            <w:u w:val="single"/>
          </w:rPr>
          <w:t>6.15</w:t>
        </w:r>
      </w:hyperlink>
      <w:r>
        <w:t xml:space="preserve">; </w:t>
      </w:r>
      <w:hyperlink r:id="rId3128">
        <w:r>
          <w:rPr>
            <w:color w:val="0000EE"/>
            <w:u w:val="single"/>
          </w:rPr>
          <w:t>Cl 3.11</w:t>
        </w:r>
      </w:hyperlink>
      <w:r>
        <w:t>). Paulo se recusa a ceder àqueles que exigem circuncisão para a plena membresia na igreja.</w:t>
      </w:r>
    </w:p>
    <w:p>
      <w:r/>
      <w:r>
        <w:t>Em uma passagem (</w:t>
      </w:r>
      <w:hyperlink r:id="rId10999">
        <w:r>
          <w:rPr>
            <w:color w:val="0000EE"/>
            <w:u w:val="single"/>
          </w:rPr>
          <w:t>Cl 2.8–15</w:t>
        </w:r>
      </w:hyperlink>
      <w:r>
        <w:t>), Paulo fala da incircuncisão metaforicamente, significando o estado não regenerado de uma pessoa. Aqui, a incircuncisão é equivalente à “carne” (significando o impulso maligno ou estado natural de alguém). Assim como a carne literal é cortada no rito da circuncisão, essa “carne” é cortada por Cristo no momento da conversão, como simbolizado no batismo. A pessoa batizada é purificada da “impureza”, assim como um não judeu circuncidado é purificado da impureza incircuncisa anterior.</w:t>
      </w:r>
    </w:p>
    <w:p>
      <w:r/>
      <w:r>
        <w:rPr>
          <w:i/>
        </w:rPr>
        <w:t>Veja também</w:t>
      </w:r>
      <w:r>
        <w:t xml:space="preserve"> </w:t>
      </w:r>
      <w:r>
        <w:t>Circuncisão</w:t>
      </w:r>
      <w:r>
        <w:t>.</w:t>
      </w:r>
      <w:r/>
      <w:r/>
    </w:p>
    <w:p>
      <w:r/>
    </w:p>
    <w:p>
      <w:pPr>
        <w:pStyle w:val="Heading2"/>
      </w:pPr>
      <w:r>
        <w:t>Índia</w:t>
      </w:r>
      <w:r/>
    </w:p>
    <w:p>
      <w:r/>
      <w:r>
        <w:t xml:space="preserve">Uma terra oriental de fronteiras geográficas inconsistentes nos tempos bíblicos. A Bíblia menciona a Índia apenas em </w:t>
      </w:r>
      <w:hyperlink r:id="rId8616">
        <w:r>
          <w:rPr>
            <w:color w:val="0000EE"/>
            <w:u w:val="single"/>
          </w:rPr>
          <w:t>Ester 1.1</w:t>
        </w:r>
      </w:hyperlink>
      <w:r>
        <w:t xml:space="preserve"> e </w:t>
      </w:r>
      <w:hyperlink r:id="rId4063">
        <w:r>
          <w:rPr>
            <w:color w:val="0000EE"/>
            <w:u w:val="single"/>
          </w:rPr>
          <w:t>8.9.</w:t>
        </w:r>
      </w:hyperlink>
      <w:r>
        <w:t xml:space="preserve"> O império de Assuero se estendia de Hodu a Cuxe. O termo "Hodu" parece vir de uma palavra persa antiga, Hindush. Estava relacionado a uma palavra sânscrita, Sindhu, que significa "corrente", ou seja, o rio Indo. Inscrições da Pérsia mostram que a Índia era uma província do Império Aquemênida de 559 a 330 a.C. Isso apoia as declarações bíblicas em Ester. Até mesmo o historiador grego Heródoto no século V a.C. parece ter sido mal informado sobre a Índia (</w:t>
      </w:r>
      <w:r>
        <w:rPr>
          <w:i/>
        </w:rPr>
        <w:t>Guerras Persas</w:t>
      </w:r>
      <w:r>
        <w:t xml:space="preserve"> 3.94–106; 4.40, 44). Algumas lendas e tradições hebraicas mencionam judeus na Índia nos dias do rei Salomão. Alguns intérpretes sugeriram que o rio Pisom na terra de Havilá pode se referir à Índia (</w:t>
      </w:r>
      <w:hyperlink r:id="rId11000">
        <w:r>
          <w:rPr>
            <w:color w:val="0000EE"/>
            <w:u w:val="single"/>
          </w:rPr>
          <w:t>Gênesis 2.11</w:t>
        </w:r>
      </w:hyperlink>
      <w:r>
        <w:t xml:space="preserve">). Alguns dizem que bens de Ofir, como sândalo ("madeira de almug", </w:t>
      </w:r>
      <w:hyperlink r:id="rId11001">
        <w:r>
          <w:rPr>
            <w:color w:val="0000EE"/>
            <w:u w:val="single"/>
          </w:rPr>
          <w:t>1 Reis 10.11</w:t>
        </w:r>
      </w:hyperlink>
      <w:r>
        <w:t xml:space="preserve">; </w:t>
      </w:r>
      <w:hyperlink r:id="rId11002">
        <w:r>
          <w:rPr>
            <w:color w:val="0000EE"/>
            <w:u w:val="single"/>
          </w:rPr>
          <w:t>2 Crônicas 2.8</w:t>
        </w:r>
      </w:hyperlink>
      <w:r>
        <w:t>), marfim e macacos, eram de origem indiana. Além disso, alguns dos itens transportados por mercadores para Tiro, como presas de marfim e ébano (</w:t>
      </w:r>
      <w:hyperlink r:id="rId11003">
        <w:r>
          <w:rPr>
            <w:color w:val="0000EE"/>
            <w:u w:val="single"/>
          </w:rPr>
          <w:t>Ezequiel 27.15</w:t>
        </w:r>
      </w:hyperlink>
      <w:r>
        <w:t>), podem ter vindo da Índia.</w:t>
      </w:r>
    </w:p>
    <w:p>
      <w:r/>
      <w:r>
        <w:t xml:space="preserve">O Novo Testamento não faz referência à Índia. No entanto, escritos judaicos de antes e depois do Novo Testamento referem-se à terra. Estes incluem os Targuns sobre Ester, os Midraxe e o Talmude. Foi somente após a morte de Alexandre, o Grande, em 323 a.C., que a Palestina e a Europa começaram a escrever sobre a Índia. </w:t>
      </w:r>
      <w:hyperlink r:id="rId11004">
        <w:r>
          <w:rPr>
            <w:color w:val="0000EE"/>
            <w:u w:val="single"/>
          </w:rPr>
          <w:t>1 Macabeus 6.37</w:t>
        </w:r>
      </w:hyperlink>
      <w:r>
        <w:t xml:space="preserve"> diz que os exércitos selêucidas usavam elefantes de guerra (que possivelmente eram da Índia), montados por condutores indianos no segundo século a.C. </w:t>
      </w:r>
      <w:hyperlink r:id="rId11005">
        <w:r>
          <w:rPr>
            <w:color w:val="0000EE"/>
            <w:u w:val="single"/>
          </w:rPr>
          <w:t>1 Macabeus 8.8</w:t>
        </w:r>
      </w:hyperlink>
      <w:r>
        <w:t xml:space="preserve"> afirma que os romanos forçaram Antíoco III a se render.</w:t>
      </w:r>
    </w:p>
    <w:p>
      <w:r/>
      <w:r>
        <w:t>O valor da Índia é incerto devido a questões textuais. Além disso, não há prova de que o Império Selêucida se estendeu até a Índia. No entanto, os romanos comercializavam na Índia via Egito e o Mar Vermelho. Isso torna a falta de referências no Novo Testamento estranha. À medida que os séculos cristãos passaram, referências apareceram tanto na literatura judaica quanto na cristã primitiva. É certo que, no início da era cristã, havia assentamentos de judeus e cristãos monofisitas na Índia. O monofisismo é a crença de que Jesus Cristo tinha apenas uma natureza, que era divina, em vez de ambas as naturezas humana e divina. Segundo a lenda, foi o apóstolo Tomé quem levou o evangelho à Índia e fundou a Igreja Mar Toma.</w:t>
      </w:r>
      <w:r/>
      <w:r/>
    </w:p>
    <w:p>
      <w:r/>
    </w:p>
    <w:p>
      <w:pPr>
        <w:pStyle w:val="Heading2"/>
      </w:pPr>
      <w:r>
        <w:t>Inferno</w:t>
      </w:r>
      <w:r/>
    </w:p>
    <w:p>
      <w:r/>
      <w:r>
        <w:t>Lugar de futura punição para os mortos perdidos, impenitentes e ímpios.</w:t>
      </w:r>
    </w:p>
    <w:p>
      <w:r/>
      <w:r>
        <w:t>Resumo</w:t>
      </w:r>
    </w:p>
    <w:p>
      <w:r/>
      <w:r>
        <w:t>• Definição e descrição</w:t>
      </w:r>
    </w:p>
    <w:p>
      <w:r/>
      <w:r>
        <w:t>• Termos Bíblicos</w:t>
      </w:r>
    </w:p>
    <w:p>
      <w:r/>
      <w:r>
        <w:t>• A justiça da punição eterna</w:t>
      </w:r>
    </w:p>
    <w:p>
      <w:pPr>
        <w:pStyle w:val="Heading3"/>
      </w:pPr>
      <w:r>
        <w:t>Definição e descrição</w:t>
      </w:r>
    </w:p>
    <w:p>
      <w:r/>
      <w:r>
        <w:t>O Inferno é o destino final dos incrédulos e é descrito de várias maneiras pelas figuras de uma fornalha de fogo, fogo eterno, punição eterna (</w:t>
      </w:r>
      <w:hyperlink r:id="rId9623">
        <w:r>
          <w:rPr>
            <w:color w:val="0000EE"/>
            <w:u w:val="single"/>
          </w:rPr>
          <w:t>Mt 13.42,50</w:t>
        </w:r>
      </w:hyperlink>
      <w:r>
        <w:t xml:space="preserve">; </w:t>
      </w:r>
      <w:hyperlink r:id="rId6692">
        <w:r>
          <w:rPr>
            <w:color w:val="0000EE"/>
            <w:u w:val="single"/>
          </w:rPr>
          <w:t>25.41,46</w:t>
        </w:r>
      </w:hyperlink>
      <w:r>
        <w:t>); trevas, o lugar de pranto e tormento (</w:t>
      </w:r>
      <w:hyperlink r:id="rId8318">
        <w:r>
          <w:rPr>
            <w:color w:val="0000EE"/>
            <w:u w:val="single"/>
          </w:rPr>
          <w:t>8.12</w:t>
        </w:r>
      </w:hyperlink>
      <w:r>
        <w:t>); o lago de fogo, a segunda morte (</w:t>
      </w:r>
      <w:hyperlink r:id="rId144">
        <w:r>
          <w:rPr>
            <w:color w:val="0000EE"/>
            <w:u w:val="single"/>
          </w:rPr>
          <w:t>Ap 21.8</w:t>
        </w:r>
      </w:hyperlink>
      <w:r>
        <w:t>); um lugar para o diabo e seus demônios (</w:t>
      </w:r>
      <w:hyperlink r:id="rId6692">
        <w:r>
          <w:rPr>
            <w:color w:val="0000EE"/>
            <w:u w:val="single"/>
          </w:rPr>
          <w:t>Mt 25.41</w:t>
        </w:r>
      </w:hyperlink>
      <w:r>
        <w:t>). Evidentemente, aqueles que estão no inferno experimentam a separação eterna do Senhor, nunca verão a glória de seu poder (</w:t>
      </w:r>
      <w:hyperlink r:id="rId11006">
        <w:r>
          <w:rPr>
            <w:color w:val="0000EE"/>
            <w:u w:val="single"/>
          </w:rPr>
          <w:t>2Ts 1.9</w:t>
        </w:r>
      </w:hyperlink>
      <w:r>
        <w:t>). Aqueles que adoravam a besta estarão sujeitos a tormento contínuo (</w:t>
      </w:r>
      <w:hyperlink r:id="rId11007">
        <w:r>
          <w:rPr>
            <w:color w:val="0000EE"/>
            <w:u w:val="single"/>
          </w:rPr>
          <w:t>Ap 14.10–11</w:t>
        </w:r>
      </w:hyperlink>
      <w:r>
        <w:t>).</w:t>
      </w:r>
    </w:p>
    <w:p>
      <w:r/>
      <w:r>
        <w:t>Outras expressões que indicam que o estado final dos ímpios é eterno são estas: “mas queimará a palha no fogo que nunca se apaga” (</w:t>
      </w:r>
      <w:hyperlink r:id="rId3192">
        <w:r>
          <w:rPr>
            <w:color w:val="0000EE"/>
            <w:u w:val="single"/>
          </w:rPr>
          <w:t>Mt 3.12</w:t>
        </w:r>
      </w:hyperlink>
      <w:r>
        <w:t>); “Ali os vermes que devoram não morrem, e o fogo nunca se apaga.” (</w:t>
      </w:r>
      <w:hyperlink r:id="rId9803">
        <w:r>
          <w:rPr>
            <w:color w:val="0000EE"/>
            <w:u w:val="single"/>
          </w:rPr>
          <w:t>Mc 9.43,48</w:t>
        </w:r>
      </w:hyperlink>
      <w:r>
        <w:t>); há pecado que “não será perdoado, nem agora nem no futuro" (</w:t>
      </w:r>
      <w:hyperlink r:id="rId3820">
        <w:r>
          <w:rPr>
            <w:color w:val="0000EE"/>
            <w:u w:val="single"/>
          </w:rPr>
          <w:t>Mt 12.32</w:t>
        </w:r>
      </w:hyperlink>
      <w:r>
        <w:t>, NTLH). Quando as Escrituras são entendidas corretamente, não há nenhuma sugestão em qualquer lugar do término do terrível estado dos incrédulos no inferno. Sua condenação é interminável; há uma finalidade solene sobre sua condição miserável. (É significativo que as declarações mais descritivas e conclusivas sobre o inferno venham dos lábios de Jesus).</w:t>
      </w:r>
    </w:p>
    <w:p>
      <w:r/>
      <w:r>
        <w:t>Um resumo do que as Escrituras falam do inferno indica que há a perda e ausência de todo o bem, e a miséria e tormento de uma consciência maligna. O aspecto mais aterrorizante é a separação completa e merecida de Deus e de tudo o que é puro, santo e belo. Além disso, há a consciência de estar sob a ira de Deus e de suportar a maldição de uma sentença justa por causa dos pecados que foram consciente e voluntariamente cometidos.</w:t>
      </w:r>
    </w:p>
    <w:p>
      <w:r/>
      <w:r>
        <w:t>Embora as descrições bíblicas do inferno sejam declaradas em termos muito físicos e literais, o caráter essencial do inferno não deve ser concebido ou limitado a designações como o verme que devora, as chicotadas que são infligidas, a queima ou ser consumido pelo fogo. Esta afirmação não diminui o horror ou a gravidade da situação no inferno, porque nada poderia ser pior do que a separação de Deus e o tormento de uma consciência maligna. O inferno é o inferno para aqueles que estão lá essencialmente porque eles estão completamente separados de Deus, e onde quer que haja separação de Deus, sempre há separação dos semelhantes. Esta é a pior punição possível à qual qualquer um poderia estar sujeito: ser total e irrevogavelmente separado de Deus e estar em inimizade com todos aqueles que estão ao redor de si. Outra consequência dolorosa de tal condição é estar em conflito consigo mesmo — dilacerado de dentro para fora por um senso de culpa e vergonha. Esta condição é de conflito total: com Deus, os próximos e a si mesmo. Isto é o inferno! Se as descrições de inferno são figurativas ou simbólicas, as condições que elas representam são mais intensas e reais do que as figuras de linguagem pelas quais elas são expressas.</w:t>
      </w:r>
    </w:p>
    <w:p>
      <w:r/>
      <w:r>
        <w:t xml:space="preserve">Punição pelo pecado é um ensino persistente da Bíblia. A doutrina do julgamento é tão extensa quanto o próprio Cânon. Passagens típicas sobre o assunto são </w:t>
      </w:r>
      <w:hyperlink r:id="rId2622">
        <w:r>
          <w:rPr>
            <w:color w:val="0000EE"/>
            <w:u w:val="single"/>
          </w:rPr>
          <w:t>Gênesis 2.17</w:t>
        </w:r>
      </w:hyperlink>
      <w:r>
        <w:t xml:space="preserve">; </w:t>
      </w:r>
      <w:hyperlink r:id="rId11008">
        <w:r>
          <w:rPr>
            <w:color w:val="0000EE"/>
            <w:u w:val="single"/>
          </w:rPr>
          <w:t>3.17–19</w:t>
        </w:r>
      </w:hyperlink>
      <w:r>
        <w:t xml:space="preserve">; </w:t>
      </w:r>
      <w:hyperlink r:id="rId11009">
        <w:r>
          <w:rPr>
            <w:color w:val="0000EE"/>
            <w:u w:val="single"/>
          </w:rPr>
          <w:t>4.13</w:t>
        </w:r>
      </w:hyperlink>
      <w:r>
        <w:t xml:space="preserve">; </w:t>
      </w:r>
      <w:hyperlink r:id="rId11010">
        <w:r>
          <w:rPr>
            <w:color w:val="0000EE"/>
            <w:u w:val="single"/>
          </w:rPr>
          <w:t>Levítico 26.27–33</w:t>
        </w:r>
      </w:hyperlink>
      <w:r>
        <w:t xml:space="preserve">; </w:t>
      </w:r>
      <w:hyperlink r:id="rId11011">
        <w:r>
          <w:rPr>
            <w:color w:val="0000EE"/>
            <w:u w:val="single"/>
          </w:rPr>
          <w:t>Salmo 149.7</w:t>
        </w:r>
      </w:hyperlink>
      <w:r>
        <w:t xml:space="preserve">; </w:t>
      </w:r>
      <w:hyperlink r:id="rId11012">
        <w:r>
          <w:rPr>
            <w:color w:val="0000EE"/>
            <w:u w:val="single"/>
          </w:rPr>
          <w:t>Isaías 3.11</w:t>
        </w:r>
      </w:hyperlink>
      <w:r>
        <w:t xml:space="preserve">; </w:t>
      </w:r>
      <w:hyperlink r:id="rId11013">
        <w:r>
          <w:rPr>
            <w:color w:val="0000EE"/>
            <w:u w:val="single"/>
          </w:rPr>
          <w:t>Ezequiel 14.10</w:t>
        </w:r>
      </w:hyperlink>
      <w:r>
        <w:t xml:space="preserve">; </w:t>
      </w:r>
      <w:hyperlink r:id="rId11014">
        <w:r>
          <w:rPr>
            <w:color w:val="0000EE"/>
            <w:u w:val="single"/>
          </w:rPr>
          <w:t>Amós 1.2–2.16</w:t>
        </w:r>
      </w:hyperlink>
      <w:r>
        <w:t xml:space="preserve">; </w:t>
      </w:r>
      <w:hyperlink r:id="rId11015">
        <w:r>
          <w:rPr>
            <w:color w:val="0000EE"/>
            <w:u w:val="single"/>
          </w:rPr>
          <w:t>Zacarias 14.19</w:t>
        </w:r>
      </w:hyperlink>
      <w:r>
        <w:t xml:space="preserve">; </w:t>
      </w:r>
      <w:hyperlink r:id="rId6692">
        <w:r>
          <w:rPr>
            <w:color w:val="0000EE"/>
            <w:u w:val="single"/>
          </w:rPr>
          <w:t>Mateus 25.41, 46</w:t>
        </w:r>
      </w:hyperlink>
      <w:r>
        <w:t xml:space="preserve">; </w:t>
      </w:r>
      <w:hyperlink r:id="rId11016">
        <w:r>
          <w:rPr>
            <w:color w:val="0000EE"/>
            <w:u w:val="single"/>
          </w:rPr>
          <w:t>Lucas 16.23–24</w:t>
        </w:r>
      </w:hyperlink>
      <w:r>
        <w:t xml:space="preserve">; </w:t>
      </w:r>
      <w:hyperlink r:id="rId11017">
        <w:r>
          <w:rPr>
            <w:color w:val="0000EE"/>
            <w:u w:val="single"/>
          </w:rPr>
          <w:t>Romanos 2.5–12</w:t>
        </w:r>
      </w:hyperlink>
      <w:r>
        <w:t xml:space="preserve">; </w:t>
      </w:r>
      <w:hyperlink r:id="rId11018">
        <w:r>
          <w:rPr>
            <w:color w:val="0000EE"/>
            <w:u w:val="single"/>
          </w:rPr>
          <w:t>Gálatas 6.7–8</w:t>
        </w:r>
      </w:hyperlink>
      <w:r>
        <w:t xml:space="preserve">; </w:t>
      </w:r>
      <w:hyperlink r:id="rId11019">
        <w:r>
          <w:rPr>
            <w:color w:val="0000EE"/>
            <w:u w:val="single"/>
          </w:rPr>
          <w:t>Hebreus 10.29–31</w:t>
        </w:r>
      </w:hyperlink>
      <w:r>
        <w:t xml:space="preserve">; e </w:t>
      </w:r>
      <w:hyperlink r:id="rId2151">
        <w:r>
          <w:rPr>
            <w:color w:val="0000EE"/>
            <w:u w:val="single"/>
          </w:rPr>
          <w:t>Apocalipse 20.11–15</w:t>
        </w:r>
      </w:hyperlink>
      <w:r>
        <w:t>.</w:t>
      </w:r>
    </w:p>
    <w:p>
      <w:pPr>
        <w:pStyle w:val="Heading3"/>
      </w:pPr>
      <w:r>
        <w:t>Termos bíblicos</w:t>
      </w:r>
    </w:p>
    <w:p>
      <w:r/>
      <w:r>
        <w:t>A palavra hebraica “Sheol” no AT é predominantemente usada para “o túmulo, o fosso, o lugar dos mortos” (</w:t>
      </w:r>
      <w:hyperlink r:id="rId10285">
        <w:r>
          <w:rPr>
            <w:color w:val="0000EE"/>
            <w:u w:val="single"/>
          </w:rPr>
          <w:t>Gn 37.35</w:t>
        </w:r>
      </w:hyperlink>
      <w:r>
        <w:t xml:space="preserve">; </w:t>
      </w:r>
      <w:hyperlink r:id="rId11020">
        <w:r>
          <w:rPr>
            <w:color w:val="0000EE"/>
            <w:u w:val="single"/>
          </w:rPr>
          <w:t>Jó 7.9</w:t>
        </w:r>
      </w:hyperlink>
      <w:r>
        <w:t xml:space="preserve">; </w:t>
      </w:r>
      <w:hyperlink r:id="rId6046">
        <w:r>
          <w:rPr>
            <w:color w:val="0000EE"/>
            <w:u w:val="single"/>
          </w:rPr>
          <w:t>14.13</w:t>
        </w:r>
      </w:hyperlink>
      <w:r>
        <w:t xml:space="preserve">; </w:t>
      </w:r>
      <w:hyperlink r:id="rId6061">
        <w:r>
          <w:rPr>
            <w:color w:val="0000EE"/>
            <w:u w:val="single"/>
          </w:rPr>
          <w:t>17.13–16</w:t>
        </w:r>
      </w:hyperlink>
      <w:r>
        <w:t xml:space="preserve">; </w:t>
      </w:r>
      <w:hyperlink r:id="rId11021">
        <w:r>
          <w:rPr>
            <w:color w:val="0000EE"/>
            <w:u w:val="single"/>
          </w:rPr>
          <w:t>Sl 6.5</w:t>
        </w:r>
      </w:hyperlink>
      <w:r>
        <w:t xml:space="preserve">; </w:t>
      </w:r>
      <w:hyperlink r:id="rId903">
        <w:r>
          <w:rPr>
            <w:color w:val="0000EE"/>
            <w:u w:val="single"/>
          </w:rPr>
          <w:t>16.10</w:t>
        </w:r>
      </w:hyperlink>
      <w:r>
        <w:t xml:space="preserve">; </w:t>
      </w:r>
      <w:hyperlink r:id="rId11022">
        <w:r>
          <w:rPr>
            <w:color w:val="0000EE"/>
            <w:u w:val="single"/>
          </w:rPr>
          <w:t>55.15</w:t>
        </w:r>
      </w:hyperlink>
      <w:r>
        <w:t xml:space="preserve">; </w:t>
      </w:r>
      <w:hyperlink r:id="rId11023">
        <w:r>
          <w:rPr>
            <w:color w:val="0000EE"/>
            <w:u w:val="single"/>
          </w:rPr>
          <w:t>Pv 9.18</w:t>
        </w:r>
      </w:hyperlink>
      <w:r>
        <w:t xml:space="preserve">; </w:t>
      </w:r>
      <w:hyperlink r:id="rId11024">
        <w:r>
          <w:rPr>
            <w:color w:val="0000EE"/>
            <w:u w:val="single"/>
          </w:rPr>
          <w:t>Ec 9.10</w:t>
        </w:r>
      </w:hyperlink>
      <w:r>
        <w:t xml:space="preserve">; </w:t>
      </w:r>
      <w:hyperlink r:id="rId1666">
        <w:r>
          <w:rPr>
            <w:color w:val="0000EE"/>
            <w:u w:val="single"/>
          </w:rPr>
          <w:t>Is 14.11</w:t>
        </w:r>
      </w:hyperlink>
      <w:r>
        <w:t xml:space="preserve">; </w:t>
      </w:r>
      <w:hyperlink r:id="rId11025">
        <w:r>
          <w:rPr>
            <w:color w:val="0000EE"/>
            <w:u w:val="single"/>
          </w:rPr>
          <w:t>38.10–12, 18</w:t>
        </w:r>
      </w:hyperlink>
      <w:r>
        <w:t>). Não parece haver uma distinção muito clara no AT entre o destino final dos bons e o maus. Todos eles vão igualmente para o túmulo, para o mundo abaixo, um mundo de tristeza, cansaço, trevas, decadência e esquecimento, onde se está longe de Deus (</w:t>
      </w:r>
      <w:hyperlink r:id="rId11026">
        <w:r>
          <w:rPr>
            <w:color w:val="0000EE"/>
            <w:u w:val="single"/>
          </w:rPr>
          <w:t>Jó 10.20–22</w:t>
        </w:r>
      </w:hyperlink>
      <w:r>
        <w:t xml:space="preserve">; </w:t>
      </w:r>
      <w:hyperlink r:id="rId11027">
        <w:r>
          <w:rPr>
            <w:color w:val="0000EE"/>
            <w:u w:val="single"/>
          </w:rPr>
          <w:t>Sl 88.3–6</w:t>
        </w:r>
      </w:hyperlink>
      <w:r>
        <w:t>), ainda acessível a ele (</w:t>
      </w:r>
      <w:hyperlink r:id="rId30">
        <w:r>
          <w:rPr>
            <w:color w:val="0000EE"/>
            <w:u w:val="single"/>
          </w:rPr>
          <w:t>Jó 26.6</w:t>
        </w:r>
      </w:hyperlink>
      <w:r>
        <w:t xml:space="preserve">; </w:t>
      </w:r>
      <w:hyperlink r:id="rId11028">
        <w:r>
          <w:rPr>
            <w:color w:val="0000EE"/>
            <w:u w:val="single"/>
          </w:rPr>
          <w:t>Sl 138.8</w:t>
        </w:r>
      </w:hyperlink>
      <w:r>
        <w:t xml:space="preserve">; </w:t>
      </w:r>
      <w:hyperlink r:id="rId11029">
        <w:r>
          <w:rPr>
            <w:color w:val="0000EE"/>
            <w:u w:val="single"/>
          </w:rPr>
          <w:t>Am 9.2</w:t>
        </w:r>
      </w:hyperlink>
      <w:r>
        <w:t>). É um lugar caracterizado pelo silêncio (</w:t>
      </w:r>
      <w:hyperlink r:id="rId7503">
        <w:r>
          <w:rPr>
            <w:color w:val="0000EE"/>
            <w:u w:val="single"/>
          </w:rPr>
          <w:t>Sl 94.17</w:t>
        </w:r>
      </w:hyperlink>
      <w:r>
        <w:t xml:space="preserve">; </w:t>
      </w:r>
      <w:hyperlink r:id="rId7504">
        <w:r>
          <w:rPr>
            <w:color w:val="0000EE"/>
            <w:u w:val="single"/>
          </w:rPr>
          <w:t>115.17</w:t>
        </w:r>
      </w:hyperlink>
      <w:r>
        <w:t>) e descanso (</w:t>
      </w:r>
      <w:hyperlink r:id="rId11030">
        <w:r>
          <w:rPr>
            <w:color w:val="0000EE"/>
            <w:u w:val="single"/>
          </w:rPr>
          <w:t>Jó 3.17</w:t>
        </w:r>
      </w:hyperlink>
      <w:r>
        <w:t>). Outros textos, no entanto, parecem sugerir algum aspecto de consciência, esperança e comunicação no Sheol (</w:t>
      </w:r>
      <w:hyperlink r:id="rId11031">
        <w:r>
          <w:rPr>
            <w:color w:val="0000EE"/>
            <w:u w:val="single"/>
          </w:rPr>
          <w:t>Jó 14.13–15</w:t>
        </w:r>
      </w:hyperlink>
      <w:r>
        <w:t xml:space="preserve">; </w:t>
      </w:r>
      <w:hyperlink r:id="rId11032">
        <w:r>
          <w:rPr>
            <w:color w:val="0000EE"/>
            <w:u w:val="single"/>
          </w:rPr>
          <w:t>19.25–27</w:t>
        </w:r>
      </w:hyperlink>
      <w:r>
        <w:t xml:space="preserve">; </w:t>
      </w:r>
      <w:hyperlink r:id="rId903">
        <w:r>
          <w:rPr>
            <w:color w:val="0000EE"/>
            <w:u w:val="single"/>
          </w:rPr>
          <w:t>Sl 16.10</w:t>
        </w:r>
      </w:hyperlink>
      <w:r>
        <w:t xml:space="preserve">; </w:t>
      </w:r>
      <w:hyperlink r:id="rId904">
        <w:r>
          <w:rPr>
            <w:color w:val="0000EE"/>
            <w:u w:val="single"/>
          </w:rPr>
          <w:t>49.15</w:t>
        </w:r>
      </w:hyperlink>
      <w:r>
        <w:t xml:space="preserve">; </w:t>
      </w:r>
      <w:hyperlink r:id="rId11033">
        <w:r>
          <w:rPr>
            <w:color w:val="0000EE"/>
            <w:u w:val="single"/>
          </w:rPr>
          <w:t>Is 14.9–10</w:t>
        </w:r>
      </w:hyperlink>
      <w:r>
        <w:t xml:space="preserve">; </w:t>
      </w:r>
      <w:hyperlink r:id="rId11034">
        <w:r>
          <w:rPr>
            <w:color w:val="0000EE"/>
            <w:u w:val="single"/>
          </w:rPr>
          <w:t>Ez 32.21</w:t>
        </w:r>
      </w:hyperlink>
      <w:r>
        <w:t>). Alguns textos parecem sugerir a ameaça do julgamento divino após a morte (</w:t>
      </w:r>
      <w:hyperlink r:id="rId11035">
        <w:r>
          <w:rPr>
            <w:color w:val="0000EE"/>
            <w:u w:val="single"/>
          </w:rPr>
          <w:t>Sl 9.17</w:t>
        </w:r>
      </w:hyperlink>
      <w:r>
        <w:t xml:space="preserve">; </w:t>
      </w:r>
      <w:hyperlink r:id="rId11022">
        <w:r>
          <w:rPr>
            <w:color w:val="0000EE"/>
            <w:u w:val="single"/>
          </w:rPr>
          <w:t>55.15</w:t>
        </w:r>
      </w:hyperlink>
      <w:r>
        <w:t>). Em geral, o Sheol era considerado com desalento e agouro (</w:t>
      </w:r>
      <w:hyperlink r:id="rId11036">
        <w:r>
          <w:rPr>
            <w:color w:val="0000EE"/>
            <w:u w:val="single"/>
          </w:rPr>
          <w:t>Dt 32.22</w:t>
        </w:r>
      </w:hyperlink>
      <w:r>
        <w:t xml:space="preserve">; </w:t>
      </w:r>
      <w:hyperlink r:id="rId11037">
        <w:r>
          <w:rPr>
            <w:color w:val="0000EE"/>
            <w:u w:val="single"/>
          </w:rPr>
          <w:t>Is 38.18</w:t>
        </w:r>
      </w:hyperlink>
      <w:r>
        <w:t>).</w:t>
      </w:r>
    </w:p>
    <w:p>
      <w:r/>
      <w:r>
        <w:t>Não foi até o tempo da literatura judaica pós-canônica, os escritos que foram desenvolvidos entre o fim do AT e o início dos tempos do NT, que distinções claras foram feitas entre os destinos finais dos justos e dos injustos. A ideia de divisões separadas dentro do Sheol para os bons e os maus foi desenvolvida. É inconfundível que havia no pensamento judaico, como refletido em todo o AT, uma crença em um futuro e existência continuada além da morte, por mais sombrio e indefinido que fosse o conceito.</w:t>
      </w:r>
    </w:p>
    <w:p>
      <w:r/>
      <w:r>
        <w:t>A palavra grega “hades” no NT é usada de forma muito semelhante a “Sheol” no AT. Foi, na verdade, usada pelos tradutores da Septuaginta, a versão grega do AT, para Sheol. Designava, em geral, o lugar ou estado dos mortos, do túmulo, ou da própria morte. Em algumas versões, a palavra não é traduzida, mas é transliterada simplesmente como “hades”. O NT nem sempre é muito explícito sobre o significado do hades, além do que acabou de ser descrito. O uso da palavra muitas vezes não revela muito sobre a condição específica dos mortos. Há algumas passagens, no entanto, que indicam um avanço distinto sobre o uso do Sheol no AT. Uma passagem do NT definitivamente descreve hades como um lugar de maldade e punição dos ímpios, e pode ser apropriadamente traduzida como “inferno” (</w:t>
      </w:r>
      <w:hyperlink r:id="rId10306">
        <w:r>
          <w:rPr>
            <w:color w:val="0000EE"/>
            <w:u w:val="single"/>
          </w:rPr>
          <w:t>Lc 16.23</w:t>
        </w:r>
      </w:hyperlink>
      <w:r>
        <w:t>). Em todos os outros casos, hades indica nada mais do que o lugar dos mortos.</w:t>
      </w:r>
    </w:p>
    <w:p>
      <w:r/>
      <w:r>
        <w:t>A palavra grega “Geena” é usada em vários textos do NT para designar o lugar ardente para a punição dos pecadores e muitas vezes é traduzida como “inferno” ou “o fogo do inferno” (</w:t>
      </w:r>
      <w:hyperlink r:id="rId9801">
        <w:r>
          <w:rPr>
            <w:color w:val="0000EE"/>
            <w:u w:val="single"/>
          </w:rPr>
          <w:t>Mt 5.22,29–30</w:t>
        </w:r>
      </w:hyperlink>
      <w:r>
        <w:t xml:space="preserve">; </w:t>
      </w:r>
      <w:hyperlink r:id="rId953">
        <w:r>
          <w:rPr>
            <w:color w:val="0000EE"/>
            <w:u w:val="single"/>
          </w:rPr>
          <w:t>10.28</w:t>
        </w:r>
      </w:hyperlink>
      <w:r>
        <w:t xml:space="preserve">; </w:t>
      </w:r>
      <w:hyperlink r:id="rId9802">
        <w:r>
          <w:rPr>
            <w:color w:val="0000EE"/>
            <w:u w:val="single"/>
          </w:rPr>
          <w:t>18.9</w:t>
        </w:r>
      </w:hyperlink>
      <w:r>
        <w:t xml:space="preserve">; </w:t>
      </w:r>
      <w:hyperlink r:id="rId9805">
        <w:r>
          <w:rPr>
            <w:color w:val="0000EE"/>
            <w:u w:val="single"/>
          </w:rPr>
          <w:t>23.15,33</w:t>
        </w:r>
      </w:hyperlink>
      <w:r>
        <w:t xml:space="preserve">; </w:t>
      </w:r>
      <w:hyperlink r:id="rId9803">
        <w:r>
          <w:rPr>
            <w:color w:val="0000EE"/>
            <w:u w:val="single"/>
          </w:rPr>
          <w:t>Mc 9.43,45,47</w:t>
        </w:r>
      </w:hyperlink>
      <w:r>
        <w:t xml:space="preserve">; </w:t>
      </w:r>
      <w:hyperlink r:id="rId11038">
        <w:r>
          <w:rPr>
            <w:color w:val="0000EE"/>
            <w:u w:val="single"/>
          </w:rPr>
          <w:t>Tg 3.6</w:t>
        </w:r>
      </w:hyperlink>
      <w:r>
        <w:t>). Geralmente é usada em conexão com o julgamento final e muitas vezes tem a sugestão de que a punição mencionada é eterna. Geena é derivada por transliteração do hebraico do AT “vale de Hinom” ou o “vale do filho de Hinom”, um desfiladeiro no lado sul de Jerusalém. Este vale era o centro da adoração idólatra em que as crianças eram queimadas pelo fogo como uma oferta ao deus pagão Moloque (</w:t>
      </w:r>
      <w:hyperlink r:id="rId9791">
        <w:r>
          <w:rPr>
            <w:color w:val="0000EE"/>
            <w:u w:val="single"/>
          </w:rPr>
          <w:t>2Cr 28.3</w:t>
        </w:r>
      </w:hyperlink>
      <w:r>
        <w:t xml:space="preserve">; </w:t>
      </w:r>
      <w:hyperlink r:id="rId6678">
        <w:r>
          <w:rPr>
            <w:color w:val="0000EE"/>
            <w:u w:val="single"/>
          </w:rPr>
          <w:t>33.6</w:t>
        </w:r>
      </w:hyperlink>
      <w:r>
        <w:t>). No tempo de Josias, tornou-se um lugar de abominação, poluído pelos ossos e lixo de homens mortos (</w:t>
      </w:r>
      <w:hyperlink r:id="rId11039">
        <w:r>
          <w:rPr>
            <w:color w:val="0000EE"/>
            <w:u w:val="single"/>
          </w:rPr>
          <w:t>2Rs 23.10–14</w:t>
        </w:r>
      </w:hyperlink>
      <w:r>
        <w:t>) e pelo entulho e sujeira de Jerusalém jogados lá. Um fogo queimava continuamente neste vale. Assim, tornou-se um símbolo dos fogos intermináveis onde os perdidos são consumidos em tormento. Era um símbolo de julgamento a ser imposto aos idólatras e desobedientes (</w:t>
      </w:r>
      <w:hyperlink r:id="rId11040">
        <w:r>
          <w:rPr>
            <w:color w:val="0000EE"/>
            <w:u w:val="single"/>
          </w:rPr>
          <w:t>Jr 7.31–34</w:t>
        </w:r>
      </w:hyperlink>
      <w:r>
        <w:t xml:space="preserve">; </w:t>
      </w:r>
      <w:hyperlink r:id="rId9793">
        <w:r>
          <w:rPr>
            <w:color w:val="0000EE"/>
            <w:u w:val="single"/>
          </w:rPr>
          <w:t>32.35</w:t>
        </w:r>
      </w:hyperlink>
      <w:r>
        <w:t>).</w:t>
      </w:r>
    </w:p>
    <w:p>
      <w:r/>
      <w:r>
        <w:t>Outra palavra grega usada para designar inferno ou “as regiões inferiores” é “Tártaro” (</w:t>
      </w:r>
      <w:hyperlink r:id="rId110">
        <w:r>
          <w:rPr>
            <w:color w:val="0000EE"/>
            <w:u w:val="single"/>
          </w:rPr>
          <w:t>2Pe 2.4</w:t>
        </w:r>
      </w:hyperlink>
      <w:r>
        <w:t>), uma palavra clássica para o lugar de punição eterna. O apóstolo Pedro a usa para os anjos caídos que foram lançados no inferno, “os jogou no inferno e os deixou presos com correntes na escuridão, esperando o Dia do Julgamento” (NTLH).</w:t>
      </w:r>
    </w:p>
    <w:p>
      <w:r/>
      <w:r>
        <w:t>Como observado acima, há, além desses termos, as frases muito explícitas e vívidas que ensinam claramente a doutrina do inferno, como desenvolvida no início deste artigo. A doutrina bíblica é determinada muito mais por essas frases decisivas do que pelos termos um pouco indecisos, mas frequentemente usados “Sheol” e “hades”.</w:t>
      </w:r>
    </w:p>
    <w:p>
      <w:pPr>
        <w:pStyle w:val="Heading3"/>
      </w:pPr>
      <w:r>
        <w:t>A justiça da punição eterna</w:t>
      </w:r>
    </w:p>
    <w:p>
      <w:r/>
      <w:r>
        <w:t>É difícil para nós entendermos o julgamento justo de um Deus santo que, por um lado, odeia todo o mal, mas, por outro lado, ama os malfeitores o suficiente para sacrificar seu único Filho por sua salvação do pecado. A ira divina é a reação necessária de um Deus santo que odeia tudo o que é contrário à sua natureza justa. Quando a única solução para o pecado humano é rejeitada e todos os apelos de um Deus amoroso e buscador para a reconciliação dos pecadores rebeldes são rejeitados, não há outro caminho de ação que o próprio Deus possa seguir, senão entregar o pecador para seu destino autoescolhido. A punição pelo pecado é então a resposta inevitável e inescapável da santidade ao que é moralmente oposto, e deve continuar enquanto a condição pecaminosa que a exige continuar. Não há nenhuma indicação em lugar algum nas Escrituras de que os pecadores perdidos sejam capazes de arrependimento e fé. Se nesta vida eles não se afastaram do pecado e receberam a Cristo como Salvador com todas as circunstâncias e oportunidades favoráveis que lhes foram dadas na terra, não é razoável pensar que eles o farão na vida porvir. A punição não pode chegar a um fim até que a culpa e o pecado cheguem ao fim. Quando o pecador em última análise resiste e rejeita a obra do Espírito Santo pelo qual ele está convencido de pecado, não resta mais possibilidade de arrependimento ou salvação. Ele cometeu um pecado eterno (</w:t>
      </w:r>
      <w:hyperlink r:id="rId11041">
        <w:r>
          <w:rPr>
            <w:color w:val="0000EE"/>
            <w:u w:val="single"/>
          </w:rPr>
          <w:t>Mc 3.29</w:t>
        </w:r>
      </w:hyperlink>
      <w:r>
        <w:t xml:space="preserve">; </w:t>
      </w:r>
      <w:hyperlink r:id="rId11042">
        <w:r>
          <w:rPr>
            <w:color w:val="0000EE"/>
            <w:u w:val="single"/>
          </w:rPr>
          <w:t>Ap 22.11</w:t>
        </w:r>
      </w:hyperlink>
      <w:r>
        <w:t>), que merece a punição eterna.</w:t>
      </w:r>
    </w:p>
    <w:p>
      <w:r/>
      <w:r>
        <w:t>A impossibilidade de fé e arrependimento no inferno é vista também da realidade trágica da vontade depravada, condicionada e determinada por sua repetida rebelião contra Deus. O pecado se reproduz na vontade, e o caráter tende a se tornar irrevogavelmente fixo. Deus responde ao pecado sem fim com a contraparte necessária da punição sem fim.</w:t>
      </w:r>
    </w:p>
    <w:p>
      <w:r/>
      <w:r>
        <w:t>Se a pergunta for feita, como um Deus amoroso pode enviar pessoas para um inferno eterno? deve ser respondido que Deus não escolhe este destino para as pessoas; elas o escolhem livremente para si mesmas. Deus simplesmente concorda em seu caminho autoescolhido e revela as consequências completas de sua escolha maligna. Deve-se sempre ser lembrado que Deus não é apenas amoroso; ele também é santo e justo. Deve haver alguma consideração adequada com a justiça no universo, onde uma revolta contra Deus trouxe consequências malignas de proporções enormes.</w:t>
      </w:r>
    </w:p>
    <w:p>
      <w:r/>
      <w:r>
        <w:t>Embora a duração da punição no inferno seja eterna para todos os que escolheram esse destino para si, há graus de punição proporcionais aos graus de iniquidade de cada indivíduo. Apenas Deus é capaz de determinar quais são esses graus, e ele atribuirá as consequências com justiça perfeita de acordo com a responsabilidade de cada um. Evidências de tais gradações na punição futura são encontradas nas Escrituras (</w:t>
      </w:r>
      <w:hyperlink r:id="rId8712">
        <w:r>
          <w:rPr>
            <w:color w:val="0000EE"/>
            <w:u w:val="single"/>
          </w:rPr>
          <w:t>Mt 11.20–24</w:t>
        </w:r>
      </w:hyperlink>
      <w:r>
        <w:t xml:space="preserve">; </w:t>
      </w:r>
      <w:hyperlink r:id="rId11043">
        <w:r>
          <w:rPr>
            <w:color w:val="0000EE"/>
            <w:u w:val="single"/>
          </w:rPr>
          <w:t>Lc 12.47–48</w:t>
        </w:r>
      </w:hyperlink>
      <w:r>
        <w:t xml:space="preserve">; </w:t>
      </w:r>
      <w:hyperlink r:id="rId11044">
        <w:r>
          <w:rPr>
            <w:color w:val="0000EE"/>
            <w:u w:val="single"/>
          </w:rPr>
          <w:t>Ap 20.12–13</w:t>
        </w:r>
      </w:hyperlink>
      <w:r>
        <w:t xml:space="preserve">; cf. </w:t>
      </w:r>
      <w:hyperlink r:id="rId11045">
        <w:r>
          <w:rPr>
            <w:color w:val="0000EE"/>
            <w:u w:val="single"/>
          </w:rPr>
          <w:t>Ez 16.48–61</w:t>
        </w:r>
      </w:hyperlink>
      <w:r>
        <w:t>). Uma comparação óbvia é feita nesses textos entre as diferentes intensidades de punição que estão envolvidas nos privilégios, conhecimento e oportunidades contrastantes.</w:t>
      </w:r>
    </w:p>
    <w:p>
      <w:r/>
      <w:r>
        <w:t>De tudo o que foi dito, deveria ser óbvio que uma variedade de visões não-bíblicas deve ser descartada, por mais atraentes que elas possam ser apresentadas por seus defensores e por mais populares que elas possam ser de tempos em tempos. Entre essas visões estão as doutrinas errôneas, mas às vezes persuasivas, do universalismo, aniquilacionismo e a segunda graça. O universalismo promove o conceito de que Deus salvará a todos no final. O aniquilacionismo ensina que o inferno não é um lugar de sofrimento consciente, mas de extermínio final. E a segunda graça é uma noção de que as pessoas podem ser libertas do inferno. Deve-se sempre ser lembrado que a Bíblia é nossa regra de fé para a doutrina do inferno, por mais difícil que a doutrina possa parecer por razão natural ou por sentimento humano. As Escrituras não deixam dúvida sobre a natureza terrível e a duração eterna do inferno. A rejeição ou negligência desta doutrina terá efeitos terríveis sobre a missão da igreja.</w:t>
      </w:r>
    </w:p>
    <w:p>
      <w:r/>
      <w:r>
        <w:rPr>
          <w:i/>
        </w:rPr>
        <w:t>Veja também</w:t>
      </w:r>
      <w:r>
        <w:t xml:space="preserve"> </w:t>
      </w:r>
      <w:r>
        <w:t>“Seio de Abraão”</w:t>
      </w:r>
      <w:r>
        <w:t xml:space="preserve">; </w:t>
      </w:r>
      <w:r>
        <w:t>Morte, Lugar de</w:t>
      </w:r>
      <w:r>
        <w:t xml:space="preserve">; </w:t>
      </w:r>
      <w:r>
        <w:t>Morte</w:t>
      </w:r>
      <w:r>
        <w:t xml:space="preserve">; </w:t>
      </w:r>
      <w:r>
        <w:t>Geena</w:t>
      </w:r>
      <w:r>
        <w:t xml:space="preserve">; </w:t>
      </w:r>
      <w:r>
        <w:t>Hades</w:t>
      </w:r>
      <w:r>
        <w:t xml:space="preserve">; </w:t>
      </w:r>
      <w:r>
        <w:t>Estado intermediário</w:t>
      </w:r>
      <w:r>
        <w:t xml:space="preserve">; </w:t>
      </w:r>
      <w:r>
        <w:t>Sheol</w:t>
      </w:r>
      <w:r>
        <w:t xml:space="preserve">; </w:t>
      </w:r>
      <w:r>
        <w:t>Ira de Deus</w:t>
      </w:r>
      <w:r>
        <w:t>.</w:t>
      </w:r>
      <w:r/>
      <w:r/>
    </w:p>
    <w:p>
      <w:r/>
    </w:p>
    <w:p>
      <w:pPr>
        <w:pStyle w:val="Heading2"/>
      </w:pPr>
      <w:r>
        <w:t>Inscrição de Gálio</w:t>
      </w:r>
      <w:r/>
    </w:p>
    <w:p>
      <w:r/>
      <w:r>
        <w:t xml:space="preserve">Uma inscrição grega datada encontrada em Delfos, Grécia, identifica Gálio como procônsul (governador) e estabelece a época da primeira visita de Paulo a Corinto (cp. </w:t>
      </w:r>
      <w:hyperlink r:id="rId2862">
        <w:r>
          <w:rPr>
            <w:color w:val="0000EE"/>
            <w:u w:val="single"/>
          </w:rPr>
          <w:t>At 18.12–17</w:t>
        </w:r>
      </w:hyperlink>
      <w:r>
        <w:t>).</w:t>
      </w:r>
    </w:p>
    <w:p>
      <w:r/>
      <w:r>
        <w:rPr>
          <w:i/>
        </w:rPr>
        <w:t>Veja</w:t>
      </w:r>
      <w:r>
        <w:t xml:space="preserve"> </w:t>
      </w:r>
      <w:r>
        <w:t>Cronologia da Bíblia (Novo Testamento)</w:t>
      </w:r>
      <w:r>
        <w:t xml:space="preserve">; </w:t>
      </w:r>
      <w:r>
        <w:t>Inscrições</w:t>
      </w:r>
      <w:r>
        <w:t>.</w:t>
      </w:r>
      <w:r/>
      <w:r/>
    </w:p>
    <w:p>
      <w:r/>
    </w:p>
    <w:p>
      <w:pPr>
        <w:pStyle w:val="Heading2"/>
      </w:pPr>
      <w:r>
        <w:t>Inscrições</w:t>
      </w:r>
      <w:r/>
    </w:p>
    <w:p>
      <w:r/>
      <w:r>
        <w:t>Termo usado para se referir à escrita no mundo antigo, feita em materiais de natureza permanente, como pedra ou argila, em vez de substâncias comuns e impermanentes, como papiro ou pergaminho.</w:t>
      </w:r>
    </w:p>
    <w:p>
      <w:r/>
      <w:r>
        <w:t>Resumo</w:t>
      </w:r>
    </w:p>
    <w:p>
      <w:r/>
      <w:r>
        <w:t>• Apresentação.</w:t>
      </w:r>
    </w:p>
    <w:p>
      <w:r/>
      <w:r>
        <w:t>• Inscrições em monumentos.</w:t>
      </w:r>
    </w:p>
    <w:p>
      <w:r/>
      <w:r>
        <w:t>• Registros históricos.</w:t>
      </w:r>
    </w:p>
    <w:p>
      <w:r/>
      <w:r>
        <w:t>• Comunicados oficiais.</w:t>
      </w:r>
    </w:p>
    <w:p>
      <w:r/>
      <w:r>
        <w:t>• Dedicatórias.</w:t>
      </w:r>
    </w:p>
    <w:p>
      <w:r/>
      <w:r>
        <w:t>• Correspondência.</w:t>
      </w:r>
    </w:p>
    <w:p>
      <w:r/>
      <w:r>
        <w:t>• Decorações de piso com mosaico.</w:t>
      </w:r>
    </w:p>
    <w:p>
      <w:pPr>
        <w:pStyle w:val="Heading3"/>
      </w:pPr>
      <w:r>
        <w:t>Introdução</w:t>
      </w:r>
    </w:p>
    <w:p>
      <w:r/>
      <w:r>
        <w:t>Há referências ocasionais a inscrições na Bíblia; p. ex. os Dez Mandamentos foram inscritos em pedra (</w:t>
      </w:r>
      <w:hyperlink r:id="rId835">
        <w:r>
          <w:rPr>
            <w:color w:val="0000EE"/>
            <w:u w:val="single"/>
          </w:rPr>
          <w:t>Êx 31.18</w:t>
        </w:r>
      </w:hyperlink>
      <w:r>
        <w:t>) e dados a Moisés, e mais tarde escritos por Josué em pedra e colocados no monte Ebal perto de Siquém (</w:t>
      </w:r>
      <w:hyperlink r:id="rId11046">
        <w:r>
          <w:rPr>
            <w:color w:val="0000EE"/>
            <w:u w:val="single"/>
          </w:rPr>
          <w:t>Js 8.32</w:t>
        </w:r>
      </w:hyperlink>
      <w:r>
        <w:t>). Nas escavações em Siquém, G. E. Wright encontrou uma grande pedra preparada para receber uma inscrição que ele datou da época de Josué com base em critérios estratigráficos. Ela ainda pode ser vista no local. Uma mensagem da mão de Deus para o rei babilônico Belsazar foi inscrita nas paredes de seu palácio (</w:t>
      </w:r>
      <w:hyperlink r:id="rId11047">
        <w:r>
          <w:rPr>
            <w:color w:val="0000EE"/>
            <w:u w:val="single"/>
          </w:rPr>
          <w:t>Dn 5.5,24</w:t>
        </w:r>
      </w:hyperlink>
      <w:r>
        <w:t>). Paulo observou um altar com a inscrição "ao deus desconhecido” no mercado de Atenas (</w:t>
      </w:r>
      <w:hyperlink r:id="rId11048">
        <w:r>
          <w:rPr>
            <w:color w:val="0000EE"/>
            <w:u w:val="single"/>
          </w:rPr>
          <w:t>At 17.23</w:t>
        </w:r>
      </w:hyperlink>
      <w:r>
        <w:t>). O livro de Apocalipse fala dos nomes das 12 tribos dos filhos de Israel sendo inscritos nos portões da cidade celestial (</w:t>
      </w:r>
      <w:hyperlink r:id="rId11049">
        <w:r>
          <w:rPr>
            <w:color w:val="0000EE"/>
            <w:u w:val="single"/>
          </w:rPr>
          <w:t>Ap 21.12</w:t>
        </w:r>
      </w:hyperlink>
      <w:r>
        <w:t>).</w:t>
      </w:r>
    </w:p>
    <w:p>
      <w:r/>
      <w:r>
        <w:t>Inscrições no mundo antigo podem ser encontradas em quase qualquer idioma e de qualquer período da história: egípcio, babilônico, persa, grego, latim, hebraico, aramaico, nabateu, moabita, e assim por diante. Já foi popular argumentar que Moisés não poderia ter escrito o Pentateuco porque a escrita não havia sido inventada tão cedo. Inscrições encontradas nas minas de turquesa de Serabit el-Khadim, datadas do século XV a.C., refutaram essa alegação. Além disso, pode-se notar que tábuas de argila encontradas em Ras Shamra por Claude Schaeffer, datadas de cerca de 1400 a.C., demonstram um considerável período de atividade literária, assim como as tábuas em Ebla de aproximadamente 1.000 anos antes.</w:t>
      </w:r>
    </w:p>
    <w:p>
      <w:r/>
      <w:r>
        <w:t>Inscrições podem ser encontradas em quase qualquer posição ou lugar, mas os locais mais comuns são nos pisos de sinagogas, edifícios de igrejas e mesquitas; os pavimentos de fóruns; as paredes de edifícios públicos; pedras e estátuas dedicatórias; estelas e placas monumentais; túmulos e sarcófagos; e marcos romanos. Uma lista exaustiva é impossível, mas algumas amostras representativas ilustrarão os vários tipos de material inscricional existentes.</w:t>
      </w:r>
    </w:p>
    <w:p>
      <w:pPr>
        <w:pStyle w:val="Heading3"/>
      </w:pPr>
      <w:r>
        <w:t>Inscrições em monumentos</w:t>
      </w:r>
    </w:p>
    <w:p>
      <w:r/>
      <w:r>
        <w:t>O faraó egípcio Merneptá celebrou sua vitória sobre os Povos do Mar no século XIII a.C. ao inscrever uma estela de granito preto com o registro de sua vitória. Ela contém a mais antiga referência conhecida a Israel fora da terra da Palestina: “Israel jaz desolada”.</w:t>
      </w:r>
    </w:p>
    <w:p>
      <w:r/>
      <w:r>
        <w:t>O rei israelita Onri (</w:t>
      </w:r>
      <w:hyperlink r:id="rId11050">
        <w:r>
          <w:rPr>
            <w:color w:val="0000EE"/>
            <w:u w:val="single"/>
          </w:rPr>
          <w:t>1Rs 16.16–30</w:t>
        </w:r>
      </w:hyperlink>
      <w:r>
        <w:t>) é mencionado em um texto esculpido na língua moabita em uma pedra datada do final do reinado do rei moabita Mesa, por volta de 830 a.C. Foi encontrada em Diban (Dibom no AT) em 1868 e contém um registro da bem-sucedida rebelião do rei contra a opressão israelita.</w:t>
      </w:r>
    </w:p>
    <w:p>
      <w:r/>
      <w:r>
        <w:t>Outra inscrição monumental foi encontrada na Pérsia, esculpida na encosta íngreme do Monte Behistun. É um registro trilíngue (Persa Antigo, Elamita, Acádio) das façanhas de Dario I, fornecendo a chave para desvendar o mistério da escrita cuneiforme, na qual várias dessas línguas antigas foram escritas.</w:t>
      </w:r>
    </w:p>
    <w:p>
      <w:r/>
      <w:r>
        <w:t>O rei assírio Salmanaser III deixou um registro de suas primeiras seis campanhas de conquista inscrito em um monólito encontrado em 1861 em Curque, no rio Tigre. A pedra é esculpida na frente e atrás em cuneiforme, que está escrito sobre um baixo-relevo do rei. Este mesmo rei deixou um obelisco de pedra preta, com dois metros de altura, retratando seus triunfos sobre vários outros reis, entre os quais está Jeú, rei de Israel, retratado no segundo painel de cima para baixo, prostrando-se diante do monarca assírio. Esta é a imagem mais antiga disponível de um israelita e a única representação conhecida de um rei israelita por um contemporâneo. A inscrição acima da imagem diz: “O tributo de Jeú, filho [descendente] de Onri ...”. Esta inscrição é datada de meados do século IX a.C.</w:t>
      </w:r>
    </w:p>
    <w:p>
      <w:pPr>
        <w:pStyle w:val="Heading3"/>
      </w:pPr>
      <w:r>
        <w:t>Registros históricos</w:t>
      </w:r>
    </w:p>
    <w:p>
      <w:r/>
      <w:r>
        <w:t xml:space="preserve">Frequentemente na região da Mesopotâmia, reis antigos registravam eventos importantes ou proclamações em pedra ou argila. Um exemplo notável é o prisma de argila contendo a edição final dos Anais de Senaqueribe, datada de 691 a.C. É hexagonal, com 15 polegadas (38,1 centímetros) de altura e 6 polegadas (15,2 centímetros) de largura, e escrito em todas as faces em escrita cuneiforme. A inscrição fala de “Ezequias, o Judeu (rei de Judá), que não se submeteu ao meu jugo... Como um pássaro enjaulado, eu o tranquei em Jerusalém, sua cidade real” (cf. </w:t>
      </w:r>
      <w:hyperlink r:id="rId5046">
        <w:r>
          <w:rPr>
            <w:color w:val="0000EE"/>
            <w:u w:val="single"/>
          </w:rPr>
          <w:t>2Rs 18</w:t>
        </w:r>
      </w:hyperlink>
      <w:r>
        <w:t xml:space="preserve">; </w:t>
      </w:r>
      <w:hyperlink r:id="rId8867">
        <w:r>
          <w:rPr>
            <w:color w:val="0000EE"/>
            <w:u w:val="single"/>
          </w:rPr>
          <w:t>Is 36–39</w:t>
        </w:r>
      </w:hyperlink>
      <w:r>
        <w:t>).</w:t>
      </w:r>
    </w:p>
    <w:p>
      <w:r/>
      <w:r>
        <w:t xml:space="preserve">Embora nenhum dos anais comparáveis aos produzidos pelos reis assírios tenha sobrevivido entre os babilônios, temos algumas crônicas escritas em tabuletas de argila cobrindo os anos de 626 a.C. até a queda de Babilônia para Ciro em 539. Uma delas, a Crônica Babilônica, fornece a data exata de 16 de março de 597 a.C. para a queda de Jerusalém para o rei babilônico Nabucodonosor (cf. </w:t>
      </w:r>
      <w:hyperlink r:id="rId8901">
        <w:r>
          <w:rPr>
            <w:color w:val="0000EE"/>
            <w:u w:val="single"/>
          </w:rPr>
          <w:t>2Rs 24.10–17</w:t>
        </w:r>
      </w:hyperlink>
      <w:r>
        <w:t>).</w:t>
      </w:r>
    </w:p>
    <w:p>
      <w:r/>
      <w:r>
        <w:t>A própria Babilônia caiu para Ciro, o Medo, rei da Pérsia, em 539. O evento não é apenas mencionado na Bíblia (</w:t>
      </w:r>
      <w:hyperlink r:id="rId9087">
        <w:r>
          <w:rPr>
            <w:color w:val="0000EE"/>
            <w:u w:val="single"/>
          </w:rPr>
          <w:t>Ed 1.1–3</w:t>
        </w:r>
      </w:hyperlink>
      <w:r>
        <w:t>), mas também é descrito em um cilindro de argila em forma de barril com nove polegadas (22,9 centímetros) de comprimento, escrito em escrita cuneiforme, durante o reinado de Ciro. Refere-se à sua política que permitia que nações cativas reconstruíssem suas cidades e templos. Isso explica seu incentivo e ajuda financeira aos judeus para retornarem a Jerusalém e reconstruírem o templo de Salomão que Nabucodonosor havia destruído (</w:t>
      </w:r>
      <w:hyperlink r:id="rId11051">
        <w:r>
          <w:rPr>
            <w:color w:val="0000EE"/>
            <w:u w:val="single"/>
          </w:rPr>
          <w:t>Ed 1.2–4</w:t>
        </w:r>
      </w:hyperlink>
      <w:r>
        <w:t>).</w:t>
      </w:r>
    </w:p>
    <w:p>
      <w:r/>
      <w:r>
        <w:t>Os faraós egípcios costumavam registrar suas façanhas em escrita hieroglífica nas paredes de templos e tumbas. Esses registros geralmente eram entalhados na pedra e depois pintados. Um dos mais interessantes é a descrição de Sisaque sobre sua invasão à terra de Israel, entalhada na parede sul de um pátio do templo de Amon em Carnaque. A inclusão de Megido, assim como outras cidades em Israel, entre as mais de 75 cidades cujos nomes ainda podem ser lidos, acrescenta interesse histórico ao relato bíblico da invasão e conquista de Sisaque de Jerusalém e das “cidades fortificadas de Judá” (</w:t>
      </w:r>
      <w:hyperlink r:id="rId7120">
        <w:r>
          <w:rPr>
            <w:color w:val="0000EE"/>
            <w:u w:val="single"/>
          </w:rPr>
          <w:t>1Rs 14.25–26</w:t>
        </w:r>
      </w:hyperlink>
      <w:r>
        <w:t xml:space="preserve">; </w:t>
      </w:r>
      <w:hyperlink r:id="rId11052">
        <w:r>
          <w:rPr>
            <w:color w:val="0000EE"/>
            <w:u w:val="single"/>
          </w:rPr>
          <w:t>2Cr 12.2–10</w:t>
        </w:r>
      </w:hyperlink>
      <w:r>
        <w:t>). Descobertas arqueológicas confirmam uma destruição e queima da cidade nessa época.</w:t>
      </w:r>
    </w:p>
    <w:p>
      <w:pPr>
        <w:pStyle w:val="Heading3"/>
      </w:pPr>
      <w:r>
        <w:t>Anúncios oficiais</w:t>
      </w:r>
    </w:p>
    <w:p>
      <w:r/>
      <w:r>
        <w:t xml:space="preserve">Quando um monarca antigo ou funcionário público queria publicar um anúncio com algum grau de permanência, ele era esculpido em pedra ou colocado em mosaico. Uma inscrição em uma placa de mármore datada do reinado de Cláudio (d.C 41–54) foi encontrada em 1878, originária da cidade de Nazaré. Ela contém um aviso contra o roubo de túmulos ou qualquer outra profanação de cemitérios. A penalidade para tal violação era a morte. A inscrição pode refletir alguns dos problemas que Cláudio teve em Roma em relação à pessoa de Cristo (Suetônio, </w:t>
      </w:r>
      <w:r>
        <w:rPr>
          <w:i/>
        </w:rPr>
        <w:t>Cláudio</w:t>
      </w:r>
      <w:r>
        <w:t xml:space="preserve"> 25) que levaram à expulsão dos judeus da cidade capital (</w:t>
      </w:r>
      <w:hyperlink r:id="rId5935">
        <w:r>
          <w:rPr>
            <w:color w:val="0000EE"/>
            <w:u w:val="single"/>
          </w:rPr>
          <w:t>At 18</w:t>
        </w:r>
      </w:hyperlink>
      <w:r>
        <w:t>). A questão deve ter sido a ressurreição de Cristo, conforme proclamado em Roma.</w:t>
      </w:r>
    </w:p>
    <w:p>
      <w:r/>
      <w:r>
        <w:t>Anúncios foram colocados até mesmo em templos. Josefo mencionou um pequeno muro ao redor do templo judaico em Jerusalém que continha placas de pedra em intervalos regulares, avisando em grego e latim aos gentios que entravam no templo (</w:t>
      </w:r>
      <w:r>
        <w:rPr>
          <w:i/>
        </w:rPr>
        <w:t>Guerra</w:t>
      </w:r>
      <w:r>
        <w:t xml:space="preserve"> 5.193–34; 6.125–26; </w:t>
      </w:r>
      <w:r>
        <w:rPr>
          <w:i/>
        </w:rPr>
        <w:t>Antiguidades</w:t>
      </w:r>
      <w:r>
        <w:t xml:space="preserve"> 15.417). Dois exemplos fragmentários foram encontrados. Um descoberto por Clermont-Ganneau em 1871 diz: “Nenhum estrangeiro deve entrar dentro da balaustrada e do aterro ao redor do santuário. Quem for pego será responsável por sua própria morte que se seguirá”. Os romanos permitiam que os judeus executassem qualquer pessoa, até mesmo um romano, que ultrapassasse essa barreira (</w:t>
      </w:r>
      <w:r>
        <w:rPr>
          <w:i/>
        </w:rPr>
        <w:t>Guerra</w:t>
      </w:r>
      <w:r>
        <w:t xml:space="preserve"> 6.126).</w:t>
      </w:r>
    </w:p>
    <w:p>
      <w:r/>
      <w:r>
        <w:t>Uma inscrição importante encomendada pelo Imperador Cláudio foi encontrada no início do século 20 em Delfos, Grécia. Ela foi escrita em grego e menciona Gálio como procônsul, com uma data que pode ser estabelecida como 51–52 d.C. para seu mandato. Este Gálio é o procônsul diante de quem Paulo foi levado pelos judeus de Corinto (</w:t>
      </w:r>
      <w:hyperlink r:id="rId2862">
        <w:r>
          <w:rPr>
            <w:color w:val="0000EE"/>
            <w:u w:val="single"/>
          </w:rPr>
          <w:t>At 18.12–17</w:t>
        </w:r>
      </w:hyperlink>
      <w:r>
        <w:t>). Portanto, é extremamente importante para estabelecer a data da estadia de 18 meses de Paulo em Corinto, sendo uma data crucial para a cronologia paulina em geral. A inscrição é um anúncio imperial aos cidadãos de Delfos sobre a necessidade de aumentar a população da cidade com pessoas eminentes.</w:t>
      </w:r>
    </w:p>
    <w:p>
      <w:r/>
      <w:r>
        <w:t>O nome Pôncio Pilatos apareceu em uma inscrição em latim esculpida em uma pedra encontrada no teatro romano em Cesareia Marítima, na costa de Israel. Refere-se a ele, em palavras parcialmente danificadas, como prefeito e contém o nome Tiberium, que designa uma estrutura construída em homenagem ao Imperador Tibério.</w:t>
      </w:r>
    </w:p>
    <w:p>
      <w:pPr>
        <w:pStyle w:val="Heading3"/>
      </w:pPr>
      <w:r>
        <w:t>Dedicatórias</w:t>
      </w:r>
    </w:p>
    <w:p>
      <w:r/>
      <w:r>
        <w:t>Inscrições eram comumente colocadas em paredes ou pisos de edifícios ou anexadas a alguma outra estrutura, dedicando o edifício concluído. Uma inscrição foi gravada na parede de um longo túnel construído pelo rei judeu Ezequias em Jerusalém quando o túnel foi concluído (</w:t>
      </w:r>
      <w:hyperlink r:id="rId2782">
        <w:r>
          <w:rPr>
            <w:color w:val="0000EE"/>
            <w:u w:val="single"/>
          </w:rPr>
          <w:t>2Rs 20.20</w:t>
        </w:r>
      </w:hyperlink>
      <w:r>
        <w:t>). Está em hebraico e agora está no museu de Istambul. Uma das inscrições mais antigas que temos nessa língua descreve a construção do túnel de Siloé.</w:t>
      </w:r>
    </w:p>
    <w:p>
      <w:r/>
      <w:r>
        <w:t xml:space="preserve">Na cidade de Corinto, na Grécia, há uma inscrição dedicatória gravada no pavimento de uma praça no lado norte do grande teatro. A inscrição latina abreviada diz: </w:t>
      </w:r>
      <w:r>
        <w:rPr>
          <w:i/>
        </w:rPr>
        <w:t>Erasto pro aedilitate sua pecunia stravit</w:t>
      </w:r>
      <w:r>
        <w:t xml:space="preserve"> (“Erasto, em troca de sua edilidade, pavimentou à sua própria custa”). O bronze há muito foi removido das letras profundamente gravadas no calcário cinza Acrocoríntio. Este é provavelmente o mesmo “Erasto, o tesoureiro da cidade” mencionado por Paulo em </w:t>
      </w:r>
      <w:hyperlink r:id="rId4126">
        <w:r>
          <w:rPr>
            <w:color w:val="0000EE"/>
            <w:u w:val="single"/>
          </w:rPr>
          <w:t>Rm 16.23</w:t>
        </w:r>
      </w:hyperlink>
      <w:r>
        <w:t>. Uma inscrição semelhante da ágora coríntia dos dias de Paulo diz: “Gnaeus Babbius Philinus, edil e pontífice, mandou erguer este monumento à sua própria custa, e o aprovou em sua capacidade oficial como duúnviro”.</w:t>
      </w:r>
    </w:p>
    <w:p>
      <w:r/>
      <w:r>
        <w:t>Uma inscrição dedicatória monumental em grego foi encontrada em Jerusalém durante escavações em 1913–14, que esteve na parede de uma sinagoga do século I d.C. no Monte Ofel. Ela se refere a um Teódoto, filho de um dirigente da sinagoga chamado Vettenos, que construiu a sinagoga. Como o nome Vettenos é romano, é possível que Teódoto fosse um escravo judeu que foi libertado e recebeu o nome romano de seu mestre. Se for assim, esta inscrição pode ter estado pendurada na "sinagoga dos libertos" em Jerusalém (</w:t>
      </w:r>
      <w:hyperlink r:id="rId743">
        <w:r>
          <w:rPr>
            <w:color w:val="0000EE"/>
            <w:u w:val="single"/>
          </w:rPr>
          <w:t>At 6.9</w:t>
        </w:r>
      </w:hyperlink>
      <w:r>
        <w:t>).</w:t>
      </w:r>
    </w:p>
    <w:p>
      <w:r/>
      <w:r>
        <w:t>O Museu Britânico contém uma parte de um arco quebrado que ficava sobre uma entrada na cidade grega de Tessalônica desde o primeiro século d.C. até 1867, quando foi demolido para fornecer pedra para o reparo da vasta muralha da cidade. A inscrição começa: “No tempo dos politarcas...” Esta é uma palavra rara que se refere a oficiais romanos e é usada no livro de Atos (</w:t>
      </w:r>
      <w:hyperlink r:id="rId11053">
        <w:r>
          <w:rPr>
            <w:color w:val="0000EE"/>
            <w:u w:val="single"/>
          </w:rPr>
          <w:t>At 17.6</w:t>
        </w:r>
      </w:hyperlink>
      <w:r>
        <w:t>) em referência às autoridades da cidade de Tessalônica. Esta palavra não é encontrada em nenhum outro lugar na literatura grega.</w:t>
      </w:r>
    </w:p>
    <w:p>
      <w:pPr>
        <w:pStyle w:val="Heading3"/>
      </w:pPr>
      <w:r>
        <w:t>Correspondência</w:t>
      </w:r>
    </w:p>
    <w:p>
      <w:r/>
      <w:r>
        <w:t>No segundo milênio antes de Cristo, era prática comum escrever correspondências em pequenas tábuas de argila. Mais de meio milhão foram encontradas em Mari, Nuzi, Nínive, Ebla e em outros lugares. Exemplos interessantes de tal correspondência podem ser encontrados em um grande número de tábuas de argila descobertas em Tell el-Amarna, no Alto Egito. Elas foram escritas na língua babilônica usando a escrita cuneiforme durante o tempo em que Aquenáton estava fascinado com sua reforma da arte e religião egípcia em sua nova capital Tell el-Amarna (Akhetaten), e a Palestina e a Síria foram deixadas à mercê de saqueadores chamados Habiru nos documentos. Muitas dessas tábuas são escritas de cidades em Canaã sob ataque e pedem ajuda ao Faraó, de quem eram vassalos nessa época (final do século 14 a.C.). Alguns acreditam que esses Habiru eram os antigos hebreus que invadiram a terra sob a direção de Josué.</w:t>
      </w:r>
    </w:p>
    <w:p>
      <w:r/>
      <w:r>
        <w:t>Às vezes, a correspondência era escrita com tinta em pedaços quebrados de cerâmica (cacos) chamados ostraca. Em 1935, 18 desses foram encontrados nas escavações em Laquis, no sul de Israel. Eles estão escritos em hebraico e fornecem exemplos do tipo de escrita usada pelos judeus na época de Jeremias. A linguagem é essencialmente idêntica ao hebraico do Antigo Testamento. As cartas foram enviadas por Hosha’yahu, um oficial encarregado de uma cidade próxima, para Ya’osh, o governador militar de Laquis, durante a invasão da Judeia pelos babilônios, que terminou com a destruição do templo em Jerusalém em 586 a.C.</w:t>
      </w:r>
    </w:p>
    <w:p>
      <w:r/>
      <w:r>
        <w:t>Onze desses cacos de cerâmica foram encontrados em Masada, na margem ocidental do Mar Morto, durante escavações conduzidas por Yigael Yadin de 1963 a 1965. Masada foi destruída pelo exército romano sob o comando de Flávio Silva em 73 d.C. Novecentos e sessenta homens, mulheres e crianças cometeram suicídio em vez de se renderem aos romanos. Dez homens foram escolhidos para cortar a garganta dos que restaram. Eles tiraram sortes para essa tarefa angustiante, de acordo com Josefo (</w:t>
      </w:r>
      <w:r>
        <w:rPr>
          <w:i/>
        </w:rPr>
        <w:t>Guerra</w:t>
      </w:r>
      <w:r>
        <w:t xml:space="preserve"> 7.395), e o professor Yadin acredita que os ostraca encontrados foram usados nesse sorteio. Um deles continha o nome de Ben Yair, que provavelmente era Eleazer Ben Yair, o comandante da fortaleza.</w:t>
      </w:r>
    </w:p>
    <w:p>
      <w:pPr>
        <w:pStyle w:val="Heading3"/>
      </w:pPr>
      <w:r>
        <w:t>Decorações de piso com mosaico</w:t>
      </w:r>
    </w:p>
    <w:p>
      <w:r/>
      <w:r>
        <w:t xml:space="preserve">Nos períodos Romano e Bizantino, era comum decorar os pisos de basílicas, banhos, sinagogas, igrejas e outros edifícios públicos com elaboradas tesselações contendo inscrições e obras de arte. Escavações em 1972 revelaram um edifício em Cesareia Marítima com inscrições em mosaico em seis pisos ao longo da estrutura. Dois deles contêm o texto grego de </w:t>
      </w:r>
      <w:hyperlink r:id="rId4730">
        <w:r>
          <w:rPr>
            <w:color w:val="0000EE"/>
            <w:u w:val="single"/>
          </w:rPr>
          <w:t>Rm 13.3</w:t>
        </w:r>
      </w:hyperlink>
      <w:r>
        <w:t xml:space="preserve"> definido em uma borda circular. Outro é uma bênção para quem entra e sai da sala: “Que o Senhor abençoe sua entrada e sua saída”. Dois deles invocam a ajuda de Cristo para pessoas associadas à função e construção do edifício. Estes faziam parte de um edifício que foi destruído no século VII d.C..</w:t>
      </w:r>
    </w:p>
    <w:p>
      <w:r/>
      <w:r>
        <w:t>Os pisos das sinagogas em Tiberíades-Hamate, Beth Shan, Beth Alpha, Estemoa, Susiya, Hamate-gader, En-Gedi e outras em Israel possuem inscrições em grego e aramaico que geralmente se referem aos benfeitores da sinagoga. Um piso de sinagoga foi encontrado em Naro, Tunísia, contendo uma inscrição em latim. Na sinagoga de Tiberíades, o hebraico foi usado apenas para definir os símbolos astrológicos que aparecem no zodíaco. O aramaico foi usado principalmente para Halakah (regra ou lei religiosa), e o grego foi usado principalmente para homenagear doadores.</w:t>
      </w:r>
    </w:p>
    <w:p>
      <w:r/>
      <w:r>
        <w:t>Uma das inscrições de piso em mosaico mais conhecidas em igrejas estava em Madaba, Jordânia, onde o mapa mais antigo conhecido de Israel e Jordânia foi inserido no piso no século VI d.C. Os nomes de lugares das cidades, características geográficas e passagens das Escrituras são apresentados em grego. Os pisos das igrejas geralmente contêm dedicatórias datadas ou não datadas, bênçãos e citações das Escrituras que aparecem em aramaico, copta, siríaco, latim e grego. O simbolismo muitas vezes acompanha as inscrições, mas em 427 d.C. foi emitido um édito proibindo o uso de cruzes e outros símbolos religiosos nos pavimentos para que não fossem pisados. Não está claro quão disseminada foi essa proibição.</w:t>
      </w:r>
    </w:p>
    <w:p>
      <w:r/>
      <w:r>
        <w:rPr>
          <w:i/>
        </w:rPr>
        <w:t>Veja também</w:t>
      </w:r>
      <w:r>
        <w:t xml:space="preserve"> </w:t>
      </w:r>
      <w:r>
        <w:t>Arqueologia e a Bíblia</w:t>
      </w:r>
      <w:r>
        <w:t xml:space="preserve">; </w:t>
      </w:r>
      <w:r>
        <w:t>Cerâmica</w:t>
      </w:r>
      <w:r>
        <w:t>.</w:t>
      </w:r>
      <w:r/>
      <w:r/>
    </w:p>
    <w:p>
      <w:r/>
    </w:p>
    <w:p>
      <w:pPr>
        <w:pStyle w:val="Heading2"/>
      </w:pPr>
      <w:r>
        <w:t>Instrumentos Musicais</w:t>
      </w:r>
      <w:r/>
    </w:p>
    <w:p>
      <w:r/>
      <w:r>
        <w:t>Instrumentos de cordas, sopro e percussão são usados para fazer música.</w:t>
      </w:r>
    </w:p>
    <w:p>
      <w:r/>
      <w:r>
        <w:t>O Antigo Testamento nos conta como as pessoas usavam música no culto no templo. No entanto, não fornece muitos detalhes sobre como eram os instrumentos ou como eram feitos. Isso se deve em parte ao segundo mandamento de Deus. O povo hebreu entendia esse mandamento como significando que não deveriam fazer imagens ou desenhos de coisas, incluindo instrumentos musicais. O livro de Daniel menciona seis instrumentos diferentes que eram tocados no palácio do Rei Nabucodonosor.</w:t>
      </w:r>
    </w:p>
    <w:p>
      <w:r/>
      <w:r>
        <w:t>O antigo povo hebreu tinha regras especiais sobre quais instrumentos podiam usar no culto do templo. Eles não escolhiam os instrumentos com base em como soavam, mas sim se eram considerados "puros" (aceitáveis) ou "impuros" (não aceitáveis) para o culto. Alguns instrumentos não eram permitidos no templo porque eram considerados impuros.</w:t>
      </w:r>
    </w:p>
    <w:p>
      <w:pPr>
        <w:pStyle w:val="Heading3"/>
      </w:pPr>
      <w:r>
        <w:t>Instrumentos de corda</w:t>
      </w:r>
    </w:p>
    <w:p>
      <w:r/>
      <w:r>
        <w:t xml:space="preserve">O povo judeu valorizava especialmente os instrumentos de cordas. Eles acreditavam que esses instrumentos eram os melhores para tocar música durante o culto no templo. Muitos outros povos antigos também consideravam os instrumentos de cordas muito importantes. Por exemplo, o Rei Davi tocava um instrumento de cordas chamado lira. No </w:t>
      </w:r>
      <w:hyperlink r:id="rId11054">
        <w:r>
          <w:rPr>
            <w:color w:val="0000EE"/>
            <w:u w:val="single"/>
          </w:rPr>
          <w:t>Salmo 150.4</w:t>
        </w:r>
      </w:hyperlink>
      <w:r>
        <w:t>, a palavra hebraica minim (que significa "cordas") refere-se a todos os diferentes tipos de instrumentos de cordas que as pessoas usavam para louvar a Deus.</w:t>
      </w:r>
    </w:p>
    <w:p>
      <w:pPr>
        <w:pStyle w:val="Heading4"/>
      </w:pPr>
      <w:r>
        <w:t>Asor</w:t>
      </w:r>
    </w:p>
    <w:p>
      <w:r/>
      <w:r>
        <w:t>Asor ocorre três vezes no livro dos Salmos (</w:t>
      </w:r>
      <w:hyperlink r:id="rId11055">
        <w:r>
          <w:rPr>
            <w:color w:val="0000EE"/>
            <w:u w:val="single"/>
          </w:rPr>
          <w:t>Sl 33.2</w:t>
        </w:r>
      </w:hyperlink>
      <w:r>
        <w:t xml:space="preserve">; </w:t>
      </w:r>
      <w:hyperlink r:id="rId11056">
        <w:r>
          <w:rPr>
            <w:color w:val="0000EE"/>
            <w:u w:val="single"/>
          </w:rPr>
          <w:t>92.3</w:t>
        </w:r>
      </w:hyperlink>
      <w:r>
        <w:t xml:space="preserve">; </w:t>
      </w:r>
      <w:hyperlink r:id="rId11057">
        <w:r>
          <w:rPr>
            <w:color w:val="0000EE"/>
            <w:u w:val="single"/>
          </w:rPr>
          <w:t>144.9</w:t>
        </w:r>
      </w:hyperlink>
      <w:r>
        <w:t>). A palavra asor (que significa "dez" em hebraico) pode se referir a um instrumento com dez cordas. Os estudiosos acreditam que o asor era provavelmente como uma cítara (um instrumento de cordas plano) da Fenícia que tinha dez cordas. Também pode ter sido semelhante a um alaúde (outro tipo de instrumento de cordas).</w:t>
      </w:r>
    </w:p>
    <w:p>
      <w:pPr>
        <w:pStyle w:val="Heading4"/>
      </w:pPr>
      <w:r>
        <w:t>Kátros</w:t>
      </w:r>
    </w:p>
    <w:p>
      <w:r/>
      <w:r>
        <w:t>Um kathros era tocado no palácio do Rei Nabucodonosor. Provavelmente, era semelhante a uma lira, um pequeno instrumento parecido com uma harpa que as pessoas seguravam nas mãos (</w:t>
      </w:r>
      <w:hyperlink r:id="rId11058">
        <w:r>
          <w:rPr>
            <w:color w:val="0000EE"/>
            <w:u w:val="single"/>
          </w:rPr>
          <w:t>Dn 3.5,7,10,15</w:t>
        </w:r>
      </w:hyperlink>
      <w:r>
        <w:t>).</w:t>
      </w:r>
    </w:p>
    <w:p>
      <w:pPr>
        <w:pStyle w:val="Heading4"/>
      </w:pPr>
      <w:r>
        <w:t>Kinnor</w:t>
      </w:r>
    </w:p>
    <w:p>
      <w:r/>
      <w:r>
        <w:t>O kinnor aparece mais frequentemente na Bíblia do que qualquer outro instrumento. É mencionado 42 vezes. Muitas pessoas o chamam de "harpa de Davi" e ele se tornou o instrumento mais amado do povo judeu. Era mais parecido com uma lira do que com uma grande harpa. O número de cordas é incerto, mas elas eram feitas de intestinos de ovelha. A caixa de ressonância ficava na parte inferior do instrumento.</w:t>
      </w:r>
    </w:p>
    <w:p>
      <w:r/>
      <w:r>
        <w:t>Não temos certeza se as pessoas tocavam o kinnor com uma palheta ou com as mãos. A Bíblia nos diz que Davi "tocou com a mão" (</w:t>
      </w:r>
      <w:hyperlink r:id="rId11059">
        <w:r>
          <w:rPr>
            <w:color w:val="0000EE"/>
            <w:u w:val="single"/>
          </w:rPr>
          <w:t>1Sm 16.23</w:t>
        </w:r>
      </w:hyperlink>
      <w:r>
        <w:t>). Isso pode significar que tocar com as mãos não era o modo usual. O kinnor era "de som suave" (</w:t>
      </w:r>
      <w:hyperlink r:id="rId11060">
        <w:r>
          <w:rPr>
            <w:color w:val="0000EE"/>
            <w:u w:val="single"/>
          </w:rPr>
          <w:t>Sl 81.2</w:t>
        </w:r>
      </w:hyperlink>
      <w:r>
        <w:t>). Era usado em adoração, celebrações e ocasiões de estado (</w:t>
      </w:r>
      <w:hyperlink r:id="rId9547">
        <w:r>
          <w:rPr>
            <w:color w:val="0000EE"/>
            <w:u w:val="single"/>
          </w:rPr>
          <w:t>1Sm 10.5</w:t>
        </w:r>
      </w:hyperlink>
      <w:r>
        <w:t xml:space="preserve">; </w:t>
      </w:r>
      <w:hyperlink r:id="rId4905">
        <w:r>
          <w:rPr>
            <w:color w:val="0000EE"/>
            <w:u w:val="single"/>
          </w:rPr>
          <w:t>2Sm 6.5</w:t>
        </w:r>
      </w:hyperlink>
      <w:r>
        <w:t xml:space="preserve">; </w:t>
      </w:r>
      <w:hyperlink r:id="rId11061">
        <w:r>
          <w:rPr>
            <w:color w:val="0000EE"/>
            <w:u w:val="single"/>
          </w:rPr>
          <w:t>Is 5.12</w:t>
        </w:r>
      </w:hyperlink>
      <w:r>
        <w:t>). Também era tocado por pastores (</w:t>
      </w:r>
      <w:hyperlink r:id="rId11062">
        <w:r>
          <w:rPr>
            <w:color w:val="0000EE"/>
            <w:u w:val="single"/>
          </w:rPr>
          <w:t>1Sm16.16</w:t>
        </w:r>
      </w:hyperlink>
      <w:r>
        <w:t>).</w:t>
      </w:r>
    </w:p>
    <w:p>
      <w:pPr>
        <w:pStyle w:val="Heading4"/>
      </w:pPr>
      <w:r>
        <w:t>Nebel</w:t>
      </w:r>
    </w:p>
    <w:p>
      <w:r/>
      <w:r>
        <w:t>Apresenta-se 27 vezes na Bíblia. A palavra nebel significa "pele" ou "garrafa de pele" em hebraico. Isso pode ser porque o instrumento tinha o formato de uma garrafa, com uma parte inferior redonda e larga que produzia o som. Era um tipo de harpa (</w:t>
      </w:r>
      <w:hyperlink r:id="rId4905">
        <w:r>
          <w:rPr>
            <w:color w:val="0000EE"/>
            <w:u w:val="single"/>
          </w:rPr>
          <w:t>2Sm 6.5</w:t>
        </w:r>
      </w:hyperlink>
      <w:r>
        <w:t xml:space="preserve">; </w:t>
      </w:r>
      <w:hyperlink r:id="rId11063">
        <w:r>
          <w:rPr>
            <w:color w:val="0000EE"/>
            <w:u w:val="single"/>
          </w:rPr>
          <w:t>1Rs 10.12</w:t>
        </w:r>
      </w:hyperlink>
      <w:r>
        <w:t xml:space="preserve">; </w:t>
      </w:r>
      <w:hyperlink r:id="rId11064">
        <w:r>
          <w:rPr>
            <w:color w:val="0000EE"/>
            <w:u w:val="single"/>
          </w:rPr>
          <w:t>Ne 12.27</w:t>
        </w:r>
      </w:hyperlink>
      <w:r>
        <w:t xml:space="preserve">; </w:t>
      </w:r>
      <w:hyperlink r:id="rId11065">
        <w:r>
          <w:rPr>
            <w:color w:val="0000EE"/>
            <w:u w:val="single"/>
          </w:rPr>
          <w:t>Sl 57.8</w:t>
        </w:r>
      </w:hyperlink>
      <w:r>
        <w:t xml:space="preserve">; </w:t>
      </w:r>
      <w:hyperlink r:id="rId11066">
        <w:r>
          <w:rPr>
            <w:color w:val="0000EE"/>
            <w:u w:val="single"/>
          </w:rPr>
          <w:t>Am 5.23</w:t>
        </w:r>
      </w:hyperlink>
      <w:r>
        <w:t>). Provavelmente era semelhante às harpas do Egito. As pessoas provavelmente tocavam o nebel com as mãos em vez de uma palheta. Era maior e produzia um som mais alto do que o kinnor.</w:t>
      </w:r>
    </w:p>
    <w:p>
      <w:r/>
      <w:r>
        <w:t>As Bíblias modernas em português geralmente traduzem nebel como "harpa".</w:t>
      </w:r>
    </w:p>
    <w:p>
      <w:pPr>
        <w:pStyle w:val="Heading4"/>
      </w:pPr>
      <w:r>
        <w:t>Psantrin (Pesanterin)</w:t>
      </w:r>
    </w:p>
    <w:p>
      <w:r/>
      <w:r>
        <w:t>O psantrin (também chamado de pesanterin) era um instrumento da Grécia. Era tocado na orquestra do Rei Nabucodonosor (</w:t>
      </w:r>
      <w:hyperlink r:id="rId11067">
        <w:r>
          <w:rPr>
            <w:color w:val="0000EE"/>
            <w:u w:val="single"/>
          </w:rPr>
          <w:t>Dn 3.5–15</w:t>
        </w:r>
      </w:hyperlink>
      <w:r>
        <w:t>). Pode ter sido semelhante a um dulcimer (um instrumento de cordas que as pessoas tocam batendo nas cordas com pequenos martelos). Algumas versões em português traduzem psantrin por "saltério" (e.g. NVI).</w:t>
      </w:r>
    </w:p>
    <w:p>
      <w:pPr>
        <w:pStyle w:val="Heading4"/>
      </w:pPr>
      <w:r>
        <w:t>Sabeque (Sabbeka)</w:t>
      </w:r>
    </w:p>
    <w:p>
      <w:r/>
      <w:r>
        <w:t>O sabeque (também chamado de sabbeka) era um instrumento de cordas tocado no palácio do rei em Babilônia (</w:t>
      </w:r>
      <w:hyperlink r:id="rId11067">
        <w:r>
          <w:rPr>
            <w:color w:val="0000EE"/>
            <w:u w:val="single"/>
          </w:rPr>
          <w:t>Dn 3.5–15</w:t>
        </w:r>
      </w:hyperlink>
      <w:r>
        <w:t xml:space="preserve">). Os gregos o chamavam de </w:t>
      </w:r>
      <w:r>
        <w:rPr>
          <w:i/>
        </w:rPr>
        <w:t>sambyke</w:t>
      </w:r>
      <w:r>
        <w:t xml:space="preserve">, e os romanos de </w:t>
      </w:r>
      <w:r>
        <w:rPr>
          <w:i/>
        </w:rPr>
        <w:t>sambuca</w:t>
      </w:r>
      <w:r>
        <w:t>. Tinha a forma de um triângulo, possuía quatro cordas e produzia um som agudo e estridente. Algumas versões da Bíblia em português a traduzem por "cítara".</w:t>
      </w:r>
    </w:p>
    <w:p>
      <w:pPr>
        <w:pStyle w:val="Heading3"/>
      </w:pPr>
      <w:r>
        <w:t>Instrumentos de sopro</w:t>
      </w:r>
    </w:p>
    <w:p>
      <w:r/>
      <w:r>
        <w:t>Instrumentos de sopro (instrumentos nos quais as pessoas sopram para fazer música) podem ser divididos em dois grupos: flautas e chifres.</w:t>
      </w:r>
    </w:p>
    <w:p>
      <w:pPr>
        <w:pStyle w:val="Heading4"/>
      </w:pPr>
      <w:r>
        <w:t>Halil</w:t>
      </w:r>
    </w:p>
    <w:p>
      <w:r/>
      <w:r>
        <w:t xml:space="preserve">O halil era um tipo de instrumento de sopro mencionado seis vezes na Bíblia. Muitos escritores judeus após os tempos bíblicos também escreveram sobre ele. O halil era semelhante ao </w:t>
      </w:r>
      <w:r>
        <w:rPr>
          <w:i/>
        </w:rPr>
        <w:t>aulos</w:t>
      </w:r>
      <w:r>
        <w:t xml:space="preserve"> grego (um instrumento antigo parecido com o oboé moderno). Muitas traduções da Bíblia o chamam de "flauta" (</w:t>
      </w:r>
      <w:hyperlink r:id="rId11068">
        <w:r>
          <w:rPr>
            <w:color w:val="0000EE"/>
            <w:u w:val="single"/>
          </w:rPr>
          <w:t>Mt 9.23</w:t>
        </w:r>
      </w:hyperlink>
      <w:r>
        <w:t xml:space="preserve">; </w:t>
      </w:r>
      <w:hyperlink r:id="rId11069">
        <w:r>
          <w:rPr>
            <w:color w:val="0000EE"/>
            <w:u w:val="single"/>
          </w:rPr>
          <w:t>1Co14.7</w:t>
        </w:r>
      </w:hyperlink>
      <w:r>
        <w:t xml:space="preserve">; </w:t>
      </w:r>
      <w:hyperlink r:id="rId11070">
        <w:r>
          <w:rPr>
            <w:color w:val="0000EE"/>
            <w:u w:val="single"/>
          </w:rPr>
          <w:t>Ap 18.22</w:t>
        </w:r>
      </w:hyperlink>
      <w:r>
        <w:t>). As pessoas faziam versões antigas a partir de plantas ocas como juncos. Ele tinha um bocal especial feito com duas pequenas peças de junco e provavelmente produzia um som alto e agudo.</w:t>
      </w:r>
    </w:p>
    <w:p>
      <w:r/>
      <w:r>
        <w:t>As pessoas tocavam o halil em diferentes ocasiões:</w:t>
      </w:r>
    </w:p>
    <w:p>
      <w:pPr>
        <w:pStyle w:val="ListBullet"/>
        <w:spacing w:line="240" w:lineRule="auto"/>
        <w:ind w:left="720"/>
      </w:pPr>
      <w:r/>
      <w:r>
        <w:t>Eles usavam em eventos felizes como festas (</w:t>
      </w:r>
      <w:hyperlink r:id="rId11061">
        <w:r>
          <w:rPr>
            <w:color w:val="0000EE"/>
            <w:u w:val="single"/>
          </w:rPr>
          <w:t>Is 5.12</w:t>
        </w:r>
      </w:hyperlink>
      <w:r>
        <w:t>).</w:t>
      </w:r>
    </w:p>
    <w:p>
      <w:pPr>
        <w:pStyle w:val="ListBullet"/>
        <w:spacing w:line="240" w:lineRule="auto"/>
        <w:ind w:left="720"/>
      </w:pPr>
      <w:r/>
      <w:r>
        <w:t>Eles usavam quando os profetas estavam cheios do Espírito de Deus (</w:t>
      </w:r>
      <w:hyperlink r:id="rId9547">
        <w:r>
          <w:rPr>
            <w:color w:val="0000EE"/>
            <w:u w:val="single"/>
          </w:rPr>
          <w:t>1Sm 10.5</w:t>
        </w:r>
      </w:hyperlink>
      <w:r>
        <w:t>).</w:t>
      </w:r>
    </w:p>
    <w:p>
      <w:pPr>
        <w:pStyle w:val="ListBullet"/>
        <w:spacing w:line="240" w:lineRule="auto"/>
        <w:ind w:left="720"/>
      </w:pPr>
      <w:r/>
      <w:r>
        <w:t>Eles também tocavam em momentos tristes para chorar e lamentar (</w:t>
      </w:r>
      <w:hyperlink r:id="rId11071">
        <w:r>
          <w:rPr>
            <w:color w:val="0000EE"/>
            <w:u w:val="single"/>
          </w:rPr>
          <w:t>Jr 48.36</w:t>
        </w:r>
      </w:hyperlink>
      <w:r>
        <w:t>).</w:t>
      </w:r>
    </w:p>
    <w:p>
      <w:pPr>
        <w:pStyle w:val="Heading4"/>
      </w:pPr>
      <w:r>
        <w:t>Hatzotzrot</w:t>
      </w:r>
    </w:p>
    <w:p>
      <w:r/>
      <w:r>
        <w:t>A hatzotzrot era um tipo de trombeta usada nos tempos antigos. Sabemos mais sobre este instrumento do que sobre muitos outros instrumentos hebraicos porque podemos ver imagens dele. Quando os romanos capturaram Jerusalém, levaram duas dessas trombetas do templo. Eles esculpiram imagens dessas trombetas em um arco de vitória em Roma, construído para seu líder Tito.</w:t>
      </w:r>
    </w:p>
    <w:p>
      <w:r/>
      <w:r>
        <w:t>A hatzotzrot tinha cerca de 0,9 metros de comprimento, mas era estreita, com uma abertura larga na extremidade. As pessoas faziam essas trombetas de prata ou ouro. O design pode ter vindo das trombetas egípcias. Instrumentos semelhantes também eram usados na Assíria, no Império Hitita e na Grécia.</w:t>
      </w:r>
    </w:p>
    <w:p>
      <w:r/>
      <w:r>
        <w:t>Deus disse a Moisés para fazer duas trombetas de prata (</w:t>
      </w:r>
      <w:hyperlink r:id="rId11072">
        <w:r>
          <w:rPr>
            <w:color w:val="0000EE"/>
            <w:u w:val="single"/>
          </w:rPr>
          <w:t>Nm 10.2</w:t>
        </w:r>
      </w:hyperlink>
      <w:r>
        <w:t>). Somente os descendentes de Arão (o primeiro sumo sacerdote) tinham permissão para tocar esses instrumentos. Essas antigas trombetas eram a versão inicial do que agora chamamos de trombetas do anúncio.</w:t>
      </w:r>
    </w:p>
    <w:p>
      <w:r/>
      <w:r>
        <w:t>A Bíblia diz que essas trombetas ajudavam as pessoas a se lembrarem de Deus (</w:t>
      </w:r>
      <w:hyperlink r:id="rId9245">
        <w:r>
          <w:rPr>
            <w:color w:val="0000EE"/>
            <w:u w:val="single"/>
          </w:rPr>
          <w:t>Nm 10.10</w:t>
        </w:r>
      </w:hyperlink>
      <w:r>
        <w:t>). As pessoas as usavam para:</w:t>
      </w:r>
    </w:p>
    <w:p>
      <w:pPr>
        <w:pStyle w:val="ListBullet"/>
        <w:spacing w:line="240" w:lineRule="auto"/>
        <w:ind w:left="720"/>
      </w:pPr>
      <w:r/>
      <w:r>
        <w:t>Convocar as pessoas para se reunirem na tenda da congregação</w:t>
      </w:r>
    </w:p>
    <w:p>
      <w:pPr>
        <w:pStyle w:val="ListBullet"/>
        <w:spacing w:line="240" w:lineRule="auto"/>
        <w:ind w:left="720"/>
      </w:pPr>
      <w:r/>
      <w:r>
        <w:t>Dar avisos</w:t>
      </w:r>
    </w:p>
    <w:p>
      <w:pPr>
        <w:pStyle w:val="ListBullet"/>
        <w:spacing w:line="240" w:lineRule="auto"/>
        <w:ind w:left="720"/>
      </w:pPr>
      <w:r/>
      <w:r>
        <w:t>Informar aos acampamentos quando se moverem</w:t>
      </w:r>
    </w:p>
    <w:p>
      <w:pPr>
        <w:pStyle w:val="ListBullet"/>
        <w:spacing w:line="240" w:lineRule="auto"/>
        <w:ind w:left="720"/>
      </w:pPr>
      <w:r/>
      <w:r>
        <w:t>Sinalizar o início das batalhas.</w:t>
      </w:r>
    </w:p>
    <w:p>
      <w:r/>
      <w:r>
        <w:t>As hatzotzrot tornaram-se muito importantes no culto do templo. O templo sempre usava pelo menos duas trombetas para os serviços diários. Durante celebrações religiosas especiais, podiam usar muito mais trombetas (</w:t>
      </w:r>
      <w:hyperlink r:id="rId11073">
        <w:r>
          <w:rPr>
            <w:color w:val="0000EE"/>
            <w:u w:val="single"/>
          </w:rPr>
          <w:t>1Cr 15.28</w:t>
        </w:r>
      </w:hyperlink>
      <w:r>
        <w:t xml:space="preserve">; </w:t>
      </w:r>
      <w:hyperlink r:id="rId11074">
        <w:r>
          <w:rPr>
            <w:color w:val="0000EE"/>
            <w:u w:val="single"/>
          </w:rPr>
          <w:t>2Cr 15.14</w:t>
        </w:r>
      </w:hyperlink>
      <w:r>
        <w:t xml:space="preserve">; </w:t>
      </w:r>
      <w:hyperlink r:id="rId11075">
        <w:r>
          <w:rPr>
            <w:color w:val="0000EE"/>
            <w:u w:val="single"/>
          </w:rPr>
          <w:t>Sl 98.6</w:t>
        </w:r>
      </w:hyperlink>
      <w:r>
        <w:t xml:space="preserve">; </w:t>
      </w:r>
      <w:hyperlink r:id="rId11067">
        <w:r>
          <w:rPr>
            <w:color w:val="0000EE"/>
            <w:u w:val="single"/>
          </w:rPr>
          <w:t>Dn 3.5–15</w:t>
        </w:r>
      </w:hyperlink>
      <w:r>
        <w:t xml:space="preserve">; </w:t>
      </w:r>
      <w:hyperlink r:id="rId11076">
        <w:r>
          <w:rPr>
            <w:color w:val="0000EE"/>
            <w:u w:val="single"/>
          </w:rPr>
          <w:t>Os 5.8</w:t>
        </w:r>
      </w:hyperlink>
      <w:r>
        <w:t>).</w:t>
      </w:r>
    </w:p>
    <w:p>
      <w:pPr>
        <w:pStyle w:val="Heading4"/>
      </w:pPr>
      <w:r>
        <w:t>Mashroquita</w:t>
      </w:r>
    </w:p>
    <w:p>
      <w:r/>
      <w:r>
        <w:t>A mashroqita era um instrumento tocado no palácio do Rei Nabucodonosor (</w:t>
      </w:r>
      <w:hyperlink r:id="rId11058">
        <w:r>
          <w:rPr>
            <w:color w:val="0000EE"/>
            <w:u w:val="single"/>
          </w:rPr>
          <w:t>Dn 3.5,7,10,15</w:t>
        </w:r>
      </w:hyperlink>
      <w:r>
        <w:t xml:space="preserve">). Os estudiosos acreditam que era semelhante a uma flauta de Pã, similar à </w:t>
      </w:r>
      <w:r>
        <w:rPr>
          <w:i/>
        </w:rPr>
        <w:t>syrinx</w:t>
      </w:r>
      <w:r>
        <w:t xml:space="preserve"> grega, que tinha uma fileira de tubos ocos de tamanhos diferentes unidos. Esses tubos produzem diferentes notas musicais quando alguém sopra sobre as extremidades.</w:t>
      </w:r>
    </w:p>
    <w:p>
      <w:pPr>
        <w:pStyle w:val="Heading4"/>
      </w:pPr>
      <w:r>
        <w:t>Shofar</w:t>
      </w:r>
    </w:p>
    <w:p>
      <w:r/>
      <w:r>
        <w:t xml:space="preserve">Um shophar é um instrumento de sopro (semelhante a uma trombeta) que era usado no antigo Israel. As pessoas ainda o utilizam hoje em serviços religiosos judaicos. Ele é mencionado 72 vezes na Bíblia, mais do que qualquer outro instrumento hebraico. </w:t>
      </w:r>
    </w:p>
    <w:p>
      <w:r/>
      <w:r>
        <w:t>O shofar inicial era curvado como o chifre de um carneiro. Versões posteriores eram retas com uma curva perto da extremidade larga do chifre. O shofar só podia emitir dois ou três sons diferentes. Por causa desse alcance limitado, algumas pessoas não o consideram um verdadeiro instrumento musical. Em vez disso, as pessoas o usavam principalmente para enviar sinais e mensagens.</w:t>
      </w:r>
    </w:p>
    <w:p>
      <w:r/>
      <w:r>
        <w:t>As pessoas usavam o shofar em muitas cerimônias religiosas, incluindo:</w:t>
      </w:r>
    </w:p>
    <w:p>
      <w:pPr>
        <w:pStyle w:val="ListBullet"/>
        <w:spacing w:line="240" w:lineRule="auto"/>
        <w:ind w:left="720"/>
      </w:pPr>
      <w:r/>
      <w:r>
        <w:t>Quando eles moveram a arca (</w:t>
      </w:r>
      <w:hyperlink r:id="rId11077">
        <w:r>
          <w:rPr>
            <w:color w:val="0000EE"/>
            <w:u w:val="single"/>
          </w:rPr>
          <w:t>2Sm 6.15</w:t>
        </w:r>
      </w:hyperlink>
      <w:r>
        <w:t xml:space="preserve">; </w:t>
      </w:r>
      <w:hyperlink r:id="rId11073">
        <w:r>
          <w:rPr>
            <w:color w:val="0000EE"/>
            <w:u w:val="single"/>
          </w:rPr>
          <w:t>1Cr 15.28</w:t>
        </w:r>
      </w:hyperlink>
      <w:r>
        <w:t>)</w:t>
      </w:r>
    </w:p>
    <w:p>
      <w:pPr>
        <w:pStyle w:val="ListBullet"/>
        <w:spacing w:line="240" w:lineRule="auto"/>
        <w:ind w:left="720"/>
      </w:pPr>
      <w:r/>
      <w:r>
        <w:t>Quando o Rei Asa renovou o acordo entre Deus e seu povo (</w:t>
      </w:r>
      <w:hyperlink r:id="rId11074">
        <w:r>
          <w:rPr>
            <w:color w:val="0000EE"/>
            <w:u w:val="single"/>
          </w:rPr>
          <w:t>2Cr 15.14</w:t>
        </w:r>
      </w:hyperlink>
      <w:r>
        <w:t>)</w:t>
      </w:r>
    </w:p>
    <w:p>
      <w:pPr>
        <w:pStyle w:val="ListBullet"/>
        <w:spacing w:line="240" w:lineRule="auto"/>
        <w:ind w:left="720"/>
      </w:pPr>
      <w:r/>
      <w:r>
        <w:t>Quando as pessoas davam graças a Deus (</w:t>
      </w:r>
      <w:hyperlink r:id="rId11075">
        <w:r>
          <w:rPr>
            <w:color w:val="0000EE"/>
            <w:u w:val="single"/>
          </w:rPr>
          <w:t>Sl 98.6</w:t>
        </w:r>
      </w:hyperlink>
      <w:r>
        <w:t xml:space="preserve">; </w:t>
      </w:r>
      <w:hyperlink r:id="rId11078">
        <w:r>
          <w:rPr>
            <w:color w:val="0000EE"/>
            <w:u w:val="single"/>
          </w:rPr>
          <w:t>150.3</w:t>
        </w:r>
      </w:hyperlink>
      <w:r>
        <w:t>)</w:t>
      </w:r>
    </w:p>
    <w:p>
      <w:pPr>
        <w:pStyle w:val="ListBullet"/>
        <w:spacing w:line="240" w:lineRule="auto"/>
        <w:ind w:left="720"/>
      </w:pPr>
      <w:r/>
      <w:r>
        <w:t>No começo de cada novo mês</w:t>
      </w:r>
    </w:p>
    <w:p>
      <w:pPr>
        <w:pStyle w:val="ListBullet"/>
        <w:spacing w:line="240" w:lineRule="auto"/>
        <w:ind w:left="720"/>
      </w:pPr>
      <w:r/>
      <w:r>
        <w:t>No início do ano do jubileu (um ano especial que ocorre a cada 50 anos)</w:t>
      </w:r>
    </w:p>
    <w:p>
      <w:r/>
      <w:r>
        <w:t>As pessoas também usavam o shofar para eventos importantes relacionados aos reis:</w:t>
      </w:r>
    </w:p>
    <w:p>
      <w:pPr>
        <w:pStyle w:val="ListBullet"/>
        <w:spacing w:line="240" w:lineRule="auto"/>
        <w:ind w:left="720"/>
      </w:pPr>
      <w:r/>
      <w:r>
        <w:t>Quando Absalão se declarou rei (</w:t>
      </w:r>
      <w:hyperlink r:id="rId11079">
        <w:r>
          <w:rPr>
            <w:color w:val="0000EE"/>
            <w:u w:val="single"/>
          </w:rPr>
          <w:t>2Sm 15.10</w:t>
        </w:r>
      </w:hyperlink>
      <w:r>
        <w:t>)</w:t>
      </w:r>
    </w:p>
    <w:p>
      <w:pPr>
        <w:pStyle w:val="ListBullet"/>
        <w:spacing w:line="240" w:lineRule="auto"/>
        <w:ind w:left="720"/>
      </w:pPr>
      <w:r/>
      <w:r>
        <w:t>Quando Salomão foi escolhido como rei (</w:t>
      </w:r>
      <w:hyperlink r:id="rId11080">
        <w:r>
          <w:rPr>
            <w:color w:val="0000EE"/>
            <w:u w:val="single"/>
          </w:rPr>
          <w:t>1Rs 1.34</w:t>
        </w:r>
      </w:hyperlink>
      <w:r>
        <w:t>)</w:t>
      </w:r>
    </w:p>
    <w:p>
      <w:pPr>
        <w:pStyle w:val="ListBullet"/>
        <w:spacing w:line="240" w:lineRule="auto"/>
        <w:ind w:left="720"/>
      </w:pPr>
      <w:r/>
      <w:r>
        <w:t>Quando Jeú se tornou rei (</w:t>
      </w:r>
      <w:hyperlink r:id="rId11081">
        <w:r>
          <w:rPr>
            <w:color w:val="0000EE"/>
            <w:u w:val="single"/>
          </w:rPr>
          <w:t>2Rs 9.13</w:t>
        </w:r>
      </w:hyperlink>
      <w:r>
        <w:t>)</w:t>
      </w:r>
    </w:p>
    <w:p>
      <w:pPr>
        <w:pStyle w:val="Heading4"/>
      </w:pPr>
      <w:r>
        <w:t>Sumpônia</w:t>
      </w:r>
    </w:p>
    <w:p>
      <w:r/>
      <w:r>
        <w:t xml:space="preserve">Sumponia é uma palavra encontrada em </w:t>
      </w:r>
      <w:hyperlink r:id="rId6539">
        <w:r>
          <w:rPr>
            <w:color w:val="0000EE"/>
            <w:u w:val="single"/>
          </w:rPr>
          <w:t>Daniel 3</w:t>
        </w:r>
      </w:hyperlink>
      <w:r>
        <w:t>, mas os estudiosos não têm certeza do que significa exatamente. Alguns especialistas da Bíblia acreditam que sumponia se refere a uma gaita de foles. A versão da Bíblia ARA e outras traduz dessa forma. No entanto, especialistas que estudam instrumentos musicais antigos discordam fortemente. Eles afirmam que não havia gaitas de foles na época do Rei Nabucodonosor.</w:t>
      </w:r>
    </w:p>
    <w:p>
      <w:r/>
      <w:r>
        <w:t xml:space="preserve">Outros estudiosos sugerem que sumponia pode não ser um instrumento. Em vez disso, eles acreditam que pode descrever muitos instrumentos tocando música juntos. Esse significado faria sentido porque a palavra vem do grego </w:t>
      </w:r>
      <w:r>
        <w:rPr>
          <w:i/>
        </w:rPr>
        <w:t>symphonia</w:t>
      </w:r>
      <w:r>
        <w:t xml:space="preserve">, que significa "soando juntos". Em </w:t>
      </w:r>
      <w:hyperlink r:id="rId11082">
        <w:r>
          <w:rPr>
            <w:color w:val="0000EE"/>
            <w:u w:val="single"/>
          </w:rPr>
          <w:t>Lucas 15.25</w:t>
        </w:r>
      </w:hyperlink>
      <w:r>
        <w:t>, é traduzido como "música".</w:t>
      </w:r>
    </w:p>
    <w:p>
      <w:pPr>
        <w:pStyle w:val="Heading4"/>
      </w:pPr>
      <w:r>
        <w:t>Ugab</w:t>
      </w:r>
    </w:p>
    <w:p>
      <w:r/>
      <w:r>
        <w:t>Um ugab é um instrumento antigo semelhante a uma flauta. A Bíblia menciona o ugab quatro vezes (</w:t>
      </w:r>
      <w:hyperlink r:id="rId4858">
        <w:r>
          <w:rPr>
            <w:color w:val="0000EE"/>
            <w:u w:val="single"/>
          </w:rPr>
          <w:t>Gn 4.21</w:t>
        </w:r>
      </w:hyperlink>
      <w:r>
        <w:t xml:space="preserve">; </w:t>
      </w:r>
      <w:hyperlink r:id="rId11083">
        <w:r>
          <w:rPr>
            <w:color w:val="0000EE"/>
            <w:u w:val="single"/>
          </w:rPr>
          <w:t>Jó 21.12</w:t>
        </w:r>
      </w:hyperlink>
      <w:r>
        <w:t xml:space="preserve">; </w:t>
      </w:r>
      <w:hyperlink r:id="rId11084">
        <w:r>
          <w:rPr>
            <w:color w:val="0000EE"/>
            <w:u w:val="single"/>
          </w:rPr>
          <w:t>30.31</w:t>
        </w:r>
      </w:hyperlink>
      <w:r>
        <w:t xml:space="preserve">; </w:t>
      </w:r>
      <w:hyperlink r:id="rId11054">
        <w:r>
          <w:rPr>
            <w:color w:val="0000EE"/>
            <w:u w:val="single"/>
          </w:rPr>
          <w:t>Sl 150.4</w:t>
        </w:r>
      </w:hyperlink>
      <w:r>
        <w:t xml:space="preserve">). Normalmente, quando o ugab é mencionado, não está relacionado a eventos religiosos. Apenas em </w:t>
      </w:r>
      <w:hyperlink r:id="rId727">
        <w:r>
          <w:rPr>
            <w:color w:val="0000EE"/>
            <w:u w:val="single"/>
          </w:rPr>
          <w:t>Salmo 150</w:t>
        </w:r>
      </w:hyperlink>
      <w:r>
        <w:t xml:space="preserve"> é usado na adoração.</w:t>
      </w:r>
    </w:p>
    <w:p>
      <w:pPr>
        <w:pStyle w:val="Heading3"/>
      </w:pPr>
      <w:r>
        <w:t>Instrumentos de percussão</w:t>
      </w:r>
    </w:p>
    <w:p>
      <w:r/>
      <w:r>
        <w:t>Instrumentos de percussão (instrumentos que produzem som quando são batidos ou agitados) aparecem com mais frequência nas histórias antigas do povo judeu. Com o tempo, as pessoas deixaram de usar esses instrumentos no culto do templo. Isso pode ter ocorrido porque outras religiões usavam instrumentos semelhantes para adorar falsos deuses.</w:t>
      </w:r>
    </w:p>
    <w:p>
      <w:pPr>
        <w:pStyle w:val="Heading4"/>
      </w:pPr>
      <w:r>
        <w:t>Mena anim</w:t>
      </w:r>
    </w:p>
    <w:p>
      <w:r/>
      <w:r>
        <w:t xml:space="preserve">A mena anim é um tipo de chocalho de metal barulhento. Tinha anéis de metal que pendiam de uma estrutura e faziam barulho quando sacudidos. A mena anim provavelmente era semelhante ao sistro (um chocalho sagrado usado no antigo Egito). A mena anim aparece em </w:t>
      </w:r>
      <w:hyperlink r:id="rId4905">
        <w:r>
          <w:rPr>
            <w:color w:val="0000EE"/>
            <w:u w:val="single"/>
          </w:rPr>
          <w:t>2 Samuel 6.5</w:t>
        </w:r>
      </w:hyperlink>
      <w:r>
        <w:t>. Algumas versões da Bíblia em português traduzem como "pandeiro" ou "chocalho".</w:t>
      </w:r>
    </w:p>
    <w:p>
      <w:pPr>
        <w:pStyle w:val="Heading4"/>
      </w:pPr>
      <w:r>
        <w:t>Pamonim</w:t>
      </w:r>
    </w:p>
    <w:p>
      <w:r/>
      <w:r>
        <w:t>Os pamonims eram pequenos sinos que os sacerdotes usavam em suas roupas especiais (</w:t>
      </w:r>
      <w:hyperlink r:id="rId11085">
        <w:r>
          <w:rPr>
            <w:color w:val="0000EE"/>
            <w:u w:val="single"/>
          </w:rPr>
          <w:t>Êx 28.33–34;</w:t>
        </w:r>
      </w:hyperlink>
      <w:r>
        <w:t xml:space="preserve"> </w:t>
      </w:r>
      <w:hyperlink r:id="rId11086">
        <w:r>
          <w:rPr>
            <w:color w:val="0000EE"/>
            <w:u w:val="single"/>
          </w:rPr>
          <w:t>39.25–26</w:t>
        </w:r>
      </w:hyperlink>
      <w:r>
        <w:t>). Os sinos emitiam sons suaves quando o sumo sacerdote caminhava. Isso ajudava as pessoas a saberem onde ele estava ao entrar no lugar sagrado para adorar a Deus.</w:t>
      </w:r>
    </w:p>
    <w:p>
      <w:pPr>
        <w:pStyle w:val="Heading4"/>
      </w:pPr>
      <w:r>
        <w:t>Shalishim</w:t>
      </w:r>
    </w:p>
    <w:p>
      <w:r/>
      <w:r>
        <w:t xml:space="preserve">Um shalishim é um tipo de chocalho mencionado na Bíblia. Algumas Bíblias traduzem essa palavra como "sistro" (um chocalho sagrado do antigo Egito) ou "adufe" (um tipo de pandeiro). Os estudiosos não têm certeza se o shalishim era realmente um instrumento musical. O shalishim aparece em </w:t>
      </w:r>
      <w:hyperlink r:id="rId710">
        <w:r>
          <w:rPr>
            <w:color w:val="0000EE"/>
            <w:u w:val="single"/>
          </w:rPr>
          <w:t>1 Samuel 18.6</w:t>
        </w:r>
      </w:hyperlink>
      <w:r>
        <w:t>. Nesta história, as pessoas o usaram para celebrar quando o Rei Saul e Davi retornaram da luta contra os filisteus.</w:t>
      </w:r>
    </w:p>
    <w:p>
      <w:pPr>
        <w:pStyle w:val="Heading4"/>
      </w:pPr>
      <w:r>
        <w:t>Tofe (Tof)</w:t>
      </w:r>
    </w:p>
    <w:p>
      <w:r/>
      <w:r>
        <w:t>Um tofe (também chamado de tof) era um tipo de tambor de mão usado no antigo Israel. As mulheres geralmente tocavam o tofe, mas algumas passagens da Bíblia sugerem que os homens também o tocavam (</w:t>
      </w:r>
      <w:hyperlink r:id="rId9547">
        <w:r>
          <w:rPr>
            <w:color w:val="0000EE"/>
            <w:u w:val="single"/>
          </w:rPr>
          <w:t>1Sm 10.5</w:t>
        </w:r>
      </w:hyperlink>
      <w:r>
        <w:t xml:space="preserve">; </w:t>
      </w:r>
      <w:hyperlink r:id="rId4905">
        <w:r>
          <w:rPr>
            <w:color w:val="0000EE"/>
            <w:u w:val="single"/>
          </w:rPr>
          <w:t>2Sm 6.5</w:t>
        </w:r>
      </w:hyperlink>
      <w:r>
        <w:t xml:space="preserve">; </w:t>
      </w:r>
      <w:hyperlink r:id="rId11087">
        <w:r>
          <w:rPr>
            <w:color w:val="0000EE"/>
            <w:u w:val="single"/>
          </w:rPr>
          <w:t>1Cr 13.8</w:t>
        </w:r>
      </w:hyperlink>
      <w:r>
        <w:t>). As versões da Bíblia em português geralmente traduzem por "tambor".</w:t>
      </w:r>
    </w:p>
    <w:p>
      <w:r/>
      <w:r>
        <w:t>Tofe ocorre 15 vezes na Bíblia. Tinha uma estrutura de madeira ou metal em forma de círculo. Pele de animal era esticada sobre a estrutura (de um carneiro ou cabra selvagem). As pessoas tocavam batendo com as mãos. Não sabemos se o tofe tinha pele de animal em um lado ou em ambos os lados. Alguns estudiosos dizem que era como um pandeiro ou adufe (um pequeno tambor). No entanto, não há evidências de que tivesse peças de metal que faziam sons de tilintar como um pandeiro.</w:t>
      </w:r>
    </w:p>
    <w:p>
      <w:r/>
      <w:r>
        <w:t>As pessoas tocavam o tofe durante as celebrações. Ele produzia sons altos (</w:t>
      </w:r>
      <w:hyperlink r:id="rId6637">
        <w:r>
          <w:rPr>
            <w:color w:val="0000EE"/>
            <w:u w:val="single"/>
          </w:rPr>
          <w:t>Êx 15.20</w:t>
        </w:r>
      </w:hyperlink>
      <w:r>
        <w:t xml:space="preserve">; </w:t>
      </w:r>
      <w:hyperlink r:id="rId11060">
        <w:r>
          <w:rPr>
            <w:color w:val="0000EE"/>
            <w:u w:val="single"/>
          </w:rPr>
          <w:t>Sl 81.2</w:t>
        </w:r>
      </w:hyperlink>
      <w:r>
        <w:t>).</w:t>
      </w:r>
    </w:p>
    <w:p>
      <w:pPr>
        <w:pStyle w:val="Heading4"/>
      </w:pPr>
      <w:r>
        <w:t>Zelzelim (Meziltayim)</w:t>
      </w:r>
    </w:p>
    <w:p>
      <w:r/>
      <w:r>
        <w:t xml:space="preserve">Zelzelim e meziltayim eram címbalos usados no antigo Israel. Essas palavras vêm da palavra hebraica </w:t>
      </w:r>
      <w:r>
        <w:rPr>
          <w:i/>
        </w:rPr>
        <w:t>zala</w:t>
      </w:r>
      <w:r>
        <w:t>, que significa "fazer um som de toque". A Bíblia sempre usa essas palavras no plural dual (indicando que dois itens andam juntos). Isso nos mostra que os címbalos eram sempre usados em pares.</w:t>
      </w:r>
    </w:p>
    <w:p>
      <w:r/>
      <w:r>
        <w:t>Algumas traduções da Bíblia traduzem incorretamente essas palavras como "castanholas" (blocos de madeira ou metal que produzem sons de clique).</w:t>
      </w:r>
    </w:p>
    <w:p>
      <w:r/>
      <w:r>
        <w:t>As pessoas faziam esses címbalos de metal. Eles vinham em pares, e uma pessoa tocava os dois címbalos juntos. Esses eram os únicos instrumentos de percussão permitidos no culto do templo. Címbalos de metal eram comuns em muitas culturas antigas.</w:t>
      </w:r>
    </w:p>
    <w:p>
      <w:r/>
      <w:r>
        <w:t>Os pratos aparecem pela primeira vez na Bíblia quando as pessoas moveram a arca para Jerusalém (</w:t>
      </w:r>
      <w:hyperlink r:id="rId4905">
        <w:r>
          <w:rPr>
            <w:color w:val="0000EE"/>
            <w:u w:val="single"/>
          </w:rPr>
          <w:t>2Sm 6.5</w:t>
        </w:r>
      </w:hyperlink>
      <w:r>
        <w:t xml:space="preserve">; </w:t>
      </w:r>
      <w:hyperlink r:id="rId11087">
        <w:r>
          <w:rPr>
            <w:color w:val="0000EE"/>
            <w:u w:val="single"/>
          </w:rPr>
          <w:t>1Cr 13.8</w:t>
        </w:r>
      </w:hyperlink>
      <w:r>
        <w:t>). Mais tarde, os líderes dos cantores levíticos (músicos da tribo de Levi) tocaram pratos no templo (</w:t>
      </w:r>
      <w:hyperlink r:id="rId10689">
        <w:r>
          <w:rPr>
            <w:color w:val="0000EE"/>
            <w:u w:val="single"/>
          </w:rPr>
          <w:t>1Cr 15.19</w:t>
        </w:r>
      </w:hyperlink>
      <w:r>
        <w:t>).</w:t>
      </w:r>
    </w:p>
    <w:p>
      <w:r/>
      <w:r>
        <w:t>Os pratos tinham um propósito especial na adoração. Em vez de fazer música, eles eram usados para:</w:t>
      </w:r>
    </w:p>
    <w:p>
      <w:pPr>
        <w:pStyle w:val="ListBullet"/>
        <w:spacing w:line="240" w:lineRule="auto"/>
        <w:ind w:left="720"/>
      </w:pPr>
      <w:r/>
      <w:r>
        <w:t>Indicar quando as pessoas devem começar a cantar</w:t>
      </w:r>
    </w:p>
    <w:p>
      <w:pPr>
        <w:pStyle w:val="ListBullet"/>
        <w:spacing w:line="240" w:lineRule="auto"/>
        <w:ind w:left="720"/>
      </w:pPr>
      <w:r/>
      <w:r>
        <w:t>Diferentes seções dos Salmos</w:t>
      </w:r>
    </w:p>
    <w:p>
      <w:r/>
      <w:hyperlink r:id="rId727">
        <w:r>
          <w:rPr>
            <w:color w:val="0000EE"/>
            <w:u w:val="single"/>
          </w:rPr>
          <w:t>Salmo 150</w:t>
        </w:r>
      </w:hyperlink>
      <w:r>
        <w:t xml:space="preserve"> menciona dois tipos diferentes de címbalos. Não temos certeza de como esses címbalos se diferenciavam. Eles podem ter sido de tamanhos distintos ou feitos de materiais diferentes.</w:t>
      </w:r>
      <w:r/>
      <w:r/>
    </w:p>
    <w:p>
      <w:r/>
    </w:p>
    <w:p>
      <w:pPr>
        <w:pStyle w:val="Heading2"/>
      </w:pPr>
      <w:r>
        <w:t>Intercessão de Cristo</w:t>
      </w:r>
      <w:r/>
    </w:p>
    <w:p>
      <w:r/>
      <w:r>
        <w:t>O termo teológico para o trabalho de Jesus Cristo ao interceder junto a Deus Pai para salvar, ajudar e apoiar as pessoas na terra.</w:t>
      </w:r>
    </w:p>
    <w:p>
      <w:r/>
      <w:r>
        <w:t>A palavra hebraica para "intercessão" vem de uma raiz que significa "golpear", sugerindo a ideia de fazer um pedido forte. Esta palavra é usada em uma profecia sobre o “servo do Senhor” em Isaías: “Ele levou o pecado de muitos e intercedeu pelos transgressores” (</w:t>
      </w:r>
      <w:hyperlink r:id="rId4684">
        <w:r>
          <w:rPr>
            <w:color w:val="0000EE"/>
            <w:u w:val="single"/>
          </w:rPr>
          <w:t>Is 53.12</w:t>
        </w:r>
      </w:hyperlink>
      <w:r>
        <w:t xml:space="preserve">). Em grego, a palavra para intercessão originalmente significava "encontrar", "aproximar-se" ou "apelar". Durante o período entre o Antigo e o Novo Testamento, esta palavra era usada para descrever o ato de pedir pessoalmente um favor a um oficial (como visto em </w:t>
      </w:r>
      <w:hyperlink r:id="rId11088">
        <w:r>
          <w:rPr>
            <w:color w:val="0000EE"/>
            <w:u w:val="single"/>
          </w:rPr>
          <w:t>2Mc 4.8</w:t>
        </w:r>
      </w:hyperlink>
      <w:r>
        <w:t>). No Novo Testamento, a forma substantiva é traduzida tanto como "intercessão" (</w:t>
      </w:r>
      <w:hyperlink r:id="rId11089">
        <w:r>
          <w:rPr>
            <w:color w:val="0000EE"/>
            <w:u w:val="single"/>
          </w:rPr>
          <w:t>1Tm 2.1</w:t>
        </w:r>
      </w:hyperlink>
      <w:r>
        <w:t>) quanto como "oração" (</w:t>
      </w:r>
      <w:hyperlink r:id="rId5432">
        <w:r>
          <w:rPr>
            <w:color w:val="0000EE"/>
            <w:u w:val="single"/>
          </w:rPr>
          <w:t>1Tm 4.5</w:t>
        </w:r>
      </w:hyperlink>
      <w:r>
        <w:t>).</w:t>
      </w:r>
    </w:p>
    <w:p>
      <w:r/>
      <w:r>
        <w:t>Teólogos consideram a intercessão de Cristo como a segunda parte de seu trabalho sacerdotal. Seu sofrimento e morte na cruz foram a primeira parte. Isso resolveu o problema do erro humano (pecado) e restaurou a relação entre Deus e as pessoas (</w:t>
      </w:r>
      <w:hyperlink r:id="rId11090">
        <w:r>
          <w:rPr>
            <w:color w:val="0000EE"/>
            <w:u w:val="single"/>
          </w:rPr>
          <w:t>1Tm 2.5–6</w:t>
        </w:r>
      </w:hyperlink>
      <w:r>
        <w:t>). No Antigo Testamento, os sacerdotes oravam pelo povo. No Dia da Expiação, o sumo sacerdote entrava no santo dos santos com o sangue da oferta pelo pecado. Ele então santificava o lugar com incenso e aspergia sangue sobre o "propiciatório" (</w:t>
      </w:r>
      <w:hyperlink r:id="rId11091">
        <w:r>
          <w:rPr>
            <w:color w:val="0000EE"/>
            <w:u w:val="single"/>
          </w:rPr>
          <w:t>Lv 16.11–19</w:t>
        </w:r>
      </w:hyperlink>
      <w:r>
        <w:t>). Depois que Jesus morreu pelos pecados, Ele foi ao Pai e entrou no céu, onde agora representa seu povo (</w:t>
      </w:r>
      <w:hyperlink r:id="rId4777">
        <w:r>
          <w:rPr>
            <w:color w:val="0000EE"/>
            <w:u w:val="single"/>
          </w:rPr>
          <w:t>Hb 7.25</w:t>
        </w:r>
      </w:hyperlink>
      <w:r>
        <w:t>).</w:t>
      </w:r>
    </w:p>
    <w:p>
      <w:pPr>
        <w:pStyle w:val="Heading3"/>
      </w:pPr>
      <w:r>
        <w:t>Intercessão de Cristo na Terra</w:t>
      </w:r>
    </w:p>
    <w:p>
      <w:r/>
      <w:r>
        <w:t xml:space="preserve">Antes de iniciar sua vida de intercessão no céu, Jesus Cristo orou e intercedeu pelas pessoas na terra. Isso estava de acordo com seu ensinamento de que seus seguidores deveriam sempre orar e não desanimar ("perder o ânimo, </w:t>
      </w:r>
      <w:hyperlink r:id="rId11092">
        <w:r>
          <w:rPr>
            <w:color w:val="0000EE"/>
            <w:u w:val="single"/>
          </w:rPr>
          <w:t>Lc 18.1</w:t>
        </w:r>
      </w:hyperlink>
      <w:r>
        <w:t>). A Bíblia frequentemente mostra Jesus orando. e.g., ele orou no túmulo de seu amigo Lázaro (</w:t>
      </w:r>
      <w:hyperlink r:id="rId11093">
        <w:r>
          <w:rPr>
            <w:color w:val="0000EE"/>
            <w:u w:val="single"/>
          </w:rPr>
          <w:t>Jo 11.41–42</w:t>
        </w:r>
      </w:hyperlink>
      <w:r>
        <w:t>). Ele passou a noite toda em oração em uma montanha antes de escolher os doze apóstolos (</w:t>
      </w:r>
      <w:hyperlink r:id="rId11094">
        <w:r>
          <w:rPr>
            <w:color w:val="0000EE"/>
            <w:u w:val="single"/>
          </w:rPr>
          <w:t>Lc 6.12–13</w:t>
        </w:r>
      </w:hyperlink>
      <w:r>
        <w:t>). Depois de avisar seu discípulo Pedro que Satanás queria testá-lo, Jesus disse a Pedro: “Eu orei por você para que sua fé não falhe” (</w:t>
      </w:r>
      <w:hyperlink r:id="rId11095">
        <w:r>
          <w:rPr>
            <w:color w:val="0000EE"/>
            <w:u w:val="single"/>
          </w:rPr>
          <w:t>Lc 22.32</w:t>
        </w:r>
      </w:hyperlink>
      <w:r>
        <w:t>). As primeiras palavras de Jesus na cruz foram uma oração por aqueles que o perseguiam (</w:t>
      </w:r>
      <w:hyperlink r:id="rId11096">
        <w:r>
          <w:rPr>
            <w:color w:val="0000EE"/>
            <w:u w:val="single"/>
          </w:rPr>
          <w:t>Lc 23.34</w:t>
        </w:r>
      </w:hyperlink>
      <w:r>
        <w:t>).</w:t>
      </w:r>
    </w:p>
    <w:p>
      <w:r/>
      <w:r>
        <w:t xml:space="preserve">A "oração sacerdotal" em </w:t>
      </w:r>
      <w:hyperlink r:id="rId9388">
        <w:r>
          <w:rPr>
            <w:color w:val="0000EE"/>
            <w:u w:val="single"/>
          </w:rPr>
          <w:t>João 17</w:t>
        </w:r>
      </w:hyperlink>
      <w:r>
        <w:t xml:space="preserve"> é o exemplo mais completo de uma oração intercessória de Jesus na Bíblia. Esta oração é baseada em seu relacionamento próximo com seu Pai (</w:t>
      </w:r>
      <w:hyperlink r:id="rId8801">
        <w:r>
          <w:rPr>
            <w:color w:val="0000EE"/>
            <w:u w:val="single"/>
          </w:rPr>
          <w:t>Jo 17.5,8</w:t>
        </w:r>
      </w:hyperlink>
      <w:r>
        <w:t>). Jesus ora por três coisas:</w:t>
      </w:r>
    </w:p>
    <w:p>
      <w:pPr>
        <w:pStyle w:val="ListNumber"/>
        <w:spacing w:line="240" w:lineRule="auto"/>
        <w:ind w:left="720"/>
      </w:pPr>
      <w:r/>
      <w:r>
        <w:t>Por si mesmo, pedindo que pudesse glorificar o Pai e terminar a obra que foi enviado para fazer (</w:t>
      </w:r>
      <w:hyperlink r:id="rId11097">
        <w:r>
          <w:rPr>
            <w:color w:val="0000EE"/>
            <w:u w:val="single"/>
          </w:rPr>
          <w:t>Jo 17.1–5</w:t>
        </w:r>
      </w:hyperlink>
      <w:r>
        <w:t>)</w:t>
      </w:r>
    </w:p>
    <w:p>
      <w:pPr>
        <w:pStyle w:val="ListNumber"/>
        <w:spacing w:line="240" w:lineRule="auto"/>
        <w:ind w:left="720"/>
      </w:pPr>
      <w:r/>
      <w:r>
        <w:t>Para seus discípulos, que foram escolhidos para espalhar o evangelho após sua partida (</w:t>
      </w:r>
      <w:hyperlink r:id="rId11098">
        <w:r>
          <w:rPr>
            <w:color w:val="0000EE"/>
            <w:u w:val="single"/>
          </w:rPr>
          <w:t>Jo 17.8–9</w:t>
        </w:r>
      </w:hyperlink>
      <w:r>
        <w:t>)</w:t>
      </w:r>
    </w:p>
    <w:p>
      <w:pPr>
        <w:pStyle w:val="ListNumber"/>
        <w:spacing w:line="240" w:lineRule="auto"/>
        <w:ind w:left="720"/>
      </w:pPr>
      <w:r/>
      <w:r>
        <w:t>Para todos os crentes (</w:t>
      </w:r>
      <w:hyperlink r:id="rId11099">
        <w:r>
          <w:rPr>
            <w:color w:val="0000EE"/>
            <w:u w:val="single"/>
          </w:rPr>
          <w:t>Jo 17.20</w:t>
        </w:r>
      </w:hyperlink>
      <w:r>
        <w:t>)</w:t>
      </w:r>
    </w:p>
    <w:p>
      <w:r/>
      <w:r>
        <w:t>Os objetivos de sua intercessão incluem:</w:t>
      </w:r>
    </w:p>
    <w:p>
      <w:pPr>
        <w:pStyle w:val="ListNumber"/>
        <w:spacing w:line="240" w:lineRule="auto"/>
        <w:ind w:left="720"/>
      </w:pPr>
      <w:r/>
      <w:r>
        <w:t>A unidade do povo de Deus (</w:t>
      </w:r>
      <w:hyperlink r:id="rId5973">
        <w:r>
          <w:rPr>
            <w:color w:val="0000EE"/>
            <w:u w:val="single"/>
          </w:rPr>
          <w:t>Jo 17.11,21</w:t>
        </w:r>
      </w:hyperlink>
      <w:r>
        <w:t>)</w:t>
      </w:r>
    </w:p>
    <w:p>
      <w:pPr>
        <w:pStyle w:val="ListNumber"/>
        <w:spacing w:line="240" w:lineRule="auto"/>
        <w:ind w:left="720"/>
      </w:pPr>
      <w:r/>
      <w:r>
        <w:t>A alegria deles, apesar das dificuldades (</w:t>
      </w:r>
      <w:hyperlink r:id="rId11100">
        <w:r>
          <w:rPr>
            <w:color w:val="0000EE"/>
            <w:u w:val="single"/>
          </w:rPr>
          <w:t>Jo 17.13</w:t>
        </w:r>
      </w:hyperlink>
      <w:r>
        <w:t>)</w:t>
      </w:r>
    </w:p>
    <w:p>
      <w:pPr>
        <w:pStyle w:val="ListNumber"/>
        <w:spacing w:line="240" w:lineRule="auto"/>
        <w:ind w:left="720"/>
      </w:pPr>
      <w:r/>
      <w:r>
        <w:t>Sua proteção contra o mal (</w:t>
      </w:r>
      <w:hyperlink r:id="rId11101">
        <w:r>
          <w:rPr>
            <w:color w:val="0000EE"/>
            <w:u w:val="single"/>
          </w:rPr>
          <w:t>Jo 17.15</w:t>
        </w:r>
      </w:hyperlink>
      <w:r>
        <w:t>)</w:t>
      </w:r>
    </w:p>
    <w:p>
      <w:pPr>
        <w:pStyle w:val="ListNumber"/>
        <w:spacing w:line="240" w:lineRule="auto"/>
        <w:ind w:left="720"/>
      </w:pPr>
      <w:r/>
      <w:r>
        <w:t>Sua santificação pela Palavra de Deus (</w:t>
      </w:r>
      <w:hyperlink r:id="rId10554">
        <w:r>
          <w:rPr>
            <w:color w:val="0000EE"/>
            <w:u w:val="single"/>
          </w:rPr>
          <w:t>Jo 17.17</w:t>
        </w:r>
      </w:hyperlink>
      <w:r>
        <w:t>)</w:t>
      </w:r>
    </w:p>
    <w:p>
      <w:pPr>
        <w:pStyle w:val="ListNumber"/>
        <w:spacing w:line="240" w:lineRule="auto"/>
        <w:ind w:left="720"/>
      </w:pPr>
      <w:r/>
      <w:r>
        <w:t>Sua comunhão eterna com Cristo (</w:t>
      </w:r>
      <w:hyperlink r:id="rId6866">
        <w:r>
          <w:rPr>
            <w:color w:val="0000EE"/>
            <w:u w:val="single"/>
          </w:rPr>
          <w:t>Jo 17.24</w:t>
        </w:r>
      </w:hyperlink>
      <w:r>
        <w:t>)</w:t>
      </w:r>
    </w:p>
    <w:p>
      <w:pPr>
        <w:pStyle w:val="Heading3"/>
      </w:pPr>
      <w:r>
        <w:t>Intercessão de Cristo no Céu</w:t>
      </w:r>
    </w:p>
    <w:p>
      <w:r/>
      <w:r>
        <w:t>A intercessão de Cristo por seu povo, que começou na terra, continua no céu. O Livro de Hebreus descreve Cristo como um sacerdote e foca em seu ministério contínuo de intercessão. Sua intercessão celestial segue seu sacrifício terrestre, que foi completado “uma vez por todas” (</w:t>
      </w:r>
      <w:hyperlink r:id="rId11102">
        <w:r>
          <w:rPr>
            <w:color w:val="0000EE"/>
            <w:u w:val="single"/>
          </w:rPr>
          <w:t>Hb 10.10–18</w:t>
        </w:r>
      </w:hyperlink>
      <w:r>
        <w:t>). O próprio Jesus disse: “Todo aquele que me reconhecer diante dos homens, eu também o reconhecerei diante de meu Pai que está no céu” (</w:t>
      </w:r>
      <w:hyperlink r:id="rId5385">
        <w:r>
          <w:rPr>
            <w:color w:val="0000EE"/>
            <w:u w:val="single"/>
          </w:rPr>
          <w:t>Mt 10.32</w:t>
        </w:r>
      </w:hyperlink>
      <w:r>
        <w:t>). Esta intercessão contínua é reconhecida em frases do Novo Testamento como “por meio de Jesus Cristo” (</w:t>
      </w:r>
      <w:hyperlink r:id="rId11103">
        <w:r>
          <w:rPr>
            <w:color w:val="0000EE"/>
            <w:u w:val="single"/>
          </w:rPr>
          <w:t>Rm 1.8</w:t>
        </w:r>
      </w:hyperlink>
      <w:r>
        <w:t xml:space="preserve">; </w:t>
      </w:r>
      <w:hyperlink r:id="rId11104">
        <w:r>
          <w:rPr>
            <w:color w:val="0000EE"/>
            <w:u w:val="single"/>
          </w:rPr>
          <w:t>16.27</w:t>
        </w:r>
      </w:hyperlink>
      <w:r>
        <w:t xml:space="preserve">; </w:t>
      </w:r>
      <w:hyperlink r:id="rId4509">
        <w:r>
          <w:rPr>
            <w:color w:val="0000EE"/>
            <w:u w:val="single"/>
          </w:rPr>
          <w:t>1Pe 2.5</w:t>
        </w:r>
      </w:hyperlink>
      <w:r>
        <w:t>), “por meio dele” (</w:t>
      </w:r>
      <w:hyperlink r:id="rId11105">
        <w:r>
          <w:rPr>
            <w:color w:val="0000EE"/>
            <w:u w:val="single"/>
          </w:rPr>
          <w:t>Cl 3.17</w:t>
        </w:r>
      </w:hyperlink>
      <w:r>
        <w:t xml:space="preserve">; </w:t>
      </w:r>
      <w:hyperlink r:id="rId11106">
        <w:r>
          <w:rPr>
            <w:color w:val="0000EE"/>
            <w:u w:val="single"/>
          </w:rPr>
          <w:t>Hb 13.15</w:t>
        </w:r>
      </w:hyperlink>
      <w:r>
        <w:t>), e “em nome de nosso Senhor Jesus Cristo” (</w:t>
      </w:r>
      <w:hyperlink r:id="rId10190">
        <w:r>
          <w:rPr>
            <w:color w:val="0000EE"/>
            <w:u w:val="single"/>
          </w:rPr>
          <w:t>Ef 5.20</w:t>
        </w:r>
      </w:hyperlink>
      <w:r>
        <w:t>).</w:t>
      </w:r>
    </w:p>
    <w:p>
      <w:r/>
      <w:r>
        <w:t>O Novo Testamento afirma explicitamente a doutrina da intercessão celestial de Cristo em quatro passagens-chave. O apóstolo Paulo diz que Cristo está “à direita de Deus, que de fato intercede por nós” (</w:t>
      </w:r>
      <w:hyperlink r:id="rId11107">
        <w:r>
          <w:rPr>
            <w:color w:val="0000EE"/>
            <w:u w:val="single"/>
          </w:rPr>
          <w:t>Rm 8.34</w:t>
        </w:r>
      </w:hyperlink>
      <w:r>
        <w:t>). O autor de Hebreus afirma que Cristo “é capaz de salvar para sempre aqueles que se aproximam de Deus por meio dele, visto que ele sempre vive para interceder por eles” (</w:t>
      </w:r>
      <w:hyperlink r:id="rId4777">
        <w:r>
          <w:rPr>
            <w:color w:val="0000EE"/>
            <w:u w:val="single"/>
          </w:rPr>
          <w:t>Hb 7.25</w:t>
        </w:r>
      </w:hyperlink>
      <w:r>
        <w:t>). Além disso, Cristo entrou “no próprio céu, agora para aparecer na presença de Deus em nosso favor” (</w:t>
      </w:r>
      <w:hyperlink r:id="rId2681">
        <w:r>
          <w:rPr>
            <w:color w:val="0000EE"/>
            <w:u w:val="single"/>
          </w:rPr>
          <w:t>Hb 9.24</w:t>
        </w:r>
      </w:hyperlink>
      <w:r>
        <w:t>). O apóstolo João também descreve este ministério: “Se alguém pecar, temos um Advogado junto ao Pai, Jesus Cristo, o justo” (</w:t>
      </w:r>
      <w:hyperlink r:id="rId2684">
        <w:r>
          <w:rPr>
            <w:color w:val="0000EE"/>
            <w:u w:val="single"/>
          </w:rPr>
          <w:t>1Jo 2.1</w:t>
        </w:r>
      </w:hyperlink>
      <w:r>
        <w:t>). A palavra grega para “Advogado” refere-se a um conselheiro legal que representa a causa de um cliente perante um juiz. João, portanto, apresenta o Senhor ressuscitado como aparecendo diante de Deus em favor de seu povo, oferecendo sua própria obediência e sofrimento como a razão para o perdão deles.</w:t>
      </w:r>
    </w:p>
    <w:p>
      <w:pPr>
        <w:pStyle w:val="Heading3"/>
      </w:pPr>
      <w:r>
        <w:t>Como funciona a intercessão?</w:t>
      </w:r>
    </w:p>
    <w:p>
      <w:r/>
      <w:r>
        <w:t>A intercessão de Cristo no céu tem dois aspectos. É tanto completa quanto contínua. Sua obra redentora está concluída, mas Ele continua a cuidar do povo de Deus. Sua intercessão inclui:</w:t>
      </w:r>
    </w:p>
    <w:p>
      <w:pPr>
        <w:pStyle w:val="ListNumber"/>
        <w:spacing w:line="240" w:lineRule="auto"/>
        <w:ind w:left="720"/>
      </w:pPr>
      <w:r/>
      <w:r>
        <w:t>Sua presença com o Pai como base para a justificação de cada crente (</w:t>
      </w:r>
      <w:hyperlink r:id="rId2681">
        <w:r>
          <w:rPr>
            <w:color w:val="0000EE"/>
            <w:u w:val="single"/>
          </w:rPr>
          <w:t>Hb 9.24</w:t>
        </w:r>
      </w:hyperlink>
      <w:r>
        <w:t>)</w:t>
      </w:r>
    </w:p>
    <w:p>
      <w:pPr>
        <w:pStyle w:val="ListNumber"/>
        <w:spacing w:line="240" w:lineRule="auto"/>
        <w:ind w:left="720"/>
      </w:pPr>
      <w:r/>
      <w:r>
        <w:t>Ele interrompe as acusações de Satanás contra cada crente (</w:t>
      </w:r>
      <w:hyperlink r:id="rId7839">
        <w:r>
          <w:rPr>
            <w:color w:val="0000EE"/>
            <w:u w:val="single"/>
          </w:rPr>
          <w:t>Rm 8.33</w:t>
        </w:r>
      </w:hyperlink>
      <w:r>
        <w:t xml:space="preserve">; </w:t>
      </w:r>
      <w:hyperlink r:id="rId11108">
        <w:r>
          <w:rPr>
            <w:color w:val="0000EE"/>
            <w:u w:val="single"/>
          </w:rPr>
          <w:t>Ap 12.10</w:t>
        </w:r>
      </w:hyperlink>
      <w:r>
        <w:t>)</w:t>
      </w:r>
    </w:p>
    <w:p>
      <w:pPr>
        <w:pStyle w:val="ListNumber"/>
        <w:spacing w:line="240" w:lineRule="auto"/>
        <w:ind w:left="720"/>
      </w:pPr>
      <w:r/>
      <w:r>
        <w:t>Ele reivindica o direito de cada crente de entrar na presença de Deus (</w:t>
      </w:r>
      <w:hyperlink r:id="rId2687">
        <w:r>
          <w:rPr>
            <w:color w:val="0000EE"/>
            <w:u w:val="single"/>
          </w:rPr>
          <w:t>Hb 4.14–16</w:t>
        </w:r>
      </w:hyperlink>
      <w:r>
        <w:t>)</w:t>
      </w:r>
    </w:p>
    <w:p>
      <w:pPr>
        <w:pStyle w:val="ListNumber"/>
        <w:spacing w:line="240" w:lineRule="auto"/>
        <w:ind w:left="720"/>
      </w:pPr>
      <w:r/>
      <w:r>
        <w:t>Sua mediação nas orações de cada crente</w:t>
      </w:r>
    </w:p>
    <w:p>
      <w:r/>
      <w:r>
        <w:t>Em resposta, Deus Pai concede aos crentes diversas bênçãos espirituais.</w:t>
      </w:r>
    </w:p>
    <w:p>
      <w:r/>
      <w:r>
        <w:t>João Owen, um puritano que viveu de 1616 a 1683, disse: “A intercessão de Cristo... é sua contínua aparição por nós na presença de Deus, representando o poder de seu sacrifício, juntamente com seu cuidado terno, amor e desejo pelo bem-estar, apoio, libertação e salvação da igreja”.</w:t>
      </w:r>
    </w:p>
    <w:p>
      <w:r/>
      <w:r>
        <w:t>A Bíblia descreve as pessoas por quem Cristo intercede tanto de forma ampla quanto específica. Afirma-se que Cristo ora por todas as pessoas em todos os lugares (</w:t>
      </w:r>
      <w:hyperlink r:id="rId4684">
        <w:r>
          <w:rPr>
            <w:color w:val="0000EE"/>
            <w:u w:val="single"/>
          </w:rPr>
          <w:t>Is 53.12</w:t>
        </w:r>
      </w:hyperlink>
      <w:r>
        <w:t xml:space="preserve">; compare </w:t>
      </w:r>
      <w:hyperlink r:id="rId856">
        <w:r>
          <w:rPr>
            <w:color w:val="0000EE"/>
            <w:u w:val="single"/>
          </w:rPr>
          <w:t>Mt 26.28</w:t>
        </w:r>
      </w:hyperlink>
      <w:r>
        <w:t>). Mais especificamente, Ele ora por sua comunidade redimida, a igreja (</w:t>
      </w:r>
      <w:hyperlink r:id="rId11109">
        <w:r>
          <w:rPr>
            <w:color w:val="0000EE"/>
            <w:u w:val="single"/>
          </w:rPr>
          <w:t>Jo 14.16</w:t>
        </w:r>
      </w:hyperlink>
      <w:r>
        <w:t xml:space="preserve">; </w:t>
      </w:r>
      <w:hyperlink r:id="rId11110">
        <w:r>
          <w:rPr>
            <w:color w:val="0000EE"/>
            <w:u w:val="single"/>
          </w:rPr>
          <w:t>17.9,20</w:t>
        </w:r>
      </w:hyperlink>
      <w:r>
        <w:t xml:space="preserve">; </w:t>
      </w:r>
      <w:hyperlink r:id="rId10914">
        <w:r>
          <w:rPr>
            <w:color w:val="0000EE"/>
            <w:u w:val="single"/>
          </w:rPr>
          <w:t>Hb 4.15–16</w:t>
        </w:r>
      </w:hyperlink>
      <w:r>
        <w:t>). No entanto, as orações de Cristo também são focadas nas necessidades específicas dos crentes individuais (</w:t>
      </w:r>
      <w:hyperlink r:id="rId11111">
        <w:r>
          <w:rPr>
            <w:color w:val="0000EE"/>
            <w:u w:val="single"/>
          </w:rPr>
          <w:t>Lc 22.31–32</w:t>
        </w:r>
      </w:hyperlink>
      <w:r>
        <w:t xml:space="preserve">; </w:t>
      </w:r>
      <w:hyperlink r:id="rId2684">
        <w:r>
          <w:rPr>
            <w:color w:val="0000EE"/>
            <w:u w:val="single"/>
          </w:rPr>
          <w:t>1Jo 2.1</w:t>
        </w:r>
      </w:hyperlink>
      <w:r>
        <w:t>).</w:t>
      </w:r>
      <w:r/>
      <w:r/>
    </w:p>
    <w:p>
      <w:r/>
    </w:p>
    <w:p>
      <w:pPr>
        <w:pStyle w:val="Heading2"/>
      </w:pPr>
      <w:r>
        <w:t>Intérprete</w:t>
      </w:r>
      <w:r/>
    </w:p>
    <w:p>
      <w:r/>
      <w:r>
        <w:t>Uma pessoa que ajuda a comunicar entre falantes de diferentes idiomas ou alguém que interpreta sonhos.</w:t>
      </w:r>
    </w:p>
    <w:p>
      <w:r/>
      <w:r>
        <w:t>José fingiu precisar de um intérprete para falar com seus irmãos (</w:t>
      </w:r>
      <w:hyperlink r:id="rId11112">
        <w:r>
          <w:rPr>
            <w:color w:val="0000EE"/>
            <w:u w:val="single"/>
          </w:rPr>
          <w:t>Gn 42.23</w:t>
        </w:r>
      </w:hyperlink>
      <w:r>
        <w:t>). Além disso, sonhos precisavam ser interpretados (</w:t>
      </w:r>
      <w:hyperlink r:id="rId11113">
        <w:r>
          <w:rPr>
            <w:color w:val="0000EE"/>
            <w:u w:val="single"/>
          </w:rPr>
          <w:t>Gn 40.8</w:t>
        </w:r>
      </w:hyperlink>
      <w:r>
        <w:t xml:space="preserve">; </w:t>
      </w:r>
      <w:hyperlink r:id="rId11114">
        <w:r>
          <w:rPr>
            <w:color w:val="0000EE"/>
            <w:u w:val="single"/>
          </w:rPr>
          <w:t>41.15–16</w:t>
        </w:r>
      </w:hyperlink>
      <w:r>
        <w:t xml:space="preserve">; </w:t>
      </w:r>
      <w:hyperlink r:id="rId6537">
        <w:r>
          <w:rPr>
            <w:color w:val="0000EE"/>
            <w:u w:val="single"/>
          </w:rPr>
          <w:t>Dn 2</w:t>
        </w:r>
      </w:hyperlink>
      <w:r>
        <w:t xml:space="preserve">; </w:t>
      </w:r>
      <w:hyperlink r:id="rId11115">
        <w:r>
          <w:rPr>
            <w:color w:val="0000EE"/>
            <w:u w:val="single"/>
          </w:rPr>
          <w:t>4.6</w:t>
        </w:r>
      </w:hyperlink>
      <w:hyperlink r:id="rId11116">
        <w:r>
          <w:rPr>
            <w:color w:val="0000EE"/>
            <w:u w:val="single"/>
          </w:rPr>
          <w:t>–</w:t>
        </w:r>
      </w:hyperlink>
      <w:hyperlink r:id="rId11115">
        <w:r>
          <w:rPr>
            <w:color w:val="0000EE"/>
            <w:u w:val="single"/>
          </w:rPr>
          <w:t>9,18</w:t>
        </w:r>
      </w:hyperlink>
      <w:hyperlink r:id="rId11116">
        <w:r>
          <w:rPr>
            <w:color w:val="0000EE"/>
            <w:u w:val="single"/>
          </w:rPr>
          <w:t>–</w:t>
        </w:r>
      </w:hyperlink>
      <w:hyperlink r:id="rId11115">
        <w:r>
          <w:rPr>
            <w:color w:val="0000EE"/>
            <w:u w:val="single"/>
          </w:rPr>
          <w:t>24</w:t>
        </w:r>
      </w:hyperlink>
      <w:r>
        <w:t xml:space="preserve">; </w:t>
      </w:r>
      <w:hyperlink r:id="rId11117">
        <w:r>
          <w:rPr>
            <w:color w:val="0000EE"/>
            <w:u w:val="single"/>
          </w:rPr>
          <w:t>5.7</w:t>
        </w:r>
      </w:hyperlink>
      <w:hyperlink r:id="rId11118">
        <w:r>
          <w:rPr>
            <w:color w:val="0000EE"/>
            <w:u w:val="single"/>
          </w:rPr>
          <w:t>–</w:t>
        </w:r>
      </w:hyperlink>
      <w:hyperlink r:id="rId11117">
        <w:r>
          <w:rPr>
            <w:color w:val="0000EE"/>
            <w:u w:val="single"/>
          </w:rPr>
          <w:t>8,12</w:t>
        </w:r>
      </w:hyperlink>
      <w:hyperlink r:id="rId11118">
        <w:r>
          <w:rPr>
            <w:color w:val="0000EE"/>
            <w:u w:val="single"/>
          </w:rPr>
          <w:t>–</w:t>
        </w:r>
      </w:hyperlink>
      <w:hyperlink r:id="rId11117">
        <w:r>
          <w:rPr>
            <w:color w:val="0000EE"/>
            <w:u w:val="single"/>
          </w:rPr>
          <w:t>17</w:t>
        </w:r>
      </w:hyperlink>
      <w:r>
        <w:t xml:space="preserve">; </w:t>
      </w:r>
      <w:hyperlink r:id="rId11119">
        <w:r>
          <w:rPr>
            <w:color w:val="0000EE"/>
            <w:u w:val="single"/>
          </w:rPr>
          <w:t>7.16</w:t>
        </w:r>
      </w:hyperlink>
      <w:r>
        <w:t>). O intérprete às vezes era alguém que atuava como mediador (</w:t>
      </w:r>
      <w:hyperlink r:id="rId11120">
        <w:r>
          <w:rPr>
            <w:color w:val="0000EE"/>
            <w:u w:val="single"/>
          </w:rPr>
          <w:t>Jó 33.23</w:t>
        </w:r>
      </w:hyperlink>
      <w:r>
        <w:t>).</w:t>
      </w:r>
    </w:p>
    <w:p>
      <w:r/>
      <w:r>
        <w:t>Esdras e Neemias atuaram como intérpretes ou tradutores da lei de Moisés quando ela foi lida para os judeus que haviam retornado do exílio (</w:t>
      </w:r>
      <w:hyperlink r:id="rId11121">
        <w:r>
          <w:rPr>
            <w:color w:val="0000EE"/>
            <w:u w:val="single"/>
          </w:rPr>
          <w:t>Ne 8.8–9</w:t>
        </w:r>
      </w:hyperlink>
      <w:r>
        <w:t>). Eles provavelmente não conheciam hebraico.</w:t>
      </w:r>
    </w:p>
    <w:p>
      <w:r/>
      <w:r>
        <w:t>Nos tempos do Novo Testamento, o intérprete:</w:t>
      </w:r>
    </w:p>
    <w:p>
      <w:pPr>
        <w:pStyle w:val="ListBullet"/>
        <w:spacing w:line="240" w:lineRule="auto"/>
        <w:ind w:left="720"/>
      </w:pPr>
      <w:r/>
      <w:r>
        <w:t>Explicava as palavras daqueles que falavam em línguas (</w:t>
      </w:r>
      <w:hyperlink r:id="rId11122">
        <w:r>
          <w:rPr>
            <w:color w:val="0000EE"/>
            <w:u w:val="single"/>
          </w:rPr>
          <w:t>1Co 14.28</w:t>
        </w:r>
      </w:hyperlink>
      <w:r>
        <w:t>).</w:t>
      </w:r>
    </w:p>
    <w:p>
      <w:pPr>
        <w:pStyle w:val="ListBullet"/>
        <w:spacing w:line="240" w:lineRule="auto"/>
        <w:ind w:left="720"/>
      </w:pPr>
      <w:r/>
      <w:r>
        <w:t>Traduzia línguas estrangeiras (</w:t>
      </w:r>
      <w:hyperlink r:id="rId11123">
        <w:r>
          <w:rPr>
            <w:color w:val="0000EE"/>
            <w:u w:val="single"/>
          </w:rPr>
          <w:t>At 2.6</w:t>
        </w:r>
      </w:hyperlink>
      <w:r>
        <w:t>).</w:t>
      </w:r>
    </w:p>
    <w:p>
      <w:pPr>
        <w:pStyle w:val="ListBullet"/>
        <w:spacing w:line="240" w:lineRule="auto"/>
        <w:ind w:left="720"/>
      </w:pPr>
      <w:r/>
      <w:r>
        <w:t>Explicava as Escrituras (</w:t>
      </w:r>
      <w:hyperlink r:id="rId3739">
        <w:r>
          <w:rPr>
            <w:color w:val="0000EE"/>
            <w:u w:val="single"/>
          </w:rPr>
          <w:t>Lc 24.27</w:t>
        </w:r>
      </w:hyperlink>
      <w:r>
        <w:t>).</w:t>
      </w:r>
      <w:r/>
      <w:r/>
    </w:p>
    <w:p>
      <w:r/>
    </w:p>
    <w:p>
      <w:pPr>
        <w:pStyle w:val="Heading2"/>
      </w:pPr>
      <w:r>
        <w:t>Ir</w:t>
      </w:r>
      <w:r/>
    </w:p>
    <w:p>
      <w:r/>
      <w:r>
        <w:t>Ir era um homem da tribo de Benjamim. Ele era o pai de Supim e Hupim (</w:t>
      </w:r>
      <w:hyperlink r:id="rId662">
        <w:r>
          <w:rPr>
            <w:color w:val="0000EE"/>
            <w:u w:val="single"/>
          </w:rPr>
          <w:t xml:space="preserve">1Cr 7.12 </w:t>
        </w:r>
      </w:hyperlink>
      <w:r>
        <w:t xml:space="preserve">ARC). Ir pode ser idêntico a Iri no versículo </w:t>
      </w:r>
      <w:hyperlink r:id="rId8135">
        <w:r>
          <w:rPr>
            <w:color w:val="0000EE"/>
            <w:u w:val="single"/>
          </w:rPr>
          <w:t>7</w:t>
        </w:r>
      </w:hyperlink>
      <w:r>
        <w:t xml:space="preserve">. Em </w:t>
      </w:r>
      <w:hyperlink r:id="rId11124">
        <w:r>
          <w:rPr>
            <w:color w:val="0000EE"/>
            <w:u w:val="single"/>
          </w:rPr>
          <w:t>Números 24.19</w:t>
        </w:r>
      </w:hyperlink>
      <w:r>
        <w:t>, a mesma palavra hebraica não é usada como um nome. Em vez disso, é traduzida como "da cidade" na tradução da ARC e como "nas cidades" na NTLH.</w:t>
      </w:r>
      <w:r/>
      <w:r/>
    </w:p>
    <w:p>
      <w:r/>
    </w:p>
    <w:p>
      <w:pPr>
        <w:pStyle w:val="Heading2"/>
      </w:pPr>
      <w:r>
        <w:t>Irã</w:t>
      </w:r>
      <w:r/>
    </w:p>
    <w:p>
      <w:r/>
      <w:r>
        <w:t>O líder de uma tribo (chefe) em Edom (</w:t>
      </w:r>
      <w:hyperlink r:id="rId11125">
        <w:r>
          <w:rPr>
            <w:color w:val="0000EE"/>
            <w:u w:val="single"/>
          </w:rPr>
          <w:t>Gn 36.43</w:t>
        </w:r>
      </w:hyperlink>
      <w:r>
        <w:t xml:space="preserve">; </w:t>
      </w:r>
      <w:hyperlink r:id="rId11126">
        <w:r>
          <w:rPr>
            <w:color w:val="0000EE"/>
            <w:u w:val="single"/>
          </w:rPr>
          <w:t>1Cr 1.54</w:t>
        </w:r>
      </w:hyperlink>
      <w:r>
        <w:t>).</w:t>
      </w:r>
      <w:r/>
      <w:r/>
    </w:p>
    <w:p>
      <w:r/>
    </w:p>
    <w:p>
      <w:pPr>
        <w:pStyle w:val="Heading2"/>
      </w:pPr>
      <w:r>
        <w:t>Ira de Deus</w:t>
      </w:r>
      <w:r/>
    </w:p>
    <w:p>
      <w:r/>
      <w:r>
        <w:t>Ira é uma palavra que descreve a forte desaprovação de Deus em relação aos seres humanos e suas ações pecaminosas. Nos idiomas originais da Bíblia, muitas palavras e frases diferentes são usadas para falar sobre ira. Todas essas palavras expressam a ideia de raiva justificada em resposta a ações injustas.</w:t>
      </w:r>
    </w:p>
    <w:p>
      <w:pPr>
        <w:pStyle w:val="Heading3"/>
      </w:pPr>
      <w:r>
        <w:t>No Antigo Testamento.</w:t>
      </w:r>
    </w:p>
    <w:p>
      <w:r/>
      <w:r>
        <w:t>No Antigo Testamento, é dito que Deus está irado com nações, pecadores e até mesmo com seu povo da aliança. A ira de Deus se manifestou pela primeira vez contra Israel depois que eles se recusaram a acreditar em Sua palavra sobre entrar na terra Prometida. Após serem resgatados do Egito, receberem os Dez Mandamentos e a aliança, e verem a glória de Deus, ainda assim não acreditaram (</w:t>
      </w:r>
      <w:hyperlink r:id="rId11127">
        <w:r>
          <w:rPr>
            <w:color w:val="0000EE"/>
            <w:u w:val="single"/>
          </w:rPr>
          <w:t>Nm 11.10</w:t>
        </w:r>
      </w:hyperlink>
      <w:r>
        <w:t xml:space="preserve">; </w:t>
      </w:r>
      <w:hyperlink r:id="rId11128">
        <w:r>
          <w:rPr>
            <w:color w:val="0000EE"/>
            <w:u w:val="single"/>
          </w:rPr>
          <w:t>12.9</w:t>
        </w:r>
      </w:hyperlink>
      <w:r>
        <w:t xml:space="preserve">; </w:t>
      </w:r>
      <w:hyperlink r:id="rId2968">
        <w:r>
          <w:rPr>
            <w:color w:val="0000EE"/>
            <w:u w:val="single"/>
          </w:rPr>
          <w:t>22.22</w:t>
        </w:r>
      </w:hyperlink>
      <w:r>
        <w:t xml:space="preserve">; </w:t>
      </w:r>
      <w:hyperlink r:id="rId11129">
        <w:r>
          <w:rPr>
            <w:color w:val="0000EE"/>
            <w:u w:val="single"/>
          </w:rPr>
          <w:t>32.10–14</w:t>
        </w:r>
      </w:hyperlink>
      <w:r>
        <w:t>). Assim, Deus condenou os israelitas a vagarem no deserto até morrerem. A principal razão para a ira de Deus no Antigo Testamento era que Seu povo constantemente quebrava a aliança. Eles o provocaram por:</w:t>
      </w:r>
    </w:p>
    <w:p>
      <w:pPr>
        <w:pStyle w:val="ListBullet"/>
        <w:spacing w:line="240" w:lineRule="auto"/>
        <w:ind w:left="720"/>
      </w:pPr>
      <w:r/>
      <w:r>
        <w:t>Adorar outros deuses (</w:t>
      </w:r>
      <w:hyperlink r:id="rId11130">
        <w:r>
          <w:rPr>
            <w:color w:val="0000EE"/>
            <w:u w:val="single"/>
          </w:rPr>
          <w:t>Dt 2.15</w:t>
        </w:r>
      </w:hyperlink>
      <w:r>
        <w:t xml:space="preserve">; </w:t>
      </w:r>
      <w:hyperlink r:id="rId11131">
        <w:r>
          <w:rPr>
            <w:color w:val="0000EE"/>
            <w:u w:val="single"/>
          </w:rPr>
          <w:t>4.25</w:t>
        </w:r>
      </w:hyperlink>
      <w:r>
        <w:t xml:space="preserve">; </w:t>
      </w:r>
      <w:hyperlink r:id="rId11132">
        <w:r>
          <w:rPr>
            <w:color w:val="0000EE"/>
            <w:u w:val="single"/>
          </w:rPr>
          <w:t>9.7</w:t>
        </w:r>
      </w:hyperlink>
      <w:hyperlink r:id="rId11133">
        <w:r>
          <w:rPr>
            <w:color w:val="0000EE"/>
            <w:u w:val="single"/>
          </w:rPr>
          <w:t>–</w:t>
        </w:r>
      </w:hyperlink>
      <w:hyperlink r:id="rId11132">
        <w:r>
          <w:rPr>
            <w:color w:val="0000EE"/>
            <w:u w:val="single"/>
          </w:rPr>
          <w:t>8,19</w:t>
        </w:r>
      </w:hyperlink>
      <w:r>
        <w:t xml:space="preserve">; </w:t>
      </w:r>
      <w:hyperlink r:id="rId11134">
        <w:r>
          <w:rPr>
            <w:color w:val="0000EE"/>
            <w:u w:val="single"/>
          </w:rPr>
          <w:t>Jz 2.14</w:t>
        </w:r>
      </w:hyperlink>
      <w:r>
        <w:t xml:space="preserve">; </w:t>
      </w:r>
      <w:hyperlink r:id="rId11135">
        <w:r>
          <w:rPr>
            <w:color w:val="0000EE"/>
            <w:u w:val="single"/>
          </w:rPr>
          <w:t>1Rs 11.9</w:t>
        </w:r>
      </w:hyperlink>
      <w:r>
        <w:t xml:space="preserve">; </w:t>
      </w:r>
      <w:hyperlink r:id="rId11136">
        <w:r>
          <w:rPr>
            <w:color w:val="0000EE"/>
            <w:u w:val="single"/>
          </w:rPr>
          <w:t>14.9,15</w:t>
        </w:r>
      </w:hyperlink>
      <w:r>
        <w:t xml:space="preserve">; </w:t>
      </w:r>
      <w:hyperlink r:id="rId11137">
        <w:r>
          <w:rPr>
            <w:color w:val="0000EE"/>
            <w:u w:val="single"/>
          </w:rPr>
          <w:t>2Rs 17.18</w:t>
        </w:r>
      </w:hyperlink>
      <w:r>
        <w:t>);</w:t>
      </w:r>
    </w:p>
    <w:p>
      <w:pPr>
        <w:pStyle w:val="ListBullet"/>
        <w:spacing w:line="240" w:lineRule="auto"/>
        <w:ind w:left="720"/>
      </w:pPr>
      <w:r/>
      <w:r>
        <w:t>Misturar práticas não-judaicas com sua adoração (</w:t>
      </w:r>
      <w:hyperlink r:id="rId11138">
        <w:r>
          <w:rPr>
            <w:color w:val="0000EE"/>
            <w:u w:val="single"/>
          </w:rPr>
          <w:t>Is 1.10–17</w:t>
        </w:r>
      </w:hyperlink>
      <w:r>
        <w:t xml:space="preserve">; </w:t>
      </w:r>
      <w:hyperlink r:id="rId10957">
        <w:r>
          <w:rPr>
            <w:color w:val="0000EE"/>
            <w:u w:val="single"/>
          </w:rPr>
          <w:t>Jr 6.20</w:t>
        </w:r>
      </w:hyperlink>
      <w:r>
        <w:t xml:space="preserve">; </w:t>
      </w:r>
      <w:hyperlink r:id="rId1163">
        <w:r>
          <w:rPr>
            <w:color w:val="0000EE"/>
            <w:u w:val="single"/>
          </w:rPr>
          <w:t>Os 6.6</w:t>
        </w:r>
      </w:hyperlink>
      <w:r>
        <w:t xml:space="preserve">; </w:t>
      </w:r>
      <w:hyperlink r:id="rId11139">
        <w:r>
          <w:rPr>
            <w:color w:val="0000EE"/>
            <w:u w:val="single"/>
          </w:rPr>
          <w:t>Am 5.21–27</w:t>
        </w:r>
      </w:hyperlink>
      <w:r>
        <w:t>);</w:t>
      </w:r>
    </w:p>
    <w:p>
      <w:pPr>
        <w:pStyle w:val="ListBullet"/>
        <w:spacing w:line="240" w:lineRule="auto"/>
        <w:ind w:left="720"/>
      </w:pPr>
      <w:r/>
      <w:r>
        <w:t>A rebelião deles (</w:t>
      </w:r>
      <w:hyperlink r:id="rId11140">
        <w:r>
          <w:rPr>
            <w:color w:val="0000EE"/>
            <w:u w:val="single"/>
          </w:rPr>
          <w:t>1Rs 8.46</w:t>
        </w:r>
      </w:hyperlink>
      <w:r>
        <w:t>);</w:t>
      </w:r>
    </w:p>
    <w:p>
      <w:pPr>
        <w:pStyle w:val="ListBullet"/>
        <w:spacing w:line="240" w:lineRule="auto"/>
        <w:ind w:left="720"/>
      </w:pPr>
      <w:r/>
      <w:r>
        <w:t>A sua incredulidade (</w:t>
      </w:r>
      <w:hyperlink r:id="rId11141">
        <w:r>
          <w:rPr>
            <w:color w:val="0000EE"/>
            <w:u w:val="single"/>
          </w:rPr>
          <w:t>Nm 11.33</w:t>
        </w:r>
      </w:hyperlink>
      <w:r>
        <w:t xml:space="preserve">; </w:t>
      </w:r>
      <w:hyperlink r:id="rId11142">
        <w:r>
          <w:rPr>
            <w:color w:val="0000EE"/>
            <w:u w:val="single"/>
          </w:rPr>
          <w:t>14.11,33</w:t>
        </w:r>
      </w:hyperlink>
      <w:r>
        <w:t xml:space="preserve">; </w:t>
      </w:r>
      <w:hyperlink r:id="rId11143">
        <w:r>
          <w:rPr>
            <w:color w:val="0000EE"/>
            <w:u w:val="single"/>
          </w:rPr>
          <w:t>Sl 95.10–11</w:t>
        </w:r>
      </w:hyperlink>
      <w:r>
        <w:t>);</w:t>
      </w:r>
    </w:p>
    <w:p>
      <w:pPr>
        <w:pStyle w:val="ListBullet"/>
        <w:spacing w:line="240" w:lineRule="auto"/>
        <w:ind w:left="720"/>
      </w:pPr>
      <w:r/>
      <w:r>
        <w:t>Seu desrespeito pela preocupação dele com amor, justiça, retidão e santidade (</w:t>
      </w:r>
      <w:hyperlink r:id="rId11144">
        <w:r>
          <w:rPr>
            <w:color w:val="0000EE"/>
            <w:u w:val="single"/>
          </w:rPr>
          <w:t>Êx 22.22–24</w:t>
        </w:r>
      </w:hyperlink>
      <w:r>
        <w:t xml:space="preserve">; </w:t>
      </w:r>
      <w:hyperlink r:id="rId11145">
        <w:r>
          <w:rPr>
            <w:color w:val="0000EE"/>
            <w:u w:val="single"/>
          </w:rPr>
          <w:t>Is 1.15–17</w:t>
        </w:r>
      </w:hyperlink>
      <w:r>
        <w:t xml:space="preserve">; </w:t>
      </w:r>
      <w:hyperlink r:id="rId11146">
        <w:r>
          <w:rPr>
            <w:color w:val="0000EE"/>
            <w:u w:val="single"/>
          </w:rPr>
          <w:t>Am 5.7–12</w:t>
        </w:r>
      </w:hyperlink>
      <w:r>
        <w:t xml:space="preserve">; </w:t>
      </w:r>
      <w:hyperlink r:id="rId11147">
        <w:r>
          <w:rPr>
            <w:color w:val="0000EE"/>
            <w:u w:val="single"/>
          </w:rPr>
          <w:t>Mq 3.1</w:t>
        </w:r>
      </w:hyperlink>
      <w:r>
        <w:t>).</w:t>
      </w:r>
    </w:p>
    <w:p>
      <w:r/>
      <w:r>
        <w:t>A ira de Deus também se estende a toda a humanidade (</w:t>
      </w:r>
      <w:hyperlink r:id="rId11148">
        <w:r>
          <w:rPr>
            <w:color w:val="0000EE"/>
            <w:u w:val="single"/>
          </w:rPr>
          <w:t>Na 1.2</w:t>
        </w:r>
      </w:hyperlink>
      <w:r>
        <w:t>). O conceito do Dia do Senhor, desenvolvido pelos profetas, adverte que ninguém pode escapar da justa ira de Deus (</w:t>
      </w:r>
      <w:hyperlink r:id="rId7067">
        <w:r>
          <w:rPr>
            <w:color w:val="0000EE"/>
            <w:u w:val="single"/>
          </w:rPr>
          <w:t>Am 5.18–20</w:t>
        </w:r>
      </w:hyperlink>
      <w:r>
        <w:t>). O Dia do Senhor é o dia de sua ira (</w:t>
      </w:r>
      <w:hyperlink r:id="rId8317">
        <w:r>
          <w:rPr>
            <w:color w:val="0000EE"/>
            <w:u w:val="single"/>
          </w:rPr>
          <w:t>Sf 1.15</w:t>
        </w:r>
      </w:hyperlink>
      <w:r>
        <w:t>).</w:t>
      </w:r>
    </w:p>
    <w:p>
      <w:r/>
      <w:r>
        <w:t>O Antigo Testamento equilibra a ira de Deus com sua paciência, amor e disposição para perdoar.</w:t>
      </w:r>
    </w:p>
    <w:p>
      <w:pPr>
        <w:pStyle w:val="ListNumber"/>
        <w:spacing w:line="240" w:lineRule="auto"/>
        <w:ind w:left="720"/>
      </w:pPr>
      <w:r/>
      <w:r>
        <w:t>Deus é paciente. A palavra hebraica para "paciente" está relacionada à palavra para "ira" e significa "longa duração da ira"; Deus não se ira rapidamente. Ele é longânimo (</w:t>
      </w:r>
      <w:hyperlink r:id="rId10123">
        <w:r>
          <w:rPr>
            <w:color w:val="0000EE"/>
            <w:u w:val="single"/>
          </w:rPr>
          <w:t>Êx 34.6</w:t>
        </w:r>
      </w:hyperlink>
      <w:r>
        <w:t>).</w:t>
      </w:r>
    </w:p>
    <w:p>
      <w:pPr>
        <w:pStyle w:val="ListNumber"/>
        <w:spacing w:line="240" w:lineRule="auto"/>
        <w:ind w:left="720"/>
      </w:pPr>
      <w:r/>
      <w:r>
        <w:t>Deus é cheio de compaixão e fidelidade (</w:t>
      </w:r>
      <w:hyperlink r:id="rId10123">
        <w:r>
          <w:rPr>
            <w:color w:val="0000EE"/>
            <w:u w:val="single"/>
          </w:rPr>
          <w:t>Êx 34.6</w:t>
        </w:r>
      </w:hyperlink>
      <w:r>
        <w:t>). Mesmo quando seus filhos pecam, Ele é como um pai, cheio de compaixão e amor. Ele é sempre fiel aos seus filhos.</w:t>
      </w:r>
    </w:p>
    <w:p>
      <w:pPr>
        <w:pStyle w:val="ListNumber"/>
        <w:spacing w:line="240" w:lineRule="auto"/>
        <w:ind w:left="720"/>
      </w:pPr>
      <w:r/>
      <w:r>
        <w:t>Deus está pronto para perdoar aqueles que expiam e purificam seus pecados (</w:t>
      </w:r>
      <w:hyperlink r:id="rId10123">
        <w:r>
          <w:rPr>
            <w:color w:val="0000EE"/>
            <w:u w:val="single"/>
          </w:rPr>
          <w:t>Êx 34.6</w:t>
        </w:r>
      </w:hyperlink>
      <w:r>
        <w:t>). Seu amor é muito maior do que sua ira (</w:t>
      </w:r>
      <w:hyperlink r:id="rId11149">
        <w:r>
          <w:rPr>
            <w:color w:val="0000EE"/>
            <w:u w:val="single"/>
          </w:rPr>
          <w:t>Sl 30.5</w:t>
        </w:r>
      </w:hyperlink>
      <w:r>
        <w:t>). Miquéias orou para que o Senhor logo perdoasse e restaurasse seu povo, acreditando que Ele não pode ficar irado para sempre (</w:t>
      </w:r>
      <w:hyperlink r:id="rId11150">
        <w:r>
          <w:rPr>
            <w:color w:val="0000EE"/>
            <w:u w:val="single"/>
          </w:rPr>
          <w:t>Sl7.18</w:t>
        </w:r>
      </w:hyperlink>
      <w:r>
        <w:t xml:space="preserve">; compare </w:t>
      </w:r>
      <w:hyperlink r:id="rId11151">
        <w:r>
          <w:rPr>
            <w:color w:val="0000EE"/>
            <w:u w:val="single"/>
          </w:rPr>
          <w:t>Sl 89.46</w:t>
        </w:r>
      </w:hyperlink>
      <w:r>
        <w:t xml:space="preserve">; </w:t>
      </w:r>
      <w:hyperlink r:id="rId11152">
        <w:r>
          <w:rPr>
            <w:color w:val="0000EE"/>
            <w:u w:val="single"/>
          </w:rPr>
          <w:t>Jr 3.5</w:t>
        </w:r>
      </w:hyperlink>
      <w:r>
        <w:t xml:space="preserve">). Em </w:t>
      </w:r>
      <w:hyperlink r:id="rId11153">
        <w:r>
          <w:rPr>
            <w:color w:val="0000EE"/>
            <w:u w:val="single"/>
          </w:rPr>
          <w:t>Sl 103.8–13</w:t>
        </w:r>
      </w:hyperlink>
      <w:r>
        <w:t>, o salmista compara o amor e o perdão de Deus a um pai que não permanece irado ou disciplina severamente seus filhos por causa de seu grande amor por aqueles que o temem.</w:t>
      </w:r>
    </w:p>
    <w:p>
      <w:r/>
      <w:r>
        <w:t>O propósito da ira de Deus não é destruir a humanidade (</w:t>
      </w:r>
      <w:hyperlink r:id="rId11154">
        <w:r>
          <w:rPr>
            <w:color w:val="0000EE"/>
            <w:u w:val="single"/>
          </w:rPr>
          <w:t>Os 11.9</w:t>
        </w:r>
      </w:hyperlink>
      <w:r>
        <w:t>). Sua ira não é uma reação emocional vingativa, nem é imprevisível. Em sua ira, ele controla nações (como Babilônia e Assíria) e disciplina seu povo para que retornem a ele (</w:t>
      </w:r>
      <w:hyperlink r:id="rId11155">
        <w:r>
          <w:rPr>
            <w:color w:val="0000EE"/>
            <w:u w:val="single"/>
          </w:rPr>
          <w:t>Jl 2.13–14</w:t>
        </w:r>
      </w:hyperlink>
      <w:r>
        <w:t>). O Dia do Senhor no Antigo Testamento não termina com a ira de Deus; ele conclui com a restauração da terra quando ela estará cheia do conhecimento de Deus (</w:t>
      </w:r>
      <w:hyperlink r:id="rId11156">
        <w:r>
          <w:rPr>
            <w:color w:val="0000EE"/>
            <w:u w:val="single"/>
          </w:rPr>
          <w:t>Is 11.9</w:t>
        </w:r>
      </w:hyperlink>
      <w:r>
        <w:t xml:space="preserve">; </w:t>
      </w:r>
      <w:hyperlink r:id="rId10048">
        <w:r>
          <w:rPr>
            <w:color w:val="0000EE"/>
            <w:u w:val="single"/>
          </w:rPr>
          <w:t>Hb 2.14</w:t>
        </w:r>
      </w:hyperlink>
      <w:r>
        <w:t>), e a maldade não existirá mais (</w:t>
      </w:r>
      <w:hyperlink r:id="rId1891">
        <w:r>
          <w:rPr>
            <w:color w:val="0000EE"/>
            <w:u w:val="single"/>
          </w:rPr>
          <w:t>Is 65.25</w:t>
        </w:r>
      </w:hyperlink>
      <w:r>
        <w:t>).</w:t>
      </w:r>
    </w:p>
    <w:p>
      <w:pPr>
        <w:pStyle w:val="Heading3"/>
      </w:pPr>
      <w:r>
        <w:t>No Novo Testamento.</w:t>
      </w:r>
    </w:p>
    <w:p>
      <w:r/>
      <w:r>
        <w:t>O Novo Testamento também ensina sobre a ira de Deus juntamente com sua graça, amor e paciência (</w:t>
      </w:r>
      <w:hyperlink r:id="rId1456">
        <w:r>
          <w:rPr>
            <w:color w:val="0000EE"/>
            <w:u w:val="single"/>
          </w:rPr>
          <w:t>Mt 3.7</w:t>
        </w:r>
      </w:hyperlink>
      <w:r>
        <w:t xml:space="preserve">; </w:t>
      </w:r>
      <w:hyperlink r:id="rId11157">
        <w:r>
          <w:rPr>
            <w:color w:val="0000EE"/>
            <w:u w:val="single"/>
          </w:rPr>
          <w:t>Lc 21.23</w:t>
        </w:r>
      </w:hyperlink>
      <w:r>
        <w:t xml:space="preserve">; </w:t>
      </w:r>
      <w:hyperlink r:id="rId11158">
        <w:r>
          <w:rPr>
            <w:color w:val="0000EE"/>
            <w:u w:val="single"/>
          </w:rPr>
          <w:t>Jo 3.36</w:t>
        </w:r>
      </w:hyperlink>
      <w:r>
        <w:t xml:space="preserve">; </w:t>
      </w:r>
      <w:hyperlink r:id="rId4423">
        <w:r>
          <w:rPr>
            <w:color w:val="0000EE"/>
            <w:u w:val="single"/>
          </w:rPr>
          <w:t>Rm 1.18</w:t>
        </w:r>
      </w:hyperlink>
      <w:r>
        <w:t xml:space="preserve">; </w:t>
      </w:r>
      <w:hyperlink r:id="rId11159">
        <w:r>
          <w:rPr>
            <w:color w:val="0000EE"/>
            <w:u w:val="single"/>
          </w:rPr>
          <w:t>Ef 5.6</w:t>
        </w:r>
      </w:hyperlink>
      <w:r>
        <w:t xml:space="preserve">; </w:t>
      </w:r>
      <w:hyperlink r:id="rId4092">
        <w:r>
          <w:rPr>
            <w:color w:val="0000EE"/>
            <w:u w:val="single"/>
          </w:rPr>
          <w:t>Ap 14.10</w:t>
        </w:r>
      </w:hyperlink>
      <w:r>
        <w:t>). Aqueles que não acreditam no Cristo ressuscitado permanecem em seus pecados e enfrentarão a ira de Deus. Aqueles que acreditam são salvos dela (</w:t>
      </w:r>
      <w:hyperlink r:id="rId11160">
        <w:r>
          <w:rPr>
            <w:color w:val="0000EE"/>
            <w:u w:val="single"/>
          </w:rPr>
          <w:t>Ef 2.3</w:t>
        </w:r>
      </w:hyperlink>
      <w:r>
        <w:t xml:space="preserve">; </w:t>
      </w:r>
      <w:hyperlink r:id="rId8790">
        <w:r>
          <w:rPr>
            <w:color w:val="0000EE"/>
            <w:u w:val="single"/>
          </w:rPr>
          <w:t>1Ts 1.10</w:t>
        </w:r>
      </w:hyperlink>
      <w:r>
        <w:t>). As boas-novas do Novo Testamento são que Jesus veio para nos salvar da ira de Deus (</w:t>
      </w:r>
      <w:hyperlink r:id="rId4440">
        <w:r>
          <w:rPr>
            <w:color w:val="0000EE"/>
            <w:u w:val="single"/>
          </w:rPr>
          <w:t>Rm 5.9</w:t>
        </w:r>
      </w:hyperlink>
      <w:r>
        <w:t>). Os salvos são reconciliados com Deus porque não estão mais sob condenação (</w:t>
      </w:r>
      <w:hyperlink r:id="rId8854">
        <w:r>
          <w:rPr>
            <w:color w:val="0000EE"/>
            <w:u w:val="single"/>
          </w:rPr>
          <w:t>Rm 5.10</w:t>
        </w:r>
      </w:hyperlink>
      <w:r>
        <w:t xml:space="preserve">; </w:t>
      </w:r>
      <w:hyperlink r:id="rId8791">
        <w:r>
          <w:rPr>
            <w:color w:val="0000EE"/>
            <w:u w:val="single"/>
          </w:rPr>
          <w:t>8.1</w:t>
        </w:r>
      </w:hyperlink>
      <w:r>
        <w:t>).</w:t>
      </w:r>
    </w:p>
    <w:p>
      <w:r/>
      <w:r>
        <w:rPr>
          <w:i/>
        </w:rPr>
        <w:t>Veja também</w:t>
      </w:r>
      <w:r>
        <w:t xml:space="preserve"> </w:t>
      </w:r>
      <w:r>
        <w:t>Morte</w:t>
      </w:r>
      <w:r>
        <w:t xml:space="preserve">; </w:t>
      </w:r>
      <w:r>
        <w:t>Inferno</w:t>
      </w:r>
      <w:r>
        <w:t xml:space="preserve">; </w:t>
      </w:r>
      <w:r>
        <w:t>Julgamento</w:t>
      </w:r>
      <w:r>
        <w:t xml:space="preserve">; </w:t>
      </w:r>
      <w:r>
        <w:t>Juízo Final</w:t>
      </w:r>
      <w:r>
        <w:t xml:space="preserve">; </w:t>
      </w:r>
      <w:r>
        <w:t>Amor</w:t>
      </w:r>
      <w:r>
        <w:t>.</w:t>
      </w:r>
      <w:r/>
      <w:r/>
    </w:p>
    <w:p>
      <w:r/>
    </w:p>
    <w:p>
      <w:pPr>
        <w:pStyle w:val="Heading2"/>
      </w:pPr>
      <w:r>
        <w:t>Irade</w:t>
      </w:r>
      <w:r/>
    </w:p>
    <w:p>
      <w:r/>
      <w:r>
        <w:t>Um filho de Enoque, da linhagem de Caim (</w:t>
      </w:r>
      <w:hyperlink r:id="rId11161">
        <w:r>
          <w:rPr>
            <w:color w:val="0000EE"/>
            <w:u w:val="single"/>
          </w:rPr>
          <w:t>Gn 4.18</w:t>
        </w:r>
      </w:hyperlink>
      <w:r>
        <w:t>).</w:t>
      </w:r>
      <w:r/>
      <w:r/>
    </w:p>
    <w:p>
      <w:r/>
    </w:p>
    <w:p>
      <w:pPr>
        <w:pStyle w:val="Heading2"/>
      </w:pPr>
      <w:r>
        <w:t>Irmão</w:t>
      </w:r>
      <w:r/>
    </w:p>
    <w:p>
      <w:r/>
      <w:r>
        <w:t>Homem ou menino em seu relacionamento com os outros filhos de seus pais; também um amigo próximo ou membro da mesma raça, credo, profissão, organização e similares; um parente.</w:t>
      </w:r>
    </w:p>
    <w:p>
      <w:r/>
      <w:r>
        <w:t>No AT, a palavra hebraica traduzida como “irmão” descreve o relacionamento entre filhos homens que têm pelo menos um dos pais em comum. José e Benjamim eram filhos de Jacó e Raquel (</w:t>
      </w:r>
      <w:hyperlink r:id="rId11162">
        <w:r>
          <w:rPr>
            <w:color w:val="0000EE"/>
            <w:u w:val="single"/>
          </w:rPr>
          <w:t>Gn 35.24</w:t>
        </w:r>
      </w:hyperlink>
      <w:r>
        <w:t>), mas os outros filhos nascidos de Jacó também são chamados de irmãos de José (</w:t>
      </w:r>
      <w:hyperlink r:id="rId10084">
        <w:r>
          <w:rPr>
            <w:color w:val="0000EE"/>
            <w:u w:val="single"/>
          </w:rPr>
          <w:t>42.6</w:t>
        </w:r>
      </w:hyperlink>
      <w:r>
        <w:t>). O amor que José tinha por Benjamim nem sempre é encontrado entre os irmãos. Caim matou seu irmão Abel (</w:t>
      </w:r>
      <w:hyperlink r:id="rId11163">
        <w:r>
          <w:rPr>
            <w:color w:val="0000EE"/>
            <w:u w:val="single"/>
          </w:rPr>
          <w:t>4.8</w:t>
        </w:r>
      </w:hyperlink>
      <w:r>
        <w:t>), e Esaú odiava seu irmão, Jacó (</w:t>
      </w:r>
      <w:hyperlink r:id="rId25">
        <w:r>
          <w:rPr>
            <w:color w:val="0000EE"/>
            <w:u w:val="single"/>
          </w:rPr>
          <w:t>27.41</w:t>
        </w:r>
      </w:hyperlink>
      <w:r>
        <w:t>). Um irmão pode ser uma má influência (</w:t>
      </w:r>
      <w:hyperlink r:id="rId11164">
        <w:r>
          <w:rPr>
            <w:color w:val="0000EE"/>
            <w:u w:val="single"/>
          </w:rPr>
          <w:t>Dt 13.6–7</w:t>
        </w:r>
      </w:hyperlink>
      <w:r>
        <w:t>), mas idealmente ele é alguém que ajuda em tempos de necessidade (</w:t>
      </w:r>
      <w:hyperlink r:id="rId11165">
        <w:r>
          <w:rPr>
            <w:color w:val="0000EE"/>
            <w:u w:val="single"/>
          </w:rPr>
          <w:t>Pv 17.17</w:t>
        </w:r>
      </w:hyperlink>
      <w:r>
        <w:t>). A lei do casamento levirato exigia que se um homem morresse deixando uma viúva sem filhos, o irmão do homem tinha que criar filhos através dela para perpetuar o nome de família (</w:t>
      </w:r>
      <w:hyperlink r:id="rId4546">
        <w:r>
          <w:rPr>
            <w:color w:val="0000EE"/>
            <w:u w:val="single"/>
          </w:rPr>
          <w:t>Dt 25.5</w:t>
        </w:r>
      </w:hyperlink>
      <w:r>
        <w:t>).</w:t>
      </w:r>
    </w:p>
    <w:p>
      <w:r/>
      <w:r>
        <w:t>Davi falou afetuosamente de seu “irmão” Jônatas, embora eles não fossem relacionados (</w:t>
      </w:r>
      <w:hyperlink r:id="rId11166">
        <w:r>
          <w:rPr>
            <w:color w:val="0000EE"/>
            <w:u w:val="single"/>
          </w:rPr>
          <w:t>2Sm 1.26</w:t>
        </w:r>
      </w:hyperlink>
      <w:r>
        <w:t>). Um companheiro israelita poderia ser chamado de irmão. O relacionamento exigia certas obrigações: o dinheiro não poderia ser emprestado a um irmão a juros, e um irmão não poderia ser escravizado (</w:t>
      </w:r>
      <w:hyperlink r:id="rId11167">
        <w:r>
          <w:rPr>
            <w:color w:val="0000EE"/>
            <w:u w:val="single"/>
          </w:rPr>
          <w:t>Lv 25.35–43</w:t>
        </w:r>
      </w:hyperlink>
      <w:r>
        <w:t>).</w:t>
      </w:r>
    </w:p>
    <w:p>
      <w:r/>
      <w:r>
        <w:t>No NT, a palavra grega é usada para descrever irmãos naturais, como André e Pedro (</w:t>
      </w:r>
      <w:hyperlink r:id="rId6101">
        <w:r>
          <w:rPr>
            <w:color w:val="0000EE"/>
            <w:u w:val="single"/>
          </w:rPr>
          <w:t>Jo 1.41</w:t>
        </w:r>
      </w:hyperlink>
      <w:r>
        <w:t>). Quatro irmãos de Jesus são nomeados (</w:t>
      </w:r>
      <w:hyperlink r:id="rId4331">
        <w:r>
          <w:rPr>
            <w:color w:val="0000EE"/>
            <w:u w:val="single"/>
          </w:rPr>
          <w:t>Mc 6.3</w:t>
        </w:r>
      </w:hyperlink>
      <w:r>
        <w:t>). (A visão católica romana é que eles eram, na verdade, primos de Jesus, mas a língua grega tem várias palavras para primo, e a palavra “irmão” é usada aqui; assim, se refere a crianças ou filhos adotivos de Maria e José). Os irmãos de Jesus não acreditaram nele a princípio (</w:t>
      </w:r>
      <w:hyperlink r:id="rId11168">
        <w:r>
          <w:rPr>
            <w:color w:val="0000EE"/>
            <w:u w:val="single"/>
          </w:rPr>
          <w:t>Jo 7.5</w:t>
        </w:r>
      </w:hyperlink>
      <w:r>
        <w:t>), mas após a ressurreição, eles estavam se encontrando com a comunidade cristã (</w:t>
      </w:r>
      <w:hyperlink r:id="rId3749">
        <w:r>
          <w:rPr>
            <w:color w:val="0000EE"/>
            <w:u w:val="single"/>
          </w:rPr>
          <w:t>At 1.14</w:t>
        </w:r>
      </w:hyperlink>
      <w:r>
        <w:t>). Jesus ensinou que seus discípulos tinham um Pai (Deus) e eram, portanto, irmãos (</w:t>
      </w:r>
      <w:hyperlink r:id="rId11169">
        <w:r>
          <w:rPr>
            <w:color w:val="0000EE"/>
            <w:u w:val="single"/>
          </w:rPr>
          <w:t>Mt 23.8–9</w:t>
        </w:r>
      </w:hyperlink>
      <w:r>
        <w:t>), e ele graciosamente se identificou com os discípulos como seu irmão (</w:t>
      </w:r>
      <w:hyperlink r:id="rId11170">
        <w:r>
          <w:rPr>
            <w:color w:val="0000EE"/>
            <w:u w:val="single"/>
          </w:rPr>
          <w:t>28.10</w:t>
        </w:r>
      </w:hyperlink>
      <w:r>
        <w:t>).</w:t>
      </w:r>
    </w:p>
    <w:p>
      <w:r/>
      <w:r>
        <w:t>No início da história da igreja, tornou-se costume que os cristãos se dirigissem uns aos outros como irmão (</w:t>
      </w:r>
      <w:hyperlink r:id="rId3208">
        <w:r>
          <w:rPr>
            <w:color w:val="0000EE"/>
            <w:u w:val="single"/>
          </w:rPr>
          <w:t>At 9.17</w:t>
        </w:r>
      </w:hyperlink>
      <w:r>
        <w:t xml:space="preserve">; </w:t>
      </w:r>
      <w:hyperlink r:id="rId2275">
        <w:r>
          <w:rPr>
            <w:color w:val="0000EE"/>
            <w:u w:val="single"/>
          </w:rPr>
          <w:t>Cl 1.1</w:t>
        </w:r>
      </w:hyperlink>
      <w:r>
        <w:t>); em duas ocasiões, a comunidade cristã é chamada de “fraternidade” (</w:t>
      </w:r>
      <w:hyperlink r:id="rId10729">
        <w:r>
          <w:rPr>
            <w:color w:val="0000EE"/>
            <w:u w:val="single"/>
          </w:rPr>
          <w:t>1Pe 2.17</w:t>
        </w:r>
      </w:hyperlink>
      <w:r>
        <w:t xml:space="preserve">; </w:t>
      </w:r>
      <w:hyperlink r:id="rId11171">
        <w:r>
          <w:rPr>
            <w:color w:val="0000EE"/>
            <w:u w:val="single"/>
          </w:rPr>
          <w:t>5.9</w:t>
        </w:r>
      </w:hyperlink>
      <w:r>
        <w:t>, ARC). Deveres e responsabilidades específicas acompanham a fraternidade cristã. O amor de um cristão por seu irmão será demonstrado na contenção das paixões sexuais (</w:t>
      </w:r>
      <w:hyperlink r:id="rId11172">
        <w:r>
          <w:rPr>
            <w:color w:val="0000EE"/>
            <w:u w:val="single"/>
          </w:rPr>
          <w:t>1Ts 4.6</w:t>
        </w:r>
      </w:hyperlink>
      <w:r>
        <w:t>), provisão de bens materiais quando necessário (</w:t>
      </w:r>
      <w:hyperlink r:id="rId11173">
        <w:r>
          <w:rPr>
            <w:color w:val="0000EE"/>
            <w:u w:val="single"/>
          </w:rPr>
          <w:t>Tg 2.15–16</w:t>
        </w:r>
      </w:hyperlink>
      <w:r>
        <w:t>) e determinação de não escandalizar (</w:t>
      </w:r>
      <w:hyperlink r:id="rId11174">
        <w:r>
          <w:rPr>
            <w:color w:val="0000EE"/>
            <w:u w:val="single"/>
          </w:rPr>
          <w:t>Rm 14.13</w:t>
        </w:r>
      </w:hyperlink>
      <w:r>
        <w:t>). Um cristão não deve “ir a juízo” contra um irmão (</w:t>
      </w:r>
      <w:hyperlink r:id="rId11175">
        <w:r>
          <w:rPr>
            <w:color w:val="0000EE"/>
            <w:u w:val="single"/>
          </w:rPr>
          <w:t>1Co 6.5–6</w:t>
        </w:r>
      </w:hyperlink>
      <w:r>
        <w:t>), mas os irmãos devem resolver seus problemas pessoalmente ou dentro do grupo da igreja (</w:t>
      </w:r>
      <w:hyperlink r:id="rId11176">
        <w:r>
          <w:rPr>
            <w:color w:val="0000EE"/>
            <w:u w:val="single"/>
          </w:rPr>
          <w:t>Mt 18.15–17</w:t>
        </w:r>
      </w:hyperlink>
      <w:r>
        <w:t>). O relacionamento entre cristãos é significativo porque um cristão não pode oferecer adoração a Deus se ele estiver em desarmonia com seu irmão (</w:t>
      </w:r>
      <w:hyperlink r:id="rId1000">
        <w:r>
          <w:rPr>
            <w:color w:val="0000EE"/>
            <w:u w:val="single"/>
          </w:rPr>
          <w:t>Mt 5.23–24</w:t>
        </w:r>
      </w:hyperlink>
      <w:r>
        <w:t>).</w:t>
      </w:r>
    </w:p>
    <w:p>
      <w:r/>
      <w:r>
        <w:rPr>
          <w:i/>
        </w:rPr>
        <w:t>Veja também</w:t>
      </w:r>
      <w:r>
        <w:t xml:space="preserve"> </w:t>
      </w:r>
      <w:r>
        <w:t>Vida familiar e Relações</w:t>
      </w:r>
      <w:r>
        <w:t xml:space="preserve">; </w:t>
      </w:r>
      <w:r>
        <w:t>Irmãos (e Irmãs)</w:t>
      </w:r>
      <w:r>
        <w:t>.</w:t>
      </w:r>
      <w:r/>
      <w:r/>
    </w:p>
    <w:p>
      <w:r/>
    </w:p>
    <w:p>
      <w:pPr>
        <w:pStyle w:val="Heading2"/>
      </w:pPr>
      <w:r>
        <w:t>Irmãos (e Irmãs)</w:t>
      </w:r>
      <w:r/>
    </w:p>
    <w:p>
      <w:r/>
      <w:r>
        <w:t>Maneira como se chamam aqueles que fazem parte do povo de Deus. Existem boas evidências de que os judeus na época de Jesus frequentemente se chamavam de irmãos (</w:t>
      </w:r>
      <w:hyperlink r:id="rId11177">
        <w:r>
          <w:rPr>
            <w:color w:val="0000EE"/>
            <w:u w:val="single"/>
          </w:rPr>
          <w:t>At 2.29,37</w:t>
        </w:r>
      </w:hyperlink>
      <w:r>
        <w:t xml:space="preserve">; </w:t>
      </w:r>
      <w:hyperlink r:id="rId6893">
        <w:r>
          <w:rPr>
            <w:color w:val="0000EE"/>
            <w:u w:val="single"/>
          </w:rPr>
          <w:t>7.2</w:t>
        </w:r>
      </w:hyperlink>
      <w:r>
        <w:t xml:space="preserve">; </w:t>
      </w:r>
      <w:hyperlink r:id="rId11178">
        <w:r>
          <w:rPr>
            <w:color w:val="0000EE"/>
            <w:u w:val="single"/>
          </w:rPr>
          <w:t>22.5</w:t>
        </w:r>
      </w:hyperlink>
      <w:r>
        <w:t xml:space="preserve">; </w:t>
      </w:r>
      <w:hyperlink r:id="rId11179">
        <w:r>
          <w:rPr>
            <w:color w:val="0000EE"/>
            <w:u w:val="single"/>
          </w:rPr>
          <w:t>28.21</w:t>
        </w:r>
      </w:hyperlink>
      <w:r>
        <w:t xml:space="preserve">; </w:t>
      </w:r>
      <w:hyperlink r:id="rId4285">
        <w:r>
          <w:rPr>
            <w:color w:val="0000EE"/>
            <w:u w:val="single"/>
          </w:rPr>
          <w:t>Rm 9.3</w:t>
        </w:r>
      </w:hyperlink>
      <w:r>
        <w:t xml:space="preserve">). Desde o início, parecia natural que os cristãos judeus chamassem uns aos outros de “irmãos e irmãs” (isto é, “irmãos” — o termo incluía homem e mulher; </w:t>
      </w:r>
      <w:hyperlink r:id="rId11180">
        <w:r>
          <w:rPr>
            <w:color w:val="0000EE"/>
            <w:u w:val="single"/>
          </w:rPr>
          <w:t>At 1.15–16</w:t>
        </w:r>
      </w:hyperlink>
      <w:r>
        <w:t xml:space="preserve">; </w:t>
      </w:r>
      <w:hyperlink r:id="rId5924">
        <w:r>
          <w:rPr>
            <w:color w:val="0000EE"/>
            <w:u w:val="single"/>
          </w:rPr>
          <w:t>9.30</w:t>
        </w:r>
      </w:hyperlink>
      <w:r>
        <w:t xml:space="preserve">; </w:t>
      </w:r>
      <w:hyperlink r:id="rId11181">
        <w:r>
          <w:rPr>
            <w:color w:val="0000EE"/>
            <w:u w:val="single"/>
          </w:rPr>
          <w:t>11.1</w:t>
        </w:r>
      </w:hyperlink>
      <w:r>
        <w:t>). Os membros das comunidades religiosas gentias também se chamavam de irmãos, dessa forma, o nome também se estabeleceu nas igrejas gentias (</w:t>
      </w:r>
      <w:hyperlink r:id="rId11182">
        <w:r>
          <w:rPr>
            <w:color w:val="0000EE"/>
            <w:u w:val="single"/>
          </w:rPr>
          <w:t>At 17.14</w:t>
        </w:r>
      </w:hyperlink>
      <w:r>
        <w:t xml:space="preserve">; </w:t>
      </w:r>
      <w:hyperlink r:id="rId11183">
        <w:r>
          <w:rPr>
            <w:color w:val="0000EE"/>
            <w:u w:val="single"/>
          </w:rPr>
          <w:t>Rm 1.13</w:t>
        </w:r>
      </w:hyperlink>
      <w:r>
        <w:t xml:space="preserve">; </w:t>
      </w:r>
      <w:hyperlink r:id="rId2270">
        <w:r>
          <w:rPr>
            <w:color w:val="0000EE"/>
            <w:u w:val="single"/>
          </w:rPr>
          <w:t>1Co 1.1,10</w:t>
        </w:r>
      </w:hyperlink>
      <w:r>
        <w:t>; além de dezenas de outros lugares nas cartas de Paulo às igrejas gentias). Na verdade, juntamente com “discípulo” (em Atos) e “santo” (sempre plural nos escritos de Paulo e o livro de Apocalipse), era um dos nomes mais populares para os cristãos e o mais usado em Tiago e 1 João.</w:t>
      </w:r>
    </w:p>
    <w:p>
      <w:r/>
      <w:r>
        <w:t xml:space="preserve">Cada cristão era chamado de “irmão”, e os cristãos coletivamente eram “os irmãos”. O nome enfatizava a intimidade da comunidade cristã. Ou seja, o relacionamento dos crentes uns com os outros era tão próximo quanto o de parentes de sangue (mais próximo, na verdade — </w:t>
      </w:r>
      <w:hyperlink r:id="rId11184">
        <w:r>
          <w:rPr>
            <w:color w:val="0000EE"/>
            <w:u w:val="single"/>
          </w:rPr>
          <w:t>Mc 10.23–31</w:t>
        </w:r>
      </w:hyperlink>
      <w:r>
        <w:t>). Em 1 João e Tiago, o nome enfatiza a alegação de que os cristãos mais pobres têm sobre aqueles em melhor situação (</w:t>
      </w:r>
      <w:hyperlink r:id="rId11185">
        <w:r>
          <w:rPr>
            <w:color w:val="0000EE"/>
            <w:u w:val="single"/>
          </w:rPr>
          <w:t>Tg 2.15</w:t>
        </w:r>
      </w:hyperlink>
      <w:r>
        <w:t xml:space="preserve">; </w:t>
      </w:r>
      <w:hyperlink r:id="rId11186">
        <w:r>
          <w:rPr>
            <w:color w:val="0000EE"/>
            <w:u w:val="single"/>
          </w:rPr>
          <w:t>1Jo 3.10–18</w:t>
        </w:r>
      </w:hyperlink>
      <w:r>
        <w:t xml:space="preserve">; </w:t>
      </w:r>
      <w:hyperlink r:id="rId11187">
        <w:r>
          <w:rPr>
            <w:color w:val="0000EE"/>
            <w:u w:val="single"/>
          </w:rPr>
          <w:t>4.20–21</w:t>
        </w:r>
      </w:hyperlink>
      <w:r>
        <w:t>). Também aponta para a igualdade entre os membros da comunidade cristã.</w:t>
      </w:r>
      <w:r/>
      <w:r/>
    </w:p>
    <w:p>
      <w:r/>
    </w:p>
    <w:p>
      <w:pPr>
        <w:pStyle w:val="Heading2"/>
      </w:pPr>
      <w:r>
        <w:t>Irmãos De Jesus*</w:t>
      </w:r>
      <w:r/>
    </w:p>
    <w:p>
      <w:r/>
      <w:r>
        <w:t>Tiago, José, Simão e Judas, identificados no NT como membros da própria família de Jesus (</w:t>
      </w:r>
      <w:hyperlink r:id="rId2205">
        <w:r>
          <w:rPr>
            <w:color w:val="0000EE"/>
            <w:u w:val="single"/>
          </w:rPr>
          <w:t>Mt 13.55</w:t>
        </w:r>
      </w:hyperlink>
      <w:r>
        <w:t xml:space="preserve">; </w:t>
      </w:r>
      <w:hyperlink r:id="rId4331">
        <w:r>
          <w:rPr>
            <w:color w:val="0000EE"/>
            <w:u w:val="single"/>
          </w:rPr>
          <w:t>Mc 6.3</w:t>
        </w:r>
      </w:hyperlink>
      <w:r>
        <w:t>). Eles são descritos como visitando Jesus com Maria, sua mãe (</w:t>
      </w:r>
      <w:hyperlink r:id="rId11188">
        <w:r>
          <w:rPr>
            <w:color w:val="0000EE"/>
            <w:u w:val="single"/>
          </w:rPr>
          <w:t>Mt 12:47–50</w:t>
        </w:r>
      </w:hyperlink>
      <w:r>
        <w:t xml:space="preserve">; </w:t>
      </w:r>
      <w:hyperlink r:id="rId11189">
        <w:r>
          <w:rPr>
            <w:color w:val="0000EE"/>
            <w:u w:val="single"/>
          </w:rPr>
          <w:t>Mc 3:34–35</w:t>
        </w:r>
      </w:hyperlink>
      <w:r>
        <w:t xml:space="preserve">; </w:t>
      </w:r>
      <w:hyperlink r:id="rId11190">
        <w:r>
          <w:rPr>
            <w:color w:val="0000EE"/>
            <w:u w:val="single"/>
          </w:rPr>
          <w:t>Lc 8:19–21</w:t>
        </w:r>
      </w:hyperlink>
      <w:r>
        <w:t>), e ouvindo a declaração de Jesus de que todos os que faziam a vontade de Deus eram irmãos, irmã e mãe para ele.</w:t>
      </w:r>
    </w:p>
    <w:p>
      <w:r/>
      <w:r>
        <w:t>Eles eram tão suficientemente bem conhecidos em Nazaré que, quando Jesus voltou para pregar lá, as pessoas disseram: “Este não é o carpinteiro, o filho de Maria e irmão de Tiago, José, Judas e Simão, e não estão suas irmãs aqui conosco?” (</w:t>
      </w:r>
      <w:hyperlink r:id="rId4331">
        <w:r>
          <w:rPr>
            <w:color w:val="0000EE"/>
            <w:u w:val="single"/>
          </w:rPr>
          <w:t>Mc 6.3</w:t>
        </w:r>
      </w:hyperlink>
      <w:r>
        <w:t>, ARA). No Evangelho de Mateus, a ordem dos nomes dos últimos dois irmãos é invertida (</w:t>
      </w:r>
      <w:hyperlink r:id="rId2205">
        <w:r>
          <w:rPr>
            <w:color w:val="0000EE"/>
            <w:u w:val="single"/>
          </w:rPr>
          <w:t>Mt 13.55</w:t>
        </w:r>
      </w:hyperlink>
      <w:r>
        <w:t>). Quando Jesus e seus discípulos foram para Cafarnaum, eles foram acompanhados por Maria e seus irmãos (</w:t>
      </w:r>
      <w:hyperlink r:id="rId11191">
        <w:r>
          <w:rPr>
            <w:color w:val="0000EE"/>
            <w:u w:val="single"/>
          </w:rPr>
          <w:t>Jo 2.12</w:t>
        </w:r>
      </w:hyperlink>
      <w:r>
        <w:t>). Pouco antes da Festa dos Tabernáculos, os irmãos visitaram Jesus para persuadi-lo a ir a Jerusalém para a festa. Embora eles fossem céticos sobre seus milagres, eles disseram que ele deveria realizar seus feitos em público para ganhar reconhecimento (</w:t>
      </w:r>
      <w:hyperlink r:id="rId11192">
        <w:r>
          <w:rPr>
            <w:color w:val="0000EE"/>
            <w:u w:val="single"/>
          </w:rPr>
          <w:t>Jo 7.4</w:t>
        </w:r>
      </w:hyperlink>
      <w:r>
        <w:t>). Jesus reconheceu a oposição de dentro de sua família quando disse: “Um profeta é honrado em todos os lugares, exceto em sua própria cidade natal e entre sua própria família” (</w:t>
      </w:r>
      <w:hyperlink r:id="rId11193">
        <w:r>
          <w:rPr>
            <w:color w:val="0000EE"/>
            <w:u w:val="single"/>
          </w:rPr>
          <w:t>Mt 13.57</w:t>
        </w:r>
      </w:hyperlink>
      <w:r>
        <w:t>, NTLH). Seus irmãos ou outros amigos de casa pensavam que ele estava perdendo o contato com a realidade quando as multidões foram atraídas por ele pela primeira vez (</w:t>
      </w:r>
      <w:hyperlink r:id="rId11194">
        <w:r>
          <w:rPr>
            <w:color w:val="0000EE"/>
            <w:u w:val="single"/>
          </w:rPr>
          <w:t>Mc 3.21</w:t>
        </w:r>
      </w:hyperlink>
      <w:r>
        <w:t>).</w:t>
      </w:r>
    </w:p>
    <w:p>
      <w:r/>
      <w:r>
        <w:t>Apesar de seu ceticismo inicial, no entanto, os irmãos se tornaram membros ativos da igreja de Jerusalém durante seus primeiros dias. Eles são mencionados como estando frequentemente em oração em uma sala no andar superior com Maria, mostrando uma nítida reversão de sua falta de fé anterior (</w:t>
      </w:r>
      <w:hyperlink r:id="rId3749">
        <w:r>
          <w:rPr>
            <w:color w:val="0000EE"/>
            <w:u w:val="single"/>
          </w:rPr>
          <w:t>Atos 1.14</w:t>
        </w:r>
      </w:hyperlink>
      <w:r>
        <w:t>). Uma das aparições da ressurreição foi feita a Tiago (</w:t>
      </w:r>
      <w:hyperlink r:id="rId3748">
        <w:r>
          <w:rPr>
            <w:color w:val="0000EE"/>
            <w:u w:val="single"/>
          </w:rPr>
          <w:t>1Co 15.7</w:t>
        </w:r>
      </w:hyperlink>
      <w:r>
        <w:t>). No retorno a Jerusalém após sua conversão, Paulo conheceu Pedro e Tiago, “o irmão do Senhor”, mas não os outros apóstolos (</w:t>
      </w:r>
      <w:hyperlink r:id="rId11195">
        <w:r>
          <w:rPr>
            <w:color w:val="0000EE"/>
            <w:u w:val="single"/>
          </w:rPr>
          <w:t>Gl 1.19</w:t>
        </w:r>
      </w:hyperlink>
      <w:r>
        <w:t>). Quando o apóstolo Pedro foi liberto da prisão, ele foi para a casa de Maria, mãe de João Marcos, e apesar da emoção da ocasião, ele imediatamente pediu ao grupo para “contar isso a Tiago e aos irmãos” (</w:t>
      </w:r>
      <w:hyperlink r:id="rId11196">
        <w:r>
          <w:rPr>
            <w:color w:val="0000EE"/>
            <w:u w:val="single"/>
          </w:rPr>
          <w:t>Atos 12.17</w:t>
        </w:r>
      </w:hyperlink>
      <w:r>
        <w:t>, ARA). Uma série de referências em Atos mostra Tiago como um líder forte e respeitado da igreja de Jerusalém (</w:t>
      </w:r>
      <w:hyperlink r:id="rId4974">
        <w:r>
          <w:rPr>
            <w:color w:val="0000EE"/>
            <w:u w:val="single"/>
          </w:rPr>
          <w:t>Atos 15.13–21</w:t>
        </w:r>
      </w:hyperlink>
      <w:r>
        <w:t xml:space="preserve">; </w:t>
      </w:r>
      <w:hyperlink r:id="rId1405">
        <w:r>
          <w:rPr>
            <w:color w:val="0000EE"/>
            <w:u w:val="single"/>
          </w:rPr>
          <w:t>21.18</w:t>
        </w:r>
      </w:hyperlink>
      <w:r>
        <w:t>). No concílio em Jerusalém, ele expressou uma forte opinião sobre a aceitação dos gentios na igreja; ele foi mais tarde visitado por Paulo, que lhe contou sobre seu ministério e as muitas conversões entre os gentios. Embora Tiago seja mencionado mais frequentemente pelo nome, todos os irmãos parecem ter sido bem respeitados naquela época. Assim, suas ações foram usadas como um exemplo por Paulo quando ele argumentou que seria apropriado que ele também tivesse uma esposa que o acompanhasse em suas viagens, como os irmãos de Jesus fizeram (</w:t>
      </w:r>
      <w:hyperlink r:id="rId11197">
        <w:r>
          <w:rPr>
            <w:color w:val="0000EE"/>
            <w:u w:val="single"/>
          </w:rPr>
          <w:t>1Co 9.5</w:t>
        </w:r>
      </w:hyperlink>
      <w:r>
        <w:t>).</w:t>
      </w:r>
    </w:p>
    <w:p>
      <w:r/>
      <w:r>
        <w:t>O autor da Epístola de Tiago é geralmente assumido como o irmão do Senhor, embora ele não se identifique especificamente dessa maneira (</w:t>
      </w:r>
      <w:hyperlink r:id="rId7105">
        <w:r>
          <w:rPr>
            <w:color w:val="0000EE"/>
            <w:u w:val="single"/>
          </w:rPr>
          <w:t>1.1</w:t>
        </w:r>
      </w:hyperlink>
      <w:r>
        <w:t>). Parece claro, no entanto, que o autor escreveu como um líder reconhecido na igreja; por isso, identificá-lo como o irmão do Senhor parece lógico. O autor da Epístola de Judas se identifica como o irmão de Tiago. A referência seria mais lógica a Tiago, o líder mencionado em Atos e provavelmente o autor da outra epístola. O autor assim parece ser o Judas nomeado como o irmão do Senhor nos Evangelhos (</w:t>
      </w:r>
      <w:hyperlink r:id="rId2205">
        <w:r>
          <w:rPr>
            <w:color w:val="0000EE"/>
            <w:u w:val="single"/>
          </w:rPr>
          <w:t>Mt 13.55</w:t>
        </w:r>
      </w:hyperlink>
      <w:r>
        <w:t xml:space="preserve">; </w:t>
      </w:r>
      <w:hyperlink r:id="rId4331">
        <w:r>
          <w:rPr>
            <w:color w:val="0000EE"/>
            <w:u w:val="single"/>
          </w:rPr>
          <w:t>Mc 6.3</w:t>
        </w:r>
      </w:hyperlink>
      <w:r>
        <w:t>).</w:t>
      </w:r>
    </w:p>
    <w:p>
      <w:r/>
      <w:r>
        <w:t>Em todo o NT, o grupo dos 12 apóstolos é consistentemente distinguido dos irmãos do Senhor. Lucas nomeou os apóstolos e então disse: “Todos estes de comum acordo se dedicaram à oração, juntamente com as mulheres e Maria, a mãe de Jesus, e com seus irmãos” (</w:t>
      </w:r>
      <w:hyperlink r:id="rId11198">
        <w:r>
          <w:rPr>
            <w:color w:val="0000EE"/>
            <w:u w:val="single"/>
          </w:rPr>
          <w:t>Atos 1.13–14</w:t>
        </w:r>
      </w:hyperlink>
      <w:r>
        <w:t>). O apóstolo Paulo apontou para os irmãos do Senhor como um grupo separado dos apóstolos (</w:t>
      </w:r>
      <w:hyperlink r:id="rId11197">
        <w:r>
          <w:rPr>
            <w:color w:val="0000EE"/>
            <w:u w:val="single"/>
          </w:rPr>
          <w:t>1 Co 9.5</w:t>
        </w:r>
      </w:hyperlink>
      <w:r>
        <w:t>); cada menção deles nos Evangelhos os descreve como membros da família e distintos dos discípulos.</w:t>
      </w:r>
    </w:p>
    <w:p>
      <w:r/>
      <w:r>
        <w:rPr>
          <w:i/>
        </w:rPr>
        <w:t>Veja também</w:t>
      </w:r>
      <w:r>
        <w:t xml:space="preserve"> </w:t>
      </w:r>
      <w:r>
        <w:t>Tiago (Pessoa) #1</w:t>
      </w:r>
      <w:r>
        <w:t xml:space="preserve">; </w:t>
      </w:r>
      <w:r>
        <w:t>José #7</w:t>
      </w:r>
      <w:r>
        <w:t xml:space="preserve">; </w:t>
      </w:r>
      <w:r>
        <w:t>Judas</w:t>
      </w:r>
      <w:r>
        <w:t xml:space="preserve"> (Pessoa); </w:t>
      </w:r>
      <w:r>
        <w:t>Maria #1</w:t>
      </w:r>
      <w:r>
        <w:t>.</w:t>
      </w:r>
      <w:r/>
      <w:r/>
    </w:p>
    <w:p>
      <w:r/>
    </w:p>
    <w:p>
      <w:pPr>
        <w:pStyle w:val="Heading2"/>
      </w:pPr>
      <w:r>
        <w:t>Isabel</w:t>
      </w:r>
      <w:r/>
    </w:p>
    <w:p>
      <w:r/>
      <w:r>
        <w:t>A mãe de João Batista é uma parente de Maria, a mãe de Jesus (</w:t>
      </w:r>
      <w:hyperlink r:id="rId11199">
        <w:r>
          <w:rPr>
            <w:color w:val="0000EE"/>
            <w:u w:val="single"/>
          </w:rPr>
          <w:t>Lc 1.36</w:t>
        </w:r>
      </w:hyperlink>
      <w:r>
        <w:t>). Ela pertencia a uma família de sacerdotes (</w:t>
      </w:r>
      <w:hyperlink r:id="rId4069">
        <w:r>
          <w:rPr>
            <w:color w:val="0000EE"/>
            <w:u w:val="single"/>
          </w:rPr>
          <w:t>Lc 1.5</w:t>
        </w:r>
      </w:hyperlink>
      <w:r>
        <w:t>). O nome Isabel (ou Elisabete) vem da mesma palavra hebraica que Eliseba, a esposa de Arão (</w:t>
      </w:r>
      <w:hyperlink r:id="rId124">
        <w:r>
          <w:rPr>
            <w:color w:val="0000EE"/>
            <w:u w:val="single"/>
          </w:rPr>
          <w:t>Êx 6.23</w:t>
        </w:r>
      </w:hyperlink>
      <w:r>
        <w:t>). Significa "meu Deus é um juramento". Somente o Evangelho de Lucas, que frequentemente enfatiza o papel das mulheres, nos conta sobre Isabel e seu marido, Zacarias.</w:t>
      </w:r>
    </w:p>
    <w:p>
      <w:r/>
      <w:r>
        <w:t>Lucas destaca que Isabel e Zacarias eram justos e viviam de uma maneira que agradava a Deus (</w:t>
      </w:r>
      <w:hyperlink r:id="rId11200">
        <w:r>
          <w:rPr>
            <w:color w:val="0000EE"/>
            <w:u w:val="single"/>
          </w:rPr>
          <w:t>Lc 1.6</w:t>
        </w:r>
      </w:hyperlink>
      <w:r>
        <w:t>). No entanto, o casal era idoso e não tinha filhos, o que muitas vezes era visto como uma desgraça na cultura judaica (</w:t>
      </w:r>
      <w:hyperlink r:id="rId11201">
        <w:r>
          <w:rPr>
            <w:color w:val="0000EE"/>
            <w:u w:val="single"/>
          </w:rPr>
          <w:t>Gn 30.22–23</w:t>
        </w:r>
      </w:hyperlink>
      <w:r>
        <w:t xml:space="preserve">; </w:t>
      </w:r>
      <w:hyperlink r:id="rId11202">
        <w:r>
          <w:rPr>
            <w:color w:val="0000EE"/>
            <w:u w:val="single"/>
          </w:rPr>
          <w:t>Lc 1.25</w:t>
        </w:r>
      </w:hyperlink>
      <w:r>
        <w:t>). Apesar disso, eles permaneceram fiéis em sua adoração e serviço a Deus. Um dia, um anjo do Senhor apareceu a Zacarias, anunciando que Isabel teria um filho. Este filho seria aquele que prepararia o caminho para o Messias Prometido (</w:t>
      </w:r>
      <w:hyperlink r:id="rId11203">
        <w:r>
          <w:rPr>
            <w:color w:val="0000EE"/>
            <w:u w:val="single"/>
          </w:rPr>
          <w:t>Lc 1.13–17</w:t>
        </w:r>
      </w:hyperlink>
      <w:r>
        <w:t>). Quando Isabel ficou grávida, ela permaneceu em reclusão por cinco meses. Durante esse tempo, sua parente Maria veio visitá-la.</w:t>
      </w:r>
    </w:p>
    <w:p>
      <w:r/>
      <w:r>
        <w:rPr>
          <w:i/>
        </w:rPr>
        <w:t>Veja também</w:t>
      </w:r>
      <w:r>
        <w:t xml:space="preserve"> </w:t>
      </w:r>
      <w:r>
        <w:t>João Batista</w:t>
      </w:r>
      <w:r>
        <w:t>.</w:t>
      </w:r>
      <w:r/>
      <w:r/>
    </w:p>
    <w:p>
      <w:r/>
    </w:p>
    <w:p>
      <w:pPr>
        <w:pStyle w:val="Heading2"/>
      </w:pPr>
      <w:r>
        <w:t>Isaías, Livro de</w:t>
      </w:r>
      <w:r/>
    </w:p>
    <w:p>
      <w:r/>
      <w:r>
        <w:t>Resumo</w:t>
      </w:r>
    </w:p>
    <w:p>
      <w:r/>
      <w:r>
        <w:t>• Autor</w:t>
      </w:r>
    </w:p>
    <w:p>
      <w:r/>
      <w:r>
        <w:t>• Data</w:t>
      </w:r>
    </w:p>
    <w:p>
      <w:r/>
      <w:r>
        <w:t>• Contexto</w:t>
      </w:r>
    </w:p>
    <w:p>
      <w:r/>
      <w:r>
        <w:t>• Unidade literária</w:t>
      </w:r>
    </w:p>
    <w:p>
      <w:r/>
      <w:r>
        <w:t>• Ensino teológica</w:t>
      </w:r>
    </w:p>
    <w:p>
      <w:r/>
      <w:r>
        <w:t>• Conteúdo</w:t>
      </w:r>
    </w:p>
    <w:p>
      <w:pPr>
        <w:pStyle w:val="Heading3"/>
      </w:pPr>
      <w:r>
        <w:t>Autor</w:t>
      </w:r>
    </w:p>
    <w:p>
      <w:r/>
      <w:r>
        <w:t xml:space="preserve">O profeta Isaías, cujo nome significa “o Senhor salva”, viveu e ministrou em Jerusalém. Devido ao seu contato frequente com os reis de Judá, alguns estudiosos acreditam que Isaías era parente da família real, mas isso não é certo. De acordo com os capítulos </w:t>
      </w:r>
      <w:hyperlink r:id="rId11204">
        <w:r>
          <w:rPr>
            <w:color w:val="0000EE"/>
            <w:u w:val="single"/>
          </w:rPr>
          <w:t>7</w:t>
        </w:r>
      </w:hyperlink>
      <w:r>
        <w:t xml:space="preserve"> e </w:t>
      </w:r>
      <w:hyperlink r:id="rId11205">
        <w:r>
          <w:rPr>
            <w:color w:val="0000EE"/>
            <w:u w:val="single"/>
          </w:rPr>
          <w:t>8</w:t>
        </w:r>
      </w:hyperlink>
      <w:r>
        <w:t xml:space="preserve">, Isaías era casado e tinha pelo menos dois filhos, Shear-Jasube e Maer-Salal-Hás-Baz, cujos nomes simbólicos ilustravam os tratos de Deus com a nação como um todo. Os “discípulos” mencionados em </w:t>
      </w:r>
      <w:hyperlink r:id="rId7326">
        <w:r>
          <w:rPr>
            <w:color w:val="0000EE"/>
            <w:u w:val="single"/>
          </w:rPr>
          <w:t>8.16</w:t>
        </w:r>
      </w:hyperlink>
      <w:r>
        <w:t xml:space="preserve"> provavelmente ajudaram Isaías em seu ministério e podem ter ajudado a registrar o livro que leva seu nome.</w:t>
      </w:r>
    </w:p>
    <w:p>
      <w:r/>
      <w:r>
        <w:t xml:space="preserve">Quando Isaías viu o Senhor na famosa visão do templo descrita no capítulo </w:t>
      </w:r>
      <w:hyperlink r:id="rId1938">
        <w:r>
          <w:rPr>
            <w:color w:val="0000EE"/>
            <w:u w:val="single"/>
          </w:rPr>
          <w:t>6</w:t>
        </w:r>
      </w:hyperlink>
      <w:r>
        <w:t>, ele estava disposto a ir aonde Deus o enviasse, mesmo sabendo que enfrentaria forte oposição (</w:t>
      </w:r>
      <w:hyperlink r:id="rId6409">
        <w:r>
          <w:rPr>
            <w:color w:val="0000EE"/>
            <w:u w:val="single"/>
          </w:rPr>
          <w:t>6.9–10</w:t>
        </w:r>
      </w:hyperlink>
      <w:r>
        <w:t>). O rei Acaz provou ser particularmente resistente aos conselhos de Isaías (</w:t>
      </w:r>
      <w:hyperlink r:id="rId11206">
        <w:r>
          <w:rPr>
            <w:color w:val="0000EE"/>
            <w:u w:val="single"/>
          </w:rPr>
          <w:t>7.4–17</w:t>
        </w:r>
      </w:hyperlink>
      <w:r>
        <w:t>), e o povo em geral ridicularizou sua pregação (</w:t>
      </w:r>
      <w:hyperlink r:id="rId11207">
        <w:r>
          <w:rPr>
            <w:color w:val="0000EE"/>
            <w:u w:val="single"/>
          </w:rPr>
          <w:t>5.10–12</w:t>
        </w:r>
      </w:hyperlink>
      <w:r>
        <w:t xml:space="preserve">; </w:t>
      </w:r>
      <w:hyperlink r:id="rId11208">
        <w:r>
          <w:rPr>
            <w:color w:val="0000EE"/>
            <w:u w:val="single"/>
          </w:rPr>
          <w:t>28.9–10</w:t>
        </w:r>
      </w:hyperlink>
      <w:r>
        <w:t>). Durante o reinado do piedoso Ezequias, no entanto, o ministério de Isaías foi muito apreciado, e o rei o consultou ansiosamente durante tempos de crise (</w:t>
      </w:r>
      <w:hyperlink r:id="rId11209">
        <w:r>
          <w:rPr>
            <w:color w:val="0000EE"/>
            <w:u w:val="single"/>
          </w:rPr>
          <w:t>37.1–7,21–35</w:t>
        </w:r>
      </w:hyperlink>
      <w:r>
        <w:t>).</w:t>
      </w:r>
    </w:p>
    <w:p>
      <w:r/>
      <w:r>
        <w:t xml:space="preserve">Isaías é geralmente considerado o maior dos profetas escritores. Alguns dos capítulos em seu livro exibem uma beleza literária incomparável e fazem uso de dispositivos poéticos e uma rica variedade de símbolos. Os capítulos </w:t>
      </w:r>
      <w:hyperlink r:id="rId11210">
        <w:r>
          <w:rPr>
            <w:color w:val="0000EE"/>
            <w:u w:val="single"/>
          </w:rPr>
          <w:t>40–66</w:t>
        </w:r>
      </w:hyperlink>
      <w:r>
        <w:t xml:space="preserve"> contêm muitas passagens poderosas que ressaltam a grandiosidade do livro. É irônico, então, que muitos estudiosos atribuam esses capítulos a um "Segundo" ou "Terceiro" Isaías, autores desconhecidos que escreveram muito depois de Isaías, em conexão com o exílio babilônico. No entanto, em outras partes do AT, os nomes de todos os que escreveram os livros proféticos são preservados, e seria muito incomum para os judeus não saberem quem escreveu uma profecia tão magnífica como os capítulos </w:t>
      </w:r>
      <w:hyperlink r:id="rId11210">
        <w:r>
          <w:rPr>
            <w:color w:val="0000EE"/>
            <w:u w:val="single"/>
          </w:rPr>
          <w:t>40–66</w:t>
        </w:r>
      </w:hyperlink>
      <w:r>
        <w:t>.</w:t>
      </w:r>
    </w:p>
    <w:p>
      <w:pPr>
        <w:pStyle w:val="Heading3"/>
      </w:pPr>
      <w:r>
        <w:t>Data</w:t>
      </w:r>
    </w:p>
    <w:p>
      <w:r/>
      <w:r>
        <w:t xml:space="preserve">Como muitos dos eventos registrados nos capítulos </w:t>
      </w:r>
      <w:hyperlink r:id="rId11211">
        <w:r>
          <w:rPr>
            <w:color w:val="0000EE"/>
            <w:u w:val="single"/>
          </w:rPr>
          <w:t>1–39</w:t>
        </w:r>
      </w:hyperlink>
      <w:r>
        <w:t xml:space="preserve"> ocorreram durante o ministério de Isaías, a maioria desses capítulos provavelmente foi escrita por volta de 700 a.C. ou logo depois. A destruição do exército assírio em 701 a.C. representa o clímax da primeira metade do livro, cumprindo a profecia de </w:t>
      </w:r>
      <w:hyperlink r:id="rId11212">
        <w:r>
          <w:rPr>
            <w:color w:val="0000EE"/>
            <w:u w:val="single"/>
          </w:rPr>
          <w:t>10.16,24–34</w:t>
        </w:r>
      </w:hyperlink>
      <w:r>
        <w:t xml:space="preserve"> e </w:t>
      </w:r>
      <w:hyperlink r:id="rId11213">
        <w:r>
          <w:rPr>
            <w:color w:val="0000EE"/>
            <w:u w:val="single"/>
          </w:rPr>
          <w:t>30.31–33</w:t>
        </w:r>
      </w:hyperlink>
      <w:r>
        <w:t xml:space="preserve">. Em </w:t>
      </w:r>
      <w:hyperlink r:id="rId2409">
        <w:r>
          <w:rPr>
            <w:color w:val="0000EE"/>
            <w:u w:val="single"/>
          </w:rPr>
          <w:t>37.38</w:t>
        </w:r>
      </w:hyperlink>
      <w:r>
        <w:t xml:space="preserve">, Isaías refere-se à morte do Rei Senaqueribe, que não ocorreu até 681 a.C. Isso significa que alguns dos capítulos anteriores, junto com </w:t>
      </w:r>
      <w:hyperlink r:id="rId11210">
        <w:r>
          <w:rPr>
            <w:color w:val="0000EE"/>
            <w:u w:val="single"/>
          </w:rPr>
          <w:t>40–66</w:t>
        </w:r>
      </w:hyperlink>
      <w:r>
        <w:t>, provavelmente foram escritos mais tarde, durante os anos de aposentadoria de Isaías. Um intervalo de várias décadas poderia explicar a mudança no assunto encontrada na última metade do livro. Nesses capítulos, Isaías projeta-se no futuro ao se dirigir aos judeus que estariam no exílio na Babilônia por volta de 550 a.C.</w:t>
      </w:r>
    </w:p>
    <w:p>
      <w:pPr>
        <w:pStyle w:val="Heading3"/>
      </w:pPr>
      <w:r>
        <w:t>Contexto</w:t>
      </w:r>
    </w:p>
    <w:p>
      <w:r/>
      <w:r>
        <w:t xml:space="preserve">O ministério público de Isaías ocorreu principalmente de 740 a 700 a.C., um período marcado pela rápida expansão da nação da Assíria. Sob o reinado do Rei Tiglate-Pileser III (745 a 727 a.C.), os assírios moveram-se para o oeste e sul, e por volta de 738 a.C. o monarca assírio estava exigindo tributo de Damasco e Israel. Por volta de 734 a.C., Rezim de Damasco (Síria) e Peca de Israel organizaram uma coalizão para se rebelar contra a Assíria e tentaram obter o apoio do Rei Acaz de Judá. Mas Acaz recusou-se a se juntar, e quando os reis de Damasco e Israel invadiram Judá (veja </w:t>
      </w:r>
      <w:hyperlink r:id="rId11214">
        <w:r>
          <w:rPr>
            <w:color w:val="0000EE"/>
            <w:u w:val="single"/>
          </w:rPr>
          <w:t>7.1</w:t>
        </w:r>
      </w:hyperlink>
      <w:r>
        <w:t xml:space="preserve">), Acaz apelou diretamente a Tiglate-Pileser por ajuda (cf. </w:t>
      </w:r>
      <w:hyperlink r:id="rId771">
        <w:r>
          <w:rPr>
            <w:color w:val="0000EE"/>
            <w:u w:val="single"/>
          </w:rPr>
          <w:t>2 Reis 16.7–9</w:t>
        </w:r>
      </w:hyperlink>
      <w:r>
        <w:t>). Com pouca hesitação, os assírios voltaram para capturar Damasco e transformar o reino do norte de Israel em uma província assíria.</w:t>
      </w:r>
    </w:p>
    <w:p>
      <w:r/>
      <w:r>
        <w:t xml:space="preserve">O rei fantoche Oseias governou Israel de 732 a 723 a.C., mas foi preso quando se juntou a uma revolta contra Salmanasar V, o novo rei assírio. Salmanasar sitiou a cidade capital de Samaria, que finalmente caiu em 722 a.C., marcando o fim do reino do norte. Sargão sucedeu Salmanasar em 722 e teve que sufocar uma série de revoltas. Em 711 a.C., Sargão capturou a cidade filisteia de Asdode em uma campanha que se tornou a ocasião da profecia de Isaías no capítulo </w:t>
      </w:r>
      <w:hyperlink r:id="rId2695">
        <w:r>
          <w:rPr>
            <w:color w:val="0000EE"/>
            <w:u w:val="single"/>
          </w:rPr>
          <w:t>20</w:t>
        </w:r>
      </w:hyperlink>
      <w:r>
        <w:t>.</w:t>
      </w:r>
    </w:p>
    <w:p>
      <w:r/>
      <w:r>
        <w:t xml:space="preserve">Ainda mais importante foi a rebelião generalizada que eclodiu com a ascensão de Senaqueribe em 705 a.C. O rei Ezequias de Judá reteve seu pagamento normal de tributo, e em 701 a.C. Senaqueribe havia invadido a Palestina para punir os rebeldes. Os detalhes desta campanha são dados em </w:t>
      </w:r>
      <w:hyperlink r:id="rId2781">
        <w:r>
          <w:rPr>
            <w:color w:val="0000EE"/>
            <w:u w:val="single"/>
          </w:rPr>
          <w:t>Isaías 36–37</w:t>
        </w:r>
      </w:hyperlink>
      <w:r>
        <w:t xml:space="preserve"> e contam como cidade após cidade foi capturada pelos assírios antes que os invasores estivessem às portas de Jerusalém e exigissem rendição total. Com quase nenhuma esperança de sobrevivência, Ezequias, no entanto, foi encorajado por Isaías a confiar em Deus, e em uma noite o anjo do Senhor abateu 185.000 soldados assírios, praticamente dizimando o exército de Senaqueribe (</w:t>
      </w:r>
      <w:hyperlink r:id="rId11215">
        <w:r>
          <w:rPr>
            <w:color w:val="0000EE"/>
            <w:u w:val="single"/>
          </w:rPr>
          <w:t>Is 37.36–37</w:t>
        </w:r>
      </w:hyperlink>
      <w:r>
        <w:t>).</w:t>
      </w:r>
    </w:p>
    <w:p>
      <w:r/>
      <w:r>
        <w:t>Em um esforço para fazer amizade com os inimigos da Assíria, Ezequias mostrou seus tesouros aos enviados do rei da Babilônia (</w:t>
      </w:r>
      <w:hyperlink r:id="rId11216">
        <w:r>
          <w:rPr>
            <w:color w:val="0000EE"/>
            <w:u w:val="single"/>
          </w:rPr>
          <w:t>39.1–4</w:t>
        </w:r>
      </w:hyperlink>
      <w:r>
        <w:t xml:space="preserve">). Isaías alertou que algum dia os exércitos babilônicos conquistariam Jerusalém e levariam aqueles mesmos tesouros, junto com os moradores da cidade (vv. </w:t>
      </w:r>
      <w:hyperlink r:id="rId11217">
        <w:r>
          <w:rPr>
            <w:color w:val="0000EE"/>
            <w:u w:val="single"/>
          </w:rPr>
          <w:t>5–7</w:t>
        </w:r>
      </w:hyperlink>
      <w:r>
        <w:t xml:space="preserve">). Isaías não apenas previu o cativeiro babilônico de 586–539 a.C. (cf. </w:t>
      </w:r>
      <w:hyperlink r:id="rId11218">
        <w:r>
          <w:rPr>
            <w:color w:val="0000EE"/>
            <w:u w:val="single"/>
          </w:rPr>
          <w:t>6.11–12</w:t>
        </w:r>
      </w:hyperlink>
      <w:r>
        <w:t>), mas também previu que Israel seria libertado da Babilônia (</w:t>
      </w:r>
      <w:hyperlink r:id="rId11219">
        <w:r>
          <w:rPr>
            <w:color w:val="0000EE"/>
            <w:u w:val="single"/>
          </w:rPr>
          <w:t>48.20</w:t>
        </w:r>
      </w:hyperlink>
      <w:r>
        <w:t xml:space="preserve">). O reino caldeu liderado por Nabucodonosor seria o instrumento de julgamento de Deus sobre Judá, mas eles também sofreriam derrota. Uma das profecias mais notáveis de Isaías foi a nomeação de Ciro, rei da Pérsia, o governante que conquistaria os babilônios em 539 a.C. e libertaria Israel do exílio (cf. </w:t>
      </w:r>
      <w:hyperlink r:id="rId11220">
        <w:r>
          <w:rPr>
            <w:color w:val="0000EE"/>
            <w:u w:val="single"/>
          </w:rPr>
          <w:t>44.28</w:t>
        </w:r>
      </w:hyperlink>
      <w:r>
        <w:t xml:space="preserve">). Junto com os Medos (cf. </w:t>
      </w:r>
      <w:hyperlink r:id="rId11221">
        <w:r>
          <w:rPr>
            <w:color w:val="0000EE"/>
            <w:u w:val="single"/>
          </w:rPr>
          <w:t>13.17</w:t>
        </w:r>
      </w:hyperlink>
      <w:r>
        <w:t>), Ciro conquistou várias vitórias importantes antes de enviar suas tropas contra Babilônia. Isaías o saudou como um ungido pelo Senhor para trazer libertação para Israel (</w:t>
      </w:r>
      <w:hyperlink r:id="rId11222">
        <w:r>
          <w:rPr>
            <w:color w:val="0000EE"/>
            <w:u w:val="single"/>
          </w:rPr>
          <w:t>45.1–5</w:t>
        </w:r>
      </w:hyperlink>
      <w:r>
        <w:t>).</w:t>
      </w:r>
    </w:p>
    <w:p>
      <w:pPr>
        <w:pStyle w:val="Heading3"/>
      </w:pPr>
      <w:r>
        <w:t>Unidade literária</w:t>
      </w:r>
    </w:p>
    <w:p>
      <w:r/>
      <w:r>
        <w:t xml:space="preserve">Em grande parte devido às referências aos reinos posteriores de Babilônia e Pérsia, a unidade de Isaías foi questionada. Os capítulos </w:t>
      </w:r>
      <w:hyperlink r:id="rId11210">
        <w:r>
          <w:rPr>
            <w:color w:val="0000EE"/>
            <w:u w:val="single"/>
          </w:rPr>
          <w:t>40–66</w:t>
        </w:r>
      </w:hyperlink>
      <w:r>
        <w:t xml:space="preserve"> movem-se abruptamente para o período do exílio em 550 a.C., quase 150 anos após a época de Isaías. Além disso, o Servo do Senhor desempenha um papel proeminente nesses capítulos, e o rei messiânico desaparece em segundo plano. Passagens poéticas brilhantes são encontradas nos capítulos </w:t>
      </w:r>
      <w:hyperlink r:id="rId11223">
        <w:r>
          <w:rPr>
            <w:color w:val="0000EE"/>
            <w:u w:val="single"/>
          </w:rPr>
          <w:t>40</w:t>
        </w:r>
      </w:hyperlink>
      <w:r>
        <w:t xml:space="preserve">, </w:t>
      </w:r>
      <w:hyperlink r:id="rId3618">
        <w:r>
          <w:rPr>
            <w:color w:val="0000EE"/>
            <w:u w:val="single"/>
          </w:rPr>
          <w:t>53</w:t>
        </w:r>
      </w:hyperlink>
      <w:r>
        <w:t xml:space="preserve">, </w:t>
      </w:r>
      <w:hyperlink r:id="rId11224">
        <w:r>
          <w:rPr>
            <w:color w:val="0000EE"/>
            <w:u w:val="single"/>
          </w:rPr>
          <w:t>55</w:t>
        </w:r>
      </w:hyperlink>
      <w:r>
        <w:t xml:space="preserve">, e </w:t>
      </w:r>
      <w:hyperlink r:id="rId2162">
        <w:r>
          <w:rPr>
            <w:color w:val="0000EE"/>
            <w:u w:val="single"/>
          </w:rPr>
          <w:t>60</w:t>
        </w:r>
      </w:hyperlink>
      <w:r>
        <w:t>, demonstrando uma profundidade e poder notáveis.</w:t>
      </w:r>
    </w:p>
    <w:p>
      <w:r/>
      <w:r>
        <w:t xml:space="preserve">Embora esses fatores às vezes sejam citados como um sinal de desunião, na verdade há fortes indicações de unidade no livro. Por exemplo, o interlúdio histórico (caps </w:t>
      </w:r>
      <w:hyperlink r:id="rId8867">
        <w:r>
          <w:rPr>
            <w:color w:val="0000EE"/>
            <w:u w:val="single"/>
          </w:rPr>
          <w:t>36–39</w:t>
        </w:r>
      </w:hyperlink>
      <w:r>
        <w:t xml:space="preserve">) forma uma dobradiça ou ponte que liga os capítulos </w:t>
      </w:r>
      <w:hyperlink r:id="rId11225">
        <w:r>
          <w:rPr>
            <w:color w:val="0000EE"/>
            <w:u w:val="single"/>
          </w:rPr>
          <w:t>1–35</w:t>
        </w:r>
      </w:hyperlink>
      <w:r>
        <w:t xml:space="preserve"> e </w:t>
      </w:r>
      <w:hyperlink r:id="rId11210">
        <w:r>
          <w:rPr>
            <w:color w:val="0000EE"/>
            <w:u w:val="single"/>
          </w:rPr>
          <w:t>40–66</w:t>
        </w:r>
      </w:hyperlink>
      <w:r>
        <w:t xml:space="preserve">. Os capítulos </w:t>
      </w:r>
      <w:hyperlink r:id="rId2781">
        <w:r>
          <w:rPr>
            <w:color w:val="0000EE"/>
            <w:u w:val="single"/>
          </w:rPr>
          <w:t>36–37</w:t>
        </w:r>
      </w:hyperlink>
      <w:r>
        <w:t xml:space="preserve"> completam a seção assíria, e os capítulos </w:t>
      </w:r>
      <w:hyperlink r:id="rId11226">
        <w:r>
          <w:rPr>
            <w:color w:val="0000EE"/>
            <w:u w:val="single"/>
          </w:rPr>
          <w:t>38–39</w:t>
        </w:r>
      </w:hyperlink>
      <w:r>
        <w:t xml:space="preserve"> introduzem o material babilônico. A maioria dos capítulos de ligação é escrita em prosa, enquanto os outros (em algumas traduções) são em grande parte poesia. Do ponto de vista da unidade verbal ou estilística, pode-se apontar para o título favorito de Isaías para Deus, “o Santo de Israel”. Este título aparece 12 vezes nos capítulos </w:t>
      </w:r>
      <w:hyperlink r:id="rId11211">
        <w:r>
          <w:rPr>
            <w:color w:val="0000EE"/>
            <w:u w:val="single"/>
          </w:rPr>
          <w:t>1–39</w:t>
        </w:r>
      </w:hyperlink>
      <w:r>
        <w:t xml:space="preserve"> e </w:t>
      </w:r>
      <w:hyperlink r:id="rId11227">
        <w:r>
          <w:rPr>
            <w:color w:val="0000EE"/>
            <w:u w:val="single"/>
          </w:rPr>
          <w:t>14</w:t>
        </w:r>
      </w:hyperlink>
      <w:r>
        <w:t xml:space="preserve"> vezes nos capítulos </w:t>
      </w:r>
      <w:hyperlink r:id="rId11210">
        <w:r>
          <w:rPr>
            <w:color w:val="0000EE"/>
            <w:u w:val="single"/>
          </w:rPr>
          <w:t>40–66</w:t>
        </w:r>
      </w:hyperlink>
      <w:r>
        <w:t xml:space="preserve">, mas apenas sete vezes no restante do AT. Um estudo das famosas Canções do Servo de </w:t>
      </w:r>
      <w:hyperlink r:id="rId3610">
        <w:r>
          <w:rPr>
            <w:color w:val="0000EE"/>
            <w:u w:val="single"/>
          </w:rPr>
          <w:t>52.13–53.12</w:t>
        </w:r>
      </w:hyperlink>
      <w:r>
        <w:t xml:space="preserve"> revela vários vínculos com passagens anteriores, especialmente nos capítulos </w:t>
      </w:r>
      <w:hyperlink r:id="rId11228">
        <w:r>
          <w:rPr>
            <w:color w:val="0000EE"/>
            <w:u w:val="single"/>
          </w:rPr>
          <w:t>1–6</w:t>
        </w:r>
      </w:hyperlink>
      <w:r>
        <w:t>. O servo que é ferido e machucado (</w:t>
      </w:r>
      <w:hyperlink r:id="rId6014">
        <w:r>
          <w:rPr>
            <w:color w:val="0000EE"/>
            <w:u w:val="single"/>
          </w:rPr>
          <w:t>53.4–5</w:t>
        </w:r>
      </w:hyperlink>
      <w:r>
        <w:t xml:space="preserve">) recebe o mesmo castigo que a nação espancada e ferida de </w:t>
      </w:r>
      <w:hyperlink r:id="rId11229">
        <w:r>
          <w:rPr>
            <w:color w:val="0000EE"/>
            <w:u w:val="single"/>
          </w:rPr>
          <w:t>1.5–6</w:t>
        </w:r>
      </w:hyperlink>
      <w:r>
        <w:t xml:space="preserve"> (também cf. </w:t>
      </w:r>
      <w:hyperlink r:id="rId11230">
        <w:r>
          <w:rPr>
            <w:color w:val="0000EE"/>
            <w:u w:val="single"/>
          </w:rPr>
          <w:t>52.13</w:t>
        </w:r>
      </w:hyperlink>
      <w:r>
        <w:t xml:space="preserve"> com </w:t>
      </w:r>
      <w:hyperlink r:id="rId11231">
        <w:r>
          <w:rPr>
            <w:color w:val="0000EE"/>
            <w:u w:val="single"/>
          </w:rPr>
          <w:t>2.12</w:t>
        </w:r>
      </w:hyperlink>
      <w:r>
        <w:t xml:space="preserve"> e </w:t>
      </w:r>
      <w:hyperlink r:id="rId11232">
        <w:r>
          <w:rPr>
            <w:color w:val="0000EE"/>
            <w:u w:val="single"/>
          </w:rPr>
          <w:t>6.1</w:t>
        </w:r>
      </w:hyperlink>
      <w:r>
        <w:t>).</w:t>
      </w:r>
    </w:p>
    <w:p>
      <w:pPr>
        <w:pStyle w:val="Heading3"/>
      </w:pPr>
      <w:r>
        <w:t>Ensino teológico</w:t>
      </w:r>
    </w:p>
    <w:p>
      <w:r/>
      <w:r>
        <w:t>Isaías é para o AT como o livro de Romanos é para o NT — um livro repleto de rica verdade teológica. Assim como Romanos, Isaías revela a pecaminosidade do povo rebelde de Deus e sua graciosa provisão de salvação. Porque Deus é o Santo de Israel (</w:t>
      </w:r>
      <w:hyperlink r:id="rId11233">
        <w:r>
          <w:rPr>
            <w:color w:val="0000EE"/>
            <w:u w:val="single"/>
          </w:rPr>
          <w:t>1.4</w:t>
        </w:r>
      </w:hyperlink>
      <w:r>
        <w:t xml:space="preserve">; </w:t>
      </w:r>
      <w:hyperlink r:id="rId6877">
        <w:r>
          <w:rPr>
            <w:color w:val="0000EE"/>
            <w:u w:val="single"/>
          </w:rPr>
          <w:t>6.3</w:t>
        </w:r>
      </w:hyperlink>
      <w:r>
        <w:t>), ele não pode ignorar o pecado, mas deve punir aqueles que são culpados. Tanto Israel (</w:t>
      </w:r>
      <w:hyperlink r:id="rId8304">
        <w:r>
          <w:rPr>
            <w:color w:val="0000EE"/>
            <w:u w:val="single"/>
          </w:rPr>
          <w:t>5.30</w:t>
        </w:r>
      </w:hyperlink>
      <w:r>
        <w:t xml:space="preserve">; </w:t>
      </w:r>
      <w:hyperlink r:id="rId8645">
        <w:r>
          <w:rPr>
            <w:color w:val="0000EE"/>
            <w:u w:val="single"/>
          </w:rPr>
          <w:t>42.25</w:t>
        </w:r>
      </w:hyperlink>
      <w:r>
        <w:t>) quanto as outras nações (</w:t>
      </w:r>
      <w:hyperlink r:id="rId11234">
        <w:r>
          <w:rPr>
            <w:color w:val="0000EE"/>
            <w:u w:val="single"/>
          </w:rPr>
          <w:t>2.11,17,20</w:t>
        </w:r>
      </w:hyperlink>
      <w:r>
        <w:t xml:space="preserve">) experimentam um tempo de julgamento conhecido como o Dia do Senhor. Em sua ira, Deus levanta sua mão contra seu povo (cf. </w:t>
      </w:r>
      <w:hyperlink r:id="rId11235">
        <w:r>
          <w:rPr>
            <w:color w:val="0000EE"/>
            <w:u w:val="single"/>
          </w:rPr>
          <w:t>5.25</w:t>
        </w:r>
      </w:hyperlink>
      <w:r>
        <w:t xml:space="preserve">), mas, em última análise, sua ira é derramada sobre Babilônia e as nações (cf. </w:t>
      </w:r>
      <w:hyperlink r:id="rId11236">
        <w:r>
          <w:rPr>
            <w:color w:val="0000EE"/>
            <w:u w:val="single"/>
          </w:rPr>
          <w:t>13.3–5</w:t>
        </w:r>
      </w:hyperlink>
      <w:r>
        <w:t xml:space="preserve">; </w:t>
      </w:r>
      <w:hyperlink r:id="rId11237">
        <w:r>
          <w:rPr>
            <w:color w:val="0000EE"/>
            <w:u w:val="single"/>
          </w:rPr>
          <w:t>34.2</w:t>
        </w:r>
      </w:hyperlink>
      <w:r>
        <w:t>).</w:t>
      </w:r>
    </w:p>
    <w:p>
      <w:r/>
      <w:r>
        <w:t>Com a queda da Assíria e Babilônia, o Dia do Senhor torna-se um dia de vitória jubilosa (</w:t>
      </w:r>
      <w:hyperlink r:id="rId11238">
        <w:r>
          <w:rPr>
            <w:color w:val="0000EE"/>
            <w:u w:val="single"/>
          </w:rPr>
          <w:t>10.27</w:t>
        </w:r>
      </w:hyperlink>
      <w:r>
        <w:t xml:space="preserve">; </w:t>
      </w:r>
      <w:hyperlink r:id="rId8657">
        <w:r>
          <w:rPr>
            <w:color w:val="0000EE"/>
            <w:u w:val="single"/>
          </w:rPr>
          <w:t>61.2</w:t>
        </w:r>
      </w:hyperlink>
      <w:r>
        <w:t xml:space="preserve">). De acordo com </w:t>
      </w:r>
      <w:hyperlink r:id="rId11239">
        <w:r>
          <w:rPr>
            <w:color w:val="0000EE"/>
            <w:u w:val="single"/>
          </w:rPr>
          <w:t>Isaías 63.4</w:t>
        </w:r>
      </w:hyperlink>
      <w:r>
        <w:t>, é o ano da redenção do Senhor. Anteriormente, Israel havia sido redimido da escravidão no Egito; agora o retorno do cativeiro babilônico traz alegria igual (</w:t>
      </w:r>
      <w:hyperlink r:id="rId6758">
        <w:r>
          <w:rPr>
            <w:color w:val="0000EE"/>
            <w:u w:val="single"/>
          </w:rPr>
          <w:t>52.9</w:t>
        </w:r>
      </w:hyperlink>
      <w:r>
        <w:t xml:space="preserve">; </w:t>
      </w:r>
      <w:hyperlink r:id="rId8373">
        <w:r>
          <w:rPr>
            <w:color w:val="0000EE"/>
            <w:u w:val="single"/>
          </w:rPr>
          <w:t>61.1</w:t>
        </w:r>
      </w:hyperlink>
      <w:r>
        <w:t xml:space="preserve">). A redenção final será realizada através da morte de Cristo, e </w:t>
      </w:r>
      <w:hyperlink r:id="rId3618">
        <w:r>
          <w:rPr>
            <w:color w:val="0000EE"/>
            <w:u w:val="single"/>
          </w:rPr>
          <w:t>Isaías 53</w:t>
        </w:r>
      </w:hyperlink>
      <w:r>
        <w:t xml:space="preserve"> descreve o sofrimento e a morte do nosso Senhor de forma gráfica. Seu ministério como o Servo Sofredor também é introduzido em </w:t>
      </w:r>
      <w:hyperlink r:id="rId11240">
        <w:r>
          <w:rPr>
            <w:color w:val="0000EE"/>
            <w:u w:val="single"/>
          </w:rPr>
          <w:t>49.4</w:t>
        </w:r>
      </w:hyperlink>
      <w:r>
        <w:t xml:space="preserve"> e </w:t>
      </w:r>
      <w:hyperlink r:id="rId11241">
        <w:r>
          <w:rPr>
            <w:color w:val="0000EE"/>
            <w:u w:val="single"/>
          </w:rPr>
          <w:t>50.6–7</w:t>
        </w:r>
      </w:hyperlink>
      <w:r>
        <w:t xml:space="preserve">; enquanto isso, </w:t>
      </w:r>
      <w:hyperlink r:id="rId10883">
        <w:r>
          <w:rPr>
            <w:color w:val="0000EE"/>
            <w:u w:val="single"/>
          </w:rPr>
          <w:t>49.6</w:t>
        </w:r>
      </w:hyperlink>
      <w:r>
        <w:t xml:space="preserve"> afirma que o servo será “uma luz para os gentios”. Olhando para a Segunda Vinda, Isaías prediz uma era messiânica de paz e justiça. As nações “converterão suas espadas em arados” (</w:t>
      </w:r>
      <w:hyperlink r:id="rId10271">
        <w:r>
          <w:rPr>
            <w:color w:val="0000EE"/>
            <w:u w:val="single"/>
          </w:rPr>
          <w:t>2.4</w:t>
        </w:r>
      </w:hyperlink>
      <w:r>
        <w:t>) e o “Príncipe da Paz” reinará para sempre (</w:t>
      </w:r>
      <w:hyperlink r:id="rId9385">
        <w:r>
          <w:rPr>
            <w:color w:val="0000EE"/>
            <w:u w:val="single"/>
          </w:rPr>
          <w:t>9.6–7</w:t>
        </w:r>
      </w:hyperlink>
      <w:r>
        <w:t>).</w:t>
      </w:r>
    </w:p>
    <w:p>
      <w:r/>
      <w:r>
        <w:t>Ao longo do livro, Deus é retratado como o Criador todo-poderoso (</w:t>
      </w:r>
      <w:hyperlink r:id="rId11242">
        <w:r>
          <w:rPr>
            <w:color w:val="0000EE"/>
            <w:u w:val="single"/>
          </w:rPr>
          <w:t>48.13</w:t>
        </w:r>
      </w:hyperlink>
      <w:r>
        <w:t>) — o soberano sentado em um trono, alto e exaltado; o Rei, o Senhor Todo-poderoso (</w:t>
      </w:r>
      <w:hyperlink r:id="rId11243">
        <w:r>
          <w:rPr>
            <w:color w:val="0000EE"/>
            <w:u w:val="single"/>
          </w:rPr>
          <w:t>6.1,5</w:t>
        </w:r>
      </w:hyperlink>
      <w:r>
        <w:t>). Ele controla os exércitos da terra (</w:t>
      </w:r>
      <w:hyperlink r:id="rId11244">
        <w:r>
          <w:rPr>
            <w:color w:val="0000EE"/>
            <w:u w:val="single"/>
          </w:rPr>
          <w:t>13.4</w:t>
        </w:r>
      </w:hyperlink>
      <w:r>
        <w:t>) e remove governantes conforme sua vontade (</w:t>
      </w:r>
      <w:hyperlink r:id="rId11245">
        <w:r>
          <w:rPr>
            <w:color w:val="0000EE"/>
            <w:u w:val="single"/>
          </w:rPr>
          <w:t>40.23–24</w:t>
        </w:r>
      </w:hyperlink>
      <w:r>
        <w:t>). Diante dele, as nações “são como uma gota de água num balde” (</w:t>
      </w:r>
      <w:hyperlink r:id="rId11246">
        <w:r>
          <w:rPr>
            <w:color w:val="0000EE"/>
            <w:u w:val="single"/>
          </w:rPr>
          <w:t>40.15</w:t>
        </w:r>
      </w:hyperlink>
      <w:r>
        <w:t>, NTLH), e comparados a ele, todos os ídolos são inúteis e sem poder (</w:t>
      </w:r>
      <w:hyperlink r:id="rId11247">
        <w:r>
          <w:rPr>
            <w:color w:val="0000EE"/>
            <w:u w:val="single"/>
          </w:rPr>
          <w:t>41.29</w:t>
        </w:r>
      </w:hyperlink>
      <w:r>
        <w:t xml:space="preserve">; </w:t>
      </w:r>
      <w:hyperlink r:id="rId11248">
        <w:r>
          <w:rPr>
            <w:color w:val="0000EE"/>
            <w:u w:val="single"/>
          </w:rPr>
          <w:t>44.6</w:t>
        </w:r>
      </w:hyperlink>
      <w:r>
        <w:t>). Este é o Deus que mostra sua fúria aos seus inimigos e seu amor aos seus servos (</w:t>
      </w:r>
      <w:hyperlink r:id="rId11249">
        <w:r>
          <w:rPr>
            <w:color w:val="0000EE"/>
            <w:u w:val="single"/>
          </w:rPr>
          <w:t>66.14</w:t>
        </w:r>
      </w:hyperlink>
      <w:r>
        <w:t>).</w:t>
      </w:r>
    </w:p>
    <w:p>
      <w:pPr>
        <w:pStyle w:val="Heading3"/>
      </w:pPr>
      <w:r>
        <w:t>Conteúdo</w:t>
      </w:r>
    </w:p>
    <w:p>
      <w:pPr>
        <w:pStyle w:val="Heading4"/>
      </w:pPr>
      <w:r>
        <w:t>Mensagens de Julgamento e Esperança (</w:t>
      </w:r>
      <w:hyperlink r:id="rId11250">
        <w:r>
          <w:rPr>
            <w:color w:val="0000EE"/>
            <w:u w:val="single"/>
          </w:rPr>
          <w:t>1–12</w:t>
        </w:r>
      </w:hyperlink>
      <w:r>
        <w:t>)</w:t>
      </w:r>
    </w:p>
    <w:p>
      <w:r/>
      <w:r>
        <w:t xml:space="preserve">No capítulo de abertura, Isaías caracteriza Israel (incluindo Judá) como “uma nação pecadora” que se rebelou contra Deus. Embora o povo ofereça sacrifícios regularmente a Ele, sua adoração é hipócrita, uma tentativa de mascarar sua opressão aos pobres e desamparados. O Senhor encoraja a nação a se arrepender de seus pecados ou enfrentar as chamas do julgamento. Após esta introdução, Isaías passa a descrever a paz da era messiânica em </w:t>
      </w:r>
      <w:hyperlink r:id="rId6613">
        <w:r>
          <w:rPr>
            <w:color w:val="0000EE"/>
            <w:u w:val="single"/>
          </w:rPr>
          <w:t>2.1–4</w:t>
        </w:r>
      </w:hyperlink>
      <w:r>
        <w:t>. O dia chegará quando todas as nações obedecerão à palavra de Deus e viverão em paz. “O monte... do Senhor” — Jerusalém — será exaltado e “os povos de todas as nações irão correndo para lá” (</w:t>
      </w:r>
      <w:hyperlink r:id="rId11251">
        <w:r>
          <w:rPr>
            <w:color w:val="0000EE"/>
            <w:u w:val="single"/>
          </w:rPr>
          <w:t>2.2–3</w:t>
        </w:r>
      </w:hyperlink>
      <w:r>
        <w:t xml:space="preserve">, NTLH). Entretanto, por enquanto, tanto Israel quanto as nações se exaltaram contra o Senhor, e Ele os julgará em uma impressionante demonstração de poder. Para Israel, o julgamento de Deus trará grande tumulto, incluindo a perda de seus líderes. Desafiantes e implacáveis, os governantes enfrentarão a morte ou a deportação. O capítulo </w:t>
      </w:r>
      <w:hyperlink r:id="rId11252">
        <w:r>
          <w:rPr>
            <w:color w:val="0000EE"/>
            <w:u w:val="single"/>
          </w:rPr>
          <w:t>3</w:t>
        </w:r>
      </w:hyperlink>
      <w:r>
        <w:t xml:space="preserve"> termina denunciando o orgulho e a vaidade das mulheres de Sião; elas também sofrerão desgraça. Após Jerusalém ser purificada de seu pecado, o remanescente desfrutará do governo do “ramo do Senhor”, que protegerá e guardará seu povo (</w:t>
      </w:r>
      <w:hyperlink r:id="rId11253">
        <w:r>
          <w:rPr>
            <w:color w:val="0000EE"/>
            <w:u w:val="single"/>
          </w:rPr>
          <w:t>4.2–6</w:t>
        </w:r>
      </w:hyperlink>
      <w:r>
        <w:t>).</w:t>
      </w:r>
    </w:p>
    <w:p>
      <w:r/>
      <w:r>
        <w:t xml:space="preserve">Em </w:t>
      </w:r>
      <w:hyperlink r:id="rId11254">
        <w:r>
          <w:rPr>
            <w:color w:val="0000EE"/>
            <w:u w:val="single"/>
          </w:rPr>
          <w:t>5.1–7</w:t>
        </w:r>
      </w:hyperlink>
      <w:r>
        <w:t xml:space="preserve">, Isaías apresenta uma breve canção sobre Israel como a vinha de Deus. O Senhor fez tudo o possível para garantir uma colheita de boas uvas, mas a vinha produziu apenas frutos ruins e teve que ser destruída. Isaías então pronuncia seis ais contra Israel e anuncia que o exército assírio invadirá a terra. Contra o pano de fundo do pecado de Israel, Isaías (cap. </w:t>
      </w:r>
      <w:hyperlink r:id="rId1938">
        <w:r>
          <w:rPr>
            <w:color w:val="0000EE"/>
            <w:u w:val="single"/>
          </w:rPr>
          <w:t>6</w:t>
        </w:r>
      </w:hyperlink>
      <w:r>
        <w:t>) relata a visão através da qual foi chamado como profeta. Impressionado pela santidade de Deus e por sua própria pecaminosidade, Isaías pensou que estava arruinado, mas quando foi assegurado de que seus pecados foram perdoados, ele respondeu positivamente ao chamado de Deus, apesar da teimosia da nação para a qual foi enviado.</w:t>
      </w:r>
    </w:p>
    <w:p>
      <w:r/>
      <w:r>
        <w:t xml:space="preserve">Um dos indivíduos mais teimosos de toda a nação era o Rei Acaz de Judá, e o capítulo </w:t>
      </w:r>
      <w:hyperlink r:id="rId11204">
        <w:r>
          <w:rPr>
            <w:color w:val="0000EE"/>
            <w:u w:val="single"/>
          </w:rPr>
          <w:t>7</w:t>
        </w:r>
      </w:hyperlink>
      <w:r>
        <w:t xml:space="preserve"> descreve o encontro de Isaías com este governante ímpio. Quando Acaz foi ameaçado por Damasco e pelo reino do norte, ele se recusou a acreditar na promessa de Isaías de que Deus o protegeria. Esta foi a ocasião em que Isaías deu a Acaz o sinal de Emanuel (</w:t>
      </w:r>
      <w:hyperlink r:id="rId3591">
        <w:r>
          <w:rPr>
            <w:color w:val="0000EE"/>
            <w:u w:val="single"/>
          </w:rPr>
          <w:t>7.14</w:t>
        </w:r>
      </w:hyperlink>
      <w:r>
        <w:t>). A "virgem" refere-se, em última análise, a Maria e "Emanuel" a Cristo (</w:t>
      </w:r>
      <w:hyperlink r:id="rId3590">
        <w:r>
          <w:rPr>
            <w:color w:val="0000EE"/>
            <w:u w:val="single"/>
          </w:rPr>
          <w:t>Mt 1.23</w:t>
        </w:r>
      </w:hyperlink>
      <w:r>
        <w:t>), mas no cumprimento próximo a criança poderia ser o próprio filho de Isaías, Maer-Salal-Hás-Baz (</w:t>
      </w:r>
      <w:hyperlink r:id="rId4529">
        <w:r>
          <w:rPr>
            <w:color w:val="0000EE"/>
            <w:u w:val="single"/>
          </w:rPr>
          <w:t>Is 8.3</w:t>
        </w:r>
      </w:hyperlink>
      <w:r>
        <w:t>). (</w:t>
      </w:r>
      <w:r>
        <w:rPr>
          <w:i/>
        </w:rPr>
        <w:t>Veja</w:t>
      </w:r>
      <w:r>
        <w:t xml:space="preserve"> quatro interpretações desta passagem em </w:t>
      </w:r>
      <w:r>
        <w:t>Nascimento virginal de Jesus</w:t>
      </w:r>
      <w:r>
        <w:t xml:space="preserve">.) Este nome (que significa "rápido para saquear e veloz para despojar," v. </w:t>
      </w:r>
      <w:hyperlink r:id="rId11255">
        <w:r>
          <w:rPr>
            <w:color w:val="0000EE"/>
            <w:u w:val="single"/>
          </w:rPr>
          <w:t>1</w:t>
        </w:r>
      </w:hyperlink>
      <w:r>
        <w:t xml:space="preserve">) seria um sinal de que em breve os inimigos de Judá cairiam; "Emanuel" significava que Deus estaria com Judá (v. </w:t>
      </w:r>
      <w:hyperlink r:id="rId11256">
        <w:r>
          <w:rPr>
            <w:color w:val="0000EE"/>
            <w:u w:val="single"/>
          </w:rPr>
          <w:t>10</w:t>
        </w:r>
      </w:hyperlink>
      <w:r>
        <w:t xml:space="preserve">). No entanto, se Acaz apelasse por ajuda ao rei da Assíria, Isaías o advertiu, os poderosos exércitos da Assíria um dia também invadiriam Judá (cf. </w:t>
      </w:r>
      <w:hyperlink r:id="rId11257">
        <w:r>
          <w:rPr>
            <w:color w:val="0000EE"/>
            <w:u w:val="single"/>
          </w:rPr>
          <w:t>7.17–25</w:t>
        </w:r>
      </w:hyperlink>
      <w:r>
        <w:t xml:space="preserve">; </w:t>
      </w:r>
      <w:hyperlink r:id="rId11258">
        <w:r>
          <w:rPr>
            <w:color w:val="0000EE"/>
            <w:u w:val="single"/>
          </w:rPr>
          <w:t>8.6–8</w:t>
        </w:r>
      </w:hyperlink>
      <w:r>
        <w:t>). A destruição trazida pela Assíria mergulharia Judá em um tempo de fome e angústia (</w:t>
      </w:r>
      <w:hyperlink r:id="rId11259">
        <w:r>
          <w:rPr>
            <w:color w:val="0000EE"/>
            <w:u w:val="single"/>
          </w:rPr>
          <w:t>8.21–22</w:t>
        </w:r>
      </w:hyperlink>
      <w:r>
        <w:t>).</w:t>
      </w:r>
    </w:p>
    <w:p>
      <w:r/>
      <w:r>
        <w:t xml:space="preserve">No entanto, a escuridão e a tristeza associadas à invasão assíria não durariam indefinidamente, e </w:t>
      </w:r>
      <w:hyperlink r:id="rId11260">
        <w:r>
          <w:rPr>
            <w:color w:val="0000EE"/>
            <w:u w:val="single"/>
          </w:rPr>
          <w:t>9.1–5</w:t>
        </w:r>
      </w:hyperlink>
      <w:r>
        <w:t xml:space="preserve"> fala de um tempo de paz e alegria. Os versículos </w:t>
      </w:r>
      <w:hyperlink r:id="rId9385">
        <w:r>
          <w:rPr>
            <w:color w:val="0000EE"/>
            <w:u w:val="single"/>
          </w:rPr>
          <w:t>6–7</w:t>
        </w:r>
      </w:hyperlink>
      <w:r>
        <w:t xml:space="preserve"> introduzem uma criança que se tornaria um Rei justo e governaria para sempre. Este “Príncipe da Paz” é o Messias, o “Deus Poderoso” cujo reino é descrito em </w:t>
      </w:r>
      <w:hyperlink r:id="rId11261">
        <w:r>
          <w:rPr>
            <w:color w:val="0000EE"/>
            <w:u w:val="single"/>
          </w:rPr>
          <w:t>2.2–4</w:t>
        </w:r>
      </w:hyperlink>
      <w:r>
        <w:t>.</w:t>
      </w:r>
    </w:p>
    <w:p>
      <w:r/>
      <w:r>
        <w:t>No futuro imediato, tanto Israel quanto Judá sofrerão a agonia da guerra como punição por seus pecados. Deus está irado com seu povo porque eles são orgulhosos e arrogantes, e seus líderes ignoram os apelos dos pobres e necessitados. Guerra civil e invasão estrangeira esmagarão a nação desamparada (</w:t>
      </w:r>
      <w:hyperlink r:id="rId11262">
        <w:r>
          <w:rPr>
            <w:color w:val="0000EE"/>
            <w:u w:val="single"/>
          </w:rPr>
          <w:t>9.8–10.4</w:t>
        </w:r>
      </w:hyperlink>
      <w:r>
        <w:t>). Mas, uma vez que Israel tenha sido julgado, Deus voltará sua mão contra a Assíria, o instrumento que Ele usou para julgar outras nações. Por causa de sua série de vitórias, a Assíria está cheia de orgulho e ansiosa por mais triunfos. No entanto, mesmo quando Jerusalém está prestes a sucumbir, Deus derrubará o exército assírio como um cedro no Líbano e poupará seu povo (</w:t>
      </w:r>
      <w:hyperlink r:id="rId11263">
        <w:r>
          <w:rPr>
            <w:color w:val="0000EE"/>
            <w:u w:val="single"/>
          </w:rPr>
          <w:t>10.26–34</w:t>
        </w:r>
      </w:hyperlink>
      <w:r>
        <w:t>).</w:t>
      </w:r>
    </w:p>
    <w:p>
      <w:r/>
      <w:r>
        <w:t xml:space="preserve">Após a derrota da Assíria, Isaías descreve a restauração de Israel e o poderoso governo do Messias (cap. </w:t>
      </w:r>
      <w:hyperlink r:id="rId11264">
        <w:r>
          <w:rPr>
            <w:color w:val="0000EE"/>
            <w:u w:val="single"/>
          </w:rPr>
          <w:t>11</w:t>
        </w:r>
      </w:hyperlink>
      <w:r>
        <w:t xml:space="preserve">). Tanto judeus quanto gentios serão atraídos para Jerusalém para desfrutar de uma era de paz e justiça. Como Davi, o Messias terá o Espírito de Deus repousando sobre ele enquanto julga os ímpios e protege os necessitados. Para concluir essas mensagens iniciais, Isaías oferece duas breves canções de louvor que celebram a libertação passada de Deus e sua promessa de bênção futura (cap. </w:t>
      </w:r>
      <w:hyperlink r:id="rId11265">
        <w:r>
          <w:rPr>
            <w:color w:val="0000EE"/>
            <w:u w:val="single"/>
          </w:rPr>
          <w:t>12</w:t>
        </w:r>
      </w:hyperlink>
      <w:r>
        <w:t>).</w:t>
      </w:r>
    </w:p>
    <w:p>
      <w:pPr>
        <w:pStyle w:val="Heading4"/>
      </w:pPr>
      <w:r>
        <w:t>Oráculos contra as nações (</w:t>
      </w:r>
      <w:hyperlink r:id="rId11266">
        <w:r>
          <w:rPr>
            <w:color w:val="0000EE"/>
            <w:u w:val="single"/>
          </w:rPr>
          <w:t>13–23</w:t>
        </w:r>
      </w:hyperlink>
      <w:r>
        <w:t>)</w:t>
      </w:r>
    </w:p>
    <w:p>
      <w:r/>
      <w:r>
        <w:t>Embora Babilônia não seja a maior potência do momento, Isaías começa seus anúncios de julgamento com dois capítulos sobre a destruição do vizinho ao sul da Assíria. Babilônia eventualmente conquistará Jerusalém (entre 605 e 586 a.C.), mas os medos (</w:t>
      </w:r>
      <w:hyperlink r:id="rId11221">
        <w:r>
          <w:rPr>
            <w:color w:val="0000EE"/>
            <w:u w:val="single"/>
          </w:rPr>
          <w:t>13.17</w:t>
        </w:r>
      </w:hyperlink>
      <w:r>
        <w:t>), junto com os elamitas, capturarão Babilônia (539 a.C.). Apesar da glória que futuros reis de Babilônia alcançarão, Deus levará sua pompa para a sepultura (</w:t>
      </w:r>
      <w:hyperlink r:id="rId11033">
        <w:r>
          <w:rPr>
            <w:color w:val="0000EE"/>
            <w:u w:val="single"/>
          </w:rPr>
          <w:t>14.9–10</w:t>
        </w:r>
      </w:hyperlink>
      <w:r>
        <w:t>). O capítulo termina com breves profecias contra a Assíria e os filisteus.</w:t>
      </w:r>
    </w:p>
    <w:p>
      <w:r/>
      <w:r>
        <w:t xml:space="preserve">Um dos inimigos mais antigos de Israel era a nação de Moabe, situada a leste do Mar Morto. Embora fosse um país pequeno, Isaías dedica dois capítulos a esses descendentes de Ló. O capítulo </w:t>
      </w:r>
      <w:hyperlink r:id="rId11267">
        <w:r>
          <w:rPr>
            <w:color w:val="0000EE"/>
            <w:u w:val="single"/>
          </w:rPr>
          <w:t>15</w:t>
        </w:r>
      </w:hyperlink>
      <w:r>
        <w:t xml:space="preserve"> descreve o extenso luto que dominará suas cidades. Após um breve interlúdio instando os moabitas a se submeterem a Israel e ao seu Deus (</w:t>
      </w:r>
      <w:hyperlink r:id="rId11268">
        <w:r>
          <w:rPr>
            <w:color w:val="0000EE"/>
            <w:u w:val="single"/>
          </w:rPr>
          <w:t>16.1–5</w:t>
        </w:r>
      </w:hyperlink>
      <w:r>
        <w:t>), Isaías observa que o orgulho levará à queda de Moabe. Sons de choro enchem a terra enquanto as vinhas e campos murcham e são pisoteados.</w:t>
      </w:r>
    </w:p>
    <w:p>
      <w:r/>
      <w:r>
        <w:t xml:space="preserve">No capítulo </w:t>
      </w:r>
      <w:hyperlink r:id="rId11269">
        <w:r>
          <w:rPr>
            <w:color w:val="0000EE"/>
            <w:u w:val="single"/>
          </w:rPr>
          <w:t>17</w:t>
        </w:r>
      </w:hyperlink>
      <w:r>
        <w:t>, o quarto oráculo é dirigido contra Damasco e Efraim (o reino do norte de Israel), provavelmente refletindo sua aliança contra Judá por volta de 734 a.C. Ambas as nações enfrentarão a ruína, e Efraim é condenado por abandonar o Senhor, seu “Salvador” e “Rocha” (</w:t>
      </w:r>
      <w:hyperlink r:id="rId11270">
        <w:r>
          <w:rPr>
            <w:color w:val="0000EE"/>
            <w:u w:val="single"/>
          </w:rPr>
          <w:t>17.10</w:t>
        </w:r>
      </w:hyperlink>
      <w:r>
        <w:t>).</w:t>
      </w:r>
    </w:p>
    <w:p>
      <w:r/>
      <w:r>
        <w:t xml:space="preserve">Nos capítulos </w:t>
      </w:r>
      <w:hyperlink r:id="rId11271">
        <w:r>
          <w:rPr>
            <w:color w:val="0000EE"/>
            <w:u w:val="single"/>
          </w:rPr>
          <w:t>18</w:t>
        </w:r>
      </w:hyperlink>
      <w:r>
        <w:t xml:space="preserve"> e </w:t>
      </w:r>
      <w:hyperlink r:id="rId11272">
        <w:r>
          <w:rPr>
            <w:color w:val="0000EE"/>
            <w:u w:val="single"/>
          </w:rPr>
          <w:t>19</w:t>
        </w:r>
      </w:hyperlink>
      <w:r>
        <w:t>, Isaías se volta para o sul e dirige-se à Etiópia e ao Egito, países que tinham fortes laços de 715–633 a.C., quando um etíope chamado Shabako tornou-se Faraó no Egito. Mas o Egito é assolado pela desunião e sofre muito nas mãos dos reis assírios. Apesar da suposta sabedoria de seus líderes, o Egito enfrenta ruína econômica e política (</w:t>
      </w:r>
      <w:hyperlink r:id="rId11273">
        <w:r>
          <w:rPr>
            <w:color w:val="0000EE"/>
            <w:u w:val="single"/>
          </w:rPr>
          <w:t>19.5–15</w:t>
        </w:r>
      </w:hyperlink>
      <w:r>
        <w:t>). No entanto, o tempo está chegando em que os egípcios serão restaurados e adorarão o Deus de Israel. Junto com a Assíria e Israel, o Egito se tornará uma bênção (</w:t>
      </w:r>
      <w:hyperlink r:id="rId11274">
        <w:r>
          <w:rPr>
            <w:color w:val="0000EE"/>
            <w:u w:val="single"/>
          </w:rPr>
          <w:t>19.24</w:t>
        </w:r>
      </w:hyperlink>
      <w:r>
        <w:t xml:space="preserve">). Alguns intérpretes acreditam que esta é uma profecia da salvação dos gentios durante a era da igreja, mas outros relacionam este dia à paz da era milenar (cf. </w:t>
      </w:r>
      <w:hyperlink r:id="rId11261">
        <w:r>
          <w:rPr>
            <w:color w:val="0000EE"/>
            <w:u w:val="single"/>
          </w:rPr>
          <w:t>2.2–4</w:t>
        </w:r>
      </w:hyperlink>
      <w:r>
        <w:t xml:space="preserve">; </w:t>
      </w:r>
      <w:hyperlink r:id="rId11275">
        <w:r>
          <w:rPr>
            <w:color w:val="0000EE"/>
            <w:u w:val="single"/>
          </w:rPr>
          <w:t>11.6–9</w:t>
        </w:r>
      </w:hyperlink>
      <w:r>
        <w:t xml:space="preserve">). Para o futuro imediato, no entanto, Isaías anuncia que a Assíria levará muitos egípcios e etíopes para o cativeiro (cap. </w:t>
      </w:r>
      <w:hyperlink r:id="rId2695">
        <w:r>
          <w:rPr>
            <w:color w:val="0000EE"/>
            <w:u w:val="single"/>
          </w:rPr>
          <w:t>20</w:t>
        </w:r>
      </w:hyperlink>
      <w:r>
        <w:t>).</w:t>
      </w:r>
    </w:p>
    <w:p>
      <w:r/>
      <w:r>
        <w:t xml:space="preserve">Um segundo oráculo sobre Babilônia (cf. </w:t>
      </w:r>
      <w:hyperlink r:id="rId11276">
        <w:r>
          <w:rPr>
            <w:color w:val="0000EE"/>
            <w:u w:val="single"/>
          </w:rPr>
          <w:t>13.1–14.23</w:t>
        </w:r>
      </w:hyperlink>
      <w:r>
        <w:t xml:space="preserve">) está contido no capítulo </w:t>
      </w:r>
      <w:hyperlink r:id="rId11277">
        <w:r>
          <w:rPr>
            <w:color w:val="0000EE"/>
            <w:u w:val="single"/>
          </w:rPr>
          <w:t>21</w:t>
        </w:r>
      </w:hyperlink>
      <w:r>
        <w:t>, e Isaías fica atônito ao considerar o impacto da queda de Babilônia (</w:t>
      </w:r>
      <w:hyperlink r:id="rId11278">
        <w:r>
          <w:rPr>
            <w:color w:val="0000EE"/>
            <w:u w:val="single"/>
          </w:rPr>
          <w:t>21.3–4</w:t>
        </w:r>
      </w:hyperlink>
      <w:r>
        <w:t>). Quando Babilônia colapsar, o mundo saberá que seus deuses eram impotentes (</w:t>
      </w:r>
      <w:hyperlink r:id="rId11279">
        <w:r>
          <w:rPr>
            <w:color w:val="0000EE"/>
            <w:u w:val="single"/>
          </w:rPr>
          <w:t>21.9</w:t>
        </w:r>
      </w:hyperlink>
      <w:r>
        <w:t xml:space="preserve">; cf. </w:t>
      </w:r>
      <w:hyperlink r:id="rId9631">
        <w:r>
          <w:rPr>
            <w:color w:val="0000EE"/>
            <w:u w:val="single"/>
          </w:rPr>
          <w:t>Ap 14.8</w:t>
        </w:r>
      </w:hyperlink>
      <w:r>
        <w:t xml:space="preserve">; </w:t>
      </w:r>
      <w:hyperlink r:id="rId11280">
        <w:r>
          <w:rPr>
            <w:color w:val="0000EE"/>
            <w:u w:val="single"/>
          </w:rPr>
          <w:t>18.2</w:t>
        </w:r>
      </w:hyperlink>
      <w:r>
        <w:t>).</w:t>
      </w:r>
    </w:p>
    <w:p>
      <w:r/>
      <w:r>
        <w:t xml:space="preserve">Embora pareça fora de lugar entre esses oráculos contra as nações, o capítulo </w:t>
      </w:r>
      <w:hyperlink r:id="rId11281">
        <w:r>
          <w:rPr>
            <w:color w:val="0000EE"/>
            <w:u w:val="single"/>
          </w:rPr>
          <w:t>22</w:t>
        </w:r>
      </w:hyperlink>
      <w:r>
        <w:t xml:space="preserve"> condena a cidade de Jerusalém. Assim como as nações, Jerusalém está cheia de festividades (</w:t>
      </w:r>
      <w:hyperlink r:id="rId11282">
        <w:r>
          <w:rPr>
            <w:color w:val="0000EE"/>
            <w:u w:val="single"/>
          </w:rPr>
          <w:t>22.2</w:t>
        </w:r>
      </w:hyperlink>
      <w:r>
        <w:t xml:space="preserve">), mas em breve enfrentará os terrores de um cerco. Como o povo não confia mais no Senhor (v. </w:t>
      </w:r>
      <w:hyperlink r:id="rId10229">
        <w:r>
          <w:rPr>
            <w:color w:val="0000EE"/>
            <w:u w:val="single"/>
          </w:rPr>
          <w:t>11</w:t>
        </w:r>
      </w:hyperlink>
      <w:r>
        <w:t xml:space="preserve">), ele os entregará ao inimigo. A infidelidade de Jerusalém é exemplificada por Sebna, um alto funcionário culpado de orgulho e materialismo, cuja posição será ocupada pelo piedoso Eliaquim (vv. </w:t>
      </w:r>
      <w:hyperlink r:id="rId11283">
        <w:r>
          <w:rPr>
            <w:color w:val="0000EE"/>
            <w:u w:val="single"/>
          </w:rPr>
          <w:t>15–23</w:t>
        </w:r>
      </w:hyperlink>
      <w:r>
        <w:t>).</w:t>
      </w:r>
    </w:p>
    <w:p>
      <w:r/>
      <w:r>
        <w:t xml:space="preserve">O último oráculo (cap. </w:t>
      </w:r>
      <w:hyperlink r:id="rId9171">
        <w:r>
          <w:rPr>
            <w:color w:val="0000EE"/>
            <w:u w:val="single"/>
          </w:rPr>
          <w:t>23</w:t>
        </w:r>
      </w:hyperlink>
      <w:r>
        <w:t>) é dirigido contra a cidade de Tiro, que resistiu à captura até que Alexandre, o Grande, conquistou a fortaleza insular em 332 a.C. Quando Tiro caiu, a economia de todo o mundo mediterrâneo foi abalada, pois seus navios transportavam mercadorias das nações por toda parte.</w:t>
      </w:r>
    </w:p>
    <w:p>
      <w:pPr>
        <w:pStyle w:val="Heading4"/>
      </w:pPr>
      <w:r>
        <w:t>Julgamento final e bênção (</w:t>
      </w:r>
      <w:hyperlink r:id="rId11284">
        <w:r>
          <w:rPr>
            <w:color w:val="0000EE"/>
            <w:u w:val="single"/>
          </w:rPr>
          <w:t>24–27</w:t>
        </w:r>
      </w:hyperlink>
      <w:r>
        <w:t>)</w:t>
      </w:r>
    </w:p>
    <w:p>
      <w:r/>
      <w:r>
        <w:t xml:space="preserve">Esta seção funciona como um grande final para os capítulos </w:t>
      </w:r>
      <w:hyperlink r:id="rId11266">
        <w:r>
          <w:rPr>
            <w:color w:val="0000EE"/>
            <w:u w:val="single"/>
          </w:rPr>
          <w:t>13–23</w:t>
        </w:r>
      </w:hyperlink>
      <w:r>
        <w:t>, pois antecipa o julgamento de Deus sobre as nações e a inauguração do reino de Deus. Uma terra contaminada deve suportar sua punição (</w:t>
      </w:r>
      <w:hyperlink r:id="rId11285">
        <w:r>
          <w:rPr>
            <w:color w:val="0000EE"/>
            <w:u w:val="single"/>
          </w:rPr>
          <w:t>24.5–6</w:t>
        </w:r>
      </w:hyperlink>
      <w:r>
        <w:t xml:space="preserve">) e até mesmo as forças de Satanás enfrentam julgamento (vv. </w:t>
      </w:r>
      <w:hyperlink r:id="rId11286">
        <w:r>
          <w:rPr>
            <w:color w:val="0000EE"/>
            <w:u w:val="single"/>
          </w:rPr>
          <w:t>21–22</w:t>
        </w:r>
      </w:hyperlink>
      <w:r>
        <w:t>).</w:t>
      </w:r>
    </w:p>
    <w:p>
      <w:r/>
      <w:r>
        <w:t xml:space="preserve">No capítulo </w:t>
      </w:r>
      <w:hyperlink r:id="rId11287">
        <w:r>
          <w:rPr>
            <w:color w:val="0000EE"/>
            <w:u w:val="single"/>
          </w:rPr>
          <w:t>25</w:t>
        </w:r>
      </w:hyperlink>
      <w:r>
        <w:t>, Isaías se alegra com o grande triunfo de Deus e vislumbra um dia em que a morte será destruída e as lágrimas serão enxugadas de todos os rostos (</w:t>
      </w:r>
      <w:hyperlink r:id="rId911">
        <w:r>
          <w:rPr>
            <w:color w:val="0000EE"/>
            <w:u w:val="single"/>
          </w:rPr>
          <w:t>25.8</w:t>
        </w:r>
      </w:hyperlink>
      <w:r>
        <w:t xml:space="preserve">). Os antigos inimigos de Israel, simbolizados por Moabe, serão abatidos (vv. </w:t>
      </w:r>
      <w:hyperlink r:id="rId11288">
        <w:r>
          <w:rPr>
            <w:color w:val="0000EE"/>
            <w:u w:val="single"/>
          </w:rPr>
          <w:t>10–12</w:t>
        </w:r>
      </w:hyperlink>
      <w:r>
        <w:t>), mas Jerusalém será uma fortaleza para os justos (</w:t>
      </w:r>
      <w:hyperlink r:id="rId11289">
        <w:r>
          <w:rPr>
            <w:color w:val="0000EE"/>
            <w:u w:val="single"/>
          </w:rPr>
          <w:t>26.1–3</w:t>
        </w:r>
      </w:hyperlink>
      <w:r>
        <w:t xml:space="preserve">). Em </w:t>
      </w:r>
      <w:hyperlink r:id="rId11290">
        <w:r>
          <w:rPr>
            <w:color w:val="0000EE"/>
            <w:u w:val="single"/>
          </w:rPr>
          <w:t>26.7–19</w:t>
        </w:r>
      </w:hyperlink>
      <w:r>
        <w:t xml:space="preserve">, a nação ora para que essas promessas se tornem realidade. Os versículos </w:t>
      </w:r>
      <w:hyperlink r:id="rId11291">
        <w:r>
          <w:rPr>
            <w:color w:val="0000EE"/>
            <w:u w:val="single"/>
          </w:rPr>
          <w:t>20–21</w:t>
        </w:r>
      </w:hyperlink>
      <w:r>
        <w:t xml:space="preserve"> indicam que o Senhor de fato responderá, derramando sua ira sobre uma terra amaldiçoada pelo pecado e sobre Satanás em pessoa (</w:t>
      </w:r>
      <w:hyperlink r:id="rId1642">
        <w:r>
          <w:rPr>
            <w:color w:val="0000EE"/>
            <w:u w:val="single"/>
          </w:rPr>
          <w:t>27.1</w:t>
        </w:r>
      </w:hyperlink>
      <w:r>
        <w:t>). Quando isso acontecer, Israel será uma vinha frutífera, uma bênção para todo o mundo (</w:t>
      </w:r>
      <w:hyperlink r:id="rId11292">
        <w:r>
          <w:rPr>
            <w:color w:val="0000EE"/>
            <w:u w:val="single"/>
          </w:rPr>
          <w:t>27.2–6</w:t>
        </w:r>
      </w:hyperlink>
      <w:r>
        <w:t xml:space="preserve">; contraste </w:t>
      </w:r>
      <w:hyperlink r:id="rId11254">
        <w:r>
          <w:rPr>
            <w:color w:val="0000EE"/>
            <w:u w:val="single"/>
          </w:rPr>
          <w:t>5.1–7</w:t>
        </w:r>
      </w:hyperlink>
      <w:r>
        <w:t>). Primeiro, no entanto, Israel terá que suportar guerra e exílio, e então o remanescente retornará a Jerusalém.</w:t>
      </w:r>
    </w:p>
    <w:p>
      <w:pPr>
        <w:pStyle w:val="Heading4"/>
      </w:pPr>
      <w:r>
        <w:t>Uma série de lamentações (</w:t>
      </w:r>
      <w:hyperlink r:id="rId11293">
        <w:r>
          <w:rPr>
            <w:color w:val="0000EE"/>
            <w:u w:val="single"/>
          </w:rPr>
          <w:t>28–33</w:t>
        </w:r>
      </w:hyperlink>
      <w:r>
        <w:t>)</w:t>
      </w:r>
    </w:p>
    <w:p>
      <w:r/>
      <w:r>
        <w:t xml:space="preserve">Retornando ao seu próprio período histórico, Isaías pronuncia uma série de ais sobre ambos os reinos do norte e do sul, bem como um sobre a Assíria (cap. </w:t>
      </w:r>
      <w:hyperlink r:id="rId11294">
        <w:r>
          <w:rPr>
            <w:color w:val="0000EE"/>
            <w:u w:val="single"/>
          </w:rPr>
          <w:t>33</w:t>
        </w:r>
      </w:hyperlink>
      <w:r>
        <w:t xml:space="preserve">). O capítulo </w:t>
      </w:r>
      <w:hyperlink r:id="rId11295">
        <w:r>
          <w:rPr>
            <w:color w:val="0000EE"/>
            <w:u w:val="single"/>
          </w:rPr>
          <w:t>28</w:t>
        </w:r>
      </w:hyperlink>
      <w:r>
        <w:t xml:space="preserve"> começa com uma descrição do poder decadente de Samaria, a capital do reino do norte. Os versículos </w:t>
      </w:r>
      <w:hyperlink r:id="rId11296">
        <w:r>
          <w:rPr>
            <w:color w:val="0000EE"/>
            <w:u w:val="single"/>
          </w:rPr>
          <w:t>7–10</w:t>
        </w:r>
      </w:hyperlink>
      <w:r>
        <w:t xml:space="preserve"> retratam os líderes de Judá da mesma forma; eles desconsideraram a mensagem de Isaías e estão desconectados de Deus. O julgamento está a caminho, e sua preparação falsa (vv. </w:t>
      </w:r>
      <w:hyperlink r:id="rId11297">
        <w:r>
          <w:rPr>
            <w:color w:val="0000EE"/>
            <w:u w:val="single"/>
          </w:rPr>
          <w:t>15,18</w:t>
        </w:r>
      </w:hyperlink>
      <w:r>
        <w:t xml:space="preserve">) não será de nenhuma utilidade. Deus lutará contra Israel (vv. </w:t>
      </w:r>
      <w:hyperlink r:id="rId11298">
        <w:r>
          <w:rPr>
            <w:color w:val="0000EE"/>
            <w:u w:val="single"/>
          </w:rPr>
          <w:t>21–22</w:t>
        </w:r>
      </w:hyperlink>
      <w:r>
        <w:t>), e até mesmo Jerusalém será colocada sob cerco até que Deus em sua misericórdia intervenha (</w:t>
      </w:r>
      <w:hyperlink r:id="rId11299">
        <w:r>
          <w:rPr>
            <w:color w:val="0000EE"/>
            <w:u w:val="single"/>
          </w:rPr>
          <w:t>29.1–8</w:t>
        </w:r>
      </w:hyperlink>
      <w:r>
        <w:t>). Por causa de sua adoração hipócrita, o povo merece ser punido, mas no futuro Israel novamente reconhecerá o Senhor e será feito completo física e espiritualmente (</w:t>
      </w:r>
      <w:hyperlink r:id="rId11300">
        <w:r>
          <w:rPr>
            <w:color w:val="0000EE"/>
            <w:u w:val="single"/>
          </w:rPr>
          <w:t>29.17–24</w:t>
        </w:r>
      </w:hyperlink>
      <w:r>
        <w:t>).</w:t>
      </w:r>
    </w:p>
    <w:p>
      <w:r/>
      <w:r>
        <w:t xml:space="preserve">Os capítulos </w:t>
      </w:r>
      <w:hyperlink r:id="rId11301">
        <w:r>
          <w:rPr>
            <w:color w:val="0000EE"/>
            <w:u w:val="single"/>
          </w:rPr>
          <w:t>30</w:t>
        </w:r>
      </w:hyperlink>
      <w:r>
        <w:t xml:space="preserve"> e </w:t>
      </w:r>
      <w:hyperlink r:id="rId11302">
        <w:r>
          <w:rPr>
            <w:color w:val="0000EE"/>
            <w:u w:val="single"/>
          </w:rPr>
          <w:t>31</w:t>
        </w:r>
      </w:hyperlink>
      <w:r>
        <w:t xml:space="preserve"> denunciam a aliança proposta por Judá com o Egito na tentativa de frustrar a Assíria. Deus quer que seu povo confie nele, não em seus vizinhos pouco confiáveis ao sul. O Senhor promete proteger Jerusalém (</w:t>
      </w:r>
      <w:hyperlink r:id="rId11303">
        <w:r>
          <w:rPr>
            <w:color w:val="0000EE"/>
            <w:u w:val="single"/>
          </w:rPr>
          <w:t>30.18</w:t>
        </w:r>
      </w:hyperlink>
      <w:r>
        <w:t xml:space="preserve">; </w:t>
      </w:r>
      <w:hyperlink r:id="rId11304">
        <w:r>
          <w:rPr>
            <w:color w:val="0000EE"/>
            <w:u w:val="single"/>
          </w:rPr>
          <w:t>31.5</w:t>
        </w:r>
      </w:hyperlink>
      <w:r>
        <w:t>) e derrotar o exército assírio invasor (</w:t>
      </w:r>
      <w:hyperlink r:id="rId11213">
        <w:r>
          <w:rPr>
            <w:color w:val="0000EE"/>
            <w:u w:val="single"/>
          </w:rPr>
          <w:t>30.31–33</w:t>
        </w:r>
      </w:hyperlink>
      <w:r>
        <w:t xml:space="preserve">; </w:t>
      </w:r>
      <w:hyperlink r:id="rId11305">
        <w:r>
          <w:rPr>
            <w:color w:val="0000EE"/>
            <w:u w:val="single"/>
          </w:rPr>
          <w:t>31.8–9</w:t>
        </w:r>
      </w:hyperlink>
      <w:r>
        <w:t>). Ninguém pode resistir à sua poderosa espada.</w:t>
      </w:r>
    </w:p>
    <w:p>
      <w:r/>
      <w:r>
        <w:t xml:space="preserve">Continuando nesta nota positiva, Isaías continua a enfatizar o governo justo do rei messiânico nos capítulos </w:t>
      </w:r>
      <w:hyperlink r:id="rId11306">
        <w:r>
          <w:rPr>
            <w:color w:val="0000EE"/>
            <w:u w:val="single"/>
          </w:rPr>
          <w:t>32</w:t>
        </w:r>
      </w:hyperlink>
      <w:r>
        <w:t xml:space="preserve"> e </w:t>
      </w:r>
      <w:hyperlink r:id="rId11294">
        <w:r>
          <w:rPr>
            <w:color w:val="0000EE"/>
            <w:u w:val="single"/>
          </w:rPr>
          <w:t>33</w:t>
        </w:r>
      </w:hyperlink>
      <w:r>
        <w:t>. Sião desfrutará de paz e segurança finalmente (</w:t>
      </w:r>
      <w:hyperlink r:id="rId11307">
        <w:r>
          <w:rPr>
            <w:color w:val="0000EE"/>
            <w:u w:val="single"/>
          </w:rPr>
          <w:t>32.2,17–18</w:t>
        </w:r>
      </w:hyperlink>
      <w:r>
        <w:t xml:space="preserve">; </w:t>
      </w:r>
      <w:hyperlink r:id="rId11308">
        <w:r>
          <w:rPr>
            <w:color w:val="0000EE"/>
            <w:u w:val="single"/>
          </w:rPr>
          <w:t>33.6</w:t>
        </w:r>
      </w:hyperlink>
      <w:r>
        <w:t>), uma grande mudança em relação ao tempo de Isaías. No século VIII a.C., em Judá, as mulheres poderiam se sentir seguras (</w:t>
      </w:r>
      <w:hyperlink r:id="rId11309">
        <w:r>
          <w:rPr>
            <w:color w:val="0000EE"/>
            <w:u w:val="single"/>
          </w:rPr>
          <w:t>32.9</w:t>
        </w:r>
      </w:hyperlink>
      <w:r>
        <w:t xml:space="preserve">), mas as tropas assírias devastariam as colheitas e causariam luto generalizado. No entanto, o lamento logo terminará, pois o profeta pronuncia desgraça sobre a Assíria em </w:t>
      </w:r>
      <w:hyperlink r:id="rId11310">
        <w:r>
          <w:rPr>
            <w:color w:val="0000EE"/>
            <w:u w:val="single"/>
          </w:rPr>
          <w:t>33.1</w:t>
        </w:r>
      </w:hyperlink>
      <w:r>
        <w:t>. Após Isaías orar pela destruição da Assíria (</w:t>
      </w:r>
      <w:hyperlink r:id="rId11311">
        <w:r>
          <w:rPr>
            <w:color w:val="0000EE"/>
            <w:u w:val="single"/>
          </w:rPr>
          <w:t>33.2–9</w:t>
        </w:r>
      </w:hyperlink>
      <w:r>
        <w:t xml:space="preserve">), Deus promete agir (vv. </w:t>
      </w:r>
      <w:hyperlink r:id="rId11312">
        <w:r>
          <w:rPr>
            <w:color w:val="0000EE"/>
            <w:u w:val="single"/>
          </w:rPr>
          <w:t>10–12</w:t>
        </w:r>
      </w:hyperlink>
      <w:r>
        <w:t>). Os soldados e oficiais inimigos desaparecerão, pois o Senhor salvará seu povo e lhes trará justiça e segurança.</w:t>
      </w:r>
    </w:p>
    <w:p>
      <w:pPr>
        <w:pStyle w:val="Heading4"/>
      </w:pPr>
      <w:r>
        <w:t>Mais julgamento e bênção (</w:t>
      </w:r>
      <w:hyperlink r:id="rId11313">
        <w:r>
          <w:rPr>
            <w:color w:val="0000EE"/>
            <w:u w:val="single"/>
          </w:rPr>
          <w:t>34–35</w:t>
        </w:r>
      </w:hyperlink>
      <w:r>
        <w:t>)</w:t>
      </w:r>
    </w:p>
    <w:p>
      <w:r/>
      <w:r>
        <w:t xml:space="preserve">Esta seção forma um clímax para os capítulos </w:t>
      </w:r>
      <w:hyperlink r:id="rId11293">
        <w:r>
          <w:rPr>
            <w:color w:val="0000EE"/>
            <w:u w:val="single"/>
          </w:rPr>
          <w:t>28–33</w:t>
        </w:r>
      </w:hyperlink>
      <w:r>
        <w:t xml:space="preserve">. Mais uma vez, um julgamento cataclísmico precede um tempo de bênção e restauração. No capítulo </w:t>
      </w:r>
      <w:hyperlink r:id="rId11314">
        <w:r>
          <w:rPr>
            <w:color w:val="0000EE"/>
            <w:u w:val="single"/>
          </w:rPr>
          <w:t>34</w:t>
        </w:r>
      </w:hyperlink>
      <w:r>
        <w:t xml:space="preserve">, Isaías descreve um julgamento de dimensões cósmicas ao considerar os últimos dias. Céu e terra suportam a ira de Deus que é derramada sobre as nações, e o versículo </w:t>
      </w:r>
      <w:hyperlink r:id="rId11315">
        <w:r>
          <w:rPr>
            <w:color w:val="0000EE"/>
            <w:u w:val="single"/>
          </w:rPr>
          <w:t>4</w:t>
        </w:r>
      </w:hyperlink>
      <w:r>
        <w:t xml:space="preserve"> fornece a base para a descrição de João da grande tribulação em </w:t>
      </w:r>
      <w:hyperlink r:id="rId11316">
        <w:r>
          <w:rPr>
            <w:color w:val="0000EE"/>
            <w:u w:val="single"/>
          </w:rPr>
          <w:t>Apocalipse 6.13–14</w:t>
        </w:r>
      </w:hyperlink>
      <w:r>
        <w:t xml:space="preserve">. Edom (como Moabe; veja </w:t>
      </w:r>
      <w:hyperlink r:id="rId11288">
        <w:r>
          <w:rPr>
            <w:color w:val="0000EE"/>
            <w:u w:val="single"/>
          </w:rPr>
          <w:t>Is 25.10–12</w:t>
        </w:r>
      </w:hyperlink>
      <w:r>
        <w:t>) representa um mundo julgado pela espada do Senhor em seu dia de vingança.</w:t>
      </w:r>
    </w:p>
    <w:p>
      <w:r/>
      <w:r>
        <w:t xml:space="preserve">O capítulo </w:t>
      </w:r>
      <w:hyperlink r:id="rId11317">
        <w:r>
          <w:rPr>
            <w:color w:val="0000EE"/>
            <w:u w:val="single"/>
          </w:rPr>
          <w:t>35</w:t>
        </w:r>
      </w:hyperlink>
      <w:r>
        <w:t>, por outro lado, fala de alegria e restauração em uma passagem vibrante. Um deserto florescente simboliza a era física e espiritual quando Deus virá para redimir seu povo. Tanto o retorno dos israelitas do cativeiro babilônico quanto a Segunda Vinda de Cristo se encaixam nesta cena gloriosa.</w:t>
      </w:r>
    </w:p>
    <w:p>
      <w:pPr>
        <w:pStyle w:val="Heading4"/>
      </w:pPr>
      <w:r>
        <w:t>Interlúdio histórico (</w:t>
      </w:r>
      <w:hyperlink r:id="rId8867">
        <w:r>
          <w:rPr>
            <w:color w:val="0000EE"/>
            <w:u w:val="single"/>
          </w:rPr>
          <w:t>36–39</w:t>
        </w:r>
      </w:hyperlink>
      <w:r>
        <w:t>)</w:t>
      </w:r>
    </w:p>
    <w:p>
      <w:r/>
      <w:r>
        <w:t xml:space="preserve">Esses capítulos formam a dobradiça que conecta as duas metades do livro. Os capítulos </w:t>
      </w:r>
      <w:hyperlink r:id="rId11318">
        <w:r>
          <w:rPr>
            <w:color w:val="0000EE"/>
            <w:u w:val="single"/>
          </w:rPr>
          <w:t>36</w:t>
        </w:r>
      </w:hyperlink>
      <w:r>
        <w:t xml:space="preserve"> e </w:t>
      </w:r>
      <w:hyperlink r:id="rId11319">
        <w:r>
          <w:rPr>
            <w:color w:val="0000EE"/>
            <w:u w:val="single"/>
          </w:rPr>
          <w:t>37</w:t>
        </w:r>
      </w:hyperlink>
      <w:r>
        <w:t xml:space="preserve"> contêm o cumprimento das profecias de Isaías sobre o colapso da Assíria, e os capítulos </w:t>
      </w:r>
      <w:hyperlink r:id="rId11320">
        <w:r>
          <w:rPr>
            <w:color w:val="0000EE"/>
            <w:u w:val="single"/>
          </w:rPr>
          <w:t>38</w:t>
        </w:r>
      </w:hyperlink>
      <w:r>
        <w:t xml:space="preserve"> e </w:t>
      </w:r>
      <w:hyperlink r:id="rId11321">
        <w:r>
          <w:rPr>
            <w:color w:val="0000EE"/>
            <w:u w:val="single"/>
          </w:rPr>
          <w:t>39</w:t>
        </w:r>
      </w:hyperlink>
      <w:r>
        <w:t xml:space="preserve"> introduzem o cativeiro babilônico que forma o pano de fundo para os capítulos </w:t>
      </w:r>
      <w:hyperlink r:id="rId11210">
        <w:r>
          <w:rPr>
            <w:color w:val="0000EE"/>
            <w:u w:val="single"/>
          </w:rPr>
          <w:t>40–66</w:t>
        </w:r>
      </w:hyperlink>
      <w:r>
        <w:t>. Em 701 a.C., o Rei Senaqueribe da Assíria exige a rendição incondicional de Jerusalém. Ele envia seu comandante de campo para falar ao povo e tentar obter sua submissão. Com palavras persuasivas, o comandante tenta convencer a cidade de que a rendição é a melhor política. Incrivelmente, o povo não entra em pânico, e o Rei Ezequias pede a Isaías que ore pela cidade sitiada. O profeta assim o faz e anuncia que os orgulhosos assírios não triunfarão. Em vez disso, eles sofrem um terrível desastre quando o anjo do Senhor abate 185.000 homens.</w:t>
      </w:r>
    </w:p>
    <w:p>
      <w:r/>
      <w:r>
        <w:t xml:space="preserve">Os capítulos </w:t>
      </w:r>
      <w:hyperlink r:id="rId11320">
        <w:r>
          <w:rPr>
            <w:color w:val="0000EE"/>
            <w:u w:val="single"/>
          </w:rPr>
          <w:t>38</w:t>
        </w:r>
      </w:hyperlink>
      <w:r>
        <w:t xml:space="preserve"> e </w:t>
      </w:r>
      <w:hyperlink r:id="rId11321">
        <w:r>
          <w:rPr>
            <w:color w:val="0000EE"/>
            <w:u w:val="single"/>
          </w:rPr>
          <w:t>39</w:t>
        </w:r>
      </w:hyperlink>
      <w:r>
        <w:t xml:space="preserve"> relatam outra crise na vida de Ezequias quando ele fica gravemente doente. Milagrosamente, Deus o cura, e Ezequias louva o Senhor por sua graciosa intervenção. Quando o rei da Babilônia envia emissários para parabenizar Ezequias por sua recuperação, Ezequias, de forma imprudente, mostra a esses mensageiros seus tesouros reais. Isaías anuncia solenemente que algum dia os exércitos da Babilônia capturarão Jerusalém, saquearão a terra e levarão esses tesouros.</w:t>
      </w:r>
    </w:p>
    <w:p>
      <w:pPr>
        <w:pStyle w:val="Heading4"/>
      </w:pPr>
      <w:r>
        <w:t>O retorno da babilônia (</w:t>
      </w:r>
      <w:hyperlink r:id="rId11322">
        <w:r>
          <w:rPr>
            <w:color w:val="0000EE"/>
            <w:u w:val="single"/>
          </w:rPr>
          <w:t>40–48</w:t>
        </w:r>
      </w:hyperlink>
      <w:r>
        <w:t>)</w:t>
      </w:r>
    </w:p>
    <w:p>
      <w:r/>
      <w:r>
        <w:t>O cativeiro babilônico eventualmente chega, mas Isaías promete que ele terminará. Deus, o Criador incomparavelmente poderoso, é muito maior do que qualquer rei, nação ou deus, e ele trará seu povo de volta a Jerusalém. Para realizar este retorno do exílio, Deus levanta Ciro, o rei da Pérsia (</w:t>
      </w:r>
      <w:hyperlink r:id="rId11323">
        <w:r>
          <w:rPr>
            <w:color w:val="0000EE"/>
            <w:u w:val="single"/>
          </w:rPr>
          <w:t>41.2,25</w:t>
        </w:r>
      </w:hyperlink>
      <w:r>
        <w:t>). O Senhor não esquece seu povo e os encoraja a ter coragem e a se alegrar.</w:t>
      </w:r>
    </w:p>
    <w:p>
      <w:r/>
      <w:r>
        <w:t xml:space="preserve">No capítulo </w:t>
      </w:r>
      <w:hyperlink r:id="rId11324">
        <w:r>
          <w:rPr>
            <w:color w:val="0000EE"/>
            <w:u w:val="single"/>
          </w:rPr>
          <w:t>42</w:t>
        </w:r>
      </w:hyperlink>
      <w:r>
        <w:t xml:space="preserve">, somos apresentados a uma pessoa ainda mais significativa do que Ciro, o Persa. Os versículos </w:t>
      </w:r>
      <w:hyperlink r:id="rId11325">
        <w:r>
          <w:rPr>
            <w:color w:val="0000EE"/>
            <w:u w:val="single"/>
          </w:rPr>
          <w:t>1–7</w:t>
        </w:r>
      </w:hyperlink>
      <w:r>
        <w:t xml:space="preserve"> (o primeiro de quatro Cânticos do Servo) descrevem o servo do Senhor, que trará justiça às nações e será “uma luz para os gentios” (</w:t>
      </w:r>
      <w:hyperlink r:id="rId11326">
        <w:r>
          <w:rPr>
            <w:color w:val="0000EE"/>
            <w:u w:val="single"/>
          </w:rPr>
          <w:t>42.6</w:t>
        </w:r>
      </w:hyperlink>
      <w:r>
        <w:t xml:space="preserve">). Este é o Messias, e a redenção que ele realizará no Calvário (cf. cap. </w:t>
      </w:r>
      <w:hyperlink r:id="rId3618">
        <w:r>
          <w:rPr>
            <w:color w:val="0000EE"/>
            <w:u w:val="single"/>
          </w:rPr>
          <w:t>53</w:t>
        </w:r>
      </w:hyperlink>
      <w:r>
        <w:t xml:space="preserve">) é maior do que a libertação da Babilônia. À luz das boas-novas associadas ao servo, Isaías louva o Senhor por punir os ímpios e resgatar seu povo desviado. O capítulo </w:t>
      </w:r>
      <w:hyperlink r:id="rId11327">
        <w:r>
          <w:rPr>
            <w:color w:val="0000EE"/>
            <w:u w:val="single"/>
          </w:rPr>
          <w:t>43</w:t>
        </w:r>
      </w:hyperlink>
      <w:r>
        <w:t xml:space="preserve"> declara que nada impedirá o retorno de Israel, e o Senhor não se lembrará mais dos seus pecados. De fato, ele derramará seu Espírito sobre os descendentes deles (</w:t>
      </w:r>
      <w:hyperlink r:id="rId3270">
        <w:r>
          <w:rPr>
            <w:color w:val="0000EE"/>
            <w:u w:val="single"/>
          </w:rPr>
          <w:t>44.3</w:t>
        </w:r>
      </w:hyperlink>
      <w:r>
        <w:t>).</w:t>
      </w:r>
    </w:p>
    <w:p>
      <w:r/>
      <w:r>
        <w:t xml:space="preserve">Um Deus tão grande é muito mais poderoso do que qualquer ídolo. Em </w:t>
      </w:r>
      <w:hyperlink r:id="rId11328">
        <w:r>
          <w:rPr>
            <w:color w:val="0000EE"/>
            <w:u w:val="single"/>
          </w:rPr>
          <w:t>44.6–20</w:t>
        </w:r>
      </w:hyperlink>
      <w:r>
        <w:t xml:space="preserve">, Isaías usa sátira para mostrar a inutilidade das imagens feitas pelo homem. Somente Deus tem o poder de criar e restaurar, e ele trará Ciro à cena para efetuar a libertação dos exilados e iniciar a reconstrução de Jerusalém. Os capítulos </w:t>
      </w:r>
      <w:hyperlink r:id="rId11329">
        <w:r>
          <w:rPr>
            <w:color w:val="0000EE"/>
            <w:u w:val="single"/>
          </w:rPr>
          <w:t>46</w:t>
        </w:r>
      </w:hyperlink>
      <w:r>
        <w:t xml:space="preserve"> e </w:t>
      </w:r>
      <w:hyperlink r:id="rId11330">
        <w:r>
          <w:rPr>
            <w:color w:val="0000EE"/>
            <w:u w:val="single"/>
          </w:rPr>
          <w:t>47</w:t>
        </w:r>
      </w:hyperlink>
      <w:r>
        <w:t xml:space="preserve"> contrastam o Deus de Israel e os ídolos da Babilônia. Quando Deus levantar Ciro, os ídolos da Babilônia serão incapazes de salvar sua nação, e a rainha dos reinos (</w:t>
      </w:r>
      <w:hyperlink r:id="rId11331">
        <w:r>
          <w:rPr>
            <w:color w:val="0000EE"/>
            <w:u w:val="single"/>
          </w:rPr>
          <w:t>47.5</w:t>
        </w:r>
      </w:hyperlink>
      <w:r>
        <w:t xml:space="preserve">) colapsará junto com seus feiticeiros e astrólogos. O capítulo final desta seção (cap. </w:t>
      </w:r>
      <w:hyperlink r:id="rId11332">
        <w:r>
          <w:rPr>
            <w:color w:val="0000EE"/>
            <w:u w:val="single"/>
          </w:rPr>
          <w:t>48</w:t>
        </w:r>
      </w:hyperlink>
      <w:r>
        <w:t>) reafirma o propósito de Deus de libertar os israelitas da Babilônia através de seu aliado escolhido, Ciro da Pérsia.</w:t>
      </w:r>
    </w:p>
    <w:p>
      <w:pPr>
        <w:pStyle w:val="Heading4"/>
      </w:pPr>
      <w:r>
        <w:t>Salvação através do Servo do Senhor (</w:t>
      </w:r>
      <w:hyperlink r:id="rId11333">
        <w:r>
          <w:rPr>
            <w:color w:val="0000EE"/>
            <w:u w:val="single"/>
          </w:rPr>
          <w:t>49–57</w:t>
        </w:r>
      </w:hyperlink>
      <w:r>
        <w:t>)</w:t>
      </w:r>
    </w:p>
    <w:p>
      <w:r/>
      <w:r>
        <w:t xml:space="preserve">Os capítulos </w:t>
      </w:r>
      <w:hyperlink r:id="rId11334">
        <w:r>
          <w:rPr>
            <w:color w:val="0000EE"/>
            <w:u w:val="single"/>
          </w:rPr>
          <w:t>49–53</w:t>
        </w:r>
      </w:hyperlink>
      <w:r>
        <w:t xml:space="preserve"> contêm os três últimos Cânticos do Servo (cf. também </w:t>
      </w:r>
      <w:hyperlink r:id="rId11325">
        <w:r>
          <w:rPr>
            <w:color w:val="0000EE"/>
            <w:u w:val="single"/>
          </w:rPr>
          <w:t>42.1–7</w:t>
        </w:r>
      </w:hyperlink>
      <w:r>
        <w:t>), culminando na morte do servo pelos pecados do mundo (</w:t>
      </w:r>
      <w:hyperlink r:id="rId3610">
        <w:r>
          <w:rPr>
            <w:color w:val="0000EE"/>
            <w:u w:val="single"/>
          </w:rPr>
          <w:t>52.13–53.12</w:t>
        </w:r>
      </w:hyperlink>
      <w:r>
        <w:t>). No Segundo Cântico do Servo (</w:t>
      </w:r>
      <w:hyperlink r:id="rId11335">
        <w:r>
          <w:rPr>
            <w:color w:val="0000EE"/>
            <w:u w:val="single"/>
          </w:rPr>
          <w:t>49.1–7</w:t>
        </w:r>
      </w:hyperlink>
      <w:r>
        <w:t xml:space="preserve">), Isaías descreve o chamado e o ministério do servo, observando que ele enfrentará forte oposição ao realizar a salvação para Israel e as nações. O restante do capítulo </w:t>
      </w:r>
      <w:hyperlink r:id="rId11336">
        <w:r>
          <w:rPr>
            <w:color w:val="0000EE"/>
            <w:u w:val="single"/>
          </w:rPr>
          <w:t>49</w:t>
        </w:r>
      </w:hyperlink>
      <w:r>
        <w:t xml:space="preserve"> trata principalmente da maneira como Deus trará Israel de volta do exílio. Em breve, a terra estará cheia de uma grande multidão (vv. </w:t>
      </w:r>
      <w:hyperlink r:id="rId11337">
        <w:r>
          <w:rPr>
            <w:color w:val="0000EE"/>
            <w:u w:val="single"/>
          </w:rPr>
          <w:t>19–21</w:t>
        </w:r>
      </w:hyperlink>
      <w:r>
        <w:t xml:space="preserve">), e os gentios reconhecerão Israel e seu Deus (vv. </w:t>
      </w:r>
      <w:hyperlink r:id="rId11338">
        <w:r>
          <w:rPr>
            <w:color w:val="0000EE"/>
            <w:u w:val="single"/>
          </w:rPr>
          <w:t>22–23</w:t>
        </w:r>
      </w:hyperlink>
      <w:r>
        <w:t>).</w:t>
      </w:r>
    </w:p>
    <w:p>
      <w:r/>
      <w:r>
        <w:t>Embora Israel tenha merecido plenamente o exílio por causa de seus pecados (</w:t>
      </w:r>
      <w:hyperlink r:id="rId11339">
        <w:r>
          <w:rPr>
            <w:color w:val="0000EE"/>
            <w:u w:val="single"/>
          </w:rPr>
          <w:t>50.1–3</w:t>
        </w:r>
      </w:hyperlink>
      <w:r>
        <w:t xml:space="preserve">), o sofrimento suportado pelo servo (vv. </w:t>
      </w:r>
      <w:hyperlink r:id="rId11340">
        <w:r>
          <w:rPr>
            <w:color w:val="0000EE"/>
            <w:u w:val="single"/>
          </w:rPr>
          <w:t>4–11</w:t>
        </w:r>
      </w:hyperlink>
      <w:r>
        <w:t xml:space="preserve">; o terceiro Cântico do Servo) é totalmente imerecido. A surra e a zombaria do versículo </w:t>
      </w:r>
      <w:hyperlink r:id="rId11341">
        <w:r>
          <w:rPr>
            <w:color w:val="0000EE"/>
            <w:u w:val="single"/>
          </w:rPr>
          <w:t>6</w:t>
        </w:r>
      </w:hyperlink>
      <w:r>
        <w:t xml:space="preserve"> são proféticas da experiência de Cristo (cf. </w:t>
      </w:r>
      <w:hyperlink r:id="rId11342">
        <w:r>
          <w:rPr>
            <w:color w:val="0000EE"/>
            <w:u w:val="single"/>
          </w:rPr>
          <w:t>Mt 27.26,30</w:t>
        </w:r>
      </w:hyperlink>
      <w:r>
        <w:t xml:space="preserve">; </w:t>
      </w:r>
      <w:hyperlink r:id="rId699">
        <w:r>
          <w:rPr>
            <w:color w:val="0000EE"/>
            <w:u w:val="single"/>
          </w:rPr>
          <w:t>Mc 15.19</w:t>
        </w:r>
      </w:hyperlink>
      <w:r>
        <w:t xml:space="preserve">). Nos versículos </w:t>
      </w:r>
      <w:hyperlink r:id="rId11343">
        <w:r>
          <w:rPr>
            <w:color w:val="0000EE"/>
            <w:u w:val="single"/>
          </w:rPr>
          <w:t>10–11</w:t>
        </w:r>
      </w:hyperlink>
      <w:r>
        <w:t xml:space="preserve"> de </w:t>
      </w:r>
      <w:hyperlink r:id="rId11344">
        <w:r>
          <w:rPr>
            <w:color w:val="0000EE"/>
            <w:u w:val="single"/>
          </w:rPr>
          <w:t>Isaías 50</w:t>
        </w:r>
      </w:hyperlink>
      <w:r>
        <w:t>, toda a nação é desafiada a confiar no Senhor, como fez o servo. Há, de fato, um remanescente crente que obedece ao Senhor (</w:t>
      </w:r>
      <w:hyperlink r:id="rId11345">
        <w:r>
          <w:rPr>
            <w:color w:val="0000EE"/>
            <w:u w:val="single"/>
          </w:rPr>
          <w:t>51.1–8</w:t>
        </w:r>
      </w:hyperlink>
      <w:r>
        <w:t xml:space="preserve">), e o Senhor promete que os restaurará à sua terra natal. Israel bebeu o cálice da ira de Deus (vv. </w:t>
      </w:r>
      <w:hyperlink r:id="rId11346">
        <w:r>
          <w:rPr>
            <w:color w:val="0000EE"/>
            <w:u w:val="single"/>
          </w:rPr>
          <w:t>17,22</w:t>
        </w:r>
      </w:hyperlink>
      <w:r>
        <w:t>), mas as boas-novas de libertação do exílio fazem até as ruínas de Jerusalém explodirem em cânticos de alegria (</w:t>
      </w:r>
      <w:hyperlink r:id="rId11347">
        <w:r>
          <w:rPr>
            <w:color w:val="0000EE"/>
            <w:u w:val="single"/>
          </w:rPr>
          <w:t>52.7–10</w:t>
        </w:r>
      </w:hyperlink>
      <w:r>
        <w:t>).</w:t>
      </w:r>
    </w:p>
    <w:p>
      <w:r/>
      <w:r>
        <w:t>No entanto, a melhor notícia de todas é a salvação do pecado; o último Cântico do Servo (</w:t>
      </w:r>
      <w:hyperlink r:id="rId3610">
        <w:r>
          <w:rPr>
            <w:color w:val="0000EE"/>
            <w:u w:val="single"/>
          </w:rPr>
          <w:t>52.13–53.12</w:t>
        </w:r>
      </w:hyperlink>
      <w:r>
        <w:t>) conta como Cristo conquista a liberdade para aqueles presos ao pecado. Nesta breve passagem, aprendemos como Cristo sofre rejeição (</w:t>
      </w:r>
      <w:hyperlink r:id="rId3259">
        <w:r>
          <w:rPr>
            <w:color w:val="0000EE"/>
            <w:u w:val="single"/>
          </w:rPr>
          <w:t>53.3</w:t>
        </w:r>
      </w:hyperlink>
      <w:r>
        <w:t>) e até desfiguração (</w:t>
      </w:r>
      <w:hyperlink r:id="rId11348">
        <w:r>
          <w:rPr>
            <w:color w:val="0000EE"/>
            <w:u w:val="single"/>
          </w:rPr>
          <w:t>52.14</w:t>
        </w:r>
      </w:hyperlink>
      <w:r>
        <w:t>). Conduzido como um cordeiro ao matadouro (</w:t>
      </w:r>
      <w:hyperlink r:id="rId1837">
        <w:r>
          <w:rPr>
            <w:color w:val="0000EE"/>
            <w:u w:val="single"/>
          </w:rPr>
          <w:t>53.7</w:t>
        </w:r>
      </w:hyperlink>
      <w:r>
        <w:t xml:space="preserve">), ele carrega nossos pecados em seu corpo enquanto morre em ignomínia. As pessoas pensam que ele está sofrendo por seus próprios pecados (v. </w:t>
      </w:r>
      <w:hyperlink r:id="rId6406">
        <w:r>
          <w:rPr>
            <w:color w:val="0000EE"/>
            <w:u w:val="single"/>
          </w:rPr>
          <w:t>4</w:t>
        </w:r>
      </w:hyperlink>
      <w:r>
        <w:t xml:space="preserve">), mas ele é “transpassado” e “esmagado por nossas iniquidades” (v. </w:t>
      </w:r>
      <w:hyperlink r:id="rId11349">
        <w:r>
          <w:rPr>
            <w:color w:val="0000EE"/>
            <w:u w:val="single"/>
          </w:rPr>
          <w:t>5</w:t>
        </w:r>
      </w:hyperlink>
      <w:r>
        <w:t>). Os primeiros e últimos parágrafos desta seção (</w:t>
      </w:r>
      <w:hyperlink r:id="rId11350">
        <w:r>
          <w:rPr>
            <w:color w:val="0000EE"/>
            <w:u w:val="single"/>
          </w:rPr>
          <w:t>52.13–15</w:t>
        </w:r>
      </w:hyperlink>
      <w:r>
        <w:t xml:space="preserve">; </w:t>
      </w:r>
      <w:hyperlink r:id="rId6336">
        <w:r>
          <w:rPr>
            <w:color w:val="0000EE"/>
            <w:u w:val="single"/>
          </w:rPr>
          <w:t>53.10–12</w:t>
        </w:r>
      </w:hyperlink>
      <w:r>
        <w:t>) afirmam que através de seu sofrimento o servo é altamente exaltado. O que parece uma terrível derrota é, na verdade, uma vitória sobre a morte e Satanás e traz salvação para muitos.</w:t>
      </w:r>
    </w:p>
    <w:p>
      <w:r/>
      <w:r>
        <w:t xml:space="preserve">Como resultado direto da morte do servo, grande alegria vem para todas as pessoas. No capítulo </w:t>
      </w:r>
      <w:hyperlink r:id="rId11351">
        <w:r>
          <w:rPr>
            <w:color w:val="0000EE"/>
            <w:u w:val="single"/>
          </w:rPr>
          <w:t>54</w:t>
        </w:r>
      </w:hyperlink>
      <w:r>
        <w:t>, essa alegria se reflete no novo status de Jerusalém como esposa do Senhor. Seus descendentes serão numerosos e ansiosos para aprender com o Senhor. Pela primeira vez, aparece o plural “servos do Senhor” (</w:t>
      </w:r>
      <w:hyperlink r:id="rId10947">
        <w:r>
          <w:rPr>
            <w:color w:val="0000EE"/>
            <w:u w:val="single"/>
          </w:rPr>
          <w:t>54.17</w:t>
        </w:r>
      </w:hyperlink>
      <w:r>
        <w:t xml:space="preserve">), aparentemente incluindo todos os crentes, sejam judeus ou gentios (cf. </w:t>
      </w:r>
      <w:hyperlink r:id="rId11352">
        <w:r>
          <w:rPr>
            <w:color w:val="0000EE"/>
            <w:u w:val="single"/>
          </w:rPr>
          <w:t>65.8–9,13–15</w:t>
        </w:r>
      </w:hyperlink>
      <w:r>
        <w:t xml:space="preserve">). Alegria e prosperidade também caracterizam o capítulo </w:t>
      </w:r>
      <w:hyperlink r:id="rId11224">
        <w:r>
          <w:rPr>
            <w:color w:val="0000EE"/>
            <w:u w:val="single"/>
          </w:rPr>
          <w:t>55</w:t>
        </w:r>
      </w:hyperlink>
      <w:r>
        <w:t xml:space="preserve">, um convite para um grande banquete espiritual. Todas as pessoas são instadas a se voltar para o Senhor que cumpre suas promessas a Israel. Em </w:t>
      </w:r>
      <w:hyperlink r:id="rId11353">
        <w:r>
          <w:rPr>
            <w:color w:val="0000EE"/>
            <w:u w:val="single"/>
          </w:rPr>
          <w:t>56.1–8</w:t>
        </w:r>
      </w:hyperlink>
      <w:r>
        <w:t>, os estrangeiros são convidados a vir ao “monte santo” de Deus em Jerusalém, pois o templo será uma casa de oração para todas as nações (</w:t>
      </w:r>
      <w:hyperlink r:id="rId11354">
        <w:r>
          <w:rPr>
            <w:color w:val="0000EE"/>
            <w:u w:val="single"/>
          </w:rPr>
          <w:t>56.7</w:t>
        </w:r>
      </w:hyperlink>
      <w:r>
        <w:t xml:space="preserve">; cf. </w:t>
      </w:r>
      <w:hyperlink r:id="rId11355">
        <w:r>
          <w:rPr>
            <w:color w:val="0000EE"/>
            <w:u w:val="single"/>
          </w:rPr>
          <w:t>Mt 21.13</w:t>
        </w:r>
      </w:hyperlink>
      <w:r>
        <w:t>).</w:t>
      </w:r>
    </w:p>
    <w:p>
      <w:r/>
      <w:r>
        <w:t xml:space="preserve">Os gentios crentes são fortemente contrastados com os judeus incrédulos, e em </w:t>
      </w:r>
      <w:hyperlink r:id="rId11356">
        <w:r>
          <w:rPr>
            <w:color w:val="0000EE"/>
            <w:u w:val="single"/>
          </w:rPr>
          <w:t>56.9–57.13</w:t>
        </w:r>
      </w:hyperlink>
      <w:r>
        <w:t xml:space="preserve"> Isaías retorna novamente ao tema do julgamento. Israel sofre porque seus líderes são perversos e porque o povo é culpado de idolatria. A cura espiritual está disponível, mas, a menos que os indivíduos se arrependam, eles não poderão fazer parte do remanescente que retornará do exílio e desfrutará da paz na Terra Prometida.</w:t>
      </w:r>
    </w:p>
    <w:p>
      <w:pPr>
        <w:pStyle w:val="Heading4"/>
      </w:pPr>
      <w:r>
        <w:t>Bênção suprema e julgamento final (</w:t>
      </w:r>
      <w:hyperlink r:id="rId11357">
        <w:r>
          <w:rPr>
            <w:color w:val="0000EE"/>
            <w:u w:val="single"/>
          </w:rPr>
          <w:t>58–66</w:t>
        </w:r>
      </w:hyperlink>
      <w:r>
        <w:t>)</w:t>
      </w:r>
    </w:p>
    <w:p>
      <w:r/>
      <w:r>
        <w:t xml:space="preserve">Os últimos nove capítulos de Isaías enfatizam a redenção e a glória, mas a realidade do julgamento também está muito evidente. De fato, os capítulos </w:t>
      </w:r>
      <w:hyperlink r:id="rId1964">
        <w:r>
          <w:rPr>
            <w:color w:val="0000EE"/>
            <w:u w:val="single"/>
          </w:rPr>
          <w:t>58</w:t>
        </w:r>
      </w:hyperlink>
      <w:r>
        <w:t xml:space="preserve"> e </w:t>
      </w:r>
      <w:hyperlink r:id="rId11358">
        <w:r>
          <w:rPr>
            <w:color w:val="0000EE"/>
            <w:u w:val="single"/>
          </w:rPr>
          <w:t>59</w:t>
        </w:r>
      </w:hyperlink>
      <w:r>
        <w:t xml:space="preserve"> lamentam os pecados de Israel. O povo é hipócrita em sua adoração; eles são egoístas e não guardam o sábado. Mentiras, opressão e assassinato separam o povo de Deus. Quando Isaías confessa abertamente esses pecados (</w:t>
      </w:r>
      <w:hyperlink r:id="rId11359">
        <w:r>
          <w:rPr>
            <w:color w:val="0000EE"/>
            <w:u w:val="single"/>
          </w:rPr>
          <w:t>59.12–13</w:t>
        </w:r>
      </w:hyperlink>
      <w:r>
        <w:t>), o Senhor subitamente age em favor de seu povo. Como um poderoso guerreiro, ele resgata o remanescente crente da Babilônia e os traz de volta para Jerusalém.</w:t>
      </w:r>
    </w:p>
    <w:p>
      <w:r/>
      <w:r>
        <w:t xml:space="preserve">No capítulo </w:t>
      </w:r>
      <w:hyperlink r:id="rId2162">
        <w:r>
          <w:rPr>
            <w:color w:val="0000EE"/>
            <w:u w:val="single"/>
          </w:rPr>
          <w:t>60</w:t>
        </w:r>
      </w:hyperlink>
      <w:r>
        <w:t xml:space="preserve">, a glória e a riqueza de Jerusalém atingem novos patamares. Tanto a cidade quanto o santuário são adornados com esplendor, igualando a prosperidade do reinado de Salomão. Assim como as nações trataram Salomão com honra, os líderes da terra ajudarão e fortalecerão os exilados que retornam. Embora seja verdade que o governo persa ajudou os judeus repetidamente, as condições descritas aqui terão seu cumprimento final durante o Milênio e em conexão com a nova Jerusalém (cf. </w:t>
      </w:r>
      <w:hyperlink r:id="rId11360">
        <w:r>
          <w:rPr>
            <w:color w:val="0000EE"/>
            <w:u w:val="single"/>
          </w:rPr>
          <w:t>Ap 21.23</w:t>
        </w:r>
      </w:hyperlink>
      <w:r>
        <w:t xml:space="preserve">; </w:t>
      </w:r>
      <w:hyperlink r:id="rId2158">
        <w:r>
          <w:rPr>
            <w:color w:val="0000EE"/>
            <w:u w:val="single"/>
          </w:rPr>
          <w:t>22.5</w:t>
        </w:r>
      </w:hyperlink>
      <w:r>
        <w:t>). As ruínas antigas serão reconstruídas (</w:t>
      </w:r>
      <w:hyperlink r:id="rId11361">
        <w:r>
          <w:rPr>
            <w:color w:val="0000EE"/>
            <w:u w:val="single"/>
          </w:rPr>
          <w:t>Is 61.4</w:t>
        </w:r>
      </w:hyperlink>
      <w:r>
        <w:t>), e o Senhor cumprirá a aliança feita com Abraão e Davi (</w:t>
      </w:r>
      <w:hyperlink r:id="rId9327">
        <w:r>
          <w:rPr>
            <w:color w:val="0000EE"/>
            <w:u w:val="single"/>
          </w:rPr>
          <w:t>Is 61.8</w:t>
        </w:r>
      </w:hyperlink>
      <w:r>
        <w:t xml:space="preserve">; cf. </w:t>
      </w:r>
      <w:hyperlink r:id="rId162">
        <w:r>
          <w:rPr>
            <w:color w:val="0000EE"/>
            <w:u w:val="single"/>
          </w:rPr>
          <w:t>Gn 12.1–3</w:t>
        </w:r>
      </w:hyperlink>
      <w:r>
        <w:t xml:space="preserve">; </w:t>
      </w:r>
      <w:hyperlink r:id="rId11362">
        <w:r>
          <w:rPr>
            <w:color w:val="0000EE"/>
            <w:u w:val="single"/>
          </w:rPr>
          <w:t>Is 55.3</w:t>
        </w:r>
      </w:hyperlink>
      <w:r>
        <w:t>). Jerusalém será a cidade do povo santo, os redimidos do Senhor (</w:t>
      </w:r>
      <w:hyperlink r:id="rId11363">
        <w:r>
          <w:rPr>
            <w:color w:val="0000EE"/>
            <w:u w:val="single"/>
          </w:rPr>
          <w:t>Is 62.12</w:t>
        </w:r>
      </w:hyperlink>
      <w:r>
        <w:t xml:space="preserve">), e o Senhor se deleitará nela (v. </w:t>
      </w:r>
      <w:hyperlink r:id="rId11364">
        <w:r>
          <w:rPr>
            <w:color w:val="0000EE"/>
            <w:u w:val="single"/>
          </w:rPr>
          <w:t>4</w:t>
        </w:r>
      </w:hyperlink>
      <w:r>
        <w:t>).</w:t>
      </w:r>
    </w:p>
    <w:p>
      <w:r/>
      <w:r>
        <w:t>Para realizar a salvação para seu povo, Deus terá que julgar os ímpios primeiro. O Grande pisoteamento do lagar (</w:t>
      </w:r>
      <w:hyperlink r:id="rId11365">
        <w:r>
          <w:rPr>
            <w:color w:val="0000EE"/>
            <w:u w:val="single"/>
          </w:rPr>
          <w:t>63.2–3</w:t>
        </w:r>
      </w:hyperlink>
      <w:r>
        <w:t xml:space="preserve">) retrata graficamente o processo de julgamento e está ligado ao Dia do Senhor (cf. </w:t>
      </w:r>
      <w:hyperlink r:id="rId11366">
        <w:r>
          <w:rPr>
            <w:color w:val="0000EE"/>
            <w:u w:val="single"/>
          </w:rPr>
          <w:t>13.3</w:t>
        </w:r>
      </w:hyperlink>
      <w:r>
        <w:t xml:space="preserve">; </w:t>
      </w:r>
      <w:hyperlink r:id="rId11237">
        <w:r>
          <w:rPr>
            <w:color w:val="0000EE"/>
            <w:u w:val="single"/>
          </w:rPr>
          <w:t>34.2</w:t>
        </w:r>
      </w:hyperlink>
      <w:r>
        <w:t>). Como Deus prometeu intervir em favor de seu povo, Isaías ora pela realização dessa promessa (</w:t>
      </w:r>
      <w:hyperlink r:id="rId11367">
        <w:r>
          <w:rPr>
            <w:color w:val="0000EE"/>
            <w:u w:val="single"/>
          </w:rPr>
          <w:t>63.7–64.12</w:t>
        </w:r>
      </w:hyperlink>
      <w:r>
        <w:t>). Ele relembra a fidelidade de Deus no passado e suplica que Ele novamente tenha misericórdia de seu povo sofredor.</w:t>
      </w:r>
    </w:p>
    <w:p>
      <w:r/>
      <w:r>
        <w:t xml:space="preserve">A resposta à oração de Isaías é encontrada no capítulo </w:t>
      </w:r>
      <w:hyperlink r:id="rId2163">
        <w:r>
          <w:rPr>
            <w:color w:val="0000EE"/>
            <w:u w:val="single"/>
          </w:rPr>
          <w:t>65</w:t>
        </w:r>
      </w:hyperlink>
      <w:r>
        <w:t>. Deus promete devolver a Terra Santa aos seus servos, àqueles que o adoram e obedecem. Mas para aquele segmento da nação que continua em sua obstinação, Deus promete angústia e destruição. A alegria suprema dos servos de Deus está contida em uma descrição de novos céus e uma nova terra (</w:t>
      </w:r>
      <w:hyperlink r:id="rId11368">
        <w:r>
          <w:rPr>
            <w:color w:val="0000EE"/>
            <w:u w:val="single"/>
          </w:rPr>
          <w:t>65.17–25</w:t>
        </w:r>
      </w:hyperlink>
      <w:r>
        <w:t xml:space="preserve">). Paz, longa vida e prosperidade estarão entre as bênçãos desfrutadas em uma era que parece combinar características do Milênio e do estado eterno (cf. cap. </w:t>
      </w:r>
      <w:hyperlink r:id="rId2162">
        <w:r>
          <w:rPr>
            <w:color w:val="0000EE"/>
            <w:u w:val="single"/>
          </w:rPr>
          <w:t>60</w:t>
        </w:r>
      </w:hyperlink>
      <w:r>
        <w:t>).</w:t>
      </w:r>
    </w:p>
    <w:p>
      <w:r/>
      <w:r>
        <w:t xml:space="preserve">Em um resumo apropriado, o capítulo </w:t>
      </w:r>
      <w:hyperlink r:id="rId11369">
        <w:r>
          <w:rPr>
            <w:color w:val="0000EE"/>
            <w:u w:val="single"/>
          </w:rPr>
          <w:t>66</w:t>
        </w:r>
      </w:hyperlink>
      <w:r>
        <w:t xml:space="preserve"> une os temas de salvação e julgamento. Deus confortará Jerusalém e a abençoará abundantemente, mas os pecadores são alvos de sua ira. Aqueles que o honram perdurarão para sempre, mas os que se rebelam sofrerão rejeição eterna.</w:t>
      </w:r>
    </w:p>
    <w:p>
      <w:r/>
      <w:r>
        <w:rPr>
          <w:i/>
        </w:rPr>
        <w:t>Veja também</w:t>
      </w:r>
      <w:r>
        <w:t xml:space="preserve"> </w:t>
      </w:r>
      <w:r>
        <w:t>Isaías (Pessoa)</w:t>
      </w:r>
      <w:r>
        <w:t xml:space="preserve">; </w:t>
      </w:r>
      <w:r>
        <w:t>Israel, História</w:t>
      </w:r>
      <w:r>
        <w:t xml:space="preserve">; </w:t>
      </w:r>
      <w:r>
        <w:t>Messias</w:t>
      </w:r>
      <w:r>
        <w:t xml:space="preserve">; </w:t>
      </w:r>
      <w:r>
        <w:t>Profecia</w:t>
      </w:r>
      <w:r>
        <w:t xml:space="preserve">; </w:t>
      </w:r>
      <w:r>
        <w:t>Profeta, Profetisa</w:t>
      </w:r>
      <w:r>
        <w:t xml:space="preserve">; </w:t>
      </w:r>
      <w:r>
        <w:t>Servo do Senhor</w:t>
      </w:r>
      <w:r>
        <w:t xml:space="preserve">; </w:t>
      </w:r>
      <w:r>
        <w:t>Nascimento virginal de Jesus</w:t>
      </w:r>
      <w:r>
        <w:t>.</w:t>
      </w:r>
      <w:r/>
      <w:r/>
    </w:p>
    <w:p>
      <w:r/>
    </w:p>
    <w:p>
      <w:pPr>
        <w:pStyle w:val="Heading2"/>
      </w:pPr>
      <w:r>
        <w:t>Isaque</w:t>
      </w:r>
      <w:r/>
    </w:p>
    <w:p>
      <w:r/>
      <w:r>
        <w:t>O filho de Abraão e Sara e o pai de Jacó e Esaú. Isaque foi um dos patriarcas de Israel, os primeiros pais ou líderes fundadores do povo israelita na Bíblia.</w:t>
      </w:r>
    </w:p>
    <w:p>
      <w:pPr>
        <w:pStyle w:val="Heading3"/>
      </w:pPr>
      <w:r>
        <w:t>Nascimento e primeiros anos de Isaque</w:t>
      </w:r>
    </w:p>
    <w:p>
      <w:r/>
      <w:r>
        <w:t xml:space="preserve">O nome Isaque tem uma origem linguística interessante. É a versão em português do hebraico </w:t>
      </w:r>
      <w:r>
        <w:rPr>
          <w:i/>
        </w:rPr>
        <w:t>Yitshaq,</w:t>
      </w:r>
      <w:r>
        <w:t xml:space="preserve"> em grego "Isaak</w:t>
      </w:r>
      <w:r>
        <w:rPr>
          <w:i/>
        </w:rPr>
        <w:t>".</w:t>
      </w:r>
      <w:r>
        <w:t xml:space="preserve"> Na forma imperfeita, significa "ele ri". Na forma perfeita, significa "ele riu". Os estudiosos discutem o significado de quem está rindo no nome.</w:t>
      </w:r>
    </w:p>
    <w:p>
      <w:r/>
      <w:r>
        <w:t>Se Deus é o "ele" que ri, o nome poderia mostrar diversão divina. Abraão e Sara ambos riram diante da perspectiva de ter um filho (</w:t>
      </w:r>
      <w:hyperlink r:id="rId157">
        <w:r>
          <w:rPr>
            <w:color w:val="0000EE"/>
            <w:u w:val="single"/>
          </w:rPr>
          <w:t>Gn 17.17</w:t>
        </w:r>
      </w:hyperlink>
      <w:r>
        <w:t xml:space="preserve">; </w:t>
      </w:r>
      <w:hyperlink r:id="rId11370">
        <w:r>
          <w:rPr>
            <w:color w:val="0000EE"/>
            <w:u w:val="single"/>
          </w:rPr>
          <w:t>18.12</w:t>
        </w:r>
      </w:hyperlink>
      <w:r>
        <w:t>). A promessa de Deus foi cumprida quando eles inesperadamente se tornaram pais.</w:t>
      </w:r>
    </w:p>
    <w:p>
      <w:r/>
      <w:r>
        <w:t>A origem familiar de Isaque também é interessante. Sara não era apenas a esposa de Abraão, mas também sua meia-irmã (</w:t>
      </w:r>
      <w:hyperlink r:id="rId4543">
        <w:r>
          <w:rPr>
            <w:color w:val="0000EE"/>
            <w:u w:val="single"/>
          </w:rPr>
          <w:t>Gn 20.12</w:t>
        </w:r>
      </w:hyperlink>
      <w:r>
        <w:t>). Esse fato por si só pode ter interferido na concepção em seus primeiros anos. Por causa desse relacionamento, Isaque pertencia a ambos os lados da família de Terá. De acordo com a prática comum da época, o filho da esposa legal tinha precedência sobre os filhos homens das concubinas. Isso significava que Isaque tinha prioridade de herança sobre Ismael. Os presentes que Abraão mais tarde deu aos filhos de suas concubinas (</w:t>
      </w:r>
      <w:hyperlink r:id="rId3977">
        <w:r>
          <w:rPr>
            <w:color w:val="0000EE"/>
            <w:u w:val="single"/>
          </w:rPr>
          <w:t>25.6</w:t>
        </w:r>
      </w:hyperlink>
      <w:r>
        <w:t>) foram sem prejuízo à herança de Isaque.</w:t>
      </w:r>
    </w:p>
    <w:p>
      <w:r/>
      <w:r>
        <w:t>Seguindo as instruções de Deus (</w:t>
      </w:r>
      <w:hyperlink r:id="rId11371">
        <w:r>
          <w:rPr>
            <w:color w:val="0000EE"/>
            <w:u w:val="single"/>
          </w:rPr>
          <w:t>Gn 17.10–14</w:t>
        </w:r>
      </w:hyperlink>
      <w:r>
        <w:t>), Abraão circuncidou Isaque no oitavo dia como membro da comunidade da aliança. A próxima cerimônia ocorreu quando ele provavelmente tinha cerca de três anos. Nos países orientais, as pessoas celebram a transição de uma criança do leite para a comida sólida com um banquete. Este evento ainda é, às vezes, observado. Durante a celebração, a mãe mastiga uma porção de comida sólida e a empurra para a boca do bebê com a língua. O bebê muitas vezes fica tão chocado com esse tratamento que prontamente expulsa a comida, e a mãe repete o processo. Para um observador, o procedimento pode ser hilário, e Ismael pode ter rido disso quando Sara ficou zangada (</w:t>
      </w:r>
      <w:hyperlink r:id="rId11372">
        <w:r>
          <w:rPr>
            <w:color w:val="0000EE"/>
            <w:u w:val="single"/>
          </w:rPr>
          <w:t>21.8–10</w:t>
        </w:r>
      </w:hyperlink>
      <w:r>
        <w:t>).</w:t>
      </w:r>
    </w:p>
    <w:p>
      <w:r/>
      <w:r>
        <w:t>Durante os anos da juventude de Isaque, Abraão estava vivendo no território dos filisteus (</w:t>
      </w:r>
      <w:hyperlink r:id="rId11373">
        <w:r>
          <w:rPr>
            <w:color w:val="0000EE"/>
            <w:u w:val="single"/>
          </w:rPr>
          <w:t>Gn 21.34</w:t>
        </w:r>
      </w:hyperlink>
      <w:r>
        <w:t>). O teste da fé e obediência do pai ocorreu nesse período. Abraão viu este filho da promessa de Deus crescer e se tornar um jovem saudável. Então, Deus pede que ele ofereça Isaque como sacrifício.</w:t>
      </w:r>
    </w:p>
    <w:p>
      <w:r/>
      <w:r>
        <w:t>Isaque conhecia os rituais de sacrifício e ajudou nos preparativos. Ele também estava ciente das tradições que conferiam ao chefe da família o poder de vida ou morte sobre todos os membros. Se ele protestou enquanto estava amarrado no altar de sacrifício, isso não é mencionado na história.</w:t>
      </w:r>
    </w:p>
    <w:p>
      <w:r/>
      <w:r>
        <w:t>Quando a fé de Abraão não vacilou, Deus interveio no momento crucial e providenciou outra oferta, um carneiro. Por causa da obediência de Abraão, Deus prometeu-lhe uma grande bênção. Isaque também participou dessa bênção (</w:t>
      </w:r>
      <w:hyperlink r:id="rId182">
        <w:r>
          <w:rPr>
            <w:color w:val="0000EE"/>
            <w:u w:val="single"/>
          </w:rPr>
          <w:t>Gn 22</w:t>
        </w:r>
      </w:hyperlink>
      <w:r>
        <w:t xml:space="preserve">; </w:t>
      </w:r>
      <w:hyperlink r:id="rId3304">
        <w:r>
          <w:rPr>
            <w:color w:val="0000EE"/>
            <w:u w:val="single"/>
          </w:rPr>
          <w:t>25.11</w:t>
        </w:r>
      </w:hyperlink>
      <w:r>
        <w:t>). Foi esse ato de fé e obediência que Paulo honrou séculos depois ao chamar Abraão de antepassado da igreja cristã (</w:t>
      </w:r>
      <w:hyperlink r:id="rId4414">
        <w:r>
          <w:rPr>
            <w:color w:val="0000EE"/>
            <w:u w:val="single"/>
          </w:rPr>
          <w:t>Rm 4</w:t>
        </w:r>
      </w:hyperlink>
      <w:r>
        <w:t>).</w:t>
      </w:r>
    </w:p>
    <w:p>
      <w:pPr>
        <w:pStyle w:val="Heading3"/>
      </w:pPr>
      <w:r>
        <w:t>Casamento e família de Isaque</w:t>
      </w:r>
    </w:p>
    <w:p>
      <w:r/>
      <w:r>
        <w:t>Após a morte de Sara (</w:t>
      </w:r>
      <w:hyperlink r:id="rId179">
        <w:r>
          <w:rPr>
            <w:color w:val="0000EE"/>
            <w:u w:val="single"/>
          </w:rPr>
          <w:t>Gn 23</w:t>
        </w:r>
      </w:hyperlink>
      <w:r>
        <w:t>), Abraão queria garantir uma noiva para Isaque. Era costume que os pais arranjassem casamentos para seus filhos. Ele não queria que Isaque se casasse com uma mulher local não judia. Em vez disso, Abraão enviou o administrador de sua casa a Naor, na Mesopotâmia, para procurar uma noiva para seu filho entre seus parentes.</w:t>
      </w:r>
    </w:p>
    <w:p>
      <w:r/>
      <w:hyperlink r:id="rId11374">
        <w:r>
          <w:rPr>
            <w:color w:val="0000EE"/>
            <w:u w:val="single"/>
          </w:rPr>
          <w:t>Gênesis 24</w:t>
        </w:r>
      </w:hyperlink>
      <w:r>
        <w:t xml:space="preserve"> descreve como o servo conheceu Rebeca. A história enfatiza fé, perseverança e bênção divina. Naor formalizou o noivado de Rebeca com Isaque mesmo antes de ele ter conhecido o restante de sua família. O pai de Rebeca, Betuel, e o irmão, Labão, concordaram com esse arranjo. Rebeca deixou sua casa com a bênção da família para assumir suas novas responsabilidades na Palestina como esposa de Isaque.</w:t>
      </w:r>
    </w:p>
    <w:p>
      <w:r/>
      <w:r>
        <w:t>Quando Abraão morreu em idade avançada, Isaque e Ismael o enterraram na caverna de Macpela (</w:t>
      </w:r>
      <w:hyperlink r:id="rId11375">
        <w:r>
          <w:rPr>
            <w:color w:val="0000EE"/>
            <w:u w:val="single"/>
          </w:rPr>
          <w:t>Gn 25.8–9</w:t>
        </w:r>
      </w:hyperlink>
      <w:r>
        <w:t>). Isaque agora era o patriarca da família e responsável por liderar e tomar decisões importantes para todo o grupo familiar. Ele implorou a Deus para que Rebeca pudesse ter filhos. Ela deu à luz gêmeos, Esaú ("o peludo") e Jacó ("usurpador", que significa aquele que toma o lugar de outro).</w:t>
      </w:r>
    </w:p>
    <w:p>
      <w:r/>
      <w:r>
        <w:t>Esaú tornou-se caçador, e Isaque o favorecia. Jacó era mais caseiro e agricultor e era favorecido por sua mãe. Jacó também era astuto. Ele aproveitou a fome extrema de Esaú um dia, barganhando com seu irmão mais velho para trocar seu direito de primogenitura por um pouco de ensopado de lentilhas. Possuir o direito de primogenitura significava que Jacó receberia uma herança dobrada (</w:t>
      </w:r>
      <w:hyperlink r:id="rId7904">
        <w:r>
          <w:rPr>
            <w:color w:val="0000EE"/>
            <w:u w:val="single"/>
          </w:rPr>
          <w:t>Dt 21.17</w:t>
        </w:r>
      </w:hyperlink>
      <w:r>
        <w:t>).</w:t>
      </w:r>
    </w:p>
    <w:p>
      <w:pPr>
        <w:pStyle w:val="Heading3"/>
      </w:pPr>
      <w:r>
        <w:t>Anos finais e legado de Isaque</w:t>
      </w:r>
    </w:p>
    <w:p>
      <w:r/>
      <w:r>
        <w:t>Quando a fome chegou à terra, Deus disse a Isaque para não ir ao Egito (</w:t>
      </w:r>
      <w:hyperlink r:id="rId11376">
        <w:r>
          <w:rPr>
            <w:color w:val="0000EE"/>
            <w:u w:val="single"/>
          </w:rPr>
          <w:t>Gn 26.2</w:t>
        </w:r>
      </w:hyperlink>
      <w:r>
        <w:t>). Isaque permaneceu na Palestina, onde Deus lhe prometeu que ele desfrutaria de uma boa vida. Quando os homens da região perguntaram sobre Rebeca, Isaque ficou com medo e disse que ela era sua irmã. Quando a mentira foi revelada, Abimeleque, o rei, repreendeu Isaque. O rei avisou a todos na área para não interferirem com Isaque. Isaque prosperou tanto que Abimeleque finalmente pediu que ele se mudasse. Isaque levou sua família para Berseba, onde havia muita água para seus rebanhos, e sua fortuna aumentou.</w:t>
      </w:r>
    </w:p>
    <w:p>
      <w:r/>
      <w:r>
        <w:t>Embora Esaú fosse o filho favorito de Isaque, seu pai não aprovava os dois casamentos de Esaú com mulheres hititas. Quando Isaque sentiu que o fim de sua vida se aproximava, ele quis abençoar seu primogênito da maneira tradicional (</w:t>
      </w:r>
      <w:hyperlink r:id="rId7192">
        <w:r>
          <w:rPr>
            <w:color w:val="0000EE"/>
            <w:u w:val="single"/>
          </w:rPr>
          <w:t>Gn 27</w:t>
        </w:r>
      </w:hyperlink>
      <w:r>
        <w:t>). Rebeca ouviu as instruções dadas a Esaú e incentivou Jacó a enganar o velho cego, disfarçando-se de Esaú para tomar a bênção de seu irmão.</w:t>
      </w:r>
    </w:p>
    <w:p>
      <w:r/>
      <w:r>
        <w:t>O engano foi bem-sucedido, e Isaque concedeu a Jacó a bênção do primogênito. Quando Esaú chegou para receber sua bênção, já era tarde demais. Esaú ficou profundamente amargurado com Jacó por causa do ocorrido.</w:t>
      </w:r>
    </w:p>
    <w:p>
      <w:r/>
      <w:r>
        <w:t>Rebeca enviou Jacó para seu irmão Labão na Mesopotâmia, para escapar da raiva de Esaú e também para encontrar uma esposa. Esaú recebeu uma bênção de Isaque, mas uma menor. Duas décadas depois, um Jacó rico retornou com sua família. Ele fez as pazes com Esaú antes de Isaque morrer, e os irmãos enterraram Isaque em Hebrom (</w:t>
      </w:r>
      <w:hyperlink r:id="rId11377">
        <w:r>
          <w:rPr>
            <w:color w:val="0000EE"/>
            <w:u w:val="single"/>
          </w:rPr>
          <w:t>Gn 35.27–29</w:t>
        </w:r>
      </w:hyperlink>
      <w:r>
        <w:t>).</w:t>
      </w:r>
    </w:p>
    <w:p>
      <w:r/>
      <w:r>
        <w:t xml:space="preserve">Isaque não é tão conhecido nas narrativas do Antigo Testamento quanto Abraão ou Jacó. Passagens do Novo Testamento como </w:t>
      </w:r>
      <w:hyperlink r:id="rId4941">
        <w:r>
          <w:rPr>
            <w:color w:val="0000EE"/>
            <w:u w:val="single"/>
          </w:rPr>
          <w:t>Atos 7.8</w:t>
        </w:r>
      </w:hyperlink>
      <w:r>
        <w:t xml:space="preserve">, </w:t>
      </w:r>
      <w:hyperlink r:id="rId11378">
        <w:r>
          <w:rPr>
            <w:color w:val="0000EE"/>
            <w:u w:val="single"/>
          </w:rPr>
          <w:t>Romanos 9.7</w:t>
        </w:r>
      </w:hyperlink>
      <w:r>
        <w:t xml:space="preserve">, </w:t>
      </w:r>
      <w:hyperlink r:id="rId4371">
        <w:r>
          <w:rPr>
            <w:color w:val="0000EE"/>
            <w:u w:val="single"/>
          </w:rPr>
          <w:t>Gálatas 4.21–31</w:t>
        </w:r>
      </w:hyperlink>
      <w:r>
        <w:t xml:space="preserve"> e </w:t>
      </w:r>
      <w:hyperlink r:id="rId11379">
        <w:r>
          <w:rPr>
            <w:color w:val="0000EE"/>
            <w:u w:val="single"/>
          </w:rPr>
          <w:t>Hebreus 11.9–20</w:t>
        </w:r>
      </w:hyperlink>
      <w:r>
        <w:t xml:space="preserve"> reconhecem sua importância para a fé da aliança (fé baseada em confiar nas promessas de Deus e seguir Suas instruções). Isaque representa a nova aliança que Deus fez com Abraão como o filho da promessa de Deus.</w:t>
      </w:r>
    </w:p>
    <w:p>
      <w:r/>
      <w:r>
        <w:rPr>
          <w:i/>
        </w:rPr>
        <w:t>Veja também</w:t>
      </w:r>
      <w:r>
        <w:t xml:space="preserve"> </w:t>
      </w:r>
      <w:r>
        <w:t>Israel, História de</w:t>
      </w:r>
      <w:r>
        <w:t xml:space="preserve">; </w:t>
      </w:r>
      <w:r>
        <w:t>Período dos patriarcas</w:t>
      </w:r>
      <w:r>
        <w:t>.</w:t>
      </w:r>
      <w:r/>
      <w:r/>
    </w:p>
    <w:p>
      <w:r/>
    </w:p>
    <w:p>
      <w:pPr>
        <w:pStyle w:val="Heading2"/>
      </w:pPr>
      <w:r>
        <w:t>Isar</w:t>
      </w:r>
      <w:r/>
    </w:p>
    <w:p>
      <w:pPr>
        <w:pStyle w:val="ListNumber"/>
        <w:spacing w:line="240" w:lineRule="auto"/>
        <w:ind w:left="720"/>
      </w:pPr>
      <w:r/>
      <w:r>
        <w:t>Um dos filhos de Coate da tribo de Levi (</w:t>
      </w:r>
      <w:hyperlink r:id="rId5737">
        <w:r>
          <w:rPr>
            <w:color w:val="0000EE"/>
            <w:u w:val="single"/>
          </w:rPr>
          <w:t>Êx 6.18,21</w:t>
        </w:r>
      </w:hyperlink>
      <w:r>
        <w:t xml:space="preserve">; </w:t>
      </w:r>
      <w:hyperlink r:id="rId10490">
        <w:r>
          <w:rPr>
            <w:color w:val="0000EE"/>
            <w:u w:val="single"/>
          </w:rPr>
          <w:t>Nm 3.19</w:t>
        </w:r>
      </w:hyperlink>
      <w:r>
        <w:t xml:space="preserve">; </w:t>
      </w:r>
      <w:hyperlink r:id="rId5630">
        <w:r>
          <w:rPr>
            <w:color w:val="0000EE"/>
            <w:u w:val="single"/>
          </w:rPr>
          <w:t>16.1</w:t>
        </w:r>
      </w:hyperlink>
      <w:r>
        <w:t xml:space="preserve">; </w:t>
      </w:r>
      <w:hyperlink r:id="rId11380">
        <w:r>
          <w:rPr>
            <w:color w:val="0000EE"/>
            <w:u w:val="single"/>
          </w:rPr>
          <w:t>1Cr 6.2,18,38</w:t>
        </w:r>
      </w:hyperlink>
      <w:r>
        <w:t xml:space="preserve">; </w:t>
      </w:r>
      <w:hyperlink r:id="rId11381">
        <w:r>
          <w:rPr>
            <w:color w:val="0000EE"/>
            <w:u w:val="single"/>
          </w:rPr>
          <w:t>23.12,18</w:t>
        </w:r>
      </w:hyperlink>
      <w:r>
        <w:t>). Ele foi o pai da família Isarita (</w:t>
      </w:r>
      <w:hyperlink r:id="rId1973">
        <w:r>
          <w:rPr>
            <w:color w:val="0000EE"/>
            <w:u w:val="single"/>
          </w:rPr>
          <w:t>Nm 3.27</w:t>
        </w:r>
      </w:hyperlink>
      <w:r>
        <w:t xml:space="preserve">; </w:t>
      </w:r>
      <w:hyperlink r:id="rId11382">
        <w:r>
          <w:rPr>
            <w:color w:val="0000EE"/>
            <w:u w:val="single"/>
          </w:rPr>
          <w:t>1Cr 24.22</w:t>
        </w:r>
      </w:hyperlink>
      <w:r>
        <w:t xml:space="preserve">; </w:t>
      </w:r>
      <w:hyperlink r:id="rId11383">
        <w:r>
          <w:rPr>
            <w:color w:val="0000EE"/>
            <w:u w:val="single"/>
          </w:rPr>
          <w:t>26.23,29</w:t>
        </w:r>
      </w:hyperlink>
      <w:r>
        <w:t xml:space="preserve">). Ele também é chamado de Aminadabe em </w:t>
      </w:r>
      <w:hyperlink r:id="rId1095">
        <w:r>
          <w:rPr>
            <w:color w:val="0000EE"/>
            <w:u w:val="single"/>
          </w:rPr>
          <w:t>1Cr 6.22</w:t>
        </w:r>
      </w:hyperlink>
      <w:r>
        <w:t>. Um dos filhos de Isar foi Corá, que liderou a rebelião contra Moisés e Arão (</w:t>
      </w:r>
      <w:hyperlink r:id="rId11384">
        <w:r>
          <w:rPr>
            <w:color w:val="0000EE"/>
            <w:u w:val="single"/>
          </w:rPr>
          <w:t>Nm 16.1–11</w:t>
        </w:r>
      </w:hyperlink>
      <w:r>
        <w:t>).</w:t>
      </w:r>
    </w:p>
    <w:p>
      <w:pPr>
        <w:pStyle w:val="ListNumber"/>
        <w:spacing w:line="240" w:lineRule="auto"/>
        <w:ind w:left="720"/>
      </w:pPr>
      <w:r/>
      <w:r>
        <w:t>Filho de Helá da tribo de Judá (</w:t>
      </w:r>
      <w:hyperlink r:id="rId11385">
        <w:r>
          <w:rPr>
            <w:color w:val="0000EE"/>
            <w:u w:val="single"/>
          </w:rPr>
          <w:t>1Cr 4.7</w:t>
        </w:r>
      </w:hyperlink>
      <w:r>
        <w:t>).</w:t>
      </w:r>
      <w:r/>
      <w:r/>
    </w:p>
    <w:p>
      <w:r/>
    </w:p>
    <w:p>
      <w:pPr>
        <w:pStyle w:val="Heading2"/>
      </w:pPr>
      <w:r>
        <w:t>Isbaque</w:t>
      </w:r>
      <w:r/>
    </w:p>
    <w:p>
      <w:r/>
      <w:r>
        <w:t>Um dos filhos de Abraão com Quetura (</w:t>
      </w:r>
      <w:hyperlink r:id="rId11386">
        <w:r>
          <w:rPr>
            <w:color w:val="0000EE"/>
            <w:u w:val="single"/>
          </w:rPr>
          <w:t>Gn 25.2</w:t>
        </w:r>
      </w:hyperlink>
      <w:r>
        <w:t xml:space="preserve">; </w:t>
      </w:r>
      <w:hyperlink r:id="rId5351">
        <w:r>
          <w:rPr>
            <w:color w:val="0000EE"/>
            <w:u w:val="single"/>
          </w:rPr>
          <w:t>1Cr 1.32</w:t>
        </w:r>
      </w:hyperlink>
      <w:r>
        <w:t>).</w:t>
      </w:r>
      <w:r/>
      <w:r/>
    </w:p>
    <w:p>
      <w:r/>
    </w:p>
    <w:p>
      <w:pPr>
        <w:pStyle w:val="Heading2"/>
      </w:pPr>
      <w:r>
        <w:t>Iscá</w:t>
      </w:r>
      <w:r/>
    </w:p>
    <w:p>
      <w:r/>
      <w:r>
        <w:t>Filha de Harã e irmã de Milca (</w:t>
      </w:r>
      <w:hyperlink r:id="rId9820">
        <w:r>
          <w:rPr>
            <w:color w:val="0000EE"/>
            <w:u w:val="single"/>
          </w:rPr>
          <w:t>Gn 11.29</w:t>
        </w:r>
      </w:hyperlink>
      <w:r>
        <w:t>).</w:t>
      </w:r>
      <w:r/>
      <w:r/>
    </w:p>
    <w:p>
      <w:r/>
    </w:p>
    <w:p>
      <w:pPr>
        <w:pStyle w:val="Heading2"/>
      </w:pPr>
      <w:r>
        <w:t>Ismael</w:t>
      </w:r>
      <w:r/>
    </w:p>
    <w:p>
      <w:pPr>
        <w:pStyle w:val="ListNumber"/>
        <w:spacing w:line="240" w:lineRule="auto"/>
        <w:ind w:left="720"/>
      </w:pPr>
      <w:r/>
      <w:r>
        <w:t>O primeiro filho de Abraão nasceu de Agar, a serva egípcia de Sara, esposa de Abraão. Foi Sara quem escolheu Agar para ter um filho com Abraão.</w:t>
      </w:r>
    </w:p>
    <w:p>
      <w:r/>
      <w:r>
        <w:t>Deus prometeu fazer de Abraão uma grande nação, mesmo ele não tendo filhos (</w:t>
      </w:r>
      <w:hyperlink r:id="rId791">
        <w:r>
          <w:rPr>
            <w:color w:val="0000EE"/>
            <w:u w:val="single"/>
          </w:rPr>
          <w:t>Gn 12.2</w:t>
        </w:r>
      </w:hyperlink>
      <w:r>
        <w:t>). Deus prometeu-lhe que seu filho seria seu herdeiro (</w:t>
      </w:r>
      <w:hyperlink r:id="rId167">
        <w:r>
          <w:rPr>
            <w:color w:val="0000EE"/>
            <w:u w:val="single"/>
          </w:rPr>
          <w:t>15.4</w:t>
        </w:r>
      </w:hyperlink>
      <w:r>
        <w:t>). Mas quando Sara tinha mais de 75 anos e ainda não tinha tido filhos, ela seguiu um costume daquela época e deu sua serva Agar a Abraão como concubina. Isso era para dar a Sara um filho através de Agar (</w:t>
      </w:r>
      <w:hyperlink r:id="rId8516">
        <w:r>
          <w:rPr>
            <w:color w:val="0000EE"/>
            <w:u w:val="single"/>
          </w:rPr>
          <w:t>16.1–2</w:t>
        </w:r>
      </w:hyperlink>
      <w:r>
        <w:t>).</w:t>
      </w:r>
    </w:p>
    <w:p>
      <w:r/>
      <w:r>
        <w:t>Depois que Agar ficou grávida, ela começou a tratar Sara com desrespeito. Sara então tratou Agar com severidade, fazendo com que ela fugisse. Um anjo encontrou Agar e disse-lhe para voltar. O anjo também prometeu a ela um filho, dizendo-lhe para nomeá-lo Ismael, que significa "Deus ouve" (</w:t>
      </w:r>
      <w:hyperlink r:id="rId11387">
        <w:r>
          <w:rPr>
            <w:color w:val="0000EE"/>
            <w:u w:val="single"/>
          </w:rPr>
          <w:t>16.9–11</w:t>
        </w:r>
      </w:hyperlink>
      <w:r>
        <w:t>). O menino nasceu perto de Hebrom quando Abraão tinha 86 anos (</w:t>
      </w:r>
      <w:hyperlink r:id="rId4472">
        <w:r>
          <w:rPr>
            <w:color w:val="0000EE"/>
            <w:u w:val="single"/>
          </w:rPr>
          <w:t>13.18</w:t>
        </w:r>
      </w:hyperlink>
      <w:r>
        <w:t xml:space="preserve">; </w:t>
      </w:r>
      <w:hyperlink r:id="rId11388">
        <w:r>
          <w:rPr>
            <w:color w:val="0000EE"/>
            <w:u w:val="single"/>
          </w:rPr>
          <w:t>16.16</w:t>
        </w:r>
      </w:hyperlink>
      <w:r>
        <w:t>).</w:t>
      </w:r>
    </w:p>
    <w:p>
      <w:r/>
      <w:r>
        <w:t>Abraão e Sara inicialmente pensaram que Ismael era o filho que Deus havia prometido a eles (</w:t>
      </w:r>
      <w:hyperlink r:id="rId157">
        <w:r>
          <w:rPr>
            <w:color w:val="0000EE"/>
            <w:u w:val="single"/>
          </w:rPr>
          <w:t>17.17</w:t>
        </w:r>
      </w:hyperlink>
      <w:r>
        <w:t xml:space="preserve">; </w:t>
      </w:r>
      <w:hyperlink r:id="rId11370">
        <w:r>
          <w:rPr>
            <w:color w:val="0000EE"/>
            <w:u w:val="single"/>
          </w:rPr>
          <w:t>18.12</w:t>
        </w:r>
      </w:hyperlink>
      <w:r>
        <w:t>). Quando Deus mais tarde anunciou que Sara teria seu próprio filho chamado Isaque, Abraão até pediu a Deus que aceitasse Ismael em vez disso (</w:t>
      </w:r>
      <w:hyperlink r:id="rId11389">
        <w:r>
          <w:rPr>
            <w:color w:val="0000EE"/>
            <w:u w:val="single"/>
          </w:rPr>
          <w:t>17.18</w:t>
        </w:r>
      </w:hyperlink>
      <w:r>
        <w:t>). Quando Ismael tinha 13 anos, ele foi circuncidado como testemunho da aliança de Deus com Abraão (</w:t>
      </w:r>
      <w:hyperlink r:id="rId11390">
        <w:r>
          <w:rPr>
            <w:color w:val="0000EE"/>
            <w:u w:val="single"/>
          </w:rPr>
          <w:t>17.9–14,22–27</w:t>
        </w:r>
      </w:hyperlink>
      <w:r>
        <w:t>). O Senhor prometeu fazer de Ismael o pai de 12 príncipes, dos quais viria uma grande nação. Mas a aliança (o acordo especial de Deus com Abraão) seria estabelecida com Isaque (</w:t>
      </w:r>
      <w:hyperlink r:id="rId11391">
        <w:r>
          <w:rPr>
            <w:color w:val="0000EE"/>
            <w:u w:val="single"/>
          </w:rPr>
          <w:t>17.20</w:t>
        </w:r>
      </w:hyperlink>
      <w:hyperlink r:id="rId11390">
        <w:r>
          <w:rPr>
            <w:color w:val="0000EE"/>
            <w:u w:val="single"/>
          </w:rPr>
          <w:t>-</w:t>
        </w:r>
      </w:hyperlink>
      <w:hyperlink r:id="rId11391">
        <w:r>
          <w:rPr>
            <w:color w:val="0000EE"/>
            <w:u w:val="single"/>
          </w:rPr>
          <w:t>21</w:t>
        </w:r>
      </w:hyperlink>
      <w:r>
        <w:t>).</w:t>
      </w:r>
    </w:p>
    <w:p>
      <w:r/>
      <w:r>
        <w:t>Os problemas começaram quando Isaque foi desmamado, por volta dos três anos de idade. Quando Sara viu Ismael zombando de seu filho Isaque, ela decidiu que o filho de uma escrava não deveria ser herdeiro junto com seu filho Isaque. Ela exigiu que Ismael e Agar fossem mandados embora. Embora isso tenha chateado Abraão, Deus disse a ele para fazer o que Sara pediu. Abraão deu-lhes um pouco de comida e água e os mandou embora. Ficou então claro para Abraão que Isaque, e não Ismael, era o filho da promessa de Deus.</w:t>
      </w:r>
    </w:p>
    <w:p>
      <w:r/>
      <w:r>
        <w:t>Agar sobreviveu no deserto com a ajuda de um anjo. Ismael tornou-se um caçador de animais selvagens e se estabeleceu no deserto de Parã. Ele se casou com uma mulher egípcia (</w:t>
      </w:r>
      <w:hyperlink r:id="rId11392">
        <w:r>
          <w:rPr>
            <w:color w:val="0000EE"/>
            <w:u w:val="single"/>
          </w:rPr>
          <w:t>21.20–21</w:t>
        </w:r>
      </w:hyperlink>
      <w:r>
        <w:t>). Não há muito mais escrito sobre ele, exceto que anos depois ele ajudou a enterrar Abraão (</w:t>
      </w:r>
      <w:hyperlink r:id="rId10481">
        <w:r>
          <w:rPr>
            <w:color w:val="0000EE"/>
            <w:u w:val="single"/>
          </w:rPr>
          <w:t>25.9</w:t>
        </w:r>
      </w:hyperlink>
      <w:hyperlink r:id="rId11392">
        <w:r>
          <w:rPr>
            <w:color w:val="0000EE"/>
            <w:u w:val="single"/>
          </w:rPr>
          <w:t>-</w:t>
        </w:r>
      </w:hyperlink>
      <w:hyperlink r:id="rId10481">
        <w:r>
          <w:rPr>
            <w:color w:val="0000EE"/>
            <w:u w:val="single"/>
          </w:rPr>
          <w:t>10</w:t>
        </w:r>
      </w:hyperlink>
      <w:r>
        <w:t>). Ele também deu sua filha Maalate em casamento (</w:t>
      </w:r>
      <w:hyperlink r:id="rId3170">
        <w:r>
          <w:rPr>
            <w:color w:val="0000EE"/>
            <w:u w:val="single"/>
          </w:rPr>
          <w:t>28.9</w:t>
        </w:r>
      </w:hyperlink>
      <w:r>
        <w:t>). Ismael morreu aos 137 anos (</w:t>
      </w:r>
      <w:hyperlink r:id="rId11393">
        <w:r>
          <w:rPr>
            <w:color w:val="0000EE"/>
            <w:u w:val="single"/>
          </w:rPr>
          <w:t>25.17</w:t>
        </w:r>
      </w:hyperlink>
      <w:r>
        <w:t xml:space="preserve">). Os nomes de seus 12 filhos e seus assentamentos estão registrados em </w:t>
      </w:r>
      <w:hyperlink r:id="rId11394">
        <w:r>
          <w:rPr>
            <w:color w:val="0000EE"/>
            <w:u w:val="single"/>
          </w:rPr>
          <w:t>Gênesis 25.13</w:t>
        </w:r>
      </w:hyperlink>
      <w:hyperlink r:id="rId11392">
        <w:r>
          <w:rPr>
            <w:color w:val="0000EE"/>
            <w:u w:val="single"/>
          </w:rPr>
          <w:t>-</w:t>
        </w:r>
      </w:hyperlink>
      <w:hyperlink r:id="rId11394">
        <w:r>
          <w:rPr>
            <w:color w:val="0000EE"/>
            <w:u w:val="single"/>
          </w:rPr>
          <w:t>16</w:t>
        </w:r>
      </w:hyperlink>
      <w:r>
        <w:t xml:space="preserve">. Na história posterior, uma caravana de comerciantes ismaelitas (também chamados de midianitas, cp. </w:t>
      </w:r>
      <w:hyperlink r:id="rId11395">
        <w:r>
          <w:rPr>
            <w:color w:val="0000EE"/>
            <w:u w:val="single"/>
          </w:rPr>
          <w:t>Jz 8.22</w:t>
        </w:r>
      </w:hyperlink>
      <w:hyperlink r:id="rId11392">
        <w:r>
          <w:rPr>
            <w:color w:val="0000EE"/>
            <w:u w:val="single"/>
          </w:rPr>
          <w:t>-</w:t>
        </w:r>
      </w:hyperlink>
      <w:hyperlink r:id="rId11395">
        <w:r>
          <w:rPr>
            <w:color w:val="0000EE"/>
            <w:u w:val="single"/>
          </w:rPr>
          <w:t>24</w:t>
        </w:r>
      </w:hyperlink>
      <w:r>
        <w:t>) comprou José de seus irmãos e o vendeu no Egito (</w:t>
      </w:r>
      <w:hyperlink r:id="rId2231">
        <w:r>
          <w:rPr>
            <w:color w:val="0000EE"/>
            <w:u w:val="single"/>
          </w:rPr>
          <w:t>Gn 37.25</w:t>
        </w:r>
      </w:hyperlink>
      <w:hyperlink r:id="rId11392">
        <w:r>
          <w:rPr>
            <w:color w:val="0000EE"/>
            <w:u w:val="single"/>
          </w:rPr>
          <w:t>-</w:t>
        </w:r>
      </w:hyperlink>
      <w:hyperlink r:id="rId2231">
        <w:r>
          <w:rPr>
            <w:color w:val="0000EE"/>
            <w:u w:val="single"/>
          </w:rPr>
          <w:t>28</w:t>
        </w:r>
      </w:hyperlink>
      <w:r>
        <w:t xml:space="preserve">; </w:t>
      </w:r>
      <w:hyperlink r:id="rId8159">
        <w:r>
          <w:rPr>
            <w:color w:val="0000EE"/>
            <w:u w:val="single"/>
          </w:rPr>
          <w:t>39.1</w:t>
        </w:r>
      </w:hyperlink>
      <w:r>
        <w:t>).</w:t>
      </w:r>
    </w:p>
    <w:p>
      <w:r/>
      <w:r>
        <w:t>Embora Isaque tenha recebido as promessas especiais de Deus em vez de Ismael, isso não significava que Deus rejeitou Ismael. Abraão e Sara inicialmente tinham grandes expectativas sobre o papel de Ismael no plano de Deus, mas mais tarde tentaram excluí-lo completamente de maneira equivocada.</w:t>
      </w:r>
    </w:p>
    <w:p>
      <w:r/>
      <w:r>
        <w:t>No Novo Testamento, Paulo usa a história de Ismael e Agar para ensinar aos Gálatas que a lei não deve ser vista como um fardo (</w:t>
      </w:r>
      <w:hyperlink r:id="rId11396">
        <w:r>
          <w:rPr>
            <w:color w:val="0000EE"/>
            <w:u w:val="single"/>
          </w:rPr>
          <w:t>Gl 4.22</w:t>
        </w:r>
      </w:hyperlink>
      <w:r>
        <w:t xml:space="preserve">). Ele afirma que aqueles que confiam na lei de Moisés, em vez de confiarem nas promessas de Deus, não herdam o reino de Deus. Ismael, o filho da escrava (aqui um símbolo da lei), não recebeu herança com o filho da mulher livre (versículo </w:t>
      </w:r>
      <w:hyperlink r:id="rId11397">
        <w:r>
          <w:rPr>
            <w:color w:val="0000EE"/>
            <w:u w:val="single"/>
          </w:rPr>
          <w:t>30</w:t>
        </w:r>
      </w:hyperlink>
      <w:r>
        <w:t>).</w:t>
      </w:r>
    </w:p>
    <w:p>
      <w:pPr>
        <w:pStyle w:val="ListNumber"/>
        <w:spacing w:line="240" w:lineRule="auto"/>
        <w:ind w:left="720"/>
      </w:pPr>
      <w:r/>
      <w:r>
        <w:t>Um membro da família real do rei Zedequias, através de seu pai Netanias e avô Elisama (</w:t>
      </w:r>
      <w:hyperlink r:id="rId7944">
        <w:r>
          <w:rPr>
            <w:color w:val="0000EE"/>
            <w:u w:val="single"/>
          </w:rPr>
          <w:t>2Rs 25.25</w:t>
        </w:r>
      </w:hyperlink>
      <w:r>
        <w:t>). Esta história ocorre durante o período em que Babilônia controlava Judá. O rei babilônico Nabucodonosor nomeou um homem chamado Gedalias como governador na cidade de Mispa.</w:t>
      </w:r>
    </w:p>
    <w:p>
      <w:r/>
      <w:r>
        <w:t>Baalis, o rei dos amonitas, convenceu Ismael a matar Gedalias. Antes que isso acontecesse, um homem chamado Joanã avisou Gedalias sobre o plano para matá-lo. Joanã até pediu permissão para matar Ismael primeiro para proteger Gedalias, mas Gedalias se recusou a acreditar no aviso (</w:t>
      </w:r>
      <w:hyperlink r:id="rId11398">
        <w:r>
          <w:rPr>
            <w:color w:val="0000EE"/>
            <w:u w:val="single"/>
          </w:rPr>
          <w:t>Jr 40.14</w:t>
        </w:r>
      </w:hyperlink>
      <w:hyperlink r:id="rId11392">
        <w:r>
          <w:rPr>
            <w:color w:val="0000EE"/>
            <w:u w:val="single"/>
          </w:rPr>
          <w:t>-</w:t>
        </w:r>
      </w:hyperlink>
      <w:hyperlink r:id="rId11398">
        <w:r>
          <w:rPr>
            <w:color w:val="0000EE"/>
            <w:u w:val="single"/>
          </w:rPr>
          <w:t>16</w:t>
        </w:r>
      </w:hyperlink>
      <w:r>
        <w:t>).</w:t>
      </w:r>
    </w:p>
    <w:p>
      <w:r/>
      <w:r>
        <w:t>Ismael veio a Mispa com dez homens. Enquanto estavam comendo uma refeição com Gedalias, eles o mataram, assim como os soldados babilônicos que estavam com ele. No dia seguinte, um grupo de 80 peregrinos religiosos estava viajando do norte para adorar no templo em Jerusalém. Ismael os convidou para entrar em Mispa e então matou 70 deles. Ele deixou dez viverem porque ofereceram a ele seus suprimentos de comida escondidos. Ismael escondeu todos os corpos em uma grande cisterna (armazenamento de água subterrâneo).</w:t>
      </w:r>
    </w:p>
    <w:p>
      <w:r/>
      <w:r>
        <w:t>Depois disso, Ismael levou todos os outros em Mispa como prisioneiros, incluindo o profeta Jeremias e algumas mulheres da família real. Ele começou a levá-los em direção à terra dos amonitas. No entanto, Joanã reuniu alguns soldados e alcançou Ismael em um lugar chamado Gibeão. Joanã resgatou todos os prisioneiros, mas Ismael e seus homens escaparam para o território amonita (</w:t>
      </w:r>
      <w:hyperlink r:id="rId11399">
        <w:r>
          <w:rPr>
            <w:color w:val="0000EE"/>
            <w:u w:val="single"/>
          </w:rPr>
          <w:t>Jr 41</w:t>
        </w:r>
      </w:hyperlink>
      <w:r>
        <w:t>).</w:t>
      </w:r>
    </w:p>
    <w:p>
      <w:pPr>
        <w:pStyle w:val="ListNumber"/>
        <w:spacing w:line="240" w:lineRule="auto"/>
        <w:ind w:left="720"/>
      </w:pPr>
      <w:r/>
      <w:r>
        <w:t>O filho de Azel, um benjamita da família de Saul (</w:t>
      </w:r>
      <w:hyperlink r:id="rId11400">
        <w:r>
          <w:rPr>
            <w:color w:val="0000EE"/>
            <w:u w:val="single"/>
          </w:rPr>
          <w:t>1Cr 8.38</w:t>
        </w:r>
      </w:hyperlink>
      <w:r>
        <w:t xml:space="preserve">; </w:t>
      </w:r>
      <w:hyperlink r:id="rId11401">
        <w:r>
          <w:rPr>
            <w:color w:val="0000EE"/>
            <w:u w:val="single"/>
          </w:rPr>
          <w:t>9.44</w:t>
        </w:r>
      </w:hyperlink>
      <w:r>
        <w:t>).</w:t>
      </w:r>
    </w:p>
    <w:p>
      <w:pPr>
        <w:pStyle w:val="ListNumber"/>
        <w:spacing w:line="240" w:lineRule="auto"/>
        <w:ind w:left="720"/>
      </w:pPr>
      <w:r/>
      <w:r>
        <w:t>O pai de Zebadias, o governador da casa de Judá sob Josafá (</w:t>
      </w:r>
      <w:hyperlink r:id="rId11402">
        <w:r>
          <w:rPr>
            <w:color w:val="0000EE"/>
            <w:u w:val="single"/>
          </w:rPr>
          <w:t>2Cr 19.11</w:t>
        </w:r>
      </w:hyperlink>
      <w:r>
        <w:t>).</w:t>
      </w:r>
    </w:p>
    <w:p>
      <w:pPr>
        <w:pStyle w:val="ListNumber"/>
        <w:spacing w:line="240" w:lineRule="auto"/>
        <w:ind w:left="720"/>
      </w:pPr>
      <w:r/>
      <w:r>
        <w:t>O filho de Joanã. Ele foi um dos comandantes que se aliou a Joiada, o sacerdote, para fazer de Joás rei (enquanto ele ainda era uma criança) e acabar com o reinado de Atalia (</w:t>
      </w:r>
      <w:hyperlink r:id="rId11403">
        <w:r>
          <w:rPr>
            <w:color w:val="0000EE"/>
            <w:u w:val="single"/>
          </w:rPr>
          <w:t>2Cr 23.1</w:t>
        </w:r>
      </w:hyperlink>
      <w:r>
        <w:t>).</w:t>
      </w:r>
    </w:p>
    <w:p>
      <w:pPr>
        <w:pStyle w:val="ListNumber"/>
        <w:spacing w:line="240" w:lineRule="auto"/>
        <w:ind w:left="720"/>
      </w:pPr>
      <w:r/>
      <w:r>
        <w:t>O filho de Pasur é um dos sacerdotes que se divorciaram de suas esposas estrangeiras durante as reformas de Esdras (</w:t>
      </w:r>
      <w:hyperlink r:id="rId11404">
        <w:r>
          <w:rPr>
            <w:color w:val="0000EE"/>
            <w:u w:val="single"/>
          </w:rPr>
          <w:t>Ed 10.22</w:t>
        </w:r>
      </w:hyperlink>
      <w:r>
        <w:t>).</w:t>
      </w:r>
      <w:r/>
      <w:r/>
    </w:p>
    <w:p>
      <w:r/>
    </w:p>
    <w:p>
      <w:pPr>
        <w:pStyle w:val="Heading2"/>
      </w:pPr>
      <w:r>
        <w:t>Israel (pessoa)</w:t>
      </w:r>
      <w:r/>
    </w:p>
    <w:p>
      <w:r/>
      <w:r>
        <w:t>Nome que significa “aquele que luta com Deus” ou “Deus luta” (</w:t>
      </w:r>
      <w:hyperlink r:id="rId11405">
        <w:r>
          <w:rPr>
            <w:color w:val="0000EE"/>
            <w:u w:val="single"/>
          </w:rPr>
          <w:t>Gn 32.28</w:t>
        </w:r>
      </w:hyperlink>
      <w:r>
        <w:t>). Foi dado ao filho de Isaque, Jacó, e aos seus descendentes (</w:t>
      </w:r>
      <w:hyperlink r:id="rId11406">
        <w:r>
          <w:rPr>
            <w:color w:val="0000EE"/>
            <w:u w:val="single"/>
          </w:rPr>
          <w:t>35.9–12</w:t>
        </w:r>
      </w:hyperlink>
      <w:r>
        <w:t xml:space="preserve">; cf. </w:t>
      </w:r>
      <w:hyperlink r:id="rId11407">
        <w:r>
          <w:rPr>
            <w:color w:val="0000EE"/>
            <w:u w:val="single"/>
          </w:rPr>
          <w:t>Dt 6.1–4</w:t>
        </w:r>
      </w:hyperlink>
      <w:r>
        <w:t xml:space="preserve">). </w:t>
      </w:r>
      <w:r>
        <w:rPr>
          <w:i/>
        </w:rPr>
        <w:t>Veja</w:t>
      </w:r>
      <w:r>
        <w:t xml:space="preserve"> </w:t>
      </w:r>
      <w:r>
        <w:t>Jacó #1</w:t>
      </w:r>
      <w:r>
        <w:t xml:space="preserve">; </w:t>
      </w:r>
      <w:r>
        <w:t>Israel, História de</w:t>
      </w:r>
      <w:r>
        <w:t>.</w:t>
      </w:r>
      <w:r/>
      <w:r/>
    </w:p>
    <w:p>
      <w:r/>
    </w:p>
    <w:p>
      <w:pPr>
        <w:pStyle w:val="Heading2"/>
      </w:pPr>
      <w:r>
        <w:t>Israel, História de</w:t>
      </w:r>
      <w:r/>
    </w:p>
    <w:p>
      <w:r/>
      <w:r>
        <w:t>Um relato do propósito soberano de Deus ao chamar um povo para fora do paganismo e estabelecê-lo como testemunha da verdadeira fé entre as nações, do poder soberano de Deus em protegê-los da extinção, de sua justiça soberana ao lidar com seu afastamento dos caminhos de santidade, da graça soberana de Deus ao perdoar seus pecados e restaurá-los à comunhão com Ele, providenciando através deles um Salvador para o mundo inteiro.</w:t>
      </w:r>
    </w:p>
    <w:p>
      <w:r/>
      <w:r>
        <w:t>Resumo</w:t>
      </w:r>
    </w:p>
    <w:p>
      <w:r/>
      <w:r>
        <w:t>• Era dos patriarcas</w:t>
      </w:r>
    </w:p>
    <w:p>
      <w:r/>
      <w:r>
        <w:t>• Estadia no Egito</w:t>
      </w:r>
    </w:p>
    <w:p>
      <w:r/>
      <w:r>
        <w:t>• O Êxodo</w:t>
      </w:r>
    </w:p>
    <w:p>
      <w:r/>
      <w:r>
        <w:t>• Jornadas no deserto</w:t>
      </w:r>
    </w:p>
    <w:p>
      <w:r/>
      <w:r>
        <w:t>• A conquista</w:t>
      </w:r>
    </w:p>
    <w:p>
      <w:r/>
      <w:r>
        <w:t>• Os juízes</w:t>
      </w:r>
    </w:p>
    <w:p>
      <w:r/>
      <w:r>
        <w:t>• A monarquia unificada</w:t>
      </w:r>
    </w:p>
    <w:p>
      <w:r/>
      <w:r>
        <w:t>• O reino dividido</w:t>
      </w:r>
    </w:p>
    <w:p>
      <w:r/>
      <w:r>
        <w:t>• A restauração</w:t>
      </w:r>
    </w:p>
    <w:p>
      <w:r/>
      <w:r>
        <w:t>• O período intertestamentário</w:t>
      </w:r>
    </w:p>
    <w:p>
      <w:r/>
      <w:r>
        <w:t>• O período romano</w:t>
      </w:r>
    </w:p>
    <w:p>
      <w:pPr>
        <w:pStyle w:val="Heading3"/>
      </w:pPr>
      <w:r>
        <w:t>Era dos patriarcas</w:t>
      </w:r>
    </w:p>
    <w:p>
      <w:r/>
      <w:r>
        <w:t>A história de Israel começa com Abraão, a quem Deus chamou inicialmente em Ur, e talvez mais tarde em Harã (</w:t>
      </w:r>
      <w:hyperlink r:id="rId161">
        <w:r>
          <w:rPr>
            <w:color w:val="0000EE"/>
            <w:u w:val="single"/>
          </w:rPr>
          <w:t>At 7.2–4</w:t>
        </w:r>
      </w:hyperlink>
      <w:r>
        <w:t>), para deixar a Mesopotâmia e ir para uma terra que Deus lhe indicaria. Ao chamar Abraão, Deus fez com ele uma aliança (</w:t>
      </w:r>
      <w:hyperlink r:id="rId162">
        <w:r>
          <w:rPr>
            <w:color w:val="0000EE"/>
            <w:u w:val="single"/>
          </w:rPr>
          <w:t>Gn 12.1–3</w:t>
        </w:r>
      </w:hyperlink>
      <w:r>
        <w:t xml:space="preserve">) que lhe prometeu uma terra, um favor divino especial (“Abençoarei os que o abençoarem e amaldiçoarei os que o amaldiçoarem”, NTLH), e o privilégio de ser um canal de bênção para todo o mundo (“E por meio de você eu abençoarei todos os povos do mundo”, NTLH). Em </w:t>
      </w:r>
      <w:hyperlink r:id="rId11408">
        <w:r>
          <w:rPr>
            <w:color w:val="0000EE"/>
            <w:u w:val="single"/>
          </w:rPr>
          <w:t>Gênesis 12.4–8</w:t>
        </w:r>
      </w:hyperlink>
      <w:r>
        <w:t xml:space="preserve">, Deus confirmou esta aliança incondicional, prometendo a Abraão esta nova terra para sempre, junto com descendentes inumeráveis. Posteriormente, em </w:t>
      </w:r>
      <w:hyperlink r:id="rId790">
        <w:r>
          <w:rPr>
            <w:color w:val="0000EE"/>
            <w:u w:val="single"/>
          </w:rPr>
          <w:t>Gênesis 15.1–21</w:t>
        </w:r>
      </w:hyperlink>
      <w:r>
        <w:t xml:space="preserve">, Deus novamente confirmou a aliança, mas acrescentou a previsão significativa de que a garantia de possuir Canaã perpetuamente não significava ocupação da terra em todas as gerações. Deus também detalhou os limites da Terra Prometida (do rio do Egito até o Eufrates, cerca de 800 a 960 quilômetros de extensão). Uma confirmação final da aliança a Abraão aparece em </w:t>
      </w:r>
      <w:hyperlink r:id="rId11409">
        <w:r>
          <w:rPr>
            <w:color w:val="0000EE"/>
            <w:u w:val="single"/>
          </w:rPr>
          <w:t>Gênesis 17.6–8</w:t>
        </w:r>
      </w:hyperlink>
      <w:r>
        <w:t>. Ela garantiu a terra de Canaã à posteridade de Abraão e acrescentou que reis (uma antecipação da dinastia davídica) surgiriam em sua linhagem. A aliança foi confirmada ao filho de Abraão, Isaque (</w:t>
      </w:r>
      <w:hyperlink r:id="rId28">
        <w:r>
          <w:rPr>
            <w:color w:val="0000EE"/>
            <w:u w:val="single"/>
          </w:rPr>
          <w:t>Gn 26.3–5</w:t>
        </w:r>
      </w:hyperlink>
      <w:r>
        <w:t xml:space="preserve">) e ao seu neto Jacó (cap. </w:t>
      </w:r>
      <w:hyperlink r:id="rId11410">
        <w:r>
          <w:rPr>
            <w:color w:val="0000EE"/>
            <w:u w:val="single"/>
          </w:rPr>
          <w:t>28</w:t>
        </w:r>
      </w:hyperlink>
      <w:r>
        <w:t>).</w:t>
      </w:r>
    </w:p>
    <w:p>
      <w:r/>
      <w:r>
        <w:t xml:space="preserve">Este período é conhecido como a era patriarcal na história hebraica. Os patriarcas foram Abraão, Isaque e Jacó. Eles foram chamados de patriarcas porque eram pais, não apenas de suas famílias imediatas, mas também da família extensa dos hebreus, sobre a qual exerciam um controle paternal. Eles serviam como líderes políticos, legais e espirituais de sua comunidade migratória, cuidando de seus interesses e liderando-os na adoração. Periodicamente, construíam altares nos quais ofereciam sacrifícios. Que a comunidade patriarcal era muito grande pode ser visto em </w:t>
      </w:r>
      <w:hyperlink r:id="rId9807">
        <w:r>
          <w:rPr>
            <w:color w:val="0000EE"/>
            <w:u w:val="single"/>
          </w:rPr>
          <w:t>Gênesis 14.14</w:t>
        </w:r>
      </w:hyperlink>
      <w:r>
        <w:t>, que diz que Abraão tinha 318 homens armados em seu acampamento. Se supusermos que a maioria dos homens era casada e tinha um ou mais filhos, a família extensa total pode ter ultrapassado 1.000 pessoas.</w:t>
      </w:r>
    </w:p>
    <w:p>
      <w:r/>
      <w:r>
        <w:t>Os desenvolvimentos adicionais na vida de Abraão e Jacó foram particularmente importantes para a história mundial. Abraão, frustrado por não ter um herdeiro, aceitou a sugestão de Sara para ter um herdeiro através da escrava Agar (este também era o costume da terra). O filho nascido foi chamado Ismael, progenitor dos árabes. Assim, Abraão é reverenciado por árabes e muçulmanos, bem como por judeus e cristãos. Ele é o pai dos judeus através de seu filho Isaque, filho da promessa. Ele ocupa um lugar especial no cristianismo como exemplo de Cristo, através de quem todos os cristãos obtêm sua salvação.</w:t>
      </w:r>
    </w:p>
    <w:p>
      <w:r/>
      <w:r>
        <w:t>Jacó, um trapaceiro astuto em seus primeiros anos, acabou exilado no norte da Mesopotâmia por 20 anos na casa de seu tio Labão. Lá, ele se casou com Lia e Raquel e teve os filhos que se tornaram os progenitores das 12 tribos de Israel. Em seu retorno à Palestina, ele encontrou Deus às margens do rio Jaboque (</w:t>
      </w:r>
      <w:hyperlink r:id="rId11411">
        <w:r>
          <w:rPr>
            <w:color w:val="0000EE"/>
            <w:u w:val="single"/>
          </w:rPr>
          <w:t>Gn 32</w:t>
        </w:r>
      </w:hyperlink>
      <w:r>
        <w:t>), e Deus mudou seu nome para Israel (“Você lutou com Deus e com os homens e venceu; por isso o seu nome será Israel” NTLH).</w:t>
      </w:r>
    </w:p>
    <w:p>
      <w:r/>
      <w:r>
        <w:t>O período patriarcal em Canaã durou 215 anos. Estima-se que Abraão tenha entrado em Canaã por volta de 2085 a.C., quando tinha 75 anos. Jacó e seus filhos migraram para o Egito para escapar de uma severa fome em Canaã por volta de 1870 a.C. Durante grande parte do período patriarcal, a Palestina experimentou um declínio populacional e foi ocupada em grande parte por tribos nômades ou seminômades. Foi relativamente fácil para os hebreus entrarem nessa situação. Após 1900, a Palestina começou a desfrutar de condições mais estáveis. Pouco tempo depois, os hebreus fizeram a jornada para o Egito.</w:t>
      </w:r>
    </w:p>
    <w:p>
      <w:pPr>
        <w:pStyle w:val="Heading3"/>
      </w:pPr>
      <w:r>
        <w:t>Estadia no Egito</w:t>
      </w:r>
    </w:p>
    <w:p>
      <w:r/>
      <w:r>
        <w:t>Se Jacó e seus filhos entraram no Egito por volta de 1870 a.C., isso ocorreu durante o período do Reino Médio. Naquela época, outros migrantes da Ásia estavam chegando em números crescentes. Os hebreus se estabeleceram em Gósen, na região do delta oriental, sob a proteção de José, que ocupava uma posição na corte egípcia aproximadamente equivalente à de primeiro-ministro. À medida que mais hicsos asiáticos entravam no Egito, eles começaram a tomar conta do país — pelo menos do norte do Egito. Durante esse mesmo período, os hebreus se tornaram cada vez mais numerosos. Alguns que defendem uma cronologia diferente acreditam que os hebreus foram bem recebidos no Egito durante os dias de dominação dos hicsos (após 1750 a.C.). De qualquer forma, por volta de 1580 a.C., príncipes egípcios nativos recuperaram o controle do país e expulsaram muitos dos asiáticos.</w:t>
      </w:r>
    </w:p>
    <w:p>
      <w:r/>
      <w:r>
        <w:t>Com o passar do tempo, surgiu um rei sobre o Egito que "não conhecia José" (</w:t>
      </w:r>
      <w:hyperlink r:id="rId9106">
        <w:r>
          <w:rPr>
            <w:color w:val="0000EE"/>
            <w:u w:val="single"/>
          </w:rPr>
          <w:t>Êx 1.8</w:t>
        </w:r>
      </w:hyperlink>
      <w:r>
        <w:t>). Muito possivelmente, isso significava que uma dinastia egípcia nativa havia surgido no Egito e eles estavam apreensivos com o fato de que o crescente número e riqueza dos hebreus poderiam ameaçar sua própria supremacia. No entanto, as medidas egípcias para subjugar os hebreus e reduzir sua taxa de natalidade tiveram um efeito contrário (</w:t>
      </w:r>
      <w:hyperlink r:id="rId11412">
        <w:r>
          <w:rPr>
            <w:color w:val="0000EE"/>
            <w:u w:val="single"/>
          </w:rPr>
          <w:t>Êx 1.12</w:t>
        </w:r>
      </w:hyperlink>
      <w:r>
        <w:t>). Finalmente, os egípcios ordenaram a morte de todos os bebês hebreus do sexo masculino ao nascer. Entre aqueles que desobedeceram estavam os pais de Moisés, que o colocaram à deriva em um cesto à prova d'água feito de juncos. Encontrado por uma filha do Faraó, ele foi criado na corte egípcia, recebeu uma educação de primeira classe e se tornou um alto funcionário do reino.</w:t>
      </w:r>
    </w:p>
    <w:p>
      <w:r/>
      <w:r>
        <w:t>Aos 40 anos, Moisés se identificou com seu próprio povo. Ele matou um egípcio em defesa de um companheiro hebreu e imediatamente fugiu para a terra de Midiã, na parte nordeste da Península do Sinai. Ele se casou e viveu lá por 40 anos, tornando-se profundamente familiarizado com a geografia e os caminhos do deserto pelo qual mais tarde lideraria os hebreus. Os egípcios continuaram a oprimir severamente o povo hebreu até que clamaram urgentemente a Deus por libertação. Em resposta, Deus confrontou Moisés na famosa experiência da sarça ardente e o chamou para retornar ao Egito e liderar o povo de volta à terra de Canaã (</w:t>
      </w:r>
      <w:hyperlink r:id="rId2379">
        <w:r>
          <w:rPr>
            <w:color w:val="0000EE"/>
            <w:u w:val="single"/>
          </w:rPr>
          <w:t>Êx 3–4</w:t>
        </w:r>
      </w:hyperlink>
      <w:r>
        <w:t>). Ele teria a ajuda de seu irmão, Arão.</w:t>
      </w:r>
    </w:p>
    <w:p>
      <w:pPr>
        <w:pStyle w:val="Heading3"/>
      </w:pPr>
      <w:r>
        <w:t>O Êxodo</w:t>
      </w:r>
    </w:p>
    <w:p>
      <w:r/>
      <w:r>
        <w:t>Compreensivelmente, o Faraó do Egito estava relutante em permitir que os hebreus partissem permanentemente. O valor dessa grande força de trabalho era incalculável. Mas, finalmente, após sofrer uma série de dez pragas, que duraram talvez um ano, os egípcios foram persuadidos a deixar os hebreus irem (</w:t>
      </w:r>
      <w:hyperlink r:id="rId11413">
        <w:r>
          <w:rPr>
            <w:color w:val="0000EE"/>
            <w:u w:val="single"/>
          </w:rPr>
          <w:t>Êx 7–12</w:t>
        </w:r>
      </w:hyperlink>
      <w:r>
        <w:t>).</w:t>
      </w:r>
    </w:p>
    <w:p>
      <w:r/>
      <w:r>
        <w:t>As pragas tinham um propósito teológico e prático. Elas desacreditaram os deuses do Egito e exaltaram o Altíssimo Deus do céu (</w:t>
      </w:r>
      <w:hyperlink r:id="rId11414">
        <w:r>
          <w:rPr>
            <w:color w:val="0000EE"/>
            <w:u w:val="single"/>
          </w:rPr>
          <w:t>Ex 12.12</w:t>
        </w:r>
      </w:hyperlink>
      <w:r>
        <w:t>). As pragas claramente desacreditaram deuses específicos do Egito (por exemplo, o Nilo era adorado como Hapi, praga um; a rã, adorada como Heqt, praga dois; o touro, adorado como Ptah, praga cinco; o sol, adorado como Amon-Re/Aton, praga nove). Juntas, elas deram um golpe direto no panteão egípcio.</w:t>
      </w:r>
    </w:p>
    <w:p>
      <w:r/>
      <w:r>
        <w:t>Pouco antes da última praga, que foi a noite em que o anjo da morte invadiu as casas dos egípcios, os israelitas realizaram o sacrifício da Páscoa conforme as instruções divinas. Isso envolvia matar um cordeiro para cada família (a menos que a família fosse muito pequena; nesse caso, as famílias podiam se unir). Qualquer pessoa que fosse descuidada ao aplicar o sangue no batente da porta ou que rejeitasse essa provisão divina estava sob o julgamento de Deus. Após a morte dos primogênitos em toda a terra, os egípcios imploraram aos hebreus que partissem. O grupo deles contava com 600.000 homens com mais de 20 anos, além de mulheres e crianças, totalizando mais de 2.500.000. Além disso, levaram seus rebanhos, manadas e pertences pessoais.</w:t>
      </w:r>
    </w:p>
    <w:p>
      <w:r/>
      <w:r>
        <w:t xml:space="preserve">A data em que eles deixaram o Egito é um assunto de debate contínuo. Tradicionalmente, uma data em torno de 1446 a.C. é dada para o Êxodo (cf. </w:t>
      </w:r>
      <w:hyperlink r:id="rId5414">
        <w:r>
          <w:rPr>
            <w:color w:val="0000EE"/>
            <w:u w:val="single"/>
          </w:rPr>
          <w:t>1Rs 6.1</w:t>
        </w:r>
      </w:hyperlink>
      <w:r>
        <w:t>, que coloca o Êxodo 480 anos antes do início da construção do templo em 966 a.C.) e 1406 a.C. para a Conquista sob Josué, e não parece haver argumentos convincentes para rejeitar essa posição. No entanto, muitos estudiosos preferem 1275 a.C. por uma variedade de razões.</w:t>
      </w:r>
    </w:p>
    <w:p>
      <w:r/>
      <w:r>
        <w:t>A data inicial do Êxodo situaria os últimos anos das peregrinações no deserto e a subsequente conquista da Palestina durante os reinados de Amenófis III e IV (1412–1366), uma época em que os faraós permitiram que o controle egípcio da Palestina se desintegrasse. Quando os egípcios reafirmaram seu poder, por volta de 1300, restringiram seus movimentos principalmente à área costeira e, assim, não entraram em contato com os hebreus que viviam na região montanhosa da Judeia, Samaria e Galileia.</w:t>
      </w:r>
    </w:p>
    <w:p>
      <w:pPr>
        <w:pStyle w:val="Heading3"/>
      </w:pPr>
      <w:r>
        <w:t>Jornadas no deserto</w:t>
      </w:r>
    </w:p>
    <w:p>
      <w:r/>
      <w:r>
        <w:t>As peregrinações no deserto foram um interlúdio importante na história de Israel. Durante esses anos, instituições significativas e fundamentais surgiram por ordem de Deus. No Sinai, Moisés entregou a Israel a lei, o modelo do tabernáculo (que mais tarde se tornou o modelo para o templo) e ordens para seu funcionamento, além de instruções detalhadas para o sacerdócio e o sistema sacrificial de adoração.</w:t>
      </w:r>
    </w:p>
    <w:p>
      <w:r/>
      <w:r>
        <w:t>O período das peregrinações foi realmente uma época notável. A presença de Deus era evidenciada por uma coluna de nuvem que pairava sobre o povo durante o dia e uma coluna de fogo à noite. Deus providenciou alimento na forma de maná, forneceu água de maneira milagrosa em várias ocasiões e garantiu que as roupas não se desgastassem. Apesar de tudo isso, o povo murmurava e reclamava continuamente.</w:t>
      </w:r>
    </w:p>
    <w:p>
      <w:r/>
      <w:r>
        <w:t>No Sinai, Deus deu a lei (</w:t>
      </w:r>
      <w:hyperlink r:id="rId11415">
        <w:r>
          <w:rPr>
            <w:color w:val="0000EE"/>
            <w:u w:val="single"/>
          </w:rPr>
          <w:t>Êx 19.2–24.18</w:t>
        </w:r>
      </w:hyperlink>
      <w:r>
        <w:t>), e o povo prontamente se comprometeu a cumpri-la (</w:t>
      </w:r>
      <w:hyperlink r:id="rId11416">
        <w:r>
          <w:rPr>
            <w:color w:val="0000EE"/>
            <w:u w:val="single"/>
          </w:rPr>
          <w:t>24.3</w:t>
        </w:r>
      </w:hyperlink>
      <w:r>
        <w:t xml:space="preserve">). Então Deus deu o modelo para o tabernáculo e seus móveis (caps. </w:t>
      </w:r>
      <w:hyperlink r:id="rId10063">
        <w:r>
          <w:rPr>
            <w:color w:val="0000EE"/>
            <w:u w:val="single"/>
          </w:rPr>
          <w:t>25–27</w:t>
        </w:r>
      </w:hyperlink>
      <w:r>
        <w:t xml:space="preserve">, </w:t>
      </w:r>
      <w:hyperlink r:id="rId11417">
        <w:r>
          <w:rPr>
            <w:color w:val="0000EE"/>
            <w:u w:val="single"/>
          </w:rPr>
          <w:t>30–31</w:t>
        </w:r>
      </w:hyperlink>
      <w:r>
        <w:t xml:space="preserve">, </w:t>
      </w:r>
      <w:hyperlink r:id="rId11418">
        <w:r>
          <w:rPr>
            <w:color w:val="0000EE"/>
            <w:u w:val="single"/>
          </w:rPr>
          <w:t>35–40</w:t>
        </w:r>
      </w:hyperlink>
      <w:r>
        <w:t xml:space="preserve">) e estabeleceu o sacerdócio (caps. </w:t>
      </w:r>
      <w:hyperlink r:id="rId11419">
        <w:r>
          <w:rPr>
            <w:color w:val="0000EE"/>
            <w:u w:val="single"/>
          </w:rPr>
          <w:t>28–29</w:t>
        </w:r>
      </w:hyperlink>
      <w:r>
        <w:t xml:space="preserve">). Enquanto Moisés estava na montanha recebendo a revelação de Deus, o povo ficou impaciente e clamou por deuses que pudessem ver. Até mesmo Arão foi levado pela onda idólatra e supervisionou a fundição de um bezerro de ouro e a construção de um altar diante dele. O fato de terem se voltado tão prontamente para a adoração de gado egípcio indica que o paganismo deve ter feito profundas incursões entre eles enquanto estavam em cativeiro (caps. </w:t>
      </w:r>
      <w:hyperlink r:id="rId11420">
        <w:r>
          <w:rPr>
            <w:color w:val="0000EE"/>
            <w:u w:val="single"/>
          </w:rPr>
          <w:t>32–34</w:t>
        </w:r>
      </w:hyperlink>
      <w:r>
        <w:t>). A resposta intercessória de Moisés ao anúncio de Deus de que destruiria Israel por causa de sua idolatria levou a uma determinação divina de executar julgamento apenas sobre os piores infratores (</w:t>
      </w:r>
      <w:hyperlink r:id="rId11421">
        <w:r>
          <w:rPr>
            <w:color w:val="0000EE"/>
            <w:u w:val="single"/>
          </w:rPr>
          <w:t>32.9–14</w:t>
        </w:r>
      </w:hyperlink>
      <w:r>
        <w:t>).</w:t>
      </w:r>
    </w:p>
    <w:p>
      <w:r/>
      <w:r>
        <w:t>Subsequentemente, Deus revelou a ordem legal e sacerdotal (</w:t>
      </w:r>
      <w:hyperlink r:id="rId6963">
        <w:r>
          <w:rPr>
            <w:color w:val="0000EE"/>
            <w:u w:val="single"/>
          </w:rPr>
          <w:t>Lv 1.1–27.34</w:t>
        </w:r>
      </w:hyperlink>
      <w:r>
        <w:t>). Entre as instituições divinamente designadas descritas ou mencionadas em Levítico estão vários dias especiais ou festas, incluindo o Sábado, Páscoa, Festa dos Pães Asmos, Primícias, Pentecostes ou Festa das Semanas, Festa das Trombetas, Dia da Expiação, Festa dos Tabernáculos, o Ano do Sábado e o Ano do Jubileu.</w:t>
      </w:r>
    </w:p>
    <w:p>
      <w:r/>
      <w:r>
        <w:t>Após acampar no Sinai por cerca de um ano, os israelitas receberam ordens para seguir em frente (</w:t>
      </w:r>
      <w:hyperlink r:id="rId10025">
        <w:r>
          <w:rPr>
            <w:color w:val="0000EE"/>
            <w:u w:val="single"/>
          </w:rPr>
          <w:t>Nm 10.11–12</w:t>
        </w:r>
      </w:hyperlink>
      <w:r>
        <w:t xml:space="preserve">). Miriã (irmã de Moisés) e Arão criticaram a liderança de Moisés e sofreram punição divina como consequência (cap. </w:t>
      </w:r>
      <w:hyperlink r:id="rId7438">
        <w:r>
          <w:rPr>
            <w:color w:val="0000EE"/>
            <w:u w:val="single"/>
          </w:rPr>
          <w:t>12</w:t>
        </w:r>
      </w:hyperlink>
      <w:r>
        <w:t>). Quando o povo chegou a Cades-Barneia, a porta de entrada para o sul da Palestina, eles ficaram assustados com o relato da maioria dos espiões que haviam estado em Canaã e decidiram que não deveriam avançar para Canaã. Eles pediram por um novo líder para levá-los de volta ao Egito. Deus declarou que toda a geração vagaria no deserto até que os adultos tivessem morrido. Somente Josué e Calebe (os dois espiões a favor de invadir imediatamente) entrariam na Terra Prometida (</w:t>
      </w:r>
      <w:hyperlink r:id="rId11422">
        <w:r>
          <w:rPr>
            <w:color w:val="0000EE"/>
            <w:u w:val="single"/>
          </w:rPr>
          <w:t>14.26–30</w:t>
        </w:r>
      </w:hyperlink>
      <w:r>
        <w:t>). Perto do fim do período de peregrinação, Moisés também perdeu o privilégio de entrar na terra por um ato de desobediência.</w:t>
      </w:r>
    </w:p>
    <w:p>
      <w:pPr>
        <w:pStyle w:val="Heading3"/>
      </w:pPr>
      <w:r>
        <w:t>A conquista</w:t>
      </w:r>
    </w:p>
    <w:p>
      <w:r/>
      <w:r>
        <w:t>A parte final do livro de Números descreve como Moisés levou os israelitas à vitória sobre os povos que viviam a leste do rio Jordão. Rúben, Gade e a meia-tribo de Manassés solicitaram permissão para se estabelecerem lá e, relutantemente, foram autorizados a fazê-lo com a condição de que se juntassem ao restante dos israelitas na conquista de Canaã antes de se estabelecerem. Antes das vitórias na Transjordânia, foi realizado um novo censo de homens adultos para determinar as capacidades militares de Israel e fornecer uma base para a divisão equitativa da terra que estavam prestes a entrar. O número de homens acima de 20 anos de idade era 601.730 (</w:t>
      </w:r>
      <w:hyperlink r:id="rId4699">
        <w:r>
          <w:rPr>
            <w:color w:val="0000EE"/>
            <w:u w:val="single"/>
          </w:rPr>
          <w:t>Nm 26.51</w:t>
        </w:r>
      </w:hyperlink>
      <w:r>
        <w:t>). O livro de Deuteronômio consiste principalmente em uma série de discursos proferidos por Moisés em uma cerimônia de renovação da aliança nas campinas de Moabe, pouco antes de sua morte e da nomeação de Josué como líder.</w:t>
      </w:r>
    </w:p>
    <w:p>
      <w:r/>
      <w:r>
        <w:t>Josué não perdeu tempo em avançar. Espiões enviados através do Jordão para Jericó relataram uma situação bem diferente da que os hebreus haviam experimentado em Cades-Barneia uma geração antes. Agora, o povo de Canaã estava apavorado porque tinha ouvido falar da força numérica e das vitórias dos hebreus. Aparentemente, no dia seguinte ao retorno dos espiões, Josué moveu o povo para a beira do Jordão e se preparou para atravessar. As águas se abriram para eles ali, assim como o Mar Vermelho havia se aberto anteriormente.</w:t>
      </w:r>
    </w:p>
    <w:p>
      <w:r/>
      <w:r>
        <w:t>A narrativa da conquista no livro de Josué não é um relato detalhado de batalha. Ela descreve um avanço pelo meio da Palestina em torno de Jericó e Ai, uma investida ao sul para derrotar a liga amorita, e uma campanha ao norte contra Hazor e outras cidades. A história de Josué é extremamente condensada, pois a principal ação militar de Josué deve ter durado cerca de seis anos. O amigo de Josué, Calebe, tinha 79 anos quando a Conquista começou e 85 após a última grande batalha com Jabim, rei de Hazor (</w:t>
      </w:r>
      <w:hyperlink r:id="rId11423">
        <w:r>
          <w:rPr>
            <w:color w:val="0000EE"/>
            <w:u w:val="single"/>
          </w:rPr>
          <w:t>Js 14.7–10</w:t>
        </w:r>
      </w:hyperlink>
      <w:r>
        <w:t>).</w:t>
      </w:r>
    </w:p>
    <w:p>
      <w:r/>
      <w:r>
        <w:t>Quando a guerra terminou, fortalezas importantes (e.g., Jerusalém) ainda permaneciam nas mãos do inimigo, mas a terra a oeste do Jordão foi alocada para as nove tribos e meia hebraicas. A tarefa de conquistar as cidades inimigas foi deixada para as tribos individuais em cujas terras elas estavam localizadas. O relato de Josué não era tanto uma narrativa da proeza de batalha dos israelitas, mas sim da fidelidade e intervenção de Deus em favor de seu povo. Por exemplo, em Jericó, eles não atacaram, mas apenas seguiram as ordens divinas e observaram as defesas colapsarem; em Gibeão, pedras de granizo mataram mais amorreus do que os soldados israelitas (</w:t>
      </w:r>
      <w:hyperlink r:id="rId11424">
        <w:r>
          <w:rPr>
            <w:color w:val="0000EE"/>
            <w:u w:val="single"/>
          </w:rPr>
          <w:t>Js 10.7–11</w:t>
        </w:r>
      </w:hyperlink>
      <w:r>
        <w:t>).</w:t>
      </w:r>
    </w:p>
    <w:p>
      <w:pPr>
        <w:pStyle w:val="Heading3"/>
      </w:pPr>
      <w:r>
        <w:t>Os juízes</w:t>
      </w:r>
    </w:p>
    <w:p>
      <w:r/>
      <w:r>
        <w:t>Josué morreu cerca de 30 anos após ter conduzido os hebreus a Canaã e foi sucedido por uma série de líderes designados divinamente que governaram, às vezes, sobre todo o Israel como uma confederação frouxa e, em outras ocasiões, sobre uma ou mais tribos. Eles eram juízes, funcionários civis e líderes militares simultaneamente.</w:t>
      </w:r>
    </w:p>
    <w:p>
      <w:r/>
      <w:r>
        <w:t>O livro de Juízes retrata uma série de ciclos recorrentes: afastamento de Deus, punição na forma de opressão por tribos vizinhas, clamores a Deus por alívio, libertação da escravidão sob a liderança de um juiz e um período de descanso da opressão.</w:t>
      </w:r>
    </w:p>
    <w:p>
      <w:r/>
      <w:r>
        <w:t>O estabelecimento da cronologia dos juízes é um dos problemas mais complexos das Escrituras. Somando todos os anos de opressão e descanso mencionados no livro, obtém-se um total de 410 anos. O livro de Atos menciona um total de 450 anos desde os dias de Josué até Samuel (</w:t>
      </w:r>
      <w:hyperlink r:id="rId10532">
        <w:r>
          <w:rPr>
            <w:color w:val="0000EE"/>
            <w:u w:val="single"/>
          </w:rPr>
          <w:t>At 13.19</w:t>
        </w:r>
      </w:hyperlink>
      <w:r>
        <w:t>). A diferença em Atos pode ser explicada pela adição dos 40 anos do ministério de Eli (</w:t>
      </w:r>
      <w:hyperlink r:id="rId11425">
        <w:r>
          <w:rPr>
            <w:color w:val="0000EE"/>
            <w:u w:val="single"/>
          </w:rPr>
          <w:t>1Sm 4.18</w:t>
        </w:r>
      </w:hyperlink>
      <w:r>
        <w:t>). Considerando 410 anos para o período dos juízes, cerca de 30 anos para a Conquista até os juízes, e 40 anos para as andanças no deserto, isso totaliza 480 anos a partir de 1050 a.C., a data para o reinado de Saul, resultando em uma data de cerca de 1530 para o Êxodo. Isso é cerca de 100 anos a mais do que até mesmo a data mais antiga para o Êxodo. A explicação mais provável é que há alguma sobreposição nas opressões e nos períodos dos juízes. Por exemplo, as atividades de Jefté estavam centradas na fronteira oriental, as de Sansão na planície filisteia ao sudoeste, e as de Débora e Baraque no norte.</w:t>
      </w:r>
    </w:p>
    <w:p>
      <w:pPr>
        <w:pStyle w:val="Heading3"/>
      </w:pPr>
      <w:r>
        <w:t>A monarquia unificada</w:t>
      </w:r>
    </w:p>
    <w:p>
      <w:r/>
      <w:r>
        <w:t>Devido à fraqueza de Israel resultante da desunião política e da inépcia e corrupção dos filhos de Eli e Samuel, o povo de Israel pediu um rei para governá-los. Essa demanda foi, na realidade, uma rejeição ao plano divino da teocracia — o governo de Deus. Deus atendeu ao desejo dos hebreus, mas os advertiu sobre as desvantagens da monarquia (</w:t>
      </w:r>
      <w:hyperlink r:id="rId11426">
        <w:r>
          <w:rPr>
            <w:color w:val="0000EE"/>
            <w:u w:val="single"/>
          </w:rPr>
          <w:t>1Sm 8.9–21</w:t>
        </w:r>
      </w:hyperlink>
      <w:r>
        <w:t xml:space="preserve">). O conceito de realeza não era novo para Israel. Já havia sido mencionado em </w:t>
      </w:r>
      <w:hyperlink r:id="rId4733">
        <w:r>
          <w:rPr>
            <w:color w:val="0000EE"/>
            <w:u w:val="single"/>
          </w:rPr>
          <w:t>Gênesis 49.10</w:t>
        </w:r>
      </w:hyperlink>
      <w:r>
        <w:t xml:space="preserve"> e </w:t>
      </w:r>
      <w:hyperlink r:id="rId2807">
        <w:r>
          <w:rPr>
            <w:color w:val="0000EE"/>
            <w:u w:val="single"/>
          </w:rPr>
          <w:t>Números 24.17</w:t>
        </w:r>
      </w:hyperlink>
      <w:r>
        <w:t xml:space="preserve">, e Moisés havia feito algumas declarações muito claras sobre isso em </w:t>
      </w:r>
      <w:hyperlink r:id="rId11427">
        <w:r>
          <w:rPr>
            <w:color w:val="0000EE"/>
            <w:u w:val="single"/>
          </w:rPr>
          <w:t>Deuteronômio 17.14–20</w:t>
        </w:r>
      </w:hyperlink>
      <w:r>
        <w:t>.</w:t>
      </w:r>
    </w:p>
    <w:p>
      <w:r/>
      <w:r>
        <w:t>A primeira fase da monarquia hebraica é comumente chamada de monarquia unida porque todo Israel era governado por um único rei. Este período durou 120 anos, abrangendo os reinados de 40 anos de Saul (</w:t>
      </w:r>
      <w:hyperlink r:id="rId3432">
        <w:r>
          <w:rPr>
            <w:color w:val="0000EE"/>
            <w:u w:val="single"/>
          </w:rPr>
          <w:t>At 13.21</w:t>
        </w:r>
      </w:hyperlink>
      <w:r>
        <w:t>), Davi (</w:t>
      </w:r>
      <w:hyperlink r:id="rId11428">
        <w:r>
          <w:rPr>
            <w:color w:val="0000EE"/>
            <w:u w:val="single"/>
          </w:rPr>
          <w:t>2Sm 5.5</w:t>
        </w:r>
      </w:hyperlink>
      <w:r>
        <w:t>) e Salomão (</w:t>
      </w:r>
      <w:hyperlink r:id="rId6224">
        <w:r>
          <w:rPr>
            <w:color w:val="0000EE"/>
            <w:u w:val="single"/>
          </w:rPr>
          <w:t>1Rs 11.42</w:t>
        </w:r>
      </w:hyperlink>
      <w:r>
        <w:t>).</w:t>
      </w:r>
    </w:p>
    <w:p>
      <w:r/>
      <w:r>
        <w:t>O povo pediu por um rei, e Deus lhes concedeu um, mas não como os das nações vizinhas. O rei hebreu deveria ser um homem que seguisse os mandamentos de Deus em sua vida pública e privada, que não se intrometesse nos assuntos do sacerdócio e que não caísse na idolatria, mas exercesse toda sua influência para manter o povo fiel a Deus. Se ele falhasse em qualquer um desses aspectos, corria o risco de ser deposto por Deus, de ter sua linhagem encerrada ou até mesmo de ver o povo cair em cativeiro sob o poder de uma nação estrangeira. Tudo isso deve ser levado em consideração ao avaliar os reinados de Saul, Davi, Salomão e os reis da monarquia dividida.</w:t>
      </w:r>
    </w:p>
    <w:p>
      <w:r/>
      <w:r>
        <w:t>Saul começou bem. Ele obteve uma grande vitória sobre os amonitas em Jabes-Gileade e demonstrou considerável sabedoria em questões administrativas. No entanto, após cerca de dois anos, ele usurpou o ofício do sacerdote para oferecer sacrifício, o que trouxe a previsão divina de que seu reino seria tirado dele (</w:t>
      </w:r>
      <w:hyperlink r:id="rId11429">
        <w:r>
          <w:rPr>
            <w:color w:val="0000EE"/>
            <w:u w:val="single"/>
          </w:rPr>
          <w:t>1Sm 13.8–14</w:t>
        </w:r>
      </w:hyperlink>
      <w:r>
        <w:t>). Ele continuaria a desfrutar de grandes vitórias militares e habilidade como governante até aproximadamente a metade de seu reinado.</w:t>
      </w:r>
    </w:p>
    <w:p>
      <w:r/>
      <w:r>
        <w:t>Após a desobediência de Saul ao comando de Deus para destruir totalmente os amalequitas, o Senhor rejeitou Saul e instruiu Samuel a ungir Davi em particular como futuro rei de Israel. A ascensão de Davi à proeminência foi impulsionada por sua vitória sobre Golias e a derrota dos filisteus que a acompanhou. Mais tarde, Saul nomeou Davi comandante do exército, e o jovem logo ganhou uma reputação maior do que a do próprio rei. Saul, que havia se tornado cada vez mais mentalmente perturbado após seu relacionamento com Deus ser rompido, começou a fazer tentativas contra a vida de Davi, e nos últimos anos do reinado de Saul, Davi viveu como fugitivo. Enquanto isso, os filisteus saíram completamente de controle e finalmente mataram Saul e a maioria de seus filhos na grande batalha do Monte Gilboa, o que deu aos filisteus o controle sobre grande parte da Palestina a oeste do Jordão (</w:t>
      </w:r>
      <w:hyperlink r:id="rId9553">
        <w:r>
          <w:rPr>
            <w:color w:val="0000EE"/>
            <w:u w:val="single"/>
          </w:rPr>
          <w:t>1Sm 31.1–7</w:t>
        </w:r>
      </w:hyperlink>
      <w:r>
        <w:t>).</w:t>
      </w:r>
    </w:p>
    <w:p>
      <w:r/>
      <w:r>
        <w:t>Logo, Davi se tornou rei em Judá, com sua capital em Hebrom. Um filho de Saul, Isbosete, se estabeleceu em Maanaim, a leste do Jordão. Durante sete anos, os dois pequenos reinos existiram lado a lado (</w:t>
      </w:r>
      <w:hyperlink r:id="rId11430">
        <w:r>
          <w:rPr>
            <w:color w:val="0000EE"/>
            <w:u w:val="single"/>
          </w:rPr>
          <w:t>2Sm 2.2–11</w:t>
        </w:r>
      </w:hyperlink>
      <w:r>
        <w:t>). Mas, depois que o rei israelita e seu comandante do exército foram assassinados, Davi se tornou governante de um reino hebreu unificado.</w:t>
      </w:r>
    </w:p>
    <w:p>
      <w:r/>
      <w:r>
        <w:t>Não muito tempo após o início de seu reinado (1010–970 a.C.), Davi derrotou completamente e subjugou os filisteus. Logo depois, ele capturou Jerusalém, tornando-a a capital do reino unido. Nos anos seguintes, Davi construiu um império (</w:t>
      </w:r>
      <w:hyperlink r:id="rId11431">
        <w:r>
          <w:rPr>
            <w:color w:val="0000EE"/>
            <w:u w:val="single"/>
          </w:rPr>
          <w:t>2Sm 8.10</w:t>
        </w:r>
      </w:hyperlink>
      <w:r>
        <w:t xml:space="preserve">; </w:t>
      </w:r>
      <w:hyperlink r:id="rId11432">
        <w:r>
          <w:rPr>
            <w:color w:val="0000EE"/>
            <w:u w:val="single"/>
          </w:rPr>
          <w:t>1Cr 18–19</w:t>
        </w:r>
      </w:hyperlink>
      <w:r>
        <w:t>), conquistando Moabe, Edom, Damasco, Zobá e Amom, de modo que ele controlava o território desde o Golfo de Ácaba (um braço do Mar Vermelho) e o Sinai no sul quase até o Eufrates no norte. Além disso, ele estabeleceu boas relações, se não uma aliança, com Tiro. O estabelecimento do império de Davi foi possível devido a um vácuo de poder no Oriente Médio. Os egípcios, micênicos, hititas e assírios estavam decadentes ou afastados do palco da história. Os fenícios, um povo comercial pacífico, também estavam livres para expandir seu comércio e ficaram felizes em vender cedro para Davi para seu palácio e o templo.</w:t>
      </w:r>
    </w:p>
    <w:p>
      <w:r/>
      <w:r>
        <w:t>Sem dúvida, Davi foi o maior rei de Israel. Jerusalém passou a ser conhecida como a cidade de Davi. Quando o rei quis construir o templo como a casa de Deus, Deus respondeu que seu filho deveria fazê-lo. Mas Deus, de uma forma muito real, construiria a casa de Davi; Ele fez uma aliança com Davi, prometendo-lhe que sua casa (dinastia, reino, trono) seria estabelecida para sempre (</w:t>
      </w:r>
      <w:hyperlink r:id="rId6589">
        <w:r>
          <w:rPr>
            <w:color w:val="0000EE"/>
            <w:u w:val="single"/>
          </w:rPr>
          <w:t>2Sm 7</w:t>
        </w:r>
      </w:hyperlink>
      <w:r>
        <w:t xml:space="preserve">). Cristo, o Eterno que veio da linhagem de Davi, foi o único capaz de cumprir essa promessa divina (veja </w:t>
      </w:r>
      <w:hyperlink r:id="rId11433">
        <w:r>
          <w:rPr>
            <w:color w:val="0000EE"/>
            <w:u w:val="single"/>
          </w:rPr>
          <w:t>Lc 1.31–33</w:t>
        </w:r>
      </w:hyperlink>
      <w:r>
        <w:t xml:space="preserve">; </w:t>
      </w:r>
      <w:hyperlink r:id="rId11434">
        <w:r>
          <w:rPr>
            <w:color w:val="0000EE"/>
            <w:u w:val="single"/>
          </w:rPr>
          <w:t>At 2.29–36</w:t>
        </w:r>
      </w:hyperlink>
      <w:r>
        <w:t xml:space="preserve">; </w:t>
      </w:r>
      <w:hyperlink r:id="rId11435">
        <w:r>
          <w:rPr>
            <w:color w:val="0000EE"/>
            <w:u w:val="single"/>
          </w:rPr>
          <w:t>13.32–39</w:t>
        </w:r>
      </w:hyperlink>
      <w:r>
        <w:t xml:space="preserve">; </w:t>
      </w:r>
      <w:hyperlink r:id="rId11436">
        <w:r>
          <w:rPr>
            <w:color w:val="0000EE"/>
            <w:u w:val="single"/>
          </w:rPr>
          <w:t>15.14–17</w:t>
        </w:r>
      </w:hyperlink>
      <w:r>
        <w:t>).</w:t>
      </w:r>
    </w:p>
    <w:p>
      <w:r/>
      <w:r>
        <w:t>Como outros monarcas orientais, Davi adotou a prática de manter um harém. As escrituras mencionam 8 esposas e 21 filhos, além de outras esposas e concubinas. Essa situação gerou rivalidades familiares e questões sobre a sucessão ao trono. Dois filhos, Absalão e Adonias, tentaram conquistar o trono, mas ambos os esforços foram frustrados. Salomão, filho da esposa favorita de Davi, Bate-Seba, tornou-se o próximo rei.</w:t>
      </w:r>
    </w:p>
    <w:p>
      <w:r/>
      <w:r>
        <w:t>Salomão (970–930 a.C.) foi um homem de paz e um construtor de palácios, cidades, fortificações e do templo. Ele fortificou cidades por todo o seu reino e equipou cidades para suas unidades de carros de combate e cavalaria. Com a ajuda dos fenícios, ele construiu um porto e manteve uma frota em Eziom-Geber, perto da moderna Eilat no Golfo de Ácaba. Ele ampliou grandemente Jerusalém ao cercar a área do templo ao norte da cidade de Davi e a colina sudoeste agora conhecida como Sião. Seu projeto mais conhecido foi o templo, que levou sete anos para ser construído. Com o dobro do tamanho do tabernáculo, foi construído no mesmo plano básico; media 27,4 metros de comprimento e 9,1 metros de largura e tinha adornos magníficos. Mas ele também construiu um complexo de palácios que levou 13 anos para ser concluído. Isso incluía um arsenal, uma sala do trono, a residência privada do rei e uma casa para a filha do faraó.</w:t>
      </w:r>
    </w:p>
    <w:p>
      <w:r/>
      <w:r>
        <w:t>Aparentemente muito influenciado pelo testemunho espiritual de Davi e desejando a bênção de Deus sobre seu governo, Salomão fez um grande sacrifício a Deus em Gibeão, perto do início de seu reinado. Deus o encontrou lá e ofereceu conceder o que ele desejasse. Salomão pediu entendimento e sabedoria para governar o povo de Deus (</w:t>
      </w:r>
      <w:hyperlink r:id="rId5645">
        <w:r>
          <w:rPr>
            <w:color w:val="0000EE"/>
            <w:u w:val="single"/>
          </w:rPr>
          <w:t>1Rs 3.9</w:t>
        </w:r>
      </w:hyperlink>
      <w:r>
        <w:t>). Sua sabedoria dada por Deus é evidente em muitas decisões administrativas, políticas oficiais e planos de construção.</w:t>
      </w:r>
    </w:p>
    <w:p>
      <w:r/>
      <w:r>
        <w:t>Infelizmente, Salomão não demonstrou tanta sabedoria ao manter um harém de 700 esposas e 300 concubinas, ou ao realizar gastos excessivos que deixaram o estado em sérias dificuldades financeiras. Ele até ergueu locais de culto para suas esposas estrangeiras, subsidiando assim suas idolatrias e incorrendo na ira de Deus. De fato, as esposas estrangeiras e sua idolatria provaram ser sua ruína; antes de Salomão morrer, Deus informou-lhe que, por essa razão, ele dividiria o reino após sua morte e daria a maior parte a alguém que não fosse o filho de Salomão. Mas, por causa de Davi, Deus manteria Judá e Jerusalém nas mãos da linhagem davídica (</w:t>
      </w:r>
      <w:hyperlink r:id="rId11437">
        <w:r>
          <w:rPr>
            <w:color w:val="0000EE"/>
            <w:u w:val="single"/>
          </w:rPr>
          <w:t>1Rs 11.9–13</w:t>
        </w:r>
      </w:hyperlink>
      <w:r>
        <w:t>).</w:t>
      </w:r>
    </w:p>
    <w:p>
      <w:pPr>
        <w:pStyle w:val="Heading3"/>
      </w:pPr>
      <w:r>
        <w:t>O reino dividido</w:t>
      </w:r>
    </w:p>
    <w:p>
      <w:r/>
      <w:r>
        <w:t>Após a morte de Salomão, o Oriente Próximo estava destinado a se tornar um lugar muito diferente. Israel não estava mais em um vácuo de poder. O Império Assírio surgiu na Mesopotâmia, seguido pelos Impérios Neo-Babilônico e Medo-Persa. O Egito foi temporariamente poderoso no sul, mas mais tarde ficaria sob o controle da Assíria e Medo-Pérsia. Esses impérios exerceram grande pressão sobre Israel e dominaram um ou ambos os reinos hebraicos.</w:t>
      </w:r>
    </w:p>
    <w:p>
      <w:r/>
      <w:r>
        <w:t>Quando Salomão morreu, seu filho Roboão assumiu o trono e teve que lidar com uma crescente onda de ressentimento devido aos altos impostos e à estagnação econômica dos últimos anos de Salomão. Quando Roboão se recusou a oferecer alívio, todas as tribos do norte se separaram e formaram o reino do norte, Israel, sob a liderança de Jeroboão. O reino do sul, Judá, ficou apenas com o território de Judá e Benjamim. Um total de 20 reis governou em cada um dos reinos separados. Enquanto o norte teve várias dinastias e os reinados dos reis foram geralmente curtos, no sul a dinastia de Davi continuou a governar e os reinados foram mais longos.</w:t>
      </w:r>
    </w:p>
    <w:p>
      <w:pPr>
        <w:pStyle w:val="Heading4"/>
      </w:pPr>
      <w:r>
        <w:t>O reino do norte</w:t>
      </w:r>
    </w:p>
    <w:p>
      <w:r/>
      <w:r>
        <w:t>O reino do norte existiu desde a divisão em 930 a.C. até sua conquista pela Assíria em 722. Jeroboão, temendo perder a lealdade do povo se eles continuassem indo a Jerusalém para adorar, estabeleceu uma nova religião própria. Instituindo a adoração de bezerros, ele construiu santuários em Dã, no norte, e Betel, no sul. Essa idolatria atraiu a condenação de Deus e cumpriu a previsão de que a linhagem de Jeroboão seria exterminada. Diz-se que todos os seus sucessores seguiram seus passos idólatras. Israel esteve em guerra durante grande parte de sua história — com Judá, Síria ou Assíria. Jeroboão estabeleceu sua capital primeiro em Siquém e depois em Tirza.</w:t>
      </w:r>
    </w:p>
    <w:p>
      <w:r/>
      <w:r>
        <w:t>Quatro outros reis do norte merecem um comentário especial: Onri, Acabe, Jeú e Jeroboão II. Onri (885–874 a.C.) deve ter sido um governante impressionante. Gerações depois, os assírios ainda se referiam a Israel como a terra de Onri. Após se firmar no trono, ele estabeleceu a capital permanente do reino em Samaria e iniciou o complexo do palácio lá. No início de seu reinado, ele teve sucesso em conquistar Moabe e, mais tarde, restabeleceu as boas relações com Tiro que existiam nos dias de Davi e Salomão. Aparentemente, ele formou uma aliança completa e a consolidou com o casamento de seu filho Acabe com Jezabel, uma princesa de Tiro.</w:t>
      </w:r>
    </w:p>
    <w:p>
      <w:r/>
      <w:r>
        <w:t>Acabe (874–853 a.C.) foi um dos reis mais significativos de Israel. Ele e sua esposa, Jezabel, promoveram a idolatria vil do culto a Baal com sua prostituição religiosa, despertando a poderosa oposição do profeta Elias. Acabe foi um militar formidável, derrotando os sírios em grandes campanhas e participando de uma coalizão que lutou contra os assírios até um impasse virtual. Ele também construiu extensivamente em Samaria, Hazor, Megido e outras cidades, como mostram as escavações.</w:t>
      </w:r>
    </w:p>
    <w:p>
      <w:r/>
      <w:r>
        <w:t>Jeú (841–814 a.C.) foi o agente de Deus para punir a casa de Onri e destruir o culto a Baal em Israel. Ele erradicou o culto a Baal e eliminou literalmente dezenas de parentes e oficiais da corte de Acabe. No entanto, ele foi tão implacável que acabou eliminando pessoas que sabiam como administrar o governo; consequentemente, ele não governou bem. Jeú também foi forçado a se tornar um vassalo da Assíria.</w:t>
      </w:r>
    </w:p>
    <w:p>
      <w:r/>
      <w:r>
        <w:t>Jeroboão II governou durante a maior parte da primeira metade do século VIII (793–753 a.C.) e levou o reino à sua maior extensão e prosperidade. Ele, junto com seu contemporâneo Uzias no sul, governou a maior parte das terras que Davi havia controlado. Isso foi possível porque os assírios estavam em um período de declínio durante a maior parte da primeira metade do século.</w:t>
      </w:r>
    </w:p>
    <w:p>
      <w:r/>
      <w:r>
        <w:t>Os profetas que atuaram durante a história do reino do norte incluem os profetas não escritores Elias e Eliseu, e os profetas escritores Jonas, Amós e Oseias.</w:t>
      </w:r>
    </w:p>
    <w:p>
      <w:pPr>
        <w:pStyle w:val="Heading4"/>
      </w:pPr>
      <w:r>
        <w:t>O reino do sul</w:t>
      </w:r>
    </w:p>
    <w:p>
      <w:r/>
      <w:r>
        <w:t>A história do reino do sul de Judá foi bastante diferente da do reino do norte. O templo estava lá, assim como um grande número de levitas, muitos dos quais vieram para o sul após a divisão do reino para protestar contra a idolatria do norte. Além dessa força espiritual, havia maior estabilidade política e unidade, promovidas pelo fato de que apenas duas tribos — Judá e Benjamim — compartilhavam o poder, e todos os reis eram da dinastia davídica. Além disso, oito dos reis foram bons monarcas. Houve também avivamentos religiosos periódicos. Deus concedeu ao reino do sul cerca de 100 anos a mais de existência do que ao norte. No entanto, Judá também caiu na idolatria e foi levada ao cativeiro por seus pecados.</w:t>
      </w:r>
    </w:p>
    <w:p>
      <w:r/>
      <w:r>
        <w:t>Roboão, o primeiro rei do sul, é especialmente lembrado por se recusar a ouvir conselhos sábios sobre questões fiscais, o que levou à divisão do reino. Ele também é conhecido por suas políticas religiosas. Após um bom começo, ele permitiu que a apostasia se descontrolasse, trazendo o julgamento de Deus na forma de uma invasão em seu quinto ano (926 a.C.) por Sisaque I do Egito, resultando em pilhagem extensa e pagamento de tributo. Depois disso, ele iniciou um extenso programa para fortificar o reino. A invasão de Sisaque teve o efeito de provocar uma reforma espiritual parcial e temporária, mas a tendência geral do reinado de Roboão foi de declínio.</w:t>
      </w:r>
    </w:p>
    <w:p>
      <w:r/>
      <w:r>
        <w:t>As condições durante o reinado de seu filho, Abias, foram piores, mas Asa (910–869 a.C.) iniciou uma reforma religiosa que foi eficaz na maior parte de seu reinado. No entanto, quando ameaçado pelo reino do norte em seus últimos anos, Asa recorreu à Síria em busca de ajuda em vez de confiar em Deus, e parece ter desafiado os profetas de Deus até o dia de sua morte.</w:t>
      </w:r>
    </w:p>
    <w:p>
      <w:r/>
      <w:r>
        <w:t>O filho de Asa, Josafá (872–848 a.C.), aparentemente foi influenciado pela devoção religiosa inicial de seu pai, e seu reinado foi caracterizado pela fidelidade, ganhando o favor de Deus. No entanto, ele parece ter feito uma aliança completa com Acabe de Israel, o que resultou no casamento de seu filho Jeorão com Atalia, filha de Acabe. Essa aliança envolveu Josafá em empreendimentos conjuntos quase desastrosos com Acabe, e mais tarde com dois de seus filhos quando se tornaram reis de Israel. Também abriu a porta para a introdução do culto a Baal em Judá quando Jeorão subiu ao trono no reino do sul. Por seu pecado, Jeorão (853–841 a.C.) sofreu revolta interna, invasão e morte por uma doença terrível.</w:t>
      </w:r>
    </w:p>
    <w:p>
      <w:r/>
      <w:r>
        <w:t>Após sua morte, seu último filho restante, Acazias, governou por menos de um ano, seguindo os caminhos perversos de seu pai. Quando Acazias morreu em batalha, a rainha-mãe, Atalia, decidiu tomar o trono para si e garantir seu poder matando todos que estavam na linha de sucessão. Mas ela não encontrou o filho bebê de Acazias, Joás, que foi mantido escondido no templo por seis anos.</w:t>
      </w:r>
    </w:p>
    <w:p>
      <w:r/>
      <w:r>
        <w:t>Quando Joás tinha sete anos, Joiada, o sumo sacerdote, organizou sua coroação e também a execução da assassina e idólatra Atalia. Durante seus primeiros anos, quando Joás era influenciado por bons conselhos, ele se saiu bem. Mas após a metade de seu reinado (835–796 a.C.), ele começou a ouvir os príncipes que queriam restaurar a idolatria, e as condições se deterioraram. Reveses militares trouxeram declínio econômico e, por fim, o assassinato do rei.</w:t>
      </w:r>
    </w:p>
    <w:p>
      <w:r/>
      <w:r>
        <w:t>Seu filho Amazias (796–767 a.C.) começou bem com a vitória sobre Edom e sua fidelidade a Deus. No entanto, ele também caiu na idolatria e foi completamente derrotado pelo reino do norte, sendo mantido prisioneiro lá. Nesse ponto, seu filho Uzias assumiu (c. 792 a.C.) e iniciou um reinado longo e em geral bem-sucedido. Durante as várias décadas que se seguiram, a Assíria estava em declínio, e Uzias, junto com seu contemporâneo no norte, Jeroboão II, conseguiu expandir as posses hebraicas de modo que, entre eles, controlavam a maior parte do território que Salomão havia governado.</w:t>
      </w:r>
    </w:p>
    <w:p>
      <w:r/>
      <w:r>
        <w:t>Uzias (792–740 a.C.) conseguiu restaurar rapidamente o poder de Judá após a derrota de seu pai por Israel. Em seguida, ele subjugou os filisteus no sudoeste e os amonitas do outro lado do Jordão; ele fortaleceu seu domínio sobre os edomitas. Durante todo o seu reinado, as condições econômicas melhoraram. Mas, no auge de seu poder, Uzias imprudentemente violou as prerrogativas do sumo sacerdote e ofereceu sacrifício no templo. Por isso, ele foi acometido de lepra; seu filho Jotão foi co-regente durante os anos 750–740 a.C., passando a governar sozinho por cerca de cinco anos mais. Enquanto isso, o poder assírio ressurgiu.</w:t>
      </w:r>
    </w:p>
    <w:p>
      <w:r/>
      <w:r>
        <w:t>De modo geral, Jotão apenas continuou as políticas de Uzias. No entanto, a administração de seu filho Acaz (735–715 a.C.) foi fortemente impactada pela ameaça assíria. Israel e Síria queriam que ele se juntasse à guerra contra a Assíria, mas ele recusou, sendo simpático à Assíria. Quando Israel e Síria invadiram Judá, o Rei Acaz enviou tributo à Assíria e tornou-se seu vassalo em troca de proteção. Essa decisão precipitada foi veementemente contestada por Isaías, que era profeta na corte (c. 740–700 a.C.). Ao mesmo tempo, o profeta Miquéias ministrava ao povo comum de Judá. A política pró-assíria de Acaz foi acompanhada por uma renovada simpatia pela idolatria, o que trouxe o julgamento de Deus na forma de invasões por edomitas e filisteus e problemas com a Assíria. De fato, durante este período, a Assíria anexou o reino do norte (722 a.C.) e deportou muitos de seus habitantes para o cativeiro.</w:t>
      </w:r>
    </w:p>
    <w:p>
      <w:r/>
      <w:r>
        <w:t>O próximo rei de Judá, Ezequias (715–686 a.C.), foi profundamente impactado pela queda de Israel devido aos seus pecados, e ele decidiu implementar uma reforma em seu reino. Ele também era contra os assírios, mas não ousou interromper os pagamentos de tributo e lutar pela independência até que Senaqueribe subisse ao trono em Nínive em 705 a.C. No início, Senaqueribe estava muito ocupado para se preocupar com Judá, mas finalmente em 701 ele invadiu. Apesar do tremendo sucesso inicial, ele foi detido por uma praga enviada divinamente (</w:t>
      </w:r>
      <w:hyperlink r:id="rId8867">
        <w:r>
          <w:rPr>
            <w:color w:val="0000EE"/>
            <w:u w:val="single"/>
          </w:rPr>
          <w:t>Is 36–39</w:t>
        </w:r>
      </w:hyperlink>
      <w:r>
        <w:t>). Isaías esteve ao lado do rei para tranquilizá-lo e apoiá-lo durante esta emergência.</w:t>
      </w:r>
    </w:p>
    <w:p>
      <w:r/>
      <w:r>
        <w:t>O filho de Ezequias, Manassés (697–642 a.C.), governou por mais tempo do que qualquer outro rei de Israel ou Judá. Infelizmente, ele se afastou do exemplo de seu pai e levou o povo a cair em grosseira idolatria (</w:t>
      </w:r>
      <w:hyperlink r:id="rId11438">
        <w:r>
          <w:rPr>
            <w:color w:val="0000EE"/>
            <w:u w:val="single"/>
          </w:rPr>
          <w:t>2Rs 21.9</w:t>
        </w:r>
      </w:hyperlink>
      <w:r>
        <w:t>). Levado cativo pelos assírios no final de seu reinado, ele se arrependeu de seus erros e Deus o restaurou ao seu trono; depois disso, ele liderou algumas reformas. Mas a terra estava muito mergulhada na iniquidade para ser resgatada. Seu filho Amom (642–640 a.C.) voltou à idolatria que conheceu em sua juventude.</w:t>
      </w:r>
    </w:p>
    <w:p>
      <w:r/>
      <w:r>
        <w:t>A situação foi diferente com Josias (640–609 a.C.), no entanto. Durante todo o seu reinado, ele se dedicou à reforma. Ele procurou erradicar a idolatria e restaurar o templo e seu culto. Em 622 a.C., o Livro da Lei foi encontrado durante a reparação do templo, e suas exigências — que haviam sido esquecidas — causaram uma grande impressão tanto no rei quanto no povo. É certo que Jeremias e Sofonias ministraram durante o reinado de Josias, assim como Naum e Habacuque (muito provavelmente).</w:t>
      </w:r>
    </w:p>
    <w:p>
      <w:r/>
      <w:r>
        <w:t>As condições internacionais estavam mudando rapidamente. A Assíria estava em declínio, e Nínive caiu diante da Babilônia e os Medos em 612 a.C. Três anos depois, o Faraó Neco do Egito marchou para o norte para ajudar seu aliado assírio. Quando Josias tentou detê-lo, foi morto em batalha.</w:t>
      </w:r>
    </w:p>
    <w:p>
      <w:r/>
      <w:r>
        <w:t>A partir deste ponto, tudo foi ladeira abaixo para Judá. Nenhum dos reis restantes era devoto, e o poder político e a saúde econômica declinaram rapidamente. O povo colocou um dos filhos de Josias, Jeoás, no trono. Ele durou três meses. Faraó Neco o substituiu por Jeoaquim (609–598 a.C.), outro filho de Josias. Em 605, Nabucodonosor da Babilônia derrotou Neco, invadiu Judá e tomou tributo e reféns de Jeoaquim, incluindo Daniel e seus amigos (</w:t>
      </w:r>
      <w:hyperlink r:id="rId11439">
        <w:r>
          <w:rPr>
            <w:color w:val="0000EE"/>
            <w:u w:val="single"/>
          </w:rPr>
          <w:t>Dn 1.1</w:t>
        </w:r>
      </w:hyperlink>
      <w:r>
        <w:t>). Jeoaquim se revoltou em 600 a.C., mas Nabucodonosor não veio lidar com ele pessoalmente até 597 a.C. Ele morreu antes que os babilônios chegassem, e seu filho Joaquim subiu ao trono em 598 a.C. para governar por apenas três meses antes de os babilônios o levarem para o exílio. Ezequiel estava entre os muitos cativos levados nessa ocasião.</w:t>
      </w:r>
    </w:p>
    <w:p>
      <w:r/>
      <w:r>
        <w:t>Os babilônios então colocaram Zedequias, o filho mais novo de Josias, no trono em 597 a.C. Quando ele se rebelou, Nabucodonosor sitiou Jerusalém e tomou a cidade (587 a.C.), destruindo-a junto com o templo e levando um grande número de pessoas. O julgamento de Deus finalmente caiu sobre os judeus por seus caminhos idólatras.</w:t>
      </w:r>
    </w:p>
    <w:p>
      <w:pPr>
        <w:pStyle w:val="Heading3"/>
      </w:pPr>
      <w:r>
        <w:t>A restauração</w:t>
      </w:r>
    </w:p>
    <w:p>
      <w:r/>
      <w:r>
        <w:t>No julgamento, Deus lembrou-se da misericórdia. Isso é evidente nas vidas individuais, quando fiéis como Daniel, Ester ou Neemias ascenderam a posições de importância na vida política, ou quando inúmeras outras pessoas prosperaram em ambientes estrangeiros. Isso também é evidente no nível comunitário, à medida que Deus agiu para proteger enclaves hebraicos espalhados pelo exterior e para restaurar uma sociedade organizada na Palestina.</w:t>
      </w:r>
    </w:p>
    <w:p>
      <w:r/>
      <w:r>
        <w:t>Entre os exilados, o judaísmo começou a emergir como um modo de vida separado de seu próprio sistema político ou centro cultual. Os judeus finalmente abandonaram a idolatria. Sem um templo, sacerdócio, rei ou terra, eles se voltaram para as Escrituras divinas como seu ponto de união e a base de sua comunidade. Durante este período, desenvolveram a sinagoga como um lugar para comunhão, oração e estudo.</w:t>
      </w:r>
    </w:p>
    <w:p>
      <w:r/>
      <w:r>
        <w:t>A restauração de uma comunidade organizada na Palestina por Deus envolveu particularmente a sorte de seu “ungido” Ciro (</w:t>
      </w:r>
      <w:hyperlink r:id="rId11220">
        <w:r>
          <w:rPr>
            <w:color w:val="0000EE"/>
            <w:u w:val="single"/>
          </w:rPr>
          <w:t>Is 44.28</w:t>
        </w:r>
      </w:hyperlink>
      <w:r>
        <w:t xml:space="preserve">; </w:t>
      </w:r>
      <w:hyperlink r:id="rId2590">
        <w:r>
          <w:rPr>
            <w:color w:val="0000EE"/>
            <w:u w:val="single"/>
          </w:rPr>
          <w:t>45.1</w:t>
        </w:r>
      </w:hyperlink>
      <w:r>
        <w:t xml:space="preserve">). Ciro era um príncipe persa que em 559 a.C. se revoltou contra a dinastia dominante que controlava o Império Medo. Após consolidar seu domínio sobre o trono, ele prosseguiu para conquistar a Ásia Menor e o Império Caldeu ou Neo-Babilônico. Como um homem benevolente e um administrador sábio, ele permitiu que os povos cativos retornassem às suas casas e reconstruíssem suas comunidades. O decreto de Ciro aos judeus aparece em </w:t>
      </w:r>
      <w:hyperlink r:id="rId4904">
        <w:r>
          <w:rPr>
            <w:color w:val="0000EE"/>
            <w:u w:val="single"/>
          </w:rPr>
          <w:t>Esdras 1</w:t>
        </w:r>
      </w:hyperlink>
      <w:r>
        <w:t xml:space="preserve"> e data provavelmente de 538 a.C. Um total de quase 50.000 pessoas voltou para Judá como resultado deste edito (</w:t>
      </w:r>
      <w:hyperlink r:id="rId11440">
        <w:r>
          <w:rPr>
            <w:color w:val="0000EE"/>
            <w:u w:val="single"/>
          </w:rPr>
          <w:t>Ed 2.64–65</w:t>
        </w:r>
      </w:hyperlink>
      <w:r>
        <w:t>).</w:t>
      </w:r>
    </w:p>
    <w:p>
      <w:r/>
      <w:r>
        <w:t>Sob as pressões e tensões do reestabelecimento, o povo construiu suas casas, mas não foi além de lançar os alicerces de um novo templo. Finalmente, os profetas Ageu e Zacarias incitaram o povo a construir a casa de Deus (</w:t>
      </w:r>
      <w:hyperlink r:id="rId11441">
        <w:r>
          <w:rPr>
            <w:color w:val="0000EE"/>
            <w:u w:val="single"/>
          </w:rPr>
          <w:t>Ed 5.1</w:t>
        </w:r>
      </w:hyperlink>
      <w:r>
        <w:t xml:space="preserve">). Eles começaram no segundo ano de Dario I, o Grande (520 a.C.; </w:t>
      </w:r>
      <w:hyperlink r:id="rId495">
        <w:r>
          <w:rPr>
            <w:color w:val="0000EE"/>
            <w:u w:val="single"/>
          </w:rPr>
          <w:t>Ag 1.1</w:t>
        </w:r>
      </w:hyperlink>
      <w:r>
        <w:t xml:space="preserve">; </w:t>
      </w:r>
      <w:hyperlink r:id="rId11442">
        <w:r>
          <w:rPr>
            <w:color w:val="0000EE"/>
            <w:u w:val="single"/>
          </w:rPr>
          <w:t>Zc 1.1</w:t>
        </w:r>
      </w:hyperlink>
      <w:r>
        <w:t xml:space="preserve">), e completaram a obra em seu sexto ano (515 a.C.; </w:t>
      </w:r>
      <w:hyperlink r:id="rId6242">
        <w:r>
          <w:rPr>
            <w:color w:val="0000EE"/>
            <w:u w:val="single"/>
          </w:rPr>
          <w:t>Ed 6.15</w:t>
        </w:r>
      </w:hyperlink>
      <w:r>
        <w:t>).</w:t>
      </w:r>
    </w:p>
    <w:p>
      <w:r/>
      <w:r>
        <w:t xml:space="preserve">Durante o reinado do filho de Dario, Xerxes (486–465 a.C.), um plano foi arquitetado para exterminar todos os judeus no Império Persa, que naquela época controlava as terras onde os judeus viviam. Felizmente, Xerxes (Assuero no livro de Ester), em seu terceiro ano (483 a.C.; </w:t>
      </w:r>
      <w:hyperlink r:id="rId9233">
        <w:r>
          <w:rPr>
            <w:color w:val="0000EE"/>
            <w:u w:val="single"/>
          </w:rPr>
          <w:t>Et 1.3</w:t>
        </w:r>
      </w:hyperlink>
      <w:r>
        <w:t>), procurou uma nova rainha e escolheu Ester, que conseguiu preservar seu povo.</w:t>
      </w:r>
    </w:p>
    <w:p>
      <w:r/>
      <w:r>
        <w:t xml:space="preserve">O filho de Xerxes, Artaxerxes I (465–424 a.C.) também desempenhou um papel significativo na história judaica. No seu sétimo ano (458 a.C.; </w:t>
      </w:r>
      <w:hyperlink r:id="rId11443">
        <w:r>
          <w:rPr>
            <w:color w:val="0000EE"/>
            <w:u w:val="single"/>
          </w:rPr>
          <w:t>Ed 7.7</w:t>
        </w:r>
      </w:hyperlink>
      <w:r>
        <w:t xml:space="preserve">), sob a liderança de Esdras, um segundo contingente de judeus retornou a Jerusalém. E no 20º ano de Artaxerxes (445 a.C.; </w:t>
      </w:r>
      <w:hyperlink r:id="rId4061">
        <w:r>
          <w:rPr>
            <w:color w:val="0000EE"/>
            <w:u w:val="single"/>
          </w:rPr>
          <w:t>Ne 2.1</w:t>
        </w:r>
      </w:hyperlink>
      <w:r>
        <w:t>), Neemias foi a Jerusalém para supervisionar a reconstrução das muralhas da cidade. Malaquias provavelmente escreveu sua profecia aos judeus em Jerusalém durante a parte final do reinado de Artaxerxes.</w:t>
      </w:r>
    </w:p>
    <w:p>
      <w:r/>
      <w:r>
        <w:t>Após a queda de Samaria e o cativeiro de Judá, os hebreus que permaneceram na terra casaram-se com vários grupos pagãos da região. Seus descendentes tornaram-se os samaritanos, uma mistura religiosa e racial. Essas pessoas ocuparam o vazio deixado pela destruição de Judá e, naturalmente, viam com desagrado a intrusão dos judeus babilônicos em uma área que passaram a considerar como sua. Fizeram tudo o que podiam para frustrar os esforços de Neemias para reconstruir os muros. Foi necessária toda a coragem, tato, energia e persuasão que Esdras e Neemias puderam reunir para impedir que os judeus que retornavam se casassem com o povo racialmente misturado da terra. Tal casamento significaria a absorção e destruição final do povo judeu.</w:t>
      </w:r>
    </w:p>
    <w:p>
      <w:r/>
      <w:r>
        <w:t>Um templo samaritano foi posteriormente construído no Monte Gerizim (provavelmente durante o século V a.C.) e tornou-se o centro da adoração samaritana. A hostilidade entre samaritanos e judeus continuou no período do NT (</w:t>
      </w:r>
      <w:hyperlink r:id="rId410">
        <w:r>
          <w:rPr>
            <w:color w:val="0000EE"/>
            <w:u w:val="single"/>
          </w:rPr>
          <w:t>Jo 4</w:t>
        </w:r>
      </w:hyperlink>
      <w:r>
        <w:t>) e persiste até o presente.</w:t>
      </w:r>
    </w:p>
    <w:p>
      <w:pPr>
        <w:pStyle w:val="Heading3"/>
      </w:pPr>
      <w:r>
        <w:t>O período intertestamentário</w:t>
      </w:r>
    </w:p>
    <w:p>
      <w:r/>
      <w:r>
        <w:t>Alexandre, o Grande, conquistou o Império Persa com uma velocidade impressionante. Quando o povo de Jerusalém abriu seus portões em 332 a.C. e se rendeu sem luta, Alexandre os tratou bem. Após sua morte em 323 a.C., a Palestina passou de mão em mão entre seus sucessores até que Ptolemeu I do Egito conseguiu estabelecer controle em 301 a.C. Depois disso, a área permaneceu sob domínio egípcio até 198 a.C. Os Ptolemeus eram tolerantes e concederam aos judeus considerável autonomia, permitindo que desenvolvessem sua cultura única sem interferências, desde que pagassem seus impostos e permanecessem submissos. Muitos judeus se estabeleceram em Alexandria e gradualmente esqueceram seu hebraico no ambiente helenístico. Como resultado, uma tradução do Antigo Testamento para o grego (a Septuaginta) foi produzida lá. Embora os Ptolemeus não impusessem o helenismo aos judeus de Alexandria ou da Palestina, muitos foram influenciados pelas ideias helenísticas.</w:t>
      </w:r>
    </w:p>
    <w:p>
      <w:r/>
      <w:r>
        <w:t>Quando Ptolemeu V subiu ao trono ainda menor de idade em 203 a.C., Antíoco III da Síria aproveitou-se do enfraquecido Egito e conquistou a Palestina em 198 a.C. Aparentemente, os judeus esperavam obter algum benefício com a mudança e receberam os sírios de braços abertos. No entanto, sua esperança era infundada. Antíoco III sofreu uma derrota desastrosa nas mãos de Roma em Magnésia em 190 a.C. A Síria não apenas perdeu muito território, mas também foi forçada a pagar uma enorme indenização. A partir de então, os judeus sofreram sob grandes encargos financeiros, junto com outros povos do império. O próximo rei sírio, Antíoco IV Epifânio (175–164 a.C.), decidiu lançar um esforço para alcançar maior força interna e unidade dentro do império, forçando, entre outras coisas, uma maior aceitação da cultura grega e do culto ao governante divino. Naturalmente, essa exigência idólatra pesou fortemente sobre os judeus monoteístas e incitou a revolução.</w:t>
      </w:r>
    </w:p>
    <w:p>
      <w:r/>
      <w:r>
        <w:t>No entanto, isso não explica completamente a revolta dos Macabeus contra a Síria. Em 168 a.C., um conflito armado surgiu entre facções judaicas em Jerusalém. Antíoco IV interpretou isso como uma rebelião aberta e enviou um exército contra a cidade. Suas forças demoliram parte da muralha da cidade e muitas casas. Após isso, Antíoco decidiu suprimir completamente o judaísmo, dedicou o templo a Zeus e sacrificou porcos no altar. A circuncisão, a observância do sábado e outros festivais religiosos foram proibidos, e o culto público aos deuses pagãos tornou-se obrigatório.</w:t>
      </w:r>
    </w:p>
    <w:p>
      <w:r/>
      <w:r>
        <w:t>Alguns judeus se submeteram às ordens de Antíoco ou resistiram apenas passivamente, mas alguns decidiram resistir abertamente. Entre eles estavam Matatias e seus cinco filhos. Após a morte precoce de Matatias, seu filho Judas Macabeu liderou suas forças à vitória sobre os sírios, recuperando o direito de restaurar o culto judaico. A rededicação do templo em 25 de dezembro de 164 a.C. inaugurou o Festival de Hanukkah (</w:t>
      </w:r>
      <w:hyperlink r:id="rId11444">
        <w:r>
          <w:rPr>
            <w:color w:val="0000EE"/>
            <w:u w:val="single"/>
          </w:rPr>
          <w:t>1Mc 4.36–59</w:t>
        </w:r>
      </w:hyperlink>
      <w:r>
        <w:t>). Subsequentemente, Jônatas e Simão (outros filhos de Matatias) continuaram a luta até que a independência foi alcançada em 142 a.C.; isso foi possível em grande parte porque eles souberam aproveitar a crescente fraqueza dos governantes sírios e a competição pelo cargo real.</w:t>
      </w:r>
    </w:p>
    <w:p>
      <w:r/>
      <w:r>
        <w:t>Simão governou o estado judaico até seu assassinato em 134 a.C., quando seu filho João Hircano (134–104 a.C.) assumiu o poder. João Hircano lutou com sucesso no leste, norte e sul, conquistando terras na Transjordânia, capturando Siquém e o templo samaritano no Monte Gerizim, e subjugando os idumeus no sul, forçando-os a adotar o judaísmo. Seu filho Aristóbulo governou por apenas cerca de um ano (104–103 a.C.), mas ele acrescentou uma parte da Galileia ao reino. Quando ele morreu, sua viúva casou-se com seu irmão Alexandre Janeu (103–76 a.C.). Janeu continuou com ações militares quase incessantes durante seu reinado, e na época de sua morte havia quase recuperado o reino de Salomão.</w:t>
      </w:r>
    </w:p>
    <w:p>
      <w:r/>
      <w:r>
        <w:t>Quando Janeu morreu, Alexandra, viúva de dois reis, assumiu o trono (76–67 a.C.) e seu filho mais velho, Hircano II, tornou-se sumo sacerdote. Seu reinado foi pacífico e próspero, mas quando ela faleceu, seus filhos começaram a brigar. Seus apelos a Pompeu, que estava em campanha na área do Mediterrâneo oriental, foram responsáveis pela interferência romana na região e pela conquista da Palestina em 63 a.C.</w:t>
      </w:r>
    </w:p>
    <w:p>
      <w:pPr>
        <w:pStyle w:val="Heading3"/>
      </w:pPr>
      <w:r>
        <w:t>O período romano</w:t>
      </w:r>
    </w:p>
    <w:p>
      <w:r/>
      <w:r>
        <w:t>Após os romanos tomarem a Palestina, Hircano II foi confirmado como sumo sacerdote e também nomeado etnarca ou governante político (63–40 a.C.). No entanto, Antípatro, pai de Herodes, o Grande, era o verdadeiro poder por trás do trono, e durante muitos desses anos, Hircano foi praticamente incapaz de atuar devido à confusão das guerras civis romanas. Antípatro era leal a Roma e garantiu que as políticas romanas fossem executadas; ele conquistou o favor de Júlio César em relação aos judeus tanto na Palestina quanto na Diáspora.</w:t>
      </w:r>
    </w:p>
    <w:p>
      <w:r/>
      <w:r>
        <w:t>Com o apoio de Marcos Antônio, Herodes conseguiu ser nomeado rei da Judeia pelo senado romano em 40 a.C. No entanto, uma invasão parta da Síria e o ódio dos judeus pelos romanos permitiram que Antígono II, último rei da família dos Macabeus, governasse por três anos (40–37 a.C.). Finalmente, Herodes ascendeu ao trono em 37 e governou até 4 a.C. Como rei aliado, Herodes provou ser um excelente governante do ponto de vista romano e ganhou o título de "Grande". Ele trouxe alguma ordem para as regiões a leste do Jordão e possibilitou a organização da província romana da Arábia. Ele também promoveu os planos culturais de Augusto para o desenvolvimento de uma civilização greco-romana em todo o império.</w:t>
      </w:r>
    </w:p>
    <w:p>
      <w:r/>
      <w:r>
        <w:t>Herodes admirava a cultura grega e contribuiu para projetos de construção em Rodes, Antioquia, Damasco, Atenas e outros lugares fora da Palestina. Dentro da Palestina, ele reconstruiu Samaria e a nomeou Sebaste em homenagem a Augusto (Sebastos é grego para "Augusto") e também construiu o grande porto de Cesareia. Provavelmente com o tamanho aproximado da Ilha de Manhattan (Manhattan é a parte central da cidade de Nova York nos Estados Unidos - tem por volta de 59 quilômetros quadrados), tornou-se a capital da Palestina Romana. Entre seus muitos outros projetos de construção, a remodelação do templo em Jerusalém foi a mais famosa. Iniciada em 20 a.C., não foi concluída até poucos anos antes de sua destruição em 70 d.C.</w:t>
      </w:r>
    </w:p>
    <w:p>
      <w:r/>
      <w:r>
        <w:t>O esplendor material do reinado de Herodes não conquistou a afeição ou o apoio dos judeus. Ele também não alcançou paz e harmonia em sua família, onde ocorriam erupções periódicas de traição, infidelidade e assassinato. Herodes se preocupava com qualquer ameaça ao seu governo e agia com rigor para eliminá-las, como é evidente pelo massacre dos inocentes em Belém após o nascimento de Cristo.</w:t>
      </w:r>
    </w:p>
    <w:p>
      <w:r/>
      <w:r>
        <w:t>Finalmente, Herodes controlou Idumeia, Judeia, Samaria, Galileia, Perea e a área a nordeste do Mar da Galileia. Pelo seu último testamento, seu filho Arquelau deveria governar Idumeia, Judeia e Samaria; Antipas, Galileia e Perea; e Filipe, a região a nordeste do Mar da Galileia. Arquelau foi deposto em 6 d.C., e seu território tornou-se uma província romana (6–41 d.C.) a ser governada por nomeados diretos de Roma. O mais conhecido deles foi Pôncio Pilatos (26–36 d.C.), que ordenou a crucificação de Jesus. Antipas foi mais bem-sucedido e construiu uma nova capital em Tiberíades, mas caiu em desgraça com o Imperador em 39 d.C. e foi deposto. Filipe foi o mais eficaz dos três e governou até sua morte em 34 d.C. As terras de Filipe foram posteriormente dadas a Herodes Agripa I em 37 d.C.; as posses de Antipas foram então adicionadas em 39 d.C.; e em 41, Agripa também recebeu Samaria, Judeia e Idumeia.</w:t>
      </w:r>
    </w:p>
    <w:p>
      <w:r/>
      <w:r>
        <w:t>Herodes Agripa I (37–44 d.C.) foi o herdeiro dos Macabeus (através de sua avó Mariane, primeira esposa de Herodes, o Grande), e por essa razão tinha o apoio dos judeus patriotas e dos fariseus por sua observância das ordenanças divinas. No entanto, quando ele construiu uma nova muralha ao norte de Jerusalém e se envolveu em assuntos estrangeiros, despertou as suspeitas dos romanos. Quando morreu em 44 d.C., eles transformaram o reino em uma província romana.</w:t>
      </w:r>
    </w:p>
    <w:p>
      <w:r/>
      <w:r>
        <w:t>Como é claro nos Evangelhos, várias seitas surgiram na Palestina na época romana e estavam ativas durante o primeiro século. Os zelotes se opunham ao domínio romano e defendiam a rebelião armada. Os herodianos apoiavam a família herodiana e o poder romano. Os fariseus eram fanaticamente devotos à lei e tinham uma orientação teológica sobrenaturalista. Eles estavam relativamente contentes em apoiar Roma se lhes fosse dada liberdade religiosa e dominavam as sinagogas da região. Os saduceus eram antissobrenaturalistas, tendiam a colaborar com o regime dominante e eram predominantes no templo. De modo geral, a literatura do período intertestamentário e a mentalidade popular da época tendiam a ver o Messias como um libertador político que libertaria seu povo da dominação estrangeira e estabeleceria um novo reino independente.</w:t>
      </w:r>
    </w:p>
    <w:p>
      <w:r/>
      <w:r>
        <w:t>Os prefeitos romanos governaram a Palestina de 44 a 66 d.C. Eles tinham um talento para ofender os escrúpulos religiosos dos judeus e aliená-los de outras maneiras. Com Félix (52 a 60 d.C.) começou uma tensão constante entre judeus e romanos que levou à primeira revolta judaica (66 a 70 d.C.). Enquanto Paulo estava preso em Cesareia (</w:t>
      </w:r>
      <w:hyperlink r:id="rId11445">
        <w:r>
          <w:rPr>
            <w:color w:val="0000EE"/>
            <w:u w:val="single"/>
          </w:rPr>
          <w:t>At 23.23–24.27</w:t>
        </w:r>
      </w:hyperlink>
      <w:r>
        <w:t xml:space="preserve">) por volta de 58 a 60 d.C., eclodiram tumultos entre judeus e gentios. Festo (60 a 62 d.C.; </w:t>
      </w:r>
      <w:hyperlink r:id="rId11446">
        <w:r>
          <w:rPr>
            <w:color w:val="0000EE"/>
            <w:u w:val="single"/>
          </w:rPr>
          <w:t>At 25</w:t>
        </w:r>
      </w:hyperlink>
      <w:r>
        <w:t>) era um administrador competente, mas a situação estava quase fora de controle. Após sua morte no cargo, houve uma anarquia virtual até que seu sucessor, Albino, chegasse (62 a 64 d.C.). Totalmente incompetente e desonesto, Albino foi chamado de volta em 64 e substituído por Floro (64 a 66 d.C.). Floro era ainda pior, recorrendo a roubos e subornos abertos até que não houvesse segurança ou justiça na terra. Finalmente, os judeus não aguentaram mais.</w:t>
      </w:r>
    </w:p>
    <w:p>
      <w:r/>
      <w:r>
        <w:t>A centelha que iniciou os fogos da rebelião foi um ato antissemita pela população helenística de Cesareia em 66 d.C. Logo, os tumultos se espalharam por várias cidades, e guarnições romanas foram massacradas em diversos locais. No entanto, os judeus não estavam unidos, e em Jerusalém, grupos armados de judeus lutaram entre si pelo controle. Vespasiano foi escolhido para comandar o exército romano de cerca de 60.000 homens para lidar com a insurreição. Ele havia subjugado a maior parte da Palestina quando foi elevado à cadeira imperial em 69 d.C. (após a morte de Nero), e deixou seu filho Tito encarregado de completar as operações. Em agosto de 70 d.C., as muralhas de Jerusalém foram rompidas, muitas pessoas foram massacradas, e a cidade e o templo foram destruídos. Masada resistiu até 73 d.C. A Palestina havia sido esmagada pelo poder romano. A perda de vidas e propriedades foi incalculável e indescritível.</w:t>
      </w:r>
    </w:p>
    <w:p>
      <w:r/>
      <w:r>
        <w:t>Em mais duas ocasiões, os judeus estavam destinados a lutar desastrosamente contra os romanos. Sob o governo de Trajano, uma rebelião de judeus eclodiu em Cirenaica em 115 d.C. e se espalhou rapidamente para Chipre, Egito, Palestina e Mesopotâmia. Inicialmente, foi um desdobramento da agitação entre os judeus e seus vizinhos helenísticos, mas se desenvolveu em um desafio à autoridade romana. Isso foi particularmente verdadeiro após os sucessos da Pártia na fronteira oriental de Roma, quando parecia haver alguma esperança de sucesso em se livrar do jugo romano. Onde quer que os judeus obtivessem vantagem, eles perpetravam massacres, e a população não semítica retaliava da mesma forma. Trajano reprimiu implacavelmente os rebeldes e restaurou a ordem em todos os lugares, exceto no Egito; seu sucessor, Adriano, foi deixado para realizar essa tarefa.</w:t>
      </w:r>
    </w:p>
    <w:p>
      <w:r/>
      <w:r>
        <w:t>Mas Adriano enfrentou uma nova rebelião, provocada por sua lei que proibia a circuncisão (que ele considerava desumana) e sua decisão em 130 d.C. de reconstruir Jerusalém como Aelia Capitolina e erguer um templo a Júpiter no local do templo de Yahweh. Este último não apenas profanaria o local do templo, mas também impediria qualquer reconstrução do templo judaico.</w:t>
      </w:r>
    </w:p>
    <w:p>
      <w:r/>
      <w:r>
        <w:t>O líder desta segunda revolta judaica foi Simeão, príncipe de Israel, chamado Bar-Kochba ("Filho da Estrela"). Ambos os lados lutaram com grande ferocidade por mais de três anos (132–135 d.C.), a ponto de a população da Judeia ser quase exterminada. Jerusalém foi reconstruída como uma colônia romana, e os judeus foram proibidos de entrar sob pena de morte. Mesmo no final do século IV, eles tinham permissão para entrar apenas uma vez por ano, no aniversário da destruição do templo por Nabucodonosor. Após a revolta de Bar-Kochba, o judaísmo se retirou cada vez mais para dentro da cidadela da lei escrita e oral, separando-se assim dos gentios.</w:t>
      </w:r>
    </w:p>
    <w:p>
      <w:r/>
      <w:r>
        <w:rPr>
          <w:i/>
        </w:rPr>
        <w:t>Veja também</w:t>
      </w:r>
      <w:r>
        <w:t xml:space="preserve"> </w:t>
      </w:r>
      <w:r>
        <w:t>Abraão</w:t>
      </w:r>
      <w:r>
        <w:t xml:space="preserve">; </w:t>
      </w:r>
      <w:r>
        <w:t>Cronologia da Bíblia (Antigo Testamento)</w:t>
      </w:r>
      <w:r>
        <w:t xml:space="preserve">; </w:t>
      </w:r>
      <w:r>
        <w:t>Conquista e distribuição da terra</w:t>
      </w:r>
      <w:r>
        <w:t xml:space="preserve">; </w:t>
      </w:r>
      <w:r>
        <w:t>Davi</w:t>
      </w:r>
      <w:r>
        <w:t xml:space="preserve">; </w:t>
      </w:r>
      <w:r>
        <w:t>Diáspora dos judeus</w:t>
      </w:r>
      <w:r>
        <w:t xml:space="preserve">; </w:t>
      </w:r>
      <w:r>
        <w:t>O Êxodo</w:t>
      </w:r>
      <w:r>
        <w:t xml:space="preserve">; </w:t>
      </w:r>
      <w:r>
        <w:t>Primeira revolta judaica</w:t>
      </w:r>
      <w:r>
        <w:t xml:space="preserve">; </w:t>
      </w:r>
      <w:r>
        <w:t>Judeu</w:t>
      </w:r>
      <w:r>
        <w:t xml:space="preserve">; </w:t>
      </w:r>
      <w:r>
        <w:t>Judaísmo</w:t>
      </w:r>
      <w:r>
        <w:t xml:space="preserve">; </w:t>
      </w:r>
      <w:r>
        <w:t>Moisés</w:t>
      </w:r>
      <w:r>
        <w:t xml:space="preserve">; </w:t>
      </w:r>
      <w:r>
        <w:t>Período dos patriarcas</w:t>
      </w:r>
      <w:r>
        <w:t xml:space="preserve">; </w:t>
      </w:r>
      <w:r>
        <w:t>Saul #2</w:t>
      </w:r>
      <w:r>
        <w:t xml:space="preserve">; </w:t>
      </w:r>
      <w:r>
        <w:t>Salomão</w:t>
      </w:r>
      <w:r>
        <w:t xml:space="preserve">; </w:t>
      </w:r>
      <w:r>
        <w:t>Período pós-exílico</w:t>
      </w:r>
      <w:r>
        <w:t xml:space="preserve">; </w:t>
      </w:r>
      <w:r>
        <w:t>Peregrinações no deserto</w:t>
      </w:r>
      <w:r>
        <w:t>.</w:t>
      </w:r>
      <w:r/>
      <w:r/>
    </w:p>
    <w:p>
      <w:r/>
    </w:p>
    <w:p>
      <w:pPr>
        <w:pStyle w:val="Heading2"/>
      </w:pPr>
      <w:r>
        <w:t>Israelita</w:t>
      </w:r>
      <w:r/>
    </w:p>
    <w:p>
      <w:r/>
      <w:r>
        <w:t>Um descendente dos doze filhos de Israel.</w:t>
      </w:r>
    </w:p>
    <w:p>
      <w:r/>
      <w:r>
        <w:t>"Israel" é o nome que Deus deu a Jacó (</w:t>
      </w:r>
      <w:hyperlink r:id="rId11405">
        <w:r>
          <w:rPr>
            <w:color w:val="0000EE"/>
            <w:u w:val="single"/>
          </w:rPr>
          <w:t>Gn 32.28</w:t>
        </w:r>
      </w:hyperlink>
      <w:r>
        <w:t>). Os israelitas eram diferentes de dois outros grupos familiares que vieram de Abraão. Um grupo era o dos ismaelitas, que vieram da serva de Abraão, Agar, e de seu filho Ismael. O outro grupo era o dos edomitas, que vieram do irmão de Jacó, Esaú. Os israelitas viveram no Egito desde a época de José até o Êxodo. Então Deus os conduziu a Canaã para cumprir sua promessa a Abraão (</w:t>
      </w:r>
      <w:hyperlink r:id="rId4949">
        <w:r>
          <w:rPr>
            <w:color w:val="0000EE"/>
            <w:u w:val="single"/>
          </w:rPr>
          <w:t>17.8</w:t>
        </w:r>
      </w:hyperlink>
      <w:r>
        <w:t>).</w:t>
      </w:r>
    </w:p>
    <w:p>
      <w:r/>
      <w:r>
        <w:t>Deus guiou os israelitas para fora do Egito através do deserto. Depois, Ele os levou para a terra de Canaã, como havia prometido. Juízes, reis e conquistadores de outros países os governaram. Em 722 a.C., a Assíria conquistou o reino do norte, e Israel tornou-se parte desse império.</w:t>
      </w:r>
    </w:p>
    <w:p>
      <w:r/>
      <w:r>
        <w:t>Após esse período, "Israel" refere-se aos membros das tribos do sul, Judá e Benjamim. Um "israelita" era aquele que pertencia ao remanescente da nação da aliança de Israel. Isso era verdade tanto no sentido religioso quanto no político.</w:t>
      </w:r>
    </w:p>
    <w:p>
      <w:r/>
      <w:r>
        <w:rPr>
          <w:i/>
        </w:rPr>
        <w:t>Veja também</w:t>
      </w:r>
      <w:r>
        <w:t xml:space="preserve"> </w:t>
      </w:r>
      <w:r>
        <w:t>Israel, História de</w:t>
      </w:r>
      <w:r>
        <w:t xml:space="preserve">; </w:t>
      </w:r>
      <w:r>
        <w:t>Judeu</w:t>
      </w:r>
      <w:r>
        <w:t xml:space="preserve">; </w:t>
      </w:r>
      <w:r>
        <w:t>Judaísmo</w:t>
      </w:r>
      <w:r>
        <w:t>.</w:t>
      </w:r>
      <w:r/>
      <w:r/>
    </w:p>
    <w:p>
      <w:r/>
    </w:p>
    <w:p>
      <w:pPr>
        <w:pStyle w:val="Heading2"/>
      </w:pPr>
      <w:r>
        <w:t>Issacar (Pessoa)</w:t>
      </w:r>
      <w:r/>
    </w:p>
    <w:p>
      <w:r/>
      <w:r>
        <w:t>1. O nono filho de Jacó, o quinto de sua esposa Lia (</w:t>
      </w:r>
      <w:hyperlink r:id="rId11447">
        <w:r>
          <w:rPr>
            <w:color w:val="0000EE"/>
            <w:u w:val="single"/>
          </w:rPr>
          <w:t>Gn 30.17–18</w:t>
        </w:r>
      </w:hyperlink>
      <w:r>
        <w:t>); seu nome possivelmente significa "recompensa". Jacó, em sua mensagem final aos seus 12 filhos, diz: "</w:t>
      </w:r>
      <w:r>
        <w:t>Issacar é jumento de fortes ossos, de repouso entre os rebanhos de ovelhas</w:t>
      </w:r>
      <w:r>
        <w:t>" (</w:t>
      </w:r>
      <w:hyperlink r:id="rId10333">
        <w:r>
          <w:rPr>
            <w:color w:val="0000EE"/>
            <w:u w:val="single"/>
          </w:rPr>
          <w:t>49.14</w:t>
        </w:r>
      </w:hyperlink>
      <w:r>
        <w:t>, NTLH); a imagem sugerida é de um jumento carregado que se recusa a mover sua carga, um homem preguiçoso que não está disposto a fazer sua parte do trabalho. Pouco se sabe sobre Issacar, exceto o que ele fez junto com os outros filhos de Israel. Ele teve quatro filhos (</w:t>
      </w:r>
      <w:hyperlink r:id="rId11448">
        <w:r>
          <w:rPr>
            <w:color w:val="0000EE"/>
            <w:u w:val="single"/>
          </w:rPr>
          <w:t>46.13</w:t>
        </w:r>
      </w:hyperlink>
      <w:r>
        <w:t>), que lideraram clãs na tribo (</w:t>
      </w:r>
      <w:hyperlink r:id="rId11449">
        <w:r>
          <w:rPr>
            <w:color w:val="0000EE"/>
            <w:u w:val="single"/>
          </w:rPr>
          <w:t>1Cr 7.1–5</w:t>
        </w:r>
      </w:hyperlink>
      <w:r>
        <w:t xml:space="preserve">). Sua família foi com Jacó para o Egito, onde morreram (embora os restos de Issacar tenham sido posteriormente movidos para Siquém com os outros 12 patriarcas — </w:t>
      </w:r>
      <w:hyperlink r:id="rId11450">
        <w:r>
          <w:rPr>
            <w:color w:val="0000EE"/>
            <w:u w:val="single"/>
          </w:rPr>
          <w:t>At 7.16</w:t>
        </w:r>
      </w:hyperlink>
      <w:r>
        <w:t>).</w:t>
      </w:r>
    </w:p>
    <w:p>
      <w:r/>
      <w:r>
        <w:t>Os descendentes de Issacar eram 54.400 no primeiro censo (</w:t>
      </w:r>
      <w:hyperlink r:id="rId11451">
        <w:r>
          <w:rPr>
            <w:color w:val="0000EE"/>
            <w:u w:val="single"/>
          </w:rPr>
          <w:t>Nm 1.29</w:t>
        </w:r>
      </w:hyperlink>
      <w:r>
        <w:t>), aumentaram para 64.300 no segundo (</w:t>
      </w:r>
      <w:hyperlink r:id="rId11452">
        <w:r>
          <w:rPr>
            <w:color w:val="0000EE"/>
            <w:u w:val="single"/>
          </w:rPr>
          <w:t>26.25</w:t>
        </w:r>
      </w:hyperlink>
      <w:r>
        <w:t>) e para 87.000 durante o reinado de Davi (</w:t>
      </w:r>
      <w:hyperlink r:id="rId11453">
        <w:r>
          <w:rPr>
            <w:color w:val="0000EE"/>
            <w:u w:val="single"/>
          </w:rPr>
          <w:t>1Cr 7.5</w:t>
        </w:r>
      </w:hyperlink>
      <w:r>
        <w:t>). Issacar foi a principal tribo envolvida na luta liderada por Débora, sendo ela mesma membro da tribo (</w:t>
      </w:r>
      <w:hyperlink r:id="rId11454">
        <w:r>
          <w:rPr>
            <w:color w:val="0000EE"/>
            <w:u w:val="single"/>
          </w:rPr>
          <w:t>Jz 5.15</w:t>
        </w:r>
      </w:hyperlink>
      <w:r>
        <w:t>). Durante o tempo de Davi, havia homens da tribo de Issacar que tinham entendimento do que Israel deveria fazer em guerra (</w:t>
      </w:r>
      <w:hyperlink r:id="rId11455">
        <w:r>
          <w:rPr>
            <w:color w:val="0000EE"/>
            <w:u w:val="single"/>
          </w:rPr>
          <w:t>1Cr 12.32</w:t>
        </w:r>
      </w:hyperlink>
      <w:r>
        <w:t>). Esses homens apoiaram Davi como rei para substituir Saul.</w:t>
      </w:r>
    </w:p>
    <w:p>
      <w:r/>
      <w:r>
        <w:t>Issacar recebeu a quarta porção de terra depois que a arca foi levada para Siló (</w:t>
      </w:r>
      <w:hyperlink r:id="rId11456">
        <w:r>
          <w:rPr>
            <w:color w:val="0000EE"/>
            <w:u w:val="single"/>
          </w:rPr>
          <w:t>Js 19.17</w:t>
        </w:r>
      </w:hyperlink>
      <w:r>
        <w:t>). Isso incluía as cidades de Jezreel, Suném e En-Ganim, e ficava entre as montanhas de Gilboa e Tabor. Sua porção era limitada ao sul e oeste pela tribo de Manassés, ao norte por Zebulom e Naftali, e a leste pelo rio Jordão. Este território era em grande parte uma planície fértil e frequentemente ameaçado pelos cananeus próximos, bem como por invasores estrangeiros.</w:t>
      </w:r>
    </w:p>
    <w:p>
      <w:r/>
      <w:r>
        <w:t>2. O filho de Obede-Edom, que era um porteiro levita durante o reinado de Davi (</w:t>
      </w:r>
      <w:hyperlink r:id="rId11457">
        <w:r>
          <w:rPr>
            <w:color w:val="0000EE"/>
            <w:u w:val="single"/>
          </w:rPr>
          <w:t>1Cr 26.5</w:t>
        </w:r>
      </w:hyperlink>
      <w:r>
        <w:t>).</w:t>
      </w:r>
      <w:r/>
      <w:r/>
    </w:p>
    <w:p>
      <w:r/>
    </w:p>
    <w:p>
      <w:pPr>
        <w:pStyle w:val="Heading2"/>
      </w:pPr>
      <w:r>
        <w:t>Isvá</w:t>
      </w:r>
      <w:r/>
    </w:p>
    <w:p>
      <w:r/>
      <w:r>
        <w:t>Um filho do patriarca Aser (</w:t>
      </w:r>
      <w:hyperlink r:id="rId2708">
        <w:r>
          <w:rPr>
            <w:color w:val="0000EE"/>
            <w:u w:val="single"/>
          </w:rPr>
          <w:t>Gn 46.17</w:t>
        </w:r>
      </w:hyperlink>
      <w:r>
        <w:t xml:space="preserve">; </w:t>
      </w:r>
      <w:hyperlink r:id="rId2709">
        <w:r>
          <w:rPr>
            <w:color w:val="0000EE"/>
            <w:u w:val="single"/>
          </w:rPr>
          <w:t>1Cr 7.30</w:t>
        </w:r>
      </w:hyperlink>
      <w:r>
        <w:t>).</w:t>
      </w:r>
      <w:r/>
      <w:r/>
    </w:p>
    <w:p>
      <w:r/>
    </w:p>
    <w:p>
      <w:pPr>
        <w:pStyle w:val="Heading2"/>
      </w:pPr>
      <w:r>
        <w:t>Isvi</w:t>
      </w:r>
      <w:r/>
    </w:p>
    <w:p>
      <w:pPr>
        <w:pStyle w:val="ListNumber"/>
        <w:spacing w:line="240" w:lineRule="auto"/>
        <w:ind w:left="720"/>
      </w:pPr>
      <w:r/>
      <w:r>
        <w:t>O terceiro filho de Aser (</w:t>
      </w:r>
      <w:hyperlink r:id="rId2708">
        <w:r>
          <w:rPr>
            <w:color w:val="0000EE"/>
            <w:u w:val="single"/>
          </w:rPr>
          <w:t>Gn 46.17</w:t>
        </w:r>
      </w:hyperlink>
      <w:r>
        <w:t xml:space="preserve">; </w:t>
      </w:r>
      <w:hyperlink r:id="rId2709">
        <w:r>
          <w:rPr>
            <w:color w:val="0000EE"/>
            <w:u w:val="single"/>
          </w:rPr>
          <w:t>1Cr 7.30</w:t>
        </w:r>
      </w:hyperlink>
      <w:r>
        <w:t>). Ele foi o fundador do clã dos isvitas (</w:t>
      </w:r>
      <w:hyperlink r:id="rId3442">
        <w:r>
          <w:rPr>
            <w:color w:val="0000EE"/>
            <w:u w:val="single"/>
          </w:rPr>
          <w:t>Nm 26.44</w:t>
        </w:r>
      </w:hyperlink>
      <w:r>
        <w:t>).</w:t>
      </w:r>
    </w:p>
    <w:p>
      <w:pPr>
        <w:pStyle w:val="ListNumber"/>
        <w:spacing w:line="240" w:lineRule="auto"/>
        <w:ind w:left="720"/>
      </w:pPr>
      <w:r/>
      <w:r>
        <w:t>Uma forma variante do nome "Isbosete". Ele foi um dos filhos do Rei Saul (</w:t>
      </w:r>
      <w:hyperlink r:id="rId11458">
        <w:r>
          <w:rPr>
            <w:color w:val="0000EE"/>
            <w:u w:val="single"/>
          </w:rPr>
          <w:t>1Sm 14.49</w:t>
        </w:r>
      </w:hyperlink>
      <w:r>
        <w:t>).</w:t>
      </w:r>
      <w:r/>
      <w:r/>
    </w:p>
    <w:p>
      <w:r/>
    </w:p>
    <w:p>
      <w:pPr>
        <w:pStyle w:val="Heading2"/>
      </w:pPr>
      <w:r>
        <w:t>Isvita</w:t>
      </w:r>
      <w:r/>
    </w:p>
    <w:p>
      <w:r/>
      <w:r>
        <w:t>Qualquer descendente de Isvi, filho de Aser (</w:t>
      </w:r>
      <w:hyperlink r:id="rId3442">
        <w:r>
          <w:rPr>
            <w:color w:val="0000EE"/>
            <w:u w:val="single"/>
          </w:rPr>
          <w:t>Nm 26.44</w:t>
        </w:r>
      </w:hyperlink>
      <w:r>
        <w:t>).</w:t>
      </w:r>
    </w:p>
    <w:p>
      <w:r/>
      <w:r>
        <w:rPr>
          <w:i/>
        </w:rPr>
        <w:t>Veja</w:t>
      </w:r>
      <w:r>
        <w:t xml:space="preserve"> </w:t>
      </w:r>
      <w:r>
        <w:t>Isvi #1</w:t>
      </w:r>
      <w:r>
        <w:t>.</w:t>
      </w:r>
      <w:r/>
      <w:r/>
    </w:p>
    <w:p>
      <w:r/>
    </w:p>
    <w:p>
      <w:pPr>
        <w:pStyle w:val="Heading2"/>
      </w:pPr>
      <w:r>
        <w:t>Itália</w:t>
      </w:r>
      <w:r/>
    </w:p>
    <w:p>
      <w:r/>
      <w:r>
        <w:t>Península em forma de bota localizada entre os mares Tirreno e Adriático. Terrenos elevados e duas principais cadeias de montanhas — os Alpes, que formam uma fronteira ao norte, e os Apeninos, que formam a espinha dorsal da península — ocupam 77 por cento da terra. As planícies, limitadas ao vale do rio Pó, cobrem os 23 por cento restantes.</w:t>
      </w:r>
    </w:p>
    <w:p>
      <w:r/>
      <w:r>
        <w:t>A história mais antiga da região é encontrada nos artefatos das culturas Abbevilliana e Neandertal, descobertos em muitas áreas, incluindo o sítio em Roma. Com o advento da agricultura (6000 a.C.), a população aumentou rapidamente. Por volta de 3000 a.C., grandes grupos de agricultores se estabeleceram no sul da Itália ao longo da costa mediterrânea e no norte da Itália ao longo do Vale do Pó. Durante o terceiro milênio a.C., uma cultura importante se desenvolveu na parte central da península, influenciada pelas civilizações Minoica e Micênica, caracterizada pela agricultura, pecuária e trabalho em bronze.</w:t>
      </w:r>
    </w:p>
    <w:p>
      <w:r/>
      <w:r>
        <w:t>Durante o segundo milênio a.C., uma invasão de tribos indo-europeias transformou a cultura da península. Cada área passou a ser conhecida pelo nome da tribo que a habitava. Entre as mais importantes dessas tribos estavam os latinos, que se estabeleceram no vale do rio Tibre — uma área que passou a ser conhecida como Lácio. Segundo o historiador Antíoco de Siracusa (século V a.C.), foi também durante esse período (1300 a.C.) que o Rei Ítalo governou a parte sudoeste da península. Esta região passou a levar seu nome, que, ao longo do próximo milênio, foi estendido para o norte até que, na época de Augusto (27 a.C. – 14 d.C.), toda a península foi chamada de "Itália".</w:t>
      </w:r>
    </w:p>
    <w:p>
      <w:r/>
      <w:r>
        <w:t>Perto do final do século VIII a.C., os etruscos, imigrantes da Ásia Menor, invadiram a península e organizaram as tribos itálicas menos civilizadas em cidades-estado sob seu domínio. O resultado foi o caos político. Guerras com colônias gregas, guerras para se libertar da dominação etrusca e guerras entre cidades-estado marcaram os cinco séculos seguintes. A cidade-estado que mais se beneficiou dessa agitação foi Roma. Em 220 a.C., Roma havia conquistado toda a península e unificado toda a Itália ao sul do Vale do Pó sob um único governo. Após uma grande revolta (90–88 a.C.), os italianos de toda a península obtiveram os direitos de cidadania romana, e em 49 a.C. Júlio César estendeu esses direitos aos habitantes do Vale do Pó. Assim, na época do NT, a Itália essencialmente havia adquirido sua forma atual.</w:t>
      </w:r>
    </w:p>
    <w:p>
      <w:r/>
      <w:r>
        <w:t>“Itália” aparece três vezes no NT. Paulo tem a oportunidade de encontrar Priscila e Áquila, que recentemente vieram da Itália porque Cláudio havia expulsado os judeus de Roma (</w:t>
      </w:r>
      <w:hyperlink r:id="rId3066">
        <w:r>
          <w:rPr>
            <w:color w:val="0000EE"/>
            <w:u w:val="single"/>
          </w:rPr>
          <w:t>At 18.2</w:t>
        </w:r>
      </w:hyperlink>
      <w:r>
        <w:t>). Itália é mencionada como o destino de Paulo após seu apelo a César (</w:t>
      </w:r>
      <w:hyperlink r:id="rId11459">
        <w:r>
          <w:rPr>
            <w:color w:val="0000EE"/>
            <w:u w:val="single"/>
          </w:rPr>
          <w:t>At 27.1,6</w:t>
        </w:r>
      </w:hyperlink>
      <w:r>
        <w:t>). O escritor de Hebreus envia saudações aos seus leitores de “aqueles que vêm da Itália” (</w:t>
      </w:r>
      <w:hyperlink r:id="rId10395">
        <w:r>
          <w:rPr>
            <w:color w:val="0000EE"/>
            <w:u w:val="single"/>
          </w:rPr>
          <w:t>Hb 13.24</w:t>
        </w:r>
      </w:hyperlink>
      <w:r>
        <w:t>).</w:t>
      </w:r>
    </w:p>
    <w:p>
      <w:r/>
      <w:r>
        <w:rPr>
          <w:i/>
        </w:rPr>
        <w:t>Veja também</w:t>
      </w:r>
      <w:r>
        <w:t xml:space="preserve"> </w:t>
      </w:r>
      <w:r>
        <w:t>Césares</w:t>
      </w:r>
      <w:r>
        <w:t xml:space="preserve">; </w:t>
      </w:r>
      <w:r>
        <w:t>Roma, Cidade de</w:t>
      </w:r>
      <w:r>
        <w:t>.</w:t>
      </w:r>
      <w:r/>
      <w:r/>
    </w:p>
    <w:p>
      <w:r/>
    </w:p>
    <w:p>
      <w:pPr>
        <w:pStyle w:val="Heading2"/>
      </w:pPr>
      <w:r>
        <w:t>Itamar</w:t>
      </w:r>
      <w:r/>
    </w:p>
    <w:p>
      <w:r/>
      <w:r>
        <w:t>O quarto e mais jovem filho de Arão. Itamar serviu como sacerdote para as tribos de Israel enquanto o povo vivia no deserto entre o Egito e a terra prometida de Canaã (</w:t>
      </w:r>
      <w:hyperlink r:id="rId124">
        <w:r>
          <w:rPr>
            <w:color w:val="0000EE"/>
            <w:u w:val="single"/>
          </w:rPr>
          <w:t>Êx 6.23</w:t>
        </w:r>
      </w:hyperlink>
      <w:r>
        <w:t xml:space="preserve">; </w:t>
      </w:r>
      <w:hyperlink r:id="rId130">
        <w:r>
          <w:rPr>
            <w:color w:val="0000EE"/>
            <w:u w:val="single"/>
          </w:rPr>
          <w:t>Nm 3.2–4</w:t>
        </w:r>
      </w:hyperlink>
      <w:r>
        <w:t xml:space="preserve">; </w:t>
      </w:r>
      <w:hyperlink r:id="rId125">
        <w:r>
          <w:rPr>
            <w:color w:val="0000EE"/>
            <w:u w:val="single"/>
          </w:rPr>
          <w:t>26.60</w:t>
        </w:r>
      </w:hyperlink>
      <w:r>
        <w:t xml:space="preserve">; </w:t>
      </w:r>
      <w:hyperlink r:id="rId126">
        <w:r>
          <w:rPr>
            <w:color w:val="0000EE"/>
            <w:u w:val="single"/>
          </w:rPr>
          <w:t>1Cr 6.3</w:t>
        </w:r>
      </w:hyperlink>
      <w:r>
        <w:t xml:space="preserve">; </w:t>
      </w:r>
      <w:hyperlink r:id="rId11460">
        <w:r>
          <w:rPr>
            <w:color w:val="0000EE"/>
            <w:u w:val="single"/>
          </w:rPr>
          <w:t>24.2</w:t>
        </w:r>
      </w:hyperlink>
      <w:r>
        <w:t>). Após a morte de dois de seus irmãos, ele recebeu a tarefa especial de ser responsável pela locomoção do tabernáculo (</w:t>
      </w:r>
      <w:hyperlink r:id="rId11461">
        <w:r>
          <w:rPr>
            <w:color w:val="0000EE"/>
            <w:u w:val="single"/>
          </w:rPr>
          <w:t>Nm 4.28,33</w:t>
        </w:r>
      </w:hyperlink>
      <w:r>
        <w:t xml:space="preserve">; </w:t>
      </w:r>
      <w:hyperlink r:id="rId11462">
        <w:r>
          <w:rPr>
            <w:color w:val="0000EE"/>
            <w:u w:val="single"/>
          </w:rPr>
          <w:t>7.8</w:t>
        </w:r>
      </w:hyperlink>
      <w:r>
        <w:t>). Durante o reinado de Davi, os descendentes de Itamar e Eleazar foram organizados como sacerdotes no templo (</w:t>
      </w:r>
      <w:hyperlink r:id="rId11463">
        <w:r>
          <w:rPr>
            <w:color w:val="0000EE"/>
            <w:u w:val="single"/>
          </w:rPr>
          <w:t>1Cr 24.3–6</w:t>
        </w:r>
      </w:hyperlink>
      <w:r>
        <w:t>). Mais tarde, alguns de seus descendentes retornaram com Esdras da Babilônia (</w:t>
      </w:r>
      <w:hyperlink r:id="rId9576">
        <w:r>
          <w:rPr>
            <w:color w:val="0000EE"/>
            <w:u w:val="single"/>
          </w:rPr>
          <w:t>Ed 8.2</w:t>
        </w:r>
      </w:hyperlink>
      <w:r>
        <w:t>).</w:t>
      </w:r>
      <w:r/>
      <w:r/>
    </w:p>
    <w:p>
      <w:r/>
    </w:p>
    <w:p>
      <w:pPr>
        <w:pStyle w:val="Heading2"/>
      </w:pPr>
      <w:r>
        <w:t>Itiel</w:t>
      </w:r>
      <w:r/>
    </w:p>
    <w:p>
      <w:r/>
      <w:r>
        <w:t>1. Antepassado de Salu, um benjamita que viveu em Jerusalém após o exílio babilônico (</w:t>
      </w:r>
      <w:hyperlink r:id="rId11464">
        <w:r>
          <w:rPr>
            <w:color w:val="0000EE"/>
            <w:u w:val="single"/>
          </w:rPr>
          <w:t>Ne 11.7</w:t>
        </w:r>
      </w:hyperlink>
      <w:r>
        <w:t>).</w:t>
      </w:r>
    </w:p>
    <w:p>
      <w:r/>
      <w:r>
        <w:t>2. Uma das duas pessoas a quem Agur falou seus Provérbios, como aparece na ARC (</w:t>
      </w:r>
      <w:hyperlink r:id="rId620">
        <w:r>
          <w:rPr>
            <w:color w:val="0000EE"/>
            <w:u w:val="single"/>
          </w:rPr>
          <w:t>Pv 30.1</w:t>
        </w:r>
      </w:hyperlink>
      <w:r>
        <w:t>).</w:t>
      </w:r>
      <w:r/>
      <w:r/>
    </w:p>
    <w:p>
      <w:r/>
    </w:p>
    <w:p>
      <w:pPr>
        <w:pStyle w:val="Heading2"/>
      </w:pPr>
      <w:r>
        <w:t>Itrã</w:t>
      </w:r>
      <w:r/>
    </w:p>
    <w:p>
      <w:r/>
      <w:r>
        <w:t>1. O filho de Disom, que era um chefe horita (</w:t>
      </w:r>
      <w:hyperlink r:id="rId8134">
        <w:r>
          <w:rPr>
            <w:color w:val="0000EE"/>
            <w:u w:val="single"/>
          </w:rPr>
          <w:t>Gn 36.26</w:t>
        </w:r>
      </w:hyperlink>
      <w:r>
        <w:t xml:space="preserve">; </w:t>
      </w:r>
      <w:hyperlink r:id="rId7357">
        <w:r>
          <w:rPr>
            <w:color w:val="0000EE"/>
            <w:u w:val="single"/>
          </w:rPr>
          <w:t>1Cr 1.41</w:t>
        </w:r>
      </w:hyperlink>
      <w:r>
        <w:t>).</w:t>
      </w:r>
    </w:p>
    <w:p>
      <w:r/>
      <w:r>
        <w:t>2. Um dos filhos de Zofá (</w:t>
      </w:r>
      <w:hyperlink r:id="rId11465">
        <w:r>
          <w:rPr>
            <w:color w:val="0000EE"/>
            <w:u w:val="single"/>
          </w:rPr>
          <w:t>1Cr 7.37</w:t>
        </w:r>
      </w:hyperlink>
      <w:r>
        <w:t xml:space="preserve">). Ele provavelmente é o mesmo que Jéter mencionado em </w:t>
      </w:r>
      <w:hyperlink r:id="rId11466">
        <w:r>
          <w:rPr>
            <w:color w:val="0000EE"/>
            <w:u w:val="single"/>
          </w:rPr>
          <w:t>1Cr 7.38</w:t>
        </w:r>
      </w:hyperlink>
      <w:r>
        <w:t>.</w:t>
      </w:r>
      <w:r/>
      <w:r/>
    </w:p>
    <w:p>
      <w:r/>
    </w:p>
    <w:p>
      <w:pPr>
        <w:pStyle w:val="Heading2"/>
      </w:pPr>
      <w:r>
        <w:t>Itureia, Itureus</w:t>
      </w:r>
      <w:r/>
    </w:p>
    <w:p>
      <w:r/>
      <w:r>
        <w:t>Itureia era uma pequena região perto de Traconites. Ambas as áreas eram governadas por Filipe, que era irmão do rei Herodes, o Grande. Isso ocorreu durante o período em que Tibério era o Imperador Romano (</w:t>
      </w:r>
      <w:hyperlink r:id="rId9463">
        <w:r>
          <w:rPr>
            <w:color w:val="0000EE"/>
            <w:u w:val="single"/>
          </w:rPr>
          <w:t>Lc 3.1</w:t>
        </w:r>
      </w:hyperlink>
      <w:r>
        <w:t>).</w:t>
      </w:r>
    </w:p>
    <w:p>
      <w:r/>
      <w:r>
        <w:t>Itureia é considerada como estando a nordeste do Mar da Galileia, na área do Monte Hermom. No entanto, sua localização e fronteiras são muito disputadas. O nome quase certamente vem de Jetur, um filho de Ismael (</w:t>
      </w:r>
      <w:hyperlink r:id="rId10279">
        <w:r>
          <w:rPr>
            <w:color w:val="0000EE"/>
            <w:u w:val="single"/>
          </w:rPr>
          <w:t>Gn 25.15</w:t>
        </w:r>
      </w:hyperlink>
      <w:r>
        <w:t>). Seus descendentes estavam entre aqueles conquistados pelos israelitas a leste do Jordão (</w:t>
      </w:r>
      <w:hyperlink r:id="rId10308">
        <w:r>
          <w:rPr>
            <w:color w:val="0000EE"/>
            <w:u w:val="single"/>
          </w:rPr>
          <w:t>1Cr 5.19–20</w:t>
        </w:r>
      </w:hyperlink>
      <w:r>
        <w:t>).</w:t>
      </w:r>
    </w:p>
    <w:p>
      <w:r/>
      <w:r>
        <w:t>Por muitos anos depois disso, não encontramos nenhuma menção aos itureus nos registros históricos. Então, por volta de 105 a.C., o historiador judeu Josefo escreve sobre sua derrota pelo governante judeu Aristóbulo. Após essa derrota, muitos itureus tiveram que fazer uma escolha difícil: poderiam seguir os costumes religiosos judeus e permanecer em suas casas, ou teriam que deixar sua terra natal.</w:t>
      </w:r>
    </w:p>
    <w:p>
      <w:r/>
      <w:r>
        <w:t>Escritores clássicos frequentemente mencionam os itureus. Às vezes, eles os chamam de sírios ou árabes. Eles eram arqueiros habilidosos e tinham as tendências predatórias de grupos que não podiam ou não queriam se estabelecer em uma área por muito tempo. Em vista disso, não é surpreendente que saibamos mais sobre os itureus do que sobre Itureia.</w:t>
      </w:r>
    </w:p>
    <w:p>
      <w:r/>
      <w:r>
        <w:t>Estrabão afirma que eles viviam em um país montanhoso. Dião Cássio nos informa mais tarde que eles tinham um rei. Sua história é difícil de entender devido às divisões no Império Romano que os afetaram. No final do primeiro século d.C., muitos itureus estavam sob o domínio provincial da Síria.</w:t>
      </w:r>
    </w:p>
    <w:p>
      <w:r/>
      <w:r>
        <w:t>É mais fácil, então, discutir sobre as pessoas do que sobre o lugar. Alguns estudiosos afirmam que Lucas não poderia ter usado o substantivo "Itureia". Essa forma era desconhecida até três séculos depois. Eles dizem que a forma adjetival se encaixa melhor nesse caso. Isso levanta outra questão: Este território itureu estava dentro da tetrarquia de Filipe? Lucas poderia ter cometido um deslize e antecipado uma reagrupação regional posterior? Josefo lista as partes da tetrarquia de Filipe, mas não inclui Itureia.</w:t>
      </w:r>
    </w:p>
    <w:p>
      <w:r/>
      <w:r>
        <w:t>Três fatos são evidentes:</w:t>
      </w:r>
    </w:p>
    <w:p>
      <w:pPr>
        <w:pStyle w:val="ListNumber"/>
        <w:spacing w:line="240" w:lineRule="auto"/>
        <w:ind w:left="720"/>
      </w:pPr>
      <w:r/>
      <w:r>
        <w:t>Existe uma certa flexibilidade e sobreposição nas descrições das fronteiras territoriais.</w:t>
      </w:r>
    </w:p>
    <w:p>
      <w:pPr>
        <w:pStyle w:val="ListNumber"/>
        <w:spacing w:line="240" w:lineRule="auto"/>
        <w:ind w:left="720"/>
      </w:pPr>
      <w:r/>
      <w:r>
        <w:t>Não há dados suficientes para conclusões precisas sobre Itureia.</w:t>
      </w:r>
    </w:p>
    <w:p>
      <w:pPr>
        <w:pStyle w:val="ListNumber"/>
        <w:spacing w:line="240" w:lineRule="auto"/>
        <w:ind w:left="720"/>
      </w:pPr>
      <w:r/>
      <w:r>
        <w:t>As evidências são claras em outras partes das Escrituras de que Lucas é um escritor meticuloso e confiável.</w:t>
      </w:r>
      <w:r/>
      <w:r/>
    </w:p>
    <w:p>
      <w:r/>
    </w:p>
    <w:p>
      <w:pPr>
        <w:pStyle w:val="Heading2"/>
      </w:pPr>
      <w:r>
        <w:t>Izarita</w:t>
      </w:r>
      <w:r/>
    </w:p>
    <w:p>
      <w:r/>
      <w:r>
        <w:t>Qualquer descendente de Izar da tribo de Levi (</w:t>
      </w:r>
      <w:hyperlink r:id="rId1973">
        <w:r>
          <w:rPr>
            <w:color w:val="0000EE"/>
            <w:u w:val="single"/>
          </w:rPr>
          <w:t>Nm 3.27</w:t>
        </w:r>
      </w:hyperlink>
      <w:r>
        <w:t xml:space="preserve">; </w:t>
      </w:r>
      <w:hyperlink r:id="rId11382">
        <w:r>
          <w:rPr>
            <w:color w:val="0000EE"/>
            <w:u w:val="single"/>
          </w:rPr>
          <w:t>1Cr 24.22</w:t>
        </w:r>
      </w:hyperlink>
      <w:r>
        <w:t xml:space="preserve">; </w:t>
      </w:r>
      <w:hyperlink r:id="rId11383">
        <w:r>
          <w:rPr>
            <w:color w:val="0000EE"/>
            <w:u w:val="single"/>
          </w:rPr>
          <w:t>26.23,29</w:t>
        </w:r>
      </w:hyperlink>
      <w:r>
        <w:t>). Algumas Bíblias usam as grafias "Isar" e "isaritas".</w:t>
      </w:r>
    </w:p>
    <w:p>
      <w:r/>
      <w:r>
        <w:rPr>
          <w:i/>
        </w:rPr>
        <w:t>Veja</w:t>
      </w:r>
      <w:r>
        <w:t xml:space="preserve"> </w:t>
      </w:r>
      <w:r>
        <w:t>Izar #1</w:t>
      </w:r>
      <w:r>
        <w:t>.</w:t>
      </w:r>
      <w:r/>
      <w:r/>
    </w:p>
    <w:p>
      <w:r/>
    </w:p>
    <w:p>
      <w:pPr>
        <w:pStyle w:val="Heading2"/>
      </w:pPr>
      <w:r>
        <w:t>Jaacã</w:t>
      </w:r>
      <w:r/>
    </w:p>
    <w:p>
      <w:r/>
      <w:r>
        <w:t>Descendente de Esaú e filho de Ezer, o horita (</w:t>
      </w:r>
      <w:hyperlink r:id="rId2309">
        <w:r>
          <w:rPr>
            <w:color w:val="0000EE"/>
            <w:u w:val="single"/>
          </w:rPr>
          <w:t>1Cr 1.42</w:t>
        </w:r>
      </w:hyperlink>
      <w:r>
        <w:t xml:space="preserve">); alternativamente chamado de Acã em </w:t>
      </w:r>
      <w:hyperlink r:id="rId210">
        <w:r>
          <w:rPr>
            <w:color w:val="0000EE"/>
            <w:u w:val="single"/>
          </w:rPr>
          <w:t>Gênesis 36.27</w:t>
        </w:r>
      </w:hyperlink>
      <w:r>
        <w:t xml:space="preserve">. </w:t>
      </w:r>
      <w:r>
        <w:rPr>
          <w:i/>
        </w:rPr>
        <w:t>Veja</w:t>
      </w:r>
      <w:r>
        <w:t xml:space="preserve"> </w:t>
      </w:r>
      <w:r>
        <w:t>Beerote-Benê-Jaacã</w:t>
      </w:r>
      <w:r>
        <w:t>.</w:t>
      </w:r>
      <w:r/>
      <w:r/>
    </w:p>
    <w:p>
      <w:r/>
    </w:p>
    <w:p>
      <w:pPr>
        <w:pStyle w:val="Heading2"/>
      </w:pPr>
      <w:r>
        <w:t>Jaar</w:t>
      </w:r>
      <w:r/>
    </w:p>
    <w:p>
      <w:r/>
      <w:r>
        <w:rPr>
          <w:i/>
        </w:rPr>
        <w:t>Jaar</w:t>
      </w:r>
      <w:r>
        <w:t xml:space="preserve"> é a palavra hebraica mais comum para "floresta". Refere-se a florestas em geral (</w:t>
      </w:r>
      <w:hyperlink r:id="rId11467">
        <w:r>
          <w:rPr>
            <w:color w:val="0000EE"/>
            <w:u w:val="single"/>
          </w:rPr>
          <w:t>Is 10.18</w:t>
        </w:r>
      </w:hyperlink>
      <w:r>
        <w:t>). Também se refere a florestas específicas, como a "floresta de Efraim" (</w:t>
      </w:r>
      <w:hyperlink r:id="rId11468">
        <w:r>
          <w:rPr>
            <w:color w:val="0000EE"/>
            <w:u w:val="single"/>
          </w:rPr>
          <w:t>2Sm 18.6</w:t>
        </w:r>
      </w:hyperlink>
      <w:r>
        <w:t>) e a "floresta de Herete" (</w:t>
      </w:r>
      <w:hyperlink r:id="rId9683">
        <w:r>
          <w:rPr>
            <w:color w:val="0000EE"/>
            <w:u w:val="single"/>
          </w:rPr>
          <w:t>1Sm 22.5</w:t>
        </w:r>
      </w:hyperlink>
      <w:r>
        <w:t>). Ambas essas florestas estão ligadas à história do Rei Davi.</w:t>
      </w:r>
    </w:p>
    <w:p>
      <w:r/>
      <w:r>
        <w:t xml:space="preserve">A palavra </w:t>
      </w:r>
      <w:r>
        <w:rPr>
          <w:i/>
        </w:rPr>
        <w:t>Jaar</w:t>
      </w:r>
      <w:r>
        <w:t xml:space="preserve"> também aparece no nome de um dos edifícios do Rei Salomão chamado "Salão da Floresta do Líbano" (</w:t>
      </w:r>
      <w:hyperlink r:id="rId11469">
        <w:r>
          <w:rPr>
            <w:color w:val="0000EE"/>
            <w:u w:val="single"/>
          </w:rPr>
          <w:t>1Rs 7.2</w:t>
        </w:r>
      </w:hyperlink>
      <w:r>
        <w:t>). Este edifício parece ter recebido esse nome porque utilizou uma abundante madeira de cedro em sua construção.</w:t>
      </w:r>
    </w:p>
    <w:p>
      <w:r/>
      <w:r>
        <w:t xml:space="preserve">Apenas uma menção de "Jaar" parece ser um nome próprio. Em </w:t>
      </w:r>
      <w:hyperlink r:id="rId7732">
        <w:r>
          <w:rPr>
            <w:color w:val="0000EE"/>
            <w:u w:val="single"/>
          </w:rPr>
          <w:t>Salmo 132.6</w:t>
        </w:r>
      </w:hyperlink>
      <w:r>
        <w:t>, há uma referência à mudança da Arca da Aliança de Quiriate-Jearim para Jerusalém. Neste versículo, o lugar é chamado de "campos de Jearim". Isso pode ser uma forma poética abreviada de se referir a Quiriate-Jearim.</w:t>
      </w:r>
      <w:r/>
      <w:r/>
    </w:p>
    <w:p>
      <w:r/>
    </w:p>
    <w:p>
      <w:pPr>
        <w:pStyle w:val="Heading2"/>
      </w:pPr>
      <w:r>
        <w:t>Jabal</w:t>
      </w:r>
      <w:r/>
    </w:p>
    <w:p>
      <w:r/>
      <w:r>
        <w:t>Descendente de Caim e primeiro filho de Lameque e Ada. Ele foi o pai de um povo nômade que habitava em tendas (</w:t>
      </w:r>
      <w:hyperlink r:id="rId558">
        <w:r>
          <w:rPr>
            <w:color w:val="0000EE"/>
            <w:u w:val="single"/>
          </w:rPr>
          <w:t>Gn 4.20</w:t>
        </w:r>
      </w:hyperlink>
      <w:r>
        <w:t>).</w:t>
      </w:r>
      <w:r/>
      <w:r/>
    </w:p>
    <w:p>
      <w:r/>
    </w:p>
    <w:p>
      <w:pPr>
        <w:pStyle w:val="Heading2"/>
      </w:pPr>
      <w:r>
        <w:t>Jabim</w:t>
      </w:r>
      <w:r/>
    </w:p>
    <w:p>
      <w:r/>
      <w:r>
        <w:t>1. Rei de Hazor que liderou uma coalizão contra Josué em Merom. Jabim e seus aliados foram destruídos na batalha, e Hazor foi incendiada até o chão (</w:t>
      </w:r>
      <w:hyperlink r:id="rId11470">
        <w:r>
          <w:rPr>
            <w:color w:val="0000EE"/>
            <w:u w:val="single"/>
          </w:rPr>
          <w:t>Js 11.1–14</w:t>
        </w:r>
      </w:hyperlink>
      <w:r>
        <w:t>).</w:t>
      </w:r>
    </w:p>
    <w:p>
      <w:r/>
      <w:r>
        <w:t>2. Rei de Hazor durante o período dos juízes (</w:t>
      </w:r>
      <w:hyperlink r:id="rId2724">
        <w:r>
          <w:rPr>
            <w:color w:val="0000EE"/>
            <w:u w:val="single"/>
          </w:rPr>
          <w:t>Jz 4</w:t>
        </w:r>
      </w:hyperlink>
      <w:r>
        <w:t>). Deus permitiu que ele oprimisse Israel por 20 anos devido à sua maldade. Seu exército incluía 900 carros de ferro. Eventualmente, Deus libertou Israel através da profetisa Débora e seu capitão, Baraque, que derrotaram Sísera, o capitão do exército de Jabim. Enquanto descansava após sua fuga da batalha, o próprio Sísera foi morto por uma mulher. Jabim não era mais uma ameaça após a morte de Sísera e, após um breve período, foi morto (</w:t>
      </w:r>
      <w:hyperlink r:id="rId11471">
        <w:r>
          <w:rPr>
            <w:color w:val="0000EE"/>
            <w:u w:val="single"/>
          </w:rPr>
          <w:t>Jz 4.24</w:t>
        </w:r>
      </w:hyperlink>
      <w:r>
        <w:t xml:space="preserve">; </w:t>
      </w:r>
      <w:hyperlink r:id="rId11472">
        <w:r>
          <w:rPr>
            <w:color w:val="0000EE"/>
            <w:u w:val="single"/>
          </w:rPr>
          <w:t>Sl 83.9</w:t>
        </w:r>
      </w:hyperlink>
      <w:r>
        <w:t>).</w:t>
      </w:r>
      <w:r/>
      <w:r/>
    </w:p>
    <w:p>
      <w:r/>
    </w:p>
    <w:p>
      <w:pPr>
        <w:pStyle w:val="Heading2"/>
      </w:pPr>
      <w:r>
        <w:t>Jaboque</w:t>
      </w:r>
      <w:r/>
    </w:p>
    <w:p>
      <w:r/>
      <w:r>
        <w:t>É um afluente oriental do Jordão, o moderno Nahr ez-Zerqa ou Rio Azul. Sua nascente é uma fonte perto de Amã, capital da moderna Jordânia (a cidade da Decápolis de Filadélfia nos tempos helenísticos). Desde sua nascente, o Jaboque faz uma curva ao nordeste antes de virar para o oeste e cortar um vale que, característico dos afluentes orientais do Jordão, aprofunda-se em um desfiladeiro. Ele emerge desse ravino perto de Tell Deir Alla, que pode ser a antiga Sucote, acalma seu fluxo e junta-se ao Jordão em ed-Damiyeh, o antigo Adam, a cerca de 24 quilômetros ao norte do Mar Morto. O Jaboque está em posição imediatamente inferior ao Yarmuk, seu afluente companheiro mais ao norte, quanto à extensão de sua bacia hidrográfica uma região de território bem irrigado, abençoado com uma precipitação média de cerca de 76 centímetros por ano. O Jaboque possui um fluxo rápido, forte e perene; em uma grande parte de seu curso de 96 quilômetros, o rio tem uma queda média de 15 metros por quilômetro. A curva do rio ao norte de Amã (a bíblica Rabá) era uma fronteira amonita (</w:t>
      </w:r>
      <w:hyperlink r:id="rId188">
        <w:r>
          <w:rPr>
            <w:color w:val="0000EE"/>
            <w:u w:val="single"/>
          </w:rPr>
          <w:t>Nm 21.24</w:t>
        </w:r>
      </w:hyperlink>
      <w:r>
        <w:t>). O rio separava os reinos de Seom e Ogue (</w:t>
      </w:r>
      <w:hyperlink r:id="rId11473">
        <w:r>
          <w:rPr>
            <w:color w:val="0000EE"/>
            <w:u w:val="single"/>
          </w:rPr>
          <w:t>Jz 11.19–22</w:t>
        </w:r>
      </w:hyperlink>
      <w:r>
        <w:t xml:space="preserve">; cf. </w:t>
      </w:r>
      <w:hyperlink r:id="rId11474">
        <w:r>
          <w:rPr>
            <w:color w:val="0000EE"/>
            <w:u w:val="single"/>
          </w:rPr>
          <w:t>Dt 3.1–2,8–10</w:t>
        </w:r>
      </w:hyperlink>
      <w:r>
        <w:t>), terras em Gileade que mais tarde foram divididas entre as tribos de Gade, Rúben e a meia tribo de Manassés (</w:t>
      </w:r>
      <w:hyperlink r:id="rId2525">
        <w:r>
          <w:rPr>
            <w:color w:val="0000EE"/>
            <w:u w:val="single"/>
          </w:rPr>
          <w:t>Dt 3.12,16</w:t>
        </w:r>
      </w:hyperlink>
      <w:r>
        <w:t xml:space="preserve">; </w:t>
      </w:r>
      <w:hyperlink r:id="rId11475">
        <w:r>
          <w:rPr>
            <w:color w:val="0000EE"/>
            <w:u w:val="single"/>
          </w:rPr>
          <w:t>Js 12.2–6</w:t>
        </w:r>
      </w:hyperlink>
      <w:r>
        <w:t>).</w:t>
      </w:r>
    </w:p>
    <w:p>
      <w:r/>
      <w:r>
        <w:rPr>
          <w:i/>
        </w:rPr>
        <w:t>Veja também</w:t>
      </w:r>
      <w:r>
        <w:t xml:space="preserve"> </w:t>
      </w:r>
      <w:r>
        <w:t>Rio Jordão</w:t>
      </w:r>
      <w:r>
        <w:t>.</w:t>
      </w:r>
      <w:r/>
      <w:r/>
    </w:p>
    <w:p>
      <w:r/>
    </w:p>
    <w:p>
      <w:pPr>
        <w:pStyle w:val="Heading2"/>
      </w:pPr>
      <w:r>
        <w:t>Jacó</w:t>
      </w:r>
      <w:r/>
    </w:p>
    <w:p>
      <w:r/>
      <w:r>
        <w:t>1. O mais jovem dos filhos gêmeos nascidos de Isaque e Rebeca (</w:t>
      </w:r>
      <w:hyperlink r:id="rId8127">
        <w:r>
          <w:rPr>
            <w:color w:val="0000EE"/>
            <w:u w:val="single"/>
          </w:rPr>
          <w:t>Gn 25.24–26</w:t>
        </w:r>
      </w:hyperlink>
      <w:r>
        <w:t xml:space="preserve">). Isaque havia orado por sua esposa estéril, Rebeca, e ela concebeu os gêmeos, que se empurravam no ventre. Quando ela perguntou ao Senhor sobre isso, ele lhe disse que ela estava carregando duas nações e que o filho mais velho serviria ao mais jovem (v. </w:t>
      </w:r>
      <w:hyperlink r:id="rId10510">
        <w:r>
          <w:rPr>
            <w:color w:val="0000EE"/>
            <w:u w:val="single"/>
          </w:rPr>
          <w:t>23</w:t>
        </w:r>
      </w:hyperlink>
      <w:r>
        <w:t xml:space="preserve">). Esaú era peludo e vermelho (mais tarde ele foi chamado de Edom, “vermelho”, </w:t>
      </w:r>
      <w:hyperlink r:id="rId5577">
        <w:r>
          <w:rPr>
            <w:color w:val="0000EE"/>
            <w:u w:val="single"/>
          </w:rPr>
          <w:t>25.30</w:t>
        </w:r>
      </w:hyperlink>
      <w:r>
        <w:t xml:space="preserve">; </w:t>
      </w:r>
      <w:hyperlink r:id="rId11476">
        <w:r>
          <w:rPr>
            <w:color w:val="0000EE"/>
            <w:u w:val="single"/>
          </w:rPr>
          <w:t>36.1</w:t>
        </w:r>
      </w:hyperlink>
      <w:r>
        <w:t xml:space="preserve">), mas Jacó nasceu segurando o calcanhar de seu irmão, por isso foi chamado de Jacó, “ele agarra pelo calcanhar” (cf. </w:t>
      </w:r>
      <w:hyperlink r:id="rId11477">
        <w:r>
          <w:rPr>
            <w:color w:val="0000EE"/>
            <w:u w:val="single"/>
          </w:rPr>
          <w:t>Os 12.3</w:t>
        </w:r>
      </w:hyperlink>
      <w:r>
        <w:t>), com o significado derivado de “suplantar, enganar, atacar por trás”.</w:t>
      </w:r>
    </w:p>
    <w:p>
      <w:r/>
      <w:r>
        <w:t>História Pessoal</w:t>
      </w:r>
    </w:p>
    <w:p>
      <w:r/>
      <w:r>
        <w:t>Esaú e Jacó eram muito diferentes um do outro. Esaú era um homem do campo, o favorito de seu pai, enquanto Jacó permanecia perto das tendas e era amado por sua mãe.</w:t>
      </w:r>
    </w:p>
    <w:p>
      <w:r/>
      <w:r>
        <w:t xml:space="preserve">Um dia, quando Jacó estava preparando um guisado vermelho, Esaú entrou faminto e pediu a Jacó um pouco de comida. Jacó ofereceu vender a Esaú um pouco do guisado em troca de seu direito de primogenitura, e Esaú concordou, assim repudiando seu direito de primogenitura (cf. </w:t>
      </w:r>
      <w:hyperlink r:id="rId11478">
        <w:r>
          <w:rPr>
            <w:color w:val="0000EE"/>
            <w:u w:val="single"/>
          </w:rPr>
          <w:t>Hb 12.16</w:t>
        </w:r>
      </w:hyperlink>
      <w:r>
        <w:t>). O significado deste episódio do guisado vermelho é demonstrado por sua associação com o segundo nome de Esaú, Edom (“vermelho”) (</w:t>
      </w:r>
      <w:hyperlink r:id="rId5577">
        <w:r>
          <w:rPr>
            <w:color w:val="0000EE"/>
            <w:u w:val="single"/>
          </w:rPr>
          <w:t>Gn 25.30</w:t>
        </w:r>
      </w:hyperlink>
      <w:r>
        <w:t>).</w:t>
      </w:r>
    </w:p>
    <w:p>
      <w:r/>
      <w:r>
        <w:t>Isaque estava velho e cego. Um dia, ele pediu a Esaú para pegar suas armas e caçar algum animal selvagem, do qual Isaque gostava muito (</w:t>
      </w:r>
      <w:hyperlink r:id="rId11479">
        <w:r>
          <w:rPr>
            <w:color w:val="0000EE"/>
            <w:u w:val="single"/>
          </w:rPr>
          <w:t>Gn 27.6–7</w:t>
        </w:r>
      </w:hyperlink>
      <w:r>
        <w:t xml:space="preserve">; cf </w:t>
      </w:r>
      <w:hyperlink r:id="rId11480">
        <w:r>
          <w:rPr>
            <w:color w:val="0000EE"/>
            <w:u w:val="single"/>
          </w:rPr>
          <w:t>25.28</w:t>
        </w:r>
      </w:hyperlink>
      <w:r>
        <w:t>), para que ele pudesse comer e então conferir sua bênção a Esaú. Rebeca ouviu isso e chamou Jacó, dizendo-lhe para ir ao rebanho e escolher dois bons cabritos. Ela prepararia um prato que passaria por caça enquanto Esaú estivesse caçando. Jacó temia que Isaque percebesse a enganação, pois Esaú era muito peludo, mas Rebeca tinha tudo planejado. Ela colocou as peles dos cabritos nas mãos e no pescoço de Jacó para dar a impressão de pelugem (</w:t>
      </w:r>
      <w:hyperlink r:id="rId11481">
        <w:r>
          <w:rPr>
            <w:color w:val="0000EE"/>
            <w:u w:val="single"/>
          </w:rPr>
          <w:t>27.16</w:t>
        </w:r>
      </w:hyperlink>
      <w:r>
        <w:t xml:space="preserve">) e vestiu-o com as melhores roupas de Esaú, que tinham o cheiro do campo. Embora Isaque reconhecesse a voz de Jacó, seus outros sentidos falharam, e ele foi enganado pela sensação das peles e pelo cheiro das roupas. Ele prosseguiu dando a bênção a Jacó (vv. </w:t>
      </w:r>
      <w:hyperlink r:id="rId47">
        <w:r>
          <w:rPr>
            <w:color w:val="0000EE"/>
            <w:u w:val="single"/>
          </w:rPr>
          <w:t>27–29</w:t>
        </w:r>
      </w:hyperlink>
      <w:r>
        <w:t>).</w:t>
      </w:r>
    </w:p>
    <w:p>
      <w:r/>
      <w:r>
        <w:t>Assim que Jacó saiu, Esaú chegou com a caça que havia preparado. A artimanha de Jacó foi descoberta, mas o feito não podia ser desfeito (</w:t>
      </w:r>
      <w:hyperlink r:id="rId11482">
        <w:r>
          <w:rPr>
            <w:color w:val="0000EE"/>
            <w:u w:val="single"/>
          </w:rPr>
          <w:t>Gn 27.33</w:t>
        </w:r>
      </w:hyperlink>
      <w:r>
        <w:t xml:space="preserve">), pois, como mostram as tábuas de Nuzi, uma bênção oral tinha validade legal e não podia ser revogada. Esaú ficou desolado (cf. </w:t>
      </w:r>
      <w:hyperlink r:id="rId11483">
        <w:r>
          <w:rPr>
            <w:color w:val="0000EE"/>
            <w:u w:val="single"/>
          </w:rPr>
          <w:t>Hb 12.17</w:t>
        </w:r>
      </w:hyperlink>
      <w:r>
        <w:t>). Isaque deu-lhe uma bênção inferior à que foi dada a Jacó (</w:t>
      </w:r>
      <w:hyperlink r:id="rId11484">
        <w:r>
          <w:rPr>
            <w:color w:val="0000EE"/>
            <w:u w:val="single"/>
          </w:rPr>
          <w:t>Gn 27.39–40</w:t>
        </w:r>
      </w:hyperlink>
      <w:r>
        <w:t>).</w:t>
      </w:r>
    </w:p>
    <w:p>
      <w:r/>
      <w:r>
        <w:t>A animosidade entre os irmãos se aprofundou, e Esaú planejou matar Jacó após a morte de seu pai. Rebeca soube disso, então instruiu Jacó a fugir para a casa de seu irmão Labão em Harã (</w:t>
      </w:r>
      <w:hyperlink r:id="rId11485">
        <w:r>
          <w:rPr>
            <w:color w:val="0000EE"/>
            <w:u w:val="single"/>
          </w:rPr>
          <w:t>Gn 27.42–45</w:t>
        </w:r>
      </w:hyperlink>
      <w:r>
        <w:t>). Enquanto isso, as esposas hititas de Esaú estavam tornando a vida de Rebeca miserável; ela reclamou com Isaque, que chamou Jacó e o enviou a Labão para se casar com uma das filhas de seu tio (</w:t>
      </w:r>
      <w:hyperlink r:id="rId11486">
        <w:r>
          <w:rPr>
            <w:color w:val="0000EE"/>
            <w:u w:val="single"/>
          </w:rPr>
          <w:t>27.46–28.4</w:t>
        </w:r>
      </w:hyperlink>
      <w:r>
        <w:t>).</w:t>
      </w:r>
    </w:p>
    <w:p>
      <w:r/>
      <w:r>
        <w:t>Jacó partiu para Harã. Usando uma pedra como travesseiro, ele sonhou certa noite com uma escada que chegava até o céu, com os anjos de Deus subindo e descendo por ela. Deus falou com Jacó e lhe deu a promessa que havia feito a Abraão e Isaque sobre a terra e os descendentes. Na manhã seguinte, Jacó pegou sua pedra travesseiro e a ergueu como uma coluna, ungindo-a com óleo. Ele nomeou o lugar Betel ("casa de Deus") e fez um voto de que, se o Senhor estivesse com ele e o sustentasse, ele daria um dízimo ao Senhor (</w:t>
      </w:r>
      <w:hyperlink r:id="rId26">
        <w:r>
          <w:rPr>
            <w:color w:val="0000EE"/>
            <w:u w:val="single"/>
          </w:rPr>
          <w:t>Gn 28.10–22</w:t>
        </w:r>
      </w:hyperlink>
      <w:r>
        <w:t>).</w:t>
      </w:r>
    </w:p>
    <w:p>
      <w:r/>
      <w:r>
        <w:t>Quando Jacó chegou à região de Harã, encontrou pastores que conheciam Labão. Raquel, a filha mais nova de Labão, chegou com o rebanho de seu pai, e Jacó rolou a grande pedra da boca do poço e deu água às ovelhas para ela (</w:t>
      </w:r>
      <w:hyperlink r:id="rId11487">
        <w:r>
          <w:rPr>
            <w:color w:val="0000EE"/>
            <w:u w:val="single"/>
          </w:rPr>
          <w:t>Gn 29.1–10</w:t>
        </w:r>
      </w:hyperlink>
      <w:r>
        <w:t xml:space="preserve">). Quando Raquel soube que Jacó era da mesma família, ela correu para contar ao pai, que recebeu Jacó calorosamente. Depois de ficar com eles por um mês, Jacó foi contratado para cuidar dos rebanhos de Labão. Quando os salários foram discutidos, Jacó propôs trabalhar sete anos para ganhar Raquel como sua esposa (vv. </w:t>
      </w:r>
      <w:hyperlink r:id="rId11488">
        <w:r>
          <w:rPr>
            <w:color w:val="0000EE"/>
            <w:u w:val="single"/>
          </w:rPr>
          <w:t>15–20</w:t>
        </w:r>
      </w:hyperlink>
      <w:r>
        <w:t>).</w:t>
      </w:r>
    </w:p>
    <w:p>
      <w:r/>
      <w:r>
        <w:t>No final de sete anos, Jacó estava pronto para reivindicar seu pagamento, mas na noite da festa de casamento, Labão deu sua filha mais velha, Lia, a Jacó; Jacó não descobriu a substituição até a manhã seguinte. Ele se sentiu enganado e protestou a Labão, mas Labão insistiu que, de acordo com o costume, a filha mais velha deve se casar primeiro e propôs que Jacó trabalhasse mais sete anos por Raquel. Jacó concordou com isso e cumpriu seu tempo (</w:t>
      </w:r>
      <w:hyperlink r:id="rId11489">
        <w:r>
          <w:rPr>
            <w:color w:val="0000EE"/>
            <w:u w:val="single"/>
          </w:rPr>
          <w:t>Gn 29.21–30</w:t>
        </w:r>
      </w:hyperlink>
      <w:r>
        <w:t>).</w:t>
      </w:r>
    </w:p>
    <w:p>
      <w:r/>
      <w:hyperlink r:id="rId3784">
        <w:r>
          <w:rPr>
            <w:color w:val="0000EE"/>
            <w:u w:val="single"/>
          </w:rPr>
          <w:t>Gênesis 29</w:t>
        </w:r>
      </w:hyperlink>
      <w:r>
        <w:t xml:space="preserve"> e </w:t>
      </w:r>
      <w:hyperlink r:id="rId11490">
        <w:r>
          <w:rPr>
            <w:color w:val="0000EE"/>
            <w:u w:val="single"/>
          </w:rPr>
          <w:t>30</w:t>
        </w:r>
      </w:hyperlink>
      <w:r>
        <w:t xml:space="preserve"> relatam os nascimentos da maioria dos filhos de Jacó. Lia deu a Jacó quatro filhos: Rúben, Simeão, Levi e Judá (</w:t>
      </w:r>
      <w:hyperlink r:id="rId7178">
        <w:r>
          <w:rPr>
            <w:color w:val="0000EE"/>
            <w:u w:val="single"/>
          </w:rPr>
          <w:t>Gn 29.31–35</w:t>
        </w:r>
      </w:hyperlink>
      <w:r>
        <w:t>). Ela nomeou seu primeiro filho Rúben ("veja, um filho") porque sentiu que seu marido a amaria por ter dado à luz um filho. Simeão é derivado da raiz "ouvir", já que Lia pensou que Deus lhe havia dado este filho porque Ele ouviu que ela era odiada. Levi está relacionado ao verbo "unir", pois Lia pensou que seu marido se uniria a ela por causa deste terceiro filho. Judá significa "louvor", pois ela louvou o Senhor no nascimento de seu quarto filho.</w:t>
      </w:r>
    </w:p>
    <w:p>
      <w:r/>
      <w:r>
        <w:t>Raquel não tinha concebido filhos, então ela deu sua serva Bila a Jacó. Ela lhe deu Dã e Naftali (</w:t>
      </w:r>
      <w:hyperlink r:id="rId11491">
        <w:r>
          <w:rPr>
            <w:color w:val="0000EE"/>
            <w:u w:val="single"/>
          </w:rPr>
          <w:t>Gn 30.1–8</w:t>
        </w:r>
      </w:hyperlink>
      <w:r>
        <w:t>). Raquel nomeou o primeiro filho Dã (“ele julgou”) porque Deus a havia julgado, ou seja, vindicado. Naftali significa “minha luta, meu combate”, pois Raquel disse que havia lutado e vencido sua irmã.</w:t>
      </w:r>
    </w:p>
    <w:p>
      <w:r/>
      <w:r>
        <w:t>Então Lia deu sua serva Zilpa a Jacó como esposa; ela deu à luz Gade e Aser (</w:t>
      </w:r>
      <w:hyperlink r:id="rId9681">
        <w:r>
          <w:rPr>
            <w:color w:val="0000EE"/>
            <w:u w:val="single"/>
          </w:rPr>
          <w:t>Gn 30.11</w:t>
        </w:r>
      </w:hyperlink>
      <w:r>
        <w:t>). Gade significa “fortuna”; Lia disse, “Boa sorte”, quando ele nasceu. Aser (“feliz”) foi assim nomeado porque Lia disse, “Agora as mulheres me chamarão de feliz”.</w:t>
      </w:r>
    </w:p>
    <w:p>
      <w:r/>
      <w:r>
        <w:t>Rúben encontrou algumas mandrágoras no campo, e Lia as trocou com Raquel pelos serviços de Jacó. Lia então deu à luz os filhos cinco e seis, Issacar e Zebulom, seguidos por uma filha, a quem chamou de Diná (</w:t>
      </w:r>
      <w:hyperlink r:id="rId8523">
        <w:r>
          <w:rPr>
            <w:color w:val="0000EE"/>
            <w:u w:val="single"/>
          </w:rPr>
          <w:t>Gn 30.14–21</w:t>
        </w:r>
      </w:hyperlink>
      <w:r>
        <w:t>). Issacar talvez signifique "recompensa", pois Lia disse que Deus a recompensou por dar sua serva ao seu marido. Zebulom provavelmente significa "honra"; Lia pensou que agora seu marido a honraria.</w:t>
      </w:r>
    </w:p>
    <w:p>
      <w:r/>
      <w:r>
        <w:t>Finalmente, Raquel concebeu e deu à luz seu primeiro filho, a quem ela chamou de José. "José" significa "ele acrescentará" ou "que ele acrescente", pois Raquel desejava que Deus lhe concedesse outro filho.</w:t>
      </w:r>
    </w:p>
    <w:p>
      <w:r/>
      <w:r>
        <w:t>Jacó queria partir e voltar para Canaã, mas Labão desejava que ele permanecesse, pois por meio de adivinhação havia descoberto que o Senhor o abençoara por causa de Jacó (</w:t>
      </w:r>
      <w:hyperlink r:id="rId11492">
        <w:r>
          <w:rPr>
            <w:color w:val="0000EE"/>
            <w:u w:val="single"/>
          </w:rPr>
          <w:t>Gn 30.27</w:t>
        </w:r>
      </w:hyperlink>
      <w:r>
        <w:t xml:space="preserve">). Eles discutiram a questão dos salários, e Jacó propôs que todas as ovelhas e cabras malhadas e salpicadas, além de todos os cordeiros pretos, se tornassem dele (vv. </w:t>
      </w:r>
      <w:hyperlink r:id="rId5517">
        <w:r>
          <w:rPr>
            <w:color w:val="0000EE"/>
            <w:u w:val="single"/>
          </w:rPr>
          <w:t>32–33</w:t>
        </w:r>
      </w:hyperlink>
      <w:r>
        <w:t xml:space="preserve">). Labão concordou com isso, mas rapidamente removeu todos os animais marcados dessa forma e os colocou sob os cuidados de seus filhos, a uma distância de três dias do restante dos rebanhos (vv. </w:t>
      </w:r>
      <w:hyperlink r:id="rId11493">
        <w:r>
          <w:rPr>
            <w:color w:val="0000EE"/>
            <w:u w:val="single"/>
          </w:rPr>
          <w:t>35–36</w:t>
        </w:r>
      </w:hyperlink>
      <w:r>
        <w:t>).</w:t>
      </w:r>
    </w:p>
    <w:p>
      <w:r/>
      <w:r>
        <w:t>Jacó também planejou obter uma vantagem; ele tentou influenciar a genética dos animais colocando varas listradas e manchadas perto dos bebedouros quando os melhores animais estavam se reproduzindo. O Senhor abençoou Jacó, e ele se tornou rico em rebanhos e manadas (</w:t>
      </w:r>
      <w:hyperlink r:id="rId11494">
        <w:r>
          <w:rPr>
            <w:color w:val="0000EE"/>
            <w:u w:val="single"/>
          </w:rPr>
          <w:t>Gn 30.37–43</w:t>
        </w:r>
      </w:hyperlink>
      <w:r>
        <w:t>).</w:t>
      </w:r>
    </w:p>
    <w:p>
      <w:r/>
      <w:r>
        <w:t>Os filhos de Labão ficaram muito amargurados com Jacó, e a atitude de Labão em relação a ele também mudou. Jacó percebeu isso, e então o Senhor falou com Jacó, dizendo-lhe para retornar a Canaã (</w:t>
      </w:r>
      <w:hyperlink r:id="rId11495">
        <w:r>
          <w:rPr>
            <w:color w:val="0000EE"/>
            <w:u w:val="single"/>
          </w:rPr>
          <w:t>Gn 31.3–16</w:t>
        </w:r>
      </w:hyperlink>
      <w:r>
        <w:t xml:space="preserve">). Jacó realizou uma reunião familiar com suas duas esposas e lhes contou como Deus o havia abençoado, mesmo que o pai delas o tivesse enganado e mudado seu salário dez vezes. Jacó organizou sua caravana enquanto Labão estava fora tosquiando ovelhas. Raquel roubou os deuses domésticos de seu pai, pois a posse deles tornaria o portador herdeiro da herança de Labão (veja </w:t>
      </w:r>
      <w:r>
        <w:t>Tábuas de Nuzi</w:t>
      </w:r>
      <w:r>
        <w:t>). O grupo partiu, cruzou o Eufrates e seguiu em direção a Gileade. Labão e seus parentes os perseguiram, mas Deus falou com Labão em um sonho, avisando-o para não dizer nada a Jacó.</w:t>
      </w:r>
    </w:p>
    <w:p>
      <w:r/>
      <w:r>
        <w:t>Quando Labão alcançou Jacó, ele o repreendeu por ter fugido sorrateiramente e perguntou sobre os deuses domésticos. Jacó não sabia o que Raquel havia feito, então disse que aquele que fosse encontrado com os deuses deveria ser morto (</w:t>
      </w:r>
      <w:hyperlink r:id="rId6941">
        <w:r>
          <w:rPr>
            <w:color w:val="0000EE"/>
            <w:u w:val="single"/>
          </w:rPr>
          <w:t>Gn 31.32</w:t>
        </w:r>
      </w:hyperlink>
      <w:r>
        <w:t>). Raquel os havia escondido em uma sela de camelo e estava sentada na sela quando seu pai revistou a tenda. Labão não encontrou os ídolos. Depois disso, Jacó ficou irritado e reclamou que havia servido a Labão por 20 anos e que Labão havia reduzido seu salário dez vezes.</w:t>
      </w:r>
    </w:p>
    <w:p>
      <w:r/>
      <w:r>
        <w:t>Labão propôs uma aliança de paz, então os dois homens juntaram pedras para fazer um monumento e o chamaram de "monte de testemunho". Na manhã seguinte, Labão se despediu e voltou para casa.</w:t>
      </w:r>
    </w:p>
    <w:p>
      <w:r/>
      <w:r>
        <w:t xml:space="preserve">Enquanto Jacó e sua casa continuavam a jornada, ele foi encontrado pelos anjos de Deus (“acampamento de Deus”, </w:t>
      </w:r>
      <w:hyperlink r:id="rId11496">
        <w:r>
          <w:rPr>
            <w:color w:val="0000EE"/>
            <w:u w:val="single"/>
          </w:rPr>
          <w:t>Gn 32.2</w:t>
        </w:r>
      </w:hyperlink>
      <w:r>
        <w:t>), então ele nomeou aquele lugar Maanaim, “os dois acampamentos”. Jacó enviou mensageiros à frente para informar Esaú de seu retorno. Eles voltaram com a notícia de que Esaú estava se aproximando com 400 homens. Jacó ficou com medo e buscou a proteção do Senhor. Para ganhar o favor de Esaú, Jacó enviou à frente presentes de animais, e naquela noite ele enviou sua família e posses através do vau do Rio Jaboque. Jacó ficou sozinho, e “um homem” lutou com ele durante toda a noite. Perto do amanhecer, o homem tocou a coxa de Jacó, e seu quadril foi deslocado, mas Jacó não desistiria até que o “homem” o abençoasse. Aqui o Senhor mudou o nome de Jacó para Israel (“ele luta com Deus”), e Jacó nomeou o lugar Peniel (“face de Deus”) porque ele tinha visto Deus face a face e sobreviveu (</w:t>
      </w:r>
      <w:hyperlink r:id="rId11497">
        <w:r>
          <w:rPr>
            <w:color w:val="0000EE"/>
            <w:u w:val="single"/>
          </w:rPr>
          <w:t>Gn 32.30</w:t>
        </w:r>
      </w:hyperlink>
      <w:r>
        <w:t>).</w:t>
      </w:r>
    </w:p>
    <w:p>
      <w:r/>
      <w:r>
        <w:t>Esaú estava se aproximando, então Jacó organizou sua família e foi adiante, curvando-se profundamente diante de seu irmão. Mas Esaú foi gracioso e perdoou, e o encontro foi feliz (</w:t>
      </w:r>
      <w:hyperlink r:id="rId3316">
        <w:r>
          <w:rPr>
            <w:color w:val="0000EE"/>
            <w:u w:val="single"/>
          </w:rPr>
          <w:t>Gn 33.4</w:t>
        </w:r>
      </w:hyperlink>
      <w:r>
        <w:t xml:space="preserve">). Esaú ficou surpreso com a grande família e propriedade de Jacó e fez todos os gestos de amizade. Esaú voltou para Seir, e Jacó seguiu para Siquém, onde comprou um pedaço de terra de Hamor, o pai de Siquém. Jacó construiu um altar lá e o nomeou El-Elohe-Israel, “Deus, o Deus de Israel” (v. </w:t>
      </w:r>
      <w:hyperlink r:id="rId978">
        <w:r>
          <w:rPr>
            <w:color w:val="0000EE"/>
            <w:u w:val="single"/>
          </w:rPr>
          <w:t>20</w:t>
        </w:r>
      </w:hyperlink>
      <w:r>
        <w:t>).</w:t>
      </w:r>
    </w:p>
    <w:p>
      <w:r/>
      <w:r>
        <w:t>Seguindo as instruções do Senhor, Jacó mudou-se para Betel e expulsou os deuses estrangeiros de sua casa. Em Luz (Betel), o Senhor novamente o encontrou e reafirmou seu novo nome, renovando sua promessa de terra e descendentes (</w:t>
      </w:r>
      <w:hyperlink r:id="rId11498">
        <w:r>
          <w:rPr>
            <w:color w:val="0000EE"/>
            <w:u w:val="single"/>
          </w:rPr>
          <w:t>Gn 35.9–15</w:t>
        </w:r>
      </w:hyperlink>
      <w:r>
        <w:t>). Enquanto viajavam para o sul, Raquel morreu ao dar à luz seu segundo filho (</w:t>
      </w:r>
      <w:hyperlink r:id="rId11499">
        <w:r>
          <w:rPr>
            <w:color w:val="0000EE"/>
            <w:u w:val="single"/>
          </w:rPr>
          <w:t>vv. 16–20</w:t>
        </w:r>
      </w:hyperlink>
      <w:r>
        <w:t>). Ela o chamou de Benoni (“filho da minha dor”), mas Jacó mudou seu nome para Benjamim (“filho da mão direita”). Jacó seguiu para Hebrom e descobriu que Isaque ainda estava vivo. Isaque morreu aos 180 anos e foi sepultado por Esaú e Jacó.</w:t>
      </w:r>
    </w:p>
    <w:p>
      <w:r/>
      <w:r>
        <w:t xml:space="preserve">Embora a história de Jacó continue no livro de Gênesis, a figura central dos capítulos </w:t>
      </w:r>
      <w:hyperlink r:id="rId11500">
        <w:r>
          <w:rPr>
            <w:color w:val="0000EE"/>
            <w:u w:val="single"/>
          </w:rPr>
          <w:t>37–50</w:t>
        </w:r>
      </w:hyperlink>
      <w:r>
        <w:t xml:space="preserve"> é José, o filho favorito de Jacó, o primogênito de Raquel. Jacó demonstrou esse favoritismo de forma tão evidente que os outros filhos ficaram com ciúmes de José. Eles planejaram matar José, mas em vez disso o venderam para uma caravana de comerciantes a caminho do Egito (</w:t>
      </w:r>
      <w:hyperlink r:id="rId11501">
        <w:r>
          <w:rPr>
            <w:color w:val="0000EE"/>
            <w:u w:val="single"/>
          </w:rPr>
          <w:t>Gn 37.9–28</w:t>
        </w:r>
      </w:hyperlink>
      <w:r>
        <w:t>). Eles pegaram o manto de José, mergulharam-no no sangue de um bode e o levaram ao pai, dizendo que tinham encontrado a túnica. Jacó reconheceu o manto que havia dado ao filho e concluiu que ele estava morto. Jacó ficou desolado e não quis ser consolado.</w:t>
      </w:r>
    </w:p>
    <w:p>
      <w:r/>
      <w:r>
        <w:t>Quando uma fome atingiu Canaã, Jacó enviou seus filhos ao Egito para comprar grãos (</w:t>
      </w:r>
      <w:hyperlink r:id="rId11502">
        <w:r>
          <w:rPr>
            <w:color w:val="0000EE"/>
            <w:u w:val="single"/>
          </w:rPr>
          <w:t>Gn 42.1–5</w:t>
        </w:r>
      </w:hyperlink>
      <w:r>
        <w:t>), mantendo Benjamim em casa. Quando os irmãos retornaram a Canaã, relataram a Jacó que o governador (que na verdade era José) havia mantido Simeão como refém e exigido que levassem Benjamim com eles quando voltassem para buscar mais grãos. A fome continuou, e Jacó novamente enviou seus filhos ao Egito para buscar grãos. Muito a contragosto, ele permitiu que Benjamim fosse com eles, enviando também um presente para o governador egípcio (</w:t>
      </w:r>
      <w:hyperlink r:id="rId11503">
        <w:r>
          <w:rPr>
            <w:color w:val="0000EE"/>
            <w:u w:val="single"/>
          </w:rPr>
          <w:t>Gn 43.11–14</w:t>
        </w:r>
      </w:hyperlink>
      <w:r>
        <w:t>).</w:t>
      </w:r>
    </w:p>
    <w:p>
      <w:r/>
      <w:r>
        <w:t>A próxima notícia que Jacó recebeu foi que José estava vivo no Egito e queria que seu pai e toda a sua família se juntassem a ele (</w:t>
      </w:r>
      <w:hyperlink r:id="rId11504">
        <w:r>
          <w:rPr>
            <w:color w:val="0000EE"/>
            <w:u w:val="single"/>
          </w:rPr>
          <w:t>Gn 45.21–28</w:t>
        </w:r>
      </w:hyperlink>
      <w:r>
        <w:t>). Jacó foi primeiro a Berseba e fez ofertas ao Senhor. O Senhor falou com Jacó, dizendo-lhe para descer ao Egito e confirmando mais uma vez as promessas que havia feito anteriormente. Jacó e seus descendentes que estavam no Egito somavam 70, incluindo os dois filhos de José.</w:t>
      </w:r>
    </w:p>
    <w:p>
      <w:r/>
      <w:r>
        <w:t>Quando Jacó chegou a Gósen, José veio encontrá-lo, e houve uma reunião alegre (</w:t>
      </w:r>
      <w:hyperlink r:id="rId11505">
        <w:r>
          <w:rPr>
            <w:color w:val="0000EE"/>
            <w:u w:val="single"/>
          </w:rPr>
          <w:t>Gn 46.28–30</w:t>
        </w:r>
      </w:hyperlink>
      <w:r>
        <w:t>). José relatou a chegada de seu pai e irmãos ao Faraó (</w:t>
      </w:r>
      <w:hyperlink r:id="rId11506">
        <w:r>
          <w:rPr>
            <w:color w:val="0000EE"/>
            <w:u w:val="single"/>
          </w:rPr>
          <w:t>47.1</w:t>
        </w:r>
      </w:hyperlink>
      <w:r>
        <w:t>) e levou cinco dos irmãos e seu pai para conhecer o governante. Israel se estabeleceu na área de Gósen e prosperou lá. Jacó passou 17 anos no Egito e alcançou a idade de 147 anos.</w:t>
      </w:r>
    </w:p>
    <w:p>
      <w:r/>
      <w:r>
        <w:t>Quando Jacó sentiu que sua morte estava próxima, ele chamou José e fez com que ele jurasse que o enterraria com seus antepassados em Canaã. José levou seus dois filhos, Manassés e Efraim, a seu pai para a bênção patriarcal. Ele apresentou os meninos de modo que Manassés, o primogênito, ficasse à direita de Jacó e Efraim à sua esquerda. Jacó, no entanto, cruzou as mãos e deu ao filho mais novo a maior bênção (</w:t>
      </w:r>
      <w:hyperlink r:id="rId11507">
        <w:r>
          <w:rPr>
            <w:color w:val="0000EE"/>
            <w:u w:val="single"/>
          </w:rPr>
          <w:t>48.13–20</w:t>
        </w:r>
      </w:hyperlink>
      <w:r>
        <w:t>). Jacó profetizou que seu povo retornaria a Canaã e deu a José uma porção dupla da terra. Então Jacó chamou todos os seus filhos e deu a cada um deles uma bênção (</w:t>
      </w:r>
      <w:hyperlink r:id="rId5352">
        <w:r>
          <w:rPr>
            <w:color w:val="0000EE"/>
            <w:u w:val="single"/>
          </w:rPr>
          <w:t>49.1–28</w:t>
        </w:r>
      </w:hyperlink>
      <w:r>
        <w:t xml:space="preserve">). Judá recebeu o lugar de preeminência, e é ele quem aparece nas genealogias de Jesus (vv. </w:t>
      </w:r>
      <w:hyperlink r:id="rId11508">
        <w:r>
          <w:rPr>
            <w:color w:val="0000EE"/>
            <w:u w:val="single"/>
          </w:rPr>
          <w:t>8–12</w:t>
        </w:r>
      </w:hyperlink>
      <w:r>
        <w:t xml:space="preserve">). A bênção de José mostra os marcos de favor especial (vv. </w:t>
      </w:r>
      <w:hyperlink r:id="rId7181">
        <w:r>
          <w:rPr>
            <w:color w:val="0000EE"/>
            <w:u w:val="single"/>
          </w:rPr>
          <w:t>22–26</w:t>
        </w:r>
      </w:hyperlink>
      <w:r>
        <w:t>). Jacó também encarregou seus filhos de enterrá-lo na caverna de Macpela, perto de Hebrom, então ele puxou os pés para cima na cama e morreu.</w:t>
      </w:r>
    </w:p>
    <w:p>
      <w:r/>
      <w:r>
        <w:t>José convocou os médicos para embalsamar seu pai de acordo com a prática egípcia; foram 40 dias para o embalsamamento e 70 dias para o período de luto (</w:t>
      </w:r>
      <w:hyperlink r:id="rId11509">
        <w:r>
          <w:rPr>
            <w:color w:val="0000EE"/>
            <w:u w:val="single"/>
          </w:rPr>
          <w:t>Gn 50.1–3</w:t>
        </w:r>
      </w:hyperlink>
      <w:r>
        <w:t xml:space="preserve">). Foram feitos arranjos para ir a Canaã para enterrar Jacó como José havia prometido, e uma grande procissão fúnebre, incluindo muitos oficiais egípcios, bem como a família de Jacó, subiu do Egito. O grupo lamentou por sete dias na eira de Atade; então os filhos de Jacó o enterraram na caverna de Macpela, conforme ele havia solicitado. Todo o grupo retornou ao Egito, e José assegurou a seus irmãos que não tinha intenção de se vingar do mal que lhe haviam feito. Deus havia planejado todo o episódio para o bem (vv. </w:t>
      </w:r>
      <w:hyperlink r:id="rId11510">
        <w:r>
          <w:rPr>
            <w:color w:val="0000EE"/>
            <w:u w:val="single"/>
          </w:rPr>
          <w:t>15–21</w:t>
        </w:r>
      </w:hyperlink>
      <w:r>
        <w:t>).</w:t>
      </w:r>
    </w:p>
    <w:p>
      <w:r/>
      <w:r>
        <w:t>Jacó como a Nação de Israel</w:t>
      </w:r>
    </w:p>
    <w:p>
      <w:r/>
      <w:r>
        <w:t>Deus fez as mesmas promessas sobre a terra e a nação a Abraão, Isaque e Jacó, mas é pelo nome dado por Deus a Jacó, Israel, que a nação é conhecida.</w:t>
      </w:r>
    </w:p>
    <w:p>
      <w:r/>
      <w:r>
        <w:t xml:space="preserve">O nome Jacó é usado para a nação cerca de 100 vezes (e.g., </w:t>
      </w:r>
      <w:hyperlink r:id="rId11511">
        <w:r>
          <w:rPr>
            <w:color w:val="0000EE"/>
            <w:u w:val="single"/>
          </w:rPr>
          <w:t>Nm 24.5,19</w:t>
        </w:r>
      </w:hyperlink>
      <w:r>
        <w:t xml:space="preserve">; </w:t>
      </w:r>
      <w:hyperlink r:id="rId10576">
        <w:r>
          <w:rPr>
            <w:color w:val="0000EE"/>
            <w:u w:val="single"/>
          </w:rPr>
          <w:t>Dt 32.9</w:t>
        </w:r>
      </w:hyperlink>
      <w:r>
        <w:t xml:space="preserve">; </w:t>
      </w:r>
      <w:hyperlink r:id="rId11512">
        <w:r>
          <w:rPr>
            <w:color w:val="0000EE"/>
            <w:u w:val="single"/>
          </w:rPr>
          <w:t>Sl 59.13</w:t>
        </w:r>
      </w:hyperlink>
      <w:r>
        <w:t xml:space="preserve">). Muitas vezes é encontrado como um paralelo a Israel (e.g., </w:t>
      </w:r>
      <w:hyperlink r:id="rId11513">
        <w:r>
          <w:rPr>
            <w:color w:val="0000EE"/>
            <w:u w:val="single"/>
          </w:rPr>
          <w:t>Nm 23.7</w:t>
        </w:r>
      </w:hyperlink>
      <w:r>
        <w:t xml:space="preserve">; </w:t>
      </w:r>
      <w:hyperlink r:id="rId7592">
        <w:r>
          <w:rPr>
            <w:color w:val="0000EE"/>
            <w:u w:val="single"/>
          </w:rPr>
          <w:t>Dt 33.10</w:t>
        </w:r>
      </w:hyperlink>
      <w:r>
        <w:t xml:space="preserve">; </w:t>
      </w:r>
      <w:hyperlink r:id="rId5278">
        <w:r>
          <w:rPr>
            <w:color w:val="0000EE"/>
            <w:u w:val="single"/>
          </w:rPr>
          <w:t>Is 14.1</w:t>
        </w:r>
      </w:hyperlink>
      <w:r>
        <w:t>). “Jacó” também é usado especificamente para o reino do norte de Israel (</w:t>
      </w:r>
      <w:hyperlink r:id="rId11514">
        <w:r>
          <w:rPr>
            <w:color w:val="0000EE"/>
            <w:u w:val="single"/>
          </w:rPr>
          <w:t>Am 7.2,5</w:t>
        </w:r>
      </w:hyperlink>
      <w:r>
        <w:t xml:space="preserve">). Em </w:t>
      </w:r>
      <w:hyperlink r:id="rId11515">
        <w:r>
          <w:rPr>
            <w:color w:val="0000EE"/>
            <w:u w:val="single"/>
          </w:rPr>
          <w:t>Isaías 41.21</w:t>
        </w:r>
      </w:hyperlink>
      <w:r>
        <w:t>, “o Rei de Jacó” refere-se ao próprio Deus.</w:t>
      </w:r>
    </w:p>
    <w:p>
      <w:r/>
      <w:r>
        <w:rPr>
          <w:i/>
        </w:rPr>
        <w:t>Veja também</w:t>
      </w:r>
      <w:r>
        <w:t xml:space="preserve"> </w:t>
      </w:r>
      <w:r>
        <w:t>Gênesis, Livro de</w:t>
      </w:r>
      <w:r>
        <w:t xml:space="preserve">; </w:t>
      </w:r>
      <w:r>
        <w:t>Israel, História de</w:t>
      </w:r>
      <w:r>
        <w:t xml:space="preserve">; </w:t>
      </w:r>
      <w:r>
        <w:t>Patriarcas, Período dos</w:t>
      </w:r>
      <w:r>
        <w:t>.</w:t>
      </w:r>
    </w:p>
    <w:p>
      <w:r/>
      <w:r>
        <w:t>2. Pai de José, o marido de Maria e pai terreno de Jesus segundo a genealogia de Mateus (</w:t>
      </w:r>
      <w:hyperlink r:id="rId9872">
        <w:r>
          <w:rPr>
            <w:color w:val="0000EE"/>
            <w:u w:val="single"/>
          </w:rPr>
          <w:t>Mt 1.16</w:t>
        </w:r>
      </w:hyperlink>
      <w:r>
        <w:t>). Lucas, no entanto, nomeia Eli como pai de José (</w:t>
      </w:r>
      <w:hyperlink r:id="rId9885">
        <w:r>
          <w:rPr>
            <w:color w:val="0000EE"/>
            <w:u w:val="single"/>
          </w:rPr>
          <w:t>Lc 3.24</w:t>
        </w:r>
      </w:hyperlink>
      <w:r>
        <w:t xml:space="preserve">). </w:t>
      </w:r>
      <w:r>
        <w:rPr>
          <w:i/>
        </w:rPr>
        <w:t>Veja</w:t>
      </w:r>
      <w:r>
        <w:t xml:space="preserve"> </w:t>
      </w:r>
      <w:r>
        <w:t>Genealogia de Jesus Cristo (A Relação entre os Dois Registros)</w:t>
      </w:r>
      <w:r>
        <w:t>.</w:t>
      </w:r>
      <w:r/>
      <w:r/>
    </w:p>
    <w:p>
      <w:r/>
    </w:p>
    <w:p>
      <w:pPr>
        <w:pStyle w:val="Heading2"/>
      </w:pPr>
      <w:r>
        <w:t>Jafé</w:t>
      </w:r>
      <w:r/>
    </w:p>
    <w:p>
      <w:r/>
      <w:r>
        <w:t>Um dos três filhos de Noé (</w:t>
      </w:r>
      <w:hyperlink r:id="rId4115">
        <w:r>
          <w:rPr>
            <w:color w:val="0000EE"/>
            <w:u w:val="single"/>
          </w:rPr>
          <w:t>Gn 5.32</w:t>
        </w:r>
      </w:hyperlink>
      <w:r>
        <w:t xml:space="preserve">; </w:t>
      </w:r>
      <w:hyperlink r:id="rId4117">
        <w:r>
          <w:rPr>
            <w:color w:val="0000EE"/>
            <w:u w:val="single"/>
          </w:rPr>
          <w:t>7.13</w:t>
        </w:r>
      </w:hyperlink>
      <w:r>
        <w:t xml:space="preserve">; </w:t>
      </w:r>
      <w:hyperlink r:id="rId11516">
        <w:r>
          <w:rPr>
            <w:color w:val="0000EE"/>
            <w:u w:val="single"/>
          </w:rPr>
          <w:t>9.18,23,27</w:t>
        </w:r>
      </w:hyperlink>
      <w:r>
        <w:t xml:space="preserve">; </w:t>
      </w:r>
      <w:hyperlink r:id="rId11517">
        <w:r>
          <w:rPr>
            <w:color w:val="0000EE"/>
            <w:u w:val="single"/>
          </w:rPr>
          <w:t>10.1–5</w:t>
        </w:r>
      </w:hyperlink>
      <w:r>
        <w:t xml:space="preserve">; </w:t>
      </w:r>
      <w:hyperlink r:id="rId11518">
        <w:r>
          <w:rPr>
            <w:color w:val="0000EE"/>
            <w:u w:val="single"/>
          </w:rPr>
          <w:t>1Cr 1.4–5</w:t>
        </w:r>
      </w:hyperlink>
      <w:r>
        <w:t>) que, junto com sua esposa, estava entre os oito sobreviventes humanos do grande Dilúvio. Como Jafé e seu irmão Sem agiram com respeito e modéstia ao cobrir a nudez de seu pai enquanto ele estava embriagado (</w:t>
      </w:r>
      <w:hyperlink r:id="rId11519">
        <w:r>
          <w:rPr>
            <w:color w:val="0000EE"/>
            <w:u w:val="single"/>
          </w:rPr>
          <w:t>Gn 9.20–23</w:t>
        </w:r>
      </w:hyperlink>
      <w:r>
        <w:t xml:space="preserve">), ambos foram abençoados na declaração profética de Noé em </w:t>
      </w:r>
      <w:hyperlink r:id="rId11520">
        <w:r>
          <w:rPr>
            <w:color w:val="0000EE"/>
            <w:u w:val="single"/>
          </w:rPr>
          <w:t>Gênesis 9.26–27</w:t>
        </w:r>
      </w:hyperlink>
      <w:r>
        <w:t>. Sobre Jafé, Noé disse: “Deus amplie Jafé, e que ele habite nas tendas de Sem; e que Canaã seja seu escravo”. Existem duas interpretações sobre o significado desta profecia. Alguns entendem que a ampliação de Jafé se refere a um grande aumento no número de descendentes. “Habitar nas tendas de Sem” é entendido como a participação de Jafé na bênção de Sem. De acordo com essa visão, haverá um tempo em que Deus trabalhará principalmente com Sem (o povo de Israel), mas depois, em um momento posterior, Jafé será trazido para a conexão com a fé de Israel e compartilhará de suas promessas. Nesta visão, o cumprimento é encontrado na abertura do evangelho aos gentios no início da igreja do NT. Outros entendem que a “ampliação de Jafé” se refere à ampliação territorial, e o “habitar nas tendas de Sem” como a conquista do território semita pelos jafetitas. Nesta visão, o cumprimento é encontrado nas conquistas gregas e romanas da Palestina.</w:t>
      </w:r>
    </w:p>
    <w:p>
      <w:r/>
      <w:r>
        <w:t xml:space="preserve">No "tabela das nações" em </w:t>
      </w:r>
      <w:hyperlink r:id="rId10073">
        <w:r>
          <w:rPr>
            <w:color w:val="0000EE"/>
            <w:u w:val="single"/>
          </w:rPr>
          <w:t>Gênesis 10.2</w:t>
        </w:r>
      </w:hyperlink>
      <w:r>
        <w:t>, Jafé é listado como o pai de Gomer, Magogue, Madai, Javã, Tubal, Mesaque e Tiras. Estes são os ancestrais de povos que viviam ao norte e oeste de Israel e que falavam o que hoje são classificadas como línguas indo-europeias.</w:t>
      </w:r>
    </w:p>
    <w:p>
      <w:r/>
      <w:r>
        <w:rPr>
          <w:i/>
        </w:rPr>
        <w:t>Veja também</w:t>
      </w:r>
      <w:r>
        <w:t xml:space="preserve"> </w:t>
      </w:r>
      <w:r>
        <w:t>Nações</w:t>
      </w:r>
      <w:r>
        <w:t xml:space="preserve">; </w:t>
      </w:r>
      <w:r>
        <w:t>Noé #1</w:t>
      </w:r>
      <w:r>
        <w:t>.</w:t>
      </w:r>
      <w:r/>
      <w:r/>
    </w:p>
    <w:p>
      <w:r/>
    </w:p>
    <w:p>
      <w:pPr>
        <w:pStyle w:val="Heading2"/>
      </w:pPr>
      <w:r>
        <w:t>Jair</w:t>
      </w:r>
      <w:r/>
    </w:p>
    <w:p>
      <w:pPr>
        <w:pStyle w:val="ListNumber"/>
        <w:spacing w:line="240" w:lineRule="auto"/>
        <w:ind w:left="720"/>
      </w:pPr>
      <w:r/>
      <w:r>
        <w:t>Um descendente de Manassés (</w:t>
      </w:r>
      <w:hyperlink r:id="rId10355">
        <w:r>
          <w:rPr>
            <w:color w:val="0000EE"/>
            <w:u w:val="single"/>
          </w:rPr>
          <w:t>NM 32.41</w:t>
        </w:r>
      </w:hyperlink>
      <w:r>
        <w:t>). Na época da Conquista, ele tomou várias aldeias na região de Argobe, em Basã e Gileade, e as chamou com seu próprio nome, Havote-Jair, que significa "Cidades de Jair" (</w:t>
      </w:r>
      <w:hyperlink r:id="rId2491">
        <w:r>
          <w:rPr>
            <w:color w:val="0000EE"/>
            <w:u w:val="single"/>
          </w:rPr>
          <w:t>Dt 3.14</w:t>
        </w:r>
      </w:hyperlink>
      <w:r>
        <w:t xml:space="preserve">; compare </w:t>
      </w:r>
      <w:hyperlink r:id="rId11521">
        <w:r>
          <w:rPr>
            <w:color w:val="0000EE"/>
            <w:u w:val="single"/>
          </w:rPr>
          <w:t>Js 13.30</w:t>
        </w:r>
      </w:hyperlink>
      <w:r>
        <w:t xml:space="preserve">; </w:t>
      </w:r>
      <w:hyperlink r:id="rId2493">
        <w:r>
          <w:rPr>
            <w:color w:val="0000EE"/>
            <w:u w:val="single"/>
          </w:rPr>
          <w:t>1Rs 4.13</w:t>
        </w:r>
      </w:hyperlink>
      <w:r>
        <w:t xml:space="preserve">; </w:t>
      </w:r>
      <w:hyperlink r:id="rId9933">
        <w:r>
          <w:rPr>
            <w:color w:val="0000EE"/>
            <w:u w:val="single"/>
          </w:rPr>
          <w:t>1Cr 2.23</w:t>
        </w:r>
      </w:hyperlink>
      <w:r>
        <w:t>).</w:t>
      </w:r>
    </w:p>
    <w:p>
      <w:r/>
      <w:r>
        <w:rPr>
          <w:i/>
        </w:rPr>
        <w:t>Veja também</w:t>
      </w:r>
      <w:r>
        <w:t xml:space="preserve"> </w:t>
      </w:r>
      <w:r>
        <w:t>Havote-Jair</w:t>
      </w:r>
      <w:r>
        <w:t>.</w:t>
      </w:r>
    </w:p>
    <w:p>
      <w:pPr>
        <w:pStyle w:val="ListNumber"/>
        <w:spacing w:line="240" w:lineRule="auto"/>
        <w:ind w:left="720"/>
      </w:pPr>
      <w:r/>
      <w:r>
        <w:t>Um dos juízes de Israel. Ele julgou Israel por 22 anos. Ser um gileadita significa que ele pode ser descendente do #1 acima (</w:t>
      </w:r>
      <w:hyperlink r:id="rId11522">
        <w:r>
          <w:rPr>
            <w:color w:val="0000EE"/>
            <w:u w:val="single"/>
          </w:rPr>
          <w:t>Jz 10.3–5</w:t>
        </w:r>
      </w:hyperlink>
      <w:r>
        <w:t>).</w:t>
      </w:r>
    </w:p>
    <w:p>
      <w:pPr>
        <w:pStyle w:val="ListNumber"/>
        <w:spacing w:line="240" w:lineRule="auto"/>
        <w:ind w:left="720"/>
      </w:pPr>
      <w:r/>
      <w:r>
        <w:t>Pai de Elanã, que matou Lami, irmão de Golias (</w:t>
      </w:r>
      <w:hyperlink r:id="rId11523">
        <w:r>
          <w:rPr>
            <w:color w:val="0000EE"/>
            <w:u w:val="single"/>
          </w:rPr>
          <w:t>1Cr 20.5</w:t>
        </w:r>
      </w:hyperlink>
      <w:r>
        <w:t xml:space="preserve">). Em </w:t>
      </w:r>
      <w:hyperlink r:id="rId11524">
        <w:r>
          <w:rPr>
            <w:color w:val="0000EE"/>
            <w:u w:val="single"/>
          </w:rPr>
          <w:t>2 Samuel 21.19</w:t>
        </w:r>
      </w:hyperlink>
      <w:r>
        <w:t>, ele é chamado Jaaré-Oregim.</w:t>
      </w:r>
    </w:p>
    <w:p>
      <w:pPr>
        <w:pStyle w:val="ListNumber"/>
        <w:spacing w:line="240" w:lineRule="auto"/>
        <w:ind w:left="720"/>
      </w:pPr>
      <w:r/>
      <w:r>
        <w:t>Pai de Mordecai (</w:t>
      </w:r>
      <w:hyperlink r:id="rId3429">
        <w:r>
          <w:rPr>
            <w:color w:val="0000EE"/>
            <w:u w:val="single"/>
          </w:rPr>
          <w:t>Et 2.5</w:t>
        </w:r>
      </w:hyperlink>
      <w:r>
        <w:t>). Há um salto no tempo de 597 a.C., quando capturaram Jeconias, rei de Judá, para 486 a.C., quando Xerxes, rei da Pérsia, começou seu reinado. Isso ocorre no início de Ester. Isso sugere que Jair pode ter sido exilado juntamente com Jeconias ou, alternativamente, que foi seu pai, Simei, quem foi levado. Nesse caso, Jair teria nascido durante o cativeiro.</w:t>
      </w:r>
      <w:r/>
      <w:r/>
    </w:p>
    <w:p>
      <w:r/>
    </w:p>
    <w:p>
      <w:pPr>
        <w:pStyle w:val="Heading2"/>
      </w:pPr>
      <w:r>
        <w:t>Jairo</w:t>
      </w:r>
      <w:r/>
    </w:p>
    <w:p>
      <w:r/>
      <w:r>
        <w:t>Líder da sinagoga, talvez em Cafarnaum. Jairo buscou Jesus entre a multidão e implorou para que viesse curar sua filha gravemente doente. Enquanto se atrasava por outra cura, Jesus soube que a filha de Jairo havia morrido. Encorajando Jairo a não temer, mas acreditar, Jesus foi para a casa do líder, dispensou os lamentadores e trouxe a criança de volta à vida (</w:t>
      </w:r>
      <w:hyperlink r:id="rId11525">
        <w:r>
          <w:rPr>
            <w:color w:val="0000EE"/>
            <w:u w:val="single"/>
          </w:rPr>
          <w:t>Mc 5.22,35–42</w:t>
        </w:r>
      </w:hyperlink>
      <w:r>
        <w:t xml:space="preserve">; </w:t>
      </w:r>
      <w:hyperlink r:id="rId10110">
        <w:r>
          <w:rPr>
            <w:color w:val="0000EE"/>
            <w:u w:val="single"/>
          </w:rPr>
          <w:t>Lc 8.41,49–55</w:t>
        </w:r>
      </w:hyperlink>
      <w:r>
        <w:t>).</w:t>
      </w:r>
      <w:r/>
      <w:r/>
    </w:p>
    <w:p>
      <w:r/>
    </w:p>
    <w:p>
      <w:pPr>
        <w:pStyle w:val="Heading2"/>
      </w:pPr>
      <w:r>
        <w:t>Jalã</w:t>
      </w:r>
      <w:r/>
    </w:p>
    <w:p>
      <w:r/>
      <w:r>
        <w:t xml:space="preserve">Forma da NTLH para Jalão, filho de Esaú, em </w:t>
      </w:r>
      <w:hyperlink r:id="rId5625">
        <w:r>
          <w:rPr>
            <w:color w:val="0000EE"/>
            <w:u w:val="single"/>
          </w:rPr>
          <w:t>Gênesis 36.5,14,18</w:t>
        </w:r>
      </w:hyperlink>
      <w:r>
        <w:t xml:space="preserve"> e </w:t>
      </w:r>
      <w:hyperlink r:id="rId5626">
        <w:r>
          <w:rPr>
            <w:color w:val="0000EE"/>
            <w:u w:val="single"/>
          </w:rPr>
          <w:t>1 Crônicas 1.35</w:t>
        </w:r>
      </w:hyperlink>
      <w:r>
        <w:t xml:space="preserve">. </w:t>
      </w:r>
      <w:r>
        <w:rPr>
          <w:i/>
        </w:rPr>
        <w:t>Veja</w:t>
      </w:r>
      <w:r>
        <w:t xml:space="preserve"> </w:t>
      </w:r>
      <w:r>
        <w:t>Jalão</w:t>
      </w:r>
      <w:r>
        <w:t>.</w:t>
      </w:r>
      <w:r/>
      <w:r/>
    </w:p>
    <w:p>
      <w:r/>
    </w:p>
    <w:p>
      <w:pPr>
        <w:pStyle w:val="Heading2"/>
      </w:pPr>
      <w:r>
        <w:t>Jalã</w:t>
      </w:r>
      <w:r/>
    </w:p>
    <w:p>
      <w:r/>
      <w:r>
        <w:t>Filho de Esaú e chefe de um clã edomita (</w:t>
      </w:r>
      <w:hyperlink r:id="rId5625">
        <w:r>
          <w:rPr>
            <w:color w:val="0000EE"/>
            <w:u w:val="single"/>
          </w:rPr>
          <w:t>Gn 36.5,14,18</w:t>
        </w:r>
      </w:hyperlink>
      <w:r>
        <w:t xml:space="preserve">; </w:t>
      </w:r>
      <w:hyperlink r:id="rId5626">
        <w:r>
          <w:rPr>
            <w:color w:val="0000EE"/>
            <w:u w:val="single"/>
          </w:rPr>
          <w:t>1Cr 1.35</w:t>
        </w:r>
      </w:hyperlink>
      <w:r>
        <w:t>).</w:t>
      </w:r>
      <w:r/>
      <w:r/>
    </w:p>
    <w:p>
      <w:r/>
    </w:p>
    <w:p>
      <w:pPr>
        <w:pStyle w:val="Heading2"/>
      </w:pPr>
      <w:r>
        <w:t>Jaleel, Jaleelita</w:t>
      </w:r>
      <w:r/>
    </w:p>
    <w:p>
      <w:r/>
      <w:r>
        <w:t>Filho de Zebulom (</w:t>
      </w:r>
      <w:hyperlink r:id="rId7987">
        <w:r>
          <w:rPr>
            <w:color w:val="0000EE"/>
            <w:u w:val="single"/>
          </w:rPr>
          <w:t>Gn 46.14</w:t>
        </w:r>
      </w:hyperlink>
      <w:r>
        <w:t>) e fundador da família Jaleelita (</w:t>
      </w:r>
      <w:hyperlink r:id="rId7988">
        <w:r>
          <w:rPr>
            <w:color w:val="0000EE"/>
            <w:u w:val="single"/>
          </w:rPr>
          <w:t>Nm 26.26</w:t>
        </w:r>
      </w:hyperlink>
      <w:r>
        <w:t>).</w:t>
      </w:r>
      <w:r/>
      <w:r/>
    </w:p>
    <w:p>
      <w:r/>
    </w:p>
    <w:p>
      <w:pPr>
        <w:pStyle w:val="Heading2"/>
      </w:pPr>
      <w:r>
        <w:t>Jamim</w:t>
      </w:r>
      <w:r/>
    </w:p>
    <w:p>
      <w:pPr>
        <w:pStyle w:val="ListNumber"/>
        <w:spacing w:line="240" w:lineRule="auto"/>
        <w:ind w:left="720"/>
      </w:pPr>
      <w:r/>
      <w:r>
        <w:t>Filho de Simeão (</w:t>
      </w:r>
      <w:hyperlink r:id="rId11526">
        <w:r>
          <w:rPr>
            <w:color w:val="0000EE"/>
            <w:u w:val="single"/>
          </w:rPr>
          <w:t>Gn 46.10</w:t>
        </w:r>
      </w:hyperlink>
      <w:r>
        <w:t xml:space="preserve">; </w:t>
      </w:r>
      <w:hyperlink r:id="rId11527">
        <w:r>
          <w:rPr>
            <w:color w:val="0000EE"/>
            <w:u w:val="single"/>
          </w:rPr>
          <w:t>Êx 6.15</w:t>
        </w:r>
      </w:hyperlink>
      <w:r>
        <w:t xml:space="preserve">; </w:t>
      </w:r>
      <w:hyperlink r:id="rId11528">
        <w:r>
          <w:rPr>
            <w:color w:val="0000EE"/>
            <w:u w:val="single"/>
          </w:rPr>
          <w:t>1Cr 4.24</w:t>
        </w:r>
      </w:hyperlink>
      <w:r>
        <w:t>) e fundador da família jaminita (</w:t>
      </w:r>
      <w:hyperlink r:id="rId11529">
        <w:r>
          <w:rPr>
            <w:color w:val="0000EE"/>
            <w:u w:val="single"/>
          </w:rPr>
          <w:t>Nm 26.12</w:t>
        </w:r>
      </w:hyperlink>
      <w:r>
        <w:t>).</w:t>
      </w:r>
    </w:p>
    <w:p>
      <w:pPr>
        <w:pStyle w:val="ListNumber"/>
        <w:spacing w:line="240" w:lineRule="auto"/>
        <w:ind w:left="720"/>
      </w:pPr>
      <w:r/>
      <w:r>
        <w:t>Filho de Rão da tribo de Judá (</w:t>
      </w:r>
      <w:hyperlink r:id="rId11530">
        <w:r>
          <w:rPr>
            <w:color w:val="0000EE"/>
            <w:u w:val="single"/>
          </w:rPr>
          <w:t>1Cr 2.27</w:t>
        </w:r>
      </w:hyperlink>
      <w:r>
        <w:t>).</w:t>
      </w:r>
    </w:p>
    <w:p>
      <w:pPr>
        <w:pStyle w:val="ListNumber"/>
        <w:spacing w:line="240" w:lineRule="auto"/>
        <w:ind w:left="720"/>
      </w:pPr>
      <w:r/>
      <w:r>
        <w:t>Um dos homens (talvez um levita) que ensinou e explicou a lei ao povo após a leitura pública de Esdras (</w:t>
      </w:r>
      <w:hyperlink r:id="rId11531">
        <w:r>
          <w:rPr>
            <w:color w:val="0000EE"/>
            <w:u w:val="single"/>
          </w:rPr>
          <w:t>Ne 8.7</w:t>
        </w:r>
      </w:hyperlink>
      <w:r>
        <w:t>).</w:t>
      </w:r>
      <w:r/>
      <w:r/>
    </w:p>
    <w:p>
      <w:r/>
    </w:p>
    <w:p>
      <w:pPr>
        <w:pStyle w:val="Heading2"/>
      </w:pPr>
      <w:r>
        <w:t>Jaminita</w:t>
      </w:r>
      <w:r/>
    </w:p>
    <w:p>
      <w:r/>
      <w:r>
        <w:t>Qualquer descendente de Jamim da tribo de Simeão (</w:t>
      </w:r>
      <w:hyperlink r:id="rId11529">
        <w:r>
          <w:rPr>
            <w:color w:val="0000EE"/>
            <w:u w:val="single"/>
          </w:rPr>
          <w:t>Nm 26.12</w:t>
        </w:r>
      </w:hyperlink>
      <w:r>
        <w:t>).</w:t>
      </w:r>
    </w:p>
    <w:p>
      <w:r/>
      <w:r>
        <w:rPr>
          <w:i/>
        </w:rPr>
        <w:t xml:space="preserve">Veja </w:t>
      </w:r>
      <w:r>
        <w:t>Jamim #1</w:t>
      </w:r>
      <w:r>
        <w:t>.</w:t>
      </w:r>
      <w:r/>
      <w:r/>
    </w:p>
    <w:p>
      <w:r/>
    </w:p>
    <w:p>
      <w:pPr>
        <w:pStyle w:val="Heading2"/>
      </w:pPr>
      <w:r>
        <w:t>Janes e Jambres</w:t>
      </w:r>
      <w:r/>
    </w:p>
    <w:p>
      <w:r/>
      <w:r>
        <w:t>Dois magos egípcios que trabalhavam para o Faraó tentaram imitar os milagres que Moisés realizou no Egito (</w:t>
      </w:r>
      <w:hyperlink r:id="rId11532">
        <w:r>
          <w:rPr>
            <w:color w:val="0000EE"/>
            <w:u w:val="single"/>
          </w:rPr>
          <w:t>Êxodo 7–9</w:t>
        </w:r>
      </w:hyperlink>
      <w:r>
        <w:t>). Embora esses capítulos em Êxodo não mencionem seus nomes, histórias judaicas posteriores nos contam mais sobre eles.</w:t>
      </w:r>
    </w:p>
    <w:p>
      <w:r/>
      <w:r>
        <w:t>De acordo com a lenda judaica, Janes e Jambres eram filhos de Balaão, que era um profeta de Midiã (</w:t>
      </w:r>
      <w:hyperlink r:id="rId1122">
        <w:r>
          <w:rPr>
            <w:color w:val="0000EE"/>
            <w:u w:val="single"/>
          </w:rPr>
          <w:t>Números 22–24</w:t>
        </w:r>
      </w:hyperlink>
      <w:r>
        <w:t>). A única vez que a Bíblia menciona seus nomes é no Novo Testamento, onde o apóstolo Paulo escreve sobre eles. Paulo comparou Janes e Jambres a falsos mestres de seu tempo que se opunham à verdade (</w:t>
      </w:r>
      <w:hyperlink r:id="rId11533">
        <w:r>
          <w:rPr>
            <w:color w:val="0000EE"/>
            <w:u w:val="single"/>
          </w:rPr>
          <w:t>2Tm 3.6–8</w:t>
        </w:r>
      </w:hyperlink>
      <w:r>
        <w:t>).</w:t>
      </w:r>
    </w:p>
    <w:p>
      <w:r/>
      <w:r>
        <w:t>Estudiosos analisaram esses nomes com atenção. Os nomes parecem vir de línguas semíticas (línguas relacionadas ao hebraico), mas seu significado exato não é claro. Vários documentos antigos mencionam esses magos, embora às vezes com grafias diferentes de seus nomes:</w:t>
      </w:r>
    </w:p>
    <w:p>
      <w:pPr>
        <w:pStyle w:val="ListBullet"/>
        <w:spacing w:line="240" w:lineRule="auto"/>
        <w:ind w:left="720"/>
      </w:pPr>
      <w:r/>
      <w:r>
        <w:t>Os Rolos do Mar Morto (encontrados em Qumran) os chamam de "Yohanneh e seu irmão".</w:t>
      </w:r>
    </w:p>
    <w:p>
      <w:pPr>
        <w:pStyle w:val="ListBullet"/>
        <w:spacing w:line="240" w:lineRule="auto"/>
        <w:ind w:left="720"/>
      </w:pPr>
      <w:r/>
      <w:r>
        <w:t>O Talmude Babilônico (uma coleção de ensinamentos judaicos) refere-se a eles como "Yohane e Mamre".</w:t>
      </w:r>
    </w:p>
    <w:p>
      <w:pPr>
        <w:pStyle w:val="ListBullet"/>
        <w:spacing w:line="240" w:lineRule="auto"/>
        <w:ind w:left="720"/>
      </w:pPr>
      <w:r/>
      <w:r>
        <w:t xml:space="preserve">Algumas cópias antigas em grego e latim de </w:t>
      </w:r>
      <w:hyperlink r:id="rId11534">
        <w:r>
          <w:rPr>
            <w:color w:val="0000EE"/>
            <w:u w:val="single"/>
          </w:rPr>
          <w:t>2 Timóteo 3.8</w:t>
        </w:r>
      </w:hyperlink>
      <w:r>
        <w:t xml:space="preserve"> escrevem o segundo nome como "Mambres".</w:t>
      </w:r>
    </w:p>
    <w:p>
      <w:r/>
      <w:r>
        <w:t>Outros escritores antigos também escreveram sobre eles. Plínio (que viveu no primeiro século d.C.) os mencionou. Dois escritores do segundo século d.C., Apuleio e Numênio, também escreveram sobre eles, embora nem sempre mencionassem ambos os nomes.</w:t>
      </w:r>
    </w:p>
    <w:p>
      <w:r/>
      <w:r>
        <w:t>Orígenes, um importante professor cristão primitivo de Alexandria, escreveu sobre um livro chamado "O Livro de Janes e Jambres". Ele sugeriu que Paulo pode ter obtido esses nomes desse livro ao escrever 2 Timóteo. Outro documento antigo da igreja (escrito em latim) de cerca do quinto ou sexto século d.C., chamado Decreto Gelasiano, menciona um livro intitulado "Penitência de Janes e Jambres". Este pode ser o mesmo livro sobre o qual Orígenes escreveu.</w:t>
      </w:r>
      <w:r/>
      <w:r/>
    </w:p>
    <w:p>
      <w:r/>
    </w:p>
    <w:p>
      <w:pPr>
        <w:pStyle w:val="Heading2"/>
      </w:pPr>
      <w:r>
        <w:t>Jaque</w:t>
      </w:r>
      <w:r/>
    </w:p>
    <w:p>
      <w:r/>
      <w:r>
        <w:t>Pai de Agur. Agur escreveu uma série de Provérbios dirigidos a Itiel e Ucal (</w:t>
      </w:r>
      <w:hyperlink r:id="rId620">
        <w:r>
          <w:rPr>
            <w:color w:val="0000EE"/>
            <w:u w:val="single"/>
          </w:rPr>
          <w:t>Pv 30.1</w:t>
        </w:r>
      </w:hyperlink>
      <w:r>
        <w:t>).</w:t>
      </w:r>
      <w:r/>
      <w:r/>
    </w:p>
    <w:p>
      <w:r/>
    </w:p>
    <w:p>
      <w:pPr>
        <w:pStyle w:val="Heading2"/>
      </w:pPr>
      <w:r>
        <w:t>Jaquim</w:t>
      </w:r>
      <w:r/>
    </w:p>
    <w:p>
      <w:pPr>
        <w:pStyle w:val="ListNumber"/>
        <w:spacing w:line="240" w:lineRule="auto"/>
        <w:ind w:left="720"/>
      </w:pPr>
      <w:r/>
      <w:r>
        <w:t>O filho de Simeão, e líder dos jaquinitas, que se mudou para o Egito com seu avô Jacó (</w:t>
      </w:r>
      <w:hyperlink r:id="rId11526">
        <w:r>
          <w:rPr>
            <w:color w:val="0000EE"/>
            <w:u w:val="single"/>
          </w:rPr>
          <w:t>Gn 46.10</w:t>
        </w:r>
      </w:hyperlink>
      <w:r>
        <w:t xml:space="preserve">; </w:t>
      </w:r>
      <w:hyperlink r:id="rId11527">
        <w:r>
          <w:rPr>
            <w:color w:val="0000EE"/>
            <w:u w:val="single"/>
          </w:rPr>
          <w:t>Êx 6.15</w:t>
        </w:r>
      </w:hyperlink>
      <w:r>
        <w:t xml:space="preserve">; </w:t>
      </w:r>
      <w:hyperlink r:id="rId11529">
        <w:r>
          <w:rPr>
            <w:color w:val="0000EE"/>
            <w:u w:val="single"/>
          </w:rPr>
          <w:t>Nm 26.12</w:t>
        </w:r>
      </w:hyperlink>
      <w:r>
        <w:t xml:space="preserve">). Ele é chamado de Jaribe em </w:t>
      </w:r>
      <w:hyperlink r:id="rId11528">
        <w:r>
          <w:rPr>
            <w:color w:val="0000EE"/>
            <w:u w:val="single"/>
          </w:rPr>
          <w:t>1Cr 4.24</w:t>
        </w:r>
      </w:hyperlink>
      <w:r>
        <w:t>.</w:t>
      </w:r>
    </w:p>
    <w:p>
      <w:pPr>
        <w:pStyle w:val="ListNumber"/>
        <w:spacing w:line="240" w:lineRule="auto"/>
        <w:ind w:left="720"/>
      </w:pPr>
      <w:r/>
      <w:r>
        <w:t>Um sacerdote que viveu em Jerusalém após o exílio para Babilônia (</w:t>
      </w:r>
      <w:hyperlink r:id="rId11535">
        <w:r>
          <w:rPr>
            <w:color w:val="0000EE"/>
            <w:u w:val="single"/>
          </w:rPr>
          <w:t>1Cr 9.10</w:t>
        </w:r>
      </w:hyperlink>
      <w:r>
        <w:t xml:space="preserve">; </w:t>
      </w:r>
      <w:hyperlink r:id="rId11536">
        <w:r>
          <w:rPr>
            <w:color w:val="0000EE"/>
            <w:u w:val="single"/>
          </w:rPr>
          <w:t>Ne 11.10</w:t>
        </w:r>
      </w:hyperlink>
      <w:r>
        <w:t>). O nome Jaquim pode possivelmente referir-se a uma família de sacerdotes que Jaquim liderou.</w:t>
      </w:r>
    </w:p>
    <w:p>
      <w:pPr>
        <w:pStyle w:val="ListNumber"/>
        <w:spacing w:line="240" w:lineRule="auto"/>
        <w:ind w:left="720"/>
      </w:pPr>
      <w:r/>
      <w:r>
        <w:t>Um descendente de Arão que liderou a vigésima primeira divisão de sacerdotes que serviram no templo durante o reinado do Rei Davi (</w:t>
      </w:r>
      <w:hyperlink r:id="rId11537">
        <w:r>
          <w:rPr>
            <w:color w:val="0000EE"/>
            <w:u w:val="single"/>
          </w:rPr>
          <w:t>1Cr 24.17</w:t>
        </w:r>
      </w:hyperlink>
      <w:r>
        <w:t>).</w:t>
      </w:r>
      <w:r/>
      <w:r/>
    </w:p>
    <w:p>
      <w:r/>
    </w:p>
    <w:p>
      <w:pPr>
        <w:pStyle w:val="Heading2"/>
      </w:pPr>
      <w:r>
        <w:t>Jaquinita</w:t>
      </w:r>
      <w:r/>
    </w:p>
    <w:p>
      <w:r/>
      <w:r>
        <w:t>Qualquer descendente de Jaquim, o filho do patriarca Simeão (</w:t>
      </w:r>
      <w:hyperlink r:id="rId11529">
        <w:r>
          <w:rPr>
            <w:color w:val="0000EE"/>
            <w:u w:val="single"/>
          </w:rPr>
          <w:t>Nm 26.12</w:t>
        </w:r>
      </w:hyperlink>
      <w:r>
        <w:t>).</w:t>
      </w:r>
    </w:p>
    <w:p>
      <w:r/>
      <w:r>
        <w:rPr>
          <w:i/>
        </w:rPr>
        <w:t>Veja</w:t>
      </w:r>
      <w:r>
        <w:t xml:space="preserve"> também </w:t>
      </w:r>
      <w:r>
        <w:t>Jaquim #1</w:t>
      </w:r>
      <w:r>
        <w:t>.</w:t>
      </w:r>
      <w:r/>
      <w:r/>
    </w:p>
    <w:p>
      <w:r/>
    </w:p>
    <w:p>
      <w:pPr>
        <w:pStyle w:val="Heading2"/>
      </w:pPr>
      <w:r>
        <w:t>Jardim do Éden</w:t>
      </w:r>
      <w:r/>
    </w:p>
    <w:p>
      <w:r/>
      <w:r>
        <w:t>Localização no Leste do Éden (</w:t>
      </w:r>
      <w:hyperlink r:id="rId11538">
        <w:r>
          <w:rPr>
            <w:color w:val="0000EE"/>
            <w:u w:val="single"/>
          </w:rPr>
          <w:t>Gn 2.8</w:t>
        </w:r>
      </w:hyperlink>
      <w:r>
        <w:t xml:space="preserve">) na área do Tigre-Eufrates da Mesopotâmia, referida 14 vezes no AT. A informação em </w:t>
      </w:r>
      <w:hyperlink r:id="rId11539">
        <w:r>
          <w:rPr>
            <w:color w:val="0000EE"/>
            <w:u w:val="single"/>
          </w:rPr>
          <w:t>Gênesis 2.8–10</w:t>
        </w:r>
      </w:hyperlink>
      <w:r>
        <w:t xml:space="preserve"> indica que estava na área da Planície de Sinar, e que quatro “cabeças” ou ramificações foram formadas a partir de um rio que fluía através do Éden para irrigar o Jardim. As cabeças eram o Tigre e o Eufrates (ambos rios modernos conhecidos) e dois rios que desapareceram — o Pisom e o Giom. Estes últimos eram muito provavelmente canais de água naturais, mais tarde usados como canais de irrigação, já que em cuneiforme não há uma palavra separada para “rio” e “canal de irrigação”. Se Pisom e Giom eram de fato Canais de irrigação, então Gênesis coloca o homem adâmico em um cenário geográfico real e, portanto, elimina a noção de que Éden era um mito. Se a identificação acima estiver correta, Cuxe referia-se à terra dos antigos cassitas, enquanto Havilá pode ter indicado a Arábia.</w:t>
      </w:r>
    </w:p>
    <w:p>
      <w:r/>
      <w:r>
        <w:t>O Éden foi o campo de prova da fidelidade do homem aos mandamentos de Deus, e através da desobediência, o Jardim foi perdido. Ele será recuperado na forma do novo paraíso (</w:t>
      </w:r>
      <w:hyperlink r:id="rId2630">
        <w:r>
          <w:rPr>
            <w:color w:val="0000EE"/>
            <w:u w:val="single"/>
          </w:rPr>
          <w:t>Ap 22.14</w:t>
        </w:r>
      </w:hyperlink>
      <w:r>
        <w:t>).</w:t>
      </w:r>
    </w:p>
    <w:p>
      <w:r/>
      <w:r>
        <w:rPr>
          <w:i/>
        </w:rPr>
        <w:t>Veja também</w:t>
      </w:r>
      <w:r>
        <w:t xml:space="preserve"> </w:t>
      </w:r>
      <w:r>
        <w:t>Adão (Pessoa)</w:t>
      </w:r>
      <w:r>
        <w:t xml:space="preserve">; </w:t>
      </w:r>
      <w:r>
        <w:t>Eva</w:t>
      </w:r>
      <w:r>
        <w:t xml:space="preserve">; </w:t>
      </w:r>
      <w:r>
        <w:t>Queda do homem</w:t>
      </w:r>
      <w:r>
        <w:t xml:space="preserve">; </w:t>
      </w:r>
      <w:r>
        <w:t>Árvore do conhecimento do bem e do mal</w:t>
      </w:r>
      <w:r>
        <w:t xml:space="preserve">; </w:t>
      </w:r>
      <w:r>
        <w:t>Árvore da Vida</w:t>
      </w:r>
      <w:r>
        <w:t>.</w:t>
      </w:r>
      <w:r/>
      <w:r/>
    </w:p>
    <w:p>
      <w:r/>
    </w:p>
    <w:p>
      <w:pPr>
        <w:pStyle w:val="Heading2"/>
      </w:pPr>
      <w:r>
        <w:t>Jarede</w:t>
      </w:r>
      <w:r/>
    </w:p>
    <w:p>
      <w:r/>
      <w:r>
        <w:t>Filho de Maalalel e descendente de Sete. Ele foi o pai de Enoque (</w:t>
      </w:r>
      <w:hyperlink r:id="rId11540">
        <w:r>
          <w:rPr>
            <w:color w:val="0000EE"/>
            <w:u w:val="single"/>
          </w:rPr>
          <w:t>Gn 5.15–20</w:t>
        </w:r>
      </w:hyperlink>
      <w:r>
        <w:t xml:space="preserve">; </w:t>
      </w:r>
      <w:hyperlink r:id="rId4015">
        <w:r>
          <w:rPr>
            <w:color w:val="0000EE"/>
            <w:u w:val="single"/>
          </w:rPr>
          <w:t>1Cr 1.2</w:t>
        </w:r>
      </w:hyperlink>
      <w:r>
        <w:t xml:space="preserve">; </w:t>
      </w:r>
      <w:hyperlink r:id="rId4016">
        <w:r>
          <w:rPr>
            <w:color w:val="0000EE"/>
            <w:u w:val="single"/>
          </w:rPr>
          <w:t>Lc 3.37</w:t>
        </w:r>
      </w:hyperlink>
      <w:r>
        <w:t>).</w:t>
      </w:r>
    </w:p>
    <w:p>
      <w:r/>
      <w:r>
        <w:rPr>
          <w:i/>
        </w:rPr>
        <w:t>Veja</w:t>
      </w:r>
      <w:r>
        <w:t xml:space="preserve"> </w:t>
      </w:r>
      <w:r>
        <w:t>Ancestralidade de Jesus Cristo</w:t>
      </w:r>
      <w:r>
        <w:t>.</w:t>
      </w:r>
      <w:r/>
      <w:r/>
    </w:p>
    <w:p>
      <w:r/>
    </w:p>
    <w:p>
      <w:pPr>
        <w:pStyle w:val="Heading2"/>
      </w:pPr>
      <w:r>
        <w:t>Jasão</w:t>
      </w:r>
      <w:r/>
    </w:p>
    <w:p>
      <w:r/>
      <w:r>
        <w:t>1. Sumo sacerdote judeu (174–171 a.C.) que provocou o declínio do sacerdócio ao helenizar Jerusalém, tornando seus habitantes "cidadãos de Antioquia" (</w:t>
      </w:r>
      <w:hyperlink r:id="rId11541">
        <w:r>
          <w:rPr>
            <w:color w:val="0000EE"/>
            <w:u w:val="single"/>
          </w:rPr>
          <w:t>2Mc 4.9ss</w:t>
        </w:r>
      </w:hyperlink>
      <w:r>
        <w:t>.). Ele foi deposto por seu primo Onias Menelau, mas quando um falso relatório anunciou a morte de Antíoco Epifânio, Jasão atacou Jerusalém sem piedade contra seu próprio povo. Antíoco, retornando de um ataque abortado ao Egito, retomou Jerusalém e Jasão foi forçado a fugir para a Transjordânia e, de lá, de cidade em cidade. Segundo Macabeus relata que em sua morte, "[Jasão] que havia lançado muitos para ficarem insepultos não teve ninguém para lamentá-lo; ele não teve funeral de qualquer tipo e nenhum lugar no túmulo de seus pais" (</w:t>
      </w:r>
      <w:hyperlink r:id="rId11542">
        <w:r>
          <w:rPr>
            <w:color w:val="0000EE"/>
            <w:u w:val="single"/>
          </w:rPr>
          <w:t>5.10</w:t>
        </w:r>
      </w:hyperlink>
      <w:r>
        <w:t>).</w:t>
      </w:r>
    </w:p>
    <w:p>
      <w:r/>
      <w:r>
        <w:t>2. Judeu cristão em Tessalônica que hospedou Paulo e Silas (</w:t>
      </w:r>
      <w:hyperlink r:id="rId11543">
        <w:r>
          <w:rPr>
            <w:color w:val="0000EE"/>
            <w:u w:val="single"/>
          </w:rPr>
          <w:t>At 17.1,5–9</w:t>
        </w:r>
      </w:hyperlink>
      <w:r>
        <w:t>). Ele e outros foram chamados perante as autoridades da cidade sob a acusação de abrigar sediciosos. Ele foi liberado quando pagou fiança.</w:t>
      </w:r>
    </w:p>
    <w:p>
      <w:r/>
      <w:r>
        <w:t>3. Cristão em Corinto que, junto com Paulo, enviou saudações à igreja em Roma (</w:t>
      </w:r>
      <w:hyperlink r:id="rId11544">
        <w:r>
          <w:rPr>
            <w:color w:val="0000EE"/>
            <w:u w:val="single"/>
          </w:rPr>
          <w:t>Rm 16.21</w:t>
        </w:r>
      </w:hyperlink>
      <w:r>
        <w:t>).</w:t>
      </w:r>
      <w:r/>
      <w:r/>
    </w:p>
    <w:p>
      <w:r/>
    </w:p>
    <w:p>
      <w:pPr>
        <w:pStyle w:val="Heading2"/>
      </w:pPr>
      <w:r>
        <w:t>Jasube</w:t>
      </w:r>
      <w:r/>
    </w:p>
    <w:p>
      <w:r/>
      <w:r>
        <w:t>1. Terceiro filho de Issacar (</w:t>
      </w:r>
      <w:hyperlink r:id="rId11545">
        <w:r>
          <w:rPr>
            <w:color w:val="0000EE"/>
            <w:u w:val="single"/>
          </w:rPr>
          <w:t>1Cr 7.1</w:t>
        </w:r>
      </w:hyperlink>
      <w:r>
        <w:t xml:space="preserve">; também chamado de Jó em </w:t>
      </w:r>
      <w:hyperlink r:id="rId11448">
        <w:r>
          <w:rPr>
            <w:color w:val="0000EE"/>
            <w:u w:val="single"/>
          </w:rPr>
          <w:t>Gn 46.13</w:t>
        </w:r>
      </w:hyperlink>
      <w:r>
        <w:t>), e fundador da família dos jasubitas (</w:t>
      </w:r>
      <w:hyperlink r:id="rId11546">
        <w:r>
          <w:rPr>
            <w:color w:val="0000EE"/>
            <w:u w:val="single"/>
          </w:rPr>
          <w:t>Nm 26.24</w:t>
        </w:r>
      </w:hyperlink>
      <w:r>
        <w:t>).</w:t>
      </w:r>
    </w:p>
    <w:p>
      <w:r/>
      <w:r>
        <w:t>2. Descendente de Bani, que atendeu à exortação de Esdras para se divorciar de sua esposa pagã após o exílio (</w:t>
      </w:r>
      <w:hyperlink r:id="rId11547">
        <w:r>
          <w:rPr>
            <w:color w:val="0000EE"/>
            <w:u w:val="single"/>
          </w:rPr>
          <w:t>Ed 10.29</w:t>
        </w:r>
      </w:hyperlink>
      <w:r>
        <w:t>).</w:t>
      </w:r>
      <w:r/>
      <w:r/>
    </w:p>
    <w:p>
      <w:r/>
    </w:p>
    <w:p>
      <w:pPr>
        <w:pStyle w:val="Heading2"/>
      </w:pPr>
      <w:r>
        <w:t>Jasubita</w:t>
      </w:r>
      <w:r/>
    </w:p>
    <w:p>
      <w:r/>
      <w:r>
        <w:t>Qualquer descendente de Jasube, o terceiro filho de Issacar (</w:t>
      </w:r>
      <w:hyperlink r:id="rId11546">
        <w:r>
          <w:rPr>
            <w:color w:val="0000EE"/>
            <w:u w:val="single"/>
          </w:rPr>
          <w:t>Nm 26.24</w:t>
        </w:r>
      </w:hyperlink>
      <w:r>
        <w:t>).</w:t>
      </w:r>
    </w:p>
    <w:p>
      <w:r/>
      <w:r>
        <w:rPr>
          <w:i/>
        </w:rPr>
        <w:t>Veja</w:t>
      </w:r>
      <w:r>
        <w:t xml:space="preserve"> </w:t>
      </w:r>
      <w:r>
        <w:t>Jasube #1</w:t>
      </w:r>
      <w:r>
        <w:t>.</w:t>
      </w:r>
      <w:r/>
      <w:r/>
    </w:p>
    <w:p>
      <w:r/>
    </w:p>
    <w:p>
      <w:pPr>
        <w:pStyle w:val="Heading2"/>
      </w:pPr>
      <w:r>
        <w:t>Javã (Lugar)</w:t>
      </w:r>
      <w:r/>
    </w:p>
    <w:p>
      <w:r/>
      <w:r>
        <w:t>Um local comumente identificado com a Grécia. O nome Javã está linguisticamente associado à Jônia, uma região no extremo oeste da Ásia Menor que foi colonizada por gregos. Com o tempo, as pessoas começaram a usar o nome Javã para se referir a toda a Grécia. Em muitos lugares na tradução grega da Bíblia, Javã aparece como “Hellas”, que é outro nome para a Grécia.</w:t>
      </w:r>
    </w:p>
    <w:p>
      <w:r/>
      <w:r>
        <w:t>Algumas pistas sobre sua localização são dadas já na "tabela das nações", onde Javã aparece como o quarto filho de Jafé (</w:t>
      </w:r>
      <w:hyperlink r:id="rId10073">
        <w:r>
          <w:rPr>
            <w:color w:val="0000EE"/>
            <w:u w:val="single"/>
          </w:rPr>
          <w:t>Gn 10.2</w:t>
        </w:r>
      </w:hyperlink>
      <w:r>
        <w:t xml:space="preserve">; compare </w:t>
      </w:r>
      <w:hyperlink r:id="rId10074">
        <w:r>
          <w:rPr>
            <w:color w:val="0000EE"/>
            <w:u w:val="single"/>
          </w:rPr>
          <w:t>1Cr 1.5</w:t>
        </w:r>
      </w:hyperlink>
      <w:r>
        <w:t>). Movendo-se para oeste a partir de Gomer, isso tende a colocá-lo na Europa. Diz-se também que Jafé é o pai de:</w:t>
      </w:r>
    </w:p>
    <w:p>
      <w:pPr>
        <w:pStyle w:val="ListBullet"/>
        <w:spacing w:line="240" w:lineRule="auto"/>
        <w:ind w:left="720"/>
      </w:pPr>
      <w:r/>
      <w:r>
        <w:t>Eliseu</w:t>
      </w:r>
    </w:p>
    <w:p>
      <w:pPr>
        <w:pStyle w:val="ListBullet"/>
        <w:spacing w:line="240" w:lineRule="auto"/>
        <w:ind w:left="720"/>
      </w:pPr>
      <w:r/>
      <w:r>
        <w:t>Társis</w:t>
      </w:r>
    </w:p>
    <w:p>
      <w:pPr>
        <w:pStyle w:val="ListBullet"/>
        <w:spacing w:line="240" w:lineRule="auto"/>
        <w:ind w:left="720"/>
      </w:pPr>
      <w:r/>
      <w:r>
        <w:t>Quetim</w:t>
      </w:r>
    </w:p>
    <w:p>
      <w:pPr>
        <w:pStyle w:val="ListBullet"/>
        <w:spacing w:line="240" w:lineRule="auto"/>
        <w:ind w:left="720"/>
      </w:pPr>
      <w:r/>
      <w:r>
        <w:t>Dodanim ou Rodanim (</w:t>
      </w:r>
      <w:hyperlink r:id="rId7426">
        <w:r>
          <w:rPr>
            <w:color w:val="0000EE"/>
            <w:u w:val="single"/>
          </w:rPr>
          <w:t>Gn 10.4</w:t>
        </w:r>
      </w:hyperlink>
      <w:r>
        <w:t xml:space="preserve">; </w:t>
      </w:r>
      <w:hyperlink r:id="rId7427">
        <w:r>
          <w:rPr>
            <w:color w:val="0000EE"/>
            <w:u w:val="single"/>
          </w:rPr>
          <w:t>1Cr 1.7</w:t>
        </w:r>
      </w:hyperlink>
      <w:r>
        <w:t>)</w:t>
      </w:r>
    </w:p>
    <w:p>
      <w:r/>
      <w:r>
        <w:t>As conexões dessas áreas ou povos são amplamente conhecidas.</w:t>
      </w:r>
    </w:p>
    <w:p>
      <w:r/>
      <w:r>
        <w:t xml:space="preserve">A maioria das referências a Ionia (Grécia) está nos livros proféticos. </w:t>
      </w:r>
      <w:hyperlink r:id="rId10191">
        <w:r>
          <w:rPr>
            <w:color w:val="0000EE"/>
            <w:u w:val="single"/>
          </w:rPr>
          <w:t>Isaías 66.19</w:t>
        </w:r>
      </w:hyperlink>
      <w:r>
        <w:t xml:space="preserve"> lista Javã com Társis, Pute, Lude e Tubal. A glória do Senhor será declarada nesses lugares. Estes são considerados representantes das nações distantes.</w:t>
      </w:r>
    </w:p>
    <w:p>
      <w:r/>
      <w:r>
        <w:t>Em uma longa profecia contra Tiro, Ezequiel menciona Javã, Tubal e Mesaque. Eles trocavam escravos e vasos de bronze pelos bens de Tiro (</w:t>
      </w:r>
      <w:hyperlink r:id="rId10192">
        <w:r>
          <w:rPr>
            <w:color w:val="0000EE"/>
            <w:u w:val="single"/>
          </w:rPr>
          <w:t>Ez 27.13</w:t>
        </w:r>
      </w:hyperlink>
      <w:r>
        <w:t xml:space="preserve">). </w:t>
      </w:r>
      <w:hyperlink r:id="rId10197">
        <w:r>
          <w:rPr>
            <w:color w:val="0000EE"/>
            <w:u w:val="single"/>
          </w:rPr>
          <w:t>Joel 3.6</w:t>
        </w:r>
      </w:hyperlink>
      <w:r>
        <w:t xml:space="preserve"> condena Tiro por vender o povo de Judá e Jerusalém aos gregos.</w:t>
      </w:r>
    </w:p>
    <w:p>
      <w:r/>
      <w:hyperlink r:id="rId4020">
        <w:r>
          <w:rPr>
            <w:color w:val="0000EE"/>
            <w:u w:val="single"/>
          </w:rPr>
          <w:t>Ezequiel 27.19</w:t>
        </w:r>
      </w:hyperlink>
      <w:r>
        <w:t xml:space="preserve"> no texto hebraico lê-se “Também Dã e Javã, de Uzal”. Certas traduções tratam isso de forma diferente:</w:t>
      </w:r>
    </w:p>
    <w:p>
      <w:pPr>
        <w:pStyle w:val="ListBullet"/>
        <w:spacing w:line="240" w:lineRule="auto"/>
        <w:ind w:left="720"/>
      </w:pPr>
      <w:r/>
      <w:r>
        <w:t>"De Uzal traziam para você vinho, ferro trabalhado e especiarias" (NTLH)</w:t>
      </w:r>
    </w:p>
    <w:p>
      <w:pPr>
        <w:pStyle w:val="ListBullet"/>
        <w:spacing w:line="240" w:lineRule="auto"/>
        <w:ind w:left="720"/>
      </w:pPr>
      <w:r/>
      <w:r>
        <w:t>“Também Dã e Javã, o caminhante, traficavam nas tuas feiras” (ARC)</w:t>
      </w:r>
    </w:p>
    <w:p>
      <w:r/>
      <w:r>
        <w:t>As referências a Javã em Daniel claramente significam Grécia. O bode que representa o rei da Grécia (</w:t>
      </w:r>
      <w:hyperlink r:id="rId10193">
        <w:r>
          <w:rPr>
            <w:color w:val="0000EE"/>
            <w:u w:val="single"/>
          </w:rPr>
          <w:t>Dn 8.21</w:t>
        </w:r>
      </w:hyperlink>
      <w:r>
        <w:t xml:space="preserve">) é Alexandre, o Grande. Seu império foi dividido entre seus quatro generais após sua morte. O príncipe da Grécia em </w:t>
      </w:r>
      <w:hyperlink r:id="rId10194">
        <w:r>
          <w:rPr>
            <w:color w:val="0000EE"/>
            <w:u w:val="single"/>
          </w:rPr>
          <w:t>Daniel 10.20</w:t>
        </w:r>
      </w:hyperlink>
      <w:r>
        <w:t xml:space="preserve"> é comparado ao príncipe da Pérsia em </w:t>
      </w:r>
      <w:hyperlink r:id="rId11548">
        <w:r>
          <w:rPr>
            <w:color w:val="0000EE"/>
            <w:u w:val="single"/>
          </w:rPr>
          <w:t>Daniel 10.13,20</w:t>
        </w:r>
      </w:hyperlink>
      <w:r>
        <w:t xml:space="preserve">. Foi sugerido que "príncipe" significa anjo guardião. No entanto, a oposição do príncipe da Pérsia ao arcanjo Miguel mostra que "príncipe" é um espírito demoníaco de alta patente (compare </w:t>
      </w:r>
      <w:hyperlink r:id="rId4786">
        <w:r>
          <w:rPr>
            <w:color w:val="0000EE"/>
            <w:u w:val="single"/>
          </w:rPr>
          <w:t>Ef 6.12</w:t>
        </w:r>
      </w:hyperlink>
      <w:r>
        <w:t xml:space="preserve">). </w:t>
      </w:r>
      <w:hyperlink r:id="rId10195">
        <w:r>
          <w:rPr>
            <w:color w:val="0000EE"/>
            <w:u w:val="single"/>
          </w:rPr>
          <w:t>Daniel 11.2</w:t>
        </w:r>
      </w:hyperlink>
      <w:r>
        <w:t xml:space="preserve"> prediz um conflito entre Pérsia e Grécia. O próximo versículo fala sobre o sucesso de Alexandre, o Grande, e a divisão de seu império.</w:t>
      </w:r>
    </w:p>
    <w:p>
      <w:r/>
      <w:r>
        <w:rPr>
          <w:i/>
        </w:rPr>
        <w:t>Veja também</w:t>
      </w:r>
      <w:r>
        <w:t xml:space="preserve"> </w:t>
      </w:r>
      <w:r>
        <w:t>Grécia, Grego</w:t>
      </w:r>
      <w:r>
        <w:t>.</w:t>
      </w:r>
      <w:r/>
      <w:r/>
    </w:p>
    <w:p>
      <w:r/>
    </w:p>
    <w:p>
      <w:pPr>
        <w:pStyle w:val="Heading2"/>
      </w:pPr>
      <w:r>
        <w:t>Javã (Pessoa)</w:t>
      </w:r>
      <w:r/>
    </w:p>
    <w:p>
      <w:r/>
      <w:r>
        <w:t>Filho de Jafé, cujos descendentes marítimos migraram para o norte e oeste de Canaã (</w:t>
      </w:r>
      <w:hyperlink r:id="rId11549">
        <w:r>
          <w:rPr>
            <w:color w:val="0000EE"/>
            <w:u w:val="single"/>
          </w:rPr>
          <w:t>Gn 10.2–4</w:t>
        </w:r>
      </w:hyperlink>
      <w:r>
        <w:t xml:space="preserve">; </w:t>
      </w:r>
      <w:hyperlink r:id="rId11550">
        <w:r>
          <w:rPr>
            <w:color w:val="0000EE"/>
            <w:u w:val="single"/>
          </w:rPr>
          <w:t>1Cr 1.5–7</w:t>
        </w:r>
      </w:hyperlink>
      <w:r>
        <w:t>).</w:t>
      </w:r>
      <w:r/>
      <w:r/>
    </w:p>
    <w:p>
      <w:r/>
    </w:p>
    <w:p>
      <w:pPr>
        <w:pStyle w:val="Heading2"/>
      </w:pPr>
      <w:r>
        <w:t>Javali</w:t>
      </w:r>
      <w:r/>
    </w:p>
    <w:p>
      <w:r/>
      <w:r>
        <w:t>Um animal selvagem ou domesticado da família dos suínos. Javalis são conhecidos por serem fortes e destrutivos.</w:t>
      </w:r>
    </w:p>
    <w:p>
      <w:r/>
      <w:r>
        <w:t xml:space="preserve">No </w:t>
      </w:r>
      <w:hyperlink r:id="rId1819">
        <w:r>
          <w:rPr>
            <w:color w:val="0000EE"/>
            <w:u w:val="single"/>
          </w:rPr>
          <w:t>Salmo 80.13</w:t>
        </w:r>
      </w:hyperlink>
      <w:r>
        <w:t>, um javali selvagem é retratado arruinando uma vinha. Esta imagem ilustra como os inimigos estavam destruindo Israel, que muitas vezes era comparado a uma vinha na Bíblia.</w:t>
      </w:r>
    </w:p>
    <w:p>
      <w:r/>
      <w:r>
        <w:t>Porcos e javalis eram considerados animais impuros na lei israelita. As pessoas não os comiam nem os ofereciam em sacrifícios.</w:t>
      </w:r>
    </w:p>
    <w:p>
      <w:r/>
      <w:r>
        <w:rPr>
          <w:i/>
        </w:rPr>
        <w:t>Veja</w:t>
      </w:r>
      <w:r>
        <w:t xml:space="preserve"> Porco</w:t>
      </w:r>
      <w:r>
        <w:t>.</w:t>
      </w:r>
      <w:r/>
      <w:r/>
    </w:p>
    <w:p>
      <w:r/>
    </w:p>
    <w:p>
      <w:pPr>
        <w:pStyle w:val="Heading2"/>
      </w:pPr>
      <w:r>
        <w:t>Jaza</w:t>
      </w:r>
      <w:r/>
    </w:p>
    <w:p>
      <w:r/>
      <w:r>
        <w:t>Cidade a leste do Mar Morto (na Jordânia moderna) onde os israelitas derrotaram Seom, rei dos amorreus, quando ele se recusou a permitir que passassem por sua terra (</w:t>
      </w:r>
      <w:hyperlink r:id="rId11551">
        <w:r>
          <w:rPr>
            <w:color w:val="0000EE"/>
            <w:u w:val="single"/>
          </w:rPr>
          <w:t>Nm 21.23</w:t>
        </w:r>
      </w:hyperlink>
      <w:r>
        <w:t xml:space="preserve">; </w:t>
      </w:r>
      <w:hyperlink r:id="rId11552">
        <w:r>
          <w:rPr>
            <w:color w:val="0000EE"/>
            <w:u w:val="single"/>
          </w:rPr>
          <w:t>Dt 2.32</w:t>
        </w:r>
      </w:hyperlink>
      <w:r>
        <w:t xml:space="preserve">; </w:t>
      </w:r>
      <w:hyperlink r:id="rId11553">
        <w:r>
          <w:rPr>
            <w:color w:val="0000EE"/>
            <w:u w:val="single"/>
          </w:rPr>
          <w:t>Jz 11.20</w:t>
        </w:r>
      </w:hyperlink>
      <w:r>
        <w:t xml:space="preserve">). De acordo com </w:t>
      </w:r>
      <w:hyperlink r:id="rId11554">
        <w:r>
          <w:rPr>
            <w:color w:val="0000EE"/>
            <w:u w:val="single"/>
          </w:rPr>
          <w:t>Josué 13.18</w:t>
        </w:r>
      </w:hyperlink>
      <w:r>
        <w:t>, Moisés deu a cidade à tribo de Rúben como parte de sua herança. A cidade com suas pastagens circundantes foi dada aos levitas meraritas (</w:t>
      </w:r>
      <w:hyperlink r:id="rId3527">
        <w:r>
          <w:rPr>
            <w:color w:val="0000EE"/>
            <w:u w:val="single"/>
          </w:rPr>
          <w:t>Js 21.36</w:t>
        </w:r>
      </w:hyperlink>
      <w:r>
        <w:t xml:space="preserve">; </w:t>
      </w:r>
      <w:hyperlink r:id="rId3528">
        <w:r>
          <w:rPr>
            <w:color w:val="0000EE"/>
            <w:u w:val="single"/>
          </w:rPr>
          <w:t>1Cr 6.78</w:t>
        </w:r>
      </w:hyperlink>
      <w:r>
        <w:t>).</w:t>
      </w:r>
    </w:p>
    <w:p>
      <w:r/>
      <w:r>
        <w:t>Em tempos posteriores, em oráculos proféticos tanto por Isaías (</w:t>
      </w:r>
      <w:hyperlink r:id="rId7794">
        <w:r>
          <w:rPr>
            <w:color w:val="0000EE"/>
            <w:u w:val="single"/>
          </w:rPr>
          <w:t>Is 15.4</w:t>
        </w:r>
      </w:hyperlink>
      <w:r>
        <w:t>) quanto por Jeremias (</w:t>
      </w:r>
      <w:hyperlink r:id="rId11555">
        <w:r>
          <w:rPr>
            <w:color w:val="0000EE"/>
            <w:u w:val="single"/>
          </w:rPr>
          <w:t>Jr 48.21</w:t>
        </w:r>
      </w:hyperlink>
      <w:r>
        <w:t>), ela é mencionada como uma cidade na terra de Moabe. Isso pode indicar que foi tomada de Israel por Moabe (a quem aparentemente pertencia antes que Seom a conquistasse). A cidade é mencionada na Pedra Moabita (conhecida como Estela de Dibom e datada de c. 845 a.C.) como o lugar onde Messa, rei de Moabe, havia vivido enquanto estava em guerra com Israel. Segundo Messa, ele tomou Jaza de Israel e a adicionou ao seu próprio território.</w:t>
      </w:r>
      <w:r/>
      <w:r/>
    </w:p>
    <w:p>
      <w:r/>
    </w:p>
    <w:p>
      <w:pPr>
        <w:pStyle w:val="Heading2"/>
      </w:pPr>
      <w:r>
        <w:t>Jazeel, jazeelita</w:t>
      </w:r>
      <w:r/>
    </w:p>
    <w:p>
      <w:r/>
      <w:r>
        <w:t>Filho de Naftali (</w:t>
      </w:r>
      <w:hyperlink r:id="rId10275">
        <w:r>
          <w:rPr>
            <w:color w:val="0000EE"/>
            <w:u w:val="single"/>
          </w:rPr>
          <w:t>Gn 46.24</w:t>
        </w:r>
      </w:hyperlink>
      <w:r>
        <w:t xml:space="preserve">; </w:t>
      </w:r>
      <w:hyperlink r:id="rId10276">
        <w:r>
          <w:rPr>
            <w:color w:val="0000EE"/>
            <w:u w:val="single"/>
          </w:rPr>
          <w:t>1Cr 7.13</w:t>
        </w:r>
      </w:hyperlink>
      <w:r>
        <w:t>) e fundador da família jazeelita (</w:t>
      </w:r>
      <w:hyperlink r:id="rId10278">
        <w:r>
          <w:rPr>
            <w:color w:val="0000EE"/>
            <w:u w:val="single"/>
          </w:rPr>
          <w:t>Nm 26.48</w:t>
        </w:r>
      </w:hyperlink>
      <w:r>
        <w:t>).</w:t>
      </w:r>
      <w:r/>
      <w:r/>
    </w:p>
    <w:p>
      <w:r/>
    </w:p>
    <w:p>
      <w:pPr>
        <w:pStyle w:val="Heading2"/>
      </w:pPr>
      <w:r>
        <w:t>Jazer</w:t>
      </w:r>
      <w:r/>
    </w:p>
    <w:p>
      <w:r/>
      <w:r>
        <w:t>Cidade a leste do Rio Jordão, no sul de Gileade, tomada com suas aldeias circundantes pelos israelitas sob Moisés (</w:t>
      </w:r>
      <w:hyperlink r:id="rId11556">
        <w:r>
          <w:rPr>
            <w:color w:val="0000EE"/>
            <w:u w:val="single"/>
          </w:rPr>
          <w:t>Nm 21.32</w:t>
        </w:r>
      </w:hyperlink>
      <w:r>
        <w:t>). As tribos de Gade e Rúben pediram as terras de Jazer e Gileade. Eles tinham grandes rebanhos e manadas e viram que o lado leste do Jordão era fértil e mais adequado para pastagem de gado (</w:t>
      </w:r>
      <w:hyperlink r:id="rId11557">
        <w:r>
          <w:rPr>
            <w:color w:val="0000EE"/>
            <w:u w:val="single"/>
          </w:rPr>
          <w:t>32.1–5</w:t>
        </w:r>
      </w:hyperlink>
      <w:r>
        <w:t xml:space="preserve">). Eles prometeram construir proteção para suas mulheres e crianças, depois ir com as outras tribos lutar em Canaã (vv. </w:t>
      </w:r>
      <w:hyperlink r:id="rId11558">
        <w:r>
          <w:rPr>
            <w:color w:val="0000EE"/>
            <w:u w:val="single"/>
          </w:rPr>
          <w:t>6–27</w:t>
        </w:r>
      </w:hyperlink>
      <w:r>
        <w:t>). Jazer tornou-se uma cidade de fronteira, marcando os limites da herança da tribo de Gade (</w:t>
      </w:r>
      <w:hyperlink r:id="rId2536">
        <w:r>
          <w:rPr>
            <w:color w:val="0000EE"/>
            <w:u w:val="single"/>
          </w:rPr>
          <w:t>Js 13.25</w:t>
        </w:r>
      </w:hyperlink>
      <w:r>
        <w:t>) e foi dada aos levitas (</w:t>
      </w:r>
      <w:hyperlink r:id="rId11559">
        <w:r>
          <w:rPr>
            <w:color w:val="0000EE"/>
            <w:u w:val="single"/>
          </w:rPr>
          <w:t>Js 21.39</w:t>
        </w:r>
      </w:hyperlink>
      <w:r>
        <w:t xml:space="preserve">; </w:t>
      </w:r>
      <w:hyperlink r:id="rId11560">
        <w:r>
          <w:rPr>
            <w:color w:val="0000EE"/>
            <w:u w:val="single"/>
          </w:rPr>
          <w:t>1Cr 6.81</w:t>
        </w:r>
      </w:hyperlink>
      <w:r>
        <w:t>). Quando Joabe foi encarregado de realizar o censo do povo, ele chegou até a cidade de Jazer, no território de Gade (</w:t>
      </w:r>
      <w:hyperlink r:id="rId2533">
        <w:r>
          <w:rPr>
            <w:color w:val="0000EE"/>
            <w:u w:val="single"/>
          </w:rPr>
          <w:t>2Sm 24.5</w:t>
        </w:r>
      </w:hyperlink>
      <w:r>
        <w:t>). Esta cidade foi posteriormente reconhecida durante uma busca por “homens capazes” sob o rei Davi (</w:t>
      </w:r>
      <w:hyperlink r:id="rId11561">
        <w:r>
          <w:rPr>
            <w:color w:val="0000EE"/>
            <w:u w:val="single"/>
          </w:rPr>
          <w:t>1Cr 26.31</w:t>
        </w:r>
      </w:hyperlink>
      <w:r>
        <w:t>). Pouco mais de 200 anos depois, no entanto, foi ocupada por Moabe (</w:t>
      </w:r>
      <w:hyperlink r:id="rId11562">
        <w:r>
          <w:rPr>
            <w:color w:val="0000EE"/>
            <w:u w:val="single"/>
          </w:rPr>
          <w:t>Is 16.6–9</w:t>
        </w:r>
      </w:hyperlink>
      <w:r>
        <w:t xml:space="preserve">; </w:t>
      </w:r>
      <w:hyperlink r:id="rId11563">
        <w:r>
          <w:rPr>
            <w:color w:val="0000EE"/>
            <w:u w:val="single"/>
          </w:rPr>
          <w:t>Jr 48.32</w:t>
        </w:r>
      </w:hyperlink>
      <w:r>
        <w:t>).</w:t>
      </w:r>
      <w:r/>
      <w:r/>
    </w:p>
    <w:p>
      <w:r/>
    </w:p>
    <w:p>
      <w:pPr>
        <w:pStyle w:val="Heading2"/>
      </w:pPr>
      <w:r>
        <w:t>Jebus, Jebuseus</w:t>
      </w:r>
      <w:r/>
    </w:p>
    <w:p>
      <w:r/>
      <w:r>
        <w:t>Cidade murada, situada na fronteira entre Judá e Benjamim, conquistada por Davi; posteriormente, foi conhecida como a "cidade de Davi", ou antiga Jerusalém. Seus ocupantes eram os jebuseus (</w:t>
      </w:r>
      <w:hyperlink r:id="rId9789">
        <w:r>
          <w:rPr>
            <w:color w:val="0000EE"/>
            <w:u w:val="single"/>
          </w:rPr>
          <w:t>Js 18.16</w:t>
        </w:r>
      </w:hyperlink>
      <w:r>
        <w:t>). Eles eram um dos vários clãs ou tribos coletivamente conhecidos como cananeus (</w:t>
      </w:r>
      <w:hyperlink r:id="rId11564">
        <w:r>
          <w:rPr>
            <w:color w:val="0000EE"/>
            <w:u w:val="single"/>
          </w:rPr>
          <w:t>Gn 10.15–16</w:t>
        </w:r>
      </w:hyperlink>
      <w:r>
        <w:t>). Sua terra, junto com a de seus vizinhos, foi repetidamente prometida aos israelitas (</w:t>
      </w:r>
      <w:hyperlink r:id="rId1494">
        <w:r>
          <w:rPr>
            <w:color w:val="0000EE"/>
            <w:u w:val="single"/>
          </w:rPr>
          <w:t>Êx 3.8</w:t>
        </w:r>
      </w:hyperlink>
      <w:r>
        <w:t xml:space="preserve">; </w:t>
      </w:r>
      <w:hyperlink r:id="rId1210">
        <w:r>
          <w:rPr>
            <w:color w:val="0000EE"/>
            <w:u w:val="single"/>
          </w:rPr>
          <w:t>13.5</w:t>
        </w:r>
      </w:hyperlink>
      <w:r>
        <w:t xml:space="preserve">; </w:t>
      </w:r>
      <w:hyperlink r:id="rId1211">
        <w:r>
          <w:rPr>
            <w:color w:val="0000EE"/>
            <w:u w:val="single"/>
          </w:rPr>
          <w:t>23.23</w:t>
        </w:r>
      </w:hyperlink>
      <w:r>
        <w:t xml:space="preserve">; </w:t>
      </w:r>
      <w:hyperlink r:id="rId1212">
        <w:r>
          <w:rPr>
            <w:color w:val="0000EE"/>
            <w:u w:val="single"/>
          </w:rPr>
          <w:t>33.2</w:t>
        </w:r>
      </w:hyperlink>
      <w:r>
        <w:t xml:space="preserve">; </w:t>
      </w:r>
      <w:hyperlink r:id="rId9177">
        <w:r>
          <w:rPr>
            <w:color w:val="0000EE"/>
            <w:u w:val="single"/>
          </w:rPr>
          <w:t>34.11</w:t>
        </w:r>
      </w:hyperlink>
      <w:r>
        <w:t xml:space="preserve">; </w:t>
      </w:r>
      <w:hyperlink r:id="rId4170">
        <w:r>
          <w:rPr>
            <w:color w:val="0000EE"/>
            <w:u w:val="single"/>
          </w:rPr>
          <w:t>Nm 13.29</w:t>
        </w:r>
      </w:hyperlink>
      <w:r>
        <w:t xml:space="preserve">; </w:t>
      </w:r>
      <w:hyperlink r:id="rId9178">
        <w:r>
          <w:rPr>
            <w:color w:val="0000EE"/>
            <w:u w:val="single"/>
          </w:rPr>
          <w:t>Dt 7.1</w:t>
        </w:r>
      </w:hyperlink>
      <w:r>
        <w:t xml:space="preserve">; </w:t>
      </w:r>
      <w:hyperlink r:id="rId9179">
        <w:r>
          <w:rPr>
            <w:color w:val="0000EE"/>
            <w:u w:val="single"/>
          </w:rPr>
          <w:t>20.17</w:t>
        </w:r>
      </w:hyperlink>
      <w:r>
        <w:t>). Essa promessa foi parcialmente cumprida no início da campanha sob Josué (</w:t>
      </w:r>
      <w:hyperlink r:id="rId9180">
        <w:r>
          <w:rPr>
            <w:color w:val="0000EE"/>
            <w:u w:val="single"/>
          </w:rPr>
          <w:t>Js 3.10</w:t>
        </w:r>
      </w:hyperlink>
      <w:r>
        <w:t xml:space="preserve">; </w:t>
      </w:r>
      <w:hyperlink r:id="rId9183">
        <w:r>
          <w:rPr>
            <w:color w:val="0000EE"/>
            <w:u w:val="single"/>
          </w:rPr>
          <w:t>12.8</w:t>
        </w:r>
      </w:hyperlink>
      <w:r>
        <w:t xml:space="preserve">; </w:t>
      </w:r>
      <w:hyperlink r:id="rId9789">
        <w:r>
          <w:rPr>
            <w:color w:val="0000EE"/>
            <w:u w:val="single"/>
          </w:rPr>
          <w:t>18.16</w:t>
        </w:r>
      </w:hyperlink>
      <w:r>
        <w:t xml:space="preserve">; cf. </w:t>
      </w:r>
      <w:hyperlink r:id="rId9184">
        <w:r>
          <w:rPr>
            <w:color w:val="0000EE"/>
            <w:u w:val="single"/>
          </w:rPr>
          <w:t>24.11</w:t>
        </w:r>
      </w:hyperlink>
      <w:r>
        <w:t>). Diz-se que os homens de Judá lutaram contra Jerusalém e a tomaram (</w:t>
      </w:r>
      <w:hyperlink r:id="rId11565">
        <w:r>
          <w:rPr>
            <w:color w:val="0000EE"/>
            <w:u w:val="single"/>
          </w:rPr>
          <w:t>18.28</w:t>
        </w:r>
      </w:hyperlink>
      <w:r>
        <w:t>). “Mas o povo da tribo de Benjamim não expulsou os jebuseus que moravam na cidade de Jerusalém. E os jebuseus dali vivem com o povo de Benjamim até hoje” (</w:t>
      </w:r>
      <w:hyperlink r:id="rId3420">
        <w:r>
          <w:rPr>
            <w:color w:val="0000EE"/>
            <w:u w:val="single"/>
          </w:rPr>
          <w:t>Jz 1.21</w:t>
        </w:r>
      </w:hyperlink>
      <w:r>
        <w:t>, NTLH). Aparentemente, a cidade foi capturada pelos homens de Judá, mas seus habitantes não foram destruídos e mais tarde reocuparam o local.</w:t>
      </w:r>
    </w:p>
    <w:p>
      <w:r/>
      <w:r>
        <w:t>Jebus (ou Jerusalém) estava na fronteira entre duas tribos, o que pode explicar sua sobrevivência até o tempo de Davi. As fronteiras de Judá e Benjamim são definidas assim: “ADaí atravessava o vale de Ben-Hinom, no sul da montanha dos jebuseus, onde fica a cidade de Jerusalém. Depois a divisa seguia até o alto da montanha que fica em frente do vale de Hinom, no lado oeste, no fim do vale dos Gigantes, ao norte” (</w:t>
      </w:r>
      <w:hyperlink r:id="rId9788">
        <w:r>
          <w:rPr>
            <w:color w:val="0000EE"/>
            <w:u w:val="single"/>
          </w:rPr>
          <w:t>Js 15.8</w:t>
        </w:r>
      </w:hyperlink>
      <w:r>
        <w:t>, NTLH); “A divisa seguia para o sul pelo vale de Hinom, no sul da subida dos jebuseus, até a fonte de Rogel” (</w:t>
      </w:r>
      <w:hyperlink r:id="rId9789">
        <w:r>
          <w:rPr>
            <w:color w:val="0000EE"/>
            <w:u w:val="single"/>
          </w:rPr>
          <w:t>Js 18.16</w:t>
        </w:r>
      </w:hyperlink>
      <w:r>
        <w:t>, NTLH). Os dois relatos concordam: o levantamento de Judá segue em direção oeste; o levantamento de Benjamim move-se para leste; ambos indicam que Jebus estava na encosta sul da “montanha” ao norte do vale de Hinom, o local do Leste de Jerusalém hoje.</w:t>
      </w:r>
    </w:p>
    <w:p>
      <w:r/>
      <w:r>
        <w:t>A sobrevivência da cidade foi assegurada por um fornecimento constante de água, a fonte de Giom, e por fortes defesas naturais. Era facilmente defendida por vales íngremes em três lados: o Cedrom no leste, o Hinnom no sul e oeste. Os jebuseus, portanto, consideravam sua cidade inexpugnável. Isso lhes dava uma certa arrogância e complacência. Após a morte de Saul, quando Davi estava buscando consolidar o reino, os jebuseus desafiaram Davi a capturar sua fortaleza (</w:t>
      </w:r>
      <w:hyperlink r:id="rId4860">
        <w:r>
          <w:rPr>
            <w:color w:val="0000EE"/>
            <w:u w:val="single"/>
          </w:rPr>
          <w:t>2Sm 5.6</w:t>
        </w:r>
      </w:hyperlink>
      <w:r>
        <w:t xml:space="preserve">; cf. </w:t>
      </w:r>
      <w:hyperlink r:id="rId11566">
        <w:r>
          <w:rPr>
            <w:color w:val="0000EE"/>
            <w:u w:val="single"/>
          </w:rPr>
          <w:t>1Cr 11.5</w:t>
        </w:r>
      </w:hyperlink>
      <w:r>
        <w:t>). Como a última fortaleza cananeia remanescente na área, apresentava um desafio único. Joabe aparentemente liderou o ataque pelo canal de água e teve sucesso onde tentativas anteriores falharam (</w:t>
      </w:r>
      <w:hyperlink r:id="rId11567">
        <w:r>
          <w:rPr>
            <w:color w:val="0000EE"/>
            <w:u w:val="single"/>
          </w:rPr>
          <w:t>2Sm 5.8</w:t>
        </w:r>
      </w:hyperlink>
      <w:r>
        <w:t>).</w:t>
      </w:r>
    </w:p>
    <w:p>
      <w:r/>
      <w:r>
        <w:t>Por razões políticas e estratégicas, Davi decidiu mover sua capital de Hebrom para Jebus. Politicamente, estava em território neutro entre Judá e Benjamim e, portanto, não despertava ciúmes. Estrategicamente, era facilmente defendida e mais centralmente localizada. A escolha provou ser sábia. Apesar de Jebus-Jerusalém não estar em nenhuma via navegável ou rodovia principal, tornou-se ao longo dos séculos a capital espiritual do mundo. Sob Davi e Salomão, tornou-se o centro religioso de Israel, e hoje é de importância primordial para as três principais religiões monoteístas da humanidade.</w:t>
      </w:r>
    </w:p>
    <w:p>
      <w:r/>
      <w:r>
        <w:rPr>
          <w:i/>
        </w:rPr>
        <w:t>Veja também</w:t>
      </w:r>
      <w:r>
        <w:t xml:space="preserve"> </w:t>
      </w:r>
      <w:r>
        <w:t>Jerusalém</w:t>
      </w:r>
      <w:r>
        <w:t>.</w:t>
      </w:r>
      <w:r/>
      <w:r/>
    </w:p>
    <w:p>
      <w:r/>
    </w:p>
    <w:p>
      <w:pPr>
        <w:pStyle w:val="Heading2"/>
      </w:pPr>
      <w:r>
        <w:t>Jediael</w:t>
      </w:r>
      <w:r/>
    </w:p>
    <w:p>
      <w:r/>
      <w:r>
        <w:t>1. Filho de Benjamim (</w:t>
      </w:r>
      <w:hyperlink r:id="rId11568">
        <w:r>
          <w:rPr>
            <w:color w:val="0000EE"/>
            <w:u w:val="single"/>
          </w:rPr>
          <w:t>1Cr 7.6,10–11</w:t>
        </w:r>
      </w:hyperlink>
      <w:r>
        <w:t>), cujos descendentes eram guerreiros, totalizando 17.200 na época de Davi. Alguns sugerem que ele pode ser identificado com Asbel, também filho de Benjamim (</w:t>
      </w:r>
      <w:hyperlink r:id="rId661">
        <w:r>
          <w:rPr>
            <w:color w:val="0000EE"/>
            <w:u w:val="single"/>
          </w:rPr>
          <w:t>Gn 46.21</w:t>
        </w:r>
      </w:hyperlink>
      <w:r>
        <w:t>).</w:t>
      </w:r>
    </w:p>
    <w:p>
      <w:r/>
      <w:r>
        <w:rPr>
          <w:i/>
        </w:rPr>
        <w:t>Veja também</w:t>
      </w:r>
      <w:r>
        <w:t xml:space="preserve"> </w:t>
      </w:r>
      <w:r>
        <w:t>Asbel, asbelita</w:t>
      </w:r>
      <w:r>
        <w:t>.</w:t>
      </w:r>
    </w:p>
    <w:p>
      <w:r/>
      <w:r>
        <w:t>2. Filho de Sinri, listado entre os valentes de Davi (</w:t>
      </w:r>
      <w:hyperlink r:id="rId11569">
        <w:r>
          <w:rPr>
            <w:color w:val="0000EE"/>
            <w:u w:val="single"/>
          </w:rPr>
          <w:t>1Cr 11.45</w:t>
        </w:r>
      </w:hyperlink>
      <w:r>
        <w:t>).</w:t>
      </w:r>
    </w:p>
    <w:p>
      <w:r/>
      <w:r>
        <w:t>3. Um que desertou Saul para se juntar a Davi em Ziclague (</w:t>
      </w:r>
      <w:hyperlink r:id="rId11570">
        <w:r>
          <w:rPr>
            <w:color w:val="0000EE"/>
            <w:u w:val="single"/>
          </w:rPr>
          <w:t>1Cr 12.20</w:t>
        </w:r>
      </w:hyperlink>
      <w:r>
        <w:t>). Ele pode ser o mesmo citado no número 2 acima.</w:t>
      </w:r>
    </w:p>
    <w:p>
      <w:r/>
      <w:r>
        <w:t>4. Membro da família levítica de Corá, nomeado porteiro do templo durante o reinado de Davi (</w:t>
      </w:r>
      <w:hyperlink r:id="rId11571">
        <w:r>
          <w:rPr>
            <w:color w:val="0000EE"/>
            <w:u w:val="single"/>
          </w:rPr>
          <w:t>1Cr 26.2</w:t>
        </w:r>
      </w:hyperlink>
      <w:r>
        <w:t>).</w:t>
      </w:r>
      <w:r/>
      <w:r/>
    </w:p>
    <w:p>
      <w:r/>
    </w:p>
    <w:p>
      <w:pPr>
        <w:pStyle w:val="Heading2"/>
      </w:pPr>
      <w:r>
        <w:t>Jedutum</w:t>
      </w:r>
      <w:r/>
    </w:p>
    <w:p>
      <w:r/>
      <w:r>
        <w:t>Membro da família levítica de Merari que, com Asafe e Hemã, liderou a música no santuário durante o reinado de Davi (</w:t>
      </w:r>
      <w:hyperlink r:id="rId2649">
        <w:r>
          <w:rPr>
            <w:color w:val="0000EE"/>
            <w:u w:val="single"/>
          </w:rPr>
          <w:t>1Cr 25.1</w:t>
        </w:r>
      </w:hyperlink>
      <w:r>
        <w:t xml:space="preserve">; </w:t>
      </w:r>
      <w:hyperlink r:id="rId10690">
        <w:r>
          <w:rPr>
            <w:color w:val="0000EE"/>
            <w:u w:val="single"/>
          </w:rPr>
          <w:t>2Cr 5.12</w:t>
        </w:r>
      </w:hyperlink>
      <w:r>
        <w:t xml:space="preserve">; chamado de “Etã” em </w:t>
      </w:r>
      <w:hyperlink r:id="rId8603">
        <w:r>
          <w:rPr>
            <w:color w:val="0000EE"/>
            <w:u w:val="single"/>
          </w:rPr>
          <w:t>1Cr 6.44</w:t>
        </w:r>
      </w:hyperlink>
      <w:r>
        <w:t xml:space="preserve">; </w:t>
      </w:r>
      <w:hyperlink r:id="rId8604">
        <w:r>
          <w:rPr>
            <w:color w:val="0000EE"/>
            <w:u w:val="single"/>
          </w:rPr>
          <w:t>15.17</w:t>
        </w:r>
      </w:hyperlink>
      <w:r>
        <w:t xml:space="preserve">). Jedutum é mencionado nos títulos dos </w:t>
      </w:r>
      <w:hyperlink r:id="rId8606">
        <w:r>
          <w:rPr>
            <w:color w:val="0000EE"/>
            <w:u w:val="single"/>
          </w:rPr>
          <w:t>Salmos 39</w:t>
        </w:r>
      </w:hyperlink>
      <w:r>
        <w:t xml:space="preserve">, </w:t>
      </w:r>
      <w:hyperlink r:id="rId11572">
        <w:r>
          <w:rPr>
            <w:color w:val="0000EE"/>
            <w:u w:val="single"/>
          </w:rPr>
          <w:t>62</w:t>
        </w:r>
      </w:hyperlink>
      <w:r>
        <w:t xml:space="preserve"> e </w:t>
      </w:r>
      <w:hyperlink r:id="rId11573">
        <w:r>
          <w:rPr>
            <w:color w:val="0000EE"/>
            <w:u w:val="single"/>
          </w:rPr>
          <w:t>77</w:t>
        </w:r>
      </w:hyperlink>
      <w:r>
        <w:t>. Alguns de seus filhos foram designados para profetizar com liras, harpas e címbalos (</w:t>
      </w:r>
      <w:hyperlink r:id="rId11574">
        <w:r>
          <w:rPr>
            <w:color w:val="0000EE"/>
            <w:u w:val="single"/>
          </w:rPr>
          <w:t>1Cr 25.1–3</w:t>
        </w:r>
      </w:hyperlink>
      <w:r>
        <w:t>), seguindo aparentemente o exemplo de seu pai, que foi chamado de “vidente do rei” (</w:t>
      </w:r>
      <w:hyperlink r:id="rId2650">
        <w:r>
          <w:rPr>
            <w:color w:val="0000EE"/>
            <w:u w:val="single"/>
          </w:rPr>
          <w:t>2Cr 35.15</w:t>
        </w:r>
      </w:hyperlink>
      <w:r>
        <w:t xml:space="preserve">). Em </w:t>
      </w:r>
      <w:hyperlink r:id="rId11575">
        <w:r>
          <w:rPr>
            <w:color w:val="0000EE"/>
            <w:u w:val="single"/>
          </w:rPr>
          <w:t>1 Crônicas 16.38</w:t>
        </w:r>
      </w:hyperlink>
      <w:r>
        <w:t xml:space="preserve"> e </w:t>
      </w:r>
      <w:hyperlink r:id="rId11576">
        <w:r>
          <w:rPr>
            <w:color w:val="0000EE"/>
            <w:u w:val="single"/>
          </w:rPr>
          <w:t>42</w:t>
        </w:r>
      </w:hyperlink>
      <w:r>
        <w:t>, ele é listado como pai de Obede-Edom.</w:t>
      </w:r>
      <w:r/>
      <w:r/>
    </w:p>
    <w:p>
      <w:r/>
    </w:p>
    <w:p>
      <w:pPr>
        <w:pStyle w:val="Heading2"/>
      </w:pPr>
      <w:r>
        <w:t>Jefoné</w:t>
      </w:r>
      <w:r/>
    </w:p>
    <w:p>
      <w:pPr>
        <w:pStyle w:val="ListNumber"/>
        <w:spacing w:line="240" w:lineRule="auto"/>
        <w:ind w:left="720"/>
      </w:pPr>
      <w:r/>
      <w:r>
        <w:t>O pai de Calebe. Calebe foi um dos 12 espiões enviados por Moisés para explorar a terra de Canaã (</w:t>
      </w:r>
      <w:hyperlink r:id="rId11577">
        <w:r>
          <w:rPr>
            <w:color w:val="0000EE"/>
            <w:u w:val="single"/>
          </w:rPr>
          <w:t>Nm 13.6</w:t>
        </w:r>
      </w:hyperlink>
      <w:r>
        <w:t xml:space="preserve">; </w:t>
      </w:r>
      <w:hyperlink r:id="rId11578">
        <w:r>
          <w:rPr>
            <w:color w:val="0000EE"/>
            <w:u w:val="single"/>
          </w:rPr>
          <w:t>14.6</w:t>
        </w:r>
      </w:hyperlink>
      <w:r>
        <w:t xml:space="preserve">; </w:t>
      </w:r>
      <w:hyperlink r:id="rId11579">
        <w:r>
          <w:rPr>
            <w:color w:val="0000EE"/>
            <w:u w:val="single"/>
          </w:rPr>
          <w:t>26.65</w:t>
        </w:r>
      </w:hyperlink>
      <w:r>
        <w:t xml:space="preserve">; </w:t>
      </w:r>
      <w:hyperlink r:id="rId7753">
        <w:r>
          <w:rPr>
            <w:color w:val="0000EE"/>
            <w:u w:val="single"/>
          </w:rPr>
          <w:t>1Cr 4.15</w:t>
        </w:r>
      </w:hyperlink>
      <w:r>
        <w:t xml:space="preserve">; </w:t>
      </w:r>
      <w:hyperlink r:id="rId11580">
        <w:r>
          <w:rPr>
            <w:color w:val="0000EE"/>
            <w:u w:val="single"/>
          </w:rPr>
          <w:t>6.56</w:t>
        </w:r>
      </w:hyperlink>
      <w:r>
        <w:t>). A Bíblia se refere a Jefoné como um judaíta e um quenezeu (</w:t>
      </w:r>
      <w:hyperlink r:id="rId4040">
        <w:r>
          <w:rPr>
            <w:color w:val="0000EE"/>
            <w:u w:val="single"/>
          </w:rPr>
          <w:t>Js 14.6</w:t>
        </w:r>
      </w:hyperlink>
      <w:r>
        <w:t>).</w:t>
      </w:r>
    </w:p>
    <w:p>
      <w:pPr>
        <w:pStyle w:val="ListNumber"/>
        <w:spacing w:line="240" w:lineRule="auto"/>
        <w:ind w:left="720"/>
      </w:pPr>
      <w:r/>
      <w:r>
        <w:t>Um filho de Jéter da tribo de Aser (</w:t>
      </w:r>
      <w:hyperlink r:id="rId11466">
        <w:r>
          <w:rPr>
            <w:color w:val="0000EE"/>
            <w:u w:val="single"/>
          </w:rPr>
          <w:t>1Cr 7.38</w:t>
        </w:r>
      </w:hyperlink>
      <w:r>
        <w:t>).</w:t>
      </w:r>
      <w:r/>
      <w:r/>
    </w:p>
    <w:p>
      <w:r/>
    </w:p>
    <w:p>
      <w:pPr>
        <w:pStyle w:val="Heading2"/>
      </w:pPr>
      <w:r>
        <w:t>Jegar-Saaduta</w:t>
      </w:r>
      <w:r/>
    </w:p>
    <w:p>
      <w:r/>
      <w:r>
        <w:t>Nome aramaico dado por Labão ao monte de pedras que ele e Jacó empilharam como memorial de sua aliança; Jacó o chamou de “Galeede” (</w:t>
      </w:r>
      <w:hyperlink r:id="rId2352">
        <w:r>
          <w:rPr>
            <w:color w:val="0000EE"/>
            <w:u w:val="single"/>
          </w:rPr>
          <w:t>Gn 31.47</w:t>
        </w:r>
      </w:hyperlink>
      <w:r>
        <w:t>). O nome significa “monte de testemunho”.</w:t>
      </w:r>
    </w:p>
    <w:p>
      <w:r/>
      <w:r>
        <w:rPr>
          <w:i/>
        </w:rPr>
        <w:t>Veja também</w:t>
      </w:r>
      <w:r>
        <w:t xml:space="preserve"> </w:t>
      </w:r>
      <w:r>
        <w:t>Galeede</w:t>
      </w:r>
      <w:r>
        <w:t>.</w:t>
      </w:r>
      <w:r/>
      <w:r/>
    </w:p>
    <w:p>
      <w:r/>
    </w:p>
    <w:p>
      <w:pPr>
        <w:pStyle w:val="Heading2"/>
      </w:pPr>
      <w:r>
        <w:t>Jemuel</w:t>
      </w:r>
      <w:r/>
    </w:p>
    <w:p>
      <w:r/>
      <w:r>
        <w:t>O primeiro filho de Simeão (</w:t>
      </w:r>
      <w:hyperlink r:id="rId11526">
        <w:r>
          <w:rPr>
            <w:color w:val="0000EE"/>
            <w:u w:val="single"/>
          </w:rPr>
          <w:t>Gn 46.10</w:t>
        </w:r>
      </w:hyperlink>
      <w:r>
        <w:t xml:space="preserve">; </w:t>
      </w:r>
      <w:hyperlink r:id="rId11527">
        <w:r>
          <w:rPr>
            <w:color w:val="0000EE"/>
            <w:u w:val="single"/>
          </w:rPr>
          <w:t>Êx 6.15</w:t>
        </w:r>
      </w:hyperlink>
      <w:r>
        <w:t xml:space="preserve">). Ele é chamado de Nemuel em </w:t>
      </w:r>
      <w:hyperlink r:id="rId11528">
        <w:r>
          <w:rPr>
            <w:color w:val="0000EE"/>
            <w:u w:val="single"/>
          </w:rPr>
          <w:t>1 Crônicas 4.24</w:t>
        </w:r>
      </w:hyperlink>
      <w:r>
        <w:t xml:space="preserve"> e é o fundador da família nemuelita (</w:t>
      </w:r>
      <w:hyperlink r:id="rId11529">
        <w:r>
          <w:rPr>
            <w:color w:val="0000EE"/>
            <w:u w:val="single"/>
          </w:rPr>
          <w:t>Nm 26.12</w:t>
        </w:r>
      </w:hyperlink>
      <w:r>
        <w:t>).</w:t>
      </w:r>
      <w:r/>
      <w:r/>
    </w:p>
    <w:p>
      <w:r/>
    </w:p>
    <w:p>
      <w:pPr>
        <w:pStyle w:val="Heading2"/>
      </w:pPr>
      <w:r>
        <w:t>Jerá</w:t>
      </w:r>
      <w:r/>
    </w:p>
    <w:p>
      <w:r/>
      <w:r>
        <w:t>Filho de Joctã e sobrinho de Pelegue, durante cuja vida a terra foi dividida, provavelmente uma referência à dispersão após Babel. Jerá é provavelmente também o nome de uma tribo ou distrito árabe (</w:t>
      </w:r>
      <w:hyperlink r:id="rId11581">
        <w:r>
          <w:rPr>
            <w:color w:val="0000EE"/>
            <w:u w:val="single"/>
          </w:rPr>
          <w:t>Gn 10.25–26</w:t>
        </w:r>
      </w:hyperlink>
      <w:r>
        <w:t xml:space="preserve">; </w:t>
      </w:r>
      <w:hyperlink r:id="rId967">
        <w:r>
          <w:rPr>
            <w:color w:val="0000EE"/>
            <w:u w:val="single"/>
          </w:rPr>
          <w:t>1Cr 1.20</w:t>
        </w:r>
      </w:hyperlink>
      <w:r>
        <w:t>).</w:t>
      </w:r>
      <w:r/>
      <w:r/>
    </w:p>
    <w:p>
      <w:r/>
    </w:p>
    <w:p>
      <w:pPr>
        <w:pStyle w:val="Heading2"/>
      </w:pPr>
      <w:r>
        <w:t>Jericó</w:t>
      </w:r>
      <w:r/>
    </w:p>
    <w:p>
      <w:r/>
      <w:r>
        <w:t xml:space="preserve">Cidade antiga no lado oeste do rio Jordão. O nome Jericó pode ser conectado ao antigo nome do deus da lua cananeu. As palavras hebraicas para lua, mês, lua nova e Jericó são muito semelhantes. Outros a associam com a palavra para espírito ou cheiro, assumindo que as fragrâncias agradáveis das frutas e especiarias que cresciam neste oásis ocasionaram o nome do lugar. O AT ocasionalmente a chama de “a cidade das palmeiras” (p. ex., </w:t>
      </w:r>
      <w:hyperlink r:id="rId4864">
        <w:r>
          <w:rPr>
            <w:color w:val="0000EE"/>
            <w:u w:val="single"/>
          </w:rPr>
          <w:t>Dt 34.3</w:t>
        </w:r>
      </w:hyperlink>
      <w:r>
        <w:t xml:space="preserve">; </w:t>
      </w:r>
      <w:hyperlink r:id="rId11582">
        <w:r>
          <w:rPr>
            <w:color w:val="0000EE"/>
            <w:u w:val="single"/>
          </w:rPr>
          <w:t>2Cr 28.15</w:t>
        </w:r>
      </w:hyperlink>
      <w:r>
        <w:t>).</w:t>
      </w:r>
    </w:p>
    <w:p>
      <w:r/>
      <w:r>
        <w:t>Jericó estava localizada no lado oeste do rio Jordão, a cerca de 8 quilômetros das travessias mais ao sul e a cerca de 16 quilômetros a noroeste do Mar Morto. Estando na parte ampla da planície do Jordão, fica quase 305 metros abaixo do nível do mar e cerca de 1.067 metros abaixo de Jerusalém, que estava a apenas 27 quilômetros de distância. Este fato topográfico simples explica as palavras adicionais na parábola de Jesus do bom samaritano, “de Jerusalém até Jericó” (</w:t>
      </w:r>
      <w:hyperlink r:id="rId11583">
        <w:r>
          <w:rPr>
            <w:color w:val="0000EE"/>
            <w:u w:val="single"/>
          </w:rPr>
          <w:t>Lc 10.30</w:t>
        </w:r>
      </w:hyperlink>
      <w:r>
        <w:t>).</w:t>
      </w:r>
    </w:p>
    <w:p>
      <w:pPr>
        <w:pStyle w:val="Heading3"/>
      </w:pPr>
      <w:r>
        <w:t>História</w:t>
      </w:r>
    </w:p>
    <w:p>
      <w:pPr>
        <w:pStyle w:val="Heading4"/>
      </w:pPr>
      <w:r>
        <w:t>Registro pré-bíblico</w:t>
      </w:r>
    </w:p>
    <w:p>
      <w:r/>
      <w:r>
        <w:t>Jericó foi uma cidade grande e próspera por séculos, até milênios, antes que a Bíblia a mencionasse primeiro em conexão com o êxodo do Egito. Na verdade, Jericó é uma das cidades mais antigas do mundo, com vestígios que datam do período Neolítico, há 10.000 anos ou mais.</w:t>
      </w:r>
    </w:p>
    <w:p>
      <w:r/>
      <w:r>
        <w:t xml:space="preserve">Por três razões, os povos primitivos teriam escolhido este local, primeiro como um assentamento e, eventualmente, como uma cidade chave: (1) Possui uma fonte abundante, agora chamada de Fonte de Eliseu (cf. </w:t>
      </w:r>
      <w:hyperlink r:id="rId11584">
        <w:r>
          <w:rPr>
            <w:color w:val="0000EE"/>
            <w:u w:val="single"/>
          </w:rPr>
          <w:t>2Rs 2.18–22</w:t>
        </w:r>
      </w:hyperlink>
      <w:r>
        <w:t>). (2) Tem um clima ameno no inverno, embora “quente” descreva-a melhor no verão. (3) Está estrategicamente localizada em uma travessia do Jordão e na base de várias rotas que levam para o oeste, até as colinas.</w:t>
      </w:r>
    </w:p>
    <w:p>
      <w:r/>
      <w:r>
        <w:t xml:space="preserve">As idas e vindas de várias populações podem ser reconstruídas apenas a partir de dados arqueológicos não inscricionais. As civilizações cresceram mais complexas ao longo dos anos, indo de uma simples economia de coleta de alimentos no início para a sociedade urbana relativamente complexa, preenchida com rei, soldados e casas de hóspedes, que Josué encontrou. A primeira identificação certa de seus habitantes ocorre em </w:t>
      </w:r>
      <w:hyperlink r:id="rId4170">
        <w:r>
          <w:rPr>
            <w:color w:val="0000EE"/>
            <w:u w:val="single"/>
          </w:rPr>
          <w:t>Números 13.29</w:t>
        </w:r>
      </w:hyperlink>
      <w:r>
        <w:t>: “Os heteus, os jebuseus e os amorreus moram nas montanhas. Os cananeus vivem perto do mar Mediterrâneo e na beira do rio Jordão” (NTLH).</w:t>
      </w:r>
    </w:p>
    <w:p>
      <w:pPr>
        <w:pStyle w:val="Heading4"/>
      </w:pPr>
      <w:r>
        <w:t>No Antigo Testamento</w:t>
      </w:r>
    </w:p>
    <w:p>
      <w:r/>
      <w:r>
        <w:t>A Jericó do AT é mais conhecida como a primeira cidade tomada pelos israelitas invasores através do milagre dos muros que caíram. Tendo passado algum tempo na margem leste do Jordão nas planícies de Moabe (</w:t>
      </w:r>
      <w:hyperlink r:id="rId6740">
        <w:r>
          <w:rPr>
            <w:color w:val="0000EE"/>
            <w:u w:val="single"/>
          </w:rPr>
          <w:t>Nm 22.1</w:t>
        </w:r>
      </w:hyperlink>
      <w:r>
        <w:t xml:space="preserve">; </w:t>
      </w:r>
      <w:hyperlink r:id="rId6741">
        <w:r>
          <w:rPr>
            <w:color w:val="0000EE"/>
            <w:u w:val="single"/>
          </w:rPr>
          <w:t>26.3,63</w:t>
        </w:r>
      </w:hyperlink>
      <w:r>
        <w:t>), os israelitas a escolheram como o primeiro objetivo militar na Conquista. Josué enviou espiões para reconhecer a terra e a cidade. Raabe, a meretriz, os levou e mais tarde projetou a fuga deles. Por sua cooperação, ela e sua família foram poupados quando Israel destruiu a cidade (</w:t>
      </w:r>
      <w:hyperlink r:id="rId11585">
        <w:r>
          <w:rPr>
            <w:color w:val="0000EE"/>
            <w:u w:val="single"/>
          </w:rPr>
          <w:t>Js 2</w:t>
        </w:r>
      </w:hyperlink>
      <w:r>
        <w:t xml:space="preserve">, </w:t>
      </w:r>
      <w:hyperlink r:id="rId9973">
        <w:r>
          <w:rPr>
            <w:color w:val="0000EE"/>
            <w:u w:val="single"/>
          </w:rPr>
          <w:t>6</w:t>
        </w:r>
      </w:hyperlink>
      <w:r>
        <w:t>). A queda da própria cidade ocorreu depois que os israelitas haviam marchado ao redor dela em silêncio, exceto pelo toque contínuo de trombetas, uma vez por dia durante seis dias e depois sete vezes no sétimo dia. Então, enquanto os sacerdotes tocavam as trombetas, as pessoas gritavam e os muros caíram.</w:t>
      </w:r>
    </w:p>
    <w:p>
      <w:r/>
      <w:r>
        <w:t>Josué colocou uma maldição sobre qualquer um que pudesse reconstruir Jericó (</w:t>
      </w:r>
      <w:hyperlink r:id="rId104">
        <w:r>
          <w:rPr>
            <w:color w:val="0000EE"/>
            <w:u w:val="single"/>
          </w:rPr>
          <w:t>Js 6.26</w:t>
        </w:r>
      </w:hyperlink>
      <w:r>
        <w:t>). A maldição foi cumprida cerca de 500 anos depois, quando Hiel reconstruiu a cidade ao preço de dois de seus filhos (</w:t>
      </w:r>
      <w:hyperlink r:id="rId103">
        <w:r>
          <w:rPr>
            <w:color w:val="0000EE"/>
            <w:u w:val="single"/>
          </w:rPr>
          <w:t>1Rs 16.34</w:t>
        </w:r>
      </w:hyperlink>
      <w:r>
        <w:t>).</w:t>
      </w:r>
    </w:p>
    <w:p>
      <w:r/>
      <w:r>
        <w:t>Jericó ficava no território de Benjamim, mas bem na fronteira com o território de Efraim ao norte (</w:t>
      </w:r>
      <w:hyperlink r:id="rId11586">
        <w:r>
          <w:rPr>
            <w:color w:val="0000EE"/>
            <w:u w:val="single"/>
          </w:rPr>
          <w:t>Js 16.1,7</w:t>
        </w:r>
      </w:hyperlink>
      <w:r>
        <w:t xml:space="preserve">; </w:t>
      </w:r>
      <w:hyperlink r:id="rId11587">
        <w:r>
          <w:rPr>
            <w:color w:val="0000EE"/>
            <w:u w:val="single"/>
          </w:rPr>
          <w:t>18.12,21</w:t>
        </w:r>
      </w:hyperlink>
      <w:r>
        <w:t xml:space="preserve">) e aparece em incidentes espalhados no resto do AT. Em </w:t>
      </w:r>
      <w:hyperlink r:id="rId11588">
        <w:r>
          <w:rPr>
            <w:color w:val="0000EE"/>
            <w:u w:val="single"/>
          </w:rPr>
          <w:t>2 Samuel 10.5</w:t>
        </w:r>
      </w:hyperlink>
      <w:r>
        <w:t xml:space="preserve"> (veja também </w:t>
      </w:r>
      <w:hyperlink r:id="rId11589">
        <w:r>
          <w:rPr>
            <w:color w:val="0000EE"/>
            <w:u w:val="single"/>
          </w:rPr>
          <w:t>1Cr 19.5</w:t>
        </w:r>
      </w:hyperlink>
      <w:r>
        <w:t>) Davi fez com que seus representantes humilhados esperassem lá até que suas barbas voltassem a crescer. Serviu como uma espécie de sede para Eliseu e aparentemente era onde uma “companhia dos profetas” vivia (</w:t>
      </w:r>
      <w:hyperlink r:id="rId11590">
        <w:r>
          <w:rPr>
            <w:color w:val="0000EE"/>
            <w:u w:val="single"/>
          </w:rPr>
          <w:t>2Rs 2.5</w:t>
        </w:r>
      </w:hyperlink>
      <w:r>
        <w:t xml:space="preserve">; cf. </w:t>
      </w:r>
      <w:hyperlink r:id="rId9547">
        <w:r>
          <w:rPr>
            <w:color w:val="0000EE"/>
            <w:u w:val="single"/>
          </w:rPr>
          <w:t>1Sm 10.5</w:t>
        </w:r>
      </w:hyperlink>
      <w:r>
        <w:t>). Durante o tempo de Acaz, um retorno de prisioneiros ocorreu lá (</w:t>
      </w:r>
      <w:hyperlink r:id="rId11582">
        <w:r>
          <w:rPr>
            <w:color w:val="0000EE"/>
            <w:u w:val="single"/>
          </w:rPr>
          <w:t>2Cr 28.15</w:t>
        </w:r>
      </w:hyperlink>
      <w:r>
        <w:t>). Quando Jerusalém caiu em 586 a.C., o rei em exercício, Zedequias, fugiu para perto de Jericó, mas foi pego pelos babilônios, que mais tarde furaram seus olhos em Ribla, na Síria (</w:t>
      </w:r>
      <w:hyperlink r:id="rId6745">
        <w:r>
          <w:rPr>
            <w:color w:val="0000EE"/>
            <w:u w:val="single"/>
          </w:rPr>
          <w:t>2Rs 25.5</w:t>
        </w:r>
      </w:hyperlink>
      <w:r>
        <w:t xml:space="preserve">; </w:t>
      </w:r>
      <w:hyperlink r:id="rId11591">
        <w:r>
          <w:rPr>
            <w:color w:val="0000EE"/>
            <w:u w:val="single"/>
          </w:rPr>
          <w:t>Jr 39.5</w:t>
        </w:r>
      </w:hyperlink>
      <w:r>
        <w:t xml:space="preserve">; </w:t>
      </w:r>
      <w:hyperlink r:id="rId11592">
        <w:r>
          <w:rPr>
            <w:color w:val="0000EE"/>
            <w:u w:val="single"/>
          </w:rPr>
          <w:t>52.8</w:t>
        </w:r>
      </w:hyperlink>
      <w:r>
        <w:t>). As últimas referências do AT a Jericó estão nas listas do censo de Esdras (</w:t>
      </w:r>
      <w:hyperlink r:id="rId11593">
        <w:r>
          <w:rPr>
            <w:color w:val="0000EE"/>
            <w:u w:val="single"/>
          </w:rPr>
          <w:t>Ed 2.34</w:t>
        </w:r>
      </w:hyperlink>
      <w:r>
        <w:t>) e Neemias (</w:t>
      </w:r>
      <w:hyperlink r:id="rId11594">
        <w:r>
          <w:rPr>
            <w:color w:val="0000EE"/>
            <w:u w:val="single"/>
          </w:rPr>
          <w:t>Ne 7.36</w:t>
        </w:r>
      </w:hyperlink>
      <w:r>
        <w:t>). Os homens de Jericó também ajudaram a reconstruir o muro de Jerusalém (</w:t>
      </w:r>
      <w:hyperlink r:id="rId11595">
        <w:r>
          <w:rPr>
            <w:color w:val="0000EE"/>
            <w:u w:val="single"/>
          </w:rPr>
          <w:t>3.2</w:t>
        </w:r>
      </w:hyperlink>
      <w:r>
        <w:t>).</w:t>
      </w:r>
    </w:p>
    <w:p>
      <w:pPr>
        <w:pStyle w:val="Heading4"/>
      </w:pPr>
      <w:r>
        <w:t>No Novo Testamento</w:t>
      </w:r>
    </w:p>
    <w:p>
      <w:r/>
      <w:r>
        <w:t>Primeiro, deve ser entendido que a Jericó dos tempos do NT foi construída por Herodes a mais de um quilômetro ao sul do local do AT, na foz do Wadi Qilt. É possível esclarecer os episódios de cura dos homens cegos nos Evangelhos sinóticos entendendo que Jesus estava passando pelo local da antiga Jericó (</w:t>
      </w:r>
      <w:hyperlink r:id="rId11596">
        <w:r>
          <w:rPr>
            <w:color w:val="0000EE"/>
            <w:u w:val="single"/>
          </w:rPr>
          <w:t>Mt 20.29</w:t>
        </w:r>
      </w:hyperlink>
      <w:r>
        <w:t xml:space="preserve">; </w:t>
      </w:r>
      <w:hyperlink r:id="rId11597">
        <w:r>
          <w:rPr>
            <w:color w:val="0000EE"/>
            <w:u w:val="single"/>
          </w:rPr>
          <w:t>Mc 10.46</w:t>
        </w:r>
      </w:hyperlink>
      <w:r>
        <w:t>) e se aproximando da Jericó herodiana (</w:t>
      </w:r>
      <w:hyperlink r:id="rId11598">
        <w:r>
          <w:rPr>
            <w:color w:val="0000EE"/>
            <w:u w:val="single"/>
          </w:rPr>
          <w:t>Lc 18.35</w:t>
        </w:r>
      </w:hyperlink>
      <w:r>
        <w:t>). A cidade moderna de Jericó inclui ambos esses locais. Passando por Jericó (</w:t>
      </w:r>
      <w:hyperlink r:id="rId11599">
        <w:r>
          <w:rPr>
            <w:color w:val="0000EE"/>
            <w:u w:val="single"/>
          </w:rPr>
          <w:t>19.1</w:t>
        </w:r>
      </w:hyperlink>
      <w:r>
        <w:t>), Jesus encontrou e comeu com Zaqueu, o rico chefe dos cobradores de impostos da nova Jericó romana. A cidade também figura na parábola do bom samaritano (</w:t>
      </w:r>
      <w:hyperlink r:id="rId11600">
        <w:r>
          <w:rPr>
            <w:color w:val="0000EE"/>
            <w:u w:val="single"/>
          </w:rPr>
          <w:t>10.30–37</w:t>
        </w:r>
      </w:hyperlink>
      <w:r>
        <w:t>).</w:t>
      </w:r>
    </w:p>
    <w:p>
      <w:pPr>
        <w:pStyle w:val="Heading4"/>
      </w:pPr>
      <w:r>
        <w:t>Registro pós-bíblico</w:t>
      </w:r>
    </w:p>
    <w:p>
      <w:r/>
      <w:r>
        <w:t>Enquanto a antiga Jericó teve pouca relevância após sua destruição sob Josué, a Jericó de Herodes era uma cidade de beleza e importância. Mas até esta cidade caiu em decadência com o declínio da influência romana no Oriente Médio. Muito do que sabemos da cidade até os tempos modernos vem dos escritos de peregrinos à Terra Santa. Eles geralmente relatam ver certas coisas de significado bíblico, como a árvore que Zaqueu escalou, mas também relatam que Jericó era uma aldeia muçulmana degradante e miserável. E foi assim até tempos relativamente recentes, quando cresceu em tamanho e importância como uma grande cidade da Cisjordânia.</w:t>
      </w:r>
      <w:r/>
      <w:r/>
    </w:p>
    <w:p>
      <w:r/>
    </w:p>
    <w:p>
      <w:pPr>
        <w:pStyle w:val="Heading2"/>
      </w:pPr>
      <w:r>
        <w:t>Jeroboão</w:t>
      </w:r>
      <w:r/>
    </w:p>
    <w:p>
      <w:r/>
      <w:r>
        <w:t>Nome de dois reis que reinaram no reino do norte de Israel: Jeroboão I (930–909 a.C.), o fundador e primeiro monarca das 10 tribos de Israel, e Jeroboão II (793–753 a.C.), o 14º rei do reino do norte.</w:t>
      </w:r>
    </w:p>
    <w:p>
      <w:r/>
      <w:r>
        <w:t>1. Jeroboão I era filho de Nebate da tribo de Efraim. Ele também serviu ao Rei Salomão (</w:t>
      </w:r>
      <w:hyperlink r:id="rId11601">
        <w:r>
          <w:rPr>
            <w:color w:val="0000EE"/>
            <w:u w:val="single"/>
          </w:rPr>
          <w:t>1Rs 11.26</w:t>
        </w:r>
      </w:hyperlink>
      <w:r>
        <w:t xml:space="preserve">) e seus esforços foram recompensados com sua nomeação como supervisor de uma força de trabalho efraimita. Jeroboão, portanto, ajudou a reconstruir uma seção importante das defesas de Jerusalém (vv. </w:t>
      </w:r>
      <w:hyperlink r:id="rId11602">
        <w:r>
          <w:rPr>
            <w:color w:val="0000EE"/>
            <w:u w:val="single"/>
          </w:rPr>
          <w:t>27–28</w:t>
        </w:r>
      </w:hyperlink>
      <w:r>
        <w:t>). Este jovem eficiente e energético não permaneceu por muito tempo ao serviço de Salomão, no entanto. A origem de Jeroboão, o orgulho de sua tribo e a opressão de Salomão resultaram em um jovem rebelde. O silonita, o profeta de Siló, encontrou Jeroboão fora de Jerusalém um dia e fez algo surpreendente — ele rasgou uma nova vestimenta que estava usando em 12 pedaços e deu 10 deles a Jeroboão (</w:t>
      </w:r>
      <w:hyperlink r:id="rId11603">
        <w:r>
          <w:rPr>
            <w:color w:val="0000EE"/>
            <w:u w:val="single"/>
          </w:rPr>
          <w:t>1Rs 11.29–30</w:t>
        </w:r>
      </w:hyperlink>
      <w:r>
        <w:t xml:space="preserve">). O silonita simbolicamente mostrou a Jeroboão que Deus lhe daria 10 tribos e deixaria a linha davídica intacta (vv. </w:t>
      </w:r>
      <w:hyperlink r:id="rId11604">
        <w:r>
          <w:rPr>
            <w:color w:val="0000EE"/>
            <w:u w:val="single"/>
          </w:rPr>
          <w:t>31–39</w:t>
        </w:r>
      </w:hyperlink>
      <w:r>
        <w:t xml:space="preserve">). A idolatria de Salomão trouxe este julgamento sobre a linha davídica (v. </w:t>
      </w:r>
      <w:hyperlink r:id="rId11605">
        <w:r>
          <w:rPr>
            <w:color w:val="0000EE"/>
            <w:u w:val="single"/>
          </w:rPr>
          <w:t>33</w:t>
        </w:r>
      </w:hyperlink>
      <w:r>
        <w:t xml:space="preserve">). Embora detalhes precisos de uma revolta não sejam dados (v. </w:t>
      </w:r>
      <w:hyperlink r:id="rId11606">
        <w:r>
          <w:rPr>
            <w:color w:val="0000EE"/>
            <w:u w:val="single"/>
          </w:rPr>
          <w:t>7</w:t>
        </w:r>
      </w:hyperlink>
      <w:r>
        <w:t xml:space="preserve">), Jeroboão fugiu para o Egito para salvar sua vida (v. </w:t>
      </w:r>
      <w:hyperlink r:id="rId10831">
        <w:r>
          <w:rPr>
            <w:color w:val="0000EE"/>
            <w:u w:val="single"/>
          </w:rPr>
          <w:t>40</w:t>
        </w:r>
      </w:hyperlink>
      <w:r>
        <w:t>).</w:t>
      </w:r>
    </w:p>
    <w:p>
      <w:r/>
      <w:r>
        <w:t>Após a morte de Salomão, Jeroboão retornou à Palestina e se aproximou de Roboão, filho de Salomão, com um pedido para que seu programa de opressão cessasse (</w:t>
      </w:r>
      <w:hyperlink r:id="rId11607">
        <w:r>
          <w:rPr>
            <w:color w:val="0000EE"/>
            <w:u w:val="single"/>
          </w:rPr>
          <w:t>1Rs 12.1–4</w:t>
        </w:r>
      </w:hyperlink>
      <w:r>
        <w:t xml:space="preserve">). Roboão pediu três dias para consultar seus conselheiros antes de responder (vv. </w:t>
      </w:r>
      <w:hyperlink r:id="rId11608">
        <w:r>
          <w:rPr>
            <w:color w:val="0000EE"/>
            <w:u w:val="single"/>
          </w:rPr>
          <w:t>5–11</w:t>
        </w:r>
      </w:hyperlink>
      <w:r>
        <w:t xml:space="preserve">). O conselho dos conselheiros mais velhos foi em direção à clemência, mas os jovens impetuosos prevaleceram com seu conselho de aumento de impostos e trabalho forçado (vv. </w:t>
      </w:r>
      <w:hyperlink r:id="rId11609">
        <w:r>
          <w:rPr>
            <w:color w:val="0000EE"/>
            <w:u w:val="single"/>
          </w:rPr>
          <w:t>12–14</w:t>
        </w:r>
      </w:hyperlink>
      <w:r>
        <w:t>).</w:t>
      </w:r>
    </w:p>
    <w:p>
      <w:r/>
      <w:r>
        <w:t>Os israelitas responderam rejeitando Roboão. Jeroboão foi rapidamente eleito rei das tribos do norte (</w:t>
      </w:r>
      <w:hyperlink r:id="rId11610">
        <w:r>
          <w:rPr>
            <w:color w:val="0000EE"/>
            <w:u w:val="single"/>
          </w:rPr>
          <w:t>1Rs 12.20</w:t>
        </w:r>
      </w:hyperlink>
      <w:r>
        <w:t>), e um cessar-fogo inquieto estabilizou temporariamente as relações entre os dois reinos após a sua divisão (930 a.C.).</w:t>
      </w:r>
    </w:p>
    <w:p>
      <w:r/>
      <w:r>
        <w:t xml:space="preserve">Sendo ambicioso e habilidoso, Jeroboão construiu duas cidades capitais, uma em Siquém (cf. </w:t>
      </w:r>
      <w:hyperlink r:id="rId11611">
        <w:r>
          <w:rPr>
            <w:color w:val="0000EE"/>
            <w:u w:val="single"/>
          </w:rPr>
          <w:t>Gn 12.6–8</w:t>
        </w:r>
      </w:hyperlink>
      <w:r>
        <w:t xml:space="preserve">; </w:t>
      </w:r>
      <w:hyperlink r:id="rId810">
        <w:r>
          <w:rPr>
            <w:color w:val="0000EE"/>
            <w:u w:val="single"/>
          </w:rPr>
          <w:t>Js 8.30–35</w:t>
        </w:r>
      </w:hyperlink>
      <w:r>
        <w:t xml:space="preserve">), no território a oeste do Jordão, e outra em Penuel (cf. </w:t>
      </w:r>
      <w:hyperlink r:id="rId11497">
        <w:r>
          <w:rPr>
            <w:color w:val="0000EE"/>
            <w:u w:val="single"/>
          </w:rPr>
          <w:t>Gn 32.30</w:t>
        </w:r>
      </w:hyperlink>
      <w:r>
        <w:t xml:space="preserve">; </w:t>
      </w:r>
      <w:hyperlink r:id="rId11612">
        <w:r>
          <w:rPr>
            <w:color w:val="0000EE"/>
            <w:u w:val="single"/>
          </w:rPr>
          <w:t>Jz 8.17</w:t>
        </w:r>
      </w:hyperlink>
      <w:r>
        <w:t>), a leste do Jordão (</w:t>
      </w:r>
      <w:hyperlink r:id="rId11613">
        <w:r>
          <w:rPr>
            <w:color w:val="0000EE"/>
            <w:u w:val="single"/>
          </w:rPr>
          <w:t>1Rs 12.25</w:t>
        </w:r>
      </w:hyperlink>
      <w:r>
        <w:t xml:space="preserve">). Ele reinstituiu o culto aos bezerros de ouro, substituindo a adoração a Jeová por uma religião antiga. Ele mudou os centros de adoração, o objeto de adoração, o sacerdócio e o tempo de adoração. Os novos centros tornaram-se Betel e Dã (v. </w:t>
      </w:r>
      <w:hyperlink r:id="rId11614">
        <w:r>
          <w:rPr>
            <w:color w:val="0000EE"/>
            <w:u w:val="single"/>
          </w:rPr>
          <w:t>29</w:t>
        </w:r>
      </w:hyperlink>
      <w:r>
        <w:t>); Betel era um lugar de adoração patriarcal (</w:t>
      </w:r>
      <w:hyperlink r:id="rId26">
        <w:r>
          <w:rPr>
            <w:color w:val="0000EE"/>
            <w:u w:val="single"/>
          </w:rPr>
          <w:t>Gn 28.10–22</w:t>
        </w:r>
      </w:hyperlink>
      <w:r>
        <w:t xml:space="preserve">; </w:t>
      </w:r>
      <w:hyperlink r:id="rId11615">
        <w:r>
          <w:rPr>
            <w:color w:val="0000EE"/>
            <w:u w:val="single"/>
          </w:rPr>
          <w:t>31.13</w:t>
        </w:r>
      </w:hyperlink>
      <w:r>
        <w:t xml:space="preserve">; </w:t>
      </w:r>
      <w:hyperlink r:id="rId11616">
        <w:r>
          <w:rPr>
            <w:color w:val="0000EE"/>
            <w:u w:val="single"/>
          </w:rPr>
          <w:t>35.1–7</w:t>
        </w:r>
      </w:hyperlink>
      <w:r>
        <w:t>), e Dã era o local de uma adoração levítica renegada estabelecida para a tribo de Dã nos dias dos juízes (</w:t>
      </w:r>
      <w:hyperlink r:id="rId6472">
        <w:r>
          <w:rPr>
            <w:color w:val="0000EE"/>
            <w:u w:val="single"/>
          </w:rPr>
          <w:t>Jz 18</w:t>
        </w:r>
      </w:hyperlink>
      <w:r>
        <w:t>).</w:t>
      </w:r>
    </w:p>
    <w:p>
      <w:r/>
      <w:r>
        <w:t>O objeto de adoração tornou-se o bezerro ídolo (</w:t>
      </w:r>
      <w:hyperlink r:id="rId11617">
        <w:r>
          <w:rPr>
            <w:color w:val="0000EE"/>
            <w:u w:val="single"/>
          </w:rPr>
          <w:t>1Rs 12.28</w:t>
        </w:r>
      </w:hyperlink>
      <w:r>
        <w:t>). A adoração baseava-se na participação de Arão no primeiro caso dessa idolatria em Israel. Arão havia apresentado o bezerro de ouro no Sinai como uma representação visível do invisível Yahweh, que havia tirado Israel do Egito (</w:t>
      </w:r>
      <w:hyperlink r:id="rId11618">
        <w:r>
          <w:rPr>
            <w:color w:val="0000EE"/>
            <w:u w:val="single"/>
          </w:rPr>
          <w:t>Êx 32.4–5</w:t>
        </w:r>
      </w:hyperlink>
      <w:r>
        <w:t>). Esta religião negativa ainda teria um apelo para os adoradores de Yahweh. O estabelecimento prévio dessa adoração por Arão aumentou o apelo para aqueles que estavam relutantes em se separar da metodologia levítica. Os levitas em Dã também contribuiriam para a autenticação da adoração ao bezerro.</w:t>
      </w:r>
    </w:p>
    <w:p>
      <w:r/>
      <w:r>
        <w:t>Sem dúvida, a estadia de Jeroboão no Egito contribuiu para essa mudança de eventos. A adoração dos egípcios a Amon-Re, o deus do sol, incluía sua representação como um touro. O touro na adoração egípcia era destinado a representar visivelmente uma divindade invisível. Esse conceito poderia ter sido facilmente transferido pelos israelitas para sua adoração ao invisível Yahweh.</w:t>
      </w:r>
    </w:p>
    <w:p>
      <w:r/>
      <w:r>
        <w:t>A idolatria de Jeroboão resultaria na destruição final de sua linhagem (</w:t>
      </w:r>
      <w:hyperlink r:id="rId11619">
        <w:r>
          <w:rPr>
            <w:color w:val="0000EE"/>
            <w:u w:val="single"/>
          </w:rPr>
          <w:t>1Rs 13.33–34</w:t>
        </w:r>
      </w:hyperlink>
      <w:r>
        <w:t>). Um resultado imediato foi a morte de seu filho Abias (</w:t>
      </w:r>
      <w:hyperlink r:id="rId11620">
        <w:r>
          <w:rPr>
            <w:color w:val="0000EE"/>
            <w:u w:val="single"/>
          </w:rPr>
          <w:t>14.1–18</w:t>
        </w:r>
      </w:hyperlink>
      <w:r>
        <w:t xml:space="preserve">). O plano de Jeroboão para enganar o profeta silonita falhou e se tornou o meio de pronunciar julgamento sobre a casa de Jeroboão e o reino do norte (vv. </w:t>
      </w:r>
      <w:hyperlink r:id="rId11621">
        <w:r>
          <w:rPr>
            <w:color w:val="0000EE"/>
            <w:u w:val="single"/>
          </w:rPr>
          <w:t>7–16</w:t>
        </w:r>
      </w:hyperlink>
      <w:r>
        <w:t>). Uma manifestação do declínio gradual de Israel foi a derrota que Jeroboão sofreu nas mãos de Abias de Judá (</w:t>
      </w:r>
      <w:hyperlink r:id="rId11622">
        <w:r>
          <w:rPr>
            <w:color w:val="0000EE"/>
            <w:u w:val="single"/>
          </w:rPr>
          <w:t>2Cr 13.1–20</w:t>
        </w:r>
      </w:hyperlink>
      <w:r>
        <w:t>).</w:t>
      </w:r>
    </w:p>
    <w:p>
      <w:r/>
      <w:r>
        <w:t>Jeroboão I morreu após reinar 22 anos sobre Israel (</w:t>
      </w:r>
      <w:hyperlink r:id="rId11623">
        <w:r>
          <w:rPr>
            <w:color w:val="0000EE"/>
            <w:u w:val="single"/>
          </w:rPr>
          <w:t>1Rs 14.19–20</w:t>
        </w:r>
      </w:hyperlink>
      <w:r>
        <w:t>). Seu único filho restante, Nadabe, governou por apenas dois anos antes de ser assassinado por Baasa da tribo de Issacar (</w:t>
      </w:r>
      <w:hyperlink r:id="rId11624">
        <w:r>
          <w:rPr>
            <w:color w:val="0000EE"/>
            <w:u w:val="single"/>
          </w:rPr>
          <w:t>1Rs 14.20</w:t>
        </w:r>
      </w:hyperlink>
      <w:r>
        <w:t xml:space="preserve">; </w:t>
      </w:r>
      <w:hyperlink r:id="rId11625">
        <w:r>
          <w:rPr>
            <w:color w:val="0000EE"/>
            <w:u w:val="single"/>
          </w:rPr>
          <w:t>15.25–31</w:t>
        </w:r>
      </w:hyperlink>
      <w:r>
        <w:t>). Toda a casa de Jeroboão foi então exterminada por Baasa, cumprindo a profecia do silonita sobre o fim da dinastia de Jeroboão. No entanto, até mesmo Baasa seguiu os passos da apostasia de Jeroboão (</w:t>
      </w:r>
      <w:hyperlink r:id="rId11626">
        <w:r>
          <w:rPr>
            <w:color w:val="0000EE"/>
            <w:u w:val="single"/>
          </w:rPr>
          <w:t>1Rs 15.34</w:t>
        </w:r>
      </w:hyperlink>
      <w:r>
        <w:t>).</w:t>
      </w:r>
    </w:p>
    <w:p>
      <w:r/>
      <w:r>
        <w:t>2. Jeroboão II, filho de Joás (798–782 a.C.), reinou sobre Israel por mais tempo do que qualquer outro rei do norte, mesmo tendo seguido o mau exemplo de seu homônimo ancestral, Jeroboão I (</w:t>
      </w:r>
      <w:hyperlink r:id="rId11627">
        <w:r>
          <w:rPr>
            <w:color w:val="0000EE"/>
            <w:u w:val="single"/>
          </w:rPr>
          <w:t>2Rs 14.23–24</w:t>
        </w:r>
      </w:hyperlink>
      <w:r>
        <w:t>). Seu reinado de 41 anos incluiu uma corregência de 11 anos com seu pai. Evidentemente, Joás tomou medidas para garantir a estabilidade de seu reino antes de enfrentar Amazias de Judá em batalha (</w:t>
      </w:r>
      <w:hyperlink r:id="rId11628">
        <w:r>
          <w:rPr>
            <w:color w:val="0000EE"/>
            <w:u w:val="single"/>
          </w:rPr>
          <w:t>2Rs 14.8–14</w:t>
        </w:r>
      </w:hyperlink>
      <w:r>
        <w:t xml:space="preserve">; </w:t>
      </w:r>
      <w:hyperlink r:id="rId11629">
        <w:r>
          <w:rPr>
            <w:color w:val="0000EE"/>
            <w:u w:val="single"/>
          </w:rPr>
          <w:t>2Cr 25.5–24</w:t>
        </w:r>
      </w:hyperlink>
      <w:r>
        <w:t>).</w:t>
      </w:r>
    </w:p>
    <w:p>
      <w:r/>
      <w:r>
        <w:t>Jeroboão II governou na cidade de Samaria (</w:t>
      </w:r>
      <w:hyperlink r:id="rId11630">
        <w:r>
          <w:rPr>
            <w:color w:val="0000EE"/>
            <w:u w:val="single"/>
          </w:rPr>
          <w:t>2Rs 14.23</w:t>
        </w:r>
      </w:hyperlink>
      <w:r>
        <w:t>). As evidências arqueológicas em Samaria indicam um programa de reconstrução no palácio real durante os prósperos reinados de Joás e Jeroboão II. Em 1910, os escavadores encontraram mais de 60 cacos de cerâmica inscritos que eram faturas ou rótulos para óleo e vinho enviados aos armazéns reais para uso no serviço do rei. O número limitado de nomes de lugares (27) nos cacos indica que os envios dessas mercadorias não eram uma cobrança de impostos em todo o país, mas provavelmente provinham de propriedades pertencentes à casa real. Estes ilustram as extensas posses e a opulência da casa real em Israel durante o reinado de Jeroboão II.</w:t>
      </w:r>
    </w:p>
    <w:p>
      <w:r/>
      <w:r>
        <w:t>Grandes quantidades de placas e painéis decorativos esculpidos em marfim também foram encontradas nas ruínas de Samaria, um lembrete da riqueza do reino do norte em seus últimos dias. A influência das sociedades pagãs da Síria, Assíria e Egito pode ser vista nas várias figuras de divindades nos marfins.</w:t>
      </w:r>
    </w:p>
    <w:p>
      <w:r/>
      <w:r>
        <w:t>O profeta Jonas, filho de Amitai, havia profetizado a aquisição de poder por Jeroboão II (</w:t>
      </w:r>
      <w:hyperlink r:id="rId2321">
        <w:r>
          <w:rPr>
            <w:color w:val="0000EE"/>
            <w:u w:val="single"/>
          </w:rPr>
          <w:t>2Rs 14.25</w:t>
        </w:r>
      </w:hyperlink>
      <w:r>
        <w:t xml:space="preserve">). Embora o reinado de Jeroboão tenha ocorrido tardiamente na história do reino do norte, Deus ainda desejava demonstrar sua paciência e amor fiel em manter a aliança, oferecendo arrependimento a Israel (vv. </w:t>
      </w:r>
      <w:hyperlink r:id="rId11631">
        <w:r>
          <w:rPr>
            <w:color w:val="0000EE"/>
            <w:u w:val="single"/>
          </w:rPr>
          <w:t>26–28</w:t>
        </w:r>
      </w:hyperlink>
      <w:r>
        <w:t>).</w:t>
      </w:r>
    </w:p>
    <w:p>
      <w:r/>
      <w:r>
        <w:t>O reino do norte alcançou sua maior extensão desde os tempos de Salomão, resultado do cuidado de Deus por Israel durante o reinado de Jeroboão. As fronteiras se estendiam de Hamate, no rio Orontes ao norte, até o Golfo de Ácaba, com suas cidades de Elate e Eziom-Geber ao sul. No entanto, a prosperidade não foi suficiente para livrar Israel dos problemas internos e externos. A corrupção generalizada no governo e o estado espiritual degenerado do povo levaram Israel a dias tumultuados que culminariam na destruição total do reino do norte. A própria vida de Jeroboão deve ter estado em perigo devido a conspiradores. Amazias, um sacerdote em Betel, chegou a acusar o profeta Amós de conspirar para assassinar Jeroboão (</w:t>
      </w:r>
      <w:hyperlink r:id="rId11632">
        <w:r>
          <w:rPr>
            <w:color w:val="0000EE"/>
            <w:u w:val="single"/>
          </w:rPr>
          <w:t>Am 7.8–17</w:t>
        </w:r>
      </w:hyperlink>
      <w:r>
        <w:t>). Na verdade, Amós havia profetizado o cativeiro de Israel e a queda da dinastia de Jeroboão. A palavra de Deus tornou-se uma ameaça para Jeroboão devido à dureza dos corações de todos em Israel, incluindo o rei.</w:t>
      </w:r>
    </w:p>
    <w:p>
      <w:r/>
      <w:r>
        <w:t>A depressão econômica, a deterioração moral, a fraqueza política e a corrupção governamental contribuíram para acelerar a queda de Israel. Os grandes proprietários de terras, incluindo Jeroboão II, oprimiram os cidadãos menos abastados e forçaram pequenos proprietários a migrar de suas fazendas para as cidades.</w:t>
      </w:r>
    </w:p>
    <w:p>
      <w:r/>
      <w:r>
        <w:t>Dentro de seis meses após a morte de Jeroboão II, a profecia sobre o fim da dinastia de Jeú (Jeroboão foi o quarto rei dessa linhagem) foi cumprida (</w:t>
      </w:r>
      <w:hyperlink r:id="rId11633">
        <w:r>
          <w:rPr>
            <w:color w:val="0000EE"/>
            <w:u w:val="single"/>
          </w:rPr>
          <w:t>2Rs 14.29</w:t>
        </w:r>
      </w:hyperlink>
      <w:r>
        <w:t xml:space="preserve">; </w:t>
      </w:r>
      <w:hyperlink r:id="rId11634">
        <w:r>
          <w:rPr>
            <w:color w:val="0000EE"/>
            <w:u w:val="single"/>
          </w:rPr>
          <w:t>15.8–12</w:t>
        </w:r>
      </w:hyperlink>
      <w:r>
        <w:t xml:space="preserve">; cf. </w:t>
      </w:r>
      <w:hyperlink r:id="rId11635">
        <w:r>
          <w:rPr>
            <w:color w:val="0000EE"/>
            <w:u w:val="single"/>
          </w:rPr>
          <w:t>10.12–31</w:t>
        </w:r>
      </w:hyperlink>
      <w:r>
        <w:t xml:space="preserve">). Assim como o filho de Jeroboão I, Nadabe, foi assassinado, o filho de Jeroboão II, Zacarias, também foi assassinado. Trinta e um anos após a morte de Jeroboão II, as profecias sobre o cativeiro de Israel foram cumpridas (722 a.C.; </w:t>
      </w:r>
      <w:hyperlink r:id="rId11636">
        <w:r>
          <w:rPr>
            <w:color w:val="0000EE"/>
            <w:u w:val="single"/>
          </w:rPr>
          <w:t>2Rs 17.5–41</w:t>
        </w:r>
      </w:hyperlink>
      <w:r>
        <w:t>).</w:t>
      </w:r>
    </w:p>
    <w:p>
      <w:r/>
      <w:r>
        <w:rPr>
          <w:i/>
        </w:rPr>
        <w:t>Veja também</w:t>
      </w:r>
      <w:r>
        <w:t xml:space="preserve"> </w:t>
      </w:r>
      <w:r>
        <w:t>Cronologia da Bíblia (Antigo Testamento)</w:t>
      </w:r>
      <w:r>
        <w:t xml:space="preserve">; </w:t>
      </w:r>
      <w:r>
        <w:t>História de Israel</w:t>
      </w:r>
      <w:r>
        <w:t>.</w:t>
      </w:r>
      <w:r/>
      <w:r/>
    </w:p>
    <w:p>
      <w:r/>
    </w:p>
    <w:p>
      <w:pPr>
        <w:pStyle w:val="Heading2"/>
      </w:pPr>
      <w:r>
        <w:t>Jerusalém</w:t>
      </w:r>
      <w:r/>
    </w:p>
    <w:p>
      <w:r/>
      <w:r>
        <w:t>Uma cidade histórica sagrada para cristãos, judeus e muçulmanos. Foi a principal cidade da antiga Palestina e agora é uma cidade importante no moderno Israel.</w:t>
      </w:r>
    </w:p>
    <w:p>
      <w:pPr>
        <w:pStyle w:val="Heading3"/>
      </w:pPr>
      <w:r>
        <w:t>Resumo</w:t>
      </w:r>
    </w:p>
    <w:p>
      <w:pPr>
        <w:pStyle w:val="ListBullet"/>
        <w:spacing w:line="240" w:lineRule="auto"/>
        <w:ind w:left="720"/>
      </w:pPr>
      <w:r/>
      <w:r>
        <w:t>Qual é o significado do nome "Jerusalém"?</w:t>
      </w:r>
    </w:p>
    <w:p>
      <w:pPr>
        <w:pStyle w:val="ListBullet"/>
        <w:spacing w:line="240" w:lineRule="auto"/>
        <w:ind w:left="720"/>
      </w:pPr>
      <w:r/>
      <w:r>
        <w:t>Onde está localizada Jerusalém?</w:t>
      </w:r>
    </w:p>
    <w:p>
      <w:pPr>
        <w:pStyle w:val="ListBullet"/>
        <w:spacing w:line="240" w:lineRule="auto"/>
        <w:ind w:left="720"/>
      </w:pPr>
      <w:r/>
      <w:r>
        <w:t>História de Jerusalém</w:t>
      </w:r>
    </w:p>
    <w:p>
      <w:pPr>
        <w:pStyle w:val="Heading3"/>
      </w:pPr>
      <w:r>
        <w:t>Qual é o significado do nome "Jerusalém"?</w:t>
      </w:r>
    </w:p>
    <w:p>
      <w:pPr>
        <w:pStyle w:val="Heading4"/>
      </w:pPr>
      <w:r>
        <w:t>Significado no Egito</w:t>
      </w:r>
    </w:p>
    <w:p>
      <w:r/>
      <w:r>
        <w:t xml:space="preserve">A menção mais antiga do nome aparece nos Textos de Execração Egípcios dos séculos 19 e 18 a.C. Provavelmente se escreve em português como </w:t>
      </w:r>
      <w:r>
        <w:rPr>
          <w:i/>
        </w:rPr>
        <w:t>Urusalimum.</w:t>
      </w:r>
    </w:p>
    <w:p>
      <w:pPr>
        <w:pStyle w:val="Heading4"/>
      </w:pPr>
      <w:r>
        <w:t>Significado semita</w:t>
      </w:r>
    </w:p>
    <w:p>
      <w:r/>
      <w:r>
        <w:t xml:space="preserve">No século XIV a.C., o nome aparece na correspondência de Abdi-Hepa de Tell el-Amarna, escrito como </w:t>
      </w:r>
      <w:r>
        <w:rPr>
          <w:i/>
        </w:rPr>
        <w:t>Urusalim.</w:t>
      </w:r>
      <w:r>
        <w:t xml:space="preserve"> Mais tarde, é encontrado na inscrição do governante assírio Senaqueribe, escrito como </w:t>
      </w:r>
      <w:r>
        <w:rPr>
          <w:i/>
        </w:rPr>
        <w:t>Ursalimmu.</w:t>
      </w:r>
      <w:r>
        <w:t xml:space="preserve"> Os dois elementos semíticos claros, </w:t>
      </w:r>
      <w:r>
        <w:rPr>
          <w:i/>
        </w:rPr>
        <w:t>uru</w:t>
      </w:r>
      <w:r>
        <w:t xml:space="preserve"> (cidade) e </w:t>
      </w:r>
      <w:r>
        <w:rPr>
          <w:i/>
        </w:rPr>
        <w:t>Salim</w:t>
      </w:r>
      <w:r>
        <w:t xml:space="preserve"> (um nome divino), criam o significado "a cidade do [deus] Salim". Hifenizar nomes geográficos para incluir elementos divinos era comum no antigo Oriente Próximo. A divindade Salim, ou Shalem (acádio, </w:t>
      </w:r>
      <w:r>
        <w:rPr>
          <w:i/>
        </w:rPr>
        <w:t>Shulmanu</w:t>
      </w:r>
      <w:r>
        <w:t xml:space="preserve">; compare Salomão), fazia parte do panteão amorita (compare </w:t>
      </w:r>
      <w:hyperlink r:id="rId11637">
        <w:r>
          <w:rPr>
            <w:color w:val="0000EE"/>
            <w:u w:val="single"/>
          </w:rPr>
          <w:t>Ez 16.3</w:t>
        </w:r>
      </w:hyperlink>
      <w:r>
        <w:t>).</w:t>
      </w:r>
    </w:p>
    <w:p>
      <w:r/>
      <w:r>
        <w:t xml:space="preserve">Como os textos mais antigos — egípcios, semíticos ocidentais e acadianos — apenas mencionam </w:t>
      </w:r>
      <w:r>
        <w:rPr>
          <w:i/>
        </w:rPr>
        <w:t>urusalim,</w:t>
      </w:r>
      <w:r>
        <w:t xml:space="preserve"> e como o Antigo Testamento mostra que Jerusalém não era originalmente uma cidade hebraica, é provável que a origem semítica deste nome signifique "a cidade do [deus] Salim".</w:t>
      </w:r>
    </w:p>
    <w:p>
      <w:pPr>
        <w:pStyle w:val="Heading4"/>
      </w:pPr>
      <w:r>
        <w:t>Significado em hebraico/aramaico</w:t>
      </w:r>
    </w:p>
    <w:p>
      <w:r/>
      <w:r>
        <w:t xml:space="preserve">No hebraico do Antigo Testamento, Jerusalém é escrita como </w:t>
      </w:r>
      <w:r>
        <w:rPr>
          <w:i/>
        </w:rPr>
        <w:t>yerushalayim</w:t>
      </w:r>
      <w:r>
        <w:t xml:space="preserve">, e nas seções aramaicas, é </w:t>
      </w:r>
      <w:r>
        <w:rPr>
          <w:i/>
        </w:rPr>
        <w:t>yerushalem</w:t>
      </w:r>
      <w:r>
        <w:t xml:space="preserve">. O nome combina </w:t>
      </w:r>
      <w:r>
        <w:rPr>
          <w:i/>
        </w:rPr>
        <w:t>yarah</w:t>
      </w:r>
      <w:r>
        <w:t xml:space="preserve"> (significando "fundar", veja </w:t>
      </w:r>
      <w:hyperlink r:id="rId11638">
        <w:r>
          <w:rPr>
            <w:color w:val="0000EE"/>
            <w:u w:val="single"/>
          </w:rPr>
          <w:t>Jó 38.6</w:t>
        </w:r>
      </w:hyperlink>
      <w:r>
        <w:t xml:space="preserve">) e </w:t>
      </w:r>
      <w:r>
        <w:rPr>
          <w:i/>
        </w:rPr>
        <w:t>shalem</w:t>
      </w:r>
      <w:r>
        <w:t xml:space="preserve"> (um nome divino). Isso dá o significado de "a fundação do [deus] Shalem." O </w:t>
      </w:r>
      <w:r>
        <w:rPr>
          <w:i/>
        </w:rPr>
        <w:t>sh</w:t>
      </w:r>
      <w:r>
        <w:t xml:space="preserve"> em hebraico e aramaico é semelhante ao </w:t>
      </w:r>
      <w:r>
        <w:rPr>
          <w:i/>
        </w:rPr>
        <w:t>s</w:t>
      </w:r>
      <w:r>
        <w:t xml:space="preserve"> acádio.</w:t>
      </w:r>
    </w:p>
    <w:p>
      <w:pPr>
        <w:pStyle w:val="Heading4"/>
      </w:pPr>
      <w:r>
        <w:t>Significado em Grego</w:t>
      </w:r>
    </w:p>
    <w:p>
      <w:r/>
      <w:r>
        <w:t xml:space="preserve">No Novo Testamento, Jerusalém traduz as duas palavras gregas </w:t>
      </w:r>
      <w:r>
        <w:rPr>
          <w:i/>
        </w:rPr>
        <w:t>Ierousalem</w:t>
      </w:r>
      <w:r>
        <w:t xml:space="preserve"> e </w:t>
      </w:r>
      <w:r>
        <w:rPr>
          <w:i/>
        </w:rPr>
        <w:t>Hierosoluma.</w:t>
      </w:r>
      <w:r>
        <w:t xml:space="preserve"> </w:t>
      </w:r>
      <w:r>
        <w:rPr>
          <w:i/>
        </w:rPr>
        <w:t>Ierousalem</w:t>
      </w:r>
      <w:r>
        <w:t xml:space="preserve"> é a versão grega da forma aramaica do Antigo Testamento. </w:t>
      </w:r>
      <w:r>
        <w:rPr>
          <w:i/>
        </w:rPr>
        <w:t>Hierosoluma</w:t>
      </w:r>
      <w:r>
        <w:t xml:space="preserve"> utiliza a palavra grega </w:t>
      </w:r>
      <w:r>
        <w:rPr>
          <w:i/>
        </w:rPr>
        <w:t>hieros</w:t>
      </w:r>
      <w:r>
        <w:t xml:space="preserve"> (santo) e é um trocadilho helenizado. Não corresponde à raiz semítica do nome nem à realidade histórica da cidade.</w:t>
      </w:r>
    </w:p>
    <w:p>
      <w:pPr>
        <w:pStyle w:val="Heading3"/>
      </w:pPr>
      <w:r>
        <w:t>Onde Jerusalém está localizada?</w:t>
      </w:r>
    </w:p>
    <w:p>
      <w:r/>
      <w:r>
        <w:t>Jerusalém está localizada a 31º 46’ 45” de latitude norte e 35º 13’ 25” de longitude leste. A cidade está a mais de 762 metros (2.500 pés) acima do nível do mar. Fica a cerca de 22,5 quilômetros (14 milhas) a oeste do extremo norte do Mar Morto e cerca de 53 quilômetros (33 milhas) a leste da costa do Mediterrâneo.</w:t>
      </w:r>
    </w:p>
    <w:p>
      <w:r/>
      <w:r>
        <w:t xml:space="preserve">Jerusalém possui um clima mediterrâneo. De outubro a maio, chove, com cerca de 63,5 centímetros (25 polegadas) de chuva por ano. Em janeiro e fevereiro, ventos fortes frequentemente acompanham a chuva, e as temperaturas caem para perto de zero (veja </w:t>
      </w:r>
      <w:hyperlink r:id="rId11639">
        <w:r>
          <w:rPr>
            <w:color w:val="0000EE"/>
            <w:u w:val="single"/>
          </w:rPr>
          <w:t>Ed 10.9</w:t>
        </w:r>
      </w:hyperlink>
      <w:r>
        <w:t>). O clima mais frio ocorre durante as chuvas mais intensas. Neve cai em dois de cada três anos. De maio a setembro, não chove, e a alta radiação solar provoca calor intenso.</w:t>
      </w:r>
    </w:p>
    <w:p>
      <w:r/>
      <w:r>
        <w:t>Assim como Roma, Jerusalém é uma cidade sobre colinas. Cinco colinas formam a massa de terra nua, com cerca de 1,6 quilômetros (uma milha) de comprimento e 0,8 quilômetro (meia milha) de largura. Ravinas profundas a cercam de todos os lados, exceto ao norte. Ela está situada no cume do planalto central da Palestina. Está na encruzilhada da rota que conecta Hebrom, Belém, Siquém (Nablus) e pontos ao norte com a rota do Vale do Jordão e estradas para o Mediterrâneo. Isso torna Jerusalém central para o comércio do país.</w:t>
      </w:r>
    </w:p>
    <w:p>
      <w:r/>
      <w:r>
        <w:t>A rodovia que atravessa as montanhas da Judeia em direção ao leste não podia passar ao sul de Jerusalém devido ao Mar Morto e seus penhascos íngremes. A cidade provavelmente foi ocupada por causa de sua localização comercial estratégica, apesar de não ter um suprimento significativo de água.</w:t>
      </w:r>
    </w:p>
    <w:p>
      <w:r/>
      <w:r>
        <w:t>A água, essencial para a civilização, sempre foi escassa em Jerusalém. A única fonte permanente de água natural era a nascente em Giom, atualmente às vezes chamada de Fonte da Virgem, localizada no Vale de Cedrom, a leste da antiga fortaleza que Davi conquistou. Túneis foram cavados para acessar Giom quando Jerusalém estava sob cerco. Mais tarde, o Túnel de Siloé foi escavado através de quase 548,6 metros (1.800 pés) de calcário, permitindo que as águas de Giom fluíssem pela colina de Sião até o tanque de Siloé.</w:t>
      </w:r>
    </w:p>
    <w:p>
      <w:r/>
      <w:r>
        <w:t>Mais ao sul, onde os vales de Cedrom e Hinnom se encontram, havia outra nascente chamada En-Rogel na Bíblia (agora Bir Eyyub). Como o nível do lençol freático diminuiu, essa fonte de água parou de fluir e mais tarde foi transformada em um poço.</w:t>
      </w:r>
    </w:p>
    <w:p>
      <w:r/>
      <w:r>
        <w:t>Essas duas fontes não podiam sustentar uma grande população e estavam muito profundas no Vale de Cedrom para irrigação. Portanto, as pessoas criaram uma extensa rede de cisternas, reservatórios e conduítes de água para fornecer água extra desde os tempos antigos.</w:t>
      </w:r>
    </w:p>
    <w:p>
      <w:pPr>
        <w:pStyle w:val="Heading3"/>
      </w:pPr>
      <w:r>
        <w:t>História de Jerusalém</w:t>
      </w:r>
    </w:p>
    <w:p>
      <w:pPr>
        <w:pStyle w:val="Heading4"/>
      </w:pPr>
      <w:r>
        <w:t>O período pré-israelita</w:t>
      </w:r>
    </w:p>
    <w:p>
      <w:r/>
      <w:r>
        <w:t>Ferramentas de sílex paleolíticas e mesolíticas do tipo aqueuliano encontradas na planície de Refaim são as evidências mais antigas de presença humana em Jerusalém. No início do quarto milênio a.C., um grupo estabelecido ocupou pela primeira vez a colina sudeste. Isso é demonstrado por artefatos encontrados em três sepulturas e cerâmica descoberta na rocha. Por volta de 1800 a.C., um muro básico cercava o topo da colina sudeste.</w:t>
      </w:r>
    </w:p>
    <w:p>
      <w:r/>
      <w:r>
        <w:t>Na Bíblia, Abraão dá dízimos a Melquisedeque, o rei de Salém (</w:t>
      </w:r>
      <w:hyperlink r:id="rId11640">
        <w:r>
          <w:rPr>
            <w:color w:val="0000EE"/>
            <w:u w:val="single"/>
          </w:rPr>
          <w:t>Gn 14.17–20</w:t>
        </w:r>
      </w:hyperlink>
      <w:r>
        <w:t>). Mais tarde (</w:t>
      </w:r>
      <w:hyperlink r:id="rId182">
        <w:r>
          <w:rPr>
            <w:color w:val="0000EE"/>
            <w:u w:val="single"/>
          </w:rPr>
          <w:t>Gn 22</w:t>
        </w:r>
      </w:hyperlink>
      <w:r>
        <w:t xml:space="preserve">), o grande patriarca visita uma área que se torna parte de Jerusalém, o Monte Moriá, onde Isaque quase foi sacrificado. </w:t>
      </w:r>
      <w:hyperlink r:id="rId2418">
        <w:r>
          <w:rPr>
            <w:color w:val="0000EE"/>
            <w:u w:val="single"/>
          </w:rPr>
          <w:t>Segundo Crônicas 3.1</w:t>
        </w:r>
      </w:hyperlink>
      <w:r>
        <w:t xml:space="preserve"> identifica o Monte Moriá como o monte do templo.</w:t>
      </w:r>
    </w:p>
    <w:p>
      <w:r/>
      <w:r>
        <w:t>No século XV a.C., os hurritas, possivelmente os bíblicos horeus, entraram na Palestina. Por volta da mesma época em Jerusalém, começaram atividades significativas de construção, e métodos defensivos melhorados foram adicionados. A maioria dos escritores atribui esses projetos em Jerusalém ao movimento hurrita na região.</w:t>
      </w:r>
    </w:p>
    <w:p>
      <w:pPr>
        <w:pStyle w:val="Heading4"/>
      </w:pPr>
      <w:r>
        <w:t>Período da conquista e colonização</w:t>
      </w:r>
    </w:p>
    <w:p>
      <w:r/>
      <w:r>
        <w:t>Quando Gibeão fez paz com o exército de Josué (</w:t>
      </w:r>
      <w:hyperlink r:id="rId761">
        <w:r>
          <w:rPr>
            <w:color w:val="0000EE"/>
            <w:u w:val="single"/>
          </w:rPr>
          <w:t>Js 9</w:t>
        </w:r>
      </w:hyperlink>
      <w:r>
        <w:t>), Adoni-Zedeque, o rei de Jerusalém, aliou-se com os reis de Hebrom, Jarmute, Laquis e Eglom para atacar Gibeão. Josué então reuniu suas forças e derrotou a coalizão, matando todos os cinco reis em Maquedá (</w:t>
      </w:r>
      <w:hyperlink r:id="rId11641">
        <w:r>
          <w:rPr>
            <w:color w:val="0000EE"/>
            <w:u w:val="single"/>
          </w:rPr>
          <w:t>Js 10.16–27</w:t>
        </w:r>
      </w:hyperlink>
      <w:r>
        <w:t>).</w:t>
      </w:r>
    </w:p>
    <w:p>
      <w:r/>
      <w:r>
        <w:t>A tribo de Judá temporariamente assumiu o controle de Jerusalém e a incendiou após essa vitória (</w:t>
      </w:r>
      <w:hyperlink r:id="rId11642">
        <w:r>
          <w:rPr>
            <w:color w:val="0000EE"/>
            <w:u w:val="single"/>
          </w:rPr>
          <w:t>Jz 1.8</w:t>
        </w:r>
      </w:hyperlink>
      <w:r>
        <w:t>). No entanto, os jebuseus retornaram à cidade (</w:t>
      </w:r>
      <w:hyperlink r:id="rId11643">
        <w:r>
          <w:rPr>
            <w:color w:val="0000EE"/>
            <w:u w:val="single"/>
          </w:rPr>
          <w:t>Js 15.63</w:t>
        </w:r>
      </w:hyperlink>
      <w:r>
        <w:t xml:space="preserve">; </w:t>
      </w:r>
      <w:hyperlink r:id="rId11644">
        <w:r>
          <w:rPr>
            <w:color w:val="0000EE"/>
            <w:u w:val="single"/>
          </w:rPr>
          <w:t>1Cr 11.4–5</w:t>
        </w:r>
      </w:hyperlink>
      <w:r>
        <w:t>). Os jebuseus controlaram Jerusalém principalmente até a época de Davi.</w:t>
      </w:r>
    </w:p>
    <w:p>
      <w:r/>
      <w:r>
        <w:t>A cidade serve como uma fronteira entre as terras tribais de Judá e Benjamim, marcando a fronteira sul do território de Benjamim. O termo "encosta sul dos jebuseus" provavelmente se refere à colina sudoeste (</w:t>
      </w:r>
      <w:hyperlink r:id="rId9788">
        <w:r>
          <w:rPr>
            <w:color w:val="0000EE"/>
            <w:u w:val="single"/>
          </w:rPr>
          <w:t>Js 15.8</w:t>
        </w:r>
      </w:hyperlink>
      <w:r>
        <w:t xml:space="preserve">; </w:t>
      </w:r>
      <w:hyperlink r:id="rId9789">
        <w:r>
          <w:rPr>
            <w:color w:val="0000EE"/>
            <w:u w:val="single"/>
          </w:rPr>
          <w:t>18.16</w:t>
        </w:r>
      </w:hyperlink>
      <w:r>
        <w:t>). Os jebuseus provavelmente a controlavam naquela época.</w:t>
      </w:r>
    </w:p>
    <w:p>
      <w:pPr>
        <w:pStyle w:val="Heading4"/>
      </w:pPr>
      <w:r>
        <w:t>Jerusalém de Davi</w:t>
      </w:r>
    </w:p>
    <w:p>
      <w:r/>
      <w:r>
        <w:t>Os filisteus venceram no Monte de Gilboa, onde Saul e Jônatas morreram em batalha (</w:t>
      </w:r>
      <w:hyperlink r:id="rId6578">
        <w:r>
          <w:rPr>
            <w:color w:val="0000EE"/>
            <w:u w:val="single"/>
          </w:rPr>
          <w:t>1Sm 31</w:t>
        </w:r>
      </w:hyperlink>
      <w:r>
        <w:t>). Então, Davi governou a tribo de Judá a partir de Hebrom. Enquanto isso, o filho sobrevivente de Saul, Isbosete, liderou as tribos do norte a partir de Maanaim.</w:t>
      </w:r>
    </w:p>
    <w:p>
      <w:r/>
      <w:r>
        <w:t>Durante o conflito de dois anos que se seguiu, a casa de Davi se fortaleceu enquanto as forças de Isbosete enfraqueceram significativamente (</w:t>
      </w:r>
      <w:hyperlink r:id="rId11645">
        <w:r>
          <w:rPr>
            <w:color w:val="0000EE"/>
            <w:u w:val="single"/>
          </w:rPr>
          <w:t>2Sm 3.1</w:t>
        </w:r>
      </w:hyperlink>
      <w:r>
        <w:t>). Este conflito terminou com a morte e decapitação de Isbosete, levando à dispersão de suas forças. Davi então se tornou o governante incontestável de todas as tribos de Israel.</w:t>
      </w:r>
    </w:p>
    <w:p>
      <w:r/>
      <w:r>
        <w:t>No entanto, o novo monarca percebeu a necessidade de criar uma capital nacional que fosse aceita tanto pelo norte quanto pelo sul. Jerusalém permaneceu neutra durante o conflito porque estava cercada pelo território dos jebuseus. Além disso, era um local estrategicamente importante e comercialmente central para a jovem nação, tornando-se uma escolha ideal.</w:t>
      </w:r>
    </w:p>
    <w:p>
      <w:r/>
      <w:r>
        <w:t>Durante os 33 anos do reinado de Davi em Jerusalém, ele transformou a cidade no centro de um império que se estendia do Egito até o Rio Eufrates. Ele realizou projetos de construção significativos e expandiu a cidade. Fortaleceu as muralhas dos cananeus e planejou expandir a cidade, possivelmente ao longo da encosta oriental de Sião.</w:t>
      </w:r>
    </w:p>
    <w:p>
      <w:r/>
      <w:r>
        <w:t>Davi construiu uma residência real com tecnologia e materiais de Hirão, rei de Tiro (</w:t>
      </w:r>
      <w:hyperlink r:id="rId3067">
        <w:r>
          <w:rPr>
            <w:color w:val="0000EE"/>
            <w:u w:val="single"/>
          </w:rPr>
          <w:t>2Sm 5.11</w:t>
        </w:r>
      </w:hyperlink>
      <w:r>
        <w:t xml:space="preserve">). </w:t>
      </w:r>
      <w:hyperlink r:id="rId11646">
        <w:r>
          <w:rPr>
            <w:color w:val="0000EE"/>
            <w:u w:val="single"/>
          </w:rPr>
          <w:t>Neemias 12.37</w:t>
        </w:r>
      </w:hyperlink>
      <w:r>
        <w:t xml:space="preserve"> sugere que este palácio pode ter sido próximo ao lado leste da colina sudeste. De uma janela desta casa, Mical viu Davi dançando de uma maneira que ela considerou vergonhosa (</w:t>
      </w:r>
      <w:hyperlink r:id="rId11647">
        <w:r>
          <w:rPr>
            <w:color w:val="0000EE"/>
            <w:u w:val="single"/>
          </w:rPr>
          <w:t>2Sm 6.16–23</w:t>
        </w:r>
      </w:hyperlink>
      <w:r>
        <w:t>). Do telhado deste palácio, Davi viu Bate-Seba tomando banho (</w:t>
      </w:r>
      <w:hyperlink r:id="rId11648">
        <w:r>
          <w:rPr>
            <w:color w:val="0000EE"/>
            <w:u w:val="single"/>
          </w:rPr>
          <w:t>2Sm 11.2–5</w:t>
        </w:r>
      </w:hyperlink>
      <w:r>
        <w:t>), e desta residência, ele planejou o assassinato do marido dela, Urias (</w:t>
      </w:r>
      <w:hyperlink r:id="rId3181">
        <w:r>
          <w:rPr>
            <w:color w:val="0000EE"/>
            <w:u w:val="single"/>
          </w:rPr>
          <w:t>2Sm 11.14–25</w:t>
        </w:r>
      </w:hyperlink>
      <w:r>
        <w:t>).</w:t>
      </w:r>
    </w:p>
    <w:p>
      <w:r/>
      <w:r>
        <w:t>Ao trazer a arca de Deus para Jerusalém, Davi demonstrou grande liderança (</w:t>
      </w:r>
      <w:hyperlink r:id="rId11649">
        <w:r>
          <w:rPr>
            <w:color w:val="0000EE"/>
            <w:u w:val="single"/>
          </w:rPr>
          <w:t>2Sm 6.1–15</w:t>
        </w:r>
      </w:hyperlink>
      <w:r>
        <w:t>). Este ato sugeriu que Yahweh residiria lá. Pela primeira vez na história de Israel, ele uniu seus centros políticos e religiosos. Jerusalém tornou-se tanto uma cidade santa quanto real. Como resultado, as pessoas a chamaram de "Cidade de Davi" (</w:t>
      </w:r>
      <w:hyperlink r:id="rId11650">
        <w:r>
          <w:rPr>
            <w:color w:val="0000EE"/>
            <w:u w:val="single"/>
          </w:rPr>
          <w:t>2Sm 5.7</w:t>
        </w:r>
      </w:hyperlink>
      <w:r>
        <w:t>) e "Cidade de Deus" (</w:t>
      </w:r>
      <w:hyperlink r:id="rId11651">
        <w:r>
          <w:rPr>
            <w:color w:val="0000EE"/>
            <w:u w:val="single"/>
          </w:rPr>
          <w:t>Sl 46.4</w:t>
        </w:r>
      </w:hyperlink>
      <w:r>
        <w:t>). Judeus adultos do sexo masculino viajavam para Jerusalém para festas e ofertas. Davi precisava tornar esse arranjo permanente construindo um templo para Yahweh. Davi desejava fazer isso (</w:t>
      </w:r>
      <w:hyperlink r:id="rId6589">
        <w:r>
          <w:rPr>
            <w:color w:val="0000EE"/>
            <w:u w:val="single"/>
          </w:rPr>
          <w:t>2Sm 7</w:t>
        </w:r>
      </w:hyperlink>
      <w:r>
        <w:t>), mas Deus disse que essa tarefa era para o filho do rei.</w:t>
      </w:r>
    </w:p>
    <w:p>
      <w:pPr>
        <w:pStyle w:val="Heading4"/>
      </w:pPr>
      <w:r>
        <w:t>O período do Primeiro Templo</w:t>
      </w:r>
    </w:p>
    <w:p>
      <w:r/>
      <w:r>
        <w:t>Salomão aproveitou a crescente conscientização nacional sobre o tamanho e a influência do império davídico a seu favor. Como um líder inovador e dinâmico, ele transformou Jerusalém em um centro cosmopolita. Caravanas do Egito para a Babilônia e o comércio fenício com Elate, o Mar Vermelho e Ofir passavam por sua capital. A frota naval de Salomão viajava até Társis, provavelmente em uma ilha na costa oeste da Espanha. Essas viagens retornavam a cada três anos com mercadorias exóticas como:</w:t>
      </w:r>
    </w:p>
    <w:p>
      <w:pPr>
        <w:pStyle w:val="ListBullet"/>
        <w:spacing w:line="240" w:lineRule="auto"/>
        <w:ind w:left="720"/>
      </w:pPr>
      <w:r/>
      <w:r>
        <w:t>Macacos</w:t>
      </w:r>
    </w:p>
    <w:p>
      <w:pPr>
        <w:pStyle w:val="ListBullet"/>
        <w:spacing w:line="240" w:lineRule="auto"/>
        <w:ind w:left="720"/>
      </w:pPr>
      <w:r/>
      <w:r>
        <w:t>Pavões</w:t>
      </w:r>
    </w:p>
    <w:p>
      <w:pPr>
        <w:pStyle w:val="ListBullet"/>
        <w:spacing w:line="240" w:lineRule="auto"/>
        <w:ind w:left="720"/>
      </w:pPr>
      <w:r/>
      <w:r>
        <w:t>Prata</w:t>
      </w:r>
    </w:p>
    <w:p>
      <w:pPr>
        <w:pStyle w:val="ListBullet"/>
        <w:spacing w:line="240" w:lineRule="auto"/>
        <w:ind w:left="720"/>
      </w:pPr>
      <w:r/>
      <w:r>
        <w:t>Ferro</w:t>
      </w:r>
    </w:p>
    <w:p>
      <w:pPr>
        <w:pStyle w:val="ListBullet"/>
        <w:spacing w:line="240" w:lineRule="auto"/>
        <w:ind w:left="720"/>
      </w:pPr>
      <w:r/>
      <w:r>
        <w:t>Estanho</w:t>
      </w:r>
    </w:p>
    <w:p>
      <w:pPr>
        <w:pStyle w:val="ListBullet"/>
        <w:spacing w:line="240" w:lineRule="auto"/>
        <w:ind w:left="720"/>
      </w:pPr>
      <w:r/>
      <w:r>
        <w:t>Marfim</w:t>
      </w:r>
    </w:p>
    <w:p>
      <w:pPr>
        <w:pStyle w:val="ListBullet"/>
        <w:spacing w:line="240" w:lineRule="auto"/>
        <w:ind w:left="720"/>
      </w:pPr>
      <w:r/>
      <w:r>
        <w:t>Ouro</w:t>
      </w:r>
    </w:p>
    <w:p>
      <w:r/>
      <w:r>
        <w:t>Muitas pessoas se mudaram para a capital ou vieram visitar. A fama de Salomão tornou-se lendária (</w:t>
      </w:r>
      <w:hyperlink r:id="rId11652">
        <w:r>
          <w:rPr>
            <w:color w:val="0000EE"/>
            <w:u w:val="single"/>
          </w:rPr>
          <w:t>1Rs 10</w:t>
        </w:r>
      </w:hyperlink>
      <w:r>
        <w:t>).</w:t>
      </w:r>
    </w:p>
    <w:p>
      <w:r/>
      <w:r>
        <w:t>Salomão foi um grande construtor na Jerusalém do Antigo Testamento. Seu projeto mais importante foi o primeiro templo. Construído no cume da colina do templo, levou sete anos para ser concluído, de abril ou maio de 966 a.C. a outubro ou novembro de 959 a.C. (</w:t>
      </w:r>
      <w:hyperlink r:id="rId5414">
        <w:r>
          <w:rPr>
            <w:color w:val="0000EE"/>
            <w:u w:val="single"/>
          </w:rPr>
          <w:t>1Rs 6.1</w:t>
        </w:r>
      </w:hyperlink>
      <w:r>
        <w:t xml:space="preserve">; </w:t>
      </w:r>
      <w:hyperlink r:id="rId4068">
        <w:r>
          <w:rPr>
            <w:color w:val="0000EE"/>
            <w:u w:val="single"/>
          </w:rPr>
          <w:t>38</w:t>
        </w:r>
      </w:hyperlink>
      <w:r>
        <w:t>). Hirão forneceu tanto a tecnologia quanto as vigas de cedro.</w:t>
      </w:r>
    </w:p>
    <w:p>
      <w:r/>
      <w:r>
        <w:t xml:space="preserve">Em </w:t>
      </w:r>
      <w:hyperlink r:id="rId11653">
        <w:r>
          <w:rPr>
            <w:color w:val="0000EE"/>
            <w:u w:val="single"/>
          </w:rPr>
          <w:t>1 Reis 10.27</w:t>
        </w:r>
      </w:hyperlink>
      <w:r>
        <w:t>, vemos uma imagem clara da riqueza que Salomão trouxe para Jerusalém: a prata era tão comum quanto pedras, e o cedro era tão abundante quanto o sicômoro. Estima-se que Jerusalém recebia até 17 milhões de dólares por ano (uma quantia muito grande de dinheiro).</w:t>
      </w:r>
    </w:p>
    <w:p>
      <w:r/>
      <w:r>
        <w:t>Ironicamente, essa riqueza se tornou um fardo para o governo de Salomão. Ele gastou demais, e seus planos econômicos e políticos exigiam pesados impostos e trabalho forçado dos israelitas (</w:t>
      </w:r>
      <w:hyperlink r:id="rId11654">
        <w:r>
          <w:rPr>
            <w:color w:val="0000EE"/>
            <w:u w:val="single"/>
          </w:rPr>
          <w:t>1Rs 4.7–19</w:t>
        </w:r>
      </w:hyperlink>
      <w:r>
        <w:t>;</w:t>
      </w:r>
      <w:hyperlink r:id="rId8170">
        <w:r>
          <w:rPr>
            <w:color w:val="0000EE"/>
            <w:u w:val="single"/>
          </w:rPr>
          <w:t xml:space="preserve"> 5.13–18</w:t>
        </w:r>
      </w:hyperlink>
      <w:r>
        <w:t xml:space="preserve">; veja também </w:t>
      </w:r>
      <w:hyperlink r:id="rId11655">
        <w:r>
          <w:rPr>
            <w:color w:val="0000EE"/>
            <w:u w:val="single"/>
          </w:rPr>
          <w:t>1Rs 9.20–23</w:t>
        </w:r>
      </w:hyperlink>
      <w:r>
        <w:t>). Esses problemas levaram a uma divisão no governo de Israel após a morte de Salomão, resultando em um reino dividido por volta de 930 a.C.</w:t>
      </w:r>
    </w:p>
    <w:p>
      <w:r/>
      <w:r>
        <w:t>Quando o exército babilônico cercou Jerusalém em 588 a.C., eles a capturaram após muitos meses. A cidade foi destruída. Eles queimaram o templo e o palácio de Salomão e demoliram as muralhas da cidade. Saquearam os tesouros do templo e deportaram muitos cidadãos.</w:t>
      </w:r>
    </w:p>
    <w:p>
      <w:pPr>
        <w:pStyle w:val="Heading4"/>
      </w:pPr>
      <w:r>
        <w:t>O período do Segundo Templo</w:t>
      </w:r>
    </w:p>
    <w:p>
      <w:r/>
      <w:r>
        <w:t>Jeremias previu a destruição de Jerusalém e o cativeiro de 70 anos (</w:t>
      </w:r>
      <w:hyperlink r:id="rId11656">
        <w:r>
          <w:rPr>
            <w:color w:val="0000EE"/>
            <w:u w:val="single"/>
          </w:rPr>
          <w:t>Jr 25.11</w:t>
        </w:r>
      </w:hyperlink>
      <w:r>
        <w:t xml:space="preserve">; </w:t>
      </w:r>
      <w:hyperlink r:id="rId11657">
        <w:r>
          <w:rPr>
            <w:color w:val="0000EE"/>
            <w:u w:val="single"/>
          </w:rPr>
          <w:t>29.10</w:t>
        </w:r>
      </w:hyperlink>
      <w:r>
        <w:t xml:space="preserve">; veja também </w:t>
      </w:r>
      <w:hyperlink r:id="rId11658">
        <w:r>
          <w:rPr>
            <w:color w:val="0000EE"/>
            <w:u w:val="single"/>
          </w:rPr>
          <w:t>2Cr 36.21</w:t>
        </w:r>
      </w:hyperlink>
      <w:r>
        <w:t xml:space="preserve">; </w:t>
      </w:r>
      <w:hyperlink r:id="rId3541">
        <w:r>
          <w:rPr>
            <w:color w:val="0000EE"/>
            <w:u w:val="single"/>
          </w:rPr>
          <w:t>Dn 9.2</w:t>
        </w:r>
      </w:hyperlink>
      <w:r>
        <w:t>). Em 538 a.C., após a queda da Babilônia, Ciro, rei da Pérsia, fez um famoso decreto (</w:t>
      </w:r>
      <w:hyperlink r:id="rId6164">
        <w:r>
          <w:rPr>
            <w:color w:val="0000EE"/>
            <w:u w:val="single"/>
          </w:rPr>
          <w:t>2Cr 36.22–23</w:t>
        </w:r>
      </w:hyperlink>
      <w:r>
        <w:t xml:space="preserve">; </w:t>
      </w:r>
      <w:hyperlink r:id="rId2213">
        <w:r>
          <w:rPr>
            <w:color w:val="0000EE"/>
            <w:u w:val="single"/>
          </w:rPr>
          <w:t>Ed 1.1–4</w:t>
        </w:r>
      </w:hyperlink>
      <w:r>
        <w:t xml:space="preserve">; veja também </w:t>
      </w:r>
      <w:hyperlink r:id="rId11220">
        <w:r>
          <w:rPr>
            <w:color w:val="0000EE"/>
            <w:u w:val="single"/>
          </w:rPr>
          <w:t>Is 44.28</w:t>
        </w:r>
      </w:hyperlink>
      <w:r>
        <w:t xml:space="preserve">; </w:t>
      </w:r>
      <w:hyperlink r:id="rId2590">
        <w:r>
          <w:rPr>
            <w:color w:val="0000EE"/>
            <w:u w:val="single"/>
          </w:rPr>
          <w:t>45.1</w:t>
        </w:r>
      </w:hyperlink>
      <w:r>
        <w:t>).</w:t>
      </w:r>
    </w:p>
    <w:p>
      <w:r/>
      <w:r>
        <w:t>Um pequeno grupo de judeus então retornou a Jerusalém com Sesbazar, um príncipe de Judá, e Zorobabel (</w:t>
      </w:r>
      <w:hyperlink r:id="rId11659">
        <w:r>
          <w:rPr>
            <w:color w:val="0000EE"/>
            <w:u w:val="single"/>
          </w:rPr>
          <w:t>Ed 1.8–11</w:t>
        </w:r>
      </w:hyperlink>
      <w:r>
        <w:t xml:space="preserve">; </w:t>
      </w:r>
      <w:hyperlink r:id="rId11660">
        <w:r>
          <w:rPr>
            <w:color w:val="0000EE"/>
            <w:u w:val="single"/>
          </w:rPr>
          <w:t>2.2</w:t>
        </w:r>
      </w:hyperlink>
      <w:r>
        <w:t>). Em 515 a.C., o Segundo Templo foi oficialmente inaugurado, e a festa da Páscoa foi celebrada novamente em Jerusalém (</w:t>
      </w:r>
      <w:hyperlink r:id="rId11661">
        <w:r>
          <w:rPr>
            <w:color w:val="0000EE"/>
            <w:u w:val="single"/>
          </w:rPr>
          <w:t>Ed 6.15–18</w:t>
        </w:r>
      </w:hyperlink>
      <w:r>
        <w:t>).</w:t>
      </w:r>
    </w:p>
    <w:p>
      <w:r/>
      <w:r>
        <w:t>Esdras chegou a Jerusalém no sétimo ano de Artaxerxes (</w:t>
      </w:r>
      <w:hyperlink r:id="rId11443">
        <w:r>
          <w:rPr>
            <w:color w:val="0000EE"/>
            <w:u w:val="single"/>
          </w:rPr>
          <w:t>Ed 7.7</w:t>
        </w:r>
      </w:hyperlink>
      <w:r>
        <w:t xml:space="preserve">). Supondo que isso se refira a Artaxerxes I, Esdras retornou em 458 a.C. Apenas um pequeno grupo sentiu a forte necessidade de fazer essa difícil jornada (veja </w:t>
      </w:r>
      <w:r>
        <w:rPr>
          <w:i/>
        </w:rPr>
        <w:t>Antiguidades</w:t>
      </w:r>
      <w:r>
        <w:t xml:space="preserve"> de Josefo 11.1.3).</w:t>
      </w:r>
    </w:p>
    <w:p>
      <w:r/>
      <w:r>
        <w:t>Comovido por relatos de condições difíceis (</w:t>
      </w:r>
      <w:hyperlink r:id="rId11662">
        <w:r>
          <w:rPr>
            <w:color w:val="0000EE"/>
            <w:u w:val="single"/>
          </w:rPr>
          <w:t>Ne 1.3–4</w:t>
        </w:r>
      </w:hyperlink>
      <w:r>
        <w:t>), Neemias, no 20º ano de Artaxerxes (445 a.C.), deixou seu cargo como copeiro do rei para ir a Jerusalém. Enquanto os que retornaram anteriormente se concentraram no templo, Neemias focou nas muralhas da cidade. Ele fornece a descrição mais detalhada das muralhas e do layout da cidade de Jerusalém após o exílio (</w:t>
      </w:r>
      <w:hyperlink r:id="rId11663">
        <w:r>
          <w:rPr>
            <w:color w:val="0000EE"/>
            <w:u w:val="single"/>
          </w:rPr>
          <w:t>Ne 2.11–16</w:t>
        </w:r>
      </w:hyperlink>
      <w:r>
        <w:t>). Impulsionado por seu entusiasmo e energia, o povo reconstruiu as muralhas em 52 dias (</w:t>
      </w:r>
      <w:hyperlink r:id="rId4064">
        <w:r>
          <w:rPr>
            <w:color w:val="0000EE"/>
            <w:u w:val="single"/>
          </w:rPr>
          <w:t>Ne 6.15</w:t>
        </w:r>
      </w:hyperlink>
      <w:r>
        <w:t>).</w:t>
      </w:r>
    </w:p>
    <w:p>
      <w:pPr>
        <w:pStyle w:val="Heading4"/>
      </w:pPr>
      <w:r>
        <w:t>O período romano</w:t>
      </w:r>
    </w:p>
    <w:p>
      <w:r/>
      <w:r>
        <w:t xml:space="preserve">Em 40 a.C., com a ajuda dos partas, Antígono atacou e tomou Jerusalém, forçando Herodes a escapar à noite. Ele viajou para Roma, onde o Senado o nomeou "rei dos judeus" (veja </w:t>
      </w:r>
      <w:hyperlink r:id="rId6243">
        <w:r>
          <w:rPr>
            <w:color w:val="0000EE"/>
            <w:u w:val="single"/>
          </w:rPr>
          <w:t>Mt 2.1</w:t>
        </w:r>
      </w:hyperlink>
      <w:r>
        <w:t>).</w:t>
      </w:r>
    </w:p>
    <w:p>
      <w:r/>
      <w:r>
        <w:t>Com esse novo poder, Herodes reuniu duas legiões romanas e, em 37 a.C., expulsou permanentemente os partas. Isso marcou o início do longo e infame governo de Herodes em Jerusalém, que durou 33 anos, de 37 a 4 a.C.</w:t>
      </w:r>
    </w:p>
    <w:p>
      <w:r/>
      <w:r>
        <w:t>Jerusalém viveu anos prósperos e pacíficos durante o reinado de Herodes. Ele transformou a aparência da cidade, transferindo o centro do governo para a colina sudoeste. Lá, construiu um grande palácio, uma arena para esportes, um teatro e um extenso sistema de aquedutos.</w:t>
      </w:r>
    </w:p>
    <w:p>
      <w:r/>
      <w:r>
        <w:t xml:space="preserve">Outros projetos de construção se concentraram na colina do templo. Herodes expandiu a antiga fortaleza macabeia em uma estrutura muito maior e a nomeou Antonia, em homenagem a Marco Antônio. Na área do templo, ele ampliou significativamente o caminho de caminhada nos lados norte e sul, dando-lhe uma forma retangular. Herodes começou a reconstruir o templo em 20 a.C., e ele não foi concluído até por volta de 64 d.C., apenas seis anos antes de Tito destruí-lo (veja </w:t>
      </w:r>
      <w:hyperlink r:id="rId11664">
        <w:r>
          <w:rPr>
            <w:color w:val="0000EE"/>
            <w:u w:val="single"/>
          </w:rPr>
          <w:t>Jo 2.20</w:t>
        </w:r>
      </w:hyperlink>
      <w:r>
        <w:t>).</w:t>
      </w:r>
    </w:p>
    <w:p>
      <w:r/>
      <w:r>
        <w:rPr>
          <w:i/>
        </w:rPr>
        <w:t>Veja também</w:t>
      </w:r>
      <w:r>
        <w:t xml:space="preserve"> </w:t>
      </w:r>
      <w:r>
        <w:t>Israel, História de</w:t>
      </w:r>
      <w:r>
        <w:t xml:space="preserve">; </w:t>
      </w:r>
      <w:r>
        <w:t>Nova Jerusalém</w:t>
      </w:r>
      <w:r>
        <w:t xml:space="preserve">; </w:t>
      </w:r>
      <w:r>
        <w:t>Judaísmo</w:t>
      </w:r>
      <w:r>
        <w:t xml:space="preserve">; </w:t>
      </w:r>
      <w:r>
        <w:t>Sião</w:t>
      </w:r>
      <w:r>
        <w:t xml:space="preserve">; </w:t>
      </w:r>
      <w:r>
        <w:t>Filha de Sião</w:t>
      </w:r>
      <w:r>
        <w:t>.</w:t>
      </w:r>
      <w:r/>
      <w:r/>
    </w:p>
    <w:p>
      <w:r/>
    </w:p>
    <w:p>
      <w:pPr>
        <w:pStyle w:val="Heading2"/>
      </w:pPr>
      <w:r>
        <w:t>Jesimom</w:t>
      </w:r>
      <w:r/>
    </w:p>
    <w:p>
      <w:pPr>
        <w:pStyle w:val="ListNumber"/>
        <w:spacing w:line="240" w:lineRule="auto"/>
        <w:ind w:left="720"/>
      </w:pPr>
      <w:r/>
      <w:r>
        <w:t>Um deserto extremamente seco e vazio no final do Mar Morto, não muito longe de Pisga e Peor (</w:t>
      </w:r>
      <w:hyperlink r:id="rId6763">
        <w:r>
          <w:rPr>
            <w:color w:val="0000EE"/>
            <w:u w:val="single"/>
          </w:rPr>
          <w:t>Nm 21.20</w:t>
        </w:r>
      </w:hyperlink>
      <w:r>
        <w:t xml:space="preserve">; </w:t>
      </w:r>
      <w:hyperlink r:id="rId11665">
        <w:r>
          <w:rPr>
            <w:color w:val="0000EE"/>
            <w:u w:val="single"/>
          </w:rPr>
          <w:t>23.28</w:t>
        </w:r>
      </w:hyperlink>
      <w:r>
        <w:t>). Nessas passagens bíblicas, algumas versões (e.g. ARC, ARA), traduzem a palavra como "deserto". Isso permite que os leitores entendam como uma descrição geral ou como uma área nomeada específica.</w:t>
      </w:r>
    </w:p>
    <w:p>
      <w:pPr>
        <w:pStyle w:val="ListNumber"/>
        <w:spacing w:line="240" w:lineRule="auto"/>
        <w:ind w:left="720"/>
      </w:pPr>
      <w:r/>
      <w:r>
        <w:t>Um deserto ao norte da colina de Hakilah e de Maon (</w:t>
      </w:r>
      <w:hyperlink r:id="rId11666">
        <w:r>
          <w:rPr>
            <w:color w:val="0000EE"/>
            <w:u w:val="single"/>
          </w:rPr>
          <w:t>1Sm 23.19,24</w:t>
        </w:r>
      </w:hyperlink>
      <w:r>
        <w:t xml:space="preserve">; </w:t>
      </w:r>
      <w:hyperlink r:id="rId11667">
        <w:r>
          <w:rPr>
            <w:color w:val="0000EE"/>
            <w:u w:val="single"/>
          </w:rPr>
          <w:t>26.1–3</w:t>
        </w:r>
      </w:hyperlink>
      <w:r>
        <w:t>). Este local estava provavelmente a apenas alguns quilômetros ao sul da cidade de Hebrom.</w:t>
      </w:r>
      <w:r/>
      <w:r/>
    </w:p>
    <w:p>
      <w:r/>
    </w:p>
    <w:p>
      <w:pPr>
        <w:pStyle w:val="Heading2"/>
      </w:pPr>
      <w:r>
        <w:t>Jessé, Raiz de</w:t>
      </w:r>
      <w:r/>
    </w:p>
    <w:p>
      <w:r/>
      <w:r>
        <w:t>Uma figura de linguagem usada por Isaías (</w:t>
      </w:r>
      <w:hyperlink r:id="rId11668">
        <w:r>
          <w:rPr>
            <w:color w:val="0000EE"/>
            <w:u w:val="single"/>
          </w:rPr>
          <w:t>Is 11.10</w:t>
        </w:r>
      </w:hyperlink>
      <w:r>
        <w:t>) para expressar a esperança de um rei messiânico da linhagem de Davi. A “raiz” de uma família é seu primeiro membro. Jessé, pai de Davi, é um ancestral do Messias (</w:t>
      </w:r>
      <w:hyperlink r:id="rId11669">
        <w:r>
          <w:rPr>
            <w:color w:val="0000EE"/>
            <w:u w:val="single"/>
          </w:rPr>
          <w:t>Is 11.1,10</w:t>
        </w:r>
      </w:hyperlink>
      <w:r>
        <w:t xml:space="preserve">; </w:t>
      </w:r>
      <w:hyperlink r:id="rId11670">
        <w:r>
          <w:rPr>
            <w:color w:val="0000EE"/>
            <w:u w:val="single"/>
          </w:rPr>
          <w:t>Mt 1.5–6</w:t>
        </w:r>
      </w:hyperlink>
      <w:r>
        <w:t xml:space="preserve">; </w:t>
      </w:r>
      <w:hyperlink r:id="rId11671">
        <w:r>
          <w:rPr>
            <w:color w:val="0000EE"/>
            <w:u w:val="single"/>
          </w:rPr>
          <w:t>Lc 3.32</w:t>
        </w:r>
      </w:hyperlink>
      <w:r>
        <w:t xml:space="preserve">; </w:t>
      </w:r>
      <w:hyperlink r:id="rId11672">
        <w:r>
          <w:rPr>
            <w:color w:val="0000EE"/>
            <w:u w:val="single"/>
          </w:rPr>
          <w:t>At 13.22–23</w:t>
        </w:r>
      </w:hyperlink>
      <w:r>
        <w:t>). Isaías descreve o julgamento de Deus sobre a Assíria como o corte de uma floresta (</w:t>
      </w:r>
      <w:hyperlink r:id="rId11673">
        <w:r>
          <w:rPr>
            <w:color w:val="0000EE"/>
            <w:u w:val="single"/>
          </w:rPr>
          <w:t>Is 10.33–34</w:t>
        </w:r>
      </w:hyperlink>
      <w:r>
        <w:t>). Judá também será cortada e a orgulhosa "árvore" da realeza de Davi cairá. Mas, um pequeno pedaço permanecerá, que Isaías descreve como um broto de um toco (</w:t>
      </w:r>
      <w:hyperlink r:id="rId11674">
        <w:r>
          <w:rPr>
            <w:color w:val="0000EE"/>
            <w:u w:val="single"/>
          </w:rPr>
          <w:t>Is 6.13</w:t>
        </w:r>
      </w:hyperlink>
      <w:r>
        <w:t>). O broto messiânico crescerá do toco de Jessé como um ramo de suas raízes. O Espírito do Senhor habitará neste que será um sinal para o povo, para que todos busquem a glória do Senhor (</w:t>
      </w:r>
      <w:hyperlink r:id="rId6612">
        <w:r>
          <w:rPr>
            <w:color w:val="0000EE"/>
            <w:u w:val="single"/>
          </w:rPr>
          <w:t>Is 11.1–10</w:t>
        </w:r>
      </w:hyperlink>
      <w:r>
        <w:t xml:space="preserve">; veja </w:t>
      </w:r>
      <w:hyperlink r:id="rId11675">
        <w:r>
          <w:rPr>
            <w:color w:val="0000EE"/>
            <w:u w:val="single"/>
          </w:rPr>
          <w:t>Is 53.2</w:t>
        </w:r>
      </w:hyperlink>
      <w:r>
        <w:t xml:space="preserve">; </w:t>
      </w:r>
      <w:hyperlink r:id="rId11676">
        <w:r>
          <w:rPr>
            <w:color w:val="0000EE"/>
            <w:u w:val="single"/>
          </w:rPr>
          <w:t>Jr 23.5</w:t>
        </w:r>
      </w:hyperlink>
      <w:r>
        <w:t xml:space="preserve">; </w:t>
      </w:r>
      <w:hyperlink r:id="rId6611">
        <w:r>
          <w:rPr>
            <w:color w:val="0000EE"/>
            <w:u w:val="single"/>
          </w:rPr>
          <w:t>33.15</w:t>
        </w:r>
      </w:hyperlink>
      <w:r>
        <w:t xml:space="preserve">; </w:t>
      </w:r>
      <w:hyperlink r:id="rId11677">
        <w:r>
          <w:rPr>
            <w:color w:val="0000EE"/>
            <w:u w:val="single"/>
          </w:rPr>
          <w:t>Ez 17.22–23</w:t>
        </w:r>
      </w:hyperlink>
      <w:r>
        <w:t xml:space="preserve">; </w:t>
      </w:r>
      <w:hyperlink r:id="rId11678">
        <w:r>
          <w:rPr>
            <w:color w:val="0000EE"/>
            <w:u w:val="single"/>
          </w:rPr>
          <w:t>Zc 3.8</w:t>
        </w:r>
      </w:hyperlink>
      <w:r>
        <w:t xml:space="preserve">; </w:t>
      </w:r>
      <w:hyperlink r:id="rId11679">
        <w:r>
          <w:rPr>
            <w:color w:val="0000EE"/>
            <w:u w:val="single"/>
          </w:rPr>
          <w:t>6.12</w:t>
        </w:r>
      </w:hyperlink>
      <w:r>
        <w:t>).</w:t>
      </w:r>
    </w:p>
    <w:p>
      <w:r/>
      <w:r>
        <w:t>O apóstolo Paulo citou a profecia de Isaías e afirmou que Jesus era “a raiz de Jessé” em quem os gentios têm esperança (</w:t>
      </w:r>
      <w:hyperlink r:id="rId11680">
        <w:r>
          <w:rPr>
            <w:color w:val="0000EE"/>
            <w:u w:val="single"/>
          </w:rPr>
          <w:t>Rm 15.12</w:t>
        </w:r>
      </w:hyperlink>
      <w:r>
        <w:t>). Cristo não é apenas “um rebento do tronco de Jessé” (</w:t>
      </w:r>
      <w:hyperlink r:id="rId3578">
        <w:r>
          <w:rPr>
            <w:color w:val="0000EE"/>
            <w:u w:val="single"/>
          </w:rPr>
          <w:t>Is 11.1</w:t>
        </w:r>
      </w:hyperlink>
      <w:r>
        <w:t>), mas é ele mesmo a “raiz de Jessé” (</w:t>
      </w:r>
      <w:hyperlink r:id="rId11668">
        <w:r>
          <w:rPr>
            <w:color w:val="0000EE"/>
            <w:u w:val="single"/>
          </w:rPr>
          <w:t>Is 11.10</w:t>
        </w:r>
      </w:hyperlink>
      <w:r>
        <w:t xml:space="preserve">; </w:t>
      </w:r>
      <w:hyperlink r:id="rId11680">
        <w:r>
          <w:rPr>
            <w:color w:val="0000EE"/>
            <w:u w:val="single"/>
          </w:rPr>
          <w:t>Rm 15.12</w:t>
        </w:r>
      </w:hyperlink>
      <w:r>
        <w:t xml:space="preserve">; veja </w:t>
      </w:r>
      <w:hyperlink r:id="rId1781">
        <w:r>
          <w:rPr>
            <w:color w:val="0000EE"/>
            <w:u w:val="single"/>
          </w:rPr>
          <w:t>Ap 5.5</w:t>
        </w:r>
      </w:hyperlink>
      <w:r>
        <w:t xml:space="preserve">; </w:t>
      </w:r>
      <w:hyperlink r:id="rId6634">
        <w:r>
          <w:rPr>
            <w:color w:val="0000EE"/>
            <w:u w:val="single"/>
          </w:rPr>
          <w:t>22.16</w:t>
        </w:r>
      </w:hyperlink>
      <w:r>
        <w:t xml:space="preserve">, “raiz de Davi”). Isso significa que Jesus não apenas veio da linhagem de Jessé, mas que Jessé (e Davi) vieram de Jesus. Em outras palavras, a imagem de uma raiz de Jessé aponta para a divindade de Jesus. Enquanto Jesus era filho de Davi, Jesus também era o “Senhor” de Davi. Este é o ponto que Jesus destacou em seu debate com os líderes religiosos de sua época, que pensavam que o Messias era apenas um descendente humano de Davi. </w:t>
      </w:r>
      <w:hyperlink r:id="rId11681">
        <w:r>
          <w:rPr>
            <w:color w:val="0000EE"/>
            <w:u w:val="single"/>
          </w:rPr>
          <w:t>Mateus 22.42–45</w:t>
        </w:r>
      </w:hyperlink>
      <w:r>
        <w:t xml:space="preserve"> diz: “O que vocês pensam sobre o Cristo? De quem Ele é filho?”. “De Davi”, responderam eles. Jesus lhes disse: “Então, como Davi no Espírito o chama de ‘Senhor’? Pois ele diz: "O Senhor disse ao meu Senhor: 'Senta-te à minha direita até que eu ponha teus inimigos debaixo dos teus pés'”. Então, se Davi o chama de ‘Senhor’, como ele pode ser filho de Davi?”.</w:t>
      </w:r>
    </w:p>
    <w:p>
      <w:r/>
      <w:r>
        <w:rPr>
          <w:i/>
        </w:rPr>
        <w:t>Veja também</w:t>
      </w:r>
      <w:r>
        <w:t xml:space="preserve"> </w:t>
      </w:r>
      <w:r>
        <w:t>Cristologia</w:t>
      </w:r>
      <w:r>
        <w:t xml:space="preserve">; </w:t>
      </w:r>
      <w:r>
        <w:t>Davi</w:t>
      </w:r>
      <w:r>
        <w:t xml:space="preserve">; </w:t>
      </w:r>
      <w:r>
        <w:t>Genealogia de Jesus Cristo</w:t>
      </w:r>
      <w:r>
        <w:t xml:space="preserve">; </w:t>
      </w:r>
      <w:r>
        <w:t>Jessé (Pessoa)</w:t>
      </w:r>
      <w:r>
        <w:t xml:space="preserve">; </w:t>
      </w:r>
      <w:r>
        <w:t>Jesus Cristo, Ensinamentos de</w:t>
      </w:r>
      <w:r>
        <w:t>.</w:t>
      </w:r>
      <w:r/>
      <w:r/>
    </w:p>
    <w:p>
      <w:r/>
    </w:p>
    <w:p>
      <w:pPr>
        <w:pStyle w:val="Heading2"/>
      </w:pPr>
      <w:r>
        <w:t>Jesurum*</w:t>
      </w:r>
      <w:r/>
    </w:p>
    <w:p>
      <w:r/>
      <w:r>
        <w:t xml:space="preserve">Nome poético para Israel, possivelmente derivado da raiz hebraica que significa “reto”, mas de acordo com muitos estudiosos, um diminutivo de Israel. O nome Jesurum é mencionado em </w:t>
      </w:r>
      <w:hyperlink r:id="rId11682">
        <w:r>
          <w:rPr>
            <w:color w:val="0000EE"/>
            <w:u w:val="single"/>
          </w:rPr>
          <w:t>Deuteronômio 32.15</w:t>
        </w:r>
      </w:hyperlink>
      <w:r>
        <w:t xml:space="preserve"> e </w:t>
      </w:r>
      <w:hyperlink r:id="rId11683">
        <w:r>
          <w:rPr>
            <w:color w:val="0000EE"/>
            <w:u w:val="single"/>
          </w:rPr>
          <w:t>33.5,26</w:t>
        </w:r>
      </w:hyperlink>
      <w:r>
        <w:t xml:space="preserve"> (veja NVT mg). Na Septuaginta, a palavra não é traduzida como um nome próprio, mas como um adjetivo, “amado”. Em </w:t>
      </w:r>
      <w:hyperlink r:id="rId11684">
        <w:r>
          <w:rPr>
            <w:color w:val="0000EE"/>
            <w:u w:val="single"/>
          </w:rPr>
          <w:t>Isaías 44.2</w:t>
        </w:r>
      </w:hyperlink>
      <w:r>
        <w:t xml:space="preserve"> Jacó é descrito como “Israel, meu escolhido” (com nota de margem dizendo “Jesurum”, veja NVT), ligando assim o nome com a ideia de eleição. Em </w:t>
      </w:r>
      <w:hyperlink r:id="rId11683">
        <w:r>
          <w:rPr>
            <w:color w:val="0000EE"/>
            <w:u w:val="single"/>
          </w:rPr>
          <w:t>Deuteronômio 33.5</w:t>
        </w:r>
      </w:hyperlink>
      <w:r>
        <w:t xml:space="preserve"> Israel é lembrado de que “o Senhor se tornou rei em Jesurum” (ARC), e no verso </w:t>
      </w:r>
      <w:hyperlink r:id="rId11685">
        <w:r>
          <w:rPr>
            <w:color w:val="0000EE"/>
            <w:u w:val="single"/>
          </w:rPr>
          <w:t>26</w:t>
        </w:r>
      </w:hyperlink>
      <w:r>
        <w:t xml:space="preserve"> é dito que não há ninguém como Deus. Se seguirmos a Septuaginta, há uma ligação com o termo “amado” usado para Cristo (</w:t>
      </w:r>
      <w:hyperlink r:id="rId9382">
        <w:r>
          <w:rPr>
            <w:color w:val="0000EE"/>
            <w:u w:val="single"/>
          </w:rPr>
          <w:t>Mt 3.17</w:t>
        </w:r>
      </w:hyperlink>
      <w:r>
        <w:t xml:space="preserve">; </w:t>
      </w:r>
      <w:hyperlink r:id="rId3197">
        <w:r>
          <w:rPr>
            <w:color w:val="0000EE"/>
            <w:u w:val="single"/>
          </w:rPr>
          <w:t>Mc 1.11</w:t>
        </w:r>
      </w:hyperlink>
      <w:r>
        <w:t xml:space="preserve">; </w:t>
      </w:r>
      <w:hyperlink r:id="rId9452">
        <w:r>
          <w:rPr>
            <w:color w:val="0000EE"/>
            <w:u w:val="single"/>
          </w:rPr>
          <w:t>Ef 1.6</w:t>
        </w:r>
      </w:hyperlink>
      <w:r>
        <w:t>) e para a igreja (</w:t>
      </w:r>
      <w:hyperlink r:id="rId3852">
        <w:r>
          <w:rPr>
            <w:color w:val="0000EE"/>
            <w:u w:val="single"/>
          </w:rPr>
          <w:t>Cl 3.12</w:t>
        </w:r>
      </w:hyperlink>
      <w:r>
        <w:t xml:space="preserve">; </w:t>
      </w:r>
      <w:hyperlink r:id="rId7840">
        <w:r>
          <w:rPr>
            <w:color w:val="0000EE"/>
            <w:u w:val="single"/>
          </w:rPr>
          <w:t>1Ts 1.4</w:t>
        </w:r>
      </w:hyperlink>
      <w:r>
        <w:t xml:space="preserve">; </w:t>
      </w:r>
      <w:hyperlink r:id="rId800">
        <w:r>
          <w:rPr>
            <w:color w:val="0000EE"/>
            <w:u w:val="single"/>
          </w:rPr>
          <w:t>2Ts 2.13</w:t>
        </w:r>
      </w:hyperlink>
      <w:r>
        <w:t xml:space="preserve">; </w:t>
      </w:r>
      <w:hyperlink r:id="rId11686">
        <w:r>
          <w:rPr>
            <w:color w:val="0000EE"/>
            <w:u w:val="single"/>
          </w:rPr>
          <w:t>Judas 1.1</w:t>
        </w:r>
      </w:hyperlink>
      <w:r>
        <w:t>).</w:t>
      </w:r>
      <w:r/>
      <w:r/>
    </w:p>
    <w:p>
      <w:r/>
    </w:p>
    <w:p>
      <w:pPr>
        <w:pStyle w:val="Heading2"/>
      </w:pPr>
      <w:r>
        <w:t>Jesus</w:t>
      </w:r>
      <w:r/>
    </w:p>
    <w:p>
      <w:pPr>
        <w:pStyle w:val="ListNumber"/>
        <w:spacing w:line="240" w:lineRule="auto"/>
        <w:ind w:left="720"/>
      </w:pPr>
      <w:r/>
      <w:r>
        <w:t>Um nome que significa "salvador" ou "Jeová [Yahweh] é salvação", dado ao Messias.</w:t>
      </w:r>
    </w:p>
    <w:p>
      <w:r/>
      <w:r>
        <w:rPr>
          <w:i/>
        </w:rPr>
        <w:t>Veja</w:t>
      </w:r>
      <w:r>
        <w:t xml:space="preserve"> </w:t>
      </w:r>
      <w:r>
        <w:t>Jesus Cristo</w:t>
      </w:r>
      <w:r>
        <w:t>.</w:t>
      </w:r>
    </w:p>
    <w:p>
      <w:pPr>
        <w:pStyle w:val="ListNumber"/>
        <w:spacing w:line="240" w:lineRule="auto"/>
        <w:ind w:left="720"/>
      </w:pPr>
      <w:r/>
      <w:r>
        <w:t>Um cristão judeu, também chamado de "Justo". Ele enviou suas saudações aos cristãos em Colossos na carta do apóstolo Paulo (</w:t>
      </w:r>
      <w:hyperlink r:id="rId11687">
        <w:r>
          <w:rPr>
            <w:color w:val="0000EE"/>
            <w:u w:val="single"/>
          </w:rPr>
          <w:t>Cl 4.11</w:t>
        </w:r>
      </w:hyperlink>
      <w:r>
        <w:t>).</w:t>
      </w:r>
      <w:r/>
      <w:r/>
    </w:p>
    <w:p>
      <w:r/>
    </w:p>
    <w:p>
      <w:pPr>
        <w:pStyle w:val="Heading2"/>
      </w:pPr>
      <w:r>
        <w:t>Jesus Cristo</w:t>
      </w:r>
      <w:r/>
    </w:p>
    <w:p>
      <w:r/>
      <w:r>
        <w:t>Messias, Salvador e fundador da igreja cristã.</w:t>
      </w:r>
    </w:p>
    <w:p>
      <w:r/>
      <w:r>
        <w:t>Devemos nos lembrar de que cada um dos evangelhos tem seu próprio propósito distinto. Mateus apresenta Jesus como o Rei messiânico, enquanto Marcos revela Jesus como o servo de todos. Lucas mostra especialmente a incrível compaixão de Jesus pelos pobres, os rejeitados e os quebrantados, enquanto João leva o leitor a uma compreensão mais profunda e espiritual de Jesus. Esses diferentes objetivos fizeram com que os quatro evangelistas selecionassem e organizassem os eventos da vida de Jesus de forma diferente. É por isso que a igreja cristã preservou quatro evangelhos em vez de apenas um.</w:t>
      </w:r>
    </w:p>
    <w:p>
      <w:r/>
      <w:r>
        <w:t>As seções a seguir apresentam os principais eventos da vida de Jesus. Há uma progressão clara da encarnação de Cristo para sua cruz. A quantidade de espaço dedicado a cada estágio em cada um dos evangelhos é ditada por interesse teológico em vez de biográfico. Toda a apresentação da vida de Cristo se concentra na cruz e na ressurreição triunfante que se seguiu. É mais um relato da mensagem de Deus para a humanidade do que um relato histórico claro da vida de Jesus.</w:t>
      </w:r>
    </w:p>
    <w:p>
      <w:pPr>
        <w:pStyle w:val="Heading3"/>
      </w:pPr>
      <w:r>
        <w:t>Resumo</w:t>
      </w:r>
    </w:p>
    <w:p>
      <w:pPr>
        <w:pStyle w:val="ListBullet"/>
        <w:spacing w:line="240" w:lineRule="auto"/>
        <w:ind w:left="720"/>
      </w:pPr>
      <w:r/>
      <w:r>
        <w:t>A encarnação</w:t>
      </w:r>
    </w:p>
    <w:p>
      <w:pPr>
        <w:pStyle w:val="ListBullet"/>
        <w:spacing w:line="240" w:lineRule="auto"/>
        <w:ind w:left="720"/>
      </w:pPr>
      <w:r/>
      <w:r>
        <w:t>O nascimento de Jesus</w:t>
      </w:r>
    </w:p>
    <w:p>
      <w:pPr>
        <w:pStyle w:val="ListBullet"/>
        <w:spacing w:line="240" w:lineRule="auto"/>
        <w:ind w:left="720"/>
      </w:pPr>
      <w:r/>
      <w:r>
        <w:t>Vida em Nazaré</w:t>
      </w:r>
    </w:p>
    <w:p>
      <w:pPr>
        <w:pStyle w:val="ListBullet"/>
        <w:spacing w:line="240" w:lineRule="auto"/>
        <w:ind w:left="720"/>
      </w:pPr>
      <w:r/>
      <w:r>
        <w:t>Eventos preparatórios</w:t>
      </w:r>
    </w:p>
    <w:p>
      <w:pPr>
        <w:pStyle w:val="ListBullet"/>
        <w:spacing w:line="240" w:lineRule="auto"/>
        <w:ind w:left="720"/>
      </w:pPr>
      <w:r/>
      <w:r>
        <w:t>O ministério inicial de Jesus na Judeia e Samaria</w:t>
      </w:r>
    </w:p>
    <w:p>
      <w:pPr>
        <w:pStyle w:val="ListBullet"/>
        <w:spacing w:line="240" w:lineRule="auto"/>
        <w:ind w:left="720"/>
      </w:pPr>
      <w:r/>
      <w:r>
        <w:t>O período do ministério galileu</w:t>
      </w:r>
    </w:p>
    <w:p>
      <w:pPr>
        <w:pStyle w:val="ListBullet"/>
        <w:spacing w:line="240" w:lineRule="auto"/>
        <w:ind w:left="720"/>
      </w:pPr>
      <w:r/>
      <w:r>
        <w:t>A caminho de Jerusalém</w:t>
      </w:r>
    </w:p>
    <w:p>
      <w:pPr>
        <w:pStyle w:val="ListBullet"/>
        <w:spacing w:line="240" w:lineRule="auto"/>
        <w:ind w:left="720"/>
      </w:pPr>
      <w:r/>
      <w:r>
        <w:t>Os últimos dias em Jerusalém</w:t>
      </w:r>
    </w:p>
    <w:p>
      <w:pPr>
        <w:pStyle w:val="ListBullet"/>
        <w:spacing w:line="240" w:lineRule="auto"/>
        <w:ind w:left="720"/>
      </w:pPr>
      <w:r/>
      <w:r>
        <w:t>A traição e prisão</w:t>
      </w:r>
    </w:p>
    <w:p>
      <w:pPr>
        <w:pStyle w:val="ListBullet"/>
        <w:spacing w:line="240" w:lineRule="auto"/>
        <w:ind w:left="720"/>
      </w:pPr>
      <w:r/>
      <w:r>
        <w:t>O julgamento</w:t>
      </w:r>
    </w:p>
    <w:p>
      <w:pPr>
        <w:pStyle w:val="ListBullet"/>
        <w:spacing w:line="240" w:lineRule="auto"/>
        <w:ind w:left="720"/>
      </w:pPr>
      <w:r/>
      <w:r>
        <w:t>A crucificação</w:t>
      </w:r>
    </w:p>
    <w:p>
      <w:pPr>
        <w:pStyle w:val="ListBullet"/>
        <w:spacing w:line="240" w:lineRule="auto"/>
        <w:ind w:left="720"/>
      </w:pPr>
      <w:r/>
      <w:r>
        <w:t>O sepultamento, ressurreição e ascensão</w:t>
      </w:r>
    </w:p>
    <w:p>
      <w:pPr>
        <w:pStyle w:val="Heading3"/>
      </w:pPr>
      <w:r>
        <w:t>A encarnação</w:t>
      </w:r>
    </w:p>
    <w:p>
      <w:r/>
      <w:r>
        <w:t>O principal evento desta etapa inicial foi a encarnação. Apenas Mateus e Lucas dão relatos do nascimento de Jesus. João volta e reflete sobre o que precedeu o nascimento.</w:t>
      </w:r>
    </w:p>
    <w:p>
      <w:r/>
      <w:r>
        <w:t>Pode parecer estranho que João começou seu Evangelho com uma referência à Palavra (</w:t>
      </w:r>
      <w:hyperlink r:id="rId11688">
        <w:r>
          <w:rPr>
            <w:color w:val="0000EE"/>
            <w:u w:val="single"/>
          </w:rPr>
          <w:t>João 1.1</w:t>
        </w:r>
      </w:hyperlink>
      <w:r>
        <w:t xml:space="preserve">), mas fornece ao leitor uma visão exaltada de Jesus. João viu Jesus como existente mesmo antes da criação do mundo (versículo </w:t>
      </w:r>
      <w:hyperlink r:id="rId11689">
        <w:r>
          <w:rPr>
            <w:color w:val="0000EE"/>
            <w:u w:val="single"/>
          </w:rPr>
          <w:t>2</w:t>
        </w:r>
      </w:hyperlink>
      <w:r>
        <w:t xml:space="preserve">). Na verdade, ele o viu como tendo uma parte no ato da criação (versículo </w:t>
      </w:r>
      <w:hyperlink r:id="rId6083">
        <w:r>
          <w:rPr>
            <w:color w:val="0000EE"/>
            <w:u w:val="single"/>
          </w:rPr>
          <w:t>3</w:t>
        </w:r>
      </w:hyperlink>
      <w:r>
        <w:t xml:space="preserve">). Portanto, quando Jesus nasceu, foi tanto um ato de humilhação quanto um ato de iluminação. A luz brilhou, mas o mundo preferiu permanecer nas trevas (versículos </w:t>
      </w:r>
      <w:hyperlink r:id="rId8038">
        <w:r>
          <w:rPr>
            <w:color w:val="0000EE"/>
            <w:u w:val="single"/>
          </w:rPr>
          <w:t>4–5</w:t>
        </w:r>
      </w:hyperlink>
      <w:r>
        <w:t xml:space="preserve">, </w:t>
      </w:r>
      <w:hyperlink r:id="rId11690">
        <w:r>
          <w:rPr>
            <w:color w:val="0000EE"/>
            <w:u w:val="single"/>
          </w:rPr>
          <w:t>10</w:t>
        </w:r>
      </w:hyperlink>
      <w:r>
        <w:t>). Nos registros de João, sabemos imediatamente que Jesus não é um homem comum, mesmo antes de ser introduzido em seu nome. Este contexto da preexistência de Jesus é essencial para entender adequadamente o relato de João sobre sua vida e ensinamentos.</w:t>
      </w:r>
    </w:p>
    <w:p>
      <w:pPr>
        <w:pStyle w:val="Heading3"/>
      </w:pPr>
      <w:r>
        <w:t>O nascimento de Jesus</w:t>
      </w:r>
    </w:p>
    <w:p>
      <w:r/>
      <w:r>
        <w:t>João simplesmente escreveu que a Palavra se tornou carne e viveu entre nós. Mateus e Lucas preenchem alguns dos detalhes de como isso aconteceu. Há pouco em comum entre os dois relatos. Cada um aborda o assunto de um ponto de vista diferente, mas o sobrenatural é evidente em ambos. A vinda de Jesus é anunciada de antemão, através de sonhos a José no relato de Mateus (</w:t>
      </w:r>
      <w:hyperlink r:id="rId11691">
        <w:r>
          <w:rPr>
            <w:color w:val="0000EE"/>
            <w:u w:val="single"/>
          </w:rPr>
          <w:t>Mateus 1.20</w:t>
        </w:r>
      </w:hyperlink>
      <w:r>
        <w:t>–</w:t>
      </w:r>
      <w:hyperlink r:id="rId11691">
        <w:r>
          <w:rPr>
            <w:color w:val="0000EE"/>
            <w:u w:val="single"/>
          </w:rPr>
          <w:t>21</w:t>
        </w:r>
      </w:hyperlink>
      <w:r>
        <w:t>) e através de um anjo a Maria no relato de Lucas (</w:t>
      </w:r>
      <w:hyperlink r:id="rId11692">
        <w:r>
          <w:rPr>
            <w:color w:val="0000EE"/>
            <w:u w:val="single"/>
          </w:rPr>
          <w:t>Lucas 1.26</w:t>
        </w:r>
      </w:hyperlink>
      <w:r>
        <w:t>–</w:t>
      </w:r>
      <w:hyperlink r:id="rId11692">
        <w:r>
          <w:rPr>
            <w:color w:val="0000EE"/>
            <w:u w:val="single"/>
          </w:rPr>
          <w:t>33</w:t>
        </w:r>
      </w:hyperlink>
      <w:r>
        <w:t>). Mateus não deixa seus leitores em dúvida de que aquele que nasceria tinha uma missão a realizar — salvar as pessoas de seus pecados (</w:t>
      </w:r>
      <w:hyperlink r:id="rId8705">
        <w:r>
          <w:rPr>
            <w:color w:val="0000EE"/>
            <w:u w:val="single"/>
          </w:rPr>
          <w:t>Mateus 1.21</w:t>
        </w:r>
      </w:hyperlink>
      <w:r>
        <w:t>). Lucas posiciona sua história da vinda de Jesus em uma atmosfera de grande alegria. (</w:t>
      </w:r>
      <w:hyperlink r:id="rId11693">
        <w:r>
          <w:rPr>
            <w:color w:val="0000EE"/>
            <w:u w:val="single"/>
          </w:rPr>
          <w:t>Lucas 1.46</w:t>
        </w:r>
      </w:hyperlink>
      <w:r>
        <w:t>–</w:t>
      </w:r>
      <w:hyperlink r:id="rId11693">
        <w:r>
          <w:rPr>
            <w:color w:val="0000EE"/>
            <w:u w:val="single"/>
          </w:rPr>
          <w:t>55,68</w:t>
        </w:r>
      </w:hyperlink>
      <w:r>
        <w:t>–</w:t>
      </w:r>
      <w:hyperlink r:id="rId11693">
        <w:r>
          <w:rPr>
            <w:color w:val="0000EE"/>
            <w:u w:val="single"/>
          </w:rPr>
          <w:t>79</w:t>
        </w:r>
      </w:hyperlink>
      <w:r>
        <w:t xml:space="preserve">). A adoração dos homens sábios em </w:t>
      </w:r>
      <w:hyperlink r:id="rId11694">
        <w:r>
          <w:rPr>
            <w:color w:val="0000EE"/>
            <w:u w:val="single"/>
          </w:rPr>
          <w:t>Mateus 2.1</w:t>
        </w:r>
      </w:hyperlink>
      <w:r>
        <w:t>–</w:t>
      </w:r>
      <w:hyperlink r:id="rId11694">
        <w:r>
          <w:rPr>
            <w:color w:val="0000EE"/>
            <w:u w:val="single"/>
          </w:rPr>
          <w:t>12</w:t>
        </w:r>
      </w:hyperlink>
      <w:r>
        <w:t xml:space="preserve"> é significativa porque liga o início do Evangelho ao seu final, mostrando que a salvação é para todas as nações (compare </w:t>
      </w:r>
      <w:hyperlink r:id="rId502">
        <w:r>
          <w:rPr>
            <w:color w:val="0000EE"/>
            <w:u w:val="single"/>
          </w:rPr>
          <w:t>Mateus 28.19</w:t>
        </w:r>
      </w:hyperlink>
      <w:r>
        <w:t>–</w:t>
      </w:r>
      <w:hyperlink r:id="rId502">
        <w:r>
          <w:rPr>
            <w:color w:val="0000EE"/>
            <w:u w:val="single"/>
          </w:rPr>
          <w:t>20</w:t>
        </w:r>
      </w:hyperlink>
      <w:r>
        <w:t xml:space="preserve">). Uma ênfase semelhante é introduzida no anúncio do anjo aos pastores em </w:t>
      </w:r>
      <w:hyperlink r:id="rId11695">
        <w:r>
          <w:rPr>
            <w:color w:val="0000EE"/>
            <w:u w:val="single"/>
          </w:rPr>
          <w:t>Lucas 2.14</w:t>
        </w:r>
      </w:hyperlink>
      <w:r>
        <w:t xml:space="preserve"> e no cântico de Simeão (</w:t>
      </w:r>
      <w:hyperlink r:id="rId11696">
        <w:r>
          <w:rPr>
            <w:color w:val="0000EE"/>
            <w:u w:val="single"/>
          </w:rPr>
          <w:t>Lucas 2.32</w:t>
        </w:r>
      </w:hyperlink>
      <w:r>
        <w:t>), onde ele prevê que Jesus seria uma luz para os gentios, bem como uma glória para Israel. A fuga para o Egito por segurança (</w:t>
      </w:r>
      <w:hyperlink r:id="rId11697">
        <w:r>
          <w:rPr>
            <w:color w:val="0000EE"/>
            <w:u w:val="single"/>
          </w:rPr>
          <w:t>Mateus 2.13</w:t>
        </w:r>
      </w:hyperlink>
      <w:r>
        <w:t>–</w:t>
      </w:r>
      <w:hyperlink r:id="rId11697">
        <w:r>
          <w:rPr>
            <w:color w:val="0000EE"/>
            <w:u w:val="single"/>
          </w:rPr>
          <w:t>15</w:t>
        </w:r>
      </w:hyperlink>
      <w:r>
        <w:t>) mostra como uma nação gentia forneceu proteção para uma criança judia.</w:t>
      </w:r>
    </w:p>
    <w:p>
      <w:r/>
      <w:r>
        <w:t>As histórias de nascimento em Mateus e Lucas incluem genealogias. É difícil harmonizar essas genealogias, uma vez que elas parecem ter vindo de diferentes fontes, mas o propósito em ambos os casos é mostrar que Jesus descendia de Abraão e Davi. Isso deu origem ao título de Filho de Davi a Jesus.</w:t>
      </w:r>
    </w:p>
    <w:p>
      <w:r/>
      <w:r>
        <w:t>Lucas foi o único escritor do Evangelho que tentou ligar a vinda de Jesus com eventos da história secular. Embora os problemas surjam sobre a datação do censo de Quirino (</w:t>
      </w:r>
      <w:hyperlink r:id="rId6244">
        <w:r>
          <w:rPr>
            <w:color w:val="0000EE"/>
            <w:u w:val="single"/>
          </w:rPr>
          <w:t>Lucas 2.1</w:t>
        </w:r>
      </w:hyperlink>
      <w:r>
        <w:t>–</w:t>
      </w:r>
      <w:hyperlink r:id="rId6244">
        <w:r>
          <w:rPr>
            <w:color w:val="0000EE"/>
            <w:u w:val="single"/>
          </w:rPr>
          <w:t>2</w:t>
        </w:r>
      </w:hyperlink>
      <w:r>
        <w:t>), o cenário firme da cena com as pessoas do tempo de Jesus é extremamente significativo. Isso porque a fé cristã é uma fé histórica centrada em uma pessoa histórica.</w:t>
      </w:r>
    </w:p>
    <w:p>
      <w:pPr>
        <w:pStyle w:val="Heading3"/>
      </w:pPr>
      <w:r>
        <w:t>Vida em Nazaré</w:t>
      </w:r>
    </w:p>
    <w:p>
      <w:r/>
      <w:r>
        <w:t>A infância e o início da vida de Jesus recebem apenas algumas linhas nos evangelhos. Apenas temos detalhes da conversa que ele teve aos 12 anos de idade com os mestres judeus no templo (</w:t>
      </w:r>
      <w:hyperlink r:id="rId11698">
        <w:r>
          <w:rPr>
            <w:color w:val="0000EE"/>
            <w:u w:val="single"/>
          </w:rPr>
          <w:t>Lc 2.41</w:t>
        </w:r>
      </w:hyperlink>
      <w:r>
        <w:t>–</w:t>
      </w:r>
      <w:hyperlink r:id="rId11698">
        <w:r>
          <w:rPr>
            <w:color w:val="0000EE"/>
            <w:u w:val="single"/>
          </w:rPr>
          <w:t>50</w:t>
        </w:r>
      </w:hyperlink>
      <w:r>
        <w:t xml:space="preserve">). Isso aponta para um dos traços mais característicos do ministério posterior de Jesus: seus contemporâneos judeus não podiam refutar sua sabedoria. Também revela que em uma idade precoce, Jesus sabia de uma missão divina. Lucas observa que Jesus foi obediente a seus pais enquanto crescia (versículo </w:t>
      </w:r>
      <w:hyperlink r:id="rId5648">
        <w:r>
          <w:rPr>
            <w:color w:val="0000EE"/>
            <w:u w:val="single"/>
          </w:rPr>
          <w:t>51</w:t>
        </w:r>
      </w:hyperlink>
      <w:r>
        <w:t>). É assumido que durante 30 anos em Nazaré, Jesus aprendeu o ofício de carpinteiro com José e se tornou o carpinteiro da aldeia após a morte de seu pai. No entanto, não há relato deste período nos evangelhos. Isso levou a muitas histórias criativas sobre a infância de Jesus nos evangelhos apócrifos, mas o relato de Lucas é sem embelezamento, o que é uma forte indicação de sua confiabilidade histórica.</w:t>
      </w:r>
    </w:p>
    <w:p>
      <w:pPr>
        <w:pStyle w:val="Heading3"/>
      </w:pPr>
      <w:r>
        <w:t>Eventos preparatórios</w:t>
      </w:r>
    </w:p>
    <w:p>
      <w:r/>
      <w:r>
        <w:t>Todos os quatro evangelhos se referem a um breve período de preparação que ocorreu bem antes do ministério público de Cristo. Este período se concentrou em três eventos importantes.</w:t>
      </w:r>
    </w:p>
    <w:p>
      <w:pPr>
        <w:pStyle w:val="Heading4"/>
      </w:pPr>
      <w:r>
        <w:t>A pregação de João Batista</w:t>
      </w:r>
    </w:p>
    <w:p>
      <w:r/>
      <w:r>
        <w:t>João Batista apareceu no deserto e causou um alvoroço imediato na Judeia, especialmente como resultado de seu chamado para o arrependimento e batismo (</w:t>
      </w:r>
      <w:hyperlink r:id="rId6777">
        <w:r>
          <w:rPr>
            <w:color w:val="0000EE"/>
            <w:u w:val="single"/>
          </w:rPr>
          <w:t>Mateus 3.1</w:t>
        </w:r>
      </w:hyperlink>
      <w:r>
        <w:t>–</w:t>
      </w:r>
      <w:hyperlink r:id="rId6777">
        <w:r>
          <w:rPr>
            <w:color w:val="0000EE"/>
            <w:u w:val="single"/>
          </w:rPr>
          <w:t>6</w:t>
        </w:r>
      </w:hyperlink>
      <w:r>
        <w:t>). João era como um dos profetas do Antigo Testamento, mas ele não reivindicou qualquer importância em seu ofício, exceto como o arauto de uma pessoa maior que estava por vir. Sua aparência firme e sua mensagem inflexível efetivamente prepararam o caminho para a aparição pública de Jesus (</w:t>
      </w:r>
      <w:hyperlink r:id="rId3622">
        <w:r>
          <w:rPr>
            <w:color w:val="0000EE"/>
            <w:u w:val="single"/>
          </w:rPr>
          <w:t>Lucas 3.4</w:t>
        </w:r>
      </w:hyperlink>
      <w:r>
        <w:t>-</w:t>
      </w:r>
      <w:hyperlink r:id="rId3622">
        <w:r>
          <w:rPr>
            <w:color w:val="0000EE"/>
            <w:u w:val="single"/>
          </w:rPr>
          <w:t>6</w:t>
        </w:r>
      </w:hyperlink>
      <w:r>
        <w:t>). É importante notar que Jesus começou seu ministério com a mesma mensagem do reino que João Batista anunciou (</w:t>
      </w:r>
      <w:hyperlink r:id="rId2606">
        <w:r>
          <w:rPr>
            <w:color w:val="0000EE"/>
            <w:u w:val="single"/>
          </w:rPr>
          <w:t>Mateus 3.2</w:t>
        </w:r>
      </w:hyperlink>
      <w:r>
        <w:t xml:space="preserve">; </w:t>
      </w:r>
      <w:hyperlink r:id="rId5477">
        <w:r>
          <w:rPr>
            <w:color w:val="0000EE"/>
            <w:u w:val="single"/>
          </w:rPr>
          <w:t>4.17</w:t>
        </w:r>
      </w:hyperlink>
      <w:r>
        <w:t>). Isso mostra que o trabalho de João Batista era uma parte integral da preparação para o ministério público de Jesus. O mesmo pode ser dito do rito do batismo, embora João tenha reconhecido que Jesus adicionaria uma nova dimensão na medida em que ele batizaria com o Espírito Santo e com fogo (</w:t>
      </w:r>
      <w:hyperlink r:id="rId861">
        <w:r>
          <w:rPr>
            <w:color w:val="0000EE"/>
            <w:u w:val="single"/>
          </w:rPr>
          <w:t>3.11</w:t>
        </w:r>
      </w:hyperlink>
      <w:r>
        <w:t xml:space="preserve">). Como o precursor de Jesus Cristo, João proclamou que aquele a seguir não apenas seria maior do que ele, mas também viria com altos padrões de julgamento (versículo </w:t>
      </w:r>
      <w:hyperlink r:id="rId3192">
        <w:r>
          <w:rPr>
            <w:color w:val="0000EE"/>
            <w:u w:val="single"/>
          </w:rPr>
          <w:t>12</w:t>
        </w:r>
      </w:hyperlink>
      <w:r>
        <w:t>). O cenário foi, portanto, definido em termos severos para o ato público inicial de Jesus — sua disposição de ser batizado (</w:t>
      </w:r>
      <w:hyperlink r:id="rId11699">
        <w:r>
          <w:rPr>
            <w:color w:val="0000EE"/>
            <w:u w:val="single"/>
          </w:rPr>
          <w:t>Mateus 3.13</w:t>
        </w:r>
      </w:hyperlink>
      <w:r>
        <w:t>–</w:t>
      </w:r>
      <w:hyperlink r:id="rId11699">
        <w:r>
          <w:rPr>
            <w:color w:val="0000EE"/>
            <w:u w:val="single"/>
          </w:rPr>
          <w:t>15</w:t>
        </w:r>
      </w:hyperlink>
      <w:r>
        <w:t xml:space="preserve">; </w:t>
      </w:r>
      <w:hyperlink r:id="rId11700">
        <w:r>
          <w:rPr>
            <w:color w:val="0000EE"/>
            <w:u w:val="single"/>
          </w:rPr>
          <w:t>Lucas 3.21</w:t>
        </w:r>
      </w:hyperlink>
      <w:r>
        <w:t>).</w:t>
      </w:r>
    </w:p>
    <w:p>
      <w:pPr>
        <w:pStyle w:val="Heading4"/>
      </w:pPr>
      <w:r>
        <w:t>O batismo de Jesus</w:t>
      </w:r>
    </w:p>
    <w:p>
      <w:r/>
      <w:r>
        <w:t>O batismo de João era um batismo de arrependimento. Mas uma vez que Jesus nunca havia pecado, ele não tinha necessidade de se arrepender. O NT apoia esta alegação. Então, por que ele foi batizado? Jesus havia vindo em uma missão para outros, e é possível que ele deliberadamente se tenha submetido ao batismo de João para mostrar que ele estava preparado para tomar o lugar dos outros. Esta explicação está em concordância com o entendimento posterior de Paulo da obra de Jesus Cristo (</w:t>
      </w:r>
      <w:hyperlink r:id="rId3239">
        <w:r>
          <w:rPr>
            <w:color w:val="0000EE"/>
            <w:u w:val="single"/>
          </w:rPr>
          <w:t>2 Coríntios 5.21</w:t>
        </w:r>
      </w:hyperlink>
      <w:r>
        <w:t>). Mateus é o único Evangelista que registra a hesitação de João em batizar Jesus (</w:t>
      </w:r>
      <w:hyperlink r:id="rId11701">
        <w:r>
          <w:rPr>
            <w:color w:val="0000EE"/>
            <w:u w:val="single"/>
          </w:rPr>
          <w:t>Mateus 3.14</w:t>
        </w:r>
      </w:hyperlink>
      <w:r>
        <w:t>–</w:t>
      </w:r>
      <w:hyperlink r:id="rId11701">
        <w:r>
          <w:rPr>
            <w:color w:val="0000EE"/>
            <w:u w:val="single"/>
          </w:rPr>
          <w:t>15</w:t>
        </w:r>
      </w:hyperlink>
      <w:r>
        <w:t>).</w:t>
      </w:r>
    </w:p>
    <w:p>
      <w:r/>
      <w:r>
        <w:t>A parte mais importante do batismo de Jesus foi a voz que veio do céu, que declarou prazer no Filho amado (</w:t>
      </w:r>
      <w:hyperlink r:id="rId9382">
        <w:r>
          <w:rPr>
            <w:color w:val="0000EE"/>
            <w:u w:val="single"/>
          </w:rPr>
          <w:t>Mateus 3.17</w:t>
        </w:r>
      </w:hyperlink>
      <w:r>
        <w:t xml:space="preserve">). Este anúncio dado por Deus era o verdadeiro ponto de partida do ministério público de Jesus. Revelou que o ministério não foi um acidente ou inspiração repentina da parte de Jesus. Ele começou seu trabalho com a aprovação completa do Pai. Uma característica mais importante é a parte desempenhada pelo Espírito Santo nesta cena, aparecendo como uma pomba (versículo </w:t>
      </w:r>
      <w:hyperlink r:id="rId11702">
        <w:r>
          <w:rPr>
            <w:color w:val="0000EE"/>
            <w:u w:val="single"/>
          </w:rPr>
          <w:t>16</w:t>
        </w:r>
      </w:hyperlink>
      <w:r>
        <w:t>), que não foi apenas uma experiência interior para Jesus. O batismo de Jesus mostra a importância do Espírito em seu ministério. A falta geral de ênfase no Espírito nos evangelhos não muda isso.</w:t>
      </w:r>
    </w:p>
    <w:p>
      <w:pPr>
        <w:pStyle w:val="Heading4"/>
      </w:pPr>
      <w:r>
        <w:t>A tentação de Jesus</w:t>
      </w:r>
    </w:p>
    <w:p>
      <w:r/>
      <w:r>
        <w:t>O batismo de Jesus mostrou a natureza de sua missão. A tentação mostrou a natureza do ambiente em que ele deveria ministrar (</w:t>
      </w:r>
      <w:hyperlink r:id="rId8400">
        <w:r>
          <w:rPr>
            <w:color w:val="0000EE"/>
            <w:u w:val="single"/>
          </w:rPr>
          <w:t>Mateus 4.1</w:t>
        </w:r>
      </w:hyperlink>
      <w:r>
        <w:t xml:space="preserve">; </w:t>
      </w:r>
      <w:hyperlink r:id="rId11703">
        <w:r>
          <w:rPr>
            <w:color w:val="0000EE"/>
            <w:u w:val="single"/>
          </w:rPr>
          <w:t>Lucas 4.1</w:t>
        </w:r>
      </w:hyperlink>
      <w:r>
        <w:t>–</w:t>
      </w:r>
      <w:hyperlink r:id="rId11703">
        <w:r>
          <w:rPr>
            <w:color w:val="0000EE"/>
            <w:u w:val="single"/>
          </w:rPr>
          <w:t>2</w:t>
        </w:r>
      </w:hyperlink>
      <w:r>
        <w:t>). Jesus confrontou forças espirituais adversas ao longo de seu ministério. Apenas Mateus e Lucas registram os detalhes de como o diabo tentou Jesus. Todas essas tentações apresentam atalhos que, se utilizados, teriam desviado Jesus de sua missão. Ambos os evangelhos mostram que Jesus claramente obteve a vitória, e que ele o fez usando as Escrituras. Neste evento, Jesus também é visto como um humano genuíno que, como todos os outros humanos, estava sujeito à tentação. O escritor da Carta aos Hebreus observa isso como o fato de que Jesus qualificou para agir como Sumo Sacerdote e interceder em nome de seu povo (</w:t>
      </w:r>
      <w:hyperlink r:id="rId8053">
        <w:r>
          <w:rPr>
            <w:color w:val="0000EE"/>
            <w:u w:val="single"/>
          </w:rPr>
          <w:t>Hebreus 2.18</w:t>
        </w:r>
      </w:hyperlink>
      <w:r>
        <w:t xml:space="preserve">; </w:t>
      </w:r>
      <w:hyperlink r:id="rId3240">
        <w:r>
          <w:rPr>
            <w:color w:val="0000EE"/>
            <w:u w:val="single"/>
          </w:rPr>
          <w:t>4.15</w:t>
        </w:r>
      </w:hyperlink>
      <w:r>
        <w:t>).</w:t>
      </w:r>
    </w:p>
    <w:p>
      <w:pPr>
        <w:pStyle w:val="Heading3"/>
      </w:pPr>
      <w:r>
        <w:t>O ministério inicial de Jesus na Judeia e Samaria</w:t>
      </w:r>
    </w:p>
    <w:p>
      <w:r/>
      <w:r>
        <w:t>Apenas o Evangelho de João fala da obra de Jesus na Judeia após seu batismo. Descreve primeiro como ele chamou seus discípulos de João e André (</w:t>
      </w:r>
      <w:hyperlink r:id="rId11704">
        <w:r>
          <w:rPr>
            <w:color w:val="0000EE"/>
            <w:u w:val="single"/>
          </w:rPr>
          <w:t>João 1.35</w:t>
        </w:r>
      </w:hyperlink>
      <w:r>
        <w:t>–</w:t>
      </w:r>
      <w:hyperlink r:id="rId11704">
        <w:r>
          <w:rPr>
            <w:color w:val="0000EE"/>
            <w:u w:val="single"/>
          </w:rPr>
          <w:t>39</w:t>
        </w:r>
      </w:hyperlink>
      <w:r>
        <w:t xml:space="preserve">). O contexto para isso era o anúncio de João Batista de Jesus como o Cordeiro de Deus que tiraria o pecado do mundo (versículo </w:t>
      </w:r>
      <w:hyperlink r:id="rId404">
        <w:r>
          <w:rPr>
            <w:color w:val="0000EE"/>
            <w:u w:val="single"/>
          </w:rPr>
          <w:t>29</w:t>
        </w:r>
      </w:hyperlink>
      <w:r>
        <w:t xml:space="preserve">). Esses dois primeiros discípulos logo foram unidos a três outros: Pedro, Filipe e Natanael (versículos </w:t>
      </w:r>
      <w:hyperlink r:id="rId11705">
        <w:r>
          <w:rPr>
            <w:color w:val="0000EE"/>
            <w:u w:val="single"/>
          </w:rPr>
          <w:t>41</w:t>
        </w:r>
      </w:hyperlink>
      <w:r>
        <w:t>–</w:t>
      </w:r>
      <w:hyperlink r:id="rId11705">
        <w:r>
          <w:rPr>
            <w:color w:val="0000EE"/>
            <w:u w:val="single"/>
          </w:rPr>
          <w:t>51</w:t>
        </w:r>
      </w:hyperlink>
      <w:r>
        <w:t>). Esses cinco faziam parte do núcleo dos seguidores de Jesus que vieram a ser conhecidos como os Doze. Uma característica do relato de João é o reconhecimento inicial pelos discípulos de Jesus como Messias (</w:t>
      </w:r>
      <w:hyperlink r:id="rId6101">
        <w:r>
          <w:rPr>
            <w:color w:val="0000EE"/>
            <w:u w:val="single"/>
          </w:rPr>
          <w:t>João 1.41</w:t>
        </w:r>
      </w:hyperlink>
      <w:r>
        <w:t xml:space="preserve">) e Filho de Deus (versículo </w:t>
      </w:r>
      <w:hyperlink r:id="rId11706">
        <w:r>
          <w:rPr>
            <w:color w:val="0000EE"/>
            <w:u w:val="single"/>
          </w:rPr>
          <w:t>49</w:t>
        </w:r>
      </w:hyperlink>
      <w:r>
        <w:t>).</w:t>
      </w:r>
    </w:p>
    <w:p>
      <w:r/>
      <w:r>
        <w:t>Logo após Jesus começar seu ministério em Jerusalém, João relata um incidente em Caná, na Galileia, no qual a água foi transformada em vinho (</w:t>
      </w:r>
      <w:hyperlink r:id="rId11707">
        <w:r>
          <w:rPr>
            <w:color w:val="0000EE"/>
            <w:u w:val="single"/>
          </w:rPr>
          <w:t>João 2.1</w:t>
        </w:r>
      </w:hyperlink>
      <w:r>
        <w:t>–</w:t>
      </w:r>
      <w:hyperlink r:id="rId11707">
        <w:r>
          <w:rPr>
            <w:color w:val="0000EE"/>
            <w:u w:val="single"/>
          </w:rPr>
          <w:t>10</w:t>
        </w:r>
      </w:hyperlink>
      <w:r>
        <w:t xml:space="preserve">). Este evento é importante no relato de João, porque é o primeiro dos sinais que ele registra (versículo </w:t>
      </w:r>
      <w:hyperlink r:id="rId11708">
        <w:r>
          <w:rPr>
            <w:color w:val="0000EE"/>
            <w:u w:val="single"/>
          </w:rPr>
          <w:t>11</w:t>
        </w:r>
      </w:hyperlink>
      <w:r>
        <w:t>). Ele viu os milagres de Jesus como “sinais” da verdade do evangelho, em vez de meras maravilhas.</w:t>
      </w:r>
    </w:p>
    <w:p>
      <w:r/>
      <w:r>
        <w:t>João apresenta dois incidentes em Jerusalém neste período inicial. O primeiro é a purificação do templo (</w:t>
      </w:r>
      <w:hyperlink r:id="rId11709">
        <w:r>
          <w:rPr>
            <w:color w:val="0000EE"/>
            <w:u w:val="single"/>
          </w:rPr>
          <w:t>João 2.13</w:t>
        </w:r>
      </w:hyperlink>
      <w:r>
        <w:t>–</w:t>
      </w:r>
      <w:hyperlink r:id="rId11709">
        <w:r>
          <w:rPr>
            <w:color w:val="0000EE"/>
            <w:u w:val="single"/>
          </w:rPr>
          <w:t>16</w:t>
        </w:r>
      </w:hyperlink>
      <w:r>
        <w:t>). Mateus, Marcos e Lucas colocam este evento pouco antes do julgamento de Jesus, mas João o coloca neste estágio inicial. Jesus confronta e expulsa os cambistas que estavam lucrando sobre os adoradores mais do que era apropriado. Isso parecia aceitável para o judaísmo, mas não para Jesus. Os outros evangelistas implicam que este ato autoritário foi o evento que provocou a hostilidade final de seus oponentes. Mas João conta a história por uma razão teológica: para ele, a purificação do templo era uma parábola contando o que Jesus havia vindo fazer.</w:t>
      </w:r>
    </w:p>
    <w:p>
      <w:r/>
      <w:r>
        <w:t>O outro incidente em Jerusalém é o encontro entre Jesus e Nicodemos (</w:t>
      </w:r>
      <w:hyperlink r:id="rId11710">
        <w:r>
          <w:rPr>
            <w:color w:val="0000EE"/>
            <w:u w:val="single"/>
          </w:rPr>
          <w:t>João 3</w:t>
        </w:r>
      </w:hyperlink>
      <w:r>
        <w:t>). Nicodemos estava intimamente associado com o judaísmo, mas ele também estava buscando a verdade. Ele era incapaz de entender, no entanto, a verdade espiritual sobre nascer de novo através do Espírito.</w:t>
      </w:r>
    </w:p>
    <w:p>
      <w:r/>
      <w:r>
        <w:t>A história de João então se move da Judeia para Samaria e a história da mulher samaritana no poço (</w:t>
      </w:r>
      <w:hyperlink r:id="rId11711">
        <w:r>
          <w:rPr>
            <w:color w:val="0000EE"/>
            <w:u w:val="single"/>
          </w:rPr>
          <w:t>João 4.1</w:t>
        </w:r>
      </w:hyperlink>
      <w:r>
        <w:t>–</w:t>
      </w:r>
      <w:hyperlink r:id="rId11711">
        <w:r>
          <w:rPr>
            <w:color w:val="0000EE"/>
            <w:u w:val="single"/>
          </w:rPr>
          <w:t>42</w:t>
        </w:r>
      </w:hyperlink>
      <w:r>
        <w:t xml:space="preserve">). Jesus usou sua sede física para apontar para sua sede espiritual mais profunda. Ela percebeu que Jesus tinha algo para oferecer-lhe que ela não havia conhecido anteriormente. Como resultado da experiência e testemunho desta mulher, muitos do povo samaritano vieram a acreditar em Jesus como o Salvador do mundo (versículo </w:t>
      </w:r>
      <w:hyperlink r:id="rId11712">
        <w:r>
          <w:rPr>
            <w:color w:val="0000EE"/>
            <w:u w:val="single"/>
          </w:rPr>
          <w:t>42</w:t>
        </w:r>
      </w:hyperlink>
      <w:r>
        <w:t>). Neste caso, João quer que seus leitores apreciem o significado mais completo das palavras de Jesus à luz da ressurreição.</w:t>
      </w:r>
    </w:p>
    <w:p>
      <w:pPr>
        <w:pStyle w:val="Heading3"/>
      </w:pPr>
      <w:r>
        <w:t>O período do ministério galileu</w:t>
      </w:r>
    </w:p>
    <w:p>
      <w:r/>
      <w:r>
        <w:t>Quase todas as informações sobre este período são encontradas nos Evangelhos Sinóticos (Mateus, Marcos e Lucas). Este pode ser convenientemente dividido em três seções. O primeiro descreve brevemente os eventos que levaram à escolha dos Doze; o segundo lida com a retirada de Jesus do norte da Galileia; e o terceiro lida com sua partida para Jerusalém. Enquanto os Evangelhos Sinóticos se concentram exclusivamente nos eventos na Galileia, o relato de João indica que Jesus visitou Jerusalém de tempos em tempos durante este período. Além disso, João registra outro incidente em Caná, onde o filho de um oficial de Cafarnaum foi curado. Este é notado como o segundo dos sinais de Jesus (</w:t>
      </w:r>
      <w:hyperlink r:id="rId11713">
        <w:r>
          <w:rPr>
            <w:color w:val="0000EE"/>
            <w:u w:val="single"/>
          </w:rPr>
          <w:t>João 4.54</w:t>
        </w:r>
      </w:hyperlink>
      <w:r>
        <w:t>). Ele é principalmente importante por causa da fé extraordinária do pai, que estava preparado para aceitar Jesus em sua palavra.</w:t>
      </w:r>
    </w:p>
    <w:p>
      <w:pPr>
        <w:pStyle w:val="Heading4"/>
      </w:pPr>
      <w:r>
        <w:t>O chamado dos discípulos</w:t>
      </w:r>
    </w:p>
    <w:p>
      <w:r/>
      <w:r>
        <w:t>Os Evangelhos Sinóticos nos falam do chamado inicial a quatro dos discípulos para deixar seus barcos de pesca e se tornarem pescadores de homens (</w:t>
      </w:r>
      <w:hyperlink r:id="rId11714">
        <w:r>
          <w:rPr>
            <w:color w:val="0000EE"/>
            <w:u w:val="single"/>
          </w:rPr>
          <w:t>Mateus 4.18</w:t>
        </w:r>
      </w:hyperlink>
      <w:r>
        <w:t>–</w:t>
      </w:r>
      <w:hyperlink r:id="rId11714">
        <w:r>
          <w:rPr>
            <w:color w:val="0000EE"/>
            <w:u w:val="single"/>
          </w:rPr>
          <w:t>22</w:t>
        </w:r>
      </w:hyperlink>
      <w:r>
        <w:t xml:space="preserve">; </w:t>
      </w:r>
      <w:hyperlink r:id="rId11715">
        <w:r>
          <w:rPr>
            <w:color w:val="0000EE"/>
            <w:u w:val="single"/>
          </w:rPr>
          <w:t>Marcos 1.16</w:t>
        </w:r>
      </w:hyperlink>
      <w:r>
        <w:t>–</w:t>
      </w:r>
      <w:hyperlink r:id="rId11715">
        <w:r>
          <w:rPr>
            <w:color w:val="0000EE"/>
            <w:u w:val="single"/>
          </w:rPr>
          <w:t>20</w:t>
        </w:r>
      </w:hyperlink>
      <w:r>
        <w:t xml:space="preserve">; </w:t>
      </w:r>
      <w:hyperlink r:id="rId11716">
        <w:r>
          <w:rPr>
            <w:color w:val="0000EE"/>
            <w:u w:val="single"/>
          </w:rPr>
          <w:t>Lucas 5.1</w:t>
        </w:r>
      </w:hyperlink>
      <w:r>
        <w:t>–</w:t>
      </w:r>
      <w:hyperlink r:id="rId11716">
        <w:r>
          <w:rPr>
            <w:color w:val="0000EE"/>
            <w:u w:val="single"/>
          </w:rPr>
          <w:t>11</w:t>
        </w:r>
      </w:hyperlink>
      <w:r>
        <w:t>). Eles já haviam encontrado Jesus e deveriam ter alguma ideia do que estava envolvido em segui-lo. Jesus não os nomeou neste momento para serem apóstolos, mas este chamado era um passo necessário para estabelecer os Doze como um grupo. Separar um número específico de discípulos formou uma parte importante do ministério de Jesus. A pesca milagrosa, que precedeu o chamado dos discípulos no relato de Lucas, destacou a superioridade da tarefa espiritual de pescar pessoas em vez de peixes.</w:t>
      </w:r>
    </w:p>
    <w:p>
      <w:r/>
      <w:r>
        <w:t>Outro chamado significativo veio a Levi, também conhecido como Mateus (</w:t>
      </w:r>
      <w:hyperlink r:id="rId753">
        <w:r>
          <w:rPr>
            <w:color w:val="0000EE"/>
            <w:u w:val="single"/>
          </w:rPr>
          <w:t>Mateus 9.9</w:t>
        </w:r>
      </w:hyperlink>
      <w:r>
        <w:t xml:space="preserve">; </w:t>
      </w:r>
      <w:hyperlink r:id="rId11717">
        <w:r>
          <w:rPr>
            <w:color w:val="0000EE"/>
            <w:u w:val="single"/>
          </w:rPr>
          <w:t>Marcos 2.13</w:t>
        </w:r>
      </w:hyperlink>
      <w:r>
        <w:t>–</w:t>
      </w:r>
      <w:hyperlink r:id="rId11717">
        <w:r>
          <w:rPr>
            <w:color w:val="0000EE"/>
            <w:u w:val="single"/>
          </w:rPr>
          <w:t>14</w:t>
        </w:r>
      </w:hyperlink>
      <w:r>
        <w:t xml:space="preserve">; </w:t>
      </w:r>
      <w:hyperlink r:id="rId11718">
        <w:r>
          <w:rPr>
            <w:color w:val="0000EE"/>
            <w:u w:val="single"/>
          </w:rPr>
          <w:t>Lucas 5.27</w:t>
        </w:r>
      </w:hyperlink>
      <w:r>
        <w:t>–</w:t>
      </w:r>
      <w:hyperlink r:id="rId11718">
        <w:r>
          <w:rPr>
            <w:color w:val="0000EE"/>
            <w:u w:val="single"/>
          </w:rPr>
          <w:t>28</w:t>
        </w:r>
      </w:hyperlink>
      <w:r>
        <w:t>). Como um cobrador de impostos, ele era diferente da maioria dos outros discípulos. Ele certamente teria sido desprezado por seus contemporâneos judeus por causa de sua profissão. Mas sua inclusão entre os discípulos mostra a ampla base sobre a qual esses homens foram escolhidos. Um dos outros, Simão, o zelote, pode ter pertencido a um grupo de revolucionários religiosos e políticos. Até um homem como Judas Iscariotes foi contado entre os Doze, e ele mais tarde trairia Jesus aos seus inimigos por uma pequena quantia em dinheiro. Jesus os aceitou como eles eram e os moldou em homens que mais tarde se tornaram totalmente dependentes de Deus e do poder de seu Espírito.</w:t>
      </w:r>
    </w:p>
    <w:p>
      <w:pPr>
        <w:pStyle w:val="Heading4"/>
      </w:pPr>
      <w:r>
        <w:t>Sermão do Monte</w:t>
      </w:r>
    </w:p>
    <w:p>
      <w:r/>
      <w:r>
        <w:t>O Evangelho de Mateus apresenta uma grande amostra dos ensinamentos de Jesus, comumente chamado de Sermão do Monte (</w:t>
      </w:r>
      <w:hyperlink r:id="rId6404">
        <w:r>
          <w:rPr>
            <w:color w:val="0000EE"/>
            <w:u w:val="single"/>
          </w:rPr>
          <w:t>Mateus 5.1–7.29</w:t>
        </w:r>
      </w:hyperlink>
      <w:r>
        <w:t>). Parte do mesmo material é encontrado em Lucas em um contexto diferente e uma organização diferente. É possível que Jesus muitas vezes repetiu seus ensinamentos em diferentes ocasiões e com diferentes combinações. O registro de Mateus do Sermão do Monte apresenta um corpo impressionante de ensino, cobrindo principalmente perguntas éticas. Nesses ensinamentos, Jesus sustenta a lei de Moisés e, ao mesmo tempo, vai além dela. O início deste sermão foi chamado de Bem-aventuranças (</w:t>
      </w:r>
      <w:hyperlink r:id="rId11719">
        <w:r>
          <w:rPr>
            <w:color w:val="0000EE"/>
            <w:u w:val="single"/>
          </w:rPr>
          <w:t>5.3</w:t>
        </w:r>
      </w:hyperlink>
      <w:r>
        <w:t>–</w:t>
      </w:r>
      <w:hyperlink r:id="rId11719">
        <w:r>
          <w:rPr>
            <w:color w:val="0000EE"/>
            <w:u w:val="single"/>
          </w:rPr>
          <w:t>12</w:t>
        </w:r>
      </w:hyperlink>
      <w:r>
        <w:t>). Ele exalta valores morais e espirituais. Os ensinamentos registrados nesta seção eram radicais, mas não em um sentido político. O Sermão do Monte nos dá uma boa ideia do tipo de discursos que devem ter abundado no ministério de Jesus.</w:t>
      </w:r>
    </w:p>
    <w:p>
      <w:pPr>
        <w:pStyle w:val="Heading4"/>
      </w:pPr>
      <w:r>
        <w:t>Jesus como curador</w:t>
      </w:r>
    </w:p>
    <w:p>
      <w:r/>
      <w:r>
        <w:t>Ao longo dos evangelhos, há registros de milagres envolvendo Jesus curando as pessoas. Há mais desses milagres do que qualquer outro tipo. Uma seção em Mateus é dedicada a uma sequência de curas (</w:t>
      </w:r>
      <w:hyperlink r:id="rId11720">
        <w:r>
          <w:rPr>
            <w:color w:val="0000EE"/>
            <w:u w:val="single"/>
          </w:rPr>
          <w:t>Mateus 8.1–9.34</w:t>
        </w:r>
      </w:hyperlink>
      <w:r>
        <w:t>): um leproso, o servo de um centurião, a sogra de Pedro, um homem possuído por demônios, um paralítico, uma mulher com perda de sangue, homens cegos e um homem que era mudo. Além disso, a filha de Jairo foi ressuscitada dos mortos. Este grande número de curas se concentra em Jesus como um fazedor de milagres, mas em todos os evangelhos não há sugestão de que Jesus curou por meios mágicos. Em alguns casos, a fé de um indivíduo era reconhecida (</w:t>
      </w:r>
      <w:hyperlink r:id="rId11721">
        <w:r>
          <w:rPr>
            <w:color w:val="0000EE"/>
            <w:u w:val="single"/>
          </w:rPr>
          <w:t>8.10</w:t>
        </w:r>
      </w:hyperlink>
      <w:r>
        <w:t xml:space="preserve">; </w:t>
      </w:r>
      <w:hyperlink r:id="rId11722">
        <w:r>
          <w:rPr>
            <w:color w:val="0000EE"/>
            <w:u w:val="single"/>
          </w:rPr>
          <w:t>9.22</w:t>
        </w:r>
      </w:hyperlink>
      <w:r>
        <w:t>). Em pelo menos um incidente, a cura foi acompanhada por um anúncio do perdão dos pecados do curado (</w:t>
      </w:r>
      <w:hyperlink r:id="rId11723">
        <w:r>
          <w:rPr>
            <w:color w:val="0000EE"/>
            <w:u w:val="single"/>
          </w:rPr>
          <w:t>Mateus 9.2</w:t>
        </w:r>
      </w:hyperlink>
      <w:r>
        <w:t xml:space="preserve">; </w:t>
      </w:r>
      <w:hyperlink r:id="rId8692">
        <w:r>
          <w:rPr>
            <w:color w:val="0000EE"/>
            <w:u w:val="single"/>
          </w:rPr>
          <w:t>Marcos 2.5</w:t>
        </w:r>
      </w:hyperlink>
      <w:r>
        <w:t>). Isso mostra que Jesus considerava as necessidades espirituais de maior importância do que os problemas físicos.</w:t>
      </w:r>
    </w:p>
    <w:p>
      <w:r/>
      <w:r>
        <w:t>Uma vez que havia uma crença generalizada na poderosa influência dos espíritos malignos sobre vidas humanas, é muito significativo que Jesus seja visto exercendo seu poder de exorcismo sobre demônios. O ministério de Jesus foi definido em uma atmosfera de conflito espiritual, então os confrontos entre as forças das trevas e a Luz do Mundo eram esperados. Aqueles que explicam esses casos de possessão demoníaca em termos psiquiátricos perdem esta característica chave do ministério de Jesus. Cada vez que ele exorcizava um demônio, ele estava demonstrando vitória, que atingiu sua expressão mais dramática em sua vitória sobre a morte em sua ressurreição.</w:t>
      </w:r>
    </w:p>
    <w:p>
      <w:r/>
      <w:r>
        <w:t>Além disso, um milagre da natureza é registrado quando ele acalmou a tempestade (</w:t>
      </w:r>
      <w:hyperlink r:id="rId11724">
        <w:r>
          <w:rPr>
            <w:color w:val="0000EE"/>
            <w:u w:val="single"/>
          </w:rPr>
          <w:t>Mateus 8.23</w:t>
        </w:r>
      </w:hyperlink>
      <w:r>
        <w:t>–</w:t>
      </w:r>
      <w:hyperlink r:id="rId11724">
        <w:r>
          <w:rPr>
            <w:color w:val="0000EE"/>
            <w:u w:val="single"/>
          </w:rPr>
          <w:t>27</w:t>
        </w:r>
      </w:hyperlink>
      <w:r>
        <w:t xml:space="preserve">; </w:t>
      </w:r>
      <w:hyperlink r:id="rId11725">
        <w:r>
          <w:rPr>
            <w:color w:val="0000EE"/>
            <w:u w:val="single"/>
          </w:rPr>
          <w:t>Marcos 4.35</w:t>
        </w:r>
      </w:hyperlink>
      <w:r>
        <w:t>–</w:t>
      </w:r>
      <w:hyperlink r:id="rId11725">
        <w:r>
          <w:rPr>
            <w:color w:val="0000EE"/>
            <w:u w:val="single"/>
          </w:rPr>
          <w:t>41</w:t>
        </w:r>
      </w:hyperlink>
      <w:r>
        <w:t xml:space="preserve">; </w:t>
      </w:r>
      <w:hyperlink r:id="rId11726">
        <w:r>
          <w:rPr>
            <w:color w:val="0000EE"/>
            <w:u w:val="single"/>
          </w:rPr>
          <w:t>Lucas 8.22</w:t>
        </w:r>
      </w:hyperlink>
      <w:r>
        <w:t>–</w:t>
      </w:r>
      <w:hyperlink r:id="rId11726">
        <w:r>
          <w:rPr>
            <w:color w:val="0000EE"/>
            <w:u w:val="single"/>
          </w:rPr>
          <w:t>25</w:t>
        </w:r>
      </w:hyperlink>
      <w:r>
        <w:t>). Este milagre teve o foco tanto na falta de fé nos discípulos quanto no poder misterioso da presença de Jesus.</w:t>
      </w:r>
    </w:p>
    <w:p>
      <w:pPr>
        <w:pStyle w:val="Heading4"/>
      </w:pPr>
      <w:r>
        <w:t>A reação a Jesus por seus contemporâneos</w:t>
      </w:r>
    </w:p>
    <w:p>
      <w:r/>
      <w:r>
        <w:t>Nos estágios iniciais de seu ministério, Jesus era muito popular entre as pessoas comuns (</w:t>
      </w:r>
      <w:hyperlink r:id="rId6401">
        <w:r>
          <w:rPr>
            <w:color w:val="0000EE"/>
            <w:u w:val="single"/>
          </w:rPr>
          <w:t>Mateus 4.23</w:t>
        </w:r>
      </w:hyperlink>
      <w:r>
        <w:t>–</w:t>
      </w:r>
      <w:hyperlink r:id="rId6401">
        <w:r>
          <w:rPr>
            <w:color w:val="0000EE"/>
            <w:u w:val="single"/>
          </w:rPr>
          <w:t>25</w:t>
        </w:r>
      </w:hyperlink>
      <w:r>
        <w:t xml:space="preserve">; </w:t>
      </w:r>
      <w:hyperlink r:id="rId11727">
        <w:r>
          <w:rPr>
            <w:color w:val="0000EE"/>
            <w:u w:val="single"/>
          </w:rPr>
          <w:t>Marcos 3.7</w:t>
        </w:r>
      </w:hyperlink>
      <w:r>
        <w:t>–</w:t>
      </w:r>
      <w:hyperlink r:id="rId11727">
        <w:r>
          <w:rPr>
            <w:color w:val="0000EE"/>
            <w:u w:val="single"/>
          </w:rPr>
          <w:t>8</w:t>
        </w:r>
      </w:hyperlink>
      <w:r>
        <w:t>). No entanto, essas pessoas não compreenderam o propósito espiritual da missão de Jesus (</w:t>
      </w:r>
      <w:hyperlink r:id="rId703">
        <w:r>
          <w:rPr>
            <w:color w:val="0000EE"/>
            <w:u w:val="single"/>
          </w:rPr>
          <w:t>Lucas 13.17</w:t>
        </w:r>
      </w:hyperlink>
      <w:r>
        <w:t>). Porém, está em forte contraste com a oposição dos líderes religiosos, que até conspiraram para matar Jesus no período inicial de seu ministério (</w:t>
      </w:r>
      <w:hyperlink r:id="rId10620">
        <w:r>
          <w:rPr>
            <w:color w:val="0000EE"/>
            <w:u w:val="single"/>
          </w:rPr>
          <w:t>Marcos 3.6</w:t>
        </w:r>
      </w:hyperlink>
      <w:r>
        <w:t>).</w:t>
      </w:r>
    </w:p>
    <w:p>
      <w:r/>
      <w:r>
        <w:t>Jesus e os líderes religiosos muitas vezes entraram em conflito sobre a observância do sábado (</w:t>
      </w:r>
      <w:hyperlink r:id="rId11728">
        <w:r>
          <w:rPr>
            <w:color w:val="0000EE"/>
            <w:u w:val="single"/>
          </w:rPr>
          <w:t>Mateus 12.1</w:t>
        </w:r>
      </w:hyperlink>
      <w:r>
        <w:t>–</w:t>
      </w:r>
      <w:hyperlink r:id="rId11728">
        <w:r>
          <w:rPr>
            <w:color w:val="0000EE"/>
            <w:u w:val="single"/>
          </w:rPr>
          <w:t>14</w:t>
        </w:r>
      </w:hyperlink>
      <w:r>
        <w:t xml:space="preserve">; </w:t>
      </w:r>
      <w:hyperlink r:id="rId9291">
        <w:r>
          <w:rPr>
            <w:color w:val="0000EE"/>
            <w:u w:val="single"/>
          </w:rPr>
          <w:t>Lucas 13.10</w:t>
        </w:r>
      </w:hyperlink>
      <w:r>
        <w:t>–</w:t>
      </w:r>
      <w:hyperlink r:id="rId9291">
        <w:r>
          <w:rPr>
            <w:color w:val="0000EE"/>
            <w:u w:val="single"/>
          </w:rPr>
          <w:t>17</w:t>
        </w:r>
      </w:hyperlink>
      <w:r>
        <w:t xml:space="preserve">; </w:t>
      </w:r>
      <w:hyperlink r:id="rId11729">
        <w:r>
          <w:rPr>
            <w:color w:val="0000EE"/>
            <w:u w:val="single"/>
          </w:rPr>
          <w:t>João 5.9</w:t>
        </w:r>
      </w:hyperlink>
      <w:r>
        <w:t>–</w:t>
      </w:r>
      <w:hyperlink r:id="rId11729">
        <w:r>
          <w:rPr>
            <w:color w:val="0000EE"/>
            <w:u w:val="single"/>
          </w:rPr>
          <w:t>18</w:t>
        </w:r>
      </w:hyperlink>
      <w:r>
        <w:t>). Jesus adotou uma visão mais liberal do que a interpretação rígida e muitas vezes ilógica de alguns de seus contemporâneos religiosos — por exemplo, quando ele foi criticado por curar no sábado mesmo que a lei judaica permitisse o resgatar de animais presos no sábado (</w:t>
      </w:r>
      <w:hyperlink r:id="rId11730">
        <w:r>
          <w:rPr>
            <w:color w:val="0000EE"/>
            <w:u w:val="single"/>
          </w:rPr>
          <w:t>Mateus 12.11</w:t>
        </w:r>
      </w:hyperlink>
      <w:r>
        <w:t xml:space="preserve">; </w:t>
      </w:r>
      <w:hyperlink r:id="rId1566">
        <w:r>
          <w:rPr>
            <w:color w:val="0000EE"/>
            <w:u w:val="single"/>
          </w:rPr>
          <w:t>Lucas 13.15</w:t>
        </w:r>
      </w:hyperlink>
      <w:r>
        <w:t>). Para a mente farisaica, Jesus era um infrator. Os fariseus temiam que isso prejudicasse sua autoridade se o ensino de Jesus fosse permitido encher a opinião popular.</w:t>
      </w:r>
    </w:p>
    <w:p>
      <w:pPr>
        <w:pStyle w:val="Heading4"/>
      </w:pPr>
      <w:r>
        <w:t>Preparando os Doze</w:t>
      </w:r>
    </w:p>
    <w:p>
      <w:r/>
      <w:r>
        <w:t>Os Evangelhos Sinóticos fornecem listas dos nomes dos 12 apóstolos (</w:t>
      </w:r>
      <w:hyperlink r:id="rId1443">
        <w:r>
          <w:rPr>
            <w:color w:val="0000EE"/>
            <w:u w:val="single"/>
          </w:rPr>
          <w:t>Mateus 10.2</w:t>
        </w:r>
      </w:hyperlink>
      <w:r>
        <w:t>–</w:t>
      </w:r>
      <w:hyperlink r:id="rId1443">
        <w:r>
          <w:rPr>
            <w:color w:val="0000EE"/>
            <w:u w:val="single"/>
          </w:rPr>
          <w:t>4</w:t>
        </w:r>
      </w:hyperlink>
      <w:r>
        <w:t xml:space="preserve">; </w:t>
      </w:r>
      <w:hyperlink r:id="rId3155">
        <w:r>
          <w:rPr>
            <w:color w:val="0000EE"/>
            <w:u w:val="single"/>
          </w:rPr>
          <w:t>Marcos 3.16</w:t>
        </w:r>
      </w:hyperlink>
      <w:r>
        <w:t>–</w:t>
      </w:r>
      <w:hyperlink r:id="rId3155">
        <w:r>
          <w:rPr>
            <w:color w:val="0000EE"/>
            <w:u w:val="single"/>
          </w:rPr>
          <w:t>19</w:t>
        </w:r>
      </w:hyperlink>
      <w:r>
        <w:t xml:space="preserve">; </w:t>
      </w:r>
      <w:hyperlink r:id="rId3156">
        <w:r>
          <w:rPr>
            <w:color w:val="0000EE"/>
            <w:u w:val="single"/>
          </w:rPr>
          <w:t>Lucas 6.14</w:t>
        </w:r>
      </w:hyperlink>
      <w:r>
        <w:t>–</w:t>
      </w:r>
      <w:hyperlink r:id="rId3156">
        <w:r>
          <w:rPr>
            <w:color w:val="0000EE"/>
            <w:u w:val="single"/>
          </w:rPr>
          <w:t>16</w:t>
        </w:r>
      </w:hyperlink>
      <w:r>
        <w:t>). Tanto Mateus quanto Marcos os nomearam no contexto de seu exercício de autoridade sobre espíritos malignos, mostrando assim que esses homens estavam sendo chamados para entrar no mesmo conflito espiritual que Jesus.</w:t>
      </w:r>
    </w:p>
    <w:p>
      <w:r/>
      <w:r>
        <w:t>Os Evangelhos Sinóticos também dão detalhes das instruções que Jesus deu a esses discípulos antes de enviá-los para ministrar em Israel (</w:t>
      </w:r>
      <w:hyperlink r:id="rId11731">
        <w:r>
          <w:rPr>
            <w:color w:val="0000EE"/>
            <w:u w:val="single"/>
          </w:rPr>
          <w:t>Mateus 10.5</w:t>
        </w:r>
      </w:hyperlink>
      <w:r>
        <w:t>–</w:t>
      </w:r>
      <w:hyperlink r:id="rId11731">
        <w:r>
          <w:rPr>
            <w:color w:val="0000EE"/>
            <w:u w:val="single"/>
          </w:rPr>
          <w:t>42</w:t>
        </w:r>
      </w:hyperlink>
      <w:r>
        <w:t xml:space="preserve">; </w:t>
      </w:r>
      <w:hyperlink r:id="rId2259">
        <w:r>
          <w:rPr>
            <w:color w:val="0000EE"/>
            <w:u w:val="single"/>
          </w:rPr>
          <w:t>Marcos 6.7</w:t>
        </w:r>
      </w:hyperlink>
      <w:r>
        <w:t>–</w:t>
      </w:r>
      <w:hyperlink r:id="rId2259">
        <w:r>
          <w:rPr>
            <w:color w:val="0000EE"/>
            <w:u w:val="single"/>
          </w:rPr>
          <w:t>13</w:t>
        </w:r>
      </w:hyperlink>
      <w:r>
        <w:t xml:space="preserve">; </w:t>
      </w:r>
      <w:hyperlink r:id="rId2260">
        <w:r>
          <w:rPr>
            <w:color w:val="0000EE"/>
            <w:u w:val="single"/>
          </w:rPr>
          <w:t>Lucas 9.1</w:t>
        </w:r>
      </w:hyperlink>
      <w:r>
        <w:t>–</w:t>
      </w:r>
      <w:hyperlink r:id="rId2260">
        <w:r>
          <w:rPr>
            <w:color w:val="0000EE"/>
            <w:u w:val="single"/>
          </w:rPr>
          <w:t>6</w:t>
        </w:r>
      </w:hyperlink>
      <w:r>
        <w:t>). Mateus incluiu material em seu discurso que aparece em um contexto diferente em Marcos e Lucas, mas o discurso ainda mostra o interesse de Jesus em preparar seus discípulos para sua obra futura. Eles deveriam proclamar o reino como ele havia feito, mas não deveriam pensar que todos responderiam a esta proclamação. Eles foram advertidos sobre hostilidade e até mesmo perseguição. É importante notar que Jesus advertiu seus discípulos a não se sobrecarregarem com bens materiais. Embora as instruções tenham sido dadas no contexto de uma viagem ministerial iminente, ele estava lançando as bases para o futuro trabalho da igreja.</w:t>
      </w:r>
    </w:p>
    <w:p>
      <w:pPr>
        <w:pStyle w:val="Heading4"/>
      </w:pPr>
      <w:r>
        <w:t>O relacionamento entre Jesus e João Batista</w:t>
      </w:r>
    </w:p>
    <w:p>
      <w:r/>
      <w:r>
        <w:t>Por um tempo, João Batista e Jesus pregaram e batizaram em paralelo com seus respectivos discípulos (</w:t>
      </w:r>
      <w:hyperlink r:id="rId11732">
        <w:r>
          <w:rPr>
            <w:color w:val="0000EE"/>
            <w:u w:val="single"/>
          </w:rPr>
          <w:t>João 4.1</w:t>
        </w:r>
      </w:hyperlink>
      <w:r>
        <w:t>–</w:t>
      </w:r>
      <w:hyperlink r:id="rId11732">
        <w:r>
          <w:rPr>
            <w:color w:val="0000EE"/>
            <w:u w:val="single"/>
          </w:rPr>
          <w:t>2</w:t>
        </w:r>
      </w:hyperlink>
      <w:r>
        <w:t>). João Batista foi preso por Herodes por causa de sua condenação rigorosa do casamento de Herodes com Herodias, a esposa de seu irmão (</w:t>
      </w:r>
      <w:hyperlink r:id="rId11733">
        <w:r>
          <w:rPr>
            <w:color w:val="0000EE"/>
            <w:u w:val="single"/>
          </w:rPr>
          <w:t>Mateus 14.3</w:t>
        </w:r>
      </w:hyperlink>
      <w:r>
        <w:t>–</w:t>
      </w:r>
      <w:hyperlink r:id="rId11733">
        <w:r>
          <w:rPr>
            <w:color w:val="0000EE"/>
            <w:u w:val="single"/>
          </w:rPr>
          <w:t>4</w:t>
        </w:r>
      </w:hyperlink>
      <w:r>
        <w:t>). Na prisão, João começou a ter dúvidas sobre Jesus (</w:t>
      </w:r>
      <w:hyperlink r:id="rId11734">
        <w:r>
          <w:rPr>
            <w:color w:val="0000EE"/>
            <w:u w:val="single"/>
          </w:rPr>
          <w:t>Mateus 11.1</w:t>
        </w:r>
      </w:hyperlink>
      <w:r>
        <w:t>–</w:t>
      </w:r>
      <w:hyperlink r:id="rId11734">
        <w:r>
          <w:rPr>
            <w:color w:val="0000EE"/>
            <w:u w:val="single"/>
          </w:rPr>
          <w:t>19</w:t>
        </w:r>
      </w:hyperlink>
      <w:r>
        <w:t xml:space="preserve">; </w:t>
      </w:r>
      <w:hyperlink r:id="rId11735">
        <w:r>
          <w:rPr>
            <w:color w:val="0000EE"/>
            <w:u w:val="single"/>
          </w:rPr>
          <w:t>Lucas 7.18</w:t>
        </w:r>
      </w:hyperlink>
      <w:r>
        <w:t>–</w:t>
      </w:r>
      <w:hyperlink r:id="rId11735">
        <w:r>
          <w:rPr>
            <w:color w:val="0000EE"/>
            <w:u w:val="single"/>
          </w:rPr>
          <w:t>35</w:t>
        </w:r>
      </w:hyperlink>
      <w:r>
        <w:t>). Ele pode ter esperado que Jesus, se realmente fosse o Messias, viria em seu resgate. Quando João enviou seus discípulos a Jesus para expressar suas dúvidas, Jesus aproveitou a oportunidade para dizer às multidões sobre a grandeza de João Batista. Ele disse que não havia ninguém nascido de mulher que fosse maior do que João.</w:t>
      </w:r>
    </w:p>
    <w:p>
      <w:pPr>
        <w:pStyle w:val="Heading4"/>
      </w:pPr>
      <w:r>
        <w:t>Várias controvérsias</w:t>
      </w:r>
    </w:p>
    <w:p>
      <w:r/>
      <w:r>
        <w:t>Jesus estava disposto a confrontar aqueles ao seu redor sobre perguntas morais ou religiosas. Por exemplo, no Evangelho de João, uma controvérsia surgiu quando Jesus curou um homem coxo no sábado (</w:t>
      </w:r>
      <w:hyperlink r:id="rId6417">
        <w:r>
          <w:rPr>
            <w:color w:val="0000EE"/>
            <w:u w:val="single"/>
          </w:rPr>
          <w:t>João 5.1</w:t>
        </w:r>
      </w:hyperlink>
      <w:r>
        <w:t>–</w:t>
      </w:r>
      <w:hyperlink r:id="rId6417">
        <w:r>
          <w:rPr>
            <w:color w:val="0000EE"/>
            <w:u w:val="single"/>
          </w:rPr>
          <w:t>18</w:t>
        </w:r>
      </w:hyperlink>
      <w:r>
        <w:t>). Isso mostra que os rituais do sábado eram vistos como mais importantes do que ter compaixão por um homem coxo. Muitos odiaram Jesus por isso, especialmente porque ele alegava estar fazendo a obra de Deus.</w:t>
      </w:r>
    </w:p>
    <w:p>
      <w:r/>
      <w:r>
        <w:t>Um conflito semelhante surgiu depois que os discípulos de Jesus haviam colhido grãos nos campos no dia de sábado (</w:t>
      </w:r>
      <w:hyperlink r:id="rId649">
        <w:r>
          <w:rPr>
            <w:color w:val="0000EE"/>
            <w:u w:val="single"/>
          </w:rPr>
          <w:t>Mateus 12.1</w:t>
        </w:r>
      </w:hyperlink>
      <w:r>
        <w:t>–</w:t>
      </w:r>
      <w:hyperlink r:id="rId649">
        <w:r>
          <w:rPr>
            <w:color w:val="0000EE"/>
            <w:u w:val="single"/>
          </w:rPr>
          <w:t>8</w:t>
        </w:r>
      </w:hyperlink>
      <w:r>
        <w:t xml:space="preserve">). Os fariseus assumiram que este ato constituía em trabalho e o viam como uma razão suficiente para tramar como destruir Jesus. Após este evento, ele curou um paralítico no mesmo dia de sábado (versículos </w:t>
      </w:r>
      <w:hyperlink r:id="rId11736">
        <w:r>
          <w:rPr>
            <w:color w:val="0000EE"/>
            <w:u w:val="single"/>
          </w:rPr>
          <w:t>9</w:t>
        </w:r>
      </w:hyperlink>
      <w:r>
        <w:t>–</w:t>
      </w:r>
      <w:hyperlink r:id="rId11736">
        <w:r>
          <w:rPr>
            <w:color w:val="0000EE"/>
            <w:u w:val="single"/>
          </w:rPr>
          <w:t>14</w:t>
        </w:r>
      </w:hyperlink>
      <w:r>
        <w:t>). Os líderes judeus claramente o consideravam como uma ameaça direta à sua posição entre o povo.</w:t>
      </w:r>
    </w:p>
    <w:p>
      <w:r/>
      <w:r>
        <w:t>A crescente oposição não impediu Jesus de curar mais pessoas (</w:t>
      </w:r>
      <w:hyperlink r:id="rId11737">
        <w:r>
          <w:rPr>
            <w:color w:val="0000EE"/>
            <w:u w:val="single"/>
          </w:rPr>
          <w:t>Mateus 12.15–32</w:t>
        </w:r>
      </w:hyperlink>
      <w:r>
        <w:t>), que Mateus descreve como o cumprimento das Escrituras. Mas quando Jesus curou um homem que era cego e mudo por causa de um demônio, os fariseus o acusaram de expulsar demônios por Belzebu, o príncipe dos demônios. Jesus lhes disse que blasfemar contra o Espírito Santo era um pecado imperdoável. Este incidente não apenas mostra a perversidade dos líderes religiosos, mas também mostra que o ministério de Jesus estava sob o controle direto do Espírito. Outros milagres notáveis foram a cura do servo do centurião, como registrado por Lucas (</w:t>
      </w:r>
      <w:hyperlink r:id="rId11738">
        <w:r>
          <w:rPr>
            <w:color w:val="0000EE"/>
            <w:u w:val="single"/>
          </w:rPr>
          <w:t>Lucas 7.1</w:t>
        </w:r>
      </w:hyperlink>
      <w:r>
        <w:t>–</w:t>
      </w:r>
      <w:hyperlink r:id="rId11738">
        <w:r>
          <w:rPr>
            <w:color w:val="0000EE"/>
            <w:u w:val="single"/>
          </w:rPr>
          <w:t>10</w:t>
        </w:r>
      </w:hyperlink>
      <w:r>
        <w:t xml:space="preserve">), e a ressurreição do filho da viúva em Naim (versículos </w:t>
      </w:r>
      <w:hyperlink r:id="rId9742">
        <w:r>
          <w:rPr>
            <w:color w:val="0000EE"/>
            <w:u w:val="single"/>
          </w:rPr>
          <w:t>11</w:t>
        </w:r>
      </w:hyperlink>
      <w:r>
        <w:t>–</w:t>
      </w:r>
      <w:hyperlink r:id="rId9742">
        <w:r>
          <w:rPr>
            <w:color w:val="0000EE"/>
            <w:u w:val="single"/>
          </w:rPr>
          <w:t>17</w:t>
        </w:r>
      </w:hyperlink>
      <w:r>
        <w:t>). O primeiro é notável por causa da fé marcante de um gentio.</w:t>
      </w:r>
    </w:p>
    <w:p>
      <w:r/>
      <w:r>
        <w:t>Outro exemplo da crítica dos fariseus foi quando Jesus participou de uma refeição na casa de Simão, o fariseu (</w:t>
      </w:r>
      <w:hyperlink r:id="rId11739">
        <w:r>
          <w:rPr>
            <w:color w:val="0000EE"/>
            <w:u w:val="single"/>
          </w:rPr>
          <w:t>Lucas 7.36</w:t>
        </w:r>
      </w:hyperlink>
      <w:r>
        <w:t>–</w:t>
      </w:r>
      <w:hyperlink r:id="rId11739">
        <w:r>
          <w:rPr>
            <w:color w:val="0000EE"/>
            <w:u w:val="single"/>
          </w:rPr>
          <w:t>50</w:t>
        </w:r>
      </w:hyperlink>
      <w:r>
        <w:t>). Simão não havia lavado os pés de Jesus como era o costume naqueles dias, e ainda criticou Jesus por permitir que uma mulher pecadora lavasse seus pés com lágrimas, secasse com seus cabelos e os ungisse com perfume. Não há dúvida de que a maioria dos colegas de Simão teria compartilhado sua reação, mas Jesus não parou a mulher porque ele conhecia seu coração e como ela era amorosa. Ele contou a Simão uma parábola para enfatizar seu ponto.</w:t>
      </w:r>
    </w:p>
    <w:p>
      <w:r/>
      <w:r>
        <w:t>João registra que Jesus participou da Festa dos Tabernáculos (</w:t>
      </w:r>
      <w:hyperlink r:id="rId11740">
        <w:r>
          <w:rPr>
            <w:color w:val="0000EE"/>
            <w:u w:val="single"/>
          </w:rPr>
          <w:t>João 7.2</w:t>
        </w:r>
      </w:hyperlink>
      <w:r>
        <w:t>) e da Festa da Dedicação (</w:t>
      </w:r>
      <w:hyperlink r:id="rId9303">
        <w:r>
          <w:rPr>
            <w:color w:val="0000EE"/>
            <w:u w:val="single"/>
          </w:rPr>
          <w:t>10.22</w:t>
        </w:r>
      </w:hyperlink>
      <w:r>
        <w:t>) em Jerusalém, provavelmente durante o período inicial do ministério. Nesses momentos, Jesus ensinava na área do templo e falou com os líderes religiosos. Os chefes dos sacerdotes estavam perturbados e enviaram oficiais para prendê-lo (</w:t>
      </w:r>
      <w:hyperlink r:id="rId11741">
        <w:r>
          <w:rPr>
            <w:color w:val="0000EE"/>
            <w:u w:val="single"/>
          </w:rPr>
          <w:t>7.32</w:t>
        </w:r>
      </w:hyperlink>
      <w:r>
        <w:t>), mas os oficiais não o prenderam. Eles ficaram maravilhados com seus ensinamentos. Mais debates se seguiram, e os líderes judeus alegaram que Jesus estava possuído por demônios (</w:t>
      </w:r>
      <w:hyperlink r:id="rId11742">
        <w:r>
          <w:rPr>
            <w:color w:val="0000EE"/>
            <w:u w:val="single"/>
          </w:rPr>
          <w:t>8.48</w:t>
        </w:r>
      </w:hyperlink>
      <w:r>
        <w:t xml:space="preserve">). Tanto neste caso quanto quando Jesus curou o homem cego, sua hostilidade cresceu (capítulo </w:t>
      </w:r>
      <w:hyperlink r:id="rId4643">
        <w:r>
          <w:rPr>
            <w:color w:val="0000EE"/>
            <w:u w:val="single"/>
          </w:rPr>
          <w:t>9</w:t>
        </w:r>
      </w:hyperlink>
      <w:r>
        <w:t>). Quando Jesus falou de si mesmo como sendo o Pastor, eles ficaram muito enraivecidos, e pegaram pedras para matá-lo (</w:t>
      </w:r>
      <w:hyperlink r:id="rId11743">
        <w:r>
          <w:rPr>
            <w:color w:val="0000EE"/>
            <w:u w:val="single"/>
          </w:rPr>
          <w:t>10.31</w:t>
        </w:r>
      </w:hyperlink>
      <w:r>
        <w:t>).</w:t>
      </w:r>
    </w:p>
    <w:p>
      <w:pPr>
        <w:pStyle w:val="Heading4"/>
      </w:pPr>
      <w:r>
        <w:t>Ensinando em parábolas</w:t>
      </w:r>
    </w:p>
    <w:p>
      <w:r/>
      <w:r>
        <w:t>O Evangelho de Mateus dá uma amostra de um sermão contínuo de Jesus (</w:t>
      </w:r>
      <w:hyperlink r:id="rId6404">
        <w:r>
          <w:rPr>
            <w:color w:val="0000EE"/>
            <w:u w:val="single"/>
          </w:rPr>
          <w:t>Mateus 5.1–7.29</w:t>
        </w:r>
      </w:hyperlink>
      <w:r>
        <w:t xml:space="preserve">), mas Jesus falava mais frequentemente em parábolas. Mateus agrupou algumas das parábolas que dizem respeito ao tema do reino (capítulo </w:t>
      </w:r>
      <w:hyperlink r:id="rId11744">
        <w:r>
          <w:rPr>
            <w:color w:val="0000EE"/>
            <w:u w:val="single"/>
          </w:rPr>
          <w:t>13</w:t>
        </w:r>
      </w:hyperlink>
      <w:r>
        <w:t>). Lucas manteve parábolas de um tipo diferente que não estão especialmente ligadas ao reino. Marcos tem o menor número de parábolas entre os Evangelhos Sinóticos, mas sua escrita mostra pouco interesse em Jesus como mestre. João não relaciona nenhuma parábola, embora ele preserve duas alegorias — o aprisco das ovelhas e a videira — que poderiam ser consideradas parábolas estendidas. Jesus tipicamente ensinava em parábolas. Além disso, ele muitas vezes usava metáforas em seus sermões, que se assemelhavam a parábolas. As parábolas eram valiosas porque poderiam estimular o pensamento e desafiar o ouvinte. Isso ocorre porque as parábolas são mais fáceis de manter em mente. Jesus não falava em parábolas para esconder seu significado. Isso seria contrário a tudo o que ele pretendia fazer através de seu trabalho e ensino.</w:t>
      </w:r>
    </w:p>
    <w:p>
      <w:pPr>
        <w:pStyle w:val="Heading4"/>
      </w:pPr>
      <w:r>
        <w:t>Eventos significativos na Galileia</w:t>
      </w:r>
    </w:p>
    <w:p>
      <w:r/>
      <w:r>
        <w:t>Em Nazaré, sua cidade natal, as pessoas eram tão hostis e relutantes em responder ao seu ministério que Jesus realizou poucos milagres ali (</w:t>
      </w:r>
      <w:hyperlink r:id="rId11745">
        <w:r>
          <w:rPr>
            <w:color w:val="0000EE"/>
            <w:u w:val="single"/>
          </w:rPr>
          <w:t>Mateus 13.53</w:t>
        </w:r>
      </w:hyperlink>
      <w:r>
        <w:t>–</w:t>
      </w:r>
      <w:hyperlink r:id="rId11745">
        <w:r>
          <w:rPr>
            <w:color w:val="0000EE"/>
            <w:u w:val="single"/>
          </w:rPr>
          <w:t>58</w:t>
        </w:r>
      </w:hyperlink>
      <w:r>
        <w:t xml:space="preserve">; </w:t>
      </w:r>
      <w:hyperlink r:id="rId11746">
        <w:r>
          <w:rPr>
            <w:color w:val="0000EE"/>
            <w:u w:val="single"/>
          </w:rPr>
          <w:t>Marcos 6.1</w:t>
        </w:r>
      </w:hyperlink>
      <w:r>
        <w:t>–</w:t>
      </w:r>
      <w:hyperlink r:id="rId11746">
        <w:r>
          <w:rPr>
            <w:color w:val="0000EE"/>
            <w:u w:val="single"/>
          </w:rPr>
          <w:t>6</w:t>
        </w:r>
      </w:hyperlink>
      <w:r>
        <w:t>). Isso é importante porque mostra que a fé era necessária para as pessoas receberem seus milagres de cura.</w:t>
      </w:r>
    </w:p>
    <w:p>
      <w:r/>
      <w:r>
        <w:t>Há um milagre realizado por Jesus que todos os quatro evangelistas descrevem: a alimentação dos 5.000 (</w:t>
      </w:r>
      <w:hyperlink r:id="rId11747">
        <w:r>
          <w:rPr>
            <w:color w:val="0000EE"/>
            <w:u w:val="single"/>
          </w:rPr>
          <w:t>Mateus 14.13</w:t>
        </w:r>
      </w:hyperlink>
      <w:r>
        <w:t>–</w:t>
      </w:r>
      <w:hyperlink r:id="rId11747">
        <w:r>
          <w:rPr>
            <w:color w:val="0000EE"/>
            <w:u w:val="single"/>
          </w:rPr>
          <w:t>21</w:t>
        </w:r>
      </w:hyperlink>
      <w:r>
        <w:t xml:space="preserve">; </w:t>
      </w:r>
      <w:hyperlink r:id="rId11748">
        <w:r>
          <w:rPr>
            <w:color w:val="0000EE"/>
            <w:u w:val="single"/>
          </w:rPr>
          <w:t>Marcos 6.30</w:t>
        </w:r>
      </w:hyperlink>
      <w:r>
        <w:t>–</w:t>
      </w:r>
      <w:hyperlink r:id="rId11748">
        <w:r>
          <w:rPr>
            <w:color w:val="0000EE"/>
            <w:u w:val="single"/>
          </w:rPr>
          <w:t>44</w:t>
        </w:r>
      </w:hyperlink>
      <w:r>
        <w:t xml:space="preserve">; </w:t>
      </w:r>
      <w:hyperlink r:id="rId3511">
        <w:r>
          <w:rPr>
            <w:color w:val="0000EE"/>
            <w:u w:val="single"/>
          </w:rPr>
          <w:t>Lucas 9.10</w:t>
        </w:r>
      </w:hyperlink>
      <w:r>
        <w:t>–</w:t>
      </w:r>
      <w:hyperlink r:id="rId3511">
        <w:r>
          <w:rPr>
            <w:color w:val="0000EE"/>
            <w:u w:val="single"/>
          </w:rPr>
          <w:t>17</w:t>
        </w:r>
      </w:hyperlink>
      <w:r>
        <w:t xml:space="preserve">; </w:t>
      </w:r>
      <w:hyperlink r:id="rId11749">
        <w:r>
          <w:rPr>
            <w:color w:val="0000EE"/>
            <w:u w:val="single"/>
          </w:rPr>
          <w:t>João 6.1</w:t>
        </w:r>
      </w:hyperlink>
      <w:r>
        <w:t>–</w:t>
      </w:r>
      <w:hyperlink r:id="rId11749">
        <w:r>
          <w:rPr>
            <w:color w:val="0000EE"/>
            <w:u w:val="single"/>
          </w:rPr>
          <w:t>15</w:t>
        </w:r>
      </w:hyperlink>
      <w:r>
        <w:t>). Jesus era muito popular nesta fase de seu ministério e se importava com as necessidades físicas das pessoas. Após este milagre, alguns queriam fazer de Jesus rei. Eles estavam mais interessados com coisas materiais e políticas do que com a verdade espiritual. É por isso que Jesus imediatamente se retirou do meio deles. Quando as pessoas o encontraram no dia seguinte, ele continuou a instruí-las sobre o pão espiritual que vem do céu (</w:t>
      </w:r>
      <w:hyperlink r:id="rId11750">
        <w:r>
          <w:rPr>
            <w:color w:val="0000EE"/>
            <w:u w:val="single"/>
          </w:rPr>
          <w:t>João 6.25</w:t>
        </w:r>
      </w:hyperlink>
      <w:r>
        <w:t>–</w:t>
      </w:r>
      <w:hyperlink r:id="rId11750">
        <w:r>
          <w:rPr>
            <w:color w:val="0000EE"/>
            <w:u w:val="single"/>
          </w:rPr>
          <w:t>40</w:t>
        </w:r>
      </w:hyperlink>
      <w:r>
        <w:t>).</w:t>
      </w:r>
    </w:p>
    <w:p>
      <w:r/>
      <w:r>
        <w:t>Neste ponto no Evangelho de João, Jesus é muitas vezes visto tendo conversas com seus oponentes. Este estilo de ensino é diferente das parábolas sinóticas, mas familiar no debate ao estilo judaico. Muitas pessoas acharam os temas espirituais no ensino de Jesus muito difíceis de aceitar e, consequentemente, pararam de ser seus discípulos (</w:t>
      </w:r>
      <w:hyperlink r:id="rId11751">
        <w:r>
          <w:rPr>
            <w:color w:val="0000EE"/>
            <w:u w:val="single"/>
          </w:rPr>
          <w:t>João 6.51</w:t>
        </w:r>
      </w:hyperlink>
      <w:r>
        <w:t>–</w:t>
      </w:r>
      <w:hyperlink r:id="rId11751">
        <w:r>
          <w:rPr>
            <w:color w:val="0000EE"/>
            <w:u w:val="single"/>
          </w:rPr>
          <w:t>52,60,66</w:t>
        </w:r>
      </w:hyperlink>
      <w:r>
        <w:t>). Jesus e seu ensino eram exclusivamente desafiadores. Outro milagre intimamente ligado a isso é quando Jesus andou sobre a água, demonstrando seu poder sobre o mundo natural. Muitos tentaram explicar o evento supondo que Jesus estava, na verdade, andando na praia, e que os discípulos não perceberam isso. Mas tal milagre não é diferente da multiplicação massiva de pães e peixes, e é perfeitamente possível se Jesus for quem ele alegou ser.</w:t>
      </w:r>
    </w:p>
    <w:p>
      <w:pPr>
        <w:pStyle w:val="Heading4"/>
      </w:pPr>
      <w:r>
        <w:t>Deixando o norte da Galileia</w:t>
      </w:r>
    </w:p>
    <w:p>
      <w:r/>
      <w:r>
        <w:t>Jesus passou um breve tempo na região de Tiro e Sidom, onde ele curou mais pessoas e deixou claro que sua principal missão era a casa de Israel (</w:t>
      </w:r>
      <w:hyperlink r:id="rId11752">
        <w:r>
          <w:rPr>
            <w:color w:val="0000EE"/>
            <w:u w:val="single"/>
          </w:rPr>
          <w:t>Mateus 15.21</w:t>
        </w:r>
      </w:hyperlink>
      <w:r>
        <w:t>–</w:t>
      </w:r>
      <w:hyperlink r:id="rId11752">
        <w:r>
          <w:rPr>
            <w:color w:val="0000EE"/>
            <w:u w:val="single"/>
          </w:rPr>
          <w:t>28</w:t>
        </w:r>
      </w:hyperlink>
      <w:r>
        <w:t>). Ele então mudou-se para Cesareia de Filipe; este foi o ponto de virada de seu ministério (</w:t>
      </w:r>
      <w:hyperlink r:id="rId10616">
        <w:r>
          <w:rPr>
            <w:color w:val="0000EE"/>
            <w:u w:val="single"/>
          </w:rPr>
          <w:t>Mateus 16.13</w:t>
        </w:r>
      </w:hyperlink>
      <w:r>
        <w:t>–</w:t>
      </w:r>
      <w:hyperlink r:id="rId10616">
        <w:r>
          <w:rPr>
            <w:color w:val="0000EE"/>
            <w:u w:val="single"/>
          </w:rPr>
          <w:t>20</w:t>
        </w:r>
      </w:hyperlink>
      <w:r>
        <w:t xml:space="preserve">; </w:t>
      </w:r>
      <w:hyperlink r:id="rId11753">
        <w:r>
          <w:rPr>
            <w:color w:val="0000EE"/>
            <w:u w:val="single"/>
          </w:rPr>
          <w:t>Marcos 8.27</w:t>
        </w:r>
      </w:hyperlink>
      <w:r>
        <w:t>–</w:t>
      </w:r>
      <w:hyperlink r:id="rId11753">
        <w:r>
          <w:rPr>
            <w:color w:val="0000EE"/>
            <w:u w:val="single"/>
          </w:rPr>
          <w:t>38</w:t>
        </w:r>
      </w:hyperlink>
      <w:r>
        <w:t xml:space="preserve">; </w:t>
      </w:r>
      <w:hyperlink r:id="rId11754">
        <w:r>
          <w:rPr>
            <w:color w:val="0000EE"/>
            <w:u w:val="single"/>
          </w:rPr>
          <w:t>Lucas 9.18</w:t>
        </w:r>
      </w:hyperlink>
      <w:r>
        <w:t>–</w:t>
      </w:r>
      <w:hyperlink r:id="rId11754">
        <w:r>
          <w:rPr>
            <w:color w:val="0000EE"/>
            <w:u w:val="single"/>
          </w:rPr>
          <w:t>27</w:t>
        </w:r>
      </w:hyperlink>
      <w:r>
        <w:t>). Foi lá que Jesus perguntou aos seus discípulos: “Quem as pessoas dizem que o Filho do Homem é?” Isso fez Pedro confessar: “Você é o Cristo, o Filho do Deus vivo”. Esta confissão impressionante levou Jesus a prometer que ele construiria sua igreja sobre “esta rocha”. Tem havido muito debate sobre o significado desta fala, e se Jesus pretendia construir sua igreja sobre Pedro, em sua confissão, ou em Pedro confessar. Historicamente, Pedro foi usado por Deus para trazer judeus e gentios para a igreja (</w:t>
      </w:r>
      <w:hyperlink r:id="rId2610">
        <w:r>
          <w:rPr>
            <w:color w:val="0000EE"/>
            <w:u w:val="single"/>
          </w:rPr>
          <w:t>Atos 2</w:t>
        </w:r>
      </w:hyperlink>
      <w:r>
        <w:t xml:space="preserve">, </w:t>
      </w:r>
      <w:hyperlink r:id="rId2882">
        <w:r>
          <w:rPr>
            <w:color w:val="0000EE"/>
            <w:u w:val="single"/>
          </w:rPr>
          <w:t>10</w:t>
        </w:r>
      </w:hyperlink>
      <w:r>
        <w:t xml:space="preserve">). Não há dúvida sobre a intenção de Jesus de fundar uma igreja, uma vez que a palavra ocorre novamente em </w:t>
      </w:r>
      <w:hyperlink r:id="rId10871">
        <w:r>
          <w:rPr>
            <w:color w:val="0000EE"/>
            <w:u w:val="single"/>
          </w:rPr>
          <w:t>Mateus 18.17</w:t>
        </w:r>
      </w:hyperlink>
      <w:r>
        <w:t>. Apesar da revelação gloriosa de Jesus nesta ocasião, ele aproveitou como uma oportunidade para começar a informar seus discípulos de sua morte e ressurreição (</w:t>
      </w:r>
      <w:hyperlink r:id="rId11755">
        <w:r>
          <w:rPr>
            <w:color w:val="0000EE"/>
            <w:u w:val="single"/>
          </w:rPr>
          <w:t>Mateus 16.21</w:t>
        </w:r>
      </w:hyperlink>
      <w:r>
        <w:t>–</w:t>
      </w:r>
      <w:hyperlink r:id="rId11755">
        <w:r>
          <w:rPr>
            <w:color w:val="0000EE"/>
            <w:u w:val="single"/>
          </w:rPr>
          <w:t>23</w:t>
        </w:r>
      </w:hyperlink>
      <w:r>
        <w:t>).</w:t>
      </w:r>
    </w:p>
    <w:p>
      <w:r/>
      <w:r>
        <w:t>Esta revelação de Jesus foi consideravelmente reforçada pelo evento conhecido como Transfiguração, quando Jesus foi transformado na presença de três de seus discípulos (</w:t>
      </w:r>
      <w:hyperlink r:id="rId10042">
        <w:r>
          <w:rPr>
            <w:color w:val="0000EE"/>
            <w:u w:val="single"/>
          </w:rPr>
          <w:t>Mateus 17.1</w:t>
        </w:r>
      </w:hyperlink>
      <w:r>
        <w:t>–</w:t>
      </w:r>
      <w:hyperlink r:id="rId10042">
        <w:r>
          <w:rPr>
            <w:color w:val="0000EE"/>
            <w:u w:val="single"/>
          </w:rPr>
          <w:t>8</w:t>
        </w:r>
      </w:hyperlink>
      <w:r>
        <w:t>). Seu propósito era mostrar aos três principais discípulos algo da natureza de Jesus. Além disso, Moisés e Elias apareceram com Jesus, como representantes da Lei e dos Profetas.</w:t>
      </w:r>
    </w:p>
    <w:p>
      <w:r/>
      <w:r>
        <w:t xml:space="preserve">Após a Transfiguração, Jesus fez duas previsões sobre sua morte que se aproximava. Esses anúncios eram um mistério total para os discípulos. Em </w:t>
      </w:r>
      <w:hyperlink r:id="rId11756">
        <w:r>
          <w:rPr>
            <w:color w:val="0000EE"/>
            <w:u w:val="single"/>
          </w:rPr>
          <w:t>Mateus 16</w:t>
        </w:r>
      </w:hyperlink>
      <w:r>
        <w:t xml:space="preserve">, quando Jesus mencionou sua morte, Pedro tentou repreendê-lo e foi repreendido por Jesus. Quando Jesus mencionou sua morte novamente no capítulo </w:t>
      </w:r>
      <w:hyperlink r:id="rId11757">
        <w:r>
          <w:rPr>
            <w:color w:val="0000EE"/>
            <w:u w:val="single"/>
          </w:rPr>
          <w:t>17</w:t>
        </w:r>
      </w:hyperlink>
      <w:r>
        <w:t>, Mateus observou que os discípulos estavam muito angustiados (</w:t>
      </w:r>
      <w:hyperlink r:id="rId11758">
        <w:r>
          <w:rPr>
            <w:color w:val="0000EE"/>
            <w:u w:val="single"/>
          </w:rPr>
          <w:t>Mateus 17.23</w:t>
        </w:r>
      </w:hyperlink>
      <w:r>
        <w:t>), enquanto Marcos e Lucas mencionaram a falta de entendimento dos discípulos (</w:t>
      </w:r>
      <w:hyperlink r:id="rId11759">
        <w:r>
          <w:rPr>
            <w:color w:val="0000EE"/>
            <w:u w:val="single"/>
          </w:rPr>
          <w:t>Marcos 9.32</w:t>
        </w:r>
      </w:hyperlink>
      <w:r>
        <w:t xml:space="preserve">; </w:t>
      </w:r>
      <w:hyperlink r:id="rId11760">
        <w:r>
          <w:rPr>
            <w:color w:val="0000EE"/>
            <w:u w:val="single"/>
          </w:rPr>
          <w:t>Lucas 9.45</w:t>
        </w:r>
      </w:hyperlink>
      <w:r>
        <w:t>). Jesus estava se aproximando da cruz sem o apoio daqueles que lhe eram mais próximos. Não é surpreendente que quando a hora chegou, todos o abandonaram.</w:t>
      </w:r>
    </w:p>
    <w:p>
      <w:r/>
      <w:r>
        <w:t>A Transfiguração revelou que Jesus era maior do que Moisés e Elias e de fato era o Filho amado de Deus. Depois disso, ele foi convidado a pagar o imposto do templo (</w:t>
      </w:r>
      <w:hyperlink r:id="rId11761">
        <w:r>
          <w:rPr>
            <w:color w:val="0000EE"/>
            <w:u w:val="single"/>
          </w:rPr>
          <w:t>Mateus 17.24</w:t>
        </w:r>
      </w:hyperlink>
      <w:r>
        <w:t>–</w:t>
      </w:r>
      <w:hyperlink r:id="rId11761">
        <w:r>
          <w:rPr>
            <w:color w:val="0000EE"/>
            <w:u w:val="single"/>
          </w:rPr>
          <w:t>27</w:t>
        </w:r>
      </w:hyperlink>
      <w:r>
        <w:t>). Isso ilustra a atitude de Jesus em relação às autoridades e responsabilidades práticas. Ele pagou o imposto, embora ele não admitisse qualquer obrigação de fazê-lo. O método de pagamento foi extraordinário, pois envolvia o milagre da moeda no peixe. Mais importante, isso mostra a independência de Jesus da lei judaica.</w:t>
      </w:r>
    </w:p>
    <w:p>
      <w:r/>
      <w:r>
        <w:t>Mais da metade do Evangelho de Lucas diz respeito ao período que começa com Jesus saindo da Galileia, e termina com sua morte e ressurreição em Jerusalém. Nesta seção, Lucas introduz muitas informações que não são encontradas nos outros evangelhos. Resumiremos alguns dos itens mais marcantes que lançam luz sobre a vida de Jesus:</w:t>
      </w:r>
    </w:p>
    <w:p>
      <w:r/>
      <w:r>
        <w:t xml:space="preserve">Além da missão dos Doze, Lucas registra a missão dos Setenta (ou Setenta e dois — veja </w:t>
      </w:r>
      <w:hyperlink r:id="rId11762">
        <w:r>
          <w:rPr>
            <w:color w:val="0000EE"/>
            <w:u w:val="single"/>
          </w:rPr>
          <w:t>Lucas 10.17</w:t>
        </w:r>
      </w:hyperlink>
      <w:r>
        <w:t>–</w:t>
      </w:r>
      <w:hyperlink r:id="rId11762">
        <w:r>
          <w:rPr>
            <w:color w:val="0000EE"/>
            <w:u w:val="single"/>
          </w:rPr>
          <w:t>20</w:t>
        </w:r>
      </w:hyperlink>
      <w:r>
        <w:t xml:space="preserve">). Parábolas especiais são registradas por Lucas nesta seção — o bom samaritano (versículos </w:t>
      </w:r>
      <w:hyperlink r:id="rId11763">
        <w:r>
          <w:rPr>
            <w:color w:val="0000EE"/>
            <w:u w:val="single"/>
          </w:rPr>
          <w:t>29</w:t>
        </w:r>
      </w:hyperlink>
      <w:r>
        <w:t>–</w:t>
      </w:r>
      <w:hyperlink r:id="rId11763">
        <w:r>
          <w:rPr>
            <w:color w:val="0000EE"/>
            <w:u w:val="single"/>
          </w:rPr>
          <w:t>37</w:t>
        </w:r>
      </w:hyperlink>
      <w:r>
        <w:t>), a ovelha perdida (</w:t>
      </w:r>
      <w:hyperlink r:id="rId11764">
        <w:r>
          <w:rPr>
            <w:color w:val="0000EE"/>
            <w:u w:val="single"/>
          </w:rPr>
          <w:t>15.3</w:t>
        </w:r>
      </w:hyperlink>
      <w:r>
        <w:t>–</w:t>
      </w:r>
      <w:hyperlink r:id="rId11764">
        <w:r>
          <w:rPr>
            <w:color w:val="0000EE"/>
            <w:u w:val="single"/>
          </w:rPr>
          <w:t>7</w:t>
        </w:r>
      </w:hyperlink>
      <w:r>
        <w:t xml:space="preserve">), a moeda perdida (versículos </w:t>
      </w:r>
      <w:hyperlink r:id="rId5060">
        <w:r>
          <w:rPr>
            <w:color w:val="0000EE"/>
            <w:u w:val="single"/>
          </w:rPr>
          <w:t>8</w:t>
        </w:r>
      </w:hyperlink>
      <w:r>
        <w:t>–</w:t>
      </w:r>
      <w:hyperlink r:id="rId5060">
        <w:r>
          <w:rPr>
            <w:color w:val="0000EE"/>
            <w:u w:val="single"/>
          </w:rPr>
          <w:t>10</w:t>
        </w:r>
      </w:hyperlink>
      <w:r>
        <w:t xml:space="preserve">) e o filho pródigo (versículos </w:t>
      </w:r>
      <w:hyperlink r:id="rId8697">
        <w:r>
          <w:rPr>
            <w:color w:val="0000EE"/>
            <w:u w:val="single"/>
          </w:rPr>
          <w:t>11</w:t>
        </w:r>
      </w:hyperlink>
      <w:r>
        <w:t>–</w:t>
      </w:r>
      <w:hyperlink r:id="rId8697">
        <w:r>
          <w:rPr>
            <w:color w:val="0000EE"/>
            <w:u w:val="single"/>
          </w:rPr>
          <w:t>32</w:t>
        </w:r>
      </w:hyperlink>
      <w:r>
        <w:t>). Enquanto Jesus se movia em direção a Jerusalém, ele estava interessado em desenvolver a vida espiritual de seus discípulos. Ele estava ciente do fato de que ele não estaria com eles por muito tempo e desejava prepará-los para o futuro. Ele os ensinou sobre oração (</w:t>
      </w:r>
      <w:hyperlink r:id="rId11765">
        <w:r>
          <w:rPr>
            <w:color w:val="0000EE"/>
            <w:u w:val="single"/>
          </w:rPr>
          <w:t>11.1</w:t>
        </w:r>
      </w:hyperlink>
      <w:r>
        <w:t>–</w:t>
      </w:r>
      <w:hyperlink r:id="rId11765">
        <w:r>
          <w:rPr>
            <w:color w:val="0000EE"/>
            <w:u w:val="single"/>
          </w:rPr>
          <w:t>13</w:t>
        </w:r>
      </w:hyperlink>
      <w:r>
        <w:t>), o cuidado do Pai por eles (</w:t>
      </w:r>
      <w:hyperlink r:id="rId11766">
        <w:r>
          <w:rPr>
            <w:color w:val="0000EE"/>
            <w:u w:val="single"/>
          </w:rPr>
          <w:t>12.13</w:t>
        </w:r>
      </w:hyperlink>
      <w:r>
        <w:t>–</w:t>
      </w:r>
      <w:hyperlink r:id="rId11766">
        <w:r>
          <w:rPr>
            <w:color w:val="0000EE"/>
            <w:u w:val="single"/>
          </w:rPr>
          <w:t>34</w:t>
        </w:r>
      </w:hyperlink>
      <w:r>
        <w:t xml:space="preserve">) e a preparação para a vinda do Filho do Homem (versículos </w:t>
      </w:r>
      <w:hyperlink r:id="rId11767">
        <w:r>
          <w:rPr>
            <w:color w:val="0000EE"/>
            <w:u w:val="single"/>
          </w:rPr>
          <w:t>35</w:t>
        </w:r>
      </w:hyperlink>
      <w:r>
        <w:t>–</w:t>
      </w:r>
      <w:hyperlink r:id="rId11767">
        <w:r>
          <w:rPr>
            <w:color w:val="0000EE"/>
            <w:u w:val="single"/>
          </w:rPr>
          <w:t>56</w:t>
        </w:r>
      </w:hyperlink>
      <w:r>
        <w:t>).</w:t>
      </w:r>
    </w:p>
    <w:p>
      <w:pPr>
        <w:pStyle w:val="Heading3"/>
      </w:pPr>
      <w:r>
        <w:t>A caminho de Jerusalém</w:t>
      </w:r>
    </w:p>
    <w:p>
      <w:r/>
      <w:r>
        <w:t>No caminho para Jerusalém, Jesus visitou Jericó e Betânia. Em Jericó, ele curou Bartimeu (</w:t>
      </w:r>
      <w:hyperlink r:id="rId4645">
        <w:r>
          <w:rPr>
            <w:color w:val="0000EE"/>
            <w:u w:val="single"/>
          </w:rPr>
          <w:t>Lucas 18:35</w:t>
        </w:r>
      </w:hyperlink>
      <w:r>
        <w:t>–</w:t>
      </w:r>
      <w:hyperlink r:id="rId4645">
        <w:r>
          <w:rPr>
            <w:color w:val="0000EE"/>
            <w:u w:val="single"/>
          </w:rPr>
          <w:t>43</w:t>
        </w:r>
      </w:hyperlink>
      <w:r>
        <w:t>) e conheceu Zaqueu, que corrigiu seus caminhos como cobrador de impostos (</w:t>
      </w:r>
      <w:hyperlink r:id="rId11768">
        <w:r>
          <w:rPr>
            <w:color w:val="0000EE"/>
            <w:u w:val="single"/>
          </w:rPr>
          <w:t>19.1</w:t>
        </w:r>
      </w:hyperlink>
      <w:r>
        <w:t>–</w:t>
      </w:r>
      <w:hyperlink r:id="rId11768">
        <w:r>
          <w:rPr>
            <w:color w:val="0000EE"/>
            <w:u w:val="single"/>
          </w:rPr>
          <w:t>10</w:t>
        </w:r>
      </w:hyperlink>
      <w:r>
        <w:t>). Betânia era a casa de Maria, Marta e seu irmão, Lázaro, a quem Jesus havia ressuscitado dos mortos (</w:t>
      </w:r>
      <w:hyperlink r:id="rId3995">
        <w:r>
          <w:rPr>
            <w:color w:val="0000EE"/>
            <w:u w:val="single"/>
          </w:rPr>
          <w:t>João 11</w:t>
        </w:r>
      </w:hyperlink>
      <w:r>
        <w:t>). Jesus passou seus últimos dias em Jerusalém, mas ficou todas as noites na casa de Simão, o leproso, em Betânia, com aqueles que o amavam (</w:t>
      </w:r>
      <w:hyperlink r:id="rId11769">
        <w:r>
          <w:rPr>
            <w:color w:val="0000EE"/>
            <w:u w:val="single"/>
          </w:rPr>
          <w:t>Mateus 26.6</w:t>
        </w:r>
      </w:hyperlink>
      <w:r>
        <w:t xml:space="preserve">). Lá, uma mulher o ungiu com um perfume caro. Isso foi controverso e profético, preparando Jesus para seu sepultamento e aprimorando o evangelho com dedicação amorosa (versículos </w:t>
      </w:r>
      <w:hyperlink r:id="rId11770">
        <w:r>
          <w:rPr>
            <w:color w:val="0000EE"/>
            <w:u w:val="single"/>
          </w:rPr>
          <w:t>6</w:t>
        </w:r>
      </w:hyperlink>
      <w:r>
        <w:t>–</w:t>
      </w:r>
      <w:hyperlink r:id="rId11770">
        <w:r>
          <w:rPr>
            <w:color w:val="0000EE"/>
            <w:u w:val="single"/>
          </w:rPr>
          <w:t>13</w:t>
        </w:r>
      </w:hyperlink>
      <w:r>
        <w:t>).</w:t>
      </w:r>
    </w:p>
    <w:p>
      <w:pPr>
        <w:pStyle w:val="Heading3"/>
      </w:pPr>
      <w:r>
        <w:t>Os últimos dias em Jerusalém</w:t>
      </w:r>
    </w:p>
    <w:p>
      <w:r/>
      <w:r>
        <w:t>Todos os quatro evangelhos descrevem Jesus entrando em Jerusalém (</w:t>
      </w:r>
      <w:hyperlink r:id="rId11771">
        <w:r>
          <w:rPr>
            <w:color w:val="0000EE"/>
            <w:u w:val="single"/>
          </w:rPr>
          <w:t>Mateus 21.1</w:t>
        </w:r>
      </w:hyperlink>
      <w:r>
        <w:t>–</w:t>
      </w:r>
      <w:hyperlink r:id="rId11771">
        <w:r>
          <w:rPr>
            <w:color w:val="0000EE"/>
            <w:u w:val="single"/>
          </w:rPr>
          <w:t>11</w:t>
        </w:r>
      </w:hyperlink>
      <w:r>
        <w:t xml:space="preserve">; </w:t>
      </w:r>
      <w:hyperlink r:id="rId11772">
        <w:r>
          <w:rPr>
            <w:color w:val="0000EE"/>
            <w:u w:val="single"/>
          </w:rPr>
          <w:t>Marcos 11.1</w:t>
        </w:r>
      </w:hyperlink>
      <w:r>
        <w:t>–</w:t>
      </w:r>
      <w:hyperlink r:id="rId11772">
        <w:r>
          <w:rPr>
            <w:color w:val="0000EE"/>
            <w:u w:val="single"/>
          </w:rPr>
          <w:t>10</w:t>
        </w:r>
      </w:hyperlink>
      <w:r>
        <w:t xml:space="preserve">; </w:t>
      </w:r>
      <w:hyperlink r:id="rId11773">
        <w:r>
          <w:rPr>
            <w:color w:val="0000EE"/>
            <w:u w:val="single"/>
          </w:rPr>
          <w:t>Lucas 19.29</w:t>
        </w:r>
      </w:hyperlink>
      <w:r>
        <w:t>–</w:t>
      </w:r>
      <w:hyperlink r:id="rId11773">
        <w:r>
          <w:rPr>
            <w:color w:val="0000EE"/>
            <w:u w:val="single"/>
          </w:rPr>
          <w:t>38</w:t>
        </w:r>
      </w:hyperlink>
      <w:r>
        <w:t xml:space="preserve">; </w:t>
      </w:r>
      <w:hyperlink r:id="rId11774">
        <w:r>
          <w:rPr>
            <w:color w:val="0000EE"/>
            <w:u w:val="single"/>
          </w:rPr>
          <w:t>João 12.12</w:t>
        </w:r>
      </w:hyperlink>
      <w:r>
        <w:t>–</w:t>
      </w:r>
      <w:hyperlink r:id="rId11774">
        <w:r>
          <w:rPr>
            <w:color w:val="0000EE"/>
            <w:u w:val="single"/>
          </w:rPr>
          <w:t>15</w:t>
        </w:r>
      </w:hyperlink>
      <w:r>
        <w:t>). Multidões saudaram Jesus, celebrando-o como seu rei. Isso se constrasta fortemente com o clamor posterior da multidão por sua crucificação.</w:t>
      </w:r>
    </w:p>
    <w:p>
      <w:r/>
      <w:r>
        <w:t>Nos Evangelhos Sinóticos, a purificação do templo é o primeiro evento principal após a entrada de Jesus na cidade (</w:t>
      </w:r>
      <w:hyperlink r:id="rId4137">
        <w:r>
          <w:rPr>
            <w:color w:val="0000EE"/>
            <w:u w:val="single"/>
          </w:rPr>
          <w:t>Mateus 21.12</w:t>
        </w:r>
      </w:hyperlink>
      <w:r>
        <w:t>–</w:t>
      </w:r>
      <w:hyperlink r:id="rId4137">
        <w:r>
          <w:rPr>
            <w:color w:val="0000EE"/>
            <w:u w:val="single"/>
          </w:rPr>
          <w:t>13</w:t>
        </w:r>
      </w:hyperlink>
      <w:r>
        <w:t xml:space="preserve">; </w:t>
      </w:r>
      <w:hyperlink r:id="rId11775">
        <w:r>
          <w:rPr>
            <w:color w:val="0000EE"/>
            <w:u w:val="single"/>
          </w:rPr>
          <w:t>Marcos 11.15</w:t>
        </w:r>
      </w:hyperlink>
      <w:r>
        <w:t>–</w:t>
      </w:r>
      <w:hyperlink r:id="rId11775">
        <w:r>
          <w:rPr>
            <w:color w:val="0000EE"/>
            <w:u w:val="single"/>
          </w:rPr>
          <w:t>17</w:t>
        </w:r>
      </w:hyperlink>
      <w:r>
        <w:t xml:space="preserve">; </w:t>
      </w:r>
      <w:hyperlink r:id="rId4139">
        <w:r>
          <w:rPr>
            <w:color w:val="0000EE"/>
            <w:u w:val="single"/>
          </w:rPr>
          <w:t>Lucas 19.45</w:t>
        </w:r>
      </w:hyperlink>
      <w:r>
        <w:t>–</w:t>
      </w:r>
      <w:hyperlink r:id="rId4139">
        <w:r>
          <w:rPr>
            <w:color w:val="0000EE"/>
            <w:u w:val="single"/>
          </w:rPr>
          <w:t>46</w:t>
        </w:r>
      </w:hyperlink>
      <w:r>
        <w:t>). A audácia de Jesus ao remover os cambistas da área do templo foi demais para as autoridades (</w:t>
      </w:r>
      <w:hyperlink r:id="rId8232">
        <w:r>
          <w:rPr>
            <w:color w:val="0000EE"/>
            <w:u w:val="single"/>
          </w:rPr>
          <w:t>Marcos 11.18</w:t>
        </w:r>
      </w:hyperlink>
      <w:r>
        <w:t xml:space="preserve">; </w:t>
      </w:r>
      <w:hyperlink r:id="rId11776">
        <w:r>
          <w:rPr>
            <w:color w:val="0000EE"/>
            <w:u w:val="single"/>
          </w:rPr>
          <w:t>Lucas 19.47</w:t>
        </w:r>
      </w:hyperlink>
      <w:r>
        <w:t>). Eles decidiram matá-lo. O tempo de sua crucificação estava se aproximando.</w:t>
      </w:r>
    </w:p>
    <w:p>
      <w:r/>
      <w:r>
        <w:t>Durante este período, outras controvérsias se desenvolveram entre Jesus e os fariseus e saduceus (</w:t>
      </w:r>
      <w:hyperlink r:id="rId11777">
        <w:r>
          <w:rPr>
            <w:color w:val="0000EE"/>
            <w:u w:val="single"/>
          </w:rPr>
          <w:t>Mateus 21.23–22.45</w:t>
        </w:r>
      </w:hyperlink>
      <w:r>
        <w:t>). Eles tentaram enganar Jesus com várias perguntas, mas ele muito habilmente virou suas perguntas contra eles. No final, ninguém se atreveu a fazer mais perguntas a ele (</w:t>
      </w:r>
      <w:hyperlink r:id="rId11778">
        <w:r>
          <w:rPr>
            <w:color w:val="0000EE"/>
            <w:u w:val="single"/>
          </w:rPr>
          <w:t>22.46</w:t>
        </w:r>
      </w:hyperlink>
      <w:r>
        <w:t>).</w:t>
      </w:r>
    </w:p>
    <w:p>
      <w:r/>
      <w:r>
        <w:t>A hora final de Jesus estava se aproximando. Jesus instruiu seus discípulos sobre eventos futuros, em especial o fim do mundo. Ele reafirmou firmemente seu retorno, e mencionou vários sinais que o precederiam (</w:t>
      </w:r>
      <w:hyperlink r:id="rId2030">
        <w:r>
          <w:rPr>
            <w:color w:val="0000EE"/>
            <w:u w:val="single"/>
          </w:rPr>
          <w:t>Mateus 24–25</w:t>
        </w:r>
      </w:hyperlink>
      <w:r>
        <w:t xml:space="preserve">; </w:t>
      </w:r>
      <w:hyperlink r:id="rId2031">
        <w:r>
          <w:rPr>
            <w:color w:val="0000EE"/>
            <w:u w:val="single"/>
          </w:rPr>
          <w:t>Marcos 13</w:t>
        </w:r>
      </w:hyperlink>
      <w:r>
        <w:t xml:space="preserve">; </w:t>
      </w:r>
      <w:hyperlink r:id="rId2032">
        <w:r>
          <w:rPr>
            <w:color w:val="0000EE"/>
            <w:u w:val="single"/>
          </w:rPr>
          <w:t>Lucas 21</w:t>
        </w:r>
      </w:hyperlink>
      <w:r>
        <w:t>). Seu objetivo era desafiar os discípulos a serem vigilantes (</w:t>
      </w:r>
      <w:hyperlink r:id="rId11779">
        <w:r>
          <w:rPr>
            <w:color w:val="0000EE"/>
            <w:u w:val="single"/>
          </w:rPr>
          <w:t>Mateus 25.13</w:t>
        </w:r>
      </w:hyperlink>
      <w:r>
        <w:t xml:space="preserve">) e diligentes (versículos </w:t>
      </w:r>
      <w:hyperlink r:id="rId3085">
        <w:r>
          <w:rPr>
            <w:color w:val="0000EE"/>
            <w:u w:val="single"/>
          </w:rPr>
          <w:t>14</w:t>
        </w:r>
      </w:hyperlink>
      <w:r>
        <w:t>–</w:t>
      </w:r>
      <w:hyperlink r:id="rId3085">
        <w:r>
          <w:rPr>
            <w:color w:val="0000EE"/>
            <w:u w:val="single"/>
          </w:rPr>
          <w:t>30</w:t>
        </w:r>
      </w:hyperlink>
      <w:r>
        <w:t>). Esta seção prepara o caminho para os eventos da prisão, do julgamento, da flagelação e do carregar da cruz e crucificação que se seguiriam. Mas devemos primeiro notar a importância da Última Ceia.</w:t>
      </w:r>
    </w:p>
    <w:p>
      <w:r/>
      <w:r>
        <w:t>Na noite anterior à sua morte, Jesus sentou-se a uma mesa com seus discípulos. Ele lhes deu uma maneira fácil de entender o significado de sua morte no pão e no vinho, dois elementos básicos da vida cotidiana (</w:t>
      </w:r>
      <w:hyperlink r:id="rId4656">
        <w:r>
          <w:rPr>
            <w:color w:val="0000EE"/>
            <w:u w:val="single"/>
          </w:rPr>
          <w:t>Mateus 26.26</w:t>
        </w:r>
      </w:hyperlink>
      <w:r>
        <w:t>–</w:t>
      </w:r>
      <w:hyperlink r:id="rId4656">
        <w:r>
          <w:rPr>
            <w:color w:val="0000EE"/>
            <w:u w:val="single"/>
          </w:rPr>
          <w:t>30</w:t>
        </w:r>
      </w:hyperlink>
      <w:r>
        <w:t xml:space="preserve">; </w:t>
      </w:r>
      <w:hyperlink r:id="rId5297">
        <w:r>
          <w:rPr>
            <w:color w:val="0000EE"/>
            <w:u w:val="single"/>
          </w:rPr>
          <w:t>Marcos 14.22</w:t>
        </w:r>
      </w:hyperlink>
      <w:r>
        <w:t>–</w:t>
      </w:r>
      <w:hyperlink r:id="rId5297">
        <w:r>
          <w:rPr>
            <w:color w:val="0000EE"/>
            <w:u w:val="single"/>
          </w:rPr>
          <w:t>25</w:t>
        </w:r>
      </w:hyperlink>
      <w:r>
        <w:t xml:space="preserve">; </w:t>
      </w:r>
      <w:hyperlink r:id="rId11780">
        <w:r>
          <w:rPr>
            <w:color w:val="0000EE"/>
            <w:u w:val="single"/>
          </w:rPr>
          <w:t>Lucas 22.19</w:t>
        </w:r>
      </w:hyperlink>
      <w:r>
        <w:t>–</w:t>
      </w:r>
      <w:hyperlink r:id="rId11780">
        <w:r>
          <w:rPr>
            <w:color w:val="0000EE"/>
            <w:u w:val="single"/>
          </w:rPr>
          <w:t>20</w:t>
        </w:r>
      </w:hyperlink>
      <w:r>
        <w:t xml:space="preserve">; </w:t>
      </w:r>
      <w:hyperlink r:id="rId4660">
        <w:r>
          <w:rPr>
            <w:color w:val="0000EE"/>
            <w:u w:val="single"/>
          </w:rPr>
          <w:t>1 Coríntios 11.23</w:t>
        </w:r>
      </w:hyperlink>
      <w:r>
        <w:t>–</w:t>
      </w:r>
      <w:hyperlink r:id="rId4660">
        <w:r>
          <w:rPr>
            <w:color w:val="0000EE"/>
            <w:u w:val="single"/>
          </w:rPr>
          <w:t>26</w:t>
        </w:r>
      </w:hyperlink>
      <w:r>
        <w:t>). Isso era para lembrá-los de que seu corpo seria destruído e que seu sangue seria derramado pelos outros. Jesus tinha que fornecer este lembrete de que sua morte sacrificial selaria uma aliança completamente nova. Era para ser um verdadeiro lembrete para ajudar a igreja a lembrar da importância central da cruz.</w:t>
      </w:r>
    </w:p>
    <w:p>
      <w:r/>
      <w:r>
        <w:t>O Evangelho de João não registra a instituição da Última Ceia. No entanto, registra quando Jesus lavou os pés dos discípulos como um exemplo de humildade (</w:t>
      </w:r>
      <w:hyperlink r:id="rId10811">
        <w:r>
          <w:rPr>
            <w:color w:val="0000EE"/>
            <w:u w:val="single"/>
          </w:rPr>
          <w:t>João 13.1</w:t>
        </w:r>
      </w:hyperlink>
      <w:r>
        <w:t>–</w:t>
      </w:r>
      <w:hyperlink r:id="rId10811">
        <w:r>
          <w:rPr>
            <w:color w:val="0000EE"/>
            <w:u w:val="single"/>
          </w:rPr>
          <w:t>20</w:t>
        </w:r>
      </w:hyperlink>
      <w:r>
        <w:t xml:space="preserve">). Ele enfatizou aos discípulos o princípio de serviço aos outros. João continua com uma série de ensinamentos que Jesus deu na véspera da Paixão (capítulos </w:t>
      </w:r>
      <w:hyperlink r:id="rId11781">
        <w:r>
          <w:rPr>
            <w:color w:val="0000EE"/>
            <w:u w:val="single"/>
          </w:rPr>
          <w:t>14–16</w:t>
        </w:r>
      </w:hyperlink>
      <w:r>
        <w:t xml:space="preserve">). A característica mais importante deste ensino era a promessa da vinda do Espírito Santo aos discípulos depois que Jesus havia ido. Apesar de sua morte se aproximando, Jesus mostrou-se mais preocupado com seus discípulos do que com ele mesmo. Podemos ver isso em sua oração em </w:t>
      </w:r>
      <w:hyperlink r:id="rId9388">
        <w:r>
          <w:rPr>
            <w:color w:val="0000EE"/>
            <w:u w:val="single"/>
          </w:rPr>
          <w:t>João 17</w:t>
        </w:r>
      </w:hyperlink>
      <w:r>
        <w:t>. Todos os Evangelistas se referem com antecedência à traição de Judas (</w:t>
      </w:r>
      <w:hyperlink r:id="rId11782">
        <w:r>
          <w:rPr>
            <w:color w:val="0000EE"/>
            <w:u w:val="single"/>
          </w:rPr>
          <w:t>Mateus 26.21</w:t>
        </w:r>
      </w:hyperlink>
      <w:r>
        <w:t>–</w:t>
      </w:r>
      <w:hyperlink r:id="rId11782">
        <w:r>
          <w:rPr>
            <w:color w:val="0000EE"/>
            <w:u w:val="single"/>
          </w:rPr>
          <w:t>25</w:t>
        </w:r>
      </w:hyperlink>
      <w:r>
        <w:t xml:space="preserve">; </w:t>
      </w:r>
      <w:hyperlink r:id="rId11783">
        <w:r>
          <w:rPr>
            <w:color w:val="0000EE"/>
            <w:u w:val="single"/>
          </w:rPr>
          <w:t>Marcos 14.18</w:t>
        </w:r>
      </w:hyperlink>
      <w:r>
        <w:t>–</w:t>
      </w:r>
      <w:hyperlink r:id="rId11783">
        <w:r>
          <w:rPr>
            <w:color w:val="0000EE"/>
            <w:u w:val="single"/>
          </w:rPr>
          <w:t>21</w:t>
        </w:r>
      </w:hyperlink>
      <w:r>
        <w:t xml:space="preserve">; </w:t>
      </w:r>
      <w:hyperlink r:id="rId11784">
        <w:r>
          <w:rPr>
            <w:color w:val="0000EE"/>
            <w:u w:val="single"/>
          </w:rPr>
          <w:t>Lucas 22.21</w:t>
        </w:r>
      </w:hyperlink>
      <w:r>
        <w:t>–</w:t>
      </w:r>
      <w:hyperlink r:id="rId11784">
        <w:r>
          <w:rPr>
            <w:color w:val="0000EE"/>
            <w:u w:val="single"/>
          </w:rPr>
          <w:t>23</w:t>
        </w:r>
      </w:hyperlink>
      <w:r>
        <w:t xml:space="preserve">; </w:t>
      </w:r>
      <w:hyperlink r:id="rId11785">
        <w:r>
          <w:rPr>
            <w:color w:val="0000EE"/>
            <w:u w:val="single"/>
          </w:rPr>
          <w:t>João 13.21</w:t>
        </w:r>
      </w:hyperlink>
      <w:r>
        <w:t>–</w:t>
      </w:r>
      <w:hyperlink r:id="rId11785">
        <w:r>
          <w:rPr>
            <w:color w:val="0000EE"/>
            <w:u w:val="single"/>
          </w:rPr>
          <w:t>30</w:t>
        </w:r>
      </w:hyperlink>
      <w:r>
        <w:t>), preparando assim os leitores para o que está prestes a se desenrolar.</w:t>
      </w:r>
    </w:p>
    <w:p>
      <w:pPr>
        <w:pStyle w:val="Heading3"/>
      </w:pPr>
      <w:r>
        <w:t>A traição e prisão</w:t>
      </w:r>
    </w:p>
    <w:p>
      <w:r/>
      <w:r>
        <w:t>De certo modo, toda a história do evangelho vai se formando até um clímax de rejeição. Jesus logo perderia seu apoio popular e seus oponentes pareciam no controle. No Evangelho de João, o clímax é expresso com as palavras “sua hora” (</w:t>
      </w:r>
      <w:hyperlink r:id="rId4665">
        <w:r>
          <w:rPr>
            <w:color w:val="0000EE"/>
            <w:u w:val="single"/>
          </w:rPr>
          <w:t>João 13.1</w:t>
        </w:r>
      </w:hyperlink>
      <w:r>
        <w:t>). A traição e prisão fazem parte de um plano maior. Após a Última Ceia, Jesus foi direto da sala superior para o Jardim do Getsêmani (</w:t>
      </w:r>
      <w:hyperlink r:id="rId7875">
        <w:r>
          <w:rPr>
            <w:color w:val="0000EE"/>
            <w:u w:val="single"/>
          </w:rPr>
          <w:t>Mateus 26.36</w:t>
        </w:r>
      </w:hyperlink>
      <w:r>
        <w:t>–</w:t>
      </w:r>
      <w:hyperlink r:id="rId7875">
        <w:r>
          <w:rPr>
            <w:color w:val="0000EE"/>
            <w:u w:val="single"/>
          </w:rPr>
          <w:t>46</w:t>
        </w:r>
      </w:hyperlink>
      <w:r>
        <w:t xml:space="preserve">; </w:t>
      </w:r>
      <w:hyperlink r:id="rId7876">
        <w:r>
          <w:rPr>
            <w:color w:val="0000EE"/>
            <w:u w:val="single"/>
          </w:rPr>
          <w:t>Marcos 14.32</w:t>
        </w:r>
      </w:hyperlink>
      <w:r>
        <w:t>–</w:t>
      </w:r>
      <w:hyperlink r:id="rId7876">
        <w:r>
          <w:rPr>
            <w:color w:val="0000EE"/>
            <w:u w:val="single"/>
          </w:rPr>
          <w:t>42</w:t>
        </w:r>
      </w:hyperlink>
      <w:r>
        <w:t xml:space="preserve">; </w:t>
      </w:r>
      <w:hyperlink r:id="rId11786">
        <w:r>
          <w:rPr>
            <w:color w:val="0000EE"/>
            <w:u w:val="single"/>
          </w:rPr>
          <w:t>Lucas 22.40</w:t>
        </w:r>
      </w:hyperlink>
      <w:r>
        <w:t>–</w:t>
      </w:r>
      <w:hyperlink r:id="rId11786">
        <w:r>
          <w:rPr>
            <w:color w:val="0000EE"/>
            <w:u w:val="single"/>
          </w:rPr>
          <w:t>46</w:t>
        </w:r>
      </w:hyperlink>
      <w:r>
        <w:t>). Ele orou a seu Pai com intensidade e agonia profundas. Isso nos dá um vislumbre do que foi necessário para Jesus se identificar com as necessidades da humanidade. Ele orou para que o cálice do sofrimento fosse passado dele, mas, ao mesmo tempo, se submeteu à vontade do Pai. Todos os três discípulos que ele levou com ele dormiram. O discípulo que o traiu apareceu nos portões liderando o grupo que o prenderia. Jesus confronta Judas com uma dignidade incrível, chamando-o de “amigo” (</w:t>
      </w:r>
      <w:hyperlink r:id="rId11787">
        <w:r>
          <w:rPr>
            <w:color w:val="0000EE"/>
            <w:u w:val="single"/>
          </w:rPr>
          <w:t>Mateus 26.50</w:t>
        </w:r>
      </w:hyperlink>
      <w:r>
        <w:t xml:space="preserve">). Jesus não resistiu à sua prisão, e repreendeu a multidão por causa de suas espadas e porretes (versículo </w:t>
      </w:r>
      <w:hyperlink r:id="rId11788">
        <w:r>
          <w:rPr>
            <w:color w:val="0000EE"/>
            <w:u w:val="single"/>
          </w:rPr>
          <w:t>55</w:t>
        </w:r>
      </w:hyperlink>
      <w:r>
        <w:t>).</w:t>
      </w:r>
    </w:p>
    <w:p>
      <w:pPr>
        <w:pStyle w:val="Heading3"/>
      </w:pPr>
      <w:r>
        <w:t>O julgamento</w:t>
      </w:r>
    </w:p>
    <w:p>
      <w:r/>
      <w:r>
        <w:t>Jesus foi primeiro levado para a casa de Anás, um dos sumos sacerdotes, para um primeiro exame (</w:t>
      </w:r>
      <w:hyperlink r:id="rId4000">
        <w:r>
          <w:rPr>
            <w:color w:val="0000EE"/>
            <w:u w:val="single"/>
          </w:rPr>
          <w:t>João 18.13</w:t>
        </w:r>
      </w:hyperlink>
      <w:r>
        <w:t>). Durante seu julgamento, ele foi zombado por seus inimigos. Seu discípulo Pedro o negou três vezes (</w:t>
      </w:r>
      <w:hyperlink r:id="rId11789">
        <w:r>
          <w:rPr>
            <w:color w:val="0000EE"/>
            <w:u w:val="single"/>
          </w:rPr>
          <w:t>Mateus 26.69</w:t>
        </w:r>
      </w:hyperlink>
      <w:r>
        <w:t>–</w:t>
      </w:r>
      <w:hyperlink r:id="rId11789">
        <w:r>
          <w:rPr>
            <w:color w:val="0000EE"/>
            <w:u w:val="single"/>
          </w:rPr>
          <w:t>75</w:t>
        </w:r>
      </w:hyperlink>
      <w:r>
        <w:t xml:space="preserve">; </w:t>
      </w:r>
      <w:hyperlink r:id="rId11790">
        <w:r>
          <w:rPr>
            <w:color w:val="0000EE"/>
            <w:u w:val="single"/>
          </w:rPr>
          <w:t>Marcos 14.66</w:t>
        </w:r>
      </w:hyperlink>
      <w:r>
        <w:t>–</w:t>
      </w:r>
      <w:hyperlink r:id="rId11790">
        <w:r>
          <w:rPr>
            <w:color w:val="0000EE"/>
            <w:u w:val="single"/>
          </w:rPr>
          <w:t>72</w:t>
        </w:r>
      </w:hyperlink>
      <w:r>
        <w:t xml:space="preserve">; </w:t>
      </w:r>
      <w:hyperlink r:id="rId11791">
        <w:r>
          <w:rPr>
            <w:color w:val="0000EE"/>
            <w:u w:val="single"/>
          </w:rPr>
          <w:t>Lucas 22.54</w:t>
        </w:r>
      </w:hyperlink>
      <w:r>
        <w:t>–</w:t>
      </w:r>
      <w:hyperlink r:id="rId11791">
        <w:r>
          <w:rPr>
            <w:color w:val="0000EE"/>
            <w:u w:val="single"/>
          </w:rPr>
          <w:t>62</w:t>
        </w:r>
      </w:hyperlink>
      <w:r>
        <w:t xml:space="preserve">; </w:t>
      </w:r>
      <w:hyperlink r:id="rId11792">
        <w:r>
          <w:rPr>
            <w:color w:val="0000EE"/>
            <w:u w:val="single"/>
          </w:rPr>
          <w:t>João 18.15</w:t>
        </w:r>
      </w:hyperlink>
      <w:r>
        <w:t>–</w:t>
      </w:r>
      <w:hyperlink r:id="rId11792">
        <w:r>
          <w:rPr>
            <w:color w:val="0000EE"/>
            <w:u w:val="single"/>
          </w:rPr>
          <w:t>27</w:t>
        </w:r>
      </w:hyperlink>
      <w:r>
        <w:t>), como Jesus previu que ele faria (</w:t>
      </w:r>
      <w:hyperlink r:id="rId2926">
        <w:r>
          <w:rPr>
            <w:color w:val="0000EE"/>
            <w:u w:val="single"/>
          </w:rPr>
          <w:t>Mateus 26.34</w:t>
        </w:r>
      </w:hyperlink>
      <w:r>
        <w:t xml:space="preserve">; </w:t>
      </w:r>
      <w:hyperlink r:id="rId11793">
        <w:r>
          <w:rPr>
            <w:color w:val="0000EE"/>
            <w:u w:val="single"/>
          </w:rPr>
          <w:t>Marcos 14.30</w:t>
        </w:r>
      </w:hyperlink>
      <w:r>
        <w:t xml:space="preserve">; </w:t>
      </w:r>
      <w:hyperlink r:id="rId11794">
        <w:r>
          <w:rPr>
            <w:color w:val="0000EE"/>
            <w:u w:val="single"/>
          </w:rPr>
          <w:t>João 13.38</w:t>
        </w:r>
      </w:hyperlink>
      <w:r>
        <w:t>). Caifás presidiu o julgamento oficial com o Sinédrio. Ele ficou intrigado no início quando Jesus se negou a falar. Jesus previu que o Filho do Homem viria nas nuvens do céu, o que foi suficiente para fazer o sumo sacerdote o condenar de blasfêmia (</w:t>
      </w:r>
      <w:hyperlink r:id="rId11795">
        <w:r>
          <w:rPr>
            <w:color w:val="0000EE"/>
            <w:u w:val="single"/>
          </w:rPr>
          <w:t>Marcos 14.62</w:t>
        </w:r>
      </w:hyperlink>
      <w:r>
        <w:t>–</w:t>
      </w:r>
      <w:hyperlink r:id="rId11795">
        <w:r>
          <w:rPr>
            <w:color w:val="0000EE"/>
            <w:u w:val="single"/>
          </w:rPr>
          <w:t>64</w:t>
        </w:r>
      </w:hyperlink>
      <w:r>
        <w:t>). Jesus permaneceu calmo e respeitável, apesar de ter sido espancado e golpeado no rosto. Ele mostrou o quanto ele era maior do que aqueles que estavam o tratando com desrespeito.</w:t>
      </w:r>
    </w:p>
    <w:p>
      <w:r/>
      <w:r>
        <w:t>Os exames posteriores diante de Pilatos (</w:t>
      </w:r>
      <w:hyperlink r:id="rId11796">
        <w:r>
          <w:rPr>
            <w:color w:val="0000EE"/>
            <w:u w:val="single"/>
          </w:rPr>
          <w:t>Mateus 27.1</w:t>
        </w:r>
      </w:hyperlink>
      <w:r>
        <w:t>–</w:t>
      </w:r>
      <w:hyperlink r:id="rId11796">
        <w:r>
          <w:rPr>
            <w:color w:val="0000EE"/>
            <w:u w:val="single"/>
          </w:rPr>
          <w:t>2</w:t>
        </w:r>
      </w:hyperlink>
      <w:r>
        <w:t xml:space="preserve">; </w:t>
      </w:r>
      <w:hyperlink r:id="rId11797">
        <w:r>
          <w:rPr>
            <w:color w:val="0000EE"/>
            <w:u w:val="single"/>
          </w:rPr>
          <w:t>Marcos 15.1</w:t>
        </w:r>
      </w:hyperlink>
      <w:r>
        <w:t xml:space="preserve">; </w:t>
      </w:r>
      <w:hyperlink r:id="rId11798">
        <w:r>
          <w:rPr>
            <w:color w:val="0000EE"/>
            <w:u w:val="single"/>
          </w:rPr>
          <w:t>Lucas 23.1</w:t>
        </w:r>
      </w:hyperlink>
      <w:r>
        <w:t xml:space="preserve">; </w:t>
      </w:r>
      <w:hyperlink r:id="rId4666">
        <w:r>
          <w:rPr>
            <w:color w:val="0000EE"/>
            <w:u w:val="single"/>
          </w:rPr>
          <w:t>João 18.28</w:t>
        </w:r>
      </w:hyperlink>
      <w:r>
        <w:t>) e Herodes (</w:t>
      </w:r>
      <w:hyperlink r:id="rId11799">
        <w:r>
          <w:rPr>
            <w:color w:val="0000EE"/>
            <w:u w:val="single"/>
          </w:rPr>
          <w:t>Lucas 23.7</w:t>
        </w:r>
      </w:hyperlink>
      <w:r>
        <w:t>–</w:t>
      </w:r>
      <w:hyperlink r:id="rId11799">
        <w:r>
          <w:rPr>
            <w:color w:val="0000EE"/>
            <w:u w:val="single"/>
          </w:rPr>
          <w:t>12</w:t>
        </w:r>
      </w:hyperlink>
      <w:r>
        <w:t>) também foram exemplos de justiça desleal. Jesus não respondeu quando perguntado sobre as acusações perante Pilatos (</w:t>
      </w:r>
      <w:hyperlink r:id="rId11800">
        <w:r>
          <w:rPr>
            <w:color w:val="0000EE"/>
            <w:u w:val="single"/>
          </w:rPr>
          <w:t>Mateus 27.14</w:t>
        </w:r>
      </w:hyperlink>
      <w:r>
        <w:t>) ou Herodes (</w:t>
      </w:r>
      <w:hyperlink r:id="rId11801">
        <w:r>
          <w:rPr>
            <w:color w:val="0000EE"/>
            <w:u w:val="single"/>
          </w:rPr>
          <w:t>Lucas 23.9</w:t>
        </w:r>
      </w:hyperlink>
      <w:r>
        <w:t>). Ele permaneceu majestosamente em silêncio, exceto para fazer um comentário a Pilatos sobre a verdadeira natureza de seu reinado (</w:t>
      </w:r>
      <w:hyperlink r:id="rId2223">
        <w:r>
          <w:rPr>
            <w:color w:val="0000EE"/>
            <w:u w:val="single"/>
          </w:rPr>
          <w:t>João 18.33</w:t>
        </w:r>
      </w:hyperlink>
      <w:r>
        <w:t>–</w:t>
      </w:r>
      <w:hyperlink r:id="rId2223">
        <w:r>
          <w:rPr>
            <w:color w:val="0000EE"/>
            <w:u w:val="single"/>
          </w:rPr>
          <w:t>38</w:t>
        </w:r>
      </w:hyperlink>
      <w:r>
        <w:t>). O governador patético declarou Jesus inocente, ofereceu às multidões a libertação de Jesus ou Barrabás, e então publicamente renunciou à responsabilidade lavando suas mãos. Pilatos então cruelmente açoitou Jesus e o entregou para ser crucificado.</w:t>
      </w:r>
    </w:p>
    <w:p>
      <w:pPr>
        <w:pStyle w:val="Heading3"/>
      </w:pPr>
      <w:r>
        <w:t>A crucificação</w:t>
      </w:r>
    </w:p>
    <w:p>
      <w:r/>
      <w:r>
        <w:t>A morte de Jesus na cruz demonstra o tratamento desumano da humanidade uns aos outros. Até Jesus Cristo — o verdadeiro exemplo do que significa ser humano — foi tratado com crueldade. Os soldados zombaram de Jesus (</w:t>
      </w:r>
      <w:hyperlink r:id="rId11802">
        <w:r>
          <w:rPr>
            <w:color w:val="0000EE"/>
            <w:u w:val="single"/>
          </w:rPr>
          <w:t>Mateus 27.27</w:t>
        </w:r>
      </w:hyperlink>
      <w:r>
        <w:t>–</w:t>
      </w:r>
      <w:hyperlink r:id="rId11802">
        <w:r>
          <w:rPr>
            <w:color w:val="0000EE"/>
            <w:u w:val="single"/>
          </w:rPr>
          <w:t>30</w:t>
        </w:r>
      </w:hyperlink>
      <w:r>
        <w:t>), e trouxeram um manto real com uma coroa de espinhos dolorosa (</w:t>
      </w:r>
      <w:hyperlink r:id="rId5573">
        <w:r>
          <w:rPr>
            <w:color w:val="0000EE"/>
            <w:u w:val="single"/>
          </w:rPr>
          <w:t>Marcos 15.17</w:t>
        </w:r>
      </w:hyperlink>
      <w:r>
        <w:t>). Eles forçaram um homem que passava a carregar a cruz (</w:t>
      </w:r>
      <w:hyperlink r:id="rId11803">
        <w:r>
          <w:rPr>
            <w:color w:val="0000EE"/>
            <w:u w:val="single"/>
          </w:rPr>
          <w:t>Lucas 23.26</w:t>
        </w:r>
      </w:hyperlink>
      <w:r>
        <w:t>) e então cruelmente pregaram Jesus na cruz. Os soldados lançaram sortes por suas roupas (</w:t>
      </w:r>
      <w:hyperlink r:id="rId11804">
        <w:r>
          <w:rPr>
            <w:color w:val="0000EE"/>
            <w:u w:val="single"/>
          </w:rPr>
          <w:t>João 19.23</w:t>
        </w:r>
      </w:hyperlink>
      <w:r>
        <w:t>–</w:t>
      </w:r>
      <w:hyperlink r:id="rId11804">
        <w:r>
          <w:rPr>
            <w:color w:val="0000EE"/>
            <w:u w:val="single"/>
          </w:rPr>
          <w:t>24</w:t>
        </w:r>
      </w:hyperlink>
      <w:r>
        <w:t>), e arrogantemente desafiaram Jesus a usar seu poder para escapar (</w:t>
      </w:r>
      <w:hyperlink r:id="rId11805">
        <w:r>
          <w:rPr>
            <w:color w:val="0000EE"/>
            <w:u w:val="single"/>
          </w:rPr>
          <w:t>Mateus 27.40</w:t>
        </w:r>
      </w:hyperlink>
      <w:r>
        <w:t>–</w:t>
      </w:r>
      <w:hyperlink r:id="rId11805">
        <w:r>
          <w:rPr>
            <w:color w:val="0000EE"/>
            <w:u w:val="single"/>
          </w:rPr>
          <w:t>44</w:t>
        </w:r>
      </w:hyperlink>
      <w:r>
        <w:t>). Todas essas ações expõem a crueldade dos oponentes de Jesus. No entanto, Jesus está interessado no criminoso arrependido que foi crucificado com ele (</w:t>
      </w:r>
      <w:hyperlink r:id="rId11806">
        <w:r>
          <w:rPr>
            <w:color w:val="0000EE"/>
            <w:u w:val="single"/>
          </w:rPr>
          <w:t>Lucas 23.39</w:t>
        </w:r>
      </w:hyperlink>
      <w:r>
        <w:t>–</w:t>
      </w:r>
      <w:hyperlink r:id="rId11806">
        <w:r>
          <w:rPr>
            <w:color w:val="0000EE"/>
            <w:u w:val="single"/>
          </w:rPr>
          <w:t>43</w:t>
        </w:r>
      </w:hyperlink>
      <w:r>
        <w:t>), em sua mãe (</w:t>
      </w:r>
      <w:hyperlink r:id="rId7346">
        <w:r>
          <w:rPr>
            <w:color w:val="0000EE"/>
            <w:u w:val="single"/>
          </w:rPr>
          <w:t>João 19.25</w:t>
        </w:r>
      </w:hyperlink>
      <w:r>
        <w:t>–</w:t>
      </w:r>
      <w:hyperlink r:id="rId7346">
        <w:r>
          <w:rPr>
            <w:color w:val="0000EE"/>
            <w:u w:val="single"/>
          </w:rPr>
          <w:t>27</w:t>
        </w:r>
      </w:hyperlink>
      <w:r>
        <w:t>), nos responsáveis pela crucificação enquanto ele ora por seu perdão (</w:t>
      </w:r>
      <w:hyperlink r:id="rId11096">
        <w:r>
          <w:rPr>
            <w:color w:val="0000EE"/>
            <w:u w:val="single"/>
          </w:rPr>
          <w:t>Lucas 23.34</w:t>
        </w:r>
      </w:hyperlink>
      <w:r>
        <w:t>) e clama seu clamor final triunfante (</w:t>
      </w:r>
      <w:hyperlink r:id="rId11807">
        <w:r>
          <w:rPr>
            <w:color w:val="0000EE"/>
            <w:u w:val="single"/>
          </w:rPr>
          <w:t>Marcos 15.37</w:t>
        </w:r>
      </w:hyperlink>
      <w:r>
        <w:t>). Tudo isso mostra uma nobreza que contrastava fortemente com a maldade daqueles ao seu redor. Algumas testemunhas da morte de Jesus na cruz demonstraram uma compreensão mais clara, como o centurião que estava convencido da inocência de Jesus (</w:t>
      </w:r>
      <w:hyperlink r:id="rId4719">
        <w:r>
          <w:rPr>
            <w:color w:val="0000EE"/>
            <w:u w:val="single"/>
          </w:rPr>
          <w:t>Marcos 15.39</w:t>
        </w:r>
      </w:hyperlink>
      <w:r>
        <w:t>), ou como as mulheres que o seguiram e ficaram de pé à distância (</w:t>
      </w:r>
      <w:hyperlink r:id="rId11808">
        <w:r>
          <w:rPr>
            <w:color w:val="0000EE"/>
            <w:u w:val="single"/>
          </w:rPr>
          <w:t>Mateus 27.55</w:t>
        </w:r>
      </w:hyperlink>
      <w:r>
        <w:t>–</w:t>
      </w:r>
      <w:hyperlink r:id="rId11808">
        <w:r>
          <w:rPr>
            <w:color w:val="0000EE"/>
            <w:u w:val="single"/>
          </w:rPr>
          <w:t>56</w:t>
        </w:r>
      </w:hyperlink>
      <w:r>
        <w:t>). Houve um momento sombrio para Jesus quando ele clamou sobre como ele se sentiu abandonado (</w:t>
      </w:r>
      <w:hyperlink r:id="rId7870">
        <w:r>
          <w:rPr>
            <w:color w:val="0000EE"/>
            <w:u w:val="single"/>
          </w:rPr>
          <w:t>Marcos 15.34</w:t>
        </w:r>
      </w:hyperlink>
      <w:r>
        <w:t>). E houve trevas e um terremoto, como se a própria natureza reconhecesse o significado do evento. Até o véu do templo foi rasgado em dois, como se não tivesse mais nenhum direito de bloquear o caminho para o santo dos santos (</w:t>
      </w:r>
      <w:hyperlink r:id="rId6321">
        <w:r>
          <w:rPr>
            <w:color w:val="0000EE"/>
            <w:u w:val="single"/>
          </w:rPr>
          <w:t>Mateus 27.51</w:t>
        </w:r>
      </w:hyperlink>
      <w:r>
        <w:t>).</w:t>
      </w:r>
    </w:p>
    <w:p>
      <w:pPr>
        <w:pStyle w:val="Heading3"/>
      </w:pPr>
      <w:r>
        <w:t>O sepultamento, ressurreição e ascensão</w:t>
      </w:r>
    </w:p>
    <w:p>
      <w:r/>
      <w:r>
        <w:t>O corpo de Jesus foi colocado em um túmulo que pertencia a José de Arimateia. José preparou o corpo para o sepultamento com a ajuda de Nicodemos (</w:t>
      </w:r>
      <w:hyperlink r:id="rId5998">
        <w:r>
          <w:rPr>
            <w:color w:val="0000EE"/>
            <w:u w:val="single"/>
          </w:rPr>
          <w:t>Mateus 27.57</w:t>
        </w:r>
      </w:hyperlink>
      <w:r>
        <w:t>–</w:t>
      </w:r>
      <w:hyperlink r:id="rId5998">
        <w:r>
          <w:rPr>
            <w:color w:val="0000EE"/>
            <w:u w:val="single"/>
          </w:rPr>
          <w:t>60</w:t>
        </w:r>
      </w:hyperlink>
      <w:r>
        <w:t xml:space="preserve">; </w:t>
      </w:r>
      <w:hyperlink r:id="rId11809">
        <w:r>
          <w:rPr>
            <w:color w:val="0000EE"/>
            <w:u w:val="single"/>
          </w:rPr>
          <w:t>João 19.39</w:t>
        </w:r>
      </w:hyperlink>
      <w:r>
        <w:t>). Mas o túmulo desempenhou apenas um papel secundário na ressurreição. Os evangelistas se concentram nas aparições de Jesus não apenas no dia da ressurreição, mas também depois. Os discípulos estavam convencidos de que Jesus estava vivo. Alguns, como Tomé, tinham dúvidas para superar (</w:t>
      </w:r>
      <w:hyperlink r:id="rId11810">
        <w:r>
          <w:rPr>
            <w:color w:val="0000EE"/>
            <w:u w:val="single"/>
          </w:rPr>
          <w:t>João 20.24</w:t>
        </w:r>
      </w:hyperlink>
      <w:r>
        <w:t>–</w:t>
      </w:r>
      <w:hyperlink r:id="rId11810">
        <w:r>
          <w:rPr>
            <w:color w:val="0000EE"/>
            <w:u w:val="single"/>
          </w:rPr>
          <w:t>29</w:t>
        </w:r>
      </w:hyperlink>
      <w:r>
        <w:t xml:space="preserve">). Outros, como João, estavam mais prontos para acreditar quando viram o túmulo vazio (versículos </w:t>
      </w:r>
      <w:hyperlink r:id="rId11811">
        <w:r>
          <w:rPr>
            <w:color w:val="0000EE"/>
            <w:u w:val="single"/>
          </w:rPr>
          <w:t>2</w:t>
        </w:r>
      </w:hyperlink>
      <w:r>
        <w:t>–</w:t>
      </w:r>
      <w:hyperlink r:id="rId11811">
        <w:r>
          <w:rPr>
            <w:color w:val="0000EE"/>
            <w:u w:val="single"/>
          </w:rPr>
          <w:t>10</w:t>
        </w:r>
      </w:hyperlink>
      <w:r>
        <w:t>). O fato de que a primeira a ver o Senhor ressuscitado foi uma mulher, Maria Madalena, é significativo (</w:t>
      </w:r>
      <w:hyperlink r:id="rId11812">
        <w:r>
          <w:rPr>
            <w:color w:val="0000EE"/>
            <w:u w:val="single"/>
          </w:rPr>
          <w:t>Mateus 27.61</w:t>
        </w:r>
      </w:hyperlink>
      <w:r>
        <w:t xml:space="preserve">; </w:t>
      </w:r>
      <w:hyperlink r:id="rId6248">
        <w:r>
          <w:rPr>
            <w:color w:val="0000EE"/>
            <w:u w:val="single"/>
          </w:rPr>
          <w:t>28:1,5</w:t>
        </w:r>
      </w:hyperlink>
      <w:r>
        <w:t>–</w:t>
      </w:r>
      <w:hyperlink r:id="rId6248">
        <w:r>
          <w:rPr>
            <w:color w:val="0000EE"/>
            <w:u w:val="single"/>
          </w:rPr>
          <w:t>9</w:t>
        </w:r>
      </w:hyperlink>
      <w:r>
        <w:t>). Sua presença na cruz trouxe vergonha para aqueles discípulos que haviam fugido (</w:t>
      </w:r>
      <w:hyperlink r:id="rId11813">
        <w:r>
          <w:rPr>
            <w:color w:val="0000EE"/>
            <w:u w:val="single"/>
          </w:rPr>
          <w:t>Mateus 26.56</w:t>
        </w:r>
      </w:hyperlink>
      <w:r>
        <w:t xml:space="preserve">; </w:t>
      </w:r>
      <w:hyperlink r:id="rId751">
        <w:r>
          <w:rPr>
            <w:color w:val="0000EE"/>
            <w:u w:val="single"/>
          </w:rPr>
          <w:t>João 19.25</w:t>
        </w:r>
      </w:hyperlink>
      <w:r>
        <w:t>).</w:t>
      </w:r>
    </w:p>
    <w:p>
      <w:r/>
      <w:r>
        <w:t>Jesus estava em uma forma humana, apesar de estar em um estado glorificado e ressuscitado. No entanto, os discípulos não o reconheceram imediatamente (</w:t>
      </w:r>
      <w:hyperlink r:id="rId11814">
        <w:r>
          <w:rPr>
            <w:color w:val="0000EE"/>
            <w:u w:val="single"/>
          </w:rPr>
          <w:t>João 20.15</w:t>
        </w:r>
      </w:hyperlink>
      <w:r>
        <w:t>–</w:t>
      </w:r>
      <w:hyperlink r:id="rId11814">
        <w:r>
          <w:rPr>
            <w:color w:val="0000EE"/>
            <w:u w:val="single"/>
          </w:rPr>
          <w:t>16</w:t>
        </w:r>
      </w:hyperlink>
      <w:r>
        <w:t xml:space="preserve">). Os discípulos eventualmente foram capazes de reconhecer Jesus ressuscitado como o homem que haviam conhecido antes. Suas aparições eram ocasiões de alegria e instrução (compare </w:t>
      </w:r>
      <w:hyperlink r:id="rId3762">
        <w:r>
          <w:rPr>
            <w:color w:val="0000EE"/>
            <w:u w:val="single"/>
          </w:rPr>
          <w:t>Lucas 24.44</w:t>
        </w:r>
      </w:hyperlink>
      <w:r>
        <w:t xml:space="preserve"> e </w:t>
      </w:r>
      <w:hyperlink r:id="rId6259">
        <w:r>
          <w:rPr>
            <w:color w:val="0000EE"/>
            <w:u w:val="single"/>
          </w:rPr>
          <w:t>Atos 1.3</w:t>
        </w:r>
      </w:hyperlink>
      <w:r>
        <w:t>). A ressurreição, de fato, havia transformado a crucificação de uma tragédia para um triunfo. Quarenta dias após sua ressurreição, Jesus subiu ao céu para se juntar a seu Pai em glória (</w:t>
      </w:r>
      <w:hyperlink r:id="rId11815">
        <w:r>
          <w:rPr>
            <w:color w:val="0000EE"/>
            <w:u w:val="single"/>
          </w:rPr>
          <w:t>Lucas 24.51</w:t>
        </w:r>
      </w:hyperlink>
      <w:r>
        <w:t xml:space="preserve">; </w:t>
      </w:r>
      <w:hyperlink r:id="rId2663">
        <w:r>
          <w:rPr>
            <w:color w:val="0000EE"/>
            <w:u w:val="single"/>
          </w:rPr>
          <w:t>João 20.17</w:t>
        </w:r>
      </w:hyperlink>
      <w:r>
        <w:t xml:space="preserve">; </w:t>
      </w:r>
      <w:hyperlink r:id="rId2659">
        <w:r>
          <w:rPr>
            <w:color w:val="0000EE"/>
            <w:u w:val="single"/>
          </w:rPr>
          <w:t>Atos 1.9</w:t>
        </w:r>
      </w:hyperlink>
      <w:r>
        <w:t>–</w:t>
      </w:r>
      <w:hyperlink r:id="rId2659">
        <w:r>
          <w:rPr>
            <w:color w:val="0000EE"/>
            <w:u w:val="single"/>
          </w:rPr>
          <w:t>11</w:t>
        </w:r>
      </w:hyperlink>
      <w:r>
        <w:t>).</w:t>
      </w:r>
      <w:r/>
      <w:r/>
    </w:p>
    <w:p>
      <w:r/>
    </w:p>
    <w:p>
      <w:pPr>
        <w:pStyle w:val="Heading2"/>
      </w:pPr>
      <w:r>
        <w:t>Jesus Cristo, Ensinamentos De</w:t>
      </w:r>
      <w:r/>
    </w:p>
    <w:p>
      <w:r/>
      <w:r>
        <w:t>Por causa da grande variedade de formas nas quais os ensinamentos de Jesus foram preservados, é difícil trazer a essência desse ensino de uma maneira sistemática. Jesus não nos apresentou um sistema teológico. Suas palavras eram essencialmente de intenção prática. No entanto, de toda a variedade de declarações, é possível extrair uma ideia clara do que Jesus pensava sobre várias questões importantes. Qual era seu ensino sobre Deus? O que ele pensava sobre si mesmo? O que ele quis dizer quando falou sobre o reino? O que seu ensino explica sobre o significado de sua morte? O que ele disse sobre o Espírito Santo? Como ele descreveu os seres humanos e suas necessidades? Ele antecipou a igreja cristã? Ele ensinou algo sobre o fim do mundo? Quais eram as principais características de seu ensino moral? As seções a seguir buscarão responder a essas perguntas importantes.</w:t>
      </w:r>
    </w:p>
    <w:p>
      <w:pPr>
        <w:pStyle w:val="Heading3"/>
      </w:pPr>
      <w:r>
        <w:t>Resumo</w:t>
      </w:r>
    </w:p>
    <w:p>
      <w:pPr>
        <w:pStyle w:val="ListBullet"/>
        <w:spacing w:line="240" w:lineRule="auto"/>
        <w:ind w:left="720"/>
      </w:pPr>
      <w:r/>
      <w:r>
        <w:t>Ensinamentos sobre Deus</w:t>
      </w:r>
    </w:p>
    <w:p>
      <w:pPr>
        <w:pStyle w:val="ListBullet"/>
        <w:spacing w:line="240" w:lineRule="auto"/>
        <w:ind w:left="720"/>
      </w:pPr>
      <w:r/>
      <w:r>
        <w:t>Ensinamentos sobre si mesmo</w:t>
      </w:r>
    </w:p>
    <w:p>
      <w:pPr>
        <w:pStyle w:val="ListBullet"/>
        <w:spacing w:line="240" w:lineRule="auto"/>
        <w:ind w:left="720"/>
      </w:pPr>
      <w:r/>
      <w:r>
        <w:t>Ensinamentos sobre o Reino de Deus</w:t>
      </w:r>
    </w:p>
    <w:p>
      <w:pPr>
        <w:pStyle w:val="ListBullet"/>
        <w:spacing w:line="240" w:lineRule="auto"/>
        <w:ind w:left="720"/>
      </w:pPr>
      <w:r/>
      <w:r>
        <w:t>Ensinamentos sobre sua própria morte</w:t>
      </w:r>
    </w:p>
    <w:p>
      <w:pPr>
        <w:pStyle w:val="ListBullet"/>
        <w:spacing w:line="240" w:lineRule="auto"/>
        <w:ind w:left="720"/>
      </w:pPr>
      <w:r/>
      <w:r>
        <w:t>Ensinamentos sobre o Espírito Santo</w:t>
      </w:r>
    </w:p>
    <w:p>
      <w:pPr>
        <w:pStyle w:val="ListBullet"/>
        <w:spacing w:line="240" w:lineRule="auto"/>
        <w:ind w:left="720"/>
      </w:pPr>
      <w:r/>
      <w:r>
        <w:t>Ensinamentos sobre a humanidade</w:t>
      </w:r>
    </w:p>
    <w:p>
      <w:pPr>
        <w:pStyle w:val="ListBullet"/>
        <w:spacing w:line="240" w:lineRule="auto"/>
        <w:ind w:left="720"/>
      </w:pPr>
      <w:r/>
      <w:r>
        <w:t>Ensinamentos sobre a Igreja</w:t>
      </w:r>
    </w:p>
    <w:p>
      <w:pPr>
        <w:pStyle w:val="ListBullet"/>
        <w:spacing w:line="240" w:lineRule="auto"/>
        <w:ind w:left="720"/>
      </w:pPr>
      <w:r/>
      <w:r>
        <w:t>Ensinamentos sobre o futuro</w:t>
      </w:r>
    </w:p>
    <w:p>
      <w:pPr>
        <w:pStyle w:val="ListBullet"/>
        <w:spacing w:line="240" w:lineRule="auto"/>
        <w:ind w:left="720"/>
      </w:pPr>
      <w:r/>
      <w:r>
        <w:t>Ensinamentos sobre questões morais</w:t>
      </w:r>
    </w:p>
    <w:p>
      <w:pPr>
        <w:pStyle w:val="Heading3"/>
      </w:pPr>
      <w:r>
        <w:t>Ensinamentos sobre Deus</w:t>
      </w:r>
    </w:p>
    <w:p>
      <w:r/>
      <w:r>
        <w:t>Qualquer um que encontre os ensinamentos de Jesus após ler o Antigo Testamento reconhecerá imediatamente que grande parte de seu ensino sobre Deus é o mesmo. Uma vez que Jesus, como todos os judeus ortodoxos de seus dias, aceitava o testemunho do Antigo Testamento como inspirado, não é surpreendente que sua abordagem de Deus fosse semelhante. Isso é especialmente verdadeiro em relação a sua convicção de que Deus era Criador. Ele ensinou um cuidado divino especial sobre a ordem criada e afirmou que Deus zelava por criaturas pequenas como o pardal (</w:t>
      </w:r>
      <w:hyperlink r:id="rId11816">
        <w:r>
          <w:rPr>
            <w:color w:val="0000EE"/>
            <w:u w:val="single"/>
          </w:rPr>
          <w:t>Mateus 10.29</w:t>
        </w:r>
      </w:hyperlink>
      <w:r>
        <w:t>). Não há apoio nos ensinamentos de Jesus para a visão de que Deus está desinteressado sobre mundo que ele fez.</w:t>
      </w:r>
    </w:p>
    <w:p>
      <w:r/>
      <w:r>
        <w:t>Um dos títulos mais característicos que Jesus usou para Deus foi Pai. Isso não era novo, porque a ideia ocorre no Antigo Testamento, onde Deus é descrito como Pai de seu povo Israel. Este tipo de paternidade era nacional em vez de pessoal. No período entre o Antigo e o Novo Testamento, os judeus vieram a considerar Deus como tão santo que ele foi removido do contato direto com os assuntos humanos. Tinha que haver mediadores entre Deus e as pessoas. Esta crença elevada sobre Deus não encorajava a ideia de Deus como Pai. É neste contexto que devemos interpretar o ensino único de Jesus da paternidade pessoal de Deus. Há algumas evidências no judaísmo de que a oração a Deus como “Pai Nosso” era conhecida, mas o que distingue os ensinamentos de Jesus dos de seus contemporâneos é que a paternidade de Deus era central para o que ele ensinava.</w:t>
      </w:r>
    </w:p>
    <w:p>
      <w:r/>
      <w:r>
        <w:t xml:space="preserve">A relação pai-filho é especialmente enfatizada no Evangelho de João, onde Jesus como Filho é visto em comunhão próxima com Deus como Pai. Isso fica fortemente evidente na oração de Jesus em </w:t>
      </w:r>
      <w:hyperlink r:id="rId9388">
        <w:r>
          <w:rPr>
            <w:color w:val="0000EE"/>
            <w:u w:val="single"/>
          </w:rPr>
          <w:t>João 17</w:t>
        </w:r>
      </w:hyperlink>
      <w:r>
        <w:t xml:space="preserve"> e nas frequentes afirmações de que o Pai havia enviado o Filho e que o Filho estava fazendo a vontade do Pai. É este forte relacionamento entre Deus e Jesus em termos de paternidade e filiação que levou Jesus a ensinar as pessoas a se aproximar de Deus da mesma maneira. A Oração do Senhor reconhece isso em suas palavras de abertura. É especialmente importante notar que a intimidade de “Pai Nosso” vem antes de “santificado seja o teu nome” (</w:t>
      </w:r>
      <w:hyperlink r:id="rId4765">
        <w:r>
          <w:rPr>
            <w:color w:val="0000EE"/>
            <w:u w:val="single"/>
          </w:rPr>
          <w:t>Mateus 6.9</w:t>
        </w:r>
      </w:hyperlink>
      <w:r>
        <w:t>). Jesus nunca ensinou as pessoas a se aproximar de Deus com terror.</w:t>
      </w:r>
    </w:p>
    <w:p>
      <w:r/>
      <w:r>
        <w:t>Embora haja uma conexão entre a maneira pela qual Jesus se dirigia a Deus como Pai e a maneira pela qual ele ensinou seus discípulos a se aproximar de Deus, também há uma distinção. Jesus falou de “Meu Pai e seu Pai” quando ele apareceu a Maria Madalena após sua ressurreição (</w:t>
      </w:r>
      <w:hyperlink r:id="rId2663">
        <w:r>
          <w:rPr>
            <w:color w:val="0000EE"/>
            <w:u w:val="single"/>
          </w:rPr>
          <w:t>João 20.17</w:t>
        </w:r>
      </w:hyperlink>
      <w:r>
        <w:t>), mas ele não disse “nosso Pai”. Sua filiação era única porque ele alegava que ele e o Pai eram um (</w:t>
      </w:r>
      <w:hyperlink r:id="rId11817">
        <w:r>
          <w:rPr>
            <w:color w:val="0000EE"/>
            <w:u w:val="single"/>
          </w:rPr>
          <w:t>João 10.30</w:t>
        </w:r>
      </w:hyperlink>
      <w:r>
        <w:t>).</w:t>
      </w:r>
    </w:p>
    <w:p>
      <w:r/>
      <w:r>
        <w:t>No Sermão do Monte, Jesus assegurou aos seus seguidores que seu Pai celestial conhece suas necessidades (</w:t>
      </w:r>
      <w:hyperlink r:id="rId11818">
        <w:r>
          <w:rPr>
            <w:color w:val="0000EE"/>
            <w:u w:val="single"/>
          </w:rPr>
          <w:t>Mateus 6.32</w:t>
        </w:r>
      </w:hyperlink>
      <w:r>
        <w:t xml:space="preserve">; </w:t>
      </w:r>
      <w:hyperlink r:id="rId11819">
        <w:r>
          <w:rPr>
            <w:color w:val="0000EE"/>
            <w:u w:val="single"/>
          </w:rPr>
          <w:t>Lucas 12.30</w:t>
        </w:r>
      </w:hyperlink>
      <w:r>
        <w:t>). Com base nesta fundação sólida, eles são encorajados a não ficarem ansiosos. Isso dá algumas informações sobre como os ensinamentos de Jesus sobre Deus têm uma relação com questões práticas.</w:t>
      </w:r>
    </w:p>
    <w:p>
      <w:pPr>
        <w:pStyle w:val="Heading3"/>
      </w:pPr>
      <w:r>
        <w:t>Ensinamentos sobre si mesmo</w:t>
      </w:r>
    </w:p>
    <w:p>
      <w:r/>
      <w:r>
        <w:t>O que Jesus disse sobre si mesmo é de grande importância porque isso, sem dúvida, formou a base do que a igreja primitiva veio a ensinar sobre ele.</w:t>
      </w:r>
    </w:p>
    <w:p>
      <w:r/>
      <w:r>
        <w:t>Jesus usou certos títulos para si mesmo ou os aceitou como descrições de si mesmo quando eles eram usados por outros. O mais amplamente usado é Filho do Homem. Este título foi usado por Jesus para se referir a si mesmo, mas não foi usado por ninguém mais. Também foi usado em vários tipos diferentes de declarações. Às vezes, as declarações relacionadas diretamente com o ministério público de Jesus, como a de que o Filho do Homem era Senhor do sábado (</w:t>
      </w:r>
      <w:hyperlink r:id="rId9416">
        <w:r>
          <w:rPr>
            <w:color w:val="0000EE"/>
            <w:u w:val="single"/>
          </w:rPr>
          <w:t>Marcos 2.28</w:t>
        </w:r>
      </w:hyperlink>
      <w:r>
        <w:t xml:space="preserve">), ou que o Filho do Homem tinha autoridade para perdoar pecados (versículo </w:t>
      </w:r>
      <w:hyperlink r:id="rId6398">
        <w:r>
          <w:rPr>
            <w:color w:val="0000EE"/>
            <w:u w:val="single"/>
          </w:rPr>
          <w:t>10</w:t>
        </w:r>
      </w:hyperlink>
      <w:r>
        <w:t>). Às vezes, as declarações tinham uma relação direta com seu sofrimento vindouro, como quando Jesus disse que o Filho do Homem deveria sofrer muitas coisas (</w:t>
      </w:r>
      <w:hyperlink r:id="rId6301">
        <w:r>
          <w:rPr>
            <w:color w:val="0000EE"/>
            <w:u w:val="single"/>
          </w:rPr>
          <w:t>Marcos 8.31</w:t>
        </w:r>
      </w:hyperlink>
      <w:r>
        <w:t xml:space="preserve">; observe que </w:t>
      </w:r>
      <w:hyperlink r:id="rId1386">
        <w:r>
          <w:rPr>
            <w:color w:val="0000EE"/>
            <w:u w:val="single"/>
          </w:rPr>
          <w:t>Mateus 16.21</w:t>
        </w:r>
      </w:hyperlink>
      <w:r>
        <w:t xml:space="preserve"> tem “ele” em vez de “Filho do Homem”). Em outras ocasiões, a referência é a uma aparição futura, como quando Jesus declarou ao sumo sacerdote que ele veria “o Filho do Homem sentado do lado direito do Deus Todo-Poderoso e descendo com as nuvens do céu!” (</w:t>
      </w:r>
      <w:hyperlink r:id="rId4778">
        <w:r>
          <w:rPr>
            <w:color w:val="0000EE"/>
            <w:u w:val="single"/>
          </w:rPr>
          <w:t>Marcos 14.62</w:t>
        </w:r>
      </w:hyperlink>
      <w:r>
        <w:t>). O que Jesus quis dizer com o título, e por que ele o usou?</w:t>
      </w:r>
    </w:p>
    <w:p>
      <w:r/>
      <w:r>
        <w:t xml:space="preserve">O título “Filho do Homem” havia sido usado antes. A frase ocorre no </w:t>
      </w:r>
      <w:hyperlink r:id="rId343">
        <w:r>
          <w:rPr>
            <w:color w:val="0000EE"/>
            <w:u w:val="single"/>
          </w:rPr>
          <w:t>Salmo 8.4</w:t>
        </w:r>
      </w:hyperlink>
      <w:r>
        <w:t xml:space="preserve">, onde se refere ao homem ou humanos. Novamente, a expressão é usada muitas vezes em Ezequiel como um modo de se dirigir ao profeta, mas aqui também significa homem. Um uso bastante diferente ocorre em </w:t>
      </w:r>
      <w:hyperlink r:id="rId6555">
        <w:r>
          <w:rPr>
            <w:color w:val="0000EE"/>
            <w:u w:val="single"/>
          </w:rPr>
          <w:t>Daniel 7.13</w:t>
        </w:r>
      </w:hyperlink>
      <w:r>
        <w:t xml:space="preserve">, onde alguém como um filho do homem vem com as nuvens diante do Ancião de Dias. Há uma forte semelhança entre esta passagem e as palavras de Jesus em </w:t>
      </w:r>
      <w:hyperlink r:id="rId4778">
        <w:r>
          <w:rPr>
            <w:color w:val="0000EE"/>
            <w:u w:val="single"/>
          </w:rPr>
          <w:t>Marcos 14.62</w:t>
        </w:r>
      </w:hyperlink>
      <w:r>
        <w:t>. Mas uma diferença importante é que, embora o Filho do Homem se torne um título em Marcos, não é assim em Daniel. Há algumas evidências para o título na literatura apocalíptica judaica [um estilo profético de escrita]. Por exemplo, o Livro de Parábolas de Enoque descreve um ser preexistente que virá para julgar e derrubar os inimigos de Deus. Parece evidente a partir disso que o uso de Jesus de Filho do Homem como um título seja único.</w:t>
      </w:r>
    </w:p>
    <w:p>
      <w:r/>
      <w:r>
        <w:t xml:space="preserve">As menções de Filho do Homem são distribuídas ao longo dos quatro evangelhos, e não há diferenças óbvias em seus usos. O que é à primeira vista impressionante é que, embora o título seja frequentemente usado por Jesus nos evangelhos, nunca se tornou um nome pelo qual Jesus era conhecido pelos primeiros cristãos. Na verdade, apenas em </w:t>
      </w:r>
      <w:hyperlink r:id="rId9411">
        <w:r>
          <w:rPr>
            <w:color w:val="0000EE"/>
            <w:u w:val="single"/>
          </w:rPr>
          <w:t>Atos 7.56</w:t>
        </w:r>
      </w:hyperlink>
      <w:r>
        <w:t xml:space="preserve"> o título aparece, neste caso usado por Estêvão. Portanto, fica claro que tinha um significado especial para Jesus que não tinha para os outros. Não há dúvida de que ele estava se referindo a si mesmo e não a outra pessoa, como mostra um estudo minucioso de todas as declarações do Filho do Homem. Aqueles que pensam que Jesus estava se referindo a alguém chegam a esta conclusão apenas após primeiro ignorar algumas das menções. A razão mais provável pela qual ele usou o título Filho do Homem foi porque ele queria evitar um termo como Messias, que carregava consigo muitas implicações políticas. Mas o que Filho do Homem queria dizer para Jesus? O termo é rico da ideia de humanidade, possivelmente alusões ao “filho do homem” de Daniel, e talvez a ideia do Servo Sofredor de </w:t>
      </w:r>
      <w:hyperlink r:id="rId3618">
        <w:r>
          <w:rPr>
            <w:color w:val="0000EE"/>
            <w:u w:val="single"/>
          </w:rPr>
          <w:t>Isaías 53</w:t>
        </w:r>
      </w:hyperlink>
      <w:r>
        <w:t>. É mais provável que Jesus tenha visto isso em termos de sua missão de uma maneira que seus ouvintes não poderiam apreciar completamente. Também é provável que a igreja primitiva preferisse Messias porque este título carregava o significado de um libertador real. Além disso, após a morte de Jesus, não haveria mais medo de mal-entendidos políticos.</w:t>
      </w:r>
    </w:p>
    <w:p>
      <w:r/>
      <w:r>
        <w:t>O termo Messias, ou Cristo, não pertence estritamente aos ensinamentos de Jesus, uma vez que ele mesmo nunca o usou. O exemplo mais impressionante em que ele aceitou ser chamado de Messias foi na confissão de Pedro em Cesareia de Filipe. Todos os Evangelhos Sinóticos registram a confissão “Você é o Cristo”, enquanto Mateus acrescenta o comentário significativo de Jesus de que carne e sangue não o haviam revelado, mas “meu Pai, que está no céu” (</w:t>
      </w:r>
      <w:hyperlink r:id="rId1435">
        <w:r>
          <w:rPr>
            <w:color w:val="0000EE"/>
            <w:u w:val="single"/>
          </w:rPr>
          <w:t>Mateus 16.17</w:t>
        </w:r>
      </w:hyperlink>
      <w:r>
        <w:t>). Ele certamente aceitou a confissão e a considerou como revelação de Deus. Um outro caso nos Sinóticos em que ele não refuta especificamente ser o Messias, ou Cristo, é sua resposta à pergunta do sumo sacerdote “Você é o Cristo?” (</w:t>
      </w:r>
      <w:hyperlink r:id="rId11820">
        <w:r>
          <w:rPr>
            <w:color w:val="0000EE"/>
            <w:u w:val="single"/>
          </w:rPr>
          <w:t>Marcos 14.61</w:t>
        </w:r>
      </w:hyperlink>
      <w:r>
        <w:t>).</w:t>
      </w:r>
    </w:p>
    <w:p>
      <w:r/>
      <w:r>
        <w:t>No Evangelho de João, André diz a Pedro que ele havia encontrado o Messias (</w:t>
      </w:r>
      <w:hyperlink r:id="rId6101">
        <w:r>
          <w:rPr>
            <w:color w:val="0000EE"/>
            <w:u w:val="single"/>
          </w:rPr>
          <w:t>João 1.41</w:t>
        </w:r>
      </w:hyperlink>
      <w:r>
        <w:t>). A mulher em Samaria fala com Jesus, e ele revela que é o Messias (</w:t>
      </w:r>
      <w:hyperlink r:id="rId11821">
        <w:r>
          <w:rPr>
            <w:color w:val="0000EE"/>
            <w:u w:val="single"/>
          </w:rPr>
          <w:t>4.25–26</w:t>
        </w:r>
      </w:hyperlink>
      <w:r>
        <w:t>). Havia uma expectativa generalizada entre os judeus de que um libertador viria para derrubar seus inimigos políticos, os romanos. Havia várias ideias sobre sua origem (um líder militar ou um guerreiro celestial) e seus métodos (os zelotes acreditavam que a libertação só poderia vir através de revolução armada). É fácil entender por que Jesus era reservado sobre discorrer abertamente sobre seu papel como o Messias.</w:t>
      </w:r>
    </w:p>
    <w:p>
      <w:r/>
      <w:r>
        <w:t xml:space="preserve">Outro título de maior importância é Filho de Deus, embora ocorra principalmente no Evangelho de João. Que tanto Marcos quanto João consideravam Jesus desta maneira fica claro a partir de declarações explícitas em seus evangelhos (compare </w:t>
      </w:r>
      <w:hyperlink r:id="rId6102">
        <w:r>
          <w:rPr>
            <w:color w:val="0000EE"/>
            <w:u w:val="single"/>
          </w:rPr>
          <w:t>Marcos 1.1</w:t>
        </w:r>
      </w:hyperlink>
      <w:r>
        <w:t xml:space="preserve">; </w:t>
      </w:r>
      <w:hyperlink r:id="rId11822">
        <w:r>
          <w:rPr>
            <w:color w:val="0000EE"/>
            <w:u w:val="single"/>
          </w:rPr>
          <w:t>João 20.30–31</w:t>
        </w:r>
      </w:hyperlink>
      <w:r>
        <w:t xml:space="preserve">). Certamente há passagens onde o Messias está ligado com o Filho de Deus, e onde Jesus não rejeita nenhum dos títulos (compare </w:t>
      </w:r>
      <w:hyperlink r:id="rId3704">
        <w:r>
          <w:rPr>
            <w:color w:val="0000EE"/>
            <w:u w:val="single"/>
          </w:rPr>
          <w:t>Mateus 16.16</w:t>
        </w:r>
      </w:hyperlink>
      <w:r>
        <w:t xml:space="preserve">). Mas nos ensinamentos de Jesus, uma passagem deixa abundantemente claro o relacionamento especial que Jesus tinha com Deus como Filho — ou seja, </w:t>
      </w:r>
      <w:hyperlink r:id="rId11823">
        <w:r>
          <w:rPr>
            <w:color w:val="0000EE"/>
            <w:u w:val="single"/>
          </w:rPr>
          <w:t>Mateus 11.27</w:t>
        </w:r>
      </w:hyperlink>
      <w:r>
        <w:t xml:space="preserve"> (também </w:t>
      </w:r>
      <w:hyperlink r:id="rId11824">
        <w:r>
          <w:rPr>
            <w:color w:val="0000EE"/>
            <w:u w:val="single"/>
          </w:rPr>
          <w:t>Lucas 10.22</w:t>
        </w:r>
      </w:hyperlink>
      <w:r>
        <w:t>, uma passagem paralela que descreve o mesmo evento), onde Jesus implica que ele é o Filho do Pai.</w:t>
      </w:r>
    </w:p>
    <w:p>
      <w:r/>
      <w:r>
        <w:t>No entanto, muitas passagens semelhantes no Evangelho de João são mais explícitas. O Filho é inquestionavelmente preexistente porque ele sabe que ele veio do Pai e retorna para o Pai. Não é possível, das muitas referências à filiação no Evangelho de João, chegar a qualquer outra conclusão que não seja a de que Jesus se considerava divino. É especialmente importante notar que também é no Evangelho de João que Jesus é retratado mais claramente em sua natureza humana com suas fraquezas que acompanham. Em nenhum lugar nos ensinamentos de Jesus, ele explicou como Deus poderia se tornar homem, mas ele assumiu isso como um fato. Ele ensinava com a autoridade de Deus.</w:t>
      </w:r>
    </w:p>
    <w:p>
      <w:pPr>
        <w:pStyle w:val="Heading3"/>
      </w:pPr>
      <w:r>
        <w:t>Ensinamentos sobre o Reino de Deus</w:t>
      </w:r>
    </w:p>
    <w:p>
      <w:r/>
      <w:r>
        <w:t>Ninguém pode ler os Evangelhos Sinóticos sem ficar impressionado com a frequência com que a expressão “reino de Deus” (ou do céu) ocorre. Este era claramente um tema importante em todo o ensino de Jesus. É menos evidente no Evangelho de João, mas ainda está presente. Muitas das parábolas de Jesus são especificamente chamadas de parábolas do reino. O conceito de Jesus do reino forneceu uma ideia fundamental para o evangelho cristão.</w:t>
      </w:r>
    </w:p>
    <w:p>
      <w:r/>
      <w:r>
        <w:t>A ideia principal é o governo de Deus sobre as pessoas, em vez de um reino que pertence a Deus. Em outras palavras, a ênfase está no reinado ativo do Rei. Isso é importante porque significa que o reino é profundamente afetado pelos relacionamentos entre os membros e o Rei. Também significa que o reino não será manifesto em termos institucionais.</w:t>
      </w:r>
    </w:p>
    <w:p>
      <w:r/>
      <w:r>
        <w:t>Há um problema com os ensinamentos do reino que devem ser enfrentados: seu tempo. Algumas declarações implicam que ele já está presente, enquanto outras sugerem que o reino não virá até o futuro. Alguns estudiosos rejeitam a ideia de que presente e futuro podem ser considerados juntamente. Portanto, eles rejeitam um e se concentram no outro. Aqueles que mantêm uma compreensão presente do reino desenvolveram a ideia de um evangelho social [que aborda problemas sociais como pobreza e injustiça], uma vez que o cristianismo foi definido como o estabelecimento do reino de Deus na terra. De acordo com [alguns que afirmam] esta visão, não há lugar para uma futura chegada do reino. Por outro lado, alguns negaram completamente o aspecto presente e se concentraram no futuro. Neste caso, é difícil ver em que sentido os ensinamentos do reino são relevantes.</w:t>
      </w:r>
    </w:p>
    <w:p>
      <w:r/>
      <w:r>
        <w:t>No entanto, outros insistiram que, uma vez que tanto os aspectos presentes quanto os futuros são encontrados nos registros do evangelho, nenhuma explicação é suficiente para negar um em detrimento do outro. Uma possível solução é considerar os aspectos presentes como se aplicando a esta era, mas como não alcançando seu cumprimento até o futuro estabelecimento do reino. Uma solução semelhante, expressa de forma diferente, é manter que a realidade é um reino futuro, mas que se estendeu até o presente. Jesus incluiu intencionalmente tanto os aspectos presentes quanto os futuros.</w:t>
      </w:r>
    </w:p>
    <w:p>
      <w:r/>
      <w:r>
        <w:t xml:space="preserve">Que o reino era um tema de interesse comum fica claro em </w:t>
      </w:r>
      <w:hyperlink r:id="rId8392">
        <w:r>
          <w:rPr>
            <w:color w:val="0000EE"/>
            <w:u w:val="single"/>
          </w:rPr>
          <w:t>Lucas 17.20–21</w:t>
        </w:r>
      </w:hyperlink>
      <w:r>
        <w:t>, onde os fariseus perguntaram a Jesus quando chegaria. Sua resposta, que o reino estava entre eles, mostra inequivocamente uma ideia presente. Isso é igualmente verdadeiro na declaração de que no exorcismo dos espíritos malignos, o reino havia chegado (</w:t>
      </w:r>
      <w:hyperlink r:id="rId11825">
        <w:r>
          <w:rPr>
            <w:color w:val="0000EE"/>
            <w:u w:val="single"/>
          </w:rPr>
          <w:t>Mateus 12.28</w:t>
        </w:r>
      </w:hyperlink>
      <w:r>
        <w:t xml:space="preserve">; </w:t>
      </w:r>
      <w:hyperlink r:id="rId11826">
        <w:r>
          <w:rPr>
            <w:color w:val="0000EE"/>
            <w:u w:val="single"/>
          </w:rPr>
          <w:t>Lucas 11.20</w:t>
        </w:r>
      </w:hyperlink>
      <w:r>
        <w:t>). Além disso, Jesus mencionou que o reino tem avançado com força (</w:t>
      </w:r>
      <w:hyperlink r:id="rId11827">
        <w:r>
          <w:rPr>
            <w:color w:val="0000EE"/>
            <w:u w:val="single"/>
          </w:rPr>
          <w:t>Mateus 11.12</w:t>
        </w:r>
      </w:hyperlink>
      <w:r>
        <w:t>). Ao avançar à força, ele não quis dizer com métodos revolucionários, embora ele claramente tenha implícito que algo dinâmico já estava acontecendo. Esta ideia de poder dinâmico é uma das características mais características do reino. Jesus falou sobre amarrar o homem forte e bem armado (</w:t>
      </w:r>
      <w:hyperlink r:id="rId11828">
        <w:r>
          <w:rPr>
            <w:color w:val="0000EE"/>
            <w:u w:val="single"/>
          </w:rPr>
          <w:t>Lucas 11.21–22</w:t>
        </w:r>
      </w:hyperlink>
      <w:r>
        <w:t>). Isso mostra que em seu ministério, ele esperava dar uma demonstração poderosa contra as forças das trevas [espíritos que fazem coisas malignas].</w:t>
      </w:r>
    </w:p>
    <w:p>
      <w:r/>
      <w:r>
        <w:t>É evidente que o reino que Jesus proclamou era um reino em que Deus era supremo. Este estava inseparavelmente ligado com sua missão redentora, na qual Deus estava trazendo libertação espiritual para seu povo. Além disso, os ensinamentos de Jesus sobre o reino não podem ser considerados isoladamente. Eles fazem parte da mensagem total. Nenhuma parte dessa mensagem pode ser separada de qualquer outra sem distorcer o todo.</w:t>
      </w:r>
    </w:p>
    <w:p>
      <w:r/>
      <w:r>
        <w:t>Os ensinamentos mais claros sobre o aspecto futuro do reino podem ser encontrados em algumas das parábolas (</w:t>
      </w:r>
      <w:hyperlink r:id="rId11744">
        <w:r>
          <w:rPr>
            <w:color w:val="0000EE"/>
            <w:u w:val="single"/>
          </w:rPr>
          <w:t>Mateus 13</w:t>
        </w:r>
      </w:hyperlink>
      <w:r>
        <w:t>) e no sermão sobre o Monte das Oliveiras (</w:t>
      </w:r>
      <w:hyperlink r:id="rId2030">
        <w:r>
          <w:rPr>
            <w:color w:val="0000EE"/>
            <w:u w:val="single"/>
          </w:rPr>
          <w:t>Mateus 24–25</w:t>
        </w:r>
      </w:hyperlink>
      <w:r>
        <w:t xml:space="preserve">; </w:t>
      </w:r>
      <w:hyperlink r:id="rId2031">
        <w:r>
          <w:rPr>
            <w:color w:val="0000EE"/>
            <w:u w:val="single"/>
          </w:rPr>
          <w:t>Marcos 13</w:t>
        </w:r>
      </w:hyperlink>
      <w:r>
        <w:t xml:space="preserve">; </w:t>
      </w:r>
      <w:hyperlink r:id="rId2032">
        <w:r>
          <w:rPr>
            <w:color w:val="0000EE"/>
            <w:u w:val="single"/>
          </w:rPr>
          <w:t>Lucas 21</w:t>
        </w:r>
      </w:hyperlink>
      <w:r>
        <w:t>). Neste último, Jesus falou do futuro usando imagens da literatura judaica, como as referências a nuvens, à glória e aos anjos em relação à vinda do Filho do Homem (</w:t>
      </w:r>
      <w:hyperlink r:id="rId11829">
        <w:r>
          <w:rPr>
            <w:color w:val="0000EE"/>
            <w:u w:val="single"/>
          </w:rPr>
          <w:t>Marcos 13.26–27</w:t>
        </w:r>
      </w:hyperlink>
      <w:r>
        <w:t>). No relato de Mateus, há referência ao soar de uma trombeta, outra característica familiar (</w:t>
      </w:r>
      <w:hyperlink r:id="rId11830">
        <w:r>
          <w:rPr>
            <w:color w:val="0000EE"/>
            <w:u w:val="single"/>
          </w:rPr>
          <w:t>Mateus 24.31</w:t>
        </w:r>
      </w:hyperlink>
      <w:r>
        <w:t>).</w:t>
      </w:r>
    </w:p>
    <w:p>
      <w:r/>
      <w:r>
        <w:t>Várias características das parábolas do reino dão a ideia mais clara da natureza do reino. A participação no reino não é considerada universal, porque na parábola do semeador (Mateus 13.1–9; Marcos 4.1–9; Lucas 8.4–8) nem todos os solos são produtivos. A mesma separação é vista na parábola do joio (Mateus 13.24–30) e na parábola da rede (Mateus 13.47–52). As ervas daninhas são destruídas e apenas o trigo é colhido, enquanto os peixes ruins são jogados fora. Os membros do reino são aqueles que ouvem e entendem a palavra do reino (</w:t>
      </w:r>
      <w:hyperlink r:id="rId11831">
        <w:r>
          <w:rPr>
            <w:color w:val="0000EE"/>
            <w:u w:val="single"/>
          </w:rPr>
          <w:t>Mateus 13.23</w:t>
        </w:r>
      </w:hyperlink>
      <w:r>
        <w:t>). Portanto, está claro que uma resposta é necessária para desfrutar dos benefícios do reino.</w:t>
      </w:r>
    </w:p>
    <w:p>
      <w:r/>
      <w:r>
        <w:t>Há uma ênfase no crescimento na parábola do grão de mostarda (Mateus 13.31–32; Marcos 4.30–34; Lucas 13.18–19), onde o rápido desenvolvimento ocorre de pequenos começos. As parábolas do tesouro e da pérola (Mateus 13.44–46) destinam-se a enfatizar o valor do reino. O caráter universal do reino fica nitidamente evidente na parábola dos arrendatários ímpios (Mateus 21.33–44; Marcos 12.1–12; Lucas 20.9–18), onde o reino é dito como sendo tirado dos judeus e dado a outra “nação”, presumivelmente uma alusão aos gentios (</w:t>
      </w:r>
      <w:hyperlink r:id="rId1395">
        <w:r>
          <w:rPr>
            <w:color w:val="0000EE"/>
            <w:u w:val="single"/>
          </w:rPr>
          <w:t>Mateus 21.43</w:t>
        </w:r>
      </w:hyperlink>
      <w:r>
        <w:t>). Isso está de acordo com a Grande Comissão que Jesus deu aos seus discípulos para pregar a todas as nações (</w:t>
      </w:r>
      <w:hyperlink r:id="rId3199">
        <w:r>
          <w:rPr>
            <w:color w:val="0000EE"/>
            <w:u w:val="single"/>
          </w:rPr>
          <w:t>28.19</w:t>
        </w:r>
      </w:hyperlink>
      <w:r>
        <w:t>). Um reino universal certamente seria inteiramente diferente da ideia do reino messiânico do judaísmo, na qual Israel deveria ser a unidade central. Não é fácil apreciar como revolucionária a ideia de um reino mundial com gentios e judeus em pé de igualdade.</w:t>
      </w:r>
    </w:p>
    <w:p>
      <w:pPr>
        <w:pStyle w:val="Heading3"/>
      </w:pPr>
      <w:r>
        <w:t>Ensinamentos sobre sua própria morte</w:t>
      </w:r>
    </w:p>
    <w:p>
      <w:r/>
      <w:r>
        <w:t>O anúncio do reino deve estar ligado com a abordagem de Jesus quanto sua própria morte, que ele viu como uma parte essencial de sua missão. Alguns estudiosos alegaram que Jesus considerava seu ministério como tendo sido um fracasso, mas isso não é apoiado nem mesmo por uma leitura rápida dos evangelhos. Além disso, Jesus deu uma série de indicações que, quando consideradas em conjunto, nos fornecem o significado que Jesus atribuiu à sua morte dentro de toda a extensão de sua missão.</w:t>
      </w:r>
    </w:p>
    <w:p>
      <w:r/>
      <w:r>
        <w:t xml:space="preserve">É importante notar que muitas vezes Jesus mostrou sua consciência de que os detalhes de sua vida eram um cumprimento das Escrituras (compare </w:t>
      </w:r>
      <w:hyperlink r:id="rId11832">
        <w:r>
          <w:rPr>
            <w:color w:val="0000EE"/>
            <w:u w:val="single"/>
          </w:rPr>
          <w:t>Mateus 26.24,56</w:t>
        </w:r>
      </w:hyperlink>
      <w:r>
        <w:t xml:space="preserve">; </w:t>
      </w:r>
      <w:hyperlink r:id="rId9428">
        <w:r>
          <w:rPr>
            <w:color w:val="0000EE"/>
            <w:u w:val="single"/>
          </w:rPr>
          <w:t>Marcos 9.12</w:t>
        </w:r>
      </w:hyperlink>
      <w:r>
        <w:t xml:space="preserve">; </w:t>
      </w:r>
      <w:hyperlink r:id="rId11833">
        <w:r>
          <w:rPr>
            <w:color w:val="0000EE"/>
            <w:u w:val="single"/>
          </w:rPr>
          <w:t>Lucas 18.31</w:t>
        </w:r>
      </w:hyperlink>
      <w:r>
        <w:t xml:space="preserve">; </w:t>
      </w:r>
      <w:hyperlink r:id="rId11834">
        <w:r>
          <w:rPr>
            <w:color w:val="0000EE"/>
            <w:u w:val="single"/>
          </w:rPr>
          <w:t>24.25–27,44–45</w:t>
        </w:r>
      </w:hyperlink>
      <w:r>
        <w:t>). Em todos os casos citados, o sofrimento de Jesus é referido como o assunto das profecias do Antigo Testamento. Isso deve significar que ele havia refletido sobre as previsões do Antigo Testamento e reconheceu que elas poderiam ser realizadas apenas através de seus próprios sofrimentos. Neste caso, Jesus estava completamente ciente de que ele sofreria para realizar sua própria missão.</w:t>
      </w:r>
    </w:p>
    <w:p>
      <w:r/>
      <w:r>
        <w:t>Esta ênfase no cumprimento das Escrituras também é vista no Evangelho de João. Sua declaração de que o Filho do Homem deveria ser levantado, mesmo quando Moisés havia a serpente (</w:t>
      </w:r>
      <w:hyperlink r:id="rId5090">
        <w:r>
          <w:rPr>
            <w:color w:val="0000EE"/>
            <w:u w:val="single"/>
          </w:rPr>
          <w:t>João 3.14</w:t>
        </w:r>
      </w:hyperlink>
      <w:r>
        <w:t>) ilustra este ponto. A maioria das passagens onde o cumprimento das Escrituras é mencionado são os comentários do evangelista, João. Mas não pode haver dúvida de que o motivo do cumprimento desempenhou um papel vital tanto na compreensão de Jesus de sua missão quanto na compreensão dos primeiros cristãos de sua morte. Nesta conexão, alguns sustentam que João coloca mais ênfase na encarnação como um meio de salvação na medida em que ele a vê como uma iluminação da mente. Mas isso é apenas parte da verdade porque há mais sobre o significado da morte de Jesus no Evangelho de João do que nos outros.</w:t>
      </w:r>
    </w:p>
    <w:p>
      <w:r/>
      <w:r>
        <w:t xml:space="preserve">Os evangelhos enfatizam a necessidade divina da morte de Jesus. Além do motivo de cumprimento, a ideia de necessidade é forte na primeira previsão de Jesus de sua morte que se aproximava. No Evangelho de João, Jesus fala de sua “hora” várias vezes nos estágios iniciais de seu ministério como “ainda não”, mas nos estágios posteriores como tendo chegado. Há um senso de movimento definido em direção a um clímax, a hora, sem dúvida, sendo a hora de seu sofrimento (compare </w:t>
      </w:r>
      <w:hyperlink r:id="rId11835">
        <w:r>
          <w:rPr>
            <w:color w:val="0000EE"/>
            <w:u w:val="single"/>
          </w:rPr>
          <w:t>João 17.1</w:t>
        </w:r>
      </w:hyperlink>
      <w:r>
        <w:t>). Não há espaço para qualquer desilusão aqui. Jesus sabia que apenas durante a hora da morte o Pai poderia ser glorificado. O clímax estava de acordo com um plano ordenado.</w:t>
      </w:r>
    </w:p>
    <w:p>
      <w:r/>
      <w:r>
        <w:t>Jesus evidentemente considerava sua morte como, de algumas maneiras, um sacrifício. A indicação mais clara disso está nas palavras de instituição na Última Ceia. O cálice está conectado com o sangue da nova aliança, que é dito ser para o “perdão dos pecados” (</w:t>
      </w:r>
      <w:hyperlink r:id="rId11836">
        <w:r>
          <w:rPr>
            <w:color w:val="0000EE"/>
            <w:u w:val="single"/>
          </w:rPr>
          <w:t>Mateus 26.26–28</w:t>
        </w:r>
      </w:hyperlink>
      <w:r>
        <w:t xml:space="preserve">). Nenhuma explicação é dada sobre a maneira pela qual a morte que estava por vir, significada pelo pão partido e pelo vinho servido, traria o perdão dos pecados. Mas a compreensão imediata pela igreja primitiva de que Cristo morreu por nossos pecados (compare </w:t>
      </w:r>
      <w:hyperlink r:id="rId7276">
        <w:r>
          <w:rPr>
            <w:color w:val="0000EE"/>
            <w:u w:val="single"/>
          </w:rPr>
          <w:t>1 Coríntios 15.3</w:t>
        </w:r>
      </w:hyperlink>
      <w:r>
        <w:t xml:space="preserve">) mostra que eles claramente entenderam a importância do que Jesus disse. A ideia da nova aliança é paralela à antiga aliança, que de acordo com </w:t>
      </w:r>
      <w:hyperlink r:id="rId5289">
        <w:r>
          <w:rPr>
            <w:color w:val="0000EE"/>
            <w:u w:val="single"/>
          </w:rPr>
          <w:t>Êxodo 24</w:t>
        </w:r>
      </w:hyperlink>
      <w:r>
        <w:t xml:space="preserve"> foi selada com sangue sacrificial. Pode haver pouca dúvida de que Jesus tinha isso em mente quando ele falou sobre a nova aliança. Também era semelhante às ideias expressas em </w:t>
      </w:r>
      <w:hyperlink r:id="rId11837">
        <w:r>
          <w:rPr>
            <w:color w:val="0000EE"/>
            <w:u w:val="single"/>
          </w:rPr>
          <w:t>Jeremias 31</w:t>
        </w:r>
      </w:hyperlink>
      <w:r>
        <w:t>, referindo-se a uma aliança escrita no coração [o centro emocional do ser] em vez de gravada em pedra [como nos Dez Mandamentos].</w:t>
      </w:r>
    </w:p>
    <w:p>
      <w:r/>
      <w:r>
        <w:t xml:space="preserve">Outro aspecto da morte de Cristo visto especialmente no Evangelho de João é o sentido de conclusão juntamente com ela. Na oração de Jesus em </w:t>
      </w:r>
      <w:hyperlink r:id="rId9388">
        <w:r>
          <w:rPr>
            <w:color w:val="0000EE"/>
            <w:u w:val="single"/>
          </w:rPr>
          <w:t>João 17</w:t>
        </w:r>
      </w:hyperlink>
      <w:r>
        <w:t>, quando ele enfrenta a cruz, ele declara que terminou a obra que o Pai lhe havia dado para fazer (</w:t>
      </w:r>
      <w:hyperlink r:id="rId9134">
        <w:r>
          <w:rPr>
            <w:color w:val="0000EE"/>
            <w:u w:val="single"/>
          </w:rPr>
          <w:t>João 17.4</w:t>
        </w:r>
      </w:hyperlink>
      <w:r>
        <w:t>). Isso é reforçado pelo brado na cruz: “Está consumado”, que apenas João registra (</w:t>
      </w:r>
      <w:hyperlink r:id="rId8461">
        <w:r>
          <w:rPr>
            <w:color w:val="0000EE"/>
            <w:u w:val="single"/>
          </w:rPr>
          <w:t>19.30</w:t>
        </w:r>
      </w:hyperlink>
      <w:r>
        <w:t>). Este senso de cumprimento dá um senso de triunfo ao que poderia de outra forma ter sido considerado um desastre.</w:t>
      </w:r>
    </w:p>
    <w:p>
      <w:pPr>
        <w:pStyle w:val="Heading3"/>
      </w:pPr>
      <w:r>
        <w:t>Ensinamentos sobre o Espírito Santo</w:t>
      </w:r>
    </w:p>
    <w:p>
      <w:r/>
      <w:r>
        <w:t>Em vários dos principais eventos na vida de Jesus, os evangelistas observam a atividade do Espírito (por exemplo, o nascimento virginal, o batismo, a tentação). Portanto, é de se esperar que Jesus tivesse instruído seus discípulos sobre o Espírito Santo. No entanto, há surpreendentemente pouco nos Evangelhos Sinóticos sobre este tema. A maioria dos ensinamentos vem do Evangelho de João.</w:t>
      </w:r>
    </w:p>
    <w:p>
      <w:r/>
      <w:r>
        <w:t xml:space="preserve">De acordo com Lucas, quando Jesus começou seu ministério de pregação em Nazaré, ele leu a declaração em </w:t>
      </w:r>
      <w:hyperlink r:id="rId6412">
        <w:r>
          <w:rPr>
            <w:color w:val="0000EE"/>
            <w:u w:val="single"/>
          </w:rPr>
          <w:t>Isaías 61.1–2</w:t>
        </w:r>
      </w:hyperlink>
      <w:r>
        <w:t xml:space="preserve"> sobre o Espírito de Deus e a aplicou a si mesmo. Ele viu seu ministério como sendo inaugurado pelo Espírito Santo. Isso se torna claro na maneira como ele respondeu à sentença de que ele expulsou demônios por meio de Belzebu, príncipe dos demônios. Ele identificou a realidade da vinda do reino de Deus pelo fato de que ele estava expulsando espíritos malignos pelo Espírito de Deus (</w:t>
      </w:r>
      <w:hyperlink r:id="rId11825">
        <w:r>
          <w:rPr>
            <w:color w:val="0000EE"/>
            <w:u w:val="single"/>
          </w:rPr>
          <w:t>Mateus 12.28</w:t>
        </w:r>
      </w:hyperlink>
      <w:r>
        <w:t>). Além disso, ele era sensível à gravidade de blasfemar contra o Espírito, o que ele implica que seus agressores estavam em perigo de fazer. O que quer que ele fizesse em seu ministério, ele via como uma atividade do Espírito Santo, e isso foi especialmente assim no conflito com espíritos malignos.</w:t>
      </w:r>
    </w:p>
    <w:p>
      <w:r/>
      <w:r>
        <w:t>Ao advertir seus discípulos de que eles encontrariam oposição, Jesus os assegurou do apoio do Espírito Santo quando eles fossem forçados a comparecer diante de reis ou governadores (</w:t>
      </w:r>
      <w:hyperlink r:id="rId11838">
        <w:r>
          <w:rPr>
            <w:color w:val="0000EE"/>
            <w:u w:val="single"/>
          </w:rPr>
          <w:t>Mateus 10.19–20</w:t>
        </w:r>
      </w:hyperlink>
      <w:r>
        <w:t xml:space="preserve">; </w:t>
      </w:r>
      <w:hyperlink r:id="rId11839">
        <w:r>
          <w:rPr>
            <w:color w:val="0000EE"/>
            <w:u w:val="single"/>
          </w:rPr>
          <w:t>Marcos 13.11</w:t>
        </w:r>
      </w:hyperlink>
      <w:r>
        <w:t>). De fato, ele lhes disse que o Espírito Santo falaria através deles. Isso enfatiza que ele esperava uma continuação da atividade do Espírito Santo no futuro. Lucas registra um exemplo em que Jesus comenta o que os pais farão por seus filhos e pergunta se Deus não dará o Espírito Santo àqueles que pedirem (</w:t>
      </w:r>
      <w:hyperlink r:id="rId11840">
        <w:r>
          <w:rPr>
            <w:color w:val="0000EE"/>
            <w:u w:val="single"/>
          </w:rPr>
          <w:t>Lucas 11.13</w:t>
        </w:r>
      </w:hyperlink>
      <w:r>
        <w:t xml:space="preserve">). A conclusão é que Deus considera o Espírito Santo como o melhor presente para dar aos seus filhos. Em ainda outra ocasião, Jesus reconheceu que Davi foi inspirado pelo Espírito Santo quando ele escreveu o </w:t>
      </w:r>
      <w:hyperlink r:id="rId10273">
        <w:r>
          <w:rPr>
            <w:color w:val="0000EE"/>
            <w:u w:val="single"/>
          </w:rPr>
          <w:t>Salmo 110</w:t>
        </w:r>
      </w:hyperlink>
      <w:r>
        <w:t xml:space="preserve"> (</w:t>
      </w:r>
      <w:hyperlink r:id="rId8386">
        <w:r>
          <w:rPr>
            <w:color w:val="0000EE"/>
            <w:u w:val="single"/>
          </w:rPr>
          <w:t>Marcos 12.36</w:t>
        </w:r>
      </w:hyperlink>
      <w:r>
        <w:t>). Isso reflete a crença de Jesus no papel ativo do Espírito Santo na produção das Escrituras.</w:t>
      </w:r>
    </w:p>
    <w:p>
      <w:r/>
      <w:r>
        <w:t>O Evangelho de João fornece um desenvolvimento mais detalhado do que Jesus ensinou sobre o Espírito Santo. Os ensinamentos sobre o Espírito Santo estão geralmente ligados aos ensinamentos de Jesus sobre dar vida eterna àqueles que acreditam nele e o recebem. Ao mesmo tempo, ele falou do novo nascimento e vida eterna para Nicodemos, Jesus também falou do Espírito Santo (</w:t>
      </w:r>
      <w:hyperlink r:id="rId8426">
        <w:r>
          <w:rPr>
            <w:color w:val="0000EE"/>
            <w:u w:val="single"/>
          </w:rPr>
          <w:t>João 3.3–8,15–16</w:t>
        </w:r>
      </w:hyperlink>
      <w:r>
        <w:t>). Quando ele falou sobre a água da vida à mulher samaritana, ele também falou do Espírito Santo (</w:t>
      </w:r>
      <w:hyperlink r:id="rId602">
        <w:r>
          <w:rPr>
            <w:color w:val="0000EE"/>
            <w:u w:val="single"/>
          </w:rPr>
          <w:t>4.14,23–24</w:t>
        </w:r>
      </w:hyperlink>
      <w:r>
        <w:t>). O mesmo é verdadeiro para os discursos sobre o pão da vida (</w:t>
      </w:r>
      <w:hyperlink r:id="rId11841">
        <w:r>
          <w:rPr>
            <w:color w:val="0000EE"/>
            <w:u w:val="single"/>
          </w:rPr>
          <w:t>6.48–63</w:t>
        </w:r>
      </w:hyperlink>
      <w:r>
        <w:t>) e os rios de água viva (</w:t>
      </w:r>
      <w:hyperlink r:id="rId8428">
        <w:r>
          <w:rPr>
            <w:color w:val="0000EE"/>
            <w:u w:val="single"/>
          </w:rPr>
          <w:t>7.37–39</w:t>
        </w:r>
      </w:hyperlink>
      <w:r>
        <w:t>). Ao longo do Evangelho de João, Jesus declara a várias pessoas que ele pode dar-lhes a vida eterna se elas acreditarem nele. Ele lhes promete a água viva, o pão da vida e a luz da vida, mas ninguém poderia realmente participar disso até depois que o Senhor fosse ressuscitado. Como amostra, eles poderiam receber uma certa medida de vida através das palavras do Senhor, porque suas palavras eram em si espírito e vida (</w:t>
      </w:r>
      <w:hyperlink r:id="rId8425">
        <w:r>
          <w:rPr>
            <w:color w:val="0000EE"/>
            <w:u w:val="single"/>
          </w:rPr>
          <w:t>6.63</w:t>
        </w:r>
      </w:hyperlink>
      <w:r>
        <w:t>). Até que o Espírito Santo se tornasse disponível, os crentes não poderiam realmente se tornar os destinatários da vida divina e eterna.</w:t>
      </w:r>
    </w:p>
    <w:p>
      <w:r/>
      <w:r>
        <w:t xml:space="preserve">Após o sermão do Senhor em </w:t>
      </w:r>
      <w:hyperlink r:id="rId4659">
        <w:r>
          <w:rPr>
            <w:color w:val="0000EE"/>
            <w:u w:val="single"/>
          </w:rPr>
          <w:t>João 6</w:t>
        </w:r>
      </w:hyperlink>
      <w:r>
        <w:t xml:space="preserve"> (um sermão que foi muito perturbador e ofensivo para a maioria de seus discípulos), Jesus disse: “O Espírito dá vida” (</w:t>
      </w:r>
      <w:hyperlink r:id="rId8425">
        <w:r>
          <w:rPr>
            <w:color w:val="0000EE"/>
            <w:u w:val="single"/>
          </w:rPr>
          <w:t>6.63</w:t>
        </w:r>
      </w:hyperlink>
      <w:r>
        <w:t>). Quando o Espírito Santo se tornasse disponível, eles puderiam ter vida. Novamente, Jesus ofereceu a água viva — até mesmo a vida que flui como rios de água viva — aos judeus reunidos na Festa dos Tabernáculos. Ele lhes disse para virem e beberem dele. Mas ninguém poderia, naquele momento, vir e beber dele. Então João acrescentou uma nota: “Jesus estava falando a respeito do Espírito Santo, que aqueles que criam nele iriam receber. Essas pessoas não tinham recebido o Espírito porque Jesus ainda não havia voltado para a presença gloriosa de Deus”. (</w:t>
      </w:r>
      <w:hyperlink r:id="rId8469">
        <w:r>
          <w:rPr>
            <w:color w:val="0000EE"/>
            <w:u w:val="single"/>
          </w:rPr>
          <w:t>7.39</w:t>
        </w:r>
      </w:hyperlink>
      <w:r>
        <w:t xml:space="preserve">). Uma vez que Jesus seria glorificado através da ressurreição, o Espírito de Jesus glorificado estaria disponível para os homens beberem. Em </w:t>
      </w:r>
      <w:hyperlink r:id="rId4659">
        <w:r>
          <w:rPr>
            <w:color w:val="0000EE"/>
            <w:u w:val="single"/>
          </w:rPr>
          <w:t>João 6</w:t>
        </w:r>
      </w:hyperlink>
      <w:r>
        <w:t xml:space="preserve">, Jesus se ofereceu como o pão da vida para ser comido pelos homens. E em </w:t>
      </w:r>
      <w:hyperlink r:id="rId8470">
        <w:r>
          <w:rPr>
            <w:color w:val="0000EE"/>
            <w:u w:val="single"/>
          </w:rPr>
          <w:t>João 7</w:t>
        </w:r>
      </w:hyperlink>
      <w:r>
        <w:t xml:space="preserve">, ele se ofereceu como a água viva para revigorar os homens. Mas ninguém poderia comer ou beber dele até que o Espírito do Jesus glorificado fosse disponibilizado, como foi indiretamente dito em </w:t>
      </w:r>
      <w:hyperlink r:id="rId8425">
        <w:r>
          <w:rPr>
            <w:color w:val="0000EE"/>
            <w:u w:val="single"/>
          </w:rPr>
          <w:t>João 6.63</w:t>
        </w:r>
      </w:hyperlink>
      <w:r>
        <w:t xml:space="preserve"> e então declarado claramente em </w:t>
      </w:r>
      <w:hyperlink r:id="rId8469">
        <w:r>
          <w:rPr>
            <w:color w:val="0000EE"/>
            <w:u w:val="single"/>
          </w:rPr>
          <w:t>João 7.39</w:t>
        </w:r>
      </w:hyperlink>
      <w:r>
        <w:t>.</w:t>
      </w:r>
    </w:p>
    <w:p>
      <w:r/>
      <w:r>
        <w:t xml:space="preserve">Em </w:t>
      </w:r>
      <w:hyperlink r:id="rId8466">
        <w:r>
          <w:rPr>
            <w:color w:val="0000EE"/>
            <w:u w:val="single"/>
          </w:rPr>
          <w:t>João 14.16–18</w:t>
        </w:r>
      </w:hyperlink>
      <w:r>
        <w:t xml:space="preserve">, Jesus foi um passo adiante em se identificar com o Espírito Santo. Ele disse aos discípulos que ele lhes daria outro Consolador. Então ele lhes disse que eles deveriam saber quem era este Consolador porque ele estava, naquele momento, ficando com eles e que, num futuro próximo, estaria neles. Quem mais, senão Jesus estava ficando com eles naquele período? Então depois de dizer aos discípulos que o Consolador viria a eles, ele disse: “Eu virei a vocês”. Primeiro, ele disse que o Consolador viria a eles e estaria neles, e então, no mesmo fôlego, ele disse que viria a eles e estaria neles (ver </w:t>
      </w:r>
      <w:hyperlink r:id="rId8471">
        <w:r>
          <w:rPr>
            <w:color w:val="0000EE"/>
            <w:u w:val="single"/>
          </w:rPr>
          <w:t>14.20</w:t>
        </w:r>
      </w:hyperlink>
      <w:r>
        <w:t>). Em suma, a vinda do Consolador aos discípulos foi a mesma que a vinda de Jesus aos discípulos. O Consolador que estava habitando com os discípulos naquela noite era o Espírito em Cristo. O Consolador que estaria nos discípulos (após a ressurreição) seria Cristo no Espírito.</w:t>
      </w:r>
    </w:p>
    <w:p>
      <w:r/>
      <w:r>
        <w:t>Na noite da ressurreição, o Senhor Jesus apareceu aos discípulos e então soprou neles o Espírito Santo. Este soprar, que lembra o soprar do fôlego da vida de Deus em Adão (</w:t>
      </w:r>
      <w:hyperlink r:id="rId292">
        <w:r>
          <w:rPr>
            <w:color w:val="0000EE"/>
            <w:u w:val="single"/>
          </w:rPr>
          <w:t>Gênesis 2.7</w:t>
        </w:r>
      </w:hyperlink>
      <w:r>
        <w:t>), se tornou o cumprimento de tudo o que havia sido prometido e antecipado no Evangelho de João. Através deste dom, os discípulos renasceram espiritualmente e foram habitados pelo Espírito de Jesus Cristo. Este evento histórico marcou o início da nova criação. Jesus poderia agora ser reconhecido como o pão da vida, a água viva e a luz da vida. Os crentes agora possuíam sua vida divina, eterna e ressuscitada. Daquele momento em diante, Cristo, como Espírito, passou a habitar naqueles que nele criam. Portanto, em sua primeira carta, João pôde dizer: “E, por causa do Espírito que ele nos deu, sabemos que Deus permanece em nós”. (</w:t>
      </w:r>
      <w:hyperlink r:id="rId8430">
        <w:r>
          <w:rPr>
            <w:color w:val="0000EE"/>
            <w:u w:val="single"/>
          </w:rPr>
          <w:t>1 João 3.24</w:t>
        </w:r>
      </w:hyperlink>
      <w:r>
        <w:t>).</w:t>
      </w:r>
    </w:p>
    <w:p>
      <w:r/>
      <w:r>
        <w:t>A habitação do Espírito Santo ajudou os discípulos a se lembrar das palavras e ações de Jesus (</w:t>
      </w:r>
      <w:hyperlink r:id="rId3740">
        <w:r>
          <w:rPr>
            <w:color w:val="0000EE"/>
            <w:u w:val="single"/>
          </w:rPr>
          <w:t>João 14.26</w:t>
        </w:r>
      </w:hyperlink>
      <w:r>
        <w:t>) para que pudessem ensinar e escrever sobre eles com uma visão profunda. Isso significa que Jesus não pretendia que a preservação de seus ensinamentos fosse deixada ao acaso. Com muita frequência, teorias que tentam explicar a maneira como as tradições sobre Jesus e seus ensinamentos foram transmitidas no período anterior à existência de quaisquer evangelhos escritos são sugeridas sem qualquer referência ao Espírito Santo. Não é aceitável se concentrar nas leis da tradição oral e ignorar o fator único neste caso — o Espírito Santo. Faz parte da missão do Espírito Santo preservar e transmitir o ensino de Jesus. O que Jesus diz nesta passagem sobre o Espírito Santo tem um significado de longo alcance para a formação dos evangelhos.</w:t>
      </w:r>
    </w:p>
    <w:p>
      <w:r/>
      <w:r>
        <w:t>Outra função importante é a atividade do Espírito Santo no mundo. Jesus deixou claro que o Espírito Santo convenceria do pecado, da justiça e do juízo (</w:t>
      </w:r>
      <w:hyperlink r:id="rId11842">
        <w:r>
          <w:rPr>
            <w:color w:val="0000EE"/>
            <w:u w:val="single"/>
          </w:rPr>
          <w:t>João 16.8</w:t>
        </w:r>
      </w:hyperlink>
      <w:r>
        <w:t>). Sem a ação do Espírito Santo, não haveria possibilidade dos discípulos causarem qualquer impacto no mundo. No entanto, Jesus advertiu que o mundo não poderia receber o Espírito Santo porque não o conhecia (</w:t>
      </w:r>
      <w:hyperlink r:id="rId11843">
        <w:r>
          <w:rPr>
            <w:color w:val="0000EE"/>
            <w:u w:val="single"/>
          </w:rPr>
          <w:t>14.17</w:t>
        </w:r>
      </w:hyperlink>
      <w:r>
        <w:t>). O mistério do Espírito Santo é que ele habita em cada um que crê. Este aspecto habitacional é de grande importância e foi especialmente desenvolvido nos escritos de Paulo.</w:t>
      </w:r>
    </w:p>
    <w:p>
      <w:pPr>
        <w:pStyle w:val="Heading3"/>
      </w:pPr>
      <w:r>
        <w:t>Ensinamentos sobre a humanidade</w:t>
      </w:r>
    </w:p>
    <w:p>
      <w:r/>
      <w:r>
        <w:t>Jesus ensinou sobre o cuidado providencial de Deus sobre todos os seres humanos. Os cabelos de uma pessoa estão todos contados (</w:t>
      </w:r>
      <w:hyperlink r:id="rId11844">
        <w:r>
          <w:rPr>
            <w:color w:val="0000EE"/>
            <w:u w:val="single"/>
          </w:rPr>
          <w:t>Mateus 10:30</w:t>
        </w:r>
      </w:hyperlink>
      <w:r>
        <w:t>), o que é uma maneira vívida de dizer que Deus está interessado nos detalhes da vida humana. Mas Deus está muito mais interessado na alma eterna. Jesus deixou claro que seria inútil a qualquer um ganhar o mundo e perder sua alma (</w:t>
      </w:r>
      <w:hyperlink r:id="rId11845">
        <w:r>
          <w:rPr>
            <w:color w:val="0000EE"/>
            <w:u w:val="single"/>
          </w:rPr>
          <w:t>Mateus 16.26</w:t>
        </w:r>
      </w:hyperlink>
      <w:r>
        <w:t xml:space="preserve">; </w:t>
      </w:r>
      <w:hyperlink r:id="rId11846">
        <w:r>
          <w:rPr>
            <w:color w:val="0000EE"/>
            <w:u w:val="single"/>
          </w:rPr>
          <w:t>Marcos 8.36</w:t>
        </w:r>
      </w:hyperlink>
      <w:r>
        <w:t xml:space="preserve">; </w:t>
      </w:r>
      <w:hyperlink r:id="rId11847">
        <w:r>
          <w:rPr>
            <w:color w:val="0000EE"/>
            <w:u w:val="single"/>
          </w:rPr>
          <w:t>Lucas 9.25</w:t>
        </w:r>
      </w:hyperlink>
      <w:r>
        <w:t>). O foco recai sobre o que uma pessoa é e não o que ela tem. Jesus até disse que um corpo mutilado era preferível a uma vida perdida (</w:t>
      </w:r>
      <w:hyperlink r:id="rId11848">
        <w:r>
          <w:rPr>
            <w:color w:val="0000EE"/>
            <w:u w:val="single"/>
          </w:rPr>
          <w:t>Marcos 9.43–47</w:t>
        </w:r>
      </w:hyperlink>
      <w:r>
        <w:t>). A satisfação total depende mais da condição espiritual de alguém do que do ambiente ou bem-estar físico. Ele não estava, é claro, desinteressado sobre o estado físico das pessoas, como suas muitas curas mostram, mas seu principal interesse era sobre o relacionamento das pessoas com Deus.</w:t>
      </w:r>
    </w:p>
    <w:p>
      <w:r/>
      <w:r>
        <w:t>Jesus nunca viu os seres humanos como indivíduos isolados. Dentro da comunidade de Deus esperava-se que as pessoas tivessem responsabilidade umas pelas outras. O Sermão do Monte ilustrou esta ênfase social no ensino de Jesus. Aqueles que são misericordiosos com os outros obterão misericórdia (</w:t>
      </w:r>
      <w:hyperlink r:id="rId8702">
        <w:r>
          <w:rPr>
            <w:color w:val="0000EE"/>
            <w:u w:val="single"/>
          </w:rPr>
          <w:t>Mateus 5.7</w:t>
        </w:r>
      </w:hyperlink>
      <w:r>
        <w:t xml:space="preserve">). Há louvor especial para os pacificadores (verso </w:t>
      </w:r>
      <w:hyperlink r:id="rId11849">
        <w:r>
          <w:rPr>
            <w:color w:val="0000EE"/>
            <w:u w:val="single"/>
          </w:rPr>
          <w:t>9</w:t>
        </w:r>
      </w:hyperlink>
      <w:r>
        <w:t xml:space="preserve">). Espera-se que os discípulos de Jesus tragam luz para os outros (versículo </w:t>
      </w:r>
      <w:hyperlink r:id="rId11850">
        <w:r>
          <w:rPr>
            <w:color w:val="0000EE"/>
            <w:u w:val="single"/>
          </w:rPr>
          <w:t>16</w:t>
        </w:r>
      </w:hyperlink>
      <w:r>
        <w:t xml:space="preserve">). Espera-se que eles deem mais do que o esperado (versículo </w:t>
      </w:r>
      <w:hyperlink r:id="rId11851">
        <w:r>
          <w:rPr>
            <w:color w:val="0000EE"/>
            <w:u w:val="single"/>
          </w:rPr>
          <w:t>40</w:t>
        </w:r>
      </w:hyperlink>
      <w:r>
        <w:t>). Jesus está claramente dizendo que as pessoas têm responsabilidade além de si mesmas.</w:t>
      </w:r>
    </w:p>
    <w:p>
      <w:r/>
      <w:r>
        <w:t>A relação das pessoas com Deus é de dependência. Jesus ensinou homens e mulheres a orar a Deus pelo pão diário (</w:t>
      </w:r>
      <w:hyperlink r:id="rId11852">
        <w:r>
          <w:rPr>
            <w:color w:val="0000EE"/>
            <w:u w:val="single"/>
          </w:rPr>
          <w:t>Mateus 6.11</w:t>
        </w:r>
      </w:hyperlink>
      <w:r>
        <w:t>) como um lembrete de que eles não podem ser totalmente autossuficientes. Ele não permitia nenhum lugar em seu ensino para os seres humanos se vangloriarem de suas próprias realizações.</w:t>
      </w:r>
    </w:p>
    <w:p>
      <w:r/>
      <w:r>
        <w:t>Jesus tinha algumas coisas específicas a dizer sobre a vida doméstica. Ele aceitou a sacralidade do contrato de casamento (</w:t>
      </w:r>
      <w:hyperlink r:id="rId4542">
        <w:r>
          <w:rPr>
            <w:color w:val="0000EE"/>
            <w:u w:val="single"/>
          </w:rPr>
          <w:t>Mateus 5.31–32</w:t>
        </w:r>
      </w:hyperlink>
      <w:r>
        <w:t xml:space="preserve">; compare </w:t>
      </w:r>
      <w:hyperlink r:id="rId11853">
        <w:r>
          <w:rPr>
            <w:color w:val="0000EE"/>
            <w:u w:val="single"/>
          </w:rPr>
          <w:t>19.3–9</w:t>
        </w:r>
      </w:hyperlink>
      <w:r>
        <w:t>) e, portanto, mostrou uma alta consideração pela honra e pelos direitos da esposa. Foi mais em suas ações e atitudes, do que em seus ensinamentos específicos, que Jesus mostrou sua consideração pelo status das mulheres. Quando ele falava de homens, ele muitas vezes usava o termo no sentido de pessoas, incluindo homens e mulheres. Não há sugestão de que, em questões de fé, as mulheres eram, em geral, inferiores aos homens. Além disso, Lucas aponta quantas mulheres apoiaram Jesus e seus discípulos em suas viagens.</w:t>
      </w:r>
    </w:p>
    <w:p>
      <w:r/>
      <w:r>
        <w:t>Jesus tinha uma visão elevada do potencial humano, mas também reconheceu sua condição presente. A ênfase sobre o arrependimento (</w:t>
      </w:r>
      <w:hyperlink r:id="rId5477">
        <w:r>
          <w:rPr>
            <w:color w:val="0000EE"/>
            <w:u w:val="single"/>
          </w:rPr>
          <w:t>Mateus 4.17</w:t>
        </w:r>
      </w:hyperlink>
      <w:r>
        <w:t xml:space="preserve">) mostra uma pecaminosidade da qual as pessoas precisam se arrepender. Este senso de necessidade está implícito nos casos em que Jesus pronuncia perdão (por exemplo, para o paralítico, </w:t>
      </w:r>
      <w:hyperlink r:id="rId11854">
        <w:r>
          <w:rPr>
            <w:color w:val="0000EE"/>
            <w:u w:val="single"/>
          </w:rPr>
          <w:t>Mateus 9.1–8</w:t>
        </w:r>
      </w:hyperlink>
      <w:r>
        <w:t xml:space="preserve">; e para a mulher que o ungiu, </w:t>
      </w:r>
      <w:hyperlink r:id="rId11855">
        <w:r>
          <w:rPr>
            <w:color w:val="0000EE"/>
            <w:u w:val="single"/>
          </w:rPr>
          <w:t>Lucas 7.47–48</w:t>
        </w:r>
      </w:hyperlink>
      <w:r>
        <w:t>). Na Oração Senhor, Jesus instrui seus discípulos a orar por perdão (</w:t>
      </w:r>
      <w:hyperlink r:id="rId7391">
        <w:r>
          <w:rPr>
            <w:color w:val="0000EE"/>
            <w:u w:val="single"/>
          </w:rPr>
          <w:t>Mateus 6.12</w:t>
        </w:r>
      </w:hyperlink>
      <w:r>
        <w:t xml:space="preserve">; </w:t>
      </w:r>
      <w:hyperlink r:id="rId7392">
        <w:r>
          <w:rPr>
            <w:color w:val="0000EE"/>
            <w:u w:val="single"/>
          </w:rPr>
          <w:t>Lucas 11.4</w:t>
        </w:r>
      </w:hyperlink>
      <w:r>
        <w:t>). Ele toma por certo que eles precisam e desejam obtê-lo.</w:t>
      </w:r>
    </w:p>
    <w:p>
      <w:r/>
      <w:r>
        <w:t xml:space="preserve">Jesus não dá apoio a qualquer autojustiça em homens ou mulheres. Este é o motivo de sua crítica aos líderes religiosos em vários ditos, especialmente em </w:t>
      </w:r>
      <w:hyperlink r:id="rId11856">
        <w:r>
          <w:rPr>
            <w:color w:val="0000EE"/>
            <w:u w:val="single"/>
          </w:rPr>
          <w:t>Mateus 23</w:t>
        </w:r>
      </w:hyperlink>
      <w:r>
        <w:t>. Ele era crítico quanto aos mestres judeus porque eles colocavam tanta importância nas obras de mérito como contribuintes para a salvação. Toda sua abordagem se apoiava nos seres humanos lançarem-se na misericórdia de Deus. Isso é vividamente ilustrado na parábola sobre o fariseu e o cobrador de impostos em oração (</w:t>
      </w:r>
      <w:hyperlink r:id="rId9660">
        <w:r>
          <w:rPr>
            <w:color w:val="0000EE"/>
            <w:u w:val="single"/>
          </w:rPr>
          <w:t>Lucas 18.10–14</w:t>
        </w:r>
      </w:hyperlink>
      <w:r>
        <w:t>). Foi este último que se lançou à misericórdia de Deus e que foi elogiado por Jesus.</w:t>
      </w:r>
    </w:p>
    <w:p>
      <w:r/>
      <w:r>
        <w:t xml:space="preserve">Sem dúvida, Jesus considerava o pecado como universal. Ele nunca sugeriu que havia alguém que estava isento disso. O principal conceito de pecado em seus ensinamentos era a separação de Deus. Isso fica claramente evidente no Evangelho de João, com sua forte oposição entre luz e trevas, vida e morte (compare </w:t>
      </w:r>
      <w:hyperlink r:id="rId11857">
        <w:r>
          <w:rPr>
            <w:color w:val="0000EE"/>
            <w:u w:val="single"/>
          </w:rPr>
          <w:t>João 5.24</w:t>
        </w:r>
      </w:hyperlink>
      <w:r>
        <w:t>). De fato, o “mundo” no Evangelho de João representa o sistema que não leva em conta Deus. Mas o pecado também é visto como escravidão a Satanás. A vida e os ensinamentos de Jesus são vistos contra o pano de fundo do conflito espiritual. Jesus até mesmo disse aos seus oponentes: “Vocês são filhos do Diabo e querem fazer o que o pai de vocês quer” (</w:t>
      </w:r>
      <w:hyperlink r:id="rId5081">
        <w:r>
          <w:rPr>
            <w:color w:val="0000EE"/>
            <w:u w:val="single"/>
          </w:rPr>
          <w:t>João 8.44</w:t>
        </w:r>
      </w:hyperlink>
      <w:r>
        <w:t>). Ele assume que há forças hostis que levam o homem à sujeição.</w:t>
      </w:r>
    </w:p>
    <w:p>
      <w:r/>
      <w:r>
        <w:t>Na parábola do filho pródigo (Lucas 15.11–32), o pecado contra Deus está ligado com o pecado diante do pai. Em outras palavras, este é considerado em termos de rebelião e revolta (</w:t>
      </w:r>
      <w:hyperlink r:id="rId11858">
        <w:r>
          <w:rPr>
            <w:color w:val="0000EE"/>
            <w:u w:val="single"/>
          </w:rPr>
          <w:t>verso 21</w:t>
        </w:r>
      </w:hyperlink>
      <w:r>
        <w:t>). Esta é uma ofensa diferente da ofensa do filho da que a que chegou pelo irmão mais velho, que poderia vê-la apenas em termos de propriedade. A visão de que os seres humanos estão essencialmente em um estado de rebelião contra Deus é um princípio básico da posição teológica de Paulo, e é importante notar que encontra sua raiz nos ensinamentos de Jesus.</w:t>
      </w:r>
    </w:p>
    <w:p>
      <w:r/>
      <w:r>
        <w:t>Não há dúvida de que Jesus tinha muito a dizer sobre condenação. Aqueles que não acreditavam e estavam, portanto, fora da provisão de salvação que Jesus havia feito são declarados já condenados (</w:t>
      </w:r>
      <w:hyperlink r:id="rId9443">
        <w:r>
          <w:rPr>
            <w:color w:val="0000EE"/>
            <w:u w:val="single"/>
          </w:rPr>
          <w:t>João 3.18</w:t>
        </w:r>
      </w:hyperlink>
      <w:r>
        <w:t>). Em várias ocasiões, Jesus mencionou o julgamento que estava por vir, o que mostra que o destino de uma pessoa está relacionado com sua condição espiritual presente. Toda a missão de Jesus deve ser vista neste contexto da necessidade espiritual da humanidade. Uma pessoa, se entregue a si mesma, seria totalmente incapaz de alcançar a salvação, mas Jesus veio para oferecer a vida eterna àqueles que acreditam nele (</w:t>
      </w:r>
      <w:hyperlink r:id="rId1191">
        <w:r>
          <w:rPr>
            <w:color w:val="0000EE"/>
            <w:u w:val="single"/>
          </w:rPr>
          <w:t>João 3.16</w:t>
        </w:r>
      </w:hyperlink>
      <w:r>
        <w:t>).</w:t>
      </w:r>
    </w:p>
    <w:p>
      <w:pPr>
        <w:pStyle w:val="Heading3"/>
      </w:pPr>
      <w:r>
        <w:t>Ensinamentos sobre a Igreja</w:t>
      </w:r>
    </w:p>
    <w:p>
      <w:r/>
      <w:r>
        <w:t>Alguns supuseram que Jesus não previu que haveria uma igreja. Mas em duas ocasiões, ele usou a palavra “igreja”, que significa um povo chamado por Deus. Em uma das ocasiões (em Cesareia de Filipe), Jesus disse a Pedro que ele construiria sua igreja sobre a rocha (</w:t>
      </w:r>
      <w:hyperlink r:id="rId11859">
        <w:r>
          <w:rPr>
            <w:color w:val="0000EE"/>
            <w:u w:val="single"/>
          </w:rPr>
          <w:t>Mateus 16.16–19</w:t>
        </w:r>
      </w:hyperlink>
      <w:r>
        <w:t xml:space="preserve">). Parece mais provável que “rocha” tivesse a intenção de ligar o fundamento da igreja à confissão específica de Pedro sobre Jesus. É certo que a igreja posterior era uma comunidade que afirmava que Jesus era o Cristo, o Filho do Deus vivo. É importante notar que o próprio Cristo é o construtor da igreja. Ele assegurou aos seus discípulos que seria impossível que os portões do inferno prevalecessem. Além disso, uma das funções da igreja era proclamar o perdão de pecados, e isso está implícito no que Jesus disse a Pedro. Que as palavras não tinham a intenção de se referir exclusivamente a ele fica claro em </w:t>
      </w:r>
      <w:hyperlink r:id="rId11860">
        <w:r>
          <w:rPr>
            <w:color w:val="0000EE"/>
            <w:u w:val="single"/>
          </w:rPr>
          <w:t>Mateus 18.18</w:t>
        </w:r>
      </w:hyperlink>
      <w:r>
        <w:t xml:space="preserve">, onde palavras semelhantes foram dirigidas a todos os discípulos. A igreja, de acordo com </w:t>
      </w:r>
      <w:hyperlink r:id="rId10871">
        <w:r>
          <w:rPr>
            <w:color w:val="0000EE"/>
            <w:u w:val="single"/>
          </w:rPr>
          <w:t>Mateus 18.17</w:t>
        </w:r>
      </w:hyperlink>
      <w:r>
        <w:t>, deveria ser uma comunidade que poderia resolver conflitos entre os crentes.</w:t>
      </w:r>
    </w:p>
    <w:p>
      <w:r/>
      <w:r>
        <w:t>Além dessas referências específicas à igreja, Jesus assumiu que seus seguidores se reuniriam em seu nome (</w:t>
      </w:r>
      <w:hyperlink r:id="rId11861">
        <w:r>
          <w:rPr>
            <w:color w:val="0000EE"/>
            <w:u w:val="single"/>
          </w:rPr>
          <w:t>Mateus 18.19–20</w:t>
        </w:r>
      </w:hyperlink>
      <w:r>
        <w:t>). Em suas palavras finais no relato de Mateus, ele os comissionou para ensinar o que ele havia ensinado a eles e batizar novos discípulos (</w:t>
      </w:r>
      <w:hyperlink r:id="rId502">
        <w:r>
          <w:rPr>
            <w:color w:val="0000EE"/>
            <w:u w:val="single"/>
          </w:rPr>
          <w:t>Mateus 28.19–20</w:t>
        </w:r>
      </w:hyperlink>
      <w:r>
        <w:t>). Ele prometeu que sua presença estaria com eles. O mandamento para batizar foi reforçado pelo próprio exemplo de Jesus ao se submeter ao batismo de João. Um outro rito especial que Jesus esperava que seus discípulos observassem era a Ceia do Senhor. Suas instruções sobre isso assume uma comunidade posterior que poderia observá-la. Uma vez que a forma de palavras usadas na instituição aponta para o significado da morte de Cristo, fica claro que Jesus pretendia que a futura comunidade fosse frequentemente lembrada do centro da fé. A igreja cristã deveria ser um grupo de pessoas que sabiam que através de Cristo, eles haviam entrado em um novo relacionamento com Deus.</w:t>
      </w:r>
    </w:p>
    <w:p>
      <w:r/>
      <w:r>
        <w:t>Embora não haja referências à igreja no Evangelho de João, certamente há sinais que apoiam a ideia de comunidade. Jesus se apresentou como o Pastor e falou de seus seguidores como formando um rebanho (</w:t>
      </w:r>
      <w:hyperlink r:id="rId11862">
        <w:r>
          <w:rPr>
            <w:color w:val="0000EE"/>
            <w:u w:val="single"/>
          </w:rPr>
          <w:t>João 10.16</w:t>
        </w:r>
      </w:hyperlink>
      <w:r>
        <w:t>). As imagens das ovelhas ocorrem novamente neste evangelho quando Pedro é instruído três vezes pelo Senhor ressuscitado para alimentar as ovelhas (</w:t>
      </w:r>
      <w:hyperlink r:id="rId1437">
        <w:r>
          <w:rPr>
            <w:color w:val="0000EE"/>
            <w:u w:val="single"/>
          </w:rPr>
          <w:t>João 21.15–17</w:t>
        </w:r>
      </w:hyperlink>
      <w:r>
        <w:t>). Outra figura de linguagem que Jesus usou para trazer a ideia de grupo é a dos muitos ramos que recebem sua vida da videira, e, portanto, pertencem uns aos outros por causa de sua vida comum na videira (João 15.1–8).</w:t>
      </w:r>
    </w:p>
    <w:p>
      <w:r/>
      <w:r>
        <w:t>Jesus reconheceu que a futura comunidade precisaria da ajuda do Espírito Santo. Seus ensinamentos sobre este assunto estabeleceram o fundamento para a evidente dependência da igreja primitiva do Espírito Santo, como visto no livro de Atos. Finalmente, deve ser notado que há uma conexão próxima entre a igreja e o reino de Deus, embora eles não sejam idênticos. O reino é mais amplo do que a igreja, que está incluída dentro dele.</w:t>
      </w:r>
    </w:p>
    <w:p>
      <w:pPr>
        <w:pStyle w:val="Heading3"/>
      </w:pPr>
      <w:r>
        <w:t>Ensinamentos sobre o futuro</w:t>
      </w:r>
    </w:p>
    <w:p>
      <w:r/>
      <w:r>
        <w:t>Jesus pensou no reino em termos de cumprimento presente e esperança futura. O aspecto futuro está relacionado com o fim dos tempos. Embora ele não tenha escrito em termos específicos, Jesus não deixou seus discípulos sem qualquer conhecimento de como a era presente terminaria. Ele deu firme certeza de que ele retornaria em algum momento no futuro.</w:t>
      </w:r>
    </w:p>
    <w:p>
      <w:r/>
      <w:r>
        <w:t>Ele disse aos discípulos que o Filho do Homem viria com seus anjos na glória de seu Pai (</w:t>
      </w:r>
      <w:hyperlink r:id="rId9405">
        <w:r>
          <w:rPr>
            <w:color w:val="0000EE"/>
            <w:u w:val="single"/>
          </w:rPr>
          <w:t>Mateus 16.27</w:t>
        </w:r>
      </w:hyperlink>
      <w:r>
        <w:t>). No sermão em que ele responde à pergunta dos discípulos sobre o fim do mundo, ele fala novamente do Filho do Homem vindo em nuvens com poder e glória (</w:t>
      </w:r>
      <w:hyperlink r:id="rId9433">
        <w:r>
          <w:rPr>
            <w:color w:val="0000EE"/>
            <w:u w:val="single"/>
          </w:rPr>
          <w:t>Marcos 13.26</w:t>
        </w:r>
      </w:hyperlink>
      <w:r>
        <w:t xml:space="preserve">), provavelmente extraído da linguagem familiar de </w:t>
      </w:r>
      <w:hyperlink r:id="rId3470">
        <w:r>
          <w:rPr>
            <w:color w:val="0000EE"/>
            <w:u w:val="single"/>
          </w:rPr>
          <w:t>Daniel 7</w:t>
        </w:r>
      </w:hyperlink>
      <w:r>
        <w:t>. Jesus descreveu vários sinais que precederiam sua própria vinda. Ele falou de guerras, conflitos, terremotos, fomes e distúrbios nos céus. O evangelho era para ser pregado a todas as nações. Ao mesmo tempo, muitos falsos cristos surgiriam.</w:t>
      </w:r>
    </w:p>
    <w:p>
      <w:r/>
      <w:r>
        <w:t>Jesus deu tais detalhes sobre seu retorno para encorajar seus discípulos diante da perseguição. A esperança futura tinha um propósito definitivamente prático. Os discípulos foram instigados a vigiar. A vinda aconteceria tão inesperadamente como um ladrão na noite. Jesus disse que até mesmo ele mesmo não sabia quando a vinda ocorreria (</w:t>
      </w:r>
      <w:hyperlink r:id="rId11863">
        <w:r>
          <w:rPr>
            <w:color w:val="0000EE"/>
            <w:u w:val="single"/>
          </w:rPr>
          <w:t>Marcos 13.32</w:t>
        </w:r>
      </w:hyperlink>
      <w:r>
        <w:t>).</w:t>
      </w:r>
    </w:p>
    <w:p>
      <w:r/>
      <w:r>
        <w:t>Outro tema importante que afeta o futuro é enfatizado nos ensinamentos de Jesus sobre a ressurreição. Os saduceus não acreditavam na ressurreição do corpo. Eles tentaram pegar Jesus em uma armadilha com uma pergunta sobre uma mulher que havia sido casada sete vezes. Eles queriam saber de qual marido ela seria na ressurreição (</w:t>
      </w:r>
      <w:hyperlink r:id="rId10518">
        <w:r>
          <w:rPr>
            <w:color w:val="0000EE"/>
            <w:u w:val="single"/>
          </w:rPr>
          <w:t>Marcos 12.18–27</w:t>
        </w:r>
      </w:hyperlink>
      <w:r>
        <w:t>). Jesus mostrou que não haveria casamento quando os mortos ressuscitassem. A ideia dos saduceus sobre a ressurreição estava claramente errada. O ensino de Jesus era que aqueles ressuscitados seriam como os anjos. Não há dúvida sobre a ressurreição dos mortos, embora nenhuma informação seja dada sobre o corpo da ressurreição. Jesus contou uma história sobre um homem rico e um homem pobre onde ambos morreram (</w:t>
      </w:r>
      <w:hyperlink r:id="rId8493">
        <w:r>
          <w:rPr>
            <w:color w:val="0000EE"/>
            <w:u w:val="single"/>
          </w:rPr>
          <w:t>Lucas 16.19–31</w:t>
        </w:r>
      </w:hyperlink>
      <w:r>
        <w:t>). Na vida após a morte, o homem rico clama em dor extrema, enquanto o homem pobre desfruta de um estado de bem-aventurança. O que é mais claro disso é a certeza da vida após a morte e o fato de uma distinção entre os dois homens, embora não sejamos informados sobre quais bases a distinção é feita. Em outro lugar em seus ensinamentos, Jesus sugeriu que o requisito mais importante é a fé em si mesmo. A conversa entre Jesus e o ladrão que está morrendo na cruz sugere que o paraíso para este último consistia em uma consciência da presença de Jesus (</w:t>
      </w:r>
      <w:hyperlink r:id="rId11864">
        <w:r>
          <w:rPr>
            <w:color w:val="0000EE"/>
            <w:u w:val="single"/>
          </w:rPr>
          <w:t>Lucas 23.42–43</w:t>
        </w:r>
      </w:hyperlink>
      <w:r>
        <w:t>).</w:t>
      </w:r>
    </w:p>
    <w:p>
      <w:r/>
      <w:r>
        <w:t xml:space="preserve">O tema de recompensas e punição ocorre em muitas passagens. Em </w:t>
      </w:r>
      <w:hyperlink r:id="rId9405">
        <w:r>
          <w:rPr>
            <w:color w:val="0000EE"/>
            <w:u w:val="single"/>
          </w:rPr>
          <w:t>Mateus 16.27</w:t>
        </w:r>
      </w:hyperlink>
      <w:r>
        <w:t xml:space="preserve"> Jesus diz que o Filho do Homem recompensará a todos de acordo com o que ele ou ela fez. Aqueles que são inúteis são prometidos de castigo nas trevas (</w:t>
      </w:r>
      <w:hyperlink r:id="rId8319">
        <w:r>
          <w:rPr>
            <w:color w:val="0000EE"/>
            <w:u w:val="single"/>
          </w:rPr>
          <w:t>Mateus 25.30</w:t>
        </w:r>
      </w:hyperlink>
      <w:r>
        <w:t>). Além disso, Jesus falou de um dia de julgamento no qual homens e mulheres devem prestar conta, até mesmo de todas as suas palavras negligentes (</w:t>
      </w:r>
      <w:hyperlink r:id="rId11865">
        <w:r>
          <w:rPr>
            <w:color w:val="0000EE"/>
            <w:u w:val="single"/>
          </w:rPr>
          <w:t>12.36–37</w:t>
        </w:r>
      </w:hyperlink>
      <w:r>
        <w:t>). Na parábola das ovelhas e dos cabritos, ele falou de uma separação que o Filho do Homem fará quando ele vier. Aqueles que mostraram cuidado pelos crentes são louvados (</w:t>
      </w:r>
      <w:hyperlink r:id="rId1172">
        <w:r>
          <w:rPr>
            <w:color w:val="0000EE"/>
            <w:u w:val="single"/>
          </w:rPr>
          <w:t>25.31–46</w:t>
        </w:r>
      </w:hyperlink>
      <w:r>
        <w:t>).</w:t>
      </w:r>
    </w:p>
    <w:p>
      <w:r/>
      <w:r>
        <w:t xml:space="preserve">As declarações mais solenes de Jesus são aquelas que falam do inferno. Não há como contornar seus ensinamentos sobre a punição eterna para os injustos (como em </w:t>
      </w:r>
      <w:hyperlink r:id="rId6692">
        <w:r>
          <w:rPr>
            <w:color w:val="0000EE"/>
            <w:u w:val="single"/>
          </w:rPr>
          <w:t>Mateus 25.41,46</w:t>
        </w:r>
      </w:hyperlink>
      <w:r>
        <w:t>), que é oposto à vida eterna prometida aos justos. Ele ensinou que seus discípulos teriam um lugar preparado para eles no céu (</w:t>
      </w:r>
      <w:hyperlink r:id="rId2677">
        <w:r>
          <w:rPr>
            <w:color w:val="0000EE"/>
            <w:u w:val="single"/>
          </w:rPr>
          <w:t>João 14.2</w:t>
        </w:r>
      </w:hyperlink>
      <w:r>
        <w:t>), e falou de um Livro da Vida no qual os nomes de seus discípulos foram escritos (</w:t>
      </w:r>
      <w:hyperlink r:id="rId11866">
        <w:r>
          <w:rPr>
            <w:color w:val="0000EE"/>
            <w:u w:val="single"/>
          </w:rPr>
          <w:t>Lucas 10.20</w:t>
        </w:r>
      </w:hyperlink>
      <w:r>
        <w:t>).</w:t>
      </w:r>
    </w:p>
    <w:p>
      <w:pPr>
        <w:pStyle w:val="Heading3"/>
      </w:pPr>
      <w:r>
        <w:t>Ensinamentos sobre questões morais</w:t>
      </w:r>
    </w:p>
    <w:p>
      <w:r/>
      <w:r>
        <w:t>Grande parte do ensino de Jesus está relacionada com questões morais — tanto que alguns estudiosos concluíram que este era o principal motivo de seu ensino. Mas os ensinamentos morais não podem ser considerados separados das muitas facetas de seus ensinamentos descritos acima. Foi dito que há paralelos próximos entre os ensinamentos de Jesus e os ensinamentos morais do judaísmo. O que é distintivo sobre os ensinamentos de Jesus sobre moralidade é que o motivo e poder por trás da conduta moral não são concebidos em termos de leis que devem ser obedecidas. A conduta correta é vista como o resultado de um relacionamento correto com Deus.</w:t>
      </w:r>
    </w:p>
    <w:p>
      <w:r/>
      <w:r>
        <w:t xml:space="preserve">Jesus era o próprio modelo para o comportamento moral. Ele deixou claro que seu objetivo era realizar a vontade de Deus. Não há senso de legalismo [que enfatiza a obediência estrita às leis religiosas, em vez de dependência da fé] em sua abordagem às decisões éticas. No Sermão do Monte, Jesus comparou seu próprio ensino com o de Moisés e mostrou a importância de compreender seu significado interior (compare </w:t>
      </w:r>
      <w:hyperlink r:id="rId11867">
        <w:r>
          <w:rPr>
            <w:color w:val="0000EE"/>
            <w:u w:val="single"/>
          </w:rPr>
          <w:t>Mateus 5.21–22,27–28,31–32</w:t>
        </w:r>
      </w:hyperlink>
      <w:r>
        <w:t>). À primeira vista, Jesus fez demandas mais rigorosas do que a lei mosaica, porque ele estava interessado em investigar os motivos, bem como as ações. Muitos descartaram o ensino do Sermão do Monte como inteiramente impraticável, mas Jesus nunca teve a intenção de que seu ensino fosse fácil. Ele estabeleceu como um alvo nada menos do que a perfeição do próprio Deus (</w:t>
      </w:r>
      <w:hyperlink r:id="rId5371">
        <w:r>
          <w:rPr>
            <w:color w:val="0000EE"/>
            <w:u w:val="single"/>
          </w:rPr>
          <w:t>Mateus 5.48</w:t>
        </w:r>
      </w:hyperlink>
      <w:r>
        <w:t>). No entanto, ele chamou seu jugo de fácil e seu fardo de leve (</w:t>
      </w:r>
      <w:hyperlink r:id="rId11868">
        <w:r>
          <w:rPr>
            <w:color w:val="0000EE"/>
            <w:u w:val="single"/>
          </w:rPr>
          <w:t>11.29–30</w:t>
        </w:r>
      </w:hyperlink>
      <w:r>
        <w:t>), o que sugere que ele não estava estabelecendo um padrão ético impossível. Deve ser lembrado que ele não estava declarando publicamente políticas para a sociedade. Seu interesse era que cada indivíduo deveria ter motivos poderosos para decisões corretas em questões de conduta. Sua reação contra uma aplicação rígida da observância do sábado em detrimento do bem-estar de uma pessoa em necessidade ilustra este ponto. O cuidado para com os outros foi classificado como mais alto do que a exatidão ritual.</w:t>
      </w:r>
    </w:p>
    <w:p>
      <w:pPr>
        <w:pStyle w:val="Heading3"/>
      </w:pPr>
      <w:r>
        <w:t>Conclusão</w:t>
      </w:r>
    </w:p>
    <w:p>
      <w:r/>
      <w:r>
        <w:t>Nenhum relato da vida e ensinamentos de Jesus estaria completo sem alguma indicação do lugar que Jesus Cristo ganhou na igreja em desenvolvimento. Tal busca naturalmente nos leva para fora do escopo dos evangelhos para o testemunho do livro de Atos e das cartas de Paulo. Lá, podemos ver se as previsões de Jesus foram cumpridas e se, de fato, os primeiros cristãos levavam seu ensino a sério. Embora não possa haver dúvida de que Jesus Cristo se tornou central para a fé dos primeiros cristãos, ele era considerado de muitos pontos de vista. Ele foi visto como Messias no sentido de um libertador espiritual, como Senhor no sentido de ser soberano sobre seu povo, como Servo no sentido de sua obediência ao sofrimento, e como Filho em sua relação com seu Pai. De muitas maneiras, a compreensão completa do que e quem ele era não poderia ter ocorrido até após a ressurreição. Portanto, descobrimos que muitas facetas de seus ensinamentos sobre si mesmo foram mais plenamente desenvolvidas nas reflexões de seu povo. Isso é verdade em um sentido especial dos escritos do apóstolo Paulo.</w:t>
      </w:r>
    </w:p>
    <w:p>
      <w:r/>
      <w:r>
        <w:t>Muitos encontraram um problema ao tentar ligar os atos e ensinamentos de Jesus encontrados nos evangelhos com o Cristo, que é tão central nas crenças de Paulo. O problema surge porque o apóstolo não se refere a qualquer incidente específico na vida de Jesus e não reflete em suas cartas qualquer conhecimento da grande quantidade de material de ensino nos Evangelhos. Isso sugere que Paulo não tinha interesse no Jesus histórico? Ou poderia ser sustentado que ele não sabia nada sobre ele? Aqueles que criaram uma divisão entre Paulo e Jesus não deram peso suficiente a esses comentários, indicando que Paulo conhecia muito mais sobre o Jesus histórico do que ele afirma em suas cartas. Ele escreve, por exemplo, sobre a mansidão e gentileza de Cristo (</w:t>
      </w:r>
      <w:hyperlink r:id="rId5916">
        <w:r>
          <w:rPr>
            <w:color w:val="0000EE"/>
            <w:u w:val="single"/>
          </w:rPr>
          <w:t>2 Coríntios 10.1</w:t>
        </w:r>
      </w:hyperlink>
      <w:r>
        <w:t>), sugerindo que ele sabia que Jesus havia dito de si mesmo que ele era manso e humilde de coração (</w:t>
      </w:r>
      <w:hyperlink r:id="rId936">
        <w:r>
          <w:rPr>
            <w:color w:val="0000EE"/>
            <w:u w:val="single"/>
          </w:rPr>
          <w:t>Mateus 11.29</w:t>
        </w:r>
      </w:hyperlink>
      <w:r>
        <w:t>). Além disso, Paulo fala da pobreza de Cristo (</w:t>
      </w:r>
      <w:hyperlink r:id="rId8774">
        <w:r>
          <w:rPr>
            <w:color w:val="0000EE"/>
            <w:u w:val="single"/>
          </w:rPr>
          <w:t>2 Coríntios 8.9</w:t>
        </w:r>
      </w:hyperlink>
      <w:r>
        <w:t>) e deve ter sabido que o Filho do Homem não tinha lugar para reclinar a cabeça. Ele certamente conhece os detalhes de como Jesus instituiu a Ceia do Senhor (</w:t>
      </w:r>
      <w:hyperlink r:id="rId4660">
        <w:r>
          <w:rPr>
            <w:color w:val="0000EE"/>
            <w:u w:val="single"/>
          </w:rPr>
          <w:t>1 Coríntios 11.23–26</w:t>
        </w:r>
      </w:hyperlink>
      <w:r>
        <w:t>), e ele sabe de sua morte por crucificação. Parece razoável concluir que Paulo assume que seus leitores estarão familiarizados com o material do evangelho.</w:t>
      </w:r>
    </w:p>
    <w:p>
      <w:r/>
      <w:r>
        <w:t xml:space="preserve">Talvez seja útil nesta conexão perguntar se a vida e os ensinamentos de Jesus desempenharam um papel significativo na proclamação cristã primitiva. Uma passagem que é valiosa a este respeito é </w:t>
      </w:r>
      <w:hyperlink r:id="rId8743">
        <w:r>
          <w:rPr>
            <w:color w:val="0000EE"/>
            <w:u w:val="single"/>
          </w:rPr>
          <w:t>Atos 10.36–38</w:t>
        </w:r>
      </w:hyperlink>
      <w:r>
        <w:t>. Quando Pedro se dirigiu a Cornélio, ele falou de como Deus havia ungido Jesus de Nazaré, e como Jesus havia feito o bem e curado todos os que estavam sob o poder do diabo. Fica claro que alguns relatos dos atos de Jesus foram incluídos nas primeiras pregações, e é razoável supor que isso era comum.</w:t>
      </w:r>
    </w:p>
    <w:p>
      <w:r/>
      <w:r>
        <w:t>Não há dúvida de que o exemplo de Jesus era um motivo poderoso para promover o comportamento correto. Pedro apela para isso quando encorajando os cristãos que estavam sofrendo por sua fé (</w:t>
      </w:r>
      <w:hyperlink r:id="rId11869">
        <w:r>
          <w:rPr>
            <w:color w:val="0000EE"/>
            <w:u w:val="single"/>
          </w:rPr>
          <w:t>1 Pedro 2.21</w:t>
        </w:r>
      </w:hyperlink>
      <w:r>
        <w:t>). Paulo também conhece o valor da imitação (</w:t>
      </w:r>
      <w:hyperlink r:id="rId11870">
        <w:r>
          <w:rPr>
            <w:color w:val="0000EE"/>
            <w:u w:val="single"/>
          </w:rPr>
          <w:t>1 Coríntios 11.1</w:t>
        </w:r>
      </w:hyperlink>
      <w:r>
        <w:t xml:space="preserve">; </w:t>
      </w:r>
      <w:hyperlink r:id="rId8441">
        <w:r>
          <w:rPr>
            <w:color w:val="0000EE"/>
            <w:u w:val="single"/>
          </w:rPr>
          <w:t>1 Tessalonicenses 1.6</w:t>
        </w:r>
      </w:hyperlink>
      <w:r>
        <w:t xml:space="preserve">). Uma vez que Jesus foi reconhecido como um homem que não pecou (compare </w:t>
      </w:r>
      <w:hyperlink r:id="rId3239">
        <w:r>
          <w:rPr>
            <w:color w:val="0000EE"/>
            <w:u w:val="single"/>
          </w:rPr>
          <w:t>2 Coríntios 5.21</w:t>
        </w:r>
      </w:hyperlink>
      <w:r>
        <w:t>), seus padrões de comportamento teriam se provado inestimáveis para aqueles que precisavam de um novo padrão para ação moral.</w:t>
      </w:r>
    </w:p>
    <w:p>
      <w:r/>
      <w:r>
        <w:t>Há algumas referências aos ensinamentos de Jesus na parte não-evangélica do Novo Testamento. Na Carta de Tiago, que é quase totalmente prática, há mais alusões aos ensinamentos de Jesus do que em qualquer outro lugar no Novo Testamento. Isso é especialmente verdadeiro em ecos do Sermão do Monte, e mostra a forte contribuição que o ensino moral de Jesus teve sobre os valores éticos dos primeiros cristãos. A maioria das explicações detalhadas de doutrina nas cartas do Novo Testamento encontra sua base em algum aspecto dos ensinamentos de Jesus. Esses ensinamentos têm um significado contínuo para o desenvolvimento da igreja.</w:t>
      </w:r>
    </w:p>
    <w:p>
      <w:r/>
      <w:r>
        <w:t>Até que ponto o conhecimento da vida e ensinamentos de Jesus é relevante para o século 21? Os teólogos existenciais [que exploram perguntas sobre quem somos e por que existimos] criaram uma tal divisão entre o Cristo da fé e o Jesus da história que este deixou de ter qualquer importância para eles. Os cristãos de hoje, não menos do que seus antecessores do primeiro século, precisam saber que o objeto de sua fé é o mesmo que viveu e ensinou na Galileia e na Judeia.</w:t>
      </w:r>
    </w:p>
    <w:p>
      <w:r/>
      <w:r>
        <w:rPr>
          <w:i/>
        </w:rPr>
        <w:t>Veja também</w:t>
      </w:r>
      <w:r>
        <w:t xml:space="preserve"> </w:t>
      </w:r>
      <w:r>
        <w:t>Ascensão de Cristo</w:t>
      </w:r>
      <w:r>
        <w:t xml:space="preserve">; </w:t>
      </w:r>
      <w:r>
        <w:t>Cristo</w:t>
      </w:r>
      <w:r>
        <w:t xml:space="preserve">; </w:t>
      </w:r>
      <w:r>
        <w:t>Cristologia</w:t>
      </w:r>
      <w:r>
        <w:t xml:space="preserve">; </w:t>
      </w:r>
      <w:r>
        <w:t>Genealogia de Jesus Cristo</w:t>
      </w:r>
      <w:r>
        <w:t xml:space="preserve">; </w:t>
      </w:r>
      <w:r>
        <w:t>Encarnação</w:t>
      </w:r>
      <w:r>
        <w:t xml:space="preserve">; </w:t>
      </w:r>
      <w:r>
        <w:t>Jesus Cristo</w:t>
      </w:r>
      <w:r>
        <w:t xml:space="preserve">; </w:t>
      </w:r>
      <w:r>
        <w:t>Reino de Deus, Reino do Céu</w:t>
      </w:r>
      <w:r>
        <w:t xml:space="preserve">; </w:t>
      </w:r>
      <w:r>
        <w:t>Messias</w:t>
      </w:r>
      <w:r>
        <w:t xml:space="preserve">; </w:t>
      </w:r>
      <w:r>
        <w:t>Parábola</w:t>
      </w:r>
      <w:r>
        <w:t xml:space="preserve">; </w:t>
      </w:r>
      <w:r>
        <w:t>Salvador</w:t>
      </w:r>
      <w:r>
        <w:t xml:space="preserve">; </w:t>
      </w:r>
      <w:r>
        <w:t>Filho de Deus</w:t>
      </w:r>
      <w:r>
        <w:t xml:space="preserve">; </w:t>
      </w:r>
      <w:r>
        <w:t>Filho do Homem</w:t>
      </w:r>
      <w:r>
        <w:t xml:space="preserve">; </w:t>
      </w:r>
      <w:r>
        <w:t>Nascimento virginal de Jesus</w:t>
      </w:r>
      <w:r>
        <w:t>.</w:t>
      </w:r>
      <w:r/>
      <w:r/>
    </w:p>
    <w:p>
      <w:r/>
    </w:p>
    <w:p>
      <w:pPr>
        <w:pStyle w:val="Heading2"/>
      </w:pPr>
      <w:r>
        <w:t>Jetete</w:t>
      </w:r>
      <w:r/>
    </w:p>
    <w:p>
      <w:r/>
      <w:r>
        <w:t>Um líder de clã (chefe) de Edom (</w:t>
      </w:r>
      <w:hyperlink r:id="rId1015">
        <w:r>
          <w:rPr>
            <w:color w:val="0000EE"/>
            <w:u w:val="single"/>
          </w:rPr>
          <w:t>Gn 36.40</w:t>
        </w:r>
      </w:hyperlink>
      <w:r>
        <w:t xml:space="preserve">; </w:t>
      </w:r>
      <w:hyperlink r:id="rId11871">
        <w:r>
          <w:rPr>
            <w:color w:val="0000EE"/>
            <w:u w:val="single"/>
          </w:rPr>
          <w:t>1Cr 1.51</w:t>
        </w:r>
      </w:hyperlink>
      <w:r>
        <w:t>).</w:t>
      </w:r>
      <w:r/>
      <w:r/>
    </w:p>
    <w:p>
      <w:r/>
    </w:p>
    <w:p>
      <w:pPr>
        <w:pStyle w:val="Heading2"/>
      </w:pPr>
      <w:r>
        <w:t>Jetro</w:t>
      </w:r>
      <w:r/>
    </w:p>
    <w:p>
      <w:r/>
      <w:r>
        <w:t>Sogro de Moisés. Zípora, filha de Jetro, tornou-se esposa de Moisés enquanto ele era um fugitivo no deserto (</w:t>
      </w:r>
      <w:hyperlink r:id="rId11872">
        <w:r>
          <w:rPr>
            <w:color w:val="0000EE"/>
            <w:u w:val="single"/>
          </w:rPr>
          <w:t>Êx 2.21</w:t>
        </w:r>
      </w:hyperlink>
      <w:r>
        <w:t>). Quando Moisés partiu para o Egito, ele levou Zípora e seus filhos com ele (</w:t>
      </w:r>
      <w:hyperlink r:id="rId1618">
        <w:r>
          <w:rPr>
            <w:color w:val="0000EE"/>
            <w:u w:val="single"/>
          </w:rPr>
          <w:t>4.20</w:t>
        </w:r>
      </w:hyperlink>
      <w:r>
        <w:t>), mas deve tê-los mandado de volta. Jetro os trouxe para Moisés depois que os israelitas chegaram ao Sinai (</w:t>
      </w:r>
      <w:hyperlink r:id="rId11873">
        <w:r>
          <w:rPr>
            <w:color w:val="0000EE"/>
            <w:u w:val="single"/>
          </w:rPr>
          <w:t>18.1–7</w:t>
        </w:r>
      </w:hyperlink>
      <w:r>
        <w:t>). Através dessa relação familiar com Moisés, Jetro se envolveu com Israel.</w:t>
      </w:r>
    </w:p>
    <w:p>
      <w:r/>
      <w:r>
        <w:t>A relação de Jetro com Israel tem sido interpretado de várias maneiras. Jetro era um sacerdote de Midiã (</w:t>
      </w:r>
      <w:hyperlink r:id="rId11874">
        <w:r>
          <w:rPr>
            <w:color w:val="0000EE"/>
            <w:u w:val="single"/>
          </w:rPr>
          <w:t>Êx 2.16</w:t>
        </w:r>
      </w:hyperlink>
      <w:r>
        <w:t xml:space="preserve">; </w:t>
      </w:r>
      <w:hyperlink r:id="rId6724">
        <w:r>
          <w:rPr>
            <w:color w:val="0000EE"/>
            <w:u w:val="single"/>
          </w:rPr>
          <w:t>3.1</w:t>
        </w:r>
      </w:hyperlink>
      <w:r>
        <w:t>). Não se sabe com certeza qual era a religião dos midianitas, mas alguns estudiosos sugeriram que os queneus, uma tribo incluída na nação dos midianitas (</w:t>
      </w:r>
      <w:hyperlink r:id="rId1039">
        <w:r>
          <w:rPr>
            <w:color w:val="0000EE"/>
            <w:u w:val="single"/>
          </w:rPr>
          <w:t>Jz 1.16</w:t>
        </w:r>
      </w:hyperlink>
      <w:r>
        <w:t>), tinham um deus tribal chamado Yahweh, a quem Jetro servia como sacerdote. Os estudiosos que sugeriram que o deus tribal de Jetro, Yahweh, foi introduzido a Israel por Moisés não conseguiram estabelecer seu argumento. A evidência bíblica não apoia essa interpretação. Está bastante claro que Jetro era um homem temente a Deus e que o servia. O registro bíblico pode ser entendido como ensinando que Jetro conhecia o Deus de Israel porque era descendente de Abraão (</w:t>
      </w:r>
      <w:hyperlink r:id="rId11386">
        <w:r>
          <w:rPr>
            <w:color w:val="0000EE"/>
            <w:u w:val="single"/>
          </w:rPr>
          <w:t>Gn 25.2</w:t>
        </w:r>
      </w:hyperlink>
      <w:r>
        <w:t>). Tendo ouvido sobre a libertação de seu povo do Egito por Yahweh, Jetro o reconheceu como Deus, o maior de todos os deuses. Ele também trouxe uma oferta queimada e sacrifícios, adorando assim Yahweh e se identificando com Israel (</w:t>
      </w:r>
      <w:hyperlink r:id="rId6927">
        <w:r>
          <w:rPr>
            <w:color w:val="0000EE"/>
            <w:u w:val="single"/>
          </w:rPr>
          <w:t>Êx 18.11</w:t>
        </w:r>
      </w:hyperlink>
      <w:r>
        <w:t xml:space="preserve">). Esta ação foi interpretada como a aceitação de uma aliança por Jetro com Israel, mas a interpretação se baseia em uma leitura equivocada do que Jetro realmente fez e do significado de sacrifício e de uma refeição de comunhão. Ao receber o bom conselho de Jetro sobre os procedimentos para julgar disputas entre o povo, Moisés nomeou homens capazes como chefes e juízes sobre o povo (vv. </w:t>
      </w:r>
      <w:hyperlink r:id="rId11875">
        <w:r>
          <w:rPr>
            <w:color w:val="0000EE"/>
            <w:u w:val="single"/>
          </w:rPr>
          <w:t>13–27</w:t>
        </w:r>
      </w:hyperlink>
      <w:r>
        <w:t>). Jetro partiu para sua própria terra e parece não ter tido mais interação com Israel, mas seu filho (</w:t>
      </w:r>
      <w:hyperlink r:id="rId11876">
        <w:r>
          <w:rPr>
            <w:color w:val="0000EE"/>
            <w:u w:val="single"/>
          </w:rPr>
          <w:t>Nm 10.29–33</w:t>
        </w:r>
      </w:hyperlink>
      <w:r>
        <w:t>) e outros descendentes mais tarde se tornaram parte de Israel (</w:t>
      </w:r>
      <w:hyperlink r:id="rId1039">
        <w:r>
          <w:rPr>
            <w:color w:val="0000EE"/>
            <w:u w:val="single"/>
          </w:rPr>
          <w:t>Jz 1.16</w:t>
        </w:r>
      </w:hyperlink>
      <w:r>
        <w:t xml:space="preserve">; </w:t>
      </w:r>
      <w:hyperlink r:id="rId4012">
        <w:r>
          <w:rPr>
            <w:color w:val="0000EE"/>
            <w:u w:val="single"/>
          </w:rPr>
          <w:t>4.11</w:t>
        </w:r>
      </w:hyperlink>
      <w:r>
        <w:t>).</w:t>
      </w:r>
    </w:p>
    <w:p>
      <w:r/>
      <w:r>
        <w:t>Jetro é mencionado por outros nomes, tanto nas Escrituras quanto posteriormente. O Talmude registra que seu nome era originalmente Jéter, mas após sua conversão tornou-se Jetro; não há evidências definitivas para apoiar isso. Ele é chamado de Reuel, o pai de sete filhas que Moisés encontrou em um poço (</w:t>
      </w:r>
      <w:hyperlink r:id="rId11877">
        <w:r>
          <w:rPr>
            <w:color w:val="0000EE"/>
            <w:u w:val="single"/>
          </w:rPr>
          <w:t>Êx 2.16–18</w:t>
        </w:r>
      </w:hyperlink>
      <w:r>
        <w:t xml:space="preserve">; </w:t>
      </w:r>
      <w:hyperlink r:id="rId10680">
        <w:r>
          <w:rPr>
            <w:color w:val="0000EE"/>
            <w:u w:val="single"/>
          </w:rPr>
          <w:t>Nm 10.29</w:t>
        </w:r>
      </w:hyperlink>
      <w:r>
        <w:t>). Ele também é referido pelo nome de Hobabe (</w:t>
      </w:r>
      <w:hyperlink r:id="rId4012">
        <w:r>
          <w:rPr>
            <w:color w:val="0000EE"/>
            <w:u w:val="single"/>
          </w:rPr>
          <w:t>Jz 4.11</w:t>
        </w:r>
      </w:hyperlink>
      <w:r>
        <w:t>); e é dito ser filho de Reuel (</w:t>
      </w:r>
      <w:hyperlink r:id="rId10680">
        <w:r>
          <w:rPr>
            <w:color w:val="0000EE"/>
            <w:u w:val="single"/>
          </w:rPr>
          <w:t>Nm 10.29</w:t>
        </w:r>
      </w:hyperlink>
      <w:r>
        <w:t xml:space="preserve">). As Escrituras não explicam o uso dos diferentes nomes. As sugestões incluem o seguinte: (1) cada tribo midianita para a qual ele serviu como sacerdote o conhecia por um nome diferente; (2) Reuel era um nome tribal, não pessoal; (3) Hobabe, o nome do filho, foi usado para se referir ao pai; (4) uma nota explicativa aparece no texto em </w:t>
      </w:r>
      <w:hyperlink r:id="rId10683">
        <w:r>
          <w:rPr>
            <w:color w:val="0000EE"/>
            <w:u w:val="single"/>
          </w:rPr>
          <w:t>Êxodo 2.18</w:t>
        </w:r>
      </w:hyperlink>
      <w:r>
        <w:t xml:space="preserve"> e </w:t>
      </w:r>
      <w:hyperlink r:id="rId4012">
        <w:r>
          <w:rPr>
            <w:color w:val="0000EE"/>
            <w:u w:val="single"/>
          </w:rPr>
          <w:t>Juízes 4.11</w:t>
        </w:r>
      </w:hyperlink>
      <w:r>
        <w:t>. Pode-se estabelecer com bastante clareza, no entanto, que Jetro tinha um filho chamado Hobabe.</w:t>
      </w:r>
    </w:p>
    <w:p>
      <w:r/>
      <w:r>
        <w:rPr>
          <w:i/>
        </w:rPr>
        <w:t>Veja também</w:t>
      </w:r>
      <w:r>
        <w:t xml:space="preserve"> </w:t>
      </w:r>
      <w:r>
        <w:t>Midiã, Midianita,</w:t>
      </w:r>
      <w:r>
        <w:t xml:space="preserve"> </w:t>
      </w:r>
      <w:r>
        <w:t>Moisés</w:t>
      </w:r>
      <w:r>
        <w:t>.</w:t>
      </w:r>
      <w:r/>
      <w:r/>
    </w:p>
    <w:p>
      <w:r/>
    </w:p>
    <w:p>
      <w:pPr>
        <w:pStyle w:val="Heading2"/>
      </w:pPr>
      <w:r>
        <w:t>Jetur, Jeturitas</w:t>
      </w:r>
      <w:r/>
    </w:p>
    <w:p>
      <w:r/>
      <w:r>
        <w:t>Filho de Ismael e seus descendentes (</w:t>
      </w:r>
      <w:hyperlink r:id="rId10279">
        <w:r>
          <w:rPr>
            <w:color w:val="0000EE"/>
            <w:u w:val="single"/>
          </w:rPr>
          <w:t>Gn 25.15</w:t>
        </w:r>
      </w:hyperlink>
      <w:r>
        <w:t xml:space="preserve">; </w:t>
      </w:r>
      <w:hyperlink r:id="rId11878">
        <w:r>
          <w:rPr>
            <w:color w:val="0000EE"/>
            <w:u w:val="single"/>
          </w:rPr>
          <w:t>1Cr 1.31</w:t>
        </w:r>
      </w:hyperlink>
      <w:r>
        <w:t>).</w:t>
      </w:r>
    </w:p>
    <w:p>
      <w:r/>
      <w:r>
        <w:t>As tribos israelitas que se estabeleceram a leste do Jordão tiveram que lutar contra eles (</w:t>
      </w:r>
      <w:hyperlink r:id="rId11879">
        <w:r>
          <w:rPr>
            <w:color w:val="0000EE"/>
            <w:u w:val="single"/>
          </w:rPr>
          <w:t>1Cr 5.19</w:t>
        </w:r>
      </w:hyperlink>
      <w:r>
        <w:t>). Eles também são chamados de itureus. Os jeturitas continuaram a viver até os tempos do Novo Testamento. A região de Itureia foi nomeada em homenagem a eles. Era uma área a nordeste da Galileia (</w:t>
      </w:r>
      <w:hyperlink r:id="rId9463">
        <w:r>
          <w:rPr>
            <w:color w:val="0000EE"/>
            <w:u w:val="single"/>
          </w:rPr>
          <w:t>Lc 3.1</w:t>
        </w:r>
      </w:hyperlink>
      <w:r>
        <w:t>).</w:t>
      </w:r>
    </w:p>
    <w:p>
      <w:r/>
      <w:r>
        <w:rPr>
          <w:i/>
        </w:rPr>
        <w:t>Veja</w:t>
      </w:r>
      <w:r>
        <w:t xml:space="preserve"> </w:t>
      </w:r>
      <w:r>
        <w:t>Itureia, Itureus</w:t>
      </w:r>
      <w:r>
        <w:t>.</w:t>
      </w:r>
      <w:r/>
      <w:r/>
    </w:p>
    <w:p>
      <w:r/>
    </w:p>
    <w:p>
      <w:pPr>
        <w:pStyle w:val="Heading2"/>
      </w:pPr>
      <w:r>
        <w:t>Jeús</w:t>
      </w:r>
      <w:r/>
    </w:p>
    <w:p>
      <w:pPr>
        <w:pStyle w:val="ListNumber"/>
        <w:spacing w:line="240" w:lineRule="auto"/>
        <w:ind w:left="720"/>
      </w:pPr>
      <w:r/>
      <w:r>
        <w:t>O mais velho de três filhos nascidos de Esaú com Oolibama. Ela era filha de Aná, dos cananeus. Jeús foi um chefe entre os descendentes de Esaú em Edom (</w:t>
      </w:r>
      <w:hyperlink r:id="rId11880">
        <w:r>
          <w:rPr>
            <w:color w:val="0000EE"/>
            <w:u w:val="single"/>
          </w:rPr>
          <w:t>Gn 36.5–18</w:t>
        </w:r>
      </w:hyperlink>
      <w:r>
        <w:t xml:space="preserve">; </w:t>
      </w:r>
      <w:hyperlink r:id="rId5626">
        <w:r>
          <w:rPr>
            <w:color w:val="0000EE"/>
            <w:u w:val="single"/>
          </w:rPr>
          <w:t>1Cr 1.35</w:t>
        </w:r>
      </w:hyperlink>
      <w:r>
        <w:t>).</w:t>
      </w:r>
    </w:p>
    <w:p>
      <w:pPr>
        <w:pStyle w:val="ListNumber"/>
        <w:spacing w:line="240" w:lineRule="auto"/>
        <w:ind w:left="720"/>
      </w:pPr>
      <w:r/>
      <w:r>
        <w:t>Um filho de Bilã da família de Jediael. Ele também foi um líder na tribo de Benjamim (</w:t>
      </w:r>
      <w:hyperlink r:id="rId3403">
        <w:r>
          <w:rPr>
            <w:color w:val="0000EE"/>
            <w:u w:val="single"/>
          </w:rPr>
          <w:t>1Cr 7.10</w:t>
        </w:r>
      </w:hyperlink>
      <w:r>
        <w:t>).</w:t>
      </w:r>
    </w:p>
    <w:p>
      <w:pPr>
        <w:pStyle w:val="ListNumber"/>
        <w:spacing w:line="240" w:lineRule="auto"/>
        <w:ind w:left="720"/>
      </w:pPr>
      <w:r/>
      <w:r>
        <w:t>Um benjamita, filho de Ezeque e descendente do rei Saul (</w:t>
      </w:r>
      <w:hyperlink r:id="rId11881">
        <w:r>
          <w:rPr>
            <w:color w:val="0000EE"/>
            <w:u w:val="single"/>
          </w:rPr>
          <w:t>1Cr 8.39</w:t>
        </w:r>
      </w:hyperlink>
      <w:r>
        <w:t>).</w:t>
      </w:r>
    </w:p>
    <w:p>
      <w:pPr>
        <w:pStyle w:val="ListNumber"/>
        <w:spacing w:line="240" w:lineRule="auto"/>
        <w:ind w:left="720"/>
      </w:pPr>
      <w:r/>
      <w:r>
        <w:t>Um levita da família de Gérson e o terceiro dos quatro filhos de Simei. Ele e seu irmão mais novo, Berias, tiveram poucos filhos. Assim, os registros durante o reinado do rei Davi os consideram como uma única família (</w:t>
      </w:r>
      <w:hyperlink r:id="rId3445">
        <w:r>
          <w:rPr>
            <w:color w:val="0000EE"/>
            <w:u w:val="single"/>
          </w:rPr>
          <w:t>1Cr 23.10–11</w:t>
        </w:r>
      </w:hyperlink>
      <w:r>
        <w:t>).</w:t>
      </w:r>
    </w:p>
    <w:p>
      <w:pPr>
        <w:pStyle w:val="ListNumber"/>
        <w:spacing w:line="240" w:lineRule="auto"/>
        <w:ind w:left="720"/>
      </w:pPr>
      <w:r/>
      <w:r>
        <w:t>O mais velho de três filhos nascidos do rei Roboão com Maalate. Ela era neta de Eliabe (</w:t>
      </w:r>
      <w:hyperlink r:id="rId11882">
        <w:r>
          <w:rPr>
            <w:color w:val="0000EE"/>
            <w:u w:val="single"/>
          </w:rPr>
          <w:t>2Cr 11.19</w:t>
        </w:r>
      </w:hyperlink>
      <w:r>
        <w:t>).</w:t>
      </w:r>
      <w:r/>
      <w:r/>
    </w:p>
    <w:p>
      <w:r/>
    </w:p>
    <w:p>
      <w:pPr>
        <w:pStyle w:val="Heading2"/>
      </w:pPr>
      <w:r>
        <w:t>Jezer</w:t>
      </w:r>
      <w:r/>
    </w:p>
    <w:p>
      <w:r/>
      <w:r>
        <w:t>O terceiro filho de Naftali e o fundador do clã jezerita (</w:t>
      </w:r>
      <w:hyperlink r:id="rId10275">
        <w:r>
          <w:rPr>
            <w:color w:val="0000EE"/>
            <w:u w:val="single"/>
          </w:rPr>
          <w:t>Gn 46.24</w:t>
        </w:r>
      </w:hyperlink>
      <w:r>
        <w:t xml:space="preserve">; </w:t>
      </w:r>
      <w:hyperlink r:id="rId11883">
        <w:r>
          <w:rPr>
            <w:color w:val="0000EE"/>
            <w:u w:val="single"/>
          </w:rPr>
          <w:t>Nm 26.49</w:t>
        </w:r>
      </w:hyperlink>
      <w:r>
        <w:t xml:space="preserve">; </w:t>
      </w:r>
      <w:hyperlink r:id="rId10276">
        <w:r>
          <w:rPr>
            <w:color w:val="0000EE"/>
            <w:u w:val="single"/>
          </w:rPr>
          <w:t>1Cr 7.13</w:t>
        </w:r>
      </w:hyperlink>
      <w:r>
        <w:t>).</w:t>
      </w:r>
      <w:r/>
      <w:r/>
    </w:p>
    <w:p>
      <w:r/>
    </w:p>
    <w:p>
      <w:pPr>
        <w:pStyle w:val="Heading2"/>
      </w:pPr>
      <w:r>
        <w:t>Jezer, Jezeritas</w:t>
      </w:r>
      <w:r/>
    </w:p>
    <w:p>
      <w:r/>
      <w:r>
        <w:t>Jezer e jezeritas são formas abreviadas dos nomes Abiezer e Abiezrita. Abiezer era um filho de Gileade, e os abiezritas eram descendentes de Abiezer (</w:t>
      </w:r>
      <w:hyperlink r:id="rId82">
        <w:r>
          <w:rPr>
            <w:color w:val="0000EE"/>
            <w:u w:val="single"/>
          </w:rPr>
          <w:t>Nm 26.30</w:t>
        </w:r>
      </w:hyperlink>
      <w:r>
        <w:t>).</w:t>
      </w:r>
    </w:p>
    <w:p>
      <w:r/>
      <w:r>
        <w:rPr>
          <w:i/>
        </w:rPr>
        <w:t>Veja</w:t>
      </w:r>
      <w:r>
        <w:t xml:space="preserve"> </w:t>
      </w:r>
      <w:r>
        <w:t>Abiezer #1</w:t>
      </w:r>
      <w:r>
        <w:t>.</w:t>
      </w:r>
      <w:r/>
      <w:r/>
    </w:p>
    <w:p>
      <w:r/>
    </w:p>
    <w:p>
      <w:pPr>
        <w:pStyle w:val="Heading2"/>
      </w:pPr>
      <w:r>
        <w:t>Jidlafe</w:t>
      </w:r>
      <w:r/>
    </w:p>
    <w:p>
      <w:r/>
      <w:r>
        <w:t>O sétimo filho de Naor e Milca (</w:t>
      </w:r>
      <w:hyperlink r:id="rId10370">
        <w:r>
          <w:rPr>
            <w:color w:val="0000EE"/>
            <w:u w:val="single"/>
          </w:rPr>
          <w:t>Gn 22.22</w:t>
        </w:r>
      </w:hyperlink>
      <w:r>
        <w:t>).</w:t>
      </w:r>
      <w:r/>
      <w:r/>
    </w:p>
    <w:p>
      <w:r/>
    </w:p>
    <w:p>
      <w:pPr>
        <w:pStyle w:val="Heading2"/>
      </w:pPr>
      <w:r>
        <w:t>Jó</w:t>
      </w:r>
      <w:r/>
    </w:p>
    <w:p>
      <w:r/>
      <w:r>
        <w:t xml:space="preserve">Nome alternativo para Jasube, filho de Issacar, em </w:t>
      </w:r>
      <w:hyperlink r:id="rId11448">
        <w:r>
          <w:rPr>
            <w:color w:val="0000EE"/>
            <w:u w:val="single"/>
          </w:rPr>
          <w:t>Gênesis 46.13</w:t>
        </w:r>
      </w:hyperlink>
      <w:r>
        <w:t xml:space="preserve">. </w:t>
      </w:r>
      <w:r>
        <w:rPr>
          <w:i/>
        </w:rPr>
        <w:t>Veja</w:t>
      </w:r>
      <w:r>
        <w:t xml:space="preserve"> </w:t>
      </w:r>
      <w:r>
        <w:t>Jasube #1</w:t>
      </w:r>
      <w:r>
        <w:t>.</w:t>
      </w:r>
      <w:r/>
      <w:r/>
    </w:p>
    <w:p>
      <w:r/>
    </w:p>
    <w:p>
      <w:pPr>
        <w:pStyle w:val="Heading2"/>
      </w:pPr>
      <w:r>
        <w:t>Jó (pessoa)</w:t>
      </w:r>
      <w:r/>
    </w:p>
    <w:p>
      <w:r/>
      <w:r>
        <w:t xml:space="preserve">1. Uma forma alternativa para Jasube, o terceiro filho de Issacar, em </w:t>
      </w:r>
      <w:hyperlink r:id="rId11448">
        <w:r>
          <w:rPr>
            <w:color w:val="0000EE"/>
            <w:u w:val="single"/>
          </w:rPr>
          <w:t>Gênesis 46.13</w:t>
        </w:r>
      </w:hyperlink>
      <w:r>
        <w:t xml:space="preserve">. </w:t>
      </w:r>
      <w:r>
        <w:rPr>
          <w:i/>
        </w:rPr>
        <w:t>Veja</w:t>
      </w:r>
      <w:r>
        <w:t xml:space="preserve"> </w:t>
      </w:r>
      <w:r>
        <w:t>Jasube #1</w:t>
      </w:r>
      <w:r>
        <w:t>.</w:t>
      </w:r>
    </w:p>
    <w:p>
      <w:r/>
      <w:r>
        <w:t>2. Personagem central do livro de Jó. O intenso sofrimento enfrentado por Jó fornece a estrutura para o tema principal do livro, que aborda o papel do sofrimento na vida de um filho de Deus.</w:t>
      </w:r>
    </w:p>
    <w:p>
      <w:r/>
      <w:r>
        <w:t>A etimologia do nome é complexa. Alguns o veem como derivado de uma palavra hebraica que significa "ser hostil" e sugerem que reflete a determinação de Jó em recusar-se a submeter-se à vontade de Deus. No entanto, o nome ocorre em vários textos semíticos ocidentais como um nome próprio, e parece ser melhor entendido simplesmente como um nome comum. O significado do nome em semítico ocidental é "sem pai" ou "onde está meu pai?".</w:t>
      </w:r>
    </w:p>
    <w:p>
      <w:r/>
      <w:r>
        <w:t xml:space="preserve">A falta de certeza em relação à autoria e à proveniência geográfica do livro torna difícil situar Jó na história. A ocorrência do nome de Jó em </w:t>
      </w:r>
      <w:hyperlink r:id="rId11884">
        <w:r>
          <w:rPr>
            <w:color w:val="0000EE"/>
            <w:u w:val="single"/>
          </w:rPr>
          <w:t>Ezequiel 14.14,20</w:t>
        </w:r>
      </w:hyperlink>
      <w:r>
        <w:t xml:space="preserve"> parece apoiar a possibilidade de que ele foi uma personagem de grande antiguidade.</w:t>
      </w:r>
    </w:p>
    <w:p>
      <w:r/>
      <w:r>
        <w:rPr>
          <w:i/>
        </w:rPr>
        <w:t>Veja também</w:t>
      </w:r>
      <w:r>
        <w:t xml:space="preserve"> </w:t>
      </w:r>
      <w:r>
        <w:t>o livro de Jó</w:t>
      </w:r>
      <w:r>
        <w:t>.</w:t>
      </w:r>
      <w:r/>
      <w:r/>
    </w:p>
    <w:p>
      <w:r/>
    </w:p>
    <w:p>
      <w:pPr>
        <w:pStyle w:val="Heading2"/>
      </w:pPr>
      <w:r>
        <w:t>João (pessoa)</w:t>
      </w:r>
      <w:r/>
    </w:p>
    <w:p>
      <w:pPr>
        <w:pStyle w:val="ListNumber"/>
        <w:spacing w:line="240" w:lineRule="auto"/>
        <w:ind w:left="720"/>
      </w:pPr>
      <w:r/>
      <w:r>
        <w:t>O pai de Simão Pedro e André (</w:t>
      </w:r>
      <w:hyperlink r:id="rId1427">
        <w:r>
          <w:rPr>
            <w:color w:val="0000EE"/>
            <w:u w:val="single"/>
          </w:rPr>
          <w:t>Jo 1.40–42</w:t>
        </w:r>
      </w:hyperlink>
      <w:r>
        <w:t xml:space="preserve">; </w:t>
      </w:r>
      <w:hyperlink r:id="rId1437">
        <w:r>
          <w:rPr>
            <w:color w:val="0000EE"/>
            <w:u w:val="single"/>
          </w:rPr>
          <w:t>21.15–17</w:t>
        </w:r>
      </w:hyperlink>
      <w:r>
        <w:t xml:space="preserve">). De acordo com </w:t>
      </w:r>
      <w:hyperlink r:id="rId1435">
        <w:r>
          <w:rPr>
            <w:color w:val="0000EE"/>
            <w:u w:val="single"/>
          </w:rPr>
          <w:t>Mateus 16.17</w:t>
        </w:r>
      </w:hyperlink>
      <w:r>
        <w:t>, o pai de Pedro se chamava Jona (Jonas, Jonas). Jona era ou uma outra versão do nome João ou existiam duas histórias sobre seu nome;</w:t>
      </w:r>
    </w:p>
    <w:p>
      <w:pPr>
        <w:pStyle w:val="ListNumber"/>
        <w:spacing w:line="240" w:lineRule="auto"/>
        <w:ind w:left="720"/>
      </w:pPr>
      <w:r/>
      <w:r>
        <w:t>Um membro da família do sumo sacerdote que, junto com Anás, Caifás e Alexandre, questionou Pedro e João depois que os dois apóstolos curaram um homem coxo (</w:t>
      </w:r>
      <w:hyperlink r:id="rId737">
        <w:r>
          <w:rPr>
            <w:color w:val="0000EE"/>
            <w:u w:val="single"/>
          </w:rPr>
          <w:t>At 4.6</w:t>
        </w:r>
      </w:hyperlink>
      <w:r>
        <w:t>);</w:t>
      </w:r>
    </w:p>
    <w:p>
      <w:pPr>
        <w:pStyle w:val="ListNumber"/>
        <w:spacing w:line="240" w:lineRule="auto"/>
        <w:ind w:left="720"/>
      </w:pPr>
      <w:r/>
      <w:r>
        <w:t xml:space="preserve">De acordo com o bispo da igreja primitiva Papias, um membro do grupo maior de discípulos de Jesus fora dos Doze (compare </w:t>
      </w:r>
      <w:hyperlink r:id="rId3623">
        <w:r>
          <w:rPr>
            <w:color w:val="0000EE"/>
            <w:u w:val="single"/>
          </w:rPr>
          <w:t>Lc 10.1</w:t>
        </w:r>
      </w:hyperlink>
      <w:r>
        <w:t>). Conhecido como “João o ancião", ele é frequentemente mencionado como o autor de 2 e 3 João (</w:t>
      </w:r>
      <w:hyperlink r:id="rId11885">
        <w:r>
          <w:rPr>
            <w:color w:val="0000EE"/>
            <w:u w:val="single"/>
          </w:rPr>
          <w:t>2Jo 1.1</w:t>
        </w:r>
      </w:hyperlink>
      <w:r>
        <w:t xml:space="preserve">; </w:t>
      </w:r>
      <w:hyperlink r:id="rId9711">
        <w:r>
          <w:rPr>
            <w:color w:val="0000EE"/>
            <w:u w:val="single"/>
          </w:rPr>
          <w:t>3Jo 1.1</w:t>
        </w:r>
      </w:hyperlink>
      <w:r>
        <w:t>). O termo “ancião” provavelmente se refere a João o apóstolo;</w:t>
      </w:r>
    </w:p>
    <w:p>
      <w:pPr>
        <w:pStyle w:val="ListNumber"/>
        <w:spacing w:line="240" w:lineRule="auto"/>
        <w:ind w:left="720"/>
      </w:pPr>
      <w:r/>
      <w:r>
        <w:t xml:space="preserve">O apóstolo. </w:t>
      </w:r>
      <w:r>
        <w:rPr>
          <w:i/>
        </w:rPr>
        <w:t>Veja</w:t>
      </w:r>
      <w:r>
        <w:t xml:space="preserve"> </w:t>
      </w:r>
      <w:r>
        <w:t>João, o apóstolo;</w:t>
      </w:r>
    </w:p>
    <w:p>
      <w:pPr>
        <w:pStyle w:val="ListNumber"/>
        <w:spacing w:line="240" w:lineRule="auto"/>
        <w:ind w:left="720"/>
      </w:pPr>
      <w:r/>
      <w:r>
        <w:t xml:space="preserve">O Batista. </w:t>
      </w:r>
      <w:r>
        <w:rPr>
          <w:i/>
        </w:rPr>
        <w:t>Veja</w:t>
      </w:r>
      <w:r>
        <w:t xml:space="preserve"> </w:t>
      </w:r>
      <w:r>
        <w:t>João Batista;</w:t>
      </w:r>
    </w:p>
    <w:p>
      <w:pPr>
        <w:pStyle w:val="ListNumber"/>
        <w:spacing w:line="240" w:lineRule="auto"/>
        <w:ind w:left="720"/>
      </w:pPr>
      <w:r/>
      <w:r>
        <w:t xml:space="preserve">Um dos primeiros discípulos, conhecido como João Marcos, é o autor do segundo evangelho. </w:t>
      </w:r>
      <w:r>
        <w:rPr>
          <w:i/>
        </w:rPr>
        <w:t>Veja</w:t>
      </w:r>
      <w:r>
        <w:t xml:space="preserve"> </w:t>
      </w:r>
      <w:r>
        <w:t>Marcos, João</w:t>
      </w:r>
      <w:r>
        <w:t>.</w:t>
      </w:r>
      <w:r/>
      <w:r/>
    </w:p>
    <w:p>
      <w:r/>
    </w:p>
    <w:p>
      <w:pPr>
        <w:pStyle w:val="Heading2"/>
      </w:pPr>
      <w:r>
        <w:t>João Batista</w:t>
      </w:r>
      <w:r/>
    </w:p>
    <w:p>
      <w:r/>
      <w:r>
        <w:t>Precursor do Messias que preparou as pessoas para a vinda de Jesus, proclamou a necessidade de perdão dos pecados e ofereceu um batismo simbolizando o arrependimento. Seu ministério incluiu o batismo de Jesus no rio Jordão, onde ele testificou que Jesus era o Esperado de Deus. João foi preso e decapitado por Herodes Antipas em aproximadamente 29 d.C., enquanto Jesus ainda estava ministrando.</w:t>
      </w:r>
    </w:p>
    <w:p>
      <w:r/>
      <w:r>
        <w:t>Resumo</w:t>
      </w:r>
    </w:p>
    <w:p>
      <w:r/>
      <w:r>
        <w:t>• Nascimento e infância</w:t>
      </w:r>
    </w:p>
    <w:p>
      <w:r/>
      <w:r>
        <w:t>• Aparência e identidade</w:t>
      </w:r>
    </w:p>
    <w:p>
      <w:r/>
      <w:r>
        <w:t>• A proclamação de João</w:t>
      </w:r>
    </w:p>
    <w:p>
      <w:r/>
      <w:r>
        <w:t>• O batismo de João</w:t>
      </w:r>
    </w:p>
    <w:p>
      <w:r/>
      <w:r>
        <w:t>• A visão de João sobre Jesus</w:t>
      </w:r>
    </w:p>
    <w:p>
      <w:r/>
      <w:r>
        <w:t>• A visão de Jesus sobre João</w:t>
      </w:r>
    </w:p>
    <w:p>
      <w:r/>
      <w:r>
        <w:t>• Prisão e martírio</w:t>
      </w:r>
    </w:p>
    <w:p>
      <w:r/>
      <w:r>
        <w:t>• Os discípulos de João</w:t>
      </w:r>
    </w:p>
    <w:p>
      <w:pPr>
        <w:pStyle w:val="Heading3"/>
      </w:pPr>
      <w:r>
        <w:t>Nascimento e infância</w:t>
      </w:r>
    </w:p>
    <w:p>
      <w:r/>
      <w:r>
        <w:t>O Evangelho de Lucas é nossa única fonte de informações sobre o nascimento e a infância de João. O escritor do Evangelho afirma que João nasceu na região montanhosa de Judá (</w:t>
      </w:r>
      <w:hyperlink r:id="rId11886">
        <w:r>
          <w:rPr>
            <w:color w:val="0000EE"/>
            <w:u w:val="single"/>
          </w:rPr>
          <w:t>Lc 1.39</w:t>
        </w:r>
      </w:hyperlink>
      <w:r>
        <w:t xml:space="preserve">) de descendência sacerdotal, sendo filho de Zacarias, um sacerdote da ordem de Abias, e Isabel, uma descendente de Arão (v. </w:t>
      </w:r>
      <w:hyperlink r:id="rId4069">
        <w:r>
          <w:rPr>
            <w:color w:val="0000EE"/>
            <w:u w:val="single"/>
          </w:rPr>
          <w:t>5</w:t>
        </w:r>
      </w:hyperlink>
      <w:r>
        <w:t xml:space="preserve">). Ambos os pais eram justos aos olhos de Deus, seguindo todos os mandamentos de perto (v. </w:t>
      </w:r>
      <w:hyperlink r:id="rId11200">
        <w:r>
          <w:rPr>
            <w:color w:val="0000EE"/>
            <w:u w:val="single"/>
          </w:rPr>
          <w:t>6</w:t>
        </w:r>
      </w:hyperlink>
      <w:r>
        <w:t xml:space="preserve">). Como o nascimento de Jesus, apenas em um grau muito menor, o nascimento de João Batista é descrito em Lucas como extraordinário. O anjo Gabriel anunciou o nascimento de Zacarias no templo; para a mais velha e estéril Isabel veio como uma resposta à oração (vv. </w:t>
      </w:r>
      <w:hyperlink r:id="rId11887">
        <w:r>
          <w:rPr>
            <w:color w:val="0000EE"/>
            <w:u w:val="single"/>
          </w:rPr>
          <w:t>8–13</w:t>
        </w:r>
      </w:hyperlink>
      <w:r>
        <w:t xml:space="preserve">). O nome de João é anunciado a Zacarias pelo anjo, mesmo quando seu propósito de precursor é revelado antes do nascimento (vv. </w:t>
      </w:r>
      <w:hyperlink r:id="rId11203">
        <w:r>
          <w:rPr>
            <w:color w:val="0000EE"/>
            <w:u w:val="single"/>
          </w:rPr>
          <w:t>13–17</w:t>
        </w:r>
      </w:hyperlink>
      <w:r>
        <w:t xml:space="preserve">). Tal consagração desde o nascimento é uma reminiscência do chamado do profeta do AT, Jeremias (cf. </w:t>
      </w:r>
      <w:hyperlink r:id="rId11888">
        <w:r>
          <w:rPr>
            <w:color w:val="0000EE"/>
            <w:u w:val="single"/>
          </w:rPr>
          <w:t>Jr 1.5</w:t>
        </w:r>
      </w:hyperlink>
      <w:r>
        <w:t>).</w:t>
      </w:r>
    </w:p>
    <w:p>
      <w:r/>
      <w:r>
        <w:t>Existia certo relacionamento familiar entre as famílias de João e Jesus. Isabel é descrita como uma parente de Maria (</w:t>
      </w:r>
      <w:hyperlink r:id="rId11199">
        <w:r>
          <w:rPr>
            <w:color w:val="0000EE"/>
            <w:u w:val="single"/>
          </w:rPr>
          <w:t>Lc 1.36</w:t>
        </w:r>
      </w:hyperlink>
      <w:r>
        <w:t>), o que pode conotar algo como prima ou tia, ou pode significar apenas ser da mesma tribo.</w:t>
      </w:r>
    </w:p>
    <w:p>
      <w:r/>
      <w:r>
        <w:t>A infância de João, como a de Jesus, é deixada bastante vaga no relato do Evangelho. Tudo o que é dito é que João "cresceu e ficou forte de espírito. E viveu no deserto até o dia em que apareceu diante do povo de Israel.” (</w:t>
      </w:r>
      <w:hyperlink r:id="rId11889">
        <w:r>
          <w:rPr>
            <w:color w:val="0000EE"/>
            <w:u w:val="single"/>
          </w:rPr>
          <w:t>Lc 1.80</w:t>
        </w:r>
      </w:hyperlink>
      <w:r>
        <w:t>, NTLH). Alguns estudiosos sugeriram que João poderia ter sido adotado quando menino pelos essênios (como era sua prática) em Qumran e criado em sua comunidade selvagem, adjacente ao Mar Morto e perto do rio Jordão. Há algumas semelhanças entre as atividades da seita de Qumran, conhecidas através dos Manuscritos do Mar Morto, e o ministério posterior de João Batista. Ambos praticavam um tipo de ascetismo e se retiravam da vida de Jerusalém. Ambos praticavam o batismo e associavam este rito com iniciação e arrependimento. Finalmente, João e o grupo de Qumran tinham uma mentalidade escatológica, esperando a atividade final de Deus do fim dos tempos na história. No entanto, muitas diferenças significativas existem entre João e a seita Qumran.</w:t>
      </w:r>
    </w:p>
    <w:p>
      <w:pPr>
        <w:pStyle w:val="Heading3"/>
      </w:pPr>
      <w:r>
        <w:t>Aparência e identidade</w:t>
      </w:r>
    </w:p>
    <w:p>
      <w:r/>
      <w:r>
        <w:t>O Evangelho de Marcos começa com um relato da aparição de João Batista: “E foi assim que João Batista apareceu no deserto, batizando o povo e anunciando esta mensagem: — Arrependam-se dos seus pecados e sejam batizados, que Deus perdoará vocês.” (</w:t>
      </w:r>
      <w:hyperlink r:id="rId2607">
        <w:r>
          <w:rPr>
            <w:color w:val="0000EE"/>
            <w:u w:val="single"/>
          </w:rPr>
          <w:t>Mc 1.4</w:t>
        </w:r>
      </w:hyperlink>
      <w:r>
        <w:t>, NTLH). Um rico contexto do AT está por trás da associação de João com o deserto, neste caso o deserto da Judeia. Foi no deserto que Deus se revelou a Moisés (</w:t>
      </w:r>
      <w:hyperlink r:id="rId11890">
        <w:r>
          <w:rPr>
            <w:color w:val="0000EE"/>
            <w:u w:val="single"/>
          </w:rPr>
          <w:t>Êx 3</w:t>
        </w:r>
      </w:hyperlink>
      <w:r>
        <w:t xml:space="preserve">), deu a lei e entrou na aliança com Israel (capítulo </w:t>
      </w:r>
      <w:hyperlink r:id="rId804">
        <w:r>
          <w:rPr>
            <w:color w:val="0000EE"/>
            <w:u w:val="single"/>
          </w:rPr>
          <w:t>19</w:t>
        </w:r>
      </w:hyperlink>
      <w:r>
        <w:t>). Também foi o local de refúgio para Davi (</w:t>
      </w:r>
      <w:hyperlink r:id="rId11891">
        <w:r>
          <w:rPr>
            <w:color w:val="0000EE"/>
            <w:u w:val="single"/>
          </w:rPr>
          <w:t>1Sm 23–26</w:t>
        </w:r>
      </w:hyperlink>
      <w:r>
        <w:t xml:space="preserve">; </w:t>
      </w:r>
      <w:hyperlink r:id="rId5292">
        <w:r>
          <w:rPr>
            <w:color w:val="0000EE"/>
            <w:u w:val="single"/>
          </w:rPr>
          <w:t>Sl 63</w:t>
        </w:r>
      </w:hyperlink>
      <w:r>
        <w:t>) e Elias (</w:t>
      </w:r>
      <w:hyperlink r:id="rId11892">
        <w:r>
          <w:rPr>
            <w:color w:val="0000EE"/>
            <w:u w:val="single"/>
          </w:rPr>
          <w:t>1Rs 19</w:t>
        </w:r>
      </w:hyperlink>
      <w:r>
        <w:t>), e a luz disso se tornou o local antecipado da futura libertação de Deus (</w:t>
      </w:r>
      <w:hyperlink r:id="rId11893">
        <w:r>
          <w:rPr>
            <w:color w:val="0000EE"/>
            <w:u w:val="single"/>
          </w:rPr>
          <w:t>Is 40.3–5</w:t>
        </w:r>
      </w:hyperlink>
      <w:r>
        <w:t xml:space="preserve">; </w:t>
      </w:r>
      <w:hyperlink r:id="rId2328">
        <w:r>
          <w:rPr>
            <w:color w:val="0000EE"/>
            <w:u w:val="single"/>
          </w:rPr>
          <w:t>Ez 47.1–12</w:t>
        </w:r>
      </w:hyperlink>
      <w:r>
        <w:t xml:space="preserve">; </w:t>
      </w:r>
      <w:hyperlink r:id="rId6774">
        <w:r>
          <w:rPr>
            <w:color w:val="0000EE"/>
            <w:u w:val="single"/>
          </w:rPr>
          <w:t>Os 2.14–15</w:t>
        </w:r>
      </w:hyperlink>
      <w:r>
        <w:t>).</w:t>
      </w:r>
    </w:p>
    <w:p>
      <w:r/>
      <w:r>
        <w:t>A vestimenta incomum de João Batista — “roupa feita de pêlos de camelo e um cinto de couro” (</w:t>
      </w:r>
      <w:hyperlink r:id="rId1795">
        <w:r>
          <w:rPr>
            <w:color w:val="0000EE"/>
            <w:u w:val="single"/>
          </w:rPr>
          <w:t>Mc 1.6</w:t>
        </w:r>
      </w:hyperlink>
      <w:r>
        <w:t>, NTLH) — pode ter sugerido ao seu público uma associação com Elias em especial (</w:t>
      </w:r>
      <w:hyperlink r:id="rId6049">
        <w:r>
          <w:rPr>
            <w:color w:val="0000EE"/>
            <w:u w:val="single"/>
          </w:rPr>
          <w:t>2Rs 1.8</w:t>
        </w:r>
      </w:hyperlink>
      <w:r>
        <w:t>) ou com os profetas em geral (</w:t>
      </w:r>
      <w:hyperlink r:id="rId1498">
        <w:r>
          <w:rPr>
            <w:color w:val="0000EE"/>
            <w:u w:val="single"/>
          </w:rPr>
          <w:t>Zc 13.4</w:t>
        </w:r>
      </w:hyperlink>
      <w:r>
        <w:t>). Sua dieta, “gafanhotos e mel selvagem” (</w:t>
      </w:r>
      <w:hyperlink r:id="rId1795">
        <w:r>
          <w:rPr>
            <w:color w:val="0000EE"/>
            <w:u w:val="single"/>
          </w:rPr>
          <w:t>Mc 1.6</w:t>
        </w:r>
      </w:hyperlink>
      <w:r>
        <w:t>), era leviticamente limpa, refletindo alguém que vivia do deserto (tal comida também era comida em Qumran) e fazia parte do ascetismo mais amplo praticado por João e seus discípulos (</w:t>
      </w:r>
      <w:hyperlink r:id="rId7331">
        <w:r>
          <w:rPr>
            <w:color w:val="0000EE"/>
            <w:u w:val="single"/>
          </w:rPr>
          <w:t>Mt 9.14</w:t>
        </w:r>
      </w:hyperlink>
      <w:r>
        <w:t xml:space="preserve">; </w:t>
      </w:r>
      <w:hyperlink r:id="rId11894">
        <w:r>
          <w:rPr>
            <w:color w:val="0000EE"/>
            <w:u w:val="single"/>
          </w:rPr>
          <w:t>11.18</w:t>
        </w:r>
      </w:hyperlink>
      <w:r>
        <w:t>).</w:t>
      </w:r>
    </w:p>
    <w:p>
      <w:r/>
      <w:r>
        <w:t>Quem João entendia ser? Em resposta às perguntas feitas pela multidão se ele era o Messias, Elias ou o profeta esperado (</w:t>
      </w:r>
      <w:hyperlink r:id="rId11895">
        <w:r>
          <w:rPr>
            <w:color w:val="0000EE"/>
            <w:u w:val="single"/>
          </w:rPr>
          <w:t>Jo 1.20–23</w:t>
        </w:r>
      </w:hyperlink>
      <w:r>
        <w:t>), João apenas se identificou como “uma voz que clama no deserto: ‘Preparai o caminho do Senhor’" (</w:t>
      </w:r>
      <w:hyperlink r:id="rId3583">
        <w:r>
          <w:rPr>
            <w:color w:val="0000EE"/>
            <w:u w:val="single"/>
          </w:rPr>
          <w:t>Is 40.3</w:t>
        </w:r>
      </w:hyperlink>
      <w:r>
        <w:t>). O contexto para a pergunta está no final do período do AT. As profecias, por um lado, eram consideradas como tendo sido cessadas (</w:t>
      </w:r>
      <w:hyperlink r:id="rId8377">
        <w:r>
          <w:rPr>
            <w:color w:val="0000EE"/>
            <w:u w:val="single"/>
          </w:rPr>
          <w:t>Zc 13.2–6</w:t>
        </w:r>
      </w:hyperlink>
      <w:r>
        <w:t xml:space="preserve">); no entanto, por outro lado, esperava-se que aparecessem novamente antes da vinda do reino messiânico (veja </w:t>
      </w:r>
      <w:hyperlink r:id="rId3272">
        <w:r>
          <w:rPr>
            <w:color w:val="0000EE"/>
            <w:u w:val="single"/>
          </w:rPr>
          <w:t>Jl 2.28–29</w:t>
        </w:r>
      </w:hyperlink>
      <w:r>
        <w:t xml:space="preserve">; </w:t>
      </w:r>
      <w:hyperlink r:id="rId11896">
        <w:r>
          <w:rPr>
            <w:color w:val="0000EE"/>
            <w:u w:val="single"/>
          </w:rPr>
          <w:t>Ml 3.1–4</w:t>
        </w:r>
      </w:hyperlink>
      <w:r>
        <w:t>). Alguns anteciparam este profeta final como sendo alguém que era como Moisés (</w:t>
      </w:r>
      <w:hyperlink r:id="rId11897">
        <w:r>
          <w:rPr>
            <w:color w:val="0000EE"/>
            <w:u w:val="single"/>
          </w:rPr>
          <w:t>Dt 18.15</w:t>
        </w:r>
      </w:hyperlink>
      <w:r>
        <w:t xml:space="preserve">), outros como Elias que retornou como predito em </w:t>
      </w:r>
      <w:hyperlink r:id="rId7906">
        <w:r>
          <w:rPr>
            <w:color w:val="0000EE"/>
            <w:u w:val="single"/>
          </w:rPr>
          <w:t>Malaquias 4.5–6</w:t>
        </w:r>
      </w:hyperlink>
      <w:r>
        <w:t>. Enquanto João pessoalmente se absteve de se identificar com essas expectativas específicas (</w:t>
      </w:r>
      <w:hyperlink r:id="rId11895">
        <w:r>
          <w:rPr>
            <w:color w:val="0000EE"/>
            <w:u w:val="single"/>
          </w:rPr>
          <w:t>Jo 1.20–23</w:t>
        </w:r>
      </w:hyperlink>
      <w:r>
        <w:t>), fica claro que sua vestimenta, estilo de vida e mensagem fizeram com que as pessoas o identificassem com este profeta do fim dos tempos (</w:t>
      </w:r>
      <w:hyperlink r:id="rId11898">
        <w:r>
          <w:rPr>
            <w:color w:val="0000EE"/>
            <w:u w:val="single"/>
          </w:rPr>
          <w:t>Mt 14.5</w:t>
        </w:r>
      </w:hyperlink>
      <w:r>
        <w:t xml:space="preserve">; </w:t>
      </w:r>
      <w:hyperlink r:id="rId11899">
        <w:r>
          <w:rPr>
            <w:color w:val="0000EE"/>
            <w:u w:val="single"/>
          </w:rPr>
          <w:t>Mc 11.32</w:t>
        </w:r>
      </w:hyperlink>
      <w:r>
        <w:t>). Jesus também viu João como este profeta final “semelhante a Elias” (</w:t>
      </w:r>
      <w:hyperlink r:id="rId11900">
        <w:r>
          <w:rPr>
            <w:color w:val="0000EE"/>
            <w:u w:val="single"/>
          </w:rPr>
          <w:t>Mt 11.7–15</w:t>
        </w:r>
      </w:hyperlink>
      <w:r>
        <w:t>), que da profecia de Malaquias deveria ser um antecessor da vinda do Senhor (</w:t>
      </w:r>
      <w:hyperlink r:id="rId11896">
        <w:r>
          <w:rPr>
            <w:color w:val="0000EE"/>
            <w:u w:val="single"/>
          </w:rPr>
          <w:t>Ml 3.1–4</w:t>
        </w:r>
      </w:hyperlink>
      <w:r>
        <w:t xml:space="preserve">; </w:t>
      </w:r>
      <w:hyperlink r:id="rId7906">
        <w:r>
          <w:rPr>
            <w:color w:val="0000EE"/>
            <w:u w:val="single"/>
          </w:rPr>
          <w:t>4.5–6</w:t>
        </w:r>
      </w:hyperlink>
      <w:r>
        <w:t>).</w:t>
      </w:r>
    </w:p>
    <w:p>
      <w:pPr>
        <w:pStyle w:val="Heading3"/>
      </w:pPr>
      <w:r>
        <w:t>A proclamação de João</w:t>
      </w:r>
    </w:p>
    <w:p>
      <w:r/>
      <w:r>
        <w:t>A proclamação de João envolveu três elementos: um aviso de julgamento iminente nas mãos do que viria, um chamado ao arrependimento à luz do reino que vem do céu, e uma demanda para expressar este arrependimento em termos éticos concretos. Muitos judeus esperavam com confiança o julgamento messiânico como um tempo de bênção para si mesmos e destruição para os opressores gentios. João, no entanto, advertiu que a ascendência judaica era uma falsa segurança no julgamento que estava por vir (</w:t>
      </w:r>
      <w:hyperlink r:id="rId5476">
        <w:r>
          <w:rPr>
            <w:color w:val="0000EE"/>
            <w:u w:val="single"/>
          </w:rPr>
          <w:t>Lc 3.8</w:t>
        </w:r>
      </w:hyperlink>
      <w:r>
        <w:t>); o verdadeiro arrependimento era o único meio de escapar da destruição (</w:t>
      </w:r>
      <w:hyperlink r:id="rId2606">
        <w:r>
          <w:rPr>
            <w:color w:val="0000EE"/>
            <w:u w:val="single"/>
          </w:rPr>
          <w:t>Mt 3.2</w:t>
        </w:r>
      </w:hyperlink>
      <w:r>
        <w:t>). João antecipou este julgamento nas mãos do que viria, que batizaria a nação com “o Espírito Santo e com fogo” (</w:t>
      </w:r>
      <w:hyperlink r:id="rId863">
        <w:r>
          <w:rPr>
            <w:color w:val="0000EE"/>
            <w:u w:val="single"/>
          </w:rPr>
          <w:t>Lc 3.16</w:t>
        </w:r>
      </w:hyperlink>
      <w:r>
        <w:t>). O fogo representava os meios de destruição do AT no fim dos tempos (</w:t>
      </w:r>
      <w:hyperlink r:id="rId3226">
        <w:r>
          <w:rPr>
            <w:color w:val="0000EE"/>
            <w:u w:val="single"/>
          </w:rPr>
          <w:t>Ml 4.1</w:t>
        </w:r>
      </w:hyperlink>
      <w:r>
        <w:t>), bem como purificação (</w:t>
      </w:r>
      <w:hyperlink r:id="rId11896">
        <w:r>
          <w:rPr>
            <w:color w:val="0000EE"/>
            <w:u w:val="single"/>
          </w:rPr>
          <w:t>Ml 3.1–4</w:t>
        </w:r>
      </w:hyperlink>
      <w:r>
        <w:t>), enquanto o derramamento do Espírito Santo no fim dos tempos conotava bênção (</w:t>
      </w:r>
      <w:hyperlink r:id="rId8370">
        <w:r>
          <w:rPr>
            <w:color w:val="0000EE"/>
            <w:u w:val="single"/>
          </w:rPr>
          <w:t>Is 32.15</w:t>
        </w:r>
      </w:hyperlink>
      <w:r>
        <w:t xml:space="preserve">; </w:t>
      </w:r>
      <w:hyperlink r:id="rId3271">
        <w:r>
          <w:rPr>
            <w:color w:val="0000EE"/>
            <w:u w:val="single"/>
          </w:rPr>
          <w:t>Ez 39.29</w:t>
        </w:r>
      </w:hyperlink>
      <w:r>
        <w:t xml:space="preserve">; </w:t>
      </w:r>
      <w:hyperlink r:id="rId4970">
        <w:r>
          <w:rPr>
            <w:color w:val="0000EE"/>
            <w:u w:val="single"/>
          </w:rPr>
          <w:t>Jl 2.28</w:t>
        </w:r>
      </w:hyperlink>
      <w:r>
        <w:t>) e purificação (</w:t>
      </w:r>
      <w:hyperlink r:id="rId11901">
        <w:r>
          <w:rPr>
            <w:color w:val="0000EE"/>
            <w:u w:val="single"/>
          </w:rPr>
          <w:t>Is 4.2–4</w:t>
        </w:r>
      </w:hyperlink>
      <w:r>
        <w:t>). O julgamento antecipado por João era, portanto, duplo: destruição para os impenitentes e bênção para os penitentes e justos (</w:t>
      </w:r>
      <w:hyperlink r:id="rId3192">
        <w:r>
          <w:rPr>
            <w:color w:val="0000EE"/>
            <w:u w:val="single"/>
          </w:rPr>
          <w:t>Mt 3.12</w:t>
        </w:r>
      </w:hyperlink>
      <w:r>
        <w:t>).</w:t>
      </w:r>
    </w:p>
    <w:p>
      <w:r/>
      <w:r>
        <w:t>À luz deste evento iminente, João chamou ao arrependimento por parte de seus ouvintes (</w:t>
      </w:r>
      <w:hyperlink r:id="rId2606">
        <w:r>
          <w:rPr>
            <w:color w:val="0000EE"/>
            <w:u w:val="single"/>
          </w:rPr>
          <w:t>Mt 3.2</w:t>
        </w:r>
      </w:hyperlink>
      <w:r>
        <w:t>), um verdadeiro “voltar atrás” ou “voltar para” Deus em obediência que traria perdão do pecado. Tal reviravolta no relacionamento de um indivíduo com Deus deve ser vivida nos relacionamentos diários: justiça por parte dos cobradores de impostos (</w:t>
      </w:r>
      <w:hyperlink r:id="rId11902">
        <w:r>
          <w:rPr>
            <w:color w:val="0000EE"/>
            <w:u w:val="single"/>
          </w:rPr>
          <w:t>Lc 3.12–13</w:t>
        </w:r>
      </w:hyperlink>
      <w:r>
        <w:t xml:space="preserve">) e soldados (v. </w:t>
      </w:r>
      <w:hyperlink r:id="rId11903">
        <w:r>
          <w:rPr>
            <w:color w:val="0000EE"/>
            <w:u w:val="single"/>
          </w:rPr>
          <w:t>14</w:t>
        </w:r>
      </w:hyperlink>
      <w:r>
        <w:t xml:space="preserve">), e a exigência geral de compaixão pelos pobres (v. </w:t>
      </w:r>
      <w:hyperlink r:id="rId11904">
        <w:r>
          <w:rPr>
            <w:color w:val="0000EE"/>
            <w:u w:val="single"/>
          </w:rPr>
          <w:t>10–11</w:t>
        </w:r>
      </w:hyperlink>
      <w:r>
        <w:t>).</w:t>
      </w:r>
    </w:p>
    <w:p>
      <w:pPr>
        <w:pStyle w:val="Heading3"/>
      </w:pPr>
      <w:r>
        <w:t>O batismo de João</w:t>
      </w:r>
    </w:p>
    <w:p>
      <w:r/>
      <w:r>
        <w:t>Os Evangelhos registram que João batizou aqueles que se arrependeram de seus pecados em vários locais: o rio Jordão (</w:t>
      </w:r>
      <w:hyperlink r:id="rId11905">
        <w:r>
          <w:rPr>
            <w:color w:val="0000EE"/>
            <w:u w:val="single"/>
          </w:rPr>
          <w:t>Mc 1.5</w:t>
        </w:r>
      </w:hyperlink>
      <w:r>
        <w:t>), Betânia além do Jordão (</w:t>
      </w:r>
      <w:hyperlink r:id="rId11906">
        <w:r>
          <w:rPr>
            <w:color w:val="0000EE"/>
            <w:u w:val="single"/>
          </w:rPr>
          <w:t>Jo 1.28</w:t>
        </w:r>
      </w:hyperlink>
      <w:r>
        <w:t>) e Enom perto de Salim (</w:t>
      </w:r>
      <w:hyperlink r:id="rId11907">
        <w:r>
          <w:rPr>
            <w:color w:val="0000EE"/>
            <w:u w:val="single"/>
          </w:rPr>
          <w:t>Jo 3.23</w:t>
        </w:r>
      </w:hyperlink>
      <w:r>
        <w:t>). Esta prática era parte integral do chamado de João para o arrependimento, dado à luz do julgamento que se aproximava e da aparição Daquele que viria. O batismo do penitente simbolizava o desejo de perdão do pecado, uma renúncia da vida passada e um desejo de ser incluído no reino messiânico que está chegando.</w:t>
      </w:r>
    </w:p>
    <w:p>
      <w:r/>
      <w:r>
        <w:t>Qual era o contexto para a prática do batismo de João? A partir do AT, sabemos de lustrações cerimoniais ou lavagens que garantiam a pureza ritual (</w:t>
      </w:r>
      <w:hyperlink r:id="rId11908">
        <w:r>
          <w:rPr>
            <w:color w:val="0000EE"/>
            <w:u w:val="single"/>
          </w:rPr>
          <w:t>Lv 14–15</w:t>
        </w:r>
      </w:hyperlink>
      <w:r>
        <w:t xml:space="preserve">; </w:t>
      </w:r>
      <w:hyperlink r:id="rId11909">
        <w:r>
          <w:rPr>
            <w:color w:val="0000EE"/>
            <w:u w:val="single"/>
          </w:rPr>
          <w:t>Nm 19</w:t>
        </w:r>
      </w:hyperlink>
      <w:r>
        <w:t>). Ao contrário do batismo de João, essas lavagens eram de natureza repetitiva e se referiam predominantemente ao ritual em vez de purificação moral. Os profetas, no entanto, incitaram uma purificação moral associada à lavagem com água (</w:t>
      </w:r>
      <w:hyperlink r:id="rId11910">
        <w:r>
          <w:rPr>
            <w:color w:val="0000EE"/>
            <w:u w:val="single"/>
          </w:rPr>
          <w:t>Is 1.16–18</w:t>
        </w:r>
      </w:hyperlink>
      <w:r>
        <w:t xml:space="preserve">; </w:t>
      </w:r>
      <w:hyperlink r:id="rId3046">
        <w:r>
          <w:rPr>
            <w:color w:val="0000EE"/>
            <w:u w:val="single"/>
          </w:rPr>
          <w:t>Jr 4.14</w:t>
        </w:r>
      </w:hyperlink>
      <w:r>
        <w:t>). De forma mais significativa, os profetas anteciparam uma purificação de Deus no fim dos tempos que precedem o Dia do Julgamento (</w:t>
      </w:r>
      <w:hyperlink r:id="rId11911">
        <w:r>
          <w:rPr>
            <w:color w:val="0000EE"/>
            <w:u w:val="single"/>
          </w:rPr>
          <w:t>Ez 36.25</w:t>
        </w:r>
      </w:hyperlink>
      <w:r>
        <w:t xml:space="preserve">; </w:t>
      </w:r>
      <w:hyperlink r:id="rId11912">
        <w:r>
          <w:rPr>
            <w:color w:val="0000EE"/>
            <w:u w:val="single"/>
          </w:rPr>
          <w:t>Zc 13.1</w:t>
        </w:r>
      </w:hyperlink>
      <w:r>
        <w:t xml:space="preserve">; cf. </w:t>
      </w:r>
      <w:hyperlink r:id="rId3270">
        <w:r>
          <w:rPr>
            <w:color w:val="0000EE"/>
            <w:u w:val="single"/>
          </w:rPr>
          <w:t>Is 44.3</w:t>
        </w:r>
      </w:hyperlink>
      <w:r>
        <w:t>), um elemento escatológico que João pode ter assumido estava sendo realizado em seu batismo com água.</w:t>
      </w:r>
    </w:p>
    <w:p>
      <w:r/>
      <w:r>
        <w:t xml:space="preserve">Outro precedente para a prática de João pode ter sido o batismo de prosélitos (em conjunto com a circuncisão e a oferta de sacrifícios) que constituía a conversão de um gentio ao judaísmo. Comum tanto ao batismo de prosélito quanto ao batismo de João eram a ênfase em uma ruptura ética com o passado, um caráter único e a semelhança da imersão. Diferenças notáveis eram que o batismo de João era para judeus, não para gentios convertidos, e que tinha um caráter escatológico marcado como uma preparação para a nova era. A menos que João, à luz da iminência da era messiânica, conscientemente tratasse todos os judeus como “pagãos” que precisavam de um batismo de arrependimento (cf. </w:t>
      </w:r>
      <w:hyperlink r:id="rId11913">
        <w:r>
          <w:rPr>
            <w:color w:val="0000EE"/>
            <w:u w:val="single"/>
          </w:rPr>
          <w:t>Mt 3.7–10</w:t>
        </w:r>
      </w:hyperlink>
      <w:r>
        <w:t>), é duvidoso que o batismo de prosélitos tenha formado o pano de fundo primário para o ministério batismal de João.</w:t>
      </w:r>
    </w:p>
    <w:p>
      <w:r/>
      <w:r>
        <w:t>Se o batismo de João tivesse uma associação clara com o perdão de pecados, a pergunta naturalmente surge sobre por que Jesus, o Filho de Deus, buscou o batismo de João. O próprio João faz esta mesma pergunta de Jesus (</w:t>
      </w:r>
      <w:hyperlink r:id="rId3244">
        <w:r>
          <w:rPr>
            <w:color w:val="0000EE"/>
            <w:u w:val="single"/>
          </w:rPr>
          <w:t>Mt 3.14</w:t>
        </w:r>
      </w:hyperlink>
      <w:r>
        <w:t xml:space="preserve">), à qual Jesus responde: “Deixe que seja assim agora, pois é dessa maneira que faremos tudo o que Deus quer.” (v. </w:t>
      </w:r>
      <w:hyperlink r:id="rId3245">
        <w:r>
          <w:rPr>
            <w:color w:val="0000EE"/>
            <w:u w:val="single"/>
          </w:rPr>
          <w:t>15</w:t>
        </w:r>
      </w:hyperlink>
      <w:r>
        <w:t>, NTLH). Primeiro, fica claro que o batismo de Jesus representou um ato de obediência de sua parte à vontade de Deus como ele a viu. Segundo, ao se submeter ao batismo de João, Jesus estava claramente validando o ministério e a mensagem de João. A vinda iminente do reino e seu Messias, e a necessidade de arrependimento em antecipação deste evento que João proclamou, foram afirmadas por Jesus através do batismo. Terceiro, ao ser batizado, Jesus condenou os autojustos por sua falta de arrependimento e tomou uma posição com os publicanos penitentes e pecadores que aguardavam o reino de Deus (</w:t>
      </w:r>
      <w:hyperlink r:id="rId11914">
        <w:r>
          <w:rPr>
            <w:color w:val="0000EE"/>
            <w:u w:val="single"/>
          </w:rPr>
          <w:t>Lc 7.29–30</w:t>
        </w:r>
      </w:hyperlink>
      <w:r>
        <w:t>). Quarto, Jesus deu um passo à frente para o batismo não como um indivíduo que precisava de perdão, mas como alguém que representava o povo de Deus. Seu batismo, portanto, demonstrou solidariedade com as pessoas em sua necessidade de libertação, mesmo quando ele é julgado em seu lugar na cruz. Finalmente, a voz do céu (</w:t>
      </w:r>
      <w:hyperlink r:id="rId3197">
        <w:r>
          <w:rPr>
            <w:color w:val="0000EE"/>
            <w:u w:val="single"/>
          </w:rPr>
          <w:t>Mc 1.11</w:t>
        </w:r>
      </w:hyperlink>
      <w:r>
        <w:t>) e a descida do Espírito (</w:t>
      </w:r>
      <w:hyperlink r:id="rId3250">
        <w:r>
          <w:rPr>
            <w:color w:val="0000EE"/>
            <w:u w:val="single"/>
          </w:rPr>
          <w:t>Lc 3.21–22</w:t>
        </w:r>
      </w:hyperlink>
      <w:r>
        <w:t>) significam a inauguração do próprio ministério de Jesus através de seu batismo por João.</w:t>
      </w:r>
    </w:p>
    <w:p>
      <w:pPr>
        <w:pStyle w:val="Heading3"/>
      </w:pPr>
      <w:r>
        <w:t>A visão de João sobre Jesus</w:t>
      </w:r>
    </w:p>
    <w:p>
      <w:r/>
      <w:r>
        <w:t>Ao longo de seu ministério, João apontou além de si mesmo para alguém “que é muito maior do que eu — tão maior que eu não sou sequer digno de ser seu escravo” (</w:t>
      </w:r>
      <w:hyperlink r:id="rId11915">
        <w:r>
          <w:rPr>
            <w:color w:val="0000EE"/>
            <w:u w:val="single"/>
          </w:rPr>
          <w:t>Mc 1.7</w:t>
        </w:r>
      </w:hyperlink>
      <w:r>
        <w:t xml:space="preserve">). Seu autoentendimento aparentemente surgiu da aplicação de </w:t>
      </w:r>
      <w:hyperlink r:id="rId3583">
        <w:r>
          <w:rPr>
            <w:color w:val="0000EE"/>
            <w:u w:val="single"/>
          </w:rPr>
          <w:t>Isaías 40.3</w:t>
        </w:r>
      </w:hyperlink>
      <w:r>
        <w:t xml:space="preserve"> a si mesmo, que ele era o preparador ou precursor para a atividade que viria de Deus através do Messias (</w:t>
      </w:r>
      <w:hyperlink r:id="rId3622">
        <w:r>
          <w:rPr>
            <w:color w:val="0000EE"/>
            <w:u w:val="single"/>
          </w:rPr>
          <w:t>Lc 3.4–6</w:t>
        </w:r>
      </w:hyperlink>
      <w:r>
        <w:t>). Quando questionado por espectadores curiosos, João negou firmemente que ele era o Messias, e de acordo com os relatos dos Evangelhos, se subordinou a Aquele que viria (</w:t>
      </w:r>
      <w:hyperlink r:id="rId11916">
        <w:r>
          <w:rPr>
            <w:color w:val="0000EE"/>
            <w:u w:val="single"/>
          </w:rPr>
          <w:t>Mc 1.7–8</w:t>
        </w:r>
      </w:hyperlink>
      <w:r>
        <w:t xml:space="preserve">; </w:t>
      </w:r>
      <w:hyperlink r:id="rId11917">
        <w:r>
          <w:rPr>
            <w:color w:val="0000EE"/>
            <w:u w:val="single"/>
          </w:rPr>
          <w:t>Jo 1.26–28</w:t>
        </w:r>
      </w:hyperlink>
      <w:r>
        <w:t xml:space="preserve">; </w:t>
      </w:r>
      <w:hyperlink r:id="rId11918">
        <w:r>
          <w:rPr>
            <w:color w:val="0000EE"/>
            <w:u w:val="single"/>
          </w:rPr>
          <w:t>3.28–31</w:t>
        </w:r>
      </w:hyperlink>
      <w:r>
        <w:t>). A vinda de Jesus ao batismo parece representar a primeira vez que João identificou essas expectativas com o próprio Jesus (</w:t>
      </w:r>
      <w:hyperlink r:id="rId11919">
        <w:r>
          <w:rPr>
            <w:color w:val="0000EE"/>
            <w:u w:val="single"/>
          </w:rPr>
          <w:t>Jo 1.35–36</w:t>
        </w:r>
      </w:hyperlink>
      <w:r>
        <w:t>). Seu reconhecimento de Jesus como o Messias antes do batismo (</w:t>
      </w:r>
      <w:hyperlink r:id="rId3244">
        <w:r>
          <w:rPr>
            <w:color w:val="0000EE"/>
            <w:u w:val="single"/>
          </w:rPr>
          <w:t>Mt 3.14</w:t>
        </w:r>
      </w:hyperlink>
      <w:r>
        <w:t>) foi confirmado pela descida do Espírito Santo como uma pomba e a voz do céu citando uma frase de um salmo messiânico do AT (</w:t>
      </w:r>
      <w:hyperlink r:id="rId3197">
        <w:r>
          <w:rPr>
            <w:color w:val="0000EE"/>
            <w:u w:val="single"/>
          </w:rPr>
          <w:t>Mc 1.11a</w:t>
        </w:r>
      </w:hyperlink>
      <w:r>
        <w:t xml:space="preserve">, de </w:t>
      </w:r>
      <w:hyperlink r:id="rId2007">
        <w:r>
          <w:rPr>
            <w:color w:val="0000EE"/>
            <w:u w:val="single"/>
          </w:rPr>
          <w:t>Sl 2.7</w:t>
        </w:r>
      </w:hyperlink>
      <w:r>
        <w:t>), juntamente com uma frase de um canto do Servo Sofredor de Isaías (</w:t>
      </w:r>
      <w:hyperlink r:id="rId3197">
        <w:r>
          <w:rPr>
            <w:color w:val="0000EE"/>
            <w:u w:val="single"/>
          </w:rPr>
          <w:t>Mc 1.11b</w:t>
        </w:r>
      </w:hyperlink>
      <w:r>
        <w:t xml:space="preserve">, de </w:t>
      </w:r>
      <w:hyperlink r:id="rId3198">
        <w:r>
          <w:rPr>
            <w:color w:val="0000EE"/>
            <w:u w:val="single"/>
          </w:rPr>
          <w:t>Is 42.1</w:t>
        </w:r>
      </w:hyperlink>
      <w:r>
        <w:t>). No quarto Evangelho, João Batista vai ainda mais longe ao reconhecer que Jesus é o “Cordeiro de Deus” (</w:t>
      </w:r>
      <w:hyperlink r:id="rId404">
        <w:r>
          <w:rPr>
            <w:color w:val="0000EE"/>
            <w:u w:val="single"/>
          </w:rPr>
          <w:t>Jo 1.29</w:t>
        </w:r>
      </w:hyperlink>
      <w:r>
        <w:t xml:space="preserve">), em antecipação ao papel sacrificial de Jesus na cruz. E João o reconheceu como “o Escolhido de Deus” (v. </w:t>
      </w:r>
      <w:hyperlink r:id="rId11920">
        <w:r>
          <w:rPr>
            <w:color w:val="0000EE"/>
            <w:u w:val="single"/>
          </w:rPr>
          <w:t>34</w:t>
        </w:r>
      </w:hyperlink>
      <w:r>
        <w:t xml:space="preserve"> — outro termo para o Messias; </w:t>
      </w:r>
      <w:hyperlink r:id="rId2007">
        <w:r>
          <w:rPr>
            <w:color w:val="0000EE"/>
            <w:u w:val="single"/>
          </w:rPr>
          <w:t>Sl 2.7</w:t>
        </w:r>
      </w:hyperlink>
      <w:r>
        <w:t xml:space="preserve">, veja </w:t>
      </w:r>
      <w:hyperlink r:id="rId3197">
        <w:r>
          <w:rPr>
            <w:color w:val="0000EE"/>
            <w:u w:val="single"/>
          </w:rPr>
          <w:t>Mc 1.11</w:t>
        </w:r>
      </w:hyperlink>
      <w:r>
        <w:t>).</w:t>
      </w:r>
    </w:p>
    <w:p>
      <w:r/>
      <w:r>
        <w:t>À luz da forte afirmação de João, é a princípio difícil entender seu questionamento sobre Jesus enquanto estava aprisionado: “O senhor é aquele que ia chegar ou devemos esperar outro?” (</w:t>
      </w:r>
      <w:hyperlink r:id="rId11921">
        <w:r>
          <w:rPr>
            <w:color w:val="0000EE"/>
            <w:u w:val="single"/>
          </w:rPr>
          <w:t>Mt 11.3</w:t>
        </w:r>
      </w:hyperlink>
      <w:r>
        <w:t>, NTLH). Alguns sugeriram que João estava meramente pedindo por causa de seus discípulos, ou que a pergunta refletia o desânimo de João por estar preso. É mais provável, no entanto, que a pergunta represente a própria confusão de João com a atividade esperada do Messias. João havia proclamado aquele que viria e traria um batismo de fogo e julgamento sobre os ímpios (</w:t>
      </w:r>
      <w:hyperlink r:id="rId863">
        <w:r>
          <w:rPr>
            <w:color w:val="0000EE"/>
            <w:u w:val="single"/>
          </w:rPr>
          <w:t>Lc 3.16</w:t>
        </w:r>
      </w:hyperlink>
      <w:r>
        <w:t>). Pode ter sido difícil para ele entender as diferentes ênfases de Jesus sobre o perdão e aceitação dos pecadores (</w:t>
      </w:r>
      <w:hyperlink r:id="rId11922">
        <w:r>
          <w:rPr>
            <w:color w:val="0000EE"/>
            <w:u w:val="single"/>
          </w:rPr>
          <w:t>Mt 9.9–13</w:t>
        </w:r>
      </w:hyperlink>
      <w:r>
        <w:t>) e sua cura dos doentes (</w:t>
      </w:r>
      <w:hyperlink r:id="rId6403">
        <w:r>
          <w:rPr>
            <w:color w:val="0000EE"/>
            <w:u w:val="single"/>
          </w:rPr>
          <w:t>Mt 8–9</w:t>
        </w:r>
      </w:hyperlink>
      <w:r>
        <w:t xml:space="preserve">). Quando os discípulos de João trouxeram a pergunta de seu mestre a Jesus, perguntando se ele era ou não o Messias, Jesus respondeu citando </w:t>
      </w:r>
      <w:hyperlink r:id="rId11923">
        <w:r>
          <w:rPr>
            <w:color w:val="0000EE"/>
            <w:u w:val="single"/>
          </w:rPr>
          <w:t>Isaías 35.5–6</w:t>
        </w:r>
      </w:hyperlink>
      <w:r>
        <w:t xml:space="preserve"> (veja também </w:t>
      </w:r>
      <w:hyperlink r:id="rId8373">
        <w:r>
          <w:rPr>
            <w:color w:val="0000EE"/>
            <w:u w:val="single"/>
          </w:rPr>
          <w:t>Is 61.1</w:t>
        </w:r>
      </w:hyperlink>
      <w:r>
        <w:t>). Este texto proclama as atividades de cura e proclamação da salvação aos pobres como cumprimentos do papel do Messias, mesmo que elas não tenham sido o que João ou incontáveis outros judeus esperavam.</w:t>
      </w:r>
    </w:p>
    <w:p>
      <w:pPr>
        <w:pStyle w:val="Heading3"/>
      </w:pPr>
      <w:r>
        <w:t>A visão de Jesus sobre João</w:t>
      </w:r>
    </w:p>
    <w:p>
      <w:r/>
      <w:r>
        <w:t>Que Jesus considerava altamente João Batista é indicado por seu batismo por João. Também é explicitamente declarado em várias ocasiões. Jesus o chamou de o maior homem que já viveu (</w:t>
      </w:r>
      <w:hyperlink r:id="rId11924">
        <w:r>
          <w:rPr>
            <w:color w:val="0000EE"/>
            <w:u w:val="single"/>
          </w:rPr>
          <w:t>Lc 7.28</w:t>
        </w:r>
      </w:hyperlink>
      <w:r>
        <w:t>). (É claro, ele não era tão grande quanto Jesus, o Deus-homem). Jesus também disse que João era uma lâmpada acesa e que brilhava (</w:t>
      </w:r>
      <w:hyperlink r:id="rId11925">
        <w:r>
          <w:rPr>
            <w:color w:val="0000EE"/>
            <w:u w:val="single"/>
          </w:rPr>
          <w:t>Jo 5.33–35</w:t>
        </w:r>
      </w:hyperlink>
      <w:r>
        <w:t>) e que ele praticava um batismo divinamente ordenado (</w:t>
      </w:r>
      <w:hyperlink r:id="rId11926">
        <w:r>
          <w:rPr>
            <w:color w:val="0000EE"/>
            <w:u w:val="single"/>
          </w:rPr>
          <w:t>Lc 20.1–8</w:t>
        </w:r>
      </w:hyperlink>
      <w:r>
        <w:t>).</w:t>
      </w:r>
    </w:p>
    <w:p>
      <w:r/>
      <w:r>
        <w:t>A singularidade de João, no entanto, reside no fato de que ele estava no momento da virada das eras. Ele era o último da antiga era, o período da lei e dos profetas (</w:t>
      </w:r>
      <w:hyperlink r:id="rId8681">
        <w:r>
          <w:rPr>
            <w:color w:val="0000EE"/>
            <w:u w:val="single"/>
          </w:rPr>
          <w:t>Lc 16.16</w:t>
        </w:r>
      </w:hyperlink>
      <w:r>
        <w:t>), que deveria preceder a vinda da era messiânica (o reino de Deus). João era o último dos profetas, o maior deles, a figura de Elias que prepararia o caminho para o julgamento de Deus (</w:t>
      </w:r>
      <w:hyperlink r:id="rId11927">
        <w:r>
          <w:rPr>
            <w:color w:val="0000EE"/>
            <w:u w:val="single"/>
          </w:rPr>
          <w:t>Mt 11.13–15</w:t>
        </w:r>
      </w:hyperlink>
      <w:r>
        <w:t xml:space="preserve">; </w:t>
      </w:r>
      <w:hyperlink r:id="rId7908">
        <w:r>
          <w:rPr>
            <w:color w:val="0000EE"/>
            <w:u w:val="single"/>
          </w:rPr>
          <w:t>Lc 1.17</w:t>
        </w:r>
      </w:hyperlink>
      <w:r>
        <w:t>). Porque João pertencia à era da lei e dos profetas, no entanto, ele não era tão grande quanto o “menor” já no reino de Deus (</w:t>
      </w:r>
      <w:hyperlink r:id="rId11928">
        <w:r>
          <w:rPr>
            <w:color w:val="0000EE"/>
            <w:u w:val="single"/>
          </w:rPr>
          <w:t>Mt 11.11</w:t>
        </w:r>
      </w:hyperlink>
      <w:r>
        <w:t>) — isto é, aqueles que pertenciam à era da aparição do reino em Jesus.</w:t>
      </w:r>
    </w:p>
    <w:p>
      <w:pPr>
        <w:pStyle w:val="Heading3"/>
      </w:pPr>
      <w:r>
        <w:t>Prisão e martírio</w:t>
      </w:r>
    </w:p>
    <w:p>
      <w:r/>
      <w:r>
        <w:t>Para entender por que João foi preso e decapitado por Herodes Antipas, é preciso entender a agitação messiânica causada pela aparição e mensagem de João (</w:t>
      </w:r>
      <w:hyperlink r:id="rId11929">
        <w:r>
          <w:rPr>
            <w:color w:val="0000EE"/>
            <w:u w:val="single"/>
          </w:rPr>
          <w:t>Lc 3.15–18</w:t>
        </w:r>
      </w:hyperlink>
      <w:r>
        <w:t>). Herodes e outros governantes seculares estavam obviamente suspeitando de qualquer um que pudesse incitar as multidões com previsões de um governante messiânico que estava chegando. Outros movimentos messiânicos haviam surgido antes de João, o que resultou em surtos de violência contra o governo romano-herodiano. Além disso, Herodes Antipas estava sob pesadas críticas por seu casamento com Herodias, a ex-esposa de seu irmão Filipe. Seu primeiro casamento, com a filha de Aretus II, constituiu uma aliança política entre a família herodiana e o reino nabateu de Pereia. Seu novo relacionamento com Herodias foi percebido como uma violação da aliança política e levou ao atrito entre as duas famílias. A denúncia de João do novo casamento de Herodes (</w:t>
      </w:r>
      <w:hyperlink r:id="rId9464">
        <w:r>
          <w:rPr>
            <w:color w:val="0000EE"/>
            <w:u w:val="single"/>
          </w:rPr>
          <w:t>Mt 14.3–12</w:t>
        </w:r>
      </w:hyperlink>
      <w:r>
        <w:t>) poderia assim ter sido interpretada por Herodes como um despertar subversivo de sentimento contra sua autoridade. O historiador judeu Josefo afirma que Herodes, de fato, prendeu João porque ele temia sua influência sobre as multidões. De acordo com Josefo, João foi preso na fortaleza Maquero, no lado oriental do Mar Morto. Ele não foi morto imediatamente devido ao medo pessoal de Herodes do justo João (</w:t>
      </w:r>
      <w:hyperlink r:id="rId11930">
        <w:r>
          <w:rPr>
            <w:color w:val="0000EE"/>
            <w:u w:val="single"/>
          </w:rPr>
          <w:t>Mc 6.2</w:t>
        </w:r>
      </w:hyperlink>
      <w:r>
        <w:t>) e da reação do povo (</w:t>
      </w:r>
      <w:hyperlink r:id="rId11898">
        <w:r>
          <w:rPr>
            <w:color w:val="0000EE"/>
            <w:u w:val="single"/>
          </w:rPr>
          <w:t>Mt 14.5</w:t>
        </w:r>
      </w:hyperlink>
      <w:r>
        <w:t>). Em um ponto sobre o qual Josefo fica em silêncio, os Evangelhos registram quais foram os sentimentos de Herodias contra João (</w:t>
      </w:r>
      <w:hyperlink r:id="rId11931">
        <w:r>
          <w:rPr>
            <w:color w:val="0000EE"/>
            <w:u w:val="single"/>
          </w:rPr>
          <w:t>Mc 6.17</w:t>
        </w:r>
      </w:hyperlink>
      <w:r>
        <w:t xml:space="preserve">) e sua trama, através da dança de sua filha, que trouxe a decapitação de João (vv. </w:t>
      </w:r>
      <w:hyperlink r:id="rId11932">
        <w:r>
          <w:rPr>
            <w:color w:val="0000EE"/>
            <w:u w:val="single"/>
          </w:rPr>
          <w:t>21–29</w:t>
        </w:r>
      </w:hyperlink>
      <w:r>
        <w:t>). João foi decapitado a pedido de Herodias em aproximadamente 29 ou 30 d.C.</w:t>
      </w:r>
    </w:p>
    <w:p>
      <w:pPr>
        <w:pStyle w:val="Heading3"/>
      </w:pPr>
      <w:r>
        <w:t>Os discípulos de João</w:t>
      </w:r>
    </w:p>
    <w:p>
      <w:r/>
      <w:r>
        <w:t>Embora fique claro que um grupo de discípulos se formou ao redor de João em sua vida (</w:t>
      </w:r>
      <w:hyperlink r:id="rId1424">
        <w:r>
          <w:rPr>
            <w:color w:val="0000EE"/>
            <w:u w:val="single"/>
          </w:rPr>
          <w:t>Jo 1.35</w:t>
        </w:r>
      </w:hyperlink>
      <w:r>
        <w:t>), sugerir que ele pretendia começar um movimento contínuo é contradito por sua mensagem no iminente Dia do Julgamento. Aparentemente, os discípulos de João consistiam em um pequeno grupo daqueles que haviam sido batizados por ele e estavam esperando a vinda do Messias. Alguns transferiram sua lealdade a Jesus depois que João havia identificado Jesus como o que viria (</w:t>
      </w:r>
      <w:hyperlink r:id="rId11933">
        <w:r>
          <w:rPr>
            <w:color w:val="0000EE"/>
            <w:u w:val="single"/>
          </w:rPr>
          <w:t>Jo 1.37</w:t>
        </w:r>
      </w:hyperlink>
      <w:r>
        <w:t>). Outros, no entanto, aparentemente permaneceram com seu mestre, comunicando-se com João preso sobre as atividades de Jesus (</w:t>
      </w:r>
      <w:hyperlink r:id="rId11934">
        <w:r>
          <w:rPr>
            <w:color w:val="0000EE"/>
            <w:u w:val="single"/>
          </w:rPr>
          <w:t>Lc 7.18–23</w:t>
        </w:r>
      </w:hyperlink>
      <w:r>
        <w:t>) e, após sua morte, levando o corpo para o sepultamento (</w:t>
      </w:r>
      <w:hyperlink r:id="rId11935">
        <w:r>
          <w:rPr>
            <w:color w:val="0000EE"/>
            <w:u w:val="single"/>
          </w:rPr>
          <w:t>Mc 6.29</w:t>
        </w:r>
      </w:hyperlink>
      <w:r>
        <w:t>).</w:t>
      </w:r>
    </w:p>
    <w:p>
      <w:r/>
      <w:r>
        <w:t>Sabemos pouco sobre as atividades e práticas do grupo de discípulos agrupados em torno de João. Sabemos, no entanto, que o jejum era uma prática especificamente associada com o grupo, e que os marcava como semelhantes aos fariseus (</w:t>
      </w:r>
      <w:hyperlink r:id="rId7331">
        <w:r>
          <w:rPr>
            <w:color w:val="0000EE"/>
            <w:u w:val="single"/>
          </w:rPr>
          <w:t>Mt 9.14</w:t>
        </w:r>
      </w:hyperlink>
      <w:r>
        <w:t>). Nesta prática, eles, sem dúvida, seguiram o exemplo do próprio João (</w:t>
      </w:r>
      <w:hyperlink r:id="rId11936">
        <w:r>
          <w:rPr>
            <w:color w:val="0000EE"/>
            <w:u w:val="single"/>
          </w:rPr>
          <w:t>Lc 7.33</w:t>
        </w:r>
      </w:hyperlink>
      <w:r>
        <w:t>). Oração e jejum estavam muitas vezes ligados no judaísmo tardio. Os discípulos de João também eram conhecidos pelas orações ensinadas por seu mestre (</w:t>
      </w:r>
      <w:hyperlink r:id="rId7332">
        <w:r>
          <w:rPr>
            <w:color w:val="0000EE"/>
            <w:u w:val="single"/>
          </w:rPr>
          <w:t>11.1</w:t>
        </w:r>
      </w:hyperlink>
      <w:r>
        <w:t xml:space="preserve">). Vendo esta prática, os discípulos de Jesus pediram ao Senhor para ensiná-los a orar, ao que Jesus respondeu com a Oração do Senhor (vv. </w:t>
      </w:r>
      <w:hyperlink r:id="rId11937">
        <w:r>
          <w:rPr>
            <w:color w:val="0000EE"/>
            <w:u w:val="single"/>
          </w:rPr>
          <w:t>2–4</w:t>
        </w:r>
      </w:hyperlink>
      <w:r>
        <w:t>).</w:t>
      </w:r>
    </w:p>
    <w:p>
      <w:r/>
      <w:r>
        <w:t xml:space="preserve">Após sua morte, é provável que outros discípulos de João se juntaram aos seguidores de Jesus (ver </w:t>
      </w:r>
      <w:hyperlink r:id="rId11914">
        <w:r>
          <w:rPr>
            <w:color w:val="0000EE"/>
            <w:u w:val="single"/>
          </w:rPr>
          <w:t>Lc 7.29–30</w:t>
        </w:r>
      </w:hyperlink>
      <w:r>
        <w:t>). Nem todos o fizeram, no entanto, pois os discípulos de João foram encontrados por Paulo e outros cristãos aproximadamente 25 anos depois em Éfeso (</w:t>
      </w:r>
      <w:hyperlink r:id="rId11938">
        <w:r>
          <w:rPr>
            <w:color w:val="0000EE"/>
            <w:u w:val="single"/>
          </w:rPr>
          <w:t>Atos 18.24–29.7</w:t>
        </w:r>
      </w:hyperlink>
      <w:r>
        <w:t>). Ao ouvir testemunho de Jesus, esses seguidores de João proclamaram Jesus como Messias. Quando Paulo os batizou em nome de Jesus, eles receberam o Espírito Santo (</w:t>
      </w:r>
      <w:hyperlink r:id="rId11939">
        <w:r>
          <w:rPr>
            <w:color w:val="0000EE"/>
            <w:u w:val="single"/>
          </w:rPr>
          <w:t>19.4–7</w:t>
        </w:r>
      </w:hyperlink>
      <w:r>
        <w:t>). Mesmo assim, fica aparente em documentos posteriores que vários grupos continuaram a honrar João, mesmo considerando-o o Messias, séculos após o período do NT.</w:t>
      </w:r>
      <w:r/>
      <w:r/>
    </w:p>
    <w:p>
      <w:r/>
    </w:p>
    <w:p>
      <w:pPr>
        <w:pStyle w:val="Heading2"/>
      </w:pPr>
      <w:r>
        <w:t>João Marcos</w:t>
      </w:r>
      <w:r/>
    </w:p>
    <w:p>
      <w:r/>
      <w:r>
        <w:t>Um amigo próximo dos primeiros líderes da igreja escreveu o Evangelho de Marcos. João Marcos foi companheiro de Paulo e Pedro, além de primo de Barnabé.</w:t>
      </w:r>
    </w:p>
    <w:p>
      <w:pPr>
        <w:pStyle w:val="Heading3"/>
      </w:pPr>
      <w:r>
        <w:t>Primeiros anos e família</w:t>
      </w:r>
    </w:p>
    <w:p>
      <w:r/>
      <w:r>
        <w:t>João Marcos veio de uma família judia rica em Jerusalém. Eles foram dos primeiros crentes em Jesus Cristo. João Marcos tinha tanto um nome judeu quanto um nome romano. O nome romano Marcos poderia significar cidadania romana, como Paulo. Ou ele pode ter adotado o nome quando deixou Jerusalém para servir à igreja gentia (não-judaica) em Antioquia (</w:t>
      </w:r>
      <w:hyperlink r:id="rId2858">
        <w:r>
          <w:rPr>
            <w:color w:val="0000EE"/>
            <w:u w:val="single"/>
          </w:rPr>
          <w:t>At 12.25</w:t>
        </w:r>
      </w:hyperlink>
      <w:r>
        <w:t>).</w:t>
      </w:r>
    </w:p>
    <w:p>
      <w:r/>
      <w:r>
        <w:t xml:space="preserve">Quando um anjo do Senhor libertou Pedro da prisão, o apóstolo foi “para a casa de Maria, a mãe de João Marcos” (v. </w:t>
      </w:r>
      <w:hyperlink r:id="rId11940">
        <w:r>
          <w:rPr>
            <w:color w:val="0000EE"/>
            <w:u w:val="single"/>
          </w:rPr>
          <w:t>12</w:t>
        </w:r>
      </w:hyperlink>
      <w:r>
        <w:t xml:space="preserve">). Esta casa tinha um portão externo e era grande o suficiente para que um grande grupo de crentes se reunisse lá. Uma serva chamada Rode trabalhava ali (vv. </w:t>
      </w:r>
      <w:hyperlink r:id="rId11941">
        <w:r>
          <w:rPr>
            <w:color w:val="0000EE"/>
            <w:u w:val="single"/>
          </w:rPr>
          <w:t>12–13</w:t>
        </w:r>
      </w:hyperlink>
      <w:r>
        <w:t>), indicando que uma família rica vivia ali. Na época deste evento (por volta de 44 d.C.), Pedro pode ter influenciado Marcos a se tornar um seguidor de Jesus (</w:t>
      </w:r>
      <w:hyperlink r:id="rId11942">
        <w:r>
          <w:rPr>
            <w:color w:val="0000EE"/>
            <w:u w:val="single"/>
          </w:rPr>
          <w:t>1Pe 5.13</w:t>
        </w:r>
      </w:hyperlink>
      <w:r>
        <w:t>). Barnabé e Saulo (também conhecido como Paulo) escolheram Marcos para ir com eles a Antioquia, o que sugere que a igreja em Jerusalém tinha grande respeito por Marcos (</w:t>
      </w:r>
      <w:hyperlink r:id="rId2858">
        <w:r>
          <w:rPr>
            <w:color w:val="0000EE"/>
            <w:u w:val="single"/>
          </w:rPr>
          <w:t>At 12.25</w:t>
        </w:r>
      </w:hyperlink>
      <w:r>
        <w:t>).</w:t>
      </w:r>
    </w:p>
    <w:p>
      <w:pPr>
        <w:pStyle w:val="Heading3"/>
      </w:pPr>
      <w:r>
        <w:t>Início do ministério e desafios</w:t>
      </w:r>
    </w:p>
    <w:p>
      <w:r/>
      <w:r>
        <w:t>João Marcos juntou-se a Barnabé e Saulo para ajudá-los a pregar as boas-novas sobre Jesus (</w:t>
      </w:r>
      <w:hyperlink r:id="rId11943">
        <w:r>
          <w:rPr>
            <w:color w:val="0000EE"/>
            <w:u w:val="single"/>
          </w:rPr>
          <w:t>At 13.5</w:t>
        </w:r>
      </w:hyperlink>
      <w:r>
        <w:t xml:space="preserve">). No entanto, ele logo deixou os apóstolos e voltou para Jerusalém (v. </w:t>
      </w:r>
      <w:hyperlink r:id="rId2200">
        <w:r>
          <w:rPr>
            <w:color w:val="0000EE"/>
            <w:u w:val="single"/>
          </w:rPr>
          <w:t>13</w:t>
        </w:r>
      </w:hyperlink>
      <w:r>
        <w:t>). A Bíblia não nos diz por que Marcos deixou os apóstolos. A viagem pode ter sido muito difícil para o jovem Marcos.</w:t>
      </w:r>
    </w:p>
    <w:p>
      <w:r/>
      <w:r>
        <w:t xml:space="preserve">Há outra possível explicação. Em Pafos, quando a jornada começou, Paulo tornou-se o líder principal (v. </w:t>
      </w:r>
      <w:hyperlink r:id="rId2200">
        <w:r>
          <w:rPr>
            <w:color w:val="0000EE"/>
            <w:u w:val="single"/>
          </w:rPr>
          <w:t>13</w:t>
        </w:r>
      </w:hyperlink>
      <w:r>
        <w:t xml:space="preserve">). A partir deste ponto, Atos menciona "Paulo e Barnabé" em vez de "Barnabé e Paulo" (exceto pelos versículos </w:t>
      </w:r>
      <w:hyperlink r:id="rId11944">
        <w:r>
          <w:rPr>
            <w:color w:val="0000EE"/>
            <w:u w:val="single"/>
          </w:rPr>
          <w:t>12</w:t>
        </w:r>
      </w:hyperlink>
      <w:r>
        <w:t xml:space="preserve"> e </w:t>
      </w:r>
      <w:hyperlink r:id="rId11944">
        <w:r>
          <w:rPr>
            <w:color w:val="0000EE"/>
            <w:u w:val="single"/>
          </w:rPr>
          <w:t>25</w:t>
        </w:r>
      </w:hyperlink>
      <w:r>
        <w:t>). Marcos pode não ter gostado do modo como Paulo liderava. Ou, ele pode não ter ficado satisfeito que seu parente Barnabé fosse secundário a Paulo na obra do evangelho. Barnabé foi um seguidor de Jesus antes de Paulo (</w:t>
      </w:r>
      <w:hyperlink r:id="rId3132">
        <w:r>
          <w:rPr>
            <w:color w:val="0000EE"/>
            <w:u w:val="single"/>
          </w:rPr>
          <w:t>4.36–37</w:t>
        </w:r>
      </w:hyperlink>
      <w:r>
        <w:t>). Foi Barnabé quem apresentou Paulo aos apóstolos (</w:t>
      </w:r>
      <w:hyperlink r:id="rId11945">
        <w:r>
          <w:rPr>
            <w:color w:val="0000EE"/>
            <w:u w:val="single"/>
          </w:rPr>
          <w:t>9.27</w:t>
        </w:r>
      </w:hyperlink>
      <w:r>
        <w:t>).</w:t>
      </w:r>
    </w:p>
    <w:p>
      <w:r/>
      <w:r>
        <w:t>Mas pode ter havido uma razão mais importante para Marcos partir. Assim como Paulo, Marcos era “um hebreu de hebreus” (</w:t>
      </w:r>
      <w:hyperlink r:id="rId3431">
        <w:r>
          <w:rPr>
            <w:color w:val="0000EE"/>
            <w:u w:val="single"/>
          </w:rPr>
          <w:t>Fp 3.5</w:t>
        </w:r>
      </w:hyperlink>
      <w:r>
        <w:t>). Marcos pode ter discordado do ensino de Paulo de que os não-judeus poderiam ser salvos apenas pela fé, sem seguir as leis judaicas.</w:t>
      </w:r>
    </w:p>
    <w:p>
      <w:r/>
      <w:r>
        <w:t>É importante notar que na história desta jornada, a Bíblia usa apenas o nome judeu de Marcos, "João", ao falar sobre seu tempo com Paulo e Barnabé (</w:t>
      </w:r>
      <w:hyperlink r:id="rId11943">
        <w:r>
          <w:rPr>
            <w:color w:val="0000EE"/>
            <w:u w:val="single"/>
          </w:rPr>
          <w:t>At 13.5</w:t>
        </w:r>
      </w:hyperlink>
      <w:r>
        <w:t xml:space="preserve">). "João" também é usado quando ele os deixou em Perge, na Panfília (versículo </w:t>
      </w:r>
      <w:hyperlink r:id="rId2200">
        <w:r>
          <w:rPr>
            <w:color w:val="0000EE"/>
            <w:u w:val="single"/>
          </w:rPr>
          <w:t>13</w:t>
        </w:r>
      </w:hyperlink>
      <w:r>
        <w:t xml:space="preserve">). Também é importante que João Marcos tenha retornado ao lugar onde serviu pela primeira vez. Esta era a igreja judaica em Jerusalém, não a igreja gentia em Antioquia (v. </w:t>
      </w:r>
      <w:hyperlink r:id="rId2200">
        <w:r>
          <w:rPr>
            <w:color w:val="0000EE"/>
            <w:u w:val="single"/>
          </w:rPr>
          <w:t>13</w:t>
        </w:r>
      </w:hyperlink>
      <w:r>
        <w:t>).</w:t>
      </w:r>
    </w:p>
    <w:p>
      <w:r/>
      <w:r>
        <w:t>A decisão de Marcos de partir causou problemas mais tarde. Paulo e Barnabé tiveram uma discussão séria sobre se deveriam levar Marcos em outra viagem. O desacordo foi tão intenso que Paulo e Barnabé se separaram (</w:t>
      </w:r>
      <w:hyperlink r:id="rId4835">
        <w:r>
          <w:rPr>
            <w:color w:val="0000EE"/>
            <w:u w:val="single"/>
          </w:rPr>
          <w:t>At 15.39</w:t>
        </w:r>
      </w:hyperlink>
      <w:r>
        <w:t>). Paulo era extremamente dedicado a ensinar a justificação pela fé. Barnabé já havia demonstrado sua incerteza sobre esse ensinamento (</w:t>
      </w:r>
      <w:hyperlink r:id="rId11946">
        <w:r>
          <w:rPr>
            <w:color w:val="0000EE"/>
            <w:u w:val="single"/>
          </w:rPr>
          <w:t>Gl 2.13</w:t>
        </w:r>
      </w:hyperlink>
      <w:r>
        <w:t>). Essa diferença de crenças pode ter levado à separação deles. Barnabé levou Marcos para Chipre, enquanto Paulo escolheu Silas como seu novo parceiro e foi para a Ásia Menor para fortalecer as novas igrejas lá (</w:t>
      </w:r>
      <w:hyperlink r:id="rId11947">
        <w:r>
          <w:rPr>
            <w:color w:val="0000EE"/>
            <w:u w:val="single"/>
          </w:rPr>
          <w:t>At 15.39–41</w:t>
        </w:r>
      </w:hyperlink>
      <w:r>
        <w:t>).</w:t>
      </w:r>
    </w:p>
    <w:p>
      <w:pPr>
        <w:pStyle w:val="Heading3"/>
      </w:pPr>
      <w:r>
        <w:t>Ministério futuro e reconciliação</w:t>
      </w:r>
    </w:p>
    <w:p>
      <w:r/>
      <w:r>
        <w:t xml:space="preserve">Marcos aparece novamente no registro bíblico cerca de 11 anos depois. Em </w:t>
      </w:r>
      <w:hyperlink r:id="rId3140">
        <w:r>
          <w:rPr>
            <w:color w:val="0000EE"/>
            <w:u w:val="single"/>
          </w:rPr>
          <w:t>Colossenses 4.10</w:t>
        </w:r>
      </w:hyperlink>
      <w:r>
        <w:t xml:space="preserve"> e </w:t>
      </w:r>
      <w:hyperlink r:id="rId2499">
        <w:r>
          <w:rPr>
            <w:color w:val="0000EE"/>
            <w:u w:val="single"/>
          </w:rPr>
          <w:t>Filemom 1.24</w:t>
        </w:r>
      </w:hyperlink>
      <w:r>
        <w:t>, ele está em Roma com Paulo, que agora é um homem idoso e “um prisioneiro por causa de Jesus Cristo” (</w:t>
      </w:r>
      <w:hyperlink r:id="rId9354">
        <w:r>
          <w:rPr>
            <w:color w:val="0000EE"/>
            <w:u w:val="single"/>
          </w:rPr>
          <w:t>1.1</w:t>
        </w:r>
      </w:hyperlink>
      <w:r>
        <w:t>). Paulo e Marcos haviam se reconciliado. Paulo diz que Marcos e outros são “os únicos judeus convertidos que trabalham comigo para o Reino de Deus” (</w:t>
      </w:r>
      <w:hyperlink r:id="rId11687">
        <w:r>
          <w:rPr>
            <w:color w:val="0000EE"/>
            <w:u w:val="single"/>
          </w:rPr>
          <w:t>Cl 4.11</w:t>
        </w:r>
      </w:hyperlink>
      <w:r>
        <w:t>).</w:t>
      </w:r>
    </w:p>
    <w:p>
      <w:r/>
      <w:r>
        <w:t>Em sua última carta antes de sua morte, Paulo escreveu suas palavras finais sobre Marcos. Paulo diz a Timóteo: “Venha me ver logo que puder… Somente Lucas está aqui comigo. Procure Marcos e traga-o com você porque ele pode me ajudar no trabalho” (</w:t>
      </w:r>
      <w:hyperlink r:id="rId11948">
        <w:r>
          <w:rPr>
            <w:color w:val="0000EE"/>
            <w:u w:val="single"/>
          </w:rPr>
          <w:t>2Tm 4.9,11</w:t>
        </w:r>
      </w:hyperlink>
      <w:r>
        <w:t xml:space="preserve">). Todos os outros haviam abandonado Paulo durante seu julgamento perante César Nero (v. </w:t>
      </w:r>
      <w:hyperlink r:id="rId11949">
        <w:r>
          <w:rPr>
            <w:color w:val="0000EE"/>
            <w:u w:val="single"/>
          </w:rPr>
          <w:t>16</w:t>
        </w:r>
      </w:hyperlink>
      <w:r>
        <w:t>). Anteriormente, Marcos também havia abandonado o apóstolo quando era jovem. Agora, ele viajou de Éfeso a Roma e tentou vir ver seu amigo Paulo com Timóteo.</w:t>
      </w:r>
    </w:p>
    <w:p>
      <w:pPr>
        <w:pStyle w:val="Heading3"/>
      </w:pPr>
      <w:r>
        <w:t>O Evangelho de Marcos</w:t>
      </w:r>
    </w:p>
    <w:p>
      <w:r/>
      <w:r>
        <w:t xml:space="preserve">Marcos também tinha um relacionamento próximo com o apóstolo Pedro. De acordo com </w:t>
      </w:r>
      <w:hyperlink r:id="rId11942">
        <w:r>
          <w:rPr>
            <w:color w:val="0000EE"/>
            <w:u w:val="single"/>
          </w:rPr>
          <w:t>1 Pedro 5.13</w:t>
        </w:r>
      </w:hyperlink>
      <w:r>
        <w:t>, Pedro enviou uma saudação a Marcos e à igreja em "Babilônia". Aqui, "Babilônia" simboliza Roma. Pedro chama Marcos de "meu filho". Isso mostra que Marcos tinha um relacionamento próximo com Pedro (</w:t>
      </w:r>
      <w:hyperlink r:id="rId7354">
        <w:r>
          <w:rPr>
            <w:color w:val="0000EE"/>
            <w:u w:val="single"/>
          </w:rPr>
          <w:t>Gl 2.9</w:t>
        </w:r>
      </w:hyperlink>
      <w:r>
        <w:t>).</w:t>
      </w:r>
    </w:p>
    <w:p>
      <w:r/>
      <w:r>
        <w:t>A tradição mais importante e confiável da igreja (baseada em escritos fora da Bíblia) nos informa que Marcos foi o assistente próximo de Pedro. Os primeiros pais da igreja afirmaram que Marcos registrou cuidadosamente as histórias e ensinamentos de Pedro sobre Jesus. Marcos utilizou esses ensinamentos para escrever o Evangelho de Marcos, que ele provavelmente escreveu em Roma entre 60 e 68 d.C.</w:t>
      </w:r>
      <w:r/>
      <w:r/>
    </w:p>
    <w:p>
      <w:r/>
    </w:p>
    <w:p>
      <w:pPr>
        <w:pStyle w:val="Heading2"/>
      </w:pPr>
      <w:r>
        <w:t>João, O Apóstolo</w:t>
      </w:r>
      <w:r/>
    </w:p>
    <w:p>
      <w:r/>
      <w:r>
        <w:t>O apóstolo conhecido como “o discípulo a quem Jesus amava”; autor do quarto Evangelho, três epístolas e provavelmente de Apocalipse.</w:t>
      </w:r>
    </w:p>
    <w:p>
      <w:r/>
      <w:r>
        <w:t>O apóstolo João tem uma alta reputação entre o povo cristão, e sua influência foi sentida ao longo dos séculos. Apesar disso, ele é uma figura surpreendentemente sombria. Quando ele aparece nas páginas do NT, é quase sempre em companhia de Pedro ou Tiago, e se houver falas a serem ditas, geralmente é seu companheiro Pedro que faz isso; assim, não há muito sobre o que basear uma biografia.</w:t>
      </w:r>
    </w:p>
    <w:p>
      <w:r/>
      <w:r>
        <w:t>O nome do pai de João era Zebedeu, e João tinha um irmão chamado Tiago (</w:t>
      </w:r>
      <w:hyperlink r:id="rId11950">
        <w:r>
          <w:rPr>
            <w:color w:val="0000EE"/>
            <w:u w:val="single"/>
          </w:rPr>
          <w:t>Mt 4.21</w:t>
        </w:r>
      </w:hyperlink>
      <w:r>
        <w:t>). Entre as mulheres na cruz, Mateus nomeia Maria Madalena, Maria, a mãe de Tiago e José, e “a mãe dos filhos de Zebedeu” (</w:t>
      </w:r>
      <w:hyperlink r:id="rId5011">
        <w:r>
          <w:rPr>
            <w:color w:val="0000EE"/>
            <w:u w:val="single"/>
          </w:rPr>
          <w:t>27.56</w:t>
        </w:r>
      </w:hyperlink>
      <w:r>
        <w:t>). Marcos nomeia as duas Marias e acrescenta Salomé (</w:t>
      </w:r>
      <w:hyperlink r:id="rId5012">
        <w:r>
          <w:rPr>
            <w:color w:val="0000EE"/>
            <w:u w:val="single"/>
          </w:rPr>
          <w:t>Mc 15:40</w:t>
        </w:r>
      </w:hyperlink>
      <w:r>
        <w:t>). Isso indica que Salomé pode ser o nome da mãe de João. Se Mateus e Marcos estão nomeando as mesmas mulheres que João, então Salomé era a “irmã da mãe” de Jesus (</w:t>
      </w:r>
      <w:hyperlink r:id="rId751">
        <w:r>
          <w:rPr>
            <w:color w:val="0000EE"/>
            <w:u w:val="single"/>
          </w:rPr>
          <w:t>Jo 19.25</w:t>
        </w:r>
      </w:hyperlink>
      <w:r>
        <w:t>). Isso tornaria João um primo de Jesus. Não podemos ter certeza disso, pois havia muitas mulheres lá (</w:t>
      </w:r>
      <w:hyperlink r:id="rId9753">
        <w:r>
          <w:rPr>
            <w:color w:val="0000EE"/>
            <w:u w:val="single"/>
          </w:rPr>
          <w:t>Mt 27.55</w:t>
        </w:r>
      </w:hyperlink>
      <w:r>
        <w:t>) e não há como ter certeza de que Mateus, Marcos e João nomeiem as mesmas três. Muitos aceitam a identificação, mas pouco mais pode ser dito.</w:t>
      </w:r>
    </w:p>
    <w:p>
      <w:r/>
      <w:r>
        <w:t>João estava entre aqueles a quem Jesus chamou perto do Mar da Galileia (</w:t>
      </w:r>
      <w:hyperlink r:id="rId11951">
        <w:r>
          <w:rPr>
            <w:color w:val="0000EE"/>
            <w:u w:val="single"/>
          </w:rPr>
          <w:t>Mt 4.21–22</w:t>
        </w:r>
      </w:hyperlink>
      <w:r>
        <w:t xml:space="preserve">; </w:t>
      </w:r>
      <w:hyperlink r:id="rId11952">
        <w:r>
          <w:rPr>
            <w:color w:val="0000EE"/>
            <w:u w:val="single"/>
          </w:rPr>
          <w:t>Mc 1.19–20</w:t>
        </w:r>
      </w:hyperlink>
      <w:r>
        <w:t>). Isso o torna um dos primeiros discípulos. Também é possível que ele fosse o companheiro sem nome de André quando aquele apóstolo seguiu Jesus pela primeira vez (</w:t>
      </w:r>
      <w:hyperlink r:id="rId11953">
        <w:r>
          <w:rPr>
            <w:color w:val="0000EE"/>
            <w:u w:val="single"/>
          </w:rPr>
          <w:t>Jo 1.35–37</w:t>
        </w:r>
      </w:hyperlink>
      <w:r>
        <w:t>). João era importante no pequeno grupo ao redor de Jesus, uma vez que ele era um dos três que estavam especialmente próximos do Mestre. Esses discípulos foram selecionados para estar com Jesus em muitas grandes ocasiões. João, junto com seu irmão Tiago e Pedro, estava presente na Transfiguração (</w:t>
      </w:r>
      <w:hyperlink r:id="rId11954">
        <w:r>
          <w:rPr>
            <w:color w:val="0000EE"/>
            <w:u w:val="single"/>
          </w:rPr>
          <w:t>Mt 17.1–2</w:t>
        </w:r>
      </w:hyperlink>
      <w:r>
        <w:t xml:space="preserve">; </w:t>
      </w:r>
      <w:hyperlink r:id="rId11955">
        <w:r>
          <w:rPr>
            <w:color w:val="0000EE"/>
            <w:u w:val="single"/>
          </w:rPr>
          <w:t>Mc 9.2</w:t>
        </w:r>
      </w:hyperlink>
      <w:r>
        <w:t xml:space="preserve">; </w:t>
      </w:r>
      <w:hyperlink r:id="rId11956">
        <w:r>
          <w:rPr>
            <w:color w:val="0000EE"/>
            <w:u w:val="single"/>
          </w:rPr>
          <w:t>Lc 9.28–29</w:t>
        </w:r>
      </w:hyperlink>
      <w:r>
        <w:t>). Jesus também levou apenas esses três para a casa de Jairo quando ele trouxe a filha daquele homem de volta à vida (</w:t>
      </w:r>
      <w:hyperlink r:id="rId11957">
        <w:r>
          <w:rPr>
            <w:color w:val="0000EE"/>
            <w:u w:val="single"/>
          </w:rPr>
          <w:t>Mc 5.37</w:t>
        </w:r>
      </w:hyperlink>
      <w:r>
        <w:t xml:space="preserve">; </w:t>
      </w:r>
      <w:hyperlink r:id="rId11958">
        <w:r>
          <w:rPr>
            <w:color w:val="0000EE"/>
            <w:u w:val="single"/>
          </w:rPr>
          <w:t>Lc 8.51</w:t>
        </w:r>
      </w:hyperlink>
      <w:r>
        <w:t>). Antes da prisão de Jesus, foi este trio que ele levou para orar com ele no Jardim do Getsêmani (</w:t>
      </w:r>
      <w:hyperlink r:id="rId11959">
        <w:r>
          <w:rPr>
            <w:color w:val="0000EE"/>
            <w:u w:val="single"/>
          </w:rPr>
          <w:t>Mt 26.37</w:t>
        </w:r>
      </w:hyperlink>
      <w:r>
        <w:t xml:space="preserve">; </w:t>
      </w:r>
      <w:hyperlink r:id="rId11960">
        <w:r>
          <w:rPr>
            <w:color w:val="0000EE"/>
            <w:u w:val="single"/>
          </w:rPr>
          <w:t>Mc 14.33</w:t>
        </w:r>
      </w:hyperlink>
      <w:r>
        <w:t>). Embora os três tenham sido admoestados por dormir em vez de vigiar em oração, não devemos negligenciar o fato de que, naquele tempo de grande sofrimento, quando Jesus enfrentou a perspectiva de morte em uma cruz, foi nesses três que ele buscou apoio.</w:t>
      </w:r>
    </w:p>
    <w:p>
      <w:r/>
      <w:r>
        <w:t>Há outras ocasiões em que João é mencionado nos Evangelhos. Lucas nos fala da surpresa de João quando a pesca milagrosa ocorreu (</w:t>
      </w:r>
      <w:hyperlink r:id="rId11961">
        <w:r>
          <w:rPr>
            <w:color w:val="0000EE"/>
            <w:u w:val="single"/>
          </w:rPr>
          <w:t>Lc 5.9–10</w:t>
        </w:r>
      </w:hyperlink>
      <w:r>
        <w:t>). Isso é especialmente digno de nota, uma vez que João era um pescador. Perto do fim do ministério de Jesus, encontramos João vindo a Jesus com Pedro, Tiago e André para perguntar quando o fim viria e qual seria o sinal de quando todas as coisas chegassem ao seu clímax (</w:t>
      </w:r>
      <w:hyperlink r:id="rId1447">
        <w:r>
          <w:rPr>
            <w:color w:val="0000EE"/>
            <w:u w:val="single"/>
          </w:rPr>
          <w:t>Mc 13.3–4</w:t>
        </w:r>
      </w:hyperlink>
      <w:r>
        <w:t>). E na última noite, Jesus enviou Pedro e João para preparar a refeição da Páscoa (</w:t>
      </w:r>
      <w:hyperlink r:id="rId11962">
        <w:r>
          <w:rPr>
            <w:color w:val="0000EE"/>
            <w:u w:val="single"/>
          </w:rPr>
          <w:t>Lc 22.8</w:t>
        </w:r>
      </w:hyperlink>
      <w:r>
        <w:t>).</w:t>
      </w:r>
    </w:p>
    <w:p>
      <w:r/>
      <w:r>
        <w:t>Passagens como essas mostram que João era altamente estimado entre os apóstolos e que ele estava especialmente perto de Jesus. Mas há indicações de que a princípio João estava longe de apreciar o que Jesus representava. Quando Marcos dá sua lista dos Doze, ele nos diz que Jesus deu a Tiago e João o nome “Boanerges”, que significa “filhos do trovão” (</w:t>
      </w:r>
      <w:hyperlink r:id="rId3824">
        <w:r>
          <w:rPr>
            <w:color w:val="0000EE"/>
            <w:u w:val="single"/>
          </w:rPr>
          <w:t>Mc 3.17</w:t>
        </w:r>
      </w:hyperlink>
      <w:r>
        <w:t>). Alguns na igreja primitiva entendiam este nome como um elogio, pensando que significava que o testemunho de Tiago e João a Jesus seria tão forte quanto um trovão. Mas a maioria o vê como apontando para sua tempestuosidade de caráter. Vemos isso, por exemplo, quando João encontra um homem que estava expulsando demônios em nome de Jesus. João o instrui a não fazê-lo, “porque ele não é do nosso grupo” (</w:t>
      </w:r>
      <w:hyperlink r:id="rId11963">
        <w:r>
          <w:rPr>
            <w:color w:val="0000EE"/>
            <w:u w:val="single"/>
          </w:rPr>
          <w:t>Mc 9.38</w:t>
        </w:r>
      </w:hyperlink>
      <w:r>
        <w:t xml:space="preserve">; </w:t>
      </w:r>
      <w:hyperlink r:id="rId11964">
        <w:r>
          <w:rPr>
            <w:color w:val="0000EE"/>
            <w:u w:val="single"/>
          </w:rPr>
          <w:t>Lc 9.49</w:t>
        </w:r>
      </w:hyperlink>
      <w:r>
        <w:t>).</w:t>
      </w:r>
    </w:p>
    <w:p>
      <w:r/>
      <w:r>
        <w:t>Marcos também nos fala de uma ocasião em que os filhos de Zebedeu pediram a Jesus os dois principais lugares em seu reino, um à sua direita e o outro à sua esquerda (</w:t>
      </w:r>
      <w:hyperlink r:id="rId11965">
        <w:r>
          <w:rPr>
            <w:color w:val="0000EE"/>
            <w:u w:val="single"/>
          </w:rPr>
          <w:t>Mc 10.35–40</w:t>
        </w:r>
      </w:hyperlink>
      <w:r>
        <w:t>). Mateus acrescenta o ponto de que as palavras foram ditas pela mãe dos homens, mas ele não nos deixa dúvida de que Tiago e João estavam envolvidos nisso (</w:t>
      </w:r>
      <w:hyperlink r:id="rId11966">
        <w:r>
          <w:rPr>
            <w:color w:val="0000EE"/>
            <w:u w:val="single"/>
          </w:rPr>
          <w:t>Mt 20.20–22</w:t>
        </w:r>
      </w:hyperlink>
      <w:r>
        <w:t>). Jesus prosseguiu perguntando-lhes se eles poderiam beber o cálice que ele beberia e ser batizado com o batismo que ele receberia. (Claramente, essas são metáforas para o sofrimento que Jesus sofreria no devido tempo). Tiago e João afirmaram que eles poderiam, e Jesus os assegurou que eles de fato fariam isso. No entanto, ele não lhes deu nenhuma certeza sobre seus lugares no reino do Pai. (Mas é claro que Tiago e João sofreriam por Cristo). Naquela época, eles também falharam em entender o espírito amoroso que movia seu Mestre e era exigido deles também.</w:t>
      </w:r>
    </w:p>
    <w:p>
      <w:r/>
      <w:r>
        <w:t>Outro incidente que mostra o mesmo espírito tempestuoso é aquele envolvendo aldeões samaritanos que se negaram a receber o pequeno grupo enquanto viajavam. Quando Tiago e João ouviram falar disso, eles perguntaram a Jesus se ele queria que eles mandassem fogo do céu para consumir os aldeões (</w:t>
      </w:r>
      <w:hyperlink r:id="rId3825">
        <w:r>
          <w:rPr>
            <w:color w:val="0000EE"/>
            <w:u w:val="single"/>
          </w:rPr>
          <w:t>Lc 9.54</w:t>
        </w:r>
      </w:hyperlink>
      <w:r>
        <w:t>). Eles estavam claramente em divergência com Jesus, e de fato ele os repreendeu. Mas não devemos perder o zelo que eles exibiam por seu Senhor, nem sua convicção de que se eles chamassem fogo, este viria. Eles tinham certeza de que Deus não falharia em responder à oração daqueles que pediam por vingança contra os oponentes de Jesus. Há aqui zelo e fé, embora também um espírito de falta de amor.</w:t>
      </w:r>
    </w:p>
    <w:p>
      <w:r/>
      <w:r>
        <w:t>Os Evangelhos sinóticos assim nos mostram João como um seguidor zeloso e leal de Jesus. Ele não é retratado como gentil e atencioso. Neste momento, ele sabia pouco do amor que deveria caracterizar um seguidor de Jesus, mas ele tinha fé e uma convicção passional de que Deus faria Jesus e aqueles que o serviam prosperarem.</w:t>
      </w:r>
    </w:p>
    <w:p>
      <w:r/>
      <w:r>
        <w:t>João não é mencionado pelo nome no quarto Evangelho, mas há passagens que falam sobre “o discípulo a quem Jesus amava” (</w:t>
      </w:r>
      <w:hyperlink r:id="rId11967">
        <w:r>
          <w:rPr>
            <w:color w:val="0000EE"/>
            <w:u w:val="single"/>
          </w:rPr>
          <w:t>Jo 13.23</w:t>
        </w:r>
      </w:hyperlink>
      <w:r>
        <w:t xml:space="preserve">; </w:t>
      </w:r>
      <w:hyperlink r:id="rId11968">
        <w:r>
          <w:rPr>
            <w:color w:val="0000EE"/>
            <w:u w:val="single"/>
          </w:rPr>
          <w:t>19.26</w:t>
        </w:r>
      </w:hyperlink>
      <w:r>
        <w:t xml:space="preserve">; </w:t>
      </w:r>
      <w:hyperlink r:id="rId7347">
        <w:r>
          <w:rPr>
            <w:color w:val="0000EE"/>
            <w:u w:val="single"/>
          </w:rPr>
          <w:t>20.2</w:t>
        </w:r>
      </w:hyperlink>
      <w:r>
        <w:t xml:space="preserve">; </w:t>
      </w:r>
      <w:hyperlink r:id="rId7348">
        <w:r>
          <w:rPr>
            <w:color w:val="0000EE"/>
            <w:u w:val="single"/>
          </w:rPr>
          <w:t>21.7, 20</w:t>
        </w:r>
      </w:hyperlink>
      <w:r>
        <w:t xml:space="preserve">). Não somos informados sobre quem foi este, mas a evidência parece indicar que era o apóstolo João. Por exemplo, há um relato de uma viagem de pesca no capítulo </w:t>
      </w:r>
      <w:hyperlink r:id="rId11969">
        <w:r>
          <w:rPr>
            <w:color w:val="0000EE"/>
            <w:u w:val="single"/>
          </w:rPr>
          <w:t>21</w:t>
        </w:r>
      </w:hyperlink>
      <w:r>
        <w:t>, com uma lista daqueles que foram pescar. Esta inclui Pedro, que deve ser descartado como “o discípulo a quem Jesus amava” porque ele é muitas vezes mencionado junto com o discípulo amado. Tomé e Natanael estavam lá, mas parece não haver razão para ver qualquer um dos dois como um provável candidato. Dois homens sem nome e os filhos de Zebedeu compõem o restante do grupo. Tiago é excluído como sendo o autor por causa de sua morte prematura — por volta de 44 d.C. (</w:t>
      </w:r>
      <w:hyperlink r:id="rId6265">
        <w:r>
          <w:rPr>
            <w:color w:val="0000EE"/>
            <w:u w:val="single"/>
          </w:rPr>
          <w:t>Atos 12.2</w:t>
        </w:r>
      </w:hyperlink>
      <w:r>
        <w:t>). Isso nos deixa com João ou um dos homens sem nome. João é favorecido pelo fato de que o discípulo amado está ligado a Pedro em várias ocasiões (</w:t>
      </w:r>
      <w:hyperlink r:id="rId7352">
        <w:r>
          <w:rPr>
            <w:color w:val="0000EE"/>
            <w:u w:val="single"/>
          </w:rPr>
          <w:t>Jo 13.23–24</w:t>
        </w:r>
      </w:hyperlink>
      <w:r>
        <w:t xml:space="preserve">; </w:t>
      </w:r>
      <w:hyperlink r:id="rId7347">
        <w:r>
          <w:rPr>
            <w:color w:val="0000EE"/>
            <w:u w:val="single"/>
          </w:rPr>
          <w:t>20.2</w:t>
        </w:r>
      </w:hyperlink>
      <w:r>
        <w:t xml:space="preserve">; </w:t>
      </w:r>
      <w:hyperlink r:id="rId7348">
        <w:r>
          <w:rPr>
            <w:color w:val="0000EE"/>
            <w:u w:val="single"/>
          </w:rPr>
          <w:t>21.7</w:t>
        </w:r>
      </w:hyperlink>
      <w:r>
        <w:t xml:space="preserve">). Sabemos dos outros Evangelhos que Pedro e João (juntamente com Tiago) eram especialmente próximos (veja também </w:t>
      </w:r>
      <w:hyperlink r:id="rId738">
        <w:r>
          <w:rPr>
            <w:color w:val="0000EE"/>
            <w:u w:val="single"/>
          </w:rPr>
          <w:t>Atos 3</w:t>
        </w:r>
      </w:hyperlink>
      <w:r>
        <w:t xml:space="preserve">; </w:t>
      </w:r>
      <w:hyperlink r:id="rId7353">
        <w:r>
          <w:rPr>
            <w:color w:val="0000EE"/>
            <w:u w:val="single"/>
          </w:rPr>
          <w:t>8.14</w:t>
        </w:r>
      </w:hyperlink>
      <w:r>
        <w:t xml:space="preserve">; </w:t>
      </w:r>
      <w:hyperlink r:id="rId7354">
        <w:r>
          <w:rPr>
            <w:color w:val="0000EE"/>
            <w:u w:val="single"/>
          </w:rPr>
          <w:t>Gl 2.9</w:t>
        </w:r>
      </w:hyperlink>
      <w:r>
        <w:t>). É claro, um dos discípulos sem nome pode ter sido o discípulo amado, mas não temos um motivo para assumir isso. Além disso, tal suposição enfrenta o problema da omissão do nome de João, o apóstolo, em todo o quarto Evangelho. Se João escreveu este livro, podemos entender que ele não mencionou a si mesmo. Mas se foi escrito por outra pessoa, por que essa pessoa omitiria toda a menção de um homem tão proeminente no grupo apostólico quanto os outros Evangelhos mostram que João foi? Além disso, se João for o autor, explicaria por que João Batista é chamado simplesmente de “João”.</w:t>
      </w:r>
    </w:p>
    <w:p>
      <w:r/>
      <w:r>
        <w:t>Argumenta-se que “o discípulo a quem Jesus amava” não é o tipo de título que um homem usaria naturalmente para si mesmo, mas deve ser dito também que não é o tipo de título que um homem usaria naturalmente para outra pessoa. E pode ser que João o use de uma maneira modesta — em parte porque ele não queria chamar a atenção para si mesmo usando seu nome, e em parte porque ele queria enfatizar a verdade de que era o fato de que Jesus o amava que o fez o que ele era.</w:t>
      </w:r>
    </w:p>
    <w:p>
      <w:r/>
      <w:r>
        <w:t>Se esta identificação pode ser aceita, aprendemos mais sobre o apóstolo. Não deveríamos, é claro, ler as palavras “o discípulo a quem Jesus amava” como se elas quisessem dizer que Jesus não amava os outros discípulos. Ele amava a todos. Mas aplicadas a João, elas significam que ele era de fato amado, provavelmente também que ele reconheceu que ele devia tudo o que tinha e tudo o que ele era a esse amor. Que ele estava especialmente perto de Jesus é indicado pelo fato de que ele se inclinou no peito de Jesus na Última Ceia (</w:t>
      </w:r>
      <w:hyperlink r:id="rId11967">
        <w:r>
          <w:rPr>
            <w:color w:val="0000EE"/>
            <w:u w:val="single"/>
          </w:rPr>
          <w:t>Jo 13.23</w:t>
        </w:r>
      </w:hyperlink>
      <w:r>
        <w:t>). Isto também nos diz algo de seu relacionamento com o Mestre que ele estava na cruz quando Cristo foi crucificado e que foi a ele que Jesus deu a ordem para tomar conta de sua mãe (</w:t>
      </w:r>
      <w:hyperlink r:id="rId11970">
        <w:r>
          <w:rPr>
            <w:color w:val="0000EE"/>
            <w:u w:val="single"/>
          </w:rPr>
          <w:t>19.26–27</w:t>
        </w:r>
      </w:hyperlink>
      <w:r>
        <w:t>). Poderia se esperar que Jesus tivesse selecionado alguém de sua família para esta responsabilidade. Mas seus irmãos não acreditavam nele, enquanto tanto João quanto Maria acreditavam. Este evento certamente mostra que um relacionamento próximo existia entre Jesus e o discípulo que ele amava.</w:t>
      </w:r>
    </w:p>
    <w:p>
      <w:r/>
      <w:r>
        <w:t>Na primeira manhã de Páscoa, João correu com Pedro para o túmulo quando Maria Madalena lhes disse que estava vazio. Ele ganhou a corrida, mas ficou do lado de fora do túmulo até que Pedro veio. Pedro, o líder dos homens, entrou diretamente, e João o seguiu. Lemos que ele “viu e creu” (</w:t>
      </w:r>
      <w:hyperlink r:id="rId11971">
        <w:r>
          <w:rPr>
            <w:color w:val="0000EE"/>
            <w:u w:val="single"/>
          </w:rPr>
          <w:t>Jo 20.8</w:t>
        </w:r>
      </w:hyperlink>
      <w:r>
        <w:t xml:space="preserve">). Então no capítulo </w:t>
      </w:r>
      <w:hyperlink r:id="rId11969">
        <w:r>
          <w:rPr>
            <w:color w:val="0000EE"/>
            <w:u w:val="single"/>
          </w:rPr>
          <w:t>21</w:t>
        </w:r>
      </w:hyperlink>
      <w:r>
        <w:t>, lemos sobre o discípulo amado pescando com os outros. Significativamente, foi ele quem reconheceu que era Jesus que ficou na margem e lhes disse onde lançar a rede (</w:t>
      </w:r>
      <w:hyperlink r:id="rId7348">
        <w:r>
          <w:rPr>
            <w:color w:val="0000EE"/>
            <w:u w:val="single"/>
          </w:rPr>
          <w:t>21.7</w:t>
        </w:r>
      </w:hyperlink>
      <w:r>
        <w:t>).</w:t>
      </w:r>
    </w:p>
    <w:p>
      <w:r/>
      <w:r>
        <w:t>Não há muito a acrescentar a esta imagem quando nos voltamos para Atos. No início, o nome de João aparece em uma lista dos Doze (</w:t>
      </w:r>
      <w:hyperlink r:id="rId750">
        <w:r>
          <w:rPr>
            <w:color w:val="0000EE"/>
            <w:u w:val="single"/>
          </w:rPr>
          <w:t>Atos 1.13</w:t>
        </w:r>
      </w:hyperlink>
      <w:r>
        <w:t>); e mais tarde, quando somos informados da morte de Tiago, nota-se que ele era o irmão de João (</w:t>
      </w:r>
      <w:hyperlink r:id="rId6265">
        <w:r>
          <w:rPr>
            <w:color w:val="0000EE"/>
            <w:u w:val="single"/>
          </w:rPr>
          <w:t>12.2</w:t>
        </w:r>
      </w:hyperlink>
      <w:r>
        <w:t xml:space="preserve">). Em todas as outras referências a João, ele está na companhia de Pedro. Esses dois eram os instrumentos que Deus usou para trazer cura a um homem aleijado (capítulo </w:t>
      </w:r>
      <w:hyperlink r:id="rId738">
        <w:r>
          <w:rPr>
            <w:color w:val="0000EE"/>
            <w:u w:val="single"/>
          </w:rPr>
          <w:t>3</w:t>
        </w:r>
      </w:hyperlink>
      <w:r>
        <w:t>). Naquela ocasião, eles estavam indo para o templo na hora da oração. Isso diz algo sobre seus hábitos de devoção. A oração na nona hora aparentemente se refere ao serviço judaico de oração que era realizado ao mesmo tempo que a oferta da noite (isto é, por volta das três horas da tarde). Evidentemente, Pedro e João estavam continuando os hábitos devocionais de judeus piedosos com interesse no templo e todos os seus atos. Em outra ocasião, esses dois foram detidos e presos por conta de sua pregação sobre a ressurreição de Jesus (</w:t>
      </w:r>
      <w:hyperlink r:id="rId11972">
        <w:r>
          <w:rPr>
            <w:color w:val="0000EE"/>
            <w:u w:val="single"/>
          </w:rPr>
          <w:t>4.1–3</w:t>
        </w:r>
      </w:hyperlink>
      <w:r>
        <w:t xml:space="preserve">). Eles foram trazidos perante o concílio, onde Pedro falou por eles. O conselho viu que esses dois homens eram “homens simples e sem instrução” (v. </w:t>
      </w:r>
      <w:hyperlink r:id="rId11973">
        <w:r>
          <w:rPr>
            <w:color w:val="0000EE"/>
            <w:u w:val="single"/>
          </w:rPr>
          <w:t>13</w:t>
        </w:r>
      </w:hyperlink>
      <w:r>
        <w:t xml:space="preserve">). Isso significa que eles nunca haviam tido a educação rabínica normal. Pelos padrões do conselho, eles eram sem instrução. O conselho os proibiu de falar sobre Jesus, mas a resposta dos apóstolos exibe a ousadia típica de João: “Os senhores mesmos julguem diante de Deus: devemos obedecer aos senhores ou a Deus? Pois não podemos deixar de falar daquilo que temos visto e ouvido.” (vv. </w:t>
      </w:r>
      <w:hyperlink r:id="rId11974">
        <w:r>
          <w:rPr>
            <w:color w:val="0000EE"/>
            <w:u w:val="single"/>
          </w:rPr>
          <w:t>19–20</w:t>
        </w:r>
      </w:hyperlink>
      <w:r>
        <w:t>).</w:t>
      </w:r>
    </w:p>
    <w:p>
      <w:r/>
      <w:r>
        <w:t>João foi associado com Pedro novamente quando o evangelho foi pregado pela primeira vez em Samaria. Filipe era o evangelista dos samaritanos, mas os apóstolos em Jerusalém decidiram enviar Pedro e João para Samaria quando ouviram como as pessoas haviam aceitado a mensagem do evangelho. “Quando os dois chegaram, oraram para que a gente de Samaria recebesse o Espírito Santo” (</w:t>
      </w:r>
      <w:hyperlink r:id="rId11975">
        <w:r>
          <w:rPr>
            <w:color w:val="0000EE"/>
            <w:u w:val="single"/>
          </w:rPr>
          <w:t>Atos 8.15</w:t>
        </w:r>
      </w:hyperlink>
      <w:r>
        <w:t>, NTLH), uma ilustração reveladora das prioridades apostólicas. No devido tempo, eles impuseram suas mãos sobre os novos crentes e eles receberam o Espírito Santo (</w:t>
      </w:r>
      <w:hyperlink r:id="rId11976">
        <w:r>
          <w:rPr>
            <w:color w:val="0000EE"/>
            <w:u w:val="single"/>
          </w:rPr>
          <w:t>8.17</w:t>
        </w:r>
      </w:hyperlink>
      <w:r>
        <w:t>). João não é especificamente mencionado, mas ele, sem dúvida, estava incluído nos “apóstolos” que foram detidos e presos por causa do ciúme dos judeus proeminentes (</w:t>
      </w:r>
      <w:hyperlink r:id="rId11977">
        <w:r>
          <w:rPr>
            <w:color w:val="0000EE"/>
            <w:u w:val="single"/>
          </w:rPr>
          <w:t>5.17–18</w:t>
        </w:r>
      </w:hyperlink>
      <w:r>
        <w:t xml:space="preserve">). Mas essa prisão não durou muito, pois um anjo os libertou à noite, de modo que eles retomaram sua pregação no início da manhã (v. </w:t>
      </w:r>
      <w:hyperlink r:id="rId4955">
        <w:r>
          <w:rPr>
            <w:color w:val="0000EE"/>
            <w:u w:val="single"/>
          </w:rPr>
          <w:t>21</w:t>
        </w:r>
      </w:hyperlink>
      <w:r>
        <w:t xml:space="preserve">). João é mencionado pelo nome em </w:t>
      </w:r>
      <w:hyperlink r:id="rId7354">
        <w:r>
          <w:rPr>
            <w:color w:val="0000EE"/>
            <w:u w:val="single"/>
          </w:rPr>
          <w:t>Gálatas 2.9</w:t>
        </w:r>
      </w:hyperlink>
      <w:r>
        <w:t>, onde ele está unido com Pedro e Tiago e os três são chamados de “os líderes da igreja”.</w:t>
      </w:r>
    </w:p>
    <w:p>
      <w:r/>
      <w:r>
        <w:t>Isso parece ser a extensão do registro do NT do apóstolo João. Claramente, ele era uma figura importante no pequeno grupo de cristãos primitivos. Em quase todas as ocasiões quando ele aparece diante de nós no registro, ele está na companhia de alguém e normalmente a fala é feita por seu companheiro, não por João. Mas podemos concluir com justiça que ele permanecia muito perto de Jesus. Talvez ele tivesse entrado na mente de Jesus mais do que qualquer um dos outros. A melhor evidência disso é o Evangelho de João. Claramente, o homem que escreveu isso tinha grande visão espiritual. João pode ter sido mais o pensador do que um homem de ação e líder dos homens.</w:t>
      </w:r>
    </w:p>
    <w:p>
      <w:r/>
      <w:r>
        <w:t>Vimos que há uma boa razão para pensar que o quarto Evangelho foi escrito pelo apóstolo João. As epístolas de João provavelmente vieram dele também (embora, na forma como estão, elas são anônimas). Todos os escritos de João provavelmente originaram-se da província da Ásia. Os hereges aludidos em 1 João se assemelham aos cerintianos (seguidores do herege Cerinto), que estavam na Ásia Menor no final do primeiro século, e a tradição conecta o autor de 1 João com Éfeso. É certo que a mesma pessoa escreveu todas as três cartas, e razoavelmente certo de que este autor também escreveu o Evangelho de João; o Evangelho e as cartas certamente representam a mesma mente em trabalho em situações diferentes.</w:t>
      </w:r>
    </w:p>
    <w:p>
      <w:r/>
      <w:r>
        <w:t>Um autor chamado João escreveu o livro de Apocalipse (</w:t>
      </w:r>
      <w:hyperlink r:id="rId2194">
        <w:r>
          <w:rPr>
            <w:color w:val="0000EE"/>
            <w:u w:val="single"/>
          </w:rPr>
          <w:t>Ap 1:1</w:t>
        </w:r>
      </w:hyperlink>
      <w:r>
        <w:t xml:space="preserve">), embora não fique claro se este é o apóstolo ou outro João. A tradição identificou João do Apocalipse (veja </w:t>
      </w:r>
      <w:hyperlink r:id="rId2194">
        <w:r>
          <w:rPr>
            <w:color w:val="0000EE"/>
            <w:u w:val="single"/>
          </w:rPr>
          <w:t>Ap 11,9</w:t>
        </w:r>
      </w:hyperlink>
      <w:r>
        <w:t xml:space="preserve">; </w:t>
      </w:r>
      <w:hyperlink r:id="rId2020">
        <w:r>
          <w:rPr>
            <w:color w:val="0000EE"/>
            <w:u w:val="single"/>
          </w:rPr>
          <w:t>22.8</w:t>
        </w:r>
      </w:hyperlink>
      <w:r>
        <w:t>) como João, o apóstolo, o autor do Evangelho de João e as três cartas de João. Esta visão foi sustentada por Justino Mártir tão cedo quanto 140 d.C. A principal objeção a esta visão é que o grego original é diferente do dos outros escritos de João que mostram pouco respeito pelas regras da língua. Alguns sugeriram que um João diferente escreveu Apocalipse, outros que os discípulos de João escreveram o Evangelho e cartas e que o próprio João escreveu Apocalipse. Mas ainda é plausível que o apóstolo João (ou um de seus discípulos próximos) tenha escrito o Evangelho e as cartas.</w:t>
      </w:r>
    </w:p>
    <w:p>
      <w:r/>
      <w:r>
        <w:t>Assumindo que João, o apóstolo, escreveu Apocalipse, ele foi exilado para Patmos (</w:t>
      </w:r>
      <w:hyperlink r:id="rId2023">
        <w:r>
          <w:rPr>
            <w:color w:val="0000EE"/>
            <w:u w:val="single"/>
          </w:rPr>
          <w:t>Ap 1.9</w:t>
        </w:r>
      </w:hyperlink>
      <w:r>
        <w:t xml:space="preserve">). Mas a data disso é incerta. Algumas evidências provavelmente não confiáveis do final do quinto século sugerem que João foi martirizado aproximadamente ao mesmo tempo que seu irmão Tiago (ca. 44; veja também </w:t>
      </w:r>
      <w:hyperlink r:id="rId6265">
        <w:r>
          <w:rPr>
            <w:color w:val="0000EE"/>
            <w:u w:val="single"/>
          </w:rPr>
          <w:t>Atos 12.2</w:t>
        </w:r>
      </w:hyperlink>
      <w:r>
        <w:t xml:space="preserve">). A profecia de Jesus em </w:t>
      </w:r>
      <w:hyperlink r:id="rId4098">
        <w:r>
          <w:rPr>
            <w:color w:val="0000EE"/>
            <w:u w:val="single"/>
          </w:rPr>
          <w:t>Mc 10.39</w:t>
        </w:r>
      </w:hyperlink>
      <w:r>
        <w:t xml:space="preserve"> não precisa implicar que ambos encontraram um fim simultâneo e violento. Muito mais forte é a tradição refletida por Polícrates, bispo de Éfeso (ca. 190), de que João morreu de morte natural em Éfeso, e por Irineu (ca. 175–195) que João permaneceu em Éfeso até o tempo do imperador Trajano (governou ca. 97–117).</w:t>
      </w:r>
      <w:r/>
      <w:r/>
    </w:p>
    <w:p>
      <w:r/>
    </w:p>
    <w:p>
      <w:pPr>
        <w:pStyle w:val="Heading2"/>
      </w:pPr>
      <w:r>
        <w:t>Jobabe</w:t>
      </w:r>
      <w:r/>
    </w:p>
    <w:p>
      <w:pPr>
        <w:pStyle w:val="ListNumber"/>
        <w:spacing w:line="240" w:lineRule="auto"/>
        <w:ind w:left="720"/>
      </w:pPr>
      <w:r/>
      <w:r>
        <w:t>Um filho de Joctã na linha de família de Éber (</w:t>
      </w:r>
      <w:hyperlink r:id="rId10353">
        <w:r>
          <w:rPr>
            <w:color w:val="0000EE"/>
            <w:u w:val="single"/>
          </w:rPr>
          <w:t>Gn 10.29</w:t>
        </w:r>
      </w:hyperlink>
      <w:r>
        <w:t xml:space="preserve">; </w:t>
      </w:r>
      <w:hyperlink r:id="rId10354">
        <w:r>
          <w:rPr>
            <w:color w:val="0000EE"/>
            <w:u w:val="single"/>
          </w:rPr>
          <w:t>1Cr 1.23</w:t>
        </w:r>
      </w:hyperlink>
      <w:r>
        <w:t>).</w:t>
      </w:r>
    </w:p>
    <w:p>
      <w:pPr>
        <w:pStyle w:val="ListNumber"/>
        <w:spacing w:line="240" w:lineRule="auto"/>
        <w:ind w:left="720"/>
      </w:pPr>
      <w:r/>
      <w:r>
        <w:t>Um dos primeiros reis edomitas. Ele era filho de Zerá de Bosra (</w:t>
      </w:r>
      <w:hyperlink r:id="rId11978">
        <w:r>
          <w:rPr>
            <w:color w:val="0000EE"/>
            <w:u w:val="single"/>
          </w:rPr>
          <w:t>Gn 36.33–34</w:t>
        </w:r>
      </w:hyperlink>
      <w:r>
        <w:t xml:space="preserve">; </w:t>
      </w:r>
      <w:hyperlink r:id="rId11979">
        <w:r>
          <w:rPr>
            <w:color w:val="0000EE"/>
            <w:u w:val="single"/>
          </w:rPr>
          <w:t>1Cr 1.44–45</w:t>
        </w:r>
      </w:hyperlink>
      <w:r>
        <w:t>).</w:t>
      </w:r>
    </w:p>
    <w:p>
      <w:pPr>
        <w:pStyle w:val="ListNumber"/>
        <w:spacing w:line="240" w:lineRule="auto"/>
        <w:ind w:left="720"/>
      </w:pPr>
      <w:r/>
      <w:r>
        <w:t>Um rei de Madom. Junto com outros reis cananeus, ele se aliou a Jabim de Hazor em uma coalizão do norte. Isso foi para impedir que os israelitas tomassem a parte norte de Canaã. Jobabe morreu em batalha nas Águas de Merom (</w:t>
      </w:r>
      <w:hyperlink r:id="rId279">
        <w:r>
          <w:rPr>
            <w:color w:val="0000EE"/>
            <w:u w:val="single"/>
          </w:rPr>
          <w:t>Js 11.1</w:t>
        </w:r>
      </w:hyperlink>
      <w:r>
        <w:t xml:space="preserve">; </w:t>
      </w:r>
      <w:hyperlink r:id="rId11980">
        <w:r>
          <w:rPr>
            <w:color w:val="0000EE"/>
            <w:u w:val="single"/>
          </w:rPr>
          <w:t>12.19</w:t>
        </w:r>
      </w:hyperlink>
      <w:r>
        <w:t>).</w:t>
      </w:r>
    </w:p>
    <w:p>
      <w:pPr>
        <w:pStyle w:val="ListNumber"/>
        <w:spacing w:line="240" w:lineRule="auto"/>
        <w:ind w:left="720"/>
      </w:pPr>
      <w:r/>
      <w:r>
        <w:t>Um filho de Saaraim por sua esposa Hodes, um membro da tribo de Benjamim (</w:t>
      </w:r>
      <w:hyperlink r:id="rId11981">
        <w:r>
          <w:rPr>
            <w:color w:val="0000EE"/>
            <w:u w:val="single"/>
          </w:rPr>
          <w:t>1Cr 8.9</w:t>
        </w:r>
      </w:hyperlink>
      <w:r>
        <w:t>).</w:t>
      </w:r>
    </w:p>
    <w:p>
      <w:pPr>
        <w:pStyle w:val="ListNumber"/>
        <w:spacing w:line="240" w:lineRule="auto"/>
        <w:ind w:left="720"/>
      </w:pPr>
      <w:r/>
      <w:r>
        <w:t>Um filho de Elpaal da tribo de Benjamim (</w:t>
      </w:r>
      <w:hyperlink r:id="rId11982">
        <w:r>
          <w:rPr>
            <w:color w:val="0000EE"/>
            <w:u w:val="single"/>
          </w:rPr>
          <w:t>1Cr 8.18</w:t>
        </w:r>
      </w:hyperlink>
      <w:r>
        <w:t>).</w:t>
      </w:r>
      <w:r/>
      <w:r/>
    </w:p>
    <w:p>
      <w:r/>
    </w:p>
    <w:p>
      <w:pPr>
        <w:pStyle w:val="Heading2"/>
      </w:pPr>
      <w:r>
        <w:t>Jocsã</w:t>
      </w:r>
      <w:r/>
    </w:p>
    <w:p>
      <w:r/>
      <w:r>
        <w:t>Um filho de Abraão e Quetura. Jocsã foi o pai de Seba e Dedã (</w:t>
      </w:r>
      <w:hyperlink r:id="rId11983">
        <w:r>
          <w:rPr>
            <w:color w:val="0000EE"/>
            <w:u w:val="single"/>
          </w:rPr>
          <w:t>Gn 25.2–3</w:t>
        </w:r>
      </w:hyperlink>
      <w:r>
        <w:t xml:space="preserve">; </w:t>
      </w:r>
      <w:hyperlink r:id="rId5351">
        <w:r>
          <w:rPr>
            <w:color w:val="0000EE"/>
            <w:u w:val="single"/>
          </w:rPr>
          <w:t>1Cr 1.32</w:t>
        </w:r>
      </w:hyperlink>
      <w:r>
        <w:t>).</w:t>
      </w:r>
      <w:r/>
      <w:r/>
    </w:p>
    <w:p>
      <w:r/>
    </w:p>
    <w:p>
      <w:pPr>
        <w:pStyle w:val="Heading2"/>
      </w:pPr>
      <w:r>
        <w:t>Joctã</w:t>
      </w:r>
      <w:r/>
    </w:p>
    <w:p>
      <w:r/>
      <w:r>
        <w:t>Um filho de Éber e irmão mais novo de Pelegue. Vários grupos árabes descendem dele (</w:t>
      </w:r>
      <w:hyperlink r:id="rId11984">
        <w:r>
          <w:rPr>
            <w:color w:val="0000EE"/>
            <w:u w:val="single"/>
          </w:rPr>
          <w:t>Gn 10.25–29</w:t>
        </w:r>
      </w:hyperlink>
      <w:r>
        <w:t xml:space="preserve">; </w:t>
      </w:r>
      <w:hyperlink r:id="rId11985">
        <w:r>
          <w:rPr>
            <w:color w:val="0000EE"/>
            <w:u w:val="single"/>
          </w:rPr>
          <w:t>1Cr 1.19–23</w:t>
        </w:r>
      </w:hyperlink>
      <w:r>
        <w:t>).</w:t>
      </w:r>
      <w:r/>
      <w:r/>
    </w:p>
    <w:p>
      <w:r/>
    </w:p>
    <w:p>
      <w:pPr>
        <w:pStyle w:val="Heading2"/>
      </w:pPr>
      <w:r>
        <w:t>Joel (pessoa)</w:t>
      </w:r>
      <w:r/>
    </w:p>
    <w:p>
      <w:r/>
      <w:r>
        <w:t>1. Levita da família de Coate. Ele era filho de Azarias e um ancestral de Elcana, o pai de Samuel, o profeta (</w:t>
      </w:r>
      <w:hyperlink r:id="rId7702">
        <w:r>
          <w:rPr>
            <w:color w:val="0000EE"/>
            <w:u w:val="single"/>
          </w:rPr>
          <w:t>1Sm 1.1</w:t>
        </w:r>
      </w:hyperlink>
      <w:r>
        <w:t xml:space="preserve">; </w:t>
      </w:r>
      <w:hyperlink r:id="rId11986">
        <w:r>
          <w:rPr>
            <w:color w:val="0000EE"/>
            <w:u w:val="single"/>
          </w:rPr>
          <w:t>1Cr 6.36</w:t>
        </w:r>
      </w:hyperlink>
      <w:r>
        <w:t>);</w:t>
      </w:r>
    </w:p>
    <w:p>
      <w:r/>
      <w:r>
        <w:t>2. Filho mais velho de Samuel, o profeta. Ele e seu irmão Abias corromperam tanto o cargo de juiz que os anciãos intensificaram suas exigências por um rei (</w:t>
      </w:r>
      <w:hyperlink r:id="rId11987">
        <w:r>
          <w:rPr>
            <w:color w:val="0000EE"/>
            <w:u w:val="single"/>
          </w:rPr>
          <w:t>1Sm 8.2–5</w:t>
        </w:r>
      </w:hyperlink>
      <w:r>
        <w:t>). Ele foi o pai de Hemã, o cantor (</w:t>
      </w:r>
      <w:hyperlink r:id="rId11988">
        <w:r>
          <w:rPr>
            <w:color w:val="0000EE"/>
            <w:u w:val="single"/>
          </w:rPr>
          <w:t>1Cr 6.33</w:t>
        </w:r>
      </w:hyperlink>
      <w:r>
        <w:t xml:space="preserve">; </w:t>
      </w:r>
      <w:hyperlink r:id="rId11989">
        <w:r>
          <w:rPr>
            <w:color w:val="0000EE"/>
            <w:u w:val="single"/>
          </w:rPr>
          <w:t>15.17</w:t>
        </w:r>
      </w:hyperlink>
      <w:r>
        <w:t>);</w:t>
      </w:r>
    </w:p>
    <w:p>
      <w:r/>
      <w:r>
        <w:t>3. Príncipe de uma das famílias simeonitas que emigraram para o vale de Gedor (</w:t>
      </w:r>
      <w:hyperlink r:id="rId11990">
        <w:r>
          <w:rPr>
            <w:color w:val="0000EE"/>
            <w:u w:val="single"/>
          </w:rPr>
          <w:t>1Cr 4.35</w:t>
        </w:r>
      </w:hyperlink>
      <w:r>
        <w:t>);</w:t>
      </w:r>
    </w:p>
    <w:p>
      <w:r/>
      <w:r>
        <w:t>4. Membro da tribo de Rúben (</w:t>
      </w:r>
      <w:hyperlink r:id="rId11991">
        <w:r>
          <w:rPr>
            <w:color w:val="0000EE"/>
            <w:u w:val="single"/>
          </w:rPr>
          <w:t>1Cr 5.4,8</w:t>
        </w:r>
      </w:hyperlink>
      <w:r>
        <w:t>);</w:t>
      </w:r>
    </w:p>
    <w:p>
      <w:r/>
      <w:r>
        <w:t>5. Chefe da tribo de Gade residente em Basã (</w:t>
      </w:r>
      <w:hyperlink r:id="rId11992">
        <w:r>
          <w:rPr>
            <w:color w:val="0000EE"/>
            <w:u w:val="single"/>
          </w:rPr>
          <w:t>1Cr 5.12</w:t>
        </w:r>
      </w:hyperlink>
      <w:r>
        <w:t>);</w:t>
      </w:r>
    </w:p>
    <w:p>
      <w:r/>
      <w:r>
        <w:t>6. Terceiro dos quatro filhos nomeados de Izraías e um chefe da tribo de Issacar no tempo de Davi (</w:t>
      </w:r>
      <w:hyperlink r:id="rId11993">
        <w:r>
          <w:rPr>
            <w:color w:val="0000EE"/>
            <w:u w:val="single"/>
          </w:rPr>
          <w:t>1Cr 7.3</w:t>
        </w:r>
      </w:hyperlink>
      <w:r>
        <w:t>);</w:t>
      </w:r>
    </w:p>
    <w:p>
      <w:r/>
      <w:r>
        <w:t>7. Irmão de Natã e um dos valentes de Davi (</w:t>
      </w:r>
      <w:hyperlink r:id="rId10869">
        <w:r>
          <w:rPr>
            <w:color w:val="0000EE"/>
            <w:u w:val="single"/>
          </w:rPr>
          <w:t>1Cr 11.38</w:t>
        </w:r>
      </w:hyperlink>
      <w:r>
        <w:t xml:space="preserve">). Ele é alternativamente chamado de Igal, filho de Natã em </w:t>
      </w:r>
      <w:hyperlink r:id="rId10868">
        <w:r>
          <w:rPr>
            <w:color w:val="0000EE"/>
            <w:u w:val="single"/>
          </w:rPr>
          <w:t>2 Samuel 23.36</w:t>
        </w:r>
      </w:hyperlink>
      <w:r>
        <w:t xml:space="preserve">. </w:t>
      </w:r>
      <w:r>
        <w:rPr>
          <w:i/>
        </w:rPr>
        <w:t>Veja</w:t>
      </w:r>
      <w:r>
        <w:t xml:space="preserve"> </w:t>
      </w:r>
      <w:r>
        <w:t>Igal #2;</w:t>
      </w:r>
    </w:p>
    <w:p>
      <w:r/>
      <w:r>
        <w:t>8. Levita da família de Gérson que participou da procissão real que trouxe a arca de Deus para Jerusalém durante o reinado de Davi (</w:t>
      </w:r>
      <w:hyperlink r:id="rId11994">
        <w:r>
          <w:rPr>
            <w:color w:val="0000EE"/>
            <w:u w:val="single"/>
          </w:rPr>
          <w:t>1Cr 15.7–11</w:t>
        </w:r>
      </w:hyperlink>
      <w:r>
        <w:t>). Ele pode ter gerenciado os tesouros do templo em Jerusalém (</w:t>
      </w:r>
      <w:hyperlink r:id="rId4897">
        <w:r>
          <w:rPr>
            <w:color w:val="0000EE"/>
            <w:u w:val="single"/>
          </w:rPr>
          <w:t>1Cr 26.22</w:t>
        </w:r>
      </w:hyperlink>
      <w:r>
        <w:t>);</w:t>
      </w:r>
    </w:p>
    <w:p>
      <w:r/>
      <w:r>
        <w:t>9. O filho de Pedaías, que serviu como líder da metade oeste da tribo de Manassés durante o reinado de Davi (</w:t>
      </w:r>
      <w:hyperlink r:id="rId11995">
        <w:r>
          <w:rPr>
            <w:color w:val="0000EE"/>
            <w:u w:val="single"/>
          </w:rPr>
          <w:t>1Cr 27.20</w:t>
        </w:r>
      </w:hyperlink>
      <w:r>
        <w:t>);</w:t>
      </w:r>
    </w:p>
    <w:p>
      <w:r/>
      <w:r>
        <w:t>10. Levita da família de Coate que ajudou na reforma do templo em Jerusalém sob o rei Ezequias (</w:t>
      </w:r>
      <w:hyperlink r:id="rId5025">
        <w:r>
          <w:rPr>
            <w:color w:val="0000EE"/>
            <w:u w:val="single"/>
          </w:rPr>
          <w:t>2Cr 29.12</w:t>
        </w:r>
      </w:hyperlink>
      <w:r>
        <w:t>);</w:t>
      </w:r>
    </w:p>
    <w:p>
      <w:r/>
      <w:r>
        <w:t>11. O filho de Nebo, que foi encorajado por Esdras a se divorciar de sua esposa estrangeira durante o período pós-exílico (</w:t>
      </w:r>
      <w:hyperlink r:id="rId11996">
        <w:r>
          <w:rPr>
            <w:color w:val="0000EE"/>
            <w:u w:val="single"/>
          </w:rPr>
          <w:t>Ed 10.43</w:t>
        </w:r>
      </w:hyperlink>
      <w:r>
        <w:t>);</w:t>
      </w:r>
    </w:p>
    <w:p>
      <w:r/>
      <w:r>
        <w:t>12. O filho de Zicri era o supervisor de 128 benjaminitas que se mudaram para Jerusalém após o exílio (</w:t>
      </w:r>
      <w:hyperlink r:id="rId11997">
        <w:r>
          <w:rPr>
            <w:color w:val="0000EE"/>
            <w:u w:val="single"/>
          </w:rPr>
          <w:t>Ne 11.9</w:t>
        </w:r>
      </w:hyperlink>
      <w:r>
        <w:t>);</w:t>
      </w:r>
    </w:p>
    <w:p>
      <w:r/>
      <w:r>
        <w:t>13. Profeta que escreveu o segundo livro dos Profetas Menores. Pouco se sabe sobre ele, exceto que era filho de Petuel (</w:t>
      </w:r>
      <w:hyperlink r:id="rId11998">
        <w:r>
          <w:rPr>
            <w:color w:val="0000EE"/>
            <w:u w:val="single"/>
          </w:rPr>
          <w:t>Jl 1.1</w:t>
        </w:r>
      </w:hyperlink>
      <w:r>
        <w:t xml:space="preserve">; </w:t>
      </w:r>
      <w:hyperlink r:id="rId11999">
        <w:r>
          <w:rPr>
            <w:color w:val="0000EE"/>
            <w:u w:val="single"/>
          </w:rPr>
          <w:t>At 2.16</w:t>
        </w:r>
      </w:hyperlink>
      <w:r>
        <w:t xml:space="preserve">). </w:t>
      </w:r>
      <w:r>
        <w:rPr>
          <w:i/>
        </w:rPr>
        <w:t>Veja</w:t>
      </w:r>
      <w:r>
        <w:t xml:space="preserve"> </w:t>
      </w:r>
      <w:r>
        <w:t>Joel, Livro de</w:t>
      </w:r>
      <w:r>
        <w:t>.</w:t>
      </w:r>
      <w:r/>
      <w:r/>
    </w:p>
    <w:p>
      <w:r/>
    </w:p>
    <w:p>
      <w:pPr>
        <w:pStyle w:val="Heading2"/>
      </w:pPr>
      <w:r>
        <w:t>Jogbeá</w:t>
      </w:r>
      <w:r/>
    </w:p>
    <w:p>
      <w:r/>
      <w:r>
        <w:t>Jogbeá era uma cidade localizada em Gileade (a área leste do Rio Jordão). A tribo de Gade construiu e fortificou esta cidade (</w:t>
      </w:r>
      <w:hyperlink r:id="rId2824">
        <w:r>
          <w:rPr>
            <w:color w:val="0000EE"/>
            <w:u w:val="single"/>
          </w:rPr>
          <w:t>Nm 32.35</w:t>
        </w:r>
      </w:hyperlink>
      <w:r>
        <w:t>). Durante o tempo dos juízes, quando Gideão estava perseguindo os midianitas, ele viajou para o leste de Jogbeá. Isso permitiu que ele atacasse o acampamento midianita em Carcor quando eles não estavam esperando (</w:t>
      </w:r>
      <w:hyperlink r:id="rId12000">
        <w:r>
          <w:rPr>
            <w:color w:val="0000EE"/>
            <w:u w:val="single"/>
          </w:rPr>
          <w:t>Jz 8.11</w:t>
        </w:r>
      </w:hyperlink>
      <w:r>
        <w:t>).</w:t>
      </w:r>
    </w:p>
    <w:p>
      <w:r/>
      <w:r>
        <w:t>Os estudiosos agora identificam esta antiga cidade como Khirbet el-Ajbeihat, que está a 11 quilômetros a noroeste de Amã.</w:t>
      </w:r>
      <w:r/>
      <w:r/>
    </w:p>
    <w:p>
      <w:r/>
    </w:p>
    <w:p>
      <w:pPr>
        <w:pStyle w:val="Heading2"/>
      </w:pPr>
      <w:r>
        <w:t>Jogli</w:t>
      </w:r>
      <w:r/>
    </w:p>
    <w:p>
      <w:r/>
      <w:r>
        <w:t>O pai de Buqui. Buqui era um líder da tribo de Dã. Ele ajudou a supervisionar como a terra Prometida a oeste do Rio Jordão foi dividida entre as tribos de Israel (</w:t>
      </w:r>
      <w:hyperlink r:id="rId3872">
        <w:r>
          <w:rPr>
            <w:color w:val="0000EE"/>
            <w:u w:val="single"/>
          </w:rPr>
          <w:t>Nm 34.22</w:t>
        </w:r>
      </w:hyperlink>
      <w:r>
        <w:t>).</w:t>
      </w:r>
      <w:r/>
      <w:r/>
    </w:p>
    <w:p>
      <w:r/>
    </w:p>
    <w:p>
      <w:pPr>
        <w:pStyle w:val="Heading2"/>
      </w:pPr>
      <w:r>
        <w:t>Joias, Adornos</w:t>
      </w:r>
      <w:r/>
    </w:p>
    <w:p>
      <w:r/>
      <w:r>
        <w:t>Um acessório decorativo. Na Bíblia, tanto homens quanto mulheres usavam joias (</w:t>
      </w:r>
      <w:hyperlink r:id="rId12001">
        <w:r>
          <w:rPr>
            <w:color w:val="0000EE"/>
            <w:u w:val="single"/>
          </w:rPr>
          <w:t>Êx 11.2</w:t>
        </w:r>
      </w:hyperlink>
      <w:r>
        <w:t xml:space="preserve">; </w:t>
      </w:r>
      <w:hyperlink r:id="rId12002">
        <w:r>
          <w:rPr>
            <w:color w:val="0000EE"/>
            <w:u w:val="single"/>
          </w:rPr>
          <w:t>Is 3.18</w:t>
        </w:r>
      </w:hyperlink>
      <w:r>
        <w:t>–</w:t>
      </w:r>
      <w:hyperlink r:id="rId12002">
        <w:r>
          <w:rPr>
            <w:color w:val="0000EE"/>
            <w:u w:val="single"/>
          </w:rPr>
          <w:t>21</w:t>
        </w:r>
      </w:hyperlink>
      <w:r>
        <w:t>). As pessoas davam joias como presentes (</w:t>
      </w:r>
      <w:hyperlink r:id="rId12003">
        <w:r>
          <w:rPr>
            <w:color w:val="0000EE"/>
            <w:u w:val="single"/>
          </w:rPr>
          <w:t>Gn 24.22,53</w:t>
        </w:r>
      </w:hyperlink>
      <w:r>
        <w:t>). Joias eram frequentemente roubadas em guerras (</w:t>
      </w:r>
      <w:hyperlink r:id="rId12004">
        <w:r>
          <w:rPr>
            <w:color w:val="0000EE"/>
            <w:u w:val="single"/>
          </w:rPr>
          <w:t>2Cr 20.25</w:t>
        </w:r>
      </w:hyperlink>
      <w:r>
        <w:t>). Antes de existirem moedas, joias de ouro eram um sinal de riqueza (</w:t>
      </w:r>
      <w:hyperlink r:id="rId12005">
        <w:r>
          <w:rPr>
            <w:color w:val="0000EE"/>
            <w:u w:val="single"/>
          </w:rPr>
          <w:t>2Cr 21.3</w:t>
        </w:r>
      </w:hyperlink>
      <w:r>
        <w:t>).</w:t>
      </w:r>
    </w:p>
    <w:p>
      <w:pPr>
        <w:pStyle w:val="Heading3"/>
      </w:pPr>
      <w:r>
        <w:t>Tipos de joias no Antigo Testamento</w:t>
      </w:r>
    </w:p>
    <w:p>
      <w:r/>
      <w:r>
        <w:t>O Antigo Testamento menciona muitos tipos de joias:</w:t>
      </w:r>
    </w:p>
    <w:p>
      <w:pPr>
        <w:pStyle w:val="ListBullet"/>
        <w:spacing w:line="240" w:lineRule="auto"/>
        <w:ind w:left="720"/>
      </w:pPr>
      <w:r/>
      <w:r>
        <w:t>Pulseiras (</w:t>
      </w:r>
      <w:hyperlink r:id="rId12006">
        <w:r>
          <w:rPr>
            <w:color w:val="0000EE"/>
            <w:u w:val="single"/>
          </w:rPr>
          <w:t>Gn 24.22,30,47</w:t>
        </w:r>
      </w:hyperlink>
      <w:r>
        <w:t xml:space="preserve">; </w:t>
      </w:r>
      <w:hyperlink r:id="rId12007">
        <w:r>
          <w:rPr>
            <w:color w:val="0000EE"/>
            <w:u w:val="single"/>
          </w:rPr>
          <w:t>Ez 16.11</w:t>
        </w:r>
      </w:hyperlink>
      <w:r>
        <w:t>)</w:t>
      </w:r>
    </w:p>
    <w:p>
      <w:pPr>
        <w:pStyle w:val="ListBullet"/>
        <w:spacing w:line="240" w:lineRule="auto"/>
        <w:ind w:left="720"/>
      </w:pPr>
      <w:r/>
      <w:r>
        <w:t>Ornamentos de tornozelo (</w:t>
      </w:r>
      <w:hyperlink r:id="rId12008">
        <w:r>
          <w:rPr>
            <w:color w:val="0000EE"/>
            <w:u w:val="single"/>
          </w:rPr>
          <w:t>Is 3.18</w:t>
        </w:r>
      </w:hyperlink>
      <w:r>
        <w:t>–</w:t>
      </w:r>
      <w:hyperlink r:id="rId12008">
        <w:r>
          <w:rPr>
            <w:color w:val="0000EE"/>
            <w:u w:val="single"/>
          </w:rPr>
          <w:t>20</w:t>
        </w:r>
      </w:hyperlink>
      <w:r>
        <w:t>)</w:t>
      </w:r>
    </w:p>
    <w:p>
      <w:pPr>
        <w:pStyle w:val="ListBullet"/>
        <w:spacing w:line="240" w:lineRule="auto"/>
        <w:ind w:left="720"/>
      </w:pPr>
      <w:r/>
      <w:r>
        <w:t>Colares (</w:t>
      </w:r>
      <w:hyperlink r:id="rId555">
        <w:r>
          <w:rPr>
            <w:color w:val="0000EE"/>
            <w:u w:val="single"/>
          </w:rPr>
          <w:t>Gn 41.42</w:t>
        </w:r>
      </w:hyperlink>
      <w:r>
        <w:t>)</w:t>
      </w:r>
    </w:p>
    <w:p>
      <w:pPr>
        <w:pStyle w:val="ListBullet"/>
        <w:spacing w:line="240" w:lineRule="auto"/>
        <w:ind w:left="720"/>
      </w:pPr>
      <w:r/>
      <w:r>
        <w:t>Coroas (</w:t>
      </w:r>
      <w:hyperlink r:id="rId12009">
        <w:r>
          <w:rPr>
            <w:color w:val="0000EE"/>
            <w:u w:val="single"/>
          </w:rPr>
          <w:t>Zc 9.16</w:t>
        </w:r>
      </w:hyperlink>
      <w:r>
        <w:t>)</w:t>
      </w:r>
    </w:p>
    <w:p>
      <w:pPr>
        <w:pStyle w:val="ListBullet"/>
        <w:spacing w:line="240" w:lineRule="auto"/>
        <w:ind w:left="720"/>
      </w:pPr>
      <w:r/>
      <w:r>
        <w:t>Brincos (</w:t>
      </w:r>
      <w:hyperlink r:id="rId7171">
        <w:r>
          <w:rPr>
            <w:color w:val="0000EE"/>
            <w:u w:val="single"/>
          </w:rPr>
          <w:t>Gn 24.22</w:t>
        </w:r>
      </w:hyperlink>
      <w:r>
        <w:t>)</w:t>
      </w:r>
    </w:p>
    <w:p>
      <w:pPr>
        <w:pStyle w:val="ListBullet"/>
        <w:spacing w:line="240" w:lineRule="auto"/>
        <w:ind w:left="720"/>
      </w:pPr>
      <w:r/>
      <w:r>
        <w:t>Anéis de nariz (</w:t>
      </w:r>
      <w:hyperlink r:id="rId12010">
        <w:r>
          <w:rPr>
            <w:color w:val="0000EE"/>
            <w:u w:val="single"/>
          </w:rPr>
          <w:t>Is 3.21</w:t>
        </w:r>
      </w:hyperlink>
      <w:r>
        <w:t>)</w:t>
      </w:r>
    </w:p>
    <w:p>
      <w:pPr>
        <w:pStyle w:val="ListBullet"/>
        <w:spacing w:line="240" w:lineRule="auto"/>
        <w:ind w:left="720"/>
      </w:pPr>
      <w:r/>
      <w:r>
        <w:t>Anéis de dedo (</w:t>
      </w:r>
      <w:hyperlink r:id="rId555">
        <w:r>
          <w:rPr>
            <w:color w:val="0000EE"/>
            <w:u w:val="single"/>
          </w:rPr>
          <w:t>Gn 41.42</w:t>
        </w:r>
      </w:hyperlink>
      <w:r>
        <w:t xml:space="preserve">; </w:t>
      </w:r>
      <w:hyperlink r:id="rId553">
        <w:r>
          <w:rPr>
            <w:color w:val="0000EE"/>
            <w:u w:val="single"/>
          </w:rPr>
          <w:t>Et 3.10</w:t>
        </w:r>
      </w:hyperlink>
      <w:r>
        <w:t>)</w:t>
      </w:r>
    </w:p>
    <w:p>
      <w:r/>
      <w:r>
        <w:t>Bases de ouro ou prata eram usadas para segurar pedras preciosas nesses itens. As pedras preciosas eram arredondadas, polidas e, às vezes, gravadas (esculpidas, gravadas ou inscritas em um material). Muitas pedras consideradas preciosas naquela época não seriam valorizadas da mesma forma hoje. Em vez disso, seriam consideradas semipreciosas (menos raras ou valiosas do que pedras preciosas).</w:t>
      </w:r>
    </w:p>
    <w:p>
      <w:r/>
      <w:r>
        <w:t xml:space="preserve">Pedras semipreciosas foram adicionadas a colares e outras peças de joalheria. Antigos diademas reais dos túmulos em Ur mostram a habilidade dos joalheiros da época. Faixas de cabelo e alfinetes eram frequentemente usados para decorar o cabelo, e muitos foram encontrados. Anéis com pedras esculpidas eram extremamente populares, assim como anéis de nariz (veja </w:t>
      </w:r>
      <w:hyperlink r:id="rId12011">
        <w:r>
          <w:rPr>
            <w:color w:val="0000EE"/>
            <w:u w:val="single"/>
          </w:rPr>
          <w:t>Gn 24.47</w:t>
        </w:r>
      </w:hyperlink>
      <w:r>
        <w:t>). Correntes finas de ouro eram frequentemente usadas. Anéis de sinete e correntes pesadas de ouro eram símbolos de ofício (</w:t>
      </w:r>
      <w:hyperlink r:id="rId555">
        <w:r>
          <w:rPr>
            <w:color w:val="0000EE"/>
            <w:u w:val="single"/>
          </w:rPr>
          <w:t>G 41.42</w:t>
        </w:r>
      </w:hyperlink>
      <w:r>
        <w:t>). Braceletes e amuletos eram usados ao redor do pulso, do braço superior e do pescoço. Alfinetes decorativos, semelhantes ao moderno alfinete de segurança, eram frequentemente usados para prender roupas.</w:t>
      </w:r>
    </w:p>
    <w:p>
      <w:r/>
      <w:hyperlink r:id="rId12012">
        <w:r>
          <w:rPr>
            <w:color w:val="0000EE"/>
            <w:u w:val="single"/>
          </w:rPr>
          <w:t>Isaías 3.18</w:t>
        </w:r>
      </w:hyperlink>
      <w:r>
        <w:t>–</w:t>
      </w:r>
      <w:hyperlink r:id="rId12012">
        <w:r>
          <w:rPr>
            <w:color w:val="0000EE"/>
            <w:u w:val="single"/>
          </w:rPr>
          <w:t>23</w:t>
        </w:r>
      </w:hyperlink>
      <w:r>
        <w:t xml:space="preserve"> fornece uma descrição detalhada das joias e vestimentas das mulheres. O profeta adverte: “O Senhor tirará seus adornos: suas tornozeleiras, faixas de cabeça e crescentes; seus pingentes, pulseiras e véus; suas tiaras, correntes de tornozelo e cintos; seus frascos de perfume e amuletos; seus anéis de sinete e anéis de nariz; suas vestes festivas, capas, mantos e bolsas; e seus espelhos, roupas de linho, tiaras e xales”.</w:t>
      </w:r>
    </w:p>
    <w:p>
      <w:r/>
      <w:r>
        <w:rPr>
          <w:i/>
        </w:rPr>
        <w:t>Veja</w:t>
      </w:r>
      <w:r>
        <w:t xml:space="preserve"> </w:t>
      </w:r>
      <w:r>
        <w:t>Minerais e metais</w:t>
      </w:r>
      <w:r>
        <w:t xml:space="preserve">; </w:t>
      </w:r>
      <w:r>
        <w:t>Pedras, Preciosas</w:t>
      </w:r>
      <w:r>
        <w:t>.</w:t>
      </w:r>
      <w:r/>
      <w:r/>
    </w:p>
    <w:p>
      <w:r/>
    </w:p>
    <w:p>
      <w:pPr>
        <w:pStyle w:val="Heading2"/>
      </w:pPr>
      <w:r>
        <w:t>Jonate-Elém-Recoquim</w:t>
      </w:r>
      <w:r/>
    </w:p>
    <w:p>
      <w:r/>
      <w:r>
        <w:t xml:space="preserve">Frase em hebraico no título do </w:t>
      </w:r>
      <w:hyperlink r:id="rId12013">
        <w:r>
          <w:rPr>
            <w:color w:val="0000EE"/>
            <w:u w:val="single"/>
          </w:rPr>
          <w:t>Salmo 56</w:t>
        </w:r>
      </w:hyperlink>
      <w:r>
        <w:t>, traduzida como “De acordo com a melodia ' Uma Pomba em Carvalhos Distantes'"; possivelmente uma melodia antiga familiar à qual o salmo era executado.</w:t>
      </w:r>
    </w:p>
    <w:p>
      <w:r/>
      <w:r>
        <w:rPr>
          <w:i/>
        </w:rPr>
        <w:t>Consulte também</w:t>
      </w:r>
      <w:r>
        <w:t xml:space="preserve"> </w:t>
      </w:r>
      <w:r>
        <w:t>Música</w:t>
      </w:r>
      <w:r>
        <w:t>.</w:t>
      </w:r>
      <w:r/>
      <w:r/>
    </w:p>
    <w:p>
      <w:r/>
    </w:p>
    <w:p>
      <w:pPr>
        <w:pStyle w:val="Heading2"/>
      </w:pPr>
      <w:r>
        <w:t>Jope</w:t>
      </w:r>
      <w:r/>
    </w:p>
    <w:p>
      <w:r/>
      <w:r>
        <w:t>Jope era uma cidade a cerca de 56 quilômetros a noroeste de Jerusalém. Funcionava como o principal porto marítimo de Jerusalém.</w:t>
      </w:r>
    </w:p>
    <w:p>
      <w:r/>
      <w:r>
        <w:t>A cidade estava situada em uma colina rochosa com aproximadamente 35,4 metros (116 pés) de altura. Um pequeno cabo (um pedaço de terra que se projeta no mar) se estendia até a água. Isso a tornava o único porto natural na costa mediterrânea entre o Egito e a cidade do Antigo Testamento de Acco.</w:t>
      </w:r>
    </w:p>
    <w:p>
      <w:r/>
      <w:r>
        <w:t>A aproximadamente 91,4 a 121,9 metros (300 a 400 pés) da costa, uma série de recifes formava um quebra-mar. Isso ajudava a proteger o porto. Os navios podiam entrar no porto pelo norte. O porto pode ter sido maior e mais seguro nos tempos bíblicos do que é hoje. A terra ao redor de Jope tinha boa água e solo fértil.</w:t>
      </w:r>
    </w:p>
    <w:p>
      <w:pPr>
        <w:pStyle w:val="Heading3"/>
      </w:pPr>
      <w:r>
        <w:t>História antiga de Jope</w:t>
      </w:r>
    </w:p>
    <w:p>
      <w:r/>
      <w:r>
        <w:t>Jope aparece pela primeira vez em registros antigos do Egito. Tutmés III, que governou de 1490 a 1432 a.C., listou Jope como uma das cidades que ele capturou na Palestina.</w:t>
      </w:r>
    </w:p>
    <w:p>
      <w:r/>
      <w:r>
        <w:t>Durante o período de Amarna (1353–1336 a.C.), um príncipe local aliado a Jerusalém governava Jope. Um registro dessa época descreve os belos jardins de Jope e elogia os trabalhadores habilidosos da cidade em metal, couro e madeira.</w:t>
      </w:r>
    </w:p>
    <w:p>
      <w:pPr>
        <w:pStyle w:val="Heading3"/>
      </w:pPr>
      <w:r>
        <w:t>Jope na Bíblia</w:t>
      </w:r>
    </w:p>
    <w:p>
      <w:r/>
      <w:r>
        <w:t>Quando Josué dividiu a terra de Canaã entre as 12 tribos de Israel, Dã recebeu Jope (</w:t>
      </w:r>
      <w:hyperlink r:id="rId12014">
        <w:r>
          <w:rPr>
            <w:color w:val="0000EE"/>
            <w:u w:val="single"/>
          </w:rPr>
          <w:t>Js 19.46</w:t>
        </w:r>
      </w:hyperlink>
      <w:r>
        <w:t>). Os filisteus logo capturaram Jope e a transformaram em um de seus portos marítimos. Quando Davi conquistou os filisteus, ele trouxe Jope de volta ao controle de Israel. Durante o governo de Salomão, Jope se tornou um importante porto marítimo para Jerusalém. Trabalhadores flutuavam toras de cedro do Líbano para Jope. De lá, eles transportavam a madeira para Jerusalém para construir o templo (</w:t>
      </w:r>
      <w:hyperlink r:id="rId12015">
        <w:r>
          <w:rPr>
            <w:color w:val="0000EE"/>
            <w:u w:val="single"/>
          </w:rPr>
          <w:t>2Cr 2.16</w:t>
        </w:r>
      </w:hyperlink>
      <w:r>
        <w:t>).</w:t>
      </w:r>
    </w:p>
    <w:p>
      <w:r/>
      <w:r>
        <w:t>Jope é o porto marítimo para onde Jonas foi quando tentou fugir de Deus (</w:t>
      </w:r>
      <w:hyperlink r:id="rId12016">
        <w:r>
          <w:rPr>
            <w:color w:val="0000EE"/>
            <w:u w:val="single"/>
          </w:rPr>
          <w:t>Jn 1.3</w:t>
        </w:r>
      </w:hyperlink>
      <w:r>
        <w:t>). Ele planejava navegar para Társis em vez de ir para Nínive, para onde Deus o havia enviado.</w:t>
      </w:r>
    </w:p>
    <w:p>
      <w:r/>
      <w:r>
        <w:t>Em 743 a.C., o rei assírio Tiglate-Pileser III invadiu a terra dos filisteus. Jope foi provavelmente uma das cidades que ele capturou. Em 701 a.C., outro rei assírio, Senaqueribe, também incluiu Jope como uma das cidades que ele tomou.</w:t>
      </w:r>
    </w:p>
    <w:p>
      <w:r/>
      <w:r>
        <w:t>Depois disso, há poucos registros de Jope até a época de Esdras. Então, toras de cedro do Líbano foram novamente flutuadas até Jope e levadas para Jerusalém para reconstruir o templo (</w:t>
      </w:r>
      <w:hyperlink r:id="rId4330">
        <w:r>
          <w:rPr>
            <w:color w:val="0000EE"/>
            <w:u w:val="single"/>
          </w:rPr>
          <w:t>Ed 3.7</w:t>
        </w:r>
      </w:hyperlink>
      <w:r>
        <w:t>).</w:t>
      </w:r>
    </w:p>
    <w:p>
      <w:r/>
      <w:r>
        <w:t>Durante o século IV a.C., Eshmunazar, o rei de Sidom, controlava Jope. Quando Sidom se rebelou contra o Império Persa e foi destruída, Jope tornou-se uma cidade independente.</w:t>
      </w:r>
    </w:p>
    <w:p>
      <w:pPr>
        <w:pStyle w:val="Heading3"/>
      </w:pPr>
      <w:r>
        <w:t>Jope sob o domínio grego, judaico e romano</w:t>
      </w:r>
    </w:p>
    <w:p>
      <w:r/>
      <w:r>
        <w:t>Alexandre, o Grande, mais tarde renomeou a cidade de Japho (seu nome no Antigo Testamento em algumas versões mais literais) para Jope. Ele também começou a cunhar moedas lá, o que tornou a cidade mais importante no Império Grego. Após a morte de Alexandre, seus seguidores lutaram por Jope muitas vezes. A cidade foi governada pelo Egito de 301 a.C. até 197 a.C. Então, Antíoco III a tomou e a incorporou ao reino Selêucida.</w:t>
      </w:r>
    </w:p>
    <w:p>
      <w:r/>
      <w:r>
        <w:t>Durante o período dos macabeus, Jope passou por muitas mudanças. Em 168 a.C., Antíoco IV Epifânio trouxe seu exército para Jope enquanto se dirigia a Jerusalém. Ele queria obrigar os judeus a seguir os costumes e a religião gregos.</w:t>
      </w:r>
    </w:p>
    <w:p>
      <w:r/>
      <w:r>
        <w:t>Em 164 a.C., após Judas Macabeu vencer batalhas contra os selêucidas, algumas pessoas não-judaicas em Jope mataram cerca de 200 judeus afogando-os. Em resposta, Judas incendiou os edifícios do porto e os barcos ali. No entanto, ele não conseguiu tomar a cidade (</w:t>
      </w:r>
      <w:hyperlink r:id="rId12017">
        <w:r>
          <w:rPr>
            <w:color w:val="0000EE"/>
            <w:u w:val="single"/>
          </w:rPr>
          <w:t>2Mc 12.3–9</w:t>
        </w:r>
      </w:hyperlink>
      <w:r>
        <w:t>).</w:t>
      </w:r>
    </w:p>
    <w:p>
      <w:r/>
      <w:r>
        <w:t>Em 147 a.C., Jônatas e Simão derrotaram um general sírio chamado Apolônio Taos. Eles tomaram o controle de Jope para Alexandre I Epifânio, que estava tentando se tornar rei da Síria (</w:t>
      </w:r>
      <w:hyperlink r:id="rId12018">
        <w:r>
          <w:rPr>
            <w:color w:val="0000EE"/>
            <w:u w:val="single"/>
          </w:rPr>
          <w:t>1Mc 10.74–86</w:t>
        </w:r>
      </w:hyperlink>
      <w:r>
        <w:t>). Mais tarde, Simão usou estratégias políticas para fortalecer o controle judeu da cidade. Ele transformou Jope em uma cidade judaica ao construir fortes defesas e remover os residentes gregos.</w:t>
      </w:r>
    </w:p>
    <w:p>
      <w:r/>
      <w:r>
        <w:t>Durante a ocupação romana por Pompeu, ele declarou Jope uma cidade livre. Júlio César a devolveu aos judeus em 47 a.C. Herodes, o Grande, a capturou em 37 a.C. O povo de Jope não gostava de Herodes, então ele construiu um novo porto em Cesareia, cerca de 64 quilômetros (40 milhas) ao norte.</w:t>
      </w:r>
    </w:p>
    <w:p>
      <w:r/>
      <w:r>
        <w:t>Na época em que Jesus nasceu, Jope estava sob o controle de Cesareia na província romana da Síria (</w:t>
      </w:r>
      <w:r>
        <w:rPr>
          <w:i/>
        </w:rPr>
        <w:t>Antiguidades</w:t>
      </w:r>
      <w:r>
        <w:t xml:space="preserve"> de Josefo 17.13.2–4).</w:t>
      </w:r>
    </w:p>
    <w:p>
      <w:pPr>
        <w:pStyle w:val="Heading3"/>
      </w:pPr>
      <w:r>
        <w:t>Jope no Novo Testamento e história posterior</w:t>
      </w:r>
    </w:p>
    <w:p>
      <w:r/>
      <w:r>
        <w:t>Uma congregação cristã surgiu bem cedo em Jope. Dois discípulos bem conhecidos viviam lá:</w:t>
      </w:r>
    </w:p>
    <w:p>
      <w:pPr>
        <w:pStyle w:val="ListBullet"/>
        <w:spacing w:line="240" w:lineRule="auto"/>
        <w:ind w:left="720"/>
      </w:pPr>
      <w:r/>
      <w:r>
        <w:t>Dorcas, que Pedro ressuscitou dos mortos (</w:t>
      </w:r>
      <w:hyperlink r:id="rId7467">
        <w:r>
          <w:rPr>
            <w:color w:val="0000EE"/>
            <w:u w:val="single"/>
          </w:rPr>
          <w:t>At 9.36–41</w:t>
        </w:r>
      </w:hyperlink>
      <w:r>
        <w:t>);</w:t>
      </w:r>
    </w:p>
    <w:p>
      <w:pPr>
        <w:pStyle w:val="ListBullet"/>
        <w:spacing w:line="240" w:lineRule="auto"/>
        <w:ind w:left="720"/>
      </w:pPr>
      <w:r/>
      <w:r>
        <w:t xml:space="preserve">Simão, o curtidor (v. </w:t>
      </w:r>
      <w:hyperlink r:id="rId6438">
        <w:r>
          <w:rPr>
            <w:color w:val="0000EE"/>
            <w:u w:val="single"/>
          </w:rPr>
          <w:t>43</w:t>
        </w:r>
      </w:hyperlink>
      <w:r>
        <w:t>).</w:t>
      </w:r>
    </w:p>
    <w:p>
      <w:r/>
      <w:r>
        <w:t>De Jope, Deus chamou Pedro para Cesareia para compartilhar as boas-novas sobre Jesus com o centurião romano Cornélio (</w:t>
      </w:r>
      <w:hyperlink r:id="rId2882">
        <w:r>
          <w:rPr>
            <w:color w:val="0000EE"/>
            <w:u w:val="single"/>
          </w:rPr>
          <w:t>10.1–48</w:t>
        </w:r>
      </w:hyperlink>
      <w:r>
        <w:t>).</w:t>
      </w:r>
    </w:p>
    <w:p>
      <w:r/>
      <w:r>
        <w:t>Mais tarde, Jope se tornou uma das principais cidades a lutar contra os romanos. Em 68 d.C., o general romano Vespasiano destruiu a cidade e estabeleceu um acampamento militar lá. Foi reconstruída mais tarde e agora é chamada de Jaffa. Hoje, Jaffa faz parte da moderna cidade de Tel Aviv.</w:t>
      </w:r>
      <w:r/>
      <w:r/>
    </w:p>
    <w:p>
      <w:r/>
    </w:p>
    <w:p>
      <w:pPr>
        <w:pStyle w:val="Heading2"/>
      </w:pPr>
      <w:r>
        <w:t>Joquebede</w:t>
      </w:r>
      <w:r/>
    </w:p>
    <w:p>
      <w:r/>
      <w:r>
        <w:t>A esposa de Anrão e mãe de Moisés, Arão e Miriã (</w:t>
      </w:r>
      <w:hyperlink r:id="rId4550">
        <w:r>
          <w:rPr>
            <w:color w:val="0000EE"/>
            <w:u w:val="single"/>
          </w:rPr>
          <w:t>Êx 6.20</w:t>
        </w:r>
      </w:hyperlink>
      <w:r>
        <w:t xml:space="preserve">; </w:t>
      </w:r>
      <w:hyperlink r:id="rId2371">
        <w:r>
          <w:rPr>
            <w:color w:val="0000EE"/>
            <w:u w:val="single"/>
          </w:rPr>
          <w:t>Nm 26.59</w:t>
        </w:r>
      </w:hyperlink>
      <w:r>
        <w:t>).</w:t>
      </w:r>
      <w:r/>
      <w:r/>
    </w:p>
    <w:p>
      <w:r/>
    </w:p>
    <w:p>
      <w:pPr>
        <w:pStyle w:val="Heading2"/>
      </w:pPr>
      <w:r>
        <w:t>Jornada do dia</w:t>
      </w:r>
      <w:r/>
    </w:p>
    <w:p>
      <w:r/>
      <w:r>
        <w:t xml:space="preserve">Uma maneira de estimar distâncias nos tempos bíblicos é considerar que uma jornada de um dia era de cerca de 32,2 quilômetros (20 milhas), embora isso dependesse de fatores como o modo de viagem, o terreno e o clima. </w:t>
      </w:r>
      <w:hyperlink r:id="rId12019">
        <w:r>
          <w:rPr>
            <w:color w:val="0000EE"/>
            <w:u w:val="single"/>
          </w:rPr>
          <w:t>Êxodo 3.18</w:t>
        </w:r>
      </w:hyperlink>
      <w:r>
        <w:t xml:space="preserve">, </w:t>
      </w:r>
      <w:hyperlink r:id="rId5099">
        <w:r>
          <w:rPr>
            <w:color w:val="0000EE"/>
            <w:u w:val="single"/>
          </w:rPr>
          <w:t>Números 11.31</w:t>
        </w:r>
      </w:hyperlink>
      <w:r>
        <w:t xml:space="preserve">, </w:t>
      </w:r>
      <w:hyperlink r:id="rId12020">
        <w:r>
          <w:rPr>
            <w:color w:val="0000EE"/>
            <w:u w:val="single"/>
          </w:rPr>
          <w:t>1Rs 19.4</w:t>
        </w:r>
      </w:hyperlink>
      <w:r>
        <w:t xml:space="preserve"> e </w:t>
      </w:r>
      <w:hyperlink r:id="rId12021">
        <w:r>
          <w:rPr>
            <w:color w:val="0000EE"/>
            <w:u w:val="single"/>
          </w:rPr>
          <w:t>Lucas 2.44</w:t>
        </w:r>
      </w:hyperlink>
      <w:r>
        <w:t xml:space="preserve"> todos mencionam uma jornada de um dia.</w:t>
      </w:r>
    </w:p>
    <w:p>
      <w:r/>
      <w:r>
        <w:t>As escrituras também se referem a uma jornada de um dia de sábado (</w:t>
      </w:r>
      <w:hyperlink r:id="rId2661">
        <w:r>
          <w:rPr>
            <w:color w:val="0000EE"/>
            <w:u w:val="single"/>
          </w:rPr>
          <w:t>At 1.12</w:t>
        </w:r>
      </w:hyperlink>
      <w:r>
        <w:t>). Uma jornada de um dia de sábado era provavelmente cerca de um quilômetro (3500 pés).</w:t>
      </w:r>
    </w:p>
    <w:p>
      <w:r/>
      <w:r>
        <w:rPr>
          <w:i/>
        </w:rPr>
        <w:t xml:space="preserve">Veja também </w:t>
      </w:r>
      <w:r>
        <w:t>Jornada do dia de sábado</w:t>
      </w:r>
      <w:r>
        <w:t>.</w:t>
      </w:r>
      <w:r/>
      <w:r/>
    </w:p>
    <w:p>
      <w:r/>
    </w:p>
    <w:p>
      <w:pPr>
        <w:pStyle w:val="Heading2"/>
      </w:pPr>
      <w:r>
        <w:t>Jornada Sabática</w:t>
      </w:r>
      <w:r/>
    </w:p>
    <w:p>
      <w:r/>
      <w:r>
        <w:t>Uma regra da tradição judaica limitava a distância que as pessoas podiam viajar no sábado. O mandamento contra o trabalho no sábado era entendido como incluindo a proibição de viajar longas distâncias (</w:t>
      </w:r>
      <w:hyperlink r:id="rId12022">
        <w:r>
          <w:rPr>
            <w:color w:val="0000EE"/>
            <w:u w:val="single"/>
          </w:rPr>
          <w:t>Êx 16.27–30</w:t>
        </w:r>
      </w:hyperlink>
      <w:r>
        <w:t xml:space="preserve">). Uma pessoa podia viajar 2.000 côvados, o que equivale a cerca de meia milha ou 900 metros, mas não mais do que isso (veja </w:t>
      </w:r>
      <w:hyperlink r:id="rId12023">
        <w:r>
          <w:rPr>
            <w:color w:val="0000EE"/>
            <w:u w:val="single"/>
          </w:rPr>
          <w:t>Js 3.4</w:t>
        </w:r>
      </w:hyperlink>
      <w:r>
        <w:t>).</w:t>
      </w:r>
    </w:p>
    <w:p>
      <w:r/>
      <w:r>
        <w:t>Essa distância foi decidida com base em duas referências bíblicas:</w:t>
      </w:r>
    </w:p>
    <w:p>
      <w:pPr>
        <w:pStyle w:val="ListBullet"/>
        <w:spacing w:line="240" w:lineRule="auto"/>
        <w:ind w:left="720"/>
      </w:pPr>
      <w:r/>
      <w:r>
        <w:t>o espaço entre a arca e as pessoas que a seguiam (</w:t>
      </w:r>
      <w:hyperlink r:id="rId12023">
        <w:r>
          <w:rPr>
            <w:color w:val="0000EE"/>
            <w:u w:val="single"/>
          </w:rPr>
          <w:t>Js 3.4</w:t>
        </w:r>
      </w:hyperlink>
      <w:r>
        <w:t>), ou;</w:t>
      </w:r>
    </w:p>
    <w:p>
      <w:pPr>
        <w:pStyle w:val="ListBullet"/>
        <w:spacing w:line="240" w:lineRule="auto"/>
        <w:ind w:left="720"/>
      </w:pPr>
      <w:r/>
      <w:r>
        <w:t>das pastagens para as cidades levíticas (</w:t>
      </w:r>
      <w:hyperlink r:id="rId12024">
        <w:r>
          <w:rPr>
            <w:color w:val="0000EE"/>
            <w:u w:val="single"/>
          </w:rPr>
          <w:t>Nm 35.4–5</w:t>
        </w:r>
      </w:hyperlink>
      <w:r>
        <w:t>).</w:t>
      </w:r>
    </w:p>
    <w:p>
      <w:r/>
      <w:r>
        <w:t>A ideia era que uma pessoa não deveria ir além do necessário para adorar ou cuidar dos animais.</w:t>
      </w:r>
    </w:p>
    <w:p>
      <w:r/>
      <w:r>
        <w:t xml:space="preserve">O único lugar onde a Bíblia menciona diretamente essa prática é em </w:t>
      </w:r>
      <w:hyperlink r:id="rId2661">
        <w:r>
          <w:rPr>
            <w:color w:val="0000EE"/>
            <w:u w:val="single"/>
          </w:rPr>
          <w:t>At 1.12</w:t>
        </w:r>
      </w:hyperlink>
      <w:r>
        <w:t>, que descreve a distância do Monte das Oliveiras a Jerusalém como "uma jornada de sábado". Segundo Josefo (um historiador judeu), essa distância era entre 914 e 1.097 metros.</w:t>
      </w:r>
    </w:p>
    <w:p>
      <w:r/>
      <w:r>
        <w:t>Os rabinos (professores judeus) desenvolveram maneiras de pelo menos dobrar essa distância permitida. Um método era estabelecer uma residência temporária a 900 metros de distância, levando comida suficiente para duas refeições. Eles comiam uma refeição e enterravam outra no chão para marcar um local de moradia temporária. Outro método era olhar para um ponto a 900 metros de distância e considerá-lo sua residência legal para o sábado. Eles também podiam tratar toda a sua cidade como sua casa e calcular a jornada do dia de sábado a partir da borda da aldeia.</w:t>
      </w:r>
    </w:p>
    <w:p>
      <w:r/>
      <w:r>
        <w:rPr>
          <w:i/>
        </w:rPr>
        <w:t>Veja também</w:t>
      </w:r>
      <w:r>
        <w:t xml:space="preserve"> </w:t>
      </w:r>
      <w:r>
        <w:t>Sábado</w:t>
      </w:r>
      <w:r>
        <w:t>.</w:t>
      </w:r>
      <w:r/>
      <w:r/>
    </w:p>
    <w:p>
      <w:r/>
    </w:p>
    <w:p>
      <w:pPr>
        <w:pStyle w:val="Heading2"/>
      </w:pPr>
      <w:r>
        <w:t>José</w:t>
      </w:r>
      <w:r/>
    </w:p>
    <w:p>
      <w:r/>
      <w:r>
        <w:t>1. O 11º filho de Jacó e o filho primogênito de Raquel. Raquel nomeou o menino José, que significa “que ele acrescente”, expressando seu desejo de que Deus lhe desse outro filho (</w:t>
      </w:r>
      <w:hyperlink r:id="rId12025">
        <w:r>
          <w:rPr>
            <w:color w:val="0000EE"/>
            <w:u w:val="single"/>
          </w:rPr>
          <w:t>Gn 30.24</w:t>
        </w:r>
      </w:hyperlink>
      <w:r>
        <w:t>).</w:t>
      </w:r>
    </w:p>
    <w:p>
      <w:r/>
      <w:r>
        <w:t>Nada mais é dito sobre José até que, aos 17 anos, ele é visto apascentando os rebanhos de seu pai com seus irmãos (</w:t>
      </w:r>
      <w:hyperlink r:id="rId12026">
        <w:r>
          <w:rPr>
            <w:color w:val="0000EE"/>
            <w:u w:val="single"/>
          </w:rPr>
          <w:t>Gn 37.2</w:t>
        </w:r>
      </w:hyperlink>
      <w:r>
        <w:t xml:space="preserve">). José era o favorito de seu pai, uma vez que ele era o filho de sua velhice (v. </w:t>
      </w:r>
      <w:hyperlink r:id="rId5514">
        <w:r>
          <w:rPr>
            <w:color w:val="0000EE"/>
            <w:u w:val="single"/>
          </w:rPr>
          <w:t>3</w:t>
        </w:r>
      </w:hyperlink>
      <w:r>
        <w:t xml:space="preserve">) e o filho primogênito de sua esposa favorita. Por causa disso, seus irmãos odiavam José. Esta inveja foi ampliada quando Jacó deu a José um manto multicolorido que ia até o chão com mangas compridas (vv. </w:t>
      </w:r>
      <w:hyperlink r:id="rId12027">
        <w:r>
          <w:rPr>
            <w:color w:val="0000EE"/>
            <w:u w:val="single"/>
          </w:rPr>
          <w:t>3–4</w:t>
        </w:r>
      </w:hyperlink>
      <w:r>
        <w:t xml:space="preserve">). (Este tipo de roupa é ilustrada pelas pinturas nos túmulos asiáticos de Khnumhotep II em Beni Haçane e dos nobres em Gourna, perto de Luxor). A animosidade de seus irmãos aumentou ainda mais quando José lhes revelou seus sonhos de domínio sobre eles (vv. </w:t>
      </w:r>
      <w:hyperlink r:id="rId12028">
        <w:r>
          <w:rPr>
            <w:color w:val="0000EE"/>
            <w:u w:val="single"/>
          </w:rPr>
          <w:t>5–11</w:t>
        </w:r>
      </w:hyperlink>
      <w:r>
        <w:t xml:space="preserve">). Posteriormente, quando José foi enviado para verificar seus irmãos e os rebanhos perto de Siquém, seus irmãos o venderam para uma caravana de mercadores que descia para o Egito (vv. </w:t>
      </w:r>
      <w:hyperlink r:id="rId2231">
        <w:r>
          <w:rPr>
            <w:color w:val="0000EE"/>
            <w:u w:val="single"/>
          </w:rPr>
          <w:t>25–28</w:t>
        </w:r>
      </w:hyperlink>
      <w:r>
        <w:t xml:space="preserve">). Seus irmãos então tomaram seu manto, mergulharam-no no sangue de cabra, e o trouxeram para Jacó, que concluiu que José havia sido morto por animais selvagens (vv. </w:t>
      </w:r>
      <w:hyperlink r:id="rId12029">
        <w:r>
          <w:rPr>
            <w:color w:val="0000EE"/>
            <w:u w:val="single"/>
          </w:rPr>
          <w:t>31–33</w:t>
        </w:r>
      </w:hyperlink>
      <w:r>
        <w:t xml:space="preserve">); Jacó ficou sobrecarregado de tristeza (vv. </w:t>
      </w:r>
      <w:hyperlink r:id="rId12030">
        <w:r>
          <w:rPr>
            <w:color w:val="0000EE"/>
            <w:u w:val="single"/>
          </w:rPr>
          <w:t>34–35</w:t>
        </w:r>
      </w:hyperlink>
      <w:r>
        <w:t>).</w:t>
      </w:r>
    </w:p>
    <w:p>
      <w:r/>
      <w:r>
        <w:t>No Egito, José foi vendido a Potifar, um oficial egípcio da guarda (</w:t>
      </w:r>
      <w:hyperlink r:id="rId8158">
        <w:r>
          <w:rPr>
            <w:color w:val="0000EE"/>
            <w:u w:val="single"/>
          </w:rPr>
          <w:t>Gn 37.36</w:t>
        </w:r>
      </w:hyperlink>
      <w:r>
        <w:t xml:space="preserve">; </w:t>
      </w:r>
      <w:hyperlink r:id="rId8159">
        <w:r>
          <w:rPr>
            <w:color w:val="0000EE"/>
            <w:u w:val="single"/>
          </w:rPr>
          <w:t>39.1</w:t>
        </w:r>
      </w:hyperlink>
      <w:r>
        <w:t>), que eventualmente colocou José no comando de toda sua casa. No entanto, surgiram problemas com a esposa de Potifar, que foi atraída pelo jovem hebreu e tentou seduzi-lo (</w:t>
      </w:r>
      <w:hyperlink r:id="rId12031">
        <w:r>
          <w:rPr>
            <w:color w:val="0000EE"/>
            <w:u w:val="single"/>
          </w:rPr>
          <w:t>39.6–10</w:t>
        </w:r>
      </w:hyperlink>
      <w:r>
        <w:t xml:space="preserve">). Ele resistiu firmemente às tentativas dela, protestando que obedecer aos desejos dela seria um desserviço a seu mestre e um pecado contra Deus (v. </w:t>
      </w:r>
      <w:hyperlink r:id="rId12032">
        <w:r>
          <w:rPr>
            <w:color w:val="0000EE"/>
            <w:u w:val="single"/>
          </w:rPr>
          <w:t>9</w:t>
        </w:r>
      </w:hyperlink>
      <w:r>
        <w:t xml:space="preserve">). Um dia, ela agarrou sua roupa, mas ele deixou a roupa para trás e fugiu. A esposa de Potifar acusou José de tentar estuprá-la; seu relato foi levado em conta, e José foi colocado na prisão do rei (v. </w:t>
      </w:r>
      <w:hyperlink r:id="rId12033">
        <w:r>
          <w:rPr>
            <w:color w:val="0000EE"/>
            <w:u w:val="single"/>
          </w:rPr>
          <w:t>20</w:t>
        </w:r>
      </w:hyperlink>
      <w:r>
        <w:t xml:space="preserve">), onde o chefe dos copeiros e o padeiro do Faraó também estavam confinados. Enquanto estava na prisão, José, com a ajuda do Senhor, interpretou os sonhos problemáticos desses homens. Como José havia predito, o padeiro foi morto e o chefe dos copeiros foi restaurado ao favor real (capítulo </w:t>
      </w:r>
      <w:hyperlink r:id="rId5498">
        <w:r>
          <w:rPr>
            <w:color w:val="0000EE"/>
            <w:u w:val="single"/>
          </w:rPr>
          <w:t>40</w:t>
        </w:r>
      </w:hyperlink>
      <w:r>
        <w:t>).</w:t>
      </w:r>
    </w:p>
    <w:p>
      <w:r/>
      <w:r>
        <w:t>Dois anos depois, faraó teve dois sonhos que seus mágicos e homens sábios não poderiam interpretar. O chefe dos copeiros, lembrando-se de José, o tirou da prisão. Deus revelou a José que os sonhos predisseram sete anos de abundância, seguidos por sete anos de fome (</w:t>
      </w:r>
      <w:hyperlink r:id="rId12034">
        <w:r>
          <w:rPr>
            <w:color w:val="0000EE"/>
            <w:u w:val="single"/>
          </w:rPr>
          <w:t>Gn 41.25–36</w:t>
        </w:r>
      </w:hyperlink>
      <w:r>
        <w:t xml:space="preserve">). Faraó, impressionado com a interpretação de José, o fez governante do Egito, abaixo apenas de si mesmo (vv. </w:t>
      </w:r>
      <w:hyperlink r:id="rId12035">
        <w:r>
          <w:rPr>
            <w:color w:val="0000EE"/>
            <w:u w:val="single"/>
          </w:rPr>
          <w:t>39–44</w:t>
        </w:r>
      </w:hyperlink>
      <w:r>
        <w:t xml:space="preserve">). José recebeu um novo nome, Zafenate Paneia, e uma esposa, Asenate, a filha de Potífera (v. </w:t>
      </w:r>
      <w:hyperlink r:id="rId2199">
        <w:r>
          <w:rPr>
            <w:color w:val="0000EE"/>
            <w:u w:val="single"/>
          </w:rPr>
          <w:t>45</w:t>
        </w:r>
      </w:hyperlink>
      <w:r>
        <w:t>).</w:t>
      </w:r>
    </w:p>
    <w:p>
      <w:r/>
      <w:r>
        <w:t>José tinha 30 anos quando se tornou governante do Egito. Durante os sete anos de prosperidade, ele reuniu os bons suprimentos para os sete anos de fome que estavam por vir (</w:t>
      </w:r>
      <w:hyperlink r:id="rId12036">
        <w:r>
          <w:rPr>
            <w:color w:val="0000EE"/>
            <w:u w:val="single"/>
          </w:rPr>
          <w:t>Gn 41.53–56</w:t>
        </w:r>
      </w:hyperlink>
      <w:r>
        <w:t>). Quando a fome eventualmente se tornou grave na Palestina, Jacó enviou todos os seus filhos, exceto Benjamim, seu filho mais novo, para o Egito para comprar grãos. Aparecendo diante de José no Egito, eles não o reconheceram. Mas ele os conhecia e se lembrou de seus sonhos de anos anteriores (</w:t>
      </w:r>
      <w:hyperlink r:id="rId12037">
        <w:r>
          <w:rPr>
            <w:color w:val="0000EE"/>
            <w:u w:val="single"/>
          </w:rPr>
          <w:t>42.8–9</w:t>
        </w:r>
      </w:hyperlink>
      <w:r>
        <w:t xml:space="preserve">). Depois de ouvir o relatório de sua família, ele os acusou de serem espiões (vv. </w:t>
      </w:r>
      <w:hyperlink r:id="rId12038">
        <w:r>
          <w:rPr>
            <w:color w:val="0000EE"/>
            <w:u w:val="single"/>
          </w:rPr>
          <w:t>9–14</w:t>
        </w:r>
      </w:hyperlink>
      <w:r>
        <w:t xml:space="preserve">) e insistiu que eles deixassem um de seus irmãos como refém e voltassem com Benjamim para verificar a veracidade de seu relato (vv. </w:t>
      </w:r>
      <w:hyperlink r:id="rId12039">
        <w:r>
          <w:rPr>
            <w:color w:val="0000EE"/>
            <w:u w:val="single"/>
          </w:rPr>
          <w:t>19–20</w:t>
        </w:r>
      </w:hyperlink>
      <w:r>
        <w:t xml:space="preserve">). Assim Simeão foi amarrado e deixado no Egito (v. </w:t>
      </w:r>
      <w:hyperlink r:id="rId12040">
        <w:r>
          <w:rPr>
            <w:color w:val="0000EE"/>
            <w:u w:val="single"/>
          </w:rPr>
          <w:t>24</w:t>
        </w:r>
      </w:hyperlink>
      <w:r>
        <w:t>).</w:t>
      </w:r>
    </w:p>
    <w:p>
      <w:r/>
      <w:r>
        <w:t>Após a fome se agravar na Palestina, Jacó pediu aos seus filhos que voltassem para o Egito para comprar mais grãos (</w:t>
      </w:r>
      <w:hyperlink r:id="rId12041">
        <w:r>
          <w:rPr>
            <w:color w:val="0000EE"/>
            <w:u w:val="single"/>
          </w:rPr>
          <w:t>Gn 43.1–2</w:t>
        </w:r>
      </w:hyperlink>
      <w:r>
        <w:t xml:space="preserve">); concordando relutantemente com as condições que o administrador egípcio havia colocado sobre eles, Jacó permitiu que Benjamim fosse com eles (vv. </w:t>
      </w:r>
      <w:hyperlink r:id="rId12042">
        <w:r>
          <w:rPr>
            <w:color w:val="0000EE"/>
            <w:u w:val="single"/>
          </w:rPr>
          <w:t>11–13</w:t>
        </w:r>
      </w:hyperlink>
      <w:r>
        <w:t xml:space="preserve">). Quando eles chegaram ao Egito, eles foram levados para a casa de José, onde Simeão foi devolvido a eles (v. </w:t>
      </w:r>
      <w:hyperlink r:id="rId12043">
        <w:r>
          <w:rPr>
            <w:color w:val="0000EE"/>
            <w:u w:val="single"/>
          </w:rPr>
          <w:t>23</w:t>
        </w:r>
      </w:hyperlink>
      <w:r>
        <w:t xml:space="preserve">) e uma refeição foi preparada (v. </w:t>
      </w:r>
      <w:hyperlink r:id="rId12044">
        <w:r>
          <w:rPr>
            <w:color w:val="0000EE"/>
            <w:u w:val="single"/>
          </w:rPr>
          <w:t>33</w:t>
        </w:r>
      </w:hyperlink>
      <w:r>
        <w:t>). José finalmente revelou sua identidade e declarou que Deus o havia enviado diante deles para preservar suas vidas (</w:t>
      </w:r>
      <w:hyperlink r:id="rId12045">
        <w:r>
          <w:rPr>
            <w:color w:val="0000EE"/>
            <w:u w:val="single"/>
          </w:rPr>
          <w:t>45.4–8</w:t>
        </w:r>
      </w:hyperlink>
      <w:r>
        <w:t xml:space="preserve">). Os arranjos foram então feitos para enviar a Jacó; carruagens foram fornecidos, juntamente com provisões para a jornada (v. </w:t>
      </w:r>
      <w:hyperlink r:id="rId12046">
        <w:r>
          <w:rPr>
            <w:color w:val="0000EE"/>
            <w:u w:val="single"/>
          </w:rPr>
          <w:t>21</w:t>
        </w:r>
      </w:hyperlink>
      <w:r>
        <w:t>). Quando Jacó veio a Gósen no Delta do Nilo, José saiu ao seu encontro, e outra grande reunião aconteceu (</w:t>
      </w:r>
      <w:hyperlink r:id="rId12047">
        <w:r>
          <w:rPr>
            <w:color w:val="0000EE"/>
            <w:u w:val="single"/>
          </w:rPr>
          <w:t>46.28–29</w:t>
        </w:r>
      </w:hyperlink>
      <w:r>
        <w:t>). Ele também apresentou seu pai e irmãos a Faraó, que os deixou viver na terra de Gósen (</w:t>
      </w:r>
      <w:hyperlink r:id="rId1515">
        <w:r>
          <w:rPr>
            <w:color w:val="0000EE"/>
            <w:u w:val="single"/>
          </w:rPr>
          <w:t>47.6</w:t>
        </w:r>
      </w:hyperlink>
      <w:r>
        <w:t>).</w:t>
      </w:r>
    </w:p>
    <w:p>
      <w:r/>
      <w:r>
        <w:t>Ao saber que seu pai estava doente, José levou seus dois filhos, Manassés e Efraim, para receberem sua bênção. Ele apresentou os filhos de uma forma que o mais velho estivesse à direita de Jacó e o mais jovem à sua esquerda, a fim de que Manassés recebesse a bênção dos primogênitos. Jacó, no entanto, cruzou suas mãos e com sua mão direita sobre Efraim lhe deu a bênção maior (</w:t>
      </w:r>
      <w:hyperlink r:id="rId12048">
        <w:r>
          <w:rPr>
            <w:color w:val="0000EE"/>
            <w:u w:val="single"/>
          </w:rPr>
          <w:t>Gn 48.14–20</w:t>
        </w:r>
      </w:hyperlink>
      <w:r>
        <w:t xml:space="preserve">). Ele também deu a José a terra que ele havia tomado dos amorreus (v. </w:t>
      </w:r>
      <w:hyperlink r:id="rId2547">
        <w:r>
          <w:rPr>
            <w:color w:val="0000EE"/>
            <w:u w:val="single"/>
          </w:rPr>
          <w:t>22</w:t>
        </w:r>
      </w:hyperlink>
      <w:r>
        <w:t>). Na morte de Jacó, José fez os arranjos fúnebres; e após as práticas funerárias costumeiras serem realizadas, uma grande procissão fúnebre foi para Canaã, onde Jacó foi enterrado por seus filhos na caverna de Macpela, perto de Hebrom (</w:t>
      </w:r>
      <w:hyperlink r:id="rId12049">
        <w:r>
          <w:rPr>
            <w:color w:val="0000EE"/>
            <w:u w:val="single"/>
          </w:rPr>
          <w:t>50.1–12</w:t>
        </w:r>
      </w:hyperlink>
      <w:r>
        <w:t>).</w:t>
      </w:r>
    </w:p>
    <w:p>
      <w:r/>
      <w:r>
        <w:t>Quando José tinha 110 anos, ele chamou seus irmãos e lhes disse que ele estava prestes a morrer. Ele os fez fazer um juramento de que quando voltassem para Canaã, levariam seus ossos com eles. Então ele morreu, foi embalsamado e colocado em um caixão no Egito (</w:t>
      </w:r>
      <w:hyperlink r:id="rId2424">
        <w:r>
          <w:rPr>
            <w:color w:val="0000EE"/>
            <w:u w:val="single"/>
          </w:rPr>
          <w:t>Gn 50.26</w:t>
        </w:r>
      </w:hyperlink>
      <w:r>
        <w:t>). Muitos anos depois, durante o Êxodo, Moisés levou os ossos de José com ele do Egito (</w:t>
      </w:r>
      <w:hyperlink r:id="rId12050">
        <w:r>
          <w:rPr>
            <w:color w:val="0000EE"/>
            <w:u w:val="single"/>
          </w:rPr>
          <w:t>Êx 13.19</w:t>
        </w:r>
      </w:hyperlink>
      <w:r>
        <w:t>). Os restos mortais de José foram eventualmente enterrados em Siquém no pedaço de terra que Jacó havia comprado de Hamor, o pai de Siquém (</w:t>
      </w:r>
      <w:hyperlink r:id="rId9909">
        <w:r>
          <w:rPr>
            <w:color w:val="0000EE"/>
            <w:u w:val="single"/>
          </w:rPr>
          <w:t>Gn 33.18–20</w:t>
        </w:r>
      </w:hyperlink>
      <w:r>
        <w:t xml:space="preserve">; </w:t>
      </w:r>
      <w:hyperlink r:id="rId7168">
        <w:r>
          <w:rPr>
            <w:color w:val="0000EE"/>
            <w:u w:val="single"/>
          </w:rPr>
          <w:t>Js 24.32</w:t>
        </w:r>
      </w:hyperlink>
      <w:r>
        <w:t xml:space="preserve">). </w:t>
      </w:r>
      <w:r>
        <w:rPr>
          <w:i/>
        </w:rPr>
        <w:t>Veja</w:t>
      </w:r>
      <w:r>
        <w:t xml:space="preserve"> </w:t>
      </w:r>
      <w:r>
        <w:t>Israel, História de</w:t>
      </w:r>
      <w:r>
        <w:t xml:space="preserve">; </w:t>
      </w:r>
      <w:r>
        <w:t>Patriarcas, Período dos</w:t>
      </w:r>
      <w:r>
        <w:t>.</w:t>
      </w:r>
    </w:p>
    <w:p>
      <w:r/>
      <w:r>
        <w:t>2. O pai de Igal, da tribo de Issacar. Igal era um dos 12 espiões enviados por Moisés para espiar a terra de Canaã (</w:t>
      </w:r>
      <w:hyperlink r:id="rId10867">
        <w:r>
          <w:rPr>
            <w:color w:val="0000EE"/>
            <w:u w:val="single"/>
          </w:rPr>
          <w:t>Nm 13.7</w:t>
        </w:r>
      </w:hyperlink>
      <w:r>
        <w:t>).</w:t>
      </w:r>
    </w:p>
    <w:p>
      <w:r/>
      <w:r>
        <w:t>3. O segundo filho de Asafe, e o líder da primeira classe de sacerdotes que servia no santuário durante o reinado de Davi (</w:t>
      </w:r>
      <w:hyperlink r:id="rId12051">
        <w:r>
          <w:rPr>
            <w:color w:val="0000EE"/>
            <w:u w:val="single"/>
          </w:rPr>
          <w:t>1Cr 25.2,9</w:t>
        </w:r>
      </w:hyperlink>
      <w:r>
        <w:t>).</w:t>
      </w:r>
    </w:p>
    <w:p>
      <w:r/>
      <w:r>
        <w:t>4. Um dos descendentes de Binui que foi encorajado por Esdras a se divorciar de sua esposa estrangeira durante a era pós-exílica (</w:t>
      </w:r>
      <w:hyperlink r:id="rId12052">
        <w:r>
          <w:rPr>
            <w:color w:val="0000EE"/>
            <w:u w:val="single"/>
          </w:rPr>
          <w:t>Ed 10.42</w:t>
        </w:r>
      </w:hyperlink>
      <w:r>
        <w:t>).</w:t>
      </w:r>
    </w:p>
    <w:p>
      <w:r/>
      <w:r>
        <w:t>5. Sacerdote e líder da família da linhagem de Sebanias durante os dias de Joiaquim, o sumo sacerdote (</w:t>
      </w:r>
      <w:hyperlink r:id="rId12053">
        <w:r>
          <w:rPr>
            <w:color w:val="0000EE"/>
            <w:u w:val="single"/>
          </w:rPr>
          <w:t>Ne 12.14</w:t>
        </w:r>
      </w:hyperlink>
      <w:r>
        <w:t>).</w:t>
      </w:r>
    </w:p>
    <w:p>
      <w:r/>
      <w:r>
        <w:t>6. Descendente de Davi (</w:t>
      </w:r>
      <w:hyperlink r:id="rId9872">
        <w:r>
          <w:rPr>
            <w:color w:val="0000EE"/>
            <w:u w:val="single"/>
          </w:rPr>
          <w:t>Mt 1.16</w:t>
        </w:r>
      </w:hyperlink>
      <w:r>
        <w:t xml:space="preserve">; </w:t>
      </w:r>
      <w:hyperlink r:id="rId6246">
        <w:r>
          <w:rPr>
            <w:color w:val="0000EE"/>
            <w:u w:val="single"/>
          </w:rPr>
          <w:t>Lc 3.23</w:t>
        </w:r>
      </w:hyperlink>
      <w:r>
        <w:t>) e o marido de Maria, a mãe de Jesus. José foi prometido a Maria, uma jovem mulher da cidade de Nazaré. Maria havia ouvido do anjo Gabriel que ela teria o Filho de Deus, a quem ela deveria nomear Jesus (</w:t>
      </w:r>
      <w:hyperlink r:id="rId9390">
        <w:r>
          <w:rPr>
            <w:color w:val="0000EE"/>
            <w:u w:val="single"/>
          </w:rPr>
          <w:t>Lc 1.31</w:t>
        </w:r>
      </w:hyperlink>
      <w:r>
        <w:t xml:space="preserve">) e que esta concepção seria uma obra do Espírito Santo (v. </w:t>
      </w:r>
      <w:hyperlink r:id="rId2011">
        <w:r>
          <w:rPr>
            <w:color w:val="0000EE"/>
            <w:u w:val="single"/>
          </w:rPr>
          <w:t>35</w:t>
        </w:r>
      </w:hyperlink>
      <w:r>
        <w:t>). José não estava ciente disso, então quando ele soube que Maria estava grávida, decidiu se divorciar dela em silêncio, pois ele era um homem justo e não queria humilhá-la publicamente (</w:t>
      </w:r>
      <w:hyperlink r:id="rId2013">
        <w:r>
          <w:rPr>
            <w:color w:val="0000EE"/>
            <w:u w:val="single"/>
          </w:rPr>
          <w:t>Mt 1.19</w:t>
        </w:r>
      </w:hyperlink>
      <w:r>
        <w:t>). Um anjo então apareceu a ele em um sonho para dizer-lhe o que estava acontecendo (</w:t>
      </w:r>
      <w:hyperlink r:id="rId8705">
        <w:r>
          <w:rPr>
            <w:color w:val="0000EE"/>
            <w:u w:val="single"/>
          </w:rPr>
          <w:t>Mt 1.21</w:t>
        </w:r>
      </w:hyperlink>
      <w:r>
        <w:t xml:space="preserve">; cf. </w:t>
      </w:r>
      <w:hyperlink r:id="rId3591">
        <w:r>
          <w:rPr>
            <w:color w:val="0000EE"/>
            <w:u w:val="single"/>
          </w:rPr>
          <w:t>Is 7.14</w:t>
        </w:r>
      </w:hyperlink>
      <w:r>
        <w:t>). O texto de Mateus deixa claro que não houve união sexual entre José e Maria até depois que Jesus nasceu (</w:t>
      </w:r>
      <w:hyperlink r:id="rId4576">
        <w:r>
          <w:rPr>
            <w:color w:val="0000EE"/>
            <w:u w:val="single"/>
          </w:rPr>
          <w:t>Mt 1.18,25</w:t>
        </w:r>
      </w:hyperlink>
      <w:r>
        <w:t xml:space="preserve">; veja também </w:t>
      </w:r>
      <w:hyperlink r:id="rId12054">
        <w:r>
          <w:rPr>
            <w:color w:val="0000EE"/>
            <w:u w:val="single"/>
          </w:rPr>
          <w:t>Lc 1.34–37</w:t>
        </w:r>
      </w:hyperlink>
      <w:r>
        <w:t>).</w:t>
      </w:r>
    </w:p>
    <w:p>
      <w:r/>
      <w:r>
        <w:t>Quando César Augusto emitiu um decreto que todos tinham que se registrar em sua cidade natal para propósitos de impostos, José e Maria voltaram para Belém, onde Jesus então nasceu (</w:t>
      </w:r>
      <w:hyperlink r:id="rId12055">
        <w:r>
          <w:rPr>
            <w:color w:val="0000EE"/>
            <w:u w:val="single"/>
          </w:rPr>
          <w:t>Lc 2.1–6</w:t>
        </w:r>
      </w:hyperlink>
      <w:r>
        <w:t xml:space="preserve">). Mais tarde, José e Maria levaram o menino Jesus para o templo para apresentá-lo ao Senhor (vv. </w:t>
      </w:r>
      <w:hyperlink r:id="rId12056">
        <w:r>
          <w:rPr>
            <w:color w:val="0000EE"/>
            <w:u w:val="single"/>
          </w:rPr>
          <w:t>22,33</w:t>
        </w:r>
      </w:hyperlink>
      <w:r>
        <w:t>). Após a visita dos homens sábios, um anjo apareceu a José em um sonho e o instruiu a levar Jesus e Maria para o Egito para proteger a criança do rei Herodes (</w:t>
      </w:r>
      <w:hyperlink r:id="rId1925">
        <w:r>
          <w:rPr>
            <w:color w:val="0000EE"/>
            <w:u w:val="single"/>
          </w:rPr>
          <w:t>Mt 2.13</w:t>
        </w:r>
      </w:hyperlink>
      <w:r>
        <w:t>). Após a morte de Herodes, um anjo o aconselhou a voltar para Israel, então a família foi morar em Nazaré. O último evento registrado que envolve José é o incidente de Jesus no templo aos 12 anos de idade (</w:t>
      </w:r>
      <w:hyperlink r:id="rId12057">
        <w:r>
          <w:rPr>
            <w:color w:val="0000EE"/>
            <w:u w:val="single"/>
          </w:rPr>
          <w:t>Lc 2.41–51</w:t>
        </w:r>
      </w:hyperlink>
      <w:r>
        <w:t>). José não é mencionado pelo nome, mas Maria disse a Jesus que ela e seu pai o esperavam ansiosamente.</w:t>
      </w:r>
    </w:p>
    <w:p>
      <w:r/>
      <w:r>
        <w:t>Jesus foi identificado por pessoas ao redor de Nazaré como “o filho de José” (</w:t>
      </w:r>
      <w:hyperlink r:id="rId12058">
        <w:r>
          <w:rPr>
            <w:color w:val="0000EE"/>
            <w:u w:val="single"/>
          </w:rPr>
          <w:t>Lc 4.22</w:t>
        </w:r>
      </w:hyperlink>
      <w:r>
        <w:t xml:space="preserve">; </w:t>
      </w:r>
      <w:hyperlink r:id="rId9755">
        <w:r>
          <w:rPr>
            <w:color w:val="0000EE"/>
            <w:u w:val="single"/>
          </w:rPr>
          <w:t>Jo 1.45</w:t>
        </w:r>
      </w:hyperlink>
      <w:r>
        <w:t xml:space="preserve">; </w:t>
      </w:r>
      <w:hyperlink r:id="rId12059">
        <w:r>
          <w:rPr>
            <w:color w:val="0000EE"/>
            <w:u w:val="single"/>
          </w:rPr>
          <w:t>6.42</w:t>
        </w:r>
      </w:hyperlink>
      <w:r>
        <w:t>). É apenas através de referências que identificam Jesus que aprendemos sobre o ofício de José. Por duas vezes Jesus é referido como “o filho do carpinteiro” (</w:t>
      </w:r>
      <w:hyperlink r:id="rId2205">
        <w:r>
          <w:rPr>
            <w:color w:val="0000EE"/>
            <w:u w:val="single"/>
          </w:rPr>
          <w:t>Mt 13.55</w:t>
        </w:r>
      </w:hyperlink>
      <w:r>
        <w:t xml:space="preserve">; </w:t>
      </w:r>
      <w:hyperlink r:id="rId4331">
        <w:r>
          <w:rPr>
            <w:color w:val="0000EE"/>
            <w:u w:val="single"/>
          </w:rPr>
          <w:t>Mc 6.3</w:t>
        </w:r>
      </w:hyperlink>
      <w:r>
        <w:t>). José não era um carpinteiro em nosso sentido da palavra, pois as casas eram construídas principalmente de pedra e terra. Ele era um carpinteiro ou artífice na madeira, e provavelmente a maior parte de seu trabalho envolvia móveis e implementos agrícolas.</w:t>
      </w:r>
    </w:p>
    <w:p>
      <w:r/>
      <w:r>
        <w:t>Durante o ministério de Jesus, foi sua mãe e seus irmãos que vieram procurá-lo (</w:t>
      </w:r>
      <w:hyperlink r:id="rId12060">
        <w:r>
          <w:rPr>
            <w:color w:val="0000EE"/>
            <w:u w:val="single"/>
          </w:rPr>
          <w:t>Mt 12.46–50</w:t>
        </w:r>
      </w:hyperlink>
      <w:r>
        <w:t xml:space="preserve">; </w:t>
      </w:r>
      <w:hyperlink r:id="rId12061">
        <w:r>
          <w:rPr>
            <w:color w:val="0000EE"/>
            <w:u w:val="single"/>
          </w:rPr>
          <w:t>Mc 3.31–35</w:t>
        </w:r>
      </w:hyperlink>
      <w:r>
        <w:t>), por isso é assumido que por esta época José estava morto. José era provavelmente o pai de Tiago, José, Simão, Judas e das irmãs sem nome (</w:t>
      </w:r>
      <w:hyperlink r:id="rId2205">
        <w:r>
          <w:rPr>
            <w:color w:val="0000EE"/>
            <w:u w:val="single"/>
          </w:rPr>
          <w:t>Mt 13.55</w:t>
        </w:r>
      </w:hyperlink>
      <w:r>
        <w:t xml:space="preserve">; </w:t>
      </w:r>
      <w:hyperlink r:id="rId4331">
        <w:r>
          <w:rPr>
            <w:color w:val="0000EE"/>
            <w:u w:val="single"/>
          </w:rPr>
          <w:t>Mc 6.3</w:t>
        </w:r>
      </w:hyperlink>
      <w:r>
        <w:t>).</w:t>
      </w:r>
    </w:p>
    <w:p>
      <w:r/>
      <w:r>
        <w:rPr>
          <w:i/>
        </w:rPr>
        <w:t>Veja também</w:t>
      </w:r>
      <w:r>
        <w:t xml:space="preserve"> </w:t>
      </w:r>
      <w:r>
        <w:t>Irmãos de Jesus</w:t>
      </w:r>
      <w:r>
        <w:t xml:space="preserve">; </w:t>
      </w:r>
      <w:r>
        <w:t>Genealogia de Jesus Cristo</w:t>
      </w:r>
      <w:r>
        <w:t>.</w:t>
      </w:r>
    </w:p>
    <w:p>
      <w:r/>
      <w:r>
        <w:t>7. José e o filho de Maria e o irmão de Jesus (</w:t>
      </w:r>
      <w:hyperlink r:id="rId2205">
        <w:r>
          <w:rPr>
            <w:color w:val="0000EE"/>
            <w:u w:val="single"/>
          </w:rPr>
          <w:t>Mt 13.55</w:t>
        </w:r>
      </w:hyperlink>
      <w:r>
        <w:t xml:space="preserve">); alternadamente chamado de José em </w:t>
      </w:r>
      <w:hyperlink r:id="rId4331">
        <w:r>
          <w:rPr>
            <w:color w:val="0000EE"/>
            <w:u w:val="single"/>
          </w:rPr>
          <w:t>Marcos 6:3</w:t>
        </w:r>
      </w:hyperlink>
      <w:r>
        <w:t xml:space="preserve">. </w:t>
      </w:r>
      <w:r>
        <w:rPr>
          <w:i/>
        </w:rPr>
        <w:t>Veja</w:t>
      </w:r>
      <w:r>
        <w:t xml:space="preserve"> </w:t>
      </w:r>
      <w:r>
        <w:t>Irmãos de Jesus</w:t>
      </w:r>
      <w:r>
        <w:t>.</w:t>
      </w:r>
    </w:p>
    <w:p>
      <w:r/>
      <w:r>
        <w:t>8. Nativo de Arimateia e o seguidor de Jesus que providenciou seu enterro. Ele era um homem rico da cidade de Arimateia e um membro respeitado do Sinédrio, ou conselho (</w:t>
      </w:r>
      <w:hyperlink r:id="rId5967">
        <w:r>
          <w:rPr>
            <w:color w:val="0000EE"/>
            <w:u w:val="single"/>
          </w:rPr>
          <w:t>Mc 15.43</w:t>
        </w:r>
      </w:hyperlink>
      <w:r>
        <w:t>). Ele era um homem bom e justo e não concordou com a decisão de crucificar Jesus (</w:t>
      </w:r>
      <w:hyperlink r:id="rId12062">
        <w:r>
          <w:rPr>
            <w:color w:val="0000EE"/>
            <w:u w:val="single"/>
          </w:rPr>
          <w:t>Lc 23.50–51</w:t>
        </w:r>
      </w:hyperlink>
      <w:r>
        <w:t>). José havia sido um seguidor secreto de Jesus porque ele tinha medo dos judeus (</w:t>
      </w:r>
      <w:hyperlink r:id="rId12063">
        <w:r>
          <w:rPr>
            <w:color w:val="0000EE"/>
            <w:u w:val="single"/>
          </w:rPr>
          <w:t>Jo 19.38</w:t>
        </w:r>
      </w:hyperlink>
      <w:r>
        <w:t>), mas após a crucificação, ele tomou coragem e foi a Pilatos para pedir o corpo de Jesus. Ele e Nicodemos tomaram o corpo, o trataram com especiarias e o envolveram em panos de linho, de acordo com os costumes de sepultamento judaicos. Em um jardim próximo ficava o novo túmulo de José lapidado na rocha, no qual ninguém havia sido enterrado. Aqui eles colocaram Jesus e selaram o túmulo com uma grande pedra.</w:t>
      </w:r>
    </w:p>
    <w:p>
      <w:r/>
      <w:r>
        <w:t>9. O filho de Matatias e um antepassado de Jesus (</w:t>
      </w:r>
      <w:hyperlink r:id="rId12064">
        <w:r>
          <w:rPr>
            <w:color w:val="0000EE"/>
            <w:u w:val="single"/>
          </w:rPr>
          <w:t>Lc 3.25</w:t>
        </w:r>
      </w:hyperlink>
      <w:r>
        <w:t xml:space="preserve">). </w:t>
      </w:r>
      <w:r>
        <w:rPr>
          <w:i/>
        </w:rPr>
        <w:t>Ver</w:t>
      </w:r>
      <w:r>
        <w:t xml:space="preserve"> </w:t>
      </w:r>
      <w:r>
        <w:t>Genealogia de Jesus Cristo</w:t>
      </w:r>
      <w:r>
        <w:t>.</w:t>
      </w:r>
    </w:p>
    <w:p>
      <w:r/>
      <w:r>
        <w:t xml:space="preserve">10. A KJV traduz como José o nome de Joseque, um ancestral de Jesus, em </w:t>
      </w:r>
      <w:hyperlink r:id="rId12065">
        <w:r>
          <w:rPr>
            <w:color w:val="0000EE"/>
            <w:u w:val="single"/>
          </w:rPr>
          <w:t>Lucas 3.26</w:t>
        </w:r>
      </w:hyperlink>
      <w:r>
        <w:t xml:space="preserve">. </w:t>
      </w:r>
      <w:r>
        <w:rPr>
          <w:i/>
        </w:rPr>
        <w:t>Veja</w:t>
      </w:r>
      <w:r>
        <w:t xml:space="preserve"> </w:t>
      </w:r>
      <w:r>
        <w:t>Joseque</w:t>
      </w:r>
      <w:r>
        <w:t>.</w:t>
      </w:r>
    </w:p>
    <w:p>
      <w:r/>
      <w:r>
        <w:t>11. O filho de Jonã e um antepassado de Jesus (</w:t>
      </w:r>
      <w:hyperlink r:id="rId12066">
        <w:r>
          <w:rPr>
            <w:color w:val="0000EE"/>
            <w:u w:val="single"/>
          </w:rPr>
          <w:t>Lc 3.30</w:t>
        </w:r>
      </w:hyperlink>
      <w:r>
        <w:t xml:space="preserve">). </w:t>
      </w:r>
      <w:r>
        <w:rPr>
          <w:i/>
        </w:rPr>
        <w:t>Ver</w:t>
      </w:r>
      <w:r>
        <w:t xml:space="preserve"> </w:t>
      </w:r>
      <w:r>
        <w:t>Genealogia de Jesus Cristo</w:t>
      </w:r>
      <w:r>
        <w:t>.</w:t>
      </w:r>
    </w:p>
    <w:p>
      <w:r/>
      <w:r>
        <w:t>12. Discípulo de Jesus que foi “chamado Barsabás” e “de sobrenome Justo” (</w:t>
      </w:r>
      <w:hyperlink r:id="rId3152">
        <w:r>
          <w:rPr>
            <w:color w:val="0000EE"/>
            <w:u w:val="single"/>
          </w:rPr>
          <w:t>Atos 1.23</w:t>
        </w:r>
      </w:hyperlink>
      <w:r>
        <w:t>). José era um dos candidatos apresentados pelos 11 apóstolos para substituir Judas Iscariotes. Foi Matias, no entanto, que foi escolhido.</w:t>
      </w:r>
    </w:p>
    <w:p>
      <w:r/>
      <w:r>
        <w:t>13. O levita cipriota que vendeu um campo e deu os lucros aos apóstolos. Ele recebeu dos apóstolos o sobrenome de “Barnabé”, que significa “filho de encorajamento” (</w:t>
      </w:r>
      <w:hyperlink r:id="rId4832">
        <w:r>
          <w:rPr>
            <w:color w:val="0000EE"/>
            <w:u w:val="single"/>
          </w:rPr>
          <w:t>Atos 4.36</w:t>
        </w:r>
      </w:hyperlink>
      <w:r>
        <w:t xml:space="preserve">). </w:t>
      </w:r>
      <w:r>
        <w:rPr>
          <w:i/>
        </w:rPr>
        <w:t>Veja</w:t>
      </w:r>
      <w:r>
        <w:t xml:space="preserve"> </w:t>
      </w:r>
      <w:r>
        <w:t>Barnabé</w:t>
      </w:r>
      <w:r>
        <w:t>.</w:t>
      </w:r>
      <w:r/>
      <w:r/>
    </w:p>
    <w:p>
      <w:r/>
    </w:p>
    <w:p>
      <w:pPr>
        <w:pStyle w:val="Heading2"/>
      </w:pPr>
      <w:r>
        <w:t>Joses*</w:t>
      </w:r>
      <w:r/>
    </w:p>
    <w:p>
      <w:r/>
      <w:r>
        <w:t xml:space="preserve">A ortografia alternativa para José (na transliteração do grego "Ioses", que pode gerar diferentes grafias em outros idiomas), o filho de Maria, em </w:t>
      </w:r>
      <w:hyperlink r:id="rId4331">
        <w:r>
          <w:rPr>
            <w:color w:val="0000EE"/>
            <w:u w:val="single"/>
          </w:rPr>
          <w:t>Marcos 6.3</w:t>
        </w:r>
      </w:hyperlink>
      <w:r>
        <w:t xml:space="preserve"> </w:t>
      </w:r>
      <w:r>
        <w:rPr>
          <w:i/>
        </w:rPr>
        <w:t>Veja</w:t>
      </w:r>
      <w:r>
        <w:t xml:space="preserve"> </w:t>
      </w:r>
      <w:r>
        <w:t>José #7</w:t>
      </w:r>
      <w:r>
        <w:t>.</w:t>
      </w:r>
    </w:p>
    <w:p>
      <w:r/>
      <w:r>
        <w:t xml:space="preserve">2. Ortografia para José, de sobrenome Barnabé, em </w:t>
      </w:r>
      <w:hyperlink r:id="rId4832">
        <w:r>
          <w:rPr>
            <w:color w:val="0000EE"/>
            <w:u w:val="single"/>
          </w:rPr>
          <w:t>Atos 4.36</w:t>
        </w:r>
      </w:hyperlink>
      <w:r>
        <w:t xml:space="preserve"> na Bíblia King James em inglês. Em português esta ortografia ocorre somente em textos arcaicos como na Bíblia Almeida de 1819. </w:t>
      </w:r>
      <w:r>
        <w:rPr>
          <w:i/>
        </w:rPr>
        <w:t>Veja</w:t>
      </w:r>
      <w:r>
        <w:t xml:space="preserve"> </w:t>
      </w:r>
      <w:r>
        <w:t>Barnabé</w:t>
      </w:r>
      <w:r>
        <w:t>.</w:t>
      </w:r>
      <w:r/>
      <w:r/>
    </w:p>
    <w:p>
      <w:r/>
    </w:p>
    <w:p>
      <w:pPr>
        <w:pStyle w:val="Heading2"/>
      </w:pPr>
      <w:r>
        <w:t>Josué (Pessoa)</w:t>
      </w:r>
      <w:r/>
    </w:p>
    <w:p>
      <w:pPr>
        <w:pStyle w:val="ListNumber"/>
        <w:spacing w:line="240" w:lineRule="auto"/>
        <w:ind w:left="720"/>
      </w:pPr>
      <w:r/>
      <w:r>
        <w:t>O filho de Num. Ele foi o assistente e sucessor de Moisés. Ele também foi um líder militar. Deus o escolheu para liderar a conquista de Canaã pelos israelitas.</w:t>
      </w:r>
    </w:p>
    <w:p>
      <w:r/>
      <w:r>
        <w:t>No início do êxodo (quando os israelitas saíram do Egito), Josué foi enviado por Moisés para lutar contra os amalequitas (</w:t>
      </w:r>
      <w:hyperlink r:id="rId12067">
        <w:r>
          <w:rPr>
            <w:color w:val="0000EE"/>
            <w:u w:val="single"/>
          </w:rPr>
          <w:t>Êx 17.8–15</w:t>
        </w:r>
      </w:hyperlink>
      <w:r>
        <w:t>). Josué derrotou Amaleque, e Moisés escreveu sobre o evento e construiu um altar que ele chamou de "O Senhor é minha bandeira" (</w:t>
      </w:r>
      <w:hyperlink r:id="rId980">
        <w:r>
          <w:rPr>
            <w:color w:val="0000EE"/>
            <w:u w:val="single"/>
          </w:rPr>
          <w:t>Êx 17.15</w:t>
        </w:r>
      </w:hyperlink>
      <w:r>
        <w:t>).</w:t>
      </w:r>
    </w:p>
    <w:p>
      <w:r/>
      <w:r>
        <w:t>Josué foi um dos 12 homens que Moisés enviou de Cades-Barneia para observar Canaã. Ele representava a tribo de Efraim (</w:t>
      </w:r>
      <w:hyperlink r:id="rId7720">
        <w:r>
          <w:rPr>
            <w:color w:val="0000EE"/>
            <w:u w:val="single"/>
          </w:rPr>
          <w:t>Nm 13.8</w:t>
        </w:r>
      </w:hyperlink>
      <w:r>
        <w:t>). Naquela época, Josué era chamado de Oséias, mas Moisés mudou seu nome para Josué (</w:t>
      </w:r>
      <w:hyperlink r:id="rId12068">
        <w:r>
          <w:rPr>
            <w:color w:val="0000EE"/>
            <w:u w:val="single"/>
          </w:rPr>
          <w:t>Nm 13.8,16</w:t>
        </w:r>
      </w:hyperlink>
      <w:r>
        <w:t>). Josué e Calebe foram os únicos dois espiões a trazer de volta um relatório positivo sobre uma invasão israelita da terra (</w:t>
      </w:r>
      <w:hyperlink r:id="rId12069">
        <w:r>
          <w:rPr>
            <w:color w:val="0000EE"/>
            <w:u w:val="single"/>
          </w:rPr>
          <w:t>Js 14.6–9</w:t>
        </w:r>
      </w:hyperlink>
      <w:r>
        <w:t>). Esses dois homens também foram os únicos homens israelitas adultos que saíram do Egito e mais tarde entraram na terra Prometida do outro lado do Rio Jordão (</w:t>
      </w:r>
      <w:hyperlink r:id="rId12070">
        <w:r>
          <w:rPr>
            <w:color w:val="0000EE"/>
            <w:u w:val="single"/>
          </w:rPr>
          <w:t>Nm 14.30</w:t>
        </w:r>
      </w:hyperlink>
      <w:r>
        <w:t>).</w:t>
      </w:r>
    </w:p>
    <w:p>
      <w:r/>
      <w:r>
        <w:t>O Senhor disse a Moisés que ele morreria em breve. Moisés então perguntou quem lideraria após ele. O Senhor escolheu Josué para ser o novo líder (</w:t>
      </w:r>
      <w:hyperlink r:id="rId12071">
        <w:r>
          <w:rPr>
            <w:color w:val="0000EE"/>
            <w:u w:val="single"/>
          </w:rPr>
          <w:t>Nm 27.12–23</w:t>
        </w:r>
      </w:hyperlink>
      <w:r>
        <w:t>). Após a morte de Moisés no monte Nebo, a liderança de Josué foi confirmada (</w:t>
      </w:r>
      <w:hyperlink r:id="rId7810">
        <w:r>
          <w:rPr>
            <w:color w:val="0000EE"/>
            <w:u w:val="single"/>
          </w:rPr>
          <w:t>Nm 34.17</w:t>
        </w:r>
      </w:hyperlink>
      <w:r>
        <w:t>). O Senhor então disse a Josué para atravessar o Jordão e tomar a terra (</w:t>
      </w:r>
      <w:hyperlink r:id="rId12072">
        <w:r>
          <w:rPr>
            <w:color w:val="0000EE"/>
            <w:u w:val="single"/>
          </w:rPr>
          <w:t>Js 1.1–2</w:t>
        </w:r>
      </w:hyperlink>
      <w:r>
        <w:t>).</w:t>
      </w:r>
    </w:p>
    <w:p>
      <w:r/>
      <w:r>
        <w:t>Da transjordânia, Josué enviou dois homens para atravessar o rio e explorar Jericó (</w:t>
      </w:r>
      <w:hyperlink r:id="rId11585">
        <w:r>
          <w:rPr>
            <w:color w:val="0000EE"/>
            <w:u w:val="single"/>
          </w:rPr>
          <w:t>Josué 2</w:t>
        </w:r>
      </w:hyperlink>
      <w:r>
        <w:t>). Raabe os escondeu em Jericó e, mais tarde, eles retornaram em segurança para Josué para informá-lo de que o povo da terra estava com medo por causa dos israelitas (</w:t>
      </w:r>
      <w:hyperlink r:id="rId12073">
        <w:r>
          <w:rPr>
            <w:color w:val="0000EE"/>
            <w:u w:val="single"/>
          </w:rPr>
          <w:t>Js 2.23–24</w:t>
        </w:r>
      </w:hyperlink>
      <w:r>
        <w:t>).</w:t>
      </w:r>
    </w:p>
    <w:p>
      <w:r/>
      <w:r>
        <w:t>Depois de atravessar o rio, o Senhor disse a Josué para montar um círculo de 12 pedras em Gilgal para marcar o evento (</w:t>
      </w:r>
      <w:hyperlink r:id="rId12074">
        <w:r>
          <w:rPr>
            <w:color w:val="0000EE"/>
            <w:u w:val="single"/>
          </w:rPr>
          <w:t>Js 4.1–7</w:t>
        </w:r>
      </w:hyperlink>
      <w:r>
        <w:t>). O Senhor então ordenou que todos os homens que nasceram durante o Êxodo fossem circuncidados (</w:t>
      </w:r>
      <w:hyperlink r:id="rId4950">
        <w:r>
          <w:rPr>
            <w:color w:val="0000EE"/>
            <w:u w:val="single"/>
          </w:rPr>
          <w:t>Js 5.2–9</w:t>
        </w:r>
      </w:hyperlink>
      <w:r>
        <w:t>).</w:t>
      </w:r>
    </w:p>
    <w:p>
      <w:r/>
      <w:r>
        <w:t>Enquanto acampava em Gilgal, perto de Jericó, Josué encontrou um homem com uma espada desembainhada. O homem era o Senhor. Quando Josué o desafiou, o Senhor disse para tirar os sapatos, pois o chão era sagrado (</w:t>
      </w:r>
      <w:hyperlink r:id="rId9972">
        <w:r>
          <w:rPr>
            <w:color w:val="0000EE"/>
            <w:u w:val="single"/>
          </w:rPr>
          <w:t>Js 5.13–15</w:t>
        </w:r>
      </w:hyperlink>
      <w:r>
        <w:t>). O Senhor deu a Josué instruções para a destruição de Jericó. Josué e os israelitas seguiram as instruções de Deus e a cidade caiu (</w:t>
      </w:r>
      <w:hyperlink r:id="rId9973">
        <w:r>
          <w:rPr>
            <w:color w:val="0000EE"/>
            <w:u w:val="single"/>
          </w:rPr>
          <w:t>Josué 6</w:t>
        </w:r>
      </w:hyperlink>
      <w:r>
        <w:t>). O ataque a Ai terminou em derrota temporária até que o pecado de Acã foi descoberto e julgado (</w:t>
      </w:r>
      <w:hyperlink r:id="rId12075">
        <w:r>
          <w:rPr>
            <w:color w:val="0000EE"/>
            <w:u w:val="single"/>
          </w:rPr>
          <w:t>Js 7.10–26</w:t>
        </w:r>
      </w:hyperlink>
      <w:r>
        <w:t>). Então Ai foi tomada e destruída.</w:t>
      </w:r>
    </w:p>
    <w:p>
      <w:r/>
      <w:r>
        <w:t>Josué construiu um altar no Monte Ebal (</w:t>
      </w:r>
      <w:hyperlink r:id="rId12076">
        <w:r>
          <w:rPr>
            <w:color w:val="0000EE"/>
            <w:u w:val="single"/>
          </w:rPr>
          <w:t>Js 8.30–32</w:t>
        </w:r>
      </w:hyperlink>
      <w:r>
        <w:t>). As bênçãos e maldições foram lidas, conforme ordenado por Deus através de Moisés (</w:t>
      </w:r>
      <w:hyperlink r:id="rId9906">
        <w:r>
          <w:rPr>
            <w:color w:val="0000EE"/>
            <w:u w:val="single"/>
          </w:rPr>
          <w:t>Js 8.33–35</w:t>
        </w:r>
      </w:hyperlink>
      <w:r>
        <w:t xml:space="preserve">; compare com </w:t>
      </w:r>
      <w:hyperlink r:id="rId12077">
        <w:r>
          <w:rPr>
            <w:color w:val="0000EE"/>
            <w:u w:val="single"/>
          </w:rPr>
          <w:t>Dt 27–28</w:t>
        </w:r>
      </w:hyperlink>
      <w:r>
        <w:t>).</w:t>
      </w:r>
    </w:p>
    <w:p>
      <w:r/>
      <w:r>
        <w:t>Porque os israelitas não pediram orientação ao Senhor, Josué foi enganado a fazer uma aliança de paz com os heveus de Gibeão (</w:t>
      </w:r>
      <w:hyperlink r:id="rId12078">
        <w:r>
          <w:rPr>
            <w:color w:val="0000EE"/>
            <w:u w:val="single"/>
          </w:rPr>
          <w:t>Js 9.14</w:t>
        </w:r>
      </w:hyperlink>
      <w:r>
        <w:t>). Josué então os reduziu a realizar tarefas triviais em Israel (</w:t>
      </w:r>
      <w:hyperlink r:id="rId12079">
        <w:r>
          <w:rPr>
            <w:color w:val="0000EE"/>
            <w:u w:val="single"/>
          </w:rPr>
          <w:t>Js 9.21–27</w:t>
        </w:r>
      </w:hyperlink>
      <w:r>
        <w:t>).</w:t>
      </w:r>
    </w:p>
    <w:p>
      <w:r/>
      <w:r>
        <w:t>Os reis das várias cidades cananeias se aliaram contra a ameaça israelita (</w:t>
      </w:r>
      <w:hyperlink r:id="rId1231">
        <w:r>
          <w:rPr>
            <w:color w:val="0000EE"/>
            <w:u w:val="single"/>
          </w:rPr>
          <w:t>Js 9.1–2</w:t>
        </w:r>
      </w:hyperlink>
      <w:r>
        <w:t>). Uma aliança de cinco cidades amoritas (Jerusalém, Hebrom, Jarmute, Laquis e Eglom) atacou Gibeão (</w:t>
      </w:r>
      <w:hyperlink r:id="rId12080">
        <w:r>
          <w:rPr>
            <w:color w:val="0000EE"/>
            <w:u w:val="single"/>
          </w:rPr>
          <w:t>Js 10.1–5</w:t>
        </w:r>
      </w:hyperlink>
      <w:r>
        <w:t>). Os gibeonitas pediram ajuda a Josué, que rapidamente derrotou as forças amoritas. Foi nessa ocasião que Josué ordenou que o sol e a lua parassem para que Israel pudesse ter mais tempo para derrotar esses adversários (</w:t>
      </w:r>
      <w:hyperlink r:id="rId12081">
        <w:r>
          <w:rPr>
            <w:color w:val="0000EE"/>
            <w:u w:val="single"/>
          </w:rPr>
          <w:t>Js 10.12–14</w:t>
        </w:r>
      </w:hyperlink>
      <w:r>
        <w:t>). Esta vitória foi seguida por uma série de ataques bem-sucedidos a cidades inimigas (</w:t>
      </w:r>
      <w:hyperlink r:id="rId12082">
        <w:r>
          <w:rPr>
            <w:color w:val="0000EE"/>
            <w:u w:val="single"/>
          </w:rPr>
          <w:t>Js 10.28–43</w:t>
        </w:r>
      </w:hyperlink>
      <w:r>
        <w:t>).</w:t>
      </w:r>
    </w:p>
    <w:p>
      <w:r/>
      <w:r>
        <w:t>Em seguida, Josué enfrentou um grupo de inimigos do norte, liderado por Jabim, o rei de Hazor (</w:t>
      </w:r>
      <w:hyperlink r:id="rId1236">
        <w:r>
          <w:rPr>
            <w:color w:val="0000EE"/>
            <w:u w:val="single"/>
          </w:rPr>
          <w:t>Js 11.1–5</w:t>
        </w:r>
      </w:hyperlink>
      <w:r>
        <w:t>). O Senhor disse a Josué que ele teria sucesso, e a cidade de Hazor foi tomada e destruída pelo fogo (</w:t>
      </w:r>
      <w:hyperlink r:id="rId12083">
        <w:r>
          <w:rPr>
            <w:color w:val="0000EE"/>
            <w:u w:val="single"/>
          </w:rPr>
          <w:t>Js 11.6–15</w:t>
        </w:r>
      </w:hyperlink>
      <w:r>
        <w:t xml:space="preserve">). </w:t>
      </w:r>
      <w:hyperlink r:id="rId12084">
        <w:r>
          <w:rPr>
            <w:color w:val="0000EE"/>
            <w:u w:val="single"/>
          </w:rPr>
          <w:t>Js 11.23</w:t>
        </w:r>
      </w:hyperlink>
      <w:r>
        <w:t xml:space="preserve"> resume a conquista da terra. </w:t>
      </w:r>
      <w:hyperlink r:id="rId5423">
        <w:r>
          <w:rPr>
            <w:color w:val="0000EE"/>
            <w:u w:val="single"/>
          </w:rPr>
          <w:t>Capítulo 12</w:t>
        </w:r>
      </w:hyperlink>
      <w:r>
        <w:t xml:space="preserve"> lista os reis que foram conquistados.</w:t>
      </w:r>
    </w:p>
    <w:p>
      <w:r/>
      <w:r>
        <w:t>Josué já estava velho, e o Senhor lhe disse que ainda havia muita terra para conquistar. Esses territórios são listados, mas o Senhor disse a Josué para dividir a terra entre as nove tribos e meia (</w:t>
      </w:r>
      <w:hyperlink r:id="rId12085">
        <w:r>
          <w:rPr>
            <w:color w:val="0000EE"/>
            <w:u w:val="single"/>
          </w:rPr>
          <w:t>Js 13.7</w:t>
        </w:r>
      </w:hyperlink>
      <w:r>
        <w:t xml:space="preserve">; compare </w:t>
      </w:r>
      <w:hyperlink r:id="rId12086">
        <w:r>
          <w:rPr>
            <w:color w:val="0000EE"/>
            <w:u w:val="single"/>
          </w:rPr>
          <w:t>Js 13.8–18.28</w:t>
        </w:r>
      </w:hyperlink>
      <w:r>
        <w:t>). O próprio Josué recebeu a cidade que pediu, Timnate-Sera, na região montanhosa de Efraim. Ele reconstruiu essa cidade e se estabeleceu lá (</w:t>
      </w:r>
      <w:hyperlink r:id="rId12087">
        <w:r>
          <w:rPr>
            <w:color w:val="0000EE"/>
            <w:u w:val="single"/>
          </w:rPr>
          <w:t>Js 19.49–50</w:t>
        </w:r>
      </w:hyperlink>
      <w:r>
        <w:t>).</w:t>
      </w:r>
    </w:p>
    <w:p>
      <w:r/>
      <w:r>
        <w:t>O Senhor disse a Josué para escolher cidades de refúgio. Uma pessoa culpada de homicídio culposo (matar alguém acidentalmente) poderia fugir para lá para escapar do vingador do sangue (</w:t>
      </w:r>
      <w:hyperlink r:id="rId12088">
        <w:r>
          <w:rPr>
            <w:color w:val="0000EE"/>
            <w:u w:val="single"/>
          </w:rPr>
          <w:t>Josué 20</w:t>
        </w:r>
      </w:hyperlink>
      <w:r>
        <w:t>). Então os levitas vieram a Eleazar, o sacerdote, e a Josué. Eles solicitaram suas cidades, como o Senhor havia ordenado através de Moisés (</w:t>
      </w:r>
      <w:hyperlink r:id="rId12089">
        <w:r>
          <w:rPr>
            <w:color w:val="0000EE"/>
            <w:u w:val="single"/>
          </w:rPr>
          <w:t>Js 21.1–42</w:t>
        </w:r>
      </w:hyperlink>
      <w:r>
        <w:t>).</w:t>
      </w:r>
    </w:p>
    <w:p>
      <w:r/>
      <w:r>
        <w:t>Quando ele estava idoso, Josué convocou todo o Israel. Ele os incumbiu de serem fiéis ao Senhor (</w:t>
      </w:r>
      <w:hyperlink r:id="rId12090">
        <w:r>
          <w:rPr>
            <w:color w:val="0000EE"/>
            <w:u w:val="single"/>
          </w:rPr>
          <w:t>Josué 23</w:t>
        </w:r>
      </w:hyperlink>
      <w:r>
        <w:t>). Finalmente, ele chamou todo o Israel a Siquém, onde lhes deu sua mensagem de despedida. Ele resumiu os tratos do Senhor com eles desde Abraão. Então, ele os desafiou a servir ao Senhor. Ele colocou diante deles a conhecida escolha: "Escolham hoje a quem vocês vão servir... quanto a mim e à minha casa, serviremos ao Senhor!” (</w:t>
      </w:r>
      <w:hyperlink r:id="rId6947">
        <w:r>
          <w:rPr>
            <w:color w:val="0000EE"/>
            <w:u w:val="single"/>
          </w:rPr>
          <w:t>Js 24.15</w:t>
        </w:r>
      </w:hyperlink>
      <w:r>
        <w:t>).</w:t>
      </w:r>
    </w:p>
    <w:p>
      <w:r/>
      <w:r>
        <w:t>Josué morreu aos 110 anos e foi sepultado na terra de sua herança em Timnate-Sera (</w:t>
      </w:r>
      <w:hyperlink r:id="rId12091">
        <w:r>
          <w:rPr>
            <w:color w:val="0000EE"/>
            <w:u w:val="single"/>
          </w:rPr>
          <w:t>Js 24.29–30</w:t>
        </w:r>
      </w:hyperlink>
      <w:r>
        <w:t xml:space="preserve">; outro relato em </w:t>
      </w:r>
      <w:hyperlink r:id="rId12092">
        <w:r>
          <w:rPr>
            <w:color w:val="0000EE"/>
            <w:u w:val="single"/>
          </w:rPr>
          <w:t>Jz 2.8–9</w:t>
        </w:r>
      </w:hyperlink>
      <w:r>
        <w:t xml:space="preserve"> menciona "Timnate-Heres"). Israel serviu ao Senhor durante todos os dias de Josué e dos anciãos que o sobreviveram (</w:t>
      </w:r>
      <w:hyperlink r:id="rId12093">
        <w:r>
          <w:rPr>
            <w:color w:val="0000EE"/>
            <w:u w:val="single"/>
          </w:rPr>
          <w:t>Js 24.31</w:t>
        </w:r>
      </w:hyperlink>
      <w:r>
        <w:t xml:space="preserve">; </w:t>
      </w:r>
      <w:hyperlink r:id="rId12094">
        <w:r>
          <w:rPr>
            <w:color w:val="0000EE"/>
            <w:u w:val="single"/>
          </w:rPr>
          <w:t>Jz 2.7</w:t>
        </w:r>
      </w:hyperlink>
      <w:r>
        <w:t>).</w:t>
      </w:r>
    </w:p>
    <w:p>
      <w:r/>
      <w:r>
        <w:rPr>
          <w:i/>
        </w:rPr>
        <w:t>Veja também</w:t>
      </w:r>
      <w:r>
        <w:t xml:space="preserve"> </w:t>
      </w:r>
      <w:r>
        <w:t>Conquista e distribuição da terra</w:t>
      </w:r>
      <w:r>
        <w:t xml:space="preserve">; </w:t>
      </w:r>
      <w:r>
        <w:t>Israel, História de</w:t>
      </w:r>
      <w:r>
        <w:t xml:space="preserve">; </w:t>
      </w:r>
      <w:r>
        <w:t>Josué, Livro de</w:t>
      </w:r>
      <w:r>
        <w:t>.</w:t>
      </w:r>
    </w:p>
    <w:p>
      <w:pPr>
        <w:pStyle w:val="ListNumber"/>
        <w:spacing w:line="240" w:lineRule="auto"/>
        <w:ind w:left="720"/>
      </w:pPr>
      <w:r/>
      <w:r>
        <w:t>Um habitante de Bete-Semes. Os filisteus enviaram a carroça carregando a arca para o seu campo de trigo. Ela parou ao lado de uma grande pedra, que foi usada para marcar o evento (</w:t>
      </w:r>
      <w:hyperlink r:id="rId12095">
        <w:r>
          <w:rPr>
            <w:color w:val="0000EE"/>
            <w:u w:val="single"/>
          </w:rPr>
          <w:t>1Sm 6.14,18</w:t>
        </w:r>
      </w:hyperlink>
      <w:r>
        <w:t>).</w:t>
      </w:r>
    </w:p>
    <w:p>
      <w:pPr>
        <w:pStyle w:val="ListNumber"/>
        <w:spacing w:line="240" w:lineRule="auto"/>
        <w:ind w:left="720"/>
      </w:pPr>
      <w:r/>
      <w:r>
        <w:t>O governador de Jerusalém durante o reinado do Rei Josias (</w:t>
      </w:r>
      <w:hyperlink r:id="rId12096">
        <w:r>
          <w:rPr>
            <w:color w:val="0000EE"/>
            <w:u w:val="single"/>
          </w:rPr>
          <w:t>2Rs 23.8</w:t>
        </w:r>
      </w:hyperlink>
      <w:r>
        <w:t>).</w:t>
      </w:r>
    </w:p>
    <w:p>
      <w:pPr>
        <w:pStyle w:val="ListNumber"/>
        <w:spacing w:line="240" w:lineRule="auto"/>
        <w:ind w:left="720"/>
      </w:pPr>
      <w:r/>
      <w:r>
        <w:t>Filho de Josadaque e sumo sacerdote durante os dias de Zorobabel em Jerusalém após o exílio na Babilônia (</w:t>
      </w:r>
      <w:hyperlink r:id="rId12097">
        <w:r>
          <w:rPr>
            <w:color w:val="0000EE"/>
            <w:u w:val="single"/>
          </w:rPr>
          <w:t>Ag 1.1–14</w:t>
        </w:r>
      </w:hyperlink>
      <w:r>
        <w:t xml:space="preserve">; </w:t>
      </w:r>
      <w:hyperlink r:id="rId12098">
        <w:r>
          <w:rPr>
            <w:color w:val="0000EE"/>
            <w:u w:val="single"/>
          </w:rPr>
          <w:t>2.2–4</w:t>
        </w:r>
      </w:hyperlink>
      <w:r>
        <w:t xml:space="preserve">; </w:t>
      </w:r>
      <w:hyperlink r:id="rId12099">
        <w:r>
          <w:rPr>
            <w:color w:val="0000EE"/>
            <w:u w:val="single"/>
          </w:rPr>
          <w:t>Zc 3.1–9</w:t>
        </w:r>
      </w:hyperlink>
      <w:r>
        <w:t xml:space="preserve">; </w:t>
      </w:r>
      <w:hyperlink r:id="rId12100">
        <w:r>
          <w:rPr>
            <w:color w:val="0000EE"/>
            <w:u w:val="single"/>
          </w:rPr>
          <w:t>6.11</w:t>
        </w:r>
      </w:hyperlink>
      <w:r>
        <w:t>). Josué também é chamado de Jesua em Esdras e Neemias em algumas versões da Bíblia em português.</w:t>
      </w:r>
    </w:p>
    <w:p>
      <w:r/>
      <w:r>
        <w:rPr>
          <w:i/>
        </w:rPr>
        <w:t>Consulte</w:t>
      </w:r>
      <w:r>
        <w:t xml:space="preserve"> </w:t>
      </w:r>
      <w:r>
        <w:t>Jesua (Pessoa) #3</w:t>
      </w:r>
      <w:r>
        <w:t>.</w:t>
      </w:r>
    </w:p>
    <w:p>
      <w:pPr>
        <w:pStyle w:val="ListNumber"/>
        <w:spacing w:line="240" w:lineRule="auto"/>
        <w:ind w:left="720"/>
      </w:pPr>
      <w:r/>
      <w:r>
        <w:t>Filho de Eliezer e um ancestral de Jesus Cristo (</w:t>
      </w:r>
      <w:hyperlink r:id="rId7927">
        <w:r>
          <w:rPr>
            <w:color w:val="0000EE"/>
            <w:u w:val="single"/>
          </w:rPr>
          <w:t>Lc 3.29</w:t>
        </w:r>
      </w:hyperlink>
      <w:r>
        <w:t>).</w:t>
      </w:r>
    </w:p>
    <w:p>
      <w:r/>
      <w:r>
        <w:rPr>
          <w:i/>
        </w:rPr>
        <w:t>Veja</w:t>
      </w:r>
      <w:r>
        <w:t xml:space="preserve"> </w:t>
      </w:r>
      <w:r>
        <w:t>a ancestralidade de Jesus Cristo</w:t>
      </w:r>
      <w:r>
        <w:t>.</w:t>
      </w:r>
      <w:r/>
      <w:r/>
    </w:p>
    <w:p>
      <w:r/>
    </w:p>
    <w:p>
      <w:pPr>
        <w:pStyle w:val="Heading2"/>
      </w:pPr>
      <w:r>
        <w:t>Josué, Livro de</w:t>
      </w:r>
      <w:r/>
    </w:p>
    <w:p>
      <w:r/>
      <w:r>
        <w:t>Primeiro dos livros históricos na Bíblia em português e o primeiro dos Profetas Anteriores (incluindo Juízes, os livros de Samuel e os livros de Reis) na Bíblia Hebraica. Começa com a comissão do Senhor a Josué (</w:t>
      </w:r>
      <w:hyperlink r:id="rId10529">
        <w:r>
          <w:rPr>
            <w:color w:val="0000EE"/>
            <w:u w:val="single"/>
          </w:rPr>
          <w:t>Js 1.1–9</w:t>
        </w:r>
      </w:hyperlink>
      <w:r>
        <w:t>) e conclui com o sepultamento de Josué, Eleazar e os ossos de José (</w:t>
      </w:r>
      <w:hyperlink r:id="rId12101">
        <w:r>
          <w:rPr>
            <w:color w:val="0000EE"/>
            <w:u w:val="single"/>
          </w:rPr>
          <w:t>24.29–33</w:t>
        </w:r>
      </w:hyperlink>
      <w:r>
        <w:t>). O propósito do livro é mostrar como Josué continuou nos passos de Moisés, como o Senhor deu a terra a Israel e como Israel poderia prosperar na terra.</w:t>
      </w:r>
    </w:p>
    <w:p>
      <w:r/>
      <w:r>
        <w:t>Resumo</w:t>
      </w:r>
    </w:p>
    <w:p>
      <w:r/>
      <w:r>
        <w:t>• Autor e data</w:t>
      </w:r>
    </w:p>
    <w:p>
      <w:r/>
      <w:r>
        <w:t>• Problemas de interpretação</w:t>
      </w:r>
    </w:p>
    <w:p>
      <w:r/>
      <w:r>
        <w:t>• Propósito</w:t>
      </w:r>
    </w:p>
    <w:p>
      <w:r/>
      <w:r>
        <w:t>• Conteúdo</w:t>
      </w:r>
    </w:p>
    <w:p>
      <w:pPr>
        <w:pStyle w:val="Heading3"/>
      </w:pPr>
      <w:r>
        <w:t>Autor e data</w:t>
      </w:r>
    </w:p>
    <w:p>
      <w:r/>
      <w:r>
        <w:t>De acordo com o Talmude, Josué escreveu o livro. Esta antiga tradição possivelmente se baseia na breve declaração de que Josué “registrou estas coisas no Livro da Lei de Deus” (</w:t>
      </w:r>
      <w:hyperlink r:id="rId12102">
        <w:r>
          <w:rPr>
            <w:color w:val="0000EE"/>
            <w:u w:val="single"/>
          </w:rPr>
          <w:t>24.26</w:t>
        </w:r>
      </w:hyperlink>
      <w:r>
        <w:t xml:space="preserve">, NTLH). No entanto, isso se aplica apenas à renovação da aliança (cap. </w:t>
      </w:r>
      <w:hyperlink r:id="rId12103">
        <w:r>
          <w:rPr>
            <w:color w:val="0000EE"/>
            <w:u w:val="single"/>
          </w:rPr>
          <w:t>24</w:t>
        </w:r>
      </w:hyperlink>
      <w:r>
        <w:t>). A questão da autoria está ligada à datação do livro. Como o livro não possui marcadores inequívocos sobre data e autoria, nem críticos nem estudiosos conservadores conseguiram chegar a um acordo sobre essas questões. De acordo com uma análise conservadora de Josué, o livro foi escrito entre 1375 a.C. e 1045 a.C. (pré-monárquico). O argumento baseia-se nas referências à migração de Dã (</w:t>
      </w:r>
      <w:hyperlink r:id="rId6447">
        <w:r>
          <w:rPr>
            <w:color w:val="0000EE"/>
            <w:u w:val="single"/>
          </w:rPr>
          <w:t>19.47</w:t>
        </w:r>
      </w:hyperlink>
      <w:r>
        <w:t xml:space="preserve">; cf. </w:t>
      </w:r>
      <w:hyperlink r:id="rId12104">
        <w:r>
          <w:rPr>
            <w:color w:val="0000EE"/>
            <w:u w:val="single"/>
          </w:rPr>
          <w:t>Jz 18.27–31</w:t>
        </w:r>
      </w:hyperlink>
      <w:r>
        <w:t>), a Jerusalém como uma cidade dos jebuseus (</w:t>
      </w:r>
      <w:hyperlink r:id="rId12105">
        <w:r>
          <w:rPr>
            <w:color w:val="0000EE"/>
            <w:u w:val="single"/>
          </w:rPr>
          <w:t>Js 15.8,63</w:t>
        </w:r>
      </w:hyperlink>
      <w:r>
        <w:t xml:space="preserve">; </w:t>
      </w:r>
      <w:hyperlink r:id="rId12106">
        <w:r>
          <w:rPr>
            <w:color w:val="0000EE"/>
            <w:u w:val="single"/>
          </w:rPr>
          <w:t>18.16,28</w:t>
        </w:r>
      </w:hyperlink>
      <w:r>
        <w:t>), a Sidom em vez de Tiro como a cidade fenícia proeminente (</w:t>
      </w:r>
      <w:hyperlink r:id="rId12107">
        <w:r>
          <w:rPr>
            <w:color w:val="0000EE"/>
            <w:u w:val="single"/>
          </w:rPr>
          <w:t>11.8</w:t>
        </w:r>
      </w:hyperlink>
      <w:r>
        <w:t xml:space="preserve">; </w:t>
      </w:r>
      <w:hyperlink r:id="rId12108">
        <w:r>
          <w:rPr>
            <w:color w:val="0000EE"/>
            <w:u w:val="single"/>
          </w:rPr>
          <w:t>13.4–6</w:t>
        </w:r>
      </w:hyperlink>
      <w:r>
        <w:t xml:space="preserve">; </w:t>
      </w:r>
      <w:hyperlink r:id="rId12109">
        <w:r>
          <w:rPr>
            <w:color w:val="0000EE"/>
            <w:u w:val="single"/>
          </w:rPr>
          <w:t>19.28</w:t>
        </w:r>
      </w:hyperlink>
      <w:r>
        <w:t>), e também no estilo de testemunha ocular (</w:t>
      </w:r>
      <w:hyperlink r:id="rId12110">
        <w:r>
          <w:rPr>
            <w:color w:val="0000EE"/>
            <w:u w:val="single"/>
          </w:rPr>
          <w:t xml:space="preserve">5.1,6 </w:t>
        </w:r>
      </w:hyperlink>
      <w:r>
        <w:t>— no Texto Massorético). Mas estudiosos críticos levantaram questões que consideraram que poderiam ser melhor resolvidas ao se postular uma data do século VII a.C. ou até mesmo uma data exílica.</w:t>
      </w:r>
    </w:p>
    <w:p>
      <w:pPr>
        <w:pStyle w:val="Heading3"/>
      </w:pPr>
      <w:r>
        <w:t>Problemas de interpretação</w:t>
      </w:r>
    </w:p>
    <w:p>
      <w:pPr>
        <w:pStyle w:val="Heading4"/>
      </w:pPr>
      <w:r>
        <w:t>Guerra santa</w:t>
      </w:r>
    </w:p>
    <w:p>
      <w:r/>
      <w:r>
        <w:t>A moralidade da Conquista pode ser explicada pelo conceito de guerra santa. O motivo da guerra santa explicaria por que Israel deveria destruir a população nativa (</w:t>
      </w:r>
      <w:hyperlink r:id="rId12111">
        <w:r>
          <w:rPr>
            <w:color w:val="0000EE"/>
            <w:u w:val="single"/>
          </w:rPr>
          <w:t>Dt 7.16</w:t>
        </w:r>
      </w:hyperlink>
      <w:r>
        <w:t xml:space="preserve">; </w:t>
      </w:r>
      <w:hyperlink r:id="rId12112">
        <w:r>
          <w:rPr>
            <w:color w:val="0000EE"/>
            <w:u w:val="single"/>
          </w:rPr>
          <w:t>20.16–18</w:t>
        </w:r>
      </w:hyperlink>
      <w:r>
        <w:t xml:space="preserve">; </w:t>
      </w:r>
      <w:hyperlink r:id="rId12113">
        <w:r>
          <w:rPr>
            <w:color w:val="0000EE"/>
            <w:u w:val="single"/>
          </w:rPr>
          <w:t>Js 6.21</w:t>
        </w:r>
      </w:hyperlink>
      <w:r>
        <w:t xml:space="preserve">; </w:t>
      </w:r>
      <w:hyperlink r:id="rId12114">
        <w:r>
          <w:rPr>
            <w:color w:val="0000EE"/>
            <w:u w:val="single"/>
          </w:rPr>
          <w:t>8.24–26</w:t>
        </w:r>
      </w:hyperlink>
      <w:r>
        <w:t xml:space="preserve">; </w:t>
      </w:r>
      <w:hyperlink r:id="rId12115">
        <w:r>
          <w:rPr>
            <w:color w:val="0000EE"/>
            <w:u w:val="single"/>
          </w:rPr>
          <w:t>10.10,28–30,35–42</w:t>
        </w:r>
      </w:hyperlink>
      <w:r>
        <w:t xml:space="preserve">; </w:t>
      </w:r>
      <w:hyperlink r:id="rId12116">
        <w:r>
          <w:rPr>
            <w:color w:val="0000EE"/>
            <w:u w:val="single"/>
          </w:rPr>
          <w:t>11.11</w:t>
        </w:r>
      </w:hyperlink>
      <w:r>
        <w:t>). A justificativa pode residir no conceito de que Israel era o instrumento de julgamento de Deus sobre as nações cananeias. Este argumento está relacionado à menção da maldade dos cananeus (</w:t>
      </w:r>
      <w:hyperlink r:id="rId6215">
        <w:r>
          <w:rPr>
            <w:color w:val="0000EE"/>
            <w:u w:val="single"/>
          </w:rPr>
          <w:t>Gn 15.16</w:t>
        </w:r>
      </w:hyperlink>
      <w:r>
        <w:t xml:space="preserve">; </w:t>
      </w:r>
      <w:hyperlink r:id="rId12117">
        <w:r>
          <w:rPr>
            <w:color w:val="0000EE"/>
            <w:u w:val="single"/>
          </w:rPr>
          <w:t>Dt 7.2–5,25–26</w:t>
        </w:r>
      </w:hyperlink>
      <w:r>
        <w:t xml:space="preserve">; </w:t>
      </w:r>
      <w:hyperlink r:id="rId12118">
        <w:r>
          <w:rPr>
            <w:color w:val="0000EE"/>
            <w:u w:val="single"/>
          </w:rPr>
          <w:t>12.30–31</w:t>
        </w:r>
      </w:hyperlink>
      <w:r>
        <w:t xml:space="preserve">; </w:t>
      </w:r>
      <w:hyperlink r:id="rId6940">
        <w:r>
          <w:rPr>
            <w:color w:val="0000EE"/>
            <w:u w:val="single"/>
          </w:rPr>
          <w:t>Js 23.7</w:t>
        </w:r>
      </w:hyperlink>
      <w:r>
        <w:t xml:space="preserve">; </w:t>
      </w:r>
      <w:hyperlink r:id="rId12119">
        <w:r>
          <w:rPr>
            <w:color w:val="0000EE"/>
            <w:u w:val="single"/>
          </w:rPr>
          <w:t>Jz 2.11</w:t>
        </w:r>
      </w:hyperlink>
      <w:r>
        <w:t>). No entanto, a narrativa canônica da progressão da Conquista coloca a responsabilidade nos cananeus. Eles marcharam e lutaram contra Israel (</w:t>
      </w:r>
      <w:hyperlink r:id="rId12120">
        <w:r>
          <w:rPr>
            <w:color w:val="0000EE"/>
            <w:u w:val="single"/>
          </w:rPr>
          <w:t>Nm 21.21–35</w:t>
        </w:r>
      </w:hyperlink>
      <w:r>
        <w:t xml:space="preserve">; </w:t>
      </w:r>
      <w:hyperlink r:id="rId12121">
        <w:r>
          <w:rPr>
            <w:color w:val="0000EE"/>
            <w:u w:val="single"/>
          </w:rPr>
          <w:t>Js 7.4–5</w:t>
        </w:r>
      </w:hyperlink>
      <w:r>
        <w:t xml:space="preserve">; </w:t>
      </w:r>
      <w:hyperlink r:id="rId12122">
        <w:r>
          <w:rPr>
            <w:color w:val="0000EE"/>
            <w:u w:val="single"/>
          </w:rPr>
          <w:t>8.5,16–17</w:t>
        </w:r>
      </w:hyperlink>
      <w:r>
        <w:t xml:space="preserve">; </w:t>
      </w:r>
      <w:hyperlink r:id="rId1231">
        <w:r>
          <w:rPr>
            <w:color w:val="0000EE"/>
            <w:u w:val="single"/>
          </w:rPr>
          <w:t>9.1–2</w:t>
        </w:r>
      </w:hyperlink>
      <w:r>
        <w:t xml:space="preserve">; </w:t>
      </w:r>
      <w:hyperlink r:id="rId12123">
        <w:r>
          <w:rPr>
            <w:color w:val="0000EE"/>
            <w:u w:val="single"/>
          </w:rPr>
          <w:t>10.1–6</w:t>
        </w:r>
      </w:hyperlink>
      <w:r>
        <w:t xml:space="preserve">; </w:t>
      </w:r>
      <w:hyperlink r:id="rId1236">
        <w:r>
          <w:rPr>
            <w:color w:val="0000EE"/>
            <w:u w:val="single"/>
          </w:rPr>
          <w:t>11.1–5</w:t>
        </w:r>
      </w:hyperlink>
      <w:r>
        <w:t xml:space="preserve">; </w:t>
      </w:r>
      <w:hyperlink r:id="rId9184">
        <w:r>
          <w:rPr>
            <w:color w:val="0000EE"/>
            <w:u w:val="single"/>
          </w:rPr>
          <w:t>24.11</w:t>
        </w:r>
      </w:hyperlink>
      <w:r>
        <w:t xml:space="preserve">). Portanto, pode-se argumentar que, no processo de guerra, foi feito um convite sincero para fazer paz aos reis (cf. </w:t>
      </w:r>
      <w:hyperlink r:id="rId12124">
        <w:r>
          <w:rPr>
            <w:color w:val="0000EE"/>
            <w:u w:val="single"/>
          </w:rPr>
          <w:t>Nm 21.21–22</w:t>
        </w:r>
      </w:hyperlink>
      <w:r>
        <w:t xml:space="preserve">; </w:t>
      </w:r>
      <w:hyperlink r:id="rId12125">
        <w:r>
          <w:rPr>
            <w:color w:val="0000EE"/>
            <w:u w:val="single"/>
          </w:rPr>
          <w:t>Dt 20.10–11</w:t>
        </w:r>
      </w:hyperlink>
      <w:r>
        <w:t>), mas foi recusado. Em vez disso, os reis tomaram a iniciativa na batalha. A responsabilidade pela destruição da população nativa, portanto, recaiu sobre a liderança. No entanto, tudo isso era evidência da atuação de Deus nos assuntos humanos, o que a Bíblia simplesmente afirma: “O SENHOR Deus fez com que os moradores dessas cidades teimassem em lutar contra o povo de Israel, para que, assim, fossem completamente destruídos e mortos sem dó nem piedade. O SENHOR havia ordenado isso a Moisés” (</w:t>
      </w:r>
      <w:hyperlink r:id="rId7512">
        <w:r>
          <w:rPr>
            <w:color w:val="0000EE"/>
            <w:u w:val="single"/>
          </w:rPr>
          <w:t>Js 11.20</w:t>
        </w:r>
      </w:hyperlink>
      <w:r>
        <w:t>, NTLH). Assim como Faraó, cujo coração o Senhor endureceu, foi responsável pelas pragas no Egito, os governantes cananeus foram responsáveis pelo extermínio de suas populações. O relato bíblico da Conquista afirma o mistério da responsabilidade humana e da soberania divina sem explicá-lo.</w:t>
      </w:r>
    </w:p>
    <w:p>
      <w:pPr>
        <w:pStyle w:val="Heading4"/>
      </w:pPr>
      <w:r>
        <w:t>A natureza da conquista</w:t>
      </w:r>
    </w:p>
    <w:p>
      <w:r/>
      <w:r>
        <w:t xml:space="preserve">Várias explicações sobre a natureza da Conquista foram apresentadas. A visão tradicional de um tipo de conquista relâmpago, que resultou em uma ocupação completa de toda a terra (cf. </w:t>
      </w:r>
      <w:hyperlink r:id="rId12126">
        <w:r>
          <w:rPr>
            <w:color w:val="0000EE"/>
            <w:u w:val="single"/>
          </w:rPr>
          <w:t>Js 10.40</w:t>
        </w:r>
      </w:hyperlink>
      <w:r>
        <w:t xml:space="preserve">; </w:t>
      </w:r>
      <w:hyperlink r:id="rId12127">
        <w:r>
          <w:rPr>
            <w:color w:val="0000EE"/>
            <w:u w:val="single"/>
          </w:rPr>
          <w:t>11.1–3,16–19</w:t>
        </w:r>
      </w:hyperlink>
      <w:r>
        <w:t>), não se encaixa no quadro geral do livro. O livro apresenta uma descrição realista das áreas que ainda precisavam ser conquistadas (</w:t>
      </w:r>
      <w:hyperlink r:id="rId12128">
        <w:r>
          <w:rPr>
            <w:color w:val="0000EE"/>
            <w:u w:val="single"/>
          </w:rPr>
          <w:t>13.1–7</w:t>
        </w:r>
      </w:hyperlink>
      <w:r>
        <w:t xml:space="preserve">) e da força militar da população indígena (cf. </w:t>
      </w:r>
      <w:hyperlink r:id="rId9932">
        <w:r>
          <w:rPr>
            <w:color w:val="0000EE"/>
            <w:u w:val="single"/>
          </w:rPr>
          <w:t>13.13</w:t>
        </w:r>
      </w:hyperlink>
      <w:r>
        <w:t xml:space="preserve">; </w:t>
      </w:r>
      <w:hyperlink r:id="rId11643">
        <w:r>
          <w:rPr>
            <w:color w:val="0000EE"/>
            <w:u w:val="single"/>
          </w:rPr>
          <w:t>15.63</w:t>
        </w:r>
      </w:hyperlink>
      <w:r>
        <w:t xml:space="preserve">; </w:t>
      </w:r>
      <w:hyperlink r:id="rId12129">
        <w:r>
          <w:rPr>
            <w:color w:val="0000EE"/>
            <w:u w:val="single"/>
          </w:rPr>
          <w:t>16.10</w:t>
        </w:r>
      </w:hyperlink>
      <w:r>
        <w:t xml:space="preserve">; </w:t>
      </w:r>
      <w:hyperlink r:id="rId12130">
        <w:r>
          <w:rPr>
            <w:color w:val="0000EE"/>
            <w:u w:val="single"/>
          </w:rPr>
          <w:t>17.12–18</w:t>
        </w:r>
      </w:hyperlink>
      <w:r>
        <w:t xml:space="preserve">; </w:t>
      </w:r>
      <w:hyperlink r:id="rId6447">
        <w:r>
          <w:rPr>
            <w:color w:val="0000EE"/>
            <w:u w:val="single"/>
          </w:rPr>
          <w:t>19.47</w:t>
        </w:r>
      </w:hyperlink>
      <w:r>
        <w:t>). Além disso, Josué prometeu que o Senhor continuaria a ajudar Israel a ocupar a terra, à medida que sua população e necessidades se desenvolvessem (</w:t>
      </w:r>
      <w:hyperlink r:id="rId12131">
        <w:r>
          <w:rPr>
            <w:color w:val="0000EE"/>
            <w:u w:val="single"/>
          </w:rPr>
          <w:t>23.5</w:t>
        </w:r>
      </w:hyperlink>
      <w:r>
        <w:t xml:space="preserve">). A ocupação de Canaã ocorreu em duas etapas: conquista e ocupação gradual (cf. </w:t>
      </w:r>
      <w:hyperlink r:id="rId12132">
        <w:r>
          <w:rPr>
            <w:color w:val="0000EE"/>
            <w:u w:val="single"/>
          </w:rPr>
          <w:t>Ex 23.29–30</w:t>
        </w:r>
      </w:hyperlink>
      <w:r>
        <w:t xml:space="preserve">; </w:t>
      </w:r>
      <w:hyperlink r:id="rId12133">
        <w:r>
          <w:rPr>
            <w:color w:val="0000EE"/>
            <w:u w:val="single"/>
          </w:rPr>
          <w:t>Dt 7.22</w:t>
        </w:r>
      </w:hyperlink>
      <w:r>
        <w:t>).</w:t>
      </w:r>
    </w:p>
    <w:p>
      <w:pPr>
        <w:pStyle w:val="Heading3"/>
      </w:pPr>
      <w:r>
        <w:t>Propósito</w:t>
      </w:r>
    </w:p>
    <w:p>
      <w:r/>
      <w:r>
        <w:t>O objetivo da forma final (canônica) do livro é mostrar a obediência de Josué à lei de Moisés. Vitória e derrota são exemplos de obediência e desobediência. Claro, há uma tensão nisso porque as descrições da Conquista são completas e, ao mesmo tempo, incompletas. A tensão é um recurso dinâmico para demonstrar que a Conquista e o usufruto da terra dependem totalmente da obediência. O período de Josué é visto como um paradigma de Israel obediente. Assim, uma leitura holística do livro apresenta um apelo à lealdade à aliança direcionado às gerações futuras.</w:t>
      </w:r>
    </w:p>
    <w:p>
      <w:pPr>
        <w:pStyle w:val="Heading3"/>
      </w:pPr>
      <w:r>
        <w:t>Conteúdo</w:t>
      </w:r>
    </w:p>
    <w:p>
      <w:pPr>
        <w:pStyle w:val="Heading4"/>
      </w:pPr>
      <w:r>
        <w:t xml:space="preserve">Conquista da terra, </w:t>
      </w:r>
      <w:hyperlink r:id="rId5417">
        <w:r>
          <w:rPr>
            <w:color w:val="0000EE"/>
            <w:u w:val="single"/>
          </w:rPr>
          <w:t>1.1–12.24</w:t>
        </w:r>
      </w:hyperlink>
    </w:p>
    <w:p>
      <w:r/>
      <w:r>
        <w:t xml:space="preserve">A comissão do Senhor a Josué, </w:t>
      </w:r>
      <w:hyperlink r:id="rId10529">
        <w:r>
          <w:rPr>
            <w:color w:val="0000EE"/>
            <w:u w:val="single"/>
          </w:rPr>
          <w:t>1.1–9</w:t>
        </w:r>
      </w:hyperlink>
    </w:p>
    <w:p>
      <w:r/>
      <w:r>
        <w:t>Com a morte de Moisés (</w:t>
      </w:r>
      <w:hyperlink r:id="rId12134">
        <w:r>
          <w:rPr>
            <w:color w:val="0000EE"/>
            <w:u w:val="single"/>
          </w:rPr>
          <w:t>Js 1.1</w:t>
        </w:r>
      </w:hyperlink>
      <w:r>
        <w:t>), o Senhor confirma a ordenação de Josué por Moisés (</w:t>
      </w:r>
      <w:hyperlink r:id="rId12135">
        <w:r>
          <w:rPr>
            <w:color w:val="0000EE"/>
            <w:u w:val="single"/>
          </w:rPr>
          <w:t>Dt 34.9</w:t>
        </w:r>
      </w:hyperlink>
      <w:r>
        <w:t>). Ele encarrega Josué da liderança na conquista de Canaã (</w:t>
      </w:r>
      <w:hyperlink r:id="rId12136">
        <w:r>
          <w:rPr>
            <w:color w:val="0000EE"/>
            <w:u w:val="single"/>
          </w:rPr>
          <w:t>Js 1.2–3</w:t>
        </w:r>
      </w:hyperlink>
      <w:r>
        <w:t xml:space="preserve">), define os limites geográficos da terra (v. </w:t>
      </w:r>
      <w:hyperlink r:id="rId12137">
        <w:r>
          <w:rPr>
            <w:color w:val="0000EE"/>
            <w:u w:val="single"/>
          </w:rPr>
          <w:t>4</w:t>
        </w:r>
      </w:hyperlink>
      <w:r>
        <w:t xml:space="preserve">), encoraja-o com sua presença contínua (vv. </w:t>
      </w:r>
      <w:hyperlink r:id="rId12138">
        <w:r>
          <w:rPr>
            <w:color w:val="0000EE"/>
            <w:u w:val="single"/>
          </w:rPr>
          <w:t>5,9</w:t>
        </w:r>
      </w:hyperlink>
      <w:r>
        <w:t xml:space="preserve">) e espera que ele siga devotamente "a lei de Moisés" (ou seja, a lei dada em Dt; cf. </w:t>
      </w:r>
      <w:hyperlink r:id="rId12139">
        <w:r>
          <w:rPr>
            <w:color w:val="0000EE"/>
            <w:u w:val="single"/>
          </w:rPr>
          <w:t>Dt 31.9,24–26</w:t>
        </w:r>
      </w:hyperlink>
      <w:r>
        <w:t xml:space="preserve">; </w:t>
      </w:r>
      <w:hyperlink r:id="rId12140">
        <w:r>
          <w:rPr>
            <w:color w:val="0000EE"/>
            <w:u w:val="single"/>
          </w:rPr>
          <w:t>Js 23.6</w:t>
        </w:r>
      </w:hyperlink>
      <w:r>
        <w:t>), para que possa ter sucesso em sua missão (</w:t>
      </w:r>
      <w:hyperlink r:id="rId12141">
        <w:r>
          <w:rPr>
            <w:color w:val="0000EE"/>
            <w:u w:val="single"/>
          </w:rPr>
          <w:t>1.7–8</w:t>
        </w:r>
      </w:hyperlink>
      <w:r>
        <w:t>). A missão original, assim como o ministério de Moisés, encontra sua continuidade em Josué.</w:t>
      </w:r>
    </w:p>
    <w:p>
      <w:r/>
      <w:r>
        <w:t xml:space="preserve">Cruzando o Jordão, </w:t>
      </w:r>
      <w:hyperlink r:id="rId12142">
        <w:r>
          <w:rPr>
            <w:color w:val="0000EE"/>
            <w:u w:val="single"/>
          </w:rPr>
          <w:t>1.10–5.12</w:t>
        </w:r>
      </w:hyperlink>
    </w:p>
    <w:p>
      <w:r/>
      <w:r>
        <w:t>A primeira etapa exige a preparação de Israel. Como líder, Josué deve mostrar ao povo que ele segue os passos de Moisés. Ele faz isso lembrando as tribos da Transjordânia de demonstrar lealdade ao comando de Moisés, unindo-se às outras tribos na conquista de Canaã (</w:t>
      </w:r>
      <w:hyperlink r:id="rId12143">
        <w:r>
          <w:rPr>
            <w:color w:val="0000EE"/>
            <w:u w:val="single"/>
          </w:rPr>
          <w:t>1.13–15</w:t>
        </w:r>
      </w:hyperlink>
      <w:r>
        <w:t xml:space="preserve">; cf. </w:t>
      </w:r>
      <w:hyperlink r:id="rId12144">
        <w:r>
          <w:rPr>
            <w:color w:val="0000EE"/>
            <w:u w:val="single"/>
          </w:rPr>
          <w:t>Nm 32.20–27</w:t>
        </w:r>
      </w:hyperlink>
      <w:r>
        <w:t>). Elas se submeteram à autoridade de Josué como a de Moisés (</w:t>
      </w:r>
      <w:hyperlink r:id="rId12145">
        <w:r>
          <w:rPr>
            <w:color w:val="0000EE"/>
            <w:u w:val="single"/>
          </w:rPr>
          <w:t>Js 1.16–18</w:t>
        </w:r>
      </w:hyperlink>
      <w:r>
        <w:t xml:space="preserve">). Ele demonstra sua liderança militar ao enviar os dois espiões a Jericó (cap. </w:t>
      </w:r>
      <w:hyperlink r:id="rId11585">
        <w:r>
          <w:rPr>
            <w:color w:val="0000EE"/>
            <w:u w:val="single"/>
          </w:rPr>
          <w:t>2</w:t>
        </w:r>
      </w:hyperlink>
      <w:r>
        <w:t>). Sua autoridade é aceita por sacerdotes (</w:t>
      </w:r>
      <w:hyperlink r:id="rId12146">
        <w:r>
          <w:rPr>
            <w:color w:val="0000EE"/>
            <w:u w:val="single"/>
          </w:rPr>
          <w:t>3.6</w:t>
        </w:r>
      </w:hyperlink>
      <w:r>
        <w:t xml:space="preserve">; </w:t>
      </w:r>
      <w:hyperlink r:id="rId12147">
        <w:r>
          <w:rPr>
            <w:color w:val="0000EE"/>
            <w:u w:val="single"/>
          </w:rPr>
          <w:t>4.10</w:t>
        </w:r>
      </w:hyperlink>
      <w:r>
        <w:t>) e pelo povo (</w:t>
      </w:r>
      <w:hyperlink r:id="rId12148">
        <w:r>
          <w:rPr>
            <w:color w:val="0000EE"/>
            <w:u w:val="single"/>
          </w:rPr>
          <w:t>3.5–9</w:t>
        </w:r>
      </w:hyperlink>
      <w:r>
        <w:t>) enquanto atravessam o Jordão. A travessia do Jordão marca o reconhecimento público de Josué como um líder semelhante a Moisés (</w:t>
      </w:r>
      <w:hyperlink r:id="rId12149">
        <w:r>
          <w:rPr>
            <w:color w:val="0000EE"/>
            <w:u w:val="single"/>
          </w:rPr>
          <w:t>4.14</w:t>
        </w:r>
      </w:hyperlink>
      <w:r>
        <w:t>).</w:t>
      </w:r>
    </w:p>
    <w:p>
      <w:r/>
      <w:r>
        <w:t>O relato da travessia marca uma importante transição da era do êxodo/deserto para a era da Conquista. Por um lado, a história de Raabe ilustra como os cananeus tinham ouvido falar dos atos poderosos do Senhor (</w:t>
      </w:r>
      <w:hyperlink r:id="rId12150">
        <w:r>
          <w:rPr>
            <w:color w:val="0000EE"/>
            <w:u w:val="single"/>
          </w:rPr>
          <w:t>2.10–11</w:t>
        </w:r>
      </w:hyperlink>
      <w:r>
        <w:t xml:space="preserve">) e reagiram com grande medo (cf. </w:t>
      </w:r>
      <w:hyperlink r:id="rId12151">
        <w:r>
          <w:rPr>
            <w:color w:val="0000EE"/>
            <w:u w:val="single"/>
          </w:rPr>
          <w:t>Êx 15.15</w:t>
        </w:r>
      </w:hyperlink>
      <w:r>
        <w:t xml:space="preserve">; </w:t>
      </w:r>
      <w:hyperlink r:id="rId12152">
        <w:r>
          <w:rPr>
            <w:color w:val="0000EE"/>
            <w:u w:val="single"/>
          </w:rPr>
          <w:t>23.27–28</w:t>
        </w:r>
      </w:hyperlink>
      <w:r>
        <w:t xml:space="preserve">; </w:t>
      </w:r>
      <w:hyperlink r:id="rId12153">
        <w:r>
          <w:rPr>
            <w:color w:val="0000EE"/>
            <w:u w:val="single"/>
          </w:rPr>
          <w:t>Dt 2.25</w:t>
        </w:r>
      </w:hyperlink>
      <w:r>
        <w:t xml:space="preserve">; </w:t>
      </w:r>
      <w:hyperlink r:id="rId12154">
        <w:r>
          <w:rPr>
            <w:color w:val="0000EE"/>
            <w:u w:val="single"/>
          </w:rPr>
          <w:t>7.23</w:t>
        </w:r>
      </w:hyperlink>
      <w:r>
        <w:t xml:space="preserve">; </w:t>
      </w:r>
      <w:hyperlink r:id="rId12155">
        <w:r>
          <w:rPr>
            <w:color w:val="0000EE"/>
            <w:u w:val="single"/>
          </w:rPr>
          <w:t>11.25</w:t>
        </w:r>
      </w:hyperlink>
      <w:r>
        <w:t xml:space="preserve">; </w:t>
      </w:r>
      <w:hyperlink r:id="rId12156">
        <w:r>
          <w:rPr>
            <w:color w:val="0000EE"/>
            <w:u w:val="single"/>
          </w:rPr>
          <w:t>32.30</w:t>
        </w:r>
      </w:hyperlink>
      <w:r>
        <w:t>). A expressão de fé de Raabe no Deus de Israel (</w:t>
      </w:r>
      <w:hyperlink r:id="rId12157">
        <w:r>
          <w:rPr>
            <w:color w:val="0000EE"/>
            <w:u w:val="single"/>
          </w:rPr>
          <w:t>2.11</w:t>
        </w:r>
      </w:hyperlink>
      <w:r>
        <w:t>) antecipa a inclusão dos gentios na comunidade da aliança, conforme prometido aos patriarcas (</w:t>
      </w:r>
      <w:hyperlink r:id="rId799">
        <w:r>
          <w:rPr>
            <w:color w:val="0000EE"/>
            <w:u w:val="single"/>
          </w:rPr>
          <w:t>Gn 12.3</w:t>
        </w:r>
      </w:hyperlink>
      <w:r>
        <w:t>). Pela fé, Raabe foi incluída na aliança e foi ricamente recompensada com a inclusão de seu nome na linhagem de Jesus (</w:t>
      </w:r>
      <w:hyperlink r:id="rId12158">
        <w:r>
          <w:rPr>
            <w:color w:val="0000EE"/>
            <w:u w:val="single"/>
          </w:rPr>
          <w:t>Mt 1.5</w:t>
        </w:r>
      </w:hyperlink>
      <w:r>
        <w:t>).</w:t>
      </w:r>
    </w:p>
    <w:p>
      <w:r/>
      <w:r>
        <w:t>Os israelitas cruzaram o Jordão sabendo que o temor de Deus havia caído sobre os cananeus (</w:t>
      </w:r>
      <w:hyperlink r:id="rId12159">
        <w:r>
          <w:rPr>
            <w:color w:val="0000EE"/>
            <w:u w:val="single"/>
          </w:rPr>
          <w:t>Js 2.24</w:t>
        </w:r>
      </w:hyperlink>
      <w:r>
        <w:t>). No entanto, eles também foram instruídos a mostrar reverência ao Senhor mantendo uma distância segura entre eles e a Arca da Aliança (</w:t>
      </w:r>
      <w:hyperlink r:id="rId12023">
        <w:r>
          <w:rPr>
            <w:color w:val="0000EE"/>
            <w:u w:val="single"/>
          </w:rPr>
          <w:t>3.4</w:t>
        </w:r>
      </w:hyperlink>
      <w:r>
        <w:t xml:space="preserve">) e consagrando-se (v. </w:t>
      </w:r>
      <w:hyperlink r:id="rId12160">
        <w:r>
          <w:rPr>
            <w:color w:val="0000EE"/>
            <w:u w:val="single"/>
          </w:rPr>
          <w:t>5</w:t>
        </w:r>
      </w:hyperlink>
      <w:r>
        <w:t xml:space="preserve">). O “Deus vivo” estava entre eles e exigia santidade e reverência de seu povo (v. </w:t>
      </w:r>
      <w:hyperlink r:id="rId9180">
        <w:r>
          <w:rPr>
            <w:color w:val="0000EE"/>
            <w:u w:val="single"/>
          </w:rPr>
          <w:t>10</w:t>
        </w:r>
      </w:hyperlink>
      <w:r>
        <w:t xml:space="preserve">). Ele, por sua vez, demonstraria sua lealdade na passagem maravilhosa pelo Rio Jordão (v. </w:t>
      </w:r>
      <w:hyperlink r:id="rId12161">
        <w:r>
          <w:rPr>
            <w:color w:val="0000EE"/>
            <w:u w:val="single"/>
          </w:rPr>
          <w:t>13</w:t>
        </w:r>
      </w:hyperlink>
      <w:r>
        <w:t>) e na conquista da terra (</w:t>
      </w:r>
      <w:hyperlink r:id="rId9180">
        <w:r>
          <w:rPr>
            <w:color w:val="0000EE"/>
            <w:u w:val="single"/>
          </w:rPr>
          <w:t>3.10</w:t>
        </w:r>
      </w:hyperlink>
      <w:r>
        <w:t>). Depois que as tribos cruzaram o rio (</w:t>
      </w:r>
      <w:hyperlink r:id="rId12162">
        <w:r>
          <w:rPr>
            <w:color w:val="0000EE"/>
            <w:u w:val="single"/>
          </w:rPr>
          <w:t>4.1</w:t>
        </w:r>
      </w:hyperlink>
      <w:r>
        <w:t xml:space="preserve">), cada líder das 12 tribos pegou uma pedra do leito seco do rio e ergueu um memorial em Gilgal (vv. </w:t>
      </w:r>
      <w:hyperlink r:id="rId12163">
        <w:r>
          <w:rPr>
            <w:color w:val="0000EE"/>
            <w:u w:val="single"/>
          </w:rPr>
          <w:t>1–9,20</w:t>
        </w:r>
      </w:hyperlink>
      <w:r>
        <w:t xml:space="preserve">). Assim, Israel deveria lembrar que as pedras, retiradas do lugar onde os sacerdotes que carregavam a arca haviam estado, eram lembretes da majestosa presença de Deus. As gerações futuras que ouviriam este relato (vv. </w:t>
      </w:r>
      <w:hyperlink r:id="rId12164">
        <w:r>
          <w:rPr>
            <w:color w:val="0000EE"/>
            <w:u w:val="single"/>
          </w:rPr>
          <w:t>21–24</w:t>
        </w:r>
      </w:hyperlink>
      <w:r>
        <w:t xml:space="preserve">) seriam encorajadas porque o temor de Deus cairia sobre todos os povos da terra (v. </w:t>
      </w:r>
      <w:hyperlink r:id="rId12165">
        <w:r>
          <w:rPr>
            <w:color w:val="0000EE"/>
            <w:u w:val="single"/>
          </w:rPr>
          <w:t>24</w:t>
        </w:r>
      </w:hyperlink>
      <w:r>
        <w:t>).</w:t>
      </w:r>
    </w:p>
    <w:p>
      <w:r/>
      <w:r>
        <w:t>A consagração antes da conquista de Jericó é simbolizada pelo ato da circuncisão (</w:t>
      </w:r>
      <w:hyperlink r:id="rId12166">
        <w:r>
          <w:rPr>
            <w:color w:val="0000EE"/>
            <w:u w:val="single"/>
          </w:rPr>
          <w:t>5.1–9</w:t>
        </w:r>
      </w:hyperlink>
      <w:r>
        <w:t xml:space="preserve">) e pela celebração da Páscoa (vv. </w:t>
      </w:r>
      <w:hyperlink r:id="rId12167">
        <w:r>
          <w:rPr>
            <w:color w:val="0000EE"/>
            <w:u w:val="single"/>
          </w:rPr>
          <w:t>10–12</w:t>
        </w:r>
      </w:hyperlink>
      <w:r>
        <w:t xml:space="preserve">). Os eventos não estão necessariamente relacionados cronologicamente, mas foram escolhidos como exemplos da receptividade de Israel ao ministério de Josué. O apelo de Moisés à nova geração teve seu efeito (cf. </w:t>
      </w:r>
      <w:hyperlink r:id="rId12168">
        <w:r>
          <w:rPr>
            <w:color w:val="0000EE"/>
            <w:u w:val="single"/>
          </w:rPr>
          <w:t>Dt 4.4–14</w:t>
        </w:r>
      </w:hyperlink>
      <w:r>
        <w:t xml:space="preserve">; </w:t>
      </w:r>
      <w:hyperlink r:id="rId12169">
        <w:r>
          <w:rPr>
            <w:color w:val="0000EE"/>
            <w:u w:val="single"/>
          </w:rPr>
          <w:t>6.1–5</w:t>
        </w:r>
      </w:hyperlink>
      <w:r>
        <w:t>). A nova geração serviu ao Senhor enquanto Josué e os anciãos estavam vivos (</w:t>
      </w:r>
      <w:hyperlink r:id="rId12093">
        <w:r>
          <w:rPr>
            <w:color w:val="0000EE"/>
            <w:u w:val="single"/>
          </w:rPr>
          <w:t>Js 24.31</w:t>
        </w:r>
      </w:hyperlink>
      <w:r>
        <w:t>). A circuncisão física, negligenciada durante a jornada no deserto (</w:t>
      </w:r>
      <w:hyperlink r:id="rId12170">
        <w:r>
          <w:rPr>
            <w:color w:val="0000EE"/>
            <w:u w:val="single"/>
          </w:rPr>
          <w:t>5.5</w:t>
        </w:r>
      </w:hyperlink>
      <w:r>
        <w:t xml:space="preserve">) devido à incredulidade, era um sinal de receptividade espiritual. A nação receptiva recebeu o sinal externo da aliança com a expectativa de que o Senhor da aliança abençoaria seu povo, dando-lhes vitória e o fruto da terra. Seu opróbrio foi removido (v. </w:t>
      </w:r>
      <w:hyperlink r:id="rId12171">
        <w:r>
          <w:rPr>
            <w:color w:val="0000EE"/>
            <w:u w:val="single"/>
          </w:rPr>
          <w:t>9</w:t>
        </w:r>
      </w:hyperlink>
      <w:r>
        <w:t xml:space="preserve">). A continuidade da aliança também é destacada na breve menção da celebração da Páscoa. A novidade é que eles comeram o fruto da terra. Com o sabor da comida de Canaã, o maná cessou. A experiência do deserto havia terminado. Uma nova era foi inaugurada com sua presença na Terra Prometida (vv. </w:t>
      </w:r>
      <w:hyperlink r:id="rId12172">
        <w:r>
          <w:rPr>
            <w:color w:val="0000EE"/>
            <w:u w:val="single"/>
          </w:rPr>
          <w:t>11–12</w:t>
        </w:r>
      </w:hyperlink>
      <w:r>
        <w:t>).</w:t>
      </w:r>
    </w:p>
    <w:p>
      <w:r/>
      <w:r>
        <w:t xml:space="preserve">Conquista de Jericó, </w:t>
      </w:r>
      <w:hyperlink r:id="rId12173">
        <w:r>
          <w:rPr>
            <w:color w:val="0000EE"/>
            <w:u w:val="single"/>
          </w:rPr>
          <w:t>5.13–6.27</w:t>
        </w:r>
      </w:hyperlink>
    </w:p>
    <w:p>
      <w:r/>
      <w:r>
        <w:t>A vitória pertence ao Senhor. Esta é a mensagem que inicia a batalha de Jericó. O Deus santo que apareceu a Moisés na sarça ardente (</w:t>
      </w:r>
      <w:hyperlink r:id="rId12174">
        <w:r>
          <w:rPr>
            <w:color w:val="0000EE"/>
            <w:u w:val="single"/>
          </w:rPr>
          <w:t>Êx 3.2–4.17</w:t>
        </w:r>
      </w:hyperlink>
      <w:r>
        <w:t>) apareceu a Josué como o comandante do exército do Senhor (</w:t>
      </w:r>
      <w:hyperlink r:id="rId12175">
        <w:r>
          <w:rPr>
            <w:color w:val="0000EE"/>
            <w:u w:val="single"/>
          </w:rPr>
          <w:t>Js 5.14–15</w:t>
        </w:r>
      </w:hyperlink>
      <w:r>
        <w:t>) com uma mensagem do Senhor (</w:t>
      </w:r>
      <w:hyperlink r:id="rId12176">
        <w:r>
          <w:rPr>
            <w:color w:val="0000EE"/>
            <w:u w:val="single"/>
          </w:rPr>
          <w:t>6.2</w:t>
        </w:r>
      </w:hyperlink>
      <w:r>
        <w:t xml:space="preserve">). A cidade de Jericó cairia sem um cerco e batalha subsequente. A resposta de Israel à preparação de Jericó para a guerra (cf. </w:t>
      </w:r>
      <w:hyperlink r:id="rId9184">
        <w:r>
          <w:rPr>
            <w:color w:val="0000EE"/>
            <w:u w:val="single"/>
          </w:rPr>
          <w:t>24.11</w:t>
        </w:r>
      </w:hyperlink>
      <w:r>
        <w:t>) foi incomum, mas a presença da arca e o toque das trombetas simbolizavam que o Senhor lutaria por Israel, assim como havia prometido. No entanto, Israel não poderia tomar nenhum dos despojos. Porque Yahweh lutou por Israel, tudo deveria ser dedicado a ele (</w:t>
      </w:r>
      <w:hyperlink r:id="rId2564">
        <w:r>
          <w:rPr>
            <w:color w:val="0000EE"/>
            <w:u w:val="single"/>
          </w:rPr>
          <w:t>6.17</w:t>
        </w:r>
      </w:hyperlink>
      <w:r>
        <w:t xml:space="preserve">). O Senhor honrou o voto a Raabe, feito pelos espiões, para que ela e sua família fossem mantidas vivas (vv. </w:t>
      </w:r>
      <w:hyperlink r:id="rId12177">
        <w:r>
          <w:rPr>
            <w:color w:val="0000EE"/>
            <w:u w:val="single"/>
          </w:rPr>
          <w:t>17,25</w:t>
        </w:r>
      </w:hyperlink>
      <w:r>
        <w:t xml:space="preserve">), mas foram temporariamente colocadas fora do acampamento (v. </w:t>
      </w:r>
      <w:hyperlink r:id="rId12178">
        <w:r>
          <w:rPr>
            <w:color w:val="0000EE"/>
            <w:u w:val="single"/>
          </w:rPr>
          <w:t>23</w:t>
        </w:r>
      </w:hyperlink>
      <w:r>
        <w:t xml:space="preserve">). Os metais valiosos foram colocados na Tesouraria (vv. </w:t>
      </w:r>
      <w:hyperlink r:id="rId9216">
        <w:r>
          <w:rPr>
            <w:color w:val="0000EE"/>
            <w:u w:val="single"/>
          </w:rPr>
          <w:t>19,24</w:t>
        </w:r>
      </w:hyperlink>
      <w:r>
        <w:t xml:space="preserve">), enquanto todo o resto foi queimado pelo fogo (v. </w:t>
      </w:r>
      <w:hyperlink r:id="rId12179">
        <w:r>
          <w:rPr>
            <w:color w:val="0000EE"/>
            <w:u w:val="single"/>
          </w:rPr>
          <w:t>24</w:t>
        </w:r>
      </w:hyperlink>
      <w:r>
        <w:t xml:space="preserve">). Nada deveria ser tomado para ganho pessoal; caso contrário, o julgamento de Deus recairia sobre Israel (v. </w:t>
      </w:r>
      <w:hyperlink r:id="rId12180">
        <w:r>
          <w:rPr>
            <w:color w:val="0000EE"/>
            <w:u w:val="single"/>
          </w:rPr>
          <w:t>18</w:t>
        </w:r>
      </w:hyperlink>
      <w:r>
        <w:t>). Para enfatizar a posse absoluta de Deus sobre Jericó, Josué colocou uma maldição sobre qualquer um que tentasse reconstruir a cidade (</w:t>
      </w:r>
      <w:hyperlink r:id="rId104">
        <w:r>
          <w:rPr>
            <w:color w:val="0000EE"/>
            <w:u w:val="single"/>
          </w:rPr>
          <w:t>6.26</w:t>
        </w:r>
      </w:hyperlink>
      <w:r>
        <w:t xml:space="preserve">; cf. </w:t>
      </w:r>
      <w:hyperlink r:id="rId103">
        <w:r>
          <w:rPr>
            <w:color w:val="0000EE"/>
            <w:u w:val="single"/>
          </w:rPr>
          <w:t>1Rs 16.34</w:t>
        </w:r>
      </w:hyperlink>
      <w:r>
        <w:t>). Os rumores da destruição de Jericó se espalharam, e os povos de Canaã souberam que o Senhor estava com Josué (</w:t>
      </w:r>
      <w:hyperlink r:id="rId12181">
        <w:r>
          <w:rPr>
            <w:color w:val="0000EE"/>
            <w:u w:val="single"/>
          </w:rPr>
          <w:t>Js 6.27</w:t>
        </w:r>
      </w:hyperlink>
      <w:r>
        <w:t xml:space="preserve">; cf. </w:t>
      </w:r>
      <w:hyperlink r:id="rId12138">
        <w:r>
          <w:rPr>
            <w:color w:val="0000EE"/>
            <w:u w:val="single"/>
          </w:rPr>
          <w:t>1.5,9</w:t>
        </w:r>
      </w:hyperlink>
      <w:r>
        <w:t>).</w:t>
      </w:r>
    </w:p>
    <w:p>
      <w:r/>
      <w:r>
        <w:t xml:space="preserve">Tragédia e triunfo em Ai, </w:t>
      </w:r>
      <w:hyperlink r:id="rId624">
        <w:r>
          <w:rPr>
            <w:color w:val="0000EE"/>
            <w:u w:val="single"/>
          </w:rPr>
          <w:t>7.1–8.29</w:t>
        </w:r>
      </w:hyperlink>
    </w:p>
    <w:p>
      <w:r/>
      <w:r>
        <w:t>A vitória foi breve porque Acã desafiou a "proibição" de Deus, pegou alguns dos objetos, escondeu-os no chão sob sua tenda (</w:t>
      </w:r>
      <w:hyperlink r:id="rId3859">
        <w:r>
          <w:rPr>
            <w:color w:val="0000EE"/>
            <w:u w:val="single"/>
          </w:rPr>
          <w:t>7.21</w:t>
        </w:r>
      </w:hyperlink>
      <w:r>
        <w:t xml:space="preserve">) e trouxe a ira de Deus sobre todo o Israel (v. </w:t>
      </w:r>
      <w:hyperlink r:id="rId12182">
        <w:r>
          <w:rPr>
            <w:color w:val="0000EE"/>
            <w:u w:val="single"/>
          </w:rPr>
          <w:t>1</w:t>
        </w:r>
      </w:hyperlink>
      <w:r>
        <w:t xml:space="preserve">). Israel ficou atônito com sua derrota em Ai (vv. </w:t>
      </w:r>
      <w:hyperlink r:id="rId12183">
        <w:r>
          <w:rPr>
            <w:color w:val="0000EE"/>
            <w:u w:val="single"/>
          </w:rPr>
          <w:t>2–5</w:t>
        </w:r>
      </w:hyperlink>
      <w:r>
        <w:t xml:space="preserve">). Josué e os anciãos responderam ao desastre jejuando e lamentando (vv. </w:t>
      </w:r>
      <w:hyperlink r:id="rId12184">
        <w:r>
          <w:rPr>
            <w:color w:val="0000EE"/>
            <w:u w:val="single"/>
          </w:rPr>
          <w:t>6–9</w:t>
        </w:r>
      </w:hyperlink>
      <w:r>
        <w:t xml:space="preserve">). Que contraste entre os relatos de vitória espalhados pela terra e o grito angustiado do servo de Deus, temeroso de que os cananeus reunissem forças e exterminassem Israel (v. </w:t>
      </w:r>
      <w:hyperlink r:id="rId4172">
        <w:r>
          <w:rPr>
            <w:color w:val="0000EE"/>
            <w:u w:val="single"/>
          </w:rPr>
          <w:t>9</w:t>
        </w:r>
      </w:hyperlink>
      <w:r>
        <w:t xml:space="preserve">). Somente depois que o povo se consagrou (v. </w:t>
      </w:r>
      <w:hyperlink r:id="rId12185">
        <w:r>
          <w:rPr>
            <w:color w:val="0000EE"/>
            <w:u w:val="single"/>
          </w:rPr>
          <w:t>13</w:t>
        </w:r>
      </w:hyperlink>
      <w:r>
        <w:t xml:space="preserve">) e Acã foi exposto e sua memória removida (vv. </w:t>
      </w:r>
      <w:hyperlink r:id="rId12186">
        <w:r>
          <w:rPr>
            <w:color w:val="0000EE"/>
            <w:u w:val="single"/>
          </w:rPr>
          <w:t>25b-26</w:t>
        </w:r>
      </w:hyperlink>
      <w:r>
        <w:t>) eles puderam renovar o ataque a Ai com a promissora presença e vitória de Deus (</w:t>
      </w:r>
      <w:hyperlink r:id="rId12187">
        <w:r>
          <w:rPr>
            <w:color w:val="0000EE"/>
            <w:u w:val="single"/>
          </w:rPr>
          <w:t>8.1–2</w:t>
        </w:r>
      </w:hyperlink>
      <w:r>
        <w:t xml:space="preserve">). Ai também foi tomada (vv. </w:t>
      </w:r>
      <w:hyperlink r:id="rId12188">
        <w:r>
          <w:rPr>
            <w:color w:val="0000EE"/>
            <w:u w:val="single"/>
          </w:rPr>
          <w:t>3–19</w:t>
        </w:r>
      </w:hyperlink>
      <w:r>
        <w:t xml:space="preserve">) e a população exterminada (vv. </w:t>
      </w:r>
      <w:hyperlink r:id="rId12189">
        <w:r>
          <w:rPr>
            <w:color w:val="0000EE"/>
            <w:u w:val="single"/>
          </w:rPr>
          <w:t>20–26</w:t>
        </w:r>
      </w:hyperlink>
      <w:r>
        <w:t xml:space="preserve">), mas Israel desfrutou dos despojos por permissão direta do Senhor (v. </w:t>
      </w:r>
      <w:hyperlink r:id="rId12190">
        <w:r>
          <w:rPr>
            <w:color w:val="0000EE"/>
            <w:u w:val="single"/>
          </w:rPr>
          <w:t>27</w:t>
        </w:r>
      </w:hyperlink>
      <w:r>
        <w:t xml:space="preserve">). As ruínas de Ai, o monte de pedras cobrindo o corpo do rei de Ai (vv. </w:t>
      </w:r>
      <w:hyperlink r:id="rId12191">
        <w:r>
          <w:rPr>
            <w:color w:val="0000EE"/>
            <w:u w:val="single"/>
          </w:rPr>
          <w:t>28–29</w:t>
        </w:r>
      </w:hyperlink>
      <w:r>
        <w:t>) e o monte de pedras sobre o corpo de Acã eram lembretes sóbrios para Israel de que a fidelidade de Deus exige lealdade absoluta de seu povo.</w:t>
      </w:r>
    </w:p>
    <w:p>
      <w:r/>
      <w:r>
        <w:t xml:space="preserve">Renovação da aliança, </w:t>
      </w:r>
      <w:hyperlink r:id="rId810">
        <w:r>
          <w:rPr>
            <w:color w:val="0000EE"/>
            <w:u w:val="single"/>
          </w:rPr>
          <w:t>8.30–35</w:t>
        </w:r>
      </w:hyperlink>
    </w:p>
    <w:p>
      <w:r/>
      <w:r>
        <w:t>Josué liderou Israel em uma renovação cerimonial da aliança em Siquém, conforme Moisés havia instruído (</w:t>
      </w:r>
      <w:hyperlink r:id="rId12192">
        <w:r>
          <w:rPr>
            <w:color w:val="0000EE"/>
            <w:u w:val="single"/>
          </w:rPr>
          <w:t>Js 8.31</w:t>
        </w:r>
      </w:hyperlink>
      <w:r>
        <w:t xml:space="preserve">; cf. </w:t>
      </w:r>
      <w:hyperlink r:id="rId9904">
        <w:r>
          <w:rPr>
            <w:color w:val="0000EE"/>
            <w:u w:val="single"/>
          </w:rPr>
          <w:t>Dt 11.29</w:t>
        </w:r>
      </w:hyperlink>
      <w:r>
        <w:t xml:space="preserve">; </w:t>
      </w:r>
      <w:hyperlink r:id="rId6959">
        <w:r>
          <w:rPr>
            <w:color w:val="0000EE"/>
            <w:u w:val="single"/>
          </w:rPr>
          <w:t>27</w:t>
        </w:r>
      </w:hyperlink>
      <w:r>
        <w:t xml:space="preserve">). Josué cuidou da preparação adequada do altar (cf. </w:t>
      </w:r>
      <w:hyperlink r:id="rId12193">
        <w:r>
          <w:rPr>
            <w:color w:val="0000EE"/>
            <w:u w:val="single"/>
          </w:rPr>
          <w:t>Ex 20.25</w:t>
        </w:r>
      </w:hyperlink>
      <w:r>
        <w:t>) sobre o qual foram apresentadas ofertas dedicatórias e comunitárias. Ele copiou a lei como símbolo de sua liderança real e sua devoção ao Senhor (</w:t>
      </w:r>
      <w:hyperlink r:id="rId11046">
        <w:r>
          <w:rPr>
            <w:color w:val="0000EE"/>
            <w:u w:val="single"/>
          </w:rPr>
          <w:t>Js 8.32</w:t>
        </w:r>
      </w:hyperlink>
      <w:r>
        <w:t xml:space="preserve">; cf. </w:t>
      </w:r>
      <w:hyperlink r:id="rId12194">
        <w:r>
          <w:rPr>
            <w:color w:val="0000EE"/>
            <w:u w:val="single"/>
          </w:rPr>
          <w:t>Dt 17.18</w:t>
        </w:r>
      </w:hyperlink>
      <w:r>
        <w:t>). Todo Israel (oficiais e povo, estrangeiros e israelitas nativos) se apresentou para a leitura das bênçãos e das maldições (</w:t>
      </w:r>
      <w:hyperlink r:id="rId9906">
        <w:r>
          <w:rPr>
            <w:color w:val="0000EE"/>
            <w:u w:val="single"/>
          </w:rPr>
          <w:t>Js 8.33–35</w:t>
        </w:r>
      </w:hyperlink>
      <w:r>
        <w:t xml:space="preserve">). Todo o livro de Deuteronômio (ou seja, “o Livro da Lei”, cf. </w:t>
      </w:r>
      <w:hyperlink r:id="rId3766">
        <w:r>
          <w:rPr>
            <w:color w:val="0000EE"/>
            <w:u w:val="single"/>
          </w:rPr>
          <w:t>Dt 31.26</w:t>
        </w:r>
      </w:hyperlink>
      <w:r>
        <w:t xml:space="preserve">) foi lido na presença deles. Metade das tribos ficou no Monte Gerizim e disse “Amém” às bênçãos, e as outras seis ficaram no Monte Ebal, dizendo “Amém” às maldições (cf. </w:t>
      </w:r>
      <w:hyperlink r:id="rId12195">
        <w:r>
          <w:rPr>
            <w:color w:val="0000EE"/>
            <w:u w:val="single"/>
          </w:rPr>
          <w:t>Dt 27.9–26</w:t>
        </w:r>
      </w:hyperlink>
      <w:r>
        <w:t>).</w:t>
      </w:r>
    </w:p>
    <w:p>
      <w:r/>
      <w:r>
        <w:t xml:space="preserve">Aliança com os gibeonitas, </w:t>
      </w:r>
      <w:hyperlink r:id="rId761">
        <w:r>
          <w:rPr>
            <w:color w:val="0000EE"/>
            <w:u w:val="single"/>
          </w:rPr>
          <w:t>9.1–27</w:t>
        </w:r>
      </w:hyperlink>
    </w:p>
    <w:p>
      <w:r/>
      <w:r>
        <w:t xml:space="preserve">Os rumores dos atos poderosos de Deus haviam trazido medo aos reis cananeus (cf. </w:t>
      </w:r>
      <w:hyperlink r:id="rId12196">
        <w:r>
          <w:rPr>
            <w:color w:val="0000EE"/>
            <w:u w:val="single"/>
          </w:rPr>
          <w:t>Js 2.8–11,24</w:t>
        </w:r>
      </w:hyperlink>
      <w:r>
        <w:t xml:space="preserve">; </w:t>
      </w:r>
      <w:hyperlink r:id="rId4171">
        <w:r>
          <w:rPr>
            <w:color w:val="0000EE"/>
            <w:u w:val="single"/>
          </w:rPr>
          <w:t>5.1</w:t>
        </w:r>
      </w:hyperlink>
      <w:r>
        <w:t xml:space="preserve">; </w:t>
      </w:r>
      <w:hyperlink r:id="rId12181">
        <w:r>
          <w:rPr>
            <w:color w:val="0000EE"/>
            <w:u w:val="single"/>
          </w:rPr>
          <w:t>6.27</w:t>
        </w:r>
      </w:hyperlink>
      <w:r>
        <w:t>). A primeira derrota em Ai lhes deu esperança de que Israel poderia ser derrotado. Em vez de se submeterem a Israel e sofrerem a humilhação como servos de Israel, eles se uniram contra Josué e Israel (</w:t>
      </w:r>
      <w:hyperlink r:id="rId1231">
        <w:r>
          <w:rPr>
            <w:color w:val="0000EE"/>
            <w:u w:val="single"/>
          </w:rPr>
          <w:t>9.1–2</w:t>
        </w:r>
      </w:hyperlink>
      <w:r>
        <w:t>).</w:t>
      </w:r>
    </w:p>
    <w:p>
      <w:r/>
      <w:r>
        <w:t>Os heveus de Gibeão, Quefira, Beerote e Quiriate-Jearim (</w:t>
      </w:r>
      <w:hyperlink r:id="rId12197">
        <w:r>
          <w:rPr>
            <w:color w:val="0000EE"/>
            <w:u w:val="single"/>
          </w:rPr>
          <w:t>9.7,17</w:t>
        </w:r>
      </w:hyperlink>
      <w:r>
        <w:t xml:space="preserve">) não se juntaram aos seus companheiros cananeus. Em vez disso, elaboraram um plano complexo para enganar Israel e buscar um status de tratado completo. O objetivo do tratado era amizade (ou seja, "paz"), prometendo assistência mútua em caso de ataque. A preocupação era com a preservação da vida (vv. </w:t>
      </w:r>
      <w:hyperlink r:id="rId12198">
        <w:r>
          <w:rPr>
            <w:color w:val="0000EE"/>
            <w:u w:val="single"/>
          </w:rPr>
          <w:t>15,24</w:t>
        </w:r>
      </w:hyperlink>
      <w:r>
        <w:t xml:space="preserve">). Sua enganação incluía um estratagema sobre a grande distância que haviam viajado (vv. </w:t>
      </w:r>
      <w:hyperlink r:id="rId12199">
        <w:r>
          <w:rPr>
            <w:color w:val="0000EE"/>
            <w:u w:val="single"/>
          </w:rPr>
          <w:t>11–14</w:t>
        </w:r>
      </w:hyperlink>
      <w:r>
        <w:t>) e um falso relato das vitórias de Israel em Transjordânia sem mencionar a travessia do Jordão (</w:t>
      </w:r>
      <w:hyperlink r:id="rId12200">
        <w:r>
          <w:rPr>
            <w:color w:val="0000EE"/>
            <w:u w:val="single"/>
          </w:rPr>
          <w:t>9.9–10</w:t>
        </w:r>
      </w:hyperlink>
      <w:r>
        <w:t xml:space="preserve">; cf. </w:t>
      </w:r>
      <w:hyperlink r:id="rId4171">
        <w:r>
          <w:rPr>
            <w:color w:val="0000EE"/>
            <w:u w:val="single"/>
          </w:rPr>
          <w:t>5.1</w:t>
        </w:r>
      </w:hyperlink>
      <w:r>
        <w:t>). A lei permitia que a cidade submissa sujeitasse sua população a um tipo de tratado de suserania, no qual Israel definia os termos e esperava que a população subjugada servisse como seus trabalhadores forçados (</w:t>
      </w:r>
      <w:hyperlink r:id="rId12201">
        <w:r>
          <w:rPr>
            <w:color w:val="0000EE"/>
            <w:u w:val="single"/>
          </w:rPr>
          <w:t>Dt 20.11</w:t>
        </w:r>
      </w:hyperlink>
      <w:r>
        <w:t xml:space="preserve">; cf. </w:t>
      </w:r>
      <w:hyperlink r:id="rId12202">
        <w:r>
          <w:rPr>
            <w:color w:val="0000EE"/>
            <w:u w:val="single"/>
          </w:rPr>
          <w:t>Jz 1.28–35</w:t>
        </w:r>
      </w:hyperlink>
      <w:r>
        <w:t xml:space="preserve">; </w:t>
      </w:r>
      <w:hyperlink r:id="rId12203">
        <w:r>
          <w:rPr>
            <w:color w:val="0000EE"/>
            <w:u w:val="single"/>
          </w:rPr>
          <w:t>1Rs 9.15–21</w:t>
        </w:r>
      </w:hyperlink>
      <w:r>
        <w:t>). No entanto, o tratado permitia que os heveus mantivessem seu modo de vida com a vantagem da proteção militar de Israel.</w:t>
      </w:r>
    </w:p>
    <w:p>
      <w:r/>
      <w:r>
        <w:t xml:space="preserve">A campanha do sul, </w:t>
      </w:r>
      <w:hyperlink r:id="rId5419">
        <w:r>
          <w:rPr>
            <w:color w:val="0000EE"/>
            <w:u w:val="single"/>
          </w:rPr>
          <w:t>10.1–43</w:t>
        </w:r>
      </w:hyperlink>
    </w:p>
    <w:p>
      <w:r/>
      <w:r>
        <w:t>O rei de Jerusalém, Adoni-Zedeque, liderou as cidades de Hebrom, Jarmute, Laquis e Eglom em uma aliança contra Gibeão como uma estratégia militar para se opor a Israel (</w:t>
      </w:r>
      <w:hyperlink r:id="rId12080">
        <w:r>
          <w:rPr>
            <w:color w:val="0000EE"/>
            <w:u w:val="single"/>
          </w:rPr>
          <w:t>Js 10.1–5</w:t>
        </w:r>
      </w:hyperlink>
      <w:r>
        <w:t xml:space="preserve">). Os gibeonitas apelaram a Israel por ajuda com base em sua relação de aliança (v. </w:t>
      </w:r>
      <w:hyperlink r:id="rId12204">
        <w:r>
          <w:rPr>
            <w:color w:val="0000EE"/>
            <w:u w:val="single"/>
          </w:rPr>
          <w:t>6</w:t>
        </w:r>
      </w:hyperlink>
      <w:r>
        <w:t xml:space="preserve">). Josué liderou Israel em uma caminhada de 40 quilômetros pelo deserto de Gilgal até Gibeão durante uma noite (vv. </w:t>
      </w:r>
      <w:hyperlink r:id="rId12205">
        <w:r>
          <w:rPr>
            <w:color w:val="0000EE"/>
            <w:u w:val="single"/>
          </w:rPr>
          <w:t>7–9</w:t>
        </w:r>
      </w:hyperlink>
      <w:r>
        <w:t xml:space="preserve">). O ataque israelita surpreendeu os cananeus, que já estavam amedrontados pelos israelitas. O acampamento dos cananeus foi lançado em confusão, e os soldados fugiram pela estrada de Bete-Horom para Azeca e Maquedá (v. </w:t>
      </w:r>
      <w:hyperlink r:id="rId12206">
        <w:r>
          <w:rPr>
            <w:color w:val="0000EE"/>
            <w:u w:val="single"/>
          </w:rPr>
          <w:t>10</w:t>
        </w:r>
      </w:hyperlink>
      <w:r>
        <w:t xml:space="preserve">). Mas, enquanto corriam, foram atormentados por grandes pedras de granizo (v. </w:t>
      </w:r>
      <w:hyperlink r:id="rId4753">
        <w:r>
          <w:rPr>
            <w:color w:val="0000EE"/>
            <w:u w:val="single"/>
          </w:rPr>
          <w:t>11</w:t>
        </w:r>
      </w:hyperlink>
      <w:r>
        <w:t xml:space="preserve">). A vitória foi do Senhor. Milagrosamente, Israel conseguiu empurrar os cananeus ainda mais longe da região montanhosa por causa do longo dia (vv. </w:t>
      </w:r>
      <w:hyperlink r:id="rId12081">
        <w:r>
          <w:rPr>
            <w:color w:val="0000EE"/>
            <w:u w:val="single"/>
          </w:rPr>
          <w:t>12–14</w:t>
        </w:r>
      </w:hyperlink>
      <w:r>
        <w:t xml:space="preserve">). A maravilha desse dia foi longamente lembrada no Livro de Jasar (cf. </w:t>
      </w:r>
      <w:hyperlink r:id="rId12207">
        <w:r>
          <w:rPr>
            <w:color w:val="0000EE"/>
            <w:u w:val="single"/>
          </w:rPr>
          <w:t>2Sm 1.18</w:t>
        </w:r>
      </w:hyperlink>
      <w:r>
        <w:t>), porque nele o Senhor ouviu um homem, a saber, Josué (</w:t>
      </w:r>
      <w:hyperlink r:id="rId12208">
        <w:r>
          <w:rPr>
            <w:color w:val="0000EE"/>
            <w:u w:val="single"/>
          </w:rPr>
          <w:t>Js 10.14</w:t>
        </w:r>
      </w:hyperlink>
      <w:r>
        <w:t>).</w:t>
      </w:r>
    </w:p>
    <w:p>
      <w:r/>
      <w:r>
        <w:t>Os cinco reis escondidos em uma caverna em Maquedá foram descobertos, mortos, enforcados em árvores e enterrados na caverna (</w:t>
      </w:r>
      <w:hyperlink r:id="rId11641">
        <w:r>
          <w:rPr>
            <w:color w:val="0000EE"/>
            <w:u w:val="single"/>
          </w:rPr>
          <w:t>10.16–27</w:t>
        </w:r>
      </w:hyperlink>
      <w:r>
        <w:t xml:space="preserve">). Sua tentativa imprudente de fazer guerra contra Israel chegou a um rápido fim. Com a derrubada da coalizão de grandes cidades, Josué liderou Israel em uma campanha rápida contra as outras cidades do sul (vv. </w:t>
      </w:r>
      <w:hyperlink r:id="rId12209">
        <w:r>
          <w:rPr>
            <w:color w:val="0000EE"/>
            <w:u w:val="single"/>
          </w:rPr>
          <w:t>29–43</w:t>
        </w:r>
      </w:hyperlink>
      <w:r>
        <w:t xml:space="preserve">). A região foi conquistada em uma campanha com a ajuda do Senhor (v. </w:t>
      </w:r>
      <w:hyperlink r:id="rId12210">
        <w:r>
          <w:rPr>
            <w:color w:val="0000EE"/>
            <w:u w:val="single"/>
          </w:rPr>
          <w:t>42</w:t>
        </w:r>
      </w:hyperlink>
      <w:r>
        <w:t>).</w:t>
      </w:r>
    </w:p>
    <w:p>
      <w:r/>
      <w:r>
        <w:t xml:space="preserve">A campanha do norte, </w:t>
      </w:r>
      <w:hyperlink r:id="rId12211">
        <w:r>
          <w:rPr>
            <w:color w:val="0000EE"/>
            <w:u w:val="single"/>
          </w:rPr>
          <w:t>11.1–15</w:t>
        </w:r>
      </w:hyperlink>
    </w:p>
    <w:p>
      <w:r/>
      <w:r>
        <w:t>Os israelitas foram novamente forçados a entrar em batalha, desta vez sob a liderança de Jabim, rei de Hazor. Jabim reuniu os reis das cidades do norte, que juntaram suas tropas e cavalos pelas Águas de Merom para a batalha contra Israel (</w:t>
      </w:r>
      <w:hyperlink r:id="rId1236">
        <w:r>
          <w:rPr>
            <w:color w:val="0000EE"/>
            <w:u w:val="single"/>
          </w:rPr>
          <w:t>11.1–5</w:t>
        </w:r>
      </w:hyperlink>
      <w:r>
        <w:t xml:space="preserve">). A semelhança com a campanha do sul é uma forma literária de demonstrar que os reis do sul e do norte iniciaram a guerra e foram consequentemente derrotados. Assim foi com os reis do norte, que foram derrotados até a região de Sidom na Fenícia (v. </w:t>
      </w:r>
      <w:hyperlink r:id="rId12107">
        <w:r>
          <w:rPr>
            <w:color w:val="0000EE"/>
            <w:u w:val="single"/>
          </w:rPr>
          <w:t>8</w:t>
        </w:r>
      </w:hyperlink>
      <w:r>
        <w:t xml:space="preserve">). Seus cavalos foram aleijados e seus carros queimados (v. </w:t>
      </w:r>
      <w:hyperlink r:id="rId12212">
        <w:r>
          <w:rPr>
            <w:color w:val="0000EE"/>
            <w:u w:val="single"/>
          </w:rPr>
          <w:t>9</w:t>
        </w:r>
      </w:hyperlink>
      <w:r>
        <w:t xml:space="preserve">), conforme o Senhor havia instruído (v. </w:t>
      </w:r>
      <w:hyperlink r:id="rId12213">
        <w:r>
          <w:rPr>
            <w:color w:val="0000EE"/>
            <w:u w:val="single"/>
          </w:rPr>
          <w:t>6</w:t>
        </w:r>
      </w:hyperlink>
      <w:r>
        <w:t xml:space="preserve">). Israel deveria depender do Senhor (cf. </w:t>
      </w:r>
      <w:hyperlink r:id="rId1716">
        <w:r>
          <w:rPr>
            <w:color w:val="0000EE"/>
            <w:u w:val="single"/>
          </w:rPr>
          <w:t>Sl 20.7</w:t>
        </w:r>
      </w:hyperlink>
      <w:r>
        <w:t>). Hazor, a grande e antiga cidade, o centro do poder cananeu no norte, foi completamente destruída (</w:t>
      </w:r>
      <w:hyperlink r:id="rId12214">
        <w:r>
          <w:rPr>
            <w:color w:val="0000EE"/>
            <w:u w:val="single"/>
          </w:rPr>
          <w:t>Js 11.10–13</w:t>
        </w:r>
      </w:hyperlink>
      <w:r>
        <w:t>). A queima de Jericó, Ai e Hazor foram exceções, porque Israel havia sido prometido casas, poços e cidades cananeias (</w:t>
      </w:r>
      <w:hyperlink r:id="rId12215">
        <w:r>
          <w:rPr>
            <w:color w:val="0000EE"/>
            <w:u w:val="single"/>
          </w:rPr>
          <w:t>Dt 6.10–11</w:t>
        </w:r>
      </w:hyperlink>
      <w:r>
        <w:t xml:space="preserve">; cf. </w:t>
      </w:r>
      <w:hyperlink r:id="rId12216">
        <w:r>
          <w:rPr>
            <w:color w:val="0000EE"/>
            <w:u w:val="single"/>
          </w:rPr>
          <w:t>Js 24.13</w:t>
        </w:r>
      </w:hyperlink>
      <w:r>
        <w:t>). A narrativa da campanha enfatiza novamente a lealdade absoluta de Josué ao Senhor e a Moisés, o servo do Senhor (</w:t>
      </w:r>
      <w:hyperlink r:id="rId12217">
        <w:r>
          <w:rPr>
            <w:color w:val="0000EE"/>
            <w:u w:val="single"/>
          </w:rPr>
          <w:t>Js 11.9–15</w:t>
        </w:r>
      </w:hyperlink>
      <w:r>
        <w:t>).</w:t>
      </w:r>
    </w:p>
    <w:p>
      <w:r/>
      <w:r>
        <w:t xml:space="preserve">Resumo das campanhas, </w:t>
      </w:r>
      <w:hyperlink r:id="rId12218">
        <w:r>
          <w:rPr>
            <w:color w:val="0000EE"/>
            <w:u w:val="single"/>
          </w:rPr>
          <w:t>11.16–12.24</w:t>
        </w:r>
      </w:hyperlink>
    </w:p>
    <w:p>
      <w:r/>
      <w:r>
        <w:t>Josué liderou Israel em vitória e descanso devido à sua cuidadosa adesão às direções do Senhor a Moisés. Moisés havia descrito a terra a ser conquistada em detalhes (</w:t>
      </w:r>
      <w:hyperlink r:id="rId1216">
        <w:r>
          <w:rPr>
            <w:color w:val="0000EE"/>
            <w:u w:val="single"/>
          </w:rPr>
          <w:t>Dt 1.7</w:t>
        </w:r>
      </w:hyperlink>
      <w:r>
        <w:t>), e Josué tomou as regiões das quais Moisés havia falado. Embora as cidades pudessem ter buscado um acordo pacífico sob o qual teriam sido trabalhadores forçados (</w:t>
      </w:r>
      <w:hyperlink r:id="rId12201">
        <w:r>
          <w:rPr>
            <w:color w:val="0000EE"/>
            <w:u w:val="single"/>
          </w:rPr>
          <w:t>Dt 20.11</w:t>
        </w:r>
      </w:hyperlink>
      <w:r>
        <w:t>), nenhuma das cidades reconheceu Israel. Com medo, elas tramaram e planejaram como destruir Israel. Elas foram os agressores. Deus havia endurecido seus corações (</w:t>
      </w:r>
      <w:hyperlink r:id="rId7512">
        <w:r>
          <w:rPr>
            <w:color w:val="0000EE"/>
            <w:u w:val="single"/>
          </w:rPr>
          <w:t>Js 11.20</w:t>
        </w:r>
      </w:hyperlink>
      <w:r>
        <w:t xml:space="preserve">). A razão teológica é um mistério, assim como foi no caso de Faraó. Mas o resultado final foi que Canaã foi conquistada e a população exterminada, exceto pelos heveus em Gibeão e suas cidades circundantes (vv. </w:t>
      </w:r>
      <w:hyperlink r:id="rId12219">
        <w:r>
          <w:rPr>
            <w:color w:val="0000EE"/>
            <w:u w:val="single"/>
          </w:rPr>
          <w:t>19–20</w:t>
        </w:r>
      </w:hyperlink>
      <w:r>
        <w:t>). Até mesmo os anaquins, que haviam trazido medo a Israel cerca de 40 anos antes (</w:t>
      </w:r>
      <w:hyperlink r:id="rId9939">
        <w:r>
          <w:rPr>
            <w:color w:val="0000EE"/>
            <w:u w:val="single"/>
          </w:rPr>
          <w:t>Nm 13.33</w:t>
        </w:r>
      </w:hyperlink>
      <w:r>
        <w:t xml:space="preserve">; cf. </w:t>
      </w:r>
      <w:hyperlink r:id="rId12220">
        <w:r>
          <w:rPr>
            <w:color w:val="0000EE"/>
            <w:u w:val="single"/>
          </w:rPr>
          <w:t>Dt 2.10,21</w:t>
        </w:r>
      </w:hyperlink>
      <w:r>
        <w:t>), foram exterminados (</w:t>
      </w:r>
      <w:hyperlink r:id="rId12221">
        <w:r>
          <w:rPr>
            <w:color w:val="0000EE"/>
            <w:u w:val="single"/>
          </w:rPr>
          <w:t>Js 11.21</w:t>
        </w:r>
      </w:hyperlink>
      <w:r>
        <w:t xml:space="preserve">). No entanto, já é aparente que nem cada quilômetro quadrado de terra foi tomado (v. </w:t>
      </w:r>
      <w:hyperlink r:id="rId9773">
        <w:r>
          <w:rPr>
            <w:color w:val="0000EE"/>
            <w:u w:val="single"/>
          </w:rPr>
          <w:t>22</w:t>
        </w:r>
      </w:hyperlink>
      <w:r>
        <w:t>), embora em certo sentido toda a terra fosse de Israel, porque os principais centros de resistência cananeus haviam sido quebrados. A tensão entre cumprimento e cumprimento completo é aparente nestes versículos.</w:t>
      </w:r>
    </w:p>
    <w:p>
      <w:r/>
      <w:r>
        <w:t xml:space="preserve">A lista dos reis derrotados (cap. </w:t>
      </w:r>
      <w:hyperlink r:id="rId5423">
        <w:r>
          <w:rPr>
            <w:color w:val="0000EE"/>
            <w:u w:val="single"/>
          </w:rPr>
          <w:t>12</w:t>
        </w:r>
      </w:hyperlink>
      <w:r>
        <w:t xml:space="preserve">) inclui as vitórias sobre Seom e Ogue sob a liderança de Moisés. Sua justaposição com a lista de reis conquistados sob Josué demonstra a continuidade de liderança e propósito — dois líderes, muitas campanhas, mas uma só batalha. A Terra Prometida agora é uma realidade cumprida. Através das campanhas, as fronteiras da terra de herança agora estavam mais claras. Na Transjordânia, os limites vão do Arnom até o Monte Hermom (vv. </w:t>
      </w:r>
      <w:hyperlink r:id="rId12222">
        <w:r>
          <w:rPr>
            <w:color w:val="0000EE"/>
            <w:u w:val="single"/>
          </w:rPr>
          <w:t>2–5</w:t>
        </w:r>
      </w:hyperlink>
      <w:r>
        <w:t xml:space="preserve">). Em Canaã, a fronteira se estende da região ao sul de Sidom até o Neguebe (vv. </w:t>
      </w:r>
      <w:hyperlink r:id="rId12223">
        <w:r>
          <w:rPr>
            <w:color w:val="0000EE"/>
            <w:u w:val="single"/>
          </w:rPr>
          <w:t>7–8</w:t>
        </w:r>
      </w:hyperlink>
      <w:r>
        <w:t>).</w:t>
      </w:r>
    </w:p>
    <w:p>
      <w:pPr>
        <w:pStyle w:val="Heading4"/>
      </w:pPr>
      <w:r>
        <w:t xml:space="preserve">A divisão da terra, </w:t>
      </w:r>
      <w:hyperlink r:id="rId12224">
        <w:r>
          <w:rPr>
            <w:color w:val="0000EE"/>
            <w:u w:val="single"/>
          </w:rPr>
          <w:t>13.1–22.34</w:t>
        </w:r>
      </w:hyperlink>
    </w:p>
    <w:p>
      <w:r/>
      <w:r>
        <w:t xml:space="preserve">O comando para dividir a terra, </w:t>
      </w:r>
      <w:hyperlink r:id="rId12128">
        <w:r>
          <w:rPr>
            <w:color w:val="0000EE"/>
            <w:u w:val="single"/>
          </w:rPr>
          <w:t>13.1–7</w:t>
        </w:r>
      </w:hyperlink>
    </w:p>
    <w:p>
      <w:r/>
      <w:r>
        <w:t>Devido à idade avançada de Josué, a terra "inteira" não foi conquistada. Moisés havia alertado Israel de que a herança viria tanto pela conquista quanto pela expansão gradual das fronteiras estreitas de Israel. Aos poucos, Israel herdaria toda a terra, para que não fosse sobrecarregado pelo tamanho e incapaz de usá-la adequadamente (</w:t>
      </w:r>
      <w:hyperlink r:id="rId12132">
        <w:r>
          <w:rPr>
            <w:color w:val="0000EE"/>
            <w:u w:val="single"/>
          </w:rPr>
          <w:t>Êx 23.29–30</w:t>
        </w:r>
      </w:hyperlink>
      <w:r>
        <w:t xml:space="preserve">; </w:t>
      </w:r>
      <w:hyperlink r:id="rId12133">
        <w:r>
          <w:rPr>
            <w:color w:val="0000EE"/>
            <w:u w:val="single"/>
          </w:rPr>
          <w:t>Dt 7.22</w:t>
        </w:r>
      </w:hyperlink>
      <w:r>
        <w:t>). As áreas ainda a serem ocupadas eram: a região ao norte da Galileia, o Monte Hermon (a leste do Mar da Galileia), a área ocupada pelos filisteus e enclaves regionais cananeus (</w:t>
      </w:r>
      <w:hyperlink r:id="rId12225">
        <w:r>
          <w:rPr>
            <w:color w:val="0000EE"/>
            <w:u w:val="single"/>
          </w:rPr>
          <w:t>Js 13.2–7</w:t>
        </w:r>
      </w:hyperlink>
      <w:r>
        <w:t xml:space="preserve">; cf. </w:t>
      </w:r>
      <w:hyperlink r:id="rId6467">
        <w:r>
          <w:rPr>
            <w:color w:val="0000EE"/>
            <w:u w:val="single"/>
          </w:rPr>
          <w:t>Jz 1</w:t>
        </w:r>
      </w:hyperlink>
      <w:r>
        <w:t>). Israel não deveria se preocupar com os direitos futuros de ocupação, porque o Senhor prometeu ajudá-los (</w:t>
      </w:r>
      <w:hyperlink r:id="rId12226">
        <w:r>
          <w:rPr>
            <w:color w:val="0000EE"/>
            <w:u w:val="single"/>
          </w:rPr>
          <w:t>Js 13.6</w:t>
        </w:r>
      </w:hyperlink>
      <w:r>
        <w:t>).</w:t>
      </w:r>
    </w:p>
    <w:p>
      <w:r/>
      <w:r>
        <w:t xml:space="preserve">Divisão de Transjordânia, </w:t>
      </w:r>
      <w:hyperlink r:id="rId12227">
        <w:r>
          <w:rPr>
            <w:color w:val="0000EE"/>
            <w:u w:val="single"/>
          </w:rPr>
          <w:t>13.8–33</w:t>
        </w:r>
      </w:hyperlink>
    </w:p>
    <w:p>
      <w:r/>
      <w:r>
        <w:t>Josué não alterou a disposição mosaica referente às lotações para as tribos de Manassés, Rúben e Gade (</w:t>
      </w:r>
      <w:hyperlink r:id="rId12228">
        <w:r>
          <w:rPr>
            <w:color w:val="0000EE"/>
            <w:u w:val="single"/>
          </w:rPr>
          <w:t>Jos 13.8,32–33</w:t>
        </w:r>
      </w:hyperlink>
      <w:r>
        <w:t xml:space="preserve">; cf. </w:t>
      </w:r>
      <w:hyperlink r:id="rId1125">
        <w:r>
          <w:rPr>
            <w:color w:val="0000EE"/>
            <w:u w:val="single"/>
          </w:rPr>
          <w:t>Nm 32</w:t>
        </w:r>
      </w:hyperlink>
      <w:r>
        <w:t xml:space="preserve">; </w:t>
      </w:r>
      <w:hyperlink r:id="rId12229">
        <w:r>
          <w:rPr>
            <w:color w:val="0000EE"/>
            <w:u w:val="single"/>
          </w:rPr>
          <w:t>Dt 3.12–17</w:t>
        </w:r>
      </w:hyperlink>
      <w:r>
        <w:t>). O território deles também excluía certas regiões ainda ocupadas por cananeus (</w:t>
      </w:r>
      <w:hyperlink r:id="rId9932">
        <w:r>
          <w:rPr>
            <w:color w:val="0000EE"/>
            <w:u w:val="single"/>
          </w:rPr>
          <w:t>Js 13.13</w:t>
        </w:r>
      </w:hyperlink>
      <w:r>
        <w:t xml:space="preserve">). Os clãs de Rúben haviam recebido o território desde o rio Arnom ao norte até Hesbom (vv. </w:t>
      </w:r>
      <w:hyperlink r:id="rId12230">
        <w:r>
          <w:rPr>
            <w:color w:val="0000EE"/>
            <w:u w:val="single"/>
          </w:rPr>
          <w:t>15–23</w:t>
        </w:r>
      </w:hyperlink>
      <w:r>
        <w:t xml:space="preserve">). Os clãs de Gade haviam recebido o território de Gileade, ao sul do rio Jaboque até Hesbom (vv. </w:t>
      </w:r>
      <w:hyperlink r:id="rId9703">
        <w:r>
          <w:rPr>
            <w:color w:val="0000EE"/>
            <w:u w:val="single"/>
          </w:rPr>
          <w:t>24–28</w:t>
        </w:r>
      </w:hyperlink>
      <w:r>
        <w:t xml:space="preserve">). Vários clãs de Manassés receberam a região ao sul do Wadi Yarmuk até o Jaboque (vv. </w:t>
      </w:r>
      <w:hyperlink r:id="rId12231">
        <w:r>
          <w:rPr>
            <w:color w:val="0000EE"/>
            <w:u w:val="single"/>
          </w:rPr>
          <w:t>29–31</w:t>
        </w:r>
      </w:hyperlink>
      <w:r>
        <w:t>). As cidades levíticas não estão listadas aqui, mas é feita uma referência a eles como não recebendo uma herança porque deveriam viver das ofertas e sacrifícios feitos ao Senhor (</w:t>
      </w:r>
      <w:hyperlink r:id="rId12232">
        <w:r>
          <w:rPr>
            <w:color w:val="0000EE"/>
            <w:u w:val="single"/>
          </w:rPr>
          <w:t>Js 13.14</w:t>
        </w:r>
      </w:hyperlink>
      <w:r>
        <w:t xml:space="preserve">; cf. </w:t>
      </w:r>
      <w:hyperlink r:id="rId4879">
        <w:r>
          <w:rPr>
            <w:color w:val="0000EE"/>
            <w:u w:val="single"/>
          </w:rPr>
          <w:t>Nm 18.20–24</w:t>
        </w:r>
      </w:hyperlink>
      <w:r>
        <w:t xml:space="preserve">; </w:t>
      </w:r>
      <w:hyperlink r:id="rId12233">
        <w:r>
          <w:rPr>
            <w:color w:val="0000EE"/>
            <w:u w:val="single"/>
          </w:rPr>
          <w:t>35.1–8</w:t>
        </w:r>
      </w:hyperlink>
      <w:r>
        <w:t>).</w:t>
      </w:r>
    </w:p>
    <w:p>
      <w:r/>
      <w:r>
        <w:t xml:space="preserve">As divisões tribais em Canaã, </w:t>
      </w:r>
      <w:hyperlink r:id="rId12234">
        <w:r>
          <w:rPr>
            <w:color w:val="0000EE"/>
            <w:u w:val="single"/>
          </w:rPr>
          <w:t>14.1–19.51</w:t>
        </w:r>
      </w:hyperlink>
    </w:p>
    <w:p>
      <w:r/>
      <w:r>
        <w:t>Eleazar, o sumo sacerdote, e Josué juntos lançaram sortes para determinar as fronteiras, o tamanho e a alocação para as restantes nove tribos e meia. Novamente, a exclusão da tribo de Levi é mencionada (</w:t>
      </w:r>
      <w:hyperlink r:id="rId12235">
        <w:r>
          <w:rPr>
            <w:color w:val="0000EE"/>
            <w:u w:val="single"/>
          </w:rPr>
          <w:t>Js 14.4</w:t>
        </w:r>
      </w:hyperlink>
      <w:r>
        <w:t xml:space="preserve">), porque suas cidades serão tratadas nos capítulos </w:t>
      </w:r>
      <w:hyperlink r:id="rId12236">
        <w:r>
          <w:rPr>
            <w:color w:val="0000EE"/>
            <w:u w:val="single"/>
          </w:rPr>
          <w:t>20–21</w:t>
        </w:r>
      </w:hyperlink>
      <w:r>
        <w:t>. Outro recurso literário é a menção especial da herança de Calebe no início (</w:t>
      </w:r>
      <w:hyperlink r:id="rId12237">
        <w:r>
          <w:rPr>
            <w:color w:val="0000EE"/>
            <w:u w:val="single"/>
          </w:rPr>
          <w:t>14.6–15</w:t>
        </w:r>
      </w:hyperlink>
      <w:r>
        <w:t>) e de Josué na conclusão (</w:t>
      </w:r>
      <w:hyperlink r:id="rId12087">
        <w:r>
          <w:rPr>
            <w:color w:val="0000EE"/>
            <w:u w:val="single"/>
          </w:rPr>
          <w:t>19.49–50</w:t>
        </w:r>
      </w:hyperlink>
      <w:r>
        <w:t>). Esses dois foram os únicos que haviam saído do Egito como adultos, foram espiões fiéis e entraram na Terra Prometida (</w:t>
      </w:r>
      <w:hyperlink r:id="rId12238">
        <w:r>
          <w:rPr>
            <w:color w:val="0000EE"/>
            <w:u w:val="single"/>
          </w:rPr>
          <w:t>Nm 14.24,30</w:t>
        </w:r>
      </w:hyperlink>
      <w:r>
        <w:t xml:space="preserve">; </w:t>
      </w:r>
      <w:hyperlink r:id="rId12239">
        <w:r>
          <w:rPr>
            <w:color w:val="0000EE"/>
            <w:u w:val="single"/>
          </w:rPr>
          <w:t>Dt 1.36–38</w:t>
        </w:r>
      </w:hyperlink>
      <w:r>
        <w:t>).</w:t>
      </w:r>
    </w:p>
    <w:p>
      <w:r/>
      <w:r>
        <w:t xml:space="preserve">Judá, </w:t>
      </w:r>
      <w:hyperlink r:id="rId12240">
        <w:r>
          <w:rPr>
            <w:color w:val="0000EE"/>
            <w:u w:val="single"/>
          </w:rPr>
          <w:t>15.1–63</w:t>
        </w:r>
      </w:hyperlink>
      <w:r>
        <w:t xml:space="preserve"> (cf. </w:t>
      </w:r>
      <w:hyperlink r:id="rId12241">
        <w:r>
          <w:rPr>
            <w:color w:val="0000EE"/>
            <w:u w:val="single"/>
          </w:rPr>
          <w:t>Jz 1.10–15,20</w:t>
        </w:r>
      </w:hyperlink>
      <w:r>
        <w:t>)</w:t>
      </w:r>
    </w:p>
    <w:p>
      <w:r/>
      <w:r>
        <w:t>Os limites de Judá se estendiam do Mar Morto a oeste até o Mediterrâneo (</w:t>
      </w:r>
      <w:hyperlink r:id="rId12242">
        <w:r>
          <w:rPr>
            <w:color w:val="0000EE"/>
            <w:u w:val="single"/>
          </w:rPr>
          <w:t>Js 15.2–12</w:t>
        </w:r>
      </w:hyperlink>
      <w:r>
        <w:t xml:space="preserve">). As cidades de Judá estão listadas em suas quatro regiões: 29 no Neguebe (vv. </w:t>
      </w:r>
      <w:hyperlink r:id="rId12243">
        <w:r>
          <w:rPr>
            <w:color w:val="0000EE"/>
            <w:u w:val="single"/>
          </w:rPr>
          <w:t>21–32</w:t>
        </w:r>
      </w:hyperlink>
      <w:r>
        <w:t xml:space="preserve">), 42 cidades na Sefelá (ou encostas ocidentais) e planícies costeiras (vv. </w:t>
      </w:r>
      <w:hyperlink r:id="rId12244">
        <w:r>
          <w:rPr>
            <w:color w:val="0000EE"/>
            <w:u w:val="single"/>
          </w:rPr>
          <w:t>33–47</w:t>
        </w:r>
      </w:hyperlink>
      <w:r>
        <w:t>), 38 cidades na região montanhosa (</w:t>
      </w:r>
      <w:hyperlink r:id="rId12245">
        <w:r>
          <w:rPr>
            <w:color w:val="0000EE"/>
            <w:u w:val="single"/>
          </w:rPr>
          <w:t>15.48–60</w:t>
        </w:r>
      </w:hyperlink>
      <w:r>
        <w:t xml:space="preserve">), e 6 cidades no deserto (vv. </w:t>
      </w:r>
      <w:hyperlink r:id="rId12246">
        <w:r>
          <w:rPr>
            <w:color w:val="0000EE"/>
            <w:u w:val="single"/>
          </w:rPr>
          <w:t>61–62</w:t>
        </w:r>
      </w:hyperlink>
      <w:r>
        <w:t xml:space="preserve">). Judá não conseguiu tomar Jerusalém (v. </w:t>
      </w:r>
      <w:hyperlink r:id="rId11643">
        <w:r>
          <w:rPr>
            <w:color w:val="0000EE"/>
            <w:u w:val="single"/>
          </w:rPr>
          <w:t>63</w:t>
        </w:r>
      </w:hyperlink>
      <w:r>
        <w:t xml:space="preserve">) até que Davi a fez sua capital (cf. </w:t>
      </w:r>
      <w:hyperlink r:id="rId3420">
        <w:r>
          <w:rPr>
            <w:color w:val="0000EE"/>
            <w:u w:val="single"/>
          </w:rPr>
          <w:t>Jz 1.21</w:t>
        </w:r>
      </w:hyperlink>
      <w:r>
        <w:t xml:space="preserve">; </w:t>
      </w:r>
      <w:hyperlink r:id="rId12247">
        <w:r>
          <w:rPr>
            <w:color w:val="0000EE"/>
            <w:u w:val="single"/>
          </w:rPr>
          <w:t>2Sm 5.6–16</w:t>
        </w:r>
      </w:hyperlink>
      <w:r>
        <w:t>).</w:t>
      </w:r>
    </w:p>
    <w:p>
      <w:r/>
      <w:r>
        <w:t xml:space="preserve">Efraim e Manassés, </w:t>
      </w:r>
      <w:hyperlink r:id="rId12248">
        <w:r>
          <w:rPr>
            <w:color w:val="0000EE"/>
            <w:u w:val="single"/>
          </w:rPr>
          <w:t>16.1–17.18</w:t>
        </w:r>
      </w:hyperlink>
    </w:p>
    <w:p>
      <w:r/>
      <w:r>
        <w:t xml:space="preserve">Essas duas tribos, descendentes de José, foram ricamente abençoadas (cf. </w:t>
      </w:r>
      <w:hyperlink r:id="rId12249">
        <w:r>
          <w:rPr>
            <w:color w:val="0000EE"/>
            <w:u w:val="single"/>
          </w:rPr>
          <w:t>Gn 48</w:t>
        </w:r>
      </w:hyperlink>
      <w:r>
        <w:t xml:space="preserve">; </w:t>
      </w:r>
      <w:hyperlink r:id="rId7181">
        <w:r>
          <w:rPr>
            <w:color w:val="0000EE"/>
            <w:u w:val="single"/>
          </w:rPr>
          <w:t>49.22–26</w:t>
        </w:r>
      </w:hyperlink>
      <w:r>
        <w:t xml:space="preserve">; </w:t>
      </w:r>
      <w:hyperlink r:id="rId12250">
        <w:r>
          <w:rPr>
            <w:color w:val="0000EE"/>
            <w:u w:val="single"/>
          </w:rPr>
          <w:t>Dt 33.13–17</w:t>
        </w:r>
      </w:hyperlink>
      <w:r>
        <w:t>) e alcançaram destaque entre as tribos. Elas receberam uma porção como "a porção de José" (</w:t>
      </w:r>
      <w:hyperlink r:id="rId11586">
        <w:r>
          <w:rPr>
            <w:color w:val="0000EE"/>
            <w:u w:val="single"/>
          </w:rPr>
          <w:t>Js 16.1</w:t>
        </w:r>
      </w:hyperlink>
      <w:r>
        <w:t>). Parte de Manassés já havia recebido um patrimônio a leste do Jordão (</w:t>
      </w:r>
      <w:hyperlink r:id="rId12231">
        <w:r>
          <w:rPr>
            <w:color w:val="0000EE"/>
            <w:u w:val="single"/>
          </w:rPr>
          <w:t>13.29–31</w:t>
        </w:r>
      </w:hyperlink>
      <w:r>
        <w:t>). Os limites para Efraim e a metade oeste de Manassés eram de Betel ao Monte Gilboa no norte e do Jordão ao Mediterrâneo (</w:t>
      </w:r>
      <w:hyperlink r:id="rId12251">
        <w:r>
          <w:rPr>
            <w:color w:val="0000EE"/>
            <w:u w:val="single"/>
          </w:rPr>
          <w:t>16.1–3</w:t>
        </w:r>
      </w:hyperlink>
      <w:r>
        <w:t xml:space="preserve">). Efraim recebeu a porção menor no sul (vv. </w:t>
      </w:r>
      <w:hyperlink r:id="rId7716">
        <w:r>
          <w:rPr>
            <w:color w:val="0000EE"/>
            <w:u w:val="single"/>
          </w:rPr>
          <w:t>5–9</w:t>
        </w:r>
      </w:hyperlink>
      <w:r>
        <w:t>), mas não conseguiu expulsar os cananeus de Gezer. As clãs de Manassés são mencionadas, incluindo Zelofeade (</w:t>
      </w:r>
      <w:hyperlink r:id="rId12252">
        <w:r>
          <w:rPr>
            <w:color w:val="0000EE"/>
            <w:u w:val="single"/>
          </w:rPr>
          <w:t>17.3–6</w:t>
        </w:r>
      </w:hyperlink>
      <w:r>
        <w:t xml:space="preserve">; cf. </w:t>
      </w:r>
      <w:hyperlink r:id="rId9883">
        <w:r>
          <w:rPr>
            <w:color w:val="0000EE"/>
            <w:u w:val="single"/>
          </w:rPr>
          <w:t>Nm 27.1–11</w:t>
        </w:r>
      </w:hyperlink>
      <w:r>
        <w:t xml:space="preserve">; </w:t>
      </w:r>
      <w:hyperlink r:id="rId9884">
        <w:r>
          <w:rPr>
            <w:color w:val="0000EE"/>
            <w:u w:val="single"/>
          </w:rPr>
          <w:t>36.1–12</w:t>
        </w:r>
      </w:hyperlink>
      <w:r>
        <w:t>), para distingui-las claramente das clãs de Manassés na Transjordânia. A região de Manassés oeste se estendia de Siquém ao Monte Gilboa (</w:t>
      </w:r>
      <w:hyperlink r:id="rId7700">
        <w:r>
          <w:rPr>
            <w:color w:val="0000EE"/>
            <w:u w:val="single"/>
          </w:rPr>
          <w:t>Js 17.7–11</w:t>
        </w:r>
      </w:hyperlink>
      <w:r>
        <w:t xml:space="preserve">); mas Manassés, também, foi incapaz de expulsar completamente os cananeus (vv. </w:t>
      </w:r>
      <w:hyperlink r:id="rId12253">
        <w:r>
          <w:rPr>
            <w:color w:val="0000EE"/>
            <w:u w:val="single"/>
          </w:rPr>
          <w:t>12–13</w:t>
        </w:r>
      </w:hyperlink>
      <w:r>
        <w:t>).</w:t>
      </w:r>
    </w:p>
    <w:p>
      <w:r/>
      <w:r>
        <w:t>Embora tivessem recebido a maior porção da terra (mais de um terço), as tribos de José reclamaram. Eles sabiam que o Senhor os havia abençoado (</w:t>
      </w:r>
      <w:hyperlink r:id="rId12254">
        <w:r>
          <w:rPr>
            <w:color w:val="0000EE"/>
            <w:u w:val="single"/>
          </w:rPr>
          <w:t>17.14</w:t>
        </w:r>
      </w:hyperlink>
      <w:r>
        <w:t xml:space="preserve">) e esperavam obter mais terras cultiváveis. Mas Josué os incentivou a usar a terra disponível cortando as florestas (vv. </w:t>
      </w:r>
      <w:hyperlink r:id="rId12255">
        <w:r>
          <w:rPr>
            <w:color w:val="0000EE"/>
            <w:u w:val="single"/>
          </w:rPr>
          <w:t>15–18</w:t>
        </w:r>
      </w:hyperlink>
      <w:r>
        <w:t>). Quando expressaram preocupação realista sobre o poder militar dos cananeus, Josué os convocou a fazer sua parte na ocupação da terra.</w:t>
      </w:r>
    </w:p>
    <w:p>
      <w:r/>
      <w:r>
        <w:t xml:space="preserve">Sete tribos, </w:t>
      </w:r>
      <w:hyperlink r:id="rId12256">
        <w:r>
          <w:rPr>
            <w:color w:val="0000EE"/>
            <w:u w:val="single"/>
          </w:rPr>
          <w:t>18.1–19.51</w:t>
        </w:r>
      </w:hyperlink>
    </w:p>
    <w:p>
      <w:r/>
      <w:r>
        <w:t xml:space="preserve">Os israelitas se reuniram em Siló para montar o tabernáculo (cf. </w:t>
      </w:r>
      <w:hyperlink r:id="rId7863">
        <w:r>
          <w:rPr>
            <w:color w:val="0000EE"/>
            <w:u w:val="single"/>
          </w:rPr>
          <w:t>1Sm 1</w:t>
        </w:r>
      </w:hyperlink>
      <w:r>
        <w:t>). Naquele momento, sete tribos ainda não haviam recebido sua herança. Josué convocou cada tribo para designar três homens para inspecionar a terra. Quando retornaram, Josué lançou sortes no tabernáculo em Siló e dividiu a terra (</w:t>
      </w:r>
      <w:hyperlink r:id="rId12257">
        <w:r>
          <w:rPr>
            <w:color w:val="0000EE"/>
            <w:u w:val="single"/>
          </w:rPr>
          <w:t>Js 18.3–10</w:t>
        </w:r>
      </w:hyperlink>
      <w:r>
        <w:t xml:space="preserve">). O território de Benjamim ficava entre Judá e Efraim (vv. </w:t>
      </w:r>
      <w:hyperlink r:id="rId12258">
        <w:r>
          <w:rPr>
            <w:color w:val="0000EE"/>
            <w:u w:val="single"/>
          </w:rPr>
          <w:t>11–28</w:t>
        </w:r>
      </w:hyperlink>
      <w:r>
        <w:t>). A porção de Simeão estava no sul de Judá (</w:t>
      </w:r>
      <w:hyperlink r:id="rId12259">
        <w:r>
          <w:rPr>
            <w:color w:val="0000EE"/>
            <w:u w:val="single"/>
          </w:rPr>
          <w:t>19.1–9</w:t>
        </w:r>
      </w:hyperlink>
      <w:r>
        <w:t xml:space="preserve">), resultando em sua absorção por Judá (cf. </w:t>
      </w:r>
      <w:hyperlink r:id="rId12260">
        <w:r>
          <w:rPr>
            <w:color w:val="0000EE"/>
            <w:u w:val="single"/>
          </w:rPr>
          <w:t>Gn 49.7</w:t>
        </w:r>
      </w:hyperlink>
      <w:r>
        <w:t>). Zebulom (</w:t>
      </w:r>
      <w:hyperlink r:id="rId12261">
        <w:r>
          <w:rPr>
            <w:color w:val="0000EE"/>
            <w:u w:val="single"/>
          </w:rPr>
          <w:t>Js 19.10–16</w:t>
        </w:r>
      </w:hyperlink>
      <w:r>
        <w:t xml:space="preserve">), Issacar (vv. </w:t>
      </w:r>
      <w:hyperlink r:id="rId12262">
        <w:r>
          <w:rPr>
            <w:color w:val="0000EE"/>
            <w:u w:val="single"/>
          </w:rPr>
          <w:t>17–23</w:t>
        </w:r>
      </w:hyperlink>
      <w:r>
        <w:t xml:space="preserve">), Aser (vv. </w:t>
      </w:r>
      <w:hyperlink r:id="rId12263">
        <w:r>
          <w:rPr>
            <w:color w:val="0000EE"/>
            <w:u w:val="single"/>
          </w:rPr>
          <w:t>24–31</w:t>
        </w:r>
      </w:hyperlink>
      <w:r>
        <w:t xml:space="preserve">) e Naftali (vv. </w:t>
      </w:r>
      <w:hyperlink r:id="rId12264">
        <w:r>
          <w:rPr>
            <w:color w:val="0000EE"/>
            <w:u w:val="single"/>
          </w:rPr>
          <w:t>32–39</w:t>
        </w:r>
      </w:hyperlink>
      <w:r>
        <w:t xml:space="preserve">) receberam uma porção ao norte de Manassés na região da Galileia. Dã recebeu a sétima sorte e enfrentou dificuldades posteriormente, quando não conseguiu manter o território designado devido à pressão de Judá a leste e dos filisteus a oeste (vv. </w:t>
      </w:r>
      <w:hyperlink r:id="rId6471">
        <w:r>
          <w:rPr>
            <w:color w:val="0000EE"/>
            <w:u w:val="single"/>
          </w:rPr>
          <w:t>40–48</w:t>
        </w:r>
      </w:hyperlink>
      <w:r>
        <w:t>). Eles migraram para o norte e encontraram as fontes do Jordão como uma região fértil (</w:t>
      </w:r>
      <w:hyperlink r:id="rId6447">
        <w:r>
          <w:rPr>
            <w:color w:val="0000EE"/>
            <w:u w:val="single"/>
          </w:rPr>
          <w:t>Js 19.47</w:t>
        </w:r>
      </w:hyperlink>
      <w:r>
        <w:t xml:space="preserve">; cf. </w:t>
      </w:r>
      <w:hyperlink r:id="rId6472">
        <w:r>
          <w:rPr>
            <w:color w:val="0000EE"/>
            <w:u w:val="single"/>
          </w:rPr>
          <w:t>Jz 18</w:t>
        </w:r>
      </w:hyperlink>
      <w:r>
        <w:t>).</w:t>
      </w:r>
    </w:p>
    <w:p>
      <w:r/>
      <w:r>
        <w:t xml:space="preserve">Conclusão, </w:t>
      </w:r>
      <w:hyperlink r:id="rId12265">
        <w:r>
          <w:rPr>
            <w:color w:val="0000EE"/>
            <w:u w:val="single"/>
          </w:rPr>
          <w:t>19.49–51</w:t>
        </w:r>
      </w:hyperlink>
    </w:p>
    <w:p>
      <w:r/>
      <w:r>
        <w:t>A conclusão é simétrica com o início (</w:t>
      </w:r>
      <w:hyperlink r:id="rId12266">
        <w:r>
          <w:rPr>
            <w:color w:val="0000EE"/>
            <w:u w:val="single"/>
          </w:rPr>
          <w:t>Js 14.1–14</w:t>
        </w:r>
      </w:hyperlink>
      <w:r>
        <w:t>) no sentido de que Josué também recebeu um presente. Novamente, é mencionado que todas as divisões ocorreram na presença do Senhor, testemunhadas e executadas pelo sumo sacerdote Eleazar e Josué (</w:t>
      </w:r>
      <w:hyperlink r:id="rId7813">
        <w:r>
          <w:rPr>
            <w:color w:val="0000EE"/>
            <w:u w:val="single"/>
          </w:rPr>
          <w:t>19.51</w:t>
        </w:r>
      </w:hyperlink>
      <w:r>
        <w:t xml:space="preserve">; cf. </w:t>
      </w:r>
      <w:hyperlink r:id="rId7811">
        <w:r>
          <w:rPr>
            <w:color w:val="0000EE"/>
            <w:u w:val="single"/>
          </w:rPr>
          <w:t>14.1</w:t>
        </w:r>
      </w:hyperlink>
      <w:r>
        <w:t>).</w:t>
      </w:r>
    </w:p>
    <w:p>
      <w:r/>
      <w:r>
        <w:t xml:space="preserve">Cidades de refúgio e as cidades levíticas, </w:t>
      </w:r>
      <w:hyperlink r:id="rId12236">
        <w:r>
          <w:rPr>
            <w:color w:val="0000EE"/>
            <w:u w:val="single"/>
          </w:rPr>
          <w:t>20.1–21.45</w:t>
        </w:r>
      </w:hyperlink>
    </w:p>
    <w:p>
      <w:r/>
      <w:r>
        <w:t>De acordo com as instruções de Moisés, seis cidades levíticas foram designadas, três de cada lado do Jordão, como cidades de refúgio (</w:t>
      </w:r>
      <w:hyperlink r:id="rId12267">
        <w:r>
          <w:rPr>
            <w:color w:val="0000EE"/>
            <w:u w:val="single"/>
          </w:rPr>
          <w:t>Nm 35.9–34</w:t>
        </w:r>
      </w:hyperlink>
      <w:r>
        <w:t xml:space="preserve">; </w:t>
      </w:r>
      <w:hyperlink r:id="rId12268">
        <w:r>
          <w:rPr>
            <w:color w:val="0000EE"/>
            <w:u w:val="single"/>
          </w:rPr>
          <w:t>Dt 4.41–43</w:t>
        </w:r>
      </w:hyperlink>
      <w:r>
        <w:t xml:space="preserve">; </w:t>
      </w:r>
      <w:hyperlink r:id="rId12269">
        <w:r>
          <w:rPr>
            <w:color w:val="0000EE"/>
            <w:u w:val="single"/>
          </w:rPr>
          <w:t>19.1–10</w:t>
        </w:r>
      </w:hyperlink>
      <w:r>
        <w:t>). O objetivo era fornecer "refúgio" (asilo) para aqueles que eram culpados de homicídio culposo, mas não haviam matado alguém intencionalmente. Esta prática não era para fornecer uma saída para alguém que fosse culpado, mas para permitir que o processo legal fosse concluído (</w:t>
      </w:r>
      <w:hyperlink r:id="rId12088">
        <w:r>
          <w:rPr>
            <w:color w:val="0000EE"/>
            <w:u w:val="single"/>
          </w:rPr>
          <w:t>Js 20</w:t>
        </w:r>
      </w:hyperlink>
      <w:r>
        <w:t>).</w:t>
      </w:r>
    </w:p>
    <w:p>
      <w:r/>
      <w:r>
        <w:t>Os levitas receberam por clã um total de 48 cidades, seis das quais também serviam como cidades de refúgio (</w:t>
      </w:r>
      <w:hyperlink r:id="rId12089">
        <w:r>
          <w:rPr>
            <w:color w:val="0000EE"/>
            <w:u w:val="single"/>
          </w:rPr>
          <w:t>21.1–42</w:t>
        </w:r>
      </w:hyperlink>
      <w:r>
        <w:t>). Os levitas não podiam cultivar a terra porque dependiam dos dízimos do povo (</w:t>
      </w:r>
      <w:hyperlink r:id="rId12270">
        <w:r>
          <w:rPr>
            <w:color w:val="0000EE"/>
            <w:u w:val="single"/>
          </w:rPr>
          <w:t>Nm 18.21–24</w:t>
        </w:r>
      </w:hyperlink>
      <w:r>
        <w:t xml:space="preserve">), mas tinham permissão para ter terras para pastagem. As dimensões da terra são dadas em </w:t>
      </w:r>
      <w:hyperlink r:id="rId12024">
        <w:r>
          <w:rPr>
            <w:color w:val="0000EE"/>
            <w:u w:val="single"/>
          </w:rPr>
          <w:t>Números 35.4–5</w:t>
        </w:r>
      </w:hyperlink>
      <w:r>
        <w:t>. Uma alocação especial é feita para os descendentes de Arão (</w:t>
      </w:r>
      <w:hyperlink r:id="rId12271">
        <w:r>
          <w:rPr>
            <w:color w:val="0000EE"/>
            <w:u w:val="single"/>
          </w:rPr>
          <w:t>Js 21.9–19</w:t>
        </w:r>
      </w:hyperlink>
      <w:r>
        <w:t>), porque eles serviam como sacerdotes e suas 13 cidades estavam na região de Judá-Simeão, próximas ao templo de Jerusalém da era salomônica.</w:t>
      </w:r>
    </w:p>
    <w:p>
      <w:r/>
      <w:r>
        <w:t>Com a alocação das cidades levíticas, a divisão da terra é concluída. A promessa da terra é cumprida (</w:t>
      </w:r>
      <w:hyperlink r:id="rId2462">
        <w:r>
          <w:rPr>
            <w:color w:val="0000EE"/>
            <w:u w:val="single"/>
          </w:rPr>
          <w:t>21.43–45</w:t>
        </w:r>
      </w:hyperlink>
      <w:r>
        <w:t xml:space="preserve">). Deus é fiel! Esta seção enfatiza o cumprimento, o poder e a graça de Deus, pelos quais Israel entrou em seu descanso. No entanto, o livro de Josué também sugere a luta que ainda está à frente dos israelitas e o teste que, em última análise, eles falharão (cf. </w:t>
      </w:r>
      <w:hyperlink r:id="rId12272">
        <w:r>
          <w:rPr>
            <w:color w:val="0000EE"/>
            <w:u w:val="single"/>
          </w:rPr>
          <w:t>Sl 95.11</w:t>
        </w:r>
      </w:hyperlink>
      <w:r>
        <w:t xml:space="preserve">; </w:t>
      </w:r>
      <w:hyperlink r:id="rId12273">
        <w:r>
          <w:rPr>
            <w:color w:val="0000EE"/>
            <w:u w:val="single"/>
          </w:rPr>
          <w:t>Hb 3.7–11</w:t>
        </w:r>
      </w:hyperlink>
      <w:r>
        <w:t>).</w:t>
      </w:r>
    </w:p>
    <w:p>
      <w:r/>
      <w:r>
        <w:t xml:space="preserve">Retorno das tribos da Transjordânia, </w:t>
      </w:r>
      <w:hyperlink r:id="rId12274">
        <w:r>
          <w:rPr>
            <w:color w:val="0000EE"/>
            <w:u w:val="single"/>
          </w:rPr>
          <w:t>22.1–34</w:t>
        </w:r>
      </w:hyperlink>
    </w:p>
    <w:p>
      <w:r/>
      <w:r>
        <w:t>Josué despediu as duas tribos e meia com uma recomendação por sua lealdade às outras tribos e ao Senhor (</w:t>
      </w:r>
      <w:hyperlink r:id="rId12275">
        <w:r>
          <w:rPr>
            <w:color w:val="0000EE"/>
            <w:u w:val="single"/>
          </w:rPr>
          <w:t>Js 22.1–4</w:t>
        </w:r>
      </w:hyperlink>
      <w:r>
        <w:t xml:space="preserve">), com um aviso para não sucumbirem à idolatria, mas para amarem o Senhor de acordo com a lei Deuteronômica, e com uma bênção (vv. </w:t>
      </w:r>
      <w:hyperlink r:id="rId12276">
        <w:r>
          <w:rPr>
            <w:color w:val="0000EE"/>
            <w:u w:val="single"/>
          </w:rPr>
          <w:t>5–8</w:t>
        </w:r>
      </w:hyperlink>
      <w:r>
        <w:t xml:space="preserve">). No entanto, ao retornarem, eles ergueram um grande altar junto ao Jordão no lado ocidental. As outras tribos ouviram sobre isso e se reuniram em Siló (v. </w:t>
      </w:r>
      <w:hyperlink r:id="rId12277">
        <w:r>
          <w:rPr>
            <w:color w:val="0000EE"/>
            <w:u w:val="single"/>
          </w:rPr>
          <w:t>12</w:t>
        </w:r>
      </w:hyperlink>
      <w:r>
        <w:t>). Eles sabiamente comissionaram Fineias, o filho do sumo sacerdote, com dez representantes das tribos, para investigar o assunto. A comissão acusou as tribos da Transjordânia de traição (</w:t>
      </w:r>
      <w:hyperlink r:id="rId12278">
        <w:r>
          <w:rPr>
            <w:color w:val="0000EE"/>
            <w:u w:val="single"/>
          </w:rPr>
          <w:t>Js 22.15–20</w:t>
        </w:r>
      </w:hyperlink>
      <w:r>
        <w:t xml:space="preserve">; cf. </w:t>
      </w:r>
      <w:hyperlink r:id="rId2975">
        <w:r>
          <w:rPr>
            <w:color w:val="0000EE"/>
            <w:u w:val="single"/>
          </w:rPr>
          <w:t>Nm 25</w:t>
        </w:r>
      </w:hyperlink>
      <w:r>
        <w:t xml:space="preserve">; </w:t>
      </w:r>
      <w:hyperlink r:id="rId3611">
        <w:r>
          <w:rPr>
            <w:color w:val="0000EE"/>
            <w:u w:val="single"/>
          </w:rPr>
          <w:t>Js 7</w:t>
        </w:r>
      </w:hyperlink>
      <w:r>
        <w:t>).</w:t>
      </w:r>
    </w:p>
    <w:p>
      <w:r/>
      <w:r>
        <w:t>A resposta das tribos de Transjordânia demonstrou sua preocupação com a unidade das tribos e com a adoração a Deus. Essas tribos temiam ser excluídas da comunhão do povo de Deus e construíram propositalmente um altar, idêntico ao prescrito na lei, para demonstrar sua herança comum (</w:t>
      </w:r>
      <w:hyperlink r:id="rId12279">
        <w:r>
          <w:rPr>
            <w:color w:val="0000EE"/>
            <w:u w:val="single"/>
          </w:rPr>
          <w:t>Js 22.21–30</w:t>
        </w:r>
      </w:hyperlink>
      <w:r>
        <w:t>). O altar não era para sacrifício ou adoração, mas funcionava como um símbolo da unidade do povo de Deus sob a aliança.</w:t>
      </w:r>
    </w:p>
    <w:p>
      <w:r/>
      <w:r>
        <w:t>Fineias e os representantes tribais ficaram satisfeitos com a resposta e partiram com a certeza da presença de Deus (</w:t>
      </w:r>
      <w:hyperlink r:id="rId12280">
        <w:r>
          <w:rPr>
            <w:color w:val="0000EE"/>
            <w:u w:val="single"/>
          </w:rPr>
          <w:t>22.30–31</w:t>
        </w:r>
      </w:hyperlink>
      <w:r>
        <w:t xml:space="preserve">). O relatório deles para as tribos levou à reconciliação de todas as tribos sobre este assunto. A narrativa conclui com uma menção ao nome dado ao altar: “É uma testemunha entre nós de que o SENHOR é Deus” (v. </w:t>
      </w:r>
      <w:hyperlink r:id="rId12281">
        <w:r>
          <w:rPr>
            <w:color w:val="0000EE"/>
            <w:u w:val="single"/>
          </w:rPr>
          <w:t>34</w:t>
        </w:r>
      </w:hyperlink>
      <w:r>
        <w:t>, NTLH).</w:t>
      </w:r>
    </w:p>
    <w:p>
      <w:pPr>
        <w:pStyle w:val="Heading4"/>
      </w:pPr>
      <w:r>
        <w:t xml:space="preserve">Epílogo: A terra é um legado sagrado, </w:t>
      </w:r>
      <w:hyperlink r:id="rId2225">
        <w:r>
          <w:rPr>
            <w:color w:val="0000EE"/>
            <w:u w:val="single"/>
          </w:rPr>
          <w:t>23.1–24.33</w:t>
        </w:r>
      </w:hyperlink>
    </w:p>
    <w:p>
      <w:r/>
      <w:r>
        <w:t>Os dois últimos capítulos contêm os discursos de despedida de Josué para todos os líderes e para todo Israel.</w:t>
      </w:r>
    </w:p>
    <w:p>
      <w:r/>
      <w:r>
        <w:t xml:space="preserve">Discurso aos líderes, </w:t>
      </w:r>
      <w:hyperlink r:id="rId12090">
        <w:r>
          <w:rPr>
            <w:color w:val="0000EE"/>
            <w:u w:val="single"/>
          </w:rPr>
          <w:t>23.1–16</w:t>
        </w:r>
      </w:hyperlink>
    </w:p>
    <w:p>
      <w:r/>
      <w:r>
        <w:t>Josué revisa o que o Senhor fez por Israel ao dar a terra às tribos. Ele demonstrou sua lealdade e continuará a estar com seu povo para que nenhum inimigo possa se opor a eles. Ele cumprirá todas as promessas pendentes, assim como já havia cumprido promessas anteriores. No entanto, eles devem perseverar em sua lealdade ao Senhor. A lealdade ao Senhor não está separada da lealdade à lei de Moisés. A apostasia será severamente punida, primeiro permitindo que as nações enredem Israel e depois consumindo-os em sua ira.</w:t>
      </w:r>
    </w:p>
    <w:p>
      <w:r/>
      <w:r>
        <w:t xml:space="preserve">Exortação a Israel, </w:t>
      </w:r>
      <w:hyperlink r:id="rId811">
        <w:r>
          <w:rPr>
            <w:color w:val="0000EE"/>
            <w:u w:val="single"/>
          </w:rPr>
          <w:t>24.1–28</w:t>
        </w:r>
      </w:hyperlink>
    </w:p>
    <w:p>
      <w:r/>
      <w:r>
        <w:t>A exortação termina com uma renovação da aliança em Siquém (</w:t>
      </w:r>
      <w:hyperlink r:id="rId12282">
        <w:r>
          <w:rPr>
            <w:color w:val="0000EE"/>
            <w:u w:val="single"/>
          </w:rPr>
          <w:t>Js 24.1,25–28</w:t>
        </w:r>
      </w:hyperlink>
      <w:r>
        <w:t xml:space="preserve">; cf. </w:t>
      </w:r>
      <w:hyperlink r:id="rId810">
        <w:r>
          <w:rPr>
            <w:color w:val="0000EE"/>
            <w:u w:val="single"/>
          </w:rPr>
          <w:t>8.30–35</w:t>
        </w:r>
      </w:hyperlink>
      <w:r>
        <w:t>). No antigo Oriente Próximo, era comum ao fazer um tratado (aliança) dar um breve resumo histórico do relacionamento das partes envolvidas. Josué revisou a história de Israel desde os patriarcas até a geração deles: patriarcas (</w:t>
      </w:r>
      <w:hyperlink r:id="rId12283">
        <w:r>
          <w:rPr>
            <w:color w:val="0000EE"/>
            <w:u w:val="single"/>
          </w:rPr>
          <w:t>24.2–4</w:t>
        </w:r>
      </w:hyperlink>
      <w:r>
        <w:t xml:space="preserve">), Êxodo (vv. </w:t>
      </w:r>
      <w:hyperlink r:id="rId12284">
        <w:r>
          <w:rPr>
            <w:color w:val="0000EE"/>
            <w:u w:val="single"/>
          </w:rPr>
          <w:t>5–7</w:t>
        </w:r>
      </w:hyperlink>
      <w:r>
        <w:t xml:space="preserve">) e conquista (vv. </w:t>
      </w:r>
      <w:hyperlink r:id="rId12285">
        <w:r>
          <w:rPr>
            <w:color w:val="0000EE"/>
            <w:u w:val="single"/>
          </w:rPr>
          <w:t>8–13</w:t>
        </w:r>
      </w:hyperlink>
      <w:r>
        <w:t>).</w:t>
      </w:r>
    </w:p>
    <w:p>
      <w:r/>
      <w:r>
        <w:t>A bondade, presença e lealdade de Yahweh eram evidentes para eles. Yahweh também esperava "fidelidade" de seu povo na forma de total lealdade, sem qualquer forma de idolatria (</w:t>
      </w:r>
      <w:hyperlink r:id="rId12286">
        <w:r>
          <w:rPr>
            <w:color w:val="0000EE"/>
            <w:u w:val="single"/>
          </w:rPr>
          <w:t>Js 24.14–15</w:t>
        </w:r>
      </w:hyperlink>
      <w:r>
        <w:t xml:space="preserve">). Como chefe de sua família, Josué prometeu ser leal (v. </w:t>
      </w:r>
      <w:hyperlink r:id="rId6947">
        <w:r>
          <w:rPr>
            <w:color w:val="0000EE"/>
            <w:u w:val="single"/>
          </w:rPr>
          <w:t>15</w:t>
        </w:r>
      </w:hyperlink>
      <w:r>
        <w:t xml:space="preserve">). O povo respondeu dando razões para serem leais ao Senhor (vv. </w:t>
      </w:r>
      <w:hyperlink r:id="rId12287">
        <w:r>
          <w:rPr>
            <w:color w:val="0000EE"/>
            <w:u w:val="single"/>
          </w:rPr>
          <w:t>16–18</w:t>
        </w:r>
      </w:hyperlink>
      <w:r>
        <w:t xml:space="preserve">). Mas Josué os levou a um compromisso mais profundo, desafiando sua profissão de fé (vv. </w:t>
      </w:r>
      <w:hyperlink r:id="rId12288">
        <w:r>
          <w:rPr>
            <w:color w:val="0000EE"/>
            <w:u w:val="single"/>
          </w:rPr>
          <w:t>19–20</w:t>
        </w:r>
      </w:hyperlink>
      <w:r>
        <w:t xml:space="preserve">), então registrando seu voto e erguendo uma pedra de testemunho contra eles (vv. </w:t>
      </w:r>
      <w:hyperlink r:id="rId9910">
        <w:r>
          <w:rPr>
            <w:color w:val="0000EE"/>
            <w:u w:val="single"/>
          </w:rPr>
          <w:t>25–27</w:t>
        </w:r>
      </w:hyperlink>
      <w:r>
        <w:t>).</w:t>
      </w:r>
    </w:p>
    <w:p>
      <w:r/>
      <w:r>
        <w:t xml:space="preserve">Fim de uma era, </w:t>
      </w:r>
      <w:hyperlink r:id="rId12101">
        <w:r>
          <w:rPr>
            <w:color w:val="0000EE"/>
            <w:u w:val="single"/>
          </w:rPr>
          <w:t>24.29–33</w:t>
        </w:r>
      </w:hyperlink>
    </w:p>
    <w:p>
      <w:r/>
      <w:r>
        <w:t>O livro começou com uma referência à morte de Moisés (</w:t>
      </w:r>
      <w:hyperlink r:id="rId12072">
        <w:r>
          <w:rPr>
            <w:color w:val="0000EE"/>
            <w:u w:val="single"/>
          </w:rPr>
          <w:t>1.1–2</w:t>
        </w:r>
      </w:hyperlink>
      <w:r>
        <w:t>) e conclui com a morte e sepultamento de Josué (</w:t>
      </w:r>
      <w:hyperlink r:id="rId12091">
        <w:r>
          <w:rPr>
            <w:color w:val="0000EE"/>
            <w:u w:val="single"/>
          </w:rPr>
          <w:t>24.29–30</w:t>
        </w:r>
      </w:hyperlink>
      <w:r>
        <w:t xml:space="preserve">) e de Eleazar, o sumo sacerdote (v. </w:t>
      </w:r>
      <w:hyperlink r:id="rId7815">
        <w:r>
          <w:rPr>
            <w:color w:val="0000EE"/>
            <w:u w:val="single"/>
          </w:rPr>
          <w:t>33</w:t>
        </w:r>
      </w:hyperlink>
      <w:r>
        <w:t>). Isso marca o fim de uma era. O sepultamento dos ossos de José (</w:t>
      </w:r>
      <w:hyperlink r:id="rId7168">
        <w:r>
          <w:rPr>
            <w:color w:val="0000EE"/>
            <w:u w:val="single"/>
          </w:rPr>
          <w:t>Js 24.32</w:t>
        </w:r>
      </w:hyperlink>
      <w:r>
        <w:t xml:space="preserve">; cf. </w:t>
      </w:r>
      <w:hyperlink r:id="rId12289">
        <w:r>
          <w:rPr>
            <w:color w:val="0000EE"/>
            <w:u w:val="single"/>
          </w:rPr>
          <w:t>Gn 50.25</w:t>
        </w:r>
      </w:hyperlink>
      <w:r>
        <w:t xml:space="preserve">; </w:t>
      </w:r>
      <w:hyperlink r:id="rId12050">
        <w:r>
          <w:rPr>
            <w:color w:val="0000EE"/>
            <w:u w:val="single"/>
          </w:rPr>
          <w:t>Êx 13.19</w:t>
        </w:r>
      </w:hyperlink>
      <w:r>
        <w:t>) em um terreno comprado por Jacó (</w:t>
      </w:r>
      <w:hyperlink r:id="rId7167">
        <w:r>
          <w:rPr>
            <w:color w:val="0000EE"/>
            <w:u w:val="single"/>
          </w:rPr>
          <w:t>Gn 33.19</w:t>
        </w:r>
      </w:hyperlink>
      <w:r>
        <w:t>) reúne a esperança característica da época de Moisés e Josué.</w:t>
      </w:r>
    </w:p>
    <w:p>
      <w:r/>
      <w:r>
        <w:rPr>
          <w:i/>
        </w:rPr>
        <w:t>Veja também</w:t>
      </w:r>
      <w:r>
        <w:t xml:space="preserve"> </w:t>
      </w:r>
      <w:r>
        <w:t>Cidades de refúgio</w:t>
      </w:r>
      <w:r>
        <w:t xml:space="preserve">; </w:t>
      </w:r>
      <w:r>
        <w:t>Conquista e distribuição da terra</w:t>
      </w:r>
      <w:r>
        <w:t xml:space="preserve">; </w:t>
      </w:r>
      <w:r>
        <w:t>História de Israel</w:t>
      </w:r>
      <w:r>
        <w:t xml:space="preserve">; </w:t>
      </w:r>
      <w:r>
        <w:t>Josué (Pessoa) #1</w:t>
      </w:r>
      <w:r>
        <w:t xml:space="preserve">; </w:t>
      </w:r>
      <w:r>
        <w:t>Cidades levíticas</w:t>
      </w:r>
      <w:r>
        <w:t>.</w:t>
      </w:r>
      <w:r/>
      <w:r/>
    </w:p>
    <w:p>
      <w:r/>
    </w:p>
    <w:p>
      <w:pPr>
        <w:pStyle w:val="Heading2"/>
      </w:pPr>
      <w:r>
        <w:t>Jotbatá</w:t>
      </w:r>
      <w:r/>
    </w:p>
    <w:p>
      <w:r/>
      <w:r>
        <w:t>Local temporário de acampamento dos israelitas durante suas peregrinações no deserto, situado entre Hor-Hagidgade e Abrona (</w:t>
      </w:r>
      <w:hyperlink r:id="rId12290">
        <w:r>
          <w:rPr>
            <w:color w:val="0000EE"/>
            <w:u w:val="single"/>
          </w:rPr>
          <w:t>Nm 33.33–34</w:t>
        </w:r>
      </w:hyperlink>
      <w:r>
        <w:t>). Mais tarde, após a morte de Arão, Israel viajou de Gudgodá para este lugar, conhecido por seus riachos de água (</w:t>
      </w:r>
      <w:hyperlink r:id="rId10208">
        <w:r>
          <w:rPr>
            <w:color w:val="0000EE"/>
            <w:u w:val="single"/>
          </w:rPr>
          <w:t>Dt 10.7</w:t>
        </w:r>
      </w:hyperlink>
      <w:r>
        <w:t>).</w:t>
      </w:r>
    </w:p>
    <w:p>
      <w:r/>
      <w:r>
        <w:rPr>
          <w:i/>
        </w:rPr>
        <w:t>Consulte também</w:t>
      </w:r>
      <w:r>
        <w:t xml:space="preserve"> </w:t>
      </w:r>
      <w:r>
        <w:t>Peregrinações no deserto</w:t>
      </w:r>
      <w:r>
        <w:t>.</w:t>
      </w:r>
      <w:r/>
      <w:r/>
    </w:p>
    <w:p>
      <w:r/>
    </w:p>
    <w:p>
      <w:pPr>
        <w:pStyle w:val="Heading2"/>
      </w:pPr>
      <w:r>
        <w:t>Jubal</w:t>
      </w:r>
      <w:r/>
    </w:p>
    <w:p>
      <w:r/>
      <w:r>
        <w:t>Um filho de Ada, esposa de Lameque, e descendente de Caim. A Bíblia diz que ele foi a primeira pessoa a tocar música e fazer instrumentos musicais como harpas e flautas (</w:t>
      </w:r>
      <w:hyperlink r:id="rId12291">
        <w:r>
          <w:rPr>
            <w:color w:val="0000EE"/>
            <w:u w:val="single"/>
          </w:rPr>
          <w:t>Gn 4.19–21</w:t>
        </w:r>
      </w:hyperlink>
      <w:r>
        <w:t>).</w:t>
      </w:r>
      <w:r/>
      <w:r/>
    </w:p>
    <w:p>
      <w:r/>
    </w:p>
    <w:p>
      <w:pPr>
        <w:pStyle w:val="Heading2"/>
      </w:pPr>
      <w:r>
        <w:t>Judá (Pessoa)</w:t>
      </w:r>
      <w:r/>
    </w:p>
    <w:p>
      <w:pPr>
        <w:pStyle w:val="ListNumber"/>
        <w:spacing w:line="240" w:lineRule="auto"/>
        <w:ind w:left="720"/>
      </w:pPr>
      <w:r/>
      <w:r>
        <w:t>O quarto dos 12 filhos de Jacó (</w:t>
      </w:r>
      <w:hyperlink r:id="rId12292">
        <w:r>
          <w:rPr>
            <w:color w:val="0000EE"/>
            <w:u w:val="single"/>
          </w:rPr>
          <w:t>Gn 35.23</w:t>
        </w:r>
      </w:hyperlink>
      <w:r>
        <w:t xml:space="preserve">; </w:t>
      </w:r>
      <w:hyperlink r:id="rId12293">
        <w:r>
          <w:rPr>
            <w:color w:val="0000EE"/>
            <w:u w:val="single"/>
          </w:rPr>
          <w:t>1Cr 2.1</w:t>
        </w:r>
      </w:hyperlink>
      <w:r>
        <w:t>) e o quarto filho de Lia e Jacó. Lia o chamou de Judá, que significa "louvor", porque estava animada por dar a Jacó outro filho (</w:t>
      </w:r>
      <w:hyperlink r:id="rId12294">
        <w:r>
          <w:rPr>
            <w:color w:val="0000EE"/>
            <w:u w:val="single"/>
          </w:rPr>
          <w:t>Gn 29.35</w:t>
        </w:r>
      </w:hyperlink>
      <w:r>
        <w:t>). Judá teve cinco filhos:</w:t>
      </w:r>
    </w:p>
    <w:p>
      <w:pPr>
        <w:pStyle w:val="ListNumber"/>
        <w:spacing w:line="240" w:lineRule="auto"/>
        <w:ind w:left="1440"/>
      </w:pPr>
      <w:r/>
      <w:r>
        <w:t>Er</w:t>
      </w:r>
    </w:p>
    <w:p>
      <w:pPr>
        <w:pStyle w:val="ListNumber"/>
        <w:spacing w:line="240" w:lineRule="auto"/>
        <w:ind w:left="1440"/>
      </w:pPr>
      <w:r/>
      <w:r>
        <w:t>Onã</w:t>
      </w:r>
    </w:p>
    <w:p>
      <w:pPr>
        <w:pStyle w:val="ListNumber"/>
        <w:spacing w:line="240" w:lineRule="auto"/>
        <w:ind w:left="1440"/>
      </w:pPr>
      <w:r/>
      <w:r>
        <w:t>Selá, nascido de Sua, a cananeia (</w:t>
      </w:r>
      <w:hyperlink r:id="rId12295">
        <w:r>
          <w:rPr>
            <w:color w:val="0000EE"/>
            <w:u w:val="single"/>
          </w:rPr>
          <w:t>Gn 38.3–5</w:t>
        </w:r>
      </w:hyperlink>
      <w:r>
        <w:t xml:space="preserve">; </w:t>
      </w:r>
      <w:hyperlink r:id="rId3190">
        <w:r>
          <w:rPr>
            <w:color w:val="0000EE"/>
            <w:u w:val="single"/>
          </w:rPr>
          <w:t>1Cr 2.3</w:t>
        </w:r>
      </w:hyperlink>
      <w:r>
        <w:t>)</w:t>
      </w:r>
    </w:p>
    <w:p>
      <w:pPr>
        <w:pStyle w:val="ListNumber"/>
        <w:spacing w:line="240" w:lineRule="auto"/>
        <w:ind w:left="1440"/>
      </w:pPr>
      <w:r/>
      <w:r>
        <w:t>Os gêmeos Perez e Zerá por Tamar, sua nora (</w:t>
      </w:r>
      <w:hyperlink r:id="rId12296">
        <w:r>
          <w:rPr>
            <w:color w:val="0000EE"/>
            <w:u w:val="single"/>
          </w:rPr>
          <w:t>Gn 38.29–30</w:t>
        </w:r>
      </w:hyperlink>
      <w:r>
        <w:t xml:space="preserve">; </w:t>
      </w:r>
      <w:hyperlink r:id="rId12297">
        <w:r>
          <w:rPr>
            <w:color w:val="0000EE"/>
            <w:u w:val="single"/>
          </w:rPr>
          <w:t>1Cr 2.4</w:t>
        </w:r>
      </w:hyperlink>
      <w:r>
        <w:t>)</w:t>
      </w:r>
    </w:p>
    <w:p>
      <w:r/>
      <w:r>
        <w:t>Ele finalmente estabeleceu sua família no Egito com seu pai e irmãos (</w:t>
      </w:r>
      <w:hyperlink r:id="rId12298">
        <w:r>
          <w:rPr>
            <w:color w:val="0000EE"/>
            <w:u w:val="single"/>
          </w:rPr>
          <w:t>Êx 1.2</w:t>
        </w:r>
      </w:hyperlink>
      <w:r>
        <w:t>). Deus matou seus dois primeiros filhos, Er e Onã, em Canaã por causa de sua desobediência (</w:t>
      </w:r>
      <w:hyperlink r:id="rId8103">
        <w:r>
          <w:rPr>
            <w:color w:val="0000EE"/>
            <w:u w:val="single"/>
          </w:rPr>
          <w:t>Gn 46.12</w:t>
        </w:r>
      </w:hyperlink>
      <w:r>
        <w:t>). Judá tornou-se o fundador de uma das 12 tribos de Israel (</w:t>
      </w:r>
      <w:hyperlink r:id="rId12299">
        <w:r>
          <w:rPr>
            <w:color w:val="0000EE"/>
            <w:u w:val="single"/>
          </w:rPr>
          <w:t>Nm 1.26–27</w:t>
        </w:r>
      </w:hyperlink>
      <w:r>
        <w:t>).</w:t>
      </w:r>
    </w:p>
    <w:p>
      <w:r/>
      <w:r>
        <w:t>Judá foi imprudente com Tamar (</w:t>
      </w:r>
      <w:hyperlink r:id="rId12300">
        <w:r>
          <w:rPr>
            <w:color w:val="0000EE"/>
            <w:u w:val="single"/>
          </w:rPr>
          <w:t>Gn 38.6–30</w:t>
        </w:r>
      </w:hyperlink>
      <w:r>
        <w:t>). No entanto, ele demonstrou forte capacidade de decisão ao assumir a responsabilidade pessoal pela segurança de Benjamim no Egito e ao falar em nome de seus irmãos diante de José (</w:t>
      </w:r>
      <w:hyperlink r:id="rId12301">
        <w:r>
          <w:rPr>
            <w:color w:val="0000EE"/>
            <w:u w:val="single"/>
          </w:rPr>
          <w:t>Gn 44.14–18</w:t>
        </w:r>
      </w:hyperlink>
      <w:r>
        <w:t>). No momento da bênção de Jacó, Judá recebeu privilégios de primogenitura. A família de Judá lideraria a família de Jacó, e o Messias prometido da aliança de Abraão seria um judaíta (</w:t>
      </w:r>
      <w:hyperlink r:id="rId11508">
        <w:r>
          <w:rPr>
            <w:color w:val="0000EE"/>
            <w:u w:val="single"/>
          </w:rPr>
          <w:t>Gn 49.8–12</w:t>
        </w:r>
      </w:hyperlink>
      <w:r>
        <w:t>). Mais tarde, a família de Judá foi elogiada na época do noivado de Rute com Boaz (</w:t>
      </w:r>
      <w:hyperlink r:id="rId12302">
        <w:r>
          <w:rPr>
            <w:color w:val="0000EE"/>
            <w:u w:val="single"/>
          </w:rPr>
          <w:t>Rt 4.12</w:t>
        </w:r>
      </w:hyperlink>
      <w:r>
        <w:t>), e tanto as linhas davídicas de reis (</w:t>
      </w:r>
      <w:hyperlink r:id="rId12303">
        <w:r>
          <w:rPr>
            <w:color w:val="0000EE"/>
            <w:u w:val="single"/>
          </w:rPr>
          <w:t>1Cr 2.1–15</w:t>
        </w:r>
      </w:hyperlink>
      <w:r>
        <w:t xml:space="preserve">; </w:t>
      </w:r>
      <w:hyperlink r:id="rId12304">
        <w:r>
          <w:rPr>
            <w:color w:val="0000EE"/>
            <w:u w:val="single"/>
          </w:rPr>
          <w:t>3.1–24</w:t>
        </w:r>
      </w:hyperlink>
      <w:r>
        <w:t>) quanto Jesus Cristo eram judaítas (</w:t>
      </w:r>
      <w:hyperlink r:id="rId12305">
        <w:r>
          <w:rPr>
            <w:color w:val="0000EE"/>
            <w:u w:val="single"/>
          </w:rPr>
          <w:t>Mt 1.2–3</w:t>
        </w:r>
      </w:hyperlink>
      <w:r>
        <w:t xml:space="preserve">; </w:t>
      </w:r>
      <w:hyperlink r:id="rId1094">
        <w:r>
          <w:rPr>
            <w:color w:val="0000EE"/>
            <w:u w:val="single"/>
          </w:rPr>
          <w:t>Lc 3.33</w:t>
        </w:r>
      </w:hyperlink>
      <w:r>
        <w:t>).</w:t>
      </w:r>
    </w:p>
    <w:p>
      <w:r/>
      <w:r>
        <w:rPr>
          <w:i/>
        </w:rPr>
        <w:t>Veja também</w:t>
      </w:r>
      <w:r>
        <w:t xml:space="preserve"> </w:t>
      </w:r>
      <w:r>
        <w:t>Genealogia de Jesus Cristo</w:t>
      </w:r>
      <w:r>
        <w:t xml:space="preserve">; </w:t>
      </w:r>
      <w:r>
        <w:t>Judá, Tribo de.</w:t>
      </w:r>
    </w:p>
    <w:p>
      <w:pPr>
        <w:pStyle w:val="ListNumber"/>
        <w:spacing w:line="240" w:lineRule="auto"/>
        <w:ind w:left="720"/>
      </w:pPr>
      <w:r/>
      <w:r>
        <w:t>O pai de uma família de levitas que ajudou Jesua, o sumo sacerdote, na reconstrução do templo durante o período após o exílio na Babilônia (</w:t>
      </w:r>
      <w:hyperlink r:id="rId12306">
        <w:r>
          <w:rPr>
            <w:color w:val="0000EE"/>
            <w:u w:val="single"/>
          </w:rPr>
          <w:t>Ed 3.9</w:t>
        </w:r>
      </w:hyperlink>
      <w:r>
        <w:t xml:space="preserve">). Ele também é chamado de Hodavias em </w:t>
      </w:r>
      <w:hyperlink r:id="rId12307">
        <w:r>
          <w:rPr>
            <w:color w:val="0000EE"/>
            <w:u w:val="single"/>
          </w:rPr>
          <w:t>Esdras 2.40</w:t>
        </w:r>
      </w:hyperlink>
      <w:r>
        <w:t xml:space="preserve"> e Hodeva em </w:t>
      </w:r>
      <w:hyperlink r:id="rId12308">
        <w:r>
          <w:rPr>
            <w:color w:val="0000EE"/>
            <w:u w:val="single"/>
          </w:rPr>
          <w:t>Neemias 7.43</w:t>
        </w:r>
      </w:hyperlink>
      <w:r>
        <w:t>.</w:t>
      </w:r>
    </w:p>
    <w:p>
      <w:r/>
      <w:r>
        <w:rPr>
          <w:i/>
        </w:rPr>
        <w:t>Veja</w:t>
      </w:r>
      <w:r>
        <w:t xml:space="preserve"> </w:t>
      </w:r>
      <w:r>
        <w:t>Hodavias #4</w:t>
      </w:r>
      <w:r>
        <w:t>.</w:t>
      </w:r>
    </w:p>
    <w:p>
      <w:pPr>
        <w:pStyle w:val="ListNumber"/>
        <w:spacing w:line="240" w:lineRule="auto"/>
        <w:ind w:left="720"/>
      </w:pPr>
      <w:r/>
      <w:r>
        <w:t>Um dos levitas que foi encorajado por Esdras a se divorciar de sua esposa não judia (</w:t>
      </w:r>
      <w:hyperlink r:id="rId12309">
        <w:r>
          <w:rPr>
            <w:color w:val="0000EE"/>
            <w:u w:val="single"/>
          </w:rPr>
          <w:t>Ed 10.23</w:t>
        </w:r>
      </w:hyperlink>
      <w:r>
        <w:t>).</w:t>
      </w:r>
    </w:p>
    <w:p>
      <w:pPr>
        <w:pStyle w:val="ListNumber"/>
        <w:spacing w:line="240" w:lineRule="auto"/>
        <w:ind w:left="720"/>
      </w:pPr>
      <w:r/>
      <w:r>
        <w:t>Benjamita, filho de Senua, que foi o segundo em comando sobre a cidade de Jerusalém durante os dias de Neemias (</w:t>
      </w:r>
      <w:hyperlink r:id="rId11997">
        <w:r>
          <w:rPr>
            <w:color w:val="0000EE"/>
            <w:u w:val="single"/>
          </w:rPr>
          <w:t>Ne 11.9</w:t>
        </w:r>
      </w:hyperlink>
      <w:r>
        <w:t>).</w:t>
      </w:r>
    </w:p>
    <w:p>
      <w:pPr>
        <w:pStyle w:val="ListNumber"/>
        <w:spacing w:line="240" w:lineRule="auto"/>
        <w:ind w:left="720"/>
      </w:pPr>
      <w:r/>
      <w:r>
        <w:t>Um dos líderes dos levitas que retornaram com Zorobabel e Jesua para Judá após o exílio na Babilônia (</w:t>
      </w:r>
      <w:hyperlink r:id="rId12310">
        <w:r>
          <w:rPr>
            <w:color w:val="0000EE"/>
            <w:u w:val="single"/>
          </w:rPr>
          <w:t>Ne 12.8</w:t>
        </w:r>
      </w:hyperlink>
      <w:r>
        <w:t>).</w:t>
      </w:r>
    </w:p>
    <w:p>
      <w:pPr>
        <w:pStyle w:val="ListNumber"/>
        <w:spacing w:line="240" w:lineRule="auto"/>
        <w:ind w:left="720"/>
      </w:pPr>
      <w:r/>
      <w:r>
        <w:t>Um dos príncipes de Judá que ajudou a dedicar o muro de Jerusalém durante o período após o exílio na Babilônia (</w:t>
      </w:r>
      <w:hyperlink r:id="rId3406">
        <w:r>
          <w:rPr>
            <w:color w:val="0000EE"/>
            <w:u w:val="single"/>
          </w:rPr>
          <w:t>Ne 12.34</w:t>
        </w:r>
      </w:hyperlink>
      <w:r>
        <w:t>).</w:t>
      </w:r>
    </w:p>
    <w:p>
      <w:pPr>
        <w:pStyle w:val="ListNumber"/>
        <w:spacing w:line="240" w:lineRule="auto"/>
        <w:ind w:left="720"/>
      </w:pPr>
      <w:r/>
      <w:r>
        <w:t>Um dos sacerdotes que tocou um instrumento musical na dedicação do muro de Jerusalém durante os dias de Neemias (</w:t>
      </w:r>
      <w:hyperlink r:id="rId12311">
        <w:r>
          <w:rPr>
            <w:color w:val="0000EE"/>
            <w:u w:val="single"/>
          </w:rPr>
          <w:t>Ne 12.36</w:t>
        </w:r>
      </w:hyperlink>
      <w:r>
        <w:t>). Ele talvez seja idêntico ao #5 acima.</w:t>
      </w:r>
    </w:p>
    <w:p>
      <w:pPr>
        <w:pStyle w:val="ListNumber"/>
        <w:spacing w:line="240" w:lineRule="auto"/>
        <w:ind w:left="720"/>
      </w:pPr>
      <w:r/>
      <w:r>
        <w:t>Filho de José, pai de Simeão e um ancestral de Jesus Cristo (</w:t>
      </w:r>
      <w:hyperlink r:id="rId12066">
        <w:r>
          <w:rPr>
            <w:color w:val="0000EE"/>
            <w:u w:val="single"/>
          </w:rPr>
          <w:t>Lc 3.30</w:t>
        </w:r>
      </w:hyperlink>
      <w:r>
        <w:t>).</w:t>
      </w:r>
    </w:p>
    <w:p>
      <w:r/>
      <w:r>
        <w:rPr>
          <w:i/>
        </w:rPr>
        <w:t>Veja</w:t>
      </w:r>
      <w:r>
        <w:t xml:space="preserve"> </w:t>
      </w:r>
      <w:r>
        <w:t>Genealogia de Jesus Cristo</w:t>
      </w:r>
      <w:r>
        <w:t>.</w:t>
      </w:r>
      <w:r/>
      <w:r/>
    </w:p>
    <w:p>
      <w:r/>
    </w:p>
    <w:p>
      <w:pPr>
        <w:pStyle w:val="Heading2"/>
      </w:pPr>
      <w:r>
        <w:t>Juda* (Pessoa)</w:t>
      </w:r>
      <w:r/>
    </w:p>
    <w:p>
      <w:r/>
      <w:r>
        <w:t xml:space="preserve">1. Ortografia alternativa na KJV para Judas, o irmão de Jesus, em </w:t>
      </w:r>
      <w:hyperlink r:id="rId4331">
        <w:r>
          <w:rPr>
            <w:color w:val="0000EE"/>
            <w:u w:val="single"/>
          </w:rPr>
          <w:t>Marcos 6.3</w:t>
        </w:r>
      </w:hyperlink>
      <w:r>
        <w:t xml:space="preserve">. Judas também é chamado de Jude (na KJV) em </w:t>
      </w:r>
      <w:hyperlink r:id="rId513">
        <w:r>
          <w:rPr>
            <w:color w:val="0000EE"/>
            <w:u w:val="single"/>
          </w:rPr>
          <w:t>Judas 1</w:t>
        </w:r>
      </w:hyperlink>
      <w:r>
        <w:t xml:space="preserve">. </w:t>
      </w:r>
      <w:r>
        <w:rPr>
          <w:i/>
        </w:rPr>
        <w:t>Veja</w:t>
      </w:r>
      <w:r>
        <w:t xml:space="preserve"> </w:t>
      </w:r>
      <w:r>
        <w:t>Judas (Pessoa)</w:t>
      </w:r>
      <w:r>
        <w:t>.</w:t>
      </w:r>
    </w:p>
    <w:p>
      <w:r/>
      <w:r>
        <w:t xml:space="preserve">2. Ortografia alternativa de Jodá, o filho de Joanã, em </w:t>
      </w:r>
      <w:hyperlink r:id="rId12065">
        <w:r>
          <w:rPr>
            <w:color w:val="0000EE"/>
            <w:u w:val="single"/>
          </w:rPr>
          <w:t>Lucas 3.26</w:t>
        </w:r>
      </w:hyperlink>
      <w:r>
        <w:t xml:space="preserve">. </w:t>
      </w:r>
      <w:r>
        <w:rPr>
          <w:i/>
        </w:rPr>
        <w:t>Veja</w:t>
      </w:r>
      <w:r>
        <w:t xml:space="preserve"> </w:t>
      </w:r>
      <w:r>
        <w:t>Jodá</w:t>
      </w:r>
      <w:r>
        <w:t>.</w:t>
      </w:r>
    </w:p>
    <w:p>
      <w:r/>
      <w:r>
        <w:t xml:space="preserve">3. Ortografia alternativa de Judá, o filho de José, em </w:t>
      </w:r>
      <w:hyperlink r:id="rId12066">
        <w:r>
          <w:rPr>
            <w:color w:val="0000EE"/>
            <w:u w:val="single"/>
          </w:rPr>
          <w:t>Lucas 3.30</w:t>
        </w:r>
      </w:hyperlink>
      <w:r>
        <w:t xml:space="preserve">. </w:t>
      </w:r>
      <w:r>
        <w:rPr>
          <w:i/>
        </w:rPr>
        <w:t>Veja</w:t>
      </w:r>
      <w:r>
        <w:t xml:space="preserve"> </w:t>
      </w:r>
      <w:r>
        <w:t>Judá (Pessoa) #8</w:t>
      </w:r>
      <w:r>
        <w:t>.</w:t>
      </w:r>
    </w:p>
    <w:p>
      <w:r/>
      <w:r>
        <w:t xml:space="preserve">4. Ortografia alternativa de Judá, o filho de Jacó, em </w:t>
      </w:r>
      <w:hyperlink r:id="rId1094">
        <w:r>
          <w:rPr>
            <w:color w:val="0000EE"/>
            <w:u w:val="single"/>
          </w:rPr>
          <w:t>Lucas 3.33</w:t>
        </w:r>
      </w:hyperlink>
      <w:r>
        <w:t xml:space="preserve">. </w:t>
      </w:r>
      <w:r>
        <w:rPr>
          <w:i/>
        </w:rPr>
        <w:t>Veja</w:t>
      </w:r>
      <w:r>
        <w:t xml:space="preserve"> </w:t>
      </w:r>
      <w:r>
        <w:t>Judá (Pessoa) #1</w:t>
      </w:r>
      <w:r>
        <w:t>.</w:t>
      </w:r>
    </w:p>
    <w:p>
      <w:r/>
      <w:r>
        <w:t>5. A grafia alternativa para a tribo de Judá (</w:t>
      </w:r>
      <w:hyperlink r:id="rId12312">
        <w:r>
          <w:rPr>
            <w:color w:val="0000EE"/>
            <w:u w:val="single"/>
          </w:rPr>
          <w:t>Hb 7.14</w:t>
        </w:r>
      </w:hyperlink>
      <w:r>
        <w:t xml:space="preserve">; </w:t>
      </w:r>
      <w:hyperlink r:id="rId1781">
        <w:r>
          <w:rPr>
            <w:color w:val="0000EE"/>
            <w:u w:val="single"/>
          </w:rPr>
          <w:t>Ap 5.5</w:t>
        </w:r>
      </w:hyperlink>
      <w:r>
        <w:t xml:space="preserve">; </w:t>
      </w:r>
      <w:hyperlink r:id="rId9707">
        <w:r>
          <w:rPr>
            <w:color w:val="0000EE"/>
            <w:u w:val="single"/>
          </w:rPr>
          <w:t>7.5</w:t>
        </w:r>
      </w:hyperlink>
      <w:r>
        <w:t xml:space="preserve">). </w:t>
      </w:r>
      <w:r>
        <w:rPr>
          <w:i/>
        </w:rPr>
        <w:t>Veja</w:t>
      </w:r>
      <w:r>
        <w:t xml:space="preserve"> </w:t>
      </w:r>
      <w:r>
        <w:t>Judá, Tribo de</w:t>
      </w:r>
      <w:r>
        <w:t>.</w:t>
      </w:r>
      <w:r/>
      <w:r/>
    </w:p>
    <w:p>
      <w:r/>
    </w:p>
    <w:p>
      <w:pPr>
        <w:pStyle w:val="Heading2"/>
      </w:pPr>
      <w:r>
        <w:t>Judá, Tribo de</w:t>
      </w:r>
      <w:r/>
    </w:p>
    <w:p>
      <w:r/>
      <w:r>
        <w:t>Uma das doze tribos de Israel.</w:t>
      </w:r>
    </w:p>
    <w:p>
      <w:pPr>
        <w:pStyle w:val="Heading3"/>
      </w:pPr>
      <w:r>
        <w:t>Território Geográfico</w:t>
      </w:r>
    </w:p>
    <w:p>
      <w:r/>
      <w:r>
        <w:t xml:space="preserve">As fronteiras de Judá estão bem definidas em </w:t>
      </w:r>
      <w:hyperlink r:id="rId12240">
        <w:r>
          <w:rPr>
            <w:color w:val="0000EE"/>
            <w:u w:val="single"/>
          </w:rPr>
          <w:t>Josué 15</w:t>
        </w:r>
      </w:hyperlink>
      <w:r>
        <w:t xml:space="preserve">, que descreve a herança da tribo após a Conquista. </w:t>
      </w:r>
      <w:hyperlink r:id="rId12096">
        <w:r>
          <w:rPr>
            <w:color w:val="0000EE"/>
            <w:u w:val="single"/>
          </w:rPr>
          <w:t>2Rs 23.8</w:t>
        </w:r>
      </w:hyperlink>
      <w:r>
        <w:t xml:space="preserve"> descreve Judá como se estendendo de Geba a Berseba: Geba está a cerca de 8 milhas (13 quilômetros) ao norte de Jerusalém, e Berseba a cerca de 40 milhas (64 quilômetros) ao sul. Judá, portanto, ocupava uma faixa de terra montanhosa na espinha central do sul da Palestina, cerca de 50 milhas (80 quilômetros) de norte a sul e 20 milhas (32 quilômetros) de leste a oeste. Dessas 1.000 milhas quadradas, metade era deserto (ao sul e leste); o restante era pedregoso e não bem irrigado. A cordilheira central, sobre a qual estão situadas as cidades de Jerusalém, Hebrom e Berseba, eleva-se a mais de 3.000 pés (914 metros) em alguns lugares antes de se afunilar no deserto ao sul. Ao longo dessa cordilheira, conectando essas cidades, corre a estrada principal. A leste, a cordilheira desce abruptamente para o Mar Morto, quase 5.000 pés (1.524 metros) abaixo. A oeste, desce menos acentuadamente para as “terras baixas”, na verdade um planalto de cerca de 1.000 pés (305 metros) de altura, antes de descer para a planície filisteia, que se estende até o mar.</w:t>
      </w:r>
    </w:p>
    <w:p>
      <w:r/>
      <w:r>
        <w:t>Judá propriamente dito (Jerusalém foi uma adição posterior) era remoto e seguro em suas colinas. Seu verdadeiro centro e capital era Hebrom, a 3.500 pés (1.067 metros) de altitude. Somente ao norte era vulnerável a atacantes marchando para o sul ao longo da estrada da cordilheira. No entanto, três grandes vales subiam das terras baixas ocidentais para as colinas: o vale de Aijalom, o vale de Soreque e o vale de Elá. Batalhas ocorreriam ao longo desses vales desde os dias de Josué até o tempo de Davi e muito depois. As poucas estradas para o leste (a que vai de Jerusalém a Jericó é a mais conhecida) não eram tão importantes, embora tenha sido por essa "porta dos fundos" que Josué invadiu a região montanhosa (</w:t>
      </w:r>
      <w:hyperlink r:id="rId12313">
        <w:r>
          <w:rPr>
            <w:color w:val="0000EE"/>
            <w:u w:val="single"/>
          </w:rPr>
          <w:t>Js 10.9</w:t>
        </w:r>
      </w:hyperlink>
      <w:r>
        <w:t>). Judá estava, assim, geograficamente bem fora do fluxo principal da vida israelita, já que apenas o território de Simeão ficava ao sul.</w:t>
      </w:r>
    </w:p>
    <w:p>
      <w:r/>
      <w:r>
        <w:t>A área ocupada por Judá se divide facilmente em três regiões naturais: a cordilheira central, densamente povoada, especialmente em seu lado oeste, onde a chuva e o orvalho eram mais abundantes; as encostas orientais, quase desabitadas e em sua maioria desérticas; e a região pastoral ao sul em torno de Berseba, onde as montanhas se transformam em pradarias secas, com assentamentos esparsos por toda parte.</w:t>
      </w:r>
    </w:p>
    <w:p>
      <w:pPr>
        <w:pStyle w:val="Heading3"/>
      </w:pPr>
      <w:r>
        <w:t>Economia</w:t>
      </w:r>
    </w:p>
    <w:p>
      <w:r/>
      <w:r>
        <w:t>Para Israel, a Palestina era uma terra que manava leite e mel (</w:t>
      </w:r>
      <w:hyperlink r:id="rId12314">
        <w:r>
          <w:rPr>
            <w:color w:val="0000EE"/>
            <w:u w:val="single"/>
          </w:rPr>
          <w:t>Nm 13.27</w:t>
        </w:r>
      </w:hyperlink>
      <w:r>
        <w:t>). Metade de Judá poderia ser deserto, mas o restante tinha solo razoavelmente bom, e nas encostas ocidentais a chuva geralmente era adequada. Trigo, cevada, azeitonas, figos e, especialmente, vinhedos, cresciam livremente. A terra poderia ser pedregosa, mas as pedras podiam ser coletadas e usadas para muros e construções. Embora não fosse tão rica quanto os grandes vales do norte, como Jizreel, Judá ainda era um bom país de agricultura mista, embora exigisse trabalho árduo. Ovelhas e cabras eram abundantes, o que significava lã e leite. Gado provavelmente era mais raro; Judá não era um país de gado como Basã (</w:t>
      </w:r>
      <w:hyperlink r:id="rId560">
        <w:r>
          <w:rPr>
            <w:color w:val="0000EE"/>
            <w:u w:val="single"/>
          </w:rPr>
          <w:t>Nm 32.1</w:t>
        </w:r>
      </w:hyperlink>
      <w:r>
        <w:t>). Lã significava tecido, e couro significava couro. Naquela época, as colinas eram florestadas, o que significava combustível e materiais de construção. Argila para cerâmica estava prontamente disponível para utensílios domésticos. Cobre vinha de Edom no sul, e ferro da Filístia no oeste; estes podiam ser obtidos trocando produtos agrícolas. Quer percebessem ou não, Deus havia agido graciosamente com o povo de Judá ao lhes dar recursos adequados. No entanto, o clima era revigorante: um inverno frio e úmido, com neve e granizo às vezes, e um longo verão sem chuva, com baixa umidade e noites frescas. Isso trazia orvalhos pesados nas encostas orientais (</w:t>
      </w:r>
      <w:hyperlink r:id="rId12315">
        <w:r>
          <w:rPr>
            <w:color w:val="0000EE"/>
            <w:u w:val="single"/>
          </w:rPr>
          <w:t>Jz 6.38</w:t>
        </w:r>
      </w:hyperlink>
      <w:r>
        <w:t>), e a preciosa água da chuva era conservada em cisternas escavadas na rocha (</w:t>
      </w:r>
      <w:hyperlink r:id="rId12316">
        <w:r>
          <w:rPr>
            <w:color w:val="0000EE"/>
            <w:u w:val="single"/>
          </w:rPr>
          <w:t>Jr 2.13</w:t>
        </w:r>
      </w:hyperlink>
      <w:r>
        <w:t>). Riachos permanentes de qualquer tamanho não existiam em Judá, mas nascentes ou “poços” eram abundantes, de Jerusalém a Berseba. Foi somente quando Judá se envolveu na vida econômica do império comercial de Salomão que seu simples padrão de vida mudou; mesmo assim, a mudança nas colinas de Judá foi muito menor do que em outros lugares. Judá não tinha porto próprio e não controlava rotas de caravanas ricas. Não tinha matérias-primas cobiçadas, como o cobre de Edom ou os cedros do Líbano; nenhum produto de luxo para comércio, como o corante púrpura da Fenícia ou o ouro de Ofir; nenhuma terra exuberante para tentar a cobiça dos outros. Na misericórdia de Deus, as tentações de Judá eram poucas. Sua fé também era menos suscetível à corrupção: comparativamente poucos cananeus haviam se estabelecido nesta área, enquanto a Conquista havia sido mais completa no sul do que no norte.</w:t>
      </w:r>
    </w:p>
    <w:p>
      <w:pPr>
        <w:pStyle w:val="Heading3"/>
      </w:pPr>
      <w:r>
        <w:t>História e significado</w:t>
      </w:r>
    </w:p>
    <w:p>
      <w:r/>
      <w:r>
        <w:t xml:space="preserve">As primeiras bênçãos sobre Judá estão registradas em </w:t>
      </w:r>
      <w:hyperlink r:id="rId11508">
        <w:r>
          <w:rPr>
            <w:color w:val="0000EE"/>
            <w:u w:val="single"/>
          </w:rPr>
          <w:t>Gn 49.8–12</w:t>
        </w:r>
      </w:hyperlink>
      <w:r>
        <w:t xml:space="preserve"> e </w:t>
      </w:r>
      <w:hyperlink r:id="rId12317">
        <w:r>
          <w:rPr>
            <w:color w:val="0000EE"/>
            <w:u w:val="single"/>
          </w:rPr>
          <w:t>Dt 33.7</w:t>
        </w:r>
      </w:hyperlink>
      <w:r>
        <w:t>. Após o êxodo, a tribo de Judá ocupou o primeiro lugar no arranjo de acampamento no deserto (</w:t>
      </w:r>
      <w:hyperlink r:id="rId1088">
        <w:r>
          <w:rPr>
            <w:color w:val="0000EE"/>
            <w:u w:val="single"/>
          </w:rPr>
          <w:t>Nm 2.3</w:t>
        </w:r>
      </w:hyperlink>
      <w:r>
        <w:t>). Calebe, um dos dois espiões fiéis, era um chefe tribal de Judá (</w:t>
      </w:r>
      <w:hyperlink r:id="rId11577">
        <w:r>
          <w:rPr>
            <w:color w:val="0000EE"/>
            <w:u w:val="single"/>
          </w:rPr>
          <w:t>Nm 13.6</w:t>
        </w:r>
      </w:hyperlink>
      <w:r>
        <w:t>). Na invasão de Josué à Palestina, as terras altas atribuídas a Judá foram as primeiras a serem limpas dos cananeus, após os combates iniciais em torno de Jericó e Ai (</w:t>
      </w:r>
      <w:hyperlink r:id="rId9973">
        <w:r>
          <w:rPr>
            <w:color w:val="0000EE"/>
            <w:u w:val="single"/>
          </w:rPr>
          <w:t>Js 6</w:t>
        </w:r>
      </w:hyperlink>
      <w:r>
        <w:t xml:space="preserve">; </w:t>
      </w:r>
      <w:hyperlink r:id="rId12318">
        <w:r>
          <w:rPr>
            <w:color w:val="0000EE"/>
            <w:u w:val="single"/>
          </w:rPr>
          <w:t>8</w:t>
        </w:r>
      </w:hyperlink>
      <w:r>
        <w:t>). O livro de Josué é um resumo de toda a campanha.</w:t>
      </w:r>
    </w:p>
    <w:p>
      <w:r/>
      <w:r>
        <w:t>Após a morte de Josué, Simeão e Judá continuaram a luta contra os cananeus e marcharam juntos contra a região montanhosa do sul, liderados por Calebe e Otniel. Embora o presente de Deus para Judá fosse toda a terra a oeste até o mar, Judá não conseguiu conquistar nada além das colinas. A planície era controlada por carros protegidos por ferro e cidades fortificadas. O rei de Jerusalém foi morto e Jerusalém foi queimada (</w:t>
      </w:r>
      <w:hyperlink r:id="rId11642">
        <w:r>
          <w:rPr>
            <w:color w:val="0000EE"/>
            <w:u w:val="single"/>
          </w:rPr>
          <w:t>Jz 1.8</w:t>
        </w:r>
      </w:hyperlink>
      <w:r>
        <w:t xml:space="preserve">), mas os jebuseus continuaram a ocupar a área até os dias de Davi (v </w:t>
      </w:r>
      <w:hyperlink r:id="rId3420">
        <w:r>
          <w:rPr>
            <w:color w:val="0000EE"/>
            <w:u w:val="single"/>
          </w:rPr>
          <w:t>21</w:t>
        </w:r>
      </w:hyperlink>
      <w:r>
        <w:t xml:space="preserve">). Os homens de Judá, como outros israelitas, podiam queimar cidades cananeias, mas geralmente não ocupavam os antigos locais. Sob os juízes, a tribo de Judá ainda estava isolada, embora Otniel fosse de Judá (cap </w:t>
      </w:r>
      <w:hyperlink r:id="rId12319">
        <w:r>
          <w:rPr>
            <w:color w:val="0000EE"/>
            <w:u w:val="single"/>
          </w:rPr>
          <w:t>3</w:t>
        </w:r>
      </w:hyperlink>
      <w:r>
        <w:t xml:space="preserve">). Na grande batalha contra Sísera, Judá nem sequer é mencionado (cap </w:t>
      </w:r>
      <w:hyperlink r:id="rId4184">
        <w:r>
          <w:rPr>
            <w:color w:val="0000EE"/>
            <w:u w:val="single"/>
          </w:rPr>
          <w:t>5</w:t>
        </w:r>
      </w:hyperlink>
      <w:r>
        <w:t xml:space="preserve">). Esse isolamento tribal logo foi perdido, primeiro através das invasões filisteias do oeste, e depois pela captura de Jerusalém por Davi e a colocação da capital nacional e religiosa ali. Embora em </w:t>
      </w:r>
      <w:hyperlink r:id="rId10104">
        <w:r>
          <w:rPr>
            <w:color w:val="0000EE"/>
            <w:u w:val="single"/>
          </w:rPr>
          <w:t>Jz 15.11</w:t>
        </w:r>
      </w:hyperlink>
      <w:r>
        <w:t xml:space="preserve"> os homens de Judá estejam preparados até mesmo para entregar Sansão aos filisteus, com Samuel como juiz, tudo muda. A arca retorna (</w:t>
      </w:r>
      <w:hyperlink r:id="rId7823">
        <w:r>
          <w:rPr>
            <w:color w:val="0000EE"/>
            <w:u w:val="single"/>
          </w:rPr>
          <w:t>1Sm 7.1</w:t>
        </w:r>
      </w:hyperlink>
      <w:r>
        <w:t xml:space="preserve">); o território perdido é recuperado (v </w:t>
      </w:r>
      <w:hyperlink r:id="rId1241">
        <w:r>
          <w:rPr>
            <w:color w:val="0000EE"/>
            <w:u w:val="single"/>
          </w:rPr>
          <w:t>14</w:t>
        </w:r>
      </w:hyperlink>
      <w:r>
        <w:t>). De fato, os filhos de Samuel atuam como juízes em Berseba (</w:t>
      </w:r>
      <w:hyperlink r:id="rId3450">
        <w:r>
          <w:rPr>
            <w:color w:val="0000EE"/>
            <w:u w:val="single"/>
          </w:rPr>
          <w:t>8.2</w:t>
        </w:r>
      </w:hyperlink>
      <w:r>
        <w:t>), embora sejam corruptos.</w:t>
      </w:r>
    </w:p>
    <w:p>
      <w:r/>
      <w:r>
        <w:t>Davi finalmente quebra o poder dos filisteus em uma série de vitórias e governa como rei primeiro em Hebrom, a principal cidade de Judá (</w:t>
      </w:r>
      <w:hyperlink r:id="rId12320">
        <w:r>
          <w:rPr>
            <w:color w:val="0000EE"/>
            <w:u w:val="single"/>
          </w:rPr>
          <w:t>2Sm 2.1–4</w:t>
        </w:r>
      </w:hyperlink>
      <w:r>
        <w:t>). Quando ele é coroado rei de todo Israel, no entanto, ele move a capital para a recém-conquistada Jerusalém, na fronteira norte da tribo de Judá (</w:t>
      </w:r>
      <w:hyperlink r:id="rId12321">
        <w:r>
          <w:rPr>
            <w:color w:val="0000EE"/>
            <w:u w:val="single"/>
          </w:rPr>
          <w:t>5.6–10</w:t>
        </w:r>
      </w:hyperlink>
      <w:r>
        <w:t xml:space="preserve">). Aqui a arca seria trazida (cap </w:t>
      </w:r>
      <w:hyperlink r:id="rId6587">
        <w:r>
          <w:rPr>
            <w:color w:val="0000EE"/>
            <w:u w:val="single"/>
          </w:rPr>
          <w:t>6</w:t>
        </w:r>
      </w:hyperlink>
      <w:r>
        <w:t>), e aqui Salomão construiria o templo (</w:t>
      </w:r>
      <w:hyperlink r:id="rId12322">
        <w:r>
          <w:rPr>
            <w:color w:val="0000EE"/>
            <w:u w:val="single"/>
          </w:rPr>
          <w:t>7.13</w:t>
        </w:r>
      </w:hyperlink>
      <w:r>
        <w:t>). Todas as promessas de Deus a seguir se concentrarão em Jerusalém, no templo e na linhagem de Davi. Mais importante, o Messias viria de Judá (</w:t>
      </w:r>
      <w:hyperlink r:id="rId4733">
        <w:r>
          <w:rPr>
            <w:color w:val="0000EE"/>
            <w:u w:val="single"/>
          </w:rPr>
          <w:t>Gn 49.10</w:t>
        </w:r>
      </w:hyperlink>
      <w:r>
        <w:t>).</w:t>
      </w:r>
    </w:p>
    <w:p>
      <w:r/>
      <w:r>
        <w:t>A divisão entre as tribos do norte e do sul começou na vida de Davi, após a revolta de Absalão (</w:t>
      </w:r>
      <w:hyperlink r:id="rId12323">
        <w:r>
          <w:rPr>
            <w:color w:val="0000EE"/>
            <w:u w:val="single"/>
          </w:rPr>
          <w:t>2Sm 20.1</w:t>
        </w:r>
      </w:hyperlink>
      <w:r>
        <w:t>); após a morte de Salomão, a ruptura tornou-se completa (</w:t>
      </w:r>
      <w:hyperlink r:id="rId12324">
        <w:r>
          <w:rPr>
            <w:color w:val="0000EE"/>
            <w:u w:val="single"/>
          </w:rPr>
          <w:t>1Rs 12.16</w:t>
        </w:r>
      </w:hyperlink>
      <w:r>
        <w:t xml:space="preserve">). Daí em diante, por 200 anos, até a queda do reino do norte em 722 a.C., havia dois pequenos reinos lado a lado: um maior no norte e leste, chamado Israel (as “dez tribos” de </w:t>
      </w:r>
      <w:hyperlink r:id="rId12325">
        <w:r>
          <w:rPr>
            <w:color w:val="0000EE"/>
            <w:u w:val="single"/>
          </w:rPr>
          <w:t>1Rs 11.35</w:t>
        </w:r>
      </w:hyperlink>
      <w:r>
        <w:t>), e um menor no sul, chamado Judá. Com isso, a história de Judá como tribo praticamente chega ao fim, pois embora ainda chamada pelo antigo nome tribal, este pequeno reino era realmente uma “Grande Judá”. Agora continha não apenas a antiga tribo de Judá, mas também o território de Jerusalém recém-conquistado dos jebuseus, parte do antigo país dos filisteus, e as tribos de Benjamim e Simeão, bem como muitos levitas (</w:t>
      </w:r>
      <w:hyperlink r:id="rId12326">
        <w:r>
          <w:rPr>
            <w:color w:val="0000EE"/>
            <w:u w:val="single"/>
          </w:rPr>
          <w:t>2Cr 11.14</w:t>
        </w:r>
      </w:hyperlink>
      <w:r>
        <w:t>) e outros “leais” do norte. De fato, a partir de agora, “tribo” tinha muito menos significado do que antes; era mais importante onde uma pessoa vivia do que de qual tribo ela era, embora, dentro da família, as origens tribais continuassem a ser lembradas. Por mais 250 anos, o pequeno reino de Judá persistiu sozinho. Mesmo após o exílio, foi a pequena província de Judá que emergiu sob Neemias (</w:t>
      </w:r>
      <w:hyperlink r:id="rId12327">
        <w:r>
          <w:rPr>
            <w:color w:val="0000EE"/>
            <w:u w:val="single"/>
          </w:rPr>
          <w:t>Ne 1.2–3</w:t>
        </w:r>
      </w:hyperlink>
      <w:r>
        <w:t>), e a Judeia ainda permaneceu como um distrito nos dias do NT (</w:t>
      </w:r>
      <w:hyperlink r:id="rId9463">
        <w:r>
          <w:rPr>
            <w:color w:val="0000EE"/>
            <w:u w:val="single"/>
          </w:rPr>
          <w:t>Lc 3.1</w:t>
        </w:r>
      </w:hyperlink>
      <w:r>
        <w:t xml:space="preserve">). De fato, a grande maioria dos judeus posteriores era da tribo de Judá, como o próprio nome “judeu” mostra. Mas a principal glória da tribo de Judá, agora como sempre, era que a casa de Davi surgiu dela. Quando Jesus Cristo nasceu, ele seria da linhagem de Davi e da tribo de Judá. Assim é que em </w:t>
      </w:r>
      <w:hyperlink r:id="rId9707">
        <w:r>
          <w:rPr>
            <w:color w:val="0000EE"/>
            <w:u w:val="single"/>
          </w:rPr>
          <w:t>Ap 7.5</w:t>
        </w:r>
      </w:hyperlink>
      <w:r>
        <w:t>, quando 12.000 são selados de cada tribo, Judá tem lugar de destaque na lista, como tinha em Números (</w:t>
      </w:r>
      <w:hyperlink r:id="rId1088">
        <w:r>
          <w:rPr>
            <w:color w:val="0000EE"/>
            <w:u w:val="single"/>
          </w:rPr>
          <w:t>Nm 2.3</w:t>
        </w:r>
      </w:hyperlink>
      <w:r>
        <w:t>) há tanto tempo.</w:t>
      </w:r>
    </w:p>
    <w:p>
      <w:r/>
      <w:r>
        <w:rPr>
          <w:i/>
        </w:rPr>
        <w:t>Veja também</w:t>
      </w:r>
      <w:r>
        <w:t xml:space="preserve"> </w:t>
      </w:r>
      <w:r>
        <w:t>Judá (Pessoa) #1</w:t>
      </w:r>
      <w:r>
        <w:t>.</w:t>
      </w:r>
      <w:r/>
      <w:r/>
    </w:p>
    <w:p>
      <w:r/>
    </w:p>
    <w:p>
      <w:pPr>
        <w:pStyle w:val="Heading2"/>
      </w:pPr>
      <w:r>
        <w:t>Judaísmo</w:t>
      </w:r>
      <w:r/>
    </w:p>
    <w:p>
      <w:r/>
      <w:r>
        <w:t>Religião e cultura do povo judeu desde o início do período pós-exílico (538 a.C.) até os tempos modernos. O termo “judaísmo” é derivado de “Judá”, o nome do reino do sul do antigo Israel, enquanto “judeu” é uma forma abreviada de “judeano”.</w:t>
      </w:r>
    </w:p>
    <w:p>
      <w:pPr>
        <w:pStyle w:val="Heading3"/>
      </w:pPr>
      <w:r>
        <w:t>O período do Segundo Templo (515 a.C. – 70 d.C.)</w:t>
      </w:r>
    </w:p>
    <w:p>
      <w:pPr>
        <w:pStyle w:val="Heading4"/>
      </w:pPr>
      <w:r>
        <w:t>Levantamento histórico</w:t>
      </w:r>
    </w:p>
    <w:p>
      <w:r/>
      <w:r>
        <w:t>O reino unido de Israel sob Saul, Davi e Salomão chegou ao fim logo após a morte de Salomão. Roboão, seu filho, provocou uma revolta por volta de 930 a.C. por parte das 10 tribos do norte, cobrando impostos excessivamente altos (</w:t>
      </w:r>
      <w:hyperlink r:id="rId12328">
        <w:r>
          <w:rPr>
            <w:color w:val="0000EE"/>
            <w:u w:val="single"/>
          </w:rPr>
          <w:t>1Rs 12</w:t>
        </w:r>
      </w:hyperlink>
      <w:r>
        <w:t>). Daquele momento em diante, os reinos de Israel (ou Samaria, o reino do norte) e Judá (o reino do sul) mantiveram uma existência separada. O reino do norte caiu diante dos Assírios em 722 a.C., e milhares de cativos, principalmente membros do clã superior, foram exilados à força e levados para Assíria, onde presumivelmente se casaram com a população nativa e desapareceram da história. O reino de Judá sobreviveu como um estado independente até 597 a.C., quando ficou sob o controle dos babilônios sob Nabucodonosor. O templo foi finalmente destruído em 586 a.C. e muitos cativos foram levados para a Babilônia, começando um período de exílio que duraria duas gerações. Os babilônios foram derrotados por Ciro, o persa, em 539 a.C., e no ano seguinte, o rei emitiu um decreto permitindo que todos os povos cativos retornassem para as terras de sua origem (</w:t>
      </w:r>
      <w:hyperlink r:id="rId6164">
        <w:r>
          <w:rPr>
            <w:color w:val="0000EE"/>
            <w:u w:val="single"/>
          </w:rPr>
          <w:t>2Cr 36.22–23</w:t>
        </w:r>
      </w:hyperlink>
      <w:r>
        <w:t xml:space="preserve">; </w:t>
      </w:r>
      <w:hyperlink r:id="rId4904">
        <w:r>
          <w:rPr>
            <w:color w:val="0000EE"/>
            <w:u w:val="single"/>
          </w:rPr>
          <w:t>Ed 1</w:t>
        </w:r>
      </w:hyperlink>
      <w:r>
        <w:t>). Pelo menos quatro ondas de expatriados judeus voltaram da Mesopotâmia para a Judeia durante o século após o decreto de Ciro, sob líderes como Sesbazar, Zorobabel, Esdras e Neemias. Muitos judeus, no entanto, escolheram permanecer em sua terra natal adotada na Mesopotâmia. A dedicação do segundo templo na primavera de 515 a.C. forneceu um fim formal para o período exílico de 70 anos (</w:t>
      </w:r>
      <w:hyperlink r:id="rId11657">
        <w:r>
          <w:rPr>
            <w:color w:val="0000EE"/>
            <w:u w:val="single"/>
          </w:rPr>
          <w:t>Jr 29.10</w:t>
        </w:r>
      </w:hyperlink>
      <w:r>
        <w:t>), e foi um resultado direto das exortações proféticas de Ageu e Zacarias.</w:t>
      </w:r>
    </w:p>
    <w:p>
      <w:r/>
      <w:r>
        <w:t>Na Judeia, o povo judeu era governado por homens que exerciam funções de acordo com a vontade do rei persa. Um dos governadores anteriores era Zorobabel (</w:t>
      </w:r>
      <w:hyperlink r:id="rId495">
        <w:r>
          <w:rPr>
            <w:color w:val="0000EE"/>
            <w:u w:val="single"/>
          </w:rPr>
          <w:t>Ag 1:1</w:t>
        </w:r>
      </w:hyperlink>
      <w:r>
        <w:t xml:space="preserve">; </w:t>
      </w:r>
      <w:hyperlink r:id="rId12329">
        <w:r>
          <w:rPr>
            <w:color w:val="0000EE"/>
            <w:u w:val="single"/>
          </w:rPr>
          <w:t>2.1–2</w:t>
        </w:r>
      </w:hyperlink>
      <w:r>
        <w:t>), um descendente de Davi (</w:t>
      </w:r>
      <w:hyperlink r:id="rId12330">
        <w:r>
          <w:rPr>
            <w:color w:val="0000EE"/>
            <w:u w:val="single"/>
          </w:rPr>
          <w:t>1Cr 3.10–19</w:t>
        </w:r>
      </w:hyperlink>
      <w:r>
        <w:t>). De certa forma, ele compartilhava o governo com o sumo sacerdote Jesua, filho de Jozadaque. A Palestina fazia parte de uma das 20 satrapias do Império Persa, que durou de 539 a 331 a.C., quando caiu diante dos gregos sob Alexandre, o Grande. Pouco se sabe sobre os desenvolvimentos históricos na Palestina durante a maior parte do período persa. Quando Alexandre morreu em 323 a.C., seu império foi dividido entre seus generais; o Egito e a Palestina caíram diante de Ptolomeu I. Os Ptolomeus eram déspotas benevolentes que permitiam aos judeus da Palestina uma medida de liberdade e autonomia. Após a batalha de Paneion em 198 a.C., a Palestina ficou sob o governo do Império Selêucida, fundado por Seleuco I, outro dos generais de Alexandre.</w:t>
      </w:r>
    </w:p>
    <w:p>
      <w:r/>
      <w:r>
        <w:t>O Império Selêucida abraçou uma área muito grande com uma população diversificada, que se estende da Ásia Menor e da Palestina no oeste até as fronteiras da Índia no leste. Antíoco IV (Epifânio) ascendeu ao trono selêucida em 175 a.C. e tentou unificar seu vasto império helenizando-o (isto é, forçando a adoção da língua e da cultura gregas). As civilizações e religiões locais foram suprimidas à força como resultado desta política, e o estado judaico na Palestina foi talvez o mais atingido de todos. Em 167 a.C. Antíoco IV dedicou o templo em Jerusalém a Zeus olímpico, sacrificou uma porca no altar, destruiu pergaminhos que continham as Escrituras judaicas e proibiu o rito da circuncisão. Esta repressão desencadeou uma revolta liderada por um sacerdote idoso chamado Matatias e seus filhos. Os selêucidas foram repelidos, e finalmente, em 164 a.C. o templo foi retomado pelo filho de Matatias, Judas, o Macabeu (um epíteto que significa “o martelo”). Esta vitória judaica vem sendo comemorada anualmente pelo festival de Chanucá (“dedicação”). Judas e seus irmãos, chamados Macabeus ou Asmoneus (Matatias era da casa dos Asmoneus), e seus descendentes governaram a Judeia de 164 a 63 a.C., quando a Palestina caiu diante do general romano Pompeu. Depois disso, a Palestina permaneceu um território vassalo de Roma.</w:t>
      </w:r>
    </w:p>
    <w:p>
      <w:r/>
      <w:r>
        <w:t xml:space="preserve">Hircano, um Asmoneu, foi sumo sacerdote após a conquista da Judeia pelos romanos, embora Antípatro (um idumeu) fosse o verdadeiro poder por trás de Hircano. Os filhos de Antípatro, Fasael e Herodes, eram governadores de Jerusalém e da Galileia, respectivamente. Após o assassinato de Antípatro em 43 a.C., e através de suas conexões em Roma, Herodes (mais tarde chamado de Herodes, o Grande) foi nomeado rei da Judeia pelo senado romano; ele reinou de 37 a 4 a.C. Quando ele morreu, a Palestina foi dividida pelo imperador Augusto (27 a.C. a 14 d.C.) e colocada sob o governo de três dos filhos de Herodes: Herodes Arquelau (etnarca da Judeia, Iduméia e Samaria de 4 a.C. a 6 d.C.), Herodes Antipas (tetrarca da Galileia e Pereia de 4 a.C. a 39 d.C.) e Herodes Filipe (tetrarca de Batanéia, Traconites e outros pequenos estados de 4 a.C. a 34 d.C.). Esses territórios foram de forma geral colocados sob procuradores romanos depois que os filhos de Herodes haviam morrido ou sido depostos. Por um breve período (41–44 d.C.), Herodes Agripa I, neto de Herodes, o Grande, governou virtualmente o mesmo território que seu avô. Após sua morte (narrada em </w:t>
      </w:r>
      <w:hyperlink r:id="rId2855">
        <w:r>
          <w:rPr>
            <w:color w:val="0000EE"/>
            <w:u w:val="single"/>
          </w:rPr>
          <w:t>Atos 12.20–23</w:t>
        </w:r>
      </w:hyperlink>
      <w:r>
        <w:t>), seus territórios foram colocados sob procuradores romanos. A ganância e ineptidão desses procuradores provocaram a população judaica a se rebelar. A revolta judaica de 66–73 d.C. resultou na destruição do segundo templo pela décima legião romana sob Tito em 70 d.C. A revolta foi completamente suprimida em 73 d.C. quando mais de 900 judeus sitiados na fortaleza do deserto de Massada, perto do Mar Morto, cometeram suicídio em vez de cair nas mãos dos romanos. Esses eventos trágicos terminaram permanentemente o culto do templo e o sistema sacerdotal no judaísmo.</w:t>
      </w:r>
    </w:p>
    <w:p>
      <w:pPr>
        <w:pStyle w:val="Heading4"/>
      </w:pPr>
      <w:r>
        <w:t>Desenvolvimentos sociais e religiosos</w:t>
      </w:r>
    </w:p>
    <w:p>
      <w:r/>
      <w:r>
        <w:t>A conquista babilônica da Judeia e a destruição do templo salomônico em 586 a.C. produziram mudanças sociais e religiosas dramáticas na vida judaica. A interrupção do culto do templo causou um sério golpe no coração da religião israelita, uma vez que o templo de Jerusalém por si só era o lugar legítimo e divinamente nomeado para descarregar grande parte da exigência ritual da lei mosaica, principalmente o culto sacrificial. Mesmo os três festivais anuais de peregrinação, Sucot (Tabernáculos), Pessach (Páscoa) e Shavuot (Semanas) não poderiam mais ser observados por judeus piedosos que haviam permanecido na Judeia após 586 a.C. Quando, após 538 a.C. muitos exilados escolheram voltar para a Judeia, muitos outros decidiram permanecer em sua nova terra natal. Para estes, o culto do templo, mesmo quando restituído em 516 a.C., não poderia mais desempenhar um papel significativo em suas vidas religiosas.</w:t>
      </w:r>
    </w:p>
    <w:p>
      <w:r/>
      <w:r>
        <w:t xml:space="preserve">Durante o período exílico e pós-exílico inicial, a instituição judaica singular da sinagoga (uma palavra grega que significa “lugar de reunião”) começou a evoluir. A sinagoga se tornou uma instituição tão popular e útil para as comunidades judaicas fora da Palestina que nos séculos após a dedicação do segundo templo, elas surgiram em toda a Palestina, muitas na própria Jerusalém. No final do período do segundo templo, a sinagoga havia vindo para desempenhar três funções importantes na vida judaica: servia como uma casa de oração, uma casa de estudo e um lugar de encontro. A adoração na sinagoga do primeiro século d.C. é ilustrada em </w:t>
      </w:r>
      <w:hyperlink r:id="rId6411">
        <w:r>
          <w:rPr>
            <w:color w:val="0000EE"/>
            <w:u w:val="single"/>
          </w:rPr>
          <w:t>Lucas 4.16–30</w:t>
        </w:r>
      </w:hyperlink>
      <w:r>
        <w:t xml:space="preserve"> e </w:t>
      </w:r>
      <w:hyperlink r:id="rId12331">
        <w:r>
          <w:rPr>
            <w:color w:val="0000EE"/>
            <w:u w:val="single"/>
          </w:rPr>
          <w:t>Atos 13.13–42</w:t>
        </w:r>
      </w:hyperlink>
      <w:r>
        <w:t xml:space="preserve">. O foco do serviço era uma leitura de uma seleção da Torá (Lei de Moisés), então da Haftorá (Profetas). Essas leituras eram seguidas por uma homilia baseada nas Escrituras. Outros elementos na adoração da sinagoga do primeiro século d.C. incluíam a recitação de Shema (“Ouve, ó Israel”), uma combinação de passagens bíblicas, incluindo </w:t>
      </w:r>
      <w:hyperlink r:id="rId1340">
        <w:r>
          <w:rPr>
            <w:color w:val="0000EE"/>
            <w:u w:val="single"/>
          </w:rPr>
          <w:t>Deuteronômio 6.4–9</w:t>
        </w:r>
      </w:hyperlink>
      <w:r>
        <w:t xml:space="preserve">; </w:t>
      </w:r>
      <w:hyperlink r:id="rId9339">
        <w:r>
          <w:rPr>
            <w:color w:val="0000EE"/>
            <w:u w:val="single"/>
          </w:rPr>
          <w:t>11.13–21</w:t>
        </w:r>
      </w:hyperlink>
      <w:r>
        <w:t xml:space="preserve"> e </w:t>
      </w:r>
      <w:hyperlink r:id="rId12332">
        <w:r>
          <w:rPr>
            <w:color w:val="0000EE"/>
            <w:u w:val="single"/>
          </w:rPr>
          <w:t>Números 15.37–41</w:t>
        </w:r>
      </w:hyperlink>
      <w:r>
        <w:t xml:space="preserve">, e a Shemoneh Esreh (Dezoito Bênçãos) chamada Amidah (“em pé”) porque era recitada em pé. Os judeus também usavam franjas em suas roupas em obediência a </w:t>
      </w:r>
      <w:hyperlink r:id="rId12333">
        <w:r>
          <w:rPr>
            <w:color w:val="0000EE"/>
            <w:u w:val="single"/>
          </w:rPr>
          <w:t>Números 15.38–39</w:t>
        </w:r>
      </w:hyperlink>
      <w:r>
        <w:t xml:space="preserve"> (</w:t>
      </w:r>
      <w:hyperlink r:id="rId8209">
        <w:r>
          <w:rPr>
            <w:color w:val="0000EE"/>
            <w:u w:val="single"/>
          </w:rPr>
          <w:t>Mt 23.5</w:t>
        </w:r>
      </w:hyperlink>
      <w:r>
        <w:t xml:space="preserve">), e filactérios em suas testas e braços esquerdos. Os filactérios são pequenas caixas contendo as porções das Escrituras recitadas em Shema; eles eram usados na realização literal do comando em </w:t>
      </w:r>
      <w:hyperlink r:id="rId9645">
        <w:r>
          <w:rPr>
            <w:color w:val="0000EE"/>
            <w:u w:val="single"/>
          </w:rPr>
          <w:t>Deuteronômio 6.8</w:t>
        </w:r>
      </w:hyperlink>
      <w:r>
        <w:t>. Arqueólogos descobriram filactérios do primeiro século nas ruínas de Massada.</w:t>
      </w:r>
    </w:p>
    <w:p>
      <w:r/>
      <w:r>
        <w:t>Fora da Palestina, a Mesopotâmia se tornou o segundo centro mais importante do judaísmo. A comunidade judaica babilônica era conhecida como Golah (“cativeiro”), e seu chefe principal era chamado de Resh Galuta ou Exilarca (ambos os termos significam “líder do cativeiro”). No final do período exílico, os descendentes dos antigos cativos originais haviam esquecido o hebraico e haviam adotado o aramaico, a língua internacional do antigo Oriente Próximo e a língua irmã do hebraico, como sua primeira língua. Mesmo na Palestina, o aramaico era a principal língua falada. Assim, quando porções das Escrituras eram lidas nos serviços da sinagoga em hebraico, a maioria dos presentes era incapaz de entender o que era lido. Este problema foi resolvido fornecendo um homem intérprete (tradutor) que traduziria oralmente breves seções das Escrituras. Eventualmente, esses targumim (“traduções”) foram reduzidos a escrita, começando no segundo século d.C.</w:t>
      </w:r>
    </w:p>
    <w:p>
      <w:r/>
      <w:r>
        <w:t>No primeiro século d.C., havia sido estimado que havia de quatro a sete milhões de judeus no mundo greco-romano, talvez três a quatro vezes a população da Palestina. Os judeus em terras fora da Palestina vieram a ser conhecidos coletivamente como a Diáspora (“espalhados”). Depois que os gregos dominaram o mundo mediterrâneo através de Alexandre e seus sucessores, o grego se tornou a língua comum em toda esta região. Assim como os judeus da Mesopotâmia falavam aramaico no lugar do hebraico, os judeus no mundo greco-romano começaram a falar grego. Em meados do terceiro século a.C., os judeus helenísticos começaram a traduzir as Escrituras hebraicas para o grego. Esta tradução, chamada Septuaginta (um termo que significa “setenta”, baseado em uma lenda de que foi traduzida simultaneamente por setenta estudiosos judeus), continha um cânone das Escrituras mais extenso do que o reconhecido pelo judaísmo palestino. Isso reflete as atitudes mais liberais dos judeus helenísticos.</w:t>
      </w:r>
    </w:p>
    <w:p>
      <w:r/>
      <w:r>
        <w:t>Durante o segundo século a.C., a maioria das principais seitas dentro do judaísmo palestino surgiu. Os chassídicos (“piedosos”) eram membros de uma associação religiosa que ajudaram os asmoneus na revolta contra os selêucidas (</w:t>
      </w:r>
      <w:hyperlink r:id="rId8487">
        <w:r>
          <w:rPr>
            <w:color w:val="0000EE"/>
            <w:u w:val="single"/>
          </w:rPr>
          <w:t>1Mc 2.42</w:t>
        </w:r>
      </w:hyperlink>
      <w:r>
        <w:t xml:space="preserve">; </w:t>
      </w:r>
      <w:hyperlink r:id="rId12334">
        <w:r>
          <w:rPr>
            <w:color w:val="0000EE"/>
            <w:u w:val="single"/>
          </w:rPr>
          <w:t>7.13</w:t>
        </w:r>
      </w:hyperlink>
      <w:r>
        <w:t xml:space="preserve">), mas mais tarde se opuseram a eles quando eles reivindicaram direitos ao sacerdócio. Tanto os fariseus quanto os essênios podem ter sua origem nesta seita religiosa. Os saduceus talvez estivessem conectados a Zadoque, um sumo sacerdote nomeado por Davi. Os descendentes de Zadoque eram considerados como a única linhagem sacerdotal legítima; eles eram dedicados acima dos levitas em </w:t>
      </w:r>
      <w:hyperlink r:id="rId2164">
        <w:r>
          <w:rPr>
            <w:color w:val="0000EE"/>
            <w:u w:val="single"/>
          </w:rPr>
          <w:t>Ezequiel 40–48</w:t>
        </w:r>
      </w:hyperlink>
      <w:r>
        <w:t>. Os saduceus eram uma classe rica e aristocrática que monopolizava o alto sacerdócio. Eles não acreditavam em anjos, espíritos, vida após a morte ou a ressurreição (</w:t>
      </w:r>
      <w:hyperlink r:id="rId12335">
        <w:r>
          <w:rPr>
            <w:color w:val="0000EE"/>
            <w:u w:val="single"/>
          </w:rPr>
          <w:t>Atos 23.8</w:t>
        </w:r>
      </w:hyperlink>
      <w:r>
        <w:t>), nem aceitavam a validade da lei oral desenvolvida pelos fariseus. Eles não deixaram escritos e desapareceram com a destruição do templo em 70 d.C.</w:t>
      </w:r>
    </w:p>
    <w:p>
      <w:r/>
      <w:r>
        <w:t>Os fariseus (“separados”) aparecem pela primeira vez em nossas fontes no final do segundo século a.C. e estavam envolvidos principalmente em assuntos políticos. Eles representavam as pessoas comuns contra o tirânico governante asmoneu Alexandre Janeu (103–76 a.C.), que causou a morte de centenas de fariseus mortos em represália. No primeiro século d.C., os fariseus parecem inteiramente interessados em assuntos religiosos e eram notados pela observância escrupulosa da lei mosaica, como tradicionalmente interpretada. Por motivos de pureza ritual, eles se separaram de outros judeus que não eram tão escrupulosos e que poderiam contaminá-los. Os fariseus prosseguiram em grupos chamados Haberim (“associados”) nos quais eles eram isolados daqueles que eram relaxados religiosamente. Em seu zelo por permanecer fiéis à lei mosaica, os fariseus desenvolveram uma lei oral (mais tarde erroneamente atribuída a Moisés) que servia como uma cerca ao redor da Torá. Esta lei oral era uma interpretação e expansão dos 613 mandamentos na lei mosaica; foi finalmente compilada e reduzida à forma escrita como a Mishná (“ensino”) no final do segundo século d.C. Paulo (</w:t>
      </w:r>
      <w:hyperlink r:id="rId4901">
        <w:r>
          <w:rPr>
            <w:color w:val="0000EE"/>
            <w:u w:val="single"/>
          </w:rPr>
          <w:t>Atos 22.3</w:t>
        </w:r>
      </w:hyperlink>
      <w:r>
        <w:t xml:space="preserve">; </w:t>
      </w:r>
      <w:hyperlink r:id="rId12336">
        <w:r>
          <w:rPr>
            <w:color w:val="0000EE"/>
            <w:u w:val="single"/>
          </w:rPr>
          <w:t>23.6</w:t>
        </w:r>
      </w:hyperlink>
      <w:r>
        <w:t xml:space="preserve">; </w:t>
      </w:r>
      <w:hyperlink r:id="rId8482">
        <w:r>
          <w:rPr>
            <w:color w:val="0000EE"/>
            <w:u w:val="single"/>
          </w:rPr>
          <w:t>26.5</w:t>
        </w:r>
      </w:hyperlink>
      <w:r>
        <w:t xml:space="preserve">; </w:t>
      </w:r>
      <w:hyperlink r:id="rId3431">
        <w:r>
          <w:rPr>
            <w:color w:val="0000EE"/>
            <w:u w:val="single"/>
          </w:rPr>
          <w:t>Fp 3.5</w:t>
        </w:r>
      </w:hyperlink>
      <w:r>
        <w:t>) e muitos outros cristãos primitivos foram convertidos do farisaísmo (</w:t>
      </w:r>
      <w:hyperlink r:id="rId6072">
        <w:r>
          <w:rPr>
            <w:color w:val="0000EE"/>
            <w:u w:val="single"/>
          </w:rPr>
          <w:t>Atos 15.5</w:t>
        </w:r>
      </w:hyperlink>
      <w:r>
        <w:t>). O judaísmo farisaico sobreviveu à destruição de Jerusalém em 70 d.C. para formar o judaísmo rabínico que dominou a vida religiosa judaica do segundo século até os tempos modernos.</w:t>
      </w:r>
    </w:p>
    <w:p>
      <w:r/>
      <w:r>
        <w:t>Os essênios eram outra seita religiosa dentro do judaísmo que teve suas origens no segundo século a.C. Como os fariseus, os essênios estavam interessados principalmente em manter a pureza ritual na obediência à lei de Moisés. Os essênios viviam e trabalhavam na sociedade judaica; eles tentavam influenciar as pessoas pela vida simples e altruísta que eles seguiam. Alguns essênios também viviam em suas próprias comunidades, para as quais eles voltavam todas as noites após o trabalho. Havia numerosas facções religiosas dentro do judaísmo, e um desses grupos, que pode ter apenas tido conexões vagas com os essênios, estabeleceu uma comunidade na margem ocidental do Mar Morto. Este grupo se considerava o verdadeiro Israel e no deserto se preparava para a visitação final de Deus, mantendo-se puro de toda contaminação. Muitos documentos escritos por membros desta seita foram descobertos em cavernas perto do Mar Morto, onde eles haviam sido escondidos pouco antes dos romanos destruírem o povoado. Esses documentos, os Manuscritos do Mar Morto, forneceram informações detalhadas sobre esta seita religiosa e suas crenças.</w:t>
      </w:r>
    </w:p>
    <w:p>
      <w:r/>
      <w:r>
        <w:t>Os zelotes eram outra seita judaica, que pode estar relacionada com os sicários (“homens com punhal”). Este grupo de ativistas políticos desenvolveu-se de 6 a 66 d.C. Tendo somente a Deus como seu soberano, eles tentaram derrubar os romanos e aqueles que colaboraram com eles por meios violentos, incluindo assassinatos. Eles ajudaram a fomentar a revolta judaica de 66–73 d.C. e pereceram com Jerusalém em 70 d.C.</w:t>
      </w:r>
    </w:p>
    <w:p>
      <w:r/>
      <w:r>
        <w:t xml:space="preserve">As classes sociais e status na Palestina do primeiro século d.C. eram determinados de acordo com as regras de pureza ritual. As classes superiores compreendiam membros do estabelecimento religioso, como os saduceus, escribas, fariseus e sacerdotes de Jerusalém. O Sinédrio era um corpo deliberativo que era formado por membros desses grupos. Para todos os propósitos práticos, não havia classes medianas. As classes inferiores consistiam principalmente do Am ha'aretz (“povo da terra”) — judeus que eram ignorantes da lei através da falta de educação e que não observavam escrupulosamente esses mandamentos com os quais estavam familiarizados. A atitude geralmente hostil dos fariseus em relação aos homens de Am ha'aretz é expressa em </w:t>
      </w:r>
      <w:hyperlink r:id="rId12337">
        <w:r>
          <w:rPr>
            <w:color w:val="0000EE"/>
            <w:u w:val="single"/>
          </w:rPr>
          <w:t>João 7.49</w:t>
        </w:r>
      </w:hyperlink>
      <w:r>
        <w:t xml:space="preserve">: “Essa gente que não conhece a Lei está amaldiçoada por Deus.” (NTLH). Havia ainda outra classe social na Palestina do primeiro século, que pode ser designada como “intocáveis”. Este grupo era composto de samaritanos, cobradores de impostos, prostitutas, pastores, leprosos, gentios e talvez o pior de tudo, judeus que se tornaram gentios (p. ex., o filho pródigo de </w:t>
      </w:r>
      <w:hyperlink r:id="rId8697">
        <w:r>
          <w:rPr>
            <w:color w:val="0000EE"/>
            <w:u w:val="single"/>
          </w:rPr>
          <w:t>Lc 15.11–32</w:t>
        </w:r>
      </w:hyperlink>
      <w:r>
        <w:t>). As regras de pureza ritual, como geralmente observadas, impediam qualquer forma de contato social entre as classes superiores e os intocáveis, e tornavam os contatos com os Am ha'aretz altamente indesejáveis. Neste contexto, o horror dos fariseus sobre a associação de Jesus com os cobradores de impostos e pecadores é completamente compreensível (</w:t>
      </w:r>
      <w:hyperlink r:id="rId12338">
        <w:r>
          <w:rPr>
            <w:color w:val="0000EE"/>
            <w:u w:val="single"/>
          </w:rPr>
          <w:t>Mc 2.15–17</w:t>
        </w:r>
      </w:hyperlink>
      <w:r>
        <w:t>).</w:t>
      </w:r>
    </w:p>
    <w:p>
      <w:r/>
      <w:r>
        <w:t>Uma consequência adicional deste critério religioso para determinar classes e status sociais era uma tensão desconfortável entre Jerusalém e as áreas rurais da Palestina, especialmente a Galileia, durante os últimos dois séculos do período do segundo templo. Aqueles em Jerusalém consideravam a Galileia como um lugar onde a ignorância da Torá era a regra (</w:t>
      </w:r>
      <w:hyperlink r:id="rId9744">
        <w:r>
          <w:rPr>
            <w:color w:val="0000EE"/>
            <w:u w:val="single"/>
          </w:rPr>
          <w:t>Jo 1.46</w:t>
        </w:r>
      </w:hyperlink>
      <w:r>
        <w:t xml:space="preserve">). Jerusalém era principalmente um centro religioso, onde a principal indústria era o culto no templo. A população total de Jerusalém no primeiro século d.C. foi estimada em 25.000 a 40.000 pessoas. A maioria desses eram artesãos e artífices dedicados a construir e adornar o templo (ainda incompleto antes de ser destruído; veja </w:t>
      </w:r>
      <w:hyperlink r:id="rId11664">
        <w:r>
          <w:rPr>
            <w:color w:val="0000EE"/>
            <w:u w:val="single"/>
          </w:rPr>
          <w:t>Jo 2.20</w:t>
        </w:r>
      </w:hyperlink>
      <w:r>
        <w:t>) ou sacerdotes e levitas envolvidos nas muitas atividades rituais do templo. Embora fosse esperado dos judeus que viajassem para Jerusalém para cada um dos três festivais de peregrinação anuais, este requisito provou-se difícil para os agricultores palestinos rurais.</w:t>
      </w:r>
    </w:p>
    <w:p>
      <w:r/>
      <w:r>
        <w:t>Além disso, a porção exigida pelo mandamento mosaico estava apenas nos produtos da terra, não sobre salários ou bens trocados. Os agricultores rurais, portanto, carregavam o peso desta taxação e naturalmente se ressentiram da posição privilegiada dos artesãos urbanos, mercadores e sacerdotes que não eram obrigados a participar. A tentação de não dizimar os produtos da terra era muito grande, e muitos agricultores sucumbiam a ela. Seus produtos não dizimados não eram kosher, e assim deveriam ser evitados por aqueles, como os fariseus, que eram religiosamente escrupulosos. Além da primeira e segunda partes exigidas dos agricultores (a segunda parte tinha que ser gasta nas proximidades de Jerusalém), estima-se que as taxas de impostos romanas totalizavam de 10 a 15% da renda de um indivíduo. Os impostos religiosos, juntamente com os impostos romanos, somaram-se em uma taxa esmagadora de 25 a 30%. O fato de que os judeus finalmente se revoltaram contra seus opressores romanos em 66 d.C. não é difícil de entender. Ao longo do primeiro século d.C., de fato, pequenas revoltas na Palestina ocorreram com frequência previsível. Muitos delas ocorreram durante os três festivais de peregrinação anuais em Jerusalém, quando a população normal de 25.000 a 40.000 aumentou para 500.000 ou mais. Esses festivais forneciam oportunidades ideais para revoltas, e os romanos estavam especialmente alertas para tais eventualidades. Jesus foi morto durante um desses festivais de Páscoa, porque ele era suspeito de ser um revolucionário político (</w:t>
      </w:r>
      <w:hyperlink r:id="rId5964">
        <w:r>
          <w:rPr>
            <w:color w:val="0000EE"/>
            <w:u w:val="single"/>
          </w:rPr>
          <w:t>Mc 15.26</w:t>
        </w:r>
      </w:hyperlink>
      <w:r>
        <w:t>).</w:t>
      </w:r>
    </w:p>
    <w:p>
      <w:r/>
      <w:r>
        <w:t>O período do segundo templo forneceu o cenário para a ascensão e queda do apocalipticismo dentro do judaísmo. O Apocalipticismo (de uma palavra grega que significa “revelação”) era um tipo de escatologia (“relato dos eventos finais”) que assumia que as condições ideais não poderiam ser restauradas na terra a menos que Deus intervisse primeiro drasticamente para destruir o mal (especialmente os opressores estrangeiros) e vindicar os justos (Israel). Os visionários apocalípticos compuseram muitos documentos, chamados apocalipses, nos quais eles tentaram ler os sinais dos tempos e prever a vinda da visitação de Deus. Uma vez que havia uma consciência generalizada de que a era da profecia havia terminado, esses apocaliptistas escreveram não sob seus próprios nomes, mas sob os nomes dos antigos dignitários israelitas, como Moisés, Abraão, Enoque e Esdras. Entre as expectativas mais significativas do apocalipticismo judaico estavam (1) a vinda de um Messias; (2) a vinda de um grande período de tribulação, às vezes chamado de misérias messiânicas; (3) a ressurreição dos justos; (4) o julgamento dos ímpios e a recompensa dos justos. As crenças apocalípticas provavelmente forneceram a motivação para a maioria — se não todas — das revoltas judaicas contra os romanos.</w:t>
      </w:r>
    </w:p>
    <w:p>
      <w:r/>
      <w:r>
        <w:t>Algumas porções das Escrituras Hebraicas ainda estavam no processo de composição no início do período do segundo templo. Os últimos três livros proféticos — Ageu, Zacarias e Malaquias — foram escritos do final do sexto até meados do quinto século a.C. Rabinos posteriores expressaram a opinião de que o Espírito de Deus havia sido tomado de Israel quando esses profetas cessaram seus trabalhos. O Cronista termina seu trabalho referindo-se ao decreto de Ciro (538 a.C.), e tanto Esdras-Neemias quanto Ester parecem ter sido escritos no quinto século a.C.</w:t>
      </w:r>
    </w:p>
    <w:p>
      <w:r/>
      <w:r>
        <w:t xml:space="preserve">O período do segundo templo testemunhou não apenas a conclusão desses escritos que foram mais tarde considerados inspirados e de autoridade no judaísmo, mas também o reconhecimento completo de todos os 24 livros sagrados. Antes da destruição de Jerusalém em 586 a.C., a lei mosaica não havia sido observada com qualquer consistência (de acordo com </w:t>
      </w:r>
      <w:hyperlink r:id="rId8898">
        <w:r>
          <w:rPr>
            <w:color w:val="0000EE"/>
            <w:u w:val="single"/>
          </w:rPr>
          <w:t>2Rs 22</w:t>
        </w:r>
      </w:hyperlink>
      <w:r>
        <w:t>, havia sido perdida por um período de tempo desconhecido), nem os profetas clássicos sempre recebiam o reconhecimento apropriado. Mas depois de 586 a.C., a Torá assumiu uma posição de santidade inquestionável nas vidas e pensamentos do povo judeu, substituindo em muitos aspectos o culto do templo mesmo antes de sua dissolução final em 70 d.C.</w:t>
      </w:r>
    </w:p>
    <w:p>
      <w:r/>
      <w:r>
        <w:t>As Escrituras judaicas são divididas em três seções, designadas por judeus com o acróstico “Tanaque”: (1) Torá (“Lei” ou “Apocalipse”), (2) Nevi'im (“Profetas”) e (3) Kethuvim (“Escritos”). Afirma-se geralmente que, enquanto a Lei e os Profetas desfrutavam de status canônico antes do segundo século a.C., os Escritos foram finalmente declarados canônicos no conselho rabínico de Jamnia (ca. 90 d.C.), embora a historicidade disso seja contestada. Acredita-se que os rabinos tenham debatido se certos livros bíblicos deveriam continuar a fazer parte das Escrituras. Na realidade, o cânon judaico das Escrituras era totalmente definido a partir do uso tradicional no primeiro século a.C. A Lei consistia em cinco livros: Gênesis, Êxodo, Levítico, Números e Deuteronômio. Os Profetas consistiam em duas seções, os Profetas Anteriores (Josué, Juízes, Samuel e Reis) e os Profetas Posteriores (Isaías, Jeremias, Ezequiel e os 12 Profetas Menores). Os Escritos incluíam Crônicas, Esdras-Neemias, Ester, Jó, Salmos, Provérbios, Eclesiastes, Cântico dos Cânticos, Lamentações, Rute e Daniel. O número total de livros neste cânon é 24, idêntico ao cânon protestante de 39 livros, uma vez que Samuel, Reis, Crônicas, Esdras Neemias e os 12 são contados como apenas um livro. O cânon alexandrino do judaísmo helenístico era mais extenso, e os livros extras (chamados apócrifos pelos protestantes) são todos encontrados no cânon católico romano do AT de 46 livros.</w:t>
      </w:r>
    </w:p>
    <w:p>
      <w:pPr>
        <w:pStyle w:val="Heading3"/>
      </w:pPr>
      <w:r>
        <w:t>O período Talmúdico (73–425 d.C.)</w:t>
      </w:r>
    </w:p>
    <w:p>
      <w:pPr>
        <w:pStyle w:val="Heading4"/>
      </w:pPr>
      <w:r>
        <w:t>Levantamento histórico</w:t>
      </w:r>
    </w:p>
    <w:p>
      <w:r/>
      <w:r>
        <w:t>De acordo com a lenda judaica, quando os romanos estavam prestes a conquistar Jerusalém na revolta de 66–73 d.C., um proeminente fariseu, o rabi Yochanan ben Zakai, fingiu sua morte e seus discípulos tiveram permissão de levá-lo em um caixão para fora da cidade sitiada. O cenário mais provável é que ele recebeu permissão dos romanos para mover sua escola de Jerusalém para Jamnia, na costa da Palestina. O culto do templo e o sistema sacerdotal haviam desaparecido, e academias rabínicas como a de Rabi Yochanan se colocaram à enorme tarefa de reconstruir o judaísmo. O Sinédrio mais antigo foi reinstituído como a Bet Din (“Corte da Lei”), e Gamaliel II, um neto de Hilel, que havia presidido o antigo Sinédrio, se tornou seu líder com o título Nasi (“príncipe”), ou Patriarca. O patriarcado continuou até 425 d.C., quando o imperador Teodósio II aboliu o cargo após a morte do último patriarca, Gamaliel VI. Na Mesopotâmia, o judaísmo babilônico experimentou um renascimento que durou até o final do quinto século d.C. Este período foi chamado de Era dos Gueonim (“excelências”), em homenagem aos chefes das duas grandes academias rabínicas em Sura e Pumbedita. Foi lá que o grande Talmude Babilônico foi compilado no quinto século d.C.</w:t>
      </w:r>
    </w:p>
    <w:p>
      <w:r/>
      <w:r>
        <w:t xml:space="preserve">Em 115 d.C., várias comunidades judaicas em todo o Mediterrâneo oriental, incluindo Egito, Chipre e Cirene, se revoltaram contra o imperador romano Trajano. Sem exceção, essas revoltas foram todas suprimidas pelas legiões romanas. Finalmente, quando o imperador Adriano estava à beira de fundar a nova cidade de Élia Capitolina no local da antiga Jerusalém, os judeus novamente se revoltaram em 132 d.C., liderados por um autoproclamado messias, Simão Barcoquebas, que era chamado de Bar-Kochba (“Filho de uma Estrela”) por seus seguidores como uma alusão à passagem messiânica em </w:t>
      </w:r>
      <w:hyperlink r:id="rId2807">
        <w:r>
          <w:rPr>
            <w:color w:val="0000EE"/>
            <w:u w:val="single"/>
          </w:rPr>
          <w:t>Números 24.17</w:t>
        </w:r>
      </w:hyperlink>
      <w:r>
        <w:t>. Bar-Kochba foi ajudado pelo famoso estudioso rabínico Aquiba. Esta revolta, embora inicialmente bem-sucedida, foi suprimida pelos romanos sob Júlio Severo em 135. Pouco tempo depois, Adriano emitiu um decreto banindo todos os judeus da nova Élia Capitolina.</w:t>
      </w:r>
    </w:p>
    <w:p>
      <w:pPr>
        <w:pStyle w:val="Heading4"/>
      </w:pPr>
      <w:r>
        <w:t>Desenvolvimentos sociais e religiosos</w:t>
      </w:r>
    </w:p>
    <w:p>
      <w:r/>
      <w:r>
        <w:t>Durante este período, o resultado de gerações de estudiosos rabínicos deu frutos com a compilação dos Talmudes Babilônicos e de Jerusalém. Os sábios rabínicos conscientemente se viam como os herdeiros dos antigos profetas israelitas, que por sua vez eram os herdeiros da lei mosaica. Eles distinguiam conscientemente entre suas próprias interpretações legais da lei mosaica (que eles chamavam de Halacá, ou “andar”, isto é, um guia para a vida) e os comandos na própria Torá (chamada Mitvá, ou “mandamento”). A lei oral, desenvolvida através de gerações de debate rabínico, foi finalmente compilada e escrita através dos esforços do patriarca Judah ha-Nasi (Judá, o príncipe) (ca. 135–220 d.C.) durante o último trimestre do segundo século d.C. e ficou conhecida como Mishná (“ensino”). Este é uma organização tópica de debates rabínicos sobre assuntos como o sábado, primícias, sacrifícios e mulheres. A Mishná se tornou a base para mais debates rabínicos tanto na Palestina quanto na Babilônia. As decisões dos sábios que se desenvolveram após a escrita da Mishná foram compiladas por volta de 450 d.C. na Palestina e cerca de 500 na Babilônia. Este segundo estágio além da Mishná foi chamado de Gemará (que significa “conclusão” ou “repetição”). A Mishná e a Gemará babilônica compõem o Talmude Babilônico, enquanto a mesma Mishná com a Jerusalém ou Gemará palestina compreende o Talmude de Jerusalém. Ainda outro tipo de literatura rabínica é o Midrashim (“interpretações”), que seguem a ordem de um livro bíblico específico ou consistem em homilias sobre textos bíblicos específicos. Os Targums, traduções parafraseadas das Escrituras para a língua aramaica, finalmente vieram a ser escritos a partir do final do segundo século d.C.</w:t>
      </w:r>
    </w:p>
    <w:p>
      <w:r/>
      <w:r>
        <w:t xml:space="preserve">Após a destruição do templo, o judaísmo rabínico se concentrou no significado religioso da Torá e na erudição elevada para o papel central que ainda desempenha no judaísmo. O judaísmo rabínico gradualmente exerceu sua influência sobre o judaísmo da diáspora sob a liderança inicial do Rabi Yochanan até que um tipo de ortodoxia rabínica emergiu durante o segundo século. O cristianismo era um dos principais inimigos ideológicos do judaísmo rabínico. A fim de remover os cristãos judeus de seu meio, os rabinos introduziram uma bênção adicional às dezoito bênçãos habitualmente recitadas nos serviços da sinagoga. Esta 19ª bênção era uma maldição sobre os </w:t>
      </w:r>
      <w:r>
        <w:rPr>
          <w:i/>
        </w:rPr>
        <w:t>minim</w:t>
      </w:r>
      <w:r>
        <w:t xml:space="preserve"> (cristãos e outros hereges), que os cristãos judeus que frequentavam os cultos da sinagoga achavam impossível recitar. A linha foi firmemente desenhada entre o judaísmo e o cristianismo por este dispositivo, que foi empregado no final do primeiro século.</w:t>
      </w:r>
    </w:p>
    <w:p>
      <w:r/>
      <w:r>
        <w:rPr>
          <w:i/>
        </w:rPr>
        <w:t>Veja também</w:t>
      </w:r>
      <w:r>
        <w:t xml:space="preserve"> </w:t>
      </w:r>
      <w:r>
        <w:t>Manuscritos do Mar Morto</w:t>
      </w:r>
      <w:r>
        <w:t xml:space="preserve">; </w:t>
      </w:r>
      <w:r>
        <w:t>Essênios</w:t>
      </w:r>
      <w:r>
        <w:t xml:space="preserve">; </w:t>
      </w:r>
      <w:r>
        <w:t>Diáspora dos judeus</w:t>
      </w:r>
      <w:r>
        <w:t xml:space="preserve">; </w:t>
      </w:r>
      <w:r>
        <w:t>Primeira Revolta Judaica</w:t>
      </w:r>
      <w:r>
        <w:t xml:space="preserve">; </w:t>
      </w:r>
      <w:r>
        <w:t>Israel, História de</w:t>
      </w:r>
      <w:r>
        <w:t xml:space="preserve">; </w:t>
      </w:r>
      <w:r>
        <w:t>Judeu</w:t>
      </w:r>
      <w:r>
        <w:t xml:space="preserve">; </w:t>
      </w:r>
      <w:r>
        <w:t>Judá, Tribo de</w:t>
      </w:r>
      <w:r>
        <w:t xml:space="preserve">; </w:t>
      </w:r>
      <w:r>
        <w:t>Judaísmo</w:t>
      </w:r>
      <w:r>
        <w:t xml:space="preserve">; </w:t>
      </w:r>
      <w:r>
        <w:t>Fariseus</w:t>
      </w:r>
      <w:r>
        <w:t xml:space="preserve">; </w:t>
      </w:r>
      <w:r>
        <w:t>Fílon, o Judeu</w:t>
      </w:r>
      <w:r>
        <w:t xml:space="preserve"> </w:t>
      </w:r>
      <w:r>
        <w:t>Período Pós-exílico</w:t>
      </w:r>
      <w:r>
        <w:t xml:space="preserve">; </w:t>
      </w:r>
      <w:r>
        <w:t>Sinédrio</w:t>
      </w:r>
      <w:r>
        <w:t xml:space="preserve">; </w:t>
      </w:r>
      <w:r>
        <w:t>Talmude</w:t>
      </w:r>
      <w:r>
        <w:t xml:space="preserve">; </w:t>
      </w:r>
      <w:r>
        <w:t>Torá</w:t>
      </w:r>
      <w:r>
        <w:t xml:space="preserve">; </w:t>
      </w:r>
      <w:r>
        <w:t>Tradição</w:t>
      </w:r>
      <w:r>
        <w:t xml:space="preserve">; </w:t>
      </w:r>
      <w:r>
        <w:t>Oral, Tradição</w:t>
      </w:r>
      <w:r>
        <w:t>.</w:t>
      </w:r>
      <w:r/>
      <w:r/>
    </w:p>
    <w:p>
      <w:r/>
    </w:p>
    <w:p>
      <w:pPr>
        <w:pStyle w:val="Heading2"/>
      </w:pPr>
      <w:r>
        <w:t>Judaizantes</w:t>
      </w:r>
      <w:r/>
    </w:p>
    <w:p>
      <w:r/>
      <w:r>
        <w:t>Os judaizantes eram um grupo de cristãos judeus na igreja primitiva que ensinavam que os cristãos não judeus (gentios) eram obrigados a seguir os costumes religiosos judaicos. A palavra "judaizar" significa "viver de acordo com os costumes e tradições judaicas".</w:t>
      </w:r>
    </w:p>
    <w:p>
      <w:r/>
      <w:r>
        <w:t>Na Bíblia, a palavra "judaizar" aparece apenas uma vez (</w:t>
      </w:r>
      <w:hyperlink r:id="rId12339">
        <w:r>
          <w:rPr>
            <w:color w:val="0000EE"/>
            <w:u w:val="single"/>
          </w:rPr>
          <w:t xml:space="preserve">Gl 2.14 </w:t>
        </w:r>
      </w:hyperlink>
      <w:r>
        <w:t>em versões mais literais). Neste trecho, Paulo confronta Pedro sobre tentar fazer com que os crentes não judeus sigam costumes judaicos. Paulo diz a Pedro: "Você é judeu, mas não está vivendo como judeu e sim como não judeu. Então, como é que você quer obrigar os não judeus a viverem como judeus?".</w:t>
      </w:r>
    </w:p>
    <w:p>
      <w:r/>
      <w:r>
        <w:t>A principal preocupação de Paulo não era se as pessoas escolhiam seguir os costumes judaicos. Em vez disso, ele estava preocupado que algumas pessoas acreditassem erroneamente que precisavam seguir esses costumes para obter a salvação. Paulo ensinava que a salvação vem pela fé em Jesus, não por seguir os costumes judaicos.</w:t>
      </w:r>
    </w:p>
    <w:p>
      <w:pPr>
        <w:pStyle w:val="Heading3"/>
      </w:pPr>
      <w:r>
        <w:t>O cristianismo primitivo como movimento judaico</w:t>
      </w:r>
    </w:p>
    <w:p>
      <w:r/>
      <w:r>
        <w:t>Quando o cristianismo começou, a maioria dos cristãos eram judeus que aceitaram Jesus como o Messias (o líder escolhido por Deus). Mesmo as poucas pessoas não judaicas que se tornaram cristãs, como Nicolau de Antioquia, primeiro haviam se convertido ao judaísmo (</w:t>
      </w:r>
      <w:hyperlink r:id="rId1992">
        <w:r>
          <w:rPr>
            <w:color w:val="0000EE"/>
            <w:u w:val="single"/>
          </w:rPr>
          <w:t>At 6.5</w:t>
        </w:r>
      </w:hyperlink>
      <w:r>
        <w:t>).</w:t>
      </w:r>
    </w:p>
    <w:p>
      <w:r/>
      <w:r>
        <w:t>Neste momento, para se tornar judeu, uma pessoa precisava fazer três coisas:</w:t>
      </w:r>
    </w:p>
    <w:p>
      <w:pPr>
        <w:pStyle w:val="ListNumber"/>
        <w:spacing w:line="240" w:lineRule="auto"/>
        <w:ind w:left="720"/>
      </w:pPr>
      <w:r/>
      <w:r>
        <w:t>Os convertidos do sexo masculino precisavam passar pela circuncisão;</w:t>
      </w:r>
    </w:p>
    <w:p>
      <w:pPr>
        <w:pStyle w:val="ListNumber"/>
        <w:spacing w:line="240" w:lineRule="auto"/>
        <w:ind w:left="720"/>
      </w:pPr>
      <w:r/>
      <w:r>
        <w:t>Todos os convertidos precisavam realizar um banho ritual em água;</w:t>
      </w:r>
    </w:p>
    <w:p>
      <w:pPr>
        <w:pStyle w:val="ListNumber"/>
        <w:spacing w:line="240" w:lineRule="auto"/>
        <w:ind w:left="720"/>
      </w:pPr>
      <w:r/>
      <w:r>
        <w:t>Todos os convertidos precisavam prometer seguir a lei de Moisés (613 regras religiosas) e os ensinamentos dos líderes religiosos judeus.</w:t>
      </w:r>
    </w:p>
    <w:p>
      <w:r/>
      <w:r>
        <w:t>Para os cristãos judeus, seguir os costumes judaicos era normal e natural. Eles acreditavam que aceitar Jesus como o Messias tornava sua fé judaica mais completa, e não que a substituía. Eles não viam o cristianismo como uma religião separada do judaísmo. Em vez disso, consideravam-no a forma mais verdadeira do judaísmo.</w:t>
      </w:r>
    </w:p>
    <w:p>
      <w:r/>
      <w:r>
        <w:t>Esses judeus cristãos:</w:t>
      </w:r>
    </w:p>
    <w:p>
      <w:pPr>
        <w:pStyle w:val="ListBullet"/>
        <w:spacing w:line="240" w:lineRule="auto"/>
        <w:ind w:left="720"/>
      </w:pPr>
      <w:r/>
      <w:r>
        <w:t>foram circuncidados (seja quando bebês ou quando se converteram ao judaísmo);</w:t>
      </w:r>
    </w:p>
    <w:p>
      <w:pPr>
        <w:pStyle w:val="ListBullet"/>
        <w:spacing w:line="240" w:lineRule="auto"/>
        <w:ind w:left="720"/>
      </w:pPr>
      <w:r/>
      <w:r>
        <w:t>seguiam as leis alimentares judaicas (conhecidas como leis kosher);</w:t>
      </w:r>
    </w:p>
    <w:p>
      <w:pPr>
        <w:pStyle w:val="ListBullet"/>
        <w:spacing w:line="240" w:lineRule="auto"/>
        <w:ind w:left="720"/>
      </w:pPr>
      <w:r/>
      <w:r>
        <w:t>seguiam as regras judaicas para manter-se ritualmente puro;</w:t>
      </w:r>
    </w:p>
    <w:p>
      <w:pPr>
        <w:pStyle w:val="ListBullet"/>
        <w:spacing w:line="240" w:lineRule="auto"/>
        <w:ind w:left="720"/>
      </w:pPr>
      <w:r/>
      <w:r>
        <w:t>adoravam no templo em Jerusalém até que os romanos o destruíram em 70 d.C. (</w:t>
      </w:r>
      <w:hyperlink r:id="rId4954">
        <w:r>
          <w:rPr>
            <w:color w:val="0000EE"/>
            <w:u w:val="single"/>
          </w:rPr>
          <w:t>At 3.1</w:t>
        </w:r>
      </w:hyperlink>
      <w:r>
        <w:t xml:space="preserve">; </w:t>
      </w:r>
      <w:hyperlink r:id="rId12340">
        <w:r>
          <w:rPr>
            <w:color w:val="0000EE"/>
            <w:u w:val="single"/>
          </w:rPr>
          <w:t>21.26</w:t>
        </w:r>
      </w:hyperlink>
      <w:r>
        <w:t>);</w:t>
      </w:r>
    </w:p>
    <w:p>
      <w:pPr>
        <w:pStyle w:val="ListBullet"/>
        <w:spacing w:line="240" w:lineRule="auto"/>
        <w:ind w:left="720"/>
      </w:pPr>
      <w:r/>
      <w:r>
        <w:t xml:space="preserve">alguns continuaram a se reunir em sinagogas (veja </w:t>
      </w:r>
      <w:hyperlink r:id="rId12341">
        <w:r>
          <w:rPr>
            <w:color w:val="0000EE"/>
            <w:u w:val="single"/>
          </w:rPr>
          <w:t>Tg 2.2</w:t>
        </w:r>
      </w:hyperlink>
      <w:r>
        <w:t>).</w:t>
      </w:r>
    </w:p>
    <w:p>
      <w:pPr>
        <w:pStyle w:val="Heading3"/>
      </w:pPr>
      <w:r>
        <w:t>O cristianismo se espalha pelo mundo greco-romano</w:t>
      </w:r>
    </w:p>
    <w:p>
      <w:r/>
      <w:r>
        <w:t>Embora o cristianismo primitivo tenha começado como um movimento judaico, ele se expandiu para o mundo greco-romano. A perseguição forçou os cristãos judeus a deixarem Jerusalém (</w:t>
      </w:r>
      <w:hyperlink r:id="rId10880">
        <w:r>
          <w:rPr>
            <w:color w:val="0000EE"/>
            <w:u w:val="single"/>
          </w:rPr>
          <w:t>At 8.1</w:t>
        </w:r>
      </w:hyperlink>
      <w:r>
        <w:t xml:space="preserve">; </w:t>
      </w:r>
      <w:hyperlink r:id="rId12342">
        <w:r>
          <w:rPr>
            <w:color w:val="0000EE"/>
            <w:u w:val="single"/>
          </w:rPr>
          <w:t>11.19–24</w:t>
        </w:r>
      </w:hyperlink>
      <w:r>
        <w:t>). À medida que viajavam para novos lugares, compartilhavam o evangelho (as boas novas sobre Jesus). Filipe levou o evangelho para Samaria, onde muitos samaritanos se tornaram cristãos (</w:t>
      </w:r>
      <w:hyperlink r:id="rId12343">
        <w:r>
          <w:rPr>
            <w:color w:val="0000EE"/>
            <w:u w:val="single"/>
          </w:rPr>
          <w:t>8.4</w:t>
        </w:r>
      </w:hyperlink>
      <w:hyperlink r:id="rId12342">
        <w:r>
          <w:rPr>
            <w:color w:val="0000EE"/>
            <w:u w:val="single"/>
          </w:rPr>
          <w:t>–</w:t>
        </w:r>
      </w:hyperlink>
      <w:hyperlink r:id="rId12343">
        <w:r>
          <w:rPr>
            <w:color w:val="0000EE"/>
            <w:u w:val="single"/>
          </w:rPr>
          <w:t>25</w:t>
        </w:r>
      </w:hyperlink>
      <w:r>
        <w:t>). No Dia de Pentecostes, muitos judeus de diferentes partes do mundo romano se tornaram cristãos (</w:t>
      </w:r>
      <w:hyperlink r:id="rId12344">
        <w:r>
          <w:rPr>
            <w:color w:val="0000EE"/>
            <w:u w:val="single"/>
          </w:rPr>
          <w:t>2.5</w:t>
        </w:r>
      </w:hyperlink>
      <w:hyperlink r:id="rId12342">
        <w:r>
          <w:rPr>
            <w:color w:val="0000EE"/>
            <w:u w:val="single"/>
          </w:rPr>
          <w:t>–</w:t>
        </w:r>
      </w:hyperlink>
      <w:hyperlink r:id="rId12344">
        <w:r>
          <w:rPr>
            <w:color w:val="0000EE"/>
            <w:u w:val="single"/>
          </w:rPr>
          <w:t>11</w:t>
        </w:r>
      </w:hyperlink>
      <w:r>
        <w:t>). Quando esses novos crentes retornaram para suas casas, provavelmente compartilharam o evangelho lá. É provavelmente assim que as boas novas sobre Jesus chegaram a Roma, embora não saibamos ao certo.</w:t>
      </w:r>
    </w:p>
    <w:p>
      <w:r/>
      <w:r>
        <w:t>O livro de Atos mostra como o cristianismo evoluiu de um pequeno grupo judaico em Jerusalém para uma fé que se espalhou por todo o mundo romano. Durante esse processo, muitos judeus rejeitaram o evangelho, enquanto muitos não judeus o aceitaram.</w:t>
      </w:r>
    </w:p>
    <w:p>
      <w:r/>
      <w:r>
        <w:t xml:space="preserve">Uma grande mudança aconteceu em </w:t>
      </w:r>
      <w:hyperlink r:id="rId2882">
        <w:r>
          <w:rPr>
            <w:color w:val="0000EE"/>
            <w:u w:val="single"/>
          </w:rPr>
          <w:t>Atos 10.</w:t>
        </w:r>
      </w:hyperlink>
      <w:r>
        <w:t xml:space="preserve"> Neste capítulo, Pedro compartilhou as boas novas sobre Jesus com um oficial militar romano chamado Cornélio. Cornélio e todos em sua casa acreditaram nas boas novas e receberam o Espírito Santo. Os crentes judeus que estavam com Pedro ficaram surpresos porque Deus também deu o Espírito Santo a pessoas não judaicas (</w:t>
      </w:r>
      <w:hyperlink r:id="rId4958">
        <w:r>
          <w:rPr>
            <w:color w:val="0000EE"/>
            <w:u w:val="single"/>
          </w:rPr>
          <w:t>At 10.45</w:t>
        </w:r>
      </w:hyperlink>
      <w:r>
        <w:t>).</w:t>
      </w:r>
    </w:p>
    <w:p>
      <w:pPr>
        <w:pStyle w:val="Heading3"/>
      </w:pPr>
      <w:r>
        <w:t>Perguntas sobre circuncisão e outros costumes judaicos</w:t>
      </w:r>
    </w:p>
    <w:p>
      <w:r/>
      <w:r>
        <w:t>À medida que mais pessoas não judias se tornavam cristãs, a igreja primitiva enfrentou uma questão difícil: as pessoas não judias precisavam se tornar judias antes de poderem se tornar cristãs?</w:t>
      </w:r>
    </w:p>
    <w:p>
      <w:r/>
      <w:r>
        <w:t>Diferentes grupos deram respostas distintas para esta pergunta:</w:t>
      </w:r>
    </w:p>
    <w:p>
      <w:pPr>
        <w:pStyle w:val="ListBullet"/>
        <w:spacing w:line="240" w:lineRule="auto"/>
        <w:ind w:left="720"/>
      </w:pPr>
      <w:r/>
      <w:r>
        <w:t>O "partido da circuncisão" (um grupo de cristãos judeus) concordou. Eles acreditavam que as pessoas não judaicas deviam primeiro converter-se ao judaísmo e seguir todas as leis judaicas para se tornarem cristãs (</w:t>
      </w:r>
      <w:hyperlink r:id="rId4959">
        <w:r>
          <w:rPr>
            <w:color w:val="0000EE"/>
            <w:u w:val="single"/>
          </w:rPr>
          <w:t>At 11.2</w:t>
        </w:r>
      </w:hyperlink>
      <w:r>
        <w:t xml:space="preserve">; </w:t>
      </w:r>
      <w:hyperlink r:id="rId12345">
        <w:r>
          <w:rPr>
            <w:color w:val="0000EE"/>
            <w:u w:val="single"/>
          </w:rPr>
          <w:t>Gl 2.12</w:t>
        </w:r>
      </w:hyperlink>
      <w:r>
        <w:t>);</w:t>
      </w:r>
    </w:p>
    <w:p>
      <w:pPr>
        <w:pStyle w:val="ListBullet"/>
        <w:spacing w:line="240" w:lineRule="auto"/>
        <w:ind w:left="720"/>
      </w:pPr>
      <w:r/>
      <w:r>
        <w:t>Outros líderes como Pedro, Barnabé e especialmente Paulo discordaram fortemente. Eles acreditavam que pessoas não judias poderiam se tornar cristãs sem primeiro se tornarem judias.</w:t>
      </w:r>
    </w:p>
    <w:p>
      <w:r/>
      <w:r>
        <w:t>Esse desacordo poderia ter dividido a igreja primitiva em dois grupos separados, mas isso não aconteceu. Lucas, o autor de Atos, narra a história de como a questão foi resolvida. Paulo e Barnabé fizeram uma viagem bem-sucedida para contar às pessoas não judaicas sobre Jesus (</w:t>
      </w:r>
      <w:hyperlink r:id="rId2859">
        <w:r>
          <w:rPr>
            <w:color w:val="0000EE"/>
            <w:u w:val="single"/>
          </w:rPr>
          <w:t>At 13.1;14.28</w:t>
        </w:r>
      </w:hyperlink>
      <w:r>
        <w:t>). Quando retornaram à igreja em Antioquia, relataram como Deus havia possibilitado que pessoas não judaicas acreditassem em Jesus (</w:t>
      </w:r>
      <w:hyperlink r:id="rId12346">
        <w:r>
          <w:rPr>
            <w:color w:val="0000EE"/>
            <w:u w:val="single"/>
          </w:rPr>
          <w:t>At 14.27</w:t>
        </w:r>
      </w:hyperlink>
      <w:r>
        <w:t>).</w:t>
      </w:r>
    </w:p>
    <w:p>
      <w:r/>
      <w:r>
        <w:t>Mas alguns judaizantes do partido da circuncisão vieram da Judeia para Antioquia. Eles ensinavam que todos os homens devem ser circuncidados para serem salvos (</w:t>
      </w:r>
      <w:hyperlink r:id="rId4411">
        <w:r>
          <w:rPr>
            <w:color w:val="0000EE"/>
            <w:u w:val="single"/>
          </w:rPr>
          <w:t>15.1</w:t>
        </w:r>
      </w:hyperlink>
      <w:r>
        <w:t xml:space="preserve">). Muitos cristãos judeus, como Paulo, já tinham sido fariseus. Os fariseus eram um grupo religioso judeu que enfatizava seguir cuidadosamente a lei de Moisés e as tradições orais. Alguns desses ex-fariseus insistiam que novos convertidos não judeus deviam ser circuncidados e seguir a lei de Moisés (v. </w:t>
      </w:r>
      <w:hyperlink r:id="rId6072">
        <w:r>
          <w:rPr>
            <w:color w:val="0000EE"/>
            <w:u w:val="single"/>
          </w:rPr>
          <w:t>5</w:t>
        </w:r>
      </w:hyperlink>
      <w:r>
        <w:t>). Em outras palavras, eles queriam que as pessoas não judaicas se convertessem ao judaísmo antes de poderem se tornar cristãs.</w:t>
      </w:r>
    </w:p>
    <w:p>
      <w:pPr>
        <w:pStyle w:val="Heading3"/>
      </w:pPr>
      <w:r>
        <w:t>O concílio de Jerusalém</w:t>
      </w:r>
    </w:p>
    <w:p>
      <w:r/>
      <w:r>
        <w:t>Para resolver esse problema, Paulo e Barnabé foram a Jerusalém para se encontrar com os apóstolos e líderes da igreja (</w:t>
      </w:r>
      <w:hyperlink r:id="rId12347">
        <w:r>
          <w:rPr>
            <w:color w:val="0000EE"/>
            <w:u w:val="single"/>
          </w:rPr>
          <w:t>At 15.4–12</w:t>
        </w:r>
      </w:hyperlink>
      <w:r>
        <w:t>). Tiago, que era irmão de Jesus, liderou essa importante reunião. Ambos os lados apresentaram seus pontos de vista.</w:t>
      </w:r>
    </w:p>
    <w:p>
      <w:r/>
      <w:r>
        <w:t>Os líderes tomaram uma decisão que funcionaria para todos. Eles escreveram uma carta aos cristãos não judeus com três regras principais que deveriam seguir:</w:t>
      </w:r>
    </w:p>
    <w:p>
      <w:pPr>
        <w:pStyle w:val="ListNumber"/>
        <w:spacing w:line="240" w:lineRule="auto"/>
        <w:ind w:left="720"/>
      </w:pPr>
      <w:r/>
      <w:r>
        <w:t>Não comer carne que foi oferecida a ídolos (deuses falsos);</w:t>
      </w:r>
    </w:p>
    <w:p>
      <w:pPr>
        <w:pStyle w:val="ListNumber"/>
        <w:spacing w:line="240" w:lineRule="auto"/>
        <w:ind w:left="720"/>
      </w:pPr>
      <w:r/>
      <w:r>
        <w:t>Não comer carne que ainda contenha sangue;</w:t>
      </w:r>
    </w:p>
    <w:p>
      <w:pPr>
        <w:pStyle w:val="ListNumber"/>
        <w:spacing w:line="240" w:lineRule="auto"/>
        <w:ind w:left="720"/>
      </w:pPr>
      <w:r/>
      <w:r>
        <w:t xml:space="preserve">Não se envolver em imoralidade sexual (vv. </w:t>
      </w:r>
      <w:hyperlink r:id="rId12348">
        <w:r>
          <w:rPr>
            <w:color w:val="0000EE"/>
            <w:u w:val="single"/>
          </w:rPr>
          <w:t>23–29</w:t>
        </w:r>
      </w:hyperlink>
      <w:r>
        <w:t>).</w:t>
      </w:r>
    </w:p>
    <w:p>
      <w:r/>
      <w:r>
        <w:t>Por que eles escolheram essas três regras? De acordo com a tradição judaica, Deus havia incluído essas regras em um acordo com Noé há muito tempo. Como Noé era o ancestral de todos os humanos, tanto judeus quanto não judeus, essas leis se aplicavam a todos.</w:t>
      </w:r>
    </w:p>
    <w:p>
      <w:r/>
      <w:r>
        <w:t>No entanto, o acordo especial que Deus fez com Moisés e o povo de Israel (a aliança mosaica) aplicava-se apenas aos judeus. O Concílio de Jerusalém decidiu que apenas aquelas três regras se aplicavam a todos os cristãos. Os cristãos não precisam ser circuncidados, pois isso fazia parte da aliança mosaica.</w:t>
      </w:r>
    </w:p>
    <w:p>
      <w:pPr>
        <w:pStyle w:val="Heading3"/>
      </w:pPr>
      <w:r>
        <w:t>Continua o conflito entre judaizantes e cristãos não judeus</w:t>
      </w:r>
    </w:p>
    <w:p>
      <w:r/>
      <w:r>
        <w:t>No entanto, o conflito entre os judaizantes e os cristãos não judeus não terminou com a reunião em Jerusalém. As cartas de Paulo mostram que alguns membros do partido da circuncisão continuaram a causar problemas:</w:t>
      </w:r>
    </w:p>
    <w:p>
      <w:pPr>
        <w:pStyle w:val="ListBullet"/>
        <w:spacing w:line="240" w:lineRule="auto"/>
        <w:ind w:left="720"/>
      </w:pPr>
      <w:r/>
      <w:r>
        <w:t>Paulo resume brevemente os resultados do Concílio de Jerusalém para os cristãos da Galácia (</w:t>
      </w:r>
      <w:hyperlink r:id="rId6271">
        <w:r>
          <w:rPr>
            <w:color w:val="0000EE"/>
            <w:u w:val="single"/>
          </w:rPr>
          <w:t>Gl 2.1–10</w:t>
        </w:r>
      </w:hyperlink>
      <w:r>
        <w:t>). Mas mesmo após o Concílio de Jerusalém, os judaizantes eram tão influentes que até Pedro e Barnabé pararam de comer com cristãos não judeus por um tempo. De acordo com as leis de pureza judaicas, comer com pessoas não judias tornava alguém religiosamente impuro;</w:t>
      </w:r>
    </w:p>
    <w:p>
      <w:pPr>
        <w:pStyle w:val="ListBullet"/>
        <w:spacing w:line="240" w:lineRule="auto"/>
        <w:ind w:left="720"/>
      </w:pPr>
      <w:r/>
      <w:r>
        <w:t>Paulo escreveu sua carta aos Gálatas porque membros do partido da circuncisão tinham chegado às igrejas na Galácia após sua partida. Eles convenceram alguns cristãos de lá de que precisavam ser circuncidados e seguir rigorosamente a lei de Moisés (</w:t>
      </w:r>
      <w:hyperlink r:id="rId4983">
        <w:r>
          <w:rPr>
            <w:color w:val="0000EE"/>
            <w:u w:val="single"/>
          </w:rPr>
          <w:t>Gl 5.12</w:t>
        </w:r>
      </w:hyperlink>
      <w:r>
        <w:t xml:space="preserve">; </w:t>
      </w:r>
      <w:hyperlink r:id="rId12349">
        <w:r>
          <w:rPr>
            <w:color w:val="0000EE"/>
            <w:u w:val="single"/>
          </w:rPr>
          <w:t>6.13</w:t>
        </w:r>
      </w:hyperlink>
      <w:r>
        <w:t>);</w:t>
      </w:r>
    </w:p>
    <w:p>
      <w:pPr>
        <w:pStyle w:val="ListBullet"/>
        <w:spacing w:line="240" w:lineRule="auto"/>
        <w:ind w:left="720"/>
      </w:pPr>
      <w:r/>
      <w:r>
        <w:t>Pelo menos alguns dos problemas enfrentados pela igreja de Corinto parecem ter sido causados por judaizantes (</w:t>
      </w:r>
      <w:hyperlink r:id="rId12350">
        <w:r>
          <w:rPr>
            <w:color w:val="0000EE"/>
            <w:u w:val="single"/>
          </w:rPr>
          <w:t>2Co 11.12–15,22</w:t>
        </w:r>
      </w:hyperlink>
      <w:r>
        <w:t>);</w:t>
      </w:r>
    </w:p>
    <w:p>
      <w:pPr>
        <w:pStyle w:val="ListBullet"/>
        <w:spacing w:line="240" w:lineRule="auto"/>
        <w:ind w:left="720"/>
      </w:pPr>
      <w:r/>
      <w:r>
        <w:t>Os judaizantes também influenciaram a comunidade cristã em Filipos (</w:t>
      </w:r>
      <w:hyperlink r:id="rId4984">
        <w:r>
          <w:rPr>
            <w:color w:val="0000EE"/>
            <w:u w:val="single"/>
          </w:rPr>
          <w:t>Fp 3.2,3</w:t>
        </w:r>
      </w:hyperlink>
      <w:r>
        <w:t>);</w:t>
      </w:r>
    </w:p>
    <w:p>
      <w:pPr>
        <w:pStyle w:val="ListBullet"/>
        <w:spacing w:line="240" w:lineRule="auto"/>
        <w:ind w:left="720"/>
      </w:pPr>
      <w:r/>
      <w:r>
        <w:t xml:space="preserve">Os judaizantes também parecem ter feito algum progresso na igreja em Colossos. Em </w:t>
      </w:r>
      <w:hyperlink r:id="rId9311">
        <w:r>
          <w:rPr>
            <w:color w:val="0000EE"/>
            <w:u w:val="single"/>
          </w:rPr>
          <w:t>Colossenses 2.16,17</w:t>
        </w:r>
      </w:hyperlink>
      <w:r>
        <w:t>, Paulo escreve: "Portanto, que ninguém faça para vocês leis sobre o que devem comer ou beber, ou sobre os dias santos, e a Festa da Lua Nova, e o sábado. Tudo isso é apenas uma sombra daquilo que virá; a realidade é Cristo".</w:t>
      </w:r>
    </w:p>
    <w:p>
      <w:pPr>
        <w:pStyle w:val="Heading3"/>
      </w:pPr>
      <w:r>
        <w:t>Paulo se opõe aos judaizantes</w:t>
      </w:r>
    </w:p>
    <w:p>
      <w:r/>
      <w:r>
        <w:t>Entre todos os primeiros apóstolos e anciãos, Paulo foi quem mais frequentemente se opôs à ideia de que pessoas não judias precisavam se tornar judias para serem cristãs. Sua própria conversão dramática ao cristianismo é descrita três vezes em Atos (</w:t>
      </w:r>
      <w:hyperlink r:id="rId4649">
        <w:r>
          <w:rPr>
            <w:color w:val="0000EE"/>
            <w:u w:val="single"/>
          </w:rPr>
          <w:t>9.1–9</w:t>
        </w:r>
      </w:hyperlink>
      <w:r>
        <w:t xml:space="preserve">; </w:t>
      </w:r>
      <w:hyperlink r:id="rId2284">
        <w:r>
          <w:rPr>
            <w:color w:val="0000EE"/>
            <w:u w:val="single"/>
          </w:rPr>
          <w:t>22.6</w:t>
        </w:r>
      </w:hyperlink>
      <w:hyperlink r:id="rId4649">
        <w:r>
          <w:rPr>
            <w:color w:val="0000EE"/>
            <w:u w:val="single"/>
          </w:rPr>
          <w:t>–</w:t>
        </w:r>
      </w:hyperlink>
      <w:hyperlink r:id="rId2284">
        <w:r>
          <w:rPr>
            <w:color w:val="0000EE"/>
            <w:u w:val="single"/>
          </w:rPr>
          <w:t>16</w:t>
        </w:r>
      </w:hyperlink>
      <w:r>
        <w:t xml:space="preserve">; </w:t>
      </w:r>
      <w:hyperlink r:id="rId12351">
        <w:r>
          <w:rPr>
            <w:color w:val="0000EE"/>
            <w:u w:val="single"/>
          </w:rPr>
          <w:t>26.12</w:t>
        </w:r>
      </w:hyperlink>
      <w:hyperlink r:id="rId4649">
        <w:r>
          <w:rPr>
            <w:color w:val="0000EE"/>
            <w:u w:val="single"/>
          </w:rPr>
          <w:t>–</w:t>
        </w:r>
      </w:hyperlink>
      <w:hyperlink r:id="rId12351">
        <w:r>
          <w:rPr>
            <w:color w:val="0000EE"/>
            <w:u w:val="single"/>
          </w:rPr>
          <w:t>23</w:t>
        </w:r>
      </w:hyperlink>
      <w:r>
        <w:t>). Paulo ocasionalmente mencionou isso em suas cartas (</w:t>
      </w:r>
      <w:hyperlink r:id="rId2278">
        <w:r>
          <w:rPr>
            <w:color w:val="0000EE"/>
            <w:u w:val="single"/>
          </w:rPr>
          <w:t>1Co 9.1</w:t>
        </w:r>
      </w:hyperlink>
      <w:r>
        <w:t xml:space="preserve">; </w:t>
      </w:r>
      <w:hyperlink r:id="rId153">
        <w:r>
          <w:rPr>
            <w:color w:val="0000EE"/>
            <w:u w:val="single"/>
          </w:rPr>
          <w:t>15.8</w:t>
        </w:r>
      </w:hyperlink>
      <w:r>
        <w:t xml:space="preserve">; </w:t>
      </w:r>
      <w:hyperlink r:id="rId12352">
        <w:r>
          <w:rPr>
            <w:color w:val="0000EE"/>
            <w:u w:val="single"/>
          </w:rPr>
          <w:t>Gl 1.11</w:t>
        </w:r>
      </w:hyperlink>
      <w:hyperlink r:id="rId4649">
        <w:r>
          <w:rPr>
            <w:color w:val="0000EE"/>
            <w:u w:val="single"/>
          </w:rPr>
          <w:t>–</w:t>
        </w:r>
      </w:hyperlink>
      <w:hyperlink r:id="rId12352">
        <w:r>
          <w:rPr>
            <w:color w:val="0000EE"/>
            <w:u w:val="single"/>
          </w:rPr>
          <w:t>17</w:t>
        </w:r>
      </w:hyperlink>
      <w:r>
        <w:t>). Essa experiência convenceu Paulo de que as pessoas só podem ser salvas através da fé em Jesus. Se Jesus é o único caminho para a salvação, então nenhum outro caminho (incluindo seguir a lei) poderia salvar as pessoas. Paulo entendeu que ser um judeu observante não o havia tornado justo diante de Deus (</w:t>
      </w:r>
      <w:hyperlink r:id="rId12353">
        <w:r>
          <w:rPr>
            <w:color w:val="0000EE"/>
            <w:u w:val="single"/>
          </w:rPr>
          <w:t>Fp 3.2</w:t>
        </w:r>
      </w:hyperlink>
      <w:hyperlink r:id="rId4649">
        <w:r>
          <w:rPr>
            <w:color w:val="0000EE"/>
            <w:u w:val="single"/>
          </w:rPr>
          <w:t>–</w:t>
        </w:r>
      </w:hyperlink>
      <w:hyperlink r:id="rId12353">
        <w:r>
          <w:rPr>
            <w:color w:val="0000EE"/>
            <w:u w:val="single"/>
          </w:rPr>
          <w:t>11</w:t>
        </w:r>
      </w:hyperlink>
      <w:r>
        <w:t>). Apenas sua fé em Jesus fez isso.</w:t>
      </w:r>
    </w:p>
    <w:p>
      <w:r/>
      <w:r>
        <w:t>Como o partido da circuncisão continuava a ensinar sua mensagem, Paulo precisou continuar explicando que somente a fé torna alguém justo diante de Deus. Esta é a principal mensagem em suas cartas aos Romanos e aos Gálatas.</w:t>
      </w:r>
    </w:p>
    <w:p>
      <w:pPr>
        <w:pStyle w:val="Heading3"/>
      </w:pPr>
      <w:r>
        <w:t>O declínio do cristianismo de origem judaica</w:t>
      </w:r>
    </w:p>
    <w:p>
      <w:r/>
      <w:r>
        <w:t>Com o tempo, o cristianismo judaico e o movimento dos judaizantes desapareceram gradualmente. A ideia de que cristãos não judeus devem primeiro se tornar judeus para serem cristãos também perdeu influência ao longo do tempo.</w:t>
      </w:r>
    </w:p>
    <w:p>
      <w:r/>
      <w:r>
        <w:t>Jerusalém havia sido o centro do cristianismo judaico. Mas em 66–70 d.C, o povo judeu se revoltou contra o domínio romano. Pouco antes de os romanos destruírem Jerusalém e seu templo, muitos cristãos judeus deixaram a cidade. Eles foram para um lugar chamado Pella porque acreditavam que Deus os havia avisado para sair. Mais tarde, em 132–135 d.C, outra revolta aconteceu. Um líder judeu chamado Bar-Kochba liderou essa insurreição. Durante esse período, os cristãos judeus enfrentaram perseguição de seu próprio povo, que havia se juntado à revolta.</w:t>
      </w:r>
    </w:p>
    <w:p>
      <w:r/>
      <w:r>
        <w:t>Após esses eventos, o cristianismo judaico tornou-se menos popular e eventualmente desapareceu. Quando isso ocorreu, o ensino dos judaizantes de que pessoas não judias devem se tornar judias para serem cristãs também chegou ao fim.</w:t>
      </w:r>
    </w:p>
    <w:p>
      <w:r/>
      <w:r>
        <w:rPr>
          <w:i/>
        </w:rPr>
        <w:t>Veja também</w:t>
      </w:r>
      <w:r>
        <w:t xml:space="preserve"> </w:t>
      </w:r>
      <w:r>
        <w:t>Atos dos Apóstolos, Livro de</w:t>
      </w:r>
      <w:r>
        <w:t xml:space="preserve">; </w:t>
      </w:r>
      <w:r>
        <w:t>Primeira revolta judaica</w:t>
      </w:r>
      <w:r>
        <w:t xml:space="preserve">; </w:t>
      </w:r>
      <w:r>
        <w:t>Gálatas, Carta aos</w:t>
      </w:r>
      <w:r>
        <w:t xml:space="preserve">; </w:t>
      </w:r>
      <w:r>
        <w:t>Conselho de Jerusalém</w:t>
      </w:r>
      <w:r>
        <w:t xml:space="preserve">; </w:t>
      </w:r>
      <w:r>
        <w:t>Judeu</w:t>
      </w:r>
      <w:r>
        <w:t xml:space="preserve">; </w:t>
      </w:r>
      <w:r>
        <w:t>Paulo, o apóstolo</w:t>
      </w:r>
      <w:r>
        <w:t>.</w:t>
      </w:r>
      <w:r/>
      <w:r/>
    </w:p>
    <w:p>
      <w:r/>
    </w:p>
    <w:p>
      <w:pPr>
        <w:pStyle w:val="Heading2"/>
      </w:pPr>
      <w:r>
        <w:t>Judas</w:t>
      </w:r>
      <w:r/>
    </w:p>
    <w:p>
      <w:r/>
      <w:r>
        <w:t>1. O filho de Simão, de sobrenome Iscariotes; um dos 12 discípulos de Jesus. A derivação de Iscariotes é incerta. É muito provável que tenha designado o lugar de seu nascimento, a cidade de Queriote. Sua casa de infância era talvez Queriote de Moabe, a leste do Jordão (</w:t>
      </w:r>
      <w:hyperlink r:id="rId3529">
        <w:r>
          <w:rPr>
            <w:color w:val="0000EE"/>
            <w:u w:val="single"/>
          </w:rPr>
          <w:t>Jr 48.24</w:t>
        </w:r>
      </w:hyperlink>
      <w:r>
        <w:t xml:space="preserve">; </w:t>
      </w:r>
      <w:hyperlink r:id="rId12354">
        <w:r>
          <w:rPr>
            <w:color w:val="0000EE"/>
            <w:u w:val="single"/>
          </w:rPr>
          <w:t>Am 2.2</w:t>
        </w:r>
      </w:hyperlink>
      <w:r>
        <w:t>), ou Queriote-Hezrom do sul de Judá, também conhecido como Hazor (</w:t>
      </w:r>
      <w:hyperlink r:id="rId12355">
        <w:r>
          <w:rPr>
            <w:color w:val="0000EE"/>
            <w:u w:val="single"/>
          </w:rPr>
          <w:t>Js 15.25</w:t>
        </w:r>
      </w:hyperlink>
      <w:r>
        <w:t>). Uma sugestão menos viável identifica Iscariotes com uma palavra aramaica que significa “assassino”, uma palavra eventualmente anexada ao nome de Judas por causa de sua traição a Jesus.</w:t>
      </w:r>
    </w:p>
    <w:p>
      <w:r/>
      <w:r>
        <w:t>O nome de Judas Iscariotes, aparece por último na lista de discípulos (</w:t>
      </w:r>
      <w:hyperlink r:id="rId12356">
        <w:r>
          <w:rPr>
            <w:color w:val="0000EE"/>
            <w:u w:val="single"/>
          </w:rPr>
          <w:t>Mt 10.4</w:t>
        </w:r>
      </w:hyperlink>
      <w:r>
        <w:t xml:space="preserve">; </w:t>
      </w:r>
      <w:hyperlink r:id="rId12357">
        <w:r>
          <w:rPr>
            <w:color w:val="0000EE"/>
            <w:u w:val="single"/>
          </w:rPr>
          <w:t>Mc 3.19</w:t>
        </w:r>
      </w:hyperlink>
      <w:r>
        <w:t xml:space="preserve">; </w:t>
      </w:r>
      <w:hyperlink r:id="rId12358">
        <w:r>
          <w:rPr>
            <w:color w:val="0000EE"/>
            <w:u w:val="single"/>
          </w:rPr>
          <w:t>Lc 6.16</w:t>
        </w:r>
      </w:hyperlink>
      <w:r>
        <w:t>), talvez indicando sua desonra nas mentes dos crentes posteriores, em vez de sua importância original entre os Doze. Durante o ministério público de Jesus, Judas administrava a tesouraria do grupo (</w:t>
      </w:r>
      <w:hyperlink r:id="rId3837">
        <w:r>
          <w:rPr>
            <w:color w:val="0000EE"/>
            <w:u w:val="single"/>
          </w:rPr>
          <w:t>Jo 13.29</w:t>
        </w:r>
      </w:hyperlink>
      <w:r>
        <w:t>), do qual ele era conhecido por roubar dinheiro (</w:t>
      </w:r>
      <w:hyperlink r:id="rId3836">
        <w:r>
          <w:rPr>
            <w:color w:val="0000EE"/>
            <w:u w:val="single"/>
          </w:rPr>
          <w:t>12.6</w:t>
        </w:r>
      </w:hyperlink>
      <w:r>
        <w:t>). Como um traidor, Judas foi contratado para entregar Jesus aos principais sacerdotes por 30 moedas de prata. Ele realizou este ato de traição identificando Jesus com um beijo no Jardim do Getsêmani (</w:t>
      </w:r>
      <w:hyperlink r:id="rId12359">
        <w:r>
          <w:rPr>
            <w:color w:val="0000EE"/>
            <w:u w:val="single"/>
          </w:rPr>
          <w:t>Mt 26.14–47</w:t>
        </w:r>
      </w:hyperlink>
      <w:r>
        <w:t xml:space="preserve">; </w:t>
      </w:r>
      <w:hyperlink r:id="rId12360">
        <w:r>
          <w:rPr>
            <w:color w:val="0000EE"/>
            <w:u w:val="single"/>
          </w:rPr>
          <w:t>Mc 14.10–46</w:t>
        </w:r>
      </w:hyperlink>
      <w:r>
        <w:t xml:space="preserve">; </w:t>
      </w:r>
      <w:hyperlink r:id="rId12361">
        <w:r>
          <w:rPr>
            <w:color w:val="0000EE"/>
            <w:u w:val="single"/>
          </w:rPr>
          <w:t>Lc 22.3–48</w:t>
        </w:r>
      </w:hyperlink>
      <w:r>
        <w:t xml:space="preserve">; </w:t>
      </w:r>
      <w:hyperlink r:id="rId12362">
        <w:r>
          <w:rPr>
            <w:color w:val="0000EE"/>
            <w:u w:val="single"/>
          </w:rPr>
          <w:t>Jo 18.2–5</w:t>
        </w:r>
      </w:hyperlink>
      <w:r>
        <w:t>).</w:t>
      </w:r>
    </w:p>
    <w:p>
      <w:r/>
      <w:r>
        <w:t>Várias sugestões foram oferecidas para explicar o ato traidor de Judas. (1) De acordo com seu zelo patriótico, Judas entregou Jesus às autoridades após perceber que seu Mestre não pretendia derrubar a ordem romana e estabelecer um estado judaico. (2) Judas acreditava que Jesus era o Messias e planejou sua prisão na esperança de incitá-lo a inaugurar seu reino. (3) Ele era um covarde que havia tramado a maldade desde o início do ministério público de Jesus. (4) Motivado por um impulso satânico, Judas traiu Jesus; no entanto, após reconhecer que ele foi enganado, por remorso, ele tirou sua própria vida. (5) Com orgulho ferido e ego humilhado das repreensões cáusticas de Jesus, Judas, originalmente um discípulo leal, se voltou contra ele. (6) Judas, movido por sua própria ganância, cedeu aos seus instintos egoístas, não percebendo que Jesus seria, consequentemente, julgado e morto; ao saber do resultado de sua traição, ele se arrependeu em desespero e cometeu suicídio.</w:t>
      </w:r>
    </w:p>
    <w:p>
      <w:r/>
      <w:r>
        <w:t>Judas, desanimado com seu ato de traição, saiu e se enforcou em um terreno comprado com suas 30 peças de prata (</w:t>
      </w:r>
      <w:hyperlink r:id="rId12363">
        <w:r>
          <w:rPr>
            <w:color w:val="0000EE"/>
            <w:u w:val="single"/>
          </w:rPr>
          <w:t>Mt 27.3–10</w:t>
        </w:r>
      </w:hyperlink>
      <w:r>
        <w:t xml:space="preserve">). </w:t>
      </w:r>
      <w:hyperlink r:id="rId12364">
        <w:r>
          <w:rPr>
            <w:color w:val="0000EE"/>
            <w:u w:val="single"/>
          </w:rPr>
          <w:t>Atos 1.18</w:t>
        </w:r>
      </w:hyperlink>
      <w:r>
        <w:t xml:space="preserve"> acrescenta horrivelmente que seu corpo se arrebentou, cuspindo seus intestinos; por esta razão, o campo foi chamado de “Campo de Sangue” (</w:t>
      </w:r>
      <w:hyperlink r:id="rId257">
        <w:r>
          <w:rPr>
            <w:color w:val="0000EE"/>
            <w:u w:val="single"/>
          </w:rPr>
          <w:t>Atos 1.19</w:t>
        </w:r>
      </w:hyperlink>
      <w:r>
        <w:t xml:space="preserve">). Matias mais tarde tomou o lugar de Judas Iscariotes, entre os Doze (v. </w:t>
      </w:r>
      <w:hyperlink r:id="rId7337">
        <w:r>
          <w:rPr>
            <w:color w:val="0000EE"/>
            <w:u w:val="single"/>
          </w:rPr>
          <w:t>26</w:t>
        </w:r>
      </w:hyperlink>
      <w:r>
        <w:t>).</w:t>
      </w:r>
    </w:p>
    <w:p>
      <w:r/>
      <w:r>
        <w:t>2. Filho de José e Maria, e o irmão de Jesus, Tiago, José e Simão (</w:t>
      </w:r>
      <w:hyperlink r:id="rId2205">
        <w:r>
          <w:rPr>
            <w:color w:val="0000EE"/>
            <w:u w:val="single"/>
          </w:rPr>
          <w:t>Mt 13.55</w:t>
        </w:r>
      </w:hyperlink>
      <w:r>
        <w:t xml:space="preserve">; </w:t>
      </w:r>
      <w:hyperlink r:id="rId4331">
        <w:r>
          <w:rPr>
            <w:color w:val="0000EE"/>
            <w:u w:val="single"/>
          </w:rPr>
          <w:t>Mc 6.3</w:t>
        </w:r>
      </w:hyperlink>
      <w:r>
        <w:t>). Evidentemente, Judas e seus irmãos rejeitaram Jesus como Messias (</w:t>
      </w:r>
      <w:hyperlink r:id="rId11168">
        <w:r>
          <w:rPr>
            <w:color w:val="0000EE"/>
            <w:u w:val="single"/>
          </w:rPr>
          <w:t>Jo 7.5</w:t>
        </w:r>
      </w:hyperlink>
      <w:r>
        <w:t>) até após sua ressurreição (</w:t>
      </w:r>
      <w:hyperlink r:id="rId3749">
        <w:r>
          <w:rPr>
            <w:color w:val="0000EE"/>
            <w:u w:val="single"/>
          </w:rPr>
          <w:t>Atos 1.14</w:t>
        </w:r>
      </w:hyperlink>
      <w:r>
        <w:t>). Mais tarde, pensa-se, Judas escreveu a epístola chamada Judas.</w:t>
      </w:r>
    </w:p>
    <w:p>
      <w:r/>
      <w:r>
        <w:t>3. Filho de Tiago e um dos 12 discípulos (</w:t>
      </w:r>
      <w:hyperlink r:id="rId12358">
        <w:r>
          <w:rPr>
            <w:color w:val="0000EE"/>
            <w:u w:val="single"/>
          </w:rPr>
          <w:t>Lc 6.16</w:t>
        </w:r>
      </w:hyperlink>
      <w:r>
        <w:t xml:space="preserve">; </w:t>
      </w:r>
      <w:hyperlink r:id="rId12365">
        <w:r>
          <w:rPr>
            <w:color w:val="0000EE"/>
            <w:u w:val="single"/>
          </w:rPr>
          <w:t>Jo 14.22</w:t>
        </w:r>
      </w:hyperlink>
      <w:r>
        <w:t xml:space="preserve">; </w:t>
      </w:r>
      <w:hyperlink r:id="rId750">
        <w:r>
          <w:rPr>
            <w:color w:val="0000EE"/>
            <w:u w:val="single"/>
          </w:rPr>
          <w:t>Atos 1.13</w:t>
        </w:r>
      </w:hyperlink>
      <w:r>
        <w:t xml:space="preserve">). Ele é identificável com Tadeu em </w:t>
      </w:r>
      <w:hyperlink r:id="rId747">
        <w:r>
          <w:rPr>
            <w:color w:val="0000EE"/>
            <w:u w:val="single"/>
          </w:rPr>
          <w:t>Mateus 10.3</w:t>
        </w:r>
      </w:hyperlink>
      <w:r>
        <w:t xml:space="preserve"> e </w:t>
      </w:r>
      <w:hyperlink r:id="rId748">
        <w:r>
          <w:rPr>
            <w:color w:val="0000EE"/>
            <w:u w:val="single"/>
          </w:rPr>
          <w:t>Marcos 3.18</w:t>
        </w:r>
      </w:hyperlink>
      <w:r>
        <w:t xml:space="preserve">. </w:t>
      </w:r>
      <w:r>
        <w:rPr>
          <w:i/>
        </w:rPr>
        <w:t>Veja</w:t>
      </w:r>
      <w:r>
        <w:t xml:space="preserve"> </w:t>
      </w:r>
      <w:r>
        <w:t>Tadeu, O Apóstolo</w:t>
      </w:r>
      <w:r>
        <w:t>.</w:t>
      </w:r>
    </w:p>
    <w:p>
      <w:r/>
      <w:r>
        <w:t xml:space="preserve">4. Galileu que liderou uma revolta judaica contra os romanos por causa do censo feito por Quirino em 6 d.C. Em </w:t>
      </w:r>
      <w:hyperlink r:id="rId4712">
        <w:r>
          <w:rPr>
            <w:color w:val="0000EE"/>
            <w:u w:val="single"/>
          </w:rPr>
          <w:t>Atos 5.37</w:t>
        </w:r>
      </w:hyperlink>
      <w:r>
        <w:t>, o fariseu Gamaliel mencionou Judas como um exemplo de quem tentou, sem sucesso, ganhar o apoio do povo judeu. Josefo o reconheceu como fundador do partido zelote judeu, um movimento revolucionário extremo que tentou derrubar o governo romano e restabelecer a autonomia judaica (</w:t>
      </w:r>
      <w:r>
        <w:rPr>
          <w:i/>
        </w:rPr>
        <w:t>Guerra</w:t>
      </w:r>
      <w:r>
        <w:t xml:space="preserve"> 2.8.1).</w:t>
      </w:r>
    </w:p>
    <w:p>
      <w:r/>
      <w:r>
        <w:t>5. Proprietário de uma casa ao longo da rua chamada Direita, em Damasco. Aqui, após sua conversão, Saulo (Paulo) encontrou alojamento e teve sua visão restaurada por Ananias (</w:t>
      </w:r>
      <w:hyperlink r:id="rId4621">
        <w:r>
          <w:rPr>
            <w:color w:val="0000EE"/>
            <w:u w:val="single"/>
          </w:rPr>
          <w:t>Atos 9.11</w:t>
        </w:r>
      </w:hyperlink>
      <w:r>
        <w:t>).</w:t>
      </w:r>
    </w:p>
    <w:p>
      <w:r/>
      <w:r>
        <w:t>6. Profeta e líder na igreja primitiva de Jerusalém. Judas, também chamado de Barsabás, foi escolhido com Silas para acompanhar Paulo e Barnabé até Antioquia, onde confirmaram a decisão do Conselho de Jerusalém sobre a igreja gentílica e posteriormente encorajaram seus fiéis (</w:t>
      </w:r>
      <w:hyperlink r:id="rId12366">
        <w:r>
          <w:rPr>
            <w:color w:val="0000EE"/>
            <w:u w:val="single"/>
          </w:rPr>
          <w:t>Atos 15.22–32</w:t>
        </w:r>
      </w:hyperlink>
      <w:r>
        <w:t xml:space="preserve">). </w:t>
      </w:r>
      <w:r>
        <w:rPr>
          <w:i/>
        </w:rPr>
        <w:t>Veja</w:t>
      </w:r>
      <w:r>
        <w:t xml:space="preserve"> </w:t>
      </w:r>
      <w:r>
        <w:t>José #12</w:t>
      </w:r>
      <w:r>
        <w:t>.</w:t>
      </w:r>
    </w:p>
    <w:p>
      <w:r/>
      <w:r>
        <w:t>7. NTLH ortografia de Judá, o filho de Jacó (</w:t>
      </w:r>
      <w:hyperlink r:id="rId12305">
        <w:r>
          <w:rPr>
            <w:color w:val="0000EE"/>
            <w:u w:val="single"/>
          </w:rPr>
          <w:t>Mt 1.2–3</w:t>
        </w:r>
      </w:hyperlink>
      <w:r>
        <w:t xml:space="preserve">). </w:t>
      </w:r>
      <w:r>
        <w:rPr>
          <w:i/>
        </w:rPr>
        <w:t>Veja</w:t>
      </w:r>
      <w:r>
        <w:t xml:space="preserve"> </w:t>
      </w:r>
      <w:r>
        <w:t>Judá (Pessoa) #1</w:t>
      </w:r>
      <w:r>
        <w:t>.</w:t>
      </w:r>
      <w:r/>
      <w:r/>
    </w:p>
    <w:p>
      <w:r/>
    </w:p>
    <w:p>
      <w:pPr>
        <w:pStyle w:val="Heading2"/>
      </w:pPr>
      <w:r>
        <w:t>Judas, Carta De</w:t>
      </w:r>
      <w:r/>
    </w:p>
    <w:p>
      <w:r/>
      <w:r>
        <w:t>Uma breve e categórica carta para uma igreja infiltrada por mestres que praticavam todos os tipos de mal moral. Judas revela a situação interna de uma comunidade judaico-cristã e também apresenta algumas grandes dificuldades para o intérprete cristão.</w:t>
      </w:r>
    </w:p>
    <w:p>
      <w:r/>
      <w:r>
        <w:t>Resumo</w:t>
      </w:r>
    </w:p>
    <w:p>
      <w:r/>
      <w:r>
        <w:t>• Autor</w:t>
      </w:r>
    </w:p>
    <w:p>
      <w:r/>
      <w:r>
        <w:t>• Data, origem e destino</w:t>
      </w:r>
    </w:p>
    <w:p>
      <w:r/>
      <w:r>
        <w:t>• Pano de fundo</w:t>
      </w:r>
    </w:p>
    <w:p>
      <w:r/>
      <w:r>
        <w:t>• Propósito e ensino teológico</w:t>
      </w:r>
    </w:p>
    <w:p>
      <w:r/>
      <w:r>
        <w:t>• Conteúdo</w:t>
      </w:r>
    </w:p>
    <w:p>
      <w:pPr>
        <w:pStyle w:val="Heading3"/>
      </w:pPr>
      <w:r>
        <w:t>Autor</w:t>
      </w:r>
    </w:p>
    <w:p>
      <w:r/>
      <w:r>
        <w:t>A Carta de Judas afirma que foi escrita por “Judas… [o] irmão de Tiago” (</w:t>
      </w:r>
      <w:hyperlink r:id="rId11686">
        <w:r>
          <w:rPr>
            <w:color w:val="0000EE"/>
            <w:u w:val="single"/>
          </w:rPr>
          <w:t>1.1</w:t>
        </w:r>
      </w:hyperlink>
      <w:r>
        <w:t>). Muitos estudiosos entendem esta nomenclatura para designar Judas (grego “Judas”), irmão de Jesus, cujo irmão Tiago se tornou o líder da igreja de Jerusalém. Mas outros estudiosos pensam que talvez outro Judas o tenha escrito, ou algum autor posterior no espírito do líder que ele reverenciava. A hipótese de que outro Judas escreveu parece improvável, pois o apóstolo Judas (</w:t>
      </w:r>
      <w:hyperlink r:id="rId12358">
        <w:r>
          <w:rPr>
            <w:color w:val="0000EE"/>
            <w:u w:val="single"/>
          </w:rPr>
          <w:t>Lc 6.16</w:t>
        </w:r>
      </w:hyperlink>
      <w:r>
        <w:t xml:space="preserve">; </w:t>
      </w:r>
      <w:hyperlink r:id="rId750">
        <w:r>
          <w:rPr>
            <w:color w:val="0000EE"/>
            <w:u w:val="single"/>
          </w:rPr>
          <w:t>At 1.13</w:t>
        </w:r>
      </w:hyperlink>
      <w:r>
        <w:t xml:space="preserve">) é o filho de um certo Tiago, não um irmão de Tiago; além disso, </w:t>
      </w:r>
      <w:hyperlink r:id="rId12367">
        <w:r>
          <w:rPr>
            <w:color w:val="0000EE"/>
            <w:u w:val="single"/>
          </w:rPr>
          <w:t>Jd 1.17</w:t>
        </w:r>
      </w:hyperlink>
      <w:r>
        <w:t xml:space="preserve"> parece distinguir Judas dos apóstolos. E uma vez que havia apenas um Tiago que era proeminente na igreja primitiva, o irmão do Senhor, seria difícil acreditar que alguns outros Judas também teriam um irmão chamado Tiago e usariam tal identificação no título; teria sido muito confuso. O título “irmão de Tiago” provavelmente significa que Judas era o irmão de Tiago de Jerusalém e, portanto, irmão de Jesus; ele não usou o título “irmão de nosso Senhor”, talvez, como disse Clemente de Alexandria, por modéstia.</w:t>
      </w:r>
    </w:p>
    <w:p>
      <w:r/>
      <w:r>
        <w:t>A ideia de que um autor posterior escreveu usando o nome de Judas apresenta um grande problema: por que ele escolheria um nome tão desconhecido, em vez de Paulo, Pedro ou Tiago, e por que ele não usaria um título mais exaltado e autoritário? Devemos concluir que, apesar dos problemas de data e pano de fundo, Judas, o irmão do Senhor, escreveu esta carta.</w:t>
      </w:r>
    </w:p>
    <w:p>
      <w:pPr>
        <w:pStyle w:val="Heading3"/>
      </w:pPr>
      <w:r>
        <w:t>Data, origem e destino</w:t>
      </w:r>
    </w:p>
    <w:p>
      <w:r/>
      <w:r>
        <w:t>Sobre data, origem e destino, a carta não diz nada diretamente. Uma vez que o conteúdo da fé é claramente definido (</w:t>
      </w:r>
      <w:hyperlink r:id="rId12368">
        <w:r>
          <w:rPr>
            <w:color w:val="0000EE"/>
            <w:u w:val="single"/>
          </w:rPr>
          <w:t>Judas 1.3</w:t>
        </w:r>
      </w:hyperlink>
      <w:r>
        <w:t xml:space="preserve">) e os destinatários ouviram pessoalmente os apóstolos (que poderiam já ter morrido, v. </w:t>
      </w:r>
      <w:hyperlink r:id="rId12367">
        <w:r>
          <w:rPr>
            <w:color w:val="0000EE"/>
            <w:u w:val="single"/>
          </w:rPr>
          <w:t>17</w:t>
        </w:r>
      </w:hyperlink>
      <w:r>
        <w:t>), a data provavelmente está entre 60 e 100 d.C.</w:t>
      </w:r>
    </w:p>
    <w:p>
      <w:r/>
      <w:r>
        <w:t>Presumivelmente, Judas viajou (com sua esposa e família) para difundir a fé (</w:t>
      </w:r>
      <w:hyperlink r:id="rId11197">
        <w:r>
          <w:rPr>
            <w:color w:val="0000EE"/>
            <w:u w:val="single"/>
          </w:rPr>
          <w:t>1Co 9.5</w:t>
        </w:r>
      </w:hyperlink>
      <w:r>
        <w:t>). Ao longo de suas viagens, ele pode ter estabelecido algumas igrejas — ou, pelo menos, ele provavelmente ensinou em várias igrejas locais. Pode ser que ele tenha ouvido falar de falsos mestres se infiltrando nessas igrejas e foi solicitado a escrevê-los esta epístola.</w:t>
      </w:r>
    </w:p>
    <w:p>
      <w:r/>
      <w:r>
        <w:t>Judas pode ter escrito da Galileia em sua velhice, ou talvez ele tivesse voltado para Jerusalém. O melhor palpite que podemos fazer sobre os destinatários seria que eles eram membros de igrejas judaico-cristãs na Síria. Ainda assim, esses locais permanecem pouco mais do que suposições.</w:t>
      </w:r>
    </w:p>
    <w:p>
      <w:pPr>
        <w:pStyle w:val="Heading3"/>
      </w:pPr>
      <w:r>
        <w:t>Pano de fundo</w:t>
      </w:r>
    </w:p>
    <w:p>
      <w:r/>
      <w:r>
        <w:t>Três fatos sobre a Carta de Judas tornam seu pano fundo difícil de reconstruir. Primeiro, é difícil ter certeza que tipo de heresia estava sendo combatida. Alguns estudiosos acreditam que este era o gnosticismo em sua forma inicial, e outros que se tratava simplesmente de um ensino infiltrado junto de erros éticos. Se os hereges fossem os gnósticos, eles acreditavam em uma hierarquia de anjos ou semideuses. Neste caso, eles provavelmente viam Jesus como sendo um degrau inferior no caminho para a salvação. Talvez eles também considerassem Deus como o criador inferior (o demiurgo) e falassem em querer servir ao Deus verdadeiro (</w:t>
      </w:r>
      <w:hyperlink r:id="rId10141">
        <w:r>
          <w:rPr>
            <w:color w:val="0000EE"/>
            <w:u w:val="single"/>
          </w:rPr>
          <w:t>Judas 1.4</w:t>
        </w:r>
      </w:hyperlink>
      <w:r>
        <w:t xml:space="preserve">). Isso pode explicar o interesse em anjos e demônios (v. </w:t>
      </w:r>
      <w:hyperlink r:id="rId12369">
        <w:r>
          <w:rPr>
            <w:color w:val="0000EE"/>
            <w:u w:val="single"/>
          </w:rPr>
          <w:t>8</w:t>
        </w:r>
      </w:hyperlink>
      <w:r>
        <w:t xml:space="preserve">) e a ênfase sobre a unidade de Deus (v. </w:t>
      </w:r>
      <w:hyperlink r:id="rId12370">
        <w:r>
          <w:rPr>
            <w:color w:val="0000EE"/>
            <w:u w:val="single"/>
          </w:rPr>
          <w:t>25</w:t>
        </w:r>
      </w:hyperlink>
      <w:r>
        <w:t xml:space="preserve">). Mas provavelmente essas eram simplesmente pessoas que haviam encontrado uma maneira de racionalizar o comportamento imoral e zombavam imprudentemente dos poderes do mal. Não há evidência clara de que eles eram gnósticos, enquanto há muita evidência de que as pessoas transformaram a liberdade do evangelho em um pretexto para o pecado (por exemplo, </w:t>
      </w:r>
      <w:hyperlink r:id="rId4417">
        <w:r>
          <w:rPr>
            <w:color w:val="0000EE"/>
            <w:u w:val="single"/>
          </w:rPr>
          <w:t>Rm 6</w:t>
        </w:r>
      </w:hyperlink>
      <w:r>
        <w:t xml:space="preserve">; </w:t>
      </w:r>
      <w:hyperlink r:id="rId5846">
        <w:r>
          <w:rPr>
            <w:color w:val="0000EE"/>
            <w:u w:val="single"/>
          </w:rPr>
          <w:t>1Co 5–6</w:t>
        </w:r>
      </w:hyperlink>
      <w:r>
        <w:t>). Esses mestres provavelmente negaram a Cristo ao falharem em seguir seu ensino ético, e sua blasfêmia contra os anjos (enquanto eles mesmos estavam profundamente em pecado) era outro pecado ético. Tal depravação é suficiente para explicar a carta; no entanto, sabendo que o erro doutrinário e ético muitas vezes andam de mãos dadas, não devemos descartar a possibilidade de que algum erro doutrinário também estivesse envolvido.</w:t>
      </w:r>
    </w:p>
    <w:p>
      <w:r/>
      <w:r>
        <w:t>Segundo, Judas nos surpreende citando dois livros apócrifos, Assunção de Moisés (</w:t>
      </w:r>
      <w:hyperlink r:id="rId10141">
        <w:r>
          <w:rPr>
            <w:color w:val="0000EE"/>
            <w:u w:val="single"/>
          </w:rPr>
          <w:t>Judas 1.4</w:t>
        </w:r>
      </w:hyperlink>
      <w:r>
        <w:t>) e 1 Enoque (</w:t>
      </w:r>
      <w:hyperlink r:id="rId12371">
        <w:r>
          <w:rPr>
            <w:color w:val="0000EE"/>
            <w:u w:val="single"/>
          </w:rPr>
          <w:t>Judas 1.14–15</w:t>
        </w:r>
      </w:hyperlink>
      <w:r>
        <w:t xml:space="preserve"> cita 1 Enoque 1.9). Este fato e outras alusões no livro revelam que Judas e provavelmente seus leitores eram bem instruídos na literatura apócrifa judaica. Além disso, também mostra que Judas considerava os livros fora do cânone do AT como transmitindo verdadeiras tradições e profecia genuína. O fato de Judas aceitar esses livros não é surpreendente, uma vez que muitos livros apócrifos eram usados pelos judeus daquele período, ao lado do AT, como um tipo de literatura devocional. Os primeiros cristãos muitas vezes incluíam literatura apócrifa com livros canônicos como parte de suas Bíblias (às vezes eles também omitiam livros do Novo Testamento que ainda não eram considerados como autênticos, genuínos). O cânon das Escrituras do NT não estava firmemente estabelecido até o terceiro século, muito tempo depois que a epístola de Judas foi escrita.</w:t>
      </w:r>
    </w:p>
    <w:p>
      <w:r/>
      <w:r>
        <w:t>É importante perceber que, embora Judas provavelmente acreditasse na historicidade dessas citações, o ensino da carta não depende dessa historicidade. Judas não escreveu sobre Moisés nem sobre Enoque, mas sobre como alguém deve se comportar em relação às autoridades (</w:t>
      </w:r>
      <w:hyperlink r:id="rId12369">
        <w:r>
          <w:rPr>
            <w:color w:val="0000EE"/>
            <w:u w:val="single"/>
          </w:rPr>
          <w:t>Judas 1.8</w:t>
        </w:r>
      </w:hyperlink>
      <w:r>
        <w:t xml:space="preserve">) e o que Deus fará com os ímpios (v. </w:t>
      </w:r>
      <w:hyperlink r:id="rId2815">
        <w:r>
          <w:rPr>
            <w:color w:val="0000EE"/>
            <w:u w:val="single"/>
          </w:rPr>
          <w:t>13</w:t>
        </w:r>
      </w:hyperlink>
      <w:r>
        <w:t>). As citações ilustram o ensino de Judas e provavelmente tiveram peso para seus primeiros leitores, mas o fato de serem apócrifos não deveria nos incomodar mais do que as citações de Paulo de escritores pagãos ou as alusões do escritor de Hebreus a 2 Macabeus (</w:t>
      </w:r>
      <w:hyperlink r:id="rId2883">
        <w:r>
          <w:rPr>
            <w:color w:val="0000EE"/>
            <w:u w:val="single"/>
          </w:rPr>
          <w:t>At 17</w:t>
        </w:r>
      </w:hyperlink>
      <w:r>
        <w:t xml:space="preserve">; </w:t>
      </w:r>
      <w:hyperlink r:id="rId6077">
        <w:r>
          <w:rPr>
            <w:color w:val="0000EE"/>
            <w:u w:val="single"/>
          </w:rPr>
          <w:t>Tt 1.12</w:t>
        </w:r>
      </w:hyperlink>
      <w:r>
        <w:t xml:space="preserve">; </w:t>
      </w:r>
      <w:hyperlink r:id="rId12372">
        <w:r>
          <w:rPr>
            <w:color w:val="0000EE"/>
            <w:u w:val="single"/>
          </w:rPr>
          <w:t>Hb 11.35</w:t>
        </w:r>
      </w:hyperlink>
      <w:r>
        <w:t>). A autoridade das Escrituras repousa no ponto que o autor está afirmando.</w:t>
      </w:r>
    </w:p>
    <w:p>
      <w:r/>
      <w:r>
        <w:t xml:space="preserve">Terceiro, Judas mostra um relacionamento tão próximo com o texto de </w:t>
      </w:r>
      <w:hyperlink r:id="rId12373">
        <w:r>
          <w:rPr>
            <w:color w:val="0000EE"/>
            <w:u w:val="single"/>
          </w:rPr>
          <w:t>2 Pedro 2</w:t>
        </w:r>
      </w:hyperlink>
      <w:r>
        <w:t xml:space="preserve"> que ou Judas é uma expansão do texto de 2 Pedro 2, ou então 2 Pedro 2 é uma abreviação de Judas. Palavras, frases e ilustrações são essencialmente idênticas nas duas obras. Embora seja difícil determinar quem pediu emprestado de quem, provavelmente o autor de 2 Pedro adaptou as fortes denúncias de Judas ao tom mais instrutivo de sua obra. Seria difícil imaginar alguém escrevendo Judas se 2 Pedro já existisse. Os cristãos não devem ter nenhum problema com este empréstimo, pois nenhum escritor das Escrituras acreditava ser tão original que ele não pudesse tomar emprestado de outras Escrituras, de hinos ou da literatura não canônica. Não é mais um problema para Deus inspirar uma citação ou adaptação de outro escrito do que inspirar uma nova composição. De fato, algumas passagens nas Escrituras são repetições totais de outras (por exemplo, </w:t>
      </w:r>
      <w:hyperlink r:id="rId6595">
        <w:r>
          <w:rPr>
            <w:color w:val="0000EE"/>
            <w:u w:val="single"/>
          </w:rPr>
          <w:t>Sl 18</w:t>
        </w:r>
      </w:hyperlink>
      <w:r>
        <w:t xml:space="preserve"> e </w:t>
      </w:r>
      <w:hyperlink r:id="rId6594">
        <w:r>
          <w:rPr>
            <w:color w:val="0000EE"/>
            <w:u w:val="single"/>
          </w:rPr>
          <w:t>2Sm 22</w:t>
        </w:r>
      </w:hyperlink>
      <w:r>
        <w:t>).</w:t>
      </w:r>
    </w:p>
    <w:p>
      <w:pPr>
        <w:pStyle w:val="Heading3"/>
      </w:pPr>
      <w:r>
        <w:t>Propósito e ensino teológico</w:t>
      </w:r>
    </w:p>
    <w:p>
      <w:r/>
      <w:r>
        <w:t>Judas descreve seu trabalho em termos de exortação ou encorajamento (</w:t>
      </w:r>
      <w:hyperlink r:id="rId12368">
        <w:r>
          <w:rPr>
            <w:color w:val="0000EE"/>
            <w:u w:val="single"/>
          </w:rPr>
          <w:t>Judas 1.3</w:t>
        </w:r>
      </w:hyperlink>
      <w:r>
        <w:t xml:space="preserve">). Obviamente, ele queria fortalecer as igrejas contra os falsos mestres que estavam pervertendo o evangelho. Assim, ele repetidamente exortou os crentes a se apegarem ou guardarem sua pureza e o evangelho (vv. </w:t>
      </w:r>
      <w:hyperlink r:id="rId12368">
        <w:r>
          <w:rPr>
            <w:color w:val="0000EE"/>
            <w:u w:val="single"/>
          </w:rPr>
          <w:t>3,20–21,24</w:t>
        </w:r>
      </w:hyperlink>
      <w:r>
        <w:t xml:space="preserve">). No entanto, ele não queria que os mestres fossem simplesmente expulsos, pois ele tinha esperanças de que os crentes seriam capazes de resgatar alguns deste perigo, embora o próprio resgate fosse um trabalho perigoso (v. </w:t>
      </w:r>
      <w:hyperlink r:id="rId12374">
        <w:r>
          <w:rPr>
            <w:color w:val="0000EE"/>
            <w:u w:val="single"/>
          </w:rPr>
          <w:t>23</w:t>
        </w:r>
      </w:hyperlink>
      <w:r>
        <w:t>).</w:t>
      </w:r>
    </w:p>
    <w:p>
      <w:r/>
      <w:r>
        <w:t xml:space="preserve">Ao formular sua exortação, o autor não produziu nenhuma nova doutrina; em vez disso, ele destacou algumas antigas: (1) Ele enfatizava a natureza ética do evangelho e a necessidade de manter a pureza na vida e na fala. (2) Ele mostrou uma alta consideração pela salvação por meio de Cristo e uma forte fé em um Deus. (3) Ele exigiu respeito pela autoridade, tanto temporal quanto espiritual (vv. </w:t>
      </w:r>
      <w:hyperlink r:id="rId12375">
        <w:r>
          <w:rPr>
            <w:color w:val="0000EE"/>
            <w:u w:val="single"/>
          </w:rPr>
          <w:t>8–11</w:t>
        </w:r>
      </w:hyperlink>
      <w:r>
        <w:t xml:space="preserve">). (4) Ele tinha uma crença apocalíptica clara, enfatizando o julgamento final que se aproximava (vv. </w:t>
      </w:r>
      <w:hyperlink r:id="rId12371">
        <w:r>
          <w:rPr>
            <w:color w:val="0000EE"/>
            <w:u w:val="single"/>
          </w:rPr>
          <w:t>14–15</w:t>
        </w:r>
      </w:hyperlink>
      <w:r>
        <w:t xml:space="preserve">) e afirmando que os últimos dias já haviam chegado (v. </w:t>
      </w:r>
      <w:hyperlink r:id="rId12376">
        <w:r>
          <w:rPr>
            <w:color w:val="0000EE"/>
            <w:u w:val="single"/>
          </w:rPr>
          <w:t>18</w:t>
        </w:r>
      </w:hyperlink>
      <w:r>
        <w:t xml:space="preserve">). (5) Ele advertiu sobre a necessidade de perseverar na fé tanto doutrinária quanto eticamente (vv. </w:t>
      </w:r>
      <w:hyperlink r:id="rId12377">
        <w:r>
          <w:rPr>
            <w:color w:val="0000EE"/>
            <w:u w:val="single"/>
          </w:rPr>
          <w:t>19–21</w:t>
        </w:r>
      </w:hyperlink>
      <w:r>
        <w:t xml:space="preserve">). (6) Ele demonstrou zelo para recuperar aqueles que haviam errado, pois eles estavam fora da graça de Deus (v. </w:t>
      </w:r>
      <w:hyperlink r:id="rId12374">
        <w:r>
          <w:rPr>
            <w:color w:val="0000EE"/>
            <w:u w:val="single"/>
          </w:rPr>
          <w:t>23</w:t>
        </w:r>
      </w:hyperlink>
      <w:r>
        <w:t>).</w:t>
      </w:r>
    </w:p>
    <w:p>
      <w:pPr>
        <w:pStyle w:val="Heading3"/>
      </w:pPr>
      <w:r>
        <w:t>Conteúdo</w:t>
      </w:r>
    </w:p>
    <w:p>
      <w:pPr>
        <w:pStyle w:val="Heading4"/>
      </w:pPr>
      <w:r>
        <w:t>Saudação (1.1–2)</w:t>
      </w:r>
    </w:p>
    <w:p>
      <w:r/>
      <w:r>
        <w:t>O autor se identifica humildemente como um servo de Jesus Cristo e dirige sua carta aos fiéis na igreja — aqueles que são amados, guardados e chamados por Deus e por Cristo.</w:t>
      </w:r>
    </w:p>
    <w:p>
      <w:pPr>
        <w:pStyle w:val="Heading4"/>
      </w:pPr>
      <w:r>
        <w:t>Chamados para se manterem firmes na fé (1.3–4)</w:t>
      </w:r>
    </w:p>
    <w:p>
      <w:r/>
      <w:r>
        <w:t xml:space="preserve">Judas estava planejando escrever a esses cristãos sobre “a salvação que todos compartilhamos” (v. </w:t>
      </w:r>
      <w:hyperlink r:id="rId12368">
        <w:r>
          <w:rPr>
            <w:color w:val="0000EE"/>
            <w:u w:val="single"/>
          </w:rPr>
          <w:t>3</w:t>
        </w:r>
      </w:hyperlink>
      <w:r>
        <w:t xml:space="preserve">). Nunca saberemos qual instrução ele planejava dar, pois no meio de seus preparativos, ele ouviu notícias que o forçaram a mudar seus planos. Em vez disso, ele escreveu uma epístola em defesa “da fé” — isto é, os verdadeiros ensinamentos apostólicos sobre Jesus Cristo que todos os crentes genuínos abraçam. Algumas pessoas haviam se juntado à igreja, talvez com segundas intenções, que eram perigosas para a igreja. Os cristãos devem lutar muito para manter puro o corpo de doutrina (o que significa ética, bem como teologia) que eles haviam recebido de Judas e dos apóstolos. Judas faz duas denúncias contra esses falsos crentes: (1) eles haviam pervertido a graça de Deus em licenciosidade, libertinagem, talvez ostentando abertamente pecados sexuais como um sinal da liberdade que eles tinham em Cristo (cf. </w:t>
      </w:r>
      <w:hyperlink r:id="rId4417">
        <w:r>
          <w:rPr>
            <w:color w:val="0000EE"/>
            <w:u w:val="single"/>
          </w:rPr>
          <w:t>Rm 6</w:t>
        </w:r>
      </w:hyperlink>
      <w:r>
        <w:t xml:space="preserve">; </w:t>
      </w:r>
      <w:hyperlink r:id="rId5846">
        <w:r>
          <w:rPr>
            <w:color w:val="0000EE"/>
            <w:u w:val="single"/>
          </w:rPr>
          <w:t>1Co 5–6</w:t>
        </w:r>
      </w:hyperlink>
      <w:r>
        <w:t>); e (2) negaram o Senhor Jesus (por deixar de seguir seus ensinamentos).</w:t>
      </w:r>
    </w:p>
    <w:p>
      <w:pPr>
        <w:pStyle w:val="Heading4"/>
      </w:pPr>
      <w:r>
        <w:t>Lembrete do julgamento de Deus (1.5–7)</w:t>
      </w:r>
    </w:p>
    <w:p>
      <w:r/>
      <w:r>
        <w:t xml:space="preserve">Uma vez que os destinatários eram provavelmente cristãos judeus, eles haviam aprendido bem o AT e a tradição judaica. O autor escolheu três ilustrações dos resultados da apostasia: (1) O julgamento pode vir para aqueles que antes eram considerados como o povo de Deus (como aconteceu com aqueles que foram “salvos” do Egito, </w:t>
      </w:r>
      <w:hyperlink r:id="rId12378">
        <w:r>
          <w:rPr>
            <w:color w:val="0000EE"/>
            <w:u w:val="single"/>
          </w:rPr>
          <w:t>Êx 32.28</w:t>
        </w:r>
      </w:hyperlink>
      <w:r>
        <w:t xml:space="preserve">; </w:t>
      </w:r>
      <w:hyperlink r:id="rId12379">
        <w:r>
          <w:rPr>
            <w:color w:val="0000EE"/>
            <w:u w:val="single"/>
          </w:rPr>
          <w:t>Nm 11.33–34</w:t>
        </w:r>
      </w:hyperlink>
      <w:r>
        <w:t xml:space="preserve">; </w:t>
      </w:r>
      <w:hyperlink r:id="rId12380">
        <w:r>
          <w:rPr>
            <w:color w:val="0000EE"/>
            <w:u w:val="single"/>
          </w:rPr>
          <w:t>14.29–35</w:t>
        </w:r>
      </w:hyperlink>
      <w:r>
        <w:t xml:space="preserve">). (2) A consequência da apostasia é a condenação eterna (como no caso dos anjos caídos de 1 Enoque 6–16 — essas ideias aparecem em outras tradições judaicas também). (3) A corrupção ética é, de fato, um tipo de apostasia e, portanto, merece a condenação (como no caso de Sodoma — </w:t>
      </w:r>
      <w:hyperlink r:id="rId172">
        <w:r>
          <w:rPr>
            <w:color w:val="0000EE"/>
            <w:u w:val="single"/>
          </w:rPr>
          <w:t>Gn 19</w:t>
        </w:r>
      </w:hyperlink>
      <w:r>
        <w:t xml:space="preserve">; </w:t>
      </w:r>
      <w:hyperlink r:id="rId12381">
        <w:r>
          <w:rPr>
            <w:color w:val="0000EE"/>
            <w:u w:val="single"/>
          </w:rPr>
          <w:t>2Pe 2.4–6</w:t>
        </w:r>
      </w:hyperlink>
      <w:r>
        <w:t xml:space="preserve">). O autor enfatizou a homossexualidade de Sodoma em vez de sua injustiça, que </w:t>
      </w:r>
      <w:hyperlink r:id="rId12382">
        <w:r>
          <w:rPr>
            <w:color w:val="0000EE"/>
            <w:u w:val="single"/>
          </w:rPr>
          <w:t>Ezequiel 16.49</w:t>
        </w:r>
      </w:hyperlink>
      <w:r>
        <w:t xml:space="preserve"> condena, então talvez o mau comportamento sexual fosse um problema para os falsos mestres. Essas três ilustrações deixam bem claro a gravidade dos problemas que a igreja estava enfrentando.</w:t>
      </w:r>
    </w:p>
    <w:p>
      <w:pPr>
        <w:pStyle w:val="Heading4"/>
      </w:pPr>
      <w:r>
        <w:t>Denúncia de falsos mestres (1.8–16; cf. 2Pe 2.10–17)</w:t>
      </w:r>
    </w:p>
    <w:p>
      <w:r/>
      <w:r>
        <w:t xml:space="preserve">Os falsos mestres alegavam ter recebido revelações em sonhos como base do seu mau comportamento. Seus pecados eram (1) impureza sexual (incluindo, mas não se limitando somente à homossexualidade); (2) rejeição da autoridade de Cristo (como incorporada em seu ensino ético); e (3) linguagem maligna sobre anjos (sejam bons, o que provavelmente é o caso, ou malignos). Esta última prática é mostrada como pecado por um exemplo em Assunção de Moisés: até mesmo um arcanjo repreendendo o próprio diabo não usaria a linguagem que esses mestres usavam sobre anjos. Mas uma vez que essas pessoas não eram espirituais, elas eram totalmente ignorantes sobre o que insultavam (cf. </w:t>
      </w:r>
      <w:hyperlink r:id="rId12383">
        <w:r>
          <w:rPr>
            <w:color w:val="0000EE"/>
            <w:u w:val="single"/>
          </w:rPr>
          <w:t>1Co 2.7–16</w:t>
        </w:r>
      </w:hyperlink>
      <w:r>
        <w:t>), mas elas eram especialistas em pecado corporal — como animais selvagens. Seu pecado estava destruindo-os.</w:t>
      </w:r>
    </w:p>
    <w:p>
      <w:r/>
      <w:r>
        <w:t xml:space="preserve">Portanto, os mestres eram como Caim (a encarnação da violência, luxúria, ganância e rebelião contra Deus na tradição judaica), Balaão (que tentou ganhar dinheiro levando as pessoas ao pecado — </w:t>
      </w:r>
      <w:hyperlink r:id="rId12384">
        <w:r>
          <w:rPr>
            <w:color w:val="0000EE"/>
            <w:u w:val="single"/>
          </w:rPr>
          <w:t>Nm 31.16</w:t>
        </w:r>
      </w:hyperlink>
      <w:r>
        <w:t xml:space="preserve">; </w:t>
      </w:r>
      <w:hyperlink r:id="rId2363">
        <w:r>
          <w:rPr>
            <w:color w:val="0000EE"/>
            <w:u w:val="single"/>
          </w:rPr>
          <w:t>Dt 23.4</w:t>
        </w:r>
      </w:hyperlink>
      <w:r>
        <w:t xml:space="preserve">) e Corá (que se rebelou contra a autoridade de Deus em Moisés — </w:t>
      </w:r>
      <w:hyperlink r:id="rId2404">
        <w:r>
          <w:rPr>
            <w:color w:val="0000EE"/>
            <w:u w:val="single"/>
          </w:rPr>
          <w:t>Nm 16</w:t>
        </w:r>
      </w:hyperlink>
      <w:r>
        <w:t xml:space="preserve">). Eles também eram perigosos para os crentes, pois estavam transformando a refeição, que fazia parte da festa de amor e da Mesa do Senhor (Eucaristia), em uma orgia (cf. </w:t>
      </w:r>
      <w:hyperlink r:id="rId12385">
        <w:r>
          <w:rPr>
            <w:color w:val="0000EE"/>
            <w:u w:val="single"/>
          </w:rPr>
          <w:t>1Co 11.20–22</w:t>
        </w:r>
      </w:hyperlink>
      <w:r>
        <w:t xml:space="preserve">), e assim corromperiam a prática do resto da igreja. Eles se importavam apenas com eles mesmos e estavam desprovidos dos verdadeiros dons espirituais de Deus (como nuvens sem água ou as árvores mortas do inverno, cf. </w:t>
      </w:r>
      <w:hyperlink r:id="rId9752">
        <w:r>
          <w:rPr>
            <w:color w:val="0000EE"/>
            <w:u w:val="single"/>
          </w:rPr>
          <w:t>Lc 13.6–9</w:t>
        </w:r>
      </w:hyperlink>
      <w:r>
        <w:t>), estando prontos para a segunda morte (seu destino era tão certo que é visto como já aconteceu). Eles produziram apenas atos malignos; nisso eles são como os anjos caídos (as estrelas são consideradas anjos na tradição judaica — 1 Enoque 18.13–16; 21.1–10).</w:t>
      </w:r>
    </w:p>
    <w:p>
      <w:r/>
      <w:r>
        <w:t>A profecia de Enoque em 1 Enoque 1.9 mostra a certeza de sua condenação. Originalmente, a profecia falava de Deus vindo em julgamento, mas Judas fez com que se referisse a Cristo, que para os cristãos é o juiz vindouro (</w:t>
      </w:r>
      <w:hyperlink r:id="rId9407">
        <w:r>
          <w:rPr>
            <w:color w:val="0000EE"/>
            <w:u w:val="single"/>
          </w:rPr>
          <w:t>Mt 25.31</w:t>
        </w:r>
      </w:hyperlink>
      <w:r>
        <w:t>). Cristo virá com as hostes angélicas e fará justiça aos pecadores por seus pecados (tanto ações quanto palavras malignas). Essa profecia diz respeito às pessoas que resmungam ou culpam Deus, como Israel fez (</w:t>
      </w:r>
      <w:hyperlink r:id="rId12386">
        <w:r>
          <w:rPr>
            <w:color w:val="0000EE"/>
            <w:u w:val="single"/>
          </w:rPr>
          <w:t>Êx 16.7–12</w:t>
        </w:r>
      </w:hyperlink>
      <w:r>
        <w:t xml:space="preserve">; </w:t>
      </w:r>
      <w:hyperlink r:id="rId12387">
        <w:r>
          <w:rPr>
            <w:color w:val="0000EE"/>
            <w:u w:val="single"/>
          </w:rPr>
          <w:t>17.3</w:t>
        </w:r>
      </w:hyperlink>
      <w:r>
        <w:t>); também se aplica às pessoas que fazem o que desejam, são faladoras, desbocadas, e ainda bajuladoras quando lhes é vantajoso.</w:t>
      </w:r>
    </w:p>
    <w:p>
      <w:pPr>
        <w:pStyle w:val="Heading4"/>
      </w:pPr>
      <w:r>
        <w:t>Instruções para os fiéis (1.17–23)</w:t>
      </w:r>
    </w:p>
    <w:p>
      <w:r/>
      <w:r>
        <w:t>Os cristãos fiéis devem se lembrar que os apóstolos (aqui significando os Doze, não o grupo mais amplo de apóstolos que incluía Paulo, Barnabé e outros) haviam previsto apenas tal situação quando estavam vivos: nos últimos dias haveria escarnecedores, que cometeriam qualquer ato ímpio que desejassem (</w:t>
      </w:r>
      <w:hyperlink r:id="rId12388">
        <w:r>
          <w:rPr>
            <w:color w:val="0000EE"/>
            <w:u w:val="single"/>
          </w:rPr>
          <w:t>2Pe 3.3</w:t>
        </w:r>
      </w:hyperlink>
      <w:r>
        <w:t>). Esses falsos mestres são essas pessoas. Eles dividem a igreja, e embora afirmem ser espirituais e receber sonhos, são totalmente mundanos, pois não possuem o Espírito Santo. Os fiéis devem cuidar para permanecerem no amor de Deus e não escorreguem para a rebelião como fizeram esses hereges. Isso é feito (1) edificando a si mesmos (em vez de causar divisões) com base na fé, no ensino apostólico e no exemplo; (2) orando no Espírito Santo (</w:t>
      </w:r>
      <w:hyperlink r:id="rId5323">
        <w:r>
          <w:rPr>
            <w:color w:val="0000EE"/>
            <w:u w:val="single"/>
          </w:rPr>
          <w:t>Ef 6.18</w:t>
        </w:r>
      </w:hyperlink>
      <w:r>
        <w:t>), o que os afasta daqueles que não têm o Espírito; e (3) esperando com expectativa pela misericórdia que Jesus lhes mostraria no iminente Juízo Final (1 Enoque 27.3–4).</w:t>
      </w:r>
    </w:p>
    <w:p>
      <w:r/>
      <w:r>
        <w:t>Contudo, os cristãos ainda precisam lidar com aqueles influenciados pelo falso ensino. Enquanto o texto grego aqui é muito incerto (não está claro se Judas tinha dois ou três grupos em mente), Judas provavelmente pretendia que a igreja agisse misericordiosamente contra aqueles que estavam vacilando sobre seguir o falso ensino, restaurar quanto possível dos seguidores do falso ensino como se os estivessem arrancando do inferno e, enquanto mantendo uma atitude misericordiosa (uma disposição para aceitá-los de volta rapidamente se eles tivessem se arrependido), evitar estritamente qualquer contato social com os impenitentes por medo do julgamento de Deus.</w:t>
      </w:r>
    </w:p>
    <w:p>
      <w:pPr>
        <w:pStyle w:val="Heading4"/>
      </w:pPr>
      <w:r>
        <w:t>Bênção (1.24–25)</w:t>
      </w:r>
    </w:p>
    <w:p>
      <w:r/>
      <w:r>
        <w:t xml:space="preserve">Judas fecha com uma doxologia muito parecida com a encontrada em </w:t>
      </w:r>
      <w:hyperlink r:id="rId12389">
        <w:r>
          <w:rPr>
            <w:color w:val="0000EE"/>
            <w:u w:val="single"/>
          </w:rPr>
          <w:t>Romanos 16.25–27</w:t>
        </w:r>
      </w:hyperlink>
      <w:r>
        <w:t>. No meio de muitos que sucumbiram na fé, Deus é louvado como aquele que é capaz de impedir que os crentes caiam, além de trazê-los em segurança para a sua própria presença. É a este que é o único Deus, nosso Salvador através de Jesus Cristo (ou seja, Deus nos salva por meio de Jesus) que os quatro atributos — glória, majestade, domínio e autoridade — pertencem, agora e para sempre.</w:t>
      </w:r>
    </w:p>
    <w:p>
      <w:r/>
      <w:r>
        <w:rPr>
          <w:i/>
        </w:rPr>
        <w:t>Ver também</w:t>
      </w:r>
      <w:r>
        <w:t xml:space="preserve"> </w:t>
      </w:r>
      <w:r>
        <w:t>Apostasia</w:t>
      </w:r>
      <w:r>
        <w:t xml:space="preserve">; </w:t>
      </w:r>
      <w:r>
        <w:t>Irmãos de Jesus</w:t>
      </w:r>
      <w:r>
        <w:t>.</w:t>
      </w:r>
      <w:r/>
      <w:r/>
    </w:p>
    <w:p>
      <w:r/>
    </w:p>
    <w:p>
      <w:pPr>
        <w:pStyle w:val="Heading2"/>
      </w:pPr>
      <w:r>
        <w:t>Judeia, Judeus</w:t>
      </w:r>
      <w:r/>
    </w:p>
    <w:p>
      <w:r/>
      <w:r>
        <w:t>Judeia era a terra onde o povo judeu vivia. O nome vem da tribo de Judá. Por volta de 538 a.C., muitos israelitas voltaram para casa após serem mantidos cativos na Babilônia. A maioria dessas pessoas era da tribo de Judá, então passaram a ser conhecidas como judeus. Sua terra passou a ser conhecida como Judeia.</w:t>
      </w:r>
    </w:p>
    <w:p>
      <w:r/>
      <w:r>
        <w:t>A Judeia é uma área muito importante na Bíblia. Ela contém vários lugares significativos, incluindo Jerusalém e Belém. Muitos eventos da vida de Jesus ocorreram aqui.</w:t>
      </w:r>
    </w:p>
    <w:p>
      <w:pPr>
        <w:pStyle w:val="Heading3"/>
      </w:pPr>
      <w:r>
        <w:t>O significado do nome "Judeia"</w:t>
      </w:r>
    </w:p>
    <w:p>
      <w:r/>
      <w:r>
        <w:t xml:space="preserve">O nome "Judeia" aparece pela primeira vez em </w:t>
      </w:r>
      <w:hyperlink r:id="rId12390">
        <w:r>
          <w:rPr>
            <w:color w:val="0000EE"/>
            <w:u w:val="single"/>
          </w:rPr>
          <w:t>Esdras 5.8</w:t>
        </w:r>
      </w:hyperlink>
      <w:r>
        <w:t>. Naquela época, a Judeia fazia parte do Império Persa. Mais tarde, quando os gregos tomaram o controle dos persas, a Judeia é mencionada no livro de 1 Macabeus (</w:t>
      </w:r>
      <w:hyperlink r:id="rId12391">
        <w:r>
          <w:rPr>
            <w:color w:val="0000EE"/>
            <w:u w:val="single"/>
          </w:rPr>
          <w:t>1Mc 5.45</w:t>
        </w:r>
      </w:hyperlink>
      <w:r>
        <w:t xml:space="preserve">; </w:t>
      </w:r>
      <w:hyperlink r:id="rId12392">
        <w:r>
          <w:rPr>
            <w:color w:val="0000EE"/>
            <w:u w:val="single"/>
          </w:rPr>
          <w:t>7.10</w:t>
        </w:r>
      </w:hyperlink>
      <w:r>
        <w:t>). Quando os romanos governaram a área, eles juntaram a Judeia à sua província da Síria. Isso durou até cerca de 37 a.C., quando Herodes, o Grande, se tornou rei da Judeia. A palavra "Judeia" podeRIA significar coisas diferentes dependendo de como era usada. Às vezes, referia-se a toda a terra onde o povo judeu vivia na Palestina ocidental (</w:t>
      </w:r>
      <w:hyperlink r:id="rId12393">
        <w:r>
          <w:rPr>
            <w:color w:val="0000EE"/>
            <w:u w:val="single"/>
          </w:rPr>
          <w:t>Lc 23.5</w:t>
        </w:r>
      </w:hyperlink>
      <w:r>
        <w:t xml:space="preserve">; </w:t>
      </w:r>
      <w:hyperlink r:id="rId12394">
        <w:r>
          <w:rPr>
            <w:color w:val="0000EE"/>
            <w:u w:val="single"/>
          </w:rPr>
          <w:t>At 10.37</w:t>
        </w:r>
      </w:hyperlink>
      <w:r>
        <w:t xml:space="preserve">; </w:t>
      </w:r>
      <w:hyperlink r:id="rId12395">
        <w:r>
          <w:rPr>
            <w:color w:val="0000EE"/>
            <w:u w:val="single"/>
          </w:rPr>
          <w:t>26.20</w:t>
        </w:r>
      </w:hyperlink>
      <w:r>
        <w:t>). Escritores não religiosos dessa época, como Estrabão, Tácito e Filo, usavam "Judeia" dessa forma ampla. No entanto, na maioria das vezes, "Judeia" significava apenas a região sul da Palestina. As outras duas principais regiões eram a Galileia ao norte e a Samaria no meio.</w:t>
      </w:r>
    </w:p>
    <w:p>
      <w:pPr>
        <w:pStyle w:val="Heading3"/>
      </w:pPr>
      <w:r>
        <w:t>A localização da Judeia</w:t>
      </w:r>
    </w:p>
    <w:p>
      <w:r/>
      <w:r>
        <w:t>As fronteiras da Judeia mudaram ao longo do tempo. No entanto, sempre incluíram terras pertencentes a quatro tribos de Israel: Judá, Dã, Benjamim e Simeão. A fronteira entre a Judeia e a Samaria ao norte não era muito clara. Ao contrário de outras fronteiras, não havia características naturais de divisão como vales, rios ou mudanças no terreno. No entanto, os historiadores acreditam que a fronteira norte ia da cidade de Jope, no Mar Mediterrâneo, até um ponto no Rio Jordão. Este ponto ficava cerca de 16 a 19 quilômetros (10 a 12 milhas) ao norte do Mar Morto.</w:t>
      </w:r>
    </w:p>
    <w:p>
      <w:r/>
      <w:r>
        <w:t>A fronteira sul da Judeia começava perto da costa, cerca de 11 quilômetros (sete milhas) a sudoeste de Gaza. De lá, passava pela cidade de Berseba e terminava no Mar Morto. A Bíblia nos informa que Berseba marcava o extremo sul da nação (</w:t>
      </w:r>
      <w:hyperlink r:id="rId6448">
        <w:r>
          <w:rPr>
            <w:color w:val="0000EE"/>
            <w:u w:val="single"/>
          </w:rPr>
          <w:t>Jz 20.1</w:t>
        </w:r>
      </w:hyperlink>
      <w:r>
        <w:t>), então também marcava o extremo sul da Judeia. O Mar Morto formava a fronteira leste da Judeia, e o Mar Mediterrâneo formava sua fronteira oeste. A forma da Judeia era aproximadamente quadrada, com cada lado medindo cerca de 72 quilômetros (45 milhas) de comprimento.</w:t>
      </w:r>
    </w:p>
    <w:p>
      <w:pPr>
        <w:pStyle w:val="Heading3"/>
      </w:pPr>
      <w:r>
        <w:t>A história da Judeia</w:t>
      </w:r>
    </w:p>
    <w:p>
      <w:r/>
      <w:r>
        <w:t>A história da Judeia como uma região distinta começou em 539 a.C., durante o período persa. Nessa época, o rei Ciro da Pérsia permitiu que o povo judeu retornasse para casa e reconstruísse tanto o seu templo quanto a sua cidade sagrada de Jerusalém.</w:t>
      </w:r>
    </w:p>
    <w:p>
      <w:r/>
      <w:r>
        <w:t>Mais tarde, de 334 a 167 a.C., os gregos tomaram o controle da área. Os Selêucidas, que governavam a partir da Síria, assumiram o poder. Eles eram descendentes de um dos líderes militares de Alexandre, o Grande. Quando os Selêucidas tentaram impedir que o povo judeu praticasse sua religião, os judeus reagiram. Esta revolta foi liderada pela família Hasmoneana. Após conquistarem sua liberdade, o povo judeu governou-se por quase 100 anos, de 167 a 63 a.C.</w:t>
      </w:r>
    </w:p>
    <w:p>
      <w:r/>
      <w:r>
        <w:t>Em 63 a.C., um líder romano chamado Pompeu assumiu o controle da terra. Mais tarde, Roma nomeou Herodes, o Grande, como rei da Judeia. Ele governou de 37 a 4 a.C. Após ele, seu filho Herodes Arquelau governou até 6 d.C.</w:t>
      </w:r>
    </w:p>
    <w:p>
      <w:r/>
      <w:r>
        <w:t>Então, Roma começou a enviar governadores (chamados procuradores) para governar a Judeia, Samaria e Idumeia (uma região ao sul da Judeia). Este sistema durou até uma revolta judaica de 66 a 70 d.C. Houve uma exceção: de 41 a 44 d.C., Herodes Agripa I, neto de Herodes, o Grande, governou toda a Palestina.</w:t>
      </w:r>
    </w:p>
    <w:p>
      <w:r/>
      <w:r>
        <w:t>Após o período do Novo Testamento, muitos grupos diferentes governaram a Judeia e o restante da Palestina:</w:t>
      </w:r>
    </w:p>
    <w:p>
      <w:pPr>
        <w:pStyle w:val="ListBullet"/>
        <w:spacing w:line="240" w:lineRule="auto"/>
        <w:ind w:left="720"/>
      </w:pPr>
      <w:r/>
      <w:r>
        <w:t>Roma controlou a região até 330 d.C;</w:t>
      </w:r>
    </w:p>
    <w:p>
      <w:pPr>
        <w:pStyle w:val="ListBullet"/>
        <w:spacing w:line="240" w:lineRule="auto"/>
        <w:ind w:left="720"/>
      </w:pPr>
      <w:r/>
      <w:r>
        <w:t>Então, o Império Bizantino assumiu o controle e governou até 634 d.C. Durante esse período, muitas igrejas cristãs foram construídas;</w:t>
      </w:r>
    </w:p>
    <w:p>
      <w:pPr>
        <w:pStyle w:val="ListBullet"/>
        <w:spacing w:line="240" w:lineRule="auto"/>
        <w:ind w:left="720"/>
      </w:pPr>
      <w:r/>
      <w:r>
        <w:t>De 607 a 629 d.C., os persas invadiram novamente. Eles destruíram muitas igrejas e mataram muitas pessoas;</w:t>
      </w:r>
    </w:p>
    <w:p>
      <w:pPr>
        <w:pStyle w:val="ListBullet"/>
        <w:spacing w:line="240" w:lineRule="auto"/>
        <w:ind w:left="720"/>
      </w:pPr>
      <w:r/>
      <w:r>
        <w:t>Em seguida, veio o período Árabe de 634 a 1099, quando governantes muçulmanos controlaram a Judeia;</w:t>
      </w:r>
    </w:p>
    <w:p>
      <w:pPr>
        <w:pStyle w:val="ListBullet"/>
        <w:spacing w:line="240" w:lineRule="auto"/>
        <w:ind w:left="720"/>
      </w:pPr>
      <w:r/>
      <w:r>
        <w:t>Os Cruzados assumiram o controle de 1099 a 1263. Eles eram cristãos europeus que desejavam retirar a Terra Santa do domínio muçulmano;</w:t>
      </w:r>
    </w:p>
    <w:p>
      <w:pPr>
        <w:pStyle w:val="ListBullet"/>
        <w:spacing w:line="240" w:lineRule="auto"/>
        <w:ind w:left="720"/>
      </w:pPr>
      <w:r/>
      <w:r>
        <w:t>Após a derrota dos Cruzados, os governantes muçulmanos retomaram o controle da área até 1917;</w:t>
      </w:r>
    </w:p>
    <w:p>
      <w:pPr>
        <w:pStyle w:val="ListBullet"/>
        <w:spacing w:line="240" w:lineRule="auto"/>
        <w:ind w:left="720"/>
      </w:pPr>
      <w:r/>
      <w:r>
        <w:t>Após a Primeira Guerra Mundial, a Liga das Nações concedeu à Grã-Bretanha a autoridade para governar a Palestina sob o Mandato Britânico;</w:t>
      </w:r>
    </w:p>
    <w:p>
      <w:pPr>
        <w:pStyle w:val="ListBullet"/>
        <w:spacing w:line="240" w:lineRule="auto"/>
        <w:ind w:left="720"/>
      </w:pPr>
      <w:r/>
      <w:r>
        <w:t>Em 1947, as Nações Unidas propuseram dividir a terra em um estado judeu e um estado árabe. Em 1948, o domínio britânico terminou e o Estado de Israel foi estabelecido;</w:t>
      </w:r>
    </w:p>
    <w:p>
      <w:pPr>
        <w:pStyle w:val="ListBullet"/>
        <w:spacing w:line="240" w:lineRule="auto"/>
        <w:ind w:left="720"/>
      </w:pPr>
      <w:r/>
      <w:r>
        <w:t>Como resultado das vitórias de Israel na Guerra dos Seis Dias, em junho de 1967, a Judeia foi capturada por Israel e está sob controle israelense desde então.</w:t>
      </w:r>
    </w:p>
    <w:p>
      <w:r/>
      <w:r>
        <w:rPr>
          <w:i/>
        </w:rPr>
        <w:t>Veja também</w:t>
      </w:r>
      <w:r>
        <w:t xml:space="preserve"> </w:t>
      </w:r>
      <w:r>
        <w:t>Diáspora dos judeus</w:t>
      </w:r>
      <w:r>
        <w:t xml:space="preserve">; </w:t>
      </w:r>
      <w:r>
        <w:t>Judaísmo</w:t>
      </w:r>
      <w:r>
        <w:t xml:space="preserve">; </w:t>
      </w:r>
      <w:r>
        <w:t>Palestina</w:t>
      </w:r>
      <w:r>
        <w:t xml:space="preserve">; </w:t>
      </w:r>
      <w:r>
        <w:t>Período pós-exílico</w:t>
      </w:r>
      <w:r>
        <w:t>.</w:t>
      </w:r>
      <w:r/>
      <w:r/>
    </w:p>
    <w:p>
      <w:r/>
    </w:p>
    <w:p>
      <w:pPr>
        <w:pStyle w:val="Heading2"/>
      </w:pPr>
      <w:r>
        <w:t>Judeu</w:t>
      </w:r>
      <w:r/>
    </w:p>
    <w:p>
      <w:r/>
      <w:r>
        <w:t xml:space="preserve">Judeia, pertencente a Judá. A forma curta da palavra em inglês (Jew) foi desenvolvida a partir do francês. A palavra hebraica subjacente é usada primeiro em </w:t>
      </w:r>
      <w:hyperlink r:id="rId7568">
        <w:r>
          <w:rPr>
            <w:color w:val="0000EE"/>
            <w:u w:val="single"/>
          </w:rPr>
          <w:t>2 Reis 16.6</w:t>
        </w:r>
      </w:hyperlink>
      <w:r>
        <w:t xml:space="preserve"> como um termo nacional, ou seja, cidadãos de Judá. Entrou em uso geral no período de Jeremias, pouco antes do exílio (final do sexto século a.C; veja </w:t>
      </w:r>
      <w:hyperlink r:id="rId8179">
        <w:r>
          <w:rPr>
            <w:color w:val="0000EE"/>
            <w:u w:val="single"/>
          </w:rPr>
          <w:t>Jr 32.12</w:t>
        </w:r>
      </w:hyperlink>
      <w:r>
        <w:t xml:space="preserve">). Reflete um crescente senso de identificação nacional entre nações estrangeiras em um mundo internacional. Em </w:t>
      </w:r>
      <w:hyperlink r:id="rId12396">
        <w:r>
          <w:rPr>
            <w:color w:val="0000EE"/>
            <w:u w:val="single"/>
          </w:rPr>
          <w:t>Jeremias 34.9</w:t>
        </w:r>
      </w:hyperlink>
      <w:r>
        <w:t xml:space="preserve">, uma declaração sobre o princípio nacional de que um cidadão individual tinha o direito à liberdade da escravidão usa o termo “judeu”. Em </w:t>
      </w:r>
      <w:hyperlink r:id="rId12397">
        <w:r>
          <w:rPr>
            <w:color w:val="0000EE"/>
            <w:u w:val="single"/>
          </w:rPr>
          <w:t>Jeremias 52.28</w:t>
        </w:r>
      </w:hyperlink>
      <w:r>
        <w:t>, é usado de forma pungente ao fornecer o número de cidadãos deportados.</w:t>
      </w:r>
    </w:p>
    <w:p>
      <w:r/>
      <w:r>
        <w:t xml:space="preserve">Uma vez que as pessoas estavam no exílio, o significado nacional do termo foi expandido como um significado religioso. Os judeus eram diferentes dos povos vizinhos porque eles preservavam uma tradição religiosa viva de um Deus verdadeiro. Desenvolveu-se uma polarização entre judeus e gentios. Assim, em </w:t>
      </w:r>
      <w:hyperlink r:id="rId12398">
        <w:r>
          <w:rPr>
            <w:color w:val="0000EE"/>
            <w:u w:val="single"/>
          </w:rPr>
          <w:t>Daniel 3.8–12</w:t>
        </w:r>
      </w:hyperlink>
      <w:r>
        <w:t xml:space="preserve">, certos judeus são acusados de se desviarem das práticas religiosas babilônicas aceitáveis. O livro de Ester está interessado no problema da identificação e sobrevivência judaicas em um ambiente estrangeiro hostil. </w:t>
      </w:r>
      <w:hyperlink r:id="rId12399">
        <w:r>
          <w:rPr>
            <w:color w:val="0000EE"/>
            <w:u w:val="single"/>
          </w:rPr>
          <w:t>Ester 8.17</w:t>
        </w:r>
      </w:hyperlink>
      <w:r>
        <w:t xml:space="preserve"> fala de gentios declarando-se judeus no sentido religioso de tornarem-se prosélitos.</w:t>
      </w:r>
    </w:p>
    <w:p>
      <w:r/>
      <w:r>
        <w:t xml:space="preserve">Após o exílio, o significado fortemente religioso de “judeu” é expresso na profecia de </w:t>
      </w:r>
      <w:hyperlink r:id="rId12400">
        <w:r>
          <w:rPr>
            <w:color w:val="0000EE"/>
            <w:u w:val="single"/>
          </w:rPr>
          <w:t>Zacarias 8.23</w:t>
        </w:r>
      </w:hyperlink>
      <w:r>
        <w:t xml:space="preserve"> de que o judeu seria cortejado pelos gentios porque Deus estava com ele. Em </w:t>
      </w:r>
      <w:hyperlink r:id="rId12401">
        <w:r>
          <w:rPr>
            <w:color w:val="0000EE"/>
            <w:u w:val="single"/>
          </w:rPr>
          <w:t>Esdras 4.12</w:t>
        </w:r>
      </w:hyperlink>
      <w:r>
        <w:t xml:space="preserve">, o termo “judeus” é a designação nacional dos exilados que retornaram, como está no livro de Neemias (p. ex., </w:t>
      </w:r>
      <w:hyperlink r:id="rId12402">
        <w:r>
          <w:rPr>
            <w:color w:val="0000EE"/>
            <w:u w:val="single"/>
          </w:rPr>
          <w:t>Ne 1.2</w:t>
        </w:r>
      </w:hyperlink>
      <w:r>
        <w:t xml:space="preserve">; </w:t>
      </w:r>
      <w:hyperlink r:id="rId12403">
        <w:r>
          <w:rPr>
            <w:color w:val="0000EE"/>
            <w:u w:val="single"/>
          </w:rPr>
          <w:t>4.2</w:t>
        </w:r>
      </w:hyperlink>
      <w:r>
        <w:t xml:space="preserve">). Em </w:t>
      </w:r>
      <w:hyperlink r:id="rId2355">
        <w:r>
          <w:rPr>
            <w:color w:val="0000EE"/>
            <w:u w:val="single"/>
          </w:rPr>
          <w:t>Neemias 13.24</w:t>
        </w:r>
      </w:hyperlink>
      <w:r>
        <w:t>, há uma consciência da exclusividade social dos judeus: por motivos religiosos, o casamento com estrangeiros é deplorado.</w:t>
      </w:r>
    </w:p>
    <w:p>
      <w:r/>
      <w:r>
        <w:t>No NT, “judeu” continua a ter o mesmo significado nacional e/ou religioso. Culturalmente, os judeus têm costumes religiosos e outros que os documentos do NT dirigidos aos gentios consideram necessário explicar (</w:t>
      </w:r>
      <w:hyperlink r:id="rId12404">
        <w:r>
          <w:rPr>
            <w:color w:val="0000EE"/>
            <w:u w:val="single"/>
          </w:rPr>
          <w:t>Mc 7.3</w:t>
        </w:r>
      </w:hyperlink>
      <w:r>
        <w:t xml:space="preserve">; </w:t>
      </w:r>
      <w:hyperlink r:id="rId6258">
        <w:r>
          <w:rPr>
            <w:color w:val="0000EE"/>
            <w:u w:val="single"/>
          </w:rPr>
          <w:t>Jo 5.1</w:t>
        </w:r>
      </w:hyperlink>
      <w:r>
        <w:t xml:space="preserve">; </w:t>
      </w:r>
      <w:hyperlink r:id="rId12405">
        <w:r>
          <w:rPr>
            <w:color w:val="0000EE"/>
            <w:u w:val="single"/>
          </w:rPr>
          <w:t>19.40</w:t>
        </w:r>
      </w:hyperlink>
      <w:r>
        <w:t>). Os judeus são contrastados com gentios (</w:t>
      </w:r>
      <w:hyperlink r:id="rId1993">
        <w:r>
          <w:rPr>
            <w:color w:val="0000EE"/>
            <w:u w:val="single"/>
          </w:rPr>
          <w:t>At 11.19</w:t>
        </w:r>
      </w:hyperlink>
      <w:r>
        <w:t>), samaritanos (</w:t>
      </w:r>
      <w:hyperlink r:id="rId12406">
        <w:r>
          <w:rPr>
            <w:color w:val="0000EE"/>
            <w:u w:val="single"/>
          </w:rPr>
          <w:t>Jo 4.9,22</w:t>
        </w:r>
      </w:hyperlink>
      <w:r>
        <w:t>) e prosélitos (</w:t>
      </w:r>
      <w:hyperlink r:id="rId4397">
        <w:r>
          <w:rPr>
            <w:color w:val="0000EE"/>
            <w:u w:val="single"/>
          </w:rPr>
          <w:t>At 2.10</w:t>
        </w:r>
      </w:hyperlink>
      <w:r>
        <w:t>). Os cristãos judeus podem ser chamados de “judeus” (</w:t>
      </w:r>
      <w:hyperlink r:id="rId11946">
        <w:r>
          <w:rPr>
            <w:color w:val="0000EE"/>
            <w:u w:val="single"/>
          </w:rPr>
          <w:t>Gl 2.13</w:t>
        </w:r>
      </w:hyperlink>
      <w:r>
        <w:t xml:space="preserve">), mas há uma ênfase crescente nas distinções religiosas entre judeu e cristão. Em </w:t>
      </w:r>
      <w:hyperlink r:id="rId4430">
        <w:r>
          <w:rPr>
            <w:color w:val="0000EE"/>
            <w:u w:val="single"/>
          </w:rPr>
          <w:t>Romanos 2.17–29</w:t>
        </w:r>
      </w:hyperlink>
      <w:r>
        <w:t xml:space="preserve">, Paulo fornece uma análise teológica interessante do termo “judeu”. Ele se esforça para enfatizar que o verdadeiro significado da palavra não está em uma profissão religiosa externa, mas em uma atitude interior a Deus. Paulo estava sem dúvida pensando na inadequação de sua própria vida como judeu antes de ser convertido à fé cristã (cf. </w:t>
      </w:r>
      <w:hyperlink r:id="rId12407">
        <w:r>
          <w:rPr>
            <w:color w:val="0000EE"/>
            <w:u w:val="single"/>
          </w:rPr>
          <w:t>Fp 3.3–6</w:t>
        </w:r>
      </w:hyperlink>
      <w:r>
        <w:t xml:space="preserve">). Sua menção de “louvor” em </w:t>
      </w:r>
      <w:hyperlink r:id="rId4432">
        <w:r>
          <w:rPr>
            <w:color w:val="0000EE"/>
            <w:u w:val="single"/>
          </w:rPr>
          <w:t>Romanos 2.29</w:t>
        </w:r>
      </w:hyperlink>
      <w:r>
        <w:t xml:space="preserve"> é o clímax da passagem. É um jogo de palavras contundente: em hebraico, Judá significa louvor (</w:t>
      </w:r>
      <w:hyperlink r:id="rId12294">
        <w:r>
          <w:rPr>
            <w:color w:val="0000EE"/>
            <w:u w:val="single"/>
          </w:rPr>
          <w:t>Gn 29.35</w:t>
        </w:r>
      </w:hyperlink>
      <w:r>
        <w:t xml:space="preserve">; cf. </w:t>
      </w:r>
      <w:hyperlink r:id="rId12408">
        <w:r>
          <w:rPr>
            <w:color w:val="0000EE"/>
            <w:u w:val="single"/>
          </w:rPr>
          <w:t>49.8</w:t>
        </w:r>
      </w:hyperlink>
      <w:r>
        <w:t>).</w:t>
      </w:r>
    </w:p>
    <w:p>
      <w:r/>
      <w:r>
        <w:t xml:space="preserve">Aqui, o apóstolo Paulo está se movendo na direção de considerar o cristianismo como o verdadeiro herdeiro da fé do AT. </w:t>
      </w:r>
      <w:hyperlink r:id="rId12409">
        <w:r>
          <w:rPr>
            <w:color w:val="0000EE"/>
            <w:u w:val="single"/>
          </w:rPr>
          <w:t>Apocalipse 2.9</w:t>
        </w:r>
      </w:hyperlink>
      <w:r>
        <w:t xml:space="preserve"> e </w:t>
      </w:r>
      <w:hyperlink r:id="rId12410">
        <w:r>
          <w:rPr>
            <w:color w:val="0000EE"/>
            <w:u w:val="single"/>
          </w:rPr>
          <w:t>3.9</w:t>
        </w:r>
      </w:hyperlink>
      <w:r>
        <w:t xml:space="preserve"> expressam sentimentos semelhantes: ser verdadeiramente um judeu é muito mais do que uma questão de nascimento e observância da sinagoga. Subjacente a essas passagens em Apocalipse e Romanos está obviamente a questão das alegações messiânicas de Jesus (cf. </w:t>
      </w:r>
      <w:hyperlink r:id="rId12411">
        <w:r>
          <w:rPr>
            <w:color w:val="0000EE"/>
            <w:u w:val="single"/>
          </w:rPr>
          <w:t>Rm 9.3–5</w:t>
        </w:r>
      </w:hyperlink>
      <w:r>
        <w:t xml:space="preserve">; </w:t>
      </w:r>
      <w:hyperlink r:id="rId12412">
        <w:r>
          <w:rPr>
            <w:color w:val="0000EE"/>
            <w:u w:val="single"/>
          </w:rPr>
          <w:t>10.1–4</w:t>
        </w:r>
      </w:hyperlink>
      <w:r>
        <w:t>). O NT dá um triste testemunho da oposição dos judeus à mensagem cristã. O evangelho provou ser uma causa de ofensa aos judeus (</w:t>
      </w:r>
      <w:hyperlink r:id="rId6123">
        <w:r>
          <w:rPr>
            <w:color w:val="0000EE"/>
            <w:u w:val="single"/>
          </w:rPr>
          <w:t>1Co 1.23</w:t>
        </w:r>
      </w:hyperlink>
      <w:r>
        <w:t>). O próprio Paulo, apesar de sua alegação de credenciais judaicas impecáveis (</w:t>
      </w:r>
      <w:hyperlink r:id="rId12413">
        <w:r>
          <w:rPr>
            <w:color w:val="0000EE"/>
            <w:u w:val="single"/>
          </w:rPr>
          <w:t>Atos 26.4–7</w:t>
        </w:r>
      </w:hyperlink>
      <w:r>
        <w:t>), encontrou-se como o objeto de ataques judeus amargos (</w:t>
      </w:r>
      <w:hyperlink r:id="rId12414">
        <w:r>
          <w:rPr>
            <w:color w:val="0000EE"/>
            <w:u w:val="single"/>
          </w:rPr>
          <w:t>21.11</w:t>
        </w:r>
      </w:hyperlink>
      <w:r>
        <w:t xml:space="preserve">; </w:t>
      </w:r>
      <w:hyperlink r:id="rId12415">
        <w:r>
          <w:rPr>
            <w:color w:val="0000EE"/>
            <w:u w:val="single"/>
          </w:rPr>
          <w:t>23.12,27</w:t>
        </w:r>
      </w:hyperlink>
      <w:r>
        <w:t xml:space="preserve">). </w:t>
      </w:r>
      <w:hyperlink r:id="rId12409">
        <w:r>
          <w:rPr>
            <w:color w:val="0000EE"/>
            <w:u w:val="single"/>
          </w:rPr>
          <w:t>Apocalipse 2.9</w:t>
        </w:r>
      </w:hyperlink>
      <w:r>
        <w:t xml:space="preserve"> e </w:t>
      </w:r>
      <w:hyperlink r:id="rId12410">
        <w:r>
          <w:rPr>
            <w:color w:val="0000EE"/>
            <w:u w:val="single"/>
          </w:rPr>
          <w:t>3.9</w:t>
        </w:r>
      </w:hyperlink>
      <w:r>
        <w:t xml:space="preserve"> descrevem a oposição dos judeus como satânica: eles estavam realizando a obra do adversário de Deus, Satanás.</w:t>
      </w:r>
    </w:p>
    <w:p>
      <w:r/>
      <w:r>
        <w:t xml:space="preserve">Essas conotações negativas estão especialmente ligadas ao uso da palavra “judeu” no Evangelho de João. É encontrado cerca de 70 vezes, contra cerca de cinco ou seis casos em cada um dos Evangelhos sinóticos. Algumas passagens, como aquelas já citadas, não têm associações de hostilidade. Mas na maioria dos casos, o quarto Evangelho usa “judeus” no sentido das autoridades religiosas, especialmente aqueles em Jerusalém, que eram hostis a Jesus (veja, p. ex., </w:t>
      </w:r>
      <w:hyperlink r:id="rId12416">
        <w:r>
          <w:rPr>
            <w:color w:val="0000EE"/>
            <w:u w:val="single"/>
          </w:rPr>
          <w:t>Jo 5.18</w:t>
        </w:r>
      </w:hyperlink>
      <w:r>
        <w:t xml:space="preserve">; </w:t>
      </w:r>
      <w:hyperlink r:id="rId12417">
        <w:r>
          <w:rPr>
            <w:color w:val="0000EE"/>
            <w:u w:val="single"/>
          </w:rPr>
          <w:t>9.18</w:t>
        </w:r>
      </w:hyperlink>
      <w:r>
        <w:t xml:space="preserve">; </w:t>
      </w:r>
      <w:hyperlink r:id="rId12418">
        <w:r>
          <w:rPr>
            <w:color w:val="0000EE"/>
            <w:u w:val="single"/>
          </w:rPr>
          <w:t>11.8</w:t>
        </w:r>
      </w:hyperlink>
      <w:r>
        <w:t xml:space="preserve">; </w:t>
      </w:r>
      <w:hyperlink r:id="rId12419">
        <w:r>
          <w:rPr>
            <w:color w:val="0000EE"/>
            <w:u w:val="single"/>
          </w:rPr>
          <w:t>18.36</w:t>
        </w:r>
      </w:hyperlink>
      <w:r>
        <w:t xml:space="preserve">). Vale ressaltar que em </w:t>
      </w:r>
      <w:hyperlink r:id="rId12420">
        <w:r>
          <w:rPr>
            <w:color w:val="0000EE"/>
            <w:u w:val="single"/>
          </w:rPr>
          <w:t>9.22</w:t>
        </w:r>
      </w:hyperlink>
      <w:r>
        <w:t xml:space="preserve">, os pais do homem cego, claramente judeus, são descritos, literalmente, como tendo medo dos judeus que investigam. Em </w:t>
      </w:r>
      <w:hyperlink r:id="rId12421">
        <w:r>
          <w:rPr>
            <w:color w:val="0000EE"/>
            <w:u w:val="single"/>
          </w:rPr>
          <w:t>18.14</w:t>
        </w:r>
      </w:hyperlink>
      <w:r>
        <w:t xml:space="preserve">, “judeus” significa os principais sacerdotes e fariseus de </w:t>
      </w:r>
      <w:hyperlink r:id="rId12422">
        <w:r>
          <w:rPr>
            <w:color w:val="0000EE"/>
            <w:u w:val="single"/>
          </w:rPr>
          <w:t>18.3</w:t>
        </w:r>
      </w:hyperlink>
      <w:r>
        <w:t>. Deve ser enfatizado que o autor, que era obviamente um judeu, não estava expressando um ponto de vista antissemita como tal. Ele não condenou uma raça ou um povo, mas aqueles que se opuseram a Jesus. Ele reconheceu de bom grado que alguns judeus colocaram sua fé em Jesus (</w:t>
      </w:r>
      <w:hyperlink r:id="rId12423">
        <w:r>
          <w:rPr>
            <w:color w:val="0000EE"/>
            <w:u w:val="single"/>
          </w:rPr>
          <w:t>8.31</w:t>
        </w:r>
      </w:hyperlink>
      <w:r>
        <w:t xml:space="preserve">; </w:t>
      </w:r>
      <w:hyperlink r:id="rId12424">
        <w:r>
          <w:rPr>
            <w:color w:val="0000EE"/>
            <w:u w:val="single"/>
          </w:rPr>
          <w:t>11.45</w:t>
        </w:r>
      </w:hyperlink>
      <w:r>
        <w:t xml:space="preserve">: </w:t>
      </w:r>
      <w:hyperlink r:id="rId12425">
        <w:r>
          <w:rPr>
            <w:color w:val="0000EE"/>
            <w:u w:val="single"/>
          </w:rPr>
          <w:t>12.11</w:t>
        </w:r>
      </w:hyperlink>
      <w:r>
        <w:t>). Natanael é apresentado como um tipo de judeu cristão, um verdadeiro israelita “em quem não há dolo” (</w:t>
      </w:r>
      <w:hyperlink r:id="rId12426">
        <w:r>
          <w:rPr>
            <w:color w:val="0000EE"/>
            <w:u w:val="single"/>
          </w:rPr>
          <w:t>1.47</w:t>
        </w:r>
      </w:hyperlink>
      <w:r>
        <w:t xml:space="preserve">; cf. v. </w:t>
      </w:r>
      <w:hyperlink r:id="rId12427">
        <w:r>
          <w:rPr>
            <w:color w:val="0000EE"/>
            <w:u w:val="single"/>
          </w:rPr>
          <w:t>31</w:t>
        </w:r>
      </w:hyperlink>
      <w:r>
        <w:t xml:space="preserve">; veja </w:t>
      </w:r>
      <w:hyperlink r:id="rId12428">
        <w:r>
          <w:rPr>
            <w:color w:val="0000EE"/>
            <w:u w:val="single"/>
          </w:rPr>
          <w:t>Gn 27.35</w:t>
        </w:r>
      </w:hyperlink>
      <w:r>
        <w:t xml:space="preserve">; </w:t>
      </w:r>
      <w:hyperlink r:id="rId11405">
        <w:r>
          <w:rPr>
            <w:color w:val="0000EE"/>
            <w:u w:val="single"/>
          </w:rPr>
          <w:t>32.28</w:t>
        </w:r>
      </w:hyperlink>
      <w:r>
        <w:t>).</w:t>
      </w:r>
    </w:p>
    <w:p>
      <w:r/>
      <w:r>
        <w:rPr>
          <w:i/>
        </w:rPr>
        <w:t>Veja também</w:t>
      </w:r>
      <w:r>
        <w:t xml:space="preserve"> </w:t>
      </w:r>
      <w:r>
        <w:t>Diáspora dos judeus</w:t>
      </w:r>
      <w:r>
        <w:t xml:space="preserve">; </w:t>
      </w:r>
      <w:r>
        <w:t>Israel, História de</w:t>
      </w:r>
      <w:r>
        <w:t xml:space="preserve">; </w:t>
      </w:r>
      <w:r>
        <w:t>Judaísmo</w:t>
      </w:r>
      <w:r>
        <w:t xml:space="preserve">; </w:t>
      </w:r>
      <w:r>
        <w:t>Judaizantes</w:t>
      </w:r>
      <w:r>
        <w:t xml:space="preserve">; </w:t>
      </w:r>
      <w:r>
        <w:t>Fariseus</w:t>
      </w:r>
      <w:r>
        <w:t xml:space="preserve">; </w:t>
      </w:r>
      <w:r>
        <w:t>Período Pós-exílico</w:t>
      </w:r>
      <w:r>
        <w:t>.</w:t>
      </w:r>
      <w:r/>
      <w:r/>
    </w:p>
    <w:p>
      <w:r/>
    </w:p>
    <w:p>
      <w:pPr>
        <w:pStyle w:val="Heading2"/>
      </w:pPr>
      <w:r>
        <w:t>Judite (Pessoa)</w:t>
      </w:r>
      <w:r/>
    </w:p>
    <w:p>
      <w:pPr>
        <w:pStyle w:val="ListNumber"/>
        <w:spacing w:line="240" w:lineRule="auto"/>
        <w:ind w:left="720"/>
      </w:pPr>
      <w:r/>
      <w:r>
        <w:t>Uma filha de Beeri, o heteu, e uma das esposas de Esaú (</w:t>
      </w:r>
      <w:hyperlink r:id="rId3166">
        <w:r>
          <w:rPr>
            <w:color w:val="0000EE"/>
            <w:u w:val="single"/>
          </w:rPr>
          <w:t>Gn 26.34</w:t>
        </w:r>
      </w:hyperlink>
      <w:r>
        <w:t xml:space="preserve">). </w:t>
      </w:r>
      <w:hyperlink r:id="rId3167">
        <w:r>
          <w:rPr>
            <w:color w:val="0000EE"/>
            <w:u w:val="single"/>
          </w:rPr>
          <w:t>Gênesis 36.2</w:t>
        </w:r>
      </w:hyperlink>
      <w:r>
        <w:t xml:space="preserve"> a chama de “Oolibama”.</w:t>
      </w:r>
    </w:p>
    <w:p>
      <w:r/>
      <w:r>
        <w:rPr>
          <w:i/>
        </w:rPr>
        <w:t>Veja</w:t>
      </w:r>
      <w:r>
        <w:t xml:space="preserve"> </w:t>
      </w:r>
      <w:r>
        <w:t>Oolibama</w:t>
      </w:r>
      <w:r>
        <w:t>.</w:t>
      </w:r>
    </w:p>
    <w:p>
      <w:pPr>
        <w:pStyle w:val="ListNumber"/>
        <w:spacing w:line="240" w:lineRule="auto"/>
        <w:ind w:left="720"/>
      </w:pPr>
      <w:r/>
      <w:r>
        <w:t>A personagem principal no livro de Judite. Ela é uma viúva judia corajosa e bela de Betúlia. Ela decapitou o general assírio Holofernes e salvou seu povo da destruição.</w:t>
      </w:r>
    </w:p>
    <w:p>
      <w:r/>
      <w:r>
        <w:rPr>
          <w:i/>
        </w:rPr>
        <w:t>Veja</w:t>
      </w:r>
      <w:r>
        <w:t xml:space="preserve"> </w:t>
      </w:r>
      <w:r>
        <w:t>Judite, Livro de</w:t>
      </w:r>
      <w:r>
        <w:t>.</w:t>
      </w:r>
      <w:r/>
      <w:r/>
    </w:p>
    <w:p>
      <w:r/>
    </w:p>
    <w:p>
      <w:pPr>
        <w:pStyle w:val="Heading2"/>
      </w:pPr>
      <w:r>
        <w:t>Jugo</w:t>
      </w:r>
      <w:r/>
    </w:p>
    <w:p>
      <w:r/>
      <w:r>
        <w:t>Uma barra de madeira que unia dois (ou mais) animais de tração para que trabalhassem juntos (</w:t>
      </w:r>
      <w:hyperlink r:id="rId5579">
        <w:r>
          <w:rPr>
            <w:color w:val="0000EE"/>
            <w:u w:val="single"/>
          </w:rPr>
          <w:t>Nm 19.2</w:t>
        </w:r>
      </w:hyperlink>
      <w:r>
        <w:t xml:space="preserve">; </w:t>
      </w:r>
      <w:hyperlink r:id="rId12429">
        <w:r>
          <w:rPr>
            <w:color w:val="0000EE"/>
            <w:u w:val="single"/>
          </w:rPr>
          <w:t>1Rs 19.19</w:t>
        </w:r>
      </w:hyperlink>
      <w:r>
        <w:t xml:space="preserve">; </w:t>
      </w:r>
      <w:hyperlink r:id="rId1505">
        <w:r>
          <w:rPr>
            <w:color w:val="0000EE"/>
            <w:u w:val="single"/>
          </w:rPr>
          <w:t>Jó 1.3</w:t>
        </w:r>
      </w:hyperlink>
      <w:r>
        <w:t>). Além de seu uso literal, a Bíblia frequentemente utiliza o termo de forma metafórica. Refere-se ao trabalho ou à escravidão (</w:t>
      </w:r>
      <w:hyperlink r:id="rId12430">
        <w:r>
          <w:rPr>
            <w:color w:val="0000EE"/>
            <w:u w:val="single"/>
          </w:rPr>
          <w:t>Lv 26.13</w:t>
        </w:r>
      </w:hyperlink>
      <w:r>
        <w:t>). Os próprios reis de Israel, não apenas opressores estrangeiros, impuseram o jugo da escravidão (</w:t>
      </w:r>
      <w:hyperlink r:id="rId12431">
        <w:r>
          <w:rPr>
            <w:color w:val="0000EE"/>
            <w:u w:val="single"/>
          </w:rPr>
          <w:t>1Rs 12.4–14</w:t>
        </w:r>
      </w:hyperlink>
      <w:r>
        <w:t xml:space="preserve">; </w:t>
      </w:r>
      <w:hyperlink r:id="rId12432">
        <w:r>
          <w:rPr>
            <w:color w:val="0000EE"/>
            <w:u w:val="single"/>
          </w:rPr>
          <w:t>2Cr 10.4–14</w:t>
        </w:r>
      </w:hyperlink>
      <w:r>
        <w:t>). Nos escritos proféticos, o jugo da escravidão estava associado ao julgamento divino (</w:t>
      </w:r>
      <w:hyperlink r:id="rId12433">
        <w:r>
          <w:rPr>
            <w:color w:val="0000EE"/>
            <w:u w:val="single"/>
          </w:rPr>
          <w:t>Lm 1.14</w:t>
        </w:r>
      </w:hyperlink>
      <w:r>
        <w:t>). Assim, a libertação era vista como Deus quebrando o jugo que havia escravizado Israel (</w:t>
      </w:r>
      <w:hyperlink r:id="rId12434">
        <w:r>
          <w:rPr>
            <w:color w:val="0000EE"/>
            <w:u w:val="single"/>
          </w:rPr>
          <w:t>Is 9.4</w:t>
        </w:r>
      </w:hyperlink>
      <w:r>
        <w:t xml:space="preserve">; </w:t>
      </w:r>
      <w:hyperlink r:id="rId11238">
        <w:r>
          <w:rPr>
            <w:color w:val="0000EE"/>
            <w:u w:val="single"/>
          </w:rPr>
          <w:t>10.27</w:t>
        </w:r>
      </w:hyperlink>
      <w:r>
        <w:t xml:space="preserve">; </w:t>
      </w:r>
      <w:hyperlink r:id="rId12435">
        <w:r>
          <w:rPr>
            <w:color w:val="0000EE"/>
            <w:u w:val="single"/>
          </w:rPr>
          <w:t>14.25</w:t>
        </w:r>
      </w:hyperlink>
      <w:r>
        <w:t xml:space="preserve">; </w:t>
      </w:r>
      <w:hyperlink r:id="rId12436">
        <w:r>
          <w:rPr>
            <w:color w:val="0000EE"/>
            <w:u w:val="single"/>
          </w:rPr>
          <w:t>58.6</w:t>
        </w:r>
      </w:hyperlink>
      <w:r>
        <w:t xml:space="preserve">; </w:t>
      </w:r>
      <w:hyperlink r:id="rId5562">
        <w:r>
          <w:rPr>
            <w:color w:val="0000EE"/>
            <w:u w:val="single"/>
          </w:rPr>
          <w:t>Jr 2.20</w:t>
        </w:r>
      </w:hyperlink>
      <w:r>
        <w:t xml:space="preserve">; </w:t>
      </w:r>
      <w:hyperlink r:id="rId12437">
        <w:r>
          <w:rPr>
            <w:color w:val="0000EE"/>
            <w:u w:val="single"/>
          </w:rPr>
          <w:t>5.5</w:t>
        </w:r>
      </w:hyperlink>
      <w:r>
        <w:t>). A disputa de Jeremias com a profecia de Hananias era sobre o jugo da escravidão. Hananias afirmou que Judá em breve seria libertado do cativeiro babilônico (</w:t>
      </w:r>
      <w:hyperlink r:id="rId12438">
        <w:r>
          <w:rPr>
            <w:color w:val="0000EE"/>
            <w:u w:val="single"/>
          </w:rPr>
          <w:t>Jr 27.8–11</w:t>
        </w:r>
      </w:hyperlink>
      <w:r>
        <w:t xml:space="preserve">; </w:t>
      </w:r>
      <w:hyperlink r:id="rId12439">
        <w:r>
          <w:rPr>
            <w:color w:val="0000EE"/>
            <w:u w:val="single"/>
          </w:rPr>
          <w:t>28.1–17</w:t>
        </w:r>
      </w:hyperlink>
      <w:r>
        <w:t>).</w:t>
      </w:r>
    </w:p>
    <w:p>
      <w:r/>
      <w:r>
        <w:t>No Novo Testamento, Jesus transforma "jugo" em um termo positivo. Ele pede às pessoas que tomem seu jugo, que não é pesado, e lhes dará descanso para suas almas (</w:t>
      </w:r>
      <w:hyperlink r:id="rId11868">
        <w:r>
          <w:rPr>
            <w:color w:val="0000EE"/>
            <w:u w:val="single"/>
          </w:rPr>
          <w:t>Mt 11.29–30</w:t>
        </w:r>
      </w:hyperlink>
      <w:r>
        <w:t>).</w:t>
      </w:r>
      <w:r/>
      <w:r/>
    </w:p>
    <w:p>
      <w:r/>
    </w:p>
    <w:p>
      <w:pPr>
        <w:pStyle w:val="Heading2"/>
      </w:pPr>
      <w:r>
        <w:t>Juiz</w:t>
      </w:r>
      <w:r/>
    </w:p>
    <w:p>
      <w:r/>
      <w:r>
        <w:t>Um funcionário com autoridade para decidir questões apresentadas a um tribunal.</w:t>
      </w:r>
    </w:p>
    <w:p>
      <w:r/>
      <w:r>
        <w:t>O juiz tinha muitas tarefas. A maioria das tarefas era legal, mas algumas eram políticas. No período de Abraão, Isaque e Jacó, os anciãos das tribos decidiam as disputas. Moisés nomeou outros juízes para ajudá-lo, mas reservava os casos difíceis para si (</w:t>
      </w:r>
      <w:hyperlink r:id="rId12440">
        <w:r>
          <w:rPr>
            <w:color w:val="0000EE"/>
            <w:u w:val="single"/>
          </w:rPr>
          <w:t>Êx 18.13–26</w:t>
        </w:r>
      </w:hyperlink>
      <w:r>
        <w:t xml:space="preserve">; </w:t>
      </w:r>
      <w:hyperlink r:id="rId12441">
        <w:r>
          <w:rPr>
            <w:color w:val="0000EE"/>
            <w:u w:val="single"/>
          </w:rPr>
          <w:t>Dt 1.9–17</w:t>
        </w:r>
      </w:hyperlink>
      <w:r>
        <w:t>). Samuel viajava para diferentes lugares para julgar casos (</w:t>
      </w:r>
      <w:hyperlink r:id="rId12442">
        <w:r>
          <w:rPr>
            <w:color w:val="0000EE"/>
            <w:u w:val="single"/>
          </w:rPr>
          <w:t>1Sm 7.16–17</w:t>
        </w:r>
      </w:hyperlink>
      <w:r>
        <w:t>). Seus filhos também se tornaram juízes (</w:t>
      </w:r>
      <w:hyperlink r:id="rId12443">
        <w:r>
          <w:rPr>
            <w:color w:val="0000EE"/>
            <w:u w:val="single"/>
          </w:rPr>
          <w:t>8.1</w:t>
        </w:r>
      </w:hyperlink>
      <w:r>
        <w:t>). Quando os reis governavam Israel, os juízes eram líderes oficiais com papéis e deveres claros.</w:t>
      </w:r>
    </w:p>
    <w:p>
      <w:r/>
      <w:r>
        <w:t>No período do Novo Testamento, havia dois tipos de tribunais na Palestina: tribunais judaicos e tribunais romanos. Casos que poderiam levar à morte eram julgados por juízes romanos. As pessoas tinham que levar testemunhas aos julgamentos (</w:t>
      </w:r>
      <w:hyperlink r:id="rId12444">
        <w:r>
          <w:rPr>
            <w:color w:val="0000EE"/>
            <w:u w:val="single"/>
          </w:rPr>
          <w:t>Mt 18.16</w:t>
        </w:r>
      </w:hyperlink>
      <w:r>
        <w:t xml:space="preserve">; </w:t>
      </w:r>
      <w:hyperlink r:id="rId12445">
        <w:r>
          <w:rPr>
            <w:color w:val="0000EE"/>
            <w:u w:val="single"/>
          </w:rPr>
          <w:t>2Co 13.1</w:t>
        </w:r>
      </w:hyperlink>
      <w:r>
        <w:t xml:space="preserve">; </w:t>
      </w:r>
      <w:hyperlink r:id="rId12446">
        <w:r>
          <w:rPr>
            <w:color w:val="0000EE"/>
            <w:u w:val="single"/>
          </w:rPr>
          <w:t>1Tm 5.19</w:t>
        </w:r>
      </w:hyperlink>
      <w:r>
        <w:t>). Jesus foi julgado perante Pôncio Pilatos, que era o governador romano (</w:t>
      </w:r>
      <w:hyperlink r:id="rId12447">
        <w:r>
          <w:rPr>
            <w:color w:val="0000EE"/>
            <w:u w:val="single"/>
          </w:rPr>
          <w:t>Mt 27.11–25</w:t>
        </w:r>
      </w:hyperlink>
      <w:r>
        <w:t xml:space="preserve">; </w:t>
      </w:r>
      <w:hyperlink r:id="rId12448">
        <w:r>
          <w:rPr>
            <w:color w:val="0000EE"/>
            <w:u w:val="single"/>
          </w:rPr>
          <w:t>Mc 15.2–5</w:t>
        </w:r>
      </w:hyperlink>
      <w:r>
        <w:t xml:space="preserve">; </w:t>
      </w:r>
      <w:hyperlink r:id="rId12449">
        <w:r>
          <w:rPr>
            <w:color w:val="0000EE"/>
            <w:u w:val="single"/>
          </w:rPr>
          <w:t>Lc 23.2–3</w:t>
        </w:r>
      </w:hyperlink>
      <w:r>
        <w:t xml:space="preserve">; </w:t>
      </w:r>
      <w:hyperlink r:id="rId12450">
        <w:r>
          <w:rPr>
            <w:color w:val="0000EE"/>
            <w:u w:val="single"/>
          </w:rPr>
          <w:t>Jo 18.29–40</w:t>
        </w:r>
      </w:hyperlink>
      <w:r>
        <w:t>). Paulo também foi julgado perante dois governadores romanos: Félix e Festo (</w:t>
      </w:r>
      <w:hyperlink r:id="rId12451">
        <w:r>
          <w:rPr>
            <w:color w:val="0000EE"/>
            <w:u w:val="single"/>
          </w:rPr>
          <w:t>At 24.1–26</w:t>
        </w:r>
      </w:hyperlink>
      <w:r>
        <w:t xml:space="preserve">; </w:t>
      </w:r>
      <w:hyperlink r:id="rId12452">
        <w:r>
          <w:rPr>
            <w:color w:val="0000EE"/>
            <w:u w:val="single"/>
          </w:rPr>
          <w:t>25.1–26</w:t>
        </w:r>
      </w:hyperlink>
      <w:r>
        <w:t>).</w:t>
      </w:r>
    </w:p>
    <w:p>
      <w:r/>
      <w:r>
        <w:rPr>
          <w:i/>
        </w:rPr>
        <w:t>Veja também</w:t>
      </w:r>
      <w:r>
        <w:t xml:space="preserve"> </w:t>
      </w:r>
      <w:r>
        <w:t>Direito civil e justiça</w:t>
      </w:r>
      <w:r>
        <w:t xml:space="preserve">; </w:t>
      </w:r>
      <w:r>
        <w:t>Direito penal e punição</w:t>
      </w:r>
      <w:r>
        <w:t>.</w:t>
      </w:r>
      <w:r/>
      <w:r/>
    </w:p>
    <w:p>
      <w:r/>
    </w:p>
    <w:p>
      <w:pPr>
        <w:pStyle w:val="Heading2"/>
      </w:pPr>
      <w:r>
        <w:t>Juízes, Livro de</w:t>
      </w:r>
      <w:r/>
    </w:p>
    <w:p>
      <w:r/>
      <w:r>
        <w:t>Livro do Antigo Testamento nomeado em homenagem aos líderes proeminentes levantados pelo Senhor para libertar seu povo. A palavra "juiz" em hebraico também denota a atividade de governança, incluindo a guerra. Alguns estudiosos argumentam que havia dois tipos de juízes: libertadores carismáticos (ou juízes principais) e sábios judiciais locais (juízes menores). Não está claro por que alguns juízes recebem atenção superficial, enquanto as façanhas de outros são descritas em grande detalhe.</w:t>
      </w:r>
    </w:p>
    <w:p>
      <w:r/>
      <w:r>
        <w:t>Resumo</w:t>
      </w:r>
    </w:p>
    <w:p>
      <w:r/>
      <w:r>
        <w:t>• Autor</w:t>
      </w:r>
    </w:p>
    <w:p>
      <w:r/>
      <w:r>
        <w:t>• Data</w:t>
      </w:r>
    </w:p>
    <w:p>
      <w:r/>
      <w:r>
        <w:t>• Estrutura literária</w:t>
      </w:r>
    </w:p>
    <w:p>
      <w:r/>
      <w:r>
        <w:t>• Propósito e ensino teológico</w:t>
      </w:r>
    </w:p>
    <w:p>
      <w:r/>
      <w:r>
        <w:t>• Conteúdo</w:t>
      </w:r>
    </w:p>
    <w:p>
      <w:pPr>
        <w:pStyle w:val="Heading3"/>
      </w:pPr>
      <w:r>
        <w:t>Autor</w:t>
      </w:r>
    </w:p>
    <w:p>
      <w:r/>
      <w:r>
        <w:t>O livro reflete uma edição final do material no período da monarquia inicial. Pode muito bem ser uma defesa do governo justo de Davi em oposição à realeza de Saul, que foi moldada por uma concepção secular e cananeia de realeza em vez deo fazer pela lei de Deus. O autor quase certamente não foi Samuel, como tradicionalmente se pensava, mas um compilador posterior que se baseou em materiais escritos antigos.</w:t>
      </w:r>
    </w:p>
    <w:p>
      <w:pPr>
        <w:pStyle w:val="Heading3"/>
      </w:pPr>
      <w:r>
        <w:t>Data</w:t>
      </w:r>
    </w:p>
    <w:p>
      <w:r/>
      <w:r>
        <w:t>Embora os juízes tenham conseguido proporcionar às tribos algum descanso das incursões de inimigos ao redor, os israelitas foram continuamente assediados por longos períodos. A opinião acadêmica diverge sobre a duração do período dos juízes. A datação do Êxodo influencia a datação do início dos juízes. Aqueles que adotam uma data anterior para o Êxodo situam o início por volta de 1370–1360 a.C., enquanto outros propõem uma data próxima ao final do século 13 a.C. Uma questão relacionada diz respeito à cronologia dos juízes. O livro de Juízes oferece um relato cronológico e sequencial do período, ou é um relato representativo de juízes de várias partes de Canaã e Transjordânia que “julgaram” uma região, uma tribo ou várias tribos simultaneamente?</w:t>
      </w:r>
    </w:p>
    <w:p>
      <w:pPr>
        <w:pStyle w:val="Heading3"/>
      </w:pPr>
      <w:r>
        <w:t>Estrutura literária</w:t>
      </w:r>
    </w:p>
    <w:p>
      <w:r/>
      <w:r>
        <w:t>Não há dúvida de que as histórias no livro carregam as marcas da criatividade literária. As histórias são inerentemente clássicas. A poesia da canção de Débora (</w:t>
      </w:r>
      <w:hyperlink r:id="rId4184">
        <w:r>
          <w:rPr>
            <w:color w:val="0000EE"/>
            <w:u w:val="single"/>
          </w:rPr>
          <w:t>Jz 5</w:t>
        </w:r>
      </w:hyperlink>
      <w:r>
        <w:t>) é muito comovente, e a fábula de Jotão (</w:t>
      </w:r>
      <w:hyperlink r:id="rId12453">
        <w:r>
          <w:rPr>
            <w:color w:val="0000EE"/>
            <w:u w:val="single"/>
          </w:rPr>
          <w:t>9.8–15</w:t>
        </w:r>
      </w:hyperlink>
      <w:r>
        <w:t>) é um excelente exemplo de linguagem figurativa. O cuidado dado às histórias também se reflete na construção do livro. Existem duas introduções: uma política (</w:t>
      </w:r>
      <w:hyperlink r:id="rId12454">
        <w:r>
          <w:rPr>
            <w:color w:val="0000EE"/>
            <w:u w:val="single"/>
          </w:rPr>
          <w:t>Jz 1.1–2.5</w:t>
        </w:r>
      </w:hyperlink>
      <w:r>
        <w:t>) e uma socioreligiosa (</w:t>
      </w:r>
      <w:hyperlink r:id="rId12455">
        <w:r>
          <w:rPr>
            <w:color w:val="0000EE"/>
            <w:u w:val="single"/>
          </w:rPr>
          <w:t>2.6–3.6</w:t>
        </w:r>
      </w:hyperlink>
      <w:r>
        <w:t>). A introdução política conecta Juízes com a história da Conquista, quando as tribos tentaram ocupar a terra. Ela prepara o leitor para os problemas políticos e militares da era dos juízes. A introdução socioreligiosa explica por que Israel teve tantas adversidades, por que a instituição dos juízes surgiu e por que o Senhor nunca deu a Israel o descanso prometido duradouro de seus inimigos. O corpo principal do livro é a história dos juízes (</w:t>
      </w:r>
      <w:hyperlink r:id="rId12456">
        <w:r>
          <w:rPr>
            <w:color w:val="0000EE"/>
            <w:u w:val="single"/>
          </w:rPr>
          <w:t>3.7–16.31</w:t>
        </w:r>
      </w:hyperlink>
      <w:r>
        <w:t>). Referências aos juízes menores (seis no total) são inseridas dentro das histórias dos juízes maiores com frequência crescente. Como é evidente no esquema, o número de juízes menores aumentou em frequência em proporção à diminuição do número de juízes maiores: dois maiores, um menor; dois maiores, dois menores; um maior, três menores; um maior. Há um total de 12 juízes, representativos das 12 tribos de Israel.</w:t>
      </w:r>
    </w:p>
    <w:p>
      <w:r/>
      <w:r>
        <w:t xml:space="preserve">O propósito da lista de 12 juízes, representando as várias partes de Canaã e Transjordânia, é demonstrar que todas as tribos em todos os territórios conquistados enfrentaram graves dificuldades com uma variedade de inimigos: arameus, moabitas, amonitas, amalequitas, cananeus e filisteus. Israel foi duramente pressionado em quase todas as suas fronteiras. Os apêndices (caps. </w:t>
      </w:r>
      <w:hyperlink r:id="rId12457">
        <w:r>
          <w:rPr>
            <w:color w:val="0000EE"/>
            <w:u w:val="single"/>
          </w:rPr>
          <w:t>17–21</w:t>
        </w:r>
      </w:hyperlink>
      <w:r>
        <w:t>), juntamente com as duas introduções, formam a estrutura do livro. Os problemas políticos e socioreligiosos (</w:t>
      </w:r>
      <w:hyperlink r:id="rId12458">
        <w:r>
          <w:rPr>
            <w:color w:val="0000EE"/>
            <w:u w:val="single"/>
          </w:rPr>
          <w:t>1.1–3.6</w:t>
        </w:r>
      </w:hyperlink>
      <w:r>
        <w:t xml:space="preserve">) são apresentados por meio de várias histórias nos últimos capítulos. O editor final que deu ao livro sua forma canônica enquadrou propositalmente as histórias dos juízes de modo a mostrar a falta de progresso. Os sucessos das etapas anteriores na história redentora chegaram a um impasse no fluxo e refluxo dos juízes. Embora o Senhor tenha libertado seu povo de muitas maneiras, eles retornaram aos problemas descritos em </w:t>
      </w:r>
      <w:hyperlink r:id="rId12458">
        <w:r>
          <w:rPr>
            <w:color w:val="0000EE"/>
            <w:u w:val="single"/>
          </w:rPr>
          <w:t>1.1–3.6</w:t>
        </w:r>
      </w:hyperlink>
      <w:r>
        <w:t>. Os apêndices descrevem os problemas de Israel representativos do período dos juízes, quando “não havia rei em Israel” (</w:t>
      </w:r>
      <w:hyperlink r:id="rId12459">
        <w:r>
          <w:rPr>
            <w:color w:val="0000EE"/>
            <w:u w:val="single"/>
          </w:rPr>
          <w:t>17.6</w:t>
        </w:r>
      </w:hyperlink>
      <w:r>
        <w:t xml:space="preserve">; </w:t>
      </w:r>
      <w:hyperlink r:id="rId12460">
        <w:r>
          <w:rPr>
            <w:color w:val="0000EE"/>
            <w:u w:val="single"/>
          </w:rPr>
          <w:t>18.1</w:t>
        </w:r>
      </w:hyperlink>
      <w:r>
        <w:t xml:space="preserve">; </w:t>
      </w:r>
      <w:hyperlink r:id="rId12461">
        <w:r>
          <w:rPr>
            <w:color w:val="0000EE"/>
            <w:u w:val="single"/>
          </w:rPr>
          <w:t>19.1</w:t>
        </w:r>
      </w:hyperlink>
      <w:r>
        <w:t xml:space="preserve">; </w:t>
      </w:r>
      <w:hyperlink r:id="rId12462">
        <w:r>
          <w:rPr>
            <w:color w:val="0000EE"/>
            <w:u w:val="single"/>
          </w:rPr>
          <w:t>21.25</w:t>
        </w:r>
      </w:hyperlink>
      <w:r>
        <w:t>).</w:t>
      </w:r>
    </w:p>
    <w:p>
      <w:pPr>
        <w:pStyle w:val="Heading3"/>
      </w:pPr>
      <w:r>
        <w:t>Propósito e ensino teológico</w:t>
      </w:r>
    </w:p>
    <w:p>
      <w:r/>
      <w:r>
        <w:t>O ciclo de apostasia, julgamento, clamor por libertação e o levantamento de um juiz por Deus reflete uma perspectiva deuteronômica com seus avisos sobre desobediência e julgamento. A repetitividade do ciclo apoia a afirmação do narrador anônimo de que Israel permaneceu inalterado pela graça de Deus. No entanto, apesar da anarquia moral, religiosa e política, bem como das guerras civis, o último capítulo mostra que as tribos ainda estão preocupadas com o bem-estar umas das outras. Embora a unidade do povo de Deus tenha sido gravemente desafiada, a situação não é sem esperança. O livro termina com uma nota de esperança — a esperança por um rei que possa libertar Israel.</w:t>
      </w:r>
    </w:p>
    <w:p>
      <w:r/>
      <w:r>
        <w:t>Assim, há vários propósitos para o livro: (1) demonstrar a falta de significado desta fase no desenvolvimento de Israel; (2) explicar por que as tribos não ocuparam toda a terra prometida aos patriarcas; (3) justificar o caminho de Deus, que foi gracioso e paciente com os repetidos atos de desobediência de Israel; (4) apresentar a legitimidade de um rei "pastor" em contraste com uma forma despótica de realeza; e (5) explicar a necessidade urgente de um novo impulso, para que Israel não sucumba aos filisteus e à guerra intertribal.</w:t>
      </w:r>
    </w:p>
    <w:p>
      <w:pPr>
        <w:pStyle w:val="Heading3"/>
      </w:pPr>
      <w:r>
        <w:t>Conteúdo</w:t>
      </w:r>
    </w:p>
    <w:p>
      <w:pPr>
        <w:pStyle w:val="Heading4"/>
      </w:pPr>
      <w:r>
        <w:t>A introdução política (</w:t>
      </w:r>
      <w:hyperlink r:id="rId12454">
        <w:r>
          <w:rPr>
            <w:color w:val="0000EE"/>
            <w:u w:val="single"/>
          </w:rPr>
          <w:t>1.1–2.5</w:t>
        </w:r>
      </w:hyperlink>
      <w:r>
        <w:t>)</w:t>
      </w:r>
    </w:p>
    <w:p>
      <w:r/>
      <w:r>
        <w:t xml:space="preserve">Em </w:t>
      </w:r>
      <w:hyperlink r:id="rId5417">
        <w:r>
          <w:rPr>
            <w:color w:val="0000EE"/>
            <w:u w:val="single"/>
          </w:rPr>
          <w:t>Josué 1–12</w:t>
        </w:r>
      </w:hyperlink>
      <w:r>
        <w:t xml:space="preserve">, a guerra sob Josué é retratada como uma mobilização das forças cananeias contra Israel. Pela intervenção do Senhor, a resistência cananeia foi abatida e a terra foi ocupada pelas tribos (caps. </w:t>
      </w:r>
      <w:hyperlink r:id="rId12463">
        <w:r>
          <w:rPr>
            <w:color w:val="0000EE"/>
            <w:u w:val="single"/>
          </w:rPr>
          <w:t>13–21</w:t>
        </w:r>
      </w:hyperlink>
      <w:r>
        <w:t xml:space="preserve">). </w:t>
      </w:r>
      <w:hyperlink r:id="rId12463">
        <w:r>
          <w:rPr>
            <w:color w:val="0000EE"/>
            <w:u w:val="single"/>
          </w:rPr>
          <w:t>Josué 13–21</w:t>
        </w:r>
      </w:hyperlink>
      <w:r>
        <w:t xml:space="preserve">, no entanto, mostra claramente que cada tribo enfrentou dificuldades para livrar seu território de focos de resistência cananeia, que geralmente estavam centrados em cidades fortemente guardadas e bem fortificadas (cf. </w:t>
      </w:r>
      <w:hyperlink r:id="rId12464">
        <w:r>
          <w:rPr>
            <w:color w:val="0000EE"/>
            <w:u w:val="single"/>
          </w:rPr>
          <w:t>13.2–6,13</w:t>
        </w:r>
      </w:hyperlink>
      <w:r>
        <w:t xml:space="preserve">; </w:t>
      </w:r>
      <w:hyperlink r:id="rId11643">
        <w:r>
          <w:rPr>
            <w:color w:val="0000EE"/>
            <w:u w:val="single"/>
          </w:rPr>
          <w:t>15.63</w:t>
        </w:r>
      </w:hyperlink>
      <w:r>
        <w:t xml:space="preserve">; </w:t>
      </w:r>
      <w:hyperlink r:id="rId12129">
        <w:r>
          <w:rPr>
            <w:color w:val="0000EE"/>
            <w:u w:val="single"/>
          </w:rPr>
          <w:t>16.10</w:t>
        </w:r>
      </w:hyperlink>
      <w:r>
        <w:t xml:space="preserve">; </w:t>
      </w:r>
      <w:hyperlink r:id="rId12130">
        <w:r>
          <w:rPr>
            <w:color w:val="0000EE"/>
            <w:u w:val="single"/>
          </w:rPr>
          <w:t>17.12–18</w:t>
        </w:r>
      </w:hyperlink>
      <w:r>
        <w:t>).</w:t>
      </w:r>
    </w:p>
    <w:p>
      <w:r/>
      <w:r>
        <w:t>O livro de Josué destaca os sucessos e minimiza os problemas, enquanto o prólogo de Juízes prepara o cenário para todo o livro ao abordar abertamente os problemas e falhas de Israel. À medida que o livro se desenrola, são exatamente esses problemas e falhas que, com o tempo, levam Israel à beira do desastre.</w:t>
      </w:r>
    </w:p>
    <w:p>
      <w:r/>
      <w:r>
        <w:t>O período dos juízes começou com a morte de Josué (</w:t>
      </w:r>
      <w:hyperlink r:id="rId12465">
        <w:r>
          <w:rPr>
            <w:color w:val="0000EE"/>
            <w:u w:val="single"/>
          </w:rPr>
          <w:t>Jz 1.1</w:t>
        </w:r>
      </w:hyperlink>
      <w:r>
        <w:t xml:space="preserve">; </w:t>
      </w:r>
      <w:hyperlink r:id="rId12092">
        <w:r>
          <w:rPr>
            <w:color w:val="0000EE"/>
            <w:u w:val="single"/>
          </w:rPr>
          <w:t>2.8–9</w:t>
        </w:r>
      </w:hyperlink>
      <w:r>
        <w:t>). Os israelitas herdaram um legado de Josué: a lei do Senhor (</w:t>
      </w:r>
      <w:hyperlink r:id="rId12140">
        <w:r>
          <w:rPr>
            <w:color w:val="0000EE"/>
            <w:u w:val="single"/>
          </w:rPr>
          <w:t>Js 23.6</w:t>
        </w:r>
      </w:hyperlink>
      <w:r>
        <w:t xml:space="preserve">; </w:t>
      </w:r>
      <w:hyperlink r:id="rId12102">
        <w:r>
          <w:rPr>
            <w:color w:val="0000EE"/>
            <w:u w:val="single"/>
          </w:rPr>
          <w:t>24.26</w:t>
        </w:r>
      </w:hyperlink>
      <w:r>
        <w:t>), a terra, um desafio para obedecer ao Senhor (</w:t>
      </w:r>
      <w:hyperlink r:id="rId12466">
        <w:r>
          <w:rPr>
            <w:color w:val="0000EE"/>
            <w:u w:val="single"/>
          </w:rPr>
          <w:t>24.14–27</w:t>
        </w:r>
      </w:hyperlink>
      <w:r>
        <w:t>), e uma promessa da presença e ajuda de Deus em subjugar os cananeus (</w:t>
      </w:r>
      <w:hyperlink r:id="rId12467">
        <w:r>
          <w:rPr>
            <w:color w:val="0000EE"/>
            <w:u w:val="single"/>
          </w:rPr>
          <w:t>23.5,10</w:t>
        </w:r>
      </w:hyperlink>
      <w:r>
        <w:t>).</w:t>
      </w:r>
    </w:p>
    <w:p>
      <w:r/>
      <w:r>
        <w:t>Judá e Simeão (</w:t>
      </w:r>
      <w:hyperlink r:id="rId12468">
        <w:r>
          <w:rPr>
            <w:color w:val="0000EE"/>
            <w:u w:val="single"/>
          </w:rPr>
          <w:t>Jz 1.2–20</w:t>
        </w:r>
      </w:hyperlink>
      <w:r>
        <w:t>)</w:t>
      </w:r>
    </w:p>
    <w:p>
      <w:r/>
      <w:r>
        <w:t>A proeminência de Judá e Calebe é comparável à posição de Judá em Josué (</w:t>
      </w:r>
      <w:hyperlink r:id="rId12469">
        <w:r>
          <w:rPr>
            <w:color w:val="0000EE"/>
            <w:u w:val="single"/>
          </w:rPr>
          <w:t>Js 14.6–15.63</w:t>
        </w:r>
      </w:hyperlink>
      <w:r>
        <w:t xml:space="preserve">; cf. também a casa de José, </w:t>
      </w:r>
      <w:hyperlink r:id="rId12470">
        <w:r>
          <w:rPr>
            <w:color w:val="0000EE"/>
            <w:u w:val="single"/>
          </w:rPr>
          <w:t>Jz 1.22–29</w:t>
        </w:r>
      </w:hyperlink>
      <w:r>
        <w:t xml:space="preserve">; cf. </w:t>
      </w:r>
      <w:hyperlink r:id="rId12248">
        <w:r>
          <w:rPr>
            <w:color w:val="0000EE"/>
            <w:u w:val="single"/>
          </w:rPr>
          <w:t>Js 16–17</w:t>
        </w:r>
      </w:hyperlink>
      <w:r>
        <w:t>). Judá foi vitorioso sobre o cruel Adoni-Bezeque, que governava Bezeque, uma cidade de localização incerta. Judá ocupou com sucesso a região montanhosa, o Neguebe e as colinas ocidentais. Eles até tomaram Jerusalém, ou um subúrbio periférico identificado com Jerusalém (</w:t>
      </w:r>
      <w:hyperlink r:id="rId12471">
        <w:r>
          <w:rPr>
            <w:color w:val="0000EE"/>
            <w:u w:val="single"/>
          </w:rPr>
          <w:t>Js 1.8</w:t>
        </w:r>
      </w:hyperlink>
      <w:r>
        <w:t xml:space="preserve">), mas não conseguiram manter o controle lá (v. </w:t>
      </w:r>
      <w:hyperlink r:id="rId12472">
        <w:r>
          <w:rPr>
            <w:color w:val="0000EE"/>
            <w:u w:val="single"/>
          </w:rPr>
          <w:t>21</w:t>
        </w:r>
      </w:hyperlink>
      <w:r>
        <w:t>) até a conquista da cidade por Davi (</w:t>
      </w:r>
      <w:hyperlink r:id="rId12473">
        <w:r>
          <w:rPr>
            <w:color w:val="0000EE"/>
            <w:u w:val="single"/>
          </w:rPr>
          <w:t>2Sm 5.6–9</w:t>
        </w:r>
      </w:hyperlink>
      <w:r>
        <w:t>). Judá foi vitorioso sobre os cananeus na região de Hebrom, já conquistada sob Josué (</w:t>
      </w:r>
      <w:hyperlink r:id="rId12474">
        <w:r>
          <w:rPr>
            <w:color w:val="0000EE"/>
            <w:u w:val="single"/>
          </w:rPr>
          <w:t>Js 10.36</w:t>
        </w:r>
      </w:hyperlink>
      <w:r>
        <w:t xml:space="preserve">). Hebrom, também conhecida como Quiriate-Arba (“cidade dos quatro” ou “tetrápolis”), era uma aliada poderosa de Jerusalém (v. </w:t>
      </w:r>
      <w:hyperlink r:id="rId1233">
        <w:r>
          <w:rPr>
            <w:color w:val="0000EE"/>
            <w:u w:val="single"/>
          </w:rPr>
          <w:t>3</w:t>
        </w:r>
      </w:hyperlink>
      <w:r>
        <w:t>) e conseguiu reunir apoio militar para um novo ataque a Israel, mesmo após sua primeira derrota. Calebe recebeu Hebrom, como Moisés havia prometido (</w:t>
      </w:r>
      <w:hyperlink r:id="rId12475">
        <w:r>
          <w:rPr>
            <w:color w:val="0000EE"/>
            <w:u w:val="single"/>
          </w:rPr>
          <w:t>Jz 1.20</w:t>
        </w:r>
      </w:hyperlink>
      <w:r>
        <w:t xml:space="preserve">; cf. </w:t>
      </w:r>
      <w:hyperlink r:id="rId12476">
        <w:r>
          <w:rPr>
            <w:color w:val="0000EE"/>
            <w:u w:val="single"/>
          </w:rPr>
          <w:t>Js 15.13</w:t>
        </w:r>
      </w:hyperlink>
      <w:r>
        <w:t>). Após a vitória sobre Hebrom, Judá estendeu seu controle sobre a região montanhosa do sul com um ataque a Debir (</w:t>
      </w:r>
      <w:hyperlink r:id="rId12477">
        <w:r>
          <w:rPr>
            <w:color w:val="0000EE"/>
            <w:u w:val="single"/>
          </w:rPr>
          <w:t>Jz 1.11–15</w:t>
        </w:r>
      </w:hyperlink>
      <w:r>
        <w:t xml:space="preserve">; cf. </w:t>
      </w:r>
      <w:hyperlink r:id="rId12478">
        <w:r>
          <w:rPr>
            <w:color w:val="0000EE"/>
            <w:u w:val="single"/>
          </w:rPr>
          <w:t>Js 15.14–19</w:t>
        </w:r>
      </w:hyperlink>
      <w:r>
        <w:t>).</w:t>
      </w:r>
    </w:p>
    <w:p>
      <w:r/>
      <w:r>
        <w:t>Os queneus (</w:t>
      </w:r>
      <w:hyperlink r:id="rId1039">
        <w:r>
          <w:rPr>
            <w:color w:val="0000EE"/>
            <w:u w:val="single"/>
          </w:rPr>
          <w:t>Jz 1.16</w:t>
        </w:r>
      </w:hyperlink>
      <w:r>
        <w:t>), descendentes de Jetro e, portanto, relacionados a Moisés por casamento, se estabeleceram no Neguebe ao redor de Arade e da Cidade das Palmeiras, que aqui provavelmente se refere a Tamar em vez de Jericó.</w:t>
      </w:r>
    </w:p>
    <w:p>
      <w:r/>
      <w:r>
        <w:t>Judá assegurou a fronteira sul com uma vitória sobre os cananeus em Horma (</w:t>
      </w:r>
      <w:hyperlink r:id="rId10747">
        <w:r>
          <w:rPr>
            <w:color w:val="0000EE"/>
            <w:u w:val="single"/>
          </w:rPr>
          <w:t>Jz 1.17</w:t>
        </w:r>
      </w:hyperlink>
      <w:r>
        <w:t xml:space="preserve">; cf. </w:t>
      </w:r>
      <w:hyperlink r:id="rId10749">
        <w:r>
          <w:rPr>
            <w:color w:val="0000EE"/>
            <w:u w:val="single"/>
          </w:rPr>
          <w:t>Nm 14.45</w:t>
        </w:r>
      </w:hyperlink>
      <w:r>
        <w:t xml:space="preserve">; </w:t>
      </w:r>
      <w:hyperlink r:id="rId12479">
        <w:r>
          <w:rPr>
            <w:color w:val="0000EE"/>
            <w:u w:val="single"/>
          </w:rPr>
          <w:t>21.3</w:t>
        </w:r>
      </w:hyperlink>
      <w:r>
        <w:t xml:space="preserve">; </w:t>
      </w:r>
      <w:hyperlink r:id="rId1488">
        <w:r>
          <w:rPr>
            <w:color w:val="0000EE"/>
            <w:u w:val="single"/>
          </w:rPr>
          <w:t>Dt 1.44</w:t>
        </w:r>
      </w:hyperlink>
      <w:r>
        <w:t>) e a planície costeira com vitórias em Gaza, Asquelom e Ecrom. No entanto, os sucessos de Judá na planície costeira foram resistidos por uma força cananeia bem armada (</w:t>
      </w:r>
      <w:hyperlink r:id="rId9775">
        <w:r>
          <w:rPr>
            <w:color w:val="0000EE"/>
            <w:u w:val="single"/>
          </w:rPr>
          <w:t>Jz 1.18–19</w:t>
        </w:r>
      </w:hyperlink>
      <w:r>
        <w:t>). Ele ocupou a região montanhosa da Judeia e o Neguebe, mas não conseguiu manter o controle sobre as planícies. Os filisteus logo tomariam o controle de Gaza, Asquelom e Ecrom, incorporando-as em sua pentápolis.</w:t>
      </w:r>
    </w:p>
    <w:p>
      <w:r/>
      <w:r>
        <w:t>Benjamim (</w:t>
      </w:r>
      <w:hyperlink r:id="rId3420">
        <w:r>
          <w:rPr>
            <w:color w:val="0000EE"/>
            <w:u w:val="single"/>
          </w:rPr>
          <w:t>1.21</w:t>
        </w:r>
      </w:hyperlink>
      <w:r>
        <w:t>)</w:t>
      </w:r>
    </w:p>
    <w:p>
      <w:r/>
      <w:r>
        <w:t>Jerusalém estava situada na fronteira entre Judá e Benjamim. Judá tomou a cidade ou um subúrbio (</w:t>
      </w:r>
      <w:hyperlink r:id="rId12471">
        <w:r>
          <w:rPr>
            <w:color w:val="0000EE"/>
            <w:u w:val="single"/>
          </w:rPr>
          <w:t>Js 1.8</w:t>
        </w:r>
      </w:hyperlink>
      <w:r>
        <w:t>), mas estava muito distante para manter o controle sobre ela. Benjamim era muito fraco para subjugar os jebuseus. Somente Davi conseguiu isso (</w:t>
      </w:r>
      <w:hyperlink r:id="rId12473">
        <w:r>
          <w:rPr>
            <w:color w:val="0000EE"/>
            <w:u w:val="single"/>
          </w:rPr>
          <w:t>2Sm 5.6–9</w:t>
        </w:r>
      </w:hyperlink>
      <w:r>
        <w:t xml:space="preserve">); ele a incorporou a Judá (cf. </w:t>
      </w:r>
      <w:hyperlink r:id="rId11643">
        <w:r>
          <w:rPr>
            <w:color w:val="0000EE"/>
            <w:u w:val="single"/>
          </w:rPr>
          <w:t>Js 15.63</w:t>
        </w:r>
      </w:hyperlink>
      <w:r>
        <w:t>), embora originalmente tenha sido destinada a Benjamim (</w:t>
      </w:r>
      <w:hyperlink r:id="rId11565">
        <w:r>
          <w:rPr>
            <w:color w:val="0000EE"/>
            <w:u w:val="single"/>
          </w:rPr>
          <w:t>Js 18.28</w:t>
        </w:r>
      </w:hyperlink>
      <w:r>
        <w:t>).</w:t>
      </w:r>
    </w:p>
    <w:p>
      <w:r/>
      <w:r>
        <w:t>José: Efraim e Manassés (</w:t>
      </w:r>
      <w:hyperlink r:id="rId12470">
        <w:r>
          <w:rPr>
            <w:color w:val="0000EE"/>
            <w:u w:val="single"/>
          </w:rPr>
          <w:t>1.22–29</w:t>
        </w:r>
      </w:hyperlink>
      <w:r>
        <w:t>)</w:t>
      </w:r>
    </w:p>
    <w:p>
      <w:r/>
      <w:r>
        <w:t>Efraim conquistou Betel, conhecida nas histórias patriarcais como um importante local de culto (</w:t>
      </w:r>
      <w:hyperlink r:id="rId164">
        <w:r>
          <w:rPr>
            <w:color w:val="0000EE"/>
            <w:u w:val="single"/>
          </w:rPr>
          <w:t>Gn 12.8</w:t>
        </w:r>
      </w:hyperlink>
      <w:r>
        <w:t xml:space="preserve">; </w:t>
      </w:r>
      <w:hyperlink r:id="rId12480">
        <w:r>
          <w:rPr>
            <w:color w:val="0000EE"/>
            <w:u w:val="single"/>
          </w:rPr>
          <w:t>13.3–4</w:t>
        </w:r>
      </w:hyperlink>
      <w:r>
        <w:t xml:space="preserve">; </w:t>
      </w:r>
      <w:hyperlink r:id="rId3477">
        <w:r>
          <w:rPr>
            <w:color w:val="0000EE"/>
            <w:u w:val="single"/>
          </w:rPr>
          <w:t>28.19</w:t>
        </w:r>
      </w:hyperlink>
      <w:r>
        <w:t xml:space="preserve">; </w:t>
      </w:r>
      <w:hyperlink r:id="rId11615">
        <w:r>
          <w:rPr>
            <w:color w:val="0000EE"/>
            <w:u w:val="single"/>
          </w:rPr>
          <w:t>31.13</w:t>
        </w:r>
      </w:hyperlink>
      <w:r>
        <w:t xml:space="preserve">; </w:t>
      </w:r>
      <w:hyperlink r:id="rId12481">
        <w:r>
          <w:rPr>
            <w:color w:val="0000EE"/>
            <w:u w:val="single"/>
          </w:rPr>
          <w:t>35.1–15</w:t>
        </w:r>
      </w:hyperlink>
      <w:r>
        <w:t>). No entanto, Manassés não conseguiu tomar as cidades fortificadas no Vale de Jezreel (Esdraelon): Bete-Seã, Taanaque, Dor, Ibleão e Megido. Essas cidades controlavam o tráfego ao longo das estradas leste-oeste e norte-sul, bem como as importantes passagens pela cordilheira do Carmelo e o vau do Jordão. Efraim não conseguiu tomar posse completa da planície costeira, controlada por Gezer. O sucesso de ambos, Efraim e Manassés, foi limitado.</w:t>
      </w:r>
    </w:p>
    <w:p>
      <w:r/>
      <w:r>
        <w:t>As outras quatro tribos (</w:t>
      </w:r>
      <w:hyperlink r:id="rId12482">
        <w:r>
          <w:rPr>
            <w:color w:val="0000EE"/>
            <w:u w:val="single"/>
          </w:rPr>
          <w:t>1.30–36</w:t>
        </w:r>
      </w:hyperlink>
      <w:r>
        <w:t>)</w:t>
      </w:r>
    </w:p>
    <w:p>
      <w:r/>
      <w:r>
        <w:t>As outras quatro tribos em Canaã recebem uma menção breve. Elas também foram apenas parcialmente bem-sucedidas. Zebulom, Aser, Naftali e especialmente Dã não conseguiram expulsar totalmente os cananeus. No máximo, mais tarde submeteram a maioria deles a trabalhos forçados.</w:t>
      </w:r>
    </w:p>
    <w:p>
      <w:r/>
      <w:r>
        <w:t>O fracasso de Israel (</w:t>
      </w:r>
      <w:hyperlink r:id="rId12483">
        <w:r>
          <w:rPr>
            <w:color w:val="0000EE"/>
            <w:u w:val="single"/>
          </w:rPr>
          <w:t>2.1–5</w:t>
        </w:r>
      </w:hyperlink>
      <w:r>
        <w:t>)</w:t>
      </w:r>
    </w:p>
    <w:p>
      <w:r/>
      <w:r>
        <w:t xml:space="preserve">O fracasso em subjugar a terra e eliminar os cananeus e sua cultura levou ao casamento inter-racial e à idolatria (cf. </w:t>
      </w:r>
      <w:hyperlink r:id="rId12484">
        <w:r>
          <w:rPr>
            <w:color w:val="0000EE"/>
            <w:u w:val="single"/>
          </w:rPr>
          <w:t>Êx 23.33</w:t>
        </w:r>
      </w:hyperlink>
      <w:r>
        <w:t xml:space="preserve">; </w:t>
      </w:r>
      <w:hyperlink r:id="rId12485">
        <w:r>
          <w:rPr>
            <w:color w:val="0000EE"/>
            <w:u w:val="single"/>
          </w:rPr>
          <w:t>34.12–16</w:t>
        </w:r>
      </w:hyperlink>
      <w:r>
        <w:t xml:space="preserve">; </w:t>
      </w:r>
      <w:hyperlink r:id="rId5926">
        <w:r>
          <w:rPr>
            <w:color w:val="0000EE"/>
            <w:u w:val="single"/>
          </w:rPr>
          <w:t>Nm 33.55</w:t>
        </w:r>
      </w:hyperlink>
      <w:r>
        <w:t xml:space="preserve">; </w:t>
      </w:r>
      <w:hyperlink r:id="rId12486">
        <w:r>
          <w:rPr>
            <w:color w:val="0000EE"/>
            <w:u w:val="single"/>
          </w:rPr>
          <w:t>Dt 7.2–5,16</w:t>
        </w:r>
      </w:hyperlink>
      <w:r>
        <w:t xml:space="preserve">; </w:t>
      </w:r>
      <w:hyperlink r:id="rId12487">
        <w:r>
          <w:rPr>
            <w:color w:val="0000EE"/>
            <w:u w:val="single"/>
          </w:rPr>
          <w:t>Js 23.7,12</w:t>
        </w:r>
      </w:hyperlink>
      <w:r>
        <w:t>).</w:t>
      </w:r>
    </w:p>
    <w:p>
      <w:r/>
      <w:r>
        <w:t xml:space="preserve">A identidade do "anjo do Senhor" que aparece em Boquim não é clara. Pode se referir ao próprio Senhor, a um mensageiro angelical ou a um profeta (cf. </w:t>
      </w:r>
      <w:hyperlink r:id="rId12488">
        <w:r>
          <w:rPr>
            <w:color w:val="0000EE"/>
            <w:u w:val="single"/>
          </w:rPr>
          <w:t>Jz 6.8</w:t>
        </w:r>
      </w:hyperlink>
      <w:r>
        <w:t>). Ele repreendeu o povo com espírito profético e pronunciou o julgamento de Deus como uma forma de confronto contínuo entre Israel e os cananeus (</w:t>
      </w:r>
      <w:hyperlink r:id="rId12489">
        <w:r>
          <w:rPr>
            <w:color w:val="0000EE"/>
            <w:u w:val="single"/>
          </w:rPr>
          <w:t>2.3</w:t>
        </w:r>
      </w:hyperlink>
      <w:r>
        <w:t>). Seu choro e sacrifício não tiveram efeito (</w:t>
      </w:r>
      <w:hyperlink r:id="rId12490">
        <w:r>
          <w:rPr>
            <w:color w:val="0000EE"/>
            <w:u w:val="single"/>
          </w:rPr>
          <w:t>2.4–5</w:t>
        </w:r>
      </w:hyperlink>
      <w:r>
        <w:t xml:space="preserve">; cf. </w:t>
      </w:r>
      <w:hyperlink r:id="rId12491">
        <w:r>
          <w:rPr>
            <w:color w:val="0000EE"/>
            <w:u w:val="single"/>
          </w:rPr>
          <w:t>Ml 2.13</w:t>
        </w:r>
      </w:hyperlink>
      <w:r>
        <w:t>). Israel foi condenado dentro de uma geração após a morte de Josué.</w:t>
      </w:r>
    </w:p>
    <w:p>
      <w:pPr>
        <w:pStyle w:val="Heading4"/>
      </w:pPr>
      <w:r>
        <w:t>A introdução teológica (</w:t>
      </w:r>
      <w:hyperlink r:id="rId12455">
        <w:r>
          <w:rPr>
            <w:color w:val="0000EE"/>
            <w:u w:val="single"/>
          </w:rPr>
          <w:t>2.6–3.6</w:t>
        </w:r>
      </w:hyperlink>
      <w:r>
        <w:t>)</w:t>
      </w:r>
    </w:p>
    <w:p>
      <w:r/>
      <w:r>
        <w:t>A introdução teológica começa onde Josué parou (</w:t>
      </w:r>
      <w:hyperlink r:id="rId12492">
        <w:r>
          <w:rPr>
            <w:color w:val="0000EE"/>
            <w:u w:val="single"/>
          </w:rPr>
          <w:t>Js 24.28–31</w:t>
        </w:r>
      </w:hyperlink>
      <w:r>
        <w:t>). A geração de Josué foi caracterizada pela lealdade, mas essa lealdade ao Senhor não durou muito após a empolgação da Conquista e a demonstração da presença de Deus (</w:t>
      </w:r>
      <w:hyperlink r:id="rId846">
        <w:r>
          <w:rPr>
            <w:color w:val="0000EE"/>
            <w:u w:val="single"/>
          </w:rPr>
          <w:t>Jz 2.10</w:t>
        </w:r>
      </w:hyperlink>
      <w:r>
        <w:t xml:space="preserve">). Israel serviu aos deuses cananeus (Baal e Astarte) em vez disso. Baal era o deus da tempestade, simbolizando a chuva e a fertilidade, e Astarte era sua consorte. O plural (Baalins e Astarotes, </w:t>
      </w:r>
      <w:hyperlink r:id="rId12493">
        <w:r>
          <w:rPr>
            <w:color w:val="0000EE"/>
            <w:u w:val="single"/>
          </w:rPr>
          <w:t>2.11–13</w:t>
        </w:r>
      </w:hyperlink>
      <w:r>
        <w:t xml:space="preserve">) refere-se às muitas maneiras locais em que os deuses cananeus eram adorados. A unidade religiosa foi fragmentada em uma grande diversidade. Assim, Israel irritou o Senhor (vv. </w:t>
      </w:r>
      <w:hyperlink r:id="rId12494">
        <w:r>
          <w:rPr>
            <w:color w:val="0000EE"/>
            <w:u w:val="single"/>
          </w:rPr>
          <w:t>12–14</w:t>
        </w:r>
      </w:hyperlink>
      <w:r>
        <w:t>), que enviou inimigos e saqueadores contra eles. Israel não teve sucesso em lidar com eles, como Moisés e Josué haviam advertido (</w:t>
      </w:r>
      <w:hyperlink r:id="rId12495">
        <w:r>
          <w:rPr>
            <w:color w:val="0000EE"/>
            <w:u w:val="single"/>
          </w:rPr>
          <w:t>Dt 28.25,33</w:t>
        </w:r>
      </w:hyperlink>
      <w:r>
        <w:t xml:space="preserve">; </w:t>
      </w:r>
      <w:hyperlink r:id="rId12496">
        <w:r>
          <w:rPr>
            <w:color w:val="0000EE"/>
            <w:u w:val="single"/>
          </w:rPr>
          <w:t>Js 23.13,16</w:t>
        </w:r>
      </w:hyperlink>
      <w:r>
        <w:t>). O ciclo de apostasia, julgamento, clamor por misericórdia e libertação é encontrado ao longo de Juízes. O povo estava enraizado na apostasia de seus antepassados, mesmo que a geração anterior tivesse sido sensível a Deus. Israel não se submeteu à liderança dos juízes, exceto para se libertar dos opressores. Em cumprimento das maldições da aliança, Deus jurou não dar descanso ao seu povo, mas testá-los e treiná-los para a guerra (</w:t>
      </w:r>
      <w:hyperlink r:id="rId12497">
        <w:r>
          <w:rPr>
            <w:color w:val="0000EE"/>
            <w:u w:val="single"/>
          </w:rPr>
          <w:t>Jz 3.1–4</w:t>
        </w:r>
      </w:hyperlink>
      <w:r>
        <w:t>), para que pudessem aprender a responder aos desafios de um mundo real.</w:t>
      </w:r>
    </w:p>
    <w:p>
      <w:pPr>
        <w:pStyle w:val="Heading4"/>
      </w:pPr>
      <w:r>
        <w:t>Os juízes de Israel (</w:t>
      </w:r>
      <w:hyperlink r:id="rId12456">
        <w:r>
          <w:rPr>
            <w:color w:val="0000EE"/>
            <w:u w:val="single"/>
          </w:rPr>
          <w:t>3.7–16.31</w:t>
        </w:r>
      </w:hyperlink>
      <w:r>
        <w:t>)</w:t>
      </w:r>
    </w:p>
    <w:p>
      <w:r/>
      <w:r>
        <w:t>Otniel (</w:t>
      </w:r>
      <w:hyperlink r:id="rId12498">
        <w:r>
          <w:rPr>
            <w:color w:val="0000EE"/>
            <w:u w:val="single"/>
          </w:rPr>
          <w:t>3.7–11</w:t>
        </w:r>
      </w:hyperlink>
      <w:r>
        <w:t>)</w:t>
      </w:r>
    </w:p>
    <w:p>
      <w:r/>
      <w:r>
        <w:t>Otniel é uma figura de transição, ligando a Conquista e os juízes. Ele participou da conquista de Quiriate-Sefer e era parente de Calebe, sendo seu primo e genro (</w:t>
      </w:r>
      <w:hyperlink r:id="rId4041">
        <w:r>
          <w:rPr>
            <w:color w:val="0000EE"/>
            <w:u w:val="single"/>
          </w:rPr>
          <w:t>1.13</w:t>
        </w:r>
      </w:hyperlink>
      <w:r>
        <w:t>). Ele repeliu os arameus liderados por Cusã-Risataim, de modo que a terra desfrutou de paz por cerca de 40 anos.</w:t>
      </w:r>
    </w:p>
    <w:p>
      <w:r/>
      <w:r>
        <w:t>Eúde (</w:t>
      </w:r>
      <w:hyperlink r:id="rId7135">
        <w:r>
          <w:rPr>
            <w:color w:val="0000EE"/>
            <w:u w:val="single"/>
          </w:rPr>
          <w:t>3.12–30</w:t>
        </w:r>
      </w:hyperlink>
      <w:r>
        <w:t>)</w:t>
      </w:r>
    </w:p>
    <w:p>
      <w:r/>
      <w:r>
        <w:t>Os moabitas, aliados aos amonitas e amalequitas, vieram contra Israel do leste e os oprimiram por 18 anos sob a liderança de Eglom. Eúde liderou a missão de levar tributo a Eglom em seu palácio, localizado provavelmente perto de Jericó (a Cidade das Palmeiras). Eúde era singularmente qualificado para essa missão; sendo canhoto, ele conseguiu usar sua espada de dois gumes de maneira inesperada para apunhalar o rei. O sucesso de Eúde foi resultado de um planejamento cuidadoso e do elemento surpresa. Ele pagou o tributo e saiu, apenas para retornar com um suposto oráculo dos deuses. O rei caiu na armadilha e foi assassinado. O atraso na corte moabita deu aos israelitas a oportunidade de reunir suas forças nos vaus do Jordão. O sucesso de Eúde foi completo; nenhum moabita escapou, e Israel desfrutou de paz por 80 anos.</w:t>
      </w:r>
    </w:p>
    <w:p>
      <w:r/>
      <w:r>
        <w:t>Sangar (</w:t>
      </w:r>
      <w:hyperlink r:id="rId9544">
        <w:r>
          <w:rPr>
            <w:color w:val="0000EE"/>
            <w:u w:val="single"/>
          </w:rPr>
          <w:t>3.31</w:t>
        </w:r>
      </w:hyperlink>
      <w:r>
        <w:t>)</w:t>
      </w:r>
    </w:p>
    <w:p>
      <w:r/>
      <w:r>
        <w:t>As façanhas de Sangar foram contra os filisteus nas planícies costeiras. Ele tinha um nome não israelita, mas provavelmente era israelita de nascimento. Assim como Sansão, ele lutou contra os filisteus com uma arma não convencional (uma aguilhada de boi). Seu nome também é mencionado na canção de Débora (</w:t>
      </w:r>
      <w:hyperlink r:id="rId12499">
        <w:r>
          <w:rPr>
            <w:color w:val="0000EE"/>
            <w:u w:val="single"/>
          </w:rPr>
          <w:t>5.6</w:t>
        </w:r>
      </w:hyperlink>
      <w:r>
        <w:t>).</w:t>
      </w:r>
    </w:p>
    <w:p>
      <w:r/>
      <w:r>
        <w:t>Débora e Baraque (</w:t>
      </w:r>
      <w:hyperlink r:id="rId6636">
        <w:r>
          <w:rPr>
            <w:color w:val="0000EE"/>
            <w:u w:val="single"/>
          </w:rPr>
          <w:t>4.1–5.31</w:t>
        </w:r>
      </w:hyperlink>
      <w:r>
        <w:t>)</w:t>
      </w:r>
    </w:p>
    <w:p>
      <w:r/>
      <w:r>
        <w:t>A narrativa agora se volta para os agressores cananeus no norte sob a liderança de Jabim, rei de Hazor, e Sísera, de Haroshet-Hagoim (</w:t>
      </w:r>
      <w:hyperlink r:id="rId12500">
        <w:r>
          <w:rPr>
            <w:color w:val="0000EE"/>
            <w:u w:val="single"/>
          </w:rPr>
          <w:t>4.1–3</w:t>
        </w:r>
      </w:hyperlink>
      <w:r>
        <w:t>). As ruínas de Hazor (</w:t>
      </w:r>
      <w:hyperlink r:id="rId12501">
        <w:r>
          <w:rPr>
            <w:color w:val="0000EE"/>
            <w:u w:val="single"/>
          </w:rPr>
          <w:t>Js 11.13</w:t>
        </w:r>
      </w:hyperlink>
      <w:r>
        <w:t xml:space="preserve">) haviam sido reconstruídas, e outro Jabim (cf. v. </w:t>
      </w:r>
      <w:hyperlink r:id="rId279">
        <w:r>
          <w:rPr>
            <w:color w:val="0000EE"/>
            <w:u w:val="single"/>
          </w:rPr>
          <w:t>1</w:t>
        </w:r>
      </w:hyperlink>
      <w:r>
        <w:t>) governava a região. Ele havia recuperado seu poder militar, pois tinha até 900 carros de ferro. Ele oprimiu Israel por 20 anos (</w:t>
      </w:r>
      <w:hyperlink r:id="rId12502">
        <w:r>
          <w:rPr>
            <w:color w:val="0000EE"/>
            <w:u w:val="single"/>
          </w:rPr>
          <w:t>Jz 4.3</w:t>
        </w:r>
      </w:hyperlink>
      <w:r>
        <w:t>).</w:t>
      </w:r>
    </w:p>
    <w:p>
      <w:r/>
      <w:r>
        <w:t>Deus tinha uma profetisa em Israel que liderou seu povo durante esse período sombrio (</w:t>
      </w:r>
      <w:hyperlink r:id="rId6640">
        <w:r>
          <w:rPr>
            <w:color w:val="0000EE"/>
            <w:u w:val="single"/>
          </w:rPr>
          <w:t>4.4</w:t>
        </w:r>
      </w:hyperlink>
      <w:r>
        <w:t xml:space="preserve">). Ela proferia julgamentos sob uma palmeira no sul de Efraim, perto de Benjamim (v. </w:t>
      </w:r>
      <w:hyperlink r:id="rId5249">
        <w:r>
          <w:rPr>
            <w:color w:val="0000EE"/>
            <w:u w:val="single"/>
          </w:rPr>
          <w:t>5</w:t>
        </w:r>
      </w:hyperlink>
      <w:r>
        <w:t xml:space="preserve">). Ela convocou Baraque para reunir os exércitos de Naftali e Zebulom, as tribos afetadas pelos ataques dos cananeus, e enfrentar Sísera em um ataque surpresa pelo rio Quisom (vv. </w:t>
      </w:r>
      <w:hyperlink r:id="rId12503">
        <w:r>
          <w:rPr>
            <w:color w:val="0000EE"/>
            <w:u w:val="single"/>
          </w:rPr>
          <w:t>6–7</w:t>
        </w:r>
      </w:hyperlink>
      <w:r>
        <w:t xml:space="preserve">). A hesitação de Baraque levou-o a solicitar a presença de Débora, o que resultou na perda da honra de matar Sísera, o comandante das forças dos cananeus (vv. </w:t>
      </w:r>
      <w:hyperlink r:id="rId12504">
        <w:r>
          <w:rPr>
            <w:color w:val="0000EE"/>
            <w:u w:val="single"/>
          </w:rPr>
          <w:t>8–10</w:t>
        </w:r>
      </w:hyperlink>
      <w:r>
        <w:t>). O Senhor deu sucesso ao ataque surpresa do Monte Tabor, de modo que os cananeus foram derrotados, incapazes de usar seus pesados carros de guerra, que ficaram atolados nos pântanos do Vale de Jezreel (</w:t>
      </w:r>
      <w:hyperlink r:id="rId12505">
        <w:r>
          <w:rPr>
            <w:color w:val="0000EE"/>
            <w:u w:val="single"/>
          </w:rPr>
          <w:t>5.20–22</w:t>
        </w:r>
      </w:hyperlink>
      <w:r>
        <w:t>). Os cananeus foram derrotados, e Sísera foi morto por Jael, a esposa de Héber, um queneu que se separou dos queneus ao redor de Arade (</w:t>
      </w:r>
      <w:hyperlink r:id="rId12506">
        <w:r>
          <w:rPr>
            <w:color w:val="0000EE"/>
            <w:u w:val="single"/>
          </w:rPr>
          <w:t>4.17–18</w:t>
        </w:r>
      </w:hyperlink>
      <w:r>
        <w:t xml:space="preserve">; cf. </w:t>
      </w:r>
      <w:hyperlink r:id="rId1039">
        <w:r>
          <w:rPr>
            <w:color w:val="0000EE"/>
            <w:u w:val="single"/>
          </w:rPr>
          <w:t>1.16</w:t>
        </w:r>
      </w:hyperlink>
      <w:r>
        <w:t>). Ela ofereceu-lhe hospitalidade, já que sua família tinha relações amigáveis com os cananeus, mas heroicamente o matou com uma estaca de tenda (</w:t>
      </w:r>
      <w:hyperlink r:id="rId12507">
        <w:r>
          <w:rPr>
            <w:color w:val="0000EE"/>
            <w:u w:val="single"/>
          </w:rPr>
          <w:t>4.18–21</w:t>
        </w:r>
      </w:hyperlink>
      <w:r>
        <w:t xml:space="preserve">; </w:t>
      </w:r>
      <w:hyperlink r:id="rId12508">
        <w:r>
          <w:rPr>
            <w:color w:val="0000EE"/>
            <w:u w:val="single"/>
          </w:rPr>
          <w:t>5.26–27</w:t>
        </w:r>
      </w:hyperlink>
      <w:r>
        <w:t>). Em campanhas sucessivas, os israelitas se libertaram de Jabim, até destruírem seu poder (</w:t>
      </w:r>
      <w:hyperlink r:id="rId11471">
        <w:r>
          <w:rPr>
            <w:color w:val="0000EE"/>
            <w:u w:val="single"/>
          </w:rPr>
          <w:t>4.24</w:t>
        </w:r>
      </w:hyperlink>
      <w:r>
        <w:t>).</w:t>
      </w:r>
    </w:p>
    <w:p>
      <w:r/>
      <w:r>
        <w:t xml:space="preserve">A canção de Débora (cap. </w:t>
      </w:r>
      <w:hyperlink r:id="rId4184">
        <w:r>
          <w:rPr>
            <w:color w:val="0000EE"/>
            <w:u w:val="single"/>
          </w:rPr>
          <w:t>5</w:t>
        </w:r>
      </w:hyperlink>
      <w:r>
        <w:t>) celebra poeticamente a vitória sobre Jabim. É um dos poemas mais antigos da Bíblia. Louva o Deus de Israel como o Rei que vem proteger seu povo da aliança, diante de quem as montanhas se movem (</w:t>
      </w:r>
      <w:hyperlink r:id="rId12509">
        <w:r>
          <w:rPr>
            <w:color w:val="0000EE"/>
            <w:u w:val="single"/>
          </w:rPr>
          <w:t>5.2–3</w:t>
        </w:r>
      </w:hyperlink>
      <w:r>
        <w:t>). Ele é o Deus do Monte Sinai (</w:t>
      </w:r>
      <w:hyperlink r:id="rId4187">
        <w:r>
          <w:rPr>
            <w:color w:val="0000EE"/>
            <w:u w:val="single"/>
          </w:rPr>
          <w:t>Jz 5.4–5</w:t>
        </w:r>
      </w:hyperlink>
      <w:r>
        <w:t xml:space="preserve">; cf. </w:t>
      </w:r>
      <w:hyperlink r:id="rId12510">
        <w:r>
          <w:rPr>
            <w:color w:val="0000EE"/>
            <w:u w:val="single"/>
          </w:rPr>
          <w:t>Dt 33.2</w:t>
        </w:r>
      </w:hyperlink>
      <w:r>
        <w:t xml:space="preserve">; </w:t>
      </w:r>
      <w:hyperlink r:id="rId12511">
        <w:r>
          <w:rPr>
            <w:color w:val="0000EE"/>
            <w:u w:val="single"/>
          </w:rPr>
          <w:t>Sl 68.7–8</w:t>
        </w:r>
      </w:hyperlink>
      <w:r>
        <w:t xml:space="preserve">; </w:t>
      </w:r>
      <w:hyperlink r:id="rId12512">
        <w:r>
          <w:rPr>
            <w:color w:val="0000EE"/>
            <w:u w:val="single"/>
          </w:rPr>
          <w:t>Hb 3.3–4</w:t>
        </w:r>
      </w:hyperlink>
      <w:r>
        <w:t>). Embora os opressores tivessem saqueado Israel e tornado as estradas inseguras para viajar, e Israel fosse incapaz de se defender (</w:t>
      </w:r>
      <w:hyperlink r:id="rId12513">
        <w:r>
          <w:rPr>
            <w:color w:val="0000EE"/>
            <w:u w:val="single"/>
          </w:rPr>
          <w:t>Jz 5.6–8</w:t>
        </w:r>
      </w:hyperlink>
      <w:r>
        <w:t xml:space="preserve">), o Senhor levantou Débora e Baraque para liderar os nobres à guerra (vv. </w:t>
      </w:r>
      <w:hyperlink r:id="rId12514">
        <w:r>
          <w:rPr>
            <w:color w:val="0000EE"/>
            <w:u w:val="single"/>
          </w:rPr>
          <w:t>9–13</w:t>
        </w:r>
      </w:hyperlink>
      <w:r>
        <w:t xml:space="preserve">). Eles vieram de Efraim, Benjamim, Zebulom, Issacar e Naftali (vv. </w:t>
      </w:r>
      <w:hyperlink r:id="rId12515">
        <w:r>
          <w:rPr>
            <w:color w:val="0000EE"/>
            <w:u w:val="single"/>
          </w:rPr>
          <w:t>14–15a,18</w:t>
        </w:r>
      </w:hyperlink>
      <w:r>
        <w:t xml:space="preserve">), mas as tribos da Transjordânia e Aser não quiseram se envolver (vv. </w:t>
      </w:r>
      <w:hyperlink r:id="rId12516">
        <w:r>
          <w:rPr>
            <w:color w:val="0000EE"/>
            <w:u w:val="single"/>
          </w:rPr>
          <w:t>15b-17</w:t>
        </w:r>
      </w:hyperlink>
      <w:r>
        <w:t xml:space="preserve">). A canção então se move para a cena da batalha, onde chuvas torrenciais atolam os carros (vv. </w:t>
      </w:r>
      <w:hyperlink r:id="rId12517">
        <w:r>
          <w:rPr>
            <w:color w:val="0000EE"/>
            <w:u w:val="single"/>
          </w:rPr>
          <w:t>19–23</w:t>
        </w:r>
      </w:hyperlink>
      <w:r>
        <w:t xml:space="preserve">). Jael é celebrada como “a mais abençoada das mulheres”, que usou seu modo de vida simples para pôr fim a Sísera (vv. </w:t>
      </w:r>
      <w:hyperlink r:id="rId4195">
        <w:r>
          <w:rPr>
            <w:color w:val="0000EE"/>
            <w:u w:val="single"/>
          </w:rPr>
          <w:t>24–27</w:t>
        </w:r>
      </w:hyperlink>
      <w:r>
        <w:t xml:space="preserve">). Ela contrasta com a mãe de Sísera, que é retratada com toda sua cultura esperando em vão pelo retorno de Sísera com todos os seus despojos (vv. </w:t>
      </w:r>
      <w:hyperlink r:id="rId12518">
        <w:r>
          <w:rPr>
            <w:color w:val="0000EE"/>
            <w:u w:val="single"/>
          </w:rPr>
          <w:t>28–30</w:t>
        </w:r>
      </w:hyperlink>
      <w:r>
        <w:t>). O Senhor usou o simples para confundir os poderosos. A conclusão é uma oração pelo julgamento de Deus sobre todos os inimigos de Israel (</w:t>
      </w:r>
      <w:hyperlink r:id="rId12519">
        <w:r>
          <w:rPr>
            <w:color w:val="0000EE"/>
            <w:u w:val="single"/>
          </w:rPr>
          <w:t>Jz 5.31a</w:t>
        </w:r>
      </w:hyperlink>
      <w:r>
        <w:t xml:space="preserve">; cf. </w:t>
      </w:r>
      <w:hyperlink r:id="rId12520">
        <w:r>
          <w:rPr>
            <w:color w:val="0000EE"/>
            <w:u w:val="single"/>
          </w:rPr>
          <w:t>Sl 68.1–3</w:t>
        </w:r>
      </w:hyperlink>
      <w:r>
        <w:t>).</w:t>
      </w:r>
    </w:p>
    <w:p>
      <w:r/>
      <w:r>
        <w:t>Gideão (</w:t>
      </w:r>
      <w:hyperlink r:id="rId12521">
        <w:r>
          <w:rPr>
            <w:color w:val="0000EE"/>
            <w:u w:val="single"/>
          </w:rPr>
          <w:t>6.1–8.35</w:t>
        </w:r>
      </w:hyperlink>
      <w:r>
        <w:t>)</w:t>
      </w:r>
    </w:p>
    <w:p>
      <w:r/>
      <w:r>
        <w:t>O descanso de Israel por 40 anos (</w:t>
      </w:r>
      <w:hyperlink r:id="rId12519">
        <w:r>
          <w:rPr>
            <w:color w:val="0000EE"/>
            <w:u w:val="single"/>
          </w:rPr>
          <w:t>Jz 5.31b</w:t>
        </w:r>
      </w:hyperlink>
      <w:r>
        <w:t>) foi interrompido pela invasão dos midianitas e amalequitas do Leste (</w:t>
      </w:r>
      <w:hyperlink r:id="rId12522">
        <w:r>
          <w:rPr>
            <w:color w:val="0000EE"/>
            <w:u w:val="single"/>
          </w:rPr>
          <w:t>6.1–3</w:t>
        </w:r>
      </w:hyperlink>
      <w:r>
        <w:t xml:space="preserve">). Eles destruíram a economia ao invadir o país na época da colheita (vv. </w:t>
      </w:r>
      <w:hyperlink r:id="rId12523">
        <w:r>
          <w:rPr>
            <w:color w:val="0000EE"/>
            <w:u w:val="single"/>
          </w:rPr>
          <w:t>4–6</w:t>
        </w:r>
      </w:hyperlink>
      <w:r>
        <w:t>). Em resposta ao clamor de Israel, Deus enviou um profeta com uma mensagem semelhante à do anjo do Senhor (</w:t>
      </w:r>
      <w:hyperlink r:id="rId12483">
        <w:r>
          <w:rPr>
            <w:color w:val="0000EE"/>
            <w:u w:val="single"/>
          </w:rPr>
          <w:t>2.1–5</w:t>
        </w:r>
      </w:hyperlink>
      <w:r>
        <w:t>). Então, um anjo apareceu a Gideão e o chamou para liderar o povo na batalha (</w:t>
      </w:r>
      <w:hyperlink r:id="rId12524">
        <w:r>
          <w:rPr>
            <w:color w:val="0000EE"/>
            <w:u w:val="single"/>
          </w:rPr>
          <w:t>6.11–14</w:t>
        </w:r>
      </w:hyperlink>
      <w:r>
        <w:t xml:space="preserve">). O Senhor assegurou-lhe sua presença (v. </w:t>
      </w:r>
      <w:hyperlink r:id="rId12525">
        <w:r>
          <w:rPr>
            <w:color w:val="0000EE"/>
            <w:u w:val="single"/>
          </w:rPr>
          <w:t>16</w:t>
        </w:r>
      </w:hyperlink>
      <w:r>
        <w:t xml:space="preserve">) por meio de um sinal (vv. </w:t>
      </w:r>
      <w:hyperlink r:id="rId12526">
        <w:r>
          <w:rPr>
            <w:color w:val="0000EE"/>
            <w:u w:val="single"/>
          </w:rPr>
          <w:t>17–22</w:t>
        </w:r>
      </w:hyperlink>
      <w:r>
        <w:t xml:space="preserve">). Gideão soube que havia sido visitado pelo Senhor e construiu um altar chamado "O Senhor É Paz" em Ofra (v. </w:t>
      </w:r>
      <w:hyperlink r:id="rId988">
        <w:r>
          <w:rPr>
            <w:color w:val="0000EE"/>
            <w:u w:val="single"/>
          </w:rPr>
          <w:t>24</w:t>
        </w:r>
      </w:hyperlink>
      <w:r>
        <w:t xml:space="preserve">). Ele respondeu destruindo o local de culto dedicado a Baal e Aserá em Ofra (vv. </w:t>
      </w:r>
      <w:hyperlink r:id="rId12527">
        <w:r>
          <w:rPr>
            <w:color w:val="0000EE"/>
            <w:u w:val="single"/>
          </w:rPr>
          <w:t>25–28</w:t>
        </w:r>
      </w:hyperlink>
      <w:r>
        <w:t xml:space="preserve">) e iniciando a adoração no novo altar (v. </w:t>
      </w:r>
      <w:hyperlink r:id="rId12528">
        <w:r>
          <w:rPr>
            <w:color w:val="0000EE"/>
            <w:u w:val="single"/>
          </w:rPr>
          <w:t>28</w:t>
        </w:r>
      </w:hyperlink>
      <w:r>
        <w:t xml:space="preserve">). Baal não protegeu seu próprio altar (vv. </w:t>
      </w:r>
      <w:hyperlink r:id="rId12529">
        <w:r>
          <w:rPr>
            <w:color w:val="0000EE"/>
            <w:u w:val="single"/>
          </w:rPr>
          <w:t>29–32</w:t>
        </w:r>
      </w:hyperlink>
      <w:r>
        <w:t xml:space="preserve">), mesmo quando desafiado pelo pai de Gideão (v. </w:t>
      </w:r>
      <w:hyperlink r:id="rId12530">
        <w:r>
          <w:rPr>
            <w:color w:val="0000EE"/>
            <w:u w:val="single"/>
          </w:rPr>
          <w:t>31</w:t>
        </w:r>
      </w:hyperlink>
      <w:r>
        <w:t xml:space="preserve">). Consequentemente, Gideão ficou conhecido como Jerubaal (que significa "que Baal contenda com ele", v. </w:t>
      </w:r>
      <w:hyperlink r:id="rId12531">
        <w:r>
          <w:rPr>
            <w:color w:val="0000EE"/>
            <w:u w:val="single"/>
          </w:rPr>
          <w:t>32</w:t>
        </w:r>
      </w:hyperlink>
      <w:r>
        <w:t>).</w:t>
      </w:r>
    </w:p>
    <w:p>
      <w:r/>
      <w:r>
        <w:t>Em seguida, Gideão reuniu um exército de 32.000 homens de Aser, Zebulom e Naftali (</w:t>
      </w:r>
      <w:hyperlink r:id="rId12532">
        <w:r>
          <w:rPr>
            <w:color w:val="0000EE"/>
            <w:u w:val="single"/>
          </w:rPr>
          <w:t>6.35</w:t>
        </w:r>
      </w:hyperlink>
      <w:r>
        <w:t xml:space="preserve">; cf. </w:t>
      </w:r>
      <w:hyperlink r:id="rId10234">
        <w:r>
          <w:rPr>
            <w:color w:val="0000EE"/>
            <w:u w:val="single"/>
          </w:rPr>
          <w:t>7.3b</w:t>
        </w:r>
      </w:hyperlink>
      <w:r>
        <w:t>). Para assegurar-se da presença do Senhor, ele pediu outro sinal: o sinal da lã (</w:t>
      </w:r>
      <w:hyperlink r:id="rId12533">
        <w:r>
          <w:rPr>
            <w:color w:val="0000EE"/>
            <w:u w:val="single"/>
          </w:rPr>
          <w:t>6.36–40</w:t>
        </w:r>
      </w:hyperlink>
      <w:r>
        <w:t>). Deve-se ter em mente que Gideão vivia em uma área onde as maravilhas de Deus eram escassas (v.</w:t>
      </w:r>
      <w:hyperlink r:id="rId12534">
        <w:r>
          <w:rPr>
            <w:color w:val="0000EE"/>
            <w:u w:val="single"/>
          </w:rPr>
          <w:t>13</w:t>
        </w:r>
      </w:hyperlink>
      <w:r>
        <w:t>) e que ele, assim como Moisés, precisava de confirmação de que Deus estava com ele. Deus respondeu à sua fé crescente. Gideão avançou com um exército muito reduzido de 300 homens contra o inimigo. Do seu exército original, 22.000 haviam partido porque estavam com medo (</w:t>
      </w:r>
      <w:hyperlink r:id="rId12535">
        <w:r>
          <w:rPr>
            <w:color w:val="0000EE"/>
            <w:u w:val="single"/>
          </w:rPr>
          <w:t>7.2–3</w:t>
        </w:r>
      </w:hyperlink>
      <w:r>
        <w:t xml:space="preserve">; cf. </w:t>
      </w:r>
      <w:hyperlink r:id="rId12536">
        <w:r>
          <w:rPr>
            <w:color w:val="0000EE"/>
            <w:u w:val="single"/>
          </w:rPr>
          <w:t>Dt 20.8</w:t>
        </w:r>
      </w:hyperlink>
      <w:r>
        <w:t>). Outros 9.700 foram mandados para casa, embora fossem homens valentes (</w:t>
      </w:r>
      <w:hyperlink r:id="rId12537">
        <w:r>
          <w:rPr>
            <w:color w:val="0000EE"/>
            <w:u w:val="single"/>
          </w:rPr>
          <w:t>7.4–8</w:t>
        </w:r>
      </w:hyperlink>
      <w:r>
        <w:t xml:space="preserve">). Após assegurar Gideão por meio de um sonho de um soldado inimigo, Deus usou os 300 de uma maneira maravilhosa para confundir os midianitas (vv. </w:t>
      </w:r>
      <w:hyperlink r:id="rId12538">
        <w:r>
          <w:rPr>
            <w:color w:val="0000EE"/>
            <w:u w:val="single"/>
          </w:rPr>
          <w:t>9–15</w:t>
        </w:r>
      </w:hyperlink>
      <w:r>
        <w:t>). Deus deu a Israel vitória sobre os líderes midianitas Orebe, Zeebe, Zeba e Salmuna (</w:t>
      </w:r>
      <w:hyperlink r:id="rId12539">
        <w:r>
          <w:rPr>
            <w:color w:val="0000EE"/>
            <w:u w:val="single"/>
          </w:rPr>
          <w:t>7.16–8.21</w:t>
        </w:r>
      </w:hyperlink>
      <w:r>
        <w:t>). Gideão sabiamente evitou uma possível confrontação militar com Efraim (</w:t>
      </w:r>
      <w:hyperlink r:id="rId12540">
        <w:r>
          <w:rPr>
            <w:color w:val="0000EE"/>
            <w:u w:val="single"/>
          </w:rPr>
          <w:t>8.1–3</w:t>
        </w:r>
      </w:hyperlink>
      <w:r>
        <w:t xml:space="preserve">), perseguiu o inimigo até bem dentro da Transjordânia e puniu os líderes de Sucote e Penuel, que não o ajudaram (vv. </w:t>
      </w:r>
      <w:hyperlink r:id="rId12541">
        <w:r>
          <w:rPr>
            <w:color w:val="0000EE"/>
            <w:u w:val="single"/>
          </w:rPr>
          <w:t>4–9,13–16</w:t>
        </w:r>
      </w:hyperlink>
      <w:r>
        <w:t>).</w:t>
      </w:r>
    </w:p>
    <w:p>
      <w:r/>
      <w:r>
        <w:t>Esta gloriosa vitória criou uma nova onda de interesse na ideia de realeza. Os homens de Israel desejaram estabelecer a família de Gideão como sua dinastia real (</w:t>
      </w:r>
      <w:hyperlink r:id="rId12542">
        <w:r>
          <w:rPr>
            <w:color w:val="0000EE"/>
            <w:u w:val="single"/>
          </w:rPr>
          <w:t>8.22</w:t>
        </w:r>
      </w:hyperlink>
      <w:r>
        <w:t xml:space="preserve">). Gideão recusou e, em vez disso, erroneamente estabeleceu um éfode, fundido a partir do ouro tomado na batalha (vv. </w:t>
      </w:r>
      <w:hyperlink r:id="rId12543">
        <w:r>
          <w:rPr>
            <w:color w:val="0000EE"/>
            <w:u w:val="single"/>
          </w:rPr>
          <w:t>23–27</w:t>
        </w:r>
      </w:hyperlink>
      <w:r>
        <w:t xml:space="preserve">). O éfode provavelmente foi usado para práticas cultuais, possivelmente adivinhação (cf. </w:t>
      </w:r>
      <w:hyperlink r:id="rId7687">
        <w:r>
          <w:rPr>
            <w:color w:val="0000EE"/>
            <w:u w:val="single"/>
          </w:rPr>
          <w:t>17.5</w:t>
        </w:r>
      </w:hyperlink>
      <w:r>
        <w:t>).</w:t>
      </w:r>
    </w:p>
    <w:p>
      <w:r/>
      <w:r>
        <w:t>A era de Gideão também chegou ao fim. Ele foi o instrumento de Deus, proporcionando descanso a Israel por 40 anos. Ele foi pai de 70 filhos e morreu em idade avançada. Deus o abençoou ricamente, mesmo que ele tenha desviado Israel com seu éfode. Depois disso, Israel voltou a adorar Baal (</w:t>
      </w:r>
      <w:hyperlink r:id="rId12544">
        <w:r>
          <w:rPr>
            <w:color w:val="0000EE"/>
            <w:u w:val="single"/>
          </w:rPr>
          <w:t>8.33–35</w:t>
        </w:r>
      </w:hyperlink>
      <w:r>
        <w:t>).</w:t>
      </w:r>
    </w:p>
    <w:p>
      <w:r/>
      <w:r>
        <w:t>Após a era de Gideão, seu filho Abimeleque tentou estabelecer uma continuidade dinástica ao se proclamar rei em Siquém (</w:t>
      </w:r>
      <w:hyperlink r:id="rId12545">
        <w:r>
          <w:rPr>
            <w:color w:val="0000EE"/>
            <w:u w:val="single"/>
          </w:rPr>
          <w:t>9.1–6</w:t>
        </w:r>
      </w:hyperlink>
      <w:r>
        <w:t xml:space="preserve">). Com o apoio de seus parentes em Siquém, Abimeleque mandou matar todos os seus irmãos, exceto Jotão (vv. </w:t>
      </w:r>
      <w:hyperlink r:id="rId12546">
        <w:r>
          <w:rPr>
            <w:color w:val="0000EE"/>
            <w:u w:val="single"/>
          </w:rPr>
          <w:t>4–5</w:t>
        </w:r>
      </w:hyperlink>
      <w:r>
        <w:t xml:space="preserve">). Após a coroação de Abimeleque, Jotão manifestou sua oposição ao irmão de forma proverbial (vv. </w:t>
      </w:r>
      <w:hyperlink r:id="rId12547">
        <w:r>
          <w:rPr>
            <w:color w:val="0000EE"/>
            <w:u w:val="single"/>
          </w:rPr>
          <w:t>7–20</w:t>
        </w:r>
      </w:hyperlink>
      <w:r>
        <w:t>) e se escondeu. Três anos depois, os esquemas malignos de Abimeleque o aprisionaram quando os cidadãos de Siquém se rebelaram. Ele atacou furiosamente a cidade e a destruiu. Pouco tempo depois, no entanto, ele foi ferido em Tebes por uma pedra de moinho lançada por uma mulher da torre onde ela havia se refugiado dele. Seu servo o livrou do sofrimento a seu pedido. Este episódio demonstra quão ruim pode ser um rei despótico. Mais uma vez, a justiça de Deus prevaleceu.</w:t>
      </w:r>
    </w:p>
    <w:p>
      <w:r/>
      <w:r>
        <w:t>Tola (</w:t>
      </w:r>
      <w:hyperlink r:id="rId12548">
        <w:r>
          <w:rPr>
            <w:color w:val="0000EE"/>
            <w:u w:val="single"/>
          </w:rPr>
          <w:t>10.1–2</w:t>
        </w:r>
      </w:hyperlink>
      <w:r>
        <w:t>)</w:t>
      </w:r>
    </w:p>
    <w:p>
      <w:r/>
      <w:r>
        <w:t>Tola foi um juiz de Issacar que julgou Israel por 23 anos.</w:t>
      </w:r>
    </w:p>
    <w:p>
      <w:r/>
      <w:r>
        <w:t>Jair (</w:t>
      </w:r>
      <w:hyperlink r:id="rId11522">
        <w:r>
          <w:rPr>
            <w:color w:val="0000EE"/>
            <w:u w:val="single"/>
          </w:rPr>
          <w:t>10.3–5</w:t>
        </w:r>
      </w:hyperlink>
      <w:r>
        <w:t>)</w:t>
      </w:r>
    </w:p>
    <w:p>
      <w:r/>
      <w:r>
        <w:t>Jair foi um juiz menor de Gileade que liderou Israel por 22 anos.</w:t>
      </w:r>
    </w:p>
    <w:p>
      <w:r/>
      <w:r>
        <w:t>Jefté (</w:t>
      </w:r>
      <w:hyperlink r:id="rId12549">
        <w:r>
          <w:rPr>
            <w:color w:val="0000EE"/>
            <w:u w:val="single"/>
          </w:rPr>
          <w:t>10.6–12.7</w:t>
        </w:r>
      </w:hyperlink>
      <w:r>
        <w:t>)</w:t>
      </w:r>
    </w:p>
    <w:p>
      <w:r/>
      <w:r>
        <w:t>Uma recapitulação (</w:t>
      </w:r>
      <w:hyperlink r:id="rId12550">
        <w:r>
          <w:rPr>
            <w:color w:val="0000EE"/>
            <w:u w:val="single"/>
          </w:rPr>
          <w:t>10.6–16</w:t>
        </w:r>
      </w:hyperlink>
      <w:r>
        <w:t>) do ciclo (idolatria, inimigos, clamor por ajuda, arrependimento momentâneo) estabelece a introdução à narrativa de Jefté. Sob ataque dos amonitas, os anciãos de Gileade pediram ajuda a Jefté (</w:t>
      </w:r>
      <w:hyperlink r:id="rId12551">
        <w:r>
          <w:rPr>
            <w:color w:val="0000EE"/>
            <w:u w:val="single"/>
          </w:rPr>
          <w:t>10.17–11.8</w:t>
        </w:r>
      </w:hyperlink>
      <w:r>
        <w:t xml:space="preserve">), que prometeu ajudá-los com a condição de que ele permanecesse como líder mesmo após a guerra (vv. </w:t>
      </w:r>
      <w:hyperlink r:id="rId12552">
        <w:r>
          <w:rPr>
            <w:color w:val="0000EE"/>
            <w:u w:val="single"/>
          </w:rPr>
          <w:t>9–10</w:t>
        </w:r>
      </w:hyperlink>
      <w:r>
        <w:t>). Em uma cerimônia solene, ele se torna seu "chefe" em Mispa (v.</w:t>
      </w:r>
      <w:hyperlink r:id="rId12553">
        <w:r>
          <w:rPr>
            <w:color w:val="0000EE"/>
            <w:u w:val="single"/>
          </w:rPr>
          <w:t>11</w:t>
        </w:r>
      </w:hyperlink>
      <w:r>
        <w:t xml:space="preserve">). Jefté iniciou uma correspondência com o rei amonita, na qual argumentou pelos direitos de Israel com base na reivindicação histórica dos israelitas à terra, conforme concedida a eles pelo Senhor (vv. </w:t>
      </w:r>
      <w:hyperlink r:id="rId12554">
        <w:r>
          <w:rPr>
            <w:color w:val="0000EE"/>
            <w:u w:val="single"/>
          </w:rPr>
          <w:t>12–27</w:t>
        </w:r>
      </w:hyperlink>
      <w:r>
        <w:t xml:space="preserve">). Em vez de ir imediatamente à guerra, ele esperava que "o Senhor, o Juiz" resolvesse a disputa (v. </w:t>
      </w:r>
      <w:hyperlink r:id="rId12555">
        <w:r>
          <w:rPr>
            <w:color w:val="0000EE"/>
            <w:u w:val="single"/>
          </w:rPr>
          <w:t>27</w:t>
        </w:r>
      </w:hyperlink>
      <w:r>
        <w:t xml:space="preserve">); mas o rei amonita não se impressionou. Quando o Espírito de Deus veio sobre ele, Jefté liderou Israel na batalha, mas apenas após fazer um voto precipitado. Ele foi vitorioso, mas descobriu que seu voto de sacrificar o que primeiro saísse de sua casa exigia que ele sacrificasse sua filha. O debate continua sobre se ele a ofereceu como sacrifício humano ou se ela sacrificou o casamento (ver discussão em </w:t>
      </w:r>
      <w:r>
        <w:t>Jefté</w:t>
      </w:r>
      <w:r>
        <w:t>).</w:t>
      </w:r>
    </w:p>
    <w:p>
      <w:r/>
      <w:r>
        <w:t>Os efraimitas pareciam ter um desejo insaciável por guerra. Anteriormente, eles haviam reclamado com Gideão, que conseguiu neutralizar suas ameaças (</w:t>
      </w:r>
      <w:hyperlink r:id="rId12540">
        <w:r>
          <w:rPr>
            <w:color w:val="0000EE"/>
            <w:u w:val="single"/>
          </w:rPr>
          <w:t>8.1–3</w:t>
        </w:r>
      </w:hyperlink>
      <w:r>
        <w:t>). Jefté, no entanto, lutou contra eles porque os israelitas que viviam na Transjordânia foram insultados como “renegados” (</w:t>
      </w:r>
      <w:hyperlink r:id="rId12556">
        <w:r>
          <w:rPr>
            <w:color w:val="0000EE"/>
            <w:u w:val="single"/>
          </w:rPr>
          <w:t>12.1–4</w:t>
        </w:r>
      </w:hyperlink>
      <w:r>
        <w:t>). Quarenta e dois mil efraimitas foram mortos nos vaus do Jordão nesta guerra civil. Depois disso, Jefté governou por apenas seis anos.</w:t>
      </w:r>
    </w:p>
    <w:p>
      <w:r/>
      <w:r>
        <w:t>Ibsã (</w:t>
      </w:r>
      <w:hyperlink r:id="rId3353">
        <w:r>
          <w:rPr>
            <w:color w:val="0000EE"/>
            <w:u w:val="single"/>
          </w:rPr>
          <w:t>12.8–10</w:t>
        </w:r>
      </w:hyperlink>
      <w:r>
        <w:t>)</w:t>
      </w:r>
    </w:p>
    <w:p>
      <w:r/>
      <w:r>
        <w:t>Ibsã foi um juiz menor de Belém que liderou Israel por sete anos.</w:t>
      </w:r>
    </w:p>
    <w:p>
      <w:r/>
      <w:r>
        <w:t>Elom (</w:t>
      </w:r>
      <w:hyperlink r:id="rId12557">
        <w:r>
          <w:rPr>
            <w:color w:val="0000EE"/>
            <w:u w:val="single"/>
          </w:rPr>
          <w:t>12.11</w:t>
        </w:r>
      </w:hyperlink>
      <w:r>
        <w:t>)</w:t>
      </w:r>
    </w:p>
    <w:p>
      <w:r/>
      <w:r>
        <w:t>Elom, um juiz de menor destaque de Zebulom, governou Israel por dez anos.</w:t>
      </w:r>
    </w:p>
    <w:p>
      <w:r/>
      <w:r>
        <w:t>Abdom (</w:t>
      </w:r>
      <w:hyperlink r:id="rId12558">
        <w:r>
          <w:rPr>
            <w:color w:val="0000EE"/>
            <w:u w:val="single"/>
          </w:rPr>
          <w:t>12.13–15</w:t>
        </w:r>
      </w:hyperlink>
      <w:r>
        <w:t>)</w:t>
      </w:r>
    </w:p>
    <w:p>
      <w:r/>
      <w:r>
        <w:t>Abdom foi um juiz menor de Piratom, cuja localização é incerta. Ele governou por oito anos.</w:t>
      </w:r>
    </w:p>
    <w:p>
      <w:r/>
      <w:r>
        <w:t>Sansão (</w:t>
      </w:r>
      <w:hyperlink r:id="rId6477">
        <w:r>
          <w:rPr>
            <w:color w:val="0000EE"/>
            <w:u w:val="single"/>
          </w:rPr>
          <w:t>13.1–16.31</w:t>
        </w:r>
      </w:hyperlink>
      <w:r>
        <w:t>)</w:t>
      </w:r>
    </w:p>
    <w:p>
      <w:r/>
      <w:r>
        <w:t>A grandeza de Sansão na história da redenção se deve ao seu nascimento milagroso (</w:t>
      </w:r>
      <w:hyperlink r:id="rId12559">
        <w:r>
          <w:rPr>
            <w:color w:val="0000EE"/>
            <w:u w:val="single"/>
          </w:rPr>
          <w:t>13.1–24</w:t>
        </w:r>
      </w:hyperlink>
      <w:r>
        <w:t>), seu serviço como nazireu (</w:t>
      </w:r>
      <w:hyperlink r:id="rId12560">
        <w:r>
          <w:rPr>
            <w:color w:val="0000EE"/>
            <w:u w:val="single"/>
          </w:rPr>
          <w:t>13.7</w:t>
        </w:r>
      </w:hyperlink>
      <w:r>
        <w:t xml:space="preserve">; cf. </w:t>
      </w:r>
      <w:hyperlink r:id="rId12561">
        <w:r>
          <w:rPr>
            <w:color w:val="0000EE"/>
            <w:u w:val="single"/>
          </w:rPr>
          <w:t>Nm 6.1–21</w:t>
        </w:r>
      </w:hyperlink>
      <w:r>
        <w:t>), as repetidas vezes que foi dominado pelo Espírito do Senhor (</w:t>
      </w:r>
      <w:hyperlink r:id="rId6474">
        <w:r>
          <w:rPr>
            <w:color w:val="0000EE"/>
            <w:u w:val="single"/>
          </w:rPr>
          <w:t>Jz 13.25</w:t>
        </w:r>
      </w:hyperlink>
      <w:r>
        <w:t xml:space="preserve">; </w:t>
      </w:r>
      <w:hyperlink r:id="rId12562">
        <w:r>
          <w:rPr>
            <w:color w:val="0000EE"/>
            <w:u w:val="single"/>
          </w:rPr>
          <w:t>14.6,19</w:t>
        </w:r>
      </w:hyperlink>
      <w:r>
        <w:t xml:space="preserve">; </w:t>
      </w:r>
      <w:hyperlink r:id="rId12563">
        <w:r>
          <w:rPr>
            <w:color w:val="0000EE"/>
            <w:u w:val="single"/>
          </w:rPr>
          <w:t>15.14</w:t>
        </w:r>
      </w:hyperlink>
      <w:r>
        <w:t xml:space="preserve">), as façanhas realizadas sozinho contra os filisteus (Asquelom, </w:t>
      </w:r>
      <w:hyperlink r:id="rId12564">
        <w:r>
          <w:rPr>
            <w:color w:val="0000EE"/>
            <w:u w:val="single"/>
          </w:rPr>
          <w:t>14.19</w:t>
        </w:r>
      </w:hyperlink>
      <w:r>
        <w:t xml:space="preserve">; os campos, </w:t>
      </w:r>
      <w:hyperlink r:id="rId12565">
        <w:r>
          <w:rPr>
            <w:color w:val="0000EE"/>
            <w:u w:val="single"/>
          </w:rPr>
          <w:t>15.1–6</w:t>
        </w:r>
      </w:hyperlink>
      <w:r>
        <w:t xml:space="preserve">; Ramate Etã, </w:t>
      </w:r>
      <w:hyperlink r:id="rId12566">
        <w:r>
          <w:rPr>
            <w:color w:val="0000EE"/>
            <w:u w:val="single"/>
          </w:rPr>
          <w:t>15.7–17</w:t>
        </w:r>
      </w:hyperlink>
      <w:r>
        <w:t xml:space="preserve">; Gaza, </w:t>
      </w:r>
      <w:hyperlink r:id="rId12567">
        <w:r>
          <w:rPr>
            <w:color w:val="0000EE"/>
            <w:u w:val="single"/>
          </w:rPr>
          <w:t>16.1–3,23–30</w:t>
        </w:r>
      </w:hyperlink>
      <w:r>
        <w:t>), e sua ocasional dependência do Senhor (</w:t>
      </w:r>
      <w:hyperlink r:id="rId12568">
        <w:r>
          <w:rPr>
            <w:color w:val="0000EE"/>
            <w:u w:val="single"/>
          </w:rPr>
          <w:t>15.18–19</w:t>
        </w:r>
      </w:hyperlink>
      <w:r>
        <w:t xml:space="preserve">; </w:t>
      </w:r>
      <w:hyperlink r:id="rId12569">
        <w:r>
          <w:rPr>
            <w:color w:val="0000EE"/>
            <w:u w:val="single"/>
          </w:rPr>
          <w:t>16.28–30</w:t>
        </w:r>
      </w:hyperlink>
      <w:r>
        <w:t xml:space="preserve">). No entanto, sua vida pessoal foi falha devido à sua fraqueza por mulheres filisteias (caps. </w:t>
      </w:r>
      <w:hyperlink r:id="rId8070">
        <w:r>
          <w:rPr>
            <w:color w:val="0000EE"/>
            <w:u w:val="single"/>
          </w:rPr>
          <w:t>14</w:t>
        </w:r>
      </w:hyperlink>
      <w:r>
        <w:t xml:space="preserve">, </w:t>
      </w:r>
      <w:hyperlink r:id="rId6490">
        <w:r>
          <w:rPr>
            <w:color w:val="0000EE"/>
            <w:u w:val="single"/>
          </w:rPr>
          <w:t>16</w:t>
        </w:r>
      </w:hyperlink>
      <w:r>
        <w:t>). Tendo sido seduzido por Dalila, ele foi preso em Gaza. Ele morreu no colapso do templo de Dagom, orando para que o Senhor lhe permitisse se vingar (</w:t>
      </w:r>
      <w:hyperlink r:id="rId12569">
        <w:r>
          <w:rPr>
            <w:color w:val="0000EE"/>
            <w:u w:val="single"/>
          </w:rPr>
          <w:t>16.28–30</w:t>
        </w:r>
      </w:hyperlink>
      <w:r>
        <w:t>). Ele foi enterrado no túmulo de seu pai no território de Dã (</w:t>
      </w:r>
      <w:hyperlink r:id="rId12570">
        <w:r>
          <w:rPr>
            <w:color w:val="0000EE"/>
            <w:u w:val="single"/>
          </w:rPr>
          <w:t>16.31</w:t>
        </w:r>
      </w:hyperlink>
      <w:r>
        <w:t>).</w:t>
      </w:r>
    </w:p>
    <w:p>
      <w:pPr>
        <w:pStyle w:val="Heading4"/>
      </w:pPr>
      <w:r>
        <w:t>Epílogo (</w:t>
      </w:r>
      <w:hyperlink r:id="rId12457">
        <w:r>
          <w:rPr>
            <w:color w:val="0000EE"/>
            <w:u w:val="single"/>
          </w:rPr>
          <w:t>17–21</w:t>
        </w:r>
      </w:hyperlink>
      <w:r>
        <w:t>)</w:t>
      </w:r>
    </w:p>
    <w:p>
      <w:r/>
      <w:r>
        <w:t xml:space="preserve">A natureza cíclica da existência de Israel era sem progresso. O descanso dos inimigos era sempre temporário. Israel ainda não estava pronto para a realeza dinástica, e, independentemente do que se diga sobre os três anos de Abimeleque, foi uma realeza do pior tipo. Israel oscilava entre a idolatria e a fé no verdadeiro Senhor. O período dos juízes era instável, marcado por individualismo mesquinho e provincialismo. No entanto, Deus permanecia soberano nos assuntos de seu povo. O epílogo contém duas histórias: a história de Miquéias e a migração dos danitas (caps. </w:t>
      </w:r>
      <w:hyperlink r:id="rId10841">
        <w:r>
          <w:rPr>
            <w:color w:val="0000EE"/>
            <w:u w:val="single"/>
          </w:rPr>
          <w:t>17–18</w:t>
        </w:r>
      </w:hyperlink>
      <w:r>
        <w:t xml:space="preserve">) e a guerra civil (caps. </w:t>
      </w:r>
      <w:hyperlink r:id="rId12571">
        <w:r>
          <w:rPr>
            <w:color w:val="0000EE"/>
            <w:u w:val="single"/>
          </w:rPr>
          <w:t>19–21</w:t>
        </w:r>
      </w:hyperlink>
      <w:r>
        <w:t>). O epílogo é unido pela frase “Naquele tempo não havia rei em Israel, e cada um fazia o que bem queria” (</w:t>
      </w:r>
      <w:hyperlink r:id="rId12459">
        <w:r>
          <w:rPr>
            <w:color w:val="0000EE"/>
            <w:u w:val="single"/>
          </w:rPr>
          <w:t>17.6</w:t>
        </w:r>
      </w:hyperlink>
      <w:r>
        <w:t xml:space="preserve">; </w:t>
      </w:r>
      <w:hyperlink r:id="rId12460">
        <w:r>
          <w:rPr>
            <w:color w:val="0000EE"/>
            <w:u w:val="single"/>
          </w:rPr>
          <w:t>18.1</w:t>
        </w:r>
      </w:hyperlink>
      <w:r>
        <w:t xml:space="preserve">; </w:t>
      </w:r>
      <w:hyperlink r:id="rId12461">
        <w:r>
          <w:rPr>
            <w:color w:val="0000EE"/>
            <w:u w:val="single"/>
          </w:rPr>
          <w:t>19.1</w:t>
        </w:r>
      </w:hyperlink>
      <w:r>
        <w:t xml:space="preserve">; </w:t>
      </w:r>
      <w:hyperlink r:id="rId12462">
        <w:r>
          <w:rPr>
            <w:color w:val="0000EE"/>
            <w:u w:val="single"/>
          </w:rPr>
          <w:t>21.25, NTLH</w:t>
        </w:r>
      </w:hyperlink>
      <w:r>
        <w:t>). A recorrência simétrica (duas vezes em cada narrativa) enfatiza a anarquia e a incapacidade das tribos de se unirem para servir a Deus como um povo de aliança.</w:t>
      </w:r>
    </w:p>
    <w:p>
      <w:r/>
      <w:r>
        <w:t>Miquéias e os danitas (</w:t>
      </w:r>
      <w:hyperlink r:id="rId10841">
        <w:r>
          <w:rPr>
            <w:color w:val="0000EE"/>
            <w:u w:val="single"/>
          </w:rPr>
          <w:t>17–18</w:t>
        </w:r>
      </w:hyperlink>
      <w:r>
        <w:t>)</w:t>
      </w:r>
    </w:p>
    <w:p>
      <w:r/>
      <w:r>
        <w:t xml:space="preserve">Miquéias era um efraimita que estabeleceu um santuário e contratou um de seus próprios filhos, e depois um levita de Belém, para servirem como seus sacerdotes (cap. </w:t>
      </w:r>
      <w:hyperlink r:id="rId12572">
        <w:r>
          <w:rPr>
            <w:color w:val="0000EE"/>
            <w:u w:val="single"/>
          </w:rPr>
          <w:t>17</w:t>
        </w:r>
      </w:hyperlink>
      <w:r>
        <w:t xml:space="preserve">). Incapazes de manter seu patrimônio, os danitas partiram para se estabelecer ao pé do Monte Hermon. Eles levaram os ídolos e o levita do santuário de Miquéias e estabeleceram uma cidade cultual na recém-estabelecida cidade de Dã, construída sobre as ruínas de Laís (cap. </w:t>
      </w:r>
      <w:hyperlink r:id="rId6472">
        <w:r>
          <w:rPr>
            <w:color w:val="0000EE"/>
            <w:u w:val="single"/>
          </w:rPr>
          <w:t>18</w:t>
        </w:r>
      </w:hyperlink>
      <w:r>
        <w:t>). Assim, eles estabeleceram um centro cultual que rivalizava com o tabernáculo em Siló (</w:t>
      </w:r>
      <w:hyperlink r:id="rId12573">
        <w:r>
          <w:rPr>
            <w:color w:val="0000EE"/>
            <w:u w:val="single"/>
          </w:rPr>
          <w:t>18.31</w:t>
        </w:r>
      </w:hyperlink>
      <w:r>
        <w:t>).</w:t>
      </w:r>
    </w:p>
    <w:p>
      <w:r/>
      <w:r>
        <w:t>A guerra civil (</w:t>
      </w:r>
      <w:hyperlink r:id="rId12571">
        <w:r>
          <w:rPr>
            <w:color w:val="0000EE"/>
            <w:u w:val="single"/>
          </w:rPr>
          <w:t>19–21</w:t>
        </w:r>
      </w:hyperlink>
      <w:r>
        <w:t>)</w:t>
      </w:r>
    </w:p>
    <w:p>
      <w:r/>
      <w:r>
        <w:t xml:space="preserve">O povo de Gibeá, que pertencia a Benjamim, abusou sexualmente da concubina de um levita até que ela morresse. Assim como o levita dos capítulos </w:t>
      </w:r>
      <w:hyperlink r:id="rId12572">
        <w:r>
          <w:rPr>
            <w:color w:val="0000EE"/>
            <w:u w:val="single"/>
          </w:rPr>
          <w:t>17</w:t>
        </w:r>
      </w:hyperlink>
      <w:r>
        <w:t xml:space="preserve"> e </w:t>
      </w:r>
      <w:hyperlink r:id="rId6472">
        <w:r>
          <w:rPr>
            <w:color w:val="0000EE"/>
            <w:u w:val="single"/>
          </w:rPr>
          <w:t>18</w:t>
        </w:r>
      </w:hyperlink>
      <w:r>
        <w:t>, ela era de Belém (</w:t>
      </w:r>
      <w:hyperlink r:id="rId12461">
        <w:r>
          <w:rPr>
            <w:color w:val="0000EE"/>
            <w:u w:val="single"/>
          </w:rPr>
          <w:t>19.1</w:t>
        </w:r>
      </w:hyperlink>
      <w:r>
        <w:t>). Dramaticamente, o levita enviou pedaços de seu cadáver a todas as tribos, que se reuniram contra os benjamitas porque protegeram os criminosos de Gibeá (</w:t>
      </w:r>
      <w:hyperlink r:id="rId12574">
        <w:r>
          <w:rPr>
            <w:color w:val="0000EE"/>
            <w:u w:val="single"/>
          </w:rPr>
          <w:t>19.29–20.19</w:t>
        </w:r>
      </w:hyperlink>
      <w:r>
        <w:t>). Na batalha que se seguiu, a população de Benjamim foi dizimada (</w:t>
      </w:r>
      <w:hyperlink r:id="rId12575">
        <w:r>
          <w:rPr>
            <w:color w:val="0000EE"/>
            <w:u w:val="single"/>
          </w:rPr>
          <w:t>20.20–48</w:t>
        </w:r>
      </w:hyperlink>
      <w:r>
        <w:t>). As 11 tribos deram a eles 400 virgens tomadas em uma guerra civil contra Jabes-Gileade (</w:t>
      </w:r>
      <w:hyperlink r:id="rId12576">
        <w:r>
          <w:rPr>
            <w:color w:val="0000EE"/>
            <w:u w:val="single"/>
          </w:rPr>
          <w:t>21.6–15</w:t>
        </w:r>
      </w:hyperlink>
      <w:r>
        <w:t>). Estas não foram suficientes, no entanto. Por causa da ameaça de extinção de Benjamim e do voto de não dar suas filhas em casamento a nenhum benjamita, os israelitas elaboraram um plano pelo qual os benjamitas poderiam tomar virgens israelitas dançando no festival em Siló. Assim, Benjamim conseguiu reconstruir suas cidades e assentamentos.</w:t>
      </w:r>
    </w:p>
    <w:p>
      <w:r/>
      <w:r>
        <w:rPr>
          <w:i/>
        </w:rPr>
        <w:t>Veja também</w:t>
      </w:r>
      <w:r>
        <w:t xml:space="preserve"> </w:t>
      </w:r>
      <w:r>
        <w:t>Gideão</w:t>
      </w:r>
      <w:r>
        <w:t xml:space="preserve">, </w:t>
      </w:r>
      <w:r>
        <w:t>Jefté</w:t>
      </w:r>
      <w:r>
        <w:t xml:space="preserve"> e </w:t>
      </w:r>
      <w:r>
        <w:t>Sansão</w:t>
      </w:r>
      <w:r>
        <w:t>.</w:t>
      </w:r>
      <w:r/>
      <w:r/>
    </w:p>
    <w:p>
      <w:r/>
    </w:p>
    <w:p>
      <w:pPr>
        <w:pStyle w:val="Heading2"/>
      </w:pPr>
      <w:r>
        <w:t>Juízo final</w:t>
      </w:r>
      <w:r/>
    </w:p>
    <w:p>
      <w:r/>
      <w:r>
        <w:t>O juízo final é o momento em que Deus julgará todos que já viveram.</w:t>
      </w:r>
    </w:p>
    <w:p>
      <w:pPr>
        <w:pStyle w:val="Heading3"/>
      </w:pPr>
      <w:r>
        <w:t>O Dia do Senhor no Antigo Testamento</w:t>
      </w:r>
    </w:p>
    <w:p>
      <w:r/>
      <w:r>
        <w:t>Muitos profetas no Antigo Testamento escreveram sobre este tempo. Eles o chamaram de "o Dia do Senhor." Eles disseram que Deus derrotaria todas as nações malignas e estabeleceria seu reino em Sião, sua cidade sagrada (</w:t>
      </w:r>
      <w:hyperlink r:id="rId12577">
        <w:r>
          <w:rPr>
            <w:color w:val="0000EE"/>
            <w:u w:val="single"/>
          </w:rPr>
          <w:t>Is 4.2</w:t>
        </w:r>
      </w:hyperlink>
      <w:r>
        <w:t xml:space="preserve">; </w:t>
      </w:r>
      <w:hyperlink r:id="rId11668">
        <w:r>
          <w:rPr>
            <w:color w:val="0000EE"/>
            <w:u w:val="single"/>
          </w:rPr>
          <w:t>11.10</w:t>
        </w:r>
      </w:hyperlink>
      <w:r>
        <w:t xml:space="preserve">; </w:t>
      </w:r>
      <w:hyperlink r:id="rId12578">
        <w:r>
          <w:rPr>
            <w:color w:val="0000EE"/>
            <w:u w:val="single"/>
          </w:rPr>
          <w:t>Jr 50.3–32</w:t>
        </w:r>
      </w:hyperlink>
      <w:r>
        <w:t xml:space="preserve">; </w:t>
      </w:r>
      <w:hyperlink r:id="rId12579">
        <w:r>
          <w:rPr>
            <w:color w:val="0000EE"/>
            <w:u w:val="single"/>
          </w:rPr>
          <w:t>Jl 2.1–3</w:t>
        </w:r>
      </w:hyperlink>
      <w:r>
        <w:t xml:space="preserve">; </w:t>
      </w:r>
      <w:hyperlink r:id="rId12580">
        <w:r>
          <w:rPr>
            <w:color w:val="0000EE"/>
            <w:u w:val="single"/>
          </w:rPr>
          <w:t>3.9–16</w:t>
        </w:r>
      </w:hyperlink>
      <w:r>
        <w:t xml:space="preserve">; </w:t>
      </w:r>
      <w:hyperlink r:id="rId7067">
        <w:r>
          <w:rPr>
            <w:color w:val="0000EE"/>
            <w:u w:val="single"/>
          </w:rPr>
          <w:t>Am 5.18–20</w:t>
        </w:r>
      </w:hyperlink>
      <w:r>
        <w:t xml:space="preserve">; </w:t>
      </w:r>
      <w:hyperlink r:id="rId6617">
        <w:r>
          <w:rPr>
            <w:color w:val="0000EE"/>
            <w:u w:val="single"/>
          </w:rPr>
          <w:t>9.11</w:t>
        </w:r>
      </w:hyperlink>
      <w:r>
        <w:t xml:space="preserve">; </w:t>
      </w:r>
      <w:hyperlink r:id="rId12581">
        <w:r>
          <w:rPr>
            <w:color w:val="0000EE"/>
            <w:u w:val="single"/>
          </w:rPr>
          <w:t>Sf 1.7–18</w:t>
        </w:r>
      </w:hyperlink>
      <w:r>
        <w:t>).</w:t>
      </w:r>
    </w:p>
    <w:p>
      <w:pPr>
        <w:pStyle w:val="Heading3"/>
      </w:pPr>
      <w:r>
        <w:t>Jesus como juiz no Novo Testamento</w:t>
      </w:r>
    </w:p>
    <w:p>
      <w:r/>
      <w:r>
        <w:t>Os escritores do Novo Testamento também escreveram sobre este juízo. Eles explicaram isso através do que Jesus ensinou e fez. Deus escolheu Jesus para ser o juiz de todos, tanto dos que estão vivos quanto dos que já morreram (</w:t>
      </w:r>
      <w:hyperlink r:id="rId12582">
        <w:r>
          <w:rPr>
            <w:color w:val="0000EE"/>
            <w:u w:val="single"/>
          </w:rPr>
          <w:t>At 10.42</w:t>
        </w:r>
      </w:hyperlink>
      <w:r>
        <w:t xml:space="preserve">; </w:t>
      </w:r>
      <w:hyperlink r:id="rId9441">
        <w:r>
          <w:rPr>
            <w:color w:val="0000EE"/>
            <w:u w:val="single"/>
          </w:rPr>
          <w:t>17.31</w:t>
        </w:r>
      </w:hyperlink>
      <w:r>
        <w:t>). Todos (tanto os que acreditam em Jesus quanto os que não acreditam) estarão diante do tribunal de juízo de Jesus. Ele os julgará com base em como viveram suas vidas (</w:t>
      </w:r>
      <w:hyperlink r:id="rId3395">
        <w:r>
          <w:rPr>
            <w:color w:val="0000EE"/>
            <w:u w:val="single"/>
          </w:rPr>
          <w:t>2Co 5.10</w:t>
        </w:r>
      </w:hyperlink>
      <w:r>
        <w:t xml:space="preserve">; compare </w:t>
      </w:r>
      <w:hyperlink r:id="rId3394">
        <w:r>
          <w:rPr>
            <w:color w:val="0000EE"/>
            <w:u w:val="single"/>
          </w:rPr>
          <w:t>Rm 14.10</w:t>
        </w:r>
      </w:hyperlink>
      <w:r>
        <w:t>).</w:t>
      </w:r>
    </w:p>
    <w:p>
      <w:pPr>
        <w:pStyle w:val="Heading3"/>
      </w:pPr>
      <w:r>
        <w:t>Padrões de Deus para o juízo</w:t>
      </w:r>
    </w:p>
    <w:p>
      <w:r/>
      <w:r>
        <w:t>Deus julgará as pessoas com base em como elas viveram. As pessoas que são fiéis ao pacto (acordo) de Deus com elas viverão, mas aquelas que se afastarem de Deus morrerão. O profeta Habacuque diz que uma pessoa boa é aquela que permanece fiel a Deus (</w:t>
      </w:r>
      <w:hyperlink r:id="rId3605">
        <w:r>
          <w:rPr>
            <w:color w:val="0000EE"/>
            <w:u w:val="single"/>
          </w:rPr>
          <w:t>Hc 2.4</w:t>
        </w:r>
      </w:hyperlink>
      <w:r>
        <w:t>). Os escritores do Novo Testamento dizem que Deus julgará as pessoas observando se suas ações o honraram (</w:t>
      </w:r>
      <w:hyperlink r:id="rId3395">
        <w:r>
          <w:rPr>
            <w:color w:val="0000EE"/>
            <w:u w:val="single"/>
          </w:rPr>
          <w:t>2Co 5.10</w:t>
        </w:r>
      </w:hyperlink>
      <w:r>
        <w:t xml:space="preserve">; </w:t>
      </w:r>
      <w:hyperlink r:id="rId12583">
        <w:r>
          <w:rPr>
            <w:color w:val="0000EE"/>
            <w:u w:val="single"/>
          </w:rPr>
          <w:t>Ap 20.12</w:t>
        </w:r>
      </w:hyperlink>
      <w:r>
        <w:t>).</w:t>
      </w:r>
    </w:p>
    <w:p>
      <w:r/>
      <w:r>
        <w:t xml:space="preserve">Mas o Novo Testamento também nos diz que ninguém cumpriu totalmente os padrões de Deus. Todos cometeram erros ("Todos pecaram e estão afastados da presença gloriosa de Deus" </w:t>
      </w:r>
      <w:hyperlink r:id="rId12584">
        <w:r>
          <w:rPr>
            <w:color w:val="0000EE"/>
            <w:u w:val="single"/>
          </w:rPr>
          <w:t>Rm 3.9,23</w:t>
        </w:r>
      </w:hyperlink>
      <w:r>
        <w:t>). No entanto, no juízo final, a questão mais importante não é se alguém cometeu erros. Em vez disso, a questão é se Deus os perdoou.</w:t>
      </w:r>
    </w:p>
    <w:p>
      <w:pPr>
        <w:pStyle w:val="Heading3"/>
      </w:pPr>
      <w:r>
        <w:t>Crentes e incrédulos no dia do juízo</w:t>
      </w:r>
    </w:p>
    <w:p>
      <w:r/>
      <w:r>
        <w:t>O Novo Testamento (</w:t>
      </w:r>
      <w:hyperlink r:id="rId12585">
        <w:r>
          <w:rPr>
            <w:color w:val="0000EE"/>
            <w:u w:val="single"/>
          </w:rPr>
          <w:t>Rm 3.21–28</w:t>
        </w:r>
      </w:hyperlink>
      <w:r>
        <w:t xml:space="preserve">; </w:t>
      </w:r>
      <w:hyperlink r:id="rId4416">
        <w:r>
          <w:rPr>
            <w:color w:val="0000EE"/>
            <w:u w:val="single"/>
          </w:rPr>
          <w:t>5.1–21</w:t>
        </w:r>
      </w:hyperlink>
      <w:r>
        <w:t>) descreve esse perdão como sendo justificado diante de Deus (justificação) e tendo um relacionamento restaurado com Ele (reconciliação). As pessoas podem receber esse perdão porque Jesus morreu e ressuscitou. Sua vida perfeita e morte tornam possível que todos sejam perdoados e tenham vida eterna (</w:t>
      </w:r>
      <w:hyperlink r:id="rId10951">
        <w:r>
          <w:rPr>
            <w:color w:val="0000EE"/>
            <w:u w:val="single"/>
          </w:rPr>
          <w:t>Rm 5.18</w:t>
        </w:r>
      </w:hyperlink>
      <w:r>
        <w:t>).</w:t>
      </w:r>
    </w:p>
    <w:p>
      <w:r/>
      <w:r>
        <w:t>As pessoas que confiam em Jesus não serão condenadas (</w:t>
      </w:r>
      <w:hyperlink r:id="rId7394">
        <w:r>
          <w:rPr>
            <w:color w:val="0000EE"/>
            <w:u w:val="single"/>
          </w:rPr>
          <w:t>Jó 3.16–18</w:t>
        </w:r>
      </w:hyperlink>
      <w:r>
        <w:t>). Elas podem enfrentar o dia do juízosem medo (</w:t>
      </w:r>
      <w:hyperlink r:id="rId7037">
        <w:r>
          <w:rPr>
            <w:color w:val="0000EE"/>
            <w:u w:val="single"/>
          </w:rPr>
          <w:t>1Jo 4.17</w:t>
        </w:r>
      </w:hyperlink>
      <w:r>
        <w:t>). Seus nomes estão escritos em um livro especial, chamado o Livro da Vida, o qual pertence ao Cordeiro (</w:t>
      </w:r>
      <w:hyperlink r:id="rId12586">
        <w:r>
          <w:rPr>
            <w:color w:val="0000EE"/>
            <w:u w:val="single"/>
          </w:rPr>
          <w:t>Ap 21.27</w:t>
        </w:r>
      </w:hyperlink>
      <w:r>
        <w:t>). Mas as pessoas que não acreditam em Jesus estarão diante dele sozinhas quando forem julgadas. Jesus as julgará com base no que fizeram, o que está registrado em seus livros (</w:t>
      </w:r>
      <w:hyperlink r:id="rId12587">
        <w:r>
          <w:rPr>
            <w:color w:val="0000EE"/>
            <w:u w:val="single"/>
          </w:rPr>
          <w:t>Ap 20.11,12</w:t>
        </w:r>
      </w:hyperlink>
      <w:r>
        <w:t>).</w:t>
      </w:r>
    </w:p>
    <w:p>
      <w:r/>
      <w:r>
        <w:rPr>
          <w:i/>
        </w:rPr>
        <w:t>Veja também</w:t>
      </w:r>
      <w:r>
        <w:t xml:space="preserve"> </w:t>
      </w:r>
      <w:r>
        <w:t>Dia do Senhor</w:t>
      </w:r>
      <w:r>
        <w:t xml:space="preserve">; </w:t>
      </w:r>
      <w:r>
        <w:t>Escatologia</w:t>
      </w:r>
      <w:r>
        <w:t xml:space="preserve">; </w:t>
      </w:r>
      <w:r>
        <w:t>Julgamento</w:t>
      </w:r>
      <w:r>
        <w:t xml:space="preserve">; </w:t>
      </w:r>
      <w:r>
        <w:t>Tribunal do juízo</w:t>
      </w:r>
      <w:r>
        <w:t xml:space="preserve">; </w:t>
      </w:r>
      <w:r>
        <w:t>Últimos dias</w:t>
      </w:r>
      <w:r>
        <w:t xml:space="preserve">; </w:t>
      </w:r>
      <w:r>
        <w:t>Ira de Deus</w:t>
      </w:r>
      <w:r>
        <w:t>.</w:t>
      </w:r>
      <w:r/>
      <w:r/>
    </w:p>
    <w:p>
      <w:r/>
    </w:p>
    <w:p>
      <w:pPr>
        <w:pStyle w:val="Heading2"/>
      </w:pPr>
      <w:r>
        <w:t>Julgamento</w:t>
      </w:r>
      <w:r/>
    </w:p>
    <w:p>
      <w:r/>
      <w:r>
        <w:t>Conceito nas Escrituras intimamente relacionado ao conceito de justiça de Deus. Em todos os seus relacionamentos, Deus age de forma justa e moral. Os seres humanos, criados por Deus, têm uma dimensão moral, para que possam responder positivamente às exigências justas de Deus em suas vidas. O julgamento divino, envolvendo a aprovação ou desaprovação de Deus sobre cada ato humano, é uma consequência natural da relação Criador-criatura. Assim, o julgamento, simplesmente definido, é a resposta divina à atividade humana. Deus, o Criador, também deve ser Deus, o Juiz. Como Deus é justo, ele responde com punição ou recompensa ao que cada pessoa faz. A responsabilidade moral de um humano perante Deus (uma qualidade não compartilhada pelo restante da criação) é um ingrediente essencial de ser criado à imagem de Deus. A criação à imagem divina significa que Deus e o homem podem se comunicar de tal forma que todas as pessoas são capazes de entender os requisitos morais de Deus e responder a eles de bom grado. Entre os vários comandos positivos dados às pessoas em sua criação original — including o casamento, o domínio da terra e o desfrute do Jardim do Éden — estava o comando negativo que proibia o consumo do fruto de uma árvore. A desobediência a esta proibição trazia a ameaça de morte como punição (</w:t>
      </w:r>
      <w:hyperlink r:id="rId294">
        <w:r>
          <w:rPr>
            <w:color w:val="0000EE"/>
            <w:u w:val="single"/>
          </w:rPr>
          <w:t>Gn 2.16–17</w:t>
        </w:r>
      </w:hyperlink>
      <w:r>
        <w:t xml:space="preserve">). </w:t>
      </w:r>
      <w:hyperlink r:id="rId2628">
        <w:r>
          <w:rPr>
            <w:color w:val="0000EE"/>
            <w:u w:val="single"/>
          </w:rPr>
          <w:t>Gênesis 3</w:t>
        </w:r>
      </w:hyperlink>
      <w:r>
        <w:t xml:space="preserve"> contém o relato do primeiro julgamento de Deus, aquele contra Adão. Ele foi punido com a morte, pois não viveu dentro das regulamentações morais estabelecidas por Deus (</w:t>
      </w:r>
      <w:hyperlink r:id="rId11008">
        <w:r>
          <w:rPr>
            <w:color w:val="0000EE"/>
            <w:u w:val="single"/>
          </w:rPr>
          <w:t>3.17–19</w:t>
        </w:r>
      </w:hyperlink>
      <w:r>
        <w:t>). Em um sentido puramente técnico, o julgamento inclui a aprovação de Deus sobre atos que o agradam; mais frequentemente, o julgamento é entendido negativamente no sentido de que Deus pune aqueles que violam seus comandos. Desde a queda, toda atividade humana está sob o julgamento negativo de Deus (</w:t>
      </w:r>
      <w:hyperlink r:id="rId12588">
        <w:r>
          <w:rPr>
            <w:color w:val="0000EE"/>
            <w:u w:val="single"/>
          </w:rPr>
          <w:t>Rm 2.12</w:t>
        </w:r>
      </w:hyperlink>
      <w:r>
        <w:t>).</w:t>
      </w:r>
    </w:p>
    <w:p>
      <w:pPr>
        <w:pStyle w:val="Heading3"/>
      </w:pPr>
      <w:r>
        <w:t>Julgamento nesta vida</w:t>
      </w:r>
    </w:p>
    <w:p>
      <w:r/>
      <w:r>
        <w:t>A ideia cristã da expiação, que Cristo morreu pelo pecado no lugar do homem, depende da premissa de que Deus responsabiliza os humanos por seus pecados. Mas Deus enviou seu Filho para lidar com esse problema. O Filho voluntariamente se colocou sob o julgamento de Deus e, no lugar das pessoas, recebeu o castigo divino (</w:t>
      </w:r>
      <w:hyperlink r:id="rId6300">
        <w:r>
          <w:rPr>
            <w:color w:val="0000EE"/>
            <w:u w:val="single"/>
          </w:rPr>
          <w:t>Gl 3.13</w:t>
        </w:r>
      </w:hyperlink>
      <w:r>
        <w:t>). A morte de Cristo pelo pecado pode, portanto, ser considerada a manifestação extrema do julgamento divino. Deus, como juiz, visita sobre a alma de Cristo em sua crucificação o julgamento divino total contra o pecado.</w:t>
      </w:r>
    </w:p>
    <w:p>
      <w:r/>
      <w:r>
        <w:t>Através da fé, trazida pelo Espírito Santo e alimentada pela Palavra, um crente torna-se um com Cristo e assim escapa do julgamento divino e é resgatado do castigo (</w:t>
      </w:r>
      <w:hyperlink r:id="rId4437">
        <w:r>
          <w:rPr>
            <w:color w:val="0000EE"/>
            <w:u w:val="single"/>
          </w:rPr>
          <w:t>Rm 3.22</w:t>
        </w:r>
      </w:hyperlink>
      <w:r>
        <w:t>). Aqueles que, pela fé, compartilham dos benefícios da morte de Cristo estão diante do Juiz divino e recebem um veredito de “inocente” e, em vez de punição e retribuição divina, recebem uma sentença de vida eterna. Jesus diz daqueles que creem nele que já passaram pelo julgamento, escaparam da morte e já estão compartilhando da vida eterna (</w:t>
      </w:r>
      <w:hyperlink r:id="rId11857">
        <w:r>
          <w:rPr>
            <w:color w:val="0000EE"/>
            <w:u w:val="single"/>
          </w:rPr>
          <w:t>Jo 5.24</w:t>
        </w:r>
      </w:hyperlink>
      <w:r>
        <w:t>).</w:t>
      </w:r>
    </w:p>
    <w:p>
      <w:r/>
      <w:r>
        <w:t>Embora os pecados tenham sido expiados por Cristo, cada pessoa — crente e descrente — ainda sofre certas consequências de seus pecados aqui nesta vida. Para cada ação humana há uma reação divina (</w:t>
      </w:r>
      <w:hyperlink r:id="rId12589">
        <w:r>
          <w:rPr>
            <w:color w:val="0000EE"/>
            <w:u w:val="single"/>
          </w:rPr>
          <w:t>Rm 2.6</w:t>
        </w:r>
      </w:hyperlink>
      <w:r>
        <w:t xml:space="preserve">). Paulo fala sobre a consciência, que manifesta uma série de julgamentos mesmo sobre as ações daqueles que não conhecem o verdadeiro Deus (v. </w:t>
      </w:r>
      <w:hyperlink r:id="rId12590">
        <w:r>
          <w:rPr>
            <w:color w:val="0000EE"/>
            <w:u w:val="single"/>
          </w:rPr>
          <w:t>15</w:t>
        </w:r>
      </w:hyperlink>
      <w:r>
        <w:t>).</w:t>
      </w:r>
    </w:p>
    <w:p>
      <w:r/>
      <w:r>
        <w:t>Os governos também são manifestações do julgamento divino sobre as ações públicas do homem em relação à lei. A justiça civil, embora muitas vezes corrompida, é um meio pelo qual Deus executa o julgamento temporal sobre qualquer infração da lei nesta vida (</w:t>
      </w:r>
      <w:hyperlink r:id="rId12591">
        <w:r>
          <w:rPr>
            <w:color w:val="0000EE"/>
            <w:u w:val="single"/>
          </w:rPr>
          <w:t>Rm 13.1–2</w:t>
        </w:r>
      </w:hyperlink>
      <w:r>
        <w:t>). Os crimes públicos contra a sociedade não são os únicos pecados sujeitos ao julgamento divino.</w:t>
      </w:r>
    </w:p>
    <w:p>
      <w:r/>
      <w:r>
        <w:t>Além das acusações da consciência contra até os pecados mais privados, cada ação humana traz consigo potencial recompensa ou punição. Viver dentro dos limites morais estabelecidos por Deus, especialmente como são revelados nos Dez Mandamentos e mais explicados no restante das Escrituras, resulta em certos benefícios físicos nesta vida. Viver em desrespeito à lei moral resulta em penalidades e dificuldades apropriadas à infração (</w:t>
      </w:r>
      <w:hyperlink r:id="rId11018">
        <w:r>
          <w:rPr>
            <w:color w:val="0000EE"/>
            <w:u w:val="single"/>
          </w:rPr>
          <w:t>Gl 6.7–8</w:t>
        </w:r>
      </w:hyperlink>
      <w:r>
        <w:t>). Por exemplo, a recusa em trabalhar pode resultar em pobreza, e o excesso pode resultar em saúde precária. Algumas atividades trazem suas próprias penalidades. Os cristãos não devem concluir, no entanto, que a presença de calamidades na vida de uma pessoa deve indicar um julgamento específico de Deus contra um pecado particular. Deus pode usar calamidades na vida de um cristão para guiá-lo providencialmente ao objetivo da vida eterna (</w:t>
      </w:r>
      <w:hyperlink r:id="rId12592">
        <w:r>
          <w:rPr>
            <w:color w:val="0000EE"/>
            <w:u w:val="single"/>
          </w:rPr>
          <w:t>1Pe 4.12–13</w:t>
        </w:r>
      </w:hyperlink>
      <w:r>
        <w:t>).</w:t>
      </w:r>
    </w:p>
    <w:p>
      <w:r/>
      <w:r>
        <w:t>Por causa do pecado de Adão, a criação foi sujeita a um julgamento de corrupção (</w:t>
      </w:r>
      <w:hyperlink r:id="rId12593">
        <w:r>
          <w:rPr>
            <w:color w:val="0000EE"/>
            <w:u w:val="single"/>
          </w:rPr>
          <w:t>Gn 3.17</w:t>
        </w:r>
      </w:hyperlink>
      <w:r>
        <w:t>). Toda a vida humana participa de uma deterioração que é uma manifestação do julgamento divino contra o pecado que se originou com Adão. Deus permanece soberano mesmo sobre a corrupção universal e é capaz de direcioná-la e controlá-la para seus propósitos finais (</w:t>
      </w:r>
      <w:hyperlink r:id="rId12594">
        <w:r>
          <w:rPr>
            <w:color w:val="0000EE"/>
            <w:u w:val="single"/>
          </w:rPr>
          <w:t>Rm 8.20</w:t>
        </w:r>
      </w:hyperlink>
      <w:r>
        <w:t xml:space="preserve">). Assim, ele pode usar calamidades para o benefício da vida do cristão (v. </w:t>
      </w:r>
      <w:hyperlink r:id="rId12595">
        <w:r>
          <w:rPr>
            <w:color w:val="0000EE"/>
            <w:u w:val="single"/>
          </w:rPr>
          <w:t>28</w:t>
        </w:r>
      </w:hyperlink>
      <w:r>
        <w:t>), mas também pode usá-las para manifestar sua ira sobre aqueles que persistem em pecado deliberado e que rejeitam seu Filho Jesus Cristo como o redentor do pecado. Faraó, que reconheceu Moisés como profeta de Deus e ainda assim o rejeitou e sua mensagem, é um exemplo claro de uma pessoa que recebeu o julgamento de Deus (</w:t>
      </w:r>
      <w:hyperlink r:id="rId12596">
        <w:r>
          <w:rPr>
            <w:color w:val="0000EE"/>
            <w:u w:val="single"/>
          </w:rPr>
          <w:t>Êx 10.20</w:t>
        </w:r>
      </w:hyperlink>
      <w:r>
        <w:t>). Os judeus que viram os milagres de Jesus e rejeitaram suas reivindicações de ser o Messias também estão entre aqueles que receberam o julgamento de Deus enquanto viviam (</w:t>
      </w:r>
      <w:hyperlink r:id="rId12597">
        <w:r>
          <w:rPr>
            <w:color w:val="0000EE"/>
            <w:u w:val="single"/>
          </w:rPr>
          <w:t>Mt 12.22–32</w:t>
        </w:r>
      </w:hyperlink>
      <w:r>
        <w:t>).</w:t>
      </w:r>
    </w:p>
    <w:p>
      <w:r/>
      <w:r>
        <w:t>Através de guerras e da criação e destruição de nações, Deus executa julgamento coletivamente contra povos inteiros. O AT registra a ascensão e queda de nações e de reis. A recusa em reconhecer e adorar o verdadeiro Deus e seguir suas leis eventualmente e certamente resulta na extinção nacional. A destruição de Nínive e Israel no AT e Jerusalém no NT são exemplos claros do julgamento de Deus contra povos inteiros que rejeitam sua mensagem de salvação. O desrespeito público à lei moral deve resultar na desintegração nacional, que é frequentemente agravada pela invasão por uma nação estrangeira. A destruição de Sodoma e Gomorra foi o resultado direto da licença imoral (</w:t>
      </w:r>
      <w:hyperlink r:id="rId12598">
        <w:r>
          <w:rPr>
            <w:color w:val="0000EE"/>
            <w:u w:val="single"/>
          </w:rPr>
          <w:t>Jd 1.7</w:t>
        </w:r>
      </w:hyperlink>
      <w:r>
        <w:t>).</w:t>
      </w:r>
    </w:p>
    <w:p>
      <w:pPr>
        <w:pStyle w:val="Heading3"/>
      </w:pPr>
      <w:r>
        <w:t>Juízo final</w:t>
      </w:r>
    </w:p>
    <w:p>
      <w:r/>
      <w:r>
        <w:t>O julgamento em seu sentido final e último é melhor entendido como a aparição de Jesus Cristo no último dia. Naquele momento, os crentes herdarão a vida eterna e os descrentes serão condenados. O cristão não teme esse momento, porque já foi absolvido em Cristo Jesus. O descrente teme a morte com razão. A causa do julgamento horrível e imutável é a rejeição persistente da oferta de salvação de Deus. Este é o pecado contra o Espírito Santo (</w:t>
      </w:r>
      <w:hyperlink r:id="rId3820">
        <w:r>
          <w:rPr>
            <w:color w:val="0000EE"/>
            <w:u w:val="single"/>
          </w:rPr>
          <w:t>Mt 12.32</w:t>
        </w:r>
      </w:hyperlink>
      <w:r>
        <w:t>). Aqueles que caem sob sua condenação são aqueles que ouviram a mensagem especial de Deus para eles e estão convencidos de sua verdade, mas que, no entanto, persistem em rejeitar essa salvação. Assim como o descrente rejeitou Deus nesta vida, Deus o rejeita em sua morte para sempre.</w:t>
      </w:r>
    </w:p>
    <w:p>
      <w:r/>
      <w:r>
        <w:t>Além deste julgamento individual, todas as nações aparecerão diante de Jesus (</w:t>
      </w:r>
      <w:hyperlink r:id="rId12599">
        <w:r>
          <w:rPr>
            <w:color w:val="0000EE"/>
            <w:u w:val="single"/>
          </w:rPr>
          <w:t>Mt 25.31–32</w:t>
        </w:r>
      </w:hyperlink>
      <w:r>
        <w:t xml:space="preserve">). O destino de todos aqueles que aparecem diante do Juiz já foi selado. As Escrituras ensinam que há um julgamento naquele último dia que será feito com base nas obras (v. </w:t>
      </w:r>
      <w:hyperlink r:id="rId1172">
        <w:r>
          <w:rPr>
            <w:color w:val="0000EE"/>
            <w:u w:val="single"/>
          </w:rPr>
          <w:t>31–46</w:t>
        </w:r>
      </w:hyperlink>
      <w:r>
        <w:t>). Isso não deve ser visto como uma negação e contradição do princípio de que se é salvo somente pela fé. As pessoas entram em um relacionamento salvador com Jesus Cristo somente pela fé, sem obras. A fé é conhecida apenas por Deus e, por si só, não é visível para os outros. A evidência da presença da fé são as obras.</w:t>
      </w:r>
    </w:p>
    <w:p>
      <w:r/>
      <w:r>
        <w:t xml:space="preserve">Os julgamentos de Deus sobre as pessoas nesta vida podem ser benéficos porque, através desses julgamentos, Ele está chamando-as ao arrependimento. O julgamento do último dia será final; ninguém terá permissão para se arrepender ou mudar de ideia sobre Deus. Naquele dia, todos reconhecerão a veracidade das reivindicações de Deus em Cristo Jesus, mas somente aqueles que creram nele e cumpriram sua vontade em suas vidas receberão o convite para entrar na vida eterna (v. </w:t>
      </w:r>
      <w:hyperlink r:id="rId10546">
        <w:r>
          <w:rPr>
            <w:color w:val="0000EE"/>
            <w:u w:val="single"/>
          </w:rPr>
          <w:t>34</w:t>
        </w:r>
      </w:hyperlink>
      <w:r>
        <w:t>).</w:t>
      </w:r>
    </w:p>
    <w:p>
      <w:pPr>
        <w:pStyle w:val="Heading3"/>
      </w:pPr>
      <w:r>
        <w:t>Implicações práticas</w:t>
      </w:r>
    </w:p>
    <w:p>
      <w:r/>
      <w:r>
        <w:t>Os cristãos vivem uma vida positiva e confiante sabendo que Jesus tomou o julgamento divino por eles e, assim, estão livres de qualquer retribuição divina adicional. Ao mesmo tempo, estão cientes do julgamento de Deus contra todos os pecados, incluindo os dos cristãos, e que, sem Cristo, sofreriam o pior castigo divino possível. Eles veem o mal e as calamidades desta vida como o desagrado contínuo de Deus com o pecado. Quando eles vêm, os cristãos os usam como oportunidades para examinar suas próprias almas e para arrependimento. Embora não estejam cientes da data exata do último dia, eles se preparam a cada dia para o julgamento final.</w:t>
      </w:r>
    </w:p>
    <w:p>
      <w:pPr>
        <w:pStyle w:val="Heading3"/>
      </w:pPr>
      <w:r>
        <w:t>Conclusão</w:t>
      </w:r>
    </w:p>
    <w:p>
      <w:r/>
      <w:r>
        <w:t>O conceito de julgamento abrange toda a história da raça humana — desde a queda até o último dia. Deus, como um Deus justo que vê uma diferença decisiva entre o bem e o mal, não tem escolha a não ser realizar o julgamento sobre todas as pessoas em suas vidas diárias e especialmente na conclusão da vida. Deus, em sua graça, enviou seu Filho para sofrer o julgamento que merecíamos, e em sua misericórdia adia o Dia Final do Julgamento para que possamos chegar ao arrependimento pela fé em Jesus Cristo (</w:t>
      </w:r>
      <w:hyperlink r:id="rId5495">
        <w:r>
          <w:rPr>
            <w:color w:val="0000EE"/>
            <w:u w:val="single"/>
          </w:rPr>
          <w:t>2Pe 3.9</w:t>
        </w:r>
      </w:hyperlink>
      <w:r>
        <w:t>). Os grandes conceitos de criação, justiça, lei, salvação e expiação atingem seu clímax no julgamento divino do último dia.</w:t>
      </w:r>
    </w:p>
    <w:p>
      <w:r/>
      <w:r>
        <w:rPr>
          <w:i/>
        </w:rPr>
        <w:t>Veja também</w:t>
      </w:r>
      <w:r>
        <w:t xml:space="preserve"> </w:t>
      </w:r>
      <w:r>
        <w:t>Inferno</w:t>
      </w:r>
      <w:r>
        <w:t xml:space="preserve">; </w:t>
      </w:r>
      <w:r>
        <w:t>Tribunal de julgamento</w:t>
      </w:r>
      <w:r>
        <w:t xml:space="preserve">; </w:t>
      </w:r>
      <w:r>
        <w:t>Justificação, Justificado</w:t>
      </w:r>
      <w:r>
        <w:t xml:space="preserve">; </w:t>
      </w:r>
      <w:r>
        <w:t>Juízo Final</w:t>
      </w:r>
      <w:r>
        <w:t xml:space="preserve">; </w:t>
      </w:r>
      <w:r>
        <w:t>Segunda vinda de Cristo</w:t>
      </w:r>
      <w:r>
        <w:t xml:space="preserve">; </w:t>
      </w:r>
      <w:r>
        <w:t>Ira de Deus</w:t>
      </w:r>
      <w:r>
        <w:t>.</w:t>
      </w:r>
      <w:r/>
      <w:r/>
    </w:p>
    <w:p>
      <w:r/>
    </w:p>
    <w:p>
      <w:pPr>
        <w:pStyle w:val="Heading2"/>
      </w:pPr>
      <w:r>
        <w:t>Julgamento, Palácio de</w:t>
      </w:r>
      <w:r/>
    </w:p>
    <w:p>
      <w:r/>
      <w:r>
        <w:t xml:space="preserve">Palácio é a tradução da NTLH do Novo Testamento para a palavra </w:t>
      </w:r>
      <w:r>
        <w:rPr>
          <w:i/>
        </w:rPr>
        <w:t>praitorion</w:t>
      </w:r>
      <w:r>
        <w:t xml:space="preserve"> em </w:t>
      </w:r>
      <w:hyperlink r:id="rId12600">
        <w:r>
          <w:rPr>
            <w:color w:val="0000EE"/>
            <w:u w:val="single"/>
          </w:rPr>
          <w:t>João 18.28,33</w:t>
        </w:r>
      </w:hyperlink>
      <w:r>
        <w:t xml:space="preserve">; </w:t>
      </w:r>
      <w:hyperlink r:id="rId12601">
        <w:r>
          <w:rPr>
            <w:color w:val="0000EE"/>
            <w:u w:val="single"/>
          </w:rPr>
          <w:t>19.9</w:t>
        </w:r>
      </w:hyperlink>
      <w:r>
        <w:t xml:space="preserve">; </w:t>
      </w:r>
      <w:hyperlink r:id="rId12602">
        <w:r>
          <w:rPr>
            <w:color w:val="0000EE"/>
            <w:u w:val="single"/>
          </w:rPr>
          <w:t>Atos 23.35</w:t>
        </w:r>
      </w:hyperlink>
      <w:r>
        <w:t>. Algumas versões da Bíblia traduzem essa palavra como “pretório“. Outras traduzem como “salão comum“.</w:t>
      </w:r>
    </w:p>
    <w:p>
      <w:r/>
      <w:r>
        <w:t>A palavra foi usada pela primeira vez para designar o local onde ficava a tenda do general romano em um acampamento militar, referindo-se ao escritório principal do acampamento. Posteriormente, passou a significar o conselho militar que se reunia na tenda do general. Mais tarde, foi utilizada para o palácio onde o governador romano ou procurador residia enquanto governava uma região. Também identificava o escritório principal do exército e o acampamento que abrigava o exército em conexão com o local de residência do governador.</w:t>
      </w:r>
    </w:p>
    <w:p>
      <w:r/>
      <w:r>
        <w:t>Em Jerusalém, havia o palácio que Herodes, o Grande, havia construído para si mesmo. Quando o governador romano vinha de sua residência habitual em Cesareia para Jerusalém, ele morava no palácio de Herodes. Ele realizava seus negócios oficiais lá. Foi lá que Pilatos interrogou Jesus (</w:t>
      </w:r>
      <w:hyperlink r:id="rId4666">
        <w:r>
          <w:rPr>
            <w:color w:val="0000EE"/>
            <w:u w:val="single"/>
          </w:rPr>
          <w:t>Jo 18.28</w:t>
        </w:r>
      </w:hyperlink>
      <w:r>
        <w:t xml:space="preserve">; </w:t>
      </w:r>
      <w:hyperlink r:id="rId12601">
        <w:r>
          <w:rPr>
            <w:color w:val="0000EE"/>
            <w:u w:val="single"/>
          </w:rPr>
          <w:t>19.9</w:t>
        </w:r>
      </w:hyperlink>
      <w:r>
        <w:t>). Foi em outro lugar chamado "Calçada de Pedra" que Pilatos se sentou para julgar e entregou Jesus aos judeus.</w:t>
      </w:r>
      <w:r/>
      <w:r/>
    </w:p>
    <w:p>
      <w:r/>
    </w:p>
    <w:p>
      <w:pPr>
        <w:pStyle w:val="Heading2"/>
      </w:pPr>
      <w:r>
        <w:t>Júlio</w:t>
      </w:r>
      <w:r/>
    </w:p>
    <w:p>
      <w:r/>
      <w:r>
        <w:t>Centurião romano da corte de Augusto que escoltou o apóstolo Paulo e outros prisioneiros da Palestina para Roma (</w:t>
      </w:r>
      <w:hyperlink r:id="rId2833">
        <w:r>
          <w:rPr>
            <w:color w:val="0000EE"/>
            <w:u w:val="single"/>
          </w:rPr>
          <w:t>At 27.1</w:t>
        </w:r>
      </w:hyperlink>
      <w:r>
        <w:t xml:space="preserve">). Os líderes judeus em Jerusalém acusaram Paulo de ensinar doutrinas falsas e profanar o templo. Devido à indecisão de dois governadores romanos sucessivos, Paulo ficou preso por mais de dois anos e finalmente apelou para César. Júlio era um homem bondoso. Ele permitiu que Paulo deixasse o navio em Sidom para ser confortado por seus amigos (v. </w:t>
      </w:r>
      <w:hyperlink r:id="rId12603">
        <w:r>
          <w:rPr>
            <w:color w:val="0000EE"/>
            <w:u w:val="single"/>
          </w:rPr>
          <w:t>3</w:t>
        </w:r>
      </w:hyperlink>
      <w:r>
        <w:t xml:space="preserve">). No entanto, em sua ânsia de levar os prisioneiros para Roma, Júlio ignorou o conselho de Paulo de passar o inverno em Bons Portos. Em vez disso, ele ordenou que o navio navegasse para Fênix, outro porto em Creta, que era mais adequado para ancorar no inverno (vv. </w:t>
      </w:r>
      <w:hyperlink r:id="rId12604">
        <w:r>
          <w:rPr>
            <w:color w:val="0000EE"/>
            <w:u w:val="single"/>
          </w:rPr>
          <w:t>9–12</w:t>
        </w:r>
      </w:hyperlink>
      <w:r>
        <w:t xml:space="preserve">). Durante a viagem, uma tempestade naufragou o navio. Os soldados a bordo queriam matar os prisioneiros por medo de que escapassem, mas Júlio impediu esse massacre, ordenando que todos pulassem do navio e nadassem até a costa. Essa decisão poupou a vida de Paulo (vv. </w:t>
      </w:r>
      <w:hyperlink r:id="rId12605">
        <w:r>
          <w:rPr>
            <w:color w:val="0000EE"/>
            <w:u w:val="single"/>
          </w:rPr>
          <w:t>42–44</w:t>
        </w:r>
      </w:hyperlink>
      <w:r>
        <w:t>). Alguns estudiosos conjecturam que Júlio foi o soldado que ficou com Paulo em Roma (</w:t>
      </w:r>
      <w:hyperlink r:id="rId12606">
        <w:r>
          <w:rPr>
            <w:color w:val="0000EE"/>
            <w:u w:val="single"/>
          </w:rPr>
          <w:t>28.16</w:t>
        </w:r>
      </w:hyperlink>
      <w:r>
        <w:t>).</w:t>
      </w:r>
      <w:r/>
      <w:r/>
    </w:p>
    <w:p>
      <w:r/>
    </w:p>
    <w:p>
      <w:pPr>
        <w:pStyle w:val="Heading2"/>
      </w:pPr>
      <w:r>
        <w:t>Júpiter</w:t>
      </w:r>
      <w:r/>
    </w:p>
    <w:p>
      <w:r/>
      <w:r>
        <w:t>Júpiter é o deus supremo nas crenças romanas, equivalente a Zeus na mitologia grega. Júpiter era filho de Saturno e marido, além de irmão, de Juno.</w:t>
      </w:r>
    </w:p>
    <w:p>
      <w:r/>
      <w:r>
        <w:t>Júpiter (também chamado de "Jove") era o deus do destino. Sua arma era o raio. As pessoas consideravam a águia, o carvalho e a oliveira sagrados em sua adoração. Havia um templo de Júpiter em Roma no Monte Capitolino. Durante o governo de Adriano (de 117 a 138 d.C.), o povo construiu um templo de Júpiter Capitolino sobre as ruínas do templo judaico em Jerusalém.</w:t>
      </w:r>
    </w:p>
    <w:p>
      <w:r/>
      <w:r>
        <w:t>Durante sua primeira viagem missionária, os apóstolos Barnabé e Paulo foram a Listra. O povo de Listra pensou que eles eram deuses que tinham descido para visitá-los (</w:t>
      </w:r>
      <w:hyperlink r:id="rId6919">
        <w:r>
          <w:rPr>
            <w:color w:val="0000EE"/>
            <w:u w:val="single"/>
          </w:rPr>
          <w:t>At 14.12,13</w:t>
        </w:r>
      </w:hyperlink>
      <w:r>
        <w:t>). Eles acreditavam que Barnabé era Zeus (ou Júpiter) e Paulo era Hermes (ou Mercúrio).</w:t>
      </w:r>
      <w:r/>
      <w:r/>
    </w:p>
    <w:p>
      <w:r/>
    </w:p>
    <w:p>
      <w:pPr>
        <w:pStyle w:val="Heading2"/>
      </w:pPr>
      <w:r>
        <w:t>Juramento</w:t>
      </w:r>
      <w:r/>
    </w:p>
    <w:p>
      <w:r/>
      <w:r>
        <w:t>Um voto solene ou promessa de cumprir um compromisso.</w:t>
      </w:r>
    </w:p>
    <w:p>
      <w:r/>
      <w:r>
        <w:t>Dois termos em hebraico significam "juramento":</w:t>
      </w:r>
    </w:p>
    <w:p>
      <w:pPr>
        <w:pStyle w:val="ListNumber"/>
        <w:spacing w:line="240" w:lineRule="auto"/>
        <w:ind w:left="720"/>
      </w:pPr>
      <w:r/>
      <w:r>
        <w:rPr>
          <w:i/>
        </w:rPr>
        <w:t>'ala</w:t>
      </w:r>
    </w:p>
    <w:p>
      <w:pPr>
        <w:pStyle w:val="ListNumber"/>
        <w:spacing w:line="240" w:lineRule="auto"/>
        <w:ind w:left="720"/>
      </w:pPr>
      <w:r/>
      <w:r>
        <w:rPr>
          <w:i/>
        </w:rPr>
        <w:t>sebuá</w:t>
      </w:r>
    </w:p>
    <w:p>
      <w:r/>
      <w:r>
        <w:t>Nos tempos antigos, o termo significava entrar em um vínculo solene e mágico com o número sete. As conexões antigas agora estão perdidas. Abraão e Abimeleque fizeram um juramento em Berseba (o poço dos sete). Como prova de que cavou um poço, Abraão separou sete cordeiras (</w:t>
      </w:r>
      <w:hyperlink r:id="rId12607">
        <w:r>
          <w:rPr>
            <w:color w:val="0000EE"/>
            <w:u w:val="single"/>
          </w:rPr>
          <w:t>Gn 21.22–31</w:t>
        </w:r>
      </w:hyperlink>
      <w:r>
        <w:t xml:space="preserve">). O termo anterior </w:t>
      </w:r>
      <w:r>
        <w:rPr>
          <w:i/>
        </w:rPr>
        <w:t>‘ala,</w:t>
      </w:r>
      <w:r>
        <w:t xml:space="preserve"> muitas vezes traduzido como “juramento”, propriamente significa “maldição”. Às vezes, os dois termos são usados juntos (</w:t>
      </w:r>
      <w:hyperlink r:id="rId12608">
        <w:r>
          <w:rPr>
            <w:color w:val="0000EE"/>
            <w:u w:val="single"/>
          </w:rPr>
          <w:t>Nm 5.21</w:t>
        </w:r>
      </w:hyperlink>
      <w:r>
        <w:t xml:space="preserve">; </w:t>
      </w:r>
      <w:hyperlink r:id="rId12609">
        <w:r>
          <w:rPr>
            <w:color w:val="0000EE"/>
            <w:u w:val="single"/>
          </w:rPr>
          <w:t>Ne 10.29</w:t>
        </w:r>
      </w:hyperlink>
      <w:r>
        <w:t xml:space="preserve">; </w:t>
      </w:r>
      <w:hyperlink r:id="rId12610">
        <w:r>
          <w:rPr>
            <w:color w:val="0000EE"/>
            <w:u w:val="single"/>
          </w:rPr>
          <w:t>Dn 9.11</w:t>
        </w:r>
      </w:hyperlink>
      <w:r>
        <w:t>). Qualquer violação do juramento resultaria em uma maldição. O Senhor disse que ele havia feito uma aliança e uma "maldição" com Israel — ou seja, quebrar a aliança seria seguido por uma maldição (</w:t>
      </w:r>
      <w:hyperlink r:id="rId12611">
        <w:r>
          <w:rPr>
            <w:color w:val="0000EE"/>
            <w:u w:val="single"/>
          </w:rPr>
          <w:t>Dt 29.14</w:t>
        </w:r>
      </w:hyperlink>
      <w:r>
        <w:t xml:space="preserve"> e os versículos seguintes).</w:t>
      </w:r>
    </w:p>
    <w:p>
      <w:r/>
      <w:r>
        <w:t>Um juramento era feito para confirmar um acordo ou, em uma situação política, para confirmar um tratado. Em Israel e seus vizinhos, Deus (ou os deuses) garantiam o acordo. Seu (ou seus) nome era invocado para esse propósito. Quando Jacó e Labão fizeram um acordo, eles ergueram um monte de pedras como testemunha (</w:t>
      </w:r>
      <w:hyperlink r:id="rId12612">
        <w:r>
          <w:rPr>
            <w:color w:val="0000EE"/>
            <w:u w:val="single"/>
          </w:rPr>
          <w:t>Gn 31.53</w:t>
        </w:r>
      </w:hyperlink>
      <w:r>
        <w:t>). Se qualquer das partes transgredisse os termos, era um pecado hediondo. Um dos Dez Mandamentos tratava de afirmações vazias. Dizia: "Não tomarás o nome do Senhor teu Deus em vão, pois o Senhor não deixará impune aquele que tomar seu nome em vão" (</w:t>
      </w:r>
      <w:hyperlink r:id="rId12613">
        <w:r>
          <w:rPr>
            <w:color w:val="0000EE"/>
            <w:u w:val="single"/>
          </w:rPr>
          <w:t>Êx 20.7</w:t>
        </w:r>
      </w:hyperlink>
      <w:r>
        <w:t>). O povo de Israel era proibido de jurar seus votos por falsos deuses (</w:t>
      </w:r>
      <w:hyperlink r:id="rId12614">
        <w:r>
          <w:rPr>
            <w:color w:val="0000EE"/>
            <w:u w:val="single"/>
          </w:rPr>
          <w:t>Jr 12.16</w:t>
        </w:r>
      </w:hyperlink>
      <w:r>
        <w:t xml:space="preserve">; </w:t>
      </w:r>
      <w:hyperlink r:id="rId12615">
        <w:r>
          <w:rPr>
            <w:color w:val="0000EE"/>
            <w:u w:val="single"/>
          </w:rPr>
          <w:t>Am 8.14</w:t>
        </w:r>
      </w:hyperlink>
      <w:r>
        <w:t>). Quebrar um tratado internacional, onde o juramento era feito em nome do Senhor, merecia a morte (</w:t>
      </w:r>
      <w:hyperlink r:id="rId12616">
        <w:r>
          <w:rPr>
            <w:color w:val="0000EE"/>
            <w:u w:val="single"/>
          </w:rPr>
          <w:t>Ez 17.16–17</w:t>
        </w:r>
      </w:hyperlink>
      <w:r>
        <w:t>). Era uma das queixas de Oseias que o povo de sua época jurava falsamente quando fazia um pacto (</w:t>
      </w:r>
      <w:hyperlink r:id="rId9164">
        <w:r>
          <w:rPr>
            <w:color w:val="0000EE"/>
            <w:u w:val="single"/>
          </w:rPr>
          <w:t>Os 10.4</w:t>
        </w:r>
      </w:hyperlink>
      <w:r>
        <w:t>). O julgamento acompanharia tal desrespeito imprudente à solenidade de um juramento. Certas situações civis em Israel exigiam um juramento (</w:t>
      </w:r>
      <w:hyperlink r:id="rId12617">
        <w:r>
          <w:rPr>
            <w:color w:val="0000EE"/>
            <w:u w:val="single"/>
          </w:rPr>
          <w:t>Êx 22.10–11</w:t>
        </w:r>
      </w:hyperlink>
      <w:r>
        <w:t xml:space="preserve">; </w:t>
      </w:r>
      <w:hyperlink r:id="rId12618">
        <w:r>
          <w:rPr>
            <w:color w:val="0000EE"/>
            <w:u w:val="single"/>
          </w:rPr>
          <w:t>Lv 5.1</w:t>
        </w:r>
      </w:hyperlink>
      <w:r>
        <w:t xml:space="preserve">; </w:t>
      </w:r>
      <w:hyperlink r:id="rId12619">
        <w:r>
          <w:rPr>
            <w:color w:val="0000EE"/>
            <w:u w:val="single"/>
          </w:rPr>
          <w:t>6.3</w:t>
        </w:r>
      </w:hyperlink>
      <w:r>
        <w:t xml:space="preserve">; </w:t>
      </w:r>
      <w:hyperlink r:id="rId12620">
        <w:r>
          <w:rPr>
            <w:color w:val="0000EE"/>
            <w:u w:val="single"/>
          </w:rPr>
          <w:t>Nm 5.11–28</w:t>
        </w:r>
      </w:hyperlink>
      <w:r>
        <w:t>). Essa prática estabeleceu um padrão para o juramento de lealdade ao pacto israelita com Deus.</w:t>
      </w:r>
    </w:p>
    <w:p>
      <w:r/>
      <w:r>
        <w:t>Cristo ensinou que os juramentos eram obrigatórios (</w:t>
      </w:r>
      <w:hyperlink r:id="rId12621">
        <w:r>
          <w:rPr>
            <w:color w:val="0000EE"/>
            <w:u w:val="single"/>
          </w:rPr>
          <w:t>Mt 5.33</w:t>
        </w:r>
      </w:hyperlink>
      <w:r>
        <w:t>). No reino de Deus, os juramentos se tornariam desnecessários (</w:t>
      </w:r>
      <w:hyperlink r:id="rId12622">
        <w:r>
          <w:rPr>
            <w:color w:val="0000EE"/>
            <w:u w:val="single"/>
          </w:rPr>
          <w:t>Mt 5.34–37</w:t>
        </w:r>
      </w:hyperlink>
      <w:r>
        <w:t>). Durante seu julgamento perante Caifás, Jesus ouviu um juramento do sumo sacerdote (</w:t>
      </w:r>
      <w:hyperlink r:id="rId12623">
        <w:r>
          <w:rPr>
            <w:color w:val="0000EE"/>
            <w:u w:val="single"/>
          </w:rPr>
          <w:t>Mt 26.63–65</w:t>
        </w:r>
      </w:hyperlink>
      <w:r>
        <w:t>). Paulo fez um juramento em algumas ocasiões (</w:t>
      </w:r>
      <w:hyperlink r:id="rId938">
        <w:r>
          <w:rPr>
            <w:color w:val="0000EE"/>
            <w:u w:val="single"/>
          </w:rPr>
          <w:t>2Co 1.23</w:t>
        </w:r>
      </w:hyperlink>
      <w:r>
        <w:t xml:space="preserve">; </w:t>
      </w:r>
      <w:hyperlink r:id="rId12624">
        <w:r>
          <w:rPr>
            <w:color w:val="0000EE"/>
            <w:u w:val="single"/>
          </w:rPr>
          <w:t>Gl 1.20</w:t>
        </w:r>
      </w:hyperlink>
      <w:r>
        <w:t>). O próprio Deus estava vinculado por seu próprio juramento (</w:t>
      </w:r>
      <w:hyperlink r:id="rId10431">
        <w:r>
          <w:rPr>
            <w:color w:val="0000EE"/>
            <w:u w:val="single"/>
          </w:rPr>
          <w:t>Hb 6.13–18</w:t>
        </w:r>
      </w:hyperlink>
      <w:r>
        <w:t>) para manter sua promessa aos patriarcas (</w:t>
      </w:r>
      <w:hyperlink r:id="rId12625">
        <w:r>
          <w:rPr>
            <w:color w:val="0000EE"/>
            <w:u w:val="single"/>
          </w:rPr>
          <w:t>Gn 50.24</w:t>
        </w:r>
      </w:hyperlink>
      <w:r>
        <w:t xml:space="preserve">; </w:t>
      </w:r>
      <w:hyperlink r:id="rId12626">
        <w:r>
          <w:rPr>
            <w:color w:val="0000EE"/>
            <w:u w:val="single"/>
          </w:rPr>
          <w:t>Sl 89.19–37,49</w:t>
        </w:r>
      </w:hyperlink>
      <w:r>
        <w:t xml:space="preserve">; </w:t>
      </w:r>
      <w:hyperlink r:id="rId12627">
        <w:r>
          <w:rPr>
            <w:color w:val="0000EE"/>
            <w:u w:val="single"/>
          </w:rPr>
          <w:t>110.1–4</w:t>
        </w:r>
      </w:hyperlink>
      <w:r>
        <w:t>).</w:t>
      </w:r>
    </w:p>
    <w:p>
      <w:r/>
      <w:r>
        <w:rPr>
          <w:i/>
        </w:rPr>
        <w:t>Veja também</w:t>
      </w:r>
      <w:r>
        <w:t xml:space="preserve"> </w:t>
      </w:r>
      <w:r>
        <w:t>Aliança</w:t>
      </w:r>
      <w:r>
        <w:t xml:space="preserve">; </w:t>
      </w:r>
      <w:r>
        <w:t>Votos</w:t>
      </w:r>
      <w:r>
        <w:t>.</w:t>
      </w:r>
      <w:r/>
      <w:r/>
    </w:p>
    <w:p>
      <w:r/>
    </w:p>
    <w:p>
      <w:pPr>
        <w:pStyle w:val="Heading2"/>
      </w:pPr>
      <w:r>
        <w:t>Justificação, Justificado</w:t>
      </w:r>
      <w:r/>
    </w:p>
    <w:p>
      <w:r/>
      <w:r>
        <w:t>O ato pelo qual Deus traz os pecadores para uma nova relação de aliança com Ele através do perdão de seus pecados. É quando Deus declara uma pessoa justa, significando que ela está em uma relação correta e verdadeira com Ele.</w:t>
      </w:r>
    </w:p>
    <w:p>
      <w:r/>
      <w:r>
        <w:t>Desde a Reforma, este termo tem sido fundamental na teologia cristã. Martinho Lutero enfatizou a doutrina da justificação pela fé somente. Para Lutero, foi um retorno aos ensinamentos do Apóstolo Paulo. Ele desafiou o catolicismo medieval, que enfatizava boas obras e indulgências para a salvação. A doutrina da justificação pela fé somente destaca que todas as pessoas são completamente pecadoras e não podem lidar com seus pecados. Ela ressalta o dom da expiação de Deus através de Jesus Cristo, que as pessoas aceitam confiando, sem qualquer mérito.</w:t>
      </w:r>
    </w:p>
    <w:p>
      <w:r/>
      <w:r>
        <w:t>As palavras "justificação" e o verbo "justificar" não são muito comuns na Bíblia. Por exemplo, na NTLH aparecem apenas 2 vezes. Já na ARA aparecem 65 vezes, sendo 18 vezes no Antigo Testamento e 47 no Novo Testamento. Nas versões em português, várias das ocorrências derivam dos sentidos de "justiça" e "declarar (ou tornar) justo". Elas traduzem os mesmos termos hebraicos e gregos. Portanto, compreender a justificação também envolve entender o conceito bíblico de justiça.</w:t>
      </w:r>
    </w:p>
    <w:p>
      <w:r/>
      <w:r>
        <w:t>No grego cotidiano, "justificação" e "justificar" eram frequentemente termos legais. Eles se referiam a declarar alguém inocente ou virtuoso no tribunal. No entanto, esses termos também têm um significado mais amplo relacionado às normas de qualquer relacionamento.</w:t>
      </w:r>
    </w:p>
    <w:p>
      <w:pPr>
        <w:pStyle w:val="Heading3"/>
      </w:pPr>
      <w:r>
        <w:t>No Antigo Testamento</w:t>
      </w:r>
    </w:p>
    <w:p>
      <w:r/>
      <w:r>
        <w:t>No Antigo Testamento, a retidão está relacionada aos relacionamentos e às responsabilidades dentro desses relacionamentos. Às vezes, uma pessoa é chamada de justa porque está em um relacionamento correto com outra pessoa. Outras vezes, uma pessoa é considerada justa porque cumpre certas responsabilidades dentro de um relacionamento (</w:t>
      </w:r>
      <w:hyperlink r:id="rId12628">
        <w:r>
          <w:rPr>
            <w:color w:val="0000EE"/>
            <w:u w:val="single"/>
          </w:rPr>
          <w:t>Gn 38.26</w:t>
        </w:r>
      </w:hyperlink>
      <w:r>
        <w:t>). Mais importante ainda, esses termos são frequentemente usados para descrever Deus, que é visto como justo. Deus governa com justiça (</w:t>
      </w:r>
      <w:hyperlink r:id="rId12629">
        <w:r>
          <w:rPr>
            <w:color w:val="0000EE"/>
            <w:u w:val="single"/>
          </w:rPr>
          <w:t>Gn 18.25</w:t>
        </w:r>
      </w:hyperlink>
      <w:r>
        <w:t>), e Seus julgamentos são verdadeiros e justos (</w:t>
      </w:r>
      <w:hyperlink r:id="rId12630">
        <w:r>
          <w:rPr>
            <w:color w:val="0000EE"/>
            <w:u w:val="single"/>
          </w:rPr>
          <w:t>Sl 19.9</w:t>
        </w:r>
      </w:hyperlink>
      <w:r>
        <w:t>). Tanto os inocentes quanto os culpados reconhecem a justiça de Deus; os inocentes esperam ser mostrados como limpos, e os culpados sabem que a lei de Deus prevalecerá.</w:t>
      </w:r>
    </w:p>
    <w:p>
      <w:r/>
      <w:r>
        <w:t>Justificação e justiça estão intimamente ligadas às ações salvadoras de Deus em favor do Seu povo da aliança. A justiça de Deus está mais relacionada à Sua intervenção para o Seu povo sob a aliança do que à justiça estrita. A justificação deve ser entendida em termos da aliança, não apenas da lei. O exemplo mais importante disso é Abraão, que foi considerado justo porque respondeu com fé à aliança de Deus (</w:t>
      </w:r>
      <w:hyperlink r:id="rId793">
        <w:r>
          <w:rPr>
            <w:color w:val="0000EE"/>
            <w:u w:val="single"/>
          </w:rPr>
          <w:t>Gn 15.6</w:t>
        </w:r>
      </w:hyperlink>
      <w:r>
        <w:t>). Abraão não podia se tornar justo por si mesmo; Deus o fez justo com base na aliança. Todas as pessoas estão sem esperança própria tanto quanto Abraão. Aos olhos de Deus, ninguém pode ser justificado por conta própria (</w:t>
      </w:r>
      <w:hyperlink r:id="rId12631">
        <w:r>
          <w:rPr>
            <w:color w:val="0000EE"/>
            <w:u w:val="single"/>
          </w:rPr>
          <w:t>Sl 143.2</w:t>
        </w:r>
      </w:hyperlink>
      <w:r>
        <w:t>). A esperança da humanidade está em Deus lembrar-se de Sua aliança. A justiça vem da misericórdia ou graça de Deus, pois Ele lida com Seu povo de acordo com Sua bondade amorosa (</w:t>
      </w:r>
      <w:hyperlink r:id="rId12632">
        <w:r>
          <w:rPr>
            <w:color w:val="0000EE"/>
            <w:u w:val="single"/>
          </w:rPr>
          <w:t>Is 63.7</w:t>
        </w:r>
      </w:hyperlink>
      <w:r>
        <w:t>). A justificação é baseada na natureza de Deus e é principalmente um conceito religioso, não apenas ético.</w:t>
      </w:r>
    </w:p>
    <w:p>
      <w:pPr>
        <w:pStyle w:val="Heading3"/>
      </w:pPr>
      <w:r>
        <w:t>No Novo Testamento</w:t>
      </w:r>
    </w:p>
    <w:p>
      <w:r/>
      <w:r>
        <w:t>O Novo Testamento discute a justificação principalmente nas cartas de Paulo, especialmente em Romanos e Gálatas. Nessas cartas, a justificação pela fé é um conceito chave que Paulo usa para explicar o impacto da obra de Cristo na humanidade pecadora. Paulo contrasta a justificação pela fé com o legalismo judaico, que tentava fazer da lei a base da salvação. Paulo condena fortemente essa abordagem (</w:t>
      </w:r>
      <w:hyperlink r:id="rId8740">
        <w:r>
          <w:rPr>
            <w:color w:val="0000EE"/>
            <w:u w:val="single"/>
          </w:rPr>
          <w:t>Gl 1.6–9</w:t>
        </w:r>
      </w:hyperlink>
      <w:r>
        <w:t>). Ele lembra seus leitores de que a justiça, ou justificação, é um presente de Deus através do sangue de Jesus Cristo (</w:t>
      </w:r>
      <w:r>
        <w:rPr>
          <w:i/>
        </w:rPr>
        <w:t>aliança</w:t>
      </w:r>
      <w:r>
        <w:t xml:space="preserve"> de sangue, </w:t>
      </w:r>
      <w:hyperlink r:id="rId881">
        <w:r>
          <w:rPr>
            <w:color w:val="0000EE"/>
            <w:u w:val="single"/>
          </w:rPr>
          <w:t>Hb 13.20</w:t>
        </w:r>
      </w:hyperlink>
      <w:r>
        <w:t>), não algo alcançado através da lei (</w:t>
      </w:r>
      <w:hyperlink r:id="rId9138">
        <w:r>
          <w:rPr>
            <w:color w:val="0000EE"/>
            <w:u w:val="single"/>
          </w:rPr>
          <w:t>Rm 3.21</w:t>
        </w:r>
      </w:hyperlink>
      <w:r>
        <w:t>). A lei não pode levar à justiça e não foi destinada a fazê-lo.</w:t>
      </w:r>
    </w:p>
    <w:p>
      <w:r/>
      <w:hyperlink r:id="rId12633">
        <w:r>
          <w:rPr>
            <w:color w:val="0000EE"/>
            <w:u w:val="single"/>
          </w:rPr>
          <w:t>Gálatas 3.15–25</w:t>
        </w:r>
      </w:hyperlink>
      <w:r>
        <w:t xml:space="preserve"> explica o papel da lei, que surgiu 430 anos após a aliança que trouxe Abraão para um relacionamento com Deus. Qualquer que fosse o propósito da lei, ela não foi dada para trazer justiça: "Porque se fosse dada uma lei que pudesse dar vida, então a justiça certamente viria da lei" (</w:t>
      </w:r>
      <w:hyperlink r:id="rId12634">
        <w:r>
          <w:rPr>
            <w:color w:val="0000EE"/>
            <w:u w:val="single"/>
          </w:rPr>
          <w:t>Gl 3.21</w:t>
        </w:r>
      </w:hyperlink>
      <w:r>
        <w:t>). Cristo justificou as pessoas, e isso deve ser entendido em termos da aliança, não da lei. Desde o tempo de Abraão, a justificação sempre veio pela fé no Deus que mantém Sua aliança, não pela lei. Justiça é um termo relacional, confirmado por aqueles que, pela fé, são trazidos a um relacionamento correto com Deus. A lei traz julgamento e expõe nossa incapacidade de lidar com o pecado (</w:t>
      </w:r>
      <w:hyperlink r:id="rId12635">
        <w:r>
          <w:rPr>
            <w:color w:val="0000EE"/>
            <w:u w:val="single"/>
          </w:rPr>
          <w:t>At 13.39</w:t>
        </w:r>
      </w:hyperlink>
      <w:r>
        <w:t xml:space="preserve">; </w:t>
      </w:r>
      <w:hyperlink r:id="rId9393">
        <w:r>
          <w:rPr>
            <w:color w:val="0000EE"/>
            <w:u w:val="single"/>
          </w:rPr>
          <w:t>Rm 8.3</w:t>
        </w:r>
      </w:hyperlink>
      <w:r>
        <w:t>). A justificação, no entanto, aborda o problema do pecado e da culpa, oferecendo salvação. O crente é libertado da condenação (</w:t>
      </w:r>
      <w:hyperlink r:id="rId8791">
        <w:r>
          <w:rPr>
            <w:color w:val="0000EE"/>
            <w:u w:val="single"/>
          </w:rPr>
          <w:t>Rm 8.1</w:t>
        </w:r>
      </w:hyperlink>
      <w:r>
        <w:t>). A principal compreensão da justificação vem do foco na aliança e na graça, não na lei e no julgamento. As referências de Paulo a Abraão em Romanos e Gálatas mostram que a aliança sempre foi a única esperança da humanidade. Deus permanece fiel à Sua aliança, mesmo quando Seu povo a quebra diariamente.</w:t>
      </w:r>
    </w:p>
    <w:p>
      <w:r/>
      <w:r>
        <w:t>No ensino de Paulo, Deus é tanto justo quanto aquele que justifica. O pecado exige julgamento e deve ser tratado. A maneira de Deus trazer as pessoas para Ele é revelada à parte da lei. Está na vida e morte de Cristo, a quem Deus fez um sacrifício expiatório (</w:t>
      </w:r>
      <w:hyperlink r:id="rId8752">
        <w:r>
          <w:rPr>
            <w:color w:val="0000EE"/>
            <w:u w:val="single"/>
          </w:rPr>
          <w:t>Rm 3.21–26</w:t>
        </w:r>
      </w:hyperlink>
      <w:r>
        <w:t>). O pecado foi tratado na morte de Jesus, que assumiu o pecado para que Nele pudéssemos nos tornar a justiça de Deus (</w:t>
      </w:r>
      <w:hyperlink r:id="rId3239">
        <w:r>
          <w:rPr>
            <w:color w:val="0000EE"/>
            <w:u w:val="single"/>
          </w:rPr>
          <w:t>2Co 5.2</w:t>
        </w:r>
      </w:hyperlink>
      <w:r>
        <w:t>). Em Sua morte, Cristo carrega a culpa de toda a humanidade para que, confiando Nele, as pessoas possam vir a conhecer Deus em um relacionamento verdadeiro.</w:t>
      </w:r>
    </w:p>
    <w:p>
      <w:r/>
      <w:r>
        <w:t>Para Paulo, a justificação à luz da pecaminosidade humana está enraizada na natureza de Deus, pois somente Deus pode curar e redimir a humanidade. A justificação é somente pela graça. Enraizada na natureza de Deus, ela é disponibilizada através da obra de Cristo como um presente de Deus. Portanto, frequentemente confessamos que Cristo morreu "por nós" (</w:t>
      </w:r>
      <w:hyperlink r:id="rId1182">
        <w:r>
          <w:rPr>
            <w:color w:val="0000EE"/>
            <w:u w:val="single"/>
          </w:rPr>
          <w:t>Rm 5.8</w:t>
        </w:r>
      </w:hyperlink>
      <w:r>
        <w:t xml:space="preserve">; </w:t>
      </w:r>
      <w:hyperlink r:id="rId12636">
        <w:r>
          <w:rPr>
            <w:color w:val="0000EE"/>
            <w:u w:val="single"/>
          </w:rPr>
          <w:t>1Ts 5.10</w:t>
        </w:r>
      </w:hyperlink>
      <w:r>
        <w:t>) ou "pelos nossos pecados" (</w:t>
      </w:r>
      <w:hyperlink r:id="rId7276">
        <w:r>
          <w:rPr>
            <w:color w:val="0000EE"/>
            <w:u w:val="single"/>
          </w:rPr>
          <w:t>1Co 15.3</w:t>
        </w:r>
      </w:hyperlink>
      <w:r>
        <w:t>). A maneira de receber este presente é pela fé e somente pela fé (</w:t>
      </w:r>
      <w:hyperlink r:id="rId4437">
        <w:r>
          <w:rPr>
            <w:color w:val="0000EE"/>
            <w:u w:val="single"/>
          </w:rPr>
          <w:t>Rm 3.22</w:t>
        </w:r>
      </w:hyperlink>
      <w:r>
        <w:t xml:space="preserve">; </w:t>
      </w:r>
      <w:hyperlink r:id="rId376">
        <w:r>
          <w:rPr>
            <w:color w:val="0000EE"/>
            <w:u w:val="single"/>
          </w:rPr>
          <w:t>5.1</w:t>
        </w:r>
      </w:hyperlink>
      <w:r>
        <w:t>). Esta fé é uma confiança simples na obra de Cristo. É uma confiança que se identifica livremente com Cristo, ama Sua Palavra e vive pelos valores do reino de Deus. A pessoa justificada sabe que seu relacionamento correto com Deus depende de nada além da graça, não de esforço ou obras. É inteiramente um presente do amor infinito de Deus. Sua impotência é superada pelo poder do evangelho, no qual a obra salvadora de Deus é revelada (</w:t>
      </w:r>
      <w:hyperlink r:id="rId3247">
        <w:r>
          <w:rPr>
            <w:color w:val="0000EE"/>
            <w:u w:val="single"/>
          </w:rPr>
          <w:t>Rm 1.17</w:t>
        </w:r>
      </w:hyperlink>
      <w:r>
        <w:t>).</w:t>
      </w:r>
    </w:p>
    <w:p>
      <w:r/>
      <w:r>
        <w:t>A justificação é mencionada nos Evangelhos na parábola do fariseu e do publicano que foram ao templo para orar. O fariseu destacou suas obras religiosas e superioridade moral. O publicano, sentindo profunda culpa e indignidade, apenas pediu misericórdia. Segundo Jesus, o publicano voltou para casa justificado (</w:t>
      </w:r>
      <w:hyperlink r:id="rId12637">
        <w:r>
          <w:rPr>
            <w:color w:val="0000EE"/>
            <w:u w:val="single"/>
          </w:rPr>
          <w:t>Lc 18.14</w:t>
        </w:r>
      </w:hyperlink>
      <w:r>
        <w:t>). Esta é a única referência direta à justificação pela fé. No entanto, todo o ministério de Jesus lidou com pessoas focadas em sua piedade. Elas buscavam justificar-se diante de Deus. Elas se diferenciavam dos pecadores e indesejáveis. Estavam tão focadas em suas próprias obras que se ofendiam com a mensagem de graça e o perdão completo dos pecadores (</w:t>
      </w:r>
      <w:hyperlink r:id="rId11739">
        <w:r>
          <w:rPr>
            <w:color w:val="0000EE"/>
            <w:u w:val="single"/>
          </w:rPr>
          <w:t>Lc 7.36–50</w:t>
        </w:r>
      </w:hyperlink>
      <w:r>
        <w:t>). Jesus abordou a mesma questão que Paulo mais tarde enfrentou. Somente aqueles que se humilham diante de Deus serão exaltados (</w:t>
      </w:r>
      <w:hyperlink r:id="rId12638">
        <w:r>
          <w:rPr>
            <w:color w:val="0000EE"/>
            <w:u w:val="single"/>
          </w:rPr>
          <w:t>Mt 18.4</w:t>
        </w:r>
      </w:hyperlink>
      <w:r>
        <w:t xml:space="preserve">; </w:t>
      </w:r>
      <w:hyperlink r:id="rId10805">
        <w:r>
          <w:rPr>
            <w:color w:val="0000EE"/>
            <w:u w:val="single"/>
          </w:rPr>
          <w:t>23.12</w:t>
        </w:r>
      </w:hyperlink>
      <w:r>
        <w:t>). Somente os pecadores ouvem a mensagem de graça (</w:t>
      </w:r>
      <w:hyperlink r:id="rId12639">
        <w:r>
          <w:rPr>
            <w:color w:val="0000EE"/>
            <w:u w:val="single"/>
          </w:rPr>
          <w:t>Lc 5.32</w:t>
        </w:r>
      </w:hyperlink>
      <w:r>
        <w:t xml:space="preserve">; </w:t>
      </w:r>
      <w:hyperlink r:id="rId2601">
        <w:r>
          <w:rPr>
            <w:color w:val="0000EE"/>
            <w:u w:val="single"/>
          </w:rPr>
          <w:t>15.7,10</w:t>
        </w:r>
      </w:hyperlink>
      <w:r>
        <w:t xml:space="preserve">; </w:t>
      </w:r>
      <w:hyperlink r:id="rId12640">
        <w:r>
          <w:rPr>
            <w:color w:val="0000EE"/>
            <w:u w:val="single"/>
          </w:rPr>
          <w:t>19.7</w:t>
        </w:r>
      </w:hyperlink>
      <w:r>
        <w:t>). Os indignos são os que encontram cura (</w:t>
      </w:r>
      <w:hyperlink r:id="rId12641">
        <w:r>
          <w:rPr>
            <w:color w:val="0000EE"/>
            <w:u w:val="single"/>
          </w:rPr>
          <w:t>Mt 8.8</w:t>
        </w:r>
      </w:hyperlink>
      <w:r>
        <w:t>).</w:t>
      </w:r>
    </w:p>
    <w:p>
      <w:r/>
      <w:r>
        <w:t>Devemos sempre reafirmar a justificação pela fé. Todos tendem a buscar a justiça pessoal para se apresentar diante de Deus com base em seu próprio caráter e piedade. No entanto, o avivamento e a saúde da igreja (como visto em Martinho Lutero e João Wesley) dependem da crença de que "o justo viverá pela fé" (</w:t>
      </w:r>
      <w:hyperlink r:id="rId3247">
        <w:r>
          <w:rPr>
            <w:color w:val="0000EE"/>
            <w:u w:val="single"/>
          </w:rPr>
          <w:t>Rm 1.17</w:t>
        </w:r>
      </w:hyperlink>
      <w:r>
        <w:t xml:space="preserve">; </w:t>
      </w:r>
      <w:hyperlink r:id="rId12642">
        <w:r>
          <w:rPr>
            <w:color w:val="0000EE"/>
            <w:u w:val="single"/>
          </w:rPr>
          <w:t>Hb 10.38</w:t>
        </w:r>
      </w:hyperlink>
      <w:r>
        <w:t xml:space="preserve">; </w:t>
      </w:r>
      <w:hyperlink r:id="rId7147">
        <w:r>
          <w:rPr>
            <w:color w:val="0000EE"/>
            <w:u w:val="single"/>
          </w:rPr>
          <w:t>11.7</w:t>
        </w:r>
      </w:hyperlink>
      <w:r>
        <w:t>).</w:t>
      </w:r>
    </w:p>
    <w:p>
      <w:r/>
      <w:r>
        <w:rPr>
          <w:i/>
        </w:rPr>
        <w:t>Veja também</w:t>
      </w:r>
      <w:r>
        <w:t xml:space="preserve"> </w:t>
      </w:r>
      <w:r>
        <w:t>Adoção</w:t>
      </w:r>
      <w:r>
        <w:t xml:space="preserve">; </w:t>
      </w:r>
      <w:r>
        <w:t>Fé</w:t>
      </w:r>
      <w:r>
        <w:t xml:space="preserve">; </w:t>
      </w:r>
      <w:r>
        <w:t>Lei, Conceito bíblico de</w:t>
      </w:r>
      <w:r>
        <w:t xml:space="preserve">; </w:t>
      </w:r>
      <w:r>
        <w:t>Santificação</w:t>
      </w:r>
      <w:r>
        <w:t>.</w:t>
      </w:r>
      <w:r/>
      <w:r/>
    </w:p>
    <w:p>
      <w:r/>
    </w:p>
    <w:p>
      <w:pPr>
        <w:pStyle w:val="Heading2"/>
      </w:pPr>
      <w:r>
        <w:t>Justo</w:t>
      </w:r>
      <w:r/>
    </w:p>
    <w:p>
      <w:pPr>
        <w:pStyle w:val="ListNumber"/>
        <w:spacing w:line="240" w:lineRule="auto"/>
        <w:ind w:left="720"/>
      </w:pPr>
      <w:r/>
      <w:r>
        <w:t>Um apelido para José Barsabás (</w:t>
      </w:r>
      <w:hyperlink r:id="rId3152">
        <w:r>
          <w:rPr>
            <w:color w:val="0000EE"/>
            <w:u w:val="single"/>
          </w:rPr>
          <w:t>At 1.23</w:t>
        </w:r>
      </w:hyperlink>
      <w:r>
        <w:t>);</w:t>
      </w:r>
    </w:p>
    <w:p>
      <w:r/>
      <w:r>
        <w:rPr>
          <w:i/>
        </w:rPr>
        <w:t>Veja</w:t>
      </w:r>
      <w:r>
        <w:t xml:space="preserve"> </w:t>
      </w:r>
      <w:r>
        <w:t>José #12</w:t>
      </w:r>
      <w:r>
        <w:t>.</w:t>
      </w:r>
    </w:p>
    <w:p>
      <w:pPr>
        <w:pStyle w:val="ListNumber"/>
        <w:spacing w:line="240" w:lineRule="auto"/>
        <w:ind w:left="720"/>
      </w:pPr>
      <w:r/>
      <w:r>
        <w:t>Um homem coríntio piedoso. Ele provavelmente foi um convertido do apóstolo Paulo. Justo abriu sua casa para Paulo e outros cristãos depois que os líderes da sinagoga judaica não permitiram que Paulo continuasse pregando lá (</w:t>
      </w:r>
      <w:hyperlink r:id="rId12643">
        <w:r>
          <w:rPr>
            <w:color w:val="0000EE"/>
            <w:u w:val="single"/>
          </w:rPr>
          <w:t>At 18.7</w:t>
        </w:r>
      </w:hyperlink>
      <w:r>
        <w:t xml:space="preserve">). Os manuscritos antigos da Bíblia não concordam todos sobre seu nome exato. Algumas versões o chamam de Justo, enquanto outras o chamam de Tício Justo. Alguns estudiosos acham que ele pode ser a mesma pessoa que Gaio mencionado em </w:t>
      </w:r>
      <w:hyperlink r:id="rId4126">
        <w:r>
          <w:rPr>
            <w:color w:val="0000EE"/>
            <w:u w:val="single"/>
          </w:rPr>
          <w:t>Romanos 16.23;</w:t>
        </w:r>
      </w:hyperlink>
    </w:p>
    <w:p>
      <w:pPr>
        <w:pStyle w:val="ListNumber"/>
        <w:spacing w:line="240" w:lineRule="auto"/>
        <w:ind w:left="720"/>
      </w:pPr>
      <w:r/>
      <w:r>
        <w:t>Um apelido de um crente chamado Josué, um cristão judeu (</w:t>
      </w:r>
      <w:hyperlink r:id="rId11687">
        <w:r>
          <w:rPr>
            <w:color w:val="0000EE"/>
            <w:u w:val="single"/>
          </w:rPr>
          <w:t>Cl 4.11</w:t>
        </w:r>
      </w:hyperlink>
      <w:r>
        <w:t>).</w:t>
      </w:r>
    </w:p>
    <w:p>
      <w:r/>
      <w:r>
        <w:rPr>
          <w:i/>
        </w:rPr>
        <w:t>Veja</w:t>
      </w:r>
      <w:r>
        <w:t xml:space="preserve"> </w:t>
      </w:r>
      <w:r>
        <w:t>Jesus #3</w:t>
      </w:r>
      <w:r>
        <w:t>.</w:t>
      </w:r>
      <w:r/>
      <w:r/>
    </w:p>
    <w:p>
      <w:r/>
    </w:p>
    <w:p>
      <w:pPr>
        <w:pStyle w:val="Heading2"/>
      </w:pPr>
      <w:r>
        <w:t>Kanata</w:t>
      </w:r>
      <w:r/>
    </w:p>
    <w:p>
      <w:r/>
      <w:r>
        <w:t xml:space="preserve">Uma das 10 cidades gregas originais. Roma a reconstruiu após a conquista da Palestina e Síria por Pompeu por volta de 63 a.C. A região dessas cidades ficou conhecida como a Decápolis. Kanata (também grafada como Canata) ficava cerca de 96 quilômetros a leste do Mar da Galileia, formando a fronteira mais oriental da Decápolis. Alguns identificam a cidade com Quenate de </w:t>
      </w:r>
      <w:hyperlink r:id="rId12644">
        <w:r>
          <w:rPr>
            <w:color w:val="0000EE"/>
            <w:u w:val="single"/>
          </w:rPr>
          <w:t>Nm 32.42</w:t>
        </w:r>
      </w:hyperlink>
      <w:r>
        <w:t>. A cidade moderna de Qanawat está a uma curta distância a nordeste de es-Suweideh na região de Haurã.</w:t>
      </w:r>
    </w:p>
    <w:p>
      <w:r/>
      <w:r>
        <w:rPr>
          <w:i/>
        </w:rPr>
        <w:t>Veja também</w:t>
      </w:r>
      <w:r>
        <w:t xml:space="preserve"> </w:t>
      </w:r>
      <w:r>
        <w:t>Decápolis</w:t>
      </w:r>
      <w:r>
        <w:t xml:space="preserve">; </w:t>
      </w:r>
      <w:r>
        <w:t>Quenate</w:t>
      </w:r>
      <w:r>
        <w:t>.</w:t>
      </w:r>
      <w:r/>
      <w:r/>
    </w:p>
    <w:p>
      <w:r/>
    </w:p>
    <w:p>
      <w:pPr>
        <w:pStyle w:val="Heading2"/>
      </w:pPr>
      <w:r>
        <w:t>Lã</w:t>
      </w:r>
      <w:r/>
    </w:p>
    <w:p>
      <w:r/>
      <w:r>
        <w:t>A fibra de lã, produzida a partir do pelo de ovelhas, era um produto importante no antigo Oriente Próximo.</w:t>
      </w:r>
    </w:p>
    <w:p>
      <w:r/>
      <w:r>
        <w:t>O rei Mesa de Moabe, um criador de ovelhas, enviava a lã de 100.000 carneiros como tributo ao rei Acabe de Israel todos os anos (</w:t>
      </w:r>
      <w:hyperlink r:id="rId1834">
        <w:r>
          <w:rPr>
            <w:color w:val="0000EE"/>
            <w:u w:val="single"/>
          </w:rPr>
          <w:t>2Rs 3.4</w:t>
        </w:r>
      </w:hyperlink>
      <w:r>
        <w:t>). O povo de Damasco comercializava lã com os mercadores de Tiro (</w:t>
      </w:r>
      <w:hyperlink r:id="rId5613">
        <w:r>
          <w:rPr>
            <w:color w:val="0000EE"/>
            <w:u w:val="single"/>
          </w:rPr>
          <w:t>Ez 27.18</w:t>
        </w:r>
      </w:hyperlink>
      <w:r>
        <w:t>). Vestimentas de lã eram comumente usadas pelos israelitas (</w:t>
      </w:r>
      <w:hyperlink r:id="rId12645">
        <w:r>
          <w:rPr>
            <w:color w:val="0000EE"/>
            <w:u w:val="single"/>
          </w:rPr>
          <w:t>Lv 13.47–59</w:t>
        </w:r>
      </w:hyperlink>
      <w:r>
        <w:t xml:space="preserve">; </w:t>
      </w:r>
      <w:hyperlink r:id="rId1806">
        <w:r>
          <w:rPr>
            <w:color w:val="0000EE"/>
            <w:u w:val="single"/>
          </w:rPr>
          <w:t>Is 51.8</w:t>
        </w:r>
      </w:hyperlink>
      <w:r>
        <w:t xml:space="preserve">; </w:t>
      </w:r>
      <w:hyperlink r:id="rId12646">
        <w:r>
          <w:rPr>
            <w:color w:val="0000EE"/>
            <w:u w:val="single"/>
          </w:rPr>
          <w:t>Os 2.5,9</w:t>
        </w:r>
      </w:hyperlink>
      <w:r>
        <w:t>). Vestimentas de lã misturadas com tecido de linho eram proibidas (</w:t>
      </w:r>
      <w:hyperlink r:id="rId12647">
        <w:r>
          <w:rPr>
            <w:color w:val="0000EE"/>
            <w:u w:val="single"/>
          </w:rPr>
          <w:t>Dt 22.11</w:t>
        </w:r>
      </w:hyperlink>
      <w:r>
        <w:t>). De fato, usar qualquer lã era proibido para os sacerdotes israelitas que serviam no átrio interno do santuário (</w:t>
      </w:r>
      <w:hyperlink r:id="rId12648">
        <w:r>
          <w:rPr>
            <w:color w:val="0000EE"/>
            <w:u w:val="single"/>
          </w:rPr>
          <w:t>Ez 44.17</w:t>
        </w:r>
      </w:hyperlink>
      <w:r>
        <w:t>).</w:t>
      </w:r>
    </w:p>
    <w:p>
      <w:r/>
      <w:r>
        <w:t>A lã é, em certos contextos, um símbolo bíblico de brancura e pureza. É uma comparação para:</w:t>
      </w:r>
    </w:p>
    <w:p>
      <w:pPr>
        <w:pStyle w:val="ListBullet"/>
        <w:spacing w:line="240" w:lineRule="auto"/>
        <w:ind w:left="720"/>
      </w:pPr>
      <w:r/>
      <w:r>
        <w:t>redenção (</w:t>
      </w:r>
      <w:hyperlink r:id="rId1843">
        <w:r>
          <w:rPr>
            <w:color w:val="0000EE"/>
            <w:u w:val="single"/>
          </w:rPr>
          <w:t>Is 1.18</w:t>
        </w:r>
      </w:hyperlink>
      <w:r>
        <w:t>),</w:t>
      </w:r>
    </w:p>
    <w:p>
      <w:pPr>
        <w:pStyle w:val="ListBullet"/>
        <w:spacing w:line="240" w:lineRule="auto"/>
        <w:ind w:left="720"/>
      </w:pPr>
      <w:r/>
      <w:r>
        <w:t>o cabelo daquele que sempre existiu, ou, Ancião de Dias (</w:t>
      </w:r>
      <w:hyperlink r:id="rId1844">
        <w:r>
          <w:rPr>
            <w:color w:val="0000EE"/>
            <w:u w:val="single"/>
          </w:rPr>
          <w:t>Dn 7.9</w:t>
        </w:r>
      </w:hyperlink>
      <w:r>
        <w:t>), e</w:t>
      </w:r>
    </w:p>
    <w:p>
      <w:pPr>
        <w:pStyle w:val="ListBullet"/>
        <w:spacing w:line="240" w:lineRule="auto"/>
        <w:ind w:left="720"/>
      </w:pPr>
      <w:r/>
      <w:r>
        <w:t>o cabelo e a cabeça do Filho do Homem (</w:t>
      </w:r>
      <w:hyperlink r:id="rId1845">
        <w:r>
          <w:rPr>
            <w:color w:val="0000EE"/>
            <w:u w:val="single"/>
          </w:rPr>
          <w:t>Ap 1.14</w:t>
        </w:r>
      </w:hyperlink>
      <w:r>
        <w:t>).</w:t>
      </w:r>
    </w:p>
    <w:p>
      <w:r/>
      <w:r>
        <w:rPr>
          <w:i/>
        </w:rPr>
        <w:t>Veja também</w:t>
      </w:r>
      <w:r>
        <w:t xml:space="preserve"> </w:t>
      </w:r>
      <w:r>
        <w:t>Tecido e fabricação de tecidos</w:t>
      </w:r>
      <w:r>
        <w:t>.</w:t>
      </w:r>
      <w:r/>
      <w:r/>
    </w:p>
    <w:p>
      <w:r/>
    </w:p>
    <w:p>
      <w:pPr>
        <w:pStyle w:val="Heading2"/>
      </w:pPr>
      <w:r>
        <w:t>Labão (local)</w:t>
      </w:r>
      <w:r/>
    </w:p>
    <w:p>
      <w:r/>
      <w:r>
        <w:t>Local de acampamento israelita no Sinai (</w:t>
      </w:r>
      <w:hyperlink r:id="rId2314">
        <w:r>
          <w:rPr>
            <w:color w:val="0000EE"/>
            <w:u w:val="single"/>
          </w:rPr>
          <w:t>Dt 1.1</w:t>
        </w:r>
      </w:hyperlink>
      <w:r>
        <w:t xml:space="preserve">). Alguns o equiparam com a Libna de </w:t>
      </w:r>
      <w:hyperlink r:id="rId12649">
        <w:r>
          <w:rPr>
            <w:color w:val="0000EE"/>
            <w:u w:val="single"/>
          </w:rPr>
          <w:t>Números 33.20,21</w:t>
        </w:r>
      </w:hyperlink>
      <w:r>
        <w:t>. As propostas para sua localização variaram desde o sul de Rabá-Amom até a costa árabe ao sul de Elate. Seu local ainda é desconhecido.</w:t>
      </w:r>
      <w:r/>
      <w:r/>
    </w:p>
    <w:p>
      <w:r/>
    </w:p>
    <w:p>
      <w:pPr>
        <w:pStyle w:val="Heading2"/>
      </w:pPr>
      <w:r>
        <w:t>Labão (Pessoa)</w:t>
      </w:r>
      <w:r/>
    </w:p>
    <w:p>
      <w:r/>
      <w:r>
        <w:t>Filho de Betuel (</w:t>
      </w:r>
      <w:hyperlink r:id="rId12650">
        <w:r>
          <w:rPr>
            <w:color w:val="0000EE"/>
            <w:u w:val="single"/>
          </w:rPr>
          <w:t>Gn 24.24,29</w:t>
        </w:r>
      </w:hyperlink>
      <w:r>
        <w:t xml:space="preserve">), irmão de Rebeca (vv. </w:t>
      </w:r>
      <w:hyperlink r:id="rId12651">
        <w:r>
          <w:rPr>
            <w:color w:val="0000EE"/>
            <w:u w:val="single"/>
          </w:rPr>
          <w:t>15,29</w:t>
        </w:r>
      </w:hyperlink>
      <w:r>
        <w:t>), pai de Lia e Raquel (</w:t>
      </w:r>
      <w:hyperlink r:id="rId12652">
        <w:r>
          <w:rPr>
            <w:color w:val="0000EE"/>
            <w:u w:val="single"/>
          </w:rPr>
          <w:t>29.16</w:t>
        </w:r>
      </w:hyperlink>
      <w:r>
        <w:t>), e tio e sogro de Jacó. Os antepassados de Labão viveram em Ur, mas seu pai, Betuel, era chamado de arameu de Padã-Arã, e Labão também é referido como arameu. A cidade natal deles era Harã, que ficava na Síria e que, assim como Ur, era um centro de adoração do deus da lua, Sin ou Nanna.</w:t>
      </w:r>
    </w:p>
    <w:p>
      <w:r/>
      <w:r>
        <w:t>Quando Isaque atingiu a maioridade, Abraão enviou seu servo Eliezer de volta a Harã para encontrar uma esposa para Isaque. Labão recebeu Eliezer de forma hospitaleira e providenciou acomodações para ele e seus camelos (</w:t>
      </w:r>
      <w:hyperlink r:id="rId12653">
        <w:r>
          <w:rPr>
            <w:color w:val="0000EE"/>
            <w:u w:val="single"/>
          </w:rPr>
          <w:t>Gn 24.29–33,54</w:t>
        </w:r>
      </w:hyperlink>
      <w:r>
        <w:t xml:space="preserve">). Labão agiu como chefe da casa; ele tomou a decisão sobre o casamento de Rebeca com Isaque (vv. </w:t>
      </w:r>
      <w:hyperlink r:id="rId12654">
        <w:r>
          <w:rPr>
            <w:color w:val="0000EE"/>
            <w:u w:val="single"/>
          </w:rPr>
          <w:t>50–51</w:t>
        </w:r>
      </w:hyperlink>
      <w:r>
        <w:t xml:space="preserve">), e foi para ele e sua mãe que Eliezer deu presentes de ornamentos valiosos (v. </w:t>
      </w:r>
      <w:hyperlink r:id="rId12655">
        <w:r>
          <w:rPr>
            <w:color w:val="0000EE"/>
            <w:u w:val="single"/>
          </w:rPr>
          <w:t>53</w:t>
        </w:r>
      </w:hyperlink>
      <w:r>
        <w:t>).</w:t>
      </w:r>
    </w:p>
    <w:p>
      <w:r/>
      <w:r>
        <w:t>Labão desempenha um papel importante na narrativa de seu sobrinho Jacó em sua busca por uma esposa. Após o engano de Isaque por Rebeca e Jacó, Rebeca temeu que Esaú matasse Jacó, então sugeriu que ele fugisse para seu irmão, Labão (</w:t>
      </w:r>
      <w:hyperlink r:id="rId10345">
        <w:r>
          <w:rPr>
            <w:color w:val="0000EE"/>
            <w:u w:val="single"/>
          </w:rPr>
          <w:t>Gn 27.43</w:t>
        </w:r>
      </w:hyperlink>
      <w:r>
        <w:t>); enquanto isso, ela persuadiu Isaque de que Jacó deveria ir para Harã para encontrar uma esposa entre seu próprio povo. Quando Jacó chegou à região de Harã, ele conheceu Raquel, a filha mais nova de Labão, e foi calorosamente recebido (</w:t>
      </w:r>
      <w:hyperlink r:id="rId12656">
        <w:r>
          <w:rPr>
            <w:color w:val="0000EE"/>
            <w:u w:val="single"/>
          </w:rPr>
          <w:t>29.13</w:t>
        </w:r>
      </w:hyperlink>
      <w:r>
        <w:t>). Labão contratou Jacó para cuidar de seus rebanhos, e foi acordado que após sete anos de trabalho Jacó receberia Raquel como pagamento. No final desse período, Labão substituiu Lia, sua filha mais velha. Jacó protestou, mas os dois homens finalmente decidiram que Jacó deveria servir mais sete anos por Raquel.</w:t>
      </w:r>
    </w:p>
    <w:p>
      <w:r/>
      <w:r>
        <w:t>Tanto Jacó quanto Labão eram trapaceiros e tiveram sérias disputas sobre salários. Jacó propôs que seus salários fossem uma certa porção dos rebanhos. Quando isso foi aceito, o Senhor abençoou Jacó e seus rebanhos, e Labão ficou furioso. Jacó afirmou que Labão havia mudado seus salários dez vezes (</w:t>
      </w:r>
      <w:hyperlink r:id="rId12657">
        <w:r>
          <w:rPr>
            <w:color w:val="0000EE"/>
            <w:u w:val="single"/>
          </w:rPr>
          <w:t>Gn 31.7,41</w:t>
        </w:r>
      </w:hyperlink>
      <w:r>
        <w:t>).</w:t>
      </w:r>
    </w:p>
    <w:p>
      <w:r/>
      <w:r>
        <w:t>Jacó fugiu de Harã. Labão o perseguiu porque estava sem seus deuses domésticos, cuja posse tornava o portador herdeiro da propriedade de Labão. Raquel os havia levado, mas os escondeu habilmente da busca de seu pai.</w:t>
      </w:r>
    </w:p>
    <w:p>
      <w:r/>
      <w:r>
        <w:t>Labão e Jacó se separaram após fazerem uma aliança de paz e erguerem uma coluna de pedras para servir como testemunho entre eles (</w:t>
      </w:r>
      <w:hyperlink r:id="rId12658">
        <w:r>
          <w:rPr>
            <w:color w:val="0000EE"/>
            <w:u w:val="single"/>
          </w:rPr>
          <w:t>Gn 31.46–50</w:t>
        </w:r>
      </w:hyperlink>
      <w:r>
        <w:t>).</w:t>
      </w:r>
    </w:p>
    <w:p>
      <w:r/>
      <w:r>
        <w:rPr>
          <w:i/>
        </w:rPr>
        <w:t>Veja também</w:t>
      </w:r>
      <w:r>
        <w:t xml:space="preserve"> </w:t>
      </w:r>
      <w:r>
        <w:t>Jacó #1</w:t>
      </w:r>
      <w:r>
        <w:t>.</w:t>
      </w:r>
      <w:r/>
      <w:r/>
    </w:p>
    <w:p>
      <w:r/>
    </w:p>
    <w:p>
      <w:pPr>
        <w:pStyle w:val="Heading2"/>
      </w:pPr>
      <w:r>
        <w:t>Lael</w:t>
      </w:r>
      <w:r/>
    </w:p>
    <w:p>
      <w:r/>
      <w:r>
        <w:t>Um levita da família de Gérson. Ele era o pai de Eliasafe (</w:t>
      </w:r>
      <w:hyperlink r:id="rId12659">
        <w:r>
          <w:rPr>
            <w:color w:val="0000EE"/>
            <w:u w:val="single"/>
          </w:rPr>
          <w:t>Nm 3.24</w:t>
        </w:r>
      </w:hyperlink>
      <w:r>
        <w:t>).</w:t>
      </w:r>
      <w:r/>
      <w:r/>
    </w:p>
    <w:p>
      <w:r/>
    </w:p>
    <w:p>
      <w:pPr>
        <w:pStyle w:val="Heading2"/>
      </w:pPr>
      <w:r>
        <w:t>Lagartixa</w:t>
      </w:r>
      <w:r/>
    </w:p>
    <w:p>
      <w:r/>
      <w:r>
        <w:t xml:space="preserve">Um gecko é um pequeno lagarto que pertence à família científica </w:t>
      </w:r>
      <w:r>
        <w:rPr>
          <w:i/>
        </w:rPr>
        <w:t>Gekkonidae</w:t>
      </w:r>
      <w:r>
        <w:t>.</w:t>
      </w:r>
    </w:p>
    <w:p>
      <w:r/>
      <w:r>
        <w:t xml:space="preserve">Na lei alimentar judaica, o lagarto-gecko era considerado cerimonialmente impuro. A região da Palestina e Israel possui sete tipos diferentes de espécies de lagartos-gecko, como </w:t>
      </w:r>
      <w:r>
        <w:rPr>
          <w:i/>
        </w:rPr>
        <w:t>Hemidactylus turcicus</w:t>
      </w:r>
      <w:r>
        <w:t xml:space="preserve"> e </w:t>
      </w:r>
      <w:r>
        <w:rPr>
          <w:i/>
        </w:rPr>
        <w:t>Ptyodactylus hasselquistii</w:t>
      </w:r>
      <w:r>
        <w:t>. Todas essas espécies de lagartos-gecko se alimentam de insetos. Os lagartos-gecko emitem um som que se assemelha a um lamento ao vibrarem rapidamente suas línguas. Segundo lendas, acreditava-se que os lagartos-gecko poderiam causar lepra (uma doença de pele) ao rastejarem sobre alguém.</w:t>
      </w:r>
    </w:p>
    <w:p>
      <w:r/>
      <w:r>
        <w:t>Os geckos também são chamados de lagartixas de parede. Este nome vem de sua capacidade de andar em tetos usando discos de sucção em seus dedos. No entanto, eles frequentemente caem nas casas das pessoas. Como eram considerados cerimonialmente impuros, sua presença era muito problemática para as famílias judias (</w:t>
      </w:r>
      <w:hyperlink r:id="rId1689">
        <w:r>
          <w:rPr>
            <w:color w:val="0000EE"/>
            <w:u w:val="single"/>
          </w:rPr>
          <w:t>Lv 11.31–38</w:t>
        </w:r>
      </w:hyperlink>
      <w:r>
        <w:t>).</w:t>
      </w:r>
    </w:p>
    <w:p>
      <w:r/>
      <w:r>
        <w:t xml:space="preserve">Em </w:t>
      </w:r>
      <w:hyperlink r:id="rId1570">
        <w:r>
          <w:rPr>
            <w:color w:val="0000EE"/>
            <w:u w:val="single"/>
          </w:rPr>
          <w:t>Levítico 11.30</w:t>
        </w:r>
      </w:hyperlink>
      <w:r>
        <w:t>, os tradutores da ARC e da TB2010 identificaram incorretamente o lagarto como uma topeira.</w:t>
      </w:r>
    </w:p>
    <w:p>
      <w:r/>
      <w:r>
        <w:rPr>
          <w:i/>
        </w:rPr>
        <w:t>Veja também</w:t>
      </w:r>
      <w:r>
        <w:t xml:space="preserve"> </w:t>
      </w:r>
      <w:r>
        <w:t>Lagarto</w:t>
      </w:r>
      <w:r>
        <w:t>.</w:t>
      </w:r>
      <w:r/>
      <w:r/>
    </w:p>
    <w:p>
      <w:r/>
    </w:p>
    <w:p>
      <w:pPr>
        <w:pStyle w:val="Heading2"/>
      </w:pPr>
      <w:r>
        <w:t>Lago De Fogo</w:t>
      </w:r>
      <w:r/>
    </w:p>
    <w:p>
      <w:r/>
      <w:r>
        <w:t>A morada final de Satanás, seus servos e seres humanos impenitentes.</w:t>
      </w:r>
    </w:p>
    <w:p>
      <w:r/>
      <w:r>
        <w:t>Este lugar é mencionado apenas em Apocalipse (</w:t>
      </w:r>
      <w:hyperlink r:id="rId8093">
        <w:r>
          <w:rPr>
            <w:color w:val="0000EE"/>
            <w:u w:val="single"/>
          </w:rPr>
          <w:t>Ap 19.20</w:t>
        </w:r>
      </w:hyperlink>
      <w:r>
        <w:t xml:space="preserve">; </w:t>
      </w:r>
      <w:hyperlink r:id="rId6693">
        <w:r>
          <w:rPr>
            <w:color w:val="0000EE"/>
            <w:u w:val="single"/>
          </w:rPr>
          <w:t>20.10,14–15</w:t>
        </w:r>
      </w:hyperlink>
      <w:r>
        <w:t xml:space="preserve">; </w:t>
      </w:r>
      <w:hyperlink r:id="rId144">
        <w:r>
          <w:rPr>
            <w:color w:val="0000EE"/>
            <w:u w:val="single"/>
          </w:rPr>
          <w:t>21.8</w:t>
        </w:r>
      </w:hyperlink>
      <w:r>
        <w:t>), mas sua natureza terrível é abundantemente clara. É descrito como um lago de fogo ou lago de enxofre ardente no qual são lançados (1) a “besta” e seu “falso profeta” após o Cordeiro os derrotar, (2) Satanás após sua última rebelião, (3) Morte e Hades, e (4) todos os nomes que não são encontrados no “Livro da Vida”. É chamado de segunda morte, pois é a separação final de Deus para além da ressurreição e julgamento final.</w:t>
      </w:r>
    </w:p>
    <w:p>
      <w:r/>
      <w:r>
        <w:t>O lago de fogo é provavelmente o mesmo lugar que Jesus chama de Geena (</w:t>
      </w:r>
      <w:hyperlink r:id="rId953">
        <w:r>
          <w:rPr>
            <w:color w:val="0000EE"/>
            <w:u w:val="single"/>
          </w:rPr>
          <w:t>Mt 10.28</w:t>
        </w:r>
      </w:hyperlink>
      <w:r>
        <w:t xml:space="preserve">; </w:t>
      </w:r>
      <w:hyperlink r:id="rId9803">
        <w:r>
          <w:rPr>
            <w:color w:val="0000EE"/>
            <w:u w:val="single"/>
          </w:rPr>
          <w:t>Mc 9.43</w:t>
        </w:r>
      </w:hyperlink>
      <w:r>
        <w:t xml:space="preserve">; </w:t>
      </w:r>
      <w:hyperlink r:id="rId954">
        <w:r>
          <w:rPr>
            <w:color w:val="0000EE"/>
            <w:u w:val="single"/>
          </w:rPr>
          <w:t>Lc 12.5</w:t>
        </w:r>
      </w:hyperlink>
      <w:r>
        <w:t>), as “escuridão” (</w:t>
      </w:r>
      <w:hyperlink r:id="rId8318">
        <w:r>
          <w:rPr>
            <w:color w:val="0000EE"/>
            <w:u w:val="single"/>
          </w:rPr>
          <w:t>Mt 8.12</w:t>
        </w:r>
      </w:hyperlink>
      <w:r>
        <w:t xml:space="preserve">; </w:t>
      </w:r>
      <w:hyperlink r:id="rId7077">
        <w:r>
          <w:rPr>
            <w:color w:val="0000EE"/>
            <w:u w:val="single"/>
          </w:rPr>
          <w:t>22.13</w:t>
        </w:r>
      </w:hyperlink>
      <w:r>
        <w:t xml:space="preserve">; </w:t>
      </w:r>
      <w:hyperlink r:id="rId8319">
        <w:r>
          <w:rPr>
            <w:color w:val="0000EE"/>
            <w:u w:val="single"/>
          </w:rPr>
          <w:t>25.30</w:t>
        </w:r>
      </w:hyperlink>
      <w:r>
        <w:t>), e o fogo eterno preparado para o diabo e seus anjos (</w:t>
      </w:r>
      <w:hyperlink r:id="rId6692">
        <w:r>
          <w:rPr>
            <w:color w:val="0000EE"/>
            <w:u w:val="single"/>
          </w:rPr>
          <w:t>Mt 25.41</w:t>
        </w:r>
      </w:hyperlink>
      <w:r>
        <w:t xml:space="preserve">; cf. </w:t>
      </w:r>
      <w:hyperlink r:id="rId9800">
        <w:r>
          <w:rPr>
            <w:color w:val="0000EE"/>
            <w:u w:val="single"/>
          </w:rPr>
          <w:t>Is 66.24</w:t>
        </w:r>
      </w:hyperlink>
      <w:r>
        <w:t>). A imagem é derivada dos incêndios no vale de Hinom, fora de Jerusalém, e talvez do fluxo de fogo que emana do trono de Deus (</w:t>
      </w:r>
      <w:hyperlink r:id="rId9799">
        <w:r>
          <w:rPr>
            <w:color w:val="0000EE"/>
            <w:u w:val="single"/>
          </w:rPr>
          <w:t>Is 30.33</w:t>
        </w:r>
      </w:hyperlink>
      <w:r>
        <w:t xml:space="preserve">; </w:t>
      </w:r>
      <w:hyperlink r:id="rId3264">
        <w:r>
          <w:rPr>
            <w:color w:val="0000EE"/>
            <w:u w:val="single"/>
          </w:rPr>
          <w:t>Dn 7.10</w:t>
        </w:r>
      </w:hyperlink>
      <w:r>
        <w:t xml:space="preserve">; cf. </w:t>
      </w:r>
      <w:hyperlink r:id="rId12660">
        <w:r>
          <w:rPr>
            <w:color w:val="0000EE"/>
            <w:u w:val="single"/>
          </w:rPr>
          <w:t>Is 34.9–10</w:t>
        </w:r>
      </w:hyperlink>
      <w:r>
        <w:t xml:space="preserve">). A imagem era conhecida pelos judeus, bem como escritores cristãos (Ascenção de Moisés 10.10; </w:t>
      </w:r>
      <w:hyperlink r:id="rId9798">
        <w:r>
          <w:rPr>
            <w:color w:val="0000EE"/>
            <w:u w:val="single"/>
          </w:rPr>
          <w:t>2Ed 7.36</w:t>
        </w:r>
      </w:hyperlink>
      <w:r>
        <w:t>). Qualquer que seja a imagem ou nome, todos eles apontam para um lugar de tormento eterno e separação de Deus, onde os impenitentes sofrerão para sempre.</w:t>
      </w:r>
    </w:p>
    <w:p>
      <w:r/>
      <w:r>
        <w:rPr>
          <w:i/>
        </w:rPr>
        <w:t>Veja também</w:t>
      </w:r>
      <w:r>
        <w:t xml:space="preserve"> </w:t>
      </w:r>
      <w:r>
        <w:t>Geena</w:t>
      </w:r>
      <w:r>
        <w:t xml:space="preserve">; </w:t>
      </w:r>
      <w:r>
        <w:t>Julgamento Final</w:t>
      </w:r>
      <w:r>
        <w:t>.</w:t>
      </w:r>
      <w:r/>
      <w:r/>
    </w:p>
    <w:p>
      <w:r/>
    </w:p>
    <w:p>
      <w:pPr>
        <w:pStyle w:val="Heading2"/>
      </w:pPr>
      <w:r>
        <w:t>Lamentações, Livro de</w:t>
      </w:r>
      <w:r/>
    </w:p>
    <w:p>
      <w:r/>
      <w:r>
        <w:t>Livro composto por cinco poemas que formam um lamento formal sobre a queda de Jerusalém.</w:t>
      </w:r>
    </w:p>
    <w:p>
      <w:r/>
      <w:r>
        <w:t>Resumo:</w:t>
      </w:r>
    </w:p>
    <w:p>
      <w:r/>
      <w:r>
        <w:t>• Autor</w:t>
      </w:r>
    </w:p>
    <w:p>
      <w:r/>
      <w:r>
        <w:t>• Dados</w:t>
      </w:r>
    </w:p>
    <w:p>
      <w:r/>
      <w:r>
        <w:t>• Contexto</w:t>
      </w:r>
    </w:p>
    <w:p>
      <w:r/>
      <w:r>
        <w:t>• Estrutura</w:t>
      </w:r>
    </w:p>
    <w:p>
      <w:r/>
      <w:r>
        <w:t>• Propósito e ensino de teologia</w:t>
      </w:r>
    </w:p>
    <w:p>
      <w:r/>
      <w:r>
        <w:t>• Conteúdo</w:t>
      </w:r>
    </w:p>
    <w:p>
      <w:pPr>
        <w:pStyle w:val="Heading3"/>
      </w:pPr>
      <w:r>
        <w:t>Autor</w:t>
      </w:r>
    </w:p>
    <w:p>
      <w:r/>
      <w:r>
        <w:t>O livro de Lamentações tem sido tradicionalmente atribuído ao profeta Jeremias. Esta atribuição é apoiada pela Vulgata Latina e pela Septuaginta.</w:t>
      </w:r>
    </w:p>
    <w:p>
      <w:r/>
      <w:r>
        <w:t>A autoria de Jeremias para o livro tem sido questionada por muitos estudiosos. As principais razões para isso são os diferentes estilos literários dos livros de Jeremias e Lamentações e os supostos pontos de vista conflitantes nos dois livros.</w:t>
      </w:r>
    </w:p>
    <w:p>
      <w:r/>
      <w:r>
        <w:t xml:space="preserve">Os estilos literários desses livros são marcadamente diferentes. As profecias do livro de Jeremias são pronunciamentos fluidos que criam uma impressão de espontaneidade e são bastante diferentes das estruturas literárias elaboradas de Lamentações. Mas é um tanto arbitrário afirmar que Jeremias não poderia ter escrito o livro de Lamentações com base no estilo. A escolha da forma acróstica naturalmente limitaria o alcance da liberdade do escritor e afetaria profundamente seu estilo. É claro a partir de </w:t>
      </w:r>
      <w:hyperlink r:id="rId6042">
        <w:r>
          <w:rPr>
            <w:color w:val="0000EE"/>
            <w:u w:val="single"/>
          </w:rPr>
          <w:t>2 Crônicas 35.25</w:t>
        </w:r>
      </w:hyperlink>
      <w:r>
        <w:t xml:space="preserve"> que Jeremias compôs o mesmo tipo de material encontrado em Lamentações. Como os sermões do livro de Jeremias foram destinados à proclamação pública, eles naturalmente teriam uma espontaneidade que o livro de Lamentações não possuiria. Certamente, a natureza sensível refletida nas profecias de Jeremias também caracterizou o autor de Lamentações.</w:t>
      </w:r>
    </w:p>
    <w:p>
      <w:r/>
      <w:r>
        <w:t>Típico das supostas diferenças de ponto de vista usadas para negar a autoria jeremíaca é o papel das nações na destruição de Jerusalém. Em sua profecia, Jeremias viu os babilônios invasores como uma ferramenta do castigo de Deus e apelou aos judeus para se renderem aos invasores (</w:t>
      </w:r>
      <w:hyperlink r:id="rId12661">
        <w:r>
          <w:rPr>
            <w:color w:val="0000EE"/>
            <w:u w:val="single"/>
          </w:rPr>
          <w:t>Jr 28.3</w:t>
        </w:r>
      </w:hyperlink>
      <w:r>
        <w:t>). O livro das Lamentações parece fazer de Deus o autor direto do castigo e vê as nações inimigas apenas como espectadores que também experimentarão a ira de Deus (</w:t>
      </w:r>
      <w:hyperlink r:id="rId12662">
        <w:r>
          <w:rPr>
            <w:color w:val="0000EE"/>
            <w:u w:val="single"/>
          </w:rPr>
          <w:t>Lm 1.21</w:t>
        </w:r>
      </w:hyperlink>
      <w:r>
        <w:t xml:space="preserve">; </w:t>
      </w:r>
      <w:hyperlink r:id="rId12663">
        <w:r>
          <w:rPr>
            <w:color w:val="0000EE"/>
            <w:u w:val="single"/>
          </w:rPr>
          <w:t>3.59–66</w:t>
        </w:r>
      </w:hyperlink>
      <w:r>
        <w:t>). Deve-se notar, no entanto, que os inimigos referidos em Lamentações não são apenas os babilônios, mas todos os poderes hostis que ameaçaram Judá e se regozijaram com sua destruição (</w:t>
      </w:r>
      <w:hyperlink r:id="rId12662">
        <w:r>
          <w:rPr>
            <w:color w:val="0000EE"/>
            <w:u w:val="single"/>
          </w:rPr>
          <w:t>1.21</w:t>
        </w:r>
      </w:hyperlink>
      <w:r>
        <w:t xml:space="preserve">). A garantia de que Deus julgará esses inimigos não é uma negação da mensagem do livro de Jeremias, pois seria artificial para Jeremias supor que os babilônios, mesmo sendo um instrumento da ira de Deus, estivessem isentos de punição. Tal conceito está em desacordo com </w:t>
      </w:r>
      <w:hyperlink r:id="rId12664">
        <w:r>
          <w:rPr>
            <w:color w:val="0000EE"/>
            <w:u w:val="single"/>
          </w:rPr>
          <w:t>Jeremias 12.14–17</w:t>
        </w:r>
      </w:hyperlink>
      <w:r>
        <w:t>.</w:t>
      </w:r>
    </w:p>
    <w:p>
      <w:r/>
      <w:r>
        <w:t>Várias frases usadas no livro de Jeremias também são encontradas em Lamentações. As expressões “de todos os lados, os meus terríveis inimigos” (</w:t>
      </w:r>
      <w:hyperlink r:id="rId7054">
        <w:r>
          <w:rPr>
            <w:color w:val="0000EE"/>
            <w:u w:val="single"/>
          </w:rPr>
          <w:t>Lm 2.22</w:t>
        </w:r>
      </w:hyperlink>
      <w:r>
        <w:t xml:space="preserve">; cf. </w:t>
      </w:r>
      <w:hyperlink r:id="rId12665">
        <w:r>
          <w:rPr>
            <w:color w:val="0000EE"/>
            <w:u w:val="single"/>
          </w:rPr>
          <w:t>Jr 6.25</w:t>
        </w:r>
      </w:hyperlink>
      <w:r>
        <w:t xml:space="preserve">; </w:t>
      </w:r>
      <w:hyperlink r:id="rId12666">
        <w:r>
          <w:rPr>
            <w:color w:val="0000EE"/>
            <w:u w:val="single"/>
          </w:rPr>
          <w:t>20.10</w:t>
        </w:r>
      </w:hyperlink>
      <w:r>
        <w:t>) e “amargas” (</w:t>
      </w:r>
      <w:hyperlink r:id="rId206">
        <w:r>
          <w:rPr>
            <w:color w:val="0000EE"/>
            <w:u w:val="single"/>
          </w:rPr>
          <w:t>Lm 3.15,19</w:t>
        </w:r>
      </w:hyperlink>
      <w:r>
        <w:t xml:space="preserve">; cf. </w:t>
      </w:r>
      <w:hyperlink r:id="rId204">
        <w:r>
          <w:rPr>
            <w:color w:val="0000EE"/>
            <w:u w:val="single"/>
          </w:rPr>
          <w:t>Jr 9.15</w:t>
        </w:r>
      </w:hyperlink>
      <w:r>
        <w:t xml:space="preserve">; </w:t>
      </w:r>
      <w:hyperlink r:id="rId205">
        <w:r>
          <w:rPr>
            <w:color w:val="0000EE"/>
            <w:u w:val="single"/>
          </w:rPr>
          <w:t>23.15</w:t>
        </w:r>
      </w:hyperlink>
      <w:r>
        <w:t>) são exemplos disso. Este fato apoia o conceito de autoria jeremiana do livro.</w:t>
      </w:r>
    </w:p>
    <w:p>
      <w:r/>
      <w:r>
        <w:t>Outras razões citadas para a negação da autoria de Jeremias são a ausência do nome de Jeremias em Lamentações e a posição do livro nos escritos, e não nos profetas, na bíblia hebraica. A ausência do nome de Jeremias não é um argumento convincente contra sua autoria; há um número significativo de livros do Antigo Testamento cujos autores não são mencionados. Como o livro de Lamentações é um lamento formal e, portanto, diferente do livro de Jeremias com suas numerosas referências autobiográficas, não se esperaria alusões pessoais pelo autor.</w:t>
      </w:r>
    </w:p>
    <w:p>
      <w:r/>
      <w:r>
        <w:t>A posição de Lamentações na terceira divisão da bíblia hebraica é às vezes utilizada por aqueles que questionam a autoria de Jeremias. Como Jeremias está na segunda divisão, argumenta-se que Lamentações foi escrita tarde demais para ter sido de autoria de Jeremias. Deve-se notar, no entanto, que há uma falta de unidade nas listas iniciais dos livros canônicos na terceira divisão. É difícil atribuir uma data tardia a um livro da terceira divisão apenas por causa de sua inclusão nessa divisão. O pai da igreja primitiva, Jerônimo, indicou que Lamentações estava uma vez no mesmo rolo que Jeremias.</w:t>
      </w:r>
    </w:p>
    <w:p>
      <w:pPr>
        <w:pStyle w:val="Heading3"/>
      </w:pPr>
      <w:r>
        <w:t>Data</w:t>
      </w:r>
    </w:p>
    <w:p>
      <w:r/>
      <w:r>
        <w:t>Se o livro de Lamentações foi escrito por Jeremias, a escrita teria ocorrido logo após a queda de Jerusalém (586 a.C.). É extremamente difícil imaginar um autor de tempos posteriores escrevendo um lamento tão pungente sobre a queda de Jerusalém. As descrições vívidas do sofrimento enfrentado pelos habitantes de Jerusalém apoiam a ideia de que o livro foi escrito por uma testemunha ocular dos eventos.</w:t>
      </w:r>
    </w:p>
    <w:p>
      <w:pPr>
        <w:pStyle w:val="Heading3"/>
      </w:pPr>
      <w:r>
        <w:t>Contexto</w:t>
      </w:r>
    </w:p>
    <w:p>
      <w:r/>
      <w:r>
        <w:t xml:space="preserve">Após muitos meses de cerco pelos exércitos babilônicos, Jerusalém caiu, e ocorreu a deportação final do povo de Judá. A confirmação extrabíblica da devastação causada pela invasão babilônica pode ser encontrada nas cartas de Laquis, que registram a mensagem de um soldado no campo que indica que está observando os sinais de Laquis, mas não consegue ver os sinais de Azeca (cf. </w:t>
      </w:r>
      <w:hyperlink r:id="rId5325">
        <w:r>
          <w:rPr>
            <w:color w:val="0000EE"/>
            <w:u w:val="single"/>
          </w:rPr>
          <w:t>Jr 34.7</w:t>
        </w:r>
      </w:hyperlink>
      <w:r>
        <w:t>).</w:t>
      </w:r>
    </w:p>
    <w:p>
      <w:r/>
      <w:r>
        <w:t>O período que antecedeu a queda de Jerusalém foi marcado por conflitos internos e intrigas políticas. Jeremias aconselhou a rendição, enquanto os líderes chauvinistas de Jerusalém tentaram encorajar os judaítas a continuarem lutando contra o ataque babilônico. O papel de Jeremias nesses eventos finais foi delicado. Sua vida foi ameaçada, e ele sofreu inúmeras prisões.</w:t>
      </w:r>
    </w:p>
    <w:p>
      <w:r/>
      <w:r>
        <w:t>A queda de Jerusalém significou mais do que uma derrota vergonhosa e exílio. Embora isso já fosse difícil de suportar, a emergência teológica provocada pelo evento teria sido a coisa mais difícil para os judeus crentes compreenderem. A queda da cidade na qual Deus escolheu se revelar teria sinalizado o fim das promessas de Deus. O Antigo Testamento claramente estabelecia um futuro glorioso para Jerusalém. Ela deveria ser o centro do reino messiânico no fim dos tempos (</w:t>
      </w:r>
      <w:hyperlink r:id="rId12667">
        <w:r>
          <w:rPr>
            <w:color w:val="0000EE"/>
            <w:u w:val="single"/>
          </w:rPr>
          <w:t>Mq 4</w:t>
        </w:r>
      </w:hyperlink>
      <w:r>
        <w:t>). A destruição da cidade faria muitos questionarem a veracidade da palavra de Deus. As lamentações neste livro não são apenas pelo sofrimento que acompanhou a queda da cidade, mas também pelas profundas questões espirituais levantadas por sua destruição.</w:t>
      </w:r>
    </w:p>
    <w:p>
      <w:pPr>
        <w:pStyle w:val="Heading3"/>
      </w:pPr>
      <w:r>
        <w:t>Estrutura</w:t>
      </w:r>
    </w:p>
    <w:p>
      <w:r/>
      <w:r>
        <w:t>Cada poema possui um padrão simétrico distinto. O primeiro (</w:t>
      </w:r>
      <w:hyperlink r:id="rId12668">
        <w:r>
          <w:rPr>
            <w:color w:val="0000EE"/>
            <w:u w:val="single"/>
          </w:rPr>
          <w:t>Lm 1</w:t>
        </w:r>
      </w:hyperlink>
      <w:r>
        <w:t>) é um acróstico elaborado, composto por segmentos de três linhas. Existem 22 segmentos, cada um começando com uma letra diferente do alfabeto hebraico, seguindo em ordem da primeira à última. O segundo poema (</w:t>
      </w:r>
      <w:hyperlink r:id="rId12668">
        <w:r>
          <w:rPr>
            <w:color w:val="0000EE"/>
            <w:u w:val="single"/>
          </w:rPr>
          <w:t>Lm 2</w:t>
        </w:r>
      </w:hyperlink>
      <w:r>
        <w:t>) é semelhante, exceto por uma transposição de duas letras hebraicas. O terceiro poema (</w:t>
      </w:r>
      <w:hyperlink r:id="rId12668">
        <w:r>
          <w:rPr>
            <w:color w:val="0000EE"/>
            <w:u w:val="single"/>
          </w:rPr>
          <w:t>Lm 3</w:t>
        </w:r>
      </w:hyperlink>
      <w:r>
        <w:t>) também é composto por segmentos de três linhas, mas cada linha começa com uma letra diferente do alfabeto hebraico, ao contrário dos dois primeiros poemas, onde apenas a primeira linha de cada segmento começa com uma letra diferente. As mesmas letras hebraicas são transpostas. O quarto poema (</w:t>
      </w:r>
      <w:hyperlink r:id="rId12668">
        <w:r>
          <w:rPr>
            <w:color w:val="0000EE"/>
            <w:u w:val="single"/>
          </w:rPr>
          <w:t>Lm 4</w:t>
        </w:r>
      </w:hyperlink>
      <w:r>
        <w:t>) é um acróstico composto por segmentos de duas linhas. A primeira linha de cada segmento começa com a letra hebraica apropriada. O último poema (</w:t>
      </w:r>
      <w:hyperlink r:id="rId12668">
        <w:r>
          <w:rPr>
            <w:color w:val="0000EE"/>
            <w:u w:val="single"/>
          </w:rPr>
          <w:t>Lm 5</w:t>
        </w:r>
      </w:hyperlink>
      <w:r>
        <w:t>) não é um acróstico, mas contém o mesmo número de letras que o alfabeto hebraico.</w:t>
      </w:r>
    </w:p>
    <w:p>
      <w:r/>
      <w:r>
        <w:t xml:space="preserve">A razão para essa estrutura complexa é desconhecida. Foi sugerido que seja um dispositivo para ajudar na memorização. Outra sugestão é que os hebreus podem ter visto o alfabeto como representando o conceito de totalidade ou completude. Essa ideia deriva do fato de que o alfabeto hebraico representava números, assim como letras. Esse conceito de totalidade pode estar refletido na referência às primeiras e últimas letras do alfabeto grego em </w:t>
      </w:r>
      <w:hyperlink r:id="rId12669">
        <w:r>
          <w:rPr>
            <w:color w:val="0000EE"/>
            <w:u w:val="single"/>
          </w:rPr>
          <w:t>Apocalipse 1.8</w:t>
        </w:r>
      </w:hyperlink>
      <w:r>
        <w:t>: “Eu sou o Alfa e o Ômega.” É bastante possível que a expressão de lamentação na estrutura do alfabeto hebraico pudesse ter representado toda a gama de tristeza sentida pelo autor enquanto ponderava sobre a queda da cidade de Jerusalém.</w:t>
      </w:r>
    </w:p>
    <w:p>
      <w:pPr>
        <w:pStyle w:val="Heading3"/>
      </w:pPr>
      <w:r>
        <w:t>Propósito e ensino teológico</w:t>
      </w:r>
    </w:p>
    <w:p>
      <w:r/>
      <w:r>
        <w:t>Um dos principais propósitos do livro de Lamentações foi expressar a profunda tristeza que Jeremias sentiu como resultado da catástrofe de Jerusalém. Ao escrever o livro, ele expressou a dor de todos os judeus de sua época e lhes proporcionou um meio de extravasar seu sofrimento.</w:t>
      </w:r>
    </w:p>
    <w:p>
      <w:r/>
      <w:r>
        <w:t xml:space="preserve">O livro não contém apenas lamentações, mas também expressa esperança e conforto. Assim, outro de seus propósitos era elevar os corações do povo e direcioná-los para Deus, a fonte de todo conforto. Uma das maiores expressões de esperança no livro é encontrada em </w:t>
      </w:r>
      <w:hyperlink r:id="rId12670">
        <w:r>
          <w:rPr>
            <w:color w:val="0000EE"/>
            <w:u w:val="single"/>
          </w:rPr>
          <w:t>3.22,23</w:t>
        </w:r>
      </w:hyperlink>
      <w:r>
        <w:t>: “O amor do Senhor Deus não se acaba, e a sua bondade não tem fim. Esse amor e essa bondade são novos todas as manhãs; e como é grande a fidelidade do Senhor".</w:t>
      </w:r>
    </w:p>
    <w:p>
      <w:r/>
      <w:r>
        <w:t>Talvez o propósito mais importante do livro fosse explicar a razão teológica para a catástrofe. O livro destaca a razão para a queda de Jerusalém de forma clara e demonstra o que pode ser aprendido sobre Deus a partir disso. A razão dada para a queda de Jerusalém é o pecado do povo (</w:t>
      </w:r>
      <w:hyperlink r:id="rId12671">
        <w:r>
          <w:rPr>
            <w:color w:val="0000EE"/>
            <w:u w:val="single"/>
          </w:rPr>
          <w:t>1.8–9,14</w:t>
        </w:r>
      </w:hyperlink>
      <w:r>
        <w:t xml:space="preserve">; </w:t>
      </w:r>
      <w:hyperlink r:id="rId12672">
        <w:r>
          <w:rPr>
            <w:color w:val="0000EE"/>
            <w:u w:val="single"/>
          </w:rPr>
          <w:t>4.13</w:t>
        </w:r>
      </w:hyperlink>
      <w:r>
        <w:t>). A queda da cidade é uma ilustração vívida da justiça de Deus em não ignorar o pecado, mesmo naqueles que são seus (</w:t>
      </w:r>
      <w:hyperlink r:id="rId12673">
        <w:r>
          <w:rPr>
            <w:color w:val="0000EE"/>
            <w:u w:val="single"/>
          </w:rPr>
          <w:t>1.18</w:t>
        </w:r>
      </w:hyperlink>
      <w:r>
        <w:t>). Demonstra o fato de que Deus pode parecer um inimigo para seu povo quando eles são desobedientes (</w:t>
      </w:r>
      <w:hyperlink r:id="rId12674">
        <w:r>
          <w:rPr>
            <w:color w:val="0000EE"/>
            <w:u w:val="single"/>
          </w:rPr>
          <w:t>2.5–7</w:t>
        </w:r>
      </w:hyperlink>
      <w:r>
        <w:t xml:space="preserve">). Mostra que a catástrofe não estava fora dos propósitos de Deus (v. </w:t>
      </w:r>
      <w:hyperlink r:id="rId12675">
        <w:r>
          <w:rPr>
            <w:color w:val="0000EE"/>
            <w:u w:val="single"/>
          </w:rPr>
          <w:t>17</w:t>
        </w:r>
      </w:hyperlink>
      <w:r>
        <w:t>) e descreve vividamente os resultados que podem advir da desobediência deliberada. Mas Deus é visto como um Deus de misericórdia e fidelidade também. Mesmo que Jeremias visse sua amada pátria desmoronando ao seu redor, restava um grande elemento de estabilidade: a lealdade de Deus às suas promessas. Jeremias sabia que isso não era o fim, pois ele confiava no amor constante do Senhor e aprendeu a esperar silenciosamente para que Deus agisse em seu tempo (</w:t>
      </w:r>
      <w:hyperlink r:id="rId12676">
        <w:r>
          <w:rPr>
            <w:color w:val="0000EE"/>
            <w:u w:val="single"/>
          </w:rPr>
          <w:t>3.22–27</w:t>
        </w:r>
      </w:hyperlink>
      <w:r>
        <w:t>).</w:t>
      </w:r>
    </w:p>
    <w:p>
      <w:pPr>
        <w:pStyle w:val="Heading3"/>
      </w:pPr>
      <w:r>
        <w:t>Conteúdo</w:t>
      </w:r>
    </w:p>
    <w:p>
      <w:r/>
      <w:r>
        <w:t>O primeiro capítulo é uma lamentação sobre o cativeiro dos cidadãos de Jerusalém e a desolação consequente da cidade.</w:t>
      </w:r>
    </w:p>
    <w:p>
      <w:r/>
      <w:r>
        <w:t xml:space="preserve">O autor alude a </w:t>
      </w:r>
      <w:hyperlink r:id="rId12677">
        <w:r>
          <w:rPr>
            <w:color w:val="0000EE"/>
            <w:u w:val="single"/>
          </w:rPr>
          <w:t>Deuteronômio 28.64–65</w:t>
        </w:r>
      </w:hyperlink>
      <w:r>
        <w:t xml:space="preserve"> no início da primeira lamentação (</w:t>
      </w:r>
      <w:hyperlink r:id="rId12678">
        <w:r>
          <w:rPr>
            <w:color w:val="0000EE"/>
            <w:u w:val="single"/>
          </w:rPr>
          <w:t>Lm 1.3</w:t>
        </w:r>
      </w:hyperlink>
      <w:r>
        <w:t xml:space="preserve">). Nesse trecho, Moisés advertiu o povo de que sua desobediência a Deus resultaria em sua dispersão entre as nações, sem lugar de descanso. </w:t>
      </w:r>
      <w:hyperlink r:id="rId12678">
        <w:r>
          <w:rPr>
            <w:color w:val="0000EE"/>
            <w:u w:val="single"/>
          </w:rPr>
          <w:t>Lamentações 1.3</w:t>
        </w:r>
      </w:hyperlink>
      <w:r>
        <w:t xml:space="preserve"> diz que esse aviso se concretizou.</w:t>
      </w:r>
    </w:p>
    <w:p>
      <w:r/>
      <w:r>
        <w:t>A causa do infortúnio de Israel foi o seu pecado (</w:t>
      </w:r>
      <w:hyperlink r:id="rId12679">
        <w:r>
          <w:rPr>
            <w:color w:val="0000EE"/>
            <w:u w:val="single"/>
          </w:rPr>
          <w:t>1.8a</w:t>
        </w:r>
      </w:hyperlink>
      <w:r>
        <w:t xml:space="preserve">). Este é um exemplo notável dos resultados da desobediência a Deus. Os resultados terríveis do pecado permeiam esta primeira lamentação em uma série de imagens de profundo pathos (v. </w:t>
      </w:r>
      <w:hyperlink r:id="rId12680">
        <w:r>
          <w:rPr>
            <w:color w:val="0000EE"/>
            <w:u w:val="single"/>
          </w:rPr>
          <w:t>11–12,16–17</w:t>
        </w:r>
      </w:hyperlink>
      <w:r>
        <w:t xml:space="preserve">). No meio deste sofrimento, Israel confessa que Deus estava certo (v. </w:t>
      </w:r>
      <w:hyperlink r:id="rId12673">
        <w:r>
          <w:rPr>
            <w:color w:val="0000EE"/>
            <w:u w:val="single"/>
          </w:rPr>
          <w:t>18</w:t>
        </w:r>
      </w:hyperlink>
      <w:r>
        <w:t>). A justiça de Deus envolve seu agir com integridade. Ele pune o pecado mesmo em seu próprio povo.</w:t>
      </w:r>
    </w:p>
    <w:p>
      <w:r/>
      <w:r>
        <w:t>A primeira lamentação termina com uma oração na qual o povo clama pelo julgamento de Deus sobre seus inimigos (</w:t>
      </w:r>
      <w:hyperlink r:id="rId12681">
        <w:r>
          <w:rPr>
            <w:color w:val="0000EE"/>
            <w:u w:val="single"/>
          </w:rPr>
          <w:t>1.21–22</w:t>
        </w:r>
      </w:hyperlink>
      <w:r>
        <w:t>). Tais imprecações são a maneira do crente do Antigo Testamento expressar seu anseio por um fim ao mal, como era personificado nas nações ímpias.</w:t>
      </w:r>
    </w:p>
    <w:p>
      <w:r/>
      <w:r>
        <w:t>A segunda lamentação também diz respeito à destruição de Jerusalém, mas coloca mais ênfase no julgamento de Deus. O tom é mais estridente do que na lamentação anterior. Ao longo da passagem, aparecem palavras expressando raiva (</w:t>
      </w:r>
      <w:hyperlink r:id="rId12682">
        <w:r>
          <w:rPr>
            <w:color w:val="0000EE"/>
            <w:u w:val="single"/>
          </w:rPr>
          <w:t>2.1–3,6–7</w:t>
        </w:r>
      </w:hyperlink>
      <w:r>
        <w:t>). É como se a terrível ira de Deus, evidente na destruição da cidade, ainda estivesse vívida na mente do escritor.</w:t>
      </w:r>
    </w:p>
    <w:p>
      <w:r/>
      <w:r>
        <w:t>O autor atribui a culpa pela ira de Deus diretamente aos falsos profetas (</w:t>
      </w:r>
      <w:hyperlink r:id="rId12683">
        <w:r>
          <w:rPr>
            <w:color w:val="0000EE"/>
            <w:u w:val="single"/>
          </w:rPr>
          <w:t>2.14</w:t>
        </w:r>
      </w:hyperlink>
      <w:r>
        <w:t xml:space="preserve">); no entanto, ele não isenta o povo da responsabilidade, como fica claro em outras passagens (e.g. </w:t>
      </w:r>
      <w:hyperlink r:id="rId12684">
        <w:r>
          <w:rPr>
            <w:color w:val="0000EE"/>
            <w:u w:val="single"/>
          </w:rPr>
          <w:t>1.5,8</w:t>
        </w:r>
      </w:hyperlink>
      <w:r>
        <w:t>). Foram os falsos profetas da época que falharam em alertar o povo sobre as consequências de seus pecados (</w:t>
      </w:r>
      <w:hyperlink r:id="rId12683">
        <w:r>
          <w:rPr>
            <w:color w:val="0000EE"/>
            <w:u w:val="single"/>
          </w:rPr>
          <w:t>2.14</w:t>
        </w:r>
      </w:hyperlink>
      <w:r>
        <w:t xml:space="preserve">). Por causa disso, a destruição veio, e o escritor não pode confortar o povo (v. </w:t>
      </w:r>
      <w:hyperlink r:id="rId12685">
        <w:r>
          <w:rPr>
            <w:color w:val="0000EE"/>
            <w:u w:val="single"/>
          </w:rPr>
          <w:t>13</w:t>
        </w:r>
      </w:hyperlink>
      <w:r>
        <w:t>).</w:t>
      </w:r>
    </w:p>
    <w:p>
      <w:r/>
      <w:r>
        <w:t>A segunda lamentação começa com uma referência ao escabelo de Deus (</w:t>
      </w:r>
      <w:hyperlink r:id="rId8541">
        <w:r>
          <w:rPr>
            <w:color w:val="0000EE"/>
            <w:u w:val="single"/>
          </w:rPr>
          <w:t>2.1</w:t>
        </w:r>
      </w:hyperlink>
      <w:r>
        <w:t>), provavelmente referindo-se à Arca da Aliança (</w:t>
      </w:r>
      <w:hyperlink r:id="rId8538">
        <w:r>
          <w:rPr>
            <w:color w:val="0000EE"/>
            <w:u w:val="single"/>
          </w:rPr>
          <w:t>1Cr 28.2</w:t>
        </w:r>
      </w:hyperlink>
      <w:r>
        <w:t>). A arca era o ponto focal da revelação de Deus de si mesmo. Este versículo reflete a emergência teológica da época; o escritor lamenta o fato de que Deus não se lembrou de seu "escabelo". Mesmo a arca sagrada, que marcava a presença de Deus com seu povo, não impediu Deus de destruir Jerusalém.</w:t>
      </w:r>
    </w:p>
    <w:p>
      <w:r/>
      <w:r>
        <w:t xml:space="preserve">O mesmo pensamento é expresso nos versículos </w:t>
      </w:r>
      <w:hyperlink r:id="rId12686">
        <w:r>
          <w:rPr>
            <w:color w:val="0000EE"/>
            <w:u w:val="single"/>
          </w:rPr>
          <w:t>6,7</w:t>
        </w:r>
      </w:hyperlink>
      <w:r>
        <w:t>, onde os aspectos tradicionais do culto israelita, assim como o santuário, são vistos como tendo sido destruídos por Deus. Esta importante verdade demonstra o ponto de vista de todo o livro, que considera Deus como a causa direta da desgraça.</w:t>
      </w:r>
    </w:p>
    <w:p>
      <w:r/>
      <w:r>
        <w:t>A terceira lamentação é muito pessoal. Em sua conclusão, a tristeza e a queixa se transformam em uma oração de confiança (</w:t>
      </w:r>
      <w:hyperlink r:id="rId12687">
        <w:r>
          <w:rPr>
            <w:color w:val="0000EE"/>
            <w:u w:val="single"/>
          </w:rPr>
          <w:t>3.61–66</w:t>
        </w:r>
      </w:hyperlink>
      <w:r>
        <w:t xml:space="preserve">). Nos primeiros 18 versículos deste capítulo, o escritor descreve como o Senhor o afligiu. Ele se refere a Deus na terceira pessoa, não o chamando de Senhor até pronunciar as palavras do versículo </w:t>
      </w:r>
      <w:hyperlink r:id="rId12688">
        <w:r>
          <w:rPr>
            <w:color w:val="0000EE"/>
            <w:u w:val="single"/>
          </w:rPr>
          <w:t>18</w:t>
        </w:r>
      </w:hyperlink>
      <w:r>
        <w:t xml:space="preserve">. Somente depois de derramar sua dor dessa maneira é que ele pode pronunciar o nome do Senhor. Essa dor pungente de repente se transforma em uma expressão de alegria. Ele pode afirmar a fidelidade da aliança do Senhor, e em meio à tristeza crescente, ele vê as misericórdias de Deus como novas a cada manhã (vv </w:t>
      </w:r>
      <w:hyperlink r:id="rId12689">
        <w:r>
          <w:rPr>
            <w:color w:val="0000EE"/>
            <w:u w:val="single"/>
          </w:rPr>
          <w:t>22–24</w:t>
        </w:r>
      </w:hyperlink>
      <w:r>
        <w:t xml:space="preserve">). O capítulo se encerra com uma súbita explosão de confiança (vv </w:t>
      </w:r>
      <w:hyperlink r:id="rId12690">
        <w:r>
          <w:rPr>
            <w:color w:val="0000EE"/>
            <w:u w:val="single"/>
          </w:rPr>
          <w:t>58–66</w:t>
        </w:r>
      </w:hyperlink>
      <w:r>
        <w:t xml:space="preserve">), na qual o escritor afirma sua crença de que Deus o vindicará perante seus inimigos. Somente após meditar sobre a natureza da bondade amorosa de Deus (vv </w:t>
      </w:r>
      <w:hyperlink r:id="rId12676">
        <w:r>
          <w:rPr>
            <w:color w:val="0000EE"/>
            <w:u w:val="single"/>
          </w:rPr>
          <w:t>22–27</w:t>
        </w:r>
      </w:hyperlink>
      <w:r>
        <w:t xml:space="preserve">) ele pode pronunciar essas palavras. O isolamento desesperado e a separação de Deus expressos nos versículos </w:t>
      </w:r>
      <w:hyperlink r:id="rId12691">
        <w:r>
          <w:rPr>
            <w:color w:val="0000EE"/>
            <w:u w:val="single"/>
          </w:rPr>
          <w:t>1–17</w:t>
        </w:r>
      </w:hyperlink>
      <w:r>
        <w:t xml:space="preserve"> dão lugar à medida que ele afirma a bondade de Deus. A confiança vem à medida que ele reflete sobre a natureza e a bondade de Deus.</w:t>
      </w:r>
    </w:p>
    <w:p>
      <w:r/>
      <w:r>
        <w:t>A quarta lamentação destaca que o julgamento foi merecido. O autor descreve as várias classes da população (</w:t>
      </w:r>
      <w:hyperlink r:id="rId12692">
        <w:r>
          <w:rPr>
            <w:color w:val="0000EE"/>
            <w:u w:val="single"/>
          </w:rPr>
          <w:t>4.1–16</w:t>
        </w:r>
      </w:hyperlink>
      <w:r>
        <w:t xml:space="preserve">) e mostra como cada uma foi afetada pela queda de Jerusalém. Os versículos </w:t>
      </w:r>
      <w:hyperlink r:id="rId12693">
        <w:r>
          <w:rPr>
            <w:color w:val="0000EE"/>
            <w:u w:val="single"/>
          </w:rPr>
          <w:t>12–20</w:t>
        </w:r>
      </w:hyperlink>
      <w:r>
        <w:t xml:space="preserve"> afirmam que o julgamento de Deus é uma consequência direta do pecado. Esta lamentação também se transforma em uma declaração jubilosa de esperança (vv </w:t>
      </w:r>
      <w:hyperlink r:id="rId12694">
        <w:r>
          <w:rPr>
            <w:color w:val="0000EE"/>
            <w:u w:val="single"/>
          </w:rPr>
          <w:t>21–22</w:t>
        </w:r>
      </w:hyperlink>
      <w:r>
        <w:t xml:space="preserve">), à medida que o escritor afirma que Deus punirá os inimigos de Israel. O pecado de Israel será perdoado, e a culpa da “filha de Edom” será punida. A “filha de Edom” representa, sem dúvida, todas as nações inimigas. (Edom é usado em </w:t>
      </w:r>
      <w:hyperlink r:id="rId3867">
        <w:r>
          <w:rPr>
            <w:color w:val="0000EE"/>
            <w:u w:val="single"/>
          </w:rPr>
          <w:t>Is 63.1</w:t>
        </w:r>
      </w:hyperlink>
      <w:r>
        <w:t xml:space="preserve"> da mesma forma.) Esta salvação da nação de Judá não ocorrerá até que sua culpa seja expiada. Isso acontece quando Deus conquista as nações ímpias. Esta conquista das nações é um evento que ocorre no fim dos tempos, de acordo com inúmeras passagens do Antigo Testamento e do Novo Testamento. Representa a manifestação da soberania total de Deus sobre sua criação.</w:t>
      </w:r>
    </w:p>
    <w:p>
      <w:r/>
      <w:r>
        <w:t>O último capítulo é uma oração comovente na qual o autor descreve seus sofrimentos e pede a Deus para restaurar a fortuna do povo. Começa com um pedido a Deus, pedindo-lhe que considere tudo o que aconteceu ao povo (</w:t>
      </w:r>
      <w:hyperlink r:id="rId12695">
        <w:r>
          <w:rPr>
            <w:color w:val="0000EE"/>
            <w:u w:val="single"/>
          </w:rPr>
          <w:t>5.1–18</w:t>
        </w:r>
      </w:hyperlink>
      <w:r>
        <w:t xml:space="preserve">). Parte da ignomínia dos judeus cativos é que “escravos” governam sobre eles (v. </w:t>
      </w:r>
      <w:hyperlink r:id="rId12696">
        <w:r>
          <w:rPr>
            <w:color w:val="0000EE"/>
            <w:u w:val="single"/>
          </w:rPr>
          <w:t>8</w:t>
        </w:r>
      </w:hyperlink>
      <w:r>
        <w:t xml:space="preserve">). Esta é uma aparente referência aos captores babilônicos, que eles próprios estavam sujeitos a um governo despótico por muitas décadas. A perspectiva do autor muda no versículo </w:t>
      </w:r>
      <w:hyperlink r:id="rId12697">
        <w:r>
          <w:rPr>
            <w:color w:val="0000EE"/>
            <w:u w:val="single"/>
          </w:rPr>
          <w:t>19</w:t>
        </w:r>
      </w:hyperlink>
      <w:r>
        <w:t>, onde ele afirma que o Senhor reina para sempre. Enquanto Jerusalém, a morada terrena do Senhor, chegou ao fim, o trono do Senhor perdura para sempre. Porque seu trono é a Eternidade, o autor pergunta: “Por que nos abandonaste por tanto tempo? Será que lembrarás de nós outra vez? Faze com que voltemos a ti, ó Senhor, sim, faze-nos voltar! Faze com que a nossa vida seja outra vez como era antes. Ou será que nos rejeitaste para sempre? Será que a tua ira contra nós nunca vai acabar?" (</w:t>
      </w:r>
      <w:hyperlink r:id="rId12698">
        <w:r>
          <w:rPr>
            <w:color w:val="0000EE"/>
            <w:u w:val="single"/>
          </w:rPr>
          <w:t>5.20–22</w:t>
        </w:r>
      </w:hyperlink>
      <w:r>
        <w:t>, NTLH). A pergunta é baseada na crença de que, porque o reinado de Deus é eterno, ele não pode abandonar completamente seu povo. Ele restaurará seu reino.</w:t>
      </w:r>
    </w:p>
    <w:p>
      <w:r/>
      <w:r>
        <w:t>O livro de Lamentações é negligenciado por muitos cristãos. Ele merece ser estudado mais. Sua poderosa declaração sobre as bênçãos que podem surgir da tragédia é uma mensagem relevante em qualquer época, e é uma das ilustrações mais poderosas dos resultados do pecado encontradas no AT. Sua teologia é clara e precisa, pintando um quadro vívido da fidelidade de Deus contra o fundo sombrio do colapso da cidade de Sião.</w:t>
      </w:r>
    </w:p>
    <w:p>
      <w:r/>
      <w:r>
        <w:rPr>
          <w:i/>
        </w:rPr>
        <w:t>Veja também</w:t>
      </w:r>
      <w:r>
        <w:t xml:space="preserve"> </w:t>
      </w:r>
      <w:r>
        <w:t>Jeremias (pessoa) #1</w:t>
      </w:r>
      <w:r>
        <w:t xml:space="preserve">; </w:t>
      </w:r>
      <w:r>
        <w:t>Jeremias, Livro de</w:t>
      </w:r>
      <w:r>
        <w:t>.</w:t>
      </w:r>
      <w:r/>
      <w:r/>
    </w:p>
    <w:p>
      <w:r/>
    </w:p>
    <w:p>
      <w:pPr>
        <w:pStyle w:val="Heading2"/>
      </w:pPr>
      <w:r>
        <w:t>Lameque</w:t>
      </w:r>
      <w:r/>
    </w:p>
    <w:p>
      <w:pPr>
        <w:pStyle w:val="ListNumber"/>
        <w:spacing w:line="240" w:lineRule="auto"/>
        <w:ind w:left="720"/>
      </w:pPr>
      <w:r/>
      <w:r>
        <w:t>Filho de Metusael, descendente de Caim, e marido de Ada e Zila.</w:t>
      </w:r>
    </w:p>
    <w:p>
      <w:r/>
      <w:r>
        <w:t>Os filhos de Lameque com Ada foram:</w:t>
      </w:r>
    </w:p>
    <w:p>
      <w:pPr>
        <w:pStyle w:val="ListBullet"/>
        <w:spacing w:line="240" w:lineRule="auto"/>
        <w:ind w:left="1440"/>
      </w:pPr>
      <w:r/>
      <w:r>
        <w:t>Jabal, “o pai dos que habitam em tendas e têm gado”;</w:t>
      </w:r>
    </w:p>
    <w:p>
      <w:pPr>
        <w:pStyle w:val="ListBullet"/>
        <w:spacing w:line="240" w:lineRule="auto"/>
        <w:ind w:left="1440"/>
      </w:pPr>
      <w:r/>
      <w:r>
        <w:t>Jubal, “o pai de todos os que tocam harpa e flauta".</w:t>
      </w:r>
    </w:p>
    <w:p>
      <w:r/>
      <w:r>
        <w:t>Seus filhos com Zila foram:</w:t>
      </w:r>
    </w:p>
    <w:p>
      <w:pPr>
        <w:pStyle w:val="ListBullet"/>
        <w:spacing w:line="240" w:lineRule="auto"/>
        <w:ind w:left="1440"/>
      </w:pPr>
      <w:r/>
      <w:r>
        <w:t>Tubalcaim, “um forjador de todo tipo de ferramenta de bronze e ferro”;</w:t>
      </w:r>
    </w:p>
    <w:p>
      <w:pPr>
        <w:pStyle w:val="ListBullet"/>
        <w:spacing w:line="240" w:lineRule="auto"/>
        <w:ind w:left="1440"/>
      </w:pPr>
      <w:r/>
      <w:r>
        <w:t>Naamá (</w:t>
      </w:r>
      <w:hyperlink r:id="rId4010">
        <w:r>
          <w:rPr>
            <w:color w:val="0000EE"/>
            <w:u w:val="single"/>
          </w:rPr>
          <w:t>Gênesis 4.18–22</w:t>
        </w:r>
      </w:hyperlink>
      <w:r>
        <w:t>).</w:t>
      </w:r>
    </w:p>
    <w:p>
      <w:r/>
      <w:r>
        <w:t>Nos primeiros capítulos de Gênesis, os filhos de Lameque representam o início da criação de gado, música e metalurgia. A canção de Lameque (</w:t>
      </w:r>
      <w:hyperlink r:id="rId12699">
        <w:r>
          <w:rPr>
            <w:color w:val="0000EE"/>
            <w:u w:val="single"/>
          </w:rPr>
          <w:t>Gênesis 4.23–24</w:t>
        </w:r>
      </w:hyperlink>
      <w:r>
        <w:t>) é um exemplo inicial de poesia hebraica. Nesta canção, Lameque se gaba de ter matado um homem que o feriu, comparando seu ato de vingança ao assassinato de Abel por Caim (</w:t>
      </w:r>
      <w:hyperlink r:id="rId12700">
        <w:r>
          <w:rPr>
            <w:color w:val="0000EE"/>
            <w:u w:val="single"/>
          </w:rPr>
          <w:t>Gênesis 4.8–12</w:t>
        </w:r>
      </w:hyperlink>
      <w:r>
        <w:t>). Ele afirma que “Se Caim é vingado sete vezes, então Lameque setenta e sete vezes”. A canção de Lameque mostra como, à medida que a civilização crescia, também cresciam o orgulho e a violência. Isso contrasta fortemente com o ensinamento de Jesus sobre o perdão, onde ele aconselha perdoar “setenta vezes sete” (</w:t>
      </w:r>
      <w:hyperlink r:id="rId12701">
        <w:r>
          <w:rPr>
            <w:color w:val="0000EE"/>
            <w:u w:val="single"/>
          </w:rPr>
          <w:t>Mateus 18.22</w:t>
        </w:r>
      </w:hyperlink>
      <w:r>
        <w:t>).</w:t>
      </w:r>
    </w:p>
    <w:p>
      <w:pPr>
        <w:pStyle w:val="ListNumber"/>
        <w:spacing w:line="240" w:lineRule="auto"/>
        <w:ind w:left="720"/>
      </w:pPr>
      <w:r/>
      <w:r>
        <w:t>Filho de Metusalém e pai de Noé (</w:t>
      </w:r>
      <w:hyperlink r:id="rId12702">
        <w:r>
          <w:rPr>
            <w:color w:val="0000EE"/>
            <w:u w:val="single"/>
          </w:rPr>
          <w:t>Gênesis 5.25–31</w:t>
        </w:r>
      </w:hyperlink>
      <w:r>
        <w:t xml:space="preserve">; </w:t>
      </w:r>
      <w:hyperlink r:id="rId8086">
        <w:r>
          <w:rPr>
            <w:color w:val="0000EE"/>
            <w:u w:val="single"/>
          </w:rPr>
          <w:t>1 Crônicas 1.3</w:t>
        </w:r>
      </w:hyperlink>
      <w:r>
        <w:t>). Quando Noé nasceu, Lameque esperava que a criança trouxesse alívio à humanidade da maldição colocada sobre Adão (</w:t>
      </w:r>
      <w:hyperlink r:id="rId4526">
        <w:r>
          <w:rPr>
            <w:color w:val="0000EE"/>
            <w:u w:val="single"/>
          </w:rPr>
          <w:t>Gênesis 5.29</w:t>
        </w:r>
      </w:hyperlink>
      <w:r>
        <w:t xml:space="preserve">; compare </w:t>
      </w:r>
      <w:hyperlink r:id="rId12593">
        <w:r>
          <w:rPr>
            <w:color w:val="0000EE"/>
            <w:u w:val="single"/>
          </w:rPr>
          <w:t>Gênesis 3.17</w:t>
        </w:r>
      </w:hyperlink>
      <w:r>
        <w:t xml:space="preserve">). Ele viveu por 777 anos, uma das vidas mais longas entre aqueles que viveram antes do Dilúvio. Os Manuscritos do Mar Morto continham longas conversas entre Lameque e seu pai, Metusalém. Lameque é listado como um antepassado de Jesus na lista familiar registrada em </w:t>
      </w:r>
      <w:hyperlink r:id="rId2485">
        <w:r>
          <w:rPr>
            <w:color w:val="0000EE"/>
            <w:u w:val="single"/>
          </w:rPr>
          <w:t>Lucas 3.36</w:t>
        </w:r>
      </w:hyperlink>
      <w:r>
        <w:t>.</w:t>
      </w:r>
    </w:p>
    <w:p>
      <w:r/>
      <w:r>
        <w:rPr>
          <w:i/>
        </w:rPr>
        <w:t>Veja também</w:t>
      </w:r>
      <w:r>
        <w:t xml:space="preserve"> </w:t>
      </w:r>
      <w:r>
        <w:t>Genealogia de Jesus Cristo</w:t>
      </w:r>
      <w:r>
        <w:t>.</w:t>
      </w:r>
      <w:r/>
      <w:r/>
    </w:p>
    <w:p>
      <w:r/>
    </w:p>
    <w:p>
      <w:pPr>
        <w:pStyle w:val="Heading2"/>
      </w:pPr>
      <w:r>
        <w:t>Lâmpada, Candelabro</w:t>
      </w:r>
      <w:r/>
    </w:p>
    <w:p>
      <w:r/>
      <w:r>
        <w:t>As lâmpadas israelitas evoluíram a partir das que eram geralmente usadas entre os cananeus no segundo milênio a.C. Sua forma era semelhante a uma concha ou pires com uma borda. Lâmpadas de pedra, metal e conchas eram usadas, embora a maioria fosse feita de cerâmica. Uma infinidade de lâmpadas de barro, moldadas em uma variedade de modelos, foi escavada na Palestina.</w:t>
      </w:r>
    </w:p>
    <w:p>
      <w:r/>
      <w:r>
        <w:t>A tigela de barro era moldada primeiro, e a borda era dobrada para ajudar a conter o óleo. Um bico era comprimido e fixado em uma das extremidades, onde o pavio seria colocado. Quando o barro secava, a lâmpada era queimada até adquirir um tom marrom fosco. Gradualmente, desenvolveu-se um estilo com um lábio cada vez mais acentuadamente afunilada. O pavio era geralmente feito de linho (</w:t>
      </w:r>
      <w:hyperlink r:id="rId12703">
        <w:r>
          <w:rPr>
            <w:color w:val="0000EE"/>
            <w:u w:val="single"/>
          </w:rPr>
          <w:t>Is 42.3</w:t>
        </w:r>
      </w:hyperlink>
      <w:r>
        <w:t>), embora às vezes fosse usado um pedaço antigo de tecido de linho. Sal poderia ser adicionado ao pavio para uma chama mais brilhante, e frequentemente pavios extras eram usados. Isso levou ao desenvolvimento de lâmpadas com múltiplos bicos, como aquelas encontradas em Tell Dotha a partir de 1200 a.C..</w:t>
      </w:r>
    </w:p>
    <w:p>
      <w:r/>
      <w:r>
        <w:t>O azeite de oliva era a forma mais comum de combustível para lâmpadas (</w:t>
      </w:r>
      <w:hyperlink r:id="rId12704">
        <w:r>
          <w:rPr>
            <w:color w:val="0000EE"/>
            <w:u w:val="single"/>
          </w:rPr>
          <w:t>Êx 27.20</w:t>
        </w:r>
      </w:hyperlink>
      <w:r>
        <w:t>), e a lâmpada média podia conter óleo suficiente para queimar durante a noite. Apesar disso, a dona de casa teria que se levantar várias vezes para cuidar do pavio e manter sua preciosa lâmpada acesa (</w:t>
      </w:r>
      <w:hyperlink r:id="rId12705">
        <w:r>
          <w:rPr>
            <w:color w:val="0000EE"/>
            <w:u w:val="single"/>
          </w:rPr>
          <w:t>Pv 31.18</w:t>
        </w:r>
      </w:hyperlink>
      <w:r>
        <w:t>). Pinças eram usadas para extinguir a chama de uma lâmpada no tabernáculo ou templo (</w:t>
      </w:r>
      <w:hyperlink r:id="rId12706">
        <w:r>
          <w:rPr>
            <w:color w:val="0000EE"/>
            <w:u w:val="single"/>
          </w:rPr>
          <w:t>Êx 25.38</w:t>
        </w:r>
      </w:hyperlink>
      <w:r>
        <w:t xml:space="preserve">; </w:t>
      </w:r>
      <w:hyperlink r:id="rId12707">
        <w:r>
          <w:rPr>
            <w:color w:val="0000EE"/>
            <w:u w:val="single"/>
          </w:rPr>
          <w:t>37.23</w:t>
        </w:r>
      </w:hyperlink>
      <w:r>
        <w:t xml:space="preserve">; </w:t>
      </w:r>
      <w:hyperlink r:id="rId12708">
        <w:r>
          <w:rPr>
            <w:color w:val="0000EE"/>
            <w:u w:val="single"/>
          </w:rPr>
          <w:t>Nm 4.9</w:t>
        </w:r>
      </w:hyperlink>
      <w:r>
        <w:t xml:space="preserve">; </w:t>
      </w:r>
      <w:hyperlink r:id="rId12709">
        <w:r>
          <w:rPr>
            <w:color w:val="0000EE"/>
            <w:u w:val="single"/>
          </w:rPr>
          <w:t>1Rs 7.49</w:t>
        </w:r>
      </w:hyperlink>
      <w:r>
        <w:t xml:space="preserve">; </w:t>
      </w:r>
      <w:hyperlink r:id="rId12710">
        <w:r>
          <w:rPr>
            <w:color w:val="0000EE"/>
            <w:u w:val="single"/>
          </w:rPr>
          <w:t>Is 6.6</w:t>
        </w:r>
      </w:hyperlink>
      <w:r>
        <w:t>). Como as velas não eram conhecidas nos tempos bíblicos, o uso deste termo está incorreto.</w:t>
      </w:r>
    </w:p>
    <w:p>
      <w:r/>
      <w:r>
        <w:t>A lâmpada em forma de pires, que poderia derramar facilmente, não era adequada para viagens noturnas, então uma tocha provavelmente era usada para esse propósito (</w:t>
      </w:r>
      <w:hyperlink r:id="rId12711">
        <w:r>
          <w:rPr>
            <w:color w:val="0000EE"/>
            <w:u w:val="single"/>
          </w:rPr>
          <w:t>Jz 7.16–20</w:t>
        </w:r>
      </w:hyperlink>
      <w:r>
        <w:t>). Além disso, o pavio da lâmpada de pires aberta poderia facilmente se apagar à noite.</w:t>
      </w:r>
    </w:p>
    <w:p>
      <w:r/>
      <w:r>
        <w:t>Lâmpadas eram comumente encontradas em sepulturas junto com oferendas de alimentos. Como a chama da lâmpada estava associada à vida, elas eram frequentemente colocadas em túmulos como um símbolo de vida sendo reacendida.</w:t>
      </w:r>
    </w:p>
    <w:p>
      <w:r/>
      <w:r>
        <w:t>Embora um estilo de lâmpada mais elaborado, em forma de xícara e pires, tenha sido desenvolvido, no qual a chama vinha da área central, a lâmpada de pires permaneceu a mais popular. A lâmpada helenística mais antiga encontrada na Palestina data de 630 a.C. e já apresenta indicações do modelo coberto posterior. Durante os séculos VI e V a.C., foi desenvolvida uma lâmpada em estilo de pires com fundo plano.</w:t>
      </w:r>
    </w:p>
    <w:p>
      <w:r/>
      <w:r>
        <w:t>No terceiro século a.C., o estilo grego mais elaborado, feito em roda e coberto, ganhou precedência. Essas lâmpadas eram frequentemente de modelo simples, arredondadas, com um orifício central para o óleo e outro no pequeno bico para o pavio.</w:t>
      </w:r>
    </w:p>
    <w:p>
      <w:r/>
      <w:r>
        <w:t>No século II a.C., a lâmpada feita em roda foi substituída por uma lâmpada de cerâmica moldada com um modelo mais refinado e um bico maior. Lâmpadas egípcias importadas desse tipo foram encontradas no sul da Palestina. Lâmpadas com múltiplos bicos provavelmente eram usadas em ocasiões festivas. Do mesmo período vem a lâmpada de bronze influenciada pelo helenismo, representando uma figura sentada segurando uma lâmpada de pires nas mãos. No final da era helenística, a forma das lâmpadas se deteriorou à medida que os bicos se tornaram grossos e atarracados.</w:t>
      </w:r>
    </w:p>
    <w:p>
      <w:r/>
      <w:r>
        <w:t>Pequenas lâmpadas redondas com um formato simples eram predominantes na época de Cristo; este seria o tipo de lâmpada usada pela mulher que procurava a moeda de ouro em sua casa (</w:t>
      </w:r>
      <w:hyperlink r:id="rId4614">
        <w:r>
          <w:rPr>
            <w:color w:val="0000EE"/>
            <w:u w:val="single"/>
          </w:rPr>
          <w:t>Lc 15.8</w:t>
        </w:r>
      </w:hyperlink>
      <w:r>
        <w:t>). Com os pavios aparados, as lâmpadas das virgens tolas provavelmente teriam durado aproximadamente cinco horas, do anoitecer até cerca da meia-noite (</w:t>
      </w:r>
      <w:hyperlink r:id="rId4601">
        <w:r>
          <w:rPr>
            <w:color w:val="0000EE"/>
            <w:u w:val="single"/>
          </w:rPr>
          <w:t>Mt 25.1–12</w:t>
        </w:r>
      </w:hyperlink>
      <w:r>
        <w:t>).</w:t>
      </w:r>
    </w:p>
    <w:p>
      <w:r/>
      <w:r>
        <w:t>As lâmpadas judaicas faziam parte do simbolismo religioso do lar, provavelmente remontando à proibição de acender fogo no sábado (</w:t>
      </w:r>
      <w:hyperlink r:id="rId9240">
        <w:r>
          <w:rPr>
            <w:color w:val="0000EE"/>
            <w:u w:val="single"/>
          </w:rPr>
          <w:t>Êx 35.3</w:t>
        </w:r>
      </w:hyperlink>
      <w:r>
        <w:t>). Referências à luz abundam nas Escrituras. Lemos sobre o olho como uma lâmpada (</w:t>
      </w:r>
      <w:hyperlink r:id="rId12712">
        <w:r>
          <w:rPr>
            <w:color w:val="0000EE"/>
            <w:u w:val="single"/>
          </w:rPr>
          <w:t>Mt 6.22–23</w:t>
        </w:r>
      </w:hyperlink>
      <w:r>
        <w:t xml:space="preserve">; </w:t>
      </w:r>
      <w:hyperlink r:id="rId12713">
        <w:r>
          <w:rPr>
            <w:color w:val="0000EE"/>
            <w:u w:val="single"/>
          </w:rPr>
          <w:t>Lc 11.33–36</w:t>
        </w:r>
      </w:hyperlink>
      <w:r>
        <w:t>) e de Cristo como a Luz do Mundo (</w:t>
      </w:r>
      <w:hyperlink r:id="rId3753">
        <w:r>
          <w:rPr>
            <w:color w:val="0000EE"/>
            <w:u w:val="single"/>
          </w:rPr>
          <w:t>Jo 8.12</w:t>
        </w:r>
      </w:hyperlink>
      <w:r>
        <w:t>). Somos advertidos a prestar atenção ao ensino como a uma luz que brilha na escuridão (</w:t>
      </w:r>
      <w:hyperlink r:id="rId7307">
        <w:r>
          <w:rPr>
            <w:color w:val="0000EE"/>
            <w:u w:val="single"/>
          </w:rPr>
          <w:t>Pv 6.23</w:t>
        </w:r>
      </w:hyperlink>
      <w:r>
        <w:t xml:space="preserve">; </w:t>
      </w:r>
      <w:hyperlink r:id="rId12714">
        <w:r>
          <w:rPr>
            <w:color w:val="0000EE"/>
            <w:u w:val="single"/>
          </w:rPr>
          <w:t>2Pe 1.19</w:t>
        </w:r>
      </w:hyperlink>
      <w:r>
        <w:t>). Tanto Deus quanto o espírito do homem são simbolizados como lâmpadas (</w:t>
      </w:r>
      <w:hyperlink r:id="rId12715">
        <w:r>
          <w:rPr>
            <w:color w:val="0000EE"/>
            <w:u w:val="single"/>
          </w:rPr>
          <w:t>2Sm 22.29</w:t>
        </w:r>
      </w:hyperlink>
      <w:r>
        <w:t xml:space="preserve">; </w:t>
      </w:r>
      <w:hyperlink r:id="rId5435">
        <w:r>
          <w:rPr>
            <w:color w:val="0000EE"/>
            <w:u w:val="single"/>
          </w:rPr>
          <w:t>Pv 20.27</w:t>
        </w:r>
      </w:hyperlink>
      <w:r>
        <w:t xml:space="preserve">), enquanto em </w:t>
      </w:r>
      <w:hyperlink r:id="rId12716">
        <w:r>
          <w:rPr>
            <w:color w:val="0000EE"/>
            <w:u w:val="single"/>
          </w:rPr>
          <w:t>Provérbios 13.9</w:t>
        </w:r>
      </w:hyperlink>
      <w:r>
        <w:t xml:space="preserve"> “lâmpada” é sinônimo da essência da própria vida. Lâmpadas, com ou sem suportes, também faziam parte do ritual judaico de morte, luto e sepultamento.</w:t>
      </w:r>
    </w:p>
    <w:p>
      <w:r/>
      <w:r>
        <w:t>O tabernáculo abrigava um candelabro dourado ornamentado, ou menorá. De cada lado, três ramos saíam do caule central principal, e sete lâmpadas podiam ser acesas nos suportes em forma de flor. A menorá do templo de Jerusalém está representada em relevo no Arco de Tito em Roma. Este candelabro de sete braços, em particular, se assemelha aos dez que faziam parte do mobiliário do templo de Salomão.</w:t>
      </w:r>
    </w:p>
    <w:p>
      <w:r/>
      <w:r>
        <w:t>O candelabro de sete braços tem sido um símbolo especial da fé judaica desde sua primeira aparição em uma moeda no reinado de Antígono (40–37 a.C.) até os dias atuais.</w:t>
      </w:r>
    </w:p>
    <w:p>
      <w:r/>
      <w:r>
        <w:rPr>
          <w:i/>
        </w:rPr>
        <w:t>Veja também</w:t>
      </w:r>
      <w:r>
        <w:t xml:space="preserve"> </w:t>
      </w:r>
      <w:r>
        <w:t>Menorá</w:t>
      </w:r>
      <w:r>
        <w:t>.</w:t>
      </w:r>
      <w:r/>
      <w:r/>
    </w:p>
    <w:p>
      <w:r/>
    </w:p>
    <w:p>
      <w:pPr>
        <w:pStyle w:val="Heading2"/>
      </w:pPr>
      <w:r>
        <w:t>Lasa</w:t>
      </w:r>
      <w:r/>
    </w:p>
    <w:p>
      <w:r/>
      <w:r>
        <w:t>Um nome de lugar, de outra forma desconhecido. Uma descrição antiga usa este nome para se referir ao limite sul do território ocupado pelos cananeus (</w:t>
      </w:r>
      <w:hyperlink r:id="rId382">
        <w:r>
          <w:rPr>
            <w:color w:val="0000EE"/>
            <w:u w:val="single"/>
          </w:rPr>
          <w:t>Gn 10.19</w:t>
        </w:r>
      </w:hyperlink>
      <w:r>
        <w:t>). Esta passagem associa Lasa com outras cidades próximas à extremidade sul do Mar Morto.</w:t>
      </w:r>
      <w:r/>
      <w:r/>
    </w:p>
    <w:p>
      <w:r/>
    </w:p>
    <w:p>
      <w:pPr>
        <w:pStyle w:val="Heading2"/>
      </w:pPr>
      <w:r>
        <w:t>Lascívia*</w:t>
      </w:r>
      <w:r/>
    </w:p>
    <w:p>
      <w:r/>
      <w:r>
        <w:t>Indulgência extrema nos prazeres sensuais. As traduções modernas da Bíblia geralmente usam as palavras “licenciosidade”, “devassidão” ou “sensualidade” em vez disso. A lascívia ocorre quando a busca do prazer é levada ao extremo do completo desrespeito pela integridade dos outros e pelo ambiente.</w:t>
      </w:r>
    </w:p>
    <w:p>
      <w:r/>
      <w:r>
        <w:t>Entre exemplos bíblicos de lascívia estão o povo de Sodoma e Gomorra, que encheu suas vidas com atos sem lei (</w:t>
      </w:r>
      <w:hyperlink r:id="rId12717">
        <w:r>
          <w:rPr>
            <w:color w:val="0000EE"/>
            <w:u w:val="single"/>
          </w:rPr>
          <w:t>2Pe 2.7</w:t>
        </w:r>
      </w:hyperlink>
      <w:r>
        <w:t>); os falsos mestres, que prometiam liberdade, mas eram eles mesmos escravos da corrupção (</w:t>
      </w:r>
      <w:hyperlink r:id="rId12718">
        <w:r>
          <w:rPr>
            <w:color w:val="0000EE"/>
            <w:u w:val="single"/>
          </w:rPr>
          <w:t>2Pe 2.2,18–19</w:t>
        </w:r>
      </w:hyperlink>
      <w:r>
        <w:t xml:space="preserve">; compare </w:t>
      </w:r>
      <w:hyperlink r:id="rId10141">
        <w:r>
          <w:rPr>
            <w:color w:val="0000EE"/>
            <w:u w:val="single"/>
          </w:rPr>
          <w:t>Jd 4</w:t>
        </w:r>
      </w:hyperlink>
      <w:r>
        <w:t>); e os gentios, que eram ávidos para praticar todo tipo de impureza (</w:t>
      </w:r>
      <w:hyperlink r:id="rId12719">
        <w:r>
          <w:rPr>
            <w:color w:val="0000EE"/>
            <w:u w:val="single"/>
          </w:rPr>
          <w:t>Ef 4.19</w:t>
        </w:r>
      </w:hyperlink>
      <w:r>
        <w:t>). O apóstolo Paulo usou “lascívia” para se referir aos excessos sexuais (</w:t>
      </w:r>
      <w:hyperlink r:id="rId12720">
        <w:r>
          <w:rPr>
            <w:color w:val="0000EE"/>
            <w:u w:val="single"/>
          </w:rPr>
          <w:t>Rm 13.13</w:t>
        </w:r>
      </w:hyperlink>
      <w:r>
        <w:t xml:space="preserve">; </w:t>
      </w:r>
      <w:hyperlink r:id="rId12721">
        <w:r>
          <w:rPr>
            <w:color w:val="0000EE"/>
            <w:u w:val="single"/>
          </w:rPr>
          <w:t>2Co 12.21</w:t>
        </w:r>
      </w:hyperlink>
      <w:r>
        <w:t xml:space="preserve">; </w:t>
      </w:r>
      <w:hyperlink r:id="rId12722">
        <w:r>
          <w:rPr>
            <w:color w:val="0000EE"/>
            <w:u w:val="single"/>
          </w:rPr>
          <w:t>Gl 5.19</w:t>
        </w:r>
      </w:hyperlink>
      <w:r>
        <w:t xml:space="preserve">), que é provavelmente o sentido da palavra em </w:t>
      </w:r>
      <w:hyperlink r:id="rId12723">
        <w:r>
          <w:rPr>
            <w:color w:val="0000EE"/>
            <w:u w:val="single"/>
          </w:rPr>
          <w:t>Marcos 7.22</w:t>
        </w:r>
      </w:hyperlink>
      <w:r>
        <w:t>.</w:t>
      </w:r>
      <w:r/>
      <w:r/>
    </w:p>
    <w:p>
      <w:r/>
    </w:p>
    <w:p>
      <w:pPr>
        <w:pStyle w:val="Heading2"/>
      </w:pPr>
      <w:r>
        <w:t>Laseia</w:t>
      </w:r>
      <w:r/>
    </w:p>
    <w:p>
      <w:r/>
      <w:r>
        <w:t>Uma cidade portuária na ilha de Creta, localizada cerca de oito quilômetros (cinco milhas) a leste de Bons Portos. O navio do apóstolo Paulo passou por Laséia a caminho da Itália (</w:t>
      </w:r>
      <w:hyperlink r:id="rId3853">
        <w:r>
          <w:rPr>
            <w:color w:val="0000EE"/>
            <w:u w:val="single"/>
          </w:rPr>
          <w:t>At 27.8</w:t>
        </w:r>
      </w:hyperlink>
      <w:r>
        <w:t>).</w:t>
      </w:r>
    </w:p>
    <w:p>
      <w:r/>
      <w:r>
        <w:t xml:space="preserve">Não sabemos muito sobre Laseia. Provavelmente está em ruínas perto de Bons Portos. Pode ser a mesma Lasos mencionada por Plínio, o Velho, em sua </w:t>
      </w:r>
      <w:r>
        <w:rPr>
          <w:i/>
        </w:rPr>
        <w:t>História Natural</w:t>
      </w:r>
      <w:r>
        <w:t xml:space="preserve"> (4.12.59). Plínio diz que Laseia era famosa no mundo antigo. Sua região continha 100 cidades e era um dos portos mais importantes de Creta.</w:t>
      </w:r>
      <w:r/>
      <w:r/>
    </w:p>
    <w:p>
      <w:r/>
    </w:p>
    <w:p>
      <w:pPr>
        <w:pStyle w:val="Heading2"/>
      </w:pPr>
      <w:r>
        <w:t>Leabim, Leabitas</w:t>
      </w:r>
      <w:r/>
    </w:p>
    <w:p>
      <w:r/>
      <w:r>
        <w:t>Um dos vários grupos de pessoas associados ao Egito (</w:t>
      </w:r>
      <w:hyperlink r:id="rId1344">
        <w:r>
          <w:rPr>
            <w:color w:val="0000EE"/>
            <w:u w:val="single"/>
          </w:rPr>
          <w:t>Gn 10.13</w:t>
        </w:r>
      </w:hyperlink>
      <w:r>
        <w:t xml:space="preserve">; </w:t>
      </w:r>
      <w:hyperlink r:id="rId1345">
        <w:r>
          <w:rPr>
            <w:color w:val="0000EE"/>
            <w:u w:val="single"/>
          </w:rPr>
          <w:t>1Cr 1.11</w:t>
        </w:r>
      </w:hyperlink>
      <w:r>
        <w:t>). Os leabitas podem ser um povo não identificado próximo ao Egito. Muitos estudiosos sustentam, provavelmente corretamente, que eles são idênticos aos lubins (Líbios). Os lubins são frequentemente vistos na Bíblia como lutando em aliança com o Egito (</w:t>
      </w:r>
      <w:hyperlink r:id="rId12724">
        <w:r>
          <w:rPr>
            <w:color w:val="0000EE"/>
            <w:u w:val="single"/>
          </w:rPr>
          <w:t>Dn 11.43</w:t>
        </w:r>
      </w:hyperlink>
      <w:r>
        <w:t xml:space="preserve">; </w:t>
      </w:r>
      <w:hyperlink r:id="rId12725">
        <w:r>
          <w:rPr>
            <w:color w:val="0000EE"/>
            <w:u w:val="single"/>
          </w:rPr>
          <w:t>Na 3.9</w:t>
        </w:r>
      </w:hyperlink>
      <w:r>
        <w:t>). Às vezes, o Egito e este grupo se aliaram contra Israel, como na época de Roboão e Asa (</w:t>
      </w:r>
      <w:hyperlink r:id="rId12726">
        <w:r>
          <w:rPr>
            <w:color w:val="0000EE"/>
            <w:u w:val="single"/>
          </w:rPr>
          <w:t>2Cr 12.3</w:t>
        </w:r>
      </w:hyperlink>
      <w:r>
        <w:t>;</w:t>
      </w:r>
      <w:hyperlink r:id="rId12727">
        <w:r>
          <w:rPr>
            <w:color w:val="0000EE"/>
            <w:u w:val="single"/>
          </w:rPr>
          <w:t>16.8</w:t>
        </w:r>
      </w:hyperlink>
      <w:r>
        <w:t>).</w:t>
      </w:r>
      <w:r/>
      <w:r/>
    </w:p>
    <w:p>
      <w:r/>
    </w:p>
    <w:p>
      <w:pPr>
        <w:pStyle w:val="Heading2"/>
      </w:pPr>
      <w:r>
        <w:t>Leão da tribo de Judá</w:t>
      </w:r>
      <w:r/>
    </w:p>
    <w:p>
      <w:r/>
      <w:r>
        <w:t xml:space="preserve">Um título do Messias (líder escolhido por Deus) que aparece apenas em </w:t>
      </w:r>
      <w:hyperlink r:id="rId1781">
        <w:r>
          <w:rPr>
            <w:color w:val="0000EE"/>
            <w:u w:val="single"/>
          </w:rPr>
          <w:t>Apocalipse 5.5</w:t>
        </w:r>
      </w:hyperlink>
      <w:r>
        <w:t xml:space="preserve">: “O Leão da tribo de Judá, a Raiz de Davi, triunfou”. Esta é uma referência à promessa de </w:t>
      </w:r>
      <w:hyperlink r:id="rId1779">
        <w:r>
          <w:rPr>
            <w:color w:val="0000EE"/>
            <w:u w:val="single"/>
          </w:rPr>
          <w:t>Gênesis 49.9–10</w:t>
        </w:r>
      </w:hyperlink>
      <w:r>
        <w:t>, “Judá é um leão jovem... O cetro não se afastará de Judá”.</w:t>
      </w:r>
    </w:p>
    <w:p>
      <w:r/>
      <w:r>
        <w:t xml:space="preserve">A expressão resume a esperança do Antigo Testamento de que o Messias conquistaria e libertaria seu povo de toda forma de mal espiritual, político e social (compare </w:t>
      </w:r>
      <w:hyperlink r:id="rId12728">
        <w:r>
          <w:rPr>
            <w:color w:val="0000EE"/>
            <w:u w:val="single"/>
          </w:rPr>
          <w:t>2Ed 11.37</w:t>
        </w:r>
      </w:hyperlink>
      <w:r>
        <w:t xml:space="preserve">; </w:t>
      </w:r>
      <w:hyperlink r:id="rId12729">
        <w:r>
          <w:rPr>
            <w:color w:val="0000EE"/>
            <w:u w:val="single"/>
          </w:rPr>
          <w:t>12.31</w:t>
        </w:r>
      </w:hyperlink>
      <w:r>
        <w:t>). O Antigo Testamento frequentemente usa o leão como símbolo de poder e capacidade de derrotar seus inimigos (</w:t>
      </w:r>
      <w:hyperlink r:id="rId12730">
        <w:r>
          <w:rPr>
            <w:color w:val="0000EE"/>
            <w:u w:val="single"/>
          </w:rPr>
          <w:t>Jó 10.16</w:t>
        </w:r>
      </w:hyperlink>
      <w:r>
        <w:t xml:space="preserve">; </w:t>
      </w:r>
      <w:hyperlink r:id="rId12731">
        <w:r>
          <w:rPr>
            <w:color w:val="0000EE"/>
            <w:u w:val="single"/>
          </w:rPr>
          <w:t>Sl 10.9</w:t>
        </w:r>
      </w:hyperlink>
      <w:r>
        <w:t xml:space="preserve">; </w:t>
      </w:r>
      <w:hyperlink r:id="rId12732">
        <w:r>
          <w:rPr>
            <w:color w:val="0000EE"/>
            <w:u w:val="single"/>
          </w:rPr>
          <w:t>Ez 1.10</w:t>
        </w:r>
      </w:hyperlink>
      <w:r>
        <w:t xml:space="preserve">; </w:t>
      </w:r>
      <w:hyperlink r:id="rId12733">
        <w:r>
          <w:rPr>
            <w:color w:val="0000EE"/>
            <w:u w:val="single"/>
          </w:rPr>
          <w:t>Dn 7.1–4</w:t>
        </w:r>
      </w:hyperlink>
      <w:r>
        <w:t>).</w:t>
      </w:r>
    </w:p>
    <w:p>
      <w:r/>
      <w:r>
        <w:t>O autor de Apocalipse afirma que todos os cristãos acreditam que Cristo derrotará todos os poderes do mal. No entanto, ao contrário da esperança do Antigo Testamento, Cristo não virá como um Leão conquistador de poder militar, mas como o Cordeiro, que sofre e é sacrificado pelos pecados de seu povo (</w:t>
      </w:r>
      <w:hyperlink r:id="rId8462">
        <w:r>
          <w:rPr>
            <w:color w:val="0000EE"/>
            <w:u w:val="single"/>
          </w:rPr>
          <w:t>Ap 5.6</w:t>
        </w:r>
      </w:hyperlink>
      <w:r>
        <w:t>).</w:t>
      </w:r>
      <w:r/>
      <w:r/>
    </w:p>
    <w:p>
      <w:r/>
    </w:p>
    <w:p>
      <w:pPr>
        <w:pStyle w:val="Heading2"/>
      </w:pPr>
      <w:r>
        <w:t>Lebo-Hamate</w:t>
      </w:r>
      <w:r/>
    </w:p>
    <w:p>
      <w:r/>
      <w:r>
        <w:t>Cidade no rio Orontes abaixo de Ribla; possivelmente a leitura correta para a frase “entrada de Hamate” em várias passagens do Antigo Testamento (</w:t>
      </w:r>
      <w:hyperlink r:id="rId10327">
        <w:r>
          <w:rPr>
            <w:color w:val="0000EE"/>
            <w:u w:val="single"/>
          </w:rPr>
          <w:t>Nm 34.8</w:t>
        </w:r>
      </w:hyperlink>
      <w:r>
        <w:t xml:space="preserve">; </w:t>
      </w:r>
      <w:hyperlink r:id="rId9232">
        <w:r>
          <w:rPr>
            <w:color w:val="0000EE"/>
            <w:u w:val="single"/>
          </w:rPr>
          <w:t>1Rs 8.65</w:t>
        </w:r>
      </w:hyperlink>
      <w:r>
        <w:t xml:space="preserve">; </w:t>
      </w:r>
      <w:hyperlink r:id="rId2321">
        <w:r>
          <w:rPr>
            <w:color w:val="0000EE"/>
            <w:u w:val="single"/>
          </w:rPr>
          <w:t>2Rs 14.25</w:t>
        </w:r>
      </w:hyperlink>
      <w:r>
        <w:t xml:space="preserve">; </w:t>
      </w:r>
      <w:hyperlink r:id="rId12734">
        <w:r>
          <w:rPr>
            <w:color w:val="0000EE"/>
            <w:u w:val="single"/>
          </w:rPr>
          <w:t>Ez 47.15</w:t>
        </w:r>
      </w:hyperlink>
      <w:r>
        <w:t xml:space="preserve">). </w:t>
      </w:r>
      <w:r>
        <w:rPr>
          <w:i/>
        </w:rPr>
        <w:t>Veja</w:t>
      </w:r>
      <w:r>
        <w:t xml:space="preserve"> </w:t>
      </w:r>
      <w:r>
        <w:t>Hamate #1</w:t>
      </w:r>
      <w:r>
        <w:t>.</w:t>
      </w:r>
      <w:r/>
      <w:r/>
    </w:p>
    <w:p>
      <w:r/>
    </w:p>
    <w:p>
      <w:pPr>
        <w:pStyle w:val="Heading2"/>
      </w:pPr>
      <w:r>
        <w:t>Lebre</w:t>
      </w:r>
      <w:r/>
    </w:p>
    <w:p>
      <w:r/>
      <w:r>
        <w:t xml:space="preserve">Pequeno animal semelhante a um coelho considerado impuro em </w:t>
      </w:r>
      <w:hyperlink r:id="rId1472">
        <w:r>
          <w:rPr>
            <w:color w:val="0000EE"/>
            <w:u w:val="single"/>
          </w:rPr>
          <w:t>Levítico 11.5</w:t>
        </w:r>
      </w:hyperlink>
      <w:r>
        <w:t xml:space="preserve"> e </w:t>
      </w:r>
      <w:hyperlink r:id="rId1473">
        <w:r>
          <w:rPr>
            <w:color w:val="0000EE"/>
            <w:u w:val="single"/>
          </w:rPr>
          <w:t>Deuteronômio 14.7</w:t>
        </w:r>
      </w:hyperlink>
      <w:r>
        <w:t xml:space="preserve">. </w:t>
      </w:r>
    </w:p>
    <w:p>
      <w:r/>
      <w:r>
        <w:rPr>
          <w:i/>
        </w:rPr>
        <w:t>Veja</w:t>
      </w:r>
      <w:r>
        <w:t xml:space="preserve"> </w:t>
      </w:r>
      <w:r>
        <w:t>Animais (Texugo)</w:t>
      </w:r>
      <w:r>
        <w:t>.</w:t>
      </w:r>
      <w:r/>
      <w:r/>
    </w:p>
    <w:p>
      <w:r/>
    </w:p>
    <w:p>
      <w:pPr>
        <w:pStyle w:val="Heading2"/>
      </w:pPr>
      <w:r>
        <w:t>Lebre</w:t>
      </w:r>
      <w:r/>
    </w:p>
    <w:p>
      <w:r/>
      <w:r>
        <w:t>Pequeno e ágil mamífero de orelhas compridas, semelhante ao coelho (</w:t>
      </w:r>
      <w:hyperlink r:id="rId1709">
        <w:r>
          <w:rPr>
            <w:color w:val="0000EE"/>
            <w:u w:val="single"/>
          </w:rPr>
          <w:t>Lv 11.6</w:t>
        </w:r>
      </w:hyperlink>
      <w:r>
        <w:t xml:space="preserve">; </w:t>
      </w:r>
      <w:hyperlink r:id="rId1473">
        <w:r>
          <w:rPr>
            <w:color w:val="0000EE"/>
            <w:u w:val="single"/>
          </w:rPr>
          <w:t>Dt 14.7</w:t>
        </w:r>
      </w:hyperlink>
      <w:r>
        <w:t xml:space="preserve">). </w:t>
      </w:r>
      <w:r>
        <w:rPr>
          <w:i/>
        </w:rPr>
        <w:t>Veja</w:t>
      </w:r>
      <w:r>
        <w:t xml:space="preserve"> </w:t>
      </w:r>
      <w:r>
        <w:t>Animais</w:t>
      </w:r>
      <w:r>
        <w:t>.</w:t>
      </w:r>
      <w:r/>
      <w:r/>
    </w:p>
    <w:p>
      <w:r/>
    </w:p>
    <w:p>
      <w:pPr>
        <w:pStyle w:val="Heading2"/>
      </w:pPr>
      <w:r>
        <w:t>Legião</w:t>
      </w:r>
      <w:r/>
    </w:p>
    <w:p>
      <w:r/>
      <w:r>
        <w:t>Uma unidade do exército romano. Nos tempos do NT, o tamanho padrão da legião era de 6.000 homens, aos quais se acrescentavam cerca de 120 cavaleiros.</w:t>
      </w:r>
    </w:p>
    <w:p>
      <w:r/>
      <w:r>
        <w:t>Como representava um grande contingente de homens, a palavra "legião" passou a ser usada simbolicamente para um número indefinidamente grande; esse uso ocorre quatro vezes no NT. Na história sobre o endemoninhado na região dos gerasenos, Jesus perguntou ao homem: “Qual é seu nome?” e a resposta foi: “Meu nome é Legião, pois somos muitos” (</w:t>
      </w:r>
      <w:hyperlink r:id="rId12735">
        <w:r>
          <w:rPr>
            <w:color w:val="0000EE"/>
            <w:u w:val="single"/>
          </w:rPr>
          <w:t>Mc 5.9,15</w:t>
        </w:r>
      </w:hyperlink>
      <w:r>
        <w:t xml:space="preserve">; </w:t>
      </w:r>
      <w:hyperlink r:id="rId12736">
        <w:r>
          <w:rPr>
            <w:color w:val="0000EE"/>
            <w:u w:val="single"/>
          </w:rPr>
          <w:t>Lc 8.30</w:t>
        </w:r>
      </w:hyperlink>
      <w:r>
        <w:t xml:space="preserve">; cf. </w:t>
      </w:r>
      <w:hyperlink r:id="rId12737">
        <w:r>
          <w:rPr>
            <w:color w:val="0000EE"/>
            <w:u w:val="single"/>
          </w:rPr>
          <w:t>Mt 12.45</w:t>
        </w:r>
      </w:hyperlink>
      <w:r>
        <w:t xml:space="preserve">; </w:t>
      </w:r>
      <w:hyperlink r:id="rId12738">
        <w:r>
          <w:rPr>
            <w:color w:val="0000EE"/>
            <w:u w:val="single"/>
          </w:rPr>
          <w:t>Lc 8.2</w:t>
        </w:r>
      </w:hyperlink>
      <w:r>
        <w:t>, que falam de vários demônios possuindo um único indivíduo).</w:t>
      </w:r>
    </w:p>
    <w:p>
      <w:r/>
      <w:r>
        <w:t xml:space="preserve">Outro uso da palavra está em </w:t>
      </w:r>
      <w:hyperlink r:id="rId12739">
        <w:r>
          <w:rPr>
            <w:color w:val="0000EE"/>
            <w:u w:val="single"/>
          </w:rPr>
          <w:t>Mateus 26.53</w:t>
        </w:r>
      </w:hyperlink>
      <w:r>
        <w:t>, onde no período da prisão de Jesus, um dos que estavam com ele puxou sua espada para defender seu Mestre. Jesus proibiu tal ação, dizendo: “Ou você acha que não posso pedir a meu Pai, e ele me mandaria neste momento mais de doze legiões de anjos?” (NAA; veja nota). Assim, ele falou do grande número de anjos que poderiam ser chamados para sua ajuda.</w:t>
      </w:r>
    </w:p>
    <w:p>
      <w:r/>
      <w:r>
        <w:t xml:space="preserve">A palavra “legião” nunca é usada no NT em seu sentido militar, mas dos poderes espirituais do mal que se opõem aos homens (cf. </w:t>
      </w:r>
      <w:hyperlink r:id="rId4786">
        <w:r>
          <w:rPr>
            <w:color w:val="0000EE"/>
            <w:u w:val="single"/>
          </w:rPr>
          <w:t>Ef 6.12</w:t>
        </w:r>
      </w:hyperlink>
      <w:r>
        <w:t xml:space="preserve">) ou dos poderes espirituais que podem ser convocados para ajudá-los (cf. </w:t>
      </w:r>
      <w:hyperlink r:id="rId6684">
        <w:r>
          <w:rPr>
            <w:color w:val="0000EE"/>
            <w:u w:val="single"/>
          </w:rPr>
          <w:t>Hb 1.14</w:t>
        </w:r>
      </w:hyperlink>
      <w:r>
        <w:t>).</w:t>
      </w:r>
    </w:p>
    <w:p>
      <w:r/>
      <w:r>
        <w:rPr>
          <w:i/>
        </w:rPr>
        <w:t>Veja também</w:t>
      </w:r>
      <w:r>
        <w:t xml:space="preserve"> </w:t>
      </w:r>
      <w:r>
        <w:t>Guerra</w:t>
      </w:r>
      <w:r>
        <w:t>.</w:t>
      </w:r>
      <w:r/>
      <w:r/>
    </w:p>
    <w:p>
      <w:r/>
    </w:p>
    <w:p>
      <w:pPr>
        <w:pStyle w:val="Heading2"/>
      </w:pPr>
      <w:r>
        <w:t>Lei, Conceito Bíblico De</w:t>
      </w:r>
      <w:r/>
    </w:p>
    <w:p>
      <w:r/>
      <w:r>
        <w:t>Os meios de Deus de consagrar seu povo para si. A natureza e o conteúdo da “lei” podem mudar, mas o objetivo permanece o mesmo: maturidade e conformidade com a imagem de Deus.</w:t>
      </w:r>
    </w:p>
    <w:p>
      <w:r/>
      <w:r>
        <w:t>Resumo</w:t>
      </w:r>
    </w:p>
    <w:p>
      <w:r/>
      <w:r>
        <w:t>• Contexto histórico</w:t>
      </w:r>
    </w:p>
    <w:p>
      <w:r/>
      <w:r>
        <w:t>• Lei no Antigo Testamento</w:t>
      </w:r>
    </w:p>
    <w:p>
      <w:r/>
      <w:r>
        <w:t>• Lei israelita e o Antigo Oriente Próximo</w:t>
      </w:r>
    </w:p>
    <w:p>
      <w:r/>
      <w:r>
        <w:t>• Leis do Antigo Testamento</w:t>
      </w:r>
    </w:p>
    <w:p>
      <w:r/>
      <w:r>
        <w:t>• Propósitos da Lei</w:t>
      </w:r>
    </w:p>
    <w:p>
      <w:pPr>
        <w:pStyle w:val="Heading3"/>
      </w:pPr>
      <w:r>
        <w:t>Contexto histórico</w:t>
      </w:r>
    </w:p>
    <w:p>
      <w:r/>
      <w:r>
        <w:t>Quando o homem foi criado à imagem de Deus, ele recebeu glória, governo e provisão para seu sustento diário do Rei-Criador (</w:t>
      </w:r>
      <w:hyperlink r:id="rId12740">
        <w:r>
          <w:rPr>
            <w:color w:val="0000EE"/>
            <w:u w:val="single"/>
          </w:rPr>
          <w:t>Gn 1.27–30</w:t>
        </w:r>
      </w:hyperlink>
      <w:r>
        <w:t>). No entanto, em seu status exaltado de governante sobre a criação de Deus na terra, o homem tinha que provar sua lealdade ao Senhor. Com este propósito, Deus estabeleceu um teste simples: a árvore do conhecimento do bem e do mal. O homem era proibido de comer o fruto daquela árvore (</w:t>
      </w:r>
      <w:hyperlink r:id="rId2622">
        <w:r>
          <w:rPr>
            <w:color w:val="0000EE"/>
            <w:u w:val="single"/>
          </w:rPr>
          <w:t>2.17</w:t>
        </w:r>
      </w:hyperlink>
      <w:r>
        <w:t>). Sua desobediência o marcou como inapto, isto é, impróprio para ter comunhão com o grande Rei. Ele foi rebelde e por natureza cheio de deslealdade, como os relatos subsequentes de Caim (</w:t>
      </w:r>
      <w:hyperlink r:id="rId12741">
        <w:r>
          <w:rPr>
            <w:color w:val="0000EE"/>
            <w:u w:val="single"/>
          </w:rPr>
          <w:t>4.1–16</w:t>
        </w:r>
      </w:hyperlink>
      <w:r>
        <w:t>), a geração do Dilúvio (</w:t>
      </w:r>
      <w:hyperlink r:id="rId12742">
        <w:r>
          <w:rPr>
            <w:color w:val="0000EE"/>
            <w:u w:val="single"/>
          </w:rPr>
          <w:t>6.1–13</w:t>
        </w:r>
      </w:hyperlink>
      <w:r>
        <w:t>), Cam e Canaã (</w:t>
      </w:r>
      <w:hyperlink r:id="rId12743">
        <w:r>
          <w:rPr>
            <w:color w:val="0000EE"/>
            <w:u w:val="single"/>
          </w:rPr>
          <w:t>9.18–26</w:t>
        </w:r>
      </w:hyperlink>
      <w:r>
        <w:t xml:space="preserve">; </w:t>
      </w:r>
      <w:hyperlink r:id="rId12744">
        <w:r>
          <w:rPr>
            <w:color w:val="0000EE"/>
            <w:u w:val="single"/>
          </w:rPr>
          <w:t>10.6–20</w:t>
        </w:r>
      </w:hyperlink>
      <w:r>
        <w:t>) e a Torre de Babel (</w:t>
      </w:r>
      <w:hyperlink r:id="rId2957">
        <w:r>
          <w:rPr>
            <w:color w:val="0000EE"/>
            <w:u w:val="single"/>
          </w:rPr>
          <w:t>11.1–9</w:t>
        </w:r>
      </w:hyperlink>
      <w:r>
        <w:t>) demonstram.</w:t>
      </w:r>
    </w:p>
    <w:p>
      <w:r/>
      <w:r>
        <w:t>No entanto, no meio de tudo isso, o Senhor graciosamente chamou Abraão. Ele prometeu abençoar a ele, sua semente, ou descendência, e as famílias da terra que se uniriam em uma expressão comum de fé (</w:t>
      </w:r>
      <w:hyperlink r:id="rId10125">
        <w:r>
          <w:rPr>
            <w:color w:val="0000EE"/>
            <w:u w:val="single"/>
          </w:rPr>
          <w:t>Gn 12.2–3</w:t>
        </w:r>
      </w:hyperlink>
      <w:r>
        <w:t xml:space="preserve">; </w:t>
      </w:r>
      <w:hyperlink r:id="rId12745">
        <w:r>
          <w:rPr>
            <w:color w:val="0000EE"/>
            <w:u w:val="single"/>
          </w:rPr>
          <w:t>17.4–7</w:t>
        </w:r>
      </w:hyperlink>
      <w:r>
        <w:t>). Abraão respondeu a Deus com fé (</w:t>
      </w:r>
      <w:hyperlink r:id="rId793">
        <w:r>
          <w:rPr>
            <w:color w:val="0000EE"/>
            <w:u w:val="single"/>
          </w:rPr>
          <w:t>15.6</w:t>
        </w:r>
      </w:hyperlink>
      <w:r>
        <w:t>), observou de bom grado o ritual da circuncisão como um sinal da aliança (</w:t>
      </w:r>
      <w:hyperlink r:id="rId4940">
        <w:r>
          <w:rPr>
            <w:color w:val="0000EE"/>
            <w:u w:val="single"/>
          </w:rPr>
          <w:t>17.10</w:t>
        </w:r>
      </w:hyperlink>
      <w:r>
        <w:t xml:space="preserve">; compare </w:t>
      </w:r>
      <w:hyperlink r:id="rId4943">
        <w:r>
          <w:rPr>
            <w:color w:val="0000EE"/>
            <w:u w:val="single"/>
          </w:rPr>
          <w:t>21.4</w:t>
        </w:r>
      </w:hyperlink>
      <w:r>
        <w:t>), e andou diante de Deus com integridade de coração (</w:t>
      </w:r>
      <w:hyperlink r:id="rId795">
        <w:r>
          <w:rPr>
            <w:color w:val="0000EE"/>
            <w:u w:val="single"/>
          </w:rPr>
          <w:t>17.1</w:t>
        </w:r>
      </w:hyperlink>
      <w:r>
        <w:t>). Abraão em seguida, aprendeu que Deus o havia escolhido soberana e graciosamente com o propósito de que a sua família pudesse se distinguir das outras nações “fazendo o que é correto e justo” (</w:t>
      </w:r>
      <w:hyperlink r:id="rId12746">
        <w:r>
          <w:rPr>
            <w:color w:val="0000EE"/>
            <w:u w:val="single"/>
          </w:rPr>
          <w:t>18.19</w:t>
        </w:r>
      </w:hyperlink>
      <w:r>
        <w:t>). O Senhor estava satisfeito com seu servo Abraão, que, embora não tivesse recebido leis detalhadas, era um homem íntegro. Seu coração estava certo com Deus, de modo que ele voluntariamente fez o que Deus ordenou.</w:t>
      </w:r>
    </w:p>
    <w:p>
      <w:r/>
      <w:r>
        <w:t>O pai da fé era o pai dos fiéis; o Senhor testificou que Abraão “pois Abraão me obedeceu e cumpriu as minhas ordens, os meus mandamentos, as minhas leis e os meus ensinamentos” (</w:t>
      </w:r>
      <w:hyperlink r:id="rId12747">
        <w:r>
          <w:rPr>
            <w:color w:val="0000EE"/>
            <w:u w:val="single"/>
          </w:rPr>
          <w:t>Gn 26.5</w:t>
        </w:r>
      </w:hyperlink>
      <w:r>
        <w:t>). Sua fé resultou nos frutos da justiça (</w:t>
      </w:r>
      <w:hyperlink r:id="rId12748">
        <w:r>
          <w:rPr>
            <w:color w:val="0000EE"/>
            <w:u w:val="single"/>
          </w:rPr>
          <w:t>Tg 2.21–24</w:t>
        </w:r>
      </w:hyperlink>
      <w:r>
        <w:t>).</w:t>
      </w:r>
    </w:p>
    <w:p>
      <w:r/>
      <w:r>
        <w:t>Porém, Israel, abençoado pelo Senhor no aumento da sua descendência, no Êxodo, na travessia do Mar Vermelho e na sua presença, não lhe respondeu com fé. Eles murmuraram e se queixaram no Monte Sinai, em Cades-Barneia e nas planícies de Moabe. Eles provaram ser um povo rebelde e de dura cerviz, ou seja, obstinado, teimoso (</w:t>
      </w:r>
      <w:hyperlink r:id="rId12749">
        <w:r>
          <w:rPr>
            <w:color w:val="0000EE"/>
            <w:u w:val="single"/>
          </w:rPr>
          <w:t>Êx 32.9</w:t>
        </w:r>
      </w:hyperlink>
      <w:r>
        <w:t xml:space="preserve">; </w:t>
      </w:r>
      <w:hyperlink r:id="rId12750">
        <w:r>
          <w:rPr>
            <w:color w:val="0000EE"/>
            <w:u w:val="single"/>
          </w:rPr>
          <w:t>33.3,5</w:t>
        </w:r>
      </w:hyperlink>
      <w:r>
        <w:t xml:space="preserve">; </w:t>
      </w:r>
      <w:hyperlink r:id="rId10124">
        <w:r>
          <w:rPr>
            <w:color w:val="0000EE"/>
            <w:u w:val="single"/>
          </w:rPr>
          <w:t>34.9</w:t>
        </w:r>
      </w:hyperlink>
      <w:r>
        <w:t xml:space="preserve">; </w:t>
      </w:r>
      <w:hyperlink r:id="rId12751">
        <w:r>
          <w:rPr>
            <w:color w:val="0000EE"/>
            <w:u w:val="single"/>
          </w:rPr>
          <w:t>Dt 9.6,13</w:t>
        </w:r>
      </w:hyperlink>
      <w:r>
        <w:t>). Embora eles tivessem mostrado seu caráter, o Senhor era fiel a Abraão fazendo uma aliança com eles. Israel se tornou seu povo, seu sacerdócio real, sua nação santa (</w:t>
      </w:r>
      <w:hyperlink r:id="rId6781">
        <w:r>
          <w:rPr>
            <w:color w:val="0000EE"/>
            <w:u w:val="single"/>
          </w:rPr>
          <w:t>Êx 19.5–6</w:t>
        </w:r>
      </w:hyperlink>
      <w:r>
        <w:t xml:space="preserve">; </w:t>
      </w:r>
      <w:hyperlink r:id="rId12752">
        <w:r>
          <w:rPr>
            <w:color w:val="0000EE"/>
            <w:u w:val="single"/>
          </w:rPr>
          <w:t>Dt 26.18–19</w:t>
        </w:r>
      </w:hyperlink>
      <w:r>
        <w:t>). Ele deu a Israel os Dez Mandamentos, a lei e a aliança, simbolizados pelas duas tábuas do testemunho (</w:t>
      </w:r>
      <w:hyperlink r:id="rId12753">
        <w:r>
          <w:rPr>
            <w:color w:val="0000EE"/>
            <w:u w:val="single"/>
          </w:rPr>
          <w:t>Êx 32.15–16</w:t>
        </w:r>
      </w:hyperlink>
      <w:r>
        <w:t>). Mesmo depois que Moisés ter quebrado as tábuas com raiva por causa da adoração idólatra do povo ao bezerro de ouro, o Senhor renovou sua aliança escrevendo novamente as palavras da aliança (</w:t>
      </w:r>
      <w:hyperlink r:id="rId12754">
        <w:r>
          <w:rPr>
            <w:color w:val="0000EE"/>
            <w:u w:val="single"/>
          </w:rPr>
          <w:t>34.28</w:t>
        </w:r>
      </w:hyperlink>
      <w:r>
        <w:t xml:space="preserve">). Por um lado, o contexto em que a lei foi dada reflete a graça e paciência de Deus com os pecados de Israel (vv. </w:t>
      </w:r>
      <w:hyperlink r:id="rId848">
        <w:r>
          <w:rPr>
            <w:color w:val="0000EE"/>
            <w:u w:val="single"/>
          </w:rPr>
          <w:t>6–7</w:t>
        </w:r>
      </w:hyperlink>
      <w:r>
        <w:t>) e sua determinação de usar Israel no desdobramento de seu plano de redenção para o mundo. Por outro lado, o contexto reflete a imaturidade e teimosia de Israel. Portanto, a lei no AT tem propósitos positivos e negativos.</w:t>
      </w:r>
    </w:p>
    <w:p>
      <w:pPr>
        <w:pStyle w:val="Heading3"/>
      </w:pPr>
      <w:r>
        <w:t>Lei no Antigo Testamento</w:t>
      </w:r>
    </w:p>
    <w:p>
      <w:r/>
      <w:r>
        <w:t xml:space="preserve">O AT tem muitas palavras para a lei de Deus. A palavra mais comum é </w:t>
      </w:r>
      <w:r>
        <w:rPr>
          <w:i/>
        </w:rPr>
        <w:t>Torá</w:t>
      </w:r>
      <w:r>
        <w:t>, que significa instrução de qualquer tipo: religiosa e secular, escrita e oral, divina e humana. A lei em Israel era a lei de Deus, mediada através de Moisés (</w:t>
      </w:r>
      <w:hyperlink r:id="rId12755">
        <w:r>
          <w:rPr>
            <w:color w:val="0000EE"/>
            <w:u w:val="single"/>
          </w:rPr>
          <w:t>Êx 20.19</w:t>
        </w:r>
      </w:hyperlink>
      <w:r>
        <w:t xml:space="preserve">; </w:t>
      </w:r>
      <w:hyperlink r:id="rId12756">
        <w:r>
          <w:rPr>
            <w:color w:val="0000EE"/>
            <w:u w:val="single"/>
          </w:rPr>
          <w:t>Dt 5.23–27</w:t>
        </w:r>
      </w:hyperlink>
      <w:r>
        <w:t>). Porque Israel rejeitou a revelação direta dos oráculos de Deus, a lei foi mediada através de Moisés, o servo de Deus (</w:t>
      </w:r>
      <w:hyperlink r:id="rId12757">
        <w:r>
          <w:rPr>
            <w:color w:val="0000EE"/>
            <w:u w:val="single"/>
          </w:rPr>
          <w:t>Jo 1.17</w:t>
        </w:r>
      </w:hyperlink>
      <w:r>
        <w:t>).</w:t>
      </w:r>
    </w:p>
    <w:p>
      <w:r/>
      <w:r>
        <w:t xml:space="preserve">Sinônimos para lei são, em várias traduções: palavra (cf. </w:t>
      </w:r>
      <w:hyperlink r:id="rId11416">
        <w:r>
          <w:rPr>
            <w:color w:val="0000EE"/>
            <w:u w:val="single"/>
          </w:rPr>
          <w:t>Êx 24.3</w:t>
        </w:r>
      </w:hyperlink>
      <w:r>
        <w:t xml:space="preserve">; </w:t>
      </w:r>
      <w:hyperlink r:id="rId12758">
        <w:r>
          <w:rPr>
            <w:color w:val="0000EE"/>
            <w:u w:val="single"/>
          </w:rPr>
          <w:t>34.27</w:t>
        </w:r>
      </w:hyperlink>
      <w:r>
        <w:t xml:space="preserve">), julgamento (cf. </w:t>
      </w:r>
      <w:hyperlink r:id="rId11416">
        <w:r>
          <w:rPr>
            <w:color w:val="0000EE"/>
            <w:u w:val="single"/>
          </w:rPr>
          <w:t>Êx 24.3</w:t>
        </w:r>
      </w:hyperlink>
      <w:r>
        <w:t xml:space="preserve">), decreto (cf. </w:t>
      </w:r>
      <w:hyperlink r:id="rId12759">
        <w:r>
          <w:rPr>
            <w:color w:val="0000EE"/>
            <w:u w:val="single"/>
          </w:rPr>
          <w:t>Nm 30.16</w:t>
        </w:r>
      </w:hyperlink>
      <w:r>
        <w:t xml:space="preserve">; </w:t>
      </w:r>
      <w:hyperlink r:id="rId12760">
        <w:r>
          <w:rPr>
            <w:color w:val="0000EE"/>
            <w:u w:val="single"/>
          </w:rPr>
          <w:t>Dt 4.1</w:t>
        </w:r>
      </w:hyperlink>
      <w:r>
        <w:t xml:space="preserve">), ordenança (cf. </w:t>
      </w:r>
      <w:hyperlink r:id="rId12761">
        <w:r>
          <w:rPr>
            <w:color w:val="0000EE"/>
            <w:u w:val="single"/>
          </w:rPr>
          <w:t>Nm 9.12, 14</w:t>
        </w:r>
      </w:hyperlink>
      <w:r>
        <w:t xml:space="preserve">; </w:t>
      </w:r>
      <w:hyperlink r:id="rId12762">
        <w:r>
          <w:rPr>
            <w:color w:val="0000EE"/>
            <w:u w:val="single"/>
          </w:rPr>
          <w:t>Dt 6.2</w:t>
        </w:r>
      </w:hyperlink>
      <w:r>
        <w:t xml:space="preserve">), comando, mandamento (cf. </w:t>
      </w:r>
      <w:hyperlink r:id="rId12763">
        <w:r>
          <w:rPr>
            <w:color w:val="0000EE"/>
            <w:u w:val="single"/>
          </w:rPr>
          <w:t>Dt 6.1, 25</w:t>
        </w:r>
      </w:hyperlink>
      <w:r>
        <w:t>), estatutos (</w:t>
      </w:r>
      <w:hyperlink r:id="rId12764">
        <w:r>
          <w:rPr>
            <w:color w:val="0000EE"/>
            <w:u w:val="single"/>
          </w:rPr>
          <w:t>Lv 3.17</w:t>
        </w:r>
      </w:hyperlink>
      <w:r>
        <w:t xml:space="preserve">; </w:t>
      </w:r>
      <w:hyperlink r:id="rId12765">
        <w:r>
          <w:rPr>
            <w:color w:val="0000EE"/>
            <w:u w:val="single"/>
          </w:rPr>
          <w:t>10.11</w:t>
        </w:r>
      </w:hyperlink>
      <w:r>
        <w:t xml:space="preserve">), preceitos (uma palavra hebraica usada apenas em Salmos; cf. </w:t>
      </w:r>
      <w:hyperlink r:id="rId12766">
        <w:r>
          <w:rPr>
            <w:color w:val="0000EE"/>
            <w:u w:val="single"/>
          </w:rPr>
          <w:t>119.4,15,27,40,45,56,63,69,78,87,93,94,100,104,110,128,134,141,159,168,173</w:t>
        </w:r>
      </w:hyperlink>
      <w:r>
        <w:t xml:space="preserve">), estipulações, requisitos, testemunhos (cf. </w:t>
      </w:r>
      <w:hyperlink r:id="rId12767">
        <w:r>
          <w:rPr>
            <w:color w:val="0000EE"/>
            <w:u w:val="single"/>
          </w:rPr>
          <w:t>Dt 4.45</w:t>
        </w:r>
      </w:hyperlink>
      <w:r>
        <w:t xml:space="preserve">; </w:t>
      </w:r>
      <w:hyperlink r:id="rId12768">
        <w:r>
          <w:rPr>
            <w:color w:val="0000EE"/>
            <w:u w:val="single"/>
          </w:rPr>
          <w:t>6.20</w:t>
        </w:r>
      </w:hyperlink>
      <w:r>
        <w:t xml:space="preserve">; </w:t>
      </w:r>
      <w:hyperlink r:id="rId12769">
        <w:r>
          <w:rPr>
            <w:color w:val="0000EE"/>
            <w:u w:val="single"/>
          </w:rPr>
          <w:t>1Rs 2.3</w:t>
        </w:r>
      </w:hyperlink>
      <w:r>
        <w:t xml:space="preserve">), preceito (um termo hebraico sem ocorrência no Pentateuco; cf. </w:t>
      </w:r>
      <w:hyperlink r:id="rId12770">
        <w:r>
          <w:rPr>
            <w:color w:val="0000EE"/>
            <w:u w:val="single"/>
          </w:rPr>
          <w:t>Sl 119.15</w:t>
        </w:r>
      </w:hyperlink>
      <w:r>
        <w:t xml:space="preserve">), ou simplesmente o “caminho(s)” (cf. </w:t>
      </w:r>
      <w:hyperlink r:id="rId12769">
        <w:r>
          <w:rPr>
            <w:color w:val="0000EE"/>
            <w:u w:val="single"/>
          </w:rPr>
          <w:t>1Rs 2.3</w:t>
        </w:r>
      </w:hyperlink>
      <w:r>
        <w:t xml:space="preserve">; </w:t>
      </w:r>
      <w:hyperlink r:id="rId12771">
        <w:r>
          <w:rPr>
            <w:color w:val="0000EE"/>
            <w:u w:val="single"/>
          </w:rPr>
          <w:t>Sl 18.21</w:t>
        </w:r>
      </w:hyperlink>
      <w:r>
        <w:t xml:space="preserve">; </w:t>
      </w:r>
      <w:hyperlink r:id="rId10799">
        <w:r>
          <w:rPr>
            <w:color w:val="0000EE"/>
            <w:u w:val="single"/>
          </w:rPr>
          <w:t>25.9</w:t>
        </w:r>
      </w:hyperlink>
      <w:r>
        <w:t xml:space="preserve">; </w:t>
      </w:r>
      <w:hyperlink r:id="rId12772">
        <w:r>
          <w:rPr>
            <w:color w:val="0000EE"/>
            <w:u w:val="single"/>
          </w:rPr>
          <w:t>37.34</w:t>
        </w:r>
      </w:hyperlink>
      <w:r>
        <w:t>).</w:t>
      </w:r>
    </w:p>
    <w:p>
      <w:r/>
      <w:r>
        <w:t>Essas palavras formam um campo semântico, e está longe de ser fácil distinguir claramente entre as várias formas de leis. Geralmente “as palavras” dizem respeito aos deveres do homem para com Deus, especialmente os Dez Mandamentos (</w:t>
      </w:r>
      <w:hyperlink r:id="rId6949">
        <w:r>
          <w:rPr>
            <w:color w:val="0000EE"/>
            <w:u w:val="single"/>
          </w:rPr>
          <w:t>Êx 20.1</w:t>
        </w:r>
      </w:hyperlink>
      <w:r>
        <w:t xml:space="preserve">; </w:t>
      </w:r>
      <w:hyperlink r:id="rId12758">
        <w:r>
          <w:rPr>
            <w:color w:val="0000EE"/>
            <w:u w:val="single"/>
          </w:rPr>
          <w:t>34.27</w:t>
        </w:r>
      </w:hyperlink>
      <w:r>
        <w:t>). Os “julgamentos” contêm regulamentos e deveres civis para com os semelhantes e para o ambiente social (</w:t>
      </w:r>
      <w:hyperlink r:id="rId12773">
        <w:r>
          <w:rPr>
            <w:color w:val="0000EE"/>
            <w:u w:val="single"/>
          </w:rPr>
          <w:t>21.1–23.9</w:t>
        </w:r>
      </w:hyperlink>
      <w:r>
        <w:t>); esses geralmente estão na forma de “se… então…”. Em Levítico e nas formulações relativas ao culto, a palavra “ordenanças” tem o sentido técnico dos regulamentos do culto — as leis cerimoniais. No entanto, em outros contextos, especialmente em uma série de sinônimos de lei, significa qualquer expectativa ou regulamento. Os “mandamentos” são aqueles regulamentos dados por uma autoridade superior. Embora o AT tenha muitas palavras para lei, a conotação de uma palavra é muitas vezes indistinguível da de outras palavras, especialmente em séries como “os decretos e leis” (</w:t>
      </w:r>
      <w:hyperlink r:id="rId12760">
        <w:r>
          <w:rPr>
            <w:color w:val="0000EE"/>
            <w:u w:val="single"/>
          </w:rPr>
          <w:t>Dt 4.1,5</w:t>
        </w:r>
      </w:hyperlink>
      <w:r>
        <w:t xml:space="preserve">; </w:t>
      </w:r>
      <w:hyperlink r:id="rId6967">
        <w:r>
          <w:rPr>
            <w:color w:val="0000EE"/>
            <w:u w:val="single"/>
          </w:rPr>
          <w:t>5.1</w:t>
        </w:r>
      </w:hyperlink>
      <w:r>
        <w:t>), “os comandos, decretos e leis” (</w:t>
      </w:r>
      <w:hyperlink r:id="rId12763">
        <w:r>
          <w:rPr>
            <w:color w:val="0000EE"/>
            <w:u w:val="single"/>
          </w:rPr>
          <w:t>6.1</w:t>
        </w:r>
      </w:hyperlink>
      <w:r>
        <w:t>), “para andares nos seus caminhos, para guardares os seus estatutos, e os seus mandamentos, e os seus juízos, e os seus testemunhos, como está escrito na Lei de Moisés” (</w:t>
      </w:r>
      <w:hyperlink r:id="rId12769">
        <w:r>
          <w:rPr>
            <w:color w:val="0000EE"/>
            <w:u w:val="single"/>
          </w:rPr>
          <w:t>1Rs 2.3</w:t>
        </w:r>
      </w:hyperlink>
      <w:r>
        <w:t>, ARA).</w:t>
      </w:r>
    </w:p>
    <w:p>
      <w:r/>
      <w:r>
        <w:t>A motivação para manter a lei divina está nos atos e na presença do Senhor. O prólogo do Decálogo nos lembra dos atos poderosos de Deus: “Meu povo, eu, o SENHOR, sou o seu Deus. Eu o tirei do Egito, a terra onde você era escravo” (</w:t>
      </w:r>
      <w:hyperlink r:id="rId6951">
        <w:r>
          <w:rPr>
            <w:color w:val="0000EE"/>
            <w:u w:val="single"/>
          </w:rPr>
          <w:t>Êx 20.2</w:t>
        </w:r>
      </w:hyperlink>
      <w:r>
        <w:t>). Nos atos históricos da redenção de Israel, da revelação no Monte Sinai e da consagração de Israel para ser seu povo, ele se envolveu com Israel como um “pai”. Ele adotou Israel para filiação e os consagrou; isto é, ele os declarou santos (</w:t>
      </w:r>
      <w:hyperlink r:id="rId806">
        <w:r>
          <w:rPr>
            <w:color w:val="0000EE"/>
            <w:u w:val="single"/>
          </w:rPr>
          <w:t>Êx 19.6</w:t>
        </w:r>
      </w:hyperlink>
      <w:r>
        <w:t xml:space="preserve">; </w:t>
      </w:r>
      <w:hyperlink r:id="rId12774">
        <w:r>
          <w:rPr>
            <w:color w:val="0000EE"/>
            <w:u w:val="single"/>
          </w:rPr>
          <w:t>31.13</w:t>
        </w:r>
      </w:hyperlink>
      <w:r>
        <w:t xml:space="preserve">; </w:t>
      </w:r>
      <w:hyperlink r:id="rId12775">
        <w:r>
          <w:rPr>
            <w:color w:val="0000EE"/>
            <w:u w:val="single"/>
          </w:rPr>
          <w:t>Lv 20.8</w:t>
        </w:r>
      </w:hyperlink>
      <w:r>
        <w:t xml:space="preserve">; </w:t>
      </w:r>
      <w:hyperlink r:id="rId12776">
        <w:r>
          <w:rPr>
            <w:color w:val="0000EE"/>
            <w:u w:val="single"/>
          </w:rPr>
          <w:t>22.32</w:t>
        </w:r>
      </w:hyperlink>
      <w:r>
        <w:t xml:space="preserve">; cf. </w:t>
      </w:r>
      <w:hyperlink r:id="rId12777">
        <w:r>
          <w:rPr>
            <w:color w:val="0000EE"/>
            <w:u w:val="single"/>
          </w:rPr>
          <w:t>Rm 9.4</w:t>
        </w:r>
      </w:hyperlink>
      <w:r>
        <w:t>). Às vezes, os dois conceitos de redenção e consagração são colocados juntos, mas sejam eles ou não, eles são inseparáveis. “Eu sou o SENHOR, que vos santifico” (</w:t>
      </w:r>
      <w:hyperlink r:id="rId12776">
        <w:r>
          <w:rPr>
            <w:color w:val="0000EE"/>
            <w:u w:val="single"/>
          </w:rPr>
          <w:t>Lv 22.32b</w:t>
        </w:r>
      </w:hyperlink>
      <w:r>
        <w:t xml:space="preserve">, ARA). A base da obediência pode ser declarada simplesmente por um apelo ao nome de Deus: “Eu sou Yahweh” (cf. </w:t>
      </w:r>
      <w:hyperlink r:id="rId12778">
        <w:r>
          <w:rPr>
            <w:color w:val="0000EE"/>
            <w:u w:val="single"/>
          </w:rPr>
          <w:t xml:space="preserve">Lv 18.6,21,30; </w:t>
        </w:r>
      </w:hyperlink>
      <w:r>
        <w:t>19</w:t>
      </w:r>
      <w:hyperlink r:id="rId8332">
        <w:r>
          <w:rPr>
            <w:color w:val="0000EE"/>
            <w:u w:val="single"/>
          </w:rPr>
          <w:t xml:space="preserve">.10,14,16,18,28,30–31,34,36–37). </w:t>
        </w:r>
      </w:hyperlink>
      <w:r>
        <w:t>O requisito de santidade prática também é baseado na experiência da presença de Deus. O Senhor ordenou a Israel que fosse santo porque ele é santo (</w:t>
      </w:r>
      <w:hyperlink r:id="rId6879">
        <w:r>
          <w:rPr>
            <w:color w:val="0000EE"/>
            <w:u w:val="single"/>
          </w:rPr>
          <w:t>Lv 11.44–45</w:t>
        </w:r>
      </w:hyperlink>
      <w:r>
        <w:t xml:space="preserve">; </w:t>
      </w:r>
      <w:hyperlink r:id="rId5370">
        <w:r>
          <w:rPr>
            <w:color w:val="0000EE"/>
            <w:u w:val="single"/>
          </w:rPr>
          <w:t>19.2</w:t>
        </w:r>
      </w:hyperlink>
      <w:r>
        <w:t>). O “santo de Israel” habitava no meio de seu povo (</w:t>
      </w:r>
      <w:hyperlink r:id="rId5900">
        <w:r>
          <w:rPr>
            <w:color w:val="0000EE"/>
            <w:u w:val="single"/>
          </w:rPr>
          <w:t>Êx 25.8</w:t>
        </w:r>
      </w:hyperlink>
      <w:r>
        <w:t xml:space="preserve">; </w:t>
      </w:r>
      <w:hyperlink r:id="rId12779">
        <w:r>
          <w:rPr>
            <w:color w:val="0000EE"/>
            <w:u w:val="single"/>
          </w:rPr>
          <w:t>29.45</w:t>
        </w:r>
      </w:hyperlink>
      <w:r>
        <w:t xml:space="preserve">; </w:t>
      </w:r>
      <w:hyperlink r:id="rId12780">
        <w:r>
          <w:rPr>
            <w:color w:val="0000EE"/>
            <w:u w:val="single"/>
          </w:rPr>
          <w:t>Nm 5.3</w:t>
        </w:r>
      </w:hyperlink>
      <w:r>
        <w:t xml:space="preserve">; </w:t>
      </w:r>
      <w:hyperlink r:id="rId12781">
        <w:r>
          <w:rPr>
            <w:color w:val="0000EE"/>
            <w:u w:val="single"/>
          </w:rPr>
          <w:t>35.34</w:t>
        </w:r>
      </w:hyperlink>
      <w:r>
        <w:t>).</w:t>
      </w:r>
    </w:p>
    <w:p>
      <w:r/>
      <w:r>
        <w:t>Como poderia o rebelde Israel compreender o que Deus exigia, se não fosse por regulamentos morais, sociais, civis e regulações de culto? O Senhor havia observado que eles não tinham “o coração” para servi-lo como um povo leal à aliança (</w:t>
      </w:r>
      <w:hyperlink r:id="rId12782">
        <w:r>
          <w:rPr>
            <w:color w:val="0000EE"/>
            <w:u w:val="single"/>
          </w:rPr>
          <w:t>Dt 5.29</w:t>
        </w:r>
      </w:hyperlink>
      <w:r>
        <w:t>). Pela própria natureza de Israel, eles não poderiam desenvolver um sistema moral e de culto adequado para agradar a Deus. Por causa da dureza de coração das pessoas, Deus tinha que revelar (ou seja, “soletrar”) sua vontade.</w:t>
      </w:r>
    </w:p>
    <w:p>
      <w:pPr>
        <w:pStyle w:val="Heading3"/>
      </w:pPr>
      <w:r>
        <w:t>A Lei israelita e o Antigo Oriente Próximo</w:t>
      </w:r>
    </w:p>
    <w:p>
      <w:r/>
      <w:r>
        <w:t xml:space="preserve">A lei de Israel refletia as práticas de seu antigo contexto do Oriente Próximo. Os códigos da lei da antiga Babilônia (Eshnunna, Hamurabi) mostram semelhanças com os códigos bíblicos. As semelhanças vão além da semelhança dos casos e incluem formulações legais (lei casuística). A lei israelita é distinta na medida em que é lei divina. Moisés é o mediador e não o promulgador da lei, como era a prática de um rei que, como Hamurabi, colocava em vigor um código legal. O próprio Senhor deu a Israel suas leis (cf. </w:t>
      </w:r>
      <w:hyperlink r:id="rId12783">
        <w:r>
          <w:rPr>
            <w:color w:val="0000EE"/>
            <w:u w:val="single"/>
          </w:rPr>
          <w:t>Dt 4.5–8</w:t>
        </w:r>
      </w:hyperlink>
      <w:r>
        <w:t>). As leis no antigo Oriente Próximo lidavam com a ordem da sociedade. Mas as leis de Israel foram dadas para regular todos os aspectos da vida: pessoal, familiar, social e cúltico. As leis eram para ensinar Israel a distinguir entre santo e profano, entre limpo e imundo e entre justo e injusto.</w:t>
      </w:r>
    </w:p>
    <w:p>
      <w:pPr>
        <w:pStyle w:val="Heading3"/>
      </w:pPr>
      <w:r>
        <w:t>Leis do Antigo Testamento</w:t>
      </w:r>
    </w:p>
    <w:p>
      <w:r/>
      <w:r>
        <w:t xml:space="preserve">O corpus legal, ou conjunto de leis, do AT não é dado em um livro ou em uma única seção. Além disso, as leis refletem o desenvolvimento do contexto do deserto (Êxodo) para o contexto da terra (Deuteronômio). O material legal do AT é complexo, cheio de variações e duplicações. É encontrada em Êxodo (cap. </w:t>
      </w:r>
      <w:hyperlink r:id="rId12784">
        <w:r>
          <w:rPr>
            <w:color w:val="0000EE"/>
            <w:u w:val="single"/>
          </w:rPr>
          <w:t>20–24</w:t>
        </w:r>
      </w:hyperlink>
      <w:r>
        <w:t xml:space="preserve">; </w:t>
      </w:r>
      <w:hyperlink r:id="rId12785">
        <w:r>
          <w:rPr>
            <w:color w:val="0000EE"/>
            <w:u w:val="single"/>
          </w:rPr>
          <w:t>25–31</w:t>
        </w:r>
      </w:hyperlink>
      <w:r>
        <w:t xml:space="preserve">), Levítico, Números (cap. </w:t>
      </w:r>
      <w:hyperlink r:id="rId12786">
        <w:r>
          <w:rPr>
            <w:color w:val="0000EE"/>
            <w:u w:val="single"/>
          </w:rPr>
          <w:t>3–6</w:t>
        </w:r>
      </w:hyperlink>
      <w:r>
        <w:t xml:space="preserve">; </w:t>
      </w:r>
      <w:hyperlink r:id="rId12787">
        <w:r>
          <w:rPr>
            <w:color w:val="0000EE"/>
            <w:u w:val="single"/>
          </w:rPr>
          <w:t>8–10</w:t>
        </w:r>
      </w:hyperlink>
      <w:r>
        <w:t xml:space="preserve">; </w:t>
      </w:r>
      <w:hyperlink r:id="rId12788">
        <w:r>
          <w:rPr>
            <w:color w:val="0000EE"/>
            <w:u w:val="single"/>
          </w:rPr>
          <w:t>15</w:t>
        </w:r>
      </w:hyperlink>
      <w:r>
        <w:t xml:space="preserve">; </w:t>
      </w:r>
      <w:hyperlink r:id="rId12789">
        <w:r>
          <w:rPr>
            <w:color w:val="0000EE"/>
            <w:u w:val="single"/>
          </w:rPr>
          <w:t>18</w:t>
        </w:r>
      </w:hyperlink>
      <w:r>
        <w:t xml:space="preserve">; </w:t>
      </w:r>
      <w:hyperlink r:id="rId11909">
        <w:r>
          <w:rPr>
            <w:color w:val="0000EE"/>
            <w:u w:val="single"/>
          </w:rPr>
          <w:t>19</w:t>
        </w:r>
      </w:hyperlink>
      <w:r>
        <w:t xml:space="preserve">; </w:t>
      </w:r>
      <w:hyperlink r:id="rId12790">
        <w:r>
          <w:rPr>
            <w:color w:val="0000EE"/>
            <w:u w:val="single"/>
          </w:rPr>
          <w:t>28–30</w:t>
        </w:r>
      </w:hyperlink>
      <w:r>
        <w:t xml:space="preserve">) e Deuteronômio (cap. </w:t>
      </w:r>
      <w:hyperlink r:id="rId6952">
        <w:r>
          <w:rPr>
            <w:color w:val="0000EE"/>
            <w:u w:val="single"/>
          </w:rPr>
          <w:t>5–26</w:t>
        </w:r>
      </w:hyperlink>
      <w:r>
        <w:t>).</w:t>
      </w:r>
    </w:p>
    <w:p>
      <w:pPr>
        <w:pStyle w:val="Heading4"/>
      </w:pPr>
      <w:r>
        <w:t>Os Dez Mandamentos</w:t>
      </w:r>
    </w:p>
    <w:p>
      <w:r/>
      <w:r>
        <w:t>Os mandamentos são simplesmente designados como “as palavras” de Deus (</w:t>
      </w:r>
      <w:hyperlink r:id="rId6949">
        <w:r>
          <w:rPr>
            <w:color w:val="0000EE"/>
            <w:u w:val="single"/>
          </w:rPr>
          <w:t>Êx 20.1</w:t>
        </w:r>
      </w:hyperlink>
      <w:r>
        <w:t xml:space="preserve">). Eles aparecem em </w:t>
      </w:r>
      <w:hyperlink r:id="rId2571">
        <w:r>
          <w:rPr>
            <w:color w:val="0000EE"/>
            <w:u w:val="single"/>
          </w:rPr>
          <w:t>Êx 20.1–17</w:t>
        </w:r>
      </w:hyperlink>
      <w:r>
        <w:t xml:space="preserve"> e em </w:t>
      </w:r>
      <w:hyperlink r:id="rId813">
        <w:r>
          <w:rPr>
            <w:color w:val="0000EE"/>
            <w:u w:val="single"/>
          </w:rPr>
          <w:t>Dt 5.6–21</w:t>
        </w:r>
      </w:hyperlink>
      <w:r>
        <w:t xml:space="preserve">, mas variações menores e mandamentos individuais ocorrem em outros contextos (e.g., </w:t>
      </w:r>
      <w:hyperlink r:id="rId12791">
        <w:r>
          <w:rPr>
            <w:color w:val="0000EE"/>
            <w:u w:val="single"/>
          </w:rPr>
          <w:t>Êx 34.14, 17, 21</w:t>
        </w:r>
      </w:hyperlink>
      <w:r>
        <w:t xml:space="preserve">; </w:t>
      </w:r>
      <w:hyperlink r:id="rId12792">
        <w:r>
          <w:rPr>
            <w:color w:val="0000EE"/>
            <w:u w:val="single"/>
          </w:rPr>
          <w:t>Lv 19.1–8</w:t>
        </w:r>
      </w:hyperlink>
      <w:r>
        <w:t xml:space="preserve">; </w:t>
      </w:r>
      <w:hyperlink r:id="rId12793">
        <w:r>
          <w:rPr>
            <w:color w:val="0000EE"/>
            <w:u w:val="single"/>
          </w:rPr>
          <w:t>Dt 27.15–16</w:t>
        </w:r>
      </w:hyperlink>
      <w:r>
        <w:t>). Como parte da aliança, os mandamentos foram primeiro endereçados a Israel; eles agora formam a base da moralidade no cristianismo. A relevância permanente da lei moral é clara no NT. Nosso Senhor estabeleceu sua autoridade como intérprete de todos os mandamentos (</w:t>
      </w:r>
      <w:hyperlink r:id="rId7315">
        <w:r>
          <w:rPr>
            <w:color w:val="0000EE"/>
            <w:u w:val="single"/>
          </w:rPr>
          <w:t>Mt 5.17–48</w:t>
        </w:r>
      </w:hyperlink>
      <w:r>
        <w:t xml:space="preserve">; </w:t>
      </w:r>
      <w:hyperlink r:id="rId11728">
        <w:r>
          <w:rPr>
            <w:color w:val="0000EE"/>
            <w:u w:val="single"/>
          </w:rPr>
          <w:t>12.1–14</w:t>
        </w:r>
      </w:hyperlink>
      <w:r>
        <w:t xml:space="preserve">; </w:t>
      </w:r>
      <w:hyperlink r:id="rId8240">
        <w:r>
          <w:rPr>
            <w:color w:val="0000EE"/>
            <w:u w:val="single"/>
          </w:rPr>
          <w:t>23.23–24</w:t>
        </w:r>
      </w:hyperlink>
      <w:r>
        <w:t xml:space="preserve">). Ele resumiu a lei em termos de amor por Deus e pelo homem (cf. </w:t>
      </w:r>
      <w:hyperlink r:id="rId6885">
        <w:r>
          <w:rPr>
            <w:color w:val="0000EE"/>
            <w:u w:val="single"/>
          </w:rPr>
          <w:t>Mt 22.37–40</w:t>
        </w:r>
      </w:hyperlink>
      <w:r>
        <w:t xml:space="preserve">; </w:t>
      </w:r>
      <w:hyperlink r:id="rId12794">
        <w:r>
          <w:rPr>
            <w:color w:val="0000EE"/>
            <w:u w:val="single"/>
          </w:rPr>
          <w:t>Mc 12.28–34</w:t>
        </w:r>
      </w:hyperlink>
      <w:r>
        <w:t xml:space="preserve">; </w:t>
      </w:r>
      <w:hyperlink r:id="rId5731">
        <w:r>
          <w:rPr>
            <w:color w:val="0000EE"/>
            <w:u w:val="single"/>
          </w:rPr>
          <w:t>Lc 10.27</w:t>
        </w:r>
      </w:hyperlink>
      <w:r>
        <w:t xml:space="preserve">; cf. </w:t>
      </w:r>
      <w:hyperlink r:id="rId12795">
        <w:r>
          <w:rPr>
            <w:color w:val="0000EE"/>
            <w:u w:val="single"/>
          </w:rPr>
          <w:t>Rm 13.8–9</w:t>
        </w:r>
      </w:hyperlink>
      <w:r>
        <w:t xml:space="preserve">; </w:t>
      </w:r>
      <w:hyperlink r:id="rId1175">
        <w:r>
          <w:rPr>
            <w:color w:val="0000EE"/>
            <w:u w:val="single"/>
          </w:rPr>
          <w:t>Gl 5.14</w:t>
        </w:r>
      </w:hyperlink>
      <w:r>
        <w:t>). Uma vez que ele também é o Senhor do sábado, o sábado não pode ser dissociado dos outros mandamentos (</w:t>
      </w:r>
      <w:hyperlink r:id="rId9415">
        <w:r>
          <w:rPr>
            <w:color w:val="0000EE"/>
            <w:u w:val="single"/>
          </w:rPr>
          <w:t>Mt 12.8</w:t>
        </w:r>
      </w:hyperlink>
      <w:r>
        <w:t xml:space="preserve">). O apóstolo também sustentava a lei, pois sua “ética do Espírito” reflete uma internalização da lei de Deus nos corações dos crentes (cf. </w:t>
      </w:r>
      <w:hyperlink r:id="rId12796">
        <w:r>
          <w:rPr>
            <w:color w:val="0000EE"/>
            <w:u w:val="single"/>
          </w:rPr>
          <w:t>Rm 8.1–17</w:t>
        </w:r>
      </w:hyperlink>
      <w:r>
        <w:t xml:space="preserve">; </w:t>
      </w:r>
      <w:hyperlink r:id="rId12797">
        <w:r>
          <w:rPr>
            <w:color w:val="0000EE"/>
            <w:u w:val="single"/>
          </w:rPr>
          <w:t>12.1–15.13</w:t>
        </w:r>
      </w:hyperlink>
      <w:r>
        <w:t xml:space="preserve">; </w:t>
      </w:r>
      <w:hyperlink r:id="rId6806">
        <w:r>
          <w:rPr>
            <w:color w:val="0000EE"/>
            <w:u w:val="single"/>
          </w:rPr>
          <w:t>1Co 2.6–16</w:t>
        </w:r>
      </w:hyperlink>
      <w:r>
        <w:t xml:space="preserve">; </w:t>
      </w:r>
      <w:hyperlink r:id="rId12798">
        <w:r>
          <w:rPr>
            <w:color w:val="0000EE"/>
            <w:u w:val="single"/>
          </w:rPr>
          <w:t>5.1–8</w:t>
        </w:r>
      </w:hyperlink>
      <w:r>
        <w:t xml:space="preserve">; </w:t>
      </w:r>
      <w:hyperlink r:id="rId5813">
        <w:r>
          <w:rPr>
            <w:color w:val="0000EE"/>
            <w:u w:val="single"/>
          </w:rPr>
          <w:t>10.23–11.1</w:t>
        </w:r>
      </w:hyperlink>
      <w:hyperlink r:id="rId12799">
        <w:r>
          <w:rPr>
            <w:color w:val="0000EE"/>
            <w:u w:val="single"/>
          </w:rPr>
          <w:t>Gl 5.13–6.10</w:t>
        </w:r>
      </w:hyperlink>
      <w:r>
        <w:t xml:space="preserve">; </w:t>
      </w:r>
      <w:hyperlink r:id="rId12800">
        <w:r>
          <w:rPr>
            <w:color w:val="0000EE"/>
            <w:u w:val="single"/>
          </w:rPr>
          <w:t>Ef 4.17–6.9</w:t>
        </w:r>
      </w:hyperlink>
      <w:r>
        <w:t xml:space="preserve">; </w:t>
      </w:r>
      <w:hyperlink r:id="rId12801">
        <w:r>
          <w:rPr>
            <w:color w:val="0000EE"/>
            <w:u w:val="single"/>
          </w:rPr>
          <w:t>Fp 2.1–18</w:t>
        </w:r>
      </w:hyperlink>
      <w:r>
        <w:t xml:space="preserve">; </w:t>
      </w:r>
      <w:hyperlink r:id="rId5171">
        <w:r>
          <w:rPr>
            <w:color w:val="0000EE"/>
            <w:u w:val="single"/>
          </w:rPr>
          <w:t>Cl 3.1–4.6</w:t>
        </w:r>
      </w:hyperlink>
      <w:r>
        <w:t xml:space="preserve">; </w:t>
      </w:r>
      <w:hyperlink r:id="rId12802">
        <w:r>
          <w:rPr>
            <w:color w:val="0000EE"/>
            <w:u w:val="single"/>
          </w:rPr>
          <w:t>1Ts 4.1–12</w:t>
        </w:r>
      </w:hyperlink>
      <w:r>
        <w:t xml:space="preserve">; </w:t>
      </w:r>
      <w:hyperlink r:id="rId12803">
        <w:r>
          <w:rPr>
            <w:color w:val="0000EE"/>
            <w:u w:val="single"/>
          </w:rPr>
          <w:t>5.12–24</w:t>
        </w:r>
      </w:hyperlink>
      <w:r>
        <w:t xml:space="preserve">; </w:t>
      </w:r>
      <w:hyperlink r:id="rId12804">
        <w:r>
          <w:rPr>
            <w:color w:val="0000EE"/>
            <w:u w:val="single"/>
          </w:rPr>
          <w:t>2Ts 3.6–15</w:t>
        </w:r>
      </w:hyperlink>
      <w:r>
        <w:t xml:space="preserve">; </w:t>
      </w:r>
      <w:hyperlink r:id="rId12805">
        <w:r>
          <w:rPr>
            <w:color w:val="0000EE"/>
            <w:u w:val="single"/>
          </w:rPr>
          <w:t>1Tm 6.3–10</w:t>
        </w:r>
      </w:hyperlink>
      <w:r>
        <w:t xml:space="preserve">; </w:t>
      </w:r>
      <w:hyperlink r:id="rId12806">
        <w:r>
          <w:rPr>
            <w:color w:val="0000EE"/>
            <w:u w:val="single"/>
          </w:rPr>
          <w:t>Tt 3.1–11</w:t>
        </w:r>
      </w:hyperlink>
      <w:r>
        <w:t>).</w:t>
      </w:r>
    </w:p>
    <w:p>
      <w:r/>
      <w:r>
        <w:t>Os mandamentos foram escritos em ambos os lados das duas tábuas pelo Senhor (</w:t>
      </w:r>
      <w:hyperlink r:id="rId12753">
        <w:r>
          <w:rPr>
            <w:color w:val="0000EE"/>
            <w:u w:val="single"/>
          </w:rPr>
          <w:t>Êx 32.15–16</w:t>
        </w:r>
      </w:hyperlink>
      <w:r>
        <w:t>). Não está claro se as tábuas eram cópias duplicadas, como os mandamentos foram divididos e como os mandamentos foram numerados. Eles eram mantidos dentro da arca da aliança como um testemunho da aliança (</w:t>
      </w:r>
      <w:hyperlink r:id="rId12807">
        <w:r>
          <w:rPr>
            <w:color w:val="0000EE"/>
            <w:u w:val="single"/>
          </w:rPr>
          <w:t>40.20</w:t>
        </w:r>
      </w:hyperlink>
      <w:r>
        <w:t>).</w:t>
      </w:r>
    </w:p>
    <w:p>
      <w:pPr>
        <w:pStyle w:val="Heading4"/>
      </w:pPr>
      <w:r>
        <w:t>O Livro da Aliança (Êx 20.23–23.19)</w:t>
      </w:r>
    </w:p>
    <w:p>
      <w:r/>
      <w:r>
        <w:t>O propósito do código da aliança era exemplificar e colocar em movimento o mecanismo legal pelo qual Israel, enquanto nação, poderia refletir o interesse de Deus pela justiça, amor, paz e o valor da vida. As leis no Livro da Aliança são principalmente do tipo casuístico. Elas regulam a vida em uma sociedade agrícola com servos, jumentos, touros, bois, ovelhas e campos de cereais. Os regulamentos dizem respeito às relações com mulheres (incluindo viúvas), estrangeiros, órfãos; aos assuntos legais (responsabilidade, danos, propriedade); bem como às obrigações religiosas (altar, sábado). Muitas vezes a lei exige restituição, mas isso não é regra quando a vida humana está envolvida (</w:t>
      </w:r>
      <w:hyperlink r:id="rId12808">
        <w:r>
          <w:rPr>
            <w:color w:val="0000EE"/>
            <w:u w:val="single"/>
          </w:rPr>
          <w:t>Êx 21.12–29</w:t>
        </w:r>
      </w:hyperlink>
      <w:r>
        <w:t xml:space="preserve">; </w:t>
      </w:r>
      <w:hyperlink r:id="rId6352">
        <w:r>
          <w:rPr>
            <w:color w:val="0000EE"/>
            <w:u w:val="single"/>
          </w:rPr>
          <w:t>22.2–3</w:t>
        </w:r>
      </w:hyperlink>
      <w:r>
        <w:t>), especialmente quando envolve a família de alguém (</w:t>
      </w:r>
      <w:hyperlink r:id="rId12809">
        <w:r>
          <w:rPr>
            <w:color w:val="0000EE"/>
            <w:u w:val="single"/>
          </w:rPr>
          <w:t>21.15–17, 22–25</w:t>
        </w:r>
      </w:hyperlink>
      <w:r>
        <w:t xml:space="preserve">). O código penal anexado às leis do caso deixa claro o valor da vida humana, que é protegida pela </w:t>
      </w:r>
      <w:r>
        <w:rPr>
          <w:i/>
        </w:rPr>
        <w:t>lex talionis</w:t>
      </w:r>
      <w:r>
        <w:t xml:space="preserve"> (“lei da retaliação”). A </w:t>
      </w:r>
      <w:r>
        <w:rPr>
          <w:i/>
        </w:rPr>
        <w:t>lex talionis</w:t>
      </w:r>
      <w:r>
        <w:t xml:space="preserve"> não aponta para uma falta de perdão no AT, mas sim pretendia ser um princípio legal que dá coerência e justiça a uma sociedade. O Livro da Aliança explica por meio de princípios e casos como Israel deve viver em comunidade como uma nação abraçando a lei de Deus e aplicando-a </w:t>
      </w:r>
      <w:r>
        <w:rPr>
          <w:i/>
        </w:rPr>
        <w:t>justamente</w:t>
      </w:r>
      <w:r>
        <w:t xml:space="preserve"> (sem discriminação ou distorção dos direitos), </w:t>
      </w:r>
      <w:r>
        <w:rPr>
          <w:i/>
        </w:rPr>
        <w:t>amorosamente</w:t>
      </w:r>
      <w:r>
        <w:t xml:space="preserve"> (com interesse pelas partes envolvidas) e </w:t>
      </w:r>
      <w:r>
        <w:rPr>
          <w:i/>
        </w:rPr>
        <w:t>pacificamente</w:t>
      </w:r>
      <w:r>
        <w:t>.</w:t>
      </w:r>
    </w:p>
    <w:p>
      <w:pPr>
        <w:pStyle w:val="Heading4"/>
      </w:pPr>
      <w:r>
        <w:t>A lei sacerdotal</w:t>
      </w:r>
    </w:p>
    <w:p>
      <w:r/>
      <w:r>
        <w:t>O interesse de Deus pela santidade e pureza vem a expressão nas leis sacerdotais (</w:t>
      </w:r>
      <w:hyperlink r:id="rId12785">
        <w:r>
          <w:rPr>
            <w:color w:val="0000EE"/>
            <w:u w:val="single"/>
          </w:rPr>
          <w:t>Êx 25–31</w:t>
        </w:r>
      </w:hyperlink>
      <w:r>
        <w:t xml:space="preserve">; </w:t>
      </w:r>
      <w:hyperlink r:id="rId11418">
        <w:r>
          <w:rPr>
            <w:color w:val="0000EE"/>
            <w:u w:val="single"/>
          </w:rPr>
          <w:t>35–40</w:t>
        </w:r>
      </w:hyperlink>
      <w:r>
        <w:t xml:space="preserve">; </w:t>
      </w:r>
      <w:hyperlink r:id="rId6963">
        <w:r>
          <w:rPr>
            <w:color w:val="0000EE"/>
            <w:u w:val="single"/>
          </w:rPr>
          <w:t>Lv 1–27</w:t>
        </w:r>
      </w:hyperlink>
      <w:r>
        <w:t xml:space="preserve">; </w:t>
      </w:r>
      <w:hyperlink r:id="rId12810">
        <w:r>
          <w:rPr>
            <w:color w:val="0000EE"/>
            <w:u w:val="single"/>
          </w:rPr>
          <w:t>Nm 4–10</w:t>
        </w:r>
      </w:hyperlink>
      <w:r>
        <w:t>). Os regulamentos dizem respeito à construção do tabernáculo, à consagração e ordenação dos sacerdotes, às ofertas e sacrifícios, às regras de pureza, aos dias santos e aos votos.</w:t>
      </w:r>
    </w:p>
    <w:p>
      <w:r/>
      <w:r>
        <w:t>O tabernáculo foi estabelecido no meio do acampamento de Israel, no deserto. Simbolizava a presença de Deus com seu povo. Os sacerdotes e levitas estavam acampados ao redor do tabernáculo para servir e proteger a santidade de Deus. Todas as tribos estavam situadas ao redor do tabernáculo, e embora seus membros não tivessem acesso a todas as partes do tabernáculo, eles tinham que estar ritualmente limpos para viver no acampamento. Qualquer um que estivesse ritualmente contaminado (</w:t>
      </w:r>
      <w:hyperlink r:id="rId12811">
        <w:r>
          <w:rPr>
            <w:color w:val="0000EE"/>
            <w:u w:val="single"/>
          </w:rPr>
          <w:t>Lv 13.46</w:t>
        </w:r>
      </w:hyperlink>
      <w:r>
        <w:t xml:space="preserve">; </w:t>
      </w:r>
      <w:hyperlink r:id="rId12812">
        <w:r>
          <w:rPr>
            <w:color w:val="0000EE"/>
            <w:u w:val="single"/>
          </w:rPr>
          <w:t>Nm 5.1–3</w:t>
        </w:r>
      </w:hyperlink>
      <w:r>
        <w:t>) ou tivesse pecado gravemente era colocado fora do acampamento (</w:t>
      </w:r>
      <w:hyperlink r:id="rId12813">
        <w:r>
          <w:rPr>
            <w:color w:val="0000EE"/>
            <w:u w:val="single"/>
          </w:rPr>
          <w:t>Lv 24.10–23</w:t>
        </w:r>
      </w:hyperlink>
      <w:r>
        <w:t xml:space="preserve">; </w:t>
      </w:r>
      <w:hyperlink r:id="rId7199">
        <w:r>
          <w:rPr>
            <w:color w:val="0000EE"/>
            <w:u w:val="single"/>
          </w:rPr>
          <w:t>Nm 15.32–36</w:t>
        </w:r>
      </w:hyperlink>
      <w:r>
        <w:t>). Esta regulamentação incluía até mesmo objetos que estavam contaminados (</w:t>
      </w:r>
      <w:hyperlink r:id="rId12814">
        <w:r>
          <w:rPr>
            <w:color w:val="0000EE"/>
            <w:u w:val="single"/>
          </w:rPr>
          <w:t>Lv 8.17</w:t>
        </w:r>
      </w:hyperlink>
      <w:r>
        <w:t xml:space="preserve">; </w:t>
      </w:r>
      <w:hyperlink r:id="rId12815">
        <w:r>
          <w:rPr>
            <w:color w:val="0000EE"/>
            <w:u w:val="single"/>
          </w:rPr>
          <w:t>9.11</w:t>
        </w:r>
      </w:hyperlink>
      <w:r>
        <w:t>).</w:t>
      </w:r>
    </w:p>
    <w:p>
      <w:r/>
      <w:r>
        <w:t>Por meio de ofertas e sacrifícios prescritos (</w:t>
      </w:r>
      <w:hyperlink r:id="rId12816">
        <w:r>
          <w:rPr>
            <w:color w:val="0000EE"/>
            <w:u w:val="single"/>
          </w:rPr>
          <w:t>Lv 1–7</w:t>
        </w:r>
      </w:hyperlink>
      <w:r>
        <w:t xml:space="preserve">; </w:t>
      </w:r>
      <w:hyperlink r:id="rId403">
        <w:r>
          <w:rPr>
            <w:color w:val="0000EE"/>
            <w:u w:val="single"/>
          </w:rPr>
          <w:t>16</w:t>
        </w:r>
      </w:hyperlink>
      <w:r>
        <w:t xml:space="preserve">; </w:t>
      </w:r>
      <w:hyperlink r:id="rId12817">
        <w:r>
          <w:rPr>
            <w:color w:val="0000EE"/>
            <w:u w:val="single"/>
          </w:rPr>
          <w:t>Nm 15.1–31</w:t>
        </w:r>
      </w:hyperlink>
      <w:r>
        <w:t xml:space="preserve">; </w:t>
      </w:r>
      <w:hyperlink r:id="rId12818">
        <w:r>
          <w:rPr>
            <w:color w:val="0000EE"/>
            <w:u w:val="single"/>
          </w:rPr>
          <w:t>28</w:t>
        </w:r>
      </w:hyperlink>
      <w:r>
        <w:t>), Deus assegurou Israel, individual e coletivamente, do perdão quando este havia pecado involuntariamente. As ofertas e sacrifícios concretamente expressavam o propósito do ofertante, seja perdão, dedicação ou comunhão.</w:t>
      </w:r>
    </w:p>
    <w:p>
      <w:r/>
      <w:r>
        <w:t>Os sacerdotes e levitas ensinavam a lei de Deus (</w:t>
      </w:r>
      <w:hyperlink r:id="rId1954">
        <w:r>
          <w:rPr>
            <w:color w:val="0000EE"/>
            <w:u w:val="single"/>
          </w:rPr>
          <w:t>Dt 31.9–13</w:t>
        </w:r>
      </w:hyperlink>
      <w:r>
        <w:t>), aplicavam seus regulamentos e serviam nos tribunais (</w:t>
      </w:r>
      <w:hyperlink r:id="rId12819">
        <w:r>
          <w:rPr>
            <w:color w:val="0000EE"/>
            <w:u w:val="single"/>
          </w:rPr>
          <w:t>17.8–13</w:t>
        </w:r>
      </w:hyperlink>
      <w:r>
        <w:t>).</w:t>
      </w:r>
    </w:p>
    <w:p>
      <w:pPr>
        <w:pStyle w:val="Heading4"/>
      </w:pPr>
      <w:r>
        <w:t>O código de santidade (Lv 17–26)</w:t>
      </w:r>
    </w:p>
    <w:p>
      <w:r/>
      <w:r>
        <w:t xml:space="preserve">O código de santidade forma uma parte significativa do livro de Levítico. Aqui Moisés se dirigiu a todo o povo de Israel (cf. </w:t>
      </w:r>
      <w:hyperlink r:id="rId12820">
        <w:r>
          <w:rPr>
            <w:color w:val="0000EE"/>
            <w:u w:val="single"/>
          </w:rPr>
          <w:t>Lv 17.2</w:t>
        </w:r>
      </w:hyperlink>
      <w:r>
        <w:t xml:space="preserve">; </w:t>
      </w:r>
      <w:hyperlink r:id="rId12821">
        <w:r>
          <w:rPr>
            <w:color w:val="0000EE"/>
            <w:u w:val="single"/>
          </w:rPr>
          <w:t>18.2</w:t>
        </w:r>
      </w:hyperlink>
      <w:r>
        <w:t xml:space="preserve">; </w:t>
      </w:r>
      <w:hyperlink r:id="rId5370">
        <w:r>
          <w:rPr>
            <w:color w:val="0000EE"/>
            <w:u w:val="single"/>
          </w:rPr>
          <w:t>19.2</w:t>
        </w:r>
      </w:hyperlink>
      <w:r>
        <w:t xml:space="preserve">; </w:t>
      </w:r>
      <w:hyperlink r:id="rId7195">
        <w:r>
          <w:rPr>
            <w:color w:val="0000EE"/>
            <w:u w:val="single"/>
          </w:rPr>
          <w:t>20.2</w:t>
        </w:r>
      </w:hyperlink>
      <w:r>
        <w:t xml:space="preserve">; </w:t>
      </w:r>
      <w:hyperlink r:id="rId12822">
        <w:r>
          <w:rPr>
            <w:color w:val="0000EE"/>
            <w:u w:val="single"/>
          </w:rPr>
          <w:t>21.24</w:t>
        </w:r>
      </w:hyperlink>
      <w:r>
        <w:t xml:space="preserve">; </w:t>
      </w:r>
      <w:hyperlink r:id="rId9238">
        <w:r>
          <w:rPr>
            <w:color w:val="0000EE"/>
            <w:u w:val="single"/>
          </w:rPr>
          <w:t>23.2</w:t>
        </w:r>
      </w:hyperlink>
      <w:r>
        <w:t xml:space="preserve">; </w:t>
      </w:r>
      <w:hyperlink r:id="rId12823">
        <w:r>
          <w:rPr>
            <w:color w:val="0000EE"/>
            <w:u w:val="single"/>
          </w:rPr>
          <w:t>24.2</w:t>
        </w:r>
      </w:hyperlink>
      <w:r>
        <w:t xml:space="preserve">; </w:t>
      </w:r>
      <w:hyperlink r:id="rId12824">
        <w:r>
          <w:rPr>
            <w:color w:val="0000EE"/>
            <w:u w:val="single"/>
          </w:rPr>
          <w:t>25.2</w:t>
        </w:r>
      </w:hyperlink>
      <w:r>
        <w:t xml:space="preserve">; </w:t>
      </w:r>
      <w:hyperlink r:id="rId12825">
        <w:r>
          <w:rPr>
            <w:color w:val="0000EE"/>
            <w:u w:val="single"/>
          </w:rPr>
          <w:t>26.46</w:t>
        </w:r>
      </w:hyperlink>
      <w:r>
        <w:t xml:space="preserve">; </w:t>
      </w:r>
      <w:hyperlink r:id="rId12826">
        <w:r>
          <w:rPr>
            <w:color w:val="0000EE"/>
            <w:u w:val="single"/>
          </w:rPr>
          <w:t>27.2</w:t>
        </w:r>
      </w:hyperlink>
      <w:r>
        <w:t>).</w:t>
      </w:r>
    </w:p>
    <w:p>
      <w:r/>
      <w:r>
        <w:t xml:space="preserve">As leis estão na forma de proibições e comandos diretos. Elas dizem respeito ao lugar de sacrifício e à proibição de consumir carne com sangue (cap. </w:t>
      </w:r>
      <w:hyperlink r:id="rId12827">
        <w:r>
          <w:rPr>
            <w:color w:val="0000EE"/>
            <w:u w:val="single"/>
          </w:rPr>
          <w:t>17</w:t>
        </w:r>
      </w:hyperlink>
      <w:r>
        <w:t xml:space="preserve">); à proibição de relações sexuais com membros específicos da família (cap. </w:t>
      </w:r>
      <w:hyperlink r:id="rId2572">
        <w:r>
          <w:rPr>
            <w:color w:val="0000EE"/>
            <w:u w:val="single"/>
          </w:rPr>
          <w:t>18</w:t>
        </w:r>
      </w:hyperlink>
      <w:r>
        <w:t xml:space="preserve">); e regulamentos que promovem a piedade, santidade, justiça e amor na sociedade (cap. </w:t>
      </w:r>
      <w:hyperlink r:id="rId12828">
        <w:r>
          <w:rPr>
            <w:color w:val="0000EE"/>
            <w:u w:val="single"/>
          </w:rPr>
          <w:t>19</w:t>
        </w:r>
      </w:hyperlink>
      <w:r>
        <w:t xml:space="preserve">). O código penal aplica penalidades àqueles que pecam contra os regulamentos (cap. </w:t>
      </w:r>
      <w:hyperlink r:id="rId10992">
        <w:r>
          <w:rPr>
            <w:color w:val="0000EE"/>
            <w:u w:val="single"/>
          </w:rPr>
          <w:t>20</w:t>
        </w:r>
      </w:hyperlink>
      <w:r>
        <w:t xml:space="preserve">; </w:t>
      </w:r>
      <w:hyperlink r:id="rId12813">
        <w:r>
          <w:rPr>
            <w:color w:val="0000EE"/>
            <w:u w:val="single"/>
          </w:rPr>
          <w:t>24.10–23</w:t>
        </w:r>
      </w:hyperlink>
      <w:r>
        <w:t xml:space="preserve">). Os capítulos </w:t>
      </w:r>
      <w:hyperlink r:id="rId12829">
        <w:r>
          <w:rPr>
            <w:color w:val="0000EE"/>
            <w:u w:val="single"/>
          </w:rPr>
          <w:t>21–24</w:t>
        </w:r>
      </w:hyperlink>
      <w:r>
        <w:t xml:space="preserve"> aplicam os regulamentos dos cultos aos sacerdotes e a todos os israelitas. As instituções do ano sabático e do Ano do Jubileu regulam a remissão de dívidas, a liberdade das pessoas e a restituição da terra (cap. </w:t>
      </w:r>
      <w:hyperlink r:id="rId1952">
        <w:r>
          <w:rPr>
            <w:color w:val="0000EE"/>
            <w:u w:val="single"/>
          </w:rPr>
          <w:t>25</w:t>
        </w:r>
      </w:hyperlink>
      <w:r>
        <w:t>).</w:t>
      </w:r>
    </w:p>
    <w:p>
      <w:r/>
      <w:r>
        <w:t>O código de santidade explica as qualidades exigidas de um povo santo: devoção a Deus (oferendas, sacrifícios, sacerdotes) e amor pelo homem (</w:t>
      </w:r>
      <w:hyperlink r:id="rId1166">
        <w:r>
          <w:rPr>
            <w:color w:val="0000EE"/>
            <w:u w:val="single"/>
          </w:rPr>
          <w:t>Lv 19.18b</w:t>
        </w:r>
      </w:hyperlink>
      <w:r>
        <w:t xml:space="preserve">) demonstrada na preocupação com a justiça, a paz, a liberdade, o valor da vida humana e a preocupação com a família. Muitas das leis refletem o espírito do Decálogo (cap. </w:t>
      </w:r>
      <w:hyperlink r:id="rId12828">
        <w:r>
          <w:rPr>
            <w:color w:val="0000EE"/>
            <w:u w:val="single"/>
          </w:rPr>
          <w:t>19</w:t>
        </w:r>
      </w:hyperlink>
      <w:r>
        <w:t>).</w:t>
      </w:r>
    </w:p>
    <w:p>
      <w:r/>
      <w:r>
        <w:t xml:space="preserve">Tanto promessas as quanto maldições estão ligadas ao código de santidade (cap. </w:t>
      </w:r>
      <w:hyperlink r:id="rId12830">
        <w:r>
          <w:rPr>
            <w:color w:val="0000EE"/>
            <w:u w:val="single"/>
          </w:rPr>
          <w:t>26</w:t>
        </w:r>
      </w:hyperlink>
      <w:r>
        <w:t>). As maldições predizem o exílio como uma consequência da violação das leis. Mas sempre subjacente às leis e penalidades está a graça do Senhor, que promete livremente perdoar os pecados das pessoas e renovar a aliança quebrada (</w:t>
      </w:r>
      <w:hyperlink r:id="rId1324">
        <w:r>
          <w:rPr>
            <w:color w:val="0000EE"/>
            <w:u w:val="single"/>
          </w:rPr>
          <w:t>26.44–45</w:t>
        </w:r>
      </w:hyperlink>
      <w:r>
        <w:t>).</w:t>
      </w:r>
    </w:p>
    <w:p>
      <w:pPr>
        <w:pStyle w:val="Heading4"/>
      </w:pPr>
      <w:r>
        <w:t>Leis de Deuteronômio</w:t>
      </w:r>
    </w:p>
    <w:p>
      <w:r/>
      <w:r>
        <w:t>As leis Deuteronômicas são explicações e novas aplicações do Livro da Aliança tendo em vista a nova situação histórica de Israel. Israel estava prestes a entrar na Terra Prometida quando Moisés definiu para eles a lei de Deus (</w:t>
      </w:r>
      <w:hyperlink r:id="rId12831">
        <w:r>
          <w:rPr>
            <w:color w:val="0000EE"/>
            <w:u w:val="single"/>
          </w:rPr>
          <w:t>Dt 1.5</w:t>
        </w:r>
      </w:hyperlink>
      <w:r>
        <w:t>). O elemento impessoal do Livro da Aliança é transformado aqui pelo apelo pessoal. Moisés apela fortemente a Israel para ser leal ao Senhor, à aliança e às estipulações da aliança. As leis Deuteronômicas apontam para as pessoas na terra da promessa, com um santuário central (</w:t>
      </w:r>
      <w:hyperlink r:id="rId413">
        <w:r>
          <w:rPr>
            <w:color w:val="0000EE"/>
            <w:u w:val="single"/>
          </w:rPr>
          <w:t>12.5, 11–18</w:t>
        </w:r>
      </w:hyperlink>
      <w:r>
        <w:t xml:space="preserve">; </w:t>
      </w:r>
      <w:hyperlink r:id="rId12832">
        <w:r>
          <w:rPr>
            <w:color w:val="0000EE"/>
            <w:u w:val="single"/>
          </w:rPr>
          <w:t>14.23</w:t>
        </w:r>
      </w:hyperlink>
      <w:r>
        <w:t xml:space="preserve">; </w:t>
      </w:r>
      <w:hyperlink r:id="rId12833">
        <w:r>
          <w:rPr>
            <w:color w:val="0000EE"/>
            <w:u w:val="single"/>
          </w:rPr>
          <w:t>15.20</w:t>
        </w:r>
      </w:hyperlink>
      <w:r>
        <w:t xml:space="preserve">; </w:t>
      </w:r>
      <w:hyperlink r:id="rId12834">
        <w:r>
          <w:rPr>
            <w:color w:val="0000EE"/>
            <w:u w:val="single"/>
          </w:rPr>
          <w:t>16.5–7, 16, 21</w:t>
        </w:r>
      </w:hyperlink>
      <w:r>
        <w:t xml:space="preserve">; </w:t>
      </w:r>
      <w:hyperlink r:id="rId12835">
        <w:r>
          <w:rPr>
            <w:color w:val="0000EE"/>
            <w:u w:val="single"/>
          </w:rPr>
          <w:t>17.8</w:t>
        </w:r>
      </w:hyperlink>
      <w:r>
        <w:t xml:space="preserve">; </w:t>
      </w:r>
      <w:hyperlink r:id="rId12836">
        <w:r>
          <w:rPr>
            <w:color w:val="0000EE"/>
            <w:u w:val="single"/>
          </w:rPr>
          <w:t>18.6</w:t>
        </w:r>
      </w:hyperlink>
      <w:r>
        <w:t xml:space="preserve">; </w:t>
      </w:r>
      <w:hyperlink r:id="rId12837">
        <w:r>
          <w:rPr>
            <w:color w:val="0000EE"/>
            <w:u w:val="single"/>
          </w:rPr>
          <w:t>26.2</w:t>
        </w:r>
      </w:hyperlink>
      <w:r>
        <w:t xml:space="preserve">; </w:t>
      </w:r>
      <w:hyperlink r:id="rId12838">
        <w:r>
          <w:rPr>
            <w:color w:val="0000EE"/>
            <w:u w:val="single"/>
          </w:rPr>
          <w:t>31.11</w:t>
        </w:r>
      </w:hyperlink>
      <w:r>
        <w:t>) e com um rei (</w:t>
      </w:r>
      <w:hyperlink r:id="rId11427">
        <w:r>
          <w:rPr>
            <w:color w:val="0000EE"/>
            <w:u w:val="single"/>
          </w:rPr>
          <w:t>17.14–20</w:t>
        </w:r>
      </w:hyperlink>
      <w:r>
        <w:t xml:space="preserve">). As bênçãos e maldições motivam a lealdade da aliança (cap. </w:t>
      </w:r>
      <w:hyperlink r:id="rId6997">
        <w:r>
          <w:rPr>
            <w:color w:val="0000EE"/>
            <w:u w:val="single"/>
          </w:rPr>
          <w:t>28</w:t>
        </w:r>
      </w:hyperlink>
      <w:r>
        <w:t>). No entanto, Israel também está aqui seguro de que, mesmo que viole a lei de Deus, o Senhor permanece gracioso e perdoador.</w:t>
      </w:r>
    </w:p>
    <w:p>
      <w:pPr>
        <w:pStyle w:val="Heading3"/>
      </w:pPr>
      <w:r>
        <w:t>Propósitos da Lei</w:t>
      </w:r>
    </w:p>
    <w:p>
      <w:r/>
      <w:r>
        <w:t xml:space="preserve">A lei revelada no Monte Sinai tinha a intenção de levar Israel mais perto de Deus. Embora eles fossem rebeldes, Deus usou a lei como seu justo instrumento para ensinar, de uma maneira muito específica, o que é pecado (cf. </w:t>
      </w:r>
      <w:hyperlink r:id="rId4447">
        <w:r>
          <w:rPr>
            <w:color w:val="0000EE"/>
            <w:u w:val="single"/>
          </w:rPr>
          <w:t>Rm 5.20</w:t>
        </w:r>
      </w:hyperlink>
      <w:r>
        <w:t xml:space="preserve">; </w:t>
      </w:r>
      <w:hyperlink r:id="rId5082">
        <w:r>
          <w:rPr>
            <w:color w:val="0000EE"/>
            <w:u w:val="single"/>
          </w:rPr>
          <w:t>7.7–8</w:t>
        </w:r>
      </w:hyperlink>
      <w:r>
        <w:t>) e como eles deveriam trilhar um caminho que os mantivesse imaculados pelo pecado e santos ao Senhor. A lei era o mestre e o guardião de Israel (</w:t>
      </w:r>
      <w:hyperlink r:id="rId12839">
        <w:r>
          <w:rPr>
            <w:color w:val="0000EE"/>
            <w:u w:val="single"/>
          </w:rPr>
          <w:t>Gl 3.24</w:t>
        </w:r>
      </w:hyperlink>
      <w:r>
        <w:t>). As explicações detalhadas das leis em todas as áreas da vida (trabalho, sociedade, família, culto e nação) tinham um lugar importante na forma como Deus lidava com Israel. Israel era uma nação em uma terra especial, com um governo teocrático, e precisava de um código legislativo. Além disso, a condição de Israel no Monte Sinai era tal que não podia receber revelação direta. A revelação tinha que ser mediada através de Moisés. Tinha que ser estabelecido em detalhes, porque Israel não tinha compreensão intuitiva, clara do que a revelação da santidade, justiça, retidão, amor e tolerância de Deus exigia deles. Eles haviam tomado os costumes dos egípcios e tinham que aprender a vontade divina por revelação. No entanto, Moisés e os profetas enfatizam que o propósito da lei não é a adesão estrita à lei por si só (legalismo) ou por uma recompensa (farisaísmo). Manter a lei é um ato de devoção a Deus, por quem ele é. Nosso Senhor confirmou o propósito da lei: estabelecer um modo de vida dinâmico no qual se busca continuamente o reino de Deus e sua justiça (</w:t>
      </w:r>
      <w:hyperlink r:id="rId6722">
        <w:r>
          <w:rPr>
            <w:color w:val="0000EE"/>
            <w:u w:val="single"/>
          </w:rPr>
          <w:t>Mt 6.33</w:t>
        </w:r>
      </w:hyperlink>
      <w:r>
        <w:t>).</w:t>
      </w:r>
    </w:p>
    <w:p>
      <w:r/>
      <w:r>
        <w:t>A lei de Deus é seu meio de santificação para o povo. Ele consagrou Israel por um ato de graça, e ele exigiu que Israel permanecesse santo. Jesus confirmou esses usos da lei pelos quais alguém pode conhecer sua pecaminosidade e pelos quais pode ser levado para Cristo. Na cruz, nosso Senhor carregou as penalidades da lei, cumpriu de uma maneira superior à presença de Deus no tabernáculo/templo, cumpriu as expectativas de expiação do Pai e demonstrou o amor do Pai. Ele, o Filho e maior do que Moisés, deu a essência da lei no resumo dos requisitos de Deus: amor a Deus e amor ao próximo (</w:t>
      </w:r>
      <w:hyperlink r:id="rId8240">
        <w:r>
          <w:rPr>
            <w:color w:val="0000EE"/>
            <w:u w:val="single"/>
          </w:rPr>
          <w:t>Mt 23.23–24</w:t>
        </w:r>
      </w:hyperlink>
      <w:r>
        <w:t xml:space="preserve">; </w:t>
      </w:r>
      <w:hyperlink r:id="rId12840">
        <w:r>
          <w:rPr>
            <w:color w:val="0000EE"/>
            <w:u w:val="single"/>
          </w:rPr>
          <w:t>Lc 11.42–44</w:t>
        </w:r>
      </w:hyperlink>
      <w:r>
        <w:t>). Jesus ensinou que o propósito da obediência não é primariamente receber uma recompensa, mas servir como sal (</w:t>
      </w:r>
      <w:hyperlink r:id="rId12841">
        <w:r>
          <w:rPr>
            <w:color w:val="0000EE"/>
            <w:u w:val="single"/>
          </w:rPr>
          <w:t>Mt 5.13</w:t>
        </w:r>
      </w:hyperlink>
      <w:r>
        <w:t>) e luz (</w:t>
      </w:r>
      <w:hyperlink r:id="rId12842">
        <w:r>
          <w:rPr>
            <w:color w:val="0000EE"/>
            <w:u w:val="single"/>
          </w:rPr>
          <w:t>Mt 5.14–16</w:t>
        </w:r>
      </w:hyperlink>
      <w:r>
        <w:t xml:space="preserve">; cf. </w:t>
      </w:r>
      <w:hyperlink r:id="rId12843">
        <w:r>
          <w:rPr>
            <w:color w:val="0000EE"/>
            <w:u w:val="single"/>
          </w:rPr>
          <w:t>Ef 4.17–5.20</w:t>
        </w:r>
      </w:hyperlink>
      <w:r>
        <w:t>) e dar fruto (</w:t>
      </w:r>
      <w:hyperlink r:id="rId12844">
        <w:r>
          <w:rPr>
            <w:color w:val="0000EE"/>
            <w:u w:val="single"/>
          </w:rPr>
          <w:t>Jo 15.1–17</w:t>
        </w:r>
      </w:hyperlink>
      <w:r>
        <w:t>). O propósito da lei de Deus é a transformação gradual dos seus filhos para refletirem a imagem do Filho (</w:t>
      </w:r>
      <w:hyperlink r:id="rId368">
        <w:r>
          <w:rPr>
            <w:color w:val="0000EE"/>
            <w:u w:val="single"/>
          </w:rPr>
          <w:t>Rm 8.29</w:t>
        </w:r>
      </w:hyperlink>
      <w:r>
        <w:t xml:space="preserve">; </w:t>
      </w:r>
      <w:hyperlink r:id="rId370">
        <w:r>
          <w:rPr>
            <w:color w:val="0000EE"/>
            <w:u w:val="single"/>
          </w:rPr>
          <w:t>2Co 3.18</w:t>
        </w:r>
      </w:hyperlink>
      <w:r>
        <w:t xml:space="preserve">; </w:t>
      </w:r>
      <w:hyperlink r:id="rId6842">
        <w:r>
          <w:rPr>
            <w:color w:val="0000EE"/>
            <w:u w:val="single"/>
          </w:rPr>
          <w:t>Cl 3.10</w:t>
        </w:r>
      </w:hyperlink>
      <w:r>
        <w:t>), serem uma imitação do Pai (</w:t>
      </w:r>
      <w:hyperlink r:id="rId7665">
        <w:r>
          <w:rPr>
            <w:color w:val="0000EE"/>
            <w:u w:val="single"/>
          </w:rPr>
          <w:t>Ef 5.1–2</w:t>
        </w:r>
      </w:hyperlink>
      <w:r>
        <w:t>) e serem cheios do Espírito de Deus (</w:t>
      </w:r>
      <w:hyperlink r:id="rId12845">
        <w:r>
          <w:rPr>
            <w:color w:val="0000EE"/>
            <w:u w:val="single"/>
          </w:rPr>
          <w:t>Gl 5.18, 22–24</w:t>
        </w:r>
      </w:hyperlink>
      <w:r>
        <w:t>). Com este propósito, Jesus nos deu as bem-aventuranças e o Sermão do Monte, que resumem a intenção do ensino de Moisés e dos profetas (</w:t>
      </w:r>
      <w:hyperlink r:id="rId6404">
        <w:r>
          <w:rPr>
            <w:color w:val="0000EE"/>
            <w:u w:val="single"/>
          </w:rPr>
          <w:t>Mt 5–7</w:t>
        </w:r>
      </w:hyperlink>
      <w:r>
        <w:t>).</w:t>
      </w:r>
    </w:p>
    <w:p>
      <w:r/>
      <w:r>
        <w:t xml:space="preserve">O propósito da lei é transformar os crentes regenerados em maturidade. A maturidade espiritual não é um privilégio que era reservado para os crentes depois de Cristo; os santos do AT também andaram com Deus (Enoque, </w:t>
      </w:r>
      <w:hyperlink r:id="rId4791">
        <w:r>
          <w:rPr>
            <w:color w:val="0000EE"/>
            <w:u w:val="single"/>
          </w:rPr>
          <w:t>Gn 5.22–24</w:t>
        </w:r>
      </w:hyperlink>
      <w:r>
        <w:t xml:space="preserve">; Noé, </w:t>
      </w:r>
      <w:hyperlink r:id="rId5287">
        <w:r>
          <w:rPr>
            <w:color w:val="0000EE"/>
            <w:u w:val="single"/>
          </w:rPr>
          <w:t>6.9</w:t>
        </w:r>
      </w:hyperlink>
      <w:r>
        <w:t xml:space="preserve">; Abraão, </w:t>
      </w:r>
      <w:hyperlink r:id="rId795">
        <w:r>
          <w:rPr>
            <w:color w:val="0000EE"/>
            <w:u w:val="single"/>
          </w:rPr>
          <w:t>17.1</w:t>
        </w:r>
      </w:hyperlink>
      <w:r>
        <w:t xml:space="preserve">). Esses eram homens maduros que viviam com integridade na presença de Deus (cf. </w:t>
      </w:r>
      <w:hyperlink r:id="rId795">
        <w:r>
          <w:rPr>
            <w:color w:val="0000EE"/>
            <w:u w:val="single"/>
          </w:rPr>
          <w:t>Gn 17.1</w:t>
        </w:r>
      </w:hyperlink>
      <w:r>
        <w:t xml:space="preserve">; </w:t>
      </w:r>
      <w:hyperlink r:id="rId12846">
        <w:r>
          <w:rPr>
            <w:color w:val="0000EE"/>
            <w:u w:val="single"/>
          </w:rPr>
          <w:t>Dt 18.13</w:t>
        </w:r>
      </w:hyperlink>
      <w:r>
        <w:t xml:space="preserve">; </w:t>
      </w:r>
      <w:hyperlink r:id="rId12847">
        <w:r>
          <w:rPr>
            <w:color w:val="0000EE"/>
            <w:u w:val="single"/>
          </w:rPr>
          <w:t>Sl 15.1–2</w:t>
        </w:r>
      </w:hyperlink>
      <w:r>
        <w:t xml:space="preserve">; </w:t>
      </w:r>
      <w:hyperlink r:id="rId12848">
        <w:r>
          <w:rPr>
            <w:color w:val="0000EE"/>
            <w:u w:val="single"/>
          </w:rPr>
          <w:t>18.26</w:t>
        </w:r>
      </w:hyperlink>
      <w:r>
        <w:t xml:space="preserve">; </w:t>
      </w:r>
      <w:hyperlink r:id="rId12849">
        <w:r>
          <w:rPr>
            <w:color w:val="0000EE"/>
            <w:u w:val="single"/>
          </w:rPr>
          <w:t>101.2, 6</w:t>
        </w:r>
      </w:hyperlink>
      <w:r>
        <w:t xml:space="preserve">; </w:t>
      </w:r>
      <w:hyperlink r:id="rId12850">
        <w:r>
          <w:rPr>
            <w:color w:val="0000EE"/>
            <w:u w:val="single"/>
          </w:rPr>
          <w:t>119.80</w:t>
        </w:r>
      </w:hyperlink>
      <w:r>
        <w:t xml:space="preserve">; </w:t>
      </w:r>
      <w:hyperlink r:id="rId12851">
        <w:r>
          <w:rPr>
            <w:color w:val="0000EE"/>
            <w:u w:val="single"/>
          </w:rPr>
          <w:t>Pv 11.5</w:t>
        </w:r>
      </w:hyperlink>
      <w:r>
        <w:t>).</w:t>
      </w:r>
    </w:p>
    <w:p>
      <w:r/>
      <w:r>
        <w:t>Maturidade, ou integridade, é aquela resposta a Deus pela qual o crente não precisa mais viver de acordo com as vontades individuais ou com medo dos erros e pecados de omissão, mas se deleita em fazer a vontade do Senhor (</w:t>
      </w:r>
      <w:hyperlink r:id="rId12852">
        <w:r>
          <w:rPr>
            <w:color w:val="0000EE"/>
            <w:u w:val="single"/>
          </w:rPr>
          <w:t>Sl 1.2</w:t>
        </w:r>
      </w:hyperlink>
      <w:r>
        <w:t xml:space="preserve">; </w:t>
      </w:r>
      <w:hyperlink r:id="rId12853">
        <w:r>
          <w:rPr>
            <w:color w:val="0000EE"/>
            <w:u w:val="single"/>
          </w:rPr>
          <w:t>112.1</w:t>
        </w:r>
      </w:hyperlink>
      <w:r>
        <w:t>). Desde a vinda de Cristo e Pentecostes, o Espírito Santo foi derramado sobre a vida de cada crente. Ele veio não apenas para internalizar a lei de Deus (</w:t>
      </w:r>
      <w:hyperlink r:id="rId5727">
        <w:r>
          <w:rPr>
            <w:color w:val="0000EE"/>
            <w:u w:val="single"/>
          </w:rPr>
          <w:t>Jr 31.33</w:t>
        </w:r>
      </w:hyperlink>
      <w:r>
        <w:t>), mas também para nos ajudar a desenvolver a maturidade cristã, dando os frutos da piedade em maior plenitude (</w:t>
      </w:r>
      <w:hyperlink r:id="rId12854">
        <w:r>
          <w:rPr>
            <w:color w:val="0000EE"/>
            <w:u w:val="single"/>
          </w:rPr>
          <w:t>Gl 5.22–24</w:t>
        </w:r>
      </w:hyperlink>
      <w:r>
        <w:t>). Considerando que maturidade e liberdade foram experimentadas por alguns santos do AT, é o presente de Deus a todos os seus filhos em Cristo (</w:t>
      </w:r>
      <w:hyperlink r:id="rId12855">
        <w:r>
          <w:rPr>
            <w:color w:val="0000EE"/>
            <w:u w:val="single"/>
          </w:rPr>
          <w:t>At 2.39</w:t>
        </w:r>
      </w:hyperlink>
      <w:r>
        <w:t xml:space="preserve">; </w:t>
      </w:r>
      <w:hyperlink r:id="rId420">
        <w:r>
          <w:rPr>
            <w:color w:val="0000EE"/>
            <w:u w:val="single"/>
          </w:rPr>
          <w:t>1Co 12.13</w:t>
        </w:r>
      </w:hyperlink>
      <w:r>
        <w:t>). O propósito ainda é o mesmo, “para que o servo de Deus esteja completamente preparado e pronto para fazer todo tipo de boas ações.” (</w:t>
      </w:r>
      <w:hyperlink r:id="rId12856">
        <w:r>
          <w:rPr>
            <w:color w:val="0000EE"/>
            <w:u w:val="single"/>
          </w:rPr>
          <w:t>2Tm 3.17</w:t>
        </w:r>
      </w:hyperlink>
      <w:r>
        <w:t>), mas os meios para realizar isso e o status dos filhos de Deus são muito melhores desde o Pentecostes.</w:t>
      </w:r>
    </w:p>
    <w:p>
      <w:r/>
      <w:r>
        <w:rPr>
          <w:i/>
        </w:rPr>
        <w:t>Ver também</w:t>
      </w:r>
      <w:r>
        <w:t xml:space="preserve"> </w:t>
      </w:r>
      <w:r>
        <w:t>Lei Civil e Justiça</w:t>
      </w:r>
      <w:r>
        <w:t xml:space="preserve">; </w:t>
      </w:r>
      <w:r>
        <w:t>Limpeza e Imundície, Regulamentos Acerca de</w:t>
      </w:r>
      <w:r>
        <w:t xml:space="preserve">; </w:t>
      </w:r>
      <w:r>
        <w:t>Direito Penal e Punição</w:t>
      </w:r>
      <w:r>
        <w:t xml:space="preserve">; </w:t>
      </w:r>
      <w:r>
        <w:t>Gálatas, Carta aos</w:t>
      </w:r>
      <w:r>
        <w:t xml:space="preserve">; </w:t>
      </w:r>
      <w:r>
        <w:t>Hammurabi, Código de</w:t>
      </w:r>
      <w:r>
        <w:t xml:space="preserve">; </w:t>
      </w:r>
      <w:r>
        <w:t>Justificação</w:t>
      </w:r>
      <w:r>
        <w:t xml:space="preserve">; </w:t>
      </w:r>
      <w:r>
        <w:t>Romanos, Carta aos</w:t>
      </w:r>
      <w:r>
        <w:t xml:space="preserve">; </w:t>
      </w:r>
      <w:r>
        <w:t>Mandamentos, Os Dez</w:t>
      </w:r>
      <w:r>
        <w:t xml:space="preserve">; </w:t>
      </w:r>
      <w:r>
        <w:t>Torá</w:t>
      </w:r>
      <w:r>
        <w:t xml:space="preserve"> e </w:t>
      </w:r>
      <w:r>
        <w:t>Tradição</w:t>
      </w:r>
      <w:r>
        <w:t>.</w:t>
      </w:r>
      <w:r/>
      <w:r/>
    </w:p>
    <w:p>
      <w:r/>
    </w:p>
    <w:p>
      <w:pPr>
        <w:pStyle w:val="Heading2"/>
      </w:pPr>
      <w:r>
        <w:t>Leis dietéticas</w:t>
      </w:r>
      <w:r/>
    </w:p>
    <w:p>
      <w:r/>
      <w:r>
        <w:t>Regulamentos de preparação e consumo de alimentos fornecidos por Deus para seu povo nos tempos do AT. As leis dietéticas faziam parte de regulamentos mais amplos sobre "pureza" que foram projetados para manter o status de Israel como um povo santo.</w:t>
      </w:r>
    </w:p>
    <w:p>
      <w:r/>
      <w:r>
        <w:t>Pré-visualização:</w:t>
      </w:r>
    </w:p>
    <w:p>
      <w:r/>
      <w:r>
        <w:t>• Santidade e lei dietética</w:t>
      </w:r>
    </w:p>
    <w:p>
      <w:r/>
      <w:r>
        <w:t>• Antes de Moisés</w:t>
      </w:r>
    </w:p>
    <w:p>
      <w:r/>
      <w:r>
        <w:t>• A lei mosaica</w:t>
      </w:r>
    </w:p>
    <w:p>
      <w:r/>
      <w:r>
        <w:t>• Após Moisés</w:t>
      </w:r>
    </w:p>
    <w:p>
      <w:r/>
      <w:r>
        <w:t>• Simbolismo</w:t>
      </w:r>
    </w:p>
    <w:p>
      <w:r/>
      <w:r>
        <w:t>• Reações da igreja</w:t>
      </w:r>
    </w:p>
    <w:p>
      <w:pPr>
        <w:pStyle w:val="Heading3"/>
      </w:pPr>
      <w:r>
        <w:t>Santidade e lei dietética</w:t>
      </w:r>
    </w:p>
    <w:p>
      <w:r/>
      <w:r>
        <w:t>As leis bíblicas sobre dieta e pureza baseavam-se na ideia de santidade. O significado subjacente da palavra hebraica para “santidade” é difícil de determinar, mas provavelmente era “cortar”, ou “ser separado”, ou “ser posto à parte”. O Senhor disse a Israel: “Sereis santos para mim; porque eu, o Senhor, sou santo, e vos separei dos povos, para que sejais meus” (</w:t>
      </w:r>
      <w:hyperlink r:id="rId12857">
        <w:r>
          <w:rPr>
            <w:color w:val="0000EE"/>
            <w:u w:val="single"/>
          </w:rPr>
          <w:t>Levíticos 20.26</w:t>
        </w:r>
      </w:hyperlink>
      <w:r>
        <w:t>, rsv). Deus é o exemplo supremo de santidade; ele é o único separado em seu caráter e ser (</w:t>
      </w:r>
      <w:hyperlink r:id="rId6877">
        <w:r>
          <w:rPr>
            <w:color w:val="0000EE"/>
            <w:u w:val="single"/>
          </w:rPr>
          <w:t>Isaías 6.3</w:t>
        </w:r>
      </w:hyperlink>
      <w:r>
        <w:t>). Mas Deus queria que seu povo da aliança também fosse santo. Uma das maneiras que Deus fez os israelitas diferentes dos outros povos do mundo foi dando-lhes leis dietéticas: “Eu sou o Senhor, vosso Deus; consagrai-vos e sede santos, porque eu sou santo” (</w:t>
      </w:r>
      <w:hyperlink r:id="rId12858">
        <w:r>
          <w:rPr>
            <w:color w:val="0000EE"/>
            <w:u w:val="single"/>
          </w:rPr>
          <w:t>Levíticos 11.44</w:t>
        </w:r>
      </w:hyperlink>
      <w:r>
        <w:t>, niv). Cumprir as leis dietéticas não tornava automaticamente o povo “santo” (ou seja, separado para Deus); em vez disso, era uma das maneiras que os crentes do AT podiam mostrar sua gratidão a Deus por sua libertação.</w:t>
      </w:r>
    </w:p>
    <w:p>
      <w:pPr>
        <w:pStyle w:val="Heading3"/>
      </w:pPr>
      <w:r>
        <w:t>Antes de Moisés</w:t>
      </w:r>
    </w:p>
    <w:p>
      <w:r/>
      <w:r>
        <w:t>Desde a Criação, Deus aprovou todas as variedades de frutas e vegetais como alimentos legítimos e limpos (</w:t>
      </w:r>
      <w:hyperlink r:id="rId12859">
        <w:r>
          <w:rPr>
            <w:color w:val="0000EE"/>
            <w:u w:val="single"/>
          </w:rPr>
          <w:t>Gênesis 1.29</w:t>
        </w:r>
      </w:hyperlink>
      <w:r>
        <w:t>). Após a queda da humanidade, Deus distinguiu entre animais limpos e impuros. Na época de Noé, Deus ordenou que espécimes adicionais de animais limpos fossem levados para a arca (</w:t>
      </w:r>
      <w:hyperlink r:id="rId12860">
        <w:r>
          <w:rPr>
            <w:color w:val="0000EE"/>
            <w:u w:val="single"/>
          </w:rPr>
          <w:t>7.2</w:t>
        </w:r>
      </w:hyperlink>
      <w:r>
        <w:t xml:space="preserve">; </w:t>
      </w:r>
      <w:hyperlink r:id="rId975">
        <w:r>
          <w:rPr>
            <w:color w:val="0000EE"/>
            <w:u w:val="single"/>
          </w:rPr>
          <w:t>8.20</w:t>
        </w:r>
      </w:hyperlink>
      <w:r>
        <w:t>). Após o Dilúvio, Deus proibiu o consumo de sangue porque o sangue representava a vida (</w:t>
      </w:r>
      <w:hyperlink r:id="rId12861">
        <w:r>
          <w:rPr>
            <w:color w:val="0000EE"/>
            <w:u w:val="single"/>
          </w:rPr>
          <w:t>9.4</w:t>
        </w:r>
      </w:hyperlink>
      <w:r>
        <w:t>). Para comemorar a luta do patriarca Jacó com o Anjo do Senhor, os descendentes de Jacó se abstiveram de comer um certo músculo do quadril (</w:t>
      </w:r>
      <w:hyperlink r:id="rId12862">
        <w:r>
          <w:rPr>
            <w:color w:val="0000EE"/>
            <w:u w:val="single"/>
          </w:rPr>
          <w:t>32.32</w:t>
        </w:r>
      </w:hyperlink>
      <w:r>
        <w:t>), embora isso não fosse um mandamento de Deus.</w:t>
      </w:r>
    </w:p>
    <w:p>
      <w:pPr>
        <w:pStyle w:val="Heading3"/>
      </w:pPr>
      <w:r>
        <w:t>A Lei Mosaica</w:t>
      </w:r>
    </w:p>
    <w:p>
      <w:r/>
      <w:r>
        <w:t>A principal revelação dos padrões dietéticos do Senhor para Israel foi dada através de Moisés. As leis dietéticas são encontradas entre as regulamentações cerimoniais recebidas no Monte Sinai (</w:t>
      </w:r>
      <w:hyperlink r:id="rId1455">
        <w:r>
          <w:rPr>
            <w:color w:val="0000EE"/>
            <w:u w:val="single"/>
          </w:rPr>
          <w:t>Levítico 11</w:t>
        </w:r>
      </w:hyperlink>
      <w:r>
        <w:t>). Moisés repetiu muitas dessas leis 39 anos depois, pouco antes do povo entrar na Terra Prometida (</w:t>
      </w:r>
      <w:hyperlink r:id="rId12863">
        <w:r>
          <w:rPr>
            <w:color w:val="0000EE"/>
            <w:u w:val="single"/>
          </w:rPr>
          <w:t>Deuteronômio 14.3–21</w:t>
        </w:r>
      </w:hyperlink>
      <w:r>
        <w:t>). As leis dietéticas diziam respeito apenas a produtos animais, exceto pela proibição de vinho para certas pessoas (</w:t>
      </w:r>
      <w:hyperlink r:id="rId3288">
        <w:r>
          <w:rPr>
            <w:color w:val="0000EE"/>
            <w:u w:val="single"/>
          </w:rPr>
          <w:t>Levítico 10.9</w:t>
        </w:r>
      </w:hyperlink>
      <w:r>
        <w:t xml:space="preserve">; </w:t>
      </w:r>
      <w:hyperlink r:id="rId12864">
        <w:r>
          <w:rPr>
            <w:color w:val="0000EE"/>
            <w:u w:val="single"/>
          </w:rPr>
          <w:t>Números 6.3–4</w:t>
        </w:r>
      </w:hyperlink>
      <w:r>
        <w:t xml:space="preserve">; cf. </w:t>
      </w:r>
      <w:hyperlink r:id="rId12865">
        <w:r>
          <w:rPr>
            <w:color w:val="0000EE"/>
            <w:u w:val="single"/>
          </w:rPr>
          <w:t>Juízes 13.14</w:t>
        </w:r>
      </w:hyperlink>
      <w:r>
        <w:t xml:space="preserve">; </w:t>
      </w:r>
      <w:hyperlink r:id="rId12866">
        <w:r>
          <w:rPr>
            <w:color w:val="0000EE"/>
            <w:u w:val="single"/>
          </w:rPr>
          <w:t>Jeremias 35.6</w:t>
        </w:r>
      </w:hyperlink>
      <w:r>
        <w:t>).</w:t>
      </w:r>
    </w:p>
    <w:p>
      <w:r/>
      <w:r>
        <w:t>Cinco categorias de seres vivos foram regulamentadas para alimentação. Para ser comestível, um animal precisava ter cascos fendidos (divididos) e ruminar. De acordo com Levítico, esse requisito excluía camelos, cavalos, coelhos e porcos (</w:t>
      </w:r>
      <w:hyperlink r:id="rId12867">
        <w:r>
          <w:rPr>
            <w:color w:val="0000EE"/>
            <w:u w:val="single"/>
          </w:rPr>
          <w:t>Levítico 11.2–8</w:t>
        </w:r>
      </w:hyperlink>
      <w:r>
        <w:t xml:space="preserve">). A vida marinha precisava ter barbatanas e escamas (v. </w:t>
      </w:r>
      <w:hyperlink r:id="rId1652">
        <w:r>
          <w:rPr>
            <w:color w:val="0000EE"/>
            <w:u w:val="single"/>
          </w:rPr>
          <w:t>9–12</w:t>
        </w:r>
      </w:hyperlink>
      <w:r>
        <w:t xml:space="preserve">). As aves eram comestíveis se não fossem predadoras (v. </w:t>
      </w:r>
      <w:hyperlink r:id="rId12868">
        <w:r>
          <w:rPr>
            <w:color w:val="0000EE"/>
            <w:u w:val="single"/>
          </w:rPr>
          <w:t>13–19</w:t>
        </w:r>
      </w:hyperlink>
      <w:r>
        <w:t xml:space="preserve">); Moisés listou 20 espécies especificamente proibidas porque eram aves de rapina ou carniceiras. Insetos alados eram proibidos (v. </w:t>
      </w:r>
      <w:hyperlink r:id="rId12869">
        <w:r>
          <w:rPr>
            <w:color w:val="0000EE"/>
            <w:u w:val="single"/>
          </w:rPr>
          <w:t>22–23</w:t>
        </w:r>
      </w:hyperlink>
      <w:r>
        <w:t xml:space="preserve">), exceto por certos tipos de gafanhotos e grilos (alimento comumente consumido por nômades do deserto). Finalmente, “os animais que se movem sobre o chão”, incluindo répteis e roedores (v. </w:t>
      </w:r>
      <w:hyperlink r:id="rId1679">
        <w:r>
          <w:rPr>
            <w:color w:val="0000EE"/>
            <w:u w:val="single"/>
          </w:rPr>
          <w:t>29–31</w:t>
        </w:r>
      </w:hyperlink>
      <w:r>
        <w:t>, niv), foram excluídos.</w:t>
      </w:r>
    </w:p>
    <w:p>
      <w:r/>
      <w:r>
        <w:t>Outras proibições foram feitas sobre alimentos que, de outra forma, seriam considerados limpos. Por exemplo, nada encontrado já morto (</w:t>
      </w:r>
      <w:hyperlink r:id="rId5221">
        <w:r>
          <w:rPr>
            <w:color w:val="0000EE"/>
            <w:u w:val="single"/>
          </w:rPr>
          <w:t>Deuteronômio 14.21</w:t>
        </w:r>
      </w:hyperlink>
      <w:r>
        <w:t>) ou que tivesse sido dilacerado por animais (</w:t>
      </w:r>
      <w:hyperlink r:id="rId12870">
        <w:r>
          <w:rPr>
            <w:color w:val="0000EE"/>
            <w:u w:val="single"/>
          </w:rPr>
          <w:t>Levítico 17.15</w:t>
        </w:r>
      </w:hyperlink>
      <w:r>
        <w:t>) deveria ser comido. Alimentos poderiam se tornar impuros por contato com algo que fosse impuro, como um rato morto que por acaso caísse em um recipiente de comida (</w:t>
      </w:r>
      <w:hyperlink r:id="rId12871">
        <w:r>
          <w:rPr>
            <w:color w:val="0000EE"/>
            <w:u w:val="single"/>
          </w:rPr>
          <w:t>11.32–34</w:t>
        </w:r>
      </w:hyperlink>
      <w:r>
        <w:t>). Um cabrito jovem não deveria ser cozido no leite de sua mãe (</w:t>
      </w:r>
      <w:hyperlink r:id="rId12872">
        <w:r>
          <w:rPr>
            <w:color w:val="0000EE"/>
            <w:u w:val="single"/>
          </w:rPr>
          <w:t>Êxodo 23.19</w:t>
        </w:r>
      </w:hyperlink>
      <w:r>
        <w:t xml:space="preserve">; </w:t>
      </w:r>
      <w:hyperlink r:id="rId12873">
        <w:r>
          <w:rPr>
            <w:color w:val="0000EE"/>
            <w:u w:val="single"/>
          </w:rPr>
          <w:t>34.26</w:t>
        </w:r>
      </w:hyperlink>
      <w:r>
        <w:t xml:space="preserve">; </w:t>
      </w:r>
      <w:hyperlink r:id="rId5221">
        <w:r>
          <w:rPr>
            <w:color w:val="0000EE"/>
            <w:u w:val="single"/>
          </w:rPr>
          <w:t>Deuteronômio 14.21</w:t>
        </w:r>
      </w:hyperlink>
      <w:r>
        <w:t>). Quando animais limpos eram abatidos, seu sangue deveria ser drenado (</w:t>
      </w:r>
      <w:hyperlink r:id="rId12874">
        <w:r>
          <w:rPr>
            <w:color w:val="0000EE"/>
            <w:u w:val="single"/>
          </w:rPr>
          <w:t>Levítico 17.14</w:t>
        </w:r>
      </w:hyperlink>
      <w:r>
        <w:t>). Todas as partes de gordura (</w:t>
      </w:r>
      <w:hyperlink r:id="rId12875">
        <w:r>
          <w:rPr>
            <w:color w:val="0000EE"/>
            <w:u w:val="single"/>
          </w:rPr>
          <w:t>3.16</w:t>
        </w:r>
      </w:hyperlink>
      <w:r>
        <w:t xml:space="preserve">; </w:t>
      </w:r>
      <w:hyperlink r:id="rId1695">
        <w:r>
          <w:rPr>
            <w:color w:val="0000EE"/>
            <w:u w:val="single"/>
          </w:rPr>
          <w:t>7.23</w:t>
        </w:r>
      </w:hyperlink>
      <w:r>
        <w:t>), especialmente a cauda gorda de uma ovelha (</w:t>
      </w:r>
      <w:hyperlink r:id="rId12876">
        <w:r>
          <w:rPr>
            <w:color w:val="0000EE"/>
            <w:u w:val="single"/>
          </w:rPr>
          <w:t>Êxodo 29.22</w:t>
        </w:r>
      </w:hyperlink>
      <w:r>
        <w:t xml:space="preserve">; </w:t>
      </w:r>
      <w:hyperlink r:id="rId12877">
        <w:r>
          <w:rPr>
            <w:color w:val="0000EE"/>
            <w:u w:val="single"/>
          </w:rPr>
          <w:t>Levítico 3.9</w:t>
        </w:r>
      </w:hyperlink>
      <w:r>
        <w:t>), eram restritas para uso em sacrifícios ao Senhor. Através de Moisés, o Senhor reiterou a proibição de comer sangue (</w:t>
      </w:r>
      <w:hyperlink r:id="rId3060">
        <w:r>
          <w:rPr>
            <w:color w:val="0000EE"/>
            <w:u w:val="single"/>
          </w:rPr>
          <w:t>Levítico 17.10</w:t>
        </w:r>
      </w:hyperlink>
      <w:r>
        <w:t xml:space="preserve">; </w:t>
      </w:r>
      <w:hyperlink r:id="rId12878">
        <w:r>
          <w:rPr>
            <w:color w:val="0000EE"/>
            <w:u w:val="single"/>
          </w:rPr>
          <w:t>19.26</w:t>
        </w:r>
      </w:hyperlink>
      <w:r>
        <w:t xml:space="preserve">; </w:t>
      </w:r>
      <w:hyperlink r:id="rId12879">
        <w:r>
          <w:rPr>
            <w:color w:val="0000EE"/>
            <w:u w:val="single"/>
          </w:rPr>
          <w:t>Deuteronômio 12.16</w:t>
        </w:r>
      </w:hyperlink>
      <w:r>
        <w:t xml:space="preserve">; </w:t>
      </w:r>
      <w:hyperlink r:id="rId12880">
        <w:r>
          <w:rPr>
            <w:color w:val="0000EE"/>
            <w:u w:val="single"/>
          </w:rPr>
          <w:t>15.23</w:t>
        </w:r>
      </w:hyperlink>
      <w:r>
        <w:t>).</w:t>
      </w:r>
    </w:p>
    <w:p>
      <w:r/>
      <w:r>
        <w:t>Várias razões, declaradas ou inferidas das Escrituras, explicam as leis dietéticas e aplicam-se às regulamentações de pureza da Bíblia em geral. Algumas parecem ser razões naturais; outras podem ser simbólicas ou relacionais.</w:t>
      </w:r>
    </w:p>
    <w:p>
      <w:pPr>
        <w:pStyle w:val="Heading4"/>
      </w:pPr>
      <w:r>
        <w:t>Higiene</w:t>
      </w:r>
    </w:p>
    <w:p>
      <w:r/>
      <w:r>
        <w:t>Algumas leis dietéticas, como aquelas contra comer vermes ou carne em decomposição, evitavam perigos óbvios à saúde e foram dadas para a proteção do povo. Mas a higiene por si só não pode explicar todas as regulamentações; de fato, alguns alimentos que poderiam ter sido aceitáveis do ponto de vista higiênico, como coelho ou mariscos, foram excluídos.</w:t>
      </w:r>
    </w:p>
    <w:p>
      <w:pPr>
        <w:pStyle w:val="Heading4"/>
      </w:pPr>
      <w:r>
        <w:t>Aversão</w:t>
      </w:r>
    </w:p>
    <w:p>
      <w:r/>
      <w:r>
        <w:t xml:space="preserve">Vermes e cobras são geralmente considerados repugnantes, independentemente de seu valor alimentar real. Tais animais não eram </w:t>
      </w:r>
      <w:r>
        <w:rPr>
          <w:i/>
        </w:rPr>
        <w:t>kosher</w:t>
      </w:r>
      <w:r>
        <w:t xml:space="preserve"> (adequados).</w:t>
      </w:r>
    </w:p>
    <w:p>
      <w:pPr>
        <w:pStyle w:val="Heading4"/>
      </w:pPr>
      <w:r>
        <w:t>Relação com a prática pagã</w:t>
      </w:r>
    </w:p>
    <w:p>
      <w:r/>
      <w:r>
        <w:t>Ferver um cabrito no leite de sua mãe foi documentado como um rito pagão entre os contemporâneos de Moisés, os cananeus. O povo de Deus não devia imitar as práticas dos povos ao seu redor (</w:t>
      </w:r>
      <w:hyperlink r:id="rId12881">
        <w:r>
          <w:rPr>
            <w:color w:val="0000EE"/>
            <w:u w:val="single"/>
          </w:rPr>
          <w:t>Deuteronômio 18.9</w:t>
        </w:r>
      </w:hyperlink>
      <w:r>
        <w:t>).</w:t>
      </w:r>
    </w:p>
    <w:p>
      <w:pPr>
        <w:pStyle w:val="Heading3"/>
      </w:pPr>
      <w:r>
        <w:t>Após Moisés</w:t>
      </w:r>
    </w:p>
    <w:p>
      <w:r/>
      <w:r>
        <w:t>As leis dietéticas dadas no Monte Sinai continuaram a ser reconhecidas ao longo da história de Israel. Antes do nascimento de Sansão, a mãe da criança foi avisada: “Agora veja que você não beba vinho ou outra bebida fermentada e que não coma nada impuro” (</w:t>
      </w:r>
      <w:hyperlink r:id="rId12882">
        <w:r>
          <w:rPr>
            <w:color w:val="0000EE"/>
            <w:u w:val="single"/>
          </w:rPr>
          <w:t>Juízes 13.4</w:t>
        </w:r>
      </w:hyperlink>
      <w:r>
        <w:t>, niv). Durante as guerras com os filisteus no século seguinte (c. 1041 a.C.), os soldados do rei Saul pecaram ao desconsiderar os requisitos sobre a drenagem adequada do sangue dos animais (</w:t>
      </w:r>
      <w:hyperlink r:id="rId12883">
        <w:r>
          <w:rPr>
            <w:color w:val="0000EE"/>
            <w:u w:val="single"/>
          </w:rPr>
          <w:t>1 Salmo 14.32–34</w:t>
        </w:r>
      </w:hyperlink>
      <w:r>
        <w:t>).</w:t>
      </w:r>
    </w:p>
    <w:p>
      <w:r/>
      <w:r>
        <w:t>Mais tarde, quando os israelitas foram exilados em terras pagãs, eles se depararam com situações em que a seleção de alimentos e seu preparo poderiam torná-los impuros (</w:t>
      </w:r>
      <w:hyperlink r:id="rId12884">
        <w:r>
          <w:rPr>
            <w:color w:val="0000EE"/>
            <w:u w:val="single"/>
          </w:rPr>
          <w:t>Ezequiel 4.12–14</w:t>
        </w:r>
      </w:hyperlink>
      <w:r>
        <w:t>). A recusa de Daniel em se contaminar com iguarias pagãs na corte babilônica de Nabucodonosor (605 a.C.) ilustrou sua lealdade a Deus (</w:t>
      </w:r>
      <w:hyperlink r:id="rId12885">
        <w:r>
          <w:rPr>
            <w:color w:val="0000EE"/>
            <w:u w:val="single"/>
          </w:rPr>
          <w:t>Daniel 1.8</w:t>
        </w:r>
      </w:hyperlink>
      <w:r>
        <w:t>).</w:t>
      </w:r>
    </w:p>
    <w:p>
      <w:r/>
      <w:r>
        <w:t>Desde o dia do profeta Isaías (740 a.C.) em diante, o alimento mais abominável para os israelitas era a carne de porco (</w:t>
      </w:r>
      <w:hyperlink r:id="rId1826">
        <w:r>
          <w:rPr>
            <w:color w:val="0000EE"/>
            <w:u w:val="single"/>
          </w:rPr>
          <w:t>Isaías 65.4</w:t>
        </w:r>
      </w:hyperlink>
      <w:r>
        <w:t xml:space="preserve">; </w:t>
      </w:r>
      <w:hyperlink r:id="rId12886">
        <w:r>
          <w:rPr>
            <w:color w:val="0000EE"/>
            <w:u w:val="single"/>
          </w:rPr>
          <w:t>66.3,17</w:t>
        </w:r>
      </w:hyperlink>
      <w:r>
        <w:t>). No período dos Macabeus, a “abominação da desolação”, que o herói judeu Judas Macabeu e seus seguidores resistiram até a morte, incluía sacrifícios de porcos no altar do templo em Jerusalém pelo governante pagão Antíoco Epifânio (</w:t>
      </w:r>
      <w:hyperlink r:id="rId12887">
        <w:r>
          <w:rPr>
            <w:color w:val="0000EE"/>
            <w:u w:val="single"/>
          </w:rPr>
          <w:t>1 Macabeus 1.54,62–63</w:t>
        </w:r>
      </w:hyperlink>
      <w:r>
        <w:t xml:space="preserve">; </w:t>
      </w:r>
      <w:hyperlink r:id="rId12888">
        <w:r>
          <w:rPr>
            <w:color w:val="0000EE"/>
            <w:u w:val="single"/>
          </w:rPr>
          <w:t>2 Macabeus 6.5</w:t>
        </w:r>
      </w:hyperlink>
      <w:r>
        <w:t xml:space="preserve">; </w:t>
      </w:r>
      <w:hyperlink r:id="rId12889">
        <w:r>
          <w:rPr>
            <w:color w:val="0000EE"/>
            <w:u w:val="single"/>
          </w:rPr>
          <w:t>7.1</w:t>
        </w:r>
      </w:hyperlink>
      <w:r>
        <w:t>).</w:t>
      </w:r>
    </w:p>
    <w:p>
      <w:pPr>
        <w:pStyle w:val="Heading3"/>
      </w:pPr>
      <w:r>
        <w:t>Simbolismo</w:t>
      </w:r>
    </w:p>
    <w:p>
      <w:r/>
      <w:r>
        <w:t>Certos produtos alimentícios foram descartados por causa de algo que simbolizavam. Deus disse para não comer sangue: “Certifique-se de que você não coma o sangue; pois o sangue é a vida, e você não deve comer a vida com a carne” (</w:t>
      </w:r>
      <w:hyperlink r:id="rId12890">
        <w:r>
          <w:rPr>
            <w:color w:val="0000EE"/>
            <w:u w:val="single"/>
          </w:rPr>
          <w:t>Deuteronômio 12.23</w:t>
        </w:r>
      </w:hyperlink>
      <w:r>
        <w:t>, rsv). O sangue tinha uma função ritual. Era usado para fazer expiação no altar de Deus e, portanto, não devia ser comido (</w:t>
      </w:r>
      <w:hyperlink r:id="rId12891">
        <w:r>
          <w:rPr>
            <w:color w:val="0000EE"/>
            <w:u w:val="single"/>
          </w:rPr>
          <w:t>Levítico 17.11–12</w:t>
        </w:r>
      </w:hyperlink>
      <w:r>
        <w:t>). Os escritores do NT reconheceram o sangue sacrificial do AT como um “tipo” ou prenúncio do sangue de Jesus Cristo derramado na cruz como sacrifício pelo pecado (</w:t>
      </w:r>
      <w:hyperlink r:id="rId12892">
        <w:r>
          <w:rPr>
            <w:color w:val="0000EE"/>
            <w:u w:val="single"/>
          </w:rPr>
          <w:t>Hebreus 10.1,4,12</w:t>
        </w:r>
      </w:hyperlink>
      <w:r>
        <w:t xml:space="preserve">; </w:t>
      </w:r>
      <w:hyperlink r:id="rId8758">
        <w:r>
          <w:rPr>
            <w:color w:val="0000EE"/>
            <w:u w:val="single"/>
          </w:rPr>
          <w:t>1 Pedro 1.18–19</w:t>
        </w:r>
      </w:hyperlink>
      <w:r>
        <w:t>). Um respeito simbólico pela vida materna pode explicar por que quem encontrava um ninho de pássaro podia levar os ovos ou os filhotes, mas tinha que deixar a mãe ave ilesa (</w:t>
      </w:r>
      <w:hyperlink r:id="rId5226">
        <w:r>
          <w:rPr>
            <w:color w:val="0000EE"/>
            <w:u w:val="single"/>
          </w:rPr>
          <w:t>Deuteronômio 22.6–7</w:t>
        </w:r>
      </w:hyperlink>
      <w:r>
        <w:t>). A necessidade de preservar um ecossistema desértico frágil também pode ter sido um fator.</w:t>
      </w:r>
    </w:p>
    <w:p>
      <w:pPr>
        <w:pStyle w:val="Heading3"/>
      </w:pPr>
      <w:r>
        <w:t>Reações da igreja</w:t>
      </w:r>
    </w:p>
    <w:p>
      <w:r/>
      <w:r>
        <w:t>No início, a igreja primitiva, com seu pano de fundo judaico, achou difícil se desvincular das tradições dietéticas hebraicas. O Apóstolo Pedro recebeu uma visão, repetida três vezes, sobre não mais chamar de "impuro" nem os alimentos não-judaicos nem os não-judeus que os consumiam (</w:t>
      </w:r>
      <w:hyperlink r:id="rId12893">
        <w:r>
          <w:rPr>
            <w:color w:val="0000EE"/>
            <w:u w:val="single"/>
          </w:rPr>
          <w:t>Atos 10.9–16</w:t>
        </w:r>
      </w:hyperlink>
      <w:r>
        <w:t xml:space="preserve">; </w:t>
      </w:r>
      <w:hyperlink r:id="rId12894">
        <w:r>
          <w:rPr>
            <w:color w:val="0000EE"/>
            <w:u w:val="single"/>
          </w:rPr>
          <w:t>11.1–10</w:t>
        </w:r>
      </w:hyperlink>
      <w:r>
        <w:t>). Mais tarde, um concílio em Jerusalém decidiu oficialmente não manter o cerimonialismo de Moisés na igreja, exceto que os cristãos gentios deveriam abster-se “de alimentos contaminados por ídolos, da imoralidade sexual, da carne de animais estrangulados e do sangue” (</w:t>
      </w:r>
      <w:hyperlink r:id="rId4351">
        <w:r>
          <w:rPr>
            <w:color w:val="0000EE"/>
            <w:u w:val="single"/>
          </w:rPr>
          <w:t>Atos 15.20</w:t>
        </w:r>
      </w:hyperlink>
      <w:r>
        <w:t>, niv) para não ofender os cristãos judeus. Isso foi uma aplicação do ensino do NT sobre consideração para com aqueles com consciências sensíveis. “Não destrua a obra de Deus por causa da comida. Todos os alimentos são puros, mas é errado para um homem comer algo que faça outro tropeçar... Mas o homem que tem dúvidas é condenado se comer, porque seu comer não provém da fé; e tudo o que não provém da fé é pecado” (</w:t>
      </w:r>
      <w:hyperlink r:id="rId12895">
        <w:r>
          <w:rPr>
            <w:color w:val="0000EE"/>
            <w:u w:val="single"/>
          </w:rPr>
          <w:t>Romanos 14.20,23</w:t>
        </w:r>
      </w:hyperlink>
      <w:r>
        <w:t>, niv).</w:t>
      </w:r>
    </w:p>
    <w:p>
      <w:r/>
      <w:r>
        <w:t>As leis dietéticas judaicas também têm relevância para os cristãos por causa de certas promessas do AT. Deus prometeu, primeiro a Abraão e, por reiteração ou alusão, ao longo do AT, que os gentios seriam incluídos em sua aliança. Ao preservar a saúde do povo hebreu, Deus estava garantindo sua continuidade como nação. De acordo com o NT, a salvação tanto de judeus quanto de gentios foi alcançada por Cristo, um judeu. A nação através da qual Cristo veio foi protegida para que a promessa de Deus pudesse ser cumprida. Assim, as leis dietéticas não precisam ser vistas como restrições onerosas da lei; elas faziam parte do modo de Deus de realizar seu plano redentor.</w:t>
      </w:r>
    </w:p>
    <w:p>
      <w:r/>
      <w:r>
        <w:rPr>
          <w:i/>
        </w:rPr>
        <w:t>Veja também</w:t>
      </w:r>
      <w:r>
        <w:t xml:space="preserve"> </w:t>
      </w:r>
      <w:r>
        <w:t>Limpeza e Impureza, Regulamentos Relacionados</w:t>
      </w:r>
      <w:r>
        <w:t xml:space="preserve">; </w:t>
      </w:r>
      <w:r>
        <w:t>Levítico, Livro de</w:t>
      </w:r>
      <w:r>
        <w:t>.</w:t>
      </w:r>
      <w:r/>
      <w:r/>
    </w:p>
    <w:p>
      <w:r/>
    </w:p>
    <w:p>
      <w:pPr>
        <w:pStyle w:val="Heading2"/>
      </w:pPr>
      <w:r>
        <w:t>Lemuel</w:t>
      </w:r>
      <w:r/>
    </w:p>
    <w:p>
      <w:r/>
      <w:r>
        <w:t xml:space="preserve">O rei é creditado com a escrita de </w:t>
      </w:r>
      <w:hyperlink r:id="rId12896">
        <w:r>
          <w:rPr>
            <w:color w:val="0000EE"/>
            <w:u w:val="single"/>
          </w:rPr>
          <w:t>Provérbios 31.1–9</w:t>
        </w:r>
      </w:hyperlink>
      <w:r>
        <w:t>. Nestes versos, ele apresenta ensinamentos dados por sua mãe sobre bom governo, relações sexuais e vinho. Embora tenha sido identificado com Salomão, a maioria dos intérpretes modernos rejeita essa identificação.</w:t>
      </w:r>
      <w:r/>
      <w:r/>
    </w:p>
    <w:p>
      <w:r/>
    </w:p>
    <w:p>
      <w:pPr>
        <w:pStyle w:val="Heading2"/>
      </w:pPr>
      <w:r>
        <w:t>Leproso, Lepra</w:t>
      </w:r>
      <w:r/>
    </w:p>
    <w:p>
      <w:r/>
      <w:r>
        <w:t xml:space="preserve">Alguém que sofre de uma doença infecciosa crônica causada por </w:t>
      </w:r>
      <w:r>
        <w:rPr>
          <w:i/>
        </w:rPr>
        <w:t>Mycobacterium leprae</w:t>
      </w:r>
      <w:r>
        <w:t>, uma bactéria semelhante ao bacilo da tuberculose. A doença é manifesta por mudanças na pele, membranas mucosas e nervos periféricos. Na pele, muitas vezes há manchas de despigmentação, mas raramente uma perda total de pigmento, então uma mancha branca pura de pele definitivamente não é característica da lepra. A perda de sensação ao toque e temperatura é frequentemente associada às áreas despigmentadas. O espessamento da pele e a formação de nódulos causam a aparência facial semelhante a um leão, comumente associada à lepra. O envolvimento do nervo periférico pode causar paralisia de uma mão, perna ou face, ou pode causar perda de sensação tão completa que um ferimento grave ou ulceração em uma extremidade pode ocorrer sem que a pessoa afligida saiba. Os olhos, ouvidos e nariz também estão frequentemente envolvidos. Um tratamento eficaz, embora prolongado, foi desenvolvido, e às vezes pode ocorrer uma parada espontânea. A doença é propagada através do contato prolongado com um indivíduo com lepra. As crianças são mais suscetíveis do que os adultos, mas em qualquer caso a transmissibilidade é baixa.</w:t>
      </w:r>
    </w:p>
    <w:p>
      <w:r/>
      <w:r>
        <w:t>A história inicial da lepra é cercada de incerteza. Possíveis referências à lepra foram citadas nos escritos egípcios, babilônios e indianos antigos, mas as autoridades discordam sobre se os registros se referem à lepra moderna. A ambiguidade nesses registros iniciais é significativa porque limita a ajuda que eles podem dar para nossa compreensão do significado de “lepra” no AT.</w:t>
      </w:r>
    </w:p>
    <w:p>
      <w:pPr>
        <w:pStyle w:val="Heading3"/>
      </w:pPr>
      <w:r>
        <w:t>No Antigo Testamento</w:t>
      </w:r>
    </w:p>
    <w:p>
      <w:r/>
      <w:hyperlink r:id="rId12897">
        <w:r>
          <w:rPr>
            <w:color w:val="0000EE"/>
            <w:u w:val="single"/>
          </w:rPr>
          <w:t>Levítico 13</w:t>
        </w:r>
      </w:hyperlink>
      <w:r>
        <w:t xml:space="preserve"> e </w:t>
      </w:r>
      <w:hyperlink r:id="rId12898">
        <w:r>
          <w:rPr>
            <w:color w:val="0000EE"/>
            <w:u w:val="single"/>
          </w:rPr>
          <w:t>14</w:t>
        </w:r>
      </w:hyperlink>
      <w:r>
        <w:t xml:space="preserve"> contêm a maioria dos detalhes sobre o que é chamado de “lepra” nas Escrituras (em versões tradicionais como a ARC e ARA). No entanto, um estudo minucioso das descrições da doença dadas nessas passagens sugere fortemente que o que agora é chamado de lepra não é a doença de pele descrita em Levítico. Se um sacerdote hoje usasse os critérios dados nesses versos, ele provavelmente declararia muitos pacientes de lepra impuros, mas ele também declararia impuros muitos indivíduos com uma variedade de outras condições de pele. A doença que chamamos lepra (ou Hanseníase) não se encaixa na descrição dada em Levítico. Os cabelos brancos referidos com tanta frequência nesses versos não são típicos da lepra e podem ser encontrados em muitas doenças de pele. Um pedaço branco de pele não é característico da lepra, nem o couro cabeludo é comumente afetado. Um período de 7 a 14 dias geralmente é inadequado para observar mudanças na doença. Se a lepra moderna está sendo descrita nesses versos, parece estranho que as características mais óbvias da doença não sejam mencionadas. O bacilo da lepra desafiou as tentativas dos bacteriologistas de cultivá-lo, então a lepra transmitida através das roupas ou de estar presente na mesma casa que essa pessoa é mais improvável de ocorrer. Portanto, a lepra bíblica não é sinônimo de lepra moderna. Consequentemente, as versões modernas não usam a palavra “lepra” em </w:t>
      </w:r>
      <w:hyperlink r:id="rId12897">
        <w:r>
          <w:rPr>
            <w:color w:val="0000EE"/>
            <w:u w:val="single"/>
          </w:rPr>
          <w:t>Levítico 13</w:t>
        </w:r>
      </w:hyperlink>
      <w:r>
        <w:t xml:space="preserve"> e </w:t>
      </w:r>
      <w:hyperlink r:id="rId12898">
        <w:r>
          <w:rPr>
            <w:color w:val="0000EE"/>
            <w:u w:val="single"/>
          </w:rPr>
          <w:t>14</w:t>
        </w:r>
      </w:hyperlink>
      <w:r>
        <w:t>; em vez disso, é traduzida como “doença de pele contagiosa” na NTLH e “doença de pele infecciosa” na NVI.</w:t>
      </w:r>
    </w:p>
    <w:p>
      <w:pPr>
        <w:pStyle w:val="Heading3"/>
      </w:pPr>
      <w:r>
        <w:t>No Novo Testamento</w:t>
      </w:r>
    </w:p>
    <w:p>
      <w:r/>
      <w:r>
        <w:t>No NT, não há descrição da doença referida como lepra, então, novamente não podemos ter certeza se é a doença moderna ou não. A lepra moderna era conhecida pelas pessoas daquela época, mas é duvidoso se elas sempre foram capazes de distinguir com precisão de outras condições de pele. A palavra grega traduzida “lepra” no NT basicamente significa “escamosa”. Os gregos a usavam para designar condições de pele semelhantes às da psoríase, e eles se referiam à lepra pela palavra que traduzimos como “elefantíase”, uma palavra não encontrada no NT. A confusão sobre o uso da palavra “lepra” se estende até a Idade Média, deixando os historiadores incertos às vezes sobre a propagação histórica da doença. Quando lemos no NT que Cristo purificou leprosos, sabemos apenas que ele curou condições crônicas de pele consideradas contaminantes.</w:t>
      </w:r>
    </w:p>
    <w:p>
      <w:r/>
      <w:r>
        <w:t>A atitude de Jesus em relação aos que sofrem com lepra estava em contraste acentuado com a dos rabinos de seus dias. Um rabino não comia um ovo comprado em uma rua onde havia alguém com lepra. Outro rabino atirou pedras aos leprosos para mantê-los afastados. Mas Jesus tocou um homem com lepra, demonstrando assim seu poder para superar a impureza como representada pela lepra (</w:t>
      </w:r>
      <w:hyperlink r:id="rId12899">
        <w:r>
          <w:rPr>
            <w:color w:val="0000EE"/>
            <w:u w:val="single"/>
          </w:rPr>
          <w:t>Mt 8.3</w:t>
        </w:r>
      </w:hyperlink>
      <w:r>
        <w:t xml:space="preserve">; </w:t>
      </w:r>
      <w:hyperlink r:id="rId12900">
        <w:r>
          <w:rPr>
            <w:color w:val="0000EE"/>
            <w:u w:val="single"/>
          </w:rPr>
          <w:t>Mc 1.41–42</w:t>
        </w:r>
      </w:hyperlink>
      <w:r>
        <w:t xml:space="preserve">; </w:t>
      </w:r>
      <w:hyperlink r:id="rId7460">
        <w:r>
          <w:rPr>
            <w:color w:val="0000EE"/>
            <w:u w:val="single"/>
          </w:rPr>
          <w:t>Lc 5.12–13</w:t>
        </w:r>
      </w:hyperlink>
      <w:r>
        <w:t>).</w:t>
      </w:r>
    </w:p>
    <w:p>
      <w:r/>
      <w:r>
        <w:rPr>
          <w:i/>
        </w:rPr>
        <w:t>Veja também</w:t>
      </w:r>
      <w:r>
        <w:t xml:space="preserve"> </w:t>
      </w:r>
      <w:r>
        <w:t>Medicina e Prática Médica</w:t>
      </w:r>
      <w:r>
        <w:t xml:space="preserve">; </w:t>
      </w:r>
      <w:r>
        <w:t>Peste</w:t>
      </w:r>
      <w:r>
        <w:t>.</w:t>
      </w:r>
      <w:r/>
      <w:r/>
    </w:p>
    <w:p>
      <w:r/>
    </w:p>
    <w:p>
      <w:pPr>
        <w:pStyle w:val="Heading2"/>
      </w:pPr>
      <w:r>
        <w:t>Letusim, Letuseus</w:t>
      </w:r>
      <w:r/>
    </w:p>
    <w:p>
      <w:r/>
      <w:r>
        <w:t>Tribo fundada pelo segundo dos três filhos de Dedã, um descendente de Abraão e Quetura através da linhagem de Jocsã (</w:t>
      </w:r>
      <w:hyperlink r:id="rId2792">
        <w:r>
          <w:rPr>
            <w:color w:val="0000EE"/>
            <w:u w:val="single"/>
          </w:rPr>
          <w:t>Gn 25.3</w:t>
        </w:r>
      </w:hyperlink>
      <w:r>
        <w:t>). Alguns sugerem que a tribo eventualmente se estabeleceu no norte da Arábia.</w:t>
      </w:r>
      <w:r/>
      <w:r/>
    </w:p>
    <w:p>
      <w:r/>
    </w:p>
    <w:p>
      <w:pPr>
        <w:pStyle w:val="Heading2"/>
      </w:pPr>
      <w:r>
        <w:t>Leumim, Leumeus</w:t>
      </w:r>
      <w:r/>
    </w:p>
    <w:p>
      <w:r/>
      <w:r>
        <w:t>Tribo fundada pelo terceiro dos três filhos de Dedã, um descendente de Abraão e Quetura através da linhagem de Jocsã (</w:t>
      </w:r>
      <w:hyperlink r:id="rId2792">
        <w:r>
          <w:rPr>
            <w:color w:val="0000EE"/>
            <w:u w:val="single"/>
          </w:rPr>
          <w:t>Gn 25.3</w:t>
        </w:r>
      </w:hyperlink>
      <w:r>
        <w:t>). A tribo provavelmente se estabeleceu no norte da Arábia.</w:t>
      </w:r>
      <w:r/>
      <w:r/>
    </w:p>
    <w:p>
      <w:r/>
    </w:p>
    <w:p>
      <w:pPr>
        <w:pStyle w:val="Heading2"/>
      </w:pPr>
      <w:r>
        <w:t>Levi (Pessoa)</w:t>
      </w:r>
      <w:r/>
    </w:p>
    <w:p>
      <w:r/>
      <w:r>
        <w:t>1. Terceiro filho de Jacó com Lia (</w:t>
      </w:r>
      <w:hyperlink r:id="rId12901">
        <w:r>
          <w:rPr>
            <w:color w:val="0000EE"/>
            <w:u w:val="single"/>
          </w:rPr>
          <w:t>Gn 29.34</w:t>
        </w:r>
      </w:hyperlink>
      <w:r>
        <w:t>). A etimologia do nome é incerta. O nome de Levi está associado à tragédia em Siquém, onde os habitantes masculinos da cidade foram cruelmente assassinados quando Levi e Simeão buscaram vingar a violação de sua irmã Diná por Siquém, o heveu. Jacó condenou o ato e antes de sua morte pronunciou um julgamento sobre o comportamento de Levi (</w:t>
      </w:r>
      <w:hyperlink r:id="rId7179">
        <w:r>
          <w:rPr>
            <w:color w:val="0000EE"/>
            <w:u w:val="single"/>
          </w:rPr>
          <w:t>49.5–7</w:t>
        </w:r>
      </w:hyperlink>
      <w:r>
        <w:t>). De acordo com essas palavras, os descendentes de Levi seriam dispersos entre as tribos.</w:t>
      </w:r>
    </w:p>
    <w:p>
      <w:r/>
      <w:r>
        <w:t>A tribo de Levi era composta pelos descendentes dos três filhos de Levi: Gérson, Coate e Merari. Moisés, Arão e Miriam traçaram sua genealogia até Coate (</w:t>
      </w:r>
      <w:hyperlink r:id="rId5015">
        <w:r>
          <w:rPr>
            <w:color w:val="0000EE"/>
            <w:u w:val="single"/>
          </w:rPr>
          <w:t>Êx 6.16</w:t>
        </w:r>
      </w:hyperlink>
      <w:r>
        <w:t xml:space="preserve">). Os levitas permaneceram fiéis a Yahweh na ocasião do bezerro de ouro no Monte Horebe. Eles foram recompensados com o direito ao serviço especial dentro e ao redor do tabernáculo (cap </w:t>
      </w:r>
      <w:hyperlink r:id="rId1555">
        <w:r>
          <w:rPr>
            <w:color w:val="0000EE"/>
            <w:u w:val="single"/>
          </w:rPr>
          <w:t>32</w:t>
        </w:r>
      </w:hyperlink>
      <w:r>
        <w:t>) e mais tarde no templo.</w:t>
      </w:r>
    </w:p>
    <w:p>
      <w:r/>
      <w:r>
        <w:rPr>
          <w:i/>
        </w:rPr>
        <w:t>Veja também</w:t>
      </w:r>
      <w:r>
        <w:t xml:space="preserve"> </w:t>
      </w:r>
      <w:r>
        <w:t>Levi, Tribo de</w:t>
      </w:r>
      <w:r>
        <w:t>.</w:t>
      </w:r>
    </w:p>
    <w:p>
      <w:r/>
      <w:r>
        <w:t>2. Cobrador de impostos em Cafarnaum (</w:t>
      </w:r>
      <w:hyperlink r:id="rId752">
        <w:r>
          <w:rPr>
            <w:color w:val="0000EE"/>
            <w:u w:val="single"/>
          </w:rPr>
          <w:t>Mc 2.14</w:t>
        </w:r>
      </w:hyperlink>
      <w:r>
        <w:t>); um dos 12 discípulos que também se chamava Mateus (</w:t>
      </w:r>
      <w:hyperlink r:id="rId752">
        <w:r>
          <w:rPr>
            <w:color w:val="0000EE"/>
            <w:u w:val="single"/>
          </w:rPr>
          <w:t>Mc 2.14</w:t>
        </w:r>
      </w:hyperlink>
      <w:r>
        <w:t xml:space="preserve">; </w:t>
      </w:r>
      <w:hyperlink r:id="rId3983">
        <w:r>
          <w:rPr>
            <w:color w:val="0000EE"/>
            <w:u w:val="single"/>
          </w:rPr>
          <w:t>Lc 5.27</w:t>
        </w:r>
      </w:hyperlink>
      <w:r>
        <w:t xml:space="preserve">; cf. </w:t>
      </w:r>
      <w:hyperlink r:id="rId753">
        <w:r>
          <w:rPr>
            <w:color w:val="0000EE"/>
            <w:u w:val="single"/>
          </w:rPr>
          <w:t>Mt 9.9</w:t>
        </w:r>
      </w:hyperlink>
      <w:r>
        <w:t xml:space="preserve">). </w:t>
      </w:r>
      <w:r>
        <w:rPr>
          <w:i/>
        </w:rPr>
        <w:t>Veja</w:t>
      </w:r>
      <w:r>
        <w:t xml:space="preserve"> </w:t>
      </w:r>
      <w:r>
        <w:t>Mateus (Pessoa)</w:t>
      </w:r>
      <w:r>
        <w:t>.</w:t>
      </w:r>
    </w:p>
    <w:p>
      <w:r/>
      <w:r>
        <w:t>3. Filho de Melki e ancestral de Jesus (</w:t>
      </w:r>
      <w:hyperlink r:id="rId9885">
        <w:r>
          <w:rPr>
            <w:color w:val="0000EE"/>
            <w:u w:val="single"/>
          </w:rPr>
          <w:t>Lc 3.24</w:t>
        </w:r>
      </w:hyperlink>
      <w:r>
        <w:t xml:space="preserve">). </w:t>
      </w:r>
      <w:r>
        <w:rPr>
          <w:i/>
        </w:rPr>
        <w:t>Veja</w:t>
      </w:r>
      <w:r>
        <w:t xml:space="preserve"> </w:t>
      </w:r>
      <w:r>
        <w:t>Genealogia de Jesus Cristo</w:t>
      </w:r>
      <w:r>
        <w:t>.</w:t>
      </w:r>
    </w:p>
    <w:p>
      <w:r/>
      <w:r>
        <w:t>4. Filho de Simeão e ancestral de Jesus (</w:t>
      </w:r>
      <w:hyperlink r:id="rId12066">
        <w:r>
          <w:rPr>
            <w:color w:val="0000EE"/>
            <w:u w:val="single"/>
          </w:rPr>
          <w:t>Lc 3.29</w:t>
        </w:r>
      </w:hyperlink>
      <w:r>
        <w:t xml:space="preserve">). </w:t>
      </w:r>
      <w:r>
        <w:rPr>
          <w:i/>
        </w:rPr>
        <w:t>Veja</w:t>
      </w:r>
      <w:r>
        <w:t xml:space="preserve"> </w:t>
      </w:r>
      <w:r>
        <w:t>Genealogia de Jesus Cristo</w:t>
      </w:r>
      <w:r>
        <w:t>.</w:t>
      </w:r>
      <w:r/>
      <w:r/>
    </w:p>
    <w:p>
      <w:r/>
    </w:p>
    <w:p>
      <w:pPr>
        <w:pStyle w:val="Heading2"/>
      </w:pPr>
      <w:r>
        <w:t>Leviatã</w:t>
      </w:r>
      <w:r/>
    </w:p>
    <w:p>
      <w:r/>
      <w:r>
        <w:t>Grande monstro marinho ou grande réptil aquático (</w:t>
      </w:r>
      <w:hyperlink r:id="rId12902">
        <w:r>
          <w:rPr>
            <w:color w:val="0000EE"/>
            <w:u w:val="single"/>
          </w:rPr>
          <w:t>Jó 3.8</w:t>
        </w:r>
      </w:hyperlink>
      <w:r>
        <w:t xml:space="preserve">; </w:t>
      </w:r>
      <w:hyperlink r:id="rId1752">
        <w:r>
          <w:rPr>
            <w:color w:val="0000EE"/>
            <w:u w:val="single"/>
          </w:rPr>
          <w:t>Sl 74.14</w:t>
        </w:r>
      </w:hyperlink>
      <w:r>
        <w:t xml:space="preserve">; </w:t>
      </w:r>
      <w:hyperlink r:id="rId1753">
        <w:r>
          <w:rPr>
            <w:color w:val="0000EE"/>
            <w:u w:val="single"/>
          </w:rPr>
          <w:t>104.26</w:t>
        </w:r>
      </w:hyperlink>
      <w:r>
        <w:t xml:space="preserve">; </w:t>
      </w:r>
      <w:hyperlink r:id="rId1642">
        <w:r>
          <w:rPr>
            <w:color w:val="0000EE"/>
            <w:u w:val="single"/>
          </w:rPr>
          <w:t>Is 27.1</w:t>
        </w:r>
      </w:hyperlink>
      <w:r>
        <w:t xml:space="preserve">). </w:t>
      </w:r>
      <w:r>
        <w:rPr>
          <w:i/>
        </w:rPr>
        <w:t>Veja</w:t>
      </w:r>
      <w:r>
        <w:t xml:space="preserve"> </w:t>
      </w:r>
      <w:r>
        <w:t>Animais</w:t>
      </w:r>
      <w:r>
        <w:t>.</w:t>
      </w:r>
      <w:r/>
      <w:r/>
    </w:p>
    <w:p>
      <w:r/>
    </w:p>
    <w:p>
      <w:pPr>
        <w:pStyle w:val="Heading2"/>
      </w:pPr>
      <w:r>
        <w:t>Levítico, Livro de</w:t>
      </w:r>
      <w:r/>
    </w:p>
    <w:p>
      <w:r/>
      <w:r>
        <w:t>O terceiro livro do Antigo Testamento que trata amplamente dos deveres dos sacerdotes levíticos.</w:t>
      </w:r>
    </w:p>
    <w:p>
      <w:r/>
      <w:r>
        <w:t>Resumo</w:t>
      </w:r>
    </w:p>
    <w:p>
      <w:r/>
      <w:r>
        <w:t>• Autoria;</w:t>
      </w:r>
    </w:p>
    <w:p>
      <w:r/>
      <w:r>
        <w:t>• Datação;</w:t>
      </w:r>
    </w:p>
    <w:p>
      <w:r/>
      <w:r>
        <w:t>• Contexto;</w:t>
      </w:r>
    </w:p>
    <w:p>
      <w:r/>
      <w:r>
        <w:t>• Propósito e teologia;</w:t>
      </w:r>
    </w:p>
    <w:p>
      <w:r/>
      <w:r>
        <w:t>• Conteúdo.</w:t>
      </w:r>
    </w:p>
    <w:p>
      <w:pPr>
        <w:pStyle w:val="Heading3"/>
      </w:pPr>
      <w:r>
        <w:t>Autoria</w:t>
      </w:r>
    </w:p>
    <w:p>
      <w:r/>
      <w:r>
        <w:t>Um título alternativo tradicional de Levítico é "o terceiro livro de Moisés", que dá o devido crédito ao homem que mais merece ser chamado de seu autor. Embora o livro nunca diga que Moisés escreveu qualquer parte do material, afirma repetidamente que Deus revelou o conteúdo de Levítico a Moisés. Pode ser que Levítico não tenha sido escrito assim que foi revelado, mas há pouco a recomendar a visão crítica comum de que foi composto quase mil anos após Moisés. A ortografia e a gramática de Levítico foram, como outros livros do AT, revisadas de tempos em tempos para torná-lo compreensível para gerações posteriores de leitores judeus, mas isso não significa que o conteúdo essencial do livro tenha sido modificado.</w:t>
      </w:r>
    </w:p>
    <w:p>
      <w:pPr>
        <w:pStyle w:val="Heading3"/>
      </w:pPr>
      <w:r>
        <w:t>Datação</w:t>
      </w:r>
    </w:p>
    <w:p>
      <w:r/>
      <w:r>
        <w:t>Deus revelou algumas das leis em Levítico falando a Moisés da tenda do encontro, ou tabernáculo (</w:t>
      </w:r>
      <w:hyperlink r:id="rId12903">
        <w:r>
          <w:rPr>
            <w:color w:val="0000EE"/>
            <w:u w:val="single"/>
          </w:rPr>
          <w:t>Lv 1.1</w:t>
        </w:r>
      </w:hyperlink>
      <w:r>
        <w:t>). Outras leis foram reveladas no Monte Sinai (</w:t>
      </w:r>
      <w:hyperlink r:id="rId12825">
        <w:r>
          <w:rPr>
            <w:color w:val="0000EE"/>
            <w:u w:val="single"/>
          </w:rPr>
          <w:t>Lv 26.46</w:t>
        </w:r>
      </w:hyperlink>
      <w:r>
        <w:t xml:space="preserve">). Tais declarações mostram que Moisés aprendeu o conteúdo de Levítico após o tabernáculo ter sido construído, mas antes de os israelitas deixarem o Monte Sinai. Isso se encaixa com </w:t>
      </w:r>
      <w:hyperlink r:id="rId12904">
        <w:r>
          <w:rPr>
            <w:color w:val="0000EE"/>
            <w:u w:val="single"/>
          </w:rPr>
          <w:t>Êxodo 40.17</w:t>
        </w:r>
      </w:hyperlink>
      <w:r>
        <w:t>, que diz que o tabernáculo foi erguido exatamente um ano depois que os israelitas deixaram o Egito. Eles então passaram mais um mês no Sinai, durante o qual as leis em Levítico foram dadas a Moisés. Então, um mês depois (</w:t>
      </w:r>
      <w:hyperlink r:id="rId12905">
        <w:r>
          <w:rPr>
            <w:color w:val="0000EE"/>
            <w:u w:val="single"/>
          </w:rPr>
          <w:t>Nm 1.1</w:t>
        </w:r>
      </w:hyperlink>
      <w:r>
        <w:t>), Moisés foi ordenado a preparar o povo para deixar o Sinai e conquistar a terra prometida de Canaã.</w:t>
      </w:r>
    </w:p>
    <w:p>
      <w:r/>
      <w:r>
        <w:t>É difícil determinar uma data exata para o êxodo dos israelitas do Egito. Datas no final do século 15 a.C. ou início do século 18 são propostas por diferentes estudiosos. Independentemente da visão adotada, a origem de Levítico deve ser um ano após o êxodo. No entanto, a certeza sobre a data exata de Levítico é irrelevante, desde que o contexto religioso do livro seja compreendido.</w:t>
      </w:r>
    </w:p>
    <w:p>
      <w:pPr>
        <w:pStyle w:val="Heading3"/>
      </w:pPr>
      <w:r>
        <w:t>Contexto</w:t>
      </w:r>
    </w:p>
    <w:p>
      <w:r/>
      <w:r>
        <w:t>Cerca de 400 anos antes do êxodo, Deus prometeu a Abraão que seus descendentes seriam muito numerosos e viveriam na terra de Canaã. A família de Abraão se multiplicou, mas, devido à fome, tiveram que ir viver no Egito. Com medo dos israelitas, os governantes do Egito os tornaram escravos.</w:t>
      </w:r>
    </w:p>
    <w:p>
      <w:r/>
      <w:r>
        <w:t xml:space="preserve">O livro de Êxodo relata como Deus, agindo através de Moisés, retirou os israelitas do Egito de forma milagrosa. Moisés os conduziu ao Monte Sinai, onde Deus apareceu em fogo e fumaça no topo da montanha. Moisés subiu a montanha, e lá Deus lhe deu os Dez Mandamentos e explicou várias leis. Através desses atos, Deus mostrou que havia escolhido a nação de Israel para ser seu povo santo especial, diferente de todas as outras nações, porque eles demonstrariam o caráter de Deus através de seu comportamento (cf. </w:t>
      </w:r>
      <w:hyperlink r:id="rId6781">
        <w:r>
          <w:rPr>
            <w:color w:val="0000EE"/>
            <w:u w:val="single"/>
          </w:rPr>
          <w:t>Êx 19.5–6</w:t>
        </w:r>
      </w:hyperlink>
      <w:r>
        <w:t>).</w:t>
      </w:r>
    </w:p>
    <w:p>
      <w:r/>
      <w:r>
        <w:t xml:space="preserve">A revelação de Deus no Sinai foi única e irrepetível. Mas Ele revelou a Moisés que desejava viver entre o povo de Israel permanentemente. Foi-lhes dito para construir um palácio real portátil que fosse adequado para o divino Rei dos reis. A construção deste palácio portátil, tradicionalmente chamado de tabernáculo, é descrita em </w:t>
      </w:r>
      <w:hyperlink r:id="rId11418">
        <w:r>
          <w:rPr>
            <w:color w:val="0000EE"/>
            <w:u w:val="single"/>
          </w:rPr>
          <w:t>Êxodo 35–40</w:t>
        </w:r>
      </w:hyperlink>
      <w:r>
        <w:t>. Quando foi concluído, o fogo e a nuvem que haviam sido vistos no Monte Sinai apareceram sobre o tabernáculo como um sinal de que Deus agora estava habitando nele (</w:t>
      </w:r>
      <w:hyperlink r:id="rId10024">
        <w:r>
          <w:rPr>
            <w:color w:val="0000EE"/>
            <w:u w:val="single"/>
          </w:rPr>
          <w:t>Êx 40.34–38</w:t>
        </w:r>
      </w:hyperlink>
      <w:r>
        <w:t>).</w:t>
      </w:r>
    </w:p>
    <w:p>
      <w:r/>
      <w:r>
        <w:t>Êxodo também relata como Moisés foi instruído a nomear seu irmão, Arão, e os filhos de Arão para servirem no tabernáculo como sacerdotes (</w:t>
      </w:r>
      <w:hyperlink r:id="rId11419">
        <w:r>
          <w:rPr>
            <w:color w:val="0000EE"/>
            <w:u w:val="single"/>
          </w:rPr>
          <w:t>Êx 28–29</w:t>
        </w:r>
      </w:hyperlink>
      <w:r>
        <w:t>). Infelizmente, antes mesmo de os israelitas começarem a construir o tabernáculo, eles fizeram um bezerro de ouro sob a liderança de Arão e começaram a adorá-lo. O povo foi poupado apenas como resultado das orações de Moisés. O livro de Êxodo, portanto, deixa o leitor em suspense. O tabernáculo foi construído, mas ninguém sabe como adorar a Deus nele. Embora Arão e sua família estejam vivos, ficamos nos perguntando se eles ainda terão permissão para liderar a adoração a Deus após a idolatria do bezerro de ouro. O livro de Levítico responde a essa pergunta.</w:t>
      </w:r>
    </w:p>
    <w:p>
      <w:pPr>
        <w:pStyle w:val="Heading3"/>
      </w:pPr>
      <w:r>
        <w:t>Propósito e teologia</w:t>
      </w:r>
    </w:p>
    <w:p>
      <w:r/>
      <w:r>
        <w:t xml:space="preserve">Os Dez Mandamentos explicam de forma breve e simples como Deus espera que seu povo se comporte. Os primeiros quatro mandamentos explicam nosso dever para com Deus. O livro de Levítico segue um esquema semelhante. Os capítulos </w:t>
      </w:r>
      <w:hyperlink r:id="rId12906">
        <w:r>
          <w:rPr>
            <w:color w:val="0000EE"/>
            <w:u w:val="single"/>
          </w:rPr>
          <w:t>1–17</w:t>
        </w:r>
      </w:hyperlink>
      <w:r>
        <w:t xml:space="preserve"> mostram como Deus queria que Israel o adorasse, enquanto os capítulos </w:t>
      </w:r>
      <w:hyperlink r:id="rId12907">
        <w:r>
          <w:rPr>
            <w:color w:val="0000EE"/>
            <w:u w:val="single"/>
          </w:rPr>
          <w:t>18–27</w:t>
        </w:r>
      </w:hyperlink>
      <w:r>
        <w:t xml:space="preserve"> estão principalmente preocupados com como as pessoas devem se comportar umas com as outras. Enquanto os Dez Mandamentos são gerais e podem ser aplicados facilmente a qualquer sociedade, o livro de Levítico é muito mais detalhado e especificamente voltado para as circunstâncias especiais do antigo Israel. Se os leitores modernos desejam se beneficiar da leitura de Levítico, devem olhar além das regulamentações específicas para os princípios religiosos subjacentes que não mudam — em outras palavras, para a teologia de Levítico.</w:t>
      </w:r>
    </w:p>
    <w:p>
      <w:r/>
      <w:r>
        <w:t>Quatro temas são muito importantes na teologia de Levítico: (1) a presença de Deus, (2) a santidade, (3) o sacrifício e (4) a aliança do Sinai.</w:t>
      </w:r>
    </w:p>
    <w:p>
      <w:pPr>
        <w:pStyle w:val="Heading4"/>
      </w:pPr>
      <w:r>
        <w:t>A presença de Deus</w:t>
      </w:r>
    </w:p>
    <w:p>
      <w:r/>
      <w:r>
        <w:t>Deus está sempre presente com Israel de uma maneira real. Às vezes, sua presença se torna visível em fogo e fumaça. Mas mesmo quando não há sinal milagroso, Deus está presente. Ele está especialmente próximo quando as pessoas o adoram e oferecem sacrifícios. Os muitos sacrifícios de animais mencionados no livro são todos trazidos ao Senhor. Quando os animais são queimados, Deus se agrada com o cheiro (</w:t>
      </w:r>
      <w:hyperlink r:id="rId12908">
        <w:r>
          <w:rPr>
            <w:color w:val="0000EE"/>
            <w:u w:val="single"/>
          </w:rPr>
          <w:t>1.9</w:t>
        </w:r>
      </w:hyperlink>
      <w:r>
        <w:t>). Os sacerdotes que oferecem os sacrifícios devem ser especialmente cuidadosos, pois eles se aproximam mais de Deus do que outras pessoas. Se forem descuidados em seus deveres e quebrarem os mandamentos de Deus, podem morrer (</w:t>
      </w:r>
      <w:hyperlink r:id="rId10979">
        <w:r>
          <w:rPr>
            <w:color w:val="0000EE"/>
            <w:u w:val="single"/>
          </w:rPr>
          <w:t>10.1–2</w:t>
        </w:r>
      </w:hyperlink>
      <w:r>
        <w:t>).</w:t>
      </w:r>
    </w:p>
    <w:p>
      <w:r/>
      <w:r>
        <w:t>Deus está presente não apenas na adoração, mas em todos os deveres comuns da vida. O refrão recorrente dos capítulos posteriores, “Eu, o Senhor, sou o seu Deus” (</w:t>
      </w:r>
      <w:hyperlink r:id="rId12821">
        <w:r>
          <w:rPr>
            <w:color w:val="0000EE"/>
            <w:u w:val="single"/>
          </w:rPr>
          <w:t>Lv 18.2</w:t>
        </w:r>
      </w:hyperlink>
      <w:r>
        <w:t xml:space="preserve">; </w:t>
      </w:r>
      <w:hyperlink r:id="rId12909">
        <w:r>
          <w:rPr>
            <w:color w:val="0000EE"/>
            <w:u w:val="single"/>
          </w:rPr>
          <w:t>Lv 19.3</w:t>
        </w:r>
      </w:hyperlink>
      <w:r>
        <w:t xml:space="preserve">), lembra aos israelitas que cada aspecto de sua vida — religião (caps. </w:t>
      </w:r>
      <w:hyperlink r:id="rId12910">
        <w:r>
          <w:rPr>
            <w:color w:val="0000EE"/>
            <w:u w:val="single"/>
          </w:rPr>
          <w:t>21–24</w:t>
        </w:r>
      </w:hyperlink>
      <w:r>
        <w:t xml:space="preserve">), sexo (caps. </w:t>
      </w:r>
      <w:hyperlink r:id="rId2572">
        <w:r>
          <w:rPr>
            <w:color w:val="0000EE"/>
            <w:u w:val="single"/>
          </w:rPr>
          <w:t>18</w:t>
        </w:r>
      </w:hyperlink>
      <w:r>
        <w:t xml:space="preserve">, </w:t>
      </w:r>
      <w:hyperlink r:id="rId10992">
        <w:r>
          <w:rPr>
            <w:color w:val="0000EE"/>
            <w:u w:val="single"/>
          </w:rPr>
          <w:t>20</w:t>
        </w:r>
      </w:hyperlink>
      <w:r>
        <w:t>), e relações com os povos vizinhos (caps. 19, 25) — é importante para Deus. O comportamento de cada israelita deve refletir o do próprio Deus (</w:t>
      </w:r>
      <w:hyperlink r:id="rId12911">
        <w:r>
          <w:rPr>
            <w:color w:val="0000EE"/>
            <w:u w:val="single"/>
          </w:rPr>
          <w:t>20.7</w:t>
        </w:r>
      </w:hyperlink>
      <w:r>
        <w:t>). O temor a Deus deve levar as pessoas a ajudar os cegos, os surdos, os idosos e os pobres. Embora tais pessoas possam não ter como se defender contra um tratamento injusto, Deus se importa com o que acontece com elas (</w:t>
      </w:r>
      <w:hyperlink r:id="rId12912">
        <w:r>
          <w:rPr>
            <w:color w:val="0000EE"/>
            <w:u w:val="single"/>
          </w:rPr>
          <w:t>Lv 19.14, 32</w:t>
        </w:r>
      </w:hyperlink>
      <w:r>
        <w:t xml:space="preserve">; </w:t>
      </w:r>
      <w:hyperlink r:id="rId12913">
        <w:r>
          <w:rPr>
            <w:color w:val="0000EE"/>
            <w:u w:val="single"/>
          </w:rPr>
          <w:t>25.17, 36, 43</w:t>
        </w:r>
      </w:hyperlink>
      <w:r>
        <w:t>).</w:t>
      </w:r>
    </w:p>
    <w:p>
      <w:pPr>
        <w:pStyle w:val="Heading4"/>
      </w:pPr>
      <w:r>
        <w:t>A santidade</w:t>
      </w:r>
    </w:p>
    <w:p>
      <w:r/>
      <w:r>
        <w:t>“Vocês devem ser santos porque eu sou santo” (</w:t>
      </w:r>
      <w:hyperlink r:id="rId6879">
        <w:r>
          <w:rPr>
            <w:color w:val="0000EE"/>
            <w:u w:val="single"/>
          </w:rPr>
          <w:t>Lv 11.44–45</w:t>
        </w:r>
      </w:hyperlink>
      <w:r>
        <w:t xml:space="preserve">; </w:t>
      </w:r>
      <w:hyperlink r:id="rId5370">
        <w:r>
          <w:rPr>
            <w:color w:val="0000EE"/>
            <w:u w:val="single"/>
          </w:rPr>
          <w:t>Lv 19.2</w:t>
        </w:r>
      </w:hyperlink>
      <w:r>
        <w:t xml:space="preserve">; </w:t>
      </w:r>
      <w:hyperlink r:id="rId12857">
        <w:r>
          <w:rPr>
            <w:color w:val="0000EE"/>
            <w:u w:val="single"/>
          </w:rPr>
          <w:t>Lv 20.26</w:t>
        </w:r>
      </w:hyperlink>
      <w:r>
        <w:t>) poderia ser considerado o lema de Levítico. “Santo”, “limpo” e “impuro” são palavras comuns neste livro. Deus é a pessoa supremamente santa na Bíblia, e a santidade é a característica distintiva de seu caráter. Mas as criaturas terrenas também podem se tornar santas. Para se tornar santo, uma pessoa deve ser escolhida por Deus e passar pela cerimônia correta. Assim, no Sinai, todo Israel se tornou uma nação santa (</w:t>
      </w:r>
      <w:hyperlink r:id="rId806">
        <w:r>
          <w:rPr>
            <w:color w:val="0000EE"/>
            <w:u w:val="single"/>
          </w:rPr>
          <w:t>Êx 19.6</w:t>
        </w:r>
      </w:hyperlink>
      <w:r>
        <w:t xml:space="preserve">). </w:t>
      </w:r>
      <w:hyperlink r:id="rId12914">
        <w:r>
          <w:rPr>
            <w:color w:val="0000EE"/>
            <w:u w:val="single"/>
          </w:rPr>
          <w:t>Levítico 8–9</w:t>
        </w:r>
      </w:hyperlink>
      <w:r>
        <w:t xml:space="preserve"> explica como Arão e seus filhos foram ordenados sacerdotes. Isso os tornou mais santos do que os israelitas comuns e, portanto, capazes de se aproximar de Deus e oferecer sacrifícios.</w:t>
      </w:r>
    </w:p>
    <w:p>
      <w:r/>
      <w:r>
        <w:t>Antes que alguém pudesse se tornar santo, precisava estar "limpo". Limpeza em Levítico significa mais do que apenas estar livre de sujeira, embora essa ideia esteja incluída. Significa estar livre de qualquer anormalidade. Sempre que uma pessoa parece não atingir a perfeição, ela é descrita como "impura". Assim, a pior impureza é a morte, o oposto da vida perfeita. Mas sangramentos e outras secreções e doenças de pele irregulares podem tornar alguém impuro. Animais que se movem de maneiras peculiares ou têm hábitos estranhos também são chamados de impuros (</w:t>
      </w:r>
      <w:hyperlink r:id="rId12915">
        <w:r>
          <w:rPr>
            <w:color w:val="0000EE"/>
            <w:u w:val="single"/>
          </w:rPr>
          <w:t>Lv 11–15</w:t>
        </w:r>
      </w:hyperlink>
      <w:r>
        <w:t>).</w:t>
      </w:r>
    </w:p>
    <w:p>
      <w:r/>
      <w:r>
        <w:t xml:space="preserve">Santidade e seu oposto, impureza, podem descrever tanto o comportamento quanto a aparência externa. Ser santo significa obedecer a Deus e agir como Deus. Os capítulos </w:t>
      </w:r>
      <w:hyperlink r:id="rId12916">
        <w:r>
          <w:rPr>
            <w:color w:val="0000EE"/>
            <w:u w:val="single"/>
          </w:rPr>
          <w:t>18–25</w:t>
        </w:r>
      </w:hyperlink>
      <w:r>
        <w:t xml:space="preserve"> explicam o que santidade significa na vida diária. Significa evitar relações sexuais ilícitas, cuidar dos pobres, ser honesto, ser justo e amar o próximo como a si mesmo. Esse tipo de comportamento tornava Israel diferente de outros povos. Através de sua santidade, toda a nação deveria demonstrar como Deus é.</w:t>
      </w:r>
    </w:p>
    <w:p>
      <w:pPr>
        <w:pStyle w:val="Heading4"/>
      </w:pPr>
      <w:r>
        <w:t>O sacrifício</w:t>
      </w:r>
    </w:p>
    <w:p>
      <w:r/>
      <w:r>
        <w:t>Na prática, infelizmente, a nação e os indivíduos dentro dela raramente viveram à altura desses ideais de santidade. Mesmo que alguém não cometesse um pecado grave, ele ou ela estava sempre sujeito a se tornar impuro através do contato com outra pessoa, tocando um animal morto ou de alguma outra forma. Para manter contato com um Deus santo, os pecados e a impureza de Israel precisavam ser removidos. É para isso que serviam os sacrifícios. Eles traziam o perdão dos pecados e a purificação da impureza. Como o pecado afeta as relações entre Deus e os humanos de várias maneiras, Levítico fornece quatro tipos diferentes de ofertas para cobrir os diferentes casos (</w:t>
      </w:r>
      <w:hyperlink r:id="rId12917">
        <w:r>
          <w:rPr>
            <w:color w:val="0000EE"/>
            <w:u w:val="single"/>
          </w:rPr>
          <w:t>Lv 1–6</w:t>
        </w:r>
      </w:hyperlink>
      <w:r>
        <w:t xml:space="preserve">), e explica quais sacrifícios devem ser oferecidos em quais ocasiões (caps. </w:t>
      </w:r>
      <w:hyperlink r:id="rId12918">
        <w:r>
          <w:rPr>
            <w:color w:val="0000EE"/>
            <w:u w:val="single"/>
          </w:rPr>
          <w:t>7–17</w:t>
        </w:r>
      </w:hyperlink>
      <w:r>
        <w:t>). Todos esses rituais serviam para sublinhar a seriedade do pecado e ajudavam a preservar a paz e a comunhão entre Deus e a humanidade.</w:t>
      </w:r>
    </w:p>
    <w:p>
      <w:pPr>
        <w:pStyle w:val="Heading4"/>
      </w:pPr>
      <w:r>
        <w:t>A aliança do Sinai</w:t>
      </w:r>
    </w:p>
    <w:p>
      <w:r/>
      <w:r>
        <w:t>Todas as leis contidas em Levítico fazem parte da aliança do Sinai. Elas preenchem e aplicam os princípios dos Dez Mandamentos às circunstâncias específicas do antigo Israel. Mas elas são mais do que um conjunto de regras detalhadas, pois foram dadas como parte da aliança. Três coisas devem ser lembradas sobre esta aliança. Primeiro, a aliança criou um relacionamento pessoal. O Senhor tornou-se o rei de Israel, e Israel tornou-se seu tesouro especial, separado das outras nações do mundo. Segundo, a aliança foi baseada na graça de Deus. Ele havia feito uma promessa a Abraão e, ao salvar o povo da escravidão egípcia, demonstrou sua fidelidade à sua promessa e seu amor por Israel. Israel, por sua vez, deveria mostrar sua gratidão pela salvação guardando a lei. De forma alguma guardar a lei lhes garantia a salvação. A lei foi dada a um povo redimido. Finalmente, havia promessas e ameaças embutidas na aliança (</w:t>
      </w:r>
      <w:hyperlink r:id="rId12830">
        <w:r>
          <w:rPr>
            <w:color w:val="0000EE"/>
            <w:u w:val="single"/>
          </w:rPr>
          <w:t>Lv 26</w:t>
        </w:r>
      </w:hyperlink>
      <w:r>
        <w:t>). Quando a nação guarda a lei, Deus promete que eles desfrutarão de boas colheitas, vitória sobre seus inimigos e Deus caminhando entre eles como fez no Éden. Mas se rejeitarem as leis de Deus, terríveis calamidades os acometerão: seca, fome, derrota e até mesmo expulsão da terra que Deus havia prometido dar a eles. Essas maldições da aliança formam o pano de fundo para as advertências dos profetas em tempos posteriores.</w:t>
      </w:r>
    </w:p>
    <w:p>
      <w:pPr>
        <w:pStyle w:val="Heading3"/>
      </w:pPr>
      <w:r>
        <w:t>Conteúdo</w:t>
      </w:r>
    </w:p>
    <w:p>
      <w:pPr>
        <w:pStyle w:val="Heading4"/>
      </w:pPr>
      <w:r>
        <w:t>Tipos de sacrifícios (</w:t>
      </w:r>
      <w:hyperlink r:id="rId12816">
        <w:r>
          <w:rPr>
            <w:color w:val="0000EE"/>
            <w:u w:val="single"/>
          </w:rPr>
          <w:t>1–7</w:t>
        </w:r>
      </w:hyperlink>
      <w:r>
        <w:t>)</w:t>
      </w:r>
    </w:p>
    <w:p>
      <w:r/>
      <w:r>
        <w:t>Esses capítulos explicam como os diferentes tipos de sacrifícios deveriam ser oferecidos. A maioria desses sacrifícios também fazia parte do culto regular no tabernáculo e, mais tarde, no templo. No entanto, esses capítulos tratam de ofertas pessoais feitas quando alguém pecava, fazia um voto ou se recuperava de uma doença. Eles explicam o que o ofertante deve fazer e o que o sacerdote deve fazer, quais partes do animal devem ser queimadas, quais partes podem ser comidas pelo sacerdote e o que deve ser feito com o sangue do animal.</w:t>
      </w:r>
    </w:p>
    <w:p>
      <w:r/>
      <w:r>
        <w:t>Primeiro, o ofertante trazia o animal para o pátio externo do tabernáculo. Na presença do sacerdote, ele colocava a mão sobre a cabeça do animal e explicava por que estava trazendo o sacrifício. Em seguida, o adorador matava o animal e o cortava em pedaços. O sacerdote então assumia. Ele recolhia o sangue que escorria do animal moribundo e o aspergia sobre o altar, e queimava pelo menos parte do animal no grande altar no pátio do tabernáculo. Esses atos eram realizados com todos os sacrifícios de animais.</w:t>
      </w:r>
    </w:p>
    <w:p>
      <w:r/>
      <w:r>
        <w:t>A característica especial da oferta queimada (</w:t>
      </w:r>
      <w:hyperlink r:id="rId12919">
        <w:r>
          <w:rPr>
            <w:color w:val="0000EE"/>
            <w:u w:val="single"/>
          </w:rPr>
          <w:t>Lv 1</w:t>
        </w:r>
      </w:hyperlink>
      <w:r>
        <w:t>) era que o animal inteiro, que precisava ser sem defeito, era queimado no altar. Tudo o que o sacerdote recebia era a pele. Este era o sacrifício mais comum e era oferecido em muitas ocasiões diferentes. Ao oferecer o animal inteiro a Deus no sacrifício, o adorador dedicava-se totalmente ao serviço de Deus. “Ali ele porá a mão na cabeça do animal a fim de que seja aceito como sacrifício para conseguir o perdão dos seus pecados” (</w:t>
      </w:r>
      <w:hyperlink r:id="rId12920">
        <w:r>
          <w:rPr>
            <w:color w:val="0000EE"/>
            <w:u w:val="single"/>
          </w:rPr>
          <w:t>Lv 1.4</w:t>
        </w:r>
      </w:hyperlink>
      <w:r>
        <w:t>, NTLH).</w:t>
      </w:r>
    </w:p>
    <w:p>
      <w:r/>
      <w:r>
        <w:t xml:space="preserve">O Capítulo </w:t>
      </w:r>
      <w:hyperlink r:id="rId18">
        <w:r>
          <w:rPr>
            <w:color w:val="0000EE"/>
            <w:u w:val="single"/>
          </w:rPr>
          <w:t>2</w:t>
        </w:r>
      </w:hyperlink>
      <w:r>
        <w:t xml:space="preserve"> aborda a oferta de cereais, que sempre acompanhava a oferta queimada, mas também podia ser oferecida sozinha. Apenas parte dessa oferta era queimada; o restante era dado aos sacerdotes para comer. Os sacrifícios constituíam uma parte importante de sua renda.</w:t>
      </w:r>
    </w:p>
    <w:p>
      <w:r/>
      <w:r>
        <w:t>A característica especial da oferta de paz (comunhão) era que era o único sacrifício em que o ofertante podia comer parte da carne (</w:t>
      </w:r>
      <w:hyperlink r:id="rId12921">
        <w:r>
          <w:rPr>
            <w:color w:val="0000EE"/>
            <w:u w:val="single"/>
          </w:rPr>
          <w:t>Lv 3</w:t>
        </w:r>
      </w:hyperlink>
      <w:r>
        <w:t xml:space="preserve">). Já que no período mais antigo os israelitas não tinham permissão para matar animais exceto para sacrifício (cap. </w:t>
      </w:r>
      <w:hyperlink r:id="rId12827">
        <w:r>
          <w:rPr>
            <w:color w:val="0000EE"/>
            <w:u w:val="single"/>
          </w:rPr>
          <w:t>17</w:t>
        </w:r>
      </w:hyperlink>
      <w:r>
        <w:t xml:space="preserve">), toda refeição que incluía carne tinha que ser precedida por uma oferta de paz. </w:t>
      </w:r>
      <w:hyperlink r:id="rId12922">
        <w:r>
          <w:rPr>
            <w:color w:val="0000EE"/>
            <w:u w:val="single"/>
          </w:rPr>
          <w:t>Levítico 7.11–18</w:t>
        </w:r>
      </w:hyperlink>
      <w:r>
        <w:t xml:space="preserve"> menciona três ocasiões que poderiam motivar uma oferta de paz de “ação de graças”: quando alguém tinha algo para louvar a Deus ou algum pecado para reconhecer; um voto prometendo um sacrifício se Deus ajudasse a sair de uma dificuldade; e uma oferta voluntária, feita apenas porque a pessoa sentia vontade.</w:t>
      </w:r>
    </w:p>
    <w:p>
      <w:r/>
      <w:r>
        <w:t>Apesar do nome, a oferta pelo pecado (</w:t>
      </w:r>
      <w:hyperlink r:id="rId12923">
        <w:r>
          <w:rPr>
            <w:color w:val="0000EE"/>
            <w:u w:val="single"/>
          </w:rPr>
          <w:t>Lv 4</w:t>
        </w:r>
      </w:hyperlink>
      <w:r>
        <w:t>) não era a única oferta que lidava com o pecado. Os outros sacrifícios também possibilitavam o perdão dos pecados. O significado especial deste sacrifício é enfatizado por seu ritual incomum. Em vez de o sangue ser aspergido sobre o altar, como nos outros sacrifícios, ele era cuidadosamente espalhado sobre os chifres (cantos) do grande altar no pátio (</w:t>
      </w:r>
      <w:hyperlink r:id="rId12924">
        <w:r>
          <w:rPr>
            <w:color w:val="0000EE"/>
            <w:u w:val="single"/>
          </w:rPr>
          <w:t>Lv 4.30</w:t>
        </w:r>
      </w:hyperlink>
      <w:r>
        <w:t xml:space="preserve">) ou sobre o pequeno altar dentro do lugar santo (v. </w:t>
      </w:r>
      <w:hyperlink r:id="rId12925">
        <w:r>
          <w:rPr>
            <w:color w:val="0000EE"/>
            <w:u w:val="single"/>
          </w:rPr>
          <w:t>18</w:t>
        </w:r>
      </w:hyperlink>
      <w:r>
        <w:t>); uma vez por ano, o sangue era aspergido sobre a arca no Santo dos Santos (</w:t>
      </w:r>
      <w:hyperlink r:id="rId12926">
        <w:r>
          <w:rPr>
            <w:color w:val="0000EE"/>
            <w:u w:val="single"/>
          </w:rPr>
          <w:t>Lv 16.14</w:t>
        </w:r>
      </w:hyperlink>
      <w:r>
        <w:t xml:space="preserve">). O pecado torna essas diferentes partes do tabernáculo impuras, inadequadas para a presença de Deus. E se Deus não está presente no tabernáculo, a adoração não tem sentido. O sangue atua como um desinfetante espiritual, tornando o tabernáculo limpo e sagrado novamente. A oferta pelo pecado era exigida sempre que uma pessoa inadvertidamente quebrava um dos mandamentos ou sofria de uma secreção ou doença de pele que a tornava impura por uma semana ou mais (caps. </w:t>
      </w:r>
      <w:hyperlink r:id="rId386">
        <w:r>
          <w:rPr>
            <w:color w:val="0000EE"/>
            <w:u w:val="single"/>
          </w:rPr>
          <w:t>12</w:t>
        </w:r>
      </w:hyperlink>
      <w:r>
        <w:t xml:space="preserve">, </w:t>
      </w:r>
      <w:hyperlink r:id="rId9585">
        <w:r>
          <w:rPr>
            <w:color w:val="0000EE"/>
            <w:u w:val="single"/>
          </w:rPr>
          <w:t>15</w:t>
        </w:r>
      </w:hyperlink>
      <w:r>
        <w:t>).</w:t>
      </w:r>
    </w:p>
    <w:p>
      <w:r/>
      <w:r>
        <w:t>A oferta pela culpa (</w:t>
      </w:r>
      <w:hyperlink r:id="rId12927">
        <w:r>
          <w:rPr>
            <w:color w:val="0000EE"/>
            <w:u w:val="single"/>
          </w:rPr>
          <w:t>5.14–6.7</w:t>
        </w:r>
      </w:hyperlink>
      <w:r>
        <w:t>) era destinada a ofensas mais graves, como roubar propriedade sagrada ou usar deliberadamente o nome de Deus em um juramento falso. Tal ofensa era vista como estar roubando de Deus. Portanto, um carneiro tinha que ser oferecido como uma espécie de reembolso. Enquanto a pessoa pobre podia oferecer apenas um pássaro para os outros sacrifícios, um carneiro era sempre necessário para uma oferta pela culpa.</w:t>
      </w:r>
    </w:p>
    <w:p>
      <w:r/>
      <w:r>
        <w:t xml:space="preserve">Os capítulos </w:t>
      </w:r>
      <w:hyperlink r:id="rId12928">
        <w:r>
          <w:rPr>
            <w:color w:val="0000EE"/>
            <w:u w:val="single"/>
          </w:rPr>
          <w:t>6.8–7.38</w:t>
        </w:r>
      </w:hyperlink>
      <w:r>
        <w:t xml:space="preserve"> contêm várias outras regulamentações sobre sacrifícios, principalmente especificando quanto de cada sacrifício os sacerdotes podem comer e quanto deve ser queimado. Uma regra importante para aqueles que não eram sacerdotes era que eles não deviam comer gordura ou sangue, nem comer carne sacrificial quando estivessem impuros. Se o fizessem, poderiam ser cortados de Israel (</w:t>
      </w:r>
      <w:hyperlink r:id="rId12929">
        <w:r>
          <w:rPr>
            <w:color w:val="0000EE"/>
            <w:u w:val="single"/>
          </w:rPr>
          <w:t>Lv 7.21–27</w:t>
        </w:r>
      </w:hyperlink>
      <w:r>
        <w:t>).</w:t>
      </w:r>
    </w:p>
    <w:p>
      <w:pPr>
        <w:pStyle w:val="Heading4"/>
      </w:pPr>
      <w:r>
        <w:t>Início do sacerdócio (</w:t>
      </w:r>
      <w:hyperlink r:id="rId12930">
        <w:r>
          <w:rPr>
            <w:color w:val="0000EE"/>
            <w:u w:val="single"/>
          </w:rPr>
          <w:t>8–10</w:t>
        </w:r>
      </w:hyperlink>
      <w:r>
        <w:t>)</w:t>
      </w:r>
    </w:p>
    <w:p>
      <w:r/>
      <w:r>
        <w:t>Embora Levítico pareça um livro de leis por conter tantas regulamentações, é realmente um livro de história que descreve os eventos ocorridos cerca de um ano após o êxodo. Esses capítulos nos lembram do verdadeiro caráter do livro, pois narram como Moisés ordenou Arão e seus filhos como sacerdotes e como eles ofereceram seus primeiros sacrifícios.</w:t>
      </w:r>
    </w:p>
    <w:p>
      <w:r/>
      <w:r>
        <w:t>Impressionado pela complexidade dos rituais de ordenação, o leitor moderno pode não perceber a maravilha de Arão ter sido nomeado sumo sacerdote. Afinal, foi Arão quem presidiu a fabricação do bezerro de ouro e incentivou sua adoração (</w:t>
      </w:r>
      <w:hyperlink r:id="rId1555">
        <w:r>
          <w:rPr>
            <w:color w:val="0000EE"/>
            <w:u w:val="single"/>
          </w:rPr>
          <w:t>Êx 32</w:t>
        </w:r>
      </w:hyperlink>
      <w:r>
        <w:t>). Se Moisés não tivesse intercedido por Israel, toda a nação teria sido destruída no deserto. Aqui, o perdão gracioso de Deus é evidente. Arão, o principal pecador, é nomeado o principal mediador entre Deus e o povo. No NT, a trajetória de Pedro se assemelha à de Arão em alguns aspectos.</w:t>
      </w:r>
    </w:p>
    <w:p>
      <w:r/>
      <w:r>
        <w:t>A grandeza do sumo sacerdócio é simbolizada pelas vestes ricamente decoradas que Arão usava. Ele e seus filhos foram ungidos com óleo, e então Moisés ofereceu os três sacrifícios mais comuns em seu nome. Eles foram confinados ao pátio do tabernáculo por uma semana, e parece provável que alguns dos rituais fossem repetidos diariamente. Dessa forma, eles foram separados do restante do povo e totalmente consagrados ao seu santo ofício.</w:t>
      </w:r>
    </w:p>
    <w:p>
      <w:r/>
      <w:r>
        <w:t xml:space="preserve">No oitavo dia, o processo estava completo. Agora Arão e seus filhos podiam oferecer sacrifícios. Desta vez, Moisés apenas lhes instruiu sobre o que fazer; ele mesmo não ofereceu sacrifícios. O capítulo </w:t>
      </w:r>
      <w:hyperlink r:id="rId12931">
        <w:r>
          <w:rPr>
            <w:color w:val="0000EE"/>
            <w:u w:val="single"/>
          </w:rPr>
          <w:t>9</w:t>
        </w:r>
      </w:hyperlink>
      <w:r>
        <w:t xml:space="preserve"> conclui dizendo que, depois de terem oferecido os sacrifícios por si mesmos e pelo povo, fogo saiu do tabernáculo para queimar as ofertas, demonstrando assim a aprovação de Deus às suas ações.</w:t>
      </w:r>
    </w:p>
    <w:p>
      <w:r/>
      <w:r>
        <w:t xml:space="preserve">Depois disso, </w:t>
      </w:r>
      <w:hyperlink r:id="rId10979">
        <w:r>
          <w:rPr>
            <w:color w:val="0000EE"/>
            <w:u w:val="single"/>
          </w:rPr>
          <w:t>10.1–2</w:t>
        </w:r>
      </w:hyperlink>
      <w:r>
        <w:t xml:space="preserve"> apresenta uma reviravolta inesperada: "Nadabe e Abiú, filhos de Arão, pegaram cada um o seu queimador de incenso, colocaram incenso dentro, puseram fogo e apresentaram a Deus, o Senhor, como oferta. Mas não fizeram isso de acordo com as leis de Deus, e por isso ele não aceitou a oferta. De repente, saiu fogo da presença do Senhor e os matou; e assim os dois morreram ali onde Deus estava". Não sabemos exatamente o que significa fogo profano. O importante é que os sacerdotes fizeram algo que Deus não havia ordenado. Os sacerdotes deveriam dar o exemplo de obediência total à palavra de Deus: essa é a essência da santidade. Em vez disso, decidiram seguir seus próprios planos e as consequências foram terríveis.</w:t>
      </w:r>
    </w:p>
    <w:p>
      <w:r/>
      <w:r>
        <w:t>“Arão ficou em silêncio” (</w:t>
      </w:r>
      <w:hyperlink r:id="rId12932">
        <w:r>
          <w:rPr>
            <w:color w:val="0000EE"/>
            <w:u w:val="single"/>
          </w:rPr>
          <w:t>10.3</w:t>
        </w:r>
      </w:hyperlink>
      <w:r>
        <w:t xml:space="preserve">). Ele foi avisado para não lamentar a morte de seus filhos, para que não fosse suspeito de aprovar o pecado deles (vv. </w:t>
      </w:r>
      <w:hyperlink r:id="rId12933">
        <w:r>
          <w:rPr>
            <w:color w:val="0000EE"/>
            <w:u w:val="single"/>
          </w:rPr>
          <w:t>6–7</w:t>
        </w:r>
      </w:hyperlink>
      <w:r>
        <w:t xml:space="preserve">). No entanto, apesar das ações de seus filhos, Arão e seus filhos sobreviventes foram confirmados como sacerdotes. Eles foram lembrados de que seu trabalho era “fazer diferença entre o que é e o que não é sagrado, e entre o que é impuro e o que é puro. E devem ensinar aos israelitas todas as leis que eu, o Senhor, dei a eles por meio de Moisés". (vv. </w:t>
      </w:r>
      <w:hyperlink r:id="rId12934">
        <w:r>
          <w:rPr>
            <w:color w:val="0000EE"/>
            <w:u w:val="single"/>
          </w:rPr>
          <w:t>10–11</w:t>
        </w:r>
      </w:hyperlink>
      <w:r>
        <w:t>, NTLH). O capítulo termina com outra nota de graça. Embora os sacerdotes tenham cometido um erro ao oferecer uma das ofertas pelo pecado, Deus relevaria isso nesta ocasião.</w:t>
      </w:r>
    </w:p>
    <w:p>
      <w:pPr>
        <w:pStyle w:val="Heading4"/>
      </w:pPr>
      <w:r>
        <w:t>Pureza e impureza (</w:t>
      </w:r>
      <w:hyperlink r:id="rId12935">
        <w:r>
          <w:rPr>
            <w:color w:val="0000EE"/>
            <w:u w:val="single"/>
          </w:rPr>
          <w:t>11–16</w:t>
        </w:r>
      </w:hyperlink>
      <w:r>
        <w:t>)</w:t>
      </w:r>
    </w:p>
    <w:p>
      <w:r/>
      <w:r>
        <w:t xml:space="preserve">Distinguir entre o impuro e o puro é o tema dos capítulos </w:t>
      </w:r>
      <w:hyperlink r:id="rId12936">
        <w:r>
          <w:rPr>
            <w:color w:val="0000EE"/>
            <w:u w:val="single"/>
          </w:rPr>
          <w:t>11–15</w:t>
        </w:r>
      </w:hyperlink>
      <w:r>
        <w:t xml:space="preserve">, que preparam para as cerimônias do grande Dia da Expiação do capítulo </w:t>
      </w:r>
      <w:hyperlink r:id="rId403">
        <w:r>
          <w:rPr>
            <w:color w:val="0000EE"/>
            <w:u w:val="single"/>
          </w:rPr>
          <w:t>16</w:t>
        </w:r>
      </w:hyperlink>
      <w:r>
        <w:t>. Essas cerimônias são projetadas para purificar o tabernáculo das impurezas do povo de Israel, garantindo assim que Deus continue a habitar entre eles (</w:t>
      </w:r>
      <w:hyperlink r:id="rId12937">
        <w:r>
          <w:rPr>
            <w:color w:val="0000EE"/>
            <w:u w:val="single"/>
          </w:rPr>
          <w:t>16.16,19</w:t>
        </w:r>
      </w:hyperlink>
      <w:r>
        <w:t>).</w:t>
      </w:r>
    </w:p>
    <w:p>
      <w:r/>
      <w:r>
        <w:t xml:space="preserve">O Capítulo </w:t>
      </w:r>
      <w:hyperlink r:id="rId1455">
        <w:r>
          <w:rPr>
            <w:color w:val="0000EE"/>
            <w:u w:val="single"/>
          </w:rPr>
          <w:t>11</w:t>
        </w:r>
      </w:hyperlink>
      <w:r>
        <w:t xml:space="preserve"> fala sobre animais impuros, ou seja, animais que não podem ser consumidos. Os animais terrestres são abordados primeiro, seguidos por peixes e aves, e finalmente várias criaturas diversas, como gafanhotos e répteis. Para ser considerado puro, um animal terrestre deve ter cascos fendidos e ruminar; isso inclui ovelhas e gado, mas exclui porcos e camelos. Peixes devem ter barbatanas e escamas para serem comestíveis; sem elas, são considerados impuros. As aves são puras, a menos que sejam aves de rapina ou necrófagas que se alimentam de carniça. Insetos que se assemelham a aves por terem asas e duas pernas grandes para saltar — por exemplo, gafanhotos—são puros. Outros insetos voadores são impuros. Todas as criaturas rastejantes que se movem rapidamente de um lado para outro, como lagartos, são impuras.</w:t>
      </w:r>
    </w:p>
    <w:p>
      <w:r/>
      <w:r>
        <w:t>As razões para declarar alguns animais limpos e outros impuros têm sido um grande enigma há muito tempo. Uma sugestão é que os animais impuros eram usados em sacrifícios por adoradores pagãos ou eram considerados representações de divindades pagãs. Certamente alguns animais impuros eram usados no culto pagão, mas também alguns puros, e esse fato torna essa explicação insatisfatória. Uma segunda possibilidade é que as regras eram higiênicas: os animais limpos eram seguros para comer, enquanto os impuros não. Pode haver alguma verdade nessa explicação, mas ela não é completamente adequada, pois alguns animais limpos podem ser prejudiciais, enquanto alguns impuros são adequados para consumo.</w:t>
      </w:r>
    </w:p>
    <w:p>
      <w:r/>
      <w:r>
        <w:t>Animais impuros não podiam ser comidos, mas não havia problema em tocá-los. Os israelitas podiam montar camelos, por exemplo. No entanto, todos os animais mortos, a menos que fossem mortos para sacrifício, eram impuros. Qualquer pessoa que tocasse a carcaça de uma criatura morta tornava-se impura e, portanto, não podia entrar no tabernáculo naquele dia (</w:t>
      </w:r>
      <w:hyperlink r:id="rId12938">
        <w:r>
          <w:rPr>
            <w:color w:val="0000EE"/>
            <w:u w:val="single"/>
          </w:rPr>
          <w:t>11.39–40</w:t>
        </w:r>
      </w:hyperlink>
      <w:r>
        <w:t>).</w:t>
      </w:r>
    </w:p>
    <w:p>
      <w:r/>
      <w:r>
        <w:t xml:space="preserve">Os capítulos seguintes tratam de outras condições que tornam as pessoas impuras. O capítulo </w:t>
      </w:r>
      <w:hyperlink r:id="rId386">
        <w:r>
          <w:rPr>
            <w:color w:val="0000EE"/>
            <w:u w:val="single"/>
          </w:rPr>
          <w:t>12</w:t>
        </w:r>
      </w:hyperlink>
      <w:r>
        <w:t xml:space="preserve"> afirma que o parto, ou mais precisamente o corrimento de sangue que segue o parto, torna a mulher impura. Na teologia do Antigo Testamento, a morte é a impureza máxima, e condições que são anormais ou ameaçam levar à morte também são impuras. Quando o corrimento cessa, após um período determinado, a mãe deve trazer uma oferta queimada e uma oferta pelo pecado para expiar qualquer pecado que ela possa ter cometido e para purificar o tabernáculo que pode ter sido poluído por sua impureza.</w:t>
      </w:r>
    </w:p>
    <w:p>
      <w:r/>
      <w:r>
        <w:t xml:space="preserve">Os capítulos </w:t>
      </w:r>
      <w:hyperlink r:id="rId12939">
        <w:r>
          <w:rPr>
            <w:color w:val="0000EE"/>
            <w:u w:val="single"/>
          </w:rPr>
          <w:t>13–14</w:t>
        </w:r>
      </w:hyperlink>
      <w:r>
        <w:t xml:space="preserve"> abordam a impureza causada por doenças de pele. Regulamentos detalhados são fornecidos para distinguir entre diferentes doenças, permitindo que os sacerdotes decidam se as pessoas estão impuras ou não. Se estiverem impuras, devem viver fora do acampamento até que sua pele sare. Tradicionalmente, a doença de pele impura foi chamada de lepra. No entanto, é improvável que isso esteja correto, já que a lepra era desconhecida no Oriente Médio nos tempos do Antigo Testamento. Na verdade, era qualquer doença que levasse a pele a descamar em manchas, como a psoríase. Isso explica por que a doença poderia melhorar espontaneamente.</w:t>
      </w:r>
    </w:p>
    <w:p>
      <w:r/>
      <w:r>
        <w:t xml:space="preserve">Se a doença recuasse o suficiente, o doente poderia chamar o sacerdote, e se o sacerdote estivesse satisfeito com a cura, o doente poderia ser readmitido na comunidade após seguir os rituais prescritos no capítulo </w:t>
      </w:r>
      <w:hyperlink r:id="rId12898">
        <w:r>
          <w:rPr>
            <w:color w:val="0000EE"/>
            <w:u w:val="single"/>
          </w:rPr>
          <w:t>14</w:t>
        </w:r>
      </w:hyperlink>
      <w:r>
        <w:t>. Isso também explica o que deve ser feito se manchas de mofo forem encontradas em pedaços de tecido ou paredes de casas.</w:t>
      </w:r>
    </w:p>
    <w:p>
      <w:r/>
      <w:r>
        <w:t xml:space="preserve">O </w:t>
      </w:r>
      <w:hyperlink r:id="rId9585">
        <w:r>
          <w:rPr>
            <w:color w:val="0000EE"/>
            <w:u w:val="single"/>
          </w:rPr>
          <w:t>capítulo 15</w:t>
        </w:r>
      </w:hyperlink>
      <w:r>
        <w:t xml:space="preserve"> explica como os homens podem se tornar impuros através de secreções de seus órgãos sexuais, devido à gonorreia ou relações sexuais, enquanto as mulheres se tornam impuras através da menstruação ou de uma secreção de longo prazo. Parte do propósito dessas regulamentações é prevenir a prostituição sagrada, que era comum no mundo antigo. Como as relações sexuais tornavam as pessoas impuras, elas não podiam ir adorar imediatamente depois. Além disso, a impureza da menstruação deveria desencorajar os homens de serem excessivamente íntimos com meninas solteiras.</w:t>
      </w:r>
    </w:p>
    <w:p>
      <w:r/>
      <w:r>
        <w:t xml:space="preserve">O amplo escopo dessas regulamentações de impureza significava que quase todo israelita estaria impuro em algum momento de sua vida. Essa impureza poderia contaminar a morada de Deus, o tabernáculo, tornando impossível para Deus continuar a viver lá. Para evitar essa catástrofe, um Dia da Expiação era realizado uma vez por ano. Este é o dia mais solene no calendário judaico, e as cerimônias para ele são descritas em detalhes em </w:t>
      </w:r>
      <w:hyperlink r:id="rId403">
        <w:r>
          <w:rPr>
            <w:color w:val="0000EE"/>
            <w:u w:val="single"/>
          </w:rPr>
          <w:t>Levítico 16</w:t>
        </w:r>
      </w:hyperlink>
      <w:r>
        <w:t>.</w:t>
      </w:r>
    </w:p>
    <w:p>
      <w:r/>
      <w:r>
        <w:t>Há três atos no Dia da Expiação que são descritos neste capítulo. Primeiro, havia a oferta especial pelo pecado oferecida pelo sumo sacerdote, durante a qual o altar externo de holocaustos, o altar de incenso dentro do Lugar Santo e, finalmente, a arca no Santo dos Santos eram aspergidos com sangue para purificar cada parte do tabernáculo. Esta era a única ocasião no ano em que o sumo sacerdote entrava na presença de Deus no Santo dos Santos, e precauções elaboradas eram tomadas para proteger o sumo sacerdote da santidade de Deus (</w:t>
      </w:r>
      <w:hyperlink r:id="rId12940">
        <w:r>
          <w:rPr>
            <w:color w:val="0000EE"/>
            <w:u w:val="single"/>
          </w:rPr>
          <w:t>16.2–4,11–17</w:t>
        </w:r>
      </w:hyperlink>
      <w:r>
        <w:t>). Havia outro ato público que representava os pecados de Israel sendo levados embora. Um bode era escolhido por sorteio. Então, o sumo sacerdote colocava suas mãos sobre sua cabeça e recitava sobre ele o pecado da nação. Este bode era então levado e conduzido a um lugar solitário; em tempos posteriores, era empurrado de um precipício. Essas ações representavam os pecados de Israel sendo carregados para longe, de modo que não pudessem perturbar a paz entre Deus e seu povo. A terceira característica importante do Dia da Expiação era a oração pública e o jejum. Isso mostrava que o pecado não poderia ser eliminado sem esforço, mas apenas através de uma mudança completa de coração por cada pessoa em Israel.</w:t>
      </w:r>
    </w:p>
    <w:p>
      <w:pPr>
        <w:pStyle w:val="Heading4"/>
      </w:pPr>
      <w:r>
        <w:t>Regras para a vida diária (</w:t>
      </w:r>
      <w:hyperlink r:id="rId12941">
        <w:r>
          <w:rPr>
            <w:color w:val="0000EE"/>
            <w:u w:val="single"/>
          </w:rPr>
          <w:t>17–25</w:t>
        </w:r>
      </w:hyperlink>
      <w:r>
        <w:t>)</w:t>
      </w:r>
    </w:p>
    <w:p>
      <w:r/>
      <w:r>
        <w:t xml:space="preserve">Enquanto os capítulos iniciais de Levítico estão inteiramente focados no lado divino da religião, os capítulos posteriores se concentram mais nos deveres religiosos práticos em relação a outras pessoas. No entanto, o capítulo </w:t>
      </w:r>
      <w:hyperlink r:id="rId12827">
        <w:r>
          <w:rPr>
            <w:color w:val="0000EE"/>
            <w:u w:val="single"/>
          </w:rPr>
          <w:t>17</w:t>
        </w:r>
      </w:hyperlink>
      <w:r>
        <w:t xml:space="preserve"> repete algumas das regras sobre sacrifício e estabelece uma nova: que todo sacrifício deve ser oferecido no pátio do tabernáculo. Isso visava evitar que as pessoas adorassem secretamente deuses pagãos.</w:t>
      </w:r>
    </w:p>
    <w:p>
      <w:r/>
      <w:r>
        <w:t xml:space="preserve">Os capítulos </w:t>
      </w:r>
      <w:hyperlink r:id="rId2572">
        <w:r>
          <w:rPr>
            <w:color w:val="0000EE"/>
            <w:u w:val="single"/>
          </w:rPr>
          <w:t>18</w:t>
        </w:r>
      </w:hyperlink>
      <w:r>
        <w:t xml:space="preserve"> e </w:t>
      </w:r>
      <w:hyperlink r:id="rId10992">
        <w:r>
          <w:rPr>
            <w:color w:val="0000EE"/>
            <w:u w:val="single"/>
          </w:rPr>
          <w:t>20</w:t>
        </w:r>
      </w:hyperlink>
      <w:r>
        <w:t xml:space="preserve"> explicam as regras que regem as relações sexuais na antiga Israel. O capítulo </w:t>
      </w:r>
      <w:hyperlink r:id="rId12828">
        <w:r>
          <w:rPr>
            <w:color w:val="0000EE"/>
            <w:u w:val="single"/>
          </w:rPr>
          <w:t>19</w:t>
        </w:r>
      </w:hyperlink>
      <w:r>
        <w:t xml:space="preserve"> fornece mais exemplos do que significa santidade na vida cotidiana. Positivamente, significa ajudar os pobres deixando alguns grãos nos campos durante a colheita (</w:t>
      </w:r>
      <w:hyperlink r:id="rId5109">
        <w:r>
          <w:rPr>
            <w:color w:val="0000EE"/>
            <w:u w:val="single"/>
          </w:rPr>
          <w:t>19.9–10</w:t>
        </w:r>
      </w:hyperlink>
      <w:r>
        <w:t xml:space="preserve">); pagar as pessoas prontamente (v. </w:t>
      </w:r>
      <w:hyperlink r:id="rId12942">
        <w:r>
          <w:rPr>
            <w:color w:val="0000EE"/>
            <w:u w:val="single"/>
          </w:rPr>
          <w:t>13</w:t>
        </w:r>
      </w:hyperlink>
      <w:r>
        <w:t xml:space="preserve">); evitar fofocas (v. </w:t>
      </w:r>
      <w:hyperlink r:id="rId12943">
        <w:r>
          <w:rPr>
            <w:color w:val="0000EE"/>
            <w:u w:val="single"/>
          </w:rPr>
          <w:t>16</w:t>
        </w:r>
      </w:hyperlink>
      <w:r>
        <w:t xml:space="preserve">); honrar os idosos, ajudar o imigrante e ser honesto nos negócios (vv. </w:t>
      </w:r>
      <w:hyperlink r:id="rId12944">
        <w:r>
          <w:rPr>
            <w:color w:val="0000EE"/>
            <w:u w:val="single"/>
          </w:rPr>
          <w:t>32–36</w:t>
        </w:r>
      </w:hyperlink>
      <w:r>
        <w:t xml:space="preserve">). Mas a santidade vai além de ações e palavras. Deve transformar pensamentos: “Não se vingue, nem guarde ódio de alguém do seu povo, mas ame os outros como você ama a você mesmo. Eu sou o Senhor”. (v. </w:t>
      </w:r>
      <w:hyperlink r:id="rId1166">
        <w:r>
          <w:rPr>
            <w:color w:val="0000EE"/>
            <w:u w:val="single"/>
          </w:rPr>
          <w:t>18</w:t>
        </w:r>
      </w:hyperlink>
      <w:r>
        <w:t>, NTLH).</w:t>
      </w:r>
    </w:p>
    <w:p>
      <w:r/>
      <w:r>
        <w:t xml:space="preserve">Os capítulos </w:t>
      </w:r>
      <w:hyperlink r:id="rId6650">
        <w:r>
          <w:rPr>
            <w:color w:val="0000EE"/>
            <w:u w:val="single"/>
          </w:rPr>
          <w:t>21</w:t>
        </w:r>
      </w:hyperlink>
      <w:r>
        <w:t xml:space="preserve"> e </w:t>
      </w:r>
      <w:hyperlink r:id="rId12945">
        <w:r>
          <w:rPr>
            <w:color w:val="0000EE"/>
            <w:u w:val="single"/>
          </w:rPr>
          <w:t>22</w:t>
        </w:r>
      </w:hyperlink>
      <w:r>
        <w:t xml:space="preserve"> discutem como os homens santos de Israel, os sacerdotes, devem demonstrar sua santidade em suas vidas. Primeiro, eles devem evitar se aproximar de corpos mortos, a menos que os falecidos sejam parentes muito próximos. Segundo, eles devem se casar com mulheres de reconhecida retidão moral. Terceiro, sacerdotes com deformidades — por exemplo, um sacerdote cego ou coxo — nunca podem oferecer sacrifícios. Aqui, o princípio é claro: os homens que representam Deus devem refletir a perfeição de Deus em corpos normais e saudáveis. No entanto, aqueles que estão temporariamente impuros, devido a uma doença de pele ou uma secreção, podem retomar suas funções assim que sua impureza for curada.</w:t>
      </w:r>
    </w:p>
    <w:p>
      <w:r/>
      <w:r>
        <w:t xml:space="preserve">O capítulo </w:t>
      </w:r>
      <w:hyperlink r:id="rId12946">
        <w:r>
          <w:rPr>
            <w:color w:val="0000EE"/>
            <w:u w:val="single"/>
          </w:rPr>
          <w:t>23</w:t>
        </w:r>
      </w:hyperlink>
      <w:r>
        <w:t xml:space="preserve"> lista os principais dias sagrados e os sacrifícios que precisavam ser oferecidos em cada um. O capítulo </w:t>
      </w:r>
      <w:hyperlink r:id="rId12947">
        <w:r>
          <w:rPr>
            <w:color w:val="0000EE"/>
            <w:u w:val="single"/>
          </w:rPr>
          <w:t>24</w:t>
        </w:r>
      </w:hyperlink>
      <w:r>
        <w:t xml:space="preserve"> trata da lâmpada e do pão especial mantidos dentro do tabernáculo. Um caso de blasfêmia que ocorreu no deserto é mencionado. Como o homem realmente usou o nome sagrado de Deus em uma maldição, ele foi condenado à morte.</w:t>
      </w:r>
    </w:p>
    <w:p>
      <w:r/>
      <w:r>
        <w:t xml:space="preserve">O capítulo </w:t>
      </w:r>
      <w:hyperlink r:id="rId1952">
        <w:r>
          <w:rPr>
            <w:color w:val="0000EE"/>
            <w:u w:val="single"/>
          </w:rPr>
          <w:t>25</w:t>
        </w:r>
      </w:hyperlink>
      <w:r>
        <w:t xml:space="preserve"> trata do ano do jubileu. Em toda sociedade, as pessoas podem se endividar. Hoje, os efeitos das dívidas são um pouco amenizados por pagamentos de assistência social do estado e descobertos bancários, mas as sociedades antigas não tinham essa ajuda disponível. As pessoas endividadas tinham que vender suas terras familiares, das quais dependiam para viver, ou, em situações mais sérias, podiam se vender como escravas. Uma vez empobrecidas dessa forma, era extremamente difícil recuperar suas terras ou sua liberdade. Mas essa lei em Levítico proporcionava uma saída. A cada 50 anos havia um jubileu. Nesse ano, todo escravo era libertado da servidão, e todos que haviam vendido suas terras as recebiam de volta gratuitamente. Assim, todos que caíam em dívida tinham a chance de recomeçar. Embora essa lei fosse projetada principalmente para ajudar os pobres, ela também servia para prevenir a acumulação de muita riqueza nas mãos de poucos homens ricos.</w:t>
      </w:r>
    </w:p>
    <w:p>
      <w:pPr>
        <w:pStyle w:val="Heading4"/>
      </w:pPr>
      <w:r>
        <w:t>Bênçãos, maldições e votos (</w:t>
      </w:r>
      <w:hyperlink r:id="rId12948">
        <w:r>
          <w:rPr>
            <w:color w:val="0000EE"/>
            <w:u w:val="single"/>
          </w:rPr>
          <w:t>26–27</w:t>
        </w:r>
      </w:hyperlink>
      <w:r>
        <w:t>)</w:t>
      </w:r>
    </w:p>
    <w:p>
      <w:r/>
      <w:r>
        <w:t xml:space="preserve">O capítulo </w:t>
      </w:r>
      <w:hyperlink r:id="rId12830">
        <w:r>
          <w:rPr>
            <w:color w:val="0000EE"/>
            <w:u w:val="single"/>
          </w:rPr>
          <w:t>26</w:t>
        </w:r>
      </w:hyperlink>
      <w:r>
        <w:t xml:space="preserve"> contém as bênçãos e maldições que tradicionalmente encerravam uma aliança. Israel é prometido grande prosperidade material e espiritual se cumprir a lei, mas é avisado de que a tragédia ocorrerá se desobedecer.</w:t>
      </w:r>
    </w:p>
    <w:p>
      <w:r/>
      <w:r>
        <w:t xml:space="preserve">O capítulo </w:t>
      </w:r>
      <w:hyperlink r:id="rId12949">
        <w:r>
          <w:rPr>
            <w:color w:val="0000EE"/>
            <w:u w:val="single"/>
          </w:rPr>
          <w:t>27</w:t>
        </w:r>
      </w:hyperlink>
      <w:r>
        <w:t xml:space="preserve"> é um apêndice que trata de votos e outras ofertas feitas a Deus. Quando uma pessoa promete dar algo a Deus, isso se torna sagrado e não pode ser retirado a menos que um pagamento adequado seja feito em seu lugar. Este capítulo estabelece as regras para essas dedicações.</w:t>
      </w:r>
    </w:p>
    <w:p>
      <w:r/>
      <w:r>
        <w:rPr>
          <w:i/>
        </w:rPr>
        <w:t>Veja também</w:t>
      </w:r>
      <w:r>
        <w:t xml:space="preserve"> </w:t>
      </w:r>
      <w:r>
        <w:t>Arão</w:t>
      </w:r>
      <w:r>
        <w:t xml:space="preserve">; </w:t>
      </w:r>
      <w:r>
        <w:t>Moisés</w:t>
      </w:r>
      <w:r>
        <w:t xml:space="preserve">; </w:t>
      </w:r>
      <w:r>
        <w:t>Ofertas e sacrifícios</w:t>
      </w:r>
      <w:r>
        <w:t xml:space="preserve">; </w:t>
      </w:r>
      <w:r>
        <w:t>Sacerdotes e levitas</w:t>
      </w:r>
      <w:r>
        <w:t xml:space="preserve">; </w:t>
      </w:r>
      <w:r>
        <w:t>Tabernáculo</w:t>
      </w:r>
      <w:r>
        <w:t xml:space="preserve">; </w:t>
      </w:r>
      <w:r>
        <w:t>Templo</w:t>
      </w:r>
      <w:r>
        <w:t>.</w:t>
      </w:r>
      <w:r/>
      <w:r/>
    </w:p>
    <w:p>
      <w:r/>
    </w:p>
    <w:p>
      <w:pPr>
        <w:pStyle w:val="Heading2"/>
      </w:pPr>
      <w:r>
        <w:t>Lia</w:t>
      </w:r>
      <w:r/>
    </w:p>
    <w:p>
      <w:r/>
      <w:r>
        <w:t>Lia era filha de Labão e irmã mais velha de Raquel.</w:t>
      </w:r>
    </w:p>
    <w:p>
      <w:r/>
      <w:r>
        <w:t>Ela se tornou a esposa de Jacó, que havia enganado seu pai Isaque para receber a bênção destinada a Esaú (</w:t>
      </w:r>
      <w:hyperlink r:id="rId12950">
        <w:r>
          <w:rPr>
            <w:color w:val="0000EE"/>
            <w:u w:val="single"/>
          </w:rPr>
          <w:t>Gênesis 27.5–40</w:t>
        </w:r>
      </w:hyperlink>
      <w:r>
        <w:t>). Para escapar da ira de Esaú e encontrar uma esposa (</w:t>
      </w:r>
      <w:hyperlink r:id="rId12951">
        <w:r>
          <w:rPr>
            <w:color w:val="0000EE"/>
            <w:u w:val="single"/>
          </w:rPr>
          <w:t>Gênesis 27.46–28.2</w:t>
        </w:r>
      </w:hyperlink>
      <w:r>
        <w:t>), Jacó foi para seu tio Labão na Mesopotâmia (</w:t>
      </w:r>
      <w:hyperlink r:id="rId10345">
        <w:r>
          <w:rPr>
            <w:color w:val="0000EE"/>
            <w:u w:val="single"/>
          </w:rPr>
          <w:t>Gênesis 27.43</w:t>
        </w:r>
      </w:hyperlink>
      <w:r>
        <w:t xml:space="preserve">; </w:t>
      </w:r>
      <w:hyperlink r:id="rId12952">
        <w:r>
          <w:rPr>
            <w:color w:val="0000EE"/>
            <w:u w:val="single"/>
          </w:rPr>
          <w:t>28.2</w:t>
        </w:r>
      </w:hyperlink>
      <w:r>
        <w:t>). Ele se apaixonou por Raquel, a filha mais nova de Labão, e concordou em trabalhar para Labão por sete anos para se casar com ela (</w:t>
      </w:r>
      <w:hyperlink r:id="rId12953">
        <w:r>
          <w:rPr>
            <w:color w:val="0000EE"/>
            <w:u w:val="single"/>
          </w:rPr>
          <w:t>Gênesis 29.17–18</w:t>
        </w:r>
      </w:hyperlink>
      <w:r>
        <w:t>).</w:t>
      </w:r>
    </w:p>
    <w:p>
      <w:r/>
      <w:r>
        <w:t>Quando o casamento chegou, Labão enganou Jacó dando-lhe Lia, a filha mais velha, em vez de Raquel (</w:t>
      </w:r>
      <w:hyperlink r:id="rId12954">
        <w:r>
          <w:rPr>
            <w:color w:val="0000EE"/>
            <w:u w:val="single"/>
          </w:rPr>
          <w:t>Gênesis 29.21–25</w:t>
        </w:r>
      </w:hyperlink>
      <w:r>
        <w:t>). Labão justificou isso dizendo que a filha mais velha deve se casar primeiro (</w:t>
      </w:r>
      <w:hyperlink r:id="rId4562">
        <w:r>
          <w:rPr>
            <w:color w:val="0000EE"/>
            <w:u w:val="single"/>
          </w:rPr>
          <w:t>Gênesis 29.26</w:t>
        </w:r>
      </w:hyperlink>
      <w:r>
        <w:t>). Lia foi descrita como tendo "olhos fracos", enquanto Raquel era "formosa e bela" (</w:t>
      </w:r>
      <w:hyperlink r:id="rId3366">
        <w:r>
          <w:rPr>
            <w:color w:val="0000EE"/>
            <w:u w:val="single"/>
          </w:rPr>
          <w:t>Gênesis 29.17</w:t>
        </w:r>
      </w:hyperlink>
      <w:r>
        <w:t>).</w:t>
      </w:r>
    </w:p>
    <w:p>
      <w:r/>
      <w:r>
        <w:t>Jacó trabalhou por mais sete anos para se casar com Raquel, a quem ele amava profundamente (</w:t>
      </w:r>
      <w:hyperlink r:id="rId12955">
        <w:r>
          <w:rPr>
            <w:color w:val="0000EE"/>
            <w:u w:val="single"/>
          </w:rPr>
          <w:t>Gênesis 29.20</w:t>
        </w:r>
      </w:hyperlink>
      <w:r>
        <w:t>). Lia, que não era favorecida como Raquel, teve seis filhos e uma filha antes que Raquel tivesse algum filho (</w:t>
      </w:r>
      <w:hyperlink r:id="rId12956">
        <w:r>
          <w:rPr>
            <w:color w:val="0000EE"/>
            <w:u w:val="single"/>
          </w:rPr>
          <w:t>Gênesis 29.31–30.22</w:t>
        </w:r>
      </w:hyperlink>
      <w:r>
        <w:t>):</w:t>
      </w:r>
    </w:p>
    <w:p>
      <w:pPr>
        <w:pStyle w:val="ListNumber"/>
        <w:spacing w:line="240" w:lineRule="auto"/>
        <w:ind w:left="720"/>
      </w:pPr>
      <w:r/>
      <w:r>
        <w:t>Rúben;</w:t>
      </w:r>
    </w:p>
    <w:p>
      <w:pPr>
        <w:pStyle w:val="ListNumber"/>
        <w:spacing w:line="240" w:lineRule="auto"/>
        <w:ind w:left="720"/>
      </w:pPr>
      <w:r/>
      <w:r>
        <w:t>Simeão;</w:t>
      </w:r>
    </w:p>
    <w:p>
      <w:pPr>
        <w:pStyle w:val="ListNumber"/>
        <w:spacing w:line="240" w:lineRule="auto"/>
        <w:ind w:left="720"/>
      </w:pPr>
      <w:r/>
      <w:r>
        <w:t>Levi;</w:t>
      </w:r>
    </w:p>
    <w:p>
      <w:pPr>
        <w:pStyle w:val="ListNumber"/>
        <w:spacing w:line="240" w:lineRule="auto"/>
        <w:ind w:left="720"/>
      </w:pPr>
      <w:r/>
      <w:r>
        <w:t>Judá;</w:t>
      </w:r>
    </w:p>
    <w:p>
      <w:pPr>
        <w:pStyle w:val="ListNumber"/>
        <w:spacing w:line="240" w:lineRule="auto"/>
        <w:ind w:left="720"/>
      </w:pPr>
      <w:r/>
      <w:r>
        <w:t>Issacar;</w:t>
      </w:r>
    </w:p>
    <w:p>
      <w:pPr>
        <w:pStyle w:val="ListNumber"/>
        <w:spacing w:line="240" w:lineRule="auto"/>
        <w:ind w:left="720"/>
      </w:pPr>
      <w:r/>
      <w:r>
        <w:t>Zebulom;</w:t>
      </w:r>
    </w:p>
    <w:p>
      <w:pPr>
        <w:pStyle w:val="ListNumber"/>
        <w:spacing w:line="240" w:lineRule="auto"/>
        <w:ind w:left="720"/>
      </w:pPr>
      <w:r/>
      <w:r>
        <w:t>Diná.</w:t>
      </w:r>
    </w:p>
    <w:p>
      <w:r/>
      <w:r>
        <w:t>A incapacidade de Raquel de ter filhos era uma tristeza significativa para ela, e ela até trocou mandrágoras, uma planta acreditada para garantir a concepção, com Lia para tentar conceber (</w:t>
      </w:r>
      <w:hyperlink r:id="rId12957">
        <w:r>
          <w:rPr>
            <w:color w:val="0000EE"/>
            <w:u w:val="single"/>
          </w:rPr>
          <w:t>Gênesis 30.14–17</w:t>
        </w:r>
      </w:hyperlink>
      <w:r>
        <w:t>).</w:t>
      </w:r>
    </w:p>
    <w:p>
      <w:r/>
      <w:r>
        <w:t>Os filhos de Lia tornaram-se importantes na história de Israel. Seu filho Levi tornou-se o ancestral dos sacerdotes, e seu filho Judá foi o ancestral da linha real da qual Jesus Cristo descendeu (</w:t>
      </w:r>
      <w:hyperlink r:id="rId309">
        <w:r>
          <w:rPr>
            <w:color w:val="0000EE"/>
            <w:u w:val="single"/>
          </w:rPr>
          <w:t>Gênesis 3.15</w:t>
        </w:r>
      </w:hyperlink>
      <w:r>
        <w:t xml:space="preserve">; </w:t>
      </w:r>
      <w:hyperlink r:id="rId10125">
        <w:r>
          <w:rPr>
            <w:color w:val="0000EE"/>
            <w:u w:val="single"/>
          </w:rPr>
          <w:t>12.2–3</w:t>
        </w:r>
      </w:hyperlink>
      <w:r>
        <w:t xml:space="preserve">; </w:t>
      </w:r>
      <w:hyperlink r:id="rId12958">
        <w:r>
          <w:rPr>
            <w:color w:val="0000EE"/>
            <w:u w:val="single"/>
          </w:rPr>
          <w:t>2 Samuel 7.16</w:t>
        </w:r>
      </w:hyperlink>
      <w:r>
        <w:t xml:space="preserve">; </w:t>
      </w:r>
      <w:hyperlink r:id="rId817">
        <w:r>
          <w:rPr>
            <w:color w:val="0000EE"/>
            <w:u w:val="single"/>
          </w:rPr>
          <w:t>Mateus 1.1</w:t>
        </w:r>
      </w:hyperlink>
      <w:r>
        <w:t>).</w:t>
      </w:r>
    </w:p>
    <w:p>
      <w:r/>
      <w:r>
        <w:rPr>
          <w:i/>
        </w:rPr>
        <w:t>Veja também</w:t>
      </w:r>
      <w:r>
        <w:t xml:space="preserve"> </w:t>
      </w:r>
      <w:r>
        <w:t>Jacó #1</w:t>
      </w:r>
      <w:r>
        <w:t>.</w:t>
      </w:r>
      <w:r/>
      <w:r/>
    </w:p>
    <w:p>
      <w:r/>
    </w:p>
    <w:p>
      <w:pPr>
        <w:pStyle w:val="Heading2"/>
      </w:pPr>
      <w:r>
        <w:t>Líbano</w:t>
      </w:r>
      <w:r/>
    </w:p>
    <w:p>
      <w:r/>
      <w:r>
        <w:t xml:space="preserve">Região mencionada apenas no AT, embora suas cidades, incluindo Tiro e Sidom, sejam nomeadas no NT. O nome Líbano geralmente se refere à dupla cordilheira que começa perto de Tiro e corre para o nordeste seguindo a costa mediterrânea. As duas faixas do Líbano são paralelas uma à outra, o Líbano a oeste e o Anti-Líbano a leste. O nome Líbano é derivado da raiz hebraica </w:t>
      </w:r>
      <w:r>
        <w:rPr>
          <w:i/>
        </w:rPr>
        <w:t>l-b-n</w:t>
      </w:r>
      <w:r>
        <w:t>, que significa “branco”, que pode refletir o calcário branco das montanhas ou a neve que ficava nas montanhas durante seis meses (</w:t>
      </w:r>
      <w:hyperlink r:id="rId12959">
        <w:r>
          <w:rPr>
            <w:color w:val="0000EE"/>
            <w:u w:val="single"/>
          </w:rPr>
          <w:t>Jr 18.14</w:t>
        </w:r>
      </w:hyperlink>
      <w:r>
        <w:t>).</w:t>
      </w:r>
    </w:p>
    <w:p>
      <w:pPr>
        <w:pStyle w:val="Heading3"/>
      </w:pPr>
      <w:r>
        <w:t>Geografia</w:t>
      </w:r>
    </w:p>
    <w:p>
      <w:r/>
      <w:r>
        <w:t>No extremo sul, as cordilheiras do Líbano são uma continuação direta das colinas do norte da Galileia, com o Monte Hermon (Siriom, Senir) muito proeminente na faixa Anti-Líbano, subindo até 2.813,3 metros. As duas faixas são divididas por um amplo vale, o vale do Líbano (</w:t>
      </w:r>
      <w:hyperlink r:id="rId10601">
        <w:r>
          <w:rPr>
            <w:color w:val="0000EE"/>
            <w:u w:val="single"/>
          </w:rPr>
          <w:t>Js 11.17</w:t>
        </w:r>
      </w:hyperlink>
      <w:r>
        <w:t>) ou “a entrada de Hamate” (</w:t>
      </w:r>
      <w:hyperlink r:id="rId10327">
        <w:r>
          <w:rPr>
            <w:color w:val="0000EE"/>
            <w:u w:val="single"/>
          </w:rPr>
          <w:t>Nm 34.8</w:t>
        </w:r>
      </w:hyperlink>
      <w:r>
        <w:t>), a moderna Beqa’a.</w:t>
      </w:r>
    </w:p>
    <w:p>
      <w:r/>
      <w:r>
        <w:t>No sul, a cordilheira do Líbano é separada das colinas da Galileia por um profundo desfiladeiro leste-oeste, pelo qual o rio Litani flui, desembocando no Mediterrâneo um pouco ao norte de Tiro. Em seus trajetos superiores, segue o Vale de Beqa’a em uma direção nordeste quase até Baalbek. A cordilheira do Líbano, com cerca de 160,9 quilômetros de comprimento, se estende para o norte até o vale leste-oeste de Nahr el-Kebir e é marcada por uma série de picos. No sul estão Gebel Rihan, Tomat e Gebel Niha (que variam de 1.636,7 a 1.898,9 metros, de altura) a leste de Sidom. No centro estão Gebel Baruk, Gebel Kuneiyiseh e Gebel Sunnin (2.200,7 metros, 2.100,1 metros e 2.599,9 metros de altura, respectivamente) a leste de Beirute. "Gebel" ou "Jebel" significa montanha em árabe. Mais ao norte, a leste de Tripoli, fica Qurnet es-Sauda, que atinge 2.999,2 metros, e Qurnet Aruba, com cerca de 2.231,1 metros de altura.</w:t>
      </w:r>
    </w:p>
    <w:p>
      <w:r/>
      <w:r>
        <w:t>Essas altas montanhas capturam a chuva que vem do Mediterrâneo, fornecendo boas chuvas às áreas de montanha e à faixa costeira; além das montanhas, a chuva cai. É ao longo da faixa costeira entre as montanhas e o mar que os fenícios prosperaram e cidades como Tiro, Sarepta, Sidom, Berito (Beirute), Biblos (Gebal) e Tripoli foram estabelecidas. A área costeira tem uma série de promontórios que são extensões da cordilheira, pequenas penínsulas. A estrada costeira tinha que ser cortada ao redor ou através dessas esporas. Um bom exemplo é o promontório de Nahr el-Kelb, um pouco ao norte de Beirute.</w:t>
      </w:r>
    </w:p>
    <w:p>
      <w:r/>
      <w:r>
        <w:t>No lado leste da faixa do Líbano está o Vale de Beqa’a. O rio Orontes nasce no norte deste vale e flui em direção ao norte até desaguar no Mediterrâneo ao norte da antiga Ugarit. Toda esta região do vale era conhecida na literatura clássica como Coele-Síria (Vale da Síria). Era o “berço” dos romanos.</w:t>
      </w:r>
    </w:p>
    <w:p>
      <w:r/>
      <w:r>
        <w:t>A leste do Vale de Beqa’a fica a cordilheira Anti-Líbano, na qual o rio Barada nasce e flui para o leste em direção ao oásis fértil de Damasco. O Monte Hermom, na parte sul da cordilheira, era conhecido como Siriom pelos fenícios e Senir pelos amorreus (</w:t>
      </w:r>
      <w:hyperlink r:id="rId1981">
        <w:r>
          <w:rPr>
            <w:color w:val="0000EE"/>
            <w:u w:val="single"/>
          </w:rPr>
          <w:t>Dt 3.9</w:t>
        </w:r>
      </w:hyperlink>
      <w:r>
        <w:t>).</w:t>
      </w:r>
    </w:p>
    <w:p>
      <w:pPr>
        <w:pStyle w:val="Heading3"/>
      </w:pPr>
      <w:r>
        <w:t>Recursos</w:t>
      </w:r>
    </w:p>
    <w:p>
      <w:r/>
      <w:r>
        <w:t xml:space="preserve">O Líbano era famoso na antiguidade por suas ricas florestas de abeto e cedro. As áreas costeiras, o Vale de Beqa’a e as encostas inferiores das montanhas eram adequadas para oliveiras, árvores frutíferas e vinhedos, bem como algumas colheitas de grãos. Um produto importante vinha do mar: um molusco da classe gastrópode do qual um corante vermelho ou púrpura era obtido. O nome “fenício” deriva do grego </w:t>
      </w:r>
      <w:r>
        <w:rPr>
          <w:i/>
        </w:rPr>
        <w:t>phoinos</w:t>
      </w:r>
      <w:r>
        <w:t>, vermelho-púrpura. Lã tingida de púrpura estava disponível em Ugarit por volta de 1500 a.C. Os fenícios tiveram um monopólio nesta indústria por centenas de anos. O povo de Israel, que usou uma grande quantidade de corante púrpura em seus móveis do tabernáculo (</w:t>
      </w:r>
      <w:hyperlink r:id="rId12960">
        <w:r>
          <w:rPr>
            <w:color w:val="0000EE"/>
            <w:u w:val="single"/>
          </w:rPr>
          <w:t>Êx 26</w:t>
        </w:r>
      </w:hyperlink>
      <w:r>
        <w:t>) e as roupas de seus sacerdotes (</w:t>
      </w:r>
      <w:hyperlink r:id="rId12961">
        <w:r>
          <w:rPr>
            <w:color w:val="0000EE"/>
            <w:u w:val="single"/>
          </w:rPr>
          <w:t>Êx 28.4–6</w:t>
        </w:r>
      </w:hyperlink>
      <w:r>
        <w:t xml:space="preserve">; </w:t>
      </w:r>
      <w:hyperlink r:id="rId12962">
        <w:r>
          <w:rPr>
            <w:color w:val="0000EE"/>
            <w:u w:val="single"/>
          </w:rPr>
          <w:t>39.1, 28–29</w:t>
        </w:r>
      </w:hyperlink>
      <w:r>
        <w:t>), provavelmente obteve o corante dos fenícios.</w:t>
      </w:r>
    </w:p>
    <w:p>
      <w:r/>
      <w:r>
        <w:t>O rei Salomão tinha relações de comércio significativas com a Fenícia. Para construir o templo em Jerusalém, cedro e abeto foram obtidos de Hirão I de Tiro (</w:t>
      </w:r>
      <w:hyperlink r:id="rId12963">
        <w:r>
          <w:rPr>
            <w:color w:val="0000EE"/>
            <w:u w:val="single"/>
          </w:rPr>
          <w:t>1Rs 5.6, 9, 14</w:t>
        </w:r>
      </w:hyperlink>
      <w:r>
        <w:t xml:space="preserve">; </w:t>
      </w:r>
      <w:hyperlink r:id="rId11469">
        <w:r>
          <w:rPr>
            <w:color w:val="0000EE"/>
            <w:u w:val="single"/>
          </w:rPr>
          <w:t>7.2</w:t>
        </w:r>
      </w:hyperlink>
      <w:r>
        <w:t xml:space="preserve">; </w:t>
      </w:r>
      <w:hyperlink r:id="rId12964">
        <w:r>
          <w:rPr>
            <w:color w:val="0000EE"/>
            <w:u w:val="single"/>
          </w:rPr>
          <w:t>10.17, 21</w:t>
        </w:r>
      </w:hyperlink>
      <w:r>
        <w:t xml:space="preserve">; </w:t>
      </w:r>
      <w:hyperlink r:id="rId11002">
        <w:r>
          <w:rPr>
            <w:color w:val="0000EE"/>
            <w:u w:val="single"/>
          </w:rPr>
          <w:t>2Cr 2.8, 16</w:t>
        </w:r>
      </w:hyperlink>
      <w:r>
        <w:t>). Salomão pagou por esta madeira em trigo e azeite (</w:t>
      </w:r>
      <w:hyperlink r:id="rId7163">
        <w:r>
          <w:rPr>
            <w:color w:val="0000EE"/>
            <w:u w:val="single"/>
          </w:rPr>
          <w:t>1Rs 5.11</w:t>
        </w:r>
      </w:hyperlink>
      <w:r>
        <w:t>). As árvores foram enviadas flutuando pelo mar até uma área dentro do território de Salomão e transportadas dali para Jerusalém. As árvores de cedro e abeto do Líbano e do Anti-Líbano forneciam navios para Tiro (</w:t>
      </w:r>
      <w:hyperlink r:id="rId1984">
        <w:r>
          <w:rPr>
            <w:color w:val="0000EE"/>
            <w:u w:val="single"/>
          </w:rPr>
          <w:t>Ez 27.5</w:t>
        </w:r>
      </w:hyperlink>
      <w:r>
        <w:t>), barcaças e móveis sagrados para o Egito e madeira para a construção do segundo templo em Jerusalém (</w:t>
      </w:r>
      <w:hyperlink r:id="rId4330">
        <w:r>
          <w:rPr>
            <w:color w:val="0000EE"/>
            <w:u w:val="single"/>
          </w:rPr>
          <w:t>Ed 3.7</w:t>
        </w:r>
      </w:hyperlink>
      <w:r>
        <w:t>).</w:t>
      </w:r>
    </w:p>
    <w:p>
      <w:r/>
      <w:r>
        <w:t xml:space="preserve">Dos portos do Líbano, os fenícios negociavam com muitas terras. Eles dominaram a arte da construção naval, e seus navios eram usados em tempos de paz e guerra. Uma imagem vívida das atividades dos negociantes de Tiro, Sidom, Gebal e Arvade é dada em </w:t>
      </w:r>
      <w:hyperlink r:id="rId9020">
        <w:r>
          <w:rPr>
            <w:color w:val="0000EE"/>
            <w:u w:val="single"/>
          </w:rPr>
          <w:t>Ezequiel 27</w:t>
        </w:r>
      </w:hyperlink>
      <w:r>
        <w:t>, onde a extensão e a natureza de seu comércio são dadas em detalhes consideráveis.</w:t>
      </w:r>
    </w:p>
    <w:p>
      <w:pPr>
        <w:pStyle w:val="Heading3"/>
      </w:pPr>
      <w:r>
        <w:t>História</w:t>
      </w:r>
    </w:p>
    <w:p>
      <w:r/>
      <w:r>
        <w:t>A área se tornou de interesse para os egípcios durante a quarta dinastia (ca. 2600 a.C.), quando o faraó Snefru adquiriu 40 cargas de cedro do Líbano. Biblos caiu sob influência egípcia durante a 12ª dinastia (ca. 1980–1800 a.C.) e os egípcios deram ornamentos de ouro em troca de cedro. Durante a 18ª dinastia (ca. 1552–1306 a.C.), o Egito conquistou a Síria, e os registros falam regularmente de cedro sendo tomado como tributo. Mais tarde, um enviado de Ramsés XI chamado Wenamon pagou caro pelo cedro (ca. 1100 a.C.).</w:t>
      </w:r>
    </w:p>
    <w:p>
      <w:r/>
      <w:r>
        <w:t>Quando o poder egípcio diminuiu, os Assírios controlavam a área e tomaram grandes quantidades de cedro como tributo dos dias de Tiglate-Pileser I (ca. 1100 a.C.) em diante. Nabucodonosor e a nação babilônica também controlavam o Líbano e tiravam grandes quantidades de cedro para construir templos e palácios. O danificar das florestas do Líbano foi mencionado por Isaías (</w:t>
      </w:r>
      <w:hyperlink r:id="rId12965">
        <w:r>
          <w:rPr>
            <w:color w:val="0000EE"/>
            <w:u w:val="single"/>
          </w:rPr>
          <w:t>Is 14.8</w:t>
        </w:r>
      </w:hyperlink>
      <w:r>
        <w:t>) e Habacuque (</w:t>
      </w:r>
      <w:hyperlink r:id="rId3312">
        <w:r>
          <w:rPr>
            <w:color w:val="0000EE"/>
            <w:u w:val="single"/>
          </w:rPr>
          <w:t>Hb 2.17</w:t>
        </w:r>
      </w:hyperlink>
      <w:r>
        <w:t>). Nos séculos posteriores, o Líbano passou sucessivamente sob o domínio dos persas, gregos e romanos.</w:t>
      </w:r>
    </w:p>
    <w:p>
      <w:r/>
      <w:r>
        <w:t>Nos tempos do NT, as cidades de Tiro e Sidom geralmente são acopladas (</w:t>
      </w:r>
      <w:hyperlink r:id="rId12966">
        <w:r>
          <w:rPr>
            <w:color w:val="0000EE"/>
            <w:u w:val="single"/>
          </w:rPr>
          <w:t>Mt 15.21</w:t>
        </w:r>
      </w:hyperlink>
      <w:r>
        <w:t xml:space="preserve">; </w:t>
      </w:r>
      <w:hyperlink r:id="rId12967">
        <w:r>
          <w:rPr>
            <w:color w:val="0000EE"/>
            <w:u w:val="single"/>
          </w:rPr>
          <w:t>Mc 3.8</w:t>
        </w:r>
      </w:hyperlink>
      <w:r>
        <w:t xml:space="preserve">; </w:t>
      </w:r>
      <w:hyperlink r:id="rId12968">
        <w:r>
          <w:rPr>
            <w:color w:val="0000EE"/>
            <w:u w:val="single"/>
          </w:rPr>
          <w:t>7.24,31</w:t>
        </w:r>
      </w:hyperlink>
      <w:r>
        <w:t xml:space="preserve">; </w:t>
      </w:r>
      <w:hyperlink r:id="rId12969">
        <w:r>
          <w:rPr>
            <w:color w:val="0000EE"/>
            <w:u w:val="single"/>
          </w:rPr>
          <w:t>Lc 6.17</w:t>
        </w:r>
      </w:hyperlink>
      <w:r>
        <w:t xml:space="preserve">; </w:t>
      </w:r>
      <w:hyperlink r:id="rId12970">
        <w:r>
          <w:rPr>
            <w:color w:val="0000EE"/>
            <w:u w:val="single"/>
          </w:rPr>
          <w:t>10.13–14</w:t>
        </w:r>
      </w:hyperlink>
      <w:r>
        <w:t xml:space="preserve">; </w:t>
      </w:r>
      <w:hyperlink r:id="rId3822">
        <w:r>
          <w:rPr>
            <w:color w:val="0000EE"/>
            <w:u w:val="single"/>
          </w:rPr>
          <w:t>Atos 12.20</w:t>
        </w:r>
      </w:hyperlink>
      <w:r>
        <w:t xml:space="preserve">), embora às vezes elas sejam referidas sozinhas </w:t>
      </w:r>
      <w:hyperlink r:id="rId4836">
        <w:r>
          <w:rPr>
            <w:color w:val="0000EE"/>
            <w:u w:val="single"/>
          </w:rPr>
          <w:t>Atos 21.3, 7</w:t>
        </w:r>
      </w:hyperlink>
      <w:r>
        <w:t xml:space="preserve">. Uma mulher grega que era siro-fenícia é referida em </w:t>
      </w:r>
      <w:hyperlink r:id="rId10206">
        <w:r>
          <w:rPr>
            <w:color w:val="0000EE"/>
            <w:u w:val="single"/>
          </w:rPr>
          <w:t>Marcos 7.26</w:t>
        </w:r>
      </w:hyperlink>
      <w:r>
        <w:t>. Jesus pregou nessas áreas durante seu ministério. Na poesia bíblica, os altos cedros do Líbano eram um símbolo de majestade e força (</w:t>
      </w:r>
      <w:hyperlink r:id="rId12971">
        <w:r>
          <w:rPr>
            <w:color w:val="0000EE"/>
            <w:u w:val="single"/>
          </w:rPr>
          <w:t>Jz 9.15</w:t>
        </w:r>
      </w:hyperlink>
      <w:r>
        <w:t xml:space="preserve">; </w:t>
      </w:r>
      <w:hyperlink r:id="rId12972">
        <w:r>
          <w:rPr>
            <w:color w:val="0000EE"/>
            <w:u w:val="single"/>
          </w:rPr>
          <w:t>2Rs 14.9</w:t>
        </w:r>
      </w:hyperlink>
      <w:r>
        <w:t xml:space="preserve">; </w:t>
      </w:r>
      <w:hyperlink r:id="rId5250">
        <w:r>
          <w:rPr>
            <w:color w:val="0000EE"/>
            <w:u w:val="single"/>
          </w:rPr>
          <w:t>Sl 92.12</w:t>
        </w:r>
      </w:hyperlink>
      <w:r>
        <w:t xml:space="preserve">; </w:t>
      </w:r>
      <w:hyperlink r:id="rId3361">
        <w:r>
          <w:rPr>
            <w:color w:val="0000EE"/>
            <w:u w:val="single"/>
          </w:rPr>
          <w:t>104.16</w:t>
        </w:r>
      </w:hyperlink>
      <w:r>
        <w:t xml:space="preserve">; </w:t>
      </w:r>
      <w:hyperlink r:id="rId12973">
        <w:r>
          <w:rPr>
            <w:color w:val="0000EE"/>
            <w:u w:val="single"/>
          </w:rPr>
          <w:t>Is 35.2</w:t>
        </w:r>
      </w:hyperlink>
      <w:r>
        <w:t xml:space="preserve">; </w:t>
      </w:r>
      <w:hyperlink r:id="rId3362">
        <w:r>
          <w:rPr>
            <w:color w:val="0000EE"/>
            <w:u w:val="single"/>
          </w:rPr>
          <w:t>60.13</w:t>
        </w:r>
      </w:hyperlink>
      <w:r>
        <w:t>). Eles também eram um símbolo de orgulho terreno que seria quebrado diante da ira de Deus um dia (</w:t>
      </w:r>
      <w:hyperlink r:id="rId12974">
        <w:r>
          <w:rPr>
            <w:color w:val="0000EE"/>
            <w:u w:val="single"/>
          </w:rPr>
          <w:t>Sl 29.5</w:t>
        </w:r>
      </w:hyperlink>
      <w:r>
        <w:t xml:space="preserve">; </w:t>
      </w:r>
      <w:hyperlink r:id="rId12975">
        <w:r>
          <w:rPr>
            <w:color w:val="0000EE"/>
            <w:u w:val="single"/>
          </w:rPr>
          <w:t>Is 2.13</w:t>
        </w:r>
      </w:hyperlink>
      <w:r>
        <w:t xml:space="preserve">; </w:t>
      </w:r>
      <w:hyperlink r:id="rId12976">
        <w:r>
          <w:rPr>
            <w:color w:val="0000EE"/>
            <w:u w:val="single"/>
          </w:rPr>
          <w:t>10.34</w:t>
        </w:r>
      </w:hyperlink>
      <w:r>
        <w:t xml:space="preserve">; </w:t>
      </w:r>
      <w:hyperlink r:id="rId9951">
        <w:r>
          <w:rPr>
            <w:color w:val="0000EE"/>
            <w:u w:val="single"/>
          </w:rPr>
          <w:t>Jr 22.6</w:t>
        </w:r>
      </w:hyperlink>
      <w:r>
        <w:t xml:space="preserve">; </w:t>
      </w:r>
      <w:hyperlink r:id="rId12977">
        <w:r>
          <w:rPr>
            <w:color w:val="0000EE"/>
            <w:u w:val="single"/>
          </w:rPr>
          <w:t>Ez 31.3</w:t>
        </w:r>
      </w:hyperlink>
      <w:r>
        <w:t>).</w:t>
      </w:r>
      <w:r/>
      <w:r/>
    </w:p>
    <w:p>
      <w:r/>
    </w:p>
    <w:p>
      <w:pPr>
        <w:pStyle w:val="Heading2"/>
      </w:pPr>
      <w:r>
        <w:t>Liberdade</w:t>
      </w:r>
      <w:r/>
    </w:p>
    <w:p>
      <w:r/>
      <w:r>
        <w:t>A qualidade ou estado de ser livre. No mundo antigo, a escravidão era comum. A lei de Moisés estabelecia que um escravo hebreu poderia servir por seis anos e seria libertado no sétimo ano (</w:t>
      </w:r>
      <w:hyperlink r:id="rId7381">
        <w:r>
          <w:rPr>
            <w:color w:val="0000EE"/>
            <w:u w:val="single"/>
          </w:rPr>
          <w:t>Êx 21.2</w:t>
        </w:r>
      </w:hyperlink>
      <w:r>
        <w:t xml:space="preserve">). Esta lei é o contexto para </w:t>
      </w:r>
      <w:hyperlink r:id="rId12978">
        <w:r>
          <w:rPr>
            <w:color w:val="0000EE"/>
            <w:u w:val="single"/>
          </w:rPr>
          <w:t>Jeremias 34.</w:t>
        </w:r>
      </w:hyperlink>
      <w:r>
        <w:t xml:space="preserve"> Jeremias deixa duas coisas claras: as pessoas conheciam a lei, mas muitos não a obedeciam. Mesmo assim, a lei mostrava que a liberdade era importante. Após cada 49 anos, havia um ano especial chamado jubileu. Durante esse tempo, todas as propriedades retornariam aos seus proprietários originais e os escravos seriam libertados (</w:t>
      </w:r>
      <w:hyperlink r:id="rId12979">
        <w:r>
          <w:rPr>
            <w:color w:val="0000EE"/>
            <w:u w:val="single"/>
          </w:rPr>
          <w:t>Lv 25.8–24</w:t>
        </w:r>
      </w:hyperlink>
      <w:r>
        <w:t xml:space="preserve">; compare </w:t>
      </w:r>
      <w:hyperlink r:id="rId12980">
        <w:r>
          <w:rPr>
            <w:color w:val="0000EE"/>
            <w:u w:val="single"/>
          </w:rPr>
          <w:t>Ez 46.17</w:t>
        </w:r>
      </w:hyperlink>
      <w:r>
        <w:t>).</w:t>
      </w:r>
    </w:p>
    <w:p>
      <w:pPr>
        <w:pStyle w:val="Heading3"/>
      </w:pPr>
      <w:r>
        <w:t>Liberdade para os escravos</w:t>
      </w:r>
    </w:p>
    <w:p>
      <w:r/>
      <w:r>
        <w:t>A liberdade pode ser concedida a um escravo por outras razões. O escravo deve ser libertado se o proprietário causar a perda de um olho ou dente do escravo (</w:t>
      </w:r>
      <w:hyperlink r:id="rId7217">
        <w:r>
          <w:rPr>
            <w:color w:val="0000EE"/>
            <w:u w:val="single"/>
          </w:rPr>
          <w:t>Êx 21.26–27</w:t>
        </w:r>
      </w:hyperlink>
      <w:r>
        <w:t>). Jó reflete que no Sheol ou na morte “o escravo está livre de seu mestre” (</w:t>
      </w:r>
      <w:hyperlink r:id="rId12981">
        <w:r>
          <w:rPr>
            <w:color w:val="0000EE"/>
            <w:u w:val="single"/>
          </w:rPr>
          <w:t>Jó 3.19</w:t>
        </w:r>
      </w:hyperlink>
      <w:r>
        <w:t>). Em outro versículo, ele expressa gratidão pela liberdade do jumento selvagem (</w:t>
      </w:r>
      <w:hyperlink r:id="rId12982">
        <w:r>
          <w:rPr>
            <w:color w:val="0000EE"/>
            <w:u w:val="single"/>
          </w:rPr>
          <w:t>39.5</w:t>
        </w:r>
      </w:hyperlink>
      <w:r>
        <w:t>).</w:t>
      </w:r>
    </w:p>
    <w:p>
      <w:pPr>
        <w:pStyle w:val="Heading3"/>
      </w:pPr>
      <w:r>
        <w:t>O Messias e a liberdade</w:t>
      </w:r>
    </w:p>
    <w:p>
      <w:r/>
      <w:r>
        <w:t>Quando o Messias (o escolhido de Deus) vier, uma de suas tarefas será “proclamar liberdade aos cativos” (</w:t>
      </w:r>
      <w:hyperlink r:id="rId8373">
        <w:r>
          <w:rPr>
            <w:color w:val="0000EE"/>
            <w:u w:val="single"/>
          </w:rPr>
          <w:t>Is 61.1</w:t>
        </w:r>
      </w:hyperlink>
      <w:r>
        <w:t>). Os crentes do Antigo Testamento pensavam nessa liberdade em termos de libertação do domínio estrangeiro. No entanto, o Messias está focado principalmente em libertar os espíritos das pessoas. Liberdade é um modo de vida diante de Deus. É também uma libertação do pecado.</w:t>
      </w:r>
    </w:p>
    <w:p>
      <w:pPr>
        <w:pStyle w:val="Heading3"/>
      </w:pPr>
      <w:r>
        <w:t>Liberdade no Novo Testamento</w:t>
      </w:r>
    </w:p>
    <w:p>
      <w:r/>
      <w:r>
        <w:t xml:space="preserve">No Novo Testamento, a liberdade às vezes é vista como uma libertação literal do cativeiro. Por exemplo, todos os quatro Evangelhos referem-se ao costume judaico de libertar um prisioneiro na Páscoa (veja </w:t>
      </w:r>
      <w:hyperlink r:id="rId3142">
        <w:r>
          <w:rPr>
            <w:color w:val="0000EE"/>
            <w:u w:val="single"/>
          </w:rPr>
          <w:t>Mc 15.6–15</w:t>
        </w:r>
      </w:hyperlink>
      <w:r>
        <w:t xml:space="preserve">). Há também referências à libertação de prisioneiros (veja </w:t>
      </w:r>
      <w:hyperlink r:id="rId12983">
        <w:r>
          <w:rPr>
            <w:color w:val="0000EE"/>
            <w:u w:val="single"/>
          </w:rPr>
          <w:t>At 3.13</w:t>
        </w:r>
      </w:hyperlink>
      <w:r>
        <w:t xml:space="preserve">; </w:t>
      </w:r>
      <w:hyperlink r:id="rId12984">
        <w:r>
          <w:rPr>
            <w:color w:val="0000EE"/>
            <w:u w:val="single"/>
          </w:rPr>
          <w:t>16.35</w:t>
        </w:r>
      </w:hyperlink>
      <w:r>
        <w:t>). Paulo encorajou escravos cristãos a conquistarem sua liberdade, se pudessem (</w:t>
      </w:r>
      <w:hyperlink r:id="rId9365">
        <w:r>
          <w:rPr>
            <w:color w:val="0000EE"/>
            <w:u w:val="single"/>
          </w:rPr>
          <w:t>1Co 7.21</w:t>
        </w:r>
      </w:hyperlink>
      <w:r>
        <w:t xml:space="preserve">). Ele pediu a um proprietário de escravos, Filemom, que libertasse o escravo Onésimo. Onésimo era um escravo que fugiu (veja </w:t>
      </w:r>
      <w:hyperlink r:id="rId12985">
        <w:r>
          <w:rPr>
            <w:color w:val="0000EE"/>
            <w:u w:val="single"/>
          </w:rPr>
          <w:t>Fm</w:t>
        </w:r>
      </w:hyperlink>
      <w:r>
        <w:t>). Paulo não argumentou pela liberdade da escravidão como parte do evangelho cristão. Em vez disso, ele enfatizou a liberdade em Cristo para todos os crentes. Todos são livres em Cristo, tanto os que são livres quanto os que são escravos.</w:t>
      </w:r>
    </w:p>
    <w:p>
      <w:pPr>
        <w:pStyle w:val="Heading3"/>
      </w:pPr>
      <w:r>
        <w:t>Verdadeira liberdade por meio de Jesus</w:t>
      </w:r>
    </w:p>
    <w:p>
      <w:r/>
      <w:r>
        <w:t>A liberdade que realmente importa é a que Jesus oferece. Jesus afirma que as pessoas são verdadeiramente livres quando o Filho as liberta (</w:t>
      </w:r>
      <w:hyperlink r:id="rId12986">
        <w:r>
          <w:rPr>
            <w:color w:val="0000EE"/>
            <w:u w:val="single"/>
          </w:rPr>
          <w:t>Jó 8.36</w:t>
        </w:r>
      </w:hyperlink>
      <w:r>
        <w:t>). Paulo celebra a liberdade que Jesus Cristo traz (</w:t>
      </w:r>
      <w:hyperlink r:id="rId12987">
        <w:r>
          <w:rPr>
            <w:color w:val="0000EE"/>
            <w:u w:val="single"/>
          </w:rPr>
          <w:t>Rm 7.24–25</w:t>
        </w:r>
      </w:hyperlink>
      <w:r>
        <w:t>). A mesma ideia pode ser expressa ao dizer que a verdade liberta as pessoas (</w:t>
      </w:r>
      <w:hyperlink r:id="rId12988">
        <w:r>
          <w:rPr>
            <w:color w:val="0000EE"/>
            <w:u w:val="single"/>
          </w:rPr>
          <w:t>Jó 8.32</w:t>
        </w:r>
      </w:hyperlink>
      <w:r>
        <w:t>). É importante entender essas palavras, pois Jesus é a própria verdade (</w:t>
      </w:r>
      <w:hyperlink r:id="rId408">
        <w:r>
          <w:rPr>
            <w:color w:val="0000EE"/>
            <w:u w:val="single"/>
          </w:rPr>
          <w:t>Jó 14.6</w:t>
        </w:r>
      </w:hyperlink>
      <w:r>
        <w:t>). Este não é o conceito filosófico de que o erro escraviza os homens enquanto a verdade tem um efeito libertador. A verdade aqui é aquela que está associada a Jesus, “a palavra da verdade, o evangelho” (</w:t>
      </w:r>
      <w:hyperlink r:id="rId5127">
        <w:r>
          <w:rPr>
            <w:color w:val="0000EE"/>
            <w:u w:val="single"/>
          </w:rPr>
          <w:t>Cl 1.5</w:t>
        </w:r>
      </w:hyperlink>
      <w:r>
        <w:t>). Paulo afirma: “Ora, o Senhor é o Espírito, e onde está o Espírito do Senhor, aí há liberdade” (</w:t>
      </w:r>
      <w:hyperlink r:id="rId8432">
        <w:r>
          <w:rPr>
            <w:color w:val="0000EE"/>
            <w:u w:val="single"/>
          </w:rPr>
          <w:t>2Co 3.17</w:t>
        </w:r>
      </w:hyperlink>
      <w:r>
        <w:t>).</w:t>
      </w:r>
    </w:p>
    <w:p>
      <w:pPr>
        <w:pStyle w:val="Heading3"/>
      </w:pPr>
      <w:r>
        <w:t>Liberdade do pecado</w:t>
      </w:r>
    </w:p>
    <w:p>
      <w:r/>
      <w:r>
        <w:t>O Novo Testamento argumenta que as pessoas, por si mesmas, não conseguem derrotar o pecado. O mundo moderno é prova disso. Podemos tentar fazer o bem, mas o mal é poderoso demais para nós. Não conseguimos fazer o bem que desejamos (</w:t>
      </w:r>
      <w:hyperlink r:id="rId12989">
        <w:r>
          <w:rPr>
            <w:color w:val="0000EE"/>
            <w:u w:val="single"/>
          </w:rPr>
          <w:t>Rm 7.21–23</w:t>
        </w:r>
      </w:hyperlink>
      <w:r>
        <w:t>). No entanto, por causa da obra salvadora de Cristo, o poder do pecado é quebrado. “Porque em Cristo Jesus a lei do Espírito de vida te libertou da lei do pecado e da morte.” (</w:t>
      </w:r>
      <w:hyperlink r:id="rId4302">
        <w:r>
          <w:rPr>
            <w:color w:val="0000EE"/>
            <w:u w:val="single"/>
          </w:rPr>
          <w:t>Rm 8.2</w:t>
        </w:r>
      </w:hyperlink>
      <w:r>
        <w:t>). Esta verdade é apresentada muitas vezes e expressa de diferentes maneiras.</w:t>
      </w:r>
    </w:p>
    <w:p>
      <w:pPr>
        <w:pStyle w:val="Heading3"/>
      </w:pPr>
      <w:r>
        <w:t>Liberdade da lei religiosa</w:t>
      </w:r>
    </w:p>
    <w:p>
      <w:r/>
      <w:r>
        <w:t>Há outra liberdade que pertence ao cristão. Os cristãos são libertos da lei. No primeiro século, muitos viam o caminho da salvação como a observância dos mandamentos de Deus. Isso era frequentemente incentivado entre alguns judeus. Alguns dos primeiros cristãos parecem ter adotado essa ideia deles. A ideia parece óbvia: se levarmos vidas boas, estaremos bem com Deus.</w:t>
      </w:r>
    </w:p>
    <w:p>
      <w:r/>
      <w:r>
        <w:t>O problema com essa posição é que não levamos vidas boas. O pecado é muito forte. Há um problema adicional. Jesus não morreu pelo caminho da lei. Isso é enfatizado especialmente em Gálatas. Paulo argumenta fortemente que a salvação não é pelo caminho da lei, mas pela fé (</w:t>
      </w:r>
      <w:hyperlink r:id="rId4414">
        <w:r>
          <w:rPr>
            <w:color w:val="0000EE"/>
            <w:u w:val="single"/>
          </w:rPr>
          <w:t>Rm 4</w:t>
        </w:r>
      </w:hyperlink>
      <w:r>
        <w:t xml:space="preserve">; </w:t>
      </w:r>
      <w:hyperlink r:id="rId12990">
        <w:r>
          <w:rPr>
            <w:color w:val="0000EE"/>
            <w:u w:val="single"/>
          </w:rPr>
          <w:t>Gl 3</w:t>
        </w:r>
      </w:hyperlink>
      <w:r>
        <w:t>). Ele reclama das pessoas que se infiltraram para espionar a liberdade que tinham em Cristo Jesus (</w:t>
      </w:r>
      <w:hyperlink r:id="rId12991">
        <w:r>
          <w:rPr>
            <w:color w:val="0000EE"/>
            <w:u w:val="single"/>
          </w:rPr>
          <w:t>Gl 2.4</w:t>
        </w:r>
      </w:hyperlink>
      <w:r>
        <w:t>). Ele aponta que, já que Cristo nos libertou, não devemos nos submeter a qualquer forma de escravidão (</w:t>
      </w:r>
      <w:hyperlink r:id="rId9142">
        <w:r>
          <w:rPr>
            <w:color w:val="0000EE"/>
            <w:u w:val="single"/>
          </w:rPr>
          <w:t>5.1</w:t>
        </w:r>
      </w:hyperlink>
      <w:r>
        <w:t>).</w:t>
      </w:r>
    </w:p>
    <w:p>
      <w:pPr>
        <w:pStyle w:val="Heading3"/>
      </w:pPr>
      <w:r>
        <w:t>Liberdade para a criação</w:t>
      </w:r>
    </w:p>
    <w:p>
      <w:r/>
      <w:r>
        <w:t>Paulo escreveu que um dia, toda a criação será "libertada da escravidão da corrupção" (</w:t>
      </w:r>
      <w:hyperlink r:id="rId10061">
        <w:r>
          <w:rPr>
            <w:color w:val="0000EE"/>
            <w:u w:val="single"/>
          </w:rPr>
          <w:t>Rm 8.21</w:t>
        </w:r>
      </w:hyperlink>
      <w:r>
        <w:t>). A criação, de alguma forma, compartilhará da liberdade da glória dos filhos de Deus. Isso aponta para um futuro maravilhoso para a criação. E não devemos perder de vista a “glória” que a liberdade dos filhos de Deus representa.</w:t>
      </w:r>
    </w:p>
    <w:p>
      <w:pPr>
        <w:pStyle w:val="Heading3"/>
      </w:pPr>
      <w:r>
        <w:t>Usando a liberdade com sabedoria</w:t>
      </w:r>
    </w:p>
    <w:p>
      <w:r/>
      <w:r>
        <w:t>Podemos desejar aproveitar a liberdade, já que não fazemos nada para ganhar nossa salvação. A Bíblia nos adverte a não abusar de nossa liberdade (</w:t>
      </w:r>
      <w:hyperlink r:id="rId4318">
        <w:r>
          <w:rPr>
            <w:color w:val="0000EE"/>
            <w:u w:val="single"/>
          </w:rPr>
          <w:t>Rm 6.1–4</w:t>
        </w:r>
      </w:hyperlink>
      <w:r>
        <w:t xml:space="preserve">; </w:t>
      </w:r>
      <w:hyperlink r:id="rId4355">
        <w:r>
          <w:rPr>
            <w:color w:val="0000EE"/>
            <w:u w:val="single"/>
          </w:rPr>
          <w:t>Gl 5.13</w:t>
        </w:r>
      </w:hyperlink>
      <w:r>
        <w:t xml:space="preserve">; </w:t>
      </w:r>
      <w:hyperlink r:id="rId12992">
        <w:r>
          <w:rPr>
            <w:color w:val="0000EE"/>
            <w:u w:val="single"/>
          </w:rPr>
          <w:t>1Pe 2.16</w:t>
        </w:r>
      </w:hyperlink>
      <w:r>
        <w:t>). Devemos viver como pessoas livres. Não devemos transformar nossa liberdade em um meio de nos tornarmos escravos do pecado.</w:t>
      </w:r>
    </w:p>
    <w:p>
      <w:r/>
      <w:r>
        <w:rPr>
          <w:i/>
        </w:rPr>
        <w:t>Veja também</w:t>
      </w:r>
      <w:r>
        <w:t xml:space="preserve"> </w:t>
      </w:r>
      <w:r>
        <w:t>Escravo, escravidão</w:t>
      </w:r>
      <w:r>
        <w:t>.</w:t>
      </w:r>
      <w:r/>
      <w:r/>
    </w:p>
    <w:p>
      <w:r/>
    </w:p>
    <w:p>
      <w:pPr>
        <w:pStyle w:val="Heading2"/>
      </w:pPr>
      <w:r>
        <w:t>Libertação, libertador</w:t>
      </w:r>
      <w:r/>
    </w:p>
    <w:p>
      <w:r/>
      <w:r>
        <w:t>Libertação significa resgatar ou salvar alguém. Um libertador é a pessoa que realiza o resgate. As Escrituras ensinam que o objetivo final de Deus é resgatar as pessoas da maldição do pecado, da morte, de Satanás e do inferno.</w:t>
      </w:r>
    </w:p>
    <w:p>
      <w:pPr>
        <w:pStyle w:val="Heading3"/>
      </w:pPr>
      <w:r>
        <w:t>Libertação no Antigo Testamento</w:t>
      </w:r>
    </w:p>
    <w:p>
      <w:r/>
      <w:r>
        <w:t>O Antigo Testamento mostra Deus libertando Seu povo escolhido de três coisas:</w:t>
      </w:r>
    </w:p>
    <w:p>
      <w:pPr>
        <w:pStyle w:val="ListNumber"/>
        <w:spacing w:line="240" w:lineRule="auto"/>
        <w:ind w:left="720"/>
      </w:pPr>
      <w:r/>
      <w:r>
        <w:t>Escravidão no Egito;</w:t>
      </w:r>
    </w:p>
    <w:p>
      <w:pPr>
        <w:pStyle w:val="ListNumber"/>
        <w:spacing w:line="240" w:lineRule="auto"/>
        <w:ind w:left="720"/>
      </w:pPr>
      <w:r/>
      <w:r>
        <w:t>Estando em cativeiro na Babilônia;</w:t>
      </w:r>
    </w:p>
    <w:p>
      <w:pPr>
        <w:pStyle w:val="ListNumber"/>
        <w:spacing w:line="240" w:lineRule="auto"/>
        <w:ind w:left="720"/>
      </w:pPr>
      <w:r/>
      <w:r>
        <w:t>Sendo atacado por diferentes grupos que vivem na Palestina.</w:t>
      </w:r>
    </w:p>
    <w:p>
      <w:r/>
      <w:r>
        <w:t>Os cristãos veem esses resgates como uma referência a Jesus Cristo. Jesus é o maior libertador (resgatador) de todos.</w:t>
      </w:r>
    </w:p>
    <w:p>
      <w:r/>
      <w:r>
        <w:t>O substantivo “libertador” aparece muitas vezes no Antigo Testamento. Em três ocasiões, a palavra se refere a um ser humano:</w:t>
      </w:r>
    </w:p>
    <w:p>
      <w:pPr>
        <w:pStyle w:val="ListNumber"/>
        <w:spacing w:line="240" w:lineRule="auto"/>
        <w:ind w:left="720"/>
      </w:pPr>
      <w:r/>
      <w:r>
        <w:t>Otniel libertou Israel da opressão de Cusã-Risataim, rei da Mesopotâmia (</w:t>
      </w:r>
      <w:hyperlink r:id="rId12993">
        <w:r>
          <w:rPr>
            <w:color w:val="0000EE"/>
            <w:u w:val="single"/>
          </w:rPr>
          <w:t>Jz 3.8–10</w:t>
        </w:r>
      </w:hyperlink>
      <w:r>
        <w:t>);</w:t>
      </w:r>
    </w:p>
    <w:p>
      <w:pPr>
        <w:pStyle w:val="ListNumber"/>
        <w:spacing w:line="240" w:lineRule="auto"/>
        <w:ind w:left="720"/>
      </w:pPr>
      <w:r/>
      <w:r>
        <w:t>Eúde libertou Israel de Eglom, rei de Moabe (</w:t>
      </w:r>
      <w:hyperlink r:id="rId12994">
        <w:r>
          <w:rPr>
            <w:color w:val="0000EE"/>
            <w:u w:val="single"/>
          </w:rPr>
          <w:t>Jz 3.15,30</w:t>
        </w:r>
      </w:hyperlink>
      <w:r>
        <w:t>);</w:t>
      </w:r>
    </w:p>
    <w:p>
      <w:pPr>
        <w:pStyle w:val="ListNumber"/>
        <w:spacing w:line="240" w:lineRule="auto"/>
        <w:ind w:left="720"/>
      </w:pPr>
      <w:r/>
      <w:hyperlink r:id="rId6476">
        <w:r>
          <w:rPr>
            <w:color w:val="0000EE"/>
            <w:u w:val="single"/>
          </w:rPr>
          <w:t>Juízes 18.27–29</w:t>
        </w:r>
      </w:hyperlink>
      <w:r>
        <w:t xml:space="preserve"> afirma que “não havia ninguém para livrar” Laís da conquista pela tribo de Dã.</w:t>
      </w:r>
    </w:p>
    <w:p>
      <w:r/>
      <w:r>
        <w:t>Outros usos de "libertador" referem-se ao próprio Deus como um libertador pessoal de seu povo (</w:t>
      </w:r>
      <w:hyperlink r:id="rId12995">
        <w:r>
          <w:rPr>
            <w:color w:val="0000EE"/>
            <w:u w:val="single"/>
          </w:rPr>
          <w:t>2Sm 22.2</w:t>
        </w:r>
      </w:hyperlink>
      <w:r>
        <w:t xml:space="preserve">; </w:t>
      </w:r>
      <w:hyperlink r:id="rId4817">
        <w:r>
          <w:rPr>
            <w:color w:val="0000EE"/>
            <w:u w:val="single"/>
          </w:rPr>
          <w:t>Sl 18.2</w:t>
        </w:r>
      </w:hyperlink>
      <w:r>
        <w:t xml:space="preserve">; </w:t>
      </w:r>
      <w:hyperlink r:id="rId12996">
        <w:r>
          <w:rPr>
            <w:color w:val="0000EE"/>
            <w:u w:val="single"/>
          </w:rPr>
          <w:t>40.17</w:t>
        </w:r>
      </w:hyperlink>
      <w:r>
        <w:t xml:space="preserve">; </w:t>
      </w:r>
      <w:hyperlink r:id="rId12997">
        <w:r>
          <w:rPr>
            <w:color w:val="0000EE"/>
            <w:u w:val="single"/>
          </w:rPr>
          <w:t>70.5</w:t>
        </w:r>
      </w:hyperlink>
      <w:r>
        <w:t xml:space="preserve">; </w:t>
      </w:r>
      <w:hyperlink r:id="rId12998">
        <w:r>
          <w:rPr>
            <w:color w:val="0000EE"/>
            <w:u w:val="single"/>
          </w:rPr>
          <w:t>144.2</w:t>
        </w:r>
      </w:hyperlink>
      <w:r>
        <w:t>).</w:t>
      </w:r>
    </w:p>
    <w:p>
      <w:r/>
      <w:r>
        <w:t>O conceito básico do Antigo Testamento de libertador é expresso por uma palavra hebraica que significa "parente próximo". Um parente próximo era responsável por ajudar um indivíduo em dificuldade e redimi-lo da escravidão. Deus enviou ajuda quando seu povo estava em perigo. Ele também agiu como seu libertador no Êxodo do Egito (</w:t>
      </w:r>
      <w:hyperlink r:id="rId12999">
        <w:r>
          <w:rPr>
            <w:color w:val="0000EE"/>
            <w:u w:val="single"/>
          </w:rPr>
          <w:t>Êx 3.7,8</w:t>
        </w:r>
      </w:hyperlink>
      <w:r>
        <w:t>).</w:t>
      </w:r>
    </w:p>
    <w:p>
      <w:pPr>
        <w:pStyle w:val="Heading3"/>
      </w:pPr>
      <w:r>
        <w:t>Libertação no Novo Testamento</w:t>
      </w:r>
    </w:p>
    <w:p>
      <w:r/>
      <w:r>
        <w:t>No Novo Testamento, Jesus citou uma passagem messiânica (</w:t>
      </w:r>
      <w:hyperlink r:id="rId6412">
        <w:r>
          <w:rPr>
            <w:color w:val="0000EE"/>
            <w:u w:val="single"/>
          </w:rPr>
          <w:t>Is 61.1,2</w:t>
        </w:r>
      </w:hyperlink>
      <w:r>
        <w:t>) como descrevendo sua missão de proclamar libertação (ou livramento) aos cativos (</w:t>
      </w:r>
      <w:hyperlink r:id="rId1168">
        <w:r>
          <w:rPr>
            <w:color w:val="0000EE"/>
            <w:u w:val="single"/>
          </w:rPr>
          <w:t>Lc 4.18</w:t>
        </w:r>
      </w:hyperlink>
      <w:r>
        <w:t xml:space="preserve">). Em </w:t>
      </w:r>
      <w:hyperlink r:id="rId13000">
        <w:r>
          <w:rPr>
            <w:color w:val="0000EE"/>
            <w:u w:val="single"/>
          </w:rPr>
          <w:t>At 7.35</w:t>
        </w:r>
      </w:hyperlink>
      <w:r>
        <w:t xml:space="preserve">, Moisés é chamado de libertador de Israel. Em </w:t>
      </w:r>
      <w:hyperlink r:id="rId13001">
        <w:r>
          <w:rPr>
            <w:color w:val="0000EE"/>
            <w:u w:val="single"/>
          </w:rPr>
          <w:t>Romanos 11.26</w:t>
        </w:r>
      </w:hyperlink>
      <w:r>
        <w:t xml:space="preserve">, o apóstolo Paulo parafraseou </w:t>
      </w:r>
      <w:hyperlink r:id="rId13002">
        <w:r>
          <w:rPr>
            <w:color w:val="0000EE"/>
            <w:u w:val="single"/>
          </w:rPr>
          <w:t>Isaías 59.20</w:t>
        </w:r>
      </w:hyperlink>
      <w:r>
        <w:t>, dizendo: “Eu virei a Sião como Redentor.” Isso se refere a Jesus Cristo.</w:t>
      </w:r>
    </w:p>
    <w:p>
      <w:r/>
      <w:r>
        <w:rPr>
          <w:i/>
        </w:rPr>
        <w:t>Veja também</w:t>
      </w:r>
      <w:r>
        <w:t xml:space="preserve"> </w:t>
      </w:r>
      <w:r>
        <w:t>Messias</w:t>
      </w:r>
      <w:r>
        <w:t xml:space="preserve">; </w:t>
      </w:r>
      <w:r>
        <w:t>Redentor, redenção</w:t>
      </w:r>
      <w:r>
        <w:t>.</w:t>
      </w:r>
      <w:r/>
      <w:r/>
    </w:p>
    <w:p>
      <w:r/>
    </w:p>
    <w:p>
      <w:pPr>
        <w:pStyle w:val="Heading2"/>
      </w:pPr>
      <w:r>
        <w:t>Libertinos</w:t>
      </w:r>
      <w:r/>
    </w:p>
    <w:p>
      <w:r/>
      <w:r>
        <w:t xml:space="preserve">Um libertino era um escravo liberto de origem judaica. A única referência a libertinos no Novo Testamento está em </w:t>
      </w:r>
      <w:hyperlink r:id="rId743">
        <w:r>
          <w:rPr>
            <w:color w:val="0000EE"/>
            <w:u w:val="single"/>
          </w:rPr>
          <w:t>At 6.9</w:t>
        </w:r>
      </w:hyperlink>
      <w:r>
        <w:t xml:space="preserve"> (em uma versão mais literal). A maioria das versões modernas da Bíblia traduz este termo latino como "Homens Livres" (NTLH) porque se refere ao seu status legal, não a uma localização geográfica.</w:t>
      </w:r>
    </w:p>
    <w:p>
      <w:r/>
      <w:r>
        <w:t>Libertinos aparecem com grupos de várias partes do império. Isso poderia significar que os libertinos eram um grupo da região de Liberatum, no Norte da África. Naquela época, essa região estava sob jurisdição romana. No entanto, uma compreensão mais provável é que as pessoas que se reuniam na sinagoga dos libertinos eram judeus que foram ex-escravos. Filo, um judeu helenístico de Alexandria, escreve sobre judeus que Pompeu capturou durante suas conquistas e depois levou para Roma em 63 a.C. Ele os vendeu como escravos, mas mais tarde eles se tornaram livres. Quando libertados, esses judeus se estabeleceram em várias partes do império: Cirene, Alexandria, Cilícia e Ásia.</w:t>
      </w:r>
    </w:p>
    <w:p>
      <w:r/>
      <w:r>
        <w:t xml:space="preserve">De acordo com </w:t>
      </w:r>
      <w:hyperlink r:id="rId743">
        <w:r>
          <w:rPr>
            <w:color w:val="0000EE"/>
            <w:u w:val="single"/>
          </w:rPr>
          <w:t>At 6.9</w:t>
        </w:r>
      </w:hyperlink>
      <w:r>
        <w:t xml:space="preserve">, esses judeus de língua grega adoravam em uma sinagoga própria em Jerusalém. Eles não conseguiam falar o aramaico de seus compatriotas palestinos. Em 1913, R. Weill encontrou uma inscrição em Jerusalém relacionada a um certo Teódoto, filho de Vettenos. A inscrição refere-se a uma sinagoga que se encaixa na descrição de </w:t>
      </w:r>
      <w:hyperlink r:id="rId743">
        <w:r>
          <w:rPr>
            <w:color w:val="0000EE"/>
            <w:u w:val="single"/>
          </w:rPr>
          <w:t>At 6.9</w:t>
        </w:r>
      </w:hyperlink>
      <w:r>
        <w:t>.</w:t>
      </w:r>
    </w:p>
    <w:p>
      <w:r/>
      <w:r>
        <w:t>A igreja primitiva precisava discutir sua fé com os libertinos desta sinagoga. Estevão era um cristão anteriormente nomeado como diácono para lidar com problemas que surgiam no elemento de língua grega da igreja (</w:t>
      </w:r>
      <w:hyperlink r:id="rId1402">
        <w:r>
          <w:rPr>
            <w:color w:val="0000EE"/>
            <w:u w:val="single"/>
          </w:rPr>
          <w:t>At 6.1–6</w:t>
        </w:r>
      </w:hyperlink>
      <w:r>
        <w:t>). Ele se destaca como um defensor habilidoso da fé em Jesus Cristo ao debater com a sinagoga dos libertinos.</w:t>
      </w:r>
    </w:p>
    <w:p>
      <w:r/>
      <w:r>
        <w:rPr>
          <w:i/>
        </w:rPr>
        <w:t>Verja também</w:t>
      </w:r>
      <w:r>
        <w:t xml:space="preserve"> </w:t>
      </w:r>
      <w:r>
        <w:t>Libertos</w:t>
      </w:r>
      <w:r>
        <w:t>.</w:t>
      </w:r>
      <w:r/>
      <w:r/>
    </w:p>
    <w:p>
      <w:r/>
    </w:p>
    <w:p>
      <w:pPr>
        <w:pStyle w:val="Heading2"/>
      </w:pPr>
      <w:r>
        <w:t>Libertos</w:t>
      </w:r>
      <w:r/>
    </w:p>
    <w:p>
      <w:r/>
      <w:r>
        <w:t>Os libertos eram membros de uma sinagoga judaica em Jerusalém (</w:t>
      </w:r>
      <w:hyperlink r:id="rId743">
        <w:r>
          <w:rPr>
            <w:color w:val="0000EE"/>
            <w:u w:val="single"/>
          </w:rPr>
          <w:t>At 6.9</w:t>
        </w:r>
      </w:hyperlink>
      <w:r>
        <w:t>), que foram capturados e levados para Roma pelo general Pompeu, que viveu de 106–48 a.C. Esses judeus foram posteriormente libertados da escravidão.</w:t>
      </w:r>
    </w:p>
    <w:p>
      <w:r/>
      <w:r>
        <w:t>Pompeu descobriu que os judeus seguiam seus costumes religiosos e nacionais de forma tão rigorosa que não eram úteis como escravos. Por isso, foram libertados.</w:t>
      </w:r>
    </w:p>
    <w:p>
      <w:r/>
      <w:r>
        <w:t>Nem todos os libertos retornaram a Jerusalém. Alguns permaneceram em Roma. O escritor romano Plínio descreveu o liberto como um “plebeu sem importância”.</w:t>
      </w:r>
    </w:p>
    <w:p>
      <w:r/>
      <w:r>
        <w:t>O nome "libertos" (ou "homens livres" na Nova Tradução na Linguagem de Hoje) vem de uma palavra latina que designa uma pessoa que foi libertada da escravidão, ou o filho de alguém que já foi escravo.</w:t>
      </w:r>
    </w:p>
    <w:p>
      <w:r/>
      <w:r>
        <w:rPr>
          <w:i/>
        </w:rPr>
        <w:t>Veja</w:t>
      </w:r>
      <w:r>
        <w:t xml:space="preserve"> </w:t>
      </w:r>
      <w:r>
        <w:t>Libertinos</w:t>
      </w:r>
      <w:r>
        <w:t>.</w:t>
      </w:r>
      <w:r/>
      <w:r/>
    </w:p>
    <w:p>
      <w:r/>
    </w:p>
    <w:p>
      <w:pPr>
        <w:pStyle w:val="Heading2"/>
      </w:pPr>
      <w:r>
        <w:t>Líbia, Líbios</w:t>
      </w:r>
      <w:r/>
    </w:p>
    <w:p>
      <w:r/>
      <w:r>
        <w:t>Um país e seus habitantes a oeste do Egito. Nos textos hebraicos antigos, três palavras diferentes eram usadas para descrever a Líbia e seu povo. Essas palavras podem ser confusas de entender hoje por duas razões. Primeiro, alguns dos textos antigos são obscuros. Segundo, escritores de tempos passados frequentemente usavam a palavra "Líbia" para se referir a qualquer parte da África que não fosse o Egito.</w:t>
      </w:r>
    </w:p>
    <w:p>
      <w:r/>
      <w:r>
        <w:t>A partir do século 12 a.C., os líbios serviram nos exércitos do Egito e da Etiópia (</w:t>
      </w:r>
      <w:hyperlink r:id="rId12726">
        <w:r>
          <w:rPr>
            <w:color w:val="0000EE"/>
            <w:u w:val="single"/>
          </w:rPr>
          <w:t>2Cr 12.3</w:t>
        </w:r>
      </w:hyperlink>
      <w:r>
        <w:t xml:space="preserve">; </w:t>
      </w:r>
      <w:hyperlink r:id="rId12727">
        <w:r>
          <w:rPr>
            <w:color w:val="0000EE"/>
            <w:u w:val="single"/>
          </w:rPr>
          <w:t>16.8</w:t>
        </w:r>
      </w:hyperlink>
      <w:r>
        <w:t xml:space="preserve">; </w:t>
      </w:r>
      <w:hyperlink r:id="rId12725">
        <w:r>
          <w:rPr>
            <w:color w:val="0000EE"/>
            <w:u w:val="single"/>
          </w:rPr>
          <w:t>Na 3.9</w:t>
        </w:r>
      </w:hyperlink>
      <w:r>
        <w:t>). Um de seus líderes mais famosos foi Sisaque, que veio da Líbia. Mais tarde, ele se tornou um governante poderoso que invadiu outras terras.</w:t>
      </w:r>
    </w:p>
    <w:p>
      <w:r/>
      <w:r>
        <w:t>O profeta Ezequiel disse que a Líbia seria derrotada junto com outras nações (</w:t>
      </w:r>
      <w:hyperlink r:id="rId13003">
        <w:r>
          <w:rPr>
            <w:color w:val="0000EE"/>
            <w:u w:val="single"/>
          </w:rPr>
          <w:t>Ez 30.5</w:t>
        </w:r>
      </w:hyperlink>
      <w:r>
        <w:t>). O livro de Daniel também menciona que os líbios estavam entre os povos conquistados (</w:t>
      </w:r>
      <w:hyperlink r:id="rId12724">
        <w:r>
          <w:rPr>
            <w:color w:val="0000EE"/>
            <w:u w:val="single"/>
          </w:rPr>
          <w:t>Dn 11.43</w:t>
        </w:r>
      </w:hyperlink>
      <w:r>
        <w:t>). O livro de Isaías menciona brevemente os líbios, chamando-os pelo nome hebraico "Pul" (</w:t>
      </w:r>
      <w:hyperlink r:id="rId10191">
        <w:r>
          <w:rPr>
            <w:color w:val="0000EE"/>
            <w:u w:val="single"/>
          </w:rPr>
          <w:t>Is 66.19</w:t>
        </w:r>
      </w:hyperlink>
      <w:r>
        <w:t>, em uma versão mais literal).</w:t>
      </w:r>
    </w:p>
    <w:p>
      <w:r/>
      <w:r>
        <w:t>Um homem chamado Simão, que era de uma cidade chamada Cirene na Líbia, foi forçado pelos soldados romanos a carregar a cruz de Jesus no dia em que Jesus foi crucificado (</w:t>
      </w:r>
      <w:hyperlink r:id="rId4992">
        <w:r>
          <w:rPr>
            <w:color w:val="0000EE"/>
            <w:u w:val="single"/>
          </w:rPr>
          <w:t>Mt 27.32</w:t>
        </w:r>
      </w:hyperlink>
      <w:r>
        <w:t xml:space="preserve">; </w:t>
      </w:r>
      <w:hyperlink r:id="rId736">
        <w:r>
          <w:rPr>
            <w:color w:val="0000EE"/>
            <w:u w:val="single"/>
          </w:rPr>
          <w:t>Mc 15.21</w:t>
        </w:r>
      </w:hyperlink>
      <w:r>
        <w:t xml:space="preserve">; </w:t>
      </w:r>
      <w:hyperlink r:id="rId11803">
        <w:r>
          <w:rPr>
            <w:color w:val="0000EE"/>
            <w:u w:val="single"/>
          </w:rPr>
          <w:t>Lc 23.26</w:t>
        </w:r>
      </w:hyperlink>
      <w:r>
        <w:t>). Cirene fica no leste da Líbia. Mais tarde, quando o Espírito Santo veio aos seguidores de Jesus em Jerusalém no Dia de Pentecostes, pessoas da Líbia estavam entre a grande multidão que se reuniu lá (</w:t>
      </w:r>
      <w:hyperlink r:id="rId4397">
        <w:r>
          <w:rPr>
            <w:color w:val="0000EE"/>
            <w:u w:val="single"/>
          </w:rPr>
          <w:t>At 2.10</w:t>
        </w:r>
      </w:hyperlink>
      <w:r>
        <w:t>).</w:t>
      </w:r>
      <w:r/>
      <w:r/>
    </w:p>
    <w:p>
      <w:r/>
    </w:p>
    <w:p>
      <w:pPr>
        <w:pStyle w:val="Heading2"/>
      </w:pPr>
      <w:r>
        <w:t>Libna</w:t>
      </w:r>
      <w:r/>
    </w:p>
    <w:p>
      <w:pPr>
        <w:pStyle w:val="ListNumber"/>
        <w:spacing w:line="240" w:lineRule="auto"/>
        <w:ind w:left="720"/>
      </w:pPr>
      <w:r/>
      <w:r>
        <w:t>Um dos locais onde os israelitas acamparam durante a jornada no deserto. Ficava entre Rimom-Perez e Rissa (</w:t>
      </w:r>
      <w:hyperlink r:id="rId12649">
        <w:r>
          <w:rPr>
            <w:color w:val="0000EE"/>
            <w:u w:val="single"/>
          </w:rPr>
          <w:t>Nm 33.20,21</w:t>
        </w:r>
      </w:hyperlink>
      <w:r>
        <w:t>).</w:t>
      </w:r>
    </w:p>
    <w:p>
      <w:r/>
      <w:r>
        <w:rPr>
          <w:i/>
        </w:rPr>
        <w:t>Veja</w:t>
      </w:r>
      <w:r>
        <w:t xml:space="preserve"> </w:t>
      </w:r>
      <w:r>
        <w:t>Peregrinações no deserto</w:t>
      </w:r>
      <w:r>
        <w:t>.</w:t>
      </w:r>
    </w:p>
    <w:p>
      <w:pPr>
        <w:pStyle w:val="ListNumber"/>
        <w:spacing w:line="240" w:lineRule="auto"/>
        <w:ind w:left="720"/>
      </w:pPr>
      <w:r/>
      <w:r>
        <w:t>Uma cidade-estado cananeia no sul da Palestina. Sob a liderança de Josué, Israel conquistou e destruiu Libna (</w:t>
      </w:r>
      <w:hyperlink r:id="rId13004">
        <w:r>
          <w:rPr>
            <w:color w:val="0000EE"/>
            <w:u w:val="single"/>
          </w:rPr>
          <w:t>Js 10.29–31</w:t>
        </w:r>
      </w:hyperlink>
      <w:r>
        <w:t xml:space="preserve">; </w:t>
      </w:r>
      <w:hyperlink r:id="rId430">
        <w:r>
          <w:rPr>
            <w:color w:val="0000EE"/>
            <w:u w:val="single"/>
          </w:rPr>
          <w:t>12.15</w:t>
        </w:r>
      </w:hyperlink>
      <w:r>
        <w:t>). Estava no território de Judá (</w:t>
      </w:r>
      <w:hyperlink r:id="rId2636">
        <w:r>
          <w:rPr>
            <w:color w:val="0000EE"/>
            <w:u w:val="single"/>
          </w:rPr>
          <w:t>15.42</w:t>
        </w:r>
      </w:hyperlink>
      <w:r>
        <w:t>). Mais tarde, os levitas a receberam como herança (</w:t>
      </w:r>
      <w:hyperlink r:id="rId4046">
        <w:r>
          <w:rPr>
            <w:color w:val="0000EE"/>
            <w:u w:val="single"/>
          </w:rPr>
          <w:t>Js 21.13</w:t>
        </w:r>
      </w:hyperlink>
      <w:r>
        <w:t xml:space="preserve">; </w:t>
      </w:r>
      <w:hyperlink r:id="rId13005">
        <w:r>
          <w:rPr>
            <w:color w:val="0000EE"/>
            <w:u w:val="single"/>
          </w:rPr>
          <w:t>1Cr 6.57</w:t>
        </w:r>
      </w:hyperlink>
      <w:r>
        <w:t>).</w:t>
      </w:r>
    </w:p>
    <w:p>
      <w:r/>
      <w:r>
        <w:t>A Bíblia menciona três eventos posteriores relacionados a Libna:</w:t>
      </w:r>
    </w:p>
    <w:p>
      <w:pPr>
        <w:pStyle w:val="ListNumber"/>
        <w:spacing w:line="240" w:lineRule="auto"/>
        <w:ind w:left="1440"/>
      </w:pPr>
      <w:r/>
      <w:r>
        <w:t>Durante o reinado do rei Jeorão de Judá, Libna se rebelou contra ele quase ao mesmo tempo que Edom também se rebelou. Judá os trouxe sob controle (</w:t>
      </w:r>
      <w:hyperlink r:id="rId13006">
        <w:r>
          <w:rPr>
            <w:color w:val="0000EE"/>
            <w:u w:val="single"/>
          </w:rPr>
          <w:t>2Rs 8.22</w:t>
        </w:r>
      </w:hyperlink>
      <w:r>
        <w:t xml:space="preserve">; </w:t>
      </w:r>
      <w:hyperlink r:id="rId13007">
        <w:r>
          <w:rPr>
            <w:color w:val="0000EE"/>
            <w:u w:val="single"/>
          </w:rPr>
          <w:t>2Cr 21.10</w:t>
        </w:r>
      </w:hyperlink>
      <w:r>
        <w:t>);</w:t>
      </w:r>
    </w:p>
    <w:p>
      <w:pPr>
        <w:pStyle w:val="ListNumber"/>
        <w:spacing w:line="240" w:lineRule="auto"/>
        <w:ind w:left="1440"/>
      </w:pPr>
      <w:r/>
      <w:r>
        <w:t>Depois que o rei Senaqueribe da Assíria capturou a cidade de Laquis, ele atacou Libna (</w:t>
      </w:r>
      <w:hyperlink r:id="rId13008">
        <w:r>
          <w:rPr>
            <w:color w:val="0000EE"/>
            <w:u w:val="single"/>
          </w:rPr>
          <w:t>2Rs 19.8</w:t>
        </w:r>
      </w:hyperlink>
      <w:r>
        <w:t xml:space="preserve">; </w:t>
      </w:r>
      <w:hyperlink r:id="rId13009">
        <w:r>
          <w:rPr>
            <w:color w:val="0000EE"/>
            <w:u w:val="single"/>
          </w:rPr>
          <w:t>Is 37.8</w:t>
        </w:r>
      </w:hyperlink>
      <w:r>
        <w:t>). Anteriormente, Isaías havia afirmado ao rei Ezequias que haveria um boato que faria com que o rei invasor interrompesse sua campanha militar contra Judá e retornasse à sua própria terra. Enquanto Senaqueribe cercava e atacava Libna, a profecia de Isaías se cumpriu (</w:t>
      </w:r>
      <w:hyperlink r:id="rId13010">
        <w:r>
          <w:rPr>
            <w:color w:val="0000EE"/>
            <w:u w:val="single"/>
          </w:rPr>
          <w:t>2Rs 19.7,8</w:t>
        </w:r>
      </w:hyperlink>
      <w:r>
        <w:t>);</w:t>
      </w:r>
    </w:p>
    <w:p>
      <w:pPr>
        <w:pStyle w:val="ListNumber"/>
        <w:spacing w:line="240" w:lineRule="auto"/>
        <w:ind w:left="1440"/>
      </w:pPr>
      <w:r/>
      <w:r>
        <w:t>A mãe de Jeoás e Zedequias, dois dos últimos reis de Judá, era de Libna (</w:t>
      </w:r>
      <w:hyperlink r:id="rId8989">
        <w:r>
          <w:rPr>
            <w:color w:val="0000EE"/>
            <w:u w:val="single"/>
          </w:rPr>
          <w:t>2Rs 23.31</w:t>
        </w:r>
      </w:hyperlink>
      <w:r>
        <w:t xml:space="preserve">; </w:t>
      </w:r>
      <w:hyperlink r:id="rId6233">
        <w:r>
          <w:rPr>
            <w:color w:val="0000EE"/>
            <w:u w:val="single"/>
          </w:rPr>
          <w:t>24.18</w:t>
        </w:r>
      </w:hyperlink>
      <w:r>
        <w:t xml:space="preserve">; </w:t>
      </w:r>
      <w:hyperlink r:id="rId13011">
        <w:r>
          <w:rPr>
            <w:color w:val="0000EE"/>
            <w:u w:val="single"/>
          </w:rPr>
          <w:t>Jr 52.1</w:t>
        </w:r>
      </w:hyperlink>
      <w:r>
        <w:t>).</w:t>
      </w:r>
      <w:r/>
      <w:r/>
    </w:p>
    <w:p>
      <w:r/>
    </w:p>
    <w:p>
      <w:pPr>
        <w:pStyle w:val="Heading2"/>
      </w:pPr>
      <w:r>
        <w:t>Libni</w:t>
      </w:r>
      <w:r/>
    </w:p>
    <w:p>
      <w:pPr>
        <w:pStyle w:val="ListNumber"/>
        <w:spacing w:line="240" w:lineRule="auto"/>
        <w:ind w:left="720"/>
      </w:pPr>
      <w:r/>
      <w:r>
        <w:t>Filho de Gérson, neto de Levi e irmão de Simei (</w:t>
      </w:r>
      <w:hyperlink r:id="rId13012">
        <w:r>
          <w:rPr>
            <w:color w:val="0000EE"/>
            <w:u w:val="single"/>
          </w:rPr>
          <w:t>Êx 6.17</w:t>
        </w:r>
      </w:hyperlink>
      <w:r>
        <w:t xml:space="preserve">; </w:t>
      </w:r>
      <w:hyperlink r:id="rId13013">
        <w:r>
          <w:rPr>
            <w:color w:val="0000EE"/>
            <w:u w:val="single"/>
          </w:rPr>
          <w:t>Nm 3.18</w:t>
        </w:r>
      </w:hyperlink>
      <w:r>
        <w:t xml:space="preserve">; </w:t>
      </w:r>
      <w:hyperlink r:id="rId13014">
        <w:r>
          <w:rPr>
            <w:color w:val="0000EE"/>
            <w:u w:val="single"/>
          </w:rPr>
          <w:t>1Cr 6.17,20</w:t>
        </w:r>
      </w:hyperlink>
      <w:r>
        <w:t>). Ele foi o pai de três filhos e o fundador da família libnita (</w:t>
      </w:r>
      <w:hyperlink r:id="rId13015">
        <w:r>
          <w:rPr>
            <w:color w:val="0000EE"/>
            <w:u w:val="single"/>
          </w:rPr>
          <w:t>Nm 3.21</w:t>
        </w:r>
      </w:hyperlink>
      <w:r>
        <w:t xml:space="preserve">). Libni também é chamado de Ladã em </w:t>
      </w:r>
      <w:hyperlink r:id="rId13016">
        <w:r>
          <w:rPr>
            <w:color w:val="0000EE"/>
            <w:u w:val="single"/>
          </w:rPr>
          <w:t>1Cr 23.7–9</w:t>
        </w:r>
      </w:hyperlink>
      <w:r>
        <w:t xml:space="preserve"> e </w:t>
      </w:r>
      <w:hyperlink r:id="rId13017">
        <w:r>
          <w:rPr>
            <w:color w:val="0000EE"/>
            <w:u w:val="single"/>
          </w:rPr>
          <w:t>26.21</w:t>
        </w:r>
      </w:hyperlink>
      <w:r>
        <w:t>.</w:t>
      </w:r>
    </w:p>
    <w:p>
      <w:pPr>
        <w:pStyle w:val="ListNumber"/>
        <w:spacing w:line="240" w:lineRule="auto"/>
        <w:ind w:left="720"/>
      </w:pPr>
      <w:r/>
      <w:r>
        <w:t>O filho de Mali, pai de Simei, é um descendente de Levi através da linhagem de Merari (</w:t>
      </w:r>
      <w:hyperlink r:id="rId13018">
        <w:r>
          <w:rPr>
            <w:color w:val="0000EE"/>
            <w:u w:val="single"/>
          </w:rPr>
          <w:t>1Cr 6.29</w:t>
        </w:r>
      </w:hyperlink>
      <w:r>
        <w:t>).</w:t>
      </w:r>
      <w:r/>
      <w:r/>
    </w:p>
    <w:p>
      <w:r/>
    </w:p>
    <w:p>
      <w:pPr>
        <w:pStyle w:val="Heading2"/>
      </w:pPr>
      <w:r>
        <w:t>Libnitas</w:t>
      </w:r>
      <w:r/>
    </w:p>
    <w:p>
      <w:r/>
      <w:r>
        <w:t>Qualquer descendente de Libni. Ele era um filho de Gérson da tribo de Levi (</w:t>
      </w:r>
      <w:hyperlink r:id="rId13015">
        <w:r>
          <w:rPr>
            <w:color w:val="0000EE"/>
            <w:u w:val="single"/>
          </w:rPr>
          <w:t>Nm 3.21</w:t>
        </w:r>
      </w:hyperlink>
      <w:r>
        <w:t xml:space="preserve">; </w:t>
      </w:r>
      <w:hyperlink r:id="rId5738">
        <w:r>
          <w:rPr>
            <w:color w:val="0000EE"/>
            <w:u w:val="single"/>
          </w:rPr>
          <w:t>26.58</w:t>
        </w:r>
      </w:hyperlink>
      <w:r>
        <w:t>).</w:t>
      </w:r>
    </w:p>
    <w:p>
      <w:r/>
      <w:r>
        <w:rPr>
          <w:i/>
        </w:rPr>
        <w:t xml:space="preserve">Veja </w:t>
      </w:r>
      <w:r>
        <w:t>Libni #1</w:t>
      </w:r>
      <w:r>
        <w:t>.</w:t>
      </w:r>
      <w:r/>
      <w:r/>
    </w:p>
    <w:p>
      <w:r/>
    </w:p>
    <w:p>
      <w:pPr>
        <w:pStyle w:val="Heading2"/>
      </w:pPr>
      <w:r>
        <w:t>Lícia</w:t>
      </w:r>
      <w:r/>
    </w:p>
    <w:p>
      <w:r/>
      <w:r>
        <w:t>O país está localizado na parte sudoeste da província romana da Ásia (comumente conhecida como Ásia Menor), limitado a noroeste por Cária, ao norte por Frígia e Pisídia, a nordeste por Panfília, e a oeste, sul e leste pelo Mar Mediterrâneo. A geografia da região combina terreno montanhoso acidentado com vales férteis formados pela descida de vários pequenos rios até o mar. As regiões montanhosas produzem azeitonas, uvas e madeira, enquanto os vales são responsáveis pela produção dos grãos cultivados na área. Nas desembocaduras dos rios estão localizados os principais portos marítimos do país. Dois deles, Pátara e Mirra, são de interesse para os estudantes do NT.</w:t>
      </w:r>
    </w:p>
    <w:p>
      <w:r/>
      <w:r>
        <w:t xml:space="preserve">Pátara, localizada no sudoeste da Lícia no vale do rio Xanto, era a sede do oráculo de Apolo. </w:t>
      </w:r>
      <w:hyperlink r:id="rId6036">
        <w:r>
          <w:rPr>
            <w:color w:val="0000EE"/>
            <w:u w:val="single"/>
          </w:rPr>
          <w:t>Atos 21.1</w:t>
        </w:r>
      </w:hyperlink>
      <w:r>
        <w:t xml:space="preserve"> menciona-a como o porto onde Paulo, ao concluir sua terceira viagem missionária, embarcou em um navio com destino à Fenícia (alguns manuscritos incluem aqui uma parada adicional em Mirra). Mirra, localizada no sudeste da Lícia, é mencionada em </w:t>
      </w:r>
      <w:hyperlink r:id="rId13019">
        <w:r>
          <w:rPr>
            <w:color w:val="0000EE"/>
            <w:u w:val="single"/>
          </w:rPr>
          <w:t>Atos 27.5–7</w:t>
        </w:r>
      </w:hyperlink>
      <w:r>
        <w:t xml:space="preserve"> como o porto onde Paulo e Júlio, um centurião romano, embarcaram em um navio alexandrino com destino a Roma. Quando os ventos vinham do oeste, era prática dos navios de grãos alexandrinos com destino à Itália navegar ao norte ao longo da costa da Palestina e Síria e ao oeste ao longo da costa sul da Ásia Menor. Isso tornava os portos da Lícia lugares naturais para os navios se abrigarem em preparação para a etapa final da viagem à Itália.</w:t>
      </w:r>
    </w:p>
    <w:p>
      <w:r/>
      <w:r>
        <w:t>A história da região está intimamente ligada à da Ásia Menor. Entre todos os povos do oeste da Ásia Menor, Lícia foi a única capaz de resistir ao ataque dos reis da Lídia. No entanto, em 546 a.C., foi forçada a submeter-se à dominação persa. Com a invasão de Alexandre, o Grande, em 333 a.C., Lícia ficou sob o controle dos Ptolomeus (308–197 a.C.) e dos Selêucidas (197–189 a.C.). Quando os romanos derrotaram Antíoco III em Magnésia (189 a.C.), Lícia foi dada a Rodes, uma ilha ao largo de sua costa oeste. Vinte anos depois, Roma concedeu a Lícia o status de estado independente. Este status manteve-se até 43 d.C., quando o Imperador Cláudio declarou Lícia uma província romana. Sob a reorganização provincial de Vespasiano em 74 d.C., foi unida à Panfília.</w:t>
      </w:r>
    </w:p>
    <w:p>
      <w:r/>
      <w:hyperlink r:id="rId2617">
        <w:r>
          <w:rPr>
            <w:color w:val="0000EE"/>
            <w:u w:val="single"/>
          </w:rPr>
          <w:t>1 Macabeus 15.23</w:t>
        </w:r>
      </w:hyperlink>
      <w:r>
        <w:t xml:space="preserve"> fornece evidências de uma comunidade judaica considerável na Lícia por volta de 139 a.C. O NT não fornece evidências de cristãos nesta área. No entanto, uma carta da Lícia escrita em 312 d.C. ao Imperador Maxêncio, em oposição ao cristianismo, indica a presença de cristãos nesta região nos primeiros séculos da igreja.</w:t>
      </w:r>
      <w:r/>
      <w:r/>
    </w:p>
    <w:p>
      <w:r/>
    </w:p>
    <w:p>
      <w:pPr>
        <w:pStyle w:val="Heading2"/>
      </w:pPr>
      <w:r>
        <w:t>Licônia</w:t>
      </w:r>
      <w:r/>
    </w:p>
    <w:p>
      <w:r/>
      <w:r>
        <w:t>Região no interior sul da província romana da Ásia (também chamada de Ásia Menor), ao norte das Montanhas Taurus. Antes da ocupação romana, era limitada ao norte pela Galácia, ao sul pela Cilícia, a leste pela Capadócia e a oeste pela Frígia e Pisídia. Como muitos de seus estados vizinhos, a Licônia foi governada pelos Selêucidas após a conquista de Alexandre, o Grande. Quando os romanos derrotaram os Selêucidas no oeste da Ásia Menor (190 a.C.), a Licônia foi dada aos Atálidas de Pérgamo. Permaneceu sob seu controle até 130 a.C., quando seu rei morreu e seu reino foi dissolvido. A área foi subsequentemente administrada pelos romanos, que anexaram a seção norte do território licaônio à Galácia, a seção leste à Capadócia e a seção sul à Cilícia. Em 37 d.C., a Licônia oriental ganhou independência da Capadócia e foi conhecida como Licônia Antioquiana. Na época de Cristo, a Licônia havia essencialmente sido reduzida a uma área étnica no sul da Galácia e deve ser considerada como tal em todas as referências do NT.</w:t>
      </w:r>
    </w:p>
    <w:p>
      <w:r/>
      <w:r>
        <w:t>O território estava situado em um planalto alto e árido. O solo era geralmente de má qualidade, embora existissem áreas férteis no sul, ao redor das principais cidades de Listra e Derbe. Consequentemente, as principais ocupações eram a criação de ovelhas e cabras, com alguma agricultura no sul. Licônia era atravessada por uma importante rota comercial entre Síria, Éfeso e Roma.</w:t>
      </w:r>
    </w:p>
    <w:p>
      <w:r/>
      <w:r>
        <w:t>É discutível se Icônio era uma cidade da Licônia. Alguns estudiosos acreditam que era a capital e principal cidade, enquanto outros a consideram uma cidade frígia. Esta última posição parece ser apoiada em Atos, onde se diz que Paulo foge de Icônio para Listra e Derbe, “cidades do distrito da Licônia” (</w:t>
      </w:r>
      <w:hyperlink r:id="rId6695">
        <w:r>
          <w:rPr>
            <w:color w:val="0000EE"/>
            <w:u w:val="single"/>
          </w:rPr>
          <w:t>At 14.6</w:t>
        </w:r>
      </w:hyperlink>
      <w:r>
        <w:t xml:space="preserve">) — lugares onde a língua licaônica era falada (v. </w:t>
      </w:r>
      <w:hyperlink r:id="rId13020">
        <w:r>
          <w:rPr>
            <w:color w:val="0000EE"/>
            <w:u w:val="single"/>
          </w:rPr>
          <w:t>11</w:t>
        </w:r>
      </w:hyperlink>
      <w:r>
        <w:t>). É provável que dentro do território político da Galácia houvesse várias áreas étnicas e que Paulo tenha cruzado uma fronteira étnica na tentativa de encontrar segurança dos judeus descontentes de Icônio.</w:t>
      </w:r>
    </w:p>
    <w:p>
      <w:r/>
      <w:r>
        <w:t>O apóstolo Paulo fez três visitas à Licônia. Durante sua primeira viagem missionária, a pregação do evangelho foi muito eficaz e muitos discípulos foram feitos (</w:t>
      </w:r>
      <w:hyperlink r:id="rId13021">
        <w:r>
          <w:rPr>
            <w:color w:val="0000EE"/>
            <w:u w:val="single"/>
          </w:rPr>
          <w:t>At 14.21–22</w:t>
        </w:r>
      </w:hyperlink>
      <w:r>
        <w:t xml:space="preserve">). De fato, quando Paulo curou um homem aleijado em Listra, os líderes do culto pagão desejaram adorá-lo como um deus (vv. </w:t>
      </w:r>
      <w:hyperlink r:id="rId13022">
        <w:r>
          <w:rPr>
            <w:color w:val="0000EE"/>
            <w:u w:val="single"/>
          </w:rPr>
          <w:t>11–18</w:t>
        </w:r>
      </w:hyperlink>
      <w:r>
        <w:t>). Ele visitou a área novamente em sua segunda viagem missionária. Foi aqui que ele conheceu Timóteo e pediu que ele se juntasse à sua companhia (</w:t>
      </w:r>
      <w:hyperlink r:id="rId13023">
        <w:r>
          <w:rPr>
            <w:color w:val="0000EE"/>
            <w:u w:val="single"/>
          </w:rPr>
          <w:t>16.1–5</w:t>
        </w:r>
      </w:hyperlink>
      <w:r>
        <w:t xml:space="preserve">). Uma visita final (durante sua terceira viagem, onde seu propósito era fortalecer os crentes) é indicada por </w:t>
      </w:r>
      <w:hyperlink r:id="rId4337">
        <w:r>
          <w:rPr>
            <w:color w:val="0000EE"/>
            <w:u w:val="single"/>
          </w:rPr>
          <w:t>Atos 18.23</w:t>
        </w:r>
      </w:hyperlink>
      <w:r>
        <w:t>.</w:t>
      </w:r>
    </w:p>
    <w:p>
      <w:r/>
      <w:r>
        <w:t>Inscrições cristãs posteriores indicam que, no final do terceiro século, a região da Licônia tinha um dos sistemas eclesiásticos mais desenvolvidos da Ásia Menor.</w:t>
      </w:r>
      <w:r/>
      <w:r/>
    </w:p>
    <w:p>
      <w:r/>
    </w:p>
    <w:p>
      <w:pPr>
        <w:pStyle w:val="Heading2"/>
      </w:pPr>
      <w:r>
        <w:t>Lida</w:t>
      </w:r>
      <w:r/>
    </w:p>
    <w:p>
      <w:r/>
      <w:r>
        <w:t>Um nome do Novo Testamento para Lode, uma cidade localizada a sudoeste de Jerusalém na Sefelá (</w:t>
      </w:r>
      <w:hyperlink r:id="rId13024">
        <w:r>
          <w:rPr>
            <w:color w:val="0000EE"/>
            <w:u w:val="single"/>
          </w:rPr>
          <w:t>At 9.32–38</w:t>
        </w:r>
      </w:hyperlink>
      <w:r>
        <w:t>).</w:t>
      </w:r>
    </w:p>
    <w:p>
      <w:r/>
      <w:r>
        <w:rPr>
          <w:i/>
        </w:rPr>
        <w:t>Veja</w:t>
      </w:r>
      <w:r>
        <w:t xml:space="preserve"> </w:t>
      </w:r>
      <w:r>
        <w:t>Lode</w:t>
      </w:r>
      <w:r>
        <w:t>.</w:t>
      </w:r>
      <w:r/>
      <w:r/>
    </w:p>
    <w:p>
      <w:r/>
    </w:p>
    <w:p>
      <w:pPr>
        <w:pStyle w:val="Heading2"/>
      </w:pPr>
      <w:r>
        <w:t>Lídia (Pessoa)</w:t>
      </w:r>
      <w:r/>
    </w:p>
    <w:p>
      <w:r/>
      <w:r>
        <w:t>Lídia era uma mulher não judia que se tornou cristã após ouvir Paulo pregar na cidade de Filipos (</w:t>
      </w:r>
      <w:hyperlink r:id="rId13025">
        <w:r>
          <w:rPr>
            <w:color w:val="0000EE"/>
            <w:u w:val="single"/>
          </w:rPr>
          <w:t>At 16.14,40</w:t>
        </w:r>
      </w:hyperlink>
      <w:r>
        <w:t>). Ela era uma empresária que vendia tecidos roxos caros. Lídia veio da cidade de Tiatira, na região de Lídia, localizada na parte ocidental da província romana da Ásia (comumente conhecida como Ásia Menor).</w:t>
      </w:r>
    </w:p>
    <w:p>
      <w:r/>
      <w:r>
        <w:t>Atos descreve Lídia como “uma adoradora de Deus” (ou “temente a Deus”), indicando que ela era uma gentia atraída pelo Judaísmo. Ela se converteu ao Cristianismo e foi batizada por Paulo. Em seguida, Lídia convidou Paulo e Silas para ficarem em sua casa durante o tempo que passaram em Filipos.</w:t>
      </w:r>
      <w:r/>
      <w:r/>
    </w:p>
    <w:p>
      <w:r/>
    </w:p>
    <w:p>
      <w:pPr>
        <w:pStyle w:val="Heading2"/>
      </w:pPr>
      <w:r>
        <w:t>Ligúria</w:t>
      </w:r>
      <w:r/>
    </w:p>
    <w:p>
      <w:r/>
      <w:r>
        <w:t xml:space="preserve">A tradução da KJV para jacinto em </w:t>
      </w:r>
      <w:hyperlink r:id="rId13026">
        <w:r>
          <w:rPr>
            <w:color w:val="0000EE"/>
            <w:u w:val="single"/>
          </w:rPr>
          <w:t>Êxodo 28.19</w:t>
        </w:r>
      </w:hyperlink>
      <w:r>
        <w:t xml:space="preserve"> e </w:t>
      </w:r>
      <w:hyperlink r:id="rId13027">
        <w:r>
          <w:rPr>
            <w:color w:val="0000EE"/>
            <w:u w:val="single"/>
          </w:rPr>
          <w:t>39.12</w:t>
        </w:r>
      </w:hyperlink>
      <w:r>
        <w:t>.</w:t>
      </w:r>
    </w:p>
    <w:p>
      <w:r/>
      <w:r>
        <w:rPr>
          <w:i/>
        </w:rPr>
        <w:t>Veja</w:t>
      </w:r>
      <w:r>
        <w:t xml:space="preserve"> </w:t>
      </w:r>
      <w:r>
        <w:t>pedras preciosas</w:t>
      </w:r>
      <w:r>
        <w:t>.</w:t>
      </w:r>
      <w:r/>
      <w:r/>
    </w:p>
    <w:p>
      <w:r/>
    </w:p>
    <w:p>
      <w:pPr>
        <w:pStyle w:val="Heading2"/>
      </w:pPr>
      <w:r>
        <w:t>Língua Grega</w:t>
      </w:r>
      <w:r/>
    </w:p>
    <w:p>
      <w:r/>
      <w:r>
        <w:t>Linguagem do povo grego.</w:t>
      </w:r>
    </w:p>
    <w:p>
      <w:r/>
      <w:r>
        <w:t>A língua grega é um bonito, rico e bem sintonizado instrumento de comunicação. É uma ferramenta apropriada tanto para o pensamento vigoroso quanto para a devoção religiosa. Durante seu período clássico, o grego era a língua de uma das maiores culturas do mundo. Durante esse período cultural, língua, literatura e arte floresceram mais do que guerra. A mente grega estava preocupada com ideais de beleza. A língua grega refletia arte em seus diálogos filosóficos, sua poesia e seus discursos majestosos.</w:t>
      </w:r>
    </w:p>
    <w:p>
      <w:r/>
      <w:r>
        <w:t>A língua grega também era caracterizada por força e vigor. Era capaz de variedade e efeitos impressionantes. O grego era uma linguagem de argumento, com um vocabulário e estilo que poderiam penetrar e esclarecer fenômenos em vez de simplesmente contar histórias. O grego clássico desenvolveu elaboradamente muitas formas a partir de algumas raízes de palavras. Sua sintaxe complexa permitia que arranjos complexos de palavras expressassem nuances precisas de significado.</w:t>
      </w:r>
    </w:p>
    <w:p>
      <w:pPr>
        <w:pStyle w:val="Heading3"/>
      </w:pPr>
      <w:r>
        <w:t>História Antiga</w:t>
      </w:r>
    </w:p>
    <w:p>
      <w:r/>
      <w:r>
        <w:t>Embora os antecedentes do grego sejam desconhecidos, os primeiros vestígios do que poderia ser chamado de antecedentes do grego antigo aparecem em documentos micênicos e minoicos (1400–1200 a.C.) que usam três roteiros diferentes: hieróglifos minoicos (o mais antigo), linear A e linear B (o mais recente). Linear B, geralmente considerado “pré-grego”, é escrito em um roteiro silábico encontrado em tábuas de argila descobertas na ilha de Creta e no continente grego.</w:t>
      </w:r>
    </w:p>
    <w:p>
      <w:r/>
      <w:r>
        <w:t>A civilização e o roteiro micênicos terminaram repentinamente com as invasões dóricas (1200 a.C.), e a escrita parece ter desaparecido por vários séculos. Mais tarde, por volta do século VIII a.C., a escrita grega apareceu em um roteiro diferente. Esse roteiro era baseado em um alfabeto presumivelmente emprestado dos fenícios e depois adaptado ao sistema de som da fala grega e direção da escrita. O grego foi escrito primeiro da direita para a esquerda, como as línguas semíticas ocidentais, depois em um padrão de ida e volta, finalmente da esquerda para a direita. Vários dialetos apareceram durante o período arcaico (século VIII a VI a.C.): Doriano, Eoniano, Aqueano e Eólico.</w:t>
      </w:r>
    </w:p>
    <w:p>
      <w:r/>
      <w:r>
        <w:t>Durante o período clássico (século V a IV a.C.), a cultura grega atingiu seu zênite literário e artístico. O grego clássico (ou Ático) era caracterizado pela sutileza da sintaxe e um uso expressivo de partes (pequenas e sem flexão, muitas vezes intraduzíveis). À medida que a cidade de Atenas atingia o controle cultural e político, o dialeto ático também ganhou prestígio. Com as conquistas macedônias, o grego ático, combinado com influências de outros dialetos (especialmente jônico), se tornou a língua internacional da área do Mediterrâneo oriental.</w:t>
      </w:r>
    </w:p>
    <w:p>
      <w:pPr>
        <w:pStyle w:val="Heading3"/>
      </w:pPr>
      <w:r>
        <w:t>Helenismo e o dialeto Koiné</w:t>
      </w:r>
    </w:p>
    <w:p>
      <w:r/>
      <w:r>
        <w:t>As conquistas de Alexandre, o Grande, encorajaram a propagação da língua e da cultura gregas. Os dialetos regionais foram em grande parte substituídos por “helenístico” ou grego “koiné” (comum). O grego koiné é um dialeto preservado e conhecido através de milhares de inscrições que refletem todos os aspectos da vida diária. O dialeto koiné adicionou muitas expressões vernaculares ao grego ático, tornando-o assim mais cosmopolita. Simplificar a gramática também a adaptou melhor a uma cultura mundial. A nova língua, refletindo a fala simples e popular, se tornou a linguagem comum do comércio e da diplomacia. A língua grega perdeu grande parte de sua elegância e nuance finamente sombreada como resultado de sua evolução de clássico para koiné. No entanto, manteve suas características distintivas de força, beleza, clareza e poder retórico lógico.</w:t>
      </w:r>
    </w:p>
    <w:p>
      <w:r/>
      <w:r>
        <w:t>É significativo que o apóstolo Paulo tenha escrito sua carta aos cristãos em Roma no idioma grego, em vez de em latim. O Império Romano da época era um mundo culturalmente grego, exceto por transações governamentais.</w:t>
      </w:r>
    </w:p>
    <w:p>
      <w:pPr>
        <w:pStyle w:val="Heading3"/>
      </w:pPr>
      <w:r>
        <w:t>A Septuaginta</w:t>
      </w:r>
    </w:p>
    <w:p>
      <w:r/>
      <w:r>
        <w:t>Durante os séculos imediatamente antes de Cristo, o Mediterrâneo oriental estava passando não apenas pela helenização, mas também pela semitização. Ambas as influências podem ser observadas na tradução grega do AT.</w:t>
      </w:r>
    </w:p>
    <w:p>
      <w:r/>
      <w:r>
        <w:t>A tradução das Escrituras Hebraicas para o grego era um evento da época. A Septuaginta (a primeira tradução grega do AT) mais tarde teve uma forte influência no pensamento cristão. Uma consequência necessária de escritores hebraicos usando a língua grega foi que um espírito grego e formas gregas de pensamento influenciaram a cultura judaica. Os judeus logo se apropriaram do vocabulário grego rico e refinado, algumas expressões para ideias que estavam além do escopo da terminologia hebraica. Além disso, antigas expressões gregas adquiriram significados novos e estendidos nesta tradução do AT por judeus de língua grega.</w:t>
      </w:r>
    </w:p>
    <w:p>
      <w:r/>
      <w:r>
        <w:t>O AT grego tem sido muito significativo no desenvolvimento do pensamento cristão. Muitas vezes, o uso de uma palavra grega na Septuaginta fornece uma chave para seu significado no NT. O dialeto do AT de “grego judeu” às vezes é visto nas passagens do NT traduzidas muito literalmente; em outras ocasiões, a tradução do NT dos textos do AT é muito livre.</w:t>
      </w:r>
    </w:p>
    <w:p>
      <w:pPr>
        <w:pStyle w:val="Heading3"/>
      </w:pPr>
      <w:r>
        <w:t>Grego do Novo Testamento</w:t>
      </w:r>
    </w:p>
    <w:p>
      <w:r/>
      <w:r>
        <w:t>Embora a maioria dos autores do NT fosse judaica, eles escreveram em grego, a linguagem universal de seu tempo. Além disso, o apóstolo João parece ter estado familiarizado com alguma filosofia grega, o que influenciou seu estilo. João usou “palavra” (logos grego) em referência a Cristo (</w:t>
      </w:r>
      <w:hyperlink r:id="rId11688">
        <w:r>
          <w:rPr>
            <w:color w:val="0000EE"/>
            <w:u w:val="single"/>
          </w:rPr>
          <w:t>Jo 1.1</w:t>
        </w:r>
      </w:hyperlink>
      <w:r>
        <w:t>), e várias outras expressões abstratas. João pode ter sido influenciado pelo centro egípcio de Alexandria, onde a filosofia grega e o aprendizado hebraico haviam se fundido de uma maneira única.</w:t>
      </w:r>
    </w:p>
    <w:p>
      <w:r/>
      <w:r>
        <w:t>O apóstolo Paulo também estava familiarizado com os autores gregos (</w:t>
      </w:r>
      <w:hyperlink r:id="rId2411">
        <w:r>
          <w:rPr>
            <w:color w:val="0000EE"/>
            <w:u w:val="single"/>
          </w:rPr>
          <w:t>Atos 17.28</w:t>
        </w:r>
      </w:hyperlink>
      <w:r>
        <w:t xml:space="preserve">; </w:t>
      </w:r>
      <w:hyperlink r:id="rId10840">
        <w:r>
          <w:rPr>
            <w:color w:val="0000EE"/>
            <w:u w:val="single"/>
          </w:rPr>
          <w:t>1Co 15.33</w:t>
        </w:r>
      </w:hyperlink>
      <w:r>
        <w:t xml:space="preserve">; </w:t>
      </w:r>
      <w:hyperlink r:id="rId6077">
        <w:r>
          <w:rPr>
            <w:color w:val="0000EE"/>
            <w:u w:val="single"/>
          </w:rPr>
          <w:t>Tt 1.12</w:t>
        </w:r>
      </w:hyperlink>
      <w:r>
        <w:t>). Assim, os oradores e filósofos gregos influenciaram a língua de Paul, bem como os profetas e estudiosos hebreus.</w:t>
      </w:r>
    </w:p>
    <w:p>
      <w:r/>
      <w:r>
        <w:t>Exatamente qual dialeto de hebraico ou aramaico que Jesus falou, é debatido. É certamente possível que Jesus também falava grego. O fato é que os Evangelhos foram originalmente escritos como textos gregos. Os registros em grego dos ensinamentos e realizações de Jesus prepararam o caminho para o evangelho se espalhar por toda a cultura de língua grega.</w:t>
      </w:r>
    </w:p>
    <w:p>
      <w:r/>
      <w:r>
        <w:t>A dignidade e restrição do grego koiné usado pelos escritores cristãos não era nem tão artificial e pedante quanto alguns escritos clássicos, nem tão trivial e vulgar quanto o koiné falado.</w:t>
      </w:r>
    </w:p>
    <w:p>
      <w:r/>
      <w:r>
        <w:t>As palavras gregas assumiam um significado mais rico e espiritual no contexto das Escrituras. Influenciado pela simplicidade e rica vivacidade do estilo semítico, o NT não foi escrito em uma língua específica do “Espírito Santo” (como alguns estudiosos medievais acreditavam), mas em grego koiné (comum), em grande parte por autores de pensamento semítico. Dezenas de milhares de papiros desenterrados no Egito no início do século XX fornecem paralelos lexicais e gramaticais com a linguagem bíblica, revelando que fazia parte do fundamento linguístico daquela era. No entanto, o grego do NT era “livre”, muitas vezes criando seu próprio idioma. Os escritores cristãos influenciaram o pensamento grego introduzindo novas expressões para transmitir sua mensagem sobre Jesus Cristo.</w:t>
      </w:r>
    </w:p>
    <w:p>
      <w:pPr>
        <w:pStyle w:val="Heading4"/>
      </w:pPr>
      <w:r>
        <w:t>Influência semítica</w:t>
      </w:r>
    </w:p>
    <w:p>
      <w:r/>
      <w:r>
        <w:t>Como o grego do Novo Testamento combina a sinceridade do pensamento hebraico com a precisão da expressão grega, a sutil delicadeza do grego muitas vezes interpreta conceitos hebraicos. A influência semita é mais forte nos Evangelhos, no livro do Apocalipse e na Carta de Tiago. Livros como Lucas e Hebreus exibem um estilo mais tipicamente grego. As epístolas do NT misturam a sabedoria do hebraico e a filosofia dialética do grego. Os sermões registrados no NT combinam a mensagem profética hebraica com a força oratória grega.</w:t>
      </w:r>
    </w:p>
    <w:p>
      <w:r/>
      <w:r>
        <w:t>Além de citações diretas e alusões da Septuaginta, uma influência semítica generalizada no grego do NT foi observada em muitas áreas. Por exemplo, a sintaxe do grego do NT contém muitos exemplos de estilo semítico.</w:t>
      </w:r>
    </w:p>
    <w:p>
      <w:pPr>
        <w:pStyle w:val="Heading4"/>
      </w:pPr>
      <w:r>
        <w:t>Vocabulário</w:t>
      </w:r>
    </w:p>
    <w:p>
      <w:r/>
      <w:r>
        <w:t>O vocabulário grego do NT é abundante e suficiente para transmitir apenas a tonalidade de significado que o autor deseja. Por exemplo, o NT usa duas palavras diferentes para “amor” (para dois tipos de amor), duas palavras para “outro” (outro do mesmo, ou outro de um tipo diferente) e várias palavras para vários tipos de conhecimento. Significativamente, algumas palavras são omitidas, tais como eros (um terceiro tipo de amor) e outras palavras comumente empregadas na cultura helenística daquela época.</w:t>
      </w:r>
    </w:p>
    <w:p>
      <w:r/>
      <w:r>
        <w:t xml:space="preserve">Além disso, as palavras gregas muitas vezes assumiam novos significados no contexto do evangelho, decorrentes de uma combinação de novos ensinamentos com uma moralidade exaltada. Os escritores não hesitaram em usar palavras como “vida”, “morte”, “glória” e “ira” de novas maneiras para expressar novos pensamentos. Às vezes, o significado literal de uma palavra quase desaparece, como quando os autores usam “água”, “lavar-se” e “batismo” para o poder espiritualmente purificador de Cristo. O vocabulário do NT também contém palavras encontradas em outros lugares apenas no AT grego, como “circuncisão”, “idolatria”, “anátema”, “diáspora” e “Pentecostes”. Palavras emprestadas do hebraico ou aramaico incluem aleluia e amém (hebraico), e </w:t>
      </w:r>
      <w:r>
        <w:rPr>
          <w:i/>
        </w:rPr>
        <w:t>abba, mamom</w:t>
      </w:r>
      <w:r>
        <w:t xml:space="preserve">, e </w:t>
      </w:r>
      <w:r>
        <w:rPr>
          <w:i/>
        </w:rPr>
        <w:t>corbã</w:t>
      </w:r>
      <w:r>
        <w:t xml:space="preserve"> (aramaico).</w:t>
      </w:r>
    </w:p>
    <w:p>
      <w:r/>
      <w:r>
        <w:t>Para entender o significado de uma palavra do NT, então, um léxico de grego clássico é útil, mas não suficiente. Devemos também saber como a palavra é usada no AT grego, nos escritos helenísticos, e nas inscrições e documentos que representam a linguagem da vida cotidiana. Os documentos de papiro fornecem muitas ilustrações do significado das palavras do NT. Por exemplo, a palavra grega para “contribuição” (</w:t>
      </w:r>
      <w:hyperlink r:id="rId4390">
        <w:r>
          <w:rPr>
            <w:color w:val="0000EE"/>
            <w:u w:val="single"/>
          </w:rPr>
          <w:t>1Co 16.1</w:t>
        </w:r>
      </w:hyperlink>
      <w:r>
        <w:t>), que antes se pensava ser limitada ao NT, é comumente usada com o mesmo significado nos papiros. Muitas palavras gregas, uma vez definidas com base no grego clássico, receberam um significado mais nítido à luz de seu uso nos papiros.</w:t>
      </w:r>
    </w:p>
    <w:p>
      <w:pPr>
        <w:pStyle w:val="Heading3"/>
      </w:pPr>
      <w:r>
        <w:t>Gramática</w:t>
      </w:r>
    </w:p>
    <w:p>
      <w:r/>
      <w:r>
        <w:t>Como em outras línguas indo-europeias, o significado das palavras gregas é afetado pela adição e alteração de vários prefixos e sufixos (o processo conhecido como inflexão). Embora seu sistema de inflexão seja simplificado em comparação com o grego clássico, o grego do NT é mais flexionado do que muitas línguas. O significado grego é, portanto, menos suscetível à ambiguidade do que o português.</w:t>
      </w:r>
    </w:p>
    <w:p>
      <w:r/>
      <w:r>
        <w:t>Em contraste com o hebraico, o grego tem um gênero neutro, bem como masculino e feminino. As muitas e precisas preposições gregas são sutis, tendo vários significados dependendo de seu contexto. O grego do NT usa apenas cerca de metade das partículas usadas no grego clássico.</w:t>
      </w:r>
    </w:p>
    <w:p>
      <w:r/>
      <w:r>
        <w:t>O sistema de verbos gregos, muito mais complicado do que o do hebraico, é capaz de nuances de significado difíceis de expressar até mesmo em português. Cada verbo grego tem cinco aspectos, que os gramáticos chamam de tempo, modo, voz, pessoa e número.</w:t>
      </w:r>
    </w:p>
    <w:p>
      <w:pPr>
        <w:pStyle w:val="Heading4"/>
      </w:pPr>
      <w:r>
        <w:t>Tempo</w:t>
      </w:r>
    </w:p>
    <w:p>
      <w:r/>
      <w:r>
        <w:t xml:space="preserve">O tempo do verbo grego lida principalmente com </w:t>
      </w:r>
      <w:r>
        <w:rPr>
          <w:i/>
        </w:rPr>
        <w:t>o tipo de ação</w:t>
      </w:r>
      <w:r>
        <w:t xml:space="preserve">, em vez do </w:t>
      </w:r>
      <w:r>
        <w:rPr>
          <w:i/>
        </w:rPr>
        <w:t>tempo de ação</w:t>
      </w:r>
      <w:r>
        <w:t xml:space="preserve">, como em português. Em grego, há três tipos básicos de ação: </w:t>
      </w:r>
      <w:r>
        <w:rPr>
          <w:i/>
        </w:rPr>
        <w:t>durativo,</w:t>
      </w:r>
      <w:r>
        <w:t xml:space="preserve"> expresso no presente, imperfeito e (às vezes) futuro; </w:t>
      </w:r>
      <w:r>
        <w:rPr>
          <w:i/>
        </w:rPr>
        <w:t>simples</w:t>
      </w:r>
      <w:r>
        <w:t xml:space="preserve"> ou pontual, expresso no aoristo e (muitas vezes) futuro; e </w:t>
      </w:r>
      <w:r>
        <w:rPr>
          <w:i/>
        </w:rPr>
        <w:t>completo,</w:t>
      </w:r>
      <w:r>
        <w:t xml:space="preserve"> expresso no tempo perfeito (os resultados da ação passada continuam no presente) e mais-que-perfeito (os resultados estão confinados ao passado).</w:t>
      </w:r>
    </w:p>
    <w:p>
      <w:r/>
      <w:r>
        <w:t>Os tempos verbais gregos são muitas vezes difíceis de traduzir para o português; o tempo de ação, bem como o significado básico do tronco do verbo (como se trata um objeto) devem ser sutilmente misturados com o tipo de ação em uma única ideia.</w:t>
      </w:r>
    </w:p>
    <w:p>
      <w:pPr>
        <w:pStyle w:val="Heading4"/>
      </w:pPr>
      <w:r>
        <w:t>Modo</w:t>
      </w:r>
    </w:p>
    <w:p>
      <w:r/>
      <w:r>
        <w:t>O modo mostra como a ação de um verbo deve ser entendida. A ação é real? (Use o modo indicativo). A ação é exigida por alguém? (Use o modo imperativo). A ação depende de outras condições? (Use o modo subjuntivo ou optativo). A ação é basicamente descritiva de outro substantivo? (Use um particípio). A ação é basicamente substantiva? (Use um infinitivo). Na gramática, um substantivo é uma palavra ou grupo de palavras que funcionam para identificar qualquer um de uma classe de pessoas, lugares ou coisas em geral; os dois últimos exemplos não são estritamente modos, mas eles são usados dessa maneira pelos gramáticos. Os modos dão a um escritor grego uma rica escolha de expressão verbal.</w:t>
      </w:r>
    </w:p>
    <w:p>
      <w:pPr>
        <w:pStyle w:val="Heading4"/>
      </w:pPr>
      <w:r>
        <w:t>Voz</w:t>
      </w:r>
    </w:p>
    <w:p>
      <w:r/>
      <w:r>
        <w:t>A voz de um verbo descreve se a ação é dirigida para fora (ativo), para dentro (no meio) ou para trás sobre o assunto da frase (passivo).</w:t>
      </w:r>
    </w:p>
    <w:p>
      <w:pPr>
        <w:pStyle w:val="Heading4"/>
      </w:pPr>
      <w:r>
        <w:t>Pessoa</w:t>
      </w:r>
    </w:p>
    <w:p>
      <w:r/>
      <w:r>
        <w:t>A pessoa de um verbo diz quem está fazendo a ação, se eu (primeira pessoa), você (segunda pessoa) ou outra (terceira pessoa).</w:t>
      </w:r>
    </w:p>
    <w:p>
      <w:pPr>
        <w:pStyle w:val="Heading4"/>
      </w:pPr>
      <w:r>
        <w:t>Número</w:t>
      </w:r>
    </w:p>
    <w:p>
      <w:r/>
      <w:r>
        <w:t>O número do verbo mostra se a ação é realizada por uma pessoa (singular) ou mais de uma pessoa (plural).</w:t>
      </w:r>
    </w:p>
    <w:p>
      <w:pPr>
        <w:pStyle w:val="Heading3"/>
      </w:pPr>
      <w:r>
        <w:t>Estilo</w:t>
      </w:r>
    </w:p>
    <w:p>
      <w:r/>
      <w:r>
        <w:t>O NT contém uma variedade de estilos de escrita em seu uso do grego. Os Evangelhos exibem especialmente características semitas. Mateus usa um estilo menos pitoresco do que o de Marcos e, em alguns aspectos, próximo ao estilo de Lucas, Atos, Hebreus, Tiago e 1 Pedro. O estilo de Lucas varia do de Marcos e Mateus; é elegante. O estilo bastante simples de João contém muitos semitismos.</w:t>
      </w:r>
    </w:p>
    <w:p>
      <w:r/>
      <w:r>
        <w:t>Entre as cartas do apóstolo Paulo, diferenças de estilo foram observadas. O menos literário e mais direto em expressão são suas Cartas aos Tessalonicenses. As pastorais (1–2 Timóteo, Tito) têm um estilo mais próximo do koiné do que a maioria das outras epístolas — não tão judaicas, e não tão influenciado pela Septuaginta quanto suas outras cartas.</w:t>
      </w:r>
    </w:p>
    <w:p>
      <w:r/>
      <w:r>
        <w:t>A Carta aos Hebreus combina elegância com o estilo judaico-grego. A carta de Tiago, embora alta em qualidade, não é tão sensível em estilo quanto os hebreus. Menos elegante é 1 Pedro, que é fortemente influenciado pela Septuaginta e, portanto, reflete o estilo semítico.</w:t>
      </w:r>
    </w:p>
    <w:p>
      <w:r/>
      <w:r>
        <w:t>A Carta de Judas contém uma dicção elevada e um pouco pesada, e mostra a influência do estilo judaico. Segunda Pedro, assemelhando-se a Judas em seu estilo alto, é ainda mais influenciada pela Septuaginta.</w:t>
      </w:r>
    </w:p>
    <w:p>
      <w:r/>
      <w:r>
        <w:t>O livro de Apocalipse tem um estilo geralmente simples, mas mostra considerável influência semítica em seu uso de paralelismo e redundância. Os estudiosos linguísticos identificaram uma série de erros gramaticais aparentes no grego do Apocalipse.</w:t>
      </w:r>
      <w:r/>
      <w:r/>
    </w:p>
    <w:p>
      <w:r/>
    </w:p>
    <w:p>
      <w:pPr>
        <w:pStyle w:val="Heading2"/>
      </w:pPr>
      <w:r>
        <w:t>Língua Hebraica</w:t>
      </w:r>
      <w:r/>
    </w:p>
    <w:p>
      <w:r/>
      <w:r>
        <w:t>Língua do povo judeu. O nome hebraico não é aplicado pelo AT à sua própria língua, embora o NT use o nome dessa forma. No AT, a língua hebraica é chamada literalmente de "a língua de Canaã" (</w:t>
      </w:r>
      <w:hyperlink r:id="rId10505">
        <w:r>
          <w:rPr>
            <w:color w:val="0000EE"/>
            <w:u w:val="single"/>
          </w:rPr>
          <w:t>Is 19.18</w:t>
        </w:r>
      </w:hyperlink>
      <w:r>
        <w:t>, ARC) ou "a língua dos judeus" (</w:t>
      </w:r>
      <w:hyperlink r:id="rId2355">
        <w:r>
          <w:rPr>
            <w:color w:val="0000EE"/>
            <w:u w:val="single"/>
          </w:rPr>
          <w:t>Neemias 13.24</w:t>
        </w:r>
      </w:hyperlink>
      <w:r>
        <w:t>).</w:t>
      </w:r>
    </w:p>
    <w:p>
      <w:r/>
      <w:r>
        <w:t>Resumo:</w:t>
      </w:r>
    </w:p>
    <w:p>
      <w:r/>
      <w:r>
        <w:t>• Origem e história</w:t>
      </w:r>
    </w:p>
    <w:p>
      <w:r/>
      <w:r>
        <w:t>• Família de línguas</w:t>
      </w:r>
    </w:p>
    <w:p>
      <w:r/>
      <w:r>
        <w:t>• Características</w:t>
      </w:r>
    </w:p>
    <w:p>
      <w:r/>
      <w:r>
        <w:t>• Escrita e gramática hebraica</w:t>
      </w:r>
    </w:p>
    <w:p>
      <w:r/>
      <w:r>
        <w:t>• Estilo</w:t>
      </w:r>
    </w:p>
    <w:p>
      <w:r/>
      <w:r>
        <w:t>• Legado</w:t>
      </w:r>
    </w:p>
    <w:p>
      <w:pPr>
        <w:pStyle w:val="Heading3"/>
      </w:pPr>
      <w:r>
        <w:t>Origem e história</w:t>
      </w:r>
    </w:p>
    <w:p>
      <w:r/>
      <w:r>
        <w:t>Na Idade Média, uma visão comum era que o hebraico era a língua primitiva da humanidade. Mesmo na América colonial, o hebraico ainda era referido como "a mãe de todas as línguas". A pesquisa linguística agora tornou essa teoria insustentável.</w:t>
      </w:r>
    </w:p>
    <w:p>
      <w:r/>
      <w:r>
        <w:t>O hebraico é, na verdade, um dos vários dialetos cananeus que incluíam o fenício, o ugarítico e o moabita. Outros dialetos cananeus (por exemplo, o amonita) existiram, mas deixaram inscrições insuficientes para investigação acadêmica. Esses dialetos já estavam presentes na terra de Canaã antes de sua conquista pelos israelitas.</w:t>
      </w:r>
    </w:p>
    <w:p>
      <w:r/>
      <w:r>
        <w:t>Até cerca de 1974, os testemunhos mais antigos da língua cananeia foram encontrados nos registros de Ugarit e Amarna, datando dos séculos 14 e 15 a.C. Algumas palavras e expressões Cananeias apareceram em registros egípcios anteriores, mas a origem do Cananeu era incerta. Entre 1974 e 1976, no entanto, quase 17.000 tábuas foram desenterradas em Tell Mardikh (antiga Ebla) no norte da Síria, escritas em um dialeto semítico até então desconhecido. Como possivelmente datam de 2400 a.C. (talvez até mais cedo), muitos estudiosos pensam que essa língua pode ser o “Antigo Cananeu” que deu origem ao hebraico. Em 1977, quando outras 1.000 tábuas foram descobertas, apenas cerca de 100 inscrições de Ebla haviam sido relatadas. As línguas mudam ao longo de um longo período de tempo. Por exemplo, o português usado na época de Luiz de Camões pode parecer mais com o espanhol para aqueles que fala o português contemporâneo. Embora o hebraico não fosse exceção ao princípio geral, como outras línguas semíticas, ele permaneceu notavelmente estável ao longo de muitos séculos. Poemas como o Cântico de Débora (</w:t>
      </w:r>
      <w:hyperlink r:id="rId4184">
        <w:r>
          <w:rPr>
            <w:color w:val="0000EE"/>
            <w:u w:val="single"/>
          </w:rPr>
          <w:t>Jz 5</w:t>
        </w:r>
      </w:hyperlink>
      <w:r>
        <w:t>) tendiam a preservar a forma mais antiga da língua. As mudanças que ocorreram mais tarde na longa história da língua são mostradas na presença de palavras arcaicas (frequentemente preservadas na linguagem poética) e uma diferença geral de estilo. Por exemplo, o livro de Jó reflete um estilo mais arcaico do que o livro de Ester.</w:t>
      </w:r>
    </w:p>
    <w:p>
      <w:r/>
      <w:r>
        <w:t>Vários dialetos hebraicos aparentemente existiam lado a lado nos tempos do AT, como refletido no episódio envolvendo a pronúncia da palavra hebraica “chibolete/sibolete” (</w:t>
      </w:r>
      <w:hyperlink r:id="rId13028">
        <w:r>
          <w:rPr>
            <w:color w:val="0000EE"/>
            <w:u w:val="single"/>
          </w:rPr>
          <w:t>Jz 12.4–6</w:t>
        </w:r>
      </w:hyperlink>
      <w:r>
        <w:t>). Parece que os israelitas a leste do Jordão pronunciavam a letra inicial com um som forte de “ch”, enquanto aqueles em Canaã davam a ela o simples som de “s”. Os estudiosos também identificaram características do hebraico que poderiam ser descritas como refletindo as partes norte ou sul do país.</w:t>
      </w:r>
    </w:p>
    <w:p>
      <w:pPr>
        <w:pStyle w:val="Heading3"/>
      </w:pPr>
      <w:r>
        <w:t>Família de línguas</w:t>
      </w:r>
    </w:p>
    <w:p>
      <w:r/>
      <w:r>
        <w:t>O hebraico pertence à família de línguas semíticas; essas línguas eram usadas desde o Mar Mediterrâneo até as montanhas a leste do vale do Rio Eufrates, e desde a Armênia (Turquia) no norte até a extremidade sul da península arábica. As línguas semíticas são classificadas como do sul (árabe e etíope), do leste (acadiano) e do noroeste (aramaico, siríaco e cananeu — hebraico, fenício, ugarítico e moabita).</w:t>
      </w:r>
    </w:p>
    <w:p>
      <w:pPr>
        <w:pStyle w:val="Heading3"/>
      </w:pPr>
      <w:r>
        <w:t>Características</w:t>
      </w:r>
    </w:p>
    <w:p>
      <w:r/>
      <w:r>
        <w:t>O hebraico, assim como as outras línguas semíticas antigas, concentra-se mais na observação do que na reflexão. Ou seja, as coisas são geralmente observadas de acordo com sua aparência como fenômenos, não analisadas quanto ao seu ser ou essência interior. Os efeitos são observados, mas não são rastreados através de uma série de causas.</w:t>
      </w:r>
    </w:p>
    <w:p>
      <w:r/>
      <w:r>
        <w:t xml:space="preserve">A vivacidade, concisão e simplicidade do hebraico tornam a língua difícil de traduzir completamente. É incrivelmente conciso e direto. Por exemplo, </w:t>
      </w:r>
      <w:hyperlink r:id="rId9047">
        <w:r>
          <w:rPr>
            <w:color w:val="0000EE"/>
            <w:u w:val="single"/>
          </w:rPr>
          <w:t>Salmo 23</w:t>
        </w:r>
      </w:hyperlink>
      <w:r>
        <w:t xml:space="preserve"> contém 55 palavras; a maioria das traduções requer cerca do dobro para traduzi-lo. As duas primeiras linhas, com barras separando as palavras individuais em hebraico no original, são:</w:t>
      </w:r>
    </w:p>
    <w:p>
      <w:r/>
      <w:r>
        <w:t>O Senhor/[é] meu pastor/</w:t>
      </w:r>
    </w:p>
    <w:p>
      <w:r/>
      <w:r>
        <w:t>Eu irer necessitar/não</w:t>
      </w:r>
    </w:p>
    <w:p>
      <w:r/>
      <w:r>
        <w:t>Assim, são necessárias oito palavras em português para traduzir quatro palavras em hebraico.</w:t>
      </w:r>
    </w:p>
    <w:p>
      <w:r/>
      <w:r>
        <w:t>O hebraico não usa expressões distintas e separadas para cada nuance de pensamento. Alguém disse: “Os semitas foram as pedreiras cujos grandes blocos brutos os gregos apararam, poliram e ajustaram. Os primeiros deram a religião; os últimos, a filosofia”.</w:t>
      </w:r>
    </w:p>
    <w:p>
      <w:r/>
      <w:r>
        <w:t>O hebraico é uma língua pictórica na qual o passado não é apenas descrito, mas pintado verbalmente. Não é apenas uma paisagem que é apresentada, mas um panorama em movimento. O curso dos eventos é reencenado na visão da mente. (Note o uso frequente de “eis”, um hebraísmo levado para o NT). Expressões hebraicas comuns como “ele se levantou e foi”, “ele abriu os lábios e falou”, “ele levantou os olhos e viu” e “ele levantou a voz e chorou” ilustram a força pictórica da língua.</w:t>
      </w:r>
    </w:p>
    <w:p>
      <w:r/>
      <w:r>
        <w:t>Muitas expressões teológicas profundas do AT estão intimamente ligadas à língua e à gramática hebraicas. Mesmo o nome mais sagrado de Deus, “o Senhor” (Yahweh), está diretamente relacionado ao verbo hebraico “ser” (ou talvez “causar a ser”). Muitos outros nomes de pessoas e lugares no AT só podem ser melhor compreendidos com um conhecimento prático do hebraico.</w:t>
      </w:r>
    </w:p>
    <w:p>
      <w:pPr>
        <w:pStyle w:val="Heading3"/>
      </w:pPr>
      <w:r>
        <w:t>Escrita e gramática hebraica</w:t>
      </w:r>
    </w:p>
    <w:p>
      <w:pPr>
        <w:pStyle w:val="Heading4"/>
      </w:pPr>
      <w:r>
        <w:t>Alfabeto e escrita</w:t>
      </w:r>
    </w:p>
    <w:p>
      <w:r/>
      <w:r>
        <w:t>O alfabeto hebraico consiste em 22 consoantes; sinais para vogais foram desenvolvidos e adicionados tardiamente na história da língua. A origem do alfabeto é desconhecida. Os exemplos mais antigos de um alfabeto cananeu foram preservados no alfabeto cuneiforme ugarítico do século 14 a.C.</w:t>
      </w:r>
    </w:p>
    <w:p>
      <w:r/>
      <w:r>
        <w:t>O antigo estilo de escrever as letras é chamado de escrita fenícia ou paleo-hebraica. É o predecessor do alfabeto grego e de outros alfabetos ocidentais. A escrita usada nas bíblias hebraicas modernas (aramaica ou quadrada) tornou-se popular após o exílio de Israel na Babilônia (século sexto a.C.). O estilo mais antigo ainda era usado esporadicamente no início da era cristã em moedas e para escrever o nome de Deus (como nos Rolos do Mar Morto). O hebraico sempre foi escrito da direita para a esquerda.</w:t>
      </w:r>
    </w:p>
    <w:p>
      <w:pPr>
        <w:pStyle w:val="Heading4"/>
      </w:pPr>
      <w:r>
        <w:t>Consoantes</w:t>
      </w:r>
    </w:p>
    <w:p>
      <w:r/>
      <w:r>
        <w:t>O alfabeto cananeu das línguas fenícia e moabita tinha 22 consoantes. A língua cananeia mais antiga refletida no ugarítico tinha mais consoantes. O árabe também preserva algumas consoantes do Antigo Cananeu encontradas no ugarítico, mas ausentes no hebraico.</w:t>
      </w:r>
    </w:p>
    <w:p>
      <w:pPr>
        <w:pStyle w:val="Heading4"/>
      </w:pPr>
      <w:r>
        <w:t>Vogais</w:t>
      </w:r>
    </w:p>
    <w:p>
      <w:r/>
      <w:r>
        <w:t>No escrita original consonantal do hebraico, as vogais eram simplesmente compreendidas pelo escritor ou leitor. Com base na tradição e no contexto, o leitor forneceria as vogais necessárias. Após o colapso da nação em 70 d.C., a dispersão dos judeus e a destruição de Jerusalém levaram o hebraico a se tornar uma “língua morta”, não mais amplamente falada. A perda da pronúncia e compreensão tradicionais tornou-se então mais uma possibilidade, então os escribas judeus sentiram a necessidade de estabelecer permanentemente os sons das vogais.</w:t>
      </w:r>
    </w:p>
    <w:p>
      <w:r/>
      <w:r>
        <w:t xml:space="preserve">Primeiro, letras vogais chamadas "mães da leitura" </w:t>
      </w:r>
      <w:r>
        <w:rPr>
          <w:i/>
        </w:rPr>
        <w:t>(matres lectionis)</w:t>
      </w:r>
      <w:r>
        <w:t xml:space="preserve"> foram adicionadas. Estas eram consoantes usadas especialmente para indicar vogais longas. Estas foram adicionadas antes da era cristã, como revelam os Manuscritos do Mar Morto.</w:t>
      </w:r>
    </w:p>
    <w:p>
      <w:r/>
      <w:r>
        <w:t>Mais tarde (por volta do quinto século d.C.), os escribas chamados Massoretas adicionaram sinais vocálicos para indicar vogais curtas. Pelo menos três sistemas diferentes de sinais vocálicos foram empregados em diferentes épocas e lugares. O texto usado hoje representa o sistema elaborado pelos escribas massoréticos que trabalharam na cidade de Tiberíades. As vogais, cada uma das quais pode ser longa ou curta, são indicadas por pontos ou traços colocados acima ou abaixo das consoantes. Certas combinações de pontos e traços representam sons vocálicos muito curtos, ou “meia-vogais”.</w:t>
      </w:r>
    </w:p>
    <w:p>
      <w:pPr>
        <w:pStyle w:val="Heading4"/>
      </w:pPr>
      <w:r>
        <w:t>Ligação</w:t>
      </w:r>
    </w:p>
    <w:p>
      <w:r/>
      <w:r>
        <w:t>O hebraico junta muitas palavras que, nas línguas ocidentais, seriam escritas separadamente. Algumas preposições (be-, “em”; le-, “para”; ke-, “como”) são prefixadas diretamente ao substantivo ou verbo que introduzem, assim como o artigo definido ha-, “o/a” e a conjunção va-, “e”. Sufixos são usados para pronomes, seja na relação possessiva ou acusativa. A mesma palavra pode ter simultaneamente um prefixo e um sufixo.</w:t>
      </w:r>
    </w:p>
    <w:p>
      <w:pPr>
        <w:pStyle w:val="Heading4"/>
      </w:pPr>
      <w:r>
        <w:t>Substantivos</w:t>
      </w:r>
    </w:p>
    <w:p>
      <w:r/>
      <w:r>
        <w:t>O hebraico não tem gênero neutro; tudo é masculino ou feminino. Objetos inanimados podem ser masculinos ou femininos, dependendo da formação ou do caráter da palavra. Geralmente, ideias abstratas ou palavras que indicam um grupo são femininas. Os substantivos são derivados de raízes e são formados de várias maneiras, seja por modificação de vogais ou pela adição de prefixos ou sufixos à raiz. Ao contrário do grego e de muitas línguas ocidentais, os substantivos compostos não são característicos do hebraico.</w:t>
      </w:r>
    </w:p>
    <w:p>
      <w:r/>
      <w:r>
        <w:t xml:space="preserve">O plural em hebraico é formado adicionando -im para substantivos masculinos </w:t>
      </w:r>
      <w:r>
        <w:rPr>
          <w:i/>
        </w:rPr>
        <w:t>(</w:t>
      </w:r>
      <w:r>
        <w:t>serafins, querubins</w:t>
      </w:r>
      <w:r>
        <w:rPr>
          <w:i/>
        </w:rPr>
        <w:t>)</w:t>
      </w:r>
      <w:r>
        <w:t xml:space="preserve"> e -ot para substantivos femininos.</w:t>
      </w:r>
    </w:p>
    <w:p>
      <w:r/>
      <w:r>
        <w:t>Três terminações de caso originais indicando nominativo, genitivo e acusativo desapareceram durante a evolução do hebraico. Para compensar a falta de terminações de caso, o hebraico recorre a vários indicadores. Objetos indiretos são indicados pela preposição le-, “para”; objetos diretos pelo sinal objetivo ’et</w:t>
      </w:r>
      <w:r>
        <w:rPr>
          <w:i/>
        </w:rPr>
        <w:t>;</w:t>
      </w:r>
      <w:r>
        <w:t xml:space="preserve"> a relação genitiva colocando a palavra antes do genitivo no “estado construto” ou forma abreviada.</w:t>
      </w:r>
    </w:p>
    <w:p>
      <w:pPr>
        <w:pStyle w:val="Heading4"/>
      </w:pPr>
      <w:r>
        <w:t>Adjetivos</w:t>
      </w:r>
    </w:p>
    <w:p>
      <w:r/>
      <w:r>
        <w:t>O hebraico é deficiente em adjetivos. "Um coração duplo" é indicado no hebraico original por "um coração e um coração" (</w:t>
      </w:r>
      <w:hyperlink r:id="rId13029">
        <w:r>
          <w:rPr>
            <w:color w:val="0000EE"/>
            <w:u w:val="single"/>
          </w:rPr>
          <w:t>Sl 12.2</w:t>
        </w:r>
      </w:hyperlink>
      <w:r>
        <w:t>), e "dois pesos diferentes" é na verdade "uma pedra e uma pedra" (</w:t>
      </w:r>
      <w:hyperlink r:id="rId3826">
        <w:r>
          <w:rPr>
            <w:color w:val="0000EE"/>
            <w:u w:val="single"/>
          </w:rPr>
          <w:t>Dt 25.13</w:t>
        </w:r>
      </w:hyperlink>
      <w:r>
        <w:t>); "toda a família real" é "a semente do reino" (</w:t>
      </w:r>
      <w:hyperlink r:id="rId13030">
        <w:r>
          <w:rPr>
            <w:color w:val="0000EE"/>
            <w:u w:val="single"/>
          </w:rPr>
          <w:t>2Rs 11.1</w:t>
        </w:r>
      </w:hyperlink>
      <w:r>
        <w:t>).</w:t>
      </w:r>
    </w:p>
    <w:p>
      <w:r/>
      <w:r>
        <w:t>Os adjetivos que existem em hebraico não têm formas comparativas ou superlativas. A relação é indicada pela preposição "de". "Melhor do que você" é expresso literalmente em hebraico como "bom de você". "A serpente era mais sutil do que qualquer outra besta" é literalmente "a serpente era sutil de todas bestas" (</w:t>
      </w:r>
      <w:hyperlink r:id="rId296">
        <w:r>
          <w:rPr>
            <w:color w:val="0000EE"/>
            <w:u w:val="single"/>
          </w:rPr>
          <w:t>Gn 3.1</w:t>
        </w:r>
      </w:hyperlink>
      <w:r>
        <w:t>). O superlativo é expresso por várias construções diferentes. A ideia de "muito profundo" é literalmente "profundo, profundo" (</w:t>
      </w:r>
      <w:hyperlink r:id="rId13031">
        <w:r>
          <w:rPr>
            <w:color w:val="0000EE"/>
            <w:u w:val="single"/>
          </w:rPr>
          <w:t>Ec 7.24</w:t>
        </w:r>
      </w:hyperlink>
      <w:r>
        <w:t>); a "melhor canção" é literalmente "canção das canções" (compare "rei dos reis"); "o mais santo" é literalmente "santo, santo, santo" (</w:t>
      </w:r>
      <w:hyperlink r:id="rId6877">
        <w:r>
          <w:rPr>
            <w:color w:val="0000EE"/>
            <w:u w:val="single"/>
          </w:rPr>
          <w:t>Is 6.3</w:t>
        </w:r>
      </w:hyperlink>
      <w:r>
        <w:t>).</w:t>
      </w:r>
    </w:p>
    <w:p>
      <w:pPr>
        <w:pStyle w:val="Heading4"/>
      </w:pPr>
      <w:r>
        <w:t>Verbos</w:t>
      </w:r>
    </w:p>
    <w:p>
      <w:r/>
      <w:r>
        <w:t>Os verbos hebraicos são formados a partir de uma raiz que geralmente consiste em três letras. A partir dessas raízes, as formas verbais são desenvolvidas por uma mudança de vogais ou pela adição de prefixos ou sufixos. As consoantes da raiz fornecem a espinha dorsal semântica da língua e dão uma estabilidade de significado não característica das línguas ocidentais. As vogais são bastante flexíveis, conferindo ao hebraico uma considerável elasticidade.</w:t>
      </w:r>
    </w:p>
    <w:p>
      <w:r/>
      <w:r>
        <w:t xml:space="preserve">O uso do verbo hebraico não é caracterizado por uma definição precisa de tempos verbais. Os tempos hebraicos, especialmente na poesia, são amplamente determinados pelo contexto. As duas formações de tempo são o perfeito (ação concluída) e o imperfeito (ação incompleta). O imperfeito é ambíguo. Ele representa o modo indicativo (presente, passado, futuro), mas também pode representar modos como o imperativo, optativo e jussivo ou coortativo. Um uso distintivo do tempo perfeito é o "perfeito profético", onde a forma perfeita representa um evento futuro considerado tão certo que é expresso como passado (e.g., veja </w:t>
      </w:r>
      <w:hyperlink r:id="rId13032">
        <w:r>
          <w:rPr>
            <w:color w:val="0000EE"/>
            <w:u w:val="single"/>
          </w:rPr>
          <w:t>Is 5.13</w:t>
        </w:r>
      </w:hyperlink>
      <w:r>
        <w:t>).</w:t>
      </w:r>
    </w:p>
    <w:p>
      <w:pPr>
        <w:pStyle w:val="Heading3"/>
      </w:pPr>
      <w:r>
        <w:t>Estilo</w:t>
      </w:r>
    </w:p>
    <w:p>
      <w:pPr>
        <w:pStyle w:val="Heading4"/>
      </w:pPr>
      <w:r>
        <w:t>Vocabulário</w:t>
      </w:r>
    </w:p>
    <w:p>
      <w:r/>
      <w:r>
        <w:t>A maioria das raízes hebraicas originalmente expressava alguma ação física ou denotava algum objeto natural. O verbo "decidir" originalmente significava "cortar"; "ser verdadeiro" originalmente significava "estar firmemente fixado"; "ser correto" significava "ser reto"; "ser honrado" significava "ser pesado".</w:t>
      </w:r>
    </w:p>
    <w:p>
      <w:r/>
      <w:r>
        <w:t xml:space="preserve">Termos abstratos são estranhos ao caráter do hebraico; por exemplo, o hebraico bíblico não tem palavras específicas para “teologia”, “filosofia” ou “religião”. Conceitos intelectuais ou teológicos são expressos por termos concretos. A ideia abstrata de pecado é representada por palavras como “errar o alvo” ou “torto” ou “rebelião” ou “transgressão” (“atravessar”). Mente ou intelecto é expresso por “coração” ou “rins”, e emoção ou compaixão por “entranhas” (veja </w:t>
      </w:r>
      <w:hyperlink r:id="rId5273">
        <w:r>
          <w:rPr>
            <w:color w:val="0000EE"/>
            <w:u w:val="single"/>
          </w:rPr>
          <w:t>Is 63.15</w:t>
        </w:r>
      </w:hyperlink>
      <w:r>
        <w:t>, ARC). Outros termos concretos em hebraico são “chifre” para força ou vigor, “ossos” para si mesmo, e “semente” para descendentes. Uma qualidade mental é frequentemente representada pela parte do corpo considerada sua encarnação mais apropriada. Força pode ser representada por “braço” ou “mão”, raiva por “narina”, desagrado por “rosto caído”, aceitação por “rosto brilhante”, pensar por “dizer”.</w:t>
      </w:r>
    </w:p>
    <w:p>
      <w:r/>
      <w:r>
        <w:t>Alguns tradutores tentaram representar uma palavra hebraica sempre pela mesma palavra em português, mas isso leva a sérios problemas. Às vezes, há um desacordo considerável sobre a exata nuance de significado de uma palavra hebraica em uma determinada passagem. Uma única raiz frequentemente representa uma variedade de significados, dependendo do uso e contexto. A palavra para “abençoar” também pode significar “amaldiçoar, cumprimentar, favorecer, louvar”. A palavra para “julgamento” é usada também para “justiça, veredicto, penalidade, ordenança, dever, costume, maneira”. A palavra para “força” ou “poder” também significa “exército, virtude, valor, coragem”.</w:t>
      </w:r>
    </w:p>
    <w:p>
      <w:r/>
      <w:r>
        <w:t>Mais ambiguidade surge do fato de que algumas consoantes hebraicas representam duas consoantes originais diferentes que se fundiram na evolução da língua. Duas palavras que à primeira vista parecem idênticas podem ser rastreadas até duas raízes diferentes. Para um exemplo desse fenômeno em português, compare "manga" (fruta) com "manga" (parte da roupa).</w:t>
      </w:r>
    </w:p>
    <w:p>
      <w:pPr>
        <w:pStyle w:val="Heading4"/>
      </w:pPr>
      <w:r>
        <w:t>Sintaxe</w:t>
      </w:r>
    </w:p>
    <w:p>
      <w:r/>
      <w:r>
        <w:t xml:space="preserve">A sintaxe hebraica é relativamente descomplicada. Poucas conjunções subordinadas (“se”, “quando”, “porque”, etc.) são usadas; as frases geralmente são coordenadas usando a simples conjunção “e”. As traduções em inglês de textos bíblicos geralmente tentam mostrar a conexão lógica entre frases sucessivas, mesmo que nem sempre seja clara. Em </w:t>
      </w:r>
      <w:hyperlink r:id="rId13033">
        <w:r>
          <w:rPr>
            <w:color w:val="0000EE"/>
            <w:u w:val="single"/>
          </w:rPr>
          <w:t>Gn 1.2–3.1</w:t>
        </w:r>
      </w:hyperlink>
      <w:r>
        <w:t>, todos, exceto três dos 56 versículos, começam com “e”, no entanto, a nlt traduz essa conjunção de várias formas como “então” (</w:t>
      </w:r>
      <w:hyperlink r:id="rId13034">
        <w:r>
          <w:rPr>
            <w:color w:val="0000EE"/>
            <w:u w:val="single"/>
          </w:rPr>
          <w:t>1.3</w:t>
        </w:r>
      </w:hyperlink>
      <w:r>
        <w:t>), “assim” (</w:t>
      </w:r>
      <w:hyperlink r:id="rId7403">
        <w:r>
          <w:rPr>
            <w:color w:val="0000EE"/>
            <w:u w:val="single"/>
          </w:rPr>
          <w:t>1.27</w:t>
        </w:r>
      </w:hyperlink>
      <w:r>
        <w:t>), “e” (</w:t>
      </w:r>
      <w:hyperlink r:id="rId10775">
        <w:r>
          <w:rPr>
            <w:color w:val="0000EE"/>
            <w:u w:val="single"/>
          </w:rPr>
          <w:t>1.31</w:t>
        </w:r>
      </w:hyperlink>
      <w:r>
        <w:t>), e “mas” (</w:t>
      </w:r>
      <w:hyperlink r:id="rId13035">
        <w:r>
          <w:rPr>
            <w:color w:val="0000EE"/>
            <w:u w:val="single"/>
          </w:rPr>
          <w:t>2.6</w:t>
        </w:r>
      </w:hyperlink>
      <w:r>
        <w:t>).</w:t>
      </w:r>
    </w:p>
    <w:p>
      <w:r/>
      <w:r>
        <w:t>O estilo hebraico é animado pelo uso do discurso direto. O narrador não se limita a afirmar que "tal e tal pessoa disse que..." (discurso indireto). Em vez disso, as partes falam por si mesmas (discurso direto), criando uma narrativa viva que permanece mesmo após leituras repetidas.</w:t>
      </w:r>
    </w:p>
    <w:p>
      <w:pPr>
        <w:pStyle w:val="Heading4"/>
      </w:pPr>
      <w:r>
        <w:t>Poesia</w:t>
      </w:r>
    </w:p>
    <w:p>
      <w:r/>
      <w:r>
        <w:t>A poesia hebraica utiliza uma variedade de dispositivos retóricos. Alguns deles — como assonância, aliteração e acrósticos — só podem ser apreciados no hebraico original. Mas o paralelismo, a característica mais importante da poesia hebraica, é evidente mesmo na tradução para o português. Entre as muitas formas possíveis de paralelismo, existem quatro categorias comuns: (1) sinfônico, um estilo repetitivo em que linhas paralelas dizem a mesma coisa com palavras diferentes; (2) antitético, um estilo contrastante em que pensamentos contrários são expressos; (3) completivo, com uma linha paralela completando o pensamento da primeira; (4) climático, em que uma linha paralela ascendente retoma algo da primeira linha e o repete. Numerosas outras formas de paralelismo enriquecem a poesia hebraica. As variações possíveis de paralelismo são quase sem fim.</w:t>
      </w:r>
    </w:p>
    <w:p>
      <w:pPr>
        <w:pStyle w:val="Heading4"/>
      </w:pPr>
      <w:r>
        <w:t>Figuras de linguagem</w:t>
      </w:r>
    </w:p>
    <w:p>
      <w:r/>
      <w:r>
        <w:t>O hebraico abunda em figuras de linguagem expressivas baseadas no caráter e modo de vida do povo hebreu. Certas expressões estranhas, mas bem conhecidas, encontradas na literatura da língua portuguesa vêm do estilo hebraico, como “menina do olhos” (</w:t>
      </w:r>
      <w:hyperlink r:id="rId6723">
        <w:r>
          <w:rPr>
            <w:color w:val="0000EE"/>
            <w:u w:val="single"/>
          </w:rPr>
          <w:t>Dt 32.10</w:t>
        </w:r>
      </w:hyperlink>
      <w:r>
        <w:t xml:space="preserve">; </w:t>
      </w:r>
      <w:hyperlink r:id="rId13036">
        <w:r>
          <w:rPr>
            <w:color w:val="0000EE"/>
            <w:u w:val="single"/>
          </w:rPr>
          <w:t>Sl 17.8</w:t>
        </w:r>
      </w:hyperlink>
      <w:r>
        <w:t xml:space="preserve">; </w:t>
      </w:r>
      <w:hyperlink r:id="rId13037">
        <w:r>
          <w:rPr>
            <w:color w:val="0000EE"/>
            <w:u w:val="single"/>
          </w:rPr>
          <w:t>Pv 7.2</w:t>
        </w:r>
      </w:hyperlink>
      <w:r>
        <w:t xml:space="preserve">; </w:t>
      </w:r>
      <w:hyperlink r:id="rId13038">
        <w:r>
          <w:rPr>
            <w:color w:val="0000EE"/>
            <w:u w:val="single"/>
          </w:rPr>
          <w:t>Zc 2.8</w:t>
        </w:r>
      </w:hyperlink>
      <w:r>
        <w:t>). E em outros idiomas, algumas expressões derivadas do hebraico ainda existem, como no inglês: “pele dos meus dentes” (</w:t>
      </w:r>
      <w:hyperlink r:id="rId13039">
        <w:r>
          <w:rPr>
            <w:color w:val="0000EE"/>
            <w:u w:val="single"/>
          </w:rPr>
          <w:t>Jó 19.20</w:t>
        </w:r>
      </w:hyperlink>
      <w:r>
        <w:t>). Alguns dos modos de expressão hebraicos mais marcantes são difíceis de transferir para o português, como “descobrir o ouvido”, significando “divulgar, revelar”. Outros são mais familiares, como “endurecer o pescoço” para “ser teimoso, rebelde”; “inclinar ou inclinar o ouvido” para “ouvir atentamente”.</w:t>
      </w:r>
    </w:p>
    <w:p>
      <w:pPr>
        <w:pStyle w:val="Heading3"/>
      </w:pPr>
      <w:r>
        <w:t>Legado</w:t>
      </w:r>
    </w:p>
    <w:p>
      <w:r/>
      <w:r>
        <w:t>O português e várias outras línguas modernas foram enriquecidas pelo hebraico. O português até contém várias “palavras emprestadas” do hebraico. Algumas dessas tiveram ampla influência (“amém”, “aleluia”, “jubileu”). Muitos nomes próprios hebraicos são usados em línguas modernas para pessoas e lugares, como Davi, Jônatas/João, Miriã/Maria, Belém (o nome de várias cidades e vilas brasileiras e de outros países que falam o português).</w:t>
      </w:r>
    </w:p>
    <w:p>
      <w:r/>
      <w:r>
        <w:t>Muitas expressões hebraicas comuns foram inconscientemente aceitas nas figuras de linguagem em português, como em "boca da caverna" e "face da terra". Algumas figuras, como "Leste do Éden", foram usadas como títulos de livros e filmes.</w:t>
      </w:r>
      <w:r/>
      <w:r/>
    </w:p>
    <w:p>
      <w:r/>
    </w:p>
    <w:p>
      <w:pPr>
        <w:pStyle w:val="Heading2"/>
      </w:pPr>
      <w:r>
        <w:t>Línguas de fogo</w:t>
      </w:r>
      <w:r/>
    </w:p>
    <w:p>
      <w:r/>
      <w:r>
        <w:t xml:space="preserve">Uma frase em </w:t>
      </w:r>
      <w:hyperlink r:id="rId13040">
        <w:r>
          <w:rPr>
            <w:color w:val="0000EE"/>
            <w:u w:val="single"/>
          </w:rPr>
          <w:t>Atos 2.3</w:t>
        </w:r>
      </w:hyperlink>
      <w:r>
        <w:t>, descrevendo a aparência física do Espírito. As línguas de fogo parecem cumprir a previsão de João Batista de que o Messias batizaria com o Espírito Santo e com fogo (</w:t>
      </w:r>
      <w:hyperlink r:id="rId861">
        <w:r>
          <w:rPr>
            <w:color w:val="0000EE"/>
            <w:u w:val="single"/>
          </w:rPr>
          <w:t>Mt 3.11</w:t>
        </w:r>
      </w:hyperlink>
      <w:r>
        <w:t xml:space="preserve">; </w:t>
      </w:r>
      <w:hyperlink r:id="rId863">
        <w:r>
          <w:rPr>
            <w:color w:val="0000EE"/>
            <w:u w:val="single"/>
          </w:rPr>
          <w:t>Lc 3.16</w:t>
        </w:r>
      </w:hyperlink>
      <w:r>
        <w:t>). Os discípulos são descritos como estando cheios do Espírito Santo, cumprindo a promessa do Antigo Testamento que João Batista e Jesus repetiram sobre o batismo do Espírito.</w:t>
      </w:r>
    </w:p>
    <w:p>
      <w:r/>
      <w:r>
        <w:rPr>
          <w:i/>
        </w:rPr>
        <w:t>Veja também</w:t>
      </w:r>
      <w:r>
        <w:t xml:space="preserve"> </w:t>
      </w:r>
      <w:r>
        <w:t>Pentecostes</w:t>
      </w:r>
      <w:r>
        <w:t>.</w:t>
      </w:r>
      <w:r/>
      <w:r/>
    </w:p>
    <w:p>
      <w:r/>
    </w:p>
    <w:p>
      <w:pPr>
        <w:pStyle w:val="Heading2"/>
      </w:pPr>
      <w:r>
        <w:t>Línguas, Falar em</w:t>
      </w:r>
      <w:r/>
    </w:p>
    <w:p>
      <w:r/>
      <w:r>
        <w:t xml:space="preserve">Falar em línguas é quando alguém fala em um idioma que não aprendeu. Este é um dom especial de Deus. A palavra grega para isso é </w:t>
      </w:r>
      <w:r>
        <w:rPr>
          <w:i/>
        </w:rPr>
        <w:t>glossolalia</w:t>
      </w:r>
      <w:r>
        <w:t xml:space="preserve">, que significa "falar em línguas". É uma combinação da palavra </w:t>
      </w:r>
      <w:r>
        <w:rPr>
          <w:i/>
        </w:rPr>
        <w:t>laleo</w:t>
      </w:r>
      <w:r>
        <w:t xml:space="preserve"> ("falar") e </w:t>
      </w:r>
      <w:r>
        <w:rPr>
          <w:i/>
        </w:rPr>
        <w:t>glossa</w:t>
      </w:r>
      <w:r>
        <w:t xml:space="preserve"> ("língua").</w:t>
      </w:r>
    </w:p>
    <w:p>
      <w:pPr>
        <w:pStyle w:val="Heading3"/>
      </w:pPr>
      <w:r>
        <w:t>Primeira aparição na igreja primitiva</w:t>
      </w:r>
    </w:p>
    <w:p>
      <w:r/>
      <w:r>
        <w:t>A primeira vez que as pessoas falaram em línguas foi no Dia de Pentecostes. Nesse dia, o Espírito Santo encheu 120 cristãos que estavam reunidos. Eles começaram a louvar a Deus em muitos idiomas diferentes que nunca haviam aprendido. Pessoas de cerca de 16 nações diferentes que estavam em Jerusalém puderam entender o que os cristãos estavam dizendo, pois cada pessoa ouviu a mensagem (as boas-novas sobre Jesus) em sua própria língua (</w:t>
      </w:r>
      <w:hyperlink r:id="rId9643">
        <w:r>
          <w:rPr>
            <w:color w:val="0000EE"/>
            <w:u w:val="single"/>
          </w:rPr>
          <w:t>At 2.8–11</w:t>
        </w:r>
      </w:hyperlink>
      <w:r>
        <w:t>).</w:t>
      </w:r>
    </w:p>
    <w:p>
      <w:pPr>
        <w:pStyle w:val="Heading3"/>
      </w:pPr>
      <w:r>
        <w:t>Outras ocasiões em que as pessoas falaram em línguas</w:t>
      </w:r>
    </w:p>
    <w:p>
      <w:r/>
      <w:r>
        <w:t>Mais adiante no livro de Atos, outros grupos de pessoas também falaram em línguas quando receberam o Espírito Santo (</w:t>
      </w:r>
      <w:hyperlink r:id="rId13041">
        <w:r>
          <w:rPr>
            <w:color w:val="0000EE"/>
            <w:u w:val="single"/>
          </w:rPr>
          <w:t>10.46</w:t>
        </w:r>
      </w:hyperlink>
      <w:r>
        <w:t xml:space="preserve">; </w:t>
      </w:r>
      <w:hyperlink r:id="rId8436">
        <w:r>
          <w:rPr>
            <w:color w:val="0000EE"/>
            <w:u w:val="single"/>
          </w:rPr>
          <w:t>19.6</w:t>
        </w:r>
      </w:hyperlink>
      <w:r>
        <w:t xml:space="preserve">). No entanto, nem todos falaram em línguas quando receberam o Espírito (veja </w:t>
      </w:r>
      <w:hyperlink r:id="rId13042">
        <w:r>
          <w:rPr>
            <w:color w:val="0000EE"/>
            <w:u w:val="single"/>
          </w:rPr>
          <w:t>8.15</w:t>
        </w:r>
      </w:hyperlink>
      <w:hyperlink r:id="rId9643">
        <w:r>
          <w:rPr>
            <w:color w:val="0000EE"/>
            <w:u w:val="single"/>
          </w:rPr>
          <w:t>–</w:t>
        </w:r>
      </w:hyperlink>
      <w:hyperlink r:id="rId13042">
        <w:r>
          <w:rPr>
            <w:color w:val="0000EE"/>
            <w:u w:val="single"/>
          </w:rPr>
          <w:t>17</w:t>
        </w:r>
      </w:hyperlink>
      <w:r>
        <w:t>). Isso mostra que falar em línguas não era o único sinal de que alguém havia recebido o Espírito Santo. A Bíblia ensina que todos os crentes recebem o Espírito Santo quando se tornam parte da igreja, que é chamada de corpo de Cristo (</w:t>
      </w:r>
      <w:hyperlink r:id="rId420">
        <w:r>
          <w:rPr>
            <w:color w:val="0000EE"/>
            <w:u w:val="single"/>
          </w:rPr>
          <w:t>1Co 12.13</w:t>
        </w:r>
      </w:hyperlink>
      <w:r>
        <w:t xml:space="preserve">). A verdadeira evidência de que o Espírito Santo está agindo na vida de alguém é o "fruto do Espírito" conforme descrito em </w:t>
      </w:r>
      <w:hyperlink r:id="rId4312">
        <w:r>
          <w:rPr>
            <w:color w:val="0000EE"/>
            <w:u w:val="single"/>
          </w:rPr>
          <w:t>Gálatas 5.22</w:t>
        </w:r>
      </w:hyperlink>
      <w:hyperlink r:id="rId9643">
        <w:r>
          <w:rPr>
            <w:color w:val="0000EE"/>
            <w:u w:val="single"/>
          </w:rPr>
          <w:t>–</w:t>
        </w:r>
      </w:hyperlink>
      <w:hyperlink r:id="rId4312">
        <w:r>
          <w:rPr>
            <w:color w:val="0000EE"/>
            <w:u w:val="single"/>
          </w:rPr>
          <w:t>23</w:t>
        </w:r>
      </w:hyperlink>
      <w:r>
        <w:t>:</w:t>
      </w:r>
    </w:p>
    <w:p>
      <w:pPr>
        <w:pStyle w:val="ListBullet"/>
        <w:spacing w:line="240" w:lineRule="auto"/>
        <w:ind w:left="720"/>
      </w:pPr>
      <w:r/>
      <w:r>
        <w:t>Amor;</w:t>
      </w:r>
    </w:p>
    <w:p>
      <w:pPr>
        <w:pStyle w:val="ListBullet"/>
        <w:spacing w:line="240" w:lineRule="auto"/>
        <w:ind w:left="720"/>
      </w:pPr>
      <w:r/>
      <w:r>
        <w:t>Alegria;</w:t>
      </w:r>
    </w:p>
    <w:p>
      <w:pPr>
        <w:pStyle w:val="ListBullet"/>
        <w:spacing w:line="240" w:lineRule="auto"/>
        <w:ind w:left="720"/>
      </w:pPr>
      <w:r/>
      <w:r>
        <w:t>Paz;</w:t>
      </w:r>
    </w:p>
    <w:p>
      <w:pPr>
        <w:pStyle w:val="ListBullet"/>
        <w:spacing w:line="240" w:lineRule="auto"/>
        <w:ind w:left="720"/>
      </w:pPr>
      <w:r/>
      <w:r>
        <w:t>Paciência;</w:t>
      </w:r>
    </w:p>
    <w:p>
      <w:pPr>
        <w:pStyle w:val="ListBullet"/>
        <w:spacing w:line="240" w:lineRule="auto"/>
        <w:ind w:left="720"/>
      </w:pPr>
      <w:r/>
      <w:r>
        <w:t>Bondade;</w:t>
      </w:r>
    </w:p>
    <w:p>
      <w:pPr>
        <w:pStyle w:val="ListBullet"/>
        <w:spacing w:line="240" w:lineRule="auto"/>
        <w:ind w:left="720"/>
      </w:pPr>
      <w:r/>
      <w:r>
        <w:t>Benignidade;</w:t>
      </w:r>
    </w:p>
    <w:p>
      <w:pPr>
        <w:pStyle w:val="ListBullet"/>
        <w:spacing w:line="240" w:lineRule="auto"/>
        <w:ind w:left="720"/>
      </w:pPr>
      <w:r/>
      <w:r>
        <w:t>Fidelidade;</w:t>
      </w:r>
    </w:p>
    <w:p>
      <w:pPr>
        <w:pStyle w:val="ListBullet"/>
        <w:spacing w:line="240" w:lineRule="auto"/>
        <w:ind w:left="720"/>
      </w:pPr>
      <w:r/>
      <w:r>
        <w:t>Gentileza; e</w:t>
      </w:r>
    </w:p>
    <w:p>
      <w:pPr>
        <w:pStyle w:val="ListBullet"/>
        <w:spacing w:line="240" w:lineRule="auto"/>
        <w:ind w:left="720"/>
      </w:pPr>
      <w:r/>
      <w:r>
        <w:t>Autocontrole.</w:t>
      </w:r>
    </w:p>
    <w:p>
      <w:pPr>
        <w:pStyle w:val="Heading3"/>
      </w:pPr>
      <w:r>
        <w:t>Falar em línguas: uso público e privado</w:t>
      </w:r>
    </w:p>
    <w:p>
      <w:r/>
      <w:r>
        <w:t>Nos dias da igreja primitiva, alguns cristãos falavam em línguas e outros não. Paulo ensinou que um intérprete deve estar presente se o falar em línguas fosse feito publicamente na igreja. Se ninguém pudesse interpretar, as línguas deveriam ser usadas em particular como uma forma de orar e adorar a Deus. Nesses casos, a pessoa está falando consigo mesma e com Deus (</w:t>
      </w:r>
      <w:hyperlink r:id="rId11122">
        <w:r>
          <w:rPr>
            <w:color w:val="0000EE"/>
            <w:u w:val="single"/>
          </w:rPr>
          <w:t>1Co 14.28</w:t>
        </w:r>
      </w:hyperlink>
      <w:r>
        <w:t>). Isso é diferente de falar em línguas durante reuniões da igreja, o que requer que alguém interprete a mensagem para que todos possam entender.</w:t>
      </w:r>
    </w:p>
    <w:p>
      <w:r/>
      <w:r>
        <w:t>No entanto, sob certas condições descritas por Paulo, falar em línguas pode se tornar um dos dons espirituais usados no ministério para a igreja para o bem comum. A principal preocupação é que falar em línguas em público não deve ser reduzido a simplesmente orar ou falar sem interpretação.</w:t>
      </w:r>
    </w:p>
    <w:p>
      <w:pPr>
        <w:pStyle w:val="Heading3"/>
      </w:pPr>
      <w:r>
        <w:t>Regras para o uso de línguas na igreja</w:t>
      </w:r>
    </w:p>
    <w:p>
      <w:r/>
      <w:r>
        <w:t>O apóstolo Paulo estabeleceu regras claras sobre o uso de línguas durante as reuniões da igreja. Essas regras visam garantir que o dom de falar em línguas beneficie a igreja e não se torne uma forma de busca por realização pessoal (</w:t>
      </w:r>
      <w:hyperlink r:id="rId5842">
        <w:r>
          <w:rPr>
            <w:color w:val="0000EE"/>
            <w:u w:val="single"/>
          </w:rPr>
          <w:t>1Co 14.27</w:t>
        </w:r>
      </w:hyperlink>
      <w:hyperlink r:id="rId9643">
        <w:r>
          <w:rPr>
            <w:color w:val="0000EE"/>
            <w:u w:val="single"/>
          </w:rPr>
          <w:t>–</w:t>
        </w:r>
      </w:hyperlink>
      <w:hyperlink r:id="rId5842">
        <w:r>
          <w:rPr>
            <w:color w:val="0000EE"/>
            <w:u w:val="single"/>
          </w:rPr>
          <w:t>33</w:t>
        </w:r>
      </w:hyperlink>
      <w:r>
        <w:t>):</w:t>
      </w:r>
    </w:p>
    <w:p>
      <w:pPr>
        <w:pStyle w:val="ListNumber"/>
        <w:spacing w:line="240" w:lineRule="auto"/>
        <w:ind w:left="720"/>
      </w:pPr>
      <w:r/>
      <w:r>
        <w:t>Apenas uma, duas ou três pessoas devem falar em línguas durante um culto.</w:t>
      </w:r>
    </w:p>
    <w:p>
      <w:pPr>
        <w:pStyle w:val="ListNumber"/>
        <w:spacing w:line="240" w:lineRule="auto"/>
        <w:ind w:left="720"/>
      </w:pPr>
      <w:r/>
      <w:r>
        <w:t>Essas pessoas devem falar uma de cada vez, e não todas ao mesmo tempo.</w:t>
      </w:r>
    </w:p>
    <w:p>
      <w:pPr>
        <w:pStyle w:val="ListNumber"/>
        <w:spacing w:line="240" w:lineRule="auto"/>
        <w:ind w:left="720"/>
      </w:pPr>
      <w:r/>
      <w:r>
        <w:t>Deve haver alguém presente que possa explicar (interpretar) o que está sendo dito em línguas. Se ninguém puder interpretar, a pessoa não deve falar em línguas durante o serviço.</w:t>
      </w:r>
    </w:p>
    <w:p>
      <w:pPr>
        <w:pStyle w:val="ListNumber"/>
        <w:spacing w:line="240" w:lineRule="auto"/>
        <w:ind w:left="720"/>
      </w:pPr>
      <w:r/>
      <w:r>
        <w:t>A pessoa que fala em línguas não deve ser a mesma que interpreta a mensagem (</w:t>
      </w:r>
      <w:hyperlink r:id="rId13043">
        <w:r>
          <w:rPr>
            <w:color w:val="0000EE"/>
            <w:u w:val="single"/>
          </w:rPr>
          <w:t>1Co 12.10</w:t>
        </w:r>
      </w:hyperlink>
      <w:r>
        <w:t>).</w:t>
      </w:r>
    </w:p>
    <w:p>
      <w:pPr>
        <w:pStyle w:val="ListNumber"/>
        <w:spacing w:line="240" w:lineRule="auto"/>
        <w:ind w:left="720"/>
      </w:pPr>
      <w:r/>
      <w:r>
        <w:t>Se houver muitas pessoas falando em línguas e não houver intérpretes suficientes, as pessoas devem orar pela capacidade de interpretar (</w:t>
      </w:r>
      <w:hyperlink r:id="rId13044">
        <w:r>
          <w:rPr>
            <w:color w:val="0000EE"/>
            <w:u w:val="single"/>
          </w:rPr>
          <w:t>1Co 14.13</w:t>
        </w:r>
      </w:hyperlink>
      <w:r>
        <w:t>).</w:t>
      </w:r>
    </w:p>
    <w:p>
      <w:pPr>
        <w:pStyle w:val="ListNumber"/>
        <w:spacing w:line="240" w:lineRule="auto"/>
        <w:ind w:left="720"/>
      </w:pPr>
      <w:r/>
      <w:r>
        <w:t>Depois que alguém interpreta as línguas para uma linguagem comum, outros devem avaliar se a mensagem está de acordo com a verdade de Deus.</w:t>
      </w:r>
    </w:p>
    <w:p>
      <w:pPr>
        <w:pStyle w:val="ListNumber"/>
        <w:spacing w:line="240" w:lineRule="auto"/>
        <w:ind w:left="720"/>
      </w:pPr>
      <w:r/>
      <w:r>
        <w:t>Pessoas com o dom de discernimento (a capacidade de saber se algo é realmente de Deus) devem testar tudo o que é dito (</w:t>
      </w:r>
      <w:hyperlink r:id="rId13043">
        <w:r>
          <w:rPr>
            <w:color w:val="0000EE"/>
            <w:u w:val="single"/>
          </w:rPr>
          <w:t>1Co 12.10</w:t>
        </w:r>
      </w:hyperlink>
      <w:r>
        <w:t>).</w:t>
      </w:r>
    </w:p>
    <w:p>
      <w:r/>
      <w:r>
        <w:t>As pessoas devem sempre manter o controle de si mesmas durante a adoração. Elas não devem atribuir comportamentos incomuns ao fato de estarem "arrebatadas pelo Espírito". Deus traz paz e unidade, não desordem e confusão.</w:t>
      </w:r>
    </w:p>
    <w:p>
      <w:r/>
      <w:r>
        <w:t>Paulo ensinou que os cristãos não devem buscar especificamente o dom de falar em línguas. Em vez disso, devem desejar dons que ajudem todos a entender claramente a mensagem de Deus (</w:t>
      </w:r>
      <w:hyperlink r:id="rId13045">
        <w:r>
          <w:rPr>
            <w:color w:val="0000EE"/>
            <w:u w:val="single"/>
          </w:rPr>
          <w:t>1Co 12.31</w:t>
        </w:r>
      </w:hyperlink>
      <w:r>
        <w:t xml:space="preserve">; </w:t>
      </w:r>
      <w:hyperlink r:id="rId13046">
        <w:r>
          <w:rPr>
            <w:color w:val="0000EE"/>
            <w:u w:val="single"/>
          </w:rPr>
          <w:t>14.1,5</w:t>
        </w:r>
      </w:hyperlink>
      <w:r>
        <w:t>). No entanto, se alguém tem o dom de línguas, não deve ser impedido de usá-lo, desde que siga essas regras e o utilize para ajudar os outros.</w:t>
      </w:r>
    </w:p>
    <w:p>
      <w:r/>
      <w:r>
        <w:rPr>
          <w:i/>
        </w:rPr>
        <w:t>Veja</w:t>
      </w:r>
      <w:r>
        <w:t xml:space="preserve"> </w:t>
      </w:r>
      <w:r>
        <w:t>Batismo do Espírito</w:t>
      </w:r>
      <w:r>
        <w:t xml:space="preserve">; </w:t>
      </w:r>
      <w:r>
        <w:t>Dons espirituais</w:t>
      </w:r>
      <w:r>
        <w:t>.</w:t>
      </w:r>
      <w:r/>
      <w:r/>
    </w:p>
    <w:p>
      <w:r/>
    </w:p>
    <w:p>
      <w:pPr>
        <w:pStyle w:val="Heading2"/>
      </w:pPr>
      <w:r>
        <w:t>Lísias</w:t>
      </w:r>
      <w:r/>
    </w:p>
    <w:p>
      <w:pPr>
        <w:pStyle w:val="ListNumber"/>
        <w:spacing w:line="240" w:lineRule="auto"/>
        <w:ind w:left="720"/>
      </w:pPr>
      <w:r/>
      <w:r>
        <w:t>Um comandante romano que escreveu uma carta a Félix sobre o apóstolo Paulo (</w:t>
      </w:r>
      <w:hyperlink r:id="rId2838">
        <w:r>
          <w:rPr>
            <w:color w:val="0000EE"/>
            <w:u w:val="single"/>
          </w:rPr>
          <w:t>At 23.26</w:t>
        </w:r>
      </w:hyperlink>
      <w:r>
        <w:t>).</w:t>
      </w:r>
    </w:p>
    <w:p>
      <w:r/>
      <w:r>
        <w:rPr>
          <w:i/>
        </w:rPr>
        <w:t>Veja</w:t>
      </w:r>
      <w:r>
        <w:t xml:space="preserve"> </w:t>
      </w:r>
      <w:r>
        <w:t>Cláudio Lísias</w:t>
      </w:r>
      <w:r>
        <w:t>.</w:t>
      </w:r>
    </w:p>
    <w:p>
      <w:pPr>
        <w:pStyle w:val="ListNumber"/>
        <w:spacing w:line="240" w:lineRule="auto"/>
        <w:ind w:left="720"/>
      </w:pPr>
      <w:r/>
      <w:r>
        <w:t>Um alto oficial durante o governo de Antíoco IV Epifânio. Por volta de 166–165 a.C., Antíoco foi lutar contra os partos e deixou Lísias encarregado da Síria (</w:t>
      </w:r>
      <w:hyperlink r:id="rId13047">
        <w:r>
          <w:rPr>
            <w:color w:val="0000EE"/>
            <w:u w:val="single"/>
          </w:rPr>
          <w:t>1Mc 3.31–37</w:t>
        </w:r>
      </w:hyperlink>
      <w:r>
        <w:t xml:space="preserve">). Lísias enviou os generais Ptolomeu, Nicanor e Górgias para controlar Judas Macabeu na Judeia. Então, ele próprio liderou um ataque contra Judas. </w:t>
        <w:br/>
        <w:br/>
      </w:r>
      <w:r>
        <w:t>Por fim, Antíoco Epifânio assinou e aprovou um tratado de paz (2Mc 11). O acordo encerrou as leis severas contra os judeus. Depois disso, Judas purificou o Templo e retomou os sacrifícios diários.</w:t>
      </w:r>
    </w:p>
    <w:p>
      <w:r/>
      <w:r>
        <w:t>Em 164 a.C., Antíoco Epifânio morreu. Lísias retornou à Judeia com o jovem rei Antíoco V Eupátor. Eles derrotaram Judas Macabeu em Betzaquaria e começaram a atacar Jerusalém. No entanto, problemas em Antioquia os forçaram a voltar para a Síria. Lá, em 162 a.C., Demétrio I tomou o poder e mandou executar tanto Lísias quanto Antíoco V.</w:t>
      </w:r>
      <w:r/>
      <w:r/>
    </w:p>
    <w:p>
      <w:r/>
    </w:p>
    <w:p>
      <w:pPr>
        <w:pStyle w:val="Heading2"/>
      </w:pPr>
      <w:r>
        <w:t>Listra</w:t>
      </w:r>
      <w:r/>
    </w:p>
    <w:p>
      <w:r/>
      <w:r>
        <w:t>Uma cidade localizada na região da Licaônia, dentro da província romana da Galácia.</w:t>
      </w:r>
    </w:p>
    <w:p>
      <w:pPr>
        <w:pStyle w:val="Heading3"/>
      </w:pPr>
      <w:r>
        <w:t>Listra no Novo Testamento</w:t>
      </w:r>
    </w:p>
    <w:p>
      <w:r/>
      <w:r>
        <w:t xml:space="preserve">As principais histórias sobre Listra na Bíblia vêm do livro de Atos, com uma menção em </w:t>
      </w:r>
      <w:hyperlink r:id="rId2215">
        <w:r>
          <w:rPr>
            <w:color w:val="0000EE"/>
            <w:u w:val="single"/>
          </w:rPr>
          <w:t>2 Timóteo 3.11</w:t>
        </w:r>
      </w:hyperlink>
      <w:r>
        <w:t>. Durante a primeira viagem missionária de Paulo, ele e Barnabé chegaram a Listra após enfrentarem oposição na cidade vizinha de Icônio. Eles continuaram a visitar Derbe e as áreas ao redor dessas cidades (</w:t>
      </w:r>
      <w:hyperlink r:id="rId6695">
        <w:r>
          <w:rPr>
            <w:color w:val="0000EE"/>
            <w:u w:val="single"/>
          </w:rPr>
          <w:t>At 14.6</w:t>
        </w:r>
      </w:hyperlink>
      <w:r>
        <w:t>).</w:t>
      </w:r>
    </w:p>
    <w:p>
      <w:r/>
      <w:r>
        <w:t xml:space="preserve">Enquanto estava em Listra, Paulo curou um homem que não podia andar (v. </w:t>
      </w:r>
      <w:hyperlink r:id="rId13048">
        <w:r>
          <w:rPr>
            <w:color w:val="0000EE"/>
            <w:u w:val="single"/>
          </w:rPr>
          <w:t>8</w:t>
        </w:r>
      </w:hyperlink>
      <w:r>
        <w:t xml:space="preserve">). Ao verem esse milagre, as pessoas locais ficaram muito animadas. Eles acreditavam que Barnabé era Zeus (o rei dos deuses gregos) e Paulo era Hermes (o mensageiro dos deuses gregos). Eles pensaram que Paulo era Hermes porque ele era o principal orador, já que Hermes era conhecido por ser um mensageiro que entregava palavras dos deuses às pessoas (vv. </w:t>
      </w:r>
      <w:hyperlink r:id="rId13049">
        <w:r>
          <w:rPr>
            <w:color w:val="0000EE"/>
            <w:u w:val="single"/>
          </w:rPr>
          <w:t>9–21</w:t>
        </w:r>
      </w:hyperlink>
      <w:r>
        <w:t>). Em algumas versões da Bíblia em português, Zeus e Hermes são chamados por seus nomes latinos, Júpiter e Mercúrio.</w:t>
      </w:r>
    </w:p>
    <w:p>
      <w:pPr>
        <w:pStyle w:val="Heading3"/>
      </w:pPr>
      <w:r>
        <w:t>Cultura local e religião</w:t>
      </w:r>
    </w:p>
    <w:p>
      <w:r/>
      <w:r>
        <w:t>A maioria das pessoas em Listra pertencia a um pequeno grupo da região da Anatólia. Elas falavam sua própria língua local, conhecida pelos pesquisadores a partir de antigas inscrições em pedra encontradas na área. As pessoas ainda falavam essa língua até o final do século VI d.C. O antigo sistema de vilarejo da Anatólia continuou nesta cidade mercantil, mesmo depois que os romanos assumiram o controle da cidade.</w:t>
      </w:r>
    </w:p>
    <w:p>
      <w:r/>
      <w:r>
        <w:t xml:space="preserve">Zeus era considerado o mais poderoso de todos os deuses gregos, e Hermes era seu filho que servia como mensageiro entre os deuses e os humanos. O povo de Listra acreditava fortemente nesses deuses. Descobertas arqueológicas apoiam o que Lucas escreveu no livro de Atos sobre isso. Pesquisadores encontraram uma pedra antiga com uma inscrição que fala sobre a dedicação de uma estátua de Hermes a Zeus. Outra pedra com uma inscrição sobre “Zeus diante da cidade”, o que ajuda a explicar </w:t>
      </w:r>
      <w:hyperlink r:id="rId13050">
        <w:r>
          <w:rPr>
            <w:color w:val="0000EE"/>
            <w:u w:val="single"/>
          </w:rPr>
          <w:t>Atos 14.13</w:t>
        </w:r>
      </w:hyperlink>
      <w:r>
        <w:t>, onde menciona "o sacerdote de Zeus, cujo templo estava em frente da cidade”.</w:t>
      </w:r>
    </w:p>
    <w:p>
      <w:pPr>
        <w:pStyle w:val="Heading3"/>
      </w:pPr>
      <w:r>
        <w:t>Localização e conexões</w:t>
      </w:r>
    </w:p>
    <w:p>
      <w:r/>
      <w:r>
        <w:t xml:space="preserve">Derbe e Listra pertenciam à mesma região política. Icônio estava localizada em outra região política. A geografia, o comércio e a vida social de Listra eram mais parecidos com Icônio do que com Derbe, apesar da fronteira política que os separava. Parece que as duas cidades se comunicavam com frequência. </w:t>
      </w:r>
      <w:hyperlink r:id="rId4976">
        <w:r>
          <w:rPr>
            <w:color w:val="0000EE"/>
            <w:u w:val="single"/>
          </w:rPr>
          <w:t>Atos 16.1–2</w:t>
        </w:r>
      </w:hyperlink>
      <w:r>
        <w:t xml:space="preserve"> liga Listra e Icônio como lugares onde Timóteo era bem conhecido e respeitado.</w:t>
      </w:r>
      <w:r/>
      <w:r/>
    </w:p>
    <w:p>
      <w:r/>
    </w:p>
    <w:p>
      <w:pPr>
        <w:pStyle w:val="Heading2"/>
      </w:pPr>
      <w:r>
        <w:t>Literatura de sabedoria</w:t>
      </w:r>
      <w:r/>
    </w:p>
    <w:p>
      <w:r/>
      <w:r>
        <w:t>A literatura de sabedoria refere-se a escritos no Antigo Testamento que se concentram na sabedoria. Neste contexto, sabedoria significa compreender como viver bem e tomar boas decisões.</w:t>
      </w:r>
    </w:p>
    <w:p>
      <w:r/>
      <w:r>
        <w:t>Os principais livros bíblicos desse gênero são Jó, Provérbios e Eclesiastes. Algumas partes dos Salmos e dos livros dos Profetas também contêm escritos de sabedoria.</w:t>
      </w:r>
    </w:p>
    <w:p>
      <w:r/>
      <w:r>
        <w:t>A literatura de Sabedoria inclui diferentes tipos de sabedoria. O livro de Provérbios ensina principalmente a sabedoria moral, mostrando às pessoas como viver de maneira boa e correta. Os livros de Jó e Eclesiastes exploram a sabedoria intelectual, abordando grandes questões sobre a vida humana e tentando entender por que as coisas acontecem da forma que acontecem.</w:t>
      </w:r>
    </w:p>
    <w:p>
      <w:r/>
      <w:r>
        <w:t xml:space="preserve">A literatura de sabedoria é uma parte importante do Antigo Testamento. Ela é encontrada na terceira seção da Bíblia Hebraica, chamada de Escritos. Inclui Provérbios, Eclesiastes (também conhecido como Koheleth) e Jó. Existem também salmos de sabedoria (por exemplo, </w:t>
      </w:r>
      <w:hyperlink r:id="rId13051">
        <w:r>
          <w:rPr>
            <w:color w:val="0000EE"/>
            <w:u w:val="single"/>
          </w:rPr>
          <w:t>Sl 1</w:t>
        </w:r>
      </w:hyperlink>
      <w:r>
        <w:t xml:space="preserve">, </w:t>
      </w:r>
      <w:hyperlink r:id="rId5383">
        <w:r>
          <w:rPr>
            <w:color w:val="0000EE"/>
            <w:u w:val="single"/>
          </w:rPr>
          <w:t>32</w:t>
        </w:r>
      </w:hyperlink>
      <w:r>
        <w:t xml:space="preserve">, </w:t>
      </w:r>
      <w:hyperlink r:id="rId270">
        <w:r>
          <w:rPr>
            <w:color w:val="0000EE"/>
            <w:u w:val="single"/>
          </w:rPr>
          <w:t>34</w:t>
        </w:r>
      </w:hyperlink>
      <w:r>
        <w:t xml:space="preserve">, </w:t>
      </w:r>
      <w:hyperlink r:id="rId271">
        <w:r>
          <w:rPr>
            <w:color w:val="0000EE"/>
            <w:u w:val="single"/>
          </w:rPr>
          <w:t>37</w:t>
        </w:r>
      </w:hyperlink>
      <w:r>
        <w:t>) e passagens de sabedoria nos Profetas (como as parábolas de Isaías).</w:t>
      </w:r>
    </w:p>
    <w:p>
      <w:r/>
      <w:r>
        <w:t>No Antigo Testamento Grego e na Bíblia Católica Romana (um conjunto de livros que algumas igrejas incluem em suas Bíblias), existem mais dois livros de sabedoria:</w:t>
      </w:r>
    </w:p>
    <w:p>
      <w:pPr>
        <w:pStyle w:val="ListBullet"/>
        <w:spacing w:line="240" w:lineRule="auto"/>
        <w:ind w:left="720"/>
      </w:pPr>
      <w:r/>
      <w:r>
        <w:t>Eclesiástico foi escrito por Jesus Ben Siraque durante o segundo século a.C.</w:t>
      </w:r>
    </w:p>
    <w:p>
      <w:pPr>
        <w:pStyle w:val="ListBullet"/>
        <w:spacing w:line="240" w:lineRule="auto"/>
        <w:ind w:left="720"/>
      </w:pPr>
      <w:r/>
      <w:r>
        <w:t>A Sabedoria de Salomão é uma obra de autor desconhecido que demonstra como as ideias de sabedoria judaica evoluíram durante um período em que a cultura grega era muito influente</w:t>
      </w:r>
    </w:p>
    <w:p>
      <w:pPr>
        <w:pStyle w:val="Heading3"/>
      </w:pPr>
      <w:r>
        <w:t>Provérbios</w:t>
      </w:r>
    </w:p>
    <w:p>
      <w:r/>
      <w:r>
        <w:t>Para entender a literatura de sabedoria do Antigo Testamento, começamos com o livro de Provérbios. Este livro ensina sobre moralidade, ou seja, como viver uma vida boa. Embora seja baseado na crença em Deus, muita de sua sabedoria se aplica à vida cotidiana.</w:t>
      </w:r>
    </w:p>
    <w:p>
      <w:r/>
      <w:r>
        <w:t>A ideia mais importante em Provérbios é o respeito por Deus. No entanto, o livro se concentra principalmente em ensinar comportamentos básicos de boa conduta. Ele fala sobre ser honesto, ter autocontrole, ser justo e usar o bom senso. Também mostra como a vida pode dar errado para as pessoas que não seguem essa sabedoria.</w:t>
      </w:r>
    </w:p>
    <w:p>
      <w:r/>
      <w:r>
        <w:t>Provérbios foi escrito para ensinar. Hoje, podemos lê-lo como qualquer outro livro. No passado, porém, os jovens aprendiam com professores sábios. Eles tentavam memorizar os ditados curtos e poéticos, que os ajudariam a se guiar ao longo de suas vidas. Provérbios ensina que existe uma boa maneira de viver, baseada em fazer o que é certo. Viver dessa forma leva ao sucesso porque segue a sabedoria daquele que criou toda a vida (Deus).</w:t>
      </w:r>
    </w:p>
    <w:p>
      <w:r/>
      <w:r>
        <w:t>Os sábios professores que escreveram Provérbios eram como guias. Eles não criaram novas ideias sobre a vida nem tentaram responder a perguntas difíceis. Em vez disso, compartilharam o conhecimento mais valioso: como viver bem. A sabedoria é “mais preciosa do que joias; tudo o que a gente deseja não se pode comparar com ela. A sabedoria oferece uma vida longa e também riquezas e honras. Ela torna a vida agradável e guia a pessoa com segurança em tudo o que faz” (</w:t>
      </w:r>
      <w:hyperlink r:id="rId13052">
        <w:r>
          <w:rPr>
            <w:color w:val="0000EE"/>
            <w:u w:val="single"/>
          </w:rPr>
          <w:t>Pv 3.15–17</w:t>
        </w:r>
      </w:hyperlink>
      <w:r>
        <w:t>).</w:t>
      </w:r>
    </w:p>
    <w:p>
      <w:pPr>
        <w:pStyle w:val="Heading3"/>
      </w:pPr>
      <w:r>
        <w:t>Eclesiastes</w:t>
      </w:r>
    </w:p>
    <w:p>
      <w:r/>
      <w:r>
        <w:t>O livro de Eclesiastes revela a sabedoria de alguém que viveu uma longa vida e observou o mundo de diversas formas. O escritor possuía uma fé profunda, fruto de experiências difíceis, e não de uma vida fácil. O autor de Eclesiastes compreendeu que a vida nem sempre é justa. Ele percebeu que pessoas boas nem sempre têm vidas boas, e pessoas más nem sempre sofrem por suas ações. Muitas vezes, pessoas boas sofrem sem alívio, enquanto pessoas más desfrutam da vida sem preocupações.</w:t>
      </w:r>
    </w:p>
    <w:p>
      <w:r/>
      <w:r>
        <w:t>O escritor buscava justiça no mundo. Ele observava a vida com cuidado e honestidade, mas nem sempre via a justiça sendo feita. Ele também procurava a verdade última, mas até isso parecia fora de alcance. Ele sentia que tudo na vida era sem sentido, como tentar pegar o vento!</w:t>
      </w:r>
    </w:p>
    <w:p>
      <w:r/>
      <w:r>
        <w:t>Embora Eclesiastes pareça duvidoso e negativo, na verdade demonstra grande fé. O autor manteve sua crença em Deus mesmo quando o mundo parecia cheio de maldade e coisas sem sentido. Este é um tipo forte de fé. O autor de Eclesiastes não podia ser tão esperançoso quanto alguns outros escritores da Bíblia, como os profetas. Mas ele se apegou à verdade básica de Deus quando tudo o mais, incluindo sua compreensão, falhou. O livro de Eclesiastes pode ser reconfortante para pessoas que veem o mundo como ele realmente é, com toda a sua dor e aparente falta de sentido.</w:t>
      </w:r>
    </w:p>
    <w:p>
      <w:pPr>
        <w:pStyle w:val="Heading3"/>
      </w:pPr>
      <w:r>
        <w:t>Jó</w:t>
      </w:r>
    </w:p>
    <w:p>
      <w:r/>
      <w:r>
        <w:t>O livro de Jó examina os problemas da vida do ponto de vista de alguém que está sofrendo. Enquanto o escritor de Eclesiastes observava a tristeza da vida de fora, Jó a sentia pessoalmente. Jó conhecia e vivia de acordo com os antigos provérbios de sabedoria. Ele era um homem bom que seguia os ensinamentos encontrados no livro de Provérbios. Antes de seus problemas, Jó acreditava que viver uma vida boa levaria à felicidade e ao sucesso.</w:t>
      </w:r>
    </w:p>
    <w:p>
      <w:r/>
      <w:r>
        <w:t>Mas então, tudo na vida de Jó desmoronou. Ele perdeu seus bens, sua terra e seu bom nome. Seus filhos morreram, e ele ficou muito doente. Tudo isso fez Jó questionar a sabedoria na qual sempre acreditou.</w:t>
      </w:r>
    </w:p>
    <w:p>
      <w:r/>
      <w:r>
        <w:t>A história de Jó levanta grandes questões sobre a vida e Deus:</w:t>
      </w:r>
    </w:p>
    <w:p>
      <w:pPr>
        <w:pStyle w:val="ListNumber"/>
        <w:spacing w:line="240" w:lineRule="auto"/>
        <w:ind w:left="720"/>
      </w:pPr>
      <w:r/>
      <w:r>
        <w:t>Como Deus pode ser justo quando a vida parece tão injusta?</w:t>
      </w:r>
    </w:p>
    <w:p>
      <w:pPr>
        <w:pStyle w:val="ListNumber"/>
        <w:spacing w:line="240" w:lineRule="auto"/>
        <w:ind w:left="720"/>
      </w:pPr>
      <w:r/>
      <w:r>
        <w:t>Como Deus pode ser justo quando pessoas más frequentemente prosperam na vida (</w:t>
      </w:r>
      <w:hyperlink r:id="rId13053">
        <w:r>
          <w:rPr>
            <w:color w:val="0000EE"/>
            <w:u w:val="single"/>
          </w:rPr>
          <w:t>Jó 21.7–15</w:t>
        </w:r>
      </w:hyperlink>
      <w:r>
        <w:t>)?</w:t>
      </w:r>
    </w:p>
    <w:p>
      <w:pPr>
        <w:pStyle w:val="ListNumber"/>
        <w:spacing w:line="240" w:lineRule="auto"/>
        <w:ind w:left="720"/>
      </w:pPr>
      <w:r/>
      <w:r>
        <w:t>Se o sofrimento de Jó é um exemplo da vida humana, a criação de Deus realmente demonstra bondade e ordem?</w:t>
      </w:r>
    </w:p>
    <w:p>
      <w:r/>
      <w:r>
        <w:t>Essas são perguntas difíceis, e o livro de Jó não oferece respostas simples.</w:t>
      </w:r>
    </w:p>
    <w:p>
      <w:r/>
      <w:r>
        <w:t xml:space="preserve">A parte mais importante da história de Jó é quando ele encontra Deus face a face nos capítulos </w:t>
      </w:r>
      <w:hyperlink r:id="rId13054">
        <w:r>
          <w:rPr>
            <w:color w:val="0000EE"/>
            <w:u w:val="single"/>
          </w:rPr>
          <w:t>38–42</w:t>
        </w:r>
      </w:hyperlink>
      <w:r>
        <w:t>. Este encontro ajuda a colocar a sabedoria em sua devida perspectiva. Mostra que sempre haverá aspectos sobre Deus e seus caminhos que as pessoas não podem compreender totalmente. Nossas mentes não são capazes de entender completamente toda a sabedoria de Deus.</w:t>
      </w:r>
    </w:p>
    <w:p>
      <w:r/>
      <w:r>
        <w:t>Sabedoria significa tentar conhecer melhor a Deus. No entanto, nunca podemos saber tudo sobre Deus apenas pensando e aprendendo. Deus é sempre maior do que nossas mentes podem compreender.</w:t>
      </w:r>
    </w:p>
    <w:p>
      <w:r/>
      <w:r>
        <w:t>A história de Jó nos ensina algo novo sobre sabedoria. Mesmo que as perguntas de Jó não tenham sido respondidas diretamente, elas perderam importância quando ele encontrou Deus. O encontro com Deus transformou Jó completamente. Portanto, a sabedoria mais profunda não está em encontrar respostas para as maiores perguntas, mas em encontrar o Deus vivo.</w:t>
      </w:r>
    </w:p>
    <w:p>
      <w:pPr>
        <w:pStyle w:val="Heading3"/>
      </w:pPr>
      <w:r>
        <w:t>Conclusão</w:t>
      </w:r>
    </w:p>
    <w:p>
      <w:r/>
      <w:r>
        <w:t>A literatura de sabedoria na Bíblia nos ensina muitas coisas. Ela combina ideias de três livros principais: Provérbios, Eclesiastes e Jó. Há um conhecimento fundamental sobre como viver bem. Essa sabedoria é importante para os jovens aprenderem à medida que crescem. Viver por essa sabedoria pode não te deixar rico, mas pode te ajudar a viver bem mesmo quando a vida é difícil. A parte mais importante dessa sabedoria é respeitar a Deus.</w:t>
      </w:r>
    </w:p>
    <w:p>
      <w:r/>
      <w:r>
        <w:t>À medida que as pessoas envelhecem, muitas vezes percebem que a vida e o mundo não são simples. Às vezes, isso faz com que as pessoas queiram desistir da sabedoria básica que aprenderam quando eram jovens. O livro de Eclesiastes pode ajudar nesses momentos. Ele ensina que, mesmo quando a vida parece sem sentido, ainda devemos acreditar em Deus e respeitá-lo. Os últimos versículos de Eclesiastes (</w:t>
      </w:r>
      <w:hyperlink r:id="rId13055">
        <w:r>
          <w:rPr>
            <w:color w:val="0000EE"/>
            <w:u w:val="single"/>
          </w:rPr>
          <w:t>12.13–14</w:t>
        </w:r>
      </w:hyperlink>
      <w:r>
        <w:t>) nos lembram dessa verdade importante.</w:t>
      </w:r>
    </w:p>
    <w:p>
      <w:r/>
      <w:r>
        <w:t>Algumas pessoas podem enfrentar momentos muito difíceis, assim como Jó na Bíblia. Nessas situações, a sabedoria tem seus limites. Nem sempre conseguimos encontrar respostas para nossas perguntas sobre por que coisas ruins acontecem. O livro de Jó ensina que, nesses momentos, o mais importante é sentir a presença de Deus, mesmo que não compreendamos tudo.</w:t>
      </w:r>
      <w:r/>
      <w:r/>
    </w:p>
    <w:p>
      <w:r/>
    </w:p>
    <w:p>
      <w:pPr>
        <w:pStyle w:val="Heading2"/>
      </w:pPr>
      <w:r>
        <w:t>Livro</w:t>
      </w:r>
      <w:r/>
    </w:p>
    <w:p>
      <w:r/>
      <w:r>
        <w:t>Um conjunto de folhas escritas ou um pergaminho que contém registros ou uma história. Normalmente, são feitos de madeira, pergaminho ou papiro. Livros encadernados com páginas foram desenvolvidos posteriormente, após o período bíblico.</w:t>
      </w:r>
    </w:p>
    <w:p>
      <w:r/>
      <w:r>
        <w:t>A Bíblia contém vários textos que são chamados de "livros" porque cada documento era um livro antes de ser adicionado à Bíblia. A Bíblia possui 66 livros (p. ex., Gênesis, Isaías, Mateus e Apocalipse).</w:t>
      </w:r>
    </w:p>
    <w:p>
      <w:pPr>
        <w:pStyle w:val="Heading3"/>
      </w:pPr>
      <w:r>
        <w:t>O Livro da Lei</w:t>
      </w:r>
    </w:p>
    <w:p>
      <w:r/>
      <w:r>
        <w:t>O livro mais importante para os antigos israelitas era o Livro da Lei (</w:t>
      </w:r>
      <w:hyperlink r:id="rId13056">
        <w:r>
          <w:rPr>
            <w:color w:val="0000EE"/>
            <w:u w:val="single"/>
          </w:rPr>
          <w:t>2Rs 22.8</w:t>
        </w:r>
      </w:hyperlink>
      <w:r>
        <w:t>). Este livro era importante porque foi dado por Deus a Moisés (</w:t>
      </w:r>
      <w:hyperlink r:id="rId12140">
        <w:r>
          <w:rPr>
            <w:color w:val="0000EE"/>
            <w:u w:val="single"/>
          </w:rPr>
          <w:t>Js 23.6</w:t>
        </w:r>
      </w:hyperlink>
      <w:r>
        <w:t xml:space="preserve">; </w:t>
      </w:r>
      <w:hyperlink r:id="rId3767">
        <w:r>
          <w:rPr>
            <w:color w:val="0000EE"/>
            <w:u w:val="single"/>
          </w:rPr>
          <w:t>Mc 12.26</w:t>
        </w:r>
      </w:hyperlink>
      <w:r>
        <w:t xml:space="preserve">). Também era importante porque continha a aliança mosaica (p. ex., </w:t>
      </w:r>
      <w:hyperlink r:id="rId805">
        <w:r>
          <w:rPr>
            <w:color w:val="0000EE"/>
            <w:u w:val="single"/>
          </w:rPr>
          <w:t>Êx 20</w:t>
        </w:r>
      </w:hyperlink>
      <w:r>
        <w:t>). Deus disse a Josué para meditar nele dia e noite (</w:t>
      </w:r>
      <w:hyperlink r:id="rId12471">
        <w:r>
          <w:rPr>
            <w:color w:val="0000EE"/>
            <w:u w:val="single"/>
          </w:rPr>
          <w:t>Js 1.8</w:t>
        </w:r>
      </w:hyperlink>
      <w:r>
        <w:t>). Os profetas referiam-se a ele constantemente, especialmente ao livro de Deuteronômio. O Livro da Lei foi encontrado durante a renovação do templo no reinado de Josias. Isso levou a importantes reformas religiosas (</w:t>
      </w:r>
      <w:hyperlink r:id="rId13057">
        <w:r>
          <w:rPr>
            <w:color w:val="0000EE"/>
            <w:u w:val="single"/>
          </w:rPr>
          <w:t>2Rs 22.8</w:t>
        </w:r>
      </w:hyperlink>
      <w:r>
        <w:t>–</w:t>
      </w:r>
      <w:hyperlink r:id="rId13057">
        <w:r>
          <w:rPr>
            <w:color w:val="0000EE"/>
            <w:u w:val="single"/>
          </w:rPr>
          <w:t>13</w:t>
        </w:r>
      </w:hyperlink>
      <w:r>
        <w:t>).</w:t>
      </w:r>
    </w:p>
    <w:p>
      <w:pPr>
        <w:pStyle w:val="Heading3"/>
      </w:pPr>
      <w:r>
        <w:t>Livros citados na Bíblia</w:t>
      </w:r>
    </w:p>
    <w:p>
      <w:r/>
      <w:r>
        <w:t>Alguns livros especificamente mencionados como fontes na Bíblia são:</w:t>
      </w:r>
    </w:p>
    <w:p>
      <w:pPr>
        <w:pStyle w:val="ListBullet"/>
        <w:spacing w:line="240" w:lineRule="auto"/>
        <w:ind w:left="720"/>
      </w:pPr>
      <w:r/>
      <w:r>
        <w:t>O livro das Guerras do Senhor (</w:t>
      </w:r>
      <w:hyperlink r:id="rId13058">
        <w:r>
          <w:rPr>
            <w:color w:val="0000EE"/>
            <w:u w:val="single"/>
          </w:rPr>
          <w:t>Nm 21.14</w:t>
        </w:r>
      </w:hyperlink>
      <w:r>
        <w:t>)</w:t>
      </w:r>
    </w:p>
    <w:p>
      <w:pPr>
        <w:pStyle w:val="ListBullet"/>
        <w:spacing w:line="240" w:lineRule="auto"/>
        <w:ind w:left="720"/>
      </w:pPr>
      <w:r/>
      <w:r>
        <w:t>O livro de Jaser (</w:t>
      </w:r>
      <w:hyperlink r:id="rId13059">
        <w:r>
          <w:rPr>
            <w:color w:val="0000EE"/>
            <w:u w:val="single"/>
          </w:rPr>
          <w:t>Js 10.13</w:t>
        </w:r>
      </w:hyperlink>
      <w:r>
        <w:t xml:space="preserve">; </w:t>
      </w:r>
      <w:hyperlink r:id="rId12207">
        <w:r>
          <w:rPr>
            <w:color w:val="0000EE"/>
            <w:u w:val="single"/>
          </w:rPr>
          <w:t>2Sm 1.18</w:t>
        </w:r>
      </w:hyperlink>
      <w:r>
        <w:t>)</w:t>
      </w:r>
    </w:p>
    <w:p>
      <w:pPr>
        <w:pStyle w:val="ListBullet"/>
        <w:spacing w:line="240" w:lineRule="auto"/>
        <w:ind w:left="720"/>
      </w:pPr>
      <w:r/>
      <w:r>
        <w:t>O livro dos atos de Salomão (</w:t>
      </w:r>
      <w:hyperlink r:id="rId13060">
        <w:r>
          <w:rPr>
            <w:color w:val="0000EE"/>
            <w:u w:val="single"/>
          </w:rPr>
          <w:t>1Rs 11.41</w:t>
        </w:r>
      </w:hyperlink>
      <w:r>
        <w:t>)</w:t>
      </w:r>
    </w:p>
    <w:p>
      <w:pPr>
        <w:pStyle w:val="ListBullet"/>
        <w:spacing w:line="240" w:lineRule="auto"/>
        <w:ind w:left="720"/>
      </w:pPr>
      <w:r/>
      <w:r>
        <w:t>O livro das Crônicas dos reis de Judá (</w:t>
      </w:r>
      <w:hyperlink r:id="rId13061">
        <w:r>
          <w:rPr>
            <w:color w:val="0000EE"/>
            <w:u w:val="single"/>
          </w:rPr>
          <w:t>1Rs 14.29</w:t>
        </w:r>
      </w:hyperlink>
      <w:r>
        <w:t>)</w:t>
      </w:r>
    </w:p>
    <w:p>
      <w:r/>
      <w:r>
        <w:t>Muitos textos proféticos são mencionados nos livros de Crônicas como fontes para o livro:</w:t>
      </w:r>
    </w:p>
    <w:p>
      <w:pPr>
        <w:pStyle w:val="ListBullet"/>
        <w:spacing w:line="240" w:lineRule="auto"/>
        <w:ind w:left="720"/>
      </w:pPr>
      <w:r/>
      <w:r>
        <w:t>As crônicas de Samuel, o Vidente</w:t>
      </w:r>
    </w:p>
    <w:p>
      <w:pPr>
        <w:pStyle w:val="ListBullet"/>
        <w:spacing w:line="240" w:lineRule="auto"/>
        <w:ind w:left="720"/>
      </w:pPr>
      <w:r/>
      <w:r>
        <w:t>As crônicas de Natã, o Profeta</w:t>
      </w:r>
    </w:p>
    <w:p>
      <w:pPr>
        <w:pStyle w:val="ListBullet"/>
        <w:spacing w:line="240" w:lineRule="auto"/>
        <w:ind w:left="720"/>
      </w:pPr>
      <w:r/>
      <w:r>
        <w:t>As crônicas de Gade, o Vidente (</w:t>
      </w:r>
      <w:hyperlink r:id="rId6145">
        <w:r>
          <w:rPr>
            <w:color w:val="0000EE"/>
            <w:u w:val="single"/>
          </w:rPr>
          <w:t>1Cr 29.29</w:t>
        </w:r>
      </w:hyperlink>
      <w:r>
        <w:t>)</w:t>
      </w:r>
    </w:p>
    <w:p>
      <w:pPr>
        <w:pStyle w:val="ListBullet"/>
        <w:spacing w:line="240" w:lineRule="auto"/>
        <w:ind w:left="720"/>
      </w:pPr>
      <w:r/>
      <w:r>
        <w:t>A profecia de Aías, o silonita (</w:t>
      </w:r>
      <w:hyperlink r:id="rId6146">
        <w:r>
          <w:rPr>
            <w:color w:val="0000EE"/>
            <w:u w:val="single"/>
          </w:rPr>
          <w:t>2Cr 9.29</w:t>
        </w:r>
      </w:hyperlink>
      <w:r>
        <w:t>)</w:t>
      </w:r>
    </w:p>
    <w:p>
      <w:r/>
      <w:r>
        <w:t>O uso de fontes proféticas em Crônicas mostra que os israelitas viam sua história como um registro da atividade de Deus.</w:t>
      </w:r>
    </w:p>
    <w:p>
      <w:r/>
      <w:r>
        <w:rPr>
          <w:i/>
        </w:rPr>
        <w:t>Veja</w:t>
      </w:r>
      <w:r>
        <w:t xml:space="preserve"> </w:t>
      </w:r>
      <w:r>
        <w:t>Escrita</w:t>
      </w:r>
      <w:r>
        <w:t>.</w:t>
      </w:r>
      <w:r/>
      <w:r/>
    </w:p>
    <w:p>
      <w:r/>
    </w:p>
    <w:p>
      <w:pPr>
        <w:pStyle w:val="Heading2"/>
      </w:pPr>
      <w:r>
        <w:t>Livro da Aliança</w:t>
      </w:r>
      <w:r/>
    </w:p>
    <w:p>
      <w:r/>
      <w:r>
        <w:t>O termo "Livro da Aliança" aparece em dois lugares no Antigo Testamento:</w:t>
      </w:r>
    </w:p>
    <w:p>
      <w:pPr>
        <w:pStyle w:val="ListNumber"/>
        <w:spacing w:line="240" w:lineRule="auto"/>
        <w:ind w:left="720"/>
      </w:pPr>
      <w:r/>
      <w:r>
        <w:t>Um documento que Moisés leu para o povo de Israel no Monte Sinai (</w:t>
      </w:r>
      <w:hyperlink r:id="rId809">
        <w:r>
          <w:rPr>
            <w:color w:val="0000EE"/>
            <w:u w:val="single"/>
          </w:rPr>
          <w:t>Êx 24.7</w:t>
        </w:r>
      </w:hyperlink>
      <w:r>
        <w:t>);</w:t>
      </w:r>
    </w:p>
    <w:p>
      <w:pPr>
        <w:pStyle w:val="ListNumber"/>
        <w:spacing w:line="240" w:lineRule="auto"/>
        <w:ind w:left="720"/>
      </w:pPr>
      <w:r/>
      <w:r>
        <w:t>Um documento foi encontrado no templo pelo sacerdote Hilquias. Hilquias encontrou o documento enquanto o templo estava sendo reparado durante o reinado do rei Josias (</w:t>
      </w:r>
      <w:hyperlink r:id="rId13062">
        <w:r>
          <w:rPr>
            <w:color w:val="0000EE"/>
            <w:u w:val="single"/>
          </w:rPr>
          <w:t>2Rs 23.2,21</w:t>
        </w:r>
      </w:hyperlink>
      <w:r>
        <w:t xml:space="preserve">; </w:t>
      </w:r>
      <w:hyperlink r:id="rId13063">
        <w:r>
          <w:rPr>
            <w:color w:val="0000EE"/>
            <w:u w:val="single"/>
          </w:rPr>
          <w:t>2Cr 34.30</w:t>
        </w:r>
      </w:hyperlink>
      <w:r>
        <w:t>).</w:t>
      </w:r>
    </w:p>
    <w:p>
      <w:pPr>
        <w:pStyle w:val="Heading3"/>
      </w:pPr>
      <w:r>
        <w:t>O Livro da Aliança no Monte Sinai</w:t>
      </w:r>
    </w:p>
    <w:p>
      <w:r/>
      <w:r>
        <w:t>A palavra "aliança" refere-se às leis de aliança que Deus fez com o povo de Israel durante o tempo de Moisés. Em hebraico, "livro" pode significar qualquer documento escrito, incluindo textos em argila, tábuas de pedra ou rolos de pergaminho. As alianças antigas eram frequentemente escritas. O principal desafio em entender as duas referências ao "livro da aliança" é determinar o que exatamente estava nesses documentos.</w:t>
      </w:r>
    </w:p>
    <w:p>
      <w:r/>
      <w:r>
        <w:t xml:space="preserve">O livro que Moisés leu no Monte Sinai pode ter se referido tanto aos Dez Mandamentos quanto a toda a seção de </w:t>
      </w:r>
      <w:hyperlink r:id="rId13064">
        <w:r>
          <w:rPr>
            <w:color w:val="0000EE"/>
            <w:u w:val="single"/>
          </w:rPr>
          <w:t>Êxodo 20–23</w:t>
        </w:r>
      </w:hyperlink>
      <w:r>
        <w:t>, sem as partes narrativas. Quando o povo ouviu, eles responderam: "Tudo o que o Senhor falou, faremos". Isso mostra que o documento continha leis ou regras, mas não podemos saber exatamente o que estava nele.</w:t>
      </w:r>
    </w:p>
    <w:p>
      <w:r/>
      <w:r>
        <w:t>A Bíblia diz que Moisés escreveu este livro (</w:t>
      </w:r>
      <w:hyperlink r:id="rId981">
        <w:r>
          <w:rPr>
            <w:color w:val="0000EE"/>
            <w:u w:val="single"/>
          </w:rPr>
          <w:t>Êx 24.4</w:t>
        </w:r>
      </w:hyperlink>
      <w:r>
        <w:t>). Isso não significa que não poderia incluir os Dez Mandamentos, mesmo que a Bíblia afirme claramente que Deus escreveu esses mandamentos (</w:t>
      </w:r>
      <w:hyperlink r:id="rId12753">
        <w:r>
          <w:rPr>
            <w:color w:val="0000EE"/>
            <w:u w:val="single"/>
          </w:rPr>
          <w:t>32.15–16</w:t>
        </w:r>
      </w:hyperlink>
      <w:r>
        <w:t>). É possível que Moisés também tenha escrito os Dez Mandamentos em uma fase anterior (</w:t>
      </w:r>
      <w:hyperlink r:id="rId13065">
        <w:r>
          <w:rPr>
            <w:color w:val="0000EE"/>
            <w:u w:val="single"/>
          </w:rPr>
          <w:t>Êx 19.25</w:t>
        </w:r>
      </w:hyperlink>
      <w:r>
        <w:t xml:space="preserve">; </w:t>
      </w:r>
      <w:hyperlink r:id="rId6949">
        <w:r>
          <w:rPr>
            <w:color w:val="0000EE"/>
            <w:u w:val="single"/>
          </w:rPr>
          <w:t>20.1</w:t>
        </w:r>
      </w:hyperlink>
      <w:r>
        <w:t>).</w:t>
      </w:r>
    </w:p>
    <w:p>
      <w:pPr>
        <w:pStyle w:val="Heading3"/>
      </w:pPr>
      <w:r>
        <w:t>O Livro da Aliança de Josias</w:t>
      </w:r>
    </w:p>
    <w:p>
      <w:r/>
      <w:r>
        <w:t>O conteúdo do "livro da aliança" que o rei Josias leu para o povo de Judá não é claramente conhecido. Alguns estudiosos tentaram descobrir o que havia nele analisando as reformas que Josias realizou. Eles acreditam que essas reformas correspondem aos ensinamentos do livro de Deuteronômio.</w:t>
      </w:r>
    </w:p>
    <w:p>
      <w:r/>
      <w:r>
        <w:t>No entanto, essa abordagem apresenta vários problemas:</w:t>
      </w:r>
    </w:p>
    <w:p>
      <w:pPr>
        <w:pStyle w:val="ListNumber"/>
        <w:spacing w:line="240" w:lineRule="auto"/>
        <w:ind w:left="720"/>
      </w:pPr>
      <w:r/>
      <w:r>
        <w:t>Algumas das reformas de Josias não são mencionadas em nenhum lugar na Lei. Por exemplo, ele queimou os carros do sol (</w:t>
      </w:r>
      <w:hyperlink r:id="rId4127">
        <w:r>
          <w:rPr>
            <w:color w:val="0000EE"/>
            <w:u w:val="single"/>
          </w:rPr>
          <w:t>2Rs 23.11</w:t>
        </w:r>
      </w:hyperlink>
      <w:r>
        <w:t>). Isso sugere que Josias pode ter feito suas próprias interpretações com base na Lei. Isso torna difícil saber quanto de sua reforma veio diretamente do livro da aliança e quanto veio de seu próprio entendimento.</w:t>
      </w:r>
    </w:p>
    <w:p>
      <w:pPr>
        <w:pStyle w:val="ListNumber"/>
        <w:spacing w:line="240" w:lineRule="auto"/>
        <w:ind w:left="720"/>
      </w:pPr>
      <w:r/>
      <w:r>
        <w:t xml:space="preserve">O relato em </w:t>
      </w:r>
      <w:hyperlink r:id="rId13066">
        <w:r>
          <w:rPr>
            <w:color w:val="0000EE"/>
            <w:u w:val="single"/>
          </w:rPr>
          <w:t>2 Crônicas 34.30–33</w:t>
        </w:r>
      </w:hyperlink>
      <w:r>
        <w:t xml:space="preserve"> mostra que grande parte da reforma aconteceu </w:t>
      </w:r>
      <w:r>
        <w:rPr>
          <w:i/>
        </w:rPr>
        <w:t>antes</w:t>
      </w:r>
      <w:r>
        <w:t xml:space="preserve"> da descoberta do Livro da Aliança.</w:t>
      </w:r>
    </w:p>
    <w:p>
      <w:r/>
      <w:r>
        <w:t>Por outro lado, 2 Reis afirma claramente que algumas das reformas de Josias foram baseadas no Livro da Aliança. O livro deve ter contido instruções sobre a celebração da Páscoa (</w:t>
      </w:r>
      <w:hyperlink r:id="rId13067">
        <w:r>
          <w:rPr>
            <w:color w:val="0000EE"/>
            <w:u w:val="single"/>
          </w:rPr>
          <w:t>2Rs 23.21</w:t>
        </w:r>
      </w:hyperlink>
      <w:r>
        <w:t>). Provavelmente também continha regras sobre médiuns, feiticeiros e outras práticas de adoração de ídolos, a menos que Josias tenha feito essas reformas com base em sua própria compreensão do texto.</w:t>
      </w:r>
    </w:p>
    <w:p>
      <w:r/>
      <w:r>
        <w:t>Além disso, o livro continha avisos de que Deus traria destruição se o povo não seguisse as palavras de Deus (</w:t>
      </w:r>
      <w:hyperlink r:id="rId13068">
        <w:r>
          <w:rPr>
            <w:color w:val="0000EE"/>
            <w:u w:val="single"/>
          </w:rPr>
          <w:t>2Rs 22.16–19</w:t>
        </w:r>
      </w:hyperlink>
      <w:r>
        <w:t xml:space="preserve">). Isso sugere que o "Livro da Aliança" de Josias era maior do que </w:t>
      </w:r>
      <w:hyperlink r:id="rId808">
        <w:r>
          <w:rPr>
            <w:color w:val="0000EE"/>
            <w:u w:val="single"/>
          </w:rPr>
          <w:t>Êxodo 21–23</w:t>
        </w:r>
      </w:hyperlink>
      <w:r>
        <w:t>. No livro mais antigo, a Páscoa é mencionada apenas como a Festa dos Pães Asmos (</w:t>
      </w:r>
      <w:hyperlink r:id="rId13069">
        <w:r>
          <w:rPr>
            <w:color w:val="0000EE"/>
            <w:u w:val="single"/>
          </w:rPr>
          <w:t>Êx 23.15</w:t>
        </w:r>
      </w:hyperlink>
      <w:r>
        <w:t xml:space="preserve">). </w:t>
      </w:r>
      <w:hyperlink r:id="rId7237">
        <w:r>
          <w:rPr>
            <w:color w:val="0000EE"/>
            <w:u w:val="single"/>
          </w:rPr>
          <w:t>Êxodo 22.18</w:t>
        </w:r>
      </w:hyperlink>
      <w:r>
        <w:t xml:space="preserve"> pode possivelmente ser a base para a ação de Josias contra os feiticeiros. Mas em </w:t>
      </w:r>
      <w:hyperlink r:id="rId808">
        <w:r>
          <w:rPr>
            <w:color w:val="0000EE"/>
            <w:u w:val="single"/>
          </w:rPr>
          <w:t>Êxodo 21–23</w:t>
        </w:r>
      </w:hyperlink>
      <w:r>
        <w:t xml:space="preserve">, não há um aviso de julgamento por desobediência forte o suficiente para explicar a redação em </w:t>
      </w:r>
      <w:hyperlink r:id="rId13068">
        <w:r>
          <w:rPr>
            <w:color w:val="0000EE"/>
            <w:u w:val="single"/>
          </w:rPr>
          <w:t>2 Reis 22.16–19.</w:t>
        </w:r>
      </w:hyperlink>
      <w:r>
        <w:t xml:space="preserve"> A coisa mais próxima disso é </w:t>
      </w:r>
      <w:hyperlink r:id="rId12484">
        <w:r>
          <w:rPr>
            <w:color w:val="0000EE"/>
            <w:u w:val="single"/>
          </w:rPr>
          <w:t>Êxodo 23.33</w:t>
        </w:r>
      </w:hyperlink>
      <w:r>
        <w:t>.</w:t>
      </w:r>
    </w:p>
    <w:p>
      <w:r/>
      <w:r>
        <w:t>Finalmente, o Livro da Aliança de Josias também é chamado de Livro da Lei (</w:t>
      </w:r>
      <w:hyperlink r:id="rId13056">
        <w:r>
          <w:rPr>
            <w:color w:val="0000EE"/>
            <w:u w:val="single"/>
          </w:rPr>
          <w:t>2Rs 22.8</w:t>
        </w:r>
      </w:hyperlink>
      <w:r>
        <w:t>). Isso sugere que muitas outras referências ao Livro da Lei em todo o Antigo Testamento podem também estar se referindo ao Livro da Aliança.</w:t>
      </w:r>
    </w:p>
    <w:p>
      <w:r/>
      <w:r>
        <w:rPr>
          <w:i/>
        </w:rPr>
        <w:t>Veja também</w:t>
      </w:r>
      <w:r>
        <w:t xml:space="preserve"> </w:t>
      </w:r>
      <w:r>
        <w:t>Êxodo, Livro de</w:t>
      </w:r>
      <w:r>
        <w:t xml:space="preserve">; </w:t>
      </w:r>
      <w:r>
        <w:t>Lei, Conceito bíblico de</w:t>
      </w:r>
      <w:r>
        <w:t>.</w:t>
      </w:r>
      <w:r/>
      <w:r/>
    </w:p>
    <w:p>
      <w:r/>
    </w:p>
    <w:p>
      <w:pPr>
        <w:pStyle w:val="Heading2"/>
      </w:pPr>
      <w:r>
        <w:t>Livro da Vida</w:t>
      </w:r>
      <w:r/>
    </w:p>
    <w:p>
      <w:r/>
      <w:r>
        <w:t>Um termo usado para se referir a um registro mantido no céu.</w:t>
      </w:r>
    </w:p>
    <w:p>
      <w:r/>
      <w:r>
        <w:t>A frase aparece sete vezes no Novo Testamento (</w:t>
      </w:r>
      <w:hyperlink r:id="rId9519">
        <w:r>
          <w:rPr>
            <w:color w:val="0000EE"/>
            <w:u w:val="single"/>
          </w:rPr>
          <w:t>Fp 4.3</w:t>
        </w:r>
      </w:hyperlink>
      <w:r>
        <w:t xml:space="preserve">; </w:t>
      </w:r>
      <w:hyperlink r:id="rId5389">
        <w:r>
          <w:rPr>
            <w:color w:val="0000EE"/>
            <w:u w:val="single"/>
          </w:rPr>
          <w:t>Ap 3.5</w:t>
        </w:r>
      </w:hyperlink>
      <w:r>
        <w:t>;</w:t>
      </w:r>
      <w:hyperlink r:id="rId5389">
        <w:r>
          <w:rPr>
            <w:color w:val="0000EE"/>
            <w:u w:val="single"/>
          </w:rPr>
          <w:t xml:space="preserve"> </w:t>
        </w:r>
      </w:hyperlink>
      <w:hyperlink r:id="rId13070">
        <w:r>
          <w:rPr>
            <w:color w:val="0000EE"/>
            <w:u w:val="single"/>
          </w:rPr>
          <w:t>Ap 13.8</w:t>
        </w:r>
      </w:hyperlink>
      <w:r>
        <w:t xml:space="preserve">; </w:t>
      </w:r>
      <w:hyperlink r:id="rId118">
        <w:r>
          <w:rPr>
            <w:color w:val="0000EE"/>
            <w:u w:val="single"/>
          </w:rPr>
          <w:t>Ap 17.8</w:t>
        </w:r>
      </w:hyperlink>
      <w:r>
        <w:t>;</w:t>
      </w:r>
      <w:hyperlink r:id="rId118">
        <w:r>
          <w:rPr>
            <w:color w:val="0000EE"/>
            <w:u w:val="single"/>
          </w:rPr>
          <w:t xml:space="preserve"> </w:t>
        </w:r>
      </w:hyperlink>
      <w:hyperlink r:id="rId13071">
        <w:r>
          <w:rPr>
            <w:color w:val="0000EE"/>
            <w:u w:val="single"/>
          </w:rPr>
          <w:t>Ap 20.12</w:t>
        </w:r>
      </w:hyperlink>
      <w:r>
        <w:t>;</w:t>
      </w:r>
      <w:hyperlink r:id="rId13071">
        <w:r>
          <w:rPr>
            <w:color w:val="0000EE"/>
            <w:u w:val="single"/>
          </w:rPr>
          <w:t xml:space="preserve"> Ap 20.15</w:t>
        </w:r>
      </w:hyperlink>
      <w:r>
        <w:t>;</w:t>
      </w:r>
      <w:hyperlink r:id="rId13071">
        <w:r>
          <w:rPr>
            <w:color w:val="0000EE"/>
            <w:u w:val="single"/>
          </w:rPr>
          <w:t xml:space="preserve"> </w:t>
        </w:r>
      </w:hyperlink>
      <w:hyperlink r:id="rId12586">
        <w:r>
          <w:rPr>
            <w:color w:val="0000EE"/>
            <w:u w:val="single"/>
          </w:rPr>
          <w:t>Ap 21.27).</w:t>
        </w:r>
      </w:hyperlink>
    </w:p>
    <w:p>
      <w:r/>
      <w:r>
        <w:t xml:space="preserve">A ideia vem do Antigo Testamento, onde várias passagens descrevem Deus mantendo um registro de seu povo. Exemplos incluem </w:t>
      </w:r>
      <w:hyperlink r:id="rId13072">
        <w:r>
          <w:rPr>
            <w:color w:val="0000EE"/>
            <w:u w:val="single"/>
          </w:rPr>
          <w:t>Êxodo 32.32</w:t>
        </w:r>
      </w:hyperlink>
      <w:r>
        <w:t xml:space="preserve">; </w:t>
      </w:r>
      <w:hyperlink r:id="rId13073">
        <w:r>
          <w:rPr>
            <w:color w:val="0000EE"/>
            <w:u w:val="single"/>
          </w:rPr>
          <w:t>Salmo 87.6</w:t>
        </w:r>
      </w:hyperlink>
      <w:r>
        <w:t xml:space="preserve">; </w:t>
      </w:r>
      <w:hyperlink r:id="rId3264">
        <w:r>
          <w:rPr>
            <w:color w:val="0000EE"/>
            <w:u w:val="single"/>
          </w:rPr>
          <w:t>Daniel 7.10</w:t>
        </w:r>
      </w:hyperlink>
      <w:r>
        <w:t xml:space="preserve">; </w:t>
      </w:r>
      <w:hyperlink r:id="rId3267">
        <w:r>
          <w:rPr>
            <w:color w:val="0000EE"/>
            <w:u w:val="single"/>
          </w:rPr>
          <w:t>12.1</w:t>
        </w:r>
      </w:hyperlink>
      <w:r>
        <w:t xml:space="preserve">; e </w:t>
      </w:r>
      <w:hyperlink r:id="rId13074">
        <w:r>
          <w:rPr>
            <w:color w:val="0000EE"/>
            <w:u w:val="single"/>
          </w:rPr>
          <w:t>Malaquias 3.16</w:t>
        </w:r>
      </w:hyperlink>
      <w:r>
        <w:t xml:space="preserve">. Essas passagens mostram que Deus registra tanto as ações fiéis quanto a desobediência de seu povo. Algumas passagens sugerem que Deus também pode manter registros de outras nações (p. ex., </w:t>
      </w:r>
      <w:hyperlink r:id="rId13073">
        <w:r>
          <w:rPr>
            <w:color w:val="0000EE"/>
            <w:u w:val="single"/>
          </w:rPr>
          <w:t>Sl 87.6</w:t>
        </w:r>
      </w:hyperlink>
      <w:r>
        <w:t xml:space="preserve">). Em </w:t>
      </w:r>
      <w:hyperlink r:id="rId13075">
        <w:r>
          <w:rPr>
            <w:color w:val="0000EE"/>
            <w:u w:val="single"/>
          </w:rPr>
          <w:t>Salmo 69.28</w:t>
        </w:r>
      </w:hyperlink>
      <w:r>
        <w:t>, encontramos a frase “Livro da Vida”, e as linhas poéticas ao redor referem-se à vida física.</w:t>
      </w:r>
    </w:p>
    <w:p>
      <w:r/>
      <w:hyperlink r:id="rId3264">
        <w:r>
          <w:rPr>
            <w:color w:val="0000EE"/>
            <w:u w:val="single"/>
          </w:rPr>
          <w:t>Daniel 7.10</w:t>
        </w:r>
      </w:hyperlink>
      <w:r>
        <w:t xml:space="preserve">, </w:t>
      </w:r>
      <w:hyperlink r:id="rId3267">
        <w:r>
          <w:rPr>
            <w:color w:val="0000EE"/>
            <w:u w:val="single"/>
          </w:rPr>
          <w:t>12.1</w:t>
        </w:r>
      </w:hyperlink>
      <w:r>
        <w:t xml:space="preserve"> e </w:t>
      </w:r>
      <w:hyperlink r:id="rId13074">
        <w:r>
          <w:rPr>
            <w:color w:val="0000EE"/>
            <w:u w:val="single"/>
          </w:rPr>
          <w:t>Malaquias 3.16</w:t>
        </w:r>
      </w:hyperlink>
      <w:r>
        <w:t xml:space="preserve"> conectam registros divinos com o julgamento final e eventos do tempo do fim. Essas passagens descrevem nomes e feitos como evidência diante de um juiz. </w:t>
      </w:r>
      <w:hyperlink r:id="rId11866">
        <w:r>
          <w:rPr>
            <w:color w:val="0000EE"/>
            <w:u w:val="single"/>
          </w:rPr>
          <w:t>Lucas 10.20</w:t>
        </w:r>
      </w:hyperlink>
      <w:r>
        <w:t xml:space="preserve"> e </w:t>
      </w:r>
      <w:hyperlink r:id="rId13076">
        <w:r>
          <w:rPr>
            <w:color w:val="0000EE"/>
            <w:u w:val="single"/>
          </w:rPr>
          <w:t>Hebreus 12.23</w:t>
        </w:r>
      </w:hyperlink>
      <w:r>
        <w:t xml:space="preserve"> compartilham essa ideia, mas não mencionam um “livro”. No entanto, um registro celestial é assumido. Em </w:t>
      </w:r>
      <w:hyperlink r:id="rId9519">
        <w:r>
          <w:rPr>
            <w:color w:val="0000EE"/>
            <w:u w:val="single"/>
          </w:rPr>
          <w:t>Filipenses 4.3</w:t>
        </w:r>
      </w:hyperlink>
      <w:r>
        <w:t>, Paulo usa o termo “Livro da Vida” para dar esperança sobre o futuro com Deus.</w:t>
      </w:r>
    </w:p>
    <w:p>
      <w:r/>
      <w:r>
        <w:t>No livro de Apocalipse, o "Livro da Vida" é um registro celestial que contém os nomes das pessoas que permanecem fiéis a Deus. Ele aparece pela primeira vez em Apocalipse na carta à igreja em Sardes (</w:t>
      </w:r>
      <w:hyperlink r:id="rId5389">
        <w:r>
          <w:rPr>
            <w:color w:val="0000EE"/>
            <w:u w:val="single"/>
          </w:rPr>
          <w:t>Ap 3.5</w:t>
        </w:r>
      </w:hyperlink>
      <w:r>
        <w:t>). Jesus, que é chamado de "o Cordeiro", mantém este livro (</w:t>
      </w:r>
      <w:hyperlink r:id="rId13070">
        <w:r>
          <w:rPr>
            <w:color w:val="0000EE"/>
            <w:u w:val="single"/>
          </w:rPr>
          <w:t>Ap 13.8</w:t>
        </w:r>
      </w:hyperlink>
      <w:r>
        <w:t xml:space="preserve">; </w:t>
      </w:r>
      <w:hyperlink r:id="rId10589">
        <w:r>
          <w:rPr>
            <w:color w:val="0000EE"/>
            <w:u w:val="single"/>
          </w:rPr>
          <w:t>21.7</w:t>
        </w:r>
      </w:hyperlink>
      <w:r>
        <w:t>). Se o nome de uma pessoa for encontrado no livro, ela tem permissão para entrar na nova Jerusalém (</w:t>
      </w:r>
      <w:hyperlink r:id="rId13077">
        <w:r>
          <w:rPr>
            <w:color w:val="0000EE"/>
            <w:u w:val="single"/>
          </w:rPr>
          <w:t>Ap 20.15</w:t>
        </w:r>
      </w:hyperlink>
      <w:r>
        <w:t xml:space="preserve">; </w:t>
      </w:r>
      <w:hyperlink r:id="rId12586">
        <w:r>
          <w:rPr>
            <w:color w:val="0000EE"/>
            <w:u w:val="single"/>
          </w:rPr>
          <w:t>21.27</w:t>
        </w:r>
      </w:hyperlink>
      <w:r>
        <w:t>). Se o nome de alguém não estiver escrito lá, seu julgamento é a destruição final. Apocalipse nos diz que esses nomes foram “escritos desde a fundação do mundo” (</w:t>
      </w:r>
      <w:hyperlink r:id="rId13070">
        <w:r>
          <w:rPr>
            <w:color w:val="0000EE"/>
            <w:u w:val="single"/>
          </w:rPr>
          <w:t>Ap 13.8</w:t>
        </w:r>
      </w:hyperlink>
      <w:r>
        <w:t xml:space="preserve">; </w:t>
      </w:r>
      <w:hyperlink r:id="rId118">
        <w:r>
          <w:rPr>
            <w:color w:val="0000EE"/>
            <w:u w:val="single"/>
          </w:rPr>
          <w:t>17.8</w:t>
        </w:r>
      </w:hyperlink>
      <w:r>
        <w:t>). Isso mostra que Deus sempre conheceu e cuidou de seu povo.</w:t>
      </w:r>
    </w:p>
    <w:p>
      <w:r/>
      <w:r>
        <w:rPr>
          <w:i/>
        </w:rPr>
        <w:t>Veja também</w:t>
      </w:r>
      <w:r>
        <w:t xml:space="preserve"> </w:t>
      </w:r>
      <w:r>
        <w:t>Livro de memórias</w:t>
      </w:r>
      <w:r>
        <w:t>.</w:t>
      </w:r>
      <w:r/>
      <w:r/>
    </w:p>
    <w:p>
      <w:r/>
    </w:p>
    <w:p>
      <w:pPr>
        <w:pStyle w:val="Heading2"/>
      </w:pPr>
      <w:r>
        <w:t>Livro de Êxodo</w:t>
      </w:r>
      <w:r/>
    </w:p>
    <w:p>
      <w:r/>
      <w:r>
        <w:t>Segundo livro da Bíblia, contendo a história da libertação de Deus do povo de Israel da escravidão no Egito. Poucos livros do Antigo Testamento são tão importantes, tanto a histórica quanto teologicamente, como o livro de Êxodo.</w:t>
      </w:r>
    </w:p>
    <w:p>
      <w:r/>
      <w:r>
        <w:t>Historicamente, o evento do êxodo foi o nascimento de Israel como uma nação. No Monte Sinai, um grupo de tribos que eram descendentes de Abraão se tornou uma nação governada por Deus. O livro de Êxodo explica como os israelitas foram capazes de reassentar a terra que Deus havia prometido a Abraão e dá a base para esta vida religiosa, política e social.</w:t>
      </w:r>
    </w:p>
    <w:p>
      <w:r/>
      <w:r>
        <w:t xml:space="preserve">Teologicamente, o livro de Êxodo é tão frequentemente referido no AT e no NT que os teólogos falam de um “tema do êxodo”. No </w:t>
      </w:r>
      <w:hyperlink r:id="rId13078">
        <w:r>
          <w:rPr>
            <w:color w:val="0000EE"/>
            <w:u w:val="single"/>
          </w:rPr>
          <w:t>Salmo 68</w:t>
        </w:r>
      </w:hyperlink>
      <w:r>
        <w:t>, por exemplo, Davi recebeu segurança em lembrar que seu Deus era o mesmo que resgatou Israel do Egito. O profeta Jeremias comparou a futura reunião de Israel com seu êxodo do Egito como um evento ainda mais milagroso (</w:t>
      </w:r>
      <w:hyperlink r:id="rId13079">
        <w:r>
          <w:rPr>
            <w:color w:val="0000EE"/>
            <w:u w:val="single"/>
          </w:rPr>
          <w:t>Jr 16.14–15</w:t>
        </w:r>
      </w:hyperlink>
      <w:r>
        <w:t xml:space="preserve">). O retorno de Jesus e seus pais do Egito está associado com o êxodo em </w:t>
      </w:r>
      <w:hyperlink r:id="rId11697">
        <w:r>
          <w:rPr>
            <w:color w:val="0000EE"/>
            <w:u w:val="single"/>
          </w:rPr>
          <w:t>Mateus 2.13–15</w:t>
        </w:r>
      </w:hyperlink>
      <w:r>
        <w:t>. A libertação do povo judeu do Egito foi interpretada como um protótipo para a libertação de Deus de todo seu povo, tanto Israel quanto a igreja. Assim, a mensagem do livro de Êxodo é fundamental para entender o plano de Deus de salvação em toda a Bíblia.</w:t>
      </w:r>
    </w:p>
    <w:p>
      <w:r/>
      <w:r>
        <w:t>O título em português “Êxodo” vem da Septuaginta, uma tradução pré-cristã do AT para o grego. A palavra significa “uma saída” ou “partida” e se refere ao resgate de Israel do Egito. O título hebraico é Shemoth (“esses são os nomes”), das palavras de abertura do livro, referindo-se aos nomes dos filhos de Jacó que se juntaram a José no Egito.</w:t>
      </w:r>
    </w:p>
    <w:p>
      <w:r/>
      <w:r>
        <w:t>Resumo</w:t>
      </w:r>
    </w:p>
    <w:p>
      <w:r/>
      <w:r>
        <w:t>• Autor</w:t>
      </w:r>
    </w:p>
    <w:p>
      <w:r/>
      <w:r>
        <w:t>• Data</w:t>
      </w:r>
    </w:p>
    <w:p>
      <w:r/>
      <w:r>
        <w:t>• Contexto</w:t>
      </w:r>
    </w:p>
    <w:p>
      <w:r/>
      <w:r>
        <w:t>• Propósito e ensino teológico</w:t>
      </w:r>
    </w:p>
    <w:p>
      <w:r/>
      <w:r>
        <w:t>• Conteúdo</w:t>
      </w:r>
    </w:p>
    <w:p>
      <w:pPr>
        <w:pStyle w:val="Heading3"/>
      </w:pPr>
      <w:r>
        <w:t>Autor</w:t>
      </w:r>
    </w:p>
    <w:p>
      <w:r/>
      <w:r>
        <w:t>De acordo com a tradição, Êxodo e todo o Pentateuco (primeiros cinco livros da Bíblia) foram escritos por Moisés. Êxodo foi provavelmente escrito no Monte Sinai ou logo após os eventos que aconteceram lá, de acordo com esta visão. Há muito a apoiar essa alegação: (1) O livro afirma que Moisés escreveu as palavras de Deus em pelo menos um livro (</w:t>
      </w:r>
      <w:hyperlink r:id="rId13080">
        <w:r>
          <w:rPr>
            <w:color w:val="0000EE"/>
            <w:u w:val="single"/>
          </w:rPr>
          <w:t>Êx 17.14</w:t>
        </w:r>
      </w:hyperlink>
      <w:r>
        <w:t xml:space="preserve">; </w:t>
      </w:r>
      <w:hyperlink r:id="rId13081">
        <w:r>
          <w:rPr>
            <w:color w:val="0000EE"/>
            <w:u w:val="single"/>
          </w:rPr>
          <w:t>24.2,7</w:t>
        </w:r>
      </w:hyperlink>
      <w:r>
        <w:t xml:space="preserve">; </w:t>
      </w:r>
      <w:hyperlink r:id="rId13082">
        <w:r>
          <w:rPr>
            <w:color w:val="0000EE"/>
            <w:u w:val="single"/>
          </w:rPr>
          <w:t>34.27–28</w:t>
        </w:r>
      </w:hyperlink>
      <w:r>
        <w:t xml:space="preserve">). De acordo com </w:t>
      </w:r>
      <w:hyperlink r:id="rId13083">
        <w:r>
          <w:rPr>
            <w:color w:val="0000EE"/>
            <w:u w:val="single"/>
          </w:rPr>
          <w:t>Dt 31.9,24</w:t>
        </w:r>
      </w:hyperlink>
      <w:r>
        <w:t>, Moisés registrou a lei de Deus em um livro que foi depositado ao lado da arca da aliança como uma testemunha de Deus. (2) Muitos escritores do AT se referiram a porções de Êxodo como a “lei de Moisés” (</w:t>
      </w:r>
      <w:hyperlink r:id="rId12192">
        <w:r>
          <w:rPr>
            <w:color w:val="0000EE"/>
            <w:u w:val="single"/>
          </w:rPr>
          <w:t>Jo 8.31</w:t>
        </w:r>
      </w:hyperlink>
      <w:r>
        <w:t xml:space="preserve">; </w:t>
      </w:r>
      <w:hyperlink r:id="rId13084">
        <w:r>
          <w:rPr>
            <w:color w:val="0000EE"/>
            <w:u w:val="single"/>
          </w:rPr>
          <w:t>Ml 4.4</w:t>
        </w:r>
      </w:hyperlink>
      <w:r>
        <w:t>). O NT, incluindo o testemunho de Jesus, chama Moisés de autor (</w:t>
      </w:r>
      <w:hyperlink r:id="rId13085">
        <w:r>
          <w:rPr>
            <w:color w:val="0000EE"/>
            <w:u w:val="single"/>
          </w:rPr>
          <w:t>Mc 7.10</w:t>
        </w:r>
      </w:hyperlink>
      <w:r>
        <w:t xml:space="preserve">; </w:t>
      </w:r>
      <w:hyperlink r:id="rId3767">
        <w:r>
          <w:rPr>
            <w:color w:val="0000EE"/>
            <w:u w:val="single"/>
          </w:rPr>
          <w:t>12.26</w:t>
        </w:r>
      </w:hyperlink>
      <w:r>
        <w:t xml:space="preserve">; </w:t>
      </w:r>
      <w:hyperlink r:id="rId9755">
        <w:r>
          <w:rPr>
            <w:color w:val="0000EE"/>
            <w:u w:val="single"/>
          </w:rPr>
          <w:t>Jo 1.45</w:t>
        </w:r>
      </w:hyperlink>
      <w:r>
        <w:t xml:space="preserve">; </w:t>
      </w:r>
      <w:hyperlink r:id="rId13086">
        <w:r>
          <w:rPr>
            <w:color w:val="0000EE"/>
            <w:u w:val="single"/>
          </w:rPr>
          <w:t>7.19</w:t>
        </w:r>
      </w:hyperlink>
      <w:r>
        <w:t>).</w:t>
      </w:r>
    </w:p>
    <w:p>
      <w:r/>
      <w:r>
        <w:t>Várias outras teorias sobre a origem de Êxodo foram propostas. Alguns estudiosos creditam Moisés com a autoria de quase todo o livro. Um escritor afirma que Moisés era um desconhecido xeque do deserto que nunca sequer conheceu os israelitas. Alguns críticos pensam que detectam no livro vários documentos de vários períodos na história de Israel que foram finalmente reunidos por um editor séculos após a morte de Moisés. Outros isolaram várias formas literárias, como o “Cantares de Moisés” (</w:t>
      </w:r>
      <w:hyperlink r:id="rId4201">
        <w:r>
          <w:rPr>
            <w:color w:val="0000EE"/>
            <w:u w:val="single"/>
          </w:rPr>
          <w:t>Êx 15</w:t>
        </w:r>
      </w:hyperlink>
      <w:r>
        <w:t>), e traçaram seu desenvolvimento. Outra interpretação diz que a história do Êxodo foi passada de boca em boca por muitas gerações antes de ser escrita.</w:t>
      </w:r>
    </w:p>
    <w:p>
      <w:r/>
      <w:r>
        <w:t>Embora tais teorias sejam sustentadas por estudiosos bíblicos, elas negam o que o texto do livro afirma repetidamente: que Moisés escreveu Êxodo. O livro de Êxodo contém evidências de ter sido escrito por uma testemunha. Apenas tal pessoa se lembraria, por exemplo, que havia 12 fontes e 70 palmeiras em Elim (</w:t>
      </w:r>
      <w:hyperlink r:id="rId7934">
        <w:r>
          <w:rPr>
            <w:color w:val="0000EE"/>
            <w:u w:val="single"/>
          </w:rPr>
          <w:t>Êx 15.27</w:t>
        </w:r>
      </w:hyperlink>
      <w:r>
        <w:t>). O autor mostra um conhecimento completo da vida, costumes e linguagem da corte egípcia. Alguns dos materiais usados para construir o tabernáculo, como madeira de acácia para seus móveis (</w:t>
      </w:r>
      <w:hyperlink r:id="rId249">
        <w:r>
          <w:rPr>
            <w:color w:val="0000EE"/>
            <w:u w:val="single"/>
          </w:rPr>
          <w:t>25.10</w:t>
        </w:r>
      </w:hyperlink>
      <w:r>
        <w:t xml:space="preserve">) e couro fino (possivelmente peles de grandes animais marinhos) para a cobertura externa (v. </w:t>
      </w:r>
      <w:hyperlink r:id="rId5747">
        <w:r>
          <w:rPr>
            <w:color w:val="0000EE"/>
            <w:u w:val="single"/>
          </w:rPr>
          <w:t>5</w:t>
        </w:r>
      </w:hyperlink>
      <w:r>
        <w:t>), são encontrados no Egito e na Península do Sinai, mas não na Palestina. O livro parece assim ter tido um cenário no deserto.</w:t>
      </w:r>
    </w:p>
    <w:p>
      <w:r/>
      <w:r>
        <w:t>Moisés não foi apenas comissionado por Deus para escrever o livro de Êxodo, mas ele também era bem qualificado. Ele foi “instruído em toda a sabedoria dos egípcios, e ele era poderoso em suas palavras e atos” (</w:t>
      </w:r>
      <w:hyperlink r:id="rId13087">
        <w:r>
          <w:rPr>
            <w:color w:val="0000EE"/>
            <w:u w:val="single"/>
          </w:rPr>
          <w:t>At 7.22</w:t>
        </w:r>
      </w:hyperlink>
      <w:r>
        <w:t>, ARA). Além disso, os 40 anos gastos no deserto de Midiã e Sinai lhe deram um conhecimento completo da geografia e da vida selvagem das regiões através das quais os israelitas viajaram. Os eventos do Êxodo — libertação dos egípcios e a entrega da lei por Deus — foram tão centrais para a história de Israel que Moisés tomou precaução especial para preservar o registro para que pudesse ser passado às gerações seguintes.</w:t>
      </w:r>
    </w:p>
    <w:p>
      <w:pPr>
        <w:pStyle w:val="Heading3"/>
      </w:pPr>
      <w:r>
        <w:t>Data</w:t>
      </w:r>
    </w:p>
    <w:p>
      <w:r/>
      <w:r>
        <w:t>Se alguém aceitar a visão tradicional de que Moisés escreveu Êxodo, então o livro deve ser datado no tempo de Moisés. Duas datas são geralmente sugeridas para o êxodo do Egito.</w:t>
      </w:r>
    </w:p>
    <w:p>
      <w:pPr>
        <w:pStyle w:val="Heading4"/>
      </w:pPr>
      <w:r>
        <w:t>A visão “Data tardia”</w:t>
      </w:r>
    </w:p>
    <w:p>
      <w:r/>
      <w:r>
        <w:t xml:space="preserve">Esta visão diz que o faraó que oprimiu os israelitas era Seti I (Sethos, ca. 1304–1290 a.C.) e o faraó do êxodo era Ramsés II (ca. 1290–1224 a.C.). O êxodo teria assim ocorrido em 1290, e a conquista de Canaã teria começado em 1250. Há dois argumentos principais para esta visão: (1) De acordo com </w:t>
      </w:r>
      <w:hyperlink r:id="rId4245">
        <w:r>
          <w:rPr>
            <w:color w:val="0000EE"/>
            <w:u w:val="single"/>
          </w:rPr>
          <w:t>Êx 1.11</w:t>
        </w:r>
      </w:hyperlink>
      <w:r>
        <w:t>, os israelitas foram forçados a construir a cidade-armazém de Ramsés; portanto, Ramsés II deve ter governado na época. Mas a cidade de Ramsés poderia ter existido mais cedo sob um nome diferente e então foi renomeada após Ramsés II quando ele a reconstruiu. Ou poderia ter havido um monarca anterior chamado Ramsés que comissionou sua construção. (2) Há evidências arqueológicas de movimentos de pessoas e destruição generalizada em Canaã por volta de 1250 a.C. Se esta destruição fosse causada pela conquista hebraica sob Josué, colocaria o êxodo por volta de 1290. Mas poderia ter facilmente sido o resultado da turbulência social e anarquia no período dos juízes israelitas, ou das atividades militares dos povos vizinhos.</w:t>
      </w:r>
    </w:p>
    <w:p>
      <w:pPr>
        <w:pStyle w:val="Heading4"/>
      </w:pPr>
      <w:r>
        <w:t>A visão “Data inicial”</w:t>
      </w:r>
    </w:p>
    <w:p>
      <w:r/>
      <w:r>
        <w:t xml:space="preserve">Esta visão diz que o faraó da opressão era Tutmés III (ca. 1504–1450 a.C.) e o faraó do êxodo era Amenófis II (ca. 1450–1424 a.C.). Assim, o êxodo teria ocorrido por volta de 1440, e a conquista teria começado por volta de 1400. Três principais argumentos apoiam essa visão: (1) Se o quarto ano do rei Salomão fosse 966 a.C., então os 480 anos de </w:t>
      </w:r>
      <w:hyperlink r:id="rId5414">
        <w:r>
          <w:rPr>
            <w:color w:val="0000EE"/>
            <w:u w:val="single"/>
          </w:rPr>
          <w:t>1Rs 6.1</w:t>
        </w:r>
      </w:hyperlink>
      <w:r>
        <w:t xml:space="preserve"> colocariam o êxodo em 1446. (2) Se o tempo de Jefté fosse 1100 a.C., então os 300 anos de </w:t>
      </w:r>
      <w:hyperlink r:id="rId2532">
        <w:r>
          <w:rPr>
            <w:color w:val="0000EE"/>
            <w:u w:val="single"/>
          </w:rPr>
          <w:t>Jz 11.26</w:t>
        </w:r>
      </w:hyperlink>
      <w:r>
        <w:t xml:space="preserve"> datariam a conquista em 1400. (3) A data tardia não deixaria tempo suficiente para o período dos juízes, que a maioria das cronologias indica que durou entre 300 e 400 anos. Com base em tais referências bíblicas à data do Êxodo, a data inicial parece preferível.</w:t>
      </w:r>
    </w:p>
    <w:p>
      <w:pPr>
        <w:pStyle w:val="Heading3"/>
      </w:pPr>
      <w:r>
        <w:t>Contexto</w:t>
      </w:r>
    </w:p>
    <w:p>
      <w:r/>
      <w:r>
        <w:t xml:space="preserve">Alguns eventos no Egito durante o período coberto pelo livro de Êxodo lançaram luz adicional sobre o registro bíblico. </w:t>
      </w:r>
      <w:hyperlink r:id="rId6208">
        <w:r>
          <w:rPr>
            <w:color w:val="0000EE"/>
            <w:u w:val="single"/>
          </w:rPr>
          <w:t>Êx 12.40</w:t>
        </w:r>
      </w:hyperlink>
      <w:r>
        <w:t xml:space="preserve"> registra que os israelitas viveram no Egito por 430 anos. Isso colocaria o assentamento de Jacó e sua família em Gósen (</w:t>
      </w:r>
      <w:hyperlink r:id="rId8559">
        <w:r>
          <w:rPr>
            <w:color w:val="0000EE"/>
            <w:u w:val="single"/>
          </w:rPr>
          <w:t>Gn 47.4,11</w:t>
        </w:r>
      </w:hyperlink>
      <w:r>
        <w:t>) por volta de 1870 a.C., durante a poderosa 12ª dinastia do Reino do Meio do Egito. Por volta da virada do século, duas dinastias mais fracas se seguiram. Os invasores semitas da Ásia começaram a se infiltrar no norte (ou Inferior) do Egito. Esses estranhos, conhecidos como hicsos, foram capazes de deslocar a dinastia nativa com seu próprio rei por volta de 1730. Esse era o “novo rei” que “não conhecia José” (</w:t>
      </w:r>
      <w:hyperlink r:id="rId9106">
        <w:r>
          <w:rPr>
            <w:color w:val="0000EE"/>
            <w:u w:val="single"/>
          </w:rPr>
          <w:t>Êx 1.8</w:t>
        </w:r>
      </w:hyperlink>
      <w:r>
        <w:t xml:space="preserve">). Sendo eles mesmos estrangeiros, eles estavam naturalmente interessados sobre os israelitas, que eram muitos e poderosos demais para eles (v. </w:t>
      </w:r>
      <w:hyperlink r:id="rId10646">
        <w:r>
          <w:rPr>
            <w:color w:val="0000EE"/>
            <w:u w:val="single"/>
          </w:rPr>
          <w:t>9</w:t>
        </w:r>
      </w:hyperlink>
      <w:r>
        <w:t>). A escravidão era a solução mais fácil para o problema dos israelitas. Os reis hicsos poderiam usar a nova fonte de trabalho para ampliar Ramessés, naquela época a capital do Baixo Egito.</w:t>
      </w:r>
    </w:p>
    <w:p>
      <w:r/>
      <w:r>
        <w:t>Apenas por volta de 1580 a.C. foram os egípcios, liderados por Ahmose, capazes de expulsar os hicsos e restabelecer uma linha egípcia de reis. Porque os israelitas ainda estavam se multiplicando, apesar de seu trabalho duro, os faraós da 18ª dinastia continuaram sua escravidão e decretaram que todos os filhos homens deveriam ser mortos. Quando Moisés nasceu (ca. 1560 a.C.), esse édito ainda estava em efeito. Tutmés I (1539–1514), o grande construtor do império e terceiro dessa dinastia, era faraó.</w:t>
      </w:r>
    </w:p>
    <w:p>
      <w:r/>
      <w:r>
        <w:t>O único herdeiro legal sobrevivente de Tutmés I foi uma filha, Hatshepsut. Seu marido assumiu o nome Tutmés II (1514–1504). Quando ele morreu, outro dos descendentes do faraó foi nomeado o sucessor — Tutmés III (1504–1450), que tinha dez anos na época. Hatshepsut tomou o reino do jovem governante e o controlou por 22 anos (1503–1482). Uma mulher de vontade tão forte poderia ter a coragem de desobedecer ao comando de seu pai salvando a vida de um bebê hebreu e criando-o no palácio em Tebas.</w:t>
      </w:r>
    </w:p>
    <w:p>
      <w:r/>
      <w:r>
        <w:t>Hatshepsut, que continuou a governar apesar da coroação de Tutmés III, possivelmente destinado a Moisés ter o trono, ou pelo menos uma posição alta no reino. Tutmés III, uma vez que ele tinha pleno poder após a morte de Hatshepsut, teria estado ansioso para acabar com Moisés. A fuga apressada de Moisés para o deserto após matar o superintendente se encaixa bem com tais possibilidades históricas. A morte de Tutmés III em 1450 a.C. abriu o caminho para Moisés voltar e confrontar o faraó Amenhotep II com a ordem de Deus: “Deixe meu povo ir”.</w:t>
      </w:r>
    </w:p>
    <w:p>
      <w:pPr>
        <w:pStyle w:val="Heading3"/>
      </w:pPr>
      <w:r>
        <w:t>Propósito e ensino teológico</w:t>
      </w:r>
    </w:p>
    <w:p>
      <w:r/>
      <w:r>
        <w:t>O propósito do livro de Êxodo é mostrar como a promessa de Deus a Abraão (</w:t>
      </w:r>
      <w:hyperlink r:id="rId13088">
        <w:r>
          <w:rPr>
            <w:color w:val="0000EE"/>
            <w:u w:val="single"/>
          </w:rPr>
          <w:t>Gn 15.12–16</w:t>
        </w:r>
      </w:hyperlink>
      <w:r>
        <w:t>) foi cumprida quando o Senhor resgatou os descendentes israelitas de Abraão da escravidão egípcia. Também explica a origem do festival da Páscoa, o início da nação pelo estabelecimento de Deus de uma aliança com Israel e a entrega da lei no Monte Sinai.</w:t>
      </w:r>
    </w:p>
    <w:p>
      <w:r/>
      <w:r>
        <w:t>O livro de Êxodo conta a história emocionante de um Deus poderoso, criador do universo, além de todas as limitações de tempo e espaço, que intervém na história em nome de um grupo impotente de escravos. Deus derrota o governante do maior império na terra e então leva seu povo oprimido dessa terra para a liberdade. Êxodo é a história de uma única família que providencialmente cresce e se transforma em uma multidão. Através da aliança de Deus, uma nação é formada, e através de sua lei, a nação recebe estabilidade e é separada de todos os seus vizinhos. O livro de Êxodo fala de um homem incomum, com 80 anos de preparação sendo divididos entre o palácio de um rei e o pasto de um sacerdote nômade. Moisés é um líder relutante, mas ele desafia o faraó, fala com Deus face a face, e escreve quase um quarto das Escrituras hebraicas.</w:t>
      </w:r>
    </w:p>
    <w:p>
      <w:r/>
      <w:r>
        <w:t xml:space="preserve">O Deus de Êxodo é fiel. Ele faz promessas e as mantém. </w:t>
      </w:r>
      <w:hyperlink r:id="rId13089">
        <w:r>
          <w:rPr>
            <w:color w:val="0000EE"/>
            <w:u w:val="single"/>
          </w:rPr>
          <w:t>Gn 15.13–16</w:t>
        </w:r>
      </w:hyperlink>
      <w:r>
        <w:t xml:space="preserve"> registra uma profecia incrível: “Então o Senhor disse a Abrão: ‘Saiba com certeza que seus descendentes serão estrangeiros em uma terra que não é deles, e serão escravos lá, e eles serão oprimidos por quatrocentos anos; mas trarei julgamento sobre a nação a qual eles servem, e depois sairão com grandes posses. . . E eles voltarão aqui na quarta geração’ ” (ARA). Em resposta a esta promessa, José, “no final de sua vida, fez menção do êxodo dos israelitas e deu instruções sobre seu sepultamento” (</w:t>
      </w:r>
      <w:hyperlink r:id="rId13090">
        <w:r>
          <w:rPr>
            <w:color w:val="0000EE"/>
            <w:u w:val="single"/>
          </w:rPr>
          <w:t>Hb 11.22</w:t>
        </w:r>
      </w:hyperlink>
      <w:r>
        <w:t>, NTLH).</w:t>
      </w:r>
    </w:p>
    <w:p>
      <w:r/>
      <w:r>
        <w:t>Essa promessa fornece um pano de fundo para o drama da redenção no qual o livro de Êxodo se concentra. A redenção pode ser definida como “libertação do poder de um domínio estrangeiro, e prazer da liberdade resultante”. Fala de um libertador e o que ele faz para alcançar a libertação. O livro de Êxodo está cheio do vocabulário da redenção. Fala do Deus que “se lembra” de sua promessa aos patriarcas hebreus (</w:t>
      </w:r>
      <w:hyperlink r:id="rId13091">
        <w:r>
          <w:rPr>
            <w:color w:val="0000EE"/>
            <w:u w:val="single"/>
          </w:rPr>
          <w:t>Êx 2.24</w:t>
        </w:r>
      </w:hyperlink>
      <w:r>
        <w:t xml:space="preserve">; </w:t>
      </w:r>
      <w:hyperlink r:id="rId13092">
        <w:r>
          <w:rPr>
            <w:color w:val="0000EE"/>
            <w:u w:val="single"/>
          </w:rPr>
          <w:t>6.5</w:t>
        </w:r>
      </w:hyperlink>
      <w:r>
        <w:t>). Deus “desce para livrar” os israelitas (</w:t>
      </w:r>
      <w:hyperlink r:id="rId1494">
        <w:r>
          <w:rPr>
            <w:color w:val="0000EE"/>
            <w:u w:val="single"/>
          </w:rPr>
          <w:t>3.8</w:t>
        </w:r>
      </w:hyperlink>
      <w:r>
        <w:t>), ou “salvá-los” (</w:t>
      </w:r>
      <w:hyperlink r:id="rId13093">
        <w:r>
          <w:rPr>
            <w:color w:val="0000EE"/>
            <w:u w:val="single"/>
          </w:rPr>
          <w:t>14.30</w:t>
        </w:r>
      </w:hyperlink>
      <w:r>
        <w:t xml:space="preserve">; </w:t>
      </w:r>
      <w:hyperlink r:id="rId13094">
        <w:r>
          <w:rPr>
            <w:color w:val="0000EE"/>
            <w:u w:val="single"/>
          </w:rPr>
          <w:t>15.2</w:t>
        </w:r>
      </w:hyperlink>
      <w:r>
        <w:t>), a fim de “trazê-los” da terra do Egito (</w:t>
      </w:r>
      <w:hyperlink r:id="rId13095">
        <w:r>
          <w:rPr>
            <w:color w:val="0000EE"/>
            <w:u w:val="single"/>
          </w:rPr>
          <w:t>3.10–12</w:t>
        </w:r>
      </w:hyperlink>
      <w:r>
        <w:t>). A redenção envolve esses aspectos:</w:t>
      </w:r>
    </w:p>
    <w:p>
      <w:r/>
      <w:r>
        <w:t xml:space="preserve">1. O Senhor é o autor da redenção. Em </w:t>
      </w:r>
      <w:hyperlink r:id="rId13096">
        <w:r>
          <w:rPr>
            <w:color w:val="0000EE"/>
            <w:u w:val="single"/>
          </w:rPr>
          <w:t>Êxodo 6.1–8</w:t>
        </w:r>
      </w:hyperlink>
      <w:r>
        <w:t xml:space="preserve">, quando Deus respondeu à oração de Moisés para libertar seu povo, ele usou o pronome “Eu” 18 vezes para enfatizar que ele era o iniciador da ação. Os descendentes hebreus de Abraão haviam conhecido Deus principalmente pelo nome hebraico “El”, um título comum no antigo Oriente Próximo para a divindade suprema. Mas em Êxodo, Israel aprendeu que Deus é “Jeová” ou “Yahweh”. Esse é seu nome pessoal, um lembrete de que ele é o Deus da aliança que pessoalmente se importa com o bem-estar de seu povo. Em </w:t>
      </w:r>
      <w:hyperlink r:id="rId6814">
        <w:r>
          <w:rPr>
            <w:color w:val="0000EE"/>
            <w:u w:val="single"/>
          </w:rPr>
          <w:t>Êxodo 3.14</w:t>
        </w:r>
      </w:hyperlink>
      <w:r>
        <w:t>, Deus disse a Moisés: “Eu sou quem sou” ou “Eu serei quem serei”. Alguns estudiosos pensam que a declaração mostra que o nome Yahweh vem do verbo hebraico “ser”. Em qualquer caso, o conceito de “nome” na cultura hebraica é sinônimo de “caráter”. Conhecer o nome de Deus é conhecer algo de seu caráter. Israel conhecia Deus como aquele que é eternamente autoexistente, mas presente com eles onde quer que fossem, agindo em seu nome (</w:t>
      </w:r>
      <w:hyperlink r:id="rId13097">
        <w:r>
          <w:rPr>
            <w:color w:val="0000EE"/>
            <w:u w:val="single"/>
          </w:rPr>
          <w:t>Êx 3.12</w:t>
        </w:r>
      </w:hyperlink>
      <w:r>
        <w:t xml:space="preserve">; </w:t>
      </w:r>
      <w:hyperlink r:id="rId13098">
        <w:r>
          <w:rPr>
            <w:color w:val="0000EE"/>
            <w:u w:val="single"/>
          </w:rPr>
          <w:t>33.14–16</w:t>
        </w:r>
      </w:hyperlink>
      <w:r>
        <w:t>).</w:t>
      </w:r>
    </w:p>
    <w:p>
      <w:r/>
      <w:r>
        <w:t>2. A razão para a redenção era a promessa de Deus aos antepassados dos israelitas. Quando Deus ouviu o gemido do povo de Israel, ele se lembrou de sua aliança com Abraão, com Isaque e com Jacó (</w:t>
      </w:r>
      <w:hyperlink r:id="rId13091">
        <w:r>
          <w:rPr>
            <w:color w:val="0000EE"/>
            <w:u w:val="single"/>
          </w:rPr>
          <w:t>Êx 2.24</w:t>
        </w:r>
      </w:hyperlink>
      <w:r>
        <w:t xml:space="preserve">; cp. </w:t>
      </w:r>
      <w:hyperlink r:id="rId13092">
        <w:r>
          <w:rPr>
            <w:color w:val="0000EE"/>
            <w:u w:val="single"/>
          </w:rPr>
          <w:t>6.5</w:t>
        </w:r>
      </w:hyperlink>
      <w:r>
        <w:t>). Em resposta a sua necessidade, ele selecionou um agente de redenção, o relutante Moisés. Moisés esgotou todos os possíveis pretextos, mas Deus não aceitaria um não como uma resposta. Moisés é um exemplo vívido de como Deus prepara, capacita e sustenta seus servos escolhidos, usando-os para realizar seu propósito.</w:t>
      </w:r>
    </w:p>
    <w:p>
      <w:r/>
      <w:r>
        <w:t>3. O motivo da redenção era a graça e amor de Deus (</w:t>
      </w:r>
      <w:hyperlink r:id="rId13099">
        <w:r>
          <w:rPr>
            <w:color w:val="0000EE"/>
            <w:u w:val="single"/>
          </w:rPr>
          <w:t>Êx 15.13</w:t>
        </w:r>
      </w:hyperlink>
      <w:r>
        <w:t xml:space="preserve">; </w:t>
      </w:r>
      <w:hyperlink r:id="rId13100">
        <w:r>
          <w:rPr>
            <w:color w:val="0000EE"/>
            <w:u w:val="single"/>
          </w:rPr>
          <w:t>20.6</w:t>
        </w:r>
      </w:hyperlink>
      <w:r>
        <w:t xml:space="preserve">; </w:t>
      </w:r>
      <w:hyperlink r:id="rId848">
        <w:r>
          <w:rPr>
            <w:color w:val="0000EE"/>
            <w:u w:val="single"/>
          </w:rPr>
          <w:t>34.6–7</w:t>
        </w:r>
      </w:hyperlink>
      <w:r>
        <w:t>). O propósito da redenção era que Israel e os egípcios pudessem conhecer a Deus (</w:t>
      </w:r>
      <w:hyperlink r:id="rId1103">
        <w:r>
          <w:rPr>
            <w:color w:val="0000EE"/>
            <w:u w:val="single"/>
          </w:rPr>
          <w:t>6.7</w:t>
        </w:r>
      </w:hyperlink>
      <w:r>
        <w:t xml:space="preserve">; </w:t>
      </w:r>
      <w:hyperlink r:id="rId13101">
        <w:r>
          <w:rPr>
            <w:color w:val="0000EE"/>
            <w:u w:val="single"/>
          </w:rPr>
          <w:t>7.5</w:t>
        </w:r>
      </w:hyperlink>
      <w:r>
        <w:t xml:space="preserve">; </w:t>
      </w:r>
      <w:hyperlink r:id="rId13102">
        <w:r>
          <w:rPr>
            <w:color w:val="0000EE"/>
            <w:u w:val="single"/>
          </w:rPr>
          <w:t>8.10</w:t>
        </w:r>
      </w:hyperlink>
      <w:r>
        <w:t xml:space="preserve">; </w:t>
      </w:r>
      <w:hyperlink r:id="rId13103">
        <w:r>
          <w:rPr>
            <w:color w:val="0000EE"/>
            <w:u w:val="single"/>
          </w:rPr>
          <w:t>14.18</w:t>
        </w:r>
      </w:hyperlink>
      <w:r>
        <w:t>). O Senhor trabalhou para que todos os que estavam envolvidos — Moisés, os israelitas, Faraó e os egípcios — tivessem certeza de que Ele, somente é Deus. A compreensão hebraica do conhecimento não é somente intelectual, mas orientada pela a experiência. A resposta desejada à ação de Deus não é mera presença mental, mas também fé e obediência.</w:t>
      </w:r>
    </w:p>
    <w:p>
      <w:r/>
      <w:r>
        <w:t>4. A redenção é alcançada no Êxodo por milagres (</w:t>
      </w:r>
      <w:hyperlink r:id="rId7507">
        <w:r>
          <w:rPr>
            <w:color w:val="0000EE"/>
            <w:u w:val="single"/>
          </w:rPr>
          <w:t>4.21</w:t>
        </w:r>
      </w:hyperlink>
      <w:r>
        <w:t>) — todos os processos naturais controlados sobrenaturalmente por Deus. Eles são descritos de várias maneiras como sinais e maravilhas (</w:t>
      </w:r>
      <w:hyperlink r:id="rId7508">
        <w:r>
          <w:rPr>
            <w:color w:val="0000EE"/>
            <w:u w:val="single"/>
          </w:rPr>
          <w:t>7.3</w:t>
        </w:r>
      </w:hyperlink>
      <w:r>
        <w:t>), grandes atos de julgamento (</w:t>
      </w:r>
      <w:hyperlink r:id="rId1958">
        <w:r>
          <w:rPr>
            <w:color w:val="0000EE"/>
            <w:u w:val="single"/>
          </w:rPr>
          <w:t>6.6</w:t>
        </w:r>
      </w:hyperlink>
      <w:r>
        <w:t xml:space="preserve">; </w:t>
      </w:r>
      <w:hyperlink r:id="rId13104">
        <w:r>
          <w:rPr>
            <w:color w:val="0000EE"/>
            <w:u w:val="single"/>
          </w:rPr>
          <w:t>7.4</w:t>
        </w:r>
      </w:hyperlink>
      <w:r>
        <w:t>) e “o dedo de Deus” (</w:t>
      </w:r>
      <w:hyperlink r:id="rId2384">
        <w:r>
          <w:rPr>
            <w:color w:val="0000EE"/>
            <w:u w:val="single"/>
          </w:rPr>
          <w:t>8.19</w:t>
        </w:r>
      </w:hyperlink>
      <w:r>
        <w:t>). Tais milagres não eram fogos de artifício frívolos, mas obras propositais de Deus. Alguns dos milagres provam que Moisés foi enviado por Deus. As pragas milagrosas provaram que Deus é supremo, pois cada um deles era um desafio direto a um dos deuses ou deusas do Egito: Osíris, o deus do rio, Hequete, a deusa sapo, Ra (Re), o deus sol, Hator a deusa gado. Os milagres no deserto provaram que Deus cumpre todas as necessidades de seu povo.</w:t>
      </w:r>
    </w:p>
    <w:p>
      <w:r/>
      <w:r>
        <w:t>5. O faraó era o vilão — uma imagem da humanidade rebelde confrontada pelo comando de Deus (</w:t>
      </w:r>
      <w:hyperlink r:id="rId13105">
        <w:r>
          <w:rPr>
            <w:color w:val="0000EE"/>
            <w:u w:val="single"/>
          </w:rPr>
          <w:t>Êx 4.21–23</w:t>
        </w:r>
      </w:hyperlink>
      <w:r>
        <w:t>). Dez vezes o faraó endureceu seu coração. No entanto, de certo modo, foi Deus quem endureceu o coração do faraó, influenciando a decisão do rei de desafiá-lo.</w:t>
      </w:r>
    </w:p>
    <w:p>
      <w:r/>
      <w:r>
        <w:t>6. A Páscoa marcou a compra da redenção (</w:t>
      </w:r>
      <w:hyperlink r:id="rId13106">
        <w:r>
          <w:rPr>
            <w:color w:val="0000EE"/>
            <w:u w:val="single"/>
          </w:rPr>
          <w:t>Êx 12.23–27</w:t>
        </w:r>
      </w:hyperlink>
      <w:r>
        <w:t xml:space="preserve">; </w:t>
      </w:r>
      <w:hyperlink r:id="rId13107">
        <w:r>
          <w:rPr>
            <w:color w:val="0000EE"/>
            <w:u w:val="single"/>
          </w:rPr>
          <w:t>15.16</w:t>
        </w:r>
      </w:hyperlink>
      <w:r>
        <w:t>). Era um exemplo claro de salvação por substituição. Quando o anjo da morte viu o sangue nos umbrais das portas e nas traves de madeira, ele passou por cima.</w:t>
      </w:r>
    </w:p>
    <w:p>
      <w:r/>
      <w:r>
        <w:t>7. Os destinatários da redenção de Deus em Êxodo eram os israelitas. Deus os tomou como seu próprio povo especial (</w:t>
      </w:r>
      <w:hyperlink r:id="rId1103">
        <w:r>
          <w:rPr>
            <w:color w:val="0000EE"/>
            <w:u w:val="single"/>
          </w:rPr>
          <w:t>6.7</w:t>
        </w:r>
      </w:hyperlink>
      <w:r>
        <w:t>), e eles não eram mais livres para fazer o que quisessem. Mesmo antes do êxodo, ele havia os reivindicado, dizendo a Faraó: “Israel é meu filho primogênito, e eu digo a vocês: ‘Deixe meu filho ir para que ele me sirva’ (</w:t>
      </w:r>
      <w:hyperlink r:id="rId13108">
        <w:r>
          <w:rPr>
            <w:color w:val="0000EE"/>
            <w:u w:val="single"/>
          </w:rPr>
          <w:t>4.22–23</w:t>
        </w:r>
      </w:hyperlink>
      <w:r>
        <w:t>, ARA).</w:t>
      </w:r>
    </w:p>
    <w:p>
      <w:r/>
      <w:r>
        <w:t>8. A demanda de redenção era obediência. Com base em sua libertação dos israelitas da escravidão, Deus estabeleceu os Dez Mandamentos (</w:t>
      </w:r>
      <w:hyperlink r:id="rId2571">
        <w:r>
          <w:rPr>
            <w:color w:val="0000EE"/>
            <w:u w:val="single"/>
          </w:rPr>
          <w:t>20.1–17</w:t>
        </w:r>
      </w:hyperlink>
      <w:r>
        <w:t>) e o resto da lei para que eles obedecessem. As pessoas, embora rápidas em prometer sua obediência (</w:t>
      </w:r>
      <w:hyperlink r:id="rId13109">
        <w:r>
          <w:rPr>
            <w:color w:val="0000EE"/>
            <w:u w:val="single"/>
          </w:rPr>
          <w:t>19.8</w:t>
        </w:r>
      </w:hyperlink>
      <w:r>
        <w:t xml:space="preserve">; </w:t>
      </w:r>
      <w:hyperlink r:id="rId11416">
        <w:r>
          <w:rPr>
            <w:color w:val="0000EE"/>
            <w:u w:val="single"/>
          </w:rPr>
          <w:t>24.3</w:t>
        </w:r>
      </w:hyperlink>
      <w:r>
        <w:t>), foram ainda mais rápidas em desobedecer (</w:t>
      </w:r>
      <w:hyperlink r:id="rId13110">
        <w:r>
          <w:rPr>
            <w:color w:val="0000EE"/>
            <w:u w:val="single"/>
          </w:rPr>
          <w:t>32.8</w:t>
        </w:r>
      </w:hyperlink>
      <w:r>
        <w:t>). Porque o Senhor é santo e quer que seu povo seja santo e totalmente dedicado (</w:t>
      </w:r>
      <w:hyperlink r:id="rId12791">
        <w:r>
          <w:rPr>
            <w:color w:val="0000EE"/>
            <w:u w:val="single"/>
          </w:rPr>
          <w:t>34.14</w:t>
        </w:r>
      </w:hyperlink>
      <w:r>
        <w:t xml:space="preserve">), ele deve punir a iniquidade. Mas sendo compassivo, ele também perdoa. Ao longo dos séculos da história de Israel, Deus suplicou ao seu povo através dos profetas para se lembrar do êxodo e se arrepender (veja </w:t>
      </w:r>
      <w:hyperlink r:id="rId13111">
        <w:r>
          <w:rPr>
            <w:color w:val="0000EE"/>
            <w:u w:val="single"/>
          </w:rPr>
          <w:t>Mq 6.3–4</w:t>
        </w:r>
      </w:hyperlink>
      <w:r>
        <w:t>). Os fiéis responderam em gratidão com o “cântico da redenção” de Moisés (</w:t>
      </w:r>
      <w:hyperlink r:id="rId4201">
        <w:r>
          <w:rPr>
            <w:color w:val="0000EE"/>
            <w:u w:val="single"/>
          </w:rPr>
          <w:t>Êx 15</w:t>
        </w:r>
      </w:hyperlink>
      <w:r>
        <w:t xml:space="preserve">; cp. </w:t>
      </w:r>
      <w:hyperlink r:id="rId13112">
        <w:r>
          <w:rPr>
            <w:color w:val="0000EE"/>
            <w:u w:val="single"/>
          </w:rPr>
          <w:t>Ap 15.3–4</w:t>
        </w:r>
      </w:hyperlink>
      <w:r>
        <w:t>).</w:t>
      </w:r>
    </w:p>
    <w:p>
      <w:pPr>
        <w:pStyle w:val="Heading3"/>
      </w:pPr>
      <w:r>
        <w:t>Conteúdo</w:t>
      </w:r>
    </w:p>
    <w:p>
      <w:r/>
      <w:r>
        <w:t>O livro de Êxodo pode ser dividido em quatro seções, cada uma descrevendo um aspecto dos relacionamentos de Deus com os israelitas durante o século 15 a.C.</w:t>
      </w:r>
    </w:p>
    <w:p>
      <w:pPr>
        <w:pStyle w:val="Heading4"/>
      </w:pPr>
      <w:r>
        <w:t>A Revelação de Deus (Êx 1–6)</w:t>
      </w:r>
    </w:p>
    <w:p>
      <w:r/>
      <w:r>
        <w:t xml:space="preserve">O livro de Êxodo começa com os 70 descendentes de Jacó que se juntaram a José no Egito pela a duração de um período de fome que estava afligindo sua terra (cp. </w:t>
      </w:r>
      <w:hyperlink r:id="rId13113">
        <w:r>
          <w:rPr>
            <w:color w:val="0000EE"/>
            <w:u w:val="single"/>
          </w:rPr>
          <w:t>Gn 46–50</w:t>
        </w:r>
      </w:hyperlink>
      <w:r>
        <w:t>). Após mais de um século de prosperidade para os israelitas na terra de Gosén, uma nova dinastia é estabelecida no Egito onde os líderes não são amigáveis em relação a Israel. Para conter o rápido crescimento do povo hebreu, os egípcios os forçam a trabalho duro, construindo cidades de armazenamento para o faraó.</w:t>
      </w:r>
    </w:p>
    <w:p>
      <w:r/>
      <w:r>
        <w:t>Um comando adicional exige que todos os filhos homens israelitas sejam mortos no nascimento. Os superintendentes das parteiras não obedecem, no entanto, e Deus as recompensa — não para mostrar sua aprovação de sua mentira, mas porque elas temem e obedecem a Deus em vez do que ao faraó. Um novo comando pede que todos os bebês israelitas homens sejam afogados no rio Nilo. Uma criança especial, que escapa quando a filha de Faraó tem seu cesto pescado do Nilo, é Moisés. Ironicamente, a mãe de Moisés é paga pela princesa para criar seu próprio filho, que cresce no palácio como o filho adotivo da princesa.</w:t>
      </w:r>
    </w:p>
    <w:p>
      <w:r/>
      <w:r>
        <w:t xml:space="preserve">Como adulto, Moisés escolhe se identificar com seus parentes hebreus, um tributo à instrução inicial dada a ele por seus pais piedosos (veja </w:t>
      </w:r>
      <w:hyperlink r:id="rId13114">
        <w:r>
          <w:rPr>
            <w:color w:val="0000EE"/>
            <w:u w:val="single"/>
          </w:rPr>
          <w:t>Hb 11.24–26</w:t>
        </w:r>
      </w:hyperlink>
      <w:r>
        <w:t>). Ele sai para libertar Israel dos egípcios, um homem de cada vez. Mas ele tem que fugir para Midiã, na borda leste da Península do Sinai ou na Arábia além do topo norte do Golfo de Áqaba. Moisés se casa na casa de Jetro, também chamado de Reuel. Reuel (“amigo de Deus”) é provavelmente o nome pessoal do homem, e Jetro (“excelência”) seu título. Jetro é é chamado de “sacerdote de Midiã” (</w:t>
      </w:r>
      <w:hyperlink r:id="rId11874">
        <w:r>
          <w:rPr>
            <w:color w:val="0000EE"/>
            <w:u w:val="single"/>
          </w:rPr>
          <w:t>Êx 2.16</w:t>
        </w:r>
      </w:hyperlink>
      <w:r>
        <w:t>). Alguns estudiosos sugerem que Moisés aprendeu sobre Yahweh de Jetro e posteriormente ensinou esta religião aos israelitas — uma teoria conhecida como a “hipótese queneita”. Porém, a Bíblia apresenta visões diferentes: Moisés e os israelitas já sabiam sobre Deus antes de deixarem o Egito (</w:t>
      </w:r>
      <w:hyperlink r:id="rId13115">
        <w:r>
          <w:rPr>
            <w:color w:val="0000EE"/>
            <w:u w:val="single"/>
          </w:rPr>
          <w:t>Êx 1.21</w:t>
        </w:r>
      </w:hyperlink>
      <w:r>
        <w:t xml:space="preserve">; </w:t>
      </w:r>
      <w:hyperlink r:id="rId13116">
        <w:r>
          <w:rPr>
            <w:color w:val="0000EE"/>
            <w:u w:val="single"/>
          </w:rPr>
          <w:t>At 7.24–25</w:t>
        </w:r>
      </w:hyperlink>
      <w:r>
        <w:t>), e Deus pessoalmente revelou seu nome, Yahweh, para Moisés na sarça ardente (</w:t>
      </w:r>
      <w:hyperlink r:id="rId13117">
        <w:r>
          <w:rPr>
            <w:color w:val="0000EE"/>
            <w:u w:val="single"/>
          </w:rPr>
          <w:t>Êx 3.14–15</w:t>
        </w:r>
      </w:hyperlink>
      <w:r>
        <w:t>). Jetro parece acreditar apenas depois que ele vê que Deus resgatou Israel dos egípcios (</w:t>
      </w:r>
      <w:hyperlink r:id="rId13118">
        <w:r>
          <w:rPr>
            <w:color w:val="0000EE"/>
            <w:u w:val="single"/>
          </w:rPr>
          <w:t>18.10–11</w:t>
        </w:r>
      </w:hyperlink>
      <w:r>
        <w:t>).</w:t>
      </w:r>
    </w:p>
    <w:p>
      <w:r/>
      <w:r>
        <w:t>Enquanto seu futuro libertador está em Midiã, os israelitas continuam a ser oprimidos e clamam a Deus em sua miséria (</w:t>
      </w:r>
      <w:hyperlink r:id="rId13119">
        <w:r>
          <w:rPr>
            <w:color w:val="0000EE"/>
            <w:u w:val="single"/>
          </w:rPr>
          <w:t>2.23–25</w:t>
        </w:r>
      </w:hyperlink>
      <w:r>
        <w:t>). Deus responde descendo a seu povo. Ele veio para resgatar Israel (</w:t>
      </w:r>
      <w:hyperlink r:id="rId1494">
        <w:r>
          <w:rPr>
            <w:color w:val="0000EE"/>
            <w:u w:val="single"/>
          </w:rPr>
          <w:t>3.8</w:t>
        </w:r>
      </w:hyperlink>
      <w:r>
        <w:t>). Ele aparece a Moisés em uma sarça ardente e se identifica como o mesmo Deus que prometeu aos patriarcas uma terra da qual “flui leite e mel” (</w:t>
      </w:r>
      <w:hyperlink r:id="rId13120">
        <w:r>
          <w:rPr>
            <w:color w:val="0000EE"/>
            <w:u w:val="single"/>
          </w:rPr>
          <w:t>3.17</w:t>
        </w:r>
      </w:hyperlink>
      <w:r>
        <w:t>). Moisés levará os israelitas para lá, ajudado por seu irmão, Arão.</w:t>
      </w:r>
    </w:p>
    <w:p>
      <w:r/>
      <w:r>
        <w:t>Assegurado de que a presença de Deus e os sinais milagrosos o acompanham, Moisés toma sua esposa Zípora e seus dois filhos e parte para o Egito. No caminho, o Senhor o encontra e busca colocá-lo à morte (</w:t>
      </w:r>
      <w:hyperlink r:id="rId8502">
        <w:r>
          <w:rPr>
            <w:color w:val="0000EE"/>
            <w:u w:val="single"/>
          </w:rPr>
          <w:t>4.24</w:t>
        </w:r>
      </w:hyperlink>
      <w:r>
        <w:t>). Essa é provavelmente a maneira hebraica de dizer que Deus o atinge com uma doença mortal. Moisés, que vai libertar o povo de Deus, negligenciou o sinal da aliança ao falhar em circuncidar um de seus filhos (</w:t>
      </w:r>
      <w:hyperlink r:id="rId13121">
        <w:r>
          <w:rPr>
            <w:color w:val="0000EE"/>
            <w:u w:val="single"/>
          </w:rPr>
          <w:t>Gn 17.14</w:t>
        </w:r>
      </w:hyperlink>
      <w:r>
        <w:t>). Moisés se recupera após o rito ser realizado e continua para o Egito, encontrando Arão no Monte Sinai. Sua recepção pelos israelitas é mais cordial do que a de Faraó, que se nega a honrar o Deus que enviou Moisés. Em vez de libertar os israelitas para oferecer sacrifícios a seu Deus no deserto, ele aumenta seus fardos. O povo se queixa com Moisés, e Moisés se queixa com Deus. Deus aparece novamente a Moisés (</w:t>
      </w:r>
      <w:hyperlink r:id="rId13122">
        <w:r>
          <w:rPr>
            <w:color w:val="0000EE"/>
            <w:u w:val="single"/>
          </w:rPr>
          <w:t>Êx 6</w:t>
        </w:r>
      </w:hyperlink>
      <w:r>
        <w:t>), reafirmando que Israel será liberto pelo poder divino. O plano de Deus não é um fracasso — ele está apenas começando a colocá-lo em ação.</w:t>
      </w:r>
    </w:p>
    <w:p>
      <w:pPr>
        <w:pStyle w:val="Heading4"/>
      </w:pPr>
      <w:r>
        <w:t>A Libertação de Deus (Êx 7–19)</w:t>
      </w:r>
    </w:p>
    <w:p>
      <w:r/>
      <w:r>
        <w:t xml:space="preserve">Os capítulos </w:t>
      </w:r>
      <w:hyperlink r:id="rId11413">
        <w:r>
          <w:rPr>
            <w:color w:val="0000EE"/>
            <w:u w:val="single"/>
          </w:rPr>
          <w:t>7–12</w:t>
        </w:r>
      </w:hyperlink>
      <w:r>
        <w:t xml:space="preserve"> registram dez pragas com as quais Deus aflige os egípcios. Mesmo antes do primeiro deles, o faraó endureceu seu coração para desafiar a Deus (</w:t>
      </w:r>
      <w:hyperlink r:id="rId13123">
        <w:r>
          <w:rPr>
            <w:color w:val="0000EE"/>
            <w:u w:val="single"/>
          </w:rPr>
          <w:t>7.13</w:t>
        </w:r>
      </w:hyperlink>
      <w:r>
        <w:t>). Há três ciclos de três pragas cada:</w:t>
      </w:r>
    </w:p>
    <w:p>
      <w:r/>
      <w:r>
        <w:t>As primeiras três pragas afetam tanto os egípcios quanto os israelitas; os israelitas são protegidos das seis finais. Os mágicos egípcios são capazes de duplicar as duas primeiras pragas, mas quando a terceira ataca, eles admitem: “Este é o dedo de Deus” (</w:t>
      </w:r>
      <w:hyperlink r:id="rId2384">
        <w:r>
          <w:rPr>
            <w:color w:val="0000EE"/>
            <w:u w:val="single"/>
          </w:rPr>
          <w:t>8.19</w:t>
        </w:r>
      </w:hyperlink>
      <w:r>
        <w:t>). Porém, em cada ocasião, ou Moisés rejeita a oferta que é incompleta, ou faraó termina a negociação sem fazer o que Moisés pediu (</w:t>
      </w:r>
      <w:hyperlink r:id="rId13124">
        <w:r>
          <w:rPr>
            <w:color w:val="0000EE"/>
            <w:u w:val="single"/>
          </w:rPr>
          <w:t>8.25–29</w:t>
        </w:r>
      </w:hyperlink>
      <w:r>
        <w:t xml:space="preserve">; </w:t>
      </w:r>
      <w:hyperlink r:id="rId13125">
        <w:r>
          <w:rPr>
            <w:color w:val="0000EE"/>
            <w:u w:val="single"/>
          </w:rPr>
          <w:t>10.8–11,24–29</w:t>
        </w:r>
      </w:hyperlink>
      <w:r>
        <w:t>). As primeiras pragas são meramente desagradáveis, mas as finais são destrutivas e infligem muito sofrimento. Uma vez muitas das pragas são comuns a essa área, elas mesmas não são milagrosas. O milagre é como os fenômenos são multiplicados e limitados à terra do Egito.</w:t>
      </w:r>
    </w:p>
    <w:p>
      <w:r/>
      <w:r>
        <w:t>As nove pragas servem para endurecer ainda mais o coração do faraó, então Deus prepara um golpe final. A morte de cada macho primogênito, entre animais e humanos, será o golpe fatal. Deus adverte os israelitas a se prepararem para sair. Para evitar o anjo da morte, eles devem colocar sangue de um cordeiro ou cabrito macho de um ano, sem defeito, em suas portas. Enquanto eles estão comendo a refeição da Páscoa, o anjo da morte começa a se mover pela terra do Egito. Na angústia, o faraó expulsa os israelitas da terra; os escravos estão finalmente livres. Assim como ele prometeu, o Senhor vai diante dos filhos de Israel em uma coluna de nuvem de dia e de fogo à noite.</w:t>
      </w:r>
    </w:p>
    <w:p>
      <w:r/>
      <w:r>
        <w:t xml:space="preserve">Mas mais uma vez o coração do faraó é endurecido e ele vêm em perseguição. Deus divide as águas do mar com um grande vento. O significado literal do nome dado que corpo de água é “mar de juncos”. Poderia se referir a qualquer linha costeira onde a água é suficientemente rasa para que tais plantas cresçam (veja </w:t>
      </w:r>
      <w:hyperlink r:id="rId7560">
        <w:r>
          <w:rPr>
            <w:color w:val="0000EE"/>
            <w:u w:val="single"/>
          </w:rPr>
          <w:t>1Rs 9.26</w:t>
        </w:r>
      </w:hyperlink>
      <w:r>
        <w:t>, onde o mesmo termo se refere ao Golfo de Áqaba perto de Elote). Seja qual for o local, Deus entrega aos egípcios sua derrota final. O resgate está completo.</w:t>
      </w:r>
    </w:p>
    <w:p>
      <w:r/>
      <w:r>
        <w:t>Moisés e os israelitas respondem com fé renovada no Senhor e com um cântico de vitória e louvor (</w:t>
      </w:r>
      <w:hyperlink r:id="rId13126">
        <w:r>
          <w:rPr>
            <w:color w:val="0000EE"/>
            <w:u w:val="single"/>
          </w:rPr>
          <w:t>Êx 14.31–15.21</w:t>
        </w:r>
      </w:hyperlink>
      <w:r>
        <w:t>). Em breve, no entanto, a ação de graças se transforma em murmuração por causa da água amarga (</w:t>
      </w:r>
      <w:hyperlink r:id="rId6380">
        <w:r>
          <w:rPr>
            <w:color w:val="0000EE"/>
            <w:u w:val="single"/>
          </w:rPr>
          <w:t>15.22–26</w:t>
        </w:r>
      </w:hyperlink>
      <w:r>
        <w:t>), falta de carne e pão (</w:t>
      </w:r>
      <w:hyperlink r:id="rId13127">
        <w:r>
          <w:rPr>
            <w:color w:val="0000EE"/>
            <w:u w:val="single"/>
          </w:rPr>
          <w:t>16.1–15</w:t>
        </w:r>
      </w:hyperlink>
      <w:r>
        <w:t>) e falta de água (</w:t>
      </w:r>
      <w:hyperlink r:id="rId13128">
        <w:r>
          <w:rPr>
            <w:color w:val="0000EE"/>
            <w:u w:val="single"/>
          </w:rPr>
          <w:t>17.1–7</w:t>
        </w:r>
      </w:hyperlink>
      <w:r>
        <w:t xml:space="preserve">). Em cada situação, Deus providencia para a sua necessidade. Ele também lhes dá vitória sobre os amalequitas (vv. </w:t>
      </w:r>
      <w:hyperlink r:id="rId1032">
        <w:r>
          <w:rPr>
            <w:color w:val="0000EE"/>
            <w:u w:val="single"/>
          </w:rPr>
          <w:t>8–16</w:t>
        </w:r>
      </w:hyperlink>
      <w:r>
        <w:t xml:space="preserve">). Quando os israelitas se aproximam do Monte Sinai, a família de Moisés se reúne a ele, acompanhada por Jetro. Jetro agora confessa sua fé no Deus dos israelitas e compartilha de uma refeição de comunhão com os líderes. Ele também assiste Moisés ao reorganizar o sistema judicial, então retorna para Midiã (capítulo </w:t>
      </w:r>
      <w:hyperlink r:id="rId13129">
        <w:r>
          <w:rPr>
            <w:color w:val="0000EE"/>
            <w:u w:val="single"/>
          </w:rPr>
          <w:t>18</w:t>
        </w:r>
      </w:hyperlink>
      <w:r>
        <w:t>).</w:t>
      </w:r>
    </w:p>
    <w:p>
      <w:r/>
      <w:r>
        <w:t>Os israelitas chegam ao Monte Sinai, também chamado de Horebe (</w:t>
      </w:r>
      <w:hyperlink r:id="rId6724">
        <w:r>
          <w:rPr>
            <w:color w:val="0000EE"/>
            <w:u w:val="single"/>
          </w:rPr>
          <w:t>3.1</w:t>
        </w:r>
      </w:hyperlink>
      <w:r>
        <w:t xml:space="preserve">), e se preparam para encontrar o Senhor que os resgatou em cumprimento de sua promessa a Moisés (v. </w:t>
      </w:r>
      <w:hyperlink r:id="rId13097">
        <w:r>
          <w:rPr>
            <w:color w:val="0000EE"/>
            <w:u w:val="single"/>
          </w:rPr>
          <w:t>12</w:t>
        </w:r>
      </w:hyperlink>
      <w:r>
        <w:t>). O Senhor estabelece sua aliança com Israel, tomando-os como sua própria posse, “um reino de sacerdotes, minha nação santa”. Eles respondem rapidamente: “Certamente faremos tudo o que o Senhor nos pedir” (</w:t>
      </w:r>
      <w:hyperlink r:id="rId13130">
        <w:r>
          <w:rPr>
            <w:color w:val="0000EE"/>
            <w:u w:val="single"/>
          </w:rPr>
          <w:t>19.5–8</w:t>
        </w:r>
      </w:hyperlink>
      <w:r>
        <w:t>, NTLH).</w:t>
      </w:r>
    </w:p>
    <w:p>
      <w:pPr>
        <w:pStyle w:val="Heading4"/>
      </w:pPr>
      <w:r>
        <w:t>A Instrução de Deus (Êx 20–24)</w:t>
      </w:r>
    </w:p>
    <w:p>
      <w:r/>
      <w:r>
        <w:t>O Deus que redime um povo, que literalmente “os compra de volta da escravidão”, tem o direito de fazer certas demandas deles. Os mandamentos que Deus dá a Israel no Sinai não são requisitos pesados, mas diretrizes protetoras para viver como o povo de Deus (</w:t>
      </w:r>
      <w:hyperlink r:id="rId13131">
        <w:r>
          <w:rPr>
            <w:color w:val="0000EE"/>
            <w:u w:val="single"/>
          </w:rPr>
          <w:t>20.2–3</w:t>
        </w:r>
      </w:hyperlink>
      <w:r>
        <w:t>).</w:t>
      </w:r>
    </w:p>
    <w:p>
      <w:r/>
      <w:r>
        <w:t>A Lei (ou Torá, que significa “instrução”) revelada no Sinai consiste em três partes:</w:t>
      </w:r>
    </w:p>
    <w:p>
      <w:r/>
      <w:r>
        <w:t xml:space="preserve">1. Os Dez Mandamentos (capítulo </w:t>
      </w:r>
      <w:hyperlink r:id="rId805">
        <w:r>
          <w:rPr>
            <w:color w:val="0000EE"/>
            <w:u w:val="single"/>
          </w:rPr>
          <w:t>20</w:t>
        </w:r>
      </w:hyperlink>
      <w:r>
        <w:t>), abordando o relacionamento de uma pessoa com Deus e outras pessoas. Com base na natureza de Deus (e, portanto, permanente), os Dez Mandamentos são únicos na história das nações.</w:t>
      </w:r>
    </w:p>
    <w:p>
      <w:r/>
      <w:r>
        <w:t xml:space="preserve">2. Os julgamentos (capítulos </w:t>
      </w:r>
      <w:hyperlink r:id="rId808">
        <w:r>
          <w:rPr>
            <w:color w:val="0000EE"/>
            <w:u w:val="single"/>
          </w:rPr>
          <w:t>21–23</w:t>
        </w:r>
      </w:hyperlink>
      <w:r>
        <w:t>), regulamentos sociais para governar o povo como uma teocracia, semelhante de muitas maneiras aos códigos de lei dos vizinhos de Israel.</w:t>
      </w:r>
    </w:p>
    <w:p>
      <w:r/>
      <w:r>
        <w:t xml:space="preserve">3. Ordenanças (capítulos </w:t>
      </w:r>
      <w:hyperlink r:id="rId13132">
        <w:r>
          <w:rPr>
            <w:color w:val="0000EE"/>
            <w:u w:val="single"/>
          </w:rPr>
          <w:t>24–31</w:t>
        </w:r>
      </w:hyperlink>
      <w:r>
        <w:t>) regulando cerimônias religiosas.</w:t>
      </w:r>
    </w:p>
    <w:p>
      <w:r/>
      <w:r>
        <w:t>Todas as leis são dadas a Moisés durante as semanas que ele passa com Deus no monte.</w:t>
      </w:r>
    </w:p>
    <w:p>
      <w:r/>
      <w:r>
        <w:t>Os Dez Mandamentos formam a base de todas as outras leis em Israel (</w:t>
      </w:r>
      <w:hyperlink r:id="rId2571">
        <w:r>
          <w:rPr>
            <w:color w:val="0000EE"/>
            <w:u w:val="single"/>
          </w:rPr>
          <w:t>20.1–17</w:t>
        </w:r>
      </w:hyperlink>
      <w:r>
        <w:t>). Os primeiros cinco lidam com honrar o Senhor, os segundos cinco com respeitar o próximo. O último mandamento lida com os pensamentos e intenções, em vez de ações específicas. Assim, forma uma proteção contra todos os pecados não incluídos nos primeiros nove.</w:t>
      </w:r>
    </w:p>
    <w:p>
      <w:r/>
      <w:r>
        <w:t xml:space="preserve">Os julgamentos registrados nos capítulos </w:t>
      </w:r>
      <w:hyperlink r:id="rId808">
        <w:r>
          <w:rPr>
            <w:color w:val="0000EE"/>
            <w:u w:val="single"/>
          </w:rPr>
          <w:t>21–23</w:t>
        </w:r>
      </w:hyperlink>
      <w:r>
        <w:t xml:space="preserve"> lidam com relacionamentos senhor-escravo (</w:t>
      </w:r>
      <w:hyperlink r:id="rId13133">
        <w:r>
          <w:rPr>
            <w:color w:val="0000EE"/>
            <w:u w:val="single"/>
          </w:rPr>
          <w:t>21.1–11</w:t>
        </w:r>
      </w:hyperlink>
      <w:r>
        <w:t xml:space="preserve">), ofensas puníveis com a morte (vv. </w:t>
      </w:r>
      <w:hyperlink r:id="rId13134">
        <w:r>
          <w:rPr>
            <w:color w:val="0000EE"/>
            <w:u w:val="single"/>
          </w:rPr>
          <w:t>12–17</w:t>
        </w:r>
      </w:hyperlink>
      <w:r>
        <w:t>), compensação por lesão a pessoas ou danos à propriedade (</w:t>
      </w:r>
      <w:hyperlink r:id="rId13135">
        <w:r>
          <w:rPr>
            <w:color w:val="0000EE"/>
            <w:u w:val="single"/>
          </w:rPr>
          <w:t>21.18–22.15</w:t>
        </w:r>
      </w:hyperlink>
      <w:r>
        <w:t>), vários relacionamentos interpessoais (</w:t>
      </w:r>
      <w:hyperlink r:id="rId13136">
        <w:r>
          <w:rPr>
            <w:color w:val="0000EE"/>
            <w:u w:val="single"/>
          </w:rPr>
          <w:t>22.16–23.9</w:t>
        </w:r>
      </w:hyperlink>
      <w:r>
        <w:t>) e sábados, festas e a oferta das primícias (</w:t>
      </w:r>
      <w:hyperlink r:id="rId13137">
        <w:r>
          <w:rPr>
            <w:color w:val="0000EE"/>
            <w:u w:val="single"/>
          </w:rPr>
          <w:t>23.10–19</w:t>
        </w:r>
      </w:hyperlink>
      <w:r>
        <w:t>). Muitos dos julgamentos não entrariam em vigor até que Israel se estabelecesse na Terra Prometida. Assim, essa seção da Lei se encerra com uma advertência solene contra ser rebelde e adotar caminhos pagãos. Também contém uma promessa brilhante de que Deus expulsará os inimigos de Israel, protegerá seu povo da doença e concederá prosperidade, se eles obedecerem aos mandamentos do Senhor (</w:t>
      </w:r>
      <w:hyperlink r:id="rId13138">
        <w:r>
          <w:rPr>
            <w:color w:val="0000EE"/>
            <w:u w:val="single"/>
          </w:rPr>
          <w:t>23.22</w:t>
        </w:r>
      </w:hyperlink>
      <w:r>
        <w:t xml:space="preserve">, </w:t>
      </w:r>
      <w:hyperlink r:id="rId13139">
        <w:r>
          <w:rPr>
            <w:color w:val="0000EE"/>
            <w:u w:val="single"/>
          </w:rPr>
          <w:t>25–27</w:t>
        </w:r>
      </w:hyperlink>
      <w:r>
        <w:t>).</w:t>
      </w:r>
    </w:p>
    <w:p>
      <w:r/>
      <w:hyperlink r:id="rId5289">
        <w:r>
          <w:rPr>
            <w:color w:val="0000EE"/>
            <w:u w:val="single"/>
          </w:rPr>
          <w:t>Êxodo 24</w:t>
        </w:r>
      </w:hyperlink>
      <w:r>
        <w:t xml:space="preserve"> registra uma reafirmação da aliança entre Deus e Israel, enquanto Moisés a sela com o sangue de um sacrifício. Em resposta, Deus aparece aos líderes do povo, dando-lhes um vislumbre de seu esplendor. Então Moisés sobe o monte mais uma vez para receber as tábuas de pedra contendo os mandamentos, bem como instruções adicionais sobre a tenda do encontro (tabernáculo), o sacerdócio e a adoração.</w:t>
      </w:r>
    </w:p>
    <w:p>
      <w:pPr>
        <w:pStyle w:val="Heading4"/>
      </w:pPr>
      <w:r>
        <w:t>A presença de Deus com seu povo (Êx 25–40)</w:t>
      </w:r>
    </w:p>
    <w:p>
      <w:r/>
      <w:r>
        <w:t>Antes do Senhor redimir os israelitas, ele disse a Moisés: “Eu farei de você meu próprio povo especial, e eu serei seu Deus. E vocês saberão que eu sou o Senhor, seu Deus, que os resgatou de sua escravidão no Egito” (</w:t>
      </w:r>
      <w:hyperlink r:id="rId1103">
        <w:r>
          <w:rPr>
            <w:color w:val="0000EE"/>
            <w:u w:val="single"/>
          </w:rPr>
          <w:t>6.7</w:t>
        </w:r>
      </w:hyperlink>
      <w:r>
        <w:t>, NTLH). Moisés havia visto essa promessa maravilhosa ser cumprida, mas um passo adicional permaneceu: “Eu quero que o povo de Israel me construa uma residência sagrada onde eu possa viver entre eles” (</w:t>
      </w:r>
      <w:hyperlink r:id="rId5900">
        <w:r>
          <w:rPr>
            <w:color w:val="0000EE"/>
            <w:u w:val="single"/>
          </w:rPr>
          <w:t>25.8</w:t>
        </w:r>
      </w:hyperlink>
      <w:r>
        <w:t>). A habitação de Deus entre seu povo é possível porque Deus havia descido para libertar o povo e porque eles haviam se comprometido a atender às suas demandas. Deus pede uma contribuição de todos os corações que estavam dispostos a dar, e ele mostra a Moisés um padrão detalhado do tabernáculo e suas mobílias. Arão e seus filhos são separados para servir na tenda. As estipulações para as várias ofertas, incluindo o Dia da Expiação, são dadas. Deus diz a Moisés que ele escolheu Bezalel e Ooliabe para construir o tabernáculo e criar suas mobílias, tendo os enchido de seu Espírito.</w:t>
      </w:r>
    </w:p>
    <w:p>
      <w:r/>
      <w:r>
        <w:t>Enquanto isso, os israelitas, que tão recentemente prometeu obediência total, ficam impacientes enquanto Moisés permanece por 40 dias no monte. Eles exigem que Arão faça um ídolo para eles. Sob pressão, Arão obedece e forma um bezerro de fundição, uma representação de uma divindade pagã (</w:t>
      </w:r>
      <w:hyperlink r:id="rId13140">
        <w:r>
          <w:rPr>
            <w:color w:val="0000EE"/>
            <w:u w:val="single"/>
          </w:rPr>
          <w:t>32.4</w:t>
        </w:r>
      </w:hyperlink>
      <w:r>
        <w:t>).</w:t>
      </w:r>
    </w:p>
    <w:p>
      <w:r/>
      <w:r>
        <w:t>O Senhor informa a Moisés da idolatria, folia e imoralidade do povo e diz que ele está zangado o suficiente para destruir todos eles e começar novamente com a prole de Moisés. Moisés implora por Israel até que o Senhor se arrependa, então desce do monte para punir o povo. Moisés implora novamente por perdão por Israel, e Deus em misericórdia perdoa seu pecado terrível (</w:t>
      </w:r>
      <w:hyperlink r:id="rId13141">
        <w:r>
          <w:rPr>
            <w:color w:val="0000EE"/>
            <w:u w:val="single"/>
          </w:rPr>
          <w:t>34.8–10</w:t>
        </w:r>
      </w:hyperlink>
      <w:r>
        <w:t>).</w:t>
      </w:r>
    </w:p>
    <w:p>
      <w:r/>
      <w:r>
        <w:t>Uma vez mais Deus se oferece para fazer uma aliança com seu povo (</w:t>
      </w:r>
      <w:hyperlink r:id="rId13142">
        <w:r>
          <w:rPr>
            <w:color w:val="0000EE"/>
            <w:u w:val="single"/>
          </w:rPr>
          <w:t>34.10</w:t>
        </w:r>
      </w:hyperlink>
      <w:r>
        <w:t>). Moisés passa outros 40 dias com o Senhor, escrevendo os mandamentos em tábuas para substituir aqueles que foram esmagados quando ele viu o bezerro de ouro. Quando ele retorna para o povo, seu rosto brilha de estar na presença de Deus, e ele deve mantê-lo coberto.</w:t>
      </w:r>
    </w:p>
    <w:p>
      <w:r/>
      <w:r>
        <w:t>Agora que Israel foi restaurado a favor de Deus, a construção do tabernáculo pode começar. As contribuições são tão generosas que Moisés deve conter o povo de trazer mais. Finalmente, tudo está pronto. Moisés examina o tabernáculo, e é erguido no primeiro dia do primeiro mês, quase um ano após a primeira Páscoa. Os sacerdotes são consagrados, as lâmpadas são acesas e o primeiro sacrifício queimado é oferecido. Uma nuvem desce, enchendo o tabernáculo com a glória do Senhor. Deus habita entre seu povo, o objetivo da redenção foi alcançado, e o drama do livro de Êxodo chegou ao fim.</w:t>
      </w:r>
    </w:p>
    <w:p>
      <w:r/>
      <w:r>
        <w:rPr>
          <w:i/>
        </w:rPr>
        <w:t>Veja também</w:t>
      </w:r>
      <w:r>
        <w:t xml:space="preserve"> </w:t>
      </w:r>
      <w:r>
        <w:t>Cronologia da Bíblia (Antigo Testamento</w:t>
      </w:r>
      <w:r>
        <w:t xml:space="preserve">); </w:t>
      </w:r>
      <w:r>
        <w:t>Egito, egípcio</w:t>
      </w:r>
      <w:r>
        <w:t xml:space="preserve">; </w:t>
      </w:r>
      <w:r>
        <w:t>O Êxodo</w:t>
      </w:r>
      <w:r>
        <w:t xml:space="preserve">; </w:t>
      </w:r>
      <w:r>
        <w:t>Festas e Festivais de Israel</w:t>
      </w:r>
      <w:r>
        <w:t xml:space="preserve">; </w:t>
      </w:r>
      <w:r>
        <w:t>História de Israel</w:t>
      </w:r>
      <w:r>
        <w:t xml:space="preserve">; </w:t>
      </w:r>
      <w:r>
        <w:t>Moisés</w:t>
      </w:r>
      <w:r>
        <w:t xml:space="preserve">; </w:t>
      </w:r>
      <w:r>
        <w:t>Pragas do Egito</w:t>
      </w:r>
      <w:r>
        <w:t xml:space="preserve">; </w:t>
      </w:r>
      <w:r>
        <w:t>Tabernáculo</w:t>
      </w:r>
      <w:r>
        <w:t xml:space="preserve">; </w:t>
      </w:r>
      <w:r>
        <w:t>Templo</w:t>
      </w:r>
      <w:r>
        <w:t xml:space="preserve">; </w:t>
      </w:r>
      <w:r>
        <w:t>Os dez mandamentos</w:t>
      </w:r>
      <w:r>
        <w:t>.</w:t>
      </w:r>
      <w:r/>
      <w:r/>
    </w:p>
    <w:p>
      <w:r/>
    </w:p>
    <w:p>
      <w:pPr>
        <w:pStyle w:val="Heading2"/>
      </w:pPr>
      <w:r>
        <w:t>Livro de Jasar</w:t>
      </w:r>
      <w:r/>
    </w:p>
    <w:p>
      <w:r/>
      <w:r>
        <w:t>O Livro de Jasar era um antigo livro hebraico de canções que não existe mais. Provavelmente, era uma coleção de canções que celebravam os grandes feitos dos heróis hebreus.</w:t>
      </w:r>
    </w:p>
    <w:p>
      <w:pPr>
        <w:pStyle w:val="Heading3"/>
      </w:pPr>
      <w:r>
        <w:t>Referências ao Livro de Jasar no Antigo Testamento</w:t>
      </w:r>
    </w:p>
    <w:p>
      <w:r/>
      <w:r>
        <w:t>O Antigo Testamento menciona este livro em alguns lugares. Primeiro, ele aparece quando Josué ordena que o sol e a lua parem de se mover durante sua batalha com cinco reis (</w:t>
      </w:r>
      <w:hyperlink r:id="rId13059">
        <w:r>
          <w:rPr>
            <w:color w:val="0000EE"/>
            <w:u w:val="single"/>
          </w:rPr>
          <w:t>Js 10.13</w:t>
        </w:r>
      </w:hyperlink>
      <w:r>
        <w:t>). Segundo, é mencionado quando Davi escreve uma canção triste sobre as mortes de Saul e Jônatas (</w:t>
      </w:r>
      <w:hyperlink r:id="rId13143">
        <w:r>
          <w:rPr>
            <w:color w:val="0000EE"/>
            <w:u w:val="single"/>
          </w:rPr>
          <w:t>2Sm 1.17</w:t>
        </w:r>
      </w:hyperlink>
      <w:r>
        <w:t>–</w:t>
      </w:r>
      <w:hyperlink r:id="rId13143">
        <w:r>
          <w:rPr>
            <w:color w:val="0000EE"/>
            <w:u w:val="single"/>
          </w:rPr>
          <w:t>27</w:t>
        </w:r>
      </w:hyperlink>
      <w:r>
        <w:t>)</w:t>
      </w:r>
    </w:p>
    <w:p>
      <w:r/>
      <w:r>
        <w:t>Pode haver uma terceira menção do livro no Antigo Testamento. Quando Salomão dedicou o templo, ele proferiu palavras especiais (</w:t>
      </w:r>
      <w:hyperlink r:id="rId13144">
        <w:r>
          <w:rPr>
            <w:color w:val="0000EE"/>
            <w:u w:val="single"/>
          </w:rPr>
          <w:t>1Rs 8.12–13</w:t>
        </w:r>
      </w:hyperlink>
      <w:r>
        <w:t xml:space="preserve">). Essas palavras podem ter sido escritas no Livro de Jasar. De acordo com a Septuaginta (tradução grega do Antigo Testamento), o escritor de </w:t>
      </w:r>
      <w:hyperlink r:id="rId13144">
        <w:r>
          <w:rPr>
            <w:color w:val="0000EE"/>
            <w:u w:val="single"/>
          </w:rPr>
          <w:t>1Rs 8.12–13</w:t>
        </w:r>
      </w:hyperlink>
      <w:r>
        <w:t xml:space="preserve"> usa a mesma linguagem que </w:t>
      </w:r>
      <w:hyperlink r:id="rId13145">
        <w:r>
          <w:rPr>
            <w:color w:val="0000EE"/>
            <w:u w:val="single"/>
          </w:rPr>
          <w:t>Js 10.12–13</w:t>
        </w:r>
      </w:hyperlink>
      <w:r>
        <w:t>. O escritor então pergunta se as palavras de Salomão foram escritas no "Livro de Cânticos".</w:t>
      </w:r>
    </w:p>
    <w:p>
      <w:r/>
      <w:r>
        <w:t>Alguns estudiosos acreditam em duas coisas sobre esta terceira menção.</w:t>
      </w:r>
    </w:p>
    <w:p>
      <w:pPr>
        <w:pStyle w:val="ListNumber"/>
        <w:spacing w:line="240" w:lineRule="auto"/>
        <w:ind w:left="720"/>
      </w:pPr>
      <w:r/>
      <w:r>
        <w:t xml:space="preserve">Eles acreditam que a questão sobre o Livro de Cânticos pode ter sido perdida do texto hebraico ao longo do tempo. Eles pensam assim porque a citação completa aparece na tradução grega após a oração de Salomão em </w:t>
      </w:r>
      <w:hyperlink r:id="rId13146">
        <w:r>
          <w:rPr>
            <w:color w:val="0000EE"/>
            <w:u w:val="single"/>
          </w:rPr>
          <w:t>1Rs 8.14–53</w:t>
        </w:r>
      </w:hyperlink>
      <w:r>
        <w:t>.</w:t>
      </w:r>
    </w:p>
    <w:p>
      <w:pPr>
        <w:pStyle w:val="ListNumber"/>
        <w:spacing w:line="240" w:lineRule="auto"/>
        <w:ind w:left="720"/>
      </w:pPr>
      <w:r/>
      <w:r>
        <w:t>Eles acreditam que algumas letras hebraicas podem ter sido trocadas. Isso explicaria por que a tradução grega diz "Cânticos" em vez de "Jasar".</w:t>
      </w:r>
    </w:p>
    <w:p>
      <w:r/>
      <w:r>
        <w:t xml:space="preserve">Se essas ideias estiverem corretas, então as palavras de Salomão em </w:t>
      </w:r>
      <w:hyperlink r:id="rId13144">
        <w:r>
          <w:rPr>
            <w:color w:val="0000EE"/>
            <w:u w:val="single"/>
          </w:rPr>
          <w:t>1Rs 8.12–13</w:t>
        </w:r>
      </w:hyperlink>
      <w:r>
        <w:t xml:space="preserve"> teriam feito parte do Livro de Jasar.</w:t>
      </w:r>
    </w:p>
    <w:p>
      <w:pPr>
        <w:pStyle w:val="Heading3"/>
      </w:pPr>
      <w:r>
        <w:t>O Livro de Cânticos</w:t>
      </w:r>
    </w:p>
    <w:p>
      <w:r/>
      <w:r>
        <w:t>Alguns estudiosos acreditam que "Livro de Cânticos" pode, na verdade, ser o nome correto para este livro, em vez de "Livro de Jasar". Eles têm várias razões para pensar isso:</w:t>
      </w:r>
    </w:p>
    <w:p>
      <w:pPr>
        <w:pStyle w:val="ListNumber"/>
        <w:spacing w:line="240" w:lineRule="auto"/>
        <w:ind w:left="720"/>
      </w:pPr>
      <w:r/>
      <w:r>
        <w:t>Todas as partes que conhecemos deste livro são poemas ou canções.</w:t>
      </w:r>
    </w:p>
    <w:p>
      <w:pPr>
        <w:pStyle w:val="ListNumber"/>
        <w:spacing w:line="240" w:lineRule="auto"/>
        <w:ind w:left="720"/>
      </w:pPr>
      <w:r/>
      <w:r>
        <w:t>Os estudiosos têm encontrado dificuldade em explicar exatamente o que a palavra "Jasar" significa em hebraico.</w:t>
      </w:r>
    </w:p>
    <w:p>
      <w:pPr>
        <w:pStyle w:val="ListNumber"/>
        <w:spacing w:line="240" w:lineRule="auto"/>
        <w:ind w:left="720"/>
      </w:pPr>
      <w:r/>
      <w:r>
        <w:t>A palavra "Jasar" é semelhante a várias palavras hebraicas que significam "cantar".</w:t>
      </w:r>
    </w:p>
    <w:p>
      <w:r/>
      <w:r>
        <w:t>Devido a essas conexões, alguns estudiosos acreditam que "Livro de Cânticos" descreve melhor o conteúdo do livro do que "Livro de Jasar".</w:t>
      </w:r>
    </w:p>
    <w:p>
      <w:pPr>
        <w:pStyle w:val="Heading3"/>
      </w:pPr>
      <w:r>
        <w:t>O que estava no Livro de Jasar?</w:t>
      </w:r>
    </w:p>
    <w:p>
      <w:r/>
      <w:r>
        <w:t>Não podemos saber com certeza exatamente que tipo de livro era o Livro de Jasar. No entanto, ao observarmos as três passagens que o mencionam, podemos ver que provavelmente continha muitos tipos diferentes de canções:</w:t>
      </w:r>
    </w:p>
    <w:p>
      <w:pPr>
        <w:pStyle w:val="ListBullet"/>
        <w:spacing w:line="240" w:lineRule="auto"/>
        <w:ind w:left="720"/>
      </w:pPr>
      <w:r/>
      <w:r>
        <w:t>A primeira passagem mostra Josué pedindo a Deus para que o dia dure mais tempo. Ele precisava de mais luz do dia para que o povo de Israel pudesse vencer uma batalha importante.</w:t>
      </w:r>
    </w:p>
    <w:p>
      <w:pPr>
        <w:pStyle w:val="ListBullet"/>
        <w:spacing w:line="240" w:lineRule="auto"/>
        <w:ind w:left="720"/>
      </w:pPr>
      <w:r/>
      <w:r>
        <w:t>O segundo trecho contém a bela canção de Davi sobre Saul e Jônatas após a morte deles.</w:t>
      </w:r>
    </w:p>
    <w:p>
      <w:pPr>
        <w:pStyle w:val="ListBullet"/>
        <w:spacing w:line="240" w:lineRule="auto"/>
        <w:ind w:left="720"/>
      </w:pPr>
      <w:r/>
      <w:r>
        <w:t>A terceira passagem são as palavras de Salomão no templo. Nessas palavras, Salomão louva a Deus como sendo mais poderoso do que as cerimônias religiosas e o mundo natural.</w:t>
      </w:r>
    </w:p>
    <w:p>
      <w:pPr>
        <w:pStyle w:val="Heading3"/>
      </w:pPr>
      <w:r>
        <w:t>Quando o Livro de Jasar foi escrito?</w:t>
      </w:r>
    </w:p>
    <w:p>
      <w:r/>
      <w:r>
        <w:t xml:space="preserve">Sabemos ainda menos sobre quando e como o Livro de Jasar foi criado do que sabemos sobre o que ele continha. Alguns estudiosos acreditam que era uma coleção de canções de antes do tempo em que os reis governavam Israel. Alguns estudiosos pensam que era uma tradição oral da época do rei Salomão. Outros sugerem que era uma ferramenta para preservar eventos importantes na história de Israel durante o tempo em que os reis governavam Israel. Isso levou à sugestão de que o Cântico de Miriã em </w:t>
      </w:r>
      <w:hyperlink r:id="rId13147">
        <w:r>
          <w:rPr>
            <w:color w:val="0000EE"/>
            <w:u w:val="single"/>
          </w:rPr>
          <w:t>Êxodo 15.21</w:t>
        </w:r>
      </w:hyperlink>
      <w:r>
        <w:t xml:space="preserve"> e o Cântico de Débora em </w:t>
      </w:r>
      <w:hyperlink r:id="rId4184">
        <w:r>
          <w:rPr>
            <w:color w:val="0000EE"/>
            <w:u w:val="single"/>
          </w:rPr>
          <w:t>Juízes 5</w:t>
        </w:r>
      </w:hyperlink>
      <w:r>
        <w:t xml:space="preserve"> podem ter feito parte da coleção.</w:t>
      </w:r>
    </w:p>
    <w:p>
      <w:r/>
      <w:r>
        <w:t>Muitos estão interessados no livro. Isso levou algumas pessoas a criarem cópias falsas do livro ou a reivindicarem erroneamente outros escritos como sendo parte dele.</w:t>
      </w:r>
      <w:r/>
      <w:r/>
    </w:p>
    <w:p>
      <w:r/>
    </w:p>
    <w:p>
      <w:pPr>
        <w:pStyle w:val="Heading2"/>
      </w:pPr>
      <w:r>
        <w:t>Livro de Joel</w:t>
      </w:r>
      <w:r/>
    </w:p>
    <w:p>
      <w:r/>
      <w:r>
        <w:t>Um livro do Antigo Testamento e o segundo dos profetas menores.</w:t>
      </w:r>
    </w:p>
    <w:p>
      <w:pPr>
        <w:pStyle w:val="Heading3"/>
      </w:pPr>
      <w:r>
        <w:t>Resumo</w:t>
      </w:r>
    </w:p>
    <w:p>
      <w:pPr>
        <w:pStyle w:val="ListBullet"/>
        <w:spacing w:line="240" w:lineRule="auto"/>
        <w:ind w:left="720"/>
      </w:pPr>
      <w:r/>
      <w:r>
        <w:t>Autor;</w:t>
      </w:r>
    </w:p>
    <w:p>
      <w:pPr>
        <w:pStyle w:val="ListBullet"/>
        <w:spacing w:line="240" w:lineRule="auto"/>
        <w:ind w:left="720"/>
      </w:pPr>
      <w:r/>
      <w:r>
        <w:t>Dados;</w:t>
      </w:r>
    </w:p>
    <w:p>
      <w:pPr>
        <w:pStyle w:val="ListBullet"/>
        <w:spacing w:line="240" w:lineRule="auto"/>
        <w:ind w:left="720"/>
      </w:pPr>
      <w:r/>
      <w:r>
        <w:t>Conteúdo;</w:t>
      </w:r>
    </w:p>
    <w:p>
      <w:pPr>
        <w:pStyle w:val="ListBullet"/>
        <w:spacing w:line="240" w:lineRule="auto"/>
        <w:ind w:left="720"/>
      </w:pPr>
      <w:r/>
      <w:r>
        <w:t>Mensagem.</w:t>
      </w:r>
    </w:p>
    <w:p>
      <w:pPr>
        <w:pStyle w:val="Heading3"/>
      </w:pPr>
      <w:r>
        <w:t>Autor</w:t>
      </w:r>
    </w:p>
    <w:p>
      <w:r/>
      <w:r>
        <w:t>No primeiro versículo, o livro de Joel é descrito como a "mensagem que o SENHOR Deus deu a Joel, filho de Petuel". As Escrituras não fornecem mais informações sobre Joel ou Petuel. O nome Joel era comum; há 13 Joéis diferentes no Antigo Testamento. Com base no livro, parece que Joel não era um sacerdote, mas estava intimamente ligado aos sacerdotes do templo, e ele provavelmente era um homem de Jerusalém. Não podemos afirmar mais do que isso.</w:t>
      </w:r>
    </w:p>
    <w:p>
      <w:pPr>
        <w:pStyle w:val="Heading3"/>
      </w:pPr>
      <w:r>
        <w:t>Data</w:t>
      </w:r>
    </w:p>
    <w:p>
      <w:r/>
      <w:r>
        <w:t>Os estudiosos têm muitas opiniões sobre a data de Joel, o que torna difícil ter certeza. O livro pode datar de depois que os exilados judeus retornaram a Jerusalém da Babilônia, especificamente após Neemias reconstruir as muralhas de Jerusalém por volta de 400 a.C. As razões que apoiam isso incluem:</w:t>
      </w:r>
    </w:p>
    <w:p>
      <w:pPr>
        <w:pStyle w:val="ListNumber"/>
        <w:spacing w:line="240" w:lineRule="auto"/>
        <w:ind w:left="720"/>
      </w:pPr>
      <w:r/>
      <w:hyperlink r:id="rId13148">
        <w:r>
          <w:rPr>
            <w:color w:val="0000EE"/>
            <w:u w:val="single"/>
          </w:rPr>
          <w:t>Joel 3.2</w:t>
        </w:r>
      </w:hyperlink>
      <w:r>
        <w:t xml:space="preserve"> diz que o povo de Judá e Jerusalém foi espalhado entre as nações e sua terra foi dividida. No entanto, eles retornaram, e sua cidade agora tem muros novamente (</w:t>
      </w:r>
      <w:hyperlink r:id="rId13149">
        <w:r>
          <w:rPr>
            <w:color w:val="0000EE"/>
            <w:u w:val="single"/>
          </w:rPr>
          <w:t>Jl 2.9</w:t>
        </w:r>
      </w:hyperlink>
      <w:r>
        <w:t>);</w:t>
      </w:r>
    </w:p>
    <w:p>
      <w:pPr>
        <w:pStyle w:val="ListNumber"/>
        <w:spacing w:line="240" w:lineRule="auto"/>
        <w:ind w:left="720"/>
      </w:pPr>
      <w:r/>
      <w:r>
        <w:t>Quando é feito um chamado para oração e jejum, os sacerdotes e anciãos devem liderar (</w:t>
      </w:r>
      <w:hyperlink r:id="rId13150">
        <w:r>
          <w:rPr>
            <w:color w:val="0000EE"/>
            <w:u w:val="single"/>
          </w:rPr>
          <w:t>Jl 1.13</w:t>
        </w:r>
      </w:hyperlink>
      <w:r>
        <w:t xml:space="preserve">; </w:t>
      </w:r>
      <w:hyperlink r:id="rId13151">
        <w:r>
          <w:rPr>
            <w:color w:val="0000EE"/>
            <w:u w:val="single"/>
          </w:rPr>
          <w:t>2.16,17</w:t>
        </w:r>
      </w:hyperlink>
      <w:r>
        <w:t>). O livro não menciona um rei. Havia reis até o exílio, mas não por 400 anos depois;</w:t>
      </w:r>
    </w:p>
    <w:p>
      <w:pPr>
        <w:pStyle w:val="ListNumber"/>
        <w:spacing w:line="240" w:lineRule="auto"/>
        <w:ind w:left="720"/>
      </w:pPr>
      <w:r/>
      <w:r>
        <w:t>Os profetas antes do exílio—Amós, Oseias, Isaías, Miquéias e Jeremias—criticavam frequentemente o povo por oferecer sacrifícios enquanto ignoravam os caminhos de Deus em suas vidas diárias. Após o exílio, profetas como Ageu e Malaquias incentivaram e demonstraram profunda preocupação com a oferta de sacrifícios. Os profetas pré-exílicos frequentemente repreendiam o povo pela adoração de ídolos, o que não era um problema após o exílio. Joel parece alinhar-se mais com os profetas após o exílio do que com os profetas antes do exílio;</w:t>
      </w:r>
    </w:p>
    <w:p>
      <w:pPr>
        <w:pStyle w:val="ListNumber"/>
        <w:spacing w:line="240" w:lineRule="auto"/>
        <w:ind w:left="720"/>
      </w:pPr>
      <w:r/>
      <w:r>
        <w:t>Este livro não menciona o reino do norte de Israel. Ele discute Judá e Jerusalém até Ló. Quando menciona "Israel", parece referir-se ao mesmo povo que Judá e Jerusalém (</w:t>
      </w:r>
      <w:hyperlink r:id="rId13152">
        <w:r>
          <w:rPr>
            <w:color w:val="0000EE"/>
            <w:u w:val="single"/>
          </w:rPr>
          <w:t>Jl 2.27</w:t>
        </w:r>
      </w:hyperlink>
      <w:r>
        <w:t xml:space="preserve">; </w:t>
      </w:r>
      <w:hyperlink r:id="rId9640">
        <w:r>
          <w:rPr>
            <w:color w:val="0000EE"/>
            <w:u w:val="single"/>
          </w:rPr>
          <w:t>3.16</w:t>
        </w:r>
      </w:hyperlink>
      <w:r>
        <w:t>). Antes do reino do norte cair para os assírios em 722 a.C., esperaríamos uma maneira diferente de falar;</w:t>
      </w:r>
    </w:p>
    <w:p>
      <w:pPr>
        <w:pStyle w:val="ListNumber"/>
        <w:spacing w:line="240" w:lineRule="auto"/>
        <w:ind w:left="720"/>
      </w:pPr>
      <w:r/>
      <w:r>
        <w:t>Os outros reinos mencionados são Edom, Tiro e Sidom, os filisteus e os gregos. O texto não menciona Síria, Assíria e Babilônia, que foram inimigos de longa data e causaram muito sofrimento antes do exílio. Os reinos mencionados foram importantes para o povo após o exílio, e somente então os gregos se tornaram significativos na Palestina.</w:t>
      </w:r>
    </w:p>
    <w:p>
      <w:r/>
      <w:r>
        <w:t xml:space="preserve">Alguns estudiosos acreditam que esses argumentos são fracos e que o livro pode se encaixar em uma data anterior. Às vezes, é sugerido que o livro seja colocado junto aos profetas do século VIII a.C., Oseias e Amós, nas Escrituras hebraicas. No entanto, a ordem dos livros no cânon profético não determina sua data. Obadias, um profeta de depois do exílio, está entre os profetas do século VIII a.C., Amós e Miquéias. No Antigo Testamento Grego, Joel está em uma posição diferente da Bíblia hebraica. Joel e Amós provavelmente estão juntos porque </w:t>
      </w:r>
      <w:hyperlink r:id="rId1272">
        <w:r>
          <w:rPr>
            <w:color w:val="0000EE"/>
            <w:u w:val="single"/>
          </w:rPr>
          <w:t>Amós 1.2</w:t>
        </w:r>
      </w:hyperlink>
      <w:r>
        <w:t xml:space="preserve"> compartilha palavras com o final de Joel (</w:t>
      </w:r>
      <w:hyperlink r:id="rId9640">
        <w:r>
          <w:rPr>
            <w:color w:val="0000EE"/>
            <w:u w:val="single"/>
          </w:rPr>
          <w:t>Jl 3.16</w:t>
        </w:r>
      </w:hyperlink>
      <w:r>
        <w:t>). Alguns que apoiam uma data anterior ao exílio para o livro o colocam no século IX, durante o início do reinado de Joás, quando ele era jovem demais para governar. Outros sugerem que foi pouco antes da morte de Josias em 609 a.C. devido a referências a um inimigo do norte, semelhante a Jeremias, e apelos para que o povo retornasse ao Senhor com todo o coração (</w:t>
      </w:r>
      <w:hyperlink r:id="rId13153">
        <w:r>
          <w:rPr>
            <w:color w:val="0000EE"/>
            <w:u w:val="single"/>
          </w:rPr>
          <w:t>Jl 2.12</w:t>
        </w:r>
      </w:hyperlink>
      <w:r>
        <w:t>).</w:t>
      </w:r>
    </w:p>
    <w:p>
      <w:pPr>
        <w:pStyle w:val="Heading3"/>
      </w:pPr>
      <w:r>
        <w:t>Conteúdo</w:t>
      </w:r>
    </w:p>
    <w:p>
      <w:pPr>
        <w:pStyle w:val="Heading4"/>
      </w:pPr>
      <w:hyperlink r:id="rId13154">
        <w:r>
          <w:rPr>
            <w:color w:val="0000EE"/>
            <w:u w:val="single"/>
          </w:rPr>
          <w:t>1.1–12</w:t>
        </w:r>
      </w:hyperlink>
    </w:p>
    <w:p>
      <w:r/>
      <w:r>
        <w:t>Uma praga de gafanhotos, pior do que qualquer outra anterior, atingiu a terra (</w:t>
      </w:r>
      <w:hyperlink r:id="rId13155">
        <w:r>
          <w:rPr>
            <w:color w:val="0000EE"/>
            <w:u w:val="single"/>
          </w:rPr>
          <w:t>Jl 1.2–4</w:t>
        </w:r>
      </w:hyperlink>
      <w:r>
        <w:t>). Os bebedores foram instados a ver as videiras arruinadas e as figueiras desfolhadas (</w:t>
      </w:r>
      <w:hyperlink r:id="rId13156">
        <w:r>
          <w:rPr>
            <w:color w:val="0000EE"/>
            <w:u w:val="single"/>
          </w:rPr>
          <w:t>Jl 1.5–7</w:t>
        </w:r>
      </w:hyperlink>
      <w:r>
        <w:t>). As pessoas foram levadas a lamentar pelos campos destruídos, especialmente os sacerdotes, que não podiam mais oferecer ofertas de cereais e libações ao Senhor (</w:t>
      </w:r>
      <w:hyperlink r:id="rId13157">
        <w:r>
          <w:rPr>
            <w:color w:val="0000EE"/>
            <w:u w:val="single"/>
          </w:rPr>
          <w:t>Jl 1.8–10</w:t>
        </w:r>
      </w:hyperlink>
      <w:r>
        <w:t>). Os agricultores tiveram que lamentar sua colheita arruinada, sentindo profunda tristeza pelos frutos perdidos da terra (</w:t>
      </w:r>
      <w:hyperlink r:id="rId13158">
        <w:r>
          <w:rPr>
            <w:color w:val="0000EE"/>
            <w:u w:val="single"/>
          </w:rPr>
          <w:t>Jl 1.11,12</w:t>
        </w:r>
      </w:hyperlink>
      <w:r>
        <w:t>).</w:t>
      </w:r>
    </w:p>
    <w:p>
      <w:pPr>
        <w:pStyle w:val="Heading4"/>
      </w:pPr>
      <w:hyperlink r:id="rId13159">
        <w:r>
          <w:rPr>
            <w:color w:val="0000EE"/>
            <w:u w:val="single"/>
          </w:rPr>
          <w:t>1.13–20</w:t>
        </w:r>
      </w:hyperlink>
    </w:p>
    <w:p>
      <w:r/>
      <w:r>
        <w:t>Devido aos eventos, o povo foi convocado a orar e jejuar. Os sacerdotes deviam se apresentar diante do Senhor em pano de saco, lamentando porque não podiam trazer ofertas (</w:t>
      </w:r>
      <w:hyperlink r:id="rId13150">
        <w:r>
          <w:rPr>
            <w:color w:val="0000EE"/>
            <w:u w:val="single"/>
          </w:rPr>
          <w:t>Jl 1.13</w:t>
        </w:r>
      </w:hyperlink>
      <w:r>
        <w:t>). Anciãos e pessoas em geral tinham que vir ao templo para orar (</w:t>
      </w:r>
      <w:hyperlink r:id="rId13160">
        <w:r>
          <w:rPr>
            <w:color w:val="0000EE"/>
            <w:u w:val="single"/>
          </w:rPr>
          <w:t>Jl 1.14</w:t>
        </w:r>
      </w:hyperlink>
      <w:r>
        <w:t>). Esta crise, com colheitas perdidas e sem pasto para ovelhas e gado, era um sinal do Dia do Senhor que estava por vir, para o qual todos deveriam se preparar (</w:t>
      </w:r>
      <w:hyperlink r:id="rId13161">
        <w:r>
          <w:rPr>
            <w:color w:val="0000EE"/>
            <w:u w:val="single"/>
          </w:rPr>
          <w:t>Jl 1.15–18</w:t>
        </w:r>
      </w:hyperlink>
      <w:r>
        <w:t>). O profeta só podia clamar a Deus ao ver a devastação da terra (</w:t>
      </w:r>
      <w:hyperlink r:id="rId13162">
        <w:r>
          <w:rPr>
            <w:color w:val="0000EE"/>
            <w:u w:val="single"/>
          </w:rPr>
          <w:t>Jl 1.19,20</w:t>
        </w:r>
      </w:hyperlink>
      <w:r>
        <w:t>).</w:t>
      </w:r>
    </w:p>
    <w:p>
      <w:pPr>
        <w:pStyle w:val="Heading4"/>
      </w:pPr>
      <w:hyperlink r:id="rId1787">
        <w:r>
          <w:rPr>
            <w:color w:val="0000EE"/>
            <w:u w:val="single"/>
          </w:rPr>
          <w:t>2.1–11</w:t>
        </w:r>
      </w:hyperlink>
    </w:p>
    <w:p>
      <w:r/>
      <w:r>
        <w:t>Nesta seção, o profeta descreve um tempo em que o juízo de Deus ameaça toda a terra. É um momento para soar o alarme, pois um grupo grande e poderoso se aproxima, mais ameaçador do que qualquer outro antes. Também adverte sobre a vinda do "Dia do Senhor", um dia de escuridão e tristeza (</w:t>
      </w:r>
      <w:hyperlink r:id="rId13163">
        <w:r>
          <w:rPr>
            <w:color w:val="0000EE"/>
            <w:u w:val="single"/>
          </w:rPr>
          <w:t>Jl 2.1,2</w:t>
        </w:r>
      </w:hyperlink>
      <w:r>
        <w:t>). A terra é devastada pelo fogo; o que antes era como o Jardim do Éden torna-se um deserto (</w:t>
      </w:r>
      <w:hyperlink r:id="rId13164">
        <w:r>
          <w:rPr>
            <w:color w:val="0000EE"/>
            <w:u w:val="single"/>
          </w:rPr>
          <w:t>Jl 2.3</w:t>
        </w:r>
      </w:hyperlink>
      <w:r>
        <w:t>). Esta invasão se assemelha a uma carga de cavalaria, e os insurgentes soam como carros de guerra roncando. Todos sentem angústia à medida que avançam. Eles marcham como guerreiros, rompem as defesas, escalam muros das cidades e entram nas casas como ladrões (</w:t>
      </w:r>
      <w:hyperlink r:id="rId1785">
        <w:r>
          <w:rPr>
            <w:color w:val="0000EE"/>
            <w:u w:val="single"/>
          </w:rPr>
          <w:t>Jl 2.4–9</w:t>
        </w:r>
      </w:hyperlink>
      <w:r>
        <w:t>).</w:t>
      </w:r>
    </w:p>
    <w:p>
      <w:r/>
      <w:r>
        <w:t>Alguns interpretam esta descrição como uma imagem de exércitos de nações que se opõem a Israel, usados pelo Senhor para julgar seu povo. No entanto, como são descritos como cavalos em batalha, com "barulho como carros de guerra," e "atacam como soldados valentes" parece que a praga de gafanhotos ainda é o foco. A nuvem escura de gafanhotos no céu e seu efeito devastador na terra prenunciam o Grande Dia em que o Senhor julgará todas as pessoas. Naquele dia, céu e terra tremerão; o sol, a lua e as estrelas escurecerão (</w:t>
      </w:r>
      <w:hyperlink r:id="rId13165">
        <w:r>
          <w:rPr>
            <w:color w:val="0000EE"/>
            <w:u w:val="single"/>
          </w:rPr>
          <w:t>Jl 2.10,11</w:t>
        </w:r>
      </w:hyperlink>
      <w:r>
        <w:t>).</w:t>
      </w:r>
    </w:p>
    <w:p>
      <w:pPr>
        <w:pStyle w:val="Heading4"/>
      </w:pPr>
      <w:hyperlink r:id="rId1790">
        <w:r>
          <w:rPr>
            <w:color w:val="0000EE"/>
            <w:u w:val="single"/>
          </w:rPr>
          <w:t>2.12–17</w:t>
        </w:r>
      </w:hyperlink>
    </w:p>
    <w:p>
      <w:r/>
      <w:r>
        <w:t>O profeta exorta o povo a retornar humildemente ao Senhor e se arrepender, para que possam receber sua misericórdia e graça. Assim, eles podem novamente oferecer ofertas de cereais e libações ao Senhor seu Deus como faziam antes (</w:t>
      </w:r>
      <w:hyperlink r:id="rId13166">
        <w:r>
          <w:rPr>
            <w:color w:val="0000EE"/>
            <w:u w:val="single"/>
          </w:rPr>
          <w:t>Jl 2.14</w:t>
        </w:r>
      </w:hyperlink>
      <w:r>
        <w:t>). Eles devem declarar um jejum e reunir todos, jovens e velhos, para uma assembleia solene. Mesmo os recém-casados devem comparecer. Os sacerdotes devem liderar o povo em oração, pedindo a Deus que os poupe (</w:t>
      </w:r>
      <w:hyperlink r:id="rId13167">
        <w:r>
          <w:rPr>
            <w:color w:val="0000EE"/>
            <w:u w:val="single"/>
          </w:rPr>
          <w:t>Jl 2.14–17</w:t>
        </w:r>
      </w:hyperlink>
      <w:r>
        <w:t>).</w:t>
      </w:r>
    </w:p>
    <w:p>
      <w:pPr>
        <w:pStyle w:val="Heading4"/>
      </w:pPr>
      <w:hyperlink r:id="rId13168">
        <w:r>
          <w:rPr>
            <w:color w:val="0000EE"/>
            <w:u w:val="single"/>
          </w:rPr>
          <w:t>2.18–27</w:t>
        </w:r>
      </w:hyperlink>
    </w:p>
    <w:p>
      <w:r/>
      <w:r>
        <w:t>O povo voltou-se para Deus conforme o profeta pediu. Em resposta, o Senhor mostrou compaixão e prometeu renovar seu grão, vinho e óleo, e remover sua desgraça (</w:t>
      </w:r>
      <w:hyperlink r:id="rId13169">
        <w:r>
          <w:rPr>
            <w:color w:val="0000EE"/>
            <w:u w:val="single"/>
          </w:rPr>
          <w:t>Jl 2.18,19</w:t>
        </w:r>
      </w:hyperlink>
      <w:r>
        <w:t>). A "praga de gafanhotos que vem do Norte" recuaria, e Deus restauraria as pastagens, árvores frutíferas e vinhas da terra (</w:t>
      </w:r>
      <w:hyperlink r:id="rId13170">
        <w:r>
          <w:rPr>
            <w:color w:val="0000EE"/>
            <w:u w:val="single"/>
          </w:rPr>
          <w:t>Jl 2.20–22</w:t>
        </w:r>
      </w:hyperlink>
      <w:r>
        <w:t>). O povo se alegraria, e com a bênção das chuvas do início e do fim, a terra se tornaria muito produtiva novamente. As perdas da praga de gafanhotos seriam restauradas (</w:t>
      </w:r>
      <w:hyperlink r:id="rId13171">
        <w:r>
          <w:rPr>
            <w:color w:val="0000EE"/>
            <w:u w:val="single"/>
          </w:rPr>
          <w:t>Jl 2.23–25</w:t>
        </w:r>
      </w:hyperlink>
      <w:r>
        <w:t>). As pessoas teriam bastante comida e louvariam a Deus. Elas saberiam que o único Deus vivo estava entre elas, e não sentiriam mais vergonha (</w:t>
      </w:r>
      <w:hyperlink r:id="rId13172">
        <w:r>
          <w:rPr>
            <w:color w:val="0000EE"/>
            <w:u w:val="single"/>
          </w:rPr>
          <w:t>Jl 2.26,27</w:t>
        </w:r>
      </w:hyperlink>
      <w:r>
        <w:t>).</w:t>
      </w:r>
    </w:p>
    <w:p>
      <w:pPr>
        <w:pStyle w:val="Heading4"/>
      </w:pPr>
      <w:hyperlink r:id="rId845">
        <w:r>
          <w:rPr>
            <w:color w:val="0000EE"/>
            <w:u w:val="single"/>
          </w:rPr>
          <w:t>2.28–32</w:t>
        </w:r>
      </w:hyperlink>
    </w:p>
    <w:p>
      <w:r/>
      <w:r>
        <w:t>O profeta percebeu que as bênçãos após a praga de gafanhotos sugeriam bênçãos ainda maiores no futuro. O juízo serviu como um aviso para o grande e terrível Dia do Senhor. Deus faria mais por seu povo no futuro. Ele derramaria seu Espírito sobre todos, independentemente de idade ou status (</w:t>
      </w:r>
      <w:hyperlink r:id="rId3272">
        <w:r>
          <w:rPr>
            <w:color w:val="0000EE"/>
            <w:u w:val="single"/>
          </w:rPr>
          <w:t>Jl 2.28,29</w:t>
        </w:r>
      </w:hyperlink>
      <w:r>
        <w:t>). Haveria sinais incríveis no céu e na terra (</w:t>
      </w:r>
      <w:hyperlink r:id="rId13173">
        <w:r>
          <w:rPr>
            <w:color w:val="0000EE"/>
            <w:u w:val="single"/>
          </w:rPr>
          <w:t>Jl 2.30,31</w:t>
        </w:r>
      </w:hyperlink>
      <w:r>
        <w:t>). Todos que invocassem o nome do Senhor experimentariam sua salvação (</w:t>
      </w:r>
      <w:hyperlink r:id="rId3563">
        <w:r>
          <w:rPr>
            <w:color w:val="0000EE"/>
            <w:u w:val="single"/>
          </w:rPr>
          <w:t>Jl 2.32</w:t>
        </w:r>
      </w:hyperlink>
      <w:r>
        <w:t>).</w:t>
      </w:r>
    </w:p>
    <w:p>
      <w:pPr>
        <w:pStyle w:val="Heading4"/>
      </w:pPr>
      <w:hyperlink r:id="rId13174">
        <w:r>
          <w:rPr>
            <w:color w:val="0000EE"/>
            <w:u w:val="single"/>
          </w:rPr>
          <w:t>3.1–15</w:t>
        </w:r>
      </w:hyperlink>
    </w:p>
    <w:p>
      <w:r/>
      <w:r>
        <w:t>O Dia do Senhor tem um significado profundo para Israel e todas as nações. O povo de Deus encontrará restauração ao se voltar para Ele. Aqueles que os dispersaram, tomaram suas terras e os venderam como escravos enfrentarão seu julgamento (</w:t>
      </w:r>
      <w:hyperlink r:id="rId13175">
        <w:r>
          <w:rPr>
            <w:color w:val="0000EE"/>
            <w:u w:val="single"/>
          </w:rPr>
          <w:t>Jl 3.1–3</w:t>
        </w:r>
      </w:hyperlink>
      <w:r>
        <w:t>). Tiro, Sidom e os filisteus devem responder por suas ações. Eles tomaram a prata e o ouro do Senhor, removeram Seu povo de sua terra e os venderam como escravos para os gregos. Os filhos desses traficantes de escravos também foram vendidos como escravos (</w:t>
      </w:r>
      <w:hyperlink r:id="rId8157">
        <w:r>
          <w:rPr>
            <w:color w:val="0000EE"/>
            <w:u w:val="single"/>
          </w:rPr>
          <w:t>Jl 3.4–8</w:t>
        </w:r>
      </w:hyperlink>
      <w:r>
        <w:t>). As nações deveriam se preparar para a guerra, transformando arados em espadas e foices em lanças. No entanto, esta não é uma batalha entre exércitos humanos. Aqueles que lutaram contra o Deus vivo deveriam enfrentá-Lo como um guerreiro poderoso (</w:t>
      </w:r>
      <w:hyperlink r:id="rId13176">
        <w:r>
          <w:rPr>
            <w:color w:val="0000EE"/>
            <w:u w:val="single"/>
          </w:rPr>
          <w:t>Jl 3.9–11</w:t>
        </w:r>
      </w:hyperlink>
      <w:r>
        <w:t>). Este guerreiro poderoso virá para executar o juízo. A cena muda de um campo de batalha para um tribunal de justiça. Grandes multidões estarão diante do Senhor "no vale de Josafá" no Dia do Senhor. Será um dia de profunda escuridão para aqueles que se fizeram inimigos do Todo-Poderoso (</w:t>
      </w:r>
      <w:hyperlink r:id="rId13177">
        <w:r>
          <w:rPr>
            <w:color w:val="0000EE"/>
            <w:u w:val="single"/>
          </w:rPr>
          <w:t>Jl 3.12–15</w:t>
        </w:r>
      </w:hyperlink>
      <w:r>
        <w:t>).</w:t>
      </w:r>
    </w:p>
    <w:p>
      <w:pPr>
        <w:pStyle w:val="Heading4"/>
      </w:pPr>
      <w:hyperlink r:id="rId13178">
        <w:r>
          <w:rPr>
            <w:color w:val="0000EE"/>
            <w:u w:val="single"/>
          </w:rPr>
          <w:t>3.16–21</w:t>
        </w:r>
      </w:hyperlink>
    </w:p>
    <w:p>
      <w:r/>
      <w:r>
        <w:t>Depois que as pessoas falarem e fizerem o pior, Deus falará e agirá. Ele se mostrará como o "defensor" do seu povo (</w:t>
      </w:r>
      <w:hyperlink r:id="rId9640">
        <w:r>
          <w:rPr>
            <w:color w:val="0000EE"/>
            <w:u w:val="single"/>
          </w:rPr>
          <w:t>Jl 3.16</w:t>
        </w:r>
      </w:hyperlink>
      <w:r>
        <w:t>). A cidade deles estará então segura de invasões por estrangeiros (</w:t>
      </w:r>
      <w:hyperlink r:id="rId13179">
        <w:r>
          <w:rPr>
            <w:color w:val="0000EE"/>
            <w:u w:val="single"/>
          </w:rPr>
          <w:t>Jl 3.17</w:t>
        </w:r>
      </w:hyperlink>
      <w:r>
        <w:t>). Sua terra será muito produtiva (</w:t>
      </w:r>
      <w:hyperlink r:id="rId2329">
        <w:r>
          <w:rPr>
            <w:color w:val="0000EE"/>
            <w:u w:val="single"/>
          </w:rPr>
          <w:t>Jl 3.18</w:t>
        </w:r>
      </w:hyperlink>
      <w:r>
        <w:t>). Por causa da violência que Egito e Edom fizeram a Judá, eles se tornarão desolados (</w:t>
      </w:r>
      <w:hyperlink r:id="rId7065">
        <w:r>
          <w:rPr>
            <w:color w:val="0000EE"/>
            <w:u w:val="single"/>
          </w:rPr>
          <w:t>Jl 3.19</w:t>
        </w:r>
      </w:hyperlink>
      <w:r>
        <w:t>). Israel será vingado e restaurado, e todos verão que a casa do Senhor está em Jerusalém com seu povo (</w:t>
      </w:r>
      <w:hyperlink r:id="rId13180">
        <w:r>
          <w:rPr>
            <w:color w:val="0000EE"/>
            <w:u w:val="single"/>
          </w:rPr>
          <w:t>Jl 3.20,21</w:t>
        </w:r>
      </w:hyperlink>
      <w:r>
        <w:t>).</w:t>
      </w:r>
    </w:p>
    <w:p>
      <w:r/>
      <w:r>
        <w:t xml:space="preserve">Este resumo do livro sugere que Joel enfrentou uma praga de gafanhotos e a viu como um aviso de um julgamento maior de Deus. Ele também falou de uma restauração e bênção maiores se o povo retornasse a Deus com oração e jejum. Alguns interpretam os inimigos no livro, especialmente em </w:t>
      </w:r>
      <w:hyperlink r:id="rId13181">
        <w:r>
          <w:rPr>
            <w:color w:val="0000EE"/>
            <w:u w:val="single"/>
          </w:rPr>
          <w:t>Joel 2</w:t>
        </w:r>
      </w:hyperlink>
      <w:r>
        <w:t>, como inimigos humanos. Outros veem o livro inteiro como uma profecia de batalhas futuras, particularmente uma batalha final entre o Senhor e seus inimigos. Alguns acreditam que há dois profetas ou que o livro tem duas partes escritas em momentos diferentes. No entanto, a interpretação mencionada acima parece ter menos problemas e fornece uma compreensão clara do livro.</w:t>
      </w:r>
    </w:p>
    <w:p>
      <w:pPr>
        <w:pStyle w:val="Heading3"/>
      </w:pPr>
      <w:r>
        <w:t>Mensagem</w:t>
      </w:r>
    </w:p>
    <w:p>
      <w:r/>
      <w:r>
        <w:t>Qual é a importância duradoura da mensagem de Joel? Como a maioria dos profetas do Antigo Testamento, Joel falou sobre misericórdia e juízo. Uma praga de gafanhotos foi um aviso do juízode Deus sobre todas as pessoas e nações, tanto na história quanto no grande Dia do Senhor, quando todos estarão diante dele. A mensagem de Joel instava ao arrependimento com base nos eventos de seu tempo. Isso é semelhante à resposta de Jesus quando perguntado se aqueles que sofreram em desastres eram pecadores piores. Jesus disse que não eram, mas advertiu: "se não se arrependerem dos seus pecados, todos vão morrer" (</w:t>
      </w:r>
      <w:hyperlink r:id="rId13182">
        <w:r>
          <w:rPr>
            <w:color w:val="0000EE"/>
            <w:u w:val="single"/>
          </w:rPr>
          <w:t>Lc 13.5</w:t>
        </w:r>
      </w:hyperlink>
      <w:r>
        <w:t>). Através de Joel, Deus chamou as pessoas a retornarem a ele por misericórdia. Junto com a misericórdia, havia esperança de maiores bênçãos de Deus. Ele prometeu derramar seu Espírito sobre todos. Esta promessa (</w:t>
      </w:r>
      <w:hyperlink r:id="rId4970">
        <w:r>
          <w:rPr>
            <w:color w:val="0000EE"/>
            <w:u w:val="single"/>
          </w:rPr>
          <w:t>Jl 2.28</w:t>
        </w:r>
      </w:hyperlink>
      <w:r>
        <w:t>) ganhou importância quando citada no Novo Testamento durante o sermão de Pedro no Pentecostes (</w:t>
      </w:r>
      <w:hyperlink r:id="rId7061">
        <w:r>
          <w:rPr>
            <w:color w:val="0000EE"/>
            <w:u w:val="single"/>
          </w:rPr>
          <w:t>At 2.16–21</w:t>
        </w:r>
      </w:hyperlink>
      <w:r>
        <w:t>). Estas palavras têm sido verdadeiras para a igreja cristã desde então. Joel nos assegura que Deus vive entre seu povo e aqueles que se voltam para ele nunca ficarão envergonhados.</w:t>
      </w:r>
    </w:p>
    <w:p>
      <w:r/>
      <w:r>
        <w:rPr>
          <w:i/>
        </w:rPr>
        <w:t>Veja também</w:t>
      </w:r>
      <w:r>
        <w:t xml:space="preserve"> </w:t>
      </w:r>
      <w:r>
        <w:t>Israel, História de</w:t>
      </w:r>
      <w:r>
        <w:t xml:space="preserve">; </w:t>
      </w:r>
      <w:r>
        <w:t>Profecia</w:t>
      </w:r>
      <w:r>
        <w:t xml:space="preserve">; </w:t>
      </w:r>
      <w:r>
        <w:t>Profeta, profetisa</w:t>
      </w:r>
      <w:r>
        <w:t>.</w:t>
      </w:r>
      <w:r/>
      <w:r/>
    </w:p>
    <w:p>
      <w:r/>
    </w:p>
    <w:p>
      <w:pPr>
        <w:pStyle w:val="Heading2"/>
      </w:pPr>
      <w:r>
        <w:t>Livro de Jonas</w:t>
      </w:r>
      <w:r/>
    </w:p>
    <w:p>
      <w:r/>
      <w:r>
        <w:t>O quinto livro dos 12 Profetas Menores na disposição tradicional dos livros do AT é uma narrativa literária em vez de uma série de oráculos proféticos. Ele relata as experiências de Jonas após desobedecer a uma ordem do Senhor que o direcionava a pregar ao povo de Nínive. Vários eventos extraordinários registrados no livro o tornaram o centro de muita controvérsia quanto à sua interpretação.</w:t>
      </w:r>
    </w:p>
    <w:p>
      <w:r/>
      <w:r>
        <w:t>Resumo:</w:t>
      </w:r>
    </w:p>
    <w:p>
      <w:r/>
      <w:r>
        <w:t>• Autor(a)</w:t>
      </w:r>
    </w:p>
    <w:p>
      <w:r/>
      <w:r>
        <w:t>• Autenticidade</w:t>
      </w:r>
    </w:p>
    <w:p>
      <w:r/>
      <w:r>
        <w:t>• Data</w:t>
      </w:r>
    </w:p>
    <w:p>
      <w:r/>
      <w:r>
        <w:t>• Contexto</w:t>
      </w:r>
    </w:p>
    <w:p>
      <w:r/>
      <w:r>
        <w:t>• Propósito</w:t>
      </w:r>
    </w:p>
    <w:p>
      <w:r/>
      <w:r>
        <w:t>• Conteúdo</w:t>
      </w:r>
    </w:p>
    <w:p>
      <w:pPr>
        <w:pStyle w:val="Heading3"/>
      </w:pPr>
      <w:r>
        <w:t>Autor</w:t>
      </w:r>
    </w:p>
    <w:p>
      <w:r/>
      <w:r>
        <w:t>O livro de Jonas tem sido tradicionalmente atribuído a Jonas, filho de Amitai, um profeta de grande influência, que ministrou durante o reinado de Jeroboão II de Israel (</w:t>
      </w:r>
      <w:hyperlink r:id="rId2321">
        <w:r>
          <w:rPr>
            <w:color w:val="0000EE"/>
            <w:u w:val="single"/>
          </w:rPr>
          <w:t>2Rs 14.25</w:t>
        </w:r>
      </w:hyperlink>
      <w:r>
        <w:t>).</w:t>
      </w:r>
    </w:p>
    <w:p>
      <w:r/>
      <w:r>
        <w:t>O conteúdo do livro descreve Jonas como uma pessoa intensamente patriótica, mas seu patriotismo equivocado o levou a se rebelar diante da possibilidade de os antigos inimigos de Israel receberem o perdão de Deus. Uma das lições mais importantes do livro surge quando Deus repreende a atitude exclusivista de Jonas (</w:t>
      </w:r>
      <w:hyperlink r:id="rId13183">
        <w:r>
          <w:rPr>
            <w:color w:val="0000EE"/>
            <w:u w:val="single"/>
          </w:rPr>
          <w:t>Jn 4.6–11</w:t>
        </w:r>
      </w:hyperlink>
      <w:r>
        <w:t>).</w:t>
      </w:r>
    </w:p>
    <w:p>
      <w:r/>
      <w:r>
        <w:t>Jesus utilizou duas das experiências de Jonas como sinais para sua geração. Os três dias e noites que Jonas passou no grande peixe serviram como uma analogia da morte e ressurreição de Jesus (</w:t>
      </w:r>
      <w:hyperlink r:id="rId13184">
        <w:r>
          <w:rPr>
            <w:color w:val="0000EE"/>
            <w:u w:val="single"/>
          </w:rPr>
          <w:t>Mt 12.38–41</w:t>
        </w:r>
      </w:hyperlink>
      <w:r>
        <w:t>). Além disso, a resposta positiva dos ninivitas à pregação de Jonas foi usada por Jesus como uma condenação ao fracasso de muitos em sua geração em acreditar nele (</w:t>
      </w:r>
      <w:hyperlink r:id="rId13185">
        <w:r>
          <w:rPr>
            <w:color w:val="0000EE"/>
            <w:u w:val="single"/>
          </w:rPr>
          <w:t>Lc 11.32</w:t>
        </w:r>
      </w:hyperlink>
      <w:r>
        <w:t>).</w:t>
      </w:r>
    </w:p>
    <w:p>
      <w:pPr>
        <w:pStyle w:val="Heading3"/>
      </w:pPr>
      <w:r>
        <w:t>Autenticidade</w:t>
      </w:r>
    </w:p>
    <w:p>
      <w:r/>
      <w:r>
        <w:t>Os elementos incomuns no livro de Jonas levaram a visões amplamente divergentes sobre sua natureza. Não apenas o relato de Jonas sendo engolido pelo peixe fez alguns pensarem que o livro tem uma natureza fabulosa, mas também o relato do arrependimento do povo de Nínive (</w:t>
      </w:r>
      <w:hyperlink r:id="rId13186">
        <w:r>
          <w:rPr>
            <w:color w:val="0000EE"/>
            <w:u w:val="single"/>
          </w:rPr>
          <w:t>Jn 3.5</w:t>
        </w:r>
      </w:hyperlink>
      <w:r>
        <w:t>) foi considerado altamente improvável.</w:t>
      </w:r>
    </w:p>
    <w:p>
      <w:r/>
      <w:r>
        <w:t>A historicidade do livro tem sido defendida por destacados estudiosos bíblicos. A abordagem básica desses estudiosos tem sido contrapor os argumentos daqueles que negam sua historicidade e destacar o que é considerado evidência positiva da historicidade do livro, nas alusões de Jesus à profecia e na antiga tradição judaica.</w:t>
      </w:r>
    </w:p>
    <w:p>
      <w:r/>
      <w:r>
        <w:t>Os opositores da autenticidade de Jonas apontam as seguintes dificuldades: (1) O uso da expressão “rei de Nínive” (</w:t>
      </w:r>
      <w:hyperlink r:id="rId4918">
        <w:r>
          <w:rPr>
            <w:color w:val="0000EE"/>
            <w:u w:val="single"/>
          </w:rPr>
          <w:t>3.6</w:t>
        </w:r>
      </w:hyperlink>
      <w:r>
        <w:t>) parece ser uma imprecisão, pois Nínive era a capital da Assíria. Um contemporâneo teria se referido ao rei como o rei da Assíria; (2) O uso do tempo passado para descrever a cidade de Nínive (</w:t>
      </w:r>
      <w:hyperlink r:id="rId13187">
        <w:r>
          <w:rPr>
            <w:color w:val="0000EE"/>
            <w:u w:val="single"/>
          </w:rPr>
          <w:t>3.3</w:t>
        </w:r>
      </w:hyperlink>
      <w:r>
        <w:t>) parece indicar uma data muito posterior àquela que a visão tradicional da autoria do livro permitiria; (3) O tamanho da cidade de Nínive é descrito de forma muito exagerada (</w:t>
      </w:r>
      <w:hyperlink r:id="rId13187">
        <w:r>
          <w:rPr>
            <w:color w:val="0000EE"/>
            <w:u w:val="single"/>
          </w:rPr>
          <w:t>3.3</w:t>
        </w:r>
      </w:hyperlink>
      <w:r>
        <w:t>); (4) O arrependimento em massa dos ninivitas carece de apoio histórico; (5) É improvável que um ser humano pudesse sobreviver dentro de um peixe por um período prolongado de tempo.</w:t>
      </w:r>
    </w:p>
    <w:p>
      <w:r/>
      <w:r>
        <w:t>Com relação ao uso de “rei de Nínive”, deve-se notar que expressões semelhantes podem ser encontradas no AT. Acabe, o rei de Israel, é chamado de “rei de Samaria” (</w:t>
      </w:r>
      <w:hyperlink r:id="rId13188">
        <w:r>
          <w:rPr>
            <w:color w:val="0000EE"/>
            <w:u w:val="single"/>
          </w:rPr>
          <w:t>1Rs 21.1</w:t>
        </w:r>
      </w:hyperlink>
      <w:r>
        <w:t>), e Ben-Hadade, o rei da Síria, é designado como “rei de Damasco” (</w:t>
      </w:r>
      <w:hyperlink r:id="rId13189">
        <w:r>
          <w:rPr>
            <w:color w:val="0000EE"/>
            <w:u w:val="single"/>
          </w:rPr>
          <w:t>2Cr 24.23</w:t>
        </w:r>
      </w:hyperlink>
      <w:r>
        <w:t>). A designação “rei de Nínive” não é, portanto, anômala.</w:t>
      </w:r>
    </w:p>
    <w:p>
      <w:r/>
      <w:r>
        <w:t>O uso do passado para descrever a cidade de Nínive pode ser considerado apenas um passado narrativo simples, descrevendo o tamanho da cidade na época em que Jonas profetizou lá.</w:t>
      </w:r>
    </w:p>
    <w:p>
      <w:r/>
      <w:r>
        <w:t>A descrição do tamanho da cidade (“três dias para atravessá-la a pé”) pode indicar o tempo necessário para atravessar os subúrbios incluídos no distrito administrativo de Nínive.</w:t>
      </w:r>
    </w:p>
    <w:p>
      <w:r/>
      <w:r>
        <w:t>O arrependimento dos ninivitas não deve ser entendido como uma conversão em massa a Iavé, o Deus de Israel. O livro de Jonas descreve a resposta deles como arrependimento diante da destruição iminente ameaçada por Jonas (</w:t>
      </w:r>
      <w:hyperlink r:id="rId13190">
        <w:r>
          <w:rPr>
            <w:color w:val="0000EE"/>
            <w:u w:val="single"/>
          </w:rPr>
          <w:t>Jn 3.4</w:t>
        </w:r>
      </w:hyperlink>
      <w:r>
        <w:t>). Embora a história secular não registre tal evento, há evidências de que tal resposta era possível. Em menos de uma década (765–759 a.C.), a cidade de Nínive havia experimentado um eclipse total do sol e duas pragas sérias. Pode-se entender como os cidadãos de Nínive podem ter sido preparados para a pregação deste profeta que veio a eles de uma maneira tão incomum.</w:t>
      </w:r>
    </w:p>
    <w:p>
      <w:r/>
      <w:r>
        <w:t>Também é importante notar que um dos reis da Assíria, Adadenirari III, limitou sua adoração ao deus Nabu. Se o ministério profético de Jonas esteve ativo durante o reinado dele (810–783 a.C.), é possível que o monoteísmo judaico representado por Jonas tenha encontrado um ambiente mais favorável do que normalmente se esperaria em uma sociedade pagã.</w:t>
      </w:r>
    </w:p>
    <w:p>
      <w:r/>
      <w:r>
        <w:t>A participação dos animais na penitência nacional que seguiu a pregação de Jonas (</w:t>
      </w:r>
      <w:hyperlink r:id="rId13191">
        <w:r>
          <w:rPr>
            <w:color w:val="0000EE"/>
            <w:u w:val="single"/>
          </w:rPr>
          <w:t>3.7–8</w:t>
        </w:r>
      </w:hyperlink>
      <w:r>
        <w:t>) não é desconhecida na história. O historiador Heródoto registra um evento semelhante no Império Persa.</w:t>
      </w:r>
    </w:p>
    <w:p>
      <w:r/>
      <w:r>
        <w:t>O evento que cria a maior dificuldade, no entanto, é a experiência de Jonas no peixe. Muitas vezes foi apontado que os esôfagos da maioria das baleias não são grandes o suficiente para admitir um objeto do tamanho de um homem. Mas o livro não diz que foi uma baleia que engoliu Jonas, mas simplesmente um grande peixe (</w:t>
      </w:r>
      <w:hyperlink r:id="rId13192">
        <w:r>
          <w:rPr>
            <w:color w:val="0000EE"/>
            <w:u w:val="single"/>
          </w:rPr>
          <w:t>1.17</w:t>
        </w:r>
      </w:hyperlink>
      <w:r>
        <w:t>). Mesmo assim, é possível que um cachalote engula um objeto tão grande quanto um homem.</w:t>
      </w:r>
    </w:p>
    <w:p>
      <w:r/>
      <w:r>
        <w:t xml:space="preserve">Numerosos exemplos de indivíduos sendo engolidos por baleias foram citados no passado. Embora muitos desses relatos possam ser desconsiderados como fantasia, seria errado rejeitar todos eles sem análise crítica (Um relato interessante de uma dessas experiências pode ser encontrado na </w:t>
      </w:r>
      <w:r>
        <w:rPr>
          <w:i/>
        </w:rPr>
        <w:t>Princeton Theological Review</w:t>
      </w:r>
      <w:r>
        <w:t xml:space="preserve"> 25, 1927, p. 636). A experiência de Jonas no grande peixe não precisa ser considerada uma impossibilidade absoluta. As atividades de Deus na história muitas vezes foram acompanhadas por eventos incomuns ou milagrosos.</w:t>
      </w:r>
    </w:p>
    <w:p>
      <w:r/>
      <w:r>
        <w:t>As dificuldades do livro de Jonas levaram muitos a considerá-lo uma parábola profética em vez de um registro histórico. A interpretação mais comum é que o livro expressa as preocupações universais de Deus. Como tal, critica o nacionalismo exclusivo dos judeus. Alguns sugerem que essa atitude de mente fechada se encaixa melhor no período pós-exílico, quando o ódio de Israel por seus antigos captores ainda era muito amargo.</w:t>
      </w:r>
    </w:p>
    <w:p>
      <w:r/>
      <w:r>
        <w:t>Existem várias dificuldades com essa visão. Embora haja várias parábolas no AT, nenhuma é tão extensa quanto o livro de Jonas. Além disso, como os principais elementos de uma parábola simbolizam pessoas, objetos ou conceitos que contribuem para o ensino principal da parábola, os defensores dessa visão têm dificuldade em mostrar como o relato da experiência de Jonas no peixe contribui para a lição central da parábola.</w:t>
      </w:r>
    </w:p>
    <w:p>
      <w:r/>
      <w:r>
        <w:t>Outra abordagem ao livro é considerá-lo como uma alegoria extensa. Uma alegoria é uma forma literária cujos elementos básicos são destinados a simbolizar ou explicar aspectos da vida real aos quais são análogos. O significado pretendido geralmente é evidente ou explicado pelo autor. No Antigo Testamento, as alegorias são formas literárias curtas usadas para dar força a uma declaração. O livro de Jonas não parece se encaixar nessa categoria. É um relato narrativo sem significado evidente atribuído às várias pessoas, objetos e eventos mencionados.</w:t>
      </w:r>
    </w:p>
    <w:p>
      <w:r/>
      <w:r>
        <w:t>Não parece haver uma razão convincente para rejeitar a historicidade do livro de Jonas com base nos argumentos geralmente apresentados. Jesus referiu-se ao relato de Jonas de uma maneira que parece implicar sua aceitação de sua validade.</w:t>
      </w:r>
    </w:p>
    <w:p>
      <w:pPr>
        <w:pStyle w:val="Heading3"/>
      </w:pPr>
      <w:r>
        <w:t>Data</w:t>
      </w:r>
    </w:p>
    <w:p>
      <w:r/>
      <w:r>
        <w:t xml:space="preserve">Se Jonas fosse o filho de Amitai citado em </w:t>
      </w:r>
      <w:hyperlink r:id="rId2321">
        <w:r>
          <w:rPr>
            <w:color w:val="0000EE"/>
            <w:u w:val="single"/>
          </w:rPr>
          <w:t>2 Reis 14.25</w:t>
        </w:r>
      </w:hyperlink>
      <w:r>
        <w:t>, a profecia teria que ser datada no reinado de Jeroboão II de Israel (793–753 a.C.). Jonas seria então um dos grandes profetas do século VIII que ministraram durante a Idade de Prata de Israel.</w:t>
      </w:r>
    </w:p>
    <w:p>
      <w:r/>
      <w:r>
        <w:t>Aqueles que acreditam que o livro foi escrito por um autor diferente de Jonas situam a escrita em vários momentos, desde o período após a queda de Nínive até bem dentro do período pós-exílico.</w:t>
      </w:r>
    </w:p>
    <w:p>
      <w:pPr>
        <w:pStyle w:val="Heading3"/>
      </w:pPr>
      <w:r>
        <w:t>Contexto</w:t>
      </w:r>
    </w:p>
    <w:p>
      <w:r/>
      <w:r>
        <w:t>Escavações arqueológicas no local da antiga Nínive revelaram muitos artefatos e obras literárias que indicam que foi um centro cultural por grande parte de sua história. No período do Médio Império Assírio, a cidade de Nínive foi amplamente expandida e tornou-se um centro administrativo. Alguns dos reis assírios mais poderosos governaram a partir de Nínive.</w:t>
      </w:r>
    </w:p>
    <w:p>
      <w:r/>
      <w:r>
        <w:t>A cidade de Calá, ao sul de Nínive, tinha uma área muito menor que Nínive, mas abrigava quase 70.000 pessoas. A descrição da vasta população de Nínive na profecia de Jonas parece se adequar a isso.</w:t>
      </w:r>
    </w:p>
    <w:p>
      <w:pPr>
        <w:pStyle w:val="Heading3"/>
      </w:pPr>
      <w:r>
        <w:t>Propósito</w:t>
      </w:r>
    </w:p>
    <w:p>
      <w:r/>
      <w:r>
        <w:t>O propósito do livro de Jonas é ensinar que a graça de Deus não está limitada ao povo hebreu. Essa lição é transmitida no clímax dramático do livro. Jonas, cheio de autopiedade, lamenta a perda da planta que lhe dava sombra. Deus destaca a preocupação de Jonas com a planta em nítido contraste com sua própria preocupação com as milhares de pessoas de Nínive.</w:t>
      </w:r>
    </w:p>
    <w:p>
      <w:r/>
      <w:r>
        <w:t>O livro claramente estabelece que a misericórdia de Deus não era posse exclusiva do povo hebreu da época de Jonas, mas estava disponível para todos através do arrependimento. Até mesmo os inimigos de Israel poderiam experimentar a misericórdia de Deus.</w:t>
      </w:r>
    </w:p>
    <w:p>
      <w:pPr>
        <w:pStyle w:val="Heading3"/>
      </w:pPr>
      <w:r>
        <w:t>Conteúdo</w:t>
      </w:r>
    </w:p>
    <w:p>
      <w:r/>
      <w:r>
        <w:t>O livro de Jonas começa com uma ordem do Senhor ao profeta, direcionando-o a pregar ao povo de Nínive. Jonas estava relutante em ir a Nínive porque sabia que os ninivitas se arrependeriam. Ele, portanto, se encontraria na posição difícil de proclamar a misericórdia de Deus aos odiados assírios. Assim, ele fugiu de Jope, embarcando em um navio, numa tentativa inútil de escapar da presença de Deus. Ele embarcou com destino a Társis, uma colônia fenícia no sul da Espanha. Era o mais longe para o oeste que Jonas poderia fugir dentro do escopo do mundo mediterrâneo antigo (</w:t>
      </w:r>
      <w:hyperlink r:id="rId13193">
        <w:r>
          <w:rPr>
            <w:color w:val="0000EE"/>
            <w:u w:val="single"/>
          </w:rPr>
          <w:t>1.1–3</w:t>
        </w:r>
      </w:hyperlink>
      <w:r>
        <w:t>).</w:t>
      </w:r>
    </w:p>
    <w:p>
      <w:r/>
      <w:r>
        <w:t>No entanto, Deus não permitiria que seu servo desobedecesse sem ser disciplinado (</w:t>
      </w:r>
      <w:hyperlink r:id="rId13194">
        <w:r>
          <w:rPr>
            <w:color w:val="0000EE"/>
            <w:u w:val="single"/>
          </w:rPr>
          <w:t>1.4–16</w:t>
        </w:r>
      </w:hyperlink>
      <w:r>
        <w:t>). O amor de Deus exigia a disciplina de Jonas. O processo de disciplina começou com uma tempestade de origem divina (</w:t>
      </w:r>
      <w:hyperlink r:id="rId13195">
        <w:r>
          <w:rPr>
            <w:color w:val="0000EE"/>
            <w:u w:val="single"/>
          </w:rPr>
          <w:t>1.4</w:t>
        </w:r>
      </w:hyperlink>
      <w:r>
        <w:t>). No meio da fúria aterrorizante dessa tempestade, os marinheiros estavam ocupados com súplicas a suas divindades pagãs individuais e com o lançamento de carga excessiva ao mar (</w:t>
      </w:r>
      <w:hyperlink r:id="rId13196">
        <w:r>
          <w:rPr>
            <w:color w:val="0000EE"/>
            <w:u w:val="single"/>
          </w:rPr>
          <w:t>1.5</w:t>
        </w:r>
      </w:hyperlink>
      <w:r>
        <w:t>). Em meio a toda a comoção, Jonas estava dormindo no porão do navio.</w:t>
      </w:r>
    </w:p>
    <w:p>
      <w:r/>
      <w:r>
        <w:t>Os marinheiros ainda não sabiam que Jonas era o verdadeiro problema. O capitão do navio acordou Jonas e pediu-lhe que orasse ao seu deus por livramento da tempestade (</w:t>
      </w:r>
      <w:hyperlink r:id="rId13197">
        <w:r>
          <w:rPr>
            <w:color w:val="0000EE"/>
            <w:u w:val="single"/>
          </w:rPr>
          <w:t>1.6</w:t>
        </w:r>
      </w:hyperlink>
      <w:r>
        <w:t>).</w:t>
      </w:r>
    </w:p>
    <w:p>
      <w:r/>
      <w:r>
        <w:t>Sem receber resposta às suas súplicas, os marinheiros decidiram lançar sortes na tentativa de determinar quem a bordo era a causa da ira do deus que havia trazido a tempestade sobre eles (</w:t>
      </w:r>
      <w:hyperlink r:id="rId13198">
        <w:r>
          <w:rPr>
            <w:color w:val="0000EE"/>
            <w:u w:val="single"/>
          </w:rPr>
          <w:t>1.7</w:t>
        </w:r>
      </w:hyperlink>
      <w:r>
        <w:t>); a sorte indicou que Jonas era o culpado. Os marinheiros então queriam saber qual deus era responsável pela tempestade e por quê. O testemunho de Jonas foi simples e direto: ele era um hebreu que adorava o Senhor que criou tanto a terra quanto o mar (</w:t>
      </w:r>
      <w:hyperlink r:id="rId13199">
        <w:r>
          <w:rPr>
            <w:color w:val="0000EE"/>
            <w:u w:val="single"/>
          </w:rPr>
          <w:t>1.9</w:t>
        </w:r>
      </w:hyperlink>
      <w:r>
        <w:t>).</w:t>
      </w:r>
    </w:p>
    <w:p>
      <w:r/>
      <w:r>
        <w:t>Os marinheiros perguntaram a Jonas o que deveriam fazer com ele, já que a tempestade estava aumentando em sua fúria (</w:t>
      </w:r>
      <w:hyperlink r:id="rId13200">
        <w:r>
          <w:rPr>
            <w:color w:val="0000EE"/>
            <w:u w:val="single"/>
          </w:rPr>
          <w:t>1.11</w:t>
        </w:r>
      </w:hyperlink>
      <w:r>
        <w:t>). O capitão já havia dito a Jonas para rezar ou perecer. Agora Jonas revelou que rezar não resolveria, apenas seu sacrifício poderia aplacar a fúria da tempestade (</w:t>
      </w:r>
      <w:hyperlink r:id="rId13201">
        <w:r>
          <w:rPr>
            <w:color w:val="0000EE"/>
            <w:u w:val="single"/>
          </w:rPr>
          <w:t>1.12</w:t>
        </w:r>
      </w:hyperlink>
      <w:r>
        <w:t>). Ele pediu que o jogassem no mar.</w:t>
      </w:r>
    </w:p>
    <w:p>
      <w:r/>
      <w:r>
        <w:t>Antes de cederem ao pedido de Jonas, os marinheiros lutaram para salvar o navio (</w:t>
      </w:r>
      <w:hyperlink r:id="rId13202">
        <w:r>
          <w:rPr>
            <w:color w:val="0000EE"/>
            <w:u w:val="single"/>
          </w:rPr>
          <w:t>1.13</w:t>
        </w:r>
      </w:hyperlink>
      <w:r>
        <w:t>). Falhando em sua tentativa, eles o lançaram ao mar (</w:t>
      </w:r>
      <w:hyperlink r:id="rId13203">
        <w:r>
          <w:rPr>
            <w:color w:val="0000EE"/>
            <w:u w:val="single"/>
          </w:rPr>
          <w:t>1.15</w:t>
        </w:r>
      </w:hyperlink>
      <w:r>
        <w:t>). Imagine a impressão causada nesses marinheiros quando a tempestade cessou assim que o corpo de Jonas estava no mar. A experiência fez com que a tripulação do navio temesse o Senhor, e eles ofereceram um sacrifício e fizeram votos a ele (</w:t>
      </w:r>
      <w:hyperlink r:id="rId13204">
        <w:r>
          <w:rPr>
            <w:color w:val="0000EE"/>
            <w:u w:val="single"/>
          </w:rPr>
          <w:t>1.16</w:t>
        </w:r>
      </w:hyperlink>
      <w:r>
        <w:t>).</w:t>
      </w:r>
    </w:p>
    <w:p>
      <w:r/>
      <w:r>
        <w:t>Mas Deus não havia terminado com Jonas, pois preparou um grande peixe para engoli-lo (</w:t>
      </w:r>
      <w:hyperlink r:id="rId13192">
        <w:r>
          <w:rPr>
            <w:color w:val="0000EE"/>
            <w:u w:val="single"/>
          </w:rPr>
          <w:t>1.17</w:t>
        </w:r>
      </w:hyperlink>
      <w:r>
        <w:t xml:space="preserve">). Jonas esteve no ventre do peixe por três dias e três noites (cf. </w:t>
      </w:r>
      <w:hyperlink r:id="rId13184">
        <w:r>
          <w:rPr>
            <w:color w:val="0000EE"/>
            <w:u w:val="single"/>
          </w:rPr>
          <w:t>Mt 12.38–41</w:t>
        </w:r>
      </w:hyperlink>
      <w:r>
        <w:t>). De dentro do peixe, Jonas orou a Deus (</w:t>
      </w:r>
      <w:hyperlink r:id="rId1880">
        <w:r>
          <w:rPr>
            <w:color w:val="0000EE"/>
            <w:u w:val="single"/>
          </w:rPr>
          <w:t>Jn 2.1</w:t>
        </w:r>
      </w:hyperlink>
      <w:r>
        <w:t>) e agradeceu por ouvir sua oração e salvá-lo da morte no mar (</w:t>
      </w:r>
      <w:hyperlink r:id="rId13205">
        <w:r>
          <w:rPr>
            <w:color w:val="0000EE"/>
            <w:u w:val="single"/>
          </w:rPr>
          <w:t>2.7–8</w:t>
        </w:r>
      </w:hyperlink>
      <w:r>
        <w:t>). A libertação de Jonas o levou a um ponto de renovada devoção a Deus (</w:t>
      </w:r>
      <w:hyperlink r:id="rId13206">
        <w:r>
          <w:rPr>
            <w:color w:val="0000EE"/>
            <w:u w:val="single"/>
          </w:rPr>
          <w:t>2.9</w:t>
        </w:r>
      </w:hyperlink>
      <w:r>
        <w:t xml:space="preserve">). É significativo que sua oração refletisse um profundo conhecimento pessoal dos Salmos (cf. </w:t>
      </w:r>
      <w:hyperlink r:id="rId13207">
        <w:r>
          <w:rPr>
            <w:color w:val="0000EE"/>
            <w:u w:val="single"/>
          </w:rPr>
          <w:t>Sl 3.8</w:t>
        </w:r>
      </w:hyperlink>
      <w:r>
        <w:t xml:space="preserve">; </w:t>
      </w:r>
      <w:hyperlink r:id="rId13208">
        <w:r>
          <w:rPr>
            <w:color w:val="0000EE"/>
            <w:u w:val="single"/>
          </w:rPr>
          <w:t>5.7</w:t>
        </w:r>
      </w:hyperlink>
      <w:r>
        <w:t xml:space="preserve">; </w:t>
      </w:r>
      <w:hyperlink r:id="rId13209">
        <w:r>
          <w:rPr>
            <w:color w:val="0000EE"/>
            <w:u w:val="single"/>
          </w:rPr>
          <w:t>18.4–19</w:t>
        </w:r>
      </w:hyperlink>
      <w:r>
        <w:t xml:space="preserve">; </w:t>
      </w:r>
      <w:hyperlink r:id="rId13210">
        <w:r>
          <w:rPr>
            <w:color w:val="0000EE"/>
            <w:u w:val="single"/>
          </w:rPr>
          <w:t>30.2–3</w:t>
        </w:r>
      </w:hyperlink>
      <w:r>
        <w:t xml:space="preserve">; </w:t>
      </w:r>
      <w:hyperlink r:id="rId13211">
        <w:r>
          <w:rPr>
            <w:color w:val="0000EE"/>
            <w:u w:val="single"/>
          </w:rPr>
          <w:t>31.6,22</w:t>
        </w:r>
      </w:hyperlink>
      <w:r>
        <w:t xml:space="preserve">; </w:t>
      </w:r>
      <w:hyperlink r:id="rId13212">
        <w:r>
          <w:rPr>
            <w:color w:val="0000EE"/>
            <w:u w:val="single"/>
          </w:rPr>
          <w:t>39.9</w:t>
        </w:r>
      </w:hyperlink>
      <w:r>
        <w:t xml:space="preserve">; </w:t>
      </w:r>
      <w:hyperlink r:id="rId13213">
        <w:r>
          <w:rPr>
            <w:color w:val="0000EE"/>
            <w:u w:val="single"/>
          </w:rPr>
          <w:t>42.6–7</w:t>
        </w:r>
      </w:hyperlink>
      <w:r>
        <w:t xml:space="preserve">; </w:t>
      </w:r>
      <w:hyperlink r:id="rId13214">
        <w:r>
          <w:rPr>
            <w:color w:val="0000EE"/>
            <w:u w:val="single"/>
          </w:rPr>
          <w:t>59.17</w:t>
        </w:r>
      </w:hyperlink>
      <w:r>
        <w:t xml:space="preserve">; </w:t>
      </w:r>
      <w:hyperlink r:id="rId13215">
        <w:r>
          <w:rPr>
            <w:color w:val="0000EE"/>
            <w:u w:val="single"/>
          </w:rPr>
          <w:t>69.1–2</w:t>
        </w:r>
      </w:hyperlink>
      <w:r>
        <w:t xml:space="preserve">; </w:t>
      </w:r>
      <w:hyperlink r:id="rId13216">
        <w:r>
          <w:rPr>
            <w:color w:val="0000EE"/>
            <w:u w:val="single"/>
          </w:rPr>
          <w:t>120.1</w:t>
        </w:r>
      </w:hyperlink>
      <w:r>
        <w:t xml:space="preserve">; </w:t>
      </w:r>
      <w:hyperlink r:id="rId13217">
        <w:r>
          <w:rPr>
            <w:color w:val="0000EE"/>
            <w:u w:val="single"/>
          </w:rPr>
          <w:t>142.3</w:t>
        </w:r>
      </w:hyperlink>
      <w:r>
        <w:t xml:space="preserve">; </w:t>
      </w:r>
      <w:hyperlink r:id="rId12998">
        <w:r>
          <w:rPr>
            <w:color w:val="0000EE"/>
            <w:u w:val="single"/>
          </w:rPr>
          <w:t>144.2</w:t>
        </w:r>
      </w:hyperlink>
      <w:r>
        <w:t>).</w:t>
      </w:r>
    </w:p>
    <w:p>
      <w:r/>
      <w:r>
        <w:t>A resposta definitiva às orações de Jonas veio quando Deus lhe deu a oportunidade de obedecer à sua missão e cumprir seus votos. A criatura marinha cuspiu Jonas na praia (</w:t>
      </w:r>
      <w:hyperlink r:id="rId13218">
        <w:r>
          <w:rPr>
            <w:color w:val="0000EE"/>
            <w:u w:val="single"/>
          </w:rPr>
          <w:t>Jn 2.10</w:t>
        </w:r>
      </w:hyperlink>
      <w:r>
        <w:t>).</w:t>
      </w:r>
    </w:p>
    <w:p>
      <w:r/>
      <w:r>
        <w:t xml:space="preserve">O escritor agora volta sua atenção para o trato de Deus com a cidade de Nínive (cap. </w:t>
      </w:r>
      <w:hyperlink r:id="rId13219">
        <w:r>
          <w:rPr>
            <w:color w:val="0000EE"/>
            <w:u w:val="single"/>
          </w:rPr>
          <w:t>3–4</w:t>
        </w:r>
      </w:hyperlink>
      <w:r>
        <w:t>). Jonas se arrependeu de sua desobediência e manifestou esse arrependimento indo a Nínive para declarar a mensagem de Deus (</w:t>
      </w:r>
      <w:hyperlink r:id="rId13220">
        <w:r>
          <w:rPr>
            <w:color w:val="0000EE"/>
            <w:u w:val="single"/>
          </w:rPr>
          <w:t>3.1–3</w:t>
        </w:r>
      </w:hyperlink>
      <w:r>
        <w:t>). Ao chegar em Nínive, ele começou a proclamar a mensagem de Deus. Os habitantes da cidade foram informados de que tinham 40 dias (</w:t>
      </w:r>
      <w:hyperlink r:id="rId13190">
        <w:r>
          <w:rPr>
            <w:color w:val="0000EE"/>
            <w:u w:val="single"/>
          </w:rPr>
          <w:t>3.4</w:t>
        </w:r>
      </w:hyperlink>
      <w:r>
        <w:t>), mas evidente e imediatamente responderam.</w:t>
      </w:r>
    </w:p>
    <w:p>
      <w:r/>
      <w:r>
        <w:t>O povo e seu rei se arrependeram em roupas feitas de pano grosseiro e com jejum (</w:t>
      </w:r>
      <w:hyperlink r:id="rId13221">
        <w:r>
          <w:rPr>
            <w:color w:val="0000EE"/>
            <w:u w:val="single"/>
          </w:rPr>
          <w:t>3.5–6</w:t>
        </w:r>
      </w:hyperlink>
      <w:r>
        <w:t>). Após se arrependerem em particular, o rei fez uma proclamação pública para reforçar a resposta à mensagem de Deus (</w:t>
      </w:r>
      <w:hyperlink r:id="rId13222">
        <w:r>
          <w:rPr>
            <w:color w:val="0000EE"/>
            <w:u w:val="single"/>
          </w:rPr>
          <w:t>3.7–9</w:t>
        </w:r>
      </w:hyperlink>
      <w:r>
        <w:t>).</w:t>
      </w:r>
    </w:p>
    <w:p>
      <w:r/>
      <w:r>
        <w:t>A aceitação de Deus do arrependimento de Nínive (</w:t>
      </w:r>
      <w:hyperlink r:id="rId6823">
        <w:r>
          <w:rPr>
            <w:color w:val="0000EE"/>
            <w:u w:val="single"/>
          </w:rPr>
          <w:t>3.10</w:t>
        </w:r>
      </w:hyperlink>
      <w:r>
        <w:t>) fez com que a atitude relutante de Jonas retornasse e ele reclamasse (</w:t>
      </w:r>
      <w:hyperlink r:id="rId13223">
        <w:r>
          <w:rPr>
            <w:color w:val="0000EE"/>
            <w:u w:val="single"/>
          </w:rPr>
          <w:t>4.1–3</w:t>
        </w:r>
      </w:hyperlink>
      <w:r>
        <w:t>). Seu recente salmo de louvor orante a Deus (</w:t>
      </w:r>
      <w:hyperlink r:id="rId13224">
        <w:r>
          <w:rPr>
            <w:color w:val="0000EE"/>
            <w:u w:val="single"/>
          </w:rPr>
          <w:t>2.1–9</w:t>
        </w:r>
      </w:hyperlink>
      <w:r>
        <w:t>) agora se transformou em murmúrio amargo. Jonas orou novamente a Deus (</w:t>
      </w:r>
      <w:hyperlink r:id="rId6799">
        <w:r>
          <w:rPr>
            <w:color w:val="0000EE"/>
            <w:u w:val="single"/>
          </w:rPr>
          <w:t>4.2</w:t>
        </w:r>
      </w:hyperlink>
      <w:r>
        <w:t>), revelando sua razão para se recusar a obedecer à primeira missão. Ele tinha conhecimento pessoal da natureza amorosa e perdoadora de Deus e ressentia-se de que esse amor e perdão fossem estendidos aos inimigos de seu país. Em um abandono tolo, Jonas pediu para morrer em vez de ver a obra de Deus entre os ninivitas (</w:t>
      </w:r>
      <w:hyperlink r:id="rId13225">
        <w:r>
          <w:rPr>
            <w:color w:val="0000EE"/>
            <w:u w:val="single"/>
          </w:rPr>
          <w:t>4.3</w:t>
        </w:r>
      </w:hyperlink>
      <w:r>
        <w:t>).</w:t>
      </w:r>
    </w:p>
    <w:p>
      <w:r/>
      <w:r>
        <w:t>A compaixão de Deus havia sido manifestada a Nínive, mas ele também iria mostrar compaixão novamente a Jonas por meio de ilustração e instrução (</w:t>
      </w:r>
      <w:hyperlink r:id="rId13226">
        <w:r>
          <w:rPr>
            <w:color w:val="0000EE"/>
            <w:u w:val="single"/>
          </w:rPr>
          <w:t>4.4–11</w:t>
        </w:r>
      </w:hyperlink>
      <w:r>
        <w:t>). A pergunta tranquila de Deus, "Jonas, você acha que tem razão para ficar com tanta raiva assim?" deve ter sondado o íntimo de Jonas (</w:t>
      </w:r>
      <w:hyperlink r:id="rId13227">
        <w:r>
          <w:rPr>
            <w:color w:val="0000EE"/>
            <w:u w:val="single"/>
          </w:rPr>
          <w:t>4.4</w:t>
        </w:r>
      </w:hyperlink>
      <w:r>
        <w:t>). Mas o profeta preferiu se abrigar em um refúgio temporário no lado leste de Nínive (</w:t>
      </w:r>
      <w:hyperlink r:id="rId3879">
        <w:r>
          <w:rPr>
            <w:color w:val="0000EE"/>
            <w:u w:val="single"/>
          </w:rPr>
          <w:t>4.5</w:t>
        </w:r>
      </w:hyperlink>
      <w:r>
        <w:t>), esperando para ver se algo aconteceria.</w:t>
      </w:r>
    </w:p>
    <w:p>
      <w:r/>
      <w:r>
        <w:t>Deus acrescentou uma planta (algo com grandes folhas) ao número de objetos da natureza que ele usou em seus tratos com Jonas (</w:t>
      </w:r>
      <w:hyperlink r:id="rId13228">
        <w:r>
          <w:rPr>
            <w:color w:val="0000EE"/>
            <w:u w:val="single"/>
          </w:rPr>
          <w:t>4.6</w:t>
        </w:r>
      </w:hyperlink>
      <w:r>
        <w:t>). Esta provisão para o conforto de Jonas trouxe-lhe alegria. Mas a planta foi destruída por um verme enviado por Deus (</w:t>
      </w:r>
      <w:hyperlink r:id="rId1900">
        <w:r>
          <w:rPr>
            <w:color w:val="0000EE"/>
            <w:u w:val="single"/>
          </w:rPr>
          <w:t>4.7</w:t>
        </w:r>
      </w:hyperlink>
      <w:r>
        <w:t>). Então Deus enviou o vento quente siroco para secar o ar, aumentar o calor e intensificar o sofrimento de Jonas (</w:t>
      </w:r>
      <w:hyperlink r:id="rId13229">
        <w:r>
          <w:rPr>
            <w:color w:val="0000EE"/>
            <w:u w:val="single"/>
          </w:rPr>
          <w:t>4.8</w:t>
        </w:r>
      </w:hyperlink>
      <w:r>
        <w:t>). Novamente, Jonas implorou para morrer.</w:t>
      </w:r>
    </w:p>
    <w:p>
      <w:r/>
      <w:r>
        <w:t>Pela segunda vez, Deus questionou Jonas: “Jonas, você acha que está certo ficar com raiva por causa dessa planta?” (</w:t>
      </w:r>
      <w:hyperlink r:id="rId13230">
        <w:r>
          <w:rPr>
            <w:color w:val="0000EE"/>
            <w:u w:val="single"/>
          </w:rPr>
          <w:t>4.9</w:t>
        </w:r>
      </w:hyperlink>
      <w:r>
        <w:t>). O ponto da ilustração estava sendo enfatizado para o profeta insensível. Jonas, no entanto, respondeu com mais amargura (</w:t>
      </w:r>
      <w:hyperlink r:id="rId13230">
        <w:r>
          <w:rPr>
            <w:color w:val="0000EE"/>
            <w:u w:val="single"/>
          </w:rPr>
          <w:t>4.9</w:t>
        </w:r>
      </w:hyperlink>
      <w:r>
        <w:t>). Jonas estava muito agitado porque a perda da planta o afetou pessoalmente, mesmo que ele não tivesse nada a ver com sua criação (</w:t>
      </w:r>
      <w:hyperlink r:id="rId13231">
        <w:r>
          <w:rPr>
            <w:color w:val="0000EE"/>
            <w:u w:val="single"/>
          </w:rPr>
          <w:t>4.10</w:t>
        </w:r>
      </w:hyperlink>
      <w:r>
        <w:t>). O Senhor Iavé havia criado o homem. O Senhor estava preocupado com o bem-estar dos ninivitas. O Grande Criador não tinha o direito de se inquietar com a destruição de Nínive, com seus 120.000 crianças e todos os seus animais (</w:t>
      </w:r>
      <w:hyperlink r:id="rId13232">
        <w:r>
          <w:rPr>
            <w:color w:val="0000EE"/>
            <w:u w:val="single"/>
          </w:rPr>
          <w:t>4.11</w:t>
        </w:r>
      </w:hyperlink>
      <w:r>
        <w:t>)? Assim como Jonas desejou a preservação da planta, Deus desejou ainda mais intensamente a preservação de Nínive.</w:t>
      </w:r>
    </w:p>
    <w:p>
      <w:r/>
      <w:r>
        <w:rPr>
          <w:i/>
        </w:rPr>
        <w:t>Consulte também</w:t>
      </w:r>
      <w:r>
        <w:t xml:space="preserve"> </w:t>
      </w:r>
      <w:r>
        <w:t>Jonas (Pessoa)</w:t>
      </w:r>
      <w:r>
        <w:t xml:space="preserve">; </w:t>
      </w:r>
      <w:r>
        <w:t>Profecia</w:t>
      </w:r>
      <w:r>
        <w:t xml:space="preserve">; </w:t>
      </w:r>
      <w:r>
        <w:t>Profeta, Profetisa</w:t>
      </w:r>
      <w:r>
        <w:t>.</w:t>
      </w:r>
      <w:r/>
      <w:r/>
    </w:p>
    <w:p>
      <w:r/>
    </w:p>
    <w:p>
      <w:pPr>
        <w:pStyle w:val="Heading2"/>
      </w:pPr>
      <w:r>
        <w:t>Livro De, Gênesis,</w:t>
      </w:r>
      <w:r/>
    </w:p>
    <w:p>
      <w:r/>
      <w:r>
        <w:t>Primeiro livro da Bíblia.</w:t>
      </w:r>
    </w:p>
    <w:p>
      <w:r/>
      <w:r>
        <w:t>Resumo</w:t>
      </w:r>
    </w:p>
    <w:p>
      <w:r/>
      <w:r>
        <w:t>• Nome</w:t>
      </w:r>
    </w:p>
    <w:p>
      <w:r/>
      <w:r>
        <w:t>• Autor</w:t>
      </w:r>
    </w:p>
    <w:p>
      <w:r/>
      <w:r>
        <w:t>• Data</w:t>
      </w:r>
    </w:p>
    <w:p>
      <w:r/>
      <w:r>
        <w:t>• Propósito</w:t>
      </w:r>
    </w:p>
    <w:p>
      <w:r/>
      <w:r>
        <w:t>• Estrutura</w:t>
      </w:r>
    </w:p>
    <w:p>
      <w:r/>
      <w:r>
        <w:t>• Conteúdo</w:t>
      </w:r>
    </w:p>
    <w:p>
      <w:pPr>
        <w:pStyle w:val="Heading3"/>
      </w:pPr>
      <w:r>
        <w:t>Nome</w:t>
      </w:r>
    </w:p>
    <w:p>
      <w:r/>
      <w:r>
        <w:t xml:space="preserve">O nome Gênesis vem para o português como uma transliteração da palavra grega que significa “origem” ou “princípio”. Este nome foi dado ao livro na tradução grega das Escrituras hebraicas, conhecida como Septuaginta. Gênesis reflete tanto o conteúdo do livro quanto o nome hebraico para ele, que é tirado de sua primeira palavra, </w:t>
      </w:r>
      <w:r>
        <w:rPr>
          <w:i/>
        </w:rPr>
        <w:t>bere’shith</w:t>
      </w:r>
      <w:r>
        <w:t>, “no princípio”.</w:t>
      </w:r>
    </w:p>
    <w:p>
      <w:pPr>
        <w:pStyle w:val="Heading3"/>
      </w:pPr>
      <w:r>
        <w:t>Autor</w:t>
      </w:r>
    </w:p>
    <w:p>
      <w:r/>
      <w:r>
        <w:t>A autoria de Gênesis está intimamente relacionada com a autoria de todo o Pentateuco (lit. “cinco volumes”, os primeiros cinco livros da Bíblia, que em hebraico são chamados de Torá). Fica claro que a Bíblia considera o autor humano desses livros como Moisés. Em várias ocasiões, o Senhor ordenou a Moisés que escrevesse várias coisas: “em um livro” (</w:t>
      </w:r>
      <w:hyperlink r:id="rId13080">
        <w:r>
          <w:rPr>
            <w:color w:val="0000EE"/>
            <w:u w:val="single"/>
          </w:rPr>
          <w:t>Êx 17.14</w:t>
        </w:r>
      </w:hyperlink>
      <w:r>
        <w:t>) “escreva essas palavras” (</w:t>
      </w:r>
      <w:hyperlink r:id="rId12758">
        <w:r>
          <w:rPr>
            <w:color w:val="0000EE"/>
            <w:u w:val="single"/>
          </w:rPr>
          <w:t>34.27</w:t>
        </w:r>
      </w:hyperlink>
      <w:r>
        <w:t>). O Pentateuco relata que “Moisés escreveu todas as palavras do Senhor” (</w:t>
      </w:r>
      <w:hyperlink r:id="rId981">
        <w:r>
          <w:rPr>
            <w:color w:val="0000EE"/>
            <w:u w:val="single"/>
          </w:rPr>
          <w:t>24.4</w:t>
        </w:r>
      </w:hyperlink>
      <w:r>
        <w:t>); ele escreveu o itinerário das peregrinações do êxodo (</w:t>
      </w:r>
      <w:hyperlink r:id="rId13233">
        <w:r>
          <w:rPr>
            <w:color w:val="0000EE"/>
            <w:u w:val="single"/>
          </w:rPr>
          <w:t>Nm 33.2</w:t>
        </w:r>
      </w:hyperlink>
      <w:r>
        <w:t>); “Moisés escreveu esta lei” (</w:t>
      </w:r>
      <w:hyperlink r:id="rId13083">
        <w:r>
          <w:rPr>
            <w:color w:val="0000EE"/>
            <w:u w:val="single"/>
          </w:rPr>
          <w:t>Dt 31.9</w:t>
        </w:r>
      </w:hyperlink>
      <w:r>
        <w:t xml:space="preserve">). (Aqui não é certo que todos os cinco livros estejam sendo mencionados, mas deve-se referir a pelo menos a maior parte de Deuteronômio). Em </w:t>
      </w:r>
      <w:hyperlink r:id="rId809">
        <w:r>
          <w:rPr>
            <w:color w:val="0000EE"/>
            <w:u w:val="single"/>
          </w:rPr>
          <w:t>Êx 24.7</w:t>
        </w:r>
      </w:hyperlink>
      <w:r>
        <w:t>, é dito que Moisés leu o Livro da Aliança, que ele devia ter acabado de completar.</w:t>
      </w:r>
    </w:p>
    <w:p>
      <w:r/>
      <w:r>
        <w:t>O resto do AT é testemunha da escrita do Pentateuco por Moisés. Davi se referiu à “lei de Moisés” (</w:t>
      </w:r>
      <w:hyperlink r:id="rId12769">
        <w:r>
          <w:rPr>
            <w:color w:val="0000EE"/>
            <w:u w:val="single"/>
          </w:rPr>
          <w:t>1Rs 2.3</w:t>
        </w:r>
      </w:hyperlink>
      <w:r>
        <w:t>). No tempo de Josias, foi encontrado no templo o “livro da Lei do Senhor . . . dado através de Moisés” (</w:t>
      </w:r>
      <w:hyperlink r:id="rId13234">
        <w:r>
          <w:rPr>
            <w:color w:val="0000EE"/>
            <w:u w:val="single"/>
          </w:rPr>
          <w:t>2Cr 34.14</w:t>
        </w:r>
      </w:hyperlink>
      <w:r>
        <w:t>, NTLH). Dia a dia, Esdras lia de “o livro da Lei de Deus” (</w:t>
      </w:r>
      <w:hyperlink r:id="rId13235">
        <w:r>
          <w:rPr>
            <w:color w:val="0000EE"/>
            <w:u w:val="single"/>
          </w:rPr>
          <w:t>Ne 8.1</w:t>
        </w:r>
      </w:hyperlink>
      <w:r>
        <w:t>, NTLH).</w:t>
      </w:r>
    </w:p>
    <w:p>
      <w:r/>
      <w:r>
        <w:t>No NT, Jesus se refere ao “livro de Moisés” (</w:t>
      </w:r>
      <w:hyperlink r:id="rId3767">
        <w:r>
          <w:rPr>
            <w:color w:val="0000EE"/>
            <w:u w:val="single"/>
          </w:rPr>
          <w:t>Mc 12.26</w:t>
        </w:r>
      </w:hyperlink>
      <w:r>
        <w:t xml:space="preserve">; </w:t>
      </w:r>
      <w:hyperlink r:id="rId13236">
        <w:r>
          <w:rPr>
            <w:color w:val="0000EE"/>
            <w:u w:val="single"/>
          </w:rPr>
          <w:t>Lc 20.37</w:t>
        </w:r>
      </w:hyperlink>
      <w:r>
        <w:t>) e menciona os mandamentos ou declarações de Moisés (</w:t>
      </w:r>
      <w:hyperlink r:id="rId4142">
        <w:r>
          <w:rPr>
            <w:color w:val="0000EE"/>
            <w:u w:val="single"/>
          </w:rPr>
          <w:t>Mt 8.4</w:t>
        </w:r>
      </w:hyperlink>
      <w:r>
        <w:t xml:space="preserve">; </w:t>
      </w:r>
      <w:hyperlink r:id="rId7406">
        <w:r>
          <w:rPr>
            <w:color w:val="0000EE"/>
            <w:u w:val="single"/>
          </w:rPr>
          <w:t>19.8</w:t>
        </w:r>
      </w:hyperlink>
      <w:r>
        <w:t xml:space="preserve">; </w:t>
      </w:r>
      <w:hyperlink r:id="rId13085">
        <w:r>
          <w:rPr>
            <w:color w:val="0000EE"/>
            <w:u w:val="single"/>
          </w:rPr>
          <w:t>Mc 7.10</w:t>
        </w:r>
      </w:hyperlink>
      <w:r>
        <w:t xml:space="preserve">; cp. </w:t>
      </w:r>
      <w:hyperlink r:id="rId13237">
        <w:r>
          <w:rPr>
            <w:color w:val="0000EE"/>
            <w:u w:val="single"/>
          </w:rPr>
          <w:t>Lc 16.31</w:t>
        </w:r>
      </w:hyperlink>
      <w:r>
        <w:t xml:space="preserve">; </w:t>
      </w:r>
      <w:hyperlink r:id="rId3762">
        <w:r>
          <w:rPr>
            <w:color w:val="0000EE"/>
            <w:u w:val="single"/>
          </w:rPr>
          <w:t>24.44</w:t>
        </w:r>
      </w:hyperlink>
      <w:r>
        <w:t>). Os judeus também citaram a Torá como vindo de Moisés, e Jesus não os contradisse.</w:t>
      </w:r>
    </w:p>
    <w:p>
      <w:r/>
      <w:r>
        <w:t>De Gênesis em especial, pode ser dito que Moisés tinha a oportunidade e capacidade de escrever o livro. Ele poderia ter escrito durante seus anos no Egito ou enquanto exilado com os Queneus. Como o líder reconhecido dos israelitas, ele teria tido acesso, ou talvez até a guarda dos registros que Jacó trouxe de Canaã. Ele foi “instruído em toda a sabedoria dos egípcios” (</w:t>
      </w:r>
      <w:hyperlink r:id="rId13087">
        <w:r>
          <w:rPr>
            <w:color w:val="0000EE"/>
            <w:u w:val="single"/>
          </w:rPr>
          <w:t>At 7.22</w:t>
        </w:r>
      </w:hyperlink>
      <w:r>
        <w:t>) e provavelmente poderia ter escrito em vários idiomas e em vários tipos de escrita (hieroglíficos, cuneiformes, hebraico antigo). Embora Moisés estivesse admiravelmente equipado para a tarefa de escrever, deve-se lembrar que ele não estava montando uma composição humana, mas estava escrevendo sob a inspiração de Deus (</w:t>
      </w:r>
      <w:hyperlink r:id="rId8389">
        <w:r>
          <w:rPr>
            <w:color w:val="0000EE"/>
            <w:u w:val="single"/>
          </w:rPr>
          <w:t>2Pe 1.21</w:t>
        </w:r>
      </w:hyperlink>
      <w:r>
        <w:t>). Podemos concluir com confiança que Moisés foi o autor humano de Gênesis.</w:t>
      </w:r>
    </w:p>
    <w:p>
      <w:r/>
      <w:r>
        <w:t>A visão liberal da autoria de Gênesis é que o livro é um composto editorial — uma visão apresentada pela primeira vez por um médico francês, Jean Astruc, que sugeriu que os diferentes nomes para Deus indicavam diferentes documentos ou fontes para a escrita do livro. Os críticos superiores alemães expandiram a visão do uso de documentos na escrita de Gênesis e o desenvolveram para a Hipótese de Graf-Wellhausen-Kuenen, que também pode ser chamada de teoria JEDP da autoria do livro. Esta visão sustenta que havia quatro documentos básicos: (1) J, que usa o nome YHWH (Jeová ou Yahweh) para Deus, data de cerca do século 9 a.C. e vêm de Judá; (2) E usa o nome Elohim, data do século 8, e vem do reino do norte; (3) D é Deuteronômio e deveria vir do tempo de Josias, por volta de 621 a.C.; e (4) P é o elemento sacerdotal, que lida com questões do sacerdócio e ritual, que datam do quinto século a.C. ou mais tarde. Alguns podem datar porções de Gênesis tão tardiamente quanto o período helenístico. De acordo com esta teoria, os vários documentos foram misturados por editores, de modo que havia um JE, JED e assim por diante.</w:t>
      </w:r>
    </w:p>
    <w:p>
      <w:r/>
      <w:r>
        <w:t>A ciência da arqueologia desacreditou muitas das postulações extremas desses críticos, e o trabalho de W. F. Albright e seus seguidores fizeram muito para restaurar a confiança na historicidade de Gênesis. Dentro das últimas décadas, as narrativas patriarcais e o relato de José voltaram a ser alvo de forte ataque, mas essas visões são extremas, e grande parte das evidências apresentadas por Albright e estudiosos anteriores como R. D. Wilson, W. H. Green e outros ainda tem validade.</w:t>
      </w:r>
    </w:p>
    <w:p>
      <w:pPr>
        <w:pStyle w:val="Heading3"/>
      </w:pPr>
      <w:r>
        <w:t>Data</w:t>
      </w:r>
    </w:p>
    <w:p>
      <w:r/>
      <w:r>
        <w:t xml:space="preserve">A data do livro também é uma questão de debate. Mesmo entre aqueles que aceitam a autoria mosaica, há debate sobre quando Moisés viveu. Com base nos dados bíblicos, Moisés deveria ter vivido no século 15 a.C. (cp. </w:t>
      </w:r>
      <w:hyperlink r:id="rId2532">
        <w:r>
          <w:rPr>
            <w:color w:val="0000EE"/>
            <w:u w:val="single"/>
          </w:rPr>
          <w:t>Jz 11.26</w:t>
        </w:r>
      </w:hyperlink>
      <w:r>
        <w:t xml:space="preserve">; </w:t>
      </w:r>
      <w:hyperlink r:id="rId5414">
        <w:r>
          <w:rPr>
            <w:color w:val="0000EE"/>
            <w:u w:val="single"/>
          </w:rPr>
          <w:t>1Rs 6.1</w:t>
        </w:r>
      </w:hyperlink>
      <w:r>
        <w:t>), mas muitos estudiosos se inclinam em direção a uma data do século 13. Como descrito acima, a visão liberal da data de Gênesis seria do nono ao quinto séculos a.C., com a edição final chegando por volta do quinto século ou talvez até mais tarde.</w:t>
      </w:r>
    </w:p>
    <w:p>
      <w:pPr>
        <w:pStyle w:val="Heading3"/>
      </w:pPr>
      <w:r>
        <w:t>Propósito</w:t>
      </w:r>
    </w:p>
    <w:p>
      <w:r/>
      <w:r>
        <w:t>Gênesis esboça a origem de muitas coisas: o universo, a terra, plantas, animais e a humanidade. Dá os começos de instituições humanas, profissões e ofícios. Descreve a origem do pecado e morte, e ilustra o trabalho insidioso de Satanás na vida humana. Acima de tudo, Gênesis relaciona o início da história da redenção com o anúncio de um Redentor que estava para vir (</w:t>
      </w:r>
      <w:hyperlink r:id="rId309">
        <w:r>
          <w:rPr>
            <w:color w:val="0000EE"/>
            <w:u w:val="single"/>
          </w:rPr>
          <w:t>Gn 3.15</w:t>
        </w:r>
      </w:hyperlink>
      <w:r>
        <w:t>). Nomeia os primeiros progenitores na linhagem do Messias e o início do povo hebreu através de quem a Bíblia e o Salvador vieram. Gênesis também dá uma história seletiva de pessoas e eventos como visto da perspectiva dos propósitos de Deus.</w:t>
      </w:r>
    </w:p>
    <w:p>
      <w:pPr>
        <w:pStyle w:val="Heading3"/>
      </w:pPr>
      <w:r>
        <w:t>Estrutura</w:t>
      </w:r>
    </w:p>
    <w:p>
      <w:r/>
      <w:r>
        <w:t>O livro é dividido em 11 partes de comprimento desigual, cada uma desencadeada pela expressão “essas são as gerações [descendentes, história] de” (</w:t>
      </w:r>
      <w:hyperlink r:id="rId6791">
        <w:r>
          <w:rPr>
            <w:color w:val="0000EE"/>
            <w:u w:val="single"/>
          </w:rPr>
          <w:t>2.4</w:t>
        </w:r>
      </w:hyperlink>
      <w:r>
        <w:t xml:space="preserve">; </w:t>
      </w:r>
      <w:hyperlink r:id="rId10900">
        <w:r>
          <w:rPr>
            <w:color w:val="0000EE"/>
            <w:u w:val="single"/>
          </w:rPr>
          <w:t>5.1</w:t>
        </w:r>
      </w:hyperlink>
      <w:r>
        <w:t xml:space="preserve">; </w:t>
      </w:r>
      <w:hyperlink r:id="rId5287">
        <w:r>
          <w:rPr>
            <w:color w:val="0000EE"/>
            <w:u w:val="single"/>
          </w:rPr>
          <w:t>6.9</w:t>
        </w:r>
      </w:hyperlink>
      <w:r>
        <w:t xml:space="preserve">; </w:t>
      </w:r>
      <w:hyperlink r:id="rId4125">
        <w:r>
          <w:rPr>
            <w:color w:val="0000EE"/>
            <w:u w:val="single"/>
          </w:rPr>
          <w:t>10.1</w:t>
        </w:r>
      </w:hyperlink>
      <w:r>
        <w:t xml:space="preserve">; </w:t>
      </w:r>
      <w:hyperlink r:id="rId2486">
        <w:r>
          <w:rPr>
            <w:color w:val="0000EE"/>
            <w:u w:val="single"/>
          </w:rPr>
          <w:t>11.10,27</w:t>
        </w:r>
      </w:hyperlink>
      <w:r>
        <w:t xml:space="preserve">; </w:t>
      </w:r>
      <w:hyperlink r:id="rId13238">
        <w:r>
          <w:rPr>
            <w:color w:val="0000EE"/>
            <w:u w:val="single"/>
          </w:rPr>
          <w:t>25.12,19</w:t>
        </w:r>
      </w:hyperlink>
      <w:r>
        <w:t xml:space="preserve">; </w:t>
      </w:r>
      <w:hyperlink r:id="rId11476">
        <w:r>
          <w:rPr>
            <w:color w:val="0000EE"/>
            <w:u w:val="single"/>
          </w:rPr>
          <w:t>36.1</w:t>
        </w:r>
      </w:hyperlink>
      <w:r>
        <w:t xml:space="preserve">; </w:t>
      </w:r>
      <w:hyperlink r:id="rId12026">
        <w:r>
          <w:rPr>
            <w:color w:val="0000EE"/>
            <w:u w:val="single"/>
          </w:rPr>
          <w:t>37.2</w:t>
        </w:r>
      </w:hyperlink>
      <w:r>
        <w:t>). Apenas três vezes a fórmula coincide com o primeiro verso de um capítulo. Geralmente chamado de título ou inscrição, a expressão serve como um tipo de ligação entre o que precede e o que segue.</w:t>
      </w:r>
    </w:p>
    <w:p>
      <w:pPr>
        <w:pStyle w:val="Heading3"/>
      </w:pPr>
      <w:r>
        <w:t>Conteúdo</w:t>
      </w:r>
    </w:p>
    <w:p>
      <w:pPr>
        <w:pStyle w:val="Heading4"/>
      </w:pPr>
      <w:r>
        <w:t>A Criação (1.1–2.25)</w:t>
      </w:r>
    </w:p>
    <w:p>
      <w:r/>
      <w:r>
        <w:t>Esses dois capítulos têm sido um campo de batalha científico-teológico por muitos anos, enquanto pesquisadores e estudantes tentaram investigar as origens do universo e da vida. Grande parte das evidências não está sujeita ao escrutínio científico, pois a ciência, por definição, exige que a evidência deve ser reprodutível por experiência.</w:t>
      </w:r>
    </w:p>
    <w:p>
      <w:r/>
      <w:r>
        <w:t xml:space="preserve">A declaração de </w:t>
      </w:r>
      <w:hyperlink r:id="rId2581">
        <w:r>
          <w:rPr>
            <w:color w:val="0000EE"/>
            <w:u w:val="single"/>
          </w:rPr>
          <w:t>Gênesis 1.1</w:t>
        </w:r>
      </w:hyperlink>
      <w:r>
        <w:t xml:space="preserve"> permanece a mais grandiosa, mais precisa e mais acurada das origens: “No início, Deus criou os céus e a terra”. Ele fez isto </w:t>
      </w:r>
      <w:r>
        <w:rPr>
          <w:i/>
        </w:rPr>
        <w:t>ex nihilo</w:t>
      </w:r>
      <w:r>
        <w:t xml:space="preserve"> (“do nada”) por sua palavra (</w:t>
      </w:r>
      <w:hyperlink r:id="rId6078">
        <w:r>
          <w:rPr>
            <w:color w:val="0000EE"/>
            <w:u w:val="single"/>
          </w:rPr>
          <w:t>Hb 11.3</w:t>
        </w:r>
      </w:hyperlink>
      <w:r>
        <w:t>); ele falou a palavra de comando e aconteceu (</w:t>
      </w:r>
      <w:hyperlink r:id="rId13034">
        <w:r>
          <w:rPr>
            <w:color w:val="0000EE"/>
            <w:u w:val="single"/>
          </w:rPr>
          <w:t>Gn 1.3,6,9,11,14,20</w:t>
        </w:r>
      </w:hyperlink>
      <w:r>
        <w:t xml:space="preserve">; </w:t>
      </w:r>
      <w:hyperlink r:id="rId10777">
        <w:r>
          <w:rPr>
            <w:color w:val="0000EE"/>
            <w:u w:val="single"/>
          </w:rPr>
          <w:t>Sl 33.6,9</w:t>
        </w:r>
      </w:hyperlink>
      <w:r>
        <w:t>).</w:t>
      </w:r>
    </w:p>
    <w:p>
      <w:r/>
      <w:r>
        <w:t xml:space="preserve">A data do início é desconhecida. Os cosmogonistas uniformitários (estudantes das origens do universo que acreditam que os eventos naturais sempre seguiram um padrão uniforme; cp. </w:t>
      </w:r>
      <w:hyperlink r:id="rId13239">
        <w:r>
          <w:rPr>
            <w:color w:val="0000EE"/>
            <w:u w:val="single"/>
          </w:rPr>
          <w:t>2Pe 3.3–7</w:t>
        </w:r>
      </w:hyperlink>
      <w:r>
        <w:t>) supuseram que o início do universo foi há bilhões de anos. Mas alguns criacionistas postulam um mundo de milhares de anos.</w:t>
      </w:r>
    </w:p>
    <w:p>
      <w:r/>
      <w:r>
        <w:t xml:space="preserve">Para acomodar idades geológicas e a existência de animais extintos, alguns intérpretes propuseram um intervalo entre </w:t>
      </w:r>
      <w:hyperlink r:id="rId2581">
        <w:r>
          <w:rPr>
            <w:color w:val="0000EE"/>
            <w:u w:val="single"/>
          </w:rPr>
          <w:t>Gn 1.1</w:t>
        </w:r>
      </w:hyperlink>
      <w:r>
        <w:t xml:space="preserve"> e </w:t>
      </w:r>
      <w:hyperlink r:id="rId105">
        <w:r>
          <w:rPr>
            <w:color w:val="0000EE"/>
            <w:u w:val="single"/>
          </w:rPr>
          <w:t>1.2</w:t>
        </w:r>
      </w:hyperlink>
      <w:r>
        <w:t xml:space="preserve">, com </w:t>
      </w:r>
      <w:hyperlink r:id="rId13240">
        <w:r>
          <w:rPr>
            <w:color w:val="0000EE"/>
            <w:u w:val="single"/>
          </w:rPr>
          <w:t>Gn 1.2–2.3</w:t>
        </w:r>
      </w:hyperlink>
      <w:r>
        <w:t xml:space="preserve"> representando uma segunda ou nova criação. Mas isso é conjectura. O mesmo é a ideia de que cada dia representa uma era geológica.</w:t>
      </w:r>
    </w:p>
    <w:p>
      <w:r/>
      <w:r>
        <w:t>Como o texto mostra, há uma correlação entre os primeiros três dias e os segundos três dias. O primeiro dia viu a criação da luz; o quarto dia, os portadores da luz. O dia dois foi o tempo da criação do firmamento (melhor, “expansão”), que dividia as águas; dia cinco, pássaros e criaturas aquáticas abundantes. No dia três, Deus fez a terra seca e plantas; no dia seis, ele criou os animais terrestres e o homem. Ele fez o homem à imagem de Deus (</w:t>
      </w:r>
      <w:hyperlink r:id="rId9561">
        <w:r>
          <w:rPr>
            <w:color w:val="0000EE"/>
            <w:u w:val="single"/>
          </w:rPr>
          <w:t>Gn 1.26</w:t>
        </w:r>
      </w:hyperlink>
      <w:r>
        <w:t>), “um pouco menos do que Deus” (</w:t>
      </w:r>
      <w:hyperlink r:id="rId3547">
        <w:r>
          <w:rPr>
            <w:color w:val="0000EE"/>
            <w:u w:val="single"/>
          </w:rPr>
          <w:t>Sl 8.5</w:t>
        </w:r>
      </w:hyperlink>
      <w:r>
        <w:t>), e lhe deu domínio sobre a terra. Ele fez tudo “de acordo com seus tipos”, de modo que cada tipo é distinto e único. A perfeição de sua obra é afirmada em que “Deus viu que era bom” (</w:t>
      </w:r>
      <w:hyperlink r:id="rId6079">
        <w:r>
          <w:rPr>
            <w:color w:val="0000EE"/>
            <w:u w:val="single"/>
          </w:rPr>
          <w:t>Gn 1.4,10, 12,18,21</w:t>
        </w:r>
      </w:hyperlink>
      <w:r>
        <w:t xml:space="preserve">; “muito bom”, v. </w:t>
      </w:r>
      <w:hyperlink r:id="rId10706">
        <w:r>
          <w:rPr>
            <w:color w:val="0000EE"/>
            <w:u w:val="single"/>
          </w:rPr>
          <w:t>31</w:t>
        </w:r>
      </w:hyperlink>
      <w:r>
        <w:t>). O sétimo dia era um tempo de cessação da atividade de criar e serviu como um tipo para o dia de descanso da humanidade (</w:t>
      </w:r>
      <w:hyperlink r:id="rId13241">
        <w:r>
          <w:rPr>
            <w:color w:val="0000EE"/>
            <w:u w:val="single"/>
          </w:rPr>
          <w:t>2.1–3</w:t>
        </w:r>
      </w:hyperlink>
      <w:r>
        <w:t>).</w:t>
      </w:r>
    </w:p>
    <w:p>
      <w:r/>
      <w:r>
        <w:t xml:space="preserve">A crítica acadêmica vê </w:t>
      </w:r>
      <w:hyperlink r:id="rId13242">
        <w:r>
          <w:rPr>
            <w:color w:val="0000EE"/>
            <w:u w:val="single"/>
          </w:rPr>
          <w:t>2.4–25</w:t>
        </w:r>
      </w:hyperlink>
      <w:r>
        <w:t xml:space="preserve"> como uma duplicação em conflito com </w:t>
      </w:r>
      <w:hyperlink r:id="rId13243">
        <w:r>
          <w:rPr>
            <w:color w:val="0000EE"/>
            <w:u w:val="single"/>
          </w:rPr>
          <w:t>Gn 1.1–2.3</w:t>
        </w:r>
      </w:hyperlink>
      <w:r>
        <w:t xml:space="preserve">. Para os estudiosos conservadores, o segundo capítulo é o mesmo relato de uma perspectiva diferente. O capítulo </w:t>
      </w:r>
      <w:hyperlink r:id="rId1452">
        <w:r>
          <w:rPr>
            <w:color w:val="0000EE"/>
            <w:u w:val="single"/>
          </w:rPr>
          <w:t>1</w:t>
        </w:r>
      </w:hyperlink>
      <w:r>
        <w:t xml:space="preserve"> dá a Criação do ponto de vista da sequência; o capítulo </w:t>
      </w:r>
      <w:hyperlink r:id="rId10694">
        <w:r>
          <w:rPr>
            <w:color w:val="0000EE"/>
            <w:u w:val="single"/>
          </w:rPr>
          <w:t>2</w:t>
        </w:r>
      </w:hyperlink>
      <w:r>
        <w:t xml:space="preserve"> mostra isso em vista da centralidade da humanidade na obra criativa de Deus.</w:t>
      </w:r>
    </w:p>
    <w:p>
      <w:r/>
      <w:r>
        <w:t xml:space="preserve">O capítulo </w:t>
      </w:r>
      <w:hyperlink r:id="rId10694">
        <w:r>
          <w:rPr>
            <w:color w:val="0000EE"/>
            <w:u w:val="single"/>
          </w:rPr>
          <w:t>2</w:t>
        </w:r>
      </w:hyperlink>
      <w:r>
        <w:t xml:space="preserve"> dá detalhes da criação do homem da “poeira do chão” (v. </w:t>
      </w:r>
      <w:hyperlink r:id="rId292">
        <w:r>
          <w:rPr>
            <w:color w:val="0000EE"/>
            <w:u w:val="single"/>
          </w:rPr>
          <w:t>7</w:t>
        </w:r>
      </w:hyperlink>
      <w:r>
        <w:t xml:space="preserve">) e a mulher de uma costela do homem (v. </w:t>
      </w:r>
      <w:hyperlink r:id="rId13244">
        <w:r>
          <w:rPr>
            <w:color w:val="0000EE"/>
            <w:u w:val="single"/>
          </w:rPr>
          <w:t>21–22</w:t>
        </w:r>
      </w:hyperlink>
      <w:r>
        <w:t xml:space="preserve">). Ela foi criada para ser “uma companheira que o auxiliará” (vv. </w:t>
      </w:r>
      <w:hyperlink r:id="rId13245">
        <w:r>
          <w:rPr>
            <w:color w:val="0000EE"/>
            <w:u w:val="single"/>
          </w:rPr>
          <w:t>18–20</w:t>
        </w:r>
      </w:hyperlink>
      <w:r>
        <w:t xml:space="preserve">). Eles foram criados como adultos maduros, com o dom da fala e com grande inteligência. Adão tinha imaginação e vocabulário suficientes para nomear todas as espécies animais (v. </w:t>
      </w:r>
      <w:hyperlink r:id="rId13246">
        <w:r>
          <w:rPr>
            <w:color w:val="0000EE"/>
            <w:u w:val="single"/>
          </w:rPr>
          <w:t>19</w:t>
        </w:r>
      </w:hyperlink>
      <w:r>
        <w:t>).</w:t>
      </w:r>
    </w:p>
    <w:p>
      <w:r/>
      <w:r>
        <w:t xml:space="preserve">A localização do Jardim do Éden é dada (vv. </w:t>
      </w:r>
      <w:hyperlink r:id="rId593">
        <w:r>
          <w:rPr>
            <w:color w:val="0000EE"/>
            <w:u w:val="single"/>
          </w:rPr>
          <w:t>10–14</w:t>
        </w:r>
      </w:hyperlink>
      <w:r>
        <w:t>). Dois dos quatro rios, o Tigre e o Eufrates, podem ser identificados com certeza. Então o homem vivia neste belo jardim na felicidade da inocência.</w:t>
      </w:r>
    </w:p>
    <w:p>
      <w:pPr>
        <w:pStyle w:val="Heading4"/>
      </w:pPr>
      <w:r>
        <w:t>A história da humanidade do Éden até Babel (3.1–11.26)</w:t>
      </w:r>
    </w:p>
    <w:p>
      <w:r/>
      <w:r>
        <w:t>A Queda</w:t>
      </w:r>
    </w:p>
    <w:p>
      <w:r/>
      <w:r>
        <w:t>A perda do Éden e a ruptura na comunhão com Deus é o capítulo mais triste da história humana. A serpente, o diabo, se aproximou de Eva com a mesma filosofia que ele sempre usa: dúvida da palavra de Deus (</w:t>
      </w:r>
      <w:hyperlink r:id="rId296">
        <w:r>
          <w:rPr>
            <w:color w:val="0000EE"/>
            <w:u w:val="single"/>
          </w:rPr>
          <w:t>Gn 3.1</w:t>
        </w:r>
      </w:hyperlink>
      <w:r>
        <w:t xml:space="preserve">), negação da morte (v. </w:t>
      </w:r>
      <w:hyperlink r:id="rId13247">
        <w:r>
          <w:rPr>
            <w:color w:val="0000EE"/>
            <w:u w:val="single"/>
          </w:rPr>
          <w:t>4</w:t>
        </w:r>
      </w:hyperlink>
      <w:r>
        <w:t xml:space="preserve">) e a sugestão de igualdade com Deus (v. </w:t>
      </w:r>
      <w:hyperlink r:id="rId298">
        <w:r>
          <w:rPr>
            <w:color w:val="0000EE"/>
            <w:u w:val="single"/>
          </w:rPr>
          <w:t>5</w:t>
        </w:r>
      </w:hyperlink>
      <w:r>
        <w:t>). Ele ganhou acesso à sua vontade enganando-a com a promessa de que o fruto a tornaria tão sábia quanto Deus é (</w:t>
      </w:r>
      <w:hyperlink r:id="rId298">
        <w:r>
          <w:rPr>
            <w:color w:val="0000EE"/>
            <w:u w:val="single"/>
          </w:rPr>
          <w:t>Gn 3.5</w:t>
        </w:r>
      </w:hyperlink>
      <w:r>
        <w:t xml:space="preserve">; </w:t>
      </w:r>
      <w:hyperlink r:id="rId13248">
        <w:r>
          <w:rPr>
            <w:color w:val="0000EE"/>
            <w:u w:val="single"/>
          </w:rPr>
          <w:t>cp. 1Jo 2.16</w:t>
        </w:r>
      </w:hyperlink>
      <w:r>
        <w:t>). Eva foi enganada, mas quando ela ofereceu o fruto a Adão, ele o tomou de bom grado, sabendo o que ele estava fazendo (</w:t>
      </w:r>
      <w:hyperlink r:id="rId13249">
        <w:r>
          <w:rPr>
            <w:color w:val="0000EE"/>
            <w:u w:val="single"/>
          </w:rPr>
          <w:t>Gn 3.6</w:t>
        </w:r>
      </w:hyperlink>
      <w:r>
        <w:t xml:space="preserve">; cp. </w:t>
      </w:r>
      <w:hyperlink r:id="rId297">
        <w:r>
          <w:rPr>
            <w:color w:val="0000EE"/>
            <w:u w:val="single"/>
          </w:rPr>
          <w:t>1Tm 2.14</w:t>
        </w:r>
      </w:hyperlink>
      <w:r>
        <w:t>). Mais tarde, ele tentou repreender Deus por lhe dar a esposa que lhe deu o fruto (</w:t>
      </w:r>
      <w:hyperlink r:id="rId301">
        <w:r>
          <w:rPr>
            <w:color w:val="0000EE"/>
            <w:u w:val="single"/>
          </w:rPr>
          <w:t>Gn 3.12</w:t>
        </w:r>
      </w:hyperlink>
      <w:r>
        <w:t xml:space="preserve">). A comunhão com Deus foi quebrada (v. </w:t>
      </w:r>
      <w:hyperlink r:id="rId300">
        <w:r>
          <w:rPr>
            <w:color w:val="0000EE"/>
            <w:u w:val="single"/>
          </w:rPr>
          <w:t>8</w:t>
        </w:r>
      </w:hyperlink>
      <w:r>
        <w:t>), mas Deus veio buscar Adão e o encontrou.</w:t>
      </w:r>
    </w:p>
    <w:p>
      <w:r/>
      <w:r>
        <w:t>Com o pecado veio o julgamento, e o Senhor pronunciou julgamento justo sobre a serpente, a mulher e o homem. A terra também foi “sujeita à frustração” e agora geme enquanto aguarda a renovação (</w:t>
      </w:r>
      <w:hyperlink r:id="rId13250">
        <w:r>
          <w:rPr>
            <w:color w:val="0000EE"/>
            <w:u w:val="single"/>
          </w:rPr>
          <w:t>Rm 8.21–22</w:t>
        </w:r>
      </w:hyperlink>
      <w:r>
        <w:t>). Deus deu esperança ao homem e uma promessa de um Redentor (</w:t>
      </w:r>
      <w:hyperlink r:id="rId309">
        <w:r>
          <w:rPr>
            <w:color w:val="0000EE"/>
            <w:u w:val="single"/>
          </w:rPr>
          <w:t>Gn 3.15</w:t>
        </w:r>
      </w:hyperlink>
      <w:r>
        <w:t>), que deveria esmagar a cabeça da serpente. Adão e Eva foram forçados a sair do Jardim, este foi tornado inacessível a eles.</w:t>
      </w:r>
    </w:p>
    <w:p>
      <w:r/>
      <w:r>
        <w:t>A impaciência da humanidade é mostrada na expectativa de Eva de que seu filho Caim era o Libertador prometido. Em vez disso, ele desenvolveu uma atitude errada em relação a Deus e ficou tão enciumado de seu irmão mais novo que ele o assassinou. Apreendido por Deus e confrontado por seu crime, Caim mostrou apenas autocomiseração e foi para o leste do Éden, onde ele construiu uma cidade (</w:t>
      </w:r>
      <w:hyperlink r:id="rId12741">
        <w:r>
          <w:rPr>
            <w:color w:val="0000EE"/>
            <w:u w:val="single"/>
          </w:rPr>
          <w:t>4.1–16</w:t>
        </w:r>
      </w:hyperlink>
      <w:r>
        <w:t xml:space="preserve">). O capítulo </w:t>
      </w:r>
      <w:hyperlink r:id="rId4857">
        <w:r>
          <w:rPr>
            <w:color w:val="0000EE"/>
            <w:u w:val="single"/>
          </w:rPr>
          <w:t>4</w:t>
        </w:r>
      </w:hyperlink>
      <w:r>
        <w:t xml:space="preserve"> termina com outro contraste: o Lameque, que pediu por vingança, enquanto outros começaram a invocar o nome do Senhor.</w:t>
      </w:r>
    </w:p>
    <w:p>
      <w:r/>
      <w:r>
        <w:t>As gerações de Adão</w:t>
      </w:r>
    </w:p>
    <w:p>
      <w:r/>
      <w:r>
        <w:t>Esta tabela genealógica (</w:t>
      </w:r>
      <w:hyperlink r:id="rId6203">
        <w:r>
          <w:rPr>
            <w:color w:val="0000EE"/>
            <w:u w:val="single"/>
          </w:rPr>
          <w:t>5.1–32</w:t>
        </w:r>
      </w:hyperlink>
      <w:r>
        <w:t>) traz a humanidade ao tempo de Noé e ao Dilúvio. A longevidade dos patriarcas ante-diluvianos parece muito impressionante para nós, mas deve-se lembrar que a terra ainda não havia sido submetida à poluição e que os efeitos do pecado na raça humana ainda eram nominais. O refrão “e ele morreu” nos lembra da mortalidade do homem. Para Enoque, no entanto, havia algo melhor: “Ele desfrutou de um relacionamento próximo com Deus ao longo de sua vida. Então, de repente, ele desapareceu porque Deus o levou” (</w:t>
      </w:r>
      <w:hyperlink r:id="rId13251">
        <w:r>
          <w:rPr>
            <w:color w:val="0000EE"/>
            <w:u w:val="single"/>
          </w:rPr>
          <w:t>5.24</w:t>
        </w:r>
      </w:hyperlink>
      <w:r>
        <w:t>, NTLH).</w:t>
      </w:r>
    </w:p>
    <w:p>
      <w:r/>
      <w:r>
        <w:t>O Dilúvio</w:t>
      </w:r>
    </w:p>
    <w:p>
      <w:r/>
      <w:r>
        <w:t>Com o aumento da população veio uma erupção de pecado (</w:t>
      </w:r>
      <w:hyperlink r:id="rId13252">
        <w:r>
          <w:rPr>
            <w:color w:val="0000EE"/>
            <w:u w:val="single"/>
          </w:rPr>
          <w:t>6.1–5</w:t>
        </w:r>
      </w:hyperlink>
      <w:r>
        <w:t xml:space="preserve">). À medida que os homens se multiplicavam, assim fez sua corrupção. A condenação universal do verso </w:t>
      </w:r>
      <w:hyperlink r:id="rId5687">
        <w:r>
          <w:rPr>
            <w:color w:val="0000EE"/>
            <w:u w:val="single"/>
          </w:rPr>
          <w:t>5</w:t>
        </w:r>
      </w:hyperlink>
      <w:r>
        <w:t xml:space="preserve"> mostra um mundo pronto para julgamento. Noé, no entanto, “encontrou favor do Senhor”, pois ele era um homem justo e irrepreensível que andava com Deus (</w:t>
      </w:r>
      <w:hyperlink r:id="rId13253">
        <w:r>
          <w:rPr>
            <w:color w:val="0000EE"/>
            <w:u w:val="single"/>
          </w:rPr>
          <w:t>6.8–9</w:t>
        </w:r>
      </w:hyperlink>
      <w:r>
        <w:t>).</w:t>
      </w:r>
    </w:p>
    <w:p>
      <w:r/>
      <w:r>
        <w:t>O Senhor planejou aniquilar a raça humana, mas ele decidiu a salvar Noé e sua família. Com a intenção de inundar a terra, Deus instruiu Noé a construir uma arca. Noé foi instruído a levar os animais a bordo da arca, dois a dois, macho e fêmea, para a preservação de cada espécie. Quando tudo estava em prontidão, o Dilúvio veio: “as águas subterrâneas explodiram na terra, e a chuva caiu em poderosas torrentes do céu” (</w:t>
      </w:r>
      <w:hyperlink r:id="rId7148">
        <w:r>
          <w:rPr>
            <w:color w:val="0000EE"/>
            <w:u w:val="single"/>
          </w:rPr>
          <w:t>7.11</w:t>
        </w:r>
      </w:hyperlink>
      <w:r>
        <w:t>, NTLH). Choveu por 40 dias e 40 noites. As montanhas mais altas foram cobertas, e a vida fora da arca pereceu. “Mas Deus se lembrou de Noé” e enviou um vento para evaporar as águas (</w:t>
      </w:r>
      <w:hyperlink r:id="rId8347">
        <w:r>
          <w:rPr>
            <w:color w:val="0000EE"/>
            <w:u w:val="single"/>
          </w:rPr>
          <w:t>8.1</w:t>
        </w:r>
      </w:hyperlink>
      <w:r>
        <w:t xml:space="preserve">). Eventualmente, a arca veio a parar nas montanhas de Ararate (v. </w:t>
      </w:r>
      <w:hyperlink r:id="rId2410">
        <w:r>
          <w:rPr>
            <w:color w:val="0000EE"/>
            <w:u w:val="single"/>
          </w:rPr>
          <w:t>4</w:t>
        </w:r>
      </w:hyperlink>
      <w:r>
        <w:t>). Noé fez um sacrifício ao Senhor, e o Senhor determinou que ele nunca mais traria tal destruição sobre a terra.</w:t>
      </w:r>
    </w:p>
    <w:p>
      <w:r/>
      <w:r>
        <w:t>O Dilúvio é outro dos atos de Deus que tem sido muito debatido. Muitos argumentaram a favor de uma inundação local, que afetou apenas parte da Mesopotâmia. Os arqueólogos apontaram para vários estratos de inundação na escavação dos montes das cidades da Mesopotâmia como evidência para o relato do dilúvio e citaram as várias histórias de inundação dessa área como a fonte do registro de Gênesis. O épico de Gilgamesh dá um conto interessante deste herói, que foi em uma missão para visitar Utnapishtim, o cuneiforme Noé, em busca da vida eterna. A história do dilúvio contada por Utnapishtim tem muitos paralelos com Gênesis, mas há contrastes maiores, que demonstram que a Bíblia preserva o verdadeiro relato.</w:t>
      </w:r>
    </w:p>
    <w:p>
      <w:r/>
      <w:r>
        <w:t xml:space="preserve">Tanto o relato de Gênesis quanto as referências a ele no NT (cp. </w:t>
      </w:r>
      <w:hyperlink r:id="rId595">
        <w:r>
          <w:rPr>
            <w:color w:val="0000EE"/>
            <w:u w:val="single"/>
          </w:rPr>
          <w:t>2Pe 3.6</w:t>
        </w:r>
      </w:hyperlink>
      <w:r>
        <w:t>) favorecem a visão de que o dilúvio não foi um episódio menor na área do Tigre-Eufrates, mas foi uma catástrofe mundial sem precedentes. Os geólogos cristãos afirmam que o Dilúvio teve efeitos de longo alcance na própria terra. As histórias do dilúvio são quase universalmente conhecidas, dando apoio à conclusão de que o Dilúvio cobriu toda a terra. Após o Dilúvio, Deus abençoou Noé e seus filhos, Cam, Sem e Jafé. Deus fez uma aliança com Noé, prometendo que ele nunca mais enviaria um dilúvio em todo o mundo. Como um sinal disso, ele estabeleceu o arco-íris.</w:t>
      </w:r>
    </w:p>
    <w:p>
      <w:r/>
      <w:r>
        <w:t>Noé foi o primeiro lavrador do solo, e ele plantou uma vinha (</w:t>
      </w:r>
      <w:hyperlink r:id="rId13254">
        <w:r>
          <w:rPr>
            <w:color w:val="0000EE"/>
            <w:u w:val="single"/>
          </w:rPr>
          <w:t>9.20</w:t>
        </w:r>
      </w:hyperlink>
      <w:r>
        <w:t>). Noé ficou bêbado do vinho que ele fazia e estava deitado descoberto em sua tenda. Cam o viu e relatou isso aos seus irmãos, que discretamente o cobriram. Cam e seu filho Canaã foram amaldiçoados; Sem e Jafé foram abençoados.</w:t>
      </w:r>
    </w:p>
    <w:p>
      <w:r/>
      <w:r>
        <w:t>A história das Nações</w:t>
      </w:r>
    </w:p>
    <w:p>
      <w:r/>
      <w:r>
        <w:t>“Esta é a história das famílias de Sem, Cam e Jafé, os três filhos de Noé. Muitas crianças nasceram após o Dilúvio” (</w:t>
      </w:r>
      <w:hyperlink r:id="rId4125">
        <w:r>
          <w:rPr>
            <w:color w:val="0000EE"/>
            <w:u w:val="single"/>
          </w:rPr>
          <w:t>10.1</w:t>
        </w:r>
      </w:hyperlink>
      <w:r>
        <w:t xml:space="preserve">, NTLH). Este capítulo lista os descendentes dos três filhos de Noé, na ordem de Jafé (vv. </w:t>
      </w:r>
      <w:hyperlink r:id="rId13255">
        <w:r>
          <w:rPr>
            <w:color w:val="0000EE"/>
            <w:u w:val="single"/>
          </w:rPr>
          <w:t>2–5</w:t>
        </w:r>
      </w:hyperlink>
      <w:r>
        <w:t xml:space="preserve">), Cam (v. </w:t>
      </w:r>
      <w:hyperlink r:id="rId12744">
        <w:r>
          <w:rPr>
            <w:color w:val="0000EE"/>
            <w:u w:val="single"/>
          </w:rPr>
          <w:t>6–20</w:t>
        </w:r>
      </w:hyperlink>
      <w:r>
        <w:t xml:space="preserve">) e Sem (vv. </w:t>
      </w:r>
      <w:hyperlink r:id="rId13256">
        <w:r>
          <w:rPr>
            <w:color w:val="0000EE"/>
            <w:u w:val="single"/>
          </w:rPr>
          <w:t>21–31</w:t>
        </w:r>
      </w:hyperlink>
      <w:r>
        <w:t>). Muitos dos nomes de seus descendentes são preservados em tribos e nações do mundo.</w:t>
      </w:r>
    </w:p>
    <w:p>
      <w:r/>
      <w:r>
        <w:t>A Torre de Babel</w:t>
      </w:r>
    </w:p>
    <w:p>
      <w:r/>
      <w:r>
        <w:t>O edifício da Torre de Babel (“Portão de Deus”) ilustra a perversidade do homem e sua tendência de querer independência de Deus. O desejo do homem de deslocar Deus segue o exemplo fatídico de Lúcifer e é um princípio básico de muitas seitas. Deus frustrou os projetos dos construtores de Babel confundindo suas línguas, de modo que o projeto parou (</w:t>
      </w:r>
      <w:hyperlink r:id="rId2957">
        <w:r>
          <w:rPr>
            <w:color w:val="0000EE"/>
            <w:u w:val="single"/>
          </w:rPr>
          <w:t>11.1–9</w:t>
        </w:r>
      </w:hyperlink>
      <w:r>
        <w:t xml:space="preserve">). O local desta torre não é conhecido com certeza. Alguns o associam com Birs Nimrud, não muito longe das ruínas da cidade da Babilônia. </w:t>
      </w:r>
      <w:hyperlink r:id="rId13257">
        <w:r>
          <w:rPr>
            <w:color w:val="0000EE"/>
            <w:u w:val="single"/>
          </w:rPr>
          <w:t>Gn 11.10–25</w:t>
        </w:r>
      </w:hyperlink>
      <w:r>
        <w:t xml:space="preserve"> pega a linhagem de Sem e a leva até Tera, o pai de Abrão.</w:t>
      </w:r>
    </w:p>
    <w:p>
      <w:pPr>
        <w:pStyle w:val="Heading4"/>
      </w:pPr>
      <w:r>
        <w:t>A história de Abraão (11.27–25.10) e Isaque (21.1–28.5)</w:t>
      </w:r>
    </w:p>
    <w:p>
      <w:r/>
      <w:r>
        <w:t>Abrão veio de Ur dos caldeus, uma cidade próspera. A cidade tinha um imponente zigurate (torre do templo), com muitos templos, armazéns e residências. Abrão e Sarai, sua meia-irmã e esposa, foram com seu pai para Harã na Síria, que como Ur era um centro da adoração do deus da lua, Sin (ou Annar).</w:t>
      </w:r>
    </w:p>
    <w:p>
      <w:r/>
      <w:r>
        <w:t>O Chamado de Abrão</w:t>
      </w:r>
    </w:p>
    <w:p>
      <w:r/>
      <w:r>
        <w:t>O chamado de Deus veio a Abrão, orientando-o a deixar seus parentes e se mudar para uma terra que o Senhor lhe mostraria (</w:t>
      </w:r>
      <w:hyperlink r:id="rId13258">
        <w:r>
          <w:rPr>
            <w:color w:val="0000EE"/>
            <w:u w:val="single"/>
          </w:rPr>
          <w:t>12.1</w:t>
        </w:r>
      </w:hyperlink>
      <w:r>
        <w:t xml:space="preserve">; cp. </w:t>
      </w:r>
      <w:hyperlink r:id="rId13259">
        <w:r>
          <w:rPr>
            <w:color w:val="0000EE"/>
            <w:u w:val="single"/>
          </w:rPr>
          <w:t>At 7.2–3</w:t>
        </w:r>
      </w:hyperlink>
      <w:r>
        <w:t>). Abrão obedeceu. Aos 75 anos, ele, Sarai e seu sobrinho Ló deixaram Harã e foram para Siquém, onde o Senhor apareceu a ele e prometeu essa terra aos seus descendentes.</w:t>
      </w:r>
    </w:p>
    <w:p>
      <w:r/>
      <w:r>
        <w:t>A fome levou Abrão para o Egito (</w:t>
      </w:r>
      <w:hyperlink r:id="rId92">
        <w:r>
          <w:rPr>
            <w:color w:val="0000EE"/>
            <w:u w:val="single"/>
          </w:rPr>
          <w:t>Gn 12.10–20</w:t>
        </w:r>
      </w:hyperlink>
      <w:r>
        <w:t>). Por causa da beleza de Sarai, ele temia que alguém pudesse matá-lo para ficar com ela, então ele a fez passar por sua irmã. Ela foi levada para o harém do faraó. Quando o Senhor atormentou Faraó por causa disso, a mentira de Abrão foi descoberta e Sarai foi devolvida a ele.</w:t>
      </w:r>
    </w:p>
    <w:p>
      <w:r/>
      <w:r>
        <w:t>Abrão e Ló</w:t>
      </w:r>
    </w:p>
    <w:p>
      <w:r/>
      <w:r>
        <w:t xml:space="preserve">Abrão e Ló retornaram a Canaã, onde surgiu uma contenda entre os pastores de Abrão e os pastores de Ló. Abrão sugeriu que eles deveriam se separar, e ele deu a Ló a escolha de território. Ló escolheu o vale do Jordão bem regado e as cidades da planície, Sodoma e Gomorra (capítulo </w:t>
      </w:r>
      <w:hyperlink r:id="rId13260">
        <w:r>
          <w:rPr>
            <w:color w:val="0000EE"/>
            <w:u w:val="single"/>
          </w:rPr>
          <w:t>13</w:t>
        </w:r>
      </w:hyperlink>
      <w:r>
        <w:t>).</w:t>
      </w:r>
    </w:p>
    <w:p>
      <w:r/>
      <w:r>
        <w:t>A invasão dos Quatro Reis do Oriente</w:t>
      </w:r>
    </w:p>
    <w:p>
      <w:r/>
      <w:r>
        <w:t xml:space="preserve">Os quatro reis que invadiram ao longo da Estrada do Rei na Transjordânia não podem ser identificados com certeza. Esses reis foram bem-sucedidos em seu ataque contra as cinco cidades da planície e partiram com muitos despojos e muitos cativos, incluindo Ló. Abrão tomou 318 servos, nascidos em sua casa, e partiu atrás eles. Com um ataque surpresa, Abrão recuperou tanto Ló, quanto os despojos. Em seu retorno, ele foi encontrado por Melquisedeque, rei de Jerusalém, a quem Abrão pagou dízimos (capítulo </w:t>
      </w:r>
      <w:hyperlink r:id="rId1116">
        <w:r>
          <w:rPr>
            <w:color w:val="0000EE"/>
            <w:u w:val="single"/>
          </w:rPr>
          <w:t>14</w:t>
        </w:r>
      </w:hyperlink>
      <w:r>
        <w:t>).</w:t>
      </w:r>
    </w:p>
    <w:p>
      <w:r/>
      <w:r>
        <w:t>A Aliança</w:t>
      </w:r>
    </w:p>
    <w:p>
      <w:r/>
      <w:r>
        <w:t xml:space="preserve">O Senhor prometeu a Abrão um filho como herdeiro, e em uma cerimônia noturna impressionante, Deus fez uma aliança com Abrão e lhe prometeu a terra do rio do Egito (Wadi el Arish) até o Eufrates (capítulo </w:t>
      </w:r>
      <w:hyperlink r:id="rId790">
        <w:r>
          <w:rPr>
            <w:color w:val="0000EE"/>
            <w:u w:val="single"/>
          </w:rPr>
          <w:t>15</w:t>
        </w:r>
      </w:hyperlink>
      <w:r>
        <w:t xml:space="preserve">). Por causa de sua própria esterilidade, Sarai deu sua empregada egípcia, Agar, a Abrão. Agar deu à luz Ismael, o progenitor dos povos árabes. Quando surgiram problemas entre as mulheres, Sarai enviou Agar para longe, que era seu direito de acordo com os costumes do Oriente Próximo (como ilustrado pelas tábuas de Nuzi). Deus mostrou misericórdia a Agar e prometeu que ela teria uma grande posteridade (capítulo </w:t>
      </w:r>
      <w:hyperlink r:id="rId485">
        <w:r>
          <w:rPr>
            <w:color w:val="0000EE"/>
            <w:u w:val="single"/>
          </w:rPr>
          <w:t>16</w:t>
        </w:r>
      </w:hyperlink>
      <w:r>
        <w:t>).</w:t>
      </w:r>
    </w:p>
    <w:p>
      <w:r/>
      <w:r>
        <w:t xml:space="preserve">Deus repetiu sua promessa a Abrão sobre seus descendentes e mudou os nomes de Abrão (“pai exaltado”) e Sarai a Abraão (“pai de muitos”) e Sara (“princesa”). Um sinal da aliança da circuncisão foi dado a Abraão (capítulo </w:t>
      </w:r>
      <w:hyperlink r:id="rId168">
        <w:r>
          <w:rPr>
            <w:color w:val="0000EE"/>
            <w:u w:val="single"/>
          </w:rPr>
          <w:t>17</w:t>
        </w:r>
      </w:hyperlink>
      <w:r>
        <w:t>). Esta operação já havia sendo praticada entre os egípcios por vários séculos.</w:t>
      </w:r>
    </w:p>
    <w:p>
      <w:r/>
      <w:r>
        <w:t>A destruição das cidades da Planície</w:t>
      </w:r>
    </w:p>
    <w:p>
      <w:r/>
      <w:r>
        <w:t>O Senhor e dois anjos apareceram a Abraão e anunciaram o nascimento do herdeiro prometido dentro de um ano, bem como proclamaram a destruição iminente de Sodoma e Gomorra, sobre a qual Abraão barganhou com Deus (</w:t>
      </w:r>
      <w:hyperlink r:id="rId4866">
        <w:r>
          <w:rPr>
            <w:color w:val="0000EE"/>
            <w:u w:val="single"/>
          </w:rPr>
          <w:t>18.22–33</w:t>
        </w:r>
      </w:hyperlink>
      <w:r>
        <w:t>). Ló e sua família imediata foram resgatados de Sodoma, e as cidades foram destruídas por Deus com enxofre e fogo (</w:t>
      </w:r>
      <w:hyperlink r:id="rId13261">
        <w:r>
          <w:rPr>
            <w:color w:val="0000EE"/>
            <w:u w:val="single"/>
          </w:rPr>
          <w:t>19.24–25</w:t>
        </w:r>
      </w:hyperlink>
      <w:r>
        <w:t>). As duas filhas de Ló, desejando preservar a linhagem familiar, embebedaram o pai e tiveram relações sexuais com ele. Moabe e Amom, inimigos de Israel em tempos posteriores, foram o resultado.</w:t>
      </w:r>
    </w:p>
    <w:p>
      <w:r/>
      <w:r>
        <w:t xml:space="preserve">Em </w:t>
      </w:r>
      <w:hyperlink r:id="rId91">
        <w:r>
          <w:rPr>
            <w:color w:val="0000EE"/>
            <w:u w:val="single"/>
          </w:rPr>
          <w:t>Gênesis 20.1–18</w:t>
        </w:r>
      </w:hyperlink>
      <w:r>
        <w:t>, Abraão novamente apresentou Sara como sua irmã e teve problemas com Abimeleque, rei de Gerar.</w:t>
      </w:r>
    </w:p>
    <w:p>
      <w:r/>
      <w:r>
        <w:t>Isaque</w:t>
      </w:r>
    </w:p>
    <w:p>
      <w:r/>
      <w:r>
        <w:t>Quando Isaque nasceu (</w:t>
      </w:r>
      <w:hyperlink r:id="rId9832">
        <w:r>
          <w:rPr>
            <w:color w:val="0000EE"/>
            <w:u w:val="single"/>
          </w:rPr>
          <w:t>21.1–3</w:t>
        </w:r>
      </w:hyperlink>
      <w:r>
        <w:t>), surgiram problemas novamente entre Sara e Agar. Agar foi expulsa uma segunda vez, e mais uma vez, foi amparada pelo Senhor.</w:t>
      </w:r>
    </w:p>
    <w:p>
      <w:r/>
      <w:r>
        <w:t>Uma discordância surgiu entre Abraão e Abimeleque sobre um poço, mas eles fizeram uma aliança de paz em Berseba (</w:t>
      </w:r>
      <w:hyperlink r:id="rId13262">
        <w:r>
          <w:rPr>
            <w:color w:val="0000EE"/>
            <w:u w:val="single"/>
          </w:rPr>
          <w:t>21.25–34</w:t>
        </w:r>
      </w:hyperlink>
      <w:r>
        <w:t>).</w:t>
      </w:r>
    </w:p>
    <w:p>
      <w:r/>
      <w:r>
        <w:t>Deus testou a fé de Abraão pedindo-lhe para sacrificar Isaque no Monte Moriá, que provavelmente é o mesmo local que Davi comprou de Araúna, o jebuseu (</w:t>
      </w:r>
      <w:hyperlink r:id="rId13263">
        <w:r>
          <w:rPr>
            <w:color w:val="0000EE"/>
            <w:u w:val="single"/>
          </w:rPr>
          <w:t>2Sm 24.16–25</w:t>
        </w:r>
      </w:hyperlink>
      <w:r>
        <w:t>), o lugar onde o templo deveria estar. Como Abraão estava prestes a usar a faca, Deus o chamou e lhe mostrou um carneiro preso em um arbusto. Isaque foi libertado e o animal foi sacrificado em seu lugar.</w:t>
      </w:r>
    </w:p>
    <w:p>
      <w:r/>
      <w:r>
        <w:t xml:space="preserve">Sara morreu em Hebrom, e Abraão comprou a caverna de Macpela como um lugar de sepultamento de Efrão, o hitita (capítulo </w:t>
      </w:r>
      <w:hyperlink r:id="rId179">
        <w:r>
          <w:rPr>
            <w:color w:val="0000EE"/>
            <w:u w:val="single"/>
          </w:rPr>
          <w:t>23</w:t>
        </w:r>
      </w:hyperlink>
      <w:r>
        <w:t xml:space="preserve">), em uma transação típica dos negócios do Oriente Próximo. Para encontrar uma esposa para Isaque, Abraão enviou seu servo Eliezer de volta para a terra de Harã, e o Senhor dirigiu Eliezer a Rebeca (capítulo </w:t>
      </w:r>
      <w:hyperlink r:id="rId11374">
        <w:r>
          <w:rPr>
            <w:color w:val="0000EE"/>
            <w:u w:val="single"/>
          </w:rPr>
          <w:t>24</w:t>
        </w:r>
      </w:hyperlink>
      <w:r>
        <w:t>).</w:t>
      </w:r>
    </w:p>
    <w:p>
      <w:r/>
      <w:r>
        <w:t xml:space="preserve">O Capítulo </w:t>
      </w:r>
      <w:hyperlink r:id="rId13264">
        <w:r>
          <w:rPr>
            <w:color w:val="0000EE"/>
            <w:u w:val="single"/>
          </w:rPr>
          <w:t>25</w:t>
        </w:r>
      </w:hyperlink>
      <w:r>
        <w:t xml:space="preserve"> registra o casamento de Abraão com Quetura, que lhe deu vários filhos. Abraão morreu com a idade de 175 anos e foi enterrado na caverna de Macpela por seus dois filhos, Isaque e Ismael.</w:t>
      </w:r>
    </w:p>
    <w:p>
      <w:pPr>
        <w:pStyle w:val="Heading4"/>
      </w:pPr>
      <w:r>
        <w:t>A história de Jacó e Esaú (25.19–37.1)</w:t>
      </w:r>
    </w:p>
    <w:p>
      <w:r/>
      <w:r>
        <w:t>Rebeca deu à luz filhos gêmeos, Esaú e Jacó. Quando os meninos cresceram, Esaú vendeu seu direito de primogenitura a Jacó por um prato de ensopado vermelho (</w:t>
      </w:r>
      <w:hyperlink r:id="rId13265">
        <w:r>
          <w:rPr>
            <w:color w:val="0000EE"/>
            <w:u w:val="single"/>
          </w:rPr>
          <w:t>25.27–34</w:t>
        </w:r>
      </w:hyperlink>
      <w:r>
        <w:t>).</w:t>
      </w:r>
    </w:p>
    <w:p>
      <w:r/>
      <w:r>
        <w:t xml:space="preserve">Quando a fome chegou à terra, Isaque foi para Gerar, como seu pai havia feito (capítulo </w:t>
      </w:r>
      <w:hyperlink r:id="rId91">
        <w:r>
          <w:rPr>
            <w:color w:val="0000EE"/>
            <w:u w:val="single"/>
          </w:rPr>
          <w:t>20</w:t>
        </w:r>
      </w:hyperlink>
      <w:r>
        <w:t>), e repetiu a mentira de seu pai chamando sua esposa de sua irmã (</w:t>
      </w:r>
      <w:hyperlink r:id="rId94">
        <w:r>
          <w:rPr>
            <w:color w:val="0000EE"/>
            <w:u w:val="single"/>
          </w:rPr>
          <w:t>26.1–11</w:t>
        </w:r>
      </w:hyperlink>
      <w:r>
        <w:t xml:space="preserve">). Surgiram problemas com os filisteus sobre poços, mas Isaque era um homem pacífico e preferia cavar novos poços em vez de lutar por poços antigos (vv. </w:t>
      </w:r>
      <w:hyperlink r:id="rId13266">
        <w:r>
          <w:rPr>
            <w:color w:val="0000EE"/>
            <w:u w:val="single"/>
          </w:rPr>
          <w:t>17–33</w:t>
        </w:r>
      </w:hyperlink>
      <w:r>
        <w:t>).</w:t>
      </w:r>
    </w:p>
    <w:p>
      <w:r/>
      <w:r>
        <w:t>Na velhice de Isaque, quando sua visão já havia falhado, Rebeca conspirou com Jacó para enganar Isaque e fazer com que ele desse a Jacó a bênção do primogênito, que por direito pertencia a Esaú. Esta bênção oral tinha validade legal e era irrevogável, de acordo com as antigas tábuas de Nuzi. Temendo pela vida de Jacó nas mãos de Esaú, Rebeca decidiu enviar Jacó a Harã para encontrar uma esposa de seu próprio povo. Em Betel, Deus apareceu a Jacó em um sonho de uma escada que levava ao céu; Deus renovou com Jacó a promessa feita a Abraão e Isaque (</w:t>
      </w:r>
      <w:hyperlink r:id="rId26">
        <w:r>
          <w:rPr>
            <w:color w:val="0000EE"/>
            <w:u w:val="single"/>
          </w:rPr>
          <w:t>28.10–22</w:t>
        </w:r>
      </w:hyperlink>
      <w:r>
        <w:t>).</w:t>
      </w:r>
    </w:p>
    <w:p>
      <w:r/>
      <w:r>
        <w:t xml:space="preserve">Jacó chegou a Harã, encontrou seu tio Labão, e foi empregado por ele (capítulo </w:t>
      </w:r>
      <w:hyperlink r:id="rId3784">
        <w:r>
          <w:rPr>
            <w:color w:val="0000EE"/>
            <w:u w:val="single"/>
          </w:rPr>
          <w:t>29</w:t>
        </w:r>
      </w:hyperlink>
      <w:r>
        <w:t>). Seu salário por sete anos de trabalho deveriam ser a filha mais nova de Labão, Raquel, como sua esposa. Mas Labão substituiu por Lia, de modo que Jacó teve que trabalhar mais sete anos por Raquel. O Senhor fez Jacó prosperar, mas ele continuamente tinha problemas com Labão. O Senhor levou Jacó de volta para Canaã (</w:t>
      </w:r>
      <w:hyperlink r:id="rId13267">
        <w:r>
          <w:rPr>
            <w:color w:val="0000EE"/>
            <w:u w:val="single"/>
          </w:rPr>
          <w:t>31.3</w:t>
        </w:r>
      </w:hyperlink>
      <w:r>
        <w:t>), então ele saiu secretamente com suas esposas, filhos e propriedades. Labão os perseguiu porque seus deuses domésticos estavam desaparecidos (a posse desses “deuses” tornava o detentor herdeiro da propriedade do dono, de acordo com o costume de Nuzi). Raquel os havia tomado, mas os escondeu com sucesso de seu pai, e Labão voltou para Harã.</w:t>
      </w:r>
    </w:p>
    <w:p>
      <w:r/>
      <w:r>
        <w:t xml:space="preserve">Temendo um encontro com Esaú enquanto eles atravessavam Edom, Jacó enviou presentes a seu irmão e dividiu seu próprio grupo em dois campos por segurança. Nesta jornada de retorno, Jacó teve uma luta inesperada com o Anjo do Senhor, e ele foi deixado como um coxo e um novo nome, Israel (capítulo </w:t>
      </w:r>
      <w:hyperlink r:id="rId11411">
        <w:r>
          <w:rPr>
            <w:color w:val="0000EE"/>
            <w:u w:val="single"/>
          </w:rPr>
          <w:t>32</w:t>
        </w:r>
      </w:hyperlink>
      <w:r>
        <w:t>).</w:t>
      </w:r>
    </w:p>
    <w:p>
      <w:r/>
      <w:r>
        <w:t xml:space="preserve">O encontro com Esaú foi amigável, e Jacó foi para Siquém (capítulo </w:t>
      </w:r>
      <w:hyperlink r:id="rId13268">
        <w:r>
          <w:rPr>
            <w:color w:val="0000EE"/>
            <w:u w:val="single"/>
          </w:rPr>
          <w:t>33</w:t>
        </w:r>
      </w:hyperlink>
      <w:r>
        <w:t xml:space="preserve">), onde seus filhos mataram os siquemitas homens por causa do abuso sexual de sua irmã Diná (capítulo </w:t>
      </w:r>
      <w:hyperlink r:id="rId13269">
        <w:r>
          <w:rPr>
            <w:color w:val="0000EE"/>
            <w:u w:val="single"/>
          </w:rPr>
          <w:t>34</w:t>
        </w:r>
      </w:hyperlink>
      <w:r>
        <w:t>). Deus disse a Jacó para ir a Betel e construir um altar ao Senhor. Todos os ídolos de deuses estrangeiros foram enterrados (</w:t>
      </w:r>
      <w:hyperlink r:id="rId13270">
        <w:r>
          <w:rPr>
            <w:color w:val="0000EE"/>
            <w:u w:val="single"/>
          </w:rPr>
          <w:t>35.1–4</w:t>
        </w:r>
      </w:hyperlink>
      <w:r>
        <w:t xml:space="preserve">). Em Betel, Deus reafirmou sua promessa de uma posteridade e a terra (vv. </w:t>
      </w:r>
      <w:hyperlink r:id="rId11498">
        <w:r>
          <w:rPr>
            <w:color w:val="0000EE"/>
            <w:u w:val="single"/>
          </w:rPr>
          <w:t>9–15</w:t>
        </w:r>
      </w:hyperlink>
      <w:r>
        <w:t>). Raquel morreu no caminho para Belém, enquanto dava à luz Benjamim, o 12º e último filho de Jacó. Isaque morreu em Hebrom aos 180 anos de idade e foi enterrado na caverna de Macpelá por Esaú e Jacó.</w:t>
      </w:r>
    </w:p>
    <w:p>
      <w:r/>
      <w:hyperlink r:id="rId7548">
        <w:r>
          <w:rPr>
            <w:color w:val="0000EE"/>
            <w:u w:val="single"/>
          </w:rPr>
          <w:t>Gênesis 36</w:t>
        </w:r>
      </w:hyperlink>
      <w:r>
        <w:t xml:space="preserve"> registra “as gerações de Esaú” (v. </w:t>
      </w:r>
      <w:hyperlink r:id="rId11476">
        <w:r>
          <w:rPr>
            <w:color w:val="0000EE"/>
            <w:u w:val="single"/>
          </w:rPr>
          <w:t>1</w:t>
        </w:r>
      </w:hyperlink>
      <w:r>
        <w:t xml:space="preserve">). Aqui Esaú também é chamado Edom (“Vermelho”; cf. </w:t>
      </w:r>
      <w:hyperlink r:id="rId5577">
        <w:r>
          <w:rPr>
            <w:color w:val="0000EE"/>
            <w:u w:val="single"/>
          </w:rPr>
          <w:t>25.30</w:t>
        </w:r>
      </w:hyperlink>
      <w:r>
        <w:t>).</w:t>
      </w:r>
    </w:p>
    <w:p>
      <w:pPr>
        <w:pStyle w:val="Heading4"/>
      </w:pPr>
      <w:r>
        <w:t>A história de José (37.2–50.26)</w:t>
      </w:r>
    </w:p>
    <w:p>
      <w:r/>
      <w:r>
        <w:t>José era o filho favorito de Jacó e assim despertou o ciúme de seus irmãos. Isso foi intensificado pelos sonhos de José de senhorio sobre eles. Seu ressentimento contra José chegou a um clímax quando Jacó deu a José uma bela túnica. Os irmãos decidiram matar José, mas acabaram comprometendo-se a vendê-lo para uma caravana de mercadores, que o levaram ao Egito e o venderam como escravo a Potifar, um capitão da guarda egípcia (</w:t>
      </w:r>
      <w:hyperlink r:id="rId8158">
        <w:r>
          <w:rPr>
            <w:color w:val="0000EE"/>
            <w:u w:val="single"/>
          </w:rPr>
          <w:t>Gn 37.36</w:t>
        </w:r>
      </w:hyperlink>
      <w:r>
        <w:t xml:space="preserve">; </w:t>
      </w:r>
      <w:hyperlink r:id="rId8159">
        <w:r>
          <w:rPr>
            <w:color w:val="0000EE"/>
            <w:u w:val="single"/>
          </w:rPr>
          <w:t>39.1</w:t>
        </w:r>
      </w:hyperlink>
      <w:r>
        <w:t>).</w:t>
      </w:r>
    </w:p>
    <w:p>
      <w:r/>
      <w:r>
        <w:t xml:space="preserve">O capítulo </w:t>
      </w:r>
      <w:hyperlink r:id="rId13271">
        <w:r>
          <w:rPr>
            <w:color w:val="0000EE"/>
            <w:u w:val="single"/>
          </w:rPr>
          <w:t>38</w:t>
        </w:r>
      </w:hyperlink>
      <w:r>
        <w:t xml:space="preserve"> relaciona um caso histórico de casamento levirato. Judá falhou em dar sua nora viúva a seu terceiro filho. Ela o enganou para ser pai de filhos gêmeos e o forçou a reconhecer suas falhas. O filho mais velho, Perez, é nomeado na genealogia de Lucas de Jesus (</w:t>
      </w:r>
      <w:hyperlink r:id="rId1094">
        <w:r>
          <w:rPr>
            <w:color w:val="0000EE"/>
            <w:u w:val="single"/>
          </w:rPr>
          <w:t>Lc 3.33</w:t>
        </w:r>
      </w:hyperlink>
      <w:r>
        <w:t>).</w:t>
      </w:r>
    </w:p>
    <w:p>
      <w:r/>
      <w:r>
        <w:t>O Senhor abençoou José, que logo foi colocado no comando da casa de Potifar (</w:t>
      </w:r>
      <w:hyperlink r:id="rId13272">
        <w:r>
          <w:rPr>
            <w:color w:val="0000EE"/>
            <w:u w:val="single"/>
          </w:rPr>
          <w:t>Gn 39</w:t>
        </w:r>
      </w:hyperlink>
      <w:r>
        <w:t xml:space="preserve">). O jovem atraiu a atenção da esposa de Potifar, que, após muitas tentativas de seduzi-lo, finalmente o acusou de uma tentativa de estupro. Sentenciado por esta denúncia, José se encontrou com favor na prisão, onde ele teve a oportunidade de interpretar sonhos para dois dos servos do faraó (capítulo </w:t>
      </w:r>
      <w:hyperlink r:id="rId5498">
        <w:r>
          <w:rPr>
            <w:color w:val="0000EE"/>
            <w:u w:val="single"/>
          </w:rPr>
          <w:t>40</w:t>
        </w:r>
      </w:hyperlink>
      <w:r>
        <w:t>). Quando o rei teve sonhos que seus mágicos e homens sábios não poderiam interpretar, José foi convocado da prisão. José disse a Faraó que os sonhos significavam sete anos de fartura, seguidos por sete anos de fome. José foi então exaltado ao ofício de governador, ou primeiro-ministro, segundo apenas para o rei, e colocado no comando da administração da terra (</w:t>
      </w:r>
      <w:hyperlink r:id="rId13273">
        <w:r>
          <w:rPr>
            <w:color w:val="0000EE"/>
            <w:u w:val="single"/>
          </w:rPr>
          <w:t>41.37–44</w:t>
        </w:r>
      </w:hyperlink>
      <w:r>
        <w:t>).</w:t>
      </w:r>
    </w:p>
    <w:p>
      <w:r/>
      <w:r>
        <w:t>Quando a fome veio para a Palestina, Jacó enviou seus filhos para o Egito para comprar grãos. José reconheceu seus irmãos, mas não revelou sua identificação a eles. José os colocou à prova acusando-os de serem espiões (</w:t>
      </w:r>
      <w:hyperlink r:id="rId13274">
        <w:r>
          <w:rPr>
            <w:color w:val="0000EE"/>
            <w:u w:val="single"/>
          </w:rPr>
          <w:t>42.9</w:t>
        </w:r>
      </w:hyperlink>
      <w:r>
        <w:t xml:space="preserve">), mantendo um dos irmãos (Simeão) refém (v. </w:t>
      </w:r>
      <w:hyperlink r:id="rId13275">
        <w:r>
          <w:rPr>
            <w:color w:val="0000EE"/>
            <w:u w:val="single"/>
          </w:rPr>
          <w:t>19</w:t>
        </w:r>
      </w:hyperlink>
      <w:r>
        <w:t>), e exigindo que se eles viessem para o Egito novamente, eles deveriam trazer seu irmão mais novo com eles (</w:t>
      </w:r>
      <w:hyperlink r:id="rId13276">
        <w:r>
          <w:rPr>
            <w:color w:val="0000EE"/>
            <w:u w:val="single"/>
          </w:rPr>
          <w:t>42.20</w:t>
        </w:r>
      </w:hyperlink>
      <w:r>
        <w:t xml:space="preserve">; </w:t>
      </w:r>
      <w:hyperlink r:id="rId13277">
        <w:r>
          <w:rPr>
            <w:color w:val="0000EE"/>
            <w:u w:val="single"/>
          </w:rPr>
          <w:t>43.3</w:t>
        </w:r>
      </w:hyperlink>
      <w:r>
        <w:t>). A fome se tornou tão grave em Canaã (</w:t>
      </w:r>
      <w:hyperlink r:id="rId13278">
        <w:r>
          <w:rPr>
            <w:color w:val="0000EE"/>
            <w:u w:val="single"/>
          </w:rPr>
          <w:t>43.1</w:t>
        </w:r>
      </w:hyperlink>
      <w:r>
        <w:t xml:space="preserve">) que Jacó finalmente permitiu que Benjamim fosse com seus irmãos para o Egito. Os irmãos foram novamente enganados por José, que mandou colocar seu cálice de prata no saco de grãos de Benjamim e então o acusou como um ladrão (cp </w:t>
      </w:r>
      <w:hyperlink r:id="rId13279">
        <w:r>
          <w:rPr>
            <w:color w:val="0000EE"/>
            <w:u w:val="single"/>
          </w:rPr>
          <w:t>44</w:t>
        </w:r>
      </w:hyperlink>
      <w:r>
        <w:t>).</w:t>
      </w:r>
    </w:p>
    <w:p>
      <w:r/>
      <w:r>
        <w:t>Neste ponto, José revelou sua identidade aos seus irmãos (</w:t>
      </w:r>
      <w:hyperlink r:id="rId13280">
        <w:r>
          <w:rPr>
            <w:color w:val="0000EE"/>
            <w:u w:val="single"/>
          </w:rPr>
          <w:t>45.4–15</w:t>
        </w:r>
      </w:hyperlink>
      <w:r>
        <w:t xml:space="preserve">) e houve muita alegria. José apontou que foi Deus que o havia enviado para o Egito (vv. </w:t>
      </w:r>
      <w:hyperlink r:id="rId13281">
        <w:r>
          <w:rPr>
            <w:color w:val="0000EE"/>
            <w:u w:val="single"/>
          </w:rPr>
          <w:t>7–8</w:t>
        </w:r>
      </w:hyperlink>
      <w:r>
        <w:t>), a fim de preservar a vida de toda a família. Jacó foi então enviado para (</w:t>
      </w:r>
      <w:hyperlink r:id="rId3449">
        <w:r>
          <w:rPr>
            <w:color w:val="0000EE"/>
            <w:u w:val="single"/>
          </w:rPr>
          <w:t>46.1</w:t>
        </w:r>
      </w:hyperlink>
      <w:r>
        <w:t>), e José o encontrou na terra de Gósen (</w:t>
      </w:r>
      <w:hyperlink r:id="rId12047">
        <w:r>
          <w:rPr>
            <w:color w:val="0000EE"/>
            <w:u w:val="single"/>
          </w:rPr>
          <w:t>46.28–29</w:t>
        </w:r>
      </w:hyperlink>
      <w:r>
        <w:t>). Os israelitas foram designados a uma terra na região de Gósen, onde eles prosperaram (</w:t>
      </w:r>
      <w:hyperlink r:id="rId13282">
        <w:r>
          <w:rPr>
            <w:color w:val="0000EE"/>
            <w:u w:val="single"/>
          </w:rPr>
          <w:t>47.27</w:t>
        </w:r>
      </w:hyperlink>
      <w:r>
        <w:t>).</w:t>
      </w:r>
    </w:p>
    <w:p>
      <w:r/>
      <w:r>
        <w:t>Na enfermidade final de Jacó, José trouxe seus dois filhos, Manassés e Efraim, a seu pai para receberem a sua bênção. Jacó deu a bênção principal ao segundo filho, Efraim (</w:t>
      </w:r>
      <w:hyperlink r:id="rId11507">
        <w:r>
          <w:rPr>
            <w:color w:val="0000EE"/>
            <w:u w:val="single"/>
          </w:rPr>
          <w:t>48.13–20</w:t>
        </w:r>
      </w:hyperlink>
      <w:r>
        <w:t>). Jacó abençoou cada um de seus próprios filhos e então morreu com a idade de pelo menos 130 anos. José providenciou para que o corpo de Jacó fosse preparado para o sepultamento de acordo com o costume egípcio (</w:t>
      </w:r>
      <w:hyperlink r:id="rId2562">
        <w:r>
          <w:rPr>
            <w:color w:val="0000EE"/>
            <w:u w:val="single"/>
          </w:rPr>
          <w:t>50.2–3</w:t>
        </w:r>
      </w:hyperlink>
      <w:r>
        <w:t xml:space="preserve">). Após o sepultamento de seu pai na caverna de Macpela em Hebrom, os irmãos de José temiam a vingança, mas José declarou: "Quanto a mim, Deus transformou em bem o mal que vocês intentaram contra mim." Ele me trouxe para a alta posição que tenho hoje para que eu pudesse salvar a vida de muitas pessoas” (v. </w:t>
      </w:r>
      <w:hyperlink r:id="rId6845">
        <w:r>
          <w:rPr>
            <w:color w:val="0000EE"/>
            <w:u w:val="single"/>
          </w:rPr>
          <w:t>20</w:t>
        </w:r>
      </w:hyperlink>
      <w:r>
        <w:t>, NTLH). José morreu aos 110 anos de idade com o pedido profético de que quando os israelitas saíssem do Egito, levassem seus ossos com eles (</w:t>
      </w:r>
      <w:hyperlink r:id="rId12289">
        <w:r>
          <w:rPr>
            <w:color w:val="0000EE"/>
            <w:u w:val="single"/>
          </w:rPr>
          <w:t>50.25</w:t>
        </w:r>
      </w:hyperlink>
      <w:r>
        <w:t xml:space="preserve">; cp. </w:t>
      </w:r>
      <w:hyperlink r:id="rId12050">
        <w:r>
          <w:rPr>
            <w:color w:val="0000EE"/>
            <w:u w:val="single"/>
          </w:rPr>
          <w:t>Êx 13.19</w:t>
        </w:r>
      </w:hyperlink>
      <w:r>
        <w:t xml:space="preserve">; </w:t>
      </w:r>
      <w:hyperlink r:id="rId7168">
        <w:r>
          <w:rPr>
            <w:color w:val="0000EE"/>
            <w:u w:val="single"/>
          </w:rPr>
          <w:t>Js 24.32</w:t>
        </w:r>
      </w:hyperlink>
      <w:r>
        <w:t>).</w:t>
      </w:r>
    </w:p>
    <w:p>
      <w:r/>
      <w:r>
        <w:rPr>
          <w:i/>
        </w:rPr>
        <w:t>Veja também</w:t>
      </w:r>
      <w:r>
        <w:t xml:space="preserve"> </w:t>
      </w:r>
      <w:r>
        <w:t>Abraão</w:t>
      </w:r>
      <w:r>
        <w:t xml:space="preserve">; </w:t>
      </w:r>
      <w:r>
        <w:t>Adão (Pessoa)</w:t>
      </w:r>
      <w:r>
        <w:t xml:space="preserve">; </w:t>
      </w:r>
      <w:r>
        <w:t>Aliança</w:t>
      </w:r>
      <w:r>
        <w:t xml:space="preserve">; </w:t>
      </w:r>
      <w:r>
        <w:t>Criação</w:t>
      </w:r>
      <w:r>
        <w:t xml:space="preserve">; </w:t>
      </w:r>
      <w:r>
        <w:t>Eva</w:t>
      </w:r>
      <w:r>
        <w:t xml:space="preserve">; </w:t>
      </w:r>
      <w:r>
        <w:t>Queda do Homem</w:t>
      </w:r>
      <w:r>
        <w:t xml:space="preserve">; </w:t>
      </w:r>
      <w:r>
        <w:t>O Dilúvio,</w:t>
      </w:r>
      <w:r>
        <w:t xml:space="preserve">; </w:t>
      </w:r>
      <w:r>
        <w:t>Isaque</w:t>
      </w:r>
      <w:r>
        <w:t xml:space="preserve">; </w:t>
      </w:r>
      <w:r>
        <w:t>Jacó #1</w:t>
      </w:r>
      <w:r>
        <w:t xml:space="preserve">; </w:t>
      </w:r>
      <w:r>
        <w:t>José #1</w:t>
      </w:r>
      <w:r>
        <w:t xml:space="preserve">; </w:t>
      </w:r>
      <w:r>
        <w:t>Nações</w:t>
      </w:r>
      <w:r>
        <w:t xml:space="preserve">; </w:t>
      </w:r>
      <w:r>
        <w:t>Noé #1</w:t>
      </w:r>
      <w:r>
        <w:t xml:space="preserve">; </w:t>
      </w:r>
      <w:r>
        <w:t>Período dos Patriarcas</w:t>
      </w:r>
      <w:r>
        <w:t>.</w:t>
      </w:r>
      <w:r/>
      <w:r/>
    </w:p>
    <w:p>
      <w:r/>
    </w:p>
    <w:p>
      <w:pPr>
        <w:pStyle w:val="Heading2"/>
      </w:pPr>
      <w:r>
        <w:t>Ló</w:t>
      </w:r>
      <w:r/>
    </w:p>
    <w:p>
      <w:r/>
      <w:r>
        <w:t>Sobrinho de Abraão e ancestral tanto dos moabitas quanto dos amonitas. Assim como Abraão, ele nasceu em Ur. Após a morte do pai de Ló, seu avô Tera cuidou dele. Ele viajou com Tera e seu tio Abrão para Harã (</w:t>
      </w:r>
      <w:hyperlink r:id="rId13283">
        <w:r>
          <w:rPr>
            <w:color w:val="0000EE"/>
            <w:u w:val="single"/>
          </w:rPr>
          <w:t>Gn 11.27–32</w:t>
        </w:r>
      </w:hyperlink>
      <w:r>
        <w:t>). Quando Tera morreu, Ló juntou-se a Abrão na jornada para Canaã e depois para o Egito antes de retornar a Canaã.</w:t>
      </w:r>
    </w:p>
    <w:p>
      <w:r/>
      <w:r>
        <w:t>Quando eles voltaram, Ló e Abrão tinham muitos animais para viver na mesma área. Abrão foi gentil e deixou Ló escolher primeiro onde queria morar. Ló escolheu o Vale do Jordão porque tinha boas terras para plantar. O vale era bonito como o "jardim do SENHOR" antes do julgamento de Deus sobre a região (</w:t>
      </w:r>
      <w:hyperlink r:id="rId2327">
        <w:r>
          <w:rPr>
            <w:color w:val="0000EE"/>
            <w:u w:val="single"/>
          </w:rPr>
          <w:t>Gn 13.10</w:t>
        </w:r>
      </w:hyperlink>
      <w:r>
        <w:t>). Ló se mudou para a cidade de Sodoma e começou a participar das coisas más que aconteciam lá.</w:t>
      </w:r>
    </w:p>
    <w:p>
      <w:r/>
      <w:r>
        <w:t>Enquanto Ló vivia em Sodoma, quatro reis da Mesopotâmia derrotaram os reis de cinco cidades próximas, incluindo Sodoma. Eles provavelmente governavam pequenas cidades- estados. Os reis capturaram Ló, sua família e seus bens. Ao ouvir isso, Abrão liderou um grupo para resgatar Ló. Ele derrotou os reis invasores e recuperou os cativos e o saque em Hobá, ao norte de Damasco (</w:t>
      </w:r>
      <w:hyperlink r:id="rId1116">
        <w:r>
          <w:rPr>
            <w:color w:val="0000EE"/>
            <w:u w:val="single"/>
          </w:rPr>
          <w:t>Gn 14</w:t>
        </w:r>
      </w:hyperlink>
      <w:r>
        <w:t>).</w:t>
      </w:r>
    </w:p>
    <w:p>
      <w:r/>
      <w:r>
        <w:t>Mais tarde, dois anjos visitaram Ló em Sodoma para instá-lo a deixar a cidade antes de sua destruição. O comportamento maligno de Sodoma ficou evidente quando os habitantes tentaram agredir os visitantes. Quando Ló ofereceu suas filhas para serem tomadas pelos habitantes em vez disso, mostrou que viver entre pessoas más o havia mudado. Ló não queria deixar Sodoma a princípio. Seus futuros genros se recusaram a ir com ele. Sua esposa olhou para trás, para a cidade enquanto estavam saindo, e Deus a transformou em uma estátua de sal (</w:t>
      </w:r>
      <w:hyperlink r:id="rId172">
        <w:r>
          <w:rPr>
            <w:color w:val="0000EE"/>
            <w:u w:val="single"/>
          </w:rPr>
          <w:t>Gn 19</w:t>
        </w:r>
      </w:hyperlink>
      <w:r>
        <w:t>).</w:t>
      </w:r>
    </w:p>
    <w:p>
      <w:r/>
      <w:r>
        <w:t>O que aconteceu a seguir é muito preocupante. As filhas de Ló pensaram que nunca encontrariam maridos. Então, elas embebedaram seu pai e dormiram com ele. Cada filha teve um filho. Um filho foi chamado Moabe, e o outro foi chamado Ben-Ami. Esses filhos cresceram e fundaram dois grupos diferentes de pessoas, os moabitas e os amonitas. Esses grupos mais tarde se tornaram inimigos de Israel (</w:t>
      </w:r>
      <w:hyperlink r:id="rId10993">
        <w:r>
          <w:rPr>
            <w:color w:val="0000EE"/>
            <w:u w:val="single"/>
          </w:rPr>
          <w:t>Gn 19.30–38</w:t>
        </w:r>
      </w:hyperlink>
      <w:r>
        <w:t>).</w:t>
      </w:r>
    </w:p>
    <w:p>
      <w:r/>
      <w:r>
        <w:t>Embora Ló tenha cometido muitos erros, o Novo Testamento o chama de "homem justo" (</w:t>
      </w:r>
      <w:hyperlink r:id="rId13284">
        <w:r>
          <w:rPr>
            <w:color w:val="0000EE"/>
            <w:u w:val="single"/>
          </w:rPr>
          <w:t>2Pe 2.7–9</w:t>
        </w:r>
      </w:hyperlink>
      <w:r>
        <w:t>). Isso significa que, porque Ló confiava em Deus, Deus o aceitou. Algumas pessoas questionam se a história de Ló e a destruição de Sodoma realmente aconteceram. Mas o próprio Jesus disse que esses eventos foram verdadeiros (</w:t>
      </w:r>
      <w:hyperlink r:id="rId13285">
        <w:r>
          <w:rPr>
            <w:color w:val="0000EE"/>
            <w:u w:val="single"/>
          </w:rPr>
          <w:t>Lc 17.28–29</w:t>
        </w:r>
      </w:hyperlink>
      <w:r>
        <w:t>).</w:t>
      </w:r>
    </w:p>
    <w:p>
      <w:r/>
      <w:r>
        <w:rPr>
          <w:i/>
        </w:rPr>
        <w:t>Veja também</w:t>
      </w:r>
      <w:r>
        <w:t xml:space="preserve"> </w:t>
      </w:r>
      <w:r>
        <w:t>Sodoma e Gomorra</w:t>
      </w:r>
      <w:r>
        <w:t>.</w:t>
      </w:r>
      <w:r/>
      <w:r/>
    </w:p>
    <w:p>
      <w:r/>
    </w:p>
    <w:p>
      <w:pPr>
        <w:pStyle w:val="Heading2"/>
      </w:pPr>
      <w:r>
        <w:t>Lode</w:t>
      </w:r>
      <w:r/>
    </w:p>
    <w:p>
      <w:r/>
      <w:r>
        <w:t>Cidade na planície costeira da Palestina. A cidade moderna, chamada Lod, está localizada a 10 milhas (16,1 quilômetros) a sudeste de Tel Aviv. O nome da cidade aparece pela primeira vez em uma lista de cidades cananeias que remonta a 1465 a.C., durante o reinado do faraó egípcio Tutmés III, que forneceu a lista. Diz-se que o fundador da cidade foi Semede, um benjamita (</w:t>
      </w:r>
      <w:hyperlink r:id="rId7532">
        <w:r>
          <w:rPr>
            <w:color w:val="0000EE"/>
            <w:u w:val="single"/>
          </w:rPr>
          <w:t>1Cr 8.12</w:t>
        </w:r>
      </w:hyperlink>
      <w:r>
        <w:t>). Está incluída em uma lista de lugares que foram reassentados por exilados retornados da Babilônia (</w:t>
      </w:r>
      <w:hyperlink r:id="rId13286">
        <w:r>
          <w:rPr>
            <w:color w:val="0000EE"/>
            <w:u w:val="single"/>
          </w:rPr>
          <w:t>Ed 2.33</w:t>
        </w:r>
      </w:hyperlink>
      <w:r>
        <w:t xml:space="preserve">; </w:t>
      </w:r>
      <w:hyperlink r:id="rId13287">
        <w:r>
          <w:rPr>
            <w:color w:val="0000EE"/>
            <w:u w:val="single"/>
          </w:rPr>
          <w:t>Ne 7.37</w:t>
        </w:r>
      </w:hyperlink>
      <w:r>
        <w:t>), e está incluída na lista de assentamentos benjamitas (</w:t>
      </w:r>
      <w:hyperlink r:id="rId13288">
        <w:r>
          <w:rPr>
            <w:color w:val="0000EE"/>
            <w:u w:val="single"/>
          </w:rPr>
          <w:t>Ne 11.35</w:t>
        </w:r>
      </w:hyperlink>
      <w:r>
        <w:t>). A história da cidade pode ser traçada continuamente desde os tempos macabeus, passando pelo período romano, incluindo as primeira e segunda guerras judaicas contra os romanos, até os períodos bizantino e cruzado, até os tempos modernos.</w:t>
      </w:r>
    </w:p>
    <w:p>
      <w:r/>
      <w:r>
        <w:t>No período do Novo Testamento, fontes judaicas enfatizam a importância da cidade, na época chamada Lida. Ela tinha um grande mercado e era conhecida pela criação de gado. As indústrias têxtil, de tingimento e de cerâmica floresciam ali. Era a sede de um Sinédrio, e famosos estudiosos talmúdicos ensinavam lá. Esta, então, era o tipo de comunidade próspera e movimentada que existia quando Pedro visitou a cidade e ministrou aos seus cristãos (</w:t>
      </w:r>
      <w:hyperlink r:id="rId13289">
        <w:r>
          <w:rPr>
            <w:color w:val="0000EE"/>
            <w:u w:val="single"/>
          </w:rPr>
          <w:t>At 9.32–35</w:t>
        </w:r>
      </w:hyperlink>
      <w:r>
        <w:t>).</w:t>
      </w:r>
      <w:r/>
      <w:r/>
    </w:p>
    <w:p>
      <w:r/>
    </w:p>
    <w:p>
      <w:pPr>
        <w:pStyle w:val="Heading2"/>
      </w:pPr>
      <w:r>
        <w:t>Logue</w:t>
      </w:r>
      <w:r/>
    </w:p>
    <w:p>
      <w:r/>
      <w:r>
        <w:t xml:space="preserve">Transliteração de uma medida líquida em hebraico que ocorre apenas em </w:t>
      </w:r>
      <w:hyperlink r:id="rId12898">
        <w:r>
          <w:rPr>
            <w:color w:val="0000EE"/>
            <w:u w:val="single"/>
          </w:rPr>
          <w:t>Levítico 14</w:t>
        </w:r>
      </w:hyperlink>
      <w:r>
        <w:t>. O logue era equivalente a 1/3 de um litro. Há uma variedade de traduções nas Bíblias em português com algumas colocando literalmente "logue" (ARC 1995 e TB2010) ou vários outros termos como "caneca", "copo" ou "sextário".</w:t>
      </w:r>
    </w:p>
    <w:p>
      <w:r/>
      <w:r>
        <w:rPr>
          <w:i/>
        </w:rPr>
        <w:t xml:space="preserve">Veja </w:t>
      </w:r>
      <w:r>
        <w:t>Pesos e medidas</w:t>
      </w:r>
      <w:r>
        <w:t>.</w:t>
      </w:r>
      <w:r/>
      <w:r/>
    </w:p>
    <w:p>
      <w:r/>
    </w:p>
    <w:p>
      <w:pPr>
        <w:pStyle w:val="Heading2"/>
      </w:pPr>
      <w:r>
        <w:t>Loide, Lóide</w:t>
      </w:r>
      <w:r/>
    </w:p>
    <w:p>
      <w:r/>
      <w:r>
        <w:t>A avó de Timóteo (</w:t>
      </w:r>
      <w:hyperlink r:id="rId7588">
        <w:r>
          <w:rPr>
            <w:color w:val="0000EE"/>
            <w:u w:val="single"/>
          </w:rPr>
          <w:t>2Tm 1.5</w:t>
        </w:r>
      </w:hyperlink>
      <w:r>
        <w:t>). Sua família, incluindo a mãe de Timóteo, Eunice, vivia em Listra (</w:t>
      </w:r>
      <w:hyperlink r:id="rId6697">
        <w:r>
          <w:rPr>
            <w:color w:val="0000EE"/>
            <w:u w:val="single"/>
          </w:rPr>
          <w:t>At 16.1</w:t>
        </w:r>
      </w:hyperlink>
      <w:r>
        <w:t xml:space="preserve">). Loide era uma judia comprometida. Ela parece ter se convertido ao cristianismo durante a primeira viagem missionária de Paulo (capítulo </w:t>
      </w:r>
      <w:hyperlink r:id="rId2885">
        <w:r>
          <w:rPr>
            <w:color w:val="0000EE"/>
            <w:u w:val="single"/>
          </w:rPr>
          <w:t>14</w:t>
        </w:r>
      </w:hyperlink>
      <w:r>
        <w:t>). Paulo comenta que Timóteo compartilhava a fé de sua avó e mãe.</w:t>
      </w:r>
      <w:r/>
      <w:r/>
    </w:p>
    <w:p>
      <w:r/>
    </w:p>
    <w:p>
      <w:pPr>
        <w:pStyle w:val="Heading2"/>
      </w:pPr>
      <w:r>
        <w:t>Lombos</w:t>
      </w:r>
      <w:r/>
    </w:p>
    <w:p>
      <w:r/>
      <w:r>
        <w:t>Uma região do corpo que vai do peito até a parte inferior do quadril.</w:t>
      </w:r>
    </w:p>
    <w:p>
      <w:r/>
      <w:r>
        <w:t>Algumas traduções usam a expressão "dos seus lombos" para se referir aos descendentes de alguém (</w:t>
      </w:r>
      <w:hyperlink r:id="rId13290">
        <w:r>
          <w:rPr>
            <w:color w:val="0000EE"/>
            <w:u w:val="single"/>
          </w:rPr>
          <w:t>Gn 35.11</w:t>
        </w:r>
      </w:hyperlink>
      <w:r>
        <w:t xml:space="preserve">; </w:t>
      </w:r>
      <w:hyperlink r:id="rId4488">
        <w:r>
          <w:rPr>
            <w:color w:val="0000EE"/>
            <w:u w:val="single"/>
          </w:rPr>
          <w:t>46.26</w:t>
        </w:r>
      </w:hyperlink>
      <w:r>
        <w:t xml:space="preserve">; </w:t>
      </w:r>
      <w:hyperlink r:id="rId896">
        <w:r>
          <w:rPr>
            <w:color w:val="0000EE"/>
            <w:u w:val="single"/>
          </w:rPr>
          <w:t>Êx 1.5</w:t>
        </w:r>
      </w:hyperlink>
      <w:r>
        <w:t xml:space="preserve">; </w:t>
      </w:r>
      <w:hyperlink r:id="rId13291">
        <w:r>
          <w:rPr>
            <w:color w:val="0000EE"/>
            <w:u w:val="single"/>
          </w:rPr>
          <w:t>1Rs 8.19</w:t>
        </w:r>
      </w:hyperlink>
      <w:r>
        <w:t xml:space="preserve">). O termo "lombos" neste contexto refere-se à área reprodutiva do corpo masculino. Na maioria dos casos, significa características físicas. Às vezes, o termo "lombos" refere-se a emoção, poder ou força (veja </w:t>
      </w:r>
      <w:hyperlink r:id="rId13292">
        <w:r>
          <w:rPr>
            <w:color w:val="0000EE"/>
            <w:u w:val="single"/>
          </w:rPr>
          <w:t>Na 2.1</w:t>
        </w:r>
      </w:hyperlink>
      <w:r>
        <w:t>).</w:t>
      </w:r>
    </w:p>
    <w:p>
      <w:r/>
      <w:r>
        <w:t>Nos tempos antigos, os hebreus e outros povos do Oriente Médio amarravam suas longas vestes na cintura antes de caminhar longas distâncias (</w:t>
      </w:r>
      <w:hyperlink r:id="rId13293">
        <w:r>
          <w:rPr>
            <w:color w:val="0000EE"/>
            <w:u w:val="single"/>
          </w:rPr>
          <w:t>Êx 12.11</w:t>
        </w:r>
      </w:hyperlink>
      <w:r>
        <w:t xml:space="preserve">; </w:t>
      </w:r>
      <w:hyperlink r:id="rId13294">
        <w:r>
          <w:rPr>
            <w:color w:val="0000EE"/>
            <w:u w:val="single"/>
          </w:rPr>
          <w:t>1Rs 18.46</w:t>
        </w:r>
      </w:hyperlink>
      <w:r>
        <w:t xml:space="preserve">; </w:t>
      </w:r>
      <w:hyperlink r:id="rId13295">
        <w:r>
          <w:rPr>
            <w:color w:val="0000EE"/>
            <w:u w:val="single"/>
          </w:rPr>
          <w:t>2Rs 9.1</w:t>
        </w:r>
      </w:hyperlink>
      <w:r>
        <w:t>). Isso facilitava caminhar ou correr. No Novo Testamento, quando alguém é descrito como tendo suas roupas amarradas na cintura, significa que estavam prontos para a ação ou batalha (</w:t>
      </w:r>
      <w:hyperlink r:id="rId13296">
        <w:r>
          <w:rPr>
            <w:color w:val="0000EE"/>
            <w:u w:val="single"/>
          </w:rPr>
          <w:t>Lc 12.35</w:t>
        </w:r>
      </w:hyperlink>
      <w:r>
        <w:t>). A Bíblia também usa essa imagem como um símbolo. Quando fala sobre "cingir os lombos," significa estar preparado e no controle de si mesmo (</w:t>
      </w:r>
      <w:hyperlink r:id="rId13297">
        <w:r>
          <w:rPr>
            <w:color w:val="0000EE"/>
            <w:u w:val="single"/>
          </w:rPr>
          <w:t>Ef 6.14</w:t>
        </w:r>
      </w:hyperlink>
      <w:r>
        <w:t xml:space="preserve">; </w:t>
      </w:r>
      <w:hyperlink r:id="rId13298">
        <w:r>
          <w:rPr>
            <w:color w:val="0000EE"/>
            <w:u w:val="single"/>
          </w:rPr>
          <w:t>1Pe 1.13</w:t>
        </w:r>
      </w:hyperlink>
      <w:r>
        <w:t>).</w:t>
      </w:r>
      <w:r/>
      <w:r/>
    </w:p>
    <w:p>
      <w:r/>
    </w:p>
    <w:p>
      <w:pPr>
        <w:pStyle w:val="Heading2"/>
      </w:pPr>
      <w:r>
        <w:t>Longanimidade</w:t>
      </w:r>
      <w:r/>
    </w:p>
    <w:p>
      <w:r/>
      <w:r>
        <w:t>O termo "longanimidade" descreve a capacidade de uma pessoa de permanecer paciente e suportar dificuldades por um longo tempo sem ficar com raiva ou chateada. A palavra aparece quatro vezes no Antigo Testamento (</w:t>
      </w:r>
      <w:hyperlink r:id="rId10123">
        <w:r>
          <w:rPr>
            <w:color w:val="0000EE"/>
            <w:u w:val="single"/>
          </w:rPr>
          <w:t>Êx 34.6</w:t>
        </w:r>
      </w:hyperlink>
      <w:r>
        <w:t xml:space="preserve">; </w:t>
      </w:r>
      <w:hyperlink r:id="rId6795">
        <w:r>
          <w:rPr>
            <w:color w:val="0000EE"/>
            <w:u w:val="single"/>
          </w:rPr>
          <w:t>Nm 14.18</w:t>
        </w:r>
      </w:hyperlink>
      <w:r>
        <w:t xml:space="preserve">; </w:t>
      </w:r>
      <w:hyperlink r:id="rId1158">
        <w:r>
          <w:rPr>
            <w:color w:val="0000EE"/>
            <w:u w:val="single"/>
          </w:rPr>
          <w:t>Sl 86.15</w:t>
        </w:r>
      </w:hyperlink>
      <w:r>
        <w:t xml:space="preserve">; </w:t>
      </w:r>
      <w:hyperlink r:id="rId13299">
        <w:r>
          <w:rPr>
            <w:color w:val="0000EE"/>
            <w:u w:val="single"/>
          </w:rPr>
          <w:t>Jr 15.15</w:t>
        </w:r>
      </w:hyperlink>
      <w:r>
        <w:t>). O Novo Testamento usa essa palavra 13 vezes. Traduções modernas da Bíblia frequentemente usam palavras como "paciência," "perseverança," ou "tolerância" em vez disso.</w:t>
      </w:r>
    </w:p>
    <w:p>
      <w:r/>
      <w:r>
        <w:t>A Bíblia usa esse termo com mais frequência para descrever o caráter de Deus (</w:t>
      </w:r>
      <w:hyperlink r:id="rId5493">
        <w:r>
          <w:rPr>
            <w:color w:val="0000EE"/>
            <w:u w:val="single"/>
          </w:rPr>
          <w:t>Rm 2.4</w:t>
        </w:r>
      </w:hyperlink>
      <w:r>
        <w:t>). Um Deus santo deve punir o pecado. No entanto, sua natureza amorosa adia essa punição. Deus dá às pessoas tempo para se afastarem de seus pecados (arrependerem-se) e voltarem para ele (</w:t>
      </w:r>
      <w:hyperlink r:id="rId13300">
        <w:r>
          <w:rPr>
            <w:color w:val="0000EE"/>
            <w:u w:val="single"/>
          </w:rPr>
          <w:t>1Tm 1.16</w:t>
        </w:r>
      </w:hyperlink>
      <w:r>
        <w:t xml:space="preserve">; </w:t>
      </w:r>
      <w:hyperlink r:id="rId931">
        <w:r>
          <w:rPr>
            <w:color w:val="0000EE"/>
            <w:u w:val="single"/>
          </w:rPr>
          <w:t>1Pe 3.20</w:t>
        </w:r>
      </w:hyperlink>
      <w:r>
        <w:t>). Longanimidade também é uma virtude cristã, um "fruto do Espírito" (</w:t>
      </w:r>
      <w:hyperlink r:id="rId720">
        <w:r>
          <w:rPr>
            <w:color w:val="0000EE"/>
            <w:u w:val="single"/>
          </w:rPr>
          <w:t>Gl 5.22</w:t>
        </w:r>
      </w:hyperlink>
      <w:r>
        <w:t>). Os cristãos devem demonstrar esse mesmo tipo de paciência na forma como tratam uns aos outros.</w:t>
      </w:r>
      <w:r/>
      <w:r/>
    </w:p>
    <w:p>
      <w:r/>
    </w:p>
    <w:p>
      <w:pPr>
        <w:pStyle w:val="Heading2"/>
      </w:pPr>
      <w:r>
        <w:t>Lotã</w:t>
      </w:r>
      <w:r/>
    </w:p>
    <w:p>
      <w:r/>
      <w:r>
        <w:t>O filho mais velho de Seir (</w:t>
      </w:r>
      <w:hyperlink r:id="rId10636">
        <w:r>
          <w:rPr>
            <w:color w:val="0000EE"/>
            <w:u w:val="single"/>
          </w:rPr>
          <w:t>Gn 36.20</w:t>
        </w:r>
      </w:hyperlink>
      <w:r>
        <w:t xml:space="preserve">) e um chefe dos habitantes nativos horitas de Edom (vv. </w:t>
      </w:r>
      <w:hyperlink r:id="rId13301">
        <w:r>
          <w:rPr>
            <w:color w:val="0000EE"/>
            <w:u w:val="single"/>
          </w:rPr>
          <w:t>22,29</w:t>
        </w:r>
      </w:hyperlink>
      <w:r>
        <w:t>). Lotã teve dois filhos, Hori e Homã (</w:t>
      </w:r>
      <w:hyperlink r:id="rId13302">
        <w:r>
          <w:rPr>
            <w:color w:val="0000EE"/>
            <w:u w:val="single"/>
          </w:rPr>
          <w:t>1Cr 1.38–39</w:t>
        </w:r>
      </w:hyperlink>
      <w:r>
        <w:t>).</w:t>
      </w:r>
      <w:r/>
      <w:r/>
    </w:p>
    <w:p>
      <w:r/>
    </w:p>
    <w:p>
      <w:pPr>
        <w:pStyle w:val="Heading2"/>
      </w:pPr>
      <w:r>
        <w:t>Louvor</w:t>
      </w:r>
      <w:r/>
    </w:p>
    <w:p>
      <w:r/>
      <w:r>
        <w:t>Honra, elogio e adoração.</w:t>
      </w:r>
    </w:p>
    <w:p>
      <w:pPr>
        <w:pStyle w:val="Heading3"/>
      </w:pPr>
      <w:r>
        <w:t>A quem o louvor é oferecido</w:t>
      </w:r>
    </w:p>
    <w:p>
      <w:r/>
      <w:r>
        <w:t xml:space="preserve">O único Senhor que é Deus sobre todos é o único digno de louvor. Frequentemente, o AT enfatiza que o louvor devido a ele não deve ser oferecido a outros deuses ou a ídolos de qualquer tipo (por exemplo, </w:t>
      </w:r>
      <w:hyperlink r:id="rId10001">
        <w:r>
          <w:rPr>
            <w:color w:val="0000EE"/>
            <w:u w:val="single"/>
          </w:rPr>
          <w:t>Is 42.8</w:t>
        </w:r>
      </w:hyperlink>
      <w:r>
        <w:t>). Há um lugar para o elogio de homens e mulheres por suas qualidades de vida e suas ações corretas (</w:t>
      </w:r>
      <w:hyperlink r:id="rId13303">
        <w:r>
          <w:rPr>
            <w:color w:val="0000EE"/>
            <w:u w:val="single"/>
          </w:rPr>
          <w:t>Pv 31.28–31</w:t>
        </w:r>
      </w:hyperlink>
      <w:r>
        <w:t xml:space="preserve">; </w:t>
      </w:r>
      <w:hyperlink r:id="rId10095">
        <w:r>
          <w:rPr>
            <w:color w:val="0000EE"/>
            <w:u w:val="single"/>
          </w:rPr>
          <w:t>1Pe 2.14</w:t>
        </w:r>
      </w:hyperlink>
      <w:r>
        <w:t>). No entanto, em última análise, eles devem buscar o louvor e a recomendação de Deus (</w:t>
      </w:r>
      <w:hyperlink r:id="rId4432">
        <w:r>
          <w:rPr>
            <w:color w:val="0000EE"/>
            <w:u w:val="single"/>
          </w:rPr>
          <w:t>Rm 2.29</w:t>
        </w:r>
      </w:hyperlink>
      <w:r>
        <w:t>), não o louvor de seus semelhantes (</w:t>
      </w:r>
      <w:hyperlink r:id="rId13304">
        <w:r>
          <w:rPr>
            <w:color w:val="0000EE"/>
            <w:u w:val="single"/>
          </w:rPr>
          <w:t>Mt 6.1–6</w:t>
        </w:r>
      </w:hyperlink>
      <w:r>
        <w:t xml:space="preserve">; </w:t>
      </w:r>
      <w:hyperlink r:id="rId13305">
        <w:r>
          <w:rPr>
            <w:color w:val="0000EE"/>
            <w:u w:val="single"/>
          </w:rPr>
          <w:t>Jó 12.43</w:t>
        </w:r>
      </w:hyperlink>
      <w:r>
        <w:t>), para que outros possam ser levados a glorificar a Deus por qualquer bem que seja encontrado neles (</w:t>
      </w:r>
      <w:hyperlink r:id="rId11850">
        <w:r>
          <w:rPr>
            <w:color w:val="0000EE"/>
            <w:u w:val="single"/>
          </w:rPr>
          <w:t>Mt 5.16</w:t>
        </w:r>
      </w:hyperlink>
      <w:r>
        <w:t xml:space="preserve">). Frequentemente, a Bíblia fala de louvar “o nome” de Deus (por exemplo, </w:t>
      </w:r>
      <w:hyperlink r:id="rId13306">
        <w:r>
          <w:rPr>
            <w:color w:val="0000EE"/>
            <w:u w:val="single"/>
          </w:rPr>
          <w:t>Sl 149.3</w:t>
        </w:r>
      </w:hyperlink>
      <w:r>
        <w:t>), significando que ele deve ser louvado por tudo o que é e se revelou ser. A palavra frequentemente repetida “Aleluia” é simplesmente o equivalente hebraico de “Louvem o Senhor”.</w:t>
      </w:r>
    </w:p>
    <w:p>
      <w:pPr>
        <w:pStyle w:val="Heading3"/>
      </w:pPr>
      <w:r>
        <w:t>Por quem o louvor é oferecido</w:t>
      </w:r>
    </w:p>
    <w:p>
      <w:r/>
      <w:r>
        <w:t>Deus é perfeitamente louvado por seus anjos no céu (</w:t>
      </w:r>
      <w:hyperlink r:id="rId1947">
        <w:r>
          <w:rPr>
            <w:color w:val="0000EE"/>
            <w:u w:val="single"/>
          </w:rPr>
          <w:t>Sl 103.20</w:t>
        </w:r>
      </w:hyperlink>
      <w:r>
        <w:t xml:space="preserve">; </w:t>
      </w:r>
      <w:hyperlink r:id="rId1939">
        <w:r>
          <w:rPr>
            <w:color w:val="0000EE"/>
            <w:u w:val="single"/>
          </w:rPr>
          <w:t>148.2</w:t>
        </w:r>
      </w:hyperlink>
      <w:r>
        <w:t>). Eles entoaram seu louvor quando Jesus nasceu (</w:t>
      </w:r>
      <w:hyperlink r:id="rId13307">
        <w:r>
          <w:rPr>
            <w:color w:val="0000EE"/>
            <w:u w:val="single"/>
          </w:rPr>
          <w:t>Lc 2.13–14</w:t>
        </w:r>
      </w:hyperlink>
      <w:r>
        <w:t xml:space="preserve">), e o livro de Apocalipse (por exemplo, </w:t>
      </w:r>
      <w:hyperlink r:id="rId13308">
        <w:r>
          <w:rPr>
            <w:color w:val="0000EE"/>
            <w:u w:val="single"/>
          </w:rPr>
          <w:t>Ap 7.11–12</w:t>
        </w:r>
      </w:hyperlink>
      <w:r>
        <w:t>) fala sobre seu louvor contínuo no céu. Toda a criação louva a Deus no sentido de que mostra sua grandeza como Criador (</w:t>
      </w:r>
      <w:hyperlink r:id="rId3355">
        <w:r>
          <w:rPr>
            <w:color w:val="0000EE"/>
            <w:u w:val="single"/>
          </w:rPr>
          <w:t>Sl 19.1–6</w:t>
        </w:r>
      </w:hyperlink>
      <w:r>
        <w:t xml:space="preserve">). </w:t>
      </w:r>
      <w:hyperlink r:id="rId6524">
        <w:r>
          <w:rPr>
            <w:color w:val="0000EE"/>
            <w:u w:val="single"/>
          </w:rPr>
          <w:t>Salmo 148</w:t>
        </w:r>
      </w:hyperlink>
      <w:r>
        <w:t xml:space="preserve"> lista sol, lua e estrelas, fogo e granizo, neve, chuva, vento e clima, montanhas e colinas, árvores frutíferas e cedros, animais selvagens, gado, cobras e pássaros — todos estes — como louvando a Deus juntos. Céu e terra são mencionados como envolvidos no louvor a Deus (</w:t>
      </w:r>
      <w:hyperlink r:id="rId13309">
        <w:r>
          <w:rPr>
            <w:color w:val="0000EE"/>
            <w:u w:val="single"/>
          </w:rPr>
          <w:t>Sl 89.5</w:t>
        </w:r>
      </w:hyperlink>
      <w:r>
        <w:t xml:space="preserve">; </w:t>
      </w:r>
      <w:hyperlink r:id="rId13310">
        <w:r>
          <w:rPr>
            <w:color w:val="0000EE"/>
            <w:u w:val="single"/>
          </w:rPr>
          <w:t>96.11</w:t>
        </w:r>
      </w:hyperlink>
      <w:r>
        <w:t xml:space="preserve">; </w:t>
      </w:r>
      <w:hyperlink r:id="rId13311">
        <w:r>
          <w:rPr>
            <w:color w:val="0000EE"/>
            <w:u w:val="single"/>
          </w:rPr>
          <w:t>98.4</w:t>
        </w:r>
      </w:hyperlink>
      <w:r>
        <w:t>). O Saltério fecha com as palavras “Que tudo o que vive cante louvores ao Senhor!” (</w:t>
      </w:r>
      <w:hyperlink r:id="rId13312">
        <w:r>
          <w:rPr>
            <w:color w:val="0000EE"/>
            <w:u w:val="single"/>
          </w:rPr>
          <w:t>150.6</w:t>
        </w:r>
      </w:hyperlink>
      <w:r>
        <w:t>). No AT lemos sobre o papel especial dos sacerdotes e levitas (</w:t>
      </w:r>
      <w:hyperlink r:id="rId13313">
        <w:r>
          <w:rPr>
            <w:color w:val="0000EE"/>
            <w:u w:val="single"/>
          </w:rPr>
          <w:t>Sl 135.19–20</w:t>
        </w:r>
      </w:hyperlink>
      <w:r>
        <w:t>) e dos cantores do templo (</w:t>
      </w:r>
      <w:hyperlink r:id="rId4235">
        <w:r>
          <w:rPr>
            <w:color w:val="0000EE"/>
            <w:u w:val="single"/>
          </w:rPr>
          <w:t>2Cr 20.21</w:t>
        </w:r>
      </w:hyperlink>
      <w:r>
        <w:t>) e daqueles que, como Miriã (</w:t>
      </w:r>
      <w:hyperlink r:id="rId6637">
        <w:r>
          <w:rPr>
            <w:color w:val="0000EE"/>
            <w:u w:val="single"/>
          </w:rPr>
          <w:t>Êx 15.20</w:t>
        </w:r>
      </w:hyperlink>
      <w:r>
        <w:t>) e Davi (</w:t>
      </w:r>
      <w:hyperlink r:id="rId7695">
        <w:r>
          <w:rPr>
            <w:color w:val="0000EE"/>
            <w:u w:val="single"/>
          </w:rPr>
          <w:t>2Sm 6.14</w:t>
        </w:r>
      </w:hyperlink>
      <w:r>
        <w:t>), lideraram outros no louvor a Deus. Mas era dever de todo o povo de Deus louvá-lo; seu louvor tinha a intenção, além disso, de levar as nações a conhecê-lo e louvá-lo (</w:t>
      </w:r>
      <w:hyperlink r:id="rId13314">
        <w:r>
          <w:rPr>
            <w:color w:val="0000EE"/>
            <w:u w:val="single"/>
          </w:rPr>
          <w:t>Sl 67.2–3</w:t>
        </w:r>
      </w:hyperlink>
      <w:r>
        <w:t>). O NT tem essa mesma ênfase (</w:t>
      </w:r>
      <w:hyperlink r:id="rId13315">
        <w:r>
          <w:rPr>
            <w:color w:val="0000EE"/>
            <w:u w:val="single"/>
          </w:rPr>
          <w:t>Rm 15.7–12</w:t>
        </w:r>
      </w:hyperlink>
      <w:r>
        <w:t>) e destaca que os dons de Deus são dados ao seu povo para serem usados para seu louvor e glória (</w:t>
      </w:r>
      <w:hyperlink r:id="rId7630">
        <w:r>
          <w:rPr>
            <w:color w:val="0000EE"/>
            <w:u w:val="single"/>
          </w:rPr>
          <w:t>Ef 1.6,12,14</w:t>
        </w:r>
      </w:hyperlink>
      <w:r>
        <w:t>). É por uma vida de retidão, assim como por palavras, que as pessoas devem louvá-lo (</w:t>
      </w:r>
      <w:hyperlink r:id="rId13316">
        <w:r>
          <w:rPr>
            <w:color w:val="0000EE"/>
            <w:u w:val="single"/>
          </w:rPr>
          <w:t>Fp 1.11</w:t>
        </w:r>
      </w:hyperlink>
      <w:r>
        <w:t>). O povo redimido de Deus é designado para mostrar os louvores daquele que os chamou das trevas para sua maravilhosa luz (</w:t>
      </w:r>
      <w:hyperlink r:id="rId3643">
        <w:r>
          <w:rPr>
            <w:color w:val="0000EE"/>
            <w:u w:val="single"/>
          </w:rPr>
          <w:t>1Pe 2.9</w:t>
        </w:r>
      </w:hyperlink>
      <w:r>
        <w:t>). O último livro do NT apresenta o louvor a Deus no céu, onde as quatro criaturas viventes (representando toda a criação) e os 24 anciãos (representando o povo de Deus sob as antigas e novas alianças) se unem em adoração, adorando o poderoso Deus que os criou e o Cordeiro de Deus que os redimiu (</w:t>
      </w:r>
      <w:hyperlink r:id="rId2070">
        <w:r>
          <w:rPr>
            <w:color w:val="0000EE"/>
            <w:u w:val="single"/>
          </w:rPr>
          <w:t>Ap 4–5</w:t>
        </w:r>
      </w:hyperlink>
      <w:r>
        <w:t>).</w:t>
      </w:r>
    </w:p>
    <w:p>
      <w:pPr>
        <w:pStyle w:val="Heading3"/>
      </w:pPr>
      <w:r>
        <w:t>Quando Deus deve ser louvado</w:t>
      </w:r>
    </w:p>
    <w:p>
      <w:r/>
      <w:r>
        <w:t xml:space="preserve">No Antigo Testamento, havia tempos de louvor especial, sábados, luas novas e festivais. Em </w:t>
      </w:r>
      <w:hyperlink r:id="rId13317">
        <w:r>
          <w:rPr>
            <w:color w:val="0000EE"/>
            <w:u w:val="single"/>
          </w:rPr>
          <w:t>Salmo 119.164</w:t>
        </w:r>
      </w:hyperlink>
      <w:r>
        <w:t xml:space="preserve">, o salmista diz que louvava o Senhor sete vezes ao dia. “Em toda parte — do leste ao oeste—louvem o nome do Senhor” é a exortação de </w:t>
      </w:r>
      <w:hyperlink r:id="rId13318">
        <w:r>
          <w:rPr>
            <w:color w:val="0000EE"/>
            <w:u w:val="single"/>
          </w:rPr>
          <w:t>Salmo 113.3</w:t>
        </w:r>
      </w:hyperlink>
      <w:r>
        <w:t xml:space="preserve">. </w:t>
      </w:r>
      <w:hyperlink r:id="rId13319">
        <w:r>
          <w:rPr>
            <w:color w:val="0000EE"/>
            <w:u w:val="single"/>
          </w:rPr>
          <w:t>Salmo 145.1</w:t>
        </w:r>
      </w:hyperlink>
      <w:r>
        <w:t xml:space="preserve"> diz: “Eu te louvarei, meu Deus e Rei, e bendirei teu nome para todo o sempre”. Uma dedicação a uma vida de louvor é expressa no </w:t>
      </w:r>
      <w:hyperlink r:id="rId13320">
        <w:r>
          <w:rPr>
            <w:color w:val="0000EE"/>
            <w:u w:val="single"/>
          </w:rPr>
          <w:t>Salmo 146.2</w:t>
        </w:r>
      </w:hyperlink>
      <w:r>
        <w:t>: “Louvarei o Senhor enquanto eu viver. Cantarei louvores ao meu Deus mesmo com meu último suspiro”. No Novo Testamento, da mesma forma, há tempos especiais de louvor, mas toda a vida do cristão é destinada, em palavra e ação, ao louvor de Deus.</w:t>
      </w:r>
    </w:p>
    <w:p>
      <w:pPr>
        <w:pStyle w:val="Heading3"/>
      </w:pPr>
      <w:r>
        <w:t>Onde o louvor deve ser oferecido</w:t>
      </w:r>
    </w:p>
    <w:p>
      <w:r/>
      <w:r>
        <w:t xml:space="preserve">No Antigo Testamento, o templo (e assim "Sião" ou "Jerusalém", onde o templo estava localizado) tinha um lugar especial no propósito de Deus: seu povo deveria louvá-lo ali. </w:t>
      </w:r>
      <w:hyperlink r:id="rId13321">
        <w:r>
          <w:rPr>
            <w:color w:val="0000EE"/>
            <w:u w:val="single"/>
          </w:rPr>
          <w:t>Salmo 102.21</w:t>
        </w:r>
      </w:hyperlink>
      <w:r>
        <w:t xml:space="preserve"> retrata pessoas declarando "em Sião o nome do Senhor, e em Jerusalém o seu louvor." As pessoas devem louvar a Deus publicamente diante da congregação e dos líderes da nação (</w:t>
      </w:r>
      <w:hyperlink r:id="rId13322">
        <w:r>
          <w:rPr>
            <w:color w:val="0000EE"/>
            <w:u w:val="single"/>
          </w:rPr>
          <w:t>Sl 107.32</w:t>
        </w:r>
      </w:hyperlink>
      <w:r>
        <w:t>), mas também podem fazê-lo sozinhas. Pois toda a vida deve ser louvor. Assim, o louvor pode vir de lugares inesperados. Homens e mulheres piedosos podem cantar de alegria enquanto estão deitados em suas camas (</w:t>
      </w:r>
      <w:hyperlink r:id="rId13323">
        <w:r>
          <w:rPr>
            <w:color w:val="0000EE"/>
            <w:u w:val="single"/>
          </w:rPr>
          <w:t>Sl 149.5</w:t>
        </w:r>
      </w:hyperlink>
      <w:r>
        <w:t>). Paulo e Silas podem cantar louvores a Deus em uma prisão filipense (</w:t>
      </w:r>
      <w:hyperlink r:id="rId13324">
        <w:r>
          <w:rPr>
            <w:color w:val="0000EE"/>
            <w:u w:val="single"/>
          </w:rPr>
          <w:t>At 16.25</w:t>
        </w:r>
      </w:hyperlink>
      <w:r>
        <w:t>).</w:t>
      </w:r>
    </w:p>
    <w:p>
      <w:pPr>
        <w:pStyle w:val="Heading3"/>
      </w:pPr>
      <w:r>
        <w:t>Como Deus deve ser louvado</w:t>
      </w:r>
    </w:p>
    <w:p>
      <w:r/>
      <w:r>
        <w:t>Assim como não há limite para o tempo ou lugar, também não há limite para as maneiras pelas quais Deus pode ser louvado. Ele pode ser louvado com canto (</w:t>
      </w:r>
      <w:hyperlink r:id="rId13325">
        <w:r>
          <w:rPr>
            <w:color w:val="0000EE"/>
            <w:u w:val="single"/>
          </w:rPr>
          <w:t>Sl 47.7</w:t>
        </w:r>
      </w:hyperlink>
      <w:r>
        <w:t>), com dança (</w:t>
      </w:r>
      <w:hyperlink r:id="rId13306">
        <w:r>
          <w:rPr>
            <w:color w:val="0000EE"/>
            <w:u w:val="single"/>
          </w:rPr>
          <w:t>149.3</w:t>
        </w:r>
      </w:hyperlink>
      <w:r>
        <w:t>) ou com instrumentos musicais (</w:t>
      </w:r>
      <w:hyperlink r:id="rId11057">
        <w:r>
          <w:rPr>
            <w:color w:val="0000EE"/>
            <w:u w:val="single"/>
          </w:rPr>
          <w:t>144.9</w:t>
        </w:r>
      </w:hyperlink>
      <w:r>
        <w:t xml:space="preserve">; </w:t>
      </w:r>
      <w:hyperlink r:id="rId10172">
        <w:r>
          <w:rPr>
            <w:color w:val="0000EE"/>
            <w:u w:val="single"/>
          </w:rPr>
          <w:t>150.3–5</w:t>
        </w:r>
      </w:hyperlink>
      <w:r>
        <w:t>). O Saltério nos fornece muitos cânticos de louvor, e outros estão espalhados por todo o AT. O NT fala de “salmos, hinos e cânticos espirituais” (</w:t>
      </w:r>
      <w:hyperlink r:id="rId13326">
        <w:r>
          <w:rPr>
            <w:color w:val="0000EE"/>
            <w:u w:val="single"/>
          </w:rPr>
          <w:t>Cl 3.16</w:t>
        </w:r>
      </w:hyperlink>
      <w:r>
        <w:t xml:space="preserve">; veja também </w:t>
      </w:r>
      <w:hyperlink r:id="rId13327">
        <w:r>
          <w:rPr>
            <w:color w:val="0000EE"/>
            <w:u w:val="single"/>
          </w:rPr>
          <w:t>Ef 5.19</w:t>
        </w:r>
      </w:hyperlink>
      <w:r>
        <w:t xml:space="preserve">), e exemplos de cânticos cristãos de louvor provavelmente podem ser vistos em </w:t>
      </w:r>
      <w:hyperlink r:id="rId7485">
        <w:r>
          <w:rPr>
            <w:color w:val="0000EE"/>
            <w:u w:val="single"/>
          </w:rPr>
          <w:t>Efésios 5.14</w:t>
        </w:r>
      </w:hyperlink>
      <w:r>
        <w:t xml:space="preserve">, </w:t>
      </w:r>
      <w:hyperlink r:id="rId5124">
        <w:r>
          <w:rPr>
            <w:color w:val="0000EE"/>
            <w:u w:val="single"/>
          </w:rPr>
          <w:t>Filipenses 2.6–11</w:t>
        </w:r>
      </w:hyperlink>
      <w:r>
        <w:t xml:space="preserve">, </w:t>
      </w:r>
      <w:hyperlink r:id="rId6829">
        <w:r>
          <w:rPr>
            <w:color w:val="0000EE"/>
            <w:u w:val="single"/>
          </w:rPr>
          <w:t>1 Timóteo 1.17</w:t>
        </w:r>
      </w:hyperlink>
      <w:r>
        <w:t xml:space="preserve"> e </w:t>
      </w:r>
      <w:hyperlink r:id="rId5388">
        <w:r>
          <w:rPr>
            <w:color w:val="0000EE"/>
            <w:u w:val="single"/>
          </w:rPr>
          <w:t>2 Timóteo 2.11–13</w:t>
        </w:r>
      </w:hyperlink>
      <w:r>
        <w:t>.</w:t>
      </w:r>
    </w:p>
    <w:p>
      <w:pPr>
        <w:pStyle w:val="Heading3"/>
      </w:pPr>
      <w:r>
        <w:t>Por que Deus deve ser louvado</w:t>
      </w:r>
    </w:p>
    <w:p>
      <w:r/>
      <w:r>
        <w:t>A criação inspira o louvor a Deus (</w:t>
      </w:r>
      <w:hyperlink r:id="rId13328">
        <w:r>
          <w:rPr>
            <w:color w:val="0000EE"/>
            <w:u w:val="single"/>
          </w:rPr>
          <w:t>Sl 8.3</w:t>
        </w:r>
      </w:hyperlink>
      <w:r>
        <w:t>), assim como seu amor e cuidado que preservam (</w:t>
      </w:r>
      <w:hyperlink r:id="rId13329">
        <w:r>
          <w:rPr>
            <w:color w:val="0000EE"/>
            <w:u w:val="single"/>
          </w:rPr>
          <w:t>21.4</w:t>
        </w:r>
      </w:hyperlink>
      <w:r>
        <w:t>) e o fato de que Ele é um Deus que responde às orações (</w:t>
      </w:r>
      <w:hyperlink r:id="rId13330">
        <w:r>
          <w:rPr>
            <w:color w:val="0000EE"/>
            <w:u w:val="single"/>
          </w:rPr>
          <w:t>116.1</w:t>
        </w:r>
      </w:hyperlink>
      <w:r>
        <w:t>). Sua obra redentora leva seu povo a adorá-lo (</w:t>
      </w:r>
      <w:hyperlink r:id="rId13331">
        <w:r>
          <w:rPr>
            <w:color w:val="0000EE"/>
            <w:u w:val="single"/>
          </w:rPr>
          <w:t>Êx 15.1–2</w:t>
        </w:r>
      </w:hyperlink>
      <w:r>
        <w:t xml:space="preserve">). Alguns dos salmos (por exemplo, </w:t>
      </w:r>
      <w:hyperlink r:id="rId13332">
        <w:r>
          <w:rPr>
            <w:color w:val="0000EE"/>
            <w:u w:val="single"/>
          </w:rPr>
          <w:t>Sl 107</w:t>
        </w:r>
      </w:hyperlink>
      <w:r>
        <w:t>) listam muitas razões pelas quais Ele deve ser louvado. Com a vinda do Senhor Jesus Cristo, há uma nova explosão de louvor porque o Messias, o Salvador, veio ao seu povo (</w:t>
      </w:r>
      <w:hyperlink r:id="rId8033">
        <w:r>
          <w:rPr>
            <w:color w:val="0000EE"/>
            <w:u w:val="single"/>
          </w:rPr>
          <w:t>Lc 2.11</w:t>
        </w:r>
      </w:hyperlink>
      <w:r>
        <w:t>). Tudo o que Ele fez por meio de sua vida, morte e ressurreição exige louvor. Mas, em última análise, o louvor será aperfeiçoado quando Deus reinar vitoriosamente sobre todos. Assim, João fala no livro de Apocalipse (</w:t>
      </w:r>
      <w:hyperlink r:id="rId2133">
        <w:r>
          <w:rPr>
            <w:color w:val="0000EE"/>
            <w:u w:val="single"/>
          </w:rPr>
          <w:t>19.6</w:t>
        </w:r>
      </w:hyperlink>
      <w:r>
        <w:t>): “Aí ouvi um som que parecia a voz de uma grande multidão, como o barulho de uma grande cachoeira ou como fortes trovões, que dizia: — Aleluia! Pois o Senhor, nosso Deus, o Todo-Poderoso, é Rei!” (NTLH).</w:t>
      </w:r>
    </w:p>
    <w:p>
      <w:r/>
      <w:r>
        <w:rPr>
          <w:i/>
        </w:rPr>
        <w:t>Veja também</w:t>
      </w:r>
      <w:r>
        <w:t xml:space="preserve"> </w:t>
      </w:r>
      <w:r>
        <w:t>Oração</w:t>
      </w:r>
      <w:r>
        <w:t xml:space="preserve">; </w:t>
      </w:r>
      <w:r>
        <w:t>Tabernáculo</w:t>
      </w:r>
      <w:r>
        <w:t xml:space="preserve">; </w:t>
      </w:r>
      <w:r>
        <w:t>Templo</w:t>
      </w:r>
      <w:r>
        <w:t xml:space="preserve">; </w:t>
      </w:r>
      <w:r>
        <w:t>Adoração</w:t>
      </w:r>
      <w:r>
        <w:t>.</w:t>
      </w:r>
      <w:r/>
      <w:r/>
    </w:p>
    <w:p>
      <w:r/>
    </w:p>
    <w:p>
      <w:pPr>
        <w:pStyle w:val="Heading2"/>
      </w:pPr>
      <w:r>
        <w:t>Lua</w:t>
      </w:r>
      <w:r/>
    </w:p>
    <w:p>
      <w:r/>
      <w:r>
        <w:t>a luz menor no céu (</w:t>
      </w:r>
      <w:hyperlink r:id="rId13333">
        <w:r>
          <w:rPr>
            <w:color w:val="0000EE"/>
            <w:u w:val="single"/>
          </w:rPr>
          <w:t>Gênesis 1.16</w:t>
        </w:r>
      </w:hyperlink>
      <w:r>
        <w:t>). Muitas línguas semíticas usam a mesma palavra para lua como o hebraico. Em três passagens no Antigo Testamento hebraico, a lua é chamada de “a branca” e emparelhada com “a quente”, o sol (</w:t>
      </w:r>
      <w:hyperlink r:id="rId3356">
        <w:r>
          <w:rPr>
            <w:color w:val="0000EE"/>
            <w:u w:val="single"/>
          </w:rPr>
          <w:t>Cântico dos Cânticos 6.10</w:t>
        </w:r>
      </w:hyperlink>
      <w:r>
        <w:t xml:space="preserve">; </w:t>
      </w:r>
      <w:hyperlink r:id="rId3109">
        <w:r>
          <w:rPr>
            <w:color w:val="0000EE"/>
            <w:u w:val="single"/>
          </w:rPr>
          <w:t>Isaías 24.23</w:t>
        </w:r>
      </w:hyperlink>
      <w:r>
        <w:t xml:space="preserve">; </w:t>
      </w:r>
      <w:hyperlink r:id="rId13334">
        <w:r>
          <w:rPr>
            <w:color w:val="0000EE"/>
            <w:u w:val="single"/>
          </w:rPr>
          <w:t>30.26</w:t>
        </w:r>
      </w:hyperlink>
      <w:r>
        <w:t>). Outro termo, “crescente”, é usado em outras línguas como aramaico e árabe, e “enfeites em forma de crescente” (</w:t>
      </w:r>
      <w:hyperlink r:id="rId13335">
        <w:r>
          <w:rPr>
            <w:color w:val="0000EE"/>
            <w:u w:val="single"/>
          </w:rPr>
          <w:t>Juízes 8.21,26</w:t>
        </w:r>
      </w:hyperlink>
      <w:r>
        <w:t xml:space="preserve">; </w:t>
      </w:r>
      <w:hyperlink r:id="rId13336">
        <w:r>
          <w:rPr>
            <w:color w:val="0000EE"/>
            <w:u w:val="single"/>
          </w:rPr>
          <w:t>Isaías 3.18</w:t>
        </w:r>
      </w:hyperlink>
      <w:r>
        <w:t>) são mencionados.</w:t>
      </w:r>
    </w:p>
    <w:p>
      <w:r/>
      <w:r>
        <w:t>No relato da criação, é dito sobre as funções dos dois luminares: “Que eles sejam sinais para marcar as estações, dias e anos” (</w:t>
      </w:r>
      <w:hyperlink r:id="rId4756">
        <w:r>
          <w:rPr>
            <w:color w:val="0000EE"/>
            <w:u w:val="single"/>
          </w:rPr>
          <w:t>Gênesis 1.14</w:t>
        </w:r>
      </w:hyperlink>
      <w:r>
        <w:t>). Ou seja, os “tempos” são determinados por seus movimentos. Por essa razão, ao descrever os feitos poderosos do Senhor na criação, o poeta diz: “Ele fez a lua para marcar as estações” (</w:t>
      </w:r>
      <w:hyperlink r:id="rId9252">
        <w:r>
          <w:rPr>
            <w:color w:val="0000EE"/>
            <w:u w:val="single"/>
          </w:rPr>
          <w:t>Salmo 104.19</w:t>
        </w:r>
      </w:hyperlink>
      <w:r>
        <w:t>).</w:t>
      </w:r>
    </w:p>
    <w:p>
      <w:r/>
      <w:r>
        <w:t>O antigo calendário hebraico era lunar (</w:t>
      </w:r>
      <w:hyperlink r:id="rId13337">
        <w:r>
          <w:rPr>
            <w:color w:val="0000EE"/>
            <w:u w:val="single"/>
          </w:rPr>
          <w:t>Eclesiástico 43.6–7</w:t>
        </w:r>
      </w:hyperlink>
      <w:r>
        <w:t>), os meses começavam com a lua nova, marcada por rituais especiais (</w:t>
      </w:r>
      <w:hyperlink r:id="rId9245">
        <w:r>
          <w:rPr>
            <w:color w:val="0000EE"/>
            <w:u w:val="single"/>
          </w:rPr>
          <w:t>Números 10.10</w:t>
        </w:r>
      </w:hyperlink>
      <w:r>
        <w:t xml:space="preserve">; </w:t>
      </w:r>
      <w:hyperlink r:id="rId1536">
        <w:r>
          <w:rPr>
            <w:color w:val="0000EE"/>
            <w:u w:val="single"/>
          </w:rPr>
          <w:t>28.11–14</w:t>
        </w:r>
      </w:hyperlink>
      <w:r>
        <w:t xml:space="preserve">; </w:t>
      </w:r>
      <w:hyperlink r:id="rId13338">
        <w:r>
          <w:rPr>
            <w:color w:val="0000EE"/>
            <w:u w:val="single"/>
          </w:rPr>
          <w:t>2 Crônicas 2.4</w:t>
        </w:r>
      </w:hyperlink>
      <w:r>
        <w:t>). Duas grandes festas, Páscoa e Tabernáculos, começavam no meio do mês quando a lua estava cheia (</w:t>
      </w:r>
      <w:hyperlink r:id="rId13339">
        <w:r>
          <w:rPr>
            <w:color w:val="0000EE"/>
            <w:u w:val="single"/>
          </w:rPr>
          <w:t>Levítico 23.5–6</w:t>
        </w:r>
      </w:hyperlink>
      <w:r>
        <w:t xml:space="preserve">; </w:t>
      </w:r>
      <w:hyperlink r:id="rId13340">
        <w:r>
          <w:rPr>
            <w:color w:val="0000EE"/>
            <w:u w:val="single"/>
          </w:rPr>
          <w:t>Salmo 81.3–5</w:t>
        </w:r>
      </w:hyperlink>
      <w:r>
        <w:t xml:space="preserve">; e </w:t>
      </w:r>
      <w:hyperlink r:id="rId9279">
        <w:r>
          <w:rPr>
            <w:color w:val="0000EE"/>
            <w:u w:val="single"/>
          </w:rPr>
          <w:t>Levítico 23.34</w:t>
        </w:r>
      </w:hyperlink>
      <w:r>
        <w:t>, respectivamente). A semana de sete dias é uma divisão do ciclo lunar de vinte e oito dias em unidades lógicas e convenientes, então pode-se dizer que a lua fornece a base para o significado do número sete. Como corolário, o início do sétimo mês, o Festival das Trombetas (</w:t>
      </w:r>
      <w:hyperlink r:id="rId9253">
        <w:r>
          <w:rPr>
            <w:color w:val="0000EE"/>
            <w:u w:val="single"/>
          </w:rPr>
          <w:t>Levítico 23.24</w:t>
        </w:r>
      </w:hyperlink>
      <w:r>
        <w:t>), marcava o mês culminante das festas sagradas. Também significava o Ano Novo para os anos de reinado de um governante e para a agricultura (</w:t>
      </w:r>
      <w:r>
        <w:rPr>
          <w:i/>
        </w:rPr>
        <w:t>Antiguidades</w:t>
      </w:r>
      <w:r>
        <w:t xml:space="preserve"> de Josefo 1.1.3; Mishná, </w:t>
      </w:r>
      <w:r>
        <w:rPr>
          <w:i/>
        </w:rPr>
        <w:t>Rôs Hashanah</w:t>
      </w:r>
      <w:r>
        <w:t xml:space="preserve"> 1.1).</w:t>
      </w:r>
    </w:p>
    <w:p>
      <w:r/>
      <w:r>
        <w:t>Um versículo na história da criação fala do domínio do sol sobre o dia e da lua sobre a noite (</w:t>
      </w:r>
      <w:hyperlink r:id="rId13333">
        <w:r>
          <w:rPr>
            <w:color w:val="0000EE"/>
            <w:u w:val="single"/>
          </w:rPr>
          <w:t>Gênesis 1.16</w:t>
        </w:r>
      </w:hyperlink>
      <w:r>
        <w:t xml:space="preserve">; compare </w:t>
      </w:r>
      <w:hyperlink r:id="rId13341">
        <w:r>
          <w:rPr>
            <w:color w:val="0000EE"/>
            <w:u w:val="single"/>
          </w:rPr>
          <w:t>Salmo 136.9</w:t>
        </w:r>
      </w:hyperlink>
      <w:r>
        <w:t>). A lua também é mencionada (junto com o sol) na ordem geral da criação quando as esferas do universo foram estabelecidas (</w:t>
      </w:r>
      <w:hyperlink r:id="rId13342">
        <w:r>
          <w:rPr>
            <w:color w:val="0000EE"/>
            <w:u w:val="single"/>
          </w:rPr>
          <w:t>Jeremias 31.35</w:t>
        </w:r>
      </w:hyperlink>
      <w:r>
        <w:t>). A partir disso, os luminares simbolizam a continuidade da ordem mundial (</w:t>
      </w:r>
      <w:hyperlink r:id="rId13343">
        <w:r>
          <w:rPr>
            <w:color w:val="0000EE"/>
            <w:u w:val="single"/>
          </w:rPr>
          <w:t>Salmos 72.5</w:t>
        </w:r>
      </w:hyperlink>
      <w:r>
        <w:t xml:space="preserve">; </w:t>
      </w:r>
      <w:hyperlink r:id="rId13344">
        <w:r>
          <w:rPr>
            <w:color w:val="0000EE"/>
            <w:u w:val="single"/>
          </w:rPr>
          <w:t>89.37–38</w:t>
        </w:r>
      </w:hyperlink>
      <w:r>
        <w:t>). O escurecimento da lua (e do sol) é um sinal da mudança da ordem na criação nos últimos dias (</w:t>
      </w:r>
      <w:hyperlink r:id="rId7063">
        <w:r>
          <w:rPr>
            <w:color w:val="0000EE"/>
            <w:u w:val="single"/>
          </w:rPr>
          <w:t>Isaías 13.10</w:t>
        </w:r>
      </w:hyperlink>
      <w:r>
        <w:t xml:space="preserve">; </w:t>
      </w:r>
      <w:hyperlink r:id="rId13345">
        <w:r>
          <w:rPr>
            <w:color w:val="0000EE"/>
            <w:u w:val="single"/>
          </w:rPr>
          <w:t>Ezequiel 32.7</w:t>
        </w:r>
      </w:hyperlink>
      <w:r>
        <w:t xml:space="preserve">; </w:t>
      </w:r>
      <w:hyperlink r:id="rId13346">
        <w:r>
          <w:rPr>
            <w:color w:val="0000EE"/>
            <w:u w:val="single"/>
          </w:rPr>
          <w:t>Joel 2.10</w:t>
        </w:r>
      </w:hyperlink>
      <w:r>
        <w:t xml:space="preserve">; </w:t>
      </w:r>
      <w:hyperlink r:id="rId13347">
        <w:r>
          <w:rPr>
            <w:color w:val="0000EE"/>
            <w:u w:val="single"/>
          </w:rPr>
          <w:t>Hebreus 3.11</w:t>
        </w:r>
      </w:hyperlink>
      <w:r>
        <w:t xml:space="preserve">; </w:t>
      </w:r>
      <w:hyperlink r:id="rId2123">
        <w:r>
          <w:rPr>
            <w:color w:val="0000EE"/>
            <w:u w:val="single"/>
          </w:rPr>
          <w:t>Mateus 24.29</w:t>
        </w:r>
      </w:hyperlink>
      <w:r>
        <w:t xml:space="preserve">; </w:t>
      </w:r>
      <w:hyperlink r:id="rId13348">
        <w:r>
          <w:rPr>
            <w:color w:val="0000EE"/>
            <w:u w:val="single"/>
          </w:rPr>
          <w:t>Marcos 13.24</w:t>
        </w:r>
      </w:hyperlink>
      <w:r>
        <w:t xml:space="preserve">; </w:t>
      </w:r>
      <w:hyperlink r:id="rId5527">
        <w:r>
          <w:rPr>
            <w:color w:val="0000EE"/>
            <w:u w:val="single"/>
          </w:rPr>
          <w:t>Apocalipse 6.12</w:t>
        </w:r>
      </w:hyperlink>
      <w:r>
        <w:t xml:space="preserve">; o inverso é afirmado em </w:t>
      </w:r>
      <w:hyperlink r:id="rId13334">
        <w:r>
          <w:rPr>
            <w:color w:val="0000EE"/>
            <w:u w:val="single"/>
          </w:rPr>
          <w:t>Isaías 30.26</w:t>
        </w:r>
      </w:hyperlink>
      <w:r>
        <w:t>).</w:t>
      </w:r>
    </w:p>
    <w:p>
      <w:r/>
      <w:r>
        <w:t>Como a lua se assemelha ao sol, ela também tem o poder de ferir (</w:t>
      </w:r>
      <w:hyperlink r:id="rId13349">
        <w:r>
          <w:rPr>
            <w:color w:val="0000EE"/>
            <w:u w:val="single"/>
          </w:rPr>
          <w:t>Salmo 121.6</w:t>
        </w:r>
      </w:hyperlink>
      <w:r>
        <w:t>) e influenciar o crescimento das colheitas no campo (</w:t>
      </w:r>
      <w:hyperlink r:id="rId13350">
        <w:r>
          <w:rPr>
            <w:color w:val="0000EE"/>
            <w:u w:val="single"/>
          </w:rPr>
          <w:t>Deuteronômio 33.14</w:t>
        </w:r>
      </w:hyperlink>
      <w:r>
        <w:t>). No livro de Deuteronômio, os israelitas foram advertidos contra a adoração à lua e ao restante do exército do céu (</w:t>
      </w:r>
      <w:hyperlink r:id="rId10767">
        <w:r>
          <w:rPr>
            <w:color w:val="0000EE"/>
            <w:u w:val="single"/>
          </w:rPr>
          <w:t>Deuteronômio 4.19</w:t>
        </w:r>
      </w:hyperlink>
      <w:r>
        <w:t xml:space="preserve">; </w:t>
      </w:r>
      <w:hyperlink r:id="rId10770">
        <w:r>
          <w:rPr>
            <w:color w:val="0000EE"/>
            <w:u w:val="single"/>
          </w:rPr>
          <w:t>17.3</w:t>
        </w:r>
      </w:hyperlink>
      <w:r>
        <w:t>), mas essa adoração estrangeira eventualmente se espalhou no reino de Judá (</w:t>
      </w:r>
      <w:hyperlink r:id="rId13351">
        <w:r>
          <w:rPr>
            <w:color w:val="0000EE"/>
            <w:u w:val="single"/>
          </w:rPr>
          <w:t>2 Reis 21.3</w:t>
        </w:r>
      </w:hyperlink>
      <w:r>
        <w:t xml:space="preserve">; </w:t>
      </w:r>
      <w:hyperlink r:id="rId13352">
        <w:r>
          <w:rPr>
            <w:color w:val="0000EE"/>
            <w:u w:val="single"/>
          </w:rPr>
          <w:t>23.4–5</w:t>
        </w:r>
      </w:hyperlink>
      <w:r>
        <w:t xml:space="preserve">; </w:t>
      </w:r>
      <w:hyperlink r:id="rId6915">
        <w:r>
          <w:rPr>
            <w:color w:val="0000EE"/>
            <w:u w:val="single"/>
          </w:rPr>
          <w:t>Jeremias 7.18</w:t>
        </w:r>
      </w:hyperlink>
      <w:r>
        <w:t xml:space="preserve">; </w:t>
      </w:r>
      <w:hyperlink r:id="rId10773">
        <w:r>
          <w:rPr>
            <w:color w:val="0000EE"/>
            <w:u w:val="single"/>
          </w:rPr>
          <w:t>8.2</w:t>
        </w:r>
      </w:hyperlink>
      <w:r>
        <w:t>).</w:t>
      </w:r>
    </w:p>
    <w:p>
      <w:r/>
      <w:r>
        <w:t>Para manter um controle preciso sobre o calendário e as festas, a lua nova era cuidadosamente observada sete vezes durante o ano em Jerusalém. Isso garantia que as principais festas ocorressem nos dias corretos. O Sinédrio se reunia cedo na manhã do último dia do mês anterior, e vigias eram posicionados para observar a primeira aparição da lua. Quando a evidência se tornava clara, a palavra sagrada era pronunciada e o dia se tornava o primeiro do novo mês. Sinais de fogo começando do Monte das Oliveiras anunciavam a lua nova. Mais tarde, eles foram substituídos por mensageiros porque os samaritanos haviam estabelecido sinais falsos ao longo do caminho.</w:t>
      </w:r>
    </w:p>
    <w:p>
      <w:r/>
      <w:r>
        <w:rPr>
          <w:i/>
        </w:rPr>
        <w:t>Veja também</w:t>
      </w:r>
      <w:r>
        <w:t xml:space="preserve"> </w:t>
      </w:r>
      <w:r>
        <w:t>Astronomia</w:t>
      </w:r>
      <w:r>
        <w:t xml:space="preserve">; </w:t>
      </w:r>
      <w:r>
        <w:t>Calendários, Antigos e modernos</w:t>
      </w:r>
      <w:r>
        <w:t xml:space="preserve">; </w:t>
      </w:r>
      <w:r>
        <w:t>Festas e festivais de Israel</w:t>
      </w:r>
      <w:r>
        <w:t>.</w:t>
      </w:r>
      <w:r/>
      <w:r/>
    </w:p>
    <w:p>
      <w:r/>
    </w:p>
    <w:p>
      <w:pPr>
        <w:pStyle w:val="Heading2"/>
      </w:pPr>
      <w:r>
        <w:t>Lucas (Pessoa)</w:t>
      </w:r>
      <w:r/>
    </w:p>
    <w:p>
      <w:r/>
      <w:r>
        <w:t>Um amigo próximo e ajudante do apóstolo Paulo. Ele escreveu o Evangelho de Lucas e o livro de Atos dos Apóstolos.</w:t>
      </w:r>
    </w:p>
    <w:p>
      <w:r/>
      <w:r>
        <w:t>Se considerarmos Lucas, o amigo de Paulo, como o autor de Lucas-Atos, podemos aprender muito sobre ele a partir desta obra em duas partes. A introdução ao Evangelho mostra que Lucas não foi uma testemunha ocular nem alguém que seguiu Jesus diretamente durante sua vida. Ele explica que fez uma pesquisa minuciosa e escreveu um relato organizado da vida de Jesus.</w:t>
      </w:r>
    </w:p>
    <w:p>
      <w:pPr>
        <w:pStyle w:val="Heading3"/>
      </w:pPr>
      <w:r>
        <w:t>O que torna o Evangelho de Lucas único?</w:t>
      </w:r>
    </w:p>
    <w:p>
      <w:r/>
      <w:r>
        <w:t>Lucas escreveu sobre algumas coisas que os outros escritores dos Evangelhos não incluíram em seus livros. Um aspecto especial da escrita de Lucas é que ele escreveu dois livros conectados: o Evangelho de Lucas e o livro de Atos. Juntos, esses livros mostram como a mensagem de Deus se espalhou do povo judeu para pessoas de todo o mundo. Isso cumpriu o que o profeta Isaías havia dito que aconteceria há muito tempo.</w:t>
      </w:r>
    </w:p>
    <w:p>
      <w:r/>
      <w:r>
        <w:t>Lucas estava especialmente interessado em mostrar que a mensagem de Deus era para todos, não apenas para o povo judeu (</w:t>
      </w:r>
      <w:hyperlink r:id="rId11695">
        <w:r>
          <w:rPr>
            <w:color w:val="0000EE"/>
            <w:u w:val="single"/>
          </w:rPr>
          <w:t>Lc 2.14</w:t>
        </w:r>
      </w:hyperlink>
      <w:r>
        <w:t xml:space="preserve">; </w:t>
      </w:r>
      <w:hyperlink r:id="rId13353">
        <w:r>
          <w:rPr>
            <w:color w:val="0000EE"/>
            <w:u w:val="single"/>
          </w:rPr>
          <w:t>24.47</w:t>
        </w:r>
      </w:hyperlink>
      <w:r>
        <w:t>). Isso é frequentemente referido como o universalismo de Lucas. Em seu Evangelho, Lucas frequentemente escreveu sobre:</w:t>
      </w:r>
    </w:p>
    <w:p>
      <w:pPr>
        <w:pStyle w:val="ListBullet"/>
        <w:spacing w:line="240" w:lineRule="auto"/>
        <w:ind w:left="720"/>
      </w:pPr>
      <w:r/>
      <w:r>
        <w:t>Indivíduos e suas histórias</w:t>
      </w:r>
    </w:p>
    <w:p>
      <w:pPr>
        <w:pStyle w:val="ListBullet"/>
        <w:spacing w:line="240" w:lineRule="auto"/>
        <w:ind w:left="720"/>
      </w:pPr>
      <w:r/>
      <w:r>
        <w:t>Pessoas que foram excluídas pela sociedade</w:t>
      </w:r>
    </w:p>
    <w:p>
      <w:pPr>
        <w:pStyle w:val="ListBullet"/>
        <w:spacing w:line="240" w:lineRule="auto"/>
        <w:ind w:left="720"/>
      </w:pPr>
      <w:r/>
      <w:r>
        <w:t>Mulheres e crianças</w:t>
      </w:r>
    </w:p>
    <w:p>
      <w:pPr>
        <w:pStyle w:val="ListBullet"/>
        <w:spacing w:line="240" w:lineRule="auto"/>
        <w:ind w:left="720"/>
      </w:pPr>
      <w:r/>
      <w:r>
        <w:t>Pessoas ricas e pobres e seus relacionamentos</w:t>
      </w:r>
    </w:p>
    <w:p>
      <w:pPr>
        <w:pStyle w:val="ListBullet"/>
        <w:spacing w:line="240" w:lineRule="auto"/>
        <w:ind w:left="720"/>
      </w:pPr>
      <w:r/>
      <w:r>
        <w:t>A importância da oração</w:t>
      </w:r>
    </w:p>
    <w:p>
      <w:pPr>
        <w:pStyle w:val="ListBullet"/>
        <w:spacing w:line="240" w:lineRule="auto"/>
        <w:ind w:left="720"/>
      </w:pPr>
      <w:r/>
      <w:r>
        <w:t>O trabalho do Espírito Santo de Deus</w:t>
      </w:r>
    </w:p>
    <w:p>
      <w:r/>
      <w:r>
        <w:t>Essas escolhas no que Lucas escreveu nos ajudam a entender que tipo de pessoa ele era e como ele compreendia a fé cristã. Seus escritos estão frequentemente repletos de alegria e louvor a Deus.</w:t>
      </w:r>
    </w:p>
    <w:p>
      <w:pPr>
        <w:pStyle w:val="Heading3"/>
      </w:pPr>
      <w:r>
        <w:t>O que aprendemos sobre Lucas no livro de Atos?</w:t>
      </w:r>
    </w:p>
    <w:p>
      <w:r/>
      <w:r>
        <w:t>No livro de Atos, há várias seções onde o autor usa a palavra "nós" em vez de "ele" ou "eles". Isso sugere que o autor estava presente durante esses eventos. Se Lucas escreveu Atos, como a maioria dos primeiros cristãos acreditava, então podemos rastrear suas viagens com Paulo:</w:t>
      </w:r>
    </w:p>
    <w:p>
      <w:pPr>
        <w:pStyle w:val="ListBullet"/>
        <w:spacing w:line="240" w:lineRule="auto"/>
        <w:ind w:left="720"/>
      </w:pPr>
      <w:r/>
      <w:r>
        <w:t>Primeiro, Lucas encontrou Paulo na cidade de Filipos (</w:t>
      </w:r>
      <w:hyperlink r:id="rId13354">
        <w:r>
          <w:rPr>
            <w:color w:val="0000EE"/>
            <w:u w:val="single"/>
          </w:rPr>
          <w:t>At 16.10–17</w:t>
        </w:r>
      </w:hyperlink>
      <w:r>
        <w:t>). Algumas pessoas acreditam que Filipos pode ter sido a cidade natal de Lucas.</w:t>
      </w:r>
    </w:p>
    <w:p>
      <w:pPr>
        <w:pStyle w:val="ListBullet"/>
        <w:spacing w:line="240" w:lineRule="auto"/>
        <w:ind w:left="720"/>
      </w:pPr>
      <w:r/>
      <w:r>
        <w:t>Mais tarde, quando Paulo voltou a Filipos, Lucas juntou-se a ele novamente (</w:t>
      </w:r>
      <w:hyperlink r:id="rId13355">
        <w:r>
          <w:rPr>
            <w:color w:val="0000EE"/>
            <w:u w:val="single"/>
          </w:rPr>
          <w:t>At 20.5–15</w:t>
        </w:r>
      </w:hyperlink>
      <w:r>
        <w:t>).</w:t>
      </w:r>
    </w:p>
    <w:p>
      <w:pPr>
        <w:pStyle w:val="ListBullet"/>
        <w:spacing w:line="240" w:lineRule="auto"/>
        <w:ind w:left="720"/>
      </w:pPr>
      <w:r/>
      <w:r>
        <w:t>Lucas então viajou com Paulo a caminho de Jerusalém e ficou com Filipe em Cesareia (</w:t>
      </w:r>
      <w:hyperlink r:id="rId13356">
        <w:r>
          <w:rPr>
            <w:color w:val="0000EE"/>
            <w:u w:val="single"/>
          </w:rPr>
          <w:t>At 21.1–18</w:t>
        </w:r>
      </w:hyperlink>
      <w:r>
        <w:t>).</w:t>
      </w:r>
    </w:p>
    <w:p>
      <w:pPr>
        <w:pStyle w:val="ListBullet"/>
        <w:spacing w:line="240" w:lineRule="auto"/>
        <w:ind w:left="720"/>
      </w:pPr>
      <w:r/>
      <w:r>
        <w:t>Então, após os dois anos de prisão de Paulo em Cesareia, Lucas navegou com ele para Roma (</w:t>
      </w:r>
      <w:hyperlink r:id="rId2836">
        <w:r>
          <w:rPr>
            <w:color w:val="0000EE"/>
            <w:u w:val="single"/>
          </w:rPr>
          <w:t>At 27.1–28.16</w:t>
        </w:r>
      </w:hyperlink>
      <w:r>
        <w:t>).</w:t>
      </w:r>
    </w:p>
    <w:p>
      <w:pPr>
        <w:pStyle w:val="Heading3"/>
      </w:pPr>
      <w:r>
        <w:t>O que aprendemos sobre Lucas nas cartas de Paulo?</w:t>
      </w:r>
    </w:p>
    <w:p>
      <w:r/>
      <w:r>
        <w:t>Podemos aprender mais sobre Lucas a partir das cartas de Paulo (</w:t>
      </w:r>
      <w:hyperlink r:id="rId2828">
        <w:r>
          <w:rPr>
            <w:color w:val="0000EE"/>
            <w:u w:val="single"/>
          </w:rPr>
          <w:t>Cl 4.14</w:t>
        </w:r>
      </w:hyperlink>
      <w:r>
        <w:t xml:space="preserve">; </w:t>
      </w:r>
      <w:hyperlink r:id="rId2830">
        <w:r>
          <w:rPr>
            <w:color w:val="0000EE"/>
            <w:u w:val="single"/>
          </w:rPr>
          <w:t>2Tm 4.11</w:t>
        </w:r>
      </w:hyperlink>
      <w:r>
        <w:t xml:space="preserve">; </w:t>
      </w:r>
      <w:hyperlink r:id="rId2499">
        <w:r>
          <w:rPr>
            <w:color w:val="0000EE"/>
            <w:u w:val="single"/>
          </w:rPr>
          <w:t>Fl 1.24</w:t>
        </w:r>
      </w:hyperlink>
      <w:r>
        <w:t xml:space="preserve">). </w:t>
      </w:r>
      <w:hyperlink r:id="rId11687">
        <w:r>
          <w:rPr>
            <w:color w:val="0000EE"/>
            <w:u w:val="single"/>
          </w:rPr>
          <w:t>Colossenses 4.11</w:t>
        </w:r>
      </w:hyperlink>
      <w:r>
        <w:t xml:space="preserve"> e </w:t>
      </w:r>
      <w:hyperlink r:id="rId2828">
        <w:r>
          <w:rPr>
            <w:color w:val="0000EE"/>
            <w:u w:val="single"/>
          </w:rPr>
          <w:t>14</w:t>
        </w:r>
      </w:hyperlink>
      <w:r>
        <w:t xml:space="preserve"> parecem indicar que Lucas era um gentio (não judeu) e um médico. O interesse de Lucas em cura e detalhes médicos apoia a ideia de que ele era um médico. Por exemplo, ele descreve cuidadosamente várias vezes quando Jesus curou pessoas:</w:t>
      </w:r>
    </w:p>
    <w:p>
      <w:pPr>
        <w:pStyle w:val="ListBullet"/>
        <w:spacing w:line="240" w:lineRule="auto"/>
        <w:ind w:left="720"/>
      </w:pPr>
      <w:r/>
      <w:r>
        <w:t>Uma mulher com febre alta (</w:t>
      </w:r>
      <w:hyperlink r:id="rId13357">
        <w:r>
          <w:rPr>
            <w:color w:val="0000EE"/>
            <w:u w:val="single"/>
          </w:rPr>
          <w:t>Lc 4.38</w:t>
        </w:r>
      </w:hyperlink>
      <w:r>
        <w:t>)</w:t>
      </w:r>
    </w:p>
    <w:p>
      <w:pPr>
        <w:pStyle w:val="ListBullet"/>
        <w:spacing w:line="240" w:lineRule="auto"/>
        <w:ind w:left="720"/>
      </w:pPr>
      <w:r/>
      <w:r>
        <w:t>Um homem com uma doença de pele (</w:t>
      </w:r>
      <w:hyperlink r:id="rId13358">
        <w:r>
          <w:rPr>
            <w:color w:val="0000EE"/>
            <w:u w:val="single"/>
          </w:rPr>
          <w:t>Lc 5.12</w:t>
        </w:r>
      </w:hyperlink>
      <w:r>
        <w:t>)</w:t>
      </w:r>
    </w:p>
    <w:p>
      <w:pPr>
        <w:pStyle w:val="ListBullet"/>
        <w:spacing w:line="240" w:lineRule="auto"/>
        <w:ind w:left="720"/>
      </w:pPr>
      <w:r/>
      <w:r>
        <w:t>Uma mulher que estava sangrando há muitos anos (</w:t>
      </w:r>
      <w:hyperlink r:id="rId13359">
        <w:r>
          <w:rPr>
            <w:color w:val="0000EE"/>
            <w:u w:val="single"/>
          </w:rPr>
          <w:t>Lc 8.43</w:t>
        </w:r>
      </w:hyperlink>
      <w:r>
        <w:t>)</w:t>
      </w:r>
    </w:p>
    <w:p>
      <w:pPr>
        <w:pStyle w:val="Heading3"/>
      </w:pPr>
      <w:r>
        <w:t>O que os primeiros escritores cristãos disseram sobre Lucas?</w:t>
      </w:r>
    </w:p>
    <w:p>
      <w:r/>
      <w:r>
        <w:t>Escritores cristãos primitivos dos primeiros séculos também nos informam mais sobre Lucas. Eles afirmam que ele era um médico que vivia na cidade de Antioquia. De acordo com esses escritores, Lucas escreveu seu Evangelho enquanto estava na Acaia (uma região na Grécia) e viveu até os 84 anos de idade.</w:t>
      </w:r>
      <w:r/>
      <w:r/>
    </w:p>
    <w:p>
      <w:r/>
    </w:p>
    <w:p>
      <w:pPr>
        <w:pStyle w:val="Heading2"/>
      </w:pPr>
      <w:r>
        <w:t>Lucas, Evangelho de</w:t>
      </w:r>
      <w:r/>
    </w:p>
    <w:p>
      <w:r/>
      <w:r>
        <w:t>O terceiro livro do Novo Testamento; também o terceiro dos Evangelhos sinóticos (Mateus, Marcos e Lucas).</w:t>
      </w:r>
    </w:p>
    <w:p>
      <w:r/>
      <w:r>
        <w:t>Resumo</w:t>
      </w:r>
    </w:p>
    <w:p>
      <w:r/>
      <w:r>
        <w:t>• Autor</w:t>
      </w:r>
    </w:p>
    <w:p>
      <w:r/>
      <w:r>
        <w:t>• Data, origem e destino</w:t>
      </w:r>
    </w:p>
    <w:p>
      <w:r/>
      <w:r>
        <w:t>• Contexto</w:t>
      </w:r>
    </w:p>
    <w:p>
      <w:r/>
      <w:r>
        <w:t>• Propósito e ensino teológico</w:t>
      </w:r>
    </w:p>
    <w:p>
      <w:r/>
      <w:r>
        <w:t>• Conteúdo</w:t>
      </w:r>
    </w:p>
    <w:p>
      <w:pPr>
        <w:pStyle w:val="Heading3"/>
      </w:pPr>
      <w:r>
        <w:t>Autor</w:t>
      </w:r>
    </w:p>
    <w:p>
      <w:r/>
      <w:r>
        <w:t>A tradição atribui a autoria do evangelho ao estimado companheiro de Paulo, Lucas, o médico (</w:t>
      </w:r>
      <w:hyperlink r:id="rId2828">
        <w:r>
          <w:rPr>
            <w:color w:val="0000EE"/>
            <w:u w:val="single"/>
          </w:rPr>
          <w:t>Cl 4.14</w:t>
        </w:r>
      </w:hyperlink>
      <w:r>
        <w:t>). O evangelho não identifica seu autor pelo nome, mas ele é aparentemente bem conhecido entre os primeiros crentes. Ele obviamente vinha reunindo informações para seu projeto há algum tempo. Tanto em Lucas quanto em Atos, o destinatário é identificado como Teófilo.</w:t>
      </w:r>
    </w:p>
    <w:p>
      <w:r/>
      <w:r>
        <w:t>O testemunho interno de Atos para a autoria lucana também deve ser considerado, já que há uma relação estreita entre os dois livros. Em três extensos trechos de “nós”, o autor relata sua presença (</w:t>
      </w:r>
      <w:hyperlink r:id="rId13354">
        <w:r>
          <w:rPr>
            <w:color w:val="0000EE"/>
            <w:u w:val="single"/>
          </w:rPr>
          <w:t>At 16.10–17</w:t>
        </w:r>
      </w:hyperlink>
      <w:r>
        <w:t xml:space="preserve">; </w:t>
      </w:r>
      <w:hyperlink r:id="rId2835">
        <w:r>
          <w:rPr>
            <w:color w:val="0000EE"/>
            <w:u w:val="single"/>
          </w:rPr>
          <w:t>20.5–21.18</w:t>
        </w:r>
      </w:hyperlink>
      <w:r>
        <w:t xml:space="preserve">; </w:t>
      </w:r>
      <w:hyperlink r:id="rId2836">
        <w:r>
          <w:rPr>
            <w:color w:val="0000EE"/>
            <w:u w:val="single"/>
          </w:rPr>
          <w:t>27.1–28.16</w:t>
        </w:r>
      </w:hyperlink>
      <w:r>
        <w:t>). Estes parecem ser trechos de um diário de viagem; o último deles coloca o autor em Roma com o apóstolo Paulo. Podemos, pelo processo de eliminação, praticamente estabelecer Lucas como o autor.</w:t>
      </w:r>
    </w:p>
    <w:p>
      <w:pPr>
        <w:pStyle w:val="Heading3"/>
      </w:pPr>
      <w:r>
        <w:t>Data, origem e destino</w:t>
      </w:r>
    </w:p>
    <w:p>
      <w:r/>
      <w:r>
        <w:t xml:space="preserve">A datação de Lucas é debatida. Alguns argumentam por uma data após 70 d.C., mas isso retira de </w:t>
      </w:r>
      <w:hyperlink r:id="rId13360">
        <w:r>
          <w:rPr>
            <w:color w:val="0000EE"/>
            <w:u w:val="single"/>
          </w:rPr>
          <w:t>Lucas 21.20</w:t>
        </w:r>
      </w:hyperlink>
      <w:r>
        <w:t xml:space="preserve"> seu valor preditivo. Outros sugerem uma data anterior à morte de Paulo (64 d.C.). Esta última hipótese explicaria facilmente o fato de Atos concluir com seu ministério em Roma enquanto estava preso.</w:t>
      </w:r>
    </w:p>
    <w:p>
      <w:r/>
      <w:r>
        <w:t xml:space="preserve">O evangelho pode ter sido escrito em Roma, mas isso de forma alguma é certo. Ásia Menor e Grécia também foram sugeridas como possibilidades. O </w:t>
      </w:r>
      <w:r>
        <w:rPr>
          <w:i/>
        </w:rPr>
        <w:t>Prólogo Monarquiano a Lucas</w:t>
      </w:r>
      <w:r>
        <w:t xml:space="preserve"> apoia a última opção, mas sua confiabilidade é duvidosa. Foi em Roma que Lucas poderia ter usado o tempo de forma proveitosa para colocar os toques finais no terceiro evangelho.</w:t>
      </w:r>
    </w:p>
    <w:p>
      <w:r/>
      <w:r>
        <w:t>Lucas escreveu para Teófilo. Teófilo ("amado de Deus") provavelmente não é, como alguns sugerem, um termo genérico para todos os crentes. Ele era uma pessoa aparentemente não familiarizada com a geografia da Palestina, pois Lucas se preocupa em detalhá-la de tempos em tempos. Ele tem uma compreensão muito melhor do mundo greco-romano como um todo, já que Lucas assume que seu leitor está familiarizado com ele. Lucas também evita termos que possam ser confusos para um leitor gentio, como "hosana" em conexão com a entrada triunfante de Jesus em Jerusalém.</w:t>
      </w:r>
    </w:p>
    <w:p>
      <w:r/>
      <w:r>
        <w:t>Com toda a probabilidade, o terceiro evangelho foi composto em Roma enquanto Paulo aguardava julgamento, em ou antes de 64 d.C. Foi dedicado ao “excelentíssimo Teófilo” (</w:t>
      </w:r>
      <w:hyperlink r:id="rId13361">
        <w:r>
          <w:rPr>
            <w:color w:val="0000EE"/>
            <w:u w:val="single"/>
          </w:rPr>
          <w:t>Lc 1.3</w:t>
        </w:r>
      </w:hyperlink>
      <w:r>
        <w:t>), conforme um costume apropriado da época. Ele era um gentio proeminente que havia se tornado crente. Lucas queria instruí-lo (e a outros) mais cuidadosamente na fé.</w:t>
      </w:r>
    </w:p>
    <w:p>
      <w:pPr>
        <w:pStyle w:val="Heading3"/>
      </w:pPr>
      <w:r>
        <w:t>Contexto</w:t>
      </w:r>
    </w:p>
    <w:p>
      <w:r/>
      <w:r>
        <w:t>Jesus viveu sua vida em uma área de aproximadamente 80 quilômetros de largura e 241 quilômetros de comprimento, de Dã no norte a Berseba no sul. Além de Jerusalém, os lugares que ele supostamente visitou não são importantes para a história secular da região. Ele foi criado na humilde vila de Nazaré e viveu lá até cerca de 30 anos de idade. Cafarnaum tornou-se o centro de seu ministério na Galileia. Ele passou por Samaria ocasionalmente e ministrou em Perea. Ele foi traído e crucificado em Jerusalém. Ele ressuscitou triunfante no terceiro dia.</w:t>
      </w:r>
    </w:p>
    <w:p>
      <w:r/>
      <w:r>
        <w:t>Lucas escreve em retrospectiva. Sua perspectiva havia mudado durante o intervalo — geograficamente da Palestina para o Império Romano, politicamente de Israel para Roma, socialmente da sociedade judaica para a pagã, e religiosamente do templo para o horizonte da missão cristã. É como se uma era fosse sobreposta à outra, permitindo que o significado da vida e do ministério de Jesus fosse compreendido pela igreja primitiva.</w:t>
      </w:r>
    </w:p>
    <w:p>
      <w:pPr>
        <w:pStyle w:val="Heading3"/>
      </w:pPr>
      <w:r>
        <w:t>Propósito e ensino teológico</w:t>
      </w:r>
    </w:p>
    <w:p>
      <w:r/>
      <w:r>
        <w:t>Simeão expressou lindamente o tema redentor do evangelho de Lucas quando segurou Jesus em seus braços e exclamou: “Pois eu já vi com os meus próprios olhos a tua salvação, que preparaste na presença de todos os povos: uma luz para mostrar o teu caminho a todos os que não são judeus e para dar glória ao teu povo de Israel.” (</w:t>
      </w:r>
      <w:hyperlink r:id="rId10041">
        <w:r>
          <w:rPr>
            <w:color w:val="0000EE"/>
            <w:u w:val="single"/>
          </w:rPr>
          <w:t>Lc 2.30–32</w:t>
        </w:r>
      </w:hyperlink>
      <w:r>
        <w:t>, NTLH). Ele destacou Jesus como o Salvador há muito esperado, a esperança tanto dos gentios quanto dos judeus.</w:t>
      </w:r>
    </w:p>
    <w:p>
      <w:r/>
      <w:r>
        <w:t>Lucas entrelaçou a obra do Espírito Santo na vida e no ministério de Jesus. Jesus foi concebido pelo Espírito Santo (</w:t>
      </w:r>
      <w:hyperlink r:id="rId2011">
        <w:r>
          <w:rPr>
            <w:color w:val="0000EE"/>
            <w:u w:val="single"/>
          </w:rPr>
          <w:t>Lc 1.35</w:t>
        </w:r>
      </w:hyperlink>
      <w:r>
        <w:t>); o Espírito desceu sobre ele em seu batismo (</w:t>
      </w:r>
      <w:hyperlink r:id="rId2895">
        <w:r>
          <w:rPr>
            <w:color w:val="0000EE"/>
            <w:u w:val="single"/>
          </w:rPr>
          <w:t>3.22</w:t>
        </w:r>
      </w:hyperlink>
      <w:r>
        <w:t>); ele foi levado ao deserto pelo Espírito para ser tentado (</w:t>
      </w:r>
      <w:hyperlink r:id="rId13362">
        <w:r>
          <w:rPr>
            <w:color w:val="0000EE"/>
            <w:u w:val="single"/>
          </w:rPr>
          <w:t>4.2</w:t>
        </w:r>
      </w:hyperlink>
      <w:r>
        <w:t xml:space="preserve">); ele foi ungido pelo Espírito para seu ministério (v. </w:t>
      </w:r>
      <w:hyperlink r:id="rId1168">
        <w:r>
          <w:rPr>
            <w:color w:val="0000EE"/>
            <w:u w:val="single"/>
          </w:rPr>
          <w:t>18</w:t>
        </w:r>
      </w:hyperlink>
      <w:r>
        <w:t>). O Espírito está, por assim dizer, em segundo plano em relação aos trabalhos subsequentes de Jesus, mas o relacionamento é compreendido mesmo quando não é mencionado novamente.</w:t>
      </w:r>
    </w:p>
    <w:p>
      <w:r/>
      <w:r>
        <w:t>Lucas destacou a experiência da alegria messiânica. A hoste angelical anunciou o nascimento de Jesus com as palavras: “¹⁴ Glória a Deus nas maiores alturas do céu! E paz na terra para as pessoas a quem ele quer bem!” (</w:t>
      </w:r>
      <w:hyperlink r:id="rId11695">
        <w:r>
          <w:rPr>
            <w:color w:val="0000EE"/>
            <w:u w:val="single"/>
          </w:rPr>
          <w:t>2.14</w:t>
        </w:r>
      </w:hyperlink>
      <w:r>
        <w:t>, NTLH). Então, ao se aproximar de Jerusalém, a multidão que o acompanhava começou a louvar a Deus, dizendo: “Que Deus abençoe o Rei que vem em nome do Senhor! Paz no céu e glória a Deus!” (</w:t>
      </w:r>
      <w:hyperlink r:id="rId13363">
        <w:r>
          <w:rPr>
            <w:color w:val="0000EE"/>
            <w:u w:val="single"/>
          </w:rPr>
          <w:t>19.38</w:t>
        </w:r>
      </w:hyperlink>
      <w:r>
        <w:t>, NTLH).</w:t>
      </w:r>
    </w:p>
    <w:p>
      <w:r/>
      <w:r>
        <w:t>Tudo isso sugere que o tema redentor em Lucas é de caráter complexo. Aponta para Jesus como o Cristo e convida à resposta favorável tanto dos gentios quanto dos judeus. Integra o empoderamento do Espírito Santo para o ministério de Jesus e de seus discípulos, e enfatiza a alegria que acompanha a divulgação do evangelho. Estas são simplesmente variações sobre o único propósito redentor de Lucas.</w:t>
      </w:r>
    </w:p>
    <w:p>
      <w:r/>
      <w:r>
        <w:t>Outras preocupações surgem incidentalmente. O interesse de Lucas pela precisão histórica é uma delas. Seu objetivo apologético é outro. O lugar importante que ele dá à oração é um terceiro. A lista poderia ser estendida.</w:t>
      </w:r>
    </w:p>
    <w:p>
      <w:pPr>
        <w:pStyle w:val="Heading3"/>
      </w:pPr>
      <w:r>
        <w:t>Conteúdo</w:t>
      </w:r>
    </w:p>
    <w:p>
      <w:pPr>
        <w:pStyle w:val="Heading4"/>
      </w:pPr>
      <w:r>
        <w:t>Prólogo (</w:t>
      </w:r>
      <w:hyperlink r:id="rId2837">
        <w:r>
          <w:rPr>
            <w:color w:val="0000EE"/>
            <w:u w:val="single"/>
          </w:rPr>
          <w:t>1.1–4</w:t>
        </w:r>
      </w:hyperlink>
      <w:r>
        <w:t>)</w:t>
      </w:r>
    </w:p>
    <w:p>
      <w:r/>
      <w:r>
        <w:t>O evangelho começa com um prólogo formal. Lucas buscou registrar de maneira ordenada o que outros haviam transmitido como um legado de fé. Ele fez isso para estabelecer as credenciais históricas da fé e assegurar aos seus leitores a sua validade.</w:t>
      </w:r>
    </w:p>
    <w:p>
      <w:pPr>
        <w:pStyle w:val="Heading4"/>
      </w:pPr>
      <w:r>
        <w:t>Nascimento e Infância de Jesus (</w:t>
      </w:r>
      <w:hyperlink r:id="rId13364">
        <w:r>
          <w:rPr>
            <w:color w:val="0000EE"/>
            <w:u w:val="single"/>
          </w:rPr>
          <w:t>1.5–2.52</w:t>
        </w:r>
      </w:hyperlink>
      <w:r>
        <w:t>)</w:t>
      </w:r>
    </w:p>
    <w:p>
      <w:r/>
      <w:r>
        <w:t>Nenhum dos evangelhos é uma biografia completa de Jesus. No entanto, Lucas demonstrou um interesse especial em incidentes históricos, especialmente nas narrativas de natividade e infância. Ele relatou 10 episódios ao todo: a anunciação do nascimento de João Batista como precursor de Cristo; o anúncio do nascimento de Jesus a Maria; a visita de Maria a Isabel; o nascimento de João Batista; o tempo de João Batista no deserto; o nascimento de Jesus; a visita dos pastores; a circuncisão de Jesus; a apresentação de Jesus no templo; e a visita ao templo quando jovem.</w:t>
      </w:r>
    </w:p>
    <w:p>
      <w:r/>
      <w:r>
        <w:t xml:space="preserve">João Batista recebeu considerável atenção desde o início. Lucas registrou que foi durante o reinado de Herodes (Herodes, o Grande, 37–4 a.C.) que Zacarias, o sacerdote, estava ministrando no templo. (24 pelotões de sacerdotes serviam nessa função por duas semanas separadas ao longo do ano. O privilégio de queimar incenso era determinado por sorteio, e uma vez que o sacerdote o fazia, ele era desqualificado de repetir o ato.) Um anjo do Senhor apareceu a Zacarias enquanto ele estava prestes a queimar incenso, anunciando que ele e sua esposa, Isabel, teriam um filho, cujo nome deveria ser João. Ele deveria viver como um Nazireu (veja </w:t>
      </w:r>
      <w:hyperlink r:id="rId13365">
        <w:r>
          <w:rPr>
            <w:color w:val="0000EE"/>
            <w:u w:val="single"/>
          </w:rPr>
          <w:t>Nm 6.1–4</w:t>
        </w:r>
      </w:hyperlink>
      <w:r>
        <w:t>) e preparar o caminho para o Messias. Quando Zacarias hesitou em acreditar (ele e Isabel eram de idade avançada), o anjo o deixou mudo até o momento do nascimento do Prometido.</w:t>
      </w:r>
    </w:p>
    <w:p>
      <w:r/>
      <w:r>
        <w:t>Em seguida, ouvimos falar de João em conexão com a visita de Maria a Isabel. O bebê saltou no ventre de Isabel ao ouvir a saudação de Maria (</w:t>
      </w:r>
      <w:hyperlink r:id="rId13366">
        <w:r>
          <w:rPr>
            <w:color w:val="0000EE"/>
            <w:u w:val="single"/>
          </w:rPr>
          <w:t>Lc 1.41</w:t>
        </w:r>
      </w:hyperlink>
      <w:r>
        <w:t>). Lucas imediatamente seguiu este relato com o nascimento de João Batista. Zacarias nomeou a criança conforme havia sido instruído, recuperou a fala e começou a profetizar sobre a vinda do Messias e o papel preparatório que seu filho desempenharia. A criança cresceu e se tornou “cheia do poder do Espírito Santo”, permanecendo no deserto até que seu ministério público começasse.</w:t>
      </w:r>
    </w:p>
    <w:p>
      <w:r/>
      <w:r>
        <w:t>Lucas narrou a história do nascimento de Jesus do ponto de vista de Maria. O anjo Gabriel a visitou e anunciou que ela daria à luz o Messias (</w:t>
      </w:r>
      <w:hyperlink r:id="rId1999">
        <w:r>
          <w:rPr>
            <w:color w:val="0000EE"/>
            <w:u w:val="single"/>
          </w:rPr>
          <w:t>1.26–38</w:t>
        </w:r>
      </w:hyperlink>
      <w:r>
        <w:t>). Ela conceberia milagrosamente pelo Espírito Santo. Maria é retratada como devotamente submissa aos propósitos de Deus.</w:t>
      </w:r>
    </w:p>
    <w:p>
      <w:r/>
      <w:r>
        <w:t>Diz-se que o nascimento ocorreu quando Quirino era governador da Síria, e as pessoas tinham que viajar para suas cidades ancestrais para se registrar para um censo. Maria deu à luz em um estábulo em Belém. Anjos anunciaram o nascimento aos pastores, que deixaram seus rebanhos para ver a criança. Maria guardou esses eventos e continuou a refletir sobre seu significado.</w:t>
      </w:r>
    </w:p>
    <w:p>
      <w:r/>
      <w:r>
        <w:t>Após Maria ter cumprido seus 40 dias de purificação ritual, ela foi com José ao templo para apresentar Jesus ao Senhor (</w:t>
      </w:r>
      <w:hyperlink r:id="rId13367">
        <w:r>
          <w:rPr>
            <w:color w:val="0000EE"/>
            <w:u w:val="single"/>
          </w:rPr>
          <w:t>2.21–40</w:t>
        </w:r>
      </w:hyperlink>
      <w:r>
        <w:t>). Lá, Simeão e Ana, duas pessoas idosas e devotas, reconheceram o bebê como o Messias prometido. Simeão concluiu que Jesus faria muitos em Israel caírem e se levantarem, e traria profunda tristeza ao coração de Maria.</w:t>
      </w:r>
    </w:p>
    <w:p>
      <w:r/>
      <w:r>
        <w:t>As narrativas do nascimento e infância se encerram com a visita de Jesus ao templo aos 12 anos para celebrar a Festa da Páscoa. José e Maria deixaram Jesus para trás no templo, supondo que ele estava entre parentes ou amigos. Eles voltaram e o encontraram no templo conversando com os rabinos—ouvindo-os e surpreendendo-os com seu próprio entendimento. Lucas concluiu dizendo que “Conforme crescia, Jesus ia crescendo também em sabedoria, e tanto Deus como as pessoas gostavam cada vez mais dele” (</w:t>
      </w:r>
      <w:hyperlink r:id="rId13368">
        <w:r>
          <w:rPr>
            <w:color w:val="0000EE"/>
            <w:u w:val="single"/>
          </w:rPr>
          <w:t>2.52</w:t>
        </w:r>
      </w:hyperlink>
      <w:r>
        <w:t>, NTLH).</w:t>
      </w:r>
    </w:p>
    <w:p>
      <w:pPr>
        <w:pStyle w:val="Heading4"/>
      </w:pPr>
      <w:r>
        <w:t>Início do ministério público (</w:t>
      </w:r>
      <w:hyperlink r:id="rId13369">
        <w:r>
          <w:rPr>
            <w:color w:val="0000EE"/>
            <w:u w:val="single"/>
          </w:rPr>
          <w:t>3.1–4.30</w:t>
        </w:r>
      </w:hyperlink>
      <w:r>
        <w:t>)</w:t>
      </w:r>
    </w:p>
    <w:p>
      <w:r/>
      <w:r>
        <w:t>Lucas registrou os eventos relacionados à inauguração do ministério de Jesus. Estes incluem o ministério de João Batista, o batismo de Jesus, sua genealogia, sua tentação e o anúncio público em Nazaré. Lucas datou o início do ministério de João Batista de pelo menos seis maneiras: com os mandatos de Tibério César, Pôncio Pilatos, Herodes Antipas, Filipe, Lisânias, e Anás e Caifás. João pregava um batismo de arrependimento em preparação para a vinda do Messias. Multidões iam ao deserto para ouvi-lo e serem batizadas por ele.</w:t>
      </w:r>
    </w:p>
    <w:p>
      <w:r/>
      <w:r>
        <w:t>Jesus também veio para ser batizado. (Lucas não registra o protesto de João de que Jesus deveria batizá-lo, nem a insistência de Jesus de que isso precisava ser feito—aparentemente para se identificar com o povo e antecipar sua morte vicária em favor deles.) O batismo marcou a entrada de Jesus no ministério público. Lucas inseriu o que pode ser o registro genealógico através de Maria, consistente com seus esforços anteriores para narrar os eventos a partir da perspectiva dela.</w:t>
      </w:r>
    </w:p>
    <w:p>
      <w:r/>
      <w:r>
        <w:t>A tentação de Jesus foi um teste de seu ministério messiânico. A introdução a duas das tentações, “Se você é o Filho de Deus”, foi planejada para fazê-lo duvidar das palavras ouvidas em seu batismo, “Tu és o meu Filho querido” (</w:t>
      </w:r>
      <w:hyperlink r:id="rId2895">
        <w:r>
          <w:rPr>
            <w:color w:val="0000EE"/>
            <w:u w:val="single"/>
          </w:rPr>
          <w:t>3.22</w:t>
        </w:r>
      </w:hyperlink>
      <w:r>
        <w:t xml:space="preserve">; </w:t>
      </w:r>
      <w:hyperlink r:id="rId13370">
        <w:r>
          <w:rPr>
            <w:color w:val="0000EE"/>
            <w:u w:val="single"/>
          </w:rPr>
          <w:t>4.3,9</w:t>
        </w:r>
      </w:hyperlink>
      <w:r>
        <w:t>). Satanás esperava persuadir Jesus a buscar cumprir seu chamado e ainda assim evitar a cruz. Em cada ocasião, Jesus rebateu a tentação com uma citação das Escrituras.</w:t>
      </w:r>
    </w:p>
    <w:p>
      <w:r/>
      <w:r>
        <w:t>Jesus retornou à Galileia e à sinagoga em Nazaré. Ali, ele anunciou seu ministério público com palavras emprestadas da observância do jubileu e associadas à era messiânica (</w:t>
      </w:r>
      <w:hyperlink r:id="rId8682">
        <w:r>
          <w:rPr>
            <w:color w:val="0000EE"/>
            <w:u w:val="single"/>
          </w:rPr>
          <w:t>4.18,19</w:t>
        </w:r>
      </w:hyperlink>
      <w:r>
        <w:t xml:space="preserve">; cf. </w:t>
      </w:r>
      <w:hyperlink r:id="rId6412">
        <w:r>
          <w:rPr>
            <w:color w:val="0000EE"/>
            <w:u w:val="single"/>
          </w:rPr>
          <w:t>Is 61.1,2</w:t>
        </w:r>
      </w:hyperlink>
      <w:r>
        <w:t>). Essas palavras refletiam tanto o foco religioso quanto as amplas implicações sociais do ministério que estava por vir. O anúncio oferecia especialmente esperança àqueles que estavam oprimidos e ostracizados pela sociedade. Quando os presentes questionaram suas credenciais, Jesus respondeu: “Nenhum profeta é bem-recebido na sua própria terra” (</w:t>
      </w:r>
      <w:hyperlink r:id="rId13371">
        <w:r>
          <w:rPr>
            <w:color w:val="0000EE"/>
            <w:u w:val="single"/>
          </w:rPr>
          <w:t>Lc 4.24</w:t>
        </w:r>
      </w:hyperlink>
      <w:r>
        <w:t>). E quando tentaram lançá-lo do alto de uma colina, ele passou pelo meio deles e seguiu seu caminho.</w:t>
      </w:r>
    </w:p>
    <w:p>
      <w:pPr>
        <w:pStyle w:val="Heading4"/>
      </w:pPr>
      <w:r>
        <w:t>O ministério galileu (</w:t>
      </w:r>
      <w:hyperlink r:id="rId13372">
        <w:r>
          <w:rPr>
            <w:color w:val="0000EE"/>
            <w:u w:val="single"/>
          </w:rPr>
          <w:t>4.31–9.50</w:t>
        </w:r>
      </w:hyperlink>
      <w:r>
        <w:t>)</w:t>
      </w:r>
    </w:p>
    <w:p>
      <w:r/>
      <w:r>
        <w:t>Jesus transferiu o centro de sua atividade para Cafarnaum. Lucas registra uma variedade de episódios associados ao ministério na Galileia que se seguem. Aproximadamente 30 instâncias são mencionadas. Cerca de um terço envolve algum acontecimento extraordinário, como cura, exorcismo, ressurreição de mortos ou alimentação de uma multidão. Esses foram eventos associados à era messiânica.</w:t>
      </w:r>
    </w:p>
    <w:p>
      <w:r/>
      <w:r>
        <w:t>No entanto, foi o ensinamento de Jesus que inicialmente parece ter chamado a atenção do povo. Ele não ensinava como os rabinos, que se baseavam em precedentes tradicionais, mas ensinava com a autoridade de seu ofício messiânico. Lucas entrelaçou sua narrativa com uma quantidade considerável dos ensinamentos de Jesus. Há uma seção bastante extensa sobre a observância do sábado (</w:t>
      </w:r>
      <w:hyperlink r:id="rId13373">
        <w:r>
          <w:rPr>
            <w:color w:val="0000EE"/>
            <w:u w:val="single"/>
          </w:rPr>
          <w:t>6.1–11</w:t>
        </w:r>
      </w:hyperlink>
      <w:r>
        <w:t>). No entanto, é menos proeminente do que o sermão de Jesus "na planície", com seus comentários extensos sobre bênçãos e maldições, amor aos inimigos, julgamento dos outros, conhecer alguém por seus frutos e construtores sábios e tolos (</w:t>
      </w:r>
      <w:hyperlink r:id="rId13374">
        <w:r>
          <w:rPr>
            <w:color w:val="0000EE"/>
            <w:u w:val="single"/>
          </w:rPr>
          <w:t>6.12–49</w:t>
        </w:r>
      </w:hyperlink>
      <w:r>
        <w:t>). Jesus ensinava por meio de parábolas, e Lucas registrou as do semeador e da lâmpada (</w:t>
      </w:r>
      <w:hyperlink r:id="rId13375">
        <w:r>
          <w:rPr>
            <w:color w:val="0000EE"/>
            <w:u w:val="single"/>
          </w:rPr>
          <w:t>8.1–18</w:t>
        </w:r>
      </w:hyperlink>
      <w:r>
        <w:t>). No primeiro caso, a semente representa a palavra de Deus, e o solo a preparação variada para receber a Palavra. Assim, os discípulos poderiam entender melhor os resultados mistos do ministério de Jesus e do próprio. Outros ficariam perplexos com as parábolas.</w:t>
      </w:r>
    </w:p>
    <w:p>
      <w:r/>
      <w:r>
        <w:t>Lucas descreveu o chamado de alguns discípulos. Ele mencionou Pedro, Tiago e João, e em um momento posterior Levi (</w:t>
      </w:r>
      <w:hyperlink r:id="rId13376">
        <w:r>
          <w:rPr>
            <w:color w:val="0000EE"/>
            <w:u w:val="single"/>
          </w:rPr>
          <w:t>5.1–11,27–32</w:t>
        </w:r>
      </w:hyperlink>
      <w:r>
        <w:t>). Os primeiros foram chamados de seus barcos de pesca e o último de sua coletoria de impostos. Todos foram convocados a seguir Cristo em seu ministério messiânico pelo interior da Galileia. Mais tarde, quando havia 12 discípulos, Jesus os enviou para pregar o reino e curar os enfermos (</w:t>
      </w:r>
      <w:hyperlink r:id="rId13377">
        <w:r>
          <w:rPr>
            <w:color w:val="0000EE"/>
            <w:u w:val="single"/>
          </w:rPr>
          <w:t>9.1–11</w:t>
        </w:r>
      </w:hyperlink>
      <w:r>
        <w:t>). Sem dúvida, muitos contribuíram para o ministério ampliado. Lucas registrou certas mulheres que viajavam com eles e “com os seus próprios recursos, ajudavam Jesus e os seus discípulos” (</w:t>
      </w:r>
      <w:hyperlink r:id="rId13378">
        <w:r>
          <w:rPr>
            <w:color w:val="0000EE"/>
            <w:u w:val="single"/>
          </w:rPr>
          <w:t>8.3</w:t>
        </w:r>
      </w:hyperlink>
      <w:r>
        <w:t>, NTLH).</w:t>
      </w:r>
    </w:p>
    <w:p>
      <w:r/>
      <w:r>
        <w:t>Sente-se uma maré crescente de entusiasmo em relação à empreitada na Galileia. Começa com Jesus sozinho, trabalhando na obscuridade, e termina com um grupo fiel de seguidores, multidões atentas às suas palavras, e seu nome circulando por toda a região. A seção atinge o ápice com a confissão de Pedro de que Jesus é o Cristo e a transfiguração de Jesus (</w:t>
      </w:r>
      <w:hyperlink r:id="rId13379">
        <w:r>
          <w:rPr>
            <w:color w:val="0000EE"/>
            <w:u w:val="single"/>
          </w:rPr>
          <w:t>9.10–36</w:t>
        </w:r>
      </w:hyperlink>
      <w:r>
        <w:t>). A presença de Moisés e Elias representa a lei e os profetas como subordinados ao Messias.</w:t>
      </w:r>
    </w:p>
    <w:p>
      <w:r/>
      <w:r>
        <w:t>A cena muda abruptamente para o pé do monte, onde os discípulos não conseguiram libertar um menino possuído por um demônio. Aqui, Jesus destacou a necessidade de recursos espirituais para atender às necessidades do reino e, posteriormente (em resposta à discussão dos discípulos sobre quem seria o maior), fez um apelo à humildade.</w:t>
      </w:r>
    </w:p>
    <w:p>
      <w:pPr>
        <w:pStyle w:val="Heading4"/>
      </w:pPr>
      <w:r>
        <w:t>A jornada para Jerusalém (</w:t>
      </w:r>
      <w:hyperlink r:id="rId13380">
        <w:r>
          <w:rPr>
            <w:color w:val="0000EE"/>
            <w:u w:val="single"/>
          </w:rPr>
          <w:t>9.51–19.27</w:t>
        </w:r>
      </w:hyperlink>
      <w:r>
        <w:t>)</w:t>
      </w:r>
    </w:p>
    <w:p>
      <w:r/>
      <w:r>
        <w:t>Lucas relatou em seguida o ministério de Jesus a caminho de Jerusalém. Isso às vezes é chamado de ministério Pereano, assumindo que grande parte ocorreu do outro lado do Jordão, no distrito de Perea. Também é graficamente descrito como “o caminho para a cruz”. O número de incidentes é aproximadamente o mesmo que na seção anterior, embora o texto seja cerca de 25 por cento mais longo.</w:t>
      </w:r>
    </w:p>
    <w:p>
      <w:r/>
      <w:r>
        <w:t>A oposição é vista crescendo desde o início. Jesus enviou mensageiros à frente para preparar sua chegada a uma aldeia samaritana. No entanto, os habitantes não o receberam, pois ele estava a caminho de Jerusalém. Havia animosidade entre os judeus e os samaritanos. Estes últimos haviam se estabelecido na terra durante a ocupação assíria e trouxeram consigo costumes religiosos e sociais estrangeiros, resultando em um sincretismo repugnante para os judeus. Certos discípulos perguntaram se Jesus gostaria que eles trouxessem fogo do céu sobre a aldeia, mas Jesus os repreendeu. Ele demonstrou um espírito mais conciliador.</w:t>
      </w:r>
    </w:p>
    <w:p>
      <w:r/>
      <w:r>
        <w:t>Lucas reintroduziu os samaritanos em conexão com uma história que Jesus conta (</w:t>
      </w:r>
      <w:hyperlink r:id="rId13381">
        <w:r>
          <w:rPr>
            <w:color w:val="0000EE"/>
            <w:u w:val="single"/>
          </w:rPr>
          <w:t>10.25–37</w:t>
        </w:r>
      </w:hyperlink>
      <w:r>
        <w:t xml:space="preserve">). Parece que um homem foi atacado por ladrões, que o deixaram quase morto. Primeiro um sacerdote e depois um levita passaram, cada um caminhando pelo lado oposto da estrada. Outro passou por ali e teve piedade do estranho ferido. Ele enfaixou suas feridas e o levou a uma hospedaria onde poderia ser cuidado às custas de seu benfeitor. Jesus acrescentou o detalhe de que o homem que parou para ajudar era um samaritano. Somente ele entendeu que um vizinho é aquele com quem fazemos amizade, em vez de aquele que faz amizade conosco. (Os samaritanos reaparecem mais uma vez no relato de 10 leprosos que foram curados, dos quais apenas um samaritano voltou para agradecer — </w:t>
      </w:r>
      <w:hyperlink r:id="rId13382">
        <w:r>
          <w:rPr>
            <w:color w:val="0000EE"/>
            <w:u w:val="single"/>
          </w:rPr>
          <w:t>17.11–19</w:t>
        </w:r>
      </w:hyperlink>
      <w:r>
        <w:t>.)</w:t>
      </w:r>
    </w:p>
    <w:p>
      <w:r/>
      <w:r>
        <w:t>A história do bom samaritano sugere a oposição que Jesus estava enfrentando do estabelecimento religioso centrado em Jerusalém. Mesmo com o aumento das multidões, Jesus observou: “No Dia do Juízo a rainha de Sabá vai se levantar e acusar vocês, pois ela veio de muito longe para ouvir os sábios ensinamentos de Salomão. E eu afirmo que o que está aquié mais importante do que Salomão” (</w:t>
      </w:r>
      <w:hyperlink r:id="rId13383">
        <w:r>
          <w:rPr>
            <w:color w:val="0000EE"/>
            <w:u w:val="single"/>
          </w:rPr>
          <w:t>11.31</w:t>
        </w:r>
      </w:hyperlink>
      <w:r>
        <w:t>, NTLH). Da mesma forma, os homens de Nínive se levantarão para condenar a geração presente, porque se arrependeram com a pregação de Jonas, e agora alguém maior que Jonas está aqui.</w:t>
      </w:r>
    </w:p>
    <w:p>
      <w:r/>
      <w:r>
        <w:t>Jesus reservou a mais severa repreensão para aqueles fariseus que contestavam cada um de seus movimentos. Jesus e os fariseus frequentavam ambientes muito semelhantes. Alguns tinham sido simpáticos à sua mensagem, mas esses parecem ter sido a minoria. Jesus retratou os fariseus como legalistas meticulosos (</w:t>
      </w:r>
      <w:hyperlink r:id="rId2301">
        <w:r>
          <w:rPr>
            <w:color w:val="0000EE"/>
            <w:u w:val="single"/>
          </w:rPr>
          <w:t>11.37–44</w:t>
        </w:r>
      </w:hyperlink>
      <w:r>
        <w:t>). Os eventos estavam se encaminhando para um clímax. Jesus havia profetizado sua morte iminente e subsequente ressurreição. Seu rosto estava voltado para Jerusalém. Quando alguns fariseus solícitos o avisaram sobre o plano de Herodes Antipas de matá-lo, ele se recusou a ser intimidado (</w:t>
      </w:r>
      <w:hyperlink r:id="rId13384">
        <w:r>
          <w:rPr>
            <w:color w:val="0000EE"/>
            <w:u w:val="single"/>
          </w:rPr>
          <w:t>13.32,33</w:t>
        </w:r>
      </w:hyperlink>
      <w:r>
        <w:t>).</w:t>
      </w:r>
    </w:p>
    <w:p>
      <w:r/>
      <w:r>
        <w:t>Parábolas abundam nesta seção do evangelho. Elas incluem as do bom samaritano, semente de mostarda, fermento, porta estreita, convite para um banquete de casamento, grande banquete, construtor de torres, rei que vai à guerra, ovelha perdida, moeda perdida, filho pródigo, administrador injusto, homem rico e Lázaro, fariseu e publicano, e dez minas. Estas parecem se encaixar em uma de três categorias, embora talvez não exclusivamente. Uma delas tem a ver com aceitar pecadores. (Embora as Escrituras revelem que todos somos pecadores, "pecadores" nos evangelhos sinóticos refere-se a judeus não observantes.) Um exemplo clássico é a história do filho pródigo (</w:t>
      </w:r>
      <w:hyperlink r:id="rId8697">
        <w:r>
          <w:rPr>
            <w:color w:val="0000EE"/>
            <w:u w:val="single"/>
          </w:rPr>
          <w:t>15.11–32</w:t>
        </w:r>
      </w:hyperlink>
      <w:r>
        <w:t>).</w:t>
      </w:r>
    </w:p>
    <w:p>
      <w:r/>
      <w:r>
        <w:t>A segunda categoria pode ser chamada de parábolas do reino. Elas sugerem que, embora o reino comece de maneira relativamente insignificante, ele se expandirá para proporções incríveis. Elas também alertam que nem tudo que parece ser parte do crescimento é uma verdadeira extensão do reino. Esses enfoques podem ser reconhecidos ao comparar as parábolas do grão de mostarda, do fermento e da porta estreita (</w:t>
      </w:r>
      <w:hyperlink r:id="rId13385">
        <w:r>
          <w:rPr>
            <w:color w:val="0000EE"/>
            <w:u w:val="single"/>
          </w:rPr>
          <w:t>13.18–30</w:t>
        </w:r>
      </w:hyperlink>
      <w:r>
        <w:t>).</w:t>
      </w:r>
    </w:p>
    <w:p>
      <w:r/>
      <w:r>
        <w:t>A terceira categoria trata da administração. Jesus contou uma parábola assim quando se aproximavam de Jerusalém (</w:t>
      </w:r>
      <w:hyperlink r:id="rId3086">
        <w:r>
          <w:rPr>
            <w:color w:val="0000EE"/>
            <w:u w:val="single"/>
          </w:rPr>
          <w:t>19.11–27</w:t>
        </w:r>
      </w:hyperlink>
      <w:r>
        <w:t>). Envolvia um homem de nobre nascimento que foi para um país distante, deixando seus servos com dez minas cada (uma mina era cerca de três meses de salário para trabalhadores). Eles deveriam investir as minas para que o homem tivesse um bom lucro quando voltasse. Ao retornar, o nobre chamou seus servos para obter uma prestação de contas deles. Aqueles que foram encontrados fiéis em coisas menores receberam maiores oportunidades, mas aquele que falhou perdeu até mesmo o que lhe havia sido dado.</w:t>
      </w:r>
    </w:p>
    <w:p>
      <w:r/>
      <w:r>
        <w:t>Há algumas cenas especialmente comoventes na narrativa do Evangelho. Uma mostra Jesus acolhendo as crianças pequenas (</w:t>
      </w:r>
      <w:hyperlink r:id="rId13386">
        <w:r>
          <w:rPr>
            <w:color w:val="0000EE"/>
            <w:u w:val="single"/>
          </w:rPr>
          <w:t>18.15–17</w:t>
        </w:r>
      </w:hyperlink>
      <w:r>
        <w:t xml:space="preserve">). Outra descreve um governante rico que perguntou a Jesus como poderia obter a vida eterna (vv </w:t>
      </w:r>
      <w:hyperlink r:id="rId13387">
        <w:r>
          <w:rPr>
            <w:color w:val="0000EE"/>
            <w:u w:val="single"/>
          </w:rPr>
          <w:t>18–30</w:t>
        </w:r>
      </w:hyperlink>
      <w:r>
        <w:t>). Ainda outro episódio diz respeito a um coletor de impostos chamado Zaqueu (</w:t>
      </w:r>
      <w:hyperlink r:id="rId11768">
        <w:r>
          <w:rPr>
            <w:color w:val="0000EE"/>
            <w:u w:val="single"/>
          </w:rPr>
          <w:t>19.1–10</w:t>
        </w:r>
      </w:hyperlink>
      <w:r>
        <w:t>). Estas nos ajudam a ter uma melhor apreciação do ministério diversificado de Jesus.</w:t>
      </w:r>
    </w:p>
    <w:p>
      <w:r/>
      <w:r>
        <w:t>Lenta mas seguramente, Jesus havia feito seu caminho até Jerusalém. Ele encontrou oposição crescente. A cruz estava logo além do horizonte. Ele ministrava enquanto o tempo permitia.</w:t>
      </w:r>
    </w:p>
    <w:p>
      <w:pPr>
        <w:pStyle w:val="Heading4"/>
      </w:pPr>
      <w:r>
        <w:t>Morte e ressurreição de Jesus (</w:t>
      </w:r>
      <w:hyperlink r:id="rId13388">
        <w:r>
          <w:rPr>
            <w:color w:val="0000EE"/>
            <w:u w:val="single"/>
          </w:rPr>
          <w:t>19.28–24.53</w:t>
        </w:r>
      </w:hyperlink>
      <w:r>
        <w:t>)</w:t>
      </w:r>
    </w:p>
    <w:p>
      <w:r/>
      <w:r>
        <w:t>Lucas concluiu seu relato com a semana da paixão. Primeiro é a entrada triunfal de Cristo (</w:t>
      </w:r>
      <w:hyperlink r:id="rId13389">
        <w:r>
          <w:rPr>
            <w:color w:val="0000EE"/>
            <w:u w:val="single"/>
          </w:rPr>
          <w:t>19.28–44</w:t>
        </w:r>
      </w:hyperlink>
      <w:r>
        <w:t>). Quando aqueles que estavam com Jesus chegaram ao cume do Monte das Oliveiras, começaram a louvar a Deus por todos os milagres que haviam visto: “Que Deus abençoe o Rei que vem em nome do Senhor! Paz no céu e glória a Deus!” (</w:t>
      </w:r>
      <w:hyperlink r:id="rId13363">
        <w:r>
          <w:rPr>
            <w:color w:val="0000EE"/>
            <w:u w:val="single"/>
          </w:rPr>
          <w:t>19.38</w:t>
        </w:r>
      </w:hyperlink>
      <w:r>
        <w:t>, NTLH). A alegria da multidão contrasta fortemente com o choro de Jesus sobre uma cidade impenitente e lamentando a destruição que lhe seria imposta.</w:t>
      </w:r>
    </w:p>
    <w:p>
      <w:r/>
      <w:r>
        <w:t>Ao entrar na área do templo, Jesus começou a expulsar aqueles que estavam vendendo mercadorias ali. A casa de Deus deveria ser uma casa de oração, mas — Jesus protesta — eles a transformaram em um covil de ladrões. Ele continuou a ensinar diariamente nos recintos do templo, enquanto os líderes religiosos tramavam como matá-lo sem incitar a ira do povo.</w:t>
      </w:r>
    </w:p>
    <w:p>
      <w:r/>
      <w:r>
        <w:t>Lucas registrou parte da troca com os líderes e o povo (</w:t>
      </w:r>
      <w:hyperlink r:id="rId13390">
        <w:r>
          <w:rPr>
            <w:color w:val="0000EE"/>
            <w:u w:val="single"/>
          </w:rPr>
          <w:t>Lc 20–21</w:t>
        </w:r>
      </w:hyperlink>
      <w:r>
        <w:t>). Isso inclui um desafio à autoridade de Jesus, a parábola dos lavradores maus, a questão sobre pagar impostos a César, outra questão sobre a ressurreição, a pergunta de Jesus sobre como entender a ascendência davídica e o senhorio do Messias, advertência contra os escribas, comentários sobre a oferta da viúva e discurso sobre o fim dos tempos. Esta ampla gama de tópicos está relacionada à disputa messiânica em andamento.</w:t>
      </w:r>
    </w:p>
    <w:p>
      <w:r/>
      <w:r>
        <w:t>O problema, como Lucas o representa, parece ser menos intelectual e mais moral. O estabelecimento religioso estava determinado a manter sua posição privilegiada a todo custo. Este rabino galileu era uma ameaça séria que precisava ser eliminada. Era apenas uma questão de esperar pela oportunidade certa. Ela surgiu quando Judas Iscariotes se ofereceu para trair Jesus (</w:t>
      </w:r>
      <w:hyperlink r:id="rId13391">
        <w:r>
          <w:rPr>
            <w:color w:val="0000EE"/>
            <w:u w:val="single"/>
          </w:rPr>
          <w:t>22.1–6</w:t>
        </w:r>
      </w:hyperlink>
      <w:r>
        <w:t>).</w:t>
      </w:r>
    </w:p>
    <w:p>
      <w:r/>
      <w:r>
        <w:t>A Santa Ceia e a vigília de oração no Getsêmani ocorrem entre a conspiração dos líderes e a prisão de Jesus (</w:t>
      </w:r>
      <w:hyperlink r:id="rId13392">
        <w:r>
          <w:rPr>
            <w:color w:val="0000EE"/>
            <w:u w:val="single"/>
          </w:rPr>
          <w:t>22.7–46</w:t>
        </w:r>
      </w:hyperlink>
      <w:r>
        <w:t>). Do cenáculo, Jesus e os discípulos atravessaram o Vale do Cedrom até o Monte das Oliveiras. Aqui, Jesus orou em preparação para a crucificação que se aproximava. Os discípulos dormiram, exaustos pelas exigências intensas daqueles dias. Logo Judas apareceu para identificar Jesus, e os soldados o levaram rapidamente para comparecer diante do sumo sacerdote. Pedro negou Cristo, temendo por sua própria vida. Jesus foi condenado pelo Sinédrio. (Os comentaristas debatem se esta foi uma sessão formal do conselho dos anciãos judeus.) Ele foi enviado ao governador romano, Pôncio Pilatos, depois a Herodes Antipas, e novamente de volta a Pilatos. Pilatos não viu razão para condenar Jesus à morte, mas a multidão foi incitada pelos líderes judeus a exigir sua crucificação. Pilatos cedeu à pressão deles quando as alternativas pareciam lhe escapar.</w:t>
      </w:r>
    </w:p>
    <w:p>
      <w:r/>
      <w:r>
        <w:t>Jesus foi levado para ser crucificado. Apenas Lucas mencionou aqueles que o lamentaram (</w:t>
      </w:r>
      <w:hyperlink r:id="rId13393">
        <w:r>
          <w:rPr>
            <w:color w:val="0000EE"/>
            <w:u w:val="single"/>
          </w:rPr>
          <w:t>23.27</w:t>
        </w:r>
      </w:hyperlink>
      <w:r>
        <w:t>). Jesus os advertiu a lamentarem por si mesmos e por seus filhos. Aqui e no futuro, vemos a preocupação de Jesus pelos outros em meio à sua própria agonia: aqueles que o crucificavam, o criminoso arrependido e sua mãe, Maria.</w:t>
      </w:r>
    </w:p>
    <w:p>
      <w:r/>
      <w:r>
        <w:t>Lucas registra uma resposta mista à crucificação. As pessoas ficaram observando, como se estivessem imobilizadas pela rapidez dos eventos. Elas podem ter se sentido impotentes para intervir, mesmo que estivessem dispostas a fazê-lo. Alguns dos líderes religiosos chegaram ao ponto de zombar de Jesus: “Ele salvou os outros. Que salve a si mesmo, se é, de fato, o Messias que Deus escolheu!” (</w:t>
      </w:r>
      <w:hyperlink r:id="rId10112">
        <w:r>
          <w:rPr>
            <w:color w:val="0000EE"/>
            <w:u w:val="single"/>
          </w:rPr>
          <w:t>23.35</w:t>
        </w:r>
      </w:hyperlink>
      <w:r>
        <w:t>, NTLH). Um criminoso endurecido juntou-se à zombaria deles; o outro pediu clemência.</w:t>
      </w:r>
    </w:p>
    <w:p>
      <w:r/>
      <w:r>
        <w:t>A escuridão envolveu a cena. O véu do templo foi rasgado, sugerindo que o acesso estava sendo disponibilizado através do sangue derramado de Cristo. Jesus entregou seu espírito ao Pai e deu seu último suspiro. Seu corpo foi colocado no túmulo de José de Arimateia. As mulheres prepararam especiarias e perfumes para o sepultamento, mas descansaram no sábado em obediência ao mandamento.</w:t>
      </w:r>
    </w:p>
    <w:p>
      <w:r/>
      <w:r>
        <w:t>No início do primeiro dia da semana, as mulheres se aproximaram do túmulo e encontraram a pedra que guardava sua entrada removida e o corpo de Jesus desaparecido. De repente, duas figuras em trajes resplandecentes estavam ao lado delas. Elas anunciaram às mulheres assustadas: “Ele não está aqui, mas foi ressuscitado” (</w:t>
      </w:r>
      <w:hyperlink r:id="rId13394">
        <w:r>
          <w:rPr>
            <w:color w:val="0000EE"/>
            <w:u w:val="single"/>
          </w:rPr>
          <w:t>24.6</w:t>
        </w:r>
      </w:hyperlink>
      <w:r>
        <w:t>, NTLH). As mulheres voltaram para relatar aos apóstolos. Pedro correu para confirmar suas descobertas. Ele encontrou as tiras de linho dispostas como estavam, mas o corpo estava ausente. Ele se perguntou o que havia acontecido.</w:t>
      </w:r>
    </w:p>
    <w:p>
      <w:r/>
      <w:r>
        <w:t>No mesmo dia, dois discípulos estavam indo para uma vila chamada Emaús. Eles estavam discutindo o que havia acontecido em Jerusalém quando Jesus se juntou a eles. Eles não conseguiram reconhecê-lo até mais tarde, quando ele partiu o pão com eles. Eles voltaram apressadamente para Jerusalém para reafirmar à comunidade que era verdade que o Senhor havia ressuscitado.</w:t>
      </w:r>
    </w:p>
    <w:p>
      <w:r/>
      <w:r>
        <w:t>Enquanto eles ainda estavam conversando, Jesus apareceu no meio deles. “Olhem para as minhas mãos e para os meus pés e vejam que sou eu mesmo. Toquem em mim e vocês vão crer, pois um fantasma não tem carne nem ossos, como vocês estão vendo que eu tenho” (</w:t>
      </w:r>
      <w:hyperlink r:id="rId6003">
        <w:r>
          <w:rPr>
            <w:color w:val="0000EE"/>
            <w:u w:val="single"/>
          </w:rPr>
          <w:t>24.39</w:t>
        </w:r>
      </w:hyperlink>
      <w:r>
        <w:t xml:space="preserve">, NTLH). Então ele os ajudou a entender as implicações do que havia acontecido: “e disse: — O que está escrito é que o Messias tinha de sofrer e no terceiro dia ressuscitar. E que, em nome dele, a mensagem sobre o arrependimento e o perdão dos pecados seria anunciada a todas as nações, começando em Jerusalém. Vocês são testemunhas dessas coisas. E eu lhes mandarei o que o meu Pai prometeu. Mas esperem aqui em Jerusalém, até que o poder de cima venha sobre vocês” (vv. </w:t>
      </w:r>
      <w:hyperlink r:id="rId13395">
        <w:r>
          <w:rPr>
            <w:color w:val="0000EE"/>
            <w:u w:val="single"/>
          </w:rPr>
          <w:t>46–49</w:t>
        </w:r>
      </w:hyperlink>
      <w:r>
        <w:t>, NTLH).</w:t>
      </w:r>
    </w:p>
    <w:p>
      <w:r/>
      <w:r>
        <w:t>Lucas conclui seu evangelho com um relato da ascensão (</w:t>
      </w:r>
      <w:hyperlink r:id="rId13396">
        <w:r>
          <w:rPr>
            <w:color w:val="0000EE"/>
            <w:u w:val="single"/>
          </w:rPr>
          <w:t>24.50–53</w:t>
        </w:r>
      </w:hyperlink>
      <w:r>
        <w:t>). Enquanto Jesus os abençoava, ele foi elevado diante de seus olhos. Eles o adoraram como o Senhor ascendido e retornaram a Jerusalém com grande alegria. Lá, permaneceram no recinto do templo, louvando a Deus e antecipando a vinda do Espírito Santo para capacitá-los a testemunhar a todo o mundo.</w:t>
      </w:r>
    </w:p>
    <w:p>
      <w:r/>
      <w:r>
        <w:rPr>
          <w:i/>
        </w:rPr>
        <w:t>Veja também</w:t>
      </w:r>
      <w:r>
        <w:t xml:space="preserve"> </w:t>
      </w:r>
      <w:r>
        <w:t>Atos dos apóstolos, Livro de</w:t>
      </w:r>
      <w:r>
        <w:t xml:space="preserve">; </w:t>
      </w:r>
      <w:r>
        <w:t>Jesus Cristo, Vida e ensinamentos de</w:t>
      </w:r>
      <w:r>
        <w:t xml:space="preserve">; </w:t>
      </w:r>
      <w:r>
        <w:t>Lucas (pessoa)</w:t>
      </w:r>
      <w:r>
        <w:t xml:space="preserve">; </w:t>
      </w:r>
      <w:r>
        <w:t>Evangelhos sinópticos</w:t>
      </w:r>
      <w:r>
        <w:t>.</w:t>
      </w:r>
      <w:r/>
      <w:r/>
    </w:p>
    <w:p>
      <w:r/>
    </w:p>
    <w:p>
      <w:pPr>
        <w:pStyle w:val="Heading2"/>
      </w:pPr>
      <w:r>
        <w:t>Lúcio</w:t>
      </w:r>
      <w:r/>
    </w:p>
    <w:p>
      <w:pPr>
        <w:pStyle w:val="ListNumber"/>
        <w:spacing w:line="240" w:lineRule="auto"/>
        <w:ind w:left="720"/>
      </w:pPr>
      <w:r/>
      <w:r>
        <w:t>Um homem de Cirene (uma cidade no norte da África) é listado entre os profetas e mestres em Antioquia (</w:t>
      </w:r>
      <w:hyperlink r:id="rId4994">
        <w:r>
          <w:rPr>
            <w:color w:val="0000EE"/>
            <w:u w:val="single"/>
          </w:rPr>
          <w:t>At 13.1</w:t>
        </w:r>
      </w:hyperlink>
      <w:r>
        <w:t>). Ele pode ter estado entre os cristãos judeus de Chipre e Cirene. Foram esses homens que pregaram aos gentios em Antioquia em meio à perseguição (</w:t>
      </w:r>
      <w:hyperlink r:id="rId13397">
        <w:r>
          <w:rPr>
            <w:color w:val="0000EE"/>
            <w:u w:val="single"/>
          </w:rPr>
          <w:t>11.19–21</w:t>
        </w:r>
      </w:hyperlink>
      <w:r>
        <w:t xml:space="preserve">). Algumas pessoas tentaram identificá-lo como Lucas, o autor de Atos, ou como o Lúcio mencionado em </w:t>
      </w:r>
      <w:hyperlink r:id="rId11544">
        <w:r>
          <w:rPr>
            <w:color w:val="0000EE"/>
            <w:u w:val="single"/>
          </w:rPr>
          <w:t>Romanos 16.21</w:t>
        </w:r>
      </w:hyperlink>
      <w:r>
        <w:t>. No entanto, essas tentativas não foram bem-sucedidas;</w:t>
      </w:r>
    </w:p>
    <w:p>
      <w:pPr>
        <w:pStyle w:val="ListNumber"/>
        <w:spacing w:line="240" w:lineRule="auto"/>
        <w:ind w:left="720"/>
      </w:pPr>
      <w:r/>
      <w:r>
        <w:t xml:space="preserve">Um cristão judeu (compare </w:t>
      </w:r>
      <w:hyperlink r:id="rId4285">
        <w:r>
          <w:rPr>
            <w:color w:val="0000EE"/>
            <w:u w:val="single"/>
          </w:rPr>
          <w:t>Rm 9.3</w:t>
        </w:r>
      </w:hyperlink>
      <w:r>
        <w:t>). Ele foi um dos companheiros do apóstolo Paulo que enviou saudações aos que estavam em Roma (</w:t>
      </w:r>
      <w:hyperlink r:id="rId11544">
        <w:r>
          <w:rPr>
            <w:color w:val="0000EE"/>
            <w:u w:val="single"/>
          </w:rPr>
          <w:t>16.21</w:t>
        </w:r>
      </w:hyperlink>
      <w:r>
        <w:t xml:space="preserve">). O fato de que este Lúcio era judeu torna duvidoso que ele pudesse ser a mesma pessoa que Lucas, que escreveu o Evangelho de Lucas e Atos. Um escritor cristão primitivo chamado Orígenes sugeriu que eles eram a mesma pessoa. Mas Lucas era muito provavelmente um gentio (não judeu), como mostrado em </w:t>
      </w:r>
      <w:hyperlink r:id="rId13398">
        <w:r>
          <w:rPr>
            <w:color w:val="0000EE"/>
            <w:u w:val="single"/>
          </w:rPr>
          <w:t>Colossenses 4.12–14</w:t>
        </w:r>
      </w:hyperlink>
      <w:r>
        <w:t>.</w:t>
      </w:r>
      <w:r/>
      <w:r/>
    </w:p>
    <w:p>
      <w:r/>
    </w:p>
    <w:p>
      <w:pPr>
        <w:pStyle w:val="Heading2"/>
      </w:pPr>
      <w:r>
        <w:t>Lude, Ludim, Luditas</w:t>
      </w:r>
      <w:r/>
    </w:p>
    <w:p>
      <w:r/>
      <w:r>
        <w:t xml:space="preserve">Nomes que aparecem na tabela das nações em </w:t>
      </w:r>
      <w:hyperlink r:id="rId7547">
        <w:r>
          <w:rPr>
            <w:color w:val="0000EE"/>
            <w:u w:val="single"/>
          </w:rPr>
          <w:t>Gênesis 10</w:t>
        </w:r>
      </w:hyperlink>
      <w:r>
        <w:t xml:space="preserve">. Ludim é listado como o primeiro filho de Mizraim, e Lude como o quarto filho de Sem. Com base nisso, é provavelmente melhor considerá-los como tendo origens étnicas diferentes. Alguns, no entanto, sugeriram que ambos os nomes se referem a um povo da Ásia Menor, os Lídios, que são mencionados nas inscrições de Assurbanípal como </w:t>
      </w:r>
      <w:r>
        <w:rPr>
          <w:i/>
        </w:rPr>
        <w:t>Luddu.</w:t>
      </w:r>
      <w:r>
        <w:t xml:space="preserve"> Há pouca dúvida de que Lude, pelo menos, está associado a Lídia. Josefo faz essa identificação (</w:t>
      </w:r>
      <w:r>
        <w:rPr>
          <w:i/>
        </w:rPr>
        <w:t>Antiguidades</w:t>
      </w:r>
      <w:r>
        <w:t xml:space="preserve"> 1.6.4.). Em </w:t>
      </w:r>
      <w:hyperlink r:id="rId10191">
        <w:r>
          <w:rPr>
            <w:color w:val="0000EE"/>
            <w:u w:val="single"/>
          </w:rPr>
          <w:t>Isaías 66.19</w:t>
        </w:r>
      </w:hyperlink>
      <w:r>
        <w:t>, é listado entre outras nações da Ásia Menor.</w:t>
      </w:r>
    </w:p>
    <w:p>
      <w:r/>
      <w:r>
        <w:t xml:space="preserve">Lude é frequentemente mencionado em contextos que sugerem que os homens eram bem conhecidos como bons soldados. De acordo com </w:t>
      </w:r>
      <w:hyperlink r:id="rId13399">
        <w:r>
          <w:rPr>
            <w:color w:val="0000EE"/>
            <w:u w:val="single"/>
          </w:rPr>
          <w:t>Jeremias 46.9</w:t>
        </w:r>
      </w:hyperlink>
      <w:r>
        <w:t xml:space="preserve">, eles lutaram com os egípcios contra os babilônios na batalha de Carquemis em 605 a.C. No lamento sobre Tiro em </w:t>
      </w:r>
      <w:hyperlink r:id="rId9653">
        <w:r>
          <w:rPr>
            <w:color w:val="0000EE"/>
            <w:u w:val="single"/>
          </w:rPr>
          <w:t>Ezequiel 27.10</w:t>
        </w:r>
      </w:hyperlink>
      <w:r>
        <w:t xml:space="preserve">, eles são listados entre outros que eram mercenários no exército de Tiro. Talvez </w:t>
      </w:r>
      <w:hyperlink r:id="rId13003">
        <w:r>
          <w:rPr>
            <w:color w:val="0000EE"/>
            <w:u w:val="single"/>
          </w:rPr>
          <w:t>Ezequiel 30.5</w:t>
        </w:r>
      </w:hyperlink>
      <w:r>
        <w:t xml:space="preserve"> seja outro caso de lídios servindo como mercenários — desta vez no exército egípcio. Tal ajuda militar ao Egito remonta ao período assírio, quando Giges enviou ajuda militar a Psamético do Egito contra os assírios.</w:t>
      </w:r>
    </w:p>
    <w:p>
      <w:r/>
      <w:r>
        <w:rPr>
          <w:i/>
        </w:rPr>
        <w:t>Veja também</w:t>
      </w:r>
      <w:r>
        <w:t xml:space="preserve"> </w:t>
      </w:r>
      <w:r>
        <w:t>Lídia (local)</w:t>
      </w:r>
      <w:r>
        <w:t>.</w:t>
      </w:r>
      <w:r/>
      <w:r/>
    </w:p>
    <w:p>
      <w:r/>
    </w:p>
    <w:p>
      <w:pPr>
        <w:pStyle w:val="Heading2"/>
      </w:pPr>
      <w:r>
        <w:t>Lugar Alto</w:t>
      </w:r>
      <w:r/>
    </w:p>
    <w:p>
      <w:r/>
      <w:r>
        <w:t xml:space="preserve">Frase comumente traduzida do hebraico bamah, que aparentemente derivou de uma palavra que originalmente significava "as costas (ou crista) de um animal". Assim, passou a referir-se a uma altura ou colina ou a um monte de pedras funerário. Por isso algumas traduções utilizam palavras que se referem a montes altos, como a ACF faz. Geralmente, era um centro de adoração elevado, como os mencionados em </w:t>
      </w:r>
      <w:hyperlink r:id="rId13400">
        <w:r>
          <w:rPr>
            <w:color w:val="0000EE"/>
            <w:u w:val="single"/>
          </w:rPr>
          <w:t>Números 33.51–52</w:t>
        </w:r>
      </w:hyperlink>
      <w:r>
        <w:t xml:space="preserve">, </w:t>
      </w:r>
      <w:hyperlink r:id="rId13401">
        <w:r>
          <w:rPr>
            <w:color w:val="0000EE"/>
            <w:u w:val="single"/>
          </w:rPr>
          <w:t>1 Samuel 9.13–14</w:t>
        </w:r>
      </w:hyperlink>
      <w:r>
        <w:t xml:space="preserve">, </w:t>
      </w:r>
      <w:hyperlink r:id="rId13402">
        <w:r>
          <w:rPr>
            <w:color w:val="0000EE"/>
            <w:u w:val="single"/>
          </w:rPr>
          <w:t>2 Reis 12.3</w:t>
        </w:r>
      </w:hyperlink>
      <w:r>
        <w:t xml:space="preserve">, </w:t>
      </w:r>
      <w:hyperlink r:id="rId13403">
        <w:r>
          <w:rPr>
            <w:color w:val="0000EE"/>
            <w:u w:val="single"/>
          </w:rPr>
          <w:t>2 Crônicas 21.11</w:t>
        </w:r>
      </w:hyperlink>
      <w:r>
        <w:t xml:space="preserve"> e </w:t>
      </w:r>
      <w:hyperlink r:id="rId3009">
        <w:r>
          <w:rPr>
            <w:color w:val="0000EE"/>
            <w:u w:val="single"/>
          </w:rPr>
          <w:t>Ezequiel 36.1–2</w:t>
        </w:r>
      </w:hyperlink>
      <w:r>
        <w:t xml:space="preserve">. Mas às vezes (como em </w:t>
      </w:r>
      <w:hyperlink r:id="rId12096">
        <w:r>
          <w:rPr>
            <w:color w:val="0000EE"/>
            <w:u w:val="single"/>
          </w:rPr>
          <w:t>2Rs 23.8</w:t>
        </w:r>
      </w:hyperlink>
      <w:r>
        <w:t>) era uma bamah do portão, um santuário sem referência especial à altura, localizado no portão da cidade como em Dã e Berseba. Poderia até ter sido colocado em uma depressão (</w:t>
      </w:r>
      <w:hyperlink r:id="rId13404">
        <w:r>
          <w:rPr>
            <w:color w:val="0000EE"/>
            <w:u w:val="single"/>
          </w:rPr>
          <w:t>Jr 7.31</w:t>
        </w:r>
      </w:hyperlink>
      <w:r>
        <w:t>).</w:t>
      </w:r>
    </w:p>
    <w:p>
      <w:r/>
      <w:r>
        <w:t xml:space="preserve">Que uma bamah possa simplesmente ser um local de sepultamento com estelas comemorativas ou pedras memoriais é claro a partir de uma passagem como </w:t>
      </w:r>
      <w:hyperlink r:id="rId13405">
        <w:r>
          <w:rPr>
            <w:color w:val="0000EE"/>
            <w:u w:val="single"/>
          </w:rPr>
          <w:t>Ezequiel 43.7</w:t>
        </w:r>
      </w:hyperlink>
      <w:r>
        <w:t>. Uma ilustração de tal bamah é o chamado alto lugar de Gezer. Este centro da Idade do Bronze, com seus 10 enormes pilares, é agora interpretado como um santuário mortuário em vez de um santuário no sentido estrito do termo.</w:t>
      </w:r>
    </w:p>
    <w:p>
      <w:r/>
      <w:r>
        <w:t>Uma palavra traduzida como “lugar alto” é Ramá (elevação), do hebraico que significa “ser alto”. Ezequiel usou este termo para se referir a centros de adoração ilícitos (</w:t>
      </w:r>
      <w:hyperlink r:id="rId13406">
        <w:r>
          <w:rPr>
            <w:color w:val="0000EE"/>
            <w:u w:val="single"/>
          </w:rPr>
          <w:t>16.24–25,31–39</w:t>
        </w:r>
      </w:hyperlink>
      <w:r>
        <w:t>) que evidentemente não tinham conexão necessária com altura.</w:t>
      </w:r>
    </w:p>
    <w:p>
      <w:r/>
      <w:r>
        <w:t>Um dos lugares altos mais conhecidos e melhor preservados nas proximidades da Palestina é o Grande lugar alto em Petra, descoberto por George L. Robinson em 1900. Localizado em uma crista a oeste do Khazneh, ou Tesouraria, consiste em um grande pátio retangular e altares adjacentes. O pátio tem cerca de 14 metros de comprimento e 6,4 metros de largura e é escavado na plataforma rochosa a uma profundidade de 45 centímetros. A oeste do pátio, há um altar quadrado e um redondo, cada um esculpido na rocha sólida. Ao sul do pátio, há uma piscina medindo cerca de 2,6 por 2,9 metros e escavada 1,2 metros na rocha. Ao sul da piscina, erguem-se dois obeliscos ou pilares sagrados, também esculpidos na rocha sólida. Todo este complexo é acessado a partir de um terraço inferior por duas escadarias. Neste centro, os antigos habitantes nabateus de Petra evidentemente realizavam festas e sacrifícios para honrar seus deuses. Embora o centro de adoração em sua forma atual não date de antes do primeiro século a.C., ele preserva uma antiga tradição da Transjordânia e ilustra os lugares altos pagãos e israelitas dos tempos do Antigo Testamento.</w:t>
      </w:r>
    </w:p>
    <w:p>
      <w:r/>
      <w:r>
        <w:t>O lugar alto pagão geralmente estava localizado em uma elevação física, onde se podia sentir mais próximo do deus. Seu primeiro elemento essencial era um altar, que poderia ser um monte de terra, pedras não lavradas ou uma unidade esculpida na rocha sólida. Em segundo lugar, havia uma coluna de pedra (</w:t>
      </w:r>
      <w:hyperlink r:id="rId3861">
        <w:r>
          <w:rPr>
            <w:color w:val="0000EE"/>
            <w:u w:val="single"/>
          </w:rPr>
          <w:t>Dt 12.3</w:t>
        </w:r>
      </w:hyperlink>
      <w:r>
        <w:t xml:space="preserve">) ou obelisco </w:t>
      </w:r>
      <w:r>
        <w:rPr>
          <w:i/>
        </w:rPr>
        <w:t>(</w:t>
      </w:r>
      <w:r>
        <w:t>matsebah</w:t>
      </w:r>
      <w:r>
        <w:rPr>
          <w:i/>
        </w:rPr>
        <w:t>)</w:t>
      </w:r>
      <w:r>
        <w:t xml:space="preserve"> representando a divindade masculina e com associações fálicas; em terceiro, uma árvore ou poste </w:t>
      </w:r>
      <w:r>
        <w:rPr>
          <w:i/>
        </w:rPr>
        <w:t>(</w:t>
      </w:r>
      <w:r>
        <w:t>Aserá</w:t>
      </w:r>
      <w:r>
        <w:rPr>
          <w:i/>
        </w:rPr>
        <w:t>)</w:t>
      </w:r>
      <w:r>
        <w:t xml:space="preserve"> representando a divindade feminina (uma deusa da fertilidade); e em quarto, uma pia para lavagens cerimoniais. Um santuário com uma imagem da divindade também exigia algum tipo de construção para protegê-lo (</w:t>
      </w:r>
      <w:hyperlink r:id="rId13407">
        <w:r>
          <w:rPr>
            <w:color w:val="0000EE"/>
            <w:u w:val="single"/>
          </w:rPr>
          <w:t>2Rs 17.29</w:t>
        </w:r>
      </w:hyperlink>
      <w:r>
        <w:t>).</w:t>
      </w:r>
    </w:p>
    <w:p>
      <w:r/>
      <w:r>
        <w:t>Nesses altos lugares pagãos, ocorriam sacrifícios de animais e, às vezes, de seres humanos, e a prostituição religiosa ou atos homossexuais eram comuns. É natural que tais práticas se desenvolvessem em um contexto de magia simpática, onde a promiscuidade e a reprodução entre seres humanos supostamente influenciavam os animais e as colheitas.</w:t>
      </w:r>
    </w:p>
    <w:p>
      <w:r/>
      <w:r>
        <w:t>Os hebreus tinham altos legítimos entre o tempo da destruição do tabernáculo em Siló e a construção do templo, embora houvesse pouca semelhança com os apetrechos ou práticas pagãs, exceto pela presença de um altar e a oferta de sacrifícios. Em um alto, o povo comeu uma refeição sacrificial antes de Samuel ungir Saul como rei (</w:t>
      </w:r>
      <w:hyperlink r:id="rId13408">
        <w:r>
          <w:rPr>
            <w:color w:val="0000EE"/>
            <w:u w:val="single"/>
          </w:rPr>
          <w:t>1Sm 9.12–10.1</w:t>
        </w:r>
      </w:hyperlink>
      <w:r>
        <w:t>). O tabernáculo estava localizado no alto de Gibeão durante o reinado de Davi (</w:t>
      </w:r>
      <w:hyperlink r:id="rId13409">
        <w:r>
          <w:rPr>
            <w:color w:val="0000EE"/>
            <w:u w:val="single"/>
          </w:rPr>
          <w:t>1Cr 16.39</w:t>
        </w:r>
      </w:hyperlink>
      <w:r>
        <w:t xml:space="preserve">; </w:t>
      </w:r>
      <w:hyperlink r:id="rId13410">
        <w:r>
          <w:rPr>
            <w:color w:val="0000EE"/>
            <w:u w:val="single"/>
          </w:rPr>
          <w:t>21.29</w:t>
        </w:r>
      </w:hyperlink>
      <w:r>
        <w:t>). Salomão ofereceu sacrifícios em vários altos (</w:t>
      </w:r>
      <w:hyperlink r:id="rId13411">
        <w:r>
          <w:rPr>
            <w:color w:val="0000EE"/>
            <w:u w:val="single"/>
          </w:rPr>
          <w:t>1Rs 3.2–3</w:t>
        </w:r>
      </w:hyperlink>
      <w:r>
        <w:t xml:space="preserve">), e no alto de Gibeão ele encontrou Deus e recebeu o dom da sabedoria para sua administração (vv. </w:t>
      </w:r>
      <w:hyperlink r:id="rId13412">
        <w:r>
          <w:rPr>
            <w:color w:val="0000EE"/>
            <w:u w:val="single"/>
          </w:rPr>
          <w:t>4–15</w:t>
        </w:r>
      </w:hyperlink>
      <w:r>
        <w:t>). Uma vez que o templo de Salomão foi concluído, os altos foram eliminados e tornaram-se proibidos para os hebreus.</w:t>
      </w:r>
    </w:p>
    <w:p>
      <w:r/>
      <w:r>
        <w:t>Quando os hebreus entraram em Canaã, encontraram povos pagãos que há muito adoravam em lugares altos. Deus ordenou aos israelitas que destruíssem esses santuários (</w:t>
      </w:r>
      <w:hyperlink r:id="rId13400">
        <w:r>
          <w:rPr>
            <w:color w:val="0000EE"/>
            <w:u w:val="single"/>
          </w:rPr>
          <w:t>Nm 33.51–52</w:t>
        </w:r>
      </w:hyperlink>
      <w:r>
        <w:t>) para evitar a contaminação por eles, mas o aviso foi amplamente ignorado. No auge do reino hebreu, depois que Salomão completou o templo, ele construiu lugares altos para o deus Quemos de Moabe, Moleque de Amom e outros deuses de suas esposas pagãs. Por esse pecado, Deus determinou dividir o reino hebreu (</w:t>
      </w:r>
      <w:hyperlink r:id="rId13413">
        <w:r>
          <w:rPr>
            <w:color w:val="0000EE"/>
            <w:u w:val="single"/>
          </w:rPr>
          <w:t>1Rs 11.7–11</w:t>
        </w:r>
      </w:hyperlink>
      <w:r>
        <w:t>).</w:t>
      </w:r>
    </w:p>
    <w:p>
      <w:r/>
      <w:r>
        <w:t>Após a divisão do reino, Jeroboão estabeleceu altos em Dã e Betel, e Acabe e outros proliferaram sua construção. O julgamento foi profetizado (</w:t>
      </w:r>
      <w:hyperlink r:id="rId13414">
        <w:r>
          <w:rPr>
            <w:color w:val="0000EE"/>
            <w:u w:val="single"/>
          </w:rPr>
          <w:t>1Rs 13.2–3</w:t>
        </w:r>
      </w:hyperlink>
      <w:r>
        <w:t xml:space="preserve">; </w:t>
      </w:r>
      <w:hyperlink r:id="rId3862">
        <w:r>
          <w:rPr>
            <w:color w:val="0000EE"/>
            <w:u w:val="single"/>
          </w:rPr>
          <w:t>2Rs 17.7–18</w:t>
        </w:r>
      </w:hyperlink>
      <w:r>
        <w:t>), e, por fim, o reino de Israel foi levado ao cativeiro na Assíria por sua idolatria.</w:t>
      </w:r>
    </w:p>
    <w:p>
      <w:r/>
      <w:r>
        <w:t>Roboão, o primeiro rei do reino do sul, espalhou altos lugares por todo o seu domínio (</w:t>
      </w:r>
      <w:hyperlink r:id="rId13415">
        <w:r>
          <w:rPr>
            <w:color w:val="0000EE"/>
            <w:u w:val="single"/>
          </w:rPr>
          <w:t>1Rs 14.23–24</w:t>
        </w:r>
      </w:hyperlink>
      <w:r>
        <w:t>). Embora o Rei Asa tenha iniciado um avivamento da verdadeira religião, ele não removeu os altos lugares (</w:t>
      </w:r>
      <w:hyperlink r:id="rId13416">
        <w:r>
          <w:rPr>
            <w:color w:val="0000EE"/>
            <w:u w:val="single"/>
          </w:rPr>
          <w:t>15.12–14</w:t>
        </w:r>
      </w:hyperlink>
      <w:r>
        <w:t>). Josafá também iniciou um avivamento, mas novamente os altos lugares permaneceram (</w:t>
      </w:r>
      <w:hyperlink r:id="rId10981">
        <w:r>
          <w:rPr>
            <w:color w:val="0000EE"/>
            <w:u w:val="single"/>
          </w:rPr>
          <w:t>22.43</w:t>
        </w:r>
      </w:hyperlink>
      <w:r>
        <w:t>). Por outro lado, seu filho Jeorão e sua esposa, Atalia, incentivaram a construção deles (</w:t>
      </w:r>
      <w:hyperlink r:id="rId13403">
        <w:r>
          <w:rPr>
            <w:color w:val="0000EE"/>
            <w:u w:val="single"/>
          </w:rPr>
          <w:t>2Cr 21.11</w:t>
        </w:r>
      </w:hyperlink>
      <w:r>
        <w:t>). Joás, durante seu avivamento, não eliminou os altos lugares (</w:t>
      </w:r>
      <w:hyperlink r:id="rId13402">
        <w:r>
          <w:rPr>
            <w:color w:val="0000EE"/>
            <w:u w:val="single"/>
          </w:rPr>
          <w:t>2Rs 12.3</w:t>
        </w:r>
      </w:hyperlink>
      <w:r>
        <w:t>), nem o bom rei Uzias em esforços semelhantes (</w:t>
      </w:r>
      <w:hyperlink r:id="rId13417">
        <w:r>
          <w:rPr>
            <w:color w:val="0000EE"/>
            <w:u w:val="single"/>
          </w:rPr>
          <w:t>15.3–4</w:t>
        </w:r>
      </w:hyperlink>
      <w:r>
        <w:t>). Acaz não fez nenhuma pretensão de fidelidade a Deus e incentivou ativamente a idolatria dos santuários pagãos (</w:t>
      </w:r>
      <w:hyperlink r:id="rId13418">
        <w:r>
          <w:rPr>
            <w:color w:val="0000EE"/>
            <w:u w:val="single"/>
          </w:rPr>
          <w:t>16.3–4</w:t>
        </w:r>
      </w:hyperlink>
      <w:r>
        <w:t>). Finalmente, Ezequias lançou uma campanha contra os altos lugares (</w:t>
      </w:r>
      <w:hyperlink r:id="rId8872">
        <w:r>
          <w:rPr>
            <w:color w:val="0000EE"/>
            <w:u w:val="single"/>
          </w:rPr>
          <w:t>2Cr 31.1</w:t>
        </w:r>
      </w:hyperlink>
      <w:r>
        <w:t>), mas suas políticas foram revertidas durante o reinado de seu filho perverso Manassés (</w:t>
      </w:r>
      <w:hyperlink r:id="rId13419">
        <w:r>
          <w:rPr>
            <w:color w:val="0000EE"/>
            <w:u w:val="single"/>
          </w:rPr>
          <w:t>2Rs 21.2–9</w:t>
        </w:r>
      </w:hyperlink>
      <w:r>
        <w:t>). Josias liderou o último avivamento judaico e novamente atacou os altos lugares (</w:t>
      </w:r>
      <w:hyperlink r:id="rId13420">
        <w:r>
          <w:rPr>
            <w:color w:val="0000EE"/>
            <w:u w:val="single"/>
          </w:rPr>
          <w:t>23.5,8</w:t>
        </w:r>
      </w:hyperlink>
      <w:r>
        <w:t>).</w:t>
      </w:r>
    </w:p>
    <w:p>
      <w:r/>
      <w:r>
        <w:t>Os profetas Isaías (</w:t>
      </w:r>
      <w:hyperlink r:id="rId3929">
        <w:r>
          <w:rPr>
            <w:color w:val="0000EE"/>
            <w:u w:val="single"/>
          </w:rPr>
          <w:t>Is 15.2</w:t>
        </w:r>
      </w:hyperlink>
      <w:r>
        <w:t xml:space="preserve">; </w:t>
      </w:r>
      <w:hyperlink r:id="rId13421">
        <w:r>
          <w:rPr>
            <w:color w:val="0000EE"/>
            <w:u w:val="single"/>
          </w:rPr>
          <w:t>16.12</w:t>
        </w:r>
      </w:hyperlink>
      <w:r>
        <w:t>), Jeremias (</w:t>
      </w:r>
      <w:hyperlink r:id="rId13422">
        <w:r>
          <w:rPr>
            <w:color w:val="0000EE"/>
            <w:u w:val="single"/>
          </w:rPr>
          <w:t>Jr 48.35</w:t>
        </w:r>
      </w:hyperlink>
      <w:r>
        <w:t>), Ezequiel (</w:t>
      </w:r>
      <w:hyperlink r:id="rId13423">
        <w:r>
          <w:rPr>
            <w:color w:val="0000EE"/>
            <w:u w:val="single"/>
          </w:rPr>
          <w:t>Ez 6.3</w:t>
        </w:r>
      </w:hyperlink>
      <w:r>
        <w:t>), Oseias (</w:t>
      </w:r>
      <w:hyperlink r:id="rId13424">
        <w:r>
          <w:rPr>
            <w:color w:val="0000EE"/>
            <w:u w:val="single"/>
          </w:rPr>
          <w:t>Os 10.8</w:t>
        </w:r>
      </w:hyperlink>
      <w:r>
        <w:t>) e Amós (</w:t>
      </w:r>
      <w:hyperlink r:id="rId13425">
        <w:r>
          <w:rPr>
            <w:color w:val="0000EE"/>
            <w:u w:val="single"/>
          </w:rPr>
          <w:t>Am 7.9</w:t>
        </w:r>
      </w:hyperlink>
      <w:r>
        <w:t xml:space="preserve">) condenaram veementemente esses centros de idolatria. </w:t>
      </w:r>
      <w:r>
        <w:rPr>
          <w:i/>
        </w:rPr>
        <w:t>Veja</w:t>
      </w:r>
      <w:r>
        <w:t xml:space="preserve"> </w:t>
      </w:r>
      <w:r>
        <w:t>Deidades e religião cananeias</w:t>
      </w:r>
      <w:r>
        <w:t xml:space="preserve">; </w:t>
      </w:r>
      <w:r>
        <w:t>Deuses e Deusas</w:t>
      </w:r>
      <w:r>
        <w:t xml:space="preserve">; </w:t>
      </w:r>
      <w:r>
        <w:t>Bosque</w:t>
      </w:r>
      <w:r>
        <w:t xml:space="preserve">; </w:t>
      </w:r>
      <w:r>
        <w:t>Ídolos, Idolatria</w:t>
      </w:r>
      <w:r>
        <w:t>.</w:t>
      </w:r>
      <w:r/>
      <w:r/>
    </w:p>
    <w:p>
      <w:r/>
    </w:p>
    <w:p>
      <w:pPr>
        <w:pStyle w:val="Heading2"/>
      </w:pPr>
      <w:r>
        <w:t>Luto</w:t>
      </w:r>
      <w:r/>
    </w:p>
    <w:p>
      <w:r/>
      <w:r>
        <w:t>Ritual estabelecido para o luto, observado por parentes e amigos de uma pessoa morta. Começava com o fechamento dos olhos dos mortos (</w:t>
      </w:r>
      <w:hyperlink r:id="rId13426">
        <w:r>
          <w:rPr>
            <w:color w:val="0000EE"/>
            <w:u w:val="single"/>
          </w:rPr>
          <w:t>Gn 46.4</w:t>
        </w:r>
      </w:hyperlink>
      <w:r>
        <w:t>), o abraço do corpo (</w:t>
      </w:r>
      <w:hyperlink r:id="rId13427">
        <w:r>
          <w:rPr>
            <w:color w:val="0000EE"/>
            <w:u w:val="single"/>
          </w:rPr>
          <w:t>50.1</w:t>
        </w:r>
      </w:hyperlink>
      <w:r>
        <w:t>) e sua preparação para o enterro. O clima quente exigia que o sepultamento ocorresse imediatamente (</w:t>
      </w:r>
      <w:hyperlink r:id="rId13428">
        <w:r>
          <w:rPr>
            <w:color w:val="0000EE"/>
            <w:u w:val="single"/>
          </w:rPr>
          <w:t>At 5.1–10</w:t>
        </w:r>
      </w:hyperlink>
      <w:r>
        <w:t>). Mas informações detalhadas sobre sepultamento antes dos tempos do NT (</w:t>
      </w:r>
      <w:hyperlink r:id="rId5993">
        <w:r>
          <w:rPr>
            <w:color w:val="0000EE"/>
            <w:u w:val="single"/>
          </w:rPr>
          <w:t>Mt 27.59</w:t>
        </w:r>
      </w:hyperlink>
      <w:r>
        <w:t xml:space="preserve">; </w:t>
      </w:r>
      <w:hyperlink r:id="rId6040">
        <w:r>
          <w:rPr>
            <w:color w:val="0000EE"/>
            <w:u w:val="single"/>
          </w:rPr>
          <w:t>Jo 11.44</w:t>
        </w:r>
      </w:hyperlink>
      <w:r>
        <w:t xml:space="preserve">; </w:t>
      </w:r>
      <w:hyperlink r:id="rId5997">
        <w:r>
          <w:rPr>
            <w:color w:val="0000EE"/>
            <w:u w:val="single"/>
          </w:rPr>
          <w:t>19.39–40</w:t>
        </w:r>
      </w:hyperlink>
      <w:r>
        <w:t>) são extremamente escassas. As escavações sugerem que os mortos eram enterrados totalmente vestidos, mas não em caixões. Os israelitas não praticavam nem embalsamamento, nem cremação, mas o sepultamento decente era essencial.</w:t>
      </w:r>
    </w:p>
    <w:p>
      <w:r/>
      <w:r>
        <w:t>Nas notícias de uma morte, era costume rasgar as roupas (</w:t>
      </w:r>
      <w:hyperlink r:id="rId13429">
        <w:r>
          <w:rPr>
            <w:color w:val="0000EE"/>
            <w:u w:val="single"/>
          </w:rPr>
          <w:t>Gn 37.34</w:t>
        </w:r>
      </w:hyperlink>
      <w:r>
        <w:t xml:space="preserve">; </w:t>
      </w:r>
      <w:hyperlink r:id="rId13430">
        <w:r>
          <w:rPr>
            <w:color w:val="0000EE"/>
            <w:u w:val="single"/>
          </w:rPr>
          <w:t>2Sm 1.11</w:t>
        </w:r>
      </w:hyperlink>
      <w:r>
        <w:t xml:space="preserve">; </w:t>
      </w:r>
      <w:hyperlink r:id="rId13431">
        <w:r>
          <w:rPr>
            <w:color w:val="0000EE"/>
            <w:u w:val="single"/>
          </w:rPr>
          <w:t>Jó 1.20</w:t>
        </w:r>
      </w:hyperlink>
      <w:r>
        <w:t>), vestir-se com um pano (</w:t>
      </w:r>
      <w:hyperlink r:id="rId13432">
        <w:r>
          <w:rPr>
            <w:color w:val="0000EE"/>
            <w:u w:val="single"/>
          </w:rPr>
          <w:t>2Sm 3.31</w:t>
        </w:r>
      </w:hyperlink>
      <w:r>
        <w:t>), e tirar os sapatos (</w:t>
      </w:r>
      <w:hyperlink r:id="rId13433">
        <w:r>
          <w:rPr>
            <w:color w:val="0000EE"/>
            <w:u w:val="single"/>
          </w:rPr>
          <w:t>2Sm 15.30</w:t>
        </w:r>
      </w:hyperlink>
      <w:r>
        <w:t xml:space="preserve">; </w:t>
      </w:r>
      <w:hyperlink r:id="rId1737">
        <w:r>
          <w:rPr>
            <w:color w:val="0000EE"/>
            <w:u w:val="single"/>
          </w:rPr>
          <w:t>Mq 1.8</w:t>
        </w:r>
      </w:hyperlink>
      <w:r>
        <w:t>) e o ornamento de cabeça; um homem poderia cobrir sua barba ou seu rosto com véu (</w:t>
      </w:r>
      <w:hyperlink r:id="rId13434">
        <w:r>
          <w:rPr>
            <w:color w:val="0000EE"/>
            <w:u w:val="single"/>
          </w:rPr>
          <w:t>Ez 24.17,23</w:t>
        </w:r>
      </w:hyperlink>
      <w:r>
        <w:t>). Os enlutados colocavam terra em suas cabeças (</w:t>
      </w:r>
      <w:hyperlink r:id="rId13435">
        <w:r>
          <w:rPr>
            <w:color w:val="0000EE"/>
            <w:u w:val="single"/>
          </w:rPr>
          <w:t>Js 7.6</w:t>
        </w:r>
      </w:hyperlink>
      <w:r>
        <w:t xml:space="preserve">; </w:t>
      </w:r>
      <w:hyperlink r:id="rId13436">
        <w:r>
          <w:rPr>
            <w:color w:val="0000EE"/>
            <w:u w:val="single"/>
          </w:rPr>
          <w:t>1Sm 4.12</w:t>
        </w:r>
      </w:hyperlink>
      <w:r>
        <w:t xml:space="preserve">; </w:t>
      </w:r>
      <w:hyperlink r:id="rId13437">
        <w:r>
          <w:rPr>
            <w:color w:val="0000EE"/>
            <w:u w:val="single"/>
          </w:rPr>
          <w:t>Ne 9.1</w:t>
        </w:r>
      </w:hyperlink>
      <w:r>
        <w:t xml:space="preserve">; </w:t>
      </w:r>
      <w:hyperlink r:id="rId13438">
        <w:r>
          <w:rPr>
            <w:color w:val="0000EE"/>
            <w:u w:val="single"/>
          </w:rPr>
          <w:t>Jó 2.12</w:t>
        </w:r>
      </w:hyperlink>
      <w:r>
        <w:t xml:space="preserve">; </w:t>
      </w:r>
      <w:hyperlink r:id="rId13439">
        <w:r>
          <w:rPr>
            <w:color w:val="0000EE"/>
            <w:u w:val="single"/>
          </w:rPr>
          <w:t>Ez 27.30</w:t>
        </w:r>
      </w:hyperlink>
      <w:r>
        <w:t>) ou rolavam na poeira (</w:t>
      </w:r>
      <w:hyperlink r:id="rId13440">
        <w:r>
          <w:rPr>
            <w:color w:val="0000EE"/>
            <w:u w:val="single"/>
          </w:rPr>
          <w:t>Jó 16.15</w:t>
        </w:r>
      </w:hyperlink>
      <w:r>
        <w:t xml:space="preserve">; </w:t>
      </w:r>
      <w:hyperlink r:id="rId13441">
        <w:r>
          <w:rPr>
            <w:color w:val="0000EE"/>
            <w:u w:val="single"/>
          </w:rPr>
          <w:t>Mq 1.10</w:t>
        </w:r>
      </w:hyperlink>
      <w:r>
        <w:t>) ou sentavam em um monte de cinzas (</w:t>
      </w:r>
      <w:hyperlink r:id="rId13442">
        <w:r>
          <w:rPr>
            <w:color w:val="0000EE"/>
            <w:u w:val="single"/>
          </w:rPr>
          <w:t>Et 4.3</w:t>
        </w:r>
      </w:hyperlink>
      <w:r>
        <w:t xml:space="preserve">; </w:t>
      </w:r>
      <w:hyperlink r:id="rId3886">
        <w:r>
          <w:rPr>
            <w:color w:val="0000EE"/>
            <w:u w:val="single"/>
          </w:rPr>
          <w:t>Is 58.5</w:t>
        </w:r>
      </w:hyperlink>
      <w:r>
        <w:t xml:space="preserve">; </w:t>
      </w:r>
      <w:hyperlink r:id="rId13443">
        <w:r>
          <w:rPr>
            <w:color w:val="0000EE"/>
            <w:u w:val="single"/>
          </w:rPr>
          <w:t>Jr 6.26</w:t>
        </w:r>
      </w:hyperlink>
      <w:r>
        <w:t xml:space="preserve">; </w:t>
      </w:r>
      <w:hyperlink r:id="rId13439">
        <w:r>
          <w:rPr>
            <w:color w:val="0000EE"/>
            <w:u w:val="single"/>
          </w:rPr>
          <w:t>Ez 27.30</w:t>
        </w:r>
      </w:hyperlink>
      <w:r>
        <w:t>). Tais ritos de luto como raspar o cabelo e a barba e fazer cortes no corpo (</w:t>
      </w:r>
      <w:hyperlink r:id="rId13431">
        <w:r>
          <w:rPr>
            <w:color w:val="0000EE"/>
            <w:u w:val="single"/>
          </w:rPr>
          <w:t>Jó 1.20</w:t>
        </w:r>
      </w:hyperlink>
      <w:r>
        <w:t xml:space="preserve">; </w:t>
      </w:r>
      <w:hyperlink r:id="rId13444">
        <w:r>
          <w:rPr>
            <w:color w:val="0000EE"/>
            <w:u w:val="single"/>
          </w:rPr>
          <w:t>Is 22.12</w:t>
        </w:r>
      </w:hyperlink>
      <w:r>
        <w:t xml:space="preserve">; </w:t>
      </w:r>
      <w:hyperlink r:id="rId4111">
        <w:r>
          <w:rPr>
            <w:color w:val="0000EE"/>
            <w:u w:val="single"/>
          </w:rPr>
          <w:t>Jr 16.6</w:t>
        </w:r>
      </w:hyperlink>
      <w:r>
        <w:t xml:space="preserve">; </w:t>
      </w:r>
      <w:hyperlink r:id="rId3931">
        <w:r>
          <w:rPr>
            <w:color w:val="0000EE"/>
            <w:u w:val="single"/>
          </w:rPr>
          <w:t>41.5</w:t>
        </w:r>
      </w:hyperlink>
      <w:r>
        <w:t xml:space="preserve">; </w:t>
      </w:r>
      <w:hyperlink r:id="rId9780">
        <w:r>
          <w:rPr>
            <w:color w:val="0000EE"/>
            <w:u w:val="single"/>
          </w:rPr>
          <w:t>47.5</w:t>
        </w:r>
      </w:hyperlink>
      <w:r>
        <w:t xml:space="preserve">; </w:t>
      </w:r>
      <w:hyperlink r:id="rId3932">
        <w:r>
          <w:rPr>
            <w:color w:val="0000EE"/>
            <w:u w:val="single"/>
          </w:rPr>
          <w:t>48.37</w:t>
        </w:r>
      </w:hyperlink>
      <w:r>
        <w:t xml:space="preserve">; </w:t>
      </w:r>
      <w:hyperlink r:id="rId13445">
        <w:r>
          <w:rPr>
            <w:color w:val="0000EE"/>
            <w:u w:val="single"/>
          </w:rPr>
          <w:t>Ez 7.18</w:t>
        </w:r>
      </w:hyperlink>
      <w:r>
        <w:t xml:space="preserve">; </w:t>
      </w:r>
      <w:hyperlink r:id="rId13446">
        <w:r>
          <w:rPr>
            <w:color w:val="0000EE"/>
            <w:u w:val="single"/>
          </w:rPr>
          <w:t>Am 8.10</w:t>
        </w:r>
      </w:hyperlink>
      <w:r>
        <w:t>) foram condenados (</w:t>
      </w:r>
      <w:hyperlink r:id="rId13447">
        <w:r>
          <w:rPr>
            <w:color w:val="0000EE"/>
            <w:u w:val="single"/>
          </w:rPr>
          <w:t>Lv 19.27–28</w:t>
        </w:r>
      </w:hyperlink>
      <w:r>
        <w:t xml:space="preserve">; </w:t>
      </w:r>
      <w:hyperlink r:id="rId4107">
        <w:r>
          <w:rPr>
            <w:color w:val="0000EE"/>
            <w:u w:val="single"/>
          </w:rPr>
          <w:t>Dt 14.1</w:t>
        </w:r>
      </w:hyperlink>
      <w:r>
        <w:t>) por causa de associações pagãs. Os enlutados se abstinham de se lavar e interrompiam o uso de perfumes (</w:t>
      </w:r>
      <w:hyperlink r:id="rId3023">
        <w:r>
          <w:rPr>
            <w:color w:val="0000EE"/>
            <w:u w:val="single"/>
          </w:rPr>
          <w:t>2Sm 12.20</w:t>
        </w:r>
      </w:hyperlink>
      <w:r>
        <w:t xml:space="preserve">; </w:t>
      </w:r>
      <w:hyperlink r:id="rId13448">
        <w:r>
          <w:rPr>
            <w:color w:val="0000EE"/>
            <w:u w:val="single"/>
          </w:rPr>
          <w:t>14.2</w:t>
        </w:r>
      </w:hyperlink>
      <w:r>
        <w:t>).</w:t>
      </w:r>
    </w:p>
    <w:p>
      <w:r/>
      <w:r>
        <w:t>O jejum também era um rito de luto (</w:t>
      </w:r>
      <w:hyperlink r:id="rId13449">
        <w:r>
          <w:rPr>
            <w:color w:val="0000EE"/>
            <w:u w:val="single"/>
          </w:rPr>
          <w:t>1Sm 31.13</w:t>
        </w:r>
      </w:hyperlink>
      <w:r>
        <w:t xml:space="preserve">; </w:t>
      </w:r>
      <w:hyperlink r:id="rId13450">
        <w:r>
          <w:rPr>
            <w:color w:val="0000EE"/>
            <w:u w:val="single"/>
          </w:rPr>
          <w:t>2Sm 1.12</w:t>
        </w:r>
      </w:hyperlink>
      <w:r>
        <w:t>). Os vizinhos ou amigos traziam o pão de luto e o “cálice da consolação” aos parentes do falecido (</w:t>
      </w:r>
      <w:hyperlink r:id="rId4079">
        <w:r>
          <w:rPr>
            <w:color w:val="0000EE"/>
            <w:u w:val="single"/>
          </w:rPr>
          <w:t>Jr 16.7</w:t>
        </w:r>
      </w:hyperlink>
      <w:r>
        <w:t xml:space="preserve">; </w:t>
      </w:r>
      <w:hyperlink r:id="rId13434">
        <w:r>
          <w:rPr>
            <w:color w:val="0000EE"/>
            <w:u w:val="single"/>
          </w:rPr>
          <w:t>Ez 24.17,22</w:t>
        </w:r>
      </w:hyperlink>
      <w:r>
        <w:t xml:space="preserve">). A comida não poderia ser preparada na casa dos mortos porque a morte tornava um lugar impuro. Os mortos eram impuros na medida em que um sacerdote poderia “profanar” a si mesmo participando de ritos de luto, exceto por seus parentes de sangue mais próximos (mãe, pai, filho, filha, irmão e irmã, desde que ela ainda fosse uma virgem; </w:t>
      </w:r>
      <w:hyperlink r:id="rId13451">
        <w:r>
          <w:rPr>
            <w:color w:val="0000EE"/>
            <w:u w:val="single"/>
          </w:rPr>
          <w:t>Lv 21.1–4,10–11</w:t>
        </w:r>
      </w:hyperlink>
      <w:r>
        <w:t>). Esses ritos de luto não eram atos de adoração dirigidos aos mortos, nem consistiam um culto para os mortos, mas eles eram expressões de tristeza e afeição.</w:t>
      </w:r>
    </w:p>
    <w:p>
      <w:r/>
      <w:r>
        <w:t>Ao lado do túmulo, era feita a lamentação pelos mortos (</w:t>
      </w:r>
      <w:hyperlink r:id="rId13452">
        <w:r>
          <w:rPr>
            <w:color w:val="0000EE"/>
            <w:u w:val="single"/>
          </w:rPr>
          <w:t>1Rs 13.30</w:t>
        </w:r>
      </w:hyperlink>
      <w:r>
        <w:t xml:space="preserve">; </w:t>
      </w:r>
      <w:hyperlink r:id="rId13443">
        <w:r>
          <w:rPr>
            <w:color w:val="0000EE"/>
            <w:u w:val="single"/>
          </w:rPr>
          <w:t>Jr 6.26</w:t>
        </w:r>
      </w:hyperlink>
      <w:r>
        <w:t xml:space="preserve">; </w:t>
      </w:r>
      <w:hyperlink r:id="rId13453">
        <w:r>
          <w:rPr>
            <w:color w:val="0000EE"/>
            <w:u w:val="single"/>
          </w:rPr>
          <w:t>Am 5.16</w:t>
        </w:r>
      </w:hyperlink>
      <w:r>
        <w:t xml:space="preserve">; </w:t>
      </w:r>
      <w:hyperlink r:id="rId13446">
        <w:r>
          <w:rPr>
            <w:color w:val="0000EE"/>
            <w:u w:val="single"/>
          </w:rPr>
          <w:t>8.10</w:t>
        </w:r>
      </w:hyperlink>
      <w:r>
        <w:t xml:space="preserve">; </w:t>
      </w:r>
      <w:hyperlink r:id="rId7068">
        <w:r>
          <w:rPr>
            <w:color w:val="0000EE"/>
            <w:u w:val="single"/>
          </w:rPr>
          <w:t>Zc 12.10</w:t>
        </w:r>
      </w:hyperlink>
      <w:r>
        <w:t>) por homens e mulheres em grupos separados (</w:t>
      </w:r>
      <w:hyperlink r:id="rId13454">
        <w:r>
          <w:rPr>
            <w:color w:val="0000EE"/>
            <w:u w:val="single"/>
          </w:rPr>
          <w:t>Zc 12.11–14</w:t>
        </w:r>
      </w:hyperlink>
      <w:r>
        <w:t>). Essas exclamações de tristeza podem se desenvolver em um lamento rítmico (</w:t>
      </w:r>
      <w:hyperlink r:id="rId13143">
        <w:r>
          <w:rPr>
            <w:color w:val="0000EE"/>
            <w:u w:val="single"/>
          </w:rPr>
          <w:t>2Sm 1.17–27</w:t>
        </w:r>
      </w:hyperlink>
      <w:r>
        <w:t xml:space="preserve">; </w:t>
      </w:r>
      <w:hyperlink r:id="rId13446">
        <w:r>
          <w:rPr>
            <w:color w:val="0000EE"/>
            <w:u w:val="single"/>
          </w:rPr>
          <w:t>Am 8.10</w:t>
        </w:r>
      </w:hyperlink>
      <w:r>
        <w:t>). No entanto, lamentadores profissionais, homens e especialmente mulheres (</w:t>
      </w:r>
      <w:hyperlink r:id="rId13455">
        <w:r>
          <w:rPr>
            <w:color w:val="0000EE"/>
            <w:u w:val="single"/>
          </w:rPr>
          <w:t>Jr 9.17–19</w:t>
        </w:r>
      </w:hyperlink>
      <w:r>
        <w:t xml:space="preserve">; </w:t>
      </w:r>
      <w:hyperlink r:id="rId13453">
        <w:r>
          <w:rPr>
            <w:color w:val="0000EE"/>
            <w:u w:val="single"/>
          </w:rPr>
          <w:t>Am 5.16</w:t>
        </w:r>
      </w:hyperlink>
      <w:r>
        <w:t>), eram contratados. O livro de Lamentações é um belo exemplo de lamentos e é um lembrete de que entre judeus o luto nem sempre estava associado com a morte. Expressava quebrantamento de espírito pelo pecado, individual e nacional. A calamidade nacional também evocava grande lamentação.</w:t>
      </w:r>
    </w:p>
    <w:p>
      <w:r/>
      <w:r>
        <w:t>Esses ritos de luto expressavam grande tristeza. Mas alguns deles — rasgar roupas, usar pano de saco, desfigurar-se com poeira e cinzas, automutilação — apontam para convulsões de tristeza, o significado religioso que agora nos escapa. Isso estava longe do luto como um sentimento interior ou um estado da mente. Não era apenas uma explosão involuntária de sentimento, mas sim um ritual deliberado e estabelecido. Quando a morte ocorria, o israelita chorava porque era costume e correto. A construção de monumentos ou memoriais não era desconhecida (</w:t>
      </w:r>
      <w:hyperlink r:id="rId13456">
        <w:r>
          <w:rPr>
            <w:color w:val="0000EE"/>
            <w:u w:val="single"/>
          </w:rPr>
          <w:t>2Sm 18.18</w:t>
        </w:r>
      </w:hyperlink>
      <w:r>
        <w:t>), mas o israelita mediano era muito pobre para que isso fosse uma prática comum.</w:t>
      </w:r>
    </w:p>
    <w:p>
      <w:r/>
      <w:r>
        <w:t>As práticas de luto nos tempos do NT diferiam pouco das descritas no AT. O luto estava associado com o segundo advento de Cristo (</w:t>
      </w:r>
      <w:hyperlink r:id="rId3650">
        <w:r>
          <w:rPr>
            <w:color w:val="0000EE"/>
            <w:u w:val="single"/>
          </w:rPr>
          <w:t>Mt 24.30</w:t>
        </w:r>
      </w:hyperlink>
      <w:r>
        <w:t>), com o arrependimento (</w:t>
      </w:r>
      <w:hyperlink r:id="rId13457">
        <w:r>
          <w:rPr>
            <w:color w:val="0000EE"/>
            <w:u w:val="single"/>
          </w:rPr>
          <w:t>Tg 4.8–10</w:t>
        </w:r>
      </w:hyperlink>
      <w:r>
        <w:t>), com Cristo deixando os 12 (</w:t>
      </w:r>
      <w:hyperlink r:id="rId13458">
        <w:r>
          <w:rPr>
            <w:color w:val="0000EE"/>
            <w:u w:val="single"/>
          </w:rPr>
          <w:t>Mt 9.15</w:t>
        </w:r>
      </w:hyperlink>
      <w:r>
        <w:t>), com a espiritualidade profunda (</w:t>
      </w:r>
      <w:hyperlink r:id="rId13459">
        <w:r>
          <w:rPr>
            <w:color w:val="0000EE"/>
            <w:u w:val="single"/>
          </w:rPr>
          <w:t>5.4</w:t>
        </w:r>
      </w:hyperlink>
      <w:r>
        <w:t>), bem como com a morte (</w:t>
      </w:r>
      <w:hyperlink r:id="rId13460">
        <w:r>
          <w:rPr>
            <w:color w:val="0000EE"/>
            <w:u w:val="single"/>
          </w:rPr>
          <w:t>Mc 5.38–39</w:t>
        </w:r>
      </w:hyperlink>
      <w:r>
        <w:t xml:space="preserve">; </w:t>
      </w:r>
      <w:hyperlink r:id="rId13461">
        <w:r>
          <w:rPr>
            <w:color w:val="0000EE"/>
            <w:u w:val="single"/>
          </w:rPr>
          <w:t>Lc 7.13</w:t>
        </w:r>
      </w:hyperlink>
      <w:r>
        <w:t xml:space="preserve">; </w:t>
      </w:r>
      <w:hyperlink r:id="rId13462">
        <w:r>
          <w:rPr>
            <w:color w:val="0000EE"/>
            <w:u w:val="single"/>
          </w:rPr>
          <w:t>Jo 11.33</w:t>
        </w:r>
      </w:hyperlink>
      <w:r>
        <w:t>).</w:t>
      </w:r>
    </w:p>
    <w:p>
      <w:r/>
      <w:r>
        <w:t>É verdade, a derrota da morte por Jesus Cristo roubou da morte o seu aguilhão e do túmulo a sua vitória (</w:t>
      </w:r>
      <w:hyperlink r:id="rId5855">
        <w:r>
          <w:rPr>
            <w:color w:val="0000EE"/>
            <w:u w:val="single"/>
          </w:rPr>
          <w:t>1Co 15.54–57</w:t>
        </w:r>
      </w:hyperlink>
      <w:r>
        <w:t>), mas o cristão ainda chora, embora não como aqueles que não têm esperança (</w:t>
      </w:r>
      <w:hyperlink r:id="rId13463">
        <w:r>
          <w:rPr>
            <w:color w:val="0000EE"/>
            <w:u w:val="single"/>
          </w:rPr>
          <w:t>1Ts 4.13</w:t>
        </w:r>
      </w:hyperlink>
      <w:r>
        <w:t xml:space="preserve">; </w:t>
      </w:r>
      <w:hyperlink r:id="rId3113">
        <w:r>
          <w:rPr>
            <w:color w:val="0000EE"/>
            <w:u w:val="single"/>
          </w:rPr>
          <w:t>Ap 21.4</w:t>
        </w:r>
      </w:hyperlink>
      <w:r>
        <w:t>).</w:t>
      </w:r>
    </w:p>
    <w:p>
      <w:r/>
      <w:r>
        <w:rPr>
          <w:i/>
        </w:rPr>
        <w:t>Veja também</w:t>
      </w:r>
      <w:r>
        <w:t xml:space="preserve"> </w:t>
      </w:r>
      <w:r>
        <w:t>Sepultamento, Costumes de</w:t>
      </w:r>
      <w:r>
        <w:t xml:space="preserve"> </w:t>
      </w:r>
      <w:r>
        <w:t>Costumes Funerários</w:t>
      </w:r>
      <w:r>
        <w:t>.</w:t>
      </w:r>
      <w:r/>
      <w:r/>
    </w:p>
    <w:p>
      <w:r/>
    </w:p>
    <w:p>
      <w:pPr>
        <w:pStyle w:val="Heading2"/>
      </w:pPr>
      <w:r>
        <w:t>Luz</w:t>
      </w:r>
      <w:r/>
    </w:p>
    <w:p>
      <w:r/>
      <w:r>
        <w:t>A iluminação que torna a visão possível.</w:t>
      </w:r>
    </w:p>
    <w:p>
      <w:pPr>
        <w:pStyle w:val="Heading3"/>
      </w:pPr>
      <w:r>
        <w:t>Luz no Antigo Testamento</w:t>
      </w:r>
    </w:p>
    <w:p>
      <w:r/>
      <w:r>
        <w:t>A luz é um conceito com muitos significados no Antigo Testamento. Muitas vezes refere-se à luz física comum, mas também simboliza a verdade espiritual. A primeira coisa que Deus criou foi a luz (</w:t>
      </w:r>
      <w:hyperlink r:id="rId13034">
        <w:r>
          <w:rPr>
            <w:color w:val="0000EE"/>
            <w:u w:val="single"/>
          </w:rPr>
          <w:t>Gênesis 1.3</w:t>
        </w:r>
      </w:hyperlink>
      <w:r>
        <w:t>). Ele também criou o sol, a lua e as estrelas para dar luz (</w:t>
      </w:r>
      <w:hyperlink r:id="rId13333">
        <w:r>
          <w:rPr>
            <w:color w:val="0000EE"/>
            <w:u w:val="single"/>
          </w:rPr>
          <w:t>Gênesis 1.16</w:t>
        </w:r>
      </w:hyperlink>
      <w:r>
        <w:t>). Às vezes, a Bíblia personifica a luz. Por exemplo, Jó a descreve como se vivesse em um lugar que ninguém pode alcançar (</w:t>
      </w:r>
      <w:hyperlink r:id="rId13464">
        <w:r>
          <w:rPr>
            <w:color w:val="0000EE"/>
            <w:u w:val="single"/>
          </w:rPr>
          <w:t>Jó 38.19</w:t>
        </w:r>
      </w:hyperlink>
      <w:r>
        <w:t xml:space="preserve">; compare com versículo </w:t>
      </w:r>
      <w:hyperlink r:id="rId13465">
        <w:r>
          <w:rPr>
            <w:color w:val="0000EE"/>
            <w:u w:val="single"/>
          </w:rPr>
          <w:t>24</w:t>
        </w:r>
      </w:hyperlink>
      <w:r>
        <w:t>). Os israelitas também usaram luz artificial no tabernáculo (</w:t>
      </w:r>
      <w:hyperlink r:id="rId13466">
        <w:r>
          <w:rPr>
            <w:color w:val="0000EE"/>
            <w:u w:val="single"/>
          </w:rPr>
          <w:t>Êxodo 25.37</w:t>
        </w:r>
      </w:hyperlink>
      <w:r>
        <w:t>).</w:t>
      </w:r>
    </w:p>
    <w:p>
      <w:r/>
      <w:r>
        <w:t>A luz é um símbolo do que é bom, edificante ou conectado a pessoas importantes — especialmente Deus. O pregador em Eclesiastes diz: “A luz é doce” (</w:t>
      </w:r>
      <w:hyperlink r:id="rId13467">
        <w:r>
          <w:rPr>
            <w:color w:val="0000EE"/>
            <w:u w:val="single"/>
          </w:rPr>
          <w:t>Eclesiastes 11.7</w:t>
        </w:r>
      </w:hyperlink>
      <w:r>
        <w:t>). Durante as pragas no Egito, enquanto os egípcios estavam em total escuridão, os israelitas tinham luz (</w:t>
      </w:r>
      <w:hyperlink r:id="rId13468">
        <w:r>
          <w:rPr>
            <w:color w:val="0000EE"/>
            <w:u w:val="single"/>
          </w:rPr>
          <w:t>Êxodo10.23</w:t>
        </w:r>
      </w:hyperlink>
      <w:r>
        <w:t>). Quando os israelitas saíram do Egito, Deus os guiou com uma coluna de nuvem durante o dia e uma coluna de fogo à noite (</w:t>
      </w:r>
      <w:hyperlink r:id="rId13469">
        <w:r>
          <w:rPr>
            <w:color w:val="0000EE"/>
            <w:u w:val="single"/>
          </w:rPr>
          <w:t>Êxodo13.21</w:t>
        </w:r>
      </w:hyperlink>
      <w:r>
        <w:t>). A coluna de fogo lhes dava luz enquanto seus inimigos estavam na escuridão (</w:t>
      </w:r>
      <w:hyperlink r:id="rId8267">
        <w:r>
          <w:rPr>
            <w:color w:val="0000EE"/>
            <w:u w:val="single"/>
          </w:rPr>
          <w:t>Êxodo14.20</w:t>
        </w:r>
      </w:hyperlink>
      <w:r>
        <w:t>). Mesmo quando pecaram, Israel se lembrava de que Deus não os abandonou. A coluna de fogo permaneceu para guiá-los (</w:t>
      </w:r>
      <w:hyperlink r:id="rId13470">
        <w:r>
          <w:rPr>
            <w:color w:val="0000EE"/>
            <w:u w:val="single"/>
          </w:rPr>
          <w:t>Neemias 9.19</w:t>
        </w:r>
      </w:hyperlink>
      <w:r>
        <w:t xml:space="preserve">; compare </w:t>
      </w:r>
      <w:hyperlink r:id="rId13471">
        <w:r>
          <w:rPr>
            <w:color w:val="0000EE"/>
            <w:u w:val="single"/>
          </w:rPr>
          <w:t>Neemias 9.12</w:t>
        </w:r>
      </w:hyperlink>
      <w:r>
        <w:t xml:space="preserve">; </w:t>
      </w:r>
      <w:hyperlink r:id="rId13472">
        <w:r>
          <w:rPr>
            <w:color w:val="0000EE"/>
            <w:u w:val="single"/>
          </w:rPr>
          <w:t>Salmos 78.14</w:t>
        </w:r>
      </w:hyperlink>
      <w:r>
        <w:t xml:space="preserve">; </w:t>
      </w:r>
      <w:hyperlink r:id="rId13473">
        <w:r>
          <w:rPr>
            <w:color w:val="0000EE"/>
            <w:u w:val="single"/>
          </w:rPr>
          <w:t>105.39</w:t>
        </w:r>
      </w:hyperlink>
      <w:r>
        <w:t>).</w:t>
      </w:r>
    </w:p>
    <w:p>
      <w:r/>
      <w:r>
        <w:t>No Antigo Testamento, a luz frequentemente representa a bênção de Deus. Jó disse: “Ele revela as coisas profundas das trevas e traz as sombras profundas à luz” (</w:t>
      </w:r>
      <w:hyperlink r:id="rId13474">
        <w:r>
          <w:rPr>
            <w:color w:val="0000EE"/>
            <w:u w:val="single"/>
          </w:rPr>
          <w:t>Jó 12.22</w:t>
        </w:r>
      </w:hyperlink>
      <w:r>
        <w:t>). Quando Jó estava em apuros, ele se lembrava das vezes em que Deus iluminou o caminho para ele, e ele se sentia seguro (</w:t>
      </w:r>
      <w:hyperlink r:id="rId13475">
        <w:r>
          <w:rPr>
            <w:color w:val="0000EE"/>
            <w:u w:val="single"/>
          </w:rPr>
          <w:t>Jó 29.2–3</w:t>
        </w:r>
      </w:hyperlink>
      <w:r>
        <w:t>). O amigo de Jó, Elifaz, também disse que se Jó seguisse seu conselho, "a luz brilhará nos seus caminhos" (</w:t>
      </w:r>
      <w:hyperlink r:id="rId13476">
        <w:r>
          <w:rPr>
            <w:color w:val="0000EE"/>
            <w:u w:val="single"/>
          </w:rPr>
          <w:t>Jó 22.28</w:t>
        </w:r>
      </w:hyperlink>
      <w:r>
        <w:t>). O salmista também via como uma bênção quando Deus acendia sua lâmpada (</w:t>
      </w:r>
      <w:hyperlink r:id="rId13477">
        <w:r>
          <w:rPr>
            <w:color w:val="0000EE"/>
            <w:u w:val="single"/>
          </w:rPr>
          <w:t>Salmos 18.28</w:t>
        </w:r>
      </w:hyperlink>
      <w:r>
        <w:t xml:space="preserve">; </w:t>
      </w:r>
      <w:hyperlink r:id="rId13478">
        <w:r>
          <w:rPr>
            <w:color w:val="0000EE"/>
            <w:u w:val="single"/>
          </w:rPr>
          <w:t>118.27</w:t>
        </w:r>
      </w:hyperlink>
      <w:r>
        <w:t xml:space="preserve">; compare </w:t>
      </w:r>
      <w:hyperlink r:id="rId5683">
        <w:r>
          <w:rPr>
            <w:color w:val="0000EE"/>
            <w:u w:val="single"/>
          </w:rPr>
          <w:t>97.11</w:t>
        </w:r>
      </w:hyperlink>
      <w:r>
        <w:t xml:space="preserve">; </w:t>
      </w:r>
      <w:hyperlink r:id="rId13479">
        <w:r>
          <w:rPr>
            <w:color w:val="0000EE"/>
            <w:u w:val="single"/>
          </w:rPr>
          <w:t>112.4</w:t>
        </w:r>
      </w:hyperlink>
      <w:r>
        <w:t>).</w:t>
      </w:r>
    </w:p>
    <w:p>
      <w:r/>
      <w:r>
        <w:t>A luz está intimamente ligada a Deus. A Bíblia até diz que Deus é luz: “O Senhor será a sua luz eterna” (</w:t>
      </w:r>
      <w:hyperlink r:id="rId13480">
        <w:r>
          <w:rPr>
            <w:color w:val="0000EE"/>
            <w:u w:val="single"/>
          </w:rPr>
          <w:t>Isaías 60.19–20</w:t>
        </w:r>
      </w:hyperlink>
      <w:r>
        <w:t>). O salmista se alegrou, dizendo: “O Senhor é a minha luz e a minha salvação” (</w:t>
      </w:r>
      <w:hyperlink r:id="rId13481">
        <w:r>
          <w:rPr>
            <w:color w:val="0000EE"/>
            <w:u w:val="single"/>
          </w:rPr>
          <w:t>Salmo 27.1</w:t>
        </w:r>
      </w:hyperlink>
      <w:r>
        <w:t>). Deus é descrito como estando vestido de luz (</w:t>
      </w:r>
      <w:hyperlink r:id="rId13482">
        <w:r>
          <w:rPr>
            <w:color w:val="0000EE"/>
            <w:u w:val="single"/>
          </w:rPr>
          <w:t>Salmo 104.2</w:t>
        </w:r>
      </w:hyperlink>
      <w:r>
        <w:t>), e a luz habita com Ele (</w:t>
      </w:r>
      <w:hyperlink r:id="rId13483">
        <w:r>
          <w:rPr>
            <w:color w:val="0000EE"/>
            <w:u w:val="single"/>
          </w:rPr>
          <w:t>Daniel 2.22</w:t>
        </w:r>
      </w:hyperlink>
      <w:r>
        <w:t>). Para Deus, trevas e luz são iguais; nada pode esconder algo dEle (</w:t>
      </w:r>
      <w:hyperlink r:id="rId13484">
        <w:r>
          <w:rPr>
            <w:color w:val="0000EE"/>
            <w:u w:val="single"/>
          </w:rPr>
          <w:t>Salmo 139.12</w:t>
        </w:r>
      </w:hyperlink>
      <w:r>
        <w:t>). O profeta Miquéias também descreveu Deus como luz e como alguém que traz Seus servos para a luz (</w:t>
      </w:r>
      <w:hyperlink r:id="rId13485">
        <w:r>
          <w:rPr>
            <w:color w:val="0000EE"/>
            <w:u w:val="single"/>
          </w:rPr>
          <w:t>Miquéias 7.8–9</w:t>
        </w:r>
      </w:hyperlink>
      <w:r>
        <w:t>), mostrando que Deus traz bênção e vitória ao Seu povo.</w:t>
      </w:r>
    </w:p>
    <w:p>
      <w:r/>
      <w:r>
        <w:t xml:space="preserve">A bênção de Deus é frequentemente descrita como a “luz de Sua presença”. Em </w:t>
      </w:r>
      <w:hyperlink r:id="rId13486">
        <w:r>
          <w:rPr>
            <w:color w:val="0000EE"/>
            <w:u w:val="single"/>
          </w:rPr>
          <w:t>Salmo 4.6</w:t>
        </w:r>
      </w:hyperlink>
      <w:r>
        <w:t xml:space="preserve">, o salmista diz: “Resplandece a luz do Teu rosto sobre nós, ó Senhor". Esta expressão de luz refere-se ao favor de Deus. Em </w:t>
      </w:r>
      <w:hyperlink r:id="rId13487">
        <w:r>
          <w:rPr>
            <w:color w:val="0000EE"/>
            <w:u w:val="single"/>
          </w:rPr>
          <w:t>Salmo 44.3</w:t>
        </w:r>
      </w:hyperlink>
      <w:r>
        <w:t>, é a luz de Deus, Sua mão direita e Seu amor que trazem vitória ao Seu povo. Aqueles que andam na luz de Deus são abençoados (</w:t>
      </w:r>
      <w:hyperlink r:id="rId13488">
        <w:r>
          <w:rPr>
            <w:color w:val="0000EE"/>
            <w:u w:val="single"/>
          </w:rPr>
          <w:t>Salmo 89.15</w:t>
        </w:r>
      </w:hyperlink>
      <w:r>
        <w:t>), mas esta luz também expõe pecados ocultos (</w:t>
      </w:r>
      <w:hyperlink r:id="rId13489">
        <w:r>
          <w:rPr>
            <w:color w:val="0000EE"/>
            <w:u w:val="single"/>
          </w:rPr>
          <w:t>Salmo 90.8</w:t>
        </w:r>
      </w:hyperlink>
      <w:r>
        <w:t>). Ninguém pode se esconder do olhar vigilante de Deus, mas Sua luz representa principalmente a bênção que vem de Sua presença. Em uma ocasião, Jó usou a frase para descrever o favor de outros (</w:t>
      </w:r>
      <w:hyperlink r:id="rId13490">
        <w:r>
          <w:rPr>
            <w:color w:val="0000EE"/>
            <w:u w:val="single"/>
          </w:rPr>
          <w:t>Jó 29.24</w:t>
        </w:r>
      </w:hyperlink>
      <w:r>
        <w:t>). A luz que Deus dá aos Seus servos permite que compartilhem Sua bênção com outros (</w:t>
      </w:r>
      <w:hyperlink r:id="rId11326">
        <w:r>
          <w:rPr>
            <w:color w:val="0000EE"/>
            <w:u w:val="single"/>
          </w:rPr>
          <w:t>Isaías 42.6</w:t>
        </w:r>
      </w:hyperlink>
      <w:r>
        <w:t xml:space="preserve">; </w:t>
      </w:r>
      <w:hyperlink r:id="rId10883">
        <w:r>
          <w:rPr>
            <w:color w:val="0000EE"/>
            <w:u w:val="single"/>
          </w:rPr>
          <w:t>49.6</w:t>
        </w:r>
      </w:hyperlink>
      <w:r>
        <w:t>).</w:t>
      </w:r>
    </w:p>
    <w:p>
      <w:r/>
      <w:r>
        <w:t>A justiça de Deus também está ligada à luz. Ele diz: “Minha justiça se tornará uma luz para a nação” (</w:t>
      </w:r>
      <w:hyperlink r:id="rId13491">
        <w:r>
          <w:rPr>
            <w:color w:val="0000EE"/>
            <w:u w:val="single"/>
          </w:rPr>
          <w:t>Isaías 51.4</w:t>
        </w:r>
      </w:hyperlink>
      <w:r>
        <w:t>). Neste contexto, a luz de Deus é poderosa, como um fogo consumidor. A luz também está conectada ao bom comportamento, como visto em Provérbios: “O caminho dos justos é como a primeira luz da aurora” (</w:t>
      </w:r>
      <w:hyperlink r:id="rId4166">
        <w:r>
          <w:rPr>
            <w:color w:val="0000EE"/>
            <w:u w:val="single"/>
          </w:rPr>
          <w:t>Provérbios 4.18</w:t>
        </w:r>
      </w:hyperlink>
      <w:r>
        <w:t>).</w:t>
      </w:r>
    </w:p>
    <w:p>
      <w:r/>
      <w:r>
        <w:t>A ausência de luz é usada como símbolo de desastre. Algumas pessoas “tateiam na escuridão sem luz” (</w:t>
      </w:r>
      <w:hyperlink r:id="rId8297">
        <w:r>
          <w:rPr>
            <w:color w:val="0000EE"/>
            <w:u w:val="single"/>
          </w:rPr>
          <w:t>Jó 12.25</w:t>
        </w:r>
      </w:hyperlink>
      <w:r>
        <w:t>). O amigo de Jó, Bildade, acreditava que a luz dos ímpios seria apagada como punição (</w:t>
      </w:r>
      <w:hyperlink r:id="rId13492">
        <w:r>
          <w:rPr>
            <w:color w:val="0000EE"/>
            <w:u w:val="single"/>
          </w:rPr>
          <w:t>Jó 18.5–17</w:t>
        </w:r>
      </w:hyperlink>
      <w:r>
        <w:t>). Após a destruição de Jerusalém por Babilônia, o povo lamentou, dizendo: “Ele me afastou e me fez andar na escuridão em vez de luz” (</w:t>
      </w:r>
      <w:hyperlink r:id="rId13493">
        <w:r>
          <w:rPr>
            <w:color w:val="0000EE"/>
            <w:u w:val="single"/>
          </w:rPr>
          <w:t>Lamentações 3.2</w:t>
        </w:r>
      </w:hyperlink>
      <w:r>
        <w:t>).</w:t>
      </w:r>
    </w:p>
    <w:p>
      <w:pPr>
        <w:pStyle w:val="Heading3"/>
      </w:pPr>
      <w:r>
        <w:t>Luz no Novo Testamento</w:t>
      </w:r>
    </w:p>
    <w:p>
      <w:r/>
      <w:r>
        <w:t>No Novo Testamento, referências à luz são frequentemente simbólicas. Por exemplo, quando Saulo de Tarso encontrou “uma luz do céu” no caminho para Damasco (</w:t>
      </w:r>
      <w:hyperlink r:id="rId10046">
        <w:r>
          <w:rPr>
            <w:color w:val="0000EE"/>
            <w:u w:val="single"/>
          </w:rPr>
          <w:t>Atos 9.3</w:t>
        </w:r>
      </w:hyperlink>
      <w:r>
        <w:t xml:space="preserve">; compare </w:t>
      </w:r>
      <w:hyperlink r:id="rId10889">
        <w:r>
          <w:rPr>
            <w:color w:val="0000EE"/>
            <w:u w:val="single"/>
          </w:rPr>
          <w:t>22.6–11</w:t>
        </w:r>
      </w:hyperlink>
      <w:r>
        <w:t xml:space="preserve">; </w:t>
      </w:r>
      <w:hyperlink r:id="rId13494">
        <w:r>
          <w:rPr>
            <w:color w:val="0000EE"/>
            <w:u w:val="single"/>
          </w:rPr>
          <w:t>26.13</w:t>
        </w:r>
      </w:hyperlink>
      <w:r>
        <w:t>), não está claro se era luz comum ou algo mais. Da mesma forma, quando Pedro estava na prisão, “uma luz brilhou em sua cela” (</w:t>
      </w:r>
      <w:hyperlink r:id="rId13495">
        <w:r>
          <w:rPr>
            <w:color w:val="0000EE"/>
            <w:u w:val="single"/>
          </w:rPr>
          <w:t>Atos 12.7</w:t>
        </w:r>
      </w:hyperlink>
      <w:r>
        <w:t>). A cidade celestial não precisa de luz física porque “o Senhor Deus brilhará sobre eles” (</w:t>
      </w:r>
      <w:hyperlink r:id="rId2158">
        <w:r>
          <w:rPr>
            <w:color w:val="0000EE"/>
            <w:u w:val="single"/>
          </w:rPr>
          <w:t>Apocalipse 22.5</w:t>
        </w:r>
      </w:hyperlink>
      <w:r>
        <w:t xml:space="preserve">; compare </w:t>
      </w:r>
      <w:hyperlink r:id="rId13496">
        <w:r>
          <w:rPr>
            <w:color w:val="0000EE"/>
            <w:u w:val="single"/>
          </w:rPr>
          <w:t>21.11,23–24</w:t>
        </w:r>
      </w:hyperlink>
      <w:r>
        <w:t>).</w:t>
      </w:r>
    </w:p>
    <w:p>
      <w:r/>
      <w:r>
        <w:t>A conexão entre Deus e a luz é um tema comum no Novo Testamento. O apóstolo João escreveu, “Deus é luz, e nele não há treva alguma” (</w:t>
      </w:r>
      <w:hyperlink r:id="rId6853">
        <w:r>
          <w:rPr>
            <w:color w:val="0000EE"/>
            <w:u w:val="single"/>
          </w:rPr>
          <w:t>1 João 1.5</w:t>
        </w:r>
      </w:hyperlink>
      <w:r>
        <w:t>). Tiago chamou Deus de “o Pai das luzes celestiais” (</w:t>
      </w:r>
      <w:hyperlink r:id="rId6815">
        <w:r>
          <w:rPr>
            <w:color w:val="0000EE"/>
            <w:u w:val="single"/>
          </w:rPr>
          <w:t>Tiago 1.17</w:t>
        </w:r>
      </w:hyperlink>
      <w:r>
        <w:t>). Deus também é descrito como habitando em luz inacessível a qualquer pessoa (</w:t>
      </w:r>
      <w:hyperlink r:id="rId13497">
        <w:r>
          <w:rPr>
            <w:color w:val="0000EE"/>
            <w:u w:val="single"/>
          </w:rPr>
          <w:t>1 Timóteo 6.16</w:t>
        </w:r>
      </w:hyperlink>
      <w:r>
        <w:t xml:space="preserve">; veja também </w:t>
      </w:r>
      <w:hyperlink r:id="rId5313">
        <w:r>
          <w:rPr>
            <w:color w:val="0000EE"/>
            <w:u w:val="single"/>
          </w:rPr>
          <w:t>1 João 1.7</w:t>
        </w:r>
      </w:hyperlink>
      <w:r>
        <w:t>). Jesus disse, “Eu sou a luz do mundo” (</w:t>
      </w:r>
      <w:hyperlink r:id="rId3753">
        <w:r>
          <w:rPr>
            <w:color w:val="0000EE"/>
            <w:u w:val="single"/>
          </w:rPr>
          <w:t>João 8.12</w:t>
        </w:r>
      </w:hyperlink>
      <w:r>
        <w:t xml:space="preserve">; veja também </w:t>
      </w:r>
      <w:hyperlink r:id="rId13498">
        <w:r>
          <w:rPr>
            <w:color w:val="0000EE"/>
            <w:u w:val="single"/>
          </w:rPr>
          <w:t>9.5</w:t>
        </w:r>
      </w:hyperlink>
      <w:r>
        <w:t>), e “Eu vim ao mundo como luz, para que todo aquele que crê em mim não permaneça nas trevas” (</w:t>
      </w:r>
      <w:hyperlink r:id="rId13499">
        <w:r>
          <w:rPr>
            <w:color w:val="0000EE"/>
            <w:u w:val="single"/>
          </w:rPr>
          <w:t>João 12.46</w:t>
        </w:r>
      </w:hyperlink>
      <w:r>
        <w:t>). Ele era a própria luz, segundo o apóstolo João (</w:t>
      </w:r>
      <w:hyperlink r:id="rId13500">
        <w:r>
          <w:rPr>
            <w:color w:val="0000EE"/>
            <w:u w:val="single"/>
          </w:rPr>
          <w:t>João 1.1–10</w:t>
        </w:r>
      </w:hyperlink>
      <w:r>
        <w:t>). João Batista veio para testemunhar sobre essa luz para conduzir as pessoas à fé (</w:t>
      </w:r>
      <w:hyperlink r:id="rId13501">
        <w:r>
          <w:rPr>
            <w:color w:val="0000EE"/>
            <w:u w:val="single"/>
          </w:rPr>
          <w:t>João 1.7–8</w:t>
        </w:r>
      </w:hyperlink>
      <w:r>
        <w:t>). Aqueles que recebem a luz recebem o direito de se tornarem filhos de Deus (</w:t>
      </w:r>
      <w:hyperlink r:id="rId13502">
        <w:r>
          <w:rPr>
            <w:color w:val="0000EE"/>
            <w:u w:val="single"/>
          </w:rPr>
          <w:t>João 1.9–12</w:t>
        </w:r>
      </w:hyperlink>
      <w:r>
        <w:t>). Às vezes, a luz é usada para representar a revelação das pessoas encontrando o conhecimento de Deus e sua salvação (</w:t>
      </w:r>
      <w:hyperlink r:id="rId8286">
        <w:r>
          <w:rPr>
            <w:color w:val="0000EE"/>
            <w:u w:val="single"/>
          </w:rPr>
          <w:t>Mateus 4.16</w:t>
        </w:r>
      </w:hyperlink>
      <w:r>
        <w:t xml:space="preserve">; </w:t>
      </w:r>
      <w:hyperlink r:id="rId11696">
        <w:r>
          <w:rPr>
            <w:color w:val="0000EE"/>
            <w:u w:val="single"/>
          </w:rPr>
          <w:t>Lucas 2.32</w:t>
        </w:r>
      </w:hyperlink>
      <w:r>
        <w:t xml:space="preserve">; </w:t>
      </w:r>
      <w:hyperlink r:id="rId13503">
        <w:r>
          <w:rPr>
            <w:color w:val="0000EE"/>
            <w:u w:val="single"/>
          </w:rPr>
          <w:t>Atos 13.47</w:t>
        </w:r>
      </w:hyperlink>
      <w:r>
        <w:t xml:space="preserve">; </w:t>
      </w:r>
      <w:hyperlink r:id="rId3207">
        <w:r>
          <w:rPr>
            <w:color w:val="0000EE"/>
            <w:u w:val="single"/>
          </w:rPr>
          <w:t>26.18</w:t>
        </w:r>
      </w:hyperlink>
      <w:r>
        <w:t>).</w:t>
      </w:r>
    </w:p>
    <w:p>
      <w:r/>
      <w:r>
        <w:t>João escreveu que a luz brilha nas trevas, e as trevas não a venceram (</w:t>
      </w:r>
      <w:hyperlink r:id="rId8039">
        <w:r>
          <w:rPr>
            <w:color w:val="0000EE"/>
            <w:u w:val="single"/>
          </w:rPr>
          <w:t>João 1.5</w:t>
        </w:r>
      </w:hyperlink>
      <w:r>
        <w:t xml:space="preserve">; compare </w:t>
      </w:r>
      <w:hyperlink r:id="rId13504">
        <w:r>
          <w:rPr>
            <w:color w:val="0000EE"/>
            <w:u w:val="single"/>
          </w:rPr>
          <w:t>1 João 2.8</w:t>
        </w:r>
      </w:hyperlink>
      <w:r>
        <w:t>). Ele também disse: “A Luz veio ao mundo, mas os homens amaram mais as trevas do que a Luz, porque suas obras eram más” (</w:t>
      </w:r>
      <w:hyperlink r:id="rId13505">
        <w:r>
          <w:rPr>
            <w:color w:val="0000EE"/>
            <w:u w:val="single"/>
          </w:rPr>
          <w:t>João 3.19</w:t>
        </w:r>
      </w:hyperlink>
      <w:r>
        <w:t>). As pessoas que fazem o mal evitam a luz, mas as que fazem o bem vêm para a luz (</w:t>
      </w:r>
      <w:hyperlink r:id="rId13506">
        <w:r>
          <w:rPr>
            <w:color w:val="0000EE"/>
            <w:u w:val="single"/>
          </w:rPr>
          <w:t>João 3.20–21</w:t>
        </w:r>
      </w:hyperlink>
      <w:r>
        <w:t>). Quando João descreve a ressurreição de Lázaro, Jesus diz que os homens tropeçam à noite porque não têm luz (</w:t>
      </w:r>
      <w:hyperlink r:id="rId13507">
        <w:r>
          <w:rPr>
            <w:color w:val="0000EE"/>
            <w:u w:val="single"/>
          </w:rPr>
          <w:t>João 11.10</w:t>
        </w:r>
      </w:hyperlink>
      <w:r>
        <w:t>). Jesus diz que os homens não têm luz "em" si, mostrando que a luz é espiritual (</w:t>
      </w:r>
      <w:hyperlink r:id="rId3753">
        <w:r>
          <w:rPr>
            <w:color w:val="0000EE"/>
            <w:u w:val="single"/>
          </w:rPr>
          <w:t>João 8.12</w:t>
        </w:r>
      </w:hyperlink>
      <w:r>
        <w:t>).</w:t>
      </w:r>
    </w:p>
    <w:p>
      <w:r/>
      <w:r>
        <w:t>Os crentes são descritos como “filhos da luz” (</w:t>
      </w:r>
      <w:hyperlink r:id="rId13508">
        <w:r>
          <w:rPr>
            <w:color w:val="0000EE"/>
            <w:u w:val="single"/>
          </w:rPr>
          <w:t>João 12.36</w:t>
        </w:r>
      </w:hyperlink>
      <w:r>
        <w:t xml:space="preserve">, veja também </w:t>
      </w:r>
      <w:hyperlink r:id="rId13509">
        <w:r>
          <w:rPr>
            <w:color w:val="0000EE"/>
            <w:u w:val="single"/>
          </w:rPr>
          <w:t>Lucas 16.8</w:t>
        </w:r>
      </w:hyperlink>
      <w:r>
        <w:t>). Suas vidas são moldadas por sua conexão com a luz. Paulo também escreveu que os cristãos são “filhos da luz e filhos do dia” (</w:t>
      </w:r>
      <w:hyperlink r:id="rId7027">
        <w:r>
          <w:rPr>
            <w:color w:val="0000EE"/>
            <w:u w:val="single"/>
          </w:rPr>
          <w:t>1 Tessalonicenses 5.5</w:t>
        </w:r>
      </w:hyperlink>
      <w:r>
        <w:t>). Na primeira carta de João, os cristãos são instados a “andar na luz” (</w:t>
      </w:r>
      <w:hyperlink r:id="rId5313">
        <w:r>
          <w:rPr>
            <w:color w:val="0000EE"/>
            <w:u w:val="single"/>
          </w:rPr>
          <w:t>1 João 1.7</w:t>
        </w:r>
      </w:hyperlink>
      <w:r>
        <w:t>), significando que devem viver vidas de bondade e verdade.</w:t>
      </w:r>
    </w:p>
    <w:p>
      <w:r/>
      <w:r>
        <w:t>Jesus disse aos seus seguidores: “Vocês são a luz do mundo” (</w:t>
      </w:r>
      <w:hyperlink r:id="rId13510">
        <w:r>
          <w:rPr>
            <w:color w:val="0000EE"/>
            <w:u w:val="single"/>
          </w:rPr>
          <w:t>Mateus 5.14</w:t>
        </w:r>
      </w:hyperlink>
      <w:r>
        <w:t>). Esta declaração significa que os cristãos devem refletir a luz de Deus vivendo vidas piedosas. Quando Jesus é chamado de luz do mundo, isso significa que ele pode salvar o mundo e revelar a verdade. Quando os crentes são chamados de luz do mundo, não é porque eles podem salvar o mundo, mas porque mostram ao mundo o caminho para a salvação. Jesus os instruiu a deixar sua luz brilhar através de suas boas obras para que as pessoas louvassem a Deus (</w:t>
      </w:r>
      <w:hyperlink r:id="rId13510">
        <w:r>
          <w:rPr>
            <w:color w:val="0000EE"/>
            <w:u w:val="single"/>
          </w:rPr>
          <w:t>Mateus 5.16</w:t>
        </w:r>
      </w:hyperlink>
      <w:r>
        <w:t>). Os cristãos devem fazer pleno uso da luz que possuem. Se a ignorarem e viverem nas trevas, estarão em pior situação porque conhecem a verdade e escolheram se afastar dela (</w:t>
      </w:r>
      <w:hyperlink r:id="rId8309">
        <w:r>
          <w:rPr>
            <w:color w:val="0000EE"/>
            <w:u w:val="single"/>
          </w:rPr>
          <w:t>Mateus 6.23</w:t>
        </w:r>
      </w:hyperlink>
      <w:r>
        <w:t xml:space="preserve">; </w:t>
      </w:r>
      <w:hyperlink r:id="rId8311">
        <w:r>
          <w:rPr>
            <w:color w:val="0000EE"/>
            <w:u w:val="single"/>
          </w:rPr>
          <w:t>Lucas 11.35</w:t>
        </w:r>
      </w:hyperlink>
      <w:r>
        <w:t>).</w:t>
      </w:r>
    </w:p>
    <w:p>
      <w:r/>
      <w:r>
        <w:t>A metáfora da luz não é fácil de aceitar pelas pessoas modernas. A Bíblia ensina que a luz de Cristo iluminou todos os cristãos. Se eles ignorarem a luz e viverem como se ainda estivessem na escuridão, então permanecerão em profunda escuridão. Eles são piores do que os outros porque sabem o que é a luz e o que ela pode significar para eles e se afastaram dela.</w:t>
      </w:r>
    </w:p>
    <w:p>
      <w:r/>
      <w:r>
        <w:rPr>
          <w:i/>
        </w:rPr>
        <w:t>Veja também</w:t>
      </w:r>
      <w:r>
        <w:t xml:space="preserve"> </w:t>
      </w:r>
      <w:r>
        <w:t>Escuridão</w:t>
      </w:r>
      <w:r>
        <w:t>.</w:t>
      </w:r>
      <w:r/>
      <w:r/>
    </w:p>
    <w:p>
      <w:r/>
    </w:p>
    <w:p>
      <w:pPr>
        <w:pStyle w:val="Heading2"/>
      </w:pPr>
      <w:r>
        <w:t>Luz</w:t>
      </w:r>
      <w:r/>
    </w:p>
    <w:p>
      <w:r/>
      <w:r>
        <w:t>1. Nome original cananeu da cidade de Betel (</w:t>
      </w:r>
      <w:hyperlink r:id="rId3477">
        <w:r>
          <w:rPr>
            <w:color w:val="0000EE"/>
            <w:u w:val="single"/>
          </w:rPr>
          <w:t>Gn 28.19</w:t>
        </w:r>
      </w:hyperlink>
      <w:r>
        <w:t xml:space="preserve">; </w:t>
      </w:r>
      <w:hyperlink r:id="rId13511">
        <w:r>
          <w:rPr>
            <w:color w:val="0000EE"/>
            <w:u w:val="single"/>
          </w:rPr>
          <w:t>35.6</w:t>
        </w:r>
      </w:hyperlink>
      <w:r>
        <w:t xml:space="preserve">). Foi aqui que Jacó teve uma visão de Deus. Em reconhecimento à presença de Deus, ele chamou o lugar de "a casa de Deus" (beth-El). Jacó pode não ter estado na cidade em si, o que pode explicar a aparente discrepância em </w:t>
      </w:r>
      <w:hyperlink r:id="rId2585">
        <w:r>
          <w:rPr>
            <w:color w:val="0000EE"/>
            <w:u w:val="single"/>
          </w:rPr>
          <w:t>Josué 16.2</w:t>
        </w:r>
      </w:hyperlink>
      <w:r>
        <w:t xml:space="preserve">. A frase "de Betel a Luz" na descrição da fronteira da terra atribuída a José (Efraim e Manassés) parece distinguir Betel de Luz como se fossem duas cidades diferentes. Talvez a solução esteja no fato de que originalmente o nome Luz continuou a ser usado para a cidade, enquanto ao mesmo tempo os israelitas sabiam, por tradição, do lugar onde Jacó havia nomeado Betel fora da cidade de Luz. De acordo com </w:t>
      </w:r>
      <w:hyperlink r:id="rId2585">
        <w:r>
          <w:rPr>
            <w:color w:val="0000EE"/>
            <w:u w:val="single"/>
          </w:rPr>
          <w:t>Josué 16.2</w:t>
        </w:r>
      </w:hyperlink>
      <w:r>
        <w:t>, então, Betel seria uma área situada a leste da cidade de Luz. Na época da Conquista (</w:t>
      </w:r>
      <w:hyperlink r:id="rId13512">
        <w:r>
          <w:rPr>
            <w:color w:val="0000EE"/>
            <w:u w:val="single"/>
          </w:rPr>
          <w:t>Jz 1.22–25</w:t>
        </w:r>
      </w:hyperlink>
      <w:r>
        <w:t>), ou posteriormente, os israelitas mudaram o nome de Luz para Betel.</w:t>
      </w:r>
    </w:p>
    <w:p>
      <w:r/>
      <w:r>
        <w:rPr>
          <w:i/>
        </w:rPr>
        <w:t>Veja também</w:t>
      </w:r>
      <w:r>
        <w:t xml:space="preserve"> </w:t>
      </w:r>
      <w:r>
        <w:t>Betel (Lugar), Betelita #1</w:t>
      </w:r>
      <w:r>
        <w:t>.</w:t>
      </w:r>
    </w:p>
    <w:p>
      <w:r/>
      <w:r>
        <w:t>2. Cidade hitita nomeada em homenagem a Luz, na Palestina, por um de seus habitantes que migrou para a região hitita após os israelitas capturarem esta cidade (</w:t>
      </w:r>
      <w:hyperlink r:id="rId3478">
        <w:r>
          <w:rPr>
            <w:color w:val="0000EE"/>
            <w:u w:val="single"/>
          </w:rPr>
          <w:t>Jz 1.26</w:t>
        </w:r>
      </w:hyperlink>
      <w:r>
        <w:t>).</w:t>
      </w:r>
      <w:r/>
      <w:r/>
    </w:p>
    <w:p>
      <w:r/>
    </w:p>
    <w:p>
      <w:pPr>
        <w:pStyle w:val="Heading2"/>
      </w:pPr>
      <w:r>
        <w:t>Maaca, Maacá (Lugar)</w:t>
      </w:r>
      <w:r/>
    </w:p>
    <w:p>
      <w:r/>
      <w:r>
        <w:t xml:space="preserve">Pequeno reino no norte de Transjordânia, alternadamente chamado de Aram-Maaca em </w:t>
      </w:r>
      <w:hyperlink r:id="rId2368">
        <w:r>
          <w:rPr>
            <w:color w:val="0000EE"/>
            <w:u w:val="single"/>
          </w:rPr>
          <w:t>1 Crônicas 19.6</w:t>
        </w:r>
      </w:hyperlink>
      <w:r>
        <w:t xml:space="preserve"> (ARC “Síria de Maaca”; NTLH "na Mesopotâmia e em Maacá"). De acordo com </w:t>
      </w:r>
      <w:hyperlink r:id="rId9931">
        <w:r>
          <w:rPr>
            <w:color w:val="0000EE"/>
            <w:u w:val="single"/>
          </w:rPr>
          <w:t>Josué 13.11</w:t>
        </w:r>
      </w:hyperlink>
      <w:r>
        <w:t>, os estados de Gesur e Maaca estavam entre Gileade e o monte Hermom e faziam fronteira com o reino de Ogue, governante de Basã (</w:t>
      </w:r>
      <w:hyperlink r:id="rId13513">
        <w:r>
          <w:rPr>
            <w:color w:val="0000EE"/>
            <w:u w:val="single"/>
          </w:rPr>
          <w:t>Js 12.4–5</w:t>
        </w:r>
      </w:hyperlink>
      <w:r>
        <w:t>). Seu povo era considerado descendente de Naor (</w:t>
      </w:r>
      <w:hyperlink r:id="rId5348">
        <w:r>
          <w:rPr>
            <w:color w:val="0000EE"/>
            <w:u w:val="single"/>
          </w:rPr>
          <w:t>Gn 22.24</w:t>
        </w:r>
      </w:hyperlink>
      <w:r>
        <w:t>) e era a tribo mais ao sul dos naoritas.</w:t>
      </w:r>
    </w:p>
    <w:p>
      <w:r/>
      <w:r>
        <w:rPr>
          <w:i/>
        </w:rPr>
        <w:t>Veja também</w:t>
      </w:r>
      <w:r>
        <w:t xml:space="preserve"> </w:t>
      </w:r>
      <w:r>
        <w:t>Aram (Pessoa) #2</w:t>
      </w:r>
      <w:r>
        <w:t xml:space="preserve">; </w:t>
      </w:r>
      <w:r>
        <w:t>Aram (Lugar)</w:t>
      </w:r>
      <w:r>
        <w:t>.</w:t>
      </w:r>
      <w:r/>
      <w:r/>
    </w:p>
    <w:p>
      <w:r/>
    </w:p>
    <w:p>
      <w:pPr>
        <w:pStyle w:val="Heading2"/>
      </w:pPr>
      <w:r>
        <w:t>Maaca, Maacá (Pessoa)</w:t>
      </w:r>
      <w:r/>
    </w:p>
    <w:p>
      <w:r/>
      <w:r>
        <w:t>Nome hebraico comum, frequentemente escrito como Maacá em algumas versões bíblicas.</w:t>
      </w:r>
    </w:p>
    <w:p>
      <w:r/>
      <w:r>
        <w:t>1. O último dos quatro filhos de Naor, irmão de Abraão, com Reumá, sua concubina (</w:t>
      </w:r>
      <w:hyperlink r:id="rId5348">
        <w:r>
          <w:rPr>
            <w:color w:val="0000EE"/>
            <w:u w:val="single"/>
          </w:rPr>
          <w:t>Gn 22.24</w:t>
        </w:r>
      </w:hyperlink>
      <w:r>
        <w:t>).</w:t>
      </w:r>
    </w:p>
    <w:p>
      <w:r/>
      <w:r>
        <w:t>2. Filha de Talmai, rei de Gesur, esposa de Davi e mãe de Absalão (</w:t>
      </w:r>
      <w:hyperlink r:id="rId190">
        <w:r>
          <w:rPr>
            <w:color w:val="0000EE"/>
            <w:u w:val="single"/>
          </w:rPr>
          <w:t>2Sm 3.3</w:t>
        </w:r>
      </w:hyperlink>
      <w:r>
        <w:t xml:space="preserve">; </w:t>
      </w:r>
      <w:hyperlink r:id="rId9934">
        <w:r>
          <w:rPr>
            <w:color w:val="0000EE"/>
            <w:u w:val="single"/>
          </w:rPr>
          <w:t>1Cr 3.2</w:t>
        </w:r>
      </w:hyperlink>
      <w:r>
        <w:t>).</w:t>
      </w:r>
    </w:p>
    <w:p>
      <w:r/>
      <w:r>
        <w:t>3. Pai de Aquis. Aquis, rei de Gate, abrigou dois escravos de Simei durante o reinado de Salomão (</w:t>
      </w:r>
      <w:hyperlink r:id="rId13514">
        <w:r>
          <w:rPr>
            <w:color w:val="0000EE"/>
            <w:u w:val="single"/>
          </w:rPr>
          <w:t>1Rs 2.39</w:t>
        </w:r>
      </w:hyperlink>
      <w:r>
        <w:t xml:space="preserve">). Ele é identificado como Maoque em </w:t>
      </w:r>
      <w:hyperlink r:id="rId10247">
        <w:r>
          <w:rPr>
            <w:color w:val="0000EE"/>
            <w:u w:val="single"/>
          </w:rPr>
          <w:t>1 Samuel 27.2</w:t>
        </w:r>
      </w:hyperlink>
      <w:r>
        <w:t xml:space="preserve">. </w:t>
      </w:r>
      <w:r>
        <w:rPr>
          <w:i/>
        </w:rPr>
        <w:t>Veja</w:t>
      </w:r>
      <w:r>
        <w:t xml:space="preserve"> </w:t>
      </w:r>
      <w:r>
        <w:t>Maoque</w:t>
      </w:r>
      <w:r>
        <w:t>.</w:t>
      </w:r>
    </w:p>
    <w:p>
      <w:r/>
      <w:r>
        <w:t>4. Filha de Absalão (</w:t>
      </w:r>
      <w:hyperlink r:id="rId191">
        <w:r>
          <w:rPr>
            <w:color w:val="0000EE"/>
            <w:u w:val="single"/>
          </w:rPr>
          <w:t>1Rs 15.2,10</w:t>
        </w:r>
      </w:hyperlink>
      <w:r>
        <w:t>), esposa de Roboão, rei de Judá (930–913 a.C.), e mãe do Rei Abias (913–910 a.C.) e avó do Rei Asa (910–869 a.C.) de Judá (</w:t>
      </w:r>
      <w:hyperlink r:id="rId13515">
        <w:r>
          <w:rPr>
            <w:color w:val="0000EE"/>
            <w:u w:val="single"/>
          </w:rPr>
          <w:t>1Rs 15.10</w:t>
        </w:r>
      </w:hyperlink>
      <w:r>
        <w:t xml:space="preserve">; </w:t>
      </w:r>
      <w:hyperlink r:id="rId13516">
        <w:r>
          <w:rPr>
            <w:color w:val="0000EE"/>
            <w:u w:val="single"/>
          </w:rPr>
          <w:t>2Cr 11.20–22</w:t>
        </w:r>
      </w:hyperlink>
      <w:r>
        <w:t>). Mais tarde, Asa a removeu como rainha-mãe porque ela havia feito um ídolo para Aserá (</w:t>
      </w:r>
      <w:hyperlink r:id="rId13517">
        <w:r>
          <w:rPr>
            <w:color w:val="0000EE"/>
            <w:u w:val="single"/>
          </w:rPr>
          <w:t>1Rs 15.10–13</w:t>
        </w:r>
      </w:hyperlink>
      <w:r>
        <w:t xml:space="preserve">; </w:t>
      </w:r>
      <w:hyperlink r:id="rId13518">
        <w:r>
          <w:rPr>
            <w:color w:val="0000EE"/>
            <w:u w:val="single"/>
          </w:rPr>
          <w:t>2Cr 15.16</w:t>
        </w:r>
      </w:hyperlink>
      <w:r>
        <w:t xml:space="preserve">). Maaca é chamada de Micaías em </w:t>
      </w:r>
      <w:hyperlink r:id="rId13519">
        <w:r>
          <w:rPr>
            <w:color w:val="0000EE"/>
            <w:u w:val="single"/>
          </w:rPr>
          <w:t>2 Crônicas 13.2</w:t>
        </w:r>
      </w:hyperlink>
      <w:r>
        <w:t>.</w:t>
      </w:r>
    </w:p>
    <w:p>
      <w:r/>
      <w:r>
        <w:t>5. Concubina de Calebe e mãe de quatro filhos (</w:t>
      </w:r>
      <w:hyperlink r:id="rId13520">
        <w:r>
          <w:rPr>
            <w:color w:val="0000EE"/>
            <w:u w:val="single"/>
          </w:rPr>
          <w:t>1Cr 2.48</w:t>
        </w:r>
      </w:hyperlink>
      <w:r>
        <w:t>).</w:t>
      </w:r>
    </w:p>
    <w:p>
      <w:r/>
      <w:r>
        <w:t>6. Irmã de Hupim e Supim, esposa de Maquir, o manassita, e mãe de Perez e Seres (</w:t>
      </w:r>
      <w:hyperlink r:id="rId13521">
        <w:r>
          <w:rPr>
            <w:color w:val="0000EE"/>
            <w:u w:val="single"/>
          </w:rPr>
          <w:t>1Cr 7.15–16</w:t>
        </w:r>
      </w:hyperlink>
      <w:r>
        <w:t>).</w:t>
      </w:r>
    </w:p>
    <w:p>
      <w:r/>
      <w:r>
        <w:t>7. Benjamita, esposa de Jeiel e ancestral do Rei Saul (</w:t>
      </w:r>
      <w:hyperlink r:id="rId13522">
        <w:r>
          <w:rPr>
            <w:color w:val="0000EE"/>
            <w:u w:val="single"/>
          </w:rPr>
          <w:t>1Cr 8.29</w:t>
        </w:r>
      </w:hyperlink>
      <w:r>
        <w:t xml:space="preserve">; </w:t>
      </w:r>
      <w:hyperlink r:id="rId13523">
        <w:r>
          <w:rPr>
            <w:color w:val="0000EE"/>
            <w:u w:val="single"/>
          </w:rPr>
          <w:t>9.35</w:t>
        </w:r>
      </w:hyperlink>
      <w:r>
        <w:t>).</w:t>
      </w:r>
    </w:p>
    <w:p>
      <w:r/>
      <w:r>
        <w:t>8. Pai de Hamã, um dos poderosos guerreiros de Davi (</w:t>
      </w:r>
      <w:hyperlink r:id="rId13524">
        <w:r>
          <w:rPr>
            <w:color w:val="0000EE"/>
            <w:u w:val="single"/>
          </w:rPr>
          <w:t>1Cr 11.43</w:t>
        </w:r>
      </w:hyperlink>
      <w:r>
        <w:t>).</w:t>
      </w:r>
    </w:p>
    <w:p>
      <w:r/>
      <w:r>
        <w:t>9. Pai de Sefatias, líder da tribo de Simeão durante o reinado de Davi (</w:t>
      </w:r>
      <w:hyperlink r:id="rId7923">
        <w:r>
          <w:rPr>
            <w:color w:val="0000EE"/>
            <w:u w:val="single"/>
          </w:rPr>
          <w:t>1Cr 27.16</w:t>
        </w:r>
      </w:hyperlink>
      <w:r>
        <w:t>).</w:t>
      </w:r>
      <w:r/>
      <w:r/>
    </w:p>
    <w:p>
      <w:r/>
    </w:p>
    <w:p>
      <w:pPr>
        <w:pStyle w:val="Heading2"/>
      </w:pPr>
      <w:r>
        <w:t>Maacatita, Maacati</w:t>
      </w:r>
      <w:r/>
    </w:p>
    <w:p>
      <w:r/>
      <w:r>
        <w:t>O povo de Maaca ocupava o território vizinho aos gesuritas e a fronteira da terra concedida à meia-tribo de Manassés (</w:t>
      </w:r>
      <w:hyperlink r:id="rId2491">
        <w:r>
          <w:rPr>
            <w:color w:val="0000EE"/>
            <w:u w:val="single"/>
          </w:rPr>
          <w:t>Dt 3.14</w:t>
        </w:r>
      </w:hyperlink>
      <w:r>
        <w:t xml:space="preserve">; </w:t>
      </w:r>
      <w:hyperlink r:id="rId13525">
        <w:r>
          <w:rPr>
            <w:color w:val="0000EE"/>
            <w:u w:val="single"/>
          </w:rPr>
          <w:t>Js 12.5</w:t>
        </w:r>
      </w:hyperlink>
      <w:r>
        <w:t xml:space="preserve">; </w:t>
      </w:r>
      <w:hyperlink r:id="rId9931">
        <w:r>
          <w:rPr>
            <w:color w:val="0000EE"/>
            <w:u w:val="single"/>
          </w:rPr>
          <w:t>13.11</w:t>
        </w:r>
      </w:hyperlink>
      <w:r>
        <w:t>). Foi tomado por Jair, que, com seus companheiros, não conseguiu desalojar os maacatitas e gesuritas que viviam entre eles (</w:t>
      </w:r>
      <w:hyperlink r:id="rId9932">
        <w:r>
          <w:rPr>
            <w:color w:val="0000EE"/>
            <w:u w:val="single"/>
          </w:rPr>
          <w:t>Js 13.13</w:t>
        </w:r>
      </w:hyperlink>
      <w:r>
        <w:t>).</w:t>
      </w:r>
    </w:p>
    <w:p>
      <w:r/>
      <w:r>
        <w:t>Dos maacatitas veio Elifelete, que se juntou ao exército de Davi dos “valentes” (</w:t>
      </w:r>
      <w:hyperlink r:id="rId3177">
        <w:r>
          <w:rPr>
            <w:color w:val="0000EE"/>
            <w:u w:val="single"/>
          </w:rPr>
          <w:t>2Sm 23.34</w:t>
        </w:r>
      </w:hyperlink>
      <w:r>
        <w:t xml:space="preserve">). A passagem paralela em </w:t>
      </w:r>
      <w:hyperlink r:id="rId10498">
        <w:r>
          <w:rPr>
            <w:color w:val="0000EE"/>
            <w:u w:val="single"/>
          </w:rPr>
          <w:t>1 Crônicas 11.36</w:t>
        </w:r>
      </w:hyperlink>
      <w:r>
        <w:t xml:space="preserve"> o chama de mequeratita.</w:t>
      </w:r>
    </w:p>
    <w:p>
      <w:r/>
      <w:r>
        <w:t>A inimizade deles persistiu ao longo da história de Israel. Quando Jerusalém caiu diante de Nabucodonosor, Jazanias, filho de um maacatita, tentou se juntar a Ismael, o amonita, contra Gedalias, a quem Nabucodonosor havia deixado para governar a cidade (</w:t>
      </w:r>
      <w:hyperlink r:id="rId2922">
        <w:r>
          <w:rPr>
            <w:color w:val="0000EE"/>
            <w:u w:val="single"/>
          </w:rPr>
          <w:t>2Rs 25.23</w:t>
        </w:r>
      </w:hyperlink>
      <w:r>
        <w:t xml:space="preserve">; </w:t>
      </w:r>
      <w:hyperlink r:id="rId13526">
        <w:r>
          <w:rPr>
            <w:color w:val="0000EE"/>
            <w:u w:val="single"/>
          </w:rPr>
          <w:t>Jr 40.8</w:t>
        </w:r>
      </w:hyperlink>
      <w:r>
        <w:t>).</w:t>
      </w:r>
    </w:p>
    <w:p>
      <w:r/>
      <w:r>
        <w:rPr>
          <w:i/>
        </w:rPr>
        <w:t>Veja também</w:t>
      </w:r>
      <w:r>
        <w:t xml:space="preserve"> </w:t>
      </w:r>
      <w:r>
        <w:t>Maaca (lugar)</w:t>
      </w:r>
      <w:r>
        <w:t>.</w:t>
      </w:r>
      <w:r/>
      <w:r/>
    </w:p>
    <w:p>
      <w:r/>
    </w:p>
    <w:p>
      <w:pPr>
        <w:pStyle w:val="Heading2"/>
      </w:pPr>
      <w:r>
        <w:t>Maalalel, Maalaleel</w:t>
      </w:r>
      <w:r/>
    </w:p>
    <w:p>
      <w:pPr>
        <w:pStyle w:val="ListNumber"/>
        <w:spacing w:line="240" w:lineRule="auto"/>
        <w:ind w:left="720"/>
      </w:pPr>
      <w:r/>
      <w:r>
        <w:t>Filho de Cainã e pai de Jarede na linhagem de Sete (</w:t>
      </w:r>
      <w:hyperlink r:id="rId13527">
        <w:r>
          <w:rPr>
            <w:color w:val="0000EE"/>
            <w:u w:val="single"/>
          </w:rPr>
          <w:t>Gn 5.12–17</w:t>
        </w:r>
      </w:hyperlink>
      <w:r>
        <w:t xml:space="preserve">; </w:t>
      </w:r>
      <w:hyperlink r:id="rId4015">
        <w:r>
          <w:rPr>
            <w:color w:val="0000EE"/>
            <w:u w:val="single"/>
          </w:rPr>
          <w:t>1Cr 1.2</w:t>
        </w:r>
      </w:hyperlink>
      <w:r>
        <w:t xml:space="preserve">). Ele também é mencionado em </w:t>
      </w:r>
      <w:hyperlink r:id="rId4016">
        <w:r>
          <w:rPr>
            <w:color w:val="0000EE"/>
            <w:u w:val="single"/>
          </w:rPr>
          <w:t>Lucas 3.37</w:t>
        </w:r>
      </w:hyperlink>
      <w:r>
        <w:t>.</w:t>
      </w:r>
    </w:p>
    <w:p>
      <w:r/>
      <w:r>
        <w:rPr>
          <w:i/>
        </w:rPr>
        <w:t>Veja</w:t>
      </w:r>
      <w:r>
        <w:t xml:space="preserve"> </w:t>
      </w:r>
      <w:r>
        <w:t>Ancestralidade de Jesus Cristo</w:t>
      </w:r>
      <w:r>
        <w:t>.</w:t>
      </w:r>
    </w:p>
    <w:p>
      <w:pPr>
        <w:pStyle w:val="ListNumber"/>
        <w:spacing w:line="240" w:lineRule="auto"/>
        <w:ind w:left="720"/>
      </w:pPr>
      <w:r/>
      <w:r>
        <w:t>Um filho de Perez e membro da tribo de Judá que viveu após o retorno do povo judeu do exílio na Babilônia (</w:t>
      </w:r>
      <w:hyperlink r:id="rId13528">
        <w:r>
          <w:rPr>
            <w:color w:val="0000EE"/>
            <w:u w:val="single"/>
          </w:rPr>
          <w:t>Ne 11.4</w:t>
        </w:r>
      </w:hyperlink>
      <w:r>
        <w:t>).</w:t>
      </w:r>
      <w:r/>
      <w:r/>
    </w:p>
    <w:p>
      <w:r/>
    </w:p>
    <w:p>
      <w:pPr>
        <w:pStyle w:val="Heading2"/>
      </w:pPr>
      <w:r>
        <w:t>Maalate (Música)</w:t>
      </w:r>
      <w:r/>
    </w:p>
    <w:p>
      <w:r/>
      <w:r>
        <w:t xml:space="preserve">Sugestão musical, possivelmente significando "tristeza", listada no título do </w:t>
      </w:r>
      <w:hyperlink r:id="rId13529">
        <w:r>
          <w:rPr>
            <w:color w:val="0000EE"/>
            <w:u w:val="single"/>
          </w:rPr>
          <w:t>Salmo 53</w:t>
        </w:r>
      </w:hyperlink>
      <w:r>
        <w:t xml:space="preserve"> ("súplica", NTLH), que indicaria a maneira e/ou a melodia com a qual o salmo deve ser cantado. </w:t>
      </w:r>
    </w:p>
    <w:p>
      <w:r/>
      <w:r>
        <w:rPr>
          <w:i/>
        </w:rPr>
        <w:t>Veja</w:t>
      </w:r>
      <w:r>
        <w:t xml:space="preserve"> </w:t>
      </w:r>
      <w:r>
        <w:t>Música</w:t>
      </w:r>
      <w:r>
        <w:t>.</w:t>
      </w:r>
      <w:r/>
      <w:r/>
    </w:p>
    <w:p>
      <w:r/>
    </w:p>
    <w:p>
      <w:pPr>
        <w:pStyle w:val="Heading2"/>
      </w:pPr>
      <w:r>
        <w:t>Maalate (Pessoa)</w:t>
      </w:r>
      <w:r/>
    </w:p>
    <w:p>
      <w:r/>
      <w:r>
        <w:t>1. Filha de Ismael, irmã de Nebaiote, terceira esposa de Esaú e mãe de Reuel (</w:t>
      </w:r>
      <w:hyperlink r:id="rId3170">
        <w:r>
          <w:rPr>
            <w:color w:val="0000EE"/>
            <w:u w:val="single"/>
          </w:rPr>
          <w:t>Gn 28.9</w:t>
        </w:r>
      </w:hyperlink>
      <w:r>
        <w:t xml:space="preserve">); também chamada de Basemate em </w:t>
      </w:r>
      <w:hyperlink r:id="rId13530">
        <w:r>
          <w:rPr>
            <w:color w:val="0000EE"/>
            <w:u w:val="single"/>
          </w:rPr>
          <w:t>Gênesis 36.3–17</w:t>
        </w:r>
      </w:hyperlink>
      <w:r>
        <w:t>.</w:t>
      </w:r>
    </w:p>
    <w:p>
      <w:r/>
      <w:r>
        <w:t>2. Filha de Jerimote e primeira esposa do rei Roboão (</w:t>
      </w:r>
      <w:hyperlink r:id="rId60">
        <w:r>
          <w:rPr>
            <w:color w:val="0000EE"/>
            <w:u w:val="single"/>
          </w:rPr>
          <w:t>2Cr 11.18</w:t>
        </w:r>
      </w:hyperlink>
      <w:r>
        <w:t>).</w:t>
      </w:r>
      <w:r/>
      <w:r/>
    </w:p>
    <w:p>
      <w:r/>
    </w:p>
    <w:p>
      <w:pPr>
        <w:pStyle w:val="Heading2"/>
      </w:pPr>
      <w:r>
        <w:t>Maalate Leanote</w:t>
      </w:r>
      <w:r/>
    </w:p>
    <w:p>
      <w:r/>
      <w:r>
        <w:t xml:space="preserve">Frase hebraica no título do </w:t>
      </w:r>
      <w:hyperlink r:id="rId10688">
        <w:r>
          <w:rPr>
            <w:color w:val="0000EE"/>
            <w:u w:val="single"/>
          </w:rPr>
          <w:t>Salmo 88</w:t>
        </w:r>
      </w:hyperlink>
      <w:r>
        <w:t xml:space="preserve">, traduzida como “Ao regente do coro” (NTLH); possivelmente uma melodia antiga familiar à qual o salmo era executado. </w:t>
      </w:r>
    </w:p>
    <w:p>
      <w:r/>
      <w:r>
        <w:rPr>
          <w:i/>
        </w:rPr>
        <w:t>Veja</w:t>
      </w:r>
      <w:r>
        <w:t xml:space="preserve"> </w:t>
      </w:r>
      <w:r>
        <w:t>Música</w:t>
      </w:r>
      <w:r>
        <w:t>.</w:t>
      </w:r>
      <w:r/>
      <w:r/>
    </w:p>
    <w:p>
      <w:r/>
    </w:p>
    <w:p>
      <w:pPr>
        <w:pStyle w:val="Heading2"/>
      </w:pPr>
      <w:r>
        <w:t>Maanaim</w:t>
      </w:r>
      <w:r/>
    </w:p>
    <w:p>
      <w:r/>
      <w:r>
        <w:t>Assentamento a leste do Jordão em Gileade. Jacó encontrou anjos lá e nomeou o lugar como "acampamento de Deus". Ele dividiu sua casa e posses em dois acampamentos (Maanaim significa "dois acampamentos" em hebraico) para evitar perder tudo ao confrontar Esaú (</w:t>
      </w:r>
      <w:hyperlink r:id="rId13531">
        <w:r>
          <w:rPr>
            <w:color w:val="0000EE"/>
            <w:u w:val="single"/>
          </w:rPr>
          <w:t>Gn 32.1–11</w:t>
        </w:r>
      </w:hyperlink>
      <w:r>
        <w:t>).</w:t>
      </w:r>
    </w:p>
    <w:p>
      <w:r/>
      <w:r>
        <w:t>A cidade estava localizada ao longo da fronteira entre as tribos de Manassés e Gade (</w:t>
      </w:r>
      <w:hyperlink r:id="rId13532">
        <w:r>
          <w:rPr>
            <w:color w:val="0000EE"/>
            <w:u w:val="single"/>
          </w:rPr>
          <w:t>Js 13.26,30</w:t>
        </w:r>
      </w:hyperlink>
      <w:r>
        <w:t>) e foi dada aos levitas como herança (</w:t>
      </w:r>
      <w:hyperlink r:id="rId13533">
        <w:r>
          <w:rPr>
            <w:color w:val="0000EE"/>
            <w:u w:val="single"/>
          </w:rPr>
          <w:t>Js 21.38</w:t>
        </w:r>
      </w:hyperlink>
      <w:r>
        <w:t xml:space="preserve">; </w:t>
      </w:r>
      <w:hyperlink r:id="rId13534">
        <w:r>
          <w:rPr>
            <w:color w:val="0000EE"/>
            <w:u w:val="single"/>
          </w:rPr>
          <w:t>1Cr 6.80</w:t>
        </w:r>
      </w:hyperlink>
      <w:r>
        <w:t>). Após a derrota de Saul no Monte Gilboa, Isbosete, seu filho, fugiu para Maanaim para estabelecer uma capital no exílio. Ele conseguiu controlar grande parte de Israel a partir dali (</w:t>
      </w:r>
      <w:hyperlink r:id="rId13535">
        <w:r>
          <w:rPr>
            <w:color w:val="0000EE"/>
            <w:u w:val="single"/>
          </w:rPr>
          <w:t>2Sm 2.8,12,29</w:t>
        </w:r>
      </w:hyperlink>
      <w:r>
        <w:t>) até ser assassinado por Recabe e Baaná (</w:t>
      </w:r>
      <w:hyperlink r:id="rId13536">
        <w:r>
          <w:rPr>
            <w:color w:val="0000EE"/>
            <w:u w:val="single"/>
          </w:rPr>
          <w:t>4.5–7</w:t>
        </w:r>
      </w:hyperlink>
      <w:r>
        <w:t>). Davi fugiu para esta cidade quando Absalão se rebelou contra ele. Aqui ele recebeu suprimentos de Barzilai e alguns gileaditas (</w:t>
      </w:r>
      <w:hyperlink r:id="rId13537">
        <w:r>
          <w:rPr>
            <w:color w:val="0000EE"/>
            <w:u w:val="single"/>
          </w:rPr>
          <w:t>17.24–27</w:t>
        </w:r>
      </w:hyperlink>
      <w:r>
        <w:t>). No portão desta cidade, ele chorou ao receber a notícia da morte de Absalão. Salomão escolheu a cidade como a capital de seu sétimo distrito e estabeleceu Ainadabe como seu governador (</w:t>
      </w:r>
      <w:hyperlink r:id="rId13538">
        <w:r>
          <w:rPr>
            <w:color w:val="0000EE"/>
            <w:u w:val="single"/>
          </w:rPr>
          <w:t>1Rs 4.14</w:t>
        </w:r>
      </w:hyperlink>
      <w:r>
        <w:t>).</w:t>
      </w:r>
    </w:p>
    <w:p>
      <w:r/>
      <w:r>
        <w:t>Referências bíblicas indicam uma localização em algum lugar ao longo do rio Jaboque, no centro de Gileade. Além disso, a cidade poderia ter sido situada praticamente em qualquer lugar. Anteriormente, foi identificada com Khirbet al-Makhna, a 3,2 quilômetros ao norte de Aijalom. No entanto, a atenção mais recente se voltou para as colinas gêmeas de Tulul al-Dhahab no Jaboque. Aharoni sugere que o monte ocidental de Tulul al-Dhahab é Maanaim e o monte oriental é Penuel.</w:t>
      </w:r>
      <w:r/>
      <w:r/>
    </w:p>
    <w:p>
      <w:r/>
    </w:p>
    <w:p>
      <w:pPr>
        <w:pStyle w:val="Heading2"/>
      </w:pPr>
      <w:r>
        <w:t>Macedônia</w:t>
      </w:r>
      <w:r/>
    </w:p>
    <w:p>
      <w:r/>
      <w:r>
        <w:t>Província romana nos tempos do NT, começando como um reino no século VII a.C. Pouco se sabe sobre os primeiros séculos de sua história, mas com a ascensão ao poder do rei grego Filipe II (359–336 a.C.), e especialmente de seu filho Alexandre III (o Grande, 336–323 a.C.), a Macedônia tornou-se uma potência mundial. Após a morte de Alexandre, o império foi dividido entre seus sucessores em várias regiões, uma delas sendo o reino macedônio original. A instabilidade prevaleceu nos 150 anos seguintes, e em 167 a.C. a Macedônia ficou sob domínio romano. Inicialmente dividida em quatro distritos pelos romanos (</w:t>
      </w:r>
      <w:hyperlink r:id="rId9472">
        <w:r>
          <w:rPr>
            <w:color w:val="0000EE"/>
            <w:u w:val="single"/>
          </w:rPr>
          <w:t>At 16.12</w:t>
        </w:r>
      </w:hyperlink>
      <w:r>
        <w:t xml:space="preserve"> é uma possível referência a essa divisão), este território foi transformado em uma província romana em 14 a.C. com Tessalônica como sua capital. Brevemente, de 15–44 d.C., a Macedônia foi combinada com Acaia e Moesia (outras partes da Grécia) em uma grande província; no entanto, em 44 d.C., as três foram novamente separadas. A importância da Macedônia continuou durante a era romana, e ela permaneceu uma entidade separada até os tempos modernos, embora tenha sido parte da Iugoslávia de 1945 a 1991.</w:t>
      </w:r>
    </w:p>
    <w:p>
      <w:r/>
      <w:r>
        <w:t>A província romana da Macedônia incluía a região norte da Grécia e partes ao sul do atual Albânia, Bulgária e a Antiga República Iugoslava da Macedônia. Conhecida por seu ouro, prata, madeira e terras agrícolas, a região também servia como uma rota terrestre para o comércio entre a Ásia e o Ocidente. Pouco depois de os romanos incorporarem a Macedônia como uma província, eles construíram a Via Egnácia, uma estrada pavimentada com mais de 804,5 quilômetros de comprimento, que ia da costa do Adriático até o Egeu, sem dúvida percorrida pelo apóstolo Paulo enquanto se movia pelas cidades macedônias de Neápolis, Filipos, Anfípolis, Apolônia e Tessalônica (</w:t>
      </w:r>
      <w:hyperlink r:id="rId13539">
        <w:r>
          <w:rPr>
            <w:color w:val="0000EE"/>
            <w:u w:val="single"/>
          </w:rPr>
          <w:t>At 16.11–12</w:t>
        </w:r>
      </w:hyperlink>
      <w:r>
        <w:t xml:space="preserve">; </w:t>
      </w:r>
      <w:hyperlink r:id="rId1451">
        <w:r>
          <w:rPr>
            <w:color w:val="0000EE"/>
            <w:u w:val="single"/>
          </w:rPr>
          <w:t>17.1</w:t>
        </w:r>
      </w:hyperlink>
      <w:r>
        <w:t>).</w:t>
      </w:r>
    </w:p>
    <w:p>
      <w:r/>
      <w:r>
        <w:t>O evangelho foi introduzido na Europa através da Macedônia quando Paulo respondeu a uma visão durante sua segunda viagem missionária (</w:t>
      </w:r>
      <w:hyperlink r:id="rId13540">
        <w:r>
          <w:rPr>
            <w:color w:val="0000EE"/>
            <w:u w:val="single"/>
          </w:rPr>
          <w:t>At 16.9–12</w:t>
        </w:r>
      </w:hyperlink>
      <w:r>
        <w:t xml:space="preserve">). Detalhes desse trabalho, centrado em Filipos e Tessalônica, são descritos em </w:t>
      </w:r>
      <w:hyperlink r:id="rId13541">
        <w:r>
          <w:rPr>
            <w:color w:val="0000EE"/>
            <w:u w:val="single"/>
          </w:rPr>
          <w:t>Atos 16.11–17.15</w:t>
        </w:r>
      </w:hyperlink>
      <w:r>
        <w:t>. Em sua terceira viagem, embora inicialmente atrasado (</w:t>
      </w:r>
      <w:hyperlink r:id="rId13542">
        <w:r>
          <w:rPr>
            <w:color w:val="0000EE"/>
            <w:u w:val="single"/>
          </w:rPr>
          <w:t>19.21–22</w:t>
        </w:r>
      </w:hyperlink>
      <w:r>
        <w:t>), Paulo mais tarde retornou à Macedônia, e novamente após uma estadia em Corinto (</w:t>
      </w:r>
      <w:hyperlink r:id="rId13543">
        <w:r>
          <w:rPr>
            <w:color w:val="0000EE"/>
            <w:u w:val="single"/>
          </w:rPr>
          <w:t>20.1–3</w:t>
        </w:r>
      </w:hyperlink>
      <w:r>
        <w:t xml:space="preserve">; veja </w:t>
      </w:r>
      <w:hyperlink r:id="rId13544">
        <w:r>
          <w:rPr>
            <w:color w:val="0000EE"/>
            <w:u w:val="single"/>
          </w:rPr>
          <w:t>1Co 16.5</w:t>
        </w:r>
      </w:hyperlink>
      <w:r>
        <w:t xml:space="preserve">; </w:t>
      </w:r>
      <w:hyperlink r:id="rId13545">
        <w:r>
          <w:rPr>
            <w:color w:val="0000EE"/>
            <w:u w:val="single"/>
          </w:rPr>
          <w:t>2Co 1.16</w:t>
        </w:r>
      </w:hyperlink>
      <w:r>
        <w:t xml:space="preserve"> e </w:t>
      </w:r>
      <w:hyperlink r:id="rId5907">
        <w:r>
          <w:rPr>
            <w:color w:val="0000EE"/>
            <w:u w:val="single"/>
          </w:rPr>
          <w:t>2.13</w:t>
        </w:r>
      </w:hyperlink>
      <w:r>
        <w:t xml:space="preserve"> para outras referências às visitas à Macedônia).</w:t>
      </w:r>
    </w:p>
    <w:p>
      <w:r/>
      <w:r>
        <w:t>Os crentes macedônios desempenharam um papel importante na coleta que Paulo reuniu para os pobres em Jerusalém (</w:t>
      </w:r>
      <w:hyperlink r:id="rId4343">
        <w:r>
          <w:rPr>
            <w:color w:val="0000EE"/>
            <w:u w:val="single"/>
          </w:rPr>
          <w:t>Rm 15.26</w:t>
        </w:r>
      </w:hyperlink>
      <w:r>
        <w:t xml:space="preserve">; </w:t>
      </w:r>
      <w:hyperlink r:id="rId13546">
        <w:r>
          <w:rPr>
            <w:color w:val="0000EE"/>
            <w:u w:val="single"/>
          </w:rPr>
          <w:t>2Co 9.2–4</w:t>
        </w:r>
      </w:hyperlink>
      <w:r>
        <w:t>); Paulo os elogiou por sua generosidade (</w:t>
      </w:r>
      <w:hyperlink r:id="rId13547">
        <w:r>
          <w:rPr>
            <w:color w:val="0000EE"/>
            <w:u w:val="single"/>
          </w:rPr>
          <w:t>2Co 8.1–2</w:t>
        </w:r>
      </w:hyperlink>
      <w:r>
        <w:t>). Ele também os louvou por seu exemplo de fé, mesmo em tempos de adversidade (</w:t>
      </w:r>
      <w:hyperlink r:id="rId13548">
        <w:r>
          <w:rPr>
            <w:color w:val="0000EE"/>
            <w:u w:val="single"/>
          </w:rPr>
          <w:t>2Co 7.5</w:t>
        </w:r>
      </w:hyperlink>
      <w:r>
        <w:t xml:space="preserve">; </w:t>
      </w:r>
      <w:hyperlink r:id="rId4344">
        <w:r>
          <w:rPr>
            <w:color w:val="0000EE"/>
            <w:u w:val="single"/>
          </w:rPr>
          <w:t>1Ts 1.7</w:t>
        </w:r>
      </w:hyperlink>
      <w:r>
        <w:t>), e por seu amor pelos outros (</w:t>
      </w:r>
      <w:hyperlink r:id="rId4341">
        <w:r>
          <w:rPr>
            <w:color w:val="0000EE"/>
            <w:u w:val="single"/>
          </w:rPr>
          <w:t>1Ts 4.10</w:t>
        </w:r>
      </w:hyperlink>
      <w:r>
        <w:t>). Alguns dos macedônios trabalharam diretamente com Paulo na realização da comissão do evangelho (</w:t>
      </w:r>
      <w:hyperlink r:id="rId2496">
        <w:r>
          <w:rPr>
            <w:color w:val="0000EE"/>
            <w:u w:val="single"/>
          </w:rPr>
          <w:t>At 19.29</w:t>
        </w:r>
      </w:hyperlink>
      <w:r>
        <w:t xml:space="preserve">; </w:t>
      </w:r>
      <w:hyperlink r:id="rId2497">
        <w:r>
          <w:rPr>
            <w:color w:val="0000EE"/>
            <w:u w:val="single"/>
          </w:rPr>
          <w:t>20.4</w:t>
        </w:r>
      </w:hyperlink>
      <w:r>
        <w:t xml:space="preserve">; </w:t>
      </w:r>
      <w:hyperlink r:id="rId426">
        <w:r>
          <w:rPr>
            <w:color w:val="0000EE"/>
            <w:u w:val="single"/>
          </w:rPr>
          <w:t>27.2</w:t>
        </w:r>
      </w:hyperlink>
      <w:r>
        <w:t>), e ele dirigiu cartas a igrejas em duas cidades macedônias, Filipos e Tessalônica.</w:t>
      </w:r>
    </w:p>
    <w:p>
      <w:r/>
      <w:r>
        <w:rPr>
          <w:i/>
        </w:rPr>
        <w:t>Veja também</w:t>
      </w:r>
      <w:r>
        <w:t xml:space="preserve"> </w:t>
      </w:r>
      <w:r>
        <w:t>Grécia, Grego</w:t>
      </w:r>
      <w:r>
        <w:t>.</w:t>
      </w:r>
      <w:r/>
      <w:r/>
    </w:p>
    <w:p>
      <w:r/>
    </w:p>
    <w:p>
      <w:pPr>
        <w:pStyle w:val="Heading2"/>
      </w:pPr>
      <w:r>
        <w:t>Macla</w:t>
      </w:r>
      <w:r/>
    </w:p>
    <w:p>
      <w:pPr>
        <w:pStyle w:val="ListNumber"/>
        <w:spacing w:line="240" w:lineRule="auto"/>
        <w:ind w:left="720"/>
      </w:pPr>
      <w:r/>
      <w:r>
        <w:t>Uma manassita. Ela era uma das cinco filhas de Zelofeade. Macla e suas irmãs apelaram a Moisés, pedindo que ele fizesse um acordo que lhes permitisse manter sua herança, pois elas não tinham irmãos (</w:t>
      </w:r>
      <w:hyperlink r:id="rId10684">
        <w:r>
          <w:rPr>
            <w:color w:val="0000EE"/>
            <w:u w:val="single"/>
          </w:rPr>
          <w:t>Nm 26.33</w:t>
        </w:r>
      </w:hyperlink>
      <w:r>
        <w:t xml:space="preserve">; </w:t>
      </w:r>
      <w:hyperlink r:id="rId9968">
        <w:r>
          <w:rPr>
            <w:color w:val="0000EE"/>
            <w:u w:val="single"/>
          </w:rPr>
          <w:t>27.1</w:t>
        </w:r>
      </w:hyperlink>
      <w:r>
        <w:t xml:space="preserve">; </w:t>
      </w:r>
      <w:hyperlink r:id="rId13549">
        <w:r>
          <w:rPr>
            <w:color w:val="0000EE"/>
            <w:u w:val="single"/>
          </w:rPr>
          <w:t>36.11</w:t>
        </w:r>
      </w:hyperlink>
      <w:r>
        <w:t xml:space="preserve">; </w:t>
      </w:r>
      <w:hyperlink r:id="rId10685">
        <w:r>
          <w:rPr>
            <w:color w:val="0000EE"/>
            <w:u w:val="single"/>
          </w:rPr>
          <w:t>Js 17.3</w:t>
        </w:r>
      </w:hyperlink>
      <w:r>
        <w:t>). Algumas Bíblias usam a grafia "Maalá".</w:t>
      </w:r>
    </w:p>
    <w:p>
      <w:pPr>
        <w:pStyle w:val="ListNumber"/>
        <w:spacing w:line="240" w:lineRule="auto"/>
        <w:ind w:left="720"/>
      </w:pPr>
      <w:r/>
      <w:r>
        <w:t>Um filho de Hamolequete da tribo de Manassés (</w:t>
      </w:r>
      <w:hyperlink r:id="rId81">
        <w:r>
          <w:rPr>
            <w:color w:val="0000EE"/>
            <w:u w:val="single"/>
          </w:rPr>
          <w:t>1Cr 7.18</w:t>
        </w:r>
      </w:hyperlink>
      <w:r>
        <w:t>).</w:t>
      </w:r>
      <w:r/>
      <w:r/>
    </w:p>
    <w:p>
      <w:r/>
    </w:p>
    <w:p>
      <w:pPr>
        <w:pStyle w:val="Heading2"/>
      </w:pPr>
      <w:r>
        <w:t>Macpela</w:t>
      </w:r>
      <w:r/>
    </w:p>
    <w:p>
      <w:r/>
      <w:r>
        <w:t>Um pequeno campo de árvores e uma caverna com duas câmaras perto de Manre, no distrito de Hebrom, foi comprado por Abraão como local de sepultamento para Sara. O vendedor foi Efrom, um heteu, e o preço foi de 400 siclos de prata (</w:t>
      </w:r>
      <w:hyperlink r:id="rId13550">
        <w:r>
          <w:rPr>
            <w:color w:val="0000EE"/>
            <w:u w:val="single"/>
          </w:rPr>
          <w:t>Gn 23.8–19</w:t>
        </w:r>
      </w:hyperlink>
      <w:r>
        <w:t>). Mais tarde, Abraão (</w:t>
      </w:r>
      <w:hyperlink r:id="rId7734">
        <w:r>
          <w:rPr>
            <w:color w:val="0000EE"/>
            <w:u w:val="single"/>
          </w:rPr>
          <w:t>25.9</w:t>
        </w:r>
      </w:hyperlink>
      <w:r>
        <w:t>), Isaque e Rebeca (</w:t>
      </w:r>
      <w:hyperlink r:id="rId13551">
        <w:r>
          <w:rPr>
            <w:color w:val="0000EE"/>
            <w:u w:val="single"/>
          </w:rPr>
          <w:t>49.30–31</w:t>
        </w:r>
      </w:hyperlink>
      <w:r>
        <w:t>), e Jacó (</w:t>
      </w:r>
      <w:hyperlink r:id="rId7735">
        <w:r>
          <w:rPr>
            <w:color w:val="0000EE"/>
            <w:u w:val="single"/>
          </w:rPr>
          <w:t>50.13</w:t>
        </w:r>
      </w:hyperlink>
      <w:r>
        <w:t>) foram enterrados aqui.</w:t>
      </w:r>
    </w:p>
    <w:p>
      <w:r/>
      <w:r>
        <w:t xml:space="preserve">Os detalhes da compra de Macpela por Abraão, quando comparados com as leis hititas, sustentam a veracidade da história em </w:t>
      </w:r>
      <w:hyperlink r:id="rId179">
        <w:r>
          <w:rPr>
            <w:color w:val="0000EE"/>
            <w:u w:val="single"/>
          </w:rPr>
          <w:t>Gênesis 23</w:t>
        </w:r>
      </w:hyperlink>
      <w:r>
        <w:t>. A atenção é chamada para o número de árvores, a pesagem da prata conforme a avaliação atual do comprador e do vendedor, e as testemunhas no portão da cidade onde a transação foi oficialmente divulgada. Todos esses detalhes estão de acordo com as leis hititas, que teriam sido esquecidas após o tempo dos patriarcas. A moeda não era um meio circulante antes de 700 a.C. A implicação de que o siclo era um peso e não uma moeda no tempo de Abraão também indica uma data antiga para a história da compra.</w:t>
      </w:r>
      <w:r/>
      <w:r/>
    </w:p>
    <w:p>
      <w:r/>
    </w:p>
    <w:p>
      <w:pPr>
        <w:pStyle w:val="Heading2"/>
      </w:pPr>
      <w:r>
        <w:t>Madai</w:t>
      </w:r>
      <w:r/>
    </w:p>
    <w:p>
      <w:r/>
      <w:r>
        <w:t>Terceiro dos sete filhos de Jafé (</w:t>
      </w:r>
      <w:hyperlink r:id="rId10073">
        <w:r>
          <w:rPr>
            <w:color w:val="0000EE"/>
            <w:u w:val="single"/>
          </w:rPr>
          <w:t>Gn 10.2</w:t>
        </w:r>
      </w:hyperlink>
      <w:r>
        <w:t xml:space="preserve">; </w:t>
      </w:r>
      <w:hyperlink r:id="rId10074">
        <w:r>
          <w:rPr>
            <w:color w:val="0000EE"/>
            <w:u w:val="single"/>
          </w:rPr>
          <w:t>1Cr 1.5</w:t>
        </w:r>
      </w:hyperlink>
      <w:r>
        <w:t>).</w:t>
      </w:r>
      <w:r/>
      <w:r/>
    </w:p>
    <w:p>
      <w:r/>
    </w:p>
    <w:p>
      <w:pPr>
        <w:pStyle w:val="Heading2"/>
      </w:pPr>
      <w:r>
        <w:t>Madeira de Gofer</w:t>
      </w:r>
      <w:r/>
    </w:p>
    <w:p>
      <w:r/>
      <w:r>
        <w:t>Apenas a Bíblia ARC usa a expressão "madeira de gofer", a maioria das Bíblias se referem como "madeira de cipreste" ou "táboa de cipreste". Material que Noé usou para construir a arca (</w:t>
      </w:r>
      <w:hyperlink r:id="rId787">
        <w:r>
          <w:rPr>
            <w:color w:val="0000EE"/>
            <w:u w:val="single"/>
          </w:rPr>
          <w:t>Gn 6.14</w:t>
        </w:r>
      </w:hyperlink>
      <w:r>
        <w:t xml:space="preserve">). </w:t>
      </w:r>
      <w:r>
        <w:rPr>
          <w:i/>
        </w:rPr>
        <w:t>Veja</w:t>
      </w:r>
      <w:r>
        <w:t xml:space="preserve"> </w:t>
      </w:r>
      <w:r>
        <w:t>Plantas (Cipreste)</w:t>
      </w:r>
      <w:r>
        <w:t>.</w:t>
      </w:r>
      <w:r/>
      <w:r/>
    </w:p>
    <w:p>
      <w:r/>
    </w:p>
    <w:p>
      <w:pPr>
        <w:pStyle w:val="Heading2"/>
      </w:pPr>
      <w:r>
        <w:t>Magdiel</w:t>
      </w:r>
      <w:r/>
    </w:p>
    <w:p>
      <w:r/>
      <w:r>
        <w:t>Um dos chefes de Edom (</w:t>
      </w:r>
      <w:hyperlink r:id="rId11125">
        <w:r>
          <w:rPr>
            <w:color w:val="0000EE"/>
            <w:u w:val="single"/>
          </w:rPr>
          <w:t>Gn 36.43</w:t>
        </w:r>
      </w:hyperlink>
      <w:r>
        <w:t xml:space="preserve">; </w:t>
      </w:r>
      <w:hyperlink r:id="rId11126">
        <w:r>
          <w:rPr>
            <w:color w:val="0000EE"/>
            <w:u w:val="single"/>
          </w:rPr>
          <w:t>1Cr 1.54</w:t>
        </w:r>
      </w:hyperlink>
      <w:r>
        <w:t>).</w:t>
      </w:r>
      <w:r/>
      <w:r/>
    </w:p>
    <w:p>
      <w:r/>
    </w:p>
    <w:p>
      <w:pPr>
        <w:pStyle w:val="Heading2"/>
      </w:pPr>
      <w:r>
        <w:t>Magia</w:t>
      </w:r>
      <w:r/>
    </w:p>
    <w:p>
      <w:r/>
      <w:r>
        <w:t>Tentar influenciar ou controlar pessoas ou eventos por meio de forças sobrenaturais. Essas forças são invocadas através de cerimônias, recitação de feitiços, encantamentos, incantações e outras formas de ritual.</w:t>
      </w:r>
    </w:p>
    <w:p>
      <w:r/>
      <w:r>
        <w:t xml:space="preserve">Há vários termos usados na Bíblia que podem se enquadrar na ampla categoria de magia. Várias dessas palavras são mencionadas em </w:t>
      </w:r>
      <w:hyperlink r:id="rId13552">
        <w:r>
          <w:rPr>
            <w:color w:val="0000EE"/>
            <w:u w:val="single"/>
          </w:rPr>
          <w:t>Deuteronômio 18.9–14</w:t>
        </w:r>
      </w:hyperlink>
      <w:r>
        <w:t>. O uso de práticas mágicas e ocultas por Israel não é permitido. O povo de Deus é instruído a evitar práticas de magia porque Deus lhes fornece sua revelação pessoal através de seus profetas. As práticas de magia humanas levam a uma falsa esperança ou falso medo e, portanto, afastam da verdade de Deus. No entanto, embora essas práticas não possam se equiparar à precisão do profeta de Deus, a Bíblia deixa em aberto a possibilidade de que possa haver uma realidade sobrenatural por trás de algumas práticas de magia.</w:t>
      </w:r>
    </w:p>
    <w:p>
      <w:r/>
      <w:r>
        <w:t xml:space="preserve">Os magos são proeminentes no livro do Êxodo do AT, onde os magos do Egito contendem com Moisés. O texto não descarta o sucesso dos magos como mera ilusão, pois eles foram pelo menos parcialmente bem-sucedidos no início (caps. </w:t>
      </w:r>
      <w:hyperlink r:id="rId13553">
        <w:r>
          <w:rPr>
            <w:color w:val="0000EE"/>
            <w:u w:val="single"/>
          </w:rPr>
          <w:t>7–8</w:t>
        </w:r>
      </w:hyperlink>
      <w:r>
        <w:t xml:space="preserve">). Mas seus fracassos começam a se tornar claros no capítulo </w:t>
      </w:r>
      <w:hyperlink r:id="rId1691">
        <w:r>
          <w:rPr>
            <w:color w:val="0000EE"/>
            <w:u w:val="single"/>
          </w:rPr>
          <w:t>8</w:t>
        </w:r>
      </w:hyperlink>
      <w:r>
        <w:t xml:space="preserve"> e continuam até o capítulo </w:t>
      </w:r>
      <w:hyperlink r:id="rId13554">
        <w:r>
          <w:rPr>
            <w:color w:val="0000EE"/>
            <w:u w:val="single"/>
          </w:rPr>
          <w:t>9</w:t>
        </w:r>
      </w:hyperlink>
      <w:r>
        <w:t>. A Bíblia não nega categoricamente que possa haver certo poder sobrenatural maligno em ação na pessoa do mago. O que a Bíblia deixa claro é que esse poder não está de acordo com, nem pode derrotar, a vontade de Deus.</w:t>
      </w:r>
    </w:p>
    <w:p>
      <w:r/>
      <w:r>
        <w:t>O NT aborda a questão da magia no livro de Atos. Quando Filipe foi a Samaria, ele encontrou Simão, o mágico. Simão havia atraído muita atenção para si mesmo ao impressionar as pessoas com sua magia (</w:t>
      </w:r>
      <w:hyperlink r:id="rId13555">
        <w:r>
          <w:rPr>
            <w:color w:val="0000EE"/>
            <w:u w:val="single"/>
          </w:rPr>
          <w:t>At 8.11</w:t>
        </w:r>
      </w:hyperlink>
      <w:r>
        <w:t>). A mensagem de Filipe foi acreditada e as pessoas começaram a se aproximar dele. Simão viu as maravilhas que Filipe era capaz de realizar e pensou que esses poderes eram recebidos através do ritual da imposição de mãos. Filipe deixou claro que as maravilhas de seu trabalho não podiam ser compradas, mas vinham através do gracioso dom de Deus para o penitente.</w:t>
      </w:r>
    </w:p>
    <w:p>
      <w:r/>
      <w:r>
        <w:t xml:space="preserve">Outra passagem importante é encontrada em </w:t>
      </w:r>
      <w:hyperlink r:id="rId13556">
        <w:r>
          <w:rPr>
            <w:color w:val="0000EE"/>
            <w:u w:val="single"/>
          </w:rPr>
          <w:t>At 19.11–20</w:t>
        </w:r>
      </w:hyperlink>
      <w:r>
        <w:t>. Certos exorcistas judeus pensaram que poderiam usar magicamente o nome de Jesus em seu trabalho. O resultado foi uma reação violenta: o homem em quem residia o espírito maligno saltou sobre eles, dominou todos eles e os subjugou, de modo que fugiram daquela casa nus e feridos. Esta passagem mostra que o poder responsável pelos milagres apostólicos estava baseado no relacionamento pessoal do apóstolo com o Senhor Jesus Cristo. O resultado do incidente acima também é importante; levou o povo de Éfeso a tomar uma decisão clara entre a palavra do Senhor e suas práticas mágicas. Vários que praticavam artes mágicas trouxeram seus livros e os queimaram na presença de todos. Esta demonstração dramática do poder de Deus e a necessidade de lealdade clara a ele levou a uma maior expansão do evangelho.</w:t>
      </w:r>
    </w:p>
    <w:p>
      <w:r/>
      <w:r>
        <w:t>A posição bíblica contra a magia é declarada fortemente no último livro da Bíblia, onde os feiticeiros são condenados ao lago de fogo (</w:t>
      </w:r>
      <w:hyperlink r:id="rId144">
        <w:r>
          <w:rPr>
            <w:color w:val="0000EE"/>
            <w:u w:val="single"/>
          </w:rPr>
          <w:t>Ap 21.8</w:t>
        </w:r>
      </w:hyperlink>
      <w:r>
        <w:t>). A visão bíblica é consistente em sua oposição à magia. A Bíblia não exclui a possibilidade de que Satanás possa usar magia para propósitos malignos, e as práticas mágicas são condenadas porque podem gerar falsas esperanças ou medos infundados e desviar a lealdade da Palavra de Deus.</w:t>
      </w:r>
    </w:p>
    <w:p>
      <w:r/>
      <w:r>
        <w:rPr>
          <w:i/>
        </w:rPr>
        <w:t>Veja também</w:t>
      </w:r>
      <w:r>
        <w:t xml:space="preserve"> </w:t>
      </w:r>
      <w:r>
        <w:t>Amuleto</w:t>
      </w:r>
      <w:r>
        <w:t xml:space="preserve">; </w:t>
      </w:r>
      <w:r>
        <w:t>Deidades e religião dos cananeus</w:t>
      </w:r>
      <w:r>
        <w:t xml:space="preserve">; </w:t>
      </w:r>
      <w:r>
        <w:t>Adorno</w:t>
      </w:r>
      <w:r>
        <w:t xml:space="preserve">; </w:t>
      </w:r>
      <w:r>
        <w:t>Presságio</w:t>
      </w:r>
      <w:r>
        <w:t xml:space="preserve">; </w:t>
      </w:r>
      <w:r>
        <w:t>Adivinho</w:t>
      </w:r>
      <w:r>
        <w:t xml:space="preserve">; </w:t>
      </w:r>
      <w:r>
        <w:t>Feitiçaria</w:t>
      </w:r>
      <w:r>
        <w:t xml:space="preserve">; </w:t>
      </w:r>
      <w:r>
        <w:t>Médiuns</w:t>
      </w:r>
      <w:r>
        <w:t>.</w:t>
      </w:r>
      <w:r/>
      <w:r/>
    </w:p>
    <w:p>
      <w:r/>
    </w:p>
    <w:p>
      <w:pPr>
        <w:pStyle w:val="Heading2"/>
      </w:pPr>
      <w:r>
        <w:t>Magistrado</w:t>
      </w:r>
      <w:r/>
    </w:p>
    <w:p>
      <w:r/>
      <w:r>
        <w:t>O título de um funcionário público que atuava como juiz e administrador de um determinado distrito. O rei Artaxerxes ordenou a Esdras que selecionasse magistrados junto com juízes para governar o povo quando eles retornassem à Palestina (</w:t>
      </w:r>
      <w:hyperlink r:id="rId13557">
        <w:r>
          <w:rPr>
            <w:color w:val="0000EE"/>
            <w:u w:val="single"/>
          </w:rPr>
          <w:t>Ed 7.25</w:t>
        </w:r>
      </w:hyperlink>
      <w:r>
        <w:t>). Este oficial foi um dos oficiais da corte de Nabucodonosor convidados para a festa de dedicação (</w:t>
      </w:r>
      <w:hyperlink r:id="rId5452">
        <w:r>
          <w:rPr>
            <w:color w:val="0000EE"/>
            <w:u w:val="single"/>
          </w:rPr>
          <w:t>Dn 3.2–3</w:t>
        </w:r>
      </w:hyperlink>
      <w:r>
        <w:t xml:space="preserve">). </w:t>
      </w:r>
      <w:hyperlink r:id="rId13558">
        <w:r>
          <w:rPr>
            <w:color w:val="0000EE"/>
            <w:u w:val="single"/>
          </w:rPr>
          <w:t>Lucas 12.58</w:t>
        </w:r>
      </w:hyperlink>
      <w:r>
        <w:t xml:space="preserve"> retratou o magistrado como uma autoridade governante cujo veredicto era final.</w:t>
      </w:r>
    </w:p>
    <w:p>
      <w:r/>
      <w:r>
        <w:t xml:space="preserve">Durante a era romana, cada colônia tinha dois magistrados (chamados de </w:t>
      </w:r>
      <w:r>
        <w:rPr>
          <w:i/>
        </w:rPr>
        <w:t>duumviri</w:t>
      </w:r>
      <w:r>
        <w:t>). Eles julgavam crimes contra o estado. Assim, Paulo e Silas foram levados perante os magistrados em Filipos. Eles foram acusados de defender costumes inaceitáveis para os romanos (</w:t>
      </w:r>
      <w:hyperlink r:id="rId13559">
        <w:r>
          <w:rPr>
            <w:color w:val="0000EE"/>
            <w:u w:val="single"/>
          </w:rPr>
          <w:t>At 16.20–38</w:t>
        </w:r>
      </w:hyperlink>
      <w:r>
        <w:t xml:space="preserve">). Diante deste </w:t>
      </w:r>
      <w:r>
        <w:rPr>
          <w:i/>
        </w:rPr>
        <w:t>duumvir,</w:t>
      </w:r>
      <w:r>
        <w:t xml:space="preserve"> eles foram ordenados a se despirem, serem espancados e jogados na prisão. Um magistrado chefe às vezes era chamado de "pretor" (</w:t>
      </w:r>
      <w:r>
        <w:rPr>
          <w:i/>
        </w:rPr>
        <w:t>strategos</w:t>
      </w:r>
      <w:r>
        <w:t xml:space="preserve"> em grego). Era um título especial para um </w:t>
      </w:r>
      <w:r>
        <w:rPr>
          <w:i/>
        </w:rPr>
        <w:t>duumvir</w:t>
      </w:r>
      <w:r>
        <w:t xml:space="preserve"> líder.</w:t>
      </w:r>
      <w:r/>
      <w:r/>
    </w:p>
    <w:p>
      <w:r/>
    </w:p>
    <w:p>
      <w:pPr>
        <w:pStyle w:val="Heading2"/>
      </w:pPr>
      <w:r>
        <w:t>Magogue</w:t>
      </w:r>
      <w:r/>
    </w:p>
    <w:p>
      <w:r/>
      <w:r>
        <w:t xml:space="preserve">O termo é encontrado apenas cinco vezes na Bíblia, mas é significativo devido ao seu uso nas passagens proféticas bem conhecidas de </w:t>
      </w:r>
      <w:hyperlink r:id="rId2150">
        <w:r>
          <w:rPr>
            <w:color w:val="0000EE"/>
            <w:u w:val="single"/>
          </w:rPr>
          <w:t>Ezequiel 38–39</w:t>
        </w:r>
      </w:hyperlink>
      <w:r>
        <w:t xml:space="preserve"> e </w:t>
      </w:r>
      <w:hyperlink r:id="rId8143">
        <w:r>
          <w:rPr>
            <w:color w:val="0000EE"/>
            <w:u w:val="single"/>
          </w:rPr>
          <w:t>Apocalipse 20</w:t>
        </w:r>
      </w:hyperlink>
      <w:r>
        <w:t xml:space="preserve">. No registro das nações em </w:t>
      </w:r>
      <w:hyperlink r:id="rId10073">
        <w:r>
          <w:rPr>
            <w:color w:val="0000EE"/>
            <w:u w:val="single"/>
          </w:rPr>
          <w:t>Gênesis 10.2</w:t>
        </w:r>
      </w:hyperlink>
      <w:r>
        <w:t xml:space="preserve"> (veja também </w:t>
      </w:r>
      <w:hyperlink r:id="rId10074">
        <w:r>
          <w:rPr>
            <w:color w:val="0000EE"/>
            <w:u w:val="single"/>
          </w:rPr>
          <w:t>1Cr 1.5</w:t>
        </w:r>
      </w:hyperlink>
      <w:r>
        <w:t>), Magogue é listado entre os filhos de Jafé, identificando tanto um indivíduo quanto a nação que dele surgiu. Em Ezequiel e Apocalipse, Magogue passou a se referir a uma terra, um povo ou ambos.</w:t>
      </w:r>
    </w:p>
    <w:p>
      <w:r/>
      <w:r>
        <w:t>Magogue não é mencionado na literatura contemporânea dos tempos bíblicos. Portanto, uma definição deve vir principalmente do testemunho das Escrituras, embora escritores de tempos posteriores tenham dado pistas adicionais para a identificação da palavra. Magogue foi identificado biblicamente pela primeira vez como um filho de Jafé (</w:t>
      </w:r>
      <w:hyperlink r:id="rId10073">
        <w:r>
          <w:rPr>
            <w:color w:val="0000EE"/>
            <w:u w:val="single"/>
          </w:rPr>
          <w:t>Gn 10.2</w:t>
        </w:r>
      </w:hyperlink>
      <w:r>
        <w:t xml:space="preserve">; </w:t>
      </w:r>
      <w:hyperlink r:id="rId10074">
        <w:r>
          <w:rPr>
            <w:color w:val="0000EE"/>
            <w:u w:val="single"/>
          </w:rPr>
          <w:t>1Cr 1.5</w:t>
        </w:r>
      </w:hyperlink>
      <w:r>
        <w:t xml:space="preserve">), junto com Tubal e Mesaque (cf. </w:t>
      </w:r>
      <w:hyperlink r:id="rId13560">
        <w:r>
          <w:rPr>
            <w:color w:val="0000EE"/>
            <w:u w:val="single"/>
          </w:rPr>
          <w:t>Ez 38.2</w:t>
        </w:r>
      </w:hyperlink>
      <w:r>
        <w:t xml:space="preserve">). </w:t>
      </w:r>
      <w:hyperlink r:id="rId13560">
        <w:r>
          <w:rPr>
            <w:color w:val="0000EE"/>
            <w:u w:val="single"/>
          </w:rPr>
          <w:t>Ezequiel 38.2</w:t>
        </w:r>
      </w:hyperlink>
      <w:r>
        <w:t xml:space="preserve"> associa Magogue com a pessoa Gogue, indicando que Magogue era a terra (junto com Tubal e Mesaque) sobre a qual Gogue governava. </w:t>
      </w:r>
      <w:hyperlink r:id="rId13561">
        <w:r>
          <w:rPr>
            <w:color w:val="0000EE"/>
            <w:u w:val="single"/>
          </w:rPr>
          <w:t>Ezequiel 39.6</w:t>
        </w:r>
      </w:hyperlink>
      <w:r>
        <w:t xml:space="preserve"> usa o termo Magogue para falar do povo da terra de Magogue. Juntos, </w:t>
      </w:r>
      <w:hyperlink r:id="rId13562">
        <w:r>
          <w:rPr>
            <w:color w:val="0000EE"/>
            <w:u w:val="single"/>
          </w:rPr>
          <w:t>Ezequiel 38</w:t>
        </w:r>
      </w:hyperlink>
      <w:r>
        <w:t xml:space="preserve"> e </w:t>
      </w:r>
      <w:hyperlink r:id="rId13563">
        <w:r>
          <w:rPr>
            <w:color w:val="0000EE"/>
            <w:u w:val="single"/>
          </w:rPr>
          <w:t>39</w:t>
        </w:r>
      </w:hyperlink>
      <w:r>
        <w:t xml:space="preserve"> apresentam uma invasão de Israel nos últimos dias (cf. </w:t>
      </w:r>
      <w:hyperlink r:id="rId13564">
        <w:r>
          <w:rPr>
            <w:color w:val="0000EE"/>
            <w:u w:val="single"/>
          </w:rPr>
          <w:t>Ez 38.8–16</w:t>
        </w:r>
      </w:hyperlink>
      <w:r>
        <w:t xml:space="preserve">) por Gogue e seu povo da terra de Magogue, juntamente com povos de todos os cantos do mundo conhecido (cf. vv </w:t>
      </w:r>
      <w:hyperlink r:id="rId13565">
        <w:r>
          <w:rPr>
            <w:color w:val="0000EE"/>
            <w:u w:val="single"/>
          </w:rPr>
          <w:t>5–6</w:t>
        </w:r>
      </w:hyperlink>
      <w:r>
        <w:t>).</w:t>
      </w:r>
    </w:p>
    <w:p>
      <w:r/>
      <w:hyperlink r:id="rId13566">
        <w:r>
          <w:rPr>
            <w:color w:val="0000EE"/>
            <w:u w:val="single"/>
          </w:rPr>
          <w:t>Apocalipse 20.8</w:t>
        </w:r>
      </w:hyperlink>
      <w:r>
        <w:t xml:space="preserve"> descreve Gogue e Magogue como invadindo a terra de Israel com uma grande companhia de nações de todas as partes do mundo. Parece que Ezequiel e Apocalipse tinham o mesmo evento dos últimos dias em mente. </w:t>
      </w:r>
      <w:hyperlink r:id="rId13566">
        <w:r>
          <w:rPr>
            <w:color w:val="0000EE"/>
            <w:u w:val="single"/>
          </w:rPr>
          <w:t>Apocalipse 20.8</w:t>
        </w:r>
      </w:hyperlink>
      <w:r>
        <w:t xml:space="preserve"> pode ser entendido como identificando Gogue como Satanás e vendo Magogue como povos invasores que vêm com Satanás. Alguns veem "Gogue e Magogue" em </w:t>
      </w:r>
      <w:hyperlink r:id="rId13566">
        <w:r>
          <w:rPr>
            <w:color w:val="0000EE"/>
            <w:u w:val="single"/>
          </w:rPr>
          <w:t>Apocalipse 20.8</w:t>
        </w:r>
      </w:hyperlink>
      <w:r>
        <w:t xml:space="preserve"> como um símbolo de uma grande batalha futura no final do milênio, semelhante à invasão em </w:t>
      </w:r>
      <w:hyperlink r:id="rId2150">
        <w:r>
          <w:rPr>
            <w:color w:val="0000EE"/>
            <w:u w:val="single"/>
          </w:rPr>
          <w:t>Ezequiel 38–39</w:t>
        </w:r>
      </w:hyperlink>
      <w:r>
        <w:t xml:space="preserve">, mas os termos em si não são identificados especificamente. Alguns veem Magogue em </w:t>
      </w:r>
      <w:hyperlink r:id="rId8143">
        <w:r>
          <w:rPr>
            <w:color w:val="0000EE"/>
            <w:u w:val="single"/>
          </w:rPr>
          <w:t>Apocalipse 20</w:t>
        </w:r>
      </w:hyperlink>
      <w:r>
        <w:t xml:space="preserve"> como outra pessoa junto com Gogue.</w:t>
      </w:r>
    </w:p>
    <w:p>
      <w:r/>
      <w:r>
        <w:t xml:space="preserve">Escritos extrabíblicos fornecem pistas adicionais. </w:t>
      </w:r>
      <w:r>
        <w:rPr>
          <w:i/>
        </w:rPr>
        <w:t>Antiguidades</w:t>
      </w:r>
      <w:r>
        <w:t xml:space="preserve"> 1.6.1 de Josefo equipara Magogue aos citas do norte que viviam na área da atual Turquia e no sul da Rússia central. Jubileus 7.19 e 9.8 referem-se a Magogue como os “bárbaros do norte”. No AT, Magogue está associado a Tubal e Mesaque, áreas geográficas normalmente consideradas situadas na região montanhosa entre, e ao sul, dos mares Cáspio e Negro.</w:t>
      </w:r>
    </w:p>
    <w:p>
      <w:r/>
      <w:r>
        <w:t xml:space="preserve">Os dados disponíveis sugerem a identificação de Magogue em Ezequiel e Apocalipse com as hordas bárbaras do norte (possivelmente a área dos citas) da região geográfica moderna da Turquia e do sul da Rússia central, que invadirão Israel sob a liderança de Gogue nos últimos dias. No entanto, não há justificativa nas Escrituras ou em outro lugar para conjecturar que essas nações modernas sejam </w:t>
      </w:r>
      <w:r>
        <w:rPr>
          <w:i/>
        </w:rPr>
        <w:t>a</w:t>
      </w:r>
      <w:r>
        <w:t xml:space="preserve"> identificação desses termos.</w:t>
      </w:r>
      <w:r/>
      <w:r/>
    </w:p>
    <w:p>
      <w:r/>
    </w:p>
    <w:p>
      <w:pPr>
        <w:pStyle w:val="Heading2"/>
      </w:pPr>
      <w:r>
        <w:t>Magos</w:t>
      </w:r>
      <w:r/>
    </w:p>
    <w:p>
      <w:r/>
      <w:r>
        <w:t xml:space="preserve">Os sábios mencionados em </w:t>
      </w:r>
      <w:hyperlink r:id="rId11694">
        <w:r>
          <w:rPr>
            <w:color w:val="0000EE"/>
            <w:u w:val="single"/>
          </w:rPr>
          <w:t>Mateus 2.1–12</w:t>
        </w:r>
      </w:hyperlink>
      <w:r>
        <w:t xml:space="preserve"> seguiram uma estrela até Jerusalém e depois até Belém para homenagear o recém-nascido "rei dos judeus". Esta parte do Evangelho de Mateus é importante porque destaca a verdadeira identidade de Jesus como Rei e sugere como pessoas de fora de Israel (gentios) viriam a honrá-lo ao longo do Evangelho.</w:t>
      </w:r>
    </w:p>
    <w:p>
      <w:pPr>
        <w:pStyle w:val="Heading3"/>
      </w:pPr>
      <w:r>
        <w:t>Os magos no mundo antigo</w:t>
      </w:r>
    </w:p>
    <w:p>
      <w:r/>
      <w:r>
        <w:t xml:space="preserve">Registros históricos fora da Bíblia fornecem pistas sobre de onde os magos em </w:t>
      </w:r>
      <w:hyperlink r:id="rId4710">
        <w:r>
          <w:rPr>
            <w:color w:val="0000EE"/>
            <w:u w:val="single"/>
          </w:rPr>
          <w:t>Mateus 2</w:t>
        </w:r>
      </w:hyperlink>
      <w:r>
        <w:t xml:space="preserve"> podem ter vindo e quais papéis desempenhavam. O antigo historiador Heródoto descreveu os magos como um grupo de sacerdotes da Média ou Pérsia. Naquela época, a principal religião da Pérsia era o zoroastrismo, então Heródoto provavelmente se referia a sacerdotes zoroastristas. De acordo com Heródoto, juntamente com outros historiadores como Plutarco e Estrabão, esses magos estavam envolvidos em cerimônias religiosas (como supervisionar sacrifícios e orações) e serviam como conselheiros de governantes orientais.</w:t>
      </w:r>
    </w:p>
    <w:p>
      <w:r/>
      <w:r>
        <w:t>Esses governantes acreditavam que os movimentos das estrelas e outros eventos celestiais refletiam o que aconteceria na história. Portanto, eles frequentemente confiavam no conhecimento dos magos sobre mapas estelares e interpretação de sonhos para tomar decisões. O interesse dos magos pelo movimento das estrelas pode explicar por que eles notaram a estrela no relato de Mateus e por que eles, junto com o rei Herodes, acreditavam que ela significava o nascimento de um novo governante importante (</w:t>
      </w:r>
      <w:hyperlink r:id="rId8594">
        <w:r>
          <w:rPr>
            <w:color w:val="0000EE"/>
            <w:u w:val="single"/>
          </w:rPr>
          <w:t>Mt 2.2</w:t>
        </w:r>
      </w:hyperlink>
      <w:r>
        <w:t>). Séculos antes de Cristo, as pessoas também associavam uma estrela ao nascimento de Alexandre, o Grande.</w:t>
      </w:r>
    </w:p>
    <w:p>
      <w:pPr>
        <w:pStyle w:val="Heading3"/>
      </w:pPr>
      <w:r>
        <w:t>Identidade no Evangelho de Mateus</w:t>
      </w:r>
    </w:p>
    <w:p>
      <w:r/>
      <w:r>
        <w:t>A narrativa de Mateus não fornece muitas informações sobre quem eram os magos. Ele apenas menciona que eles vieram "do Oriente" (</w:t>
      </w:r>
      <w:hyperlink r:id="rId13567">
        <w:r>
          <w:rPr>
            <w:color w:val="0000EE"/>
            <w:u w:val="single"/>
          </w:rPr>
          <w:t>Mt 2.1–2</w:t>
        </w:r>
      </w:hyperlink>
      <w:r>
        <w:t>), o que significa que não sabemos de onde eles vieram. Alguns líderes cristãos primitivos pensavam que os magos poderiam ter vindo da Arábia porque os presentes que trouxeram — ouro, incenso e mirra (</w:t>
      </w:r>
      <w:hyperlink r:id="rId10956">
        <w:r>
          <w:rPr>
            <w:color w:val="0000EE"/>
            <w:u w:val="single"/>
          </w:rPr>
          <w:t>Mt 2.11</w:t>
        </w:r>
      </w:hyperlink>
      <w:r>
        <w:t>) — provavelmente eram daquela região. Outros acreditavam que os magos eram da Caldeia ou Média/Pérsia, onde havia uma classe de sacerdotes chamada magos que se encaixava na descrição de Mateus.</w:t>
      </w:r>
    </w:p>
    <w:p>
      <w:pPr>
        <w:pStyle w:val="Heading3"/>
      </w:pPr>
      <w:r>
        <w:t>Importância no Evangelho de Mateus</w:t>
      </w:r>
    </w:p>
    <w:p>
      <w:r/>
      <w:r>
        <w:t>A visita dos magos é importante para a introdução do Evangelho de Mateus:</w:t>
      </w:r>
    </w:p>
    <w:p>
      <w:pPr>
        <w:pStyle w:val="ListNumber"/>
        <w:spacing w:line="240" w:lineRule="auto"/>
        <w:ind w:left="720"/>
      </w:pPr>
      <w:r/>
      <w:r>
        <w:t>Revela a verdadeira identidade do menino Jesus como o tão esperado Messias real de Israel. Isso é mostrado pela aparição da "estrela", que tinha significados messiânicos claros: "Uma estrela sairá de Jacó, e um cetro se levantará de Israel" (</w:t>
      </w:r>
      <w:hyperlink r:id="rId2807">
        <w:r>
          <w:rPr>
            <w:color w:val="0000EE"/>
            <w:u w:val="single"/>
          </w:rPr>
          <w:t>Nm 24.17</w:t>
        </w:r>
      </w:hyperlink>
      <w:r>
        <w:t xml:space="preserve">; veja também </w:t>
      </w:r>
      <w:hyperlink r:id="rId13568">
        <w:r>
          <w:rPr>
            <w:color w:val="0000EE"/>
            <w:u w:val="single"/>
          </w:rPr>
          <w:t>Is 60.3</w:t>
        </w:r>
      </w:hyperlink>
      <w:r>
        <w:t>).</w:t>
      </w:r>
    </w:p>
    <w:p>
      <w:pPr>
        <w:pStyle w:val="ListNumber"/>
        <w:spacing w:line="240" w:lineRule="auto"/>
        <w:ind w:left="720"/>
      </w:pPr>
      <w:r/>
      <w:r>
        <w:t>A interação entre os magos, Herodes, e os principais sacerdotes e escribas (</w:t>
      </w:r>
      <w:hyperlink r:id="rId13569">
        <w:r>
          <w:rPr>
            <w:color w:val="0000EE"/>
            <w:u w:val="single"/>
          </w:rPr>
          <w:t>Mt 2.2–6</w:t>
        </w:r>
      </w:hyperlink>
      <w:r>
        <w:t xml:space="preserve">) mostra que Jesus cumpre a profecia de </w:t>
      </w:r>
      <w:hyperlink r:id="rId3333">
        <w:r>
          <w:rPr>
            <w:color w:val="0000EE"/>
            <w:u w:val="single"/>
          </w:rPr>
          <w:t>Miquéias 5.2</w:t>
        </w:r>
      </w:hyperlink>
      <w:r>
        <w:t>, que predisse que o governante de Israel viria de Belém.</w:t>
      </w:r>
    </w:p>
    <w:p>
      <w:pPr>
        <w:pStyle w:val="ListNumber"/>
        <w:spacing w:line="240" w:lineRule="auto"/>
        <w:ind w:left="720"/>
      </w:pPr>
      <w:r/>
      <w:r>
        <w:t>Os presentes que os magos ofereceram (</w:t>
      </w:r>
      <w:hyperlink r:id="rId10956">
        <w:r>
          <w:rPr>
            <w:color w:val="0000EE"/>
            <w:u w:val="single"/>
          </w:rPr>
          <w:t>Mt 2.11</w:t>
        </w:r>
      </w:hyperlink>
      <w:r>
        <w:t xml:space="preserve">) podem refletir promessas em </w:t>
      </w:r>
      <w:hyperlink r:id="rId13570">
        <w:r>
          <w:rPr>
            <w:color w:val="0000EE"/>
            <w:u w:val="single"/>
          </w:rPr>
          <w:t>Salmos 68.29</w:t>
        </w:r>
      </w:hyperlink>
      <w:r>
        <w:t xml:space="preserve"> e </w:t>
      </w:r>
      <w:hyperlink r:id="rId13571">
        <w:r>
          <w:rPr>
            <w:color w:val="0000EE"/>
            <w:u w:val="single"/>
          </w:rPr>
          <w:t>72.10</w:t>
        </w:r>
      </w:hyperlink>
      <w:r>
        <w:t>, que também eram vistos como indícios sobre o Messias.</w:t>
      </w:r>
    </w:p>
    <w:p>
      <w:r/>
      <w:r>
        <w:t>Além de confirmar que Jesus é o tão esperado Messias, a visita dos magos introduz vários temas importantes que continuam no Evangelho de Mateus.</w:t>
      </w:r>
    </w:p>
    <w:p>
      <w:pPr>
        <w:pStyle w:val="ListNumber"/>
        <w:spacing w:line="240" w:lineRule="auto"/>
        <w:ind w:left="720"/>
      </w:pPr>
      <w:r/>
      <w:r>
        <w:t>O papel de Jesus como Messias afeta não apenas os judeus, mas também os gentios (representados pelos "sábios do Oriente").</w:t>
      </w:r>
    </w:p>
    <w:p>
      <w:pPr>
        <w:pStyle w:val="ListNumber"/>
        <w:spacing w:line="240" w:lineRule="auto"/>
        <w:ind w:left="720"/>
      </w:pPr>
      <w:r/>
      <w:r>
        <w:t>A surpreendente fé dos gentios, uma fé que às vezes falta entre o próprio povo de Jesus. Enquanto os magos estrangeiros honram o Messias infantil, o rei Herodes e possivelmente os líderes religiosos judeus tramam matá-lo (</w:t>
      </w:r>
      <w:hyperlink r:id="rId13572">
        <w:r>
          <w:rPr>
            <w:color w:val="0000EE"/>
            <w:u w:val="single"/>
          </w:rPr>
          <w:t>Mt 2.3–6,16</w:t>
        </w:r>
      </w:hyperlink>
      <w:r>
        <w:t xml:space="preserve">). Este tema aparece novamente no Evangelho, onde os gentios frequentemente demonstram fé em Jesus, contrastando com a falta de fé entre muitos judeus (veja </w:t>
      </w:r>
      <w:hyperlink r:id="rId4717">
        <w:r>
          <w:rPr>
            <w:color w:val="0000EE"/>
            <w:u w:val="single"/>
          </w:rPr>
          <w:t>Mt 8.5–13</w:t>
        </w:r>
      </w:hyperlink>
      <w:r>
        <w:t xml:space="preserve">; </w:t>
      </w:r>
      <w:hyperlink r:id="rId11752">
        <w:r>
          <w:rPr>
            <w:color w:val="0000EE"/>
            <w:u w:val="single"/>
          </w:rPr>
          <w:t>15.21–28</w:t>
        </w:r>
      </w:hyperlink>
      <w:r>
        <w:t xml:space="preserve">; </w:t>
      </w:r>
      <w:hyperlink r:id="rId3390">
        <w:r>
          <w:rPr>
            <w:color w:val="0000EE"/>
            <w:u w:val="single"/>
          </w:rPr>
          <w:t>27.19,54</w:t>
        </w:r>
      </w:hyperlink>
      <w:r>
        <w:t>).</w:t>
      </w:r>
      <w:r/>
      <w:r/>
    </w:p>
    <w:p>
      <w:r/>
    </w:p>
    <w:p>
      <w:pPr>
        <w:pStyle w:val="Heading2"/>
      </w:pPr>
      <w:r>
        <w:t>Mahali</w:t>
      </w:r>
      <w:r/>
    </w:p>
    <w:p>
      <w:r/>
      <w:r>
        <w:t xml:space="preserve">Uma diferente grafia de Mali, filho de Merari, em </w:t>
      </w:r>
      <w:hyperlink r:id="rId13573">
        <w:r>
          <w:rPr>
            <w:color w:val="0000EE"/>
            <w:u w:val="single"/>
          </w:rPr>
          <w:t>Êxodo 6.19</w:t>
        </w:r>
      </w:hyperlink>
      <w:r>
        <w:t>.</w:t>
      </w:r>
    </w:p>
    <w:p>
      <w:r/>
      <w:r>
        <w:rPr>
          <w:i/>
        </w:rPr>
        <w:t>Veja</w:t>
      </w:r>
      <w:r>
        <w:t xml:space="preserve"> </w:t>
      </w:r>
      <w:r>
        <w:t>Mali nº 1</w:t>
      </w:r>
      <w:r>
        <w:t>.</w:t>
      </w:r>
      <w:r/>
      <w:r/>
    </w:p>
    <w:p>
      <w:r/>
    </w:p>
    <w:p>
      <w:pPr>
        <w:pStyle w:val="Heading2"/>
      </w:pPr>
      <w:r>
        <w:t>Malaquias, Livro De</w:t>
      </w:r>
      <w:r/>
    </w:p>
    <w:p>
      <w:r/>
      <w:r>
        <w:t>Último livro profético do cânon judaico; último livro do Antigo Testamento.</w:t>
      </w:r>
    </w:p>
    <w:p>
      <w:r/>
      <w:r>
        <w:t>Resumo</w:t>
      </w:r>
    </w:p>
    <w:p>
      <w:r/>
      <w:r>
        <w:t>• Autor</w:t>
      </w:r>
    </w:p>
    <w:p>
      <w:r/>
      <w:r>
        <w:t>• Contexto</w:t>
      </w:r>
    </w:p>
    <w:p>
      <w:r/>
      <w:r>
        <w:t>• Data</w:t>
      </w:r>
    </w:p>
    <w:p>
      <w:r/>
      <w:r>
        <w:t>• Propósito e Teologia</w:t>
      </w:r>
    </w:p>
    <w:p>
      <w:r/>
      <w:r>
        <w:t>• Conteúdo</w:t>
      </w:r>
    </w:p>
    <w:p>
      <w:pPr>
        <w:pStyle w:val="Heading3"/>
      </w:pPr>
      <w:r>
        <w:t>Autor</w:t>
      </w:r>
    </w:p>
    <w:p>
      <w:r/>
      <w:r>
        <w:t xml:space="preserve">O nome Malaquias significa “meu mensageiro” ou “mensageiro do Senhor”. Uma vez que a palavra aparece em </w:t>
      </w:r>
      <w:hyperlink r:id="rId3582">
        <w:r>
          <w:rPr>
            <w:color w:val="0000EE"/>
            <w:u w:val="single"/>
          </w:rPr>
          <w:t>3.1</w:t>
        </w:r>
      </w:hyperlink>
      <w:r>
        <w:t xml:space="preserve">, alguns estudiosos pensam que isso não é um nome próprio e que não fornece o nome do autor do livro. De acordo com uma tradição antiga, o “mensageiro” era Esdras, o sacerdote responsável pelos livros de Esdras e Neemias. No entanto, seria mais incomum que os judeus preservassem um livro profético sem atribuir explicitamente o nome do autor. Todos os outros profetas maiores e menores — incluindo Obadias — recebem o nome de um profeta específico. Além disso, “mensageiro do Senhor” seria um nome mais apropriado para um profeta (cf. </w:t>
      </w:r>
      <w:hyperlink r:id="rId13574">
        <w:r>
          <w:rPr>
            <w:color w:val="0000EE"/>
            <w:u w:val="single"/>
          </w:rPr>
          <w:t>2Cr 36.15–16</w:t>
        </w:r>
      </w:hyperlink>
      <w:r>
        <w:t xml:space="preserve">; </w:t>
      </w:r>
      <w:hyperlink r:id="rId524">
        <w:r>
          <w:rPr>
            <w:color w:val="0000EE"/>
            <w:u w:val="single"/>
          </w:rPr>
          <w:t>Ag 1.13</w:t>
        </w:r>
      </w:hyperlink>
      <w:r>
        <w:t>).</w:t>
      </w:r>
    </w:p>
    <w:p>
      <w:pPr>
        <w:pStyle w:val="Heading3"/>
      </w:pPr>
      <w:r>
        <w:t>Contexto</w:t>
      </w:r>
    </w:p>
    <w:p>
      <w:r/>
      <w:r>
        <w:t>Durante o quinto século a.C., a comunidade judaica em dificuldades em Judá foi grandemente ajudada pelo retorno de Esdras e Neemias. Em 458 a.C., Esdras foi encorajado pelo rei Artaxerxes da Pérsia a liderar um grupo de exilados de volta para Jerusalém e instituir uma reforma religiosa. Cerca de 13 anos depois, em 445 a.C., um oficial de alto escalão do governo chamado Neemias foi autorizado a ir a Jerusalém reconstruir os muros da cidade, uma tarefa que ele realizou em 52 dias (</w:t>
      </w:r>
      <w:hyperlink r:id="rId4064">
        <w:r>
          <w:rPr>
            <w:color w:val="0000EE"/>
            <w:u w:val="single"/>
          </w:rPr>
          <w:t>Ne 6.15</w:t>
        </w:r>
      </w:hyperlink>
      <w:r>
        <w:t>). Como governador, Neemias liderou o povo em uma reforma financeira que proveu aos pobres e incentivou o dízimo para sustentar os sacerdotes e levitas (</w:t>
      </w:r>
      <w:hyperlink r:id="rId13575">
        <w:r>
          <w:rPr>
            <w:color w:val="0000EE"/>
            <w:u w:val="single"/>
          </w:rPr>
          <w:t>5.2–13</w:t>
        </w:r>
      </w:hyperlink>
      <w:r>
        <w:t xml:space="preserve">; </w:t>
      </w:r>
      <w:hyperlink r:id="rId13576">
        <w:r>
          <w:rPr>
            <w:color w:val="0000EE"/>
            <w:u w:val="single"/>
          </w:rPr>
          <w:t>10.35–39</w:t>
        </w:r>
      </w:hyperlink>
      <w:r>
        <w:t>). Como Esdras, Neemias exortou as pessoas a guardarem o sábado e evitarem unir-se em casamento com os vizinhos pagãos. Após um mandato de 12 anos, Neemias voltou para a Pérsia e a condição espiritual de Judá se deteriorou. Talvez desencorajado pela falta de poder político, o dízimo tornou-se esporádico, o sábado não era guardado, os casamentos entre pessoas de povos diferentes eram comuns, e até mesmo os sacerdotes não mereciam confiança. Quando Neemias voltou para Jerusalém algum tempo depois, ele teve que tomar medidas firmes para endireitar a situação (</w:t>
      </w:r>
      <w:hyperlink r:id="rId13577">
        <w:r>
          <w:rPr>
            <w:color w:val="0000EE"/>
            <w:u w:val="single"/>
          </w:rPr>
          <w:t>13.6–31</w:t>
        </w:r>
      </w:hyperlink>
      <w:r>
        <w:t>).</w:t>
      </w:r>
    </w:p>
    <w:p>
      <w:pPr>
        <w:pStyle w:val="Heading3"/>
      </w:pPr>
      <w:r>
        <w:t>Data</w:t>
      </w:r>
    </w:p>
    <w:p>
      <w:r/>
      <w:r>
        <w:t xml:space="preserve">Uma vez que Malaquias teve que lidar com os mesmos pecados mencionados em </w:t>
      </w:r>
      <w:hyperlink r:id="rId13578">
        <w:r>
          <w:rPr>
            <w:color w:val="0000EE"/>
            <w:u w:val="single"/>
          </w:rPr>
          <w:t>Neemias 13</w:t>
        </w:r>
      </w:hyperlink>
      <w:r>
        <w:t xml:space="preserve"> (veja </w:t>
      </w:r>
      <w:hyperlink r:id="rId13579">
        <w:r>
          <w:rPr>
            <w:color w:val="0000EE"/>
            <w:u w:val="single"/>
          </w:rPr>
          <w:t>Ml 1.6–14</w:t>
        </w:r>
      </w:hyperlink>
      <w:r>
        <w:t xml:space="preserve">; </w:t>
      </w:r>
      <w:hyperlink r:id="rId13580">
        <w:r>
          <w:rPr>
            <w:color w:val="0000EE"/>
            <w:u w:val="single"/>
          </w:rPr>
          <w:t>2.14–16</w:t>
        </w:r>
      </w:hyperlink>
      <w:r>
        <w:t xml:space="preserve">; </w:t>
      </w:r>
      <w:hyperlink r:id="rId13581">
        <w:r>
          <w:rPr>
            <w:color w:val="0000EE"/>
            <w:u w:val="single"/>
          </w:rPr>
          <w:t>3.8–11</w:t>
        </w:r>
      </w:hyperlink>
      <w:r>
        <w:t xml:space="preserve">), é provável que o profeta ministrou durante o segundo mandato de Neemias como governador ou nos anos imediatamente anteriores ao seu retorno. A referência a “o governador” em </w:t>
      </w:r>
      <w:hyperlink r:id="rId13582">
        <w:r>
          <w:rPr>
            <w:color w:val="0000EE"/>
            <w:u w:val="single"/>
          </w:rPr>
          <w:t>Malaquias 1.8</w:t>
        </w:r>
      </w:hyperlink>
      <w:r>
        <w:t xml:space="preserve"> implica que alguém que não fosse Neemias estava no cargo, podendo ser melhor colocar Malaquias logo após 433 a.C., o ano em que Neemias havia voltado para a Pérsia.</w:t>
      </w:r>
    </w:p>
    <w:p>
      <w:pPr>
        <w:pStyle w:val="Heading3"/>
      </w:pPr>
      <w:r>
        <w:t>Propósito e Teologia</w:t>
      </w:r>
    </w:p>
    <w:p>
      <w:r/>
      <w:r>
        <w:t>Malaquias foi escrito para abalar o povo de Judá de sua letargia espiritual e para advertir que o julgamento estava chegando, a menos que eles se arrependessem. As pessoas duvidavam do amor de Deus (</w:t>
      </w:r>
      <w:hyperlink r:id="rId13583">
        <w:r>
          <w:rPr>
            <w:color w:val="0000EE"/>
            <w:u w:val="single"/>
          </w:rPr>
          <w:t>1.2</w:t>
        </w:r>
      </w:hyperlink>
      <w:r>
        <w:t>) e justiça (</w:t>
      </w:r>
      <w:hyperlink r:id="rId13584">
        <w:r>
          <w:rPr>
            <w:color w:val="0000EE"/>
            <w:u w:val="single"/>
          </w:rPr>
          <w:t>2.17</w:t>
        </w:r>
      </w:hyperlink>
      <w:r>
        <w:t>) e não levavam seus mandamentos a sério (</w:t>
      </w:r>
      <w:hyperlink r:id="rId13585">
        <w:r>
          <w:rPr>
            <w:color w:val="0000EE"/>
            <w:u w:val="single"/>
          </w:rPr>
          <w:t>1.6</w:t>
        </w:r>
      </w:hyperlink>
      <w:r>
        <w:t xml:space="preserve">; </w:t>
      </w:r>
      <w:hyperlink r:id="rId13586">
        <w:r>
          <w:rPr>
            <w:color w:val="0000EE"/>
            <w:u w:val="single"/>
          </w:rPr>
          <w:t>3.14–18</w:t>
        </w:r>
      </w:hyperlink>
      <w:r>
        <w:t>). No entanto, Deus era “um grande Rei” (</w:t>
      </w:r>
      <w:hyperlink r:id="rId13587">
        <w:r>
          <w:rPr>
            <w:color w:val="0000EE"/>
            <w:u w:val="single"/>
          </w:rPr>
          <w:t>1.14</w:t>
        </w:r>
      </w:hyperlink>
      <w:r>
        <w:t xml:space="preserve">) com um grande nome que deveria ser temido até mesmo além da fronteira de Israel (vv. </w:t>
      </w:r>
      <w:hyperlink r:id="rId13588">
        <w:r>
          <w:rPr>
            <w:color w:val="0000EE"/>
            <w:u w:val="single"/>
          </w:rPr>
          <w:t>5, 11</w:t>
        </w:r>
      </w:hyperlink>
      <w:r>
        <w:t>). Malaquias repetidamente exortou tanto os sacerdotes quanto o povo a reverenciar a Deus e dar-lhe a honra que ele merecia. Deus era o Pai e Criador do povo de Israel (</w:t>
      </w:r>
      <w:hyperlink r:id="rId13589">
        <w:r>
          <w:rPr>
            <w:color w:val="0000EE"/>
            <w:u w:val="single"/>
          </w:rPr>
          <w:t>2.10</w:t>
        </w:r>
      </w:hyperlink>
      <w:r>
        <w:t>), mas a nação mostrou desprezo pelo seu nome (</w:t>
      </w:r>
      <w:hyperlink r:id="rId13585">
        <w:r>
          <w:rPr>
            <w:color w:val="0000EE"/>
            <w:u w:val="single"/>
          </w:rPr>
          <w:t>1.6</w:t>
        </w:r>
      </w:hyperlink>
      <w:r>
        <w:t xml:space="preserve">; </w:t>
      </w:r>
      <w:hyperlink r:id="rId450">
        <w:r>
          <w:rPr>
            <w:color w:val="0000EE"/>
            <w:u w:val="single"/>
          </w:rPr>
          <w:t>3.5</w:t>
        </w:r>
      </w:hyperlink>
      <w:r>
        <w:t>). Em resposta a este desprezo, Deus enviaria seu mensageiro para anunciar o Dia do Senhor (</w:t>
      </w:r>
      <w:hyperlink r:id="rId3582">
        <w:r>
          <w:rPr>
            <w:color w:val="0000EE"/>
            <w:u w:val="single"/>
          </w:rPr>
          <w:t>3.1</w:t>
        </w:r>
      </w:hyperlink>
      <w:r>
        <w:t>). João Batista chamou a nação ao arrependimento, e Cristo veio para limpar o templo (</w:t>
      </w:r>
      <w:hyperlink r:id="rId3074">
        <w:r>
          <w:rPr>
            <w:color w:val="0000EE"/>
            <w:u w:val="single"/>
          </w:rPr>
          <w:t>Jo 2.14–15</w:t>
        </w:r>
      </w:hyperlink>
      <w:r>
        <w:t>) e estabelecer a aliança (</w:t>
      </w:r>
      <w:hyperlink r:id="rId13590">
        <w:r>
          <w:rPr>
            <w:color w:val="0000EE"/>
            <w:u w:val="single"/>
          </w:rPr>
          <w:t>Ml 3.1–2</w:t>
        </w:r>
      </w:hyperlink>
      <w:r>
        <w:t xml:space="preserve">). A maior parte do trabalho de refinamento e purificação ocorrerá na Segunda Vinda, quando Cristo retornar para purificar seu povo (cf. vv. </w:t>
      </w:r>
      <w:hyperlink r:id="rId13591">
        <w:r>
          <w:rPr>
            <w:color w:val="0000EE"/>
            <w:u w:val="single"/>
          </w:rPr>
          <w:t>2–4</w:t>
        </w:r>
      </w:hyperlink>
      <w:r>
        <w:t>) e julgar os ímpios (</w:t>
      </w:r>
      <w:hyperlink r:id="rId3226">
        <w:r>
          <w:rPr>
            <w:color w:val="0000EE"/>
            <w:u w:val="single"/>
          </w:rPr>
          <w:t>4.1</w:t>
        </w:r>
      </w:hyperlink>
      <w:r>
        <w:t>).</w:t>
      </w:r>
    </w:p>
    <w:p>
      <w:pPr>
        <w:pStyle w:val="Heading3"/>
      </w:pPr>
      <w:r>
        <w:t>Conteúdo</w:t>
      </w:r>
    </w:p>
    <w:p>
      <w:pPr>
        <w:pStyle w:val="Heading4"/>
      </w:pPr>
      <w:r>
        <w:t>O Grande Amor de Deus por Israel (1.1–5)</w:t>
      </w:r>
    </w:p>
    <w:p>
      <w:r/>
      <w:r>
        <w:t xml:space="preserve">Para introduzir o livro, Malaquias apresenta um contraste entre o amor de Deus por Israel e seu ódio por Edom. No entanto, a asserção do amor de Deus é recebida com uma pergunta estranha: “Como você nos amou?” Deus amou Israel ao entrar em uma aliança com a nação no Monte Sinai, logo após de tê-los libertado da prisão do Egito. Ele o havia escolhido como seu povo especial (cf. </w:t>
      </w:r>
      <w:hyperlink r:id="rId162">
        <w:r>
          <w:rPr>
            <w:color w:val="0000EE"/>
            <w:u w:val="single"/>
          </w:rPr>
          <w:t>Gn 12.1–3</w:t>
        </w:r>
      </w:hyperlink>
      <w:r>
        <w:t xml:space="preserve">; </w:t>
      </w:r>
      <w:hyperlink r:id="rId6781">
        <w:r>
          <w:rPr>
            <w:color w:val="0000EE"/>
            <w:u w:val="single"/>
          </w:rPr>
          <w:t>Êx 19.5–6</w:t>
        </w:r>
      </w:hyperlink>
      <w:r>
        <w:t xml:space="preserve">), enquanto os descendentes de Esaú não foram escolhidos (cf. </w:t>
      </w:r>
      <w:hyperlink r:id="rId13592">
        <w:r>
          <w:rPr>
            <w:color w:val="0000EE"/>
            <w:u w:val="single"/>
          </w:rPr>
          <w:t>Rm 9.10–13</w:t>
        </w:r>
      </w:hyperlink>
      <w:r>
        <w:t>). Tanto Israel quanto Edom suportaram invasão e destruição, mas apenas Israel foi restaurada e reconstruída após o exílio. O povo de Edom foi expulso de sua terra natal pelos nabateus entre 550 e 400 a.C., e eles nunca reconquistaram seu território. Através do julgamento de Edom, Deus demonstrou que ele é o grande Governante sobre as nações (</w:t>
      </w:r>
      <w:hyperlink r:id="rId13588">
        <w:r>
          <w:rPr>
            <w:color w:val="0000EE"/>
            <w:u w:val="single"/>
          </w:rPr>
          <w:t>Ml 1.5</w:t>
        </w:r>
      </w:hyperlink>
      <w:r>
        <w:t>) e que ele não esquecerá Israel.</w:t>
      </w:r>
    </w:p>
    <w:p>
      <w:pPr>
        <w:pStyle w:val="Heading4"/>
      </w:pPr>
      <w:r>
        <w:t>Os sacrifícios inaceitáveis dos sacerdotes (1.6–14)</w:t>
      </w:r>
    </w:p>
    <w:p>
      <w:r/>
      <w:r>
        <w:t>Embora Deus merecesse a honra e reverência dos israelitas, tanto o povo quanto os sacerdotes abertamente desdenhavam de suas leis e regulamentos. Estranhamente, foram os sacerdotes que lideraram o caminho para a desobediência. Os sacrifícios e ofertas deveriam expiar os pecados, mas os animais oferecidos pelos sacerdotes serviam apenas para poluir ou contaminar o altar (</w:t>
      </w:r>
      <w:hyperlink r:id="rId13593">
        <w:r>
          <w:rPr>
            <w:color w:val="0000EE"/>
            <w:u w:val="single"/>
          </w:rPr>
          <w:t>1.7, 12</w:t>
        </w:r>
      </w:hyperlink>
      <w:r>
        <w:t xml:space="preserve">). De acordo com Levítico, os animais com defeitos eram inaceitáveis como sacrifícios, mas Malaquias menciona que os sacerdotes estavam oferecendo ao Senhor animais que eram roubados e mutilados, aleijados e doentes (v. </w:t>
      </w:r>
      <w:hyperlink r:id="rId13594">
        <w:r>
          <w:rPr>
            <w:color w:val="0000EE"/>
            <w:u w:val="single"/>
          </w:rPr>
          <w:t>13</w:t>
        </w:r>
      </w:hyperlink>
      <w:r>
        <w:t xml:space="preserve">; cf. v. </w:t>
      </w:r>
      <w:hyperlink r:id="rId13582">
        <w:r>
          <w:rPr>
            <w:color w:val="0000EE"/>
            <w:u w:val="single"/>
          </w:rPr>
          <w:t>8</w:t>
        </w:r>
      </w:hyperlink>
      <w:r>
        <w:t xml:space="preserve">). Para enfatizar seu desprezo, o Senhor desafiou os sacerdotes a trazer presentes comparáveis ao governador. Eles se ousariam insultá-lo desta maneira e enfrentar a rejeição certa? Em vez de permitir que os sacerdotes continuassem a trazer sacrifícios impróprios ao altar, o Senhor pediu-lhes que fechassem completamente as portas do templo (v. </w:t>
      </w:r>
      <w:hyperlink r:id="rId13595">
        <w:r>
          <w:rPr>
            <w:color w:val="0000EE"/>
            <w:u w:val="single"/>
          </w:rPr>
          <w:t>10</w:t>
        </w:r>
      </w:hyperlink>
      <w:r>
        <w:t xml:space="preserve">). Realizar coisas de forma mecânica nunca agradou a Deus, seja nos tempos antigos (cf. </w:t>
      </w:r>
      <w:hyperlink r:id="rId13596">
        <w:r>
          <w:rPr>
            <w:color w:val="0000EE"/>
            <w:u w:val="single"/>
          </w:rPr>
          <w:t>Is 1.12–13</w:t>
        </w:r>
      </w:hyperlink>
      <w:r>
        <w:t>) ou modernos. Ao chamar o altar e seus sacrifícios de “desprezíveis” (</w:t>
      </w:r>
      <w:hyperlink r:id="rId13593">
        <w:r>
          <w:rPr>
            <w:color w:val="0000EE"/>
            <w:u w:val="single"/>
          </w:rPr>
          <w:t>Ml 1.7,12</w:t>
        </w:r>
      </w:hyperlink>
      <w:r>
        <w:t xml:space="preserve">), os sacerdotes não eram melhores do que os filhos ímpios de Eli, cujo desprezo pelas regras dos sacrifícios os enviou para uma morte prematura (cf. </w:t>
      </w:r>
      <w:hyperlink r:id="rId13597">
        <w:r>
          <w:rPr>
            <w:color w:val="0000EE"/>
            <w:u w:val="single"/>
          </w:rPr>
          <w:t>1Sm 2.15–17</w:t>
        </w:r>
      </w:hyperlink>
      <w:r>
        <w:t>).</w:t>
      </w:r>
    </w:p>
    <w:p>
      <w:r/>
      <w:r>
        <w:t xml:space="preserve">Em nítido contraste com a atitude dos sacerdotes está a ênfase na grandeza de Deus em </w:t>
      </w:r>
      <w:hyperlink r:id="rId10983">
        <w:r>
          <w:rPr>
            <w:color w:val="0000EE"/>
            <w:u w:val="single"/>
          </w:rPr>
          <w:t>Malaquias 1.11 e 14</w:t>
        </w:r>
      </w:hyperlink>
      <w:r>
        <w:t xml:space="preserve">. Deus é mais poderoso do que os deuses de outras nações, e mesmo que os sacerdotes e o povo de Israel desonrem o Senhor, eventualmente ofertas puras serão trazidas a Deus pelos gentios crentes. Talvez essas ofertas se refiram a oração e louvor (cf. </w:t>
      </w:r>
      <w:hyperlink r:id="rId13598">
        <w:r>
          <w:rPr>
            <w:color w:val="0000EE"/>
            <w:u w:val="single"/>
          </w:rPr>
          <w:t>Sl 19.14</w:t>
        </w:r>
      </w:hyperlink>
      <w:r>
        <w:t xml:space="preserve">; </w:t>
      </w:r>
      <w:hyperlink r:id="rId11106">
        <w:r>
          <w:rPr>
            <w:color w:val="0000EE"/>
            <w:u w:val="single"/>
          </w:rPr>
          <w:t>Hb 13.15</w:t>
        </w:r>
      </w:hyperlink>
      <w:r>
        <w:t xml:space="preserve">; </w:t>
      </w:r>
      <w:hyperlink r:id="rId10986">
        <w:r>
          <w:rPr>
            <w:color w:val="0000EE"/>
            <w:u w:val="single"/>
          </w:rPr>
          <w:t>Ap 5.8</w:t>
        </w:r>
      </w:hyperlink>
      <w:r>
        <w:t xml:space="preserve">), mas outros interpretam a referência mais literalmente (cf. </w:t>
      </w:r>
      <w:hyperlink r:id="rId11354">
        <w:r>
          <w:rPr>
            <w:color w:val="0000EE"/>
            <w:u w:val="single"/>
          </w:rPr>
          <w:t>Is 56.7</w:t>
        </w:r>
      </w:hyperlink>
      <w:r>
        <w:t xml:space="preserve">; </w:t>
      </w:r>
      <w:hyperlink r:id="rId2343">
        <w:r>
          <w:rPr>
            <w:color w:val="0000EE"/>
            <w:u w:val="single"/>
          </w:rPr>
          <w:t>60.7</w:t>
        </w:r>
      </w:hyperlink>
      <w:r>
        <w:t>). Pedro pode estar se referindo a este verso em conexão com a conversão de Cornélio (</w:t>
      </w:r>
      <w:hyperlink r:id="rId13599">
        <w:r>
          <w:rPr>
            <w:color w:val="0000EE"/>
            <w:u w:val="single"/>
          </w:rPr>
          <w:t>Atos 10.35</w:t>
        </w:r>
      </w:hyperlink>
      <w:r>
        <w:t>).</w:t>
      </w:r>
    </w:p>
    <w:p>
      <w:pPr>
        <w:pStyle w:val="Heading4"/>
      </w:pPr>
      <w:r>
        <w:t>A Punição dos Sacerdotes (2.1–9)</w:t>
      </w:r>
    </w:p>
    <w:p>
      <w:r/>
      <w:r>
        <w:t>Uma das funções dos sacerdotes era pronunciar bênçãos sobre as pessoas em nome de Deus, mas seu comportamento vergonhoso transformou as bênçãos em maldições (</w:t>
      </w:r>
      <w:hyperlink r:id="rId13600">
        <w:r>
          <w:rPr>
            <w:color w:val="0000EE"/>
            <w:u w:val="single"/>
          </w:rPr>
          <w:t>Ml 2.2</w:t>
        </w:r>
      </w:hyperlink>
      <w:r>
        <w:t xml:space="preserve">). Por causa da pecaminosidade dos sacerdotes e da pobre condição dos animais, seus sacrifícios também eram inúteis, e as entranhas dos animais serão espalhadas em seus rostos como um sinal de que Deus os mantém em desprezo. A desgraça acumulada sobre os sacerdotes difere acentuadamente da honra desfrutada por Arão e seus descendentes. Malaquias se refere a uma aliança de vida e paz (v. </w:t>
      </w:r>
      <w:hyperlink r:id="rId13601">
        <w:r>
          <w:rPr>
            <w:color w:val="0000EE"/>
            <w:u w:val="single"/>
          </w:rPr>
          <w:t>5</w:t>
        </w:r>
      </w:hyperlink>
      <w:r>
        <w:t>) feita com Levi e, mais especialmente, com o neto de Arão, Fineias, que tomou corajosamente medidas contra os judeus envolvidos em idolatria e imoralidade (</w:t>
      </w:r>
      <w:hyperlink r:id="rId13602">
        <w:r>
          <w:rPr>
            <w:color w:val="0000EE"/>
            <w:u w:val="single"/>
          </w:rPr>
          <w:t>Nm 25.10–13</w:t>
        </w:r>
      </w:hyperlink>
      <w:r>
        <w:t>). Naqueles dias, os sacerdotes reverenciavam o Senhor e afastavam muitos do pecado (</w:t>
      </w:r>
      <w:hyperlink r:id="rId13603">
        <w:r>
          <w:rPr>
            <w:color w:val="0000EE"/>
            <w:u w:val="single"/>
          </w:rPr>
          <w:t>Ml 2.6</w:t>
        </w:r>
      </w:hyperlink>
      <w:r>
        <w:t>).</w:t>
      </w:r>
    </w:p>
    <w:p>
      <w:r/>
      <w:r>
        <w:t xml:space="preserve">Outra responsabilidade dos sacerdotes era ensinar à nação a lei transmitida por Moisés (cf. </w:t>
      </w:r>
      <w:hyperlink r:id="rId12765">
        <w:r>
          <w:rPr>
            <w:color w:val="0000EE"/>
            <w:u w:val="single"/>
          </w:rPr>
          <w:t>Lv 10.11</w:t>
        </w:r>
      </w:hyperlink>
      <w:r>
        <w:t>). Como profetas, eles eram mensageiros do Senhor (</w:t>
      </w:r>
      <w:hyperlink r:id="rId13604">
        <w:r>
          <w:rPr>
            <w:color w:val="0000EE"/>
            <w:u w:val="single"/>
          </w:rPr>
          <w:t>Ml 2.7</w:t>
        </w:r>
      </w:hyperlink>
      <w:r>
        <w:t>) que deveriam andar perto do Senhor, mas agora os sacerdotes desconsideravam a lei e eram desonestos ao proferir decisões judiciais (</w:t>
      </w:r>
      <w:hyperlink r:id="rId13605">
        <w:r>
          <w:rPr>
            <w:color w:val="0000EE"/>
            <w:u w:val="single"/>
          </w:rPr>
          <w:t>Ml 2.9</w:t>
        </w:r>
      </w:hyperlink>
      <w:r>
        <w:t xml:space="preserve">; cf. </w:t>
      </w:r>
      <w:hyperlink r:id="rId13606">
        <w:r>
          <w:rPr>
            <w:color w:val="0000EE"/>
            <w:u w:val="single"/>
          </w:rPr>
          <w:t>Lv 19.15</w:t>
        </w:r>
      </w:hyperlink>
      <w:r>
        <w:t>).</w:t>
      </w:r>
    </w:p>
    <w:p>
      <w:pPr>
        <w:pStyle w:val="Heading4"/>
      </w:pPr>
      <w:r>
        <w:t>A infidelidade do povo (2.10–16)</w:t>
      </w:r>
    </w:p>
    <w:p>
      <w:r/>
      <w:r>
        <w:t xml:space="preserve">À luz da atitude dos sacerdotes, não é surpreendente descobrir que as pessoas em geral eram infiéis ao Senhor. Deus havia formado Israel para ser seu povo especial, mas o povo havia sido desleal com ele. Um fator importante em sua infidelidade era o casamento com os estrangeiros, um pecado mencionado em </w:t>
      </w:r>
      <w:hyperlink r:id="rId13607">
        <w:r>
          <w:rPr>
            <w:color w:val="0000EE"/>
            <w:u w:val="single"/>
          </w:rPr>
          <w:t>Esdras 9.1–2</w:t>
        </w:r>
      </w:hyperlink>
      <w:r>
        <w:t xml:space="preserve"> e </w:t>
      </w:r>
      <w:hyperlink r:id="rId13608">
        <w:r>
          <w:rPr>
            <w:color w:val="0000EE"/>
            <w:u w:val="single"/>
          </w:rPr>
          <w:t>Neemias 13.23–29</w:t>
        </w:r>
      </w:hyperlink>
      <w:r>
        <w:t xml:space="preserve">. Ao se casar com mulheres pagãs, os homens de Israel invariavelmente começaram a adorar deuses pagãos e se afastar do Senhor. Quando tais casamentos interligados ocorriam, às vezes eram seguidos do divórcio com a esposa israelita. Em </w:t>
      </w:r>
      <w:hyperlink r:id="rId13609">
        <w:r>
          <w:rPr>
            <w:color w:val="0000EE"/>
            <w:u w:val="single"/>
          </w:rPr>
          <w:t>Malaquias 2.14–15</w:t>
        </w:r>
      </w:hyperlink>
      <w:r>
        <w:t>, Deus ressalta o compromisso sagrado que ele próprio testemunha quando duas pessoas se casam. Se essa aliança de casamento for quebrada pelo divórcio, Deus é profundamente ofendido. E é ainda mais trágico se o divórcio se tornar um pretexto para se casar com outra pessoa do povo ou um estrangeiro mais atraente.</w:t>
      </w:r>
    </w:p>
    <w:p>
      <w:pPr>
        <w:pStyle w:val="Heading4"/>
      </w:pPr>
      <w:r>
        <w:t>A Vinda do Mensageiro da Aliança (2.17–3.5)</w:t>
      </w:r>
    </w:p>
    <w:p>
      <w:r/>
      <w:r>
        <w:t>Os pecados dos sacerdotes e das pessoas não passaram despercebidos, mesmo que a nação duvidasse que Deus tomaria medidas (</w:t>
      </w:r>
      <w:hyperlink r:id="rId13584">
        <w:r>
          <w:rPr>
            <w:color w:val="0000EE"/>
            <w:u w:val="single"/>
          </w:rPr>
          <w:t>2.17</w:t>
        </w:r>
      </w:hyperlink>
      <w:r>
        <w:t xml:space="preserve">). Mas o terceiro capítulo inicia com o anúncio de que o mensageiro da aliança de fato virá para seu templo. Seu caminho será preparado por outro mensageiro — uma profecia de João Batista, que preparou o caminho para o ministério de Cristo (cf. </w:t>
      </w:r>
      <w:hyperlink r:id="rId13610">
        <w:r>
          <w:rPr>
            <w:color w:val="0000EE"/>
            <w:u w:val="single"/>
          </w:rPr>
          <w:t>Mt 11.10</w:t>
        </w:r>
      </w:hyperlink>
      <w:r>
        <w:t xml:space="preserve">; </w:t>
      </w:r>
      <w:hyperlink r:id="rId3580">
        <w:r>
          <w:rPr>
            <w:color w:val="0000EE"/>
            <w:u w:val="single"/>
          </w:rPr>
          <w:t>Mc 1.2–3</w:t>
        </w:r>
      </w:hyperlink>
      <w:r>
        <w:t xml:space="preserve">). Quando Cristo veio, ele revelou sua ira quando purificou o templo (cf. </w:t>
      </w:r>
      <w:hyperlink r:id="rId13611">
        <w:r>
          <w:rPr>
            <w:color w:val="0000EE"/>
            <w:u w:val="single"/>
          </w:rPr>
          <w:t>Jo 2.13–17</w:t>
        </w:r>
      </w:hyperlink>
      <w:r>
        <w:t xml:space="preserve">) e denunciou os escribas e fariseus (cf. </w:t>
      </w:r>
      <w:hyperlink r:id="rId13612">
        <w:r>
          <w:rPr>
            <w:color w:val="0000EE"/>
            <w:u w:val="single"/>
          </w:rPr>
          <w:t>9.39</w:t>
        </w:r>
      </w:hyperlink>
      <w:r>
        <w:t xml:space="preserve">), mas a maior parte de seu trabalho de purificação e aperfeiçoamento aguarda a Segunda Vinda. Um dia, os sacerdotes e levitas trarão sacrifícios aceitáveis, como fizeram nos dias de Moisés e Fineias (cf. </w:t>
      </w:r>
      <w:hyperlink r:id="rId13613">
        <w:r>
          <w:rPr>
            <w:color w:val="0000EE"/>
            <w:u w:val="single"/>
          </w:rPr>
          <w:t>Ml 3.3–4</w:t>
        </w:r>
      </w:hyperlink>
      <w:r>
        <w:t xml:space="preserve"> e </w:t>
      </w:r>
      <w:hyperlink r:id="rId13614">
        <w:r>
          <w:rPr>
            <w:color w:val="0000EE"/>
            <w:u w:val="single"/>
          </w:rPr>
          <w:t>2.4–5</w:t>
        </w:r>
      </w:hyperlink>
      <w:r>
        <w:t xml:space="preserve">). O verso </w:t>
      </w:r>
      <w:hyperlink r:id="rId450">
        <w:r>
          <w:rPr>
            <w:color w:val="0000EE"/>
            <w:u w:val="single"/>
          </w:rPr>
          <w:t>5 do capítulo 3</w:t>
        </w:r>
      </w:hyperlink>
      <w:r>
        <w:t xml:space="preserve"> amplia o escopo do julgamento para incluir toda a nação, pois feiticeiros, adúlteros e aqueles que oprimem os pobres são condenados.</w:t>
      </w:r>
    </w:p>
    <w:p>
      <w:pPr>
        <w:pStyle w:val="Heading4"/>
      </w:pPr>
      <w:r>
        <w:t>Os benefícios do Dízimo Fiel (3.6–12)</w:t>
      </w:r>
    </w:p>
    <w:p>
      <w:r/>
      <w:r>
        <w:t xml:space="preserve">Outra fraqueza específica de Judá pós-exílica era o fracasso do povo em trazer seus dízimos ao Senhor. Encorajada por Neemias, a nação prometeu dizimar fielmente (cf. </w:t>
      </w:r>
      <w:hyperlink r:id="rId13615">
        <w:r>
          <w:rPr>
            <w:color w:val="0000EE"/>
            <w:u w:val="single"/>
          </w:rPr>
          <w:t>Ne 10.37–39</w:t>
        </w:r>
      </w:hyperlink>
      <w:r>
        <w:t xml:space="preserve">), mas aparentemente suas boas intenções duraram pouco (cf. </w:t>
      </w:r>
      <w:hyperlink r:id="rId13616">
        <w:r>
          <w:rPr>
            <w:color w:val="0000EE"/>
            <w:u w:val="single"/>
          </w:rPr>
          <w:t>13.10–11</w:t>
        </w:r>
      </w:hyperlink>
      <w:r>
        <w:t xml:space="preserve">). De acordo com </w:t>
      </w:r>
      <w:hyperlink r:id="rId13617">
        <w:r>
          <w:rPr>
            <w:color w:val="0000EE"/>
            <w:u w:val="single"/>
          </w:rPr>
          <w:t>Malaquias 3.8–9</w:t>
        </w:r>
      </w:hyperlink>
      <w:r>
        <w:t xml:space="preserve">, os dízimos da nação estavam tão precários que, na prática, o povo estava roubando a Deus e, portanto, sob uma maldição. Nos versos </w:t>
      </w:r>
      <w:hyperlink r:id="rId13618">
        <w:r>
          <w:rPr>
            <w:color w:val="0000EE"/>
            <w:u w:val="single"/>
          </w:rPr>
          <w:t>10–12</w:t>
        </w:r>
      </w:hyperlink>
      <w:r>
        <w:t xml:space="preserve"> Malaquias desafia a nação a trazer seus dízimos, então Deus derramaria sua bênção sobre eles. Assim como a abertura das “janelas no céu” significava o fim de uma época de fome em </w:t>
      </w:r>
      <w:hyperlink r:id="rId13619">
        <w:r>
          <w:rPr>
            <w:color w:val="0000EE"/>
            <w:u w:val="single"/>
          </w:rPr>
          <w:t>2Rs 7.2, 19</w:t>
        </w:r>
      </w:hyperlink>
      <w:r>
        <w:t xml:space="preserve">, assim Deus promete que suas colheitas serão tão abundantes que elas ficarão sem espaço de armazenamento. A esperança de “bênção” em </w:t>
      </w:r>
      <w:hyperlink r:id="rId13620">
        <w:r>
          <w:rPr>
            <w:color w:val="0000EE"/>
            <w:u w:val="single"/>
          </w:rPr>
          <w:t>Malaquias 3.10</w:t>
        </w:r>
      </w:hyperlink>
      <w:r>
        <w:t xml:space="preserve"> e </w:t>
      </w:r>
      <w:hyperlink r:id="rId13621">
        <w:r>
          <w:rPr>
            <w:color w:val="0000EE"/>
            <w:u w:val="single"/>
          </w:rPr>
          <w:t>12</w:t>
        </w:r>
      </w:hyperlink>
      <w:r>
        <w:t xml:space="preserve"> fornece um alívio bem-vindo das maldições mencionadas em </w:t>
      </w:r>
      <w:hyperlink r:id="rId13587">
        <w:r>
          <w:rPr>
            <w:color w:val="0000EE"/>
            <w:u w:val="single"/>
          </w:rPr>
          <w:t>1.14</w:t>
        </w:r>
      </w:hyperlink>
      <w:r>
        <w:t xml:space="preserve">, </w:t>
      </w:r>
      <w:hyperlink r:id="rId13600">
        <w:r>
          <w:rPr>
            <w:color w:val="0000EE"/>
            <w:u w:val="single"/>
          </w:rPr>
          <w:t>2.2</w:t>
        </w:r>
      </w:hyperlink>
      <w:r>
        <w:t xml:space="preserve">, </w:t>
      </w:r>
      <w:hyperlink r:id="rId13622">
        <w:r>
          <w:rPr>
            <w:color w:val="0000EE"/>
            <w:u w:val="single"/>
          </w:rPr>
          <w:t>3.9</w:t>
        </w:r>
      </w:hyperlink>
      <w:r>
        <w:t xml:space="preserve"> e </w:t>
      </w:r>
      <w:hyperlink r:id="rId13623">
        <w:r>
          <w:rPr>
            <w:color w:val="0000EE"/>
            <w:u w:val="single"/>
          </w:rPr>
          <w:t>4.6</w:t>
        </w:r>
      </w:hyperlink>
      <w:r>
        <w:t>.</w:t>
      </w:r>
    </w:p>
    <w:p>
      <w:pPr>
        <w:pStyle w:val="Heading4"/>
      </w:pPr>
      <w:r>
        <w:t>O Dia do Senhor (3.13–4.6)</w:t>
      </w:r>
    </w:p>
    <w:p>
      <w:r/>
      <w:r>
        <w:t xml:space="preserve">Confrontado com o desafio de </w:t>
      </w:r>
      <w:hyperlink r:id="rId13618">
        <w:r>
          <w:rPr>
            <w:color w:val="0000EE"/>
            <w:u w:val="single"/>
          </w:rPr>
          <w:t>Malaquias 3.10–12</w:t>
        </w:r>
      </w:hyperlink>
      <w:r>
        <w:t>, o povo de Israel respondeu de duas maneiras diferentes. Um grupo negou que servir a Deus trazia qualquer benefício (</w:t>
      </w:r>
      <w:hyperlink r:id="rId13624">
        <w:r>
          <w:rPr>
            <w:color w:val="0000EE"/>
            <w:u w:val="single"/>
          </w:rPr>
          <w:t>3.13–15</w:t>
        </w:r>
      </w:hyperlink>
      <w:r>
        <w:t xml:space="preserve">), enquanto outro segmento da nação se inclinou diante dele com profunda reverência (vv. </w:t>
      </w:r>
      <w:hyperlink r:id="rId13625">
        <w:r>
          <w:rPr>
            <w:color w:val="0000EE"/>
            <w:u w:val="single"/>
          </w:rPr>
          <w:t>16–18</w:t>
        </w:r>
      </w:hyperlink>
      <w:r>
        <w:t>). Os incrédulos argumentaram que obedecer ao Senhor era inútil e as pessoas arrogantes e malignas eram as que prosperavam. Em resposta à sua acusação, Malaquias observou que Deus se lembraria quem eram os justos no Dia do Juízo. Embora todo Israel tenha sido incluído na promessa feita a Abraão, apenas aqueles que genuinamente creram seriam o bem precioso de Deus (</w:t>
      </w:r>
      <w:hyperlink r:id="rId13626">
        <w:r>
          <w:rPr>
            <w:color w:val="0000EE"/>
            <w:u w:val="single"/>
          </w:rPr>
          <w:t>3.17</w:t>
        </w:r>
      </w:hyperlink>
      <w:r>
        <w:t xml:space="preserve">; cf. </w:t>
      </w:r>
      <w:hyperlink r:id="rId10585">
        <w:r>
          <w:rPr>
            <w:color w:val="0000EE"/>
            <w:u w:val="single"/>
          </w:rPr>
          <w:t>Êx 19.5</w:t>
        </w:r>
      </w:hyperlink>
      <w:r>
        <w:t xml:space="preserve">), com seus nomes escritos no Livro da Vida (cf. </w:t>
      </w:r>
      <w:hyperlink r:id="rId13074">
        <w:r>
          <w:rPr>
            <w:color w:val="0000EE"/>
            <w:u w:val="single"/>
          </w:rPr>
          <w:t>Ml 3.16</w:t>
        </w:r>
      </w:hyperlink>
      <w:r>
        <w:t>). Quanto aos arrogantes e malfeitores, o Dia do Senhor os consumirá e eles não terão sobreviventes (</w:t>
      </w:r>
      <w:hyperlink r:id="rId3226">
        <w:r>
          <w:rPr>
            <w:color w:val="0000EE"/>
            <w:u w:val="single"/>
          </w:rPr>
          <w:t>4.1</w:t>
        </w:r>
      </w:hyperlink>
      <w:r>
        <w:t xml:space="preserve">). Aqueles que reverenciam o Senhor desfrutarão de saúde espiritual e física sob a bênção e proteção de Deus, chamado de “sol da justiça” (v. </w:t>
      </w:r>
      <w:hyperlink r:id="rId1547">
        <w:r>
          <w:rPr>
            <w:color w:val="0000EE"/>
            <w:u w:val="single"/>
          </w:rPr>
          <w:t>2</w:t>
        </w:r>
      </w:hyperlink>
      <w:r>
        <w:t xml:space="preserve">). Como bezerros que acabaram de ser libertos do confinamento, os justos pisarão nos ímpios e triunfarão sobre eles (v. </w:t>
      </w:r>
      <w:hyperlink r:id="rId13627">
        <w:r>
          <w:rPr>
            <w:color w:val="0000EE"/>
            <w:u w:val="single"/>
          </w:rPr>
          <w:t>3</w:t>
        </w:r>
      </w:hyperlink>
      <w:r>
        <w:t>).</w:t>
      </w:r>
    </w:p>
    <w:p>
      <w:r/>
      <w:r>
        <w:t>Tendo em vista o julgamento associado ao Dia do Senhor, Malaquias exortou o povo a se arrepender. Para fazer isso, eles precisavam atender à lei de Moisés e levar a sério os decretos e mandamentos dados no Monte Sinai (</w:t>
      </w:r>
      <w:hyperlink r:id="rId13084">
        <w:r>
          <w:rPr>
            <w:color w:val="0000EE"/>
            <w:u w:val="single"/>
          </w:rPr>
          <w:t>4.4</w:t>
        </w:r>
      </w:hyperlink>
      <w:r>
        <w:t xml:space="preserve">; cf. </w:t>
      </w:r>
      <w:hyperlink r:id="rId13628">
        <w:r>
          <w:rPr>
            <w:color w:val="0000EE"/>
            <w:u w:val="single"/>
          </w:rPr>
          <w:t>3.7</w:t>
        </w:r>
      </w:hyperlink>
      <w:r>
        <w:t xml:space="preserve">). Assim como Elias chamou Israel para se voltar para Deus, um novo “Elias” pregará o arrependimento a uma nação rebelde. Quando João Batista preparou o caminho para Cristo (cf. </w:t>
      </w:r>
      <w:hyperlink r:id="rId3582">
        <w:r>
          <w:rPr>
            <w:color w:val="0000EE"/>
            <w:u w:val="single"/>
          </w:rPr>
          <w:t>Ml 3.1</w:t>
        </w:r>
      </w:hyperlink>
      <w:r>
        <w:t>), ele ministrou “no espírito e poder de Elias” e implorou aos judeus que se convertessem de seu pecado e se humilhassem diante de Deus (</w:t>
      </w:r>
      <w:hyperlink r:id="rId7908">
        <w:r>
          <w:rPr>
            <w:color w:val="0000EE"/>
            <w:u w:val="single"/>
          </w:rPr>
          <w:t>Lc 1.17</w:t>
        </w:r>
      </w:hyperlink>
      <w:r>
        <w:t xml:space="preserve">). Se eles se recusassem a ouvir, a nação enfrentaria a perspectiva de destruição, a maldição colocada sobre o povo de Canaã (cf. </w:t>
      </w:r>
      <w:hyperlink r:id="rId13629">
        <w:r>
          <w:rPr>
            <w:color w:val="0000EE"/>
            <w:u w:val="single"/>
          </w:rPr>
          <w:t>Js 6.17–19</w:t>
        </w:r>
      </w:hyperlink>
      <w:r>
        <w:t xml:space="preserve">) e sobre a nação de Edom, cujo colapso foi descrito em </w:t>
      </w:r>
      <w:hyperlink r:id="rId13630">
        <w:r>
          <w:rPr>
            <w:color w:val="0000EE"/>
            <w:u w:val="single"/>
          </w:rPr>
          <w:t>Malaquias 1.2–5</w:t>
        </w:r>
      </w:hyperlink>
      <w:r>
        <w:t>.</w:t>
      </w:r>
    </w:p>
    <w:p>
      <w:r/>
      <w:r>
        <w:rPr>
          <w:i/>
        </w:rPr>
        <w:t>Veja também</w:t>
      </w:r>
      <w:r>
        <w:t xml:space="preserve"> </w:t>
      </w:r>
      <w:r>
        <w:t>Israel, História de</w:t>
      </w:r>
      <w:r>
        <w:t xml:space="preserve">; </w:t>
      </w:r>
      <w:r>
        <w:t>Período Pós-exílico</w:t>
      </w:r>
      <w:r>
        <w:t xml:space="preserve">; </w:t>
      </w:r>
      <w:r>
        <w:t>Profecia</w:t>
      </w:r>
      <w:r>
        <w:t xml:space="preserve">; </w:t>
      </w:r>
      <w:r>
        <w:t>Profeta, Profetisa</w:t>
      </w:r>
      <w:r>
        <w:t>.</w:t>
      </w:r>
      <w:r/>
      <w:r/>
    </w:p>
    <w:p>
      <w:r/>
    </w:p>
    <w:p>
      <w:pPr>
        <w:pStyle w:val="Heading2"/>
      </w:pPr>
      <w:r>
        <w:t>Maldição, amaldiçoado</w:t>
      </w:r>
      <w:r/>
    </w:p>
    <w:p>
      <w:r/>
      <w:r>
        <w:t>Invocação de mal ou dano contra os inimigos. Como praticado nos tempos bíblicos, amaldiçoar era o oposto de abençoar e não deve ser confundido com profanidade no sentido moderno.</w:t>
      </w:r>
    </w:p>
    <w:p>
      <w:pPr>
        <w:pStyle w:val="Heading3"/>
      </w:pPr>
      <w:r>
        <w:t>Crenças pagãs</w:t>
      </w:r>
    </w:p>
    <w:p>
      <w:r/>
      <w:r>
        <w:t>Maldições e bênçãos estavam ligadas à antiga crença pagã de que os espíritos dos “deuses” podiam ser invocados para agir em nome de uma pessoa que repetisse certos encantamentos ou realizasse certas ações (como sacrifícios). Acreditava-se que uma maldição falada possuía um poder oculto para causar calamidade aos inimigos de alguém. Em algumas culturas pagãs, maldições eram escritas em jarros de barro que eram então quebrados, simbolicamente iniciando ou efetivando a maldição pretendida.</w:t>
      </w:r>
    </w:p>
    <w:p>
      <w:r/>
      <w:r>
        <w:t>Os túmulos eram protegidos contra possíveis profanadores por meio de maldições. As inscrições reais eram protegidas por maldições dirigidas a qualquer pessoa que pudesse alterar, destruir ou desafiar o decreto escrito (</w:t>
      </w:r>
      <w:hyperlink r:id="rId7266">
        <w:r>
          <w:rPr>
            <w:color w:val="0000EE"/>
            <w:u w:val="single"/>
          </w:rPr>
          <w:t>Esdras 6.11–12</w:t>
        </w:r>
      </w:hyperlink>
      <w:r>
        <w:t>).</w:t>
      </w:r>
    </w:p>
    <w:p>
      <w:pPr>
        <w:pStyle w:val="Heading3"/>
      </w:pPr>
      <w:r>
        <w:t>Maldições nos tempos do Antigo Testamento</w:t>
      </w:r>
    </w:p>
    <w:p>
      <w:r/>
      <w:r>
        <w:t>Entre os hebreus, uma maldição, válida apenas dentro de um quadro de aliança supervisionado por Deus, era proferida por causa da justiça. No AT, a maldição era parte integrante de um relacionamento de aliança — entre Deus e a comunidade, entre Deus e um indivíduo, ou entre membros da comunidade. Quebrar os termos de uma aliança era merecer a maldição ou maldições da aliança. Uma maldição invocada sob outras condições era impotente. “Como o pardal no seu vaguear, como a andorinha no seu voo, assim a maldição sem causa não encontra pouso” (</w:t>
      </w:r>
      <w:hyperlink r:id="rId13631">
        <w:r>
          <w:rPr>
            <w:color w:val="0000EE"/>
            <w:u w:val="single"/>
          </w:rPr>
          <w:t>Provérbios 26.2</w:t>
        </w:r>
      </w:hyperlink>
      <w:r>
        <w:t>). Uma maldição poderia ser retirada pronunciando uma bênção (</w:t>
      </w:r>
      <w:hyperlink r:id="rId13632">
        <w:r>
          <w:rPr>
            <w:color w:val="0000EE"/>
            <w:u w:val="single"/>
          </w:rPr>
          <w:t>Êxodo 12.32</w:t>
        </w:r>
      </w:hyperlink>
      <w:r>
        <w:t xml:space="preserve">; </w:t>
      </w:r>
      <w:hyperlink r:id="rId13633">
        <w:r>
          <w:rPr>
            <w:color w:val="0000EE"/>
            <w:u w:val="single"/>
          </w:rPr>
          <w:t>Juízes 17.1–2</w:t>
        </w:r>
      </w:hyperlink>
      <w:r>
        <w:t xml:space="preserve">; </w:t>
      </w:r>
      <w:hyperlink r:id="rId13634">
        <w:r>
          <w:rPr>
            <w:color w:val="0000EE"/>
            <w:u w:val="single"/>
          </w:rPr>
          <w:t>2 Samuel 21.1–3</w:t>
        </w:r>
      </w:hyperlink>
      <w:r>
        <w:t>).</w:t>
      </w:r>
    </w:p>
    <w:p>
      <w:r/>
      <w:r>
        <w:t>A lei mosaica proibia amaldiçoar os pais (</w:t>
      </w:r>
      <w:hyperlink r:id="rId7228">
        <w:r>
          <w:rPr>
            <w:color w:val="0000EE"/>
            <w:u w:val="single"/>
          </w:rPr>
          <w:t>Êxodo 21.17</w:t>
        </w:r>
      </w:hyperlink>
      <w:r>
        <w:t xml:space="preserve">; cf. </w:t>
      </w:r>
      <w:hyperlink r:id="rId7231">
        <w:r>
          <w:rPr>
            <w:color w:val="0000EE"/>
            <w:u w:val="single"/>
          </w:rPr>
          <w:t>Provérbios 20.20</w:t>
        </w:r>
      </w:hyperlink>
      <w:r>
        <w:t xml:space="preserve">; </w:t>
      </w:r>
      <w:hyperlink r:id="rId13635">
        <w:r>
          <w:rPr>
            <w:color w:val="0000EE"/>
            <w:u w:val="single"/>
          </w:rPr>
          <w:t>Mateus 15.4</w:t>
        </w:r>
      </w:hyperlink>
      <w:r>
        <w:t>), o governante (</w:t>
      </w:r>
      <w:hyperlink r:id="rId13636">
        <w:r>
          <w:rPr>
            <w:color w:val="0000EE"/>
            <w:u w:val="single"/>
          </w:rPr>
          <w:t>Êxodo 22.28</w:t>
        </w:r>
      </w:hyperlink>
      <w:r>
        <w:t>) e o surdo (</w:t>
      </w:r>
      <w:hyperlink r:id="rId4638">
        <w:r>
          <w:rPr>
            <w:color w:val="0000EE"/>
            <w:u w:val="single"/>
          </w:rPr>
          <w:t>Levíticos 19.14</w:t>
        </w:r>
      </w:hyperlink>
      <w:r>
        <w:t>). Um homem que suspeitasse da infidelidade de sua esposa poderia exigir que ela se submetesse a um teste administrado pelo sacerdote que resultaria em uma maldição sobre ela se fosse culpada (</w:t>
      </w:r>
      <w:hyperlink r:id="rId15">
        <w:r>
          <w:rPr>
            <w:color w:val="0000EE"/>
            <w:u w:val="single"/>
          </w:rPr>
          <w:t>Números 5.11–31</w:t>
        </w:r>
      </w:hyperlink>
      <w:r>
        <w:t>). Indivíduos poderiam pronunciar uma maldição sobre si mesmos para mostrar a veracidade de suas afirmações ou promessas (</w:t>
      </w:r>
      <w:hyperlink r:id="rId21">
        <w:r>
          <w:rPr>
            <w:color w:val="0000EE"/>
            <w:u w:val="single"/>
          </w:rPr>
          <w:t>Números 5.19–22</w:t>
        </w:r>
      </w:hyperlink>
      <w:r>
        <w:t xml:space="preserve">; </w:t>
      </w:r>
      <w:hyperlink r:id="rId13637">
        <w:r>
          <w:rPr>
            <w:color w:val="0000EE"/>
            <w:u w:val="single"/>
          </w:rPr>
          <w:t>Jó 31.7–10,16–22</w:t>
        </w:r>
      </w:hyperlink>
      <w:r>
        <w:t xml:space="preserve">; </w:t>
      </w:r>
      <w:hyperlink r:id="rId13638">
        <w:r>
          <w:rPr>
            <w:color w:val="0000EE"/>
            <w:u w:val="single"/>
          </w:rPr>
          <w:t>Salmo 137.5–6</w:t>
        </w:r>
      </w:hyperlink>
      <w:r>
        <w:t>). No NT, o Apóstolo Pedro seguiu a prática do AT quando usou uma maldição para negar que conhecia Jesus (</w:t>
      </w:r>
      <w:hyperlink r:id="rId13639">
        <w:r>
          <w:rPr>
            <w:color w:val="0000EE"/>
            <w:u w:val="single"/>
          </w:rPr>
          <w:t>Marcos 14.71</w:t>
        </w:r>
      </w:hyperlink>
      <w:r>
        <w:t>). Certos homens que desejavam matar o apóstolo Paulo provaram sua sinceridade por meio de tal maldição solene (</w:t>
      </w:r>
      <w:hyperlink r:id="rId13640">
        <w:r>
          <w:rPr>
            <w:color w:val="0000EE"/>
            <w:u w:val="single"/>
          </w:rPr>
          <w:t>Atos 23.12,14,21</w:t>
        </w:r>
      </w:hyperlink>
      <w:r>
        <w:t>). Amaldiçoar Deus era punível com a morte (</w:t>
      </w:r>
      <w:hyperlink r:id="rId3798">
        <w:r>
          <w:rPr>
            <w:color w:val="0000EE"/>
            <w:u w:val="single"/>
          </w:rPr>
          <w:t>Levíticos 24.10–16</w:t>
        </w:r>
      </w:hyperlink>
      <w:r>
        <w:t xml:space="preserve">; cf. </w:t>
      </w:r>
      <w:hyperlink r:id="rId13636">
        <w:r>
          <w:rPr>
            <w:color w:val="0000EE"/>
            <w:u w:val="single"/>
          </w:rPr>
          <w:t>Êxodo 22.28</w:t>
        </w:r>
      </w:hyperlink>
      <w:r>
        <w:t xml:space="preserve">; </w:t>
      </w:r>
      <w:hyperlink r:id="rId11259">
        <w:r>
          <w:rPr>
            <w:color w:val="0000EE"/>
            <w:u w:val="single"/>
          </w:rPr>
          <w:t>Isaías 8.21–22</w:t>
        </w:r>
      </w:hyperlink>
      <w:r>
        <w:t>).</w:t>
      </w:r>
    </w:p>
    <w:p>
      <w:r/>
      <w:r>
        <w:t>Maldições na história bíblica incluem a maldição de Deus sobre a serpente, Adão e Eva (</w:t>
      </w:r>
      <w:hyperlink r:id="rId303">
        <w:r>
          <w:rPr>
            <w:color w:val="0000EE"/>
            <w:u w:val="single"/>
          </w:rPr>
          <w:t>Gênesis 3.14–19</w:t>
        </w:r>
      </w:hyperlink>
      <w:r>
        <w:t>); sobre Caim (</w:t>
      </w:r>
      <w:hyperlink r:id="rId13641">
        <w:r>
          <w:rPr>
            <w:color w:val="0000EE"/>
            <w:u w:val="single"/>
          </w:rPr>
          <w:t>4.11–12</w:t>
        </w:r>
      </w:hyperlink>
      <w:r>
        <w:t>); sobre aqueles que poderiam amaldiçoar o patriarca Abraão e seus descendentes (</w:t>
      </w:r>
      <w:hyperlink r:id="rId799">
        <w:r>
          <w:rPr>
            <w:color w:val="0000EE"/>
            <w:u w:val="single"/>
          </w:rPr>
          <w:t>12.3</w:t>
        </w:r>
      </w:hyperlink>
      <w:r>
        <w:t>); e sobre aqueles que colocam sua confiança na força humana em vez de no Senhor (</w:t>
      </w:r>
      <w:hyperlink r:id="rId4274">
        <w:r>
          <w:rPr>
            <w:color w:val="0000EE"/>
            <w:u w:val="single"/>
          </w:rPr>
          <w:t>Jeremias 17.5</w:t>
        </w:r>
      </w:hyperlink>
      <w:r>
        <w:t>). Quando o povo de Israel passou por Moabe a caminho da Terra Prometida, o rei de Moabe, Balaque, contratou Balaão para amaldiçoar os israelitas; ele e Balaão aprenderam, no entanto, que não podiam amaldiçoar aqueles a quem Deus havia abençoado (</w:t>
      </w:r>
      <w:hyperlink r:id="rId1122">
        <w:r>
          <w:rPr>
            <w:color w:val="0000EE"/>
            <w:u w:val="single"/>
          </w:rPr>
          <w:t>Números 22–24</w:t>
        </w:r>
      </w:hyperlink>
      <w:r>
        <w:t>). Josué amaldiçoou qualquer um que tentasse reconstruir Jericó (</w:t>
      </w:r>
      <w:hyperlink r:id="rId104">
        <w:r>
          <w:rPr>
            <w:color w:val="0000EE"/>
            <w:u w:val="single"/>
          </w:rPr>
          <w:t>Josué 6.26</w:t>
        </w:r>
      </w:hyperlink>
      <w:r>
        <w:t xml:space="preserve">; cumprido em </w:t>
      </w:r>
      <w:hyperlink r:id="rId103">
        <w:r>
          <w:rPr>
            <w:color w:val="0000EE"/>
            <w:u w:val="single"/>
          </w:rPr>
          <w:t>1 Reis 16.34</w:t>
        </w:r>
      </w:hyperlink>
      <w:r>
        <w:t>). O rei Saul fez uma maldição que quase custou a vida de seu filho Jônatas (</w:t>
      </w:r>
      <w:hyperlink r:id="rId13642">
        <w:r>
          <w:rPr>
            <w:color w:val="0000EE"/>
            <w:u w:val="single"/>
          </w:rPr>
          <w:t>1 Samuel 14.24,43–45</w:t>
        </w:r>
      </w:hyperlink>
      <w:r>
        <w:t xml:space="preserve">). Muitas outras maldições são mencionadas no AT (veja, por exemplo, </w:t>
      </w:r>
      <w:hyperlink r:id="rId13643">
        <w:r>
          <w:rPr>
            <w:color w:val="0000EE"/>
            <w:u w:val="single"/>
          </w:rPr>
          <w:t>Gênesis 9.25</w:t>
        </w:r>
      </w:hyperlink>
      <w:r>
        <w:t xml:space="preserve">; </w:t>
      </w:r>
      <w:hyperlink r:id="rId7179">
        <w:r>
          <w:rPr>
            <w:color w:val="0000EE"/>
            <w:u w:val="single"/>
          </w:rPr>
          <w:t>49.5–7</w:t>
        </w:r>
      </w:hyperlink>
      <w:r>
        <w:t xml:space="preserve">; </w:t>
      </w:r>
      <w:hyperlink r:id="rId13644">
        <w:r>
          <w:rPr>
            <w:color w:val="0000EE"/>
            <w:u w:val="single"/>
          </w:rPr>
          <w:t>Josué 9.22–23</w:t>
        </w:r>
      </w:hyperlink>
      <w:r>
        <w:t xml:space="preserve">; </w:t>
      </w:r>
      <w:hyperlink r:id="rId13645">
        <w:r>
          <w:rPr>
            <w:color w:val="0000EE"/>
            <w:u w:val="single"/>
          </w:rPr>
          <w:t>Juízes 9.7–21,57</w:t>
        </w:r>
      </w:hyperlink>
      <w:r>
        <w:t xml:space="preserve">; </w:t>
      </w:r>
      <w:hyperlink r:id="rId13646">
        <w:r>
          <w:rPr>
            <w:color w:val="0000EE"/>
            <w:u w:val="single"/>
          </w:rPr>
          <w:t>2 Samuel 16.5–13</w:t>
        </w:r>
      </w:hyperlink>
      <w:r>
        <w:t xml:space="preserve">; </w:t>
      </w:r>
      <w:hyperlink r:id="rId234">
        <w:r>
          <w:rPr>
            <w:color w:val="0000EE"/>
            <w:u w:val="single"/>
          </w:rPr>
          <w:t>1 Reis 21.17–24</w:t>
        </w:r>
      </w:hyperlink>
      <w:r>
        <w:t xml:space="preserve">; </w:t>
      </w:r>
      <w:hyperlink r:id="rId1486">
        <w:r>
          <w:rPr>
            <w:color w:val="0000EE"/>
            <w:u w:val="single"/>
          </w:rPr>
          <w:t>2 Reis 2.24</w:t>
        </w:r>
      </w:hyperlink>
      <w:r>
        <w:t xml:space="preserve">; </w:t>
      </w:r>
      <w:hyperlink r:id="rId13600">
        <w:r>
          <w:rPr>
            <w:color w:val="0000EE"/>
            <w:u w:val="single"/>
          </w:rPr>
          <w:t>Malaquias 2.2</w:t>
        </w:r>
      </w:hyperlink>
      <w:r>
        <w:t xml:space="preserve">; </w:t>
      </w:r>
      <w:hyperlink r:id="rId13623">
        <w:r>
          <w:rPr>
            <w:color w:val="0000EE"/>
            <w:u w:val="single"/>
          </w:rPr>
          <w:t>4.6</w:t>
        </w:r>
      </w:hyperlink>
      <w:r>
        <w:t>). A declaração de “ais” também é a linguagem de maldição (</w:t>
      </w:r>
      <w:hyperlink r:id="rId13647">
        <w:r>
          <w:rPr>
            <w:color w:val="0000EE"/>
            <w:u w:val="single"/>
          </w:rPr>
          <w:t>Isaías 5.8–23</w:t>
        </w:r>
      </w:hyperlink>
      <w:r>
        <w:t xml:space="preserve">; cf. </w:t>
      </w:r>
      <w:hyperlink r:id="rId13648">
        <w:r>
          <w:rPr>
            <w:color w:val="0000EE"/>
            <w:u w:val="single"/>
          </w:rPr>
          <w:t>Mateus 23.13–33</w:t>
        </w:r>
      </w:hyperlink>
      <w:r>
        <w:t>, onde “ai” e “desgraça” podem ser usados como sinônimos e podem ser tanto uma exclamação de tristeza quanto de desgraça e calamidade iminente).</w:t>
      </w:r>
    </w:p>
    <w:p>
      <w:r/>
      <w:r>
        <w:t xml:space="preserve">O </w:t>
      </w:r>
      <w:hyperlink r:id="rId13649">
        <w:r>
          <w:rPr>
            <w:color w:val="0000EE"/>
            <w:u w:val="single"/>
          </w:rPr>
          <w:t>Salmo 109</w:t>
        </w:r>
      </w:hyperlink>
      <w:r>
        <w:t xml:space="preserve"> contém uma longa imprecação contra os inimigos do salmista, evidentemente porque eles haviam falado algumas palavras contra ele falsamente (veja também </w:t>
      </w:r>
      <w:hyperlink r:id="rId13650">
        <w:r>
          <w:rPr>
            <w:color w:val="0000EE"/>
            <w:u w:val="single"/>
          </w:rPr>
          <w:t>Salmos 58.6–11</w:t>
        </w:r>
      </w:hyperlink>
      <w:r>
        <w:t xml:space="preserve">; </w:t>
      </w:r>
      <w:hyperlink r:id="rId13651">
        <w:r>
          <w:rPr>
            <w:color w:val="0000EE"/>
            <w:u w:val="single"/>
          </w:rPr>
          <w:t>69.19–28</w:t>
        </w:r>
      </w:hyperlink>
      <w:r>
        <w:t xml:space="preserve">; </w:t>
      </w:r>
      <w:hyperlink r:id="rId13652">
        <w:r>
          <w:rPr>
            <w:color w:val="0000EE"/>
            <w:u w:val="single"/>
          </w:rPr>
          <w:t>143.12</w:t>
        </w:r>
      </w:hyperlink>
      <w:r>
        <w:t>). O profeta Jeremias não hesitava em clamar a Deus para punir seus atormentadores (</w:t>
      </w:r>
      <w:hyperlink r:id="rId13653">
        <w:r>
          <w:rPr>
            <w:color w:val="0000EE"/>
            <w:u w:val="single"/>
          </w:rPr>
          <w:t>Jeremias 11.20</w:t>
        </w:r>
      </w:hyperlink>
      <w:r>
        <w:t xml:space="preserve">; </w:t>
      </w:r>
      <w:hyperlink r:id="rId13654">
        <w:r>
          <w:rPr>
            <w:color w:val="0000EE"/>
            <w:u w:val="single"/>
          </w:rPr>
          <w:t>12.3</w:t>
        </w:r>
      </w:hyperlink>
      <w:r>
        <w:t xml:space="preserve">; </w:t>
      </w:r>
      <w:hyperlink r:id="rId13299">
        <w:r>
          <w:rPr>
            <w:color w:val="0000EE"/>
            <w:u w:val="single"/>
          </w:rPr>
          <w:t>15.15</w:t>
        </w:r>
      </w:hyperlink>
      <w:r>
        <w:t xml:space="preserve">; </w:t>
      </w:r>
      <w:hyperlink r:id="rId13655">
        <w:r>
          <w:rPr>
            <w:color w:val="0000EE"/>
            <w:u w:val="single"/>
          </w:rPr>
          <w:t>17.18</w:t>
        </w:r>
      </w:hyperlink>
      <w:r>
        <w:t xml:space="preserve">; </w:t>
      </w:r>
      <w:hyperlink r:id="rId13656">
        <w:r>
          <w:rPr>
            <w:color w:val="0000EE"/>
            <w:u w:val="single"/>
          </w:rPr>
          <w:t>18.21–22</w:t>
        </w:r>
      </w:hyperlink>
      <w:r>
        <w:t xml:space="preserve">; </w:t>
      </w:r>
      <w:hyperlink r:id="rId13657">
        <w:r>
          <w:rPr>
            <w:color w:val="0000EE"/>
            <w:u w:val="single"/>
          </w:rPr>
          <w:t>20.11–12</w:t>
        </w:r>
      </w:hyperlink>
      <w:r>
        <w:t>) ou pedir a Deus que não os perdoasse (</w:t>
      </w:r>
      <w:hyperlink r:id="rId13658">
        <w:r>
          <w:rPr>
            <w:color w:val="0000EE"/>
            <w:u w:val="single"/>
          </w:rPr>
          <w:t>18.23</w:t>
        </w:r>
      </w:hyperlink>
      <w:r>
        <w:t>). Tais imprecações contra os inimigos são difíceis para os cristãos de hoje entenderem, pois contrastam fortemente com os mandamentos do NT de “abençoar aqueles que vos amaldiçoam” (</w:t>
      </w:r>
      <w:hyperlink r:id="rId13659">
        <w:r>
          <w:rPr>
            <w:color w:val="0000EE"/>
            <w:u w:val="single"/>
          </w:rPr>
          <w:t>Lucas 6.28</w:t>
        </w:r>
      </w:hyperlink>
      <w:r>
        <w:t xml:space="preserve">; cf. </w:t>
      </w:r>
      <w:hyperlink r:id="rId13660">
        <w:r>
          <w:rPr>
            <w:color w:val="0000EE"/>
            <w:u w:val="single"/>
          </w:rPr>
          <w:t>Romanos 12.14</w:t>
        </w:r>
      </w:hyperlink>
      <w:r>
        <w:t>). A injunção de Jesus para “amar os vossos inimigos” (</w:t>
      </w:r>
      <w:hyperlink r:id="rId3914">
        <w:r>
          <w:rPr>
            <w:color w:val="0000EE"/>
            <w:u w:val="single"/>
          </w:rPr>
          <w:t>Mateus 5.44</w:t>
        </w:r>
      </w:hyperlink>
      <w:r>
        <w:t>) pode ter a intenção de apontar além das maldições praticadas no AT para uma compreensão mais plena do mandamento de Deus de amar o próximo como a si mesmo.</w:t>
      </w:r>
    </w:p>
    <w:p>
      <w:pPr>
        <w:pStyle w:val="Heading4"/>
      </w:pPr>
      <w:r>
        <w:t>Maldições da aliança</w:t>
      </w:r>
    </w:p>
    <w:p>
      <w:r/>
      <w:r>
        <w:t>A proteção de um contrato ou tratado invocando uma maldição sobre o violador era comum nos tempos do AT. Às vezes, uma aliança era selada cortando um animal e fazendo com que os indivíduos que faziam o pacto passassem entre as partes cortadas; o animal morto simbolizava a maldição que recairia sobre o violador. Deus concordou em se submeter a tal maldição sobre si mesmo se quebrasse a aliança que fez com o patriarca Abraão (</w:t>
      </w:r>
      <w:hyperlink r:id="rId13661">
        <w:r>
          <w:rPr>
            <w:color w:val="0000EE"/>
            <w:u w:val="single"/>
          </w:rPr>
          <w:t>Gênesis 15.7–21</w:t>
        </w:r>
      </w:hyperlink>
      <w:r>
        <w:t>). Mais tarde, Deus acusou os líderes e o povo de Israel de quebrarem sua aliança com ele e os advertiu sobre as consequências a seguir (</w:t>
      </w:r>
      <w:hyperlink r:id="rId13662">
        <w:r>
          <w:rPr>
            <w:color w:val="0000EE"/>
            <w:u w:val="single"/>
          </w:rPr>
          <w:t>Jeremias 34.18–19</w:t>
        </w:r>
      </w:hyperlink>
      <w:r>
        <w:t>). Uma parte essencial da aliança que Deus fez com Israel no Monte Sinai foi a promessa de bênçãos por manter a aliança e maldições por quebrá-la (</w:t>
      </w:r>
      <w:hyperlink r:id="rId13663">
        <w:r>
          <w:rPr>
            <w:color w:val="0000EE"/>
            <w:u w:val="single"/>
          </w:rPr>
          <w:t>Deuteronômio 11.26–28</w:t>
        </w:r>
      </w:hyperlink>
      <w:r>
        <w:t xml:space="preserve">; </w:t>
      </w:r>
      <w:hyperlink r:id="rId1067">
        <w:r>
          <w:rPr>
            <w:color w:val="0000EE"/>
            <w:u w:val="single"/>
          </w:rPr>
          <w:t>27.15–26</w:t>
        </w:r>
      </w:hyperlink>
      <w:r>
        <w:t xml:space="preserve">; </w:t>
      </w:r>
      <w:hyperlink r:id="rId2209">
        <w:r>
          <w:rPr>
            <w:color w:val="0000EE"/>
            <w:u w:val="single"/>
          </w:rPr>
          <w:t>28.15–68</w:t>
        </w:r>
      </w:hyperlink>
      <w:r>
        <w:t xml:space="preserve">; </w:t>
      </w:r>
      <w:hyperlink r:id="rId13664">
        <w:r>
          <w:rPr>
            <w:color w:val="0000EE"/>
            <w:u w:val="single"/>
          </w:rPr>
          <w:t>30.19</w:t>
        </w:r>
      </w:hyperlink>
      <w:r>
        <w:t xml:space="preserve">; cf. </w:t>
      </w:r>
      <w:hyperlink r:id="rId13665">
        <w:r>
          <w:rPr>
            <w:color w:val="0000EE"/>
            <w:u w:val="single"/>
          </w:rPr>
          <w:t>Levíticos 26.3–39</w:t>
        </w:r>
      </w:hyperlink>
      <w:r>
        <w:t>). Israel sofreu essas maldições na época dos profetas Jeremias e Ezequiel; os quebradores da aliança, incluindo o rei, foram ameaçados com uma maldição (</w:t>
      </w:r>
      <w:hyperlink r:id="rId13666">
        <w:r>
          <w:rPr>
            <w:color w:val="0000EE"/>
            <w:u w:val="single"/>
          </w:rPr>
          <w:t>Jeremias 11.3</w:t>
        </w:r>
      </w:hyperlink>
      <w:r>
        <w:t xml:space="preserve">; </w:t>
      </w:r>
      <w:hyperlink r:id="rId13667">
        <w:r>
          <w:rPr>
            <w:color w:val="0000EE"/>
            <w:u w:val="single"/>
          </w:rPr>
          <w:t>Ezequiel 17.11–21</w:t>
        </w:r>
      </w:hyperlink>
      <w:r>
        <w:t>).</w:t>
      </w:r>
    </w:p>
    <w:p>
      <w:pPr>
        <w:pStyle w:val="Heading4"/>
      </w:pPr>
      <w:r>
        <w:t>A proibição sobre “coisas consagradas”</w:t>
      </w:r>
    </w:p>
    <w:p>
      <w:r/>
      <w:r>
        <w:t>Um tipo especial de maldição era o banimento ou anátema. Estritamente falando, era um voto para dedicar pessoas, animais ou objetos sob tal maldição a Deus. Em alguns casos, os sacerdotes podiam usar objetos que tinham caído sob o banimento (</w:t>
      </w:r>
      <w:hyperlink r:id="rId5103">
        <w:r>
          <w:rPr>
            <w:color w:val="0000EE"/>
            <w:u w:val="single"/>
          </w:rPr>
          <w:t>Números 18.14</w:t>
        </w:r>
      </w:hyperlink>
      <w:r>
        <w:t xml:space="preserve">; </w:t>
      </w:r>
      <w:hyperlink r:id="rId13668">
        <w:r>
          <w:rPr>
            <w:color w:val="0000EE"/>
            <w:u w:val="single"/>
          </w:rPr>
          <w:t>Ezequiel 44.29</w:t>
        </w:r>
      </w:hyperlink>
      <w:r>
        <w:t>), mas essa provisão não se aplicava a seres vivos. Todas as pessoas ou animais sob o banimento eram sacrificados ou destruídos (</w:t>
      </w:r>
      <w:hyperlink r:id="rId5102">
        <w:r>
          <w:rPr>
            <w:color w:val="0000EE"/>
            <w:u w:val="single"/>
          </w:rPr>
          <w:t>Levíticos 27.28–29</w:t>
        </w:r>
      </w:hyperlink>
      <w:r>
        <w:t>). O banimento era comumente usado nas guerras de Israel contra seus vizinhos pagãos. Às vezes, tudo era declarado anátema (</w:t>
      </w:r>
      <w:hyperlink r:id="rId13629">
        <w:r>
          <w:rPr>
            <w:color w:val="0000EE"/>
            <w:u w:val="single"/>
          </w:rPr>
          <w:t>Josué 6.17–19</w:t>
        </w:r>
      </w:hyperlink>
      <w:r>
        <w:t>), mas normalmente apenas pessoas e imagens pagãs eram destruídas (</w:t>
      </w:r>
      <w:hyperlink r:id="rId13669">
        <w:r>
          <w:rPr>
            <w:color w:val="0000EE"/>
            <w:u w:val="single"/>
          </w:rPr>
          <w:t>Deuteronômio 2.34</w:t>
        </w:r>
      </w:hyperlink>
      <w:r>
        <w:t xml:space="preserve">; </w:t>
      </w:r>
      <w:hyperlink r:id="rId13670">
        <w:r>
          <w:rPr>
            <w:color w:val="0000EE"/>
            <w:u w:val="single"/>
          </w:rPr>
          <w:t>3.6</w:t>
        </w:r>
      </w:hyperlink>
      <w:r>
        <w:t xml:space="preserve">; </w:t>
      </w:r>
      <w:hyperlink r:id="rId13671">
        <w:r>
          <w:rPr>
            <w:color w:val="0000EE"/>
            <w:u w:val="single"/>
          </w:rPr>
          <w:t xml:space="preserve">7.2,25–26 </w:t>
        </w:r>
      </w:hyperlink>
      <w:r>
        <w:t>— nem mesmo o ouro derretido das imagens devia ser mantido). Violar o banimento preservando qualquer parte das coisas amaldiçoadas era colocar-se sob o banimento. Porque Acã não respeitou o banimento colocado sobre Jericó, os termos daquela maldição vieram sobre todo Israel até que Acã confessou e foi executado (</w:t>
      </w:r>
      <w:hyperlink r:id="rId3611">
        <w:r>
          <w:rPr>
            <w:color w:val="0000EE"/>
            <w:u w:val="single"/>
          </w:rPr>
          <w:t>Josué 7</w:t>
        </w:r>
      </w:hyperlink>
      <w:r>
        <w:t>).</w:t>
      </w:r>
    </w:p>
    <w:p>
      <w:r/>
      <w:r>
        <w:t>Após o exílio, os judeus não praticaram o anátema (ou banimento) matando pessoas; pessoas que violavam uma maldição eram excomungadas e expulsas da congregação de Israel (</w:t>
      </w:r>
      <w:hyperlink r:id="rId13672">
        <w:r>
          <w:rPr>
            <w:color w:val="0000EE"/>
            <w:u w:val="single"/>
          </w:rPr>
          <w:t>Esdras 10.8</w:t>
        </w:r>
      </w:hyperlink>
      <w:r>
        <w:t>). Isso significava que a pessoa não fazia mais parte do povo de Deus e era considerada "morta".</w:t>
      </w:r>
    </w:p>
    <w:p>
      <w:pPr>
        <w:pStyle w:val="Heading3"/>
      </w:pPr>
      <w:r>
        <w:t>Maldições nos tempos do Novo Testamento</w:t>
      </w:r>
    </w:p>
    <w:p>
      <w:r/>
      <w:r>
        <w:t>As sinagogas judaicas praticavam a excomunhão, ou anátema, no período do NT (</w:t>
      </w:r>
      <w:hyperlink r:id="rId13673">
        <w:r>
          <w:rPr>
            <w:color w:val="0000EE"/>
            <w:u w:val="single"/>
          </w:rPr>
          <w:t>Lucas 6.22</w:t>
        </w:r>
      </w:hyperlink>
      <w:r>
        <w:t xml:space="preserve">; </w:t>
      </w:r>
      <w:hyperlink r:id="rId12420">
        <w:r>
          <w:rPr>
            <w:color w:val="0000EE"/>
            <w:u w:val="single"/>
          </w:rPr>
          <w:t>João 9.22</w:t>
        </w:r>
      </w:hyperlink>
      <w:r>
        <w:t xml:space="preserve">; </w:t>
      </w:r>
      <w:hyperlink r:id="rId13674">
        <w:r>
          <w:rPr>
            <w:color w:val="0000EE"/>
            <w:u w:val="single"/>
          </w:rPr>
          <w:t>12.42</w:t>
        </w:r>
      </w:hyperlink>
      <w:r>
        <w:t xml:space="preserve">; </w:t>
      </w:r>
      <w:hyperlink r:id="rId13675">
        <w:r>
          <w:rPr>
            <w:color w:val="0000EE"/>
            <w:u w:val="single"/>
          </w:rPr>
          <w:t>16.2</w:t>
        </w:r>
      </w:hyperlink>
      <w:r>
        <w:t>). Mais tarde, os cristãos excomungavam pessoas declarando-as fora da comunidade redimida (</w:t>
      </w:r>
      <w:hyperlink r:id="rId10871">
        <w:r>
          <w:rPr>
            <w:color w:val="0000EE"/>
            <w:u w:val="single"/>
          </w:rPr>
          <w:t>Mateus 18.17</w:t>
        </w:r>
      </w:hyperlink>
      <w:r>
        <w:t>) ou “entregues a Satanás” (</w:t>
      </w:r>
      <w:hyperlink r:id="rId7033">
        <w:r>
          <w:rPr>
            <w:color w:val="0000EE"/>
            <w:u w:val="single"/>
          </w:rPr>
          <w:t>1 Coríntios 5.5</w:t>
        </w:r>
      </w:hyperlink>
      <w:r>
        <w:t xml:space="preserve">; </w:t>
      </w:r>
      <w:hyperlink r:id="rId741">
        <w:r>
          <w:rPr>
            <w:color w:val="0000EE"/>
            <w:u w:val="single"/>
          </w:rPr>
          <w:t>1 Timótio 1.20</w:t>
        </w:r>
      </w:hyperlink>
      <w:r>
        <w:t>). Ambas as práticas derivavam da proibição do AT. Ao contrário dessa maldição, no entanto, a excomunhão poderia ser removida assim que a pessoa se arrependesse.</w:t>
      </w:r>
    </w:p>
    <w:p>
      <w:r/>
      <w:r>
        <w:t xml:space="preserve">Como o anátema marcava uma pessoa como "rejeitada" ou "amaldiçoada por Deus", Saulo de Tarso, antes de sua conversão, tentou compelir os cristãos a renunciar a Cristo chamando-o de amaldiçoado (cf. </w:t>
      </w:r>
      <w:hyperlink r:id="rId13676">
        <w:r>
          <w:rPr>
            <w:color w:val="0000EE"/>
            <w:u w:val="single"/>
          </w:rPr>
          <w:t>Atos 26.11</w:t>
        </w:r>
      </w:hyperlink>
      <w:r>
        <w:t>). Mais tarde, como apóstolo, Paulo (Saulo) advertiu que ninguém falando pelo Espírito de Deus poderia chamar Jesus de amaldiçoado (</w:t>
      </w:r>
      <w:hyperlink r:id="rId8464">
        <w:r>
          <w:rPr>
            <w:color w:val="0000EE"/>
            <w:u w:val="single"/>
          </w:rPr>
          <w:t>1 Coríntios 12.3</w:t>
        </w:r>
      </w:hyperlink>
      <w:r>
        <w:t>). Paulo pronunciou anátema (destinado ao julgamento e perdição) sobre qualquer um que pregasse outro evangelho além daquele que ele e os outros apóstolos pregavam (</w:t>
      </w:r>
      <w:hyperlink r:id="rId13677">
        <w:r>
          <w:rPr>
            <w:color w:val="0000EE"/>
            <w:u w:val="single"/>
          </w:rPr>
          <w:t>Gálatas 1.8–9</w:t>
        </w:r>
      </w:hyperlink>
      <w:r>
        <w:t>). Paulo disse que desejava poder ser amaldiçoado, separado da salvação e do povo de Deus, se isso pudesse levar à salvação de seus compatriotas israelitas (</w:t>
      </w:r>
      <w:hyperlink r:id="rId4285">
        <w:r>
          <w:rPr>
            <w:color w:val="0000EE"/>
            <w:u w:val="single"/>
          </w:rPr>
          <w:t>Romanos 9.3</w:t>
        </w:r>
      </w:hyperlink>
      <w:r>
        <w:t>). Seu desejo refletia o amor de Cristo, que aceitou a "maldição da lei" sobre si mesmo ao submeter-se ao sofrimento e à morte na cruz para redimir os seres humanos dessa maldição (</w:t>
      </w:r>
      <w:hyperlink r:id="rId13678">
        <w:r>
          <w:rPr>
            <w:color w:val="0000EE"/>
            <w:u w:val="single"/>
          </w:rPr>
          <w:t>Gálatas 3.8–14</w:t>
        </w:r>
      </w:hyperlink>
      <w:r>
        <w:t xml:space="preserve">; cf. </w:t>
      </w:r>
      <w:hyperlink r:id="rId6299">
        <w:r>
          <w:rPr>
            <w:color w:val="0000EE"/>
            <w:u w:val="single"/>
          </w:rPr>
          <w:t>Deuteronômio 21.22–23</w:t>
        </w:r>
      </w:hyperlink>
      <w:r>
        <w:t>). O NT promete que chegará um tempo em que "não haverá... nada que esteja debaixo da maldição de Deus" (</w:t>
      </w:r>
      <w:hyperlink r:id="rId2075">
        <w:r>
          <w:rPr>
            <w:color w:val="0000EE"/>
            <w:u w:val="single"/>
          </w:rPr>
          <w:t>Apocalipse 22.3</w:t>
        </w:r>
      </w:hyperlink>
      <w:r>
        <w:t>).</w:t>
      </w:r>
    </w:p>
    <w:p>
      <w:r/>
      <w:r>
        <w:rPr>
          <w:i/>
        </w:rPr>
        <w:t>Veja também</w:t>
      </w:r>
      <w:r>
        <w:t xml:space="preserve"> </w:t>
      </w:r>
      <w:r>
        <w:t>Guerra, Santa</w:t>
      </w:r>
      <w:r>
        <w:t>.</w:t>
      </w:r>
      <w:r/>
      <w:r/>
    </w:p>
    <w:p>
      <w:r/>
    </w:p>
    <w:p>
      <w:pPr>
        <w:pStyle w:val="Heading2"/>
      </w:pPr>
      <w:r>
        <w:t>Mali</w:t>
      </w:r>
      <w:r/>
    </w:p>
    <w:p>
      <w:pPr>
        <w:pStyle w:val="ListNumber"/>
        <w:spacing w:line="240" w:lineRule="auto"/>
        <w:ind w:left="720"/>
      </w:pPr>
      <w:r/>
      <w:r>
        <w:t>Filho de Merari e neto de Levi (</w:t>
      </w:r>
      <w:hyperlink r:id="rId13573">
        <w:r>
          <w:rPr>
            <w:color w:val="0000EE"/>
            <w:u w:val="single"/>
          </w:rPr>
          <w:t>Êx 6.19</w:t>
        </w:r>
      </w:hyperlink>
      <w:r>
        <w:t xml:space="preserve">; </w:t>
      </w:r>
      <w:hyperlink r:id="rId13679">
        <w:r>
          <w:rPr>
            <w:color w:val="0000EE"/>
            <w:u w:val="single"/>
          </w:rPr>
          <w:t>Nm 3.20</w:t>
        </w:r>
      </w:hyperlink>
      <w:r>
        <w:t xml:space="preserve">; </w:t>
      </w:r>
      <w:hyperlink r:id="rId13680">
        <w:r>
          <w:rPr>
            <w:color w:val="0000EE"/>
            <w:u w:val="single"/>
          </w:rPr>
          <w:t>1Cr 6.19,29</w:t>
        </w:r>
      </w:hyperlink>
      <w:r>
        <w:t xml:space="preserve">; </w:t>
      </w:r>
      <w:hyperlink r:id="rId13681">
        <w:r>
          <w:rPr>
            <w:color w:val="0000EE"/>
            <w:u w:val="single"/>
          </w:rPr>
          <w:t>23.21</w:t>
        </w:r>
      </w:hyperlink>
      <w:r>
        <w:t xml:space="preserve">; </w:t>
      </w:r>
      <w:hyperlink r:id="rId13682">
        <w:r>
          <w:rPr>
            <w:color w:val="0000EE"/>
            <w:u w:val="single"/>
          </w:rPr>
          <w:t>24.26–28</w:t>
        </w:r>
      </w:hyperlink>
      <w:r>
        <w:t xml:space="preserve">; </w:t>
      </w:r>
      <w:hyperlink r:id="rId13683">
        <w:r>
          <w:rPr>
            <w:color w:val="0000EE"/>
            <w:u w:val="single"/>
          </w:rPr>
          <w:t>Ed 8.18</w:t>
        </w:r>
      </w:hyperlink>
      <w:r>
        <w:t>). O fundador da família dos maalitas (</w:t>
      </w:r>
      <w:hyperlink r:id="rId13684">
        <w:r>
          <w:rPr>
            <w:color w:val="0000EE"/>
            <w:u w:val="single"/>
          </w:rPr>
          <w:t>Nm 3.33</w:t>
        </w:r>
      </w:hyperlink>
      <w:r>
        <w:t xml:space="preserve">; </w:t>
      </w:r>
      <w:hyperlink r:id="rId5738">
        <w:r>
          <w:rPr>
            <w:color w:val="0000EE"/>
            <w:u w:val="single"/>
          </w:rPr>
          <w:t>26.58</w:t>
        </w:r>
      </w:hyperlink>
      <w:r>
        <w:t>). Os maalitas, junto com as outras famílias de Merari, foram escolhidos para carregar as armações do tabernáculo e as colunas do átrio (</w:t>
      </w:r>
      <w:hyperlink r:id="rId13685">
        <w:r>
          <w:rPr>
            <w:color w:val="0000EE"/>
            <w:u w:val="single"/>
          </w:rPr>
          <w:t>Nm 4.29–33</w:t>
        </w:r>
      </w:hyperlink>
      <w:r>
        <w:t>).</w:t>
      </w:r>
    </w:p>
    <w:p>
      <w:pPr>
        <w:pStyle w:val="ListNumber"/>
        <w:spacing w:line="240" w:lineRule="auto"/>
        <w:ind w:left="720"/>
      </w:pPr>
      <w:r/>
      <w:r>
        <w:t>Filho de Musi e sobrinho do número 1 acima (</w:t>
      </w:r>
      <w:hyperlink r:id="rId13686">
        <w:r>
          <w:rPr>
            <w:color w:val="0000EE"/>
            <w:u w:val="single"/>
          </w:rPr>
          <w:t>1Cr 6.47</w:t>
        </w:r>
      </w:hyperlink>
      <w:r>
        <w:t xml:space="preserve">; </w:t>
      </w:r>
      <w:hyperlink r:id="rId13687">
        <w:r>
          <w:rPr>
            <w:color w:val="0000EE"/>
            <w:u w:val="single"/>
          </w:rPr>
          <w:t>23.23</w:t>
        </w:r>
      </w:hyperlink>
      <w:r>
        <w:t xml:space="preserve">; </w:t>
      </w:r>
      <w:hyperlink r:id="rId13688">
        <w:r>
          <w:rPr>
            <w:color w:val="0000EE"/>
            <w:u w:val="single"/>
          </w:rPr>
          <w:t>24.30</w:t>
        </w:r>
      </w:hyperlink>
      <w:r>
        <w:t>).</w:t>
      </w:r>
      <w:r/>
      <w:r/>
    </w:p>
    <w:p>
      <w:r/>
    </w:p>
    <w:p>
      <w:pPr>
        <w:pStyle w:val="Heading2"/>
      </w:pPr>
      <w:r>
        <w:t>Malita</w:t>
      </w:r>
      <w:r/>
    </w:p>
    <w:p>
      <w:r/>
      <w:r>
        <w:t>Qualquer descendente de Mali, um filho de Merari da tribo de Levi (</w:t>
      </w:r>
      <w:hyperlink r:id="rId13684">
        <w:r>
          <w:rPr>
            <w:color w:val="0000EE"/>
            <w:u w:val="single"/>
          </w:rPr>
          <w:t>Nm 3.33</w:t>
        </w:r>
      </w:hyperlink>
      <w:r>
        <w:t xml:space="preserve">; </w:t>
      </w:r>
      <w:hyperlink r:id="rId5738">
        <w:r>
          <w:rPr>
            <w:color w:val="0000EE"/>
            <w:u w:val="single"/>
          </w:rPr>
          <w:t>26.58</w:t>
        </w:r>
      </w:hyperlink>
      <w:r>
        <w:t>).</w:t>
      </w:r>
    </w:p>
    <w:p>
      <w:r/>
      <w:r>
        <w:rPr>
          <w:i/>
        </w:rPr>
        <w:t>Veja</w:t>
      </w:r>
      <w:r>
        <w:t xml:space="preserve"> </w:t>
      </w:r>
      <w:r>
        <w:t>Mali #1</w:t>
      </w:r>
      <w:r>
        <w:t>.</w:t>
      </w:r>
      <w:r/>
      <w:r/>
    </w:p>
    <w:p>
      <w:r/>
    </w:p>
    <w:p>
      <w:pPr>
        <w:pStyle w:val="Heading2"/>
      </w:pPr>
      <w:r>
        <w:t>Malquiel, malquielita</w:t>
      </w:r>
      <w:r/>
    </w:p>
    <w:p>
      <w:r/>
      <w:r>
        <w:t>Filho de Berias, neto de Aser (</w:t>
      </w:r>
      <w:hyperlink r:id="rId2708">
        <w:r>
          <w:rPr>
            <w:color w:val="0000EE"/>
            <w:u w:val="single"/>
          </w:rPr>
          <w:t>Gn 46.17</w:t>
        </w:r>
      </w:hyperlink>
      <w:r>
        <w:t xml:space="preserve">; </w:t>
      </w:r>
      <w:hyperlink r:id="rId3791">
        <w:r>
          <w:rPr>
            <w:color w:val="0000EE"/>
            <w:u w:val="single"/>
          </w:rPr>
          <w:t>1Cr 7.31</w:t>
        </w:r>
      </w:hyperlink>
      <w:r>
        <w:t>), e fundador da família Malquielita (</w:t>
      </w:r>
      <w:hyperlink r:id="rId10371">
        <w:r>
          <w:rPr>
            <w:color w:val="0000EE"/>
            <w:u w:val="single"/>
          </w:rPr>
          <w:t>Nm 26.45</w:t>
        </w:r>
      </w:hyperlink>
      <w:r>
        <w:t>).</w:t>
      </w:r>
      <w:r/>
      <w:r/>
    </w:p>
    <w:p>
      <w:r/>
    </w:p>
    <w:p>
      <w:pPr>
        <w:pStyle w:val="Heading2"/>
      </w:pPr>
      <w:r>
        <w:t>Malta</w:t>
      </w:r>
      <w:r/>
    </w:p>
    <w:p>
      <w:r/>
      <w:r>
        <w:t>Ilha no Mar Mediterrâneo, ao sul da Sicília. O nome Malta ocorre apenas uma vez na Bíblia (</w:t>
      </w:r>
      <w:hyperlink r:id="rId13689">
        <w:r>
          <w:rPr>
            <w:color w:val="0000EE"/>
            <w:u w:val="single"/>
          </w:rPr>
          <w:t>At 28.1</w:t>
        </w:r>
      </w:hyperlink>
      <w:r>
        <w:t>), em conexão com o naufrágio que ocorreu na viagem de Paulo a Roma (</w:t>
      </w:r>
      <w:hyperlink r:id="rId9316">
        <w:r>
          <w:rPr>
            <w:color w:val="0000EE"/>
            <w:u w:val="single"/>
          </w:rPr>
          <w:t>25.11–12</w:t>
        </w:r>
      </w:hyperlink>
      <w:r>
        <w:t>). Esta viagem foi realizada durante o inverno, a estação em que as tempestades são mais prováveis no Mediterrâneo. O navio prosseguiu cautelosamente, pois ventos contrários estavam soprando (</w:t>
      </w:r>
      <w:hyperlink r:id="rId4837">
        <w:r>
          <w:rPr>
            <w:color w:val="0000EE"/>
            <w:u w:val="single"/>
          </w:rPr>
          <w:t>27.4</w:t>
        </w:r>
      </w:hyperlink>
      <w:r>
        <w:t xml:space="preserve">). Com dificuldade, eles chegaram ao porto de Bons Portos em Creta (vv. </w:t>
      </w:r>
      <w:hyperlink r:id="rId13690">
        <w:r>
          <w:rPr>
            <w:color w:val="0000EE"/>
            <w:u w:val="single"/>
          </w:rPr>
          <w:t>7–8</w:t>
        </w:r>
      </w:hyperlink>
      <w:r>
        <w:t xml:space="preserve">). Apesar de um aviso de Paulo, a decisão foi tomada para tentar alcançar o porto cretense de Fênix, que era mais adequado para passar o inverno (vv. </w:t>
      </w:r>
      <w:hyperlink r:id="rId12604">
        <w:r>
          <w:rPr>
            <w:color w:val="0000EE"/>
            <w:u w:val="single"/>
          </w:rPr>
          <w:t>9–12</w:t>
        </w:r>
      </w:hyperlink>
      <w:r>
        <w:t>).</w:t>
      </w:r>
    </w:p>
    <w:p>
      <w:r/>
      <w:r>
        <w:t>Apanhado por uma tempestade severa e levado desamparadamente pelo vento por 14 dias, o navio finalmente se aproximou da terra durante a noite. Pela manhã, o navio tentou chegar à praia, mas encalhou e foi despedaçado pelas ondas. Todos conseguiram chegar à costa em segurança. Enquanto colocava lenha no fogo, Paulo foi mordido por uma víbora. Os nativos da ilha supuseram que ele era um criminoso cuja vida estava sendo tirada pela mordida de uma cobra. Quando ele não caiu morto, eles mudaram radicalmente sua opinião sobre ele e o consideraram um deus (</w:t>
      </w:r>
      <w:hyperlink r:id="rId13691">
        <w:r>
          <w:rPr>
            <w:color w:val="0000EE"/>
            <w:u w:val="single"/>
          </w:rPr>
          <w:t>At 28.6</w:t>
        </w:r>
      </w:hyperlink>
      <w:r>
        <w:t>).</w:t>
      </w:r>
    </w:p>
    <w:p>
      <w:r/>
      <w:r>
        <w:t>A ilha de Malta está a cerca de 96 quilômetros da Sicília e possui uma área de 246 quilômetros quadrados. A Baía de São Paulo é o local tradicional do naufrágio mencionado nos Atos. A ilha é essencialmente agrícola, mas a produção é limitada devido ao solo calcário fino. A prática de terraços é utilizada para maximizar o uso do solo. A ilha não possui rios e depende da chuva e de nascentes para obter água. O clima é geralmente ameno, mas no verão a ilha está sujeita ao siroco quente e carregado de poeira dos desertos da Líbia.</w:t>
      </w:r>
      <w:r/>
      <w:r/>
    </w:p>
    <w:p>
      <w:r/>
    </w:p>
    <w:p>
      <w:pPr>
        <w:pStyle w:val="Heading2"/>
      </w:pPr>
      <w:r>
        <w:t>Mamre (Lugar)</w:t>
      </w:r>
      <w:r/>
    </w:p>
    <w:p>
      <w:r/>
      <w:r>
        <w:t>Importante bosque de carvalhos perto do qual Abraão viveu, nomeado por um amorreu que o ajudou a derrotar Quedorlaomer e resgatar Ló (</w:t>
      </w:r>
      <w:hyperlink r:id="rId755">
        <w:r>
          <w:rPr>
            <w:color w:val="0000EE"/>
            <w:u w:val="single"/>
          </w:rPr>
          <w:t>Gn 14.13,24</w:t>
        </w:r>
      </w:hyperlink>
      <w:r>
        <w:t>). Abraão ergueu um altar sob o carvalho de Manre (</w:t>
      </w:r>
      <w:hyperlink r:id="rId4472">
        <w:r>
          <w:rPr>
            <w:color w:val="0000EE"/>
            <w:u w:val="single"/>
          </w:rPr>
          <w:t>13.18</w:t>
        </w:r>
      </w:hyperlink>
      <w:r>
        <w:t xml:space="preserve">). Abraão estava sentado junto à árvore sagrada quando recebeu três hóspedes misteriosos (capítulo </w:t>
      </w:r>
      <w:hyperlink r:id="rId171">
        <w:r>
          <w:rPr>
            <w:color w:val="0000EE"/>
            <w:u w:val="single"/>
          </w:rPr>
          <w:t>18</w:t>
        </w:r>
      </w:hyperlink>
      <w:r>
        <w:t xml:space="preserve">). Manre é também um possível local para a cena das cerimônias do pacto abraâmico (cap. </w:t>
      </w:r>
      <w:hyperlink r:id="rId790">
        <w:r>
          <w:rPr>
            <w:color w:val="0000EE"/>
            <w:u w:val="single"/>
          </w:rPr>
          <w:t>15</w:t>
        </w:r>
      </w:hyperlink>
      <w:r>
        <w:t>). Isaque e Jacó também viveram lá (</w:t>
      </w:r>
      <w:hyperlink r:id="rId13692">
        <w:r>
          <w:rPr>
            <w:color w:val="0000EE"/>
            <w:u w:val="single"/>
          </w:rPr>
          <w:t>35.27</w:t>
        </w:r>
      </w:hyperlink>
      <w:r>
        <w:t>).</w:t>
      </w:r>
      <w:r/>
      <w:r/>
    </w:p>
    <w:p>
      <w:r/>
    </w:p>
    <w:p>
      <w:pPr>
        <w:pStyle w:val="Heading2"/>
      </w:pPr>
      <w:r>
        <w:t>Maná</w:t>
      </w:r>
      <w:r/>
    </w:p>
    <w:p>
      <w:r/>
      <w:r>
        <w:t>O maná era o alimento especial que Deus providenciou para os israelitas durante sua jornada no deserto. Ele apareceu pela primeira vez como flocos finos, semelhantes à geada no chão, ao redor do acampamento israelita (</w:t>
      </w:r>
      <w:hyperlink r:id="rId13693">
        <w:r>
          <w:rPr>
            <w:color w:val="0000EE"/>
            <w:u w:val="single"/>
          </w:rPr>
          <w:t>Êx 16.14–15</w:t>
        </w:r>
      </w:hyperlink>
      <w:r>
        <w:t>). Outras partes da Bíblia descrevem o maná como semelhante a sementes de coentro e bdélio, ou resina (</w:t>
      </w:r>
      <w:hyperlink r:id="rId3286">
        <w:r>
          <w:rPr>
            <w:color w:val="0000EE"/>
            <w:u w:val="single"/>
          </w:rPr>
          <w:t>Nm 11.7</w:t>
        </w:r>
      </w:hyperlink>
      <w:r>
        <w:t>). Seu sabor era comparado ao mel ou óleo fresco (</w:t>
      </w:r>
      <w:hyperlink r:id="rId5101">
        <w:r>
          <w:rPr>
            <w:color w:val="0000EE"/>
            <w:u w:val="single"/>
          </w:rPr>
          <w:t>Êx 16.31</w:t>
        </w:r>
      </w:hyperlink>
      <w:r>
        <w:t xml:space="preserve">; </w:t>
      </w:r>
      <w:hyperlink r:id="rId13694">
        <w:r>
          <w:rPr>
            <w:color w:val="0000EE"/>
            <w:u w:val="single"/>
          </w:rPr>
          <w:t>Nm 11.8</w:t>
        </w:r>
      </w:hyperlink>
      <w:r>
        <w:t>). Essas diferentes descrições de sabor e aparência podem ser todas verdadeiras, já que as pessoas experimentam sabor e cor de maneiras diferentes. A palavra "maná" vem da palavra hebraica "man," que significa "o quê?" Quando os israelitas viram o maná pela primeira vez, perguntaram: "O que é isso?" (</w:t>
      </w:r>
      <w:hyperlink r:id="rId13695">
        <w:r>
          <w:rPr>
            <w:color w:val="0000EE"/>
            <w:u w:val="single"/>
          </w:rPr>
          <w:t>Êx 16.15</w:t>
        </w:r>
      </w:hyperlink>
      <w:r>
        <w:t>).</w:t>
      </w:r>
    </w:p>
    <w:p>
      <w:r/>
      <w:r>
        <w:t>Alguns pesquisadores tentaram associar o maná a substâncias naturais encontradas por viajantes modernos no Sinai e na Arábia. Por exemplo, no início do verão na região (junho-julho), a árvore de tamargueira nessas áreas produz um líquido doce devido a pequenos insetos. Esse líquido cai no chão e forma pequenos grãos que desaparecem quando esquenta. Outra sugestão é que o maná poderia ter sido um líquen comestível (um organismo semelhante a uma planta) que as pessoas no sudoeste da Ásia usam em vez de grãos durante períodos de fome. No entanto, a aparição regular, o tempo e a grande quantidade de maná não podem ser explicados por causas naturais. Foi milagroso.</w:t>
      </w:r>
    </w:p>
    <w:p>
      <w:r/>
      <w:r>
        <w:t>Deus deu instruções especiais sobre o maná. Os israelitas foram instruídos a recolher apenas o suficiente para um dia de cada vez. Qualquer maná extra que eles coletassem estragaria (</w:t>
      </w:r>
      <w:hyperlink r:id="rId13696">
        <w:r>
          <w:rPr>
            <w:color w:val="0000EE"/>
            <w:u w:val="single"/>
          </w:rPr>
          <w:t>Êx 16.20</w:t>
        </w:r>
      </w:hyperlink>
      <w:r>
        <w:t>). A única exceção era o dia do sábado, quando podiam coletar o suficiente para dois dias. Deus parou de fornecer maná depois que Israel entrou em Canaã (</w:t>
      </w:r>
      <w:hyperlink r:id="rId9971">
        <w:r>
          <w:rPr>
            <w:color w:val="0000EE"/>
            <w:u w:val="single"/>
          </w:rPr>
          <w:t>Js 5.12</w:t>
        </w:r>
      </w:hyperlink>
      <w:r>
        <w:t>). Quando os israelitas reclamaram e queriam comida além do maná, Deus os puniu enviando codornizes em excesso (</w:t>
      </w:r>
      <w:hyperlink r:id="rId13697">
        <w:r>
          <w:rPr>
            <w:color w:val="0000EE"/>
            <w:u w:val="single"/>
          </w:rPr>
          <w:t>Nm 11.4–6,18–20</w:t>
        </w:r>
      </w:hyperlink>
      <w:r>
        <w:t>).</w:t>
      </w:r>
    </w:p>
    <w:p>
      <w:r/>
      <w:r>
        <w:t>Em partes poéticas da Bíblia, o maná foi chamado de "o pão do céu" (</w:t>
      </w:r>
      <w:hyperlink r:id="rId13698">
        <w:r>
          <w:rPr>
            <w:color w:val="0000EE"/>
            <w:u w:val="single"/>
          </w:rPr>
          <w:t>Salmo 78.24</w:t>
        </w:r>
      </w:hyperlink>
      <w:r>
        <w:t xml:space="preserve">; compare </w:t>
      </w:r>
      <w:hyperlink r:id="rId5098">
        <w:r>
          <w:rPr>
            <w:color w:val="0000EE"/>
            <w:u w:val="single"/>
          </w:rPr>
          <w:t>105.40</w:t>
        </w:r>
      </w:hyperlink>
      <w:r>
        <w:t>). Também foi chamado de "o pão dos anjos" (</w:t>
      </w:r>
      <w:hyperlink r:id="rId13699">
        <w:r>
          <w:rPr>
            <w:color w:val="0000EE"/>
            <w:u w:val="single"/>
          </w:rPr>
          <w:t>78.25</w:t>
        </w:r>
      </w:hyperlink>
      <w:r>
        <w:t xml:space="preserve">). Jesus mais tarde referiu-se a si mesmo como o verdadeiro maná. Ele é o pão do céu que dá vida eterna àqueles que o recebem (compare </w:t>
      </w:r>
      <w:hyperlink r:id="rId13700">
        <w:r>
          <w:rPr>
            <w:color w:val="0000EE"/>
            <w:u w:val="single"/>
          </w:rPr>
          <w:t>Jo 6.25–59</w:t>
        </w:r>
      </w:hyperlink>
      <w:r>
        <w:t>).</w:t>
      </w:r>
    </w:p>
    <w:p>
      <w:r/>
      <w:r>
        <w:rPr>
          <w:i/>
        </w:rPr>
        <w:t>Veja também</w:t>
      </w:r>
      <w:r>
        <w:t xml:space="preserve"> </w:t>
      </w:r>
      <w:r>
        <w:t>Peregrinações no deserto</w:t>
      </w:r>
      <w:r>
        <w:t>.</w:t>
      </w:r>
      <w:r/>
      <w:r/>
    </w:p>
    <w:p>
      <w:r/>
    </w:p>
    <w:p>
      <w:pPr>
        <w:pStyle w:val="Heading2"/>
      </w:pPr>
      <w:r>
        <w:t>Manaate (Pessoa)</w:t>
      </w:r>
      <w:r/>
    </w:p>
    <w:p>
      <w:r/>
      <w:r>
        <w:t>Um dos cinco filhos de Sobal (</w:t>
      </w:r>
      <w:hyperlink r:id="rId1016">
        <w:r>
          <w:rPr>
            <w:color w:val="0000EE"/>
            <w:u w:val="single"/>
          </w:rPr>
          <w:t>Gn 36.23</w:t>
        </w:r>
      </w:hyperlink>
      <w:r>
        <w:t xml:space="preserve">; </w:t>
      </w:r>
      <w:hyperlink r:id="rId1017">
        <w:r>
          <w:rPr>
            <w:color w:val="0000EE"/>
            <w:u w:val="single"/>
          </w:rPr>
          <w:t>1Cr 1.40</w:t>
        </w:r>
      </w:hyperlink>
      <w:r>
        <w:t>).</w:t>
      </w:r>
      <w:r/>
      <w:r/>
    </w:p>
    <w:p>
      <w:r/>
    </w:p>
    <w:p>
      <w:pPr>
        <w:pStyle w:val="Heading2"/>
      </w:pPr>
      <w:r>
        <w:t>Manaém</w:t>
      </w:r>
      <w:r/>
    </w:p>
    <w:p>
      <w:r/>
      <w:r>
        <w:t>Um dos profetas e mestres na igreja em Antioquia (</w:t>
      </w:r>
      <w:hyperlink r:id="rId4994">
        <w:r>
          <w:rPr>
            <w:color w:val="0000EE"/>
            <w:u w:val="single"/>
          </w:rPr>
          <w:t>At 13.1</w:t>
        </w:r>
      </w:hyperlink>
      <w:r>
        <w:t>). A Bíblia o identifica como um companheiro próximo de Herodes, o tetrarca. (Um tetrarca era um governante que administrava uma das quatro partes de uma região.) O nome Manaém é uma forma grega do nome hebraico Menaém.</w:t>
      </w:r>
      <w:r/>
      <w:r/>
    </w:p>
    <w:p>
      <w:r/>
    </w:p>
    <w:p>
      <w:pPr>
        <w:pStyle w:val="Heading2"/>
      </w:pPr>
      <w:r>
        <w:t>Manassés (Pessoa)</w:t>
      </w:r>
      <w:r/>
    </w:p>
    <w:p>
      <w:pPr>
        <w:pStyle w:val="ListNumber"/>
        <w:spacing w:line="240" w:lineRule="auto"/>
        <w:ind w:left="720"/>
      </w:pPr>
      <w:r/>
      <w:r>
        <w:t>O primogênito de José e sua esposa egípcia, Asenate (</w:t>
      </w:r>
      <w:hyperlink r:id="rId13701">
        <w:r>
          <w:rPr>
            <w:color w:val="0000EE"/>
            <w:u w:val="single"/>
          </w:rPr>
          <w:t>Gn 41.50–51</w:t>
        </w:r>
      </w:hyperlink>
      <w:r>
        <w:t>). Manassés e seu irmão Efraim visitaram seu avô Jacó enquanto ele estava morrendo. Jacó disse que Manassés e Efraim deveriam ser considerados como seus próprios filhos, não filhos de José (</w:t>
      </w:r>
      <w:hyperlink r:id="rId13702">
        <w:r>
          <w:rPr>
            <w:color w:val="0000EE"/>
            <w:u w:val="single"/>
          </w:rPr>
          <w:t>Gn 48.5–6</w:t>
        </w:r>
      </w:hyperlink>
      <w:r>
        <w:t>). Ele afirmou que os descendentes do primogênito Manassés não seriam tão grandes quanto os descendentes de Efraim (</w:t>
      </w:r>
      <w:hyperlink r:id="rId11507">
        <w:r>
          <w:rPr>
            <w:color w:val="0000EE"/>
            <w:u w:val="single"/>
          </w:rPr>
          <w:t>Gn 48.13–20</w:t>
        </w:r>
      </w:hyperlink>
      <w:r>
        <w:t xml:space="preserve">). Isso explica por que Efraim e Manassés são listados como duas das 12 tribos de Israel e não José, pelo menos na maioria dos casos (veja </w:t>
      </w:r>
      <w:hyperlink r:id="rId13703">
        <w:r>
          <w:rPr>
            <w:color w:val="0000EE"/>
            <w:u w:val="single"/>
          </w:rPr>
          <w:t>Ap 7.6</w:t>
        </w:r>
      </w:hyperlink>
      <w:r>
        <w:t>). Manassés também fundou a família manassita (</w:t>
      </w:r>
      <w:hyperlink r:id="rId3525">
        <w:r>
          <w:rPr>
            <w:color w:val="0000EE"/>
            <w:u w:val="single"/>
          </w:rPr>
          <w:t>Dt 4.43</w:t>
        </w:r>
      </w:hyperlink>
      <w:r>
        <w:t xml:space="preserve">; </w:t>
      </w:r>
      <w:hyperlink r:id="rId2535">
        <w:r>
          <w:rPr>
            <w:color w:val="0000EE"/>
            <w:u w:val="single"/>
          </w:rPr>
          <w:t>2Rs 10.33</w:t>
        </w:r>
      </w:hyperlink>
      <w:r>
        <w:t>).</w:t>
      </w:r>
    </w:p>
    <w:p>
      <w:r/>
      <w:r>
        <w:rPr>
          <w:i/>
        </w:rPr>
        <w:t>Veja também</w:t>
      </w:r>
      <w:r>
        <w:t xml:space="preserve"> </w:t>
      </w:r>
      <w:r>
        <w:t>Manassés, Tribo de</w:t>
      </w:r>
      <w:r>
        <w:t>.</w:t>
      </w:r>
    </w:p>
    <w:p>
      <w:pPr>
        <w:pStyle w:val="ListNumber"/>
        <w:spacing w:line="240" w:lineRule="auto"/>
        <w:ind w:left="720"/>
      </w:pPr>
      <w:r/>
      <w:r>
        <w:t xml:space="preserve">A tradução da KJV para Moisés em </w:t>
      </w:r>
      <w:hyperlink r:id="rId7688">
        <w:r>
          <w:rPr>
            <w:color w:val="0000EE"/>
            <w:u w:val="single"/>
          </w:rPr>
          <w:t>Jz 18.30</w:t>
        </w:r>
      </w:hyperlink>
      <w:r>
        <w:t>. Em hebraico, os dois nomes diferem por apenas uma letra. Um escriba antigo provavelmente ficou ofendido que este versículo conectava o neto de Moisés com a idolatria, então ele mudou o nome para Manassés para preservar a reputação de Moisés.</w:t>
      </w:r>
    </w:p>
    <w:p>
      <w:r/>
      <w:r>
        <w:rPr>
          <w:i/>
        </w:rPr>
        <w:t>Veja</w:t>
      </w:r>
      <w:r>
        <w:t xml:space="preserve"> </w:t>
      </w:r>
      <w:r>
        <w:t>Moisés</w:t>
      </w:r>
      <w:r>
        <w:t>.</w:t>
      </w:r>
    </w:p>
    <w:p>
      <w:pPr>
        <w:pStyle w:val="ListNumber"/>
        <w:spacing w:line="240" w:lineRule="auto"/>
        <w:ind w:left="720"/>
      </w:pPr>
      <w:r/>
      <w:r>
        <w:t>O décimo terceiro rei de Judá, que reinou de 697 a 642 a.C., é um ancestral de Jesus (</w:t>
      </w:r>
      <w:hyperlink r:id="rId13704">
        <w:r>
          <w:rPr>
            <w:color w:val="0000EE"/>
            <w:u w:val="single"/>
          </w:rPr>
          <w:t>Mt 1.10</w:t>
        </w:r>
      </w:hyperlink>
      <w:r>
        <w:t xml:space="preserve">). Ele é conhecido por seu longo e perverso reinado, descrito em </w:t>
      </w:r>
      <w:hyperlink r:id="rId13705">
        <w:r>
          <w:rPr>
            <w:color w:val="0000EE"/>
            <w:u w:val="single"/>
          </w:rPr>
          <w:t>2Rs 21.1–26</w:t>
        </w:r>
      </w:hyperlink>
      <w:r>
        <w:t xml:space="preserve"> e </w:t>
      </w:r>
      <w:hyperlink r:id="rId13706">
        <w:r>
          <w:rPr>
            <w:color w:val="0000EE"/>
            <w:u w:val="single"/>
          </w:rPr>
          <w:t>2 Cr 33.1–20</w:t>
        </w:r>
      </w:hyperlink>
      <w:r>
        <w:t>. Seu pai foi o piedoso rei Ezequias, e sua mãe foi Hefziba(</w:t>
      </w:r>
      <w:hyperlink r:id="rId6231">
        <w:r>
          <w:rPr>
            <w:color w:val="0000EE"/>
            <w:u w:val="single"/>
          </w:rPr>
          <w:t>2Rs 21.1</w:t>
        </w:r>
      </w:hyperlink>
      <w:r>
        <w:t>).</w:t>
      </w:r>
    </w:p>
    <w:p>
      <w:r/>
      <w:r>
        <w:t>Aos 12 anos, ele se tornou co-governante com seu pai. Em 686 a.C., seu pai morreu e ele se tornou o único rei com apenas 23 anos. Seu reinado de 55 anos (</w:t>
      </w:r>
      <w:hyperlink r:id="rId6231">
        <w:r>
          <w:rPr>
            <w:color w:val="0000EE"/>
            <w:u w:val="single"/>
          </w:rPr>
          <w:t>2Rs 21.1</w:t>
        </w:r>
      </w:hyperlink>
      <w:r>
        <w:t>) é datado desde o início de seu tempo governando com seu pai, então ele governou 11 anos como co-governante e 44 anos como único rei — mais tempo do que qualquer outro rei em Judá ou em Israel. Infelizmente, ele foi o rei mais perverso de Judá. Ele até cometeu uma série de assassinatos para se manter no poder (</w:t>
      </w:r>
      <w:hyperlink r:id="rId13707">
        <w:r>
          <w:rPr>
            <w:color w:val="0000EE"/>
            <w:u w:val="single"/>
          </w:rPr>
          <w:t>2Rs 21.16</w:t>
        </w:r>
      </w:hyperlink>
      <w:r>
        <w:t xml:space="preserve">; </w:t>
      </w:r>
      <w:hyperlink r:id="rId6360">
        <w:r>
          <w:rPr>
            <w:color w:val="0000EE"/>
            <w:u w:val="single"/>
          </w:rPr>
          <w:t>24.4</w:t>
        </w:r>
      </w:hyperlink>
      <w:r>
        <w:t xml:space="preserve">). Seus pecados estão listados em </w:t>
      </w:r>
      <w:hyperlink r:id="rId13419">
        <w:r>
          <w:rPr>
            <w:color w:val="0000EE"/>
            <w:u w:val="single"/>
          </w:rPr>
          <w:t>2Rs 21.2–9</w:t>
        </w:r>
      </w:hyperlink>
      <w:r>
        <w:t xml:space="preserve"> e incluem:</w:t>
      </w:r>
    </w:p>
    <w:p>
      <w:pPr>
        <w:pStyle w:val="ListBullet"/>
        <w:spacing w:line="240" w:lineRule="auto"/>
        <w:ind w:left="1440"/>
      </w:pPr>
      <w:r/>
      <w:r>
        <w:t>Reconstrução dos locais elevados para adoração pagã;</w:t>
      </w:r>
    </w:p>
    <w:p>
      <w:pPr>
        <w:pStyle w:val="ListBullet"/>
        <w:spacing w:line="240" w:lineRule="auto"/>
        <w:ind w:left="1440"/>
      </w:pPr>
      <w:r/>
      <w:r>
        <w:t>Incentivo da adoração de Baal, do sol, da lua e das estrelas;</w:t>
      </w:r>
    </w:p>
    <w:p>
      <w:pPr>
        <w:pStyle w:val="ListBullet"/>
        <w:spacing w:line="240" w:lineRule="auto"/>
        <w:ind w:left="1440"/>
      </w:pPr>
      <w:r/>
      <w:r>
        <w:t>Queima de seu filho como sacrifício infantil (</w:t>
      </w:r>
      <w:hyperlink r:id="rId9790">
        <w:r>
          <w:rPr>
            <w:color w:val="0000EE"/>
            <w:u w:val="single"/>
          </w:rPr>
          <w:t>2Rs 21.6</w:t>
        </w:r>
      </w:hyperlink>
      <w:r>
        <w:t xml:space="preserve">; compare </w:t>
      </w:r>
      <w:hyperlink r:id="rId9794">
        <w:r>
          <w:rPr>
            <w:color w:val="0000EE"/>
            <w:u w:val="single"/>
          </w:rPr>
          <w:t>23.10</w:t>
        </w:r>
      </w:hyperlink>
      <w:r>
        <w:t xml:space="preserve">; </w:t>
      </w:r>
      <w:hyperlink r:id="rId13404">
        <w:r>
          <w:rPr>
            <w:color w:val="0000EE"/>
            <w:u w:val="single"/>
          </w:rPr>
          <w:t>Jeremias 7.31</w:t>
        </w:r>
      </w:hyperlink>
      <w:r>
        <w:t>);</w:t>
      </w:r>
    </w:p>
    <w:p>
      <w:r/>
      <w:hyperlink r:id="rId13708">
        <w:r>
          <w:rPr>
            <w:color w:val="0000EE"/>
            <w:u w:val="single"/>
          </w:rPr>
          <w:t>2Cr 33.11–16</w:t>
        </w:r>
      </w:hyperlink>
      <w:r>
        <w:t xml:space="preserve"> indica que quando ele foi levado como prisioneiro de guerra para Babilônia, ele se arrependeu genuinamente lá, e Deus o fez rei novamente. Ele então tentou acabar com as práticas não-judaicas anteriores e restaurar a adoração adequada a Deus somente. Embora essa história não seja mencionada em 2 Reis, não há razão para duvidar de sua veracidade. Registros assírios mencionam Manassés duas vezes, observando que ele forneceu fielmente homens para transportar madeira do Líbano para Nínive para o rei assírio Esar-Hadom. Os registros também dizem que Manassés pagou tributo ao Rei Assurbanípal após os assírios realizarem uma campanha militar no Egito em 667 a.C. Embora o cativeiro e a libertação semelhantes do Faraó Neco sejam registrados, o cativeiro e a libertação de Manassés não são mencionados nesses registros.</w:t>
      </w:r>
    </w:p>
    <w:p>
      <w:r/>
      <w:r>
        <w:t>Quando Manassés morreu em 642 a.C., aos 67 anos, ele foi enterrado em seu próprio jardim (</w:t>
      </w:r>
      <w:hyperlink r:id="rId13709">
        <w:r>
          <w:rPr>
            <w:color w:val="0000EE"/>
            <w:u w:val="single"/>
          </w:rPr>
          <w:t>2Rs 21.18</w:t>
        </w:r>
      </w:hyperlink>
      <w:r>
        <w:t>), em vez de nos locais de sepultamento real com reis altamente respeitados como Joiada e Ezequias (</w:t>
      </w:r>
      <w:hyperlink r:id="rId13710">
        <w:r>
          <w:rPr>
            <w:color w:val="0000EE"/>
            <w:u w:val="single"/>
          </w:rPr>
          <w:t>2Cr 24.16</w:t>
        </w:r>
      </w:hyperlink>
      <w:r>
        <w:t xml:space="preserve">; </w:t>
      </w:r>
      <w:hyperlink r:id="rId13711">
        <w:r>
          <w:rPr>
            <w:color w:val="0000EE"/>
            <w:u w:val="single"/>
          </w:rPr>
          <w:t>32.33</w:t>
        </w:r>
      </w:hyperlink>
      <w:r>
        <w:t>). O filho de Manassés, Amom, retornou às práticas perversas de seu pai, mas governou por apenas dois anos, de 642 a 640 a.C., antes de ser assassinado. Foi o neto piedoso de Manassés, Josias, que reinou de 640 a 609 a.C., que levou o povo de volta à verdadeira adoração de Yahweh (</w:t>
      </w:r>
      <w:hyperlink r:id="rId13712">
        <w:r>
          <w:rPr>
            <w:color w:val="0000EE"/>
            <w:u w:val="single"/>
          </w:rPr>
          <w:t>2Rs 23.4–14</w:t>
        </w:r>
      </w:hyperlink>
      <w:r>
        <w:t>). No entanto, mesmo as reformas de Josias não puderam impedir o julgamento que havia sido predito por causa dos pecados de Manassés (</w:t>
      </w:r>
      <w:hyperlink r:id="rId8899">
        <w:r>
          <w:rPr>
            <w:color w:val="0000EE"/>
            <w:u w:val="single"/>
          </w:rPr>
          <w:t>2Rs 23.26–27</w:t>
        </w:r>
      </w:hyperlink>
      <w:r>
        <w:t>).</w:t>
      </w:r>
    </w:p>
    <w:p>
      <w:r/>
      <w:r>
        <w:rPr>
          <w:i/>
        </w:rPr>
        <w:t>Veja também</w:t>
      </w:r>
      <w:r>
        <w:t xml:space="preserve"> </w:t>
      </w:r>
      <w:r>
        <w:t>Oração de Manassés</w:t>
      </w:r>
      <w:r>
        <w:t>.</w:t>
      </w:r>
    </w:p>
    <w:p>
      <w:pPr>
        <w:pStyle w:val="ListNumber"/>
        <w:spacing w:line="240" w:lineRule="auto"/>
        <w:ind w:left="720"/>
      </w:pPr>
      <w:r/>
      <w:r>
        <w:t>O filho de Paate-Moabe, que obedeceu à ordem de Esdras para se divorciar de sua esposa não judia após o exílio na Babilônia (</w:t>
      </w:r>
      <w:hyperlink r:id="rId3524">
        <w:r>
          <w:rPr>
            <w:color w:val="0000EE"/>
            <w:u w:val="single"/>
          </w:rPr>
          <w:t>Ed 10.30</w:t>
        </w:r>
      </w:hyperlink>
      <w:r>
        <w:t>).</w:t>
      </w:r>
    </w:p>
    <w:p>
      <w:pPr>
        <w:pStyle w:val="ListNumber"/>
        <w:spacing w:line="240" w:lineRule="auto"/>
        <w:ind w:left="720"/>
      </w:pPr>
      <w:r/>
      <w:r>
        <w:t>O filho de Hasum, que obedeceu à ordem de Esdras para se divorciar de sua esposa não judia após o exílio na Babilônia (</w:t>
      </w:r>
      <w:hyperlink r:id="rId13713">
        <w:r>
          <w:rPr>
            <w:color w:val="0000EE"/>
            <w:u w:val="single"/>
          </w:rPr>
          <w:t>Ed 10.33</w:t>
        </w:r>
      </w:hyperlink>
      <w:r>
        <w:t>).</w:t>
      </w:r>
      <w:r/>
      <w:r/>
    </w:p>
    <w:p>
      <w:r/>
    </w:p>
    <w:p>
      <w:pPr>
        <w:pStyle w:val="Heading2"/>
      </w:pPr>
      <w:r>
        <w:t>Manassés, Tribo de</w:t>
      </w:r>
      <w:r/>
    </w:p>
    <w:p>
      <w:r/>
      <w:r>
        <w:t>Geograficamente, é a maior das 12 tribos de Israel e única a possuir dois territórios, com uma meia-tribo em cada. Isoladas uma da outra pelo vale do rio Jordão, elas se desenvolveram separadamente. A meia-tribo a oeste do Jordão era mais importante, tanto nos tempos do AT quanto do NT, pois era a principal tribo do reino do norte de Israel (931–722 a.C.) e uma das principais origens ancestrais dos samaritanos.</w:t>
      </w:r>
    </w:p>
    <w:p>
      <w:pPr>
        <w:pStyle w:val="Heading3"/>
      </w:pPr>
      <w:r>
        <w:t>História antiga</w:t>
      </w:r>
    </w:p>
    <w:p>
      <w:pPr>
        <w:pStyle w:val="Heading4"/>
      </w:pPr>
      <w:r>
        <w:t>Suas origens</w:t>
      </w:r>
    </w:p>
    <w:p>
      <w:r/>
      <w:r>
        <w:t xml:space="preserve">Suas famílias traçaram suas origens até o filho mais velho de José, Manassés, ao filho de Manassés, Maquir, ou ao neto Gileade, ou a descendentes posteriores como Zelofeade e Jair. Uma harmonia justa pode ser construída a partir dos dados genealógicos bíblicos em </w:t>
      </w:r>
      <w:hyperlink r:id="rId13702">
        <w:r>
          <w:rPr>
            <w:color w:val="0000EE"/>
            <w:u w:val="single"/>
          </w:rPr>
          <w:t>Gn 48.5–6</w:t>
        </w:r>
      </w:hyperlink>
      <w:r>
        <w:t xml:space="preserve">; </w:t>
      </w:r>
      <w:hyperlink r:id="rId13714">
        <w:r>
          <w:rPr>
            <w:color w:val="0000EE"/>
            <w:u w:val="single"/>
          </w:rPr>
          <w:t>Nm 26.28–34</w:t>
        </w:r>
      </w:hyperlink>
      <w:r>
        <w:t xml:space="preserve">; </w:t>
      </w:r>
      <w:hyperlink r:id="rId13715">
        <w:r>
          <w:rPr>
            <w:color w:val="0000EE"/>
            <w:u w:val="single"/>
          </w:rPr>
          <w:t>Js 17.1–3</w:t>
        </w:r>
      </w:hyperlink>
      <w:r>
        <w:t xml:space="preserve">; </w:t>
      </w:r>
      <w:hyperlink r:id="rId13716">
        <w:r>
          <w:rPr>
            <w:color w:val="0000EE"/>
            <w:u w:val="single"/>
          </w:rPr>
          <w:t>1Cr 2.21–23</w:t>
        </w:r>
      </w:hyperlink>
      <w:r>
        <w:t xml:space="preserve">; e </w:t>
      </w:r>
      <w:hyperlink r:id="rId13717">
        <w:r>
          <w:rPr>
            <w:color w:val="0000EE"/>
            <w:u w:val="single"/>
          </w:rPr>
          <w:t>7.14–19</w:t>
        </w:r>
      </w:hyperlink>
      <w:r>
        <w:t xml:space="preserve">, um texto corrompido por vários erros de copistas. A menção de Asriel em </w:t>
      </w:r>
      <w:hyperlink r:id="rId2759">
        <w:r>
          <w:rPr>
            <w:color w:val="0000EE"/>
            <w:u w:val="single"/>
          </w:rPr>
          <w:t>1Cr 7.14</w:t>
        </w:r>
      </w:hyperlink>
      <w:r>
        <w:t xml:space="preserve"> parece ser um erro de copista; caso contrário, os relatos são passíveis de reconciliação, mesmo que cada lista preserve dados diferentes e nenhuma seja completa em si mesma.</w:t>
      </w:r>
    </w:p>
    <w:p>
      <w:pPr>
        <w:pStyle w:val="Heading4"/>
      </w:pPr>
      <w:r>
        <w:t>Seu tamanho</w:t>
      </w:r>
    </w:p>
    <w:p>
      <w:r/>
      <w:r>
        <w:t>Um ano após o êxodo, Manassés tinha o menor exército, de acordo com o primeiro censo de Moisés (</w:t>
      </w:r>
      <w:hyperlink r:id="rId13718">
        <w:r>
          <w:rPr>
            <w:color w:val="0000EE"/>
            <w:u w:val="single"/>
          </w:rPr>
          <w:t>Nm 1.34–35</w:t>
        </w:r>
      </w:hyperlink>
      <w:r>
        <w:t>). Na véspera da conquista de Canaã, após vagar 38 anos no deserto do Sinai e conquistar a Transjordânia, tinha a sexta maior força de combate, de acordo com um segundo censo (</w:t>
      </w:r>
      <w:hyperlink r:id="rId13714">
        <w:r>
          <w:rPr>
            <w:color w:val="0000EE"/>
            <w:u w:val="single"/>
          </w:rPr>
          <w:t>Nm 26.28–34</w:t>
        </w:r>
      </w:hyperlink>
      <w:r>
        <w:t>) — 52.700 homens.</w:t>
      </w:r>
    </w:p>
    <w:p>
      <w:pPr>
        <w:pStyle w:val="Heading4"/>
      </w:pPr>
      <w:r>
        <w:t>Seus primeiros assentamentos</w:t>
      </w:r>
    </w:p>
    <w:p>
      <w:r/>
      <w:r>
        <w:t>Os soldados da meia-tribo oriental de Manassés estabeleceram suas famílias em Gileade, que capturaram sob a liderança de Moisés do rei amorita Ogue (</w:t>
      </w:r>
      <w:hyperlink r:id="rId13719">
        <w:r>
          <w:rPr>
            <w:color w:val="0000EE"/>
            <w:u w:val="single"/>
          </w:rPr>
          <w:t>Nm 21.32–35</w:t>
        </w:r>
      </w:hyperlink>
      <w:r>
        <w:t xml:space="preserve">; </w:t>
      </w:r>
      <w:hyperlink r:id="rId13720">
        <w:r>
          <w:rPr>
            <w:color w:val="0000EE"/>
            <w:u w:val="single"/>
          </w:rPr>
          <w:t>32.39–42</w:t>
        </w:r>
      </w:hyperlink>
      <w:r>
        <w:t xml:space="preserve">; </w:t>
      </w:r>
      <w:hyperlink r:id="rId13721">
        <w:r>
          <w:rPr>
            <w:color w:val="0000EE"/>
            <w:u w:val="single"/>
          </w:rPr>
          <w:t>Dt 3.1–15</w:t>
        </w:r>
      </w:hyperlink>
      <w:r>
        <w:t>). Depois, sob Josué, eles atravessaram o Jordão para ajudar as outras tribos a conquistar Canaã (</w:t>
      </w:r>
      <w:hyperlink r:id="rId13722">
        <w:r>
          <w:rPr>
            <w:color w:val="0000EE"/>
            <w:u w:val="single"/>
          </w:rPr>
          <w:t>Nm 32.1–32</w:t>
        </w:r>
      </w:hyperlink>
      <w:r>
        <w:t xml:space="preserve">; </w:t>
      </w:r>
      <w:hyperlink r:id="rId9696">
        <w:r>
          <w:rPr>
            <w:color w:val="0000EE"/>
            <w:u w:val="single"/>
          </w:rPr>
          <w:t>Js 1.12–18</w:t>
        </w:r>
      </w:hyperlink>
      <w:r>
        <w:t>). Subsequentemente, a meia-tribo ocidental recebeu sua porção e começou a se estabelecer na região montanhosa central (</w:t>
      </w:r>
      <w:hyperlink r:id="rId13723">
        <w:r>
          <w:rPr>
            <w:color w:val="0000EE"/>
            <w:u w:val="single"/>
          </w:rPr>
          <w:t>Js 16.1–9</w:t>
        </w:r>
      </w:hyperlink>
      <w:r>
        <w:t xml:space="preserve">; cap. </w:t>
      </w:r>
      <w:hyperlink r:id="rId13724">
        <w:r>
          <w:rPr>
            <w:color w:val="0000EE"/>
            <w:u w:val="single"/>
          </w:rPr>
          <w:t>17</w:t>
        </w:r>
      </w:hyperlink>
      <w:r>
        <w:t>). Após as tribos restantes receberem suas partes de terra, o exército da meia-tribo oriental voltou para casa (</w:t>
      </w:r>
      <w:hyperlink r:id="rId13725">
        <w:r>
          <w:rPr>
            <w:color w:val="0000EE"/>
            <w:u w:val="single"/>
          </w:rPr>
          <w:t>22.1–9</w:t>
        </w:r>
      </w:hyperlink>
      <w:r>
        <w:t xml:space="preserve">). A caminho de suas famílias em Gileade, eles ajudaram a construir um altar junto ao rio Jordão. Este ato foi destinado a preservar a unidade nacional, mas quase iniciou uma guerra civil (vv. </w:t>
      </w:r>
      <w:hyperlink r:id="rId1128">
        <w:r>
          <w:rPr>
            <w:color w:val="0000EE"/>
            <w:u w:val="single"/>
          </w:rPr>
          <w:t>10–34</w:t>
        </w:r>
      </w:hyperlink>
      <w:r>
        <w:t>).</w:t>
      </w:r>
    </w:p>
    <w:p>
      <w:pPr>
        <w:pStyle w:val="Heading3"/>
      </w:pPr>
      <w:r>
        <w:t>A meia-tribo do leste</w:t>
      </w:r>
    </w:p>
    <w:p>
      <w:pPr>
        <w:pStyle w:val="Heading4"/>
      </w:pPr>
      <w:r>
        <w:t>Seu território</w:t>
      </w:r>
    </w:p>
    <w:p>
      <w:r/>
      <w:r>
        <w:t>Moisés destinou à meia-tribo oriental quase 7.770 quilômetros quadrados de território em três regiões geográficas (norte de Gileade, Basã e Monte Hermom), mas conseguiu controlar apenas cerca de 2.072 quilômetros quadrados — a metade de Gileade ao norte do Rio Jaboque (e ao sul do Rio Yarmuk) — apesar das conquistas iniciais bem-sucedidas (</w:t>
      </w:r>
      <w:hyperlink r:id="rId13720">
        <w:r>
          <w:rPr>
            <w:color w:val="0000EE"/>
            <w:u w:val="single"/>
          </w:rPr>
          <w:t>Nm 32.39–42</w:t>
        </w:r>
      </w:hyperlink>
      <w:r>
        <w:t xml:space="preserve">; </w:t>
      </w:r>
      <w:hyperlink r:id="rId13726">
        <w:r>
          <w:rPr>
            <w:color w:val="0000EE"/>
            <w:u w:val="single"/>
          </w:rPr>
          <w:t>Dt 3.12–15</w:t>
        </w:r>
      </w:hyperlink>
      <w:r>
        <w:t xml:space="preserve">; </w:t>
      </w:r>
      <w:hyperlink r:id="rId13727">
        <w:r>
          <w:rPr>
            <w:color w:val="0000EE"/>
            <w:u w:val="single"/>
          </w:rPr>
          <w:t>Js 13.8–13</w:t>
        </w:r>
      </w:hyperlink>
      <w:r>
        <w:t>) e da expansão gradual para o norte muito mais tarde (</w:t>
      </w:r>
      <w:hyperlink r:id="rId1983">
        <w:r>
          <w:rPr>
            <w:color w:val="0000EE"/>
            <w:u w:val="single"/>
          </w:rPr>
          <w:t>1Cr 5.23</w:t>
        </w:r>
      </w:hyperlink>
      <w:r>
        <w:t>).</w:t>
      </w:r>
    </w:p>
    <w:p>
      <w:r/>
      <w:r>
        <w:t>O território ocupado era principalmente um planalto elevado com um centro montanhoso. Era bem irrigado pelas chuvas no inverno e por um forte orvalho no verão. Oliveiras, videiras e trigo prosperavam, e cabras e ovelhas podiam encontrar pastagem adequada nas encostas orientais, que gradualmente se fundiam no deserto a leste.</w:t>
      </w:r>
    </w:p>
    <w:p>
      <w:pPr>
        <w:pStyle w:val="Heading4"/>
      </w:pPr>
      <w:r>
        <w:t>Pessoas e locais</w:t>
      </w:r>
    </w:p>
    <w:p>
      <w:r/>
      <w:r>
        <w:t>Cidadãos proeminentes da meia-tribo oriental incluíam os "juízes" Jair e Jefté (</w:t>
      </w:r>
      <w:hyperlink r:id="rId11522">
        <w:r>
          <w:rPr>
            <w:color w:val="0000EE"/>
            <w:u w:val="single"/>
          </w:rPr>
          <w:t>Jz 10.3–5</w:t>
        </w:r>
      </w:hyperlink>
      <w:r>
        <w:t xml:space="preserve">; </w:t>
      </w:r>
      <w:hyperlink r:id="rId13728">
        <w:r>
          <w:rPr>
            <w:color w:val="0000EE"/>
            <w:u w:val="single"/>
          </w:rPr>
          <w:t>11.6–12</w:t>
        </w:r>
      </w:hyperlink>
      <w:r>
        <w:t>) e o benfeitor de Davi, Barzilai (</w:t>
      </w:r>
      <w:hyperlink r:id="rId13729">
        <w:r>
          <w:rPr>
            <w:color w:val="0000EE"/>
            <w:u w:val="single"/>
          </w:rPr>
          <w:t>2Sm 19.31–39</w:t>
        </w:r>
      </w:hyperlink>
      <w:r>
        <w:t xml:space="preserve">). As principais cidades eram Jabes-Gileade e Ramote-Gileade, uma cidade de refúgio e uma cidade levítica, respectivamente (originalmente em Gade — </w:t>
      </w:r>
      <w:hyperlink r:id="rId3526">
        <w:r>
          <w:rPr>
            <w:color w:val="0000EE"/>
            <w:u w:val="single"/>
          </w:rPr>
          <w:t>Js 20.8</w:t>
        </w:r>
      </w:hyperlink>
      <w:r>
        <w:t xml:space="preserve">; </w:t>
      </w:r>
      <w:hyperlink r:id="rId13533">
        <w:r>
          <w:rPr>
            <w:color w:val="0000EE"/>
            <w:u w:val="single"/>
          </w:rPr>
          <w:t>21.38</w:t>
        </w:r>
      </w:hyperlink>
      <w:r>
        <w:t>).</w:t>
      </w:r>
    </w:p>
    <w:p>
      <w:r/>
      <w:r>
        <w:t>O território oriental era geralmente chamado simplesmente de "a meia-tribo de Manassés", até que Davi (c. 1000–961 a.C.) o transformou em um distrito administrativo (</w:t>
      </w:r>
      <w:hyperlink r:id="rId3413">
        <w:r>
          <w:rPr>
            <w:color w:val="0000EE"/>
            <w:u w:val="single"/>
          </w:rPr>
          <w:t>1Cr 27.21</w:t>
        </w:r>
      </w:hyperlink>
      <w:r>
        <w:t>). Salomão (970–930 a.C.) dividiu e incorporou-o em dois novos distritos (</w:t>
      </w:r>
      <w:hyperlink r:id="rId13730">
        <w:r>
          <w:rPr>
            <w:color w:val="0000EE"/>
            <w:u w:val="single"/>
          </w:rPr>
          <w:t>1Rs 4.13–14</w:t>
        </w:r>
      </w:hyperlink>
      <w:r>
        <w:t xml:space="preserve">). Sob Jeroboão I (930–909 a.C.), juntou-se, em igualdade de condições, com outras oito tribos e com a meia-tribo ocidental, para formar uma confederação de dez tribos — o reino do norte de Israel — em 930 a.C. Síria e Assíria mantiveram temporariamente o leste de Manassés, nos séculos 9 e 8 a.C. (cf. </w:t>
      </w:r>
      <w:hyperlink r:id="rId1274">
        <w:r>
          <w:rPr>
            <w:color w:val="0000EE"/>
            <w:u w:val="single"/>
          </w:rPr>
          <w:t>2Rs 10.32–33</w:t>
        </w:r>
      </w:hyperlink>
      <w:r>
        <w:t xml:space="preserve">; </w:t>
      </w:r>
      <w:hyperlink r:id="rId1276">
        <w:r>
          <w:rPr>
            <w:color w:val="0000EE"/>
            <w:u w:val="single"/>
          </w:rPr>
          <w:t>13.7</w:t>
        </w:r>
      </w:hyperlink>
      <w:r>
        <w:t xml:space="preserve"> com </w:t>
      </w:r>
      <w:hyperlink r:id="rId2321">
        <w:r>
          <w:rPr>
            <w:color w:val="0000EE"/>
            <w:u w:val="single"/>
          </w:rPr>
          <w:t>14.25</w:t>
        </w:r>
      </w:hyperlink>
      <w:r>
        <w:t xml:space="preserve">; e </w:t>
      </w:r>
      <w:hyperlink r:id="rId3165">
        <w:r>
          <w:rPr>
            <w:color w:val="0000EE"/>
            <w:u w:val="single"/>
          </w:rPr>
          <w:t>2Rs 15.29</w:t>
        </w:r>
      </w:hyperlink>
      <w:r>
        <w:t xml:space="preserve"> com </w:t>
      </w:r>
      <w:hyperlink r:id="rId13731">
        <w:r>
          <w:rPr>
            <w:color w:val="0000EE"/>
            <w:u w:val="single"/>
          </w:rPr>
          <w:t>2Cr 34.6–7</w:t>
        </w:r>
      </w:hyperlink>
      <w:r>
        <w:t>). O rei Tiglate-Pileser III (745–727 a.C.) da Assíria invadiu a área, conquistou-a, deportou seu povo e espalhou-os por todo o seu império (</w:t>
      </w:r>
      <w:hyperlink r:id="rId2775">
        <w:r>
          <w:rPr>
            <w:color w:val="0000EE"/>
            <w:u w:val="single"/>
          </w:rPr>
          <w:t>1Cr 5.26</w:t>
        </w:r>
      </w:hyperlink>
      <w:r>
        <w:t xml:space="preserve">; cf. </w:t>
      </w:r>
      <w:hyperlink r:id="rId3165">
        <w:r>
          <w:rPr>
            <w:color w:val="0000EE"/>
            <w:u w:val="single"/>
          </w:rPr>
          <w:t>2Rs 15.29</w:t>
        </w:r>
      </w:hyperlink>
      <w:r>
        <w:t>) cerca de dez anos antes do restante do reino do norte cair nas mãos dos assírios em 722 a.C. A maioria dos manassitas ocidentais que ficaram para trás casaram-se com estrangeiros, começaram a adorar deuses pagãos e tornaram-se ancestrais dos samaritanos (</w:t>
      </w:r>
      <w:hyperlink r:id="rId13732">
        <w:r>
          <w:rPr>
            <w:color w:val="0000EE"/>
            <w:u w:val="single"/>
          </w:rPr>
          <w:t>2Rs 17.24–41</w:t>
        </w:r>
      </w:hyperlink>
      <w:r>
        <w:t>). Subsequentemente, a região ficou conhecida como Gileade. Nos tempos do NT, a região estava parcialmente na Decápolis e parcialmente em Perea.</w:t>
      </w:r>
      <w:r/>
      <w:r/>
    </w:p>
    <w:p>
      <w:r/>
    </w:p>
    <w:p>
      <w:pPr>
        <w:pStyle w:val="Heading2"/>
      </w:pPr>
      <w:r>
        <w:t>Manassita</w:t>
      </w:r>
      <w:r/>
    </w:p>
    <w:p>
      <w:r/>
      <w:r>
        <w:t>Descendente de Manassés, primogênito de José (</w:t>
      </w:r>
      <w:hyperlink r:id="rId3525">
        <w:r>
          <w:rPr>
            <w:color w:val="0000EE"/>
            <w:u w:val="single"/>
          </w:rPr>
          <w:t>Dt 4.43</w:t>
        </w:r>
      </w:hyperlink>
      <w:r>
        <w:t xml:space="preserve">; </w:t>
      </w:r>
      <w:hyperlink r:id="rId2535">
        <w:r>
          <w:rPr>
            <w:color w:val="0000EE"/>
            <w:u w:val="single"/>
          </w:rPr>
          <w:t>2Rs 10.33</w:t>
        </w:r>
      </w:hyperlink>
      <w:r>
        <w:t xml:space="preserve">). </w:t>
        <w:br/>
        <w:br/>
      </w:r>
      <w:r>
        <w:rPr>
          <w:i/>
        </w:rPr>
        <w:t>Veja</w:t>
      </w:r>
      <w:r>
        <w:t xml:space="preserve"> </w:t>
      </w:r>
      <w:r>
        <w:t>Manassés (Pessoa) #1</w:t>
      </w:r>
      <w:r>
        <w:t xml:space="preserve">; </w:t>
      </w:r>
      <w:r>
        <w:t>Manassés, Tribo de</w:t>
      </w:r>
      <w:r>
        <w:t>.</w:t>
      </w:r>
      <w:r/>
      <w:r/>
    </w:p>
    <w:p>
      <w:r/>
    </w:p>
    <w:p>
      <w:pPr>
        <w:pStyle w:val="Heading2"/>
      </w:pPr>
      <w:r>
        <w:t>Mandamentos, Os dez</w:t>
      </w:r>
      <w:r/>
    </w:p>
    <w:p>
      <w:r/>
      <w:r>
        <w:t>Lista de ordens dadas por Deus a Moisés. Os Dez Mandamentos são mencionados duas vezes no AT; primeiro no livro de Êxodo (</w:t>
      </w:r>
      <w:hyperlink r:id="rId807">
        <w:r>
          <w:rPr>
            <w:color w:val="0000EE"/>
            <w:u w:val="single"/>
          </w:rPr>
          <w:t>20.2–17</w:t>
        </w:r>
      </w:hyperlink>
      <w:r>
        <w:t>), em uma passagem que descreve o presente de Deus dos mandamentos a Israel, e segundo em Deuteronômio (</w:t>
      </w:r>
      <w:hyperlink r:id="rId813">
        <w:r>
          <w:rPr>
            <w:color w:val="0000EE"/>
            <w:u w:val="single"/>
          </w:rPr>
          <w:t>5.6–21</w:t>
        </w:r>
      </w:hyperlink>
      <w:r>
        <w:t>), no contexto de uma cerimônia de renovação da aliança. Moisés lembra seu povo da essência e significado dos mandamentos, enquanto eles renovam sua lealdade à aliança com Deus. Na língua original, os mandamentos são chamados de “Dez Palavras” (de onde vem o nome Decálogo). De acordo com o texto bíblico, eles são “palavras” ou leis, faladas por Deus, não o resultado de um processo legislativo humano. Diz-se que os mandamentos foram escritos em duas tábuas. Isso não significa que cinco mandamentos foram escritos em cada tábua; ao contrário, todos os dez foram escritos em cada tábua, a primeira tábua pertencendo a Deus, o legislador, e a segunda tábua pertencendo a Israel, o destinatário. Os mandamentos dizem respeito a duas áreas básicas da vida humana: os primeiros cinco concernem às relações com Deus, e os últimos cinco, às relações entre seres humanos. Os mandamentos foram dados primeiro a Israel na formação da aliança no Monte Sinai, logo após o Êxodo do Egito. Embora a data da aliança do Sinai não possa ser fixada com certeza, provavelmente foi por volta de 1290 a.C.. Para entender os mandamentos, é necessário primeiro entender o contexto em que foram dados.</w:t>
      </w:r>
    </w:p>
    <w:p>
      <w:r/>
      <w:r>
        <w:t>Resumo</w:t>
      </w:r>
    </w:p>
    <w:p>
      <w:r/>
      <w:r>
        <w:t>• O contexto dos mandamentos</w:t>
      </w:r>
    </w:p>
    <w:p>
      <w:r/>
      <w:r>
        <w:t>• O significado dos mandamentos</w:t>
      </w:r>
    </w:p>
    <w:p>
      <w:r/>
      <w:r>
        <w:t>• O princípio dos mandamentos</w:t>
      </w:r>
    </w:p>
    <w:p>
      <w:pPr>
        <w:pStyle w:val="Heading3"/>
      </w:pPr>
      <w:r>
        <w:t>O contexto dos mandamentos</w:t>
      </w:r>
    </w:p>
    <w:p>
      <w:r/>
      <w:r>
        <w:t>Os mandamentos são inseparáveis da aliança. O estabelecimento de uma aliança entre Deus e Israel no Sinai formou um relacionamento especial. Deus assumiu certos compromissos com Israel e, em troca, impôs certas obrigações a Israel. Embora as obrigações de Israel sejam detalhadas em um conjunto de leis precisas, elas são expressas de forma mais precisa e sucinta nos Dez Mandamentos. Os mandamentos estabelecem os princípios mais fundamentais de toda a lei hebraica, e as leis detalhadas contidas no Pentateuco são, em sua maioria, aplicações desses princípios a situações específicas. Assim, o papel dos Dez Mandamentos no antigo Israel era orientar um relacionamento. Eles não deveriam ser obedecidos apenas por obediência, como se a obediência acumulasse algum tipo de crédito. Em vez disso, deveriam ser seguidos para descobrir a plenitude e a riqueza da vida em um relacionamento com Deus.</w:t>
      </w:r>
    </w:p>
    <w:p>
      <w:r/>
      <w:r>
        <w:t>Os mandamentos na antiga Israel não eram um código ético ou uma compilação de conselhos sobre os fundamentos da moralidade. A aliança era entre Deus e uma nação; os mandamentos eram direcionados para a vida dessa nação e seus cidadãos. Consequentemente, o papel inicial dos mandamentos era semelhante ao da lei criminal em um estado moderno. Israel era uma teocracia, um estado cujo rei era Deus (</w:t>
      </w:r>
      <w:hyperlink r:id="rId11683">
        <w:r>
          <w:rPr>
            <w:color w:val="0000EE"/>
            <w:u w:val="single"/>
          </w:rPr>
          <w:t>Dt 33.5</w:t>
        </w:r>
      </w:hyperlink>
      <w:r>
        <w:t>). Os mandamentos forneciam orientação aos cidadãos desse estado. Além disso, quebrar um mandamento era cometer um crime contra o estado e o governante desse estado, Deus. Assim, as penalidades eram severas, pois a quebra dos mandamentos ameaçava a relação da aliança e a existência contínua do estado. Este contexto estatal é importante para entender os mandamentos em sua forma inicial.</w:t>
      </w:r>
    </w:p>
    <w:p>
      <w:pPr>
        <w:pStyle w:val="Heading3"/>
      </w:pPr>
      <w:r>
        <w:t>O significado dos mandamentos</w:t>
      </w:r>
    </w:p>
    <w:p>
      <w:r/>
      <w:r>
        <w:t>Os mandamentos começam com um prefácio (</w:t>
      </w:r>
      <w:hyperlink r:id="rId6951">
        <w:r>
          <w:rPr>
            <w:color w:val="0000EE"/>
            <w:u w:val="single"/>
          </w:rPr>
          <w:t>Êx 20.2</w:t>
        </w:r>
      </w:hyperlink>
      <w:r>
        <w:t xml:space="preserve">; </w:t>
      </w:r>
      <w:hyperlink r:id="rId6978">
        <w:r>
          <w:rPr>
            <w:color w:val="0000EE"/>
            <w:u w:val="single"/>
          </w:rPr>
          <w:t>Dt 5.6</w:t>
        </w:r>
      </w:hyperlink>
      <w:r>
        <w:t>) que identifica o legislador, Deus, que deu os mandamentos a um povo com quem ele já tinha um relacionamento. O legislador é o Deus do êxodo, que redimiu seu povo da escravidão e lhes concedeu liberdade. O prefácio é vital, pois indica que o presente da lei de Deus foi precedido por um ato de amor e graça. Os mandamentos foram dados a um povo que já havia sido redimido; eles não foram dados para alcançar a redenção. Existem algumas variações na maneira de numerar os mandamentos. De acordo com alguns sistemas, o prefácio é identificado com os primeiros mandamentos. Parece preferível, no entanto, entender as palavras iniciais como um prefácio para todos os dez mandamentos. Nas notas sobre os Dez Mandamentos que se seguem, há primeiro uma explicação do significado original, depois alguma indicação do significado contemporâneo.</w:t>
      </w:r>
    </w:p>
    <w:p>
      <w:pPr>
        <w:pStyle w:val="Heading4"/>
      </w:pPr>
      <w:r>
        <w:t>Primeiro mandamento: Proibição de adorar outros deuses além do Senhor (</w:t>
      </w:r>
      <w:hyperlink r:id="rId6809">
        <w:r>
          <w:rPr>
            <w:color w:val="0000EE"/>
            <w:u w:val="single"/>
          </w:rPr>
          <w:t>Êx 20.3</w:t>
        </w:r>
      </w:hyperlink>
      <w:r>
        <w:t xml:space="preserve">; </w:t>
      </w:r>
      <w:hyperlink r:id="rId6540">
        <w:r>
          <w:rPr>
            <w:color w:val="0000EE"/>
            <w:u w:val="single"/>
          </w:rPr>
          <w:t>Dt 5.7</w:t>
        </w:r>
      </w:hyperlink>
      <w:r>
        <w:t>)</w:t>
      </w:r>
    </w:p>
    <w:p>
      <w:r/>
      <w:r>
        <w:t>O primeiro mandamento está em forma negativa e proíbe expressamente os israelitas de se envolverem na adoração de divindades estrangeiras. A importância do mandamento reside na natureza da aliança. A essência da aliança era um relacionamento, e a essência do relacionamento, do ponto de vista bíblico, é a fidelidade. A fidelidade de Deus ao seu povo já havia sido demonstrada no êxodo, como indicado no prefácio dos mandamentos. Por sua vez, Deus exigia de seu povo, mais do que qualquer outra coisa, fidelidade em seu relacionamento com Ele. Assim, embora o mandamento seja declarado negativamente, está cheio de implicações positivas. E sua posição como o primeiro dos dez é significativa, pois este mandamento estabelece um princípio que é particularmente proeminente nos mandamentos sociais (do sexto ao décimo).</w:t>
      </w:r>
    </w:p>
    <w:p>
      <w:r/>
      <w:r>
        <w:t>A importância contemporânea do mandamento está no contexto da fidelidade no relacionamento. No coração da vida humana, deve haver um relacionamento com Deus. Qualquer coisa na vida que perturbe esse relacionamento primário quebra o mandamento. "Deuses" estrangeiros são, portanto, pessoas ou até mesmo coisas que perturbam a primazia do relacionamento com Deus.</w:t>
      </w:r>
    </w:p>
    <w:p>
      <w:pPr>
        <w:pStyle w:val="Heading4"/>
      </w:pPr>
      <w:r>
        <w:t>Segundo mandamento: Proibição de fazer imagens (</w:t>
      </w:r>
      <w:hyperlink r:id="rId13733">
        <w:r>
          <w:rPr>
            <w:color w:val="0000EE"/>
            <w:u w:val="single"/>
          </w:rPr>
          <w:t>Êx 20.4–6</w:t>
        </w:r>
      </w:hyperlink>
      <w:r>
        <w:t xml:space="preserve">; </w:t>
      </w:r>
      <w:hyperlink r:id="rId13734">
        <w:r>
          <w:rPr>
            <w:color w:val="0000EE"/>
            <w:u w:val="single"/>
          </w:rPr>
          <w:t>Dt 5.8–10</w:t>
        </w:r>
      </w:hyperlink>
      <w:r>
        <w:t>)</w:t>
      </w:r>
    </w:p>
    <w:p>
      <w:r/>
      <w:r>
        <w:t>O segundo mandamento proíbe os israelitas de fazerem imagens do Senhor. Criar uma imagem de Deus, na forma ou figura de qualquer coisa neste mundo, é reduzir o Criador a algo inferior à sua criação e adorar o criado em vez do Criador. A tentação para Israel de adorar Deus na forma de uma imagem deve ter sido enorme, pois imagens e ídolos eram comuns em todas as religiões do antigo Oriente Próximo. Mas o Deus de Israel era um ser transcendente e infinito, e não podia ser reduzido às limitações de uma imagem ou forma dentro da criação. Qualquer redução de Deus seria um mal-entendido tão radical que o “deus” adorado não seria mais o Deus do universo.</w:t>
      </w:r>
    </w:p>
    <w:p>
      <w:r/>
      <w:r>
        <w:t>No mundo moderno, a forma da tentação mudou. Poucos são tentados a pegar ferramentas elétricas e esculpir uma imagem de Deus em madeira. No entanto, o mandamento ainda é aplicável e o perigo contra o qual ele protege está sempre presente.</w:t>
      </w:r>
    </w:p>
    <w:p>
      <w:pPr>
        <w:pStyle w:val="Heading4"/>
      </w:pPr>
      <w:r>
        <w:t>Terceiro mandamento: Proibição do uso indevido do nome de Deus (</w:t>
      </w:r>
      <w:hyperlink r:id="rId12613">
        <w:r>
          <w:rPr>
            <w:color w:val="0000EE"/>
            <w:u w:val="single"/>
          </w:rPr>
          <w:t>Êx 20.7</w:t>
        </w:r>
      </w:hyperlink>
      <w:r>
        <w:t xml:space="preserve">; </w:t>
      </w:r>
      <w:hyperlink r:id="rId13735">
        <w:r>
          <w:rPr>
            <w:color w:val="0000EE"/>
            <w:u w:val="single"/>
          </w:rPr>
          <w:t>Dt 5.11</w:t>
        </w:r>
      </w:hyperlink>
      <w:r>
        <w:t>)</w:t>
      </w:r>
    </w:p>
    <w:p>
      <w:r/>
      <w:r>
        <w:t xml:space="preserve">Há um entendimento popular de que o terceiro mandamento proíbe linguagem ofensiva ou blasfêmia; no entanto, ele está preocupado com o uso do nome de Deus. Deus concedeu a Israel um privilégio extraordinário ao revelar a eles seu nome pessoal. O nome, em hebraico, é representado por quatro letras, </w:t>
      </w:r>
      <w:r>
        <w:rPr>
          <w:i/>
        </w:rPr>
        <w:t>YHWH,</w:t>
      </w:r>
      <w:r>
        <w:t xml:space="preserve"> que são frequentemente traduzidas nas Bíblias em inglês como Senhor, Yahweh ou Jeová. O conhecimento do nome divino era um privilégio, pois significava que Israel não adorava uma divindade anônima e distante, mas um ser com um nome pessoal. No entanto, o privilégio vinha acompanhado do perigo de que o conhecimento do nome pessoal de Deus pudesse ser abusado. Nas religiões do antigo Oriente Próximo, a magia era uma prática comum. A magia envolvia o uso do nome de um deus, acreditando-se que isso controlava o poder de um deus, em certos tipos de atividades projetadas para aproveitá-lo para propósitos humanos. Assim, o tipo de atividade proibida pelo terceiro mandamento é a magia, ou seja, tentar controlar o poder de Deus, através de seu nome, para um propósito pessoal e sem valor. Deus pode dar, mas não deve ser manipulado ou controlado.</w:t>
      </w:r>
    </w:p>
    <w:p>
      <w:r/>
      <w:r>
        <w:t>Dentro do Cristianismo, o nome de Deus é igualmente importante. Através do nome de Deus, há acesso a Ele em oração. O abuso do privilégio da oração, envolvendo invocar o nome de Deus para algum propósito egoísta ou sem valor, ou jurar falsamente por Ele, é equivalente à magia do mundo antigo. Em ambos os casos, o nome de Deus é abusado e o terceiro mandamento é quebrado. Positivamente, o terceiro mandamento é um lembrete do enorme privilégio de conhecer o nome de Deus, um privilégio que não deve ser tomado de ânimo leve ou abusado.</w:t>
      </w:r>
    </w:p>
    <w:p>
      <w:pPr>
        <w:pStyle w:val="Heading4"/>
      </w:pPr>
      <w:r>
        <w:t>Quarto mandamento: Requisito para observar o sábado (</w:t>
      </w:r>
      <w:hyperlink r:id="rId802">
        <w:r>
          <w:rPr>
            <w:color w:val="0000EE"/>
            <w:u w:val="single"/>
          </w:rPr>
          <w:t>Êx 20.8–11</w:t>
        </w:r>
      </w:hyperlink>
      <w:r>
        <w:t xml:space="preserve">; </w:t>
      </w:r>
      <w:hyperlink r:id="rId803">
        <w:r>
          <w:rPr>
            <w:color w:val="0000EE"/>
            <w:u w:val="single"/>
          </w:rPr>
          <w:t>Dt 5.12–15</w:t>
        </w:r>
      </w:hyperlink>
      <w:r>
        <w:t>)</w:t>
      </w:r>
    </w:p>
    <w:p>
      <w:r/>
      <w:r>
        <w:t>Este mandamento, mais uma vez, não tem paralelos nas religiões do antigo Oriente Próximo; além disso, é o primeiro dos mandamentos a ser expresso de forma positiva. Enquanto a maior parte da vida era caracterizada pelo trabalho, o sétimo dia deveria ser reservado. O trabalho deveria cessar e o dia deveria ser mantido santo. A santidade do dia está relacionada ao motivo de sua instituição. São dadas duas razões e, embora a princípio pareçam diferentes, há um tema comum que as liga. Na primeira versão do mandamento (</w:t>
      </w:r>
      <w:hyperlink r:id="rId13736">
        <w:r>
          <w:rPr>
            <w:color w:val="0000EE"/>
            <w:u w:val="single"/>
          </w:rPr>
          <w:t>Êx 20.11</w:t>
        </w:r>
      </w:hyperlink>
      <w:r>
        <w:t>), o sábado é mantido em comemoração à Criação; Deus criou em seis dias e descansou no sétimo dia. Na segunda versão (</w:t>
      </w:r>
      <w:hyperlink r:id="rId13737">
        <w:r>
          <w:rPr>
            <w:color w:val="0000EE"/>
            <w:u w:val="single"/>
          </w:rPr>
          <w:t>Dt 5.15</w:t>
        </w:r>
      </w:hyperlink>
      <w:r>
        <w:t>), o sábado é observado em comemoração ao Êxodo do Egito. O tema que liga as duas versões é a criação: Deus não apenas criou o mundo, mas também "criou" seu povo, Israel, ao redimi-los da escravidão egípcia. Assim, a cada sétimo dia ao longo do tempo, o povo hebreu deveria refletir sobre a Criação; ao fazer isso, eles estavam refletindo sobre o significado de sua existência.</w:t>
      </w:r>
    </w:p>
    <w:p>
      <w:r/>
      <w:r>
        <w:t>Para a maior parte do Cristianismo, o conceito de "sábado" foi transferido do sétimo para o primeiro dia da semana, ou seja, domingo. Essa mudança está relacionada a uma alteração no pensamento cristão, identificada na ressurreição de Jesus Cristo em um domingo de manhã. A mudança é apropriada, pois os cristãos agora refletem a cada domingo, ou "sábado", sobre um terceiro ato de criação divina, a saber, a "nova criação" que é estabelecida na ressurreição de Jesus Cristo dos mortos.</w:t>
      </w:r>
    </w:p>
    <w:p>
      <w:pPr>
        <w:pStyle w:val="Heading4"/>
      </w:pPr>
      <w:r>
        <w:t>Quinto mandamento: Obrigação de honrar os pais (</w:t>
      </w:r>
      <w:hyperlink r:id="rId5750">
        <w:r>
          <w:rPr>
            <w:color w:val="0000EE"/>
            <w:u w:val="single"/>
          </w:rPr>
          <w:t>Êx 20.12</w:t>
        </w:r>
      </w:hyperlink>
      <w:r>
        <w:t xml:space="preserve">; </w:t>
      </w:r>
      <w:hyperlink r:id="rId13738">
        <w:r>
          <w:rPr>
            <w:color w:val="0000EE"/>
            <w:u w:val="single"/>
          </w:rPr>
          <w:t>Dt 5.16</w:t>
        </w:r>
      </w:hyperlink>
      <w:r>
        <w:t>)</w:t>
      </w:r>
    </w:p>
    <w:p>
      <w:r/>
      <w:r>
        <w:t>O quinto mandamento forma uma ponte entre os quatro primeiros, que se concentram principalmente em Deus, e os últimos cinco, que se concentram principalmente nas relações humanas. À primeira vista, parece tratar apenas das relações familiares: os filhos devem honrar seus pais. Embora o mandamento estabeleça um princípio de honra ou respeito nas relações familiares, provavelmente também está relacionado à responsabilidade dos pais de instruir seus filhos na fé da aliança (</w:t>
      </w:r>
      <w:hyperlink r:id="rId7318">
        <w:r>
          <w:rPr>
            <w:color w:val="0000EE"/>
            <w:u w:val="single"/>
          </w:rPr>
          <w:t>Dt 6.7</w:t>
        </w:r>
      </w:hyperlink>
      <w:r>
        <w:t>), para que a religião pudesse ser transmitida de uma geração para outra. No entanto, a instrução na fé exigia uma atitude de honra e respeito daqueles que estavam sendo instruídos. Assim, o quinto mandamento se preocupa não apenas com a harmonia familiar, mas também com a transmissão da fé em Deus ao longo das gerações subsequentes.</w:t>
      </w:r>
    </w:p>
    <w:p>
      <w:r/>
      <w:r>
        <w:t>Com o quinto mandamento, há pouca necessidade de adaptar seu significado para a relevância contemporânea. Em um momento em que tanta educação é realizada além dos limites da unidade familiar, o mandamento serve como um lembrete solene, não apenas da necessidade de uma vida familiar harmoniosa, mas também das responsabilidades da educação religiosa que recaem tanto sobre os pais quanto sobre os filhos.</w:t>
      </w:r>
    </w:p>
    <w:p>
      <w:pPr>
        <w:pStyle w:val="Heading4"/>
      </w:pPr>
      <w:r>
        <w:t>Sexto mandamento: Proibição de assassinato (</w:t>
      </w:r>
      <w:hyperlink r:id="rId7203">
        <w:r>
          <w:rPr>
            <w:color w:val="0000EE"/>
            <w:u w:val="single"/>
          </w:rPr>
          <w:t>Êx 20.13</w:t>
        </w:r>
      </w:hyperlink>
      <w:r>
        <w:t xml:space="preserve">; </w:t>
      </w:r>
      <w:hyperlink r:id="rId13739">
        <w:r>
          <w:rPr>
            <w:color w:val="0000EE"/>
            <w:u w:val="single"/>
          </w:rPr>
          <w:t>Dt 5.17</w:t>
        </w:r>
      </w:hyperlink>
      <w:r>
        <w:t>)</w:t>
      </w:r>
    </w:p>
    <w:p>
      <w:r/>
      <w:r>
        <w:t>A formulação deste mandamento proíbe simplesmente "matar"; no entanto, o significado da palavra implica a proibição de assassinato. A palavra usada no mandamento não está relacionada principalmente ao ato de matar em guerra ou à pena capital, ambos tratados em outras partes da lei mosaica. A palavra poderia ser usada para designar tanto assassinato quanto homicídio culposo. Como o homicídio culposo envolve morte acidental, não pode ser sensatamente proibido; ele também é tratado em outra legislação (</w:t>
      </w:r>
      <w:hyperlink r:id="rId13740">
        <w:r>
          <w:rPr>
            <w:color w:val="0000EE"/>
            <w:u w:val="single"/>
          </w:rPr>
          <w:t>Dt 19.1–13</w:t>
        </w:r>
      </w:hyperlink>
      <w:r>
        <w:t>). Assim, o sexto mandamento proíbe o assassinato, o ato de tirar a vida de outra pessoa por ganho pessoal e egoísta. Afirmado positivamente, o sexto mandamento preserva para cada membro da comunidade da aliança o direito de viver.</w:t>
      </w:r>
    </w:p>
    <w:p>
      <w:r/>
      <w:r>
        <w:t>No mundo moderno, um estatuto semelhante que proíbe o assassinato existe em quase todos os códigos legais, tendo se tornado parte da lei estatal, além da lei puramente religiosa ou moral. Jesus, no entanto, destacou o significado mais profundo implícito no mandamento. Não é apenas o ato, mas também o sentimento subjacente ao ato que é maligno (</w:t>
      </w:r>
      <w:hyperlink r:id="rId11867">
        <w:r>
          <w:rPr>
            <w:color w:val="0000EE"/>
            <w:u w:val="single"/>
          </w:rPr>
          <w:t>Mt 5.21–22</w:t>
        </w:r>
      </w:hyperlink>
      <w:r>
        <w:t>).</w:t>
      </w:r>
    </w:p>
    <w:p>
      <w:pPr>
        <w:pStyle w:val="Heading4"/>
      </w:pPr>
      <w:r>
        <w:t>Sétimo mandamento: Proibição do adultério (</w:t>
      </w:r>
      <w:hyperlink r:id="rId446">
        <w:r>
          <w:rPr>
            <w:color w:val="0000EE"/>
            <w:u w:val="single"/>
          </w:rPr>
          <w:t>Êx 20.14</w:t>
        </w:r>
      </w:hyperlink>
      <w:r>
        <w:t xml:space="preserve">; </w:t>
      </w:r>
      <w:hyperlink r:id="rId447">
        <w:r>
          <w:rPr>
            <w:color w:val="0000EE"/>
            <w:u w:val="single"/>
          </w:rPr>
          <w:t>Dt 5.18</w:t>
        </w:r>
      </w:hyperlink>
      <w:r>
        <w:t>)</w:t>
      </w:r>
    </w:p>
    <w:p>
      <w:r/>
      <w:r>
        <w:t>O ato de adultério é, fundamentalmente, um ato de infidelidade. Uma ou ambas as pessoas envolvidas em um ato adúltero estão sendo infiéis a outra pessoa ou pessoas. Dentre todos esses crimes, o pior é aquele que representa infidelidade. É por essa razão que o adultério está incluído nos Dez Mandamentos, enquanto outros pecados ou crimes relacionados à sexualidade não estão. Assim, o sétimo mandamento é o paralelo social ao primeiro mandamento. Assim como o primeiro mandamento exige fidelidade absoluta no relacionamento com o único Deus, o sétimo exige uma relação semelhante de fidelidade dentro da aliança do casamento.</w:t>
      </w:r>
    </w:p>
    <w:p>
      <w:r/>
      <w:r>
        <w:t>A relevância do mandamento é evidente, mas novamente Jesus aponta para as implicações do mandamento para a vida mental (</w:t>
      </w:r>
      <w:hyperlink r:id="rId444">
        <w:r>
          <w:rPr>
            <w:color w:val="0000EE"/>
            <w:u w:val="single"/>
          </w:rPr>
          <w:t>Mt 5.27–28</w:t>
        </w:r>
      </w:hyperlink>
      <w:r>
        <w:t>).</w:t>
      </w:r>
    </w:p>
    <w:p>
      <w:pPr>
        <w:pStyle w:val="Heading4"/>
      </w:pPr>
      <w:r>
        <w:t>Oitavo mandamento: Proibição de roubo (</w:t>
      </w:r>
      <w:hyperlink r:id="rId13741">
        <w:r>
          <w:rPr>
            <w:color w:val="0000EE"/>
            <w:u w:val="single"/>
          </w:rPr>
          <w:t>Êx 20.15</w:t>
        </w:r>
      </w:hyperlink>
      <w:r>
        <w:t xml:space="preserve">; </w:t>
      </w:r>
      <w:hyperlink r:id="rId13742">
        <w:r>
          <w:rPr>
            <w:color w:val="0000EE"/>
            <w:u w:val="single"/>
          </w:rPr>
          <w:t>Dt 5.19</w:t>
        </w:r>
      </w:hyperlink>
      <w:r>
        <w:t>)</w:t>
      </w:r>
    </w:p>
    <w:p>
      <w:r/>
      <w:r>
        <w:t xml:space="preserve">O oitavo mandamento estabelece um princípio dentro da comunidade da aliança em relação a posses e propriedade; uma pessoa tinha direito a certas coisas, que não poderiam ser violadas por um concidadão para sua vantagem pessoal. Embora o mandamento esteja preocupado com a propriedade, sua preocupação mais fundamental é a liberdade humana. A pior forma de roubo é o "roubo de homens" (algo equivalente ao sequestro moderno) — ou seja, levar uma pessoa (presumivelmente à força) e vendê-la como escrava. O crime e a lei relacionada são declarados mais completamente em </w:t>
      </w:r>
      <w:hyperlink r:id="rId8164">
        <w:r>
          <w:rPr>
            <w:color w:val="0000EE"/>
            <w:u w:val="single"/>
          </w:rPr>
          <w:t>Deuteronômio 24.7</w:t>
        </w:r>
      </w:hyperlink>
      <w:r>
        <w:t>. Assim, o mandamento não está apenas preocupado com a preservação da propriedade privada, mas está mais fundamentalmente preocupado com a preservação da liberdade humana, a liberdade de coisas como escravidão e exílio. Ele proíbe uma pessoa de manipular ou explorar a vida dos outros para ganho pessoal.</w:t>
      </w:r>
    </w:p>
    <w:p>
      <w:r/>
      <w:r>
        <w:t>Assim como o sexto mandamento proíbe o assassinato, o oitavo proíbe o que pode ser chamado de "assassinato social", ou seja, o afastamento de um homem ou mulher de uma vida de liberdade dentro da comunidade do povo de Deus.</w:t>
      </w:r>
    </w:p>
    <w:p>
      <w:pPr>
        <w:pStyle w:val="Heading4"/>
      </w:pPr>
      <w:r>
        <w:t>Nono mandamento: Proibição de falso testemunho (</w:t>
      </w:r>
      <w:hyperlink r:id="rId13743">
        <w:r>
          <w:rPr>
            <w:color w:val="0000EE"/>
            <w:u w:val="single"/>
          </w:rPr>
          <w:t>Êx 20.16</w:t>
        </w:r>
      </w:hyperlink>
      <w:r>
        <w:t xml:space="preserve">; </w:t>
      </w:r>
      <w:hyperlink r:id="rId13744">
        <w:r>
          <w:rPr>
            <w:color w:val="0000EE"/>
            <w:u w:val="single"/>
          </w:rPr>
          <w:t>Dt 5.20</w:t>
        </w:r>
      </w:hyperlink>
      <w:r>
        <w:t>)</w:t>
      </w:r>
    </w:p>
    <w:p>
      <w:r/>
      <w:r>
        <w:t>O mandamento não é uma proibição geral contra mentiras. A formulação do mandamento original o situa firmemente no contexto do sistema legal de Israel. Ele proíbe o perjúrio, ou o fornecimento de falso testemunho nos procedimentos do tribunal de justiça. Assim, estabelece um princípio de veracidade e traz implicações em relação a declarações falsas em qualquer contexto. Em qualquer nação, os tribunais de justiça devem ser capazes de operar com base em informações verdadeiras. Se a lei não é baseada na verdade e na retidão, os próprios fundamentos da vida e da liberdade são minados. Se o testemunho legal é verdadeiro, não pode haver erro judicial; se é falso, as liberdades humanas mais fundamentais são perdidas. Assim, o mandamento buscava preservar a integridade do sistema legal de Israel enquanto protegia contra invasões às liberdades pessoais.</w:t>
      </w:r>
    </w:p>
    <w:p>
      <w:r/>
      <w:r>
        <w:t>O princípio é mantido na maioria dos sistemas legais modernos — por exemplo, ao prestar juramento antes de dar testemunho no tribunal. Mas, em última análise, o mandamento aponta para a importância essencial da veracidade em todas as relações interpessoais.</w:t>
      </w:r>
    </w:p>
    <w:p>
      <w:pPr>
        <w:pStyle w:val="Heading4"/>
      </w:pPr>
      <w:r>
        <w:t>Décimo mandamento: Proibição de cobiçar (</w:t>
      </w:r>
      <w:hyperlink r:id="rId1569">
        <w:r>
          <w:rPr>
            <w:color w:val="0000EE"/>
            <w:u w:val="single"/>
          </w:rPr>
          <w:t>Êx 20.17</w:t>
        </w:r>
      </w:hyperlink>
      <w:r>
        <w:t xml:space="preserve">; </w:t>
      </w:r>
      <w:hyperlink r:id="rId4531">
        <w:r>
          <w:rPr>
            <w:color w:val="0000EE"/>
            <w:u w:val="single"/>
          </w:rPr>
          <w:t>Dt 5.21</w:t>
        </w:r>
      </w:hyperlink>
      <w:r>
        <w:t>)</w:t>
      </w:r>
    </w:p>
    <w:p>
      <w:r/>
      <w:r>
        <w:t xml:space="preserve">O décimo mandamento é interessante em seu contexto inicial. Ele proíbe cobiçar, ou desejar, pessoas ou coisas pertencentes a um vizinho (ou seja, um companheiro israelita). Encontrar tal mandamento em um código de lei criminal é incomum. Os primeiros nove mandamentos proibiam atos, e um ato criminoso pode ser seguido por processo e procedimento legal se detectado. Mas o décimo mandamento, em contraste, proíbe </w:t>
      </w:r>
      <w:r>
        <w:rPr>
          <w:i/>
        </w:rPr>
        <w:t>desejos</w:t>
      </w:r>
      <w:r>
        <w:t xml:space="preserve"> ou sentimentos de cobiça. Sob a lei humana, não é possível processar com base no desejo, já que a prova seria impossível. Embora o crime envolvido no décimo mandamento não pudesse ser processado dentro das limitações do sistema hebraico, ele era, no entanto, conhecido por Deus, o “Juiz Supremo”. O gênio do mandamento reside em sua natureza terapêutica. Não é suficiente apenas lidar com o crime uma vez que ele tenha sido cometido; a lei deve também tentar atacar as raízes do crime.</w:t>
      </w:r>
    </w:p>
    <w:p>
      <w:r/>
      <w:r>
        <w:t>A raiz de quase todo mal e crime reside no eu, nos desejos do indivíduo. Assim, desejos malignos são proibidos. Se os desejos cobiçosos forem gradualmente eliminados, os desejos naturais podem ser direcionados para Deus.</w:t>
      </w:r>
    </w:p>
    <w:p>
      <w:pPr>
        <w:pStyle w:val="Heading3"/>
      </w:pPr>
      <w:r>
        <w:t>O princípio dos mandamentos</w:t>
      </w:r>
    </w:p>
    <w:p>
      <w:r/>
      <w:r>
        <w:t>A importância de cada mandamento é entendida no princípio subjacente de todo o Decálogo. O princípio de tudo é o princípio do amor, o coração da religião de Israel. Deus amou Israel e os chamou com amor. Em troca, Ele impôs um mandamento sobre Israel que superava todos os outros: “Portanto, amem o Senhor, nosso Deus, com todo o coração, com toda a alma e com todas as forças” (</w:t>
      </w:r>
      <w:hyperlink r:id="rId947">
        <w:r>
          <w:rPr>
            <w:color w:val="0000EE"/>
            <w:u w:val="single"/>
          </w:rPr>
          <w:t>Dt 6.5</w:t>
        </w:r>
      </w:hyperlink>
      <w:r>
        <w:t xml:space="preserve">, NTLH). Esse é o mandamento central da religião de Israel. Como amar o Deus invisível e intangível é parcialmente explicado no Decálogo. Para a pessoa que ama a Deus, os Dez Mandamentos fornecem orientação; eles indicam um modo de vida que, se seguido, reflete amor por Deus e leva a uma experiência mais profunda do amor de Deus. Portanto, os Dez Mandamentos continuam a ser uma parte central do Cristianismo. Jesus repetiu o mandamento de amar de </w:t>
      </w:r>
      <w:hyperlink r:id="rId947">
        <w:r>
          <w:rPr>
            <w:color w:val="0000EE"/>
            <w:u w:val="single"/>
          </w:rPr>
          <w:t>Deuteronômio 6.5</w:t>
        </w:r>
      </w:hyperlink>
      <w:r>
        <w:t xml:space="preserve"> e chamou-o de “o maior mandamento e o mais importante” (</w:t>
      </w:r>
      <w:hyperlink r:id="rId13745">
        <w:r>
          <w:rPr>
            <w:color w:val="0000EE"/>
            <w:u w:val="single"/>
          </w:rPr>
          <w:t>Mt 22.37–38</w:t>
        </w:r>
      </w:hyperlink>
      <w:r>
        <w:t>). Consequentemente, os Dez Mandamentos ainda servem como um guia para a comunidade cristã.</w:t>
      </w:r>
    </w:p>
    <w:p>
      <w:r/>
      <w:r>
        <w:rPr>
          <w:i/>
        </w:rPr>
        <w:t>Veja também</w:t>
      </w:r>
      <w:r>
        <w:t xml:space="preserve"> </w:t>
      </w:r>
      <w:r>
        <w:t>Direito civil e justiça</w:t>
      </w:r>
      <w:r>
        <w:t xml:space="preserve">; </w:t>
      </w:r>
      <w:r>
        <w:t>Lei, conceito bíblico</w:t>
      </w:r>
      <w:r>
        <w:t>.</w:t>
      </w:r>
      <w:r/>
      <w:r/>
    </w:p>
    <w:p>
      <w:r/>
    </w:p>
    <w:p>
      <w:pPr>
        <w:pStyle w:val="Heading2"/>
      </w:pPr>
      <w:r>
        <w:t>Mandrágora</w:t>
      </w:r>
      <w:r/>
    </w:p>
    <w:p>
      <w:r/>
      <w:r>
        <w:t>A mandrágora é uma planta que cresce em terras ao redor do Mar Mediterrâneo. Nos tempos antigos, acreditava-se que essa planta poderia aumentar o desejo sexual (</w:t>
      </w:r>
      <w:hyperlink r:id="rId11490">
        <w:r>
          <w:rPr>
            <w:color w:val="0000EE"/>
            <w:u w:val="single"/>
          </w:rPr>
          <w:t>Gn 30</w:t>
        </w:r>
      </w:hyperlink>
      <w:r>
        <w:t>). Era conhecida por seu cheiro agradável (</w:t>
      </w:r>
      <w:hyperlink r:id="rId13746">
        <w:r>
          <w:rPr>
            <w:color w:val="0000EE"/>
            <w:u w:val="single"/>
          </w:rPr>
          <w:t>Ct Sl 7.13</w:t>
        </w:r>
      </w:hyperlink>
      <w:r>
        <w:t>).</w:t>
      </w:r>
    </w:p>
    <w:p>
      <w:r/>
      <w:r>
        <w:rPr>
          <w:i/>
        </w:rPr>
        <w:t>Veja</w:t>
      </w:r>
      <w:r>
        <w:t xml:space="preserve"> </w:t>
      </w:r>
      <w:r>
        <w:t>Plantas</w:t>
      </w:r>
      <w:r>
        <w:t>.</w:t>
      </w:r>
      <w:r/>
      <w:r/>
    </w:p>
    <w:p>
      <w:r/>
    </w:p>
    <w:p>
      <w:pPr>
        <w:pStyle w:val="Heading2"/>
      </w:pPr>
      <w:r>
        <w:t>Manjedoura</w:t>
      </w:r>
      <w:r/>
    </w:p>
    <w:p>
      <w:r/>
      <w:r>
        <w:t>Um cocho é um recipiente onde a comida é colocada para os animais da fazenda.</w:t>
      </w:r>
    </w:p>
    <w:p>
      <w:pPr>
        <w:pStyle w:val="Heading3"/>
      </w:pPr>
      <w:r>
        <w:t>Qual é o significado de "manjedoura" na Bíblia?</w:t>
      </w:r>
    </w:p>
    <w:p>
      <w:r/>
      <w:r>
        <w:t>O termo grego para "manjedoura" aparece apenas quatro vezes no Novo Testamento. Três dessas ocorrências estão na história do nascimento de Jesus no Evangelho de Lucas e são traduzidas com a palavra em português "manjedoura" (</w:t>
      </w:r>
      <w:hyperlink r:id="rId13747">
        <w:r>
          <w:rPr>
            <w:color w:val="0000EE"/>
            <w:u w:val="single"/>
          </w:rPr>
          <w:t>Lucas 2.7,12,16</w:t>
        </w:r>
      </w:hyperlink>
      <w:r>
        <w:t>). A quarta vez que a palavra aparece também é no Evangelho de Lucas (</w:t>
      </w:r>
      <w:hyperlink r:id="rId1566">
        <w:r>
          <w:rPr>
            <w:color w:val="0000EE"/>
            <w:u w:val="single"/>
          </w:rPr>
          <w:t>13.15</w:t>
        </w:r>
      </w:hyperlink>
      <w:r>
        <w:t>). Neste versículo, algumas traduções da Bíblia usam a palavra "manjedoura" enquanto outras usam a palavra "estábulo".</w:t>
      </w:r>
    </w:p>
    <w:p>
      <w:r/>
      <w:r>
        <w:t xml:space="preserve">No Antigo Testamento, várias palavras hebraicas são usadas para descrever lugares onde os animais comem e vivem. Encontramos palavras semelhantes em </w:t>
      </w:r>
      <w:hyperlink r:id="rId13748">
        <w:r>
          <w:rPr>
            <w:color w:val="0000EE"/>
            <w:u w:val="single"/>
          </w:rPr>
          <w:t>Jó 39.9</w:t>
        </w:r>
      </w:hyperlink>
      <w:r>
        <w:t xml:space="preserve">, </w:t>
      </w:r>
      <w:hyperlink r:id="rId13749">
        <w:r>
          <w:rPr>
            <w:color w:val="0000EE"/>
            <w:u w:val="single"/>
          </w:rPr>
          <w:t>Provérbios 14.4</w:t>
        </w:r>
      </w:hyperlink>
      <w:r>
        <w:t xml:space="preserve"> e </w:t>
      </w:r>
      <w:hyperlink r:id="rId5407">
        <w:r>
          <w:rPr>
            <w:color w:val="0000EE"/>
            <w:u w:val="single"/>
          </w:rPr>
          <w:t>Isaías 1.3</w:t>
        </w:r>
      </w:hyperlink>
      <w:r>
        <w:t>, onde são traduzidas como "manjedoura" ou "estábulo". Quando o Antigo Testamento foi traduzido para o grego (uma tradução chamada "Septuaginta"), essas palavras foram traduzidas usando a mesma palavra grega que significa "manjedoura". Os tradutores gregos também usaram essa palavra para traduzir outros três termos hebraicos:</w:t>
      </w:r>
    </w:p>
    <w:p>
      <w:pPr>
        <w:pStyle w:val="ListBullet"/>
        <w:spacing w:line="240" w:lineRule="auto"/>
        <w:ind w:left="720"/>
      </w:pPr>
      <w:r/>
      <w:r>
        <w:t xml:space="preserve">"uma estrebaria (uma área fechada para animais) em </w:t>
      </w:r>
      <w:hyperlink r:id="rId13750">
        <w:r>
          <w:rPr>
            <w:color w:val="0000EE"/>
            <w:u w:val="single"/>
          </w:rPr>
          <w:t>2 Crônicas 32.28</w:t>
        </w:r>
      </w:hyperlink>
    </w:p>
    <w:p>
      <w:pPr>
        <w:pStyle w:val="ListBullet"/>
        <w:spacing w:line="240" w:lineRule="auto"/>
        <w:ind w:left="720"/>
      </w:pPr>
      <w:r/>
      <w:r>
        <w:t xml:space="preserve">“forragem” ou “pastagem” (um lugar onde os animais comem) em </w:t>
      </w:r>
      <w:hyperlink r:id="rId13751">
        <w:r>
          <w:rPr>
            <w:color w:val="0000EE"/>
            <w:u w:val="single"/>
          </w:rPr>
          <w:t>Jó 6.5</w:t>
        </w:r>
      </w:hyperlink>
    </w:p>
    <w:p>
      <w:pPr>
        <w:pStyle w:val="ListBullet"/>
        <w:spacing w:line="240" w:lineRule="auto"/>
        <w:ind w:left="720"/>
      </w:pPr>
      <w:r/>
      <w:r>
        <w:t xml:space="preserve">“currais” ou “aprisco” em </w:t>
      </w:r>
      <w:hyperlink r:id="rId13752">
        <w:r>
          <w:rPr>
            <w:color w:val="0000EE"/>
            <w:u w:val="single"/>
          </w:rPr>
          <w:t>Habacuque 3.17</w:t>
        </w:r>
      </w:hyperlink>
    </w:p>
    <w:p>
      <w:pPr>
        <w:pStyle w:val="Heading3"/>
      </w:pPr>
      <w:r>
        <w:t>Onde a manjedoura estava localizada?</w:t>
      </w:r>
    </w:p>
    <w:p>
      <w:r/>
      <w:r>
        <w:t>Um estudo sobre os costumes modernos do Oriente Médio e a arqueologia bíblica identificou dois possíveis locais para o estábulo e a manjedoura:</w:t>
      </w:r>
    </w:p>
    <w:p>
      <w:pPr>
        <w:pStyle w:val="ListNumber"/>
        <w:spacing w:line="240" w:lineRule="auto"/>
        <w:ind w:left="720"/>
      </w:pPr>
      <w:r/>
      <w:r>
        <w:t>Dentro da casa: Famílias pobres frequentemente tinham um cômodo para seus animais ao lado de seu espaço de convivência. Este cômodo para animais geralmente ficava alguns degraus abaixo de onde a família vivia. Nesse tipo de estábulo, o cocho era feito de pedra. Era ou:</w:t>
      </w:r>
    </w:p>
    <w:p>
      <w:pPr>
        <w:pStyle w:val="ListBullet"/>
        <w:spacing w:line="240" w:lineRule="auto"/>
        <w:ind w:left="1440"/>
      </w:pPr>
      <w:r/>
      <w:r>
        <w:t>construída junto a uma das paredes de madeira, ou</w:t>
      </w:r>
    </w:p>
    <w:p>
      <w:pPr>
        <w:pStyle w:val="ListBullet"/>
        <w:spacing w:line="240" w:lineRule="auto"/>
        <w:ind w:left="1440"/>
      </w:pPr>
      <w:r/>
      <w:r>
        <w:t>esculpido em pedra natural.</w:t>
      </w:r>
    </w:p>
    <w:p>
      <w:pPr>
        <w:pStyle w:val="ListNumber"/>
        <w:spacing w:line="240" w:lineRule="auto"/>
        <w:ind w:left="720"/>
      </w:pPr>
      <w:r/>
      <w:r>
        <w:t>Em uma caverna: O estábulo também poderia ter sido em uma caverna. Essas cavernas eram ou:</w:t>
      </w:r>
    </w:p>
    <w:p>
      <w:pPr>
        <w:pStyle w:val="ListBullet"/>
        <w:spacing w:line="240" w:lineRule="auto"/>
        <w:ind w:left="1440"/>
      </w:pPr>
      <w:r/>
      <w:r>
        <w:t>próximo à casa, ou</w:t>
      </w:r>
    </w:p>
    <w:p>
      <w:pPr>
        <w:pStyle w:val="ListBullet"/>
        <w:spacing w:line="240" w:lineRule="auto"/>
        <w:ind w:left="1440"/>
      </w:pPr>
      <w:r/>
      <w:r>
        <w:t>no espaço de convivência da família.</w:t>
      </w:r>
    </w:p>
    <w:p>
      <w:r/>
      <w:r>
        <w:t>Pesquisadores encontraram exemplos desses tipos de estábulos. Em uma cidade antiga chamada Megido, eles descobriram uma sala de estábulo anexada a uma casa. Em outra cidade antiga chamada Laquis, encontraram uma caverna sob um edifício que foi usada como estábulo por volta de 1200 a.C.</w:t>
      </w:r>
    </w:p>
    <w:p>
      <w:r/>
      <w:r>
        <w:t>De acordo com a tradição, Jesus nasceu em uma caverna que era usada como estábulo. Hoje, há uma igreja chamada "Igreja da Natividade" construída sobre uma caverna em Belém, onde alguns acreditam que Jesus nasceu. No entanto, ao lermos o Evangelho de Lucas, a descrição também pode indicar que Jesus nasceu em um estábulo ao lado de uma casa, como os que descrevemos anteriormente.</w:t>
      </w:r>
    </w:p>
    <w:p>
      <w:r/>
      <w:r>
        <w:rPr>
          <w:i/>
        </w:rPr>
        <w:t>Veja</w:t>
      </w:r>
      <w:r>
        <w:t xml:space="preserve"> </w:t>
      </w:r>
      <w:r>
        <w:t>Jesus Cristo, Vida e Ensinamentos de</w:t>
      </w:r>
      <w:r>
        <w:t>.</w:t>
      </w:r>
      <w:r/>
      <w:r/>
    </w:p>
    <w:p>
      <w:r/>
    </w:p>
    <w:p>
      <w:pPr>
        <w:pStyle w:val="Heading2"/>
      </w:pPr>
      <w:r>
        <w:t>Manre (Pessoa)</w:t>
      </w:r>
      <w:r/>
    </w:p>
    <w:p>
      <w:r/>
      <w:r>
        <w:t>Proprietário de uma parcela de terra chamada "a planície de Manre". Ele era um amorreu e é registrado como tendo dois irmãos: Aner e Escol (</w:t>
      </w:r>
      <w:hyperlink r:id="rId1449">
        <w:r>
          <w:rPr>
            <w:color w:val="0000EE"/>
            <w:u w:val="single"/>
          </w:rPr>
          <w:t>Gn 14.13</w:t>
        </w:r>
      </w:hyperlink>
      <w:r>
        <w:t>). Eles se tornaram aliados de Abraão quando ele lutou para salvar seu sobrinho Ló.</w:t>
      </w:r>
      <w:r/>
      <w:r/>
    </w:p>
    <w:p>
      <w:r/>
    </w:p>
    <w:p>
      <w:pPr>
        <w:pStyle w:val="Heading2"/>
      </w:pPr>
      <w:r>
        <w:t>Mansidão</w:t>
      </w:r>
      <w:r/>
    </w:p>
    <w:p>
      <w:r/>
      <w:r>
        <w:t>No AT uma atitude de humildade ou se curvar (</w:t>
      </w:r>
      <w:hyperlink r:id="rId13753">
        <w:r>
          <w:rPr>
            <w:color w:val="0000EE"/>
            <w:u w:val="single"/>
          </w:rPr>
          <w:t>2Sm 22.36</w:t>
        </w:r>
      </w:hyperlink>
      <w:r>
        <w:t xml:space="preserve">, ARC; cf. </w:t>
      </w:r>
      <w:hyperlink r:id="rId13754">
        <w:r>
          <w:rPr>
            <w:color w:val="0000EE"/>
            <w:u w:val="single"/>
          </w:rPr>
          <w:t>Sl 18.35</w:t>
        </w:r>
      </w:hyperlink>
      <w:r>
        <w:t>, ARC). Suas formas adjetivas e adverbiais (“gentil”, “gentilmente”) podem significar cortês e despretensioso (</w:t>
      </w:r>
      <w:hyperlink r:id="rId2626">
        <w:r>
          <w:rPr>
            <w:color w:val="0000EE"/>
            <w:u w:val="single"/>
          </w:rPr>
          <w:t>Pv 15.4</w:t>
        </w:r>
      </w:hyperlink>
      <w:r>
        <w:t>), quieto e terno (</w:t>
      </w:r>
      <w:hyperlink r:id="rId13755">
        <w:r>
          <w:rPr>
            <w:color w:val="0000EE"/>
            <w:u w:val="single"/>
          </w:rPr>
          <w:t>Dt 32.2</w:t>
        </w:r>
      </w:hyperlink>
      <w:r>
        <w:t xml:space="preserve">; </w:t>
      </w:r>
      <w:hyperlink r:id="rId13756">
        <w:r>
          <w:rPr>
            <w:color w:val="0000EE"/>
            <w:u w:val="single"/>
          </w:rPr>
          <w:t>Is 8.6</w:t>
        </w:r>
      </w:hyperlink>
      <w:r>
        <w:t>), ou inofensivo (</w:t>
      </w:r>
      <w:hyperlink r:id="rId13757">
        <w:r>
          <w:rPr>
            <w:color w:val="0000EE"/>
            <w:u w:val="single"/>
          </w:rPr>
          <w:t>2Sm 18.5</w:t>
        </w:r>
      </w:hyperlink>
      <w:r>
        <w:t xml:space="preserve">; </w:t>
      </w:r>
      <w:hyperlink r:id="rId13758">
        <w:r>
          <w:rPr>
            <w:color w:val="0000EE"/>
            <w:u w:val="single"/>
          </w:rPr>
          <w:t>Jó 15.11</w:t>
        </w:r>
      </w:hyperlink>
      <w:r>
        <w:t>).</w:t>
      </w:r>
    </w:p>
    <w:p>
      <w:r/>
      <w:r>
        <w:t>No NT, várias palavras são traduzidas como “gentileza”, “gentil” ou “mansamente”. Tons de significado incluem (1) brandura, mansidão, paciência (</w:t>
      </w:r>
      <w:hyperlink r:id="rId936">
        <w:r>
          <w:rPr>
            <w:color w:val="0000EE"/>
            <w:u w:val="single"/>
          </w:rPr>
          <w:t>Mt 11.29</w:t>
        </w:r>
      </w:hyperlink>
      <w:r>
        <w:t xml:space="preserve">; </w:t>
      </w:r>
      <w:hyperlink r:id="rId13759">
        <w:r>
          <w:rPr>
            <w:color w:val="0000EE"/>
            <w:u w:val="single"/>
          </w:rPr>
          <w:t>1Co 4.21</w:t>
        </w:r>
      </w:hyperlink>
      <w:r>
        <w:t xml:space="preserve">; </w:t>
      </w:r>
      <w:hyperlink r:id="rId5916">
        <w:r>
          <w:rPr>
            <w:color w:val="0000EE"/>
            <w:u w:val="single"/>
          </w:rPr>
          <w:t>2Co 10.1</w:t>
        </w:r>
      </w:hyperlink>
      <w:r>
        <w:t xml:space="preserve">; </w:t>
      </w:r>
      <w:hyperlink r:id="rId13760">
        <w:r>
          <w:rPr>
            <w:color w:val="0000EE"/>
            <w:u w:val="single"/>
          </w:rPr>
          <w:t>Gl 5.23</w:t>
        </w:r>
      </w:hyperlink>
      <w:r>
        <w:t xml:space="preserve">; </w:t>
      </w:r>
      <w:hyperlink r:id="rId13761">
        <w:r>
          <w:rPr>
            <w:color w:val="0000EE"/>
            <w:u w:val="single"/>
          </w:rPr>
          <w:t>1Tm 6.11</w:t>
        </w:r>
      </w:hyperlink>
      <w:r>
        <w:t xml:space="preserve">; </w:t>
      </w:r>
      <w:hyperlink r:id="rId5702">
        <w:r>
          <w:rPr>
            <w:color w:val="0000EE"/>
            <w:u w:val="single"/>
          </w:rPr>
          <w:t>1Pe 3.4,15</w:t>
        </w:r>
      </w:hyperlink>
      <w:r>
        <w:t>), ou um comportamento cortês e modesto (</w:t>
      </w:r>
      <w:hyperlink r:id="rId4631">
        <w:r>
          <w:rPr>
            <w:color w:val="0000EE"/>
            <w:u w:val="single"/>
          </w:rPr>
          <w:t>2Tm 2.25</w:t>
        </w:r>
      </w:hyperlink>
      <w:r>
        <w:t>); (2) bondade expressa para com os outros (</w:t>
      </w:r>
      <w:hyperlink r:id="rId1029">
        <w:r>
          <w:rPr>
            <w:color w:val="0000EE"/>
            <w:u w:val="single"/>
          </w:rPr>
          <w:t>1Tm 2.7</w:t>
        </w:r>
      </w:hyperlink>
      <w:r>
        <w:t xml:space="preserve">; </w:t>
      </w:r>
      <w:hyperlink r:id="rId13762">
        <w:r>
          <w:rPr>
            <w:color w:val="0000EE"/>
            <w:u w:val="single"/>
          </w:rPr>
          <w:t>2Tm 2.24</w:t>
        </w:r>
      </w:hyperlink>
      <w:r>
        <w:t>); e (3) apropriado, justo ou decente (</w:t>
      </w:r>
      <w:hyperlink r:id="rId13763">
        <w:r>
          <w:rPr>
            <w:color w:val="0000EE"/>
            <w:u w:val="single"/>
          </w:rPr>
          <w:t>1Tm 3.3</w:t>
        </w:r>
      </w:hyperlink>
      <w:r>
        <w:t xml:space="preserve">; </w:t>
      </w:r>
      <w:hyperlink r:id="rId3809">
        <w:r>
          <w:rPr>
            <w:color w:val="0000EE"/>
            <w:u w:val="single"/>
          </w:rPr>
          <w:t>Tt 3.2</w:t>
        </w:r>
      </w:hyperlink>
      <w:r>
        <w:t xml:space="preserve">; </w:t>
      </w:r>
      <w:hyperlink r:id="rId13764">
        <w:r>
          <w:rPr>
            <w:color w:val="0000EE"/>
            <w:u w:val="single"/>
          </w:rPr>
          <w:t>1Pe 2.18</w:t>
        </w:r>
      </w:hyperlink>
      <w:r>
        <w:t>). Os líderes da igreja e outros crentes são instruídos a lidar gentilmente com aqueles que tropeçam (</w:t>
      </w:r>
      <w:hyperlink r:id="rId5321">
        <w:r>
          <w:rPr>
            <w:color w:val="0000EE"/>
            <w:u w:val="single"/>
          </w:rPr>
          <w:t>Gl 6.1</w:t>
        </w:r>
      </w:hyperlink>
      <w:r>
        <w:t>), se opõem à fé (</w:t>
      </w:r>
      <w:hyperlink r:id="rId4631">
        <w:r>
          <w:rPr>
            <w:color w:val="0000EE"/>
            <w:u w:val="single"/>
          </w:rPr>
          <w:t>2Tm 2.25</w:t>
        </w:r>
      </w:hyperlink>
      <w:r>
        <w:t>), ou são ignorantes e rebeldes (</w:t>
      </w:r>
      <w:hyperlink r:id="rId13765">
        <w:r>
          <w:rPr>
            <w:color w:val="0000EE"/>
            <w:u w:val="single"/>
          </w:rPr>
          <w:t>Hb 5.2</w:t>
        </w:r>
      </w:hyperlink>
      <w:r>
        <w:t>).</w:t>
      </w:r>
      <w:r/>
      <w:r/>
    </w:p>
    <w:p>
      <w:r/>
    </w:p>
    <w:p>
      <w:pPr>
        <w:pStyle w:val="Heading2"/>
      </w:pPr>
      <w:r>
        <w:t>Mão</w:t>
      </w:r>
      <w:r/>
    </w:p>
    <w:p>
      <w:r/>
      <w:r>
        <w:t>A parte terminal do membro anterior que tem a capacidade de agarrar. “Mão” é usada centenas de vezes na Bíblia para descrever uma parte física do corpo de alguém. Também é usado com frequência em metáforas ou linguagem figurativa.</w:t>
      </w:r>
    </w:p>
    <w:p>
      <w:r/>
      <w:r>
        <w:t>Figurativamente, a mão significava poder (</w:t>
      </w:r>
      <w:hyperlink r:id="rId11130">
        <w:r>
          <w:rPr>
            <w:color w:val="0000EE"/>
            <w:u w:val="single"/>
          </w:rPr>
          <w:t>Dt 2.15</w:t>
        </w:r>
      </w:hyperlink>
      <w:r>
        <w:t xml:space="preserve">; </w:t>
      </w:r>
      <w:hyperlink r:id="rId13766">
        <w:r>
          <w:rPr>
            <w:color w:val="0000EE"/>
            <w:u w:val="single"/>
          </w:rPr>
          <w:t>Sl 31.5</w:t>
        </w:r>
      </w:hyperlink>
      <w:r>
        <w:t xml:space="preserve">; </w:t>
      </w:r>
      <w:hyperlink r:id="rId4778">
        <w:r>
          <w:rPr>
            <w:color w:val="0000EE"/>
            <w:u w:val="single"/>
          </w:rPr>
          <w:t>Mc 14.62</w:t>
        </w:r>
      </w:hyperlink>
      <w:r>
        <w:t xml:space="preserve">). De fato, em </w:t>
      </w:r>
      <w:hyperlink r:id="rId13767">
        <w:r>
          <w:rPr>
            <w:color w:val="0000EE"/>
            <w:u w:val="single"/>
          </w:rPr>
          <w:t>Js 8.20</w:t>
        </w:r>
      </w:hyperlink>
      <w:r>
        <w:t xml:space="preserve"> “mão para fugir” é traduzido como “poder para fugir” (veja </w:t>
      </w:r>
      <w:hyperlink r:id="rId13768">
        <w:r>
          <w:rPr>
            <w:color w:val="0000EE"/>
            <w:u w:val="single"/>
          </w:rPr>
          <w:t>Sl 76.5</w:t>
        </w:r>
      </w:hyperlink>
      <w:r>
        <w:t>). Por outro lado, as mãos cansadas simbolizavam irresolução e fraqueza (</w:t>
      </w:r>
      <w:hyperlink r:id="rId676">
        <w:r>
          <w:rPr>
            <w:color w:val="0000EE"/>
            <w:u w:val="single"/>
          </w:rPr>
          <w:t>Is 35.3</w:t>
        </w:r>
      </w:hyperlink>
      <w:r>
        <w:t>). Apertar as mãos significava amizade (</w:t>
      </w:r>
      <w:hyperlink r:id="rId13769">
        <w:r>
          <w:rPr>
            <w:color w:val="0000EE"/>
            <w:u w:val="single"/>
          </w:rPr>
          <w:t>2Rs 10.15</w:t>
        </w:r>
      </w:hyperlink>
      <w:r>
        <w:t>). Sentar alguém à direita denotava favor (</w:t>
      </w:r>
      <w:hyperlink r:id="rId4148">
        <w:r>
          <w:rPr>
            <w:color w:val="0000EE"/>
            <w:u w:val="single"/>
          </w:rPr>
          <w:t>Sl 16.11</w:t>
        </w:r>
      </w:hyperlink>
      <w:r>
        <w:t xml:space="preserve">; </w:t>
      </w:r>
      <w:hyperlink r:id="rId13770">
        <w:r>
          <w:rPr>
            <w:color w:val="0000EE"/>
            <w:u w:val="single"/>
          </w:rPr>
          <w:t>77.10</w:t>
        </w:r>
      </w:hyperlink>
      <w:r>
        <w:t xml:space="preserve">; </w:t>
      </w:r>
      <w:hyperlink r:id="rId2667">
        <w:r>
          <w:rPr>
            <w:color w:val="0000EE"/>
            <w:u w:val="single"/>
          </w:rPr>
          <w:t>110.1</w:t>
        </w:r>
      </w:hyperlink>
      <w:r>
        <w:t>). As mãos limpas simbolizavam a inocência (</w:t>
      </w:r>
      <w:hyperlink r:id="rId13771">
        <w:r>
          <w:rPr>
            <w:color w:val="0000EE"/>
            <w:u w:val="single"/>
          </w:rPr>
          <w:t>Sl 26.6</w:t>
        </w:r>
      </w:hyperlink>
      <w:r>
        <w:t>), enquanto apertar as mãos selava um acordo. (</w:t>
      </w:r>
      <w:hyperlink r:id="rId13772">
        <w:r>
          <w:rPr>
            <w:color w:val="0000EE"/>
            <w:u w:val="single"/>
          </w:rPr>
          <w:t>Pv 6.1</w:t>
        </w:r>
      </w:hyperlink>
      <w:r>
        <w:t>, NTLH). Levantar a mão simbolizava a violência (</w:t>
      </w:r>
      <w:hyperlink r:id="rId11601">
        <w:r>
          <w:rPr>
            <w:color w:val="0000EE"/>
            <w:u w:val="single"/>
          </w:rPr>
          <w:t>1Rs 11.26</w:t>
        </w:r>
      </w:hyperlink>
      <w:r>
        <w:t>, ARA). As mãos foram usadas em oração suplicativa (</w:t>
      </w:r>
      <w:hyperlink r:id="rId13773">
        <w:r>
          <w:rPr>
            <w:color w:val="0000EE"/>
            <w:u w:val="single"/>
          </w:rPr>
          <w:t>Êx 17.11</w:t>
        </w:r>
      </w:hyperlink>
      <w:r>
        <w:t xml:space="preserve">; </w:t>
      </w:r>
      <w:hyperlink r:id="rId13774">
        <w:r>
          <w:rPr>
            <w:color w:val="0000EE"/>
            <w:u w:val="single"/>
          </w:rPr>
          <w:t>Lv 9.22</w:t>
        </w:r>
      </w:hyperlink>
      <w:r>
        <w:t xml:space="preserve">; </w:t>
      </w:r>
      <w:hyperlink r:id="rId6370">
        <w:r>
          <w:rPr>
            <w:color w:val="0000EE"/>
            <w:u w:val="single"/>
          </w:rPr>
          <w:t>Is 1.15</w:t>
        </w:r>
      </w:hyperlink>
      <w:r>
        <w:t xml:space="preserve">; </w:t>
      </w:r>
      <w:hyperlink r:id="rId13775">
        <w:r>
          <w:rPr>
            <w:color w:val="0000EE"/>
            <w:u w:val="single"/>
          </w:rPr>
          <w:t>1Tm 2.8</w:t>
        </w:r>
      </w:hyperlink>
      <w:r>
        <w:t>) e na tomada de votos (</w:t>
      </w:r>
      <w:hyperlink r:id="rId13776">
        <w:r>
          <w:rPr>
            <w:color w:val="0000EE"/>
            <w:u w:val="single"/>
          </w:rPr>
          <w:t>Gn 14.22</w:t>
        </w:r>
      </w:hyperlink>
      <w:r>
        <w:t xml:space="preserve">, NTLH; </w:t>
      </w:r>
      <w:hyperlink r:id="rId13777">
        <w:r>
          <w:rPr>
            <w:color w:val="0000EE"/>
            <w:u w:val="single"/>
          </w:rPr>
          <w:t>24.2</w:t>
        </w:r>
      </w:hyperlink>
      <w:r>
        <w:t>).</w:t>
      </w:r>
    </w:p>
    <w:p>
      <w:r/>
      <w:r>
        <w:t>Outros usos idiomáticos das mãos expressam colocar em risco a vida (</w:t>
      </w:r>
      <w:hyperlink r:id="rId13778">
        <w:r>
          <w:rPr>
            <w:color w:val="0000EE"/>
            <w:u w:val="single"/>
          </w:rPr>
          <w:t>Jz 12.3</w:t>
        </w:r>
      </w:hyperlink>
      <w:r>
        <w:t>), alegria (</w:t>
      </w:r>
      <w:hyperlink r:id="rId5943">
        <w:r>
          <w:rPr>
            <w:color w:val="0000EE"/>
            <w:u w:val="single"/>
          </w:rPr>
          <w:t>2Rs 11.12</w:t>
        </w:r>
      </w:hyperlink>
      <w:r>
        <w:t>), generosidade (</w:t>
      </w:r>
      <w:hyperlink r:id="rId13779">
        <w:r>
          <w:rPr>
            <w:color w:val="0000EE"/>
            <w:u w:val="single"/>
          </w:rPr>
          <w:t>Dt 15.11</w:t>
        </w:r>
      </w:hyperlink>
      <w:r>
        <w:t>), tristeza (</w:t>
      </w:r>
      <w:hyperlink r:id="rId4915">
        <w:r>
          <w:rPr>
            <w:color w:val="0000EE"/>
            <w:u w:val="single"/>
          </w:rPr>
          <w:t>2Sm 13.19</w:t>
        </w:r>
      </w:hyperlink>
      <w:r>
        <w:t>), humildade (</w:t>
      </w:r>
      <w:hyperlink r:id="rId13780">
        <w:r>
          <w:rPr>
            <w:color w:val="0000EE"/>
            <w:u w:val="single"/>
          </w:rPr>
          <w:t>Pv 30.32</w:t>
        </w:r>
      </w:hyperlink>
      <w:r>
        <w:t>) e realizar um dever (</w:t>
      </w:r>
      <w:hyperlink r:id="rId13781">
        <w:r>
          <w:rPr>
            <w:color w:val="0000EE"/>
            <w:u w:val="single"/>
          </w:rPr>
          <w:t>Lc 9.62</w:t>
        </w:r>
      </w:hyperlink>
      <w:r>
        <w:t>). O trabalho manual é uma expressão da dignidade e dever do homem (</w:t>
      </w:r>
      <w:hyperlink r:id="rId13782">
        <w:r>
          <w:rPr>
            <w:color w:val="0000EE"/>
            <w:u w:val="single"/>
          </w:rPr>
          <w:t>Ef 4.28</w:t>
        </w:r>
      </w:hyperlink>
      <w:r>
        <w:t xml:space="preserve">; </w:t>
      </w:r>
      <w:hyperlink r:id="rId13783">
        <w:r>
          <w:rPr>
            <w:color w:val="0000EE"/>
            <w:u w:val="single"/>
          </w:rPr>
          <w:t>1Ts 4.11</w:t>
        </w:r>
      </w:hyperlink>
      <w:r>
        <w:t>), as marcas das qual Paulo não teve vergonha de exibir (</w:t>
      </w:r>
      <w:hyperlink r:id="rId13784">
        <w:r>
          <w:rPr>
            <w:color w:val="0000EE"/>
            <w:u w:val="single"/>
          </w:rPr>
          <w:t>At 20.34</w:t>
        </w:r>
      </w:hyperlink>
      <w:r>
        <w:t xml:space="preserve">; </w:t>
      </w:r>
      <w:hyperlink r:id="rId13785">
        <w:r>
          <w:rPr>
            <w:color w:val="0000EE"/>
            <w:u w:val="single"/>
          </w:rPr>
          <w:t>1Co 4.12</w:t>
        </w:r>
      </w:hyperlink>
      <w:r>
        <w:t>). A lavagem das mãos era obrigatória para os sacerdotes antes do cumprimento de seu ofício (</w:t>
      </w:r>
      <w:hyperlink r:id="rId3032">
        <w:r>
          <w:rPr>
            <w:color w:val="0000EE"/>
            <w:u w:val="single"/>
          </w:rPr>
          <w:t>Êx 30.19–21</w:t>
        </w:r>
      </w:hyperlink>
      <w:r>
        <w:t xml:space="preserve">; </w:t>
      </w:r>
      <w:hyperlink r:id="rId13786">
        <w:r>
          <w:rPr>
            <w:color w:val="0000EE"/>
            <w:u w:val="single"/>
          </w:rPr>
          <w:t>40.30–32</w:t>
        </w:r>
      </w:hyperlink>
      <w:r>
        <w:t>). Os escribas e fariseus aplicaram tão mal isso que Jesus ignorou a lavagem cerimonial das mãos (</w:t>
      </w:r>
      <w:hyperlink r:id="rId13787">
        <w:r>
          <w:rPr>
            <w:color w:val="0000EE"/>
            <w:u w:val="single"/>
          </w:rPr>
          <w:t>Mt 15.1–20</w:t>
        </w:r>
      </w:hyperlink>
      <w:r>
        <w:t xml:space="preserve">; </w:t>
      </w:r>
      <w:hyperlink r:id="rId10658">
        <w:r>
          <w:rPr>
            <w:color w:val="0000EE"/>
            <w:u w:val="single"/>
          </w:rPr>
          <w:t>Lc 11.38</w:t>
        </w:r>
      </w:hyperlink>
      <w:r>
        <w:t>). A lavagem das mãos de Pilatos (</w:t>
      </w:r>
      <w:hyperlink r:id="rId6314">
        <w:r>
          <w:rPr>
            <w:color w:val="0000EE"/>
            <w:u w:val="single"/>
          </w:rPr>
          <w:t>Mt 27.24</w:t>
        </w:r>
      </w:hyperlink>
      <w:r>
        <w:t>) renunciou à responsabilidade por, ou professava inocência em relação a um erro que, no entanto, não poderia ser feito sem seu consentimento.</w:t>
      </w:r>
    </w:p>
    <w:p>
      <w:r/>
      <w:r>
        <w:t>Quando Israel saiu do Egito “com uma mão alta” (</w:t>
      </w:r>
      <w:hyperlink r:id="rId13788">
        <w:r>
          <w:rPr>
            <w:color w:val="0000EE"/>
            <w:u w:val="single"/>
          </w:rPr>
          <w:t>Êx 14.8</w:t>
        </w:r>
      </w:hyperlink>
      <w:r>
        <w:t>, ARA), a referência é à mão ou ajuda do Senhor. A mão do Senhor representava o poder sem resistência de Deus (</w:t>
      </w:r>
      <w:hyperlink r:id="rId11130">
        <w:r>
          <w:rPr>
            <w:color w:val="0000EE"/>
            <w:u w:val="single"/>
          </w:rPr>
          <w:t>Dt 2.15</w:t>
        </w:r>
      </w:hyperlink>
      <w:r>
        <w:t>), julgamento (</w:t>
      </w:r>
      <w:hyperlink r:id="rId4650">
        <w:r>
          <w:rPr>
            <w:color w:val="0000EE"/>
            <w:u w:val="single"/>
          </w:rPr>
          <w:t>At 13.11</w:t>
        </w:r>
      </w:hyperlink>
      <w:r>
        <w:t xml:space="preserve">; </w:t>
      </w:r>
      <w:hyperlink r:id="rId10430">
        <w:r>
          <w:rPr>
            <w:color w:val="0000EE"/>
            <w:u w:val="single"/>
          </w:rPr>
          <w:t>Hb 10.31</w:t>
        </w:r>
      </w:hyperlink>
      <w:r>
        <w:t>), inspiração divina (</w:t>
      </w:r>
      <w:hyperlink r:id="rId1382">
        <w:r>
          <w:rPr>
            <w:color w:val="0000EE"/>
            <w:u w:val="single"/>
          </w:rPr>
          <w:t>Ez 8.1</w:t>
        </w:r>
      </w:hyperlink>
      <w:r>
        <w:t xml:space="preserve">; </w:t>
      </w:r>
      <w:hyperlink r:id="rId13789">
        <w:r>
          <w:rPr>
            <w:color w:val="0000EE"/>
            <w:u w:val="single"/>
          </w:rPr>
          <w:t>37.1</w:t>
        </w:r>
      </w:hyperlink>
      <w:r>
        <w:t>) e atendimento providencial (</w:t>
      </w:r>
      <w:hyperlink r:id="rId13790">
        <w:r>
          <w:rPr>
            <w:color w:val="0000EE"/>
            <w:u w:val="single"/>
          </w:rPr>
          <w:t>Ed 7.6</w:t>
        </w:r>
      </w:hyperlink>
      <w:r>
        <w:t xml:space="preserve">; </w:t>
      </w:r>
      <w:hyperlink r:id="rId13791">
        <w:r>
          <w:rPr>
            <w:color w:val="0000EE"/>
            <w:u w:val="single"/>
          </w:rPr>
          <w:t>Jo 10.28–29</w:t>
        </w:r>
      </w:hyperlink>
      <w:r>
        <w:t>).</w:t>
      </w:r>
    </w:p>
    <w:p>
      <w:r/>
      <w:r>
        <w:t>A imposição das mãos tinha um significado profundo e ocorre frequentemente na Bíblia. Antes de fazer um sacrifício de sangue, a pessoa que fazia a oferta, e não o sacerdote, colocava as mãos sobre a vítima. O ato significava a transferência da culpa para, ou autoidentificação com, a vítima (</w:t>
      </w:r>
      <w:hyperlink r:id="rId12920">
        <w:r>
          <w:rPr>
            <w:color w:val="0000EE"/>
            <w:u w:val="single"/>
          </w:rPr>
          <w:t>Lv 1.4</w:t>
        </w:r>
      </w:hyperlink>
      <w:r>
        <w:t>). Imposição de mãos significava nomeação para um ofício, como quando Moisés comissionou Josué (</w:t>
      </w:r>
      <w:hyperlink r:id="rId12071">
        <w:r>
          <w:rPr>
            <w:color w:val="0000EE"/>
            <w:u w:val="single"/>
          </w:rPr>
          <w:t>Nm 27.12–23</w:t>
        </w:r>
      </w:hyperlink>
      <w:r>
        <w:t>), os apóstolos fizeram de sete discípulos seus associados ou vice-ministros no ministério (</w:t>
      </w:r>
      <w:hyperlink r:id="rId13792">
        <w:r>
          <w:rPr>
            <w:color w:val="0000EE"/>
            <w:u w:val="single"/>
          </w:rPr>
          <w:t>At 6.5–6</w:t>
        </w:r>
      </w:hyperlink>
      <w:r>
        <w:t>), e Paulo e Barnabé foram nomeados missionários e representantes da igreja em Antioquia (</w:t>
      </w:r>
      <w:hyperlink r:id="rId13793">
        <w:r>
          <w:rPr>
            <w:color w:val="0000EE"/>
            <w:u w:val="single"/>
          </w:rPr>
          <w:t>13.3</w:t>
        </w:r>
      </w:hyperlink>
      <w:r>
        <w:t>). Ao impor as mãos, uma pessoa era feita uma associada com o titular de um cargo e era admitida ao status desse cargo (</w:t>
      </w:r>
      <w:hyperlink r:id="rId13794">
        <w:r>
          <w:rPr>
            <w:color w:val="0000EE"/>
            <w:u w:val="single"/>
          </w:rPr>
          <w:t>1Tm 4.14</w:t>
        </w:r>
      </w:hyperlink>
      <w:r>
        <w:t xml:space="preserve">; </w:t>
      </w:r>
      <w:hyperlink r:id="rId13795">
        <w:r>
          <w:rPr>
            <w:color w:val="0000EE"/>
            <w:u w:val="single"/>
          </w:rPr>
          <w:t>2Tm 1.6</w:t>
        </w:r>
      </w:hyperlink>
      <w:r>
        <w:t>). O ato era acompanhado por uma oração e era, em si, uma forma de oração. Como Agostinho observa: “O que é a imposição de mãos senão uma oração sobre alguém?"</w:t>
      </w:r>
    </w:p>
    <w:p>
      <w:r/>
      <w:r>
        <w:t>A imposição das mãos acompanhou a cura no ministério do Senhor (</w:t>
      </w:r>
      <w:hyperlink r:id="rId13796">
        <w:r>
          <w:rPr>
            <w:color w:val="0000EE"/>
            <w:u w:val="single"/>
          </w:rPr>
          <w:t>Mc 6.5</w:t>
        </w:r>
      </w:hyperlink>
      <w:r>
        <w:t xml:space="preserve">; </w:t>
      </w:r>
      <w:hyperlink r:id="rId13797">
        <w:r>
          <w:rPr>
            <w:color w:val="0000EE"/>
            <w:u w:val="single"/>
          </w:rPr>
          <w:t>Lc 4.40</w:t>
        </w:r>
      </w:hyperlink>
      <w:r>
        <w:t xml:space="preserve">; </w:t>
      </w:r>
      <w:hyperlink r:id="rId13798">
        <w:r>
          <w:rPr>
            <w:color w:val="0000EE"/>
            <w:u w:val="single"/>
          </w:rPr>
          <w:t>13.11–13</w:t>
        </w:r>
      </w:hyperlink>
      <w:r>
        <w:t>) e dos discípulos (</w:t>
      </w:r>
      <w:hyperlink r:id="rId13799">
        <w:r>
          <w:rPr>
            <w:color w:val="0000EE"/>
            <w:u w:val="single"/>
          </w:rPr>
          <w:t>Mc 16.18</w:t>
        </w:r>
      </w:hyperlink>
      <w:r>
        <w:t xml:space="preserve">; </w:t>
      </w:r>
      <w:hyperlink r:id="rId13800">
        <w:r>
          <w:rPr>
            <w:color w:val="0000EE"/>
            <w:u w:val="single"/>
          </w:rPr>
          <w:t>At 9.12,17</w:t>
        </w:r>
      </w:hyperlink>
      <w:r>
        <w:t xml:space="preserve">; </w:t>
      </w:r>
      <w:hyperlink r:id="rId6428">
        <w:r>
          <w:rPr>
            <w:color w:val="0000EE"/>
            <w:u w:val="single"/>
          </w:rPr>
          <w:t>28.8</w:t>
        </w:r>
      </w:hyperlink>
      <w:r>
        <w:t>). Isso expressou a autoidentificação e simpatia do curador com e para o sofredor, bem como reforçou a fé do paciente e a saúde de Deus a ele em resposta à oração.</w:t>
      </w:r>
    </w:p>
    <w:p>
      <w:r/>
      <w:r>
        <w:rPr>
          <w:i/>
        </w:rPr>
        <w:t>Veja também</w:t>
      </w:r>
      <w:r>
        <w:t xml:space="preserve"> </w:t>
      </w:r>
      <w:r>
        <w:t>Mão Direita</w:t>
      </w:r>
      <w:r>
        <w:t>.</w:t>
      </w:r>
      <w:r/>
      <w:r/>
    </w:p>
    <w:p>
      <w:r/>
    </w:p>
    <w:p>
      <w:pPr>
        <w:pStyle w:val="Heading2"/>
      </w:pPr>
      <w:r>
        <w:t>Mão direita</w:t>
      </w:r>
      <w:r/>
    </w:p>
    <w:p>
      <w:r/>
      <w:r>
        <w:t>Na Bíblia, a expressão "mão direita" possui dois significados principais. Primeiro, refere-se ao lado direito do corpo de uma pessoa. Segundo, é frequentemente utilizada como um símbolo com significado especial.</w:t>
      </w:r>
    </w:p>
    <w:p>
      <w:r/>
      <w:r>
        <w:t>A palavra "direito" na Bíblia muitas vezes significa "correto" ou "bom". Quando algo é "direito", significa que é justo e segue os caminhos de Deus (</w:t>
      </w:r>
      <w:hyperlink r:id="rId12629">
        <w:r>
          <w:rPr>
            <w:color w:val="0000EE"/>
            <w:u w:val="single"/>
          </w:rPr>
          <w:t>Gn 18.25</w:t>
        </w:r>
      </w:hyperlink>
      <w:r>
        <w:t>). Em muitos lugares na Bíblia, a mão direita de Deus é usada como símbolo de seu poder. Por exemplo:</w:t>
      </w:r>
    </w:p>
    <w:p>
      <w:pPr>
        <w:pStyle w:val="ListBullet"/>
        <w:spacing w:line="240" w:lineRule="auto"/>
        <w:ind w:left="720"/>
      </w:pPr>
      <w:r/>
      <w:r>
        <w:t>Representa como Deus ajuda seu povo a vencer batalhas (</w:t>
      </w:r>
      <w:hyperlink r:id="rId13801">
        <w:r>
          <w:rPr>
            <w:color w:val="0000EE"/>
            <w:u w:val="single"/>
          </w:rPr>
          <w:t>Sl 17.7,98.1</w:t>
        </w:r>
      </w:hyperlink>
      <w:r>
        <w:t>)</w:t>
      </w:r>
    </w:p>
    <w:p>
      <w:pPr>
        <w:pStyle w:val="ListBullet"/>
        <w:spacing w:line="240" w:lineRule="auto"/>
        <w:ind w:left="720"/>
      </w:pPr>
      <w:r/>
      <w:r>
        <w:t>Mostra como Deus pune aqueles que fazem coisas más (</w:t>
      </w:r>
      <w:hyperlink r:id="rId13802">
        <w:r>
          <w:rPr>
            <w:color w:val="0000EE"/>
            <w:u w:val="single"/>
          </w:rPr>
          <w:t>Hb 2.16</w:t>
        </w:r>
      </w:hyperlink>
      <w:r>
        <w:t>)</w:t>
      </w:r>
    </w:p>
    <w:p>
      <w:pPr>
        <w:pStyle w:val="ListBullet"/>
        <w:spacing w:line="240" w:lineRule="auto"/>
        <w:ind w:left="720"/>
      </w:pPr>
      <w:r/>
      <w:r>
        <w:t>Mostra como Deus pune aqueles que fazem coisas más (</w:t>
      </w:r>
      <w:hyperlink r:id="rId13803">
        <w:r>
          <w:rPr>
            <w:color w:val="0000EE"/>
            <w:u w:val="single"/>
          </w:rPr>
          <w:t>Sl 139.10</w:t>
        </w:r>
      </w:hyperlink>
      <w:r>
        <w:t>).</w:t>
      </w:r>
    </w:p>
    <w:p>
      <w:r/>
      <w:r>
        <w:t>Embora os humanos não possam se salvar por seu próprio poder, Deus promete tornar as pessoas fortes quando decide ajudá-las (</w:t>
      </w:r>
      <w:hyperlink r:id="rId13804">
        <w:r>
          <w:rPr>
            <w:color w:val="0000EE"/>
            <w:u w:val="single"/>
          </w:rPr>
          <w:t>Jó 40.14</w:t>
        </w:r>
      </w:hyperlink>
      <w:r>
        <w:t xml:space="preserve">; </w:t>
      </w:r>
      <w:hyperlink r:id="rId13805">
        <w:r>
          <w:rPr>
            <w:color w:val="0000EE"/>
            <w:u w:val="single"/>
          </w:rPr>
          <w:t>Is 41.13</w:t>
        </w:r>
      </w:hyperlink>
      <w:r>
        <w:t>).</w:t>
      </w:r>
    </w:p>
    <w:p>
      <w:r/>
      <w:r>
        <w:t>Estar à direita de Deus é estar em um lugar de grandes bênçãos (</w:t>
      </w:r>
      <w:hyperlink r:id="rId4148">
        <w:r>
          <w:rPr>
            <w:color w:val="0000EE"/>
            <w:u w:val="single"/>
          </w:rPr>
          <w:t>Sl 16.11</w:t>
        </w:r>
      </w:hyperlink>
      <w:r>
        <w:t>). À direita de Deus, o Senhor Jesus Cristo agora reina em glória e intercede por aqueles que Ele redimiu (</w:t>
      </w:r>
      <w:hyperlink r:id="rId11107">
        <w:r>
          <w:rPr>
            <w:color w:val="0000EE"/>
            <w:u w:val="single"/>
          </w:rPr>
          <w:t>Rm 8.34</w:t>
        </w:r>
      </w:hyperlink>
      <w:r>
        <w:t>).</w:t>
      </w:r>
    </w:p>
    <w:p>
      <w:r/>
      <w:r>
        <w:t>Oferecer a mão direita de comunhão é estender aceitação e graça (</w:t>
      </w:r>
      <w:hyperlink r:id="rId7354">
        <w:r>
          <w:rPr>
            <w:color w:val="0000EE"/>
            <w:u w:val="single"/>
          </w:rPr>
          <w:t>Gl 2.9</w:t>
        </w:r>
      </w:hyperlink>
      <w:r>
        <w:t>). Nos tempos bíblicos, as pessoas apertavam as mãos direitas para mostrar que estavam fazendo uma promessa ou acordo sério. Essa prática de usar a mão direita para fazer promessas também era comum nos tempos bíblicos e continua até hoje (</w:t>
      </w:r>
      <w:hyperlink r:id="rId13769">
        <w:r>
          <w:rPr>
            <w:color w:val="0000EE"/>
            <w:u w:val="single"/>
          </w:rPr>
          <w:t>2Rs 10.15</w:t>
        </w:r>
      </w:hyperlink>
      <w:r>
        <w:t>).</w:t>
      </w:r>
    </w:p>
    <w:p>
      <w:r/>
      <w:r>
        <w:t>A mão esquerda às vezes está ligada a bênçãos (</w:t>
      </w:r>
      <w:hyperlink r:id="rId13806">
        <w:r>
          <w:rPr>
            <w:color w:val="0000EE"/>
            <w:u w:val="single"/>
          </w:rPr>
          <w:t>Pv 3.16</w:t>
        </w:r>
      </w:hyperlink>
      <w:r>
        <w:t>). No entanto, também pode estar associada a quando alguém trai a confiança ou faz algo errado (</w:t>
      </w:r>
      <w:hyperlink r:id="rId13807">
        <w:r>
          <w:rPr>
            <w:color w:val="0000EE"/>
            <w:u w:val="single"/>
          </w:rPr>
          <w:t>Ec 10.2</w:t>
        </w:r>
      </w:hyperlink>
      <w:r>
        <w:t>).</w:t>
      </w:r>
    </w:p>
    <w:p>
      <w:r/>
      <w:r>
        <w:rPr>
          <w:i/>
        </w:rPr>
        <w:t>Veja também</w:t>
      </w:r>
      <w:r>
        <w:t xml:space="preserve"> </w:t>
      </w:r>
      <w:r>
        <w:t>Mão</w:t>
      </w:r>
      <w:r>
        <w:t>.</w:t>
      </w:r>
      <w:r/>
      <w:r/>
    </w:p>
    <w:p>
      <w:r/>
    </w:p>
    <w:p>
      <w:pPr>
        <w:pStyle w:val="Heading2"/>
      </w:pPr>
      <w:r>
        <w:t>Maquelote</w:t>
      </w:r>
      <w:r/>
    </w:p>
    <w:p>
      <w:r/>
      <w:r>
        <w:t>Um lugar onde os israelitas acamparam durante sua jornada do Egito para Canaã. Eles pararam aqui após deixar Harada e antes de ir para Taate (</w:t>
      </w:r>
      <w:hyperlink r:id="rId13808">
        <w:r>
          <w:rPr>
            <w:color w:val="0000EE"/>
            <w:u w:val="single"/>
          </w:rPr>
          <w:t>Nm 33.25–26</w:t>
        </w:r>
      </w:hyperlink>
      <w:r>
        <w:t>).</w:t>
      </w:r>
    </w:p>
    <w:p>
      <w:r/>
      <w:r>
        <w:rPr>
          <w:i/>
        </w:rPr>
        <w:t>Veja</w:t>
      </w:r>
      <w:r>
        <w:t xml:space="preserve"> </w:t>
      </w:r>
      <w:r>
        <w:t>Peregrinações no deserto</w:t>
      </w:r>
      <w:r>
        <w:t>.</w:t>
      </w:r>
      <w:r/>
      <w:r/>
    </w:p>
    <w:p>
      <w:r/>
    </w:p>
    <w:p>
      <w:pPr>
        <w:pStyle w:val="Heading2"/>
      </w:pPr>
      <w:r>
        <w:t>Maquero*</w:t>
      </w:r>
      <w:r/>
    </w:p>
    <w:p>
      <w:r/>
      <w:r>
        <w:t xml:space="preserve">Castelo fortificado onde João Batista foi preso e, mais tarde, decapitado por ordem de Herodes Antipas (de acordo com </w:t>
      </w:r>
      <w:r>
        <w:rPr>
          <w:i/>
        </w:rPr>
        <w:t>Antiguidades</w:t>
      </w:r>
      <w:r>
        <w:t xml:space="preserve"> de Josefo, 18.5.2). O nome não aparece nas Escrituras canônicas nem nos Apócrifos, mas era uma das fortalezas mais fortes em toda a Palestina, tendo sido construída por Alexandre Janeu (a </w:t>
      </w:r>
      <w:r>
        <w:rPr>
          <w:i/>
        </w:rPr>
        <w:t>Guerra</w:t>
      </w:r>
      <w:r>
        <w:t xml:space="preserve"> de Josefo, 7.6.1–4). Foi destruído por Gabínio nas guerras de Pompeu (</w:t>
      </w:r>
      <w:r>
        <w:rPr>
          <w:i/>
        </w:rPr>
        <w:t>Guerra</w:t>
      </w:r>
      <w:r>
        <w:t xml:space="preserve"> 1.8.5), mas restaurado e grandemente ampliado por Herodes, o Grande, que construiu um palácio magnífico dentro do recinto. Estava situado a leste do Mar Morto na extremidade sul de Pereia, em um penhasco com vista para o Mar Morto. É identificado com o moderno M’Khaur.</w:t>
      </w:r>
    </w:p>
    <w:p>
      <w:r/>
      <w:r>
        <w:t>Mateus (</w:t>
      </w:r>
      <w:hyperlink r:id="rId13809">
        <w:r>
          <w:rPr>
            <w:color w:val="0000EE"/>
            <w:u w:val="single"/>
          </w:rPr>
          <w:t>Mt 14.1–12</w:t>
        </w:r>
      </w:hyperlink>
      <w:r>
        <w:t>) e Marcos (</w:t>
      </w:r>
      <w:hyperlink r:id="rId9465">
        <w:r>
          <w:rPr>
            <w:color w:val="0000EE"/>
            <w:u w:val="single"/>
          </w:rPr>
          <w:t>Mc 6.17–29</w:t>
        </w:r>
      </w:hyperlink>
      <w:r>
        <w:t>) relatam que Herodes, ao ouvir sobre a fama de Jesus, atribuiu seu poder de operar milagres a João Batista, a quem ele acreditava ter sido restaurado à vida. O confinamento de João Batista aparentemente não foi tão rigoroso a ponto de excluir a visita de amigos (</w:t>
      </w:r>
      <w:hyperlink r:id="rId13810">
        <w:r>
          <w:rPr>
            <w:color w:val="0000EE"/>
            <w:u w:val="single"/>
          </w:rPr>
          <w:t>Mt 11.2–3</w:t>
        </w:r>
      </w:hyperlink>
      <w:r>
        <w:t xml:space="preserve">; </w:t>
      </w:r>
      <w:hyperlink r:id="rId13811">
        <w:r>
          <w:rPr>
            <w:color w:val="0000EE"/>
            <w:u w:val="single"/>
          </w:rPr>
          <w:t>Lc 7.18–20</w:t>
        </w:r>
      </w:hyperlink>
      <w:r>
        <w:t>). Foi deste castelo que a esposa árabe de Herodes, que havia sido repudiada por ele por causa de Herodias, fugiu para seu pai, Aretas, o rei da Arábia. Isso precipitou a guerra entre Herodes e Aretas (</w:t>
      </w:r>
      <w:r>
        <w:rPr>
          <w:i/>
        </w:rPr>
        <w:t>Antiguidades</w:t>
      </w:r>
      <w:r>
        <w:t xml:space="preserve"> de Josefo 18.5.1) e resultou na derrota de Herodes.</w:t>
      </w:r>
      <w:r/>
      <w:r/>
    </w:p>
    <w:p>
      <w:r/>
    </w:p>
    <w:p>
      <w:pPr>
        <w:pStyle w:val="Heading2"/>
      </w:pPr>
      <w:r>
        <w:t>Maqui</w:t>
      </w:r>
      <w:r/>
    </w:p>
    <w:p>
      <w:r/>
      <w:r>
        <w:t>O pai de Geuel da tribo de Gade. Geuel foi um dos 12 espiões enviados para explorar a terra de Canaã (</w:t>
      </w:r>
      <w:hyperlink r:id="rId9693">
        <w:r>
          <w:rPr>
            <w:color w:val="0000EE"/>
            <w:u w:val="single"/>
          </w:rPr>
          <w:t>Nm 13.15</w:t>
        </w:r>
      </w:hyperlink>
      <w:r>
        <w:t>).</w:t>
      </w:r>
      <w:r/>
      <w:r/>
    </w:p>
    <w:p>
      <w:r/>
    </w:p>
    <w:p>
      <w:pPr>
        <w:pStyle w:val="Heading2"/>
      </w:pPr>
      <w:r>
        <w:t>Maquir</w:t>
      </w:r>
      <w:r/>
    </w:p>
    <w:p>
      <w:pPr>
        <w:pStyle w:val="ListNumber"/>
        <w:spacing w:line="240" w:lineRule="auto"/>
        <w:ind w:left="720"/>
      </w:pPr>
      <w:r/>
      <w:r>
        <w:t>Um neto do patriarca José. Ele foi o primogênito de Manassés através de sua concubina arameia (</w:t>
      </w:r>
      <w:hyperlink r:id="rId13812">
        <w:r>
          <w:rPr>
            <w:color w:val="0000EE"/>
            <w:u w:val="single"/>
          </w:rPr>
          <w:t>Gn 50.23</w:t>
        </w:r>
      </w:hyperlink>
      <w:r>
        <w:t xml:space="preserve">; </w:t>
      </w:r>
      <w:hyperlink r:id="rId2759">
        <w:r>
          <w:rPr>
            <w:color w:val="0000EE"/>
            <w:u w:val="single"/>
          </w:rPr>
          <w:t>1Cr 7.14</w:t>
        </w:r>
      </w:hyperlink>
      <w:r>
        <w:t>). Maquir foi o pai de Gileade e o fundador do clã maquirita (</w:t>
      </w:r>
      <w:hyperlink r:id="rId9967">
        <w:r>
          <w:rPr>
            <w:color w:val="0000EE"/>
            <w:u w:val="single"/>
          </w:rPr>
          <w:t>Nm 26.29</w:t>
        </w:r>
      </w:hyperlink>
      <w:r>
        <w:t>). Seus descendentes derrotaram os amorreus que viviam na terra de Gileade, a leste do rio Jordão, durante o tempo de Moisés (</w:t>
      </w:r>
      <w:hyperlink r:id="rId13813">
        <w:r>
          <w:rPr>
            <w:color w:val="0000EE"/>
            <w:u w:val="single"/>
          </w:rPr>
          <w:t>Nm 32.39</w:t>
        </w:r>
      </w:hyperlink>
      <w:r>
        <w:t>). Mais tarde, Josué lhes atribuiu esta terra junto com Basã como herança (</w:t>
      </w:r>
      <w:hyperlink r:id="rId13814">
        <w:r>
          <w:rPr>
            <w:color w:val="0000EE"/>
            <w:u w:val="single"/>
          </w:rPr>
          <w:t>Dt 3.15</w:t>
        </w:r>
      </w:hyperlink>
      <w:r>
        <w:t xml:space="preserve">; </w:t>
      </w:r>
      <w:hyperlink r:id="rId13715">
        <w:r>
          <w:rPr>
            <w:color w:val="0000EE"/>
            <w:u w:val="single"/>
          </w:rPr>
          <w:t>Js 17.1–3</w:t>
        </w:r>
      </w:hyperlink>
      <w:r>
        <w:t xml:space="preserve">). Em </w:t>
      </w:r>
      <w:hyperlink r:id="rId1041">
        <w:r>
          <w:rPr>
            <w:color w:val="0000EE"/>
            <w:u w:val="single"/>
          </w:rPr>
          <w:t>Juízes 5.14</w:t>
        </w:r>
      </w:hyperlink>
      <w:r>
        <w:t>, toda a tribo de Manassés é chamada por este nome.</w:t>
      </w:r>
    </w:p>
    <w:p>
      <w:pPr>
        <w:pStyle w:val="ListNumber"/>
        <w:spacing w:line="240" w:lineRule="auto"/>
        <w:ind w:left="720"/>
      </w:pPr>
      <w:r/>
      <w:r>
        <w:t>Um filho de Amiel que morava em Lo-Debar. Lo-Debar era uma cidade a leste do rio Jordão. Maquir ofereceu abrigo para Mefibosete (</w:t>
      </w:r>
      <w:hyperlink r:id="rId1082">
        <w:r>
          <w:rPr>
            <w:color w:val="0000EE"/>
            <w:u w:val="single"/>
          </w:rPr>
          <w:t>2Sm 9.4–5</w:t>
        </w:r>
      </w:hyperlink>
      <w:r>
        <w:t>). Mais tarde, Maquir, junto com Sobi e Barzilai, trouxe suprimentos para Davi e seu povo quando Davi estava fugindo de seu filho Absalão (</w:t>
      </w:r>
      <w:hyperlink r:id="rId1144">
        <w:r>
          <w:rPr>
            <w:color w:val="0000EE"/>
            <w:u w:val="single"/>
          </w:rPr>
          <w:t>2Sm 17.27</w:t>
        </w:r>
      </w:hyperlink>
      <w:r>
        <w:t>).</w:t>
      </w:r>
      <w:r/>
      <w:r/>
    </w:p>
    <w:p>
      <w:r/>
    </w:p>
    <w:p>
      <w:pPr>
        <w:pStyle w:val="Heading2"/>
      </w:pPr>
      <w:r>
        <w:t>Maquiritas</w:t>
      </w:r>
      <w:r/>
    </w:p>
    <w:p>
      <w:r/>
      <w:r>
        <w:t>Qualquer descendente de Maquir. Ele era neto do patriarca José da tribo de Manassés (</w:t>
      </w:r>
      <w:hyperlink r:id="rId9967">
        <w:r>
          <w:rPr>
            <w:color w:val="0000EE"/>
            <w:u w:val="single"/>
          </w:rPr>
          <w:t>Nm 26.29</w:t>
        </w:r>
      </w:hyperlink>
      <w:r>
        <w:t>).</w:t>
      </w:r>
    </w:p>
    <w:p>
      <w:r/>
      <w:r>
        <w:rPr>
          <w:i/>
        </w:rPr>
        <w:t>Veja</w:t>
      </w:r>
      <w:r>
        <w:t xml:space="preserve"> </w:t>
      </w:r>
      <w:r>
        <w:t>Maquir #1</w:t>
      </w:r>
      <w:r>
        <w:t>.</w:t>
      </w:r>
      <w:r/>
      <w:r/>
    </w:p>
    <w:p>
      <w:r/>
    </w:p>
    <w:p>
      <w:pPr>
        <w:pStyle w:val="Heading2"/>
      </w:pPr>
      <w:r>
        <w:t>Mar</w:t>
      </w:r>
      <w:r/>
    </w:p>
    <w:p>
      <w:r/>
      <w:r>
        <w:t>Um grande corpo de água salgada que cobre grande parte da terra.</w:t>
      </w:r>
    </w:p>
    <w:p>
      <w:r/>
      <w:r>
        <w:t xml:space="preserve">Os mares são mencionados no início da Bíblia. Em </w:t>
      </w:r>
      <w:hyperlink r:id="rId13815">
        <w:r>
          <w:rPr>
            <w:color w:val="0000EE"/>
            <w:u w:val="single"/>
          </w:rPr>
          <w:t>Gênesis 1.1–2</w:t>
        </w:r>
      </w:hyperlink>
      <w:r>
        <w:t xml:space="preserve">, lemos que no início tudo era sem forma, vazio e sombrio, “e o Espírito de Deus estava se movendo sobre a face das águas”. Então Deus falou e do caos veio a ordem. Assim, a voz do Senhor é poderosa sobre todas as águas do caos. </w:t>
      </w:r>
      <w:hyperlink r:id="rId13816">
        <w:r>
          <w:rPr>
            <w:color w:val="0000EE"/>
            <w:u w:val="single"/>
          </w:rPr>
          <w:t>O Salmo 29</w:t>
        </w:r>
      </w:hyperlink>
      <w:r>
        <w:t xml:space="preserve"> celebra isso. Do relato da Criação em </w:t>
      </w:r>
      <w:hyperlink r:id="rId1452">
        <w:r>
          <w:rPr>
            <w:color w:val="0000EE"/>
            <w:u w:val="single"/>
          </w:rPr>
          <w:t>Gênesis 1</w:t>
        </w:r>
      </w:hyperlink>
      <w:r>
        <w:t xml:space="preserve">, duas coisas se destacam: (1) que o mar, como tudo na terra e no céu, foi criado por Deus; e (2) que pela palavra de Deus foi feita a divisão entre mar e terra. Esses dois fatos são amplificados na Bíblia de várias maneiras. </w:t>
      </w:r>
      <w:hyperlink r:id="rId106">
        <w:r>
          <w:rPr>
            <w:color w:val="0000EE"/>
            <w:u w:val="single"/>
          </w:rPr>
          <w:t>O Salmo 33.7</w:t>
        </w:r>
      </w:hyperlink>
      <w:r>
        <w:t xml:space="preserve"> fala de como “Ele fez os oceanos, derramando-os em seus vastos reservatórios”. De forma eloquente, a ordenação de Deus dos limites do mar e da terra é expressa nas palavras do Senhor a Jó: “Quando o Mar jorrou do ventre da terra, quem foi que fechou os portões para segurá-lo? Fui eu que cobri o Mar com as nuvens e o envolvi com a escuridão. Marquei os seus limites e fechei com trancas as suas portas. E eu lhe disse: ‘Você chegará até este ponto e daqui não passará. As suas altas ondas pararão aqui'." (</w:t>
      </w:r>
      <w:hyperlink r:id="rId13817">
        <w:r>
          <w:rPr>
            <w:color w:val="0000EE"/>
            <w:u w:val="single"/>
          </w:rPr>
          <w:t>Jó 38.8–11</w:t>
        </w:r>
      </w:hyperlink>
      <w:r>
        <w:t>).</w:t>
      </w:r>
    </w:p>
    <w:p>
      <w:r/>
      <w:r>
        <w:t>O controle de Deus sobre as águas do mar é descrito quando a Bíblia diz que Deus “pisou as ondas do mar” (</w:t>
      </w:r>
      <w:hyperlink r:id="rId13818">
        <w:r>
          <w:rPr>
            <w:color w:val="0000EE"/>
            <w:u w:val="single"/>
          </w:rPr>
          <w:t>Jó 9.8</w:t>
        </w:r>
      </w:hyperlink>
      <w:r>
        <w:t>). Então em sua vida na terra, Jesus, o Deus-homem, andou no mar (</w:t>
      </w:r>
      <w:hyperlink r:id="rId13819">
        <w:r>
          <w:rPr>
            <w:color w:val="0000EE"/>
            <w:u w:val="single"/>
          </w:rPr>
          <w:t>Mc 6.48</w:t>
        </w:r>
      </w:hyperlink>
      <w:r>
        <w:t>). Ele também acalmou a tempestade, de modo que os discípulos, temerosos e admirados, perguntaram: “Quem é, pois, este que até o vento e o mar lhe obedecem?” (</w:t>
      </w:r>
      <w:hyperlink r:id="rId13820">
        <w:r>
          <w:rPr>
            <w:color w:val="0000EE"/>
            <w:u w:val="single"/>
          </w:rPr>
          <w:t>Mc 4.41</w:t>
        </w:r>
      </w:hyperlink>
      <w:r>
        <w:t>).</w:t>
      </w:r>
    </w:p>
    <w:p>
      <w:r/>
      <w:r>
        <w:t>O povo hebreu tinha um respeito saudável pelo mar e seu poder. Talvez por causa da falta de bons portos naturais, e porque eles não controlavam o litoral por grande parte de sua história, eles não eram um povo marítimo como os fenícios. É apenas no tempo de Salomão que lemos sobre eles terem uma frota própria (</w:t>
      </w:r>
      <w:hyperlink r:id="rId7560">
        <w:r>
          <w:rPr>
            <w:color w:val="0000EE"/>
            <w:u w:val="single"/>
          </w:rPr>
          <w:t>1Rs 9.26</w:t>
        </w:r>
      </w:hyperlink>
      <w:r>
        <w:t>). O mar inquieto era para eles uma imagem dos ímpios (</w:t>
      </w:r>
      <w:hyperlink r:id="rId13821">
        <w:r>
          <w:rPr>
            <w:color w:val="0000EE"/>
            <w:u w:val="single"/>
          </w:rPr>
          <w:t>Is 57.20</w:t>
        </w:r>
      </w:hyperlink>
      <w:r>
        <w:t>). “Os rompedores rolando em uma praia” (</w:t>
      </w:r>
      <w:hyperlink r:id="rId8125">
        <w:r>
          <w:rPr>
            <w:color w:val="0000EE"/>
            <w:u w:val="single"/>
          </w:rPr>
          <w:t>Is 17.13</w:t>
        </w:r>
      </w:hyperlink>
      <w:r>
        <w:t>) ou “o rugido do mar” (</w:t>
      </w:r>
      <w:hyperlink r:id="rId8304">
        <w:r>
          <w:rPr>
            <w:color w:val="0000EE"/>
            <w:u w:val="single"/>
          </w:rPr>
          <w:t>5.30</w:t>
        </w:r>
      </w:hyperlink>
      <w:r>
        <w:t xml:space="preserve">) os fizeram pensar em forças capazes de causar danos inestimáveis aos homens. Em </w:t>
      </w:r>
      <w:hyperlink r:id="rId13822">
        <w:r>
          <w:rPr>
            <w:color w:val="0000EE"/>
            <w:u w:val="single"/>
          </w:rPr>
          <w:t>Daniel 7.3</w:t>
        </w:r>
      </w:hyperlink>
      <w:r>
        <w:t xml:space="preserve"> e </w:t>
      </w:r>
      <w:hyperlink r:id="rId5960">
        <w:r>
          <w:rPr>
            <w:color w:val="0000EE"/>
            <w:u w:val="single"/>
          </w:rPr>
          <w:t>Apocalipse 13.1</w:t>
        </w:r>
      </w:hyperlink>
      <w:r>
        <w:t>, poderes hostis a Deus são retratados como bestas que saem do mar.</w:t>
      </w:r>
    </w:p>
    <w:p>
      <w:r/>
      <w:r>
        <w:t>No entanto, como vimos, Deus controla os mares. Ele é capaz de resgatar aqueles que confiam nele “de muitas águas” (</w:t>
      </w:r>
      <w:hyperlink r:id="rId13823">
        <w:r>
          <w:rPr>
            <w:color w:val="0000EE"/>
            <w:u w:val="single"/>
          </w:rPr>
          <w:t>Sl 18.16</w:t>
        </w:r>
      </w:hyperlink>
      <w:r>
        <w:t>). Ele é capaz de proteger aqueles que saem para os mares (</w:t>
      </w:r>
      <w:hyperlink r:id="rId13824">
        <w:r>
          <w:rPr>
            <w:color w:val="0000EE"/>
            <w:u w:val="single"/>
          </w:rPr>
          <w:t>107.23–31</w:t>
        </w:r>
      </w:hyperlink>
      <w:r>
        <w:t>). Sempre foi lembrado que Deus havia feito um caminho no mar para seu povo passar quando eles saíram do Egito (</w:t>
      </w:r>
      <w:hyperlink r:id="rId13825">
        <w:r>
          <w:rPr>
            <w:color w:val="0000EE"/>
            <w:u w:val="single"/>
          </w:rPr>
          <w:t>Êx 15.19</w:t>
        </w:r>
      </w:hyperlink>
      <w:r>
        <w:t>). Salmos (</w:t>
      </w:r>
      <w:hyperlink r:id="rId1641">
        <w:r>
          <w:rPr>
            <w:color w:val="0000EE"/>
            <w:u w:val="single"/>
          </w:rPr>
          <w:t>Sl 74.13</w:t>
        </w:r>
      </w:hyperlink>
      <w:r>
        <w:t xml:space="preserve">; </w:t>
      </w:r>
      <w:hyperlink r:id="rId107">
        <w:r>
          <w:rPr>
            <w:color w:val="0000EE"/>
            <w:u w:val="single"/>
          </w:rPr>
          <w:t>77.16</w:t>
        </w:r>
      </w:hyperlink>
      <w:r>
        <w:t xml:space="preserve">; </w:t>
      </w:r>
      <w:hyperlink r:id="rId13826">
        <w:r>
          <w:rPr>
            <w:color w:val="0000EE"/>
            <w:u w:val="single"/>
          </w:rPr>
          <w:t>78.13</w:t>
        </w:r>
      </w:hyperlink>
      <w:r>
        <w:t xml:space="preserve">; </w:t>
      </w:r>
      <w:hyperlink r:id="rId13827">
        <w:r>
          <w:rPr>
            <w:color w:val="0000EE"/>
            <w:u w:val="single"/>
          </w:rPr>
          <w:t>106.9</w:t>
        </w:r>
      </w:hyperlink>
      <w:r>
        <w:t xml:space="preserve">) e profetas (p. ex., </w:t>
      </w:r>
      <w:hyperlink r:id="rId13828">
        <w:r>
          <w:rPr>
            <w:color w:val="0000EE"/>
            <w:u w:val="single"/>
          </w:rPr>
          <w:t>Is 43.16–17</w:t>
        </w:r>
      </w:hyperlink>
      <w:r>
        <w:t xml:space="preserve">) lembraram disso. </w:t>
      </w:r>
      <w:r>
        <w:rPr>
          <w:i/>
        </w:rPr>
        <w:t>Veja</w:t>
      </w:r>
      <w:r>
        <w:t xml:space="preserve"> </w:t>
      </w:r>
      <w:r>
        <w:t>Mar Morto</w:t>
      </w:r>
      <w:r>
        <w:t xml:space="preserve">; </w:t>
      </w:r>
      <w:r>
        <w:t>Mar Mediterrâneo</w:t>
      </w:r>
      <w:r>
        <w:t xml:space="preserve">; </w:t>
      </w:r>
      <w:r>
        <w:t>Mar Vermelho</w:t>
      </w:r>
      <w:r>
        <w:t xml:space="preserve">; </w:t>
      </w:r>
      <w:r>
        <w:t>Mar da Galileia</w:t>
      </w:r>
      <w:r>
        <w:t>.</w:t>
      </w:r>
      <w:r/>
      <w:r/>
    </w:p>
    <w:p>
      <w:r/>
    </w:p>
    <w:p>
      <w:pPr>
        <w:pStyle w:val="Heading2"/>
      </w:pPr>
      <w:r>
        <w:t>Mar da Arabá</w:t>
      </w:r>
      <w:r/>
    </w:p>
    <w:p>
      <w:r/>
      <w:r>
        <w:t>Nome alternativo para o Mar Morto, conforme algumas versõe em português (</w:t>
      </w:r>
      <w:hyperlink r:id="rId2316">
        <w:r>
          <w:rPr>
            <w:color w:val="0000EE"/>
            <w:u w:val="single"/>
          </w:rPr>
          <w:t>Dt 3.17</w:t>
        </w:r>
      </w:hyperlink>
      <w:r>
        <w:t xml:space="preserve">; </w:t>
      </w:r>
      <w:hyperlink r:id="rId2321">
        <w:r>
          <w:rPr>
            <w:color w:val="0000EE"/>
            <w:u w:val="single"/>
          </w:rPr>
          <w:t>2Rs 14.25</w:t>
        </w:r>
      </w:hyperlink>
      <w:r>
        <w:t xml:space="preserve">). </w:t>
      </w:r>
    </w:p>
    <w:p>
      <w:r/>
      <w:r>
        <w:rPr>
          <w:i/>
        </w:rPr>
        <w:t>Veja também</w:t>
      </w:r>
      <w:r>
        <w:t xml:space="preserve"> </w:t>
      </w:r>
      <w:r>
        <w:t>Mar Morto</w:t>
      </w:r>
      <w:r>
        <w:t>.</w:t>
      </w:r>
      <w:r/>
      <w:r/>
    </w:p>
    <w:p>
      <w:r/>
    </w:p>
    <w:p>
      <w:pPr>
        <w:pStyle w:val="Heading2"/>
      </w:pPr>
      <w:r>
        <w:t>Mar Da Galileia</w:t>
      </w:r>
      <w:r/>
    </w:p>
    <w:p>
      <w:r/>
      <w:r>
        <w:t>Um grande corpo de água na Palestina. Teve muitos nomes em sua história. No AT, o Mar da Galileia era conhecido como o Mar de Chinerete ou Quinereth (</w:t>
      </w:r>
      <w:hyperlink r:id="rId639">
        <w:r>
          <w:rPr>
            <w:color w:val="0000EE"/>
            <w:u w:val="single"/>
          </w:rPr>
          <w:t>Nm 34.11</w:t>
        </w:r>
      </w:hyperlink>
      <w:r>
        <w:t>), nomeado para a cidade (</w:t>
      </w:r>
      <w:hyperlink r:id="rId4854">
        <w:r>
          <w:rPr>
            <w:color w:val="0000EE"/>
            <w:u w:val="single"/>
          </w:rPr>
          <w:t>Js 19.35</w:t>
        </w:r>
      </w:hyperlink>
      <w:r>
        <w:t>), ou como Quinereth (</w:t>
      </w:r>
      <w:hyperlink r:id="rId2705">
        <w:r>
          <w:rPr>
            <w:color w:val="0000EE"/>
            <w:u w:val="single"/>
          </w:rPr>
          <w:t>12.3</w:t>
        </w:r>
      </w:hyperlink>
      <w:r>
        <w:t>). Mais tarde, o nome foi alterado para Lago de Genesaré porque a cidade de Genesaré estava localizada no local de Chinnereth ou Tell Ureime (</w:t>
      </w:r>
      <w:hyperlink r:id="rId9888">
        <w:r>
          <w:rPr>
            <w:color w:val="0000EE"/>
            <w:u w:val="single"/>
          </w:rPr>
          <w:t>Lc 5.1</w:t>
        </w:r>
      </w:hyperlink>
      <w:r>
        <w:t xml:space="preserve">; </w:t>
      </w:r>
      <w:hyperlink r:id="rId13829">
        <w:r>
          <w:rPr>
            <w:color w:val="0000EE"/>
            <w:u w:val="single"/>
          </w:rPr>
          <w:t>1Mc 11.67</w:t>
        </w:r>
      </w:hyperlink>
      <w:r>
        <w:t>). O nome mais familiar — Mar da Galileia — era devido à sua conexão com a província da Galileia a oeste (</w:t>
      </w:r>
      <w:hyperlink r:id="rId1428">
        <w:r>
          <w:rPr>
            <w:color w:val="0000EE"/>
            <w:u w:val="single"/>
          </w:rPr>
          <w:t>Mt 4.18</w:t>
        </w:r>
      </w:hyperlink>
      <w:r>
        <w:t>). Derivou o nome Mar de Tiberíades (</w:t>
      </w:r>
      <w:hyperlink r:id="rId13830">
        <w:r>
          <w:rPr>
            <w:color w:val="0000EE"/>
            <w:u w:val="single"/>
          </w:rPr>
          <w:t>Jo 6.1, 23</w:t>
        </w:r>
      </w:hyperlink>
      <w:r>
        <w:t xml:space="preserve">; </w:t>
      </w:r>
      <w:hyperlink r:id="rId13831">
        <w:r>
          <w:rPr>
            <w:color w:val="0000EE"/>
            <w:u w:val="single"/>
          </w:rPr>
          <w:t>21.1</w:t>
        </w:r>
      </w:hyperlink>
      <w:r>
        <w:t>) da cidade de Tiberíades em sua margem sudoeste. Por volta de 26 d.C. Herodes Antipas, filho de Herodes, o Grande, construiu a cidade perto das fontes quentes de Amato junto ao mar e a nomeou em homenagem ao imperador. Nos Evangelhos, “o mar” geralmente identifica o Mar da Galileia. Seu nome hebraico moderno é Yam Kinneret</w:t>
      </w:r>
      <w:r>
        <w:rPr>
          <w:i/>
        </w:rPr>
        <w:t>.</w:t>
      </w:r>
    </w:p>
    <w:p>
      <w:pPr>
        <w:pStyle w:val="Heading3"/>
      </w:pPr>
      <w:r>
        <w:t>Localização</w:t>
      </w:r>
    </w:p>
    <w:p>
      <w:r/>
      <w:r>
        <w:t>O mar encontra-se na seção inferior do Vale do Jordão, a cerca de 96,5 quilômetros ao norte de Jerusalém, localizada em uma série de montanhas. As montanhas da Alta Galiléia ficam a noroeste do lago e atingem uma altura de 4.000 pés (1.219,2 metros) acima do nível do mar, enquanto as montanhas a leste e oeste sobem cerca de 2.000 pés (609,6 metros). No oeste, sul e leste está a Decápolis.</w:t>
      </w:r>
    </w:p>
    <w:p>
      <w:r/>
      <w:r>
        <w:t>No canto noroeste do lago, a parede da montanha se achata na rica planície de Genesaré, e no leste, a 2.000 pés (609,6 metros) acima do nível do mar, dá lugar ao fértil El Batila, no nordeste, onde o Jordão deságua no mar. Na época do NT, o Mar da Galileia era cercado pelas cidades de Cafarnaum, Betsaida, Corazim, Magdala, Tiberíades e outras.</w:t>
      </w:r>
    </w:p>
    <w:p>
      <w:r/>
      <w:r>
        <w:t>O mar é parte integral do rio Jordão, que o alimenta com água do Monte Hermon, que tem seu topo coberto de neve (com mais de 9.000 pés, ou 2.743,2 metros, acima do nível do mar) e das montanhas do Líbano. Em seu curso de 104,6 quilômetros, do Mar da Galiléia ao Mar Morto, o rio Jordão desce 179,8 metros (590 pés), uma média de cerca de 1,7 metros por quilômetro.</w:t>
      </w:r>
    </w:p>
    <w:p>
      <w:pPr>
        <w:pStyle w:val="Heading3"/>
      </w:pPr>
      <w:r>
        <w:t>Descrição</w:t>
      </w:r>
    </w:p>
    <w:p>
      <w:r/>
      <w:r>
        <w:t>O lago tem aproximadamente 20,9 quilômetros de comprimento e 9,7 quilômetros de largura (12,1 quilômetros em seu ponto mais largo, oposto a Magdala). Encontra-se quase 700 pés (213,4 metros) abaixo do Mar Mediterrâneo e sua maior profundidade é de 200 pés (60,9 metros). Sua forma se assemelha a uma harpa, e alguns estudiosos pensam que o nome Chinereth vem de uma palavra hebraica que significa “harpa”. O clima é semitropical. Por causa deste clima, combinado com as nascentes de enxofre em Tiberíades, tornou-se um resort para o qual pessoas doentes viajavam. O lago abunda em peixes, então a pesca se tornou uma indústria importante (</w:t>
      </w:r>
      <w:hyperlink r:id="rId11714">
        <w:r>
          <w:rPr>
            <w:color w:val="0000EE"/>
            <w:u w:val="single"/>
          </w:rPr>
          <w:t>Mt 4.18–22</w:t>
        </w:r>
      </w:hyperlink>
      <w:r>
        <w:t xml:space="preserve">; </w:t>
      </w:r>
      <w:hyperlink r:id="rId11715">
        <w:r>
          <w:rPr>
            <w:color w:val="0000EE"/>
            <w:u w:val="single"/>
          </w:rPr>
          <w:t>Mc 1.16–20</w:t>
        </w:r>
      </w:hyperlink>
      <w:r>
        <w:t xml:space="preserve">; </w:t>
      </w:r>
      <w:hyperlink r:id="rId13832">
        <w:r>
          <w:rPr>
            <w:color w:val="0000EE"/>
            <w:u w:val="single"/>
          </w:rPr>
          <w:t>Lc 5.9–11</w:t>
        </w:r>
      </w:hyperlink>
      <w:r>
        <w:t>). Tempestades repentinas e violentas (</w:t>
      </w:r>
      <w:hyperlink r:id="rId11724">
        <w:r>
          <w:rPr>
            <w:color w:val="0000EE"/>
            <w:u w:val="single"/>
          </w:rPr>
          <w:t>Mt 8.23–27</w:t>
        </w:r>
      </w:hyperlink>
      <w:r>
        <w:t xml:space="preserve">; </w:t>
      </w:r>
      <w:hyperlink r:id="rId11725">
        <w:r>
          <w:rPr>
            <w:color w:val="0000EE"/>
            <w:u w:val="single"/>
          </w:rPr>
          <w:t>Mc 4.35–41</w:t>
        </w:r>
      </w:hyperlink>
      <w:r>
        <w:t xml:space="preserve">; </w:t>
      </w:r>
      <w:hyperlink r:id="rId11726">
        <w:r>
          <w:rPr>
            <w:color w:val="0000EE"/>
            <w:u w:val="single"/>
          </w:rPr>
          <w:t>Lc 8.22–25</w:t>
        </w:r>
      </w:hyperlink>
      <w:r>
        <w:t>), causadas pela colisão do ar quente e frio, ocorrem regularmente.</w:t>
      </w:r>
    </w:p>
    <w:p>
      <w:pPr>
        <w:pStyle w:val="Heading3"/>
      </w:pPr>
      <w:r>
        <w:t>Importância</w:t>
      </w:r>
    </w:p>
    <w:p>
      <w:r/>
      <w:r>
        <w:t>A maioria dos eventos da vida de Jesus ocorreu na Galileia, especialmente ao redor de Genesaré, a área mais densamente povoada da Palestina. Diz-se que ele viveu em Cafarnaum (</w:t>
      </w:r>
      <w:hyperlink r:id="rId3980">
        <w:r>
          <w:rPr>
            <w:color w:val="0000EE"/>
            <w:u w:val="single"/>
          </w:rPr>
          <w:t>Mt 4.13</w:t>
        </w:r>
      </w:hyperlink>
      <w:r>
        <w:t>), e ele fez muitos milagres lá (</w:t>
      </w:r>
      <w:hyperlink r:id="rId3990">
        <w:r>
          <w:rPr>
            <w:color w:val="0000EE"/>
            <w:u w:val="single"/>
          </w:rPr>
          <w:t>11.23</w:t>
        </w:r>
      </w:hyperlink>
      <w:r>
        <w:t>). Porque a área no oeste do lago era um resort de saúde, Jesus encontrou muitas pessoas enfermas lá e as curou (</w:t>
      </w:r>
      <w:hyperlink r:id="rId13833">
        <w:r>
          <w:rPr>
            <w:color w:val="0000EE"/>
            <w:u w:val="single"/>
          </w:rPr>
          <w:t>Mc 1.32–34</w:t>
        </w:r>
      </w:hyperlink>
      <w:r>
        <w:t xml:space="preserve">; </w:t>
      </w:r>
      <w:hyperlink r:id="rId6394">
        <w:r>
          <w:rPr>
            <w:color w:val="0000EE"/>
            <w:u w:val="single"/>
          </w:rPr>
          <w:t>6.53–56</w:t>
        </w:r>
      </w:hyperlink>
      <w:r>
        <w:t>). Outras ocorrências importantes em relação ao mar foram o Sermão do Monte, tradicionalmente perto de Cafarnaum (</w:t>
      </w:r>
      <w:hyperlink r:id="rId13834">
        <w:r>
          <w:rPr>
            <w:color w:val="0000EE"/>
            <w:u w:val="single"/>
          </w:rPr>
          <w:t>Mt 5.1ss;</w:t>
        </w:r>
      </w:hyperlink>
      <w:r>
        <w:t xml:space="preserve"> cf. </w:t>
      </w:r>
      <w:hyperlink r:id="rId13835">
        <w:r>
          <w:rPr>
            <w:color w:val="0000EE"/>
            <w:u w:val="single"/>
          </w:rPr>
          <w:t>8.1, 5</w:t>
        </w:r>
      </w:hyperlink>
      <w:r>
        <w:t>); o afogamento dos porcos na região dos gadarenos (</w:t>
      </w:r>
      <w:hyperlink r:id="rId13836">
        <w:r>
          <w:rPr>
            <w:color w:val="0000EE"/>
            <w:u w:val="single"/>
          </w:rPr>
          <w:t>8.28–34</w:t>
        </w:r>
      </w:hyperlink>
      <w:r>
        <w:t>); a maldição em Corazim (</w:t>
      </w:r>
      <w:hyperlink r:id="rId9738">
        <w:r>
          <w:rPr>
            <w:color w:val="0000EE"/>
            <w:u w:val="single"/>
          </w:rPr>
          <w:t>11.21</w:t>
        </w:r>
      </w:hyperlink>
      <w:r>
        <w:t>); o acalmamento do mar (</w:t>
      </w:r>
      <w:hyperlink r:id="rId11724">
        <w:r>
          <w:rPr>
            <w:color w:val="0000EE"/>
            <w:u w:val="single"/>
          </w:rPr>
          <w:t>8.23–27</w:t>
        </w:r>
      </w:hyperlink>
      <w:r>
        <w:t xml:space="preserve">; </w:t>
      </w:r>
      <w:hyperlink r:id="rId11725">
        <w:r>
          <w:rPr>
            <w:color w:val="0000EE"/>
            <w:u w:val="single"/>
          </w:rPr>
          <w:t>Mc 4.35–41</w:t>
        </w:r>
      </w:hyperlink>
      <w:r>
        <w:t xml:space="preserve">; </w:t>
      </w:r>
      <w:hyperlink r:id="rId13837">
        <w:r>
          <w:rPr>
            <w:color w:val="0000EE"/>
            <w:u w:val="single"/>
          </w:rPr>
          <w:t>Lc 8.22–24</w:t>
        </w:r>
      </w:hyperlink>
      <w:r>
        <w:t>); e Jesus andando sobre a água (</w:t>
      </w:r>
      <w:hyperlink r:id="rId13838">
        <w:r>
          <w:rPr>
            <w:color w:val="0000EE"/>
            <w:u w:val="single"/>
          </w:rPr>
          <w:t>Mt 14.22–23</w:t>
        </w:r>
      </w:hyperlink>
      <w:r>
        <w:t xml:space="preserve">; </w:t>
      </w:r>
      <w:hyperlink r:id="rId13839">
        <w:r>
          <w:rPr>
            <w:color w:val="0000EE"/>
            <w:u w:val="single"/>
          </w:rPr>
          <w:t>Mc 6.45–51</w:t>
        </w:r>
      </w:hyperlink>
      <w:r>
        <w:t xml:space="preserve">; </w:t>
      </w:r>
      <w:hyperlink r:id="rId13840">
        <w:r>
          <w:rPr>
            <w:color w:val="0000EE"/>
            <w:u w:val="single"/>
          </w:rPr>
          <w:t>Jo 6.16–21</w:t>
        </w:r>
      </w:hyperlink>
      <w:r>
        <w:t>).</w:t>
      </w:r>
    </w:p>
    <w:p>
      <w:r/>
      <w:r>
        <w:rPr>
          <w:i/>
        </w:rPr>
        <w:t>Ver também</w:t>
      </w:r>
      <w:r>
        <w:t xml:space="preserve"> </w:t>
      </w:r>
      <w:r>
        <w:t>Galileia</w:t>
      </w:r>
      <w:r>
        <w:t xml:space="preserve">; </w:t>
      </w:r>
      <w:r>
        <w:t>Palestina</w:t>
      </w:r>
      <w:r>
        <w:t>.</w:t>
      </w:r>
      <w:r/>
      <w:r/>
    </w:p>
    <w:p>
      <w:r/>
    </w:p>
    <w:p>
      <w:pPr>
        <w:pStyle w:val="Heading2"/>
      </w:pPr>
      <w:r>
        <w:t>Mar do Arabá</w:t>
      </w:r>
      <w:r/>
    </w:p>
    <w:p>
      <w:r/>
      <w:r>
        <w:t>Um nome alternativo para o Mar Morto. Este corpo de água é chamado de "Mar de Arabá" porque está localizado dentro da área da terra de Israel chamada Arabá (</w:t>
      </w:r>
      <w:hyperlink r:id="rId2316">
        <w:r>
          <w:rPr>
            <w:color w:val="0000EE"/>
            <w:u w:val="single"/>
          </w:rPr>
          <w:t>Dt 3.17</w:t>
        </w:r>
      </w:hyperlink>
      <w:r>
        <w:t xml:space="preserve">; </w:t>
      </w:r>
      <w:hyperlink r:id="rId2317">
        <w:r>
          <w:rPr>
            <w:color w:val="0000EE"/>
            <w:u w:val="single"/>
          </w:rPr>
          <w:t>4.49</w:t>
        </w:r>
      </w:hyperlink>
      <w:r>
        <w:t xml:space="preserve">; </w:t>
      </w:r>
      <w:hyperlink r:id="rId13841">
        <w:r>
          <w:rPr>
            <w:color w:val="0000EE"/>
            <w:u w:val="single"/>
          </w:rPr>
          <w:t>Js 3.16</w:t>
        </w:r>
      </w:hyperlink>
      <w:r>
        <w:t xml:space="preserve">; </w:t>
      </w:r>
      <w:hyperlink r:id="rId2705">
        <w:r>
          <w:rPr>
            <w:color w:val="0000EE"/>
            <w:u w:val="single"/>
          </w:rPr>
          <w:t>12.3</w:t>
        </w:r>
      </w:hyperlink>
      <w:r>
        <w:t xml:space="preserve">; </w:t>
      </w:r>
      <w:hyperlink r:id="rId2321">
        <w:r>
          <w:rPr>
            <w:color w:val="0000EE"/>
            <w:u w:val="single"/>
          </w:rPr>
          <w:t>2Rs 14.25</w:t>
        </w:r>
      </w:hyperlink>
      <w:r>
        <w:t>).</w:t>
      </w:r>
    </w:p>
    <w:p>
      <w:r/>
      <w:r>
        <w:rPr>
          <w:i/>
        </w:rPr>
        <w:t>Veja</w:t>
      </w:r>
      <w:r>
        <w:t xml:space="preserve"> </w:t>
      </w:r>
      <w:r>
        <w:t>Mar Morto</w:t>
      </w:r>
      <w:r>
        <w:t>.</w:t>
      </w:r>
      <w:r/>
      <w:r/>
    </w:p>
    <w:p>
      <w:r/>
    </w:p>
    <w:p>
      <w:pPr>
        <w:pStyle w:val="Heading2"/>
      </w:pPr>
      <w:r>
        <w:t>Mar Mediterrâneo</w:t>
      </w:r>
      <w:r/>
    </w:p>
    <w:p>
      <w:r/>
      <w:r>
        <w:t>Um grande corpo de água que faz fronteira com a fronteira oeste da Palestina, também conhecido como o Grande Mar (</w:t>
      </w:r>
      <w:hyperlink r:id="rId13842">
        <w:r>
          <w:rPr>
            <w:color w:val="0000EE"/>
            <w:u w:val="single"/>
          </w:rPr>
          <w:t>Nm 34.7</w:t>
        </w:r>
      </w:hyperlink>
      <w:r>
        <w:t xml:space="preserve">; </w:t>
      </w:r>
      <w:hyperlink r:id="rId9181">
        <w:r>
          <w:rPr>
            <w:color w:val="0000EE"/>
            <w:u w:val="single"/>
          </w:rPr>
          <w:t>Js 9.1</w:t>
        </w:r>
      </w:hyperlink>
      <w:r>
        <w:t xml:space="preserve">; </w:t>
      </w:r>
      <w:hyperlink r:id="rId13843">
        <w:r>
          <w:rPr>
            <w:color w:val="0000EE"/>
            <w:u w:val="single"/>
          </w:rPr>
          <w:t>Ez 47.10,15</w:t>
        </w:r>
      </w:hyperlink>
      <w:r>
        <w:t>).</w:t>
      </w:r>
    </w:p>
    <w:p>
      <w:pPr>
        <w:pStyle w:val="Heading3"/>
      </w:pPr>
      <w:r>
        <w:t>O tamanho do Mar Mediterrâneo</w:t>
      </w:r>
    </w:p>
    <w:p>
      <w:r/>
      <w:r>
        <w:t>O mar tem aproximadamente 3.533 quilômetros de comprimento, de Gibraltar ao Líbano. Sua largura varia de 965 a 1.609 quilômetros. Tem uma profundidade máxima de 4,3 quilômetros. O mar inclui cinco mares menores: o Adriático, Egeu, Jônico, Lígure e Tirreno.</w:t>
      </w:r>
    </w:p>
    <w:p>
      <w:pPr>
        <w:pStyle w:val="Heading3"/>
      </w:pPr>
      <w:r>
        <w:t>A costa do Mar Mediterrâneo</w:t>
      </w:r>
    </w:p>
    <w:p>
      <w:r/>
      <w:r>
        <w:t>A costa leste é, em sua maior parte, reta. Da Baía de Iskenderun, no norte, até el-Arish, no sul, são cerca de 724 quilômetros. Possui poucas baías profundas ou promontórios. Ao longo da costa da Síria até Beirute, há penhascos rochosos que se erguem diretamente da água. Em Acco, o terreno inclina-se suavemente em direção à planície de Esdraelon. O Monte Carmelo avança para a água como uma ponta. Ao sul do Monte Carmelo, o terreno torna-se plano em uma área chamada vale de Sarom. Esta área plana continua ao sul nas planícies da Filístia. A partir daí, a costa curva-se suavemente até alcançar o Delta do Nilo.</w:t>
      </w:r>
    </w:p>
    <w:p>
      <w:r/>
      <w:r>
        <w:t>A costa siro-fenícia possuía vários bons portos na antiguidade. O mar desempenhou um papel importante no desenvolvimento daquela região. Bíblos era uma potência marítima antes de 1000 a.C. Tiro e Sidom eram conhecidas por sua força no mar após 1000 a.C. Quando os romanos assumiram o controle da Palestina em 63 a.C., eles utilizaram tanto o mar que o chamaram de "Nosso Mar".</w:t>
      </w:r>
    </w:p>
    <w:p>
      <w:pPr>
        <w:pStyle w:val="Heading3"/>
      </w:pPr>
      <w:r>
        <w:t>Israel e o Mar Mediterrâneo</w:t>
      </w:r>
    </w:p>
    <w:p>
      <w:r/>
      <w:r>
        <w:t>Embora Israel estivesse próximo ao Mar Mediterrâneo, eles não o utilizavam muito para fins comerciais ou militares. Havia várias razões para isso:</w:t>
      </w:r>
    </w:p>
    <w:p>
      <w:pPr>
        <w:pStyle w:val="ListNumber"/>
        <w:spacing w:line="240" w:lineRule="auto"/>
        <w:ind w:left="720"/>
      </w:pPr>
      <w:r/>
      <w:r>
        <w:t>Os israelitas eram agricultores e pastores que se dedicavam à terra em vez do mar.</w:t>
      </w:r>
    </w:p>
    <w:p>
      <w:pPr>
        <w:pStyle w:val="ListNumber"/>
        <w:spacing w:line="240" w:lineRule="auto"/>
        <w:ind w:left="720"/>
      </w:pPr>
      <w:r/>
      <w:r>
        <w:t>Eles passaram a maior parte do tempo conquistando e protegendo suas terras, deixando pouco tempo para atividades marítimas.</w:t>
      </w:r>
    </w:p>
    <w:p>
      <w:pPr>
        <w:pStyle w:val="ListNumber"/>
        <w:spacing w:line="240" w:lineRule="auto"/>
        <w:ind w:left="720"/>
      </w:pPr>
      <w:r/>
      <w:r>
        <w:t>O mar era controlado pela Fenícia e, em menor grau, pela Filístia. Desde a época do Êxodo, os Fenícios controlavam a costa norte, desde o Orontes, no norte, até Jope, no sul. Os Filisteus controlavam a costa sul durante grande parte da história de Israel. Em determinado momento, Salomão tinha uma frota de navios em Eziom-Geber no Mar Vermelho (</w:t>
      </w:r>
      <w:hyperlink r:id="rId5194">
        <w:r>
          <w:rPr>
            <w:color w:val="0000EE"/>
            <w:u w:val="single"/>
          </w:rPr>
          <w:t>1Rs 9.26–27</w:t>
        </w:r>
      </w:hyperlink>
      <w:r>
        <w:t>). Josafá também tinha uma frota nessa área (</w:t>
      </w:r>
      <w:hyperlink r:id="rId2336">
        <w:r>
          <w:rPr>
            <w:color w:val="0000EE"/>
            <w:u w:val="single"/>
          </w:rPr>
          <w:t>22.48</w:t>
        </w:r>
      </w:hyperlink>
      <w:r>
        <w:t>).</w:t>
      </w:r>
    </w:p>
    <w:p>
      <w:pPr>
        <w:pStyle w:val="ListNumber"/>
        <w:spacing w:line="240" w:lineRule="auto"/>
        <w:ind w:left="720"/>
      </w:pPr>
      <w:r/>
      <w:r>
        <w:t>Havia poucos portos naturais na costa de Israel. Alguns portos existiam em Asquelom, Dor, Jope e Acco. Durante o tempo dos reis, Israel só podia usar o porto de Jope. Quando o rei Salomão construiu o templo, trabalhadores trouxeram madeira do Líbano para Jope de navio e depois a transportaram para Jerusalém por terra.</w:t>
      </w:r>
    </w:p>
    <w:p>
      <w:pPr>
        <w:pStyle w:val="Heading3"/>
      </w:pPr>
      <w:r>
        <w:t>O Mar Mediterrâneo no Novo Testamento</w:t>
      </w:r>
    </w:p>
    <w:p>
      <w:r/>
      <w:r>
        <w:t>Jesus visitou a área costeira uma vez. Ele foi para "o distrito de Tiro e Sidom", onde curou a filha de uma mulher siro-fenícia que tinha um espírito maligno (</w:t>
      </w:r>
      <w:hyperlink r:id="rId12966">
        <w:r>
          <w:rPr>
            <w:color w:val="0000EE"/>
            <w:u w:val="single"/>
          </w:rPr>
          <w:t>Mt 15.21</w:t>
        </w:r>
      </w:hyperlink>
      <w:r>
        <w:t>). O apóstolo Paulo frequentemente viajava pelo Mar Mediterrâneo durante suas jornadas missionárias, de Cesareia, na costa palestina, até Puteóli, na costa da Itália.</w:t>
      </w:r>
    </w:p>
    <w:p>
      <w:r/>
      <w:r>
        <w:t>Sob o domínio romano, muitas pessoas usavam o mar para viajar. Comerciantes, funcionários do governo, soldados e professores frequentemente viajavam pelo mar. Paulo e outros primeiros cristãos utilizavam tanto as estradas romanas quanto as rotas marítimas para compartilhar as boas-novas sobre Jesus em todo o mundo mediterrâneo.</w:t>
      </w:r>
      <w:r/>
      <w:r/>
    </w:p>
    <w:p>
      <w:r/>
    </w:p>
    <w:p>
      <w:pPr>
        <w:pStyle w:val="Heading2"/>
      </w:pPr>
      <w:r>
        <w:t>Mar Morto</w:t>
      </w:r>
      <w:r/>
    </w:p>
    <w:p>
      <w:r/>
      <w:r>
        <w:t>Um grande lago de água salgada onde o Rio Jordão termina. A cultura ocidental o chamou de "Mar Morto" desde o período grego. No entanto, no Antigo Testamento, é frequentemente chamado de "Mar de Sal" (</w:t>
      </w:r>
      <w:hyperlink r:id="rId10069">
        <w:r>
          <w:rPr>
            <w:color w:val="0000EE"/>
            <w:u w:val="single"/>
          </w:rPr>
          <w:t>Gn 14.3</w:t>
        </w:r>
      </w:hyperlink>
      <w:r>
        <w:t xml:space="preserve">; </w:t>
      </w:r>
      <w:hyperlink r:id="rId13844">
        <w:r>
          <w:rPr>
            <w:color w:val="0000EE"/>
            <w:u w:val="single"/>
          </w:rPr>
          <w:t>Nm 34.3,12</w:t>
        </w:r>
      </w:hyperlink>
      <w:r>
        <w:t xml:space="preserve">; </w:t>
      </w:r>
      <w:hyperlink r:id="rId2316">
        <w:r>
          <w:rPr>
            <w:color w:val="0000EE"/>
            <w:u w:val="single"/>
          </w:rPr>
          <w:t>Dt 3.17</w:t>
        </w:r>
      </w:hyperlink>
      <w:r>
        <w:t xml:space="preserve">; </w:t>
      </w:r>
      <w:hyperlink r:id="rId13841">
        <w:r>
          <w:rPr>
            <w:color w:val="0000EE"/>
            <w:u w:val="single"/>
          </w:rPr>
          <w:t>Js 3.16</w:t>
        </w:r>
      </w:hyperlink>
      <w:r>
        <w:t xml:space="preserve">; </w:t>
      </w:r>
      <w:hyperlink r:id="rId2705">
        <w:r>
          <w:rPr>
            <w:color w:val="0000EE"/>
            <w:u w:val="single"/>
          </w:rPr>
          <w:t>12.3</w:t>
        </w:r>
      </w:hyperlink>
      <w:r>
        <w:t xml:space="preserve">; </w:t>
      </w:r>
      <w:hyperlink r:id="rId13845">
        <w:r>
          <w:rPr>
            <w:color w:val="0000EE"/>
            <w:u w:val="single"/>
          </w:rPr>
          <w:t>15.2,5</w:t>
        </w:r>
      </w:hyperlink>
      <w:r>
        <w:t xml:space="preserve">; </w:t>
      </w:r>
      <w:hyperlink r:id="rId13846">
        <w:r>
          <w:rPr>
            <w:color w:val="0000EE"/>
            <w:u w:val="single"/>
          </w:rPr>
          <w:t>18.19</w:t>
        </w:r>
      </w:hyperlink>
      <w:r>
        <w:t>). O lago contém uma grande quantidade de sal, um recurso valioso nos tempos antigos. A Bíblia também chama o Mar Morto de:</w:t>
      </w:r>
    </w:p>
    <w:p>
      <w:pPr>
        <w:pStyle w:val="ListBullet"/>
        <w:spacing w:line="240" w:lineRule="auto"/>
        <w:ind w:left="720"/>
      </w:pPr>
      <w:r/>
      <w:r>
        <w:t>O Mar do Arabá (</w:t>
      </w:r>
      <w:hyperlink r:id="rId2316">
        <w:r>
          <w:rPr>
            <w:color w:val="0000EE"/>
            <w:u w:val="single"/>
          </w:rPr>
          <w:t>Dt 3.17</w:t>
        </w:r>
      </w:hyperlink>
      <w:r>
        <w:t xml:space="preserve">; </w:t>
      </w:r>
      <w:hyperlink r:id="rId2317">
        <w:r>
          <w:rPr>
            <w:color w:val="0000EE"/>
            <w:u w:val="single"/>
          </w:rPr>
          <w:t>4.49</w:t>
        </w:r>
      </w:hyperlink>
      <w:r>
        <w:t xml:space="preserve">; </w:t>
      </w:r>
      <w:hyperlink r:id="rId13841">
        <w:r>
          <w:rPr>
            <w:color w:val="0000EE"/>
            <w:u w:val="single"/>
          </w:rPr>
          <w:t>Js 3.16</w:t>
        </w:r>
      </w:hyperlink>
      <w:r>
        <w:t xml:space="preserve">; </w:t>
      </w:r>
      <w:hyperlink r:id="rId2705">
        <w:r>
          <w:rPr>
            <w:color w:val="0000EE"/>
            <w:u w:val="single"/>
          </w:rPr>
          <w:t>12.3</w:t>
        </w:r>
      </w:hyperlink>
      <w:r>
        <w:t xml:space="preserve">; </w:t>
      </w:r>
      <w:hyperlink r:id="rId2321">
        <w:r>
          <w:rPr>
            <w:color w:val="0000EE"/>
            <w:u w:val="single"/>
          </w:rPr>
          <w:t>2Rs 14.25</w:t>
        </w:r>
      </w:hyperlink>
      <w:r>
        <w:t>)</w:t>
      </w:r>
    </w:p>
    <w:p>
      <w:pPr>
        <w:pStyle w:val="ListBullet"/>
        <w:spacing w:line="240" w:lineRule="auto"/>
        <w:ind w:left="720"/>
      </w:pPr>
      <w:r/>
      <w:r>
        <w:t>O Mar Oriental (</w:t>
      </w:r>
      <w:hyperlink r:id="rId13847">
        <w:r>
          <w:rPr>
            <w:color w:val="0000EE"/>
            <w:u w:val="single"/>
          </w:rPr>
          <w:t>Ez 47.18</w:t>
        </w:r>
      </w:hyperlink>
      <w:r>
        <w:t xml:space="preserve">; </w:t>
      </w:r>
      <w:hyperlink r:id="rId13848">
        <w:r>
          <w:rPr>
            <w:color w:val="0000EE"/>
            <w:u w:val="single"/>
          </w:rPr>
          <w:t>Jl 2.20</w:t>
        </w:r>
      </w:hyperlink>
      <w:r>
        <w:t xml:space="preserve">; </w:t>
      </w:r>
      <w:hyperlink r:id="rId2330">
        <w:r>
          <w:rPr>
            <w:color w:val="0000EE"/>
            <w:u w:val="single"/>
          </w:rPr>
          <w:t>Zc 14.8</w:t>
        </w:r>
      </w:hyperlink>
      <w:r>
        <w:t>)</w:t>
      </w:r>
    </w:p>
    <w:p>
      <w:r/>
      <w:r>
        <w:t>Outros escritores antigos referem-se ao Mar Morto como:</w:t>
      </w:r>
    </w:p>
    <w:p>
      <w:pPr>
        <w:pStyle w:val="ListBullet"/>
        <w:spacing w:line="240" w:lineRule="auto"/>
        <w:ind w:left="720"/>
      </w:pPr>
      <w:r/>
      <w:r>
        <w:t>O Mar de Sodoma</w:t>
      </w:r>
    </w:p>
    <w:p>
      <w:pPr>
        <w:pStyle w:val="ListBullet"/>
        <w:spacing w:line="240" w:lineRule="auto"/>
        <w:ind w:left="720"/>
      </w:pPr>
      <w:r/>
      <w:r>
        <w:t>O Mar de Asfalto</w:t>
      </w:r>
    </w:p>
    <w:p>
      <w:pPr>
        <w:pStyle w:val="ListBullet"/>
        <w:spacing w:line="240" w:lineRule="auto"/>
        <w:ind w:left="720"/>
      </w:pPr>
      <w:r/>
      <w:r>
        <w:t>O Mar de Ló</w:t>
      </w:r>
    </w:p>
    <w:p>
      <w:r/>
      <w:r>
        <w:t>O Novo Testamento não menciona o mar.</w:t>
      </w:r>
    </w:p>
    <w:p>
      <w:pPr>
        <w:pStyle w:val="Heading3"/>
      </w:pPr>
      <w:r>
        <w:t>Onde o Mar Morto está localizado?</w:t>
      </w:r>
    </w:p>
    <w:p>
      <w:r/>
      <w:r>
        <w:t>O Mar Morto está localizado em um vale profundo chamado Vale do Jordão. Este vale também é conhecido como o Vale do Rift porque se encontra em uma longa fenda na superfície da terra. Esta fenda é a mais longa e profunda do seu tipo no mundo. Começa nas Montanhas Taurus, no sul da Turquia, e continua por vários países: Síria, Líbano e Palestina. Em seguida, estende-se pelo Golfo de Ácaba e pelo Mar Vermelho, chegando finalmente a Moçambique, no Leste da África, onde é chamado de Grande Vale do Rift Africano.</w:t>
      </w:r>
    </w:p>
    <w:p>
      <w:r/>
      <w:r>
        <w:t>O vale varia em largura de 3 a 24 quilômetros . Em seu ponto mais profundo, perto da costa do Mar Morto, o vale desce a 396 metros (1.300 pés) abaixo do nível do mar. Isso o torna o lugar mais baixo na Terra que não está submerso.</w:t>
      </w:r>
    </w:p>
    <w:p>
      <w:pPr>
        <w:pStyle w:val="Heading3"/>
      </w:pPr>
      <w:r>
        <w:t>Qual é a extensão do Mar Morto?</w:t>
      </w:r>
    </w:p>
    <w:p>
      <w:r/>
      <w:r>
        <w:t>O Mar Morto possui uma forma retangular. De norte a sul, estende-se por cerca de 85 quilômetros, desde onde o Rio Jordão entra até as salinas de Sebkha no sul. Tem aproximadamente 16 quilômetros de largura. Penhascos íngremes e rochosos se erguem em ambos os lados do mar.</w:t>
      </w:r>
    </w:p>
    <w:p>
      <w:r/>
      <w:r>
        <w:t>Uma porção de terra chamada Península de Lisan divide o Mar Morto em duas partes. Esta península se estende por cerca de 14 quilômetros a partir da costa leste. A parte norte é maior e mais profunda. Seu ponto mais profundo está na área nordeste, atingindo cerca de 396 metros de profundidade. A parte sul é mais rasa, com água entre 1 e 9 metros de profundidade.</w:t>
      </w:r>
    </w:p>
    <w:p>
      <w:pPr>
        <w:pStyle w:val="Heading3"/>
      </w:pPr>
      <w:r>
        <w:t>De onde o Mar Morto recebe sua água?</w:t>
      </w:r>
    </w:p>
    <w:p>
      <w:r/>
      <w:r>
        <w:t>O Mar Morto recebe sua água de várias fontes. O Rio Jordão é a principal fonte. A água também vem de quatro ou cinco riachos que fluem o ano todo e muitos riachos sazonais (chamados de wadis). Cerca de 6,4 milhões de toneladas métricas (7 milhões de toneladas) de água fluem para o Mar Morto a cada dia. No entanto, essa água só pode sair por evaporação, já que o mar não tem saídas.</w:t>
      </w:r>
    </w:p>
    <w:p>
      <w:r/>
      <w:r>
        <w:t>A região ao redor do Mar Morto é extremamente seca, recebendo apenas de 5 a 13 centímetros de chuva por ano. O clima é extremamente quente, especialmente no verão, quando as temperaturas podem atingir 52 graus Celsius. Esse calor faz com que grande parte da água evapore, frequentemente criando uma névoa densa que dificulta a visibilidade.</w:t>
      </w:r>
    </w:p>
    <w:p>
      <w:pPr>
        <w:pStyle w:val="Heading3"/>
      </w:pPr>
      <w:r>
        <w:t>Por que o Mar Morto é tão salgado?</w:t>
      </w:r>
    </w:p>
    <w:p>
      <w:r/>
      <w:r>
        <w:t>A água que flui para o Mar Morto já é muito salgada. Esses riachos passam por solos que contêm minerais como nitrogênio e enxofre. Fontes subterrâneas sob o mar adicionam mais minerais à água, incluindo bromo, magnésio e cálcio. As margens possuem grandes depósitos de enxofre e nascentes de petróleo.</w:t>
      </w:r>
    </w:p>
    <w:p>
      <w:r/>
      <w:r>
        <w:t>Na parte sudeste do mar, há um enorme depósito de sal-gema. A parte visível tem 91 metros de espessura, mas isso é apenas o topo de uma formação de sal muito maior. Toda a formação tem cerca de 1.371 metros de profundidade e se estende por cerca de 8 quilômetros. Também há cristais de sal no fundo do mar.</w:t>
      </w:r>
    </w:p>
    <w:p>
      <w:r/>
      <w:r>
        <w:t>Todos esses fatores tornam o Mar Morto extremamente salgado. Sua água contém cerca de 26 por cento de sal, enquanto a água do oceano comum tem apenas 3,5 por cento de sal. Isso faz do Mar Morto o maior corpo de água salgada da Terra. A água é tão salgada que nenhum peixe ou planta pode viver nela, e o teor de sal continua aumentando.</w:t>
      </w:r>
    </w:p>
    <w:p>
      <w:r/>
      <w:r>
        <w:t>Nos tempos antigos, as pessoas valorizavam o Mar Morto por duas coisas principais: seu sal e uma substância especial chamada betume. O betume é uma substância preta natural, semelhante ao alcatrão, que se forma quando o óleo endurece após ser exposto ao ar. As pessoas o utilizavam para impermeabilizar objetos.</w:t>
      </w:r>
    </w:p>
    <w:p>
      <w:r/>
      <w:r>
        <w:t>Durante o período do Novo Testamento, um grupo de pessoas chamado nabateus controlava o comércio de betume do Mar Morto. Eles vendiam esse betume para o Egito, onde era usado para preservar corpos mortos (um processo chamado mumificação). Alguns historiadores acreditam que a Rainha Cleópatra do Egito queria controlar a área do Mar Morto para dominar esse importante comércio de betume.</w:t>
      </w:r>
    </w:p>
    <w:p>
      <w:pPr>
        <w:pStyle w:val="Heading3"/>
      </w:pPr>
      <w:r>
        <w:t>O Mar Morto na Bíblia</w:t>
      </w:r>
    </w:p>
    <w:p>
      <w:pPr>
        <w:pStyle w:val="Heading4"/>
      </w:pPr>
      <w:r>
        <w:t>Sodoma e Gomorra</w:t>
      </w:r>
    </w:p>
    <w:p>
      <w:r/>
      <w:r>
        <w:t xml:space="preserve">Hoje, a área do Mar Morto parece vazia e sem vida. Isso corresponde ao que sabemos sobre sua história. De acordo com </w:t>
      </w:r>
      <w:hyperlink r:id="rId172">
        <w:r>
          <w:rPr>
            <w:color w:val="0000EE"/>
            <w:u w:val="single"/>
          </w:rPr>
          <w:t>Gênesis 19</w:t>
        </w:r>
      </w:hyperlink>
      <w:r>
        <w:t>, é aqui que as antigas cidades de Sodoma e Gomorra foram destruídas. O Monte Sedom, a grande montanha de sal no canto sudeste do mar, recebe seu nome da cidade de Sodoma.</w:t>
      </w:r>
    </w:p>
    <w:p>
      <w:r/>
      <w:r>
        <w:t>Um arqueólogo chamado Nelson Glueck encontrou evidências de que há cerca de 5.000 anos (por volta de 3000 a.C.), existiam até 70 cidades na área ao redor do Monte Sedom. Os estudiosos têm diferentes teorias sobre como Sodoma e Gomorra foram destruídas. Alguns acreditam que foi causado por uma erupção vulcânica. Outros pensam que bolsões de solo rico em petróleo sob a superfície explodiram espontaneamente.</w:t>
      </w:r>
    </w:p>
    <w:p>
      <w:r/>
      <w:r>
        <w:t>Nesta área, há muitos pilares altos feitos de sal. As pessoas costumam chamar esses pilares de "esposa de Ló" por causa da história bíblica em que a esposa de Ló se transformou em uma estátua de sal.</w:t>
      </w:r>
    </w:p>
    <w:p>
      <w:pPr>
        <w:pStyle w:val="Heading4"/>
      </w:pPr>
      <w:r>
        <w:t>O Mar Morto como refúgio</w:t>
      </w:r>
    </w:p>
    <w:p>
      <w:r/>
      <w:r>
        <w:t>O deserto vazio ao redor do Mar Morto tem sido um refúgio para muitas pessoas ao longo da história. Davi, que mais tarde se tornou rei de Israel, escondeu-se lá de seus inimigos (</w:t>
      </w:r>
      <w:hyperlink r:id="rId13849">
        <w:r>
          <w:rPr>
            <w:color w:val="0000EE"/>
            <w:u w:val="single"/>
          </w:rPr>
          <w:t>1Sm 23.29–24.22</w:t>
        </w:r>
      </w:hyperlink>
      <w:r>
        <w:t>). Mais tarde, um grupo religioso chamado essênios viveu em Qumran, perto do mar, para estudar e orar em paz. Durante a segunda rebelião judaica contra Roma, combatentes judeus também usaram essa área para se esconder.</w:t>
      </w:r>
    </w:p>
    <w:p>
      <w:pPr>
        <w:pStyle w:val="Heading4"/>
      </w:pPr>
      <w:r>
        <w:t>O Mar Morto na profecia</w:t>
      </w:r>
    </w:p>
    <w:p>
      <w:r/>
      <w:r>
        <w:t>O profeta Ezequiel escreveu sobre um tempo futuro quando o Mar Morto mudaria (</w:t>
      </w:r>
      <w:hyperlink r:id="rId2328">
        <w:r>
          <w:rPr>
            <w:color w:val="0000EE"/>
            <w:u w:val="single"/>
          </w:rPr>
          <w:t>Ez 47.1–12</w:t>
        </w:r>
      </w:hyperlink>
      <w:r>
        <w:t xml:space="preserve">; compare </w:t>
      </w:r>
      <w:hyperlink r:id="rId2330">
        <w:r>
          <w:rPr>
            <w:color w:val="0000EE"/>
            <w:u w:val="single"/>
          </w:rPr>
          <w:t>Zc 14.8</w:t>
        </w:r>
      </w:hyperlink>
      <w:r>
        <w:t>). Ele disse que um dia, as águas salgadas se tornariam doces, e o mar que não pode sustentar vida estaria cheio de seres vivos.</w:t>
      </w:r>
      <w:r/>
      <w:r/>
    </w:p>
    <w:p>
      <w:r/>
    </w:p>
    <w:p>
      <w:pPr>
        <w:pStyle w:val="Heading2"/>
      </w:pPr>
      <w:r>
        <w:t>Mar Oriental</w:t>
      </w:r>
      <w:r/>
    </w:p>
    <w:p>
      <w:r/>
      <w:r>
        <w:t xml:space="preserve">Mar Oriental é um nome alternativo para o Mar Morto usado em algumas Bíblias em português em </w:t>
      </w:r>
      <w:hyperlink r:id="rId13847">
        <w:r>
          <w:rPr>
            <w:color w:val="0000EE"/>
            <w:u w:val="single"/>
          </w:rPr>
          <w:t>Ezequiel 47.18</w:t>
        </w:r>
      </w:hyperlink>
      <w:r>
        <w:t xml:space="preserve">. </w:t>
      </w:r>
    </w:p>
    <w:p>
      <w:r/>
      <w:r>
        <w:rPr>
          <w:i/>
        </w:rPr>
        <w:t>Veja</w:t>
      </w:r>
      <w:r>
        <w:t xml:space="preserve"> </w:t>
      </w:r>
      <w:r>
        <w:t>Mar Morto</w:t>
      </w:r>
      <w:r>
        <w:t>.</w:t>
      </w:r>
      <w:r/>
      <w:r/>
    </w:p>
    <w:p>
      <w:r/>
    </w:p>
    <w:p>
      <w:pPr>
        <w:pStyle w:val="Heading2"/>
      </w:pPr>
      <w:r>
        <w:t>Mar Vermelho</w:t>
      </w:r>
      <w:r/>
    </w:p>
    <w:p>
      <w:r/>
      <w:r>
        <w:t>O braço do Oceano Índico se estende para o noroeste, situado entre os continentes da África e da Ásia. É um corpo de água longo e estreito, com cerca de 2.172,2 quilômetros de comprimento e uma largura média de 289,6 quilômetros. Está limitado a leste pela Península Arábica, enquanto sua costa africana inclui Egito, Sudão, Eritreia e Etiópia. No noroeste, a península do Sinai avança para o mar, com o Golfo de Suez a oeste e o Golfo de Aqaba a leste. No extremo noroeste do Golfo de Suez está a cidade de Suez e a conexão aquática com o Mar Mediterrâneo através do Canal de Suez. Na ponta do Golfo de Acaba está o porto israelense de Eilat e o único porto jordaniano, Acaba. As águas deste mar são extremamente ricas em vida aquática; os peixes e outras formas de vida animal do Mar Vermelho poderiam suprir grande parte das necessidades alimentares desta parte do mundo. Existem poucas cidades, poucas boas estradas e pouca terra arável adjacente ao Mar Vermelho.</w:t>
      </w:r>
    </w:p>
    <w:p>
      <w:r/>
      <w:r>
        <w:t>No Antigo Testamento, em hebraico, o Mar Vermelho é chamado de "Mar de Juncos" ou "Mar de Caniços", mas as traduções em português geralmente usam "Mar Vermelho", seguindo a Septuaginta. Essa extensão de água pode ser diferente do que é conhecido hoje como o Mar Vermelho. No Novo Testamento, as únicas referências ao Mar Vermelho por esse nome estão na defesa de Estevão perante o conselho (</w:t>
      </w:r>
      <w:hyperlink r:id="rId5588">
        <w:r>
          <w:rPr>
            <w:color w:val="0000EE"/>
            <w:u w:val="single"/>
          </w:rPr>
          <w:t>At 7.36</w:t>
        </w:r>
      </w:hyperlink>
      <w:r>
        <w:t>) e no capítulo dos "heróis da fé" (</w:t>
      </w:r>
      <w:hyperlink r:id="rId5589">
        <w:r>
          <w:rPr>
            <w:color w:val="0000EE"/>
            <w:u w:val="single"/>
          </w:rPr>
          <w:t>Hb 11.29</w:t>
        </w:r>
      </w:hyperlink>
      <w:r>
        <w:t>).</w:t>
      </w:r>
    </w:p>
    <w:p>
      <w:r/>
      <w:r>
        <w:t xml:space="preserve">A travessia do Mar Vermelho pelos israelitas na época do êxodo é um dos eventos mais celebrados da história hebraica e tem sido lembrado pelo povo judeu até os dias de hoje. O local dessa travessia é muito debatido, mas onde quer que tenha ocorrido, é evidente que a água era profunda demais para atravessar a pé e a distância muito grande para nadar. Era profunda o suficiente para cobrir todo o exército egípcio e larga o bastante para afogar todos eles. Confrontados pelo mar e perseguidos de perto pelas tropas de elite e pela habilidosa carruagem do melhor exército do mundo naquela época, os israelitas foram libertados pela intervenção direta do Senhor, que usou um vento leste para abrir um canal para sua passagem no leito do mar (veja </w:t>
      </w:r>
      <w:hyperlink r:id="rId13850">
        <w:r>
          <w:rPr>
            <w:color w:val="0000EE"/>
            <w:u w:val="single"/>
          </w:rPr>
          <w:t>Êx 14.10–31</w:t>
        </w:r>
      </w:hyperlink>
      <w:r>
        <w:t>).</w:t>
      </w:r>
    </w:p>
    <w:p>
      <w:r/>
      <w:r>
        <w:t>Quando o Senhor subjugou as forças egípcias no mar, a libertação dos israelitas da ameaça egípcia foi completa. Esta vitória foi celebrada com cânticos (</w:t>
      </w:r>
      <w:hyperlink r:id="rId8833">
        <w:r>
          <w:rPr>
            <w:color w:val="0000EE"/>
            <w:u w:val="single"/>
          </w:rPr>
          <w:t>Êx 15.1–21</w:t>
        </w:r>
      </w:hyperlink>
      <w:r>
        <w:t xml:space="preserve">) e foi frequentemente lembrada nos relatos das obras do Senhor em favor de Israel (veja </w:t>
      </w:r>
      <w:hyperlink r:id="rId13851">
        <w:r>
          <w:rPr>
            <w:color w:val="0000EE"/>
            <w:u w:val="single"/>
          </w:rPr>
          <w:t>Js 4.23</w:t>
        </w:r>
      </w:hyperlink>
      <w:r>
        <w:t xml:space="preserve">; </w:t>
      </w:r>
      <w:hyperlink r:id="rId13852">
        <w:r>
          <w:rPr>
            <w:color w:val="0000EE"/>
            <w:u w:val="single"/>
          </w:rPr>
          <w:t>24.6–7</w:t>
        </w:r>
      </w:hyperlink>
      <w:r>
        <w:t xml:space="preserve">; </w:t>
      </w:r>
      <w:hyperlink r:id="rId13853">
        <w:r>
          <w:rPr>
            <w:color w:val="0000EE"/>
            <w:u w:val="single"/>
          </w:rPr>
          <w:t>Sl 106.7–9</w:t>
        </w:r>
      </w:hyperlink>
      <w:r>
        <w:t xml:space="preserve">; </w:t>
      </w:r>
      <w:hyperlink r:id="rId13854">
        <w:r>
          <w:rPr>
            <w:color w:val="0000EE"/>
            <w:u w:val="single"/>
          </w:rPr>
          <w:t>136.13–15</w:t>
        </w:r>
      </w:hyperlink>
      <w:r>
        <w:t>). Até mesmo o povo de Jericó ouviu o que Deus fez no Mar Vermelho e o medo caiu sobre eles (</w:t>
      </w:r>
      <w:hyperlink r:id="rId13855">
        <w:r>
          <w:rPr>
            <w:color w:val="0000EE"/>
            <w:u w:val="single"/>
          </w:rPr>
          <w:t>Js 2.9–10</w:t>
        </w:r>
      </w:hyperlink>
      <w:r>
        <w:t>).</w:t>
      </w:r>
    </w:p>
    <w:p>
      <w:r/>
      <w:r>
        <w:t>A rota seguida por Israel correu paralela à margem oriental do Golfo de Suez por uma certa distância. Depois de saírem de Elim, acamparam ao lado do mar (</w:t>
      </w:r>
      <w:hyperlink r:id="rId13856">
        <w:r>
          <w:rPr>
            <w:color w:val="0000EE"/>
            <w:u w:val="single"/>
          </w:rPr>
          <w:t>Nm 33.9–11</w:t>
        </w:r>
      </w:hyperlink>
      <w:r>
        <w:t>). Em seguida, viraram para o interior em direção ao Monte Sinai.</w:t>
      </w:r>
    </w:p>
    <w:p>
      <w:r/>
      <w:r>
        <w:t>Do Sinai, eles seguiram para o nordeste, paralelamente ao Golfo de Ácaba, o mais próximo possível e certamente tocando o Mar Vermelho em Eziom-Geber (</w:t>
      </w:r>
      <w:hyperlink r:id="rId13857">
        <w:r>
          <w:rPr>
            <w:color w:val="0000EE"/>
            <w:u w:val="single"/>
          </w:rPr>
          <w:t>Nm 33.35</w:t>
        </w:r>
      </w:hyperlink>
      <w:r>
        <w:t xml:space="preserve">). Após o fracasso em entrar em Canaã a partir de Cades-Barneia e sua derrota em Horma, eles viraram para o sul até o ponto em que o Monte Seir se aproxima do Golfo de Ácaba (cf. </w:t>
      </w:r>
      <w:hyperlink r:id="rId2315">
        <w:r>
          <w:rPr>
            <w:color w:val="0000EE"/>
            <w:u w:val="single"/>
          </w:rPr>
          <w:t>Dt 2.8</w:t>
        </w:r>
      </w:hyperlink>
      <w:r>
        <w:t>).</w:t>
      </w:r>
    </w:p>
    <w:p>
      <w:r/>
      <w:r>
        <w:t>A fronteira mais ao sul da Terra Prometida é indicada como o Mar Vermelho (</w:t>
      </w:r>
      <w:hyperlink r:id="rId13858">
        <w:r>
          <w:rPr>
            <w:color w:val="0000EE"/>
            <w:u w:val="single"/>
          </w:rPr>
          <w:t>Êx 23.31</w:t>
        </w:r>
      </w:hyperlink>
      <w:r>
        <w:t>). O reino de Salomão se estendia até o Golfo de Ácaba, pois em Eziom-Geber, perto de Elote, ele construiu uma frota de navios que foram para Ofir, de onde trouxeram ouro e outras mercadorias preciosas e exóticas (</w:t>
      </w:r>
      <w:hyperlink r:id="rId765">
        <w:r>
          <w:rPr>
            <w:color w:val="0000EE"/>
            <w:u w:val="single"/>
          </w:rPr>
          <w:t>1Rs 9.26–28</w:t>
        </w:r>
      </w:hyperlink>
      <w:r>
        <w:t xml:space="preserve">; cf. </w:t>
      </w:r>
      <w:hyperlink r:id="rId13859">
        <w:r>
          <w:rPr>
            <w:color w:val="0000EE"/>
            <w:u w:val="single"/>
          </w:rPr>
          <w:t>2Cr 8.17–18</w:t>
        </w:r>
      </w:hyperlink>
      <w:r>
        <w:t>). Mais tarde, Josafá tentou fazer o mesmo, mas seus navios naufragaram em Eziom-Geber (</w:t>
      </w:r>
      <w:hyperlink r:id="rId2336">
        <w:r>
          <w:rPr>
            <w:color w:val="0000EE"/>
            <w:u w:val="single"/>
          </w:rPr>
          <w:t>1Rs 22.48</w:t>
        </w:r>
      </w:hyperlink>
      <w:r>
        <w:t xml:space="preserve">; </w:t>
      </w:r>
      <w:hyperlink r:id="rId7561">
        <w:r>
          <w:rPr>
            <w:color w:val="0000EE"/>
            <w:u w:val="single"/>
          </w:rPr>
          <w:t>2Cr 20.36–37</w:t>
        </w:r>
      </w:hyperlink>
      <w:r>
        <w:t>).</w:t>
      </w:r>
    </w:p>
    <w:p>
      <w:r/>
      <w:r>
        <w:rPr>
          <w:i/>
        </w:rPr>
        <w:t>Veja também</w:t>
      </w:r>
      <w:r>
        <w:t xml:space="preserve"> </w:t>
      </w:r>
      <w:r>
        <w:t>Êxodo, O</w:t>
      </w:r>
      <w:r>
        <w:t xml:space="preserve">; </w:t>
      </w:r>
      <w:r>
        <w:t>ÊXODO, Livro de</w:t>
      </w:r>
      <w:r>
        <w:t>.</w:t>
      </w:r>
      <w:r/>
      <w:r/>
    </w:p>
    <w:p>
      <w:r/>
    </w:p>
    <w:p>
      <w:pPr>
        <w:pStyle w:val="Heading2"/>
      </w:pPr>
      <w:r>
        <w:t>Mara</w:t>
      </w:r>
      <w:r/>
    </w:p>
    <w:p>
      <w:r/>
      <w:r>
        <w:t>Uma nascente (uma fonte natural de água que surge do solo) onde a água era amarga demais para beber. Mara foi o primeiro lugar onde os israelitas acamparam depois de atravessarem o mar Vermelho (</w:t>
      </w:r>
      <w:hyperlink r:id="rId13860">
        <w:r>
          <w:rPr>
            <w:color w:val="0000EE"/>
            <w:u w:val="single"/>
          </w:rPr>
          <w:t>Êx 15.23</w:t>
        </w:r>
      </w:hyperlink>
      <w:r>
        <w:t xml:space="preserve">; </w:t>
      </w:r>
      <w:hyperlink r:id="rId13861">
        <w:r>
          <w:rPr>
            <w:color w:val="0000EE"/>
            <w:u w:val="single"/>
          </w:rPr>
          <w:t>Nm 33.8–9</w:t>
        </w:r>
      </w:hyperlink>
      <w:r>
        <w:t>). Hoje, muitos estudiosos acreditam que Mara ficava localizada em um lugar agora chamado 'Ain Hawarah. É um tanque de água amarga na planície costeira oriental do golfo de Suez. Fica cerca de 70,8 quilômetros a sudeste de Suez e oito quilômetros a noroeste de 'Ain Gharandel. Fica ao sul de Wadi Amarah, um leito de rio seco cujo nome pode vir do antigo nome Mara.</w:t>
      </w:r>
    </w:p>
    <w:p>
      <w:r/>
      <w:r>
        <w:rPr>
          <w:i/>
        </w:rPr>
        <w:t>Veja também</w:t>
      </w:r>
      <w:r>
        <w:t xml:space="preserve"> </w:t>
      </w:r>
      <w:r>
        <w:t>Peregrinações no deserto</w:t>
      </w:r>
      <w:r>
        <w:t>.</w:t>
      </w:r>
      <w:r/>
      <w:r/>
    </w:p>
    <w:p>
      <w:r/>
    </w:p>
    <w:p>
      <w:pPr>
        <w:pStyle w:val="Heading2"/>
      </w:pPr>
      <w:r>
        <w:t>Marco</w:t>
      </w:r>
      <w:r/>
    </w:p>
    <w:p>
      <w:r/>
      <w:r>
        <w:t>Pedra inscrita que indicava um limite de campos, distritos ou nações (</w:t>
      </w:r>
      <w:hyperlink r:id="rId13862">
        <w:r>
          <w:rPr>
            <w:color w:val="0000EE"/>
            <w:u w:val="single"/>
          </w:rPr>
          <w:t>Gn 31.51–52</w:t>
        </w:r>
      </w:hyperlink>
      <w:r>
        <w:t>). Na maioria dos países do Oriente Próximo, a remoção de um marco era um crime grave; em Israel, era uma violação da lei de Moisés (</w:t>
      </w:r>
      <w:hyperlink r:id="rId7220">
        <w:r>
          <w:rPr>
            <w:color w:val="0000EE"/>
            <w:u w:val="single"/>
          </w:rPr>
          <w:t>Dt 19.14</w:t>
        </w:r>
      </w:hyperlink>
      <w:r>
        <w:t xml:space="preserve">; </w:t>
      </w:r>
      <w:hyperlink r:id="rId13863">
        <w:r>
          <w:rPr>
            <w:color w:val="0000EE"/>
            <w:u w:val="single"/>
          </w:rPr>
          <w:t>27.17</w:t>
        </w:r>
      </w:hyperlink>
      <w:r>
        <w:t>). Remover marcos (“marcos de divisa” NTLH) poderia ser interpretado como mudar costumes e leis antigas (</w:t>
      </w:r>
      <w:hyperlink r:id="rId13864">
        <w:r>
          <w:rPr>
            <w:color w:val="0000EE"/>
            <w:u w:val="single"/>
          </w:rPr>
          <w:t>Pv 22.28</w:t>
        </w:r>
      </w:hyperlink>
      <w:r>
        <w:t xml:space="preserve">; </w:t>
      </w:r>
      <w:hyperlink r:id="rId13865">
        <w:r>
          <w:rPr>
            <w:color w:val="0000EE"/>
            <w:u w:val="single"/>
          </w:rPr>
          <w:t>23.10</w:t>
        </w:r>
      </w:hyperlink>
      <w:r>
        <w:t xml:space="preserve">; cf. </w:t>
      </w:r>
      <w:hyperlink r:id="rId13866">
        <w:r>
          <w:rPr>
            <w:color w:val="0000EE"/>
            <w:u w:val="single"/>
          </w:rPr>
          <w:t>Jó 24.2</w:t>
        </w:r>
      </w:hyperlink>
      <w:r>
        <w:t>).</w:t>
      </w:r>
    </w:p>
    <w:p>
      <w:r/>
      <w:r>
        <w:rPr>
          <w:i/>
        </w:rPr>
        <w:t>Consulte também</w:t>
      </w:r>
      <w:r>
        <w:t xml:space="preserve"> </w:t>
      </w:r>
      <w:r>
        <w:t>Inscrições</w:t>
      </w:r>
      <w:r>
        <w:t>.</w:t>
      </w:r>
      <w:r/>
      <w:r/>
    </w:p>
    <w:p>
      <w:r/>
    </w:p>
    <w:p>
      <w:pPr>
        <w:pStyle w:val="Heading2"/>
      </w:pPr>
      <w:r>
        <w:t>Marcos, Evangelho De</w:t>
      </w:r>
      <w:r/>
    </w:p>
    <w:p>
      <w:r/>
      <w:r>
        <w:t>Segundo livro do NT, provavelmente escrito por João Marcos de Jerusalém em algum momento entre 60 e 68 d.C.</w:t>
      </w:r>
    </w:p>
    <w:p>
      <w:r/>
      <w:r>
        <w:t>Resumo</w:t>
      </w:r>
    </w:p>
    <w:p>
      <w:r/>
      <w:r>
        <w:t>• Autor, Data, Proveniência</w:t>
      </w:r>
    </w:p>
    <w:p>
      <w:r/>
      <w:r>
        <w:t>• Distintivos</w:t>
      </w:r>
    </w:p>
    <w:p>
      <w:r/>
      <w:r>
        <w:t>• Estrutura</w:t>
      </w:r>
    </w:p>
    <w:p>
      <w:r/>
      <w:r>
        <w:t>• Ocasião, Propósito, Teologia</w:t>
      </w:r>
    </w:p>
    <w:p>
      <w:r/>
      <w:r>
        <w:t>• Conteúdo</w:t>
      </w:r>
    </w:p>
    <w:p>
      <w:pPr>
        <w:pStyle w:val="Heading3"/>
      </w:pPr>
      <w:r>
        <w:t>Autor, Data, Proveniência</w:t>
      </w:r>
    </w:p>
    <w:p>
      <w:r/>
      <w:r>
        <w:t xml:space="preserve">Nosso testemunho mais antigo sobre quem escreveu o segundo Evangelho vem de Pápias (ca. 60–130), autor de muitas exposições dos ensinamentos de Jesus, nas quais ele relata várias tradições do “Ancião João” (possivelmente identificado com o apóstolo João, embora isso não seja de forma alguma certo). Em um ponto, Pápias afirma: “O Ancião costumava dizer isso também: Marcos se tornou o intérprete de Pedro e escreveu com precisão, embora não na ordem, tudo o que [Pedro] se lembrava sobre as coisas ditas e feitas pelo Senhor”. (Esta citação foi preservada pelo escritor do quarto século Eusébio de Cesareia em sua </w:t>
      </w:r>
      <w:r>
        <w:rPr>
          <w:i/>
        </w:rPr>
        <w:t>História Eclesiástica</w:t>
      </w:r>
      <w:r>
        <w:t xml:space="preserve"> 3.39.15). Não é preciso duvidar da confiabilidade básica desta declaração. Marcos — quase certamente identificado com João Marcos de </w:t>
      </w:r>
      <w:hyperlink r:id="rId11940">
        <w:r>
          <w:rPr>
            <w:color w:val="0000EE"/>
            <w:u w:val="single"/>
          </w:rPr>
          <w:t>Atos 12.12</w:t>
        </w:r>
      </w:hyperlink>
      <w:r>
        <w:t xml:space="preserve"> (veja também </w:t>
      </w:r>
      <w:hyperlink r:id="rId11942">
        <w:r>
          <w:rPr>
            <w:color w:val="0000EE"/>
            <w:u w:val="single"/>
          </w:rPr>
          <w:t>1Pe 5.13</w:t>
        </w:r>
      </w:hyperlink>
      <w:r>
        <w:t>) — era um discípulo de Pedro, e o segundo Evangelho deve sua existência, pelo menos em parte, às reminiscências do apóstolo. No entanto, não se conclui que alguém tenha caracterizado adequadamente o trabalho de Marcos se isso é tudo o que é dito. Por exemplo, a qualificação de Pápias, “embora não em ordem”, indica que Marcos não pretendia escrever uma biografia cronológica. Além disso, Pápias continua a comentar (de acordo com uma interpretação de suas palavras ambíguas) que Marcos (ou Pedro?) adaptou o material à situação de ensino e que, portanto, Marcos está absolvido de qualquer carga (implícita) de imprecisão. Parece que desde os tempos antigos, os cristãos apelaram para os propósitos e circunstâncias da escrita de Marcos, a fim de explicar os problemas na harmonização do material encontrado nos vários Evangelhos.</w:t>
      </w:r>
    </w:p>
    <w:p>
      <w:r/>
      <w:r>
        <w:t>Outras declarações de escritores cristãos no segundo, terceiro e quarto séculos parecem dependentes do testemunho de Pápias, mas alguns dados adicionais que eles fornecem podem possuir valor independente. Por exemplo, um documento bastante antigo (data incerta) conhecido como o Prólogo Anti-Marcionita afirma que Marcos escreveu seu Evangelho em algum lugar da Itália após a morte de Pedro (em meados dos anos 60), e muitos estudiosos consideram esse testemunho confiável. Ainda assim, a possibilidade de que Marcos tenha composto seu trabalho antes do martírio de Pedro não pode ser descartada completamente.</w:t>
      </w:r>
    </w:p>
    <w:p>
      <w:r/>
      <w:r>
        <w:t xml:space="preserve">Pápias não diz nada específico sobre </w:t>
      </w:r>
      <w:r>
        <w:rPr>
          <w:i/>
        </w:rPr>
        <w:t>quando</w:t>
      </w:r>
      <w:r>
        <w:t xml:space="preserve"> o Evangelho foi escrito. Uma pequena minoria de estudiosos data Marcos logo após 70 d.C. Outra minoria sugere uma data nas décadas de 40 ou 50 com base em um fragmento de papiro descoberto em Qumran chamado 7Q5. (De acordo com José O’Callaghan, o fragmento, que foi datado por volta de 50–68 d.C., deve ser identificado como </w:t>
      </w:r>
      <w:hyperlink r:id="rId13867">
        <w:r>
          <w:rPr>
            <w:color w:val="0000EE"/>
            <w:u w:val="single"/>
          </w:rPr>
          <w:t>Marcos 6.52–53</w:t>
        </w:r>
      </w:hyperlink>
      <w:r>
        <w:t xml:space="preserve">). Este fragmento contém apenas 20 cartas de um lado, tornando a reconstrução de Marcos muito incerta. Poucos estudiosos estão convencidos de que o texto é Marcos; alguns pensam que faz parte de 1 Enoque ou Zacarias. Uma impressionante maioria dos estudiosos data Marcos nos anos 60, onde os conservadores geralmente preferem os primeiros anos dessa década. Por que esta preferência? Se a teoria da prioridade de Marcos for aceita, então claramente Marcos foi escrito antes de Lucas; e uma vez que Lucas é normalmente datado pelos conservadores por volta de 62 d.C., Marcos não pode ser posterior a 60 ou 61 d.C. Esta linha de argumento, embora forte, não é decisiva. Em primeiro lugar, Lucas não pode ser datado com completa certeza. Segundo, a visão de que Mateus e Lucas usaram Marcos (a pressuposição de trabalho da maioria dos estudiosos) é apenas uma hipótese, e que sofre oposição vigorosa de alguns escritores. Terceiro, uma tradição que remonta ao segundo século (veja acima) que Marcos escreveu seu Evangelho </w:t>
      </w:r>
      <w:r>
        <w:rPr>
          <w:i/>
        </w:rPr>
        <w:t>após</w:t>
      </w:r>
      <w:r>
        <w:t xml:space="preserve"> a morte de Pedro, não antes de 64 d.C. Quarto, uma visão persuasiva sobre a ocasião deste Evangelho assume que a perseguição de Nero (64 d.C.) havia começado. (De acordo com uma visão diferente da ocasião, Marcos foi escrito após o início da revolta judaica em 66 d.C.). Portanto, embora uma datação no início dos anos 60 permaneça possível, não exige comprometimento.</w:t>
      </w:r>
    </w:p>
    <w:p>
      <w:r/>
      <w:r>
        <w:t xml:space="preserve">Com relação à autoria do segundo Evangelho, parece não haver nenhuma razão convincente para negar o relatório de Pápias de que Marcos (sem dúvida o João Marcos de </w:t>
      </w:r>
      <w:hyperlink r:id="rId11940">
        <w:r>
          <w:rPr>
            <w:color w:val="0000EE"/>
            <w:u w:val="single"/>
          </w:rPr>
          <w:t>Atos 12.12</w:t>
        </w:r>
      </w:hyperlink>
      <w:r>
        <w:t xml:space="preserve">) derrubou as reminiscências de Pedro e que essas se tornaram a base de sua obra. Alguns estudiosos argumentam que o Evangelho contém imprecisões geográficas (por exemplo, não temos evidências de uma região chamada Dalmanuta, </w:t>
      </w:r>
      <w:hyperlink r:id="rId6494">
        <w:r>
          <w:rPr>
            <w:color w:val="0000EE"/>
            <w:u w:val="single"/>
          </w:rPr>
          <w:t>Mc 8.10</w:t>
        </w:r>
      </w:hyperlink>
      <w:r>
        <w:t xml:space="preserve">) e que um nativo de Jerusalém como Marcos teria sido mais confiável em suas informações. No entanto, os problemas topográficos em Marcos, embora reais, não precisam ser interpretados como imprecisões (a atual ignorância de um lugar chamado Dalmanuta dificilmente é uma prova conclusiva de que não existiu). Além disso, em outros aspectos (p. ex., </w:t>
      </w:r>
      <w:hyperlink r:id="rId13868">
        <w:r>
          <w:rPr>
            <w:color w:val="0000EE"/>
            <w:u w:val="single"/>
          </w:rPr>
          <w:t>14.54,66</w:t>
        </w:r>
      </w:hyperlink>
      <w:r>
        <w:t>), o Evangelho revela um conhecimento impressionante dos detalhes locais. Muitos escritores também apontam fragmentos de informações que suportam um contexto de Pedro, como a cura da sogra de Pedro (</w:t>
      </w:r>
      <w:hyperlink r:id="rId13869">
        <w:r>
          <w:rPr>
            <w:color w:val="0000EE"/>
            <w:u w:val="single"/>
          </w:rPr>
          <w:t>1.30–31</w:t>
        </w:r>
      </w:hyperlink>
      <w:r>
        <w:t xml:space="preserve">). Em suma, a evidência interna, embora esteja aquém da prova, não prejudica de modo algum a tradição preservada por Pápias. Uma geração atrás, a confiabilidade do testemunho de Pápias era quase universalmente aceita. Esta situação mudou um pouco, mas até mesmo aqueles estudiosos que adotam uma atitude cética em relação a esta tradição admitem que isso </w:t>
      </w:r>
      <w:r>
        <w:rPr>
          <w:i/>
        </w:rPr>
        <w:t>pode</w:t>
      </w:r>
      <w:r>
        <w:t xml:space="preserve"> ser verdade.</w:t>
      </w:r>
    </w:p>
    <w:p>
      <w:r/>
      <w:r>
        <w:t xml:space="preserve">À medida que a atenção se volta para a procedência do Evangelho, a tarefa se torna mais difícil. A tradição que remonta ao segundo século afirma o que já pode estar implícito por Pápias — a saber, que Marcos escreveu seu Evangelho em Roma. Embora alguns estudiosos tenham sugerido outras possibilidades, como a Galileia e Antioquia, essas não se mostraram satisfatórias. Marcos passou algum tempo em Roma, e algumas características no Evangelho (como os termos latinos no grego e a explicação dos costumes judaicos, como em </w:t>
      </w:r>
      <w:hyperlink r:id="rId13870">
        <w:r>
          <w:rPr>
            <w:color w:val="0000EE"/>
            <w:u w:val="single"/>
          </w:rPr>
          <w:t>7.3–4</w:t>
        </w:r>
      </w:hyperlink>
      <w:r>
        <w:t>), enquanto não provam nada, certamente estão em consonância com uma origem romana. Além disso, uma visão persuasiva da ocasião que deu origem ao Evangelho assume um pano de fundo de perseguição em Roma.</w:t>
      </w:r>
    </w:p>
    <w:p>
      <w:pPr>
        <w:pStyle w:val="Heading3"/>
      </w:pPr>
      <w:r>
        <w:t>Distintivos</w:t>
      </w:r>
    </w:p>
    <w:p>
      <w:r/>
      <w:r>
        <w:t>Uma série de características de Marcos o separou dos outros Evangelhos. Por exemplo, uma palavra geralmente traduzida como “imediatamente” ocorre mais de 40 vezes em Marcos e apenas uma dúzia de vezes no resto do NT. Embora esta característica possa ser interpretada como um simples “maneirismo”, em consonância com o estilo despretensioso e coloquial de Marcos, certamente contribui para o rápido fluxo de sua narrativa, que, concentrando-se mais na atividade de Jesus do que em seus sermões (em contraste com Mateus e Lucas), muda de cena para cena com quase nenhum pausa. Uma vez que o Evangelho também é bastante breve (Lucas é quase duas vezes mais longo), pode-se se perguntar se o autor pretendia que ele fosse lido de uma só vez; mesmo que lido em voz alta, isso levaria apenas cerca de uma hora e meia. De qualquer forma, pode haver pouca dúvida de que o trabalho transmite um senso de urgência.</w:t>
      </w:r>
    </w:p>
    <w:p>
      <w:r/>
      <w:r>
        <w:t>Outras características, no entanto, provam-se mais significativas. Alguém não familiarizado com a história de Jesus que leu Marcos pela primeira vez, sem dúvida, seria surpreendido por seu início bastante abrupto. Após uma breve cláusula que se destaca como uma espécie de título (</w:t>
      </w:r>
      <w:hyperlink r:id="rId6102">
        <w:r>
          <w:rPr>
            <w:color w:val="0000EE"/>
            <w:u w:val="single"/>
          </w:rPr>
          <w:t>1.1</w:t>
        </w:r>
      </w:hyperlink>
      <w:r>
        <w:t>), Marcos continua descrevendo brevemente o ministério de João Batista. Então ele introduz Jesus como vindo de Nazaré sem nos dizer nada, seja qual for sua vida anteriormente. Além disso, mais de um terço do livro (incluindo a chamada narrativa de Paixão) é dedicado à última semana de Jesus. Esses e outros fatores dão à obra uma nota de mistério, acentuada pelo fato de que, em vários pontos, Marcos chama a atenção para o medo ou espanto que tomou conta daqueles que entraram em contato com Jesus (</w:t>
      </w:r>
      <w:hyperlink r:id="rId13871">
        <w:r>
          <w:rPr>
            <w:color w:val="0000EE"/>
            <w:u w:val="single"/>
          </w:rPr>
          <w:t>2.12</w:t>
        </w:r>
      </w:hyperlink>
      <w:r>
        <w:t xml:space="preserve">; </w:t>
      </w:r>
      <w:hyperlink r:id="rId13820">
        <w:r>
          <w:rPr>
            <w:color w:val="0000EE"/>
            <w:u w:val="single"/>
          </w:rPr>
          <w:t>4.41</w:t>
        </w:r>
      </w:hyperlink>
      <w:r>
        <w:t xml:space="preserve">; </w:t>
      </w:r>
      <w:hyperlink r:id="rId13872">
        <w:r>
          <w:rPr>
            <w:color w:val="0000EE"/>
            <w:u w:val="single"/>
          </w:rPr>
          <w:t>5.15,33,42</w:t>
        </w:r>
      </w:hyperlink>
      <w:r>
        <w:t xml:space="preserve">; </w:t>
      </w:r>
      <w:hyperlink r:id="rId13873">
        <w:r>
          <w:rPr>
            <w:color w:val="0000EE"/>
            <w:u w:val="single"/>
          </w:rPr>
          <w:t>6.51</w:t>
        </w:r>
      </w:hyperlink>
      <w:r>
        <w:t xml:space="preserve">; </w:t>
      </w:r>
      <w:hyperlink r:id="rId13874">
        <w:r>
          <w:rPr>
            <w:color w:val="0000EE"/>
            <w:u w:val="single"/>
          </w:rPr>
          <w:t>9.6</w:t>
        </w:r>
      </w:hyperlink>
      <w:r>
        <w:t xml:space="preserve">; e várias outras passagens, especialmente as palavras estranhas de </w:t>
      </w:r>
      <w:hyperlink r:id="rId13875">
        <w:r>
          <w:rPr>
            <w:color w:val="0000EE"/>
            <w:u w:val="single"/>
          </w:rPr>
          <w:t>10.32</w:t>
        </w:r>
      </w:hyperlink>
      <w:r>
        <w:t xml:space="preserve">). Além disso, se alguém assumir que o Evangelho originalmente terminou com </w:t>
      </w:r>
      <w:hyperlink r:id="rId13876">
        <w:r>
          <w:rPr>
            <w:color w:val="0000EE"/>
            <w:u w:val="single"/>
          </w:rPr>
          <w:t>16.8</w:t>
        </w:r>
      </w:hyperlink>
      <w:r>
        <w:t>, Marcos desejava deixar seus leitores com o mesmo senso de admiração que os discípulos experimentaram na ressurreição de Jesus.</w:t>
      </w:r>
    </w:p>
    <w:p>
      <w:r/>
      <w:r>
        <w:t>Mas como alguém explica este medo e espanto? A resposta clara de Marcos é que Jesus, embora verdadeiramente um homem, também é divino. Enquanto o Evangelho de Marcos exibe a humanidade de Jesus Cristo (</w:t>
      </w:r>
      <w:hyperlink r:id="rId13877">
        <w:r>
          <w:rPr>
            <w:color w:val="0000EE"/>
            <w:u w:val="single"/>
          </w:rPr>
          <w:t>1.41</w:t>
        </w:r>
      </w:hyperlink>
      <w:r>
        <w:t xml:space="preserve">; </w:t>
      </w:r>
      <w:hyperlink r:id="rId5664">
        <w:r>
          <w:rPr>
            <w:color w:val="0000EE"/>
            <w:u w:val="single"/>
          </w:rPr>
          <w:t>3.5</w:t>
        </w:r>
      </w:hyperlink>
      <w:r>
        <w:t xml:space="preserve">; </w:t>
      </w:r>
      <w:hyperlink r:id="rId6495">
        <w:r>
          <w:rPr>
            <w:color w:val="0000EE"/>
            <w:u w:val="single"/>
          </w:rPr>
          <w:t>8.12</w:t>
        </w:r>
      </w:hyperlink>
      <w:r>
        <w:t xml:space="preserve">; </w:t>
      </w:r>
      <w:hyperlink r:id="rId13878">
        <w:r>
          <w:rPr>
            <w:color w:val="0000EE"/>
            <w:u w:val="single"/>
          </w:rPr>
          <w:t>10.14</w:t>
        </w:r>
      </w:hyperlink>
      <w:r>
        <w:t>), sua principal ênfase é na divindade do Senhor. De fato, Marcos introduz seu livro referindo-se a Jesus como “o Filho de Deus” (uma frase omitida em alguns manuscritos, no entanto), uma posição que é reconhecida tanto pelos demônios (</w:t>
      </w:r>
      <w:hyperlink r:id="rId8027">
        <w:r>
          <w:rPr>
            <w:color w:val="0000EE"/>
            <w:u w:val="single"/>
          </w:rPr>
          <w:t>3.11</w:t>
        </w:r>
      </w:hyperlink>
      <w:r>
        <w:t xml:space="preserve">; </w:t>
      </w:r>
      <w:hyperlink r:id="rId8028">
        <w:r>
          <w:rPr>
            <w:color w:val="0000EE"/>
            <w:u w:val="single"/>
          </w:rPr>
          <w:t>5.7</w:t>
        </w:r>
      </w:hyperlink>
      <w:r>
        <w:t>) quanto pelo próprio Deus (</w:t>
      </w:r>
      <w:hyperlink r:id="rId8026">
        <w:r>
          <w:rPr>
            <w:color w:val="0000EE"/>
            <w:u w:val="single"/>
          </w:rPr>
          <w:t>9.7</w:t>
        </w:r>
      </w:hyperlink>
      <w:r>
        <w:t xml:space="preserve">). O que pode muito bem ser o verdadeiro clímax do Evangelho ocorre em </w:t>
      </w:r>
      <w:hyperlink r:id="rId4719">
        <w:r>
          <w:rPr>
            <w:color w:val="0000EE"/>
            <w:u w:val="single"/>
          </w:rPr>
          <w:t>15.39</w:t>
        </w:r>
      </w:hyperlink>
      <w:r>
        <w:t>, onde Marcos escreve que um gentio, um centurião romano, ao ouvir o clamor de morte de Jesus, exclamou: “Verdadeiramente este homem era o Filho de Deus!”</w:t>
      </w:r>
    </w:p>
    <w:p>
      <w:pPr>
        <w:pStyle w:val="Heading3"/>
      </w:pPr>
      <w:r>
        <w:t>Estrutura</w:t>
      </w:r>
    </w:p>
    <w:p>
      <w:r/>
      <w:r>
        <w:t xml:space="preserve">O autor organizou seu Evangelho de acordo com um plano simples. Os primeiros oito capítulos resumem a natureza do ministério público de Cristo alternando histórias que mostram sua crescente popularidade com histórias que enfatizam a desaprovação dos líderes judeus. Esta primeira metade do livro, enquanto indica algumas das tensões criadas pela vinda de Jesus, dá a impressão básica de sucesso e otimismo geral. Uma mudança significativa então atinge o leitor no final do capítulo </w:t>
      </w:r>
      <w:hyperlink r:id="rId13879">
        <w:r>
          <w:rPr>
            <w:color w:val="0000EE"/>
            <w:u w:val="single"/>
          </w:rPr>
          <w:t>8</w:t>
        </w:r>
      </w:hyperlink>
      <w:r>
        <w:t xml:space="preserve">, especialmente começando com o verso </w:t>
      </w:r>
      <w:hyperlink r:id="rId6301">
        <w:r>
          <w:rPr>
            <w:color w:val="0000EE"/>
            <w:u w:val="single"/>
          </w:rPr>
          <w:t>31</w:t>
        </w:r>
      </w:hyperlink>
      <w:r>
        <w:t>. Em Cesareia de Filipe, Pedro acabou de confessar que Jesus é o Messias, e agora, pela primeira vez, Jesus revela que, como Messias, ele deve morrer. Os discípulos ficam perplexos e desanimados e seu pessimismo aumenta à medida que esse pensamento lhes é trazido repetidas vezes (</w:t>
      </w:r>
      <w:hyperlink r:id="rId13880">
        <w:r>
          <w:rPr>
            <w:color w:val="0000EE"/>
            <w:u w:val="single"/>
          </w:rPr>
          <w:t>9.9,31</w:t>
        </w:r>
      </w:hyperlink>
      <w:r>
        <w:t xml:space="preserve">; </w:t>
      </w:r>
      <w:hyperlink r:id="rId6399">
        <w:r>
          <w:rPr>
            <w:color w:val="0000EE"/>
            <w:u w:val="single"/>
          </w:rPr>
          <w:t>10.32–34</w:t>
        </w:r>
      </w:hyperlink>
      <w:r>
        <w:t xml:space="preserve">; </w:t>
      </w:r>
      <w:hyperlink r:id="rId13881">
        <w:r>
          <w:rPr>
            <w:color w:val="0000EE"/>
            <w:u w:val="single"/>
          </w:rPr>
          <w:t>14.17–25</w:t>
        </w:r>
      </w:hyperlink>
      <w:r>
        <w:t>). No final, eles abandonam seu mestre (</w:t>
      </w:r>
      <w:hyperlink r:id="rId13882">
        <w:r>
          <w:rPr>
            <w:color w:val="0000EE"/>
            <w:u w:val="single"/>
          </w:rPr>
          <w:t>14.50</w:t>
        </w:r>
      </w:hyperlink>
      <w:r>
        <w:t>).</w:t>
      </w:r>
    </w:p>
    <w:p>
      <w:r/>
      <w:r>
        <w:t xml:space="preserve">De forma interessante, esta nota pessimista é antecipada na parte anterior do Evangelho em três pontos: </w:t>
      </w:r>
      <w:hyperlink r:id="rId10620">
        <w:r>
          <w:rPr>
            <w:color w:val="0000EE"/>
            <w:u w:val="single"/>
          </w:rPr>
          <w:t>3.6</w:t>
        </w:r>
      </w:hyperlink>
      <w:r>
        <w:t xml:space="preserve"> (os inimigos de Jesus tramam sua morte); </w:t>
      </w:r>
      <w:hyperlink r:id="rId13883">
        <w:r>
          <w:rPr>
            <w:color w:val="0000EE"/>
            <w:u w:val="single"/>
          </w:rPr>
          <w:t>6.6</w:t>
        </w:r>
      </w:hyperlink>
      <w:r>
        <w:t xml:space="preserve"> (infidelidade em Nazaré); e </w:t>
      </w:r>
      <w:hyperlink r:id="rId13884">
        <w:r>
          <w:rPr>
            <w:color w:val="0000EE"/>
            <w:u w:val="single"/>
          </w:rPr>
          <w:t>8.21</w:t>
        </w:r>
      </w:hyperlink>
      <w:r>
        <w:t xml:space="preserve"> (falta de compreensão nos discípulos). Alguns estudiosos sugerem que Marcos usou esses três versos para indicar as primeiras três divisões de seu livro. Além disso, outros estudiosos observam que duas curas de homens cegos (</w:t>
      </w:r>
      <w:hyperlink r:id="rId3509">
        <w:r>
          <w:rPr>
            <w:color w:val="0000EE"/>
            <w:u w:val="single"/>
          </w:rPr>
          <w:t>8.22–26</w:t>
        </w:r>
      </w:hyperlink>
      <w:r>
        <w:t xml:space="preserve">; </w:t>
      </w:r>
      <w:hyperlink r:id="rId3154">
        <w:r>
          <w:rPr>
            <w:color w:val="0000EE"/>
            <w:u w:val="single"/>
          </w:rPr>
          <w:t>10.46–52</w:t>
        </w:r>
      </w:hyperlink>
      <w:r>
        <w:t xml:space="preserve">) parecem fornecer a abertura e a conclusão de uma seção que enfatiza a cegueira espiritual dos discípulos. Uma pista mais estrutural é </w:t>
      </w:r>
      <w:hyperlink r:id="rId8244">
        <w:r>
          <w:rPr>
            <w:color w:val="0000EE"/>
            <w:u w:val="single"/>
          </w:rPr>
          <w:t>14.1</w:t>
        </w:r>
      </w:hyperlink>
      <w:r>
        <w:t>, que marca claramente a seção final do Evangelho.</w:t>
      </w:r>
    </w:p>
    <w:p>
      <w:pPr>
        <w:pStyle w:val="Heading3"/>
      </w:pPr>
      <w:r>
        <w:t>Ocasião, Propósito, Teologia</w:t>
      </w:r>
    </w:p>
    <w:p>
      <w:r/>
      <w:r>
        <w:t xml:space="preserve">Alguns estudiosos pensam que Marcos pode ter estado combatendo uma seita herética que enfatizava os milagres de Jesus e o via puramente como alguém que fazia maravilhas divinas. Embora esta visão não tenha ganhado aceitação como originalmente formulada, vários escritores veem o Evangelho como um corretivo teológico. Ralph Martin, que liga Marcos muito de perto com Paulo, sugere que o evangelista está se opondo a alguns grupos heréticos que distorceram a mensagem de Paulo colocando ênfase exclusiva em Cristo como uma figura </w:t>
      </w:r>
      <w:r>
        <w:rPr>
          <w:i/>
        </w:rPr>
        <w:t>celestial</w:t>
      </w:r>
      <w:r>
        <w:t xml:space="preserve"> (cf. as visões que o próprio Paulo se opõe em Colossenses). Marcos responde a essas aberrações enfatizando, nas palavras de Martinho, “o paradoxo da vida terrena de Jesus em que o sofrimento e a justificação formam um ritmo de duas batidas”. Mesmo que alguém decida que esta reconstrução, também, seja bastante especulativa, pode, no entanto, manter certos elementos como válidos.</w:t>
      </w:r>
    </w:p>
    <w:p>
      <w:r/>
      <w:r>
        <w:t xml:space="preserve">Outros estudiosos, como H. Kee, colocam ênfase no contexto apocalíptico de Marcos. Kee e outros ligam este elemento à revolta judaica de 66 d.C., mas o compromisso com esta conexão histórica específica é desnecessário para apreciar o grande significado de </w:t>
      </w:r>
      <w:hyperlink r:id="rId2031">
        <w:r>
          <w:rPr>
            <w:color w:val="0000EE"/>
            <w:u w:val="single"/>
          </w:rPr>
          <w:t>Marcos 13</w:t>
        </w:r>
      </w:hyperlink>
      <w:r>
        <w:t xml:space="preserve"> (o texto apocalíptico de Jesus) para aqueles leitores originais do Evangelho que podiam estar passando por perseguição.</w:t>
      </w:r>
    </w:p>
    <w:p>
      <w:r/>
      <w:r>
        <w:t>Talvez a reconstrução mais satisfatória ligue este Evangelho à perseguição de Nero em meados dos anos 60. Marcos, por exemplo, é o único Evangelho que registra que Jesus, depois de ser levado para o deserto, se encontrou na companhia de animais selvagens (</w:t>
      </w:r>
      <w:hyperlink r:id="rId6730">
        <w:r>
          <w:rPr>
            <w:color w:val="0000EE"/>
            <w:u w:val="single"/>
          </w:rPr>
          <w:t>1.13</w:t>
        </w:r>
      </w:hyperlink>
      <w:r>
        <w:t>). Este detalhe, de acordo com William Lane, “estava cheio de significado especial para aqueles chamados para entrar na arena onde eles ficavam impotentes diante da presença de bestas selvagens”. Esta interpretação, embora não isenta de problemas, tem a vantagem de ter em conta a maior parte dos dados disponíveis. Primeiro, é compatível com a forte tradição que afirma a origem da obra de Marcos a Roma. Segundo, Marcos fala distintamente com aqueles que sofrem perseguição introduzindo-os rapidamente à prisão de João e vários outros detalhes. Terceiro, relacionado a isso está a ênfase de Marcos no discipulado. Os cristãos que enfrentaram perseguição devem ter sido tentados a relaxar os padrões (</w:t>
      </w:r>
      <w:hyperlink r:id="rId13885">
        <w:r>
          <w:rPr>
            <w:color w:val="0000EE"/>
            <w:u w:val="single"/>
          </w:rPr>
          <w:t>4.17–19</w:t>
        </w:r>
      </w:hyperlink>
      <w:r>
        <w:t xml:space="preserve">). Quarto, dada esta situação geral, dificilmente se pode duvidar do significado da mensagem apocalíptica de nosso Senhor no capítulo </w:t>
      </w:r>
      <w:hyperlink r:id="rId2031">
        <w:r>
          <w:rPr>
            <w:color w:val="0000EE"/>
            <w:u w:val="single"/>
          </w:rPr>
          <w:t>13</w:t>
        </w:r>
      </w:hyperlink>
      <w:r>
        <w:t xml:space="preserve">, destinada a encorajar os discípulos no meio de suas provações, lembrando-os da glória do porvir. Finalmente, o claro interesse de Marcos pela missão gentílica se encaixa com as necessidades da Roma pagã. Os cristãos sofredores não podem se dar ao luxo de esquecer a sociedade incrédula em que vivem. À luz desta responsabilidade específica, Marcos assegura aos seus leitores o que até o centurião romano começou a reconhecer — certamente Jesus </w:t>
      </w:r>
      <w:r>
        <w:rPr>
          <w:i/>
        </w:rPr>
        <w:t>é</w:t>
      </w:r>
      <w:r>
        <w:t xml:space="preserve"> o Filho de Deus (</w:t>
      </w:r>
      <w:hyperlink r:id="rId4719">
        <w:r>
          <w:rPr>
            <w:color w:val="0000EE"/>
            <w:u w:val="single"/>
          </w:rPr>
          <w:t>15.39</w:t>
        </w:r>
      </w:hyperlink>
      <w:r>
        <w:t>).</w:t>
      </w:r>
    </w:p>
    <w:p>
      <w:pPr>
        <w:pStyle w:val="Heading3"/>
      </w:pPr>
      <w:r>
        <w:t>Conteúdo</w:t>
      </w:r>
    </w:p>
    <w:p>
      <w:r/>
      <w:r>
        <w:t>O desenvolvimento da narrativa de Marcos pode ser apresentado em seis grandes divisões dentro de uma estrutura dupla:</w:t>
      </w:r>
    </w:p>
    <w:p>
      <w:r/>
      <w:r>
        <w:t>Introdução (</w:t>
      </w:r>
      <w:hyperlink r:id="rId13886">
        <w:r>
          <w:rPr>
            <w:color w:val="0000EE"/>
            <w:u w:val="single"/>
          </w:rPr>
          <w:t>1.1–13</w:t>
        </w:r>
      </w:hyperlink>
      <w:r>
        <w:t>)</w:t>
      </w:r>
    </w:p>
    <w:p>
      <w:r/>
      <w:r>
        <w:t>Parte I: Popularidade e Oposição (</w:t>
      </w:r>
      <w:hyperlink r:id="rId13887">
        <w:r>
          <w:rPr>
            <w:color w:val="0000EE"/>
            <w:u w:val="single"/>
          </w:rPr>
          <w:t>1.14–8.21</w:t>
        </w:r>
      </w:hyperlink>
      <w:r>
        <w:t>)</w:t>
      </w:r>
    </w:p>
    <w:p>
      <w:r/>
      <w:r>
        <w:t>1. A autoridade de Jesus e a inimizade dos fariseus (</w:t>
      </w:r>
      <w:hyperlink r:id="rId13888">
        <w:r>
          <w:rPr>
            <w:color w:val="0000EE"/>
            <w:u w:val="single"/>
          </w:rPr>
          <w:t>1.14–3.6</w:t>
        </w:r>
      </w:hyperlink>
      <w:r>
        <w:t>)</w:t>
      </w:r>
    </w:p>
    <w:p>
      <w:r/>
      <w:r>
        <w:t>2. A resposta das pessoas (</w:t>
      </w:r>
      <w:hyperlink r:id="rId13889">
        <w:r>
          <w:rPr>
            <w:color w:val="0000EE"/>
            <w:u w:val="single"/>
          </w:rPr>
          <w:t>3.7–6.6a</w:t>
        </w:r>
      </w:hyperlink>
      <w:r>
        <w:t>)</w:t>
      </w:r>
    </w:p>
    <w:p>
      <w:r/>
      <w:r>
        <w:t>3. O mal-entendido dos discípulos (</w:t>
      </w:r>
      <w:hyperlink r:id="rId13890">
        <w:r>
          <w:rPr>
            <w:color w:val="0000EE"/>
            <w:u w:val="single"/>
          </w:rPr>
          <w:t>6.6b–8.21</w:t>
        </w:r>
      </w:hyperlink>
      <w:r>
        <w:t>)</w:t>
      </w:r>
    </w:p>
    <w:p>
      <w:r/>
      <w:r>
        <w:t>Parte II: Trevas e Morte (</w:t>
      </w:r>
      <w:hyperlink r:id="rId13891">
        <w:r>
          <w:rPr>
            <w:color w:val="0000EE"/>
            <w:u w:val="single"/>
          </w:rPr>
          <w:t>8.22–15.47</w:t>
        </w:r>
      </w:hyperlink>
      <w:r>
        <w:t>)</w:t>
      </w:r>
    </w:p>
    <w:p>
      <w:r/>
      <w:r>
        <w:t>4. A missão do Messias e a cegueira dos discípulos (</w:t>
      </w:r>
      <w:hyperlink r:id="rId13892">
        <w:r>
          <w:rPr>
            <w:color w:val="0000EE"/>
            <w:u w:val="single"/>
          </w:rPr>
          <w:t>8.22–10.52</w:t>
        </w:r>
      </w:hyperlink>
      <w:r>
        <w:t>)</w:t>
      </w:r>
    </w:p>
    <w:p>
      <w:r/>
      <w:r>
        <w:t>5. Ministério final (</w:t>
      </w:r>
      <w:hyperlink r:id="rId13893">
        <w:r>
          <w:rPr>
            <w:color w:val="0000EE"/>
            <w:u w:val="single"/>
          </w:rPr>
          <w:t>11.1–13.37</w:t>
        </w:r>
      </w:hyperlink>
      <w:r>
        <w:t>)</w:t>
      </w:r>
    </w:p>
    <w:p>
      <w:r/>
      <w:r>
        <w:t>6. A narrativa de Paixão (</w:t>
      </w:r>
      <w:hyperlink r:id="rId13894">
        <w:r>
          <w:rPr>
            <w:color w:val="0000EE"/>
            <w:u w:val="single"/>
          </w:rPr>
          <w:t>14.1–15.47</w:t>
        </w:r>
      </w:hyperlink>
      <w:r>
        <w:t>)</w:t>
      </w:r>
    </w:p>
    <w:p>
      <w:r/>
      <w:r>
        <w:t>Conclusão (</w:t>
      </w:r>
      <w:hyperlink r:id="rId13895">
        <w:r>
          <w:rPr>
            <w:color w:val="0000EE"/>
            <w:u w:val="single"/>
          </w:rPr>
          <w:t>16.1–8</w:t>
        </w:r>
      </w:hyperlink>
      <w:r>
        <w:t>)</w:t>
      </w:r>
    </w:p>
    <w:p>
      <w:r/>
      <w:r>
        <w:t>Embora dificilmente se possa afirmar que este esboço corresponde exatamente ao plano original do autor (Marcos pode não ter conscientemente elaborado um esboço detalhado), a divisão em seis partes fornece um ponto de partida útil para um resumo interpretativo do conteúdo.</w:t>
      </w:r>
    </w:p>
    <w:p>
      <w:pPr>
        <w:pStyle w:val="Heading4"/>
      </w:pPr>
      <w:r>
        <w:t>A autoridade de Jesus e a inimizade dos fariseus (1.14–3.6)</w:t>
      </w:r>
    </w:p>
    <w:p>
      <w:r/>
      <w:r>
        <w:t>Imediatamente após a parte introdutória (</w:t>
      </w:r>
      <w:hyperlink r:id="rId13886">
        <w:r>
          <w:rPr>
            <w:color w:val="0000EE"/>
            <w:u w:val="single"/>
          </w:rPr>
          <w:t>1.1–13</w:t>
        </w:r>
      </w:hyperlink>
      <w:r>
        <w:t xml:space="preserve">), que descreve o ministério de João Batista, bem como o batismo e a tentação de Jesus, Marcos abre o corpo da obra com uma declaração sumária (vv. </w:t>
      </w:r>
      <w:hyperlink r:id="rId13896">
        <w:r>
          <w:rPr>
            <w:color w:val="0000EE"/>
            <w:u w:val="single"/>
          </w:rPr>
          <w:t>14–15</w:t>
        </w:r>
      </w:hyperlink>
      <w:r>
        <w:t xml:space="preserve">). Nesses dois versos, ele parece sugerir que o ministério público de Jesus, caracterizado pela proclamação de que o reino de Deus está prestes a ser inaugurado, foi ocasionado pela prisão de João. Isso é seguido pelo chamado dos primeiros discípulos (vv. </w:t>
      </w:r>
      <w:hyperlink r:id="rId11715">
        <w:r>
          <w:rPr>
            <w:color w:val="0000EE"/>
            <w:u w:val="single"/>
          </w:rPr>
          <w:t>16–20</w:t>
        </w:r>
      </w:hyperlink>
      <w:r>
        <w:t xml:space="preserve">) e depois por um complexo de histórias (vv. </w:t>
      </w:r>
      <w:hyperlink r:id="rId13897">
        <w:r>
          <w:rPr>
            <w:color w:val="0000EE"/>
            <w:u w:val="single"/>
          </w:rPr>
          <w:t>21–38</w:t>
        </w:r>
      </w:hyperlink>
      <w:r>
        <w:t xml:space="preserve">), todos os quais relatam incidentes que ocorreram em Cafarnaum, aparentemente dentro de um período de 24 horas: instrução na sinagoga seguida pela cura de um endemoninhado; a cura da sogra de Pedro; numerosas outras curas à noite; oração em um lugar solitário. A declaração de que Jesus prosseguiu a expandir seu ministério em toda a província da Galileia (v. </w:t>
      </w:r>
      <w:hyperlink r:id="rId13898">
        <w:r>
          <w:rPr>
            <w:color w:val="0000EE"/>
            <w:u w:val="single"/>
          </w:rPr>
          <w:t>39</w:t>
        </w:r>
      </w:hyperlink>
      <w:r>
        <w:t xml:space="preserve">) é seguida pela história da cura de um leproso (vv. </w:t>
      </w:r>
      <w:hyperlink r:id="rId13899">
        <w:r>
          <w:rPr>
            <w:color w:val="0000EE"/>
            <w:u w:val="single"/>
          </w:rPr>
          <w:t>40–45</w:t>
        </w:r>
      </w:hyperlink>
      <w:r>
        <w:t>). A seguir encontramos um grupo muito importante de incidentes (</w:t>
      </w:r>
      <w:hyperlink r:id="rId13900">
        <w:r>
          <w:rPr>
            <w:color w:val="0000EE"/>
            <w:u w:val="single"/>
          </w:rPr>
          <w:t>2.1–3.6</w:t>
        </w:r>
      </w:hyperlink>
      <w:r>
        <w:t>), todos eles se concentrando nos conflitos de Jesus com os líderes judeus: a cura e o perdão de um paralítico; o chamado de Levi, que teve o jantar que (com a participação de Jesus, bem como dos odiados coletores de impostos) ocasionou algumas disputas, principalmente sobre a questão do jejum; e duas histórias significativas sobre o comportamento adequado no sábado.</w:t>
      </w:r>
    </w:p>
    <w:p>
      <w:pPr>
        <w:pStyle w:val="Heading4"/>
      </w:pPr>
      <w:r>
        <w:t>A Resposta das Pessoas (3.7–6.6a)</w:t>
      </w:r>
    </w:p>
    <w:p>
      <w:r/>
      <w:r>
        <w:t xml:space="preserve">Marcos abre esta segunda seção como abriu a primeira: uma declaração resumida (as curas de Jesus à beira do lago — </w:t>
      </w:r>
      <w:hyperlink r:id="rId6392">
        <w:r>
          <w:rPr>
            <w:color w:val="0000EE"/>
            <w:u w:val="single"/>
          </w:rPr>
          <w:t>3.7–12</w:t>
        </w:r>
      </w:hyperlink>
      <w:r>
        <w:t xml:space="preserve">) seguida pela nomeação oficial de 12 apóstolos (vv. </w:t>
      </w:r>
      <w:hyperlink r:id="rId2256">
        <w:r>
          <w:rPr>
            <w:color w:val="0000EE"/>
            <w:u w:val="single"/>
          </w:rPr>
          <w:t>13–19</w:t>
        </w:r>
      </w:hyperlink>
      <w:r>
        <w:t xml:space="preserve">). Então segue uma seção que se concentra nos tipos de acusações trazidas contra Jesus por sua própria família e pelos escribas (vv. </w:t>
      </w:r>
      <w:hyperlink r:id="rId13901">
        <w:r>
          <w:rPr>
            <w:color w:val="0000EE"/>
            <w:u w:val="single"/>
          </w:rPr>
          <w:t>20–22</w:t>
        </w:r>
      </w:hyperlink>
      <w:r>
        <w:t xml:space="preserve">), levando a uma resposta falando sobre Satanás, a blasfêmia contra o Espírito Santo e no que constitui a verdadeira participação em sua família (vv. </w:t>
      </w:r>
      <w:hyperlink r:id="rId13902">
        <w:r>
          <w:rPr>
            <w:color w:val="0000EE"/>
            <w:u w:val="single"/>
          </w:rPr>
          <w:t>23–35</w:t>
        </w:r>
      </w:hyperlink>
      <w:r>
        <w:t xml:space="preserve">). A maior parte do capítulo </w:t>
      </w:r>
      <w:hyperlink r:id="rId13903">
        <w:r>
          <w:rPr>
            <w:color w:val="0000EE"/>
            <w:u w:val="single"/>
          </w:rPr>
          <w:t>4</w:t>
        </w:r>
      </w:hyperlink>
      <w:r>
        <w:t xml:space="preserve"> é dedicada às parábolas de Jesus do reino — o semeador, a semente que cresce secretamente, o grão de mostarda — e inclui declarações sobre a natureza e propósito de seus ensinamentos (</w:t>
      </w:r>
      <w:hyperlink r:id="rId13904">
        <w:r>
          <w:rPr>
            <w:color w:val="0000EE"/>
            <w:u w:val="single"/>
          </w:rPr>
          <w:t>4.10–12, 21–25, 33–34</w:t>
        </w:r>
      </w:hyperlink>
      <w:r>
        <w:t xml:space="preserve">). À noite, Jesus e seus discípulos partiram para atravessar o Mar da Galileia, levando ao acalmar da tempestade (vv. </w:t>
      </w:r>
      <w:hyperlink r:id="rId11725">
        <w:r>
          <w:rPr>
            <w:color w:val="0000EE"/>
            <w:u w:val="single"/>
          </w:rPr>
          <w:t>35–41</w:t>
        </w:r>
      </w:hyperlink>
      <w:r>
        <w:t>), à cura do endemoninhado geraseno do outro lado do lago (</w:t>
      </w:r>
      <w:hyperlink r:id="rId6393">
        <w:r>
          <w:rPr>
            <w:color w:val="0000EE"/>
            <w:u w:val="single"/>
          </w:rPr>
          <w:t>5.1–20</w:t>
        </w:r>
      </w:hyperlink>
      <w:r>
        <w:t xml:space="preserve">) e, em seu retorno a Cafarnaum, à cura de uma mulher com hemorragia e à ressurreição da filha de Jairo (vv. </w:t>
      </w:r>
      <w:hyperlink r:id="rId4807">
        <w:r>
          <w:rPr>
            <w:color w:val="0000EE"/>
            <w:u w:val="single"/>
          </w:rPr>
          <w:t>21–43</w:t>
        </w:r>
      </w:hyperlink>
      <w:r>
        <w:t>). A seção conclui com a visita de Jesus à sua cidade natal, Nazaré, e a rejeição que ele sofreu lá (</w:t>
      </w:r>
      <w:hyperlink r:id="rId11746">
        <w:r>
          <w:rPr>
            <w:color w:val="0000EE"/>
            <w:u w:val="single"/>
          </w:rPr>
          <w:t>6.1–6a</w:t>
        </w:r>
      </w:hyperlink>
      <w:r>
        <w:t>).</w:t>
      </w:r>
    </w:p>
    <w:p>
      <w:pPr>
        <w:pStyle w:val="Heading4"/>
      </w:pPr>
      <w:r>
        <w:t>O mal-entendido dos discípulos (6.6b–8.21)</w:t>
      </w:r>
    </w:p>
    <w:p>
      <w:r/>
      <w:r>
        <w:t>A terceira seção começa com duas passagens introdutórias: o envio dos 12 (</w:t>
      </w:r>
      <w:hyperlink r:id="rId13905">
        <w:r>
          <w:rPr>
            <w:color w:val="0000EE"/>
            <w:u w:val="single"/>
          </w:rPr>
          <w:t>6.6b-13</w:t>
        </w:r>
      </w:hyperlink>
      <w:r>
        <w:t xml:space="preserve">) e a história da morte de João Batista (vv. </w:t>
      </w:r>
      <w:hyperlink r:id="rId13906">
        <w:r>
          <w:rPr>
            <w:color w:val="0000EE"/>
            <w:u w:val="single"/>
          </w:rPr>
          <w:t>14–29</w:t>
        </w:r>
      </w:hyperlink>
      <w:r>
        <w:t xml:space="preserve">). Quando os discípulos voltam, Jesus decide buscar um pouco de descanso, mas as multidões os seguem; então Jesus ensina e alimenta os 5.000 (vv. </w:t>
      </w:r>
      <w:hyperlink r:id="rId11748">
        <w:r>
          <w:rPr>
            <w:color w:val="0000EE"/>
            <w:u w:val="single"/>
          </w:rPr>
          <w:t>30–44</w:t>
        </w:r>
      </w:hyperlink>
      <w:r>
        <w:t xml:space="preserve">) e, depois de atravessar o lago (vv. </w:t>
      </w:r>
      <w:hyperlink r:id="rId13907">
        <w:r>
          <w:rPr>
            <w:color w:val="0000EE"/>
            <w:u w:val="single"/>
          </w:rPr>
          <w:t>45–52</w:t>
        </w:r>
      </w:hyperlink>
      <w:r>
        <w:t xml:space="preserve">, o que inclui a caminhada de Jesus sobre a água), ele realiza numerosas curas dentro e ao redor de Genesaré (vv. </w:t>
      </w:r>
      <w:hyperlink r:id="rId6394">
        <w:r>
          <w:rPr>
            <w:color w:val="0000EE"/>
            <w:u w:val="single"/>
          </w:rPr>
          <w:t>53–56</w:t>
        </w:r>
      </w:hyperlink>
      <w:r>
        <w:t>). Então segue uma controvérsia com os fariseus sobre o ritual de lavagem das mãos (</w:t>
      </w:r>
      <w:hyperlink r:id="rId13908">
        <w:r>
          <w:rPr>
            <w:color w:val="0000EE"/>
            <w:u w:val="single"/>
          </w:rPr>
          <w:t>7.1–8</w:t>
        </w:r>
      </w:hyperlink>
      <w:r>
        <w:t xml:space="preserve">), e este incidente leva à afirmação de Cristo da autoridade da palavra de Deus sobre a tradição humana (vv. </w:t>
      </w:r>
      <w:hyperlink r:id="rId13909">
        <w:r>
          <w:rPr>
            <w:color w:val="0000EE"/>
            <w:u w:val="single"/>
          </w:rPr>
          <w:t>9–13</w:t>
        </w:r>
      </w:hyperlink>
      <w:r>
        <w:t xml:space="preserve">) e a algumas instruções gerais sobre a verdadeira pureza (vv. </w:t>
      </w:r>
      <w:hyperlink r:id="rId13910">
        <w:r>
          <w:rPr>
            <w:color w:val="0000EE"/>
            <w:u w:val="single"/>
          </w:rPr>
          <w:t>14–23</w:t>
        </w:r>
      </w:hyperlink>
      <w:r>
        <w:t xml:space="preserve">). As próximas histórias descrevem a retirada de Jesus da Galileia, primeiro para Tiro, onde a filha de uma mulher gentia é curada (vv. </w:t>
      </w:r>
      <w:hyperlink r:id="rId6395">
        <w:r>
          <w:rPr>
            <w:color w:val="0000EE"/>
            <w:u w:val="single"/>
          </w:rPr>
          <w:t>24–30</w:t>
        </w:r>
      </w:hyperlink>
      <w:r>
        <w:t xml:space="preserve">), depois para a Decápolis, onde ele cura um surdo-mudo (vv. </w:t>
      </w:r>
      <w:hyperlink r:id="rId6396">
        <w:r>
          <w:rPr>
            <w:color w:val="0000EE"/>
            <w:u w:val="single"/>
          </w:rPr>
          <w:t>31–37</w:t>
        </w:r>
      </w:hyperlink>
      <w:r>
        <w:t>) e alimenta uma multidão de quatro mil (</w:t>
      </w:r>
      <w:hyperlink r:id="rId13911">
        <w:r>
          <w:rPr>
            <w:color w:val="0000EE"/>
            <w:u w:val="single"/>
          </w:rPr>
          <w:t>8.1–10</w:t>
        </w:r>
      </w:hyperlink>
      <w:r>
        <w:t xml:space="preserve">). A demanda dos fariseus por um sinal (vv. </w:t>
      </w:r>
      <w:hyperlink r:id="rId13912">
        <w:r>
          <w:rPr>
            <w:color w:val="0000EE"/>
            <w:u w:val="single"/>
          </w:rPr>
          <w:t>11–12</w:t>
        </w:r>
      </w:hyperlink>
      <w:r>
        <w:t xml:space="preserve">) leva à advertência de Jesus contra o “fermento” dos fariseus, uma declaração mal compreendida pelos discípulos (vv. </w:t>
      </w:r>
      <w:hyperlink r:id="rId13913">
        <w:r>
          <w:rPr>
            <w:color w:val="0000EE"/>
            <w:u w:val="single"/>
          </w:rPr>
          <w:t>13–21</w:t>
        </w:r>
      </w:hyperlink>
      <w:r>
        <w:t>).</w:t>
      </w:r>
    </w:p>
    <w:p>
      <w:pPr>
        <w:pStyle w:val="Heading4"/>
      </w:pPr>
      <w:r>
        <w:t>A Missão do Messias e a Cegueira dos Discípulos (8.22–10.52)</w:t>
      </w:r>
    </w:p>
    <w:p>
      <w:r/>
      <w:r>
        <w:t>Ainda longe da Galileia, mas agora na cidade vizinha de Betsaida, Jesus cura um homem cego (</w:t>
      </w:r>
      <w:hyperlink r:id="rId3509">
        <w:r>
          <w:rPr>
            <w:color w:val="0000EE"/>
            <w:u w:val="single"/>
          </w:rPr>
          <w:t>8.22–26</w:t>
        </w:r>
      </w:hyperlink>
      <w:r>
        <w:t xml:space="preserve">). Ele então leva seus discípulos para o norte em direção a Cesareia de Filipe, que prepara o cenário para a confissão de Pedro (vv. </w:t>
      </w:r>
      <w:hyperlink r:id="rId10617">
        <w:r>
          <w:rPr>
            <w:color w:val="0000EE"/>
            <w:u w:val="single"/>
          </w:rPr>
          <w:t>27–30</w:t>
        </w:r>
      </w:hyperlink>
      <w:r>
        <w:t xml:space="preserve">). Este reconhecimento da parte dos discípulos (dos qual Pedro é de fato um representante) leva Jesus a profetizar sua morte, mas a rejeição de Pedro em aceitar a profecia suscita uma repreensão e instrução sobre o discipulado (vv. </w:t>
      </w:r>
      <w:hyperlink r:id="rId13914">
        <w:r>
          <w:rPr>
            <w:color w:val="0000EE"/>
            <w:u w:val="single"/>
          </w:rPr>
          <w:t>31–38</w:t>
        </w:r>
      </w:hyperlink>
      <w:r>
        <w:t>). O fracasso dos discípulos em entender a necessidade da morte de Cristo fornece o contexto para a Transfiguração (</w:t>
      </w:r>
      <w:hyperlink r:id="rId13915">
        <w:r>
          <w:rPr>
            <w:color w:val="0000EE"/>
            <w:u w:val="single"/>
          </w:rPr>
          <w:t>9.1–8</w:t>
        </w:r>
      </w:hyperlink>
      <w:r>
        <w:t xml:space="preserve">), que assegura a Pedro, João e Tiago que o reino de Deus de fato virá (nota v. </w:t>
      </w:r>
      <w:hyperlink r:id="rId13916">
        <w:r>
          <w:rPr>
            <w:color w:val="0000EE"/>
            <w:u w:val="single"/>
          </w:rPr>
          <w:t>1</w:t>
        </w:r>
      </w:hyperlink>
      <w:r>
        <w:t xml:space="preserve">); além disso, o próprio Pai os ordena a acreditar na profecia de Jesus (v. </w:t>
      </w:r>
      <w:hyperlink r:id="rId8026">
        <w:r>
          <w:rPr>
            <w:color w:val="0000EE"/>
            <w:u w:val="single"/>
          </w:rPr>
          <w:t>7</w:t>
        </w:r>
      </w:hyperlink>
      <w:r>
        <w:t xml:space="preserve">). Após algumas palavras sobre a ressurreição e sobre a vinda de Elias (vv. </w:t>
      </w:r>
      <w:hyperlink r:id="rId13917">
        <w:r>
          <w:rPr>
            <w:color w:val="0000EE"/>
            <w:u w:val="single"/>
          </w:rPr>
          <w:t>9–13</w:t>
        </w:r>
      </w:hyperlink>
      <w:r>
        <w:t xml:space="preserve">), Marcos relaciona a cura de um menino possuído por um demônio (vv. </w:t>
      </w:r>
      <w:hyperlink r:id="rId13918">
        <w:r>
          <w:rPr>
            <w:color w:val="0000EE"/>
            <w:u w:val="single"/>
          </w:rPr>
          <w:t>14–29</w:t>
        </w:r>
      </w:hyperlink>
      <w:r>
        <w:t xml:space="preserve">). De volta à Galileia, uma segunda profecia da morte de Jesus (vv. </w:t>
      </w:r>
      <w:hyperlink r:id="rId13919">
        <w:r>
          <w:rPr>
            <w:color w:val="0000EE"/>
            <w:u w:val="single"/>
          </w:rPr>
          <w:t>30–32</w:t>
        </w:r>
      </w:hyperlink>
      <w:r>
        <w:t xml:space="preserve">) é seguida, infelizmente, por uma conversa trivial entre os discípulos sobre quem é o maior (vv. </w:t>
      </w:r>
      <w:hyperlink r:id="rId13920">
        <w:r>
          <w:rPr>
            <w:color w:val="0000EE"/>
            <w:u w:val="single"/>
          </w:rPr>
          <w:t>33–37</w:t>
        </w:r>
      </w:hyperlink>
      <w:r>
        <w:t xml:space="preserve">). Apropriadamente, encontram-se algumas instruções adicionais sobre o discipulado (vv. </w:t>
      </w:r>
      <w:hyperlink r:id="rId13921">
        <w:r>
          <w:rPr>
            <w:color w:val="0000EE"/>
            <w:u w:val="single"/>
          </w:rPr>
          <w:t>38–50</w:t>
        </w:r>
      </w:hyperlink>
      <w:r>
        <w:t>). Marcos escreve a seguir que Jesus deixou a Galiléia pela última vez e começou sua jornada em direção ao sul. Durante esta jornada, Jesus proferiu ensinamentos sobre o divórcio e sobre os privilégios espirituais das crianças (</w:t>
      </w:r>
      <w:hyperlink r:id="rId13922">
        <w:r>
          <w:rPr>
            <w:color w:val="0000EE"/>
            <w:u w:val="single"/>
          </w:rPr>
          <w:t>10.1–16</w:t>
        </w:r>
      </w:hyperlink>
      <w:r>
        <w:t xml:space="preserve">), então conheceu o jovem rico (vv. </w:t>
      </w:r>
      <w:hyperlink r:id="rId13923">
        <w:r>
          <w:rPr>
            <w:color w:val="0000EE"/>
            <w:u w:val="single"/>
          </w:rPr>
          <w:t>17–22</w:t>
        </w:r>
      </w:hyperlink>
      <w:r>
        <w:t xml:space="preserve">), um incidente que leva a outras palavras sobre discipulado (vv. </w:t>
      </w:r>
      <w:hyperlink r:id="rId11184">
        <w:r>
          <w:rPr>
            <w:color w:val="0000EE"/>
            <w:u w:val="single"/>
          </w:rPr>
          <w:t>23–31</w:t>
        </w:r>
      </w:hyperlink>
      <w:r>
        <w:t xml:space="preserve">). Uma terceira profecia da morte de Jesus (vv. </w:t>
      </w:r>
      <w:hyperlink r:id="rId6399">
        <w:r>
          <w:rPr>
            <w:color w:val="0000EE"/>
            <w:u w:val="single"/>
          </w:rPr>
          <w:t>32–34</w:t>
        </w:r>
      </w:hyperlink>
      <w:r>
        <w:t xml:space="preserve">) é novamente seguida por um comportamento egoísta da parte dos discípulos, neste caso um pedido ambicioso de Tiago e João (vv. </w:t>
      </w:r>
      <w:hyperlink r:id="rId11965">
        <w:r>
          <w:rPr>
            <w:color w:val="0000EE"/>
            <w:u w:val="single"/>
          </w:rPr>
          <w:t>35–40</w:t>
        </w:r>
      </w:hyperlink>
      <w:r>
        <w:t xml:space="preserve">). O incidente produz indignação entre o resto dos discípulos, exigindo assim outra repreensão de seu mestre, que ele mesmo veio para servir e morrer (vv. </w:t>
      </w:r>
      <w:hyperlink r:id="rId13924">
        <w:r>
          <w:rPr>
            <w:color w:val="0000EE"/>
            <w:u w:val="single"/>
          </w:rPr>
          <w:t>41–45</w:t>
        </w:r>
      </w:hyperlink>
      <w:r>
        <w:t xml:space="preserve">). A seção termina como começou — relatando a cura de um homem cego, Bartimeu de Jericó nesta história (vv. </w:t>
      </w:r>
      <w:hyperlink r:id="rId3154">
        <w:r>
          <w:rPr>
            <w:color w:val="0000EE"/>
            <w:u w:val="single"/>
          </w:rPr>
          <w:t>46–52</w:t>
        </w:r>
      </w:hyperlink>
      <w:r>
        <w:t>).</w:t>
      </w:r>
    </w:p>
    <w:p>
      <w:pPr>
        <w:pStyle w:val="Heading4"/>
      </w:pPr>
      <w:r>
        <w:t>Ministério Final (11.1–13.37)</w:t>
      </w:r>
    </w:p>
    <w:p>
      <w:r/>
      <w:r>
        <w:t>Esta seção parece naturalmente se dividir em três subseções equilibradas. A primeira (</w:t>
      </w:r>
      <w:hyperlink r:id="rId13925">
        <w:r>
          <w:rPr>
            <w:color w:val="0000EE"/>
            <w:u w:val="single"/>
          </w:rPr>
          <w:t>11.1–26</w:t>
        </w:r>
      </w:hyperlink>
      <w:r>
        <w:t>) inclui três eventos: a Entrada Triunfal, a figueira que murchou e a purificação do templo. A segunda subseção (</w:t>
      </w:r>
      <w:hyperlink r:id="rId13926">
        <w:r>
          <w:rPr>
            <w:color w:val="0000EE"/>
            <w:u w:val="single"/>
          </w:rPr>
          <w:t>11.27–12.44</w:t>
        </w:r>
      </w:hyperlink>
      <w:r>
        <w:t>) é especialmente importante, pois aqui é encontrada a série final das controvérsias de Jesus com os líderes judeus. Os tópicos abordados são a fonte da autoridade de Jesus (</w:t>
      </w:r>
      <w:hyperlink r:id="rId13927">
        <w:r>
          <w:rPr>
            <w:color w:val="0000EE"/>
            <w:u w:val="single"/>
          </w:rPr>
          <w:t>11.27–33</w:t>
        </w:r>
      </w:hyperlink>
      <w:r>
        <w:t>), a parábola dos lavradores ímpios (</w:t>
      </w:r>
      <w:hyperlink r:id="rId13928">
        <w:r>
          <w:rPr>
            <w:color w:val="0000EE"/>
            <w:u w:val="single"/>
          </w:rPr>
          <w:t>12.1–12</w:t>
        </w:r>
      </w:hyperlink>
      <w:r>
        <w:t xml:space="preserve">), a legitimidade do imposto de César (vv. </w:t>
      </w:r>
      <w:hyperlink r:id="rId13929">
        <w:r>
          <w:rPr>
            <w:color w:val="0000EE"/>
            <w:u w:val="single"/>
          </w:rPr>
          <w:t>13–17</w:t>
        </w:r>
      </w:hyperlink>
      <w:r>
        <w:t xml:space="preserve">), a negação da ressurreição dos saduceus (vv. </w:t>
      </w:r>
      <w:hyperlink r:id="rId10518">
        <w:r>
          <w:rPr>
            <w:color w:val="0000EE"/>
            <w:u w:val="single"/>
          </w:rPr>
          <w:t>18–27</w:t>
        </w:r>
      </w:hyperlink>
      <w:r>
        <w:t xml:space="preserve">), o principal mandamento (vv. </w:t>
      </w:r>
      <w:hyperlink r:id="rId12794">
        <w:r>
          <w:rPr>
            <w:color w:val="0000EE"/>
            <w:u w:val="single"/>
          </w:rPr>
          <w:t>28–34</w:t>
        </w:r>
      </w:hyperlink>
      <w:r>
        <w:t xml:space="preserve">) e a pergunta sobre o filho de Davi (vv. </w:t>
      </w:r>
      <w:hyperlink r:id="rId6627">
        <w:r>
          <w:rPr>
            <w:color w:val="0000EE"/>
            <w:u w:val="single"/>
          </w:rPr>
          <w:t>35–37</w:t>
        </w:r>
      </w:hyperlink>
      <w:r>
        <w:t xml:space="preserve">). Esta subseção termina com uma advertência contra os escribas e com a história da pequena quantia da viúva (vv. </w:t>
      </w:r>
      <w:hyperlink r:id="rId13930">
        <w:r>
          <w:rPr>
            <w:color w:val="0000EE"/>
            <w:u w:val="single"/>
          </w:rPr>
          <w:t>38–44</w:t>
        </w:r>
      </w:hyperlink>
      <w:r>
        <w:t xml:space="preserve">). A terceira subseção (cap. </w:t>
      </w:r>
      <w:hyperlink r:id="rId2031">
        <w:r>
          <w:rPr>
            <w:color w:val="0000EE"/>
            <w:u w:val="single"/>
          </w:rPr>
          <w:t>13</w:t>
        </w:r>
      </w:hyperlink>
      <w:r>
        <w:t>) é dedicada completamente ao sermão do Monte das Oliveiras, com suas profecias de destruição, calamidades, perseguições, enganadores e justificação final. O discurso termina com várias admoestações para se manter alerta.</w:t>
      </w:r>
    </w:p>
    <w:p>
      <w:pPr>
        <w:pStyle w:val="Heading4"/>
      </w:pPr>
      <w:r>
        <w:t>A Narrativa da Paixão (14.1–15.47)</w:t>
      </w:r>
    </w:p>
    <w:p>
      <w:r/>
      <w:r>
        <w:t>Esta seção final, que é introduzida por uma denúncia da trama dos sacerdotes (</w:t>
      </w:r>
      <w:hyperlink r:id="rId13931">
        <w:r>
          <w:rPr>
            <w:color w:val="0000EE"/>
            <w:u w:val="single"/>
          </w:rPr>
          <w:t>14.1–2</w:t>
        </w:r>
      </w:hyperlink>
      <w:r>
        <w:t xml:space="preserve">), pode ser dividida em duas subseções. A primeira relaciona os eventos que levaram ao julgamento de Jesus (vv. </w:t>
      </w:r>
      <w:hyperlink r:id="rId13932">
        <w:r>
          <w:rPr>
            <w:color w:val="0000EE"/>
            <w:u w:val="single"/>
          </w:rPr>
          <w:t>3–52</w:t>
        </w:r>
      </w:hyperlink>
      <w:r>
        <w:t xml:space="preserve">). Eles incluem a unção de Jesus (vv. </w:t>
      </w:r>
      <w:hyperlink r:id="rId8748">
        <w:r>
          <w:rPr>
            <w:color w:val="0000EE"/>
            <w:u w:val="single"/>
          </w:rPr>
          <w:t>3–9</w:t>
        </w:r>
      </w:hyperlink>
      <w:r>
        <w:t xml:space="preserve">), a traição de Judas (vv. </w:t>
      </w:r>
      <w:hyperlink r:id="rId13933">
        <w:r>
          <w:rPr>
            <w:color w:val="0000EE"/>
            <w:u w:val="single"/>
          </w:rPr>
          <w:t>10–11</w:t>
        </w:r>
      </w:hyperlink>
      <w:r>
        <w:t xml:space="preserve">), os incidentes relacionados com a Última Ceia (vv. </w:t>
      </w:r>
      <w:hyperlink r:id="rId13934">
        <w:r>
          <w:rPr>
            <w:color w:val="0000EE"/>
            <w:u w:val="single"/>
          </w:rPr>
          <w:t>12–31</w:t>
        </w:r>
      </w:hyperlink>
      <w:r>
        <w:t xml:space="preserve">), a cena no Getsêmani (vv. </w:t>
      </w:r>
      <w:hyperlink r:id="rId7876">
        <w:r>
          <w:rPr>
            <w:color w:val="0000EE"/>
            <w:u w:val="single"/>
          </w:rPr>
          <w:t>32–42</w:t>
        </w:r>
      </w:hyperlink>
      <w:r>
        <w:t xml:space="preserve">) e a prisão (vv. </w:t>
      </w:r>
      <w:hyperlink r:id="rId13935">
        <w:r>
          <w:rPr>
            <w:color w:val="0000EE"/>
            <w:u w:val="single"/>
          </w:rPr>
          <w:t>43–52</w:t>
        </w:r>
      </w:hyperlink>
      <w:r>
        <w:t xml:space="preserve">). A segunda subseção relata o julgamento de Jesus diante dos judeus (vv. </w:t>
      </w:r>
      <w:hyperlink r:id="rId13936">
        <w:r>
          <w:rPr>
            <w:color w:val="0000EE"/>
            <w:u w:val="single"/>
          </w:rPr>
          <w:t>53–65</w:t>
        </w:r>
      </w:hyperlink>
      <w:r>
        <w:t xml:space="preserve">), as negações de Pedro (vv. </w:t>
      </w:r>
      <w:hyperlink r:id="rId11790">
        <w:r>
          <w:rPr>
            <w:color w:val="0000EE"/>
            <w:u w:val="single"/>
          </w:rPr>
          <w:t>66–72</w:t>
        </w:r>
      </w:hyperlink>
      <w:r>
        <w:t>), o julgamento diante de Pilatos (</w:t>
      </w:r>
      <w:hyperlink r:id="rId13937">
        <w:r>
          <w:rPr>
            <w:color w:val="0000EE"/>
            <w:u w:val="single"/>
          </w:rPr>
          <w:t>15.1–15</w:t>
        </w:r>
      </w:hyperlink>
      <w:r>
        <w:t xml:space="preserve">), a crucificação (vv. </w:t>
      </w:r>
      <w:hyperlink r:id="rId13938">
        <w:r>
          <w:rPr>
            <w:color w:val="0000EE"/>
            <w:u w:val="single"/>
          </w:rPr>
          <w:t>16–41</w:t>
        </w:r>
      </w:hyperlink>
      <w:r>
        <w:t xml:space="preserve">) e o sepultamento (vv. </w:t>
      </w:r>
      <w:hyperlink r:id="rId13939">
        <w:r>
          <w:rPr>
            <w:color w:val="0000EE"/>
            <w:u w:val="single"/>
          </w:rPr>
          <w:t>42–47</w:t>
        </w:r>
      </w:hyperlink>
      <w:r>
        <w:t>).</w:t>
      </w:r>
    </w:p>
    <w:p>
      <w:r/>
      <w:r>
        <w:t>O Evangelho conclui de forma um pouco misteriosa, mas não menos triunfante, com a notícia de que Jesus ressuscitou dos mortos (</w:t>
      </w:r>
      <w:hyperlink r:id="rId13895">
        <w:r>
          <w:rPr>
            <w:color w:val="0000EE"/>
            <w:u w:val="single"/>
          </w:rPr>
          <w:t>16.1–8</w:t>
        </w:r>
      </w:hyperlink>
      <w:r>
        <w:t xml:space="preserve">). Os primeiros manuscritos gregos sobreviventes, geralmente considerados como os mais confiáveis, terminam no verso </w:t>
      </w:r>
      <w:hyperlink r:id="rId13876">
        <w:r>
          <w:rPr>
            <w:color w:val="0000EE"/>
            <w:u w:val="single"/>
          </w:rPr>
          <w:t>8</w:t>
        </w:r>
      </w:hyperlink>
      <w:r>
        <w:t>; a maioria dos manuscritos, no entanto, inclui 12 versos adicionais que relatam as aparições de Jesus aos seus discípulos.</w:t>
      </w:r>
    </w:p>
    <w:p>
      <w:r/>
      <w:r>
        <w:rPr>
          <w:i/>
        </w:rPr>
        <w:t>Veja também</w:t>
      </w:r>
      <w:r>
        <w:t xml:space="preserve"> </w:t>
      </w:r>
      <w:r>
        <w:t>Jesus Cristo, Vida e Ensinamentos de</w:t>
      </w:r>
      <w:r>
        <w:t xml:space="preserve">; </w:t>
      </w:r>
      <w:r>
        <w:t>Marcos, João</w:t>
      </w:r>
      <w:r>
        <w:t xml:space="preserve">; </w:t>
      </w:r>
      <w:r>
        <w:t>Mateus, Evangelho de</w:t>
      </w:r>
      <w:r>
        <w:t xml:space="preserve">; </w:t>
      </w:r>
      <w:r>
        <w:t>Lucas, Evangelho de</w:t>
      </w:r>
      <w:r>
        <w:t xml:space="preserve">; </w:t>
      </w:r>
      <w:r>
        <w:t>Evangelhos sinópticos</w:t>
      </w:r>
      <w:r>
        <w:t>.</w:t>
      </w:r>
      <w:r/>
      <w:r/>
    </w:p>
    <w:p>
      <w:r/>
    </w:p>
    <w:p>
      <w:pPr>
        <w:pStyle w:val="Heading2"/>
      </w:pPr>
      <w:r>
        <w:t>Marfim</w:t>
      </w:r>
      <w:r/>
    </w:p>
    <w:p>
      <w:r/>
      <w:r>
        <w:t>Substância dentina opaca, frequentemente mencionada com metais preciosos e gemas na Bíblia, também em escritos antigos do Oriente Próximo. O marfim era usado para pentes, pequenas caixas, frascos e outros artigos cosméticos; para estatuetas e amuletos; para jogos; e para a ornamentação de artigos de mobiliário, edifícios e talvez até navios (</w:t>
      </w:r>
      <w:hyperlink r:id="rId13940">
        <w:r>
          <w:rPr>
            <w:color w:val="0000EE"/>
            <w:u w:val="single"/>
          </w:rPr>
          <w:t>Ez 27.6</w:t>
        </w:r>
      </w:hyperlink>
      <w:r>
        <w:t>). É frequentemente mencionado nos anais de conquista egípcios e assírios como parte dos despojos de guerra. Alguns excelentes exemplos de trabalho com marfim podem ser encontrados na famosa coleção de Tutancâmon.</w:t>
      </w:r>
    </w:p>
    <w:p>
      <w:r/>
      <w:r>
        <w:t>Na Bíblia, o marfim é mencionado como adorno do trono de Salomão (</w:t>
      </w:r>
      <w:hyperlink r:id="rId13941">
        <w:r>
          <w:rPr>
            <w:color w:val="0000EE"/>
            <w:u w:val="single"/>
          </w:rPr>
          <w:t>1Rs 10.18</w:t>
        </w:r>
      </w:hyperlink>
      <w:r>
        <w:t xml:space="preserve">; </w:t>
      </w:r>
      <w:hyperlink r:id="rId13942">
        <w:r>
          <w:rPr>
            <w:color w:val="0000EE"/>
            <w:u w:val="single"/>
          </w:rPr>
          <w:t>2Cr 9.17</w:t>
        </w:r>
      </w:hyperlink>
      <w:r>
        <w:t>) e de camas no tempo de Amós (</w:t>
      </w:r>
      <w:hyperlink r:id="rId1267">
        <w:r>
          <w:rPr>
            <w:color w:val="0000EE"/>
            <w:u w:val="single"/>
          </w:rPr>
          <w:t>Am 6.4</w:t>
        </w:r>
      </w:hyperlink>
      <w:r>
        <w:t xml:space="preserve">). Ambas as referências provavelmente se referem a embutidos de marfim. Os palácios de marfim de </w:t>
      </w:r>
      <w:hyperlink r:id="rId220">
        <w:r>
          <w:rPr>
            <w:color w:val="0000EE"/>
            <w:u w:val="single"/>
          </w:rPr>
          <w:t>1 Reis 22.39</w:t>
        </w:r>
      </w:hyperlink>
      <w:r>
        <w:t xml:space="preserve">, </w:t>
      </w:r>
      <w:hyperlink r:id="rId4627">
        <w:r>
          <w:rPr>
            <w:color w:val="0000EE"/>
            <w:u w:val="single"/>
          </w:rPr>
          <w:t>Salmo 45.8</w:t>
        </w:r>
      </w:hyperlink>
      <w:r>
        <w:t xml:space="preserve"> e </w:t>
      </w:r>
      <w:hyperlink r:id="rId1297">
        <w:r>
          <w:rPr>
            <w:color w:val="0000EE"/>
            <w:u w:val="single"/>
          </w:rPr>
          <w:t>Amós 3.15</w:t>
        </w:r>
      </w:hyperlink>
      <w:r>
        <w:t xml:space="preserve">, no entanto, podem se referir a formas de decoração além de embutidos. Se </w:t>
      </w:r>
      <w:hyperlink r:id="rId13940">
        <w:r>
          <w:rPr>
            <w:color w:val="0000EE"/>
            <w:u w:val="single"/>
          </w:rPr>
          <w:t>Ezequiel 27.6</w:t>
        </w:r>
      </w:hyperlink>
      <w:r>
        <w:t xml:space="preserve"> realmente implica que os navios eram decorados com marfim é discutível, já que essa passagem faz parte do quadro geral de Tiro como um navio extravagante. Os artigos de marfim que os mercadores da terra não podem mais vender a Babilônia (</w:t>
      </w:r>
      <w:hyperlink r:id="rId5592">
        <w:r>
          <w:rPr>
            <w:color w:val="0000EE"/>
            <w:u w:val="single"/>
          </w:rPr>
          <w:t>Ap 18.12</w:t>
        </w:r>
      </w:hyperlink>
      <w:r>
        <w:t>) incluem objetos menores do tipo encontrado em vários sítios arqueológicos (Megido, Samaria, Ninrude).</w:t>
      </w:r>
    </w:p>
    <w:p>
      <w:r/>
      <w:r>
        <w:t>Originalmente, o marfim estava disponível no norte da Síria, onde os monarcas assírios caçavam elefantes. No entanto, na época de Salomão, ele era importado (</w:t>
      </w:r>
      <w:hyperlink r:id="rId1465">
        <w:r>
          <w:rPr>
            <w:color w:val="0000EE"/>
            <w:u w:val="single"/>
          </w:rPr>
          <w:t>1Rs 10.22</w:t>
        </w:r>
      </w:hyperlink>
      <w:r>
        <w:t xml:space="preserve">; </w:t>
      </w:r>
      <w:hyperlink r:id="rId1466">
        <w:r>
          <w:rPr>
            <w:color w:val="0000EE"/>
            <w:u w:val="single"/>
          </w:rPr>
          <w:t>2Cr 9.21</w:t>
        </w:r>
      </w:hyperlink>
      <w:r>
        <w:t>), provavelmente do leste (Índia) ou do sul (África), enquanto os navios de Társis podem representar a capacidade marítima dos navios em vez da origem do marfim. Tiro recebia seu marfim em comércio das “terras do litoral” (</w:t>
      </w:r>
      <w:hyperlink r:id="rId11003">
        <w:r>
          <w:rPr>
            <w:color w:val="0000EE"/>
            <w:u w:val="single"/>
          </w:rPr>
          <w:t>Ez 27.15</w:t>
        </w:r>
      </w:hyperlink>
      <w:r>
        <w:t>).</w:t>
      </w:r>
      <w:r/>
      <w:r/>
    </w:p>
    <w:p>
      <w:r/>
    </w:p>
    <w:p>
      <w:pPr>
        <w:pStyle w:val="Heading2"/>
      </w:pPr>
      <w:r>
        <w:t>Maria</w:t>
      </w:r>
      <w:r/>
    </w:p>
    <w:p>
      <w:r/>
      <w:r>
        <w:t>Um nome popular entre as mulheres judias no primeiro século. O Novo Testamento menciona seis ou sete mulheres diferentes chamadas Maria.</w:t>
      </w:r>
    </w:p>
    <w:p>
      <w:pPr>
        <w:pStyle w:val="ListNumber"/>
        <w:spacing w:line="240" w:lineRule="auto"/>
        <w:ind w:left="720"/>
      </w:pPr>
      <w:r/>
      <w:r>
        <w:t>Maria, a mãe de Jesus. De acordo com as narrativas do nascimento de Jesus em Mateus e Lucas, Maria era uma jovem virgem judia. Ela provavelmente pertencia à tribo de Judá. Enquanto estava noiva de José (de descendência davídica da tribo de Judá), foi descoberto que ela estava grávida. Isso ocorreu porque ela se submeteu ao Espírito Santo (</w:t>
      </w:r>
      <w:hyperlink r:id="rId9876">
        <w:r>
          <w:rPr>
            <w:color w:val="0000EE"/>
            <w:u w:val="single"/>
          </w:rPr>
          <w:t>Mt 1.18–25</w:t>
        </w:r>
      </w:hyperlink>
      <w:r>
        <w:t xml:space="preserve">; </w:t>
      </w:r>
      <w:hyperlink r:id="rId1999">
        <w:r>
          <w:rPr>
            <w:color w:val="0000EE"/>
            <w:u w:val="single"/>
          </w:rPr>
          <w:t>Lc 1.26–38</w:t>
        </w:r>
      </w:hyperlink>
      <w:r>
        <w:t>). O casal se casou e viveu inicialmente em Nazaré da Galileia. Depois, viajaram para Belém (cidade natal de José) para um censo. Jesus nasceu em Belém (</w:t>
      </w:r>
      <w:hyperlink r:id="rId6243">
        <w:r>
          <w:rPr>
            <w:color w:val="0000EE"/>
            <w:u w:val="single"/>
          </w:rPr>
          <w:t>Mt 2.1</w:t>
        </w:r>
      </w:hyperlink>
      <w:r>
        <w:t xml:space="preserve">; </w:t>
      </w:r>
      <w:hyperlink r:id="rId4069">
        <w:r>
          <w:rPr>
            <w:color w:val="0000EE"/>
            <w:u w:val="single"/>
          </w:rPr>
          <w:t>Lc 1.5</w:t>
        </w:r>
      </w:hyperlink>
      <w:r>
        <w:t xml:space="preserve">; </w:t>
      </w:r>
      <w:hyperlink r:id="rId13943">
        <w:r>
          <w:rPr>
            <w:color w:val="0000EE"/>
            <w:u w:val="single"/>
          </w:rPr>
          <w:t>2.4–5</w:t>
        </w:r>
      </w:hyperlink>
      <w:r>
        <w:t>). Mateus nos informa que logo após o nascimento, a família teve que ir para o Egito para escapar de Herodes (</w:t>
      </w:r>
      <w:hyperlink r:id="rId13944">
        <w:r>
          <w:rPr>
            <w:color w:val="0000EE"/>
            <w:u w:val="single"/>
          </w:rPr>
          <w:t>Mt 2.13–14</w:t>
        </w:r>
      </w:hyperlink>
      <w:r>
        <w:t>). Mais tarde, a família residiu novamente em Nazaré (</w:t>
      </w:r>
      <w:hyperlink r:id="rId3577">
        <w:r>
          <w:rPr>
            <w:color w:val="0000EE"/>
            <w:u w:val="single"/>
          </w:rPr>
          <w:t>Mt 2.23</w:t>
        </w:r>
      </w:hyperlink>
      <w:r>
        <w:t xml:space="preserve">; </w:t>
      </w:r>
      <w:hyperlink r:id="rId9741">
        <w:r>
          <w:rPr>
            <w:color w:val="0000EE"/>
            <w:u w:val="single"/>
          </w:rPr>
          <w:t>Lc 2.39</w:t>
        </w:r>
      </w:hyperlink>
      <w:r>
        <w:t>).</w:t>
      </w:r>
    </w:p>
    <w:p>
      <w:r/>
      <w:r>
        <w:t xml:space="preserve">Temos pouca informação adicional sobre Maria. Ela certamente era uma mãe preocupada, como visto em suas palavras firmes para Jesus em </w:t>
      </w:r>
      <w:hyperlink r:id="rId13945">
        <w:r>
          <w:rPr>
            <w:color w:val="0000EE"/>
            <w:u w:val="single"/>
          </w:rPr>
          <w:t>Lucas 2.48</w:t>
        </w:r>
      </w:hyperlink>
      <w:r>
        <w:t>. Mais tarde, ela demonstrou grande consideração pela habilidade de Jesus no casamento em Caná (</w:t>
      </w:r>
      <w:hyperlink r:id="rId13946">
        <w:r>
          <w:rPr>
            <w:color w:val="0000EE"/>
            <w:u w:val="single"/>
          </w:rPr>
          <w:t>Jo 2.1–4</w:t>
        </w:r>
      </w:hyperlink>
      <w:r>
        <w:t>). Ela tinha vários outros filhos e filhas para cuidar. Ela apareceu aos pés da cruz, e Jesus pediu ao “discípulo que ele amava” que cuidasse dela em seu luto (</w:t>
      </w:r>
      <w:hyperlink r:id="rId7346">
        <w:r>
          <w:rPr>
            <w:color w:val="0000EE"/>
            <w:u w:val="single"/>
          </w:rPr>
          <w:t>Jo 19.25–27</w:t>
        </w:r>
      </w:hyperlink>
      <w:r>
        <w:t>). Após a ressurreição, ela e os irmãos de Jesus estavam entre os discípulos que receberam o Espírito no Pentecostes (</w:t>
      </w:r>
      <w:hyperlink r:id="rId3749">
        <w:r>
          <w:rPr>
            <w:color w:val="0000EE"/>
            <w:u w:val="single"/>
          </w:rPr>
          <w:t>At 1.14</w:t>
        </w:r>
      </w:hyperlink>
      <w:r>
        <w:t>). Nenhuma menção adicional é feita sobre ela.</w:t>
      </w:r>
    </w:p>
    <w:p>
      <w:r/>
      <w:r>
        <w:t xml:space="preserve">A canção de louvor de Maria em </w:t>
      </w:r>
      <w:hyperlink r:id="rId11693">
        <w:r>
          <w:rPr>
            <w:color w:val="0000EE"/>
            <w:u w:val="single"/>
          </w:rPr>
          <w:t>Lucas 1.46–55</w:t>
        </w:r>
      </w:hyperlink>
      <w:r>
        <w:t xml:space="preserve"> (chamada "O Magnificat") mostra sua humildade e confiança na vontade de Deus. Ela é verdadeiramente "bendita entre as mulheres" (</w:t>
      </w:r>
      <w:hyperlink r:id="rId13947">
        <w:r>
          <w:rPr>
            <w:color w:val="0000EE"/>
            <w:u w:val="single"/>
          </w:rPr>
          <w:t>Lucas 1.42</w:t>
        </w:r>
      </w:hyperlink>
      <w:r>
        <w:t>).</w:t>
      </w:r>
    </w:p>
    <w:p>
      <w:pPr>
        <w:pStyle w:val="ListNumber"/>
        <w:spacing w:line="240" w:lineRule="auto"/>
        <w:ind w:left="720"/>
      </w:pPr>
      <w:r/>
      <w:r>
        <w:t>Maria, a mãe de Tiago e José, é conhecida por vários nomes. Em cada relato, ela aparece entre as discípulas fiéis de Jesus. Ela esteve na cruz e testemunhou o túmulo vazio. Mateus a chama de “Maria, a mãe de Tiago e de José” ou apenas “a outra Maria” (</w:t>
      </w:r>
      <w:hyperlink r:id="rId13948">
        <w:r>
          <w:rPr>
            <w:color w:val="0000EE"/>
            <w:u w:val="single"/>
          </w:rPr>
          <w:t>Mt 27.56,61</w:t>
        </w:r>
      </w:hyperlink>
      <w:r>
        <w:t xml:space="preserve">; </w:t>
      </w:r>
      <w:hyperlink r:id="rId6248">
        <w:r>
          <w:rPr>
            <w:color w:val="0000EE"/>
            <w:u w:val="single"/>
          </w:rPr>
          <w:t>28.1</w:t>
        </w:r>
      </w:hyperlink>
      <w:r>
        <w:t>). Marcos usa alguns nomes para ela. Primeiro, ele a chama de “Maria, que era mãe de José, e de Tiago, o mais moço”. Segundo, ele a chama de “Maria, a mãe de José”. Terceiro, Marcos a chama de “Maria, a mãe de Tiago” (</w:t>
      </w:r>
      <w:hyperlink r:id="rId13949">
        <w:r>
          <w:rPr>
            <w:color w:val="0000EE"/>
            <w:u w:val="single"/>
          </w:rPr>
          <w:t>Mc 15.40,47</w:t>
        </w:r>
      </w:hyperlink>
      <w:r>
        <w:t xml:space="preserve">; </w:t>
      </w:r>
      <w:hyperlink r:id="rId6249">
        <w:r>
          <w:rPr>
            <w:color w:val="0000EE"/>
            <w:u w:val="single"/>
          </w:rPr>
          <w:t>16.1</w:t>
        </w:r>
      </w:hyperlink>
      <w:r>
        <w:t>). No Evangelho de João, ela é “Maria, a esposa de Clopas” (</w:t>
      </w:r>
      <w:hyperlink r:id="rId751">
        <w:r>
          <w:rPr>
            <w:color w:val="0000EE"/>
            <w:u w:val="single"/>
          </w:rPr>
          <w:t>Jo 19.25</w:t>
        </w:r>
      </w:hyperlink>
      <w:r>
        <w:t>). Ela pode ser uma Maria separada. A tradição diz que esta Maria era tia de Jesus. Clopas era irmão de José (</w:t>
      </w:r>
      <w:r>
        <w:rPr>
          <w:i/>
        </w:rPr>
        <w:t>História Eclesiástica</w:t>
      </w:r>
      <w:r>
        <w:t xml:space="preserve"> de Eusébio 3.11).</w:t>
      </w:r>
    </w:p>
    <w:p>
      <w:pPr>
        <w:pStyle w:val="ListNumber"/>
        <w:spacing w:line="240" w:lineRule="auto"/>
        <w:ind w:left="720"/>
      </w:pPr>
      <w:r/>
      <w:r>
        <w:t>Maria Madalena. Sabemos pouco sobre essa mulher. Seu nome indica que ela era de Magdala, na Galileia. Em algum lugar na Galileia, ela encontrou Jesus. Ele expulsou sete demônios dela. Ela então se juntou ao grupo de discípulos e seguiu Jesus onde quer que ele fosse (</w:t>
      </w:r>
      <w:hyperlink r:id="rId12738">
        <w:r>
          <w:rPr>
            <w:color w:val="0000EE"/>
            <w:u w:val="single"/>
          </w:rPr>
          <w:t>Lc 8.2</w:t>
        </w:r>
      </w:hyperlink>
      <w:r>
        <w:t>). Ela o seguiu até Jerusalém, ao pé da cruz, quando todos os discípulos homens haviam fugido (</w:t>
      </w:r>
      <w:hyperlink r:id="rId5012">
        <w:r>
          <w:rPr>
            <w:color w:val="0000EE"/>
            <w:u w:val="single"/>
          </w:rPr>
          <w:t>Mc 15.40</w:t>
        </w:r>
      </w:hyperlink>
      <w:r>
        <w:t xml:space="preserve">; </w:t>
      </w:r>
      <w:hyperlink r:id="rId751">
        <w:r>
          <w:rPr>
            <w:color w:val="0000EE"/>
            <w:u w:val="single"/>
          </w:rPr>
          <w:t>Jo 19.25</w:t>
        </w:r>
      </w:hyperlink>
      <w:r>
        <w:t>). Ela observou o sepultamento de Jesus (</w:t>
      </w:r>
      <w:hyperlink r:id="rId13950">
        <w:r>
          <w:rPr>
            <w:color w:val="0000EE"/>
            <w:u w:val="single"/>
          </w:rPr>
          <w:t>Mc 15.47</w:t>
        </w:r>
      </w:hyperlink>
      <w:r>
        <w:t>). Ela testemunhou os eventos em torno da ressurreição.</w:t>
      </w:r>
    </w:p>
    <w:p>
      <w:r/>
      <w:hyperlink r:id="rId6248">
        <w:r>
          <w:rPr>
            <w:color w:val="0000EE"/>
            <w:u w:val="single"/>
          </w:rPr>
          <w:t>Mateus 28.1</w:t>
        </w:r>
      </w:hyperlink>
      <w:r>
        <w:t xml:space="preserve">, </w:t>
      </w:r>
      <w:hyperlink r:id="rId6249">
        <w:r>
          <w:rPr>
            <w:color w:val="0000EE"/>
            <w:u w:val="single"/>
          </w:rPr>
          <w:t>Marcos 16.1</w:t>
        </w:r>
      </w:hyperlink>
      <w:r>
        <w:t xml:space="preserve"> e </w:t>
      </w:r>
      <w:hyperlink r:id="rId13951">
        <w:r>
          <w:rPr>
            <w:color w:val="0000EE"/>
            <w:u w:val="single"/>
          </w:rPr>
          <w:t>Lucas 24.10</w:t>
        </w:r>
      </w:hyperlink>
      <w:r>
        <w:t xml:space="preserve"> a mencionam junto com as outras mulheres que foram ao túmulo. João afirma que ela foi a primeira entre essas mulheres a descobrir o túmulo vazio, a primeira a relatar aos discípulos e a primeira a ver o Cristo ressuscitado enquanto permanecia junto ao túmulo após todas as outras terem partido (</w:t>
      </w:r>
      <w:hyperlink r:id="rId13952">
        <w:r>
          <w:rPr>
            <w:color w:val="0000EE"/>
            <w:u w:val="single"/>
          </w:rPr>
          <w:t>Jo 20.1–2,11–18</w:t>
        </w:r>
      </w:hyperlink>
      <w:r>
        <w:t>). Esta fiel discípula, no entanto, não foi autorizada a tocar seu Senhor (</w:t>
      </w:r>
      <w:hyperlink r:id="rId2663">
        <w:r>
          <w:rPr>
            <w:color w:val="0000EE"/>
            <w:u w:val="single"/>
          </w:rPr>
          <w:t>Jo 20.17</w:t>
        </w:r>
      </w:hyperlink>
      <w:r>
        <w:t>).</w:t>
      </w:r>
    </w:p>
    <w:p>
      <w:pPr>
        <w:pStyle w:val="ListNumber"/>
        <w:spacing w:line="240" w:lineRule="auto"/>
        <w:ind w:left="720"/>
      </w:pPr>
      <w:r/>
      <w:r>
        <w:t>Maria de Betânia. Esta Maria da Judeia era irmã de Marta e Lázaro. Sabemos três fatos sobre ela. Primeiro, ela era uma seguidora tão devota de Jesus que negligenciou suas tarefas domésticas para ouvi-lo (</w:t>
      </w:r>
      <w:hyperlink r:id="rId13953">
        <w:r>
          <w:rPr>
            <w:color w:val="0000EE"/>
            <w:u w:val="single"/>
          </w:rPr>
          <w:t xml:space="preserve">Lc 10.38–42). </w:t>
        </w:r>
      </w:hyperlink>
      <w:r>
        <w:t>Jesus aprovou isso. Segundo, ela aparentemente ficou chateada com Jesus quando ele não veio curar seu irmão antes que ele morresse (</w:t>
      </w:r>
      <w:hyperlink r:id="rId13954">
        <w:r>
          <w:rPr>
            <w:color w:val="0000EE"/>
            <w:u w:val="single"/>
          </w:rPr>
          <w:t>Jo 11.20,28–33</w:t>
        </w:r>
      </w:hyperlink>
      <w:r>
        <w:t>). Finalmente, antes de Jesus morrer, ela o ungiu com um unguento caro enquanto ele festejava em sua casa em Betânia (</w:t>
      </w:r>
      <w:hyperlink r:id="rId11770">
        <w:r>
          <w:rPr>
            <w:color w:val="0000EE"/>
            <w:u w:val="single"/>
          </w:rPr>
          <w:t>Mt 26.6–13</w:t>
        </w:r>
      </w:hyperlink>
      <w:r>
        <w:t xml:space="preserve">; </w:t>
      </w:r>
      <w:hyperlink r:id="rId8748">
        <w:r>
          <w:rPr>
            <w:color w:val="0000EE"/>
            <w:u w:val="single"/>
          </w:rPr>
          <w:t>Mc 14.3–9</w:t>
        </w:r>
      </w:hyperlink>
      <w:r>
        <w:t xml:space="preserve">; </w:t>
      </w:r>
      <w:hyperlink r:id="rId13955">
        <w:r>
          <w:rPr>
            <w:color w:val="0000EE"/>
            <w:u w:val="single"/>
          </w:rPr>
          <w:t>Jo 12.1–8</w:t>
        </w:r>
      </w:hyperlink>
      <w:r>
        <w:t>).</w:t>
      </w:r>
    </w:p>
    <w:p>
      <w:pPr>
        <w:pStyle w:val="ListNumber"/>
        <w:spacing w:line="240" w:lineRule="auto"/>
        <w:ind w:left="720"/>
      </w:pPr>
      <w:r/>
      <w:r>
        <w:t>Maria, mãe de João Marcos. Esta mulher aparece apenas uma vez nas Escrituras (</w:t>
      </w:r>
      <w:hyperlink r:id="rId11940">
        <w:r>
          <w:rPr>
            <w:color w:val="0000EE"/>
            <w:u w:val="single"/>
          </w:rPr>
          <w:t>At 12.12</w:t>
        </w:r>
      </w:hyperlink>
      <w:r>
        <w:t>). Sua casa era o local de reunião da igreja. Como aparentemente era grande e ela tinha servos, era uma mulher rica. Provavelmente era viúva, já que nenhum marido é mencionado. Em sua casa, a igreja orou por Pedro, e Pedro foi até lá após ser libertado da prisão. Seu filho João Marcos viajou com Paulo e provavelmente com Pedro também.</w:t>
      </w:r>
    </w:p>
    <w:p>
      <w:pPr>
        <w:pStyle w:val="ListNumber"/>
        <w:spacing w:line="240" w:lineRule="auto"/>
        <w:ind w:left="720"/>
      </w:pPr>
      <w:r/>
      <w:r>
        <w:t xml:space="preserve">Maria de Roma. Em </w:t>
      </w:r>
      <w:hyperlink r:id="rId13956">
        <w:r>
          <w:rPr>
            <w:color w:val="0000EE"/>
            <w:u w:val="single"/>
          </w:rPr>
          <w:t>Romanos 16.6</w:t>
        </w:r>
      </w:hyperlink>
      <w:r>
        <w:t>, Paulo saúda uma mulher em Roma chamada simplesmente "Maria, que tem trabalhado muito por vocês". Em algum momento, ela esteve na Grécia ou na Ásia Menor, talvez sendo forçada a sair de Roma com Áquila e Priscila (</w:t>
      </w:r>
      <w:hyperlink r:id="rId3066">
        <w:r>
          <w:rPr>
            <w:color w:val="0000EE"/>
            <w:u w:val="single"/>
          </w:rPr>
          <w:t>At 18.2</w:t>
        </w:r>
      </w:hyperlink>
      <w:r>
        <w:t>; por volta de 49 d.C.). Enquanto estava lá, ela conheceu Paulo. É possível que ela tenha se tornado cristã através dele. Ela trabalhou arduamente com ele em seu trabalho de evangelismo ou cuidando da igreja. Uma data provável para o livro de Romanos é 56 d.C.. Por essa data, ela já havia retornado a Roma. Ela foi honrada pelo elogio que Paulo fez a ela e aos outros que trabalharam com eles vivendo em Roma.</w:t>
      </w:r>
      <w:r/>
      <w:r/>
    </w:p>
    <w:p>
      <w:r/>
    </w:p>
    <w:p>
      <w:pPr>
        <w:pStyle w:val="Heading2"/>
      </w:pPr>
      <w:r>
        <w:t>Marinheiros</w:t>
      </w:r>
      <w:r/>
    </w:p>
    <w:p>
      <w:r/>
      <w:r>
        <w:t>Homens treinados em barcos à vela no mar. O povo de Israel não era geralmente marítimo e limitava suas atividades nas águas do Mar da Galileia e o rio Jordão. Ocasionalmente, eles podem ter tido contato com grandes navios (</w:t>
      </w:r>
      <w:hyperlink r:id="rId13957">
        <w:r>
          <w:rPr>
            <w:color w:val="0000EE"/>
            <w:u w:val="single"/>
          </w:rPr>
          <w:t>Gn 49.13</w:t>
        </w:r>
      </w:hyperlink>
      <w:r>
        <w:t xml:space="preserve">; </w:t>
      </w:r>
      <w:hyperlink r:id="rId2725">
        <w:r>
          <w:rPr>
            <w:color w:val="0000EE"/>
            <w:u w:val="single"/>
          </w:rPr>
          <w:t>Jz 5.17</w:t>
        </w:r>
      </w:hyperlink>
      <w:r>
        <w:t>). Salomão tinha uma frota de navios em Eziom-Geber no Golfo de Acaba (</w:t>
      </w:r>
      <w:hyperlink r:id="rId765">
        <w:r>
          <w:rPr>
            <w:color w:val="0000EE"/>
            <w:u w:val="single"/>
          </w:rPr>
          <w:t>1Rs 9.26–28</w:t>
        </w:r>
      </w:hyperlink>
      <w:r>
        <w:t xml:space="preserve">; </w:t>
      </w:r>
      <w:hyperlink r:id="rId13859">
        <w:r>
          <w:rPr>
            <w:color w:val="0000EE"/>
            <w:u w:val="single"/>
          </w:rPr>
          <w:t>2Cr 8.17–18</w:t>
        </w:r>
      </w:hyperlink>
      <w:r>
        <w:t xml:space="preserve">; </w:t>
      </w:r>
      <w:hyperlink r:id="rId1466">
        <w:r>
          <w:rPr>
            <w:color w:val="0000EE"/>
            <w:u w:val="single"/>
          </w:rPr>
          <w:t>9.21</w:t>
        </w:r>
      </w:hyperlink>
      <w:r>
        <w:t>). Josafá, também, tinha uma frota em Eziom-Geber (</w:t>
      </w:r>
      <w:hyperlink r:id="rId2336">
        <w:r>
          <w:rPr>
            <w:color w:val="0000EE"/>
            <w:u w:val="single"/>
          </w:rPr>
          <w:t>1Rs 22.48</w:t>
        </w:r>
      </w:hyperlink>
      <w:r>
        <w:t xml:space="preserve">; </w:t>
      </w:r>
      <w:hyperlink r:id="rId6191">
        <w:r>
          <w:rPr>
            <w:color w:val="0000EE"/>
            <w:u w:val="single"/>
          </w:rPr>
          <w:t>2Cr 20.35–37</w:t>
        </w:r>
      </w:hyperlink>
      <w:r>
        <w:t>).</w:t>
      </w:r>
    </w:p>
    <w:p>
      <w:r/>
      <w:r>
        <w:t>O NT frequentemente menciona navios e marinheiros — os numerosos barcos de pesca na Galileia (</w:t>
      </w:r>
      <w:hyperlink r:id="rId13958">
        <w:r>
          <w:rPr>
            <w:color w:val="0000EE"/>
            <w:u w:val="single"/>
          </w:rPr>
          <w:t>Mt 14.22</w:t>
        </w:r>
      </w:hyperlink>
      <w:r>
        <w:t xml:space="preserve">; </w:t>
      </w:r>
      <w:hyperlink r:id="rId13959">
        <w:r>
          <w:rPr>
            <w:color w:val="0000EE"/>
            <w:u w:val="single"/>
          </w:rPr>
          <w:t>Mc 1.19</w:t>
        </w:r>
      </w:hyperlink>
      <w:r>
        <w:t xml:space="preserve">; </w:t>
      </w:r>
      <w:hyperlink r:id="rId13960">
        <w:r>
          <w:rPr>
            <w:color w:val="0000EE"/>
            <w:u w:val="single"/>
          </w:rPr>
          <w:t>3.9</w:t>
        </w:r>
      </w:hyperlink>
      <w:r>
        <w:t xml:space="preserve">; </w:t>
      </w:r>
      <w:hyperlink r:id="rId13961">
        <w:r>
          <w:rPr>
            <w:color w:val="0000EE"/>
            <w:u w:val="single"/>
          </w:rPr>
          <w:t>Lc 5.2</w:t>
        </w:r>
      </w:hyperlink>
      <w:r>
        <w:t xml:space="preserve">; </w:t>
      </w:r>
      <w:hyperlink r:id="rId13962">
        <w:r>
          <w:rPr>
            <w:color w:val="0000EE"/>
            <w:u w:val="single"/>
          </w:rPr>
          <w:t>Jo 6.19,22–24</w:t>
        </w:r>
      </w:hyperlink>
      <w:r>
        <w:t xml:space="preserve">; </w:t>
      </w:r>
      <w:hyperlink r:id="rId13963">
        <w:r>
          <w:rPr>
            <w:color w:val="0000EE"/>
            <w:u w:val="single"/>
          </w:rPr>
          <w:t>21.8</w:t>
        </w:r>
      </w:hyperlink>
      <w:r>
        <w:t>) e os grandes navios, como o que Paulo viajou para Roma (</w:t>
      </w:r>
      <w:hyperlink r:id="rId13964">
        <w:r>
          <w:rPr>
            <w:color w:val="0000EE"/>
            <w:u w:val="single"/>
          </w:rPr>
          <w:t>Atos 27.6–44</w:t>
        </w:r>
      </w:hyperlink>
      <w:r>
        <w:t xml:space="preserve">). Marinheiros ou navegadores são mencionados em </w:t>
      </w:r>
      <w:hyperlink r:id="rId427">
        <w:r>
          <w:rPr>
            <w:color w:val="0000EE"/>
            <w:u w:val="single"/>
          </w:rPr>
          <w:t>Atos 27.27,30</w:t>
        </w:r>
      </w:hyperlink>
      <w:r>
        <w:t>. O termo “marinheiro” (NTLH) refere-se a um navegador (</w:t>
      </w:r>
      <w:hyperlink r:id="rId13965">
        <w:r>
          <w:rPr>
            <w:color w:val="0000EE"/>
            <w:u w:val="single"/>
          </w:rPr>
          <w:t>Ez 27.9,27–29</w:t>
        </w:r>
      </w:hyperlink>
      <w:r>
        <w:t xml:space="preserve">; </w:t>
      </w:r>
      <w:hyperlink r:id="rId13196">
        <w:r>
          <w:rPr>
            <w:color w:val="0000EE"/>
            <w:u w:val="single"/>
          </w:rPr>
          <w:t>Jn 1.5</w:t>
        </w:r>
      </w:hyperlink>
      <w:r>
        <w:t>).</w:t>
      </w:r>
    </w:p>
    <w:p>
      <w:r/>
      <w:r>
        <w:rPr>
          <w:i/>
        </w:rPr>
        <w:t>Veja também</w:t>
      </w:r>
      <w:r>
        <w:t xml:space="preserve"> </w:t>
      </w:r>
      <w:r>
        <w:t>Viagem</w:t>
      </w:r>
      <w:r>
        <w:t>.</w:t>
      </w:r>
      <w:r/>
      <w:r/>
    </w:p>
    <w:p>
      <w:r/>
    </w:p>
    <w:p>
      <w:pPr>
        <w:pStyle w:val="Heading2"/>
      </w:pPr>
      <w:r>
        <w:t>Más</w:t>
      </w:r>
      <w:r/>
    </w:p>
    <w:p>
      <w:r/>
      <w:r>
        <w:t>O quarto filho de Arã (</w:t>
      </w:r>
      <w:hyperlink r:id="rId9935">
        <w:r>
          <w:rPr>
            <w:color w:val="0000EE"/>
            <w:u w:val="single"/>
          </w:rPr>
          <w:t>Gn 10.23</w:t>
        </w:r>
      </w:hyperlink>
      <w:r>
        <w:t xml:space="preserve">), um descendente de Sem. Ele é chamado de Mesaque em </w:t>
      </w:r>
      <w:hyperlink r:id="rId2311">
        <w:r>
          <w:rPr>
            <w:color w:val="0000EE"/>
            <w:u w:val="single"/>
          </w:rPr>
          <w:t>1 Crônicas 1.17</w:t>
        </w:r>
      </w:hyperlink>
      <w:r>
        <w:t xml:space="preserve">. </w:t>
      </w:r>
      <w:r>
        <w:rPr>
          <w:i/>
        </w:rPr>
        <w:t>Veja</w:t>
      </w:r>
      <w:r>
        <w:t xml:space="preserve"> </w:t>
      </w:r>
      <w:r>
        <w:t>Mesaque #2</w:t>
      </w:r>
      <w:r>
        <w:t>.</w:t>
      </w:r>
      <w:r/>
      <w:r/>
    </w:p>
    <w:p>
      <w:r/>
    </w:p>
    <w:p>
      <w:pPr>
        <w:pStyle w:val="Heading2"/>
      </w:pPr>
      <w:r>
        <w:t>Masreca</w:t>
      </w:r>
      <w:r/>
    </w:p>
    <w:p>
      <w:r/>
      <w:r>
        <w:t>Lar de um rei edomita chamado Samlá (</w:t>
      </w:r>
      <w:hyperlink r:id="rId13966">
        <w:r>
          <w:rPr>
            <w:color w:val="0000EE"/>
            <w:u w:val="single"/>
          </w:rPr>
          <w:t>Gn 36.36</w:t>
        </w:r>
      </w:hyperlink>
      <w:r>
        <w:t xml:space="preserve">; </w:t>
      </w:r>
      <w:hyperlink r:id="rId13967">
        <w:r>
          <w:rPr>
            <w:color w:val="0000EE"/>
            <w:u w:val="single"/>
          </w:rPr>
          <w:t>1Cr 1.47</w:t>
        </w:r>
      </w:hyperlink>
      <w:r>
        <w:t>).</w:t>
      </w:r>
      <w:r/>
      <w:r/>
    </w:p>
    <w:p>
      <w:r/>
    </w:p>
    <w:p>
      <w:pPr>
        <w:pStyle w:val="Heading2"/>
      </w:pPr>
      <w:r>
        <w:t>Massá</w:t>
      </w:r>
      <w:r/>
    </w:p>
    <w:p>
      <w:r/>
      <w:r>
        <w:t>Sétimo filho de Ismael e neto de Abraão (</w:t>
      </w:r>
      <w:hyperlink r:id="rId621">
        <w:r>
          <w:rPr>
            <w:color w:val="0000EE"/>
            <w:u w:val="single"/>
          </w:rPr>
          <w:t>Gn 25.14</w:t>
        </w:r>
      </w:hyperlink>
      <w:r>
        <w:t xml:space="preserve">; </w:t>
      </w:r>
      <w:hyperlink r:id="rId622">
        <w:r>
          <w:rPr>
            <w:color w:val="0000EE"/>
            <w:u w:val="single"/>
          </w:rPr>
          <w:t>1Cr 1.30</w:t>
        </w:r>
      </w:hyperlink>
      <w:r>
        <w:t xml:space="preserve">). Seus descendentes habitaram o noroeste da Arábia. Tiglate-Pileser III menciona essas pessoas, juntamente com os habitantes de Tema (cf. </w:t>
      </w:r>
      <w:hyperlink r:id="rId10279">
        <w:r>
          <w:rPr>
            <w:color w:val="0000EE"/>
            <w:u w:val="single"/>
          </w:rPr>
          <w:t>Gn 25.15</w:t>
        </w:r>
      </w:hyperlink>
      <w:r>
        <w:t>) e outros que foram governados por ele e lhe pagaram tributo. O povo de Tema provavelmente era descendente do irmão de Massá, Tema.</w:t>
      </w:r>
    </w:p>
    <w:p>
      <w:r/>
      <w:r>
        <w:t xml:space="preserve">A forma Massá faz parte dos títulos de </w:t>
      </w:r>
      <w:hyperlink r:id="rId620">
        <w:r>
          <w:rPr>
            <w:color w:val="0000EE"/>
            <w:u w:val="single"/>
          </w:rPr>
          <w:t>Provérbios 30.1</w:t>
        </w:r>
      </w:hyperlink>
      <w:r>
        <w:t xml:space="preserve"> e </w:t>
      </w:r>
      <w:hyperlink r:id="rId13968">
        <w:r>
          <w:rPr>
            <w:color w:val="0000EE"/>
            <w:u w:val="single"/>
          </w:rPr>
          <w:t>31.1</w:t>
        </w:r>
      </w:hyperlink>
      <w:r>
        <w:t xml:space="preserve">. O artigo definido o precede em </w:t>
      </w:r>
      <w:hyperlink r:id="rId620">
        <w:r>
          <w:rPr>
            <w:color w:val="0000EE"/>
            <w:u w:val="single"/>
          </w:rPr>
          <w:t>30.1</w:t>
        </w:r>
      </w:hyperlink>
      <w:r>
        <w:t xml:space="preserve"> e pode ser traduzido como “as palavras solenes” (NTLH) ou “o oráculo” (ARC). É frequentemente usado em passagens proféticas no sentido ominoso do julgamento iminente de Deus (</w:t>
      </w:r>
      <w:hyperlink r:id="rId13969">
        <w:r>
          <w:rPr>
            <w:color w:val="0000EE"/>
            <w:u w:val="single"/>
          </w:rPr>
          <w:t>Is 13.1</w:t>
        </w:r>
      </w:hyperlink>
      <w:r>
        <w:t xml:space="preserve">; </w:t>
      </w:r>
      <w:hyperlink r:id="rId13970">
        <w:r>
          <w:rPr>
            <w:color w:val="0000EE"/>
            <w:u w:val="single"/>
          </w:rPr>
          <w:t>Na 1.1</w:t>
        </w:r>
      </w:hyperlink>
      <w:r>
        <w:t xml:space="preserve">; </w:t>
      </w:r>
      <w:hyperlink r:id="rId13971">
        <w:r>
          <w:rPr>
            <w:color w:val="0000EE"/>
            <w:u w:val="single"/>
          </w:rPr>
          <w:t>Hb 1.1</w:t>
        </w:r>
      </w:hyperlink>
      <w:r>
        <w:t>).</w:t>
      </w:r>
      <w:r/>
      <w:r/>
    </w:p>
    <w:p>
      <w:r/>
    </w:p>
    <w:p>
      <w:pPr>
        <w:pStyle w:val="Heading2"/>
      </w:pPr>
      <w:r>
        <w:t>Massá e Meribá</w:t>
      </w:r>
      <w:r/>
    </w:p>
    <w:p>
      <w:r/>
      <w:r>
        <w:t xml:space="preserve">Massá e Meribá foram dois lugares onde os israelitas reclamaram por não terem água durante sua jornada pelo deserto. Em hebraico, </w:t>
      </w:r>
      <w:r>
        <w:rPr>
          <w:i/>
        </w:rPr>
        <w:t>Massá</w:t>
      </w:r>
      <w:r>
        <w:t xml:space="preserve"> significa “colocar à prova” e </w:t>
      </w:r>
      <w:r>
        <w:rPr>
          <w:i/>
        </w:rPr>
        <w:t>Meribá</w:t>
      </w:r>
      <w:r>
        <w:t xml:space="preserve"> significa “encontrar falha, contenda” (</w:t>
      </w:r>
      <w:hyperlink r:id="rId13972">
        <w:r>
          <w:rPr>
            <w:color w:val="0000EE"/>
            <w:u w:val="single"/>
          </w:rPr>
          <w:t>Êx 17.7</w:t>
        </w:r>
      </w:hyperlink>
      <w:r>
        <w:t>). Em Refidim, os israelitas não tinham água para beber. Deus disse a Moisés para golpear uma rocha, e dela saiu água. Moisés deu a este lugar dois nomes (Massá e Meribá) porque o povo testou Deus duvidando que Ele proveria para eles.</w:t>
      </w:r>
    </w:p>
    <w:p>
      <w:r/>
      <w:r>
        <w:t>A Bíblia menciona Massá quatro vezes ao falar sobre como os israelitas se rebelaram contra Deus (</w:t>
      </w:r>
      <w:hyperlink r:id="rId3600">
        <w:r>
          <w:rPr>
            <w:color w:val="0000EE"/>
            <w:u w:val="single"/>
          </w:rPr>
          <w:t>Dt 6.16</w:t>
        </w:r>
      </w:hyperlink>
      <w:r>
        <w:t xml:space="preserve">; </w:t>
      </w:r>
      <w:hyperlink r:id="rId13973">
        <w:r>
          <w:rPr>
            <w:color w:val="0000EE"/>
            <w:u w:val="single"/>
          </w:rPr>
          <w:t>9.22</w:t>
        </w:r>
      </w:hyperlink>
      <w:r>
        <w:t xml:space="preserve">; </w:t>
      </w:r>
      <w:hyperlink r:id="rId13974">
        <w:r>
          <w:rPr>
            <w:color w:val="0000EE"/>
            <w:u w:val="single"/>
          </w:rPr>
          <w:t>33.8</w:t>
        </w:r>
      </w:hyperlink>
      <w:r>
        <w:t xml:space="preserve">; </w:t>
      </w:r>
      <w:hyperlink r:id="rId7524">
        <w:r>
          <w:rPr>
            <w:color w:val="0000EE"/>
            <w:u w:val="single"/>
          </w:rPr>
          <w:t>Sl 95.8</w:t>
        </w:r>
      </w:hyperlink>
      <w:r>
        <w:t>).</w:t>
      </w:r>
    </w:p>
    <w:p>
      <w:r/>
      <w:r>
        <w:t xml:space="preserve">Em contraste, </w:t>
      </w:r>
      <w:hyperlink r:id="rId13975">
        <w:r>
          <w:rPr>
            <w:color w:val="0000EE"/>
            <w:u w:val="single"/>
          </w:rPr>
          <w:t>Nm 20.13,24</w:t>
        </w:r>
      </w:hyperlink>
      <w:r>
        <w:t xml:space="preserve">; </w:t>
      </w:r>
      <w:hyperlink r:id="rId13976">
        <w:r>
          <w:rPr>
            <w:color w:val="0000EE"/>
            <w:u w:val="single"/>
          </w:rPr>
          <w:t>27.14</w:t>
        </w:r>
      </w:hyperlink>
      <w:r>
        <w:t xml:space="preserve">; e </w:t>
      </w:r>
      <w:hyperlink r:id="rId3966">
        <w:r>
          <w:rPr>
            <w:color w:val="0000EE"/>
            <w:u w:val="single"/>
          </w:rPr>
          <w:t>Dt 32.51</w:t>
        </w:r>
      </w:hyperlink>
      <w:r>
        <w:t xml:space="preserve"> situam Meribá perto de Cades no deserto de Zim. Lá, Moisés feriu a rocha duas vezes para produzir água. </w:t>
      </w:r>
      <w:hyperlink r:id="rId13977">
        <w:r>
          <w:rPr>
            <w:color w:val="0000EE"/>
            <w:u w:val="single"/>
          </w:rPr>
          <w:t>Sl 81.7</w:t>
        </w:r>
      </w:hyperlink>
      <w:r>
        <w:t xml:space="preserve"> e </w:t>
      </w:r>
      <w:hyperlink r:id="rId13974">
        <w:r>
          <w:rPr>
            <w:color w:val="0000EE"/>
            <w:u w:val="single"/>
          </w:rPr>
          <w:t>Dt 33.8</w:t>
        </w:r>
      </w:hyperlink>
      <w:r>
        <w:t xml:space="preserve"> sugerem que Deus estava testando os israelitas durante esses eventos.</w:t>
      </w:r>
    </w:p>
    <w:p>
      <w:r/>
      <w:r>
        <w:rPr>
          <w:i/>
        </w:rPr>
        <w:t>Veja também</w:t>
      </w:r>
      <w:r>
        <w:t xml:space="preserve"> </w:t>
      </w:r>
      <w:r>
        <w:t>Meribá</w:t>
      </w:r>
      <w:r>
        <w:t>.</w:t>
      </w:r>
      <w:r/>
      <w:r/>
    </w:p>
    <w:p>
      <w:r/>
    </w:p>
    <w:p>
      <w:pPr>
        <w:pStyle w:val="Heading2"/>
      </w:pPr>
      <w:r>
        <w:t>Matana</w:t>
      </w:r>
      <w:r/>
    </w:p>
    <w:p>
      <w:r/>
      <w:r>
        <w:t>Em algumas Bíblias em português, a grafia é "Mataná". Um lugar onde os israelitas acamparam depois que Deus os tirou do Egito. Eles vieram aqui enquanto viajavam para o norte ao longo do lado leste do Mar Morto, movendo-se do rio Arnom em direção à terra governada por Seom, o rei dos amorreus (</w:t>
      </w:r>
      <w:hyperlink r:id="rId13978">
        <w:r>
          <w:rPr>
            <w:color w:val="0000EE"/>
            <w:u w:val="single"/>
          </w:rPr>
          <w:t>Nm 21.18–19</w:t>
        </w:r>
      </w:hyperlink>
      <w:r>
        <w:t>). Hoje, não sabemos exatamente onde ficava Matana, mas é provável que seja em um lugar agora chamado Khirbet el-Medeiyineh, perto de um vale chamado Wadi eth-Themed.</w:t>
      </w:r>
      <w:r/>
      <w:r/>
    </w:p>
    <w:p>
      <w:r/>
    </w:p>
    <w:p>
      <w:pPr>
        <w:pStyle w:val="Heading2"/>
      </w:pPr>
      <w:r>
        <w:t>Mateus (Pessoa)</w:t>
      </w:r>
      <w:r/>
    </w:p>
    <w:p>
      <w:r/>
      <w:r>
        <w:t>Filho de Alfeu; um cobrador de impostos por profissão; escolhido por Jesus para ser um dos 12 apóstolos; creditado com a autoria do Evangelho de Mateus.</w:t>
      </w:r>
    </w:p>
    <w:p>
      <w:r/>
      <w:r>
        <w:t>Mateus está listado em cada uma das quatro listas dos 12 (</w:t>
      </w:r>
      <w:hyperlink r:id="rId747">
        <w:r>
          <w:rPr>
            <w:color w:val="0000EE"/>
            <w:u w:val="single"/>
          </w:rPr>
          <w:t>Mt 10.3</w:t>
        </w:r>
      </w:hyperlink>
      <w:r>
        <w:t xml:space="preserve">; </w:t>
      </w:r>
      <w:hyperlink r:id="rId748">
        <w:r>
          <w:rPr>
            <w:color w:val="0000EE"/>
            <w:u w:val="single"/>
          </w:rPr>
          <w:t>Mc 3.18</w:t>
        </w:r>
      </w:hyperlink>
      <w:r>
        <w:t xml:space="preserve">; </w:t>
      </w:r>
      <w:hyperlink r:id="rId749">
        <w:r>
          <w:rPr>
            <w:color w:val="0000EE"/>
            <w:u w:val="single"/>
          </w:rPr>
          <w:t>Lc 6.15</w:t>
        </w:r>
      </w:hyperlink>
      <w:r>
        <w:t xml:space="preserve">; </w:t>
      </w:r>
      <w:hyperlink r:id="rId750">
        <w:r>
          <w:rPr>
            <w:color w:val="0000EE"/>
            <w:u w:val="single"/>
          </w:rPr>
          <w:t>At 1.13</w:t>
        </w:r>
      </w:hyperlink>
      <w:r>
        <w:t>). Além dessas listas, Mateus é mencionado apenas no relato de seu chamado (</w:t>
      </w:r>
      <w:hyperlink r:id="rId753">
        <w:r>
          <w:rPr>
            <w:color w:val="0000EE"/>
            <w:u w:val="single"/>
          </w:rPr>
          <w:t>Mt 9.9</w:t>
        </w:r>
      </w:hyperlink>
      <w:r>
        <w:t xml:space="preserve">; </w:t>
      </w:r>
      <w:hyperlink r:id="rId11717">
        <w:r>
          <w:rPr>
            <w:color w:val="0000EE"/>
            <w:u w:val="single"/>
          </w:rPr>
          <w:t>Mc 2.13–14</w:t>
        </w:r>
      </w:hyperlink>
      <w:r>
        <w:t xml:space="preserve">; </w:t>
      </w:r>
      <w:hyperlink r:id="rId3983">
        <w:r>
          <w:rPr>
            <w:color w:val="0000EE"/>
            <w:u w:val="single"/>
          </w:rPr>
          <w:t>Lc 5.27</w:t>
        </w:r>
      </w:hyperlink>
      <w:r>
        <w:t>). Antes de seu chamado apostólico, os Evangelhos se referem a Mateus como Levi (</w:t>
      </w:r>
      <w:hyperlink r:id="rId752">
        <w:r>
          <w:rPr>
            <w:color w:val="0000EE"/>
            <w:u w:val="single"/>
          </w:rPr>
          <w:t>Mc 2.14</w:t>
        </w:r>
      </w:hyperlink>
      <w:r>
        <w:t xml:space="preserve">; </w:t>
      </w:r>
      <w:hyperlink r:id="rId3983">
        <w:r>
          <w:rPr>
            <w:color w:val="0000EE"/>
            <w:u w:val="single"/>
          </w:rPr>
          <w:t>Lc 5.27</w:t>
        </w:r>
      </w:hyperlink>
      <w:r>
        <w:t xml:space="preserve">; compare com </w:t>
      </w:r>
      <w:hyperlink r:id="rId753">
        <w:r>
          <w:rPr>
            <w:color w:val="0000EE"/>
            <w:u w:val="single"/>
          </w:rPr>
          <w:t>Mt 9.9</w:t>
        </w:r>
      </w:hyperlink>
      <w:r>
        <w:t>). A identificação de Levi como Mateus não deixa sombra de dúvida. É improvável que Mateus fosse o irmão de Tiago, o Menor, cujo pai também chamava Alfeu (</w:t>
      </w:r>
      <w:hyperlink r:id="rId747">
        <w:r>
          <w:rPr>
            <w:color w:val="0000EE"/>
            <w:u w:val="single"/>
          </w:rPr>
          <w:t>Mt 10.3</w:t>
        </w:r>
      </w:hyperlink>
      <w:r>
        <w:t>), uma vez que este fato teria sido mencionado no registro das Escrituras, como é nos casos de Pedro e André e os filhos de Zebedeu.</w:t>
      </w:r>
    </w:p>
    <w:p>
      <w:r/>
      <w:r>
        <w:t>Mateus serviu ao rei Herodes Antipas em Cafarnaum da Galileia, coletando tarifas sobre mercadorias que atravessavam a estrada de Damasco para o Mar Mediterrâneo. Para trabalhar nesta capacidade, Mateus teria sido um homem educado, familiarizado com a língua grega, bem como o aramaico nativo, qualificando-o assim para escrever o Evangelho de Mateus. Como cobrador de impostos, Mateus pode ter sido um homem de riqueza, mas esta profissão também o fez ser desprezado pelos judeus e considerado entre as pessoas mais baixas. Os fariseus consistentemente colocavam os cobradores de impostos no mesmo nível dos pecadores (</w:t>
      </w:r>
      <w:hyperlink r:id="rId5093">
        <w:r>
          <w:rPr>
            <w:color w:val="0000EE"/>
            <w:u w:val="single"/>
          </w:rPr>
          <w:t>Mt 11.19</w:t>
        </w:r>
      </w:hyperlink>
      <w:r>
        <w:t xml:space="preserve">; </w:t>
      </w:r>
      <w:hyperlink r:id="rId13979">
        <w:r>
          <w:rPr>
            <w:color w:val="0000EE"/>
            <w:u w:val="single"/>
          </w:rPr>
          <w:t>Mc 2.16</w:t>
        </w:r>
      </w:hyperlink>
      <w:r>
        <w:t xml:space="preserve">; </w:t>
      </w:r>
      <w:hyperlink r:id="rId6716">
        <w:r>
          <w:rPr>
            <w:color w:val="0000EE"/>
            <w:u w:val="single"/>
          </w:rPr>
          <w:t>Lc 7.34</w:t>
        </w:r>
      </w:hyperlink>
      <w:r>
        <w:t xml:space="preserve">; </w:t>
      </w:r>
      <w:hyperlink r:id="rId13980">
        <w:r>
          <w:rPr>
            <w:color w:val="0000EE"/>
            <w:u w:val="single"/>
          </w:rPr>
          <w:t>15.1</w:t>
        </w:r>
      </w:hyperlink>
      <w:r>
        <w:t>).</w:t>
      </w:r>
    </w:p>
    <w:p>
      <w:r/>
      <w:r>
        <w:t>Mateus foi chamado enquanto ele estava trabalhando em sua cabine de coletoria de impostos. Jesus passou pela estrada e disse-lhe: “Segue-me” (</w:t>
      </w:r>
      <w:hyperlink r:id="rId752">
        <w:r>
          <w:rPr>
            <w:color w:val="0000EE"/>
            <w:u w:val="single"/>
          </w:rPr>
          <w:t>Mc 2.14</w:t>
        </w:r>
      </w:hyperlink>
      <w:r>
        <w:t>). Mateus deixou tudo e o fez (</w:t>
      </w:r>
      <w:hyperlink r:id="rId13981">
        <w:r>
          <w:rPr>
            <w:color w:val="0000EE"/>
            <w:u w:val="single"/>
          </w:rPr>
          <w:t>Lc 5.28</w:t>
        </w:r>
      </w:hyperlink>
      <w:r>
        <w:t>). Imediatamente, ele deu a Jesus um grande banquete em sua casa, e uma grande multidão de seus colegas cobradores de impostos e outros estavam lá para apreciá-lo. Foi nesta festa que os fariseus e seus escribas fizeram a conhecida queixa “Por que vocês comem e bebem com cobradores de impostos e pecadores?” (</w:t>
      </w:r>
      <w:hyperlink r:id="rId5095">
        <w:r>
          <w:rPr>
            <w:color w:val="0000EE"/>
            <w:u w:val="single"/>
          </w:rPr>
          <w:t>Lc 5.30</w:t>
        </w:r>
      </w:hyperlink>
      <w:r>
        <w:t>, essa informação está numa nota de rodapé da Bíblia em inglês NLT).</w:t>
      </w:r>
    </w:p>
    <w:p>
      <w:r/>
      <w:r>
        <w:t>Não é certo quando Mateus foi chamado, mas é provável que os primeiros seis discípulos estivessem presentes naquele dia, uma vez que os fariseus se queixaram com os discípulos de Cristo durante a festa de Mateus. Ao contrário dos primeiros homens que Jesus chamou, Mateus não era originalmente um seguidor de João Batista.</w:t>
      </w:r>
      <w:r/>
      <w:r/>
    </w:p>
    <w:p>
      <w:r/>
    </w:p>
    <w:p>
      <w:pPr>
        <w:pStyle w:val="Heading2"/>
      </w:pPr>
      <w:r>
        <w:t>Mateus, Evangelho De</w:t>
      </w:r>
      <w:r/>
    </w:p>
    <w:p>
      <w:r/>
      <w:r>
        <w:t>Primeiro Evangelho e primeiro livro do NT.</w:t>
      </w:r>
    </w:p>
    <w:p>
      <w:r/>
      <w:r>
        <w:t>Resumo</w:t>
      </w:r>
    </w:p>
    <w:p>
      <w:r/>
      <w:r>
        <w:t>• Autor</w:t>
      </w:r>
    </w:p>
    <w:p>
      <w:r/>
      <w:r>
        <w:t>• Data e Origem</w:t>
      </w:r>
    </w:p>
    <w:p>
      <w:r/>
      <w:r>
        <w:t>• Propósito</w:t>
      </w:r>
    </w:p>
    <w:p>
      <w:r/>
      <w:r>
        <w:t>• Conteúdo</w:t>
      </w:r>
    </w:p>
    <w:p>
      <w:pPr>
        <w:pStyle w:val="Heading3"/>
      </w:pPr>
      <w:r>
        <w:t>Autor</w:t>
      </w:r>
    </w:p>
    <w:p>
      <w:r/>
      <w:r>
        <w:t xml:space="preserve">Em lugar algum o texto de Mateus identifica claramente o autor. No entanto, assim como a igreja antiga, podemos atribuir a autoria a Mateus, o apóstolo. Ele era conhecido como Levi (veja </w:t>
      </w:r>
      <w:hyperlink r:id="rId752">
        <w:r>
          <w:rPr>
            <w:color w:val="0000EE"/>
            <w:u w:val="single"/>
          </w:rPr>
          <w:t>Mc 2.14</w:t>
        </w:r>
      </w:hyperlink>
      <w:r>
        <w:t xml:space="preserve">; </w:t>
      </w:r>
      <w:hyperlink r:id="rId3983">
        <w:r>
          <w:rPr>
            <w:color w:val="0000EE"/>
            <w:u w:val="single"/>
          </w:rPr>
          <w:t>Lc 5.27,29</w:t>
        </w:r>
      </w:hyperlink>
      <w:r>
        <w:t>). Antes de Jesus o chamar, ele era um cobrador de impostos (</w:t>
      </w:r>
      <w:hyperlink r:id="rId13982">
        <w:r>
          <w:rPr>
            <w:color w:val="0000EE"/>
            <w:u w:val="single"/>
          </w:rPr>
          <w:t>Mt 9.9ss</w:t>
        </w:r>
      </w:hyperlink>
      <w:r>
        <w:t>). É interessante notar que Mateus se chamou de cobrador de impostos, enquanto nenhum dos outros escritores dos Evangelhos o fez. Talvez ele tenha feito isso para mostrar quão grande ascendência lhe foi concedida quando o Senhor o chamou, pois os cobradores de impostos eram desprezados e considerados as pessoas mais baixas. O próprio Evangelho carrega a impressão de um conhecedor de moeda, pois o escritor do Evangelho fala especificamente sobre um imposto de duas dracmas (</w:t>
      </w:r>
      <w:hyperlink r:id="rId3069">
        <w:r>
          <w:rPr>
            <w:color w:val="0000EE"/>
            <w:u w:val="single"/>
          </w:rPr>
          <w:t>Mt 17.24</w:t>
        </w:r>
      </w:hyperlink>
      <w:r>
        <w:t xml:space="preserve">), uma moeda de quatro dracmas (v. </w:t>
      </w:r>
      <w:hyperlink r:id="rId1655">
        <w:r>
          <w:rPr>
            <w:color w:val="0000EE"/>
            <w:u w:val="single"/>
          </w:rPr>
          <w:t>27</w:t>
        </w:r>
      </w:hyperlink>
      <w:r>
        <w:t>) e os vários talentos (</w:t>
      </w:r>
      <w:hyperlink r:id="rId13983">
        <w:r>
          <w:rPr>
            <w:color w:val="0000EE"/>
            <w:u w:val="single"/>
          </w:rPr>
          <w:t>18.24</w:t>
        </w:r>
      </w:hyperlink>
      <w:r>
        <w:t xml:space="preserve">; </w:t>
      </w:r>
      <w:hyperlink r:id="rId13984">
        <w:r>
          <w:rPr>
            <w:color w:val="0000EE"/>
            <w:u w:val="single"/>
          </w:rPr>
          <w:t>25.15ss</w:t>
        </w:r>
      </w:hyperlink>
      <w:r>
        <w:t>).</w:t>
      </w:r>
    </w:p>
    <w:p>
      <w:pPr>
        <w:pStyle w:val="Heading3"/>
      </w:pPr>
      <w:r>
        <w:t>Data e Procedência</w:t>
      </w:r>
    </w:p>
    <w:p>
      <w:r/>
      <w:r>
        <w:t>Os estudiosos estão divididos sobre a data em que Mateus foi escrito principalmente porque ainda há debate sobre qual Evangelho foi escrito primeiro: Mateus ou Marcos. Se Marcos foi escrito antes de Mateus, então Mateus estava muito endividado com Marcos por uma grande quantidade de material, e vice-versa. Aqueles que argumentam a favor da prioridade de Mateus o fazem com base em que o Evangelho de Mateus foi (1) reconhecido na igreja primitiva como o primeiro Evangelho, (2) escrito para aqueles que primeiro precisavam de um relato escrito — os judeus, e (3) colocado em primeiro lugar no cânon do NT. Se precedeu ou veio depois de Marcos, a maioria dos estudiosos está certa de que foi escrito antes da destruição de Jerusalém (70 d.C.) porque o templo é mencionado como ainda de pé (</w:t>
      </w:r>
      <w:hyperlink r:id="rId6528">
        <w:r>
          <w:rPr>
            <w:color w:val="0000EE"/>
            <w:u w:val="single"/>
          </w:rPr>
          <w:t>Mt 24.15</w:t>
        </w:r>
      </w:hyperlink>
      <w:r>
        <w:t>). Irineu indicou que Mateus escreveu este Evangelho enquanto Pedro e Paulo estavam em Roma. Isso faria o tempo da composição nos anos 60.</w:t>
      </w:r>
    </w:p>
    <w:p>
      <w:pPr>
        <w:pStyle w:val="Heading3"/>
      </w:pPr>
      <w:r>
        <w:t>Propósito</w:t>
      </w:r>
    </w:p>
    <w:p>
      <w:pPr>
        <w:pStyle w:val="Heading4"/>
      </w:pPr>
      <w:r>
        <w:t>Apologética</w:t>
      </w:r>
    </w:p>
    <w:p>
      <w:r/>
      <w:r>
        <w:t>Mateus escreveu para uma comunidade de cristãos judeus de língua grega, localizada em um centro como Antioquia na Síria. A comunidade foi cercada e assediada por judeus hostis às reivindicações de Jesus e da comunidade cristã.</w:t>
      </w:r>
    </w:p>
    <w:p>
      <w:r/>
      <w:r>
        <w:t>Mateus escreveu como um judeu para judeus. Em Jesus de Nazaré, Mateus afirma, o AT alcançou seu objetivo designado. Jesus é o Messias da expectativa de Israel. No capítulo de abertura, Mateus o identifica como “o filho de Davi, o filho de Abraão” (</w:t>
      </w:r>
      <w:hyperlink r:id="rId817">
        <w:r>
          <w:rPr>
            <w:color w:val="0000EE"/>
            <w:u w:val="single"/>
          </w:rPr>
          <w:t>1.1</w:t>
        </w:r>
      </w:hyperlink>
      <w:r>
        <w:t xml:space="preserve">), de fato como “Deus conosco” (v. </w:t>
      </w:r>
      <w:hyperlink r:id="rId3590">
        <w:r>
          <w:rPr>
            <w:color w:val="0000EE"/>
            <w:u w:val="single"/>
          </w:rPr>
          <w:t>23</w:t>
        </w:r>
      </w:hyperlink>
      <w:r>
        <w:t xml:space="preserve">). Em capítulos posteriores, Jesus é revelado como o Filho do Homem de </w:t>
      </w:r>
      <w:hyperlink r:id="rId3470">
        <w:r>
          <w:rPr>
            <w:color w:val="0000EE"/>
            <w:u w:val="single"/>
          </w:rPr>
          <w:t>Daniel 7</w:t>
        </w:r>
      </w:hyperlink>
      <w:r>
        <w:t xml:space="preserve"> e o Servo Sofredor de </w:t>
      </w:r>
      <w:hyperlink r:id="rId3618">
        <w:r>
          <w:rPr>
            <w:color w:val="0000EE"/>
            <w:u w:val="single"/>
          </w:rPr>
          <w:t>Isaías 53</w:t>
        </w:r>
      </w:hyperlink>
      <w:r>
        <w:t>. Ao longo do livro (</w:t>
      </w:r>
      <w:hyperlink r:id="rId13985">
        <w:r>
          <w:rPr>
            <w:color w:val="0000EE"/>
            <w:u w:val="single"/>
          </w:rPr>
          <w:t>Mt 1.22–27.10</w:t>
        </w:r>
      </w:hyperlink>
      <w:r>
        <w:t>), os eventos da vida de Jesus são representados como o “cumprimento” das profecias do AT. Ele vem para oferecer a salvação do pecado a Israel (</w:t>
      </w:r>
      <w:hyperlink r:id="rId8705">
        <w:r>
          <w:rPr>
            <w:color w:val="0000EE"/>
            <w:u w:val="single"/>
          </w:rPr>
          <w:t>1.21</w:t>
        </w:r>
      </w:hyperlink>
      <w:r>
        <w:t>). No entanto, os judeus o rejeitaram como seu Messias, e assim se colocaram na posição mais perigosa (</w:t>
      </w:r>
      <w:hyperlink r:id="rId8712">
        <w:r>
          <w:rPr>
            <w:color w:val="0000EE"/>
            <w:u w:val="single"/>
          </w:rPr>
          <w:t>11.20–24</w:t>
        </w:r>
      </w:hyperlink>
      <w:r>
        <w:t xml:space="preserve">; </w:t>
      </w:r>
      <w:hyperlink r:id="rId13986">
        <w:r>
          <w:rPr>
            <w:color w:val="0000EE"/>
            <w:u w:val="single"/>
          </w:rPr>
          <w:t>21.33–46</w:t>
        </w:r>
      </w:hyperlink>
      <w:r>
        <w:t xml:space="preserve">). Uma explicação para a rejeição de Israel a Jesus é o fracasso da liderança religiosa judaica em preparar as pessoas para sua vinda. Na linguagem mais forte, Mateus denuncia os mestres da lei e os fariseus. Eles abandonaram a Palavra de Deus em favor de suas próprias tradições (cap. </w:t>
      </w:r>
      <w:hyperlink r:id="rId13987">
        <w:r>
          <w:rPr>
            <w:color w:val="0000EE"/>
            <w:u w:val="single"/>
          </w:rPr>
          <w:t>15</w:t>
        </w:r>
      </w:hyperlink>
      <w:r>
        <w:t>).</w:t>
      </w:r>
    </w:p>
    <w:p>
      <w:pPr>
        <w:pStyle w:val="Heading4"/>
      </w:pPr>
      <w:r>
        <w:t>Ensinando a Igreja</w:t>
      </w:r>
    </w:p>
    <w:p>
      <w:r/>
      <w:r>
        <w:t xml:space="preserve">Mateus também escreveu como cristão para cristãos. Ele apresenta Jesus como um novo Moisés, de fato como Yahweh encarnado, expondo sua própria lei para seu povo (cap. </w:t>
      </w:r>
      <w:hyperlink r:id="rId13834">
        <w:r>
          <w:rPr>
            <w:color w:val="0000EE"/>
            <w:u w:val="single"/>
          </w:rPr>
          <w:t>5</w:t>
        </w:r>
      </w:hyperlink>
      <w:r>
        <w:t>), agora recém-constituído em torno de sua pessoa sob a liderança dos apóstolos (</w:t>
      </w:r>
      <w:hyperlink r:id="rId1443">
        <w:r>
          <w:rPr>
            <w:color w:val="0000EE"/>
            <w:u w:val="single"/>
          </w:rPr>
          <w:t>10.2–4</w:t>
        </w:r>
      </w:hyperlink>
      <w:r>
        <w:t xml:space="preserve">; </w:t>
      </w:r>
      <w:hyperlink r:id="rId13988">
        <w:r>
          <w:rPr>
            <w:color w:val="0000EE"/>
            <w:u w:val="single"/>
          </w:rPr>
          <w:t>16.18–19</w:t>
        </w:r>
      </w:hyperlink>
      <w:r>
        <w:t xml:space="preserve">; </w:t>
      </w:r>
      <w:hyperlink r:id="rId13989">
        <w:r>
          <w:rPr>
            <w:color w:val="0000EE"/>
            <w:u w:val="single"/>
          </w:rPr>
          <w:t>23.8–10</w:t>
        </w:r>
      </w:hyperlink>
      <w:r>
        <w:t xml:space="preserve">). Se a igreja cristã quiser funcionar corretamente, o ensino do Messias sobre uma série de questões morais e espirituais deve ser tomado com a máxima seriedade (caps. </w:t>
      </w:r>
      <w:hyperlink r:id="rId6404">
        <w:r>
          <w:rPr>
            <w:color w:val="0000EE"/>
            <w:u w:val="single"/>
          </w:rPr>
          <w:t>5–7</w:t>
        </w:r>
      </w:hyperlink>
      <w:r>
        <w:t xml:space="preserve">, </w:t>
      </w:r>
      <w:hyperlink r:id="rId13990">
        <w:r>
          <w:rPr>
            <w:color w:val="0000EE"/>
            <w:u w:val="single"/>
          </w:rPr>
          <w:t>18</w:t>
        </w:r>
      </w:hyperlink>
      <w:r>
        <w:t xml:space="preserve">). Para ajudar a este propósito, Mateus toma a forma de um livro teológico ou um manual para a igreja, para instruir o povo de Deus sobre a pessoa e a obra de Jesus. Que esses ensinamentos podem ser mais pronta e firmemente compreendidos, Mateus os apresenta de uma maneira altamente organizada e memorável. Para facilitar o aprendizado do material, ele organiza os ensinamentos de Jesus em cinco grandes discursos (interligados com porções narrativas) nos quais ensinamentos do mesmo tipo são agrupados (p. ex., cap. </w:t>
      </w:r>
      <w:hyperlink r:id="rId13991">
        <w:r>
          <w:rPr>
            <w:color w:val="0000EE"/>
            <w:u w:val="single"/>
          </w:rPr>
          <w:t>10</w:t>
        </w:r>
      </w:hyperlink>
      <w:r>
        <w:t xml:space="preserve"> consiste em uma incumbência aos missionários, e o capítulo </w:t>
      </w:r>
      <w:hyperlink r:id="rId11744">
        <w:r>
          <w:rPr>
            <w:color w:val="0000EE"/>
            <w:u w:val="single"/>
          </w:rPr>
          <w:t>13</w:t>
        </w:r>
      </w:hyperlink>
      <w:r>
        <w:t xml:space="preserve"> consiste em sete parábolas do reino). Os principais temas teológicos de Mateus podem ser identificados como o </w:t>
      </w:r>
      <w:r>
        <w:rPr>
          <w:i/>
        </w:rPr>
        <w:t>Filho</w:t>
      </w:r>
      <w:r>
        <w:t xml:space="preserve"> de Deus (Jesus é Yahweh encarnado, “Deus conosco”), o </w:t>
      </w:r>
      <w:r>
        <w:rPr>
          <w:i/>
        </w:rPr>
        <w:t>reino</w:t>
      </w:r>
      <w:r>
        <w:t xml:space="preserve"> de Deus (em Jesus, Deus está invadindo a história para inaugurar seu governo final), a </w:t>
      </w:r>
      <w:r>
        <w:rPr>
          <w:i/>
        </w:rPr>
        <w:t>salvação</w:t>
      </w:r>
      <w:r>
        <w:t xml:space="preserve"> de Deus (como o rei-servo, Jesus veio para “salvar seu povo de seus pecados”, </w:t>
      </w:r>
      <w:hyperlink r:id="rId8705">
        <w:r>
          <w:rPr>
            <w:color w:val="0000EE"/>
            <w:u w:val="single"/>
          </w:rPr>
          <w:t>1.21</w:t>
        </w:r>
      </w:hyperlink>
      <w:r>
        <w:t xml:space="preserve">) e o </w:t>
      </w:r>
      <w:r>
        <w:rPr>
          <w:i/>
        </w:rPr>
        <w:t>povo</w:t>
      </w:r>
      <w:r>
        <w:t xml:space="preserve"> de Deus (Jesus veio para construir sua igreja, uma comunidade redimida composta de judeus e gentios).</w:t>
      </w:r>
    </w:p>
    <w:p>
      <w:pPr>
        <w:pStyle w:val="Heading3"/>
      </w:pPr>
      <w:r>
        <w:t>Conteúdo</w:t>
      </w:r>
    </w:p>
    <w:p>
      <w:pPr>
        <w:pStyle w:val="Heading4"/>
      </w:pPr>
      <w:r>
        <w:t>A Vinda do Salvador (1.1–2.23)</w:t>
      </w:r>
    </w:p>
    <w:p>
      <w:r/>
      <w:r>
        <w:t>Seu nome revela sua missão: “Jesus” (</w:t>
      </w:r>
      <w:hyperlink r:id="rId817">
        <w:r>
          <w:rPr>
            <w:color w:val="0000EE"/>
            <w:u w:val="single"/>
          </w:rPr>
          <w:t>1.1</w:t>
        </w:r>
      </w:hyperlink>
      <w:r>
        <w:t>) significa “Yahweh salva”. Ele é “o filho de Abraão”, que vem para realizar as antigas promessas de Deus aos judeus e gentios (</w:t>
      </w:r>
      <w:hyperlink r:id="rId162">
        <w:r>
          <w:rPr>
            <w:color w:val="0000EE"/>
            <w:u w:val="single"/>
          </w:rPr>
          <w:t>Gn 12.1–3</w:t>
        </w:r>
      </w:hyperlink>
      <w:r>
        <w:t>). Ele é “Cristo [ou Messias]”, o filho de Davi (</w:t>
      </w:r>
      <w:hyperlink r:id="rId817">
        <w:r>
          <w:rPr>
            <w:color w:val="0000EE"/>
            <w:u w:val="single"/>
          </w:rPr>
          <w:t>Mt 1.1</w:t>
        </w:r>
      </w:hyperlink>
      <w:r>
        <w:t>), que vem para inaugurar o reino de Deus (</w:t>
      </w:r>
      <w:hyperlink r:id="rId5477">
        <w:r>
          <w:rPr>
            <w:color w:val="0000EE"/>
            <w:u w:val="single"/>
          </w:rPr>
          <w:t>4.17</w:t>
        </w:r>
      </w:hyperlink>
      <w:r>
        <w:t>). Mais do que isso, como evidenciado tanto pela profecia (</w:t>
      </w:r>
      <w:hyperlink r:id="rId13992">
        <w:r>
          <w:rPr>
            <w:color w:val="0000EE"/>
            <w:u w:val="single"/>
          </w:rPr>
          <w:t>1.22–23</w:t>
        </w:r>
      </w:hyperlink>
      <w:r>
        <w:t xml:space="preserve">) quanto pela natureza de sua concepção (vv. </w:t>
      </w:r>
      <w:hyperlink r:id="rId13993">
        <w:r>
          <w:rPr>
            <w:color w:val="0000EE"/>
            <w:u w:val="single"/>
          </w:rPr>
          <w:t>18–20</w:t>
        </w:r>
      </w:hyperlink>
      <w:r>
        <w:t xml:space="preserve">), ele é “Deus conosco” — que agora vem para “salvar seu povo de seus pecados” (v. </w:t>
      </w:r>
      <w:hyperlink r:id="rId8705">
        <w:r>
          <w:rPr>
            <w:color w:val="0000EE"/>
            <w:u w:val="single"/>
          </w:rPr>
          <w:t>21</w:t>
        </w:r>
      </w:hyperlink>
      <w:r>
        <w:t>). Como filho de Davi, e de acordo com a profecia, ele nasce em Belém (</w:t>
      </w:r>
      <w:hyperlink r:id="rId13994">
        <w:r>
          <w:rPr>
            <w:color w:val="0000EE"/>
            <w:u w:val="single"/>
          </w:rPr>
          <w:t>2.1–6</w:t>
        </w:r>
      </w:hyperlink>
      <w:r>
        <w:t xml:space="preserve">). Atraídos pela estrela do Messias de Israel (cf. </w:t>
      </w:r>
      <w:hyperlink r:id="rId2807">
        <w:r>
          <w:rPr>
            <w:color w:val="0000EE"/>
            <w:u w:val="single"/>
          </w:rPr>
          <w:t>Nm 24.17</w:t>
        </w:r>
      </w:hyperlink>
      <w:r>
        <w:t>), os gentios vêm para adorá-lo (</w:t>
      </w:r>
      <w:hyperlink r:id="rId11694">
        <w:r>
          <w:rPr>
            <w:color w:val="0000EE"/>
            <w:u w:val="single"/>
          </w:rPr>
          <w:t>Mt 2.1–12</w:t>
        </w:r>
      </w:hyperlink>
      <w:r>
        <w:t xml:space="preserve">). Quando Herodes busca destruí-lo, Jesus encontra refúgio em uma terra gentia; o chamado de Deus de seu Filho do Egito marca o início de uma poderosa obra salvadora — nada menos do que um novo êxodo sob Jesus, o novo Moisés (vv. </w:t>
      </w:r>
      <w:hyperlink r:id="rId13995">
        <w:r>
          <w:rPr>
            <w:color w:val="0000EE"/>
            <w:u w:val="single"/>
          </w:rPr>
          <w:t>13–20</w:t>
        </w:r>
      </w:hyperlink>
      <w:r>
        <w:t xml:space="preserve">). Tendo nascido na mais humilde das circunstâncias, Jesus agora vem viver em Nazaré (vv. </w:t>
      </w:r>
      <w:hyperlink r:id="rId13996">
        <w:r>
          <w:rPr>
            <w:color w:val="0000EE"/>
            <w:u w:val="single"/>
          </w:rPr>
          <w:t>21–23</w:t>
        </w:r>
      </w:hyperlink>
      <w:r>
        <w:t>).</w:t>
      </w:r>
    </w:p>
    <w:p>
      <w:pPr>
        <w:pStyle w:val="Heading4"/>
      </w:pPr>
      <w:r>
        <w:t>Os começos do ministério (3.1–4.25)</w:t>
      </w:r>
    </w:p>
    <w:p>
      <w:r/>
      <w:r>
        <w:t>Em face do julgamento que Jesus está prestes a realizar (como evidência da chegada do reino), João Batista chama Israel ao arrependimento (</w:t>
      </w:r>
      <w:hyperlink r:id="rId13997">
        <w:r>
          <w:rPr>
            <w:color w:val="0000EE"/>
            <w:u w:val="single"/>
          </w:rPr>
          <w:t>3.1–12</w:t>
        </w:r>
      </w:hyperlink>
      <w:r>
        <w:t xml:space="preserve">). A submissão de Jesus ao batismo de João, e a voz do céu, mostram-no como um Rei que serve aos seus súditos tomando seus pecados sobre si (vv. </w:t>
      </w:r>
      <w:hyperlink r:id="rId13998">
        <w:r>
          <w:rPr>
            <w:color w:val="0000EE"/>
            <w:u w:val="single"/>
          </w:rPr>
          <w:t>13–17</w:t>
        </w:r>
      </w:hyperlink>
      <w:r>
        <w:t>). Como Israel no êxodo, Jesus é levado para o deserto para um período de testes (</w:t>
      </w:r>
      <w:hyperlink r:id="rId8400">
        <w:r>
          <w:rPr>
            <w:color w:val="0000EE"/>
            <w:u w:val="single"/>
          </w:rPr>
          <w:t>4.1</w:t>
        </w:r>
      </w:hyperlink>
      <w:r>
        <w:t xml:space="preserve">). Quando o diabo busca afastá-lo tanto de Deus quanto de sua missão designada, Jesus vence dependendo de Deus e de sua Palavra (vv. </w:t>
      </w:r>
      <w:hyperlink r:id="rId13999">
        <w:r>
          <w:rPr>
            <w:color w:val="0000EE"/>
            <w:u w:val="single"/>
          </w:rPr>
          <w:t>1–11</w:t>
        </w:r>
      </w:hyperlink>
      <w:r>
        <w:t xml:space="preserve">). Voltando para a Galileia, Jesus deliberadamente se estabelece em território com habitantes judeus e gentios (vv. </w:t>
      </w:r>
      <w:hyperlink r:id="rId14000">
        <w:r>
          <w:rPr>
            <w:color w:val="0000EE"/>
            <w:u w:val="single"/>
          </w:rPr>
          <w:t>12–16</w:t>
        </w:r>
      </w:hyperlink>
      <w:r>
        <w:t xml:space="preserve">) e começa um ministério de pregação (como João, ele chama para o arrependimento diante do reino que desperta), ensino (ele chama seus primeiros discípulos) e cura (vv. </w:t>
      </w:r>
      <w:hyperlink r:id="rId14001">
        <w:r>
          <w:rPr>
            <w:color w:val="0000EE"/>
            <w:u w:val="single"/>
          </w:rPr>
          <w:t>17–25</w:t>
        </w:r>
      </w:hyperlink>
      <w:r>
        <w:t>).</w:t>
      </w:r>
    </w:p>
    <w:p>
      <w:pPr>
        <w:pStyle w:val="Heading4"/>
      </w:pPr>
      <w:r>
        <w:t>O Sermão no Monte (5.1–7.29)</w:t>
      </w:r>
    </w:p>
    <w:p>
      <w:r/>
      <w:r>
        <w:t>Assim como Moisés subiu ao Sinai para receber a lei de Deus para Israel, assim Jesus — tanto como o novo Moisés quanto como Deus encarnado — subiu à montanha para expor sua instrução para os cidadãos do reino de Deus (</w:t>
      </w:r>
      <w:hyperlink r:id="rId14002">
        <w:r>
          <w:rPr>
            <w:color w:val="0000EE"/>
            <w:u w:val="single"/>
          </w:rPr>
          <w:t>5.1–2</w:t>
        </w:r>
      </w:hyperlink>
      <w:r>
        <w:t xml:space="preserve">). Ele começa com </w:t>
      </w:r>
      <w:r>
        <w:rPr>
          <w:i/>
        </w:rPr>
        <w:t>o evangelho</w:t>
      </w:r>
      <w:r>
        <w:t xml:space="preserve"> (não a lei), declarando que Deus certamente salvará aqueles que — assediados pelo pecado — confiam na misericórdia de Deus, obedecem aos seus mandamentos e anseiam por ele estabelecer seu governo justo na terra (vv. </w:t>
      </w:r>
      <w:hyperlink r:id="rId11719">
        <w:r>
          <w:rPr>
            <w:color w:val="0000EE"/>
            <w:u w:val="single"/>
          </w:rPr>
          <w:t>3–12</w:t>
        </w:r>
      </w:hyperlink>
      <w:r>
        <w:t xml:space="preserve">). Para esse fim, os discípulos são um preservativo (sal) e uma testemunha (luz) em uma sociedade pecaminosa (vv. </w:t>
      </w:r>
      <w:hyperlink r:id="rId14003">
        <w:r>
          <w:rPr>
            <w:color w:val="0000EE"/>
            <w:u w:val="single"/>
          </w:rPr>
          <w:t>13–16</w:t>
        </w:r>
      </w:hyperlink>
      <w:r>
        <w:t xml:space="preserve">). Como aquele que veio não para abolir a Lei e os Profetas, mas para trazê-los ao cumprimento (isto é, para inaugurar a nova era para a qual o AT apontava — v. </w:t>
      </w:r>
      <w:hyperlink r:id="rId14004">
        <w:r>
          <w:rPr>
            <w:color w:val="0000EE"/>
            <w:u w:val="single"/>
          </w:rPr>
          <w:t>17</w:t>
        </w:r>
      </w:hyperlink>
      <w:r>
        <w:t xml:space="preserve">), Jesus chama seus discípulos à obediência constante à lei de Deus como agora exposta pelo próprio Legislador (v. </w:t>
      </w:r>
      <w:hyperlink r:id="rId14005">
        <w:r>
          <w:rPr>
            <w:color w:val="0000EE"/>
            <w:u w:val="single"/>
          </w:rPr>
          <w:t>18–20</w:t>
        </w:r>
      </w:hyperlink>
      <w:r>
        <w:t xml:space="preserve">). Os mandamentos de Deus abrangem desejos internos, bem como ações externas, não devem ser diluídos ou racionalizados, e requerem uma obediência mais radical do que nunca, agora que o fim chegou (vv. </w:t>
      </w:r>
      <w:hyperlink r:id="rId14006">
        <w:r>
          <w:rPr>
            <w:color w:val="0000EE"/>
            <w:u w:val="single"/>
          </w:rPr>
          <w:t>21–48</w:t>
        </w:r>
      </w:hyperlink>
      <w:r>
        <w:t>). Em sua dádiva, oração e jejum, os discípulos devem combater a hipocrisia pela centralidade em Deus e esquecimento de si mesmo (</w:t>
      </w:r>
      <w:hyperlink r:id="rId14007">
        <w:r>
          <w:rPr>
            <w:color w:val="0000EE"/>
            <w:u w:val="single"/>
          </w:rPr>
          <w:t>6.1–18</w:t>
        </w:r>
      </w:hyperlink>
      <w:r>
        <w:t xml:space="preserve">). A Oração do Senhor (vv. </w:t>
      </w:r>
      <w:hyperlink r:id="rId14008">
        <w:r>
          <w:rPr>
            <w:color w:val="0000EE"/>
            <w:u w:val="single"/>
          </w:rPr>
          <w:t>9–13</w:t>
        </w:r>
      </w:hyperlink>
      <w:r>
        <w:t xml:space="preserve">) clama a Deus para honrar seu nome estabelecendo seu governo na terra, e para perdoar, proteger e prover para seus filhos. Dada esta oração, e dada a visão centralizada em Deus da realidade dos discípulos (vv. </w:t>
      </w:r>
      <w:hyperlink r:id="rId14009">
        <w:r>
          <w:rPr>
            <w:color w:val="0000EE"/>
            <w:u w:val="single"/>
          </w:rPr>
          <w:t>19–24</w:t>
        </w:r>
      </w:hyperlink>
      <w:r>
        <w:t xml:space="preserve">), não há causa para ansiedade (vv. </w:t>
      </w:r>
      <w:hyperlink r:id="rId14010">
        <w:r>
          <w:rPr>
            <w:color w:val="0000EE"/>
            <w:u w:val="single"/>
          </w:rPr>
          <w:t>25–34</w:t>
        </w:r>
      </w:hyperlink>
      <w:r>
        <w:t>). Os discípulos devem discernir sem julgar (</w:t>
      </w:r>
      <w:hyperlink r:id="rId14011">
        <w:r>
          <w:rPr>
            <w:color w:val="0000EE"/>
            <w:u w:val="single"/>
          </w:rPr>
          <w:t>7.1–6</w:t>
        </w:r>
      </w:hyperlink>
      <w:r>
        <w:t>), e depender de Deus para o poder necessário para amar os outros (</w:t>
      </w:r>
      <w:hyperlink r:id="rId14012">
        <w:r>
          <w:rPr>
            <w:color w:val="0000EE"/>
            <w:u w:val="single"/>
          </w:rPr>
          <w:t>6.7–12</w:t>
        </w:r>
      </w:hyperlink>
      <w:r>
        <w:t>). Tendo concluído sua exposição da lei (</w:t>
      </w:r>
      <w:hyperlink r:id="rId14013">
        <w:r>
          <w:rPr>
            <w:color w:val="0000EE"/>
            <w:u w:val="single"/>
          </w:rPr>
          <w:t>5.21–7.12</w:t>
        </w:r>
      </w:hyperlink>
      <w:r>
        <w:t>), Jesus agora chama futuros discípulos para segui-lo (</w:t>
      </w:r>
      <w:hyperlink r:id="rId14014">
        <w:r>
          <w:rPr>
            <w:color w:val="0000EE"/>
            <w:u w:val="single"/>
          </w:rPr>
          <w:t>7.13–14</w:t>
        </w:r>
      </w:hyperlink>
      <w:r>
        <w:t xml:space="preserve">), adverte contra os falsos mestres (vv. </w:t>
      </w:r>
      <w:hyperlink r:id="rId14015">
        <w:r>
          <w:rPr>
            <w:color w:val="0000EE"/>
            <w:u w:val="single"/>
          </w:rPr>
          <w:t>15–20</w:t>
        </w:r>
      </w:hyperlink>
      <w:r>
        <w:t xml:space="preserve">) e insiste que os verdadeiros discípulos fazem a vontade de Deus (vv. </w:t>
      </w:r>
      <w:hyperlink r:id="rId14016">
        <w:r>
          <w:rPr>
            <w:color w:val="0000EE"/>
            <w:u w:val="single"/>
          </w:rPr>
          <w:t>21–23</w:t>
        </w:r>
      </w:hyperlink>
      <w:r>
        <w:t>).</w:t>
      </w:r>
    </w:p>
    <w:p>
      <w:pPr>
        <w:pStyle w:val="Heading4"/>
      </w:pPr>
      <w:r>
        <w:t>A Autoridade de Jesus (8.1–9.38)</w:t>
      </w:r>
    </w:p>
    <w:p>
      <w:r/>
      <w:r>
        <w:t xml:space="preserve">Tendo dado sua autoridade à expressão </w:t>
      </w:r>
      <w:r>
        <w:rPr>
          <w:i/>
        </w:rPr>
        <w:t>verbal</w:t>
      </w:r>
      <w:r>
        <w:t xml:space="preserve"> no ensino (</w:t>
      </w:r>
      <w:hyperlink r:id="rId14017">
        <w:r>
          <w:rPr>
            <w:color w:val="0000EE"/>
            <w:u w:val="single"/>
          </w:rPr>
          <w:t>7.28–29</w:t>
        </w:r>
      </w:hyperlink>
      <w:r>
        <w:t xml:space="preserve">), Jesus agora lhe dá expressão </w:t>
      </w:r>
      <w:r>
        <w:rPr>
          <w:i/>
        </w:rPr>
        <w:t>visível</w:t>
      </w:r>
      <w:r>
        <w:t xml:space="preserve"> em uma série de milagres de cura, revelando-se novamente como o servo de Isaías (</w:t>
      </w:r>
      <w:hyperlink r:id="rId6013">
        <w:r>
          <w:rPr>
            <w:color w:val="0000EE"/>
            <w:u w:val="single"/>
          </w:rPr>
          <w:t>8.17</w:t>
        </w:r>
      </w:hyperlink>
      <w:r>
        <w:t>). Ele cura um leproso, o servo de um centurião e uma mulher com hemorragia por sua palavra (</w:t>
      </w:r>
      <w:hyperlink r:id="rId14018">
        <w:r>
          <w:rPr>
            <w:color w:val="0000EE"/>
            <w:u w:val="single"/>
          </w:rPr>
          <w:t>8.1–13</w:t>
        </w:r>
      </w:hyperlink>
      <w:r>
        <w:t xml:space="preserve">; </w:t>
      </w:r>
      <w:hyperlink r:id="rId9588">
        <w:r>
          <w:rPr>
            <w:color w:val="0000EE"/>
            <w:u w:val="single"/>
          </w:rPr>
          <w:t>9.20–22</w:t>
        </w:r>
      </w:hyperlink>
      <w:r>
        <w:t>). Seu toque dissipa uma febre e ressuscita uma pessoa morta (</w:t>
      </w:r>
      <w:hyperlink r:id="rId14019">
        <w:r>
          <w:rPr>
            <w:color w:val="0000EE"/>
            <w:u w:val="single"/>
          </w:rPr>
          <w:t>8.14–15</w:t>
        </w:r>
      </w:hyperlink>
      <w:r>
        <w:t xml:space="preserve">; </w:t>
      </w:r>
      <w:hyperlink r:id="rId14020">
        <w:r>
          <w:rPr>
            <w:color w:val="0000EE"/>
            <w:u w:val="single"/>
          </w:rPr>
          <w:t>9.23–25</w:t>
        </w:r>
      </w:hyperlink>
      <w:r>
        <w:t>). Uma combinação de palavra e toque cura os cegos (</w:t>
      </w:r>
      <w:hyperlink r:id="rId14021">
        <w:r>
          <w:rPr>
            <w:color w:val="0000EE"/>
            <w:u w:val="single"/>
          </w:rPr>
          <w:t>9.27–31</w:t>
        </w:r>
      </w:hyperlink>
      <w:r>
        <w:t>). Como “Deus conosco”, Jesus exige por fidelidade incondicional (</w:t>
      </w:r>
      <w:hyperlink r:id="rId2295">
        <w:r>
          <w:rPr>
            <w:color w:val="0000EE"/>
            <w:u w:val="single"/>
          </w:rPr>
          <w:t>8.18–22</w:t>
        </w:r>
      </w:hyperlink>
      <w:r>
        <w:t xml:space="preserve">). Embora não tenha sequer a proteção natural de que desfrutam os animais (v. </w:t>
      </w:r>
      <w:hyperlink r:id="rId3916">
        <w:r>
          <w:rPr>
            <w:color w:val="0000EE"/>
            <w:u w:val="single"/>
          </w:rPr>
          <w:t>20</w:t>
        </w:r>
      </w:hyperlink>
      <w:r>
        <w:t xml:space="preserve">), ele demonstra sua soberania sobre o mundo natural — e, portanto, sua divindade — acalmando a tempestade (v. </w:t>
      </w:r>
      <w:hyperlink r:id="rId11724">
        <w:r>
          <w:rPr>
            <w:color w:val="0000EE"/>
            <w:u w:val="single"/>
          </w:rPr>
          <w:t>23–27</w:t>
        </w:r>
      </w:hyperlink>
      <w:r>
        <w:t>). Em confrontos diretos com demônios, ele mostra sua superioridade sobre eles (</w:t>
      </w:r>
      <w:hyperlink r:id="rId13836">
        <w:r>
          <w:rPr>
            <w:color w:val="0000EE"/>
            <w:u w:val="single"/>
          </w:rPr>
          <w:t>8.28–34</w:t>
        </w:r>
      </w:hyperlink>
      <w:r>
        <w:t xml:space="preserve">; </w:t>
      </w:r>
      <w:hyperlink r:id="rId14022">
        <w:r>
          <w:rPr>
            <w:color w:val="0000EE"/>
            <w:u w:val="single"/>
          </w:rPr>
          <w:t>9.32–33</w:t>
        </w:r>
      </w:hyperlink>
      <w:r>
        <w:t>). Exercendo a própria autoridade de Deus, ele declara pecados perdoados (</w:t>
      </w:r>
      <w:hyperlink r:id="rId11854">
        <w:r>
          <w:rPr>
            <w:color w:val="0000EE"/>
            <w:u w:val="single"/>
          </w:rPr>
          <w:t>9.1–8</w:t>
        </w:r>
      </w:hyperlink>
      <w:r>
        <w:t xml:space="preserve">) e chama os pecadores ao arrependimento e ao discipulado (vv. </w:t>
      </w:r>
      <w:hyperlink r:id="rId11922">
        <w:r>
          <w:rPr>
            <w:color w:val="0000EE"/>
            <w:u w:val="single"/>
          </w:rPr>
          <w:t>9–13</w:t>
        </w:r>
      </w:hyperlink>
      <w:r>
        <w:t xml:space="preserve">). A alegria sobre a inauguração do reino é misturada com o desejo de sua consumação (vv. </w:t>
      </w:r>
      <w:hyperlink r:id="rId14023">
        <w:r>
          <w:rPr>
            <w:color w:val="0000EE"/>
            <w:u w:val="single"/>
          </w:rPr>
          <w:t>14–17</w:t>
        </w:r>
      </w:hyperlink>
      <w:r>
        <w:t xml:space="preserve">). O resumo de </w:t>
      </w:r>
      <w:hyperlink r:id="rId14024">
        <w:r>
          <w:rPr>
            <w:color w:val="0000EE"/>
            <w:u w:val="single"/>
          </w:rPr>
          <w:t>9.35–38</w:t>
        </w:r>
      </w:hyperlink>
      <w:r>
        <w:t xml:space="preserve"> ecoa </w:t>
      </w:r>
      <w:hyperlink r:id="rId6401">
        <w:r>
          <w:rPr>
            <w:color w:val="0000EE"/>
            <w:u w:val="single"/>
          </w:rPr>
          <w:t>4.23–25</w:t>
        </w:r>
      </w:hyperlink>
      <w:r>
        <w:t xml:space="preserve">, lembra os capítulos </w:t>
      </w:r>
      <w:hyperlink r:id="rId6404">
        <w:r>
          <w:rPr>
            <w:color w:val="0000EE"/>
            <w:u w:val="single"/>
          </w:rPr>
          <w:t>5–7</w:t>
        </w:r>
      </w:hyperlink>
      <w:r>
        <w:t xml:space="preserve"> e se prepara para o próximo grande discurso.</w:t>
      </w:r>
    </w:p>
    <w:p>
      <w:pPr>
        <w:pStyle w:val="Heading4"/>
      </w:pPr>
      <w:r>
        <w:t>A Ordem de Jesus aos Missionários (10.1–42)</w:t>
      </w:r>
    </w:p>
    <w:p>
      <w:r/>
      <w:r>
        <w:t>Em resposta às orações que ele ordenou, Cristo agora investe 12 discípulos com autoridade apostólica e os envia para seu campo de colheita (</w:t>
      </w:r>
      <w:hyperlink r:id="rId14025">
        <w:r>
          <w:rPr>
            <w:color w:val="0000EE"/>
            <w:u w:val="single"/>
          </w:rPr>
          <w:t>9.37–10.4</w:t>
        </w:r>
      </w:hyperlink>
      <w:r>
        <w:t>). O discurso fala tanto da missão imediata dos apóstolos (</w:t>
      </w:r>
      <w:hyperlink r:id="rId14026">
        <w:r>
          <w:rPr>
            <w:color w:val="0000EE"/>
            <w:u w:val="single"/>
          </w:rPr>
          <w:t>10.5–15</w:t>
        </w:r>
      </w:hyperlink>
      <w:r>
        <w:t xml:space="preserve">) quanto da missão mais ampla da igreja (vv. </w:t>
      </w:r>
      <w:hyperlink r:id="rId14027">
        <w:r>
          <w:rPr>
            <w:color w:val="0000EE"/>
            <w:u w:val="single"/>
          </w:rPr>
          <w:t>16–42</w:t>
        </w:r>
      </w:hyperlink>
      <w:r>
        <w:t xml:space="preserve">). Por enquanto, os apóstolos devem se concentrar em evangelizar os judeus (v. </w:t>
      </w:r>
      <w:hyperlink r:id="rId14028">
        <w:r>
          <w:rPr>
            <w:color w:val="0000EE"/>
            <w:u w:val="single"/>
          </w:rPr>
          <w:t>6</w:t>
        </w:r>
      </w:hyperlink>
      <w:r>
        <w:t>), em preparação para a missão aos gentios (</w:t>
      </w:r>
      <w:hyperlink r:id="rId3199">
        <w:r>
          <w:rPr>
            <w:color w:val="0000EE"/>
            <w:u w:val="single"/>
          </w:rPr>
          <w:t>28.19</w:t>
        </w:r>
      </w:hyperlink>
      <w:r>
        <w:t>). Os “dignos” são aqueles que acolhem os apóstolos e sua mensagem; os “indignos”, aqueles que os rejeitam (</w:t>
      </w:r>
      <w:hyperlink r:id="rId14029">
        <w:r>
          <w:rPr>
            <w:color w:val="0000EE"/>
            <w:u w:val="single"/>
          </w:rPr>
          <w:t>10.11–15</w:t>
        </w:r>
      </w:hyperlink>
      <w:r>
        <w:t xml:space="preserve">). Na missão mais ampla, com certeza haverá perseguição (vv. </w:t>
      </w:r>
      <w:hyperlink r:id="rId14030">
        <w:r>
          <w:rPr>
            <w:color w:val="0000EE"/>
            <w:u w:val="single"/>
          </w:rPr>
          <w:t>16–19,24–25</w:t>
        </w:r>
      </w:hyperlink>
      <w:r>
        <w:t xml:space="preserve">), mas isso realmente ajudará o testemunho (vv. </w:t>
      </w:r>
      <w:hyperlink r:id="rId14031">
        <w:r>
          <w:rPr>
            <w:color w:val="0000EE"/>
            <w:u w:val="single"/>
          </w:rPr>
          <w:t>17–23</w:t>
        </w:r>
      </w:hyperlink>
      <w:r>
        <w:t xml:space="preserve">). Deus salvará seus missionários fiéis (vv. </w:t>
      </w:r>
      <w:hyperlink r:id="rId14032">
        <w:r>
          <w:rPr>
            <w:color w:val="0000EE"/>
            <w:u w:val="single"/>
          </w:rPr>
          <w:t>19–23</w:t>
        </w:r>
      </w:hyperlink>
      <w:r>
        <w:t xml:space="preserve">), mas julgará aqueles que os oprimem e que repudiam a Cristo (vv. </w:t>
      </w:r>
      <w:hyperlink r:id="rId14033">
        <w:r>
          <w:rPr>
            <w:color w:val="0000EE"/>
            <w:u w:val="single"/>
          </w:rPr>
          <w:t>26–39</w:t>
        </w:r>
      </w:hyperlink>
      <w:r>
        <w:t xml:space="preserve">). Uma recompensa certa aguarda tanto o arauto quanto o destinatário da mensagem (vv. </w:t>
      </w:r>
      <w:hyperlink r:id="rId14034">
        <w:r>
          <w:rPr>
            <w:color w:val="0000EE"/>
            <w:u w:val="single"/>
          </w:rPr>
          <w:t>37–42</w:t>
        </w:r>
      </w:hyperlink>
      <w:r>
        <w:t>).</w:t>
      </w:r>
    </w:p>
    <w:p>
      <w:pPr>
        <w:pStyle w:val="Heading4"/>
      </w:pPr>
      <w:r>
        <w:t>Cristo, o Senhor (11.1–12.50)</w:t>
      </w:r>
    </w:p>
    <w:p>
      <w:r/>
      <w:r>
        <w:t>O julgamento que João previu já está em andamento; a posição de alguém no último julgamento seria determinada por sua resposta às palavras e obras de Jesus (</w:t>
      </w:r>
      <w:hyperlink r:id="rId14035">
        <w:r>
          <w:rPr>
            <w:color w:val="0000EE"/>
            <w:u w:val="single"/>
          </w:rPr>
          <w:t>11.2–6</w:t>
        </w:r>
      </w:hyperlink>
      <w:r>
        <w:t xml:space="preserve">). Como seu arauto, Jesus se depara com hostilidade e indiferença generalizadas (vv. </w:t>
      </w:r>
      <w:hyperlink r:id="rId14036">
        <w:r>
          <w:rPr>
            <w:color w:val="0000EE"/>
            <w:u w:val="single"/>
          </w:rPr>
          <w:t>7–19</w:t>
        </w:r>
      </w:hyperlink>
      <w:r>
        <w:t xml:space="preserve">). Dada a finalidade da graça que assiste ao seu ministério, aqueles que o rejeitam sofrerão o julgamento mais severo (vv. </w:t>
      </w:r>
      <w:hyperlink r:id="rId8712">
        <w:r>
          <w:rPr>
            <w:color w:val="0000EE"/>
            <w:u w:val="single"/>
          </w:rPr>
          <w:t>20–24</w:t>
        </w:r>
      </w:hyperlink>
      <w:r>
        <w:t xml:space="preserve">). No entanto, há outros — os humildes, os sobrecarregados, os ensináveis — que aprendem (por revelação de Deus, o Pai, e Deus, o Filho) que o “Senhor do céu e da terra” também é o Deus “manso e humilde” que vem para dar descanso àqueles que confiam nele (vv. </w:t>
      </w:r>
      <w:hyperlink r:id="rId14037">
        <w:r>
          <w:rPr>
            <w:color w:val="0000EE"/>
            <w:u w:val="single"/>
          </w:rPr>
          <w:t>25–30</w:t>
        </w:r>
      </w:hyperlink>
      <w:r>
        <w:t>). Como aquele que inaugura a nova era (</w:t>
      </w:r>
      <w:hyperlink r:id="rId406">
        <w:r>
          <w:rPr>
            <w:color w:val="0000EE"/>
            <w:u w:val="single"/>
          </w:rPr>
          <w:t>12.6</w:t>
        </w:r>
      </w:hyperlink>
      <w:r>
        <w:t xml:space="preserve">), Jesus afirma que ele é o Senhor do sábado (vv. </w:t>
      </w:r>
      <w:hyperlink r:id="rId649">
        <w:r>
          <w:rPr>
            <w:color w:val="0000EE"/>
            <w:u w:val="single"/>
          </w:rPr>
          <w:t>1–8</w:t>
        </w:r>
      </w:hyperlink>
      <w:r>
        <w:t>). O verdadeiro descanso (</w:t>
      </w:r>
      <w:hyperlink r:id="rId936">
        <w:r>
          <w:rPr>
            <w:color w:val="0000EE"/>
            <w:u w:val="single"/>
          </w:rPr>
          <w:t>11.29</w:t>
        </w:r>
      </w:hyperlink>
      <w:r>
        <w:t>) vem para aqueles que vêm a Jesus.</w:t>
      </w:r>
    </w:p>
    <w:p>
      <w:r/>
      <w:r>
        <w:t>Vendo Jesus como o destruidor do sábado, os fariseus atribuem seus poderes milagrosos a Satanás (</w:t>
      </w:r>
      <w:hyperlink r:id="rId14038">
        <w:r>
          <w:rPr>
            <w:color w:val="0000EE"/>
            <w:u w:val="single"/>
          </w:rPr>
          <w:t>12.22–24</w:t>
        </w:r>
      </w:hyperlink>
      <w:r>
        <w:t xml:space="preserve">). Pelo contrário, diz Jesus, o governo que ele está inaugurando está esmagando o império de Satanás (vv. </w:t>
      </w:r>
      <w:hyperlink r:id="rId14039">
        <w:r>
          <w:rPr>
            <w:color w:val="0000EE"/>
            <w:u w:val="single"/>
          </w:rPr>
          <w:t>25–29</w:t>
        </w:r>
      </w:hyperlink>
      <w:r>
        <w:t xml:space="preserve">). Rejeitar esta verdade com plena consciência do que alguém está fazendo é cometer o pecado imperdoável contra o Espírito Santo (vv. </w:t>
      </w:r>
      <w:hyperlink r:id="rId14040">
        <w:r>
          <w:rPr>
            <w:color w:val="0000EE"/>
            <w:u w:val="single"/>
          </w:rPr>
          <w:t>30–32</w:t>
        </w:r>
      </w:hyperlink>
      <w:r>
        <w:t xml:space="preserve">); as palavras dos acusadores de Jesus os expõem como pessoas destinadas à condenação (vv. </w:t>
      </w:r>
      <w:hyperlink r:id="rId5709">
        <w:r>
          <w:rPr>
            <w:color w:val="0000EE"/>
            <w:u w:val="single"/>
          </w:rPr>
          <w:t>33–37</w:t>
        </w:r>
      </w:hyperlink>
      <w:r>
        <w:t>). O sinal solicitado do céu não será dado. A ressurreição de Jesus é o único sinal de que eles precisam.</w:t>
      </w:r>
    </w:p>
    <w:p>
      <w:pPr>
        <w:pStyle w:val="Heading4"/>
      </w:pPr>
      <w:r>
        <w:t>As Parábolas do Reino (13.1–58)</w:t>
      </w:r>
    </w:p>
    <w:p>
      <w:r/>
      <w:r>
        <w:t>Este, o terceiro dos cinco grandes discursos de Mateus, contém sete parábolas. Na parábola do semeador, quatro tipos de solo — duro, raso, obstruído e frutífero — ilustram as várias respostas à pregação de Jesus (</w:t>
      </w:r>
      <w:hyperlink r:id="rId6685">
        <w:r>
          <w:rPr>
            <w:color w:val="0000EE"/>
            <w:u w:val="single"/>
          </w:rPr>
          <w:t>13.3–9,18–23</w:t>
        </w:r>
      </w:hyperlink>
      <w:r>
        <w:t>). Como aqueles que receberam a proclamação do reino de Jesus (</w:t>
      </w:r>
      <w:hyperlink r:id="rId5477">
        <w:r>
          <w:rPr>
            <w:color w:val="0000EE"/>
            <w:u w:val="single"/>
          </w:rPr>
          <w:t>4.17</w:t>
        </w:r>
      </w:hyperlink>
      <w:r>
        <w:t>), os discípulos recebem mais luz, mas as multidões devem aceitar essa proclamação inicial antes que mais luz seja dada (</w:t>
      </w:r>
      <w:hyperlink r:id="rId14041">
        <w:r>
          <w:rPr>
            <w:color w:val="0000EE"/>
            <w:u w:val="single"/>
          </w:rPr>
          <w:t>13.10–17,34–35</w:t>
        </w:r>
      </w:hyperlink>
      <w:r>
        <w:t xml:space="preserve">). Tanto na parábola do joio (vv. </w:t>
      </w:r>
      <w:hyperlink r:id="rId5111">
        <w:r>
          <w:rPr>
            <w:color w:val="0000EE"/>
            <w:u w:val="single"/>
          </w:rPr>
          <w:t>24–30,36–43</w:t>
        </w:r>
      </w:hyperlink>
      <w:r>
        <w:t xml:space="preserve">) quanto na parábola da rede (vv. </w:t>
      </w:r>
      <w:hyperlink r:id="rId14042">
        <w:r>
          <w:rPr>
            <w:color w:val="0000EE"/>
            <w:u w:val="single"/>
          </w:rPr>
          <w:t>47–50</w:t>
        </w:r>
      </w:hyperlink>
      <w:r>
        <w:t xml:space="preserve">), Jesus assegura aos seus discípulos que o julgamento final separará os verdadeiros crentes dos falsos, e adverte contra julgamentos precipitados e prematuros (cf. </w:t>
      </w:r>
      <w:hyperlink r:id="rId14043">
        <w:r>
          <w:rPr>
            <w:color w:val="0000EE"/>
            <w:u w:val="single"/>
          </w:rPr>
          <w:t>7.1–5</w:t>
        </w:r>
      </w:hyperlink>
      <w:r>
        <w:t>). As parábolas da mostarda e do fermento (</w:t>
      </w:r>
      <w:hyperlink r:id="rId14044">
        <w:r>
          <w:rPr>
            <w:color w:val="0000EE"/>
            <w:u w:val="single"/>
          </w:rPr>
          <w:t>13.31–33</w:t>
        </w:r>
      </w:hyperlink>
      <w:r>
        <w:t xml:space="preserve">) contrastam a pequenez da inauguração do reino com a plenitude de sua consumação. As parábolas do tesouro escondido e da pérola (vv. </w:t>
      </w:r>
      <w:hyperlink r:id="rId8711">
        <w:r>
          <w:rPr>
            <w:color w:val="0000EE"/>
            <w:u w:val="single"/>
          </w:rPr>
          <w:t>44–46</w:t>
        </w:r>
      </w:hyperlink>
      <w:r>
        <w:t xml:space="preserve">) descrevem o reino como um valor que supera todos os outros (cf. </w:t>
      </w:r>
      <w:hyperlink r:id="rId6722">
        <w:r>
          <w:rPr>
            <w:color w:val="0000EE"/>
            <w:u w:val="single"/>
          </w:rPr>
          <w:t>6.33</w:t>
        </w:r>
      </w:hyperlink>
      <w:r>
        <w:t>). Assim iluminados por Jesus, os discípulos têm novos tesouros para adicionar aos seus antigos (</w:t>
      </w:r>
      <w:hyperlink r:id="rId14045">
        <w:r>
          <w:rPr>
            <w:color w:val="0000EE"/>
            <w:u w:val="single"/>
          </w:rPr>
          <w:t>13.51–52</w:t>
        </w:r>
      </w:hyperlink>
      <w:r>
        <w:t xml:space="preserve">). O povo de Nazaré, pelo contrário, ecoa a falta de compreensão das multidões e a hostilidade dos fariseus (vv. </w:t>
      </w:r>
      <w:hyperlink r:id="rId11745">
        <w:r>
          <w:rPr>
            <w:color w:val="0000EE"/>
            <w:u w:val="single"/>
          </w:rPr>
          <w:t>53–58</w:t>
        </w:r>
      </w:hyperlink>
      <w:r>
        <w:t>).</w:t>
      </w:r>
    </w:p>
    <w:p>
      <w:pPr>
        <w:pStyle w:val="Heading4"/>
      </w:pPr>
      <w:r>
        <w:t>Conflito Espiritual (14.1–16.12)</w:t>
      </w:r>
    </w:p>
    <w:p>
      <w:r/>
      <w:r>
        <w:t xml:space="preserve">Em </w:t>
      </w:r>
      <w:hyperlink r:id="rId13809">
        <w:r>
          <w:rPr>
            <w:color w:val="0000EE"/>
            <w:u w:val="single"/>
          </w:rPr>
          <w:t>14.1–12</w:t>
        </w:r>
      </w:hyperlink>
      <w:r>
        <w:t xml:space="preserve">, a pregação de João expõe a fraqueza de Herodes, e a decapitação de João antecipa a crucificação de Jesus (cf. </w:t>
      </w:r>
      <w:hyperlink r:id="rId9421">
        <w:r>
          <w:rPr>
            <w:color w:val="0000EE"/>
            <w:u w:val="single"/>
          </w:rPr>
          <w:t>17.12</w:t>
        </w:r>
      </w:hyperlink>
      <w:r>
        <w:t>). O verdadeiro rei não é Herodes, mas Jesus. Ele é soberano sobre a própria natureza (</w:t>
      </w:r>
      <w:hyperlink r:id="rId14046">
        <w:r>
          <w:rPr>
            <w:color w:val="0000EE"/>
            <w:u w:val="single"/>
          </w:rPr>
          <w:t>14.13–36</w:t>
        </w:r>
      </w:hyperlink>
      <w:r>
        <w:t xml:space="preserve">) — Deus encarnado, “Deus conosco”, que alimenta a multidão de famintos no deserto (como Deus uma vez forneceu o maná) e anda sobre o mar e acalma-o (veja </w:t>
      </w:r>
      <w:hyperlink r:id="rId14047">
        <w:r>
          <w:rPr>
            <w:color w:val="0000EE"/>
            <w:u w:val="single"/>
          </w:rPr>
          <w:t>Sl 89.9</w:t>
        </w:r>
      </w:hyperlink>
      <w:r>
        <w:t>). Pedro é um modelo da fé, do medo e da dependência total dos cristãos em Jesus (</w:t>
      </w:r>
      <w:hyperlink r:id="rId14048">
        <w:r>
          <w:rPr>
            <w:color w:val="0000EE"/>
            <w:u w:val="single"/>
          </w:rPr>
          <w:t>Mt 14.28–31</w:t>
        </w:r>
      </w:hyperlink>
      <w:r>
        <w:t>). Os fariseus e mestres da lei parecem adorar a Deus, mas, na verdade, são devotos às suas próprias tradições, que eles oferecem não como suplementos, mas como</w:t>
      </w:r>
      <w:r>
        <w:rPr>
          <w:i/>
        </w:rPr>
        <w:t>rivais</w:t>
      </w:r>
      <w:r>
        <w:t xml:space="preserve"> da Palavra de Deus (</w:t>
      </w:r>
      <w:hyperlink r:id="rId14049">
        <w:r>
          <w:rPr>
            <w:color w:val="0000EE"/>
            <w:u w:val="single"/>
          </w:rPr>
          <w:t>15.1–9</w:t>
        </w:r>
      </w:hyperlink>
      <w:r>
        <w:t xml:space="preserve">). Nos versos </w:t>
      </w:r>
      <w:hyperlink r:id="rId14050">
        <w:r>
          <w:rPr>
            <w:color w:val="0000EE"/>
            <w:u w:val="single"/>
          </w:rPr>
          <w:t>10–20</w:t>
        </w:r>
      </w:hyperlink>
      <w:r>
        <w:t>, Jesus ensina que a lei cerimonial, separada da lei moral, se torna um ritual vazio, e que a antiga distinção entre alimentos puros e impuros (</w:t>
      </w:r>
      <w:hyperlink r:id="rId1455">
        <w:r>
          <w:rPr>
            <w:color w:val="0000EE"/>
            <w:u w:val="single"/>
          </w:rPr>
          <w:t>Lv 11</w:t>
        </w:r>
      </w:hyperlink>
      <w:r>
        <w:t>) é agora tão obsoleta quanto a distinção entre judeus e gentios. Para ressaltar o ponto, Jesus entra em território pagão, cura um cananeu (</w:t>
      </w:r>
      <w:hyperlink r:id="rId11752">
        <w:r>
          <w:rPr>
            <w:color w:val="0000EE"/>
            <w:u w:val="single"/>
          </w:rPr>
          <w:t>15.21–28</w:t>
        </w:r>
      </w:hyperlink>
      <w:r>
        <w:t xml:space="preserve">) e alimenta uma multidão de gentios (vv. </w:t>
      </w:r>
      <w:hyperlink r:id="rId14051">
        <w:r>
          <w:rPr>
            <w:color w:val="0000EE"/>
            <w:u w:val="single"/>
          </w:rPr>
          <w:t>29–39</w:t>
        </w:r>
      </w:hyperlink>
      <w:r>
        <w:t>). Os fariseus e saduceus, apesar de todas as suas diferenças, estão unidos em sua oposição a Jesus (</w:t>
      </w:r>
      <w:hyperlink r:id="rId14052">
        <w:r>
          <w:rPr>
            <w:color w:val="0000EE"/>
            <w:u w:val="single"/>
          </w:rPr>
          <w:t>16.1–12</w:t>
        </w:r>
      </w:hyperlink>
      <w:r>
        <w:t>).</w:t>
      </w:r>
    </w:p>
    <w:p>
      <w:pPr>
        <w:pStyle w:val="Heading4"/>
      </w:pPr>
      <w:r>
        <w:t>A Vinda da Salvação (16.13–17.27)</w:t>
      </w:r>
    </w:p>
    <w:p>
      <w:r/>
      <w:r>
        <w:t>Indo além das estimativas respeitosas, mas inadequadas, das multidões, Pedro confessa Jesus como “o Cristo, o Filho do Deus vivo” — um reconhecimento da divindade de Jesus concedido pela revelação divina (</w:t>
      </w:r>
      <w:hyperlink r:id="rId14053">
        <w:r>
          <w:rPr>
            <w:color w:val="0000EE"/>
            <w:u w:val="single"/>
          </w:rPr>
          <w:t>16.13–17</w:t>
        </w:r>
      </w:hyperlink>
      <w:r>
        <w:t xml:space="preserve">; cf. </w:t>
      </w:r>
      <w:hyperlink r:id="rId14054">
        <w:r>
          <w:rPr>
            <w:color w:val="0000EE"/>
            <w:u w:val="single"/>
          </w:rPr>
          <w:t>11.25–26</w:t>
        </w:r>
      </w:hyperlink>
      <w:r>
        <w:t>). Como é Deus, o Filho, que possui e constrói a igreja, Satanás e a morte são vítimas em vez de vencedores. Jesus construirá sua igreja na confissão de Pedro de que Jesus é o Cristo, o Filho do Deus vivo. A proibição e a permissão dos apóstolos da entrada na igreja (“ligar” e “desligar”, respectivamente) depende da decisão prévia do céu (isto é, a revelação do ensino apostólico de Deus). Em face da confissão de Pedro e das persistentes falsas noções de messianismo (</w:t>
      </w:r>
      <w:hyperlink r:id="rId14055">
        <w:r>
          <w:rPr>
            <w:color w:val="0000EE"/>
            <w:u w:val="single"/>
          </w:rPr>
          <w:t>16.20,23</w:t>
        </w:r>
      </w:hyperlink>
      <w:r>
        <w:t xml:space="preserve">), Jesus agora (pela primeira vez) prevê seus sofrimentos e glória vindoura (vv. </w:t>
      </w:r>
      <w:hyperlink r:id="rId14056">
        <w:r>
          <w:rPr>
            <w:color w:val="0000EE"/>
            <w:u w:val="single"/>
          </w:rPr>
          <w:t>21–28</w:t>
        </w:r>
      </w:hyperlink>
      <w:r>
        <w:t>). Em antecipação a essa glória, Jesus é transfigurado diante de certos discípulos; Moisés e Elias se juntam a Deus, o Pai, ao testemunhar o esplendor único de Deus, o Filho (</w:t>
      </w:r>
      <w:hyperlink r:id="rId10042">
        <w:r>
          <w:rPr>
            <w:color w:val="0000EE"/>
            <w:u w:val="single"/>
          </w:rPr>
          <w:t>17.1–8</w:t>
        </w:r>
      </w:hyperlink>
      <w:r>
        <w:t xml:space="preserve">). Jesus então demonstrou seu poder combatendo os poderes demoníacos (vv. </w:t>
      </w:r>
      <w:hyperlink r:id="rId8098">
        <w:r>
          <w:rPr>
            <w:color w:val="0000EE"/>
            <w:u w:val="single"/>
          </w:rPr>
          <w:t>14–18</w:t>
        </w:r>
      </w:hyperlink>
      <w:r>
        <w:t xml:space="preserve">) e exibiu sua autoridade escolhendo pagar o imposto do templo usando meios milagrosos (vv. </w:t>
      </w:r>
      <w:hyperlink r:id="rId11761">
        <w:r>
          <w:rPr>
            <w:color w:val="0000EE"/>
            <w:u w:val="single"/>
          </w:rPr>
          <w:t>24–27</w:t>
        </w:r>
      </w:hyperlink>
      <w:r>
        <w:t>).</w:t>
      </w:r>
    </w:p>
    <w:p>
      <w:pPr>
        <w:pStyle w:val="Heading4"/>
      </w:pPr>
      <w:r>
        <w:t>Grandeza no Reino (18.1–35)</w:t>
      </w:r>
    </w:p>
    <w:p>
      <w:r/>
      <w:r>
        <w:t xml:space="preserve">Neste, o quarto dos cinco grandes discursos de Mateus, Jesus se concentra no caráter e nas atitudes dos membros da igreja. Ele chama seus seguidores para </w:t>
      </w:r>
      <w:r>
        <w:rPr>
          <w:i/>
        </w:rPr>
        <w:t>se tornarem</w:t>
      </w:r>
      <w:r>
        <w:t xml:space="preserve"> e </w:t>
      </w:r>
      <w:r>
        <w:rPr>
          <w:i/>
        </w:rPr>
        <w:t>acolherem</w:t>
      </w:r>
      <w:r>
        <w:t xml:space="preserve"> os mais humildes (</w:t>
      </w:r>
      <w:hyperlink r:id="rId14057">
        <w:r>
          <w:rPr>
            <w:color w:val="0000EE"/>
            <w:u w:val="single"/>
          </w:rPr>
          <w:t>18.1–5</w:t>
        </w:r>
      </w:hyperlink>
      <w:r>
        <w:t xml:space="preserve">). Os líderes são especialmente ordenados a lidar duramente consigo mesmos, mas gentilmente com aqueles sob sua guarda (vv. </w:t>
      </w:r>
      <w:hyperlink r:id="rId14058">
        <w:r>
          <w:rPr>
            <w:color w:val="0000EE"/>
            <w:u w:val="single"/>
          </w:rPr>
          <w:t>6–9</w:t>
        </w:r>
      </w:hyperlink>
      <w:r>
        <w:t xml:space="preserve">). Lembrando-se do amor do Pai pelos pecadores, os cristãos devem fazer todos os esforços (tanto por oração quanto por iniciativa pessoal) para restaurar os irmãos ofensores, sendo a excomunhão o último recurso (vv. </w:t>
      </w:r>
      <w:hyperlink r:id="rId14059">
        <w:r>
          <w:rPr>
            <w:color w:val="0000EE"/>
            <w:u w:val="single"/>
          </w:rPr>
          <w:t>10–20</w:t>
        </w:r>
      </w:hyperlink>
      <w:r>
        <w:t xml:space="preserve">). Os membros da igreja que realmente entendem a incrível graça do Pai nunca pararão de oferecer perdão e compaixão àqueles que os prejudicam (vv. </w:t>
      </w:r>
      <w:hyperlink r:id="rId14060">
        <w:r>
          <w:rPr>
            <w:color w:val="0000EE"/>
            <w:u w:val="single"/>
          </w:rPr>
          <w:t>21–35</w:t>
        </w:r>
      </w:hyperlink>
      <w:r>
        <w:t>).</w:t>
      </w:r>
    </w:p>
    <w:p>
      <w:pPr>
        <w:pStyle w:val="Heading4"/>
      </w:pPr>
      <w:r>
        <w:t>Instruções no caminho para Jerusalém (19.1–20.34)</w:t>
      </w:r>
    </w:p>
    <w:p>
      <w:r/>
      <w:r>
        <w:t xml:space="preserve">Dadas as ordenanças de criação de Deus, diz Jesus, o próprio divórcio nunca é </w:t>
      </w:r>
      <w:r>
        <w:rPr>
          <w:i/>
        </w:rPr>
        <w:t>ordenado;</w:t>
      </w:r>
      <w:r>
        <w:t xml:space="preserve"> só é </w:t>
      </w:r>
      <w:r>
        <w:rPr>
          <w:i/>
        </w:rPr>
        <w:t>permitido</w:t>
      </w:r>
      <w:r>
        <w:t xml:space="preserve"> no caso do pecado — isto é, onde o laço conjugal já foi rompido através da infidelidade (</w:t>
      </w:r>
      <w:hyperlink r:id="rId5365">
        <w:r>
          <w:rPr>
            <w:color w:val="0000EE"/>
            <w:u w:val="single"/>
          </w:rPr>
          <w:t>19.1–9</w:t>
        </w:r>
      </w:hyperlink>
      <w:r>
        <w:t xml:space="preserve">). Como em </w:t>
      </w:r>
      <w:hyperlink r:id="rId7315">
        <w:r>
          <w:rPr>
            <w:color w:val="0000EE"/>
            <w:u w:val="single"/>
          </w:rPr>
          <w:t>5.17–48</w:t>
        </w:r>
      </w:hyperlink>
      <w:r>
        <w:t>, Jesus chama seus seguidores à obediência radical (</w:t>
      </w:r>
      <w:hyperlink r:id="rId14061">
        <w:r>
          <w:rPr>
            <w:color w:val="0000EE"/>
            <w:u w:val="single"/>
          </w:rPr>
          <w:t>19.10–12</w:t>
        </w:r>
      </w:hyperlink>
      <w:r>
        <w:t>). Além de instruir os discípulos a se tornarem como crianças (</w:t>
      </w:r>
      <w:hyperlink r:id="rId14062">
        <w:r>
          <w:rPr>
            <w:color w:val="0000EE"/>
            <w:u w:val="single"/>
          </w:rPr>
          <w:t>18.1–4</w:t>
        </w:r>
      </w:hyperlink>
      <w:r>
        <w:t>), Jesus abraça as próprias crianças com seu amor (</w:t>
      </w:r>
      <w:hyperlink r:id="rId14063">
        <w:r>
          <w:rPr>
            <w:color w:val="0000EE"/>
            <w:u w:val="single"/>
          </w:rPr>
          <w:t>19.13–15</w:t>
        </w:r>
      </w:hyperlink>
      <w:r>
        <w:t xml:space="preserve">). Ele apela da mesma forma ao jovem rico (vv. </w:t>
      </w:r>
      <w:hyperlink r:id="rId3633">
        <w:r>
          <w:rPr>
            <w:color w:val="0000EE"/>
            <w:u w:val="single"/>
          </w:rPr>
          <w:t>16–22</w:t>
        </w:r>
      </w:hyperlink>
      <w:r>
        <w:t xml:space="preserve">); mas o homem, embora fiel aos mandamentos sobre o amor ao próximo, está muito ligado a sua riqueza para se dar sem reservas a amar a Deus. No entanto, aqueles que abandonam tudo para seguir Jesus receberão riqueza incalculável no reino que está por vir (vv. </w:t>
      </w:r>
      <w:hyperlink r:id="rId14064">
        <w:r>
          <w:rPr>
            <w:color w:val="0000EE"/>
            <w:u w:val="single"/>
          </w:rPr>
          <w:t>27–30</w:t>
        </w:r>
      </w:hyperlink>
      <w:r>
        <w:t>). A base para tais bênçãos não está no mérito humano, mas na surpreendente generosidade do Deus gracioso (</w:t>
      </w:r>
      <w:hyperlink r:id="rId8698">
        <w:r>
          <w:rPr>
            <w:color w:val="0000EE"/>
            <w:u w:val="single"/>
          </w:rPr>
          <w:t>20.1–16</w:t>
        </w:r>
      </w:hyperlink>
      <w:r>
        <w:t xml:space="preserve">). Ninguém — nem mesmo os ricos — está além do poder de sua graça. Mas Deus oferece salvação gratuita com grande custo para si mesmo (vv. </w:t>
      </w:r>
      <w:hyperlink r:id="rId14065">
        <w:r>
          <w:rPr>
            <w:color w:val="0000EE"/>
            <w:u w:val="single"/>
          </w:rPr>
          <w:t>17–19</w:t>
        </w:r>
      </w:hyperlink>
      <w:r>
        <w:t xml:space="preserve">). Confrontando a competitividade e ambição entre seus seguidores, Jesus os ensina que a verdadeira grandeza não está em dominar os outros, mas em servi-los (vv. </w:t>
      </w:r>
      <w:hyperlink r:id="rId14066">
        <w:r>
          <w:rPr>
            <w:color w:val="0000EE"/>
            <w:u w:val="single"/>
          </w:rPr>
          <w:t>20–34</w:t>
        </w:r>
      </w:hyperlink>
      <w:r>
        <w:t xml:space="preserve">), como será supremamente demonstrado em sua morte como “um resgate por muitos” (v. </w:t>
      </w:r>
      <w:hyperlink r:id="rId920">
        <w:r>
          <w:rPr>
            <w:color w:val="0000EE"/>
            <w:u w:val="single"/>
          </w:rPr>
          <w:t>28</w:t>
        </w:r>
      </w:hyperlink>
      <w:r>
        <w:t>).</w:t>
      </w:r>
    </w:p>
    <w:p>
      <w:pPr>
        <w:pStyle w:val="Heading4"/>
      </w:pPr>
      <w:r>
        <w:t>Confrontos em Jerusalém (21.1–22.46)</w:t>
      </w:r>
    </w:p>
    <w:p>
      <w:r/>
      <w:r>
        <w:t xml:space="preserve">Como Rei-Servo (cf. </w:t>
      </w:r>
      <w:hyperlink r:id="rId9382">
        <w:r>
          <w:rPr>
            <w:color w:val="0000EE"/>
            <w:u w:val="single"/>
          </w:rPr>
          <w:t>3.17</w:t>
        </w:r>
      </w:hyperlink>
      <w:r>
        <w:t xml:space="preserve">), e como Messias destinado ao sofrimento (cf. </w:t>
      </w:r>
      <w:hyperlink r:id="rId14067">
        <w:r>
          <w:rPr>
            <w:color w:val="0000EE"/>
            <w:u w:val="single"/>
          </w:rPr>
          <w:t>16.16–21</w:t>
        </w:r>
      </w:hyperlink>
      <w:r>
        <w:t xml:space="preserve">; </w:t>
      </w:r>
      <w:hyperlink r:id="rId920">
        <w:r>
          <w:rPr>
            <w:color w:val="0000EE"/>
            <w:u w:val="single"/>
          </w:rPr>
          <w:t>20.28</w:t>
        </w:r>
      </w:hyperlink>
      <w:r>
        <w:t>), Jesus entra em Jerusalém não montado num cavalo de guerra, mas montado num jumentinho, com o propósito não de declarar guerra aos seus inimigos, mas entregar-se a eles — e assim alcançar seu triunfo através da derrota (</w:t>
      </w:r>
      <w:hyperlink r:id="rId11771">
        <w:r>
          <w:rPr>
            <w:color w:val="0000EE"/>
            <w:u w:val="single"/>
          </w:rPr>
          <w:t>21.1–11</w:t>
        </w:r>
      </w:hyperlink>
      <w:r>
        <w:t>). Como Senhor do templo, ele exige que seu comércio seja interrompido e que se torne (como Deus ordenou) um lugar de adoração para todos, incluindo os doentes, os jovens e os estrangeiros (</w:t>
      </w:r>
      <w:hyperlink r:id="rId14068">
        <w:r>
          <w:rPr>
            <w:color w:val="0000EE"/>
            <w:u w:val="single"/>
          </w:rPr>
          <w:t>21.12–17</w:t>
        </w:r>
      </w:hyperlink>
      <w:r>
        <w:t xml:space="preserve">; cf. </w:t>
      </w:r>
      <w:hyperlink r:id="rId4504">
        <w:r>
          <w:rPr>
            <w:color w:val="0000EE"/>
            <w:u w:val="single"/>
          </w:rPr>
          <w:t>Mc 11.17</w:t>
        </w:r>
      </w:hyperlink>
      <w:r>
        <w:t>). Ele supera aqueles que se negam a reconhecer a fonte celestial de sua autoridade e de João (</w:t>
      </w:r>
      <w:hyperlink r:id="rId14069">
        <w:r>
          <w:rPr>
            <w:color w:val="0000EE"/>
            <w:u w:val="single"/>
          </w:rPr>
          <w:t>Mt 21.23–27</w:t>
        </w:r>
      </w:hyperlink>
      <w:r>
        <w:t xml:space="preserve">). De forma dramática e devastadora, primeiro visivelmente (amaldiçoando a figueira — vv. </w:t>
      </w:r>
      <w:hyperlink r:id="rId14070">
        <w:r>
          <w:rPr>
            <w:color w:val="0000EE"/>
            <w:u w:val="single"/>
          </w:rPr>
          <w:t>18–22</w:t>
        </w:r>
      </w:hyperlink>
      <w:r>
        <w:t xml:space="preserve">) e depois verbalmente (nas três parábolas de </w:t>
      </w:r>
      <w:hyperlink r:id="rId14071">
        <w:r>
          <w:rPr>
            <w:color w:val="0000EE"/>
            <w:u w:val="single"/>
          </w:rPr>
          <w:t>21.28–22.14</w:t>
        </w:r>
      </w:hyperlink>
      <w:r>
        <w:t>), Jesus pronuncia julgamento sobre aqueles judeus que se negaram a reconhecê-lo como Messias e Filho de Deus. De agora em diante, o verdadeiro povo de Deus são aqueles que acreditam em Jesus, sejam judeus ou gentios. Ele chama seu povo para jurar sua lealdade suprema a Deus. Na ressurreição, o que mais importa é o relacionamento de alguém com Deus (</w:t>
      </w:r>
      <w:hyperlink r:id="rId10517">
        <w:r>
          <w:rPr>
            <w:color w:val="0000EE"/>
            <w:u w:val="single"/>
          </w:rPr>
          <w:t>22.23–33</w:t>
        </w:r>
      </w:hyperlink>
      <w:r>
        <w:t xml:space="preserve">). De fato, aquele que ama a Deus com todo o seu ser e seu próximo como a si mesmo, guardou os dois mandamentos fundamentais do AT (vv. </w:t>
      </w:r>
      <w:hyperlink r:id="rId14072">
        <w:r>
          <w:rPr>
            <w:color w:val="0000EE"/>
            <w:u w:val="single"/>
          </w:rPr>
          <w:t>34–40</w:t>
        </w:r>
      </w:hyperlink>
      <w:r>
        <w:t>). De agora em diante, submeter-se a Deus significa reconhecer corretamente Jesus; ele é de fato o filho de Davi (</w:t>
      </w:r>
      <w:hyperlink r:id="rId817">
        <w:r>
          <w:rPr>
            <w:color w:val="0000EE"/>
            <w:u w:val="single"/>
          </w:rPr>
          <w:t>Mt 1.1</w:t>
        </w:r>
      </w:hyperlink>
      <w:r>
        <w:t>), mas ele é supremamente o Senhor de Davi — o Filho exaltado de Deus (</w:t>
      </w:r>
      <w:hyperlink r:id="rId14073">
        <w:r>
          <w:rPr>
            <w:color w:val="0000EE"/>
            <w:u w:val="single"/>
          </w:rPr>
          <w:t>22.41–46</w:t>
        </w:r>
      </w:hyperlink>
      <w:r>
        <w:t xml:space="preserve">; cf. </w:t>
      </w:r>
      <w:hyperlink r:id="rId3704">
        <w:r>
          <w:rPr>
            <w:color w:val="0000EE"/>
            <w:u w:val="single"/>
          </w:rPr>
          <w:t>16.16</w:t>
        </w:r>
      </w:hyperlink>
      <w:r>
        <w:t>).</w:t>
      </w:r>
    </w:p>
    <w:p>
      <w:pPr>
        <w:pStyle w:val="Heading4"/>
      </w:pPr>
      <w:r>
        <w:t>Ais dos escribas e fariseus (23.1–39)</w:t>
      </w:r>
    </w:p>
    <w:p>
      <w:r/>
      <w:r>
        <w:t>Cinco razões são declaradas para a denúncia de Jesus dos líderes religiosos judeus. Primeiro é sua hipocrisia: sua prática contradiz seu ensino (</w:t>
      </w:r>
      <w:hyperlink r:id="rId14074">
        <w:r>
          <w:rPr>
            <w:color w:val="0000EE"/>
            <w:u w:val="single"/>
          </w:rPr>
          <w:t>23.1–4</w:t>
        </w:r>
      </w:hyperlink>
      <w:r>
        <w:t xml:space="preserve">), sua pureza externa esconde a podridão interior (vv. </w:t>
      </w:r>
      <w:hyperlink r:id="rId8236">
        <w:r>
          <w:rPr>
            <w:color w:val="0000EE"/>
            <w:u w:val="single"/>
          </w:rPr>
          <w:t>25–28</w:t>
        </w:r>
      </w:hyperlink>
      <w:r>
        <w:t xml:space="preserve">), e eles parecem defender a causa de Deus, mas são, na verdade, inimigos dos servos de Deus (vv. </w:t>
      </w:r>
      <w:hyperlink r:id="rId8242">
        <w:r>
          <w:rPr>
            <w:color w:val="0000EE"/>
            <w:u w:val="single"/>
          </w:rPr>
          <w:t>29–36</w:t>
        </w:r>
      </w:hyperlink>
      <w:r>
        <w:t>). O segundo é o orgulho que provoca sua hipocrisia (</w:t>
      </w:r>
      <w:hyperlink r:id="rId14075">
        <w:r>
          <w:rPr>
            <w:color w:val="0000EE"/>
            <w:u w:val="single"/>
          </w:rPr>
          <w:t>23.5–12</w:t>
        </w:r>
      </w:hyperlink>
      <w:r>
        <w:t xml:space="preserve">). Terceiro é sua exploração e sua influência maligna sobre aqueles que estão sob seu comando (vv. </w:t>
      </w:r>
      <w:hyperlink r:id="rId14076">
        <w:r>
          <w:rPr>
            <w:color w:val="0000EE"/>
            <w:u w:val="single"/>
          </w:rPr>
          <w:t>13–15</w:t>
        </w:r>
      </w:hyperlink>
      <w:r>
        <w:t xml:space="preserve">). Quarto é sua predisposição com as minúcias da lei para negligenciar seus assuntos mais importantes (vv. </w:t>
      </w:r>
      <w:hyperlink r:id="rId14077">
        <w:r>
          <w:rPr>
            <w:color w:val="0000EE"/>
            <w:u w:val="single"/>
          </w:rPr>
          <w:t>16–24</w:t>
        </w:r>
      </w:hyperlink>
      <w:r>
        <w:t xml:space="preserve">). Quinta é sua responsabilidade pelo terrível julgamento que toda a nação está prestes a experimentar (vv. </w:t>
      </w:r>
      <w:hyperlink r:id="rId14078">
        <w:r>
          <w:rPr>
            <w:color w:val="0000EE"/>
            <w:u w:val="single"/>
          </w:rPr>
          <w:t>33–39</w:t>
        </w:r>
      </w:hyperlink>
      <w:r>
        <w:t>).</w:t>
      </w:r>
    </w:p>
    <w:p>
      <w:pPr>
        <w:pStyle w:val="Heading4"/>
      </w:pPr>
      <w:r>
        <w:t>A Vinda do Fim (24.1–25.46)</w:t>
      </w:r>
    </w:p>
    <w:p>
      <w:r/>
      <w:r>
        <w:t>A introdução a este, o quinto e último dos grandes discursos de Mateus, deixa claro que há a conexão mais próxima (tanto para Jesus quanto para seus discípulos) entre a destruição de Jerusalém e o fim dos tempos (</w:t>
      </w:r>
      <w:hyperlink r:id="rId14079">
        <w:r>
          <w:rPr>
            <w:color w:val="0000EE"/>
            <w:u w:val="single"/>
          </w:rPr>
          <w:t>24.1–3</w:t>
        </w:r>
      </w:hyperlink>
      <w:r>
        <w:t xml:space="preserve">). Jesus primeiro caracteriza o tempo entre seu primeiro advento e seu retorno: haverá catástrofes naturais, guerras internacionais, a ascensão dos falsos messias, a perseguição do povo de Deus e a proclamação universal do evangelho do reino (vv. </w:t>
      </w:r>
      <w:hyperlink r:id="rId14080">
        <w:r>
          <w:rPr>
            <w:color w:val="0000EE"/>
            <w:u w:val="single"/>
          </w:rPr>
          <w:t>4–14</w:t>
        </w:r>
      </w:hyperlink>
      <w:r>
        <w:t xml:space="preserve">). Então Jesus fala da catástrofe que em breve cairá sobre a nação judaica (como já predito em </w:t>
      </w:r>
      <w:hyperlink r:id="rId14081">
        <w:r>
          <w:rPr>
            <w:color w:val="0000EE"/>
            <w:u w:val="single"/>
          </w:rPr>
          <w:t>22.7</w:t>
        </w:r>
      </w:hyperlink>
      <w:r>
        <w:t xml:space="preserve">; </w:t>
      </w:r>
      <w:hyperlink r:id="rId14082">
        <w:r>
          <w:rPr>
            <w:color w:val="0000EE"/>
            <w:u w:val="single"/>
          </w:rPr>
          <w:t>23.38</w:t>
        </w:r>
      </w:hyperlink>
      <w:r>
        <w:t>), terminando na destruição de Jerusalém e seu templo em 70 d.C. (</w:t>
      </w:r>
      <w:hyperlink r:id="rId14083">
        <w:r>
          <w:rPr>
            <w:color w:val="0000EE"/>
            <w:u w:val="single"/>
          </w:rPr>
          <w:t>24.15–25</w:t>
        </w:r>
      </w:hyperlink>
      <w:r>
        <w:t xml:space="preserve">). Algum tempo depois (mas após um intervalo conhecido apenas por Deus, o Pai — v. </w:t>
      </w:r>
      <w:hyperlink r:id="rId1948">
        <w:r>
          <w:rPr>
            <w:color w:val="0000EE"/>
            <w:u w:val="single"/>
          </w:rPr>
          <w:t>36</w:t>
        </w:r>
      </w:hyperlink>
      <w:r>
        <w:t xml:space="preserve">), o Filho do Homem voltará em grande glória, em meio a sinais apocalípticos, para reunir seu povo (v. </w:t>
      </w:r>
      <w:hyperlink r:id="rId14084">
        <w:r>
          <w:rPr>
            <w:color w:val="0000EE"/>
            <w:u w:val="single"/>
          </w:rPr>
          <w:t>26–31</w:t>
        </w:r>
      </w:hyperlink>
      <w:r>
        <w:t xml:space="preserve">). A geração presente não desaparecerá antes que o julgamento caia sobre Israel (vv. </w:t>
      </w:r>
      <w:hyperlink r:id="rId14083">
        <w:r>
          <w:rPr>
            <w:color w:val="0000EE"/>
            <w:u w:val="single"/>
          </w:rPr>
          <w:t>15–25</w:t>
        </w:r>
      </w:hyperlink>
      <w:r>
        <w:t xml:space="preserve">), então deixemos os ouvintes atentos (vv. </w:t>
      </w:r>
      <w:hyperlink r:id="rId14085">
        <w:r>
          <w:rPr>
            <w:color w:val="0000EE"/>
            <w:u w:val="single"/>
          </w:rPr>
          <w:t>32–35</w:t>
        </w:r>
      </w:hyperlink>
      <w:r>
        <w:t xml:space="preserve">). O mesmo aviso se aplica à vinda mais remota do Filho do Homem (vv. </w:t>
      </w:r>
      <w:hyperlink r:id="rId14086">
        <w:r>
          <w:rPr>
            <w:color w:val="0000EE"/>
            <w:u w:val="single"/>
          </w:rPr>
          <w:t>36–51</w:t>
        </w:r>
      </w:hyperlink>
      <w:r>
        <w:t>): tanto a certeza do evento quanto a incerteza de seu tempo exigem por vigilância e fidelidade no intervalo, pois esse evento trará salvação e julgamento. Para deixar a lição clara, Jesus conta as parábolas das virgens sábias e tolas (</w:t>
      </w:r>
      <w:hyperlink r:id="rId7483">
        <w:r>
          <w:rPr>
            <w:color w:val="0000EE"/>
            <w:u w:val="single"/>
          </w:rPr>
          <w:t>25.1–13</w:t>
        </w:r>
      </w:hyperlink>
      <w:r>
        <w:t xml:space="preserve">) e dos talentos (vv. </w:t>
      </w:r>
      <w:hyperlink r:id="rId3085">
        <w:r>
          <w:rPr>
            <w:color w:val="0000EE"/>
            <w:u w:val="single"/>
          </w:rPr>
          <w:t>14–30</w:t>
        </w:r>
      </w:hyperlink>
      <w:r>
        <w:t xml:space="preserve">). A parábola conclusiva das ovelhas e cabras (vv. </w:t>
      </w:r>
      <w:hyperlink r:id="rId1172">
        <w:r>
          <w:rPr>
            <w:color w:val="0000EE"/>
            <w:u w:val="single"/>
          </w:rPr>
          <w:t>31–46</w:t>
        </w:r>
      </w:hyperlink>
      <w:r>
        <w:t xml:space="preserve">) fala da necessidade urgente de dar a resposta correta aos “irmãos” — isto é, os mensageiros — de Cristo; aqueles que alimentam, vestem e se importam com os mensageiros de Cristo testificam assim de sua recepção da mensagem dos apóstolos e de seu Senhor (cf. </w:t>
      </w:r>
      <w:hyperlink r:id="rId14087">
        <w:r>
          <w:rPr>
            <w:color w:val="0000EE"/>
            <w:u w:val="single"/>
          </w:rPr>
          <w:t>10.40–42</w:t>
        </w:r>
      </w:hyperlink>
      <w:r>
        <w:t>).</w:t>
      </w:r>
    </w:p>
    <w:p>
      <w:pPr>
        <w:pStyle w:val="Heading4"/>
      </w:pPr>
      <w:r>
        <w:t>O Caminho para Gólgota (26.1–27.26)</w:t>
      </w:r>
    </w:p>
    <w:p>
      <w:r/>
      <w:r>
        <w:t>Como que, em resposta à própria previsão de Jesus, os principais sacerdotes e os anciãos tramam seu plano assassino (</w:t>
      </w:r>
      <w:hyperlink r:id="rId14088">
        <w:r>
          <w:rPr>
            <w:color w:val="0000EE"/>
            <w:u w:val="single"/>
          </w:rPr>
          <w:t>26.1–5</w:t>
        </w:r>
      </w:hyperlink>
      <w:r>
        <w:t xml:space="preserve">), que em breve seria ajudado por Judas (vv. </w:t>
      </w:r>
      <w:hyperlink r:id="rId14089">
        <w:r>
          <w:rPr>
            <w:color w:val="0000EE"/>
            <w:u w:val="single"/>
          </w:rPr>
          <w:t>14–16</w:t>
        </w:r>
      </w:hyperlink>
      <w:r>
        <w:t xml:space="preserve">). A unção em Betânia (vv. </w:t>
      </w:r>
      <w:hyperlink r:id="rId11770">
        <w:r>
          <w:rPr>
            <w:color w:val="0000EE"/>
            <w:u w:val="single"/>
          </w:rPr>
          <w:t>6–13</w:t>
        </w:r>
      </w:hyperlink>
      <w:r>
        <w:t xml:space="preserve">) testifica a extravagância do amor e a iminência da morte. Na refeição de Páscoa (vv. </w:t>
      </w:r>
      <w:hyperlink r:id="rId14090">
        <w:r>
          <w:rPr>
            <w:color w:val="0000EE"/>
            <w:u w:val="single"/>
          </w:rPr>
          <w:t>17–30</w:t>
        </w:r>
      </w:hyperlink>
      <w:r>
        <w:t xml:space="preserve">), sinalizando para qual sacrifício o novo êxodo ocorre (cf. </w:t>
      </w:r>
      <w:hyperlink r:id="rId3568">
        <w:r>
          <w:rPr>
            <w:color w:val="0000EE"/>
            <w:u w:val="single"/>
          </w:rPr>
          <w:t>2.15</w:t>
        </w:r>
      </w:hyperlink>
      <w:r>
        <w:t>), Jesus interpreta sua morte próxima como um sacrifício expiatório para o perdão dos pecados (</w:t>
      </w:r>
      <w:hyperlink r:id="rId11836">
        <w:r>
          <w:rPr>
            <w:color w:val="0000EE"/>
            <w:u w:val="single"/>
          </w:rPr>
          <w:t>26.26–28</w:t>
        </w:r>
      </w:hyperlink>
      <w:r>
        <w:t xml:space="preserve">; cf. </w:t>
      </w:r>
      <w:hyperlink r:id="rId8705">
        <w:r>
          <w:rPr>
            <w:color w:val="0000EE"/>
            <w:u w:val="single"/>
          </w:rPr>
          <w:t>1.21</w:t>
        </w:r>
      </w:hyperlink>
      <w:r>
        <w:t>) e antecipa o dia da vitória final sobre o pecado e a morte no reino consumado (</w:t>
      </w:r>
      <w:hyperlink r:id="rId4686">
        <w:r>
          <w:rPr>
            <w:color w:val="0000EE"/>
            <w:u w:val="single"/>
          </w:rPr>
          <w:t>26.29</w:t>
        </w:r>
      </w:hyperlink>
      <w:r>
        <w:t xml:space="preserve">). A agonia de Jesus no Getsêmani (vv. </w:t>
      </w:r>
      <w:hyperlink r:id="rId7875">
        <w:r>
          <w:rPr>
            <w:color w:val="0000EE"/>
            <w:u w:val="single"/>
          </w:rPr>
          <w:t>36–46</w:t>
        </w:r>
      </w:hyperlink>
      <w:r>
        <w:t>) expressa seu horror por tomar os pecados de seu povo sobre si. Por um ato estupendo de obediência filial, ele submete sua vontade ao Pai, para que as Escrituras possam ser cumpridas (</w:t>
      </w:r>
      <w:hyperlink r:id="rId14091">
        <w:r>
          <w:rPr>
            <w:color w:val="0000EE"/>
            <w:u w:val="single"/>
          </w:rPr>
          <w:t>26.54</w:t>
        </w:r>
      </w:hyperlink>
      <w:r>
        <w:t xml:space="preserve">; cf. </w:t>
      </w:r>
      <w:hyperlink r:id="rId3618">
        <w:r>
          <w:rPr>
            <w:color w:val="0000EE"/>
            <w:u w:val="single"/>
          </w:rPr>
          <w:t>Is 53</w:t>
        </w:r>
      </w:hyperlink>
      <w:r>
        <w:t>). Como o servo de Deus destinado a sofrer, Jesus resiste às tentativas de frustrar sua prisão (</w:t>
      </w:r>
      <w:hyperlink r:id="rId14092">
        <w:r>
          <w:rPr>
            <w:color w:val="0000EE"/>
            <w:u w:val="single"/>
          </w:rPr>
          <w:t>26.47–56</w:t>
        </w:r>
      </w:hyperlink>
      <w:r>
        <w:t>). A suprema corte dos judeus (o Sinédrio) e seu mais alto oficial religioso (o sumo sacerdote) condenam Jesus como um blasfemador porque ele se atreve a se identificar como “o Cristo, o Filho de Deus” (</w:t>
      </w:r>
      <w:hyperlink r:id="rId3999">
        <w:r>
          <w:rPr>
            <w:color w:val="0000EE"/>
            <w:u w:val="single"/>
          </w:rPr>
          <w:t>26.57–68</w:t>
        </w:r>
      </w:hyperlink>
      <w:r>
        <w:t xml:space="preserve">; cf. </w:t>
      </w:r>
      <w:hyperlink r:id="rId3704">
        <w:r>
          <w:rPr>
            <w:color w:val="0000EE"/>
            <w:u w:val="single"/>
          </w:rPr>
          <w:t>16.16</w:t>
        </w:r>
      </w:hyperlink>
      <w:r>
        <w:t>). Como se juntasse ao repúdio da corte, Pedro — em realização da profecia de Jesus (</w:t>
      </w:r>
      <w:hyperlink r:id="rId14093">
        <w:r>
          <w:rPr>
            <w:color w:val="0000EE"/>
            <w:u w:val="single"/>
          </w:rPr>
          <w:t>26.31–35</w:t>
        </w:r>
      </w:hyperlink>
      <w:r>
        <w:t xml:space="preserve">) — nega o conhecimento de Jesus (vv. </w:t>
      </w:r>
      <w:hyperlink r:id="rId11789">
        <w:r>
          <w:rPr>
            <w:color w:val="0000EE"/>
            <w:u w:val="single"/>
          </w:rPr>
          <w:t>69–75</w:t>
        </w:r>
      </w:hyperlink>
      <w:r>
        <w:t>). A desilusão de Judas encontra expressão no suicídio (</w:t>
      </w:r>
      <w:hyperlink r:id="rId12363">
        <w:r>
          <w:rPr>
            <w:color w:val="0000EE"/>
            <w:u w:val="single"/>
          </w:rPr>
          <w:t>27.3–10</w:t>
        </w:r>
      </w:hyperlink>
      <w:r>
        <w:t xml:space="preserve">). Os judeus entregam Jesus a Pilatos, o governador romano (vv. </w:t>
      </w:r>
      <w:hyperlink r:id="rId11796">
        <w:r>
          <w:rPr>
            <w:color w:val="0000EE"/>
            <w:u w:val="single"/>
          </w:rPr>
          <w:t>1–2</w:t>
        </w:r>
      </w:hyperlink>
      <w:r>
        <w:t xml:space="preserve">), só ele tendo autoridade para pronunciar a sentença de morte. Sabendo que a acusação de blasfêmia não terá importância para Pilatos, os judeus agora representam Jesus como uma ameaça para César. No final, Pilatos não responde às acusações e evidências específicas, mas sim à pressão da multidão e à ameaça de tumulto (vv. </w:t>
      </w:r>
      <w:hyperlink r:id="rId12447">
        <w:r>
          <w:rPr>
            <w:color w:val="0000EE"/>
            <w:u w:val="single"/>
          </w:rPr>
          <w:t>11–25</w:t>
        </w:r>
      </w:hyperlink>
      <w:r>
        <w:t xml:space="preserve">). Ele liberta Barrabás e entrega Jesus para ser crucificado (v. </w:t>
      </w:r>
      <w:hyperlink r:id="rId14094">
        <w:r>
          <w:rPr>
            <w:color w:val="0000EE"/>
            <w:u w:val="single"/>
          </w:rPr>
          <w:t>26</w:t>
        </w:r>
      </w:hyperlink>
      <w:r>
        <w:t>).</w:t>
      </w:r>
    </w:p>
    <w:p>
      <w:pPr>
        <w:pStyle w:val="Heading4"/>
      </w:pPr>
      <w:r>
        <w:t>A Morte de Jesus (27.27–66)</w:t>
      </w:r>
    </w:p>
    <w:p>
      <w:r/>
      <w:r>
        <w:t>Após seu tratamento humilhante nas mãos dos soldados romanos, Jesus é levado para o lugar da execução; enfraquecido pelos espancamentos, ele necessitava de ajuda (</w:t>
      </w:r>
      <w:hyperlink r:id="rId14095">
        <w:r>
          <w:rPr>
            <w:color w:val="0000EE"/>
            <w:u w:val="single"/>
          </w:rPr>
          <w:t>27.27–32</w:t>
        </w:r>
      </w:hyperlink>
      <w:r>
        <w:t xml:space="preserve">). Ele rejeita o narcótico oferecido para que ele possa manter sua mente limpa (v. </w:t>
      </w:r>
      <w:hyperlink r:id="rId6319">
        <w:r>
          <w:rPr>
            <w:color w:val="0000EE"/>
            <w:u w:val="single"/>
          </w:rPr>
          <w:t>34</w:t>
        </w:r>
      </w:hyperlink>
      <w:r>
        <w:t xml:space="preserve">). Ele sendo morto com malfeitores (v. </w:t>
      </w:r>
      <w:hyperlink r:id="rId14096">
        <w:r>
          <w:rPr>
            <w:color w:val="0000EE"/>
            <w:u w:val="single"/>
          </w:rPr>
          <w:t>38</w:t>
        </w:r>
      </w:hyperlink>
      <w:r>
        <w:t xml:space="preserve">) testifica o propósito de sua morte (cf. </w:t>
      </w:r>
      <w:hyperlink r:id="rId8705">
        <w:r>
          <w:rPr>
            <w:color w:val="0000EE"/>
            <w:u w:val="single"/>
          </w:rPr>
          <w:t>1.21</w:t>
        </w:r>
      </w:hyperlink>
      <w:r>
        <w:t>). Um fluxo constante de abuso é lançado contra ele, em desrespeito blasfemo à verdade da inscrição “Este é Jesus, o Rei dos judeus” (</w:t>
      </w:r>
      <w:hyperlink r:id="rId14097">
        <w:r>
          <w:rPr>
            <w:color w:val="0000EE"/>
            <w:u w:val="single"/>
          </w:rPr>
          <w:t>27.37–44</w:t>
        </w:r>
      </w:hyperlink>
      <w:r>
        <w:t xml:space="preserve">). Finalmente, das trevas, Jesus profere o grito de abandono; agora é revelado o horror final (aquele o qual sua alma sofreu no Getsêmani), a agonia suprema do portador do pecado — o abandono do Filho amado pelo Pai (vv. </w:t>
      </w:r>
      <w:hyperlink r:id="rId14098">
        <w:r>
          <w:rPr>
            <w:color w:val="0000EE"/>
            <w:u w:val="single"/>
          </w:rPr>
          <w:t>45–49</w:t>
        </w:r>
      </w:hyperlink>
      <w:r>
        <w:t xml:space="preserve">). Tendo clamado em voz alta (cf. </w:t>
      </w:r>
      <w:hyperlink r:id="rId8461">
        <w:r>
          <w:rPr>
            <w:color w:val="0000EE"/>
            <w:u w:val="single"/>
          </w:rPr>
          <w:t>Jo 19.30</w:t>
        </w:r>
      </w:hyperlink>
      <w:r>
        <w:t>), Jesus morre (</w:t>
      </w:r>
      <w:hyperlink r:id="rId6320">
        <w:r>
          <w:rPr>
            <w:color w:val="0000EE"/>
            <w:u w:val="single"/>
          </w:rPr>
          <w:t>27.50</w:t>
        </w:r>
      </w:hyperlink>
      <w:r>
        <w:t xml:space="preserve">). Imediatamente, os efeitos salvadores de sua morte se tornam evidentes (vv. </w:t>
      </w:r>
      <w:hyperlink r:id="rId14099">
        <w:r>
          <w:rPr>
            <w:color w:val="0000EE"/>
            <w:u w:val="single"/>
          </w:rPr>
          <w:t>51–53</w:t>
        </w:r>
      </w:hyperlink>
      <w:r>
        <w:t>): pecadores, agora perdoados, têm acesso ao Deus santo (o véu do templo está rasgado), e há esperança de ressurreição para aqueles que morreram. Como no início (</w:t>
      </w:r>
      <w:hyperlink r:id="rId11694">
        <w:r>
          <w:rPr>
            <w:color w:val="0000EE"/>
            <w:u w:val="single"/>
          </w:rPr>
          <w:t>2.1–12</w:t>
        </w:r>
      </w:hyperlink>
      <w:r>
        <w:t>), os gentios em vez de judeus confessam Jesus (</w:t>
      </w:r>
      <w:hyperlink r:id="rId4714">
        <w:r>
          <w:rPr>
            <w:color w:val="0000EE"/>
            <w:u w:val="single"/>
          </w:rPr>
          <w:t>27.54</w:t>
        </w:r>
      </w:hyperlink>
      <w:r>
        <w:t xml:space="preserve">; contrastando </w:t>
      </w:r>
      <w:hyperlink r:id="rId12623">
        <w:r>
          <w:rPr>
            <w:color w:val="0000EE"/>
            <w:u w:val="single"/>
          </w:rPr>
          <w:t>26.63–65</w:t>
        </w:r>
      </w:hyperlink>
      <w:r>
        <w:t>). A cuidadosa atenção de José ao sepultamento de Jesus contrasta com as tentativas em andamento dos principais sacerdotes e fariseus de resistir ao poder de Jesus (</w:t>
      </w:r>
      <w:hyperlink r:id="rId14100">
        <w:r>
          <w:rPr>
            <w:color w:val="0000EE"/>
            <w:u w:val="single"/>
          </w:rPr>
          <w:t>27.57–66</w:t>
        </w:r>
      </w:hyperlink>
      <w:r>
        <w:t>).</w:t>
      </w:r>
    </w:p>
    <w:p>
      <w:pPr>
        <w:pStyle w:val="Heading4"/>
      </w:pPr>
      <w:r>
        <w:t>O Triunfo do Salvador (28.1–20)</w:t>
      </w:r>
    </w:p>
    <w:p>
      <w:r/>
      <w:r>
        <w:t>Em meio a grande glória, poder e alegria, a vitória do Salvador sobre a morte é anunciada e atestada (</w:t>
      </w:r>
      <w:hyperlink r:id="rId14101">
        <w:r>
          <w:rPr>
            <w:color w:val="0000EE"/>
            <w:u w:val="single"/>
          </w:rPr>
          <w:t>28.1–7</w:t>
        </w:r>
      </w:hyperlink>
      <w:r>
        <w:t>). O Jesus ressuscitado aparece primeiro às mulheres que ficaram com ele durante sua crucificação (</w:t>
      </w:r>
      <w:hyperlink r:id="rId14102">
        <w:r>
          <w:rPr>
            <w:color w:val="0000EE"/>
            <w:u w:val="single"/>
          </w:rPr>
          <w:t>28.8–10</w:t>
        </w:r>
      </w:hyperlink>
      <w:r>
        <w:t xml:space="preserve">; cf. </w:t>
      </w:r>
      <w:hyperlink r:id="rId11812">
        <w:r>
          <w:rPr>
            <w:color w:val="0000EE"/>
            <w:u w:val="single"/>
          </w:rPr>
          <w:t>27.61</w:t>
        </w:r>
      </w:hyperlink>
      <w:r>
        <w:t xml:space="preserve">; </w:t>
      </w:r>
      <w:hyperlink r:id="rId6248">
        <w:r>
          <w:rPr>
            <w:color w:val="0000EE"/>
            <w:u w:val="single"/>
          </w:rPr>
          <w:t>28.1</w:t>
        </w:r>
      </w:hyperlink>
      <w:r>
        <w:t>). A resposta dos judeus ao relatório dos guardas sinaliza seu crescente desespero diante da realidade irresistível (</w:t>
      </w:r>
      <w:hyperlink r:id="rId14103">
        <w:r>
          <w:rPr>
            <w:color w:val="0000EE"/>
            <w:u w:val="single"/>
          </w:rPr>
          <w:t>28.11–15</w:t>
        </w:r>
      </w:hyperlink>
      <w:r>
        <w:t xml:space="preserve">). Encontrando-se com os 11 discípulos na montanha na Galileia (vv. </w:t>
      </w:r>
      <w:hyperlink r:id="rId7338">
        <w:r>
          <w:rPr>
            <w:color w:val="0000EE"/>
            <w:u w:val="single"/>
          </w:rPr>
          <w:t>16–20</w:t>
        </w:r>
      </w:hyperlink>
      <w:r>
        <w:t>), Jesus, o novo Moisés, continua suas instruções. Ele agora revela o propósito evangelístico para o qual Mateus tem preparado os leitores desde o início do seu Evangelho. Os apóstolos devem discipular todos os povos batizando-os no nome do Deus trino e ensinando-os a obedecer a tudo o que Jesus ordenou. Os apóstolos saem na certeza de que Jesus — como Senhor — está sobre eles, e que Jesus — como Emanuel — está com eles até o fim dos tempos.</w:t>
      </w:r>
    </w:p>
    <w:p>
      <w:r/>
      <w:r>
        <w:rPr>
          <w:i/>
        </w:rPr>
        <w:t>Veja também</w:t>
      </w:r>
      <w:r>
        <w:t xml:space="preserve"> </w:t>
      </w:r>
      <w:r>
        <w:t>Jesus Cristo, Vida e Ensinamentos de</w:t>
      </w:r>
      <w:r>
        <w:t xml:space="preserve">; </w:t>
      </w:r>
      <w:r>
        <w:t>Lucas, Evangelho de</w:t>
      </w:r>
      <w:r>
        <w:t xml:space="preserve">; </w:t>
      </w:r>
      <w:r>
        <w:t>Marcos, Evangelho de</w:t>
      </w:r>
      <w:r>
        <w:t xml:space="preserve">; </w:t>
      </w:r>
      <w:r>
        <w:t>Mateus (Pessoa)</w:t>
      </w:r>
      <w:r>
        <w:t xml:space="preserve">; </w:t>
      </w:r>
      <w:r>
        <w:t>Evangelhos Sinópticos</w:t>
      </w:r>
      <w:r>
        <w:t>.</w:t>
      </w:r>
      <w:r/>
      <w:r/>
    </w:p>
    <w:p>
      <w:r/>
    </w:p>
    <w:p>
      <w:pPr>
        <w:pStyle w:val="Heading2"/>
      </w:pPr>
      <w:r>
        <w:t>Matias</w:t>
      </w:r>
      <w:r/>
    </w:p>
    <w:p>
      <w:r/>
      <w:r>
        <w:t xml:space="preserve">Matias foi um discípulo de Jesus mencionado pelo nome apenas em </w:t>
      </w:r>
      <w:hyperlink r:id="rId14104">
        <w:r>
          <w:rPr>
            <w:color w:val="0000EE"/>
            <w:u w:val="single"/>
          </w:rPr>
          <w:t>Atos 1.23–26</w:t>
        </w:r>
      </w:hyperlink>
      <w:r>
        <w:t>. O Senhor o escolheu para substituir Judas Iscariotes como um dos doze apóstolos.</w:t>
      </w:r>
    </w:p>
    <w:p>
      <w:r/>
      <w:r>
        <w:t>Pouco depois de Jesus subir ao céu (sua ascensão), Pedro disse que precisavam de outro apóstolo. Havia dois requisitos para o novo apóstolo:</w:t>
      </w:r>
    </w:p>
    <w:p>
      <w:pPr>
        <w:pStyle w:val="ListNumber"/>
        <w:spacing w:line="240" w:lineRule="auto"/>
        <w:ind w:left="720"/>
      </w:pPr>
      <w:r/>
      <w:r>
        <w:t>A pessoa deve ter seguido Jesus desde o momento do seu batismo até a sua ascensão.</w:t>
      </w:r>
    </w:p>
    <w:p>
      <w:pPr>
        <w:pStyle w:val="ListNumber"/>
        <w:spacing w:line="240" w:lineRule="auto"/>
        <w:ind w:left="720"/>
      </w:pPr>
      <w:r/>
      <w:r>
        <w:t>A pessoa deve ter visto Jesus após a sua ressurreição.</w:t>
      </w:r>
    </w:p>
    <w:p>
      <w:r/>
      <w:r>
        <w:t>O grupo de crentes sugeriu dois homens que atendiam a esses requisitos: José, chamado Barsabás (também conhecido como Justo), e Matias.</w:t>
      </w:r>
    </w:p>
    <w:p>
      <w:r/>
      <w:r>
        <w:t>Em seguida, eles lançaram sortes (alguns estudiosos acreditam que podem ter votado em vez disso). Seja qual for o método que usaram, Matias tornou-se o próximo apóstolo.</w:t>
      </w:r>
    </w:p>
    <w:p>
      <w:r/>
      <w:r>
        <w:t>Mais tarde, o grupo de apóstolos cresceu para incluir outros, como Paulo, Andrônico e Júnia. A Bíblia nunca menciona Matias novamente após sua seleção. No entanto, a tradição diz que ele pregou na Judeia e acabou sendo morto por apedrejamento pelas autoridades judaicas.</w:t>
      </w:r>
    </w:p>
    <w:p>
      <w:r/>
      <w:r>
        <w:rPr>
          <w:i/>
        </w:rPr>
        <w:t>Veja também</w:t>
      </w:r>
      <w:r>
        <w:t xml:space="preserve"> </w:t>
      </w:r>
      <w:r>
        <w:t>Apóstolo, Apostolado</w:t>
      </w:r>
      <w:r>
        <w:t>.</w:t>
      </w:r>
      <w:r/>
      <w:r/>
    </w:p>
    <w:p>
      <w:r/>
    </w:p>
    <w:p>
      <w:pPr>
        <w:pStyle w:val="Heading2"/>
      </w:pPr>
      <w:r>
        <w:t>Matrede</w:t>
      </w:r>
      <w:r/>
    </w:p>
    <w:p>
      <w:r/>
      <w:r>
        <w:t>Mãe de Meetabel, a esposa do Rei Hadade (Hadar) de Edom (</w:t>
      </w:r>
      <w:hyperlink r:id="rId10282">
        <w:r>
          <w:rPr>
            <w:color w:val="0000EE"/>
            <w:u w:val="single"/>
          </w:rPr>
          <w:t>Gn 36.39</w:t>
        </w:r>
      </w:hyperlink>
      <w:r>
        <w:t xml:space="preserve">; </w:t>
      </w:r>
      <w:hyperlink r:id="rId14105">
        <w:r>
          <w:rPr>
            <w:color w:val="0000EE"/>
            <w:u w:val="single"/>
          </w:rPr>
          <w:t>1Cr 1.50</w:t>
        </w:r>
      </w:hyperlink>
      <w:r>
        <w:t>).</w:t>
      </w:r>
      <w:r/>
      <w:r/>
    </w:p>
    <w:p>
      <w:r/>
    </w:p>
    <w:p>
      <w:pPr>
        <w:pStyle w:val="Heading2"/>
      </w:pPr>
      <w:r>
        <w:t>Matusalém</w:t>
      </w:r>
      <w:r/>
    </w:p>
    <w:p>
      <w:r/>
      <w:r>
        <w:t>O filho de Enoque, pai de Lameque e avô de Noé através da linhagem de Sete (</w:t>
      </w:r>
      <w:hyperlink r:id="rId14106">
        <w:r>
          <w:rPr>
            <w:color w:val="0000EE"/>
            <w:u w:val="single"/>
          </w:rPr>
          <w:t>Gn 5.21–27</w:t>
        </w:r>
      </w:hyperlink>
      <w:r>
        <w:t xml:space="preserve">; </w:t>
      </w:r>
      <w:hyperlink r:id="rId8086">
        <w:r>
          <w:rPr>
            <w:color w:val="0000EE"/>
            <w:u w:val="single"/>
          </w:rPr>
          <w:t>1Cr 1.3</w:t>
        </w:r>
      </w:hyperlink>
      <w:r>
        <w:t>). Algumas versões da Bíblia em português coloca o nome como "Metusalém" (e.g., ARC, ARA). Matusalém viveu 969 anos. Ele é a pessoa mais velha registrada na Bíblia. Sua ancestralidade está incluída no registro de Lucas dos ancestrais de Jesus (</w:t>
      </w:r>
      <w:hyperlink r:id="rId4016">
        <w:r>
          <w:rPr>
            <w:color w:val="0000EE"/>
            <w:u w:val="single"/>
          </w:rPr>
          <w:t>Lc 3.37</w:t>
        </w:r>
      </w:hyperlink>
      <w:r>
        <w:t>).</w:t>
      </w:r>
    </w:p>
    <w:p>
      <w:r/>
      <w:r>
        <w:rPr>
          <w:i/>
        </w:rPr>
        <w:t>Veja também</w:t>
      </w:r>
      <w:r>
        <w:t xml:space="preserve"> </w:t>
      </w:r>
      <w:r>
        <w:t>a Ancestralidade de Jesus Cristo</w:t>
      </w:r>
      <w:r>
        <w:t>.</w:t>
      </w:r>
      <w:r/>
      <w:r/>
    </w:p>
    <w:p>
      <w:r/>
    </w:p>
    <w:p>
      <w:pPr>
        <w:pStyle w:val="Heading2"/>
      </w:pPr>
      <w:r>
        <w:t>Medã</w:t>
      </w:r>
      <w:r/>
    </w:p>
    <w:p>
      <w:r/>
      <w:r>
        <w:t>Terceiro filho de Abraão com sua segunda esposa, Quetura (</w:t>
      </w:r>
      <w:hyperlink r:id="rId11386">
        <w:r>
          <w:rPr>
            <w:color w:val="0000EE"/>
            <w:u w:val="single"/>
          </w:rPr>
          <w:t>Gn 25.2</w:t>
        </w:r>
      </w:hyperlink>
      <w:r>
        <w:t xml:space="preserve">; </w:t>
      </w:r>
      <w:hyperlink r:id="rId5351">
        <w:r>
          <w:rPr>
            <w:color w:val="0000EE"/>
            <w:u w:val="single"/>
          </w:rPr>
          <w:t>1Cr 1.32</w:t>
        </w:r>
      </w:hyperlink>
      <w:r>
        <w:t>).</w:t>
      </w:r>
      <w:r/>
      <w:r/>
    </w:p>
    <w:p>
      <w:r/>
    </w:p>
    <w:p>
      <w:pPr>
        <w:pStyle w:val="Heading2"/>
      </w:pPr>
      <w:r>
        <w:t>Medade</w:t>
      </w:r>
      <w:r/>
    </w:p>
    <w:p>
      <w:r/>
      <w:r>
        <w:t>Um ancião de Israel que profetizou durante a jornada dos israelitas pelo deserto. Deus deu a ele e a outro líder chamado Eldade mensagens especiais para compartilhar com o povo. Josué ficou preocupado quando os viu transmitindo as mensagens de Deus, mas Moisés disse a Josué que isso era bom e que eles tinham o direito de compartilhar o que Deus lhes havia dito (</w:t>
      </w:r>
      <w:hyperlink r:id="rId7791">
        <w:r>
          <w:rPr>
            <w:color w:val="0000EE"/>
            <w:u w:val="single"/>
          </w:rPr>
          <w:t>Nm 11.26–27</w:t>
        </w:r>
      </w:hyperlink>
      <w:r>
        <w:t>).</w:t>
      </w:r>
      <w:r/>
      <w:r/>
    </w:p>
    <w:p>
      <w:r/>
    </w:p>
    <w:p>
      <w:pPr>
        <w:pStyle w:val="Heading2"/>
      </w:pPr>
      <w:r>
        <w:t>Medeba</w:t>
      </w:r>
      <w:r/>
    </w:p>
    <w:p>
      <w:r/>
      <w:r>
        <w:t>Medeba era uma cidade moabita na fértil planície a nordeste do Mar Morto. Ficava a cerca de 40 quilômetros ao sul de Filadélfia (atualmente a moderna Amã). Estava a 9,7 quilômetros ao sul de Hesbom, situada na estrada romana que levava até Queraque.</w:t>
      </w:r>
    </w:p>
    <w:p>
      <w:r/>
      <w:r>
        <w:t>Neste local, os amorreus derrotaram Moabe (</w:t>
      </w:r>
      <w:hyperlink r:id="rId7132">
        <w:r>
          <w:rPr>
            <w:color w:val="0000EE"/>
            <w:u w:val="single"/>
          </w:rPr>
          <w:t>Nm 21.30</w:t>
        </w:r>
      </w:hyperlink>
      <w:r>
        <w:t>). Mais tarde, Israel derrotou Seom, rei dos amorreus, em Medeba. Os israelitas deram esta cidade à tribo de Rúben (</w:t>
      </w:r>
      <w:hyperlink r:id="rId14107">
        <w:r>
          <w:rPr>
            <w:color w:val="0000EE"/>
            <w:u w:val="single"/>
          </w:rPr>
          <w:t>Js 13.9,16</w:t>
        </w:r>
      </w:hyperlink>
      <w:r>
        <w:t>). O rei Davi derrotou um exército arameu neste lugar. Os arameus haviam sido contratados pelos amonitas para lutar contra as forças de Davi (</w:t>
      </w:r>
      <w:hyperlink r:id="rId14108">
        <w:r>
          <w:rPr>
            <w:color w:val="0000EE"/>
            <w:u w:val="single"/>
          </w:rPr>
          <w:t>1Cr 19.7</w:t>
        </w:r>
      </w:hyperlink>
      <w:r>
        <w:t>).</w:t>
      </w:r>
    </w:p>
    <w:p>
      <w:r/>
      <w:r>
        <w:t>De acordo com a Pedra Moabita (uma inscrição antiga em pedra), a cidade foi uma vez controlada pelos reis israelitas Onri e Acabe. No entanto, quando o rei Mesa trouxe Moabe de volta ao poder no século oitavo a.C., ele reconstruiu Medeba e outras cidades moabitas. Medeba é mencionada nas profecias de Isaías contra Moabe (</w:t>
      </w:r>
      <w:hyperlink r:id="rId3929">
        <w:r>
          <w:rPr>
            <w:color w:val="0000EE"/>
            <w:u w:val="single"/>
          </w:rPr>
          <w:t>Is 15.2</w:t>
        </w:r>
      </w:hyperlink>
      <w:r>
        <w:t>). Mais tarde, os reis Jorão e Josafá tentaram, mas não conseguiram capturar esta cidade.</w:t>
      </w:r>
      <w:r/>
      <w:r/>
    </w:p>
    <w:p>
      <w:r/>
    </w:p>
    <w:p>
      <w:pPr>
        <w:pStyle w:val="Heading2"/>
      </w:pPr>
      <w:r>
        <w:t>Mediar, Mediador</w:t>
      </w:r>
      <w:r/>
    </w:p>
    <w:p>
      <w:r/>
      <w:r>
        <w:t>O ato de um intermediário, ou especialista em coisas divinas, não para negociar acordo ou concessão, mas, para se aproximar de Deus em nome de outros e, assim, transmitir o conhecimento e a segurança desejados ante a autoridade divina.</w:t>
      </w:r>
    </w:p>
    <w:p>
      <w:pPr>
        <w:pStyle w:val="Heading3"/>
      </w:pPr>
      <w:r>
        <w:t>No Antigo Testamento</w:t>
      </w:r>
    </w:p>
    <w:p>
      <w:r/>
      <w:r>
        <w:t>A voz de Jó, ansiando por tal mediador (traduzido aqui da LXX): “Deus não é um mortal como eu, então eu não posso argumentar com ele ou levá-lo a julgamento. Se ao menos houvesse um mediador que pudesse nos unir, mas não há nenhum. O mediador poderia fazer Deus parar de me açoitar, e eu não viveria mais no terror de sua punição. Então, eu poderia falar com ele sem medo, mas eu não posso fazer isso em minha própria força” (</w:t>
      </w:r>
      <w:hyperlink r:id="rId14109">
        <w:r>
          <w:rPr>
            <w:color w:val="0000EE"/>
            <w:u w:val="single"/>
          </w:rPr>
          <w:t>Jó 9.32–35</w:t>
        </w:r>
      </w:hyperlink>
      <w:r>
        <w:t>).</w:t>
      </w:r>
    </w:p>
    <w:p>
      <w:r/>
      <w:r>
        <w:t>Mais familiar é a mediação da instrução sobre o caráter e vontade divinos. A aliança mosaica foi dada através da mediação dos anjos e de Moisés (</w:t>
      </w:r>
      <w:hyperlink r:id="rId14110">
        <w:r>
          <w:rPr>
            <w:color w:val="0000EE"/>
            <w:u w:val="single"/>
          </w:rPr>
          <w:t>Êx 20.18–21</w:t>
        </w:r>
      </w:hyperlink>
      <w:r>
        <w:t xml:space="preserve">; </w:t>
      </w:r>
      <w:hyperlink r:id="rId12510">
        <w:r>
          <w:rPr>
            <w:color w:val="0000EE"/>
            <w:u w:val="single"/>
          </w:rPr>
          <w:t>Dt 33.2</w:t>
        </w:r>
      </w:hyperlink>
      <w:r>
        <w:t xml:space="preserve">; </w:t>
      </w:r>
      <w:hyperlink r:id="rId14111">
        <w:r>
          <w:rPr>
            <w:color w:val="0000EE"/>
            <w:u w:val="single"/>
          </w:rPr>
          <w:t>At 7.53</w:t>
        </w:r>
      </w:hyperlink>
      <w:r>
        <w:t xml:space="preserve">; </w:t>
      </w:r>
      <w:hyperlink r:id="rId1923">
        <w:r>
          <w:rPr>
            <w:color w:val="0000EE"/>
            <w:u w:val="single"/>
          </w:rPr>
          <w:t>Gl 3.19</w:t>
        </w:r>
      </w:hyperlink>
      <w:r>
        <w:t xml:space="preserve">; contraste </w:t>
      </w:r>
      <w:hyperlink r:id="rId14112">
        <w:r>
          <w:rPr>
            <w:color w:val="0000EE"/>
            <w:u w:val="single"/>
          </w:rPr>
          <w:t>Hb 6.13–17</w:t>
        </w:r>
      </w:hyperlink>
      <w:r>
        <w:t>, onde Deus, agindo sozinho, “mediou” um juramento). Os termos da lei da aliança foram expostos por profetas que “permaneciam no conselho de Deus”, e por sacerdotes que comunicavam a mente de Deus por oráculo, sorte sagrada e pronunciavam bênção (</w:t>
      </w:r>
      <w:hyperlink r:id="rId14113">
        <w:r>
          <w:rPr>
            <w:color w:val="0000EE"/>
            <w:u w:val="single"/>
          </w:rPr>
          <w:t>Dt 10.8</w:t>
        </w:r>
      </w:hyperlink>
      <w:r>
        <w:t xml:space="preserve">; </w:t>
      </w:r>
      <w:hyperlink r:id="rId14114">
        <w:r>
          <w:rPr>
            <w:color w:val="0000EE"/>
            <w:u w:val="single"/>
          </w:rPr>
          <w:t>33.8–10</w:t>
        </w:r>
      </w:hyperlink>
      <w:r>
        <w:t xml:space="preserve">; </w:t>
      </w:r>
      <w:hyperlink r:id="rId14115">
        <w:r>
          <w:rPr>
            <w:color w:val="0000EE"/>
            <w:u w:val="single"/>
          </w:rPr>
          <w:t>2Cr 15.3</w:t>
        </w:r>
      </w:hyperlink>
      <w:r>
        <w:t xml:space="preserve">; </w:t>
      </w:r>
      <w:hyperlink r:id="rId14116">
        <w:r>
          <w:rPr>
            <w:color w:val="0000EE"/>
            <w:u w:val="single"/>
          </w:rPr>
          <w:t>Jr 23.10–11, 18–22, 31–34</w:t>
        </w:r>
      </w:hyperlink>
      <w:r>
        <w:t xml:space="preserve">; </w:t>
      </w:r>
      <w:hyperlink r:id="rId14117">
        <w:r>
          <w:rPr>
            <w:color w:val="0000EE"/>
            <w:u w:val="single"/>
          </w:rPr>
          <w:t>Mq 3.11</w:t>
        </w:r>
      </w:hyperlink>
      <w:r>
        <w:t xml:space="preserve">; </w:t>
      </w:r>
      <w:hyperlink r:id="rId13604">
        <w:r>
          <w:rPr>
            <w:color w:val="0000EE"/>
            <w:u w:val="single"/>
          </w:rPr>
          <w:t>Ml 2.7</w:t>
        </w:r>
      </w:hyperlink>
      <w:r>
        <w:t>).</w:t>
      </w:r>
    </w:p>
    <w:p>
      <w:r/>
      <w:r>
        <w:t>Mais familiar é a mediação litúrgica do sacerdote, seja por Moisés (</w:t>
      </w:r>
      <w:hyperlink r:id="rId14118">
        <w:r>
          <w:rPr>
            <w:color w:val="0000EE"/>
            <w:u w:val="single"/>
          </w:rPr>
          <w:t>Êx 24.4–8</w:t>
        </w:r>
      </w:hyperlink>
      <w:r>
        <w:t>) ou por uma pessoa nomeada e treinada nos rituais de culto (</w:t>
      </w:r>
      <w:hyperlink r:id="rId128">
        <w:r>
          <w:rPr>
            <w:color w:val="0000EE"/>
            <w:u w:val="single"/>
          </w:rPr>
          <w:t>28.1</w:t>
        </w:r>
      </w:hyperlink>
      <w:r>
        <w:t xml:space="preserve">). Por causa da ênfase de Israel na santidade de Deus, expiação sacrificial ou “cobertura” do pecado, era uma analogia, em grande parte, baseada na mediação sacerdotal. O sacerdote representava diante de Deus a penitência, confissão e orações do povo por perdão, levando os nomes das tribos nos ombros e peitoral, e representava Deus, por sua vez, assegurando seu favor, perdão e proteção (veja </w:t>
      </w:r>
      <w:hyperlink r:id="rId14119">
        <w:r>
          <w:rPr>
            <w:color w:val="0000EE"/>
            <w:u w:val="single"/>
          </w:rPr>
          <w:t>Hb 5.1–4</w:t>
        </w:r>
      </w:hyperlink>
      <w:r>
        <w:t xml:space="preserve">; </w:t>
      </w:r>
      <w:hyperlink r:id="rId14120">
        <w:r>
          <w:rPr>
            <w:color w:val="0000EE"/>
            <w:u w:val="single"/>
          </w:rPr>
          <w:t>7.27–10.11</w:t>
        </w:r>
      </w:hyperlink>
      <w:r>
        <w:t>).</w:t>
      </w:r>
    </w:p>
    <w:p>
      <w:pPr>
        <w:pStyle w:val="Heading3"/>
      </w:pPr>
      <w:r>
        <w:t>No Novo Testamento</w:t>
      </w:r>
    </w:p>
    <w:p>
      <w:r/>
      <w:r>
        <w:t>Era natural que a missão de Jesus fosse descrita em termos mediatoriais, e como a de um profeta falando em nome de Deus aos humanos, primeiramente, tornando conhecido a Deus (</w:t>
      </w:r>
      <w:hyperlink r:id="rId14121">
        <w:r>
          <w:rPr>
            <w:color w:val="0000EE"/>
            <w:u w:val="single"/>
          </w:rPr>
          <w:t>Mc 6.15</w:t>
        </w:r>
      </w:hyperlink>
      <w:r>
        <w:t xml:space="preserve">; </w:t>
      </w:r>
      <w:hyperlink r:id="rId14122">
        <w:r>
          <w:rPr>
            <w:color w:val="0000EE"/>
            <w:u w:val="single"/>
          </w:rPr>
          <w:t>8.28</w:t>
        </w:r>
      </w:hyperlink>
      <w:r>
        <w:t>). Onde aplicado a Jesus, o título “mediador” se refere, principalmente, à sua instituição de uma nova aliança, estabelecendo o novo relacionamento de Deus com as pessoas (</w:t>
      </w:r>
      <w:hyperlink r:id="rId878">
        <w:r>
          <w:rPr>
            <w:color w:val="0000EE"/>
            <w:u w:val="single"/>
          </w:rPr>
          <w:t>Hb 8.6</w:t>
        </w:r>
      </w:hyperlink>
      <w:r>
        <w:t xml:space="preserve">; </w:t>
      </w:r>
      <w:hyperlink r:id="rId854">
        <w:r>
          <w:rPr>
            <w:color w:val="0000EE"/>
            <w:u w:val="single"/>
          </w:rPr>
          <w:t>9.15</w:t>
        </w:r>
      </w:hyperlink>
      <w:r>
        <w:t xml:space="preserve">; </w:t>
      </w:r>
      <w:hyperlink r:id="rId855">
        <w:r>
          <w:rPr>
            <w:color w:val="0000EE"/>
            <w:u w:val="single"/>
          </w:rPr>
          <w:t>12.24</w:t>
        </w:r>
      </w:hyperlink>
      <w:r>
        <w:t xml:space="preserve">). O outro exemplo é </w:t>
      </w:r>
      <w:hyperlink r:id="rId14123">
        <w:r>
          <w:rPr>
            <w:color w:val="0000EE"/>
            <w:u w:val="single"/>
          </w:rPr>
          <w:t>1 Timóteo 2.5</w:t>
        </w:r>
      </w:hyperlink>
      <w:r>
        <w:t>, onde a singularidade de Deus requer um único mediador inigualável, a saber, Cristo.</w:t>
      </w:r>
    </w:p>
    <w:p>
      <w:r/>
      <w:r>
        <w:t xml:space="preserve">Esta última referência menciona a entrega de Cristo como “um resgate por todos”. Esta função essencialmente sacerdotal é o tema de Hebreus. Cristo como Filho de Deus, divinamente nomeado, sem pecado, em sofrimento, tentado, compassivo e obediente, é exclusivamente qualificado para ser Sumo Sacerdote de seu povo. Como sacerdote, ele oferece um sacrifício perfeito e vive para sempre para interceder por aqueles que se aproximam de Deus através dele. Este ministério mediador coloca Jesus à “mão direita de Deus”. Sua intercessão pelas pessoas é mencionada também em </w:t>
      </w:r>
      <w:hyperlink r:id="rId11107">
        <w:r>
          <w:rPr>
            <w:color w:val="0000EE"/>
            <w:u w:val="single"/>
          </w:rPr>
          <w:t>Romanos 8.34</w:t>
        </w:r>
      </w:hyperlink>
      <w:r>
        <w:t xml:space="preserve"> e, provavelmente, em </w:t>
      </w:r>
      <w:hyperlink r:id="rId2684">
        <w:r>
          <w:rPr>
            <w:color w:val="0000EE"/>
            <w:u w:val="single"/>
          </w:rPr>
          <w:t>1 João 2.1</w:t>
        </w:r>
      </w:hyperlink>
      <w:r>
        <w:t>, onde os antigos comentaristas gregos, neb e outras fontes autoritativas entendem “paracleto”, aqui, aplicado a Jesus. Seu sacrifício mediador é mencionado em Mateus (</w:t>
      </w:r>
      <w:hyperlink r:id="rId856">
        <w:r>
          <w:rPr>
            <w:color w:val="0000EE"/>
            <w:u w:val="single"/>
          </w:rPr>
          <w:t>Mt 26.28</w:t>
        </w:r>
      </w:hyperlink>
      <w:r>
        <w:t>), João (</w:t>
      </w:r>
      <w:hyperlink r:id="rId404">
        <w:r>
          <w:rPr>
            <w:color w:val="0000EE"/>
            <w:u w:val="single"/>
          </w:rPr>
          <w:t>Jo 1.29</w:t>
        </w:r>
      </w:hyperlink>
      <w:r>
        <w:t>), Romanos (</w:t>
      </w:r>
      <w:hyperlink r:id="rId2767">
        <w:r>
          <w:rPr>
            <w:color w:val="0000EE"/>
            <w:u w:val="single"/>
          </w:rPr>
          <w:t>Rm 3.25</w:t>
        </w:r>
      </w:hyperlink>
      <w:r>
        <w:t>) e 1 João (</w:t>
      </w:r>
      <w:hyperlink r:id="rId5313">
        <w:r>
          <w:rPr>
            <w:color w:val="0000EE"/>
            <w:u w:val="single"/>
          </w:rPr>
          <w:t>1Jo 1.7</w:t>
        </w:r>
      </w:hyperlink>
      <w:r>
        <w:t xml:space="preserve">; </w:t>
      </w:r>
      <w:hyperlink r:id="rId1202">
        <w:r>
          <w:rPr>
            <w:color w:val="0000EE"/>
            <w:u w:val="single"/>
          </w:rPr>
          <w:t>2.2</w:t>
        </w:r>
      </w:hyperlink>
      <w:r>
        <w:t xml:space="preserve">; </w:t>
      </w:r>
      <w:hyperlink r:id="rId8861">
        <w:r>
          <w:rPr>
            <w:color w:val="0000EE"/>
            <w:u w:val="single"/>
          </w:rPr>
          <w:t>4.10</w:t>
        </w:r>
      </w:hyperlink>
      <w:r>
        <w:t>).</w:t>
      </w:r>
    </w:p>
    <w:p>
      <w:r/>
      <w:r>
        <w:t>Ainda mais significativo é a obstinação, em todos os lugares no NT, de que o conhecimento do homem de Deus, salvação e esperança vêm somente por Cristo. Despojado de sua glória por nossa causa, ele morreu e ressuscitou “por nós”; nossa paz, acesso a Deus, reconciliação, expiação do pecado, graça, verdade, oração e “todas as bênçãos espirituais” são “através dele”, “nele”, “através de seu sangue” e “em seu nome”. O propósito de Deus se concentra nele; ele mediou na Criação e na redenção (</w:t>
      </w:r>
      <w:hyperlink r:id="rId10904">
        <w:r>
          <w:rPr>
            <w:color w:val="0000EE"/>
            <w:u w:val="single"/>
          </w:rPr>
          <w:t>Cl 1.15,22</w:t>
        </w:r>
      </w:hyperlink>
      <w:r>
        <w:t>); nele toda a plenitude de Deus habita, e a face de Cristo revela a glória de Deus. Ninguém conhece o Pai, exceto o Filho e aqueles a quem o Filho o revela; ninguém vem ao Pai exceto através dele; nem há salvação em qualquer outro.</w:t>
      </w:r>
    </w:p>
    <w:p>
      <w:r/>
      <w:r>
        <w:t>A mediação de Cristo é o cumprimento e o fim de toda a mediação entre Deus e a humanidade. O livro de Hebreus inicia com a afirmação de que Cristo supera a todos os outros mediadores — anjos, Moisés, o sacerdócio Aarônico. Seu sacerdócio é atemporal, como o de Melquisedeque. Seu sacrifício é único, “de uma vez por todas”, e por ele fomos consagrados a Deus “por todos os tempos”. A aliança que ele estabeleceu entre Deus e as pessoas oferece melhores promessas, sacrifício, santuário e esperança (</w:t>
      </w:r>
      <w:hyperlink r:id="rId14124">
        <w:r>
          <w:rPr>
            <w:color w:val="0000EE"/>
            <w:u w:val="single"/>
          </w:rPr>
          <w:t>Hb 7.19</w:t>
        </w:r>
      </w:hyperlink>
      <w:r>
        <w:t xml:space="preserve">; </w:t>
      </w:r>
      <w:hyperlink r:id="rId878">
        <w:r>
          <w:rPr>
            <w:color w:val="0000EE"/>
            <w:u w:val="single"/>
          </w:rPr>
          <w:t>8.6</w:t>
        </w:r>
      </w:hyperlink>
      <w:r>
        <w:t xml:space="preserve">; </w:t>
      </w:r>
      <w:hyperlink r:id="rId14125">
        <w:r>
          <w:rPr>
            <w:color w:val="0000EE"/>
            <w:u w:val="single"/>
          </w:rPr>
          <w:t>9.1, 11–15</w:t>
        </w:r>
      </w:hyperlink>
      <w:r>
        <w:t xml:space="preserve">). A mediação de Cristo é incomparável, supera as demais formas de medição de modo que nunca pode ser substituída; ele é sacerdote sem igual e para sempre (cf. </w:t>
      </w:r>
      <w:hyperlink r:id="rId14123">
        <w:r>
          <w:rPr>
            <w:color w:val="0000EE"/>
            <w:u w:val="single"/>
          </w:rPr>
          <w:t>1Tm 2.5</w:t>
        </w:r>
      </w:hyperlink>
      <w:r>
        <w:t>).</w:t>
      </w:r>
    </w:p>
    <w:p>
      <w:r/>
      <w:r>
        <w:t>Sem utilizar a analogia sacerdotal, João enfatiza a mesma verdade. O abismo entre divino e humano foi cruzado, decisiva e finalmente, pela Encarnação. Em vez de ficar entre Deus e o homem, Cristo une ambos dentro de si ao se tornar homem. Mediando no início na Criação, Cristo é o próprio Verbo que, ao lado de Deus, medeia a mente de Deus, incorpora a mensagem de Deus e transmite o poder de Deus. Ninguém viu Deus em qualquer evento, mas, como Filho único e divino, Jesus “desvenda” Deus (</w:t>
      </w:r>
      <w:hyperlink r:id="rId9132">
        <w:r>
          <w:rPr>
            <w:color w:val="0000EE"/>
            <w:u w:val="single"/>
          </w:rPr>
          <w:t>Jo 1.18</w:t>
        </w:r>
      </w:hyperlink>
      <w:r>
        <w:t xml:space="preserve">). Do lado humano, Jesus ora pelos discípulos (cap. </w:t>
      </w:r>
      <w:hyperlink r:id="rId9388">
        <w:r>
          <w:rPr>
            <w:color w:val="0000EE"/>
            <w:u w:val="single"/>
          </w:rPr>
          <w:t>17</w:t>
        </w:r>
      </w:hyperlink>
      <w:r>
        <w:t>), oferece obediência perfeita, dá sua vida por seu rebanho e oferece o sacrifício puro que carrega o pecado do mundo.</w:t>
      </w:r>
    </w:p>
    <w:p>
      <w:r/>
      <w:r>
        <w:rPr>
          <w:i/>
        </w:rPr>
        <w:t>Veja também</w:t>
      </w:r>
      <w:r>
        <w:t xml:space="preserve"> </w:t>
      </w:r>
      <w:r>
        <w:t>Reconciliação</w:t>
      </w:r>
      <w:r>
        <w:t>.</w:t>
      </w:r>
      <w:r/>
      <w:r/>
    </w:p>
    <w:p>
      <w:r/>
    </w:p>
    <w:p>
      <w:pPr>
        <w:pStyle w:val="Heading2"/>
      </w:pPr>
      <w:r>
        <w:t>Medicina E Prática Médica</w:t>
      </w:r>
      <w:r/>
    </w:p>
    <w:p>
      <w:r/>
      <w:r>
        <w:t>O campo do conhecimento que lida com o diagnóstico, tratamento e prevenção de doenças, bem como as substâncias reais usadas para diagnosticar, tratar ou prevenir doenças.</w:t>
      </w:r>
    </w:p>
    <w:p>
      <w:r/>
      <w:r>
        <w:t xml:space="preserve">A medicina como um ramo do conhecimento recebeu pouca atenção do povo hebreu nos tempos do AT, em contraste com as culturas vizinhas encontradas na Mesopotâmia e no Egito, onde o conhecimento médico tinha um lugar proeminente. Na biblioteca do rei Assírio Assurbanípal estão 800 tábuas relacionadas com a medicina. A partir desses escritos, pode ser visto que a medicina naquela época era uma mistura de religião, adivinhação e demonologia. Sua farmacopeia era extensa e incluía agentes como fezes de cachorro e urina humana. As operações cirúrgicas eram realizadas por alguns médicos. Um método incomum de diagnóstico praticado na Babilônia era inspecionar o fígado de um animal recém-morto e compará-lo com um modelo de argila de um fígado de um animal normal. As diferenças entre os dois eram usadas para diagnosticar a condição do paciente. Um exemplo interessante disso, e de adivinhação, é encontrado em </w:t>
      </w:r>
      <w:hyperlink r:id="rId9336">
        <w:r>
          <w:rPr>
            <w:color w:val="0000EE"/>
            <w:u w:val="single"/>
          </w:rPr>
          <w:t>Ezequiel 21.21</w:t>
        </w:r>
      </w:hyperlink>
      <w:r>
        <w:t>.</w:t>
      </w:r>
    </w:p>
    <w:p>
      <w:r/>
      <w:r>
        <w:t xml:space="preserve">A arte da medicina era mais avançada no Egito do que na Mesopotâmia, dependendo mais da lógica e da observação. O papiro de Edwin Smith é o tratado cirúrgico mais antigo conhecido. Aborda uma variedade de fraturas, deslocações, feridas, tumores e úlceras. Curativo adesivo, sutura cirúrgica e cauterização eram usados nos tratamentos. O coração era reconhecido como o centro do sistema circulatório, e o pulso era observado. O papiro de Ebers lida com problemas da medicina interna e seu tratamento. Os enemas eram uma forma popular de terapia, e sua </w:t>
      </w:r>
      <w:r>
        <w:rPr>
          <w:i/>
        </w:rPr>
        <w:t>matéria médica</w:t>
      </w:r>
      <w:r>
        <w:t xml:space="preserve"> continha uma variedade de remédios, que iam de óleo de rícino à gordura animal e areia quente. Outros papiros lidam com problemas ginecológicos e contêm fórmulas e diversos encantamentos mágicos. A mumificação era uma arte altamente desenvolvida; José teve seu pai Jacó embalsamado (</w:t>
      </w:r>
      <w:hyperlink r:id="rId7449">
        <w:r>
          <w:rPr>
            <w:color w:val="0000EE"/>
            <w:u w:val="single"/>
          </w:rPr>
          <w:t>Gn 50.2</w:t>
        </w:r>
      </w:hyperlink>
      <w:r>
        <w:t>).</w:t>
      </w:r>
    </w:p>
    <w:p>
      <w:r/>
      <w:r>
        <w:t>A perspectiva do povo hebreu nos tempos do AT em relação às doenças era completamente diferente da de seus vizinhos pagãos. Eles não acreditavam nas superstições pagãs ou deuses e, consequentemente, não desenvolveram um conhecimento médico semelhante aos egípcios e babilônios. Em vez disso, os hebreus consideravam a doença como um julgamento de Deus (</w:t>
      </w:r>
      <w:hyperlink r:id="rId7447">
        <w:r>
          <w:rPr>
            <w:color w:val="0000EE"/>
            <w:u w:val="single"/>
          </w:rPr>
          <w:t>Êx 15.26</w:t>
        </w:r>
      </w:hyperlink>
      <w:r>
        <w:t xml:space="preserve">; </w:t>
      </w:r>
      <w:hyperlink r:id="rId9148">
        <w:r>
          <w:rPr>
            <w:color w:val="0000EE"/>
            <w:u w:val="single"/>
          </w:rPr>
          <w:t>Dt 28.22,35,60–61</w:t>
        </w:r>
      </w:hyperlink>
      <w:r>
        <w:t xml:space="preserve">; </w:t>
      </w:r>
      <w:hyperlink r:id="rId7446">
        <w:r>
          <w:rPr>
            <w:color w:val="0000EE"/>
            <w:u w:val="single"/>
          </w:rPr>
          <w:t>Jo 9.2</w:t>
        </w:r>
      </w:hyperlink>
      <w:r>
        <w:t>) e a recuperação também era atribuída a Deus (</w:t>
      </w:r>
      <w:hyperlink r:id="rId7447">
        <w:r>
          <w:rPr>
            <w:color w:val="0000EE"/>
            <w:u w:val="single"/>
          </w:rPr>
          <w:t>Êx 15.26</w:t>
        </w:r>
      </w:hyperlink>
      <w:r>
        <w:t xml:space="preserve">; </w:t>
      </w:r>
      <w:hyperlink r:id="rId6384">
        <w:r>
          <w:rPr>
            <w:color w:val="0000EE"/>
            <w:u w:val="single"/>
          </w:rPr>
          <w:t>Sl 103.3</w:t>
        </w:r>
      </w:hyperlink>
      <w:r>
        <w:t xml:space="preserve">). De acordo com esta filosofia, a confiança do rei Asa nos médicos, em vez de em Deus é mencionada de forma reprobatória em </w:t>
      </w:r>
      <w:hyperlink r:id="rId7450">
        <w:r>
          <w:rPr>
            <w:color w:val="0000EE"/>
            <w:u w:val="single"/>
          </w:rPr>
          <w:t>2 Crônicas 16.12</w:t>
        </w:r>
      </w:hyperlink>
      <w:r>
        <w:t>. Portanto, embora o tratamento médico estivesse disponível em Israel, seu uso e desenvolvimento eram menos avançados do que nas terras vizinhas.</w:t>
      </w:r>
    </w:p>
    <w:p>
      <w:r/>
      <w:r>
        <w:t xml:space="preserve">A contribuição mais significativa que os hebreus deram à medicina foi nas medidas higiênicas descritas na Lei, particularmente em </w:t>
      </w:r>
      <w:hyperlink r:id="rId12915">
        <w:r>
          <w:rPr>
            <w:color w:val="0000EE"/>
            <w:u w:val="single"/>
          </w:rPr>
          <w:t>Levítico 11–15</w:t>
        </w:r>
      </w:hyperlink>
      <w:r>
        <w:t>. Embora tivessem uma significância primordialmente religiosa, elas indubitavelmente melhoraram o nível geral de saúde e bem-estar físico do povo. O sacerdote hebreu não era o equivalente do médico-sacerdote encontrado em outras culturas. Embora se esperasse que o sacerdote hebreu determinasse quais condições físicas tornavam uma pessoa cerimonialmente impura, não há indícios nas Escrituras de que ele tratava doenças.</w:t>
      </w:r>
    </w:p>
    <w:p>
      <w:r/>
      <w:r>
        <w:t>A única operação cirúrgica mencionada nas Escrituras é a circuncisão. Isso era realizado pelos hebreus para fins religiosos, em vez de fins médicos, e não era feito por um médico, mas pelo chefe da casa ou por outra pessoa (</w:t>
      </w:r>
      <w:hyperlink r:id="rId4946">
        <w:r>
          <w:rPr>
            <w:color w:val="0000EE"/>
            <w:u w:val="single"/>
          </w:rPr>
          <w:t>Êx 4.25</w:t>
        </w:r>
      </w:hyperlink>
      <w:r>
        <w:t xml:space="preserve">). Em </w:t>
      </w:r>
      <w:hyperlink r:id="rId14126">
        <w:r>
          <w:rPr>
            <w:color w:val="0000EE"/>
            <w:u w:val="single"/>
          </w:rPr>
          <w:t>Ezequiel 30.21</w:t>
        </w:r>
      </w:hyperlink>
      <w:r>
        <w:t>, a referência ao tratamento de uma fratura do braço imobilizando-o e colocando uma tala com um curativo de rolo.</w:t>
      </w:r>
    </w:p>
    <w:p>
      <w:r/>
      <w:r>
        <w:t>O atendimento obstétrico era feito por mulheres que eram parteiras experientes (</w:t>
      </w:r>
      <w:hyperlink r:id="rId14127">
        <w:r>
          <w:rPr>
            <w:color w:val="0000EE"/>
            <w:u w:val="single"/>
          </w:rPr>
          <w:t>Gn 35.17</w:t>
        </w:r>
      </w:hyperlink>
      <w:r>
        <w:t xml:space="preserve">). Em </w:t>
      </w:r>
      <w:hyperlink r:id="rId14128">
        <w:r>
          <w:rPr>
            <w:color w:val="0000EE"/>
            <w:u w:val="single"/>
          </w:rPr>
          <w:t>Gênesis 38.27–30</w:t>
        </w:r>
      </w:hyperlink>
      <w:r>
        <w:t xml:space="preserve">, há um relato do nascimento de gêmeos complicado por uma apresentação transversa. Este é um problema difícil para até mesmo a obstetra mais qualificada, e o fato de a mãe e ambos os bebês terem sobrevivido fala muito sobre a habilidade dessa parteira. Em </w:t>
      </w:r>
      <w:hyperlink r:id="rId14129">
        <w:r>
          <w:rPr>
            <w:color w:val="0000EE"/>
            <w:u w:val="single"/>
          </w:rPr>
          <w:t>Êxodo 1.15–21</w:t>
        </w:r>
      </w:hyperlink>
      <w:r>
        <w:t>, o uso de cadeiras de parto é mencionado. Este era um dispositivo para segurar a mulher em uma posição favorável para dar à luz o bebê.</w:t>
      </w:r>
    </w:p>
    <w:p>
      <w:r/>
      <w:r>
        <w:t xml:space="preserve">Nos tempos do NT, a medicina grega tinha uma influência dominante no mundo mediterrâneo. Embora a prática da medicina ainda estivesse em um estado primitivo, Hipócrates e outros médicos gregos de seus dias estabeleceram as bases para a medicina moderna rejeitando explicações mágicas de doenças e através da observação minuciosa tentaram fornecer uma base racional para o tratamento médico. De </w:t>
      </w:r>
      <w:hyperlink r:id="rId7452">
        <w:r>
          <w:rPr>
            <w:color w:val="0000EE"/>
            <w:u w:val="single"/>
          </w:rPr>
          <w:t>Marcos 5.26</w:t>
        </w:r>
      </w:hyperlink>
      <w:r>
        <w:t>, sabe-se que havia médicos disponíveis em Israel. De fato, os rabinos ordenaram que todas as cidades deveriam ter pelo menos um médico, e alguns rabinos praticavam a medicina.</w:t>
      </w:r>
    </w:p>
    <w:p>
      <w:r/>
      <w:r>
        <w:t>Alguns remédios específicos são ocasionalmente mencionados na Bíblia. As mandrágoras eram usadas como uma substância afrodisíaca (</w:t>
      </w:r>
      <w:hyperlink r:id="rId14130">
        <w:r>
          <w:rPr>
            <w:color w:val="0000EE"/>
            <w:u w:val="single"/>
          </w:rPr>
          <w:t>Gn 30.14</w:t>
        </w:r>
      </w:hyperlink>
      <w:r>
        <w:t xml:space="preserve">; </w:t>
      </w:r>
      <w:hyperlink r:id="rId13746">
        <w:r>
          <w:rPr>
            <w:color w:val="0000EE"/>
            <w:u w:val="single"/>
          </w:rPr>
          <w:t>Ct 7.13</w:t>
        </w:r>
      </w:hyperlink>
      <w:r>
        <w:t>). Quando Jó foi afligido com feridas generalizadas, ele removeu a pele desvitalizada com um pedaço de cerâmica e sentou-se em cinzas (</w:t>
      </w:r>
      <w:hyperlink r:id="rId14131">
        <w:r>
          <w:rPr>
            <w:color w:val="0000EE"/>
            <w:u w:val="single"/>
          </w:rPr>
          <w:t>Jó 2.7–8</w:t>
        </w:r>
      </w:hyperlink>
      <w:r>
        <w:t>). As cinzas teriam um efeito de secar as feridas que estavam sendo drenadas, dando a este tratamento uma base racional para seu uso. Jeremias se refere de maneira retórica ao bálsamo em Gileade, indicando seu uso medicinal (</w:t>
      </w:r>
      <w:hyperlink r:id="rId7451">
        <w:r>
          <w:rPr>
            <w:color w:val="0000EE"/>
            <w:u w:val="single"/>
          </w:rPr>
          <w:t>Jr 8.22</w:t>
        </w:r>
      </w:hyperlink>
      <w:r>
        <w:t xml:space="preserve">; </w:t>
      </w:r>
      <w:hyperlink r:id="rId9949">
        <w:r>
          <w:rPr>
            <w:color w:val="0000EE"/>
            <w:u w:val="single"/>
          </w:rPr>
          <w:t>46.11</w:t>
        </w:r>
      </w:hyperlink>
      <w:r>
        <w:t>). A natureza exata ou o uso deste bálsamo não é conhecida. Quando Ezequias estava mortalmente doente, ele foi instruído por Isaías a colocar pasta de figos na ferida (</w:t>
      </w:r>
      <w:hyperlink r:id="rId5246">
        <w:r>
          <w:rPr>
            <w:color w:val="0000EE"/>
            <w:u w:val="single"/>
          </w:rPr>
          <w:t>2Rs 20.7</w:t>
        </w:r>
      </w:hyperlink>
      <w:r>
        <w:t xml:space="preserve">). Isso provavelmente não deve ser considerado um tratamento, assim como o mergulho sete vezes no Jordão por Naamã ou a aplicação de barro nos olhos do cego pelo Senhor. O efeito terapêutico da alegria na mente encontrado em </w:t>
      </w:r>
      <w:hyperlink r:id="rId14132">
        <w:r>
          <w:rPr>
            <w:color w:val="0000EE"/>
            <w:u w:val="single"/>
          </w:rPr>
          <w:t>Provérbios 17.22</w:t>
        </w:r>
      </w:hyperlink>
      <w:r>
        <w:t xml:space="preserve"> está de acordo com as crenças modernas de saúde mental.</w:t>
      </w:r>
    </w:p>
    <w:p>
      <w:r/>
      <w:r>
        <w:t xml:space="preserve">O uso medicinal do vinho é registrado várias vezes nas Escrituras. Sua capacidade de mudar o humor é aludida em </w:t>
      </w:r>
      <w:hyperlink r:id="rId7454">
        <w:r>
          <w:rPr>
            <w:color w:val="0000EE"/>
            <w:u w:val="single"/>
          </w:rPr>
          <w:t>Provérbios 31.6</w:t>
        </w:r>
      </w:hyperlink>
      <w:r>
        <w:t>, e aparentemente o vinho azedo oferecido ao Senhor na cruz tinha a intenção de aliviar seu sofrimento através de sua propriedade analgésica (</w:t>
      </w:r>
      <w:hyperlink r:id="rId14133">
        <w:r>
          <w:rPr>
            <w:color w:val="0000EE"/>
            <w:u w:val="single"/>
          </w:rPr>
          <w:t>Jo 19.29</w:t>
        </w:r>
      </w:hyperlink>
      <w:r>
        <w:t>). Paulo sugere a Timóteo que ele use um pouco de vinho para seu estômago e outras enfermidades (</w:t>
      </w:r>
      <w:hyperlink r:id="rId7455">
        <w:r>
          <w:rPr>
            <w:color w:val="0000EE"/>
            <w:u w:val="single"/>
          </w:rPr>
          <w:t>1Tm 5.23</w:t>
        </w:r>
      </w:hyperlink>
      <w:r>
        <w:t>). É significativo que Paulo tenha dito “um pouco” porque os farmacologistas hoje concordam que o vinho em quantidades moderadas auxilia na digestão e ajuda no fluxo de sangue; no entanto, quantidades excessivas são prejudiciais à saúde de várias maneiras. O bom samaritano usou óleo e vinho para tratar os ferimentos do homem ferido (</w:t>
      </w:r>
      <w:hyperlink r:id="rId14134">
        <w:r>
          <w:rPr>
            <w:color w:val="0000EE"/>
            <w:u w:val="single"/>
          </w:rPr>
          <w:t>Lc 10.34</w:t>
        </w:r>
      </w:hyperlink>
      <w:r>
        <w:t>). Por causa de seu conteúdo alcoólico, o vinho teria uma ação antisséptica, mas, ao mesmo tempo, tenderia a coagular a superfície da ferida exposta e permitir que as bactérias prosperassem sob o coágulo. O óleo, devido ao seu efeito emoliente, tenderia a neutralizar esse efeito colateral indesejável do vinho e também seria calmante devido à sua ação de revestimento. Um curativo era então aplicado, e o paciente era levado para um lugar de repouso.</w:t>
      </w:r>
    </w:p>
    <w:p>
      <w:r/>
      <w:r>
        <w:t xml:space="preserve">Em </w:t>
      </w:r>
      <w:hyperlink r:id="rId14135">
        <w:r>
          <w:rPr>
            <w:color w:val="0000EE"/>
            <w:u w:val="single"/>
          </w:rPr>
          <w:t>Apocalipse 3.18</w:t>
        </w:r>
      </w:hyperlink>
      <w:r>
        <w:t>, a igreja de Laodiceia é admoestada a usar colírio. Uma vez que Laodiceia era famosa por um pó usado para olhos fracos e doentes, esta ilustração é apropriada para advertir esta igreja sobre sua falta de visão espiritual.</w:t>
      </w:r>
    </w:p>
    <w:p>
      <w:r/>
      <w:r>
        <w:rPr>
          <w:i/>
        </w:rPr>
        <w:t>Veja também</w:t>
      </w:r>
      <w:r>
        <w:t xml:space="preserve"> </w:t>
      </w:r>
      <w:r>
        <w:t>Doença</w:t>
      </w:r>
      <w:r>
        <w:t xml:space="preserve">; </w:t>
      </w:r>
      <w:r>
        <w:t>Médico</w:t>
      </w:r>
      <w:r>
        <w:t xml:space="preserve">; </w:t>
      </w:r>
      <w:r>
        <w:t>Praga</w:t>
      </w:r>
      <w:r>
        <w:t>.</w:t>
      </w:r>
      <w:r/>
      <w:r/>
    </w:p>
    <w:p>
      <w:r/>
    </w:p>
    <w:p>
      <w:pPr>
        <w:pStyle w:val="Heading2"/>
      </w:pPr>
      <w:r>
        <w:t>Médico</w:t>
      </w:r>
      <w:r/>
    </w:p>
    <w:p>
      <w:r/>
      <w:r>
        <w:t>Alguém qualificado em medicina. O médico tratava e restaurava feridas e administrava medicamentos aos doentes. Na antiga Israel, o diagnóstico e tratamento de pessoas doentes era oficialmente o interesse dos sacerdotes, embora muitas pessoas não profissionais praticassem a arte de curar nas pequenas cidades e aldeias. O rei Asa buscou ajuda médica para seus pés (</w:t>
      </w:r>
      <w:hyperlink r:id="rId7450">
        <w:r>
          <w:rPr>
            <w:color w:val="0000EE"/>
            <w:u w:val="single"/>
          </w:rPr>
          <w:t>2Cr 16.12</w:t>
        </w:r>
      </w:hyperlink>
      <w:r>
        <w:t>). Jeremias inqueriu sobre médicos em Gileade (</w:t>
      </w:r>
      <w:hyperlink r:id="rId7451">
        <w:r>
          <w:rPr>
            <w:color w:val="0000EE"/>
            <w:u w:val="single"/>
          </w:rPr>
          <w:t>Jr 8.22</w:t>
        </w:r>
      </w:hyperlink>
      <w:r>
        <w:t>). Jó se queixou de que seus amigos eram médicos inúteis (</w:t>
      </w:r>
      <w:hyperlink r:id="rId14136">
        <w:r>
          <w:rPr>
            <w:color w:val="0000EE"/>
            <w:u w:val="single"/>
          </w:rPr>
          <w:t>Jó 13.4</w:t>
        </w:r>
      </w:hyperlink>
      <w:r>
        <w:t>). A medicina científica e o treinamento cauteloso dos médicos aguardavam a ascensão da medicina grega, que nos tempos do NT assistia escolas médicas estabelecidas em vários países no mundo greco-romano. Coleções notáveis de instrumentos cirúrgicos vieram de lugares como Pompeia. O NT se refere a uma série de doenças, e a palavra “médico” ocorre várias vezes nos Evangelhos (</w:t>
      </w:r>
      <w:hyperlink r:id="rId7453">
        <w:r>
          <w:rPr>
            <w:color w:val="0000EE"/>
            <w:u w:val="single"/>
          </w:rPr>
          <w:t>Mt 9.12</w:t>
        </w:r>
      </w:hyperlink>
      <w:r>
        <w:t xml:space="preserve">; </w:t>
      </w:r>
      <w:hyperlink r:id="rId14137">
        <w:r>
          <w:rPr>
            <w:color w:val="0000EE"/>
            <w:u w:val="single"/>
          </w:rPr>
          <w:t>Mc 2.17</w:t>
        </w:r>
      </w:hyperlink>
      <w:r>
        <w:t xml:space="preserve">; </w:t>
      </w:r>
      <w:hyperlink r:id="rId7452">
        <w:r>
          <w:rPr>
            <w:color w:val="0000EE"/>
            <w:u w:val="single"/>
          </w:rPr>
          <w:t>5.26</w:t>
        </w:r>
      </w:hyperlink>
      <w:r>
        <w:t xml:space="preserve">; </w:t>
      </w:r>
      <w:hyperlink r:id="rId8684">
        <w:r>
          <w:rPr>
            <w:color w:val="0000EE"/>
            <w:u w:val="single"/>
          </w:rPr>
          <w:t>Lc 4.23</w:t>
        </w:r>
      </w:hyperlink>
      <w:r>
        <w:t xml:space="preserve">; </w:t>
      </w:r>
      <w:hyperlink r:id="rId14138">
        <w:r>
          <w:rPr>
            <w:color w:val="0000EE"/>
            <w:u w:val="single"/>
          </w:rPr>
          <w:t>5.31</w:t>
        </w:r>
      </w:hyperlink>
      <w:r>
        <w:t xml:space="preserve">; </w:t>
      </w:r>
      <w:hyperlink r:id="rId13359">
        <w:r>
          <w:rPr>
            <w:color w:val="0000EE"/>
            <w:u w:val="single"/>
          </w:rPr>
          <w:t>8.43</w:t>
        </w:r>
      </w:hyperlink>
      <w:r>
        <w:t>). Lucas é mencionado especialmente como um médico querido (</w:t>
      </w:r>
      <w:hyperlink r:id="rId2828">
        <w:r>
          <w:rPr>
            <w:color w:val="0000EE"/>
            <w:u w:val="single"/>
          </w:rPr>
          <w:t>Cl 4.14</w:t>
        </w:r>
      </w:hyperlink>
      <w:r>
        <w:t>). Os médicos nem sempre eram capazes de realizar uma cura (</w:t>
      </w:r>
      <w:hyperlink r:id="rId7452">
        <w:r>
          <w:rPr>
            <w:color w:val="0000EE"/>
            <w:u w:val="single"/>
          </w:rPr>
          <w:t>Mc 5.26</w:t>
        </w:r>
      </w:hyperlink>
      <w:r>
        <w:t xml:space="preserve">; </w:t>
      </w:r>
      <w:hyperlink r:id="rId13359">
        <w:r>
          <w:rPr>
            <w:color w:val="0000EE"/>
            <w:u w:val="single"/>
          </w:rPr>
          <w:t>Lc 8.43</w:t>
        </w:r>
      </w:hyperlink>
      <w:r>
        <w:t>), mas Jesus, o curador, teve sucesso onde outros falharam.</w:t>
      </w:r>
    </w:p>
    <w:p>
      <w:r/>
      <w:r>
        <w:rPr>
          <w:i/>
        </w:rPr>
        <w:t>Veja também</w:t>
      </w:r>
      <w:r>
        <w:t xml:space="preserve"> </w:t>
      </w:r>
      <w:r>
        <w:t>Medicina e Prática Médica</w:t>
      </w:r>
      <w:r>
        <w:t>.</w:t>
      </w:r>
      <w:r/>
      <w:r/>
    </w:p>
    <w:p>
      <w:r/>
    </w:p>
    <w:p>
      <w:pPr>
        <w:pStyle w:val="Heading2"/>
      </w:pPr>
      <w:r>
        <w:t>Medo</w:t>
      </w:r>
      <w:r/>
    </w:p>
    <w:p>
      <w:r/>
      <w:r>
        <w:t>Um sentimento emocional de ansiedade ou medo sobre algo ruim que pode acontecer no futuro. Algumas pessoas acham que o medo é o que leva os outros à religião, mas a verdadeira religião envolve o desejo de se aproximar de Deus, não apenas o medo. As pessoas geralmente não querem se aproximar de alguém ou algo de que têm medo.</w:t>
      </w:r>
    </w:p>
    <w:p>
      <w:r/>
      <w:r>
        <w:t>Na Bíblia, medo significa mais do que apenas sentir-se assustado ou apavorado. Embora isso faça parte de seu significado, especialmente ao falar sobre o temor de Deus, também inclui um senso de reverência e profundo respeito por Deus.</w:t>
      </w:r>
    </w:p>
    <w:p>
      <w:r/>
      <w:r>
        <w:t>Há um lugar para o medo no sentido de estar ansioso ou preocupado, especialmente em relação a Deus. A Bíblia diz: "É coisa terrível cair nas mãos do Deus vivo" (</w:t>
      </w:r>
      <w:hyperlink r:id="rId10430">
        <w:r>
          <w:rPr>
            <w:color w:val="0000EE"/>
            <w:u w:val="single"/>
          </w:rPr>
          <w:t>Hebreus 10.31</w:t>
        </w:r>
      </w:hyperlink>
      <w:r>
        <w:t>). Jesus ensinou que devemos temer a Deus porque Ele tem o poder de punir o pecado e destruir as pessoas completamente (</w:t>
      </w:r>
      <w:hyperlink r:id="rId14139">
        <w:r>
          <w:rPr>
            <w:color w:val="0000EE"/>
            <w:u w:val="single"/>
          </w:rPr>
          <w:t>Lucas 12.4–5</w:t>
        </w:r>
      </w:hyperlink>
      <w:r>
        <w:t>).</w:t>
      </w:r>
    </w:p>
    <w:p>
      <w:r/>
      <w:r>
        <w:t xml:space="preserve">O medo pode ajudar as pessoas a entenderem quão profundamente falhas são suas almas e o quanto precisam do perdão de Deus. O primeiro exemplo desse tipo de medo está em </w:t>
      </w:r>
      <w:hyperlink r:id="rId2628">
        <w:r>
          <w:rPr>
            <w:color w:val="0000EE"/>
            <w:u w:val="single"/>
          </w:rPr>
          <w:t>Gênesis 3</w:t>
        </w:r>
      </w:hyperlink>
      <w:r>
        <w:t>, onde Adão e Eva se esconderam de Deus após desobedecê-Lo. O medo deles fazia sentido porque sabiam que mereciam julgamento pelo que fizeram. O medo vem naturalmente como resultado do pecado (</w:t>
      </w:r>
      <w:hyperlink r:id="rId14140">
        <w:r>
          <w:rPr>
            <w:color w:val="0000EE"/>
            <w:u w:val="single"/>
          </w:rPr>
          <w:t>Gênesis 3.10</w:t>
        </w:r>
      </w:hyperlink>
      <w:r>
        <w:t xml:space="preserve">; </w:t>
      </w:r>
      <w:hyperlink r:id="rId14141">
        <w:r>
          <w:rPr>
            <w:color w:val="0000EE"/>
            <w:u w:val="single"/>
          </w:rPr>
          <w:t>4.13–14</w:t>
        </w:r>
      </w:hyperlink>
      <w:r>
        <w:t xml:space="preserve">; </w:t>
      </w:r>
      <w:hyperlink r:id="rId1768">
        <w:r>
          <w:rPr>
            <w:color w:val="0000EE"/>
            <w:u w:val="single"/>
          </w:rPr>
          <w:t>Provérbios 28.1</w:t>
        </w:r>
      </w:hyperlink>
      <w:r>
        <w:t>).</w:t>
      </w:r>
    </w:p>
    <w:p>
      <w:r/>
      <w:r>
        <w:t>A Bíblia dá muitos exemplos de pessoas profundamente ansiosas, como Caim, Saul, Acaz e Pilatos. O medo apodera-se dos ímpios (</w:t>
      </w:r>
      <w:hyperlink r:id="rId8291">
        <w:r>
          <w:rPr>
            <w:color w:val="0000EE"/>
            <w:u w:val="single"/>
          </w:rPr>
          <w:t>Jó 15.24</w:t>
        </w:r>
      </w:hyperlink>
      <w:r>
        <w:t>), surpreende os hipócritas (</w:t>
      </w:r>
      <w:hyperlink r:id="rId14142">
        <w:r>
          <w:rPr>
            <w:color w:val="0000EE"/>
            <w:u w:val="single"/>
          </w:rPr>
          <w:t>Isaías 33.14</w:t>
        </w:r>
      </w:hyperlink>
      <w:r>
        <w:t>) e domina os malfeitores (</w:t>
      </w:r>
      <w:hyperlink r:id="rId14143">
        <w:r>
          <w:rPr>
            <w:color w:val="0000EE"/>
            <w:u w:val="single"/>
          </w:rPr>
          <w:t>Salmo 73.19</w:t>
        </w:r>
      </w:hyperlink>
      <w:r>
        <w:t>). Suas vidas, sem fé, estão cheias de medo (</w:t>
      </w:r>
      <w:hyperlink r:id="rId144">
        <w:r>
          <w:rPr>
            <w:color w:val="0000EE"/>
            <w:u w:val="single"/>
          </w:rPr>
          <w:t>Apocalipse 21.8</w:t>
        </w:r>
      </w:hyperlink>
      <w:r>
        <w:t>). Quando Deus agiu contra o exército de Faraó, eles ficaram paralisados de medo (</w:t>
      </w:r>
      <w:hyperlink r:id="rId13107">
        <w:r>
          <w:rPr>
            <w:color w:val="0000EE"/>
            <w:u w:val="single"/>
          </w:rPr>
          <w:t>Êxodo 15.16</w:t>
        </w:r>
      </w:hyperlink>
      <w:r>
        <w:t>). O amigo de Jó, Bildade, descreveu as pessoas como sendo levadas de joelhos pelo julgamento de Deus (</w:t>
      </w:r>
      <w:hyperlink r:id="rId14144">
        <w:r>
          <w:rPr>
            <w:color w:val="0000EE"/>
            <w:u w:val="single"/>
          </w:rPr>
          <w:t>Jó 18.11</w:t>
        </w:r>
      </w:hyperlink>
      <w:r>
        <w:t>).</w:t>
      </w:r>
    </w:p>
    <w:p>
      <w:r/>
      <w:r>
        <w:t>O medo pode tanto impedir as pessoas de agir quanto fazê-las se comportar de maneiras que não fariam de outra forma. Isso é especialmente verdadeiro para pessoas que não estão totalmente comprometidas com Deus.</w:t>
      </w:r>
    </w:p>
    <w:p>
      <w:pPr>
        <w:pStyle w:val="ListBullet"/>
        <w:spacing w:line="240" w:lineRule="auto"/>
        <w:ind w:left="720"/>
      </w:pPr>
      <w:r/>
      <w:r>
        <w:t>Saul desobedeceu a Deus porque tinha medo do que as pessoas pensariam (</w:t>
      </w:r>
      <w:hyperlink r:id="rId14145">
        <w:r>
          <w:rPr>
            <w:color w:val="0000EE"/>
            <w:u w:val="single"/>
          </w:rPr>
          <w:t>1 Samuel 15.24</w:t>
        </w:r>
      </w:hyperlink>
      <w:r>
        <w:t>)</w:t>
      </w:r>
    </w:p>
    <w:p>
      <w:pPr>
        <w:pStyle w:val="ListBullet"/>
        <w:spacing w:line="240" w:lineRule="auto"/>
        <w:ind w:left="720"/>
      </w:pPr>
      <w:r/>
      <w:r>
        <w:t>Os pais do homem cego que Jesus curou estavam com medo de falar por Jesus porque temiam os líderes judeus (</w:t>
      </w:r>
      <w:hyperlink r:id="rId12420">
        <w:r>
          <w:rPr>
            <w:color w:val="0000EE"/>
            <w:u w:val="single"/>
          </w:rPr>
          <w:t>João 9.22</w:t>
        </w:r>
      </w:hyperlink>
      <w:r>
        <w:t>)</w:t>
      </w:r>
    </w:p>
    <w:p>
      <w:pPr>
        <w:pStyle w:val="ListBullet"/>
        <w:spacing w:line="240" w:lineRule="auto"/>
        <w:ind w:left="720"/>
      </w:pPr>
      <w:r/>
      <w:r>
        <w:t>Na parábola dos talentos, o medo de um homem o impediu de cumprir seu dever (</w:t>
      </w:r>
      <w:hyperlink r:id="rId14146">
        <w:r>
          <w:rPr>
            <w:color w:val="0000EE"/>
            <w:u w:val="single"/>
          </w:rPr>
          <w:t>Mateus 25.25</w:t>
        </w:r>
      </w:hyperlink>
      <w:r>
        <w:t>)</w:t>
      </w:r>
    </w:p>
    <w:p>
      <w:r/>
      <w:r>
        <w:t>Jesus Cristo, através de Sua morte, ressurreição e obra contínua para os crentes no céu, é aquele que liberta as pessoas do medo. O apóstolo Paulo disse aos romanos (</w:t>
      </w:r>
      <w:hyperlink r:id="rId14147">
        <w:r>
          <w:rPr>
            <w:color w:val="0000EE"/>
            <w:u w:val="single"/>
          </w:rPr>
          <w:t>Romanos 8.15</w:t>
        </w:r>
      </w:hyperlink>
      <w:r>
        <w:t>) que quando se tornaram cristãos, receberam o Espírito Santo, não como um espírito de medo e escravidão, mas como o espírito de adoção. Isso significa que agora podiam chamar Deus de “Abba” (um termo aramaico usado por crianças judias para se referir a seus pais). Esta é a mesma palavra que Jesus usou para falar com Seu Pai e os cristãos, porque são parte da família de Deus, também podem usar esta palavra ao falar com Deus (</w:t>
      </w:r>
      <w:hyperlink r:id="rId5716">
        <w:r>
          <w:rPr>
            <w:color w:val="0000EE"/>
            <w:u w:val="single"/>
          </w:rPr>
          <w:t>Gálatas 4.6</w:t>
        </w:r>
      </w:hyperlink>
      <w:r>
        <w:t>). Aqueles que recebem o amor de Deus têm uma força poderosa para afastar seus medos (</w:t>
      </w:r>
      <w:hyperlink r:id="rId14148">
        <w:r>
          <w:rPr>
            <w:color w:val="0000EE"/>
            <w:u w:val="single"/>
          </w:rPr>
          <w:t>1 João 4.18</w:t>
        </w:r>
      </w:hyperlink>
      <w:r>
        <w:t>).</w:t>
      </w:r>
    </w:p>
    <w:p>
      <w:r/>
      <w:r>
        <w:t>O medo desnecessário pode prejudicar o trabalho do povo de Deus. Deus avisou Jeremias para não ter medo de seus oponentes (</w:t>
      </w:r>
      <w:hyperlink r:id="rId14149">
        <w:r>
          <w:rPr>
            <w:color w:val="0000EE"/>
            <w:u w:val="single"/>
          </w:rPr>
          <w:t>Jeremias 1.8</w:t>
        </w:r>
      </w:hyperlink>
      <w:r>
        <w:t>) porque, se ele cedesse ao medo, Deus permitiria que problemas viessem sobre ele (</w:t>
      </w:r>
      <w:hyperlink r:id="rId14150">
        <w:r>
          <w:rPr>
            <w:color w:val="0000EE"/>
            <w:u w:val="single"/>
          </w:rPr>
          <w:t>Jeremias 1.17</w:t>
        </w:r>
      </w:hyperlink>
      <w:r>
        <w:t>). Deus deu comandos semelhantes de coragem a Ezequiel, que viveu na mesma época que Jeremias, e a muitos outros (</w:t>
      </w:r>
      <w:hyperlink r:id="rId14151">
        <w:r>
          <w:rPr>
            <w:color w:val="0000EE"/>
            <w:u w:val="single"/>
          </w:rPr>
          <w:t>Josué 1.7–9</w:t>
        </w:r>
      </w:hyperlink>
      <w:r>
        <w:t xml:space="preserve">; </w:t>
      </w:r>
      <w:hyperlink r:id="rId1832">
        <w:r>
          <w:rPr>
            <w:color w:val="0000EE"/>
            <w:u w:val="single"/>
          </w:rPr>
          <w:t>Ezequiel 2.6</w:t>
        </w:r>
      </w:hyperlink>
      <w:r>
        <w:t>). Mesmo pessoas piedosas podem ser tentadas a temer e às vezes podem se sentir sobrecarregadas (</w:t>
      </w:r>
      <w:hyperlink r:id="rId14152">
        <w:r>
          <w:rPr>
            <w:color w:val="0000EE"/>
            <w:u w:val="single"/>
          </w:rPr>
          <w:t>Salmo 55.5</w:t>
        </w:r>
      </w:hyperlink>
      <w:r>
        <w:t>). É por isso que Deus frequentemente diz ao Seu povo para não ceder ao medo (</w:t>
      </w:r>
      <w:hyperlink r:id="rId14153">
        <w:r>
          <w:rPr>
            <w:color w:val="0000EE"/>
            <w:u w:val="single"/>
          </w:rPr>
          <w:t>Isaías 8.12</w:t>
        </w:r>
      </w:hyperlink>
      <w:r>
        <w:t xml:space="preserve">; </w:t>
      </w:r>
      <w:hyperlink r:id="rId14154">
        <w:r>
          <w:rPr>
            <w:color w:val="0000EE"/>
            <w:u w:val="single"/>
          </w:rPr>
          <w:t>João 14.1,27</w:t>
        </w:r>
      </w:hyperlink>
      <w:r>
        <w:t>). Em vez disso, eles são encorajados a colocar suas preocupações nas mãos de seu Redentor, que se importa profundamente com Seu povo (</w:t>
      </w:r>
      <w:hyperlink r:id="rId14155">
        <w:r>
          <w:rPr>
            <w:color w:val="0000EE"/>
            <w:u w:val="single"/>
          </w:rPr>
          <w:t>1 Pedro 5.7</w:t>
        </w:r>
      </w:hyperlink>
      <w:r>
        <w:t>). A fé é a chave para superar o medo, como Isaías diz: “Tu conservarás em perfeita paz aquele cuja mente está firme, porque ele confia em Ti” (</w:t>
      </w:r>
      <w:hyperlink r:id="rId14156">
        <w:r>
          <w:rPr>
            <w:color w:val="0000EE"/>
            <w:u w:val="single"/>
          </w:rPr>
          <w:t>Isaías 26.3</w:t>
        </w:r>
      </w:hyperlink>
      <w:r>
        <w:t>). Os salmistas também enfatizam o papel da fé em derrotar o medo (</w:t>
      </w:r>
      <w:hyperlink r:id="rId14157">
        <w:r>
          <w:rPr>
            <w:color w:val="0000EE"/>
            <w:u w:val="single"/>
          </w:rPr>
          <w:t>Salmos 37.1</w:t>
        </w:r>
      </w:hyperlink>
      <w:r>
        <w:t xml:space="preserve">; </w:t>
      </w:r>
      <w:hyperlink r:id="rId14158">
        <w:r>
          <w:rPr>
            <w:color w:val="0000EE"/>
            <w:u w:val="single"/>
          </w:rPr>
          <w:t>46.2</w:t>
        </w:r>
      </w:hyperlink>
      <w:r>
        <w:t xml:space="preserve">; </w:t>
      </w:r>
      <w:hyperlink r:id="rId5662">
        <w:r>
          <w:rPr>
            <w:color w:val="0000EE"/>
            <w:u w:val="single"/>
          </w:rPr>
          <w:t>112.7</w:t>
        </w:r>
      </w:hyperlink>
      <w:r>
        <w:t>).</w:t>
      </w:r>
    </w:p>
    <w:p>
      <w:r/>
      <w:r>
        <w:t>A verdadeira fé envolve profundo respeito por Deus, conhecido como "temor de Deus" na Bíblia. Compreender o poder de Deus é fundamental para uma fé significativa (</w:t>
      </w:r>
      <w:hyperlink r:id="rId13208">
        <w:r>
          <w:rPr>
            <w:color w:val="0000EE"/>
            <w:u w:val="single"/>
          </w:rPr>
          <w:t>Salmos 5.7</w:t>
        </w:r>
      </w:hyperlink>
      <w:r>
        <w:t xml:space="preserve">; </w:t>
      </w:r>
      <w:hyperlink r:id="rId14159">
        <w:r>
          <w:rPr>
            <w:color w:val="0000EE"/>
            <w:u w:val="single"/>
          </w:rPr>
          <w:t>89.7</w:t>
        </w:r>
      </w:hyperlink>
      <w:r>
        <w:t>). Os cristãos estão livres de temer:</w:t>
      </w:r>
    </w:p>
    <w:p>
      <w:pPr>
        <w:pStyle w:val="ListBullet"/>
        <w:spacing w:line="240" w:lineRule="auto"/>
        <w:ind w:left="720"/>
      </w:pPr>
      <w:r/>
      <w:r>
        <w:t>Pessoas (</w:t>
      </w:r>
      <w:hyperlink r:id="rId14160">
        <w:r>
          <w:rPr>
            <w:color w:val="0000EE"/>
            <w:u w:val="single"/>
          </w:rPr>
          <w:t>Hebreus 13.6</w:t>
        </w:r>
      </w:hyperlink>
      <w:r>
        <w:t>);</w:t>
      </w:r>
    </w:p>
    <w:p>
      <w:pPr>
        <w:pStyle w:val="ListBullet"/>
        <w:spacing w:line="240" w:lineRule="auto"/>
        <w:ind w:left="720"/>
      </w:pPr>
      <w:r/>
      <w:r>
        <w:t>Morte (</w:t>
      </w:r>
      <w:hyperlink r:id="rId10413">
        <w:r>
          <w:rPr>
            <w:color w:val="0000EE"/>
            <w:u w:val="single"/>
          </w:rPr>
          <w:t>2.15</w:t>
        </w:r>
      </w:hyperlink>
      <w:r>
        <w:t>);</w:t>
      </w:r>
    </w:p>
    <w:p>
      <w:pPr>
        <w:pStyle w:val="ListBullet"/>
        <w:spacing w:line="240" w:lineRule="auto"/>
        <w:ind w:left="720"/>
      </w:pPr>
      <w:r/>
      <w:r>
        <w:t>Vida em geral (</w:t>
      </w:r>
      <w:hyperlink r:id="rId14161">
        <w:r>
          <w:rPr>
            <w:color w:val="0000EE"/>
            <w:u w:val="single"/>
          </w:rPr>
          <w:t>2 Timóteo 1.6–7</w:t>
        </w:r>
      </w:hyperlink>
      <w:r>
        <w:t>).</w:t>
      </w:r>
    </w:p>
    <w:p>
      <w:r/>
      <w:r>
        <w:t>No entanto, eles devem sempre respeitar a Deus. Este respeito traz sabedoria (</w:t>
      </w:r>
      <w:hyperlink r:id="rId6849">
        <w:r>
          <w:rPr>
            <w:color w:val="0000EE"/>
            <w:u w:val="single"/>
          </w:rPr>
          <w:t>Salmos 111.10</w:t>
        </w:r>
      </w:hyperlink>
      <w:r>
        <w:t>) e orientação (</w:t>
      </w:r>
      <w:hyperlink r:id="rId7668">
        <w:r>
          <w:rPr>
            <w:color w:val="0000EE"/>
            <w:u w:val="single"/>
          </w:rPr>
          <w:t>Efésios 5.21</w:t>
        </w:r>
      </w:hyperlink>
      <w:r>
        <w:t xml:space="preserve">; </w:t>
      </w:r>
      <w:hyperlink r:id="rId14162">
        <w:r>
          <w:rPr>
            <w:color w:val="0000EE"/>
            <w:u w:val="single"/>
          </w:rPr>
          <w:t>Filipenses 2.12</w:t>
        </w:r>
      </w:hyperlink>
      <w:r>
        <w:t>). Amar a Deus leva a esse temor através do estudo das Escrituras (</w:t>
      </w:r>
      <w:hyperlink r:id="rId14163">
        <w:r>
          <w:rPr>
            <w:color w:val="0000EE"/>
            <w:u w:val="single"/>
          </w:rPr>
          <w:t>Provérbios 2.3–5</w:t>
        </w:r>
      </w:hyperlink>
      <w:r>
        <w:t>).</w:t>
      </w:r>
    </w:p>
    <w:p>
      <w:r/>
      <w:r>
        <w:t>Os antigos israelitas mostravam reverência seguindo os mandamentos de Deus (</w:t>
      </w:r>
      <w:hyperlink r:id="rId12762">
        <w:r>
          <w:rPr>
            <w:color w:val="0000EE"/>
            <w:u w:val="single"/>
          </w:rPr>
          <w:t>Deuteronômio 6.2</w:t>
        </w:r>
      </w:hyperlink>
      <w:r>
        <w:t>). Cornélio e sua família foram chamados de "tementes a Deus" por seu respeito (</w:t>
      </w:r>
      <w:hyperlink r:id="rId4400">
        <w:r>
          <w:rPr>
            <w:color w:val="0000EE"/>
            <w:u w:val="single"/>
          </w:rPr>
          <w:t>Atos 10.2</w:t>
        </w:r>
      </w:hyperlink>
      <w:r>
        <w:t>). A verdadeira reverência leva a boas ações e vida santa (</w:t>
      </w:r>
      <w:hyperlink r:id="rId14164">
        <w:r>
          <w:rPr>
            <w:color w:val="0000EE"/>
            <w:u w:val="single"/>
          </w:rPr>
          <w:t>2 Coríntios 7.1</w:t>
        </w:r>
      </w:hyperlink>
      <w:r>
        <w:t>). Este temor traz alegria (</w:t>
      </w:r>
      <w:hyperlink r:id="rId14165">
        <w:r>
          <w:rPr>
            <w:color w:val="0000EE"/>
            <w:u w:val="single"/>
          </w:rPr>
          <w:t>Salmo 2.11</w:t>
        </w:r>
      </w:hyperlink>
      <w:r>
        <w:t>) e vida (</w:t>
      </w:r>
      <w:hyperlink r:id="rId14166">
        <w:r>
          <w:rPr>
            <w:color w:val="0000EE"/>
            <w:u w:val="single"/>
          </w:rPr>
          <w:t>Provérbios 14.27</w:t>
        </w:r>
      </w:hyperlink>
      <w:r>
        <w:t>). É mais valioso do que riquezas (</w:t>
      </w:r>
      <w:hyperlink r:id="rId14167">
        <w:r>
          <w:rPr>
            <w:color w:val="0000EE"/>
            <w:u w:val="single"/>
          </w:rPr>
          <w:t>Provérbios 15.16</w:t>
        </w:r>
      </w:hyperlink>
      <w:r>
        <w:t>). Deus se deleita naqueles que O respeitam (</w:t>
      </w:r>
      <w:hyperlink r:id="rId14168">
        <w:r>
          <w:rPr>
            <w:color w:val="0000EE"/>
            <w:u w:val="single"/>
          </w:rPr>
          <w:t>Salmo 147.11</w:t>
        </w:r>
      </w:hyperlink>
      <w:r>
        <w:t>).</w:t>
      </w:r>
      <w:r/>
      <w:r/>
    </w:p>
    <w:p>
      <w:r/>
    </w:p>
    <w:p>
      <w:pPr>
        <w:pStyle w:val="Heading2"/>
      </w:pPr>
      <w:r>
        <w:t>Medos, Média, Meda</w:t>
      </w:r>
      <w:r/>
    </w:p>
    <w:p>
      <w:r/>
      <w:r>
        <w:t>Um povo que falava línguas indo-europeias vivia nas terras altas de um antigo país chamado Média, agora parte do Irã. Eles eram intimamente relacionados aos persas. Escritores antigos frequentemente confundiam os dois, chamando-os de "medos".</w:t>
      </w:r>
    </w:p>
    <w:p>
      <w:r/>
      <w:r>
        <w:t>Os Medos tinham uma pátria específica nas Montanhas Zagros, a uma altitude de 914 a 1.524 metros. Sua capital era Ecbátana (atual Hamadan), localizada em uma importante rota comercial da Mesopotâmia. O clima fresco de verão de Ecbátana a tornava um refúgio para os reis persas.</w:t>
      </w:r>
    </w:p>
    <w:p>
      <w:pPr>
        <w:pStyle w:val="Heading3"/>
      </w:pPr>
      <w:r>
        <w:t>O que sabemos sobre os medos?</w:t>
      </w:r>
    </w:p>
    <w:p>
      <w:r/>
      <w:r>
        <w:t>Não temos registros escritos dos próprios medos sobre sua história e cultura. Em vez disso, aprendemos sobre eles a partir do que outros povos antigos escreveram. Os gregos, neobabilônios e assírios escreveram sobre os medos. Os escritos neobabilônios mencionam especialmente os medos porque tanto os medos quanto os caldeus ajudaram a destruir o Império Assírio. Também podemos aprender mais sobre eles a partir de um historiador grego chamado Heródoto. Pode haver mais informações em antigas tábuas de argila com escrita em forma de cunha (chamada cuneiforme).</w:t>
      </w:r>
    </w:p>
    <w:p>
      <w:pPr>
        <w:pStyle w:val="Heading3"/>
      </w:pPr>
      <w:r>
        <w:t>Incursões e conquistas assírias</w:t>
      </w:r>
    </w:p>
    <w:p>
      <w:r/>
      <w:r>
        <w:t>Um governante assírio chamado Rei Salmanaser III escreveu sobre os medos que viviam perto de um lugar chamado Ecbátana no século IX a.C. No entanto, os historiadores não sabem exatamente quando os medos se mudaram para essa área pela primeira vez.</w:t>
      </w:r>
    </w:p>
    <w:p>
      <w:r/>
      <w:r>
        <w:t>Salmaneser liderou uma incursão nas terras dos medos para capturar seus valiosos cavalos. Esses cavalos eram famosos por serem alguns dos melhores do mundo antigo. Por muitos anos, os reis assírios continuaram essas incursões. Eles tinham dois motivos principais: obter mais desses excelentes cavalos e manter as rotas comerciais seguras para os mercadores.</w:t>
      </w:r>
    </w:p>
    <w:p>
      <w:r/>
      <w:r>
        <w:t>Durante o século VIII a.C., vários reis assírios, incluindo Adad-nirari, Tiglate-Pileser III e Sargão II, afirmaram ter conquistado as terras medas. O Antigo Testamento menciona que durante as campanhas militares de Sargão, ele deslocou grupos de pessoas, incluindo alguns israelitas, para essas regiões (</w:t>
      </w:r>
      <w:hyperlink r:id="rId189">
        <w:r>
          <w:rPr>
            <w:color w:val="0000EE"/>
            <w:u w:val="single"/>
          </w:rPr>
          <w:t>2Rs 17.6</w:t>
        </w:r>
      </w:hyperlink>
      <w:r>
        <w:t xml:space="preserve">; </w:t>
      </w:r>
      <w:hyperlink r:id="rId14169">
        <w:r>
          <w:rPr>
            <w:color w:val="0000EE"/>
            <w:u w:val="single"/>
          </w:rPr>
          <w:t>18.11</w:t>
        </w:r>
      </w:hyperlink>
      <w:r>
        <w:t>).</w:t>
      </w:r>
    </w:p>
    <w:p>
      <w:pPr>
        <w:pStyle w:val="Heading3"/>
      </w:pPr>
      <w:r>
        <w:t>Os medos e a queda da Assíria</w:t>
      </w:r>
    </w:p>
    <w:p>
      <w:r/>
      <w:r>
        <w:t>Quando Esar-Hadom governou a Assíria de 681 a 669 a.C., ele esperava que os medos pagassem tributo conforme acordado em seu tratado. No entanto, os medos perceberam que a Assíria estava enfraquecendo. Em 631 a.C., decidiram agir. Eles se uniram aos citas e cimerianos para desafiar o poder assírio.</w:t>
      </w:r>
    </w:p>
    <w:p>
      <w:r/>
      <w:r>
        <w:t>O Império Assírio continuou a enfraquecer sob ataques repetidos. Fraortes liderou uma série de batalhas bem-sucedidas que eventualmente resultaram em grandes vitórias. Em 612 a.C., os medos capturaram a importante cidade de Nínive. Dois anos depois, em 610 a.C., eles também tomaram a cidade de Harã.</w:t>
      </w:r>
    </w:p>
    <w:p>
      <w:pPr>
        <w:pStyle w:val="Heading3"/>
      </w:pPr>
      <w:r>
        <w:t>Ciaxares fortalece os medos</w:t>
      </w:r>
    </w:p>
    <w:p>
      <w:r/>
      <w:r>
        <w:t>Ciaxares, o líder das forças medas, formou um exército forte e bem organizado. Com seus aliados, capturaram cidades-chave e expandiram sua influência pelo norte da Assíria. Em 585 a.C., eles até fizeram paz com a Lídia, demonstrando seu crescente poder na região.</w:t>
      </w:r>
    </w:p>
    <w:p>
      <w:pPr>
        <w:pStyle w:val="Heading3"/>
      </w:pPr>
      <w:r>
        <w:t>Ciro unifica os medos e os persas</w:t>
      </w:r>
    </w:p>
    <w:p>
      <w:r/>
      <w:r>
        <w:t>Os elamitas desempenharam um papel importante nas dinâmicas de poder em mudança do antigo Oriente Médio. Em 550 a.C., Ciro de Anshan derrotou Astíages e assumiu o controle da região. Ciro era singular, com origens familiares tanto persas quanto medas. Ele capturou Ecbátana, a capital da Média, e assumiu o título de "rei dos medos".</w:t>
      </w:r>
    </w:p>
    <w:p>
      <w:r/>
      <w:r>
        <w:t>Ciro uniu os medos e os persas (</w:t>
      </w:r>
      <w:hyperlink r:id="rId14170">
        <w:r>
          <w:rPr>
            <w:color w:val="0000EE"/>
            <w:u w:val="single"/>
          </w:rPr>
          <w:t>Dn 6.8,15</w:t>
        </w:r>
      </w:hyperlink>
      <w:r>
        <w:t>). Ele integrou suas leis e tradições e concedeu aos medos posições importantes no governo. De fato, as pessoas frequentemente usavam as palavras "medos" e "persas" quase de forma intercambiável (</w:t>
      </w:r>
      <w:hyperlink r:id="rId14171">
        <w:r>
          <w:rPr>
            <w:color w:val="0000EE"/>
            <w:u w:val="single"/>
          </w:rPr>
          <w:t>Et 1.19</w:t>
        </w:r>
      </w:hyperlink>
      <w:r>
        <w:t xml:space="preserve">; </w:t>
      </w:r>
      <w:hyperlink r:id="rId14172">
        <w:r>
          <w:rPr>
            <w:color w:val="0000EE"/>
            <w:u w:val="single"/>
          </w:rPr>
          <w:t>Dn 8.20</w:t>
        </w:r>
      </w:hyperlink>
      <w:r>
        <w:t>). Juntos, desempenharam um papel crucial na captura da cidade de Babilônia (</w:t>
      </w:r>
      <w:hyperlink r:id="rId11221">
        <w:r>
          <w:rPr>
            <w:color w:val="0000EE"/>
            <w:u w:val="single"/>
          </w:rPr>
          <w:t>Is 13.17</w:t>
        </w:r>
      </w:hyperlink>
      <w:r>
        <w:t xml:space="preserve">; </w:t>
      </w:r>
      <w:hyperlink r:id="rId14173">
        <w:r>
          <w:rPr>
            <w:color w:val="0000EE"/>
            <w:u w:val="single"/>
          </w:rPr>
          <w:t>Jr 51.11,28</w:t>
        </w:r>
      </w:hyperlink>
      <w:r>
        <w:t xml:space="preserve">; </w:t>
      </w:r>
      <w:hyperlink r:id="rId14174">
        <w:r>
          <w:rPr>
            <w:color w:val="0000EE"/>
            <w:u w:val="single"/>
          </w:rPr>
          <w:t>Dn 5.28</w:t>
        </w:r>
      </w:hyperlink>
      <w:r>
        <w:t>).</w:t>
      </w:r>
    </w:p>
    <w:p>
      <w:pPr>
        <w:pStyle w:val="Heading3"/>
      </w:pPr>
      <w:r>
        <w:t>Medos na Bíblia</w:t>
      </w:r>
    </w:p>
    <w:p>
      <w:r/>
      <w:r>
        <w:t>Dario era de uma família meda (</w:t>
      </w:r>
      <w:hyperlink r:id="rId14175">
        <w:r>
          <w:rPr>
            <w:color w:val="0000EE"/>
            <w:u w:val="single"/>
          </w:rPr>
          <w:t>Dn 9.1</w:t>
        </w:r>
      </w:hyperlink>
      <w:r>
        <w:t>). Quando ele se tornou o governante da Babilônia, as pessoas frequentemente o chamavam de "o medo" por causa de sua ascendência meda (</w:t>
      </w:r>
      <w:hyperlink r:id="rId14176">
        <w:r>
          <w:rPr>
            <w:color w:val="0000EE"/>
            <w:u w:val="single"/>
          </w:rPr>
          <w:t>Dn 11.1</w:t>
        </w:r>
      </w:hyperlink>
      <w:r>
        <w:t>) desde o momento em que assumiu como governante da Babilônia. Durante seu governo, e mais tarde durante o reinado de Dario II (409 a.C.), ocorreram muitas rebeliões e períodos de agitação.</w:t>
      </w:r>
    </w:p>
    <w:p>
      <w:r/>
      <w:hyperlink r:id="rId14177">
        <w:r>
          <w:rPr>
            <w:color w:val="0000EE"/>
            <w:u w:val="single"/>
          </w:rPr>
          <w:t>Ester 1.3–7</w:t>
        </w:r>
      </w:hyperlink>
      <w:r>
        <w:t xml:space="preserve"> descreve os grandes banquetes e os luxuosos salões do palácio que pertenciam à realeza meda. Após os Medos perderem seu poder, eles foram governados pelos sírios (Selêucidas) e depois pelos partas. Em uma parte do Novo Testamento, partas, medos e elamitas são mencionados juntos (</w:t>
      </w:r>
      <w:hyperlink r:id="rId7767">
        <w:r>
          <w:rPr>
            <w:color w:val="0000EE"/>
            <w:u w:val="single"/>
          </w:rPr>
          <w:t>At 2.9</w:t>
        </w:r>
      </w:hyperlink>
      <w:r>
        <w:t>). Depois disso, "Média" tornou-se apenas um termo geográfico. O povo não apareceu mais na história como um grupo separado de pessoas.</w:t>
      </w:r>
      <w:r/>
      <w:r/>
    </w:p>
    <w:p>
      <w:r/>
    </w:p>
    <w:p>
      <w:pPr>
        <w:pStyle w:val="Heading2"/>
      </w:pPr>
      <w:r>
        <w:t>Meetabel</w:t>
      </w:r>
      <w:r/>
    </w:p>
    <w:p>
      <w:pPr>
        <w:pStyle w:val="ListNumber"/>
        <w:spacing w:line="240" w:lineRule="auto"/>
        <w:ind w:left="720"/>
      </w:pPr>
      <w:r/>
      <w:r>
        <w:t>Uma filha de Matrede e esposa do rei Hadar de Edom nos tempos pré-israelitas (</w:t>
      </w:r>
      <w:hyperlink r:id="rId10282">
        <w:r>
          <w:rPr>
            <w:color w:val="0000EE"/>
            <w:u w:val="single"/>
          </w:rPr>
          <w:t>Gn 36.39</w:t>
        </w:r>
      </w:hyperlink>
      <w:r>
        <w:t xml:space="preserve">; </w:t>
      </w:r>
      <w:hyperlink r:id="rId14105">
        <w:r>
          <w:rPr>
            <w:color w:val="0000EE"/>
            <w:u w:val="single"/>
          </w:rPr>
          <w:t>1Cr 1.50</w:t>
        </w:r>
      </w:hyperlink>
      <w:r>
        <w:t>).</w:t>
      </w:r>
    </w:p>
    <w:p>
      <w:pPr>
        <w:pStyle w:val="ListNumber"/>
        <w:spacing w:line="240" w:lineRule="auto"/>
        <w:ind w:left="720"/>
      </w:pPr>
      <w:r/>
      <w:r>
        <w:t>O avô de Semaías. Tobias e Sambalate contrataram Semaías para desacreditar Neemias, assustando-o para que fugisse para o templo (</w:t>
      </w:r>
      <w:hyperlink r:id="rId14178">
        <w:r>
          <w:rPr>
            <w:color w:val="0000EE"/>
            <w:u w:val="single"/>
          </w:rPr>
          <w:t>Ne 6.10</w:t>
        </w:r>
      </w:hyperlink>
      <w:r>
        <w:t>).</w:t>
      </w:r>
      <w:r/>
      <w:r/>
    </w:p>
    <w:p>
      <w:r/>
    </w:p>
    <w:p>
      <w:pPr>
        <w:pStyle w:val="Heading2"/>
      </w:pPr>
      <w:r>
        <w:t>Mel</w:t>
      </w:r>
      <w:r/>
    </w:p>
    <w:p>
      <w:r/>
      <w:r>
        <w:t>Xarope doce produzido pelas abelhas (</w:t>
      </w:r>
      <w:hyperlink r:id="rId14179">
        <w:r>
          <w:rPr>
            <w:color w:val="0000EE"/>
            <w:u w:val="single"/>
          </w:rPr>
          <w:t>Jz 14.8</w:t>
        </w:r>
      </w:hyperlink>
      <w:r>
        <w:t>), sejam selvagens (</w:t>
      </w:r>
      <w:hyperlink r:id="rId14180">
        <w:r>
          <w:rPr>
            <w:color w:val="0000EE"/>
            <w:u w:val="single"/>
          </w:rPr>
          <w:t>1Sm 14.25–26</w:t>
        </w:r>
      </w:hyperlink>
      <w:r>
        <w:t xml:space="preserve">) ou domesticadas (aparentemente assim em </w:t>
      </w:r>
      <w:hyperlink r:id="rId14181">
        <w:r>
          <w:rPr>
            <w:color w:val="0000EE"/>
            <w:u w:val="single"/>
          </w:rPr>
          <w:t>2Cr 31.5</w:t>
        </w:r>
      </w:hyperlink>
      <w:r>
        <w:t>). As vezes, no entanto, pode se referir ao xarope grosso de uva (como em árabe) ou xarope de tâmara (como descrito por Josefo). O mel era considerado uma das necessidades da vida (</w:t>
      </w:r>
      <w:hyperlink r:id="rId14182">
        <w:r>
          <w:rPr>
            <w:color w:val="0000EE"/>
            <w:u w:val="single"/>
          </w:rPr>
          <w:t>Eclo 39.26</w:t>
        </w:r>
      </w:hyperlink>
      <w:r>
        <w:t>); não se deve, no entanto, comer demais (</w:t>
      </w:r>
      <w:hyperlink r:id="rId14183">
        <w:r>
          <w:rPr>
            <w:color w:val="0000EE"/>
            <w:u w:val="single"/>
          </w:rPr>
          <w:t>Pv 25.16,27</w:t>
        </w:r>
      </w:hyperlink>
      <w:r>
        <w:t>). Fazia parte da dieta de João Batista (</w:t>
      </w:r>
      <w:hyperlink r:id="rId1795">
        <w:r>
          <w:rPr>
            <w:color w:val="0000EE"/>
            <w:u w:val="single"/>
          </w:rPr>
          <w:t>Mc 1.6</w:t>
        </w:r>
      </w:hyperlink>
      <w:r>
        <w:t>) e do Emanuel (</w:t>
      </w:r>
      <w:hyperlink r:id="rId14184">
        <w:r>
          <w:rPr>
            <w:color w:val="0000EE"/>
            <w:u w:val="single"/>
          </w:rPr>
          <w:t>Is 7.15</w:t>
        </w:r>
      </w:hyperlink>
      <w:r>
        <w:t>). Sua exclusão, juntamente com o fermento, das ofertas de grãos (</w:t>
      </w:r>
      <w:hyperlink r:id="rId5231">
        <w:r>
          <w:rPr>
            <w:color w:val="0000EE"/>
            <w:u w:val="single"/>
          </w:rPr>
          <w:t>Lv 2.11</w:t>
        </w:r>
      </w:hyperlink>
      <w:r>
        <w:t>) é, sem dúvida, porque é suscetível à fermentação. Sua doçura se tornou uma metáfora familiar (</w:t>
      </w:r>
      <w:hyperlink r:id="rId577">
        <w:r>
          <w:rPr>
            <w:color w:val="0000EE"/>
            <w:u w:val="single"/>
          </w:rPr>
          <w:t>Jz 14.18</w:t>
        </w:r>
      </w:hyperlink>
      <w:r>
        <w:t xml:space="preserve">; </w:t>
      </w:r>
      <w:hyperlink r:id="rId14185">
        <w:r>
          <w:rPr>
            <w:color w:val="0000EE"/>
            <w:u w:val="single"/>
          </w:rPr>
          <w:t>Sl 19.10</w:t>
        </w:r>
      </w:hyperlink>
      <w:r>
        <w:t xml:space="preserve">; </w:t>
      </w:r>
      <w:hyperlink r:id="rId14186">
        <w:r>
          <w:rPr>
            <w:color w:val="0000EE"/>
            <w:u w:val="single"/>
          </w:rPr>
          <w:t>Ap 10.9–10</w:t>
        </w:r>
      </w:hyperlink>
      <w:r>
        <w:t>).</w:t>
      </w:r>
    </w:p>
    <w:p>
      <w:r/>
      <w:r>
        <w:rPr>
          <w:i/>
        </w:rPr>
        <w:t>Veja também</w:t>
      </w:r>
      <w:r>
        <w:t xml:space="preserve"> </w:t>
      </w:r>
      <w:r>
        <w:t>Alimentação e preparação de alimentos</w:t>
      </w:r>
      <w:r>
        <w:t>.</w:t>
      </w:r>
      <w:r/>
      <w:r/>
    </w:p>
    <w:p>
      <w:r/>
    </w:p>
    <w:p>
      <w:pPr>
        <w:pStyle w:val="Heading2"/>
      </w:pPr>
      <w:r>
        <w:t>Melquisedeque</w:t>
      </w:r>
      <w:r/>
    </w:p>
    <w:p>
      <w:r/>
      <w:r>
        <w:t>Uma figura bíblica misteriosa cujo nome significa "rei da justiça". Melquisedeque foi tanto um sacerdote quanto um rei. Nós o conhecemos pela primeira vez em</w:t>
      </w:r>
      <w:hyperlink r:id="rId10432">
        <w:r>
          <w:rPr>
            <w:color w:val="0000EE"/>
            <w:u w:val="single"/>
          </w:rPr>
          <w:t xml:space="preserve"> Gênesis 14.18–20</w:t>
        </w:r>
      </w:hyperlink>
      <w:r>
        <w:t xml:space="preserve">. Ele também é mencionado em </w:t>
      </w:r>
      <w:hyperlink r:id="rId6824">
        <w:r>
          <w:rPr>
            <w:color w:val="0000EE"/>
            <w:u w:val="single"/>
          </w:rPr>
          <w:t>Salmo 110.4</w:t>
        </w:r>
      </w:hyperlink>
      <w:r>
        <w:t xml:space="preserve"> e </w:t>
      </w:r>
      <w:hyperlink r:id="rId10426">
        <w:r>
          <w:rPr>
            <w:color w:val="0000EE"/>
            <w:u w:val="single"/>
          </w:rPr>
          <w:t>Hebreus 5.10</w:t>
        </w:r>
      </w:hyperlink>
      <w:r>
        <w:t xml:space="preserve">; </w:t>
      </w:r>
      <w:hyperlink r:id="rId2680">
        <w:r>
          <w:rPr>
            <w:color w:val="0000EE"/>
            <w:u w:val="single"/>
          </w:rPr>
          <w:t>6.20</w:t>
        </w:r>
      </w:hyperlink>
      <w:r>
        <w:t xml:space="preserve">; </w:t>
      </w:r>
      <w:hyperlink r:id="rId14187">
        <w:r>
          <w:rPr>
            <w:color w:val="0000EE"/>
            <w:u w:val="single"/>
          </w:rPr>
          <w:t>7.1–17</w:t>
        </w:r>
      </w:hyperlink>
      <w:r>
        <w:t>.</w:t>
      </w:r>
    </w:p>
    <w:p>
      <w:pPr>
        <w:pStyle w:val="Heading3"/>
      </w:pPr>
      <w:r>
        <w:t xml:space="preserve">Melquisedeque em </w:t>
      </w:r>
      <w:hyperlink r:id="rId10432">
        <w:r>
          <w:rPr>
            <w:color w:val="0000EE"/>
            <w:u w:val="single"/>
          </w:rPr>
          <w:t>Gênesis 14.18–20</w:t>
        </w:r>
      </w:hyperlink>
    </w:p>
    <w:p>
      <w:r/>
      <w:r>
        <w:t>O rei Quedorlaomer e outros três reis da Mesopotâmia atacaram cinco cidades perto do Mar Morto. Durante essa batalha, eles capturaram Ló, sobrinho de Abraão, junto com sua família e todos os seus bens (</w:t>
      </w:r>
      <w:hyperlink r:id="rId14188">
        <w:r>
          <w:rPr>
            <w:color w:val="0000EE"/>
            <w:u w:val="single"/>
          </w:rPr>
          <w:t>Gn 14.1–12</w:t>
        </w:r>
      </w:hyperlink>
      <w:r>
        <w:t>). Abraão reuniu seus homens e perseguiu os atacantes. Ele os derrotou e resgatou Ló e sua família, trazendo de volta tudo o que havia sido levado (</w:t>
      </w:r>
      <w:hyperlink r:id="rId10071">
        <w:r>
          <w:rPr>
            <w:color w:val="0000EE"/>
            <w:u w:val="single"/>
          </w:rPr>
          <w:t>Gn 14.13–16</w:t>
        </w:r>
      </w:hyperlink>
      <w:r>
        <w:t>).</w:t>
      </w:r>
    </w:p>
    <w:p>
      <w:r/>
      <w:r>
        <w:t xml:space="preserve">Quando Abraão voltou da batalha, os reis da região do Mar Morto vieram agradecê-lo. Melquisedeque, o rei de Salém (um nome antigo para Jerusalém), também veio ao encontro de Abraão (cp. </w:t>
      </w:r>
      <w:hyperlink r:id="rId14189">
        <w:r>
          <w:rPr>
            <w:color w:val="0000EE"/>
            <w:u w:val="single"/>
          </w:rPr>
          <w:t>Sl 76.2</w:t>
        </w:r>
      </w:hyperlink>
      <w:r>
        <w:t>). Melquisedeque trouxe pão e vinho e abençoou Abraão, pois era um sacerdote do "Deus Altíssimo" (</w:t>
      </w:r>
      <w:hyperlink r:id="rId7858">
        <w:r>
          <w:rPr>
            <w:color w:val="0000EE"/>
            <w:u w:val="single"/>
          </w:rPr>
          <w:t>Gn 14.18</w:t>
        </w:r>
      </w:hyperlink>
      <w:r>
        <w:t>).</w:t>
      </w:r>
    </w:p>
    <w:p>
      <w:r/>
      <w:r>
        <w:t>O nome "Deus Altíssimo" (</w:t>
      </w:r>
      <w:r>
        <w:rPr>
          <w:i/>
        </w:rPr>
        <w:t>’El ‘Elyon</w:t>
      </w:r>
      <w:r>
        <w:t xml:space="preserve"> em hebraico) refere-se ao único Deus verdadeiro que criou o céu e a terra. Isso era diferente dos falsos deuses que o povo cananeu adorava (cp. </w:t>
      </w:r>
      <w:hyperlink r:id="rId13776">
        <w:r>
          <w:rPr>
            <w:color w:val="0000EE"/>
            <w:u w:val="single"/>
          </w:rPr>
          <w:t>Gn 14.22</w:t>
        </w:r>
      </w:hyperlink>
      <w:r>
        <w:t xml:space="preserve">; </w:t>
      </w:r>
      <w:hyperlink r:id="rId14190">
        <w:r>
          <w:rPr>
            <w:color w:val="0000EE"/>
            <w:u w:val="single"/>
          </w:rPr>
          <w:t>Sl 7.17</w:t>
        </w:r>
      </w:hyperlink>
      <w:r>
        <w:t xml:space="preserve">; </w:t>
      </w:r>
      <w:hyperlink r:id="rId14191">
        <w:r>
          <w:rPr>
            <w:color w:val="0000EE"/>
            <w:u w:val="single"/>
          </w:rPr>
          <w:t>47.2</w:t>
        </w:r>
      </w:hyperlink>
      <w:r>
        <w:t xml:space="preserve">; </w:t>
      </w:r>
      <w:hyperlink r:id="rId14192">
        <w:r>
          <w:rPr>
            <w:color w:val="0000EE"/>
            <w:u w:val="single"/>
          </w:rPr>
          <w:t>57.2</w:t>
        </w:r>
      </w:hyperlink>
      <w:r>
        <w:t xml:space="preserve">; </w:t>
      </w:r>
      <w:hyperlink r:id="rId14193">
        <w:r>
          <w:rPr>
            <w:color w:val="0000EE"/>
            <w:u w:val="single"/>
          </w:rPr>
          <w:t>78.56</w:t>
        </w:r>
      </w:hyperlink>
      <w:r>
        <w:t>). Melquisedeque sabia que Abraão adorava esse mesmo Deus verdadeiro (</w:t>
      </w:r>
      <w:hyperlink r:id="rId13776">
        <w:r>
          <w:rPr>
            <w:color w:val="0000EE"/>
            <w:u w:val="single"/>
          </w:rPr>
          <w:t>Gn 14.22</w:t>
        </w:r>
      </w:hyperlink>
      <w:r>
        <w:t>).</w:t>
      </w:r>
    </w:p>
    <w:p>
      <w:r/>
      <w:r>
        <w:t>Melquisedeque louvou a Deus por ajudar Abraão a vencer a batalha. Abraão demonstrou que aceitava o papel de Melquisedeque como sacerdote de Deus de duas maneiras: ele aceitou os presentes e a bênção de Melquisedeque, e deu a Melquisedeque um décimo de tudo o que havia recuperado. Em contraste, Abraão recusou aceitar presentes do rei de Sodoma porque não queria ser associado àqueles que adoravam falsos deuses.</w:t>
      </w:r>
    </w:p>
    <w:p>
      <w:r/>
      <w:r>
        <w:t xml:space="preserve">Não sabemos exatamente como Melquisedeque veio a conhecer o verdadeiro Deus. Ele pode ter aprendido sobre Deus através de histórias transmitidas desde o tempo do dilúvio de Noé. Ou, como Abraão, Deus pode ter falado diretamente com ele e afastado-o da adoração a falsos deuses. O que sabemos de </w:t>
      </w:r>
      <w:hyperlink r:id="rId9398">
        <w:r>
          <w:rPr>
            <w:color w:val="0000EE"/>
            <w:u w:val="single"/>
          </w:rPr>
          <w:t>Hebreus 7.3</w:t>
        </w:r>
      </w:hyperlink>
      <w:r>
        <w:t xml:space="preserve"> é que Melquisedeque era diferente de outros sacerdotes. Ele não se tornou sacerdote porque seu pai era sacerdote, mas de uma maneira especial que a Bíblia não explica completamente.</w:t>
      </w:r>
    </w:p>
    <w:p>
      <w:pPr>
        <w:pStyle w:val="Heading3"/>
      </w:pPr>
      <w:r>
        <w:t xml:space="preserve">Melquisedeque em </w:t>
      </w:r>
      <w:hyperlink r:id="rId6824">
        <w:r>
          <w:rPr>
            <w:color w:val="0000EE"/>
            <w:u w:val="single"/>
          </w:rPr>
          <w:t>Salmo 110.4</w:t>
        </w:r>
      </w:hyperlink>
    </w:p>
    <w:p>
      <w:r/>
      <w:r>
        <w:t xml:space="preserve">Neste salmo, o Rei Davi escreveu sobre alguém maior do que ele mesmo, alguém que ele chamou de “Senhor” (v. </w:t>
      </w:r>
      <w:hyperlink r:id="rId2667">
        <w:r>
          <w:rPr>
            <w:color w:val="0000EE"/>
            <w:u w:val="single"/>
          </w:rPr>
          <w:t>1</w:t>
        </w:r>
      </w:hyperlink>
      <w:r>
        <w:t xml:space="preserve">; cp. </w:t>
      </w:r>
      <w:hyperlink r:id="rId6627">
        <w:r>
          <w:rPr>
            <w:color w:val="0000EE"/>
            <w:u w:val="single"/>
          </w:rPr>
          <w:t>Mc 12.35</w:t>
        </w:r>
      </w:hyperlink>
      <w:r>
        <w:t>-</w:t>
      </w:r>
      <w:hyperlink r:id="rId6627">
        <w:r>
          <w:rPr>
            <w:color w:val="0000EE"/>
            <w:u w:val="single"/>
          </w:rPr>
          <w:t>37</w:t>
        </w:r>
      </w:hyperlink>
      <w:r>
        <w:t>). Davi não estava escrevendo sobre si mesmo ou qualquer outro rei de seu tempo. Ele estava escrevendo sobre o Prometido Messias que viria no futuro. Este Messias seria tanto o Filho de Deus quanto um descendente de Davi.</w:t>
      </w:r>
    </w:p>
    <w:p>
      <w:r/>
      <w:r>
        <w:t xml:space="preserve">Em </w:t>
      </w:r>
      <w:hyperlink r:id="rId6824">
        <w:r>
          <w:rPr>
            <w:color w:val="0000EE"/>
            <w:u w:val="single"/>
          </w:rPr>
          <w:t>Salmo 110.4</w:t>
        </w:r>
      </w:hyperlink>
      <w:r>
        <w:t>, Davi diz ao Messias: “Você será sacerdote para sempre, na ordem do sacerdócio de Melquisedeque”. O significado completo desta promessa é explicado mais tarde no livro de Hebreus.</w:t>
      </w:r>
    </w:p>
    <w:p>
      <w:pPr>
        <w:pStyle w:val="Heading3"/>
      </w:pPr>
      <w:r>
        <w:t xml:space="preserve">Melquisedeque em </w:t>
      </w:r>
      <w:hyperlink r:id="rId14194">
        <w:r>
          <w:rPr>
            <w:color w:val="0000EE"/>
            <w:u w:val="single"/>
          </w:rPr>
          <w:t>Hebreus 5.6–11</w:t>
        </w:r>
      </w:hyperlink>
      <w:r>
        <w:t xml:space="preserve">; </w:t>
      </w:r>
      <w:hyperlink r:id="rId14195">
        <w:r>
          <w:rPr>
            <w:color w:val="0000EE"/>
            <w:u w:val="single"/>
          </w:rPr>
          <w:t>6.20–7.28</w:t>
        </w:r>
      </w:hyperlink>
    </w:p>
    <w:p>
      <w:r/>
      <w:r>
        <w:t>O livro de Hebreus explica por que o papel de Jesus como sacerdote é superior ao dos sacerdotes que vieram da família de Arão. Ele compara Jesus a Melquisedeque para demonstrar isso. Aqui estão três maneiras como eles são semelhantes:</w:t>
      </w:r>
    </w:p>
    <w:p>
      <w:pPr>
        <w:pStyle w:val="ListNumber"/>
        <w:spacing w:line="240" w:lineRule="auto"/>
        <w:ind w:left="720"/>
      </w:pPr>
      <w:r/>
      <w:r>
        <w:t>Tanto Jesus quanto Melquisedeque são "Reis da Justiça" e "Reis da Paz" (</w:t>
      </w:r>
      <w:hyperlink r:id="rId14196">
        <w:r>
          <w:rPr>
            <w:color w:val="0000EE"/>
            <w:u w:val="single"/>
          </w:rPr>
          <w:t>Hb 7.1–2</w:t>
        </w:r>
      </w:hyperlink>
      <w:r>
        <w:t>).</w:t>
      </w:r>
    </w:p>
    <w:p>
      <w:pPr>
        <w:pStyle w:val="ListNumber"/>
        <w:spacing w:line="240" w:lineRule="auto"/>
        <w:ind w:left="720"/>
      </w:pPr>
      <w:r/>
      <w:r>
        <w:t>Ambos se tornaram sacerdotes de uma maneira especial, não porque nasceram em uma família sacerdotal (</w:t>
      </w:r>
      <w:hyperlink r:id="rId9398">
        <w:r>
          <w:rPr>
            <w:color w:val="0000EE"/>
            <w:u w:val="single"/>
          </w:rPr>
          <w:t>Hb 7.3</w:t>
        </w:r>
      </w:hyperlink>
      <w:r>
        <w:t>).</w:t>
      </w:r>
    </w:p>
    <w:p>
      <w:pPr>
        <w:pStyle w:val="ListNumber"/>
        <w:spacing w:line="240" w:lineRule="auto"/>
        <w:ind w:left="720"/>
      </w:pPr>
      <w:r/>
      <w:r>
        <w:t>Ambos servem como sacerdotes para sempre (</w:t>
      </w:r>
      <w:hyperlink r:id="rId9398">
        <w:r>
          <w:rPr>
            <w:color w:val="0000EE"/>
            <w:u w:val="single"/>
          </w:rPr>
          <w:t>Hb 7.3</w:t>
        </w:r>
      </w:hyperlink>
      <w:r>
        <w:t>).</w:t>
      </w:r>
    </w:p>
    <w:p>
      <w:r/>
      <w:r>
        <w:t>Melquisedeque foi maior que Abraão (o pai de Levi) porque Melquisedeque deu presentes a Abraão, o abençoou e recebeu dízimos dele (</w:t>
      </w:r>
      <w:hyperlink r:id="rId14197">
        <w:r>
          <w:rPr>
            <w:color w:val="0000EE"/>
            <w:u w:val="single"/>
          </w:rPr>
          <w:t>Hb 7.4–10</w:t>
        </w:r>
      </w:hyperlink>
      <w:r>
        <w:t>). O rei Davi escreveu que um novo tipo de sacerdote como Melquisedeque viria, mostrando que os sacerdotes que vieram da família de Levi não podiam fazer tudo o que o povo de Deus precisava (</w:t>
      </w:r>
      <w:hyperlink r:id="rId14198">
        <w:r>
          <w:rPr>
            <w:color w:val="0000EE"/>
            <w:u w:val="single"/>
          </w:rPr>
          <w:t>Hb 7.11</w:t>
        </w:r>
      </w:hyperlink>
      <w:r>
        <w:t>-</w:t>
      </w:r>
      <w:hyperlink r:id="rId14198">
        <w:r>
          <w:rPr>
            <w:color w:val="0000EE"/>
            <w:u w:val="single"/>
          </w:rPr>
          <w:t>19</w:t>
        </w:r>
      </w:hyperlink>
      <w:r>
        <w:t>). Deus fez uma promessa especial sobre Jesus ser esse tipo de sacerdote, o que Deus não havia feito para os sacerdotes levíticos (</w:t>
      </w:r>
      <w:hyperlink r:id="rId885">
        <w:r>
          <w:rPr>
            <w:color w:val="0000EE"/>
            <w:u w:val="single"/>
          </w:rPr>
          <w:t>Hb 7.20</w:t>
        </w:r>
      </w:hyperlink>
      <w:r>
        <w:t>-</w:t>
      </w:r>
      <w:hyperlink r:id="rId885">
        <w:r>
          <w:rPr>
            <w:color w:val="0000EE"/>
            <w:u w:val="single"/>
          </w:rPr>
          <w:t>22</w:t>
        </w:r>
      </w:hyperlink>
      <w:r>
        <w:t>). Ao contrário dos sacerdotes levíticos que morreram e tiveram que ser substituídos, esse novo sacerdócio duraria para sempre (</w:t>
      </w:r>
      <w:hyperlink r:id="rId14199">
        <w:r>
          <w:rPr>
            <w:color w:val="0000EE"/>
            <w:u w:val="single"/>
          </w:rPr>
          <w:t>Hb 7.23</w:t>
        </w:r>
      </w:hyperlink>
      <w:r>
        <w:t>-</w:t>
      </w:r>
      <w:hyperlink r:id="rId14199">
        <w:r>
          <w:rPr>
            <w:color w:val="0000EE"/>
            <w:u w:val="single"/>
          </w:rPr>
          <w:t>25</w:t>
        </w:r>
      </w:hyperlink>
      <w:r>
        <w:t>).</w:t>
      </w:r>
    </w:p>
    <w:p>
      <w:r/>
      <w:r>
        <w:t xml:space="preserve">Alguns estudiosos da Bíblia sugeriram que Melquisedeque pode ter sido Jesus aparecendo no Antigo Testamento antes de nascer como humano (isso é chamado de "Cristofania"). Eles pensam assim porque </w:t>
      </w:r>
      <w:hyperlink r:id="rId9398">
        <w:r>
          <w:rPr>
            <w:color w:val="0000EE"/>
            <w:u w:val="single"/>
          </w:rPr>
          <w:t>Hebreus 7.3</w:t>
        </w:r>
      </w:hyperlink>
      <w:r>
        <w:t xml:space="preserve"> diz que não há registro dos pais, ancestrais, nascimento ou morte de Melquisedeque.</w:t>
      </w:r>
    </w:p>
    <w:p>
      <w:r/>
      <w:r>
        <w:t>No entanto, este versículo é melhor compreendido como significando que Melquisedeque se tornou sacerdote de uma maneira especial. Deus o escolheu diretamente, ao contrário dos levitas, que se tornaram sacerdotes por nascerem em certas famílias. Melquisedeque era uma imagem ou exemplo do que Jesus seria como sacerdote mais tarde.</w:t>
      </w:r>
    </w:p>
    <w:p>
      <w:r/>
      <w:r>
        <w:t>O livro de Hebreus diz que Melquisedeque era “como o Filho de Deus” (</w:t>
      </w:r>
      <w:hyperlink r:id="rId9398">
        <w:r>
          <w:rPr>
            <w:color w:val="0000EE"/>
            <w:u w:val="single"/>
          </w:rPr>
          <w:t>Hb 7.3</w:t>
        </w:r>
      </w:hyperlink>
      <w:r>
        <w:t>). Isso mostra que Melquisedeque era parecido com Jesus, mas não era realmente Jesus.</w:t>
      </w:r>
    </w:p>
    <w:p>
      <w:r/>
      <w:r>
        <w:rPr>
          <w:i/>
        </w:rPr>
        <w:t>Veja também</w:t>
      </w:r>
      <w:r>
        <w:t xml:space="preserve"> </w:t>
      </w:r>
      <w:r>
        <w:t>Hebreus, Carta aos</w:t>
      </w:r>
      <w:r>
        <w:t xml:space="preserve">; </w:t>
      </w:r>
      <w:r>
        <w:t>Sacerdotes e Levitas</w:t>
      </w:r>
      <w:r>
        <w:t>.</w:t>
      </w:r>
      <w:r/>
      <w:r/>
    </w:p>
    <w:p>
      <w:r/>
    </w:p>
    <w:p>
      <w:pPr>
        <w:pStyle w:val="Heading2"/>
      </w:pPr>
      <w:r>
        <w:t>Memorial</w:t>
      </w:r>
      <w:r/>
    </w:p>
    <w:p>
      <w:r/>
      <w:r>
        <w:t>Um memorial é algo que nos ajuda a recordar certas pessoas ou eventos. Tanto na linguagem cotidiana quanto na bíblica, "lembrar", "lembrança", e "memorial" estão intimamente conectados. As palavras hebraicas e gregas para "memorial" no Antigo e Novo Testamentos derivam de verbos que significam "lembrar", Para entender "memorial", devemos primeiro conhecer o significado bíblico de "lembrar".</w:t>
      </w:r>
    </w:p>
    <w:p>
      <w:pPr>
        <w:pStyle w:val="Heading3"/>
      </w:pPr>
      <w:r>
        <w:t>Significado bíblico de "lembrar"</w:t>
      </w:r>
    </w:p>
    <w:p>
      <w:r/>
      <w:r>
        <w:t xml:space="preserve">No uso cotidiano, "lembrar" significa recordar o passado. "Memorial" refere-se a algo que mantém uma memória viva. No entanto, na Bíblia, "lembrar" muitas vezes tem um significado mais profundo. Não significa apenas pensar sobre o passado. Significa lembrar de uma forma que muda como alguém se sente, pensa ou age agora. Por exemplo, </w:t>
      </w:r>
      <w:hyperlink r:id="rId8347">
        <w:r>
          <w:rPr>
            <w:color w:val="0000EE"/>
            <w:u w:val="single"/>
          </w:rPr>
          <w:t>Gênesis 8.1</w:t>
        </w:r>
      </w:hyperlink>
      <w:r>
        <w:t xml:space="preserve"> diz que Deus "lembrou-se de Noé". Isso significa que ele agiu em favor de Noé, não apenas que pensou nele. Inclui essa ideia, com certeza, mas mais do que isso, significa que Deus está agindo em favor de Noé. De maneira semelhante, quando </w:t>
      </w:r>
      <w:hyperlink r:id="rId14200">
        <w:r>
          <w:rPr>
            <w:color w:val="0000EE"/>
            <w:u w:val="single"/>
          </w:rPr>
          <w:t>Gênesis 30.22</w:t>
        </w:r>
      </w:hyperlink>
      <w:r>
        <w:t xml:space="preserve"> diz que Deus "lembrou-se de Raquel", significa que ele estava prestes a responder à sua oração por um filho após um longo tempo de espera.</w:t>
      </w:r>
    </w:p>
    <w:p>
      <w:pPr>
        <w:pStyle w:val="Heading3"/>
      </w:pPr>
      <w:r>
        <w:t>Memorial no Antigo Testamento</w:t>
      </w:r>
    </w:p>
    <w:p>
      <w:r/>
      <w:r>
        <w:t>O Antigo Testamento frequentemente instrui os israelitas a se lembrarem das grandes coisas que Deus fez por eles (</w:t>
      </w:r>
      <w:hyperlink r:id="rId14201">
        <w:r>
          <w:rPr>
            <w:color w:val="0000EE"/>
            <w:u w:val="single"/>
          </w:rPr>
          <w:t>Sl 77.11</w:t>
        </w:r>
      </w:hyperlink>
      <w:r>
        <w:t xml:space="preserve">; </w:t>
      </w:r>
      <w:hyperlink r:id="rId14202">
        <w:r>
          <w:rPr>
            <w:color w:val="0000EE"/>
            <w:u w:val="single"/>
          </w:rPr>
          <w:t>78.7</w:t>
        </w:r>
      </w:hyperlink>
      <w:r>
        <w:t xml:space="preserve">; </w:t>
      </w:r>
      <w:hyperlink r:id="rId14203">
        <w:r>
          <w:rPr>
            <w:color w:val="0000EE"/>
            <w:u w:val="single"/>
          </w:rPr>
          <w:t>105.5</w:t>
        </w:r>
      </w:hyperlink>
      <w:r>
        <w:t>). Não se tratava apenas de recordar o passado, mas de viver no presente com fé, conscientes do que Deus já havia realizado. Esquecer os feitos passados de Deus frequentemente levava Israel a se afastar dele (</w:t>
      </w:r>
      <w:hyperlink r:id="rId14204">
        <w:r>
          <w:rPr>
            <w:color w:val="0000EE"/>
            <w:u w:val="single"/>
          </w:rPr>
          <w:t>Sl 78.11,42</w:t>
        </w:r>
      </w:hyperlink>
      <w:r>
        <w:t xml:space="preserve">; </w:t>
      </w:r>
      <w:hyperlink r:id="rId14205">
        <w:r>
          <w:rPr>
            <w:color w:val="0000EE"/>
            <w:u w:val="single"/>
          </w:rPr>
          <w:t>106.7,13,21–22</w:t>
        </w:r>
      </w:hyperlink>
      <w:r>
        <w:t>).</w:t>
      </w:r>
    </w:p>
    <w:p>
      <w:r/>
      <w:r>
        <w:t xml:space="preserve">Observando como a palavra "memorial" é frequentemente usada para significar lembrança ativa. Um exemplo claro é como ela é usada em conexão com a Páscoa. Em </w:t>
      </w:r>
      <w:hyperlink r:id="rId7019">
        <w:r>
          <w:rPr>
            <w:color w:val="0000EE"/>
            <w:u w:val="single"/>
          </w:rPr>
          <w:t>Êxodo 12.14</w:t>
        </w:r>
      </w:hyperlink>
      <w:r>
        <w:t>, a Páscoa é chamada de "memorial". Assim, não se tratava apenas de lembrar o Êxodo do Egito como um evento histórico. Era um momento para os israelitas viverem no presente. Eles deveriam lembrar-se da libertação de Deus do pecado e da escravidão.</w:t>
      </w:r>
    </w:p>
    <w:p>
      <w:r/>
      <w:r>
        <w:t xml:space="preserve">Da mesma forma, </w:t>
      </w:r>
      <w:hyperlink r:id="rId14206">
        <w:r>
          <w:rPr>
            <w:color w:val="0000EE"/>
            <w:u w:val="single"/>
          </w:rPr>
          <w:t>Josué 4.7</w:t>
        </w:r>
      </w:hyperlink>
      <w:r>
        <w:t xml:space="preserve"> descreve a colocação de doze pedras no Rio Jordão como um "memorial". Este memorial ajudou os israelitas a se lembrarem de como Deus os ajudou a cruzar para Canaã. Este memorial deveria ser "para o povo de Israel para sempre". Ele lembrava o povo de como Deus os havia salvado no passado. Essa memória foi destinada a dar-lhes coragem quando enfrentassem tempos difíceis no futuro.</w:t>
      </w:r>
    </w:p>
    <w:p>
      <w:r/>
      <w:r>
        <w:t>Outro exemplo são as "piedras memoriais" na vestimenta especial do sumo sacerdote chamada "éfode" (</w:t>
      </w:r>
      <w:hyperlink r:id="rId14207">
        <w:r>
          <w:rPr>
            <w:color w:val="0000EE"/>
            <w:u w:val="single"/>
          </w:rPr>
          <w:t>Êx 28.12,29</w:t>
        </w:r>
      </w:hyperlink>
      <w:r>
        <w:t xml:space="preserve">; </w:t>
      </w:r>
      <w:hyperlink r:id="rId14208">
        <w:r>
          <w:rPr>
            <w:color w:val="0000EE"/>
            <w:u w:val="single"/>
          </w:rPr>
          <w:t>39.7</w:t>
        </w:r>
      </w:hyperlink>
      <w:r>
        <w:t>). Essas pedras eram para trazer os nomes dos filhos de Israel perante o Senhor. Elas não eram apenas para lembrar Deus dos israelitas, mas simbolizavam sua preocupação contínua com o bem-estar deles.</w:t>
      </w:r>
    </w:p>
    <w:p>
      <w:r/>
      <w:r>
        <w:t xml:space="preserve">O termo "memorial" é usado de forma diferente em relação à oferta de cereais em </w:t>
      </w:r>
      <w:hyperlink r:id="rId14209">
        <w:r>
          <w:rPr>
            <w:color w:val="0000EE"/>
            <w:u w:val="single"/>
          </w:rPr>
          <w:t>Levítico 2.2,16</w:t>
        </w:r>
      </w:hyperlink>
      <w:r>
        <w:t>. Aqui, "memorial" significa a parte da oferta de cereais queimada no altar. O restante era para alimentar os sacerdotes. O memorial representa toda a oferta. Este memorial não é apenas uma lembrança para Deus, mas é visto como parte da própria oferta.</w:t>
      </w:r>
    </w:p>
    <w:p>
      <w:pPr>
        <w:pStyle w:val="Heading3"/>
      </w:pPr>
      <w:r>
        <w:t>Memorial no Novo Testamento</w:t>
      </w:r>
    </w:p>
    <w:p>
      <w:r/>
      <w:r>
        <w:t>O Novo Testamento usa "memorial" e "lembrança" com menos frequência. No entanto, eles têm um significado especial em uma instância. Quando Jesus estabeleceu a Ceia do Senhor, a Páscoa do Novo Testamento, ele disse: "Este é o Meu corpo, dado por vocês; façam isso em memória de Mim” (</w:t>
      </w:r>
      <w:hyperlink r:id="rId4671">
        <w:r>
          <w:rPr>
            <w:color w:val="0000EE"/>
            <w:u w:val="single"/>
          </w:rPr>
          <w:t>Lc 22.19</w:t>
        </w:r>
      </w:hyperlink>
      <w:r>
        <w:t>). A Ceia do Senhor é um memorial do sofrimento e morte de Cristo. Não se trata apenas de recordar um evento histórico, mas de lembrar de uma forma que faz os crentes serem gratos e os afeta hoje.</w:t>
      </w:r>
      <w:r/>
      <w:r/>
    </w:p>
    <w:p>
      <w:r/>
    </w:p>
    <w:p>
      <w:pPr>
        <w:pStyle w:val="Heading2"/>
      </w:pPr>
      <w:r>
        <w:t>Menasom</w:t>
      </w:r>
      <w:r/>
    </w:p>
    <w:p>
      <w:r/>
      <w:r>
        <w:t>Um cristão que vivia em Jerusalém (</w:t>
      </w:r>
      <w:hyperlink r:id="rId14210">
        <w:r>
          <w:rPr>
            <w:color w:val="0000EE"/>
            <w:u w:val="single"/>
          </w:rPr>
          <w:t>At 21.16</w:t>
        </w:r>
      </w:hyperlink>
      <w:r>
        <w:t>). Ele nasceu na ilha de Chipre e foi seguidor de Jesus por muitos anos. Quando Paulo e seus companheiros de viagem chegaram a Jerusalém, Menasom os recebeu e ofereceu hospedagem como seus convidados.</w:t>
      </w:r>
      <w:r/>
      <w:r/>
    </w:p>
    <w:p>
      <w:r/>
    </w:p>
    <w:p>
      <w:pPr>
        <w:pStyle w:val="Heading2"/>
      </w:pPr>
      <w:r>
        <w:t>Mendigo</w:t>
      </w:r>
      <w:r/>
    </w:p>
    <w:p>
      <w:r/>
      <w:r>
        <w:t>Aquele que pede caridade, especialmente aquele que vive de mendigar, um mendicante.</w:t>
      </w:r>
    </w:p>
    <w:p>
      <w:r/>
      <w:r>
        <w:t>As referências bíblicas para pedir esmolas estão limitadas a tais verbos hebraicos como “buscar” ou “pedir”, e, como um substantivo, “os pobres e necessitados”; no NT, os termos gregos se referem a ser “pobre” ou “miserável”, e para aqueles que “pedem mais”. Os mendigos que pediam de maneira recorrente eram desconhecidos no tempo de Moisés, uma vez que a lei fazia ampla provisão para tomar conta dos pobres.</w:t>
      </w:r>
    </w:p>
    <w:p>
      <w:r/>
      <w:r>
        <w:t>A legislação mais antiga (</w:t>
      </w:r>
      <w:hyperlink r:id="rId13779">
        <w:r>
          <w:rPr>
            <w:color w:val="0000EE"/>
            <w:u w:val="single"/>
          </w:rPr>
          <w:t>Dt 15.11</w:t>
        </w:r>
      </w:hyperlink>
      <w:r>
        <w:t>) exigia o cuidado com aqueles que eram pobres. Havia regulamentos como o ano do sábado, o ano de perdão para os endividados (</w:t>
      </w:r>
      <w:hyperlink r:id="rId1952">
        <w:r>
          <w:rPr>
            <w:color w:val="0000EE"/>
            <w:u w:val="single"/>
          </w:rPr>
          <w:t>Lv 25</w:t>
        </w:r>
      </w:hyperlink>
      <w:r>
        <w:t>). Naquele ano, os produtos da terra eram deixados para os pobres e destituídos (</w:t>
      </w:r>
      <w:hyperlink r:id="rId3467">
        <w:r>
          <w:rPr>
            <w:color w:val="0000EE"/>
            <w:u w:val="single"/>
          </w:rPr>
          <w:t>Êx 23.11</w:t>
        </w:r>
      </w:hyperlink>
      <w:r>
        <w:t>), e todas as dívidas eram canceladas (</w:t>
      </w:r>
      <w:hyperlink r:id="rId14211">
        <w:r>
          <w:rPr>
            <w:color w:val="0000EE"/>
            <w:u w:val="single"/>
          </w:rPr>
          <w:t>Dt 15.1</w:t>
        </w:r>
      </w:hyperlink>
      <w:r>
        <w:t xml:space="preserve">). O dever de emprestar generosamente aos pobres era incentivado (vv. </w:t>
      </w:r>
      <w:hyperlink r:id="rId8329">
        <w:r>
          <w:rPr>
            <w:color w:val="0000EE"/>
            <w:u w:val="single"/>
          </w:rPr>
          <w:t>7–11</w:t>
        </w:r>
      </w:hyperlink>
      <w:r>
        <w:t>), e os trabalhadores contratados eram protegidos (</w:t>
      </w:r>
      <w:hyperlink r:id="rId14212">
        <w:r>
          <w:rPr>
            <w:color w:val="0000EE"/>
            <w:u w:val="single"/>
          </w:rPr>
          <w:t>24.14–15</w:t>
        </w:r>
      </w:hyperlink>
      <w:r>
        <w:t>). O propósito era que “não deveria haver mais pobres entre vocês” (</w:t>
      </w:r>
      <w:hyperlink r:id="rId10797">
        <w:r>
          <w:rPr>
            <w:color w:val="0000EE"/>
            <w:u w:val="single"/>
          </w:rPr>
          <w:t>15.4</w:t>
        </w:r>
      </w:hyperlink>
      <w:r>
        <w:t>). De fato, nos primeiros dias do assentamento israelita, todos os israelitas desfrutavam de um padrão de vida semelhante.</w:t>
      </w:r>
    </w:p>
    <w:p>
      <w:r/>
      <w:r>
        <w:t xml:space="preserve">Em escavações em Tirza perto de Nabulus, o tamanho e os arranjos das casas do século dez a.C. são todos iguais. No século oitavo a.C., há um contraste impressionante, com casas no mesmo local claramente divididas nos bairros mais ricos e mais pobres da cidade. A revolução social entre esses dois séculos foi associada com a ascensão da monarquia israelita e o crescimento de um clã de oficiais que ganharam lucros privados de suas posições. Os profetas condenaram o fato de que a riqueza era adquirida de forma ilícita e mal distribuída em seus dias (p. ex., </w:t>
      </w:r>
      <w:hyperlink r:id="rId14213">
        <w:r>
          <w:rPr>
            <w:color w:val="0000EE"/>
            <w:u w:val="single"/>
          </w:rPr>
          <w:t>Is 5.8</w:t>
        </w:r>
      </w:hyperlink>
      <w:r>
        <w:t xml:space="preserve">; </w:t>
      </w:r>
      <w:hyperlink r:id="rId14214">
        <w:r>
          <w:rPr>
            <w:color w:val="0000EE"/>
            <w:u w:val="single"/>
          </w:rPr>
          <w:t>Os 12.8</w:t>
        </w:r>
      </w:hyperlink>
      <w:r>
        <w:t xml:space="preserve">; </w:t>
      </w:r>
      <w:hyperlink r:id="rId14215">
        <w:r>
          <w:rPr>
            <w:color w:val="0000EE"/>
            <w:u w:val="single"/>
          </w:rPr>
          <w:t>Am 8.4–7</w:t>
        </w:r>
      </w:hyperlink>
      <w:r>
        <w:t xml:space="preserve">; </w:t>
      </w:r>
      <w:hyperlink r:id="rId5064">
        <w:r>
          <w:rPr>
            <w:color w:val="0000EE"/>
            <w:u w:val="single"/>
          </w:rPr>
          <w:t>Mq 2.2</w:t>
        </w:r>
      </w:hyperlink>
      <w:r>
        <w:t>). O profeta Amós denunciou credores que não sentiam pena dos pobres (</w:t>
      </w:r>
      <w:hyperlink r:id="rId8340">
        <w:r>
          <w:rPr>
            <w:color w:val="0000EE"/>
            <w:u w:val="single"/>
          </w:rPr>
          <w:t>Am 2.6–8</w:t>
        </w:r>
      </w:hyperlink>
      <w:r>
        <w:t xml:space="preserve">; </w:t>
      </w:r>
      <w:hyperlink r:id="rId14216">
        <w:r>
          <w:rPr>
            <w:color w:val="0000EE"/>
            <w:u w:val="single"/>
          </w:rPr>
          <w:t>8.6</w:t>
        </w:r>
      </w:hyperlink>
      <w:r>
        <w:t>). No entanto, em todo o AT, não há essencialmente nenhuma referência aos mendigos. Durante o período intertestamentário, no entanto, a esmola tornou-se um importante dever religioso.</w:t>
      </w:r>
    </w:p>
    <w:p>
      <w:r/>
      <w:r>
        <w:t>No NT, mendigar parece ser comum. No ministério de Jesus, as referências são feitas a um mendigo cego (</w:t>
      </w:r>
      <w:hyperlink r:id="rId14217">
        <w:r>
          <w:rPr>
            <w:color w:val="0000EE"/>
            <w:u w:val="single"/>
          </w:rPr>
          <w:t>Jo 9.8–9</w:t>
        </w:r>
      </w:hyperlink>
      <w:r>
        <w:t>), a cego Bartimeu (</w:t>
      </w:r>
      <w:hyperlink r:id="rId3154">
        <w:r>
          <w:rPr>
            <w:color w:val="0000EE"/>
            <w:u w:val="single"/>
          </w:rPr>
          <w:t>Mc 10.46–52</w:t>
        </w:r>
      </w:hyperlink>
      <w:r>
        <w:t>) e a Lázaro, um mendigo piedoso contrastado com um homem rico (</w:t>
      </w:r>
      <w:hyperlink r:id="rId8493">
        <w:r>
          <w:rPr>
            <w:color w:val="0000EE"/>
            <w:u w:val="single"/>
          </w:rPr>
          <w:t>Lc 16.19–31</w:t>
        </w:r>
      </w:hyperlink>
      <w:r>
        <w:t>). Os apóstolos Pedro e João encontraram um mendigo aleijado perto do portão “Formoso”, ou Nicanor, em Jerusalém (</w:t>
      </w:r>
      <w:hyperlink r:id="rId14218">
        <w:r>
          <w:rPr>
            <w:color w:val="0000EE"/>
            <w:u w:val="single"/>
          </w:rPr>
          <w:t>Atos 3.1–11</w:t>
        </w:r>
      </w:hyperlink>
      <w:r>
        <w:t>). Jesus condenou a demonstração extravagante de esmolas (</w:t>
      </w:r>
      <w:hyperlink r:id="rId14219">
        <w:r>
          <w:rPr>
            <w:color w:val="0000EE"/>
            <w:u w:val="single"/>
          </w:rPr>
          <w:t>Mt 6.1–4</w:t>
        </w:r>
      </w:hyperlink>
      <w:r>
        <w:t>), mas enfatizou a importância de dar aos pobres pelos motivos certos (</w:t>
      </w:r>
      <w:hyperlink r:id="rId14220">
        <w:r>
          <w:rPr>
            <w:color w:val="0000EE"/>
            <w:u w:val="single"/>
          </w:rPr>
          <w:t>Mt 5.42–48</w:t>
        </w:r>
      </w:hyperlink>
      <w:r>
        <w:t>). Na época de Jesus, Jerusalém havia se tornado um centro para mendigos, provavelmente porque a esmola, na Cidade Santa, era então considerada como especialmente meritória. A mendicância em Jerusalém se concentrava ao redor dos lugares sagrados. O tanque de Betezata era um lugar de cura, e os doentes, cegos, coxos e paralisados estavam lá para mendigar, bem como entrar nas águas para cura (</w:t>
      </w:r>
      <w:hyperlink r:id="rId14221">
        <w:r>
          <w:rPr>
            <w:color w:val="0000EE"/>
            <w:u w:val="single"/>
          </w:rPr>
          <w:t>Jo 5.2–9</w:t>
        </w:r>
      </w:hyperlink>
      <w:r>
        <w:t>).</w:t>
      </w:r>
    </w:p>
    <w:p>
      <w:r/>
      <w:r>
        <w:t>Na comunidade cristã primitiva, a primeira organização de oficiais foi feita para fornecer uma distribuição justa de fundos aos pobres (</w:t>
      </w:r>
      <w:hyperlink r:id="rId5300">
        <w:r>
          <w:rPr>
            <w:color w:val="0000EE"/>
            <w:u w:val="single"/>
          </w:rPr>
          <w:t>Atos 4.32–35</w:t>
        </w:r>
      </w:hyperlink>
      <w:r>
        <w:t xml:space="preserve">; </w:t>
      </w:r>
      <w:hyperlink r:id="rId1402">
        <w:r>
          <w:rPr>
            <w:color w:val="0000EE"/>
            <w:u w:val="single"/>
          </w:rPr>
          <w:t>6.1–6</w:t>
        </w:r>
      </w:hyperlink>
      <w:r>
        <w:t>). No primeiro dia de cada semana, alguma parte da renda de cada cristão deveria ser alocada aos necessitados (</w:t>
      </w:r>
      <w:hyperlink r:id="rId5908">
        <w:r>
          <w:rPr>
            <w:color w:val="0000EE"/>
            <w:u w:val="single"/>
          </w:rPr>
          <w:t>11.27–30</w:t>
        </w:r>
      </w:hyperlink>
      <w:r>
        <w:t xml:space="preserve">; </w:t>
      </w:r>
      <w:hyperlink r:id="rId14222">
        <w:r>
          <w:rPr>
            <w:color w:val="0000EE"/>
            <w:u w:val="single"/>
          </w:rPr>
          <w:t>Rm 15.25–27</w:t>
        </w:r>
      </w:hyperlink>
      <w:r>
        <w:t xml:space="preserve">; </w:t>
      </w:r>
      <w:hyperlink r:id="rId5857">
        <w:r>
          <w:rPr>
            <w:color w:val="0000EE"/>
            <w:u w:val="single"/>
          </w:rPr>
          <w:t>1Co 16.1–4</w:t>
        </w:r>
      </w:hyperlink>
      <w:r>
        <w:t xml:space="preserve">). Possivelmente a pobreza da Palestina foi agravada pela pesada tributação romana; os coletores de impostos, bem como os mendigos são destacados nas narrativas do Evangelho. Também foi sugerido que a ascensão dos zelotes estava intimamente associada com o fator social da pobreza; os zelotes revolucionários eram, em sua maioria, formados por aqueles chamados de "escória" da sociedade, de acordo com o historiador judeu Josefo. Em 66 d.C., os zelotes queimaram os arquivos de Jerusalém, sem dúvida pretendendo destruir os registros de suas dívidas mantidas lá. Josefo relata que antes da destruição romana de Jerusalém, gangues de mendigos estavam aterrorizando toda a cidade. </w:t>
      </w:r>
      <w:r>
        <w:rPr>
          <w:i/>
        </w:rPr>
        <w:t>Veja</w:t>
      </w:r>
      <w:r>
        <w:t xml:space="preserve"> </w:t>
      </w:r>
      <w:r>
        <w:t>Esmolas</w:t>
      </w:r>
      <w:r>
        <w:t xml:space="preserve">; </w:t>
      </w:r>
      <w:r>
        <w:t>Os pobres</w:t>
      </w:r>
      <w:r>
        <w:t>.</w:t>
      </w:r>
      <w:r/>
      <w:r/>
    </w:p>
    <w:p>
      <w:r/>
    </w:p>
    <w:p>
      <w:pPr>
        <w:pStyle w:val="Heading2"/>
      </w:pPr>
      <w:r>
        <w:t>Menorá</w:t>
      </w:r>
      <w:r/>
    </w:p>
    <w:p>
      <w:r/>
      <w:r>
        <w:t>Lâmpada ou candelabro no tabernáculo. Refere-se ao candelabro de sete braços que iluminava o tabernáculo: essas sete lâmpadas iluminavam em frente ao candelabro (</w:t>
      </w:r>
      <w:hyperlink r:id="rId14223">
        <w:r>
          <w:rPr>
            <w:color w:val="0000EE"/>
            <w:u w:val="single"/>
          </w:rPr>
          <w:t>Nm 8.2</w:t>
        </w:r>
      </w:hyperlink>
      <w:r>
        <w:t>). No templo de Salomão, havia dez desses candelabros, cinco de cada lado diante do santuário interno (</w:t>
      </w:r>
      <w:hyperlink r:id="rId12709">
        <w:r>
          <w:rPr>
            <w:color w:val="0000EE"/>
            <w:u w:val="single"/>
          </w:rPr>
          <w:t>1Rs 7.49</w:t>
        </w:r>
      </w:hyperlink>
      <w:r>
        <w:t>). O design da lâmpada original foi concebido por Bezalel, filho de Uri e neto de Hur, da tribo de Judá, um homem cheio do Espírito de Deus e excelente artesão (</w:t>
      </w:r>
      <w:hyperlink r:id="rId14224">
        <w:r>
          <w:rPr>
            <w:color w:val="0000EE"/>
            <w:u w:val="single"/>
          </w:rPr>
          <w:t>Êx 31.1–4</w:t>
        </w:r>
      </w:hyperlink>
      <w:r>
        <w:t>). Bezalel também foi responsável por projetar os outros utensílios para o tabernáculo.</w:t>
      </w:r>
    </w:p>
    <w:p>
      <w:r/>
      <w:hyperlink r:id="rId14225">
        <w:r>
          <w:rPr>
            <w:color w:val="0000EE"/>
            <w:u w:val="single"/>
          </w:rPr>
          <w:t>Êxodo 25.31–40</w:t>
        </w:r>
      </w:hyperlink>
      <w:r>
        <w:t xml:space="preserve"> e </w:t>
      </w:r>
      <w:hyperlink r:id="rId14226">
        <w:r>
          <w:rPr>
            <w:color w:val="0000EE"/>
            <w:u w:val="single"/>
          </w:rPr>
          <w:t>37.17–24</w:t>
        </w:r>
      </w:hyperlink>
      <w:r>
        <w:t xml:space="preserve"> nos fornecem detalhes sobre a lâmpada e suas decorações. Feita de uma única peça de ouro puro e ornamentada com flores de amêndoa e botões em forma de maçãs, consistia em um eixo central que se ramificava em três braços de cada lado. Acima de cada ramo ficava uma taça estreitada em um bico para segurar o pavio e o azeite especial.</w:t>
      </w:r>
    </w:p>
    <w:p>
      <w:r/>
      <w:r>
        <w:t>Arqueólogos desenterraram tigelas de barro com sete bicos, que datam do período médio da Idade do Bronze. Segundo Josefo, o eixo central ficava fixado a uma base, e dele se estendiam ramos esguios colocados como dentes de um tridente — com o final de cada um forjado em uma lâmpada. O relato de Josefo sobre a lâmpada do templo coincide bem com o de Zacarias em sua visão do templo restaurado após o exílio (</w:t>
      </w:r>
      <w:hyperlink r:id="rId14227">
        <w:r>
          <w:rPr>
            <w:color w:val="0000EE"/>
            <w:u w:val="single"/>
          </w:rPr>
          <w:t>Zc 4.2–3</w:t>
        </w:r>
      </w:hyperlink>
      <w:r>
        <w:t>). Vários fac-símiles chegaram até nós a partir de achados arqueológicos, assim como a famosa escultura da menorá com alguns dos outros utensílios do templo no arco de Tito em Roma. A menorá no painel em Roma difere da descrição de Josefo, sendo um objeto maciço com braços grossos carregados por cinco homens de cada lado.</w:t>
      </w:r>
    </w:p>
    <w:p>
      <w:r/>
      <w:r>
        <w:t xml:space="preserve">De acordo com </w:t>
      </w:r>
      <w:hyperlink r:id="rId14228">
        <w:r>
          <w:rPr>
            <w:color w:val="0000EE"/>
            <w:u w:val="single"/>
          </w:rPr>
          <w:t>Êxodo 37.24</w:t>
        </w:r>
      </w:hyperlink>
      <w:r>
        <w:t xml:space="preserve">, o peso da menorá era de um kikar em ouro puro. Isso equivale a um talento babilônico, que é calculado para pesar 34 quilos. Mas em </w:t>
      </w:r>
      <w:hyperlink r:id="rId14229">
        <w:r>
          <w:rPr>
            <w:color w:val="0000EE"/>
            <w:u w:val="single"/>
          </w:rPr>
          <w:t>Êxodo 25.39</w:t>
        </w:r>
      </w:hyperlink>
      <w:r>
        <w:t xml:space="preserve">, parece que esse peso incluía acessórios, como apagadores, bandejas, etc. (cf. </w:t>
      </w:r>
      <w:hyperlink r:id="rId14230">
        <w:r>
          <w:rPr>
            <w:color w:val="0000EE"/>
            <w:u w:val="single"/>
          </w:rPr>
          <w:t>2Cr 4.22</w:t>
        </w:r>
      </w:hyperlink>
      <w:r>
        <w:t>). Há também outra discrepância em relação à base da lâmpada. No painel do arco de Tito, o pedestal consiste em dois níveis e é retangular, enquanto arqueólogos descobriram desenhos antigos da lâmpada que terminam em um tripé. Os estudiosos estão indecisos sobre qual é o mais original, e há várias teorias para explicar a diferença. Na tradição mística judaica, a menorá simboliza a árvore da vida, os sete planetas e os sete dias da criação.</w:t>
      </w:r>
    </w:p>
    <w:p>
      <w:r/>
      <w:r>
        <w:t xml:space="preserve">No NT, o candelabro no livro de Apocalipse é uma continuação da tradição do templo, com referência especial a </w:t>
      </w:r>
      <w:hyperlink r:id="rId14231">
        <w:r>
          <w:rPr>
            <w:color w:val="0000EE"/>
            <w:u w:val="single"/>
          </w:rPr>
          <w:t>Zacarias 4.2,11</w:t>
        </w:r>
      </w:hyperlink>
      <w:r>
        <w:t>. Por uma associação de ideias, refere-se ao testemunho das sete igrejas, a Cristo, que é a Luz do Mundo, e a Deus, que é a fonte de toda luz (</w:t>
      </w:r>
      <w:hyperlink r:id="rId14232">
        <w:r>
          <w:rPr>
            <w:color w:val="0000EE"/>
            <w:u w:val="single"/>
          </w:rPr>
          <w:t>Ap 1.12–13,20</w:t>
        </w:r>
      </w:hyperlink>
      <w:r>
        <w:t xml:space="preserve">; </w:t>
      </w:r>
      <w:hyperlink r:id="rId2060">
        <w:r>
          <w:rPr>
            <w:color w:val="0000EE"/>
            <w:u w:val="single"/>
          </w:rPr>
          <w:t>2.1</w:t>
        </w:r>
      </w:hyperlink>
      <w:r>
        <w:t xml:space="preserve">; </w:t>
      </w:r>
      <w:hyperlink r:id="rId14233">
        <w:r>
          <w:rPr>
            <w:color w:val="0000EE"/>
            <w:u w:val="single"/>
          </w:rPr>
          <w:t>11.4</w:t>
        </w:r>
      </w:hyperlink>
      <w:r>
        <w:t>).</w:t>
      </w:r>
      <w:r/>
      <w:r/>
    </w:p>
    <w:p>
      <w:r/>
    </w:p>
    <w:p>
      <w:pPr>
        <w:pStyle w:val="Heading2"/>
      </w:pPr>
      <w:r>
        <w:t>Mensageiro</w:t>
      </w:r>
      <w:r/>
    </w:p>
    <w:p>
      <w:r/>
      <w:r>
        <w:t>Aquele que carrega uma mensagem, um arauto. A palavra “mensageiro” é usada na Bíblia de quatro maneiras.</w:t>
      </w:r>
    </w:p>
    <w:p>
      <w:r/>
      <w:r>
        <w:t>1. A palavra é usada para mensageiros carregando mensagens de uma pessoa para outra. Tais mensageiros podem trazer notícias (</w:t>
      </w:r>
      <w:hyperlink r:id="rId14234">
        <w:r>
          <w:rPr>
            <w:color w:val="0000EE"/>
            <w:u w:val="single"/>
          </w:rPr>
          <w:t>2Sm 11.22</w:t>
        </w:r>
      </w:hyperlink>
      <w:r>
        <w:t>), pedidos ou demandas (</w:t>
      </w:r>
      <w:hyperlink r:id="rId14235">
        <w:r>
          <w:rPr>
            <w:color w:val="0000EE"/>
            <w:u w:val="single"/>
          </w:rPr>
          <w:t>1Sm 11.3</w:t>
        </w:r>
      </w:hyperlink>
      <w:r>
        <w:t xml:space="preserve">; </w:t>
      </w:r>
      <w:hyperlink r:id="rId14236">
        <w:r>
          <w:rPr>
            <w:color w:val="0000EE"/>
            <w:u w:val="single"/>
          </w:rPr>
          <w:t>16.19</w:t>
        </w:r>
      </w:hyperlink>
      <w:r>
        <w:t>), ou agir como enviados de uma nação para outra (</w:t>
      </w:r>
      <w:hyperlink r:id="rId14237">
        <w:r>
          <w:rPr>
            <w:color w:val="0000EE"/>
            <w:u w:val="single"/>
          </w:rPr>
          <w:t>Is 37.9</w:t>
        </w:r>
      </w:hyperlink>
      <w:r>
        <w:t>). No NT, lemos sobre mensageiros das igrejas (</w:t>
      </w:r>
      <w:hyperlink r:id="rId2268">
        <w:r>
          <w:rPr>
            <w:color w:val="0000EE"/>
            <w:u w:val="single"/>
          </w:rPr>
          <w:t>2Co 8.23</w:t>
        </w:r>
      </w:hyperlink>
      <w:r>
        <w:t xml:space="preserve">; </w:t>
      </w:r>
      <w:hyperlink r:id="rId2269">
        <w:r>
          <w:rPr>
            <w:color w:val="0000EE"/>
            <w:u w:val="single"/>
          </w:rPr>
          <w:t>Fp 2.25</w:t>
        </w:r>
      </w:hyperlink>
      <w:r>
        <w:t xml:space="preserve">). A bênção de um bom mensageiro é mencionada em </w:t>
      </w:r>
      <w:hyperlink r:id="rId14238">
        <w:r>
          <w:rPr>
            <w:color w:val="0000EE"/>
            <w:u w:val="single"/>
          </w:rPr>
          <w:t>Provérbios 25.13</w:t>
        </w:r>
      </w:hyperlink>
      <w:r>
        <w:t>: “Os mensageiros fiéis são tão refrescantes quanto a neve no calor do verão. Eles revivem o espírito de seu empregador”</w:t>
      </w:r>
    </w:p>
    <w:p>
      <w:r/>
      <w:r>
        <w:t>2. A palavra é usada para mensageiros trazendo mensagens de Deus. Israel foi planejado para ser o mensageiro de Deus, mas muitas vezes se mostrava cego e surdo (</w:t>
      </w:r>
      <w:hyperlink r:id="rId14239">
        <w:r>
          <w:rPr>
            <w:color w:val="0000EE"/>
            <w:u w:val="single"/>
          </w:rPr>
          <w:t>Is 42.19</w:t>
        </w:r>
      </w:hyperlink>
      <w:r>
        <w:t>). Profetas (</w:t>
      </w:r>
      <w:hyperlink r:id="rId524">
        <w:r>
          <w:rPr>
            <w:color w:val="0000EE"/>
            <w:u w:val="single"/>
          </w:rPr>
          <w:t>Ag 1.13</w:t>
        </w:r>
      </w:hyperlink>
      <w:r>
        <w:t>) e sacerdotes (</w:t>
      </w:r>
      <w:hyperlink r:id="rId13604">
        <w:r>
          <w:rPr>
            <w:color w:val="0000EE"/>
            <w:u w:val="single"/>
          </w:rPr>
          <w:t>Ml 2.7</w:t>
        </w:r>
      </w:hyperlink>
      <w:r>
        <w:t>) eram mensageiros de Deus. Deus enviou muitos desses mensageiros para seu povo, mesmo que eles fossem muitas vezes ignorados (</w:t>
      </w:r>
      <w:hyperlink r:id="rId13574">
        <w:r>
          <w:rPr>
            <w:color w:val="0000EE"/>
            <w:u w:val="single"/>
          </w:rPr>
          <w:t>2Cr 36.15–16</w:t>
        </w:r>
      </w:hyperlink>
      <w:r>
        <w:t xml:space="preserve">). Em </w:t>
      </w:r>
      <w:hyperlink r:id="rId3582">
        <w:r>
          <w:rPr>
            <w:color w:val="0000EE"/>
            <w:u w:val="single"/>
          </w:rPr>
          <w:t>Malaquias 3.1</w:t>
        </w:r>
      </w:hyperlink>
      <w:r>
        <w:t xml:space="preserve">, temos a profecia de um mensageiro especial: “Vejam! Estou enviando meu mensageiro, e ele preparará o caminho diante de mim. Então o Senhor que você está buscando de repente virá para seu Templo. O mensageiro da aliança, a quem vocês buscam com tanta ansiedade, certamente está chegando” Este verso é citado no NT em </w:t>
      </w:r>
      <w:hyperlink r:id="rId13610">
        <w:r>
          <w:rPr>
            <w:color w:val="0000EE"/>
            <w:u w:val="single"/>
          </w:rPr>
          <w:t>Mateus 11.10</w:t>
        </w:r>
      </w:hyperlink>
      <w:r>
        <w:t xml:space="preserve">, </w:t>
      </w:r>
      <w:hyperlink r:id="rId14240">
        <w:r>
          <w:rPr>
            <w:color w:val="0000EE"/>
            <w:u w:val="single"/>
          </w:rPr>
          <w:t>Marcos 1.2</w:t>
        </w:r>
      </w:hyperlink>
      <w:r>
        <w:t xml:space="preserve"> e </w:t>
      </w:r>
      <w:hyperlink r:id="rId14241">
        <w:r>
          <w:rPr>
            <w:color w:val="0000EE"/>
            <w:u w:val="single"/>
          </w:rPr>
          <w:t>Lucas 7.27</w:t>
        </w:r>
      </w:hyperlink>
      <w:r>
        <w:t xml:space="preserve"> como realizado em João Batista.</w:t>
      </w:r>
    </w:p>
    <w:p>
      <w:r/>
      <w:r>
        <w:t xml:space="preserve">3. Tanto no AT quanto no NT, a palavra mais comum para “mensageiro” também é a palavra para “anjo”. Os anjos de Deus são distintamente seus mensageiros. </w:t>
      </w:r>
      <w:r>
        <w:rPr>
          <w:i/>
        </w:rPr>
        <w:t>Veja</w:t>
      </w:r>
      <w:r>
        <w:t xml:space="preserve"> </w:t>
      </w:r>
      <w:r>
        <w:t>Anjo</w:t>
      </w:r>
      <w:r>
        <w:t>.</w:t>
      </w:r>
    </w:p>
    <w:p>
      <w:r/>
      <w:r>
        <w:t xml:space="preserve">4. A palavra é usada em um sentido metafórico, como em </w:t>
      </w:r>
      <w:hyperlink r:id="rId14242">
        <w:r>
          <w:rPr>
            <w:color w:val="0000EE"/>
            <w:u w:val="single"/>
          </w:rPr>
          <w:t>Provérbios 16.14</w:t>
        </w:r>
      </w:hyperlink>
      <w:r>
        <w:t xml:space="preserve">, “A ira de um rei é como mensageiros da morte”, e em </w:t>
      </w:r>
      <w:hyperlink r:id="rId4277">
        <w:r>
          <w:rPr>
            <w:color w:val="0000EE"/>
            <w:u w:val="single"/>
          </w:rPr>
          <w:t>2 Coríntios 12.7</w:t>
        </w:r>
      </w:hyperlink>
      <w:r>
        <w:t>, onde a doença física constante de Paulo é chamada de “mensageiro de Satanás para atormentá-lo”.</w:t>
      </w:r>
      <w:r/>
      <w:r/>
    </w:p>
    <w:p>
      <w:r/>
    </w:p>
    <w:p>
      <w:pPr>
        <w:pStyle w:val="Heading2"/>
      </w:pPr>
      <w:r>
        <w:t>Mente</w:t>
      </w:r>
      <w:r/>
    </w:p>
    <w:p>
      <w:r/>
      <w:r>
        <w:t>A mente é o que nos ajuda a pensar, lembrar e tomar decisões. Ela também abrange nossos sentimentos e crenças. Diferentes culturas ao longo da história compreenderam a mente de maneiras distintas.</w:t>
      </w:r>
    </w:p>
    <w:p>
      <w:r/>
      <w:r>
        <w:t>Na língua hebraica do Antigo Testamento, não há uma única palavra que signifique exatamente o que queremos dizer com "mente". No entanto, os pensadores gregos antigos escreveram muito sobre a mente e a viam como uma parte crucial do que nos torna humanos.</w:t>
      </w:r>
    </w:p>
    <w:p>
      <w:pPr>
        <w:pStyle w:val="Heading3"/>
      </w:pPr>
      <w:r>
        <w:t>A mente no Antigo Testamento</w:t>
      </w:r>
    </w:p>
    <w:p>
      <w:r/>
      <w:r>
        <w:t>Como o Antigo Testamento não tinha uma palavra específica para a mente humana, os tradutores para o português usaram outras palavras dependendo do contexto. Eles utilizam palavras como "alma", "espírito" ou "coração". Portanto, as diferenças exatas entre esses termos são difíceis de definir.</w:t>
      </w:r>
    </w:p>
    <w:p>
      <w:r/>
      <w:r>
        <w:t>Uma pessoa é uma alma, com um espírito e um coração. Qualquer um desses termos pode referir-se à mente. Isso indica que a ideia comum de usar a mente para pensar e o coração para sentir não é encontrada no Antigo Testamento.</w:t>
      </w:r>
    </w:p>
    <w:p>
      <w:r/>
      <w:r>
        <w:t>Enquanto "mente" significa os pensamentos de uma pessoa, a ideia principal de "mente" no Antigo Testamento é que significa o coração (</w:t>
      </w:r>
      <w:hyperlink r:id="rId14243">
        <w:r>
          <w:rPr>
            <w:color w:val="0000EE"/>
            <w:u w:val="single"/>
          </w:rPr>
          <w:t>1Sm 2.35</w:t>
        </w:r>
      </w:hyperlink>
      <w:r>
        <w:t xml:space="preserve">; </w:t>
      </w:r>
      <w:hyperlink r:id="rId14244">
        <w:r>
          <w:rPr>
            <w:color w:val="0000EE"/>
            <w:u w:val="single"/>
          </w:rPr>
          <w:t>Ez 11.5</w:t>
        </w:r>
      </w:hyperlink>
      <w:r>
        <w:t xml:space="preserve">; </w:t>
      </w:r>
      <w:hyperlink r:id="rId8999">
        <w:r>
          <w:rPr>
            <w:color w:val="0000EE"/>
            <w:u w:val="single"/>
          </w:rPr>
          <w:t>20.32</w:t>
        </w:r>
      </w:hyperlink>
      <w:r>
        <w:t>). O coração frequentemente inclui toda a pessoa interior e muitas vezes se relaciona com a mente. Nesses casos, relaciona-se principalmente com a vontade e a memória (</w:t>
      </w:r>
      <w:hyperlink r:id="rId14245">
        <w:r>
          <w:rPr>
            <w:color w:val="0000EE"/>
            <w:u w:val="single"/>
          </w:rPr>
          <w:t>Is 46.8</w:t>
        </w:r>
      </w:hyperlink>
      <w:r>
        <w:t xml:space="preserve">; </w:t>
      </w:r>
      <w:hyperlink r:id="rId14246">
        <w:r>
          <w:rPr>
            <w:color w:val="0000EE"/>
            <w:u w:val="single"/>
          </w:rPr>
          <w:t>65.17</w:t>
        </w:r>
      </w:hyperlink>
      <w:r>
        <w:t xml:space="preserve">; </w:t>
      </w:r>
      <w:hyperlink r:id="rId14247">
        <w:r>
          <w:rPr>
            <w:color w:val="0000EE"/>
            <w:u w:val="single"/>
          </w:rPr>
          <w:t>Jr 3.16</w:t>
        </w:r>
      </w:hyperlink>
      <w:r>
        <w:t>).</w:t>
      </w:r>
    </w:p>
    <w:p>
      <w:pPr>
        <w:pStyle w:val="Heading3"/>
      </w:pPr>
      <w:r>
        <w:t>A mente no Novo Testamento</w:t>
      </w:r>
    </w:p>
    <w:p>
      <w:r/>
      <w:r>
        <w:t>A forma básica de pensar hebraica continua nas histórias do Evangelho. A ideia de mente aparece raramente. Quando usada, é principalmente com o coração — por exemplo, os pensamentos do coração (</w:t>
      </w:r>
      <w:hyperlink r:id="rId5650">
        <w:r>
          <w:rPr>
            <w:color w:val="0000EE"/>
            <w:u w:val="single"/>
          </w:rPr>
          <w:t>Lc 1.51</w:t>
        </w:r>
      </w:hyperlink>
      <w:r>
        <w:t xml:space="preserve">). Os únicos outros usos de “mente” aparecem no grande mandamento: “Ame o Senhor seu Deus de todo o seu coração, de toda a sua alma e de toda a sua mente” (cp. </w:t>
      </w:r>
      <w:hyperlink r:id="rId945">
        <w:r>
          <w:rPr>
            <w:color w:val="0000EE"/>
            <w:u w:val="single"/>
          </w:rPr>
          <w:t>Mt 22.37</w:t>
        </w:r>
      </w:hyperlink>
      <w:r>
        <w:t xml:space="preserve">; </w:t>
      </w:r>
      <w:hyperlink r:id="rId946">
        <w:r>
          <w:rPr>
            <w:color w:val="0000EE"/>
            <w:u w:val="single"/>
          </w:rPr>
          <w:t>Mc 12.30</w:t>
        </w:r>
      </w:hyperlink>
      <w:r>
        <w:t xml:space="preserve">; </w:t>
      </w:r>
      <w:hyperlink r:id="rId5731">
        <w:r>
          <w:rPr>
            <w:color w:val="0000EE"/>
            <w:u w:val="single"/>
          </w:rPr>
          <w:t>Lc 10.27</w:t>
        </w:r>
      </w:hyperlink>
      <w:r>
        <w:t>).</w:t>
      </w:r>
    </w:p>
    <w:p>
      <w:r/>
      <w:r>
        <w:t xml:space="preserve">Todos os evangelistas concordam que Jesus acrescentou "de todo o seu entendimento" a </w:t>
      </w:r>
      <w:hyperlink r:id="rId947">
        <w:r>
          <w:rPr>
            <w:color w:val="0000EE"/>
            <w:u w:val="single"/>
          </w:rPr>
          <w:t>Deuteronômio 6.5</w:t>
        </w:r>
      </w:hyperlink>
      <w:r>
        <w:t>. Em Marcos, no entanto, a pessoa que responde a Jesus repete o mandamento, mas usa uma palavra para "entendimento" em vez de "mente" (</w:t>
      </w:r>
      <w:hyperlink r:id="rId14248">
        <w:r>
          <w:rPr>
            <w:color w:val="0000EE"/>
            <w:u w:val="single"/>
          </w:rPr>
          <w:t>Mc 12.33</w:t>
        </w:r>
      </w:hyperlink>
      <w:r>
        <w:t>).</w:t>
      </w:r>
    </w:p>
    <w:p>
      <w:r/>
      <w:r>
        <w:t>Com os escritos de Paulo, entra-se no mundo grego. Paulo via a mente como diferente do espírito do homem. Ela pode entender e raciocinar (</w:t>
      </w:r>
      <w:hyperlink r:id="rId14249">
        <w:r>
          <w:rPr>
            <w:color w:val="0000EE"/>
            <w:u w:val="single"/>
          </w:rPr>
          <w:t>1Co 14.14–19</w:t>
        </w:r>
      </w:hyperlink>
      <w:r>
        <w:t>). É o centro da inteligência. Em outros lugares, "mente" é usada de forma mais ampla para incluir todo o estado mental e moral de uma pessoa (</w:t>
      </w:r>
      <w:hyperlink r:id="rId7317">
        <w:r>
          <w:rPr>
            <w:color w:val="0000EE"/>
            <w:u w:val="single"/>
          </w:rPr>
          <w:t>Rm 12.2</w:t>
        </w:r>
      </w:hyperlink>
      <w:r>
        <w:t xml:space="preserve">; </w:t>
      </w:r>
      <w:hyperlink r:id="rId14250">
        <w:r>
          <w:rPr>
            <w:color w:val="0000EE"/>
            <w:u w:val="single"/>
          </w:rPr>
          <w:t>Ef 4.23</w:t>
        </w:r>
      </w:hyperlink>
      <w:r>
        <w:t>). As ações de uma pessoa vêm das tendências de sua mente. Se uma pessoa é boa ou má depende do estado da mente.</w:t>
      </w:r>
    </w:p>
    <w:p>
      <w:r/>
      <w:r>
        <w:t xml:space="preserve">O estado de uma pessoa depende do que ou de quem controla a mente. </w:t>
      </w:r>
      <w:hyperlink r:id="rId14251">
        <w:r>
          <w:rPr>
            <w:color w:val="0000EE"/>
            <w:u w:val="single"/>
          </w:rPr>
          <w:t>Romanos 8.6–7</w:t>
        </w:r>
      </w:hyperlink>
      <w:r>
        <w:t xml:space="preserve"> fala sobre a mente de uma pessoa ser controlada pela carne ou pelo Espírito. A pessoa cuja mente é controlada pela carne é má. A mente controlada pelo Espírito leva ao bem.</w:t>
      </w:r>
    </w:p>
    <w:p>
      <w:r/>
      <w:r>
        <w:t>Outras partes falam sobre a tendência da mente de uma pessoa ser controlada pelo deus deste mundo (</w:t>
      </w:r>
      <w:hyperlink r:id="rId2186">
        <w:r>
          <w:rPr>
            <w:color w:val="0000EE"/>
            <w:u w:val="single"/>
          </w:rPr>
          <w:t>2Co 4.4</w:t>
        </w:r>
      </w:hyperlink>
      <w:r>
        <w:t>). Pessoas cujas mentes são controladas pelo “deus deste mundo” terão mentes obscurecidas. Elas não serão capazes de entender o mundo como ele realmente é (</w:t>
      </w:r>
      <w:hyperlink r:id="rId866">
        <w:r>
          <w:rPr>
            <w:color w:val="0000EE"/>
            <w:u w:val="single"/>
          </w:rPr>
          <w:t>3.14</w:t>
        </w:r>
      </w:hyperlink>
      <w:r>
        <w:t>). É como uma cobertura sobre o entendimento de alguém. Mas o Senhor pode abrir as mentes das pessoas. Por exemplo, Jesus abriu as mentes dos discípulos que caminharam com ele na estrada de Emaús para que pudessem entender as Escrituras (</w:t>
      </w:r>
      <w:hyperlink r:id="rId14252">
        <w:r>
          <w:rPr>
            <w:color w:val="0000EE"/>
            <w:u w:val="single"/>
          </w:rPr>
          <w:t>Lc 24.45</w:t>
        </w:r>
      </w:hyperlink>
      <w:r>
        <w:t>).</w:t>
      </w:r>
    </w:p>
    <w:p>
      <w:r/>
      <w:r>
        <w:t>Para Paulo, o ato de conversão é visto como “renovação da mente” (</w:t>
      </w:r>
      <w:hyperlink r:id="rId7317">
        <w:r>
          <w:rPr>
            <w:color w:val="0000EE"/>
            <w:u w:val="single"/>
          </w:rPr>
          <w:t>Rm 12.2</w:t>
        </w:r>
      </w:hyperlink>
      <w:r>
        <w:t xml:space="preserve">; </w:t>
      </w:r>
      <w:hyperlink r:id="rId14250">
        <w:r>
          <w:rPr>
            <w:color w:val="0000EE"/>
            <w:u w:val="single"/>
          </w:rPr>
          <w:t>Ef 4.23</w:t>
        </w:r>
      </w:hyperlink>
      <w:r>
        <w:t>). Em ambos os casos, o processo é aquele em que Deus assume o controle da mente de uma pessoa através do Espírito Santo. O Espírito guia os pensamentos dessa pessoa no caminho certo. Assim, a pessoa renovada recebe o poder de fazer julgamentos de valor corretos. Tais pessoas têm novas mentes para fazer julgamentos espirituais (</w:t>
      </w:r>
      <w:hyperlink r:id="rId14253">
        <w:r>
          <w:rPr>
            <w:color w:val="0000EE"/>
            <w:u w:val="single"/>
          </w:rPr>
          <w:t>1Co 2.15–16</w:t>
        </w:r>
      </w:hyperlink>
      <w:r>
        <w:t>).</w:t>
      </w:r>
    </w:p>
    <w:p>
      <w:r/>
      <w:r>
        <w:rPr>
          <w:i/>
        </w:rPr>
        <w:t>Veja também</w:t>
      </w:r>
      <w:r>
        <w:t xml:space="preserve"> </w:t>
      </w:r>
      <w:r>
        <w:t>Homem</w:t>
      </w:r>
      <w:r>
        <w:t xml:space="preserve">; </w:t>
      </w:r>
      <w:r>
        <w:t>Coração</w:t>
      </w:r>
      <w:r>
        <w:t xml:space="preserve">; </w:t>
      </w:r>
      <w:r>
        <w:t>Alma</w:t>
      </w:r>
      <w:r>
        <w:t>.</w:t>
      </w:r>
      <w:r/>
      <w:r/>
    </w:p>
    <w:p>
      <w:r/>
    </w:p>
    <w:p>
      <w:pPr>
        <w:pStyle w:val="Heading2"/>
      </w:pPr>
      <w:r>
        <w:t>Merari, merarita</w:t>
      </w:r>
      <w:r/>
    </w:p>
    <w:p>
      <w:r/>
      <w:r>
        <w:t xml:space="preserve">Em hebraico, árabe e acádio, a palavra </w:t>
      </w:r>
      <w:r>
        <w:rPr>
          <w:i/>
        </w:rPr>
        <w:t>Merari</w:t>
      </w:r>
      <w:r>
        <w:t xml:space="preserve"> significa "amargo", "bebida amarga" ou "ser amargo". Em ugarítico, significa "fortalecer, abençoar". A maioria das pessoas entendeu o nome como significando "fel" ou "amargura" com base em seu significado hebraico. No entanto, o significado ugarítico "fortalecer, abençoar" também se encaixa no pensamento hebraico. Quando usado como nome de pessoa, provavelmente significa "força" ou "bênção". Este significado faz mais sentido em muitas referências bíblicas.</w:t>
      </w:r>
    </w:p>
    <w:p>
      <w:r/>
      <w:r>
        <w:t>Para Merari, o terceiro filho de Levi, o significado “força” ou “bênção” parece mais adequado devido à sua importância e ao papel de sua família. Seria estranho para o filho mais novo ter um nome que significa “fel” ou “amargura” quando ele tinha a maior responsabilidade e recebeu a maior recompensa por seu serviço.</w:t>
      </w:r>
    </w:p>
    <w:p>
      <w:r/>
      <w:r>
        <w:t>A Bíblia menciona Merari, o filho de Levi, muitas vezes. Ele era o mais jovem dos três filhos de Levi (</w:t>
      </w:r>
      <w:hyperlink r:id="rId5014">
        <w:r>
          <w:rPr>
            <w:color w:val="0000EE"/>
            <w:u w:val="single"/>
          </w:rPr>
          <w:t>Gn 46.11</w:t>
        </w:r>
      </w:hyperlink>
      <w:r>
        <w:t xml:space="preserve">; </w:t>
      </w:r>
      <w:hyperlink r:id="rId14254">
        <w:r>
          <w:rPr>
            <w:color w:val="0000EE"/>
            <w:u w:val="single"/>
          </w:rPr>
          <w:t>Êx 6.16–19</w:t>
        </w:r>
      </w:hyperlink>
      <w:r>
        <w:t xml:space="preserve">; </w:t>
      </w:r>
      <w:hyperlink r:id="rId14255">
        <w:r>
          <w:rPr>
            <w:color w:val="0000EE"/>
            <w:u w:val="single"/>
          </w:rPr>
          <w:t>Nm 3.17–20,33</w:t>
        </w:r>
      </w:hyperlink>
      <w:r>
        <w:t xml:space="preserve">; </w:t>
      </w:r>
      <w:hyperlink r:id="rId9916">
        <w:r>
          <w:rPr>
            <w:color w:val="0000EE"/>
            <w:u w:val="single"/>
          </w:rPr>
          <w:t>1Cr 6.1</w:t>
        </w:r>
      </w:hyperlink>
      <w:r>
        <w:t>). Ele foi o pai de dois filhos, Mali e Musi (</w:t>
      </w:r>
      <w:hyperlink r:id="rId13573">
        <w:r>
          <w:rPr>
            <w:color w:val="0000EE"/>
            <w:u w:val="single"/>
          </w:rPr>
          <w:t>Êx 6.19</w:t>
        </w:r>
      </w:hyperlink>
      <w:r>
        <w:t xml:space="preserve">; </w:t>
      </w:r>
      <w:hyperlink r:id="rId13679">
        <w:r>
          <w:rPr>
            <w:color w:val="0000EE"/>
            <w:u w:val="single"/>
          </w:rPr>
          <w:t>Nm 3.20</w:t>
        </w:r>
      </w:hyperlink>
      <w:r>
        <w:t>). Os filhos de Merari tinham a importante tarefa de carregar as armações, barras, pilares, bases, vasos e acessórios do tabernáculo (</w:t>
      </w:r>
      <w:hyperlink r:id="rId14256">
        <w:r>
          <w:rPr>
            <w:color w:val="0000EE"/>
            <w:u w:val="single"/>
          </w:rPr>
          <w:t>Nm 3.36–37</w:t>
        </w:r>
      </w:hyperlink>
      <w:r>
        <w:t xml:space="preserve">; </w:t>
      </w:r>
      <w:hyperlink r:id="rId14257">
        <w:r>
          <w:rPr>
            <w:color w:val="0000EE"/>
            <w:u w:val="single"/>
          </w:rPr>
          <w:t>4.31–33</w:t>
        </w:r>
      </w:hyperlink>
      <w:r>
        <w:t xml:space="preserve">; </w:t>
      </w:r>
      <w:hyperlink r:id="rId11462">
        <w:r>
          <w:rPr>
            <w:color w:val="0000EE"/>
            <w:u w:val="single"/>
          </w:rPr>
          <w:t>7.8</w:t>
        </w:r>
      </w:hyperlink>
      <w:r>
        <w:t xml:space="preserve">; </w:t>
      </w:r>
      <w:hyperlink r:id="rId14258">
        <w:r>
          <w:rPr>
            <w:color w:val="0000EE"/>
            <w:u w:val="single"/>
          </w:rPr>
          <w:t>10.17</w:t>
        </w:r>
      </w:hyperlink>
      <w:r>
        <w:t xml:space="preserve">; </w:t>
      </w:r>
      <w:hyperlink r:id="rId14259">
        <w:r>
          <w:rPr>
            <w:color w:val="0000EE"/>
            <w:u w:val="single"/>
          </w:rPr>
          <w:t>Js 21.7,34,40</w:t>
        </w:r>
      </w:hyperlink>
      <w:r>
        <w:t>). Seus descendentes são conhecidos como Meraritas. Crônicas menciona a família de Merari muitas vezes, mostrando quão importantes eles eram (</w:t>
      </w:r>
      <w:hyperlink r:id="rId14260">
        <w:r>
          <w:rPr>
            <w:color w:val="0000EE"/>
            <w:u w:val="single"/>
          </w:rPr>
          <w:t>1Cr 6</w:t>
        </w:r>
      </w:hyperlink>
      <w:r>
        <w:t xml:space="preserve">; </w:t>
      </w:r>
      <w:hyperlink r:id="rId14261">
        <w:r>
          <w:rPr>
            <w:color w:val="0000EE"/>
            <w:u w:val="single"/>
          </w:rPr>
          <w:t>9</w:t>
        </w:r>
      </w:hyperlink>
      <w:r>
        <w:t xml:space="preserve">; </w:t>
      </w:r>
      <w:hyperlink r:id="rId14262">
        <w:r>
          <w:rPr>
            <w:color w:val="0000EE"/>
            <w:u w:val="single"/>
          </w:rPr>
          <w:t>15</w:t>
        </w:r>
      </w:hyperlink>
      <w:r>
        <w:t xml:space="preserve">; </w:t>
      </w:r>
      <w:hyperlink r:id="rId14263">
        <w:r>
          <w:rPr>
            <w:color w:val="0000EE"/>
            <w:u w:val="single"/>
          </w:rPr>
          <w:t>23</w:t>
        </w:r>
      </w:hyperlink>
      <w:r>
        <w:t xml:space="preserve">; </w:t>
      </w:r>
      <w:hyperlink r:id="rId14264">
        <w:r>
          <w:rPr>
            <w:color w:val="0000EE"/>
            <w:u w:val="single"/>
          </w:rPr>
          <w:t>26</w:t>
        </w:r>
      </w:hyperlink>
      <w:r>
        <w:t xml:space="preserve">; </w:t>
      </w:r>
      <w:hyperlink r:id="rId8870">
        <w:r>
          <w:rPr>
            <w:color w:val="0000EE"/>
            <w:u w:val="single"/>
          </w:rPr>
          <w:t>2Cr 29</w:t>
        </w:r>
      </w:hyperlink>
      <w:r>
        <w:t xml:space="preserve">; </w:t>
      </w:r>
      <w:hyperlink r:id="rId5049">
        <w:r>
          <w:rPr>
            <w:color w:val="0000EE"/>
            <w:u w:val="single"/>
          </w:rPr>
          <w:t>34</w:t>
        </w:r>
      </w:hyperlink>
      <w:r>
        <w:t>).</w:t>
      </w:r>
    </w:p>
    <w:p>
      <w:r/>
      <w:r>
        <w:rPr>
          <w:i/>
        </w:rPr>
        <w:t>Veja também</w:t>
      </w:r>
      <w:r>
        <w:t xml:space="preserve"> </w:t>
      </w:r>
      <w:r>
        <w:t>Sacerdotes e levitas</w:t>
      </w:r>
      <w:r>
        <w:t xml:space="preserve">; </w:t>
      </w:r>
      <w:r>
        <w:t>Levi, Tribo de</w:t>
      </w:r>
      <w:r>
        <w:t>.</w:t>
      </w:r>
      <w:r/>
      <w:r/>
    </w:p>
    <w:p>
      <w:r/>
    </w:p>
    <w:p>
      <w:pPr>
        <w:pStyle w:val="Heading2"/>
      </w:pPr>
      <w:r>
        <w:t>Mercado, Feira</w:t>
      </w:r>
      <w:r/>
    </w:p>
    <w:p>
      <w:r/>
      <w:r>
        <w:t>Lugar para a compra e venda de bens na antiguidade. Geralmente, os mercados do antigo Oriente Próximo seriam muito parecidos com os bazares ao ar livre que ainda se pode ver em qualquer cidade em todo Israel, Grécia e Turquia.</w:t>
      </w:r>
    </w:p>
    <w:p>
      <w:r/>
      <w:r>
        <w:t>O mercado dos tempos do NT, conhecido como a ágora, era um lugar para comprar e vender bens (</w:t>
      </w:r>
      <w:hyperlink r:id="rId14265">
        <w:r>
          <w:rPr>
            <w:color w:val="0000EE"/>
            <w:u w:val="single"/>
          </w:rPr>
          <w:t>Mc 7.4</w:t>
        </w:r>
      </w:hyperlink>
      <w:r>
        <w:t>); um lugar para as crianças brincarem (</w:t>
      </w:r>
      <w:hyperlink r:id="rId14266">
        <w:r>
          <w:rPr>
            <w:color w:val="0000EE"/>
            <w:u w:val="single"/>
          </w:rPr>
          <w:t>Mt 11.16</w:t>
        </w:r>
      </w:hyperlink>
      <w:r>
        <w:t xml:space="preserve">; </w:t>
      </w:r>
      <w:hyperlink r:id="rId14267">
        <w:r>
          <w:rPr>
            <w:color w:val="0000EE"/>
            <w:u w:val="single"/>
          </w:rPr>
          <w:t>Lc 7.32</w:t>
        </w:r>
      </w:hyperlink>
      <w:r>
        <w:t>); um lugar para ociosos e para os homens que buscam trabalho (</w:t>
      </w:r>
      <w:hyperlink r:id="rId14268">
        <w:r>
          <w:rPr>
            <w:color w:val="0000EE"/>
            <w:u w:val="single"/>
          </w:rPr>
          <w:t>Mt 20.3</w:t>
        </w:r>
      </w:hyperlink>
      <w:r>
        <w:t>); um lugar onde eventos públicos, incluindo curas, ocorreram (</w:t>
      </w:r>
      <w:hyperlink r:id="rId14269">
        <w:r>
          <w:rPr>
            <w:color w:val="0000EE"/>
            <w:u w:val="single"/>
          </w:rPr>
          <w:t>Mc 6.56</w:t>
        </w:r>
      </w:hyperlink>
      <w:r>
        <w:t>); o centro da vida pública e discussão (</w:t>
      </w:r>
      <w:hyperlink r:id="rId14270">
        <w:r>
          <w:rPr>
            <w:color w:val="0000EE"/>
            <w:u w:val="single"/>
          </w:rPr>
          <w:t>Atos 17.17</w:t>
        </w:r>
      </w:hyperlink>
      <w:r>
        <w:t>); e um lugar onde os julgamentos eram realizados (</w:t>
      </w:r>
      <w:hyperlink r:id="rId10121">
        <w:r>
          <w:rPr>
            <w:color w:val="0000EE"/>
            <w:u w:val="single"/>
          </w:rPr>
          <w:t>16.19</w:t>
        </w:r>
      </w:hyperlink>
      <w:r>
        <w:t>).</w:t>
      </w:r>
      <w:r/>
      <w:r/>
    </w:p>
    <w:p>
      <w:r/>
    </w:p>
    <w:p>
      <w:pPr>
        <w:pStyle w:val="Heading2"/>
      </w:pPr>
      <w:r>
        <w:t>Meribá</w:t>
      </w:r>
      <w:r/>
    </w:p>
    <w:p>
      <w:pPr>
        <w:pStyle w:val="ListNumber"/>
        <w:spacing w:line="240" w:lineRule="auto"/>
        <w:ind w:left="720"/>
      </w:pPr>
      <w:r/>
      <w:r>
        <w:t>Um nome de lugar que significa "contenda" ou "conflito". É nomeado por um lugar em Horebe, perto de Refidim (Wadi Feiran). Lá, Israel contendeu com Moisés por água no início das peregrinações pelo deserto (</w:t>
      </w:r>
      <w:hyperlink r:id="rId13972">
        <w:r>
          <w:rPr>
            <w:color w:val="0000EE"/>
            <w:u w:val="single"/>
          </w:rPr>
          <w:t>Êx 17.7</w:t>
        </w:r>
      </w:hyperlink>
      <w:r>
        <w:t xml:space="preserve">). Este é provavelmente o lugar referido em </w:t>
      </w:r>
      <w:hyperlink r:id="rId13974">
        <w:r>
          <w:rPr>
            <w:color w:val="0000EE"/>
            <w:u w:val="single"/>
          </w:rPr>
          <w:t>Deuteronômio 33.8</w:t>
        </w:r>
      </w:hyperlink>
      <w:r>
        <w:t xml:space="preserve"> e </w:t>
      </w:r>
      <w:hyperlink r:id="rId7524">
        <w:r>
          <w:rPr>
            <w:color w:val="0000EE"/>
            <w:u w:val="single"/>
          </w:rPr>
          <w:t>Salmo 95.8</w:t>
        </w:r>
      </w:hyperlink>
      <w:r>
        <w:t xml:space="preserve"> e também é chamado de Massá.</w:t>
      </w:r>
    </w:p>
    <w:p>
      <w:pPr>
        <w:pStyle w:val="ListNumber"/>
        <w:spacing w:line="240" w:lineRule="auto"/>
        <w:ind w:left="720"/>
      </w:pPr>
      <w:r/>
      <w:r>
        <w:t>Outro lugar onde Israel contendeu com Moisés por água. Fica perto de Cades-Barneia, no Deserto de Zin. Deus novamente providenciou água de uma rocha (</w:t>
      </w:r>
      <w:hyperlink r:id="rId13975">
        <w:r>
          <w:rPr>
            <w:color w:val="0000EE"/>
            <w:u w:val="single"/>
          </w:rPr>
          <w:t>Nm 20.13,24</w:t>
        </w:r>
      </w:hyperlink>
      <w:r>
        <w:t xml:space="preserve">; </w:t>
      </w:r>
      <w:hyperlink r:id="rId13976">
        <w:r>
          <w:rPr>
            <w:color w:val="0000EE"/>
            <w:u w:val="single"/>
          </w:rPr>
          <w:t>27.14</w:t>
        </w:r>
      </w:hyperlink>
      <w:r>
        <w:t xml:space="preserve">); também chamado de Meribate-Cades em </w:t>
      </w:r>
      <w:hyperlink r:id="rId3966">
        <w:r>
          <w:rPr>
            <w:color w:val="0000EE"/>
            <w:u w:val="single"/>
          </w:rPr>
          <w:t>Deuteronômio 32.51</w:t>
        </w:r>
      </w:hyperlink>
      <w:r>
        <w:t>. Este evento ocorreu perto do final do tempo dos israelitas no deserto. As águas de Meribá foram chamadas de "águas de conflito" porque Deus ficou zangado com Moisés e Arão lá. Eles não seguiram as instruções exatas de Deus para falar à rocha. Em vez disso, Moisés — que estava frustrado com a teimosia do povo — feriu a rocha duas vezes com seu cajado. O escritor do salmo nos diz que Deus testou Israel neste lugar (</w:t>
      </w:r>
      <w:hyperlink r:id="rId13977">
        <w:r>
          <w:rPr>
            <w:color w:val="0000EE"/>
            <w:u w:val="single"/>
          </w:rPr>
          <w:t>Sl 81.7</w:t>
        </w:r>
      </w:hyperlink>
      <w:r>
        <w:t>), e a rebelião de Israel levou Moisés a pecar (</w:t>
      </w:r>
      <w:hyperlink r:id="rId14271">
        <w:r>
          <w:rPr>
            <w:color w:val="0000EE"/>
            <w:u w:val="single"/>
          </w:rPr>
          <w:t>Sl 106.32</w:t>
        </w:r>
      </w:hyperlink>
      <w:r>
        <w:t>). Meribá de Cades é mencionada como estando na fronteira sul de Israel (</w:t>
      </w:r>
      <w:hyperlink r:id="rId3967">
        <w:r>
          <w:rPr>
            <w:color w:val="0000EE"/>
            <w:u w:val="single"/>
          </w:rPr>
          <w:t>Ez 47.19</w:t>
        </w:r>
      </w:hyperlink>
      <w:r>
        <w:t xml:space="preserve">; </w:t>
      </w:r>
      <w:hyperlink r:id="rId3968">
        <w:r>
          <w:rPr>
            <w:color w:val="0000EE"/>
            <w:u w:val="single"/>
          </w:rPr>
          <w:t>48.28</w:t>
        </w:r>
      </w:hyperlink>
      <w:r>
        <w:t>).</w:t>
      </w:r>
    </w:p>
    <w:p>
      <w:r/>
      <w:r>
        <w:rPr>
          <w:i/>
        </w:rPr>
        <w:t>Veja também</w:t>
      </w:r>
      <w:r>
        <w:t xml:space="preserve"> </w:t>
      </w:r>
      <w:r>
        <w:t>Massá e Meribá</w:t>
      </w:r>
      <w:r>
        <w:t>.</w:t>
      </w:r>
      <w:r/>
      <w:r/>
    </w:p>
    <w:p>
      <w:r/>
    </w:p>
    <w:p>
      <w:pPr>
        <w:pStyle w:val="Heading2"/>
      </w:pPr>
      <w:r>
        <w:t>Mesa dos pães da presença</w:t>
      </w:r>
      <w:r/>
    </w:p>
    <w:p>
      <w:r/>
      <w:r>
        <w:t>Um móvel no tabernáculo e no templo sobre o qual o pão da presença era colocado (</w:t>
      </w:r>
      <w:hyperlink r:id="rId14272">
        <w:r>
          <w:rPr>
            <w:color w:val="0000EE"/>
            <w:u w:val="single"/>
          </w:rPr>
          <w:t>Êx 25.23–30</w:t>
        </w:r>
      </w:hyperlink>
      <w:r>
        <w:t>).</w:t>
      </w:r>
    </w:p>
    <w:p>
      <w:r/>
      <w:r>
        <w:rPr>
          <w:i/>
        </w:rPr>
        <w:t>Veja</w:t>
      </w:r>
      <w:r>
        <w:t xml:space="preserve"> </w:t>
      </w:r>
      <w:r>
        <w:t>Pão da presença</w:t>
      </w:r>
      <w:r>
        <w:t>.</w:t>
      </w:r>
      <w:r/>
      <w:r/>
    </w:p>
    <w:p>
      <w:r/>
    </w:p>
    <w:p>
      <w:pPr>
        <w:pStyle w:val="Heading2"/>
      </w:pPr>
      <w:r>
        <w:t>Meseque</w:t>
      </w:r>
      <w:r/>
    </w:p>
    <w:p>
      <w:r/>
      <w:r>
        <w:t xml:space="preserve">Ortografia da NTLH para um neto de Noé, no </w:t>
      </w:r>
      <w:hyperlink r:id="rId14273">
        <w:r>
          <w:rPr>
            <w:color w:val="0000EE"/>
            <w:u w:val="single"/>
          </w:rPr>
          <w:t>Salmo 120.5</w:t>
        </w:r>
      </w:hyperlink>
      <w:r>
        <w:t xml:space="preserve">. </w:t>
      </w:r>
      <w:r>
        <w:rPr>
          <w:i/>
        </w:rPr>
        <w:t>Veja</w:t>
      </w:r>
      <w:r>
        <w:t xml:space="preserve"> </w:t>
      </w:r>
      <w:r>
        <w:t>Meseque #1</w:t>
      </w:r>
      <w:r>
        <w:t>.</w:t>
      </w:r>
      <w:r/>
      <w:r/>
    </w:p>
    <w:p>
      <w:r/>
    </w:p>
    <w:p>
      <w:pPr>
        <w:pStyle w:val="Heading2"/>
      </w:pPr>
      <w:r>
        <w:t>Meseque</w:t>
      </w:r>
      <w:r/>
    </w:p>
    <w:p>
      <w:r/>
      <w:r>
        <w:t>1. Filho de Jafé e neto de Noé (</w:t>
      </w:r>
      <w:hyperlink r:id="rId10073">
        <w:r>
          <w:rPr>
            <w:color w:val="0000EE"/>
            <w:u w:val="single"/>
          </w:rPr>
          <w:t>Gn 10.2</w:t>
        </w:r>
      </w:hyperlink>
      <w:r>
        <w:t>). Seus descendentes são geralmente mencionados em conexão com Tubal, Gogue ou Magogue (</w:t>
      </w:r>
      <w:hyperlink r:id="rId14273">
        <w:r>
          <w:rPr>
            <w:color w:val="0000EE"/>
            <w:u w:val="single"/>
          </w:rPr>
          <w:t>Sl 120.5</w:t>
        </w:r>
      </w:hyperlink>
      <w:r>
        <w:t xml:space="preserve">; </w:t>
      </w:r>
      <w:hyperlink r:id="rId10192">
        <w:r>
          <w:rPr>
            <w:color w:val="0000EE"/>
            <w:u w:val="single"/>
          </w:rPr>
          <w:t>Ez 27.13</w:t>
        </w:r>
      </w:hyperlink>
      <w:r>
        <w:t xml:space="preserve">; </w:t>
      </w:r>
      <w:hyperlink r:id="rId14274">
        <w:r>
          <w:rPr>
            <w:color w:val="0000EE"/>
            <w:u w:val="single"/>
          </w:rPr>
          <w:t>32.26</w:t>
        </w:r>
      </w:hyperlink>
      <w:r>
        <w:t xml:space="preserve">; </w:t>
      </w:r>
      <w:hyperlink r:id="rId14275">
        <w:r>
          <w:rPr>
            <w:color w:val="0000EE"/>
            <w:u w:val="single"/>
          </w:rPr>
          <w:t>38.2–3</w:t>
        </w:r>
      </w:hyperlink>
      <w:r>
        <w:t xml:space="preserve">; </w:t>
      </w:r>
      <w:hyperlink r:id="rId14276">
        <w:r>
          <w:rPr>
            <w:color w:val="0000EE"/>
            <w:u w:val="single"/>
          </w:rPr>
          <w:t>39.1</w:t>
        </w:r>
      </w:hyperlink>
      <w:r>
        <w:t>). Eles são chamados de Muski nos registros assírios e habitavam as montanhas ao norte da Assíria durante os reinados de Tiglate-Pileser I (1115–1102 a.C.), Salmaneser III (859–824 a.C.) e Sargão (722–705 a.C.). O povo de Meseque é caracterizado como agressivo e pagão, comerciantes de bronze e escravos com Tiro.</w:t>
      </w:r>
    </w:p>
    <w:p>
      <w:r/>
      <w:r>
        <w:t xml:space="preserve">2. Filho de Sem de acordo com </w:t>
      </w:r>
      <w:hyperlink r:id="rId2311">
        <w:r>
          <w:rPr>
            <w:color w:val="0000EE"/>
            <w:u w:val="single"/>
          </w:rPr>
          <w:t>1 Crônicas 1.17</w:t>
        </w:r>
      </w:hyperlink>
      <w:r>
        <w:t xml:space="preserve">, mas mencionado como Más na passagem paralela em </w:t>
      </w:r>
      <w:hyperlink r:id="rId9935">
        <w:r>
          <w:rPr>
            <w:color w:val="0000EE"/>
            <w:u w:val="single"/>
          </w:rPr>
          <w:t>Gênesis 10.23</w:t>
        </w:r>
      </w:hyperlink>
      <w:r>
        <w:t>. Este último é geralmente aceito.</w:t>
      </w:r>
      <w:r/>
      <w:r/>
    </w:p>
    <w:p>
      <w:r/>
    </w:p>
    <w:p>
      <w:pPr>
        <w:pStyle w:val="Heading2"/>
      </w:pPr>
      <w:r>
        <w:t>Mesopotâmia</w:t>
      </w:r>
      <w:r/>
    </w:p>
    <w:p>
      <w:r/>
      <w:r>
        <w:t>O nome grego para a terra entre os rios Tigre e Eufrates. Hoje, a área é chamada de al-Jazira, "a ilha", pelos árabes.</w:t>
      </w:r>
    </w:p>
    <w:p>
      <w:r/>
      <w:r>
        <w:t>Mesopotâmia, que significa “entre os rios”, é aplicada à terra próxima aos rios Tigre e Eufrates até o Golfo Pérsico. A maior parte está no Iraque, mas algumas partes estão na Síria e na Turquia.</w:t>
      </w:r>
    </w:p>
    <w:p>
      <w:r/>
      <w:r>
        <w:t xml:space="preserve">Mesopotâmia foi importante para a história do Antigo Testamento. Muitas das histórias em </w:t>
      </w:r>
      <w:hyperlink r:id="rId6206">
        <w:r>
          <w:rPr>
            <w:color w:val="0000EE"/>
            <w:u w:val="single"/>
          </w:rPr>
          <w:t>Gênesis 1–11</w:t>
        </w:r>
      </w:hyperlink>
      <w:r>
        <w:t xml:space="preserve"> foram ambientadas lá. O jardim do Éden estava na Mesopotâmia porque </w:t>
      </w:r>
      <w:hyperlink r:id="rId593">
        <w:r>
          <w:rPr>
            <w:color w:val="0000EE"/>
            <w:u w:val="single"/>
          </w:rPr>
          <w:t>Gênesis 2.10</w:t>
        </w:r>
      </w:hyperlink>
      <w:r>
        <w:t>–</w:t>
      </w:r>
      <w:hyperlink r:id="rId593">
        <w:r>
          <w:rPr>
            <w:color w:val="0000EE"/>
            <w:u w:val="single"/>
          </w:rPr>
          <w:t>14</w:t>
        </w:r>
      </w:hyperlink>
      <w:r>
        <w:t xml:space="preserve"> menciona dois rios perto do Éden: o Eufrates e o Tigre.</w:t>
      </w:r>
    </w:p>
    <w:p>
      <w:pPr>
        <w:pStyle w:val="Heading3"/>
      </w:pPr>
      <w:r>
        <w:t>Quem viveu na Mesopotâmia?</w:t>
      </w:r>
    </w:p>
    <w:p>
      <w:r/>
      <w:r>
        <w:t>Não sabemos muito sobre as culturas pré-históricas da Mesopotâmia. Os períodos históricos são nomeados pelas cidades mais importantes (como Ur e Isin-Larsa) ou pelas dinastias governantes (como Ur III).</w:t>
      </w:r>
    </w:p>
    <w:p>
      <w:r/>
      <w:r>
        <w:t>O sul da Mesopotâmia é conhecido como Suméria. Os sumérios tinham uma cultura única e falavam uma língua muito diferente do resto da Mesopotâmia. O sumério era escrito em uma série de sinais em forma de cunha (chamados cuneiformes), muito parecido com as outras línguas da Mesopotâmia.</w:t>
      </w:r>
    </w:p>
    <w:p>
      <w:r/>
      <w:r>
        <w:t>Mais ao norte estava o distrito chamado Acádia (também conhecido como Agade). Os acádios também eram semitas. Mais ao norte ao longo do Tigre estava a terra da Assíria. Mais a oeste estava a Síria (também conhecida como Arã). Entre a Assíria e a Síria estava Mitani.</w:t>
      </w:r>
    </w:p>
    <w:p>
      <w:r/>
      <w:r>
        <w:t>Diferentes partes da Mesopotâmia ganhariam poder em diferentes épocas. Mesopotâmia se tornaria parte de diferentes impérios, como:</w:t>
      </w:r>
    </w:p>
    <w:p>
      <w:pPr>
        <w:pStyle w:val="ListBullet"/>
        <w:spacing w:line="240" w:lineRule="auto"/>
        <w:ind w:left="720"/>
      </w:pPr>
      <w:r/>
      <w:r>
        <w:t>Hitita;</w:t>
      </w:r>
    </w:p>
    <w:p>
      <w:pPr>
        <w:pStyle w:val="ListBullet"/>
        <w:spacing w:line="240" w:lineRule="auto"/>
        <w:ind w:left="720"/>
      </w:pPr>
      <w:r/>
      <w:r>
        <w:t>Assírio;</w:t>
      </w:r>
    </w:p>
    <w:p>
      <w:pPr>
        <w:pStyle w:val="ListBullet"/>
        <w:spacing w:line="240" w:lineRule="auto"/>
        <w:ind w:left="720"/>
      </w:pPr>
      <w:r/>
      <w:r>
        <w:t>Babilônico;</w:t>
      </w:r>
    </w:p>
    <w:p>
      <w:pPr>
        <w:pStyle w:val="ListBullet"/>
        <w:spacing w:line="240" w:lineRule="auto"/>
        <w:ind w:left="720"/>
      </w:pPr>
      <w:r/>
      <w:r>
        <w:t>Persa;</w:t>
      </w:r>
    </w:p>
    <w:p>
      <w:pPr>
        <w:pStyle w:val="ListBullet"/>
        <w:spacing w:line="240" w:lineRule="auto"/>
        <w:ind w:left="720"/>
      </w:pPr>
      <w:r/>
      <w:r>
        <w:t>Grego (também conhecido como Helenístico);</w:t>
      </w:r>
    </w:p>
    <w:p>
      <w:pPr>
        <w:pStyle w:val="ListBullet"/>
        <w:spacing w:line="240" w:lineRule="auto"/>
        <w:ind w:left="720"/>
      </w:pPr>
      <w:r/>
      <w:r>
        <w:t>Romano.</w:t>
      </w:r>
    </w:p>
    <w:p>
      <w:pPr>
        <w:pStyle w:val="Heading3"/>
      </w:pPr>
      <w:r>
        <w:t>Mesopotâmia na Bíblia</w:t>
      </w:r>
    </w:p>
    <w:p>
      <w:r/>
      <w:r>
        <w:t>O Antigo Testamento chama a Mesopotâmia de "Aram-naharaim", significando “Aram dos dois rios”. Abraão enviou seu servo a Aram-naharaim para encontrar uma esposa para Isaque (</w:t>
      </w:r>
      <w:hyperlink r:id="rId10344">
        <w:r>
          <w:rPr>
            <w:color w:val="0000EE"/>
            <w:u w:val="single"/>
          </w:rPr>
          <w:t>Gênesis 24.10</w:t>
        </w:r>
      </w:hyperlink>
      <w:r>
        <w:t>). Alguns sugerem que os "dois rios" eram o Eufrates e um ramo do Eufrates chamado Cabur. As histórias sobre Jacó não usam o termo Aram-naharaim, mas chamam a região de "Padã-Arã", “o campo [ou jardim] de Aram” (</w:t>
      </w:r>
      <w:hyperlink r:id="rId12952">
        <w:r>
          <w:rPr>
            <w:color w:val="0000EE"/>
            <w:u w:val="single"/>
          </w:rPr>
          <w:t>Gênesis 28.2</w:t>
        </w:r>
      </w:hyperlink>
      <w:r>
        <w:t>).</w:t>
      </w:r>
    </w:p>
    <w:p>
      <w:r/>
      <w:r>
        <w:t>Balaão, filho de Beor, era de Petor na Mesopotâmia (</w:t>
      </w:r>
      <w:hyperlink r:id="rId2363">
        <w:r>
          <w:rPr>
            <w:color w:val="0000EE"/>
            <w:u w:val="single"/>
          </w:rPr>
          <w:t>Deuteronômio 23.4</w:t>
        </w:r>
      </w:hyperlink>
      <w:r>
        <w:t>). Durante o período dos juízes, Cusã-Risataim, o rei da Mesopotâmia, oprimiu Israel por oito anos até que Deus os salvou através de Otniel (</w:t>
      </w:r>
      <w:hyperlink r:id="rId12993">
        <w:r>
          <w:rPr>
            <w:color w:val="0000EE"/>
            <w:u w:val="single"/>
          </w:rPr>
          <w:t>Juízes 3.8</w:t>
        </w:r>
      </w:hyperlink>
      <w:r>
        <w:t>–</w:t>
      </w:r>
      <w:hyperlink r:id="rId12993">
        <w:r>
          <w:rPr>
            <w:color w:val="0000EE"/>
            <w:u w:val="single"/>
          </w:rPr>
          <w:t>10</w:t>
        </w:r>
      </w:hyperlink>
      <w:r>
        <w:t>).</w:t>
      </w:r>
    </w:p>
    <w:p>
      <w:r/>
      <w:r>
        <w:t>Quando os amonitas pensaram que Davi invadiria sua terra porque haviam insultado seus embaixadores, contrataram carros de guerra da Mesopotâmia para fortalecer suas forças (</w:t>
      </w:r>
      <w:hyperlink r:id="rId2368">
        <w:r>
          <w:rPr>
            <w:color w:val="0000EE"/>
            <w:u w:val="single"/>
          </w:rPr>
          <w:t>1 Crônicas 19.6</w:t>
        </w:r>
      </w:hyperlink>
      <w:r>
        <w:t>).</w:t>
      </w:r>
    </w:p>
    <w:p>
      <w:r/>
      <w:r>
        <w:t>No Novo Testamento, Mesopotâmia é mencionada apenas duas vezes. Pessoas da Mesopotâmia estavam presentes no dia de Pentecostes (</w:t>
      </w:r>
      <w:hyperlink r:id="rId7767">
        <w:r>
          <w:rPr>
            <w:color w:val="0000EE"/>
            <w:u w:val="single"/>
          </w:rPr>
          <w:t>Atos 2.9</w:t>
        </w:r>
      </w:hyperlink>
      <w:r>
        <w:t>). Estevão, em sua defesa perante o Sinédrio, afirma que Abraão viveu na Mesopotâmia antes de se mudar para Harã (</w:t>
      </w:r>
      <w:hyperlink r:id="rId6893">
        <w:r>
          <w:rPr>
            <w:color w:val="0000EE"/>
            <w:u w:val="single"/>
          </w:rPr>
          <w:t>Atos 7.2</w:t>
        </w:r>
      </w:hyperlink>
      <w:r>
        <w:t xml:space="preserve">; veja </w:t>
      </w:r>
      <w:hyperlink r:id="rId160">
        <w:r>
          <w:rPr>
            <w:color w:val="0000EE"/>
            <w:u w:val="single"/>
          </w:rPr>
          <w:t>Gênesis 11.31</w:t>
        </w:r>
      </w:hyperlink>
      <w:r>
        <w:t>).</w:t>
      </w:r>
      <w:r/>
      <w:r/>
    </w:p>
    <w:p>
      <w:r/>
    </w:p>
    <w:p>
      <w:pPr>
        <w:pStyle w:val="Heading2"/>
      </w:pPr>
      <w:r>
        <w:t>Messa (Lugar)</w:t>
      </w:r>
      <w:r/>
    </w:p>
    <w:p>
      <w:r/>
      <w:r>
        <w:t>A NTLH transcreve como "Mesa". Local no sul da Arábia que define a fronteira ocidental do território onde os descendentes de Joctã se estabeleceram (</w:t>
      </w:r>
      <w:hyperlink r:id="rId10362">
        <w:r>
          <w:rPr>
            <w:color w:val="0000EE"/>
            <w:u w:val="single"/>
          </w:rPr>
          <w:t>Gn 10.30</w:t>
        </w:r>
      </w:hyperlink>
      <w:r>
        <w:t xml:space="preserve">). Sua localização é desconhecida. Alguns sugerem que Messa era uma cidade portuária situada ao longo das costas orientais do Mar Vermelho, nas proximidades do que é o moderno Iêmen; outros a colocam ao longo das margens noroeste do Golfo Pérsico, perto da região de Mesene. </w:t>
      </w:r>
      <w:r/>
      <w:r/>
    </w:p>
    <w:p>
      <w:r/>
    </w:p>
    <w:p>
      <w:pPr>
        <w:pStyle w:val="Heading2"/>
      </w:pPr>
      <w:r>
        <w:t>Messias</w:t>
      </w:r>
      <w:r/>
    </w:p>
    <w:p>
      <w:r/>
      <w:r>
        <w:t xml:space="preserve">Título derivado do hebraico, </w:t>
      </w:r>
      <w:r>
        <w:rPr>
          <w:i/>
        </w:rPr>
        <w:t>mashiach</w:t>
      </w:r>
      <w:r>
        <w:t xml:space="preserve">, um adjetivo verbal que significa “ungido”. Junto com seu equivalente no NT, christos (Cristo), se refere a um ato de consagração pelo qual um indivíduo é separado para servir a Deus e depois ungido com óleo. A </w:t>
      </w:r>
      <w:r>
        <w:rPr>
          <w:i/>
        </w:rPr>
        <w:t>raiz verbal</w:t>
      </w:r>
      <w:r>
        <w:t>(</w:t>
      </w:r>
      <w:r>
        <w:rPr>
          <w:i/>
        </w:rPr>
        <w:t>mashach</w:t>
      </w:r>
      <w:r>
        <w:t>) também transmite esta ideia.</w:t>
      </w:r>
    </w:p>
    <w:p>
      <w:r/>
      <w:r>
        <w:t>A prática de Israel de ungir cerimonialmente com óleo está presente em vários contextos. Os sacerdotes eram regularmente ungidos antes de seu serviço divinamente dado no altar do sacrifício (</w:t>
      </w:r>
      <w:hyperlink r:id="rId6649">
        <w:r>
          <w:rPr>
            <w:color w:val="0000EE"/>
            <w:u w:val="single"/>
          </w:rPr>
          <w:t>Lv 4.3</w:t>
        </w:r>
      </w:hyperlink>
      <w:r>
        <w:t>). Embora haja evidências de uma unção literal de profetas (</w:t>
      </w:r>
      <w:hyperlink r:id="rId7952">
        <w:r>
          <w:rPr>
            <w:color w:val="0000EE"/>
            <w:u w:val="single"/>
          </w:rPr>
          <w:t>1Rs 19.16</w:t>
        </w:r>
      </w:hyperlink>
      <w:r>
        <w:t>), isso não parece ter sido uma prática padrão. A unção de Saul e Davi por Samuel estabeleceu o ato como um pré-requisito significativo para os reis hebreus antes de assumirem suas posições de liderança real. O rei era especialmente considerado o ungido do Senhor e, como tal, era visto como tendo uma posição segura diante dos homens (</w:t>
      </w:r>
      <w:hyperlink r:id="rId14277">
        <w:r>
          <w:rPr>
            <w:color w:val="0000EE"/>
            <w:u w:val="single"/>
          </w:rPr>
          <w:t>1Sm 12.14</w:t>
        </w:r>
      </w:hyperlink>
      <w:r>
        <w:t xml:space="preserve">; </w:t>
      </w:r>
      <w:hyperlink r:id="rId14278">
        <w:r>
          <w:rPr>
            <w:color w:val="0000EE"/>
            <w:u w:val="single"/>
          </w:rPr>
          <w:t>2Sm 19.21</w:t>
        </w:r>
      </w:hyperlink>
      <w:r>
        <w:t>) e Deus (</w:t>
      </w:r>
      <w:hyperlink r:id="rId14279">
        <w:r>
          <w:rPr>
            <w:color w:val="0000EE"/>
            <w:u w:val="single"/>
          </w:rPr>
          <w:t>Sl 2.2</w:t>
        </w:r>
      </w:hyperlink>
      <w:r>
        <w:t xml:space="preserve">; </w:t>
      </w:r>
      <w:hyperlink r:id="rId14280">
        <w:r>
          <w:rPr>
            <w:color w:val="0000EE"/>
            <w:u w:val="single"/>
          </w:rPr>
          <w:t>20.6</w:t>
        </w:r>
      </w:hyperlink>
      <w:r>
        <w:t>). Junto com numerosas profecias messiânicas, esses procedimentos ajudaram a informar os judeus do Ungido, por excelência, que eventualmente viria para trazer salvação a Israel.</w:t>
      </w:r>
    </w:p>
    <w:p>
      <w:r/>
      <w:r>
        <w:t>Concluindo os 13 artigos de fé hebraica atribuídos a Moisés Maimônides (século 13 d.C.) está a declaração ainda encontrada em muitos livros de oração hebraicos: “Eu acredito com um coração perfeito que o Messias virá; e embora sua vinda seja adiada, eu ainda esperarei pacientemente por sua rápida aparição”.</w:t>
      </w:r>
    </w:p>
    <w:p>
      <w:pPr>
        <w:pStyle w:val="Heading3"/>
      </w:pPr>
      <w:r>
        <w:t>Messias no Antigo Testamento</w:t>
      </w:r>
    </w:p>
    <w:p>
      <w:r/>
      <w:r>
        <w:t>A esperança judaica para o advento do Messias se desenvolveu dinamicamente a partir do período do reinado de Davi, quando foi profetizado que seu reino duraria até o fim dos tempos (</w:t>
      </w:r>
      <w:hyperlink r:id="rId12958">
        <w:r>
          <w:rPr>
            <w:color w:val="0000EE"/>
            <w:u w:val="single"/>
          </w:rPr>
          <w:t>2Sm 7.16</w:t>
        </w:r>
      </w:hyperlink>
      <w:r>
        <w:t>). Foi dito a Israel que, através dos descendentes de Davi, seu trono exerceria um domínio sem fim sobre toda a terra (</w:t>
      </w:r>
      <w:hyperlink r:id="rId14281">
        <w:r>
          <w:rPr>
            <w:color w:val="0000EE"/>
            <w:u w:val="single"/>
          </w:rPr>
          <w:t>2Sm 22.48–51</w:t>
        </w:r>
      </w:hyperlink>
      <w:r>
        <w:t xml:space="preserve">; </w:t>
      </w:r>
      <w:hyperlink r:id="rId14282">
        <w:r>
          <w:rPr>
            <w:color w:val="0000EE"/>
            <w:u w:val="single"/>
          </w:rPr>
          <w:t>Jr 33</w:t>
        </w:r>
      </w:hyperlink>
      <w:r>
        <w:t xml:space="preserve">). É com este aspecto da salvação messiânica que as mentes judaicas tradicionalmente estavam preocupadas (cf. </w:t>
      </w:r>
      <w:hyperlink r:id="rId14283">
        <w:r>
          <w:rPr>
            <w:color w:val="0000EE"/>
            <w:u w:val="single"/>
          </w:rPr>
          <w:t>At 1.6</w:t>
        </w:r>
      </w:hyperlink>
      <w:r>
        <w:t>).</w:t>
      </w:r>
    </w:p>
    <w:p>
      <w:r/>
      <w:r>
        <w:t xml:space="preserve">Entre rabinos ortodoxos, nunca houve uma falta de conjectura sobre os detalhes do ministério do Messias. Ao mesmo tempo, os rabinos aplicaram nada menos que 456 passagens das Escrituras à sua pessoa e salvação. A preocupação com o Messias é evidente no tratado </w:t>
      </w:r>
      <w:r>
        <w:rPr>
          <w:i/>
        </w:rPr>
        <w:t>Sinédrio</w:t>
      </w:r>
      <w:r>
        <w:t xml:space="preserve"> (Talmude Babilônico), onde as passagens afirmam que o mundo foi criado para ele e que todos os profetas profetizaram sobre seus dias (</w:t>
      </w:r>
      <w:r>
        <w:rPr>
          <w:i/>
        </w:rPr>
        <w:t>Sinédrio</w:t>
      </w:r>
      <w:r>
        <w:t xml:space="preserve"> 98b, 99a). Em geral, a ortodoxia ainda mantém sua antiga crença no reinado do Messias em Jerusalém, a reconstrução do templo e o restabelecimento do sacerdócio e do sacrifício.</w:t>
      </w:r>
    </w:p>
    <w:p>
      <w:r/>
      <w:r>
        <w:t>Enquanto o judaísmo posterior olhou para o Messias como uma figura escatológica que reinará no fim dos tempos, o pensamento judaico moderno largamente abandonou a noção tradicional de um Messias pessoal em favor da crença em uma era messiânica. O judaísmo liberal predominante prevê o mundo finalmente aperfeiçoado através da influência dos ideais judaicos gêmeos de justiça e compaixão. Tal convicção, ignorando a situação dos seres humanos caídos e o ensino das Escrituras, substitui o pensamento humanista pela milagrosa intervenção celestial.</w:t>
      </w:r>
    </w:p>
    <w:p>
      <w:r/>
      <w:r>
        <w:t>Enquanto a origem do Messias está firmemente ligada à casa de Davi (</w:t>
      </w:r>
      <w:hyperlink r:id="rId331">
        <w:r>
          <w:rPr>
            <w:color w:val="0000EE"/>
            <w:u w:val="single"/>
          </w:rPr>
          <w:t>2Sm 7.14</w:t>
        </w:r>
      </w:hyperlink>
      <w:r>
        <w:t xml:space="preserve">; </w:t>
      </w:r>
      <w:hyperlink r:id="rId6616">
        <w:r>
          <w:rPr>
            <w:color w:val="0000EE"/>
            <w:u w:val="single"/>
          </w:rPr>
          <w:t>Os 3.5</w:t>
        </w:r>
      </w:hyperlink>
      <w:r>
        <w:t xml:space="preserve">), a promessa por um Messias foi dada muito antes de Davi viver. Na verdade, a esperança pelo Messias está implícita na primeira promessa do estabelecimento do reino de Deus. Dirigido a Satanás, </w:t>
      </w:r>
      <w:hyperlink r:id="rId309">
        <w:r>
          <w:rPr>
            <w:color w:val="0000EE"/>
            <w:u w:val="single"/>
          </w:rPr>
          <w:t>Gênesis 3.15</w:t>
        </w:r>
      </w:hyperlink>
      <w:r>
        <w:t xml:space="preserve"> declara que Deus colocará hostilidade entre a serpente e a mulher até que, na plenitude do tempo, a “semente” da mulher infligir um golpe fatal na cabeça da serpente.</w:t>
      </w:r>
    </w:p>
    <w:p>
      <w:r/>
      <w:r>
        <w:t>A natureza da profecia messiânica é progressiva; cada profecia lança mais luz sobre o assunto. Isso ocorre, por exemplo, respeitando o conceito de “semente”: o Messias deve nascer de uma mulher (</w:t>
      </w:r>
      <w:hyperlink r:id="rId309">
        <w:r>
          <w:rPr>
            <w:color w:val="0000EE"/>
            <w:u w:val="single"/>
          </w:rPr>
          <w:t>Gn 3.15</w:t>
        </w:r>
      </w:hyperlink>
      <w:r>
        <w:t>), através da linhagem de Sem (</w:t>
      </w:r>
      <w:hyperlink r:id="rId14284">
        <w:r>
          <w:rPr>
            <w:color w:val="0000EE"/>
            <w:u w:val="single"/>
          </w:rPr>
          <w:t>9.26</w:t>
        </w:r>
      </w:hyperlink>
      <w:r>
        <w:t>) e especificamente através de Abraão (</w:t>
      </w:r>
      <w:hyperlink r:id="rId14285">
        <w:r>
          <w:rPr>
            <w:color w:val="0000EE"/>
            <w:u w:val="single"/>
          </w:rPr>
          <w:t>22.18</w:t>
        </w:r>
      </w:hyperlink>
      <w:r>
        <w:t xml:space="preserve">). No entanto, mesmo tão tardio quanto </w:t>
      </w:r>
      <w:hyperlink r:id="rId14285">
        <w:r>
          <w:rPr>
            <w:color w:val="0000EE"/>
            <w:u w:val="single"/>
          </w:rPr>
          <w:t>Gênesis 22.18</w:t>
        </w:r>
      </w:hyperlink>
      <w:r>
        <w:t>, a “semente” não é claramente apresentada como uma pessoa, uma vez que zerah (semente) pode indicar um objeto singular ou plural. Ainda menos aparente nesses estágios iniciais da profecia messiânica está a natureza do “sofrimento” que está para ocorrer. No entanto, a ideia de o Messias ser esmagado por causa do pecado está implícita no pronunciamento de Gênesis, assim como a violência associada a esse ato. Líder entre os profetas messiânicos, Isaías dá uma gama completa ao axioma de que o Ungido deve suportar um sofrimento extensivo (</w:t>
      </w:r>
      <w:hyperlink r:id="rId14286">
        <w:r>
          <w:rPr>
            <w:color w:val="0000EE"/>
            <w:u w:val="single"/>
          </w:rPr>
          <w:t>Is 53.1</w:t>
        </w:r>
      </w:hyperlink>
      <w:r>
        <w:t>). Sob a figura “o Servo do Senhor”, quatro “cânticos do servo” delineiam a missão do futuro libertador (</w:t>
      </w:r>
      <w:hyperlink r:id="rId11325">
        <w:r>
          <w:rPr>
            <w:color w:val="0000EE"/>
            <w:u w:val="single"/>
          </w:rPr>
          <w:t>Is 42.1–7</w:t>
        </w:r>
      </w:hyperlink>
      <w:r>
        <w:t xml:space="preserve">; </w:t>
      </w:r>
      <w:hyperlink r:id="rId14287">
        <w:r>
          <w:rPr>
            <w:color w:val="0000EE"/>
            <w:u w:val="single"/>
          </w:rPr>
          <w:t>49.1–9</w:t>
        </w:r>
      </w:hyperlink>
      <w:r>
        <w:t xml:space="preserve">; </w:t>
      </w:r>
      <w:hyperlink r:id="rId11340">
        <w:r>
          <w:rPr>
            <w:color w:val="0000EE"/>
            <w:u w:val="single"/>
          </w:rPr>
          <w:t>50.4–11</w:t>
        </w:r>
      </w:hyperlink>
      <w:r>
        <w:t xml:space="preserve">; </w:t>
      </w:r>
      <w:hyperlink r:id="rId3610">
        <w:r>
          <w:rPr>
            <w:color w:val="0000EE"/>
            <w:u w:val="single"/>
          </w:rPr>
          <w:t>52.13–53.12</w:t>
        </w:r>
      </w:hyperlink>
      <w:r>
        <w:t>). Embora seja verdade que Isaías não liga explicitamente o título Messias com o Servo do Senhor, identificar ambas as figuras como uma e a mesma pessoa é justificável. Ambas as figuras são ungidas de forma única (</w:t>
      </w:r>
      <w:hyperlink r:id="rId8373">
        <w:r>
          <w:rPr>
            <w:color w:val="0000EE"/>
            <w:u w:val="single"/>
          </w:rPr>
          <w:t>61.1</w:t>
        </w:r>
      </w:hyperlink>
      <w:r>
        <w:t>); cada uma traz luz aos gentios (</w:t>
      </w:r>
      <w:hyperlink r:id="rId14288">
        <w:r>
          <w:rPr>
            <w:color w:val="0000EE"/>
            <w:u w:val="single"/>
          </w:rPr>
          <w:t>55.4</w:t>
        </w:r>
      </w:hyperlink>
      <w:r>
        <w:t xml:space="preserve">; cf. </w:t>
      </w:r>
      <w:hyperlink r:id="rId10883">
        <w:r>
          <w:rPr>
            <w:color w:val="0000EE"/>
            <w:u w:val="single"/>
          </w:rPr>
          <w:t>49.6</w:t>
        </w:r>
      </w:hyperlink>
      <w:r>
        <w:t>); nenhum é pretensioso em sua primeira aparição (</w:t>
      </w:r>
      <w:hyperlink r:id="rId14289">
        <w:r>
          <w:rPr>
            <w:color w:val="0000EE"/>
            <w:u w:val="single"/>
          </w:rPr>
          <w:t>7.14–15</w:t>
        </w:r>
      </w:hyperlink>
      <w:r>
        <w:t xml:space="preserve">; </w:t>
      </w:r>
      <w:hyperlink r:id="rId3578">
        <w:r>
          <w:rPr>
            <w:color w:val="0000EE"/>
            <w:u w:val="single"/>
          </w:rPr>
          <w:t>11.1</w:t>
        </w:r>
      </w:hyperlink>
      <w:r>
        <w:t xml:space="preserve">; cf. </w:t>
      </w:r>
      <w:hyperlink r:id="rId12703">
        <w:r>
          <w:rPr>
            <w:color w:val="0000EE"/>
            <w:u w:val="single"/>
          </w:rPr>
          <w:t>42.3</w:t>
        </w:r>
      </w:hyperlink>
      <w:r>
        <w:t xml:space="preserve">; </w:t>
      </w:r>
      <w:hyperlink r:id="rId14286">
        <w:r>
          <w:rPr>
            <w:color w:val="0000EE"/>
            <w:u w:val="single"/>
          </w:rPr>
          <w:t>53.1</w:t>
        </w:r>
      </w:hyperlink>
      <w:r>
        <w:t>); e o título do “ramo” davídico repousa sobre ambos (</w:t>
      </w:r>
      <w:hyperlink r:id="rId14290">
        <w:r>
          <w:rPr>
            <w:color w:val="0000EE"/>
            <w:u w:val="single"/>
          </w:rPr>
          <w:t>11.1–4</w:t>
        </w:r>
      </w:hyperlink>
      <w:r>
        <w:t>). Igualmente significativos são os fatos duplos de sua humilhação e exaltação (</w:t>
      </w:r>
      <w:hyperlink r:id="rId9325">
        <w:r>
          <w:rPr>
            <w:color w:val="0000EE"/>
            <w:u w:val="single"/>
          </w:rPr>
          <w:t>49.7</w:t>
        </w:r>
      </w:hyperlink>
      <w:r>
        <w:t xml:space="preserve">; </w:t>
      </w:r>
      <w:hyperlink r:id="rId11350">
        <w:r>
          <w:rPr>
            <w:color w:val="0000EE"/>
            <w:u w:val="single"/>
          </w:rPr>
          <w:t>52.13–15</w:t>
        </w:r>
      </w:hyperlink>
      <w:r>
        <w:t xml:space="preserve">). Os estudiosos judeus da era cristã inicial no Targum aramaico nos profetas parafraseiam </w:t>
      </w:r>
      <w:hyperlink r:id="rId3198">
        <w:r>
          <w:rPr>
            <w:color w:val="0000EE"/>
            <w:u w:val="single"/>
          </w:rPr>
          <w:t>Isaías 42.1</w:t>
        </w:r>
      </w:hyperlink>
      <w:r>
        <w:t xml:space="preserve">: “Eis meu Servo Messias” e começam </w:t>
      </w:r>
      <w:hyperlink r:id="rId3618">
        <w:r>
          <w:rPr>
            <w:color w:val="0000EE"/>
            <w:u w:val="single"/>
          </w:rPr>
          <w:t>Isaías 53</w:t>
        </w:r>
      </w:hyperlink>
      <w:r>
        <w:t>: “Eis que meu Servo Messias prosperará”. Embora Ciro possa ser mencionado como “ungido”, nenhum trabalho salvífico final é atribuído a ele (</w:t>
      </w:r>
      <w:hyperlink r:id="rId11222">
        <w:r>
          <w:rPr>
            <w:color w:val="0000EE"/>
            <w:u w:val="single"/>
          </w:rPr>
          <w:t>45.1–5</w:t>
        </w:r>
      </w:hyperlink>
      <w:r>
        <w:t>). Israel, embora eleito e amado por Deus (</w:t>
      </w:r>
      <w:hyperlink r:id="rId14291">
        <w:r>
          <w:rPr>
            <w:color w:val="0000EE"/>
            <w:u w:val="single"/>
          </w:rPr>
          <w:t>41.8</w:t>
        </w:r>
      </w:hyperlink>
      <w:r>
        <w:t>), é mal equipado como servo de Deus para trazer sua obra redentora para a humanidade (</w:t>
      </w:r>
      <w:hyperlink r:id="rId14292">
        <w:r>
          <w:rPr>
            <w:color w:val="0000EE"/>
            <w:u w:val="single"/>
          </w:rPr>
          <w:t>42.18</w:t>
        </w:r>
      </w:hyperlink>
      <w:r>
        <w:t>). O colapso da dinastia de Davi aponta eloquentemente para a necessidade de Israel de um monarca ungido que curará a apostasia e desobediência (</w:t>
      </w:r>
      <w:hyperlink r:id="rId14293">
        <w:r>
          <w:rPr>
            <w:color w:val="0000EE"/>
            <w:u w:val="single"/>
          </w:rPr>
          <w:t>Êx 33.5</w:t>
        </w:r>
      </w:hyperlink>
      <w:r>
        <w:t xml:space="preserve">; </w:t>
      </w:r>
      <w:hyperlink r:id="rId847">
        <w:r>
          <w:rPr>
            <w:color w:val="0000EE"/>
            <w:u w:val="single"/>
          </w:rPr>
          <w:t>Os 4.1</w:t>
        </w:r>
      </w:hyperlink>
      <w:r>
        <w:t>). Cada vez mais, a história do AT apresenta o fracasso moral abrangente de Israel. Seu problema, que ele compartilha com a humanidade, só pode ser resolvido pela criação de uma aliança cuja certeza e ponto focal seja tanto um Salvador pessoal como um Senhor soberano (</w:t>
      </w:r>
      <w:hyperlink r:id="rId833">
        <w:r>
          <w:rPr>
            <w:color w:val="0000EE"/>
            <w:u w:val="single"/>
          </w:rPr>
          <w:t>Jr 31.31–34</w:t>
        </w:r>
      </w:hyperlink>
      <w:r>
        <w:t>). O advento de tal campeão vive na promessa registrada de um rebento do tronco da árvore caída de Jessé, que trará a luz da vida ao povo ignorante de Deus (</w:t>
      </w:r>
      <w:hyperlink r:id="rId8322">
        <w:r>
          <w:rPr>
            <w:color w:val="0000EE"/>
            <w:u w:val="single"/>
          </w:rPr>
          <w:t>Is 9.2</w:t>
        </w:r>
      </w:hyperlink>
      <w:r>
        <w:t xml:space="preserve">; </w:t>
      </w:r>
      <w:hyperlink r:id="rId3578">
        <w:r>
          <w:rPr>
            <w:color w:val="0000EE"/>
            <w:u w:val="single"/>
          </w:rPr>
          <w:t>11.1</w:t>
        </w:r>
      </w:hyperlink>
      <w:r>
        <w:t>).</w:t>
      </w:r>
    </w:p>
    <w:p>
      <w:r/>
      <w:r>
        <w:t>É difícil fugir da ideia de que o conceito de servidão e humildade pertence à esfera da realeza (</w:t>
      </w:r>
      <w:hyperlink r:id="rId10335">
        <w:r>
          <w:rPr>
            <w:color w:val="0000EE"/>
            <w:u w:val="single"/>
          </w:rPr>
          <w:t>Zc 9.9</w:t>
        </w:r>
      </w:hyperlink>
      <w:r>
        <w:t>). O conceito de Messias cumprindo os ofícios complementares de sacerdote e rei é incontroverso (</w:t>
      </w:r>
      <w:hyperlink r:id="rId12627">
        <w:r>
          <w:rPr>
            <w:color w:val="0000EE"/>
            <w:u w:val="single"/>
          </w:rPr>
          <w:t>Sl 110.1–4</w:t>
        </w:r>
      </w:hyperlink>
      <w:r>
        <w:t xml:space="preserve">); um rei-sacerdote sofredor é muito menos óbvio. Alguns entre os escritores talmúdicos aparentemente reconheceram a probabilidade de que o Messias teria que sofrer. No Talmude Babilônico, tratado </w:t>
      </w:r>
      <w:r>
        <w:rPr>
          <w:i/>
        </w:rPr>
        <w:t>Sinédrio</w:t>
      </w:r>
      <w:r>
        <w:t xml:space="preserve"> 98b, o Messias é dito como tendo que suportar doenças e dor. Entre as orações para o Dia da Expiação podem ser encontradas as palavras de Eleazar ben Qalir (talvez tão tardio quanto 1000 d.C.): “Nosso Messias justo se afastou de nós; estamos aterrorizados, e não há ninguém que nos justifique. Ele carrega nossas iniquidades e o jugo de nossas transgressões, e é ferido por nossas transgressões. Ele carrega sobre seus ombros nossos pecados para encontrar perdão para nossas iniquidades. Que sejamos curados por suas feridas”. De modo semelhante, o Rabi Eliyya de Vidas escreve: “O significado de ‘Ele foi ferido por nossas transgressões, esmagado por nossas iniquidades’, é que, uma vez que o Messias carrega nossas iniquidades, que produzem o efeito de Ele ser esmagado, segue-se que quem não admitir que o Messias sofra assim por nossas iniquidades, ele mesmo deve suportar e sofrer por elas”. Por tudo isso, é altamente duvidoso que alguém imaginasse que o Messias realizaria sua obra salvadora por meio de sua própria morte (cf. </w:t>
      </w:r>
      <w:hyperlink r:id="rId4684">
        <w:r>
          <w:rPr>
            <w:color w:val="0000EE"/>
            <w:u w:val="single"/>
          </w:rPr>
          <w:t>Is 53.12</w:t>
        </w:r>
      </w:hyperlink>
      <w:r>
        <w:t>). Quando a especulação rabínica falhou em harmonizar satisfatoriamente os fatos paradoxais de humilhação e exaltação, alguns levantaram a hipótese de que Deus enviaria um Messias para sofrer, bem como um Messias para reinar. Biblicamente, é evidente que a terrível provação de sofrimento do Ungido é apenas o prelúdio necessário para a glória infinita. Ele é retratado não apenas como um grande rei (</w:t>
      </w:r>
      <w:hyperlink r:id="rId11230">
        <w:r>
          <w:rPr>
            <w:color w:val="0000EE"/>
            <w:u w:val="single"/>
          </w:rPr>
          <w:t>52.13</w:t>
        </w:r>
      </w:hyperlink>
      <w:r>
        <w:t xml:space="preserve">; </w:t>
      </w:r>
      <w:hyperlink r:id="rId4684">
        <w:r>
          <w:rPr>
            <w:color w:val="0000EE"/>
            <w:u w:val="single"/>
          </w:rPr>
          <w:t>53.12</w:t>
        </w:r>
      </w:hyperlink>
      <w:r>
        <w:t>), mas também como humilde (</w:t>
      </w:r>
      <w:hyperlink r:id="rId11675">
        <w:r>
          <w:rPr>
            <w:color w:val="0000EE"/>
            <w:u w:val="single"/>
          </w:rPr>
          <w:t>53.2</w:t>
        </w:r>
      </w:hyperlink>
      <w:r>
        <w:t>), humilhado (</w:t>
      </w:r>
      <w:hyperlink r:id="rId11348">
        <w:r>
          <w:rPr>
            <w:color w:val="0000EE"/>
            <w:u w:val="single"/>
          </w:rPr>
          <w:t>52.14</w:t>
        </w:r>
      </w:hyperlink>
      <w:r>
        <w:t>), rejeitado (</w:t>
      </w:r>
      <w:hyperlink r:id="rId3259">
        <w:r>
          <w:rPr>
            <w:color w:val="0000EE"/>
            <w:u w:val="single"/>
          </w:rPr>
          <w:t>53.3</w:t>
        </w:r>
      </w:hyperlink>
      <w:r>
        <w:t xml:space="preserve">) e suportando as consequências da rebelião da humanidade (vv. </w:t>
      </w:r>
      <w:hyperlink r:id="rId5990">
        <w:r>
          <w:rPr>
            <w:color w:val="0000EE"/>
            <w:u w:val="single"/>
          </w:rPr>
          <w:t>5–6</w:t>
        </w:r>
      </w:hyperlink>
      <w:r>
        <w:t xml:space="preserve">). No entanto, ele é levantado para interceder por, e abençoar ricamente, seu povo (v. </w:t>
      </w:r>
      <w:hyperlink r:id="rId4684">
        <w:r>
          <w:rPr>
            <w:color w:val="0000EE"/>
            <w:u w:val="single"/>
          </w:rPr>
          <w:t>12</w:t>
        </w:r>
      </w:hyperlink>
      <w:r>
        <w:t>). O Messias, tendo realizado essa obediência completa que Adão e Israel falharam em alcançar, trará Israel e as nações de volta a Deus (</w:t>
      </w:r>
      <w:hyperlink r:id="rId14294">
        <w:r>
          <w:rPr>
            <w:color w:val="0000EE"/>
            <w:u w:val="single"/>
          </w:rPr>
          <w:t>42.18–19</w:t>
        </w:r>
      </w:hyperlink>
      <w:r>
        <w:t xml:space="preserve">; </w:t>
      </w:r>
      <w:hyperlink r:id="rId14295">
        <w:r>
          <w:rPr>
            <w:color w:val="0000EE"/>
            <w:u w:val="single"/>
          </w:rPr>
          <w:t>49.3,6</w:t>
        </w:r>
      </w:hyperlink>
      <w:r>
        <w:t>).</w:t>
      </w:r>
    </w:p>
    <w:p>
      <w:r/>
      <w:r>
        <w:t>Os escritos de Daniel contêm dados messiânicos importantes. Daniel é único porque ele fala ousadamente do “Messias, o Príncipe” (</w:t>
      </w:r>
      <w:hyperlink r:id="rId14296">
        <w:r>
          <w:rPr>
            <w:color w:val="0000EE"/>
            <w:u w:val="single"/>
          </w:rPr>
          <w:t>Dn 9.25</w:t>
        </w:r>
      </w:hyperlink>
      <w:r>
        <w:t>), o identifica como o “Filho do Homem” (</w:t>
      </w:r>
      <w:hyperlink r:id="rId6555">
        <w:r>
          <w:rPr>
            <w:color w:val="0000EE"/>
            <w:u w:val="single"/>
          </w:rPr>
          <w:t>7.13</w:t>
        </w:r>
      </w:hyperlink>
      <w:r>
        <w:t xml:space="preserve">) e diz que ele sofre (“cortado”, </w:t>
      </w:r>
      <w:hyperlink r:id="rId14297">
        <w:r>
          <w:rPr>
            <w:color w:val="0000EE"/>
            <w:u w:val="single"/>
          </w:rPr>
          <w:t>9.26</w:t>
        </w:r>
      </w:hyperlink>
      <w:r>
        <w:t>). Esta declaração do corte (isto é, morte) do Messias torna possível sua obra de expiação (</w:t>
      </w:r>
      <w:hyperlink r:id="rId14298">
        <w:r>
          <w:rPr>
            <w:color w:val="0000EE"/>
            <w:u w:val="single"/>
          </w:rPr>
          <w:t>9.24</w:t>
        </w:r>
      </w:hyperlink>
      <w:r>
        <w:t xml:space="preserve">). A doutrina de uma expiação substitutiva vicária é a única doutrina de expiação encontrada na Bíblia (cf. </w:t>
      </w:r>
      <w:hyperlink r:id="rId5222">
        <w:r>
          <w:rPr>
            <w:color w:val="0000EE"/>
            <w:u w:val="single"/>
          </w:rPr>
          <w:t>Lv 17.11</w:t>
        </w:r>
      </w:hyperlink>
      <w:r>
        <w:t xml:space="preserve">). Israel entendeu que suportar o pecado significava suportar as consequências, ou penalidade, pelo pecado (cf. </w:t>
      </w:r>
      <w:hyperlink r:id="rId6732">
        <w:r>
          <w:rPr>
            <w:color w:val="0000EE"/>
            <w:u w:val="single"/>
          </w:rPr>
          <w:t>Nm 14.33</w:t>
        </w:r>
      </w:hyperlink>
      <w:r>
        <w:t>). A mesma substituição penal é evidente no princípio de funcionamento do sacrifício expiatório do Messias. Ele é o substituto da vítima para quem é transferido o sofrimento devido ao pecador. Tendo a penalidade sido assim suportada vicariamente, o suplicante é totalmente perdoado.</w:t>
      </w:r>
    </w:p>
    <w:p>
      <w:r/>
      <w:r>
        <w:t xml:space="preserve">O </w:t>
      </w:r>
      <w:hyperlink r:id="rId7871">
        <w:r>
          <w:rPr>
            <w:color w:val="0000EE"/>
            <w:u w:val="single"/>
          </w:rPr>
          <w:t>Salmo 22.1</w:t>
        </w:r>
      </w:hyperlink>
      <w:r>
        <w:t xml:space="preserve"> registra o grito de lamento do Messias que carregava a penalidade do homem pelo pecado (cf. </w:t>
      </w:r>
      <w:hyperlink r:id="rId7869">
        <w:r>
          <w:rPr>
            <w:color w:val="0000EE"/>
            <w:u w:val="single"/>
          </w:rPr>
          <w:t>Mt 27.46</w:t>
        </w:r>
      </w:hyperlink>
      <w:r>
        <w:t>) quando ele se torna pecado em nome de seu povo (</w:t>
      </w:r>
      <w:hyperlink r:id="rId3239">
        <w:r>
          <w:rPr>
            <w:color w:val="0000EE"/>
            <w:u w:val="single"/>
          </w:rPr>
          <w:t>2Co 5.21</w:t>
        </w:r>
      </w:hyperlink>
      <w:r>
        <w:t>). No entanto, seu grito, “Meu Deus”, indica um relacionamento íntimo que não pode ser radicalmente rompido. Mais uma vez o motivo da humilhação messiânica antes da grande exaltação está em vista (</w:t>
      </w:r>
      <w:hyperlink r:id="rId5466">
        <w:r>
          <w:rPr>
            <w:color w:val="0000EE"/>
            <w:u w:val="single"/>
          </w:rPr>
          <w:t>Sl 22.27</w:t>
        </w:r>
      </w:hyperlink>
      <w:r>
        <w:t>). Nos chamados “salmos reais” (p. ex., 2; 72; 110), é o intercessor sacerdotal que também é ordenado para agir como monarca e juiz.</w:t>
      </w:r>
    </w:p>
    <w:p>
      <w:r/>
      <w:r>
        <w:t>Jeremias leva o retrato um passo adiante. Aquele que capacitará os seres humanos a entrar em uma aliança salvífica com Deus transmite a justiça imputável de Deus: o Messias, o ramo justo de Deus, se torna “o Senhor, nossa Justiça”. Paradoxalmente, sob a lei ninguém poderia ser crucificado que não fosse culpado de pecado (</w:t>
      </w:r>
      <w:hyperlink r:id="rId8000">
        <w:r>
          <w:rPr>
            <w:color w:val="0000EE"/>
            <w:u w:val="single"/>
          </w:rPr>
          <w:t>Dt 21.22</w:t>
        </w:r>
      </w:hyperlink>
      <w:r>
        <w:t>). Mas é Cristo, o justo, que foi crucificado, minando assim para sempre qualquer suposta confiança legalista (</w:t>
      </w:r>
      <w:hyperlink r:id="rId6039">
        <w:r>
          <w:rPr>
            <w:color w:val="0000EE"/>
            <w:u w:val="single"/>
          </w:rPr>
          <w:t>Dt 21.23</w:t>
        </w:r>
      </w:hyperlink>
      <w:r>
        <w:t xml:space="preserve">; </w:t>
      </w:r>
      <w:hyperlink r:id="rId6300">
        <w:r>
          <w:rPr>
            <w:color w:val="0000EE"/>
            <w:u w:val="single"/>
          </w:rPr>
          <w:t>Gl 3.13</w:t>
        </w:r>
      </w:hyperlink>
      <w:r>
        <w:t>). Mais do que perdoados, os crentes são considerados justos nele (</w:t>
      </w:r>
      <w:hyperlink r:id="rId14299">
        <w:r>
          <w:rPr>
            <w:color w:val="0000EE"/>
            <w:u w:val="single"/>
          </w:rPr>
          <w:t>Jr 23.5–6</w:t>
        </w:r>
      </w:hyperlink>
      <w:r>
        <w:t>).</w:t>
      </w:r>
    </w:p>
    <w:p>
      <w:r/>
      <w:r>
        <w:t>Enquanto o local de nascimento do Messias estava bem estabelecido (</w:t>
      </w:r>
      <w:hyperlink r:id="rId3333">
        <w:r>
          <w:rPr>
            <w:color w:val="0000EE"/>
            <w:u w:val="single"/>
          </w:rPr>
          <w:t>Mq 5.2</w:t>
        </w:r>
      </w:hyperlink>
      <w:r>
        <w:t xml:space="preserve">), sua divindade era um assunto altamente contestado. Embora poucos no antigo Israel contestassem a crença em um Messias sobre-humano, é duvidoso que alguém o imaginasse como “Deus conosco” no sentido mais pleno da expressão (cf. </w:t>
      </w:r>
      <w:hyperlink r:id="rId2666">
        <w:r>
          <w:rPr>
            <w:color w:val="0000EE"/>
            <w:u w:val="single"/>
          </w:rPr>
          <w:t>Hb 1.3</w:t>
        </w:r>
      </w:hyperlink>
      <w:r>
        <w:t>).</w:t>
      </w:r>
    </w:p>
    <w:p>
      <w:pPr>
        <w:pStyle w:val="Heading3"/>
      </w:pPr>
      <w:r>
        <w:t>Messias no Novo Testamento</w:t>
      </w:r>
    </w:p>
    <w:p>
      <w:r/>
      <w:r>
        <w:t>Os escritores do NT apresentam a imagem de que aquele que era filho de origens sobrenaturais (</w:t>
      </w:r>
      <w:hyperlink r:id="rId3591">
        <w:r>
          <w:rPr>
            <w:color w:val="0000EE"/>
            <w:u w:val="single"/>
          </w:rPr>
          <w:t>Is 7.14</w:t>
        </w:r>
      </w:hyperlink>
      <w:r>
        <w:t xml:space="preserve">; </w:t>
      </w:r>
      <w:hyperlink r:id="rId3333">
        <w:r>
          <w:rPr>
            <w:color w:val="0000EE"/>
            <w:u w:val="single"/>
          </w:rPr>
          <w:t>Mc 5.2</w:t>
        </w:r>
      </w:hyperlink>
      <w:r>
        <w:t>) carregava todo o peso da divindade (</w:t>
      </w:r>
      <w:hyperlink r:id="rId5463">
        <w:r>
          <w:rPr>
            <w:color w:val="0000EE"/>
            <w:u w:val="single"/>
          </w:rPr>
          <w:t>Is 9.6</w:t>
        </w:r>
      </w:hyperlink>
      <w:r>
        <w:t xml:space="preserve">; </w:t>
      </w:r>
      <w:hyperlink r:id="rId8473">
        <w:r>
          <w:rPr>
            <w:color w:val="0000EE"/>
            <w:u w:val="single"/>
          </w:rPr>
          <w:t>Fp 2.6</w:t>
        </w:r>
      </w:hyperlink>
      <w:r>
        <w:t xml:space="preserve">; </w:t>
      </w:r>
      <w:hyperlink r:id="rId5142">
        <w:r>
          <w:rPr>
            <w:color w:val="0000EE"/>
            <w:u w:val="single"/>
          </w:rPr>
          <w:t>Cl 1.19</w:t>
        </w:r>
      </w:hyperlink>
      <w:r>
        <w:t>). Ele é o Filho de Deus, digno de receber a adoração de todas as pessoas (</w:t>
      </w:r>
      <w:hyperlink r:id="rId14300">
        <w:r>
          <w:rPr>
            <w:color w:val="0000EE"/>
            <w:u w:val="single"/>
          </w:rPr>
          <w:t>Sl 45.6–7</w:t>
        </w:r>
      </w:hyperlink>
      <w:r>
        <w:t xml:space="preserve">; cf. </w:t>
      </w:r>
      <w:hyperlink r:id="rId14301">
        <w:r>
          <w:rPr>
            <w:color w:val="0000EE"/>
            <w:u w:val="single"/>
          </w:rPr>
          <w:t>Hb 1.8–9</w:t>
        </w:r>
      </w:hyperlink>
      <w:r>
        <w:t>).</w:t>
      </w:r>
    </w:p>
    <w:p>
      <w:r/>
      <w:r>
        <w:t>Os judeus da Palestina do primeiro século sabiam que a promessa messiânica seria realizada na vinda de alguém como Moisés (</w:t>
      </w:r>
      <w:hyperlink r:id="rId14302">
        <w:r>
          <w:rPr>
            <w:color w:val="0000EE"/>
            <w:u w:val="single"/>
          </w:rPr>
          <w:t>Dt 18.18</w:t>
        </w:r>
      </w:hyperlink>
      <w:r>
        <w:t>). Os paralelos entre Jesus e Moisés são abundantes. Como mediadores, inovadores e propagadores de novas fases da vida espiritual para o povo, eles são insuperáveis. Especificamente, ambos são milagrosamente poupados na infância (</w:t>
      </w:r>
      <w:hyperlink r:id="rId14303">
        <w:r>
          <w:rPr>
            <w:color w:val="0000EE"/>
            <w:u w:val="single"/>
          </w:rPr>
          <w:t>Êx 2</w:t>
        </w:r>
      </w:hyperlink>
      <w:r>
        <w:t xml:space="preserve">; </w:t>
      </w:r>
      <w:hyperlink r:id="rId7737">
        <w:r>
          <w:rPr>
            <w:color w:val="0000EE"/>
            <w:u w:val="single"/>
          </w:rPr>
          <w:t>Mt 2.13–23</w:t>
        </w:r>
      </w:hyperlink>
      <w:r>
        <w:t>); ambos renunciam a uma corte real por uma questão de servir ao povo de Deus (</w:t>
      </w:r>
      <w:hyperlink r:id="rId10803">
        <w:r>
          <w:rPr>
            <w:color w:val="0000EE"/>
            <w:u w:val="single"/>
          </w:rPr>
          <w:t>Fp 2.5–8</w:t>
        </w:r>
      </w:hyperlink>
      <w:r>
        <w:t xml:space="preserve">; </w:t>
      </w:r>
      <w:hyperlink r:id="rId14304">
        <w:r>
          <w:rPr>
            <w:color w:val="0000EE"/>
            <w:u w:val="single"/>
          </w:rPr>
          <w:t>Hb 11.24–28</w:t>
        </w:r>
      </w:hyperlink>
      <w:r>
        <w:t>); ambos exibem intensa compaixão pelos outros (</w:t>
      </w:r>
      <w:hyperlink r:id="rId1852">
        <w:r>
          <w:rPr>
            <w:color w:val="0000EE"/>
            <w:u w:val="single"/>
          </w:rPr>
          <w:t>Nm 27.17</w:t>
        </w:r>
      </w:hyperlink>
      <w:r>
        <w:t xml:space="preserve">; </w:t>
      </w:r>
      <w:hyperlink r:id="rId1853">
        <w:r>
          <w:rPr>
            <w:color w:val="0000EE"/>
            <w:u w:val="single"/>
          </w:rPr>
          <w:t>Mt 9.36</w:t>
        </w:r>
      </w:hyperlink>
      <w:r>
        <w:t>); ambos têm comunhão “face a face” com Deus (</w:t>
      </w:r>
      <w:hyperlink r:id="rId14305">
        <w:r>
          <w:rPr>
            <w:color w:val="0000EE"/>
            <w:u w:val="single"/>
          </w:rPr>
          <w:t>Êx 34.29–30</w:t>
        </w:r>
      </w:hyperlink>
      <w:r>
        <w:t xml:space="preserve">; </w:t>
      </w:r>
      <w:hyperlink r:id="rId867">
        <w:r>
          <w:rPr>
            <w:color w:val="0000EE"/>
            <w:u w:val="single"/>
          </w:rPr>
          <w:t>2Co 3.7</w:t>
        </w:r>
      </w:hyperlink>
      <w:r>
        <w:t>); e cada um é mediador de uma aliança de redenção (</w:t>
      </w:r>
      <w:hyperlink r:id="rId6968">
        <w:r>
          <w:rPr>
            <w:color w:val="0000EE"/>
            <w:u w:val="single"/>
          </w:rPr>
          <w:t>Dt 29.1</w:t>
        </w:r>
      </w:hyperlink>
      <w:r>
        <w:t xml:space="preserve">; </w:t>
      </w:r>
      <w:hyperlink r:id="rId10129">
        <w:r>
          <w:rPr>
            <w:color w:val="0000EE"/>
            <w:u w:val="single"/>
          </w:rPr>
          <w:t>Hb 8.6–7</w:t>
        </w:r>
      </w:hyperlink>
      <w:r>
        <w:t>). Mas, como Lutero observa: “Cristo não é Moisés”. Na análise final, Moisés é apenas um servo doméstico; o Messias é o criador e mestre de todas as coisas (</w:t>
      </w:r>
      <w:hyperlink r:id="rId14306">
        <w:r>
          <w:rPr>
            <w:color w:val="0000EE"/>
            <w:u w:val="single"/>
          </w:rPr>
          <w:t>Hb 3.3–6</w:t>
        </w:r>
      </w:hyperlink>
      <w:r>
        <w:t xml:space="preserve">; cf. </w:t>
      </w:r>
      <w:hyperlink r:id="rId6097">
        <w:r>
          <w:rPr>
            <w:color w:val="0000EE"/>
            <w:u w:val="single"/>
          </w:rPr>
          <w:t>Jo 1.1–2,18</w:t>
        </w:r>
      </w:hyperlink>
      <w:r>
        <w:t>).</w:t>
      </w:r>
    </w:p>
    <w:p>
      <w:r/>
      <w:r>
        <w:t xml:space="preserve">As genealogias familiares são importantes nas Escrituras. Os rabinos concordaram com a necessidade absoluta da linhagem davídica do Messias baseada em </w:t>
      </w:r>
      <w:hyperlink r:id="rId6616">
        <w:r>
          <w:rPr>
            <w:color w:val="0000EE"/>
            <w:u w:val="single"/>
          </w:rPr>
          <w:t>Oseias 3.5</w:t>
        </w:r>
      </w:hyperlink>
      <w:r>
        <w:t xml:space="preserve"> e </w:t>
      </w:r>
      <w:hyperlink r:id="rId14307">
        <w:r>
          <w:rPr>
            <w:color w:val="0000EE"/>
            <w:u w:val="single"/>
          </w:rPr>
          <w:t>Jeremias 30.9</w:t>
        </w:r>
      </w:hyperlink>
      <w:r>
        <w:t>. O anúncio angelical imediatamente estabelece a linhagem correta para Jesus (</w:t>
      </w:r>
      <w:hyperlink r:id="rId2003">
        <w:r>
          <w:rPr>
            <w:color w:val="0000EE"/>
            <w:u w:val="single"/>
          </w:rPr>
          <w:t>Lc 1.32–33</w:t>
        </w:r>
      </w:hyperlink>
      <w:r>
        <w:t xml:space="preserve">; cf. </w:t>
      </w:r>
      <w:hyperlink r:id="rId3351">
        <w:r>
          <w:rPr>
            <w:color w:val="0000EE"/>
            <w:u w:val="single"/>
          </w:rPr>
          <w:t>2.4</w:t>
        </w:r>
      </w:hyperlink>
      <w:r>
        <w:t>), assim como a de Mateus (</w:t>
      </w:r>
      <w:hyperlink r:id="rId9870">
        <w:r>
          <w:rPr>
            <w:color w:val="0000EE"/>
            <w:u w:val="single"/>
          </w:rPr>
          <w:t>Mt 1.1–17</w:t>
        </w:r>
      </w:hyperlink>
      <w:r>
        <w:t>). A lista de Lucas, como a de Mateus, estabelece a descendência real exclusiva verificando Jesus como Messias (</w:t>
      </w:r>
      <w:hyperlink r:id="rId9871">
        <w:r>
          <w:rPr>
            <w:color w:val="0000EE"/>
            <w:u w:val="single"/>
          </w:rPr>
          <w:t>Lc 3.23–38</w:t>
        </w:r>
      </w:hyperlink>
      <w:r>
        <w:t>). Embora variações ocorram entre as duas genealogias, há uma solidariedade firme enfatizando uma ancestralidade dentro da linhagem messiânica única. Totalmente ciente do foco messiânico das Escrituras (</w:t>
      </w:r>
      <w:hyperlink r:id="rId9128">
        <w:r>
          <w:rPr>
            <w:color w:val="0000EE"/>
            <w:u w:val="single"/>
          </w:rPr>
          <w:t>Jo 5.46</w:t>
        </w:r>
      </w:hyperlink>
      <w:r>
        <w:t xml:space="preserve">; </w:t>
      </w:r>
      <w:hyperlink r:id="rId14308">
        <w:r>
          <w:rPr>
            <w:color w:val="0000EE"/>
            <w:u w:val="single"/>
          </w:rPr>
          <w:t>8.56</w:t>
        </w:r>
      </w:hyperlink>
      <w:r>
        <w:t>), Jesus reconheceu a si como o Cristo em numerosas ocasiões. Ele aceitou o título vindo do cego Bartimeu (</w:t>
      </w:r>
      <w:hyperlink r:id="rId14309">
        <w:r>
          <w:rPr>
            <w:color w:val="0000EE"/>
            <w:u w:val="single"/>
          </w:rPr>
          <w:t>Mc 10.46–48</w:t>
        </w:r>
      </w:hyperlink>
      <w:r>
        <w:t>); das multidões quando ele entrou em Jerusalém (</w:t>
      </w:r>
      <w:hyperlink r:id="rId10752">
        <w:r>
          <w:rPr>
            <w:color w:val="0000EE"/>
            <w:u w:val="single"/>
          </w:rPr>
          <w:t>Mt 21.9</w:t>
        </w:r>
      </w:hyperlink>
      <w:r>
        <w:t xml:space="preserve">); das crianças no templo (v. </w:t>
      </w:r>
      <w:hyperlink r:id="rId8231">
        <w:r>
          <w:rPr>
            <w:color w:val="0000EE"/>
            <w:u w:val="single"/>
          </w:rPr>
          <w:t>15</w:t>
        </w:r>
      </w:hyperlink>
      <w:r>
        <w:t>); e em outros contextos também (</w:t>
      </w:r>
      <w:hyperlink r:id="rId14310">
        <w:r>
          <w:rPr>
            <w:color w:val="0000EE"/>
            <w:u w:val="single"/>
          </w:rPr>
          <w:t>Mt 16.16–18</w:t>
        </w:r>
      </w:hyperlink>
      <w:r>
        <w:t xml:space="preserve">; </w:t>
      </w:r>
      <w:hyperlink r:id="rId8029">
        <w:r>
          <w:rPr>
            <w:color w:val="0000EE"/>
            <w:u w:val="single"/>
          </w:rPr>
          <w:t>Mc 14.61–62</w:t>
        </w:r>
      </w:hyperlink>
      <w:r>
        <w:t xml:space="preserve">; </w:t>
      </w:r>
      <w:hyperlink r:id="rId8683">
        <w:r>
          <w:rPr>
            <w:color w:val="0000EE"/>
            <w:u w:val="single"/>
          </w:rPr>
          <w:t>Lc 4.21</w:t>
        </w:r>
      </w:hyperlink>
      <w:r>
        <w:t xml:space="preserve">; </w:t>
      </w:r>
      <w:hyperlink r:id="rId11821">
        <w:r>
          <w:rPr>
            <w:color w:val="0000EE"/>
            <w:u w:val="single"/>
          </w:rPr>
          <w:t>Jo 4.25–26</w:t>
        </w:r>
      </w:hyperlink>
      <w:r>
        <w:t>). No entanto, ele advertiu seus discípulos para não anunciarem seus atos poderosos como Messias antes de sua ressurreição (</w:t>
      </w:r>
      <w:hyperlink r:id="rId14311">
        <w:r>
          <w:rPr>
            <w:color w:val="0000EE"/>
            <w:u w:val="single"/>
          </w:rPr>
          <w:t>Mt 17.9</w:t>
        </w:r>
      </w:hyperlink>
      <w:r>
        <w:t xml:space="preserve">; cf. </w:t>
      </w:r>
      <w:hyperlink r:id="rId14312">
        <w:r>
          <w:rPr>
            <w:color w:val="0000EE"/>
            <w:u w:val="single"/>
          </w:rPr>
          <w:t>Lc 9.20–21</w:t>
        </w:r>
      </w:hyperlink>
      <w:r>
        <w:t xml:space="preserve">). Devido à noção comumente mantida (mas falsa) de que o papel do Messias era primariamente o de um libertador político, Jesus realmente evitou o uso desse termo e preferiu se identificar como “o Filho do Homem”. Não era de forma alguma assumido que ambas as designações se referiam à mesma pessoa (cf. </w:t>
      </w:r>
      <w:hyperlink r:id="rId8029">
        <w:r>
          <w:rPr>
            <w:color w:val="0000EE"/>
            <w:u w:val="single"/>
          </w:rPr>
          <w:t>Mc 14.61–62</w:t>
        </w:r>
      </w:hyperlink>
      <w:r>
        <w:t>). Tomando essencialmente da visão de Daniel de um conquistador celestial (</w:t>
      </w:r>
      <w:hyperlink r:id="rId3649">
        <w:r>
          <w:rPr>
            <w:color w:val="0000EE"/>
            <w:u w:val="single"/>
          </w:rPr>
          <w:t>Dn 7.13–14</w:t>
        </w:r>
      </w:hyperlink>
      <w:r>
        <w:t>), Jesus consistentemente empregou este título menos conhecido e o encheu com o verdadeiro caráter e escopo da salvação messiânica. O ensino de Jesus a este respeito permitiu que seus discípulos corrigissem suas visões errôneas sobre sua missão (</w:t>
      </w:r>
      <w:hyperlink r:id="rId11755">
        <w:r>
          <w:rPr>
            <w:color w:val="0000EE"/>
            <w:u w:val="single"/>
          </w:rPr>
          <w:t>Mt 16.21–23</w:t>
        </w:r>
      </w:hyperlink>
      <w:r>
        <w:t>). Na plenitude dos tempos, eles viriam a vê-lo não apenas como Messias, mas também como o tema de todo o AT (</w:t>
      </w:r>
      <w:hyperlink r:id="rId14004">
        <w:r>
          <w:rPr>
            <w:color w:val="0000EE"/>
            <w:u w:val="single"/>
          </w:rPr>
          <w:t>Mt 5.17</w:t>
        </w:r>
      </w:hyperlink>
      <w:r>
        <w:t xml:space="preserve">; </w:t>
      </w:r>
      <w:hyperlink r:id="rId3739">
        <w:r>
          <w:rPr>
            <w:color w:val="0000EE"/>
            <w:u w:val="single"/>
          </w:rPr>
          <w:t>Lc 24.27,44</w:t>
        </w:r>
      </w:hyperlink>
      <w:r>
        <w:t xml:space="preserve">; </w:t>
      </w:r>
      <w:hyperlink r:id="rId14313">
        <w:r>
          <w:rPr>
            <w:color w:val="0000EE"/>
            <w:u w:val="single"/>
          </w:rPr>
          <w:t>Jo 5.39</w:t>
        </w:r>
      </w:hyperlink>
      <w:r>
        <w:t xml:space="preserve">; cf. </w:t>
      </w:r>
      <w:hyperlink r:id="rId14314">
        <w:r>
          <w:rPr>
            <w:color w:val="0000EE"/>
            <w:u w:val="single"/>
          </w:rPr>
          <w:t>Hb 10.7</w:t>
        </w:r>
      </w:hyperlink>
      <w:r>
        <w:t>). Quando Jesus expôs as Escrituras começando com a Torá (</w:t>
      </w:r>
      <w:hyperlink r:id="rId3739">
        <w:r>
          <w:rPr>
            <w:color w:val="0000EE"/>
            <w:u w:val="single"/>
          </w:rPr>
          <w:t>Lc 24.27</w:t>
        </w:r>
      </w:hyperlink>
      <w:r>
        <w:t>), ele o fez como a exegese viva de Deus, a Palavra encarnada (</w:t>
      </w:r>
      <w:hyperlink r:id="rId3743">
        <w:r>
          <w:rPr>
            <w:color w:val="0000EE"/>
            <w:u w:val="single"/>
          </w:rPr>
          <w:t>Jo 1.14,18</w:t>
        </w:r>
      </w:hyperlink>
      <w:r>
        <w:t xml:space="preserve">). A exposição messiânica legítima é encontrada em uma série de textos, como </w:t>
      </w:r>
      <w:hyperlink r:id="rId7066">
        <w:r>
          <w:rPr>
            <w:color w:val="0000EE"/>
            <w:u w:val="single"/>
          </w:rPr>
          <w:t>Salmos 2</w:t>
        </w:r>
      </w:hyperlink>
      <w:r>
        <w:t xml:space="preserve">; </w:t>
      </w:r>
      <w:hyperlink r:id="rId5290">
        <w:r>
          <w:rPr>
            <w:color w:val="0000EE"/>
            <w:u w:val="single"/>
          </w:rPr>
          <w:t>16</w:t>
        </w:r>
      </w:hyperlink>
      <w:r>
        <w:t xml:space="preserve">; </w:t>
      </w:r>
      <w:hyperlink r:id="rId638">
        <w:r>
          <w:rPr>
            <w:color w:val="0000EE"/>
            <w:u w:val="single"/>
          </w:rPr>
          <w:t>22</w:t>
        </w:r>
      </w:hyperlink>
      <w:r>
        <w:t xml:space="preserve">; </w:t>
      </w:r>
      <w:hyperlink r:id="rId5291">
        <w:r>
          <w:rPr>
            <w:color w:val="0000EE"/>
            <w:u w:val="single"/>
          </w:rPr>
          <w:t>40</w:t>
        </w:r>
      </w:hyperlink>
      <w:r>
        <w:t xml:space="preserve">; </w:t>
      </w:r>
      <w:hyperlink r:id="rId10273">
        <w:r>
          <w:rPr>
            <w:color w:val="0000EE"/>
            <w:u w:val="single"/>
          </w:rPr>
          <w:t>110</w:t>
        </w:r>
      </w:hyperlink>
      <w:r>
        <w:t xml:space="preserve">; </w:t>
      </w:r>
      <w:hyperlink r:id="rId3591">
        <w:r>
          <w:rPr>
            <w:color w:val="0000EE"/>
            <w:u w:val="single"/>
          </w:rPr>
          <w:t>Isaías 7.14</w:t>
        </w:r>
      </w:hyperlink>
      <w:r>
        <w:t xml:space="preserve">; </w:t>
      </w:r>
      <w:hyperlink r:id="rId5463">
        <w:r>
          <w:rPr>
            <w:color w:val="0000EE"/>
            <w:u w:val="single"/>
          </w:rPr>
          <w:t>9.6</w:t>
        </w:r>
      </w:hyperlink>
      <w:r>
        <w:t xml:space="preserve">; </w:t>
      </w:r>
      <w:hyperlink r:id="rId3578">
        <w:r>
          <w:rPr>
            <w:color w:val="0000EE"/>
            <w:u w:val="single"/>
          </w:rPr>
          <w:t>11.1</w:t>
        </w:r>
      </w:hyperlink>
      <w:r>
        <w:t xml:space="preserve">; </w:t>
      </w:r>
      <w:hyperlink r:id="rId14315">
        <w:r>
          <w:rPr>
            <w:color w:val="0000EE"/>
            <w:u w:val="single"/>
          </w:rPr>
          <w:t>40.10–11</w:t>
        </w:r>
      </w:hyperlink>
      <w:r>
        <w:t xml:space="preserve">; </w:t>
      </w:r>
      <w:hyperlink r:id="rId11341">
        <w:r>
          <w:rPr>
            <w:color w:val="0000EE"/>
            <w:u w:val="single"/>
          </w:rPr>
          <w:t>50.6</w:t>
        </w:r>
      </w:hyperlink>
      <w:r>
        <w:t xml:space="preserve">; </w:t>
      </w:r>
      <w:hyperlink r:id="rId3610">
        <w:r>
          <w:rPr>
            <w:color w:val="0000EE"/>
            <w:u w:val="single"/>
          </w:rPr>
          <w:t>52.13–53.12</w:t>
        </w:r>
      </w:hyperlink>
      <w:r>
        <w:t xml:space="preserve">; </w:t>
      </w:r>
      <w:hyperlink r:id="rId8373">
        <w:r>
          <w:rPr>
            <w:color w:val="0000EE"/>
            <w:u w:val="single"/>
          </w:rPr>
          <w:t>61.1</w:t>
        </w:r>
      </w:hyperlink>
      <w:r>
        <w:t xml:space="preserve">; </w:t>
      </w:r>
      <w:hyperlink r:id="rId14316">
        <w:r>
          <w:rPr>
            <w:color w:val="0000EE"/>
            <w:u w:val="single"/>
          </w:rPr>
          <w:t>63.1–6</w:t>
        </w:r>
      </w:hyperlink>
      <w:r>
        <w:t xml:space="preserve">; </w:t>
      </w:r>
      <w:hyperlink r:id="rId14299">
        <w:r>
          <w:rPr>
            <w:color w:val="0000EE"/>
            <w:u w:val="single"/>
          </w:rPr>
          <w:t>Jeremias 23.5–6</w:t>
        </w:r>
      </w:hyperlink>
      <w:r>
        <w:t xml:space="preserve">; </w:t>
      </w:r>
      <w:hyperlink r:id="rId14317">
        <w:r>
          <w:rPr>
            <w:color w:val="0000EE"/>
            <w:u w:val="single"/>
          </w:rPr>
          <w:t>33.14–16</w:t>
        </w:r>
      </w:hyperlink>
      <w:r>
        <w:t xml:space="preserve">; </w:t>
      </w:r>
      <w:hyperlink r:id="rId6615">
        <w:r>
          <w:rPr>
            <w:color w:val="0000EE"/>
            <w:u w:val="single"/>
          </w:rPr>
          <w:t>Ezequiel 34.23</w:t>
        </w:r>
      </w:hyperlink>
      <w:r>
        <w:t xml:space="preserve">; </w:t>
      </w:r>
      <w:hyperlink r:id="rId3614">
        <w:r>
          <w:rPr>
            <w:color w:val="0000EE"/>
            <w:u w:val="single"/>
          </w:rPr>
          <w:t>37.25</w:t>
        </w:r>
      </w:hyperlink>
      <w:r>
        <w:t xml:space="preserve">; </w:t>
      </w:r>
      <w:hyperlink r:id="rId8144">
        <w:r>
          <w:rPr>
            <w:color w:val="0000EE"/>
            <w:u w:val="single"/>
          </w:rPr>
          <w:t>Daniel 9.24–27</w:t>
        </w:r>
      </w:hyperlink>
      <w:r>
        <w:t xml:space="preserve">; </w:t>
      </w:r>
      <w:hyperlink r:id="rId3569">
        <w:r>
          <w:rPr>
            <w:color w:val="0000EE"/>
            <w:u w:val="single"/>
          </w:rPr>
          <w:t>Os 11.1</w:t>
        </w:r>
      </w:hyperlink>
      <w:r>
        <w:t xml:space="preserve">; </w:t>
      </w:r>
      <w:hyperlink r:id="rId3333">
        <w:r>
          <w:rPr>
            <w:color w:val="0000EE"/>
            <w:u w:val="single"/>
          </w:rPr>
          <w:t>Miqueias 5.2</w:t>
        </w:r>
      </w:hyperlink>
      <w:r>
        <w:t xml:space="preserve">; </w:t>
      </w:r>
      <w:hyperlink r:id="rId10335">
        <w:r>
          <w:rPr>
            <w:color w:val="0000EE"/>
            <w:u w:val="single"/>
          </w:rPr>
          <w:t>Zacarias 9.9</w:t>
        </w:r>
      </w:hyperlink>
      <w:r>
        <w:t xml:space="preserve">; </w:t>
      </w:r>
      <w:hyperlink r:id="rId3585">
        <w:r>
          <w:rPr>
            <w:color w:val="0000EE"/>
            <w:u w:val="single"/>
          </w:rPr>
          <w:t>11.13</w:t>
        </w:r>
      </w:hyperlink>
      <w:r>
        <w:t xml:space="preserve">; </w:t>
      </w:r>
      <w:hyperlink r:id="rId7068">
        <w:r>
          <w:rPr>
            <w:color w:val="0000EE"/>
            <w:u w:val="single"/>
          </w:rPr>
          <w:t>12.10</w:t>
        </w:r>
      </w:hyperlink>
      <w:r>
        <w:t xml:space="preserve">; </w:t>
      </w:r>
      <w:hyperlink r:id="rId14318">
        <w:r>
          <w:rPr>
            <w:color w:val="0000EE"/>
            <w:u w:val="single"/>
          </w:rPr>
          <w:t>13.7</w:t>
        </w:r>
      </w:hyperlink>
      <w:r>
        <w:t xml:space="preserve">; </w:t>
      </w:r>
      <w:hyperlink r:id="rId3582">
        <w:r>
          <w:rPr>
            <w:color w:val="0000EE"/>
            <w:u w:val="single"/>
          </w:rPr>
          <w:t>Malaquias 3.1</w:t>
        </w:r>
      </w:hyperlink>
      <w:r>
        <w:t xml:space="preserve">; </w:t>
      </w:r>
      <w:hyperlink r:id="rId1547">
        <w:r>
          <w:rPr>
            <w:color w:val="0000EE"/>
            <w:u w:val="single"/>
          </w:rPr>
          <w:t>4.2</w:t>
        </w:r>
      </w:hyperlink>
      <w:r>
        <w:t>.</w:t>
      </w:r>
    </w:p>
    <w:p>
      <w:r/>
      <w:r>
        <w:t>O messianismo de Jesus é firmemente proclamado por todos os quatro evangelistas (</w:t>
      </w:r>
      <w:hyperlink r:id="rId817">
        <w:r>
          <w:rPr>
            <w:color w:val="0000EE"/>
            <w:u w:val="single"/>
          </w:rPr>
          <w:t>Mt 1.1</w:t>
        </w:r>
      </w:hyperlink>
      <w:r>
        <w:t xml:space="preserve">; </w:t>
      </w:r>
      <w:hyperlink r:id="rId6102">
        <w:r>
          <w:rPr>
            <w:color w:val="0000EE"/>
            <w:u w:val="single"/>
          </w:rPr>
          <w:t>Mc 1.1</w:t>
        </w:r>
      </w:hyperlink>
      <w:r>
        <w:t xml:space="preserve">; </w:t>
      </w:r>
      <w:hyperlink r:id="rId8800">
        <w:r>
          <w:rPr>
            <w:color w:val="0000EE"/>
            <w:u w:val="single"/>
          </w:rPr>
          <w:t>Lc 24.26</w:t>
        </w:r>
      </w:hyperlink>
      <w:r>
        <w:t xml:space="preserve">; </w:t>
      </w:r>
      <w:hyperlink r:id="rId6107">
        <w:r>
          <w:rPr>
            <w:color w:val="0000EE"/>
            <w:u w:val="single"/>
          </w:rPr>
          <w:t>Jo 20.31</w:t>
        </w:r>
      </w:hyperlink>
      <w:r>
        <w:t>). Pedro em Pentecostes, Filipe diante do eunuco etíope, e Apolo em debate aberto argumentam de forma convincente que Jesus é o Messias (</w:t>
      </w:r>
      <w:hyperlink r:id="rId6120">
        <w:r>
          <w:rPr>
            <w:color w:val="0000EE"/>
            <w:u w:val="single"/>
          </w:rPr>
          <w:t>Atos 2.36</w:t>
        </w:r>
      </w:hyperlink>
      <w:r>
        <w:t xml:space="preserve">; </w:t>
      </w:r>
      <w:hyperlink r:id="rId14319">
        <w:r>
          <w:rPr>
            <w:color w:val="0000EE"/>
            <w:u w:val="single"/>
          </w:rPr>
          <w:t>8.35</w:t>
        </w:r>
      </w:hyperlink>
      <w:r>
        <w:t xml:space="preserve">; </w:t>
      </w:r>
      <w:hyperlink r:id="rId14320">
        <w:r>
          <w:rPr>
            <w:color w:val="0000EE"/>
            <w:u w:val="single"/>
          </w:rPr>
          <w:t>28.28</w:t>
        </w:r>
      </w:hyperlink>
      <w:r>
        <w:t>). Pedro diz que ele foi “feito” tanto Senhor quanto Cristo (</w:t>
      </w:r>
      <w:hyperlink r:id="rId6120">
        <w:r>
          <w:rPr>
            <w:color w:val="0000EE"/>
            <w:u w:val="single"/>
          </w:rPr>
          <w:t>2.36</w:t>
        </w:r>
      </w:hyperlink>
      <w:r>
        <w:t>), significando que a ressurreição o confirma como tal. Da mesma forma, o apóstolo Paulo fala da ressurreição de Jesus como uma declaração patente de seu direito inalienável ao título (</w:t>
      </w:r>
      <w:hyperlink r:id="rId6103">
        <w:r>
          <w:rPr>
            <w:color w:val="0000EE"/>
            <w:u w:val="single"/>
          </w:rPr>
          <w:t>Rm 1.4</w:t>
        </w:r>
      </w:hyperlink>
      <w:r>
        <w:t>). Para o ex-fariseu e ex-perseguidor da igreja, “Jesus, o Cristo” é o próprio coração e alma da pregação de Paulo. Nada é digno de ser comparado com a glória do Messias; tudo perde a cor em comparação a ela (</w:t>
      </w:r>
      <w:hyperlink r:id="rId14321">
        <w:r>
          <w:rPr>
            <w:color w:val="0000EE"/>
            <w:u w:val="single"/>
          </w:rPr>
          <w:t>Fp 3.5–10</w:t>
        </w:r>
      </w:hyperlink>
      <w:r>
        <w:t>). A paixão avassaladora do apóstolo é que outros conheçam a plenitude de Deus na pessoa de seu único Filho (</w:t>
      </w:r>
      <w:hyperlink r:id="rId6029">
        <w:r>
          <w:rPr>
            <w:color w:val="0000EE"/>
            <w:u w:val="single"/>
          </w:rPr>
          <w:t>Ef 3.14–19</w:t>
        </w:r>
      </w:hyperlink>
      <w:r>
        <w:t>).</w:t>
      </w:r>
    </w:p>
    <w:p>
      <w:r/>
      <w:r>
        <w:t>O Espírito Santo nas Escrituras fala de Jesus com apelativos abrangentes — Santo, Juiz, Justo, Rei, Filho de Deus e Senhor — mas esses não são exaustivos. Nele, todas as linhas da previsão messiânica convergem; ele é critério pela qual sua validade é firmemente estabelecida. O Senhor Jesus Cristo é o próprio coração e substância dessa aliança, através da qual pessoas pecadoras podem ser reconciliadas com um Deus santo (</w:t>
      </w:r>
      <w:hyperlink r:id="rId11326">
        <w:r>
          <w:rPr>
            <w:color w:val="0000EE"/>
            <w:u w:val="single"/>
          </w:rPr>
          <w:t>Is 42.6</w:t>
        </w:r>
      </w:hyperlink>
      <w:r>
        <w:t xml:space="preserve">; </w:t>
      </w:r>
      <w:hyperlink r:id="rId408">
        <w:r>
          <w:rPr>
            <w:color w:val="0000EE"/>
            <w:u w:val="single"/>
          </w:rPr>
          <w:t>Jo 14.6</w:t>
        </w:r>
      </w:hyperlink>
      <w:r>
        <w:t>). Jesus o Messias de Israel, Deus encarnado, cumpre exaustivamente a profecia, o tipo e o símbolo — todas as sombras de sua vinda. Portanto, todos devem confiar nele, a fonte de toda a graça, o único tesouro permanente (</w:t>
      </w:r>
      <w:hyperlink r:id="rId14322">
        <w:r>
          <w:rPr>
            <w:color w:val="0000EE"/>
            <w:u w:val="single"/>
          </w:rPr>
          <w:t>Mt 12.21</w:t>
        </w:r>
      </w:hyperlink>
      <w:r>
        <w:t xml:space="preserve">; </w:t>
      </w:r>
      <w:hyperlink r:id="rId14323">
        <w:r>
          <w:rPr>
            <w:color w:val="0000EE"/>
            <w:u w:val="single"/>
          </w:rPr>
          <w:t>Jo 1.16–17</w:t>
        </w:r>
      </w:hyperlink>
      <w:r>
        <w:t xml:space="preserve">; </w:t>
      </w:r>
      <w:hyperlink r:id="rId3755">
        <w:r>
          <w:rPr>
            <w:color w:val="0000EE"/>
            <w:u w:val="single"/>
          </w:rPr>
          <w:t>Cl 2.3</w:t>
        </w:r>
      </w:hyperlink>
      <w:r>
        <w:t>). Ungido como profeta, ele nos leva a toda a verdade (</w:t>
      </w:r>
      <w:hyperlink r:id="rId6117">
        <w:r>
          <w:rPr>
            <w:color w:val="0000EE"/>
            <w:u w:val="single"/>
          </w:rPr>
          <w:t>Jo 6.14</w:t>
        </w:r>
      </w:hyperlink>
      <w:r>
        <w:t xml:space="preserve">; </w:t>
      </w:r>
      <w:hyperlink r:id="rId14324">
        <w:r>
          <w:rPr>
            <w:color w:val="0000EE"/>
            <w:u w:val="single"/>
          </w:rPr>
          <w:t>7.16</w:t>
        </w:r>
      </w:hyperlink>
      <w:r>
        <w:t>); como sacerdote, ele intercede por nós (</w:t>
      </w:r>
      <w:hyperlink r:id="rId14325">
        <w:r>
          <w:rPr>
            <w:color w:val="0000EE"/>
            <w:u w:val="single"/>
          </w:rPr>
          <w:t>Hb 7.21</w:t>
        </w:r>
      </w:hyperlink>
      <w:r>
        <w:t>); e como rei, ele reina sobre nós (</w:t>
      </w:r>
      <w:hyperlink r:id="rId14326">
        <w:r>
          <w:rPr>
            <w:color w:val="0000EE"/>
            <w:u w:val="single"/>
          </w:rPr>
          <w:t>Fp 2.9–10</w:t>
        </w:r>
      </w:hyperlink>
      <w:r>
        <w:t>).</w:t>
      </w:r>
    </w:p>
    <w:p>
      <w:r/>
      <w:r>
        <w:rPr>
          <w:i/>
        </w:rPr>
        <w:t>Veja também</w:t>
      </w:r>
      <w:r>
        <w:t xml:space="preserve"> </w:t>
      </w:r>
      <w:r>
        <w:t>Expiação</w:t>
      </w:r>
      <w:r>
        <w:t xml:space="preserve">; </w:t>
      </w:r>
      <w:r>
        <w:t>Ramo</w:t>
      </w:r>
      <w:r>
        <w:t xml:space="preserve">; </w:t>
      </w:r>
      <w:r>
        <w:t>Cristologia</w:t>
      </w:r>
      <w:r>
        <w:t xml:space="preserve">; </w:t>
      </w:r>
      <w:r>
        <w:t>Jesus Cristo, Vida e Ensinamentos de</w:t>
      </w:r>
      <w:r>
        <w:t xml:space="preserve">; </w:t>
      </w:r>
      <w:r>
        <w:t>Redentor, Redenção</w:t>
      </w:r>
      <w:r>
        <w:t xml:space="preserve">; </w:t>
      </w:r>
      <w:r>
        <w:t>Filho de Deus</w:t>
      </w:r>
      <w:r>
        <w:t xml:space="preserve">; </w:t>
      </w:r>
      <w:r>
        <w:t>Filho do Homem</w:t>
      </w:r>
      <w:r>
        <w:t>.</w:t>
      </w:r>
      <w:r/>
      <w:r/>
    </w:p>
    <w:p>
      <w:r/>
    </w:p>
    <w:p>
      <w:pPr>
        <w:pStyle w:val="Heading2"/>
      </w:pPr>
      <w:r>
        <w:t>Mestre</w:t>
      </w:r>
      <w:r/>
    </w:p>
    <w:p>
      <w:r/>
      <w:r>
        <w:t>Palavra usada para traduzir cinco palavras hebraicas diferentes e sete termos gregos diferentes, com raiz comum que aponta para o significado de proprietário (</w:t>
      </w:r>
      <w:hyperlink r:id="rId5407">
        <w:r>
          <w:rPr>
            <w:color w:val="0000EE"/>
            <w:u w:val="single"/>
          </w:rPr>
          <w:t>Is 1.3</w:t>
        </w:r>
      </w:hyperlink>
      <w:r>
        <w:t>), ancião (</w:t>
      </w:r>
      <w:hyperlink r:id="rId8629">
        <w:r>
          <w:rPr>
            <w:color w:val="0000EE"/>
            <w:u w:val="single"/>
          </w:rPr>
          <w:t>Dn 1.3</w:t>
        </w:r>
      </w:hyperlink>
      <w:r>
        <w:t>), soberano (</w:t>
      </w:r>
      <w:hyperlink r:id="rId13764">
        <w:r>
          <w:rPr>
            <w:color w:val="0000EE"/>
            <w:u w:val="single"/>
          </w:rPr>
          <w:t>1Pe 2.18</w:t>
        </w:r>
      </w:hyperlink>
      <w:r>
        <w:t>), professor (</w:t>
      </w:r>
      <w:hyperlink r:id="rId14327">
        <w:r>
          <w:rPr>
            <w:color w:val="0000EE"/>
            <w:u w:val="single"/>
          </w:rPr>
          <w:t>Lc 6.40</w:t>
        </w:r>
      </w:hyperlink>
      <w:r>
        <w:t>), superintendente (</w:t>
      </w:r>
      <w:hyperlink r:id="rId3706">
        <w:r>
          <w:rPr>
            <w:color w:val="0000EE"/>
            <w:u w:val="single"/>
          </w:rPr>
          <w:t>Lc 5.5</w:t>
        </w:r>
      </w:hyperlink>
      <w:r>
        <w:t>), senhor (</w:t>
      </w:r>
      <w:hyperlink r:id="rId14328">
        <w:r>
          <w:rPr>
            <w:color w:val="0000EE"/>
            <w:u w:val="single"/>
          </w:rPr>
          <w:t>Gn 39.3</w:t>
        </w:r>
      </w:hyperlink>
      <w:r>
        <w:t>), patrão (</w:t>
      </w:r>
      <w:hyperlink r:id="rId14329">
        <w:r>
          <w:rPr>
            <w:color w:val="0000EE"/>
            <w:u w:val="single"/>
          </w:rPr>
          <w:t>Jz 19.11</w:t>
        </w:r>
      </w:hyperlink>
      <w:r>
        <w:t>), rabino (</w:t>
      </w:r>
      <w:hyperlink r:id="rId14330">
        <w:r>
          <w:rPr>
            <w:color w:val="0000EE"/>
            <w:u w:val="single"/>
          </w:rPr>
          <w:t>Mc 9.5</w:t>
        </w:r>
      </w:hyperlink>
      <w:r>
        <w:t>) e capitão (</w:t>
      </w:r>
      <w:hyperlink r:id="rId14331">
        <w:r>
          <w:rPr>
            <w:color w:val="0000EE"/>
            <w:u w:val="single"/>
          </w:rPr>
          <w:t>Atos 27.11</w:t>
        </w:r>
      </w:hyperlink>
      <w:r>
        <w:t>); muitas vezes usado para descrever Jesus.</w:t>
      </w:r>
    </w:p>
    <w:p>
      <w:r/>
      <w:r>
        <w:t xml:space="preserve">Uma das palavras gregas, </w:t>
      </w:r>
      <w:r>
        <w:rPr>
          <w:i/>
        </w:rPr>
        <w:t>kurios</w:t>
      </w:r>
      <w:r>
        <w:t>, tem múltiplos significados com implicações importantes para interpretação. De vários modos significa senhor (</w:t>
      </w:r>
      <w:hyperlink r:id="rId14332">
        <w:r>
          <w:rPr>
            <w:color w:val="0000EE"/>
            <w:u w:val="single"/>
          </w:rPr>
          <w:t>Lc 14.21</w:t>
        </w:r>
      </w:hyperlink>
      <w:r>
        <w:t>), mestre (</w:t>
      </w:r>
      <w:hyperlink r:id="rId14333">
        <w:r>
          <w:rPr>
            <w:color w:val="0000EE"/>
            <w:u w:val="single"/>
          </w:rPr>
          <w:t>Mt 6.24</w:t>
        </w:r>
      </w:hyperlink>
      <w:r>
        <w:t>), senhor (</w:t>
      </w:r>
      <w:hyperlink r:id="rId14334">
        <w:r>
          <w:rPr>
            <w:color w:val="0000EE"/>
            <w:u w:val="single"/>
          </w:rPr>
          <w:t>Atos 25.26</w:t>
        </w:r>
      </w:hyperlink>
      <w:r>
        <w:t>) e o Senhor Deus (</w:t>
      </w:r>
      <w:hyperlink r:id="rId8176">
        <w:r>
          <w:rPr>
            <w:color w:val="0000EE"/>
            <w:u w:val="single"/>
          </w:rPr>
          <w:t>Ef 6.9</w:t>
        </w:r>
      </w:hyperlink>
      <w:r>
        <w:t>). Geralmente, o contexto indica claramente o significado específico pretendido.</w:t>
      </w:r>
      <w:r/>
      <w:r/>
    </w:p>
    <w:p>
      <w:r/>
    </w:p>
    <w:p>
      <w:pPr>
        <w:pStyle w:val="Heading2"/>
      </w:pPr>
      <w:r>
        <w:t>Mestre</w:t>
      </w:r>
      <w:r/>
    </w:p>
    <w:p>
      <w:r/>
      <w:r>
        <w:t>Os mestres conservavam os valores e a educação de uma nação e os passavam a cada nova geração. Nos tempos do Antigo Testamento, os primeiros mestres eram muitas vezes os pais (</w:t>
      </w:r>
      <w:hyperlink r:id="rId7318">
        <w:r>
          <w:rPr>
            <w:color w:val="0000EE"/>
            <w:u w:val="single"/>
          </w:rPr>
          <w:t>Deuteronômio 6.7,20–25</w:t>
        </w:r>
      </w:hyperlink>
      <w:r>
        <w:t xml:space="preserve">; </w:t>
      </w:r>
      <w:hyperlink r:id="rId14335">
        <w:r>
          <w:rPr>
            <w:color w:val="0000EE"/>
            <w:u w:val="single"/>
          </w:rPr>
          <w:t>11.19–21</w:t>
        </w:r>
      </w:hyperlink>
      <w:r>
        <w:t>). Líderes como Moisés e Arão foram encarregados de ensinar o povo (</w:t>
      </w:r>
      <w:hyperlink r:id="rId12765">
        <w:r>
          <w:rPr>
            <w:color w:val="0000EE"/>
            <w:u w:val="single"/>
          </w:rPr>
          <w:t>Levítico 10.11</w:t>
        </w:r>
      </w:hyperlink>
      <w:r>
        <w:t>). Depois, os sacerdotes e levitas tinham uma função de ensino (</w:t>
      </w:r>
      <w:hyperlink r:id="rId14336">
        <w:r>
          <w:rPr>
            <w:color w:val="0000EE"/>
            <w:u w:val="single"/>
          </w:rPr>
          <w:t>Deuteronômio 24.8</w:t>
        </w:r>
      </w:hyperlink>
      <w:r>
        <w:t xml:space="preserve">; </w:t>
      </w:r>
      <w:hyperlink r:id="rId14114">
        <w:r>
          <w:rPr>
            <w:color w:val="0000EE"/>
            <w:u w:val="single"/>
          </w:rPr>
          <w:t>33.8–10</w:t>
        </w:r>
      </w:hyperlink>
      <w:r>
        <w:t xml:space="preserve">; </w:t>
      </w:r>
      <w:hyperlink r:id="rId14337">
        <w:r>
          <w:rPr>
            <w:color w:val="0000EE"/>
            <w:u w:val="single"/>
          </w:rPr>
          <w:t>2 Crônicas 17.7–9</w:t>
        </w:r>
      </w:hyperlink>
      <w:r>
        <w:t xml:space="preserve">; </w:t>
      </w:r>
      <w:hyperlink r:id="rId14338">
        <w:r>
          <w:rPr>
            <w:color w:val="0000EE"/>
            <w:u w:val="single"/>
          </w:rPr>
          <w:t>Esdras 44.23</w:t>
        </w:r>
      </w:hyperlink>
      <w:r>
        <w:t xml:space="preserve">; </w:t>
      </w:r>
      <w:hyperlink r:id="rId14117">
        <w:r>
          <w:rPr>
            <w:color w:val="0000EE"/>
            <w:u w:val="single"/>
          </w:rPr>
          <w:t>Miqueias 3.11</w:t>
        </w:r>
      </w:hyperlink>
      <w:r>
        <w:t>). O próprio Deus foi considerado como um mestre (</w:t>
      </w:r>
      <w:hyperlink r:id="rId14339">
        <w:r>
          <w:rPr>
            <w:color w:val="0000EE"/>
            <w:u w:val="single"/>
          </w:rPr>
          <w:t>Salmos 25.8,12</w:t>
        </w:r>
      </w:hyperlink>
      <w:r>
        <w:t xml:space="preserve">; </w:t>
      </w:r>
      <w:hyperlink r:id="rId4164">
        <w:r>
          <w:rPr>
            <w:color w:val="0000EE"/>
            <w:u w:val="single"/>
          </w:rPr>
          <w:t>27.11</w:t>
        </w:r>
      </w:hyperlink>
      <w:r>
        <w:t xml:space="preserve">; </w:t>
      </w:r>
      <w:hyperlink r:id="rId10164">
        <w:r>
          <w:rPr>
            <w:color w:val="0000EE"/>
            <w:u w:val="single"/>
          </w:rPr>
          <w:t>32.8</w:t>
        </w:r>
      </w:hyperlink>
      <w:r>
        <w:t xml:space="preserve">; </w:t>
      </w:r>
      <w:hyperlink r:id="rId5700">
        <w:r>
          <w:rPr>
            <w:color w:val="0000EE"/>
            <w:u w:val="single"/>
          </w:rPr>
          <w:t>86.11</w:t>
        </w:r>
      </w:hyperlink>
      <w:r>
        <w:t xml:space="preserve">; </w:t>
      </w:r>
      <w:hyperlink r:id="rId14340">
        <w:r>
          <w:rPr>
            <w:color w:val="0000EE"/>
            <w:u w:val="single"/>
          </w:rPr>
          <w:t>Isaías 2.3</w:t>
        </w:r>
      </w:hyperlink>
      <w:r>
        <w:t>).</w:t>
      </w:r>
    </w:p>
    <w:p>
      <w:r/>
      <w:r>
        <w:t>No Novo Testamento, o substantivo grego para “mestre” e o verbo “ensinar” são amplamente utilizados. João Batista foi chamado de mestre (</w:t>
      </w:r>
      <w:hyperlink r:id="rId14341">
        <w:r>
          <w:rPr>
            <w:color w:val="0000EE"/>
            <w:u w:val="single"/>
          </w:rPr>
          <w:t>Lucas 3.12</w:t>
        </w:r>
      </w:hyperlink>
      <w:r>
        <w:t>). O termo é usado mais de 30 vezes para se referir a Jesus (</w:t>
      </w:r>
      <w:hyperlink r:id="rId8672">
        <w:r>
          <w:rPr>
            <w:color w:val="0000EE"/>
            <w:u w:val="single"/>
          </w:rPr>
          <w:t>Mateus 4.23</w:t>
        </w:r>
      </w:hyperlink>
      <w:r>
        <w:t xml:space="preserve">; </w:t>
      </w:r>
      <w:hyperlink r:id="rId14342">
        <w:r>
          <w:rPr>
            <w:color w:val="0000EE"/>
            <w:u w:val="single"/>
          </w:rPr>
          <w:t>5.2</w:t>
        </w:r>
      </w:hyperlink>
      <w:r>
        <w:t xml:space="preserve">; </w:t>
      </w:r>
      <w:hyperlink r:id="rId8230">
        <w:r>
          <w:rPr>
            <w:color w:val="0000EE"/>
            <w:u w:val="single"/>
          </w:rPr>
          <w:t>7.29</w:t>
        </w:r>
      </w:hyperlink>
      <w:r>
        <w:t xml:space="preserve">; </w:t>
      </w:r>
      <w:hyperlink r:id="rId8673">
        <w:r>
          <w:rPr>
            <w:color w:val="0000EE"/>
            <w:u w:val="single"/>
          </w:rPr>
          <w:t>9.35</w:t>
        </w:r>
      </w:hyperlink>
      <w:r>
        <w:t xml:space="preserve">; </w:t>
      </w:r>
      <w:hyperlink r:id="rId14343">
        <w:r>
          <w:rPr>
            <w:color w:val="0000EE"/>
            <w:u w:val="single"/>
          </w:rPr>
          <w:t>11.1</w:t>
        </w:r>
      </w:hyperlink>
      <w:r>
        <w:t xml:space="preserve">; </w:t>
      </w:r>
      <w:hyperlink r:id="rId14344">
        <w:r>
          <w:rPr>
            <w:color w:val="0000EE"/>
            <w:u w:val="single"/>
          </w:rPr>
          <w:t>Marcos 1.21</w:t>
        </w:r>
      </w:hyperlink>
      <w:r>
        <w:t xml:space="preserve">; </w:t>
      </w:r>
      <w:hyperlink r:id="rId14345">
        <w:r>
          <w:rPr>
            <w:color w:val="0000EE"/>
            <w:u w:val="single"/>
          </w:rPr>
          <w:t>2.13</w:t>
        </w:r>
      </w:hyperlink>
      <w:r>
        <w:t xml:space="preserve">; </w:t>
      </w:r>
      <w:hyperlink r:id="rId7599">
        <w:r>
          <w:rPr>
            <w:color w:val="0000EE"/>
            <w:u w:val="single"/>
          </w:rPr>
          <w:t>4.1–2</w:t>
        </w:r>
      </w:hyperlink>
      <w:r>
        <w:t xml:space="preserve">; </w:t>
      </w:r>
      <w:hyperlink r:id="rId11930">
        <w:r>
          <w:rPr>
            <w:color w:val="0000EE"/>
            <w:u w:val="single"/>
          </w:rPr>
          <w:t>6.2,6,34</w:t>
        </w:r>
      </w:hyperlink>
      <w:r>
        <w:t xml:space="preserve">; </w:t>
      </w:r>
      <w:hyperlink r:id="rId14346">
        <w:r>
          <w:rPr>
            <w:color w:val="0000EE"/>
            <w:u w:val="single"/>
          </w:rPr>
          <w:t>Lucas 4.15,31</w:t>
        </w:r>
      </w:hyperlink>
      <w:r>
        <w:t xml:space="preserve">; </w:t>
      </w:r>
      <w:hyperlink r:id="rId14347">
        <w:r>
          <w:rPr>
            <w:color w:val="0000EE"/>
            <w:u w:val="single"/>
          </w:rPr>
          <w:t>5.3</w:t>
        </w:r>
      </w:hyperlink>
      <w:r>
        <w:t xml:space="preserve">; </w:t>
      </w:r>
      <w:hyperlink r:id="rId6655">
        <w:r>
          <w:rPr>
            <w:color w:val="0000EE"/>
            <w:u w:val="single"/>
          </w:rPr>
          <w:t>6.6</w:t>
        </w:r>
      </w:hyperlink>
      <w:r>
        <w:t xml:space="preserve">; </w:t>
      </w:r>
      <w:hyperlink r:id="rId14348">
        <w:r>
          <w:rPr>
            <w:color w:val="0000EE"/>
            <w:u w:val="single"/>
          </w:rPr>
          <w:t>João 6.59</w:t>
        </w:r>
      </w:hyperlink>
      <w:r>
        <w:t xml:space="preserve">; </w:t>
      </w:r>
      <w:hyperlink r:id="rId14349">
        <w:r>
          <w:rPr>
            <w:color w:val="0000EE"/>
            <w:u w:val="single"/>
          </w:rPr>
          <w:t>7.14,28</w:t>
        </w:r>
      </w:hyperlink>
      <w:r>
        <w:t>; e assim por diante). As pessoas reconheciam seu ensino como autoritativo (</w:t>
      </w:r>
      <w:hyperlink r:id="rId8230">
        <w:r>
          <w:rPr>
            <w:color w:val="0000EE"/>
            <w:u w:val="single"/>
          </w:rPr>
          <w:t>Mateus 7.29</w:t>
        </w:r>
      </w:hyperlink>
      <w:r>
        <w:t xml:space="preserve">; </w:t>
      </w:r>
      <w:hyperlink r:id="rId14350">
        <w:r>
          <w:rPr>
            <w:color w:val="0000EE"/>
            <w:u w:val="single"/>
          </w:rPr>
          <w:t>Marcos 1.22</w:t>
        </w:r>
      </w:hyperlink>
      <w:r>
        <w:t xml:space="preserve">; </w:t>
      </w:r>
      <w:hyperlink r:id="rId14351">
        <w:r>
          <w:rPr>
            <w:color w:val="0000EE"/>
            <w:u w:val="single"/>
          </w:rPr>
          <w:t>Lucas 4.32</w:t>
        </w:r>
      </w:hyperlink>
      <w:r>
        <w:t>). Mesmo quando Jesus tinha 12 anos, ele conversava de uma maneira profunda com os mestres da lei no templo (</w:t>
      </w:r>
      <w:hyperlink r:id="rId8207">
        <w:r>
          <w:rPr>
            <w:color w:val="0000EE"/>
            <w:u w:val="single"/>
          </w:rPr>
          <w:t>Lucas 2.46</w:t>
        </w:r>
      </w:hyperlink>
      <w:r>
        <w:t>). Esses homens eram muitas vezes associados aos fariseus (</w:t>
      </w:r>
      <w:hyperlink r:id="rId7499">
        <w:r>
          <w:rPr>
            <w:color w:val="0000EE"/>
            <w:u w:val="single"/>
          </w:rPr>
          <w:t>5.17</w:t>
        </w:r>
      </w:hyperlink>
      <w:r>
        <w:t>). Gamaliel era um fariseu e um mestre da lei (</w:t>
      </w:r>
      <w:hyperlink r:id="rId7500">
        <w:r>
          <w:rPr>
            <w:color w:val="0000EE"/>
            <w:u w:val="single"/>
          </w:rPr>
          <w:t>Atos 5.34</w:t>
        </w:r>
      </w:hyperlink>
      <w:r>
        <w:t>). O termo “rabi” era muitas vezes usado para denotar mestre. O rabino era considerado com grande honra. Na igreja primitiva, o mestre era amplamente reconhecido (</w:t>
      </w:r>
      <w:hyperlink r:id="rId4994">
        <w:r>
          <w:rPr>
            <w:color w:val="0000EE"/>
            <w:u w:val="single"/>
          </w:rPr>
          <w:t>Atos 13.1</w:t>
        </w:r>
      </w:hyperlink>
      <w:r>
        <w:t xml:space="preserve">; </w:t>
      </w:r>
      <w:hyperlink r:id="rId14352">
        <w:r>
          <w:rPr>
            <w:color w:val="0000EE"/>
            <w:u w:val="single"/>
          </w:rPr>
          <w:t>1 Coríntios 12.28–29</w:t>
        </w:r>
      </w:hyperlink>
      <w:r>
        <w:t xml:space="preserve">; </w:t>
      </w:r>
      <w:hyperlink r:id="rId3778">
        <w:r>
          <w:rPr>
            <w:color w:val="0000EE"/>
            <w:u w:val="single"/>
          </w:rPr>
          <w:t>Efésios 4.11</w:t>
        </w:r>
      </w:hyperlink>
      <w:r>
        <w:t xml:space="preserve">; </w:t>
      </w:r>
      <w:hyperlink r:id="rId14353">
        <w:r>
          <w:rPr>
            <w:color w:val="0000EE"/>
            <w:u w:val="single"/>
          </w:rPr>
          <w:t>2 Timóteo 1.11</w:t>
        </w:r>
      </w:hyperlink>
      <w:r>
        <w:t xml:space="preserve">; </w:t>
      </w:r>
      <w:hyperlink r:id="rId14354">
        <w:r>
          <w:rPr>
            <w:color w:val="0000EE"/>
            <w:u w:val="single"/>
          </w:rPr>
          <w:t>Tiago 3.1</w:t>
        </w:r>
      </w:hyperlink>
      <w:r>
        <w:t>).</w:t>
      </w:r>
      <w:r/>
      <w:r/>
    </w:p>
    <w:p>
      <w:r/>
    </w:p>
    <w:p>
      <w:pPr>
        <w:pStyle w:val="Heading2"/>
      </w:pPr>
      <w:r>
        <w:t>Metusael</w:t>
      </w:r>
      <w:r/>
    </w:p>
    <w:p>
      <w:r/>
      <w:r>
        <w:t xml:space="preserve">Em alguns idiomas como o inglês, há diferenças em como escrever o nome "Metusael", que pode ser escrito como "Metushael" </w:t>
      </w:r>
      <w:hyperlink r:id="rId11161">
        <w:r>
          <w:rPr>
            <w:color w:val="0000EE"/>
            <w:u w:val="single"/>
          </w:rPr>
          <w:t>Gênesis 4.18</w:t>
        </w:r>
      </w:hyperlink>
      <w:r>
        <w:t xml:space="preserve">. </w:t>
      </w:r>
      <w:r>
        <w:rPr>
          <w:i/>
        </w:rPr>
        <w:t>Veja</w:t>
      </w:r>
      <w:r>
        <w:t xml:space="preserve"> </w:t>
      </w:r>
      <w:r>
        <w:t>Metushael</w:t>
      </w:r>
      <w:r>
        <w:t>.</w:t>
      </w:r>
      <w:r/>
      <w:r/>
    </w:p>
    <w:p>
      <w:r/>
    </w:p>
    <w:p>
      <w:pPr>
        <w:pStyle w:val="Heading2"/>
      </w:pPr>
      <w:r>
        <w:t>Metushael</w:t>
      </w:r>
      <w:r/>
    </w:p>
    <w:p>
      <w:r/>
      <w:r>
        <w:t>Filho de Meujael e pai de Lameque na linhagem de Caim (</w:t>
      </w:r>
      <w:hyperlink r:id="rId11161">
        <w:r>
          <w:rPr>
            <w:color w:val="0000EE"/>
            <w:u w:val="single"/>
          </w:rPr>
          <w:t>Gn 4.18</w:t>
        </w:r>
      </w:hyperlink>
      <w:r>
        <w:t>). A forma de escrita tradicional nas Bíblias em português é "Metusael". Metushael é uma variação do nome usado em algumas versões de Bíblia em outros idiomas.</w:t>
      </w:r>
      <w:r/>
      <w:r/>
    </w:p>
    <w:p>
      <w:r/>
    </w:p>
    <w:p>
      <w:pPr>
        <w:pStyle w:val="Heading2"/>
      </w:pPr>
      <w:r>
        <w:t>Meujael</w:t>
      </w:r>
      <w:r/>
    </w:p>
    <w:p>
      <w:r/>
      <w:r>
        <w:t>Um filho de Irade e o pai de Metusael, na linha familiar de Caim (</w:t>
      </w:r>
      <w:hyperlink r:id="rId11161">
        <w:r>
          <w:rPr>
            <w:color w:val="0000EE"/>
            <w:u w:val="single"/>
          </w:rPr>
          <w:t>Gn 4.18</w:t>
        </w:r>
      </w:hyperlink>
      <w:r>
        <w:t>).</w:t>
      </w:r>
      <w:r/>
      <w:r/>
    </w:p>
    <w:p>
      <w:r/>
    </w:p>
    <w:p>
      <w:pPr>
        <w:pStyle w:val="Heading2"/>
      </w:pPr>
      <w:r>
        <w:t>Me-Zaabe</w:t>
      </w:r>
      <w:r/>
    </w:p>
    <w:p>
      <w:r/>
      <w:r>
        <w:t>O pai de Matrede e o avô de Meetabel, a esposa do rei edomita Hadar (ou Hadade) (</w:t>
      </w:r>
      <w:hyperlink r:id="rId10282">
        <w:r>
          <w:rPr>
            <w:color w:val="0000EE"/>
            <w:u w:val="single"/>
          </w:rPr>
          <w:t>Gn 36.39</w:t>
        </w:r>
      </w:hyperlink>
      <w:r>
        <w:t xml:space="preserve">; </w:t>
      </w:r>
      <w:hyperlink r:id="rId14105">
        <w:r>
          <w:rPr>
            <w:color w:val="0000EE"/>
            <w:u w:val="single"/>
          </w:rPr>
          <w:t>1Cr 1.50</w:t>
        </w:r>
      </w:hyperlink>
      <w:r>
        <w:t>).</w:t>
      </w:r>
      <w:r/>
      <w:r/>
    </w:p>
    <w:p>
      <w:r/>
    </w:p>
    <w:p>
      <w:pPr>
        <w:pStyle w:val="Heading2"/>
      </w:pPr>
      <w:r>
        <w:t>Mezuzá</w:t>
      </w:r>
      <w:r/>
    </w:p>
    <w:p>
      <w:r/>
      <w:r>
        <w:t xml:space="preserve">Uma palavra hebraica que significa a estrutura vertical de uma porta ou portão. A Bíblia menciona essa palavra cerca de 20 vezes no Antigo Testamento. Durante a primeira Páscoa, os israelitas colocaram o sangue do cordeiro na </w:t>
      </w:r>
      <w:r>
        <w:rPr>
          <w:i/>
        </w:rPr>
        <w:t>mezuzah</w:t>
      </w:r>
      <w:r>
        <w:t xml:space="preserve"> de suas casas (</w:t>
      </w:r>
      <w:hyperlink r:id="rId14355">
        <w:r>
          <w:rPr>
            <w:color w:val="0000EE"/>
            <w:u w:val="single"/>
          </w:rPr>
          <w:t>Êx 12.7,22–23</w:t>
        </w:r>
      </w:hyperlink>
      <w:r>
        <w:t>).</w:t>
      </w:r>
    </w:p>
    <w:p>
      <w:r/>
      <w:r>
        <w:t xml:space="preserve">Em </w:t>
      </w:r>
      <w:hyperlink r:id="rId7606">
        <w:r>
          <w:rPr>
            <w:color w:val="0000EE"/>
            <w:u w:val="single"/>
          </w:rPr>
          <w:t>Deuteronômio 6.9</w:t>
        </w:r>
      </w:hyperlink>
      <w:r>
        <w:t xml:space="preserve"> e </w:t>
      </w:r>
      <w:hyperlink r:id="rId14356">
        <w:r>
          <w:rPr>
            <w:color w:val="0000EE"/>
            <w:u w:val="single"/>
          </w:rPr>
          <w:t>11.20</w:t>
        </w:r>
      </w:hyperlink>
      <w:r>
        <w:t xml:space="preserve">, Deus instruiu o povo hebreu a escrever seus mandamentos nas portas de suas casas e nos portões da cidade. Os judeus ainda seguem essa prática hoje. Toda casa judaica possui um pequeno recipiente feito de metal ou madeira preso ao batente da porta, aproximadamente na altura do ombro. Este recipiente, conhecido como </w:t>
      </w:r>
      <w:r>
        <w:rPr>
          <w:i/>
        </w:rPr>
        <w:t>mezuzá</w:t>
      </w:r>
      <w:r>
        <w:t xml:space="preserve">, contém um pequeno pedaço de pergaminho. Em um lado do pergaminho estão escritas as palavras de </w:t>
      </w:r>
      <w:hyperlink r:id="rId1340">
        <w:r>
          <w:rPr>
            <w:color w:val="0000EE"/>
            <w:u w:val="single"/>
          </w:rPr>
          <w:t>Deuteronômio 6.4–9</w:t>
        </w:r>
      </w:hyperlink>
      <w:r>
        <w:t xml:space="preserve"> e </w:t>
      </w:r>
      <w:hyperlink r:id="rId9339">
        <w:r>
          <w:rPr>
            <w:color w:val="0000EE"/>
            <w:u w:val="single"/>
          </w:rPr>
          <w:t>11.13–21.</w:t>
        </w:r>
      </w:hyperlink>
      <w:r>
        <w:t xml:space="preserve"> No outro lado está escrita a palavra Shaddai, que é o nome hebraico para Deus Todo-poderoso.</w:t>
      </w:r>
    </w:p>
    <w:p>
      <w:r/>
      <w:r>
        <w:t xml:space="preserve">Do lado de fora do recipiente da </w:t>
      </w:r>
      <w:r>
        <w:rPr>
          <w:i/>
        </w:rPr>
        <w:t>mezuzá</w:t>
      </w:r>
      <w:r>
        <w:t xml:space="preserve"> está a letra hebraica </w:t>
      </w:r>
      <w:r>
        <w:rPr>
          <w:i/>
        </w:rPr>
        <w:t>shin</w:t>
      </w:r>
      <w:r>
        <w:t xml:space="preserve">, que é a primeira letra do nome Shaddai. Quando uma pessoa judia devota entra ou sai de casa, ela toca a </w:t>
      </w:r>
      <w:r>
        <w:rPr>
          <w:i/>
        </w:rPr>
        <w:t>mezuzá</w:t>
      </w:r>
      <w:r>
        <w:t xml:space="preserve"> e depois beija os dedos. Ao mesmo tempo, ela repete as palavras do </w:t>
      </w:r>
      <w:hyperlink r:id="rId14357">
        <w:r>
          <w:rPr>
            <w:color w:val="0000EE"/>
            <w:u w:val="single"/>
          </w:rPr>
          <w:t>Salmo 121.8</w:t>
        </w:r>
      </w:hyperlink>
      <w:r>
        <w:t>: "O Senhor guardará a sua saída e a sua entrada, desde agora e para sempre".</w:t>
      </w:r>
      <w:r/>
      <w:r/>
    </w:p>
    <w:p>
      <w:r/>
    </w:p>
    <w:p>
      <w:pPr>
        <w:pStyle w:val="Heading2"/>
      </w:pPr>
      <w:r>
        <w:t>Mibsão</w:t>
      </w:r>
      <w:r/>
    </w:p>
    <w:p>
      <w:r/>
      <w:r>
        <w:t>1. Um dos filhos de Ismael e o fundador de uma tribo que leva seu nome (</w:t>
      </w:r>
      <w:hyperlink r:id="rId14358">
        <w:r>
          <w:rPr>
            <w:color w:val="0000EE"/>
            <w:u w:val="single"/>
          </w:rPr>
          <w:t>Gn 25.13</w:t>
        </w:r>
      </w:hyperlink>
      <w:r>
        <w:t xml:space="preserve">; </w:t>
      </w:r>
      <w:hyperlink r:id="rId2477">
        <w:r>
          <w:rPr>
            <w:color w:val="0000EE"/>
            <w:u w:val="single"/>
          </w:rPr>
          <w:t>1Cr 1.29</w:t>
        </w:r>
      </w:hyperlink>
      <w:r>
        <w:t>).</w:t>
      </w:r>
    </w:p>
    <w:p>
      <w:r/>
      <w:r>
        <w:t>2. Filho de Salum e pai de Misma (</w:t>
      </w:r>
      <w:hyperlink r:id="rId14359">
        <w:r>
          <w:rPr>
            <w:color w:val="0000EE"/>
            <w:u w:val="single"/>
          </w:rPr>
          <w:t>1Cr 4.25</w:t>
        </w:r>
      </w:hyperlink>
      <w:r>
        <w:t>).</w:t>
      </w:r>
      <w:r/>
      <w:r/>
    </w:p>
    <w:p>
      <w:r/>
    </w:p>
    <w:p>
      <w:pPr>
        <w:pStyle w:val="Heading2"/>
      </w:pPr>
      <w:r>
        <w:t>Mibsar</w:t>
      </w:r>
      <w:r/>
    </w:p>
    <w:p>
      <w:r/>
      <w:r>
        <w:t>Chefe de Edom (</w:t>
      </w:r>
      <w:hyperlink r:id="rId14360">
        <w:r>
          <w:rPr>
            <w:color w:val="0000EE"/>
            <w:u w:val="single"/>
          </w:rPr>
          <w:t>Gn 36.42</w:t>
        </w:r>
      </w:hyperlink>
      <w:r>
        <w:t xml:space="preserve">; </w:t>
      </w:r>
      <w:hyperlink r:id="rId14361">
        <w:r>
          <w:rPr>
            <w:color w:val="0000EE"/>
            <w:u w:val="single"/>
          </w:rPr>
          <w:t>1Cr 1.53</w:t>
        </w:r>
      </w:hyperlink>
      <w:r>
        <w:t>). O nome significa “fortaleza”. Eusébio conecta Mibsar com Mibsara, uma grande cidade em Edom.</w:t>
      </w:r>
      <w:r/>
      <w:r/>
    </w:p>
    <w:p>
      <w:r/>
    </w:p>
    <w:p>
      <w:pPr>
        <w:pStyle w:val="Heading2"/>
      </w:pPr>
      <w:r>
        <w:t>Micael</w:t>
      </w:r>
      <w:r/>
    </w:p>
    <w:p>
      <w:r/>
      <w:r>
        <w:t>O nome Micael significa "Quem é como Deus?". Dez homens diferentes chamados Micael aparecem na Bíblia, além de um que é descrito como um arcanjo.</w:t>
      </w:r>
    </w:p>
    <w:p>
      <w:pPr>
        <w:pStyle w:val="ListNumber"/>
        <w:spacing w:line="240" w:lineRule="auto"/>
        <w:ind w:left="720"/>
      </w:pPr>
      <w:r/>
      <w:r>
        <w:t>O pai de um dos espiões enviados por Moisés a Canaã (</w:t>
      </w:r>
      <w:hyperlink r:id="rId14362">
        <w:r>
          <w:rPr>
            <w:color w:val="0000EE"/>
            <w:u w:val="single"/>
          </w:rPr>
          <w:t>Nm 13.13</w:t>
        </w:r>
      </w:hyperlink>
      <w:r>
        <w:t>).</w:t>
      </w:r>
    </w:p>
    <w:p>
      <w:pPr>
        <w:pStyle w:val="ListNumber"/>
        <w:spacing w:line="240" w:lineRule="auto"/>
        <w:ind w:left="720"/>
      </w:pPr>
      <w:r/>
      <w:r>
        <w:t>Um gadita mencionado nas listas daqueles que se estabeleceram na terra de Basã (</w:t>
      </w:r>
      <w:hyperlink r:id="rId14363">
        <w:r>
          <w:rPr>
            <w:color w:val="0000EE"/>
            <w:u w:val="single"/>
          </w:rPr>
          <w:t>1Cr 5.13–14</w:t>
        </w:r>
      </w:hyperlink>
      <w:r>
        <w:t>).</w:t>
      </w:r>
    </w:p>
    <w:p>
      <w:pPr>
        <w:pStyle w:val="ListNumber"/>
        <w:spacing w:line="240" w:lineRule="auto"/>
        <w:ind w:left="720"/>
      </w:pPr>
      <w:r/>
      <w:r>
        <w:t>Um segundo gadita chamado Micael também é mencionado na lista (</w:t>
      </w:r>
      <w:hyperlink r:id="rId14363">
        <w:r>
          <w:rPr>
            <w:color w:val="0000EE"/>
            <w:u w:val="single"/>
          </w:rPr>
          <w:t>1Cr 5.13–14</w:t>
        </w:r>
      </w:hyperlink>
      <w:r>
        <w:t>).</w:t>
      </w:r>
    </w:p>
    <w:p>
      <w:pPr>
        <w:pStyle w:val="ListNumber"/>
        <w:spacing w:line="240" w:lineRule="auto"/>
        <w:ind w:left="720"/>
      </w:pPr>
      <w:r/>
      <w:r>
        <w:t>Um antepassado de Asafe, um cantor do templo nos dias de Davi (</w:t>
      </w:r>
      <w:hyperlink r:id="rId14364">
        <w:r>
          <w:rPr>
            <w:color w:val="0000EE"/>
            <w:u w:val="single"/>
          </w:rPr>
          <w:t>1Cr 6.40</w:t>
        </w:r>
      </w:hyperlink>
      <w:r>
        <w:t>).</w:t>
      </w:r>
    </w:p>
    <w:p>
      <w:pPr>
        <w:pStyle w:val="ListNumber"/>
        <w:spacing w:line="240" w:lineRule="auto"/>
        <w:ind w:left="720"/>
      </w:pPr>
      <w:r/>
      <w:r>
        <w:t>O principal homem de Issacar nas listas do templo (</w:t>
      </w:r>
      <w:hyperlink r:id="rId11993">
        <w:r>
          <w:rPr>
            <w:color w:val="0000EE"/>
            <w:u w:val="single"/>
          </w:rPr>
          <w:t>1Cr 7.3</w:t>
        </w:r>
      </w:hyperlink>
      <w:r>
        <w:t>).</w:t>
      </w:r>
    </w:p>
    <w:p>
      <w:pPr>
        <w:pStyle w:val="ListNumber"/>
        <w:spacing w:line="240" w:lineRule="auto"/>
        <w:ind w:left="720"/>
      </w:pPr>
      <w:r/>
      <w:r>
        <w:t>Um benjamita mencionado nas listas do templo (</w:t>
      </w:r>
      <w:hyperlink r:id="rId14365">
        <w:r>
          <w:rPr>
            <w:color w:val="0000EE"/>
            <w:u w:val="single"/>
          </w:rPr>
          <w:t>1Cr 8.16</w:t>
        </w:r>
      </w:hyperlink>
      <w:r>
        <w:t>).</w:t>
      </w:r>
    </w:p>
    <w:p>
      <w:pPr>
        <w:pStyle w:val="ListNumber"/>
        <w:spacing w:line="240" w:lineRule="auto"/>
        <w:ind w:left="720"/>
      </w:pPr>
      <w:r/>
      <w:r>
        <w:t>Um homem de Manassés que se juntou a Davi em Ziclague quando ele estava fugindo de Saul (</w:t>
      </w:r>
      <w:hyperlink r:id="rId11570">
        <w:r>
          <w:rPr>
            <w:color w:val="0000EE"/>
            <w:u w:val="single"/>
          </w:rPr>
          <w:t>1Cr 12.20</w:t>
        </w:r>
      </w:hyperlink>
      <w:r>
        <w:t>).</w:t>
      </w:r>
    </w:p>
    <w:p>
      <w:pPr>
        <w:pStyle w:val="ListNumber"/>
        <w:spacing w:line="240" w:lineRule="auto"/>
        <w:ind w:left="720"/>
      </w:pPr>
      <w:r/>
      <w:r>
        <w:t>O pai de Onri, um alto oficial político nos dias do rei Davi (</w:t>
      </w:r>
      <w:hyperlink r:id="rId7889">
        <w:r>
          <w:rPr>
            <w:color w:val="0000EE"/>
            <w:u w:val="single"/>
          </w:rPr>
          <w:t>1Cr 27.18</w:t>
        </w:r>
      </w:hyperlink>
      <w:r>
        <w:t>).</w:t>
      </w:r>
    </w:p>
    <w:p>
      <w:pPr>
        <w:pStyle w:val="ListNumber"/>
        <w:spacing w:line="240" w:lineRule="auto"/>
        <w:ind w:left="720"/>
      </w:pPr>
      <w:r/>
      <w:r>
        <w:t>O filho do rei Josafá de Judá (</w:t>
      </w:r>
      <w:hyperlink r:id="rId14366">
        <w:r>
          <w:rPr>
            <w:color w:val="0000EE"/>
            <w:u w:val="single"/>
          </w:rPr>
          <w:t>2Cr 21.2</w:t>
        </w:r>
      </w:hyperlink>
      <w:r>
        <w:t>).</w:t>
      </w:r>
    </w:p>
    <w:p>
      <w:pPr>
        <w:pStyle w:val="ListNumber"/>
        <w:spacing w:line="240" w:lineRule="auto"/>
        <w:ind w:left="720"/>
      </w:pPr>
      <w:r/>
      <w:r>
        <w:t>O pai de Zebadias, um homem que retornou com Esdras a Jerusalém após o exílio na Babilônia (</w:t>
      </w:r>
      <w:hyperlink r:id="rId14367">
        <w:r>
          <w:rPr>
            <w:color w:val="0000EE"/>
            <w:u w:val="single"/>
          </w:rPr>
          <w:t>Ed 8.8</w:t>
        </w:r>
      </w:hyperlink>
      <w:r>
        <w:t>).</w:t>
      </w:r>
    </w:p>
    <w:p>
      <w:pPr>
        <w:pStyle w:val="ListNumber"/>
        <w:spacing w:line="240" w:lineRule="auto"/>
        <w:ind w:left="720"/>
      </w:pPr>
      <w:r/>
      <w:r>
        <w:t xml:space="preserve">Um anjo que aparece no Antigo Testamento, no Novo Testamento e em escritos judaicos do período entre essas duas partes da Bíblia. </w:t>
      </w:r>
      <w:hyperlink r:id="rId1909">
        <w:r>
          <w:rPr>
            <w:color w:val="0000EE"/>
            <w:u w:val="single"/>
          </w:rPr>
          <w:t>Daniel 10.13</w:t>
        </w:r>
      </w:hyperlink>
      <w:r>
        <w:t xml:space="preserve"> diz que "o príncipe do reino da Pérsia" procurou se opor ao propósito de Deus. Miguel (variação do nome Micael), "um dos principais príncipes", lutou contra esse espírito maligno ao lado do Senhor (</w:t>
      </w:r>
      <w:hyperlink r:id="rId14368">
        <w:r>
          <w:rPr>
            <w:color w:val="0000EE"/>
            <w:u w:val="single"/>
          </w:rPr>
          <w:t>Dn 10.21</w:t>
        </w:r>
      </w:hyperlink>
      <w:r>
        <w:t xml:space="preserve">). Seu conflito em favor de Israel é mencionado ainda em </w:t>
      </w:r>
      <w:hyperlink r:id="rId3267">
        <w:r>
          <w:rPr>
            <w:color w:val="0000EE"/>
            <w:u w:val="single"/>
          </w:rPr>
          <w:t>Daniel 12.1</w:t>
        </w:r>
      </w:hyperlink>
      <w:r>
        <w:t>.</w:t>
      </w:r>
    </w:p>
    <w:p>
      <w:r/>
      <w:r>
        <w:t>O livro de Enoque descreve Miguel como um dos quatro ou dos sete anjos especiais chamados "arcanjos" (Enoque 9.1 e 40.9 listam quatro; 20.1–7 listam sete). No livro de Enoque, no Rolo da Guerra dos Manuscritos do Mar Morto e em outras literaturas intertestamentárias, Miguel é descrito como um guerreiro que luta pela causa dos justos ou como o protetor de Israel.</w:t>
      </w:r>
    </w:p>
    <w:p>
      <w:r/>
      <w:r>
        <w:t>O livro de Judas nos conta sobre uma época em que Miguel discutiu com o diabo sobre o que aconteceria com o corpo de Moisés após sua morte (</w:t>
      </w:r>
      <w:hyperlink r:id="rId1911">
        <w:r>
          <w:rPr>
            <w:color w:val="0000EE"/>
            <w:u w:val="single"/>
          </w:rPr>
          <w:t>Jd 1.9</w:t>
        </w:r>
      </w:hyperlink>
      <w:r>
        <w:t xml:space="preserve">; compare </w:t>
      </w:r>
      <w:hyperlink r:id="rId14369">
        <w:r>
          <w:rPr>
            <w:color w:val="0000EE"/>
            <w:u w:val="single"/>
          </w:rPr>
          <w:t>2Pe 2.10–11</w:t>
        </w:r>
      </w:hyperlink>
      <w:r>
        <w:t xml:space="preserve">; veja também a referência ao "arcanjo" em </w:t>
      </w:r>
      <w:hyperlink r:id="rId14370">
        <w:r>
          <w:rPr>
            <w:color w:val="0000EE"/>
            <w:u w:val="single"/>
          </w:rPr>
          <w:t>1Ts 4.16</w:t>
        </w:r>
      </w:hyperlink>
      <w:r>
        <w:t>). Esta história vem de "A assunção de Moisés" (um escrito que contava histórias sobre o que aconteceu com Moisés após sua morte).</w:t>
      </w:r>
    </w:p>
    <w:p>
      <w:r/>
      <w:r>
        <w:t xml:space="preserve">A única outra referência a Miguel no Novo Testamento é </w:t>
      </w:r>
      <w:hyperlink r:id="rId14371">
        <w:r>
          <w:rPr>
            <w:color w:val="0000EE"/>
            <w:u w:val="single"/>
          </w:rPr>
          <w:t>Apocalipse 12.7–8:</w:t>
        </w:r>
      </w:hyperlink>
      <w:r>
        <w:t xml:space="preserve"> "Então, houve uma guerra no céu: Miguel e seus anjos lutaram contra o dragão, e o dragão e seus anjos revidaram. Mas o dragão não foi forte o suficiente, e não mais se encontrou lugar no céu para ele e seus anjos".</w:t>
      </w:r>
    </w:p>
    <w:p>
      <w:r/>
      <w:r>
        <w:rPr>
          <w:i/>
        </w:rPr>
        <w:t>Veja também</w:t>
      </w:r>
      <w:r>
        <w:t xml:space="preserve"> </w:t>
      </w:r>
      <w:r>
        <w:t>Anjo</w:t>
      </w:r>
      <w:r>
        <w:t>.</w:t>
      </w:r>
      <w:r/>
      <w:r/>
    </w:p>
    <w:p>
      <w:r/>
    </w:p>
    <w:p>
      <w:pPr>
        <w:pStyle w:val="Heading2"/>
      </w:pPr>
      <w:r>
        <w:t>Mictam</w:t>
      </w:r>
      <w:r/>
    </w:p>
    <w:p>
      <w:r/>
      <w:r>
        <w:t xml:space="preserve">Título em </w:t>
      </w:r>
      <w:hyperlink r:id="rId5290">
        <w:r>
          <w:rPr>
            <w:color w:val="0000EE"/>
            <w:u w:val="single"/>
          </w:rPr>
          <w:t>Salmos 16</w:t>
        </w:r>
      </w:hyperlink>
      <w:r>
        <w:t xml:space="preserve"> e </w:t>
      </w:r>
      <w:hyperlink r:id="rId14372">
        <w:r>
          <w:rPr>
            <w:color w:val="0000EE"/>
            <w:u w:val="single"/>
          </w:rPr>
          <w:t>56 – 60</w:t>
        </w:r>
      </w:hyperlink>
      <w:r>
        <w:t xml:space="preserve"> (veja NTLH), possivelmente também do salmo de recuperação de Ezequias, </w:t>
      </w:r>
      <w:hyperlink r:id="rId14373">
        <w:r>
          <w:rPr>
            <w:color w:val="0000EE"/>
            <w:u w:val="single"/>
          </w:rPr>
          <w:t>Isaías 38.9</w:t>
        </w:r>
      </w:hyperlink>
      <w:r>
        <w:t>. O significado preciso do termo é incerto. Sua semelhança com a palavra acádica "cobrir, expiar" sugere que o título pode significar um salmo de expiação ou pecado coberto. Outras sugestões incluem um salmo de dificuldades ou mistérios.</w:t>
      </w:r>
    </w:p>
    <w:p>
      <w:r/>
      <w:r>
        <w:rPr>
          <w:i/>
        </w:rPr>
        <w:t>Veja também</w:t>
      </w:r>
      <w:r>
        <w:t xml:space="preserve"> </w:t>
      </w:r>
      <w:r>
        <w:t>Música</w:t>
      </w:r>
      <w:r>
        <w:t>.</w:t>
      </w:r>
      <w:r/>
      <w:r/>
    </w:p>
    <w:p>
      <w:r/>
    </w:p>
    <w:p>
      <w:pPr>
        <w:pStyle w:val="Heading2"/>
      </w:pPr>
      <w:r>
        <w:t>Midiã, midianita</w:t>
      </w:r>
      <w:r/>
    </w:p>
    <w:p>
      <w:r/>
      <w:r>
        <w:t>Pessoa, lugar ou povo, este último vivendo na borda leste de Gileade, Moabe e Edom ao sul, no noroeste da Arábia. Eles tinham poucos, se é que tinham, assentamentos permanentes.</w:t>
      </w:r>
    </w:p>
    <w:p>
      <w:r/>
      <w:r>
        <w:t>Midiã e seus descendentes aparecem de forma proeminente apenas na história inicial de Israel, em conexão com Abraão (</w:t>
      </w:r>
      <w:hyperlink r:id="rId14374">
        <w:r>
          <w:rPr>
            <w:color w:val="0000EE"/>
            <w:u w:val="single"/>
          </w:rPr>
          <w:t>Gn 25.1–6</w:t>
        </w:r>
      </w:hyperlink>
      <w:r>
        <w:t>), José (</w:t>
      </w:r>
      <w:hyperlink r:id="rId2337">
        <w:r>
          <w:rPr>
            <w:color w:val="0000EE"/>
            <w:u w:val="single"/>
          </w:rPr>
          <w:t>37.25–36</w:t>
        </w:r>
      </w:hyperlink>
      <w:r>
        <w:t>), Moisés (</w:t>
      </w:r>
      <w:hyperlink r:id="rId14375">
        <w:r>
          <w:rPr>
            <w:color w:val="0000EE"/>
            <w:u w:val="single"/>
          </w:rPr>
          <w:t>Êx 2.15–3.1</w:t>
        </w:r>
      </w:hyperlink>
      <w:r>
        <w:t>), Balaão (</w:t>
      </w:r>
      <w:hyperlink r:id="rId14376">
        <w:r>
          <w:rPr>
            <w:color w:val="0000EE"/>
            <w:u w:val="single"/>
          </w:rPr>
          <w:t>Nm 22.1–6</w:t>
        </w:r>
      </w:hyperlink>
      <w:r>
        <w:t xml:space="preserve">; </w:t>
      </w:r>
      <w:hyperlink r:id="rId2975">
        <w:r>
          <w:rPr>
            <w:color w:val="0000EE"/>
            <w:u w:val="single"/>
          </w:rPr>
          <w:t>25</w:t>
        </w:r>
      </w:hyperlink>
      <w:r>
        <w:t xml:space="preserve">; </w:t>
      </w:r>
      <w:hyperlink r:id="rId14377">
        <w:r>
          <w:rPr>
            <w:color w:val="0000EE"/>
            <w:u w:val="single"/>
          </w:rPr>
          <w:t>31.1–20</w:t>
        </w:r>
      </w:hyperlink>
      <w:r>
        <w:t>), e Gideão (</w:t>
      </w:r>
      <w:hyperlink r:id="rId14378">
        <w:r>
          <w:rPr>
            <w:color w:val="0000EE"/>
            <w:u w:val="single"/>
          </w:rPr>
          <w:t>Jz 6.1–8.28</w:t>
        </w:r>
      </w:hyperlink>
      <w:r>
        <w:t>).</w:t>
      </w:r>
    </w:p>
    <w:p>
      <w:r/>
      <w:r>
        <w:t>Midiã era o meio-irmão mais novo de Isaque, o quarto de seis filhos nascidos de Quetura, com quem Abraão se casou quando já era idoso (</w:t>
      </w:r>
      <w:hyperlink r:id="rId3787">
        <w:r>
          <w:rPr>
            <w:color w:val="0000EE"/>
            <w:u w:val="single"/>
          </w:rPr>
          <w:t>Gn 25.1–2</w:t>
        </w:r>
      </w:hyperlink>
      <w:r>
        <w:t xml:space="preserve">; cf. </w:t>
      </w:r>
      <w:hyperlink r:id="rId14379">
        <w:r>
          <w:rPr>
            <w:color w:val="0000EE"/>
            <w:u w:val="single"/>
          </w:rPr>
          <w:t>23.1–2</w:t>
        </w:r>
      </w:hyperlink>
      <w:r>
        <w:t xml:space="preserve">; </w:t>
      </w:r>
      <w:hyperlink r:id="rId14380">
        <w:r>
          <w:rPr>
            <w:color w:val="0000EE"/>
            <w:u w:val="single"/>
          </w:rPr>
          <w:t>24.67</w:t>
        </w:r>
      </w:hyperlink>
      <w:r>
        <w:t xml:space="preserve">; </w:t>
      </w:r>
      <w:hyperlink r:id="rId5351">
        <w:r>
          <w:rPr>
            <w:color w:val="0000EE"/>
            <w:u w:val="single"/>
          </w:rPr>
          <w:t>1Cr 1.32</w:t>
        </w:r>
      </w:hyperlink>
      <w:r>
        <w:t>). Ao chamar Midiã e seus irmãos completos de “os descendentes de Quetura” (</w:t>
      </w:r>
      <w:hyperlink r:id="rId7613">
        <w:r>
          <w:rPr>
            <w:color w:val="0000EE"/>
            <w:u w:val="single"/>
          </w:rPr>
          <w:t>Gn 25.4</w:t>
        </w:r>
      </w:hyperlink>
      <w:r>
        <w:t xml:space="preserve">; </w:t>
      </w:r>
      <w:hyperlink r:id="rId14381">
        <w:r>
          <w:rPr>
            <w:color w:val="0000EE"/>
            <w:u w:val="single"/>
          </w:rPr>
          <w:t>1Cr 1.32–33</w:t>
        </w:r>
      </w:hyperlink>
      <w:r>
        <w:t>), a Bíblia cuidadosamente os distingue de Isaque, o filho de Sara, que era aquele através de quem a promessa de Deus a Abraão seria cumprida (</w:t>
      </w:r>
      <w:hyperlink r:id="rId162">
        <w:r>
          <w:rPr>
            <w:color w:val="0000EE"/>
            <w:u w:val="single"/>
          </w:rPr>
          <w:t>Gn 12.1–3</w:t>
        </w:r>
      </w:hyperlink>
      <w:r>
        <w:t xml:space="preserve">; </w:t>
      </w:r>
      <w:hyperlink r:id="rId10509">
        <w:r>
          <w:rPr>
            <w:color w:val="0000EE"/>
            <w:u w:val="single"/>
          </w:rPr>
          <w:t>17.15–21</w:t>
        </w:r>
      </w:hyperlink>
      <w:r>
        <w:t>). De fato, Abraão e os israelitas consideravam esses outros filhos como não tendo mais direitos de herança do que os filhos de uma concubina (</w:t>
      </w:r>
      <w:hyperlink r:id="rId5350">
        <w:r>
          <w:rPr>
            <w:color w:val="0000EE"/>
            <w:u w:val="single"/>
          </w:rPr>
          <w:t>Gn 25.5–6</w:t>
        </w:r>
      </w:hyperlink>
      <w:r>
        <w:t xml:space="preserve">; </w:t>
      </w:r>
      <w:hyperlink r:id="rId11878">
        <w:r>
          <w:rPr>
            <w:color w:val="0000EE"/>
            <w:u w:val="single"/>
          </w:rPr>
          <w:t>1Cr 1.31</w:t>
        </w:r>
      </w:hyperlink>
      <w:r>
        <w:t>).</w:t>
      </w:r>
    </w:p>
    <w:p>
      <w:r/>
      <w:r>
        <w:t>Expulsos da família de Abraão por causa de Isaque, tornaram-se povos seminômades dos desertos a leste e ao sul da Palestina (</w:t>
      </w:r>
      <w:hyperlink r:id="rId5350">
        <w:r>
          <w:rPr>
            <w:color w:val="0000EE"/>
            <w:u w:val="single"/>
          </w:rPr>
          <w:t>Gn 25.5–6</w:t>
        </w:r>
      </w:hyperlink>
      <w:r>
        <w:t>).</w:t>
      </w:r>
    </w:p>
    <w:p>
      <w:pPr>
        <w:pStyle w:val="Heading3"/>
      </w:pPr>
      <w:r>
        <w:t>A terra de Midiã</w:t>
      </w:r>
    </w:p>
    <w:p>
      <w:r/>
      <w:r>
        <w:t>De localização incerta, Midiã estava provavelmente ao sul de Edom, no lado leste do que hoje é chamado de Golfo de Ácaba. O geógrafo alexandrino Ptolomeu (segundo século d.C.) menciona uma cidade chamada Modiana na costa e uma Madiana a 41,8 quilômetros no interior (moderna el-Bed’) nesta região, uma identificação apoiada pelo historiador judeu Josefo (primeiro século d.C.) e pelo historiador da igreja cristã Eusébio (início do quarto século).</w:t>
      </w:r>
    </w:p>
    <w:p>
      <w:r/>
      <w:r>
        <w:t>No início dos tempos do Antigo Testamento, Midiã parece ter sido a terra na borda dos desertos que faziam fronteira com Gileade, Moabe e Edom, estendendo-se ao sul até o leste do Sinai.</w:t>
      </w:r>
    </w:p>
    <w:p>
      <w:r/>
      <w:r>
        <w:t>No tempo de José, alguns clãs midianitas provavelmente viviam no deserto na região da Transjordânia ao norte, adjacente a Gileade ou Basã, pois faziam parte de uma caravana ismaelita que viajava pela rota comercial de Damasco, atravessando Gileade, passando por Dotã até o Egito (</w:t>
      </w:r>
      <w:hyperlink r:id="rId14382">
        <w:r>
          <w:rPr>
            <w:color w:val="0000EE"/>
            <w:u w:val="single"/>
          </w:rPr>
          <w:t>Gn 37.17,25–28,36</w:t>
        </w:r>
      </w:hyperlink>
      <w:r>
        <w:t>).</w:t>
      </w:r>
    </w:p>
    <w:p>
      <w:r/>
      <w:r>
        <w:t>Quando Moisés fugiu do Faraó, ele se estabeleceu em Midiã e eventualmente casou-se com Zípora, a filha de um sacerdote midianita (</w:t>
      </w:r>
      <w:hyperlink r:id="rId14383">
        <w:r>
          <w:rPr>
            <w:color w:val="0000EE"/>
            <w:u w:val="single"/>
          </w:rPr>
          <w:t>Êx 2.15–22</w:t>
        </w:r>
      </w:hyperlink>
      <w:r>
        <w:t>). Moisés pediu ao seu parente midianita Hobabe para atuar como guia de Horebe a Cades-Barneia (</w:t>
      </w:r>
      <w:hyperlink r:id="rId14384">
        <w:r>
          <w:rPr>
            <w:color w:val="0000EE"/>
            <w:u w:val="single"/>
          </w:rPr>
          <w:t>Dt 1.19</w:t>
        </w:r>
      </w:hyperlink>
      <w:r>
        <w:t>); Hobabe conhecia bem o deserto de Parã (</w:t>
      </w:r>
      <w:hyperlink r:id="rId14385">
        <w:r>
          <w:rPr>
            <w:color w:val="0000EE"/>
            <w:u w:val="single"/>
          </w:rPr>
          <w:t>Nm 10.11–12,29–31</w:t>
        </w:r>
      </w:hyperlink>
      <w:r>
        <w:t xml:space="preserve">), embora sua própria terra e parentes estivessem em outro lugar (v </w:t>
      </w:r>
      <w:hyperlink r:id="rId14386">
        <w:r>
          <w:rPr>
            <w:color w:val="0000EE"/>
            <w:u w:val="single"/>
          </w:rPr>
          <w:t>30</w:t>
        </w:r>
      </w:hyperlink>
      <w:r>
        <w:t>).</w:t>
      </w:r>
    </w:p>
    <w:p>
      <w:r/>
      <w:r>
        <w:t>No episódio de Balaão e suas consequências sangrentas (</w:t>
      </w:r>
      <w:hyperlink r:id="rId2972">
        <w:r>
          <w:rPr>
            <w:color w:val="0000EE"/>
            <w:u w:val="single"/>
          </w:rPr>
          <w:t>Nm 22.31</w:t>
        </w:r>
      </w:hyperlink>
      <w:r>
        <w:t>), um grupo significativo de midianitas parece ter vivido na fronteira oriental de Moabe. O rei moabita Balaque, que estava sob o domínio do rei amorita chamado Seom (</w:t>
      </w:r>
      <w:hyperlink r:id="rId14387">
        <w:r>
          <w:rPr>
            <w:color w:val="0000EE"/>
            <w:u w:val="single"/>
          </w:rPr>
          <w:t>21.26–30</w:t>
        </w:r>
      </w:hyperlink>
      <w:r>
        <w:t xml:space="preserve">; </w:t>
      </w:r>
      <w:hyperlink r:id="rId14388">
        <w:r>
          <w:rPr>
            <w:color w:val="0000EE"/>
            <w:u w:val="single"/>
          </w:rPr>
          <w:t>Jr 48.45</w:t>
        </w:r>
      </w:hyperlink>
      <w:r>
        <w:t>), discutiu a ameaça israelita com os anciãos de Midiã, e uma delegação conjunta foi enviada a Balaão (</w:t>
      </w:r>
      <w:hyperlink r:id="rId14389">
        <w:r>
          <w:rPr>
            <w:color w:val="0000EE"/>
            <w:u w:val="single"/>
          </w:rPr>
          <w:t>Nm 22.2–7</w:t>
        </w:r>
      </w:hyperlink>
      <w:r>
        <w:t>). Em Acácia, nas campinas de Moabe (</w:t>
      </w:r>
      <w:hyperlink r:id="rId6740">
        <w:r>
          <w:rPr>
            <w:color w:val="0000EE"/>
            <w:u w:val="single"/>
          </w:rPr>
          <w:t>Nm 22.1</w:t>
        </w:r>
      </w:hyperlink>
      <w:r>
        <w:t xml:space="preserve">; </w:t>
      </w:r>
      <w:hyperlink r:id="rId14390">
        <w:r>
          <w:rPr>
            <w:color w:val="0000EE"/>
            <w:u w:val="single"/>
          </w:rPr>
          <w:t>25.1</w:t>
        </w:r>
      </w:hyperlink>
      <w:r>
        <w:t>), um israelita conheceu e casou-se com uma princesa midianita (</w:t>
      </w:r>
      <w:hyperlink r:id="rId2470">
        <w:r>
          <w:rPr>
            <w:color w:val="0000EE"/>
            <w:u w:val="single"/>
          </w:rPr>
          <w:t>Nm 25.6–18</w:t>
        </w:r>
      </w:hyperlink>
      <w:r>
        <w:t xml:space="preserve">; </w:t>
      </w:r>
      <w:hyperlink r:id="rId2977">
        <w:r>
          <w:rPr>
            <w:color w:val="0000EE"/>
            <w:u w:val="single"/>
          </w:rPr>
          <w:t>31.8</w:t>
        </w:r>
      </w:hyperlink>
      <w:r>
        <w:t>). Os reis midianitas eram considerados reis fantoches do Rei Seom (</w:t>
      </w:r>
      <w:hyperlink r:id="rId8797">
        <w:r>
          <w:rPr>
            <w:color w:val="0000EE"/>
            <w:u w:val="single"/>
          </w:rPr>
          <w:t>Js 13.21</w:t>
        </w:r>
      </w:hyperlink>
      <w:r>
        <w:t>). Todos os indícios são de que clãs midianitas viviam nas proximidades, nas fronteiras de Moabe. Como Moabe está ao norte de Edom, a referência a uma vitória edomita sobre Midiã (</w:t>
      </w:r>
      <w:hyperlink r:id="rId2932">
        <w:r>
          <w:rPr>
            <w:color w:val="0000EE"/>
            <w:u w:val="single"/>
          </w:rPr>
          <w:t>Gn 36.35</w:t>
        </w:r>
      </w:hyperlink>
      <w:r>
        <w:t>) pode indicar uma incursão ao norte pelos midianitas no território edomita.</w:t>
      </w:r>
    </w:p>
    <w:p>
      <w:r/>
      <w:r>
        <w:t>A invasão midianita que Gideão repeliu tinha todas as características de uma invasão do Leste. Portanto, parece que, enquanto "a terra de Midiã" é um termo que pode se referir a um território ao sul de Edom, os midianitas estavam vivendo em uma área muito mais ampla — em terras marginais — a leste de Moabe e Edom e ao sul de Edom, no leste do Sinai e noroeste da Arábia.</w:t>
      </w:r>
      <w:r/>
      <w:r/>
    </w:p>
    <w:p>
      <w:r/>
    </w:p>
    <w:p>
      <w:pPr>
        <w:pStyle w:val="Heading2"/>
      </w:pPr>
      <w:r>
        <w:t>Migdol</w:t>
      </w:r>
      <w:r/>
    </w:p>
    <w:p>
      <w:r/>
      <w:r>
        <w:t>Uma cidade no delta oriental do Baixo Egito. Migdol aparece na história do Êxodo entre dois lugares chamados Pi-Hairote e Baal-Zefom (</w:t>
      </w:r>
      <w:hyperlink r:id="rId14391">
        <w:r>
          <w:rPr>
            <w:color w:val="0000EE"/>
            <w:u w:val="single"/>
          </w:rPr>
          <w:t>Êx 14.2</w:t>
        </w:r>
      </w:hyperlink>
      <w:r>
        <w:t xml:space="preserve">; </w:t>
      </w:r>
      <w:hyperlink r:id="rId2954">
        <w:r>
          <w:rPr>
            <w:color w:val="0000EE"/>
            <w:u w:val="single"/>
          </w:rPr>
          <w:t>Nm 33.7</w:t>
        </w:r>
      </w:hyperlink>
      <w:r>
        <w:t>). O Êxodo é a história de como os antigos israelitas deixaram o Egito, onde foram escravos por muitos anos.</w:t>
      </w:r>
    </w:p>
    <w:p>
      <w:r/>
      <w:r>
        <w:t>Os estudiosos têm opiniões diferentes sobre a localização de Migdol. Alguns acreditam que a rota do Êxodo foi para o sul, nas montanhas do Sinai, e acham que esses três locais ficavam em algum lugar perto de Suez. Outros, que pensam que o mar de Juncos era o lago Serbonítico, acreditam que este Migdol é o mesmo lugar mencionado por Jeremias. Jeremias escreveu sobre os judeus vivendo em Migdol quando foram forçados a deixar sua terra natal no sexto século a.C. (</w:t>
      </w:r>
      <w:hyperlink r:id="rId14392">
        <w:r>
          <w:rPr>
            <w:color w:val="0000EE"/>
            <w:u w:val="single"/>
          </w:rPr>
          <w:t>Jr 44.1</w:t>
        </w:r>
      </w:hyperlink>
      <w:r>
        <w:t xml:space="preserve">; </w:t>
      </w:r>
      <w:hyperlink r:id="rId14393">
        <w:r>
          <w:rPr>
            <w:color w:val="0000EE"/>
            <w:u w:val="single"/>
          </w:rPr>
          <w:t>46.14</w:t>
        </w:r>
      </w:hyperlink>
      <w:r>
        <w:t>).</w:t>
      </w:r>
    </w:p>
    <w:p>
      <w:r/>
      <w:r>
        <w:t>Este Migdol deve ser o mesmo lugar mencionado em Ezequiel, onde marca o extremo norte do Egito, oposto a Sinim no extremo sul (</w:t>
      </w:r>
      <w:hyperlink r:id="rId8615">
        <w:r>
          <w:rPr>
            <w:color w:val="0000EE"/>
            <w:u w:val="single"/>
          </w:rPr>
          <w:t>Ez 29.10</w:t>
        </w:r>
      </w:hyperlink>
      <w:r>
        <w:t xml:space="preserve">; </w:t>
      </w:r>
      <w:hyperlink r:id="rId14394">
        <w:r>
          <w:rPr>
            <w:color w:val="0000EE"/>
            <w:u w:val="single"/>
          </w:rPr>
          <w:t>30.6</w:t>
        </w:r>
      </w:hyperlink>
      <w:r>
        <w:t>). Os estudiosos não concordam se Migdol se refere a um único local ou a dois lugares distintos.</w:t>
      </w:r>
    </w:p>
    <w:p>
      <w:r/>
      <w:r>
        <w:t>Fontes fora da Bíblia também mencionam Migdol. Por exemplo, o papiro Anastasi 5.19 (um texto egípcio para treinamento de escribas) menciona Migdol junto com Sucote em uma mensagem sobre escravos fugitivos. O relevo mural de Seti I mostra Migdol como uma fortaleza entre Sillo (Sele) e outros fortes do norte do Sinai. O itinerário Antonino (um guia de estradas romano) coloca Magdolo entre Pelúsio e Sele. Esta informação sugere que Migdol era provavelmente Tell el-Heir, a 19,3 quilômetros ao norte.</w:t>
      </w:r>
      <w:r/>
      <w:r/>
    </w:p>
    <w:p>
      <w:r/>
    </w:p>
    <w:p>
      <w:pPr>
        <w:pStyle w:val="Heading2"/>
      </w:pPr>
      <w:r>
        <w:t>Milagre</w:t>
      </w:r>
      <w:r/>
    </w:p>
    <w:p>
      <w:r/>
      <w:r>
        <w:t xml:space="preserve">Um ato divino pelo qual Deus se revela às pessoas. A definição clássica de milagre assume que é contrário à lei natural, mas isto é um equívoco por duas razões. Primeiro, muitos dos milagres da Bíblia usaram a natureza em vez de contorná-la (p. ex., o vento que dividiu o Mar Vermelho, </w:t>
      </w:r>
      <w:hyperlink r:id="rId8349">
        <w:r>
          <w:rPr>
            <w:color w:val="0000EE"/>
            <w:u w:val="single"/>
          </w:rPr>
          <w:t>Êx 14.21</w:t>
        </w:r>
      </w:hyperlink>
      <w:r>
        <w:t>). Segundo, não há mais um conceito de “leis naturais absolutas”; em vez disso, um fenômeno que não é prontamente explicável pode refletir leis que os cientistas ainda não entendem completamente. Nas Escrituras, o elemento da fé é crucial; uma abordagem natural não pode provar ou refutar a presença do “milagre”. O momento e o conteúdo do processo podem ser milagrosos, mesmo que o evento possa parecer natural. O significado revelador também é importante. Em todos os casos, Deus realizou o milagre não apenas como uma “maravilha” para inspirar admiração, mas como um “sinal” para atrair as pessoas para si.</w:t>
      </w:r>
    </w:p>
    <w:p>
      <w:pPr>
        <w:pStyle w:val="Heading3"/>
      </w:pPr>
      <w:r>
        <w:t>O vocabulário dos milagres</w:t>
      </w:r>
    </w:p>
    <w:p>
      <w:r/>
      <w:r>
        <w:t xml:space="preserve">No AT, os dois termos principais são “sinal” e “maravilha”, que muitas vezes ocorrem juntos (p. ex., nove vezes apenas em Dt, </w:t>
      </w:r>
      <w:hyperlink r:id="rId14395">
        <w:r>
          <w:rPr>
            <w:color w:val="0000EE"/>
            <w:u w:val="single"/>
          </w:rPr>
          <w:t>4.34</w:t>
        </w:r>
      </w:hyperlink>
      <w:r>
        <w:t xml:space="preserve">; </w:t>
      </w:r>
      <w:hyperlink r:id="rId14396">
        <w:r>
          <w:rPr>
            <w:color w:val="0000EE"/>
            <w:u w:val="single"/>
          </w:rPr>
          <w:t>13.1</w:t>
        </w:r>
      </w:hyperlink>
      <w:r>
        <w:t>; etc). Mais de um termo hebraico é usado para “maravilhas” — um que se refere a ele como um ato de poder sobrenatural e outro como estando além da compreensão do homem. No geral, eles são usados como sinônimos para os atos providenciais de Deus dentro da história. O “sinal” se refere a um ato que ocorre como um símbolo ou garantia do controle de Deus sobre os eventos e como uma revelação da presença de Deus ao seu povo.</w:t>
      </w:r>
    </w:p>
    <w:p>
      <w:r/>
      <w:r>
        <w:t xml:space="preserve">O NT usa o mesmo idioma básico, “sinais e maravilhas”, com a mesma força geral (cf. </w:t>
      </w:r>
      <w:hyperlink r:id="rId14397">
        <w:r>
          <w:rPr>
            <w:color w:val="0000EE"/>
            <w:u w:val="single"/>
          </w:rPr>
          <w:t>Mt 24.24</w:t>
        </w:r>
      </w:hyperlink>
      <w:r>
        <w:t xml:space="preserve">; </w:t>
      </w:r>
      <w:hyperlink r:id="rId14398">
        <w:r>
          <w:rPr>
            <w:color w:val="0000EE"/>
            <w:u w:val="single"/>
          </w:rPr>
          <w:t>Mc 13.22</w:t>
        </w:r>
      </w:hyperlink>
      <w:r>
        <w:t xml:space="preserve">; </w:t>
      </w:r>
      <w:hyperlink r:id="rId14399">
        <w:r>
          <w:rPr>
            <w:color w:val="0000EE"/>
            <w:u w:val="single"/>
          </w:rPr>
          <w:t>Jo 4.48</w:t>
        </w:r>
      </w:hyperlink>
      <w:r>
        <w:t xml:space="preserve">; </w:t>
      </w:r>
      <w:hyperlink r:id="rId926">
        <w:r>
          <w:rPr>
            <w:color w:val="0000EE"/>
            <w:u w:val="single"/>
          </w:rPr>
          <w:t>At 2.43</w:t>
        </w:r>
      </w:hyperlink>
      <w:r>
        <w:t xml:space="preserve">). Um terceiro termo é aquele para “poder” ou milagre, e isso se torna o termo predominante nos Evangelhos sinópticos. Significa o próprio ato poderoso pelo qual Deus é revelado em Cristo. Um quarto termo é “obra”, que, juntamente com “sinal” é preferido no Evangelho de João. Este termo é usado em João para mostrar que em Jesus, a obra do Pai é revelada. Embora os termos sejam muitas vezes sinônimos (os primeiros três ocorrem juntos em </w:t>
      </w:r>
      <w:hyperlink r:id="rId8732">
        <w:r>
          <w:rPr>
            <w:color w:val="0000EE"/>
            <w:u w:val="single"/>
          </w:rPr>
          <w:t>Rm 15.19–20</w:t>
        </w:r>
      </w:hyperlink>
      <w:r>
        <w:t xml:space="preserve">; </w:t>
      </w:r>
      <w:hyperlink r:id="rId14400">
        <w:r>
          <w:rPr>
            <w:color w:val="0000EE"/>
            <w:u w:val="single"/>
          </w:rPr>
          <w:t>2Ts 2.9</w:t>
        </w:r>
      </w:hyperlink>
      <w:r>
        <w:t xml:space="preserve">; </w:t>
      </w:r>
      <w:hyperlink r:id="rId8449">
        <w:r>
          <w:rPr>
            <w:color w:val="0000EE"/>
            <w:u w:val="single"/>
          </w:rPr>
          <w:t>Hb 2.4</w:t>
        </w:r>
      </w:hyperlink>
      <w:r>
        <w:t>), eles designam três aspectos diferentes dos milagres. “Sinais” apontam para o significado teológico de milagre como uma revelação de Deus; “poder”, para a força por trás do ato; “obra”, para a pessoa por trás dele; e “maravilha”, para seu efeito incrível sobre o observador.</w:t>
      </w:r>
    </w:p>
    <w:p>
      <w:pPr>
        <w:pStyle w:val="Heading3"/>
      </w:pPr>
      <w:r>
        <w:t>Milagres no Antigo Testamento</w:t>
      </w:r>
    </w:p>
    <w:p>
      <w:r/>
      <w:r>
        <w:t>Para o hebreu, um milagre era nada mais nada menos do que um ato de Deus. Portanto, a própria natureza era um milagre (</w:t>
      </w:r>
      <w:hyperlink r:id="rId14401">
        <w:r>
          <w:rPr>
            <w:color w:val="0000EE"/>
            <w:u w:val="single"/>
          </w:rPr>
          <w:t>Jó 5.9–10</w:t>
        </w:r>
      </w:hyperlink>
      <w:r>
        <w:t xml:space="preserve">; </w:t>
      </w:r>
      <w:hyperlink r:id="rId9379">
        <w:r>
          <w:rPr>
            <w:color w:val="0000EE"/>
            <w:u w:val="single"/>
          </w:rPr>
          <w:t>Sl 89.6</w:t>
        </w:r>
      </w:hyperlink>
      <w:r>
        <w:t xml:space="preserve">; </w:t>
      </w:r>
      <w:hyperlink r:id="rId14402">
        <w:r>
          <w:rPr>
            <w:color w:val="0000EE"/>
            <w:u w:val="single"/>
          </w:rPr>
          <w:t>106.2</w:t>
        </w:r>
      </w:hyperlink>
      <w:r>
        <w:t>), e um ato de bondade ou vitória sobre os inimigos é descrito dessa maneira (</w:t>
      </w:r>
      <w:hyperlink r:id="rId14403">
        <w:r>
          <w:rPr>
            <w:color w:val="0000EE"/>
            <w:u w:val="single"/>
          </w:rPr>
          <w:t>Gn 24.12–27</w:t>
        </w:r>
      </w:hyperlink>
      <w:r>
        <w:t xml:space="preserve">; </w:t>
      </w:r>
      <w:hyperlink r:id="rId14404">
        <w:r>
          <w:rPr>
            <w:color w:val="0000EE"/>
            <w:u w:val="single"/>
          </w:rPr>
          <w:t>1Sm 14.23</w:t>
        </w:r>
      </w:hyperlink>
      <w:r>
        <w:t xml:space="preserve">). A ordem natural está totalmente sob o controle de Yahweh, então um milagre era observável não por causa de sua natureza sobrenatural, mas por causa de seu caráter como parte da revelação divina. Esta conexão com a história da salvação é crucial, pois Israel em todos os momentos tentou se proteger contra um desejo pelo espetacular. </w:t>
      </w:r>
      <w:hyperlink r:id="rId14405">
        <w:r>
          <w:rPr>
            <w:color w:val="0000EE"/>
            <w:u w:val="single"/>
          </w:rPr>
          <w:t>Deuteronômio 13.1–4</w:t>
        </w:r>
      </w:hyperlink>
      <w:r>
        <w:t xml:space="preserve"> adverte contra a aceitação de uma maravilha como autenticando um profeta; em vez disso, a autenticação deve vir do fato de que ele adora a Yahweh.</w:t>
      </w:r>
    </w:p>
    <w:p>
      <w:r/>
      <w:r>
        <w:t>Milagres no AT são restritos a períodos críticos da história redentora. Muitos debateram o ato da Criação como o primeiro milagre, mas na realidade não é apresentado como tal no relato de Gênesis. Um milagre é mostrado por seu significado revelador e/ou sua conexão com pontos cruciais na história do povo de Deus — o êxodo, a conquista do Jordão, a batalha contra a adoração enganosa de Baal do período profético. A criação é caracterizada por um tema principal: uma crônica dos começos. Os milagres de Gênesis — cegando os habitantes de Sodoma, o Dilúvio, Babel — todos significam a ira de Deus sobre aqueles que se voltaram contra ele. Este é o outro lado da história redentora, o julgamento de Deus sobre aqueles que não são seu povo.</w:t>
      </w:r>
    </w:p>
    <w:p>
      <w:r/>
      <w:r>
        <w:t xml:space="preserve">Os milagres do relato do êxodo têm dois focos: as pragas representam o poder absoluto de Yahweh sobre os deuses do Egito, e os milagres do deserto mostram a atenção e proteção absolutas de Deus para seu povo. As pragas são especialmente interessantes porque cada uma é dirigida a um dos deuses do Egito e revela Yahweh como o único soberano. O tema básico é encontrado em </w:t>
      </w:r>
      <w:hyperlink r:id="rId13101">
        <w:r>
          <w:rPr>
            <w:color w:val="0000EE"/>
            <w:u w:val="single"/>
          </w:rPr>
          <w:t>Êxodo 7.5</w:t>
        </w:r>
      </w:hyperlink>
      <w:r>
        <w:t xml:space="preserve"> e é repetido ao longo do relato (cf. </w:t>
      </w:r>
      <w:hyperlink r:id="rId14406">
        <w:r>
          <w:rPr>
            <w:color w:val="0000EE"/>
            <w:u w:val="single"/>
          </w:rPr>
          <w:t>7.17</w:t>
        </w:r>
      </w:hyperlink>
      <w:r>
        <w:t xml:space="preserve">; </w:t>
      </w:r>
      <w:hyperlink r:id="rId14407">
        <w:r>
          <w:rPr>
            <w:color w:val="0000EE"/>
            <w:u w:val="single"/>
          </w:rPr>
          <w:t>8.6,18</w:t>
        </w:r>
      </w:hyperlink>
      <w:r>
        <w:t xml:space="preserve">; </w:t>
      </w:r>
      <w:hyperlink r:id="rId14408">
        <w:r>
          <w:rPr>
            <w:color w:val="0000EE"/>
            <w:u w:val="single"/>
          </w:rPr>
          <w:t>9.14–16,29</w:t>
        </w:r>
      </w:hyperlink>
      <w:r>
        <w:t xml:space="preserve">; </w:t>
      </w:r>
      <w:hyperlink r:id="rId11414">
        <w:r>
          <w:rPr>
            <w:color w:val="0000EE"/>
            <w:u w:val="single"/>
          </w:rPr>
          <w:t>12.12</w:t>
        </w:r>
      </w:hyperlink>
      <w:r>
        <w:t>): “Quando eu mostrar aos egípcios meu poder e os forçar a deixar os israelitas irem, eles perceberão que eu sou o Senhor”. A este respeito, eles foram dirigidos não apenas aos egípcios, mas também aos israelitas, que precisavam saber que seu Deus os vindicaria contra os egípcios. Isso é confirmado no principal milagre, a travessia do Mar Vermelho. As próprias pragas mostram um aumento gradual na severidade.</w:t>
      </w:r>
    </w:p>
    <w:p>
      <w:r/>
      <w:r>
        <w:t>Os milagres do deserto estão intimamente conectados ao tema básico das narrativas de peregrinação, o julgamento de Israel em tempos de necessidade desesperada e a proteção providencial de Deus de seu povo quando eles se voltam para ele. A organização básica das histórias diz respeito à própria necessidade, o que leva à queixa de Israel; isso é seguido pela intercessão de Moisés e depois pela intervenção soberana de Deus. Os milagres são intercalados com outras histórias que contam da punição de Deus quando o murmúrio das pessoas o prova. O milagre é a autorrevelação de Deus em relação a seu envolvimento nas necessidades de seu próprio povo; Israel deve então responder, e sua resposta determina sua bênção ou punição nas mãos de Yahweh.</w:t>
      </w:r>
    </w:p>
    <w:p>
      <w:r/>
      <w:r>
        <w:t>Os milagres ficam visivelmente ausentes no período da monarquia unificada. Este foi um tempo de autossuficiência, quando Deus trabalhou através da monarquia e não interveio diretamente na vida da nação. A razão é que as esperanças escatológicas de Israel haviam sido realizadas e concretizadas na presença da Cidade Santa e do templo.</w:t>
      </w:r>
    </w:p>
    <w:p>
      <w:r/>
      <w:r>
        <w:t>Foi diferente durante o período profético. Nas vidas de Elias e Eliseu, milagres eram predominantes. Este foi um tempo de apostasia, e sob o reinado de Acabe e Jezabel, a nação se voltou para o paganismo e a adoração de Baal. A própria existência da religião hebraica parecia estar ameaçada, e assim os tempos exigiam medidas extraordinárias. Aqui a natureza maravilhosa dos milagres é mais evidente do que em qualquer outro lugar no AT. Há alusões conscientes aos milagres do êxodo, talvez olhando para Elias como um novo Moisés reinstituindo a verdadeira adoração de Yahweh. Paralelos são vistos no desafio aos sacerdotes de Baal (</w:t>
      </w:r>
      <w:hyperlink r:id="rId14409">
        <w:r>
          <w:rPr>
            <w:color w:val="0000EE"/>
            <w:u w:val="single"/>
          </w:rPr>
          <w:t>1Rs 18</w:t>
        </w:r>
      </w:hyperlink>
      <w:r>
        <w:t xml:space="preserve">; cf. </w:t>
      </w:r>
      <w:hyperlink r:id="rId14410">
        <w:r>
          <w:rPr>
            <w:color w:val="0000EE"/>
            <w:u w:val="single"/>
          </w:rPr>
          <w:t>Êx 7</w:t>
        </w:r>
      </w:hyperlink>
      <w:r>
        <w:t>); a revelação de Deus no Monte Horebe com o vento, terremoto e fogo (</w:t>
      </w:r>
      <w:hyperlink r:id="rId11892">
        <w:r>
          <w:rPr>
            <w:color w:val="0000EE"/>
            <w:u w:val="single"/>
          </w:rPr>
          <w:t>1Rs 19</w:t>
        </w:r>
      </w:hyperlink>
      <w:r>
        <w:t xml:space="preserve">; cf. </w:t>
      </w:r>
      <w:hyperlink r:id="rId804">
        <w:r>
          <w:rPr>
            <w:color w:val="0000EE"/>
            <w:u w:val="single"/>
          </w:rPr>
          <w:t>Êx 19</w:t>
        </w:r>
      </w:hyperlink>
      <w:r>
        <w:t>); e a separação do Jordão (</w:t>
      </w:r>
      <w:hyperlink r:id="rId14411">
        <w:r>
          <w:rPr>
            <w:color w:val="0000EE"/>
            <w:u w:val="single"/>
          </w:rPr>
          <w:t>2Rs 2:10–14</w:t>
        </w:r>
      </w:hyperlink>
      <w:r>
        <w:t xml:space="preserve">; cf. </w:t>
      </w:r>
      <w:hyperlink r:id="rId14412">
        <w:r>
          <w:rPr>
            <w:color w:val="0000EE"/>
            <w:u w:val="single"/>
          </w:rPr>
          <w:t>Êx 14</w:t>
        </w:r>
      </w:hyperlink>
      <w:r>
        <w:t>). Muitos dos milagres tinham a intenção de demonstrar a impotência de Baal, como a seca, a competição no Monte Carmelo e o sustento milagroso provido por Deus. Novamente, as ações de Deus dentro da história faziam parte de sua autorrevelação, a vindicação de seus mensageiros e a punição de seus inimigos.</w:t>
      </w:r>
    </w:p>
    <w:p>
      <w:r/>
      <w:r>
        <w:t xml:space="preserve">Milagres são raros nos escritos dos profetas, talvez devido à forma de proclamação dos escritos (isto é, eles lidaram com mensagens em vez de ações). As duas principais exceções (além da restauração de Ezequias narrada em </w:t>
      </w:r>
      <w:hyperlink r:id="rId11320">
        <w:r>
          <w:rPr>
            <w:color w:val="0000EE"/>
            <w:u w:val="single"/>
          </w:rPr>
          <w:t>Is 38</w:t>
        </w:r>
      </w:hyperlink>
      <w:r>
        <w:t>) são Jonas e Daniel. Em Jonas, o milagre é endereçado não aos ninivitas, mas aos israelitas, que são chamados de volta para suas obrigações da aliança como os porta-vozes de Yahweh. Em Daniel, a direção é invertida, e a situação é a mesma que em Êxodo ou Reis. Os milagres são dirigidos aos babilônios e persas e têm os mesmos focos dos eventos anteriores do êxodo e das crônicas de Elias-Eliseu, isto é, a supremacia de Yahweh sobre os deuses estrangeiros e a vindicação de seus mensageiros. Este é o terceiro e último tempo de crise e ilustra o principal uso teológico de milagres no AT.</w:t>
      </w:r>
    </w:p>
    <w:p>
      <w:pPr>
        <w:pStyle w:val="Heading3"/>
      </w:pPr>
      <w:r>
        <w:t>Milagres no Novo Testamento</w:t>
      </w:r>
    </w:p>
    <w:p>
      <w:r/>
      <w:r>
        <w:t>A presença do miraculoso tem um propósito semelhante no NT; ocorreu em um ponto de crise na história da salvação para autenticar a presença de Deus em atos históricos. Difere, no entanto, na medida em que é transcendido pela presença do próprio Filho de Deus, que é ele mesmo o maior milagre de todos. Deus agora não apenas agiu na história; ele entrou na história e a transformou para si mesmo. Os paralelos com os eventos do êxodo são óbvios e mostram que os milagres de Jesus pavimentaram o caminho para a entrada da nova aliança da mesma maneira que os milagres de êxodo prepararam para a antiga.</w:t>
      </w:r>
    </w:p>
    <w:p>
      <w:pPr>
        <w:pStyle w:val="Heading4"/>
      </w:pPr>
      <w:r>
        <w:t>O entendimento de Jesus</w:t>
      </w:r>
    </w:p>
    <w:p>
      <w:r/>
      <w:r>
        <w:t>Jesus enfatizou a conexão entre seu ministério de milagres, especialmente a expulsão de demônios (exorcismo) e a vinda do reino de Deus. Como no AT, os milagres significam a presença de Deus, mas aqui isto é mais direto e também sinaliza a inauguração de seu reino (</w:t>
      </w:r>
      <w:hyperlink r:id="rId11825">
        <w:r>
          <w:rPr>
            <w:color w:val="0000EE"/>
            <w:u w:val="single"/>
          </w:rPr>
          <w:t>Mt 12.28</w:t>
        </w:r>
      </w:hyperlink>
      <w:r>
        <w:t>). Como tal, então, os milagres de exorcismo significam a prisão de Satanás e a instituição do reino de Deus (</w:t>
      </w:r>
      <w:hyperlink r:id="rId14413">
        <w:r>
          <w:rPr>
            <w:color w:val="0000EE"/>
            <w:u w:val="single"/>
          </w:rPr>
          <w:t>Mc 3.23–27</w:t>
        </w:r>
      </w:hyperlink>
      <w:r>
        <w:t>). Ao mesmo tempo, todos os milagres significam o amanhecer da era da salvação, como expresso no discurso inaugural de Jesus em Nazaré (</w:t>
      </w:r>
      <w:hyperlink r:id="rId8693">
        <w:r>
          <w:rPr>
            <w:color w:val="0000EE"/>
            <w:u w:val="single"/>
          </w:rPr>
          <w:t>Lc 4.18–21</w:t>
        </w:r>
      </w:hyperlink>
      <w:r>
        <w:t xml:space="preserve">, de </w:t>
      </w:r>
      <w:hyperlink r:id="rId6412">
        <w:r>
          <w:rPr>
            <w:color w:val="0000EE"/>
            <w:u w:val="single"/>
          </w:rPr>
          <w:t>Is 61.1–2</w:t>
        </w:r>
      </w:hyperlink>
      <w:r>
        <w:t>).</w:t>
      </w:r>
    </w:p>
    <w:p>
      <w:r/>
      <w:r>
        <w:t>No entanto, esses milagres não são sinais automáticos para o agir de Deus; eles devem ser interpretados pela fé. Jesus estava bem ciente da presença de outros milagres em seus dias (</w:t>
      </w:r>
      <w:hyperlink r:id="rId14414">
        <w:r>
          <w:rPr>
            <w:color w:val="0000EE"/>
            <w:u w:val="single"/>
          </w:rPr>
          <w:t>Mt 12.27</w:t>
        </w:r>
      </w:hyperlink>
      <w:r>
        <w:t>) e assim enfatizou a presença da fé nos milagres de cura (</w:t>
      </w:r>
      <w:hyperlink r:id="rId14415">
        <w:r>
          <w:rPr>
            <w:color w:val="0000EE"/>
            <w:u w:val="single"/>
          </w:rPr>
          <w:t>Mc 5.32</w:t>
        </w:r>
      </w:hyperlink>
      <w:r>
        <w:t xml:space="preserve">; </w:t>
      </w:r>
      <w:hyperlink r:id="rId4646">
        <w:r>
          <w:rPr>
            <w:color w:val="0000EE"/>
            <w:u w:val="single"/>
          </w:rPr>
          <w:t>10.52</w:t>
        </w:r>
      </w:hyperlink>
      <w:r>
        <w:t>). Esta fé deve ser dirigida para a presença de Deus no evento e no próprio Jesus. A necessidade da fé também ajuda a entender a rejeição de Jesus de fornecer aos seus contemporâneos um “sinal” (</w:t>
      </w:r>
      <w:hyperlink r:id="rId13912">
        <w:r>
          <w:rPr>
            <w:color w:val="0000EE"/>
            <w:u w:val="single"/>
          </w:rPr>
          <w:t>Mc 8.11–12</w:t>
        </w:r>
      </w:hyperlink>
      <w:r>
        <w:t>); milagres nunca poderiam “provar” a presença de Deus. Para uma melhor compreensão da conexão entre fé e milagres, é melhor notar o retrato individual de cada evangelista do uso teológico de milagres.</w:t>
      </w:r>
    </w:p>
    <w:p>
      <w:pPr>
        <w:pStyle w:val="Heading4"/>
      </w:pPr>
      <w:r>
        <w:t>Milagres em Marcos</w:t>
      </w:r>
    </w:p>
    <w:p>
      <w:r/>
      <w:r>
        <w:t>Marcos, o primeiro dos quatro Evangelhos a ser escrito, tem sido frequentemente chamado de “Evangelho de ação” por causa de sua ênfase nos atos de Jesus, em vez de seu ensino. Isso também é verdade em relação aos milagres de Jesus, pois Marcos os contém mais proporcionalmente do que qualquer um dos outros. Há cinco grupos ou cinco tipos de milagres em Marcos. O primeiro grupo se concentra na autoridade de Jesus sobre demônios (</w:t>
      </w:r>
      <w:hyperlink r:id="rId14416">
        <w:r>
          <w:rPr>
            <w:color w:val="0000EE"/>
            <w:u w:val="single"/>
          </w:rPr>
          <w:t>Mc 1.21–39</w:t>
        </w:r>
      </w:hyperlink>
      <w:r>
        <w:t>). O segundo diz respeito à autoridade de Jesus sobre a lei e ao conflito com seus oponentes (</w:t>
      </w:r>
      <w:hyperlink r:id="rId14417">
        <w:r>
          <w:rPr>
            <w:color w:val="0000EE"/>
            <w:u w:val="single"/>
          </w:rPr>
          <w:t>1.40–3.6</w:t>
        </w:r>
      </w:hyperlink>
      <w:r>
        <w:t>). Eles resultam em fama, mas ocasionam sua rejeição em permitir que sua verdadeira identificação como Filho de Deus seja conhecida. O terceiro grupo (</w:t>
      </w:r>
      <w:hyperlink r:id="rId14418">
        <w:r>
          <w:rPr>
            <w:color w:val="0000EE"/>
            <w:u w:val="single"/>
          </w:rPr>
          <w:t>3.7–30</w:t>
        </w:r>
      </w:hyperlink>
      <w:r>
        <w:t>) contém exorcismos e a controvérsia de Belzebu, centrando-se em seu poder sobre Satanás. O quarto grupo (</w:t>
      </w:r>
      <w:hyperlink r:id="rId14419">
        <w:r>
          <w:rPr>
            <w:color w:val="0000EE"/>
            <w:u w:val="single"/>
          </w:rPr>
          <w:t>4.35–6.43</w:t>
        </w:r>
      </w:hyperlink>
      <w:r>
        <w:t>) contém milagres especialmente poderosos (o acalmar da tempestade, o endemoninhado Gadereno, a ressurreição da filha de Jairo) e provavelmente se concentra nos discípulos, à medida que Jesus lhes revela o significado do reino e procura superar sua própria fraqueza espiritual. O quinto e último grupo (</w:t>
      </w:r>
      <w:hyperlink r:id="rId14420">
        <w:r>
          <w:rPr>
            <w:color w:val="0000EE"/>
            <w:u w:val="single"/>
          </w:rPr>
          <w:t>6.30–8.26</w:t>
        </w:r>
      </w:hyperlink>
      <w:r>
        <w:t>) continua o tema da incompreensão dos discípulos e prepara o caminho para a Paixão, com a mensagem sobre o pão, cegueira e o julgamento de Deus.</w:t>
      </w:r>
    </w:p>
    <w:p>
      <w:r/>
      <w:r>
        <w:t>Os milagres em Marcos se concentram no conflito, primeiro com os adversários de Jesus e depois com seus próprios discípulos. Enquanto os milagres são anunciadores do reino de Deus, seu propósito é forçar um encontro com o verdadeiro significado de Jesus. Eles não mostram Jesus como um operador de milagres helenístico; na verdade, eles levam apenas ao espanto e depois à descrença naqueles que não têm fé. A personalidade de Jesus foi escondida e só pode ser entendida à luz da cruz. Os milagres não são provas, mas poderes; Deus não se autentica através deles, mas se mostra aos que têm olhos para ver.</w:t>
      </w:r>
    </w:p>
    <w:p>
      <w:pPr>
        <w:pStyle w:val="Heading4"/>
      </w:pPr>
      <w:r>
        <w:t>Milagres em Mateus</w:t>
      </w:r>
    </w:p>
    <w:p>
      <w:r/>
      <w:r>
        <w:t xml:space="preserve">O de Mateus é o Evangelho de ensino, onde o diálogo tem precedência sobre a ação. Mateus comprime a narrativa de Marcos a fim de abrir espaço para o material didático. Portanto, sua ênfase está nas implicações teológicas da fé, em vez de nos resultados que elas contêm. Os grupos de milagres de Mateus são isométricos em comparação às passagens de ensino, de acordo com sua prática geral de combinar porções narrativas e organizá-las em torno de seções didáticas. O primeiro grupo (caps. </w:t>
      </w:r>
      <w:hyperlink r:id="rId6403">
        <w:r>
          <w:rPr>
            <w:color w:val="0000EE"/>
            <w:u w:val="single"/>
          </w:rPr>
          <w:t>8–9</w:t>
        </w:r>
      </w:hyperlink>
      <w:r>
        <w:t xml:space="preserve">) combina milagres do primeiro, segundo e quarto grupos de Marcos e enfatiza o significado de Jesus como o servo de Yahweh que exerce poder soberano e perdoa pecados. O segundo tema ensina o discipulado e mostra a fé despertada nos discípulos e seu envolvimento no ministério de Jesus. O segundo grupo (capítulo </w:t>
      </w:r>
      <w:hyperlink r:id="rId14421">
        <w:r>
          <w:rPr>
            <w:color w:val="0000EE"/>
            <w:u w:val="single"/>
          </w:rPr>
          <w:t>12</w:t>
        </w:r>
      </w:hyperlink>
      <w:r>
        <w:t xml:space="preserve">) se concentra em sua autoridade sobre a lei (o homem com a mão paralisada) e sobre Satanás (a controvérsia de Belzebu). O terceiro grupo (capítulos </w:t>
      </w:r>
      <w:hyperlink r:id="rId14422">
        <w:r>
          <w:rPr>
            <w:color w:val="0000EE"/>
            <w:u w:val="single"/>
          </w:rPr>
          <w:t>14–15</w:t>
        </w:r>
      </w:hyperlink>
      <w:r>
        <w:t>) é paralelo ao quinto grupo de Marcos, mas tem um propósito diferente. Em vez de despertar conflito, os discípulos são vistos de forma positiva, ativamente envolvidos na obra do Mestre. Então os discípulos se tornam o meio pelo qual o ministério de Jesus é continuado. Portanto, os discípulos estão envolvidos como “aprendizes” (o significado de “discípulo”) em seu ministério milagroso.</w:t>
      </w:r>
    </w:p>
    <w:p>
      <w:pPr>
        <w:pStyle w:val="Heading4"/>
      </w:pPr>
      <w:r>
        <w:t>Milagres em Lucas</w:t>
      </w:r>
    </w:p>
    <w:p>
      <w:r/>
      <w:r>
        <w:t xml:space="preserve">Lucas-Atos é notável e extremamente importante porque estabelece, além de qualquer disputa, a crença da igreja primitiva de que estava em absoluta continuidade com Jesus e estava continuando a obra de Deus no mundo. A principal ênfase de Lucas está na história da salvação, e assim um de seus principais métodos estilísticos para mostrar esta conexão direta são os atos milagrosos. Especialmente esclarecedor aqui é </w:t>
      </w:r>
      <w:hyperlink r:id="rId14423">
        <w:r>
          <w:rPr>
            <w:color w:val="0000EE"/>
            <w:u w:val="single"/>
          </w:rPr>
          <w:t>At 9.32–42</w:t>
        </w:r>
      </w:hyperlink>
      <w:r>
        <w:t xml:space="preserve">, onde em dois milagres de cura Pedro duplicou os milagres do Senhor (o paralítico Eneias, </w:t>
      </w:r>
      <w:hyperlink r:id="rId14424">
        <w:r>
          <w:rPr>
            <w:color w:val="0000EE"/>
            <w:u w:val="single"/>
          </w:rPr>
          <w:t>Lc 5.18–26</w:t>
        </w:r>
      </w:hyperlink>
      <w:r>
        <w:t xml:space="preserve">; a ressurreição de Dorcas, </w:t>
      </w:r>
      <w:hyperlink r:id="rId14425">
        <w:r>
          <w:rPr>
            <w:color w:val="0000EE"/>
            <w:u w:val="single"/>
          </w:rPr>
          <w:t>Lc 8.49–56</w:t>
        </w:r>
      </w:hyperlink>
      <w:r>
        <w:t>).</w:t>
      </w:r>
    </w:p>
    <w:p>
      <w:r/>
      <w:r>
        <w:t>A partir deste aspecto, Lucas também retorna ao interesse de Marcos na ação mais do que o ensino. No entanto, Lucas vai ainda mais longe do que Marcos, pois os milagres validam Jesus mais diretamente. O primeiro grupo segue o discurso inaugural (</w:t>
      </w:r>
      <w:hyperlink r:id="rId14426">
        <w:r>
          <w:rPr>
            <w:color w:val="0000EE"/>
            <w:u w:val="single"/>
          </w:rPr>
          <w:t>4.18–22</w:t>
        </w:r>
      </w:hyperlink>
      <w:r>
        <w:t xml:space="preserve">), que em si apresenta os atos milagrosos como sinais de autenticação para a personalidade de Jesus. Eles se concentram no poder e autoridade de Jesus (vv. </w:t>
      </w:r>
      <w:hyperlink r:id="rId14427">
        <w:r>
          <w:rPr>
            <w:color w:val="0000EE"/>
            <w:u w:val="single"/>
          </w:rPr>
          <w:t>31–41</w:t>
        </w:r>
      </w:hyperlink>
      <w:r>
        <w:t>) e validam o poder de Deus em Jesus (</w:t>
      </w:r>
      <w:hyperlink r:id="rId7499">
        <w:r>
          <w:rPr>
            <w:color w:val="0000EE"/>
            <w:u w:val="single"/>
          </w:rPr>
          <w:t>5.17</w:t>
        </w:r>
      </w:hyperlink>
      <w:r>
        <w:t xml:space="preserve">; </w:t>
      </w:r>
      <w:hyperlink r:id="rId14428">
        <w:r>
          <w:rPr>
            <w:color w:val="0000EE"/>
            <w:u w:val="single"/>
          </w:rPr>
          <w:t>8.39</w:t>
        </w:r>
      </w:hyperlink>
      <w:r>
        <w:t xml:space="preserve">), bem como a fé em Jesus (vista no motivo de “louvor”, </w:t>
      </w:r>
      <w:hyperlink r:id="rId14429">
        <w:r>
          <w:rPr>
            <w:color w:val="0000EE"/>
            <w:u w:val="single"/>
          </w:rPr>
          <w:t>5.25</w:t>
        </w:r>
      </w:hyperlink>
      <w:r>
        <w:t xml:space="preserve">; </w:t>
      </w:r>
      <w:hyperlink r:id="rId6125">
        <w:r>
          <w:rPr>
            <w:color w:val="0000EE"/>
            <w:u w:val="single"/>
          </w:rPr>
          <w:t>7.16</w:t>
        </w:r>
      </w:hyperlink>
      <w:r>
        <w:t xml:space="preserve">; etc., mas especialmente em </w:t>
      </w:r>
      <w:hyperlink r:id="rId5483">
        <w:r>
          <w:rPr>
            <w:color w:val="0000EE"/>
            <w:u w:val="single"/>
          </w:rPr>
          <w:t>At 9:35</w:t>
        </w:r>
      </w:hyperlink>
      <w:r>
        <w:t xml:space="preserve">; </w:t>
      </w:r>
      <w:hyperlink r:id="rId14430">
        <w:r>
          <w:rPr>
            <w:color w:val="0000EE"/>
            <w:u w:val="single"/>
          </w:rPr>
          <w:t>13.12</w:t>
        </w:r>
      </w:hyperlink>
      <w:r>
        <w:t xml:space="preserve">; </w:t>
      </w:r>
      <w:hyperlink r:id="rId14431">
        <w:r>
          <w:rPr>
            <w:color w:val="0000EE"/>
            <w:u w:val="single"/>
          </w:rPr>
          <w:t>19.17</w:t>
        </w:r>
      </w:hyperlink>
      <w:r>
        <w:t>). A presença de “temor” nos milagres é uma resposta humana por ter testemunhado o poder de Deus (</w:t>
      </w:r>
      <w:hyperlink r:id="rId14432">
        <w:r>
          <w:rPr>
            <w:color w:val="0000EE"/>
            <w:u w:val="single"/>
          </w:rPr>
          <w:t>Lc 5.26</w:t>
        </w:r>
      </w:hyperlink>
      <w:r>
        <w:t xml:space="preserve">; </w:t>
      </w:r>
      <w:hyperlink r:id="rId6125">
        <w:r>
          <w:rPr>
            <w:color w:val="0000EE"/>
            <w:u w:val="single"/>
          </w:rPr>
          <w:t>7.16</w:t>
        </w:r>
      </w:hyperlink>
      <w:r>
        <w:t xml:space="preserve">; </w:t>
      </w:r>
      <w:hyperlink r:id="rId14433">
        <w:r>
          <w:rPr>
            <w:color w:val="0000EE"/>
            <w:u w:val="single"/>
          </w:rPr>
          <w:t>8.35–37</w:t>
        </w:r>
      </w:hyperlink>
      <w:r>
        <w:t xml:space="preserve">; </w:t>
      </w:r>
      <w:hyperlink r:id="rId14434">
        <w:r>
          <w:rPr>
            <w:color w:val="0000EE"/>
            <w:u w:val="single"/>
          </w:rPr>
          <w:t>24.5</w:t>
        </w:r>
      </w:hyperlink>
      <w:r>
        <w:t>). O chamado para os discípulos ocorre na presença de milagres (</w:t>
      </w:r>
      <w:hyperlink r:id="rId11716">
        <w:r>
          <w:rPr>
            <w:color w:val="0000EE"/>
            <w:u w:val="single"/>
          </w:rPr>
          <w:t>5.1–11</w:t>
        </w:r>
      </w:hyperlink>
      <w:r>
        <w:t xml:space="preserve">, na pesca milagrosa; vv. </w:t>
      </w:r>
      <w:hyperlink r:id="rId11718">
        <w:r>
          <w:rPr>
            <w:color w:val="0000EE"/>
            <w:u w:val="single"/>
          </w:rPr>
          <w:t>27–28</w:t>
        </w:r>
      </w:hyperlink>
      <w:r>
        <w:t>, após a cura do paralítico acamado).</w:t>
      </w:r>
    </w:p>
    <w:p>
      <w:r/>
      <w:r>
        <w:t>Portanto, Lucas vê os milagres como tendo significado redentor. No entanto, isso não é contrário à imagem de Marcos. Lucas ainda evita imaginar Jesus como um mero operador de maravilhas; Jesus ainda se nega a satisfazer a curiosidade das pessoas por um sinal externo (</w:t>
      </w:r>
      <w:hyperlink r:id="rId14435">
        <w:r>
          <w:rPr>
            <w:color w:val="0000EE"/>
            <w:u w:val="single"/>
          </w:rPr>
          <w:t>Lc 11.29–32</w:t>
        </w:r>
      </w:hyperlink>
      <w:r>
        <w:t xml:space="preserve">; cf. também </w:t>
      </w:r>
      <w:hyperlink r:id="rId14436">
        <w:r>
          <w:rPr>
            <w:color w:val="0000EE"/>
            <w:u w:val="single"/>
          </w:rPr>
          <w:t>9.9</w:t>
        </w:r>
      </w:hyperlink>
      <w:r>
        <w:t>), e na parábola do homem rico e Lázaro (</w:t>
      </w:r>
      <w:hyperlink r:id="rId8493">
        <w:r>
          <w:rPr>
            <w:color w:val="0000EE"/>
            <w:u w:val="single"/>
          </w:rPr>
          <w:t>16.19–31</w:t>
        </w:r>
      </w:hyperlink>
      <w:r>
        <w:t>), ele ensina que o coração incrédulo nunca pode ser convencido por tais eventos. No entanto, eles podem levar ao arrependimento (</w:t>
      </w:r>
      <w:hyperlink r:id="rId14437">
        <w:r>
          <w:rPr>
            <w:color w:val="0000EE"/>
            <w:u w:val="single"/>
          </w:rPr>
          <w:t>10.13–16</w:t>
        </w:r>
      </w:hyperlink>
      <w:r>
        <w:t>).</w:t>
      </w:r>
    </w:p>
    <w:p>
      <w:pPr>
        <w:pStyle w:val="Heading4"/>
      </w:pPr>
      <w:r>
        <w:t>Milagres em João</w:t>
      </w:r>
    </w:p>
    <w:p>
      <w:r/>
      <w:r>
        <w:t>João é o mais diretamente teológico dos evangelistas, e milagres são caracteristicamente dados uma vividez joanina distinta. Nos Sinópticos, milagres são “atos de poder” que significam a entrada do reino de Deus neste mundo através de Jesus; assim, Jesus estabelece a derrota de Satanás e o controle soberano de Deus da história. João, no entanto, não contém exorcismos, e os milagres são vistos como “sinais”. Ao mesmo tempo, milagres fazem parte da categoria maior de “obras” (o outro termo para milagres usado em João), pelas quais Jesus mostra a presença do Pai em si mesmo (</w:t>
      </w:r>
      <w:hyperlink r:id="rId14438">
        <w:r>
          <w:rPr>
            <w:color w:val="0000EE"/>
            <w:u w:val="single"/>
          </w:rPr>
          <w:t>Jo 10.32,37–39</w:t>
        </w:r>
      </w:hyperlink>
      <w:r>
        <w:t xml:space="preserve">; </w:t>
      </w:r>
      <w:hyperlink r:id="rId10810">
        <w:r>
          <w:rPr>
            <w:color w:val="0000EE"/>
            <w:u w:val="single"/>
          </w:rPr>
          <w:t>14.10</w:t>
        </w:r>
      </w:hyperlink>
      <w:r>
        <w:t>) e eles dão testemunho de Jesus como o enviado (</w:t>
      </w:r>
      <w:hyperlink r:id="rId14439">
        <w:r>
          <w:rPr>
            <w:color w:val="0000EE"/>
            <w:u w:val="single"/>
          </w:rPr>
          <w:t>5.36</w:t>
        </w:r>
      </w:hyperlink>
      <w:r>
        <w:t xml:space="preserve">; </w:t>
      </w:r>
      <w:hyperlink r:id="rId14440">
        <w:r>
          <w:rPr>
            <w:color w:val="0000EE"/>
            <w:u w:val="single"/>
          </w:rPr>
          <w:t>10.25,38</w:t>
        </w:r>
      </w:hyperlink>
      <w:r>
        <w:t>).</w:t>
      </w:r>
    </w:p>
    <w:p>
      <w:r/>
      <w:r>
        <w:t>João seleciona apenas sete “sinais miraculosos” de muitos outros (</w:t>
      </w:r>
      <w:hyperlink r:id="rId14441">
        <w:r>
          <w:rPr>
            <w:color w:val="0000EE"/>
            <w:u w:val="single"/>
          </w:rPr>
          <w:t>20.30</w:t>
        </w:r>
      </w:hyperlink>
      <w:r>
        <w:t xml:space="preserve">) e os utiliza como parte do desenvolvimento temático na respectiva seção de cada. Por exemplo, transformar a água em vinho é um ato messiânico, significando o derramamento da bênção do reino no ministério de Jesus, o Messias (cap. </w:t>
      </w:r>
      <w:hyperlink r:id="rId14442">
        <w:r>
          <w:rPr>
            <w:color w:val="0000EE"/>
            <w:u w:val="single"/>
          </w:rPr>
          <w:t>2</w:t>
        </w:r>
      </w:hyperlink>
      <w:r>
        <w:t xml:space="preserve">); a multiplicação dos pães baseia-se no “pão da vida” e aponta para o banquete messiânico como espiritualmente presente em Jesus (cap. </w:t>
      </w:r>
      <w:hyperlink r:id="rId4659">
        <w:r>
          <w:rPr>
            <w:color w:val="0000EE"/>
            <w:u w:val="single"/>
          </w:rPr>
          <w:t>6</w:t>
        </w:r>
      </w:hyperlink>
      <w:r>
        <w:t>).</w:t>
      </w:r>
    </w:p>
    <w:p>
      <w:r/>
      <w:r>
        <w:t>A natureza paradoxal dos milagres nos Sinópticos é ainda maior em João. Ele dá mais ênfase à natureza maravilhosa dos eventos, fornecendo detalhes como a impressionante quantidade de água transformada em vinho (</w:t>
      </w:r>
      <w:hyperlink r:id="rId14443">
        <w:r>
          <w:rPr>
            <w:color w:val="0000EE"/>
            <w:u w:val="single"/>
          </w:rPr>
          <w:t>2.6</w:t>
        </w:r>
      </w:hyperlink>
      <w:r>
        <w:t>, aproximadamente 454,2 litros); a distância sobre a qual o poder de cura de Jesus opera (</w:t>
      </w:r>
      <w:hyperlink r:id="rId14444">
        <w:r>
          <w:rPr>
            <w:color w:val="0000EE"/>
            <w:u w:val="single"/>
          </w:rPr>
          <w:t>4.46</w:t>
        </w:r>
      </w:hyperlink>
      <w:r>
        <w:t>, quase 32,2 quilômetros); a duração do tempo em que o homem de Betesda havia sido aleijado (</w:t>
      </w:r>
      <w:hyperlink r:id="rId14445">
        <w:r>
          <w:rPr>
            <w:color w:val="0000EE"/>
            <w:u w:val="single"/>
          </w:rPr>
          <w:t>5.5</w:t>
        </w:r>
      </w:hyperlink>
      <w:r>
        <w:t xml:space="preserve">, 38 anos; cf. </w:t>
      </w:r>
      <w:hyperlink r:id="rId14446">
        <w:r>
          <w:rPr>
            <w:color w:val="0000EE"/>
            <w:u w:val="single"/>
          </w:rPr>
          <w:t>9.1</w:t>
        </w:r>
      </w:hyperlink>
      <w:r>
        <w:t>, onde o homem havia nascido cego); a quantidade de pão necessária para alimentar os 5.000 (</w:t>
      </w:r>
      <w:hyperlink r:id="rId14447">
        <w:r>
          <w:rPr>
            <w:color w:val="0000EE"/>
            <w:u w:val="single"/>
          </w:rPr>
          <w:t>6.7</w:t>
        </w:r>
      </w:hyperlink>
      <w:r>
        <w:t>, onde Filipe disse que 200 denários, ou salários diários, não teriam comprado o suficiente); e a prova da morte de Lázaro (</w:t>
      </w:r>
      <w:hyperlink r:id="rId14448">
        <w:r>
          <w:rPr>
            <w:color w:val="0000EE"/>
            <w:u w:val="single"/>
          </w:rPr>
          <w:t>11.39</w:t>
        </w:r>
      </w:hyperlink>
      <w:r>
        <w:t>; ele já havia começado a apodrecer). João tem um grande interesse no miraculoso. No entanto, ao mesmo tempo, há ainda maior ênfase na insuficiência dos milagres para a fé. Os milagres como “sinais” têm valor salvador e apontam para o verdadeiro significado de Jesus, mas estão relacionados com uma fé sendo despertada e em si são insuficientes (</w:t>
      </w:r>
      <w:hyperlink r:id="rId11708">
        <w:r>
          <w:rPr>
            <w:color w:val="0000EE"/>
            <w:u w:val="single"/>
          </w:rPr>
          <w:t>2.11</w:t>
        </w:r>
      </w:hyperlink>
      <w:r>
        <w:t xml:space="preserve">; </w:t>
      </w:r>
      <w:hyperlink r:id="rId14449">
        <w:r>
          <w:rPr>
            <w:color w:val="0000EE"/>
            <w:u w:val="single"/>
          </w:rPr>
          <w:t>4.50</w:t>
        </w:r>
      </w:hyperlink>
      <w:r>
        <w:t>). Eles têm força cristológica, olhando para a filiação de Jesus e a autenticação do Pai dele, mas são baseados na decisão soteriológica do indivíduo. Como “sinais”, eles contêm a própria presença de Deus em Jesus, a realidade espiritual da “visão” e “vida” que ele traz (</w:t>
      </w:r>
      <w:hyperlink r:id="rId14450">
        <w:r>
          <w:rPr>
            <w:color w:val="0000EE"/>
            <w:u w:val="single"/>
          </w:rPr>
          <w:t>9.35–38</w:t>
        </w:r>
      </w:hyperlink>
      <w:r>
        <w:t xml:space="preserve">; </w:t>
      </w:r>
      <w:hyperlink r:id="rId14451">
        <w:r>
          <w:rPr>
            <w:color w:val="0000EE"/>
            <w:u w:val="single"/>
          </w:rPr>
          <w:t>11.24–26</w:t>
        </w:r>
      </w:hyperlink>
      <w:r>
        <w:t>). No entanto, seu propósito é dividir o público e confrontá-lo com a necessidade de decisão. Resultam em dois grupos — aqueles que buscam compreensão e aqueles que consideram apenas os aspectos externos. Alguns se negam a considerar os sinais, e assim os rejeitam (</w:t>
      </w:r>
      <w:hyperlink r:id="rId14452">
        <w:r>
          <w:rPr>
            <w:color w:val="0000EE"/>
            <w:u w:val="single"/>
          </w:rPr>
          <w:t>3.18–21</w:t>
        </w:r>
      </w:hyperlink>
      <w:r>
        <w:t xml:space="preserve">; </w:t>
      </w:r>
      <w:hyperlink r:id="rId14453">
        <w:r>
          <w:rPr>
            <w:color w:val="0000EE"/>
            <w:u w:val="single"/>
          </w:rPr>
          <w:t>11.47–50</w:t>
        </w:r>
      </w:hyperlink>
      <w:r>
        <w:t>), enquanto outros os veem superficialmente como meras maravilhas e falham em ver neles o verdadeiro significado de Jesus (</w:t>
      </w:r>
      <w:hyperlink r:id="rId14454">
        <w:r>
          <w:rPr>
            <w:color w:val="0000EE"/>
            <w:u w:val="single"/>
          </w:rPr>
          <w:t>2:23–25</w:t>
        </w:r>
      </w:hyperlink>
      <w:r>
        <w:t xml:space="preserve">; </w:t>
      </w:r>
      <w:hyperlink r:id="rId9294">
        <w:r>
          <w:rPr>
            <w:color w:val="0000EE"/>
            <w:u w:val="single"/>
          </w:rPr>
          <w:t>4:45</w:t>
        </w:r>
      </w:hyperlink>
      <w:r>
        <w:t>). Por outro lado, alguns os vêem com os olhos da fé e passam a uma compreensão de sua personalidade (</w:t>
      </w:r>
      <w:hyperlink r:id="rId11708">
        <w:r>
          <w:rPr>
            <w:color w:val="0000EE"/>
            <w:u w:val="single"/>
          </w:rPr>
          <w:t>2.11</w:t>
        </w:r>
      </w:hyperlink>
      <w:r>
        <w:t xml:space="preserve">; </w:t>
      </w:r>
      <w:hyperlink r:id="rId14455">
        <w:r>
          <w:rPr>
            <w:color w:val="0000EE"/>
            <w:u w:val="single"/>
          </w:rPr>
          <w:t>5.36–46</w:t>
        </w:r>
      </w:hyperlink>
      <w:r>
        <w:t xml:space="preserve">; </w:t>
      </w:r>
      <w:hyperlink r:id="rId14456">
        <w:r>
          <w:rPr>
            <w:color w:val="0000EE"/>
            <w:u w:val="single"/>
          </w:rPr>
          <w:t>11.42</w:t>
        </w:r>
      </w:hyperlink>
      <w:r>
        <w:t>). Em João, a fé mais elevada de todas é aquela que não precisa de estímulo externo (</w:t>
      </w:r>
      <w:hyperlink r:id="rId2664">
        <w:r>
          <w:rPr>
            <w:color w:val="0000EE"/>
            <w:u w:val="single"/>
          </w:rPr>
          <w:t>20.29</w:t>
        </w:r>
      </w:hyperlink>
      <w:r>
        <w:t>).</w:t>
      </w:r>
    </w:p>
    <w:p>
      <w:pPr>
        <w:pStyle w:val="Heading4"/>
      </w:pPr>
      <w:r>
        <w:t>Milagres no Resto do Novo Testamento</w:t>
      </w:r>
    </w:p>
    <w:p>
      <w:r/>
      <w:r>
        <w:t xml:space="preserve">Além de Atos, várias passagens no NT falam do valor dos milagres. Paulo em </w:t>
      </w:r>
      <w:hyperlink r:id="rId14457">
        <w:r>
          <w:rPr>
            <w:color w:val="0000EE"/>
            <w:u w:val="single"/>
          </w:rPr>
          <w:t>2 Coríntios 12.12</w:t>
        </w:r>
      </w:hyperlink>
      <w:r>
        <w:t xml:space="preserve"> e </w:t>
      </w:r>
      <w:hyperlink r:id="rId8763">
        <w:r>
          <w:rPr>
            <w:color w:val="0000EE"/>
            <w:u w:val="single"/>
          </w:rPr>
          <w:t>Romanos 15.18–19</w:t>
        </w:r>
      </w:hyperlink>
      <w:r>
        <w:t xml:space="preserve"> os considerava como “sinais - dons”, que autenticavam a autoridade divina do “verdadeiro apóstolo”. Ele listou cura e milagres como “dons do Espírito” específicos em </w:t>
      </w:r>
      <w:hyperlink r:id="rId14458">
        <w:r>
          <w:rPr>
            <w:color w:val="0000EE"/>
            <w:u w:val="single"/>
          </w:rPr>
          <w:t>1 Coríntios 12.9–10</w:t>
        </w:r>
      </w:hyperlink>
      <w:r>
        <w:t xml:space="preserve">. Em </w:t>
      </w:r>
      <w:hyperlink r:id="rId8448">
        <w:r>
          <w:rPr>
            <w:color w:val="0000EE"/>
            <w:u w:val="single"/>
          </w:rPr>
          <w:t>Gálatas 3.5</w:t>
        </w:r>
      </w:hyperlink>
      <w:r>
        <w:t xml:space="preserve">, ele os considerou evidência da presença do Espírito. O autor da carta aos Hebreus em </w:t>
      </w:r>
      <w:hyperlink r:id="rId8449">
        <w:r>
          <w:rPr>
            <w:color w:val="0000EE"/>
            <w:u w:val="single"/>
          </w:rPr>
          <w:t>2.4</w:t>
        </w:r>
      </w:hyperlink>
      <w:r>
        <w:t xml:space="preserve"> disse “Deus deu testemunho” da verdadeira mensagem de salvação através de milagres. Portanto, na era apostólica, os milagres dos servos de Deus eram vistos mais diretamente como sinais de autenticação da ação de Deus em seus mensageiros.</w:t>
      </w:r>
    </w:p>
    <w:p>
      <w:r/>
      <w:r>
        <w:rPr>
          <w:i/>
        </w:rPr>
        <w:t>Veja também</w:t>
      </w:r>
      <w:r>
        <w:t xml:space="preserve"> </w:t>
      </w:r>
      <w:r>
        <w:t>Sinal</w:t>
      </w:r>
      <w:r>
        <w:t>; Dons Espirituais</w:t>
      </w:r>
      <w:r>
        <w:t>.</w:t>
      </w:r>
      <w:r/>
      <w:r/>
    </w:p>
    <w:p>
      <w:r/>
    </w:p>
    <w:p>
      <w:pPr>
        <w:pStyle w:val="Heading2"/>
      </w:pPr>
      <w:r>
        <w:t>Milca</w:t>
      </w:r>
      <w:r/>
    </w:p>
    <w:p>
      <w:r/>
      <w:r>
        <w:t>1. Filha de Harã e meia-irmã de Naor, que se tornou esposa de Naor (</w:t>
      </w:r>
      <w:hyperlink r:id="rId9820">
        <w:r>
          <w:rPr>
            <w:color w:val="0000EE"/>
            <w:u w:val="single"/>
          </w:rPr>
          <w:t>Gn 11.29</w:t>
        </w:r>
      </w:hyperlink>
      <w:r>
        <w:t>). Ela deu a Naor oito filhos (</w:t>
      </w:r>
      <w:hyperlink r:id="rId14459">
        <w:r>
          <w:rPr>
            <w:color w:val="0000EE"/>
            <w:u w:val="single"/>
          </w:rPr>
          <w:t>22.20–23</w:t>
        </w:r>
      </w:hyperlink>
      <w:r>
        <w:t>). Através de seu filho Betuel, ela foi avó de Rebeca (</w:t>
      </w:r>
      <w:hyperlink r:id="rId14460">
        <w:r>
          <w:rPr>
            <w:color w:val="0000EE"/>
            <w:u w:val="single"/>
          </w:rPr>
          <w:t>24.15–47</w:t>
        </w:r>
      </w:hyperlink>
      <w:r>
        <w:t>).</w:t>
      </w:r>
    </w:p>
    <w:p>
      <w:r/>
      <w:r>
        <w:t>2. Uma das cinco filhas de Zelofeade. Como Zelofeade não tinha filhos, suas filhas pediram a Moisés que lhes permitisse receber a herança de seu pai em Manassés ocidental após a morte dele (</w:t>
      </w:r>
      <w:hyperlink r:id="rId10684">
        <w:r>
          <w:rPr>
            <w:color w:val="0000EE"/>
            <w:u w:val="single"/>
          </w:rPr>
          <w:t>Nm 26.33</w:t>
        </w:r>
      </w:hyperlink>
      <w:r>
        <w:t xml:space="preserve">; </w:t>
      </w:r>
      <w:hyperlink r:id="rId9883">
        <w:r>
          <w:rPr>
            <w:color w:val="0000EE"/>
            <w:u w:val="single"/>
          </w:rPr>
          <w:t>27.1–11</w:t>
        </w:r>
      </w:hyperlink>
      <w:r>
        <w:t xml:space="preserve">; </w:t>
      </w:r>
      <w:hyperlink r:id="rId14461">
        <w:r>
          <w:rPr>
            <w:color w:val="0000EE"/>
            <w:u w:val="single"/>
          </w:rPr>
          <w:t>36.5–13</w:t>
        </w:r>
      </w:hyperlink>
      <w:r>
        <w:t xml:space="preserve">; </w:t>
      </w:r>
      <w:hyperlink r:id="rId14462">
        <w:r>
          <w:rPr>
            <w:color w:val="0000EE"/>
            <w:u w:val="single"/>
          </w:rPr>
          <w:t>Js 17.3–4</w:t>
        </w:r>
      </w:hyperlink>
      <w:r>
        <w:t>).</w:t>
      </w:r>
      <w:r/>
      <w:r/>
    </w:p>
    <w:p>
      <w:r/>
    </w:p>
    <w:p>
      <w:pPr>
        <w:pStyle w:val="Heading2"/>
      </w:pPr>
      <w:r>
        <w:t>Milcom</w:t>
      </w:r>
      <w:r/>
    </w:p>
    <w:p>
      <w:r/>
      <w:r>
        <w:t>O deus nacional dos amonitas. Ele é mais conhecido como Moleque ou Moloque, como aparece em algumas traduções da Bíblia. A adoração a esse falso deus incluía a terrível prática de sacrificar crianças no fogo. Este tipo de adoração era estritamente proibido aos israelitas (</w:t>
      </w:r>
      <w:hyperlink r:id="rId14463">
        <w:r>
          <w:rPr>
            <w:color w:val="0000EE"/>
            <w:u w:val="single"/>
          </w:rPr>
          <w:t>Lv 18.21</w:t>
        </w:r>
      </w:hyperlink>
      <w:r>
        <w:t xml:space="preserve">; </w:t>
      </w:r>
      <w:hyperlink r:id="rId9793">
        <w:r>
          <w:rPr>
            <w:color w:val="0000EE"/>
            <w:u w:val="single"/>
          </w:rPr>
          <w:t>Jr 32.35</w:t>
        </w:r>
      </w:hyperlink>
      <w:r>
        <w:t>).</w:t>
      </w:r>
    </w:p>
    <w:p>
      <w:r/>
      <w:r>
        <w:t>O rei Salomão construiu um local para adorar Moloque (</w:t>
      </w:r>
      <w:hyperlink r:id="rId6935">
        <w:r>
          <w:rPr>
            <w:color w:val="0000EE"/>
            <w:u w:val="single"/>
          </w:rPr>
          <w:t>1Rs 11.5,33</w:t>
        </w:r>
      </w:hyperlink>
      <w:r>
        <w:t>). Mais tarde, o rei Josias destruiu esse local (</w:t>
      </w:r>
      <w:hyperlink r:id="rId6911">
        <w:r>
          <w:rPr>
            <w:color w:val="0000EE"/>
            <w:u w:val="single"/>
          </w:rPr>
          <w:t>2Rs 23.13</w:t>
        </w:r>
      </w:hyperlink>
      <w:r>
        <w:t xml:space="preserve">). Moloque é traduzido como "rei" em </w:t>
      </w:r>
      <w:hyperlink r:id="rId1140">
        <w:r>
          <w:rPr>
            <w:color w:val="0000EE"/>
            <w:u w:val="single"/>
          </w:rPr>
          <w:t>2 Samuel 12.30</w:t>
        </w:r>
      </w:hyperlink>
      <w:r>
        <w:t xml:space="preserve"> e </w:t>
      </w:r>
      <w:hyperlink r:id="rId1138">
        <w:r>
          <w:rPr>
            <w:color w:val="0000EE"/>
            <w:u w:val="single"/>
          </w:rPr>
          <w:t>1 Crônicas 20.2</w:t>
        </w:r>
      </w:hyperlink>
      <w:r>
        <w:t>.</w:t>
      </w:r>
    </w:p>
    <w:p>
      <w:r/>
      <w:r>
        <w:rPr>
          <w:i/>
        </w:rPr>
        <w:t>Veja também</w:t>
      </w:r>
      <w:r>
        <w:t xml:space="preserve"> </w:t>
      </w:r>
      <w:r>
        <w:t>Amom, Amonitas</w:t>
      </w:r>
      <w:r>
        <w:t>.</w:t>
      </w:r>
      <w:r/>
      <w:r/>
    </w:p>
    <w:p>
      <w:r/>
    </w:p>
    <w:p>
      <w:pPr>
        <w:pStyle w:val="Heading2"/>
      </w:pPr>
      <w:r>
        <w:t>Milênio</w:t>
      </w:r>
      <w:r/>
    </w:p>
    <w:p>
      <w:r/>
      <w:r>
        <w:t>Um termo bíblico que significa "mil anos". Origina-se de uma antiga palavra latina. Na Bíblia, o milênio refere-se a um período em que Cristo reinará por 1.000 anos.</w:t>
      </w:r>
    </w:p>
    <w:p>
      <w:r/>
      <w:r>
        <w:t xml:space="preserve">O principal ensinamento sobre o milênio aparece em </w:t>
      </w:r>
      <w:hyperlink r:id="rId2146">
        <w:r>
          <w:rPr>
            <w:color w:val="0000EE"/>
            <w:u w:val="single"/>
          </w:rPr>
          <w:t xml:space="preserve">Apocalipse 20.1–6. </w:t>
        </w:r>
      </w:hyperlink>
      <w:r>
        <w:t xml:space="preserve">Nesta passagem, a palavra grega para mil é usada cinco vezes. A ideia de um reinado de mil anos também pode ser apoiada por passagens como </w:t>
      </w:r>
      <w:hyperlink r:id="rId14464">
        <w:r>
          <w:rPr>
            <w:color w:val="0000EE"/>
            <w:u w:val="single"/>
          </w:rPr>
          <w:t>Atos 3.19–21</w:t>
        </w:r>
      </w:hyperlink>
      <w:r>
        <w:t xml:space="preserve"> e </w:t>
      </w:r>
      <w:hyperlink r:id="rId14465">
        <w:r>
          <w:rPr>
            <w:color w:val="0000EE"/>
            <w:u w:val="single"/>
          </w:rPr>
          <w:t>1 Coríntios 15.23–26.</w:t>
        </w:r>
      </w:hyperlink>
      <w:r>
        <w:t xml:space="preserve"> Essas passagens falam de um tempo futuro quando Cristo governará e restaurará todas as coisas. Esta doutrina é ensinada diretamente apenas no livro de Apocalipse. As pessoas têm ideias diferentes sobre o que isso significa e quão importante é. Existem três principais interpretações: amilenista, pós-milenista e pré-milenista.</w:t>
      </w:r>
    </w:p>
    <w:p>
      <w:pPr>
        <w:pStyle w:val="Heading3"/>
      </w:pPr>
      <w:r>
        <w:t>Amilenista</w:t>
      </w:r>
    </w:p>
    <w:p>
      <w:r/>
      <w:r>
        <w:t>A primeira maneira de entender o milênio é a visão amilenista. O prefixo 'a-' significa 'não', então amilenista significa que não há um período literal de mil anos em que Cristo reinará na terra. Em vez disso, essa visão considera o milênio como simbólico. As pessoas que defendem essa visão acreditam:</w:t>
      </w:r>
    </w:p>
    <w:p>
      <w:pPr>
        <w:pStyle w:val="ListBullet"/>
        <w:spacing w:line="240" w:lineRule="auto"/>
        <w:ind w:left="720"/>
      </w:pPr>
      <w:r/>
      <w:r>
        <w:t>O milênio está ocorrendo agora, no nosso tempo presente</w:t>
      </w:r>
    </w:p>
    <w:p>
      <w:pPr>
        <w:pStyle w:val="ListBullet"/>
        <w:spacing w:line="240" w:lineRule="auto"/>
        <w:ind w:left="720"/>
      </w:pPr>
      <w:r/>
      <w:r>
        <w:t>O poder de Satanás já é limitado (é isso que 'amarrado' significa em Apocalipse)</w:t>
      </w:r>
    </w:p>
    <w:p>
      <w:pPr>
        <w:pStyle w:val="ListBullet"/>
        <w:spacing w:line="240" w:lineRule="auto"/>
        <w:ind w:left="720"/>
      </w:pPr>
      <w:r/>
      <w:r>
        <w:t>A igreja está experimentando o milênio agora de forma espiritual</w:t>
      </w:r>
    </w:p>
    <w:p>
      <w:r/>
      <w:r>
        <w:t xml:space="preserve">No entanto, há alguns problemas com essa visão. Um problema principal é como ela explica as duas ressurreições mencionadas em </w:t>
      </w:r>
      <w:hyperlink r:id="rId8143">
        <w:r>
          <w:rPr>
            <w:color w:val="0000EE"/>
            <w:u w:val="single"/>
          </w:rPr>
          <w:t>Apocalipse 20</w:t>
        </w:r>
      </w:hyperlink>
      <w:r>
        <w:t>. A mesma palavra grega é usada para "ressurreição" duas vezes:</w:t>
      </w:r>
    </w:p>
    <w:p>
      <w:pPr>
        <w:pStyle w:val="ListBullet"/>
        <w:spacing w:line="240" w:lineRule="auto"/>
        <w:ind w:left="720"/>
      </w:pPr>
      <w:r/>
      <w:r>
        <w:t xml:space="preserve">O primeiro em </w:t>
      </w:r>
      <w:hyperlink r:id="rId965">
        <w:r>
          <w:rPr>
            <w:color w:val="0000EE"/>
            <w:u w:val="single"/>
          </w:rPr>
          <w:t>versículo 4</w:t>
        </w:r>
      </w:hyperlink>
      <w:r>
        <w:t xml:space="preserve"> é interpretado como uma ressurreição espiritual.</w:t>
      </w:r>
    </w:p>
    <w:p>
      <w:pPr>
        <w:pStyle w:val="ListBullet"/>
        <w:spacing w:line="240" w:lineRule="auto"/>
        <w:ind w:left="720"/>
      </w:pPr>
      <w:r/>
      <w:r>
        <w:t xml:space="preserve">O segundo em </w:t>
      </w:r>
      <w:hyperlink r:id="rId14466">
        <w:r>
          <w:rPr>
            <w:color w:val="0000EE"/>
            <w:u w:val="single"/>
          </w:rPr>
          <w:t>versículo 5</w:t>
        </w:r>
      </w:hyperlink>
      <w:r>
        <w:t xml:space="preserve"> como uma ressurreição física</w:t>
      </w:r>
    </w:p>
    <w:p>
      <w:r/>
      <w:r>
        <w:t>A própria passagem não indica que o escritor pretendia uma diferença de significado. Assim, a posição amilenista é frequentemente acusada de espiritualizar de forma inadequada o significado da Bíblia.</w:t>
      </w:r>
    </w:p>
    <w:p>
      <w:r/>
      <w:r>
        <w:t xml:space="preserve">Outra perspectiva sobre a posição </w:t>
      </w:r>
      <w:r>
        <w:rPr>
          <w:i/>
        </w:rPr>
        <w:t>a</w:t>
      </w:r>
      <w:r>
        <w:t>milenista é que o reinado de mil anos de Cristo é uma expressão simbólica do domínio ilimitado de Cristo, em oposição a um reinado literal de 1.000 anos.</w:t>
      </w:r>
    </w:p>
    <w:p>
      <w:pPr>
        <w:pStyle w:val="Heading3"/>
      </w:pPr>
      <w:r>
        <w:t>Pós-milenista</w:t>
      </w:r>
    </w:p>
    <w:p>
      <w:r/>
      <w:r>
        <w:t xml:space="preserve">A segunda visão é </w:t>
      </w:r>
      <w:r>
        <w:rPr>
          <w:i/>
        </w:rPr>
        <w:t>pós-</w:t>
      </w:r>
      <w:r>
        <w:t>milenista. O prefixo 'pós-' significa 'depois', então pós-milenista significa que Cristo retornará após o período de mil anos. As pessoas que têm essa visão acreditam:</w:t>
      </w:r>
    </w:p>
    <w:p>
      <w:pPr>
        <w:pStyle w:val="ListBullet"/>
        <w:spacing w:line="240" w:lineRule="auto"/>
        <w:ind w:left="720"/>
      </w:pPr>
      <w:r/>
      <w:r>
        <w:t>A propagação do Cristianismo dará início ao milênio</w:t>
      </w:r>
    </w:p>
    <w:p>
      <w:pPr>
        <w:pStyle w:val="ListBullet"/>
        <w:spacing w:line="240" w:lineRule="auto"/>
        <w:ind w:left="720"/>
      </w:pPr>
      <w:r/>
      <w:r>
        <w:t>À medida que mais pessoas se tornam cristãs, o mundo gradualmente se tornará mais pacífico.</w:t>
      </w:r>
    </w:p>
    <w:p>
      <w:pPr>
        <w:pStyle w:val="ListBullet"/>
        <w:spacing w:line="240" w:lineRule="auto"/>
        <w:ind w:left="720"/>
      </w:pPr>
      <w:r/>
      <w:r>
        <w:t>Este momento de paz poderia ser:</w:t>
      </w:r>
    </w:p>
    <w:p>
      <w:pPr>
        <w:pStyle w:val="ListBullet"/>
        <w:spacing w:line="240" w:lineRule="auto"/>
        <w:ind w:left="1440"/>
      </w:pPr>
      <w:r/>
      <w:r>
        <w:t>Algo que ocorrerá no futuro, ou</w:t>
      </w:r>
    </w:p>
    <w:p>
      <w:pPr>
        <w:pStyle w:val="ListBullet"/>
        <w:spacing w:line="240" w:lineRule="auto"/>
        <w:ind w:left="1440"/>
      </w:pPr>
      <w:r/>
      <w:r>
        <w:t>Algo que começou quando Jesus veio pela primeira vez e ainda continua até hoje</w:t>
      </w:r>
    </w:p>
    <w:p>
      <w:r/>
      <w:r>
        <w:t xml:space="preserve">A ideia principal é que a maioria das pessoas no mundo se tornará cristã antes de Cristo retornar. Todas as versões dessa visão concordam em um ponto principal: Cristo não volta até </w:t>
      </w:r>
      <w:r>
        <w:rPr>
          <w:i/>
        </w:rPr>
        <w:t>depois</w:t>
      </w:r>
      <w:r>
        <w:t xml:space="preserve"> que os mil anos estejam concluídos. Não é a Segunda Vinda de Cristo e sua presença visível que traz o milênio. Em vez disso, a disseminação do Cristianismo cria esse tempo de paz.</w:t>
      </w:r>
    </w:p>
    <w:p>
      <w:pPr>
        <w:pStyle w:val="Heading3"/>
      </w:pPr>
      <w:r>
        <w:t>Pré-milenista</w:t>
      </w:r>
    </w:p>
    <w:p>
      <w:r/>
      <w:r>
        <w:t>A terceira forma de entender o milênio é chamada de visão pré-milenista. O prefixo 'pré-' significa 'antes', então pré-milenista significa que Cristo retornará antes do início do período de mil anos. As pessoas que defendem essa visão acreditam:</w:t>
      </w:r>
    </w:p>
    <w:p>
      <w:pPr>
        <w:pStyle w:val="ListBullet"/>
        <w:spacing w:line="240" w:lineRule="auto"/>
        <w:ind w:left="720"/>
      </w:pPr>
      <w:r/>
      <w:r>
        <w:t>Cristo retornará à Terra primeiro</w:t>
      </w:r>
    </w:p>
    <w:p>
      <w:pPr>
        <w:pStyle w:val="ListBullet"/>
        <w:spacing w:line="240" w:lineRule="auto"/>
        <w:ind w:left="720"/>
      </w:pPr>
      <w:r/>
      <w:r>
        <w:t>Então, ele iniciará seu governo de mil anos</w:t>
      </w:r>
    </w:p>
    <w:p>
      <w:pPr>
        <w:pStyle w:val="ListBullet"/>
        <w:spacing w:line="240" w:lineRule="auto"/>
        <w:ind w:left="720"/>
      </w:pPr>
      <w:r/>
      <w:r>
        <w:t>As pessoas poderão vê-lo e seu poder</w:t>
      </w:r>
    </w:p>
    <w:p>
      <w:pPr>
        <w:pStyle w:val="ListBullet"/>
        <w:spacing w:line="240" w:lineRule="auto"/>
        <w:ind w:left="720"/>
      </w:pPr>
      <w:r/>
      <w:r>
        <w:t>Ele trará paz à terra durante esse tempo</w:t>
      </w:r>
    </w:p>
    <w:p>
      <w:r/>
      <w:r>
        <w:t xml:space="preserve">O pré-milenista interpreta as visões do livro do Apocalipse em sequência, uma após a outra. Primeiro, ocorre o retorno de Cristo no capítulo </w:t>
      </w:r>
      <w:hyperlink r:id="rId14467">
        <w:r>
          <w:rPr>
            <w:color w:val="0000EE"/>
            <w:u w:val="single"/>
          </w:rPr>
          <w:t>19</w:t>
        </w:r>
      </w:hyperlink>
      <w:r>
        <w:t>. Isso é seguido pelo aprisionamento de Satanás por mil anos e a primeira ressurreição dos santos para reinarem com Cristo por mil anos (</w:t>
      </w:r>
      <w:hyperlink r:id="rId2146">
        <w:r>
          <w:rPr>
            <w:color w:val="0000EE"/>
            <w:u w:val="single"/>
          </w:rPr>
          <w:t>20.1–6</w:t>
        </w:r>
      </w:hyperlink>
      <w:r>
        <w:t xml:space="preserve">). Em seguida, há a liberação de Satanás e a batalha daqueles enganados contra Cristo e seu povo, culminando na destruição final do diabo (vv. </w:t>
      </w:r>
      <w:hyperlink r:id="rId2149">
        <w:r>
          <w:rPr>
            <w:color w:val="0000EE"/>
            <w:u w:val="single"/>
          </w:rPr>
          <w:t>7–10</w:t>
        </w:r>
      </w:hyperlink>
      <w:r>
        <w:t xml:space="preserve">). Os enganados são referidos como "Gogue e Magogue". Depois, vem o relato do julgamento final e a última ressurreição (vv. </w:t>
      </w:r>
      <w:hyperlink r:id="rId2151">
        <w:r>
          <w:rPr>
            <w:color w:val="0000EE"/>
            <w:u w:val="single"/>
          </w:rPr>
          <w:t>11–15</w:t>
        </w:r>
      </w:hyperlink>
      <w:r>
        <w:t xml:space="preserve">). Finalmente, ocorre o novo céu e nova terra (cap. </w:t>
      </w:r>
      <w:hyperlink r:id="rId418">
        <w:r>
          <w:rPr>
            <w:color w:val="0000EE"/>
            <w:u w:val="single"/>
          </w:rPr>
          <w:t>21</w:t>
        </w:r>
      </w:hyperlink>
      <w:r>
        <w:t>).</w:t>
      </w:r>
    </w:p>
    <w:p>
      <w:r/>
      <w:r>
        <w:t>O pré-milenista afirma com convicção que esta ordem dos eventos significa que o reinado milenar de Cristo é um evento real e futuro que ocorre após o retorno de Cristo. Os pré-milenistas não acreditam em nenhuma das variações do amilenismo ou do pós-milenismo, que veem o milênio na era atual da igreja antes do retorno de Cristo ou mesmo no futuro antes de Cristo voltar. Os pré-milenistas sustentam que essas visões não explicam adequadamente a ordem dos eventos em Apocalipse.</w:t>
      </w:r>
    </w:p>
    <w:p>
      <w:r/>
      <w:r>
        <w:t>Além do argumento literário, há o ponto teológico de que a posição pré-milenista coloca o verdadeiro triunfo de Cristo dentro da história. Ou seja, a vitória que a igreja acredita ter sido alcançada através da morte de Cristo na cruz será tornada visível para o mundo e para as forças do mal no retorno e reinado de Cristo na terra. Isso não é fé em um triunfo meramente espiritual ou celestial, mas fé de que Deus intervirá genuinamente no curso do mundo para trazer justiça e paz.</w:t>
      </w:r>
    </w:p>
    <w:p>
      <w:r/>
      <w:r>
        <w:t>No entanto, a visão pré-milenista enfrenta um grande problema. A Bíblia não responde a algumas perguntas importantes, como:</w:t>
      </w:r>
    </w:p>
    <w:p>
      <w:pPr>
        <w:pStyle w:val="ListBullet"/>
        <w:spacing w:line="240" w:lineRule="auto"/>
        <w:ind w:left="720"/>
      </w:pPr>
      <w:r/>
      <w:r>
        <w:t>Como Cristo e seus seguidores, que foram ressuscitados da morte, governarão a terra?</w:t>
      </w:r>
    </w:p>
    <w:p>
      <w:pPr>
        <w:pStyle w:val="ListBullet"/>
        <w:spacing w:line="240" w:lineRule="auto"/>
        <w:ind w:left="720"/>
      </w:pPr>
      <w:r/>
      <w:r>
        <w:t>Como eles irão interagir com pessoas comuns que ainda vivem vidas humanas normais?</w:t>
      </w:r>
    </w:p>
    <w:p>
      <w:pPr>
        <w:pStyle w:val="ListBullet"/>
        <w:spacing w:line="240" w:lineRule="auto"/>
        <w:ind w:left="720"/>
      </w:pPr>
      <w:r/>
      <w:r>
        <w:t>Como isso pode acontecer antes de Deus criar o novo céu e a nova terra?</w:t>
      </w:r>
    </w:p>
    <w:p>
      <w:r/>
      <w:r>
        <w:t xml:space="preserve">Como essas perguntas permanecem sem resposta, muitos estudiosos da Bíblia preferem interpretar </w:t>
      </w:r>
      <w:hyperlink r:id="rId8143">
        <w:r>
          <w:rPr>
            <w:color w:val="0000EE"/>
            <w:u w:val="single"/>
          </w:rPr>
          <w:t>Apocalipse 20</w:t>
        </w:r>
      </w:hyperlink>
      <w:r>
        <w:t xml:space="preserve"> usando a visão amilenista ou pós-milenista.</w:t>
      </w:r>
    </w:p>
    <w:p>
      <w:r/>
      <w:r>
        <w:rPr>
          <w:i/>
        </w:rPr>
        <w:t>Veja também</w:t>
      </w:r>
      <w:r>
        <w:t xml:space="preserve"> </w:t>
      </w:r>
      <w:r>
        <w:t>Escatologia</w:t>
      </w:r>
      <w:r>
        <w:t xml:space="preserve">; </w:t>
      </w:r>
      <w:r>
        <w:t>Julgamento</w:t>
      </w:r>
      <w:r>
        <w:t xml:space="preserve">; </w:t>
      </w:r>
      <w:r>
        <w:t>Ressurreição</w:t>
      </w:r>
      <w:r>
        <w:t xml:space="preserve">; </w:t>
      </w:r>
      <w:r>
        <w:t>Apocalipse, Livro de</w:t>
      </w:r>
      <w:r>
        <w:t xml:space="preserve">; </w:t>
      </w:r>
      <w:r>
        <w:t>Segunda Vinda de Cristo</w:t>
      </w:r>
      <w:r>
        <w:t>.</w:t>
      </w:r>
      <w:r/>
      <w:r/>
    </w:p>
    <w:p>
      <w:r/>
    </w:p>
    <w:p>
      <w:pPr>
        <w:pStyle w:val="Heading2"/>
      </w:pPr>
      <w:r>
        <w:t>Mileto</w:t>
      </w:r>
      <w:r/>
    </w:p>
    <w:p>
      <w:r/>
      <w:r>
        <w:t>Uma importante cidade grega antiga localizada onde o rio Meandro encontra o mar, no sudoeste da Ásia Menor.</w:t>
      </w:r>
    </w:p>
    <w:p>
      <w:pPr>
        <w:pStyle w:val="Heading3"/>
      </w:pPr>
      <w:r>
        <w:t>História antiga</w:t>
      </w:r>
    </w:p>
    <w:p>
      <w:r/>
      <w:r>
        <w:t>Os habitantes de Creta construíram esta cidade pela primeira vez entre 1339 e 1288 a.C. A cidade tornou-se parte do Império Hitita. Descobertas arqueológicas mostram que, após ser destruída por um incêndio, o povo construiu uma muralha protetora ao redor de Mileto no século 13 a.C.</w:t>
      </w:r>
    </w:p>
    <w:p>
      <w:r/>
      <w:r>
        <w:t>Por volta de 650 a.C., o reino da Lídia atacou Mileto. Um líder militar chamado Rei Giges então assumiu o controle da cidade. Mesmo sob seu domínio, o povo de Mileto construiu novas cidades em outros lugares. Uma dessas novas cidades foi Abidos, que eles construíram perto de uma parte estreita do mar chamada Dardanelos. O povo de Mileto estabeleceu mais de 70 novos assentamentos ao longo do Mar Negro. A mais importante dessas novas cidades foi chamada Sinope. Através de todas essas conexões, Mileto tornou-se um importante centro comercial. Seus comerciantes viajavam para muitos portos estrangeiros, vendendo móveis e tecidos feitos de lã.</w:t>
      </w:r>
    </w:p>
    <w:p>
      <w:pPr>
        <w:pStyle w:val="Heading3"/>
      </w:pPr>
      <w:r>
        <w:t>Cultura</w:t>
      </w:r>
    </w:p>
    <w:p>
      <w:r/>
      <w:r>
        <w:t>Como muitos outros centros gregos, a cidade tinha seu próprio poeta que era famoso em sua época. Apenas alguns versos de sua poesia permanecem hoje. Phocylides escreveu: “Uma pequena cidade sobre uma rocha, com ordem, é melhor do que a loucura em Nínive”. Ele também disse: “Toda virtude se resume na justiça”.</w:t>
      </w:r>
    </w:p>
    <w:p>
      <w:r/>
      <w:r>
        <w:t>Mileto também foi o berço da filosofia e da investigação científica. O filósofo Tales previu um eclipse em 585 a.C. Seu discípulo, Anaximandro, sugeriu que os seres humanos evoluíram de criaturas marinhas. No entanto, a cidade enfrentou muitos problemas porque dois grupos de pessoas (os ricos e os trabalhadores) frequentemente lutavam entre si. Por volta de 495 a.C., o Império Persa capturou e destruiu grande parte da cidade. Mesmo depois que Alexandre, o Grande, mais tarde assumiu o controle de Mileto, a cidade nunca voltou a ser tão importante quanto antes.</w:t>
      </w:r>
    </w:p>
    <w:p>
      <w:pPr>
        <w:pStyle w:val="Heading3"/>
      </w:pPr>
      <w:r>
        <w:t>Mileto na Bíblia</w:t>
      </w:r>
    </w:p>
    <w:p>
      <w:r/>
      <w:r>
        <w:t>Nos tempos do Novo Testamento, Mileto era conhecida, mas não era um centro importante para os primeiros cristãos. O apóstolo Paulo parou lá durante sua última viagem missionária (</w:t>
      </w:r>
      <w:hyperlink r:id="rId14468">
        <w:r>
          <w:rPr>
            <w:color w:val="0000EE"/>
            <w:u w:val="single"/>
          </w:rPr>
          <w:t>At 20.15–17</w:t>
        </w:r>
      </w:hyperlink>
      <w:r>
        <w:t xml:space="preserve">). Enquanto estava em Mileto, Paulo pediu aos líderes da igreja de Éfeso que se encontrassem com ele lá. Ele os incentivou a cuidar bem dos crentes em suas igrejas (vv. </w:t>
      </w:r>
      <w:hyperlink r:id="rId14469">
        <w:r>
          <w:rPr>
            <w:color w:val="0000EE"/>
            <w:u w:val="single"/>
          </w:rPr>
          <w:t>28–35</w:t>
        </w:r>
      </w:hyperlink>
      <w:r>
        <w:t>). Depois disso, Paulo navegou para Tiro. Mais tarde, Paulo deixou seu amigo doente Trófimo em Mileto (</w:t>
      </w:r>
      <w:hyperlink r:id="rId4381">
        <w:r>
          <w:rPr>
            <w:color w:val="0000EE"/>
            <w:u w:val="single"/>
          </w:rPr>
          <w:t>2Tm 4.20</w:t>
        </w:r>
      </w:hyperlink>
      <w:r>
        <w:t>).</w:t>
      </w:r>
      <w:r/>
      <w:r/>
    </w:p>
    <w:p>
      <w:r/>
    </w:p>
    <w:p>
      <w:pPr>
        <w:pStyle w:val="Heading2"/>
      </w:pPr>
      <w:r>
        <w:t>Milhano, milhafre</w:t>
      </w:r>
      <w:r/>
    </w:p>
    <w:p>
      <w:r/>
      <w:r>
        <w:t>Ave de rapina considerada impura pela lei (</w:t>
      </w:r>
      <w:hyperlink r:id="rId9103">
        <w:r>
          <w:rPr>
            <w:color w:val="0000EE"/>
            <w:u w:val="single"/>
          </w:rPr>
          <w:t>Lv 11.14</w:t>
        </w:r>
      </w:hyperlink>
      <w:r>
        <w:t xml:space="preserve">; </w:t>
      </w:r>
      <w:hyperlink r:id="rId261">
        <w:r>
          <w:rPr>
            <w:color w:val="0000EE"/>
            <w:u w:val="single"/>
          </w:rPr>
          <w:t>Dt 14.13</w:t>
        </w:r>
      </w:hyperlink>
      <w:r>
        <w:t xml:space="preserve">). A maioria das Bíblias em português traduzem como milhano. A NVI traduz como "milhafre" e a NTLH como "açores". </w:t>
      </w:r>
      <w:r>
        <w:rPr>
          <w:i/>
        </w:rPr>
        <w:t>Veja</w:t>
      </w:r>
      <w:r>
        <w:t xml:space="preserve"> </w:t>
      </w:r>
      <w:r>
        <w:t>Aves</w:t>
      </w:r>
      <w:r>
        <w:t>.</w:t>
      </w:r>
      <w:r/>
      <w:r/>
    </w:p>
    <w:p>
      <w:r/>
    </w:p>
    <w:p>
      <w:pPr>
        <w:pStyle w:val="Heading2"/>
      </w:pPr>
      <w:r>
        <w:t>Minerais e metais</w:t>
      </w:r>
      <w:r/>
    </w:p>
    <w:p>
      <w:r/>
      <w:r>
        <w:t>Um "mineral" é uma substância que ocorre naturalmente, geralmente um minério que precisa ser extraído e processado antes que o metal possa ser obtido. Um "metal" é um elemento químico, como ferro ou cobre, que está livre de contaminação por outros materiais. Metais em sua forma pura geralmente não ocorrem na natureza, embora existam exceções.</w:t>
      </w:r>
    </w:p>
    <w:p>
      <w:r/>
      <w:r>
        <w:t>Na Palestina, a mineração e a fundição são artes antigas, praticadas muito antes da chegada dos israelitas. A extração de pedras adequadas, como o sílex, para a fabricação de ferramentas remonta à Idade da Pedra; a extração de pedra para construção também é um ofício antigo. Em particular, metais como ouro nativo, cobre e ferro meteórico eram conhecidos e utilizados no Oriente Médio antes de 4000 a.C. De 4000 a 3000 a.C., a prata nativa tornou-se conhecida, assim como os minérios de cobre e chumbo. A arte da fundição foi provavelmente descoberta quase por acidente, resultando na produção de ligas como o bronze. Em seguida, a redução do ferro oxidado foi descoberta. De 3000 a 2000 a.C., foram feitos avanços importantes. Sulfetos de cobre e óxidos de estanho foram reduzidos a metal, e o estanho metálico e o cobre tornaram-se itens importantes de comércio.</w:t>
      </w:r>
    </w:p>
    <w:p>
      <w:r/>
      <w:r>
        <w:t>Entre os anos 2000 e 1000 a.C., os foles começaram a ser usados para fornos, e o ferro foi extraído de seus minérios e forjado. A arte de fazer latão a partir de cobre e zinco foi descoberta por volta de 1500 a.C., mas só se tornou significativa um pouco mais tarde. O bronze, conhecido há muitos séculos, era às vezes feito com um alto teor de estanho para formar espelhos de speculum. Nessa época, os israelitas estavam estabelecidos na terra e o reino foi consolidado. De 1000 a.C. até o início da era cristã, a produção de metais, especialmente ferro, expandiu-se consideravelmente. Uma forma de aço foi desenvolvida e usada para armas e ferramentas.</w:t>
      </w:r>
    </w:p>
    <w:p>
      <w:r/>
      <w:r>
        <w:t>Na época de Davi e Salomão, os israelitas haviam aprendido muitas habilidades na preparação e trabalho com metais. Sob Davi, Edom, com seus ricos depósitos de cobre e ferro, foi conquistado (</w:t>
      </w:r>
      <w:hyperlink r:id="rId14470">
        <w:r>
          <w:rPr>
            <w:color w:val="0000EE"/>
            <w:u w:val="single"/>
          </w:rPr>
          <w:t>2Sm 8.13–14</w:t>
        </w:r>
      </w:hyperlink>
      <w:r>
        <w:t>) e houve muita atividade na fundição de metais no Vale do Jordão (</w:t>
      </w:r>
      <w:hyperlink r:id="rId14471">
        <w:r>
          <w:rPr>
            <w:color w:val="0000EE"/>
            <w:u w:val="single"/>
          </w:rPr>
          <w:t>1Rs 7.13–14,45–46</w:t>
        </w:r>
      </w:hyperlink>
      <w:r>
        <w:t>). Nessa atividade, Salomão contou com a assistência de Hirão, um artesão fenício. A tradição israelita associava as origens da metalurgia com Tubalcaim (</w:t>
      </w:r>
      <w:hyperlink r:id="rId2612">
        <w:r>
          <w:rPr>
            <w:color w:val="0000EE"/>
            <w:u w:val="single"/>
          </w:rPr>
          <w:t>Gn 4.22</w:t>
        </w:r>
      </w:hyperlink>
      <w:r>
        <w:t xml:space="preserve">), que é dito ter forjado todos os tipos de ferramentas de bronze e ferro. </w:t>
      </w:r>
      <w:hyperlink r:id="rId2326">
        <w:r>
          <w:rPr>
            <w:color w:val="0000EE"/>
            <w:u w:val="single"/>
          </w:rPr>
          <w:t>Deuteronômio 8.9</w:t>
        </w:r>
      </w:hyperlink>
      <w:r>
        <w:t xml:space="preserve"> refere-se à presença de ferro e cobre na terra para a qual Israel estava indo.</w:t>
      </w:r>
    </w:p>
    <w:p>
      <w:r/>
      <w:r>
        <w:t xml:space="preserve">Embora os israelitas eventualmente tenham desenvolvido seus próprios processos de metalurgia, é evidente em </w:t>
      </w:r>
      <w:hyperlink r:id="rId2513">
        <w:r>
          <w:rPr>
            <w:color w:val="0000EE"/>
            <w:u w:val="single"/>
          </w:rPr>
          <w:t>1 Samuel 13.19–22</w:t>
        </w:r>
      </w:hyperlink>
      <w:r>
        <w:t xml:space="preserve"> que, pelo menos em uma ocasião, nos dias de dominação filisteia, eles foram obrigados a ter suas ferramentas agrícolas feitas por seus inimigos. Da mesma forma, a fabricação de vasos de culto para o templo de Salomão foi supervisionada por artesãos fenícios (</w:t>
      </w:r>
      <w:hyperlink r:id="rId14472">
        <w:r>
          <w:rPr>
            <w:color w:val="0000EE"/>
            <w:u w:val="single"/>
          </w:rPr>
          <w:t>1Rs 7.13–50</w:t>
        </w:r>
      </w:hyperlink>
      <w:r>
        <w:t>).</w:t>
      </w:r>
    </w:p>
    <w:p>
      <w:r/>
      <w:r>
        <w:t>Minerais, metais e pedras preciosas também eram itens importantes de comércio. Israel nunca foi uma terra rica nesses produtos e foi obrigada a importar uma grande variedade deles. A visita da Rainha de Sabá foi em parte diplomática e em parte para comércio (</w:t>
      </w:r>
      <w:hyperlink r:id="rId14473">
        <w:r>
          <w:rPr>
            <w:color w:val="0000EE"/>
            <w:u w:val="single"/>
          </w:rPr>
          <w:t>1Rs 10.2,10–11</w:t>
        </w:r>
      </w:hyperlink>
      <w:r>
        <w:t>).</w:t>
      </w:r>
    </w:p>
    <w:p>
      <w:r/>
      <w:r>
        <w:t>Metais e pedras preciosas também estavam entre os espólios levados pelos invasores, notavelmente, mas não exclusivamente, pelos egípcios e assírios. Esses itens estavam em constante demanda, pois eram necessários para a agricultura, para a fabricação de armas de guerra e para a manufatura de joias e itens de adorno pessoal.</w:t>
      </w:r>
    </w:p>
    <w:p>
      <w:pPr>
        <w:pStyle w:val="Heading3"/>
      </w:pPr>
      <w:r>
        <w:t>Minerais</w:t>
      </w:r>
    </w:p>
    <w:p>
      <w:r/>
      <w:r>
        <w:t>Um mineral é uma substância inorgânica com composição química e estrutura definidas, ocorrendo às vezes sozinho ou combinado com outros. "Minério" refere-se a qualquer mineral ou agregado mineral que contenha compostos químicos de metais em quantidade e qualidade suficientes para tornar a extração do metal comercialmente lucrativa. O elemento essencial, o metal, ocorre na natureza como um composto químico, como sulfeto, óxido, carbonato ou algum outro composto, embora os sulfetos e óxidos sejam os mais comuns. Os minerais exibem uma variedade de propriedades, como cor, brilho, forma cristalina, clivagem, fratura, dureza e densidade, que ajudam na sua identificação e exercem controle sobre os usos comerciais e industriais do mineral específico.</w:t>
      </w:r>
    </w:p>
    <w:p>
      <w:pPr>
        <w:pStyle w:val="Heading3"/>
      </w:pPr>
      <w:r>
        <w:t>Metais</w:t>
      </w:r>
    </w:p>
    <w:p>
      <w:r/>
      <w:r>
        <w:t>Um metal em sua forma pura é um elemento quimicamente puro com propriedades físicas específicas, como densidade, resistência à tração, estrutura cristalina, ponto de fusão, ductilidade e condutividade. Os metais formam ligas com outros metais, mas esse processo compromete sua pureza. Tanto no mundo antigo quanto no moderno, as ligas são extremamente importantes.</w:t>
      </w:r>
    </w:p>
    <w:p>
      <w:r/>
      <w:r>
        <w:t>Para obter um metal puro, o minério que contém o metal deve ser fundido — um processo conhecido como metalurgia. No antigo Israel, metais puros eram amplamente utilizados — entre eles estavam ouro, prata, ferro e chumbo. No entanto, ligas como bronze e latão eram ainda mais amplamente utilizadas.</w:t>
      </w:r>
    </w:p>
    <w:p>
      <w:pPr>
        <w:pStyle w:val="Heading4"/>
      </w:pPr>
      <w:r>
        <w:t>Metalurgia e extração de metais</w:t>
      </w:r>
    </w:p>
    <w:p>
      <w:r/>
      <w:r>
        <w:t>O método de produção de ferro forjado duro foi descoberto pelos hititas da Ásia Menor por volta de 1300 a.C. e foi adotado pelos filisteus (</w:t>
      </w:r>
      <w:hyperlink r:id="rId14474">
        <w:r>
          <w:rPr>
            <w:color w:val="0000EE"/>
            <w:u w:val="single"/>
          </w:rPr>
          <w:t>1Sm 13.19–20</w:t>
        </w:r>
      </w:hyperlink>
      <w:r>
        <w:t>). No início, o ferro obtido de fornos simples era retirado e martelado para expulsar a escória (</w:t>
      </w:r>
      <w:hyperlink r:id="rId9615">
        <w:r>
          <w:rPr>
            <w:color w:val="0000EE"/>
            <w:u w:val="single"/>
          </w:rPr>
          <w:t>Dt 4.20</w:t>
        </w:r>
      </w:hyperlink>
      <w:r>
        <w:t xml:space="preserve">; </w:t>
      </w:r>
      <w:hyperlink r:id="rId9616">
        <w:r>
          <w:rPr>
            <w:color w:val="0000EE"/>
            <w:u w:val="single"/>
          </w:rPr>
          <w:t>1Rs 8.51</w:t>
        </w:r>
      </w:hyperlink>
      <w:r>
        <w:t xml:space="preserve">; </w:t>
      </w:r>
      <w:hyperlink r:id="rId9620">
        <w:r>
          <w:rPr>
            <w:color w:val="0000EE"/>
            <w:u w:val="single"/>
          </w:rPr>
          <w:t>Jr 11.4</w:t>
        </w:r>
      </w:hyperlink>
      <w:r>
        <w:t>). Mais tarde, a adição de carbono produziu uma forma inicial de aço.</w:t>
      </w:r>
    </w:p>
    <w:p>
      <w:r/>
      <w:r>
        <w:t>O minério de sulfeto de chumbo é aquecido com cal em um fluxo de ar, formando uma escória com partículas de rocha. Em seguida, o ar é cortado e a temperatura é aumentada. Finalmente, o chumbo flui livremente.</w:t>
      </w:r>
    </w:p>
    <w:p>
      <w:r/>
      <w:r>
        <w:t>O AT refere-se à mineração de prata (</w:t>
      </w:r>
      <w:hyperlink r:id="rId14475">
        <w:r>
          <w:rPr>
            <w:color w:val="0000EE"/>
            <w:u w:val="single"/>
          </w:rPr>
          <w:t>Jó 28.1</w:t>
        </w:r>
      </w:hyperlink>
      <w:r>
        <w:t>), ao refino do metal (</w:t>
      </w:r>
      <w:hyperlink r:id="rId14476">
        <w:r>
          <w:rPr>
            <w:color w:val="0000EE"/>
            <w:u w:val="single"/>
          </w:rPr>
          <w:t>Zc 13.9</w:t>
        </w:r>
      </w:hyperlink>
      <w:r>
        <w:t xml:space="preserve">; </w:t>
      </w:r>
      <w:hyperlink r:id="rId14477">
        <w:r>
          <w:rPr>
            <w:color w:val="0000EE"/>
            <w:u w:val="single"/>
          </w:rPr>
          <w:t>Ml 3.3</w:t>
        </w:r>
      </w:hyperlink>
      <w:r>
        <w:t>), à fusão de metais sucateados ou sobras de joalheiros (</w:t>
      </w:r>
      <w:hyperlink r:id="rId14478">
        <w:r>
          <w:rPr>
            <w:color w:val="0000EE"/>
            <w:u w:val="single"/>
          </w:rPr>
          <w:t>Ez 22.20–22</w:t>
        </w:r>
      </w:hyperlink>
      <w:r>
        <w:t>), e a múltiplos refinamentos em um cadinho (</w:t>
      </w:r>
      <w:hyperlink r:id="rId9617">
        <w:r>
          <w:rPr>
            <w:color w:val="0000EE"/>
            <w:u w:val="single"/>
          </w:rPr>
          <w:t>Pv 17.3</w:t>
        </w:r>
      </w:hyperlink>
      <w:r>
        <w:t xml:space="preserve">; </w:t>
      </w:r>
      <w:hyperlink r:id="rId9618">
        <w:r>
          <w:rPr>
            <w:color w:val="0000EE"/>
            <w:u w:val="single"/>
          </w:rPr>
          <w:t>27.21</w:t>
        </w:r>
      </w:hyperlink>
      <w:r>
        <w:t>) para produzir prata refinada (</w:t>
      </w:r>
      <w:hyperlink r:id="rId14479">
        <w:r>
          <w:rPr>
            <w:color w:val="0000EE"/>
            <w:u w:val="single"/>
          </w:rPr>
          <w:t>1Cr 29.4</w:t>
        </w:r>
      </w:hyperlink>
      <w:r>
        <w:t xml:space="preserve">; </w:t>
      </w:r>
      <w:hyperlink r:id="rId14480">
        <w:r>
          <w:rPr>
            <w:color w:val="0000EE"/>
            <w:u w:val="single"/>
          </w:rPr>
          <w:t>Sl 12.6</w:t>
        </w:r>
      </w:hyperlink>
      <w:r>
        <w:t xml:space="preserve">; </w:t>
      </w:r>
      <w:hyperlink r:id="rId14481">
        <w:r>
          <w:rPr>
            <w:color w:val="0000EE"/>
            <w:u w:val="single"/>
          </w:rPr>
          <w:t>Pv 10.20</w:t>
        </w:r>
      </w:hyperlink>
      <w:r>
        <w:t>).</w:t>
      </w:r>
    </w:p>
    <w:p>
      <w:pPr>
        <w:pStyle w:val="Heading4"/>
      </w:pPr>
      <w:r>
        <w:t>Metais especiais</w:t>
      </w:r>
    </w:p>
    <w:p>
      <w:r/>
      <w:r>
        <w:t>Embora várias passagens do Antigo Testamento sugiram que a ciência da metalurgia era conhecida nos tempos bíblicos, há relativamente poucas evidências arqueológicas disponíveis. As plantas de processamento eram pequenas e usadas para o tratamento de cobre e ferro. O registro arqueológico está longe de ser completo, mas a impressão geral é de que os minérios metálicos eram comparativamente raros na Palestina; as importações devem ter sido consideráveis. No entanto, numerosos moldes para fundição de ferramentas agrícolas e militares foram descobertos em escavações. Evidentemente, algum metal refinado estava disponível localmente, mas talvez a maior parte dele fosse importada. O metal era então aquecido e despejado no molde apropriado de cerâmica ou barro.</w:t>
      </w:r>
    </w:p>
    <w:p>
      <w:r/>
      <w:r>
        <w:t>Existem muitas referências a metais na Bíblia, especialmente a ouro, prata, ferro e chumbo. Embora o cobre fosse amplamente utilizado, normalmente estava na forma de suas ligas, bronze e latão. Existem relativamente poucas referências ao estanho como tal, embora fosse usado na fabricação de bronze. Da mesma forma, o zinco, embora usado na fabricação de latão, não é mencionado na Bíblia.</w:t>
      </w:r>
    </w:p>
    <w:p>
      <w:r/>
      <w:r>
        <w:t>O ouro é mencionado centenas de vezes no AT e no NT, mais frequentemente do que qualquer outro metal. Muitas vezes é mencionado junto com a prata, e na maioria dos casos a prata é mencionada primeiro, refletindo uma época em que o ouro era menos valorizado.</w:t>
      </w:r>
    </w:p>
    <w:p>
      <w:r/>
      <w:r>
        <w:t>O ouro era utilizado na fabricação de ornamentos para uso pessoal (</w:t>
      </w:r>
      <w:hyperlink r:id="rId12655">
        <w:r>
          <w:rPr>
            <w:color w:val="0000EE"/>
            <w:u w:val="single"/>
          </w:rPr>
          <w:t>Gn 24.53</w:t>
        </w:r>
      </w:hyperlink>
      <w:r>
        <w:t xml:space="preserve">; </w:t>
      </w:r>
      <w:hyperlink r:id="rId555">
        <w:r>
          <w:rPr>
            <w:color w:val="0000EE"/>
            <w:u w:val="single"/>
          </w:rPr>
          <w:t>41.42</w:t>
        </w:r>
      </w:hyperlink>
      <w:r>
        <w:t xml:space="preserve">; </w:t>
      </w:r>
      <w:hyperlink r:id="rId14482">
        <w:r>
          <w:rPr>
            <w:color w:val="0000EE"/>
            <w:u w:val="single"/>
          </w:rPr>
          <w:t>Ex 3.22</w:t>
        </w:r>
      </w:hyperlink>
      <w:r>
        <w:t xml:space="preserve">; </w:t>
      </w:r>
      <w:hyperlink r:id="rId12001">
        <w:r>
          <w:rPr>
            <w:color w:val="0000EE"/>
            <w:u w:val="single"/>
          </w:rPr>
          <w:t>11.2</w:t>
        </w:r>
      </w:hyperlink>
      <w:r>
        <w:t xml:space="preserve">; </w:t>
      </w:r>
      <w:hyperlink r:id="rId14483">
        <w:r>
          <w:rPr>
            <w:color w:val="0000EE"/>
            <w:u w:val="single"/>
          </w:rPr>
          <w:t>12.35</w:t>
        </w:r>
      </w:hyperlink>
      <w:r>
        <w:t>). O ouro tinha importância na adoração tanto em Israel quanto entre os não-israelitas. Referências a deuses pagãos aparecem em várias passagens (</w:t>
      </w:r>
      <w:hyperlink r:id="rId14484">
        <w:r>
          <w:rPr>
            <w:color w:val="0000EE"/>
            <w:u w:val="single"/>
          </w:rPr>
          <w:t>Êx 20.23</w:t>
        </w:r>
      </w:hyperlink>
      <w:r>
        <w:t xml:space="preserve">; </w:t>
      </w:r>
      <w:hyperlink r:id="rId1338">
        <w:r>
          <w:rPr>
            <w:color w:val="0000EE"/>
            <w:u w:val="single"/>
          </w:rPr>
          <w:t>32.2–4</w:t>
        </w:r>
      </w:hyperlink>
      <w:r>
        <w:t xml:space="preserve">; </w:t>
      </w:r>
      <w:hyperlink r:id="rId14485">
        <w:r>
          <w:rPr>
            <w:color w:val="0000EE"/>
            <w:u w:val="single"/>
          </w:rPr>
          <w:t>Sl 115.4</w:t>
        </w:r>
      </w:hyperlink>
      <w:r>
        <w:t xml:space="preserve">; </w:t>
      </w:r>
      <w:hyperlink r:id="rId1797">
        <w:r>
          <w:rPr>
            <w:color w:val="0000EE"/>
            <w:u w:val="single"/>
          </w:rPr>
          <w:t>Is 2.20</w:t>
        </w:r>
      </w:hyperlink>
      <w:r>
        <w:t xml:space="preserve">; </w:t>
      </w:r>
      <w:hyperlink r:id="rId14486">
        <w:r>
          <w:rPr>
            <w:color w:val="0000EE"/>
            <w:u w:val="single"/>
          </w:rPr>
          <w:t>30.22</w:t>
        </w:r>
      </w:hyperlink>
      <w:r>
        <w:t xml:space="preserve">; </w:t>
      </w:r>
      <w:hyperlink r:id="rId14487">
        <w:r>
          <w:rPr>
            <w:color w:val="0000EE"/>
            <w:u w:val="single"/>
          </w:rPr>
          <w:t>31.7</w:t>
        </w:r>
      </w:hyperlink>
      <w:r>
        <w:t xml:space="preserve">; </w:t>
      </w:r>
      <w:hyperlink r:id="rId10848">
        <w:r>
          <w:rPr>
            <w:color w:val="0000EE"/>
            <w:u w:val="single"/>
          </w:rPr>
          <w:t>40.19</w:t>
        </w:r>
      </w:hyperlink>
      <w:r>
        <w:t xml:space="preserve">; </w:t>
      </w:r>
      <w:hyperlink r:id="rId2987">
        <w:r>
          <w:rPr>
            <w:color w:val="0000EE"/>
            <w:u w:val="single"/>
          </w:rPr>
          <w:t>46.6</w:t>
        </w:r>
      </w:hyperlink>
      <w:r>
        <w:t xml:space="preserve">; </w:t>
      </w:r>
      <w:hyperlink r:id="rId14488">
        <w:r>
          <w:rPr>
            <w:color w:val="0000EE"/>
            <w:u w:val="single"/>
          </w:rPr>
          <w:t>Os 8.4</w:t>
        </w:r>
      </w:hyperlink>
      <w:r>
        <w:t>). Parece que o ouro era derretido e posteriormente gravado para que as réplicas pudessem ser chamadas tanto de imagens fundidas (</w:t>
      </w:r>
      <w:hyperlink r:id="rId14489">
        <w:r>
          <w:rPr>
            <w:color w:val="0000EE"/>
            <w:u w:val="single"/>
          </w:rPr>
          <w:t>Êx 32.24</w:t>
        </w:r>
      </w:hyperlink>
      <w:r>
        <w:t>) quanto de imagens esculpidas. O tabernáculo e o templo usaram uma grande quantidade de ouro. A arca de madeira era coberta por dentro e por fora com ouro (</w:t>
      </w:r>
      <w:hyperlink r:id="rId14490">
        <w:r>
          <w:rPr>
            <w:color w:val="0000EE"/>
            <w:u w:val="single"/>
          </w:rPr>
          <w:t>25.11</w:t>
        </w:r>
      </w:hyperlink>
      <w:r>
        <w:t>). Outras peças de madeira eram revestidas com ouro (</w:t>
      </w:r>
      <w:hyperlink r:id="rId14490">
        <w:r>
          <w:rPr>
            <w:color w:val="0000EE"/>
            <w:u w:val="single"/>
          </w:rPr>
          <w:t>25.11</w:t>
        </w:r>
      </w:hyperlink>
      <w:r>
        <w:t xml:space="preserve">; </w:t>
      </w:r>
      <w:hyperlink r:id="rId14491">
        <w:r>
          <w:rPr>
            <w:color w:val="0000EE"/>
            <w:u w:val="single"/>
          </w:rPr>
          <w:t>1Reis 6.20–22,30</w:t>
        </w:r>
      </w:hyperlink>
      <w:r>
        <w:t>).</w:t>
      </w:r>
    </w:p>
    <w:p>
      <w:r/>
      <w:r>
        <w:t>Os vasos e utensílios usados no tabernáculo e no templo eram feitos de "ouro puro": os querubins (</w:t>
      </w:r>
      <w:hyperlink r:id="rId14492">
        <w:r>
          <w:rPr>
            <w:color w:val="0000EE"/>
            <w:u w:val="single"/>
          </w:rPr>
          <w:t>Êx 25.18</w:t>
        </w:r>
      </w:hyperlink>
      <w:r>
        <w:t xml:space="preserve">; </w:t>
      </w:r>
      <w:hyperlink r:id="rId14493">
        <w:r>
          <w:rPr>
            <w:color w:val="0000EE"/>
            <w:u w:val="single"/>
          </w:rPr>
          <w:t>37.7</w:t>
        </w:r>
      </w:hyperlink>
      <w:r>
        <w:t>), o propiciatório (</w:t>
      </w:r>
      <w:hyperlink r:id="rId2431">
        <w:r>
          <w:rPr>
            <w:color w:val="0000EE"/>
            <w:u w:val="single"/>
          </w:rPr>
          <w:t>25.17</w:t>
        </w:r>
      </w:hyperlink>
      <w:r>
        <w:t xml:space="preserve">; </w:t>
      </w:r>
      <w:hyperlink r:id="rId14494">
        <w:r>
          <w:rPr>
            <w:color w:val="0000EE"/>
            <w:u w:val="single"/>
          </w:rPr>
          <w:t>37.6</w:t>
        </w:r>
      </w:hyperlink>
      <w:r>
        <w:t>), o candelabro (</w:t>
      </w:r>
      <w:hyperlink r:id="rId14495">
        <w:r>
          <w:rPr>
            <w:color w:val="0000EE"/>
            <w:u w:val="single"/>
          </w:rPr>
          <w:t>Êx 25.31</w:t>
        </w:r>
      </w:hyperlink>
      <w:r>
        <w:t xml:space="preserve">; </w:t>
      </w:r>
      <w:hyperlink r:id="rId14496">
        <w:r>
          <w:rPr>
            <w:color w:val="0000EE"/>
            <w:u w:val="single"/>
          </w:rPr>
          <w:t>Zc 4.2</w:t>
        </w:r>
      </w:hyperlink>
      <w:r>
        <w:t>), vários vasos (</w:t>
      </w:r>
      <w:hyperlink r:id="rId12706">
        <w:r>
          <w:rPr>
            <w:color w:val="0000EE"/>
            <w:u w:val="single"/>
          </w:rPr>
          <w:t>Êx 25.38</w:t>
        </w:r>
      </w:hyperlink>
      <w:r>
        <w:t xml:space="preserve">; </w:t>
      </w:r>
      <w:hyperlink r:id="rId14497">
        <w:r>
          <w:rPr>
            <w:color w:val="0000EE"/>
            <w:u w:val="single"/>
          </w:rPr>
          <w:t>2Rs 24.13</w:t>
        </w:r>
      </w:hyperlink>
      <w:r>
        <w:t>), correntes para carregar o éfode (</w:t>
      </w:r>
      <w:hyperlink r:id="rId14498">
        <w:r>
          <w:rPr>
            <w:color w:val="0000EE"/>
            <w:u w:val="single"/>
          </w:rPr>
          <w:t>Êx 28.14</w:t>
        </w:r>
      </w:hyperlink>
      <w:r>
        <w:t>) e os sinos na túnica do sumo sacerdote. A coroa, o éfode e o peitoral do sumo sacerdote também eram de ouro (</w:t>
      </w:r>
      <w:hyperlink r:id="rId14499">
        <w:r>
          <w:rPr>
            <w:color w:val="0000EE"/>
            <w:u w:val="single"/>
          </w:rPr>
          <w:t>39.2–30</w:t>
        </w:r>
      </w:hyperlink>
      <w:r>
        <w:t>). As ofertas coletadas para a fabricação de tais artigos no deserto incluíam pratos de ouro pesando 1 quilo e 380 gramas (</w:t>
      </w:r>
      <w:hyperlink r:id="rId14500">
        <w:r>
          <w:rPr>
            <w:color w:val="0000EE"/>
            <w:u w:val="single"/>
          </w:rPr>
          <w:t>Nm 7.86</w:t>
        </w:r>
      </w:hyperlink>
      <w:r>
        <w:t>). O templo, mais ricamente adornado, aparentemente usou mais ouro do que o tabernáculo (</w:t>
      </w:r>
      <w:hyperlink r:id="rId14501">
        <w:r>
          <w:rPr>
            <w:color w:val="0000EE"/>
            <w:u w:val="single"/>
          </w:rPr>
          <w:t>1Rs 6.20–28</w:t>
        </w:r>
      </w:hyperlink>
      <w:r>
        <w:t xml:space="preserve">; </w:t>
      </w:r>
      <w:hyperlink r:id="rId14502">
        <w:r>
          <w:rPr>
            <w:color w:val="0000EE"/>
            <w:u w:val="single"/>
          </w:rPr>
          <w:t>1Cr 29.2–7</w:t>
        </w:r>
      </w:hyperlink>
      <w:r>
        <w:t xml:space="preserve">; </w:t>
      </w:r>
      <w:hyperlink r:id="rId14503">
        <w:r>
          <w:rPr>
            <w:color w:val="0000EE"/>
            <w:u w:val="single"/>
          </w:rPr>
          <w:t>2Cr 3.4–4.22</w:t>
        </w:r>
      </w:hyperlink>
      <w:r>
        <w:t>). O número de referências específicas ao ouro no tabernáculo e no templo é muito grande para mencionar todas aqui. A grande quantidade de ouro usada no templo era atraente para invasores, que despojavam o templo de seu ouro e o levavam como saque (</w:t>
      </w:r>
      <w:hyperlink r:id="rId14504">
        <w:r>
          <w:rPr>
            <w:color w:val="0000EE"/>
            <w:u w:val="single"/>
          </w:rPr>
          <w:t>1Rs 14.26</w:t>
        </w:r>
      </w:hyperlink>
      <w:r>
        <w:t xml:space="preserve">; </w:t>
      </w:r>
      <w:hyperlink r:id="rId14505">
        <w:r>
          <w:rPr>
            <w:color w:val="0000EE"/>
            <w:u w:val="single"/>
          </w:rPr>
          <w:t>2Rs 16.8</w:t>
        </w:r>
      </w:hyperlink>
      <w:r>
        <w:t xml:space="preserve">; </w:t>
      </w:r>
      <w:hyperlink r:id="rId14506">
        <w:r>
          <w:rPr>
            <w:color w:val="0000EE"/>
            <w:u w:val="single"/>
          </w:rPr>
          <w:t>18.14</w:t>
        </w:r>
      </w:hyperlink>
      <w:r>
        <w:t xml:space="preserve">; </w:t>
      </w:r>
      <w:hyperlink r:id="rId14497">
        <w:r>
          <w:rPr>
            <w:color w:val="0000EE"/>
            <w:u w:val="single"/>
          </w:rPr>
          <w:t>24.13</w:t>
        </w:r>
      </w:hyperlink>
      <w:r>
        <w:t xml:space="preserve">; </w:t>
      </w:r>
      <w:hyperlink r:id="rId14507">
        <w:r>
          <w:rPr>
            <w:color w:val="0000EE"/>
            <w:u w:val="single"/>
          </w:rPr>
          <w:t>25.15</w:t>
        </w:r>
      </w:hyperlink>
      <w:r>
        <w:t xml:space="preserve">; </w:t>
      </w:r>
      <w:hyperlink r:id="rId7121">
        <w:r>
          <w:rPr>
            <w:color w:val="0000EE"/>
            <w:u w:val="single"/>
          </w:rPr>
          <w:t>2Cr 12.9</w:t>
        </w:r>
      </w:hyperlink>
      <w:r>
        <w:t>).</w:t>
      </w:r>
    </w:p>
    <w:p>
      <w:r/>
      <w:r>
        <w:t>O ouro tinha valor comercial. Era importado nos dias de Salomão, e até 23 mil quilos eram trazidos para Israel anualmente (</w:t>
      </w:r>
      <w:hyperlink r:id="rId14508">
        <w:r>
          <w:rPr>
            <w:color w:val="0000EE"/>
            <w:u w:val="single"/>
          </w:rPr>
          <w:t>1Rs 10.14</w:t>
        </w:r>
      </w:hyperlink>
      <w:r>
        <w:t>). Hirão de Tiro deu a Salomão 4 mil quilos de ouro (</w:t>
      </w:r>
      <w:hyperlink r:id="rId14509">
        <w:r>
          <w:rPr>
            <w:color w:val="0000EE"/>
            <w:u w:val="single"/>
          </w:rPr>
          <w:t>9.14</w:t>
        </w:r>
      </w:hyperlink>
      <w:r>
        <w:t>), possivelmente como um empréstimo. Certamente, Salomão usou muito ouro no templo (</w:t>
      </w:r>
      <w:hyperlink r:id="rId14510">
        <w:r>
          <w:rPr>
            <w:color w:val="0000EE"/>
            <w:u w:val="single"/>
          </w:rPr>
          <w:t>10.16–17</w:t>
        </w:r>
      </w:hyperlink>
      <w:r>
        <w:t>). O ouro também era útil para subornar um inimigo (</w:t>
      </w:r>
      <w:hyperlink r:id="rId14505">
        <w:r>
          <w:rPr>
            <w:color w:val="0000EE"/>
            <w:u w:val="single"/>
          </w:rPr>
          <w:t>2Rs 16.8</w:t>
        </w:r>
      </w:hyperlink>
      <w:r>
        <w:t>) ou simplesmente como tributo (</w:t>
      </w:r>
      <w:hyperlink r:id="rId14506">
        <w:r>
          <w:rPr>
            <w:color w:val="0000EE"/>
            <w:u w:val="single"/>
          </w:rPr>
          <w:t>18.14</w:t>
        </w:r>
      </w:hyperlink>
      <w:r>
        <w:t>). Evidências disso também vêm dos anais assírios, onde o tributo tomado de várias terras frequentemente incluía ouro.</w:t>
      </w:r>
    </w:p>
    <w:p>
      <w:r/>
      <w:r>
        <w:t>A posse de ouro não era em si algo ruim, mas a preocupação com sua acumulação era condenada (</w:t>
      </w:r>
      <w:hyperlink r:id="rId14511">
        <w:r>
          <w:rPr>
            <w:color w:val="0000EE"/>
            <w:u w:val="single"/>
          </w:rPr>
          <w:t>Jó 28.15–17</w:t>
        </w:r>
      </w:hyperlink>
      <w:r>
        <w:t xml:space="preserve">; </w:t>
      </w:r>
      <w:hyperlink r:id="rId14512">
        <w:r>
          <w:rPr>
            <w:color w:val="0000EE"/>
            <w:u w:val="single"/>
          </w:rPr>
          <w:t>Pv 3.14</w:t>
        </w:r>
      </w:hyperlink>
      <w:r>
        <w:t xml:space="preserve">; </w:t>
      </w:r>
      <w:hyperlink r:id="rId14513">
        <w:r>
          <w:rPr>
            <w:color w:val="0000EE"/>
            <w:u w:val="single"/>
          </w:rPr>
          <w:t>8.10,19</w:t>
        </w:r>
      </w:hyperlink>
      <w:r>
        <w:t xml:space="preserve">; </w:t>
      </w:r>
      <w:hyperlink r:id="rId14514">
        <w:r>
          <w:rPr>
            <w:color w:val="0000EE"/>
            <w:u w:val="single"/>
          </w:rPr>
          <w:t>16.16</w:t>
        </w:r>
      </w:hyperlink>
      <w:r>
        <w:t>). A posse de sabedoria e o conhecimento de Deus eram de maior valor do que a posse de muito ouro (</w:t>
      </w:r>
      <w:hyperlink r:id="rId14185">
        <w:r>
          <w:rPr>
            <w:color w:val="0000EE"/>
            <w:u w:val="single"/>
          </w:rPr>
          <w:t>Sl 19.10</w:t>
        </w:r>
      </w:hyperlink>
      <w:r>
        <w:t xml:space="preserve">; </w:t>
      </w:r>
      <w:hyperlink r:id="rId14515">
        <w:r>
          <w:rPr>
            <w:color w:val="0000EE"/>
            <w:u w:val="single"/>
          </w:rPr>
          <w:t>119.72,127</w:t>
        </w:r>
      </w:hyperlink>
      <w:r>
        <w:t xml:space="preserve">; </w:t>
      </w:r>
      <w:hyperlink r:id="rId14516">
        <w:r>
          <w:rPr>
            <w:color w:val="0000EE"/>
            <w:u w:val="single"/>
          </w:rPr>
          <w:t>Pv 20.15</w:t>
        </w:r>
      </w:hyperlink>
      <w:r>
        <w:t>). Jó rejeitou a confiança no ouro (</w:t>
      </w:r>
      <w:hyperlink r:id="rId14517">
        <w:r>
          <w:rPr>
            <w:color w:val="0000EE"/>
            <w:u w:val="single"/>
          </w:rPr>
          <w:t>Jó 31.24</w:t>
        </w:r>
      </w:hyperlink>
      <w:r>
        <w:t>). O ouro não salvaria um homem no dia do julgamento (</w:t>
      </w:r>
      <w:hyperlink r:id="rId14518">
        <w:r>
          <w:rPr>
            <w:color w:val="0000EE"/>
            <w:u w:val="single"/>
          </w:rPr>
          <w:t>Sf 1.18</w:t>
        </w:r>
      </w:hyperlink>
      <w:r>
        <w:t>).</w:t>
      </w:r>
    </w:p>
    <w:p>
      <w:r/>
      <w:r>
        <w:t>No Novo Testamento, o ouro era considerado perecível (</w:t>
      </w:r>
      <w:hyperlink r:id="rId14519">
        <w:r>
          <w:rPr>
            <w:color w:val="0000EE"/>
            <w:u w:val="single"/>
          </w:rPr>
          <w:t>Tg 5.3</w:t>
        </w:r>
      </w:hyperlink>
      <w:r>
        <w:t xml:space="preserve">; </w:t>
      </w:r>
      <w:hyperlink r:id="rId6338">
        <w:r>
          <w:rPr>
            <w:color w:val="0000EE"/>
            <w:u w:val="single"/>
          </w:rPr>
          <w:t>1Pe 1.18</w:t>
        </w:r>
      </w:hyperlink>
      <w:r>
        <w:t>) e um fardo desnecessário para carregar (</w:t>
      </w:r>
      <w:hyperlink r:id="rId3834">
        <w:r>
          <w:rPr>
            <w:color w:val="0000EE"/>
            <w:u w:val="single"/>
          </w:rPr>
          <w:t>Mt 10.9</w:t>
        </w:r>
      </w:hyperlink>
      <w:r>
        <w:t xml:space="preserve">; </w:t>
      </w:r>
      <w:hyperlink r:id="rId14520">
        <w:r>
          <w:rPr>
            <w:color w:val="0000EE"/>
            <w:u w:val="single"/>
          </w:rPr>
          <w:t>At 3.6</w:t>
        </w:r>
      </w:hyperlink>
      <w:r>
        <w:t>). O uso de um anel de ouro certamente não era uma medida do valor de um homem (</w:t>
      </w:r>
      <w:hyperlink r:id="rId12341">
        <w:r>
          <w:rPr>
            <w:color w:val="0000EE"/>
            <w:u w:val="single"/>
          </w:rPr>
          <w:t>Tg 2.2</w:t>
        </w:r>
      </w:hyperlink>
      <w:r>
        <w:t>); de fato, tanto Paulo quanto Pedro o proibiram (</w:t>
      </w:r>
      <w:hyperlink r:id="rId14521">
        <w:r>
          <w:rPr>
            <w:color w:val="0000EE"/>
            <w:u w:val="single"/>
          </w:rPr>
          <w:t>1Tm 2.9</w:t>
        </w:r>
      </w:hyperlink>
      <w:r>
        <w:t xml:space="preserve">; </w:t>
      </w:r>
      <w:hyperlink r:id="rId3925">
        <w:r>
          <w:rPr>
            <w:color w:val="0000EE"/>
            <w:u w:val="single"/>
          </w:rPr>
          <w:t>1Pe 3.3</w:t>
        </w:r>
      </w:hyperlink>
      <w:r>
        <w:t>).</w:t>
      </w:r>
    </w:p>
    <w:p>
      <w:r/>
      <w:r>
        <w:t xml:space="preserve">O uso do ouro em si não era uma medida de piedade. Os anciãos de </w:t>
      </w:r>
      <w:hyperlink r:id="rId3909">
        <w:r>
          <w:rPr>
            <w:color w:val="0000EE"/>
            <w:u w:val="single"/>
          </w:rPr>
          <w:t>Apocalipse 4.4</w:t>
        </w:r>
      </w:hyperlink>
      <w:r>
        <w:t xml:space="preserve"> usavam coroas de ouro, mas a grande prostituta estava "adornada com ouro" (</w:t>
      </w:r>
      <w:hyperlink r:id="rId4083">
        <w:r>
          <w:rPr>
            <w:color w:val="0000EE"/>
            <w:u w:val="single"/>
          </w:rPr>
          <w:t>Ap 17.4</w:t>
        </w:r>
      </w:hyperlink>
      <w:r>
        <w:t>), assim como a cidade prostituta Babilônia (</w:t>
      </w:r>
      <w:hyperlink r:id="rId5604">
        <w:r>
          <w:rPr>
            <w:color w:val="0000EE"/>
            <w:u w:val="single"/>
          </w:rPr>
          <w:t>18.16</w:t>
        </w:r>
      </w:hyperlink>
      <w:r>
        <w:t>). Em contraste, há algumas declarações positivas no NT sobre o valor do ouro (</w:t>
      </w:r>
      <w:hyperlink r:id="rId14135">
        <w:r>
          <w:rPr>
            <w:color w:val="0000EE"/>
            <w:u w:val="single"/>
          </w:rPr>
          <w:t>3.18</w:t>
        </w:r>
      </w:hyperlink>
      <w:r>
        <w:t>). Os magos trouxeram ouro para o menino Jesus como um símbolo de seu caráter real (</w:t>
      </w:r>
      <w:hyperlink r:id="rId10956">
        <w:r>
          <w:rPr>
            <w:color w:val="0000EE"/>
            <w:u w:val="single"/>
          </w:rPr>
          <w:t>Mt 2.11</w:t>
        </w:r>
      </w:hyperlink>
      <w:r>
        <w:t>), e a Cidade Santa, a nova Jerusalém, era uma cidade de ouro, clara como vidro (</w:t>
      </w:r>
      <w:hyperlink r:id="rId14522">
        <w:r>
          <w:rPr>
            <w:color w:val="0000EE"/>
            <w:u w:val="single"/>
          </w:rPr>
          <w:t>Ap 21.18</w:t>
        </w:r>
      </w:hyperlink>
      <w:r>
        <w:t>).</w:t>
      </w:r>
    </w:p>
    <w:p>
      <w:r/>
      <w:r>
        <w:t>No Antigo Testamento, a prata é mencionada em várias situações. Sendo um metal precioso, uma vez considerado mais valioso que o ouro, era regularmente usado no comércio para pagamentos de dívidas. Pequenos pedaços de prata eram pesados em uma balança contra um peso padrão. Abraão comprou a caverna em Macpela como local de sepultamento para Sara por 400 barras de prata e pesou o “dinheiro” de acordo com o valor atual do peso com o comerciante (</w:t>
      </w:r>
      <w:hyperlink r:id="rId7165">
        <w:r>
          <w:rPr>
            <w:color w:val="0000EE"/>
            <w:u w:val="single"/>
          </w:rPr>
          <w:t>Gn 23.15–16</w:t>
        </w:r>
      </w:hyperlink>
      <w:r>
        <w:t>). Os irmãos de José receberam 20 peças de prata como pagamento por José (</w:t>
      </w:r>
      <w:hyperlink r:id="rId4134">
        <w:r>
          <w:rPr>
            <w:color w:val="0000EE"/>
            <w:u w:val="single"/>
          </w:rPr>
          <w:t>Gn 37.28</w:t>
        </w:r>
      </w:hyperlink>
      <w:r>
        <w:t>), e Benjamim recebeu um presente em dinheiro de José em peças de prata (</w:t>
      </w:r>
      <w:hyperlink r:id="rId14523">
        <w:r>
          <w:rPr>
            <w:color w:val="0000EE"/>
            <w:u w:val="single"/>
          </w:rPr>
          <w:t>Gn 45.22</w:t>
        </w:r>
      </w:hyperlink>
      <w:r>
        <w:t>).</w:t>
      </w:r>
    </w:p>
    <w:p>
      <w:r/>
      <w:r>
        <w:t>Existem outros exemplos de pagamento em prata por mercadorias ou serviços (</w:t>
      </w:r>
      <w:hyperlink r:id="rId4133">
        <w:r>
          <w:rPr>
            <w:color w:val="0000EE"/>
            <w:u w:val="single"/>
          </w:rPr>
          <w:t>Gn 20.16</w:t>
        </w:r>
      </w:hyperlink>
      <w:r>
        <w:t xml:space="preserve">; </w:t>
      </w:r>
      <w:hyperlink r:id="rId14524">
        <w:r>
          <w:rPr>
            <w:color w:val="0000EE"/>
            <w:u w:val="single"/>
          </w:rPr>
          <w:t xml:space="preserve"> Êx 21.32</w:t>
        </w:r>
      </w:hyperlink>
      <w:r>
        <w:t xml:space="preserve">; </w:t>
      </w:r>
      <w:hyperlink r:id="rId7173">
        <w:r>
          <w:rPr>
            <w:color w:val="0000EE"/>
            <w:u w:val="single"/>
          </w:rPr>
          <w:t>Lv 27.16</w:t>
        </w:r>
      </w:hyperlink>
      <w:r>
        <w:t xml:space="preserve">; </w:t>
      </w:r>
      <w:hyperlink r:id="rId7168">
        <w:r>
          <w:rPr>
            <w:color w:val="0000EE"/>
            <w:u w:val="single"/>
          </w:rPr>
          <w:t>Js 24.32</w:t>
        </w:r>
      </w:hyperlink>
      <w:r>
        <w:t xml:space="preserve">; </w:t>
      </w:r>
      <w:hyperlink r:id="rId14525">
        <w:r>
          <w:rPr>
            <w:color w:val="0000EE"/>
            <w:u w:val="single"/>
          </w:rPr>
          <w:t>Jz 17.10</w:t>
        </w:r>
      </w:hyperlink>
      <w:r>
        <w:t xml:space="preserve">; </w:t>
      </w:r>
      <w:hyperlink r:id="rId2414">
        <w:r>
          <w:rPr>
            <w:color w:val="0000EE"/>
            <w:u w:val="single"/>
          </w:rPr>
          <w:t>2Sm 24.24</w:t>
        </w:r>
      </w:hyperlink>
      <w:r>
        <w:t xml:space="preserve">; </w:t>
      </w:r>
      <w:hyperlink r:id="rId14526">
        <w:r>
          <w:rPr>
            <w:color w:val="0000EE"/>
            <w:u w:val="single"/>
          </w:rPr>
          <w:t>Ne 7.72</w:t>
        </w:r>
      </w:hyperlink>
      <w:r>
        <w:t xml:space="preserve">; </w:t>
      </w:r>
      <w:hyperlink r:id="rId14527">
        <w:r>
          <w:rPr>
            <w:color w:val="0000EE"/>
            <w:u w:val="single"/>
          </w:rPr>
          <w:t>Jó 28.15</w:t>
        </w:r>
      </w:hyperlink>
      <w:r>
        <w:t xml:space="preserve">; </w:t>
      </w:r>
      <w:hyperlink r:id="rId14528">
        <w:r>
          <w:rPr>
            <w:color w:val="0000EE"/>
            <w:u w:val="single"/>
          </w:rPr>
          <w:t>Is 7.23</w:t>
        </w:r>
      </w:hyperlink>
      <w:r>
        <w:t xml:space="preserve">; </w:t>
      </w:r>
      <w:hyperlink r:id="rId2987">
        <w:r>
          <w:rPr>
            <w:color w:val="0000EE"/>
            <w:u w:val="single"/>
          </w:rPr>
          <w:t>46.6</w:t>
        </w:r>
      </w:hyperlink>
      <w:r>
        <w:t xml:space="preserve">; </w:t>
      </w:r>
      <w:hyperlink r:id="rId1287">
        <w:r>
          <w:rPr>
            <w:color w:val="0000EE"/>
            <w:u w:val="single"/>
          </w:rPr>
          <w:t>Am 2.6</w:t>
        </w:r>
      </w:hyperlink>
      <w:r>
        <w:t xml:space="preserve">; </w:t>
      </w:r>
      <w:hyperlink r:id="rId14216">
        <w:r>
          <w:rPr>
            <w:color w:val="0000EE"/>
            <w:u w:val="single"/>
          </w:rPr>
          <w:t>8.6</w:t>
        </w:r>
      </w:hyperlink>
      <w:r>
        <w:t>). A prata era uma medida da riqueza de um homem (</w:t>
      </w:r>
      <w:hyperlink r:id="rId1553">
        <w:r>
          <w:rPr>
            <w:color w:val="0000EE"/>
            <w:u w:val="single"/>
          </w:rPr>
          <w:t>Gn 13.2</w:t>
        </w:r>
      </w:hyperlink>
      <w:r>
        <w:t xml:space="preserve">; </w:t>
      </w:r>
      <w:hyperlink r:id="rId1612">
        <w:r>
          <w:rPr>
            <w:color w:val="0000EE"/>
            <w:u w:val="single"/>
          </w:rPr>
          <w:t>24.35</w:t>
        </w:r>
      </w:hyperlink>
      <w:r>
        <w:t xml:space="preserve">; </w:t>
      </w:r>
      <w:hyperlink r:id="rId14529">
        <w:r>
          <w:rPr>
            <w:color w:val="0000EE"/>
            <w:u w:val="single"/>
          </w:rPr>
          <w:t>Êx 25.3</w:t>
        </w:r>
      </w:hyperlink>
      <w:r>
        <w:t xml:space="preserve">; </w:t>
      </w:r>
      <w:hyperlink r:id="rId2965">
        <w:r>
          <w:rPr>
            <w:color w:val="0000EE"/>
            <w:u w:val="single"/>
          </w:rPr>
          <w:t>Nm 22.18</w:t>
        </w:r>
      </w:hyperlink>
      <w:r>
        <w:t xml:space="preserve">; </w:t>
      </w:r>
      <w:hyperlink r:id="rId8081">
        <w:r>
          <w:rPr>
            <w:color w:val="0000EE"/>
            <w:u w:val="single"/>
          </w:rPr>
          <w:t>Dt 7.25</w:t>
        </w:r>
      </w:hyperlink>
      <w:r>
        <w:t xml:space="preserve">; </w:t>
      </w:r>
      <w:hyperlink r:id="rId14518">
        <w:r>
          <w:rPr>
            <w:color w:val="0000EE"/>
            <w:u w:val="single"/>
          </w:rPr>
          <w:t>Sf 1.18</w:t>
        </w:r>
      </w:hyperlink>
      <w:r>
        <w:t xml:space="preserve">; </w:t>
      </w:r>
      <w:hyperlink r:id="rId537">
        <w:r>
          <w:rPr>
            <w:color w:val="0000EE"/>
            <w:u w:val="single"/>
          </w:rPr>
          <w:t>Ag 2.8</w:t>
        </w:r>
      </w:hyperlink>
      <w:r>
        <w:t xml:space="preserve">; </w:t>
      </w:r>
      <w:hyperlink r:id="rId12100">
        <w:r>
          <w:rPr>
            <w:color w:val="0000EE"/>
            <w:u w:val="single"/>
          </w:rPr>
          <w:t>Zc 6.11</w:t>
        </w:r>
      </w:hyperlink>
      <w:r>
        <w:t xml:space="preserve">). Um comentário incomum em </w:t>
      </w:r>
      <w:hyperlink r:id="rId7014">
        <w:r>
          <w:rPr>
            <w:color w:val="0000EE"/>
            <w:u w:val="single"/>
          </w:rPr>
          <w:t>1 Reis 10.21</w:t>
        </w:r>
      </w:hyperlink>
      <w:r>
        <w:t xml:space="preserve"> observa que nos dias de Salomão “não era considerada como qualquer coisa”, aparentemente porque era tão abundante. Era regularmente tomada como espólio (</w:t>
      </w:r>
      <w:hyperlink r:id="rId14530">
        <w:r>
          <w:rPr>
            <w:color w:val="0000EE"/>
            <w:u w:val="single"/>
          </w:rPr>
          <w:t>Js 6.19</w:t>
        </w:r>
      </w:hyperlink>
      <w:r>
        <w:t xml:space="preserve">; </w:t>
      </w:r>
      <w:hyperlink r:id="rId3859">
        <w:r>
          <w:rPr>
            <w:color w:val="0000EE"/>
            <w:u w:val="single"/>
          </w:rPr>
          <w:t>7.21</w:t>
        </w:r>
      </w:hyperlink>
      <w:r>
        <w:t xml:space="preserve">; </w:t>
      </w:r>
      <w:hyperlink r:id="rId14531">
        <w:r>
          <w:rPr>
            <w:color w:val="0000EE"/>
            <w:u w:val="single"/>
          </w:rPr>
          <w:t>1Rs 15.18</w:t>
        </w:r>
      </w:hyperlink>
      <w:r>
        <w:t>). Às vezes, o copo de um homem importante era feito de prata (</w:t>
      </w:r>
      <w:hyperlink r:id="rId4081">
        <w:r>
          <w:rPr>
            <w:color w:val="0000EE"/>
            <w:u w:val="single"/>
          </w:rPr>
          <w:t>Gn 44.2</w:t>
        </w:r>
      </w:hyperlink>
      <w:r>
        <w:t>). Às vezes, também, uma coroa real era feita de ouro e prata (</w:t>
      </w:r>
      <w:hyperlink r:id="rId12100">
        <w:r>
          <w:rPr>
            <w:color w:val="0000EE"/>
            <w:u w:val="single"/>
          </w:rPr>
          <w:t>Zc 6.11</w:t>
        </w:r>
      </w:hyperlink>
      <w:r>
        <w:t>). Era importante na fabricação de ornamentos pessoais (</w:t>
      </w:r>
      <w:hyperlink r:id="rId12655">
        <w:r>
          <w:rPr>
            <w:color w:val="0000EE"/>
            <w:u w:val="single"/>
          </w:rPr>
          <w:t>Gn 24.53</w:t>
        </w:r>
      </w:hyperlink>
      <w:r>
        <w:t xml:space="preserve">; </w:t>
      </w:r>
      <w:hyperlink r:id="rId14482">
        <w:r>
          <w:rPr>
            <w:color w:val="0000EE"/>
            <w:u w:val="single"/>
          </w:rPr>
          <w:t>Êx 3.22</w:t>
        </w:r>
      </w:hyperlink>
      <w:r>
        <w:t xml:space="preserve">; </w:t>
      </w:r>
      <w:hyperlink r:id="rId14483">
        <w:r>
          <w:rPr>
            <w:color w:val="0000EE"/>
            <w:u w:val="single"/>
          </w:rPr>
          <w:t>12.35</w:t>
        </w:r>
      </w:hyperlink>
      <w:r>
        <w:t>), e um exemplo é dado de ornamentos de ouro cravejados com prata (</w:t>
      </w:r>
      <w:hyperlink r:id="rId14532">
        <w:r>
          <w:rPr>
            <w:color w:val="0000EE"/>
            <w:u w:val="single"/>
          </w:rPr>
          <w:t>Ct 1.11</w:t>
        </w:r>
      </w:hyperlink>
      <w:r>
        <w:t>).</w:t>
      </w:r>
    </w:p>
    <w:p>
      <w:r/>
      <w:r>
        <w:t>O processo de refinar a prata foi usado como uma metáfora para testar os corações das pessoas (</w:t>
      </w:r>
      <w:hyperlink r:id="rId14533">
        <w:r>
          <w:rPr>
            <w:color w:val="0000EE"/>
            <w:u w:val="single"/>
          </w:rPr>
          <w:t>Sl 66.10</w:t>
        </w:r>
      </w:hyperlink>
      <w:r>
        <w:t xml:space="preserve">; </w:t>
      </w:r>
      <w:hyperlink r:id="rId9619">
        <w:r>
          <w:rPr>
            <w:color w:val="0000EE"/>
            <w:u w:val="single"/>
          </w:rPr>
          <w:t>Is 48.10</w:t>
        </w:r>
      </w:hyperlink>
      <w:r>
        <w:t>), e o embaçamento e a deterioração da prata eram uma imagem da desintegração do caráter de alguém (</w:t>
      </w:r>
      <w:hyperlink r:id="rId14534">
        <w:r>
          <w:rPr>
            <w:color w:val="0000EE"/>
            <w:u w:val="single"/>
          </w:rPr>
          <w:t>Is 1.22</w:t>
        </w:r>
      </w:hyperlink>
      <w:r>
        <w:t xml:space="preserve">; </w:t>
      </w:r>
      <w:hyperlink r:id="rId14535">
        <w:r>
          <w:rPr>
            <w:color w:val="0000EE"/>
            <w:u w:val="single"/>
          </w:rPr>
          <w:t>Jr 6.30</w:t>
        </w:r>
      </w:hyperlink>
      <w:r>
        <w:t>). A Palavra de Deus é retratada como prata “pura” refinada e purificada em uma fornalha. Apesar do grande valor da prata, a sabedoria a supera (</w:t>
      </w:r>
      <w:hyperlink r:id="rId14527">
        <w:r>
          <w:rPr>
            <w:color w:val="0000EE"/>
            <w:u w:val="single"/>
          </w:rPr>
          <w:t>Jó 28.15</w:t>
        </w:r>
      </w:hyperlink>
      <w:r>
        <w:t xml:space="preserve">; </w:t>
      </w:r>
      <w:hyperlink r:id="rId14512">
        <w:r>
          <w:rPr>
            <w:color w:val="0000EE"/>
            <w:u w:val="single"/>
          </w:rPr>
          <w:t>Pv 3.14</w:t>
        </w:r>
      </w:hyperlink>
      <w:r>
        <w:t xml:space="preserve">; </w:t>
      </w:r>
      <w:hyperlink r:id="rId14536">
        <w:r>
          <w:rPr>
            <w:color w:val="0000EE"/>
            <w:u w:val="single"/>
          </w:rPr>
          <w:t>8.19</w:t>
        </w:r>
      </w:hyperlink>
      <w:r>
        <w:t xml:space="preserve">; </w:t>
      </w:r>
      <w:hyperlink r:id="rId14481">
        <w:r>
          <w:rPr>
            <w:color w:val="0000EE"/>
            <w:u w:val="single"/>
          </w:rPr>
          <w:t>10.20</w:t>
        </w:r>
      </w:hyperlink>
      <w:r>
        <w:t xml:space="preserve">; </w:t>
      </w:r>
      <w:hyperlink r:id="rId14514">
        <w:r>
          <w:rPr>
            <w:color w:val="0000EE"/>
            <w:u w:val="single"/>
          </w:rPr>
          <w:t>16.16</w:t>
        </w:r>
      </w:hyperlink>
      <w:r>
        <w:t xml:space="preserve">; </w:t>
      </w:r>
      <w:hyperlink r:id="rId14537">
        <w:r>
          <w:rPr>
            <w:color w:val="0000EE"/>
            <w:u w:val="single"/>
          </w:rPr>
          <w:t>22.1</w:t>
        </w:r>
      </w:hyperlink>
      <w:r>
        <w:t xml:space="preserve">; </w:t>
      </w:r>
      <w:hyperlink r:id="rId5255">
        <w:r>
          <w:rPr>
            <w:color w:val="0000EE"/>
            <w:u w:val="single"/>
          </w:rPr>
          <w:t>25.11</w:t>
        </w:r>
      </w:hyperlink>
      <w:r>
        <w:t>).</w:t>
      </w:r>
    </w:p>
    <w:p>
      <w:r/>
      <w:r>
        <w:t xml:space="preserve">Cobre nativo é mencionado em </w:t>
      </w:r>
      <w:hyperlink r:id="rId2326">
        <w:r>
          <w:rPr>
            <w:color w:val="0000EE"/>
            <w:u w:val="single"/>
          </w:rPr>
          <w:t>Deuteronômio 8.9</w:t>
        </w:r>
      </w:hyperlink>
      <w:r>
        <w:t>, embora a referência possa ser a um de seus minérios. Mais comumente, referências bíblicas são ao latão, a liga de cobre e zinco. No entanto, a análise química de ferramentas e implementos à base de cobre durante as idades do Bronze médio e tardio (c. 2000–1200 a.C.) mostra que o material era bronze. Referências a latão em algumas bíblias são, na verdade, a bronze.</w:t>
      </w:r>
    </w:p>
    <w:p>
      <w:r/>
      <w:r>
        <w:t xml:space="preserve">Nos tempos do NT, o cobre na forma de ligas (bronze e latão) era amplamente utilizado. A cunhagem de moedas de bronze era bem conhecida e este pode ser o sentido de </w:t>
      </w:r>
      <w:hyperlink r:id="rId3834">
        <w:r>
          <w:rPr>
            <w:color w:val="0000EE"/>
            <w:u w:val="single"/>
          </w:rPr>
          <w:t>Mateus 10.9</w:t>
        </w:r>
      </w:hyperlink>
      <w:r>
        <w:t>. A moeda da viúva era uma pequena moeda de bronze, o lepton. Utensílios e vasos de bronze eram bem conhecidos (</w:t>
      </w:r>
      <w:hyperlink r:id="rId14538">
        <w:r>
          <w:rPr>
            <w:color w:val="0000EE"/>
            <w:u w:val="single"/>
          </w:rPr>
          <w:t>Ap 9.20</w:t>
        </w:r>
      </w:hyperlink>
      <w:r>
        <w:t xml:space="preserve">; </w:t>
      </w:r>
      <w:hyperlink r:id="rId5592">
        <w:r>
          <w:rPr>
            <w:color w:val="0000EE"/>
            <w:u w:val="single"/>
          </w:rPr>
          <w:t>18.12</w:t>
        </w:r>
      </w:hyperlink>
      <w:r>
        <w:t xml:space="preserve">). A referência a “o barulho de um sino” (NTLH) em </w:t>
      </w:r>
      <w:hyperlink r:id="rId14539">
        <w:r>
          <w:rPr>
            <w:color w:val="0000EE"/>
            <w:u w:val="single"/>
          </w:rPr>
          <w:t>1 Coríntios 13.1</w:t>
        </w:r>
      </w:hyperlink>
      <w:r>
        <w:t xml:space="preserve"> pode na verdade ser ao latão, que era uma liga brilhante e reluzente, usada em instrumentos musicais. Na visão de João em Apocalipse (</w:t>
      </w:r>
      <w:hyperlink r:id="rId9625">
        <w:r>
          <w:rPr>
            <w:color w:val="0000EE"/>
            <w:u w:val="single"/>
          </w:rPr>
          <w:t>Ap 1.15</w:t>
        </w:r>
      </w:hyperlink>
      <w:r>
        <w:t xml:space="preserve">; </w:t>
      </w:r>
      <w:hyperlink r:id="rId14540">
        <w:r>
          <w:rPr>
            <w:color w:val="0000EE"/>
            <w:u w:val="single"/>
          </w:rPr>
          <w:t>2.18</w:t>
        </w:r>
      </w:hyperlink>
      <w:r>
        <w:t>), o Filho do Homem tinha pés de bronze refinado (NTLH).</w:t>
      </w:r>
    </w:p>
    <w:p>
      <w:r/>
      <w:r>
        <w:t>A Idade do Ferro começou na Palestina por volta de 1200 a.C., ou seja, nos dias dos juízes, embora o ferro nativo já fosse conhecido no Egito no período pré-dinástico. Evidências arqueológicas sugerem que a fundição de minério de ferro foi descoberta pelos hititas por volta de 1400 a.C. Os filisteus parecem ter introduzido o ferro na Palestina por volta de 1300 a.C. Nos dias de Moisés, um encontro com os midianitas resultou em muito tributo, entre os quais o ferro é mencionado (</w:t>
      </w:r>
      <w:hyperlink r:id="rId14541">
        <w:r>
          <w:rPr>
            <w:color w:val="0000EE"/>
            <w:u w:val="single"/>
          </w:rPr>
          <w:t>Nm 31.22</w:t>
        </w:r>
      </w:hyperlink>
      <w:r>
        <w:t>). Quando Israel capturou Jericó, os despojos incluíam ferro (</w:t>
      </w:r>
      <w:hyperlink r:id="rId12179">
        <w:r>
          <w:rPr>
            <w:color w:val="0000EE"/>
            <w:u w:val="single"/>
          </w:rPr>
          <w:t>Js 6.24</w:t>
        </w:r>
      </w:hyperlink>
      <w:r>
        <w:t>). A meia tribo de Manassés também tomou espólios, incluindo ferro (</w:t>
      </w:r>
      <w:hyperlink r:id="rId14542">
        <w:r>
          <w:rPr>
            <w:color w:val="0000EE"/>
            <w:u w:val="single"/>
          </w:rPr>
          <w:t>22.8</w:t>
        </w:r>
      </w:hyperlink>
      <w:r>
        <w:t>). Nos dias dos juízes, os cananeus estavam equipados com carros de ferro (</w:t>
      </w:r>
      <w:hyperlink r:id="rId14543">
        <w:r>
          <w:rPr>
            <w:color w:val="0000EE"/>
            <w:u w:val="single"/>
          </w:rPr>
          <w:t>Js 17.16–18</w:t>
        </w:r>
      </w:hyperlink>
      <w:r>
        <w:t xml:space="preserve">; </w:t>
      </w:r>
      <w:hyperlink r:id="rId9221">
        <w:r>
          <w:rPr>
            <w:color w:val="0000EE"/>
            <w:u w:val="single"/>
          </w:rPr>
          <w:t>Jz 1.19</w:t>
        </w:r>
      </w:hyperlink>
      <w:r>
        <w:t xml:space="preserve">; </w:t>
      </w:r>
      <w:hyperlink r:id="rId12502">
        <w:r>
          <w:rPr>
            <w:color w:val="0000EE"/>
            <w:u w:val="single"/>
          </w:rPr>
          <w:t>4.3</w:t>
        </w:r>
      </w:hyperlink>
      <w:r>
        <w:t>).</w:t>
      </w:r>
    </w:p>
    <w:p>
      <w:r/>
      <w:r>
        <w:t>Essas primeiras referências indicam a chegada do ferro no início da Idade do Ferro. Os filisteus tinham um monopólio local em seu uso (</w:t>
      </w:r>
      <w:hyperlink r:id="rId6591">
        <w:r>
          <w:rPr>
            <w:color w:val="0000EE"/>
            <w:u w:val="single"/>
          </w:rPr>
          <w:t>1Sm 13.19–21</w:t>
        </w:r>
      </w:hyperlink>
      <w:r>
        <w:t>), e seu poderoso guerreiro Golias estava armado com uma lança de ferro (</w:t>
      </w:r>
      <w:hyperlink r:id="rId2517">
        <w:r>
          <w:rPr>
            <w:color w:val="0000EE"/>
            <w:u w:val="single"/>
          </w:rPr>
          <w:t>17.7</w:t>
        </w:r>
      </w:hyperlink>
      <w:r>
        <w:t>). No entanto, não demorou muito para que Israel aprendesse a usar o ferro (</w:t>
      </w:r>
      <w:hyperlink r:id="rId1142">
        <w:r>
          <w:rPr>
            <w:color w:val="0000EE"/>
            <w:u w:val="single"/>
          </w:rPr>
          <w:t>2Sm 12.31</w:t>
        </w:r>
      </w:hyperlink>
      <w:r>
        <w:t xml:space="preserve">; </w:t>
      </w:r>
      <w:hyperlink r:id="rId14544">
        <w:r>
          <w:rPr>
            <w:color w:val="0000EE"/>
            <w:u w:val="single"/>
          </w:rPr>
          <w:t>23.7</w:t>
        </w:r>
      </w:hyperlink>
      <w:r>
        <w:t>). Evidentemente, na época de Salomão, o ferro era amplamente utilizado, pois os construtores do templo foram proibidos de usar ferramentas de ferro (</w:t>
      </w:r>
      <w:hyperlink r:id="rId14545">
        <w:r>
          <w:rPr>
            <w:color w:val="0000EE"/>
            <w:u w:val="single"/>
          </w:rPr>
          <w:t>1Rs 6.7</w:t>
        </w:r>
      </w:hyperlink>
      <w:r>
        <w:t>). O falso profeta Zedequias, nos dias de Acabe, usou chifres de ferro para avançar contra a Síria enquanto falava de sua derrota (</w:t>
      </w:r>
      <w:hyperlink r:id="rId4812">
        <w:r>
          <w:rPr>
            <w:color w:val="0000EE"/>
            <w:u w:val="single"/>
          </w:rPr>
          <w:t>22.11</w:t>
        </w:r>
      </w:hyperlink>
      <w:r>
        <w:t>).</w:t>
      </w:r>
    </w:p>
    <w:p>
      <w:r/>
      <w:r>
        <w:t>O profeta Isaías no século VIII a.C. referiu-se ao ferro (</w:t>
      </w:r>
      <w:hyperlink r:id="rId12976">
        <w:r>
          <w:rPr>
            <w:color w:val="0000EE"/>
            <w:u w:val="single"/>
          </w:rPr>
          <w:t>Is 10.34</w:t>
        </w:r>
      </w:hyperlink>
      <w:r>
        <w:t>), e Jeremias mais tarde mencionou o metal em vários lugares (</w:t>
      </w:r>
      <w:hyperlink r:id="rId14546">
        <w:r>
          <w:rPr>
            <w:color w:val="0000EE"/>
            <w:u w:val="single"/>
          </w:rPr>
          <w:t>Jr 1.18</w:t>
        </w:r>
      </w:hyperlink>
      <w:r>
        <w:t xml:space="preserve">; </w:t>
      </w:r>
      <w:hyperlink r:id="rId14547">
        <w:r>
          <w:rPr>
            <w:color w:val="0000EE"/>
            <w:u w:val="single"/>
          </w:rPr>
          <w:t>6.28</w:t>
        </w:r>
      </w:hyperlink>
      <w:r>
        <w:t xml:space="preserve">; </w:t>
      </w:r>
      <w:hyperlink r:id="rId9620">
        <w:r>
          <w:rPr>
            <w:color w:val="0000EE"/>
            <w:u w:val="single"/>
          </w:rPr>
          <w:t>11.4</w:t>
        </w:r>
      </w:hyperlink>
      <w:r>
        <w:t xml:space="preserve">; </w:t>
      </w:r>
      <w:hyperlink r:id="rId14548">
        <w:r>
          <w:rPr>
            <w:color w:val="0000EE"/>
            <w:u w:val="single"/>
          </w:rPr>
          <w:t>15.12</w:t>
        </w:r>
      </w:hyperlink>
      <w:r>
        <w:t xml:space="preserve">; </w:t>
      </w:r>
      <w:hyperlink r:id="rId14549">
        <w:r>
          <w:rPr>
            <w:color w:val="0000EE"/>
            <w:u w:val="single"/>
          </w:rPr>
          <w:t>17.1</w:t>
        </w:r>
      </w:hyperlink>
      <w:r>
        <w:t xml:space="preserve">; </w:t>
      </w:r>
      <w:hyperlink r:id="rId14550">
        <w:r>
          <w:rPr>
            <w:color w:val="0000EE"/>
            <w:u w:val="single"/>
          </w:rPr>
          <w:t>28.13–14</w:t>
        </w:r>
      </w:hyperlink>
      <w:r>
        <w:t>). Ezequiel fez uso de uma placa de ferro em uma de suas ações simbólicas (</w:t>
      </w:r>
      <w:hyperlink r:id="rId14551">
        <w:r>
          <w:rPr>
            <w:color w:val="0000EE"/>
            <w:u w:val="single"/>
          </w:rPr>
          <w:t>Ez 4.3</w:t>
        </w:r>
      </w:hyperlink>
      <w:r>
        <w:t>), referiu-se ao ferro em sua descrição de fundição (</w:t>
      </w:r>
      <w:hyperlink r:id="rId14552">
        <w:r>
          <w:rPr>
            <w:color w:val="0000EE"/>
            <w:u w:val="single"/>
          </w:rPr>
          <w:t>22.18,20</w:t>
        </w:r>
      </w:hyperlink>
      <w:r>
        <w:t>), e listou-o como uma mercadoria para comércio (</w:t>
      </w:r>
      <w:hyperlink r:id="rId14553">
        <w:r>
          <w:rPr>
            <w:color w:val="0000EE"/>
            <w:u w:val="single"/>
          </w:rPr>
          <w:t>27.12,19</w:t>
        </w:r>
      </w:hyperlink>
      <w:r>
        <w:t>). O profeta Amós falou de instrumentos de debulha de ferro (</w:t>
      </w:r>
      <w:hyperlink r:id="rId1277">
        <w:r>
          <w:rPr>
            <w:color w:val="0000EE"/>
            <w:u w:val="single"/>
          </w:rPr>
          <w:t>Am 1.3</w:t>
        </w:r>
      </w:hyperlink>
      <w:r>
        <w:t>). Miquéias usou o ferro como símbolo de poder militar (</w:t>
      </w:r>
      <w:hyperlink r:id="rId14554">
        <w:r>
          <w:rPr>
            <w:color w:val="0000EE"/>
            <w:u w:val="single"/>
          </w:rPr>
          <w:t>Mq 4.13</w:t>
        </w:r>
      </w:hyperlink>
      <w:r>
        <w:t>). O livro de Daniel faz várias referências a ele (</w:t>
      </w:r>
      <w:hyperlink r:id="rId14555">
        <w:r>
          <w:rPr>
            <w:color w:val="0000EE"/>
            <w:u w:val="single"/>
          </w:rPr>
          <w:t>Dn 2.33–35,40–45</w:t>
        </w:r>
      </w:hyperlink>
      <w:r>
        <w:t xml:space="preserve">; </w:t>
      </w:r>
      <w:hyperlink r:id="rId14556">
        <w:r>
          <w:rPr>
            <w:color w:val="0000EE"/>
            <w:u w:val="single"/>
          </w:rPr>
          <w:t>4.15,23</w:t>
        </w:r>
      </w:hyperlink>
      <w:r>
        <w:t xml:space="preserve">; </w:t>
      </w:r>
      <w:hyperlink r:id="rId14557">
        <w:r>
          <w:rPr>
            <w:color w:val="0000EE"/>
            <w:u w:val="single"/>
          </w:rPr>
          <w:t>7.7,19</w:t>
        </w:r>
      </w:hyperlink>
      <w:r>
        <w:t>).</w:t>
      </w:r>
    </w:p>
    <w:p>
      <w:r/>
      <w:r>
        <w:t>Na época romana, armas de ferro eram os instrumentos comuns de guerra. Portões de ferro eram usados para fechar prisões (</w:t>
      </w:r>
      <w:hyperlink r:id="rId14558">
        <w:r>
          <w:rPr>
            <w:color w:val="0000EE"/>
            <w:u w:val="single"/>
          </w:rPr>
          <w:t>At 12.10</w:t>
        </w:r>
      </w:hyperlink>
      <w:r>
        <w:t>), e em um uso simbólico, poderosos governantes eram ditos governar com uma vara de ferro (</w:t>
      </w:r>
      <w:hyperlink r:id="rId14559">
        <w:r>
          <w:rPr>
            <w:color w:val="0000EE"/>
            <w:u w:val="single"/>
          </w:rPr>
          <w:t>Ap 2.27</w:t>
        </w:r>
      </w:hyperlink>
      <w:r>
        <w:t xml:space="preserve">; </w:t>
      </w:r>
      <w:hyperlink r:id="rId14560">
        <w:r>
          <w:rPr>
            <w:color w:val="0000EE"/>
            <w:u w:val="single"/>
          </w:rPr>
          <w:t>9.9</w:t>
        </w:r>
      </w:hyperlink>
      <w:r>
        <w:t xml:space="preserve">; </w:t>
      </w:r>
      <w:hyperlink r:id="rId14561">
        <w:r>
          <w:rPr>
            <w:color w:val="0000EE"/>
            <w:u w:val="single"/>
          </w:rPr>
          <w:t>12.5</w:t>
        </w:r>
      </w:hyperlink>
      <w:r>
        <w:t xml:space="preserve">; </w:t>
      </w:r>
      <w:hyperlink r:id="rId14562">
        <w:r>
          <w:rPr>
            <w:color w:val="0000EE"/>
            <w:u w:val="single"/>
          </w:rPr>
          <w:t>19.15</w:t>
        </w:r>
      </w:hyperlink>
      <w:r>
        <w:t>). O termo "ferro" também era usado em algumas expressões metafóricas. A fundição de ferro era um símbolo de teste e sofrimento (</w:t>
      </w:r>
      <w:hyperlink r:id="rId9615">
        <w:r>
          <w:rPr>
            <w:color w:val="0000EE"/>
            <w:u w:val="single"/>
          </w:rPr>
          <w:t>Dt 4.20</w:t>
        </w:r>
      </w:hyperlink>
      <w:r>
        <w:t xml:space="preserve">; </w:t>
      </w:r>
      <w:hyperlink r:id="rId9616">
        <w:r>
          <w:rPr>
            <w:color w:val="0000EE"/>
            <w:u w:val="single"/>
          </w:rPr>
          <w:t>1Rs 8.51</w:t>
        </w:r>
      </w:hyperlink>
      <w:r>
        <w:t xml:space="preserve">; </w:t>
      </w:r>
      <w:hyperlink r:id="rId9620">
        <w:r>
          <w:rPr>
            <w:color w:val="0000EE"/>
            <w:u w:val="single"/>
          </w:rPr>
          <w:t>Jr 11.4</w:t>
        </w:r>
      </w:hyperlink>
      <w:r>
        <w:t xml:space="preserve">; </w:t>
      </w:r>
      <w:hyperlink r:id="rId14563">
        <w:r>
          <w:rPr>
            <w:color w:val="0000EE"/>
            <w:u w:val="single"/>
          </w:rPr>
          <w:t>Ez 22.18</w:t>
        </w:r>
      </w:hyperlink>
      <w:r>
        <w:t>), um pilar de ferro era simbólico de força (</w:t>
      </w:r>
      <w:hyperlink r:id="rId14546">
        <w:r>
          <w:rPr>
            <w:color w:val="0000EE"/>
            <w:u w:val="single"/>
          </w:rPr>
          <w:t>Jr 1.18</w:t>
        </w:r>
      </w:hyperlink>
      <w:r>
        <w:t>), e uma vara de ferro de governo severo (</w:t>
      </w:r>
      <w:hyperlink r:id="rId2514">
        <w:r>
          <w:rPr>
            <w:color w:val="0000EE"/>
            <w:u w:val="single"/>
          </w:rPr>
          <w:t>Sl 2.9</w:t>
        </w:r>
      </w:hyperlink>
      <w:r>
        <w:t xml:space="preserve">; </w:t>
      </w:r>
      <w:hyperlink r:id="rId14559">
        <w:r>
          <w:rPr>
            <w:color w:val="0000EE"/>
            <w:u w:val="single"/>
          </w:rPr>
          <w:t>Ap 2.27</w:t>
        </w:r>
      </w:hyperlink>
      <w:r>
        <w:t xml:space="preserve">; </w:t>
      </w:r>
      <w:hyperlink r:id="rId14561">
        <w:r>
          <w:rPr>
            <w:color w:val="0000EE"/>
            <w:u w:val="single"/>
          </w:rPr>
          <w:t>12.5</w:t>
        </w:r>
      </w:hyperlink>
      <w:r>
        <w:t xml:space="preserve">; </w:t>
      </w:r>
      <w:hyperlink r:id="rId14562">
        <w:r>
          <w:rPr>
            <w:color w:val="0000EE"/>
            <w:u w:val="single"/>
          </w:rPr>
          <w:t>19.15</w:t>
        </w:r>
      </w:hyperlink>
      <w:r>
        <w:t>).</w:t>
      </w:r>
    </w:p>
    <w:p>
      <w:r/>
      <w:r>
        <w:rPr>
          <w:i/>
        </w:rPr>
        <w:t>Veja também</w:t>
      </w:r>
      <w:r>
        <w:t xml:space="preserve"> </w:t>
      </w:r>
      <w:r>
        <w:t>Caldeireiro</w:t>
      </w:r>
      <w:r>
        <w:t xml:space="preserve">; </w:t>
      </w:r>
      <w:r>
        <w:t>Ourives</w:t>
      </w:r>
      <w:r>
        <w:t xml:space="preserve">; </w:t>
      </w:r>
      <w:r>
        <w:t>Ferreiro</w:t>
      </w:r>
      <w:r>
        <w:t xml:space="preserve">; </w:t>
      </w:r>
      <w:r>
        <w:t>Pedreiro, Alvenaria</w:t>
      </w:r>
      <w:r>
        <w:t xml:space="preserve">; </w:t>
      </w:r>
      <w:r>
        <w:t>Prateiro</w:t>
      </w:r>
      <w:r>
        <w:t xml:space="preserve">; </w:t>
      </w:r>
      <w:r>
        <w:t>Pedras Preciosas</w:t>
      </w:r>
      <w:r>
        <w:t>.</w:t>
      </w:r>
      <w:r/>
      <w:r/>
    </w:p>
    <w:p>
      <w:r/>
    </w:p>
    <w:p>
      <w:pPr>
        <w:pStyle w:val="Heading2"/>
      </w:pPr>
      <w:r>
        <w:t>Miriã</w:t>
      </w:r>
      <w:r/>
    </w:p>
    <w:p>
      <w:pPr>
        <w:pStyle w:val="ListNumber"/>
        <w:spacing w:line="240" w:lineRule="auto"/>
        <w:ind w:left="720"/>
      </w:pPr>
      <w:r/>
      <w:r>
        <w:t>Uma filha de Amrão e Joquebede e irmã de Arão e Moisés (</w:t>
      </w:r>
      <w:hyperlink r:id="rId6637">
        <w:r>
          <w:rPr>
            <w:color w:val="0000EE"/>
            <w:u w:val="single"/>
          </w:rPr>
          <w:t>Êx 15.20</w:t>
        </w:r>
      </w:hyperlink>
      <w:r>
        <w:t xml:space="preserve">; </w:t>
      </w:r>
      <w:hyperlink r:id="rId2371">
        <w:r>
          <w:rPr>
            <w:color w:val="0000EE"/>
            <w:u w:val="single"/>
          </w:rPr>
          <w:t>Nm 26.59</w:t>
        </w:r>
      </w:hyperlink>
      <w:r>
        <w:t xml:space="preserve">; </w:t>
      </w:r>
      <w:hyperlink r:id="rId126">
        <w:r>
          <w:rPr>
            <w:color w:val="0000EE"/>
            <w:u w:val="single"/>
          </w:rPr>
          <w:t>1Cr 6.3</w:t>
        </w:r>
      </w:hyperlink>
      <w:r>
        <w:t>). Miriã aparece pela primeira vez nas Escrituras como uma jovem. Sua tarefa era vigiar o berço de seu irmão bebê, escondido nos juncos do rio Nilo (</w:t>
      </w:r>
      <w:hyperlink r:id="rId14564">
        <w:r>
          <w:rPr>
            <w:color w:val="0000EE"/>
            <w:u w:val="single"/>
          </w:rPr>
          <w:t>Êx 2.4</w:t>
        </w:r>
      </w:hyperlink>
      <w:r>
        <w:t>). Seus pais elaboraram um plano (</w:t>
      </w:r>
      <w:hyperlink r:id="rId14565">
        <w:r>
          <w:rPr>
            <w:color w:val="0000EE"/>
            <w:u w:val="single"/>
          </w:rPr>
          <w:t>Hb 11.23</w:t>
        </w:r>
      </w:hyperlink>
      <w:r>
        <w:t>) para escapar da ordem do Faraó de afogar todos os meninos hebreus ao nascer (</w:t>
      </w:r>
      <w:hyperlink r:id="rId14566">
        <w:r>
          <w:rPr>
            <w:color w:val="0000EE"/>
            <w:u w:val="single"/>
          </w:rPr>
          <w:t>Êx 1.22</w:t>
        </w:r>
      </w:hyperlink>
      <w:r>
        <w:t>). Miriã demonstra coragem, preocupação e sabedoria quando a princesa egípcia encontra seu irmão (</w:t>
      </w:r>
      <w:hyperlink r:id="rId14567">
        <w:r>
          <w:rPr>
            <w:color w:val="0000EE"/>
            <w:u w:val="single"/>
          </w:rPr>
          <w:t>Êx 2.5–6</w:t>
        </w:r>
      </w:hyperlink>
      <w:r>
        <w:t>). Ela toma a iniciativa e se oferece para encontrar uma ama de leite para a criança. Quando aceitam seu plano, ela chama sua mãe (</w:t>
      </w:r>
      <w:hyperlink r:id="rId14568">
        <w:r>
          <w:rPr>
            <w:color w:val="0000EE"/>
            <w:u w:val="single"/>
          </w:rPr>
          <w:t>Êx 2.7–8</w:t>
        </w:r>
      </w:hyperlink>
      <w:r>
        <w:t>).</w:t>
      </w:r>
    </w:p>
    <w:p>
      <w:r/>
      <w:r>
        <w:t>Miriã é mencionada pelo nome pela primeira vez depois que os israelitas cruzaram o Mar Vermelho (</w:t>
      </w:r>
      <w:hyperlink r:id="rId6637">
        <w:r>
          <w:rPr>
            <w:color w:val="0000EE"/>
            <w:u w:val="single"/>
          </w:rPr>
          <w:t>Êx 15.20</w:t>
        </w:r>
      </w:hyperlink>
      <w:r>
        <w:t>). Ela é chamada de "profetisa" e, junto com seus irmãos, foi designada como líder de Israel (</w:t>
      </w:r>
      <w:hyperlink r:id="rId14569">
        <w:r>
          <w:rPr>
            <w:color w:val="0000EE"/>
            <w:u w:val="single"/>
          </w:rPr>
          <w:t>Mq 6.4</w:t>
        </w:r>
      </w:hyperlink>
      <w:r>
        <w:t>). Após o exército egípcio se afogar no mar, ela liderou as mulheres de Israel em um cântico de louvor com dança e instrumentos musicais (</w:t>
      </w:r>
      <w:hyperlink r:id="rId13147">
        <w:r>
          <w:rPr>
            <w:color w:val="0000EE"/>
            <w:u w:val="single"/>
          </w:rPr>
          <w:t>Êx 15.21</w:t>
        </w:r>
      </w:hyperlink>
      <w:r>
        <w:t>).</w:t>
      </w:r>
    </w:p>
    <w:p>
      <w:r/>
      <w:r>
        <w:t>Mais tarde, Miriã trouxe vergonha sobre si mesma ao sentir ciúmes de Moisés. Junto com Arão, ela reclamou de Moisés devido à sua maior influência entre o povo e porque ele havia se casado com uma mulher cuxita (</w:t>
      </w:r>
      <w:hyperlink r:id="rId10369">
        <w:r>
          <w:rPr>
            <w:color w:val="0000EE"/>
            <w:u w:val="single"/>
          </w:rPr>
          <w:t>Nm 12.1–2</w:t>
        </w:r>
      </w:hyperlink>
      <w:r>
        <w:t>). Por causa desse ataque contra o líder escolhido por Deus, Miriã foi atingida pela lepra (</w:t>
      </w:r>
      <w:hyperlink r:id="rId14570">
        <w:r>
          <w:rPr>
            <w:color w:val="0000EE"/>
            <w:u w:val="single"/>
          </w:rPr>
          <w:t>Nm 12.10</w:t>
        </w:r>
      </w:hyperlink>
      <w:r>
        <w:t>). Moisés, no entanto, orou por sua cura (</w:t>
      </w:r>
      <w:hyperlink r:id="rId14571">
        <w:r>
          <w:rPr>
            <w:color w:val="0000EE"/>
            <w:u w:val="single"/>
          </w:rPr>
          <w:t>Nm 12.9–13</w:t>
        </w:r>
      </w:hyperlink>
      <w:r>
        <w:t>). Ela foi restaurada à saúde, mas somente após passar sete dias vergonhosos fora do acampamento enquanto todo o Israel esperava para continuar sua jornada (</w:t>
      </w:r>
      <w:hyperlink r:id="rId14572">
        <w:r>
          <w:rPr>
            <w:color w:val="0000EE"/>
            <w:u w:val="single"/>
          </w:rPr>
          <w:t>Nm 12.14–15</w:t>
        </w:r>
      </w:hyperlink>
      <w:r>
        <w:t>). Este triste evento é o último registrado na vida pública de Miriã. Ela morreu perto do fim das peregrinações no deserto em Cades e foi enterrada lá (</w:t>
      </w:r>
      <w:hyperlink r:id="rId3971">
        <w:r>
          <w:rPr>
            <w:color w:val="0000EE"/>
            <w:u w:val="single"/>
          </w:rPr>
          <w:t>Nm 20.1</w:t>
        </w:r>
      </w:hyperlink>
      <w:r>
        <w:t>).</w:t>
      </w:r>
    </w:p>
    <w:p>
      <w:pPr>
        <w:pStyle w:val="ListNumber"/>
        <w:spacing w:line="240" w:lineRule="auto"/>
        <w:ind w:left="720"/>
      </w:pPr>
      <w:r/>
      <w:r>
        <w:t>Uma filha de Merede, que era um descendente de Esdras da tribo de Judá (</w:t>
      </w:r>
      <w:hyperlink r:id="rId7618">
        <w:r>
          <w:rPr>
            <w:color w:val="0000EE"/>
            <w:u w:val="single"/>
          </w:rPr>
          <w:t>1Cr 4.17</w:t>
        </w:r>
      </w:hyperlink>
      <w:r>
        <w:t>).</w:t>
      </w:r>
      <w:r/>
      <w:r/>
    </w:p>
    <w:p>
      <w:r/>
    </w:p>
    <w:p>
      <w:pPr>
        <w:pStyle w:val="Heading2"/>
      </w:pPr>
      <w:r>
        <w:t>Mirra</w:t>
      </w:r>
      <w:r/>
    </w:p>
    <w:p>
      <w:r/>
      <w:r>
        <w:t xml:space="preserve">Uma cidade portuária na costa sul da Ásia Menor, na província da Lícia, identificada com a moderna Demre na Turquia. De acordo com </w:t>
      </w:r>
      <w:hyperlink r:id="rId14573">
        <w:r>
          <w:rPr>
            <w:color w:val="0000EE"/>
            <w:u w:val="single"/>
          </w:rPr>
          <w:t>Atos 27.5–6</w:t>
        </w:r>
      </w:hyperlink>
      <w:r>
        <w:t>, Paulo e sua escolta militar pararam aqui por um curto período. Eles trocaram de navio em sua jornada para Roma, onde Paulo iria a julgamento perante César.</w:t>
      </w:r>
      <w:r/>
      <w:r/>
    </w:p>
    <w:p>
      <w:r/>
    </w:p>
    <w:p>
      <w:pPr>
        <w:pStyle w:val="Heading2"/>
      </w:pPr>
      <w:r>
        <w:t>Misael</w:t>
      </w:r>
      <w:r/>
    </w:p>
    <w:p>
      <w:pPr>
        <w:pStyle w:val="ListNumber"/>
        <w:spacing w:line="240" w:lineRule="auto"/>
        <w:ind w:left="720"/>
      </w:pPr>
      <w:r/>
      <w:r>
        <w:t>Filho de Uziel (</w:t>
      </w:r>
      <w:hyperlink r:id="rId7994">
        <w:r>
          <w:rPr>
            <w:color w:val="0000EE"/>
            <w:u w:val="single"/>
          </w:rPr>
          <w:t>Êx 6.22</w:t>
        </w:r>
      </w:hyperlink>
      <w:r>
        <w:t>). Junto com seu irmão Elzafã, Moisés o chamou para levar os corpos de Nadabe e Abiú. Deus havia matado Nadabe e Abiú porque eles não seguiram as regras de Deus para o altar (</w:t>
      </w:r>
      <w:hyperlink r:id="rId2375">
        <w:r>
          <w:rPr>
            <w:color w:val="0000EE"/>
            <w:u w:val="single"/>
          </w:rPr>
          <w:t>Lv 10.1–5</w:t>
        </w:r>
      </w:hyperlink>
      <w:r>
        <w:t>).</w:t>
      </w:r>
    </w:p>
    <w:p>
      <w:pPr>
        <w:pStyle w:val="ListNumber"/>
        <w:spacing w:line="240" w:lineRule="auto"/>
        <w:ind w:left="720"/>
      </w:pPr>
      <w:r/>
      <w:r>
        <w:t>Um que estava ao lado de Esdras quando a lei foi lida (</w:t>
      </w:r>
      <w:hyperlink r:id="rId14574">
        <w:r>
          <w:rPr>
            <w:color w:val="0000EE"/>
            <w:u w:val="single"/>
          </w:rPr>
          <w:t>Ne 8.4</w:t>
        </w:r>
      </w:hyperlink>
      <w:r>
        <w:t>).</w:t>
      </w:r>
    </w:p>
    <w:p>
      <w:pPr>
        <w:pStyle w:val="ListNumber"/>
        <w:spacing w:line="240" w:lineRule="auto"/>
        <w:ind w:left="720"/>
      </w:pPr>
      <w:r/>
      <w:r>
        <w:t>O nome hebraico de um dos amigos de Daniel na Babilônia (</w:t>
      </w:r>
      <w:hyperlink r:id="rId14575">
        <w:r>
          <w:rPr>
            <w:color w:val="0000EE"/>
            <w:u w:val="single"/>
          </w:rPr>
          <w:t>Dn 1.6</w:t>
        </w:r>
      </w:hyperlink>
      <w:r>
        <w:t>). Misael, Daniel e dois outros permaneceram fiéis a Deus (</w:t>
      </w:r>
      <w:hyperlink r:id="rId14576">
        <w:r>
          <w:rPr>
            <w:color w:val="0000EE"/>
            <w:u w:val="single"/>
          </w:rPr>
          <w:t>Dn 1.11,19</w:t>
        </w:r>
      </w:hyperlink>
      <w:r>
        <w:t>). Quando ele se recusou a seguir a ordem do rei, os homens de Nabucodonosor o jogaram em uma fornalha ardente. Mas Deus o salvou das chamas (</w:t>
      </w:r>
      <w:hyperlink r:id="rId6539">
        <w:r>
          <w:rPr>
            <w:color w:val="0000EE"/>
            <w:u w:val="single"/>
          </w:rPr>
          <w:t>Dn 3</w:t>
        </w:r>
      </w:hyperlink>
      <w:r>
        <w:t>). Seu nome babilônico era Mesaque (</w:t>
      </w:r>
      <w:hyperlink r:id="rId6519">
        <w:r>
          <w:rPr>
            <w:color w:val="0000EE"/>
            <w:u w:val="single"/>
          </w:rPr>
          <w:t>Dn 1.7</w:t>
        </w:r>
      </w:hyperlink>
      <w:r>
        <w:t>).</w:t>
      </w:r>
    </w:p>
    <w:p>
      <w:r/>
      <w:r>
        <w:rPr>
          <w:i/>
        </w:rPr>
        <w:t>Veja também</w:t>
      </w:r>
      <w:r>
        <w:t xml:space="preserve"> </w:t>
      </w:r>
      <w:r>
        <w:t>Sadraque, Mesaque e Abednego</w:t>
      </w:r>
      <w:r>
        <w:t>.</w:t>
      </w:r>
      <w:r/>
      <w:r/>
    </w:p>
    <w:p>
      <w:r/>
    </w:p>
    <w:p>
      <w:pPr>
        <w:pStyle w:val="Heading2"/>
      </w:pPr>
      <w:r>
        <w:t>Misericórdia</w:t>
      </w:r>
      <w:r/>
    </w:p>
    <w:p>
      <w:r/>
      <w:r>
        <w:t>Uma qualidade divina pela qual Deus cumpre fielmente suas promessas e mantém seu relacionamento de aliança com seu povo escolhido, apesar de sua indignidade e infidelidade (</w:t>
      </w:r>
      <w:hyperlink r:id="rId14577">
        <w:r>
          <w:rPr>
            <w:color w:val="0000EE"/>
            <w:u w:val="single"/>
          </w:rPr>
          <w:t>Dt 30.1–6</w:t>
        </w:r>
      </w:hyperlink>
      <w:r>
        <w:t xml:space="preserve">; </w:t>
      </w:r>
      <w:hyperlink r:id="rId5278">
        <w:r>
          <w:rPr>
            <w:color w:val="0000EE"/>
            <w:u w:val="single"/>
          </w:rPr>
          <w:t>Is 14.1</w:t>
        </w:r>
      </w:hyperlink>
      <w:r>
        <w:t xml:space="preserve">; </w:t>
      </w:r>
      <w:hyperlink r:id="rId14578">
        <w:r>
          <w:rPr>
            <w:color w:val="0000EE"/>
            <w:u w:val="single"/>
          </w:rPr>
          <w:t>Ez 39.25–29</w:t>
        </w:r>
      </w:hyperlink>
      <w:r>
        <w:t>;</w:t>
      </w:r>
      <w:hyperlink r:id="rId14579">
        <w:r>
          <w:rPr>
            <w:color w:val="0000EE"/>
            <w:u w:val="single"/>
          </w:rPr>
          <w:t xml:space="preserve"> Rm 9.15–16,23</w:t>
        </w:r>
      </w:hyperlink>
      <w:r>
        <w:t xml:space="preserve">; </w:t>
      </w:r>
      <w:hyperlink r:id="rId14580">
        <w:r>
          <w:rPr>
            <w:color w:val="0000EE"/>
            <w:u w:val="single"/>
          </w:rPr>
          <w:t>11.32</w:t>
        </w:r>
      </w:hyperlink>
      <w:r>
        <w:t xml:space="preserve">; </w:t>
      </w:r>
      <w:hyperlink r:id="rId1185">
        <w:r>
          <w:rPr>
            <w:color w:val="0000EE"/>
            <w:u w:val="single"/>
          </w:rPr>
          <w:t>Ef 2.4</w:t>
        </w:r>
      </w:hyperlink>
      <w:r>
        <w:t>).</w:t>
      </w:r>
    </w:p>
    <w:p>
      <w:r/>
      <w:r>
        <w:t>O significado bíblico de misericórdia é extremamente rico e complexo, como evidenciado pelo fato de que várias palavras hebraicas e gregas foram usadas para expressar o conceito. Consequentemente, há muitos sinônimos empregados na tradução para expressar as dimensões de significado envolvidas, como “gentileza”, “benignidade”, “bondade”, “graça”, “favor”, “piedade”, “compaixão” e “amor constante”. Proeminente no conceito de misericórdia está a disposição compassiva de perdoar os ofensores ou adversários e ajudar ou poupá-los em sua triste situação.</w:t>
      </w:r>
    </w:p>
    <w:p>
      <w:pPr>
        <w:pStyle w:val="Heading3"/>
      </w:pPr>
      <w:r>
        <w:t>Significado teológico</w:t>
      </w:r>
    </w:p>
    <w:p>
      <w:r/>
      <w:r>
        <w:t>No cerne do conceito de misericórdia está o amor de Deus, que é livremente manifesto em seus atos salvadores graciosos em nome daqueles a quem ele se comprometeu em relacionamento de aliança. No AT, era seu povo escolhido, Israel, a quem ele elegeu para ser seu e a quem ele mostrou misericórdia (</w:t>
      </w:r>
      <w:hyperlink r:id="rId10064">
        <w:r>
          <w:rPr>
            <w:color w:val="0000EE"/>
            <w:u w:val="single"/>
          </w:rPr>
          <w:t>Êx 33.19</w:t>
        </w:r>
      </w:hyperlink>
      <w:r>
        <w:t xml:space="preserve">; </w:t>
      </w:r>
      <w:hyperlink r:id="rId14581">
        <w:r>
          <w:rPr>
            <w:color w:val="0000EE"/>
            <w:u w:val="single"/>
          </w:rPr>
          <w:t>Is 54.10</w:t>
        </w:r>
      </w:hyperlink>
      <w:r>
        <w:t xml:space="preserve">; </w:t>
      </w:r>
      <w:hyperlink r:id="rId14582">
        <w:r>
          <w:rPr>
            <w:color w:val="0000EE"/>
            <w:u w:val="single"/>
          </w:rPr>
          <w:t>63.9</w:t>
        </w:r>
      </w:hyperlink>
      <w:r>
        <w:t>). Deus persistentemente tolera seu povo desobediente e rebelde e continuamente os busca para atraí-los de volta para si. O salmista descreve Deus como um pai que tem pena de seus filhos que o reverenciam e confiam (</w:t>
      </w:r>
      <w:hyperlink r:id="rId5262">
        <w:r>
          <w:rPr>
            <w:color w:val="0000EE"/>
            <w:u w:val="single"/>
          </w:rPr>
          <w:t>Sl 103.13</w:t>
        </w:r>
      </w:hyperlink>
      <w:r>
        <w:t>). Oseias retrata Deus como um pai amoroso que olha do céu com um coração compassivo por seu povo revoltado e rebelde (</w:t>
      </w:r>
      <w:hyperlink r:id="rId14583">
        <w:r>
          <w:rPr>
            <w:color w:val="0000EE"/>
            <w:u w:val="single"/>
          </w:rPr>
          <w:t>Os 11</w:t>
        </w:r>
      </w:hyperlink>
      <w:r>
        <w:t xml:space="preserve">; cf. </w:t>
      </w:r>
      <w:hyperlink r:id="rId14584">
        <w:r>
          <w:rPr>
            <w:color w:val="0000EE"/>
            <w:u w:val="single"/>
          </w:rPr>
          <w:t>Jr 31.20</w:t>
        </w:r>
      </w:hyperlink>
      <w:r>
        <w:t>). Ele também considera Israel como uma esposa infiel e adúltera a quem Deus ama como um marido fiel, apesar de sua condição apóstata e pecaminosa (</w:t>
      </w:r>
      <w:hyperlink r:id="rId819">
        <w:r>
          <w:rPr>
            <w:color w:val="0000EE"/>
            <w:u w:val="single"/>
          </w:rPr>
          <w:t>Os 1–3</w:t>
        </w:r>
      </w:hyperlink>
      <w:r>
        <w:t xml:space="preserve">; cf. </w:t>
      </w:r>
      <w:hyperlink r:id="rId14585">
        <w:r>
          <w:rPr>
            <w:color w:val="0000EE"/>
            <w:u w:val="single"/>
          </w:rPr>
          <w:t>Is 54.4–8</w:t>
        </w:r>
      </w:hyperlink>
      <w:r>
        <w:t>). Isaías descreve Deus como uma mãe que tem compaixão pelo filho de seu ventre (</w:t>
      </w:r>
      <w:hyperlink r:id="rId14586">
        <w:r>
          <w:rPr>
            <w:color w:val="0000EE"/>
            <w:u w:val="single"/>
          </w:rPr>
          <w:t>Is 49.15</w:t>
        </w:r>
      </w:hyperlink>
      <w:r>
        <w:t>). Essas imagens revelam a misericórdia de Deus de maneiras ricas e diferentes. Outras dimensões incluem perdão e restauração para o favor (</w:t>
      </w:r>
      <w:hyperlink r:id="rId5267">
        <w:r>
          <w:rPr>
            <w:color w:val="0000EE"/>
            <w:u w:val="single"/>
          </w:rPr>
          <w:t>2Rs 13.23</w:t>
        </w:r>
      </w:hyperlink>
      <w:r>
        <w:t xml:space="preserve">; </w:t>
      </w:r>
      <w:hyperlink r:id="rId14587">
        <w:r>
          <w:rPr>
            <w:color w:val="0000EE"/>
            <w:u w:val="single"/>
          </w:rPr>
          <w:t>Is 54.8</w:t>
        </w:r>
      </w:hyperlink>
      <w:r>
        <w:t xml:space="preserve">; </w:t>
      </w:r>
      <w:hyperlink r:id="rId14588">
        <w:r>
          <w:rPr>
            <w:color w:val="0000EE"/>
            <w:u w:val="single"/>
          </w:rPr>
          <w:t>Jl 2.18–32</w:t>
        </w:r>
      </w:hyperlink>
      <w:r>
        <w:t xml:space="preserve">; </w:t>
      </w:r>
      <w:hyperlink r:id="rId14589">
        <w:r>
          <w:rPr>
            <w:color w:val="0000EE"/>
            <w:u w:val="single"/>
          </w:rPr>
          <w:t>Mi 7.18–20</w:t>
        </w:r>
      </w:hyperlink>
      <w:r>
        <w:t>), e libertação da angústia e perigos (</w:t>
      </w:r>
      <w:hyperlink r:id="rId14590">
        <w:r>
          <w:rPr>
            <w:color w:val="0000EE"/>
            <w:u w:val="single"/>
          </w:rPr>
          <w:t>Ne 9.19–21</w:t>
        </w:r>
      </w:hyperlink>
      <w:r>
        <w:t xml:space="preserve">; </w:t>
      </w:r>
      <w:hyperlink r:id="rId14591">
        <w:r>
          <w:rPr>
            <w:color w:val="0000EE"/>
            <w:u w:val="single"/>
          </w:rPr>
          <w:t>Sl 40.11–17</w:t>
        </w:r>
      </w:hyperlink>
      <w:r>
        <w:t xml:space="preserve">; </w:t>
      </w:r>
      <w:hyperlink r:id="rId14592">
        <w:r>
          <w:rPr>
            <w:color w:val="0000EE"/>
            <w:u w:val="single"/>
          </w:rPr>
          <w:t>69.16–36</w:t>
        </w:r>
      </w:hyperlink>
      <w:r>
        <w:t xml:space="preserve">; </w:t>
      </w:r>
      <w:hyperlink r:id="rId14593">
        <w:r>
          <w:rPr>
            <w:color w:val="0000EE"/>
            <w:u w:val="single"/>
          </w:rPr>
          <w:t>79.8–9</w:t>
        </w:r>
      </w:hyperlink>
      <w:r>
        <w:t xml:space="preserve">; </w:t>
      </w:r>
      <w:hyperlink r:id="rId14594">
        <w:r>
          <w:rPr>
            <w:color w:val="0000EE"/>
            <w:u w:val="single"/>
          </w:rPr>
          <w:t>Is 49.10</w:t>
        </w:r>
      </w:hyperlink>
      <w:r>
        <w:t>).</w:t>
      </w:r>
    </w:p>
    <w:p>
      <w:r/>
      <w:r>
        <w:t>Por causa do que Israel, como nação da aliança, havia aprendido sobre o amor constante e a fidelidade de Deus, os judeus devotos instintivamente levantaram suas vozes em petição por misericórdia divina e perdão em tempos de necessidade, eloquentemente expresso nos salmos penitenciais (</w:t>
      </w:r>
      <w:hyperlink r:id="rId14595">
        <w:r>
          <w:rPr>
            <w:color w:val="0000EE"/>
            <w:u w:val="single"/>
          </w:rPr>
          <w:t>Sl 6</w:t>
        </w:r>
      </w:hyperlink>
      <w:r>
        <w:t xml:space="preserve">; </w:t>
      </w:r>
      <w:hyperlink r:id="rId5383">
        <w:r>
          <w:rPr>
            <w:color w:val="0000EE"/>
            <w:u w:val="single"/>
          </w:rPr>
          <w:t>32</w:t>
        </w:r>
      </w:hyperlink>
      <w:r>
        <w:t xml:space="preserve">; </w:t>
      </w:r>
      <w:hyperlink r:id="rId14596">
        <w:r>
          <w:rPr>
            <w:color w:val="0000EE"/>
            <w:u w:val="single"/>
          </w:rPr>
          <w:t>38</w:t>
        </w:r>
      </w:hyperlink>
      <w:r>
        <w:t xml:space="preserve">; </w:t>
      </w:r>
      <w:hyperlink r:id="rId2603">
        <w:r>
          <w:rPr>
            <w:color w:val="0000EE"/>
            <w:u w:val="single"/>
          </w:rPr>
          <w:t>51</w:t>
        </w:r>
      </w:hyperlink>
      <w:r>
        <w:t xml:space="preserve">; </w:t>
      </w:r>
      <w:hyperlink r:id="rId14597">
        <w:r>
          <w:rPr>
            <w:color w:val="0000EE"/>
            <w:u w:val="single"/>
          </w:rPr>
          <w:t>102</w:t>
        </w:r>
      </w:hyperlink>
      <w:r>
        <w:t xml:space="preserve">; </w:t>
      </w:r>
      <w:hyperlink r:id="rId14598">
        <w:r>
          <w:rPr>
            <w:color w:val="0000EE"/>
            <w:u w:val="single"/>
          </w:rPr>
          <w:t>130</w:t>
        </w:r>
      </w:hyperlink>
      <w:r>
        <w:t xml:space="preserve">; </w:t>
      </w:r>
      <w:hyperlink r:id="rId14599">
        <w:r>
          <w:rPr>
            <w:color w:val="0000EE"/>
            <w:u w:val="single"/>
          </w:rPr>
          <w:t>143</w:t>
        </w:r>
      </w:hyperlink>
      <w:r>
        <w:t>), bem como outras passagens do AT (</w:t>
      </w:r>
      <w:hyperlink r:id="rId10123">
        <w:r>
          <w:rPr>
            <w:color w:val="0000EE"/>
            <w:u w:val="single"/>
          </w:rPr>
          <w:t>Êx 34.6</w:t>
        </w:r>
      </w:hyperlink>
      <w:r>
        <w:t xml:space="preserve">; </w:t>
      </w:r>
      <w:hyperlink r:id="rId6796">
        <w:r>
          <w:rPr>
            <w:color w:val="0000EE"/>
            <w:u w:val="single"/>
          </w:rPr>
          <w:t>Ne 9.17</w:t>
        </w:r>
      </w:hyperlink>
      <w:r>
        <w:t xml:space="preserve">; </w:t>
      </w:r>
      <w:hyperlink r:id="rId436">
        <w:r>
          <w:rPr>
            <w:color w:val="0000EE"/>
            <w:u w:val="single"/>
          </w:rPr>
          <w:t>Sl 57</w:t>
        </w:r>
      </w:hyperlink>
      <w:r>
        <w:t xml:space="preserve">; </w:t>
      </w:r>
      <w:hyperlink r:id="rId14600">
        <w:r>
          <w:rPr>
            <w:color w:val="0000EE"/>
            <w:u w:val="single"/>
          </w:rPr>
          <w:t>79</w:t>
        </w:r>
      </w:hyperlink>
      <w:r>
        <w:t xml:space="preserve">; </w:t>
      </w:r>
      <w:hyperlink r:id="rId14601">
        <w:r>
          <w:rPr>
            <w:color w:val="0000EE"/>
            <w:u w:val="single"/>
          </w:rPr>
          <w:t>86</w:t>
        </w:r>
      </w:hyperlink>
      <w:r>
        <w:t xml:space="preserve">; </w:t>
      </w:r>
      <w:hyperlink r:id="rId14602">
        <w:r>
          <w:rPr>
            <w:color w:val="0000EE"/>
            <w:u w:val="single"/>
          </w:rPr>
          <w:t>123</w:t>
        </w:r>
      </w:hyperlink>
      <w:r>
        <w:t xml:space="preserve">; </w:t>
      </w:r>
      <w:hyperlink r:id="rId14603">
        <w:r>
          <w:rPr>
            <w:color w:val="0000EE"/>
            <w:u w:val="single"/>
          </w:rPr>
          <w:t>Is 33.1–6</w:t>
        </w:r>
      </w:hyperlink>
      <w:r>
        <w:t xml:space="preserve">; </w:t>
      </w:r>
      <w:hyperlink r:id="rId6523">
        <w:r>
          <w:rPr>
            <w:color w:val="0000EE"/>
            <w:u w:val="single"/>
          </w:rPr>
          <w:t>Dn 9.3–19</w:t>
        </w:r>
      </w:hyperlink>
      <w:r>
        <w:t xml:space="preserve">; </w:t>
      </w:r>
      <w:hyperlink r:id="rId5726">
        <w:r>
          <w:rPr>
            <w:color w:val="0000EE"/>
            <w:u w:val="single"/>
          </w:rPr>
          <w:t>Jl 2.13</w:t>
        </w:r>
      </w:hyperlink>
      <w:r>
        <w:t>). É a lembrança da misericórdia de Deus que dá à pessoa arrependida a esperança e a garantia do favor divino e da reconciliação com o Senhor ofendido.</w:t>
      </w:r>
    </w:p>
    <w:p>
      <w:r/>
      <w:r>
        <w:t>No NT, uma palavra grega muito descritiva é usada para a misericórdia de Jesus para com os necessitados (</w:t>
      </w:r>
      <w:hyperlink r:id="rId1853">
        <w:r>
          <w:rPr>
            <w:color w:val="0000EE"/>
            <w:u w:val="single"/>
          </w:rPr>
          <w:t>Mt 9.36</w:t>
        </w:r>
      </w:hyperlink>
      <w:r>
        <w:t xml:space="preserve">; </w:t>
      </w:r>
      <w:hyperlink r:id="rId5263">
        <w:r>
          <w:rPr>
            <w:color w:val="0000EE"/>
            <w:u w:val="single"/>
          </w:rPr>
          <w:t>14.14</w:t>
        </w:r>
      </w:hyperlink>
      <w:r>
        <w:t xml:space="preserve">; </w:t>
      </w:r>
      <w:hyperlink r:id="rId14604">
        <w:r>
          <w:rPr>
            <w:color w:val="0000EE"/>
            <w:u w:val="single"/>
          </w:rPr>
          <w:t>20.34</w:t>
        </w:r>
      </w:hyperlink>
      <w:r>
        <w:t>). Isto expressa sua piedade e compaixão por meio de um verbo intenso literalmente traduzido “ser movido nas entranhas”. Os hebreus consideravam as entranhas como o centro das emoções, especialmente o da bondade mais carinhosa. Jesus foi descrito como profundamente comovido em seu sentimento interior de benevolência para com os necessitados e agindo para aliviar seu sofrimento — para curar (</w:t>
      </w:r>
      <w:hyperlink r:id="rId14604">
        <w:r>
          <w:rPr>
            <w:color w:val="0000EE"/>
            <w:u w:val="single"/>
          </w:rPr>
          <w:t>Mt 20.34</w:t>
        </w:r>
      </w:hyperlink>
      <w:r>
        <w:t xml:space="preserve">; </w:t>
      </w:r>
      <w:hyperlink r:id="rId13877">
        <w:r>
          <w:rPr>
            <w:color w:val="0000EE"/>
            <w:u w:val="single"/>
          </w:rPr>
          <w:t>Mc 1.41</w:t>
        </w:r>
      </w:hyperlink>
      <w:r>
        <w:t>), para ressuscitar os mortos (</w:t>
      </w:r>
      <w:hyperlink r:id="rId13461">
        <w:r>
          <w:rPr>
            <w:color w:val="0000EE"/>
            <w:u w:val="single"/>
          </w:rPr>
          <w:t>Lc 7.13</w:t>
        </w:r>
      </w:hyperlink>
      <w:r>
        <w:t>) e para alimentar os famintos (</w:t>
      </w:r>
      <w:hyperlink r:id="rId14605">
        <w:r>
          <w:rPr>
            <w:color w:val="0000EE"/>
            <w:u w:val="single"/>
          </w:rPr>
          <w:t>Mt 15.32</w:t>
        </w:r>
      </w:hyperlink>
      <w:r>
        <w:t>).</w:t>
      </w:r>
    </w:p>
    <w:p>
      <w:r/>
      <w:r>
        <w:t>O conceito do AT de misericórdia de Deus expresso em sua fidelidade ao povo da aliança é encontrado também no NT (</w:t>
      </w:r>
      <w:hyperlink r:id="rId14606">
        <w:r>
          <w:rPr>
            <w:color w:val="0000EE"/>
            <w:u w:val="single"/>
          </w:rPr>
          <w:t>Lc 1.50,54,72,78</w:t>
        </w:r>
      </w:hyperlink>
      <w:r>
        <w:t xml:space="preserve">; </w:t>
      </w:r>
      <w:hyperlink r:id="rId1185">
        <w:r>
          <w:rPr>
            <w:color w:val="0000EE"/>
            <w:u w:val="single"/>
          </w:rPr>
          <w:t>Ef 2.4</w:t>
        </w:r>
      </w:hyperlink>
      <w:r>
        <w:t xml:space="preserve">; </w:t>
      </w:r>
      <w:hyperlink r:id="rId14607">
        <w:r>
          <w:rPr>
            <w:color w:val="0000EE"/>
            <w:u w:val="single"/>
          </w:rPr>
          <w:t>1Tm 1.2</w:t>
        </w:r>
      </w:hyperlink>
      <w:r>
        <w:t xml:space="preserve">; </w:t>
      </w:r>
      <w:hyperlink r:id="rId8811">
        <w:r>
          <w:rPr>
            <w:color w:val="0000EE"/>
            <w:u w:val="single"/>
          </w:rPr>
          <w:t>1Pe 1.3</w:t>
        </w:r>
      </w:hyperlink>
      <w:r>
        <w:t xml:space="preserve">; </w:t>
      </w:r>
      <w:hyperlink r:id="rId3642">
        <w:r>
          <w:rPr>
            <w:color w:val="0000EE"/>
            <w:u w:val="single"/>
          </w:rPr>
          <w:t>2.10</w:t>
        </w:r>
      </w:hyperlink>
      <w:r>
        <w:t>). O uso mais característico da misericórdia no NT é o da provisão de Deus de salvação para a humanidade em Jesus Cristo (</w:t>
      </w:r>
      <w:hyperlink r:id="rId14608">
        <w:r>
          <w:rPr>
            <w:color w:val="0000EE"/>
            <w:u w:val="single"/>
          </w:rPr>
          <w:t>Rm 11.30–32</w:t>
        </w:r>
      </w:hyperlink>
      <w:r>
        <w:t xml:space="preserve">; </w:t>
      </w:r>
      <w:hyperlink r:id="rId1185">
        <w:r>
          <w:rPr>
            <w:color w:val="0000EE"/>
            <w:u w:val="single"/>
          </w:rPr>
          <w:t>Ef 2.4</w:t>
        </w:r>
      </w:hyperlink>
      <w:r>
        <w:t>). Deus é “o Pai das misericórdias” (</w:t>
      </w:r>
      <w:hyperlink r:id="rId14609">
        <w:r>
          <w:rPr>
            <w:color w:val="0000EE"/>
            <w:u w:val="single"/>
          </w:rPr>
          <w:t>2Co 1.3</w:t>
        </w:r>
      </w:hyperlink>
      <w:r>
        <w:t>), que ele concede àqueles que acreditam em seu Filho. É porque ele é “tão rico em misericórdia” que ele salvou aqueles que estão espiritualmente mortos e condenados por seus pecados (</w:t>
      </w:r>
      <w:hyperlink r:id="rId14610">
        <w:r>
          <w:rPr>
            <w:color w:val="0000EE"/>
            <w:u w:val="single"/>
          </w:rPr>
          <w:t>Ef 2.4–6</w:t>
        </w:r>
      </w:hyperlink>
      <w:r>
        <w:t>). É pela misericórdia de Deus que alguém é perdoado e concedida a vida eterna (</w:t>
      </w:r>
      <w:hyperlink r:id="rId14611">
        <w:r>
          <w:rPr>
            <w:color w:val="0000EE"/>
            <w:u w:val="single"/>
          </w:rPr>
          <w:t>1Tm 1.13–16</w:t>
        </w:r>
      </w:hyperlink>
      <w:r>
        <w:t>).</w:t>
      </w:r>
    </w:p>
    <w:p>
      <w:pPr>
        <w:pStyle w:val="Heading3"/>
      </w:pPr>
      <w:r>
        <w:t>A responsabilidade das pessoas de mostrar misericórdia aos outros</w:t>
      </w:r>
    </w:p>
    <w:p>
      <w:r/>
      <w:r>
        <w:t>Porque Deus estendeu livremente sua misericórdia, independentemente de dignidade ou fidelidade, as pessoas devem responder mostrando misericórdia aos outros, mesmo que elas não mereçam ou busquem. De fato, as pessoas são ordenadas a serem misericordiosas, especialmente com os pobres, necessitados, viúvas e órfãos (</w:t>
      </w:r>
      <w:hyperlink r:id="rId14612">
        <w:r>
          <w:rPr>
            <w:color w:val="0000EE"/>
            <w:u w:val="single"/>
          </w:rPr>
          <w:t>Pv 14.31</w:t>
        </w:r>
      </w:hyperlink>
      <w:r>
        <w:t xml:space="preserve">; </w:t>
      </w:r>
      <w:hyperlink r:id="rId14613">
        <w:r>
          <w:rPr>
            <w:color w:val="0000EE"/>
            <w:u w:val="single"/>
          </w:rPr>
          <w:t>19.17</w:t>
        </w:r>
      </w:hyperlink>
      <w:r>
        <w:t xml:space="preserve">; </w:t>
      </w:r>
      <w:hyperlink r:id="rId347">
        <w:r>
          <w:rPr>
            <w:color w:val="0000EE"/>
            <w:u w:val="single"/>
          </w:rPr>
          <w:t>Mi 6.8</w:t>
        </w:r>
      </w:hyperlink>
      <w:r>
        <w:t xml:space="preserve">; </w:t>
      </w:r>
      <w:hyperlink r:id="rId14614">
        <w:r>
          <w:rPr>
            <w:color w:val="0000EE"/>
            <w:u w:val="single"/>
          </w:rPr>
          <w:t>Zc 7.9–10</w:t>
        </w:r>
      </w:hyperlink>
      <w:r>
        <w:t xml:space="preserve">; </w:t>
      </w:r>
      <w:hyperlink r:id="rId3852">
        <w:r>
          <w:rPr>
            <w:color w:val="0000EE"/>
            <w:u w:val="single"/>
          </w:rPr>
          <w:t>Cl 3.12</w:t>
        </w:r>
      </w:hyperlink>
      <w:r>
        <w:t>). Deus considera a misericórdia mais do que o sacrifício ritual (</w:t>
      </w:r>
      <w:hyperlink r:id="rId14615">
        <w:r>
          <w:rPr>
            <w:color w:val="0000EE"/>
            <w:u w:val="single"/>
          </w:rPr>
          <w:t>Mt 9.13</w:t>
        </w:r>
      </w:hyperlink>
      <w:r>
        <w:t>). A misericórdia de Deus em Cristo efetivamente coloca as pessoas sob a obrigação de agir em relação aos outros como o próprio Deus agiu em relação a elas. O Senhor fez da misericórdia um fundamento para seu ensino (</w:t>
      </w:r>
      <w:hyperlink r:id="rId8702">
        <w:r>
          <w:rPr>
            <w:color w:val="0000EE"/>
            <w:u w:val="single"/>
          </w:rPr>
          <w:t>Mt 5.7</w:t>
        </w:r>
      </w:hyperlink>
      <w:r>
        <w:t xml:space="preserve">; </w:t>
      </w:r>
      <w:hyperlink r:id="rId14615">
        <w:r>
          <w:rPr>
            <w:color w:val="0000EE"/>
            <w:u w:val="single"/>
          </w:rPr>
          <w:t>9.13</w:t>
        </w:r>
      </w:hyperlink>
      <w:r>
        <w:t xml:space="preserve">; </w:t>
      </w:r>
      <w:hyperlink r:id="rId14616">
        <w:r>
          <w:rPr>
            <w:color w:val="0000EE"/>
            <w:u w:val="single"/>
          </w:rPr>
          <w:t>12.7</w:t>
        </w:r>
      </w:hyperlink>
      <w:r>
        <w:t xml:space="preserve">; </w:t>
      </w:r>
      <w:hyperlink r:id="rId5236">
        <w:r>
          <w:rPr>
            <w:color w:val="0000EE"/>
            <w:u w:val="single"/>
          </w:rPr>
          <w:t>23.23</w:t>
        </w:r>
      </w:hyperlink>
      <w:r>
        <w:t xml:space="preserve">; </w:t>
      </w:r>
      <w:hyperlink r:id="rId14617">
        <w:r>
          <w:rPr>
            <w:color w:val="0000EE"/>
            <w:u w:val="single"/>
          </w:rPr>
          <w:t>Lc 6.36</w:t>
        </w:r>
      </w:hyperlink>
      <w:r>
        <w:t xml:space="preserve">; </w:t>
      </w:r>
      <w:hyperlink r:id="rId14618">
        <w:r>
          <w:rPr>
            <w:color w:val="0000EE"/>
            <w:u w:val="single"/>
          </w:rPr>
          <w:t>10.37</w:t>
        </w:r>
      </w:hyperlink>
      <w:r>
        <w:t xml:space="preserve">; </w:t>
      </w:r>
      <w:hyperlink r:id="rId14619">
        <w:r>
          <w:rPr>
            <w:color w:val="0000EE"/>
            <w:u w:val="single"/>
          </w:rPr>
          <w:t>Tg 3.17</w:t>
        </w:r>
      </w:hyperlink>
      <w:r>
        <w:t>). Sua vinda foi antecipada e anunciada no contexto da misericórdia que caracterizaria sua missão (</w:t>
      </w:r>
      <w:hyperlink r:id="rId14606">
        <w:r>
          <w:rPr>
            <w:color w:val="0000EE"/>
            <w:u w:val="single"/>
          </w:rPr>
          <w:t>Lc 1.50,54,72,78</w:t>
        </w:r>
      </w:hyperlink>
      <w:r>
        <w:t>).</w:t>
      </w:r>
    </w:p>
    <w:p>
      <w:r/>
      <w:r>
        <w:t>Os membros da igreja cristã devem mostrar compaixão e interesse prático uns pelos outros. Eles devem dar ajuda e alívio, amor e conforto uns aos outros, como Cristo livremente deu a eles em sua necessidade. O apóstolo Tiago ensina a natureza essencial de tais boas obras como sendo da própria essência da fé genuína (</w:t>
      </w:r>
      <w:hyperlink r:id="rId14620">
        <w:r>
          <w:rPr>
            <w:color w:val="0000EE"/>
            <w:u w:val="single"/>
          </w:rPr>
          <w:t>Tg 2.14–26</w:t>
        </w:r>
      </w:hyperlink>
      <w:r>
        <w:t>). Foi misericórdia que o bom samaritano teve para com o homem que foi espancado e roubado, que foi escolhido pelo Senhor para uma recomendação especial (</w:t>
      </w:r>
      <w:hyperlink r:id="rId14621">
        <w:r>
          <w:rPr>
            <w:color w:val="0000EE"/>
            <w:u w:val="single"/>
          </w:rPr>
          <w:t>Lc 10.36–37</w:t>
        </w:r>
      </w:hyperlink>
      <w:r>
        <w:t>). Ser cheio de misericórdia é uma virtude distinta dos cidadãos do reino do céu (</w:t>
      </w:r>
      <w:hyperlink r:id="rId8702">
        <w:r>
          <w:rPr>
            <w:color w:val="0000EE"/>
            <w:u w:val="single"/>
          </w:rPr>
          <w:t>Mt 5.7</w:t>
        </w:r>
      </w:hyperlink>
      <w:r>
        <w:t>).</w:t>
      </w:r>
    </w:p>
    <w:p>
      <w:r/>
      <w:r>
        <w:rPr>
          <w:i/>
        </w:rPr>
        <w:t>Veja também</w:t>
      </w:r>
      <w:r>
        <w:t xml:space="preserve"> </w:t>
      </w:r>
      <w:r>
        <w:t>Deus, Ser e Atributos de</w:t>
      </w:r>
      <w:r>
        <w:t xml:space="preserve">; </w:t>
      </w:r>
      <w:r>
        <w:t>Graça</w:t>
      </w:r>
      <w:r>
        <w:t xml:space="preserve">; </w:t>
      </w:r>
      <w:r>
        <w:t>Amor</w:t>
      </w:r>
      <w:r>
        <w:t>.</w:t>
      </w:r>
      <w:r/>
      <w:r/>
    </w:p>
    <w:p>
      <w:r/>
    </w:p>
    <w:p>
      <w:pPr>
        <w:pStyle w:val="Heading2"/>
      </w:pPr>
      <w:r>
        <w:t>Mísia</w:t>
      </w:r>
      <w:r/>
    </w:p>
    <w:p>
      <w:r/>
      <w:r>
        <w:t xml:space="preserve">Uma região no noroeste da Ásia Menor (que agora é a moderna Turquia). A área tem uma longa história. Em 133 a.C., Mísia tornou-se parte do Império Romano dentro da província da Ásia. Por cerca de 150 anos antes de se juntar ao Império Romano, Mísia fazia parte do reino de Pérgamo. O relato de viagem em </w:t>
      </w:r>
      <w:hyperlink r:id="rId14622">
        <w:r>
          <w:rPr>
            <w:color w:val="0000EE"/>
            <w:u w:val="single"/>
          </w:rPr>
          <w:t>Atos 16.7–8</w:t>
        </w:r>
      </w:hyperlink>
      <w:r>
        <w:t xml:space="preserve"> indica que o apóstolo Paulo passou por essa região. Isso foi em sua segunda viagem missionária, mas ele não pregou lá.</w:t>
      </w:r>
    </w:p>
    <w:p>
      <w:r/>
      <w:r>
        <w:rPr>
          <w:i/>
        </w:rPr>
        <w:t>Veja também</w:t>
      </w:r>
      <w:r>
        <w:t xml:space="preserve"> </w:t>
      </w:r>
      <w:r>
        <w:t>Pérgamo, Pérgamos</w:t>
      </w:r>
      <w:r>
        <w:t>.</w:t>
      </w:r>
      <w:r/>
      <w:r/>
    </w:p>
    <w:p>
      <w:r/>
    </w:p>
    <w:p>
      <w:pPr>
        <w:pStyle w:val="Heading2"/>
      </w:pPr>
      <w:r>
        <w:t>Misma</w:t>
      </w:r>
      <w:r/>
    </w:p>
    <w:p>
      <w:r/>
      <w:r>
        <w:t>1. Filho de Ismael, neto de Abraão e pai de uma tribo árabe (</w:t>
      </w:r>
      <w:hyperlink r:id="rId621">
        <w:r>
          <w:rPr>
            <w:color w:val="0000EE"/>
            <w:u w:val="single"/>
          </w:rPr>
          <w:t>Gn 25.14</w:t>
        </w:r>
      </w:hyperlink>
      <w:r>
        <w:t xml:space="preserve">; </w:t>
      </w:r>
      <w:hyperlink r:id="rId622">
        <w:r>
          <w:rPr>
            <w:color w:val="0000EE"/>
            <w:u w:val="single"/>
          </w:rPr>
          <w:t>1Cr 1.30</w:t>
        </w:r>
      </w:hyperlink>
      <w:r>
        <w:t>).</w:t>
      </w:r>
    </w:p>
    <w:p>
      <w:r/>
      <w:r>
        <w:t>2. O filho de Mibsão da tribo de Simeão (</w:t>
      </w:r>
      <w:hyperlink r:id="rId14623">
        <w:r>
          <w:rPr>
            <w:color w:val="0000EE"/>
            <w:u w:val="single"/>
          </w:rPr>
          <w:t>1Cr 4.25–26</w:t>
        </w:r>
      </w:hyperlink>
      <w:r>
        <w:t xml:space="preserve">). Sua omissão em </w:t>
      </w:r>
      <w:hyperlink r:id="rId13264">
        <w:r>
          <w:rPr>
            <w:color w:val="0000EE"/>
            <w:u w:val="single"/>
          </w:rPr>
          <w:t>Gênesis 25</w:t>
        </w:r>
      </w:hyperlink>
      <w:r>
        <w:t xml:space="preserve"> e inclusão na genealogia de 1 Crônicas pode indicar que ele nasceu após Jacó ter mudado sua família para o Egito ou que ele representava uma tribo árabe que se afiliou a Simeão quando a tribo de Simeão se expandiu para o sul (</w:t>
      </w:r>
      <w:hyperlink r:id="rId14624">
        <w:r>
          <w:rPr>
            <w:color w:val="0000EE"/>
            <w:u w:val="single"/>
          </w:rPr>
          <w:t>1Cr 4.38–43</w:t>
        </w:r>
      </w:hyperlink>
      <w:r>
        <w:t>).</w:t>
      </w:r>
      <w:r/>
      <w:r/>
    </w:p>
    <w:p>
      <w:r/>
    </w:p>
    <w:p>
      <w:pPr>
        <w:pStyle w:val="Heading2"/>
      </w:pPr>
      <w:r>
        <w:t>Mispa</w:t>
      </w:r>
      <w:r/>
    </w:p>
    <w:p>
      <w:r/>
      <w:r>
        <w:t>Um nome hebraico que significa "torre de vigia". Mispa designa pelo menos seis locais diferentes mencionados no Antigo Testamento e nos Apócrifos (um conjunto de textos antigos não incluídos na Bíblia Hebraica, mas aceitos por alguns grupos cristãos).</w:t>
      </w:r>
    </w:p>
    <w:p>
      <w:pPr>
        <w:pStyle w:val="ListNumber"/>
        <w:spacing w:line="240" w:lineRule="auto"/>
        <w:ind w:left="720"/>
      </w:pPr>
      <w:r/>
      <w:r>
        <w:t>Um lugar em Gileade onde Jacó e Labão fizeram uma aliança (</w:t>
      </w:r>
      <w:hyperlink r:id="rId14625">
        <w:r>
          <w:rPr>
            <w:color w:val="0000EE"/>
            <w:u w:val="single"/>
          </w:rPr>
          <w:t>Gn 31.49</w:t>
        </w:r>
      </w:hyperlink>
      <w:r>
        <w:t>). Eles ergueram um monte de pedras para marcar as fronteiras entre seus territórios.</w:t>
      </w:r>
    </w:p>
    <w:p>
      <w:pPr>
        <w:pStyle w:val="ListNumber"/>
        <w:spacing w:line="240" w:lineRule="auto"/>
        <w:ind w:left="720"/>
      </w:pPr>
      <w:r/>
      <w:r>
        <w:t>Um lugar referido como "a terra de Mispa" (</w:t>
      </w:r>
      <w:hyperlink r:id="rId9182">
        <w:r>
          <w:rPr>
            <w:color w:val="0000EE"/>
            <w:u w:val="single"/>
          </w:rPr>
          <w:t>Js 11.3</w:t>
        </w:r>
      </w:hyperlink>
      <w:r>
        <w:t>) ou o "vale de Mispa" (</w:t>
      </w:r>
      <w:hyperlink r:id="rId12107">
        <w:r>
          <w:rPr>
            <w:color w:val="0000EE"/>
            <w:u w:val="single"/>
          </w:rPr>
          <w:t>Js 11.8</w:t>
        </w:r>
      </w:hyperlink>
      <w:r>
        <w:t>). Ficava perto do Monte Hermom, onde os heveus viviam.</w:t>
      </w:r>
    </w:p>
    <w:p>
      <w:pPr>
        <w:pStyle w:val="ListNumber"/>
        <w:spacing w:line="240" w:lineRule="auto"/>
        <w:ind w:left="720"/>
      </w:pPr>
      <w:r/>
      <w:r>
        <w:t xml:space="preserve">Uma cidade em Judá, perto de Laquis, mencionada em </w:t>
      </w:r>
      <w:hyperlink r:id="rId14626">
        <w:r>
          <w:rPr>
            <w:color w:val="0000EE"/>
            <w:u w:val="single"/>
          </w:rPr>
          <w:t>Josué 15.38</w:t>
        </w:r>
      </w:hyperlink>
      <w:r>
        <w:t>.</w:t>
      </w:r>
    </w:p>
    <w:p>
      <w:pPr>
        <w:pStyle w:val="ListNumber"/>
        <w:spacing w:line="240" w:lineRule="auto"/>
        <w:ind w:left="720"/>
      </w:pPr>
      <w:r/>
      <w:r>
        <w:t>Um lugar na área tribal de Benjamim (</w:t>
      </w:r>
      <w:hyperlink r:id="rId14627">
        <w:r>
          <w:rPr>
            <w:color w:val="0000EE"/>
            <w:u w:val="single"/>
          </w:rPr>
          <w:t>Js 18.26</w:t>
        </w:r>
      </w:hyperlink>
      <w:r>
        <w:t>). Os israelitas se reuniram aqui para guerrear contra a tribo de Benjamim (</w:t>
      </w:r>
      <w:hyperlink r:id="rId6448">
        <w:r>
          <w:rPr>
            <w:color w:val="0000EE"/>
            <w:u w:val="single"/>
          </w:rPr>
          <w:t>Jz 20.1</w:t>
        </w:r>
      </w:hyperlink>
      <w:r>
        <w:t xml:space="preserve">; </w:t>
      </w:r>
      <w:hyperlink r:id="rId14628">
        <w:r>
          <w:rPr>
            <w:color w:val="0000EE"/>
            <w:u w:val="single"/>
          </w:rPr>
          <w:t>21.1</w:t>
        </w:r>
      </w:hyperlink>
      <w:r>
        <w:t>). Isso ocorreu depois que os homens de Gibeá abusaram e mataram a concubina de um levita visitante. Foi aqui que Samuel convocou todo o Israel para orar por vitória sobre os filisteus (</w:t>
      </w:r>
      <w:hyperlink r:id="rId14629">
        <w:r>
          <w:rPr>
            <w:color w:val="0000EE"/>
            <w:u w:val="single"/>
          </w:rPr>
          <w:t>1Sm 7.5–8</w:t>
        </w:r>
      </w:hyperlink>
      <w:r>
        <w:t>). Mais tarde, Samuel convocou uma assembleia em Mispa para declarar Saul como rei ao povo. Aqui ele também instruiu o povo e o rei nos caminhos do reino (</w:t>
      </w:r>
      <w:hyperlink r:id="rId14630">
        <w:r>
          <w:rPr>
            <w:color w:val="0000EE"/>
            <w:u w:val="single"/>
          </w:rPr>
          <w:t>10.17–25</w:t>
        </w:r>
      </w:hyperlink>
      <w:r>
        <w:t>).</w:t>
      </w:r>
    </w:p>
    <w:p>
      <w:r/>
      <w:r>
        <w:t>No tempo do rei Asa, Mispa era uma cidade fortificada na fronteira entre Israel e Judá (</w:t>
      </w:r>
      <w:hyperlink r:id="rId14631">
        <w:r>
          <w:rPr>
            <w:color w:val="0000EE"/>
            <w:u w:val="single"/>
          </w:rPr>
          <w:t>1Rs 15.22</w:t>
        </w:r>
      </w:hyperlink>
      <w:r>
        <w:t>). Após a destruição de Jerusalém em 586 a.C., Mispa tornou-se a residência de Gedalias, o governador (</w:t>
      </w:r>
      <w:hyperlink r:id="rId14632">
        <w:r>
          <w:rPr>
            <w:color w:val="0000EE"/>
            <w:u w:val="single"/>
          </w:rPr>
          <w:t>2Rs 25.23–24</w:t>
        </w:r>
      </w:hyperlink>
      <w:r>
        <w:t xml:space="preserve">; </w:t>
      </w:r>
      <w:hyperlink r:id="rId14633">
        <w:r>
          <w:rPr>
            <w:color w:val="0000EE"/>
            <w:u w:val="single"/>
          </w:rPr>
          <w:t>Jr 40.10</w:t>
        </w:r>
      </w:hyperlink>
      <w:r>
        <w:t>). Ismael da “linhagem real” matou Gedalias lá (</w:t>
      </w:r>
      <w:hyperlink r:id="rId14634">
        <w:r>
          <w:rPr>
            <w:color w:val="0000EE"/>
            <w:u w:val="single"/>
          </w:rPr>
          <w:t>Jr 41.3</w:t>
        </w:r>
      </w:hyperlink>
      <w:r>
        <w:t>). Dois dias depois, Ismael assassinou um grupo de viajantes que estavam indo para Jerusalém. Essas pessoas estavam levando suas ofertas para o templo em ruínas. Ele jogou seus corpos em uma cisterna que Asa havia construído séculos antes.</w:t>
      </w:r>
    </w:p>
    <w:p>
      <w:r/>
      <w:r>
        <w:t>No período entre o Antigo Testamento e o Novo Testamento, Mispa continuou a ser um importante centro religioso. Judas Macabeu convocou o povo em Mispa, “porque Israel anteriormente tinha um lugar de oração em Mispa” (</w:t>
      </w:r>
      <w:hyperlink r:id="rId14635">
        <w:r>
          <w:rPr>
            <w:color w:val="0000EE"/>
            <w:u w:val="single"/>
          </w:rPr>
          <w:t>1Mc 3.46</w:t>
        </w:r>
      </w:hyperlink>
      <w:r>
        <w:t>).</w:t>
      </w:r>
    </w:p>
    <w:p>
      <w:pPr>
        <w:pStyle w:val="ListNumber"/>
        <w:spacing w:line="240" w:lineRule="auto"/>
        <w:ind w:left="720"/>
      </w:pPr>
      <w:r/>
      <w:r>
        <w:t>A casa de Jefté. Daqui, ele liderou os israelitas na batalha contra os amonitas. Ele voltou aqui para cumprir seu voto (</w:t>
      </w:r>
      <w:hyperlink r:id="rId9954">
        <w:r>
          <w:rPr>
            <w:color w:val="0000EE"/>
            <w:u w:val="single"/>
          </w:rPr>
          <w:t>Jz 10–11</w:t>
        </w:r>
      </w:hyperlink>
      <w:r>
        <w:t xml:space="preserve">). É possível que este seja o mesmo lugar que Ramate-Mispa de </w:t>
      </w:r>
      <w:hyperlink r:id="rId10626">
        <w:r>
          <w:rPr>
            <w:color w:val="0000EE"/>
            <w:u w:val="single"/>
          </w:rPr>
          <w:t>Josué 13.26</w:t>
        </w:r>
      </w:hyperlink>
      <w:r>
        <w:t>. Muitos o identificam com Khirbat Jal’d.C., ao sul do Jaboque.</w:t>
      </w:r>
    </w:p>
    <w:p>
      <w:pPr>
        <w:pStyle w:val="ListNumber"/>
        <w:spacing w:line="240" w:lineRule="auto"/>
        <w:ind w:left="720"/>
      </w:pPr>
      <w:r/>
      <w:r>
        <w:t>Uma cidade em Moabe para a qual Davi fugiu de Saul (</w:t>
      </w:r>
      <w:hyperlink r:id="rId14636">
        <w:r>
          <w:rPr>
            <w:color w:val="0000EE"/>
            <w:u w:val="single"/>
          </w:rPr>
          <w:t>1Sm 22.3</w:t>
        </w:r>
      </w:hyperlink>
      <w:r>
        <w:t>).</w:t>
      </w:r>
      <w:r/>
      <w:r/>
    </w:p>
    <w:p>
      <w:r/>
    </w:p>
    <w:p>
      <w:pPr>
        <w:pStyle w:val="Heading2"/>
      </w:pPr>
      <w:r>
        <w:t>Mistério</w:t>
      </w:r>
      <w:r/>
    </w:p>
    <w:p>
      <w:r/>
      <w:r>
        <w:t>Conselho, ou plano secreto, que Deus compartilha apenas com seu povo. Na maioria das passagens bíblicas, está relacionado com o sábio conselho de Deus em sua direção da história para seu destino. A aplicação mais específica e significativa do conceito de mistério é o plano de Deus sobre a morte de Cristo. Não se refere a um segredo que Deus não está disposto a contar ou a algo tão obscuro que não poderia ser entendido, mesmo que fosse contado.</w:t>
      </w:r>
    </w:p>
    <w:p>
      <w:r/>
      <w:r>
        <w:t xml:space="preserve">As passagens nas quais seu significado teológico é mais claramente visto (entre mais de 30 ocorrências nas Escrituras) são </w:t>
      </w:r>
      <w:hyperlink r:id="rId14637">
        <w:r>
          <w:rPr>
            <w:color w:val="0000EE"/>
            <w:u w:val="single"/>
          </w:rPr>
          <w:t>Daniel 3.18–28</w:t>
        </w:r>
      </w:hyperlink>
      <w:r>
        <w:t xml:space="preserve">; </w:t>
      </w:r>
      <w:hyperlink r:id="rId14638">
        <w:r>
          <w:rPr>
            <w:color w:val="0000EE"/>
            <w:u w:val="single"/>
          </w:rPr>
          <w:t>4.6</w:t>
        </w:r>
      </w:hyperlink>
      <w:r>
        <w:t xml:space="preserve"> (Septuaginta); </w:t>
      </w:r>
      <w:hyperlink r:id="rId7643">
        <w:r>
          <w:rPr>
            <w:color w:val="0000EE"/>
            <w:u w:val="single"/>
          </w:rPr>
          <w:t>Mateus 13.11</w:t>
        </w:r>
      </w:hyperlink>
      <w:r>
        <w:t xml:space="preserve">; </w:t>
      </w:r>
      <w:hyperlink r:id="rId14639">
        <w:r>
          <w:rPr>
            <w:color w:val="0000EE"/>
            <w:u w:val="single"/>
          </w:rPr>
          <w:t>Marcos 4.11</w:t>
        </w:r>
      </w:hyperlink>
      <w:r>
        <w:t xml:space="preserve">; </w:t>
      </w:r>
      <w:hyperlink r:id="rId14640">
        <w:r>
          <w:rPr>
            <w:color w:val="0000EE"/>
            <w:u w:val="single"/>
          </w:rPr>
          <w:t>Lucas 8.10</w:t>
        </w:r>
      </w:hyperlink>
      <w:r>
        <w:t xml:space="preserve">; </w:t>
      </w:r>
      <w:hyperlink r:id="rId7645">
        <w:r>
          <w:rPr>
            <w:color w:val="0000EE"/>
            <w:u w:val="single"/>
          </w:rPr>
          <w:t>Romanos 11.25</w:t>
        </w:r>
      </w:hyperlink>
      <w:r>
        <w:t xml:space="preserve">; </w:t>
      </w:r>
      <w:hyperlink r:id="rId14641">
        <w:r>
          <w:rPr>
            <w:color w:val="0000EE"/>
            <w:u w:val="single"/>
          </w:rPr>
          <w:t>16.25</w:t>
        </w:r>
      </w:hyperlink>
      <w:r>
        <w:t xml:space="preserve">; </w:t>
      </w:r>
      <w:hyperlink r:id="rId8106">
        <w:r>
          <w:rPr>
            <w:color w:val="0000EE"/>
            <w:u w:val="single"/>
          </w:rPr>
          <w:t>1 Coríntios 2.7</w:t>
        </w:r>
      </w:hyperlink>
      <w:r>
        <w:t xml:space="preserve">; </w:t>
      </w:r>
      <w:hyperlink r:id="rId3557">
        <w:r>
          <w:rPr>
            <w:color w:val="0000EE"/>
            <w:u w:val="single"/>
          </w:rPr>
          <w:t>4.1</w:t>
        </w:r>
      </w:hyperlink>
      <w:r>
        <w:t xml:space="preserve">; </w:t>
      </w:r>
      <w:hyperlink r:id="rId14642">
        <w:r>
          <w:rPr>
            <w:color w:val="0000EE"/>
            <w:u w:val="single"/>
          </w:rPr>
          <w:t>15.51</w:t>
        </w:r>
      </w:hyperlink>
      <w:r>
        <w:t xml:space="preserve">; </w:t>
      </w:r>
      <w:hyperlink r:id="rId9448">
        <w:r>
          <w:rPr>
            <w:color w:val="0000EE"/>
            <w:u w:val="single"/>
          </w:rPr>
          <w:t>Efésios 1.9</w:t>
        </w:r>
      </w:hyperlink>
      <w:r>
        <w:t xml:space="preserve">; </w:t>
      </w:r>
      <w:hyperlink r:id="rId7647">
        <w:r>
          <w:rPr>
            <w:color w:val="0000EE"/>
            <w:u w:val="single"/>
          </w:rPr>
          <w:t>3.3–6,9–12</w:t>
        </w:r>
      </w:hyperlink>
      <w:r>
        <w:t xml:space="preserve">; </w:t>
      </w:r>
      <w:hyperlink r:id="rId14643">
        <w:r>
          <w:rPr>
            <w:color w:val="0000EE"/>
            <w:u w:val="single"/>
          </w:rPr>
          <w:t>Colossenses 1.26–29</w:t>
        </w:r>
      </w:hyperlink>
      <w:r>
        <w:t xml:space="preserve">; </w:t>
      </w:r>
      <w:hyperlink r:id="rId14644">
        <w:r>
          <w:rPr>
            <w:color w:val="0000EE"/>
            <w:u w:val="single"/>
          </w:rPr>
          <w:t>2.2</w:t>
        </w:r>
      </w:hyperlink>
      <w:r>
        <w:t xml:space="preserve">; </w:t>
      </w:r>
      <w:hyperlink r:id="rId14645">
        <w:r>
          <w:rPr>
            <w:color w:val="0000EE"/>
            <w:u w:val="single"/>
          </w:rPr>
          <w:t>2 Tessalonicenses 2.7</w:t>
        </w:r>
      </w:hyperlink>
      <w:r>
        <w:t xml:space="preserve">; </w:t>
      </w:r>
      <w:hyperlink r:id="rId14646">
        <w:r>
          <w:rPr>
            <w:color w:val="0000EE"/>
            <w:u w:val="single"/>
          </w:rPr>
          <w:t>1 Timóteo 3.9,16</w:t>
        </w:r>
      </w:hyperlink>
      <w:r>
        <w:t xml:space="preserve">; </w:t>
      </w:r>
      <w:hyperlink r:id="rId14647">
        <w:r>
          <w:rPr>
            <w:color w:val="0000EE"/>
            <w:u w:val="single"/>
          </w:rPr>
          <w:t>Apocalipse 1.20</w:t>
        </w:r>
      </w:hyperlink>
      <w:r>
        <w:t xml:space="preserve">; </w:t>
      </w:r>
      <w:hyperlink r:id="rId14648">
        <w:r>
          <w:rPr>
            <w:color w:val="0000EE"/>
            <w:u w:val="single"/>
          </w:rPr>
          <w:t>10.7</w:t>
        </w:r>
      </w:hyperlink>
      <w:r>
        <w:t xml:space="preserve">; </w:t>
      </w:r>
      <w:hyperlink r:id="rId14649">
        <w:r>
          <w:rPr>
            <w:color w:val="0000EE"/>
            <w:u w:val="single"/>
          </w:rPr>
          <w:t>17.5–18</w:t>
        </w:r>
      </w:hyperlink>
      <w:r>
        <w:t>.</w:t>
      </w:r>
    </w:p>
    <w:p>
      <w:r/>
      <w:r>
        <w:t>Nas passagens em Daniel, a ênfase está na revelação que Deus deu a Daniel sobre o conteúdo e significado do sonho do rei Nabucodonosor sobre o futuro. É importante notar aqui que o sonho era sobre o que Deus ia fazer. Nenhum homem sábio, encantador, mágico ou adivinho poderia explicá-lo, mas “há um Deus no céu que revela mistérios” (</w:t>
      </w:r>
      <w:hyperlink r:id="rId14650">
        <w:r>
          <w:rPr>
            <w:color w:val="0000EE"/>
            <w:u w:val="single"/>
          </w:rPr>
          <w:t>Dn 2.28</w:t>
        </w:r>
      </w:hyperlink>
      <w:r>
        <w:t>).</w:t>
      </w:r>
    </w:p>
    <w:p>
      <w:r/>
      <w:r>
        <w:t>Estudos acadêmicos nos últimos anos determinaram que semelhantes são encontrados em outros escritos judaicos, incluindo os Manuscritos do Mar Morto. A ênfase está nas decisões que Deus tomou sobre o futuro, especialmente o fim dos tempos. O mundo luta com questões como o problema do mal (isto é, por que, se Deus é bom e poderoso, as pessoas ainda sofrem?). O crente se identifica com esses problemas, mas sabe que Deus tem seus planos providenciais e que um dia ele tornará todas as coisas claras. A maneira como Deus trará vindicação para aqueles que são injustiçados neste mundo e julgamento para aqueles que fazem o que é errado faz parte do conteúdo do “mistério” e era uma grande ênfase nos escritos na época de Cristo. Deus controla os assuntos do universo. As nações eventualmente realizarão seus propósitos.</w:t>
      </w:r>
    </w:p>
    <w:p>
      <w:r/>
      <w:hyperlink r:id="rId7643">
        <w:r>
          <w:rPr>
            <w:color w:val="0000EE"/>
            <w:u w:val="single"/>
          </w:rPr>
          <w:t>Mateus 13.11</w:t>
        </w:r>
      </w:hyperlink>
      <w:r>
        <w:t xml:space="preserve">, </w:t>
      </w:r>
      <w:hyperlink r:id="rId14639">
        <w:r>
          <w:rPr>
            <w:color w:val="0000EE"/>
            <w:u w:val="single"/>
          </w:rPr>
          <w:t>Marcos 4.11</w:t>
        </w:r>
      </w:hyperlink>
      <w:r>
        <w:t xml:space="preserve"> e </w:t>
      </w:r>
      <w:hyperlink r:id="rId14640">
        <w:r>
          <w:rPr>
            <w:color w:val="0000EE"/>
            <w:u w:val="single"/>
          </w:rPr>
          <w:t>Lucas 8.10</w:t>
        </w:r>
      </w:hyperlink>
      <w:r>
        <w:t xml:space="preserve"> fazem parte das parábolas do reino. O próprio reino está relacionado com a culminante obra final de Deus na história. Isso é visto em algumas das imagens das parábolas, como a colheita, que simboliza o julgamento futuro. Portanto, a palavra “mistério” é apropriada e significativa aqui. No contexto imediato, Jesus está explicando por que ele usa parábolas. Elas tanto ilustram vividamente a verdade quanto escondem a verdade daqueles que não são receptivos a ela. Portanto, a palavra “mistério” (plural em Mt e Lc) descreve o significado interior do ensino de Jesus sobre o reino. Aqueles que aceitam a mensagem conhecerão seu significado; aqueles que não perderão não apenas o significado, mas aparentemente também a oportunidade de ouvir e responder à mensagem da salvação (</w:t>
      </w:r>
      <w:hyperlink r:id="rId14651">
        <w:r>
          <w:rPr>
            <w:color w:val="0000EE"/>
            <w:u w:val="single"/>
          </w:rPr>
          <w:t>Mt 13.12–15</w:t>
        </w:r>
      </w:hyperlink>
      <w:r>
        <w:t>).</w:t>
      </w:r>
    </w:p>
    <w:p>
      <w:r/>
      <w:r>
        <w:t>Outro aspecto desta passagem está na pergunta não feita sobre por que, se o Messias veio, o mal ainda persiste no mundo. Os servos em uma das parábolas queriam arrancar as ervas daninhas, simbolizando o mal ou pessoas malignas, mas foram instruídos a permitir que eles crescessem até o tempo da colheita — isto é, o julgamento (</w:t>
      </w:r>
      <w:hyperlink r:id="rId5111">
        <w:r>
          <w:rPr>
            <w:color w:val="0000EE"/>
            <w:u w:val="single"/>
          </w:rPr>
          <w:t>Mt 13.24–30</w:t>
        </w:r>
      </w:hyperlink>
      <w:r>
        <w:t>). A persistência do mal no mundo e a maneira como Deus eventualmente lidará com isso é um dos “mistérios”.</w:t>
      </w:r>
    </w:p>
    <w:p>
      <w:r/>
      <w:hyperlink r:id="rId7645">
        <w:r>
          <w:rPr>
            <w:color w:val="0000EE"/>
            <w:u w:val="single"/>
          </w:rPr>
          <w:t>Romanos 11.25</w:t>
        </w:r>
      </w:hyperlink>
      <w:r>
        <w:t xml:space="preserve"> ocorre em uma grande seção (caps. </w:t>
      </w:r>
      <w:hyperlink r:id="rId4407">
        <w:r>
          <w:rPr>
            <w:color w:val="0000EE"/>
            <w:u w:val="single"/>
          </w:rPr>
          <w:t>9–11</w:t>
        </w:r>
      </w:hyperlink>
      <w:r>
        <w:t>) que lida com o povo de Israel e seu futuro. Mais uma vez, a questão diz respeito a um problema presente e sua futura resolução. Neste caso, o problema é a incredulidade de Israel. O endurecimento de Israel durante o tempo presente é chamado de “mistério” (</w:t>
      </w:r>
      <w:hyperlink r:id="rId7645">
        <w:r>
          <w:rPr>
            <w:color w:val="0000EE"/>
            <w:u w:val="single"/>
          </w:rPr>
          <w:t>Rm 11.25</w:t>
        </w:r>
      </w:hyperlink>
      <w:r>
        <w:t xml:space="preserve">). Os propósitos de Deus não serão frustrados, no entanto, “e assim todo o Israel será salvo” (v. </w:t>
      </w:r>
      <w:hyperlink r:id="rId13001">
        <w:r>
          <w:rPr>
            <w:color w:val="0000EE"/>
            <w:u w:val="single"/>
          </w:rPr>
          <w:t>26</w:t>
        </w:r>
      </w:hyperlink>
      <w:r>
        <w:t>). Esta ênfase nos propósitos de Deus está intimamente entrelaçada com o conceito do “mistério” e é a base para toda esta passagem.</w:t>
      </w:r>
    </w:p>
    <w:p>
      <w:r/>
      <w:hyperlink r:id="rId14641">
        <w:r>
          <w:rPr>
            <w:color w:val="0000EE"/>
            <w:u w:val="single"/>
          </w:rPr>
          <w:t>Romanos 16.25</w:t>
        </w:r>
      </w:hyperlink>
      <w:r>
        <w:t xml:space="preserve"> é mais amplo em seu escopo, conectando a “revelação do mistério escondido por longas eras passadas” com o “evangelho e a proclamação de Jesus Cristo”. Aqui, o foco está mais perto no significado da morte de Cristo.</w:t>
      </w:r>
    </w:p>
    <w:p>
      <w:r/>
      <w:r>
        <w:t xml:space="preserve">A “sabedoria secreta” de Deus é mencionada em </w:t>
      </w:r>
      <w:hyperlink r:id="rId8106">
        <w:r>
          <w:rPr>
            <w:color w:val="0000EE"/>
            <w:u w:val="single"/>
          </w:rPr>
          <w:t>1 Coríntios 2.7</w:t>
        </w:r>
      </w:hyperlink>
      <w:r>
        <w:t>. O contexto é a mensagem da cruz que Paulo prega. Esta mensagem é loucura para aqueles que se consideram sábios, mas estão perdidos, e é a “loucura” do que é pregado que traz salvação aos crentes (</w:t>
      </w:r>
      <w:hyperlink r:id="rId14652">
        <w:r>
          <w:rPr>
            <w:color w:val="0000EE"/>
            <w:u w:val="single"/>
          </w:rPr>
          <w:t>1.18–25</w:t>
        </w:r>
      </w:hyperlink>
      <w:r>
        <w:t>). Paulo não tenta proclamar a “sabedoria” mundana, mas ele declara uma “mensagem de sabedoria” para aqueles que são espiritualmente maduros (</w:t>
      </w:r>
      <w:hyperlink r:id="rId14653">
        <w:r>
          <w:rPr>
            <w:color w:val="0000EE"/>
            <w:u w:val="single"/>
          </w:rPr>
          <w:t>2.6</w:t>
        </w:r>
      </w:hyperlink>
      <w:r>
        <w:t xml:space="preserve">). Para eles, ele fala a “sabedoria secreta”, ou literalmente, “sabedoria em um segredo” (v. </w:t>
      </w:r>
      <w:hyperlink r:id="rId8106">
        <w:r>
          <w:rPr>
            <w:color w:val="0000EE"/>
            <w:u w:val="single"/>
          </w:rPr>
          <w:t>7</w:t>
        </w:r>
      </w:hyperlink>
      <w:r>
        <w:t xml:space="preserve">). Esta passagem conecta claramente o conceito básico de “mistério” como o conselho de Deus com a morte de Cristo como os meios de salvação. Também conecta mistério com o processo da história (“os governantes desta era”) e com a varredura dos propósitos de Deus dos tempos do AT para o futuro. O verso </w:t>
      </w:r>
      <w:hyperlink r:id="rId14654">
        <w:r>
          <w:rPr>
            <w:color w:val="0000EE"/>
            <w:u w:val="single"/>
          </w:rPr>
          <w:t>10</w:t>
        </w:r>
      </w:hyperlink>
      <w:r>
        <w:t xml:space="preserve"> enfatiza o fato de que Deus de fato revelou esses mistérios a nós.</w:t>
      </w:r>
    </w:p>
    <w:p>
      <w:r/>
      <w:r>
        <w:t xml:space="preserve">Em </w:t>
      </w:r>
      <w:hyperlink r:id="rId3557">
        <w:r>
          <w:rPr>
            <w:color w:val="0000EE"/>
            <w:u w:val="single"/>
          </w:rPr>
          <w:t>1 Coríntios 4.1</w:t>
        </w:r>
      </w:hyperlink>
      <w:r>
        <w:t>, Paulo novamente fala do contexto de um contraste entre a sabedoria de Deus e a do mundo (</w:t>
      </w:r>
      <w:hyperlink r:id="rId14655">
        <w:r>
          <w:rPr>
            <w:color w:val="0000EE"/>
            <w:u w:val="single"/>
          </w:rPr>
          <w:t>3.18–23</w:t>
        </w:r>
      </w:hyperlink>
      <w:r>
        <w:t xml:space="preserve">). Ele fala não apenas de coisas secretas ou mistérios, mas também introduz o conceito de mordomia. A ele foi confiada a revelação do mistério de Deus e deve ser fiel em seu ministério de declará-lo. Este tema reaparecerá em </w:t>
      </w:r>
      <w:hyperlink r:id="rId7638">
        <w:r>
          <w:rPr>
            <w:color w:val="0000EE"/>
            <w:u w:val="single"/>
          </w:rPr>
          <w:t>Efésios 3.2–6</w:t>
        </w:r>
      </w:hyperlink>
      <w:r>
        <w:t>.</w:t>
      </w:r>
    </w:p>
    <w:p>
      <w:r/>
      <w:r>
        <w:t xml:space="preserve">Paulo retorna para o relacionamento de mistério e o fim dos tempos em </w:t>
      </w:r>
      <w:hyperlink r:id="rId14642">
        <w:r>
          <w:rPr>
            <w:color w:val="0000EE"/>
            <w:u w:val="single"/>
          </w:rPr>
          <w:t>1 Coríntios 15.51</w:t>
        </w:r>
      </w:hyperlink>
      <w:r>
        <w:t>. A passagem anterior (</w:t>
      </w:r>
      <w:hyperlink r:id="rId14656">
        <w:r>
          <w:rPr>
            <w:color w:val="0000EE"/>
            <w:u w:val="single"/>
          </w:rPr>
          <w:t>2.9–16</w:t>
        </w:r>
      </w:hyperlink>
      <w:r>
        <w:t>) mostrou que o conhecimento humano não pode prever o que Deus planejou, mas Deus revelou este mistério aos crentes. Um aspecto principal deste mistério revelado é a maneira pela qual os fiéis serão trazidos à presença de Deus: “Eis aqui! Eu lhes digo um mistério. Nem todos dormiremos, mas todos seremos transformados, em um momento, num abrir e fechar de olhos, na última trombeta” (</w:t>
      </w:r>
      <w:hyperlink r:id="rId14657">
        <w:r>
          <w:rPr>
            <w:color w:val="0000EE"/>
            <w:u w:val="single"/>
          </w:rPr>
          <w:t>15.51–52</w:t>
        </w:r>
      </w:hyperlink>
      <w:r>
        <w:t xml:space="preserve">). As outras referências ao mistério em 1 Coríntios ocorrem no amplo contexto dos capítulos </w:t>
      </w:r>
      <w:hyperlink r:id="rId5827">
        <w:r>
          <w:rPr>
            <w:color w:val="0000EE"/>
            <w:u w:val="single"/>
          </w:rPr>
          <w:t>12–14</w:t>
        </w:r>
      </w:hyperlink>
      <w:r>
        <w:t xml:space="preserve"> que lidam com dons espirituais, que incluem receber revelação divina, então o termo “mistérios” em </w:t>
      </w:r>
      <w:hyperlink r:id="rId9143">
        <w:r>
          <w:rPr>
            <w:color w:val="0000EE"/>
            <w:u w:val="single"/>
          </w:rPr>
          <w:t>13.2</w:t>
        </w:r>
      </w:hyperlink>
      <w:r>
        <w:t xml:space="preserve"> e </w:t>
      </w:r>
      <w:hyperlink r:id="rId14658">
        <w:r>
          <w:rPr>
            <w:color w:val="0000EE"/>
            <w:u w:val="single"/>
          </w:rPr>
          <w:t>14.2</w:t>
        </w:r>
      </w:hyperlink>
      <w:r>
        <w:t xml:space="preserve"> é apropriado.</w:t>
      </w:r>
    </w:p>
    <w:p>
      <w:r/>
      <w:r>
        <w:t>Efésios abre com uma série de declarações sobre o propósito de Deus na história, terminando na liderança universal de Cristo (</w:t>
      </w:r>
      <w:hyperlink r:id="rId7634">
        <w:r>
          <w:rPr>
            <w:color w:val="0000EE"/>
            <w:u w:val="single"/>
          </w:rPr>
          <w:t>Ef 1.10</w:t>
        </w:r>
      </w:hyperlink>
      <w:r>
        <w:t xml:space="preserve">). Essas declarações incluem termos como “escolhido”, “destinado”, “vontade”, “propósito”, “plano” e “conselho”. Esta é claramente a gama de ideias associadas com a palavra “mistério” nos escritos judaicos antigos, e essas ideias lançam luz sobre o uso da expressão resumida por Paulo: “Pois ele nos deu a conhecer . . . o mistério de sua vontade” (v. </w:t>
      </w:r>
      <w:hyperlink r:id="rId9448">
        <w:r>
          <w:rPr>
            <w:color w:val="0000EE"/>
            <w:u w:val="single"/>
          </w:rPr>
          <w:t>9</w:t>
        </w:r>
      </w:hyperlink>
      <w:r>
        <w:t>, ARA).</w:t>
      </w:r>
    </w:p>
    <w:p>
      <w:r/>
      <w:r>
        <w:t>Parte do propósito de Deus era formar um corpo de crentes, reconciliados consigo mesmo e uns com os outros através da cruz (</w:t>
      </w:r>
      <w:hyperlink r:id="rId14659">
        <w:r>
          <w:rPr>
            <w:color w:val="0000EE"/>
            <w:u w:val="single"/>
          </w:rPr>
          <w:t>Ef 2.14–18</w:t>
        </w:r>
      </w:hyperlink>
      <w:r>
        <w:t>). Neste corpo, os crentes judeus e gentios foram feitos membros de um corpo e compartilham juntos na promessa em Cristo Jesus, uma nova fase do plano revelado de Deus, que Paulo aqui chama de “mistério” (</w:t>
      </w:r>
      <w:hyperlink r:id="rId4412">
        <w:r>
          <w:rPr>
            <w:color w:val="0000EE"/>
            <w:u w:val="single"/>
          </w:rPr>
          <w:t>3.6</w:t>
        </w:r>
      </w:hyperlink>
      <w:r>
        <w:t>). Como observado acima, o próprio Paulo tem a responsabilidade de ministrar fielmente a verdade deste “mistério” (</w:t>
      </w:r>
      <w:hyperlink r:id="rId14660">
        <w:r>
          <w:rPr>
            <w:color w:val="0000EE"/>
            <w:u w:val="single"/>
          </w:rPr>
          <w:t>3.2–5</w:t>
        </w:r>
      </w:hyperlink>
      <w:r>
        <w:t xml:space="preserve">; cf. </w:t>
      </w:r>
      <w:hyperlink r:id="rId14661">
        <w:r>
          <w:rPr>
            <w:color w:val="0000EE"/>
            <w:u w:val="single"/>
          </w:rPr>
          <w:t>1Co 4.1–5</w:t>
        </w:r>
      </w:hyperlink>
      <w:r>
        <w:t>).</w:t>
      </w:r>
    </w:p>
    <w:p>
      <w:r/>
      <w:r>
        <w:t>Colossenses continua a mostrar o senso de responsabilidade de Paulo em relação a este “mistério”, que agora é identificado com a “palavra de Deus” (</w:t>
      </w:r>
      <w:hyperlink r:id="rId14662">
        <w:r>
          <w:rPr>
            <w:color w:val="0000EE"/>
            <w:u w:val="single"/>
          </w:rPr>
          <w:t>Cl 1.25–29</w:t>
        </w:r>
      </w:hyperlink>
      <w:r>
        <w:t xml:space="preserve">). Mais uma vez, há a ideia do período da história ligado com o mistério conhecido apenas por revelação: “o mistério que foi mantido escondido por eras e gerações, mas agora é revelado aos santos” (v. </w:t>
      </w:r>
      <w:hyperlink r:id="rId8113">
        <w:r>
          <w:rPr>
            <w:color w:val="0000EE"/>
            <w:u w:val="single"/>
          </w:rPr>
          <w:t>26</w:t>
        </w:r>
      </w:hyperlink>
      <w:r>
        <w:t xml:space="preserve">). Como em Efésios, a igreja é o lugar para a operação do mistério de Deus, “que é Cristo em vós, a esperança da glória” (v. </w:t>
      </w:r>
      <w:hyperlink r:id="rId10053">
        <w:r>
          <w:rPr>
            <w:color w:val="0000EE"/>
            <w:u w:val="single"/>
          </w:rPr>
          <w:t>27</w:t>
        </w:r>
      </w:hyperlink>
      <w:r>
        <w:t xml:space="preserve">). Este Cristo é proclamado em sabedoria, para que os crentes possam alcançar a conclusão madura nele (v. </w:t>
      </w:r>
      <w:hyperlink r:id="rId14663">
        <w:r>
          <w:rPr>
            <w:color w:val="0000EE"/>
            <w:u w:val="single"/>
          </w:rPr>
          <w:t>28</w:t>
        </w:r>
      </w:hyperlink>
      <w:r>
        <w:t>). Os crentes colossenses são convidados a orar por Paulo enquanto ele prega este “mistério” (</w:t>
      </w:r>
      <w:hyperlink r:id="rId14664">
        <w:r>
          <w:rPr>
            <w:color w:val="0000EE"/>
            <w:u w:val="single"/>
          </w:rPr>
          <w:t>4.3</w:t>
        </w:r>
      </w:hyperlink>
      <w:r>
        <w:t>).</w:t>
      </w:r>
    </w:p>
    <w:p>
      <w:r/>
      <w:r>
        <w:t xml:space="preserve">É deixado claro em </w:t>
      </w:r>
      <w:hyperlink r:id="rId2672">
        <w:r>
          <w:rPr>
            <w:color w:val="0000EE"/>
            <w:u w:val="single"/>
          </w:rPr>
          <w:t>1 Timóteo 3.16</w:t>
        </w:r>
      </w:hyperlink>
      <w:r>
        <w:t xml:space="preserve"> que o “mistério da piedade” inclui os elementos básicos associados ao “mistério”, como sua manifestação no mundo e vindicação final. No entanto, este grande plano de Deus não se desenrola sem oposição. Em conexão com a vinda do fim dos tempos, Paulo novamente menciona um mistério. Desta vez, é um mistério sombrio, chamado de “misteriosa maldade” (</w:t>
      </w:r>
      <w:hyperlink r:id="rId14645">
        <w:r>
          <w:rPr>
            <w:color w:val="0000EE"/>
            <w:u w:val="single"/>
          </w:rPr>
          <w:t>2Ts 2.7</w:t>
        </w:r>
      </w:hyperlink>
      <w:r>
        <w:t>). Uma força maligna semelhante, “Babilônia, a Grande, a Mãe das Prostitutas”, é introduzida no livro de Apocalipse com a palavra “mistério” (</w:t>
      </w:r>
      <w:hyperlink r:id="rId14665">
        <w:r>
          <w:rPr>
            <w:color w:val="0000EE"/>
            <w:u w:val="single"/>
          </w:rPr>
          <w:t>Ap 17.5</w:t>
        </w:r>
      </w:hyperlink>
      <w:r>
        <w:t>). Talvez a ideia seja que há forças contrárias a Deus cujo funcionamento são impossíveis para os seres humanos entenderem. A verdade e poder de Deus, no entanto, prevalecerão sobre elas, enquanto ele traz seu próprio mistério, seu sábio conselho, ao cumprimento.</w:t>
      </w:r>
    </w:p>
    <w:p>
      <w:r/>
      <w:hyperlink r:id="rId7646">
        <w:r>
          <w:rPr>
            <w:color w:val="0000EE"/>
            <w:u w:val="single"/>
          </w:rPr>
          <w:t>Apocalipse 10.6–7</w:t>
        </w:r>
      </w:hyperlink>
      <w:r>
        <w:t xml:space="preserve"> declara este cumprimento. As eras de espera em perplexidade, de suportar o mal, acabaram, como o anjo anuncia: “Não haverá mais atraso!” Finalmente chegou o tempo em que “o mistério de Deus será cumprido”. Observe a qualidade dinâmica do mistério neste contexto. Não é apenas a verdade estática, mas algo que pode ser “cumprido”. Este grande clímax na história está de acordo com a revelação anterior de Deus “aos seus servos, os profetas”. O mistério, então, é o sábio conselho de Deus, que tanto guia a história quanto é revelado em seu apogeu. Expressa a resposta de Deus ao problema do mal e à oposição vã dos poderes malignos. Declara o significado do evento central na história, a morte de Cristo, e revela os resultados da ressurreição na transformação final de todos os crentes na vinda de Cristo.</w:t>
      </w:r>
      <w:r/>
      <w:r/>
    </w:p>
    <w:p>
      <w:r/>
    </w:p>
    <w:p>
      <w:pPr>
        <w:pStyle w:val="Heading2"/>
      </w:pPr>
      <w:r>
        <w:t>Mitca</w:t>
      </w:r>
      <w:r/>
    </w:p>
    <w:p>
      <w:r/>
      <w:r>
        <w:t xml:space="preserve">Um dos locais temporários de acampamento dos israelitas durante suas peregrinações no deserto. </w:t>
      </w:r>
      <w:hyperlink r:id="rId14666">
        <w:r>
          <w:rPr>
            <w:color w:val="0000EE"/>
            <w:u w:val="single"/>
          </w:rPr>
          <w:t>Números 33.28–29</w:t>
        </w:r>
      </w:hyperlink>
      <w:r>
        <w:t xml:space="preserve"> menciona-o como estando entre Tera e Hasmona.</w:t>
      </w:r>
    </w:p>
    <w:p>
      <w:r/>
      <w:r>
        <w:rPr>
          <w:i/>
        </w:rPr>
        <w:t>Veja também</w:t>
      </w:r>
      <w:r>
        <w:t xml:space="preserve"> </w:t>
      </w:r>
      <w:r>
        <w:t>Peregrinações no deserto</w:t>
      </w:r>
      <w:r>
        <w:t>.</w:t>
      </w:r>
      <w:r/>
      <w:r/>
    </w:p>
    <w:p>
      <w:r/>
    </w:p>
    <w:p>
      <w:pPr>
        <w:pStyle w:val="Heading2"/>
      </w:pPr>
      <w:r>
        <w:t>Mitilene</w:t>
      </w:r>
      <w:r/>
    </w:p>
    <w:p>
      <w:r/>
      <w:r>
        <w:t>Uma cidade principal na ilha de Lesbos, no Mar Egeu, perto da costa noroeste da Ásia Menor. Mitilene era um porto marítimo com dois portos. Inicialmente, foi construída em uma pequena ilha separada de Lesbos.</w:t>
      </w:r>
    </w:p>
    <w:p>
      <w:r/>
      <w:r>
        <w:t xml:space="preserve">Nos tempos do Novo Testamento, uma estrada elevada através de um estreito trecho de água conectava-a à ilha principal. </w:t>
      </w:r>
      <w:hyperlink r:id="rId14667">
        <w:r>
          <w:rPr>
            <w:color w:val="0000EE"/>
            <w:u w:val="single"/>
          </w:rPr>
          <w:t>Atos 20.14</w:t>
        </w:r>
      </w:hyperlink>
      <w:r>
        <w:t xml:space="preserve"> identifica Mitilene como um dos locais de parada noturna onde Paulo e seus companheiros de viagem se hospedaram. Isso ocorreu enquanto viajavam de navio em direção a Jerusalém.</w:t>
      </w:r>
      <w:r/>
      <w:r/>
    </w:p>
    <w:p>
      <w:r/>
    </w:p>
    <w:p>
      <w:pPr>
        <w:pStyle w:val="Heading2"/>
      </w:pPr>
      <w:r>
        <w:t>Mitos da criação</w:t>
      </w:r>
      <w:r/>
    </w:p>
    <w:p>
      <w:r/>
      <w:r>
        <w:t>Histórias religiosas explicando a origem e a ordem do universo. Partes de alguns mitos de criação mesopotâmicos têm uma semelhança próxima com os relatos bíblicos da Criação e dos tempos mais antigos.</w:t>
      </w:r>
    </w:p>
    <w:p>
      <w:r/>
      <w:r>
        <w:t>Histórias explicando a criação eram conhecidas em todo o antigo Oriente Próximo. Muitas eram baseadas em histórias originárias da Suméria, uma das primeiras civilizações mesopotâmicas. Embora agora comumente consideradas como explicações fantasiosas e até mesmo divertidas para o porquê das coisas serem como eram, os mitos parecem ter cumprido uma importante função social. Os povos antigos acreditavam que suas recitações em festivais religiosos tinha poder mágico para revitalizar a natureza e a sociedade. As histórias da criação asseguravam aos adoradores que o estado original de ordem criado pelos deuses continuaria a superar as forças do caos que ameaçavam doença, ruína, esterilidade e morte.</w:t>
      </w:r>
    </w:p>
    <w:p>
      <w:r/>
      <w:r>
        <w:t>Resumo:</w:t>
      </w:r>
    </w:p>
    <w:p>
      <w:r/>
      <w:r>
        <w:t>• Mitos de criação sumérios</w:t>
      </w:r>
    </w:p>
    <w:p>
      <w:r/>
      <w:r>
        <w:t>• Mitos de criação acadianos</w:t>
      </w:r>
    </w:p>
    <w:p>
      <w:r/>
      <w:r>
        <w:t>• Mitos de criação egípcios</w:t>
      </w:r>
    </w:p>
    <w:p>
      <w:r/>
      <w:r>
        <w:t>• Mitos da criação e Gênesis</w:t>
      </w:r>
    </w:p>
    <w:p>
      <w:pPr>
        <w:pStyle w:val="Heading3"/>
      </w:pPr>
      <w:r>
        <w:t>Mitos de criação sumérios</w:t>
      </w:r>
    </w:p>
    <w:p>
      <w:r/>
      <w:r>
        <w:t>Os sumérios floresceram no sul da Mesopotâmia entre 4000 e 3000 a.C. Embora não fossem semitas, sua cosmologia influenciou os semitas (vários povos que habitavam a Palestina, Fenícia, Assíria e Arábia), que eventualmente adotaram as principais divindades sumérias. Cerca de 5.000 tábuas e fragmentos inscritos com uma variedade de obras literárias sumérias foram descobertos. Embora a maioria dessas tábuas tenha sido inscrita no início do período pós-sumério (c. 1750 a.C.), as composições pertencem a pelo menos a segunda metade do terceiro milênio (2500–2000 a.C.). Até agora, nenhum relato sumério tratando diretamente da origem do universo foi descoberto. O que se sabe sobre suas noções de criação foi obtido em parte de breves passagens espalhadas por sua literatura, especialmente nas introduções a poemas, onde os escribas sumérios costumavam escrever várias linhas tratando da criação. Além disso, nove mitos sobreviveram sobre os deuses que organizaram o universo, criaram os seres humanos e estabeleceram a civilização.</w:t>
      </w:r>
    </w:p>
    <w:p>
      <w:r/>
      <w:r>
        <w:t>A religião suméria, como a de todos os povos antigos do Oriente Próximo, exceto os israelitas, era um politeísmo naturalista: eles adoravam como deuses as forças naturais que governavam a fertilidade (chuva, vento, nuvens, sol, lua, rios, mares, e assim por diante). Consequentemente, as pessoas entendiam a origem do universo (cosmogonia) como acompanhando as origens dos deuses (teogonia).</w:t>
      </w:r>
    </w:p>
    <w:p>
      <w:pPr>
        <w:pStyle w:val="Heading4"/>
      </w:pPr>
      <w:r>
        <w:t>Céu e Terra</w:t>
      </w:r>
    </w:p>
    <w:p>
      <w:r/>
      <w:r>
        <w:t>Em um catálogo de deuses sumérios, a deusa do mar Nammu é descrita como “a mãe, que deu à luz o céu e a terra”. Em outro texto, ela é descrita como “a mãe, a ancestral, que deu à luz todos os deuses”. Evidentemente, os sumérios viam o mar primordial como a causa primeira e o motor inicial de todas as coisas, acreditando que “o céu e a terra” foram de alguma forma gerados naquele mar. Além disso, em sua visão, os principais componentes do universo eram céu e terra; seu termo para universo era uma palavra composta que significava “céu-terra” (exatamente como no versículo de abertura do livro de Gênesis, onde “céu e terra” designam todo o universo organizado). Antes de Enlil, o deus do ar, separá-los, céu-terra era concebido como uma montanha cuja base era a terra e cujo pico era o céu.</w:t>
      </w:r>
    </w:p>
    <w:p>
      <w:r/>
      <w:r>
        <w:t>Enlil, chamado de "o rei do céu e da terra" ou "o rei de todas as terras", era o mais importante dos deuses sumérios. Seu trabalho criativo na organização da terra é celebrado em "A Criação da picareta", que descreve sua modelagem e dedicação desse valioso instrumento agrícola. Em uma parte, diz:</w:t>
      </w:r>
    </w:p>
    <w:p>
      <w:r/>
      <w:r>
        <w:t>"Enlil, que faz brotar a semente da terra,</w:t>
      </w:r>
    </w:p>
    <w:p>
      <w:r/>
      <w:r>
        <w:t>Tomou cuidado para afastar o céu da terra,</w:t>
      </w:r>
    </w:p>
    <w:p>
      <w:r/>
      <w:r>
        <w:t>Tomou cuidado para afastar a terra do céu.</w:t>
      </w:r>
    </w:p>
    <w:p>
      <w:r/>
      <w:r>
        <w:t>...Ele trouxe a picareta à existência, o 'dia' surgiu.</w:t>
      </w:r>
    </w:p>
    <w:p>
      <w:r/>
      <w:r>
        <w:t>Ele introduziu o trabalho, decretou o destino.</w:t>
      </w:r>
    </w:p>
    <w:p>
      <w:r/>
      <w:r>
        <w:t>Sobre a picareta e a cesta, ele direciona o 'poder'".</w:t>
      </w:r>
    </w:p>
    <w:p>
      <w:r/>
      <w:r>
        <w:t>Assim Enlil separou o céu da terra, fez plantas crescerem e criou a ferramenta para a agricultura.</w:t>
      </w:r>
    </w:p>
    <w:p>
      <w:pPr>
        <w:pStyle w:val="Heading4"/>
      </w:pPr>
      <w:r>
        <w:t>Civilização</w:t>
      </w:r>
    </w:p>
    <w:p>
      <w:r/>
      <w:r>
        <w:t>O deus da água Enki também era o deus do abismo e da sabedoria. Embora Enlil tenha elaborado os “planos” para o universo, Enki fez a maior parte do trabalho para realizá-los. Seus esforços foram além de moldar o mundo natural, iniciando os aspectos mais importantes da cultura e civilização. Em “Enki e a ordem do mundo”, o deus da água segue para as margens do Tigre e do Eufrates, os dois rios que irrigam o vale arenoso da Mesopotâmia, e os enche com chuvas e ventos vivificantes. Depois, preparando a terra para o cultivo, ele “transforma o terreno montanhoso em campos, ...dirige o arado e... jugo, ...abre os sulcos sagrados e faz crescer o grão no campo cultivado”. Em seguida, o deus lança as fundações de casas, estábulos e currais, e os constrói. Ele fixa as “fronteiras” e estabelece pedras de demarcação. Finalmente, ele inventa a tecelagem, chamada de “aquilo que é tarefa da mulher”. Tendo organizado a terra, Enki confia cada lugar e elemento a uma divindade especial.</w:t>
      </w:r>
    </w:p>
    <w:p>
      <w:pPr>
        <w:pStyle w:val="Heading4"/>
      </w:pPr>
      <w:r>
        <w:t>Éden sumério</w:t>
      </w:r>
    </w:p>
    <w:p>
      <w:r/>
      <w:r>
        <w:t>Outro mito, "Enki e Ninhursag: Um mito do paraíso", tem uma remota semelhança com a história bíblica do Jardim do Éden. O mito parece ocorrer antes da criação de animais ou humanos em Dilmun, uma terra no Leste onde os deuses residem — "pura", "limpa", "muito brilhante", e provavelmente sem doença ou morte. Tendo enchido essa terra com campos frutíferos, Enki sucessivamente engravida três deusas: Ninhursag, "a mãe da terra"; Nimmu, sua filha por essa união; e Ninkurra, sua neta por Nimmu.</w:t>
      </w:r>
    </w:p>
    <w:p>
      <w:r/>
      <w:r>
        <w:t>Ninhursag parece usar o sêmen de Enki para criar oito novas plantas. Evidentemente, elas são "frutos proibidos", pois quando Enki as come, Ninhursag o amaldiçoa e deixa o jardim, acrescentando: "Até que ele esteja morto, não olharei para ele com o olho da vida". Sob a maldição, o jardim definha e os deuses lamentam. Enlil, o rei dos deuses, parece incapaz de lidar com a situação. Enki está morrendo. A raposa, evidentemente já presente em Dilmun, salva a situação atraindo Ninhursag de volta a Dilmun, onde ela cura Enki e revive o jardim.</w:t>
      </w:r>
    </w:p>
    <w:p>
      <w:pPr>
        <w:pStyle w:val="Heading4"/>
      </w:pPr>
      <w:r>
        <w:t>A criação dos humanos</w:t>
      </w:r>
    </w:p>
    <w:p>
      <w:r/>
      <w:r>
        <w:t>Considerada a mãe de todos os deuses, Ninhursag pode ter personificado a Terra. Em “A Criação do Homem”, ela desempenha um papel importante junto com Enki.</w:t>
      </w:r>
    </w:p>
    <w:p>
      <w:r/>
      <w:r>
        <w:t>Tendo surgido antes de haver carne ou pão para comer, os deuses enfrentam um dilema:</w:t>
      </w:r>
    </w:p>
    <w:p>
      <w:r/>
      <w:r>
        <w:t>"Eles não conheciam o comer do pão,</w:t>
      </w:r>
    </w:p>
    <w:p>
      <w:r/>
      <w:r>
        <w:t>Não conhecia o vestir de roupas,</w:t>
      </w:r>
    </w:p>
    <w:p>
      <w:r/>
      <w:r>
        <w:t>Comeram plantas com a boca como ovelhas,</w:t>
      </w:r>
    </w:p>
    <w:p>
      <w:r/>
      <w:r>
        <w:t>Bebeu água da vala".</w:t>
      </w:r>
    </w:p>
    <w:p>
      <w:r/>
      <w:r>
        <w:t>Para aliviar essa situação, Enlil e Enki criam um deus do gado e uma deusa do grão. O gado e o grão de repente abundam, mas os deuses são incapazes de utilizá-los. Ainda é necessário algo para cuidar dos animais e transformar o grão em pão. Os deuses reclamam com Enki e ordenam que ele crie servos para cuidar de suas necessidades.</w:t>
      </w:r>
    </w:p>
    <w:p>
      <w:r/>
      <w:r>
        <w:t>Vindo em seu auxílio, Enki pega "argila que está sobre o abismo" e, com Ninhursag, supervisiona sua modelagem em seres humanos que são colocados a serviço dos deuses, especialmente para fazer pão para eles. Em uma festa depois, Enki e Ninhursag ficam bêbados e ineptamente criam vários tipos humanos anormais, incluindo a mulher estéril e o eunuco. Mas, inteiros ou falhos, homem e mulher são a argila do abismo e estão relacionados por natureza ao caos.</w:t>
      </w:r>
    </w:p>
    <w:p>
      <w:pPr>
        <w:pStyle w:val="Heading3"/>
      </w:pPr>
      <w:r>
        <w:t>Mitos de criação acadianos</w:t>
      </w:r>
    </w:p>
    <w:p>
      <w:r/>
      <w:r>
        <w:t xml:space="preserve">As culturas babilônica e assíria, ambas semíticas, compartilhavam a língua acádica, o que as distinguia dos sumérios não semíticos e linguisticamente diferentes. De longe, o mito de criação mais familiar do antigo Oriente Próximo é o épico de criação babilônico conhecido como </w:t>
      </w:r>
      <w:r>
        <w:rPr>
          <w:i/>
        </w:rPr>
        <w:t>Enuma Elish</w:t>
      </w:r>
      <w:r>
        <w:t xml:space="preserve"> (a partir de suas palavras iniciais). Ele trata explicitamente da criação do universo e contém alguns paralelos com o relato bíblico. Uma versão assíria posterior do mito substituiu apropriadamente o deus nacional Assur pelo deus Marduque da Babilônia.</w:t>
      </w:r>
    </w:p>
    <w:p>
      <w:r/>
      <w:r>
        <w:t xml:space="preserve">No </w:t>
      </w:r>
      <w:r>
        <w:rPr>
          <w:i/>
        </w:rPr>
        <w:t>Enuma Elish</w:t>
      </w:r>
      <w:r>
        <w:t>, a raça humana é feita do sangue de Kingu, líder de uma horda rebelde contra o deus criador Marduque. Consequentemente, no mito babilônico, homem e mulher estão novamente relacionados ao caos. Em outro mito preservado em um fragmento da Babilônia Antiga, a humanidade é feita do sangue de um deus morto:</w:t>
      </w:r>
    </w:p>
    <w:p>
      <w:r/>
      <w:r>
        <w:t>"Deixe [homem] aparecer!</w:t>
      </w:r>
    </w:p>
    <w:p>
      <w:r/>
      <w:r>
        <w:t>Aquele que servirá a todos os deuses,</w:t>
      </w:r>
    </w:p>
    <w:p>
      <w:r/>
      <w:r>
        <w:t>Que ele seja formado de argila,</w:t>
      </w:r>
    </w:p>
    <w:p>
      <w:r/>
      <w:r>
        <w:t>seja animado com sangue!</w:t>
      </w:r>
    </w:p>
    <w:p>
      <w:r/>
      <w:r>
        <w:t>Enki abriu a boca,</w:t>
      </w:r>
    </w:p>
    <w:p>
      <w:r/>
      <w:r>
        <w:t>dizendo aos grandes deuses:...</w:t>
      </w:r>
    </w:p>
    <w:p>
      <w:r/>
      <w:r>
        <w:t>Deixe-os matar um deus.</w:t>
      </w:r>
    </w:p>
    <w:p>
      <w:r/>
      <w:r>
        <w:t>Com sua carne e seu sangue...</w:t>
      </w:r>
    </w:p>
    <w:p>
      <w:r/>
      <w:r>
        <w:t>deixe Ninhursag misturar argila".</w:t>
      </w:r>
    </w:p>
    <w:p>
      <w:r/>
      <w:r>
        <w:t>De acordo com outro mito acádio, os deuses criaram o homem como um ser perverso, apresentando-lhe fala distorcida, mentiras e falsidades.</w:t>
      </w:r>
    </w:p>
    <w:p>
      <w:pPr>
        <w:pStyle w:val="Heading3"/>
      </w:pPr>
      <w:r>
        <w:t>Mitos de criação egípcios</w:t>
      </w:r>
    </w:p>
    <w:p>
      <w:r/>
      <w:r>
        <w:t xml:space="preserve">O mito egípcio tradicional da criação (encontrado, por exemplo, no ritual de dedicação de uma pirâmide real ou no </w:t>
      </w:r>
      <w:r>
        <w:rPr>
          <w:i/>
        </w:rPr>
        <w:t>Livro dos Mortos</w:t>
      </w:r>
      <w:r>
        <w:t>) relata que antes da criação havia um vazio aquoso, acompanhado por escuridão, falta de forma e invisibilidade. Esse caos aquoso tinha o nome de Num, “o Grande deus que surgiu por si mesmo... o pai dos deuses”. O vazio se acalma, deixando o monte primevo de terra com o deus criador Atum (“totalidade”) sobre ele. Atum traz à existência o restante do universo e atribui lugares e funções às suas partes.</w:t>
      </w:r>
    </w:p>
    <w:p>
      <w:r/>
      <w:r>
        <w:t>Em um detalhe semelhante aos mitos mesopotâmicos, o deus do ar Shu separa céu-terra levantando a deusa do céu Nut do deus da terra Geb e colocando-se entre os dois.</w:t>
      </w:r>
    </w:p>
    <w:p>
      <w:r/>
      <w:r>
        <w:t>O mito de criação egípcio mais significativo é a chamada "Teologia menfita" (ca. 2700 a.C.), que buscava mover a capital egípcia para Mênfis, alegando ser o local do monte de criação original. Em vez de descrever a criação em termos puramente físicos, esse mito concebe o universo como surgindo através da mente ("coração") e da fala de comando ("língua") do deus criador. Segundo esse mito, então, uma vontade inteligente controlava o universo.</w:t>
      </w:r>
    </w:p>
    <w:p>
      <w:pPr>
        <w:pStyle w:val="Heading3"/>
      </w:pPr>
      <w:r>
        <w:t>Mitos da criação e Gênesis</w:t>
      </w:r>
    </w:p>
    <w:p>
      <w:r/>
      <w:r>
        <w:t>O relato de Gênesis sobre a Criação difere dos mitos pagãos de pelo menos duas maneiras. Primeiro, os relatos diferem em seu propósito. Os mitos pagãos serviam principalmente para preservar a vida e a sociedade por meio de recitações mágicas. Embora o relato bíblico tenha implicações para a vida e a sociedade, ele serve principalmente para ensinar um povo da aliança sobre Deus e é desprovido de quaisquer reivindicações ou poderes ocultos.</w:t>
      </w:r>
    </w:p>
    <w:p>
      <w:r/>
      <w:r>
        <w:t>Em segundo lugar, os relatos diferem em sua qualidade. A narrativa da Criação em Gênesis apresenta uma teologia direta com um mínimo de adornos. Contada como uma história, soa verdadeira mesmo em uma era de descobertas científicas, quando as pessoas estão acostumadas a explorações mecanicistas dos fenômenos naturais. Uma pessoa inteligente e bem-informada pode aceitar Gênesis como uma declaração autoritativa do significado e propósito da natureza e, com base nisso, viver uma vida de devoção ao Criador divino. Em contraste, os mitos de criação apresentam uma teologia degradada e uma moralidade ainda mais degradada. Os mitos mais antigos, que podem atrair praticantes modernos das “ciências ocultas” por várias razões, são simplesmente inacreditáveis como verdade religiosa. Os deuses dos mitos antigos foram enterrados nos escombros de civilizações há muito extintas ou transmutados nos deuses das religiões politeístas modernas; o Deus da Bíblia continua vivo.</w:t>
      </w:r>
    </w:p>
    <w:p>
      <w:r/>
      <w:r>
        <w:t xml:space="preserve">A forma literária de </w:t>
      </w:r>
      <w:hyperlink r:id="rId2165">
        <w:r>
          <w:rPr>
            <w:color w:val="0000EE"/>
            <w:u w:val="single"/>
          </w:rPr>
          <w:t>Gênesis 1–3</w:t>
        </w:r>
      </w:hyperlink>
      <w:r>
        <w:t xml:space="preserve"> mostra que não é teologia; ou seja, não faz declarações analíticas sobre Deus. No entanto, apresenta uma visão de Deus distintamente diferente dos deuses dos mitos pagãos. Deus está presente “no princípio”. Ele é único; ele cria com um propósito único, sem ser desafiado. Em contraste, os mitos pagãos retratam o início como impessoal e caótico. O caos evolui para um cosmos, do qual os deuses emergem por acaso. O desenvolvimento subsequente do céu e da terra é visto como uma luta de poder cósmica entre deuses rivais. Novamente, o Criador em Gênesis é diferente e “maior” do que os céus e a terra que ele cria. Os deuses pagãos são materiais e feitos do mesmo material cósmico que o mundo; o mundo é maior do que eles.</w:t>
      </w:r>
    </w:p>
    <w:p>
      <w:r/>
      <w:r>
        <w:t>As antropologias bíblica e pagã também são significativamente diferentes. Em Gênesis, homem e mulher são criaturas distintas do Criador, embora carreguem sua “imagem”. Eles são criados com o propósito de governar a terra como agentes de Deus e, portanto, recebem responsabilidades claras. Na mitologia pagã, os seres humanos vêm da mesma substância que os deuses, embora os humanos estejam mais intimamente relacionados ao caos do que aos deuses que os formaram. Os deuses pagãos fizeram os humanos como escravos para cuidar das necessidades materiais dos deuses, então os deuses os tratam com desprezo ou indiferença. A visão de mundo do Oriente Próximo não era apenas pessimista, mas também fatalista. Os seres humanos, longe de serem responsáveis ou significativos, recebiam ao nascer um Destino inexorável que não podiam superar.</w:t>
      </w:r>
    </w:p>
    <w:p>
      <w:r/>
      <w:r>
        <w:t>O melhor que a maioria dos habitantes do Oriente Próximo poderia esperar era uma vida relativamente próspera e regular antes de seu fim inevitável, e para isso pensavam que precisavam manipular suas divindades através da recitação e reencenação dos mitos antigos. Gênesis, por outro lado, como parte do ensino maior do AT, buscava trazer a comunidade humana para um relacionamento vivo, pessoal e de aliança com Deus.</w:t>
      </w:r>
    </w:p>
    <w:p>
      <w:r/>
      <w:r>
        <w:rPr>
          <w:i/>
        </w:rPr>
        <w:t>Veja também</w:t>
      </w:r>
      <w:r>
        <w:t xml:space="preserve"> </w:t>
      </w:r>
      <w:r>
        <w:t>Criação</w:t>
      </w:r>
      <w:r>
        <w:t>.</w:t>
      </w:r>
      <w:r/>
      <w:r/>
    </w:p>
    <w:p>
      <w:r/>
    </w:p>
    <w:p>
      <w:pPr>
        <w:pStyle w:val="Heading2"/>
      </w:pPr>
      <w:r>
        <w:t>Mitra</w:t>
      </w:r>
      <w:r/>
    </w:p>
    <w:p>
      <w:r/>
      <w:r>
        <w:t xml:space="preserve">A tradução presente na NTLH para turbante. Um turbante é um tipo de cobertura para a cabeça, usado pelo sumo sacerdote de Israel, em </w:t>
      </w:r>
      <w:hyperlink r:id="rId14668">
        <w:r>
          <w:rPr>
            <w:color w:val="0000EE"/>
            <w:u w:val="single"/>
          </w:rPr>
          <w:t>Êx 28.4</w:t>
        </w:r>
      </w:hyperlink>
      <w:r>
        <w:t>.</w:t>
      </w:r>
    </w:p>
    <w:p>
      <w:r/>
      <w:r>
        <w:rPr>
          <w:i/>
        </w:rPr>
        <w:t>Veja</w:t>
      </w:r>
      <w:r>
        <w:t xml:space="preserve"> </w:t>
      </w:r>
      <w:r>
        <w:t>Os sacerdotes e levitas</w:t>
      </w:r>
      <w:r>
        <w:t>.</w:t>
      </w:r>
      <w:r/>
      <w:r/>
    </w:p>
    <w:p>
      <w:r/>
    </w:p>
    <w:p>
      <w:pPr>
        <w:pStyle w:val="Heading2"/>
      </w:pPr>
      <w:r>
        <w:t>Miza</w:t>
      </w:r>
      <w:r/>
    </w:p>
    <w:p>
      <w:r/>
      <w:r>
        <w:t>Um filho de Reuel e um chefe de um clã edomita (</w:t>
      </w:r>
      <w:hyperlink r:id="rId14669">
        <w:r>
          <w:rPr>
            <w:color w:val="0000EE"/>
            <w:u w:val="single"/>
          </w:rPr>
          <w:t>Gn 36.13,17</w:t>
        </w:r>
      </w:hyperlink>
      <w:r>
        <w:t xml:space="preserve">; </w:t>
      </w:r>
      <w:hyperlink r:id="rId14670">
        <w:r>
          <w:rPr>
            <w:color w:val="0000EE"/>
            <w:u w:val="single"/>
          </w:rPr>
          <w:t>1Cr 1.37</w:t>
        </w:r>
      </w:hyperlink>
      <w:r>
        <w:t>).</w:t>
      </w:r>
      <w:r/>
      <w:r/>
    </w:p>
    <w:p>
      <w:r/>
    </w:p>
    <w:p>
      <w:pPr>
        <w:pStyle w:val="Heading2"/>
      </w:pPr>
      <w:r>
        <w:t>Mizar</w:t>
      </w:r>
      <w:r/>
    </w:p>
    <w:p>
      <w:r/>
      <w:r>
        <w:t>Uma pequena colina aparentemente situada no norte da Palestina, no planalto de Transjordânia, perto do Monte Hermom (</w:t>
      </w:r>
      <w:hyperlink r:id="rId935">
        <w:r>
          <w:rPr>
            <w:color w:val="0000EE"/>
            <w:u w:val="single"/>
          </w:rPr>
          <w:t>Sl 42.6</w:t>
        </w:r>
      </w:hyperlink>
      <w:r>
        <w:t>).</w:t>
      </w:r>
      <w:r/>
      <w:r/>
    </w:p>
    <w:p>
      <w:r/>
    </w:p>
    <w:p>
      <w:pPr>
        <w:pStyle w:val="Heading2"/>
      </w:pPr>
      <w:r>
        <w:t>Mizraim</w:t>
      </w:r>
      <w:r/>
    </w:p>
    <w:p>
      <w:r/>
      <w:r>
        <w:t>Uma palavra hebraica para a terra do Egito e/ou seu povo. No entanto, alguns estudiosos sugerem que Mizraim se refere a um local na fronteira de Edom ou no norte da Síria.</w:t>
      </w:r>
    </w:p>
    <w:p>
      <w:r/>
      <w:hyperlink r:id="rId4120">
        <w:r>
          <w:rPr>
            <w:color w:val="0000EE"/>
            <w:u w:val="single"/>
          </w:rPr>
          <w:t>Gênesis 10.6</w:t>
        </w:r>
      </w:hyperlink>
      <w:r>
        <w:t xml:space="preserve"> identifica Mizraim (Egito) como um dos filhos de Cam que se estabeleceram ao sul de Canaã. </w:t>
      </w:r>
      <w:hyperlink r:id="rId3994">
        <w:r>
          <w:rPr>
            <w:color w:val="0000EE"/>
            <w:u w:val="single"/>
          </w:rPr>
          <w:t>Gênesis 10.14</w:t>
        </w:r>
      </w:hyperlink>
      <w:r>
        <w:t xml:space="preserve"> e </w:t>
      </w:r>
      <w:hyperlink r:id="rId7768">
        <w:r>
          <w:rPr>
            <w:color w:val="0000EE"/>
            <w:u w:val="single"/>
          </w:rPr>
          <w:t>Isaías 11.11</w:t>
        </w:r>
      </w:hyperlink>
      <w:r>
        <w:t xml:space="preserve"> distinguem Mizraim de Patrusim (Alto Egito). Alto Egito é a metade sul do Reino Unido do Egito. Existem quase 700 referências conhecidas a Mizraim. No entanto, na maioria das referências, não há distinção entre as duas partes do reino. O termo refere-se ao território egípcio.</w:t>
      </w:r>
    </w:p>
    <w:p>
      <w:r/>
      <w:r>
        <w:rPr>
          <w:i/>
        </w:rPr>
        <w:t>Veja também</w:t>
      </w:r>
      <w:r>
        <w:t xml:space="preserve"> </w:t>
      </w:r>
      <w:r>
        <w:t>Egito, Egípcio</w:t>
      </w:r>
      <w:r>
        <w:t>.</w:t>
      </w:r>
      <w:r/>
      <w:r/>
    </w:p>
    <w:p>
      <w:r/>
    </w:p>
    <w:p>
      <w:pPr>
        <w:pStyle w:val="Heading2"/>
      </w:pPr>
      <w:r>
        <w:t>Moabe, Moabitas</w:t>
      </w:r>
      <w:r/>
    </w:p>
    <w:p>
      <w:r/>
      <w:r>
        <w:t>Nome de um pequeno reino no centro de Transjordânia e também de seus habitantes. A terra de Moabe estava situada no planalto elevado imediatamente a leste do Mar Morto; a escarpa da fenda do Jordão formava uma fronteira eficaz entre Moabe e Judá. A fronteira norte de Moabe mudava de acordo com o poder militar do reino, com a região de Hesbom formando o limite norte de Moabe em períodos de força, e o Rio Arnom (atual Wadi el-Mojib) funcionando como a fronteira norte em tempos de fraqueza. A fronteira oriental do reino era formada pela borda do deserto sírio, já que este último demarcava a zona agrícola de Moabe. Ao sul, Moabe era separado de Edom pelo Rio Zered (atual Wadi el-Hesa). Assim, mesmo em seu auge, o antigo Moabe abrangia um território relativamente pequeno, medindo apenas cerca de 96 quilômetros de norte a sul por cerca de 32 quilômetros de leste a oeste.</w:t>
      </w:r>
    </w:p>
    <w:p>
      <w:r/>
      <w:r>
        <w:t>A maior parte de Moabe é uma planície suavemente ondulada, dividida por numerosos desfiladeiros. Atravessando o coração de Moabe está a Estrada Real, uma rota que provavelmente teve importância militar e comercial ao longo da história desta região (</w:t>
      </w:r>
      <w:hyperlink r:id="rId12124">
        <w:r>
          <w:rPr>
            <w:color w:val="0000EE"/>
            <w:u w:val="single"/>
          </w:rPr>
          <w:t>Nm 21.21–22</w:t>
        </w:r>
      </w:hyperlink>
      <w:r>
        <w:t xml:space="preserve">; </w:t>
      </w:r>
      <w:hyperlink r:id="rId14671">
        <w:r>
          <w:rPr>
            <w:color w:val="0000EE"/>
            <w:u w:val="single"/>
          </w:rPr>
          <w:t>Jz 11.17</w:t>
        </w:r>
      </w:hyperlink>
      <w:r>
        <w:t>). O planalto sempre foi famoso por suas abundantes pastagens (</w:t>
      </w:r>
      <w:hyperlink r:id="rId1834">
        <w:r>
          <w:rPr>
            <w:color w:val="0000EE"/>
            <w:u w:val="single"/>
          </w:rPr>
          <w:t>2Rs 3.4</w:t>
        </w:r>
      </w:hyperlink>
      <w:r>
        <w:t>), e o solo e o clima de Moabe são bastante adequados para o cultivo de trigo e cevada.</w:t>
      </w:r>
    </w:p>
    <w:p>
      <w:pPr>
        <w:pStyle w:val="Heading3"/>
      </w:pPr>
      <w:r>
        <w:t>Origem e história</w:t>
      </w:r>
    </w:p>
    <w:p>
      <w:r/>
      <w:r>
        <w:t xml:space="preserve">De acordo com </w:t>
      </w:r>
      <w:hyperlink r:id="rId14672">
        <w:r>
          <w:rPr>
            <w:color w:val="0000EE"/>
            <w:u w:val="single"/>
          </w:rPr>
          <w:t>Gênesis 19.37</w:t>
        </w:r>
      </w:hyperlink>
      <w:r>
        <w:t xml:space="preserve">, os moabitas descendem de Moabe, o filho de Ló com sua filha mais velha. </w:t>
      </w:r>
      <w:hyperlink r:id="rId7997">
        <w:r>
          <w:rPr>
            <w:color w:val="0000EE"/>
            <w:u w:val="single"/>
          </w:rPr>
          <w:t>Deuteronômio 2.10–11</w:t>
        </w:r>
      </w:hyperlink>
      <w:r>
        <w:t>, uma passagem cujo contexto se relaciona aos moabitas na época da invasão hebraica, menciona que os habitantes pré-moabitas dessa região eram os Emim, mas a conexão entre os descendentes de Ló, os Emim e os ocupantes de Moabe na época da invasão hebraica não é identificada. Até agora, não há informações específicas sobre o estabelecimento do reino moabita propriamente dito, que existiu de cerca de 1300 a.C. a 600 a.C. O conhecimento desse período da história e cultura moabita é derivado de fontes arqueológicas e textuais, incluindo textos egípcios, assírios e do Antigo Testamento.</w:t>
      </w:r>
    </w:p>
    <w:p>
      <w:r/>
      <w:r>
        <w:t>Antes da passagem dos israelitas pela Transjordânia, os moabitas haviam perdido o controle da terra ao norte de Arnom e estavam dominados por Seom, o rei amorita que governava em Hesbom (</w:t>
      </w:r>
      <w:hyperlink r:id="rId14673">
        <w:r>
          <w:rPr>
            <w:color w:val="0000EE"/>
            <w:u w:val="single"/>
          </w:rPr>
          <w:t>Nm 21.13,26</w:t>
        </w:r>
      </w:hyperlink>
      <w:r>
        <w:t>). Tendo sido recusada a permissão para viajar através de Edom e Moabe ao longo da Estrada Real, os hebreus derrotaram Seom em uma de suas campanhas militares mais celebradas. Temendo que Israel pudesse conquistar sua terra, o rei Balaque de Moabe declarou guerra contra os hebreus (</w:t>
      </w:r>
      <w:hyperlink r:id="rId14674">
        <w:r>
          <w:rPr>
            <w:color w:val="0000EE"/>
            <w:u w:val="single"/>
          </w:rPr>
          <w:t>Nm 22.6</w:t>
        </w:r>
      </w:hyperlink>
      <w:r>
        <w:t xml:space="preserve">; </w:t>
      </w:r>
      <w:hyperlink r:id="rId14675">
        <w:r>
          <w:rPr>
            <w:color w:val="0000EE"/>
            <w:u w:val="single"/>
          </w:rPr>
          <w:t>Jos 24.9</w:t>
        </w:r>
      </w:hyperlink>
      <w:r>
        <w:t>) e contratou o adivinho mesopotâmico, Balaão, para pronunciar uma maldição sobre seus inimigos (</w:t>
      </w:r>
      <w:hyperlink r:id="rId1122">
        <w:r>
          <w:rPr>
            <w:color w:val="0000EE"/>
            <w:u w:val="single"/>
          </w:rPr>
          <w:t>Nm 22–24</w:t>
        </w:r>
      </w:hyperlink>
      <w:r>
        <w:t xml:space="preserve">). As tribos de Rúben e Gade se estabeleceram no território de Seom, e o Arnom formou a fronteira entre Israel e Moabe (cap. </w:t>
      </w:r>
      <w:hyperlink r:id="rId1125">
        <w:r>
          <w:rPr>
            <w:color w:val="0000EE"/>
            <w:u w:val="single"/>
          </w:rPr>
          <w:t>32</w:t>
        </w:r>
      </w:hyperlink>
      <w:r>
        <w:t xml:space="preserve">). A partir do tempo da apostasia dos israelitas em Sitim (cap. </w:t>
      </w:r>
      <w:hyperlink r:id="rId2975">
        <w:r>
          <w:rPr>
            <w:color w:val="0000EE"/>
            <w:u w:val="single"/>
          </w:rPr>
          <w:t>25</w:t>
        </w:r>
      </w:hyperlink>
      <w:r>
        <w:t>), o planalto moabita ao norte de Arnom foi uma fonte de contenda entre Moabe e Israel.</w:t>
      </w:r>
    </w:p>
    <w:p>
      <w:r/>
      <w:r>
        <w:t>Até seu assassinato por Eúde, o rei moabita Eglom oprimiu as tribos hebraicas em ambos os lados do Jordão (</w:t>
      </w:r>
      <w:hyperlink r:id="rId7135">
        <w:r>
          <w:rPr>
            <w:color w:val="0000EE"/>
            <w:u w:val="single"/>
          </w:rPr>
          <w:t>Jz 3.12–30</w:t>
        </w:r>
      </w:hyperlink>
      <w:r>
        <w:t>). Nos dias de Jefté, o norte de Moabe estava novamente sob controle israelita (</w:t>
      </w:r>
      <w:hyperlink r:id="rId2532">
        <w:r>
          <w:rPr>
            <w:color w:val="0000EE"/>
            <w:u w:val="single"/>
          </w:rPr>
          <w:t>11.26</w:t>
        </w:r>
      </w:hyperlink>
      <w:r>
        <w:t>). Obviamente, como o livro de Rute indica, também houve períodos em que Moabe e Israel viveram em paz.</w:t>
      </w:r>
    </w:p>
    <w:p>
      <w:r/>
      <w:r>
        <w:t>Durante os reinados de Saul e Davi, do final do século XI até meados do século X a.C., Moabe e Israel estavam em guerra, com Israel geralmente levando a melhor (</w:t>
      </w:r>
      <w:hyperlink r:id="rId6499">
        <w:r>
          <w:rPr>
            <w:color w:val="0000EE"/>
            <w:u w:val="single"/>
          </w:rPr>
          <w:t>1Sm 14.47</w:t>
        </w:r>
      </w:hyperlink>
      <w:r>
        <w:t xml:space="preserve">; </w:t>
      </w:r>
      <w:hyperlink r:id="rId7136">
        <w:r>
          <w:rPr>
            <w:color w:val="0000EE"/>
            <w:u w:val="single"/>
          </w:rPr>
          <w:t>2Sm 8.2</w:t>
        </w:r>
      </w:hyperlink>
      <w:r>
        <w:t>). O harém de Salomão incluía mulheres moabitas, e ele também construiu um altar elevado para Quemos, o principal deus dos moabitas (</w:t>
      </w:r>
      <w:hyperlink r:id="rId14676">
        <w:r>
          <w:rPr>
            <w:color w:val="0000EE"/>
            <w:u w:val="single"/>
          </w:rPr>
          <w:t>1Rs 11.1,7</w:t>
        </w:r>
      </w:hyperlink>
      <w:r>
        <w:t>). Após a divisão da monarquia israelita em 930 a.C., Moabe experimentou um breve período de independência, mas isso terminou quando Onri e Acabe dominaram os moabitas e seu rei, Messa, durante o século IX a.C. (A famosa Pedra Moabita, que descreve o conflito de Messa com a dinastia Omrida, e vários textos mais curtos demonstram que a língua de Moabe estava intimamente relacionada ao hebraico do AT). O conflito entre Moabe e seus vizinhos (e.g., Israel, Judá, Edom e, mais importante, Assíria) continuou até que o rei babilônico Nabucodonozor destruiu o reino moabita no início do século VI a.C. (</w:t>
      </w:r>
      <w:hyperlink r:id="rId14677">
        <w:r>
          <w:rPr>
            <w:color w:val="0000EE"/>
            <w:u w:val="single"/>
          </w:rPr>
          <w:t>Ez 25.8–11</w:t>
        </w:r>
      </w:hyperlink>
      <w:r>
        <w:t>). Este conflito está documentado na literatura assíria, que indica que Moabe se tornou um vassalo assírio no final do século VIII a.C., e no AT (</w:t>
      </w:r>
      <w:hyperlink r:id="rId7963">
        <w:r>
          <w:rPr>
            <w:color w:val="0000EE"/>
            <w:u w:val="single"/>
          </w:rPr>
          <w:t>2Rs 3</w:t>
        </w:r>
      </w:hyperlink>
      <w:r>
        <w:t xml:space="preserve">; </w:t>
      </w:r>
      <w:hyperlink r:id="rId1274">
        <w:r>
          <w:rPr>
            <w:color w:val="0000EE"/>
            <w:u w:val="single"/>
          </w:rPr>
          <w:t>10.32–33</w:t>
        </w:r>
      </w:hyperlink>
      <w:r>
        <w:t xml:space="preserve">; </w:t>
      </w:r>
      <w:hyperlink r:id="rId14678">
        <w:r>
          <w:rPr>
            <w:color w:val="0000EE"/>
            <w:u w:val="single"/>
          </w:rPr>
          <w:t>13.20</w:t>
        </w:r>
      </w:hyperlink>
      <w:r>
        <w:t xml:space="preserve">; </w:t>
      </w:r>
      <w:hyperlink r:id="rId14679">
        <w:r>
          <w:rPr>
            <w:color w:val="0000EE"/>
            <w:u w:val="single"/>
          </w:rPr>
          <w:t>24.2</w:t>
        </w:r>
      </w:hyperlink>
      <w:r>
        <w:t>). De fato, a inimizade entre Moabe, Israel e Judá é especialmente evidente em uma série de oráculos proféticos dirigidos contra os moabitas (</w:t>
      </w:r>
      <w:hyperlink r:id="rId14680">
        <w:r>
          <w:rPr>
            <w:color w:val="0000EE"/>
            <w:u w:val="single"/>
          </w:rPr>
          <w:t>Is 15–16</w:t>
        </w:r>
      </w:hyperlink>
      <w:r>
        <w:t xml:space="preserve">; </w:t>
      </w:r>
      <w:hyperlink r:id="rId4928">
        <w:r>
          <w:rPr>
            <w:color w:val="0000EE"/>
            <w:u w:val="single"/>
          </w:rPr>
          <w:t>Jr 9.25–26</w:t>
        </w:r>
      </w:hyperlink>
      <w:r>
        <w:t xml:space="preserve">; </w:t>
      </w:r>
      <w:hyperlink r:id="rId14681">
        <w:r>
          <w:rPr>
            <w:color w:val="0000EE"/>
            <w:u w:val="single"/>
          </w:rPr>
          <w:t>48</w:t>
        </w:r>
      </w:hyperlink>
      <w:r>
        <w:t xml:space="preserve">; </w:t>
      </w:r>
      <w:hyperlink r:id="rId1285">
        <w:r>
          <w:rPr>
            <w:color w:val="0000EE"/>
            <w:u w:val="single"/>
          </w:rPr>
          <w:t>Am 2.1–3</w:t>
        </w:r>
      </w:hyperlink>
      <w:r>
        <w:t xml:space="preserve">; </w:t>
      </w:r>
      <w:hyperlink r:id="rId14682">
        <w:r>
          <w:rPr>
            <w:color w:val="0000EE"/>
            <w:u w:val="single"/>
          </w:rPr>
          <w:t>Sf 2.8–11</w:t>
        </w:r>
      </w:hyperlink>
      <w:r>
        <w:t>). Estas passagens chamam a atenção para algumas das principais cidades da antiga Moabe (Nebo, Medeba, Hesbom, Dibon, Ar, Quir e Horonaim).</w:t>
      </w:r>
    </w:p>
    <w:p>
      <w:r/>
      <w:r>
        <w:t>Após a conquista babilônica, a região de Moabe caiu sob controle persa e foi ocupada por vários povos árabes, mais notavelmente os Nabateus. Embora um estado moabita nunca tenha sido restabelecido, pessoas de ascendência moabita foram reconhecidas nos tempos finais do AT (</w:t>
      </w:r>
      <w:hyperlink r:id="rId9187">
        <w:r>
          <w:rPr>
            <w:color w:val="0000EE"/>
            <w:u w:val="single"/>
          </w:rPr>
          <w:t>Ed 9.1</w:t>
        </w:r>
      </w:hyperlink>
      <w:r>
        <w:t xml:space="preserve">; </w:t>
      </w:r>
      <w:hyperlink r:id="rId14683">
        <w:r>
          <w:rPr>
            <w:color w:val="0000EE"/>
            <w:u w:val="single"/>
          </w:rPr>
          <w:t>Ne 13.1,23</w:t>
        </w:r>
      </w:hyperlink>
      <w:r>
        <w:t xml:space="preserve">), já que a comunidade judaica pós-exílica estava preocupada em observar a lei registrada em </w:t>
      </w:r>
      <w:hyperlink r:id="rId14684">
        <w:r>
          <w:rPr>
            <w:color w:val="0000EE"/>
            <w:u w:val="single"/>
          </w:rPr>
          <w:t>Deuteronômio 23.3–6</w:t>
        </w:r>
      </w:hyperlink>
      <w:r>
        <w:t>. Em 106 d.C., a região de Moabe tornou-se parte da província romana da Arábia. A pesquisa arqueológica acrescentou muito ao conjunto de informações que se relacionam à história e cultura moabita desde os períodos pré-históricos até os otomanos.</w:t>
      </w:r>
    </w:p>
    <w:p>
      <w:pPr>
        <w:pStyle w:val="Heading3"/>
      </w:pPr>
      <w:r>
        <w:t>Religião</w:t>
      </w:r>
    </w:p>
    <w:p>
      <w:r/>
      <w:r>
        <w:t>Durante o terceiro e segundo milênios a.C., a religião moabita provavelmente era semelhante à praticada pelos cananeus, embora a religião de Moabe eventualmente tenha se desenvolvido em um sistema relativamente distinto. Embora outros deuses fossem adorados pelos moabitas, Quemos era seu deus nacional. O AT refere-se aos moabitas como “povo de Quemos” (</w:t>
      </w:r>
      <w:hyperlink r:id="rId14685">
        <w:r>
          <w:rPr>
            <w:color w:val="0000EE"/>
            <w:u w:val="single"/>
          </w:rPr>
          <w:t>Nm 21.29</w:t>
        </w:r>
      </w:hyperlink>
      <w:r>
        <w:t xml:space="preserve">; </w:t>
      </w:r>
      <w:hyperlink r:id="rId14686">
        <w:r>
          <w:rPr>
            <w:color w:val="0000EE"/>
            <w:u w:val="single"/>
          </w:rPr>
          <w:t>Jer 48.46</w:t>
        </w:r>
      </w:hyperlink>
      <w:r>
        <w:t>), e a aparição frequente de “Quemos” em nomes pessoais moabitas aponta para o status elevado desse deus. Em geral, as dúzias de referências a Quemos na Pedra Moabita o retratam como um deus da guerra que lidera seu povo contra seus inimigos.</w:t>
      </w:r>
    </w:p>
    <w:p>
      <w:r/>
      <w:r>
        <w:t>Orientação divina e favor eram buscados, e adivinhos e oráculos eram respeitados (</w:t>
      </w:r>
      <w:hyperlink r:id="rId1122">
        <w:r>
          <w:rPr>
            <w:color w:val="0000EE"/>
            <w:u w:val="single"/>
          </w:rPr>
          <w:t>Nm 22–24</w:t>
        </w:r>
      </w:hyperlink>
      <w:r>
        <w:t>). Um sacerdócio (</w:t>
      </w:r>
      <w:hyperlink r:id="rId14687">
        <w:r>
          <w:rPr>
            <w:color w:val="0000EE"/>
            <w:u w:val="single"/>
          </w:rPr>
          <w:t>Jr 48.7</w:t>
        </w:r>
      </w:hyperlink>
      <w:r>
        <w:t>) e um sistema sacrificial (</w:t>
      </w:r>
      <w:hyperlink r:id="rId14688">
        <w:r>
          <w:rPr>
            <w:color w:val="0000EE"/>
            <w:u w:val="single"/>
          </w:rPr>
          <w:t>Nm 22.40–23.30</w:t>
        </w:r>
      </w:hyperlink>
      <w:r>
        <w:t xml:space="preserve">; </w:t>
      </w:r>
      <w:hyperlink r:id="rId14689">
        <w:r>
          <w:rPr>
            <w:color w:val="0000EE"/>
            <w:u w:val="single"/>
          </w:rPr>
          <w:t>25.1–5</w:t>
        </w:r>
      </w:hyperlink>
      <w:r>
        <w:t xml:space="preserve">; </w:t>
      </w:r>
      <w:hyperlink r:id="rId7400">
        <w:r>
          <w:rPr>
            <w:color w:val="0000EE"/>
            <w:u w:val="single"/>
          </w:rPr>
          <w:t>2Rs 3.27</w:t>
        </w:r>
      </w:hyperlink>
      <w:r>
        <w:t xml:space="preserve">; </w:t>
      </w:r>
      <w:hyperlink r:id="rId13422">
        <w:r>
          <w:rPr>
            <w:color w:val="0000EE"/>
            <w:u w:val="single"/>
          </w:rPr>
          <w:t>Jr 48.35</w:t>
        </w:r>
      </w:hyperlink>
      <w:r>
        <w:t>) eram aspectos importantes da religião moabita. Nenhum santuário moabita foi descoberto, mas sua existência é mencionada na Pedra Moabita e no AT (</w:t>
      </w:r>
      <w:hyperlink r:id="rId11606">
        <w:r>
          <w:rPr>
            <w:color w:val="0000EE"/>
            <w:u w:val="single"/>
          </w:rPr>
          <w:t>1Rs 11.7</w:t>
        </w:r>
      </w:hyperlink>
      <w:r>
        <w:t xml:space="preserve">; </w:t>
      </w:r>
      <w:hyperlink r:id="rId6911">
        <w:r>
          <w:rPr>
            <w:color w:val="0000EE"/>
            <w:u w:val="single"/>
          </w:rPr>
          <w:t>2Rs 23.13</w:t>
        </w:r>
      </w:hyperlink>
      <w:r>
        <w:t>). Túmulos ricamente decorados, como os encontrados em Dibom, indicam a crença dos moabitas na vida após a morte.</w:t>
      </w:r>
    </w:p>
    <w:p>
      <w:r/>
      <w:r>
        <w:rPr>
          <w:i/>
        </w:rPr>
        <w:t>Veja também</w:t>
      </w:r>
      <w:r>
        <w:t xml:space="preserve"> </w:t>
      </w:r>
      <w:r>
        <w:t>Deidades e religião cananeia</w:t>
      </w:r>
      <w:r>
        <w:t xml:space="preserve">; </w:t>
      </w:r>
      <w:r>
        <w:t>Pedra Moabita</w:t>
      </w:r>
      <w:r>
        <w:t>.</w:t>
      </w:r>
      <w:r/>
      <w:r/>
    </w:p>
    <w:p>
      <w:r/>
    </w:p>
    <w:p>
      <w:pPr>
        <w:pStyle w:val="Heading2"/>
      </w:pPr>
      <w:r>
        <w:t>Mobília</w:t>
      </w:r>
      <w:r/>
    </w:p>
    <w:p>
      <w:r/>
      <w:r>
        <w:t>Itens de cultura material usados em casas, palácios e templos. Por causa de sua proximidade geográfica com outras nações, Israel tinha amplo contato com culturas vizinhas. Pesquisas históricas têm paralelos entre a mobília de Israel e os de outras tribos e países.</w:t>
      </w:r>
    </w:p>
    <w:p>
      <w:pPr>
        <w:pStyle w:val="Heading3"/>
      </w:pPr>
      <w:r>
        <w:t>Palestina nos tempos do Antigo Testamento</w:t>
      </w:r>
    </w:p>
    <w:p>
      <w:r/>
      <w:r>
        <w:t>As passagens do AT fornecem a maioria das informações sobre móveis na antiga Palestina, embora também haja dados arqueológicos significativos. Há muitas referências a camas no AT, usando pelo menos três substantivos hebraicos. Jacó é retratado sentado na cama (</w:t>
      </w:r>
      <w:hyperlink r:id="rId14690">
        <w:r>
          <w:rPr>
            <w:color w:val="0000EE"/>
            <w:u w:val="single"/>
          </w:rPr>
          <w:t>Gn 48.2</w:t>
        </w:r>
      </w:hyperlink>
      <w:r>
        <w:t>) e morrendo em sua cama (</w:t>
      </w:r>
      <w:hyperlink r:id="rId2230">
        <w:r>
          <w:rPr>
            <w:color w:val="0000EE"/>
            <w:u w:val="single"/>
          </w:rPr>
          <w:t>49.33</w:t>
        </w:r>
      </w:hyperlink>
      <w:r>
        <w:t>). Moisés ameaçou que os sapos invadiriam o quarto e a cama do faraó egípcio (</w:t>
      </w:r>
      <w:hyperlink r:id="rId14691">
        <w:r>
          <w:rPr>
            <w:color w:val="0000EE"/>
            <w:u w:val="single"/>
          </w:rPr>
          <w:t>Êx 8.3</w:t>
        </w:r>
      </w:hyperlink>
      <w:r>
        <w:t>). Mical, a filha de Saul, colocou uma efígie na cama de Davi (</w:t>
      </w:r>
      <w:hyperlink r:id="rId14692">
        <w:r>
          <w:rPr>
            <w:color w:val="0000EE"/>
            <w:u w:val="single"/>
          </w:rPr>
          <w:t>1Sm 19.11–17</w:t>
        </w:r>
      </w:hyperlink>
      <w:r>
        <w:t>) quando Saul enviou mensageiros para capturá-lo. O rei Davi condenou a prática de matar uma pessoa indefesa dormindo na cama (</w:t>
      </w:r>
      <w:hyperlink r:id="rId2320">
        <w:r>
          <w:rPr>
            <w:color w:val="0000EE"/>
            <w:u w:val="single"/>
          </w:rPr>
          <w:t>2Sm 4.7,11</w:t>
        </w:r>
      </w:hyperlink>
      <w:r>
        <w:t>). O profeta Elias colocou um menino morto em sua cama e o reviveu (</w:t>
      </w:r>
      <w:hyperlink r:id="rId2598">
        <w:r>
          <w:rPr>
            <w:color w:val="0000EE"/>
            <w:u w:val="single"/>
          </w:rPr>
          <w:t>1Rs 17.19</w:t>
        </w:r>
      </w:hyperlink>
      <w:r>
        <w:t>).</w:t>
      </w:r>
    </w:p>
    <w:p>
      <w:r/>
      <w:r>
        <w:t>O rei Acabe ficou aborrecido em sua cama (</w:t>
      </w:r>
      <w:hyperlink r:id="rId14693">
        <w:r>
          <w:rPr>
            <w:color w:val="0000EE"/>
            <w:u w:val="single"/>
          </w:rPr>
          <w:t>1Rs 21.4</w:t>
        </w:r>
      </w:hyperlink>
      <w:r>
        <w:t>), e o rei Acazias deitou doente em sua cama (</w:t>
      </w:r>
      <w:hyperlink r:id="rId14694">
        <w:r>
          <w:rPr>
            <w:color w:val="0000EE"/>
            <w:u w:val="single"/>
          </w:rPr>
          <w:t>2Rs 1.4–6,16</w:t>
        </w:r>
      </w:hyperlink>
      <w:r>
        <w:t>). O profeta Amós criticou os ricos que se deitavam em camas de marfim e se esticavam em seus sofás (</w:t>
      </w:r>
      <w:hyperlink r:id="rId1267">
        <w:r>
          <w:rPr>
            <w:color w:val="0000EE"/>
            <w:u w:val="single"/>
          </w:rPr>
          <w:t>Am 6.4</w:t>
        </w:r>
      </w:hyperlink>
      <w:r>
        <w:t>). O profeta Ezequiel falou simbolicamente da desobediência de Jerusalém como uma prostituta sentada em um sofá imponente com o incenso e óleo do Senhor em uma mesa próxima (</w:t>
      </w:r>
      <w:hyperlink r:id="rId3024">
        <w:r>
          <w:rPr>
            <w:color w:val="0000EE"/>
            <w:u w:val="single"/>
          </w:rPr>
          <w:t>Ez 23.41</w:t>
        </w:r>
      </w:hyperlink>
      <w:r>
        <w:t>). Isaías prometeu que os justos descansariam em suas camas (</w:t>
      </w:r>
      <w:hyperlink r:id="rId14695">
        <w:r>
          <w:rPr>
            <w:color w:val="0000EE"/>
            <w:u w:val="single"/>
          </w:rPr>
          <w:t>Is 57.2</w:t>
        </w:r>
      </w:hyperlink>
      <w:r>
        <w:t xml:space="preserve">) e também falou dos injustos colocando suas camas entre falsos adoradores (vv. </w:t>
      </w:r>
      <w:hyperlink r:id="rId14696">
        <w:r>
          <w:rPr>
            <w:color w:val="0000EE"/>
            <w:u w:val="single"/>
          </w:rPr>
          <w:t>7–8</w:t>
        </w:r>
      </w:hyperlink>
      <w:r>
        <w:t>). O salmista inundou sua cama de lágrimas (</w:t>
      </w:r>
      <w:hyperlink r:id="rId14697">
        <w:r>
          <w:rPr>
            <w:color w:val="0000EE"/>
            <w:u w:val="single"/>
          </w:rPr>
          <w:t>Sl 6.6</w:t>
        </w:r>
      </w:hyperlink>
      <w:r>
        <w:t>), e Provérbios se refere a um preguiçoso em sua cama (</w:t>
      </w:r>
      <w:hyperlink r:id="rId14698">
        <w:r>
          <w:rPr>
            <w:color w:val="0000EE"/>
            <w:u w:val="single"/>
          </w:rPr>
          <w:t>Pv 26.14</w:t>
        </w:r>
      </w:hyperlink>
      <w:r>
        <w:t>).</w:t>
      </w:r>
    </w:p>
    <w:p>
      <w:r/>
      <w:r>
        <w:t>“Mesa” no AT se refere tanto à mesa do templo para o pão da Presença quanto à mesa usada em palácios ou casas para refeições, ou banquetes. O rei Adoni-Bezeque mandou seus cativos lutarem por restos de comida sob sua mesa (</w:t>
      </w:r>
      <w:hyperlink r:id="rId14699">
        <w:r>
          <w:rPr>
            <w:color w:val="0000EE"/>
            <w:u w:val="single"/>
          </w:rPr>
          <w:t>Jz 1.7</w:t>
        </w:r>
      </w:hyperlink>
      <w:r>
        <w:t>). O filho deficiente de Jônatas, Mefibosete, teve permissão para se sentar à mesa de Davi (</w:t>
      </w:r>
      <w:hyperlink r:id="rId14700">
        <w:r>
          <w:rPr>
            <w:color w:val="0000EE"/>
            <w:u w:val="single"/>
          </w:rPr>
          <w:t>2Sm 9.7,10–13</w:t>
        </w:r>
      </w:hyperlink>
      <w:r>
        <w:t xml:space="preserve">; </w:t>
      </w:r>
      <w:hyperlink r:id="rId14701">
        <w:r>
          <w:rPr>
            <w:color w:val="0000EE"/>
            <w:u w:val="single"/>
          </w:rPr>
          <w:t>19.28</w:t>
        </w:r>
      </w:hyperlink>
      <w:r>
        <w:t>). A mesa de Salomão é descrita várias vezes (</w:t>
      </w:r>
      <w:hyperlink r:id="rId14702">
        <w:r>
          <w:rPr>
            <w:color w:val="0000EE"/>
            <w:u w:val="single"/>
          </w:rPr>
          <w:t>1Rs 2.7</w:t>
        </w:r>
      </w:hyperlink>
      <w:r>
        <w:t xml:space="preserve">; </w:t>
      </w:r>
      <w:hyperlink r:id="rId14703">
        <w:r>
          <w:rPr>
            <w:color w:val="0000EE"/>
            <w:u w:val="single"/>
          </w:rPr>
          <w:t>4.27</w:t>
        </w:r>
      </w:hyperlink>
      <w:r>
        <w:t>). A rainha de Sabá ficou especialmente impressionada com a comida e o serviço de mesa no palácio de Salomão (</w:t>
      </w:r>
      <w:hyperlink r:id="rId5497">
        <w:r>
          <w:rPr>
            <w:color w:val="0000EE"/>
            <w:u w:val="single"/>
          </w:rPr>
          <w:t>10.5</w:t>
        </w:r>
      </w:hyperlink>
      <w:r>
        <w:t>). Os profetas frequentemente se referem às mesas (</w:t>
      </w:r>
      <w:hyperlink r:id="rId6055">
        <w:r>
          <w:rPr>
            <w:color w:val="0000EE"/>
            <w:u w:val="single"/>
          </w:rPr>
          <w:t>Is 21.5</w:t>
        </w:r>
      </w:hyperlink>
      <w:r>
        <w:t xml:space="preserve">; </w:t>
      </w:r>
      <w:hyperlink r:id="rId14704">
        <w:r>
          <w:rPr>
            <w:color w:val="0000EE"/>
            <w:u w:val="single"/>
          </w:rPr>
          <w:t>28.8</w:t>
        </w:r>
      </w:hyperlink>
      <w:r>
        <w:t xml:space="preserve">; </w:t>
      </w:r>
      <w:hyperlink r:id="rId6780">
        <w:r>
          <w:rPr>
            <w:color w:val="0000EE"/>
            <w:u w:val="single"/>
          </w:rPr>
          <w:t>65.11</w:t>
        </w:r>
      </w:hyperlink>
      <w:r>
        <w:t xml:space="preserve">; </w:t>
      </w:r>
      <w:hyperlink r:id="rId14705">
        <w:r>
          <w:rPr>
            <w:color w:val="0000EE"/>
            <w:u w:val="single"/>
          </w:rPr>
          <w:t>Ez 40.39–43</w:t>
        </w:r>
      </w:hyperlink>
      <w:r>
        <w:t>). As poucas referências a cadeiras descrevem pessoas reclinadas às refeições e indicam sofás em vez de cadeiras reais (</w:t>
      </w:r>
      <w:hyperlink r:id="rId1267">
        <w:r>
          <w:rPr>
            <w:color w:val="0000EE"/>
            <w:u w:val="single"/>
          </w:rPr>
          <w:t>Am 6.4</w:t>
        </w:r>
      </w:hyperlink>
      <w:r>
        <w:t>).</w:t>
      </w:r>
    </w:p>
    <w:p>
      <w:r/>
      <w:r>
        <w:t>Há numerosas menções de tronos, incluindo os do faraó (</w:t>
      </w:r>
      <w:hyperlink r:id="rId14706">
        <w:r>
          <w:rPr>
            <w:color w:val="0000EE"/>
            <w:u w:val="single"/>
          </w:rPr>
          <w:t>Gn 41.40</w:t>
        </w:r>
      </w:hyperlink>
      <w:r>
        <w:t xml:space="preserve">; </w:t>
      </w:r>
      <w:hyperlink r:id="rId14707">
        <w:r>
          <w:rPr>
            <w:color w:val="0000EE"/>
            <w:u w:val="single"/>
          </w:rPr>
          <w:t>Êx 11.5</w:t>
        </w:r>
      </w:hyperlink>
      <w:r>
        <w:t>), Davi (</w:t>
      </w:r>
      <w:hyperlink r:id="rId6449">
        <w:r>
          <w:rPr>
            <w:color w:val="0000EE"/>
            <w:u w:val="single"/>
          </w:rPr>
          <w:t>2Sm 3.10</w:t>
        </w:r>
      </w:hyperlink>
      <w:r>
        <w:t xml:space="preserve">; </w:t>
      </w:r>
      <w:hyperlink r:id="rId12322">
        <w:r>
          <w:rPr>
            <w:color w:val="0000EE"/>
            <w:u w:val="single"/>
          </w:rPr>
          <w:t>7.13</w:t>
        </w:r>
      </w:hyperlink>
      <w:r>
        <w:t>), Salomão (</w:t>
      </w:r>
      <w:hyperlink r:id="rId13941">
        <w:r>
          <w:rPr>
            <w:color w:val="0000EE"/>
            <w:u w:val="single"/>
          </w:rPr>
          <w:t>1Rs 10.18</w:t>
        </w:r>
      </w:hyperlink>
      <w:r>
        <w:t xml:space="preserve">), os reis de Israel e Judá (1Rs </w:t>
      </w:r>
      <w:hyperlink r:id="rId14708">
        <w:r>
          <w:rPr>
            <w:color w:val="0000EE"/>
            <w:u w:val="single"/>
          </w:rPr>
          <w:t>22.10</w:t>
        </w:r>
      </w:hyperlink>
      <w:r>
        <w:t>) e Deus (</w:t>
      </w:r>
      <w:hyperlink r:id="rId2076">
        <w:r>
          <w:rPr>
            <w:color w:val="0000EE"/>
            <w:u w:val="single"/>
          </w:rPr>
          <w:t>1Rs 22.19</w:t>
        </w:r>
      </w:hyperlink>
      <w:r>
        <w:t xml:space="preserve">; </w:t>
      </w:r>
      <w:hyperlink r:id="rId14709">
        <w:r>
          <w:rPr>
            <w:color w:val="0000EE"/>
            <w:u w:val="single"/>
          </w:rPr>
          <w:t>Sl 9.4, 7</w:t>
        </w:r>
      </w:hyperlink>
      <w:r>
        <w:t xml:space="preserve">; </w:t>
      </w:r>
      <w:hyperlink r:id="rId332">
        <w:r>
          <w:rPr>
            <w:color w:val="0000EE"/>
            <w:u w:val="single"/>
          </w:rPr>
          <w:t>11.4</w:t>
        </w:r>
      </w:hyperlink>
      <w:r>
        <w:t xml:space="preserve">; </w:t>
      </w:r>
      <w:hyperlink r:id="rId14710">
        <w:r>
          <w:rPr>
            <w:color w:val="0000EE"/>
            <w:u w:val="single"/>
          </w:rPr>
          <w:t>93.2</w:t>
        </w:r>
      </w:hyperlink>
      <w:r>
        <w:t>). Os escritores do AT às vezes indicam tronos decorados com marfim (</w:t>
      </w:r>
      <w:hyperlink r:id="rId13941">
        <w:r>
          <w:rPr>
            <w:color w:val="0000EE"/>
            <w:u w:val="single"/>
          </w:rPr>
          <w:t>1Rs 10.18</w:t>
        </w:r>
      </w:hyperlink>
      <w:r>
        <w:t>).</w:t>
      </w:r>
    </w:p>
    <w:p>
      <w:r/>
      <w:r>
        <w:t>O caráter exato da mobília na Palestina é difícil de determinar. Baixos-relevos e pinturas nas paredes são mais comuns entre os vizinhos de Israel. As escavações em Jericó, no entanto, desenterraram algumas pistas arqueológicas valiosas. As tumbas da Idade do Bronze produziam mesas, bancos e caixas razoavelmente bem preservadas, permitindo um estudo de métodos de marcenaria antiga. Uma variedade de pequenas caixas de bugigangas mostra evidências de marchetaria de ossos e decoração entalhada. Algumas grandes placas de madeira podem ter sido camas. Embora principalmente em estilos cananeus, os móveis refletem a mobília doméstica usada em Israel nos séculos a seguir.</w:t>
      </w:r>
    </w:p>
    <w:p>
      <w:pPr>
        <w:pStyle w:val="Heading3"/>
      </w:pPr>
      <w:r>
        <w:t>Grego e romano</w:t>
      </w:r>
    </w:p>
    <w:p>
      <w:r/>
      <w:r>
        <w:t>Os historiadores são bastante informados sobre móveis gregos por causa da abundância de vasos decorados, baixos-relevos, estatuetas de bronze e terracota e descrições literárias. Essa evidência arqueológica indica que a mobília grega foi influenciada pelas civilizações anteriores. A imagem é geralmente de uma relativa simplicidade, longe das salas confusas e lotadas das civilizações posteriores.</w:t>
      </w:r>
    </w:p>
    <w:p>
      <w:r/>
      <w:r>
        <w:t>Os gregos faziam vários tipos de assentos: (1) o trono, muitas vezes com encosto, pernas de várias formas e braços; (2) a cadeira mais leve encostada com apoios para os braços; (3) o banco de quatro pés; (4) o banco dobrável com pernas cruzadas que lembram os modelos egípcios; e (5) o banco. Representações que regularmente aparecem em monumentos que datam do oitavo ao segundo século a.C. ligam cadeiras gregas aos protótipos egípcios e assírios.</w:t>
      </w:r>
    </w:p>
    <w:p>
      <w:r/>
      <w:r>
        <w:t>Os gregos usavam sofás para dormir e para se reclinar para as refeições. Banquinhos para os pés eram usados para descansar os pés ou como um degrau para sofás mais altos. Como pernas de cadeira, as pernas do sofá variavam em estilo. Algumas eram talhadas na forma de pernas de animais, algumas eram torneadas, algumas eram retangulares. Por volta do sexto século a.C., as pernas eram projetadas acima da estrutura. Tais projeções mais tarde se tornaram cabeceiras e apoios de pés. Nos tempos helenísticos, esses apoios de cabeça e apoios de pés eram talhados e carregados de medalhões de bronze em alto-relevo, representando crianças, sátiros e animais. As pernas torneadas substituíram as retangulares. Os sofás eram normalmente em madeira, embora os sofás de bronze e mármore sejam conhecidos.</w:t>
      </w:r>
    </w:p>
    <w:p>
      <w:r/>
      <w:r>
        <w:t>As mesas eram usadas durante as refeições para apoiar pratos e alimentos e eram removidas após a refeição. Elas eram feitas de madeira, bronze e mármore e normalmente tinham quatro pernas, mas mesas de três pernas eram usadas ocasionalmente. Baús, grandes e pequenos, serviam para armazenar roupas, joias e outros artigos. Eles eram normalmente de madeira, embora alguns fossem de bronze.</w:t>
      </w:r>
    </w:p>
    <w:p>
      <w:pPr>
        <w:pStyle w:val="Heading3"/>
      </w:pPr>
      <w:r>
        <w:t>Roma</w:t>
      </w:r>
    </w:p>
    <w:p>
      <w:r/>
      <w:r>
        <w:t>A mobília romana manteve muitos padrões gregos. A erupção do vulcão Vesúvio em 79 d.C. preservou peças reais da mobília romana em seu fluxo de lava.</w:t>
      </w:r>
    </w:p>
    <w:p>
      <w:r/>
      <w:r>
        <w:t>Cadeiras com encosto eram mais pesadas do que suas contrapartes gregas e amplamente usadas. Havia vários tipos de bancos: o banquinho dobrável, principalmente de madeira, embora às vezes de metal; e um banquinho decorativo recém-desenvolvido, muitas vezes de bronze, que era apoiado por quatro pernas arredondadas ornamentadas com arabescos.</w:t>
      </w:r>
    </w:p>
    <w:p>
      <w:r/>
      <w:r>
        <w:t>Uma variedade de sofás estava em uso. Alguns seguiam modelos gregos, mas outros eram de invenção romana. Excelentes exemplos de estruturas de cama de bronze foram preservados. Presumivelmente, tiras entrelaçadas de couro ou cabos eram esticados na moldura. Ouro, prata, casco de tartaruga, ossos e decoração de marfim eram usados juntamente com o trabalho de folheado em madeira rara. Mais tarde, sofás na Itália e em outras terras tinham encosto e lados altos. Os romanos parecem ter usado mesas muito mais do que os gregos. Elas aparecem muitas vezes como suportes permanentes para vasos e outros bens. As mesas eram normalmente retangulares com quatro pernas, mas os fabricantes de mesa também construíam algumas com três pernas, ou até mesmo apoiadas em um único suporte. Os tampos de mesas redondos e pernas de animais se tornaram populares a partir do quarto século a.C. Mesas e bancos de madeira simples e sem decoração eram usados em cozinhas e oficinas. Mesas ao ar livre eram geralmente de mármore com pernas de animais entalhadas ou figuras decorativas de animais e monstros.</w:t>
      </w:r>
    </w:p>
    <w:p>
      <w:r/>
      <w:r>
        <w:t>Havia vários baús e caixas em uso diário. As prateleiras e armários se tornaram muito mais populares do que nos tempos gregos.</w:t>
      </w:r>
    </w:p>
    <w:p>
      <w:pPr>
        <w:pStyle w:val="Heading3"/>
      </w:pPr>
      <w:r>
        <w:t>Palestina nos tempos do Novo Testamento</w:t>
      </w:r>
    </w:p>
    <w:p>
      <w:r/>
      <w:r>
        <w:t>A natureza da mobília no NT é provavelmente melhor entendida em relação aos modelos romanos contemporâneos. O NT se refere a camas em várias passagens. As pessoas trouxeram um paralítico deitado em sua cama para Jesus (</w:t>
      </w:r>
      <w:hyperlink r:id="rId11723">
        <w:r>
          <w:rPr>
            <w:color w:val="0000EE"/>
            <w:u w:val="single"/>
          </w:rPr>
          <w:t>Mt 9.2,6</w:t>
        </w:r>
      </w:hyperlink>
      <w:r>
        <w:t xml:space="preserve">; </w:t>
      </w:r>
      <w:hyperlink r:id="rId14711">
        <w:r>
          <w:rPr>
            <w:color w:val="0000EE"/>
            <w:u w:val="single"/>
          </w:rPr>
          <w:t>Lc 5.18</w:t>
        </w:r>
      </w:hyperlink>
      <w:r>
        <w:t>). Quando os apóstolos entraram no pórtico de Salomão, as pessoas trouxeram os doentes para eles em camas (</w:t>
      </w:r>
      <w:hyperlink r:id="rId14712">
        <w:r>
          <w:rPr>
            <w:color w:val="0000EE"/>
            <w:u w:val="single"/>
          </w:rPr>
          <w:t>Atos 5.15</w:t>
        </w:r>
      </w:hyperlink>
      <w:r>
        <w:t>). O filho doente de uma mulher siro-fenícia estava deitado em uma cama (</w:t>
      </w:r>
      <w:hyperlink r:id="rId14713">
        <w:r>
          <w:rPr>
            <w:color w:val="0000EE"/>
            <w:u w:val="single"/>
          </w:rPr>
          <w:t>Mc 7.30</w:t>
        </w:r>
      </w:hyperlink>
      <w:r>
        <w:t>). Jesus falou de colocar uma lâmpada em um candelabro e não colocá-la sob uma cama (</w:t>
      </w:r>
      <w:hyperlink r:id="rId3876">
        <w:r>
          <w:rPr>
            <w:color w:val="0000EE"/>
            <w:u w:val="single"/>
          </w:rPr>
          <w:t>Mc 4.21</w:t>
        </w:r>
      </w:hyperlink>
      <w:r>
        <w:t xml:space="preserve">; </w:t>
      </w:r>
      <w:hyperlink r:id="rId14714">
        <w:r>
          <w:rPr>
            <w:color w:val="0000EE"/>
            <w:u w:val="single"/>
          </w:rPr>
          <w:t>Lc 8.16</w:t>
        </w:r>
      </w:hyperlink>
      <w:r>
        <w:t>), e descreveu o que aconteceria com as pessoas na cama quando o Dia do Senhor viesse (</w:t>
      </w:r>
      <w:hyperlink r:id="rId14715">
        <w:r>
          <w:rPr>
            <w:color w:val="0000EE"/>
            <w:u w:val="single"/>
          </w:rPr>
          <w:t>Lc 17.34</w:t>
        </w:r>
      </w:hyperlink>
      <w:r>
        <w:t>). Em outra parábola, Jesus falou de uma pessoa necessitada implorando por pão à meia-noite para um amigo que já estava na cama com sua família (</w:t>
      </w:r>
      <w:hyperlink r:id="rId14716">
        <w:r>
          <w:rPr>
            <w:color w:val="0000EE"/>
            <w:u w:val="single"/>
          </w:rPr>
          <w:t>Lc 11.7</w:t>
        </w:r>
      </w:hyperlink>
      <w:r>
        <w:t>). As camas dos pobres e doentes provavelmente eram apenas paletes ou colchões (</w:t>
      </w:r>
      <w:hyperlink r:id="rId14717">
        <w:r>
          <w:rPr>
            <w:color w:val="0000EE"/>
            <w:u w:val="single"/>
          </w:rPr>
          <w:t>Mc 6.55</w:t>
        </w:r>
      </w:hyperlink>
      <w:r>
        <w:t xml:space="preserve">; </w:t>
      </w:r>
      <w:hyperlink r:id="rId14718">
        <w:r>
          <w:rPr>
            <w:color w:val="0000EE"/>
            <w:u w:val="single"/>
          </w:rPr>
          <w:t>Jo 5.8</w:t>
        </w:r>
      </w:hyperlink>
      <w:r>
        <w:t>). Quando as pessoas se reclinavam às refeições, elas ficavam deitadas em um sofá (</w:t>
      </w:r>
      <w:hyperlink r:id="rId11967">
        <w:r>
          <w:rPr>
            <w:color w:val="0000EE"/>
            <w:u w:val="single"/>
          </w:rPr>
          <w:t>Jo 13.23</w:t>
        </w:r>
      </w:hyperlink>
      <w:r>
        <w:t>).</w:t>
      </w:r>
    </w:p>
    <w:p>
      <w:r/>
      <w:r>
        <w:t>Há inúmeras referências do NT a mesas. Jesus mencionou migalhas caindo da mesa de um homem rico (</w:t>
      </w:r>
      <w:hyperlink r:id="rId14719">
        <w:r>
          <w:rPr>
            <w:color w:val="0000EE"/>
            <w:u w:val="single"/>
          </w:rPr>
          <w:t>Mt 15.27</w:t>
        </w:r>
      </w:hyperlink>
      <w:r>
        <w:t xml:space="preserve">; </w:t>
      </w:r>
      <w:hyperlink r:id="rId14720">
        <w:r>
          <w:rPr>
            <w:color w:val="0000EE"/>
            <w:u w:val="single"/>
          </w:rPr>
          <w:t>Mc 7.28</w:t>
        </w:r>
      </w:hyperlink>
      <w:r>
        <w:t xml:space="preserve">; </w:t>
      </w:r>
      <w:hyperlink r:id="rId1598">
        <w:r>
          <w:rPr>
            <w:color w:val="0000EE"/>
            <w:u w:val="single"/>
          </w:rPr>
          <w:t>Lc 16.21</w:t>
        </w:r>
      </w:hyperlink>
      <w:r>
        <w:t>). Jesus derrubou as mesas dos cambistas no templo (</w:t>
      </w:r>
      <w:hyperlink r:id="rId3070">
        <w:r>
          <w:rPr>
            <w:color w:val="0000EE"/>
            <w:u w:val="single"/>
          </w:rPr>
          <w:t>Mt 21.12</w:t>
        </w:r>
      </w:hyperlink>
      <w:r>
        <w:t xml:space="preserve">; </w:t>
      </w:r>
      <w:hyperlink r:id="rId3072">
        <w:r>
          <w:rPr>
            <w:color w:val="0000EE"/>
            <w:u w:val="single"/>
          </w:rPr>
          <w:t>Mc 11.15</w:t>
        </w:r>
      </w:hyperlink>
      <w:r>
        <w:t>). Jesus sentou-se com seus discípulos a uma mesa para a refeição de Páscoa (</w:t>
      </w:r>
      <w:hyperlink r:id="rId14721">
        <w:r>
          <w:rPr>
            <w:color w:val="0000EE"/>
            <w:u w:val="single"/>
          </w:rPr>
          <w:t>Lc 22.21</w:t>
        </w:r>
      </w:hyperlink>
      <w:r>
        <w:t>) e prometeu aos seus discípulos que eles se sentariam à sua mesa no reino de Deus. Os apóstolos foram dispensados de servir às mesas para pregar (</w:t>
      </w:r>
      <w:hyperlink r:id="rId7087">
        <w:r>
          <w:rPr>
            <w:color w:val="0000EE"/>
            <w:u w:val="single"/>
          </w:rPr>
          <w:t>Atos 6.2</w:t>
        </w:r>
      </w:hyperlink>
      <w:r>
        <w:t>).</w:t>
      </w:r>
    </w:p>
    <w:p>
      <w:r/>
      <w:r>
        <w:t>A lâmpada doméstica é mencionada várias vezes (</w:t>
      </w:r>
      <w:hyperlink r:id="rId14722">
        <w:r>
          <w:rPr>
            <w:color w:val="0000EE"/>
            <w:u w:val="single"/>
          </w:rPr>
          <w:t>Mt 25.1</w:t>
        </w:r>
      </w:hyperlink>
      <w:r>
        <w:t xml:space="preserve">; </w:t>
      </w:r>
      <w:hyperlink r:id="rId3876">
        <w:r>
          <w:rPr>
            <w:color w:val="0000EE"/>
            <w:u w:val="single"/>
          </w:rPr>
          <w:t>Mc 4.21</w:t>
        </w:r>
      </w:hyperlink>
      <w:r>
        <w:t>). Lâmpadas domésticas de terracota foram encontradas em abundância em escavações.</w:t>
      </w:r>
      <w:r/>
      <w:r/>
    </w:p>
    <w:p>
      <w:r/>
    </w:p>
    <w:p>
      <w:pPr>
        <w:pStyle w:val="Heading2"/>
      </w:pPr>
      <w:r>
        <w:t>Moedas</w:t>
      </w:r>
      <w:r/>
    </w:p>
    <w:p>
      <w:r/>
      <w:r>
        <w:t>Peças de metal usadas e aceitas como meio de troca. Uma moeda tem um peso específico e possui algum tipo de autenticação para torná-la facilmente reconhecível. A palavra "moeda" originalmente se referia a um carimbo ou cunho em forma de cunha usado para "golpear" o metal em branco. As primeiras moedas podem ter sido cunhadas no final do oitavo século a.C.</w:t>
      </w:r>
    </w:p>
    <w:p>
      <w:r/>
      <w:r>
        <w:t>Resumo</w:t>
      </w:r>
    </w:p>
    <w:p>
      <w:r/>
      <w:r>
        <w:t>• As primeiras moedas na Palestina</w:t>
      </w:r>
    </w:p>
    <w:p>
      <w:r/>
      <w:r>
        <w:t>• Moedas dos Macabeus até Herodes Agripa I</w:t>
      </w:r>
    </w:p>
    <w:p>
      <w:r/>
      <w:r>
        <w:t>• Moedas romanas na época do Novo Testamento</w:t>
      </w:r>
    </w:p>
    <w:p>
      <w:pPr>
        <w:pStyle w:val="Heading3"/>
      </w:pPr>
      <w:r>
        <w:t>As primeiras moedas na Palestina</w:t>
      </w:r>
    </w:p>
    <w:p>
      <w:r/>
      <w:r>
        <w:t>Somente na época de Dario, o Grande (Dario I da Pérsia, 521–486 a.C.), uma cunhagem oficial patrocinada pelo governo tornou-se comum na Palestina. Essas primeiras moedas eram dáricos de ouro em forma oval, juntamente com algumas moedas de prata.</w:t>
      </w:r>
    </w:p>
    <w:p>
      <w:r/>
      <w:r>
        <w:t xml:space="preserve">“Dram” é outro termo para o dárico de ouro persa. É mencionado em </w:t>
      </w:r>
      <w:hyperlink r:id="rId14723">
        <w:r>
          <w:rPr>
            <w:color w:val="0000EE"/>
            <w:u w:val="single"/>
          </w:rPr>
          <w:t>Esdras 2.68–69</w:t>
        </w:r>
      </w:hyperlink>
      <w:r>
        <w:t xml:space="preserve"> (ARC), onde a caravana de Zorobabel ofereceu sessenta e um mil dáricos de ouro para a reconstrução do Templo. Esta passagem é a primeira menção de uma moeda real na Bíblia.</w:t>
      </w:r>
    </w:p>
    <w:p>
      <w:r/>
      <w:r>
        <w:t>Quase ao mesmo tempo em que as moedas persas se tornaram comuns na Palestina, os amplamente populares tetradracmas de prata (peças de quatro dracmas) de Atenas começaram a chegar aos centros mercantis das costas fenícia, israelita e filisteia. Arqueólogos as desenterraram em tesouros por toda a região do Mediterrâneo oriental. Elas continuaram a ser usadas durante o período persa, que durou até que o Império Persa fosse conquistado por Alexandre, o Grande, entre 334 e 330 a.C. A moeda era espessa e pesada em aparência, mas, sendo de prata de alta qualidade, estava em grande demanda para o comércio internacional. Presumivelmente, os comerciantes gregos descobriram que podiam obter as importações asiáticas mais desejadas em troca dessa forma específica de moeda.</w:t>
      </w:r>
    </w:p>
    <w:p>
      <w:r/>
      <w:r>
        <w:t>O didracma de prata, ou meia-dracma, em uso geral no Império Grego a partir do quarto século a.C., continuou durante os tempos romanos. Após as conquistas de Alexandre, as moedas gregas foram usadas em todo o Império Macedônio, desde a atual Iugoslávia até o Paquistão. Elas foram quase certamente empregadas para fins comerciais na Judeia, por exemplo.</w:t>
      </w:r>
    </w:p>
    <w:p>
      <w:r/>
      <w:r>
        <w:t>Os siclos dos centros comerciais fenícios de Tiro e Sidom, que contribuíram substancialmente para a oferta monetária no período persa, continuaram a ser aceitos na Judeia mesmo após a conquista alexandrina. Um siclo típico de Sidom era de prata e retratava as muralhas e fortificações do porto de Sidom, com um navio ancorado e dois leões saltitantes em primeiro plano. Um siclo típico de Tiro mostrava o deus Baal usando uma tiara. Ele estava montado em um hipocampo (cavalo alado com cauda de peixe) no mar, com um peixe ou golfinho abaixo. O reverso mostrava uma coruja do tipo egípcio voltada para a direita, além de um cajado de pastor e um flagelo, ambos insígnias reais no Egito. O estáter (ou tetradracma) encontrado pelo discípulo Pedro na boca de um peixe e usado para pagar o imposto do Templo por ele e por Jesus pode ter sido uma moeda de Tiro (</w:t>
      </w:r>
      <w:hyperlink r:id="rId1655">
        <w:r>
          <w:rPr>
            <w:color w:val="0000EE"/>
            <w:u w:val="single"/>
          </w:rPr>
          <w:t xml:space="preserve">Mt 17.27; </w:t>
        </w:r>
      </w:hyperlink>
      <w:r>
        <w:t>ARC).</w:t>
      </w:r>
    </w:p>
    <w:p>
      <w:r/>
      <w:r>
        <w:t>O talento, que representava um certo peso de ouro ou prata, era um meio comum de troca antes do desenvolvimento da cunhagem. Durante o período dos Macabeus, João Hircano salvou a cidade de Jerusalém da destruição em 133 a.C. pagando um resgate de um tesouro de 900 anos armazenado no sepulcro de Davi. Três mil talentos de prata foram enviados ao rei selêucida Antíoco VII Sidetes em troca de sua promessa de retirar suas tropas. O tesouro saqueado do Templo pelos romanos em 66 d.C. é registrado como sendo de 17 talentos. Em talentos de ouro, essa soma representaria o equivalente ao preço de compra de cerca de 15 grandes casas em uma cidade moderna ocidental.</w:t>
      </w:r>
    </w:p>
    <w:p>
      <w:pPr>
        <w:pStyle w:val="Heading3"/>
      </w:pPr>
      <w:r>
        <w:t>Moedas dos Macabeus a Herodes Agripa I</w:t>
      </w:r>
    </w:p>
    <w:p>
      <w:r/>
      <w:r>
        <w:t>Embora uma dinastia judaica nativa tenha assumido o governo da Terra Santa, muitos anos se passaram antes que qualquer moeda judaica natural do país fosse cunhada. Presumivelmente, os habitantes continuaram a usar a moeda de Tiro, Egito e do Império Selêucida para suas transações comerciais. Anteriormente, acreditava-se que os siclos de prata com imagens do cálice e do cacho de romã datavam do reinado de Simão Macabeu (142–134 a.C.); no entanto, descobertas arqueológicas mais recentes provam que essas moedas datam da primeira revolta judaica (66–70 d.C.).</w:t>
      </w:r>
    </w:p>
    <w:p>
      <w:r/>
      <w:r>
        <w:t>Quando chegou a hora de emitir as primeiras moedas judaicas, os fabricantes de cunhos enfrentaram vários problemas. Não havia uma casa da moeda disponível, e nenhuma pessoa local era habilidosa em projeto ou gravação de cunhos. As moedas em circulação no Oriente Próximo naquela época, que mostravam um alto grau de projeto e artesanato, cada uma trazia o retrato de um governante ou de um deus. Para os judeus, fazer tais moedas significaria contrariar o segundo mandamento: “Não farás para ti imagem de escultura” (</w:t>
      </w:r>
      <w:hyperlink r:id="rId4757">
        <w:r>
          <w:rPr>
            <w:color w:val="0000EE"/>
            <w:u w:val="single"/>
          </w:rPr>
          <w:t>Êx 20.4</w:t>
        </w:r>
      </w:hyperlink>
      <w:r>
        <w:t>; ARC). Somente bem mais tarde, na época romana, foi cunhada na Palestina uma moeda com o retrato de um imperador Romano.</w:t>
      </w:r>
    </w:p>
    <w:p>
      <w:r/>
      <w:r>
        <w:t>A cunhagem mais antiga da dinastia Hasmoneana (o nome régio dos Macabeus) foi o pequeno lepton de bronze (plural, lepta) de João Hircano I (134–104 a.C.), filho de Simão Macabeu. O anverso mostrava duas cornucópias com uma romã entre elas. Essa imagem simbolizava a fertilidade que Deus havia concedido à terra. O reverso continha uma inscrição dentro de uma coroa: “João, o sumo sacerdote e a comunidade dos judeus”. Pequenos lepta de bronze do reinado de Alexandre Janeu, filho de Hircano I, foram encontrados em grande número. Eles eram evidentemente muito procurados para transações no Templo, onde cambistas convertiam a moeda gentia dos adoradores visitantes na moeda judaica mais aceitável. Sem dúvida, os lepta hasmoneus foram as moedas que Jesus espalhou sobre o pavimento do Pátio dos Gentios quando ele virou as mesas dos cambistas (</w:t>
      </w:r>
      <w:hyperlink r:id="rId3070">
        <w:r>
          <w:rPr>
            <w:color w:val="0000EE"/>
            <w:u w:val="single"/>
          </w:rPr>
          <w:t>Mt 21.12</w:t>
        </w:r>
      </w:hyperlink>
      <w:r>
        <w:t xml:space="preserve">; </w:t>
      </w:r>
      <w:hyperlink r:id="rId14724">
        <w:r>
          <w:rPr>
            <w:color w:val="0000EE"/>
            <w:u w:val="single"/>
          </w:rPr>
          <w:t>Jo 2.15</w:t>
        </w:r>
      </w:hyperlink>
      <w:r>
        <w:t>). O lepton, ou “centavo”, de bronze ou cobre, valendo 1/400 de um siclo, foi mencionado por Jesus em outra ocasião. Ele elogiou a oferta de duas moedas de uma viúva ao tesouro do Templo com o comentário de que os ricos “deram do que estava sobrando. Porém ela, que é tão pobre, deu tudo o que tinha para viver” (</w:t>
      </w:r>
      <w:hyperlink r:id="rId14725">
        <w:r>
          <w:rPr>
            <w:color w:val="0000EE"/>
            <w:u w:val="single"/>
          </w:rPr>
          <w:t>Mc 12.44</w:t>
        </w:r>
      </w:hyperlink>
      <w:r>
        <w:t>, NTLH).</w:t>
      </w:r>
    </w:p>
    <w:p>
      <w:r/>
      <w:r>
        <w:t>Herodes I chegou ao poder na Judeia sob o patrocínio de Marco Antônio e garantiu a lealdade dos judeus pró-Hasmoneus ao se casar com Mariamne, neta de Hircano II, em 38 a.C. Herodes foi autorizado a cunhar suas próprias moedas de bronze. Embora tivesse liberdade para introduzir inovações, os lepta de Herodes seguiram a tradição de forma bastante fiel. Os lepta traziam uma âncora com letras significando "Do Rei Herodes". O reverso apresentava cornucópias duplas com uma romã (ou papoula) entre elas. Herodes também cunhou uma grande moeda de bronze com o que parece ser um capacete macedônio no anverso e um tripé esbelto no reverso, junto com uma inscrição do nome de Herodes. Outros projetos que ele utilizou incluíam trigo, águias e coroas. Ele não emitiu moedas de prata, confiando, em vez disso, nos suprimentos disponíveis de moedas de prata de Tiro, Síria, Ásia Menor, Grécia e Roma.</w:t>
      </w:r>
    </w:p>
    <w:p>
      <w:r/>
      <w:r>
        <w:t>Após a morte de Herodes em 4 a.C., seu filho Herodes Arquelau assumiu o controle. As moedas desse período traziam um cacho de uvas pendurado com uma inscrição grega, e no reverso, um capacete macedônio com duas plumas. As uvas eram uma alusão a Israel como a vinha do Senhor (</w:t>
      </w:r>
      <w:hyperlink r:id="rId14726">
        <w:r>
          <w:rPr>
            <w:color w:val="0000EE"/>
            <w:u w:val="single"/>
          </w:rPr>
          <w:t>Is 5</w:t>
        </w:r>
      </w:hyperlink>
      <w:r>
        <w:t>).</w:t>
      </w:r>
    </w:p>
    <w:p>
      <w:r/>
      <w:r>
        <w:t>Quando Herodes Antipas iniciou seu governo, também em 4 a.C., ele não tinha autoridade na Judeia ou Samaria. Essa parte do antigo reino judaico foi colocada sob o controle de governadores romanos, ou procuradores, nomeados diretamente pelo próprio Imperador. O mais conhecido dos procuradores romanos da Judeia foi Pôncio Pilatos (26–36 d.C.). Sua cunhagem de bronze apresentou algumas inovações ousadas; seus desenhos incluíam representações de instrumentos usados na religião romana, como a vara do áugure (semelhante a um cajado de pastor em forma) e uma concha usada em conexão com o caldo preparado em sacrifícios. O reverso trazia uma coroa envolvendo a data do reinado de 30–31 d.C. Os dois lepta colocados no tesouro do Templo (</w:t>
      </w:r>
      <w:hyperlink r:id="rId14727">
        <w:r>
          <w:rPr>
            <w:color w:val="0000EE"/>
            <w:u w:val="single"/>
          </w:rPr>
          <w:t>Lc 21.2</w:t>
        </w:r>
      </w:hyperlink>
      <w:r>
        <w:t>) poderiam ter sido lepta emitidos por Pilatos ou seu predecessor. Mais provavelmente, no entanto, eram os lepta hasmoneus de Hircano ou Janeu, que estavam livres de qualquer influência pagã romana.</w:t>
      </w:r>
    </w:p>
    <w:p>
      <w:r/>
      <w:r>
        <w:t>Herodes Agripa I (37–44 d.C.), neto de Herodes, o Grande, continuou a tradição familiar de se aproximar dos senhores romanos. Muitos lepta de Herodes Agripa foram encontrados, mostrando um guarda-chuva cônico com franjas (talvez simbolizando sua proteção real ao povo da Palestina), além de uma inscrição grega indicando seu reinado. O reverso mostrava um cacho amarrado de três espigas de trigo e trazia o ano do reinado como legenda.</w:t>
      </w:r>
    </w:p>
    <w:p>
      <w:pPr>
        <w:pStyle w:val="Heading3"/>
      </w:pPr>
      <w:r>
        <w:t>Moedas romanas na época do Novo Testamento</w:t>
      </w:r>
    </w:p>
    <w:p>
      <w:r/>
      <w:r>
        <w:t>O "as" romano entrou em circulação por volta de 348 a.C. como uma moeda de bronze com a figura de um animal. A moeda foi nomeada em homenagem ao peso romano de uma libra, equivalente a 340 gramas no nosso sistema moderno. Na época do nascimento de Cristo, o "as" romano cunhado para uso nas províncias asiáticas trazia a cabeça do Imperador Augusto, com uma coroa de louros no verso. Um quadrante de bronze menor, ou um quarto de "as", também foi cunhado pelos romanos.</w:t>
      </w:r>
    </w:p>
    <w:p>
      <w:r/>
      <w:r>
        <w:t xml:space="preserve">Outra moeda de bronze encontrada na moeda grega e romana era o assarion, cunhado pela primeira vez no primeiro século a.C., mas ainda em uso no período cristão. Um tipo era estampado com uma esfinge alada, com uma ânfora no reverso. Ainda se debate se a moeda descrita como um “ceitil” na ARC era de fato um assarion grego ou um “as” ou quadrante romano. A moeda é mencionada quatro vezes no NT, mais familiarmente na pergunta “Não se vendem dois pardais por um ceitil?” (veja </w:t>
      </w:r>
      <w:hyperlink r:id="rId14728">
        <w:r>
          <w:rPr>
            <w:color w:val="0000EE"/>
            <w:u w:val="single"/>
          </w:rPr>
          <w:t>Mt 5.26</w:t>
        </w:r>
      </w:hyperlink>
      <w:r>
        <w:t xml:space="preserve">; </w:t>
      </w:r>
      <w:hyperlink r:id="rId11816">
        <w:r>
          <w:rPr>
            <w:color w:val="0000EE"/>
            <w:u w:val="single"/>
          </w:rPr>
          <w:t>10.29</w:t>
        </w:r>
      </w:hyperlink>
      <w:r>
        <w:t xml:space="preserve">; </w:t>
      </w:r>
      <w:hyperlink r:id="rId14729">
        <w:r>
          <w:rPr>
            <w:color w:val="0000EE"/>
            <w:u w:val="single"/>
          </w:rPr>
          <w:t>Mc 12.42</w:t>
        </w:r>
      </w:hyperlink>
      <w:r>
        <w:t xml:space="preserve">; </w:t>
      </w:r>
      <w:hyperlink r:id="rId14730">
        <w:r>
          <w:rPr>
            <w:color w:val="0000EE"/>
            <w:u w:val="single"/>
          </w:rPr>
          <w:t>Lc 12.6</w:t>
        </w:r>
      </w:hyperlink>
      <w:r>
        <w:t>; NTLH “moedinhas”).</w:t>
      </w:r>
    </w:p>
    <w:p>
      <w:r/>
      <w:r>
        <w:t>A palavra traduzida como “um dinheiro por dia” em algumas Bíblias em português (e.g. NTLH, ARC) é a forma grega de “denário”, o salário diário normal para um trabalhador nos tempos do NT. Na parábola dos trabalhadores na vinha, por exemplo, o mestre concordou em pagar a cada homem “uma moeda de prata” pelo trabalho do dia (</w:t>
      </w:r>
      <w:hyperlink r:id="rId14731">
        <w:r>
          <w:rPr>
            <w:color w:val="0000EE"/>
            <w:u w:val="single"/>
          </w:rPr>
          <w:t>Mt 20.2</w:t>
        </w:r>
      </w:hyperlink>
      <w:r>
        <w:t>, NTLH; ARC “um dinheiro por dia”). “Dois dinheiros” foi o valor pago ao estalajadeiro pelo bom samaritano (</w:t>
      </w:r>
      <w:hyperlink r:id="rId14732">
        <w:r>
          <w:rPr>
            <w:color w:val="0000EE"/>
            <w:u w:val="single"/>
          </w:rPr>
          <w:t>Lc 10.35</w:t>
        </w:r>
      </w:hyperlink>
      <w:r>
        <w:t xml:space="preserve">, ARC). </w:t>
      </w:r>
    </w:p>
    <w:p>
      <w:r/>
      <w:r>
        <w:t>Quando o denário, ou "moeda de prata", é reconhecido como o salário normal de um dia, o espanto dos discípulos de Jesus ao se esperar que encontrassem comida para 5.000 pessoas é melhor compreendido. Eles exclamaram que "duzentas moedas de prata" de comida não alimentariam tal multidão (</w:t>
      </w:r>
      <w:hyperlink r:id="rId14447">
        <w:r>
          <w:rPr>
            <w:color w:val="0000EE"/>
            <w:u w:val="single"/>
          </w:rPr>
          <w:t>Jo 6.7</w:t>
        </w:r>
      </w:hyperlink>
      <w:r>
        <w:t>, NTLH); essa quantia representava mais de seis meses de trabalho.</w:t>
      </w:r>
    </w:p>
    <w:p>
      <w:r/>
      <w:r>
        <w:t>Como era de se esperar, a cunhagem de moedas de prata e ouro em circulação na Palestina durante o tempo de Cristo e pelo restante do primeiro século d.C. vinha principalmente de Roma. No entanto, as moedas de prata maiores, referidas como tetradracmas ou estáteres no NT, vinham do Egito, Fenícia ou Antioquia. A moeda de prata mais frequentemente mencionada no NT era o denário romano ou a dracma grega. Como poucas dracmas foram encontradas em escavações datadas do primeiro século, é possível que o termo fosse usado na linguagem popular para se referir ao denário (plural, denários), que tinha aproximadamente o mesmo tamanho que a dracma grega média. Na verdade, poucas cidades gregas foram autorizadas por seus dominadores romanos a continuar cunhando dracmas.</w:t>
      </w:r>
    </w:p>
    <w:p>
      <w:r/>
      <w:r>
        <w:t>O Imperador Augusto emitiu um decreto para que todo o mundo romano fosse recenseado (</w:t>
      </w:r>
      <w:hyperlink r:id="rId6244">
        <w:r>
          <w:rPr>
            <w:color w:val="0000EE"/>
            <w:u w:val="single"/>
          </w:rPr>
          <w:t>Lc 2.1–2</w:t>
        </w:r>
      </w:hyperlink>
      <w:r>
        <w:t>) em um censo em todo o império, por volta da época em que Jesus nasceu (6 ou 5 a.C.). Durante seu longo reinado (27 a.C.-14 d.C.), Augusto autorizou uma grande variedade de denários. Eles geralmente carregavam sua imagem no anverso com a inscrição “Augusto, filho do divino” (isto é, filho de Júlio César, que havia recebido honras divinas pelo Senado Romano).</w:t>
      </w:r>
    </w:p>
    <w:p>
      <w:r/>
      <w:r>
        <w:t xml:space="preserve">Em </w:t>
      </w:r>
      <w:hyperlink r:id="rId14733">
        <w:r>
          <w:rPr>
            <w:color w:val="0000EE"/>
            <w:u w:val="single"/>
          </w:rPr>
          <w:t>Mateus 22.19</w:t>
        </w:r>
      </w:hyperlink>
      <w:r>
        <w:t>, Jesus pediu àqueles que tentavam enganá-lo com uma pergunta para mostrar-lhe uma moeda usada para pagar o imposto do governo. Eles lhe entregaram um denário com o retrato e a inscrição de César (</w:t>
      </w:r>
      <w:hyperlink r:id="rId10935">
        <w:r>
          <w:rPr>
            <w:color w:val="0000EE"/>
            <w:u w:val="single"/>
          </w:rPr>
          <w:t>Mt 22.21</w:t>
        </w:r>
      </w:hyperlink>
      <w:r>
        <w:t>). Essa moeda poderia ter sido um denário de Augusto, que havia morrido cerca de 16 anos antes, ou de Tibério (14–37 d.C.), que estava então no trono. O denário de prata de Tibério dizia "Tibério César Augusto, filho do divino Augusto". O reverso mostrava a sacerdotisa máxima da ordem vestal, com uma tocha flamejante na mão, sentada em seu trono voltada para a direita. O título "pontifex maximus" referia-se a Tibério em vez de à sacerdotisa.</w:t>
      </w:r>
    </w:p>
    <w:p>
      <w:r/>
      <w:r>
        <w:rPr>
          <w:i/>
        </w:rPr>
        <w:t>Veja também</w:t>
      </w:r>
      <w:r>
        <w:t xml:space="preserve"> </w:t>
      </w:r>
      <w:r>
        <w:t>Minerais e metais</w:t>
      </w:r>
      <w:r>
        <w:t xml:space="preserve">; </w:t>
      </w:r>
      <w:r>
        <w:t>Dinheiro</w:t>
      </w:r>
      <w:r>
        <w:t xml:space="preserve">; </w:t>
      </w:r>
      <w:r>
        <w:t>Casa de câmbio</w:t>
      </w:r>
      <w:r>
        <w:t>.</w:t>
      </w:r>
      <w:r/>
      <w:r/>
    </w:p>
    <w:p>
      <w:r/>
    </w:p>
    <w:p>
      <w:pPr>
        <w:pStyle w:val="Heading2"/>
      </w:pPr>
      <w:r>
        <w:t>Moinho</w:t>
      </w:r>
      <w:r/>
    </w:p>
    <w:p>
      <w:r/>
      <w:r>
        <w:t>Um moinho é composto por duas pedras circulares (chamadas de mós) usadas para moer grãos em farinha. Arte antiga e locais do Oriente Médio mostram a moagem de grãos com mós. Estas datam do período Neolítico (cerca de 8300–4500 a.C.). Os primeiros moinhos eram manuais. A tecnologia melhorou ao longo do tempo, mas o princípio básico permaneceu o mesmo. Uma pedra inferior segurava o grão, enquanto uma pedra superior, movida sobre a pedra inferior, moía o grão em farinha. Em hebraico, a palavra para "moinho" refere-se a essas duas partes essenciais.</w:t>
      </w:r>
    </w:p>
    <w:p>
      <w:pPr>
        <w:pStyle w:val="Heading4"/>
      </w:pPr>
      <w:r>
        <w:t>Tipos de moinhos</w:t>
      </w:r>
    </w:p>
    <w:p>
      <w:pPr>
        <w:pStyle w:val="ListNumber"/>
        <w:spacing w:line="240" w:lineRule="auto"/>
        <w:ind w:left="720"/>
      </w:pPr>
      <w:r/>
      <w:r>
        <w:t xml:space="preserve">O tipo mais antigo de moinho era o </w:t>
      </w:r>
      <w:r>
        <w:rPr>
          <w:b/>
        </w:rPr>
        <w:t>moinho de sela</w:t>
      </w:r>
      <w:r>
        <w:t>. Consistia em uma pedra base áspera, que era ligeiramente côncava, e uma pedra de esfregar convexa. A pedra base variava de 45 a 76 centímetros de diâmetro, com uma extremidade mais espessa que a outra. Em hebraico, era chamada de “parte inferior” ou "pedra de moinho inferior" (</w:t>
      </w:r>
      <w:hyperlink r:id="rId14734">
        <w:r>
          <w:rPr>
            <w:color w:val="0000EE"/>
            <w:u w:val="single"/>
          </w:rPr>
          <w:t>Jó 41.24</w:t>
        </w:r>
      </w:hyperlink>
      <w:r>
        <w:t>). A pedra superior, conhecida como “parte do cavaleiro” ou "pedra de moinho superior" (</w:t>
      </w:r>
      <w:hyperlink r:id="rId3898">
        <w:r>
          <w:rPr>
            <w:color w:val="0000EE"/>
            <w:u w:val="single"/>
          </w:rPr>
          <w:t>Jz 9.53</w:t>
        </w:r>
      </w:hyperlink>
      <w:r>
        <w:t xml:space="preserve">; </w:t>
      </w:r>
      <w:hyperlink r:id="rId14735">
        <w:r>
          <w:rPr>
            <w:color w:val="0000EE"/>
            <w:u w:val="single"/>
          </w:rPr>
          <w:t>2Sm 11.21</w:t>
        </w:r>
      </w:hyperlink>
      <w:r>
        <w:t>), tinha entre 15 a 38 centímetros de comprimento. Era plana de um lado e ligeiramente arredondada do outro, facilitando o manuseio. Para moer o grão, as pessoas empurravam a pedra superior para frente e para trás sobre o grão na pedra inferior. Apenas uma pequena quantidade de grão podia ser moída de cada vez usando este método (</w:t>
      </w:r>
      <w:hyperlink r:id="rId5208">
        <w:r>
          <w:rPr>
            <w:color w:val="0000EE"/>
            <w:u w:val="single"/>
          </w:rPr>
          <w:t>Gn 18.6</w:t>
        </w:r>
      </w:hyperlink>
      <w:r>
        <w:t>).</w:t>
      </w:r>
    </w:p>
    <w:p>
      <w:pPr>
        <w:pStyle w:val="ListNumber"/>
        <w:spacing w:line="240" w:lineRule="auto"/>
        <w:ind w:left="720"/>
      </w:pPr>
      <w:r/>
      <w:r>
        <w:t>Um tipo posterior de moinho manual utilizava duas pedras redondas. A pedra inferior podia ser arredondada para dentro ou para fora no topo, enquanto a pedra superior era moldada para se encaixar sobre ela. Alguns desses moinhos tinham um buraco em forma de funil no centro da pedra superior para despejar o grão. Um pino de madeira na borda da pedra superior permitia que ela fosse girada, esmagando o grão, que então escapava pelas bordas. O basalto negro era frequentemente usado porque sua superfície áspera e granulada proporcionava boas bordas de corte. Este tipo de moinho podia ser operado por uma pessoa, embora às vezes fossem necessárias duas pessoas (</w:t>
      </w:r>
      <w:hyperlink r:id="rId14736">
        <w:r>
          <w:rPr>
            <w:color w:val="0000EE"/>
            <w:u w:val="single"/>
          </w:rPr>
          <w:t>Mt 24.41</w:t>
        </w:r>
      </w:hyperlink>
      <w:r>
        <w:t>).</w:t>
      </w:r>
    </w:p>
    <w:p>
      <w:r/>
      <w:r>
        <w:t>O moinho manual era tão essencial para a vida diária que era proibido por lei tomar a mó de uma pessoa como garantia de uma dívida. Esta lei protegia as famílias de perderem seus meios de fazer farinha para o pão (</w:t>
      </w:r>
      <w:hyperlink r:id="rId7373">
        <w:r>
          <w:rPr>
            <w:color w:val="0000EE"/>
            <w:u w:val="single"/>
          </w:rPr>
          <w:t>Dt 24.6</w:t>
        </w:r>
      </w:hyperlink>
      <w:r>
        <w:t>). As pedras eram pesadas o suficiente para matar uma pessoa se jogadas em sua cabeça, como aconteceu com Abimeleque (</w:t>
      </w:r>
      <w:hyperlink r:id="rId3898">
        <w:r>
          <w:rPr>
            <w:color w:val="0000EE"/>
            <w:u w:val="single"/>
          </w:rPr>
          <w:t>Jz 9.53</w:t>
        </w:r>
      </w:hyperlink>
      <w:r>
        <w:t xml:space="preserve">; cp. </w:t>
      </w:r>
      <w:hyperlink r:id="rId14735">
        <w:r>
          <w:rPr>
            <w:color w:val="0000EE"/>
            <w:u w:val="single"/>
          </w:rPr>
          <w:t>2Sm 11.21</w:t>
        </w:r>
      </w:hyperlink>
      <w:r>
        <w:t>).</w:t>
      </w:r>
    </w:p>
    <w:p>
      <w:pPr>
        <w:pStyle w:val="Heading4"/>
      </w:pPr>
      <w:r>
        <w:t>Moagem de grãos</w:t>
      </w:r>
    </w:p>
    <w:p>
      <w:r/>
      <w:r>
        <w:t>Moer grãos era geralmente o trabalho dos servos (</w:t>
      </w:r>
      <w:hyperlink r:id="rId14707">
        <w:r>
          <w:rPr>
            <w:color w:val="0000EE"/>
            <w:u w:val="single"/>
          </w:rPr>
          <w:t>Êx 11.5</w:t>
        </w:r>
      </w:hyperlink>
      <w:r>
        <w:t>) ou das mulheres (</w:t>
      </w:r>
      <w:hyperlink r:id="rId14737">
        <w:r>
          <w:rPr>
            <w:color w:val="0000EE"/>
            <w:u w:val="single"/>
          </w:rPr>
          <w:t>Is 47.2</w:t>
        </w:r>
      </w:hyperlink>
      <w:r>
        <w:t>). O barulho da moagem podia ser ouvido diariamente em cada vila na Palestina. Se esse som parasse, significava que a vila estava deserta (</w:t>
      </w:r>
      <w:hyperlink r:id="rId4598">
        <w:r>
          <w:rPr>
            <w:color w:val="0000EE"/>
            <w:u w:val="single"/>
          </w:rPr>
          <w:t>Jr 25.10</w:t>
        </w:r>
      </w:hyperlink>
      <w:r>
        <w:t>).</w:t>
      </w:r>
    </w:p>
    <w:p>
      <w:pPr>
        <w:pStyle w:val="Heading4"/>
      </w:pPr>
      <w:r>
        <w:t>Moinhos comunitários</w:t>
      </w:r>
    </w:p>
    <w:p>
      <w:r/>
      <w:r>
        <w:t>Animais também moviam moinhos comunitários maiores. Uma grande e pesada pedra, possivelmente de 1,2 a 1,5 metros de diâmetro, era rolada na sua borda usando um poste através do seu centro. O poste girava em torno de um pilar vertical, semelhante a como alguns moinhos em terras orientais ainda operam hoje. Sansão provavelmente foi forçado a usar um moinho desse tipo para moer grãos para os filisteus (</w:t>
      </w:r>
      <w:hyperlink r:id="rId4634">
        <w:r>
          <w:rPr>
            <w:color w:val="0000EE"/>
            <w:u w:val="single"/>
          </w:rPr>
          <w:t>Jz 16.21</w:t>
        </w:r>
      </w:hyperlink>
      <w:r>
        <w:t>).</w:t>
      </w:r>
    </w:p>
    <w:p>
      <w:r/>
      <w:r>
        <w:rPr>
          <w:i/>
        </w:rPr>
        <w:t>Veja também</w:t>
      </w:r>
      <w:r>
        <w:t xml:space="preserve"> </w:t>
      </w:r>
      <w:r>
        <w:t>Alimentos e preparação de alimentos</w:t>
      </w:r>
      <w:r>
        <w:t xml:space="preserve">; </w:t>
      </w:r>
      <w:r>
        <w:t>Pão</w:t>
      </w:r>
      <w:r>
        <w:t xml:space="preserve">; </w:t>
      </w:r>
      <w:r>
        <w:t>Agricultura</w:t>
      </w:r>
      <w:r>
        <w:t>.</w:t>
      </w:r>
      <w:r/>
      <w:r/>
    </w:p>
    <w:p>
      <w:r/>
    </w:p>
    <w:p>
      <w:pPr>
        <w:pStyle w:val="Heading2"/>
      </w:pPr>
      <w:r>
        <w:t>Moisés</w:t>
      </w:r>
      <w:r/>
    </w:p>
    <w:p>
      <w:r/>
      <w:r>
        <w:t>Grande líder do povo hebreu que os trouxe da escravidão no Egito para a Terra Prometida em Canaã; também aquele que lhes deu a lei no Monte Sinai que se tornou a base para sua fé religiosa através dos séculos. Focadas nesta pessoa estão as figuras de profeta, sacerdote, legislador, juiz, intercessor, pastor, operador de milagres e fundador de uma nação.</w:t>
      </w:r>
    </w:p>
    <w:p>
      <w:r/>
      <w:r>
        <w:t>O significado de seu nome é incerto. O significado de seu nome teria, como explicação, a origem em uma palavra hebraica que significa “retirar” (</w:t>
      </w:r>
      <w:hyperlink r:id="rId14738">
        <w:r>
          <w:rPr>
            <w:color w:val="0000EE"/>
            <w:u w:val="single"/>
          </w:rPr>
          <w:t>Êx 2.10</w:t>
        </w:r>
      </w:hyperlink>
      <w:r>
        <w:t xml:space="preserve">; cf. </w:t>
      </w:r>
      <w:hyperlink r:id="rId14739">
        <w:r>
          <w:rPr>
            <w:color w:val="0000EE"/>
            <w:u w:val="single"/>
          </w:rPr>
          <w:t>2 Sm 22.17</w:t>
        </w:r>
      </w:hyperlink>
      <w:r>
        <w:t xml:space="preserve">; </w:t>
      </w:r>
      <w:hyperlink r:id="rId13823">
        <w:r>
          <w:rPr>
            <w:color w:val="0000EE"/>
            <w:u w:val="single"/>
          </w:rPr>
          <w:t>Sl 18.16</w:t>
        </w:r>
      </w:hyperlink>
      <w:r>
        <w:t>). Se, no entanto, é um nome egípcio dado a ele pela filha do Faraó que o encontrou, é mais provável que venha de uma palavra egípcia para “filho” (também encontrado como parte de muitos nomes egípcios bem conhecidos, como Amósis, Tutemés e Ramsés). Ninguém mais no AT tem este nome.</w:t>
      </w:r>
    </w:p>
    <w:p>
      <w:r/>
      <w:r>
        <w:t>Sem dúvida, a maior figura no AT (mencionado 767 vezes pelo nome), sua influência também se estende até as páginas do NT (onde ele é mencionado 79 vezes). Os primeiros 40 anos de sua vida foram vividos na casa de Faraó (</w:t>
      </w:r>
      <w:hyperlink r:id="rId14740">
        <w:r>
          <w:rPr>
            <w:color w:val="0000EE"/>
            <w:u w:val="single"/>
          </w:rPr>
          <w:t>Atos 7.23</w:t>
        </w:r>
      </w:hyperlink>
      <w:r>
        <w:t>), onde ele foi instruído em toda a sabedoria dos egípcios. Os próximos 40 anos ele passou em Midiã como um fugitivo da ira de Faraó, após matar um egípcio que estava maltratando um hebreu. Seus últimos 40 anos foram dedicados a levar os israelitas para fora da escravidão no Egito para a terra que Deus havia prometido a Abraão e seus descendentes (</w:t>
      </w:r>
      <w:hyperlink r:id="rId162">
        <w:r>
          <w:rPr>
            <w:color w:val="0000EE"/>
            <w:u w:val="single"/>
          </w:rPr>
          <w:t>Gn 12.1–3</w:t>
        </w:r>
      </w:hyperlink>
      <w:r>
        <w:t>). Ele morreu aos 120 anos de idade, depois de liderar os israelitas com sucesso através de 40 anos de peregrinação no deserto até a borda da Terra Prometida no lado leste do rio Jordão (</w:t>
      </w:r>
      <w:hyperlink r:id="rId14741">
        <w:r>
          <w:rPr>
            <w:color w:val="0000EE"/>
            <w:u w:val="single"/>
          </w:rPr>
          <w:t>Dt 34.7</w:t>
        </w:r>
      </w:hyperlink>
      <w:r>
        <w:t>). Ele é uma das grandes figuras em toda a história, um homem que tomou um grupo de escravos e, sob circunstâncias inconcebivelmente difíceis, os moldou em uma nação que influenciou e alterou todo o decorrer da história.</w:t>
      </w:r>
    </w:p>
    <w:p>
      <w:r/>
      <w:r>
        <w:t>Resumo</w:t>
      </w:r>
    </w:p>
    <w:p>
      <w:r/>
      <w:r>
        <w:t>• Contexto</w:t>
      </w:r>
    </w:p>
    <w:p>
      <w:r/>
      <w:r>
        <w:t>• Os Primeiros 40 Anos — No Egito</w:t>
      </w:r>
    </w:p>
    <w:p>
      <w:r/>
      <w:r>
        <w:t>• Os Segundos 40 Anos — Em Midiã</w:t>
      </w:r>
    </w:p>
    <w:p>
      <w:r/>
      <w:r>
        <w:t>• Os Terceiros 40 Anos — Do Egito até Canaã</w:t>
      </w:r>
    </w:p>
    <w:p>
      <w:r/>
      <w:r>
        <w:t>• Moisés no Novo Testamento</w:t>
      </w:r>
    </w:p>
    <w:p>
      <w:pPr>
        <w:pStyle w:val="Heading3"/>
      </w:pPr>
      <w:r>
        <w:t>Contexto</w:t>
      </w:r>
    </w:p>
    <w:p>
      <w:r/>
      <w:r>
        <w:t>A única fonte de informações para a vida de Moisés é a Bíblia. A arqueologia confirma a credibilidade dos eventos associados a Moisés, mas nunca forneceu qualquer confirmação específica de sua existência ou obra. Sua história começa com a chegada, ao Egito de Jacó, seus filhos e suas famílias, durante um tempo de fome em Canaã. Convidada por José e recebida por Faraó, a família se estabeleceu no nordeste do Egito em uma área conhecida como Gósen, onde permaneceram por 430 anos (</w:t>
      </w:r>
      <w:hyperlink r:id="rId6208">
        <w:r>
          <w:rPr>
            <w:color w:val="0000EE"/>
            <w:u w:val="single"/>
          </w:rPr>
          <w:t>Êx 12.40</w:t>
        </w:r>
      </w:hyperlink>
      <w:r>
        <w:t>). Com o passar do tempo, seus números cresceram rapidamente, de modo que a terra se encheu deles (</w:t>
      </w:r>
      <w:hyperlink r:id="rId14742">
        <w:r>
          <w:rPr>
            <w:color w:val="0000EE"/>
            <w:u w:val="single"/>
          </w:rPr>
          <w:t>1.7</w:t>
        </w:r>
      </w:hyperlink>
      <w:r>
        <w:t>). Um novo rei surgiu sobre o Egito que não conhecia José. O relato bíblico não dá o nome deste faraó, e nunca houve consenso quanto à sua identidade. Ele é mais frequentemente identificado como Tutemés III (1504–1451 a.C.), Seti I (1304–1290 a.C.), ou Ramsés II (1290–1224 a.C.). Por medo de que seu número crescente pudesse se tornar uma ameaça à segurança de sua nação, Faraó se determinou a tomar medidas para reduzi-los. Ele os colocou para trabalhar na construção das cidades-armazéns de Pitom e Ramsés, mas a severidade da obra não os diminuiu. Em seguida, ele tentou alistar a cooperação das parteiras para destruir os bebês homens, mas elas não cumpririam suas ordens. Ele ordenou a seu próprio povo, então, que afogasse os bebês machos no rio Nilo. No contexto desta primeira perseguição judaica conhecida, o bebê Moisés nasceu.</w:t>
      </w:r>
    </w:p>
    <w:p>
      <w:pPr>
        <w:pStyle w:val="Heading3"/>
      </w:pPr>
      <w:r>
        <w:t>• Os Primeiros 40 Anos — No Egito</w:t>
      </w:r>
    </w:p>
    <w:p>
      <w:pPr>
        <w:pStyle w:val="Heading4"/>
      </w:pPr>
      <w:r>
        <w:t>Nascimento e início da vida</w:t>
      </w:r>
    </w:p>
    <w:p>
      <w:r/>
      <w:r>
        <w:t>Um homem da família de Levi chamado Anrão se casou com a irmã de seu pai, Joquebede (</w:t>
      </w:r>
      <w:hyperlink r:id="rId4550">
        <w:r>
          <w:rPr>
            <w:color w:val="0000EE"/>
            <w:u w:val="single"/>
          </w:rPr>
          <w:t>Êx 6.20</w:t>
        </w:r>
      </w:hyperlink>
      <w:r>
        <w:t xml:space="preserve">; cf. </w:t>
      </w:r>
      <w:hyperlink r:id="rId14743">
        <w:r>
          <w:rPr>
            <w:color w:val="0000EE"/>
            <w:u w:val="single"/>
          </w:rPr>
          <w:t>2.1</w:t>
        </w:r>
      </w:hyperlink>
      <w:r>
        <w:t xml:space="preserve">). Seu primeiro filho, Arão, três anos mais velho do que Moisés, nasceu antes que o comando para afogar os bebês hebreus fosse dado, pois não há indicação de que sua vida estava em perigo. No entanto, a ordem cruel estava em vigor quando Moisés nasceu, e após três meses, quando sua mãe não podia mais escondê-lo, ela pegou uma cesta feita de juncos e a untou com betume e resina. Ela colocou o bebê no cesto e o colocou entre os juncos ao longo das margens do rio. Uma irmã mais velha, Miriã, ficou perto do rio para ver o que aconteceria. Logo a filha do Faraó (identificada por Josefo como Termuisto e por outros como Hatchepsut, mas que não pode ser determinada) veio ao rio para se banhar, como era seu costume. Ela descobriu o bebê, o reconheceu como uma das crianças hebreias, e determinou que ela criaria a criança como sua. Miriã emergiu de seu esconderijo e se ofereceu para encontrar uma mulher hebraica para amamentar a criança, um arranjo que era agradável para a princesa. Miriã levou o bebê para sua própria mãe, que o manteve por talvez dois ou três anos (cf. </w:t>
      </w:r>
      <w:hyperlink r:id="rId14744">
        <w:r>
          <w:rPr>
            <w:color w:val="0000EE"/>
            <w:u w:val="single"/>
          </w:rPr>
          <w:t>1 Sm 1.19–24</w:t>
        </w:r>
      </w:hyperlink>
      <w:r>
        <w:t>). Nada é registrado desses anos formativos. Se sua mãe continuou a vê-lo durante sua infância e juventude ou revelou sua verdadeira identidade a ele, ou o ensinou a fé hebraica, são questões de especulação. Moisés foi instruído em toda a sabedoria dos egípcios, como convém a um membro da casa real, e ele se tornou poderoso em suas palavras e atos (</w:t>
      </w:r>
      <w:hyperlink r:id="rId13087">
        <w:r>
          <w:rPr>
            <w:color w:val="0000EE"/>
            <w:u w:val="single"/>
          </w:rPr>
          <w:t>Atos 7.22</w:t>
        </w:r>
      </w:hyperlink>
      <w:r>
        <w:t>).</w:t>
      </w:r>
    </w:p>
    <w:p>
      <w:pPr>
        <w:pStyle w:val="Heading4"/>
      </w:pPr>
      <w:r>
        <w:t>Identificação com seu próprio povo</w:t>
      </w:r>
    </w:p>
    <w:p>
      <w:r/>
      <w:r>
        <w:t>Quando Moisés efetivamente tomou conhecimento de que ele era um hebreu, em vez de egípcio, é desconhecido, mas fica claro que ele sabia disso quando tinha 40 anos. Um dia, ele saiu para visitar seu povo e observar seu tratamento, pois as medidas cruéis tomadas contra eles pelo Faraó, na época do nascimento de Moisés, não haviam sido revogadas. Vendo um egípcio batendo em um hebreu, Moisés, em grande ira, matou o egípcio e o enterrou. Ele pensou que a ação havia passado despercebida até o dia seguinte, quando ele encontrou dois hebreus lutando. Quando ele tentou agir como pacificador, ambos se voltaram contra ele e o acusaram de assassinato: “Quem o fez príncipe e juiz sobre nós? Você quer me matar, como você matou o egípcio?” (</w:t>
      </w:r>
      <w:hyperlink r:id="rId14745">
        <w:r>
          <w:rPr>
            <w:color w:val="0000EE"/>
            <w:u w:val="single"/>
          </w:rPr>
          <w:t>Êx 2.14</w:t>
        </w:r>
      </w:hyperlink>
      <w:r>
        <w:t xml:space="preserve">, ARA). </w:t>
      </w:r>
      <w:hyperlink r:id="rId14746">
        <w:r>
          <w:rPr>
            <w:color w:val="0000EE"/>
            <w:u w:val="single"/>
          </w:rPr>
          <w:t>Atos 7.25</w:t>
        </w:r>
      </w:hyperlink>
      <w:r>
        <w:t xml:space="preserve"> acrescenta: “Moisés cuidava que seus irmãos entenderiam que Deus os queria salvar por intermédio dele” (ARA). Ciente de que ser um membro da casa de Faraó não o isentaria da punição, agora que o feito era conhecido, Moisés fugiu para salvar sua vida, rumo à terra de Midiã.</w:t>
      </w:r>
    </w:p>
    <w:p>
      <w:pPr>
        <w:pStyle w:val="Heading3"/>
      </w:pPr>
      <w:r>
        <w:t>• Os Segundos 40 Anos — Em Midiã</w:t>
      </w:r>
    </w:p>
    <w:p>
      <w:pPr>
        <w:pStyle w:val="Heading4"/>
      </w:pPr>
      <w:r>
        <w:t>Casamento na Família de Jetro</w:t>
      </w:r>
    </w:p>
    <w:p>
      <w:r/>
      <w:r>
        <w:t>Logo após chegar a Midiã, Moisés sentou-se ao lado de um poço, onde ele observou as sete filhas do sacerdote de Midiã que haviam vindo ao poço para tirar água para o rebanho de seu pai. Os pastores vieram e as expulsaram, mas Moisés interveio e as ajudou a dar de beber a seus animais. Quando Jetro (</w:t>
      </w:r>
      <w:hyperlink r:id="rId6724">
        <w:r>
          <w:rPr>
            <w:color w:val="0000EE"/>
            <w:u w:val="single"/>
          </w:rPr>
          <w:t>Êx 3.1</w:t>
        </w:r>
      </w:hyperlink>
      <w:r>
        <w:t xml:space="preserve">; também chamado de Reuel, </w:t>
      </w:r>
      <w:hyperlink r:id="rId10683">
        <w:r>
          <w:rPr>
            <w:color w:val="0000EE"/>
            <w:u w:val="single"/>
          </w:rPr>
          <w:t>2.18</w:t>
        </w:r>
      </w:hyperlink>
      <w:r>
        <w:t xml:space="preserve">; Hobabe, </w:t>
      </w:r>
      <w:hyperlink r:id="rId10680">
        <w:r>
          <w:rPr>
            <w:color w:val="0000EE"/>
            <w:u w:val="single"/>
          </w:rPr>
          <w:t>Nm 10.29</w:t>
        </w:r>
      </w:hyperlink>
      <w:r>
        <w:t xml:space="preserve">) soube o que havia acontecido, ele convidou Moisés para ficar com sua família e lhe deu Zípora como sua esposa. (Há alguma discordância entre estudiosos sobre a identificação de Hobabe em </w:t>
      </w:r>
      <w:hyperlink r:id="rId10680">
        <w:r>
          <w:rPr>
            <w:color w:val="0000EE"/>
            <w:u w:val="single"/>
          </w:rPr>
          <w:t>Números 10.29</w:t>
        </w:r>
      </w:hyperlink>
      <w:r>
        <w:t xml:space="preserve">; alguns pensam que ele era o sogro de Moisés, enquanto outros sustentam que Hobabe era o cunhado de Moisés. </w:t>
      </w:r>
      <w:r>
        <w:rPr>
          <w:i/>
        </w:rPr>
        <w:t>Veja também</w:t>
      </w:r>
      <w:r>
        <w:t xml:space="preserve"> </w:t>
      </w:r>
      <w:r>
        <w:t>Hobabe</w:t>
      </w:r>
      <w:r>
        <w:t>). Dois filhos, Gérson (</w:t>
      </w:r>
      <w:hyperlink r:id="rId8551">
        <w:r>
          <w:rPr>
            <w:color w:val="0000EE"/>
            <w:u w:val="single"/>
          </w:rPr>
          <w:t>Êx 2.22</w:t>
        </w:r>
      </w:hyperlink>
      <w:r>
        <w:t>) e Eliezer (</w:t>
      </w:r>
      <w:hyperlink r:id="rId7919">
        <w:r>
          <w:rPr>
            <w:color w:val="0000EE"/>
            <w:u w:val="single"/>
          </w:rPr>
          <w:t>18.4</w:t>
        </w:r>
      </w:hyperlink>
      <w:r>
        <w:t>), nasceram de Moisés e Zípora durante os anos em Midiã. Quarenta anos se passaram, e os pensamentos de Moisés sobre sua antiga vida no Egito devem ter desvanecido no passado. Ele não poderia ter previsto que Deus logo o empurraria de volta para o meio da corte no Egito, onde ele confrontaria o filho do faraó, agora morto, com a demanda para libertar o povo hebreu da escravidão que eles haviam suportado por tantos anos. Deus não havia esquecido seu povo e agora estava pronto para libertá-los.</w:t>
      </w:r>
    </w:p>
    <w:p>
      <w:pPr>
        <w:pStyle w:val="Heading4"/>
      </w:pPr>
      <w:r>
        <w:t>Encontro com Deus na Sarça Ardente</w:t>
      </w:r>
    </w:p>
    <w:p>
      <w:r/>
      <w:r>
        <w:t>Um dia, enquanto Moisés estava tomando conta dos rebanhos de seu sogro, ele os levou até o Monte Horebe (conhecido também como Sinai), onde Deus apareceu a ele em uma chama de fogo do meio de uma sarça que queimava, mas não era consumida. Moisés se aproximou para observar a estranha visão mais de perto e ouviu Deus falar com ele da sarça: “Moisés, Moisés!” Moisés respondeu: “Aqui estou eu”. Antes que ele pudesse chegar mais perto da sarça, Deus disse: “Não te chegues para cá; tira as sandálias dos pés, porque o lugar em que estás é terra santa” (</w:t>
      </w:r>
      <w:hyperlink r:id="rId14747">
        <w:r>
          <w:rPr>
            <w:color w:val="0000EE"/>
            <w:u w:val="single"/>
          </w:rPr>
          <w:t>Êx 3.4–5</w:t>
        </w:r>
      </w:hyperlink>
      <w:r>
        <w:t>, ARA. Ele então se identificou como o Deus de Abraão, Isaque e Jacó. Ele assegurou a Moisés que ele estava ciente das aflições cruéis de seu povo e havia ouvido seus clamores. Então, ele contou seu plano de enviar Moisés ao Egito para libertar seu povo de sua escravidão.</w:t>
      </w:r>
    </w:p>
    <w:p>
      <w:r/>
      <w:r>
        <w:t>Confrontado com um desafio que parecia além de suas capacidades, o envelhecido Moisés começou a fazer pretextos para não aceitar a tarefa. Deus assegurou a Moisés que estaria com ele (</w:t>
      </w:r>
      <w:hyperlink r:id="rId14748">
        <w:r>
          <w:rPr>
            <w:color w:val="0000EE"/>
            <w:u w:val="single"/>
          </w:rPr>
          <w:t>Êx 3.11–12</w:t>
        </w:r>
      </w:hyperlink>
      <w:r>
        <w:t xml:space="preserve">). Em razão do pretexto de que ele não seria capaz de dar uma resposta se as pessoas lhe perguntassem o nome do Deus que ele representava, Deus revelou seu nome na declaração enigmática: “‘Eu sou o que sou’ . . . Assim dirás aos filhos de Israel: Eu Sou me enviou a vós outros' " (vv. </w:t>
      </w:r>
      <w:hyperlink r:id="rId14749">
        <w:r>
          <w:rPr>
            <w:color w:val="0000EE"/>
            <w:u w:val="single"/>
          </w:rPr>
          <w:t>13–14</w:t>
        </w:r>
      </w:hyperlink>
      <w:r>
        <w:t>, ARA). Muitas interpretações foram propostas para o nome. Seja qual for o significado, sem dúvida sugere a auto-existência e a completa suficiência de Deus. Moisés, por sua vez, argumentou que o povo não acreditaria nele quando ele lhes dissesse que Deus o havia enviado para libertá-los do Egito. Em resposta, Deus lhe deu três sinais: quando ele lançou seu cajado de pastor no chão, ele se tornou uma serpente. Quando ele colocou sua mão em seu peito, ela se tornou leprosa. Ele também foi informado de que, quando ele derramasse água do Nilo no chão, ela se tornaria sangue (</w:t>
      </w:r>
      <w:hyperlink r:id="rId14750">
        <w:r>
          <w:rPr>
            <w:color w:val="0000EE"/>
            <w:u w:val="single"/>
          </w:rPr>
          <w:t>Êx 4.1–9</w:t>
        </w:r>
      </w:hyperlink>
      <w:r>
        <w:t xml:space="preserve">). Mesmo armado com essas poderosas evidências da presença de Deus com ele, Moisés levantou ainda outra objeção: “Ah! Senhor! Eu nunca fui eloquente, nem outrora, nem depois que falaste a teu servo; pois sou pesado de boca e pesado de língua” (v. </w:t>
      </w:r>
      <w:hyperlink r:id="rId14751">
        <w:r>
          <w:rPr>
            <w:color w:val="0000EE"/>
            <w:u w:val="single"/>
          </w:rPr>
          <w:t>10</w:t>
        </w:r>
      </w:hyperlink>
      <w:r>
        <w:t>, ARA). Deus lhe disse que ele o ensinaria o que dizer, mas apesar de tal certeza, Moisés pediu a Deus para enviar outra pessoa. Em ira misturada com compaixão, Deus fez o irmão de Moisés, Arão, o porta-voz, mas disse que suas instruções ainda seriam dadas diretamente a Moisés.</w:t>
      </w:r>
    </w:p>
    <w:p>
      <w:pPr>
        <w:pStyle w:val="Heading4"/>
      </w:pPr>
      <w:r>
        <w:t>Retorno ao Egito</w:t>
      </w:r>
    </w:p>
    <w:p>
      <w:r/>
      <w:r>
        <w:t>Moisés tomou sua esposa e filhos e partiu para o Egito, dizendo a seu sogro apenas que ele queria voltar para o Egito para visitar seus parentes lá (</w:t>
      </w:r>
      <w:hyperlink r:id="rId10681">
        <w:r>
          <w:rPr>
            <w:color w:val="0000EE"/>
            <w:u w:val="single"/>
          </w:rPr>
          <w:t>Êx 4.18</w:t>
        </w:r>
      </w:hyperlink>
      <w:r>
        <w:t xml:space="preserve">). O relato bíblico diz que ele colocou sua esposa e filhos no mesmo jumento para viajar de volta para o Egito (v. </w:t>
      </w:r>
      <w:hyperlink r:id="rId1618">
        <w:r>
          <w:rPr>
            <w:color w:val="0000EE"/>
            <w:u w:val="single"/>
          </w:rPr>
          <w:t>20</w:t>
        </w:r>
      </w:hyperlink>
      <w:r>
        <w:t xml:space="preserve">). O fato de que todos os três montaram o mesmo animal indica que ambas as crianças eram bastante jovens e não haviam nascido nos primeiros anos do casamento de Moisés. Em um lugar de hospedagem ao longo do caminho, uma coisa estranha aconteceu. O Senhor o encontrou e tentou matá-lo (v. </w:t>
      </w:r>
      <w:hyperlink r:id="rId8502">
        <w:r>
          <w:rPr>
            <w:color w:val="0000EE"/>
            <w:u w:val="single"/>
          </w:rPr>
          <w:t>24</w:t>
        </w:r>
      </w:hyperlink>
      <w:r>
        <w:t xml:space="preserve">), aparentemente porque Moisés havia falhado em circuncidar o bebê antes de deixar Midiã. Quando Zípora percebeu que a vida de Moisés estava em perigo, ela mesma realizou o rito e disse a seu marido: “Sem dúvida, tu és para mim esposo sanguinário” (v. </w:t>
      </w:r>
      <w:hyperlink r:id="rId4946">
        <w:r>
          <w:rPr>
            <w:color w:val="0000EE"/>
            <w:u w:val="single"/>
          </w:rPr>
          <w:t>25</w:t>
        </w:r>
      </w:hyperlink>
      <w:r>
        <w:t>, ARA). Qualquer que mais possa ter estado envolvido neste encontro incomum com Deus, era um lembrete solene de que aquele que deveria ser o líder do povo da aliança não deve negligenciar qualquer parte da aliança (</w:t>
      </w:r>
      <w:hyperlink r:id="rId11371">
        <w:r>
          <w:rPr>
            <w:color w:val="0000EE"/>
            <w:u w:val="single"/>
          </w:rPr>
          <w:t>Gn 17.10–14</w:t>
        </w:r>
      </w:hyperlink>
      <w:r>
        <w:t>).</w:t>
      </w:r>
    </w:p>
    <w:p>
      <w:r/>
      <w:r>
        <w:t>Deus disse a Arão (que ainda estava no Egito) para ir para a montanha onde Moisés havia encontrado Deus na sarça ardente e encontrar seu irmão lá. Moisés contou a Arão tudo o que havia acontecido, e juntos eles foram para o Egito, reuniram os anciãos e os informaram sobre esses assuntos. Quando Moisés e Arão realizaram os sinais na presença do povo, eles acreditavam que esses líderes haviam sido enviados por Deus para libertá-los de sua aflição (</w:t>
      </w:r>
      <w:hyperlink r:id="rId14752">
        <w:r>
          <w:rPr>
            <w:color w:val="0000EE"/>
            <w:u w:val="single"/>
          </w:rPr>
          <w:t>Êx 4.30–31</w:t>
        </w:r>
      </w:hyperlink>
      <w:r>
        <w:t>).</w:t>
      </w:r>
    </w:p>
    <w:p>
      <w:pPr>
        <w:pStyle w:val="Heading3"/>
      </w:pPr>
      <w:r>
        <w:t>Os terceiros 40 anos — do Egito até Canaã</w:t>
      </w:r>
    </w:p>
    <w:p>
      <w:pPr>
        <w:pStyle w:val="Heading4"/>
      </w:pPr>
      <w:r>
        <w:t>O encontro com Faraó</w:t>
      </w:r>
    </w:p>
    <w:p>
      <w:r/>
      <w:r>
        <w:t>Logo após seu retorno ao Egito, Moisés, acompanhado de Arão, foi a Faraó e repetiu as demandas do Senhor: “Deixa ir o meu povo, para que me celebre uma festa no deserto” (</w:t>
      </w:r>
      <w:hyperlink r:id="rId2382">
        <w:r>
          <w:rPr>
            <w:color w:val="0000EE"/>
            <w:u w:val="single"/>
          </w:rPr>
          <w:t>Êx 5.1</w:t>
        </w:r>
      </w:hyperlink>
      <w:r>
        <w:t>, ARA). Faraó rejeitou a ordem com a observação de que ele nunca havia ouvido falar deste Deus de Moisés. Quando se percebe que os reis egípcios se consideravam deuses, a afronta ao Faraó se torna ainda mais aguçada. Ele não apenas rejeitou as demandas de Moisés, mas ele intensificou os fardos dos hebreus. Seu trabalho havia até então exigido que eles fizessem tijolos usando palha fornecida para eles, mas agora o faraó disse que eles teriam que coletar sua própria palha e ainda produzir o mesmo número de tijolos. Os hebreus se voltaram em angústia e raiva a Moisés e o responsabilizaram por torná-los ofensivos aos olhos de Faraó. Até mesmo Moisés não poderia entender a reviravolta e se queixou amargamente a Deus. Deus assegurou a Moisés de que ele livraria os hebreus de sua escravidão, e além disso, ele os traria para a terra que ele havia prometido a Abraão, Isaque e Jacó. Então, ele instruiu Moisés a voltar para Faraó e repetir a ordem para libertar os hebreus sob ameaça de grave represália se esta fosse ignorada.</w:t>
      </w:r>
    </w:p>
    <w:p>
      <w:r/>
      <w:r>
        <w:t>Conduzido novamente na presença de Faraó, Moisés repetiu seu pedido de libertação dos israelitas. Ele tentou impressionar Faraó transformando sua vara em uma serpente, mas os homens sábios egípcios, através de suas artes secretas, foram capazes de duplicar o milagre, então o coração de Faraó permanecia endurecido e ele não ouviria Moisés. Em rápida sucessão, Moisés trouxe nove pragas sobre a terra do Egito para mostrar a onipotência de Deus para forçar a obediência de Faraó. Isso incluiu uma praga na qual a água do Nilo se tornou sangue, uma praga de rãs, uma de mosquitos, depois de moscas, uma praga no gado, febre no povo, pragas de granizo, gafanhotos e trevas completas. Durante as pragas das rãs, moscas, granizo, gafanhotos e trevas, Faraó estava perturbado e cederia temporariamente e concordaria com as demandas de Moisés, mas assim que a praga fosse retirada, seu coração endurecia e ele negaria sua promessa. O resultado das primeiras nove pragas foi terrível devastação da terra do Egito, mas os israelitas não foram libertados. Ainda havia mais uma praga reservada, a mais terrível de todas.</w:t>
      </w:r>
    </w:p>
    <w:p>
      <w:pPr>
        <w:pStyle w:val="Heading4"/>
      </w:pPr>
      <w:r>
        <w:t>A primeira Páscoa</w:t>
      </w:r>
    </w:p>
    <w:p>
      <w:r/>
      <w:r>
        <w:t>Deus disse a Moisés que mais uma praga estava reservada para os egípcios: “todo primogênito na terra do Egito morrerá, desde o primogênito de Faraó, que se assenta no seu trono, até ao primogênito da serva que está junto à mó, e todo primogênito dos animais” (</w:t>
      </w:r>
      <w:hyperlink r:id="rId14707">
        <w:r>
          <w:rPr>
            <w:color w:val="0000EE"/>
            <w:u w:val="single"/>
          </w:rPr>
          <w:t>Êx 11.5</w:t>
        </w:r>
      </w:hyperlink>
      <w:r>
        <w:t xml:space="preserve">, ARA). Além disso, ele assegurou a Moisés que a praga não tocaria uma única casa dos hebreus: “para que saibais que o Senhor fez distinção entre os egípcios e os israelitas” (v. </w:t>
      </w:r>
      <w:hyperlink r:id="rId14753">
        <w:r>
          <w:rPr>
            <w:color w:val="0000EE"/>
            <w:u w:val="single"/>
          </w:rPr>
          <w:t>7</w:t>
        </w:r>
      </w:hyperlink>
      <w:r>
        <w:t>, ARA).</w:t>
      </w:r>
    </w:p>
    <w:p>
      <w:r/>
      <w:r>
        <w:t>Deus instruiu o povo através de Moisés e Arão a fazer seus preparativos para deixar a terra às pressas. Eles deveriam ir aos egípcios e pedir-lhes suas joias de prata e ouro (</w:t>
      </w:r>
      <w:hyperlink r:id="rId14754">
        <w:r>
          <w:rPr>
            <w:color w:val="0000EE"/>
            <w:u w:val="single"/>
          </w:rPr>
          <w:t>Êx 11.2–3</w:t>
        </w:r>
      </w:hyperlink>
      <w:r>
        <w:t>), um pedido com o qual os egípcios concordaram, talvez por medo dos hebreus e na crença de que os presentes trariam fim dos terrores que haviam atingido a terra. Os hebreus também foram instruídos a preparar um cordeiro para cada família — pequenas famílias poderiam compartilhar — para a última refeição a ser comida na terra do Egito (um rito que se tornou o padrão para a observância judaica da Páscoa por muitos séculos). O sangue do cordeiro deveria ser colocado nos umbrais das portas e batentes das casas nas quais a refeição da Páscoa estava sendo comida naquela noite. Aos hebreus foi prometido que, onde quer que o sangue estivesse à porta, nenhum dano viria àquela casa. Eles também foram instruídos a preparar o pão sem fermento. À meia-noite, o anjo da morte do Senhor matou todos os primogênitos na terra do Egito, desde o primogênito do próprio Faraó até o cativo mais baixo em uma masmorra; nem uma única casa dos egípcios escapou da tragédia. Quando Faraó viu o que havia acontecido, ele ordenou a Moisés e ao povo que deixassem a terra de uma vez (</w:t>
      </w:r>
      <w:hyperlink r:id="rId14755">
        <w:r>
          <w:rPr>
            <w:color w:val="0000EE"/>
            <w:u w:val="single"/>
          </w:rPr>
          <w:t>12.31–32</w:t>
        </w:r>
      </w:hyperlink>
      <w:r>
        <w:t>). O registro bíblico diz que cerca de 600.000 homens hebreus deixaram o Egito. Junto com mulheres e crianças, o total teria sido superior a 2 milhões de pessoas.</w:t>
      </w:r>
    </w:p>
    <w:p>
      <w:pPr>
        <w:pStyle w:val="Heading4"/>
      </w:pPr>
      <w:r>
        <w:t>O Êxodo do Egito</w:t>
      </w:r>
    </w:p>
    <w:p>
      <w:r/>
      <w:r>
        <w:t>O êxodo é o evento central do AT e marca o nascimento de Israel como uma nação. O povo judeu ainda olha para trás para esse evento como o grande ato redentor de Deus na história em nome de seu povo, assim como os cristãos olham para a cruz como o grande ato redentor de sua fé.</w:t>
      </w:r>
    </w:p>
    <w:p>
      <w:r/>
      <w:r>
        <w:t>A rota exata tomada pelos hebreus para fora do Egito não pode ser determinada hoje, embora muitas possibilidades tenham sido propostas. Eles não tomaram a rota mais rápida e direta para Canaã (que teria sido cerca de uma jornada de 10 dias ao longo da costa mediterrânea), mas partiram na direção do Monte Sinai, onde Moisés havia anteriormente encontrado Deus na sarça ardente. Como um sinal de que Moisés havia sido enviado para libertar o povo, Deus disse a Moisés que ele os traria para aquele mesmo lugar, onde eles adorariam a Deus (</w:t>
      </w:r>
      <w:hyperlink r:id="rId13097">
        <w:r>
          <w:rPr>
            <w:color w:val="0000EE"/>
            <w:u w:val="single"/>
          </w:rPr>
          <w:t>Êx 3.12</w:t>
        </w:r>
      </w:hyperlink>
      <w:r>
        <w:t>). Os hebreus não esqueceram o pedido de José para carregar seus ossos com eles quando eles voltassem para sua própria terra (</w:t>
      </w:r>
      <w:hyperlink r:id="rId12289">
        <w:r>
          <w:rPr>
            <w:color w:val="0000EE"/>
            <w:u w:val="single"/>
          </w:rPr>
          <w:t>Gn 50.25</w:t>
        </w:r>
      </w:hyperlink>
      <w:r>
        <w:t xml:space="preserve">; </w:t>
      </w:r>
      <w:hyperlink r:id="rId12050">
        <w:r>
          <w:rPr>
            <w:color w:val="0000EE"/>
            <w:u w:val="single"/>
          </w:rPr>
          <w:t>Êx 13.19</w:t>
        </w:r>
      </w:hyperlink>
      <w:r>
        <w:t>).</w:t>
      </w:r>
    </w:p>
    <w:p>
      <w:r/>
      <w:r>
        <w:t>Enquanto as pessoas viajavam, elas eram precedidas por uma coluna de nuvem durante o dia e um pilar de fogo à noite. A nuvem representava a presença de Deus com seu povo e os guiava ao longo da rota que eles deveriam viajar.</w:t>
      </w:r>
    </w:p>
    <w:p>
      <w:r/>
      <w:r>
        <w:t>De volta ao Egito, Faraó estava em dúvida sobre deixar os hebreus deixarem a terra e decidiu persegui-los com seu exército e trazê-los de volta. Quando os hebreus viram a nuvem de poeira que se aproximava e perceberam que o exército egípcio os estava perseguindo, eles ficaram aterrorizados. O mar estava à frente deles e os egípcios estavam atrás; parecia não haver como escapar. O povo se voltou contra Moisés, responsabilizando-o por trazê-los do Egito. Deus novamente os assegurou que eles não precisavam ter medo ou fazer qualquer coisa para se defender. Ele prometeu lutar a batalha por eles e dar-lhes vitória (</w:t>
      </w:r>
      <w:hyperlink r:id="rId14756">
        <w:r>
          <w:rPr>
            <w:color w:val="0000EE"/>
            <w:u w:val="single"/>
          </w:rPr>
          <w:t>Êx 14.14</w:t>
        </w:r>
      </w:hyperlink>
      <w:r>
        <w:t>).</w:t>
      </w:r>
    </w:p>
    <w:p>
      <w:r/>
      <w:r>
        <w:t>O Senhor separou a água do Mar de Juncos (tradicionalmente, mas erroneamente referido como o Mar Vermelho) por um forte vento oriental e permitiu que os israelitas passassem pelo mar em chão seco até o outro lado. Os egípcios correram atrás dos israelitas, seguindo-os para o leito seco do mar. Mas antes de chegarem ao outro lado, as águas correram de volta, destruindo o exército egípcio no meio do mar e deixando os israelitas seguros do outro lado. As pessoas celebraram sua grande libertação em cânticos (</w:t>
      </w:r>
      <w:hyperlink r:id="rId4201">
        <w:r>
          <w:rPr>
            <w:color w:val="0000EE"/>
            <w:u w:val="single"/>
          </w:rPr>
          <w:t>Êx 15</w:t>
        </w:r>
      </w:hyperlink>
      <w:r>
        <w:t>) e então continuaram sua jornada. A narrativa que se segue descreve a luta dos israelitas para sobreviver no deserto — problemas de comida e água, dissensão interna, murmurações contra Moisés e batalhas com inimigos. Através de todas as suas experiências, Moisés se eleva como a força unificadora e grande líder espiritual.</w:t>
      </w:r>
    </w:p>
    <w:p>
      <w:r/>
      <w:r>
        <w:t>Apesar de ter visto o grande ato de libertação de Deus tão recentemente, a fé dos israelitas não era forte. Três dias depois, eles chegaram em um lugar onde a água não era apta a beber, e eles começaram a se queixar contra Moisés. O Senhor mostrou a Moisés como purificar a água, e as necessidades do povo foram satisfeitas (</w:t>
      </w:r>
      <w:hyperlink r:id="rId8834">
        <w:r>
          <w:rPr>
            <w:color w:val="0000EE"/>
            <w:u w:val="single"/>
          </w:rPr>
          <w:t>Êx 15.22–25</w:t>
        </w:r>
      </w:hyperlink>
      <w:r>
        <w:t>). Quando eles chegaram ao deserto de Sim, eles se queixaram novamente, desta vez por causa da falta de comida. Deus atendeu sua necessidade fornecendo maná, uma substância semelhante a um pão que serviria como seu alimento até que eles viessem a Canaã (</w:t>
      </w:r>
      <w:hyperlink r:id="rId14757">
        <w:r>
          <w:rPr>
            <w:color w:val="0000EE"/>
            <w:u w:val="single"/>
          </w:rPr>
          <w:t>16.1–21</w:t>
        </w:r>
      </w:hyperlink>
      <w:r>
        <w:t>). Mais tarde, acampados em Refidim, as pessoas se queixaram novamente, desta vez por falta de água. Mais uma vez Deus atendeu às suas necessidades fornecendo água da rocha em Horebe (</w:t>
      </w:r>
      <w:hyperlink r:id="rId13128">
        <w:r>
          <w:rPr>
            <w:color w:val="0000EE"/>
            <w:u w:val="single"/>
          </w:rPr>
          <w:t>17.1–7</w:t>
        </w:r>
      </w:hyperlink>
      <w:r>
        <w:t xml:space="preserve">). Os amalequitas os atacaram enquanto eles ainda estavam acampados em Refidim, mas Deus deu uma grande vitória aos israelitas (vv. </w:t>
      </w:r>
      <w:hyperlink r:id="rId10812">
        <w:r>
          <w:rPr>
            <w:color w:val="0000EE"/>
            <w:u w:val="single"/>
          </w:rPr>
          <w:t>8–13</w:t>
        </w:r>
      </w:hyperlink>
      <w:r>
        <w:t>).</w:t>
      </w:r>
    </w:p>
    <w:p>
      <w:r/>
      <w:r>
        <w:t>Moisés e o povo chegaram ao Sinai e acamparam lá. Jetro veio para visitá-lo, trazendo a esposa e os filhos de Moisés. Zípora havia, aparentemente, decidido voltar com seus filhos para ficar com seu pai, em vez de ir para o Egito com Moisés. Foi uma reunião alegre, e Jetro fez uma oferta queimada e sacrifícios a Deus (um ato que evocou a sugestão de que Jetro era um verdadeiro adorador de Deus, embora nada seja conhecido de sua ligação com a fé hebraica). Quando Jetro observou Moisés tentando resolver todos os conflitos e problemas dos hebreus sem ajuda, ele propôs que Moisés delegasse a responsabilidade acerca de alguns assuntos menores para capacitar homens escolhidos entre o povo. Moisés aceitou a sugestão, e pouco depois Jetro voltou para sua própria terra. Ele não permaneceu no Sinai para participar da ratificação da aliança (</w:t>
      </w:r>
      <w:hyperlink r:id="rId11875">
        <w:r>
          <w:rPr>
            <w:color w:val="0000EE"/>
            <w:u w:val="single"/>
          </w:rPr>
          <w:t>Êx 18.13–27</w:t>
        </w:r>
      </w:hyperlink>
      <w:r>
        <w:t>).</w:t>
      </w:r>
    </w:p>
    <w:p>
      <w:pPr>
        <w:pStyle w:val="Heading4"/>
      </w:pPr>
      <w:r>
        <w:t>Outorga da Lei no Sinai</w:t>
      </w:r>
    </w:p>
    <w:p>
      <w:r/>
      <w:r>
        <w:t>Deus havia mantido suas promessas a Moisés. Ele havia libertado os hebreus de sua escravidão egípcia e os trouxe para o mesmo lugar onde ele havia comissionado Moisés para ser seu líder. Ele estava agora pronto para entrar em um relacionamento de aliança com Israel. Em meio a uma cena surpreendente e aterrorizante de relâmpagos, trovões, nuvens espessas, fogo, fumaça e terremoto, Deus desceu ao topo do Sinai e chamou Moisés para subir a montanha, onde ele permaneceu 40 dias para receber a lei que se tornaria a base da aliança.</w:t>
      </w:r>
    </w:p>
    <w:p>
      <w:r/>
      <w:r>
        <w:t>No Sinai, Deus foi revelado como o Deus que exige lealdade exclusiva em todas as áreas da vida e, ao mesmo tempo, como o Deus que deseja comunhão pessoal com seu povo.</w:t>
      </w:r>
    </w:p>
    <w:p>
      <w:pPr>
        <w:pStyle w:val="Heading4"/>
      </w:pPr>
      <w:r>
        <w:t>Apostasia do Povo</w:t>
      </w:r>
    </w:p>
    <w:p>
      <w:r/>
      <w:r>
        <w:t>Enquanto Moisés permaneceu no Monte Sinai, as pessoas abaixo se tornaram impacientes e céticas sobre seu retorno, então eles foram a Arão e pediram-lhe para fazer ídolos para eles adorarem. Eles contribuíram com os brincos de ouro que estavam usando. “Então Arão tomou o ouro, derreteu-o e moldou-o e forjou-o na forma de um bezerro. Então, disseram: São estes, ó Israel, os teus deuses, que te tiraram da terra do Egito’ “ (</w:t>
      </w:r>
      <w:hyperlink r:id="rId13140">
        <w:r>
          <w:rPr>
            <w:color w:val="0000EE"/>
            <w:u w:val="single"/>
          </w:rPr>
          <w:t>Êx 32.4</w:t>
        </w:r>
      </w:hyperlink>
      <w:r>
        <w:t xml:space="preserve">, ARA). No dia seguinte, eles se juntaram na adoração do ídolo com sacrifícios e folia. Deus disse a Moisés o que estava ocorrendo abaixo e declarou com ira que ele ia destruir o povo, mas faria uma grande nação de Moisés e seus descendentes. Moisés imediatamente intercedeu em nome do povo, e a ira de Deus diminuiu. Moisés desceu a montanha, carregando as duas tábuas de pedra nas quais a lei havia sido escrita, mas quando ele entrou no acampamento e viu o que estava ocorrendo, ele não pôde conter sua ira. Ele jogou as tábuas de pedra no chão, moeu o bezerro de ouro em pó, misturou-o com água e forçou as pessoas a beber. Ele se voltou com raiva para Arão e exigiu uma explicação para o grande pecado que havia sido cometido. Arão tentou escapar da culpa, minimizando seu próprio papel: “eu o lancei [o ouro] no fogo, e saiu este bezerro” (v. </w:t>
      </w:r>
      <w:hyperlink r:id="rId14489">
        <w:r>
          <w:rPr>
            <w:color w:val="0000EE"/>
            <w:u w:val="single"/>
          </w:rPr>
          <w:t>24</w:t>
        </w:r>
      </w:hyperlink>
      <w:r>
        <w:t>, ARA). Moisés chamou voluntários para realizar o julgamento de Deus sobre o povo pelo grande pecado que eles haviam cometido. Os homens da tribo de Levi responderam e mataram cerca de 3.000 homens. Mais tarde, eles foram elogiados e recompensados (</w:t>
      </w:r>
      <w:hyperlink r:id="rId14758">
        <w:r>
          <w:rPr>
            <w:color w:val="0000EE"/>
            <w:u w:val="single"/>
          </w:rPr>
          <w:t>Dt 33.9–10</w:t>
        </w:r>
      </w:hyperlink>
      <w:r>
        <w:t>). Moisés novamente intercedeu pelo povo, solicitando que ele fosse destruído juntamente com o povo se Deus não pudesse perdoá-los. Deus teve piedade e prometeu a Moisés que o anjo do Senhor iria com eles, continuamente (</w:t>
      </w:r>
      <w:hyperlink r:id="rId14759">
        <w:r>
          <w:rPr>
            <w:color w:val="0000EE"/>
            <w:u w:val="single"/>
          </w:rPr>
          <w:t>Êx 32.34</w:t>
        </w:r>
      </w:hyperlink>
      <w:r>
        <w:t>).</w:t>
      </w:r>
    </w:p>
    <w:p>
      <w:r/>
      <w:r>
        <w:t>Logo, Moisés fez um pedido especial para que ele pudesse ser autorizado a ver a glória do Senhor. Deus instruiu Moisés a cortar mais duas tábuas de pedra como as que ele havia destruído e para voltar para o topo da montanha no dia seguinte. Lá, o Senhor passou diante dele e proclamou seu nome: “Senhor, Senhor Deus compassivo, clemente e longânimo e grande em misericórdia e fidelidade” (</w:t>
      </w:r>
      <w:hyperlink r:id="rId10123">
        <w:r>
          <w:rPr>
            <w:color w:val="0000EE"/>
            <w:u w:val="single"/>
          </w:rPr>
          <w:t>Êx 34.6</w:t>
        </w:r>
      </w:hyperlink>
      <w:r>
        <w:t>, ARA). Moisés permaneceu na montanha por mais 40 dias, onde ele recebeu e foram retomadas advertências contra a idolatria e instruções adicionais do Senhor, juntamente com outra cópia dos Dez Mandamentos em tábuas de pedra. Quando Moisés desceu da montanha, ele não estava ciente de que a pele de seu rosto brilhava como resultado de falar com Deus. No início, as pessoas estavam com medo de se aproximar dele, mas ele os chamou e repetiu tudo o que o Senhor havia dito a ele na montanha. Depois, ele cobriu seu rosto com um véu, que ele removeu apenas quando entrou na presença do Senhor. Paulo disse que o propósito do véu era impedir que as pessoas vissem a luz celestial gradualmente desaparecer do rosto de Moisés (</w:t>
      </w:r>
      <w:hyperlink r:id="rId14760">
        <w:r>
          <w:rPr>
            <w:color w:val="0000EE"/>
            <w:u w:val="single"/>
          </w:rPr>
          <w:t>2Co 3.13</w:t>
        </w:r>
      </w:hyperlink>
      <w:r>
        <w:t>).</w:t>
      </w:r>
    </w:p>
    <w:p>
      <w:pPr>
        <w:pStyle w:val="Heading4"/>
      </w:pPr>
      <w:r>
        <w:t>O Tabernáculo e Estabelecimento do Sacerdócio</w:t>
      </w:r>
    </w:p>
    <w:p>
      <w:r/>
      <w:r>
        <w:t>Quando Moisés subiu para a montanha a primeira vez para receber a lei de Deus, ele foi instruído a coletar materiais a serem usados na construção do tabernáculo ou tenda. Ouro, prata, bronze, fios azuis, roxos e vermelhos, linho fino torcido, pelo de cabra, peles de carneiros bronzeadas, peles de cabra e madeira de acácia seriam necessárias, juntamente com óleo para as lâmpadas, especiarias para o óleo da unção e para o incenso perfumado, pedras de ônix e pedras para a arrumação (</w:t>
      </w:r>
      <w:hyperlink r:id="rId14761">
        <w:r>
          <w:rPr>
            <w:color w:val="0000EE"/>
            <w:u w:val="single"/>
          </w:rPr>
          <w:t>Êx 25.3–7</w:t>
        </w:r>
      </w:hyperlink>
      <w:r>
        <w:t>). O padrão para construção também foi dado a ele, juntamente com o ritual a ser usado para a consagração dos sacerdotes. Um homem chamado Bezalel foi colocado no comando da construção do tabernáculo, assistido por Aoliabe (</w:t>
      </w:r>
      <w:hyperlink r:id="rId14762">
        <w:r>
          <w:rPr>
            <w:color w:val="0000EE"/>
            <w:u w:val="single"/>
          </w:rPr>
          <w:t>31.1–6</w:t>
        </w:r>
      </w:hyperlink>
      <w:r>
        <w:t>). O tabernáculo era portátil como uma tenda para que pudesse ser desmontado e movido de um lugar para outro, enquanto os hebreus continuavam sua jornada em direção a Canaã.</w:t>
      </w:r>
    </w:p>
    <w:p>
      <w:r/>
      <w:r>
        <w:t>Além de dar instruções a Moisés para o tabernáculo, Deus também o instruiu sobre os sacrifícios que deveriam ser trazidos: a oferta queimada, a oferta de grãos, a oferta pacífica, a oferta pelo pecado e a oferta de culpa (</w:t>
      </w:r>
      <w:hyperlink r:id="rId12816">
        <w:r>
          <w:rPr>
            <w:color w:val="0000EE"/>
            <w:u w:val="single"/>
          </w:rPr>
          <w:t>Lv 1–7</w:t>
        </w:r>
      </w:hyperlink>
      <w:r>
        <w:t xml:space="preserve">). A cerimônia solene para ordenar Arão e seus filhos como sacerdotes e para inaugurar as práticas de adoração deveria ser realizada por Moisés (capítulos </w:t>
      </w:r>
      <w:hyperlink r:id="rId12914">
        <w:r>
          <w:rPr>
            <w:color w:val="0000EE"/>
            <w:u w:val="single"/>
          </w:rPr>
          <w:t>8–9</w:t>
        </w:r>
      </w:hyperlink>
      <w:r>
        <w:t>).</w:t>
      </w:r>
    </w:p>
    <w:p>
      <w:r/>
      <w:r>
        <w:t>Algum tempo após esta inauguração solene do ritual religioso ter ocorrido, Nadabe e Abiú, dois dos quatro filhos de Arão, ofereceram fogo estranho diante do Senhor. Um fogo veio do Senhor e os destruiu. Moisés proibiu Arão e seus filhos Eleazar e Itamar de expressar tristeza por causa da pecaminosidade do ato (</w:t>
      </w:r>
      <w:hyperlink r:id="rId7798">
        <w:r>
          <w:rPr>
            <w:color w:val="0000EE"/>
            <w:u w:val="single"/>
          </w:rPr>
          <w:t>Lv 10.1–7</w:t>
        </w:r>
      </w:hyperlink>
      <w:r>
        <w:t>). A natureza de seu pecado é difícil de determinar, mas certamente envolveu uma violação da santidade de Deus. Portanto, é apropriado que uma grande parte do restante do livro de Levítico dê regulamentos que enfatizam a vida santa que Deus esperava de seu povo.</w:t>
      </w:r>
    </w:p>
    <w:p>
      <w:pPr>
        <w:pStyle w:val="Heading4"/>
      </w:pPr>
      <w:r>
        <w:t>Do Sinai a Cades</w:t>
      </w:r>
    </w:p>
    <w:p>
      <w:r/>
      <w:r>
        <w:t>Um ano havia se passado desde o tempo que os israelitas deixaram o Egito, até que o censo foi feito (</w:t>
      </w:r>
      <w:hyperlink r:id="rId14763">
        <w:r>
          <w:rPr>
            <w:color w:val="0000EE"/>
            <w:u w:val="single"/>
          </w:rPr>
          <w:t>Nm 9.1</w:t>
        </w:r>
      </w:hyperlink>
      <w:r>
        <w:t>). Deus lembrou às pessoas que era hora de observar a Páscoa, o que eles assim fizeram, e um mês depois eles partiram do Sinai e vieram para o deserto de Parã. Ao longo do caminho, eles se queixaram sobre a dieta invariável do maná e eles ansiavam pelos peixes, pepinos, melões, alho-poró, cebolas e alho que haviam comido no Egito (</w:t>
      </w:r>
      <w:hyperlink r:id="rId14764">
        <w:r>
          <w:rPr>
            <w:color w:val="0000EE"/>
            <w:u w:val="single"/>
          </w:rPr>
          <w:t>11.4–6</w:t>
        </w:r>
      </w:hyperlink>
      <w:r>
        <w:t>). Irado, Deus enviou codornas em abundância, mas mesmo enquanto as pessoas estavam devorando a carne, Deus enviou uma grande praga que matou muitos israelitas. A atitude queixosa do povo foi compartilhada até mesmo por Miriã e Arão. Eles começaram a falar contra a mulher cuxita que Moisés havia se casado (</w:t>
      </w:r>
      <w:hyperlink r:id="rId10369">
        <w:r>
          <w:rPr>
            <w:color w:val="0000EE"/>
            <w:u w:val="single"/>
          </w:rPr>
          <w:t>12.1–2</w:t>
        </w:r>
      </w:hyperlink>
      <w:r>
        <w:t>). Não é certo se a cuxita era um etíope ou se esta era outra maneira de se referir a Zípora. Se Moisés se casou uma segunda vez, nenhuma menção é feita em outro lugar no AT. Moisés não respondeu às acusações de seu irmão e irmã. Não era necessário, pois Deus interveio em defesa de seu servo. Ele feriu Miriã com lepra por sua participação ao falar contra Moisés, e quando Arão viu o que havia acontecido com Miriã, ele reconheceu que ambos haviam pecado. A lepra de Miriã foi removida em resposta à intercessão fervorosa de Moisés.</w:t>
      </w:r>
    </w:p>
    <w:p>
      <w:r/>
      <w:r>
        <w:t xml:space="preserve">Enquanto o povo estava acampado em Cades (também chamado de Cades-Barneia — </w:t>
      </w:r>
      <w:hyperlink r:id="rId14765">
        <w:r>
          <w:rPr>
            <w:color w:val="0000EE"/>
            <w:u w:val="single"/>
          </w:rPr>
          <w:t>Nm 32.8</w:t>
        </w:r>
      </w:hyperlink>
      <w:r>
        <w:t>) no deserto de Parã, Moisés enviou 12 homens para Canaã, um de cada tribo, para espiar a terra em preparação para a entrada israelita. Após 40 dias, os espiões voltaram e, embora reconhecessem que a terra era fértil e convidativa, 10 deles estavam com medo dos habitantes cananeus e aconselharam a não entrar na terra. Apenas Josué e Calebe estavam dispostos a ir em frente e tomar o território. Toda a congregação se juntou para protestar contra seguir adiante e estava determinada a escolher um novo líder e voltar para o Egito, em vez de arriscar a morte pela espada em Canaã. Eles ameaçaram apedrejar Moisés e Arão. Naquele momento, Deus interveio e teria destruído todas as pessoas no local, exceto pela intervenção de Moisés (</w:t>
      </w:r>
      <w:hyperlink r:id="rId14766">
        <w:r>
          <w:rPr>
            <w:color w:val="0000EE"/>
            <w:u w:val="single"/>
          </w:rPr>
          <w:t>13.1–14.19</w:t>
        </w:r>
      </w:hyperlink>
      <w:r>
        <w:t>). Ele declarou que, se Deus não trouxesse o povo para Canaã, as nações ao redor concluiriam que o Deus dos israelitas era incapaz de trazê-los para a terra. Mais uma vez, Deus concordou com o pedido de Moisés para perdoar o povo, mas disse que nenhum deles de 20 anos ou mais que havia se queixado contra ele teria permissão para entrar na terra. Todas as pessoas vagariam no deserto por 40 anos até que essa geração morresse, e então seus filhos teriam permissão para entrar em Canaã (</w:t>
      </w:r>
      <w:hyperlink r:id="rId14767">
        <w:r>
          <w:rPr>
            <w:color w:val="0000EE"/>
            <w:u w:val="single"/>
          </w:rPr>
          <w:t>14.29–33</w:t>
        </w:r>
      </w:hyperlink>
      <w:r>
        <w:t>). Quando eles ouviram a sentença do Senhor sobre eles, as pessoas rapidamente decidiram suspender a sentença de julgamento entrando na terra de uma só vez, mas Deus não estava com eles, e eles sofreram uma derrota desastrosa nas mãos dos amalequitas e cananeus.</w:t>
      </w:r>
    </w:p>
    <w:p>
      <w:pPr>
        <w:pStyle w:val="Heading4"/>
      </w:pPr>
      <w:r>
        <w:t>Quarenta anos no deserto</w:t>
      </w:r>
    </w:p>
    <w:p>
      <w:r/>
      <w:r>
        <w:t>Muito pouco é conhecido sobre eventos durante os 40 anos de peregrinações no deserto. Apesar do julgamento que já havia vindo sobre eles, as pessoas não pareciam mudar seus caminhos. Um homem chamado Corá liderou outra rebelião contra a autoridade de Moisés e Arão. Deus não ouviria os apelos de Moisés e Arão em nome desses dissidentes (</w:t>
      </w:r>
      <w:hyperlink r:id="rId14768">
        <w:r>
          <w:rPr>
            <w:color w:val="0000EE"/>
            <w:u w:val="single"/>
          </w:rPr>
          <w:t>Nm 16.22–24</w:t>
        </w:r>
      </w:hyperlink>
      <w:r>
        <w:t>), mas disse à congregação para se separar das tendas de Corá e seus conspiradores. Enquanto as pessoas observavam, o chão se abriu e engoliu as facções rebeldes, juntamente com suas casas e todos os seus bens. Embora o resto dos israelitas tenha testemunhado o destino dos rebeldes, isso não os impediu de se voltarem contra Moisés e Arão. Com isso, Deus disse a Moisés para se retirar da congregação murmurante para que ele pudesse se vingar. Embora Moisés tenha oferecido expiação pelos pecados do povo, 14.700 morreram por praga antes que a punição fosse encerrada. Para demonstrar ainda mais ao povo que Moisés era seu líder escolhido, o Senhor instruiu Moisés a tomar varas, uma para cada tribo, e depositá-las na tenda do Testemunho. Deus faria com que a vara do homem, escolhido por ele brotasse, e assim silenciasse os murmúrios do povo. A vara pertencente a Arão germinou, brotou e floresceu, mas as pessoas apenas se queixaram mais.</w:t>
      </w:r>
    </w:p>
    <w:p>
      <w:r/>
      <w:r>
        <w:t>Enquanto as pessoas se aproximavam do final de seus anos de peregrinação no deserto, Miriã morreu em Cades, e foi enterrada lá (</w:t>
      </w:r>
      <w:hyperlink r:id="rId3971">
        <w:r>
          <w:rPr>
            <w:color w:val="0000EE"/>
            <w:u w:val="single"/>
          </w:rPr>
          <w:t>Nm 20.1</w:t>
        </w:r>
      </w:hyperlink>
      <w:r>
        <w:t xml:space="preserve">). Logo depois, as pessoas começaram a se queixar mais uma vez pela falta de água. Deus instruiu Moisés a falar com uma rocha que traria água para satisfazer as necessidades do povo. Em vez de falar com a rocha, Moisés a golpeou duas vezes com sua vara. A água saiu, mas Deus repreendeu Moisés e Arão: “Visto que não crestes em mim, para me santificardes diante dos filhos de Israel, por isso, não fareis entrar este povo na terra que lhe dei” (v. </w:t>
      </w:r>
      <w:hyperlink r:id="rId14769">
        <w:r>
          <w:rPr>
            <w:color w:val="0000EE"/>
            <w:u w:val="single"/>
          </w:rPr>
          <w:t>12</w:t>
        </w:r>
      </w:hyperlink>
      <w:r>
        <w:t>, ARA). A natureza do pecado não é clara, mas Moisés e Arão estavam aparentemente tomando para si a honra que pertencia apenas a Deus. Por causa do pecado, a eles fora negado o privilégio de liderar os israelitas para a Terra Prometida. A punição pode parecer muito grave para o pecado, mas mostra que o papel privilegiado da liderança dado a Moisés e Arão carregava consigo uma medida incomum de responsabilidade.</w:t>
      </w:r>
    </w:p>
    <w:p>
      <w:r/>
      <w:r>
        <w:t>As pessoas, então, viajaram de Cades para o Monte Hor, na fronteira da terra de Edom, onde Arão morreu. Moisés tomou as roupas sacerdotais dele e as deu a Eleazar, seu filho, transferindo assim o ofício sacerdotal (</w:t>
      </w:r>
      <w:hyperlink r:id="rId7951">
        <w:r>
          <w:rPr>
            <w:color w:val="0000EE"/>
            <w:u w:val="single"/>
          </w:rPr>
          <w:t>Nm 20.28</w:t>
        </w:r>
      </w:hyperlink>
      <w:r>
        <w:t>).</w:t>
      </w:r>
    </w:p>
    <w:p>
      <w:r/>
      <w:r>
        <w:t>À medida que as pessoas se aproximavam de seu destino, a resistência da parte da população nativa aumentava. Houve uma batalha com o rei de Arade e suas forças em Horma, resultando em uma vitória de Israel (</w:t>
      </w:r>
      <w:hyperlink r:id="rId2345">
        <w:r>
          <w:rPr>
            <w:color w:val="0000EE"/>
            <w:u w:val="single"/>
          </w:rPr>
          <w:t>Nm 21.1–3</w:t>
        </w:r>
      </w:hyperlink>
      <w:r>
        <w:t>). Enquanto viajavam ao redor de Edom, alguns dos israelitas começaram a falar contra Deus e Moisés porque não havia comida ou água e eles estavam cansados de comer maná. Desta vez, o Senhor enviou serpentes venenosas entre o povo, e muitos deles morreram devido às picadas venenosas. Aqueles que ainda não haviam sido mordidos vieram a Moisés, reconheceram seu pecado, e pediram que as serpentes fossem removidas dentre eles. Deus instruiu Moisés a fazer uma serpente de bronze e a colocou em um poste. Se uma pessoa mordida por uma serpente olhasse para a serpente de bronze, ele ou ela viveria.</w:t>
      </w:r>
    </w:p>
    <w:p>
      <w:r/>
      <w:r>
        <w:t>Quando os israelitas se aproximaram do território de Seom, rei dos amorreus, eles enviaram mensageiros pedindo permissão para passar pacificamente por sua terra. Em vez de conceder o pedido, Seom reuniu seu exército e lutou contra Israel. Ele foi morto na batalha, e suas terras e cidades foram tomadas e habitadas pelos Hebreus (</w:t>
      </w:r>
      <w:hyperlink r:id="rId2962">
        <w:r>
          <w:rPr>
            <w:color w:val="0000EE"/>
            <w:u w:val="single"/>
          </w:rPr>
          <w:t>Nm 21.21–25</w:t>
        </w:r>
      </w:hyperlink>
      <w:r>
        <w:t>).</w:t>
      </w:r>
    </w:p>
    <w:p>
      <w:pPr>
        <w:pStyle w:val="Heading4"/>
      </w:pPr>
      <w:r>
        <w:t>Chegada ao rio Jordão</w:t>
      </w:r>
    </w:p>
    <w:p>
      <w:r/>
      <w:r>
        <w:t>Após sua vitória sobre Seom, os israelitas partiram novamente e acamparam nas planícies de Moabe no lado leste do rio Jordão, de frente para Jericó, em vista completa da Terra Prometida. Os moabitas estavam aterrorizados com a presença dessas pessoas porque eles haviam ouvido o que aconteceu com os amorreus. Seu rei, Balaque, contratou um mago chamado Balaão para amaldiçoar os israelitas. Três vezes Balaão tentou amaldiçoá-los, mas em cada oportunidade Deus transformava suas palavras em uma bênção (</w:t>
      </w:r>
      <w:hyperlink r:id="rId1122">
        <w:r>
          <w:rPr>
            <w:color w:val="0000EE"/>
            <w:u w:val="single"/>
          </w:rPr>
          <w:t>Nm 22–24</w:t>
        </w:r>
      </w:hyperlink>
      <w:r>
        <w:t>). Embora incapaz de amaldiçoar os israelitas, Balaão foi responsável por uma calamidade ainda maior. Ele aconselhou os moabitas a atrair os israelitas a se sacrificar aos seus deuses e a se prostrar diante deles (</w:t>
      </w:r>
      <w:hyperlink r:id="rId14770">
        <w:r>
          <w:rPr>
            <w:color w:val="0000EE"/>
            <w:u w:val="single"/>
          </w:rPr>
          <w:t>Nm 25.1–3</w:t>
        </w:r>
      </w:hyperlink>
      <w:r>
        <w:t xml:space="preserve">; </w:t>
      </w:r>
      <w:hyperlink r:id="rId12384">
        <w:r>
          <w:rPr>
            <w:color w:val="0000EE"/>
            <w:u w:val="single"/>
          </w:rPr>
          <w:t>31.16</w:t>
        </w:r>
      </w:hyperlink>
      <w:r>
        <w:t xml:space="preserve">; </w:t>
      </w:r>
      <w:hyperlink r:id="rId3435">
        <w:r>
          <w:rPr>
            <w:color w:val="0000EE"/>
            <w:u w:val="single"/>
          </w:rPr>
          <w:t>2Pe 2.15</w:t>
        </w:r>
      </w:hyperlink>
      <w:r>
        <w:t xml:space="preserve">; </w:t>
      </w:r>
      <w:hyperlink r:id="rId2998">
        <w:r>
          <w:rPr>
            <w:color w:val="0000EE"/>
            <w:u w:val="single"/>
          </w:rPr>
          <w:t>Ap 2.14</w:t>
        </w:r>
      </w:hyperlink>
      <w:r>
        <w:t>). Enquanto as pessoas estavam adorando a divindade moabita, Baal-Peor, a ira de Deus se acendeu contra eles, e ele enviou uma praga que matou 24.000 deles (</w:t>
      </w:r>
      <w:hyperlink r:id="rId2950">
        <w:r>
          <w:rPr>
            <w:color w:val="0000EE"/>
            <w:u w:val="single"/>
          </w:rPr>
          <w:t>Nm 25.9</w:t>
        </w:r>
      </w:hyperlink>
      <w:r>
        <w:t>). Foi o primeiro encontro de Israel com a sedução da idolatria licenciosa e uma visão ameaçadora do que aconteceria depois que eles se estabelecessem em Canaã. Sua atração contínua pela idolatria seria sua ruína final.</w:t>
      </w:r>
    </w:p>
    <w:p>
      <w:r/>
      <w:r>
        <w:t>Após a praga, Deus instruiu Moisés e Eleazar a fazer outro censo do povo, como foi feito quase 40 anos atrás. Uma geração inteira de israelitas havia morrido no deserto, mas eles haviam sido substituídos por um número quase igual, de modo que agora havia 601.730 homens de 20 anos ou mais que tinham capacidade de ir para a guerra (</w:t>
      </w:r>
      <w:hyperlink r:id="rId4699">
        <w:r>
          <w:rPr>
            <w:color w:val="0000EE"/>
            <w:u w:val="single"/>
          </w:rPr>
          <w:t>Nm 26.51</w:t>
        </w:r>
      </w:hyperlink>
      <w:r>
        <w:t>). Nenhum homem permaneceu daqueles que haviam sido contados no primeiro censo, exceto Calebe e Josué.</w:t>
      </w:r>
    </w:p>
    <w:p>
      <w:r/>
      <w:r>
        <w:t>O Senhor instruiu Moisés a impor as mãos sobre Josué e comissioná-lo como o novo líder aos olhos de Eleazar, o sacerdote, e toda a congregação (</w:t>
      </w:r>
      <w:hyperlink r:id="rId12071">
        <w:r>
          <w:rPr>
            <w:color w:val="0000EE"/>
            <w:u w:val="single"/>
          </w:rPr>
          <w:t>Nm 27.12–23</w:t>
        </w:r>
      </w:hyperlink>
      <w:r>
        <w:t xml:space="preserve">). Além disso, o Senhor deu instruções a Moisés sobre festas, ofertas e votos (caps. </w:t>
      </w:r>
      <w:hyperlink r:id="rId12790">
        <w:r>
          <w:rPr>
            <w:color w:val="0000EE"/>
            <w:u w:val="single"/>
          </w:rPr>
          <w:t>28–30</w:t>
        </w:r>
      </w:hyperlink>
      <w:r>
        <w:t>). Deus ordenou a Moisés, em seu último ato como líder, para vingar os israelitas sobre os midianitas. Nessa batalha, os exércitos de Israel ganharam uma grande vitória sobre os midianitas, matando seus reis, seus homens e também Balaão.</w:t>
      </w:r>
    </w:p>
    <w:p>
      <w:r/>
      <w:r>
        <w:t>O Senhor deu instruções a Moisés sobre as fronteiras que marcariam a Terra Prometida e nomeou os homens que dividiriam a terra entre as tribos (</w:t>
      </w:r>
      <w:hyperlink r:id="rId7360">
        <w:r>
          <w:rPr>
            <w:color w:val="0000EE"/>
            <w:u w:val="single"/>
          </w:rPr>
          <w:t>Nm 34</w:t>
        </w:r>
      </w:hyperlink>
      <w:r>
        <w:t xml:space="preserve">). Ele também ordenou que 48 cidades fossem dadas aos levitas, a tribo sacerdotal, como sua porção. Seis dessas foram designadas como cidades de refúgio onde os assassinos poderiam fugir para que não fossem mortos por aqueles que buscam vingança sem ter uma oportunidade de se apresentar diante da congregação para julgamento (cap. </w:t>
      </w:r>
      <w:hyperlink r:id="rId14771">
        <w:r>
          <w:rPr>
            <w:color w:val="0000EE"/>
            <w:u w:val="single"/>
          </w:rPr>
          <w:t>35</w:t>
        </w:r>
      </w:hyperlink>
      <w:r>
        <w:t>).</w:t>
      </w:r>
    </w:p>
    <w:p>
      <w:pPr>
        <w:pStyle w:val="Heading4"/>
      </w:pPr>
      <w:r>
        <w:t>Morte de Moisés</w:t>
      </w:r>
    </w:p>
    <w:p>
      <w:r/>
      <w:r>
        <w:t>O livro de Deuteronômio tem sido, muitas vezes, chamado de discurso de Moisés ao povo, pois nele Moisés não é meramente o principal orador, mas o único orador. Com a congregação de seu povo reunida diante dele, ele ensaiou tudo o que Deus havia feito por eles desde que deixaram o Sinai, e ele os lembrou de seu fracasso em entrar na Terra Prometida 38 anos atrás (</w:t>
      </w:r>
      <w:hyperlink r:id="rId10732">
        <w:r>
          <w:rPr>
            <w:color w:val="0000EE"/>
            <w:u w:val="single"/>
          </w:rPr>
          <w:t>Dt 2.14</w:t>
        </w:r>
      </w:hyperlink>
      <w:r>
        <w:t>). Ele lembrou seu apelo de que Deus o deixaria atravessar o Jordão e ver a terra que deveria ser a casa do povo, mas Deus respondeu que Moisés teria permissão apenas de ver a terra do topo de Pisga. Moisés exortou o povo, por conseguinte, a obedecer aos estatutos e ordenanças que haviam sido dados a eles para experimentar as bênçãos de Deus na terra.</w:t>
      </w:r>
    </w:p>
    <w:p>
      <w:r/>
      <w:r>
        <w:t>Quando o dia da morte de Moisés se aproximava, o Senhor ordenou Moisés e Josué a se apresentarem na tenda da congregação para que Josué fosse comissionado como o novo líder (</w:t>
      </w:r>
      <w:hyperlink r:id="rId14772">
        <w:r>
          <w:rPr>
            <w:color w:val="0000EE"/>
            <w:u w:val="single"/>
          </w:rPr>
          <w:t>Dt 31.14–23</w:t>
        </w:r>
      </w:hyperlink>
      <w:r>
        <w:t xml:space="preserve">). Antes de sua morte, Moisés pronunciou uma bênção sobre todos os israelitas (capítulo </w:t>
      </w:r>
      <w:hyperlink r:id="rId4199">
        <w:r>
          <w:rPr>
            <w:color w:val="0000EE"/>
            <w:u w:val="single"/>
          </w:rPr>
          <w:t>33</w:t>
        </w:r>
      </w:hyperlink>
      <w:r>
        <w:t>). Tendo concluído essas tarefas, Moisés subiu das planícies de Moabe para o Monte Nebo, e para o topo de Pisga. De lá, Deus lhe mostrou a terra prometida há muito tempo para Abraão, Isaque e Jacó — a terra que logo seria a casa das tribos israelitas errantes. Novamente, Deus lhe disse que ele não teria permissão para atravessar o Jordão. Moisés morreu lá e Deus o enterrou em algum lugar no vale na terra de Moabe em frente a Bete-Peor (</w:t>
      </w:r>
      <w:hyperlink r:id="rId3493">
        <w:r>
          <w:rPr>
            <w:color w:val="0000EE"/>
            <w:u w:val="single"/>
          </w:rPr>
          <w:t>34.6</w:t>
        </w:r>
      </w:hyperlink>
      <w:r>
        <w:t xml:space="preserve">). Moisés tinha 120 anos quando morreu, e os israelitas lamentaram sua morte por 30 dias. O melhor tributo a Moisés é encontrado nas palavras finais do livro de Deuteronômio: “Nunca houve outro profeta como Moisés, a quem o Senhor conhecia face a face” (v. </w:t>
      </w:r>
      <w:hyperlink r:id="rId14773">
        <w:r>
          <w:rPr>
            <w:color w:val="0000EE"/>
            <w:u w:val="single"/>
          </w:rPr>
          <w:t>10</w:t>
        </w:r>
      </w:hyperlink>
      <w:r>
        <w:t>).</w:t>
      </w:r>
    </w:p>
    <w:p>
      <w:pPr>
        <w:pStyle w:val="Heading3"/>
      </w:pPr>
      <w:r>
        <w:t>Moisés no Novo Testamento</w:t>
      </w:r>
    </w:p>
    <w:p>
      <w:r/>
      <w:r>
        <w:t>Todos os judeus e cristãos nos tempos apostólicos consideravam Moisés o autor do Pentateuco. Tais expressões como “a lei de Moisés” (</w:t>
      </w:r>
      <w:hyperlink r:id="rId12056">
        <w:r>
          <w:rPr>
            <w:color w:val="0000EE"/>
            <w:u w:val="single"/>
          </w:rPr>
          <w:t>Lc 2.22</w:t>
        </w:r>
      </w:hyperlink>
      <w:r>
        <w:t>), “Moisés ordenou” (</w:t>
      </w:r>
      <w:hyperlink r:id="rId7414">
        <w:r>
          <w:rPr>
            <w:color w:val="0000EE"/>
            <w:u w:val="single"/>
          </w:rPr>
          <w:t>Mt 19.7</w:t>
        </w:r>
      </w:hyperlink>
      <w:r>
        <w:t>), “Moisés disse” (</w:t>
      </w:r>
      <w:hyperlink r:id="rId13085">
        <w:r>
          <w:rPr>
            <w:color w:val="0000EE"/>
            <w:u w:val="single"/>
          </w:rPr>
          <w:t>Mc 7.10</w:t>
        </w:r>
      </w:hyperlink>
      <w:r>
        <w:t>) “e Moisés escreveu” (</w:t>
      </w:r>
      <w:hyperlink r:id="rId10609">
        <w:r>
          <w:rPr>
            <w:color w:val="0000EE"/>
            <w:u w:val="single"/>
          </w:rPr>
          <w:t>12.19</w:t>
        </w:r>
      </w:hyperlink>
      <w:r>
        <w:t>) mostra que seu nome era sinônimo dos livros do AT atribuídos a ele. Ele é mencionado no NT mais do que qualquer outra figura do AT, um total de 79 vezes. Seu papel como legislador é enfatizado mais do que qualquer outro aspecto de sua vida (</w:t>
      </w:r>
      <w:hyperlink r:id="rId4142">
        <w:r>
          <w:rPr>
            <w:color w:val="0000EE"/>
            <w:u w:val="single"/>
          </w:rPr>
          <w:t>Mt 8.4</w:t>
        </w:r>
      </w:hyperlink>
      <w:r>
        <w:t xml:space="preserve">; </w:t>
      </w:r>
      <w:hyperlink r:id="rId13085">
        <w:r>
          <w:rPr>
            <w:color w:val="0000EE"/>
            <w:u w:val="single"/>
          </w:rPr>
          <w:t>Mc 7.10</w:t>
        </w:r>
      </w:hyperlink>
      <w:r>
        <w:t xml:space="preserve">; </w:t>
      </w:r>
      <w:hyperlink r:id="rId12757">
        <w:r>
          <w:rPr>
            <w:color w:val="0000EE"/>
            <w:u w:val="single"/>
          </w:rPr>
          <w:t>Jo 1.17</w:t>
        </w:r>
      </w:hyperlink>
      <w:r>
        <w:t xml:space="preserve">; </w:t>
      </w:r>
      <w:hyperlink r:id="rId4411">
        <w:r>
          <w:rPr>
            <w:color w:val="0000EE"/>
            <w:u w:val="single"/>
          </w:rPr>
          <w:t>Atos 15.1</w:t>
        </w:r>
      </w:hyperlink>
      <w:r>
        <w:t>). Ele aparece na transfiguração de Jesus como o representante da lei do AT, juntamente com Elias como o representante dos profetas do AT (</w:t>
      </w:r>
      <w:hyperlink r:id="rId14774">
        <w:r>
          <w:rPr>
            <w:color w:val="0000EE"/>
            <w:u w:val="single"/>
          </w:rPr>
          <w:t>Mt 17.1–3</w:t>
        </w:r>
      </w:hyperlink>
      <w:r>
        <w:t>).</w:t>
      </w:r>
    </w:p>
    <w:p>
      <w:r/>
      <w:r>
        <w:t>O papel de Moisés como profeta também é mencionado no NT. Como profeta, ele falou da vinda do Messias e seus sofrimentos (</w:t>
      </w:r>
      <w:hyperlink r:id="rId11834">
        <w:r>
          <w:rPr>
            <w:color w:val="0000EE"/>
            <w:u w:val="single"/>
          </w:rPr>
          <w:t>Lc 24.25–27</w:t>
        </w:r>
      </w:hyperlink>
      <w:r>
        <w:t xml:space="preserve">; </w:t>
      </w:r>
      <w:hyperlink r:id="rId14775">
        <w:r>
          <w:rPr>
            <w:color w:val="0000EE"/>
            <w:u w:val="single"/>
          </w:rPr>
          <w:t>Atos 3.22</w:t>
        </w:r>
      </w:hyperlink>
      <w:r>
        <w:t>). O NT também se baseia na vida e experiências de Moisés para mostrar padrões de vida sob a nova aliança. A história da natividade de Jesus é paralela à história mosaica do libertador infantil sendo resgatado dos planos malignos de um déspota terreno (</w:t>
      </w:r>
      <w:hyperlink r:id="rId14776">
        <w:r>
          <w:rPr>
            <w:color w:val="0000EE"/>
            <w:u w:val="single"/>
          </w:rPr>
          <w:t>Mt 2.13–18</w:t>
        </w:r>
      </w:hyperlink>
      <w:r>
        <w:t>). A proclamação de Jesus de uma nova lei em seu Sermão do Monte é paralela à entrega da lei no Sinai (</w:t>
      </w:r>
      <w:hyperlink r:id="rId6404">
        <w:r>
          <w:rPr>
            <w:color w:val="0000EE"/>
            <w:u w:val="single"/>
          </w:rPr>
          <w:t>Mt 5–7</w:t>
        </w:r>
      </w:hyperlink>
      <w:r>
        <w:t>) e apresenta Jesus como o intérprete competente acerca da vontade de Deus. O contraste entre a antiga lei e o novo relacionamento com Deus é especialmente destacado no livro de Gálatas. A comparação de Moisés com Cristo é uma ênfase importante do livro de Hebreus (</w:t>
      </w:r>
      <w:hyperlink r:id="rId14777">
        <w:r>
          <w:rPr>
            <w:color w:val="0000EE"/>
            <w:u w:val="single"/>
          </w:rPr>
          <w:t>Hb 3.5–6</w:t>
        </w:r>
      </w:hyperlink>
      <w:r>
        <w:t xml:space="preserve">; </w:t>
      </w:r>
      <w:hyperlink r:id="rId14778">
        <w:r>
          <w:rPr>
            <w:color w:val="0000EE"/>
            <w:u w:val="single"/>
          </w:rPr>
          <w:t>9.11–22</w:t>
        </w:r>
      </w:hyperlink>
      <w:r>
        <w:t>). João contrastou a lei que foi dada através de Moisés com a graça e a verdade que vieram através de Jesus Cristo (</w:t>
      </w:r>
      <w:hyperlink r:id="rId12757">
        <w:r>
          <w:rPr>
            <w:color w:val="0000EE"/>
            <w:u w:val="single"/>
          </w:rPr>
          <w:t>Jo 1.17</w:t>
        </w:r>
      </w:hyperlink>
      <w:r>
        <w:t>). Ele também contrastou o maná no deserto a Jesus como “o pão da vida” (</w:t>
      </w:r>
      <w:hyperlink r:id="rId14779">
        <w:r>
          <w:rPr>
            <w:color w:val="0000EE"/>
            <w:u w:val="single"/>
          </w:rPr>
          <w:t>6.30–35</w:t>
        </w:r>
      </w:hyperlink>
      <w:r>
        <w:t>).</w:t>
      </w:r>
    </w:p>
    <w:p>
      <w:r/>
      <w:r>
        <w:t>Outras referências a Moisés ou a eventos associados a ele incluem seu nascimento (</w:t>
      </w:r>
      <w:hyperlink r:id="rId14780">
        <w:r>
          <w:rPr>
            <w:color w:val="0000EE"/>
            <w:u w:val="single"/>
          </w:rPr>
          <w:t>Atos 7.20</w:t>
        </w:r>
      </w:hyperlink>
      <w:r>
        <w:t xml:space="preserve">; </w:t>
      </w:r>
      <w:hyperlink r:id="rId14565">
        <w:r>
          <w:rPr>
            <w:color w:val="0000EE"/>
            <w:u w:val="single"/>
          </w:rPr>
          <w:t>Hb 11.23</w:t>
        </w:r>
      </w:hyperlink>
      <w:r>
        <w:t>), a sarça ardente (</w:t>
      </w:r>
      <w:hyperlink r:id="rId13236">
        <w:r>
          <w:rPr>
            <w:color w:val="0000EE"/>
            <w:u w:val="single"/>
          </w:rPr>
          <w:t>Lc 20.37</w:t>
        </w:r>
      </w:hyperlink>
      <w:r>
        <w:t>), os magos do Egito (</w:t>
      </w:r>
      <w:hyperlink r:id="rId11534">
        <w:r>
          <w:rPr>
            <w:color w:val="0000EE"/>
            <w:u w:val="single"/>
          </w:rPr>
          <w:t>2Tm 3.8</w:t>
        </w:r>
      </w:hyperlink>
      <w:r>
        <w:t>), a Páscoa (</w:t>
      </w:r>
      <w:hyperlink r:id="rId14781">
        <w:r>
          <w:rPr>
            <w:color w:val="0000EE"/>
            <w:u w:val="single"/>
          </w:rPr>
          <w:t>Hb 11.28</w:t>
        </w:r>
      </w:hyperlink>
      <w:r>
        <w:t>), o êxodo (</w:t>
      </w:r>
      <w:hyperlink r:id="rId14782">
        <w:r>
          <w:rPr>
            <w:color w:val="0000EE"/>
            <w:u w:val="single"/>
          </w:rPr>
          <w:t>3.16</w:t>
        </w:r>
      </w:hyperlink>
      <w:r>
        <w:t>), a travessia do mar (</w:t>
      </w:r>
      <w:hyperlink r:id="rId14783">
        <w:r>
          <w:rPr>
            <w:color w:val="0000EE"/>
            <w:u w:val="single"/>
          </w:rPr>
          <w:t>1Co 10.2</w:t>
        </w:r>
      </w:hyperlink>
      <w:r>
        <w:t>), o sacrifício da aliança no Sinai (</w:t>
      </w:r>
      <w:hyperlink r:id="rId856">
        <w:r>
          <w:rPr>
            <w:color w:val="0000EE"/>
            <w:u w:val="single"/>
          </w:rPr>
          <w:t>Mt 26.28</w:t>
        </w:r>
      </w:hyperlink>
      <w:r>
        <w:t>), o maná (</w:t>
      </w:r>
      <w:hyperlink r:id="rId14784">
        <w:r>
          <w:rPr>
            <w:color w:val="0000EE"/>
            <w:u w:val="single"/>
          </w:rPr>
          <w:t>1Co 10.3</w:t>
        </w:r>
      </w:hyperlink>
      <w:r>
        <w:t>), a glória no rosto de Moisés (</w:t>
      </w:r>
      <w:hyperlink r:id="rId10023">
        <w:r>
          <w:rPr>
            <w:color w:val="0000EE"/>
            <w:u w:val="single"/>
          </w:rPr>
          <w:t>2Co 3.7–18</w:t>
        </w:r>
      </w:hyperlink>
      <w:r>
        <w:t>), a água da rocha (</w:t>
      </w:r>
      <w:hyperlink r:id="rId14785">
        <w:r>
          <w:rPr>
            <w:color w:val="0000EE"/>
            <w:u w:val="single"/>
          </w:rPr>
          <w:t>1Co 10.4</w:t>
        </w:r>
      </w:hyperlink>
      <w:r>
        <w:t>), a serpente de bronze (</w:t>
      </w:r>
      <w:hyperlink r:id="rId5090">
        <w:r>
          <w:rPr>
            <w:color w:val="0000EE"/>
            <w:u w:val="single"/>
          </w:rPr>
          <w:t>Jo 3.14</w:t>
        </w:r>
      </w:hyperlink>
      <w:r>
        <w:t>) e o cântico de Moisés (</w:t>
      </w:r>
      <w:hyperlink r:id="rId4207">
        <w:r>
          <w:rPr>
            <w:color w:val="0000EE"/>
            <w:u w:val="single"/>
          </w:rPr>
          <w:t>Ap 15.3</w:t>
        </w:r>
      </w:hyperlink>
      <w:r>
        <w:t>).</w:t>
      </w:r>
    </w:p>
    <w:p>
      <w:r/>
      <w:r>
        <w:rPr>
          <w:i/>
        </w:rPr>
        <w:t>Veja também</w:t>
      </w:r>
      <w:r>
        <w:t xml:space="preserve"> </w:t>
      </w:r>
      <w:r>
        <w:t>Egito, Egípcio</w:t>
      </w:r>
      <w:r>
        <w:t xml:space="preserve">; </w:t>
      </w:r>
      <w:r>
        <w:t>Êxodo, O</w:t>
      </w:r>
      <w:r>
        <w:t xml:space="preserve">; </w:t>
      </w:r>
      <w:r>
        <w:t>Israel, História de</w:t>
      </w:r>
      <w:r>
        <w:t xml:space="preserve">; </w:t>
      </w:r>
      <w:r>
        <w:t>Pragas sobre o Egito</w:t>
      </w:r>
      <w:r>
        <w:t xml:space="preserve">; </w:t>
      </w:r>
      <w:r>
        <w:t>Sacerdotes e Levitas</w:t>
      </w:r>
      <w:r>
        <w:t xml:space="preserve">; </w:t>
      </w:r>
      <w:r>
        <w:t>Tabernáculo</w:t>
      </w:r>
      <w:r>
        <w:t xml:space="preserve">; </w:t>
      </w:r>
      <w:r>
        <w:t>Templo</w:t>
      </w:r>
      <w:r>
        <w:t xml:space="preserve">; </w:t>
      </w:r>
      <w:r>
        <w:t>Mandamentos, Os Dez</w:t>
      </w:r>
      <w:r>
        <w:t xml:space="preserve">; </w:t>
      </w:r>
      <w:r>
        <w:t>Peregrinações no Deserto</w:t>
      </w:r>
      <w:r>
        <w:t>.</w:t>
      </w:r>
      <w:r/>
      <w:r/>
    </w:p>
    <w:p>
      <w:r/>
    </w:p>
    <w:p>
      <w:pPr>
        <w:pStyle w:val="Heading2"/>
      </w:pPr>
      <w:r>
        <w:t>Moleque</w:t>
      </w:r>
      <w:r/>
    </w:p>
    <w:p>
      <w:r/>
      <w:r>
        <w:t>Moleque era um deus adorado pelo povo amonita. As pessoas que adoravam Moleque sacrificavam humanos para ele (</w:t>
      </w:r>
      <w:hyperlink r:id="rId14463">
        <w:r>
          <w:rPr>
            <w:color w:val="0000EE"/>
            <w:u w:val="single"/>
          </w:rPr>
          <w:t>Lv 18.21</w:t>
        </w:r>
      </w:hyperlink>
      <w:r>
        <w:t xml:space="preserve">; </w:t>
      </w:r>
      <w:hyperlink r:id="rId9793">
        <w:r>
          <w:rPr>
            <w:color w:val="0000EE"/>
            <w:u w:val="single"/>
          </w:rPr>
          <w:t>Jr 32.35</w:t>
        </w:r>
      </w:hyperlink>
      <w:r>
        <w:t>). Moleque também é conhecido como Moloque ou Milcom.</w:t>
      </w:r>
    </w:p>
    <w:p>
      <w:r/>
      <w:r>
        <w:rPr>
          <w:i/>
        </w:rPr>
        <w:t>Veja</w:t>
      </w:r>
      <w:r>
        <w:t xml:space="preserve"> </w:t>
      </w:r>
      <w:r>
        <w:t>Milcom</w:t>
      </w:r>
      <w:r>
        <w:t>.</w:t>
      </w:r>
      <w:r/>
      <w:r/>
    </w:p>
    <w:p>
      <w:r/>
    </w:p>
    <w:p>
      <w:pPr>
        <w:pStyle w:val="Heading2"/>
      </w:pPr>
      <w:r>
        <w:t>Moloque</w:t>
      </w:r>
      <w:r/>
    </w:p>
    <w:p>
      <w:r/>
      <w:r>
        <w:t>Outra grafia de Moleque, um deus amonita (</w:t>
      </w:r>
      <w:hyperlink r:id="rId6906">
        <w:r>
          <w:rPr>
            <w:color w:val="0000EE"/>
            <w:u w:val="single"/>
          </w:rPr>
          <w:t>At 7.43</w:t>
        </w:r>
      </w:hyperlink>
      <w:r>
        <w:t>).</w:t>
      </w:r>
    </w:p>
    <w:p>
      <w:r/>
      <w:r>
        <w:rPr>
          <w:i/>
        </w:rPr>
        <w:t>Veja</w:t>
      </w:r>
      <w:r>
        <w:t xml:space="preserve"> </w:t>
      </w:r>
      <w:r>
        <w:t>Milcom</w:t>
      </w:r>
      <w:r>
        <w:t>.</w:t>
      </w:r>
      <w:r/>
      <w:r/>
    </w:p>
    <w:p>
      <w:r/>
    </w:p>
    <w:p>
      <w:pPr>
        <w:pStyle w:val="Heading2"/>
      </w:pPr>
      <w:r>
        <w:t>Monoteísmo</w:t>
      </w:r>
      <w:r/>
    </w:p>
    <w:p>
      <w:r/>
      <w:r>
        <w:t>A crença de que existe apenas um Deus. É diferente de:</w:t>
      </w:r>
    </w:p>
    <w:p>
      <w:pPr>
        <w:pStyle w:val="ListBullet"/>
        <w:spacing w:line="240" w:lineRule="auto"/>
        <w:ind w:left="720"/>
      </w:pPr>
      <w:r/>
      <w:r>
        <w:t>Politeísmo (a crença em mais de um deus);</w:t>
      </w:r>
    </w:p>
    <w:p>
      <w:pPr>
        <w:pStyle w:val="ListBullet"/>
        <w:spacing w:line="240" w:lineRule="auto"/>
        <w:ind w:left="720"/>
      </w:pPr>
      <w:r/>
      <w:r>
        <w:t>Henoteísmo (a adoração de um deus entre muitos deuses);</w:t>
      </w:r>
    </w:p>
    <w:p>
      <w:pPr>
        <w:pStyle w:val="ListBullet"/>
        <w:spacing w:line="240" w:lineRule="auto"/>
        <w:ind w:left="720"/>
      </w:pPr>
      <w:r/>
      <w:r>
        <w:t>Ateísmo (a negação de qualquer deus).</w:t>
      </w:r>
    </w:p>
    <w:p>
      <w:r/>
      <w:r>
        <w:t>As principais religiões monoteístas são o Judaísmo, o Cristianismo e o Islã.</w:t>
      </w:r>
    </w:p>
    <w:p>
      <w:pPr>
        <w:pStyle w:val="Heading3"/>
      </w:pPr>
      <w:r>
        <w:t>O que o monoteísmo diz sobre Deus?</w:t>
      </w:r>
    </w:p>
    <w:p>
      <w:r/>
      <w:r>
        <w:t>Se há apenas um Deus, esse Deus deve ser pessoal, soberano, infinito, eterno, perfeito e Todo-poderoso. As Escrituras descrevem Deus dessa maneira. A revelação bíblica é a única maneira de sabermos claramente quem Deus é e como ele é:</w:t>
      </w:r>
    </w:p>
    <w:p>
      <w:pPr>
        <w:pStyle w:val="ListNumber"/>
        <w:spacing w:line="240" w:lineRule="auto"/>
        <w:ind w:left="720"/>
      </w:pPr>
      <w:r/>
      <w:r>
        <w:t xml:space="preserve">Deus é </w:t>
      </w:r>
      <w:r>
        <w:rPr>
          <w:b/>
        </w:rPr>
        <w:t>distinto</w:t>
      </w:r>
      <w:r>
        <w:t xml:space="preserve"> do mundo (ao contrário do panteísmo, a crença de que deus é o universo). Ele é o único Criador e sustentador do universo;</w:t>
      </w:r>
    </w:p>
    <w:p>
      <w:pPr>
        <w:pStyle w:val="ListNumber"/>
        <w:spacing w:line="240" w:lineRule="auto"/>
        <w:ind w:left="720"/>
      </w:pPr>
      <w:r/>
      <w:r>
        <w:t>Ele está além de sua criação (</w:t>
      </w:r>
      <w:r>
        <w:rPr>
          <w:b/>
        </w:rPr>
        <w:t>transcendente</w:t>
      </w:r>
      <w:r>
        <w:t>);</w:t>
      </w:r>
    </w:p>
    <w:p>
      <w:pPr>
        <w:pStyle w:val="ListNumber"/>
        <w:spacing w:line="240" w:lineRule="auto"/>
        <w:ind w:left="720"/>
      </w:pPr>
      <w:r/>
      <w:r>
        <w:t>Ele entra no tempo e nos assuntos humanos (</w:t>
      </w:r>
      <w:r>
        <w:rPr>
          <w:b/>
        </w:rPr>
        <w:t>iminente</w:t>
      </w:r>
      <w:r>
        <w:t>).</w:t>
      </w:r>
    </w:p>
    <w:p>
      <w:r/>
      <w:r>
        <w:t>O monoteísmo é conhecido através de:</w:t>
      </w:r>
    </w:p>
    <w:p>
      <w:pPr>
        <w:pStyle w:val="ListBullet"/>
        <w:spacing w:line="240" w:lineRule="auto"/>
        <w:ind w:left="720"/>
      </w:pPr>
      <w:r/>
      <w:r>
        <w:t>Eventos históricos: “O Deus que age” afeta a história para salvar a raça humana;</w:t>
      </w:r>
    </w:p>
    <w:p>
      <w:pPr>
        <w:pStyle w:val="ListBullet"/>
        <w:spacing w:line="240" w:lineRule="auto"/>
        <w:ind w:left="720"/>
      </w:pPr>
      <w:r/>
      <w:r>
        <w:t>Comunicação verbal: “O Deus que fala” comunica-se através dos profetas para ensinar e ajudar seus seguidores.</w:t>
      </w:r>
    </w:p>
    <w:p>
      <w:r/>
      <w:r>
        <w:t>O monoteísmo permite uma relação direta entre Deus e os humanos. O Novo Testamento mostra que isso aconteceu por causa de Jesus Cristo.</w:t>
      </w:r>
    </w:p>
    <w:p>
      <w:pPr>
        <w:pStyle w:val="Heading3"/>
      </w:pPr>
      <w:r>
        <w:t>O que a Bíblia diz sobre o monoteísmo?</w:t>
      </w:r>
    </w:p>
    <w:p>
      <w:r/>
      <w:r>
        <w:t xml:space="preserve">A Bíblia ensina que os humanos eram originalmente monoteístas. Isso é confirmado através de </w:t>
      </w:r>
      <w:hyperlink r:id="rId2165">
        <w:r>
          <w:rPr>
            <w:color w:val="0000EE"/>
            <w:u w:val="single"/>
          </w:rPr>
          <w:t>Gênesis 1–3</w:t>
        </w:r>
      </w:hyperlink>
      <w:r>
        <w:t>. O politeísmo foi um resultado do pecado. O politeísmo existia na época de Abraão. Deus chamou Abraão para deixar Ur dos Caldeus e viajar para Canaã, a terra que Deus havia prometido a ele e a seus filhos. Isso resultou em uma rejeição do politeísmo de sua família (</w:t>
      </w:r>
      <w:hyperlink r:id="rId14786">
        <w:r>
          <w:rPr>
            <w:color w:val="0000EE"/>
            <w:u w:val="single"/>
          </w:rPr>
          <w:t>Gênesis 11.31–12.9</w:t>
        </w:r>
      </w:hyperlink>
      <w:r>
        <w:t>).</w:t>
      </w:r>
    </w:p>
    <w:p>
      <w:r/>
      <w:r>
        <w:t>Quando Abraão chegou em Canaã, as pessoas na terra eram politeístas. Cada cultura na Palestina tinha muitos deuses (</w:t>
      </w:r>
      <w:hyperlink r:id="rId14787">
        <w:r>
          <w:rPr>
            <w:color w:val="0000EE"/>
            <w:u w:val="single"/>
          </w:rPr>
          <w:t>Gênesis 31.3</w:t>
        </w:r>
      </w:hyperlink>
      <w:r>
        <w:t>–</w:t>
      </w:r>
      <w:hyperlink r:id="rId14787">
        <w:r>
          <w:rPr>
            <w:color w:val="0000EE"/>
            <w:u w:val="single"/>
          </w:rPr>
          <w:t>35</w:t>
        </w:r>
      </w:hyperlink>
      <w:r>
        <w:t xml:space="preserve">; </w:t>
      </w:r>
      <w:hyperlink r:id="rId14788">
        <w:r>
          <w:rPr>
            <w:color w:val="0000EE"/>
            <w:u w:val="single"/>
          </w:rPr>
          <w:t>Juízes 11.24</w:t>
        </w:r>
      </w:hyperlink>
      <w:r>
        <w:t xml:space="preserve">; </w:t>
      </w:r>
      <w:hyperlink r:id="rId14789">
        <w:r>
          <w:rPr>
            <w:color w:val="0000EE"/>
            <w:u w:val="single"/>
          </w:rPr>
          <w:t>1 Samuel 5.2</w:t>
        </w:r>
      </w:hyperlink>
      <w:r>
        <w:t>–</w:t>
      </w:r>
      <w:hyperlink r:id="rId14789">
        <w:r>
          <w:rPr>
            <w:color w:val="0000EE"/>
            <w:u w:val="single"/>
          </w:rPr>
          <w:t>5</w:t>
        </w:r>
      </w:hyperlink>
      <w:r>
        <w:t xml:space="preserve">; </w:t>
      </w:r>
      <w:hyperlink r:id="rId11605">
        <w:r>
          <w:rPr>
            <w:color w:val="0000EE"/>
            <w:u w:val="single"/>
          </w:rPr>
          <w:t>1 Reis 11.33</w:t>
        </w:r>
      </w:hyperlink>
      <w:r>
        <w:t>). Os descendentes de Abraão frequentemente se desviavam de Deus e adoravam os deuses dos cananeus. Eles também misturavam práticas pagãs com sua adoração a Deus (</w:t>
      </w:r>
      <w:hyperlink r:id="rId14790">
        <w:r>
          <w:rPr>
            <w:color w:val="0000EE"/>
            <w:u w:val="single"/>
          </w:rPr>
          <w:t>Gênesis 35.2</w:t>
        </w:r>
      </w:hyperlink>
      <w:r>
        <w:t>–</w:t>
      </w:r>
      <w:hyperlink r:id="rId14790">
        <w:r>
          <w:rPr>
            <w:color w:val="0000EE"/>
            <w:u w:val="single"/>
          </w:rPr>
          <w:t>4</w:t>
        </w:r>
      </w:hyperlink>
      <w:r>
        <w:t xml:space="preserve">; compare </w:t>
      </w:r>
      <w:hyperlink r:id="rId10829">
        <w:r>
          <w:rPr>
            <w:color w:val="0000EE"/>
            <w:u w:val="single"/>
          </w:rPr>
          <w:t>Josué 24.2</w:t>
        </w:r>
      </w:hyperlink>
      <w:r>
        <w:t xml:space="preserve">; </w:t>
      </w:r>
      <w:hyperlink r:id="rId2244">
        <w:r>
          <w:rPr>
            <w:color w:val="0000EE"/>
            <w:u w:val="single"/>
          </w:rPr>
          <w:t>1 Reis 16.30</w:t>
        </w:r>
      </w:hyperlink>
      <w:r>
        <w:t>–</w:t>
      </w:r>
      <w:hyperlink r:id="rId2244">
        <w:r>
          <w:rPr>
            <w:color w:val="0000EE"/>
            <w:u w:val="single"/>
          </w:rPr>
          <w:t>33</w:t>
        </w:r>
      </w:hyperlink>
      <w:r>
        <w:t>).</w:t>
      </w:r>
    </w:p>
    <w:p>
      <w:r/>
      <w:r>
        <w:t>O papel dos profetas era chamar os israelitas de volta ao monoteísmo, adorando “o Deus de Abraão, o Deus de Isaque, e o Deus de Jacó” (</w:t>
      </w:r>
      <w:hyperlink r:id="rId14791">
        <w:r>
          <w:rPr>
            <w:color w:val="0000EE"/>
            <w:u w:val="single"/>
          </w:rPr>
          <w:t>Êxodo 3.6,15</w:t>
        </w:r>
      </w:hyperlink>
      <w:r>
        <w:t>–</w:t>
      </w:r>
      <w:hyperlink r:id="rId14791">
        <w:r>
          <w:rPr>
            <w:color w:val="0000EE"/>
            <w:u w:val="single"/>
          </w:rPr>
          <w:t>16</w:t>
        </w:r>
      </w:hyperlink>
      <w:r>
        <w:t xml:space="preserve">; compare </w:t>
      </w:r>
      <w:hyperlink r:id="rId7897">
        <w:r>
          <w:rPr>
            <w:color w:val="0000EE"/>
            <w:u w:val="single"/>
          </w:rPr>
          <w:t>1 Reis 18.17</w:t>
        </w:r>
      </w:hyperlink>
      <w:r>
        <w:t>–</w:t>
      </w:r>
      <w:hyperlink r:id="rId7897">
        <w:r>
          <w:rPr>
            <w:color w:val="0000EE"/>
            <w:u w:val="single"/>
          </w:rPr>
          <w:t>18</w:t>
        </w:r>
      </w:hyperlink>
      <w:r>
        <w:t>). Os israelitas precisavam ser lembrados de seu monoteísmo por causa das crenças politeístas de seus vizinhos. Até mesmo Davi precisava dessas lembranças (</w:t>
      </w:r>
      <w:hyperlink r:id="rId14792">
        <w:r>
          <w:rPr>
            <w:color w:val="0000EE"/>
            <w:u w:val="single"/>
          </w:rPr>
          <w:t>1 Samuel 26.19</w:t>
        </w:r>
      </w:hyperlink>
      <w:r>
        <w:t>), assim como Salomão (</w:t>
      </w:r>
      <w:hyperlink r:id="rId14793">
        <w:r>
          <w:rPr>
            <w:color w:val="0000EE"/>
            <w:u w:val="single"/>
          </w:rPr>
          <w:t>1 Reis 11.1</w:t>
        </w:r>
      </w:hyperlink>
      <w:r>
        <w:t>–</w:t>
      </w:r>
      <w:hyperlink r:id="rId14793">
        <w:r>
          <w:rPr>
            <w:color w:val="0000EE"/>
            <w:u w:val="single"/>
          </w:rPr>
          <w:t>7</w:t>
        </w:r>
      </w:hyperlink>
      <w:r>
        <w:t>) e reis posteriores (</w:t>
      </w:r>
      <w:hyperlink r:id="rId14794">
        <w:r>
          <w:rPr>
            <w:color w:val="0000EE"/>
            <w:u w:val="single"/>
          </w:rPr>
          <w:t>12.28–32</w:t>
        </w:r>
      </w:hyperlink>
      <w:r>
        <w:t xml:space="preserve">; </w:t>
      </w:r>
      <w:hyperlink r:id="rId7107">
        <w:r>
          <w:rPr>
            <w:color w:val="0000EE"/>
            <w:u w:val="single"/>
          </w:rPr>
          <w:t>2 Reis 10.31</w:t>
        </w:r>
      </w:hyperlink>
      <w:r>
        <w:t xml:space="preserve">; </w:t>
      </w:r>
      <w:hyperlink r:id="rId6945">
        <w:r>
          <w:rPr>
            <w:color w:val="0000EE"/>
            <w:u w:val="single"/>
          </w:rPr>
          <w:t>22.17</w:t>
        </w:r>
      </w:hyperlink>
      <w:r>
        <w:t>).</w:t>
      </w:r>
    </w:p>
    <w:p>
      <w:r/>
      <w:r>
        <w:t>Os primeiros profetas não argumentaram a favor do monoteísmo. Em vez disso, eles rejeitaram os deuses pagãos (</w:t>
      </w:r>
      <w:hyperlink r:id="rId14795">
        <w:r>
          <w:rPr>
            <w:color w:val="0000EE"/>
            <w:u w:val="single"/>
          </w:rPr>
          <w:t>1 Reis 18.24</w:t>
        </w:r>
      </w:hyperlink>
      <w:r>
        <w:t>). Os profetas do oitavo século a.C. afirmaram a importância do monoteísmo em resposta ao persistente politeísmo. O exílio curou os israelitas de sua tentação ao politeísmo. Seus inimigos destruíram seus ídolos e mostraram que eram impotentes (</w:t>
      </w:r>
      <w:hyperlink r:id="rId724">
        <w:r>
          <w:rPr>
            <w:color w:val="0000EE"/>
            <w:u w:val="single"/>
          </w:rPr>
          <w:t>Salmo 115</w:t>
        </w:r>
      </w:hyperlink>
      <w:r>
        <w:t xml:space="preserve">; </w:t>
      </w:r>
      <w:hyperlink r:id="rId11329">
        <w:r>
          <w:rPr>
            <w:color w:val="0000EE"/>
            <w:u w:val="single"/>
          </w:rPr>
          <w:t>Isaías 46</w:t>
        </w:r>
      </w:hyperlink>
      <w:r>
        <w:t>). Então, Israel aprendeu que somente Deus poderia ajudá-los quando precisassem dele. Ele é o verdadeiro e vivo Deus que pode salvar seu povo quando eles se arrependem e obedecem a ele.</w:t>
      </w:r>
    </w:p>
    <w:p>
      <w:r/>
      <w:r>
        <w:rPr>
          <w:i/>
        </w:rPr>
        <w:t>Veja também</w:t>
      </w:r>
      <w:r>
        <w:t xml:space="preserve"> </w:t>
      </w:r>
      <w:r>
        <w:t>Deus, Ser e atributos de</w:t>
      </w:r>
      <w:r>
        <w:t>.</w:t>
      </w:r>
      <w:r/>
      <w:r/>
    </w:p>
    <w:p>
      <w:r/>
    </w:p>
    <w:p>
      <w:pPr>
        <w:pStyle w:val="Heading2"/>
      </w:pPr>
      <w:r>
        <w:t>Montanha dos amorreus</w:t>
      </w:r>
      <w:r/>
    </w:p>
    <w:p>
      <w:r/>
      <w:r>
        <w:t>A região montanhosa central entre as planícies de Filístia, Sarom e Fenícia a oeste e o vale do Jordão a leste. Enquanto algumas versões em português usam "montanha" (ARC), a maioria das traduções modernas usa "região montanhosa". A frase não se refere a uma única montanha, mas identifica uma cadeia que se estende de norte a sul através de Judá e Efraim (</w:t>
      </w:r>
      <w:hyperlink r:id="rId14796">
        <w:r>
          <w:rPr>
            <w:color w:val="0000EE"/>
            <w:u w:val="single"/>
          </w:rPr>
          <w:t>Dt 1.7,19–20</w:t>
        </w:r>
      </w:hyperlink>
      <w:r>
        <w:t>).</w:t>
      </w:r>
      <w:r/>
      <w:r/>
    </w:p>
    <w:p>
      <w:r/>
    </w:p>
    <w:p>
      <w:pPr>
        <w:pStyle w:val="Heading2"/>
      </w:pPr>
      <w:r>
        <w:t>Monte Ebal</w:t>
      </w:r>
      <w:r/>
    </w:p>
    <w:p>
      <w:r/>
      <w:r>
        <w:t>O Monte Ebal é uma montanha na região central montanhosa de Israel. Possui 914 metros de altura.</w:t>
      </w:r>
    </w:p>
    <w:p>
      <w:r/>
      <w:r>
        <w:t>Na Bíblia, o Monte Ebal é frequentemente mencionado junto com o Monte Gerizim (</w:t>
      </w:r>
      <w:hyperlink r:id="rId9904">
        <w:r>
          <w:rPr>
            <w:color w:val="0000EE"/>
            <w:u w:val="single"/>
          </w:rPr>
          <w:t>Dt 11.29</w:t>
        </w:r>
      </w:hyperlink>
      <w:r>
        <w:t xml:space="preserve">; </w:t>
      </w:r>
      <w:hyperlink r:id="rId6468">
        <w:r>
          <w:rPr>
            <w:color w:val="0000EE"/>
            <w:u w:val="single"/>
          </w:rPr>
          <w:t>27.13</w:t>
        </w:r>
      </w:hyperlink>
      <w:r>
        <w:t xml:space="preserve">; </w:t>
      </w:r>
      <w:hyperlink r:id="rId2451">
        <w:r>
          <w:rPr>
            <w:color w:val="0000EE"/>
            <w:u w:val="single"/>
          </w:rPr>
          <w:t>Js 8.33</w:t>
        </w:r>
      </w:hyperlink>
      <w:r>
        <w:t>). O significado do seu nome é incerto. É improvável que se refira a um filho de Sobal, mesmo que a grafia do seu nome e a da montanha sejam as mesmas (</w:t>
      </w:r>
      <w:hyperlink r:id="rId1016">
        <w:r>
          <w:rPr>
            <w:color w:val="0000EE"/>
            <w:u w:val="single"/>
          </w:rPr>
          <w:t>Gn 36.23</w:t>
        </w:r>
      </w:hyperlink>
      <w:r>
        <w:t xml:space="preserve">; </w:t>
      </w:r>
      <w:hyperlink r:id="rId1017">
        <w:r>
          <w:rPr>
            <w:color w:val="0000EE"/>
            <w:u w:val="single"/>
          </w:rPr>
          <w:t>1Cr 1.40</w:t>
        </w:r>
      </w:hyperlink>
      <w:r>
        <w:t xml:space="preserve">). Compare </w:t>
      </w:r>
      <w:hyperlink r:id="rId90">
        <w:r>
          <w:rPr>
            <w:color w:val="0000EE"/>
            <w:u w:val="single"/>
          </w:rPr>
          <w:t>1 Crônicas 1.22</w:t>
        </w:r>
      </w:hyperlink>
      <w:r>
        <w:t>, onde "Ebal" é uma variante da grafia "Obal" (</w:t>
      </w:r>
      <w:hyperlink r:id="rId89">
        <w:r>
          <w:rPr>
            <w:color w:val="0000EE"/>
            <w:u w:val="single"/>
          </w:rPr>
          <w:t>Gn 10.28</w:t>
        </w:r>
      </w:hyperlink>
      <w:r>
        <w:t>).</w:t>
      </w:r>
    </w:p>
    <w:p>
      <w:r/>
      <w:r>
        <w:t xml:space="preserve">Antes de entrar na terra prometida, Deus disse a Moisés que as tribos de Israel deveriam se reunir nas montanhas gêmeas Ebal e Gerizim. Nessas duas montanhas, o povo recitou as maldições e bênçãos de </w:t>
      </w:r>
      <w:hyperlink r:id="rId12077">
        <w:r>
          <w:rPr>
            <w:color w:val="0000EE"/>
            <w:u w:val="single"/>
          </w:rPr>
          <w:t>Deuteronômio 27–28</w:t>
        </w:r>
      </w:hyperlink>
      <w:r>
        <w:t xml:space="preserve">. De acordo com </w:t>
      </w:r>
      <w:hyperlink r:id="rId14797">
        <w:r>
          <w:rPr>
            <w:color w:val="0000EE"/>
            <w:u w:val="single"/>
          </w:rPr>
          <w:t>Deuteronômio 27.12</w:t>
        </w:r>
      </w:hyperlink>
      <w:r>
        <w:t>, seis tribos de Israel deveriam ficar em Gerizim e proclamar as bênçãos. Essas tribos eram Simeão, Levi, Judá, Issacar, José e Benjamim. “José” aqui se refere às tribos de Efraim e Manassés, que estavam em seu território. As outras seis tribos eram Rúben, Gade, Aser, Zebulom, Dã e Naftali, que deveriam proclamar as maldições do Monte Ebal. O Monte Ebal está no lado norte do vale que corre entre essas duas montanhas. É notável que as tribos que ficaram no Monte Ebal eram principalmente das partes do norte de Israel.</w:t>
      </w:r>
    </w:p>
    <w:p>
      <w:r/>
      <w:r>
        <w:t>Josué seguiu as instruções de Deus de duas maneiras no Monte Ebal. Ele reuniu as tribos lá para proclamar as bênçãos e maldições (</w:t>
      </w:r>
      <w:hyperlink r:id="rId2451">
        <w:r>
          <w:rPr>
            <w:color w:val="0000EE"/>
            <w:u w:val="single"/>
          </w:rPr>
          <w:t>Js 8.33</w:t>
        </w:r>
      </w:hyperlink>
      <w:r>
        <w:t>). Ele também construiu um altar lá usando pedras não cortadas (</w:t>
      </w:r>
      <w:hyperlink r:id="rId14798">
        <w:r>
          <w:rPr>
            <w:color w:val="0000EE"/>
            <w:u w:val="single"/>
          </w:rPr>
          <w:t>Js 8.30</w:t>
        </w:r>
      </w:hyperlink>
      <w:r>
        <w:t>), conforme Moisés havia ordenado ao povo (</w:t>
      </w:r>
      <w:hyperlink r:id="rId14799">
        <w:r>
          <w:rPr>
            <w:color w:val="0000EE"/>
            <w:u w:val="single"/>
          </w:rPr>
          <w:t>Dt 27.4</w:t>
        </w:r>
      </w:hyperlink>
      <w:r>
        <w:t>).</w:t>
      </w:r>
      <w:r/>
      <w:r/>
    </w:p>
    <w:p>
      <w:r/>
    </w:p>
    <w:p>
      <w:pPr>
        <w:pStyle w:val="Heading2"/>
      </w:pPr>
      <w:r>
        <w:t>Monte Nebo</w:t>
      </w:r>
      <w:r/>
    </w:p>
    <w:p>
      <w:r/>
      <w:r>
        <w:t>O nome de uma alta montanha no lado leste do rio Jordão, oposta à cidade de Jericó. Os israelitas acamparam perto dela na última etapa de sua jornada para a terra prometida (</w:t>
      </w:r>
      <w:hyperlink r:id="rId14800">
        <w:r>
          <w:rPr>
            <w:color w:val="0000EE"/>
            <w:u w:val="single"/>
          </w:rPr>
          <w:t>Dt 32.49</w:t>
        </w:r>
      </w:hyperlink>
      <w:r>
        <w:t>). A montanha agora identificada como Nebo tem dois picos. O nome no Antigo Testamento para o pico de Nebo é "Pisga" (</w:t>
      </w:r>
      <w:hyperlink r:id="rId6742">
        <w:r>
          <w:rPr>
            <w:color w:val="0000EE"/>
            <w:u w:val="single"/>
          </w:rPr>
          <w:t>34.1</w:t>
        </w:r>
      </w:hyperlink>
      <w:r>
        <w:t xml:space="preserve">). Deste lugar elevado, Moisés viu a terra que Deus havia prometido dar a Israel (versículos </w:t>
      </w:r>
      <w:hyperlink r:id="rId14801">
        <w:r>
          <w:rPr>
            <w:color w:val="0000EE"/>
            <w:u w:val="single"/>
          </w:rPr>
          <w:t>1–5</w:t>
        </w:r>
      </w:hyperlink>
      <w:r>
        <w:t>).</w:t>
      </w:r>
      <w:r/>
      <w:r/>
    </w:p>
    <w:p>
      <w:r/>
    </w:p>
    <w:p>
      <w:pPr>
        <w:pStyle w:val="Heading2"/>
      </w:pPr>
      <w:r>
        <w:t>Monte Pisga</w:t>
      </w:r>
      <w:r/>
    </w:p>
    <w:p>
      <w:r/>
      <w:r>
        <w:t>Uma montanha localizada na extremidade nordeste do Mar Morto, perto da antiga cidade de Jericó. O rei Balaque levou o adivinho Balaão ao topo de Pisga (</w:t>
      </w:r>
      <w:hyperlink r:id="rId14802">
        <w:r>
          <w:rPr>
            <w:color w:val="0000EE"/>
            <w:u w:val="single"/>
          </w:rPr>
          <w:t>Nm 23.14</w:t>
        </w:r>
      </w:hyperlink>
      <w:r>
        <w:t>). Deus disse a Moisés para ir ao seu cume para ver a terra prometida (</w:t>
      </w:r>
      <w:hyperlink r:id="rId14803">
        <w:r>
          <w:rPr>
            <w:color w:val="0000EE"/>
            <w:u w:val="single"/>
          </w:rPr>
          <w:t>Dt 3.27</w:t>
        </w:r>
      </w:hyperlink>
      <w:r>
        <w:t>). Mais tarde, Moisés voltou ao topo de Pisga para morrer (</w:t>
      </w:r>
      <w:hyperlink r:id="rId6742">
        <w:r>
          <w:rPr>
            <w:color w:val="0000EE"/>
            <w:u w:val="single"/>
          </w:rPr>
          <w:t>34.1</w:t>
        </w:r>
      </w:hyperlink>
      <w:r>
        <w:t>).</w:t>
      </w:r>
    </w:p>
    <w:p>
      <w:r/>
      <w:r>
        <w:t>As encostas de Pisga fazem fronteira com o Mar Morto, também conhecido como o Mar da Arabá (</w:t>
      </w:r>
      <w:hyperlink r:id="rId14803">
        <w:r>
          <w:rPr>
            <w:color w:val="0000EE"/>
            <w:u w:val="single"/>
          </w:rPr>
          <w:t xml:space="preserve">Dt </w:t>
        </w:r>
      </w:hyperlink>
      <w:hyperlink r:id="rId2316">
        <w:r>
          <w:rPr>
            <w:color w:val="0000EE"/>
            <w:u w:val="single"/>
          </w:rPr>
          <w:t>3.17</w:t>
        </w:r>
      </w:hyperlink>
      <w:r>
        <w:t xml:space="preserve">; </w:t>
      </w:r>
      <w:hyperlink r:id="rId2317">
        <w:r>
          <w:rPr>
            <w:color w:val="0000EE"/>
            <w:u w:val="single"/>
          </w:rPr>
          <w:t>4.49</w:t>
        </w:r>
      </w:hyperlink>
      <w:r>
        <w:t xml:space="preserve">; </w:t>
      </w:r>
      <w:hyperlink r:id="rId2705">
        <w:r>
          <w:rPr>
            <w:color w:val="0000EE"/>
            <w:u w:val="single"/>
          </w:rPr>
          <w:t>Js 12.3</w:t>
        </w:r>
      </w:hyperlink>
      <w:r>
        <w:t xml:space="preserve">; </w:t>
      </w:r>
      <w:hyperlink r:id="rId2706">
        <w:r>
          <w:rPr>
            <w:color w:val="0000EE"/>
            <w:u w:val="single"/>
          </w:rPr>
          <w:t>13.20</w:t>
        </w:r>
      </w:hyperlink>
      <w:r>
        <w:t>). A ARC se refere a essas encostas como "Asdote-Pisga". Muitos estudiosos identificam o Monte Pisga com o moderno Ras es-Siyaghah, ao norte do Monte Nebo.</w:t>
      </w:r>
    </w:p>
    <w:p>
      <w:r/>
      <w:r>
        <w:rPr>
          <w:i/>
        </w:rPr>
        <w:t>Veja também</w:t>
      </w:r>
      <w:r>
        <w:t xml:space="preserve"> </w:t>
      </w:r>
      <w:r>
        <w:t>Monte Nebo</w:t>
      </w:r>
      <w:r>
        <w:t>.</w:t>
      </w:r>
      <w:r/>
      <w:r/>
    </w:p>
    <w:p>
      <w:r/>
    </w:p>
    <w:p>
      <w:pPr>
        <w:pStyle w:val="Heading2"/>
      </w:pPr>
      <w:r>
        <w:t>Monte Sefer</w:t>
      </w:r>
      <w:r/>
    </w:p>
    <w:p>
      <w:r/>
      <w:r>
        <w:t>Um local de acampamento temporário para os israelitas durante suas peregrinações no deserto. O monte Sefer (ou, Séfer) estava localizado entre Queelata e Harada (</w:t>
      </w:r>
      <w:hyperlink r:id="rId14804">
        <w:r>
          <w:rPr>
            <w:color w:val="0000EE"/>
            <w:u w:val="single"/>
          </w:rPr>
          <w:t>Nm 33.23–24</w:t>
        </w:r>
      </w:hyperlink>
      <w:r>
        <w:t>).</w:t>
      </w:r>
    </w:p>
    <w:p>
      <w:r/>
      <w:r>
        <w:rPr>
          <w:i/>
        </w:rPr>
        <w:t>Veja também</w:t>
      </w:r>
      <w:r>
        <w:t xml:space="preserve"> </w:t>
      </w:r>
      <w:r>
        <w:t>Peregrinações no deserto</w:t>
      </w:r>
      <w:r>
        <w:t>.</w:t>
      </w:r>
      <w:r/>
      <w:r/>
    </w:p>
    <w:p>
      <w:r/>
    </w:p>
    <w:p>
      <w:pPr>
        <w:pStyle w:val="Heading2"/>
      </w:pPr>
      <w:r>
        <w:t>Monte, montanha</w:t>
      </w:r>
      <w:r/>
    </w:p>
    <w:p>
      <w:r/>
      <w:r>
        <w:t xml:space="preserve">Uma área elevada de terra. Em Israel e nos países próximos, as pessoas consideravam as montanhas como locais para encontrar Deus. Muitos eventos importantes na religião de Israel aconteceram no monte Sinai ou Horebe (veja </w:t>
      </w:r>
      <w:hyperlink r:id="rId14805">
        <w:r>
          <w:rPr>
            <w:color w:val="0000EE"/>
            <w:u w:val="single"/>
          </w:rPr>
          <w:t>Êx 3.1–4</w:t>
        </w:r>
      </w:hyperlink>
      <w:r>
        <w:t xml:space="preserve">; </w:t>
      </w:r>
      <w:hyperlink r:id="rId14806">
        <w:r>
          <w:rPr>
            <w:color w:val="0000EE"/>
            <w:u w:val="single"/>
          </w:rPr>
          <w:t>16</w:t>
        </w:r>
      </w:hyperlink>
      <w:r>
        <w:t xml:space="preserve">; </w:t>
      </w:r>
      <w:hyperlink r:id="rId14807">
        <w:r>
          <w:rPr>
            <w:color w:val="0000EE"/>
            <w:u w:val="single"/>
          </w:rPr>
          <w:t>19–23</w:t>
        </w:r>
      </w:hyperlink>
      <w:r>
        <w:t xml:space="preserve">; </w:t>
      </w:r>
      <w:hyperlink r:id="rId14808">
        <w:r>
          <w:rPr>
            <w:color w:val="0000EE"/>
            <w:u w:val="single"/>
          </w:rPr>
          <w:t>1Rs 19.8–18</w:t>
        </w:r>
      </w:hyperlink>
      <w:r>
        <w:t>).</w:t>
      </w:r>
    </w:p>
    <w:p>
      <w:r/>
      <w:r>
        <w:t>O monte Sião tornou-se quase tão importante quando Davi era rei (</w:t>
      </w:r>
      <w:hyperlink r:id="rId14809">
        <w:r>
          <w:rPr>
            <w:color w:val="0000EE"/>
            <w:u w:val="single"/>
          </w:rPr>
          <w:t>Sl 50.2</w:t>
        </w:r>
      </w:hyperlink>
      <w:r>
        <w:t xml:space="preserve">; </w:t>
      </w:r>
      <w:hyperlink r:id="rId11261">
        <w:r>
          <w:rPr>
            <w:color w:val="0000EE"/>
            <w:u w:val="single"/>
          </w:rPr>
          <w:t>Is 2.2–4</w:t>
        </w:r>
      </w:hyperlink>
      <w:r>
        <w:t>).</w:t>
      </w:r>
    </w:p>
    <w:p>
      <w:r/>
      <w:r>
        <w:t>Os vizinhos de Israel às vezes pensavam que as montanhas eram lugares mágicos onde seus deuses viviam. Mas os israelitas sabiam que seu Deus vivia no céu. Ele só descia à montanha em momentos especiais (</w:t>
      </w:r>
      <w:hyperlink r:id="rId804">
        <w:r>
          <w:rPr>
            <w:color w:val="0000EE"/>
            <w:u w:val="single"/>
          </w:rPr>
          <w:t>Êx 19</w:t>
        </w:r>
      </w:hyperlink>
      <w:r>
        <w:t xml:space="preserve">; compare </w:t>
      </w:r>
      <w:hyperlink r:id="rId4761">
        <w:r>
          <w:rPr>
            <w:color w:val="0000EE"/>
            <w:u w:val="single"/>
          </w:rPr>
          <w:t>1Rs 8.27</w:t>
        </w:r>
      </w:hyperlink>
      <w:r>
        <w:t>).</w:t>
      </w:r>
    </w:p>
    <w:p>
      <w:r/>
      <w:r>
        <w:t>No Novo Testamento, Jesus realizou muitas ações nas montanhas:</w:t>
      </w:r>
    </w:p>
    <w:p>
      <w:pPr>
        <w:pStyle w:val="ListNumber"/>
        <w:spacing w:line="240" w:lineRule="auto"/>
        <w:ind w:left="720"/>
      </w:pPr>
      <w:r/>
      <w:r>
        <w:t>Ele ensinou lá (</w:t>
      </w:r>
      <w:hyperlink r:id="rId14810">
        <w:r>
          <w:rPr>
            <w:color w:val="0000EE"/>
            <w:u w:val="single"/>
          </w:rPr>
          <w:t>Mt 5.1</w:t>
        </w:r>
      </w:hyperlink>
      <w:r>
        <w:t>);</w:t>
      </w:r>
    </w:p>
    <w:p>
      <w:pPr>
        <w:pStyle w:val="ListNumber"/>
        <w:spacing w:line="240" w:lineRule="auto"/>
        <w:ind w:left="720"/>
      </w:pPr>
      <w:r/>
      <w:r>
        <w:t>Ele se retirou para orar lá (</w:t>
      </w:r>
      <w:hyperlink r:id="rId14811">
        <w:r>
          <w:rPr>
            <w:color w:val="0000EE"/>
            <w:u w:val="single"/>
          </w:rPr>
          <w:t>Lc 6.12</w:t>
        </w:r>
      </w:hyperlink>
      <w:r>
        <w:t>);</w:t>
      </w:r>
    </w:p>
    <w:p>
      <w:pPr>
        <w:pStyle w:val="ListNumber"/>
        <w:spacing w:line="240" w:lineRule="auto"/>
        <w:ind w:left="720"/>
      </w:pPr>
      <w:r/>
      <w:r>
        <w:t>Ele foi transfigurado em uma montanha (</w:t>
      </w:r>
      <w:hyperlink r:id="rId7913">
        <w:r>
          <w:rPr>
            <w:color w:val="0000EE"/>
            <w:u w:val="single"/>
          </w:rPr>
          <w:t>Lc 9.28–36</w:t>
        </w:r>
      </w:hyperlink>
      <w:r>
        <w:t>).</w:t>
      </w:r>
      <w:r/>
      <w:r/>
    </w:p>
    <w:p>
      <w:r/>
    </w:p>
    <w:p>
      <w:pPr>
        <w:pStyle w:val="Heading2"/>
      </w:pPr>
      <w:r>
        <w:t>Morcego</w:t>
      </w:r>
      <w:r/>
    </w:p>
    <w:p>
      <w:r/>
      <w:r>
        <w:t>Um mamífero voador parecido com um rato, com corpo peludo e asas.</w:t>
      </w:r>
    </w:p>
    <w:p>
      <w:r/>
      <w:r>
        <w:t>De acordo com definições modernas, os morcegos são mamíferos voadores. Eles têm pelos e produzem leite para seus filhotes. No entanto, a Bíblia os agrupa com outros animais voadores, como as aves. O morcego está incluído nas duas listas de aves impuras (</w:t>
      </w:r>
      <w:hyperlink r:id="rId1477">
        <w:r>
          <w:rPr>
            <w:color w:val="0000EE"/>
            <w:u w:val="single"/>
          </w:rPr>
          <w:t>Lv 11.19</w:t>
        </w:r>
      </w:hyperlink>
      <w:r>
        <w:t xml:space="preserve">; </w:t>
      </w:r>
      <w:hyperlink r:id="rId1478">
        <w:r>
          <w:rPr>
            <w:color w:val="0000EE"/>
            <w:u w:val="single"/>
          </w:rPr>
          <w:t>Dt 14.18</w:t>
        </w:r>
      </w:hyperlink>
      <w:r>
        <w:t>).</w:t>
      </w:r>
    </w:p>
    <w:p>
      <w:r/>
      <w:r>
        <w:t>Morcegos vivem em cavernas, fendas, buracos em árvores, edifícios e até mesmo em locais abertos nas árvores. Em áreas mais frias, eles dormem por longos períodos (hibernam) ou viajam para outros lugares. A posição normal de descanso para um morcego é pendurado de cabeça para baixo. Quando os morcegos voam, parece que estão nadando pelo ar porque se movem com as pernas, assim como com as asas.</w:t>
      </w:r>
    </w:p>
    <w:p>
      <w:r/>
      <w:r>
        <w:t>O polegar do morcego é livre e termina em uma única garra em forma de gancho, sendo usado para escalar e se pendurar. Os pés traseiros possuem cinco dedos, todos voltados na mesma direção. O grande peito acomoda os músculos necessários para o voo. Sua audição é bem desenvolvida. Os morcegos utilizam o som para enxergar, um processo chamado de "localização por eco".</w:t>
      </w:r>
    </w:p>
    <w:p>
      <w:r/>
      <w:r>
        <w:t>A maioria dos morcegos se alimenta de insetos, capturando-os em voo. Alguns morcegos que comem insetos também consomem frutas. No entanto, outros morcegos comem apenas frutas e plantas, geralmente em grupos. Os morcegos frugívoros vivem principalmente em áreas tropicais, onde as frutas estão sempre maduras. Alguns, porém, são encontrados na Terra Santa. Esses morcegos são tipicamente maiores do que os que comem insetos, com envergaduras que chegam a um metro e meio.</w:t>
      </w:r>
    </w:p>
    <w:p>
      <w:r/>
      <w:r>
        <w:t>Um terceiro grupo inclui morcegos que se alimentam de flores, consumindo pólen e néctar. Esses pequenos morcegos têm cabeças longas e pontudas, além de línguas compridas. Eles são encontrados apenas em regiões tropicais e semitropicais. Três espécies de morcegos-vampiros, que não ocorrem na Terra Santa, se alimentam de sangue fazendo um pequeno corte e lambendo-o. Morcegos carnívoros caçam pássaros, lagartos e sapos. Morcegos que comem peixe capturam peixes na superfície ou perto da superfície da água.</w:t>
      </w:r>
    </w:p>
    <w:p>
      <w:r/>
      <w:r>
        <w:t xml:space="preserve">Oito tipos de morcegos vivem na Terra Santa. Um deles, o pequeno morcego marrom (gênero </w:t>
      </w:r>
      <w:r>
        <w:rPr>
          <w:i/>
        </w:rPr>
        <w:t>Myotis</w:t>
      </w:r>
      <w:r>
        <w:t>), é encontrado em todo o mundo, nos locais mais diversos depois dos humanos. Ele se alimenta de insetos. Os morcegos marrons vivem principalmente em cavernas. As fêmeas formam colônias de maternidade que podem chegar a dezenas de milhares.</w:t>
      </w:r>
    </w:p>
    <w:p>
      <w:r/>
      <w:r>
        <w:t xml:space="preserve">Duas espécies de morcegos de cauda de rato (gênero </w:t>
      </w:r>
      <w:r>
        <w:rPr>
          <w:i/>
        </w:rPr>
        <w:t>Rhinopoma</w:t>
      </w:r>
      <w:r>
        <w:t xml:space="preserve">) vivem na Terra Santa. Suas caudas são quase tão longas quanto a cabeça e o corpo juntos. Eles vivem em colônias em cavernas, fendas de rochas, poços, pirâmides, palácios e casas. Assim como o morcego marrom, eles se alimentam de insetos. Os morcegos de focinho fendido ou oco (gênero </w:t>
      </w:r>
      <w:r>
        <w:rPr>
          <w:i/>
        </w:rPr>
        <w:t>Nycteris</w:t>
      </w:r>
      <w:r>
        <w:t>) também vivem na Terra Santa. Eles são insetívoros e vivem em grupos de seis a 20.</w:t>
      </w:r>
    </w:p>
    <w:p>
      <w:r/>
      <w:r>
        <w:t>Os morcegos em Israel e Palestina variam em tamanho, desde o de um camundongo até o de um rato. A maior espécie tem uma envergadura de mais de 51 centímetros. Os morcegos eram considerados ritualmente impuros para os judeus e não deviam ser consumidos (</w:t>
      </w:r>
      <w:hyperlink r:id="rId1477">
        <w:r>
          <w:rPr>
            <w:color w:val="0000EE"/>
            <w:u w:val="single"/>
          </w:rPr>
          <w:t>Lv 11.19</w:t>
        </w:r>
      </w:hyperlink>
      <w:r>
        <w:t xml:space="preserve">; </w:t>
      </w:r>
      <w:hyperlink r:id="rId1478">
        <w:r>
          <w:rPr>
            <w:color w:val="0000EE"/>
            <w:u w:val="single"/>
          </w:rPr>
          <w:t>Dt 14.18</w:t>
        </w:r>
      </w:hyperlink>
      <w:r>
        <w:t>).</w:t>
      </w:r>
      <w:r/>
      <w:r/>
    </w:p>
    <w:p>
      <w:r/>
    </w:p>
    <w:p>
      <w:pPr>
        <w:pStyle w:val="Heading2"/>
      </w:pPr>
      <w:r>
        <w:t>Mordomo</w:t>
      </w:r>
      <w:r/>
    </w:p>
    <w:p>
      <w:r/>
      <w:r>
        <w:t xml:space="preserve">Tradução de uma palavra hebraica que significa “copeiro” ou “provador de vinho” em </w:t>
      </w:r>
      <w:hyperlink r:id="rId5498">
        <w:r>
          <w:rPr>
            <w:color w:val="0000EE"/>
            <w:u w:val="single"/>
          </w:rPr>
          <w:t>Gênesis 40</w:t>
        </w:r>
      </w:hyperlink>
      <w:r>
        <w:t xml:space="preserve"> e </w:t>
      </w:r>
      <w:hyperlink r:id="rId14812">
        <w:r>
          <w:rPr>
            <w:color w:val="0000EE"/>
            <w:u w:val="single"/>
          </w:rPr>
          <w:t>41</w:t>
        </w:r>
      </w:hyperlink>
      <w:r>
        <w:t xml:space="preserve">. </w:t>
      </w:r>
      <w:r>
        <w:rPr>
          <w:i/>
        </w:rPr>
        <w:t>Veja</w:t>
      </w:r>
      <w:r>
        <w:t xml:space="preserve"> </w:t>
      </w:r>
      <w:r>
        <w:t>Copeiro</w:t>
      </w:r>
      <w:r>
        <w:t>.</w:t>
      </w:r>
      <w:r/>
      <w:r/>
    </w:p>
    <w:p>
      <w:r/>
    </w:p>
    <w:p>
      <w:pPr>
        <w:pStyle w:val="Heading2"/>
      </w:pPr>
      <w:r>
        <w:t>Moré, Carvalho de</w:t>
      </w:r>
      <w:r/>
    </w:p>
    <w:p>
      <w:r/>
      <w:r>
        <w:t>O primeiro local registrado onde Abraão parou ao entrar na Palestina após deixar a Mesopotâmia. Aqui ele construiu um altar para Deus (</w:t>
      </w:r>
      <w:hyperlink r:id="rId14813">
        <w:r>
          <w:rPr>
            <w:color w:val="0000EE"/>
            <w:u w:val="single"/>
          </w:rPr>
          <w:t>Gn 12.6</w:t>
        </w:r>
      </w:hyperlink>
      <w:r>
        <w:t>). Mais tarde, Moisés mencionou este lugar como um marco geográfico para identificar a localização do Monte Gerizim e do Monte Ebal (</w:t>
      </w:r>
      <w:hyperlink r:id="rId9989">
        <w:r>
          <w:rPr>
            <w:color w:val="0000EE"/>
            <w:u w:val="single"/>
          </w:rPr>
          <w:t>Dt 11.30</w:t>
        </w:r>
      </w:hyperlink>
      <w:r>
        <w:t>). A versão NTLH lê "árvore sagrada" de Moré. O carvalho de Moré estava localizado perto de Siquém.</w:t>
      </w:r>
      <w:r/>
      <w:r/>
    </w:p>
    <w:p>
      <w:r/>
    </w:p>
    <w:p>
      <w:pPr>
        <w:pStyle w:val="Heading2"/>
      </w:pPr>
      <w:r>
        <w:t>Moriá</w:t>
      </w:r>
      <w:r/>
    </w:p>
    <w:p>
      <w:r/>
      <w:r>
        <w:t>Nome usado duas vezes no AT. Abraão foi enviado para sacrificar seu filho Isaque na “terra de Moriá” (</w:t>
      </w:r>
      <w:hyperlink r:id="rId2419">
        <w:r>
          <w:rPr>
            <w:color w:val="0000EE"/>
            <w:u w:val="single"/>
          </w:rPr>
          <w:t>Gn 22.2</w:t>
        </w:r>
      </w:hyperlink>
      <w:r>
        <w:t>). Porque na narrativa é dito que o carneiro foi “provido” no lugar de Isaque quando Deus “apareceu” a Abraão, foi sugerido que a forma do nome “Moriá” pode estar conectada com isso. (O verbo hebraico ra’ah pode ter os significados “ver”, “prover” e “aparecer”, e o sufixo -iah é a forma abreviada do nome do Senhor que é encontrado em muitos nomes hebraicos).</w:t>
      </w:r>
    </w:p>
    <w:p>
      <w:r/>
      <w:r>
        <w:t xml:space="preserve">Em </w:t>
      </w:r>
      <w:hyperlink r:id="rId2418">
        <w:r>
          <w:rPr>
            <w:color w:val="0000EE"/>
            <w:u w:val="single"/>
          </w:rPr>
          <w:t>2 Crônicas 3.1</w:t>
        </w:r>
      </w:hyperlink>
      <w:r>
        <w:t xml:space="preserve">, o Monte Moriá é o local do Templo de Salomão, especificamente identificado com a eira de Ornã, o jebuseu (cf. </w:t>
      </w:r>
      <w:hyperlink r:id="rId6599">
        <w:r>
          <w:rPr>
            <w:color w:val="0000EE"/>
            <w:u w:val="single"/>
          </w:rPr>
          <w:t>2Sm 24</w:t>
        </w:r>
      </w:hyperlink>
      <w:r>
        <w:t xml:space="preserve">; </w:t>
      </w:r>
      <w:hyperlink r:id="rId6600">
        <w:r>
          <w:rPr>
            <w:color w:val="0000EE"/>
            <w:u w:val="single"/>
          </w:rPr>
          <w:t>1Cr 21</w:t>
        </w:r>
      </w:hyperlink>
      <w:r>
        <w:t>), mas não explicitamente com o local do sacrifício de Abraão. Alguns, no entanto, veem na descrição da aparição do Senhor a Davi uma lembrança de sua aparição a Abraão ali. O historiador judeu Josefo (</w:t>
      </w:r>
      <w:r>
        <w:rPr>
          <w:i/>
        </w:rPr>
        <w:t>Antiguidades</w:t>
      </w:r>
      <w:r>
        <w:t xml:space="preserve"> 1.13.2; 7.13.4) claramente conecta o local do Templo com o local onde Isaque foi oferecido, assim como o livro de Jubileus do segundo século a.C. (Jubileus 18.13). A tradição samaritana ligava Moriá ao Monte Gerizim. A tradição muçulmana conecta o Domo da Rocha, que hoje se ergue no local do Templo de Jerusalém, com o sacrifício de Isaque por Abraão na Grande rocha sob a cúpula da mesquita.</w:t>
      </w:r>
      <w:r/>
      <w:r/>
    </w:p>
    <w:p>
      <w:r/>
    </w:p>
    <w:p>
      <w:pPr>
        <w:pStyle w:val="Heading2"/>
      </w:pPr>
      <w:r>
        <w:t>Morte</w:t>
      </w:r>
      <w:r/>
    </w:p>
    <w:p>
      <w:r/>
      <w:r>
        <w:t>Cessação da vida (morte física) ou separação de Deus (morte espiritual).</w:t>
      </w:r>
    </w:p>
    <w:p>
      <w:pPr>
        <w:pStyle w:val="Heading3"/>
      </w:pPr>
      <w:r>
        <w:t>Visão do Antigo Testamento</w:t>
      </w:r>
    </w:p>
    <w:p>
      <w:r/>
      <w:r>
        <w:t xml:space="preserve">No AT, a morte era entendida como o fim natural da vida. O objetivo de um israelita era viver uma vida longa e plena, produzir muitos descendentes e morrer em paz com os filhos e netos reunidos. O AT contém muitos protestos contra uma morte precoce (p. ex., a de Ezequias, </w:t>
      </w:r>
      <w:hyperlink r:id="rId8884">
        <w:r>
          <w:rPr>
            <w:color w:val="0000EE"/>
            <w:u w:val="single"/>
          </w:rPr>
          <w:t>2Rs 20.1–11</w:t>
        </w:r>
      </w:hyperlink>
      <w:r>
        <w:t>). Uma morte prematura pode parecer o resultado do julgamento de Deus; portanto, Jó viu a necessidade de vindicar seu caráter antes da morte (</w:t>
      </w:r>
      <w:hyperlink r:id="rId908">
        <w:r>
          <w:rPr>
            <w:color w:val="0000EE"/>
            <w:u w:val="single"/>
          </w:rPr>
          <w:t>Jó 19.25–26</w:t>
        </w:r>
      </w:hyperlink>
      <w:r>
        <w:t xml:space="preserve">). Apenas em </w:t>
      </w:r>
      <w:hyperlink r:id="rId14814">
        <w:r>
          <w:rPr>
            <w:color w:val="0000EE"/>
            <w:u w:val="single"/>
          </w:rPr>
          <w:t>Eclesiastes 3.19–20</w:t>
        </w:r>
      </w:hyperlink>
      <w:r>
        <w:t xml:space="preserve"> um pessimismo absoluto é expresso diante da morte — e esse livro provavelmente demonstra considerável influência não hebraica.</w:t>
      </w:r>
    </w:p>
    <w:p>
      <w:r/>
      <w:r>
        <w:t>A morte, embora um fim natural para a vida, nunca foi vista como agradável. A morte retira alguém da comunidade humana, bem como da presença e serviço de Deus. Deus pode oferecer conforto diante da morte (</w:t>
      </w:r>
      <w:hyperlink r:id="rId14815">
        <w:r>
          <w:rPr>
            <w:color w:val="0000EE"/>
            <w:u w:val="single"/>
          </w:rPr>
          <w:t>Sl 73.23–28</w:t>
        </w:r>
      </w:hyperlink>
      <w:r>
        <w:t>), mas ele é raramente retratado como presente com os mortos, e isso ocorre apenas na literatura bíblica posterior (</w:t>
      </w:r>
      <w:hyperlink r:id="rId14816">
        <w:r>
          <w:rPr>
            <w:color w:val="0000EE"/>
            <w:u w:val="single"/>
          </w:rPr>
          <w:t>Sl 139.8</w:t>
        </w:r>
      </w:hyperlink>
      <w:r>
        <w:t>). Por essa razão, a morte nunca era vista como o limiar para uma vida melhor.</w:t>
      </w:r>
    </w:p>
    <w:p>
      <w:r/>
      <w:r>
        <w:t>O relacionamento do pecado com a morte é visto na pena de morte na lei de Moisés. Um grave ofensor deveria ser posto à morte. A frase punitiva “ele será cortado” implicava que, embora a nação tenha continuado a viver, o criminoso seria separado dela pela morte. Os israelitas foram advertidos de que desobedecer aos mandamentos de Deus poderia trazer a morte prematura como uma consequência do rompimento da comunhão com Deus (</w:t>
      </w:r>
      <w:hyperlink r:id="rId2210">
        <w:r>
          <w:rPr>
            <w:color w:val="0000EE"/>
            <w:u w:val="single"/>
          </w:rPr>
          <w:t>Dt 30.15–20</w:t>
        </w:r>
      </w:hyperlink>
      <w:r>
        <w:t xml:space="preserve">; </w:t>
      </w:r>
      <w:hyperlink r:id="rId14817">
        <w:r>
          <w:rPr>
            <w:color w:val="0000EE"/>
            <w:u w:val="single"/>
          </w:rPr>
          <w:t>Jr 21.8</w:t>
        </w:r>
      </w:hyperlink>
      <w:r>
        <w:t xml:space="preserve">; </w:t>
      </w:r>
      <w:hyperlink r:id="rId14818">
        <w:r>
          <w:rPr>
            <w:color w:val="0000EE"/>
            <w:u w:val="single"/>
          </w:rPr>
          <w:t>Ez 18.21–32</w:t>
        </w:r>
      </w:hyperlink>
      <w:r>
        <w:t>).</w:t>
      </w:r>
    </w:p>
    <w:p>
      <w:r/>
      <w:r>
        <w:t>No período intertestamentário, à medida que as ideias judaicas de vida após a morte e ressurreição se desenvolviam mais explicitamente, o mesmo acontecia com o pensamento judaico sobre a morte. A própria morte, não apenas uma morte prematura, veio a ser vista como um resultado maligno do pecado (</w:t>
      </w:r>
      <w:hyperlink r:id="rId14819">
        <w:r>
          <w:rPr>
            <w:color w:val="0000EE"/>
            <w:u w:val="single"/>
          </w:rPr>
          <w:t>2Ed 3.7</w:t>
        </w:r>
      </w:hyperlink>
      <w:r>
        <w:t xml:space="preserve">; </w:t>
      </w:r>
      <w:hyperlink r:id="rId14820">
        <w:r>
          <w:rPr>
            <w:color w:val="0000EE"/>
            <w:u w:val="single"/>
          </w:rPr>
          <w:t>Eclo 25.24</w:t>
        </w:r>
      </w:hyperlink>
      <w:r>
        <w:t>). Às vezes, toda morte é retratada como o resultado do “primeiro pecado” (a desobediência de Adão e Eva). Em outras referências, todos morrem como resultado de seu próprio pecado. A primeira indicação clara nas Escrituras de uma ressurreição dos mortos e um julgamento final, ou punição, ocorre no livro de Daniel (</w:t>
      </w:r>
      <w:hyperlink r:id="rId913">
        <w:r>
          <w:rPr>
            <w:color w:val="0000EE"/>
            <w:u w:val="single"/>
          </w:rPr>
          <w:t>Dn 12.2</w:t>
        </w:r>
      </w:hyperlink>
      <w:r>
        <w:t>), um dos últimos livros do AT a ser escrito. Esse ensino é ecoado ao longo do período intertestamentário (2Ed 7.31–44). Durante esse período, acreditava-se que a alma sobrevivia à morte ou de alguma forma imortal (Sabedoria de Salomão 3.4; 4.1; 4 Macabeus 16.13; 17.12) ou aguardando a ressurreição (1 Enoque 102). Alguns desses escritos extrabíblicos incorporaram ideias gregas de que o corpo era um fardo que deveria ser descartado — uma noção estranha ao pensamento hebraico.</w:t>
      </w:r>
    </w:p>
    <w:p>
      <w:r/>
      <w:r>
        <w:t>O conceito de ressurreição e uma vida redimida da morte, no entanto, definiram o cenário para a revelação do NT concentrando-se na ressurreição de Cristo e sua conquista da morte.</w:t>
      </w:r>
    </w:p>
    <w:p>
      <w:pPr>
        <w:pStyle w:val="Heading3"/>
      </w:pPr>
      <w:r>
        <w:t>Visão do Novo Testamento</w:t>
      </w:r>
    </w:p>
    <w:p>
      <w:r/>
      <w:r>
        <w:t>No NT, a morte é vista mais como um problema teológico do que como um evento pessoal. A morte vai além do simples fim da vida física, algo que os autores aceitam quase sem dificuldades. A morte é vista como afetando todas as partes da vida de uma pessoa. Só Deus é imortal, a fonte de toda a vida no mundo (</w:t>
      </w:r>
      <w:hyperlink r:id="rId14821">
        <w:r>
          <w:rPr>
            <w:color w:val="0000EE"/>
            <w:u w:val="single"/>
          </w:rPr>
          <w:t>Rm 4.17</w:t>
        </w:r>
      </w:hyperlink>
      <w:r>
        <w:t xml:space="preserve">; </w:t>
      </w:r>
      <w:hyperlink r:id="rId13497">
        <w:r>
          <w:rPr>
            <w:color w:val="0000EE"/>
            <w:u w:val="single"/>
          </w:rPr>
          <w:t>1Tm 6.16</w:t>
        </w:r>
      </w:hyperlink>
      <w:r>
        <w:t>). Os seres humanos podem viver somente conforme estão devidamente conectados à vida de Deus. Mas tem sido antinatural que as pessoas estejam em comunhão pessoal com a fonte divina da vida, uma vez que o pecado foi introduzido no mundo (</w:t>
      </w:r>
      <w:hyperlink r:id="rId4445">
        <w:r>
          <w:rPr>
            <w:color w:val="0000EE"/>
            <w:u w:val="single"/>
          </w:rPr>
          <w:t>Rm 5.12,17–18</w:t>
        </w:r>
      </w:hyperlink>
      <w:r>
        <w:t xml:space="preserve">; </w:t>
      </w:r>
      <w:hyperlink r:id="rId14822">
        <w:r>
          <w:rPr>
            <w:color w:val="0000EE"/>
            <w:u w:val="single"/>
          </w:rPr>
          <w:t>1Co 15.22</w:t>
        </w:r>
      </w:hyperlink>
      <w:r>
        <w:t>). Quando Adão se separou de Deus, essa separação trouxe a morte. Cada ser humano seguiu os passos de Adão (</w:t>
      </w:r>
      <w:hyperlink r:id="rId4436">
        <w:r>
          <w:rPr>
            <w:color w:val="0000EE"/>
            <w:u w:val="single"/>
          </w:rPr>
          <w:t>Rm 3.23</w:t>
        </w:r>
      </w:hyperlink>
      <w:r>
        <w:t xml:space="preserve">; </w:t>
      </w:r>
      <w:hyperlink r:id="rId4445">
        <w:r>
          <w:rPr>
            <w:color w:val="0000EE"/>
            <w:u w:val="single"/>
          </w:rPr>
          <w:t>5.12</w:t>
        </w:r>
      </w:hyperlink>
      <w:r>
        <w:t>), trazendo a morte para todos como o resultado absolutamente necessário (</w:t>
      </w:r>
      <w:hyperlink r:id="rId5369">
        <w:r>
          <w:rPr>
            <w:color w:val="0000EE"/>
            <w:u w:val="single"/>
          </w:rPr>
          <w:t>Rm 6.23</w:t>
        </w:r>
      </w:hyperlink>
      <w:r>
        <w:t xml:space="preserve">; </w:t>
      </w:r>
      <w:hyperlink r:id="rId2153">
        <w:r>
          <w:rPr>
            <w:color w:val="0000EE"/>
            <w:u w:val="single"/>
          </w:rPr>
          <w:t>Hb 9.27</w:t>
        </w:r>
      </w:hyperlink>
      <w:r>
        <w:t>). A morte, então, não é meramente algo que acontece com as pessoas no final de suas vidas; é também o modo de viver de suas vidas separadas da comunhão com Deus.</w:t>
      </w:r>
    </w:p>
    <w:p>
      <w:r/>
      <w:r>
        <w:t>A extensão do domínio da morte é vasta. Afeta todos os aspectos da cultura. Toda a vida humana é vivida sob a sombra do medo da morte (</w:t>
      </w:r>
      <w:hyperlink r:id="rId14147">
        <w:r>
          <w:rPr>
            <w:color w:val="0000EE"/>
            <w:u w:val="single"/>
          </w:rPr>
          <w:t>Rm 8.15</w:t>
        </w:r>
      </w:hyperlink>
      <w:r>
        <w:t xml:space="preserve">; </w:t>
      </w:r>
      <w:hyperlink r:id="rId10413">
        <w:r>
          <w:rPr>
            <w:color w:val="0000EE"/>
            <w:u w:val="single"/>
          </w:rPr>
          <w:t>Hb 2.15</w:t>
        </w:r>
      </w:hyperlink>
      <w:r>
        <w:t>). A morte reina sobre tudo o que é “da carne” (</w:t>
      </w:r>
      <w:hyperlink r:id="rId4303">
        <w:r>
          <w:rPr>
            <w:color w:val="0000EE"/>
            <w:u w:val="single"/>
          </w:rPr>
          <w:t>Rm 8.6</w:t>
        </w:r>
      </w:hyperlink>
      <w:r>
        <w:t>). Qualquer um que não vive em relacionamento com Cristo vive em um estado de morte (</w:t>
      </w:r>
      <w:hyperlink r:id="rId7394">
        <w:r>
          <w:rPr>
            <w:color w:val="0000EE"/>
            <w:u w:val="single"/>
          </w:rPr>
          <w:t>Jo 3.16–18</w:t>
        </w:r>
      </w:hyperlink>
      <w:r>
        <w:t xml:space="preserve">; </w:t>
      </w:r>
      <w:hyperlink r:id="rId14823">
        <w:r>
          <w:rPr>
            <w:color w:val="0000EE"/>
            <w:u w:val="single"/>
          </w:rPr>
          <w:t>1Jo 5.12</w:t>
        </w:r>
      </w:hyperlink>
      <w:r>
        <w:t>). O diabo, que governa o mundo, é o senhor da morte (</w:t>
      </w:r>
      <w:hyperlink r:id="rId10412">
        <w:r>
          <w:rPr>
            <w:color w:val="0000EE"/>
            <w:u w:val="single"/>
          </w:rPr>
          <w:t>Hb 2.14</w:t>
        </w:r>
      </w:hyperlink>
      <w:r>
        <w:t>). A morte é frequentemente personificada como um poder demoníaco geral no mundo, mas finalmente dominado pelo próprio Cristo, o único que poderia dominá-la (</w:t>
      </w:r>
      <w:hyperlink r:id="rId14824">
        <w:r>
          <w:rPr>
            <w:color w:val="0000EE"/>
            <w:u w:val="single"/>
          </w:rPr>
          <w:t>1Co 15.26–27</w:t>
        </w:r>
      </w:hyperlink>
      <w:r>
        <w:t xml:space="preserve">; </w:t>
      </w:r>
      <w:hyperlink r:id="rId10296">
        <w:r>
          <w:rPr>
            <w:color w:val="0000EE"/>
            <w:u w:val="single"/>
          </w:rPr>
          <w:t>Ap 6.8</w:t>
        </w:r>
      </w:hyperlink>
      <w:r>
        <w:t xml:space="preserve">; </w:t>
      </w:r>
      <w:hyperlink r:id="rId10305">
        <w:r>
          <w:rPr>
            <w:color w:val="0000EE"/>
            <w:u w:val="single"/>
          </w:rPr>
          <w:t>20.13–14</w:t>
        </w:r>
      </w:hyperlink>
      <w:r>
        <w:t>).</w:t>
      </w:r>
    </w:p>
    <w:p>
      <w:r/>
      <w:r>
        <w:t>Cristo morreu, foi sepultado e ressuscitou no terceiro dia (</w:t>
      </w:r>
      <w:hyperlink r:id="rId6335">
        <w:r>
          <w:rPr>
            <w:color w:val="0000EE"/>
            <w:u w:val="single"/>
          </w:rPr>
          <w:t>Rm 4.25</w:t>
        </w:r>
      </w:hyperlink>
      <w:r>
        <w:t xml:space="preserve">; </w:t>
      </w:r>
      <w:hyperlink r:id="rId14825">
        <w:r>
          <w:rPr>
            <w:color w:val="0000EE"/>
            <w:u w:val="single"/>
          </w:rPr>
          <w:t>1Co 15.3–4</w:t>
        </w:r>
      </w:hyperlink>
      <w:r>
        <w:t xml:space="preserve">; </w:t>
      </w:r>
      <w:hyperlink r:id="rId8497">
        <w:r>
          <w:rPr>
            <w:color w:val="0000EE"/>
            <w:u w:val="single"/>
          </w:rPr>
          <w:t>1Ts 4.14</w:t>
        </w:r>
      </w:hyperlink>
      <w:r>
        <w:t>). Através desse evento histórico, o poder da morte foi quebrado. O NT expressa de várias maneiras a sujeição de Cristo à morte como o pagamento pelo pecado. Ele se tornou obediente até a morte (</w:t>
      </w:r>
      <w:hyperlink r:id="rId7878">
        <w:r>
          <w:rPr>
            <w:color w:val="0000EE"/>
            <w:u w:val="single"/>
          </w:rPr>
          <w:t>Fp 2.8</w:t>
        </w:r>
      </w:hyperlink>
      <w:r>
        <w:t>); ele morreu como um sacrifício pelos pecados de todos (</w:t>
      </w:r>
      <w:hyperlink r:id="rId4668">
        <w:r>
          <w:rPr>
            <w:color w:val="0000EE"/>
            <w:u w:val="single"/>
          </w:rPr>
          <w:t>1Co 5.7</w:t>
        </w:r>
      </w:hyperlink>
      <w:r>
        <w:t xml:space="preserve">; </w:t>
      </w:r>
      <w:hyperlink r:id="rId14826">
        <w:r>
          <w:rPr>
            <w:color w:val="0000EE"/>
            <w:u w:val="single"/>
          </w:rPr>
          <w:t>2Co 5.15</w:t>
        </w:r>
      </w:hyperlink>
      <w:r>
        <w:t>); e ele desceu para o Hades, o lugar dos mortos (</w:t>
      </w:r>
      <w:hyperlink r:id="rId14827">
        <w:r>
          <w:rPr>
            <w:color w:val="0000EE"/>
            <w:u w:val="single"/>
          </w:rPr>
          <w:t>1Pe 3.18–19</w:t>
        </w:r>
      </w:hyperlink>
      <w:r>
        <w:t>). O ponto principal de todas essas passagens é que ele não permaneceu morto, mas derrotou o diabo, tomou o poder (chaves) da morte e ascendeu em vitória (</w:t>
      </w:r>
      <w:hyperlink r:id="rId14828">
        <w:r>
          <w:rPr>
            <w:color w:val="0000EE"/>
            <w:u w:val="single"/>
          </w:rPr>
          <w:t>Hb 2.14–15</w:t>
        </w:r>
      </w:hyperlink>
      <w:r>
        <w:t xml:space="preserve">; </w:t>
      </w:r>
      <w:hyperlink r:id="rId2053">
        <w:r>
          <w:rPr>
            <w:color w:val="0000EE"/>
            <w:u w:val="single"/>
          </w:rPr>
          <w:t>Ap 1.17–18</w:t>
        </w:r>
      </w:hyperlink>
      <w:r>
        <w:t>). Jesus Cristo trabalhou não para seu próprio benefício, mas para aqueles que se comprometem a ele (</w:t>
      </w:r>
      <w:hyperlink r:id="rId921">
        <w:r>
          <w:rPr>
            <w:color w:val="0000EE"/>
            <w:u w:val="single"/>
          </w:rPr>
          <w:t>Mc 10.45</w:t>
        </w:r>
      </w:hyperlink>
      <w:r>
        <w:t xml:space="preserve">; </w:t>
      </w:r>
      <w:hyperlink r:id="rId14829">
        <w:r>
          <w:rPr>
            <w:color w:val="0000EE"/>
            <w:u w:val="single"/>
          </w:rPr>
          <w:t>Rm 5.6–8</w:t>
        </w:r>
      </w:hyperlink>
      <w:r>
        <w:t xml:space="preserve">; </w:t>
      </w:r>
      <w:hyperlink r:id="rId14830">
        <w:r>
          <w:rPr>
            <w:color w:val="0000EE"/>
            <w:u w:val="single"/>
          </w:rPr>
          <w:t>1Ts 5.9–10</w:t>
        </w:r>
      </w:hyperlink>
      <w:r>
        <w:t>). Ao aceitar uma morte que ele não merecia, Cristo quebrou o poder da morte para seus seguidores.</w:t>
      </w:r>
    </w:p>
    <w:p>
      <w:r/>
      <w:r>
        <w:t>O cristão é assim liberto de “este corpo de morte” (</w:t>
      </w:r>
      <w:hyperlink r:id="rId5971">
        <w:r>
          <w:rPr>
            <w:color w:val="0000EE"/>
            <w:u w:val="single"/>
          </w:rPr>
          <w:t>Rm 7.24</w:t>
        </w:r>
      </w:hyperlink>
      <w:r>
        <w:t>) pelo poder de Cristo. A salvação vem através de ser batizado na morte de Cristo (</w:t>
      </w:r>
      <w:hyperlink r:id="rId14831">
        <w:r>
          <w:rPr>
            <w:color w:val="0000EE"/>
            <w:u w:val="single"/>
          </w:rPr>
          <w:t>6.3–4</w:t>
        </w:r>
      </w:hyperlink>
      <w:r>
        <w:t>), e “morrer com Cristo” para o mundo e a lei (</w:t>
      </w:r>
      <w:hyperlink r:id="rId841">
        <w:r>
          <w:rPr>
            <w:color w:val="0000EE"/>
            <w:u w:val="single"/>
          </w:rPr>
          <w:t>Rm 7.6</w:t>
        </w:r>
      </w:hyperlink>
      <w:r>
        <w:t xml:space="preserve">; </w:t>
      </w:r>
      <w:hyperlink r:id="rId6351">
        <w:r>
          <w:rPr>
            <w:color w:val="0000EE"/>
            <w:u w:val="single"/>
          </w:rPr>
          <w:t>Gl 6.14</w:t>
        </w:r>
      </w:hyperlink>
      <w:r>
        <w:t xml:space="preserve">; </w:t>
      </w:r>
      <w:hyperlink r:id="rId5130">
        <w:r>
          <w:rPr>
            <w:color w:val="0000EE"/>
            <w:u w:val="single"/>
          </w:rPr>
          <w:t>Cl 2.20</w:t>
        </w:r>
      </w:hyperlink>
      <w:r>
        <w:t>). Ou seja, a morte de Cristo é contada por Deus como a morte do crente. O pecado do mundo rebelde (</w:t>
      </w:r>
      <w:hyperlink r:id="rId4317">
        <w:r>
          <w:rPr>
            <w:color w:val="0000EE"/>
            <w:u w:val="single"/>
          </w:rPr>
          <w:t>Rm 6.6</w:t>
        </w:r>
      </w:hyperlink>
      <w:r>
        <w:t xml:space="preserve">) e a autoidolatria (viver para si mesmo, </w:t>
      </w:r>
      <w:hyperlink r:id="rId14832">
        <w:r>
          <w:rPr>
            <w:color w:val="0000EE"/>
            <w:u w:val="single"/>
          </w:rPr>
          <w:t>2Co 5.14–15</w:t>
        </w:r>
      </w:hyperlink>
      <w:r>
        <w:t>) se tornam coisas do passado. A morte de Jesus por seu povo é o meio pelo qual sua vida é dada a eles (</w:t>
      </w:r>
      <w:hyperlink r:id="rId14833">
        <w:r>
          <w:rPr>
            <w:color w:val="0000EE"/>
            <w:u w:val="single"/>
          </w:rPr>
          <w:t>4.10</w:t>
        </w:r>
      </w:hyperlink>
      <w:r>
        <w:t>). O resultado é que os crentes agora estão separados do mundo assim como eles foram separados de Deus. Do ponto de vista do mundo, eles estão mortos; Cristo é a única vida deles (</w:t>
      </w:r>
      <w:hyperlink r:id="rId14834">
        <w:r>
          <w:rPr>
            <w:color w:val="0000EE"/>
            <w:u w:val="single"/>
          </w:rPr>
          <w:t>Cl 3.3</w:t>
        </w:r>
      </w:hyperlink>
      <w:r>
        <w:t>).</w:t>
      </w:r>
    </w:p>
    <w:p>
      <w:r/>
      <w:r>
        <w:t>O apóstolo João expressou isso de forma um pouco diferente. Jesus veio ao mundo para dar vida aos mortos (</w:t>
      </w:r>
      <w:hyperlink r:id="rId11857">
        <w:r>
          <w:rPr>
            <w:color w:val="0000EE"/>
            <w:u w:val="single"/>
          </w:rPr>
          <w:t>Jo 5.24</w:t>
        </w:r>
      </w:hyperlink>
      <w:r>
        <w:t>). Esse "dar vida" não acontecerá na ressurreição; já está acontecendo. Todos os que se comprometem com Jesus passam imediatamente da morte para a vida. Ou, em outras palavras, aqueles que guardam (obedecem) suas palavras nunca verão a morte (</w:t>
      </w:r>
      <w:hyperlink r:id="rId14835">
        <w:r>
          <w:rPr>
            <w:color w:val="0000EE"/>
            <w:u w:val="single"/>
          </w:rPr>
          <w:t>8.51–52</w:t>
        </w:r>
      </w:hyperlink>
      <w:r>
        <w:t>). O ponto é que todos os que estão fora de Cristo já estão mortos, e aqueles que confiam em Cristo já estão desfrutando a vida. A diferença radical entre o cristão e o não cristão é uma diferença entre vida e morte.</w:t>
      </w:r>
    </w:p>
    <w:p>
      <w:r/>
      <w:r>
        <w:t>Naturalmente, os escritores do NT sabiam que os cristãos morrem; seu problema era encontrar palavras para explicar a diferença da morte não cristã. Diz-se que os crentes que morrem fisicamente estão “mortos em Cristo” (</w:t>
      </w:r>
      <w:hyperlink r:id="rId14370">
        <w:r>
          <w:rPr>
            <w:color w:val="0000EE"/>
            <w:u w:val="single"/>
          </w:rPr>
          <w:t>1Ts 4.16</w:t>
        </w:r>
      </w:hyperlink>
      <w:r>
        <w:t>). Ou eles não estão mortos, mas meramente “dormindo” (</w:t>
      </w:r>
      <w:hyperlink r:id="rId14836">
        <w:r>
          <w:rPr>
            <w:color w:val="0000EE"/>
            <w:u w:val="single"/>
          </w:rPr>
          <w:t>1Co 15.6,18,20,51</w:t>
        </w:r>
      </w:hyperlink>
      <w:r>
        <w:t xml:space="preserve">; </w:t>
      </w:r>
      <w:hyperlink r:id="rId14837">
        <w:r>
          <w:rPr>
            <w:color w:val="0000EE"/>
            <w:u w:val="single"/>
          </w:rPr>
          <w:t>1Ts 4.13–15</w:t>
        </w:r>
      </w:hyperlink>
      <w:r>
        <w:t xml:space="preserve">; cf. as palavras de Jesus, </w:t>
      </w:r>
      <w:hyperlink r:id="rId14838">
        <w:r>
          <w:rPr>
            <w:color w:val="0000EE"/>
            <w:u w:val="single"/>
          </w:rPr>
          <w:t>Jo 11.11–14</w:t>
        </w:r>
      </w:hyperlink>
      <w:r>
        <w:t>). Embora seus corpos estejam mortos, os crentes falecidos não estão separados de Cristo; isto é, eles não estão realmente mortos. Todos os poderes da morte e do inferno não podem separar os crentes de Cristo (</w:t>
      </w:r>
      <w:hyperlink r:id="rId4456">
        <w:r>
          <w:rPr>
            <w:color w:val="0000EE"/>
            <w:u w:val="single"/>
          </w:rPr>
          <w:t>Rm 8.38–39</w:t>
        </w:r>
      </w:hyperlink>
      <w:r>
        <w:t>). Para eles, a morte não é uma perda, mas um ganho; isso os leva para mais perto de Cristo (</w:t>
      </w:r>
      <w:hyperlink r:id="rId2678">
        <w:r>
          <w:rPr>
            <w:color w:val="0000EE"/>
            <w:u w:val="single"/>
          </w:rPr>
          <w:t>2Co 5.1–10</w:t>
        </w:r>
      </w:hyperlink>
      <w:r>
        <w:t xml:space="preserve">; </w:t>
      </w:r>
      <w:hyperlink r:id="rId14839">
        <w:r>
          <w:rPr>
            <w:color w:val="0000EE"/>
            <w:u w:val="single"/>
          </w:rPr>
          <w:t>Fp 1.20–21</w:t>
        </w:r>
      </w:hyperlink>
      <w:r>
        <w:t>). Ademais, os crentes também compartilharão da vitória de Cristo sobre a morte física. Porque ele é as “primícias” daqueles que ressuscitam dos mortos (</w:t>
      </w:r>
      <w:hyperlink r:id="rId9310">
        <w:r>
          <w:rPr>
            <w:color w:val="0000EE"/>
            <w:u w:val="single"/>
          </w:rPr>
          <w:t>1Co 15.20</w:t>
        </w:r>
      </w:hyperlink>
      <w:r>
        <w:t xml:space="preserve">; </w:t>
      </w:r>
      <w:hyperlink r:id="rId367">
        <w:r>
          <w:rPr>
            <w:color w:val="0000EE"/>
            <w:u w:val="single"/>
          </w:rPr>
          <w:t>Cl 1.18</w:t>
        </w:r>
      </w:hyperlink>
      <w:r>
        <w:t>), aqueles que estão “em Cristo” ressuscitarão “no último dia” para estar com ele, inteiro e completo.</w:t>
      </w:r>
    </w:p>
    <w:p>
      <w:r/>
      <w:r>
        <w:t>Por outro lado, para aqueles que não pertencem a Cristo, há uma separação final e total de Deus. No julgamento final, todos os nomes que não estão “escritos no Livro da Vida” são consignados a um lago de fogo, na companhia da própria morte e hades. Essa separação final de Deus é a “segunda morte” (</w:t>
      </w:r>
      <w:hyperlink r:id="rId14840">
        <w:r>
          <w:rPr>
            <w:color w:val="0000EE"/>
            <w:u w:val="single"/>
          </w:rPr>
          <w:t>Ap 20.14</w:t>
        </w:r>
      </w:hyperlink>
      <w:r>
        <w:t>). Os cristãos, no entanto, foram salvos da morte (</w:t>
      </w:r>
      <w:hyperlink r:id="rId960">
        <w:r>
          <w:rPr>
            <w:color w:val="0000EE"/>
            <w:u w:val="single"/>
          </w:rPr>
          <w:t>Tg 5.20</w:t>
        </w:r>
      </w:hyperlink>
      <w:r>
        <w:t xml:space="preserve">; </w:t>
      </w:r>
      <w:hyperlink r:id="rId14841">
        <w:r>
          <w:rPr>
            <w:color w:val="0000EE"/>
            <w:u w:val="single"/>
          </w:rPr>
          <w:t>1Jo 3.14</w:t>
        </w:r>
      </w:hyperlink>
      <w:r>
        <w:t>). A segunda morte não tem poder sobre aqueles que são fiéis a Cristo (</w:t>
      </w:r>
      <w:hyperlink r:id="rId14842">
        <w:r>
          <w:rPr>
            <w:color w:val="0000EE"/>
            <w:u w:val="single"/>
          </w:rPr>
          <w:t>Ap 2.11</w:t>
        </w:r>
      </w:hyperlink>
      <w:r>
        <w:t xml:space="preserve">; </w:t>
      </w:r>
      <w:hyperlink r:id="rId14843">
        <w:r>
          <w:rPr>
            <w:color w:val="0000EE"/>
            <w:u w:val="single"/>
          </w:rPr>
          <w:t>20.6</w:t>
        </w:r>
      </w:hyperlink>
      <w:r>
        <w:t>). Em vez disso, eles viverão com Deus, na presença de quem não pode haver morte, pois ele é a própria vida (</w:t>
      </w:r>
      <w:hyperlink r:id="rId3113">
        <w:r>
          <w:rPr>
            <w:color w:val="0000EE"/>
            <w:u w:val="single"/>
          </w:rPr>
          <w:t>21.4</w:t>
        </w:r>
      </w:hyperlink>
      <w:r>
        <w:t>).</w:t>
      </w:r>
    </w:p>
    <w:p>
      <w:r/>
      <w:r>
        <w:rPr>
          <w:i/>
        </w:rPr>
        <w:t>Veja também</w:t>
      </w:r>
      <w:r>
        <w:t xml:space="preserve"> </w:t>
      </w:r>
      <w:r>
        <w:t>Mortos, Lugar dos</w:t>
      </w:r>
      <w:r>
        <w:t xml:space="preserve">; </w:t>
      </w:r>
      <w:r>
        <w:t>Estado Intermediário</w:t>
      </w:r>
      <w:r>
        <w:t xml:space="preserve">; </w:t>
      </w:r>
      <w:r>
        <w:t>Ira de Deus</w:t>
      </w:r>
      <w:r>
        <w:t>.</w:t>
      </w:r>
      <w:r/>
      <w:r/>
    </w:p>
    <w:p>
      <w:r/>
    </w:p>
    <w:p>
      <w:pPr>
        <w:pStyle w:val="Heading2"/>
      </w:pPr>
      <w:r>
        <w:t>Mortos, Lugar Dos</w:t>
      </w:r>
      <w:r/>
    </w:p>
    <w:p>
      <w:r/>
      <w:r>
        <w:t>Termo que cobre uma série de imagens bíblicas que descrevem o paradeiro daqueles que morreram. Essas imagens incluem o Sheol e “o poço” no AT, além do Hades, Geena, paraíso e “o seio de Abraão” no NT. À medida que sua compreensão avançava, a ideia dos hebreus do que acontece na morte mudou de começos bastante nebulosos para um conceito desenvolvido que pode ser encontrado no NT.</w:t>
      </w:r>
    </w:p>
    <w:p>
      <w:pPr>
        <w:pStyle w:val="Heading3"/>
      </w:pPr>
      <w:r>
        <w:t>No Antigo Testamento</w:t>
      </w:r>
    </w:p>
    <w:p>
      <w:r/>
      <w:r>
        <w:t>O AT contém poucas informações sobre os mortos. Na morte, de acordo com algumas passagens do AT, desce-se ao Sheol (muitas vezes traduzido como “sepultura”, “inferno”, “cova” ou simplesmente “os mortos”), o que às vezes significa meramente que alguém é colocado em um túmulo (</w:t>
      </w:r>
      <w:hyperlink r:id="rId14844">
        <w:r>
          <w:rPr>
            <w:color w:val="0000EE"/>
            <w:u w:val="single"/>
          </w:rPr>
          <w:t>Nm 16.30,33</w:t>
        </w:r>
      </w:hyperlink>
      <w:r>
        <w:t>), mas mais frequentemente indica um submundo. A morada dos mortos é retratada como um lugar sob a terra para o qual alguém “desce” (</w:t>
      </w:r>
      <w:hyperlink r:id="rId5533">
        <w:r>
          <w:rPr>
            <w:color w:val="0000EE"/>
            <w:u w:val="single"/>
          </w:rPr>
          <w:t>Gn 42.38</w:t>
        </w:r>
      </w:hyperlink>
      <w:r>
        <w:t xml:space="preserve">; </w:t>
      </w:r>
      <w:hyperlink r:id="rId14845">
        <w:r>
          <w:rPr>
            <w:color w:val="0000EE"/>
            <w:u w:val="single"/>
          </w:rPr>
          <w:t>Pv 15.24</w:t>
        </w:r>
      </w:hyperlink>
      <w:r>
        <w:t xml:space="preserve">; </w:t>
      </w:r>
      <w:hyperlink r:id="rId14846">
        <w:r>
          <w:rPr>
            <w:color w:val="0000EE"/>
            <w:u w:val="single"/>
          </w:rPr>
          <w:t>Ez 26.20</w:t>
        </w:r>
      </w:hyperlink>
      <w:r>
        <w:t>) e como um lugar de trevas sombrias (</w:t>
      </w:r>
      <w:hyperlink r:id="rId8290">
        <w:r>
          <w:rPr>
            <w:color w:val="0000EE"/>
            <w:u w:val="single"/>
          </w:rPr>
          <w:t>Jó 10.21–22</w:t>
        </w:r>
      </w:hyperlink>
      <w:r>
        <w:t>), silêncio (</w:t>
      </w:r>
      <w:hyperlink r:id="rId7503">
        <w:r>
          <w:rPr>
            <w:color w:val="0000EE"/>
            <w:u w:val="single"/>
          </w:rPr>
          <w:t>Sl 94.17</w:t>
        </w:r>
      </w:hyperlink>
      <w:r>
        <w:t xml:space="preserve">; </w:t>
      </w:r>
      <w:hyperlink r:id="rId7504">
        <w:r>
          <w:rPr>
            <w:color w:val="0000EE"/>
            <w:u w:val="single"/>
          </w:rPr>
          <w:t>115.17</w:t>
        </w:r>
      </w:hyperlink>
      <w:r>
        <w:t>) e esquecimento (</w:t>
      </w:r>
      <w:hyperlink r:id="rId8479">
        <w:r>
          <w:rPr>
            <w:color w:val="0000EE"/>
            <w:u w:val="single"/>
          </w:rPr>
          <w:t>Sl 88.12</w:t>
        </w:r>
      </w:hyperlink>
      <w:r>
        <w:t>). Deus não é lembrado lá e seus louvores nunca são entoados (</w:t>
      </w:r>
      <w:hyperlink r:id="rId11021">
        <w:r>
          <w:rPr>
            <w:color w:val="0000EE"/>
            <w:u w:val="single"/>
          </w:rPr>
          <w:t>Sl 6.5</w:t>
        </w:r>
      </w:hyperlink>
      <w:r>
        <w:t xml:space="preserve">; </w:t>
      </w:r>
      <w:hyperlink r:id="rId14847">
        <w:r>
          <w:rPr>
            <w:color w:val="0000EE"/>
            <w:u w:val="single"/>
          </w:rPr>
          <w:t>30.9</w:t>
        </w:r>
      </w:hyperlink>
      <w:r>
        <w:t xml:space="preserve">; </w:t>
      </w:r>
      <w:hyperlink r:id="rId7504">
        <w:r>
          <w:rPr>
            <w:color w:val="0000EE"/>
            <w:u w:val="single"/>
          </w:rPr>
          <w:t>115.17</w:t>
        </w:r>
      </w:hyperlink>
      <w:r>
        <w:t>). Até o próprio Deus, cria-se, não se lembra daqueles que estão lá (</w:t>
      </w:r>
      <w:hyperlink r:id="rId14848">
        <w:r>
          <w:rPr>
            <w:color w:val="0000EE"/>
            <w:u w:val="single"/>
          </w:rPr>
          <w:t>Sl 88.5,11</w:t>
        </w:r>
      </w:hyperlink>
      <w:r>
        <w:t xml:space="preserve">; </w:t>
      </w:r>
      <w:hyperlink r:id="rId11037">
        <w:r>
          <w:rPr>
            <w:color w:val="0000EE"/>
            <w:u w:val="single"/>
          </w:rPr>
          <w:t>Is 38.18</w:t>
        </w:r>
      </w:hyperlink>
      <w:r>
        <w:t xml:space="preserve">). Os mortos eram vistos como permanentemente separados do contato com o Senhor e de participar de sua atividade na história. Mesmo que a fronteira entre vida e morte fosse considerada fluida (conforme demonstrado por uma ressurreição em </w:t>
      </w:r>
      <w:hyperlink r:id="rId14849">
        <w:r>
          <w:rPr>
            <w:color w:val="0000EE"/>
            <w:u w:val="single"/>
          </w:rPr>
          <w:t>2Rs 4.32–37</w:t>
        </w:r>
      </w:hyperlink>
      <w:r>
        <w:t xml:space="preserve"> e pelo fantasma de Samuel em </w:t>
      </w:r>
      <w:hyperlink r:id="rId14850">
        <w:r>
          <w:rPr>
            <w:color w:val="0000EE"/>
            <w:u w:val="single"/>
          </w:rPr>
          <w:t>1Sm 28.7–25</w:t>
        </w:r>
      </w:hyperlink>
      <w:r>
        <w:t>), a comunicação com os mortos era proibida aos judeus (</w:t>
      </w:r>
      <w:hyperlink r:id="rId14851">
        <w:r>
          <w:rPr>
            <w:color w:val="0000EE"/>
            <w:u w:val="single"/>
          </w:rPr>
          <w:t>Dt 18.11</w:t>
        </w:r>
      </w:hyperlink>
      <w:r>
        <w:t>). (Adorar os mortos era uma prática comum nas nações que cercavam Israel).</w:t>
      </w:r>
    </w:p>
    <w:p>
      <w:r/>
      <w:r>
        <w:t>Embora o destino de alguém no submundo não pudesse ser devidamente chamado de vida, era um tipo de existência, a qual poderia até mesmo ocorrer na companhia de compatriotas e antepassados (</w:t>
      </w:r>
      <w:hyperlink r:id="rId14852">
        <w:r>
          <w:rPr>
            <w:color w:val="0000EE"/>
            <w:u w:val="single"/>
          </w:rPr>
          <w:t>Gn 25.8</w:t>
        </w:r>
      </w:hyperlink>
      <w:r>
        <w:t xml:space="preserve">; </w:t>
      </w:r>
      <w:hyperlink r:id="rId14853">
        <w:r>
          <w:rPr>
            <w:color w:val="0000EE"/>
            <w:u w:val="single"/>
          </w:rPr>
          <w:t>Ez 32.17–30</w:t>
        </w:r>
      </w:hyperlink>
      <w:r>
        <w:t>). O reino dos mortos não estava além do alcance do poder de Deus (</w:t>
      </w:r>
      <w:hyperlink r:id="rId14816">
        <w:r>
          <w:rPr>
            <w:color w:val="0000EE"/>
            <w:u w:val="single"/>
          </w:rPr>
          <w:t>Sl 139.8</w:t>
        </w:r>
      </w:hyperlink>
      <w:r>
        <w:t xml:space="preserve">; </w:t>
      </w:r>
      <w:hyperlink r:id="rId11029">
        <w:r>
          <w:rPr>
            <w:color w:val="0000EE"/>
            <w:u w:val="single"/>
          </w:rPr>
          <w:t>Am 9.2</w:t>
        </w:r>
      </w:hyperlink>
      <w:r>
        <w:t xml:space="preserve">; </w:t>
      </w:r>
      <w:hyperlink r:id="rId14854">
        <w:r>
          <w:rPr>
            <w:color w:val="0000EE"/>
            <w:u w:val="single"/>
          </w:rPr>
          <w:t>Jn 2.2</w:t>
        </w:r>
      </w:hyperlink>
      <w:r>
        <w:t>). Embora o Sheol tenha sido retratado como um monstro faminto que devora os vivos (</w:t>
      </w:r>
      <w:hyperlink r:id="rId35">
        <w:r>
          <w:rPr>
            <w:color w:val="0000EE"/>
            <w:u w:val="single"/>
          </w:rPr>
          <w:t>Pv 27.20</w:t>
        </w:r>
      </w:hyperlink>
      <w:r>
        <w:t xml:space="preserve">; </w:t>
      </w:r>
      <w:hyperlink r:id="rId10298">
        <w:r>
          <w:rPr>
            <w:color w:val="0000EE"/>
            <w:u w:val="single"/>
          </w:rPr>
          <w:t>30.16</w:t>
        </w:r>
      </w:hyperlink>
      <w:r>
        <w:t>), o poder de Deus poderia salvar alguém de seu alcance (</w:t>
      </w:r>
      <w:hyperlink r:id="rId904">
        <w:r>
          <w:rPr>
            <w:color w:val="0000EE"/>
            <w:u w:val="single"/>
          </w:rPr>
          <w:t>Sl 49.15</w:t>
        </w:r>
      </w:hyperlink>
      <w:r>
        <w:t xml:space="preserve">; </w:t>
      </w:r>
      <w:hyperlink r:id="rId14855">
        <w:r>
          <w:rPr>
            <w:color w:val="0000EE"/>
            <w:u w:val="single"/>
          </w:rPr>
          <w:t>86.13</w:t>
        </w:r>
      </w:hyperlink>
      <w:r>
        <w:t>). Ao fim do período do AT, poderia até mesmo haver esperança de que alguém seria finalmente liberto do Sheol (</w:t>
      </w:r>
      <w:hyperlink r:id="rId14856">
        <w:r>
          <w:rPr>
            <w:color w:val="0000EE"/>
            <w:u w:val="single"/>
          </w:rPr>
          <w:t>Jó 14.13–22</w:t>
        </w:r>
      </w:hyperlink>
      <w:r>
        <w:t xml:space="preserve">; </w:t>
      </w:r>
      <w:hyperlink r:id="rId11032">
        <w:r>
          <w:rPr>
            <w:color w:val="0000EE"/>
            <w:u w:val="single"/>
          </w:rPr>
          <w:t>19.25–27</w:t>
        </w:r>
      </w:hyperlink>
      <w:r>
        <w:t xml:space="preserve">; </w:t>
      </w:r>
      <w:hyperlink r:id="rId904">
        <w:r>
          <w:rPr>
            <w:color w:val="0000EE"/>
            <w:u w:val="single"/>
          </w:rPr>
          <w:t>Sl 49.15</w:t>
        </w:r>
      </w:hyperlink>
      <w:r>
        <w:t xml:space="preserve">; </w:t>
      </w:r>
      <w:hyperlink r:id="rId14815">
        <w:r>
          <w:rPr>
            <w:color w:val="0000EE"/>
            <w:u w:val="single"/>
          </w:rPr>
          <w:t>73.23–28</w:t>
        </w:r>
      </w:hyperlink>
      <w:r>
        <w:t>), embora apenas Daniel tenha expressado essa esperança claramente (</w:t>
      </w:r>
      <w:hyperlink r:id="rId14857">
        <w:r>
          <w:rPr>
            <w:color w:val="0000EE"/>
            <w:u w:val="single"/>
          </w:rPr>
          <w:t>Dn 12.1–2</w:t>
        </w:r>
      </w:hyperlink>
      <w:r>
        <w:t>). Então, embora os antigos hebreus nunca tenham esperado pela morte da mesma maneira que o apóstolo Paulo pôde fazer no NT (</w:t>
      </w:r>
      <w:hyperlink r:id="rId14858">
        <w:r>
          <w:rPr>
            <w:color w:val="0000EE"/>
            <w:u w:val="single"/>
          </w:rPr>
          <w:t>2Co 5.1–8</w:t>
        </w:r>
      </w:hyperlink>
      <w:r>
        <w:t xml:space="preserve">; </w:t>
      </w:r>
      <w:hyperlink r:id="rId14859">
        <w:r>
          <w:rPr>
            <w:color w:val="0000EE"/>
            <w:u w:val="single"/>
          </w:rPr>
          <w:t>Fp 1.21–23</w:t>
        </w:r>
      </w:hyperlink>
      <w:r>
        <w:t>), ainda assim, eles vieram a entender que a morte não era um estado sem esperança.</w:t>
      </w:r>
    </w:p>
    <w:p>
      <w:pPr>
        <w:pStyle w:val="Heading3"/>
      </w:pPr>
      <w:r>
        <w:t>Nos escritos intertestamentários</w:t>
      </w:r>
    </w:p>
    <w:p>
      <w:r/>
      <w:r>
        <w:t>Entre o exílio e o início do período do NT (586 a.C. – 30 d.C., sobrepondo com o fim do AT), o contato com as religiões da Pérsia e da Grécia estimulou os judeus a esclarecer suas ideias sobre a vida após a morte. Quando o AT foi traduzido para o grego, o nome grego para o submundo, “Hades”, foi usado para traduzir o hebraico “Sheol”. No NT, Hades passou a ser o nome comum para a morada dos mortos.</w:t>
      </w:r>
    </w:p>
    <w:p>
      <w:r/>
      <w:r>
        <w:t>Junto com novos nomes, vieram novas ideias. Muitas noções diferentes circulavam sobre o lugar dos mortos. Uma ideia comum aparece no pseudoepígrafo de 1 Enoque 22, onde é dito aos mortos que sejam mantidos em lugares ocos em uma grande montanha esperando pelo julgamento final. Uma seção relativamente agradável era reservada para os justos, enquanto uma cheia de tormentos era reservada para os ímpios. Outros escritores continuaram o conceito do AT de Hades ou Sheol como um lugar de separação de Deus e da felicidade (</w:t>
      </w:r>
      <w:hyperlink r:id="rId14860">
        <w:r>
          <w:rPr>
            <w:color w:val="0000EE"/>
            <w:u w:val="single"/>
          </w:rPr>
          <w:t>Eclo 14.12,16</w:t>
        </w:r>
      </w:hyperlink>
      <w:r>
        <w:t xml:space="preserve">; </w:t>
      </w:r>
      <w:hyperlink r:id="rId14861">
        <w:r>
          <w:rPr>
            <w:color w:val="0000EE"/>
            <w:u w:val="single"/>
          </w:rPr>
          <w:t>17.27–28</w:t>
        </w:r>
      </w:hyperlink>
      <w:r>
        <w:t>).</w:t>
      </w:r>
    </w:p>
    <w:p>
      <w:r/>
      <w:r>
        <w:t>Durante esse período, os judeus também começaram a usar um novo termo, “Geena” (hebraico “Hinom”), o nome de um vale ao sul de Jerusalém. O vale era conhecido no período do AT pela abominação dos sacrifícios de crianças (</w:t>
      </w:r>
      <w:hyperlink r:id="rId9794">
        <w:r>
          <w:rPr>
            <w:color w:val="0000EE"/>
            <w:u w:val="single"/>
          </w:rPr>
          <w:t>2Rs 23.10</w:t>
        </w:r>
      </w:hyperlink>
      <w:r>
        <w:t xml:space="preserve">; </w:t>
      </w:r>
      <w:hyperlink r:id="rId9791">
        <w:r>
          <w:rPr>
            <w:color w:val="0000EE"/>
            <w:u w:val="single"/>
          </w:rPr>
          <w:t>2Cr 28:3</w:t>
        </w:r>
      </w:hyperlink>
      <w:r>
        <w:t xml:space="preserve">; </w:t>
      </w:r>
      <w:hyperlink r:id="rId6678">
        <w:r>
          <w:rPr>
            <w:color w:val="0000EE"/>
            <w:u w:val="single"/>
          </w:rPr>
          <w:t>33:6</w:t>
        </w:r>
      </w:hyperlink>
      <w:r>
        <w:t xml:space="preserve">) e no período do NT pelo seu lixo fumegante. Geena se tornou uma designação para o lugar final dos ímpios mortos, um lugar de tormento ardente (1 Enoque 90.20–27; </w:t>
      </w:r>
      <w:hyperlink r:id="rId14862">
        <w:r>
          <w:rPr>
            <w:color w:val="0000EE"/>
            <w:u w:val="single"/>
          </w:rPr>
          <w:t>2 Ed 7.70</w:t>
        </w:r>
      </w:hyperlink>
      <w:r>
        <w:t>). Em oposição a esse lugar de punição estava o “paraíso” (um nome persa para um jardim de prazeres), um lugar onde os justos desfrutariam de bem-aventurança.</w:t>
      </w:r>
    </w:p>
    <w:p>
      <w:r/>
      <w:r>
        <w:t>Todos esses conceitos — Hades, Geena, paraíso — foram moldados pelos escritores do NT em formas mais apropriadas para a revelação de Cristo.</w:t>
      </w:r>
    </w:p>
    <w:p>
      <w:pPr>
        <w:pStyle w:val="Heading3"/>
      </w:pPr>
      <w:r>
        <w:t>No Novo Testamento</w:t>
      </w:r>
    </w:p>
    <w:p>
      <w:r/>
      <w:r>
        <w:t>Embora o NT use uma variedade de termos para a morada dos mortos, contém surpreendentemente poucas referências a ele — cerca de 35 versos ao todo. Essas passagens estão concentradas nos Evangelhos e no livro de Apocalipse. O apóstolo Paulo falou muito sobre o céu, mas apenas Jesus e João falaram muito sobre o inferno.</w:t>
      </w:r>
    </w:p>
    <w:p>
      <w:r/>
      <w:r>
        <w:t>A palavra “Hades” é atribuída a Jesus apenas uma vez, na parábola do homem rico e Lázaro (</w:t>
      </w:r>
      <w:hyperlink r:id="rId10306">
        <w:r>
          <w:rPr>
            <w:color w:val="0000EE"/>
            <w:u w:val="single"/>
          </w:rPr>
          <w:t>Lc 16.23</w:t>
        </w:r>
      </w:hyperlink>
      <w:r>
        <w:t>). Nessa parábola, Hades é um lugar de tormento onde os ímpios vão quando morrem. O tormento é descrito como uma “chama” que aflige uma pessoa fisicamente, mesmo após a morte corporal. Todo o conforto é rejeitado àqueles em agonia.</w:t>
      </w:r>
    </w:p>
    <w:p>
      <w:r/>
      <w:r>
        <w:t>Embora os ímpios vão para o Hades assim que morrem, seu destino final é Geena, um lugar de fogo e vermes, ambos indicando corrupção (</w:t>
      </w:r>
      <w:hyperlink r:id="rId9801">
        <w:r>
          <w:rPr>
            <w:color w:val="0000EE"/>
            <w:u w:val="single"/>
          </w:rPr>
          <w:t>Mt 5.22,29–30</w:t>
        </w:r>
      </w:hyperlink>
      <w:r>
        <w:t xml:space="preserve">; </w:t>
      </w:r>
      <w:hyperlink r:id="rId9802">
        <w:r>
          <w:rPr>
            <w:color w:val="0000EE"/>
            <w:u w:val="single"/>
          </w:rPr>
          <w:t>18.9</w:t>
        </w:r>
      </w:hyperlink>
      <w:r>
        <w:t xml:space="preserve">; </w:t>
      </w:r>
      <w:hyperlink r:id="rId1897">
        <w:r>
          <w:rPr>
            <w:color w:val="0000EE"/>
            <w:u w:val="single"/>
          </w:rPr>
          <w:t>Mc 9.48</w:t>
        </w:r>
      </w:hyperlink>
      <w:r>
        <w:t xml:space="preserve">, citando </w:t>
      </w:r>
      <w:hyperlink r:id="rId9800">
        <w:r>
          <w:rPr>
            <w:color w:val="0000EE"/>
            <w:u w:val="single"/>
          </w:rPr>
          <w:t>Is 66.24</w:t>
        </w:r>
      </w:hyperlink>
      <w:r>
        <w:t>). Jesus também se referiu a Geena como “as trevas exteriores”, onde haverá “choro e ranger de dentes” (</w:t>
      </w:r>
      <w:hyperlink r:id="rId8318">
        <w:r>
          <w:rPr>
            <w:color w:val="0000EE"/>
            <w:u w:val="single"/>
          </w:rPr>
          <w:t>Mt 8.12</w:t>
        </w:r>
      </w:hyperlink>
      <w:r>
        <w:t xml:space="preserve">; </w:t>
      </w:r>
      <w:hyperlink r:id="rId7077">
        <w:r>
          <w:rPr>
            <w:color w:val="0000EE"/>
            <w:u w:val="single"/>
          </w:rPr>
          <w:t>22.13</w:t>
        </w:r>
      </w:hyperlink>
      <w:r>
        <w:t xml:space="preserve">; </w:t>
      </w:r>
      <w:hyperlink r:id="rId8319">
        <w:r>
          <w:rPr>
            <w:color w:val="0000EE"/>
            <w:u w:val="single"/>
          </w:rPr>
          <w:t>25.30</w:t>
        </w:r>
      </w:hyperlink>
      <w:r>
        <w:t>). Evidentemente, após o julgamento final, os ímpios serão enviados para lá ao comando de Cristo (</w:t>
      </w:r>
      <w:hyperlink r:id="rId14863">
        <w:r>
          <w:rPr>
            <w:color w:val="0000EE"/>
            <w:u w:val="single"/>
          </w:rPr>
          <w:t>Jo 5.22,27</w:t>
        </w:r>
      </w:hyperlink>
      <w:r>
        <w:t xml:space="preserve">; </w:t>
      </w:r>
      <w:hyperlink r:id="rId12582">
        <w:r>
          <w:rPr>
            <w:color w:val="0000EE"/>
            <w:u w:val="single"/>
          </w:rPr>
          <w:t>Atos 10.42</w:t>
        </w:r>
      </w:hyperlink>
      <w:r>
        <w:t xml:space="preserve">; </w:t>
      </w:r>
      <w:hyperlink r:id="rId9441">
        <w:r>
          <w:rPr>
            <w:color w:val="0000EE"/>
            <w:u w:val="single"/>
          </w:rPr>
          <w:t>17.31</w:t>
        </w:r>
      </w:hyperlink>
      <w:r>
        <w:t xml:space="preserve">; </w:t>
      </w:r>
      <w:hyperlink r:id="rId14864">
        <w:r>
          <w:rPr>
            <w:color w:val="0000EE"/>
            <w:u w:val="single"/>
          </w:rPr>
          <w:t>2Tm 4.1</w:t>
        </w:r>
      </w:hyperlink>
      <w:r>
        <w:t>). Esse lugar de tormento retrata o lado negativo do conceito do AT do Sheol como um lugar de separação de Deus.</w:t>
      </w:r>
    </w:p>
    <w:p>
      <w:r/>
      <w:r>
        <w:t>Como um pregador do arrependimento, Jesus enfatizou o perigo de Geena. Ele tinha muito menos a dizer sobre o lugar dos justos quando eles morrem. Em última análise, porém, os justos entrariam no “reino”, em vez de Geena, após o último julgamento (</w:t>
      </w:r>
      <w:hyperlink r:id="rId10546">
        <w:r>
          <w:rPr>
            <w:color w:val="0000EE"/>
            <w:u w:val="single"/>
          </w:rPr>
          <w:t>Mt 25.34</w:t>
        </w:r>
      </w:hyperlink>
      <w:r>
        <w:t xml:space="preserve">). Jesus indicou duas vezes que os justos entram em um estado abençoado imediatamente após a morte. </w:t>
      </w:r>
      <w:hyperlink r:id="rId14865">
        <w:r>
          <w:rPr>
            <w:color w:val="0000EE"/>
            <w:u w:val="single"/>
          </w:rPr>
          <w:t>Lucas 16.22</w:t>
        </w:r>
      </w:hyperlink>
      <w:r>
        <w:t xml:space="preserve"> se refere ao morto Lázaro como estando no “seio de Abraão”, um lugar de conforto e paz. </w:t>
      </w:r>
      <w:hyperlink r:id="rId7494">
        <w:r>
          <w:rPr>
            <w:color w:val="0000EE"/>
            <w:u w:val="single"/>
          </w:rPr>
          <w:t>Lucas 23.43</w:t>
        </w:r>
      </w:hyperlink>
      <w:r>
        <w:t xml:space="preserve"> chama o mesmo lugar de paraíso em uma promessa de que o ladrão que estava prestes a morrer se juntaria a Jesus lá na morte. A redação de Paulo sobre o paraíso parece alinhá-lo com o céu (</w:t>
      </w:r>
      <w:hyperlink r:id="rId14866">
        <w:r>
          <w:rPr>
            <w:color w:val="0000EE"/>
            <w:u w:val="single"/>
          </w:rPr>
          <w:t>2Co 12.2–3</w:t>
        </w:r>
      </w:hyperlink>
      <w:r>
        <w:t>), e João associa o paraíso com o novo céu e a nova terra (</w:t>
      </w:r>
      <w:hyperlink r:id="rId2166">
        <w:r>
          <w:rPr>
            <w:color w:val="0000EE"/>
            <w:u w:val="single"/>
          </w:rPr>
          <w:t>Ap 2.7</w:t>
        </w:r>
      </w:hyperlink>
      <w:r>
        <w:t xml:space="preserve">; </w:t>
      </w:r>
      <w:hyperlink r:id="rId14867">
        <w:r>
          <w:rPr>
            <w:color w:val="0000EE"/>
            <w:u w:val="single"/>
          </w:rPr>
          <w:t>21.1–2</w:t>
        </w:r>
      </w:hyperlink>
      <w:r>
        <w:t xml:space="preserve">; </w:t>
      </w:r>
      <w:hyperlink r:id="rId607">
        <w:r>
          <w:rPr>
            <w:color w:val="0000EE"/>
            <w:u w:val="single"/>
          </w:rPr>
          <w:t>22.1–2</w:t>
        </w:r>
      </w:hyperlink>
      <w:r>
        <w:t>).</w:t>
      </w:r>
    </w:p>
    <w:p>
      <w:r/>
      <w:r>
        <w:t>Paulo e outros escritores das epístolas do NT tinham pouco a dizer sobre a morada dos mortos ímpios. Paulo falou apenas sobre passar do “abismo” — seu termo para o poço do Sheol (</w:t>
      </w:r>
      <w:hyperlink r:id="rId114">
        <w:r>
          <w:rPr>
            <w:color w:val="0000EE"/>
            <w:u w:val="single"/>
          </w:rPr>
          <w:t>Rm 10.7</w:t>
        </w:r>
      </w:hyperlink>
      <w:r>
        <w:t>). Sua referência à descida de Cristo às “partes inferiores da terra” (</w:t>
      </w:r>
      <w:hyperlink r:id="rId14868">
        <w:r>
          <w:rPr>
            <w:color w:val="0000EE"/>
            <w:u w:val="single"/>
          </w:rPr>
          <w:t>Ef 4.9</w:t>
        </w:r>
      </w:hyperlink>
      <w:r>
        <w:t>) é provavelmente apenas sua maneira de dizer que Cristo, tendo morrido, foi para o lugar dos mortos. (“A terra mais baixa” era um termo usado por rabinos judeus para Sheol/Hades/Geena). Pedro falou da ida de Cristo em “espírito” após sua morte para alguma “prisão” onde ele “pregou aos espíritos” (</w:t>
      </w:r>
      <w:hyperlink r:id="rId8477">
        <w:r>
          <w:rPr>
            <w:color w:val="0000EE"/>
            <w:u w:val="single"/>
          </w:rPr>
          <w:t>1Pe 3.18–20</w:t>
        </w:r>
      </w:hyperlink>
      <w:r>
        <w:t xml:space="preserve">). As interpretações dessa passagem diferem. Alguns pensam que Cristo entrou no Hades e pregou aos anjos caídos dos dias de Noé (“filhos de Deus”, </w:t>
      </w:r>
      <w:hyperlink r:id="rId8478">
        <w:r>
          <w:rPr>
            <w:color w:val="0000EE"/>
            <w:u w:val="single"/>
          </w:rPr>
          <w:t>Gn 6.1–4</w:t>
        </w:r>
      </w:hyperlink>
      <w:r>
        <w:t xml:space="preserve">), não que ele pregou para espíritos humanos aprisionados. Em </w:t>
      </w:r>
      <w:hyperlink r:id="rId110">
        <w:r>
          <w:rPr>
            <w:color w:val="0000EE"/>
            <w:u w:val="single"/>
          </w:rPr>
          <w:t>2 Pedro 2.4</w:t>
        </w:r>
      </w:hyperlink>
      <w:r>
        <w:t>, a prisão para espíritos (geralmente traduzida como “inferno”) vem de “Tártaro”, outro nome grego para o submundo.</w:t>
      </w:r>
    </w:p>
    <w:p>
      <w:r/>
      <w:r>
        <w:t>Paulo tinha muito a dizer sobre a morada dos mortos justos. Em suas primeiras cartas ele em momento nenhum menciona sua localização, apenas que eles seriam ressuscitados (</w:t>
      </w:r>
      <w:hyperlink r:id="rId5845">
        <w:r>
          <w:rPr>
            <w:color w:val="0000EE"/>
            <w:u w:val="single"/>
          </w:rPr>
          <w:t>1Co 15</w:t>
        </w:r>
      </w:hyperlink>
      <w:r>
        <w:t xml:space="preserve">; </w:t>
      </w:r>
      <w:hyperlink r:id="rId14869">
        <w:r>
          <w:rPr>
            <w:color w:val="0000EE"/>
            <w:u w:val="single"/>
          </w:rPr>
          <w:t>1Ts 4.13–17</w:t>
        </w:r>
      </w:hyperlink>
      <w:r>
        <w:t>). Depois de enfrentar a morte quase certa (</w:t>
      </w:r>
      <w:hyperlink r:id="rId5880">
        <w:r>
          <w:rPr>
            <w:color w:val="0000EE"/>
            <w:u w:val="single"/>
          </w:rPr>
          <w:t>2Co 1.8–11</w:t>
        </w:r>
      </w:hyperlink>
      <w:r>
        <w:t>), ele começou a discorrer sobre para onde os mortos “iam”. Morrer significa estar com Cristo, disse Paulo, e, portanto, é melhor do que a vida (</w:t>
      </w:r>
      <w:hyperlink r:id="rId5076">
        <w:r>
          <w:rPr>
            <w:color w:val="0000EE"/>
            <w:u w:val="single"/>
          </w:rPr>
          <w:t>Fp 1.23</w:t>
        </w:r>
      </w:hyperlink>
      <w:r>
        <w:t>). Estar “longe do corpo” é estar “em casa com o Senhor” (</w:t>
      </w:r>
      <w:hyperlink r:id="rId7495">
        <w:r>
          <w:rPr>
            <w:color w:val="0000EE"/>
            <w:u w:val="single"/>
          </w:rPr>
          <w:t>2Co 5.8</w:t>
        </w:r>
      </w:hyperlink>
      <w:r>
        <w:t xml:space="preserve">). Paulo provavelmente quis dizer que os mortos justos foram diretamente para o paraíso para estar com Jesus (cf. </w:t>
      </w:r>
      <w:hyperlink r:id="rId2221">
        <w:r>
          <w:rPr>
            <w:color w:val="0000EE"/>
            <w:u w:val="single"/>
          </w:rPr>
          <w:t>2Co 12.2–4</w:t>
        </w:r>
      </w:hyperlink>
      <w:r>
        <w:t>, onde Paulo chamou o paraíso de “o terceiro céu”). A morte não tem absolutamente nenhum poder para separar os cristãos de Cristo (</w:t>
      </w:r>
      <w:hyperlink r:id="rId4456">
        <w:r>
          <w:rPr>
            <w:color w:val="0000EE"/>
            <w:u w:val="single"/>
          </w:rPr>
          <w:t>Rm 8.38–39</w:t>
        </w:r>
      </w:hyperlink>
      <w:r>
        <w:t>). Em vez disso, os traz para a presença de Deus.</w:t>
      </w:r>
    </w:p>
    <w:p>
      <w:r/>
      <w:r>
        <w:t>O livro de Apocalipse contém muito sobre a morada dos mortos, especialmente os mortos ímpios. O livro usa dois nomes para esse lugar: “o abismo”, a casa ou prisão de todos os espíritos malignos; e “Hades”, o nome para o lugar dos mortos humanos. Do abismo (ou fosso sem fundo) vêm as formas demoníacas que atormentam a humanidade (</w:t>
      </w:r>
      <w:hyperlink r:id="rId116">
        <w:r>
          <w:rPr>
            <w:color w:val="0000EE"/>
            <w:u w:val="single"/>
          </w:rPr>
          <w:t>Ap 9.1–11</w:t>
        </w:r>
      </w:hyperlink>
      <w:r>
        <w:t>) e a “besta” satânica, que mata as duas testemunhas e carrega a “grande prostituta” nas costas (</w:t>
      </w:r>
      <w:hyperlink r:id="rId117">
        <w:r>
          <w:rPr>
            <w:color w:val="0000EE"/>
            <w:u w:val="single"/>
          </w:rPr>
          <w:t>11.7</w:t>
        </w:r>
      </w:hyperlink>
      <w:r>
        <w:t xml:space="preserve">; </w:t>
      </w:r>
      <w:hyperlink r:id="rId2035">
        <w:r>
          <w:rPr>
            <w:color w:val="0000EE"/>
            <w:u w:val="single"/>
          </w:rPr>
          <w:t>17</w:t>
        </w:r>
      </w:hyperlink>
      <w:r>
        <w:t>). Lá o próprio Satanás será preso (</w:t>
      </w:r>
      <w:hyperlink r:id="rId120">
        <w:r>
          <w:rPr>
            <w:color w:val="0000EE"/>
            <w:u w:val="single"/>
          </w:rPr>
          <w:t>20.2–3</w:t>
        </w:r>
      </w:hyperlink>
      <w:r>
        <w:t xml:space="preserve">). Jesus o descreveu como um lugar preparado para o diabo e seus anjos (cf. </w:t>
      </w:r>
      <w:hyperlink r:id="rId6692">
        <w:r>
          <w:rPr>
            <w:color w:val="0000EE"/>
            <w:u w:val="single"/>
          </w:rPr>
          <w:t>Mt 25.41</w:t>
        </w:r>
      </w:hyperlink>
      <w:r>
        <w:t>). As boas novas para os cristãos são que o abismo, ou Hades, não são um reino autônomo. O livro de Apocalipse começa com o anúncio de Jesus de que ele tem as chaves do Hades (</w:t>
      </w:r>
      <w:hyperlink r:id="rId10304">
        <w:r>
          <w:rPr>
            <w:color w:val="0000EE"/>
            <w:u w:val="single"/>
          </w:rPr>
          <w:t>Ap 1.18</w:t>
        </w:r>
      </w:hyperlink>
      <w:r>
        <w:t>), e no final ele o forçará a desistir de seus mortos (</w:t>
      </w:r>
      <w:hyperlink r:id="rId14870">
        <w:r>
          <w:rPr>
            <w:color w:val="0000EE"/>
            <w:u w:val="single"/>
          </w:rPr>
          <w:t>20.13</w:t>
        </w:r>
      </w:hyperlink>
      <w:r>
        <w:t>). Até então, a chave para o abismo não está na mão de Satanás, mas está pendurada em um chaveiro celestial para ser distribuída apenas aos mensageiros de Deus (</w:t>
      </w:r>
      <w:hyperlink r:id="rId37">
        <w:r>
          <w:rPr>
            <w:color w:val="0000EE"/>
            <w:u w:val="single"/>
          </w:rPr>
          <w:t>9.1</w:t>
        </w:r>
      </w:hyperlink>
      <w:r>
        <w:t xml:space="preserve">; </w:t>
      </w:r>
      <w:hyperlink r:id="rId14871">
        <w:r>
          <w:rPr>
            <w:color w:val="0000EE"/>
            <w:u w:val="single"/>
          </w:rPr>
          <w:t>20.1</w:t>
        </w:r>
      </w:hyperlink>
      <w:r>
        <w:t>). No final, o Hades, a morte e os ímpios serão lançados no lago de fogo (Geena), onde eles sofrerão tormento eterno (</w:t>
      </w:r>
      <w:hyperlink r:id="rId8093">
        <w:r>
          <w:rPr>
            <w:color w:val="0000EE"/>
            <w:u w:val="single"/>
          </w:rPr>
          <w:t>19.20</w:t>
        </w:r>
      </w:hyperlink>
      <w:r>
        <w:t xml:space="preserve">; </w:t>
      </w:r>
      <w:hyperlink r:id="rId6693">
        <w:r>
          <w:rPr>
            <w:color w:val="0000EE"/>
            <w:u w:val="single"/>
          </w:rPr>
          <w:t>20.10, 14–15</w:t>
        </w:r>
      </w:hyperlink>
      <w:r>
        <w:t xml:space="preserve">; </w:t>
      </w:r>
      <w:hyperlink r:id="rId144">
        <w:r>
          <w:rPr>
            <w:color w:val="0000EE"/>
            <w:u w:val="single"/>
          </w:rPr>
          <w:t>21.8</w:t>
        </w:r>
      </w:hyperlink>
      <w:r>
        <w:t>).</w:t>
      </w:r>
    </w:p>
    <w:p>
      <w:r/>
      <w:r>
        <w:t>João, o escritor de Apocalipse, concordou com Paulo que os justos não compartilharão o destino dos ímpios na morte. Em vez de ir para o Hades, eles vão para o céu. Os mártires aparecem sob o altar, clamando a Deus para que os vingue (</w:t>
      </w:r>
      <w:hyperlink r:id="rId14872">
        <w:r>
          <w:rPr>
            <w:color w:val="0000EE"/>
            <w:u w:val="single"/>
          </w:rPr>
          <w:t>Ap 6.9–11</w:t>
        </w:r>
      </w:hyperlink>
      <w:r>
        <w:t>). Em outra imagem, inúmeros cristãos aparecem diante do trono de Deus, louvando-o (</w:t>
      </w:r>
      <w:hyperlink r:id="rId2086">
        <w:r>
          <w:rPr>
            <w:color w:val="0000EE"/>
            <w:u w:val="single"/>
          </w:rPr>
          <w:t>7.9–17</w:t>
        </w:r>
      </w:hyperlink>
      <w:r>
        <w:t>). Esses crentes, pastoreados pelo próprio Cristo, não sofrem fome, sede, desconforto ou tristeza.</w:t>
      </w:r>
    </w:p>
    <w:p>
      <w:pPr>
        <w:pStyle w:val="Heading3"/>
      </w:pPr>
      <w:r>
        <w:t>Conclusão</w:t>
      </w:r>
    </w:p>
    <w:p>
      <w:r/>
      <w:r>
        <w:t>Em resumo, o lugar dos mortos começou no AT como uma ideia indiferenciada e nebulosa de um lugar de separação da vida e de Deus. Escritores posteriores vieram a perceber que, em vez de um só lugar para todos (Sheol), deve haver dois. De acordo com o ensino cristão, os ímpios entram no submundo, o Hades, um lugar de tormento, onde eles sofrem até o tempo do julgamento; em última análise, eles serão lançados ao Geena, o lago de fogo. Cristo — não o diabo — está no controle do Hades, da mesma maneira que ele está de todo o restante da criação. Os justos não vão para o Hades, mas vão diretamente para o paraíso (“o seio de Abraão” ou o céu). Lá eles estão com Cristo; a fé se tornou visão, o sofrimento se tornou bem-aventurança, e a oração se tornou louvor. Os cristãos acreditam que a morte, embora temerosa como o “último inimigo”, não pode oferecer tormento a eles. Ela não tem poder para separá-los de seu Senhor. Em vez disso, ela os traz cara-a-cara com Aquele que eles amam.</w:t>
      </w:r>
    </w:p>
    <w:p>
      <w:r/>
      <w:r>
        <w:t>Esta reunião pode ocorrer assim que alguém morre ou assim que alguém é ressuscitado — o tempo intermediário não oferece nenhuma consequência, visto que não é nada além de um tempo de sono. Em outras palavras, para o crente, a próxima experiência após a morte será a de se encontrar com Cristo.</w:t>
      </w:r>
    </w:p>
    <w:p>
      <w:r/>
      <w:r>
        <w:t xml:space="preserve">Tanto o Antigo quanto o Novo Testamento falam da morte como o sono. Comumente no AT, quando uma pessoa morre, diz-se que ela foi dormir com seus pais (p. ex., </w:t>
      </w:r>
      <w:hyperlink r:id="rId7487">
        <w:r>
          <w:rPr>
            <w:color w:val="0000EE"/>
            <w:u w:val="single"/>
          </w:rPr>
          <w:t>Dt 31.16</w:t>
        </w:r>
      </w:hyperlink>
      <w:r>
        <w:t xml:space="preserve">; </w:t>
      </w:r>
      <w:hyperlink r:id="rId7488">
        <w:r>
          <w:rPr>
            <w:color w:val="0000EE"/>
            <w:u w:val="single"/>
          </w:rPr>
          <w:t>2Sm 7.12</w:t>
        </w:r>
      </w:hyperlink>
      <w:r>
        <w:t>). O próprio Jesus falou sobre a morte como um sono (</w:t>
      </w:r>
      <w:hyperlink r:id="rId7489">
        <w:r>
          <w:rPr>
            <w:color w:val="0000EE"/>
            <w:u w:val="single"/>
          </w:rPr>
          <w:t>Mt 9.24</w:t>
        </w:r>
      </w:hyperlink>
      <w:r>
        <w:t xml:space="preserve">; </w:t>
      </w:r>
      <w:hyperlink r:id="rId7490">
        <w:r>
          <w:rPr>
            <w:color w:val="0000EE"/>
            <w:u w:val="single"/>
          </w:rPr>
          <w:t>Jo 11.11</w:t>
        </w:r>
      </w:hyperlink>
      <w:r>
        <w:t>). O mesmo fez o apóstolo Paulo (</w:t>
      </w:r>
      <w:hyperlink r:id="rId7491">
        <w:r>
          <w:rPr>
            <w:color w:val="0000EE"/>
            <w:u w:val="single"/>
          </w:rPr>
          <w:t>1Co 11.30</w:t>
        </w:r>
      </w:hyperlink>
      <w:r>
        <w:t xml:space="preserve">; </w:t>
      </w:r>
      <w:hyperlink r:id="rId9310">
        <w:r>
          <w:rPr>
            <w:color w:val="0000EE"/>
            <w:u w:val="single"/>
          </w:rPr>
          <w:t>15.20,51</w:t>
        </w:r>
      </w:hyperlink>
      <w:r>
        <w:t xml:space="preserve">; </w:t>
      </w:r>
      <w:hyperlink r:id="rId8497">
        <w:r>
          <w:rPr>
            <w:color w:val="0000EE"/>
            <w:u w:val="single"/>
          </w:rPr>
          <w:t>1Ts 4.14</w:t>
        </w:r>
      </w:hyperlink>
      <w:r>
        <w:t xml:space="preserve">). Pelo menos em algumas dessas referências, parece que a razão pela qual a morte é mencionada como um sono se deve à sua natureza temporária. Mesmo na passagem do AT de </w:t>
      </w:r>
      <w:hyperlink r:id="rId913">
        <w:r>
          <w:rPr>
            <w:color w:val="0000EE"/>
            <w:u w:val="single"/>
          </w:rPr>
          <w:t>Daniel 12.2</w:t>
        </w:r>
      </w:hyperlink>
      <w:r>
        <w:t>, é dito que a morte é um sono, até que os mortos venham a se levantar — alguns para a vida eterna e alguns para vergonha e desprezo eterno.</w:t>
      </w:r>
    </w:p>
    <w:p>
      <w:r/>
      <w:r>
        <w:rPr>
          <w:i/>
        </w:rPr>
        <w:t>Veja também</w:t>
      </w:r>
      <w:r>
        <w:t xml:space="preserve"> </w:t>
      </w:r>
      <w:r>
        <w:t>Geena</w:t>
      </w:r>
      <w:r>
        <w:t xml:space="preserve">; </w:t>
      </w:r>
      <w:r>
        <w:t>Hades</w:t>
      </w:r>
      <w:r>
        <w:t xml:space="preserve">; </w:t>
      </w:r>
      <w:r>
        <w:t>Céu</w:t>
      </w:r>
      <w:r>
        <w:t xml:space="preserve">; </w:t>
      </w:r>
      <w:r>
        <w:t>Inferno</w:t>
      </w:r>
      <w:r>
        <w:t xml:space="preserve">; </w:t>
      </w:r>
      <w:r>
        <w:t>Estado intermediário</w:t>
      </w:r>
      <w:r>
        <w:t xml:space="preserve">; </w:t>
      </w:r>
      <w:r>
        <w:t>Paraíso</w:t>
      </w:r>
      <w:r>
        <w:t xml:space="preserve">; </w:t>
      </w:r>
      <w:r>
        <w:t>Sheol</w:t>
      </w:r>
      <w:r>
        <w:t>.</w:t>
      </w:r>
      <w:r/>
      <w:r/>
    </w:p>
    <w:p>
      <w:r/>
    </w:p>
    <w:p>
      <w:pPr>
        <w:pStyle w:val="Heading2"/>
      </w:pPr>
      <w:r>
        <w:t>Moserote, Moserá</w:t>
      </w:r>
      <w:r/>
    </w:p>
    <w:p>
      <w:r/>
      <w:r>
        <w:t>Local temporário de acampamento dos israelitas durante suas peregrinações no deserto. Estava situado entre Hasmona e Benê-Jaacã (</w:t>
      </w:r>
      <w:hyperlink r:id="rId10736">
        <w:r>
          <w:rPr>
            <w:color w:val="0000EE"/>
            <w:u w:val="single"/>
          </w:rPr>
          <w:t>Nm 33.30–31</w:t>
        </w:r>
      </w:hyperlink>
      <w:r>
        <w:t>). Mais tarde, Arão morreu e foi sepultado lá (</w:t>
      </w:r>
      <w:hyperlink r:id="rId3305">
        <w:r>
          <w:rPr>
            <w:color w:val="0000EE"/>
            <w:u w:val="single"/>
          </w:rPr>
          <w:t>Dt 10.6</w:t>
        </w:r>
      </w:hyperlink>
      <w:r>
        <w:t>). No original, Moserote é a forma plural de Moserá (ou, Mosera).</w:t>
      </w:r>
      <w:r/>
      <w:r/>
    </w:p>
    <w:p>
      <w:r/>
    </w:p>
    <w:p>
      <w:pPr>
        <w:pStyle w:val="Heading2"/>
      </w:pPr>
      <w:r>
        <w:t>Mudez</w:t>
      </w:r>
      <w:r/>
    </w:p>
    <w:p>
      <w:r/>
      <w:r>
        <w:t>A incapacidade de falar. A mudez, ou afasia, pode ser um fenômeno momentâneo ou uma deficiência permanente. Pode resultar de retardo mental, lesão cerebral ou surdez.</w:t>
      </w:r>
    </w:p>
    <w:p>
      <w:r/>
      <w:r>
        <w:t>A Bíblia registra vários exemplos de mudez. Zacarias foi tornado mudo pelo anjo Gabriel por não acreditar que ele se tornaria o pai de João Batista (</w:t>
      </w:r>
      <w:hyperlink r:id="rId14873">
        <w:r>
          <w:rPr>
            <w:color w:val="0000EE"/>
            <w:u w:val="single"/>
          </w:rPr>
          <w:t>Lc 1.18–22</w:t>
        </w:r>
      </w:hyperlink>
      <w:r>
        <w:t xml:space="preserve">). Essa condição persistiu pelo menos nove meses, até que o bebê nasceu e foi nomeado (vv. </w:t>
      </w:r>
      <w:hyperlink r:id="rId14874">
        <w:r>
          <w:rPr>
            <w:color w:val="0000EE"/>
            <w:u w:val="single"/>
          </w:rPr>
          <w:t>62–64</w:t>
        </w:r>
      </w:hyperlink>
      <w:r>
        <w:t>).</w:t>
      </w:r>
    </w:p>
    <w:p>
      <w:r/>
      <w:r>
        <w:t>A incapacidade de falar é geralmente associada com doenças neurológicas ou severas deformidades estruturais. Quando Jesus curou as pessoas que estavam assim afligidas, ou deficientes auditivos (</w:t>
      </w:r>
      <w:hyperlink r:id="rId14022">
        <w:r>
          <w:rPr>
            <w:color w:val="0000EE"/>
            <w:u w:val="single"/>
          </w:rPr>
          <w:t>Mt 9.32–33</w:t>
        </w:r>
      </w:hyperlink>
      <w:r>
        <w:t xml:space="preserve">; </w:t>
      </w:r>
      <w:hyperlink r:id="rId14875">
        <w:r>
          <w:rPr>
            <w:color w:val="0000EE"/>
            <w:u w:val="single"/>
          </w:rPr>
          <w:t>12.22–23</w:t>
        </w:r>
      </w:hyperlink>
      <w:r>
        <w:t xml:space="preserve">; </w:t>
      </w:r>
      <w:hyperlink r:id="rId14876">
        <w:r>
          <w:rPr>
            <w:color w:val="0000EE"/>
            <w:u w:val="single"/>
          </w:rPr>
          <w:t>15.30–31</w:t>
        </w:r>
      </w:hyperlink>
      <w:r>
        <w:t xml:space="preserve">; </w:t>
      </w:r>
      <w:hyperlink r:id="rId14877">
        <w:r>
          <w:rPr>
            <w:color w:val="0000EE"/>
            <w:u w:val="single"/>
          </w:rPr>
          <w:t>Mc 7.32–37</w:t>
        </w:r>
      </w:hyperlink>
      <w:r>
        <w:t xml:space="preserve">; </w:t>
      </w:r>
      <w:hyperlink r:id="rId8099">
        <w:r>
          <w:rPr>
            <w:color w:val="0000EE"/>
            <w:u w:val="single"/>
          </w:rPr>
          <w:t>9.17–27</w:t>
        </w:r>
      </w:hyperlink>
      <w:r>
        <w:t xml:space="preserve">; </w:t>
      </w:r>
      <w:hyperlink r:id="rId14878">
        <w:r>
          <w:rPr>
            <w:color w:val="0000EE"/>
            <w:u w:val="single"/>
          </w:rPr>
          <w:t>Lc 11.14</w:t>
        </w:r>
      </w:hyperlink>
      <w:r>
        <w:t>), os observadores ficaram compreensivelmente espantados.</w:t>
      </w:r>
    </w:p>
    <w:p>
      <w:r/>
      <w:r>
        <w:t>Outras passagens bíblicas espalhadas se referem à mudez nas pessoas (</w:t>
      </w:r>
      <w:hyperlink r:id="rId14879">
        <w:r>
          <w:rPr>
            <w:color w:val="0000EE"/>
            <w:u w:val="single"/>
          </w:rPr>
          <w:t>Pv 31.8</w:t>
        </w:r>
      </w:hyperlink>
      <w:r>
        <w:t xml:space="preserve">; </w:t>
      </w:r>
      <w:hyperlink r:id="rId1578">
        <w:r>
          <w:rPr>
            <w:color w:val="0000EE"/>
            <w:u w:val="single"/>
          </w:rPr>
          <w:t>Is 35.6</w:t>
        </w:r>
      </w:hyperlink>
      <w:r>
        <w:t>) e em animais (</w:t>
      </w:r>
      <w:hyperlink r:id="rId1601">
        <w:r>
          <w:rPr>
            <w:color w:val="0000EE"/>
            <w:u w:val="single"/>
          </w:rPr>
          <w:t>Is 56.10</w:t>
        </w:r>
      </w:hyperlink>
      <w:r>
        <w:t xml:space="preserve">; </w:t>
      </w:r>
      <w:hyperlink r:id="rId14880">
        <w:r>
          <w:rPr>
            <w:color w:val="0000EE"/>
            <w:u w:val="single"/>
          </w:rPr>
          <w:t>2Pe 2.16</w:t>
        </w:r>
      </w:hyperlink>
      <w:r>
        <w:t>). O fato de que falsos deuses e ídolos não podem falar (</w:t>
      </w:r>
      <w:hyperlink r:id="rId14881">
        <w:r>
          <w:rPr>
            <w:color w:val="0000EE"/>
            <w:u w:val="single"/>
          </w:rPr>
          <w:t>Hb 2.18–20</w:t>
        </w:r>
      </w:hyperlink>
      <w:r>
        <w:t xml:space="preserve">; </w:t>
      </w:r>
      <w:hyperlink r:id="rId10859">
        <w:r>
          <w:rPr>
            <w:color w:val="0000EE"/>
            <w:u w:val="single"/>
          </w:rPr>
          <w:t>1Co 12.2</w:t>
        </w:r>
      </w:hyperlink>
      <w:r>
        <w:t>) foi frequentemente apontado pelos profetas, que os contrastavam com o Deus vivo e falante de Israel.</w:t>
      </w:r>
    </w:p>
    <w:p>
      <w:r/>
      <w:r>
        <w:rPr>
          <w:i/>
        </w:rPr>
        <w:t>Veja também</w:t>
      </w:r>
      <w:r>
        <w:t xml:space="preserve"> </w:t>
      </w:r>
      <w:r>
        <w:t>Medicina e Prática Médica</w:t>
      </w:r>
      <w:r>
        <w:t>.</w:t>
      </w:r>
      <w:r/>
      <w:r/>
    </w:p>
    <w:p>
      <w:r/>
    </w:p>
    <w:p>
      <w:pPr>
        <w:pStyle w:val="Heading2"/>
      </w:pPr>
      <w:r>
        <w:t>Mulher</w:t>
      </w:r>
      <w:r/>
    </w:p>
    <w:p>
      <w:r/>
      <w:r>
        <w:t>Companheira do homem criada por Deus.</w:t>
      </w:r>
    </w:p>
    <w:p>
      <w:pPr>
        <w:pStyle w:val="Heading3"/>
      </w:pPr>
      <w:r>
        <w:t>A criação dela</w:t>
      </w:r>
    </w:p>
    <w:p>
      <w:r/>
      <w:r>
        <w:t xml:space="preserve">Gênesis fornece dois relatos da criação do primeiro homem e mulher. No primeiro, </w:t>
      </w:r>
      <w:hyperlink r:id="rId7146">
        <w:r>
          <w:rPr>
            <w:color w:val="0000EE"/>
            <w:u w:val="single"/>
          </w:rPr>
          <w:t>Gênesis 1.26–28</w:t>
        </w:r>
      </w:hyperlink>
      <w:r>
        <w:t xml:space="preserve">, Deus criou os humanos à sua imagem, como homem e mulher. Assim, a mulher compartilha com o homem a imagem de Deus, reflete seu poder e majestade na terra, e é ordenada a multiplicar e trazer domínio à terra. Em </w:t>
      </w:r>
      <w:hyperlink r:id="rId7146">
        <w:r>
          <w:rPr>
            <w:color w:val="0000EE"/>
            <w:u w:val="single"/>
          </w:rPr>
          <w:t>Gênesis 1.26–28</w:t>
        </w:r>
      </w:hyperlink>
      <w:r>
        <w:t xml:space="preserve"> não há sugestão de inferioridade da mulher em relação ao homem, nem há qualquer sugestão de sua submissão ao domínio dele. Pelo contrário, eles são retratados juntos, o homem e a mulher, como a representação de seu Criador.</w:t>
      </w:r>
    </w:p>
    <w:p>
      <w:r/>
      <w:hyperlink r:id="rId14882">
        <w:r>
          <w:rPr>
            <w:color w:val="0000EE"/>
            <w:u w:val="single"/>
          </w:rPr>
          <w:t>Gênesis 2.20–25</w:t>
        </w:r>
      </w:hyperlink>
      <w:r>
        <w:t xml:space="preserve"> é a segunda descrição da criação da primeira mulher. Em </w:t>
      </w:r>
      <w:hyperlink r:id="rId10694">
        <w:r>
          <w:rPr>
            <w:color w:val="0000EE"/>
            <w:u w:val="single"/>
          </w:rPr>
          <w:t>Gênesis 2</w:t>
        </w:r>
      </w:hyperlink>
      <w:r>
        <w:t xml:space="preserve"> o homem foi feito antes da mulher, um ponto que parece dar a ele alguma precedência. Isso pode não ser levado muito longe, no entanto, pois o padrão nos textos da criação é mover-se progressivamente do trabalho menor para o mais refinado! No entanto, é por causa de sua criação anterior que o homem recebe a prerrogativa de nomear a mulher (</w:t>
      </w:r>
      <w:hyperlink r:id="rId8639">
        <w:r>
          <w:rPr>
            <w:color w:val="0000EE"/>
            <w:u w:val="single"/>
          </w:rPr>
          <w:t>Gn 2.23</w:t>
        </w:r>
      </w:hyperlink>
      <w:r>
        <w:t>). No pensamento semítico, dar nomes significa domínio ou posse. Isso significa que o ato de Adão nomear sua esposa foi um ato de senhorio. No entanto, o nome que ele lhe dá é equivalente ao seu, significando que o homem afirmou sua igualdade com ele. Paradoxalmente, então, essa relação hierárquica é também uma relação de iguais.</w:t>
      </w:r>
    </w:p>
    <w:p>
      <w:r/>
      <w:r>
        <w:t xml:space="preserve">A situação em </w:t>
      </w:r>
      <w:hyperlink r:id="rId1452">
        <w:r>
          <w:rPr>
            <w:color w:val="0000EE"/>
            <w:u w:val="single"/>
          </w:rPr>
          <w:t>Gênesis 1</w:t>
        </w:r>
      </w:hyperlink>
      <w:r>
        <w:t xml:space="preserve"> e </w:t>
      </w:r>
      <w:hyperlink r:id="rId10694">
        <w:r>
          <w:rPr>
            <w:color w:val="0000EE"/>
            <w:u w:val="single"/>
          </w:rPr>
          <w:t>2</w:t>
        </w:r>
      </w:hyperlink>
      <w:r>
        <w:t xml:space="preserve"> revela um relacionamento equilibrado entre o homem e a mulher que foram os pais de toda a humanidade: duas pessoas que eram totalmente iguais em status como co-herdeiros do mistério da imagem de Deus e, no entanto, que habitam em um relacionamento delicado de um para um, no qual um é o líder do outro. No Éden antes da queda, esse equilíbrio delicado era possível.</w:t>
      </w:r>
    </w:p>
    <w:p>
      <w:pPr>
        <w:pStyle w:val="Heading3"/>
      </w:pPr>
      <w:r>
        <w:t>Seu declínio e dificuldade</w:t>
      </w:r>
    </w:p>
    <w:p>
      <w:r/>
      <w:hyperlink r:id="rId2628">
        <w:r>
          <w:rPr>
            <w:color w:val="0000EE"/>
            <w:u w:val="single"/>
          </w:rPr>
          <w:t>Gênesis 3</w:t>
        </w:r>
      </w:hyperlink>
      <w:r>
        <w:t>, a história da queda da humanidade, fala da quebra do delicado equilíbrio entre o homem e a mulher e das lutas subsequentes que foram transmitidas ao longo dos tempos. Nas palavras de Deus à mulher, ele anunciou a dor que acompanharia seu parto (</w:t>
      </w:r>
      <w:hyperlink r:id="rId305">
        <w:r>
          <w:rPr>
            <w:color w:val="0000EE"/>
            <w:u w:val="single"/>
          </w:rPr>
          <w:t>Gn 3.16</w:t>
        </w:r>
      </w:hyperlink>
      <w:r>
        <w:t xml:space="preserve">) e o conflito de interesses que afetaria seu relacionamento com o marido: “Apesar disso, você terá desejo de estar com o seu marido, e ele a dominará” (NTLH). O termo hebraico “desejo” </w:t>
      </w:r>
      <w:r>
        <w:rPr>
          <w:i/>
        </w:rPr>
        <w:t>(</w:t>
      </w:r>
      <w:r>
        <w:t>teshuqah</w:t>
      </w:r>
      <w:r>
        <w:rPr>
          <w:i/>
        </w:rPr>
        <w:t>)</w:t>
      </w:r>
      <w:r>
        <w:t xml:space="preserve"> nas passagens de </w:t>
      </w:r>
      <w:hyperlink r:id="rId2628">
        <w:r>
          <w:rPr>
            <w:color w:val="0000EE"/>
            <w:u w:val="single"/>
          </w:rPr>
          <w:t>Gênesis 3</w:t>
        </w:r>
      </w:hyperlink>
      <w:r>
        <w:t xml:space="preserve"> e </w:t>
      </w:r>
      <w:hyperlink r:id="rId4857">
        <w:r>
          <w:rPr>
            <w:color w:val="0000EE"/>
            <w:u w:val="single"/>
          </w:rPr>
          <w:t>4</w:t>
        </w:r>
      </w:hyperlink>
      <w:r>
        <w:t xml:space="preserve"> não é um anseio sexual, mas um desejo de controlar, dominar, estar no comando (o uso de teshuqah significando desejo sexual é visto em </w:t>
      </w:r>
      <w:hyperlink r:id="rId4229">
        <w:r>
          <w:rPr>
            <w:color w:val="0000EE"/>
            <w:u w:val="single"/>
          </w:rPr>
          <w:t>Ct 7.10</w:t>
        </w:r>
      </w:hyperlink>
      <w:r>
        <w:t>). Consequentemente, após a queda, o desejo da mulher tem sido dominar seu marido. Sua determinação em rejeitar a liderança dele em seu relacionamento de iguais é uma quebra do equilíbrio em seu relacionamento. Por sua vez, o homem tende a tiranizar a mulher.</w:t>
      </w:r>
    </w:p>
    <w:p>
      <w:r/>
      <w:r>
        <w:t>Para as mulheres que tentam dominar seus maridos, o apóstolo Paulo diz: “Esposa, obedeça ao seu marido, como você obedece ao Senhor.” (</w:t>
      </w:r>
      <w:hyperlink r:id="rId14883">
        <w:r>
          <w:rPr>
            <w:color w:val="0000EE"/>
            <w:u w:val="single"/>
          </w:rPr>
          <w:t>Ef 5.22</w:t>
        </w:r>
      </w:hyperlink>
      <w:r>
        <w:t xml:space="preserve">, niv). Sua inclinação natural precisa de transformação, para que ela possa se submeter ao marido como se submete ao Senhor. Pois, argumenta Paulo, o marido é para a esposa como Cristo é para a igreja (v. </w:t>
      </w:r>
      <w:hyperlink r:id="rId3919">
        <w:r>
          <w:rPr>
            <w:color w:val="0000EE"/>
            <w:u w:val="single"/>
          </w:rPr>
          <w:t>23</w:t>
        </w:r>
      </w:hyperlink>
      <w:r>
        <w:t xml:space="preserve">). Os maridos que tendem a dominar suas esposas também precisam de transformação para que possam amar suas esposas, “assim como Cristo amou a Igreja e deu a sua vida por ela” (v. </w:t>
      </w:r>
      <w:hyperlink r:id="rId7409">
        <w:r>
          <w:rPr>
            <w:color w:val="0000EE"/>
            <w:u w:val="single"/>
          </w:rPr>
          <w:t>25</w:t>
        </w:r>
      </w:hyperlink>
      <w:r>
        <w:t xml:space="preserve">, NTLH). Com essas palavras, o apóstolo Paulo estava apresentando um meio pelo qual os casais poderiam recuperar a felicidade em seu relacionamento que era o marco do Éden antes da queda. A citação de Paulo de </w:t>
      </w:r>
      <w:hyperlink r:id="rId3603">
        <w:r>
          <w:rPr>
            <w:color w:val="0000EE"/>
            <w:u w:val="single"/>
          </w:rPr>
          <w:t>Gênesis 2.24</w:t>
        </w:r>
      </w:hyperlink>
      <w:r>
        <w:t xml:space="preserve"> em </w:t>
      </w:r>
      <w:hyperlink r:id="rId7669">
        <w:r>
          <w:rPr>
            <w:color w:val="0000EE"/>
            <w:u w:val="single"/>
          </w:rPr>
          <w:t>Efésios 5.31</w:t>
        </w:r>
      </w:hyperlink>
      <w:r>
        <w:t xml:space="preserve"> é um exemplo: aqui um casal pode recuperar a unidade original que Deus pretendia para eles. O relacionamento de pessoas iguais em uma hierarquia de responsividade é declarado no contexto de submissão mútua, que é um marco de sua maior submissão ao Senhor Jesus.</w:t>
      </w:r>
    </w:p>
    <w:p>
      <w:pPr>
        <w:pStyle w:val="Heading3"/>
      </w:pPr>
      <w:r>
        <w:t>Seu papel na vida de acordo com a Bíblia</w:t>
      </w:r>
    </w:p>
    <w:p>
      <w:r/>
      <w:r>
        <w:t>Uma mulher é uma pessoa em todos os aspectos como um homem; ela compartilha a imagem de Deus e tem o potencial de variadas respostas à cultura, à comunidade e à vida ao seu redor. É um fato das Escrituras que as mulheres são regularmente associadas e encontram seu senso de valor na procriação. No entanto, as mesmas Escrituras mostram que a natureza da mulher não se esgota nas associações com a procriação: ela tem sua própria identidade na comunidade, na igreja e diante do Senhor em toda a sua vida, não apenas quando (ou se) ela gera e nutre um filho. Além disso, o conceito bíblico de procriação sempre envolve o marido, que é seu parceiro na concepção, ao seu lado durante o parto e parceiro com ela na tarefa contínua de nutrir o filho.</w:t>
      </w:r>
    </w:p>
    <w:p>
      <w:r/>
      <w:r>
        <w:t xml:space="preserve">A imagem da mulher como portadora de filhos começa com a promessa de Deus em </w:t>
      </w:r>
      <w:hyperlink r:id="rId309">
        <w:r>
          <w:rPr>
            <w:color w:val="0000EE"/>
            <w:u w:val="single"/>
          </w:rPr>
          <w:t>Gênesis 3.15</w:t>
        </w:r>
      </w:hyperlink>
      <w:r>
        <w:t xml:space="preserve">, onde ele anunciou a vitória final sobre o maligno, Satanás, pela descendência da mulher. Esta promessa em relação à descendência da mulher tornou-se a bênção universal de Deus sobre a mulher como portadora de filhos. Em última análise, através de um nascido de uma mulher, viria a libertação final. Há um sentido em que cada experiência de nascimento é uma participação na continuidade desta promessa (veja </w:t>
      </w:r>
      <w:hyperlink r:id="rId14884">
        <w:r>
          <w:rPr>
            <w:color w:val="0000EE"/>
            <w:u w:val="single"/>
          </w:rPr>
          <w:t>1Tm 2.15</w:t>
        </w:r>
      </w:hyperlink>
      <w:r>
        <w:t xml:space="preserve"> e sua possível relação com esta continuidade de mulheres, salvação e maternidade).</w:t>
      </w:r>
    </w:p>
    <w:p>
      <w:r/>
      <w:r>
        <w:t>Além disso, na cultura do mundo do AT, o valor genuíno de uma mulher era percebido exclusivamente, ou em grande parte, em termos de ter filhos. No entanto, não é apenas na maternidade que ela encontra valor e dignidade diante de Deus. Para a mulher, assim como para o homem, a questão da fé no Senhor é central. Uma mulher que tem uma casa cheia de filhos, mas não tem fé em Deus, pode se considerar uma pessoa realizada. No entanto, seu cuidado com os filhos não substitui a piedade para com Deus. Uma mulher que não tem filhos, e talvez nem marido, pode encontrar sua plena identidade e valor em seu relacionamento com o Deus à cuja imagem ela é feita e cujas tarefas ela é comissionada por ele a realizar. Os dons de Deus na vida de uma mulher podem levá-la a encontrar oportunidades na comunidade para expressar sua devoção a Deus. As mulheres aparentemente tinham as mesmas oportunidades que os homens para fazer um voto de nazireu (</w:t>
      </w:r>
      <w:hyperlink r:id="rId14885">
        <w:r>
          <w:rPr>
            <w:color w:val="0000EE"/>
            <w:u w:val="single"/>
          </w:rPr>
          <w:t>Nm 6.2</w:t>
        </w:r>
      </w:hyperlink>
      <w:r>
        <w:t xml:space="preserve">; veja também cap </w:t>
      </w:r>
      <w:hyperlink r:id="rId14886">
        <w:r>
          <w:rPr>
            <w:color w:val="0000EE"/>
            <w:u w:val="single"/>
          </w:rPr>
          <w:t>30</w:t>
        </w:r>
      </w:hyperlink>
      <w:r>
        <w:t>).</w:t>
      </w:r>
    </w:p>
    <w:p>
      <w:r/>
      <w:r>
        <w:t>Certas mulheres notáveis na Bíblia levaram vidas de serviço público. Miriã, a irmã de Moisés e Arão (</w:t>
      </w:r>
      <w:hyperlink r:id="rId14887">
        <w:r>
          <w:rPr>
            <w:color w:val="0000EE"/>
            <w:u w:val="single"/>
          </w:rPr>
          <w:t>Êx 15.20–21</w:t>
        </w:r>
      </w:hyperlink>
      <w:r>
        <w:t>), foi uma profetisa, musicista e líder nacional (</w:t>
      </w:r>
      <w:hyperlink r:id="rId7438">
        <w:r>
          <w:rPr>
            <w:color w:val="0000EE"/>
            <w:u w:val="single"/>
          </w:rPr>
          <w:t>Nm 12</w:t>
        </w:r>
      </w:hyperlink>
      <w:r>
        <w:t>). Muito tempo depois, Deus falou através de seus profetas sobre o presente que ele havia dado a Israel na pessoa da líder nacional Miriã (</w:t>
      </w:r>
      <w:hyperlink r:id="rId14569">
        <w:r>
          <w:rPr>
            <w:color w:val="0000EE"/>
            <w:u w:val="single"/>
          </w:rPr>
          <w:t>Mq 6.4</w:t>
        </w:r>
      </w:hyperlink>
      <w:r>
        <w:t>). Houve outras mulheres magníficas que tiveram vidas exemplares: Débora, a profetisa de Deus e a única mulher juíza nomeada de Israel (</w:t>
      </w:r>
      <w:hyperlink r:id="rId6636">
        <w:r>
          <w:rPr>
            <w:color w:val="0000EE"/>
            <w:u w:val="single"/>
          </w:rPr>
          <w:t>Jz 4–5</w:t>
        </w:r>
      </w:hyperlink>
      <w:r>
        <w:t>); Ester, a rainha hebraica de Xerxes que salvou seu povo dos atos precipitados do rei persa, resultado de uma conspiração assustadora; e Hulda, a profetisa que foi a agente da palavra do Senhor a Josias no início de seu avivamento (</w:t>
      </w:r>
      <w:hyperlink r:id="rId14888">
        <w:r>
          <w:rPr>
            <w:color w:val="0000EE"/>
            <w:u w:val="single"/>
          </w:rPr>
          <w:t>2Cr 34.22–28</w:t>
        </w:r>
      </w:hyperlink>
      <w:r>
        <w:t>). A recepção e transmissão da palavra do Senhor por Hulda é ainda mais notável porque ela foi contemporânea de Jeremias e Sofonias. Neste caso, Deus escolheu falar através de uma mulher.</w:t>
      </w:r>
    </w:p>
    <w:p>
      <w:r/>
      <w:r>
        <w:t>No NT, certas mulheres foram notadas por seus ministérios públicos: as filhas de Filipe, Febe, Priscila, Junias, Trifena, Trifosa, Pérside, Evódia e Síntique. Essas mulheres marcaram o início do cumprimento da profecia de Joel sobre um dia em que mulheres, assim como homens, seriam instrumentos do derramamento do Espírito Santo (</w:t>
      </w:r>
      <w:hyperlink r:id="rId3272">
        <w:r>
          <w:rPr>
            <w:color w:val="0000EE"/>
            <w:u w:val="single"/>
          </w:rPr>
          <w:t>Jl 2.28–29</w:t>
        </w:r>
      </w:hyperlink>
      <w:r>
        <w:t>). Mulheres como Sara, Rute e Ana exerceram sua fé em Deus no contexto do lar e da família também. E, de forma preeminente, há Maria, mãe de Jesus, em quem o ideal de feminilidade se une ao cumprimento da antiga promessa a Eva de que ela seria um dia a grande vencedora sobre o inimigo da humanidade.</w:t>
      </w:r>
    </w:p>
    <w:p>
      <w:r/>
      <w:r>
        <w:rPr>
          <w:i/>
        </w:rPr>
        <w:t>Veja também</w:t>
      </w:r>
      <w:r>
        <w:t xml:space="preserve"> </w:t>
      </w:r>
      <w:r>
        <w:t>Eva</w:t>
      </w:r>
      <w:r>
        <w:t xml:space="preserve">; </w:t>
      </w:r>
      <w:r>
        <w:t>Homem</w:t>
      </w:r>
      <w:r>
        <w:t>.</w:t>
      </w:r>
      <w:r/>
      <w:r/>
    </w:p>
    <w:p>
      <w:r/>
    </w:p>
    <w:p>
      <w:pPr>
        <w:pStyle w:val="Heading2"/>
      </w:pPr>
      <w:r>
        <w:t>Mundo</w:t>
      </w:r>
      <w:r/>
    </w:p>
    <w:p>
      <w:r/>
      <w:r>
        <w:t xml:space="preserve">Um termo importante do Novo Testamento é a palavra grega </w:t>
      </w:r>
      <w:r>
        <w:rPr>
          <w:i/>
        </w:rPr>
        <w:t>kosmos</w:t>
      </w:r>
      <w:r>
        <w:t>, que significa aquilo que é ordenado ou arranjado. Possui cinco significados diferentes:</w:t>
      </w:r>
    </w:p>
    <w:p>
      <w:r/>
      <w:r>
        <w:t xml:space="preserve">1. O universo foi criado por Deus com design e ordem (por exemplo, </w:t>
      </w:r>
      <w:hyperlink r:id="rId14889">
        <w:r>
          <w:rPr>
            <w:color w:val="0000EE"/>
            <w:u w:val="single"/>
          </w:rPr>
          <w:t>Mt 13.35</w:t>
        </w:r>
      </w:hyperlink>
      <w:r>
        <w:t xml:space="preserve">; </w:t>
      </w:r>
      <w:hyperlink r:id="rId6866">
        <w:r>
          <w:rPr>
            <w:color w:val="0000EE"/>
            <w:u w:val="single"/>
          </w:rPr>
          <w:t>Jó 17.24</w:t>
        </w:r>
      </w:hyperlink>
      <w:r>
        <w:t xml:space="preserve">; </w:t>
      </w:r>
      <w:hyperlink r:id="rId6835">
        <w:r>
          <w:rPr>
            <w:color w:val="0000EE"/>
            <w:u w:val="single"/>
          </w:rPr>
          <w:t>At 17.24</w:t>
        </w:r>
      </w:hyperlink>
      <w:r>
        <w:t>).</w:t>
      </w:r>
    </w:p>
    <w:p>
      <w:r/>
      <w:r>
        <w:t xml:space="preserve">2. O planeta Terra (por exemplo, </w:t>
      </w:r>
      <w:hyperlink r:id="rId7022">
        <w:r>
          <w:rPr>
            <w:color w:val="0000EE"/>
            <w:u w:val="single"/>
          </w:rPr>
          <w:t>Jo 11.9</w:t>
        </w:r>
      </w:hyperlink>
      <w:r>
        <w:t>). Isso inclui a ideia da Terra como a morada dos seres humanos (</w:t>
      </w:r>
      <w:hyperlink r:id="rId14890">
        <w:r>
          <w:rPr>
            <w:color w:val="0000EE"/>
            <w:u w:val="single"/>
          </w:rPr>
          <w:t>16.21</w:t>
        </w:r>
      </w:hyperlink>
      <w:r>
        <w:t>) e da Terra em contraste com o céu (</w:t>
      </w:r>
      <w:hyperlink r:id="rId6117">
        <w:r>
          <w:rPr>
            <w:color w:val="0000EE"/>
            <w:u w:val="single"/>
          </w:rPr>
          <w:t>6.14</w:t>
        </w:r>
      </w:hyperlink>
      <w:r>
        <w:t xml:space="preserve">; </w:t>
      </w:r>
      <w:hyperlink r:id="rId13499">
        <w:r>
          <w:rPr>
            <w:color w:val="0000EE"/>
            <w:u w:val="single"/>
          </w:rPr>
          <w:t>12.46</w:t>
        </w:r>
      </w:hyperlink>
      <w:r>
        <w:t>).</w:t>
      </w:r>
    </w:p>
    <w:p>
      <w:r/>
      <w:r>
        <w:t>3. O total da humanidade (</w:t>
      </w:r>
      <w:hyperlink r:id="rId13510">
        <w:r>
          <w:rPr>
            <w:color w:val="0000EE"/>
            <w:u w:val="single"/>
          </w:rPr>
          <w:t>Mt 5.14</w:t>
        </w:r>
      </w:hyperlink>
      <w:r>
        <w:t xml:space="preserve">; </w:t>
      </w:r>
      <w:hyperlink r:id="rId1191">
        <w:r>
          <w:rPr>
            <w:color w:val="0000EE"/>
            <w:u w:val="single"/>
          </w:rPr>
          <w:t>Jó 3.16</w:t>
        </w:r>
      </w:hyperlink>
      <w:r>
        <w:t xml:space="preserve">; </w:t>
      </w:r>
      <w:hyperlink r:id="rId14891">
        <w:r>
          <w:rPr>
            <w:color w:val="0000EE"/>
            <w:u w:val="single"/>
          </w:rPr>
          <w:t>1Co 4.13</w:t>
        </w:r>
      </w:hyperlink>
      <w:r>
        <w:t>).</w:t>
      </w:r>
    </w:p>
    <w:p>
      <w:r/>
      <w:r>
        <w:t>4. O total da existência humana nesta vida presente, com todas as suas experiências e posses (</w:t>
      </w:r>
      <w:hyperlink r:id="rId11845">
        <w:r>
          <w:rPr>
            <w:color w:val="0000EE"/>
            <w:u w:val="single"/>
          </w:rPr>
          <w:t>Mt 16.26</w:t>
        </w:r>
      </w:hyperlink>
      <w:r>
        <w:t xml:space="preserve">; </w:t>
      </w:r>
      <w:hyperlink r:id="rId14892">
        <w:r>
          <w:rPr>
            <w:color w:val="0000EE"/>
            <w:u w:val="single"/>
          </w:rPr>
          <w:t>1Co 7.33</w:t>
        </w:r>
      </w:hyperlink>
      <w:r>
        <w:t>).</w:t>
      </w:r>
    </w:p>
    <w:p>
      <w:r/>
      <w:r>
        <w:t>5. A ordem mundial alienada de Deus está em rebelião contra Ele e é condenada por sua impiedade. É “este mundo”, em oposição a “aquele que está por vir” (</w:t>
      </w:r>
      <w:hyperlink r:id="rId14893">
        <w:r>
          <w:rPr>
            <w:color w:val="0000EE"/>
            <w:u w:val="single"/>
          </w:rPr>
          <w:t>Jo 8.23</w:t>
        </w:r>
      </w:hyperlink>
      <w:r>
        <w:t xml:space="preserve">; </w:t>
      </w:r>
      <w:hyperlink r:id="rId14894">
        <w:r>
          <w:rPr>
            <w:color w:val="0000EE"/>
            <w:u w:val="single"/>
          </w:rPr>
          <w:t>12.25</w:t>
        </w:r>
      </w:hyperlink>
      <w:r>
        <w:t xml:space="preserve">; </w:t>
      </w:r>
      <w:hyperlink r:id="rId14895">
        <w:r>
          <w:rPr>
            <w:color w:val="0000EE"/>
            <w:u w:val="single"/>
          </w:rPr>
          <w:t xml:space="preserve"> 1Co 3.19</w:t>
        </w:r>
      </w:hyperlink>
      <w:r>
        <w:t>). O governante deste mundo é o diabo (</w:t>
      </w:r>
      <w:hyperlink r:id="rId2139">
        <w:r>
          <w:rPr>
            <w:color w:val="0000EE"/>
            <w:u w:val="single"/>
          </w:rPr>
          <w:t>Jo 12.31</w:t>
        </w:r>
      </w:hyperlink>
      <w:r>
        <w:t xml:space="preserve">; </w:t>
      </w:r>
      <w:hyperlink r:id="rId14896">
        <w:r>
          <w:rPr>
            <w:color w:val="0000EE"/>
            <w:u w:val="single"/>
          </w:rPr>
          <w:t>14.30</w:t>
        </w:r>
      </w:hyperlink>
      <w:r>
        <w:t xml:space="preserve">; </w:t>
      </w:r>
      <w:hyperlink r:id="rId2140">
        <w:r>
          <w:rPr>
            <w:color w:val="0000EE"/>
            <w:u w:val="single"/>
          </w:rPr>
          <w:t>16.11</w:t>
        </w:r>
      </w:hyperlink>
      <w:r>
        <w:t xml:space="preserve">; </w:t>
      </w:r>
      <w:hyperlink r:id="rId14897">
        <w:r>
          <w:rPr>
            <w:color w:val="0000EE"/>
            <w:u w:val="single"/>
          </w:rPr>
          <w:t>1Co 5.10</w:t>
        </w:r>
      </w:hyperlink>
      <w:r>
        <w:t>). Como João disse: “O mundo inteiro está sob o poder do maligno” (</w:t>
      </w:r>
      <w:hyperlink r:id="rId14898">
        <w:r>
          <w:rPr>
            <w:color w:val="0000EE"/>
            <w:u w:val="single"/>
          </w:rPr>
          <w:t>1Jo 5.19</w:t>
        </w:r>
      </w:hyperlink>
      <w:r>
        <w:t>). Os cristãos não são deste mundo (</w:t>
      </w:r>
      <w:hyperlink r:id="rId14899">
        <w:r>
          <w:rPr>
            <w:color w:val="0000EE"/>
            <w:u w:val="single"/>
          </w:rPr>
          <w:t>Jo 15.19</w:t>
        </w:r>
      </w:hyperlink>
      <w:r>
        <w:t xml:space="preserve">; </w:t>
      </w:r>
      <w:hyperlink r:id="rId14900">
        <w:r>
          <w:rPr>
            <w:color w:val="0000EE"/>
            <w:u w:val="single"/>
          </w:rPr>
          <w:t>17.16</w:t>
        </w:r>
      </w:hyperlink>
      <w:r>
        <w:t>), embora vivam no mundo e participem de suas atividades (</w:t>
      </w:r>
      <w:hyperlink r:id="rId5973">
        <w:r>
          <w:rPr>
            <w:color w:val="0000EE"/>
            <w:u w:val="single"/>
          </w:rPr>
          <w:t>17.11</w:t>
        </w:r>
      </w:hyperlink>
      <w:r>
        <w:t>). O crente é considerado morto para o mundo (</w:t>
      </w:r>
      <w:hyperlink r:id="rId6351">
        <w:r>
          <w:rPr>
            <w:color w:val="0000EE"/>
            <w:u w:val="single"/>
          </w:rPr>
          <w:t>Gl 6.14</w:t>
        </w:r>
      </w:hyperlink>
      <w:r>
        <w:t xml:space="preserve">; cp. </w:t>
      </w:r>
      <w:hyperlink r:id="rId5129">
        <w:r>
          <w:rPr>
            <w:color w:val="0000EE"/>
            <w:u w:val="single"/>
          </w:rPr>
          <w:t>Cl 3.2–3</w:t>
        </w:r>
      </w:hyperlink>
      <w:r>
        <w:t>). O cristão deve ser separado do mundo (</w:t>
      </w:r>
      <w:hyperlink r:id="rId14901">
        <w:r>
          <w:rPr>
            <w:color w:val="0000EE"/>
            <w:u w:val="single"/>
          </w:rPr>
          <w:t>Tg 1.27</w:t>
        </w:r>
      </w:hyperlink>
      <w:r>
        <w:t>).</w:t>
      </w:r>
    </w:p>
    <w:p>
      <w:r/>
      <w:r>
        <w:t>O relacionamento de alguém com o mundo é um indicador do relacionamento de alguém com Deus. Aqueles que amam o mundo estão desprovidos de amor por Deus, o Pai (</w:t>
      </w:r>
      <w:hyperlink r:id="rId14902">
        <w:r>
          <w:rPr>
            <w:color w:val="0000EE"/>
            <w:u w:val="single"/>
          </w:rPr>
          <w:t>1Jo 2.15</w:t>
        </w:r>
      </w:hyperlink>
      <w:r>
        <w:t>). A Escritura aponta que “tudo o que há no mundo — os desejos da carne, os desejos dos olhos e a soberba da vida — não procede do Pai, mas do mundo” (v.</w:t>
      </w:r>
      <w:hyperlink r:id="rId13248">
        <w:r>
          <w:rPr>
            <w:color w:val="0000EE"/>
            <w:u w:val="single"/>
          </w:rPr>
          <w:t>16</w:t>
        </w:r>
      </w:hyperlink>
      <w:r>
        <w:t>). O mundo e seus desejos ou cobiças são transitórios, estão passando, mas aquele que pratica a palavra de Deus permanece para sempre (</w:t>
      </w:r>
      <w:hyperlink r:id="rId5080">
        <w:r>
          <w:rPr>
            <w:color w:val="0000EE"/>
            <w:u w:val="single"/>
          </w:rPr>
          <w:t>1Jo 2.17</w:t>
        </w:r>
      </w:hyperlink>
      <w:r>
        <w:t xml:space="preserve">; cp. </w:t>
      </w:r>
      <w:hyperlink r:id="rId14903">
        <w:r>
          <w:rPr>
            <w:color w:val="0000EE"/>
            <w:u w:val="single"/>
          </w:rPr>
          <w:t>2Co 4.18</w:t>
        </w:r>
      </w:hyperlink>
      <w:r>
        <w:t>). A amizade com o mundo é inimizade contra Deus (</w:t>
      </w:r>
      <w:hyperlink r:id="rId468">
        <w:r>
          <w:rPr>
            <w:color w:val="0000EE"/>
            <w:u w:val="single"/>
          </w:rPr>
          <w:t>Tg 4.4</w:t>
        </w:r>
      </w:hyperlink>
      <w:r>
        <w:t>).</w:t>
      </w:r>
    </w:p>
    <w:p>
      <w:r/>
      <w:r>
        <w:t>O discurso de Jesus na noite antes de sua crucificação contém muitos ensinamentos sobre o mundo. O mundo não pode receber o Espírito da verdade (</w:t>
      </w:r>
      <w:hyperlink r:id="rId11843">
        <w:r>
          <w:rPr>
            <w:color w:val="0000EE"/>
            <w:u w:val="single"/>
          </w:rPr>
          <w:t>Jo 14.17</w:t>
        </w:r>
      </w:hyperlink>
      <w:r>
        <w:t>). Cristo dá uma paz que o mundo não pode dar (v.</w:t>
      </w:r>
      <w:hyperlink r:id="rId14904">
        <w:r>
          <w:rPr>
            <w:color w:val="0000EE"/>
            <w:u w:val="single"/>
          </w:rPr>
          <w:t>27</w:t>
        </w:r>
      </w:hyperlink>
      <w:r>
        <w:t>). Jesus oferece amor, enquanto o mundo oferece ódio e perseguição (</w:t>
      </w:r>
      <w:hyperlink r:id="rId14905">
        <w:r>
          <w:rPr>
            <w:color w:val="0000EE"/>
            <w:u w:val="single"/>
          </w:rPr>
          <w:t>15.19–20</w:t>
        </w:r>
      </w:hyperlink>
      <w:r>
        <w:t>). O ódio do mundo a Deus também é direcionado contra os seguidores de Cristo (v.</w:t>
      </w:r>
      <w:hyperlink r:id="rId14906">
        <w:r>
          <w:rPr>
            <w:color w:val="0000EE"/>
            <w:u w:val="single"/>
          </w:rPr>
          <w:t>18–21</w:t>
        </w:r>
      </w:hyperlink>
      <w:r>
        <w:t>). Embora os discípulos de Jesus enfrentem tribulação "no mundo", devem ter bom ânimo, pois Jesus venceu o mundo (</w:t>
      </w:r>
      <w:hyperlink r:id="rId14907">
        <w:r>
          <w:rPr>
            <w:color w:val="0000EE"/>
            <w:u w:val="single"/>
          </w:rPr>
          <w:t>16.33</w:t>
        </w:r>
      </w:hyperlink>
      <w:r>
        <w:t>).</w:t>
      </w:r>
    </w:p>
    <w:p>
      <w:r/>
      <w:r>
        <w:t xml:space="preserve">Outra palavra grega às vezes traduzida como "mundo" é </w:t>
      </w:r>
      <w:r>
        <w:rPr>
          <w:i/>
        </w:rPr>
        <w:t>aion.</w:t>
      </w:r>
      <w:r>
        <w:t xml:space="preserve"> Esta palavra enfatiza o aspecto temporal do mundo. É usada para se referir ao tempo sem fim, eternidade (por exemplo, </w:t>
      </w:r>
      <w:hyperlink r:id="rId14908">
        <w:r>
          <w:rPr>
            <w:color w:val="0000EE"/>
            <w:u w:val="single"/>
          </w:rPr>
          <w:t>Rm 1.25</w:t>
        </w:r>
      </w:hyperlink>
      <w:r>
        <w:t xml:space="preserve">; </w:t>
      </w:r>
      <w:hyperlink r:id="rId14909">
        <w:r>
          <w:rPr>
            <w:color w:val="0000EE"/>
            <w:u w:val="single"/>
          </w:rPr>
          <w:t>2Co 11.31</w:t>
        </w:r>
      </w:hyperlink>
      <w:r>
        <w:t xml:space="preserve">; </w:t>
      </w:r>
      <w:hyperlink r:id="rId14910">
        <w:r>
          <w:rPr>
            <w:color w:val="0000EE"/>
            <w:u w:val="single"/>
          </w:rPr>
          <w:t>Fp 4.20</w:t>
        </w:r>
      </w:hyperlink>
      <w:r>
        <w:t xml:space="preserve">). </w:t>
      </w:r>
    </w:p>
    <w:p>
      <w:r/>
      <w:r>
        <w:rPr>
          <w:i/>
        </w:rPr>
        <w:t>Veja</w:t>
      </w:r>
      <w:r>
        <w:t xml:space="preserve"> </w:t>
      </w:r>
      <w:r>
        <w:t>Era</w:t>
      </w:r>
      <w:r>
        <w:t>.</w:t>
      </w:r>
      <w:r/>
      <w:r/>
    </w:p>
    <w:p>
      <w:r/>
    </w:p>
    <w:p>
      <w:pPr>
        <w:pStyle w:val="Heading2"/>
      </w:pPr>
      <w:r>
        <w:t>Mupim</w:t>
      </w:r>
      <w:r/>
    </w:p>
    <w:p>
      <w:r/>
      <w:r>
        <w:t>Um dos dez filhos de Benjamim (</w:t>
      </w:r>
      <w:hyperlink r:id="rId661">
        <w:r>
          <w:rPr>
            <w:color w:val="0000EE"/>
            <w:u w:val="single"/>
          </w:rPr>
          <w:t>Gn 46.21</w:t>
        </w:r>
      </w:hyperlink>
      <w:r>
        <w:t>). Ele é chamado em outros lugares de Sufã (</w:t>
      </w:r>
      <w:hyperlink r:id="rId10790">
        <w:r>
          <w:rPr>
            <w:color w:val="0000EE"/>
            <w:u w:val="single"/>
          </w:rPr>
          <w:t>Nm 26.39</w:t>
        </w:r>
      </w:hyperlink>
      <w:r>
        <w:t>) e Supim (</w:t>
      </w:r>
      <w:hyperlink r:id="rId662">
        <w:r>
          <w:rPr>
            <w:color w:val="0000EE"/>
            <w:u w:val="single"/>
          </w:rPr>
          <w:t>1Cr 7.12</w:t>
        </w:r>
      </w:hyperlink>
      <w:r>
        <w:t>). Ele pode ser a mesma pessoa que Sefufã (</w:t>
      </w:r>
      <w:hyperlink r:id="rId10792">
        <w:r>
          <w:rPr>
            <w:color w:val="0000EE"/>
            <w:u w:val="single"/>
          </w:rPr>
          <w:t>1Cr 8.5</w:t>
        </w:r>
      </w:hyperlink>
      <w:r>
        <w:t>).</w:t>
      </w:r>
    </w:p>
    <w:p>
      <w:r/>
      <w:r>
        <w:rPr>
          <w:i/>
        </w:rPr>
        <w:t>Veja</w:t>
      </w:r>
      <w:r>
        <w:t xml:space="preserve"> </w:t>
      </w:r>
      <w:r>
        <w:t>Sufã</w:t>
      </w:r>
      <w:r>
        <w:t>.</w:t>
      </w:r>
      <w:r/>
      <w:r/>
    </w:p>
    <w:p>
      <w:r/>
    </w:p>
    <w:p>
      <w:pPr>
        <w:pStyle w:val="Heading2"/>
      </w:pPr>
      <w:r>
        <w:t>Musi, musita</w:t>
      </w:r>
      <w:r/>
    </w:p>
    <w:p>
      <w:r/>
      <w:r>
        <w:t>O filho de Merari, neto de Levi e irmão de Mali (</w:t>
      </w:r>
      <w:hyperlink r:id="rId13573">
        <w:r>
          <w:rPr>
            <w:color w:val="0000EE"/>
            <w:u w:val="single"/>
          </w:rPr>
          <w:t>Êx 6.19</w:t>
        </w:r>
      </w:hyperlink>
      <w:r>
        <w:t xml:space="preserve">; </w:t>
      </w:r>
      <w:hyperlink r:id="rId13679">
        <w:r>
          <w:rPr>
            <w:color w:val="0000EE"/>
            <w:u w:val="single"/>
          </w:rPr>
          <w:t>Nm 3.20</w:t>
        </w:r>
      </w:hyperlink>
      <w:r>
        <w:t xml:space="preserve">; </w:t>
      </w:r>
      <w:hyperlink r:id="rId14911">
        <w:r>
          <w:rPr>
            <w:color w:val="0000EE"/>
            <w:u w:val="single"/>
          </w:rPr>
          <w:t>1Cr 6.19,47</w:t>
        </w:r>
      </w:hyperlink>
      <w:r>
        <w:t>). Ele foi o pai de Mali, Éder e Jeremote (</w:t>
      </w:r>
      <w:hyperlink r:id="rId14912">
        <w:r>
          <w:rPr>
            <w:color w:val="0000EE"/>
            <w:u w:val="single"/>
          </w:rPr>
          <w:t>1 Cr 23.21–23</w:t>
        </w:r>
      </w:hyperlink>
      <w:r>
        <w:t xml:space="preserve">; </w:t>
      </w:r>
      <w:hyperlink r:id="rId14913">
        <w:r>
          <w:rPr>
            <w:color w:val="0000EE"/>
            <w:u w:val="single"/>
          </w:rPr>
          <w:t>24.26,30</w:t>
        </w:r>
      </w:hyperlink>
      <w:r>
        <w:t>). Ele foi o fundador da família dos musitas (</w:t>
      </w:r>
      <w:hyperlink r:id="rId13684">
        <w:r>
          <w:rPr>
            <w:color w:val="0000EE"/>
            <w:u w:val="single"/>
          </w:rPr>
          <w:t>Nm 3.33</w:t>
        </w:r>
      </w:hyperlink>
      <w:r>
        <w:t xml:space="preserve">; </w:t>
      </w:r>
      <w:hyperlink r:id="rId5738">
        <w:r>
          <w:rPr>
            <w:color w:val="0000EE"/>
            <w:u w:val="single"/>
          </w:rPr>
          <w:t>26.58</w:t>
        </w:r>
      </w:hyperlink>
      <w:r>
        <w:t>).</w:t>
      </w:r>
      <w:r/>
      <w:r/>
    </w:p>
    <w:p>
      <w:r/>
    </w:p>
    <w:p>
      <w:pPr>
        <w:pStyle w:val="Heading2"/>
      </w:pPr>
      <w:r>
        <w:t>Música</w:t>
      </w:r>
      <w:r/>
    </w:p>
    <w:p>
      <w:r/>
      <w:r>
        <w:t>A música é uma expressão humana natural que provavelmente começou com o canto-falado e se desenvolveu em canções. Instrumentos musicais como acompanhamento vieram em seguida. A música, como a conhecemos, tornou-se bastante complexa, um luxo e uma forma de entretenimento. Nos tempos antigos, a música era mais uma expressão prática da vida diária, do trabalho e da adoração.</w:t>
      </w:r>
    </w:p>
    <w:p>
      <w:r/>
      <w:r>
        <w:t>A expressão "cantar ao Senhor" é comum no Antigo Testamento (</w:t>
      </w:r>
      <w:hyperlink r:id="rId13147">
        <w:r>
          <w:rPr>
            <w:color w:val="0000EE"/>
            <w:u w:val="single"/>
          </w:rPr>
          <w:t>Êx 15.21</w:t>
        </w:r>
      </w:hyperlink>
      <w:r>
        <w:t xml:space="preserve">; </w:t>
      </w:r>
      <w:hyperlink r:id="rId14914">
        <w:r>
          <w:rPr>
            <w:color w:val="0000EE"/>
            <w:u w:val="single"/>
          </w:rPr>
          <w:t>1Cr 16.9</w:t>
        </w:r>
      </w:hyperlink>
      <w:r>
        <w:t xml:space="preserve">; </w:t>
      </w:r>
      <w:hyperlink r:id="rId14915">
        <w:r>
          <w:rPr>
            <w:color w:val="0000EE"/>
            <w:u w:val="single"/>
          </w:rPr>
          <w:t>Sl 68.32</w:t>
        </w:r>
      </w:hyperlink>
      <w:r>
        <w:t xml:space="preserve">; </w:t>
      </w:r>
      <w:hyperlink r:id="rId14916">
        <w:r>
          <w:rPr>
            <w:color w:val="0000EE"/>
            <w:u w:val="single"/>
          </w:rPr>
          <w:t>96.1–2</w:t>
        </w:r>
      </w:hyperlink>
      <w:r>
        <w:t xml:space="preserve">; </w:t>
      </w:r>
      <w:hyperlink r:id="rId14917">
        <w:r>
          <w:rPr>
            <w:color w:val="0000EE"/>
            <w:u w:val="single"/>
          </w:rPr>
          <w:t>Is 42.10</w:t>
        </w:r>
      </w:hyperlink>
      <w:r>
        <w:t xml:space="preserve">; </w:t>
      </w:r>
      <w:hyperlink r:id="rId14918">
        <w:r>
          <w:rPr>
            <w:color w:val="0000EE"/>
            <w:u w:val="single"/>
          </w:rPr>
          <w:t>Jr 20.13</w:t>
        </w:r>
      </w:hyperlink>
      <w:r>
        <w:t>). No entanto, essa expressão não era exclusiva da nação judaica. Todas as religiões se baseiam no impulso humano natural de cantar. O comando para "cantar ao Senhor" era um sinal para que as pessoas expressassem seu louvor em canção.</w:t>
      </w:r>
    </w:p>
    <w:p>
      <w:r/>
      <w:r>
        <w:t>A Bíblia oferece um tratamento limitado da música na antiga Israel. Não havia notação musical escrita. O principal registro histórico da música é uma coleção de textos, incluindo os salmos, e algumas instruções musicais. Os escritores bíblicos não estavam escrevendo uma história de sua cultura, mas sim sobre um relacionamento com Deus. Os documentos bíblicos cobrem um longo período histórico e são agrupados por categoria, em vez de ordem cronológica. Seus comentários sobre música não são críticos. Isso dificulta a ordenação precisa do desenvolvimento do estilo musical. Finalmente, há o desafio de entender as descrições bíblicas da música e sua execução. Somente a partir do século 20 os estudiosos foram capazes de interpretar as informações fornecidas na Bíblia em termos dos sistemas musicais orientais.</w:t>
      </w:r>
    </w:p>
    <w:p>
      <w:pPr>
        <w:pStyle w:val="Heading3"/>
      </w:pPr>
      <w:r>
        <w:t>Música no Antigo Testamento</w:t>
      </w:r>
    </w:p>
    <w:p>
      <w:r/>
      <w:r>
        <w:t>O primeiro músico mencionado na Bíblia é "Jubal; ele foi o pai de todos os que tocam harpa e flauta" (</w:t>
      </w:r>
      <w:hyperlink r:id="rId4858">
        <w:r>
          <w:rPr>
            <w:color w:val="0000EE"/>
            <w:u w:val="single"/>
          </w:rPr>
          <w:t>Gn 4.21</w:t>
        </w:r>
      </w:hyperlink>
      <w:r>
        <w:t xml:space="preserve">). É importante notar que a profissão de Jubal tem a mesma importância que a de seus irmãos Jabal, o pastor, e Tubalcaim, o ferreiro. Fazer música está entre as profissões mais antigas dos povos nômades. Acredita-se que o nome Jubal seja uma derivação da palavra hebraica para "Carneiro". O chifre de carneiro </w:t>
      </w:r>
      <w:r>
        <w:rPr>
          <w:i/>
        </w:rPr>
        <w:t>(shophar)</w:t>
      </w:r>
      <w:r>
        <w:t xml:space="preserve"> foi um dos primeiros instrumentos do povo judeu. O shophar era e é significativo para sinalizar eventos importantes.</w:t>
      </w:r>
    </w:p>
    <w:p>
      <w:r/>
      <w:r>
        <w:t>A música descrita na antiga história bíblica era em grande parte funcional. Ela adquiriu um significado especial ao se tornar uma parte importante do culto no templo. Muitas das descrições da produção musical na antiga Israel, antes do tempo de Davi, são bastante práticas. Existem relatos de música em momentos de:</w:t>
      </w:r>
    </w:p>
    <w:p>
      <w:pPr>
        <w:pStyle w:val="ListBullet"/>
        <w:spacing w:line="240" w:lineRule="auto"/>
        <w:ind w:left="720"/>
      </w:pPr>
      <w:r/>
      <w:r>
        <w:t>despedida (</w:t>
      </w:r>
      <w:hyperlink r:id="rId14919">
        <w:r>
          <w:rPr>
            <w:color w:val="0000EE"/>
            <w:u w:val="single"/>
          </w:rPr>
          <w:t>Gn 31.27</w:t>
        </w:r>
      </w:hyperlink>
      <w:r>
        <w:t>),</w:t>
      </w:r>
    </w:p>
    <w:p>
      <w:pPr>
        <w:pStyle w:val="ListBullet"/>
        <w:spacing w:line="240" w:lineRule="auto"/>
        <w:ind w:left="720"/>
      </w:pPr>
      <w:r/>
      <w:r>
        <w:t>regozijo e banquete (</w:t>
      </w:r>
      <w:hyperlink r:id="rId14920">
        <w:r>
          <w:rPr>
            <w:color w:val="0000EE"/>
            <w:u w:val="single"/>
          </w:rPr>
          <w:t>Êx 32.17–18</w:t>
        </w:r>
      </w:hyperlink>
      <w:r>
        <w:t xml:space="preserve">; </w:t>
      </w:r>
      <w:hyperlink r:id="rId11061">
        <w:r>
          <w:rPr>
            <w:color w:val="0000EE"/>
            <w:u w:val="single"/>
          </w:rPr>
          <w:t>Is 5.12</w:t>
        </w:r>
      </w:hyperlink>
      <w:r>
        <w:t xml:space="preserve">; </w:t>
      </w:r>
      <w:hyperlink r:id="rId14921">
        <w:r>
          <w:rPr>
            <w:color w:val="0000EE"/>
            <w:u w:val="single"/>
          </w:rPr>
          <w:t>24.8–9</w:t>
        </w:r>
      </w:hyperlink>
      <w:r>
        <w:t>),</w:t>
      </w:r>
    </w:p>
    <w:p>
      <w:pPr>
        <w:pStyle w:val="ListBullet"/>
        <w:spacing w:line="240" w:lineRule="auto"/>
        <w:ind w:left="720"/>
      </w:pPr>
      <w:r/>
      <w:r>
        <w:t>vitórias militares (</w:t>
      </w:r>
      <w:hyperlink r:id="rId14922">
        <w:r>
          <w:rPr>
            <w:color w:val="0000EE"/>
            <w:u w:val="single"/>
          </w:rPr>
          <w:t>2Cr 20.27–28</w:t>
        </w:r>
      </w:hyperlink>
      <w:r>
        <w:t>), e</w:t>
      </w:r>
    </w:p>
    <w:p>
      <w:pPr>
        <w:pStyle w:val="ListBullet"/>
        <w:spacing w:line="240" w:lineRule="auto"/>
        <w:ind w:left="720"/>
      </w:pPr>
      <w:r/>
      <w:r>
        <w:t>para o trabalho (</w:t>
      </w:r>
      <w:hyperlink r:id="rId14923">
        <w:r>
          <w:rPr>
            <w:color w:val="0000EE"/>
            <w:u w:val="single"/>
          </w:rPr>
          <w:t>Nm 21.17</w:t>
        </w:r>
      </w:hyperlink>
      <w:r>
        <w:t xml:space="preserve">, a canção dos cavadores de poços; </w:t>
      </w:r>
      <w:hyperlink r:id="rId14924">
        <w:r>
          <w:rPr>
            <w:color w:val="0000EE"/>
            <w:u w:val="single"/>
          </w:rPr>
          <w:t>Is 16.10</w:t>
        </w:r>
      </w:hyperlink>
      <w:r>
        <w:t xml:space="preserve">; </w:t>
      </w:r>
      <w:hyperlink r:id="rId14925">
        <w:r>
          <w:rPr>
            <w:color w:val="0000EE"/>
            <w:u w:val="single"/>
          </w:rPr>
          <w:t>Jr 48.33</w:t>
        </w:r>
      </w:hyperlink>
      <w:r>
        <w:t>).</w:t>
      </w:r>
    </w:p>
    <w:p>
      <w:r/>
      <w:r>
        <w:t>A maior parte dessa música era provavelmente bastante básica e simples por natureza. A música associada aos avanços militares, por exemplo, tinha o objetivo de aterrorizar o inimigo (</w:t>
      </w:r>
      <w:hyperlink r:id="rId14926">
        <w:r>
          <w:rPr>
            <w:color w:val="0000EE"/>
            <w:u w:val="single"/>
          </w:rPr>
          <w:t>Jz 7.17–20</w:t>
        </w:r>
      </w:hyperlink>
      <w:r>
        <w:t>). A música e a dança que saudaram Moisés ao descer da montanha foram descritas como se soassem como "guerra no acampamento" (</w:t>
      </w:r>
      <w:hyperlink r:id="rId14920">
        <w:r>
          <w:rPr>
            <w:color w:val="0000EE"/>
            <w:u w:val="single"/>
          </w:rPr>
          <w:t>Êx 32.17–18</w:t>
        </w:r>
      </w:hyperlink>
      <w:r>
        <w:t>).</w:t>
      </w:r>
    </w:p>
    <w:p>
      <w:r/>
      <w:r>
        <w:t>Na história inicial do povo judeu, as mulheres desempenharam um papel importante na execução da música. A imagem de mulheres dançando e cantando de alegria acompanhadas por instrumentos de percussão é repetida várias vezes:</w:t>
      </w:r>
    </w:p>
    <w:p>
      <w:pPr>
        <w:pStyle w:val="ListBullet"/>
        <w:spacing w:line="240" w:lineRule="auto"/>
        <w:ind w:left="720"/>
      </w:pPr>
      <w:r/>
      <w:r>
        <w:t>Miriã liderou as mulheres em um hino de agradecimento após a travessia do Mar Vermelho (</w:t>
      </w:r>
      <w:hyperlink r:id="rId4201">
        <w:r>
          <w:rPr>
            <w:color w:val="0000EE"/>
            <w:u w:val="single"/>
          </w:rPr>
          <w:t>Êx 15</w:t>
        </w:r>
      </w:hyperlink>
      <w:r>
        <w:t>).</w:t>
      </w:r>
    </w:p>
    <w:p>
      <w:pPr>
        <w:pStyle w:val="ListBullet"/>
        <w:spacing w:line="240" w:lineRule="auto"/>
        <w:ind w:left="720"/>
      </w:pPr>
      <w:r/>
      <w:r>
        <w:t>Débora se juntou a Baraque para cantar uma canção de vitória (</w:t>
      </w:r>
      <w:hyperlink r:id="rId4184">
        <w:r>
          <w:rPr>
            <w:color w:val="0000EE"/>
            <w:u w:val="single"/>
          </w:rPr>
          <w:t>Jz 5</w:t>
        </w:r>
      </w:hyperlink>
      <w:r>
        <w:t>).</w:t>
      </w:r>
    </w:p>
    <w:p>
      <w:pPr>
        <w:pStyle w:val="ListBullet"/>
        <w:spacing w:line="240" w:lineRule="auto"/>
        <w:ind w:left="720"/>
      </w:pPr>
      <w:r/>
      <w:r>
        <w:t>A filha de Jefté deu as boas-vindas ao seu pai em sua vitória (</w:t>
      </w:r>
      <w:hyperlink r:id="rId14927">
        <w:r>
          <w:rPr>
            <w:color w:val="0000EE"/>
            <w:u w:val="single"/>
          </w:rPr>
          <w:t>Jz 11.34</w:t>
        </w:r>
      </w:hyperlink>
      <w:r>
        <w:t>).</w:t>
      </w:r>
    </w:p>
    <w:p>
      <w:pPr>
        <w:pStyle w:val="ListBullet"/>
        <w:spacing w:line="240" w:lineRule="auto"/>
        <w:ind w:left="720"/>
      </w:pPr>
      <w:r/>
      <w:r>
        <w:t>As mulheres aclamaram Davi após ele derrotar os filisteus (</w:t>
      </w:r>
      <w:hyperlink r:id="rId14928">
        <w:r>
          <w:rPr>
            <w:color w:val="0000EE"/>
            <w:u w:val="single"/>
          </w:rPr>
          <w:t>1Sm 18.6–7</w:t>
        </w:r>
      </w:hyperlink>
      <w:r>
        <w:t>).</w:t>
      </w:r>
    </w:p>
    <w:p>
      <w:r/>
      <w:r>
        <w:t>Há poucas menções de mulheres como musicistas após o estabelecimento do templo em Jerusalém. Existem algumas alusões à participação feminina em canto e dança. Por exemplo, cantores e cantoras são mencionados quando os judeus retornaram do exílio na Babilônia (</w:t>
      </w:r>
      <w:hyperlink r:id="rId14929">
        <w:r>
          <w:rPr>
            <w:color w:val="0000EE"/>
            <w:u w:val="single"/>
          </w:rPr>
          <w:t>Ne 7.67</w:t>
        </w:r>
      </w:hyperlink>
      <w:r>
        <w:t>). Isso confirma que as mulheres ainda participavam de apresentações musicais em determinados momentos.</w:t>
      </w:r>
    </w:p>
    <w:p>
      <w:r/>
      <w:r>
        <w:t>À medida que Jerusalém se tornou o centro religioso do povo hebreu entre 950 e 850 a.C., o papel do músico profissional ganhou mais importância. As canções das mulheres tornaram-se insignificantes em comparação com as cerimônias formais associadas ao templo e à corte real. Cantores levíticos (pertencentes ao grupo sacerdotal chamado levitas) assumiram a maior parte da responsabilidade musical no templo. No entanto, o povo participava nas respostas ao cantar salmos, à medida que o canto antifonal (canto de vai-e-vem entre dois grupos) se desenvolvia.</w:t>
      </w:r>
    </w:p>
    <w:p>
      <w:pPr>
        <w:pStyle w:val="Heading4"/>
      </w:pPr>
      <w:r>
        <w:t>Estilo musical e uso</w:t>
      </w:r>
    </w:p>
    <w:p>
      <w:r/>
      <w:r>
        <w:t xml:space="preserve">O povo judeu parece ter sido especialmente musical. Outras culturas antigas foram influentes, mas há evidências de que os judeus eram requisitados como músicos por outros povos. Um documento assírio mostra o Rei Ezequias oferecendo muitos músicos judeus, homens e mulheres, como tributo ao Rei Senaqueribe. Os babilônios exigiam que os judeus cativos cantassem e os entretivessem (compare </w:t>
      </w:r>
      <w:hyperlink r:id="rId14930">
        <w:r>
          <w:rPr>
            <w:color w:val="0000EE"/>
            <w:u w:val="single"/>
          </w:rPr>
          <w:t>Sl 137.3</w:t>
        </w:r>
      </w:hyperlink>
      <w:r>
        <w:t>).</w:t>
      </w:r>
    </w:p>
    <w:p>
      <w:r/>
      <w:r>
        <w:t>O propósito do Antigo Testamento era contar a história da relação entre a nação judaica e Deus. Nesse contexto, a maioria das referências musicais trata da função da música na adoração. Evidências mostram que também havia um grande acervo de literatura musical não religiosa. Pode ter havido grupos de poetas e cantores no início da história judaica.</w:t>
      </w:r>
    </w:p>
    <w:p>
      <w:r/>
      <w:r>
        <w:t>Os tipos de canções gravadas na primeira parte do Antigo Testamento representam uma poesia semelhante ao folclore. A canção de agradecimento ao Senhor por Moisés e o povo de Israel após sua fuga no Mar Vermelho é uma emocionante canção nacional. Muitas descrições dos escritores bíblicos refletem o espírito de contar histórias através da música. Isso é lógico, pois essas histórias foram feitas para serem transmitidas. Canções de marcha (</w:t>
      </w:r>
      <w:hyperlink r:id="rId14922">
        <w:r>
          <w:rPr>
            <w:color w:val="0000EE"/>
            <w:u w:val="single"/>
          </w:rPr>
          <w:t>2Cr 20.27–28</w:t>
        </w:r>
      </w:hyperlink>
      <w:r>
        <w:t>) e canções de triunfo (</w:t>
      </w:r>
      <w:hyperlink r:id="rId4184">
        <w:r>
          <w:rPr>
            <w:color w:val="0000EE"/>
            <w:u w:val="single"/>
          </w:rPr>
          <w:t>Jz 5</w:t>
        </w:r>
      </w:hyperlink>
      <w:r>
        <w:t>) também indicam um corpo secular de música.</w:t>
      </w:r>
    </w:p>
    <w:p>
      <w:pPr>
        <w:pStyle w:val="Heading4"/>
      </w:pPr>
      <w:r>
        <w:t>Música na adoração</w:t>
      </w:r>
    </w:p>
    <w:p>
      <w:r/>
      <w:r>
        <w:t>Os cantores e músicos para o culto no templo foram escolhidos da tribo de Levi. O Rei Davi reuniu os levitas para um censo, e do total de 38.000 homens com mais de 30 anos, 4.000 foram escolhidos como músicos. Esses 4.000 foram posteriormente designados para funções específicas. "Davi e os comandantes do exército separaram alguns dos filhos de Asafe, Hemã e Jedutum para profetizar com o acompanhamento de liras, harpas e címbalos…Junto com seus parentes, todos treinados e habilidosos nos cânticos do Senhor, eles somavam 288" (</w:t>
      </w:r>
      <w:hyperlink r:id="rId14931">
        <w:r>
          <w:rPr>
            <w:color w:val="0000EE"/>
            <w:u w:val="single"/>
          </w:rPr>
          <w:t>1Cr 25.1,7</w:t>
        </w:r>
      </w:hyperlink>
      <w:r>
        <w:t>). Os cantores foram ainda divididos em 24 grupos de 12 cantores. Esses grupos se revezavam na participação nos serviços de dias de semana, sábados e dias santos.</w:t>
      </w:r>
    </w:p>
    <w:p>
      <w:r/>
      <w:r>
        <w:t>Uma fonte posterior indica que havia números mínimos e máximos de cantores e instrumentistas necessários em cada serviço. O número mínimo de cantores era doze, e o máximo era ilimitado. Em cada serviço, esses instrumentos precisavam ser incluídos:</w:t>
      </w:r>
    </w:p>
    <w:p>
      <w:pPr>
        <w:pStyle w:val="ListBullet"/>
        <w:spacing w:line="240" w:lineRule="auto"/>
        <w:ind w:left="720"/>
      </w:pPr>
      <w:r/>
      <w:r>
        <w:t>pelo menos duas harpas, mas no máximo seis</w:t>
      </w:r>
    </w:p>
    <w:p>
      <w:pPr>
        <w:pStyle w:val="ListBullet"/>
        <w:spacing w:line="240" w:lineRule="auto"/>
        <w:ind w:left="720"/>
      </w:pPr>
      <w:r/>
      <w:r>
        <w:t>pelo menos duas flautas, mas no máximo doze</w:t>
      </w:r>
    </w:p>
    <w:p>
      <w:pPr>
        <w:pStyle w:val="ListBullet"/>
        <w:spacing w:line="240" w:lineRule="auto"/>
        <w:ind w:left="720"/>
      </w:pPr>
      <w:r/>
      <w:r>
        <w:t>pelo menos dois trompetes, sem limite máximo</w:t>
      </w:r>
    </w:p>
    <w:p>
      <w:pPr>
        <w:pStyle w:val="ListBullet"/>
        <w:spacing w:line="240" w:lineRule="auto"/>
        <w:ind w:left="720"/>
      </w:pPr>
      <w:r/>
      <w:r>
        <w:t>um mínimo de nove liras, sem máximo</w:t>
      </w:r>
    </w:p>
    <w:p>
      <w:pPr>
        <w:pStyle w:val="ListBullet"/>
        <w:spacing w:line="240" w:lineRule="auto"/>
        <w:ind w:left="720"/>
      </w:pPr>
      <w:r/>
      <w:r>
        <w:t>um músico com um par de pratos</w:t>
      </w:r>
    </w:p>
    <w:p>
      <w:r/>
      <w:r>
        <w:t>Um cantor era admitido no coro levítico aos trinta anos após um aprendizado de cinco anos (</w:t>
      </w:r>
      <w:hyperlink r:id="rId4707">
        <w:r>
          <w:rPr>
            <w:color w:val="0000EE"/>
            <w:u w:val="single"/>
          </w:rPr>
          <w:t>1Cr 23.3</w:t>
        </w:r>
      </w:hyperlink>
      <w:r>
        <w:t>). Cinco anos é um tempo relativamente curto, considerando a quantidade de material que esses cantores tinham que memorizar (não havia notação escrita). Eles também tinham que memorizar e dominar a prática de adoração. Os cantores podem ter estado em algum nível de treinamento desde a infância.</w:t>
      </w:r>
    </w:p>
    <w:p>
      <w:r/>
      <w:r>
        <w:t>Os levitas viviam em aldeias fora da muralha da cidade. Eles podem ter estado ativamente envolvidos na educação musical de seus filhos (</w:t>
      </w:r>
      <w:hyperlink r:id="rId14932">
        <w:r>
          <w:rPr>
            <w:color w:val="0000EE"/>
            <w:u w:val="single"/>
          </w:rPr>
          <w:t>Ne 12.29</w:t>
        </w:r>
      </w:hyperlink>
      <w:r>
        <w:t>). Os levitas desempenhavam outras funções relacionadas ao serviço sagrado. Os cantores eram dispensados de todas as outras funções porque estavam de serviço dia e noite (</w:t>
      </w:r>
      <w:hyperlink r:id="rId4232">
        <w:r>
          <w:rPr>
            <w:color w:val="0000EE"/>
            <w:u w:val="single"/>
          </w:rPr>
          <w:t>1Cr 9.33</w:t>
        </w:r>
      </w:hyperlink>
      <w:r>
        <w:t>). Suas habilidades eram uma parte importante do culto no templo, por isso podiam dedicar toda a sua vida ao desenvolvimento de sua capacidade musical. Um cantor servia no coro por 20 anos, dos 30 aos 50 anos de idade. A música era de alta qualidade devido à disciplina rigorosa e à prática e performance contínuas.</w:t>
      </w:r>
    </w:p>
    <w:p>
      <w:r/>
      <w:r>
        <w:t xml:space="preserve">Desde o início do culto formal judaico ligado ao tabernáculo, a música e o som eram importantes. As descrições da túnica de Arão em </w:t>
      </w:r>
      <w:hyperlink r:id="rId14933">
        <w:r>
          <w:rPr>
            <w:color w:val="0000EE"/>
            <w:u w:val="single"/>
          </w:rPr>
          <w:t>Êxodo 28.34–35</w:t>
        </w:r>
      </w:hyperlink>
      <w:r>
        <w:t xml:space="preserve"> incluem sinos presos à bainha inferior para soar quando ele entrava no Lugar Santo.</w:t>
      </w:r>
    </w:p>
    <w:p>
      <w:r/>
      <w:r>
        <w:t xml:space="preserve">A primeira música relacionada à adoração mencionada no Antigo Testamento é encontrada em </w:t>
      </w:r>
      <w:hyperlink r:id="rId6587">
        <w:r>
          <w:rPr>
            <w:color w:val="0000EE"/>
            <w:u w:val="single"/>
          </w:rPr>
          <w:t>2 Samuel 6</w:t>
        </w:r>
      </w:hyperlink>
      <w:r>
        <w:t>, nas descrições da transferência da arca de Deus. Davi e os israelitas cantaram, tocaram instrumentos e dançaram para a glória do Senhor. Essa música era muito diferente da cerimônia formal descrita mais tarde no templo de Salomão.</w:t>
      </w:r>
    </w:p>
    <w:p>
      <w:r/>
      <w:r>
        <w:t xml:space="preserve">Em </w:t>
      </w:r>
      <w:hyperlink r:id="rId6607">
        <w:r>
          <w:rPr>
            <w:color w:val="0000EE"/>
            <w:u w:val="single"/>
          </w:rPr>
          <w:t>2 Crônicas 7.6</w:t>
        </w:r>
      </w:hyperlink>
      <w:r>
        <w:t>, Davi é reconhecido por inventar os instrumentos musicais usados no templo. Após o exílio, os cantores levíticos são mencionados como os descendentes de Asafe, o "mestre do canto" nomeado por Davi (</w:t>
      </w:r>
      <w:hyperlink r:id="rId2651">
        <w:r>
          <w:rPr>
            <w:color w:val="0000EE"/>
            <w:u w:val="single"/>
          </w:rPr>
          <w:t>Ed 2.41</w:t>
        </w:r>
      </w:hyperlink>
      <w:r>
        <w:t xml:space="preserve">; </w:t>
      </w:r>
      <w:hyperlink r:id="rId2652">
        <w:r>
          <w:rPr>
            <w:color w:val="0000EE"/>
            <w:u w:val="single"/>
          </w:rPr>
          <w:t>Ne 7.44</w:t>
        </w:r>
      </w:hyperlink>
      <w:r>
        <w:t xml:space="preserve">; </w:t>
      </w:r>
      <w:hyperlink r:id="rId14934">
        <w:r>
          <w:rPr>
            <w:color w:val="0000EE"/>
            <w:u w:val="single"/>
          </w:rPr>
          <w:t>11.22–23</w:t>
        </w:r>
      </w:hyperlink>
      <w:r>
        <w:t>). Passagens como essas indicam que a música e a organização da adoração vieram do tempo de Davi.</w:t>
      </w:r>
    </w:p>
    <w:p>
      <w:r/>
      <w:r>
        <w:t>As cerimônias no templo judaico eram organizadas em torno do sacrifício. O canto era uma parte essencial do serviço sacrificial e necessário para tornar a ação sacrificial oficial. Havia arranjos musicais especiais para cada sacrifício. As ofertas queimadas diárias, ofertas para o perdão dos pecados, ofertas de louvor e ofertas de bebida tinham cada uma suas cerimônias individuais.</w:t>
      </w:r>
    </w:p>
    <w:p>
      <w:r/>
      <w:r>
        <w:t>Certos salmos tornaram-se associados a determinados sacrifícios, assim como a dias específicos da semana. O salmo do dia era cantado quando o sumo sacerdote começava a derramar a oferta de bebida. O salmo era dividido em três seções, cada uma sinalizada pelo toque das trombetas. Ao som da trombeta, o povo se prostrava. Esta é a única vez que as trombetas eram usadas juntamente com outros instrumentos de forma orquestral em ocasiões solenes (</w:t>
      </w:r>
      <w:hyperlink r:id="rId4234">
        <w:r>
          <w:rPr>
            <w:color w:val="0000EE"/>
            <w:u w:val="single"/>
          </w:rPr>
          <w:t>2Cr 5.12–13</w:t>
        </w:r>
      </w:hyperlink>
      <w:r>
        <w:t>).</w:t>
      </w:r>
    </w:p>
    <w:p>
      <w:pPr>
        <w:pStyle w:val="Heading3"/>
      </w:pPr>
      <w:r>
        <w:t>Música nos salmos</w:t>
      </w:r>
    </w:p>
    <w:p>
      <w:pPr>
        <w:pStyle w:val="Heading4"/>
      </w:pPr>
      <w:r>
        <w:t>Títulos dos salmos musicais</w:t>
      </w:r>
    </w:p>
    <w:p>
      <w:r/>
      <w:r>
        <w:t xml:space="preserve">A coleção de 150 poemas líricos conhecida como o livro dos Salmos contém a maior quantidade de informações sobre a produção musical na antiga Israel. O Saltério inclui não apenas canções religiosas, mas também canções que têm suas raízes em canções seculares ou populares. Canções de trabalho, de amor e de casamento podem ter influenciado os Salmos. A maioria são canções de louvor, agradecimento, oração e arrependimento. Existem também odes históricas (poemas formais) que relatam grandes eventos nacionais. </w:t>
      </w:r>
      <w:hyperlink r:id="rId5382">
        <w:r>
          <w:rPr>
            <w:color w:val="0000EE"/>
            <w:u w:val="single"/>
          </w:rPr>
          <w:t>Salmo 30</w:t>
        </w:r>
      </w:hyperlink>
      <w:r>
        <w:t xml:space="preserve"> é "uma canção para a dedicação do templo". </w:t>
      </w:r>
      <w:hyperlink r:id="rId14935">
        <w:r>
          <w:rPr>
            <w:color w:val="0000EE"/>
            <w:u w:val="single"/>
          </w:rPr>
          <w:t>Salmo 137</w:t>
        </w:r>
      </w:hyperlink>
      <w:r>
        <w:t xml:space="preserve"> retrata os sofrimentos dos judeus no cativeiro.</w:t>
      </w:r>
    </w:p>
    <w:p>
      <w:r/>
      <w:r>
        <w:t>Os salmos eram uma parte importante de todos os serviços do templo. O Saltério tornou-se o hinário usado nas práticas de adoração israelitas. A adoração incluía um salmo designado para cada dia da semana:</w:t>
      </w:r>
    </w:p>
    <w:p>
      <w:pPr>
        <w:pStyle w:val="ListBullet"/>
        <w:spacing w:line="240" w:lineRule="auto"/>
        <w:ind w:left="720"/>
      </w:pPr>
      <w:r/>
      <w:r>
        <w:t xml:space="preserve">No primeiro dia da semana, as pessoas cantavam </w:t>
      </w:r>
      <w:hyperlink r:id="rId9997">
        <w:r>
          <w:rPr>
            <w:color w:val="0000EE"/>
            <w:u w:val="single"/>
          </w:rPr>
          <w:t>Salmo 24</w:t>
        </w:r>
      </w:hyperlink>
      <w:r>
        <w:t xml:space="preserve"> em lembrança do primeiro dia da criação.</w:t>
      </w:r>
    </w:p>
    <w:p>
      <w:pPr>
        <w:pStyle w:val="ListBullet"/>
        <w:spacing w:line="240" w:lineRule="auto"/>
        <w:ind w:left="720"/>
      </w:pPr>
      <w:r/>
      <w:r>
        <w:t xml:space="preserve">No segundo dia da semana, </w:t>
      </w:r>
      <w:hyperlink r:id="rId14936">
        <w:r>
          <w:rPr>
            <w:color w:val="0000EE"/>
            <w:u w:val="single"/>
          </w:rPr>
          <w:t>Salmo 48</w:t>
        </w:r>
      </w:hyperlink>
      <w:r>
        <w:t>.</w:t>
      </w:r>
    </w:p>
    <w:p>
      <w:pPr>
        <w:pStyle w:val="ListBullet"/>
        <w:spacing w:line="240" w:lineRule="auto"/>
        <w:ind w:left="720"/>
      </w:pPr>
      <w:r/>
      <w:r>
        <w:t xml:space="preserve">No terceiro dia da semana, </w:t>
      </w:r>
      <w:hyperlink r:id="rId10785">
        <w:r>
          <w:rPr>
            <w:color w:val="0000EE"/>
            <w:u w:val="single"/>
          </w:rPr>
          <w:t>Salmo 82</w:t>
        </w:r>
      </w:hyperlink>
      <w:r>
        <w:t>.</w:t>
      </w:r>
    </w:p>
    <w:p>
      <w:pPr>
        <w:pStyle w:val="ListBullet"/>
        <w:spacing w:line="240" w:lineRule="auto"/>
        <w:ind w:left="720"/>
      </w:pPr>
      <w:r/>
      <w:r>
        <w:t xml:space="preserve">No quarto dia da semana, </w:t>
      </w:r>
      <w:hyperlink r:id="rId14937">
        <w:r>
          <w:rPr>
            <w:color w:val="0000EE"/>
            <w:u w:val="single"/>
          </w:rPr>
          <w:t>Salmo 94</w:t>
        </w:r>
      </w:hyperlink>
      <w:r>
        <w:t>.</w:t>
      </w:r>
    </w:p>
    <w:p>
      <w:pPr>
        <w:pStyle w:val="ListBullet"/>
        <w:spacing w:line="240" w:lineRule="auto"/>
        <w:ind w:left="720"/>
      </w:pPr>
      <w:r/>
      <w:r>
        <w:t xml:space="preserve">No quinto dia da semana, </w:t>
      </w:r>
      <w:hyperlink r:id="rId9995">
        <w:r>
          <w:rPr>
            <w:color w:val="0000EE"/>
            <w:u w:val="single"/>
          </w:rPr>
          <w:t>Salmo 81</w:t>
        </w:r>
      </w:hyperlink>
      <w:r>
        <w:t>.</w:t>
      </w:r>
    </w:p>
    <w:p>
      <w:pPr>
        <w:pStyle w:val="ListBullet"/>
        <w:spacing w:line="240" w:lineRule="auto"/>
        <w:ind w:left="720"/>
      </w:pPr>
      <w:r/>
      <w:r>
        <w:t xml:space="preserve">No sexto dia da semana, </w:t>
      </w:r>
      <w:hyperlink r:id="rId14938">
        <w:r>
          <w:rPr>
            <w:color w:val="0000EE"/>
            <w:u w:val="single"/>
          </w:rPr>
          <w:t>Salmo 93</w:t>
        </w:r>
      </w:hyperlink>
      <w:r>
        <w:t>.</w:t>
      </w:r>
    </w:p>
    <w:p>
      <w:pPr>
        <w:pStyle w:val="ListBullet"/>
        <w:spacing w:line="240" w:lineRule="auto"/>
        <w:ind w:left="720"/>
      </w:pPr>
      <w:r/>
      <w:r>
        <w:t xml:space="preserve">No sétimo dia da semana, o sábado, eles cantavam o </w:t>
      </w:r>
      <w:hyperlink r:id="rId14939">
        <w:r>
          <w:rPr>
            <w:color w:val="0000EE"/>
            <w:u w:val="single"/>
          </w:rPr>
          <w:t>Salmo 92</w:t>
        </w:r>
      </w:hyperlink>
      <w:r>
        <w:t>.</w:t>
      </w:r>
    </w:p>
    <w:p>
      <w:r/>
      <w:r>
        <w:t xml:space="preserve">Após as ofertas sacrificiais, </w:t>
      </w:r>
      <w:hyperlink r:id="rId14940">
        <w:r>
          <w:rPr>
            <w:color w:val="0000EE"/>
            <w:u w:val="single"/>
          </w:rPr>
          <w:t>Salmo 105.1–5</w:t>
        </w:r>
      </w:hyperlink>
      <w:r>
        <w:t xml:space="preserve"> era cantado no serviço matinal e </w:t>
      </w:r>
      <w:hyperlink r:id="rId14941">
        <w:r>
          <w:rPr>
            <w:color w:val="0000EE"/>
            <w:u w:val="single"/>
          </w:rPr>
          <w:t>Salmo 96</w:t>
        </w:r>
      </w:hyperlink>
      <w:r>
        <w:t xml:space="preserve"> no serviço vespertino. Os salmos do Hallel (</w:t>
      </w:r>
      <w:hyperlink r:id="rId728">
        <w:r>
          <w:rPr>
            <w:color w:val="0000EE"/>
            <w:u w:val="single"/>
          </w:rPr>
          <w:t>Sl 113–118</w:t>
        </w:r>
      </w:hyperlink>
      <w:r>
        <w:t xml:space="preserve">, </w:t>
      </w:r>
      <w:hyperlink r:id="rId10313">
        <w:r>
          <w:rPr>
            <w:color w:val="0000EE"/>
            <w:u w:val="single"/>
          </w:rPr>
          <w:t>120–136</w:t>
        </w:r>
      </w:hyperlink>
      <w:r>
        <w:t xml:space="preserve">, </w:t>
      </w:r>
      <w:hyperlink r:id="rId10314">
        <w:r>
          <w:rPr>
            <w:color w:val="0000EE"/>
            <w:u w:val="single"/>
          </w:rPr>
          <w:t>146–148</w:t>
        </w:r>
      </w:hyperlink>
      <w:r>
        <w:t>) eram cantados durante a oferta do cordeiro pascal na festa da Páscoa.</w:t>
      </w:r>
    </w:p>
    <w:p>
      <w:r/>
      <w:r>
        <w:t>A maior parte da música de adoração era executada pelos levitas. No entanto, os textos dos salmos sugerem que também havia participação congregacional. Tanto as formas de canto da sinagoga quanto da igreja podem ser rastreadas até o texto poético dos salmos.</w:t>
      </w:r>
    </w:p>
    <w:p>
      <w:r/>
      <w:r>
        <w:t>Existem vários tipos de salmodia:</w:t>
      </w:r>
    </w:p>
    <w:p>
      <w:pPr>
        <w:pStyle w:val="ListBullet"/>
        <w:spacing w:line="240" w:lineRule="auto"/>
        <w:ind w:left="720"/>
      </w:pPr>
      <w:r/>
      <w:r>
        <w:t xml:space="preserve">A salmodia simples é cantada por uma pessoa (por exemplo, </w:t>
      </w:r>
      <w:hyperlink r:id="rId14942">
        <w:r>
          <w:rPr>
            <w:color w:val="0000EE"/>
            <w:u w:val="single"/>
          </w:rPr>
          <w:t>Sl 3–5</w:t>
        </w:r>
      </w:hyperlink>
      <w:r>
        <w:t>,</w:t>
      </w:r>
      <w:hyperlink r:id="rId700">
        <w:r>
          <w:rPr>
            <w:color w:val="0000EE"/>
            <w:u w:val="single"/>
          </w:rPr>
          <w:t>46</w:t>
        </w:r>
      </w:hyperlink>
      <w:r>
        <w:t>).</w:t>
      </w:r>
    </w:p>
    <w:p>
      <w:pPr>
        <w:pStyle w:val="ListBullet"/>
        <w:spacing w:line="240" w:lineRule="auto"/>
        <w:ind w:left="720"/>
      </w:pPr>
      <w:r/>
      <w:r>
        <w:t xml:space="preserve">Salmodia responsorial significa que o solista é respondido pelo coro (por exemplo, </w:t>
      </w:r>
      <w:hyperlink r:id="rId14943">
        <w:r>
          <w:rPr>
            <w:color w:val="0000EE"/>
            <w:u w:val="single"/>
          </w:rPr>
          <w:t>Sl 67.1–2</w:t>
        </w:r>
      </w:hyperlink>
      <w:r>
        <w:t xml:space="preserve">; o solista cantava o versículo </w:t>
      </w:r>
      <w:hyperlink r:id="rId14944">
        <w:r>
          <w:rPr>
            <w:color w:val="0000EE"/>
            <w:u w:val="single"/>
          </w:rPr>
          <w:t>1</w:t>
        </w:r>
      </w:hyperlink>
      <w:r>
        <w:t xml:space="preserve"> e o coro respondia com o versículo </w:t>
      </w:r>
      <w:hyperlink r:id="rId14945">
        <w:r>
          <w:rPr>
            <w:color w:val="0000EE"/>
            <w:u w:val="single"/>
          </w:rPr>
          <w:t>2</w:t>
        </w:r>
      </w:hyperlink>
      <w:r>
        <w:t>).</w:t>
      </w:r>
    </w:p>
    <w:p>
      <w:pPr>
        <w:pStyle w:val="ListBullet"/>
        <w:spacing w:line="240" w:lineRule="auto"/>
        <w:ind w:left="720"/>
      </w:pPr>
      <w:r/>
      <w:r>
        <w:t xml:space="preserve">A salmodia antifonal envolve dois grupos cantando alternadamente (por exemplo, </w:t>
      </w:r>
      <w:hyperlink r:id="rId14946">
        <w:r>
          <w:rPr>
            <w:color w:val="0000EE"/>
            <w:u w:val="single"/>
          </w:rPr>
          <w:t>Sl 103.20–22</w:t>
        </w:r>
      </w:hyperlink>
      <w:r>
        <w:t xml:space="preserve">). A congregação entoaria um refrão como o que aparece no </w:t>
      </w:r>
      <w:hyperlink r:id="rId14947">
        <w:r>
          <w:rPr>
            <w:color w:val="0000EE"/>
            <w:u w:val="single"/>
          </w:rPr>
          <w:t>Salmos 80</w:t>
        </w:r>
      </w:hyperlink>
      <w:r>
        <w:t>: "Restaura-nos, ó Deus, e faze resplandecer o Teu rosto sobre nós, para que sejamos salvos" - isso aparece frequentemente ao longo do salmo.</w:t>
      </w:r>
    </w:p>
    <w:p>
      <w:r/>
      <w:r>
        <w:t>Embora a sinagoga não tivesse altar para sacrifício, o canto de salmos manteve um lugar importante. Quando os romanos destruíram o templo, a herança de adoração dos judeus correu o risco de se perder. Traduzir costumes de adoração do templo, como a música, para a adoração na sinagoga preservou esta herança da adoração.</w:t>
      </w:r>
    </w:p>
    <w:p>
      <w:r/>
      <w:r>
        <w:t>A parte dos salmos mais difícil de entender são os cabeçalhos que não fazem parte do texto poético. A primeira questão é se estes devem ser considerados como sobrescritos. grego, latim, hebraico e outras línguas antigas eram escritas de forma que o texto não incluía quebras de capítulo ou parágrafo. Versos e até mesmo a divisão dos próprios salmos foram parcialmente feitos por copistas, principalmente os Massoretas (antigos estudiosos judeus que preservaram o texto hebraico do Antigo Testamento).</w:t>
      </w:r>
    </w:p>
    <w:p>
      <w:r/>
      <w:r>
        <w:t>Há alguma dúvida sobre a quais salmos pertencem os textos que não fazem parte do poema. Eles podem ser subscritos (notas no início) em vez de sobrescritos (notas no final). A poesia suméria e babilônica listava informações como o nome do autor, o instrumento musical usado para acompanhamento, a melodia e o propósito no final do poema. Portanto, alguns dos títulos podem ser finais.</w:t>
      </w:r>
    </w:p>
    <w:p>
      <w:r/>
      <w:r>
        <w:t>As notas no início de um salmo são agrupadas em três categorias:</w:t>
      </w:r>
    </w:p>
    <w:p>
      <w:pPr>
        <w:pStyle w:val="ListBullet"/>
        <w:spacing w:line="240" w:lineRule="auto"/>
        <w:ind w:left="720"/>
      </w:pPr>
      <w:r/>
      <w:r>
        <w:t>termos musicais que orientam a execução real</w:t>
      </w:r>
    </w:p>
    <w:p>
      <w:pPr>
        <w:pStyle w:val="ListBullet"/>
        <w:spacing w:line="240" w:lineRule="auto"/>
        <w:ind w:left="720"/>
      </w:pPr>
      <w:r/>
      <w:r>
        <w:t>Sinais musicais indicando a melodia à qual o salmo seria cantado</w:t>
      </w:r>
    </w:p>
    <w:p>
      <w:pPr>
        <w:pStyle w:val="ListBullet"/>
        <w:spacing w:line="240" w:lineRule="auto"/>
        <w:ind w:left="720"/>
      </w:pPr>
      <w:r/>
      <w:r>
        <w:t>Comentários indicando a função do salmo.</w:t>
      </w:r>
    </w:p>
    <w:p>
      <w:r/>
      <w:r>
        <w:t>Esses termos foram interpretados de diversas maneiras.</w:t>
      </w:r>
    </w:p>
    <w:p>
      <w:r/>
      <w:r>
        <w:t>Originalmente, esses títulos podem ter sido notas marginais para os líderes do coro. Percebendo que esses termos não estavam relacionados ao texto do salmo, os primeiros escribas bíblicos podem não ter sido cuidadosos com sua colocação no texto. Isso pode explicar algumas das discrepâncias entre os primeiros manuscritos. Certas palavras são omitidas em alguns, e alguns termos atribuídos a apenas alguns salmos podem ter sido originalmente indicados em mais deles.</w:t>
      </w:r>
    </w:p>
    <w:p>
      <w:r/>
      <w:r>
        <w:t>Todos, exceto 50 dos salmos, contêm um nome próprio no título. Esses nomes possivelmente indicam o autor. Outros comentaristas interpretam a preposição que aparece antes dos nomes como significando "para". Isso significaria que os nomes representam dedicação em vez de autoria. Assim, o título seria "Um Salmo para Davi", não "Um Salmo de Davi".</w:t>
      </w:r>
    </w:p>
    <w:p>
      <w:r/>
      <w:r>
        <w:t>Este pode ser o caso com os nomes de Asafe, Hemã, Etã e especialmente os filhos de Corá. Faria mais sentido que o salmo fosse escrito para a família em vez de por ela. Setenta e três salmos têm o nome de Davi no cabeçalho, daí a referência comum ao Saltério como os Salmos de Davi. Doze incluem o nome de Asafe, onze incluem os filhos de Corá, dois incluem Salomão, e cada um contém Moisés, Hemã e Etã.</w:t>
      </w:r>
    </w:p>
    <w:p>
      <w:pPr>
        <w:pStyle w:val="Heading4"/>
      </w:pPr>
      <w:r>
        <w:t>Termos musicais nos títulos dos salmos</w:t>
      </w:r>
    </w:p>
    <w:p>
      <w:r/>
      <w:r>
        <w:t>Muitos termos musicais estão incluídos nos sobrescritos. Estes indicam o tipo de acompanhamento instrumental, o clima e o estilo de execução do salmo.</w:t>
      </w:r>
    </w:p>
    <w:p>
      <w:r/>
      <w:r>
        <w:rPr>
          <w:i/>
        </w:rPr>
        <w:t xml:space="preserve">Alamoth </w:t>
      </w:r>
      <w:r>
        <w:t xml:space="preserve">é um dos termos mais controversos encontrados nos cabeçalhos dos salmos. Aparece no início de </w:t>
      </w:r>
      <w:hyperlink r:id="rId700">
        <w:r>
          <w:rPr>
            <w:color w:val="0000EE"/>
            <w:u w:val="single"/>
          </w:rPr>
          <w:t>Salmos 46</w:t>
        </w:r>
      </w:hyperlink>
      <w:r>
        <w:t xml:space="preserve"> e também em </w:t>
      </w:r>
      <w:hyperlink r:id="rId701">
        <w:r>
          <w:rPr>
            <w:color w:val="0000EE"/>
            <w:u w:val="single"/>
          </w:rPr>
          <w:t>1 Crônicas 15.20</w:t>
        </w:r>
      </w:hyperlink>
      <w:r>
        <w:t xml:space="preserve">. Um significado para a palavra hebraica é "donzela". Alguns musicólogos interpretam isso como uma instrução de que o salmo deve ser cantado na faixa de voz feminina. A referência em Crônicas é às harpas na faixa de vozes femininas. Essa interpretação não parece se encaixar com o </w:t>
      </w:r>
      <w:hyperlink r:id="rId700">
        <w:r>
          <w:rPr>
            <w:color w:val="0000EE"/>
            <w:u w:val="single"/>
          </w:rPr>
          <w:t>Salmos 46</w:t>
        </w:r>
      </w:hyperlink>
      <w:r>
        <w:t xml:space="preserve">, mas se torna mais lógica se olharmos para o salmo anterior e lermos o termo como um subscrito. </w:t>
      </w:r>
      <w:hyperlink r:id="rId4216">
        <w:r>
          <w:rPr>
            <w:color w:val="0000EE"/>
            <w:u w:val="single"/>
          </w:rPr>
          <w:t>Salmo 45</w:t>
        </w:r>
      </w:hyperlink>
      <w:r>
        <w:t xml:space="preserve"> é uma canção de amor, na verdade uma ode nupcial, então seria natural que as mulheres cantassem a segunda metade (versículos </w:t>
      </w:r>
      <w:hyperlink r:id="rId14948">
        <w:r>
          <w:rPr>
            <w:color w:val="0000EE"/>
            <w:u w:val="single"/>
          </w:rPr>
          <w:t>10–17</w:t>
        </w:r>
      </w:hyperlink>
      <w:r>
        <w:t>).</w:t>
      </w:r>
    </w:p>
    <w:p>
      <w:r/>
      <w:r>
        <w:t xml:space="preserve">Há pouca menção de mulheres cantando no templo, mas meninos em treinamento podem ter cantado junto com os cantores levíticos. Além disso, este pode ser um caso em que o termo aparece apenas uma vez no texto moderno, mas pode ter sido usado com mais frequência no original. Outro possível significado para </w:t>
      </w:r>
      <w:r>
        <w:rPr>
          <w:i/>
        </w:rPr>
        <w:t>alamoth</w:t>
      </w:r>
      <w:r>
        <w:t xml:space="preserve"> é "flautas", o que descreveria o tipo de acompanhamento musical para a execução do salmo.</w:t>
      </w:r>
    </w:p>
    <w:p>
      <w:r/>
      <w:r>
        <w:rPr>
          <w:i/>
        </w:rPr>
        <w:t>Gittith</w:t>
      </w:r>
      <w:r>
        <w:t xml:space="preserve"> é um termo encontrado nas superscrições dos </w:t>
      </w:r>
      <w:hyperlink r:id="rId4745">
        <w:r>
          <w:rPr>
            <w:color w:val="0000EE"/>
            <w:u w:val="single"/>
          </w:rPr>
          <w:t>Salmos 8</w:t>
        </w:r>
      </w:hyperlink>
      <w:r>
        <w:t xml:space="preserve">, </w:t>
      </w:r>
      <w:hyperlink r:id="rId9995">
        <w:r>
          <w:rPr>
            <w:color w:val="0000EE"/>
            <w:u w:val="single"/>
          </w:rPr>
          <w:t>81</w:t>
        </w:r>
      </w:hyperlink>
      <w:r>
        <w:t xml:space="preserve"> e </w:t>
      </w:r>
      <w:hyperlink r:id="rId2961">
        <w:r>
          <w:rPr>
            <w:color w:val="0000EE"/>
            <w:u w:val="single"/>
          </w:rPr>
          <w:t>84</w:t>
        </w:r>
      </w:hyperlink>
      <w:r>
        <w:t>. Pode ser uma indicação musical, sugerindo um clima para a execução desses salmos. No entanto, uma explicação mais comum é que seja um termo coletivo para os instrumentos de corda que os teriam acompanhado.</w:t>
      </w:r>
    </w:p>
    <w:p>
      <w:r/>
      <w:r>
        <w:rPr>
          <w:i/>
        </w:rPr>
        <w:t>Maalate</w:t>
      </w:r>
      <w:r>
        <w:t xml:space="preserve"> foi deixado em sua forma original hebraica pelos primeiros tradutores e é encontrado nos títulos dos </w:t>
      </w:r>
      <w:hyperlink r:id="rId13529">
        <w:r>
          <w:rPr>
            <w:color w:val="0000EE"/>
            <w:u w:val="single"/>
          </w:rPr>
          <w:t>Salmos 53</w:t>
        </w:r>
      </w:hyperlink>
      <w:r>
        <w:t xml:space="preserve"> e </w:t>
      </w:r>
      <w:hyperlink r:id="rId10688">
        <w:r>
          <w:rPr>
            <w:color w:val="0000EE"/>
            <w:u w:val="single"/>
          </w:rPr>
          <w:t>88</w:t>
        </w:r>
      </w:hyperlink>
      <w:r>
        <w:t xml:space="preserve">. Pode ter raízes no hebraico </w:t>
      </w:r>
      <w:r>
        <w:rPr>
          <w:i/>
        </w:rPr>
        <w:t>mahaleh</w:t>
      </w:r>
      <w:r>
        <w:t xml:space="preserve"> "doença" ou </w:t>
      </w:r>
      <w:r>
        <w:rPr>
          <w:i/>
        </w:rPr>
        <w:t>mahot</w:t>
      </w:r>
      <w:r>
        <w:t xml:space="preserve"> "dança", embora nenhuma dessas palavras possa ser relacionada aos textos dos salmos. Outra explicação é de natureza musical. </w:t>
      </w:r>
      <w:r>
        <w:rPr>
          <w:i/>
        </w:rPr>
        <w:t>Maalate</w:t>
      </w:r>
      <w:r>
        <w:t xml:space="preserve"> pode vir da palavra </w:t>
      </w:r>
      <w:r>
        <w:rPr>
          <w:i/>
        </w:rPr>
        <w:t>halal</w:t>
      </w:r>
      <w:r>
        <w:t xml:space="preserve"> que significa "perfurar", implicando que o salmo deveria ser acompanhado por flautas.</w:t>
      </w:r>
    </w:p>
    <w:p>
      <w:r/>
      <w:r>
        <w:rPr>
          <w:i/>
        </w:rPr>
        <w:t xml:space="preserve">Maskil </w:t>
      </w:r>
      <w:r>
        <w:t>(ou "Maschil") aparece nos títulos de 13 salmos (</w:t>
      </w:r>
      <w:hyperlink r:id="rId5383">
        <w:r>
          <w:rPr>
            <w:color w:val="0000EE"/>
            <w:u w:val="single"/>
          </w:rPr>
          <w:t>Sl 32</w:t>
        </w:r>
      </w:hyperlink>
      <w:r>
        <w:t xml:space="preserve">, </w:t>
      </w:r>
      <w:hyperlink r:id="rId5739">
        <w:r>
          <w:rPr>
            <w:color w:val="0000EE"/>
            <w:u w:val="single"/>
          </w:rPr>
          <w:t>42</w:t>
        </w:r>
      </w:hyperlink>
      <w:r>
        <w:t xml:space="preserve">, </w:t>
      </w:r>
      <w:hyperlink r:id="rId14949">
        <w:r>
          <w:rPr>
            <w:color w:val="0000EE"/>
            <w:u w:val="single"/>
          </w:rPr>
          <w:t>44–45</w:t>
        </w:r>
      </w:hyperlink>
      <w:r>
        <w:t xml:space="preserve">, </w:t>
      </w:r>
      <w:hyperlink r:id="rId14950">
        <w:r>
          <w:rPr>
            <w:color w:val="0000EE"/>
            <w:u w:val="single"/>
          </w:rPr>
          <w:t>52–55</w:t>
        </w:r>
      </w:hyperlink>
      <w:r>
        <w:t xml:space="preserve">, </w:t>
      </w:r>
      <w:hyperlink r:id="rId14951">
        <w:r>
          <w:rPr>
            <w:color w:val="0000EE"/>
            <w:u w:val="single"/>
          </w:rPr>
          <w:t>74</w:t>
        </w:r>
      </w:hyperlink>
      <w:r>
        <w:t xml:space="preserve">, </w:t>
      </w:r>
      <w:hyperlink r:id="rId4206">
        <w:r>
          <w:rPr>
            <w:color w:val="0000EE"/>
            <w:u w:val="single"/>
          </w:rPr>
          <w:t>78</w:t>
        </w:r>
      </w:hyperlink>
      <w:r>
        <w:t xml:space="preserve">, </w:t>
      </w:r>
      <w:hyperlink r:id="rId14952">
        <w:r>
          <w:rPr>
            <w:color w:val="0000EE"/>
            <w:u w:val="single"/>
          </w:rPr>
          <w:t>88–89</w:t>
        </w:r>
      </w:hyperlink>
      <w:r>
        <w:t xml:space="preserve">, </w:t>
      </w:r>
      <w:hyperlink r:id="rId437">
        <w:r>
          <w:rPr>
            <w:color w:val="0000EE"/>
            <w:u w:val="single"/>
          </w:rPr>
          <w:t>142</w:t>
        </w:r>
      </w:hyperlink>
      <w:r>
        <w:t xml:space="preserve">). O termo provavelmente é derivado do verbo </w:t>
      </w:r>
      <w:r>
        <w:rPr>
          <w:i/>
        </w:rPr>
        <w:t>sakal,</w:t>
      </w:r>
      <w:r>
        <w:t xml:space="preserve"> "ter discernimento ou compreensão", mas não há consenso entre os comentaristas. A natureza instrutiva e a estrutura de estrofes e refrões nos próprios salmos levam os musicólogos a concluir que o termo representa um cântico de louvor. Pode ter sido cantado por um solista com participação do coro.</w:t>
      </w:r>
    </w:p>
    <w:p>
      <w:r/>
      <w:r>
        <w:rPr>
          <w:i/>
        </w:rPr>
        <w:t xml:space="preserve">Menazzeah </w:t>
      </w:r>
      <w:r>
        <w:t>aparece no título de 55 salmos. Surge 52 vezes nos primeiros três livros dos Salmos (</w:t>
      </w:r>
      <w:hyperlink r:id="rId14953">
        <w:r>
          <w:rPr>
            <w:color w:val="0000EE"/>
            <w:u w:val="single"/>
          </w:rPr>
          <w:t>Sl 1–89</w:t>
        </w:r>
      </w:hyperlink>
      <w:r>
        <w:t>), nenhuma vez no livro quatro (</w:t>
      </w:r>
      <w:hyperlink r:id="rId6604">
        <w:r>
          <w:rPr>
            <w:color w:val="0000EE"/>
            <w:u w:val="single"/>
          </w:rPr>
          <w:t>Sl 90–106</w:t>
        </w:r>
      </w:hyperlink>
      <w:r>
        <w:t>), e 3 vezes no livro cinco (</w:t>
      </w:r>
      <w:hyperlink r:id="rId14954">
        <w:r>
          <w:rPr>
            <w:color w:val="0000EE"/>
            <w:u w:val="single"/>
          </w:rPr>
          <w:t>Sl 107–150</w:t>
        </w:r>
      </w:hyperlink>
      <w:r>
        <w:t>).</w:t>
      </w:r>
    </w:p>
    <w:p>
      <w:r/>
      <w:r>
        <w:t>As traduções modernas mais comuns são:</w:t>
      </w:r>
    </w:p>
    <w:p>
      <w:pPr>
        <w:pStyle w:val="ListBullet"/>
        <w:spacing w:line="240" w:lineRule="auto"/>
        <w:ind w:left="720"/>
      </w:pPr>
      <w:r/>
      <w:r>
        <w:t>"Para o mestre de música" (NVI)</w:t>
      </w:r>
    </w:p>
    <w:p>
      <w:pPr>
        <w:pStyle w:val="ListBullet"/>
        <w:spacing w:line="240" w:lineRule="auto"/>
        <w:ind w:left="720"/>
      </w:pPr>
      <w:r/>
      <w:r>
        <w:t>"ao regente do coro" (NTLH)</w:t>
      </w:r>
    </w:p>
    <w:p>
      <w:pPr>
        <w:pStyle w:val="ListBullet"/>
        <w:spacing w:line="240" w:lineRule="auto"/>
        <w:ind w:left="720"/>
      </w:pPr>
      <w:r/>
      <w:r>
        <w:t>"ao mestre de canto" (ARA)</w:t>
      </w:r>
    </w:p>
    <w:p>
      <w:r/>
      <w:r>
        <w:t xml:space="preserve">A palavra é derivada do verbo hebraico </w:t>
      </w:r>
      <w:r>
        <w:rPr>
          <w:i/>
        </w:rPr>
        <w:t>nazzah,</w:t>
      </w:r>
      <w:r>
        <w:t xml:space="preserve"> aparecendo em </w:t>
      </w:r>
      <w:hyperlink r:id="rId14955">
        <w:r>
          <w:rPr>
            <w:color w:val="0000EE"/>
            <w:u w:val="single"/>
          </w:rPr>
          <w:t>1 Crônicas 23.4</w:t>
        </w:r>
      </w:hyperlink>
      <w:r>
        <w:t xml:space="preserve"> e </w:t>
      </w:r>
      <w:hyperlink r:id="rId14956">
        <w:r>
          <w:rPr>
            <w:color w:val="0000EE"/>
            <w:u w:val="single"/>
          </w:rPr>
          <w:t>Esdras 3.8–9</w:t>
        </w:r>
      </w:hyperlink>
      <w:r>
        <w:t xml:space="preserve"> no sentido de "administrar". Em </w:t>
      </w:r>
      <w:hyperlink r:id="rId14957">
        <w:r>
          <w:rPr>
            <w:color w:val="0000EE"/>
            <w:u w:val="single"/>
          </w:rPr>
          <w:t>1 Crônicas 15.21</w:t>
        </w:r>
      </w:hyperlink>
      <w:r>
        <w:t xml:space="preserve">, a palavra é encontrada em relação a liderar ou dirigir o canto no templo. </w:t>
      </w:r>
      <w:r>
        <w:rPr>
          <w:i/>
        </w:rPr>
        <w:t>Menazzeah</w:t>
      </w:r>
      <w:r>
        <w:t xml:space="preserve"> relaciona-se ao mestre do coro e representa o cantor escolhido para liderar a música. Essa pessoa provavelmente estava envolvida em ensaiar e instruir.</w:t>
      </w:r>
    </w:p>
    <w:p>
      <w:r/>
      <w:r>
        <w:t xml:space="preserve">Agora é assumido que </w:t>
      </w:r>
      <w:r>
        <w:rPr>
          <w:i/>
        </w:rPr>
        <w:t>menazzeah</w:t>
      </w:r>
      <w:r>
        <w:t xml:space="preserve"> indica que o salmo deveria ser cantado parcial ou totalmente por um solista. Em alguns textos, isso mostra quando há uma mudança de pessoa, de "eu" para o solista e de "nós" para o coro ou congregação. </w:t>
      </w:r>
      <w:hyperlink r:id="rId14958">
        <w:r>
          <w:rPr>
            <w:color w:val="0000EE"/>
            <w:u w:val="single"/>
          </w:rPr>
          <w:t>Salmo 5</w:t>
        </w:r>
      </w:hyperlink>
      <w:r>
        <w:t xml:space="preserve"> é um exemplo de um texto dividido para canto solo e coral:</w:t>
      </w:r>
    </w:p>
    <w:p>
      <w:pPr>
        <w:pStyle w:val="ListBullet"/>
        <w:spacing w:line="240" w:lineRule="auto"/>
        <w:ind w:left="720"/>
      </w:pPr>
      <w:r/>
      <w:r>
        <w:t>versículos 1–3 solo</w:t>
      </w:r>
    </w:p>
    <w:p>
      <w:pPr>
        <w:pStyle w:val="ListBullet"/>
        <w:spacing w:line="240" w:lineRule="auto"/>
        <w:ind w:left="720"/>
      </w:pPr>
      <w:r/>
      <w:r>
        <w:t>versículos 4–6 coral</w:t>
      </w:r>
    </w:p>
    <w:p>
      <w:pPr>
        <w:pStyle w:val="ListBullet"/>
        <w:spacing w:line="240" w:lineRule="auto"/>
        <w:ind w:left="720"/>
      </w:pPr>
      <w:r/>
      <w:r>
        <w:t>versículos 7–8 solo</w:t>
      </w:r>
    </w:p>
    <w:p>
      <w:pPr>
        <w:pStyle w:val="ListBullet"/>
        <w:spacing w:line="240" w:lineRule="auto"/>
        <w:ind w:left="720"/>
      </w:pPr>
      <w:r/>
      <w:r>
        <w:t>versículos 9–10 do coral</w:t>
      </w:r>
    </w:p>
    <w:p>
      <w:pPr>
        <w:pStyle w:val="ListBullet"/>
        <w:spacing w:line="240" w:lineRule="auto"/>
        <w:ind w:left="720"/>
      </w:pPr>
      <w:r/>
      <w:r>
        <w:t>Os versículos 11–12 encerram o salmo com o solista e o coro juntos.</w:t>
      </w:r>
    </w:p>
    <w:p>
      <w:r/>
      <w:r>
        <w:rPr>
          <w:i/>
        </w:rPr>
        <w:t>Miktam</w:t>
      </w:r>
      <w:r>
        <w:t xml:space="preserve"> é outro termo sem significado musical claro, principalmente porque sua origem é desconhecida. Ele aparece nos </w:t>
      </w:r>
      <w:hyperlink r:id="rId5290">
        <w:r>
          <w:rPr>
            <w:color w:val="0000EE"/>
            <w:u w:val="single"/>
          </w:rPr>
          <w:t>Salmos 16</w:t>
        </w:r>
      </w:hyperlink>
      <w:r>
        <w:t xml:space="preserve"> e </w:t>
      </w:r>
      <w:hyperlink r:id="rId14372">
        <w:r>
          <w:rPr>
            <w:color w:val="0000EE"/>
            <w:u w:val="single"/>
          </w:rPr>
          <w:t>56–60</w:t>
        </w:r>
      </w:hyperlink>
      <w:r>
        <w:t>, todos com um caráter de lamentação (expressando tristeza) ou súplica (pedindo ajuda). Em um sentido musical, provavelmente indicava que uma certa melodia bem conhecida deveria ser escolhida como a melodia do salmo.</w:t>
      </w:r>
    </w:p>
    <w:p>
      <w:r/>
      <w:r>
        <w:rPr>
          <w:i/>
        </w:rPr>
        <w:t>Mizmor</w:t>
      </w:r>
      <w:r>
        <w:t xml:space="preserve"> (uma palavra hebraica que significa uma canção cantada com acompanhamento instrumental) não é encontrada em nenhum outro lugar na Bíblia. Está incluída nas sobrescritos de 57 salmos. </w:t>
      </w:r>
      <w:r>
        <w:rPr>
          <w:i/>
        </w:rPr>
        <w:t>Mizmor</w:t>
      </w:r>
      <w:r>
        <w:t xml:space="preserve"> provavelmente indicava uma canção acompanhada por instrumentos melódicos, em contraste com uma canção de dança acompanhada por instrumentos rítmicos.</w:t>
      </w:r>
    </w:p>
    <w:p>
      <w:r/>
      <w:r>
        <w:rPr>
          <w:i/>
        </w:rPr>
        <w:t>Neginah</w:t>
      </w:r>
      <w:r>
        <w:t xml:space="preserve"> aparece nas superscrições dos </w:t>
      </w:r>
      <w:hyperlink r:id="rId14959">
        <w:r>
          <w:rPr>
            <w:color w:val="0000EE"/>
            <w:u w:val="single"/>
          </w:rPr>
          <w:t>Salmos 4</w:t>
        </w:r>
      </w:hyperlink>
      <w:r>
        <w:t xml:space="preserve">, </w:t>
      </w:r>
      <w:hyperlink r:id="rId14595">
        <w:r>
          <w:rPr>
            <w:color w:val="0000EE"/>
            <w:u w:val="single"/>
          </w:rPr>
          <w:t>6</w:t>
        </w:r>
      </w:hyperlink>
      <w:r>
        <w:t xml:space="preserve">, </w:t>
      </w:r>
      <w:hyperlink r:id="rId14960">
        <w:r>
          <w:rPr>
            <w:color w:val="0000EE"/>
            <w:u w:val="single"/>
          </w:rPr>
          <w:t>54–55</w:t>
        </w:r>
      </w:hyperlink>
      <w:r>
        <w:t xml:space="preserve">, </w:t>
      </w:r>
      <w:hyperlink r:id="rId14961">
        <w:r>
          <w:rPr>
            <w:color w:val="0000EE"/>
            <w:u w:val="single"/>
          </w:rPr>
          <w:t>61</w:t>
        </w:r>
      </w:hyperlink>
      <w:r>
        <w:t xml:space="preserve">, </w:t>
      </w:r>
      <w:hyperlink r:id="rId14962">
        <w:r>
          <w:rPr>
            <w:color w:val="0000EE"/>
            <w:u w:val="single"/>
          </w:rPr>
          <w:t>67</w:t>
        </w:r>
      </w:hyperlink>
      <w:r>
        <w:t xml:space="preserve"> e </w:t>
      </w:r>
      <w:hyperlink r:id="rId14963">
        <w:r>
          <w:rPr>
            <w:color w:val="0000EE"/>
            <w:u w:val="single"/>
          </w:rPr>
          <w:t>76</w:t>
        </w:r>
      </w:hyperlink>
      <w:r>
        <w:t xml:space="preserve">. O termo </w:t>
      </w:r>
      <w:r>
        <w:rPr>
          <w:i/>
        </w:rPr>
        <w:t>neginah</w:t>
      </w:r>
      <w:r>
        <w:t xml:space="preserve"> e seu plural </w:t>
      </w:r>
      <w:r>
        <w:rPr>
          <w:i/>
        </w:rPr>
        <w:t>neginoth</w:t>
      </w:r>
      <w:r>
        <w:t xml:space="preserve"> são encontrados no </w:t>
      </w:r>
      <w:hyperlink r:id="rId14964">
        <w:r>
          <w:rPr>
            <w:color w:val="0000EE"/>
            <w:u w:val="single"/>
          </w:rPr>
          <w:t>Salmo 77.7</w:t>
        </w:r>
      </w:hyperlink>
      <w:r>
        <w:t xml:space="preserve">, </w:t>
      </w:r>
      <w:hyperlink r:id="rId14965">
        <w:r>
          <w:rPr>
            <w:color w:val="0000EE"/>
            <w:u w:val="single"/>
          </w:rPr>
          <w:t>Lamentações 5.14</w:t>
        </w:r>
      </w:hyperlink>
      <w:r>
        <w:t xml:space="preserve">, </w:t>
      </w:r>
      <w:hyperlink r:id="rId14966">
        <w:r>
          <w:rPr>
            <w:color w:val="0000EE"/>
            <w:u w:val="single"/>
          </w:rPr>
          <w:t>Isaías 38.20</w:t>
        </w:r>
      </w:hyperlink>
      <w:r>
        <w:t xml:space="preserve"> e </w:t>
      </w:r>
      <w:hyperlink r:id="rId1582">
        <w:r>
          <w:rPr>
            <w:color w:val="0000EE"/>
            <w:u w:val="single"/>
          </w:rPr>
          <w:t>Habacuque 3.19</w:t>
        </w:r>
      </w:hyperlink>
      <w:r>
        <w:t xml:space="preserve">. </w:t>
      </w:r>
      <w:r>
        <w:rPr>
          <w:i/>
        </w:rPr>
        <w:t>Neginah</w:t>
      </w:r>
      <w:r>
        <w:t xml:space="preserve"> vem da raiz hebraica </w:t>
      </w:r>
      <w:r>
        <w:rPr>
          <w:i/>
        </w:rPr>
        <w:t>naggen</w:t>
      </w:r>
      <w:r>
        <w:t>, "tocar as cordas". Esta nota instrui que instrumentos de cordas acompanhem o canto.</w:t>
      </w:r>
    </w:p>
    <w:p>
      <w:r/>
      <w:r>
        <w:rPr>
          <w:i/>
        </w:rPr>
        <w:t>Nehiloth</w:t>
      </w:r>
      <w:r>
        <w:t xml:space="preserve"> é encontrado apenas na introdução do </w:t>
      </w:r>
      <w:hyperlink r:id="rId14958">
        <w:r>
          <w:rPr>
            <w:color w:val="0000EE"/>
            <w:u w:val="single"/>
          </w:rPr>
          <w:t>Salmo 5</w:t>
        </w:r>
      </w:hyperlink>
      <w:r>
        <w:t xml:space="preserve">. A origem da palavra é problemática. Pode vir do verbo </w:t>
      </w:r>
      <w:r>
        <w:rPr>
          <w:i/>
        </w:rPr>
        <w:t>nahal,</w:t>
      </w:r>
      <w:r>
        <w:t xml:space="preserve"> que significa "possuir ou herdar", ou mais possivelmente de </w:t>
      </w:r>
      <w:r>
        <w:rPr>
          <w:i/>
        </w:rPr>
        <w:t>halal,</w:t>
      </w:r>
      <w:r>
        <w:t xml:space="preserve"> que significa "perfurar". Este último implica a ideia de um instrumento perfurado (a flauta ou tubo) a ser usado para acompanhamento.</w:t>
      </w:r>
    </w:p>
    <w:p>
      <w:r/>
      <w:r>
        <w:rPr>
          <w:i/>
        </w:rPr>
        <w:t xml:space="preserve">Sheminith </w:t>
      </w:r>
      <w:r>
        <w:t xml:space="preserve">aparece nos </w:t>
      </w:r>
      <w:hyperlink r:id="rId14595">
        <w:r>
          <w:rPr>
            <w:color w:val="0000EE"/>
            <w:u w:val="single"/>
          </w:rPr>
          <w:t>Salmos 6</w:t>
        </w:r>
      </w:hyperlink>
      <w:r>
        <w:t xml:space="preserve"> e </w:t>
      </w:r>
      <w:hyperlink r:id="rId14967">
        <w:r>
          <w:rPr>
            <w:color w:val="0000EE"/>
            <w:u w:val="single"/>
          </w:rPr>
          <w:t>12</w:t>
        </w:r>
      </w:hyperlink>
      <w:r>
        <w:t xml:space="preserve"> e também em </w:t>
      </w:r>
      <w:hyperlink r:id="rId14957">
        <w:r>
          <w:rPr>
            <w:color w:val="0000EE"/>
            <w:u w:val="single"/>
          </w:rPr>
          <w:t>1 Crônicas 15.21</w:t>
        </w:r>
      </w:hyperlink>
      <w:r>
        <w:t>. A palavra hebraica significa literalmente "sobre o oitavo". Alguns estudiosos acreditam que tinha algo a ver com uma oitava. No entanto, a linguagem musical hebraica provavelmente não incluía uma unidade musical dividida em oito partes.</w:t>
      </w:r>
    </w:p>
    <w:p>
      <w:r/>
      <w:r>
        <w:t xml:space="preserve">Outros estudiosos interpretam </w:t>
      </w:r>
      <w:r>
        <w:rPr>
          <w:i/>
        </w:rPr>
        <w:t>sheminith</w:t>
      </w:r>
      <w:r>
        <w:t xml:space="preserve"> como significando um instrumento de oito cordas. Uma interpretação mais lógica vem do exame de seu uso em 1 Crônicas. Em </w:t>
      </w:r>
      <w:hyperlink r:id="rId701">
        <w:r>
          <w:rPr>
            <w:color w:val="0000EE"/>
            <w:u w:val="single"/>
          </w:rPr>
          <w:t>15.20</w:t>
        </w:r>
      </w:hyperlink>
      <w:r>
        <w:t xml:space="preserve">, as instruções são para os músicos tocarem as harpas de acordo com </w:t>
      </w:r>
      <w:r>
        <w:rPr>
          <w:i/>
        </w:rPr>
        <w:t>alamoth</w:t>
      </w:r>
      <w:r>
        <w:t xml:space="preserve"> e no versículo </w:t>
      </w:r>
      <w:hyperlink r:id="rId14957">
        <w:r>
          <w:rPr>
            <w:color w:val="0000EE"/>
            <w:u w:val="single"/>
          </w:rPr>
          <w:t>21</w:t>
        </w:r>
      </w:hyperlink>
      <w:r>
        <w:t xml:space="preserve"> para tocarem as liras de acordo com </w:t>
      </w:r>
      <w:r>
        <w:rPr>
          <w:i/>
        </w:rPr>
        <w:t>sheminith</w:t>
      </w:r>
      <w:r>
        <w:t>.</w:t>
      </w:r>
    </w:p>
    <w:p>
      <w:r/>
      <w:r>
        <w:t xml:space="preserve">Aqui, os termos </w:t>
      </w:r>
      <w:r>
        <w:rPr>
          <w:i/>
        </w:rPr>
        <w:t>alamoth</w:t>
      </w:r>
      <w:r>
        <w:t xml:space="preserve"> e </w:t>
      </w:r>
      <w:r>
        <w:rPr>
          <w:i/>
        </w:rPr>
        <w:t>sheminith</w:t>
      </w:r>
      <w:r>
        <w:t xml:space="preserve"> parecem ser usados em oposição. Se </w:t>
      </w:r>
      <w:r>
        <w:rPr>
          <w:i/>
        </w:rPr>
        <w:t>alamoth</w:t>
      </w:r>
      <w:r>
        <w:t xml:space="preserve"> implica um registro de voz feminina, então </w:t>
      </w:r>
      <w:r>
        <w:rPr>
          <w:i/>
        </w:rPr>
        <w:t>sheminith</w:t>
      </w:r>
      <w:r>
        <w:t xml:space="preserve"> implicaria um registro mais baixo. Assim, pode ter sido uma instrução para usar um instrumento de tom mais baixo para acompanhamento.</w:t>
      </w:r>
    </w:p>
    <w:p>
      <w:pPr>
        <w:pStyle w:val="Heading4"/>
      </w:pPr>
      <w:r>
        <w:t>Variedades de salmos nos títulos</w:t>
      </w:r>
    </w:p>
    <w:p>
      <w:r/>
      <w:r>
        <w:t>Algumas das notas nos cabeçalhos dos salmos indicam o tipo ou a variedade do salmo.</w:t>
      </w:r>
    </w:p>
    <w:p>
      <w:r/>
      <w:r>
        <w:rPr>
          <w:i/>
        </w:rPr>
        <w:t>Hazkir</w:t>
      </w:r>
      <w:r>
        <w:t xml:space="preserve"> é encontrado nos títulos dos </w:t>
      </w:r>
      <w:hyperlink r:id="rId14596">
        <w:r>
          <w:rPr>
            <w:color w:val="0000EE"/>
            <w:u w:val="single"/>
          </w:rPr>
          <w:t>Salmos 38</w:t>
        </w:r>
      </w:hyperlink>
      <w:r>
        <w:t xml:space="preserve"> e </w:t>
      </w:r>
      <w:hyperlink r:id="rId14968">
        <w:r>
          <w:rPr>
            <w:color w:val="0000EE"/>
            <w:u w:val="single"/>
          </w:rPr>
          <w:t>70</w:t>
        </w:r>
      </w:hyperlink>
      <w:r>
        <w:t xml:space="preserve">. De acordo com o Targum (uma antiga paráfrase aramaica da Bíblia Hebraica), isso indica que o salmo era cantado no rito sacrificial chamado </w:t>
      </w:r>
      <w:r>
        <w:rPr>
          <w:i/>
        </w:rPr>
        <w:t>askara.</w:t>
      </w:r>
      <w:r>
        <w:t xml:space="preserve"> A palavra é então traduzida como "para uma oferta memorial".</w:t>
      </w:r>
    </w:p>
    <w:p>
      <w:r/>
      <w:r>
        <w:rPr>
          <w:i/>
        </w:rPr>
        <w:t xml:space="preserve">Lammed </w:t>
      </w:r>
      <w:r>
        <w:t xml:space="preserve">aparece na superscrição do </w:t>
      </w:r>
      <w:hyperlink r:id="rId2421">
        <w:r>
          <w:rPr>
            <w:color w:val="0000EE"/>
            <w:u w:val="single"/>
          </w:rPr>
          <w:t>Salmo 60</w:t>
        </w:r>
      </w:hyperlink>
      <w:r>
        <w:t xml:space="preserve"> na frase </w:t>
      </w:r>
      <w:r>
        <w:rPr>
          <w:i/>
        </w:rPr>
        <w:t>le-lammed,</w:t>
      </w:r>
      <w:r>
        <w:t xml:space="preserve"> traduzida como "para ensinar". Segundo a tradição, este era um salmo, embora indubitavelmente não o único, ensinado aos jovens como parte de sua educação. Este é outro exemplo de um termo que pode ter sido omitido de outros salmos em versões posteriores do Saltério.</w:t>
      </w:r>
    </w:p>
    <w:p>
      <w:r/>
      <w:r>
        <w:rPr>
          <w:i/>
        </w:rPr>
        <w:t>Shiggaion</w:t>
      </w:r>
      <w:r>
        <w:t xml:space="preserve"> está no título de </w:t>
      </w:r>
      <w:hyperlink r:id="rId3426">
        <w:r>
          <w:rPr>
            <w:color w:val="0000EE"/>
            <w:u w:val="single"/>
          </w:rPr>
          <w:t>Salmo 7</w:t>
        </w:r>
      </w:hyperlink>
      <w:r>
        <w:t xml:space="preserve"> e também em </w:t>
      </w:r>
      <w:hyperlink r:id="rId14969">
        <w:r>
          <w:rPr>
            <w:color w:val="0000EE"/>
            <w:u w:val="single"/>
          </w:rPr>
          <w:t>Habacuque 3.1</w:t>
        </w:r>
      </w:hyperlink>
      <w:r>
        <w:t xml:space="preserve">. A palavra provavelmente vem do verbo hebraico </w:t>
      </w:r>
      <w:r>
        <w:rPr>
          <w:i/>
        </w:rPr>
        <w:t>shagah</w:t>
      </w:r>
      <w:r>
        <w:t xml:space="preserve">, "vagar". Pode também estar ligada ao termo de adoração assírio </w:t>
      </w:r>
      <w:r>
        <w:rPr>
          <w:i/>
        </w:rPr>
        <w:t>shigu</w:t>
      </w:r>
      <w:r>
        <w:t xml:space="preserve">, que representava uma canção triste em várias estrofes. Os estudiosos bíblicos têm assumido que </w:t>
      </w:r>
      <w:r>
        <w:rPr>
          <w:i/>
        </w:rPr>
        <w:t>shiggaion</w:t>
      </w:r>
      <w:r>
        <w:t xml:space="preserve">, plural </w:t>
      </w:r>
      <w:r>
        <w:rPr>
          <w:i/>
        </w:rPr>
        <w:t>shigionoth</w:t>
      </w:r>
      <w:r>
        <w:t>, era um lamento ou uma canção expressando tristeza por erros cometidos.</w:t>
      </w:r>
    </w:p>
    <w:p>
      <w:r/>
      <w:r>
        <w:rPr>
          <w:i/>
        </w:rPr>
        <w:t xml:space="preserve">Shir </w:t>
      </w:r>
      <w:r>
        <w:t xml:space="preserve">é a palavra mais simples para "canção" e provavelmente foi usada nos títulos em um estágio inicial do Saltério; geralmente é encontrada com </w:t>
      </w:r>
      <w:r>
        <w:rPr>
          <w:i/>
        </w:rPr>
        <w:t xml:space="preserve">mizmor </w:t>
      </w:r>
      <w:r>
        <w:t>(13 vezes). Quinze salmos têm esse título. Provavelmente era o termo para um tipo específico de canção de louvor, geralmente executada pelo coro.</w:t>
      </w:r>
    </w:p>
    <w:p>
      <w:r/>
      <w:r>
        <w:rPr>
          <w:i/>
        </w:rPr>
        <w:t>Shir Hamaalot</w:t>
      </w:r>
      <w:r>
        <w:t xml:space="preserve"> e </w:t>
      </w:r>
      <w:r>
        <w:rPr>
          <w:i/>
        </w:rPr>
        <w:t>Shir Lamaalot</w:t>
      </w:r>
      <w:r>
        <w:t xml:space="preserve"> aparecem nos títulos dos </w:t>
      </w:r>
      <w:hyperlink r:id="rId4231">
        <w:r>
          <w:rPr>
            <w:color w:val="0000EE"/>
            <w:u w:val="single"/>
          </w:rPr>
          <w:t>Salmos 120–134</w:t>
        </w:r>
      </w:hyperlink>
      <w:r>
        <w:t>, que são frequentemente chamados de "Salmos de ascensão", "Cântico de peregrinação" ou "Cântico de romagem"). A maioria das explicações oferecidas relaciona-se ao fato de que o templo estava situado em terreno elevado.</w:t>
      </w:r>
    </w:p>
    <w:p>
      <w:r/>
      <w:r>
        <w:t>Muitas vezes, esses 15 salmos são associados aos 15 degraus que levam do Pátio das Mulheres ao Pátio dos Israelitas. No entanto, a maioria dos estudiosos modernos acredita que a ideia de "subir" se refere à jornada dos peregrinos a Jerusalém para adorar no templo. Esses salmos são curtos e têm apelo popular, tornando-os apropriados para serem cantados durante a viagem.</w:t>
      </w:r>
    </w:p>
    <w:p>
      <w:r/>
      <w:r>
        <w:rPr>
          <w:i/>
        </w:rPr>
        <w:t>Shir Hanukkat Habayit</w:t>
      </w:r>
      <w:r>
        <w:t xml:space="preserve"> é encontrado apenas no título do </w:t>
      </w:r>
      <w:hyperlink r:id="rId5382">
        <w:r>
          <w:rPr>
            <w:color w:val="0000EE"/>
            <w:u w:val="single"/>
          </w:rPr>
          <w:t>Salmo 30</w:t>
        </w:r>
      </w:hyperlink>
      <w:r>
        <w:t>. Esta frase indica que o salmo era para ser usado na dedicação ou rededicação da casa de Deus.</w:t>
      </w:r>
    </w:p>
    <w:p>
      <w:r/>
      <w:r>
        <w:rPr>
          <w:i/>
        </w:rPr>
        <w:t>Shir-yedidot</w:t>
      </w:r>
      <w:r>
        <w:t xml:space="preserve"> aparece apenas no </w:t>
      </w:r>
      <w:hyperlink r:id="rId4216">
        <w:r>
          <w:rPr>
            <w:color w:val="0000EE"/>
            <w:u w:val="single"/>
          </w:rPr>
          <w:t>Salmo 45</w:t>
        </w:r>
      </w:hyperlink>
      <w:r>
        <w:t>. Refere-se a uma canção de amor que provavelmente era cantada em cerimônias de casamento.</w:t>
      </w:r>
    </w:p>
    <w:p>
      <w:r/>
      <w:r>
        <w:rPr>
          <w:i/>
        </w:rPr>
        <w:t>Tefillah</w:t>
      </w:r>
      <w:r>
        <w:t xml:space="preserve"> é um termo comum para "oração" e aparece nos títulos de </w:t>
      </w:r>
      <w:hyperlink r:id="rId14970">
        <w:r>
          <w:rPr>
            <w:color w:val="0000EE"/>
            <w:u w:val="single"/>
          </w:rPr>
          <w:t>Salmos 17</w:t>
        </w:r>
      </w:hyperlink>
      <w:r>
        <w:t xml:space="preserve">, </w:t>
      </w:r>
      <w:hyperlink r:id="rId14601">
        <w:r>
          <w:rPr>
            <w:color w:val="0000EE"/>
            <w:u w:val="single"/>
          </w:rPr>
          <w:t>86</w:t>
        </w:r>
      </w:hyperlink>
      <w:r>
        <w:t xml:space="preserve">, </w:t>
      </w:r>
      <w:hyperlink r:id="rId4077">
        <w:r>
          <w:rPr>
            <w:color w:val="0000EE"/>
            <w:u w:val="single"/>
          </w:rPr>
          <w:t>90</w:t>
        </w:r>
      </w:hyperlink>
      <w:r>
        <w:t xml:space="preserve">, </w:t>
      </w:r>
      <w:hyperlink r:id="rId14597">
        <w:r>
          <w:rPr>
            <w:color w:val="0000EE"/>
            <w:u w:val="single"/>
          </w:rPr>
          <w:t>102</w:t>
        </w:r>
      </w:hyperlink>
      <w:r>
        <w:t xml:space="preserve"> e </w:t>
      </w:r>
      <w:hyperlink r:id="rId437">
        <w:r>
          <w:rPr>
            <w:color w:val="0000EE"/>
            <w:u w:val="single"/>
          </w:rPr>
          <w:t>142</w:t>
        </w:r>
      </w:hyperlink>
      <w:r>
        <w:t xml:space="preserve">, e também em </w:t>
      </w:r>
      <w:hyperlink r:id="rId14969">
        <w:r>
          <w:rPr>
            <w:color w:val="0000EE"/>
            <w:u w:val="single"/>
          </w:rPr>
          <w:t>Habacuque 3.1</w:t>
        </w:r>
      </w:hyperlink>
      <w:r>
        <w:t>. A palavra provavelmente se refere a uma forma específica de oração poética.</w:t>
      </w:r>
    </w:p>
    <w:p>
      <w:r/>
      <w:r>
        <w:rPr>
          <w:i/>
        </w:rPr>
        <w:t>Selah</w:t>
      </w:r>
      <w:r>
        <w:t xml:space="preserve"> é um dos termos mais frequentemente usados e mais misteriosos encontrados no livro dos Salmos. Aparece em 39 salmos, surgindo um total de 71 vezes no Saltério. </w:t>
      </w:r>
      <w:r>
        <w:rPr>
          <w:i/>
        </w:rPr>
        <w:t>Selah</w:t>
      </w:r>
      <w:r>
        <w:t xml:space="preserve"> ocorre 67 vezes dentro do texto e 4 vezes no final de um salmo. É mais frequente nos três primeiros livros:</w:t>
      </w:r>
    </w:p>
    <w:p>
      <w:pPr>
        <w:pStyle w:val="ListBullet"/>
        <w:spacing w:line="240" w:lineRule="auto"/>
        <w:ind w:left="720"/>
      </w:pPr>
      <w:r/>
      <w:r>
        <w:t xml:space="preserve">No primeiro livro, </w:t>
      </w:r>
      <w:r>
        <w:rPr>
          <w:i/>
        </w:rPr>
        <w:t>selah</w:t>
      </w:r>
      <w:r>
        <w:t xml:space="preserve"> aparece em nove salmos.</w:t>
      </w:r>
    </w:p>
    <w:p>
      <w:pPr>
        <w:pStyle w:val="ListBullet"/>
        <w:spacing w:line="240" w:lineRule="auto"/>
        <w:ind w:left="720"/>
      </w:pPr>
      <w:r/>
      <w:r>
        <w:t>No segundo livro, em 17 salmos.</w:t>
      </w:r>
    </w:p>
    <w:p>
      <w:pPr>
        <w:pStyle w:val="ListBullet"/>
        <w:spacing w:line="240" w:lineRule="auto"/>
        <w:ind w:left="720"/>
      </w:pPr>
      <w:r/>
      <w:r>
        <w:t>No terceiro livro, em 11 salmos.</w:t>
      </w:r>
    </w:p>
    <w:p>
      <w:pPr>
        <w:pStyle w:val="ListBullet"/>
        <w:spacing w:line="240" w:lineRule="auto"/>
        <w:ind w:left="720"/>
      </w:pPr>
      <w:r/>
      <w:r>
        <w:t>No quarto livro, não é encontrado de maneira alguma.</w:t>
      </w:r>
    </w:p>
    <w:p>
      <w:pPr>
        <w:pStyle w:val="ListBullet"/>
        <w:spacing w:line="240" w:lineRule="auto"/>
        <w:ind w:left="720"/>
      </w:pPr>
      <w:r/>
      <w:r>
        <w:t>No quinto livro, ele aparece em apenas dois salmos.</w:t>
      </w:r>
    </w:p>
    <w:p>
      <w:r/>
      <w:r>
        <w:t xml:space="preserve">Trinta e um desses salmos também incluem o termo </w:t>
      </w:r>
      <w:r>
        <w:rPr>
          <w:i/>
        </w:rPr>
        <w:t xml:space="preserve">menazzeah </w:t>
      </w:r>
      <w:r>
        <w:t>em seus títulos, o que implica que foram cantados por um solista e coro.</w:t>
      </w:r>
    </w:p>
    <w:p>
      <w:r/>
      <w:r>
        <w:t xml:space="preserve">Mais comumente, </w:t>
      </w:r>
      <w:r>
        <w:rPr>
          <w:i/>
        </w:rPr>
        <w:t>selah</w:t>
      </w:r>
      <w:r>
        <w:t xml:space="preserve"> é interpretado como um sinal para uma pausa no canto e possivelmente para um interlúdio instrumental. Nunca aparece no início de um salmo, mas apenas no meio do texto ou no final. A frequência de sua aparição dentro de um salmo não é consistente. Em apenas algumas instâncias, essas divisões separam o salmo em seções iguais.</w:t>
      </w:r>
    </w:p>
    <w:p>
      <w:r/>
      <w:r>
        <w:t xml:space="preserve">Devido à colocação aleatória do termo, alguns estudiosos acreditam que, assim como os cabeçalhos, </w:t>
      </w:r>
      <w:r>
        <w:rPr>
          <w:i/>
        </w:rPr>
        <w:t>selah</w:t>
      </w:r>
      <w:r>
        <w:t xml:space="preserve"> nem sempre foi copiado cuidadosamente para o texto. Pode ter sido uma nota que aparecia apenas nos textos dos músicos, o que explicaria essa inconsistência.</w:t>
      </w:r>
    </w:p>
    <w:p>
      <w:r/>
      <w:r>
        <w:t xml:space="preserve">Uma explicação de </w:t>
      </w:r>
      <w:r>
        <w:rPr>
          <w:i/>
        </w:rPr>
        <w:t>selah</w:t>
      </w:r>
      <w:r>
        <w:t xml:space="preserve"> é encontrada na tradição Talmúdica: "Ben Azra bateu o címbalo e os levitas começaram a cantar. Quando chegavam a uma pausa no canto, tocavam as trombetas e o povo se prostrava. A cada pausa havia um toque de trombeta e a cada toque de trombeta uma prostração. Este era o rito da oferta diária completa no serviço da Casa do nosso Deus". </w:t>
      </w:r>
      <w:r>
        <w:rPr>
          <w:i/>
        </w:rPr>
        <w:t>Selah</w:t>
      </w:r>
      <w:r>
        <w:t>, então, seria uma instrução para os músicos de que o canto deveria parar e os instrumentistas deveriam tocar.</w:t>
      </w:r>
    </w:p>
    <w:p>
      <w:r/>
      <w:r>
        <w:t xml:space="preserve">O termo </w:t>
      </w:r>
      <w:r>
        <w:rPr>
          <w:i/>
        </w:rPr>
        <w:t>higgaion selah</w:t>
      </w:r>
      <w:r>
        <w:t xml:space="preserve"> aparece uma vez, em </w:t>
      </w:r>
      <w:hyperlink r:id="rId10653">
        <w:r>
          <w:rPr>
            <w:color w:val="0000EE"/>
            <w:u w:val="single"/>
          </w:rPr>
          <w:t>Salmo 9.16</w:t>
        </w:r>
      </w:hyperlink>
      <w:r>
        <w:t xml:space="preserve">. A palavra higgaion vem da raiz </w:t>
      </w:r>
      <w:r>
        <w:rPr>
          <w:i/>
        </w:rPr>
        <w:t>hagah,</w:t>
      </w:r>
      <w:r>
        <w:t xml:space="preserve"> que significa "murmurar, rosnar, produzir um som baixo". Isso pode ter sido uma instrução para que o interlúdio fosse mais suave do que um </w:t>
      </w:r>
      <w:r>
        <w:rPr>
          <w:i/>
        </w:rPr>
        <w:t>selah</w:t>
      </w:r>
      <w:r>
        <w:t xml:space="preserve"> normal.</w:t>
      </w:r>
    </w:p>
    <w:p>
      <w:pPr>
        <w:pStyle w:val="Heading4"/>
      </w:pPr>
      <w:r>
        <w:t>Melodias antigas nos títulos</w:t>
      </w:r>
    </w:p>
    <w:p>
      <w:r/>
      <w:r>
        <w:t xml:space="preserve">Muitos salmos contêm cabeçalhos que não são referências musicais diretas. Eles são palavras de sugestão para indicar melodias bem conhecidas. Essas referências provavelmente se referem a nomes ou às primeiras palavras de canções seculares populares </w:t>
      </w:r>
      <w:r>
        <w:rPr>
          <w:i/>
        </w:rPr>
        <w:t>(makams)</w:t>
      </w:r>
      <w:r>
        <w:t xml:space="preserve"> cujos padrões melódicos eram usados para cantar o salmo. Os estudiosos bíblicos às vezes tentaram encontrar significados ocultos nesses cabeçalhos. A maioria dos musicólogos acredita que são simplesmente referências ou introduções a melodias.</w:t>
      </w:r>
    </w:p>
    <w:p>
      <w:pPr>
        <w:pStyle w:val="ListBullet"/>
        <w:spacing w:line="240" w:lineRule="auto"/>
        <w:ind w:left="720"/>
      </w:pPr>
      <w:r/>
      <w:r>
        <w:rPr>
          <w:i/>
        </w:rPr>
        <w:t>Aijeleth Shahar,</w:t>
      </w:r>
      <w:r>
        <w:t xml:space="preserve"> no </w:t>
      </w:r>
      <w:hyperlink r:id="rId638">
        <w:r>
          <w:rPr>
            <w:color w:val="0000EE"/>
            <w:u w:val="single"/>
          </w:rPr>
          <w:t>Salmo 22</w:t>
        </w:r>
      </w:hyperlink>
      <w:r>
        <w:t>, é traduzido como "A Corça da Manhã" pela maioria das traduções em português.</w:t>
      </w:r>
    </w:p>
    <w:p>
      <w:pPr>
        <w:pStyle w:val="ListBullet"/>
        <w:spacing w:line="240" w:lineRule="auto"/>
        <w:ind w:left="720"/>
      </w:pPr>
      <w:r/>
      <w:r>
        <w:rPr>
          <w:i/>
        </w:rPr>
        <w:t>Al-taschith,</w:t>
      </w:r>
      <w:r>
        <w:t xml:space="preserve"> nos </w:t>
      </w:r>
      <w:hyperlink r:id="rId14971">
        <w:r>
          <w:rPr>
            <w:color w:val="0000EE"/>
            <w:u w:val="single"/>
          </w:rPr>
          <w:t>Salmos 57–59</w:t>
        </w:r>
      </w:hyperlink>
      <w:r>
        <w:t xml:space="preserve"> e </w:t>
      </w:r>
      <w:hyperlink r:id="rId1011">
        <w:r>
          <w:rPr>
            <w:color w:val="0000EE"/>
            <w:u w:val="single"/>
          </w:rPr>
          <w:t>75</w:t>
        </w:r>
      </w:hyperlink>
      <w:r>
        <w:t>, é traduzido como “Não Destruas’” (NTLH).</w:t>
      </w:r>
    </w:p>
    <w:p>
      <w:pPr>
        <w:pStyle w:val="ListBullet"/>
        <w:spacing w:line="240" w:lineRule="auto"/>
        <w:ind w:left="720"/>
      </w:pPr>
      <w:r/>
      <w:r>
        <w:rPr>
          <w:i/>
        </w:rPr>
        <w:t>Jonath-elem-rechokim,</w:t>
      </w:r>
      <w:r>
        <w:t xml:space="preserve"> no </w:t>
      </w:r>
      <w:hyperlink r:id="rId12013">
        <w:r>
          <w:rPr>
            <w:color w:val="0000EE"/>
            <w:u w:val="single"/>
          </w:rPr>
          <w:t>Salmo 56</w:t>
        </w:r>
      </w:hyperlink>
      <w:r>
        <w:t>, é traduzido como "A Pomba Calada em Terra Distante" (NTLH) e "Uma Pomba em Carvalhos Distantes'" (NVI).</w:t>
      </w:r>
    </w:p>
    <w:p>
      <w:pPr>
        <w:pStyle w:val="ListBullet"/>
        <w:spacing w:line="240" w:lineRule="auto"/>
        <w:ind w:left="720"/>
      </w:pPr>
      <w:r/>
      <w:r>
        <w:rPr>
          <w:i/>
        </w:rPr>
        <w:t>Maalate Leannoth,</w:t>
      </w:r>
      <w:r>
        <w:t xml:space="preserve"> no </w:t>
      </w:r>
      <w:hyperlink r:id="rId10688">
        <w:r>
          <w:rPr>
            <w:color w:val="0000EE"/>
            <w:u w:val="single"/>
          </w:rPr>
          <w:t>Salmo 88</w:t>
        </w:r>
      </w:hyperlink>
      <w:r>
        <w:t>, é traduzido como "para instrumento de cordas e para dois coros" (NTLH).</w:t>
      </w:r>
    </w:p>
    <w:p>
      <w:pPr>
        <w:pStyle w:val="ListBullet"/>
        <w:spacing w:line="240" w:lineRule="auto"/>
        <w:ind w:left="720"/>
      </w:pPr>
      <w:r/>
      <w:r>
        <w:rPr>
          <w:i/>
        </w:rPr>
        <w:t>Muthlabben,</w:t>
      </w:r>
      <w:r>
        <w:t xml:space="preserve"> no </w:t>
      </w:r>
      <w:hyperlink r:id="rId267">
        <w:r>
          <w:rPr>
            <w:color w:val="0000EE"/>
            <w:u w:val="single"/>
          </w:rPr>
          <w:t>Salmo 9</w:t>
        </w:r>
      </w:hyperlink>
      <w:r>
        <w:t>, é traduzido como "A Morte do Filho" (NTLH).</w:t>
      </w:r>
    </w:p>
    <w:p>
      <w:pPr>
        <w:pStyle w:val="ListBullet"/>
        <w:spacing w:line="240" w:lineRule="auto"/>
        <w:ind w:left="720"/>
      </w:pPr>
      <w:r/>
      <w:r>
        <w:rPr>
          <w:i/>
        </w:rPr>
        <w:t>Shoshannim,</w:t>
      </w:r>
      <w:r>
        <w:t xml:space="preserve"> em </w:t>
      </w:r>
      <w:hyperlink r:id="rId4216">
        <w:r>
          <w:rPr>
            <w:color w:val="0000EE"/>
            <w:u w:val="single"/>
          </w:rPr>
          <w:t>Salmos 45</w:t>
        </w:r>
      </w:hyperlink>
      <w:r>
        <w:t xml:space="preserve"> e </w:t>
      </w:r>
      <w:hyperlink r:id="rId14972">
        <w:r>
          <w:rPr>
            <w:color w:val="0000EE"/>
            <w:u w:val="single"/>
          </w:rPr>
          <w:t>69</w:t>
        </w:r>
      </w:hyperlink>
      <w:r>
        <w:t>, é traduzido como "Os lírios" (NTLH).</w:t>
      </w:r>
    </w:p>
    <w:p>
      <w:pPr>
        <w:pStyle w:val="ListBullet"/>
        <w:spacing w:line="240" w:lineRule="auto"/>
        <w:ind w:left="720"/>
      </w:pPr>
      <w:r/>
      <w:r>
        <w:rPr>
          <w:i/>
        </w:rPr>
        <w:t>Shoshannim-Eduth,</w:t>
      </w:r>
      <w:r>
        <w:t xml:space="preserve"> no </w:t>
      </w:r>
      <w:hyperlink r:id="rId14947">
        <w:r>
          <w:rPr>
            <w:color w:val="0000EE"/>
            <w:u w:val="single"/>
          </w:rPr>
          <w:t>Salmo 80</w:t>
        </w:r>
      </w:hyperlink>
      <w:r>
        <w:t>, é traduzido como "Os lírios da Aliança'" (NVI).</w:t>
      </w:r>
    </w:p>
    <w:p>
      <w:pPr>
        <w:pStyle w:val="ListBullet"/>
        <w:spacing w:line="240" w:lineRule="auto"/>
        <w:ind w:left="720"/>
      </w:pPr>
      <w:r/>
      <w:r>
        <w:rPr>
          <w:i/>
        </w:rPr>
        <w:t>Shushan-eduth,</w:t>
      </w:r>
      <w:r>
        <w:t xml:space="preserve"> em </w:t>
      </w:r>
      <w:hyperlink r:id="rId2421">
        <w:r>
          <w:rPr>
            <w:color w:val="0000EE"/>
            <w:u w:val="single"/>
          </w:rPr>
          <w:t>Salmo 60</w:t>
        </w:r>
      </w:hyperlink>
      <w:r>
        <w:t>, é traduzido como "O lírio do Testemunho" (NTLH).</w:t>
      </w:r>
    </w:p>
    <w:p>
      <w:r/>
      <w:r>
        <w:t>Esses tipos de melodia aparecem apenas nos três primeiros livros do Saltério. Isso pode implicar que esses tipos populares de melodia deixaram de ser usados na época em que os livros finais do Saltério foram escritos. Outros tipos de melodias provavelmente se tornaram populares. Os autores, percebendo a vida relativamente curta de uma melodia popular, não os incluíram nos cabeçalhos dos Salmos. Eles deixaram a escolha para o intérprete.</w:t>
      </w:r>
    </w:p>
    <w:p>
      <w:pPr>
        <w:pStyle w:val="Heading3"/>
      </w:pPr>
      <w:r>
        <w:t>Música no Novo Testamento</w:t>
      </w:r>
    </w:p>
    <w:p>
      <w:pPr>
        <w:pStyle w:val="Heading4"/>
      </w:pPr>
      <w:r>
        <w:t>Influências do primeiro século: A Sinagoga</w:t>
      </w:r>
    </w:p>
    <w:p>
      <w:r/>
      <w:r>
        <w:t>Na época de Cristo, a sinagoga havia se tornado o principal local de adoração para o povo judeu. Inicialmente, era um lugar para o estudo da lei, mas gradualmente se transformou no centro de adoração para os judeus que não podiam frequentar o templo.</w:t>
      </w:r>
    </w:p>
    <w:p>
      <w:r/>
      <w:r>
        <w:t>O serviço de adoração do templo não podia ser duplicado na sinagoga, pois não havia rito sacrificial. A música não podia ser exatamente reproduzida sem cantores levíticos treinados. Os estudiosos não concordam sobre o grau de continuidade entre a música do templo e a música da sinagoga. Mas há evidências de que certas práticas musicais permaneceram constantes entre os dois locais de adoração.</w:t>
      </w:r>
    </w:p>
    <w:p>
      <w:r/>
      <w:r>
        <w:t>As informações sobre os costumes e rituais da sinagoga vêm dos escritos talmúdicos. Os elementos musicais do culto na sinagoga incluíam a entoação das Escrituras e o canto de salmos e canções espirituais. O canto coral do templo foi substituído por um único cantor (líder de canto).</w:t>
      </w:r>
    </w:p>
    <w:p>
      <w:r/>
      <w:r>
        <w:t>O cantor era um leigo que, segundo a tradição, precisava ter as seguintes qualificações: "Ele precisava ser bem educado, ter uma voz doce, personalidade humilde, ser reconhecido pela comunidade, conhecedor das Escrituras e de todas as orações; ele não deveria ser um homem rico, pois suas orações deveriam vir do coração". O trabalho mais importante de um cantor era a cantilação (canto musical) da Lei e dos Profetas. Uma série de acentos e pontuações, uma notação musical primitiva, servia como indicação para o cantor na interpretação musical das Escrituras.</w:t>
      </w:r>
    </w:p>
    <w:p>
      <w:r/>
      <w:r>
        <w:t>O canto de salmos foi gradualmente transferido do templo para a sinagoga. Essa prática influenciou a igreja cristã primitiva. Os tons de salmos gregorianos têm suas raízes no canto hebraico de salmos.</w:t>
      </w:r>
    </w:p>
    <w:p>
      <w:pPr>
        <w:pStyle w:val="Heading4"/>
      </w:pPr>
      <w:r>
        <w:t>Influências do primeiro século: Culturas grega e romana</w:t>
      </w:r>
    </w:p>
    <w:p>
      <w:r/>
      <w:r>
        <w:t>Tanto o templo quanto a sinagoga eram familiares aos primeiros cristãos (</w:t>
      </w:r>
      <w:hyperlink r:id="rId14973">
        <w:r>
          <w:rPr>
            <w:color w:val="0000EE"/>
            <w:u w:val="single"/>
          </w:rPr>
          <w:t>At 2.46–47</w:t>
        </w:r>
      </w:hyperlink>
      <w:r>
        <w:t xml:space="preserve">; </w:t>
      </w:r>
      <w:hyperlink r:id="rId4954">
        <w:r>
          <w:rPr>
            <w:color w:val="0000EE"/>
            <w:u w:val="single"/>
          </w:rPr>
          <w:t>3.1</w:t>
        </w:r>
      </w:hyperlink>
      <w:r>
        <w:t xml:space="preserve">; </w:t>
      </w:r>
      <w:hyperlink r:id="rId8728">
        <w:r>
          <w:rPr>
            <w:color w:val="0000EE"/>
            <w:u w:val="single"/>
          </w:rPr>
          <w:t>5.42</w:t>
        </w:r>
      </w:hyperlink>
      <w:r>
        <w:t xml:space="preserve">; </w:t>
      </w:r>
      <w:hyperlink r:id="rId9395">
        <w:r>
          <w:rPr>
            <w:color w:val="0000EE"/>
            <w:u w:val="single"/>
          </w:rPr>
          <w:t>9.20</w:t>
        </w:r>
      </w:hyperlink>
      <w:r>
        <w:t xml:space="preserve">; </w:t>
      </w:r>
      <w:hyperlink r:id="rId5758">
        <w:r>
          <w:rPr>
            <w:color w:val="0000EE"/>
            <w:u w:val="single"/>
          </w:rPr>
          <w:t>18.4</w:t>
        </w:r>
      </w:hyperlink>
      <w:r>
        <w:t>; e assim por diante). No entanto, as culturas grega e romana também desempenharam um papel importante na formação da jovem igreja. As influências gregas na época de Cristo já eram sentidas no Oriente Médio. Alguns líderes judeus se opunham fortemente a essa influência, mas as artes gregas haviam permeado a cultura judaica.</w:t>
      </w:r>
    </w:p>
    <w:p>
      <w:r/>
      <w:r>
        <w:t>Os filósofos gregos consideravam a música uma força de purificação emocional. Eles acreditavam que ela poderia conduzir os humanos ao conhecimento espiritual. Esse entendimento levou à crença de que a música tinha uma substância moral que poderia influenciar as pessoas para o bem ou para o mal. Se essa filosofia tivesse sido efetivamente incorporada ao pensamento judaico-cristão, certamente Paulo teria incentivado o uso da música para espalhar o evangelho. A omissão dessa teoria por Paulo implica que o mundo judaico-cristão daquela época havia rejeitado o ideal grego, pelo menos em parte.</w:t>
      </w:r>
    </w:p>
    <w:p>
      <w:r/>
      <w:r>
        <w:t>Os rabinos judeus consideravam a música uma forma de arte para o louvor a Deus. Os filósofos gregos a viam como uma força moral poderosa na criação. Os romanos a consideravam principalmente como entretenimento. A música dos jogos romanos não era nem religiosa nem filosófica. Pelos relatos das testemunhas, não era tecnicamente excepcional. No Império Romano, os músicos tinham um status inferior e eram vistos apenas como entretenedores. Uma razão pela qual a igreja primitiva não incluía música instrumental em seu culto era em reação ao uso secular de instrumentos pelos romanos.</w:t>
      </w:r>
    </w:p>
    <w:p>
      <w:pPr>
        <w:pStyle w:val="Heading4"/>
      </w:pPr>
      <w:r>
        <w:t>Nos escritos do Novo Testamento</w:t>
      </w:r>
    </w:p>
    <w:p>
      <w:r/>
      <w:r>
        <w:t>Uma das poucas menções de instrumentos no Novo Testamento é o uso de flautas em um velório (</w:t>
      </w:r>
      <w:hyperlink r:id="rId11068">
        <w:r>
          <w:rPr>
            <w:color w:val="0000EE"/>
            <w:u w:val="single"/>
          </w:rPr>
          <w:t>Mt 9.23</w:t>
        </w:r>
      </w:hyperlink>
      <w:r>
        <w:t xml:space="preserve">). Assim como no Antigo Testamento, a música está associada a festas e celebrações (por exemplo, o retorno do filho pródigo, </w:t>
      </w:r>
      <w:hyperlink r:id="rId11082">
        <w:r>
          <w:rPr>
            <w:color w:val="0000EE"/>
            <w:u w:val="single"/>
          </w:rPr>
          <w:t>Lc 15.25</w:t>
        </w:r>
      </w:hyperlink>
      <w:r>
        <w:t>). Cinco passagens mencionam a música metaforicamente (</w:t>
      </w:r>
      <w:hyperlink r:id="rId14974">
        <w:r>
          <w:rPr>
            <w:color w:val="0000EE"/>
            <w:u w:val="single"/>
          </w:rPr>
          <w:t>Mt 6.2</w:t>
        </w:r>
      </w:hyperlink>
      <w:r>
        <w:t xml:space="preserve">; </w:t>
      </w:r>
      <w:hyperlink r:id="rId6041">
        <w:r>
          <w:rPr>
            <w:color w:val="0000EE"/>
            <w:u w:val="single"/>
          </w:rPr>
          <w:t>11.17</w:t>
        </w:r>
      </w:hyperlink>
      <w:r>
        <w:t xml:space="preserve">; </w:t>
      </w:r>
      <w:hyperlink r:id="rId14267">
        <w:r>
          <w:rPr>
            <w:color w:val="0000EE"/>
            <w:u w:val="single"/>
          </w:rPr>
          <w:t>Lc 7.32</w:t>
        </w:r>
      </w:hyperlink>
      <w:r>
        <w:t xml:space="preserve">; </w:t>
      </w:r>
      <w:hyperlink r:id="rId14539">
        <w:r>
          <w:rPr>
            <w:color w:val="0000EE"/>
            <w:u w:val="single"/>
          </w:rPr>
          <w:t>1Co 13.1</w:t>
        </w:r>
      </w:hyperlink>
      <w:r>
        <w:t xml:space="preserve">; </w:t>
      </w:r>
      <w:hyperlink r:id="rId14975">
        <w:r>
          <w:rPr>
            <w:color w:val="0000EE"/>
            <w:u w:val="single"/>
          </w:rPr>
          <w:t>14.7–8</w:t>
        </w:r>
      </w:hyperlink>
      <w:r>
        <w:t xml:space="preserve">). A mais conhecida delas é a celebração do amor por Paulo em </w:t>
      </w:r>
      <w:hyperlink r:id="rId5833">
        <w:r>
          <w:rPr>
            <w:color w:val="0000EE"/>
            <w:u w:val="single"/>
          </w:rPr>
          <w:t>1 Coríntios 13</w:t>
        </w:r>
      </w:hyperlink>
      <w:r>
        <w:t>. A crítica ao gongo e aos címbalos deve ser entendida devido à atitude dos primeiros cristãos em relação à música dos fariseus. Aqui, os instrumentos de sinal do templo foram usados para representar a exibição pomposa de devoção religiosa.</w:t>
      </w:r>
    </w:p>
    <w:p>
      <w:r/>
      <w:r>
        <w:t xml:space="preserve">A maioria das referências à música é encontrada nas visões e passagens proféticas sobre os tempos do fim. Estas estão presentes em muitos lugares no Novo Testamento, mais frequentemente no livro de Apocalipse (também </w:t>
      </w:r>
      <w:hyperlink r:id="rId11830">
        <w:r>
          <w:rPr>
            <w:color w:val="0000EE"/>
            <w:u w:val="single"/>
          </w:rPr>
          <w:t>Mt 24.31</w:t>
        </w:r>
      </w:hyperlink>
      <w:r>
        <w:t xml:space="preserve">; </w:t>
      </w:r>
      <w:hyperlink r:id="rId14976">
        <w:r>
          <w:rPr>
            <w:color w:val="0000EE"/>
            <w:u w:val="single"/>
          </w:rPr>
          <w:t>1Co 15.52</w:t>
        </w:r>
      </w:hyperlink>
      <w:r>
        <w:t xml:space="preserve">; </w:t>
      </w:r>
      <w:hyperlink r:id="rId14370">
        <w:r>
          <w:rPr>
            <w:color w:val="0000EE"/>
            <w:u w:val="single"/>
          </w:rPr>
          <w:t>1 Ts 4.16</w:t>
        </w:r>
      </w:hyperlink>
      <w:r>
        <w:t xml:space="preserve">; </w:t>
      </w:r>
      <w:hyperlink r:id="rId14977">
        <w:r>
          <w:rPr>
            <w:color w:val="0000EE"/>
            <w:u w:val="single"/>
          </w:rPr>
          <w:t>Hb 12.19</w:t>
        </w:r>
      </w:hyperlink>
      <w:r>
        <w:t xml:space="preserve">). Muitas dessas descrições estão associadas a referências musicais no Antigo Testamento (por exemplo, o uso de harpas e trombetas e o canto do Aleluia). No entanto, o valor de muitas das passagens em Apocalipse vem de seu estilo literário. Essas passagens que louvam a Deus e se assemelham a salmos foram provavelmente "canções espirituais" espontâneas criadas pela igreja primitiva (por exemplo, </w:t>
      </w:r>
      <w:hyperlink r:id="rId14978">
        <w:r>
          <w:rPr>
            <w:color w:val="0000EE"/>
            <w:u w:val="single"/>
          </w:rPr>
          <w:t>Ap 5.9–10</w:t>
        </w:r>
      </w:hyperlink>
      <w:r>
        <w:t>).</w:t>
      </w:r>
    </w:p>
    <w:p>
      <w:r/>
      <w:r>
        <w:t>As passagens que mencionam música religiosa ou de adoração são frequentemente mais abstratas do que literais. Duas passagens paralelas descrevendo a Santa Ceia (</w:t>
      </w:r>
      <w:hyperlink r:id="rId731">
        <w:r>
          <w:rPr>
            <w:color w:val="0000EE"/>
            <w:u w:val="single"/>
          </w:rPr>
          <w:t>Mt 26.30</w:t>
        </w:r>
      </w:hyperlink>
      <w:r>
        <w:t xml:space="preserve">; </w:t>
      </w:r>
      <w:hyperlink r:id="rId732">
        <w:r>
          <w:rPr>
            <w:color w:val="0000EE"/>
            <w:u w:val="single"/>
          </w:rPr>
          <w:t>Mc 14.26</w:t>
        </w:r>
      </w:hyperlink>
      <w:r>
        <w:t>) mencionam que Cristo e seus discípulos cantaram um hino. Este é o único relato direto de Jesus cantando. É provável que, quando ele leu na sinagoga, o tenha feito no estilo vocal aceito (</w:t>
      </w:r>
      <w:hyperlink r:id="rId14979">
        <w:r>
          <w:rPr>
            <w:color w:val="0000EE"/>
            <w:u w:val="single"/>
          </w:rPr>
          <w:t>Lc 4.16–20</w:t>
        </w:r>
      </w:hyperlink>
      <w:r>
        <w:t>). Apesar da controvérsia em torno dos eventos reais na Santa Ceia, é uma suposição segura que o hino cantado era um hino judaico tradicional, provavelmente associado à Páscoa.</w:t>
      </w:r>
    </w:p>
    <w:p>
      <w:r/>
      <w:r>
        <w:t xml:space="preserve">Do relato em </w:t>
      </w:r>
      <w:hyperlink r:id="rId13324">
        <w:r>
          <w:rPr>
            <w:color w:val="0000EE"/>
            <w:u w:val="single"/>
          </w:rPr>
          <w:t>Atos 16.25</w:t>
        </w:r>
      </w:hyperlink>
      <w:r>
        <w:t xml:space="preserve">, sabemos que Paulo e Silas cantaram hinos enquanto estavam na prisão. Paulo dá instruções para a criação musical em </w:t>
      </w:r>
      <w:hyperlink r:id="rId14980">
        <w:r>
          <w:rPr>
            <w:color w:val="0000EE"/>
            <w:u w:val="single"/>
          </w:rPr>
          <w:t>1 Coríntios 14.15,26</w:t>
        </w:r>
      </w:hyperlink>
      <w:r>
        <w:t xml:space="preserve"> em termos de um equilíbrio entre racionalismo (pensamento lógico) e emoção. E, como com todos os dons do Espírito, Paulo pede que o canto seja feito para edificação (ajudando outros crentes a aprender e crescer espiritualmente).</w:t>
      </w:r>
    </w:p>
    <w:p>
      <w:r/>
      <w:r>
        <w:t>Em duas passagens semelhantes (</w:t>
      </w:r>
      <w:hyperlink r:id="rId13327">
        <w:r>
          <w:rPr>
            <w:color w:val="0000EE"/>
            <w:u w:val="single"/>
          </w:rPr>
          <w:t>Ef 5.19</w:t>
        </w:r>
      </w:hyperlink>
      <w:r>
        <w:t xml:space="preserve">; </w:t>
      </w:r>
      <w:hyperlink r:id="rId13326">
        <w:r>
          <w:rPr>
            <w:color w:val="0000EE"/>
            <w:u w:val="single"/>
          </w:rPr>
          <w:t>Cl 3.16</w:t>
        </w:r>
      </w:hyperlink>
      <w:r>
        <w:t>), Paulo agrupa três termos musicais:</w:t>
      </w:r>
    </w:p>
    <w:p>
      <w:pPr>
        <w:pStyle w:val="ListBullet"/>
        <w:spacing w:line="240" w:lineRule="auto"/>
        <w:ind w:left="720"/>
      </w:pPr>
      <w:r/>
      <w:r>
        <w:t>Salmos</w:t>
      </w:r>
    </w:p>
    <w:p>
      <w:pPr>
        <w:pStyle w:val="ListBullet"/>
        <w:spacing w:line="240" w:lineRule="auto"/>
        <w:ind w:left="720"/>
      </w:pPr>
      <w:r/>
      <w:r>
        <w:t>hinos</w:t>
      </w:r>
    </w:p>
    <w:p>
      <w:pPr>
        <w:pStyle w:val="ListBullet"/>
        <w:spacing w:line="240" w:lineRule="auto"/>
        <w:ind w:left="720"/>
      </w:pPr>
      <w:r/>
      <w:r>
        <w:t>canções espirituais</w:t>
      </w:r>
    </w:p>
    <w:p>
      <w:r/>
      <w:r>
        <w:t>O canto de salmos foi uma continuação óbvia da sinagoga. O canto de salmos dos primeiros cristãos provavelmente seguiu o estilo judaico.</w:t>
      </w:r>
    </w:p>
    <w:p>
      <w:r/>
      <w:r>
        <w:t>O termo "hinos" provavelmente se refere a textos poéticos. Essas canções foram provavelmente modeladas após os salmos, mas louvam Cristo. "Cânticos espirituais" podem se referir a uma forma espontânea e extática de oração musical, possivelmente sem palavras (talvez relacionada ao falar em línguas). Há evidências de que esse estilo era popular no judaísmo místico também. Esses surtos de canção eram provavelmente melismáticos (cantados em um tom) e são talvez os primeiros exemplos do posterior canto Aleluia.</w:t>
      </w:r>
    </w:p>
    <w:p>
      <w:pPr>
        <w:pStyle w:val="Heading4"/>
      </w:pPr>
      <w:r>
        <w:t>Hinódia no Novo Testamento</w:t>
      </w:r>
    </w:p>
    <w:p>
      <w:r/>
      <w:r>
        <w:t>Pode-se supor que os primeiros cristãos compuseram hinos em louvor a Cristo. A maioria dos hinos do Novo Testamento é baseada em formas poéticas de salmos hebraicos, mas há também influência grega e latina. Os hinos do Evangelho de Lucas tornaram-se cânticos bem conhecidos (canções semelhantes a salmos) usados pela igreja:</w:t>
      </w:r>
    </w:p>
    <w:p>
      <w:pPr>
        <w:pStyle w:val="ListBullet"/>
        <w:spacing w:line="240" w:lineRule="auto"/>
        <w:ind w:left="720"/>
      </w:pPr>
      <w:r/>
      <w:r>
        <w:t>o Magnificat (</w:t>
      </w:r>
      <w:hyperlink r:id="rId11693">
        <w:r>
          <w:rPr>
            <w:color w:val="0000EE"/>
            <w:u w:val="single"/>
          </w:rPr>
          <w:t>Lc 1.46–55</w:t>
        </w:r>
      </w:hyperlink>
      <w:r>
        <w:t>)</w:t>
      </w:r>
    </w:p>
    <w:p>
      <w:pPr>
        <w:pStyle w:val="ListBullet"/>
        <w:spacing w:line="240" w:lineRule="auto"/>
        <w:ind w:left="720"/>
      </w:pPr>
      <w:r/>
      <w:r>
        <w:t>o Benedictus (</w:t>
      </w:r>
      <w:hyperlink r:id="rId14981">
        <w:r>
          <w:rPr>
            <w:color w:val="0000EE"/>
            <w:u w:val="single"/>
          </w:rPr>
          <w:t>Lc 1.68–79</w:t>
        </w:r>
      </w:hyperlink>
      <w:r>
        <w:t>)</w:t>
      </w:r>
    </w:p>
    <w:p>
      <w:pPr>
        <w:pStyle w:val="ListBullet"/>
        <w:spacing w:line="240" w:lineRule="auto"/>
        <w:ind w:left="720"/>
      </w:pPr>
      <w:r/>
      <w:r>
        <w:t>ó Glória (</w:t>
      </w:r>
      <w:hyperlink r:id="rId11695">
        <w:r>
          <w:rPr>
            <w:color w:val="0000EE"/>
            <w:u w:val="single"/>
          </w:rPr>
          <w:t>Lc 2.14</w:t>
        </w:r>
      </w:hyperlink>
      <w:r>
        <w:t>)</w:t>
      </w:r>
    </w:p>
    <w:p>
      <w:pPr>
        <w:pStyle w:val="ListBullet"/>
        <w:spacing w:line="240" w:lineRule="auto"/>
        <w:ind w:left="720"/>
      </w:pPr>
      <w:r/>
      <w:r>
        <w:t>o Nunc Dimittis (</w:t>
      </w:r>
      <w:hyperlink r:id="rId2880">
        <w:r>
          <w:rPr>
            <w:color w:val="0000EE"/>
            <w:u w:val="single"/>
          </w:rPr>
          <w:t>Lc 2.29–32</w:t>
        </w:r>
      </w:hyperlink>
      <w:r>
        <w:t>).</w:t>
      </w:r>
    </w:p>
    <w:p>
      <w:r/>
      <w:r>
        <w:t xml:space="preserve">Essas canções são escritas como os salmos no Antigo Testamento. Elas expressam uma forte confiança em Jesus como salvador e mostram entusiasmo sobre seu retorno prometido. Outros hinos sobre Cristo encontrados no Novo Testamento incluem a introdução ao Evangelho de João, </w:t>
      </w:r>
      <w:hyperlink r:id="rId379">
        <w:r>
          <w:rPr>
            <w:color w:val="0000EE"/>
            <w:u w:val="single"/>
          </w:rPr>
          <w:t>Efésios 2.14–16</w:t>
        </w:r>
      </w:hyperlink>
      <w:r>
        <w:t xml:space="preserve">, </w:t>
      </w:r>
      <w:hyperlink r:id="rId5124">
        <w:r>
          <w:rPr>
            <w:color w:val="0000EE"/>
            <w:u w:val="single"/>
          </w:rPr>
          <w:t>Filipenses 2.6–11</w:t>
        </w:r>
      </w:hyperlink>
      <w:r>
        <w:t xml:space="preserve">, </w:t>
      </w:r>
      <w:hyperlink r:id="rId5122">
        <w:r>
          <w:rPr>
            <w:color w:val="0000EE"/>
            <w:u w:val="single"/>
          </w:rPr>
          <w:t>Colossenses 1.15–20</w:t>
        </w:r>
      </w:hyperlink>
      <w:r>
        <w:t xml:space="preserve">, </w:t>
      </w:r>
      <w:hyperlink r:id="rId2672">
        <w:r>
          <w:rPr>
            <w:color w:val="0000EE"/>
            <w:u w:val="single"/>
          </w:rPr>
          <w:t>1 Timóteo 3.16</w:t>
        </w:r>
      </w:hyperlink>
      <w:r>
        <w:t xml:space="preserve">, </w:t>
      </w:r>
      <w:hyperlink r:id="rId2666">
        <w:r>
          <w:rPr>
            <w:color w:val="0000EE"/>
            <w:u w:val="single"/>
          </w:rPr>
          <w:t>Hebreus 1.3</w:t>
        </w:r>
      </w:hyperlink>
      <w:r>
        <w:t xml:space="preserve">, e </w:t>
      </w:r>
      <w:hyperlink r:id="rId8760">
        <w:r>
          <w:rPr>
            <w:color w:val="0000EE"/>
            <w:u w:val="single"/>
          </w:rPr>
          <w:t>1 Pedro 3.18–22</w:t>
        </w:r>
      </w:hyperlink>
      <w:r>
        <w:t>.</w:t>
      </w:r>
      <w:r/>
      <w:r/>
    </w:p>
    <w:p>
      <w:r/>
    </w:p>
    <w:p>
      <w:pPr>
        <w:pStyle w:val="Heading2"/>
      </w:pPr>
      <w:r>
        <w:t>Naaliel</w:t>
      </w:r>
      <w:r/>
    </w:p>
    <w:p>
      <w:r/>
      <w:r>
        <w:t>Um local de acampamento temporário para os israelitas durante suas peregrinações no deserto. Ficava a leste do Mar Morto, na região de Moabe, entre Matana e Bamote (</w:t>
      </w:r>
      <w:hyperlink r:id="rId14982">
        <w:r>
          <w:rPr>
            <w:color w:val="0000EE"/>
            <w:u w:val="single"/>
          </w:rPr>
          <w:t>Números 21.19</w:t>
        </w:r>
      </w:hyperlink>
      <w:r>
        <w:t>).</w:t>
      </w:r>
    </w:p>
    <w:p>
      <w:r/>
      <w:r>
        <w:rPr>
          <w:i/>
        </w:rPr>
        <w:t>Veja também</w:t>
      </w:r>
      <w:r>
        <w:t xml:space="preserve"> </w:t>
      </w:r>
      <w:r>
        <w:t>Peregrinações no deserto</w:t>
      </w:r>
      <w:r>
        <w:t>.</w:t>
      </w:r>
      <w:r/>
      <w:r/>
    </w:p>
    <w:p>
      <w:r/>
    </w:p>
    <w:p>
      <w:pPr>
        <w:pStyle w:val="Heading2"/>
      </w:pPr>
      <w:r>
        <w:t>Naamã</w:t>
      </w:r>
      <w:r/>
    </w:p>
    <w:p>
      <w:pPr>
        <w:pStyle w:val="ListNumber"/>
        <w:spacing w:line="240" w:lineRule="auto"/>
        <w:ind w:left="720"/>
      </w:pPr>
      <w:r/>
      <w:r>
        <w:t>O neto de Benjamim e filho de Bela, que deu seu nome ao clã naamita (</w:t>
      </w:r>
      <w:hyperlink r:id="rId661">
        <w:r>
          <w:rPr>
            <w:color w:val="0000EE"/>
            <w:u w:val="single"/>
          </w:rPr>
          <w:t>Gn 46.21</w:t>
        </w:r>
      </w:hyperlink>
      <w:r>
        <w:t xml:space="preserve">; </w:t>
      </w:r>
      <w:hyperlink r:id="rId3331">
        <w:r>
          <w:rPr>
            <w:color w:val="0000EE"/>
            <w:u w:val="single"/>
          </w:rPr>
          <w:t>Nm 26.38–40</w:t>
        </w:r>
      </w:hyperlink>
      <w:r>
        <w:t xml:space="preserve">; </w:t>
      </w:r>
      <w:hyperlink r:id="rId14983">
        <w:r>
          <w:rPr>
            <w:color w:val="0000EE"/>
            <w:u w:val="single"/>
          </w:rPr>
          <w:t>1Cr 8.4,7</w:t>
        </w:r>
      </w:hyperlink>
      <w:r>
        <w:t>).</w:t>
      </w:r>
    </w:p>
    <w:p>
      <w:pPr>
        <w:pStyle w:val="ListNumber"/>
        <w:spacing w:line="240" w:lineRule="auto"/>
        <w:ind w:left="720"/>
      </w:pPr>
      <w:r/>
      <w:r>
        <w:t>O general comandante do exército arameu durante o reinado de Ben-Hadade, rei da Síria (</w:t>
      </w:r>
      <w:hyperlink r:id="rId6498">
        <w:r>
          <w:rPr>
            <w:color w:val="0000EE"/>
            <w:u w:val="single"/>
          </w:rPr>
          <w:t>2Rs 5</w:t>
        </w:r>
      </w:hyperlink>
      <w:r>
        <w:t xml:space="preserve">). O rei o respeitava por seu caráter e sucessos militares, mesmo que ele tivesse lepra. Isso não o excluía da sociedade, como teria acontecido em Israel (compare </w:t>
      </w:r>
      <w:hyperlink r:id="rId12939">
        <w:r>
          <w:rPr>
            <w:color w:val="0000EE"/>
            <w:u w:val="single"/>
          </w:rPr>
          <w:t>Lv 13–14</w:t>
        </w:r>
      </w:hyperlink>
      <w:r>
        <w:t>). Ben-Hadade permitiu que ele levasse presentes à corte de seu rei vizinho muito desconfiado. Esse rei provavelmente era Jeorão.</w:t>
      </w:r>
    </w:p>
    <w:p>
      <w:r/>
      <w:r>
        <w:t xml:space="preserve">Eliseu, o profeta, interveio e exigiu um método improvável de cura. O relutante Naamã seguiu em frente. Seus servos disseram: "Se o profeta tivesse lhe dito para fazer alguma grande coisa, você não teria feito?" Naamã então confessou que o único Deus verdadeiro está em Israel. Ele voltou para casa com duas cargas de mula (a quantidade que uma mula pode carregar) de terra, pensando que só poderia adorar esse Deus em seu próprio solo (compare </w:t>
      </w:r>
      <w:hyperlink r:id="rId14984">
        <w:r>
          <w:rPr>
            <w:color w:val="0000EE"/>
            <w:u w:val="single"/>
          </w:rPr>
          <w:t>Êx 20.24</w:t>
        </w:r>
      </w:hyperlink>
      <w:r>
        <w:t>).</w:t>
      </w:r>
    </w:p>
    <w:p>
      <w:r/>
      <w:r>
        <w:t xml:space="preserve">Em </w:t>
      </w:r>
      <w:hyperlink r:id="rId7977">
        <w:r>
          <w:rPr>
            <w:color w:val="0000EE"/>
            <w:u w:val="single"/>
          </w:rPr>
          <w:t>Lucas 4.27</w:t>
        </w:r>
      </w:hyperlink>
      <w:r>
        <w:t>, Jesus lembra aos ouvintes da sinagoga que Naamã, um não-israelita, foi o único de seu tempo a ser purificado da lepra.</w:t>
      </w:r>
      <w:r/>
      <w:r/>
    </w:p>
    <w:p>
      <w:r/>
    </w:p>
    <w:p>
      <w:pPr>
        <w:pStyle w:val="Heading2"/>
      </w:pPr>
      <w:r>
        <w:t>Naamá (Pessoa)</w:t>
      </w:r>
      <w:r/>
    </w:p>
    <w:p>
      <w:pPr>
        <w:pStyle w:val="ListNumber"/>
        <w:spacing w:line="240" w:lineRule="auto"/>
        <w:ind w:left="720"/>
      </w:pPr>
      <w:r/>
      <w:r>
        <w:t>Uma filha de Zila e Lameque na lista dos descendentes de Caim (</w:t>
      </w:r>
      <w:hyperlink r:id="rId2612">
        <w:r>
          <w:rPr>
            <w:color w:val="0000EE"/>
            <w:u w:val="single"/>
          </w:rPr>
          <w:t>Gn 4.22</w:t>
        </w:r>
      </w:hyperlink>
      <w:r>
        <w:t>).</w:t>
      </w:r>
    </w:p>
    <w:p>
      <w:pPr>
        <w:pStyle w:val="ListNumber"/>
        <w:spacing w:line="240" w:lineRule="auto"/>
        <w:ind w:left="720"/>
      </w:pPr>
      <w:r/>
      <w:r>
        <w:t>Uma das esposas do Rei Salomão. Ela era de Amom (</w:t>
      </w:r>
      <w:hyperlink r:id="rId1111">
        <w:r>
          <w:rPr>
            <w:color w:val="0000EE"/>
            <w:u w:val="single"/>
          </w:rPr>
          <w:t>1Rs 14.21,31</w:t>
        </w:r>
      </w:hyperlink>
      <w:r>
        <w:t xml:space="preserve">; </w:t>
      </w:r>
      <w:hyperlink r:id="rId1112">
        <w:r>
          <w:rPr>
            <w:color w:val="0000EE"/>
            <w:u w:val="single"/>
          </w:rPr>
          <w:t>2Cr 12.13</w:t>
        </w:r>
      </w:hyperlink>
      <w:r>
        <w:t>). É certo que ela teve responsabilidade parcial pela idolatria de Salomão. Seu filho Roboão governou Judá após a morte de Salomão (</w:t>
      </w:r>
      <w:hyperlink r:id="rId14985">
        <w:r>
          <w:rPr>
            <w:color w:val="0000EE"/>
            <w:u w:val="single"/>
          </w:rPr>
          <w:t>1Rs 14.21–24</w:t>
        </w:r>
      </w:hyperlink>
      <w:r>
        <w:t>).</w:t>
      </w:r>
      <w:r/>
      <w:r/>
    </w:p>
    <w:p>
      <w:r/>
    </w:p>
    <w:p>
      <w:pPr>
        <w:pStyle w:val="Heading2"/>
      </w:pPr>
      <w:r>
        <w:t>Naamanita</w:t>
      </w:r>
      <w:r/>
    </w:p>
    <w:p>
      <w:r/>
      <w:r>
        <w:t>Qualquer descendente de Naamã, filho de Bela, da tribo de Benjamim (</w:t>
      </w:r>
      <w:hyperlink r:id="rId2467">
        <w:r>
          <w:rPr>
            <w:color w:val="0000EE"/>
            <w:u w:val="single"/>
          </w:rPr>
          <w:t>Nm 26.40</w:t>
        </w:r>
      </w:hyperlink>
      <w:r>
        <w:t>).</w:t>
      </w:r>
    </w:p>
    <w:p>
      <w:r/>
      <w:r>
        <w:rPr>
          <w:i/>
        </w:rPr>
        <w:t>Veja</w:t>
      </w:r>
      <w:r>
        <w:t xml:space="preserve"> </w:t>
      </w:r>
      <w:r>
        <w:t>Naamã #1</w:t>
      </w:r>
      <w:r>
        <w:t>.</w:t>
      </w:r>
      <w:r/>
      <w:r/>
    </w:p>
    <w:p>
      <w:r/>
    </w:p>
    <w:p>
      <w:pPr>
        <w:pStyle w:val="Heading2"/>
      </w:pPr>
      <w:r>
        <w:t>Naate</w:t>
      </w:r>
      <w:r/>
    </w:p>
    <w:p>
      <w:r/>
      <w:r>
        <w:t>1. Chefe de um clã em Edom e primogênito de Reuel (</w:t>
      </w:r>
      <w:hyperlink r:id="rId14669">
        <w:r>
          <w:rPr>
            <w:color w:val="0000EE"/>
            <w:u w:val="single"/>
          </w:rPr>
          <w:t>Gn 36.13,17</w:t>
        </w:r>
      </w:hyperlink>
      <w:r>
        <w:t xml:space="preserve">; </w:t>
      </w:r>
      <w:hyperlink r:id="rId14670">
        <w:r>
          <w:rPr>
            <w:color w:val="0000EE"/>
            <w:u w:val="single"/>
          </w:rPr>
          <w:t>1Cr 1.37</w:t>
        </w:r>
      </w:hyperlink>
      <w:r>
        <w:t>).</w:t>
      </w:r>
    </w:p>
    <w:p>
      <w:r/>
      <w:r>
        <w:t>2. Levita da família de Coate e neto de Elcana (</w:t>
      </w:r>
      <w:hyperlink r:id="rId14986">
        <w:r>
          <w:rPr>
            <w:color w:val="0000EE"/>
            <w:u w:val="single"/>
          </w:rPr>
          <w:t>1Cr 6.26</w:t>
        </w:r>
      </w:hyperlink>
      <w:r>
        <w:t>).</w:t>
      </w:r>
    </w:p>
    <w:p>
      <w:r/>
      <w:r>
        <w:t>3. Levita que supervisionou o templo durante o reinado do rei Ezequias (</w:t>
      </w:r>
      <w:hyperlink r:id="rId14987">
        <w:r>
          <w:rPr>
            <w:color w:val="0000EE"/>
            <w:u w:val="single"/>
          </w:rPr>
          <w:t>2Cr 31.13</w:t>
        </w:r>
      </w:hyperlink>
      <w:r>
        <w:t>).</w:t>
      </w:r>
      <w:r/>
      <w:r/>
    </w:p>
    <w:p>
      <w:r/>
    </w:p>
    <w:p>
      <w:pPr>
        <w:pStyle w:val="Heading2"/>
      </w:pPr>
      <w:r>
        <w:t>Nabi</w:t>
      </w:r>
      <w:r/>
    </w:p>
    <w:p>
      <w:r/>
      <w:r>
        <w:t>Filho de Vofsi. Nabi era o líder da tribo de Naftali. Ele também foi um dos 12 espiões que Moisés enviou para explorar a terra de Canaã (</w:t>
      </w:r>
      <w:hyperlink r:id="rId14988">
        <w:r>
          <w:rPr>
            <w:color w:val="0000EE"/>
            <w:u w:val="single"/>
          </w:rPr>
          <w:t>Nm 13.14</w:t>
        </w:r>
      </w:hyperlink>
      <w:r>
        <w:t>).</w:t>
      </w:r>
      <w:r/>
      <w:r/>
    </w:p>
    <w:p>
      <w:r/>
    </w:p>
    <w:p>
      <w:pPr>
        <w:pStyle w:val="Heading2"/>
      </w:pPr>
      <w:r>
        <w:t>Nabote</w:t>
      </w:r>
      <w:r/>
    </w:p>
    <w:p>
      <w:r/>
      <w:r>
        <w:t xml:space="preserve">Proprietário de uma vinha que Acabe, rei de Israel, cobiçou (veja a história em </w:t>
      </w:r>
      <w:hyperlink r:id="rId2577">
        <w:r>
          <w:rPr>
            <w:color w:val="0000EE"/>
            <w:u w:val="single"/>
          </w:rPr>
          <w:t>1Rs 21</w:t>
        </w:r>
      </w:hyperlink>
      <w:r>
        <w:t>). O pedido de Acabe talvez não fosse irracional, e a recusa de Nabote pode ter sido um pouco brusca. Enquanto Acabe amuava, no entanto, Jezabel fez com que dois patifes acusassem Nabote de blasfêmia, o maior crime que um israelita poderia cometer, punível com a morte (</w:t>
      </w:r>
      <w:hyperlink r:id="rId12813">
        <w:r>
          <w:rPr>
            <w:color w:val="0000EE"/>
            <w:u w:val="single"/>
          </w:rPr>
          <w:t>Lv 24.10–23</w:t>
        </w:r>
      </w:hyperlink>
      <w:r>
        <w:t>). Duas testemunhas garantiram uma condenação, de acordo com a lei de Moisés (</w:t>
      </w:r>
      <w:hyperlink r:id="rId14989">
        <w:r>
          <w:rPr>
            <w:color w:val="0000EE"/>
            <w:u w:val="single"/>
          </w:rPr>
          <w:t>Dt 17.6–7</w:t>
        </w:r>
      </w:hyperlink>
      <w:r>
        <w:t>). O assassinato que foi realizado teve a aparência de ser uma execução legal e justa. Um jejum foi proclamado e realizado de acordo com as instruções reais. A acusação e julgamento de Nabote foram supervisionados pelos anciãos da cidade, e ele foi apedrejado até a morte de acordo com a lei.</w:t>
      </w:r>
    </w:p>
    <w:p>
      <w:r/>
      <w:r>
        <w:t>No entanto, o profeta Elias conhecia a verdadeira maldade por trás do ato. Ele confrontou Acabe e profetizou que ele, Jezabel e toda a sua família seriam exterminados por causa disso.</w:t>
      </w:r>
    </w:p>
    <w:p>
      <w:r/>
      <w:r>
        <w:t>As palavras se tornaram realidade. Acabe obteve um alívio temporário quando se arrependeu, mas foi posteriormente morto em batalha (</w:t>
      </w:r>
      <w:hyperlink r:id="rId14990">
        <w:r>
          <w:rPr>
            <w:color w:val="0000EE"/>
            <w:u w:val="single"/>
          </w:rPr>
          <w:t>1Rs 22.34–40</w:t>
        </w:r>
      </w:hyperlink>
      <w:r>
        <w:t>). O sangue de Jezabel foi realmente lambido por cães (</w:t>
      </w:r>
      <w:hyperlink r:id="rId14991">
        <w:r>
          <w:rPr>
            <w:color w:val="0000EE"/>
            <w:u w:val="single"/>
          </w:rPr>
          <w:t>2Rs 9.36</w:t>
        </w:r>
      </w:hyperlink>
      <w:r>
        <w:t xml:space="preserve">), e o corpo de Jorão, filho deles, foi lançado na vinha de Nabote (v. </w:t>
      </w:r>
      <w:hyperlink r:id="rId14992">
        <w:r>
          <w:rPr>
            <w:color w:val="0000EE"/>
            <w:u w:val="single"/>
          </w:rPr>
          <w:t>25</w:t>
        </w:r>
      </w:hyperlink>
      <w:r>
        <w:t>).</w:t>
      </w:r>
      <w:r/>
      <w:r/>
    </w:p>
    <w:p>
      <w:r/>
    </w:p>
    <w:p>
      <w:pPr>
        <w:pStyle w:val="Heading2"/>
      </w:pPr>
      <w:r>
        <w:t>Nações</w:t>
      </w:r>
      <w:r/>
    </w:p>
    <w:p>
      <w:r/>
      <w:r>
        <w:t>Grupos formados com base em interesses políticos, sociais ou em parentesco. Geralmente, a palavra “nações” implica povos do mundo além dos hebreus, embora também possa incluir os judeus.</w:t>
      </w:r>
    </w:p>
    <w:p>
      <w:pPr>
        <w:pStyle w:val="Heading3"/>
      </w:pPr>
      <w:r>
        <w:t>Origens</w:t>
      </w:r>
    </w:p>
    <w:p>
      <w:r/>
      <w:r>
        <w:t>O livro de Gênesis atribui aos três filhos de Noé a origem das várias “famílias” ou grupos étnicos (cerca de 70 ao todo) que habitavam as regiões do Mediterrâneo oriental (</w:t>
      </w:r>
      <w:hyperlink r:id="rId7547">
        <w:r>
          <w:rPr>
            <w:color w:val="0000EE"/>
            <w:u w:val="single"/>
          </w:rPr>
          <w:t>Gn 10</w:t>
        </w:r>
      </w:hyperlink>
      <w:r>
        <w:t xml:space="preserve">). A narrativa pressupõe que cada grupo tem sua própria localização geográfica e linguagem individuais (vv. </w:t>
      </w:r>
      <w:hyperlink r:id="rId7936">
        <w:r>
          <w:rPr>
            <w:color w:val="0000EE"/>
            <w:u w:val="single"/>
          </w:rPr>
          <w:t>5,20,31</w:t>
        </w:r>
      </w:hyperlink>
      <w:r>
        <w:t xml:space="preserve">). A história da torre (zigurate) de Babel, cujo pico deveria alcançar o céu (cap. </w:t>
      </w:r>
      <w:hyperlink r:id="rId158">
        <w:r>
          <w:rPr>
            <w:color w:val="0000EE"/>
            <w:u w:val="single"/>
          </w:rPr>
          <w:t>11</w:t>
        </w:r>
      </w:hyperlink>
      <w:r>
        <w:t>), explica que grupos étnicos foram separados por barreiras linguísticas e espalhados geograficamente para que eles não pudessem colaborar em empreendimentos presunçosos.</w:t>
      </w:r>
    </w:p>
    <w:p>
      <w:r/>
      <w:r>
        <w:t>Paulo, em seu sermão em Atenas, assume que as várias nações tinham uma origem comum, assim como o escritor de Gênesis fez, e aceita como parte do projeto de Deus o fato de que as nações deveriam ser separadas por fronteiras geográficas (</w:t>
      </w:r>
      <w:hyperlink r:id="rId14993">
        <w:r>
          <w:rPr>
            <w:color w:val="0000EE"/>
            <w:u w:val="single"/>
          </w:rPr>
          <w:t>At 17.26</w:t>
        </w:r>
      </w:hyperlink>
      <w:r>
        <w:t>). O profeta Sofonias aguardava o dia em que Deus reverteria este estado de coisas e faria com que todas as nações falassem um idioma (</w:t>
      </w:r>
      <w:hyperlink r:id="rId14994">
        <w:r>
          <w:rPr>
            <w:color w:val="0000EE"/>
            <w:u w:val="single"/>
          </w:rPr>
          <w:t>Sf 3.9</w:t>
        </w:r>
      </w:hyperlink>
      <w:r>
        <w:t>). O escritor de Apocalipse, em sua visão do novo céu e da nova terra, viu essas fronteiras naturais abolidas. As nações se misturam livremente na nova Jerusalém (</w:t>
      </w:r>
      <w:hyperlink r:id="rId14995">
        <w:r>
          <w:rPr>
            <w:color w:val="0000EE"/>
            <w:u w:val="single"/>
          </w:rPr>
          <w:t>Ap 21.22–26</w:t>
        </w:r>
      </w:hyperlink>
      <w:r>
        <w:t>).</w:t>
      </w:r>
    </w:p>
    <w:p>
      <w:r/>
      <w:r>
        <w:t>A distinção entre “Israel” e “as nações” não é clara. “Israel” evoluiu de vários grupos étnicos, e várias das “nações” traçaram suas origens até figuras proeminentes na comunidade israelita. Abraão, o pai da nação judaica, viveu em Ur dos caldeus na região do delta do vale do Tigre-Eufrates. Com seu pai, ele migrou para o norte para Harã, e finalmente para o sudoeste, para a terra de Canaã (</w:t>
      </w:r>
      <w:hyperlink r:id="rId14786">
        <w:r>
          <w:rPr>
            <w:color w:val="0000EE"/>
            <w:u w:val="single"/>
          </w:rPr>
          <w:t>Gn 11.31–12.9</w:t>
        </w:r>
      </w:hyperlink>
      <w:r>
        <w:t xml:space="preserve">). </w:t>
      </w:r>
      <w:hyperlink r:id="rId14996">
        <w:r>
          <w:rPr>
            <w:color w:val="0000EE"/>
            <w:u w:val="single"/>
          </w:rPr>
          <w:t>Deuteronômio 26.5</w:t>
        </w:r>
      </w:hyperlink>
      <w:r>
        <w:t xml:space="preserve"> (“um arameu errante era meu pai”) sugere que a residência de Abraão ficava no distrito da Mesopotâmia conhecido como Aram-naharaim. Quando Abraão entrou em aliança com Deus, Deus lhe deu o símbolo do relacionamento da aliança: a circuncisão. Os estrangeiros comprados como escravos eram circuncidados, incluindo-os assim na comunidade da aliança. Quando Moisés levou os israelitas para fora do Egito para o deserto, uma multidão mista também subiu com eles (</w:t>
      </w:r>
      <w:hyperlink r:id="rId14997">
        <w:r>
          <w:rPr>
            <w:color w:val="0000EE"/>
            <w:u w:val="single"/>
          </w:rPr>
          <w:t>Êx 12.38</w:t>
        </w:r>
      </w:hyperlink>
      <w:r>
        <w:t>), o que sugere novamente que as pessoas não relacionadas biologicamente, no entanto, se identificaram com o povo de Israel.</w:t>
      </w:r>
    </w:p>
    <w:p>
      <w:r/>
      <w:r>
        <w:t>A nação de Israel não incluía todos os que descendiam fisicamente de Abraão. O primeiro filho de Abraão, Ismael, tinha uma mãe egípcia e é o ancestral dos ismaelitas, beduínos que vagavam pela região selvagem do sul (</w:t>
      </w:r>
      <w:hyperlink r:id="rId485">
        <w:r>
          <w:rPr>
            <w:color w:val="0000EE"/>
            <w:u w:val="single"/>
          </w:rPr>
          <w:t>Gn 16</w:t>
        </w:r>
      </w:hyperlink>
      <w:r>
        <w:t>). Dos filhos gêmeos nascidos de Isaque e Rebeca, Esaú, o primogênito, é o pai dos edomitas que vivem no sudeste, inimigos tradicionais de Israel (</w:t>
      </w:r>
      <w:hyperlink r:id="rId10510">
        <w:r>
          <w:rPr>
            <w:color w:val="0000EE"/>
            <w:u w:val="single"/>
          </w:rPr>
          <w:t>Gn 25.23</w:t>
        </w:r>
      </w:hyperlink>
      <w:r>
        <w:t xml:space="preserve">; </w:t>
      </w:r>
      <w:hyperlink r:id="rId14998">
        <w:r>
          <w:rPr>
            <w:color w:val="0000EE"/>
            <w:u w:val="single"/>
          </w:rPr>
          <w:t>Nm 20.21</w:t>
        </w:r>
      </w:hyperlink>
      <w:r>
        <w:t>).</w:t>
      </w:r>
    </w:p>
    <w:p>
      <w:pPr>
        <w:pStyle w:val="Heading3"/>
      </w:pPr>
      <w:r>
        <w:t>Deus e as Nações</w:t>
      </w:r>
    </w:p>
    <w:p>
      <w:r/>
      <w:r>
        <w:t>As Escrituras apresentam atitudes negativas e positivas em relação às nações. As nações que habitavam o território entre o vale do Tigre-Eufrates e o rio Nilo eram nações ímpias. Portanto, Deus tomou sua terra e a deu aos descendentes de Abraão (</w:t>
      </w:r>
      <w:hyperlink r:id="rId14999">
        <w:r>
          <w:rPr>
            <w:color w:val="0000EE"/>
            <w:u w:val="single"/>
          </w:rPr>
          <w:t>Gn 15.16–20</w:t>
        </w:r>
      </w:hyperlink>
      <w:r>
        <w:t>). Relacionamentos incestuosos, adultério, homossexualidade e relacionamentos sexuais entre homens e animais caracterizavam as nações e incorreram na desaprovação de Deus (</w:t>
      </w:r>
      <w:hyperlink r:id="rId2572">
        <w:r>
          <w:rPr>
            <w:color w:val="0000EE"/>
            <w:u w:val="single"/>
          </w:rPr>
          <w:t>Lv 18</w:t>
        </w:r>
      </w:hyperlink>
      <w:r>
        <w:t>). As nações se entregaram à prática do espiritismo, augúrio, feitiçaria e necromancia, então os hebreus foram instruídos a evitar tais atividades (</w:t>
      </w:r>
      <w:hyperlink r:id="rId12878">
        <w:r>
          <w:rPr>
            <w:color w:val="0000EE"/>
            <w:u w:val="single"/>
          </w:rPr>
          <w:t>19.26</w:t>
        </w:r>
      </w:hyperlink>
      <w:r>
        <w:t xml:space="preserve">; </w:t>
      </w:r>
      <w:hyperlink r:id="rId15000">
        <w:r>
          <w:rPr>
            <w:color w:val="0000EE"/>
            <w:u w:val="single"/>
          </w:rPr>
          <w:t>20.6</w:t>
        </w:r>
      </w:hyperlink>
      <w:r>
        <w:t>). As nações adoravam muitos deuses e incluíam em sua adoração a prática do sacrifício humano, muitas vezes o sacrifício de crianças — um ritual que Deus abomina (</w:t>
      </w:r>
      <w:hyperlink r:id="rId15001">
        <w:r>
          <w:rPr>
            <w:color w:val="0000EE"/>
            <w:u w:val="single"/>
          </w:rPr>
          <w:t>Lv 20.1–5</w:t>
        </w:r>
      </w:hyperlink>
      <w:r>
        <w:t xml:space="preserve">; </w:t>
      </w:r>
      <w:hyperlink r:id="rId15002">
        <w:r>
          <w:rPr>
            <w:color w:val="0000EE"/>
            <w:u w:val="single"/>
          </w:rPr>
          <w:t>2Rs 17.29–34</w:t>
        </w:r>
      </w:hyperlink>
      <w:r>
        <w:t>). O profeta Isaías falou ironicamente do artesão que, tomando um galho de uma árvore, usou parte dele para acender um fogo e formou do restante uma imagem gravada que ele então adorava (</w:t>
      </w:r>
      <w:hyperlink r:id="rId15003">
        <w:r>
          <w:rPr>
            <w:color w:val="0000EE"/>
            <w:u w:val="single"/>
          </w:rPr>
          <w:t>Is 44.12–20</w:t>
        </w:r>
      </w:hyperlink>
      <w:r>
        <w:t>). Os baalins e Asterote, deuses da fertilidade dos cananeus, eram uma fonte constante de tentação para o povo de Israel. A mensagem repetida nas Escrituras é que, por essas razões, Deus expulsaria as nações e daria seu território a Israel (</w:t>
      </w:r>
      <w:hyperlink r:id="rId15004">
        <w:r>
          <w:rPr>
            <w:color w:val="0000EE"/>
            <w:u w:val="single"/>
          </w:rPr>
          <w:t>Êx 34.24</w:t>
        </w:r>
      </w:hyperlink>
      <w:r>
        <w:t xml:space="preserve">; </w:t>
      </w:r>
      <w:hyperlink r:id="rId15005">
        <w:r>
          <w:rPr>
            <w:color w:val="0000EE"/>
            <w:u w:val="single"/>
          </w:rPr>
          <w:t>Dt 12.29–31</w:t>
        </w:r>
      </w:hyperlink>
      <w:r>
        <w:t>). Os oráculos proféticos contra as nações reforçaram esta atitude negativa (</w:t>
      </w:r>
      <w:hyperlink r:id="rId15006">
        <w:r>
          <w:rPr>
            <w:color w:val="0000EE"/>
            <w:u w:val="single"/>
          </w:rPr>
          <w:t>Jr 46–51</w:t>
        </w:r>
      </w:hyperlink>
      <w:r>
        <w:t xml:space="preserve">; </w:t>
      </w:r>
      <w:hyperlink r:id="rId1273">
        <w:r>
          <w:rPr>
            <w:color w:val="0000EE"/>
            <w:u w:val="single"/>
          </w:rPr>
          <w:t>Am 1.3–2.3</w:t>
        </w:r>
      </w:hyperlink>
      <w:r>
        <w:t>).</w:t>
      </w:r>
    </w:p>
    <w:p>
      <w:r/>
      <w:r>
        <w:t>No entanto, as Escrituras também refletem uma atitude mais positiva em relação às nações. Como revelado no livro de Salmos, Deus não está apenas interessado em Israel; seus olhos vigiam as nações, e toda a terra o louva e o adora (</w:t>
      </w:r>
      <w:hyperlink r:id="rId15007">
        <w:r>
          <w:rPr>
            <w:color w:val="0000EE"/>
            <w:u w:val="single"/>
          </w:rPr>
          <w:t>Sl 66.1–8</w:t>
        </w:r>
      </w:hyperlink>
      <w:r>
        <w:t>). O salmista ora para que o poder salvador de Deus possa ser conhecido entre todas as nações. Ele afirma que Deus julga os povos com justiça e guia as nações. Todos os confins da terra deveriam temê-lo (</w:t>
      </w:r>
      <w:hyperlink r:id="rId15008">
        <w:r>
          <w:rPr>
            <w:color w:val="0000EE"/>
            <w:u w:val="single"/>
          </w:rPr>
          <w:t>67.7</w:t>
        </w:r>
      </w:hyperlink>
      <w:r>
        <w:t>). O profeta Isaías declara que o templo de Jerusalém deve ser uma casa de oração para todos os povos e que Deus acolhe o estrangeiro que vem com sacrifícios e oferecendo adoração (</w:t>
      </w:r>
      <w:hyperlink r:id="rId15009">
        <w:r>
          <w:rPr>
            <w:color w:val="0000EE"/>
            <w:u w:val="single"/>
          </w:rPr>
          <w:t>Is 56.6–8</w:t>
        </w:r>
      </w:hyperlink>
      <w:r>
        <w:t>). A visão de esperança de Isaías para os últimos dias retrata pessoas de todas as nações entrando em Jerusalém para adorar o Senhor e aprender seus caminhos. Em vez de uma nação guerrear contra outra nação, todos viverão em paz, governados por Deus (</w:t>
      </w:r>
      <w:hyperlink r:id="rId11261">
        <w:r>
          <w:rPr>
            <w:color w:val="0000EE"/>
            <w:u w:val="single"/>
          </w:rPr>
          <w:t>2.2–4</w:t>
        </w:r>
      </w:hyperlink>
      <w:r>
        <w:t>).</w:t>
      </w:r>
    </w:p>
    <w:p>
      <w:pPr>
        <w:pStyle w:val="Heading3"/>
      </w:pPr>
      <w:r>
        <w:t>As Nações no Novo Testamento</w:t>
      </w:r>
    </w:p>
    <w:p>
      <w:r/>
      <w:r>
        <w:t>De acordo com os Evangelhos, Jesus ministrou não apenas aos judeus, mas também às nações gentias de acordo com a antiga profecia (</w:t>
      </w:r>
      <w:hyperlink r:id="rId15010">
        <w:r>
          <w:rPr>
            <w:color w:val="0000EE"/>
            <w:u w:val="single"/>
          </w:rPr>
          <w:t>Mt 4.15–16</w:t>
        </w:r>
      </w:hyperlink>
      <w:r>
        <w:t>). Jesus ensinava na Galileia, uma área predominantemente não-judaica, viajou para Tiro e Sidom (</w:t>
      </w:r>
      <w:hyperlink r:id="rId12968">
        <w:r>
          <w:rPr>
            <w:color w:val="0000EE"/>
            <w:u w:val="single"/>
          </w:rPr>
          <w:t>Mc 7.24</w:t>
        </w:r>
      </w:hyperlink>
      <w:r>
        <w:t xml:space="preserve">) e através de Decápolis (v. </w:t>
      </w:r>
      <w:hyperlink r:id="rId3505">
        <w:r>
          <w:rPr>
            <w:color w:val="0000EE"/>
            <w:u w:val="single"/>
          </w:rPr>
          <w:t>31</w:t>
        </w:r>
      </w:hyperlink>
      <w:r>
        <w:t>). Ele ministrou a um centurião romano (</w:t>
      </w:r>
      <w:hyperlink r:id="rId11738">
        <w:r>
          <w:rPr>
            <w:color w:val="0000EE"/>
            <w:u w:val="single"/>
          </w:rPr>
          <w:t>Lc 7.1–10</w:t>
        </w:r>
      </w:hyperlink>
      <w:r>
        <w:t xml:space="preserve">), a viúva de Naim (vv. </w:t>
      </w:r>
      <w:hyperlink r:id="rId9742">
        <w:r>
          <w:rPr>
            <w:color w:val="0000EE"/>
            <w:u w:val="single"/>
          </w:rPr>
          <w:t>11–17</w:t>
        </w:r>
      </w:hyperlink>
      <w:r>
        <w:t>) e uma mulher siro-fenícia (</w:t>
      </w:r>
      <w:hyperlink r:id="rId10206">
        <w:r>
          <w:rPr>
            <w:color w:val="0000EE"/>
            <w:u w:val="single"/>
          </w:rPr>
          <w:t>Mc 7.26</w:t>
        </w:r>
      </w:hyperlink>
      <w:r>
        <w:t>). As pessoas da Idumeia vieram para observar seus milagres (</w:t>
      </w:r>
      <w:hyperlink r:id="rId12967">
        <w:r>
          <w:rPr>
            <w:color w:val="0000EE"/>
            <w:u w:val="single"/>
          </w:rPr>
          <w:t>3.8</w:t>
        </w:r>
      </w:hyperlink>
      <w:r>
        <w:t>).</w:t>
      </w:r>
    </w:p>
    <w:p>
      <w:r/>
      <w:r>
        <w:t>O ensino de Jesus também era amplo em escopo. A narrativa do grande julgamento (</w:t>
      </w:r>
      <w:hyperlink r:id="rId1172">
        <w:r>
          <w:rPr>
            <w:color w:val="0000EE"/>
            <w:u w:val="single"/>
          </w:rPr>
          <w:t>Mt 25.31–46</w:t>
        </w:r>
      </w:hyperlink>
      <w:r>
        <w:t>) descreve todas as nações reunidas diante do Filho do Homem, e Jesus comissiona os apóstolos a “fazerem discípulos de todas as nações” (</w:t>
      </w:r>
      <w:hyperlink r:id="rId3199">
        <w:r>
          <w:rPr>
            <w:color w:val="0000EE"/>
            <w:u w:val="single"/>
          </w:rPr>
          <w:t>Mt 28.19</w:t>
        </w:r>
      </w:hyperlink>
      <w:r>
        <w:t>).</w:t>
      </w:r>
    </w:p>
    <w:p>
      <w:r/>
      <w:r>
        <w:t>Embora o livro de Atos não negligencie o papel das nações na morte de Jesus (</w:t>
      </w:r>
      <w:hyperlink r:id="rId15011">
        <w:r>
          <w:rPr>
            <w:color w:val="0000EE"/>
            <w:u w:val="single"/>
          </w:rPr>
          <w:t>At 4.27</w:t>
        </w:r>
      </w:hyperlink>
      <w:r>
        <w:t>) e seu papel em se opor ao ministério de Paulo (</w:t>
      </w:r>
      <w:hyperlink r:id="rId2291">
        <w:r>
          <w:rPr>
            <w:color w:val="0000EE"/>
            <w:u w:val="single"/>
          </w:rPr>
          <w:t>26.17</w:t>
        </w:r>
      </w:hyperlink>
      <w:r>
        <w:t xml:space="preserve">), no entanto, indica claramente que a igreja realizou sua comissão de apresentar o evangelho aos povos não-judeus. Pedro proclama a mensagem sobre Jesus para a casa de Cornélio, um soldado romano da coorte italiana (cap. </w:t>
      </w:r>
      <w:hyperlink r:id="rId2882">
        <w:r>
          <w:rPr>
            <w:color w:val="0000EE"/>
            <w:u w:val="single"/>
          </w:rPr>
          <w:t>10</w:t>
        </w:r>
      </w:hyperlink>
      <w:r>
        <w:t>). Embora a igreja primitiva tenha resistido ao fato de que os povos não-judeus poderiam receber livremente o dom do Espírito, eles eventualmente deram boas-vindas a esta conclusão (</w:t>
      </w:r>
      <w:hyperlink r:id="rId15012">
        <w:r>
          <w:rPr>
            <w:color w:val="0000EE"/>
            <w:u w:val="single"/>
          </w:rPr>
          <w:t>11.1–8</w:t>
        </w:r>
      </w:hyperlink>
      <w:r>
        <w:t xml:space="preserve">; </w:t>
      </w:r>
      <w:hyperlink r:id="rId15013">
        <w:r>
          <w:rPr>
            <w:color w:val="0000EE"/>
            <w:u w:val="single"/>
          </w:rPr>
          <w:t>15.1–29</w:t>
        </w:r>
      </w:hyperlink>
      <w:r>
        <w:t>). Paulo viajou por Chipre, Ásia Menor, Grécia e Itália, fundando ou visitando igrejas que eram predominantemente gentias. O livro de Atos termina dramaticamente com Paulo pregando o evangelho na cidade de Roma, o coração do Império Romano.</w:t>
      </w:r>
      <w:r/>
      <w:r/>
    </w:p>
    <w:p>
      <w:r/>
    </w:p>
    <w:p>
      <w:pPr>
        <w:pStyle w:val="Heading2"/>
      </w:pPr>
      <w:r>
        <w:t>Nadabe</w:t>
      </w:r>
      <w:r/>
    </w:p>
    <w:p>
      <w:pPr>
        <w:pStyle w:val="ListNumber"/>
        <w:spacing w:line="240" w:lineRule="auto"/>
        <w:ind w:left="720"/>
      </w:pPr>
      <w:r/>
      <w:r>
        <w:t>O filho mais velho de Arão e Eliseba, a filha de Aminadabe (</w:t>
      </w:r>
      <w:hyperlink r:id="rId124">
        <w:r>
          <w:rPr>
            <w:color w:val="0000EE"/>
            <w:u w:val="single"/>
          </w:rPr>
          <w:t>Êx 6.23</w:t>
        </w:r>
      </w:hyperlink>
      <w:r>
        <w:t xml:space="preserve">; </w:t>
      </w:r>
      <w:hyperlink r:id="rId15014">
        <w:r>
          <w:rPr>
            <w:color w:val="0000EE"/>
            <w:u w:val="single"/>
          </w:rPr>
          <w:t>Nm 3.2</w:t>
        </w:r>
      </w:hyperlink>
      <w:r>
        <w:t xml:space="preserve">; </w:t>
      </w:r>
      <w:hyperlink r:id="rId15015">
        <w:r>
          <w:rPr>
            <w:color w:val="0000EE"/>
            <w:u w:val="single"/>
          </w:rPr>
          <w:t>1Cr 24.1</w:t>
        </w:r>
      </w:hyperlink>
      <w:r>
        <w:t>). Nadabe tornou-se um dos primeiros sacerdotes de Israel junto com seus irmãos e pai. Ele participou da confirmação da aliança com Deus no Monte Sinai (</w:t>
      </w:r>
      <w:hyperlink r:id="rId15016">
        <w:r>
          <w:rPr>
            <w:color w:val="0000EE"/>
            <w:u w:val="single"/>
          </w:rPr>
          <w:t>Êx 24.1,9</w:t>
        </w:r>
      </w:hyperlink>
      <w:r>
        <w:t>). Deus o escolheu para servir como sacerdote (</w:t>
      </w:r>
      <w:hyperlink r:id="rId128">
        <w:r>
          <w:rPr>
            <w:color w:val="0000EE"/>
            <w:u w:val="single"/>
          </w:rPr>
          <w:t>28.1</w:t>
        </w:r>
      </w:hyperlink>
      <w:r>
        <w:t>).</w:t>
      </w:r>
    </w:p>
    <w:p>
      <w:r/>
      <w:r>
        <w:t>Nadabe e seu irmão Abiú, o segundo filho de Arão, morreram porque ofereceram “fogo estranho” ao Senhor (</w:t>
      </w:r>
      <w:hyperlink r:id="rId10979">
        <w:r>
          <w:rPr>
            <w:color w:val="0000EE"/>
            <w:u w:val="single"/>
          </w:rPr>
          <w:t>Lv 10.1–2</w:t>
        </w:r>
      </w:hyperlink>
      <w:r>
        <w:t xml:space="preserve">; </w:t>
      </w:r>
      <w:hyperlink r:id="rId15017">
        <w:r>
          <w:rPr>
            <w:color w:val="0000EE"/>
            <w:u w:val="single"/>
          </w:rPr>
          <w:t>Nm 3.4</w:t>
        </w:r>
      </w:hyperlink>
      <w:r>
        <w:t xml:space="preserve">; </w:t>
      </w:r>
      <w:hyperlink r:id="rId11460">
        <w:r>
          <w:rPr>
            <w:color w:val="0000EE"/>
            <w:u w:val="single"/>
          </w:rPr>
          <w:t>1Cr 24.2</w:t>
        </w:r>
      </w:hyperlink>
      <w:r>
        <w:t>). O incenso oferecido pela manhã geralmente precedia o corte do sacrifício. Neste caso, “o fogo saiu da presença do Senhor e os consumiu.” A oferta de “fogo estranho” não é mencionada em nenhum outro lugar na Bíblia.</w:t>
      </w:r>
    </w:p>
    <w:p>
      <w:r/>
      <w:r>
        <w:t>Meestres judeus sugeriram diferentes explicações para o erro de Nadabe e Abiú. Um aviso contra beber vinho na tenda da congregação segue este evento (</w:t>
      </w:r>
      <w:hyperlink r:id="rId3288">
        <w:r>
          <w:rPr>
            <w:color w:val="0000EE"/>
            <w:u w:val="single"/>
          </w:rPr>
          <w:t>Lv 10.9</w:t>
        </w:r>
      </w:hyperlink>
      <w:r>
        <w:t>). Assim, uma antiga tradição sustentava que os irmãos estavam bêbados. Qualquer sacerdote que bebesse álcool nesta tenda sagrada seria punido com a morte.</w:t>
      </w:r>
    </w:p>
    <w:p>
      <w:r/>
      <w:r>
        <w:t>Um detalhe importante aparece nas instruções que Moisés deu a Arão, o pai enlutado de Nadabe e Abiú. Moisés disse a Arão para não lamentar ou interromper suas funções como sacerdote. Como Arão havia sido separado pelo óleo da santa unção, ele tinha que continuar servindo a Deus. Ele não tinha permissão para deixar a tenda "para que não morresse." Em vez disso, o restante de Israel lamentou por Nadabe e Abiú (</w:t>
      </w:r>
      <w:hyperlink r:id="rId15018">
        <w:r>
          <w:rPr>
            <w:color w:val="0000EE"/>
            <w:u w:val="single"/>
          </w:rPr>
          <w:t>Lv 10.3–7</w:t>
        </w:r>
      </w:hyperlink>
      <w:r>
        <w:t>).</w:t>
      </w:r>
    </w:p>
    <w:p>
      <w:pPr>
        <w:pStyle w:val="ListNumber"/>
        <w:spacing w:line="240" w:lineRule="auto"/>
        <w:ind w:left="720"/>
      </w:pPr>
      <w:r/>
      <w:r>
        <w:t>O filho de Jeroboão, que se tornou rei de Israel após seu pai. Nadabe governou por dois anos, de 909 a 908 a.C. (</w:t>
      </w:r>
      <w:hyperlink r:id="rId11624">
        <w:r>
          <w:rPr>
            <w:color w:val="0000EE"/>
            <w:u w:val="single"/>
          </w:rPr>
          <w:t>1Rs 14.20</w:t>
        </w:r>
      </w:hyperlink>
      <w:r>
        <w:t xml:space="preserve">; </w:t>
      </w:r>
      <w:hyperlink r:id="rId15019">
        <w:r>
          <w:rPr>
            <w:color w:val="0000EE"/>
            <w:u w:val="single"/>
          </w:rPr>
          <w:t>15.25</w:t>
        </w:r>
      </w:hyperlink>
      <w:r>
        <w:t>). Ele se tornou rei durante o segundo ano do reinado do Rei Asa em Judá e foi substituído no terceiro ano do reinado de Asa (</w:t>
      </w:r>
      <w:hyperlink r:id="rId15020">
        <w:r>
          <w:rPr>
            <w:color w:val="0000EE"/>
            <w:u w:val="single"/>
          </w:rPr>
          <w:t>1Rs 15.28</w:t>
        </w:r>
      </w:hyperlink>
      <w:r>
        <w:t>). Jeroboão pode ter providenciado para que Nadabe assumisse o poder antes de sua morte, já que Nadabe provavelmente entendia os perigos que persistiam entre as tribos do norte. No entanto, Nadabe falhou em estabilizar o reino.</w:t>
      </w:r>
    </w:p>
    <w:p>
      <w:r/>
      <w:r>
        <w:t>Para ganhar o apoio do exército, ele foi à batalha contra os filisteus em Gibetom, cerca de 4 quilômetros a sudoeste de Gezer. Baasa, da tribo de Issacar, provavelmente um oficial militar, matou Nadabe e todos os seus filhos e tomou o trono. Isso cumpriu a profecia que o silonita havia falado contra a família de Jeroboão (</w:t>
      </w:r>
      <w:hyperlink r:id="rId15021">
        <w:r>
          <w:rPr>
            <w:color w:val="0000EE"/>
            <w:u w:val="single"/>
          </w:rPr>
          <w:t>1Rs 15.29</w:t>
        </w:r>
      </w:hyperlink>
      <w:r>
        <w:t>).</w:t>
      </w:r>
    </w:p>
    <w:p>
      <w:pPr>
        <w:pStyle w:val="ListNumber"/>
        <w:spacing w:line="240" w:lineRule="auto"/>
        <w:ind w:left="720"/>
      </w:pPr>
      <w:r/>
      <w:r>
        <w:t>Um jerameelita, filho de Samai, neto de Onã e bisneto de Jerameel. Nadabe teve dois filhos, Selede e Apaim (</w:t>
      </w:r>
      <w:hyperlink r:id="rId15022">
        <w:r>
          <w:rPr>
            <w:color w:val="0000EE"/>
            <w:u w:val="single"/>
          </w:rPr>
          <w:t>1Cr 2.26–30</w:t>
        </w:r>
      </w:hyperlink>
      <w:r>
        <w:t>).</w:t>
      </w:r>
    </w:p>
    <w:p>
      <w:pPr>
        <w:pStyle w:val="ListNumber"/>
        <w:spacing w:line="240" w:lineRule="auto"/>
        <w:ind w:left="720"/>
      </w:pPr>
      <w:r/>
      <w:r>
        <w:t>O filho de Jeiel e Maaca, um gibeonita (</w:t>
      </w:r>
      <w:hyperlink r:id="rId15023">
        <w:r>
          <w:rPr>
            <w:color w:val="0000EE"/>
            <w:u w:val="single"/>
          </w:rPr>
          <w:t>1Cr 8.30</w:t>
        </w:r>
      </w:hyperlink>
      <w:r>
        <w:t xml:space="preserve">; </w:t>
      </w:r>
      <w:hyperlink r:id="rId15024">
        <w:r>
          <w:rPr>
            <w:color w:val="0000EE"/>
            <w:u w:val="single"/>
          </w:rPr>
          <w:t>9.36</w:t>
        </w:r>
      </w:hyperlink>
      <w:r>
        <w:t>).</w:t>
      </w:r>
      <w:r/>
      <w:r/>
    </w:p>
    <w:p>
      <w:r/>
    </w:p>
    <w:p>
      <w:pPr>
        <w:pStyle w:val="Heading2"/>
      </w:pPr>
      <w:r>
        <w:t>Nafis</w:t>
      </w:r>
      <w:r/>
    </w:p>
    <w:p>
      <w:r/>
      <w:r>
        <w:t>Décimo primeiro dos 12 filhos de Ismael (</w:t>
      </w:r>
      <w:hyperlink r:id="rId10279">
        <w:r>
          <w:rPr>
            <w:color w:val="0000EE"/>
            <w:u w:val="single"/>
          </w:rPr>
          <w:t>Gn 25.15</w:t>
        </w:r>
      </w:hyperlink>
      <w:r>
        <w:t xml:space="preserve">; </w:t>
      </w:r>
      <w:hyperlink r:id="rId11878">
        <w:r>
          <w:rPr>
            <w:color w:val="0000EE"/>
            <w:u w:val="single"/>
          </w:rPr>
          <w:t>1Cr 1.31</w:t>
        </w:r>
      </w:hyperlink>
      <w:r>
        <w:t>) e fundador de uma tribo que mais tarde foi à guerra contra as tribos de Israel que viviam a leste do Jordão (</w:t>
      </w:r>
      <w:hyperlink r:id="rId11879">
        <w:r>
          <w:rPr>
            <w:color w:val="0000EE"/>
            <w:u w:val="single"/>
          </w:rPr>
          <w:t>1Cr 5.19</w:t>
        </w:r>
      </w:hyperlink>
      <w:r>
        <w:t>).</w:t>
      </w:r>
      <w:r/>
      <w:r/>
    </w:p>
    <w:p>
      <w:r/>
    </w:p>
    <w:p>
      <w:pPr>
        <w:pStyle w:val="Heading2"/>
      </w:pPr>
      <w:r>
        <w:t>Naftali (Pessoa)</w:t>
      </w:r>
      <w:r/>
    </w:p>
    <w:p>
      <w:r/>
      <w:r>
        <w:t>Um dos 12 filhos de Jacó (</w:t>
      </w:r>
      <w:hyperlink r:id="rId3782">
        <w:r>
          <w:rPr>
            <w:color w:val="0000EE"/>
            <w:u w:val="single"/>
          </w:rPr>
          <w:t>Gn 35.25</w:t>
        </w:r>
      </w:hyperlink>
      <w:r>
        <w:t xml:space="preserve">; </w:t>
      </w:r>
      <w:hyperlink r:id="rId9680">
        <w:r>
          <w:rPr>
            <w:color w:val="0000EE"/>
            <w:u w:val="single"/>
          </w:rPr>
          <w:t>1Cr 2.2</w:t>
        </w:r>
      </w:hyperlink>
      <w:r>
        <w:t>). Ele foi o segundo dos dois filhos que Jacó teve com Bila, a serva de Raquel. Alegre por dar a Jacó outro filho, Raquel nomeou o menino Naftali, que significa "meu combate". Ela o chamou de Naftali por causa de seu conflito com Lia: "lutei muito contra minha irmã e venci" (</w:t>
      </w:r>
      <w:hyperlink r:id="rId15025">
        <w:r>
          <w:rPr>
            <w:color w:val="0000EE"/>
            <w:u w:val="single"/>
          </w:rPr>
          <w:t>Gn 30.8</w:t>
        </w:r>
      </w:hyperlink>
      <w:r>
        <w:t>). Naftali eventualmente mudou sua família com Jacó para o Egito (</w:t>
      </w:r>
      <w:hyperlink r:id="rId10275">
        <w:r>
          <w:rPr>
            <w:color w:val="0000EE"/>
            <w:u w:val="single"/>
          </w:rPr>
          <w:t>Gn 46.24</w:t>
        </w:r>
      </w:hyperlink>
      <w:r>
        <w:t xml:space="preserve">; </w:t>
      </w:r>
      <w:hyperlink r:id="rId6456">
        <w:r>
          <w:rPr>
            <w:color w:val="0000EE"/>
            <w:u w:val="single"/>
          </w:rPr>
          <w:t>Êx 1.4</w:t>
        </w:r>
      </w:hyperlink>
      <w:r>
        <w:t>). Ele teve quatro filhos (</w:t>
      </w:r>
      <w:hyperlink r:id="rId15026">
        <w:r>
          <w:rPr>
            <w:color w:val="0000EE"/>
            <w:u w:val="single"/>
          </w:rPr>
          <w:t>Nm 26.48–50</w:t>
        </w:r>
      </w:hyperlink>
      <w:r>
        <w:t xml:space="preserve">; </w:t>
      </w:r>
      <w:hyperlink r:id="rId10276">
        <w:r>
          <w:rPr>
            <w:color w:val="0000EE"/>
            <w:u w:val="single"/>
          </w:rPr>
          <w:t>1Cr 7.13</w:t>
        </w:r>
      </w:hyperlink>
      <w:r>
        <w:t>). Seus descendentes se tornaram uma das 12 tribos de Israel (</w:t>
      </w:r>
      <w:hyperlink r:id="rId15027">
        <w:r>
          <w:rPr>
            <w:color w:val="0000EE"/>
            <w:u w:val="single"/>
          </w:rPr>
          <w:t>Nm 1.43</w:t>
        </w:r>
      </w:hyperlink>
      <w:r>
        <w:t>).</w:t>
      </w:r>
    </w:p>
    <w:p>
      <w:r/>
      <w:r>
        <w:rPr>
          <w:i/>
        </w:rPr>
        <w:t>Veja também</w:t>
      </w:r>
      <w:r>
        <w:t xml:space="preserve"> </w:t>
      </w:r>
      <w:r>
        <w:t>Naftali, Tribo de</w:t>
      </w:r>
      <w:r>
        <w:t>.</w:t>
      </w:r>
      <w:r/>
      <w:r/>
    </w:p>
    <w:p>
      <w:r/>
    </w:p>
    <w:p>
      <w:pPr>
        <w:pStyle w:val="Heading2"/>
      </w:pPr>
      <w:r>
        <w:t>Naftali, Tribo de</w:t>
      </w:r>
      <w:r/>
    </w:p>
    <w:p>
      <w:r/>
      <w:r>
        <w:t>A tribo de Naftali foi uma das 12 tribos de Israel. Eles se mudaram do Egito para Canaã e se estabeleceram na parte norte de Canaã, nas colinas da Galileia.</w:t>
      </w:r>
    </w:p>
    <w:p>
      <w:pPr>
        <w:pStyle w:val="Heading3"/>
      </w:pPr>
      <w:r>
        <w:t>Durante o Êxodo</w:t>
      </w:r>
    </w:p>
    <w:p>
      <w:r/>
      <w:r>
        <w:t>A Bíblia menciona a tribo de Naftali brevemente durante o êxodo (a jornada dos israelitas para fora do Egito). Aira era o líder da tribo e ajudou no censo de Naftali enquanto Israel se preparava para possíveis batalhas (</w:t>
      </w:r>
      <w:hyperlink r:id="rId655">
        <w:r>
          <w:rPr>
            <w:color w:val="0000EE"/>
            <w:u w:val="single"/>
          </w:rPr>
          <w:t>Nm 1.15</w:t>
        </w:r>
      </w:hyperlink>
      <w:r>
        <w:t xml:space="preserve">; </w:t>
      </w:r>
      <w:hyperlink r:id="rId656">
        <w:r>
          <w:rPr>
            <w:color w:val="0000EE"/>
            <w:u w:val="single"/>
          </w:rPr>
          <w:t>2.29</w:t>
        </w:r>
      </w:hyperlink>
      <w:r>
        <w:t xml:space="preserve">; </w:t>
      </w:r>
      <w:hyperlink r:id="rId15028">
        <w:r>
          <w:rPr>
            <w:color w:val="0000EE"/>
            <w:u w:val="single"/>
          </w:rPr>
          <w:t>7.28</w:t>
        </w:r>
      </w:hyperlink>
      <w:r>
        <w:t>). O censo inicial registrou 53.400 homens prontos para a guerra, mas uma contagem posterior mostrou 45.400 (</w:t>
      </w:r>
      <w:hyperlink r:id="rId15029">
        <w:r>
          <w:rPr>
            <w:color w:val="0000EE"/>
            <w:u w:val="single"/>
          </w:rPr>
          <w:t>1.42–43</w:t>
        </w:r>
      </w:hyperlink>
      <w:r>
        <w:t xml:space="preserve">; </w:t>
      </w:r>
      <w:hyperlink r:id="rId10278">
        <w:r>
          <w:rPr>
            <w:color w:val="0000EE"/>
            <w:u w:val="single"/>
          </w:rPr>
          <w:t>26.48</w:t>
        </w:r>
      </w:hyperlink>
      <w:r>
        <w:t>). Quando Moisés enviou espiões para explorar Canaã, Nabi, de Naftali, foi um dos doze (</w:t>
      </w:r>
      <w:hyperlink r:id="rId14988">
        <w:r>
          <w:rPr>
            <w:color w:val="0000EE"/>
            <w:u w:val="single"/>
          </w:rPr>
          <w:t>13.14</w:t>
        </w:r>
      </w:hyperlink>
      <w:r>
        <w:t>). A tribo também esteve envolvida na organização do acampamento ao redor do tabernáculo e no processo de distribuição de terras (</w:t>
      </w:r>
      <w:hyperlink r:id="rId656">
        <w:r>
          <w:rPr>
            <w:color w:val="0000EE"/>
            <w:u w:val="single"/>
          </w:rPr>
          <w:t>2.29</w:t>
        </w:r>
      </w:hyperlink>
      <w:r>
        <w:t>). Pedael representou Naftali na cerimônia de distribuição de terras (</w:t>
      </w:r>
      <w:hyperlink r:id="rId1100">
        <w:r>
          <w:rPr>
            <w:color w:val="0000EE"/>
            <w:u w:val="single"/>
          </w:rPr>
          <w:t>34.28</w:t>
        </w:r>
      </w:hyperlink>
      <w:r>
        <w:t>). Naftali também participou da aprovação da aliança em Siquém (</w:t>
      </w:r>
      <w:hyperlink r:id="rId6468">
        <w:r>
          <w:rPr>
            <w:color w:val="0000EE"/>
            <w:u w:val="single"/>
          </w:rPr>
          <w:t>Dt 27.13</w:t>
        </w:r>
      </w:hyperlink>
      <w:r>
        <w:t>). Naftali, assim como as outras tribos, recebeu uma bênção de Moisés (</w:t>
      </w:r>
      <w:hyperlink r:id="rId15030">
        <w:r>
          <w:rPr>
            <w:color w:val="0000EE"/>
            <w:u w:val="single"/>
          </w:rPr>
          <w:t>33.23</w:t>
        </w:r>
      </w:hyperlink>
      <w:r>
        <w:t>).</w:t>
      </w:r>
    </w:p>
    <w:p>
      <w:pPr>
        <w:pStyle w:val="Heading3"/>
      </w:pPr>
      <w:r>
        <w:t>Estabelecimento em Canaã</w:t>
      </w:r>
    </w:p>
    <w:p>
      <w:r/>
      <w:r>
        <w:t>A tribo de Naftali recebeu terras na parte oriental da alta Galileia. Suas terras estavam próximas a Zebulom, ao sul, e Aser, a oeste (</w:t>
      </w:r>
      <w:hyperlink r:id="rId15031">
        <w:r>
          <w:rPr>
            <w:color w:val="0000EE"/>
            <w:u w:val="single"/>
          </w:rPr>
          <w:t>Js 19.34</w:t>
        </w:r>
      </w:hyperlink>
      <w:r>
        <w:t>). Várias cidades para os levitas estavam nas terras de Naftali (</w:t>
      </w:r>
      <w:hyperlink r:id="rId9926">
        <w:r>
          <w:rPr>
            <w:color w:val="0000EE"/>
            <w:u w:val="single"/>
          </w:rPr>
          <w:t>Js 21.6</w:t>
        </w:r>
      </w:hyperlink>
      <w:r>
        <w:t xml:space="preserve">; </w:t>
      </w:r>
      <w:hyperlink r:id="rId15032">
        <w:r>
          <w:rPr>
            <w:color w:val="0000EE"/>
            <w:u w:val="single"/>
          </w:rPr>
          <w:t>1Cr 6.62</w:t>
        </w:r>
      </w:hyperlink>
      <w:r>
        <w:t>). Uma dessas cidades, Quedes, era uma cidade de refúgio, um lugar seguro para pessoas que mataram alguém acidentalmente (</w:t>
      </w:r>
      <w:hyperlink r:id="rId4873">
        <w:r>
          <w:rPr>
            <w:color w:val="0000EE"/>
            <w:u w:val="single"/>
          </w:rPr>
          <w:t>Js 20.7</w:t>
        </w:r>
      </w:hyperlink>
      <w:r>
        <w:t xml:space="preserve">; </w:t>
      </w:r>
      <w:hyperlink r:id="rId9718">
        <w:r>
          <w:rPr>
            <w:color w:val="0000EE"/>
            <w:u w:val="single"/>
          </w:rPr>
          <w:t>1Cr 6.76</w:t>
        </w:r>
      </w:hyperlink>
      <w:r>
        <w:t>).</w:t>
      </w:r>
    </w:p>
    <w:p>
      <w:r/>
      <w:r>
        <w:t>Naftali estabeleceu-se com sucesso em sua terra, mas inicialmente não expulsou todos os cananeus (o povo que vivia lá antes) a princípio (</w:t>
      </w:r>
      <w:hyperlink r:id="rId15033">
        <w:r>
          <w:rPr>
            <w:color w:val="0000EE"/>
            <w:u w:val="single"/>
          </w:rPr>
          <w:t>Jz 1.33</w:t>
        </w:r>
      </w:hyperlink>
      <w:r>
        <w:t>). No entanto, eles fizeram com que o povo de duas cidades cananeias, Bete-Semes e Bete-Anate, trabalhasse para eles. Por causa de onde viviam, Naftali esteve envolvido em várias grandes lutas com os povos locais e agressores estrangeiros. A mais importante delas foi a guerra com Jabim, o rei de Hazor. Baraque, que era de Quedes em Naftali, juntou-se a Débora, a profetisa (uma mulher que falava por Deus). Juntos, eles lideraram as tribos de Zebulom e Naftali para lutar contra os cananeus (</w:t>
      </w:r>
      <w:hyperlink r:id="rId6636">
        <w:r>
          <w:rPr>
            <w:color w:val="0000EE"/>
            <w:u w:val="single"/>
          </w:rPr>
          <w:t>Jz 4–5</w:t>
        </w:r>
      </w:hyperlink>
      <w:r>
        <w:t>). Mais tarde, Gideão convocou a tribo de Naftali, junto com Aser, Zebulom e Manassés, para lutar contra os midianitas (outro grupo de inimigos) (</w:t>
      </w:r>
      <w:hyperlink r:id="rId12532">
        <w:r>
          <w:rPr>
            <w:color w:val="0000EE"/>
            <w:u w:val="single"/>
          </w:rPr>
          <w:t>Jz 6.35</w:t>
        </w:r>
      </w:hyperlink>
      <w:r>
        <w:t>).</w:t>
      </w:r>
    </w:p>
    <w:p>
      <w:pPr>
        <w:pStyle w:val="Heading3"/>
      </w:pPr>
      <w:r>
        <w:t>Durante o reino unido de Israel</w:t>
      </w:r>
    </w:p>
    <w:p>
      <w:r/>
      <w:r>
        <w:t>Quando Israel estava unido sob um rei, Naftali mostrou seu apoio a Davi. Eles enviaram soldados a Hebrom para ajudar a fazer de Davi o rei de todo Israel (</w:t>
      </w:r>
      <w:hyperlink r:id="rId15034">
        <w:r>
          <w:rPr>
            <w:color w:val="0000EE"/>
            <w:u w:val="single"/>
          </w:rPr>
          <w:t>1Cr 12.34</w:t>
        </w:r>
      </w:hyperlink>
      <w:r>
        <w:t>). Naftali continuou a apoiar a família de Davi mesmo após sua morte. Eles ajudaram Salomão, filho de Davi, a governar o país. Aimaás, um homem de Naftali, foi um dos 12 oficiais que gerenciavam diferentes partes da terra para o rei Salomão. Este mesmo Aimaás também se casou com Basemate, filha de Salomão (</w:t>
      </w:r>
      <w:hyperlink r:id="rId3174">
        <w:r>
          <w:rPr>
            <w:color w:val="0000EE"/>
            <w:u w:val="single"/>
          </w:rPr>
          <w:t>1Rs 4.15</w:t>
        </w:r>
      </w:hyperlink>
      <w:r>
        <w:t>).</w:t>
      </w:r>
    </w:p>
    <w:p>
      <w:pPr>
        <w:pStyle w:val="Heading3"/>
      </w:pPr>
      <w:r>
        <w:t>Durante o reino dividido de Israel</w:t>
      </w:r>
    </w:p>
    <w:p>
      <w:r/>
      <w:r>
        <w:t>Após a morte de Salomão, Israel se dividiu em dois reinos. Não sabemos muito sobre Naftali durante esse período, mas ouvimos falar deles em algumas guerras.</w:t>
      </w:r>
    </w:p>
    <w:p>
      <w:r/>
      <w:r>
        <w:t>Durante o reinado do rei Asa em Judá (o reino do sul), o rei Baasa de Israel (o reino do norte) tentou construir uma fortaleza em Ramá. Isso preocupou Asa, então ele pediu a Ben-Hadade, o rei da Síria, para atacar Israel. Ben-Hadade concordou, e seu ataque atingiu a terra de Naftali com grande intensidade (</w:t>
      </w:r>
      <w:hyperlink r:id="rId15035">
        <w:r>
          <w:rPr>
            <w:color w:val="0000EE"/>
            <w:u w:val="single"/>
          </w:rPr>
          <w:t>1Rs 15.16–24</w:t>
        </w:r>
      </w:hyperlink>
      <w:r>
        <w:t>). Baasa teve que parar de construir a fortaleza e lutar contra o exército sírio. Isso mostra como Naftali frequentemente ficava no meio das lutas entre outros países.</w:t>
      </w:r>
    </w:p>
    <w:p>
      <w:r/>
      <w:r>
        <w:t>Mais tarde, outra potência estrangeira, a Assíria, tornou-se forte na área onde Naftali vivia. Isso aconteceu quando Tiglate-Pileser III era o rei da Assíria. Em 732 a.C., enquanto Peca governava Israel e Rezom governava a Síria, Tiglate-Pileser III veio e capturou Gileade, Galileia e Naftali (</w:t>
      </w:r>
      <w:hyperlink r:id="rId3165">
        <w:r>
          <w:rPr>
            <w:color w:val="0000EE"/>
            <w:u w:val="single"/>
          </w:rPr>
          <w:t>2Rs 15.29</w:t>
        </w:r>
      </w:hyperlink>
      <w:r>
        <w:t>).</w:t>
      </w:r>
    </w:p>
    <w:p>
      <w:pPr>
        <w:pStyle w:val="Heading3"/>
      </w:pPr>
      <w:r>
        <w:t>Profecia e futuro</w:t>
      </w:r>
    </w:p>
    <w:p>
      <w:r/>
      <w:r>
        <w:t>O profeta Isaías falou sobre a terra de Naftali. Ele disse que, embora Deus tivesse feito a terra de Naftali parecer sem importância, Deus a tornaria grande novamente (</w:t>
      </w:r>
      <w:hyperlink r:id="rId9719">
        <w:r>
          <w:rPr>
            <w:color w:val="0000EE"/>
            <w:u w:val="single"/>
          </w:rPr>
          <w:t>Is 9.1</w:t>
        </w:r>
      </w:hyperlink>
      <w:r>
        <w:t>). Muitos anos depois, Mateus, que escreveu sobre a vida de Jesus, viu essa profecia se cumprir. Ele disse que Jesus trouxe a mensagem de Deus para o povo judeu que vivia na área que antes pertencia a Naftali (</w:t>
      </w:r>
      <w:hyperlink r:id="rId15036">
        <w:r>
          <w:rPr>
            <w:color w:val="0000EE"/>
            <w:u w:val="single"/>
          </w:rPr>
          <w:t>Mt 4.13–15</w:t>
        </w:r>
      </w:hyperlink>
      <w:r>
        <w:t>). No último livro da Bíblia, Apocalipse, Naftali é mencionado novamente. Diz que 12.000 pessoas da tribo de Naftali estão incluídas em um grande grupo de israelitas escolhidos por Deus (</w:t>
      </w:r>
      <w:hyperlink r:id="rId13703">
        <w:r>
          <w:rPr>
            <w:color w:val="0000EE"/>
            <w:u w:val="single"/>
          </w:rPr>
          <w:t>Ap 7.6</w:t>
        </w:r>
      </w:hyperlink>
      <w:r>
        <w:t>).</w:t>
      </w:r>
      <w:r/>
      <w:r/>
    </w:p>
    <w:p>
      <w:r/>
    </w:p>
    <w:p>
      <w:pPr>
        <w:pStyle w:val="Heading2"/>
      </w:pPr>
      <w:r>
        <w:t>Naftuim, naftuítas</w:t>
      </w:r>
      <w:r/>
    </w:p>
    <w:p>
      <w:r/>
      <w:r>
        <w:t>Descendentes egípcios de Noé através da linhagem de Cam (</w:t>
      </w:r>
      <w:hyperlink r:id="rId1344">
        <w:r>
          <w:rPr>
            <w:color w:val="0000EE"/>
            <w:u w:val="single"/>
          </w:rPr>
          <w:t>Gn 10.13</w:t>
        </w:r>
      </w:hyperlink>
      <w:r>
        <w:t xml:space="preserve">; </w:t>
      </w:r>
      <w:hyperlink r:id="rId1345">
        <w:r>
          <w:rPr>
            <w:color w:val="0000EE"/>
            <w:u w:val="single"/>
          </w:rPr>
          <w:t>1Cr 1.11</w:t>
        </w:r>
      </w:hyperlink>
      <w:r>
        <w:t>), listados entre as tribos de Leabe e Patrus. Alguns estudiosos sugerem que os naftuitas eram os habitantes do Médio Egito, situados entre os líbios do Baixo Egito e os patrusios do Alto Egito. No entanto, o local exato de seus antigos assentamentos é incerto.</w:t>
      </w:r>
      <w:r/>
      <w:r/>
    </w:p>
    <w:p>
      <w:r/>
    </w:p>
    <w:p>
      <w:pPr>
        <w:pStyle w:val="Heading2"/>
      </w:pPr>
      <w:r>
        <w:t>Naor (Lugar)</w:t>
      </w:r>
      <w:r/>
    </w:p>
    <w:p>
      <w:r/>
      <w:r>
        <w:t>Cidade no noroeste da Mesopotâmia; lar de Rebeca, esposa de Isaque, e Naor, irmão de Abraão (</w:t>
      </w:r>
      <w:hyperlink r:id="rId10344">
        <w:r>
          <w:rPr>
            <w:color w:val="0000EE"/>
            <w:u w:val="single"/>
          </w:rPr>
          <w:t>Gn 24.10</w:t>
        </w:r>
      </w:hyperlink>
      <w:r>
        <w:t>). Naor é frequentemente mencionada nos documentos de Mari (século 18 a.C.) como a cidade de Nakhur, localizada perto de Harã, no Vale do Rio Balikh. Esta cidade foi provavelmente o lar de alguns dos antigos povos Habiru. Sua localização é desconhecida.</w:t>
      </w:r>
    </w:p>
    <w:p>
      <w:r/>
      <w:r>
        <w:rPr>
          <w:i/>
        </w:rPr>
        <w:t>Veja também</w:t>
      </w:r>
      <w:r>
        <w:t xml:space="preserve"> </w:t>
      </w:r>
      <w:r>
        <w:t>Naor (Pessoa) #2</w:t>
      </w:r>
      <w:r>
        <w:t>.</w:t>
      </w:r>
      <w:r/>
      <w:r/>
    </w:p>
    <w:p>
      <w:r/>
    </w:p>
    <w:p>
      <w:pPr>
        <w:pStyle w:val="Heading2"/>
      </w:pPr>
      <w:r>
        <w:t>Naor (Pessoa)</w:t>
      </w:r>
      <w:r/>
    </w:p>
    <w:p>
      <w:pPr>
        <w:pStyle w:val="ListNumber"/>
        <w:spacing w:line="240" w:lineRule="auto"/>
        <w:ind w:left="720"/>
      </w:pPr>
      <w:r/>
      <w:r>
        <w:t>O avô de Abraão (</w:t>
      </w:r>
      <w:hyperlink r:id="rId15037">
        <w:r>
          <w:rPr>
            <w:color w:val="0000EE"/>
            <w:u w:val="single"/>
          </w:rPr>
          <w:t>Gn 11.22–25</w:t>
        </w:r>
      </w:hyperlink>
      <w:r>
        <w:t xml:space="preserve">; </w:t>
      </w:r>
      <w:hyperlink r:id="rId15038">
        <w:r>
          <w:rPr>
            <w:color w:val="0000EE"/>
            <w:u w:val="single"/>
          </w:rPr>
          <w:t>1Cr 1.26</w:t>
        </w:r>
      </w:hyperlink>
      <w:r>
        <w:t xml:space="preserve">), também um ancestral de Jesus segundo </w:t>
      </w:r>
      <w:hyperlink r:id="rId15039">
        <w:r>
          <w:rPr>
            <w:color w:val="0000EE"/>
            <w:u w:val="single"/>
          </w:rPr>
          <w:t>Lucas 3.34.</w:t>
        </w:r>
      </w:hyperlink>
      <w:r>
        <w:t xml:space="preserve"> As passagens de Gênesis e 1 Crônicas mostram que Naor é da linhagem de Sem. Portanto, Abraão e seus descendentes fazem parte da família semítica de nações.</w:t>
      </w:r>
    </w:p>
    <w:p>
      <w:pPr>
        <w:pStyle w:val="ListNumber"/>
        <w:spacing w:line="240" w:lineRule="auto"/>
        <w:ind w:left="720"/>
      </w:pPr>
      <w:r/>
      <w:r>
        <w:t>Filho de Tera e irmão de Abraão (</w:t>
      </w:r>
      <w:hyperlink r:id="rId15040">
        <w:r>
          <w:rPr>
            <w:color w:val="0000EE"/>
            <w:u w:val="single"/>
          </w:rPr>
          <w:t>Gn 11.26–29</w:t>
        </w:r>
      </w:hyperlink>
      <w:r>
        <w:t xml:space="preserve">; </w:t>
      </w:r>
      <w:hyperlink r:id="rId10829">
        <w:r>
          <w:rPr>
            <w:color w:val="0000EE"/>
            <w:u w:val="single"/>
          </w:rPr>
          <w:t>Js 24.2</w:t>
        </w:r>
      </w:hyperlink>
      <w:r>
        <w:t xml:space="preserve">). Ele se casou com Milca, filha de Harã, e sua família é mencionada em </w:t>
      </w:r>
      <w:hyperlink r:id="rId14459">
        <w:r>
          <w:rPr>
            <w:color w:val="0000EE"/>
            <w:u w:val="single"/>
          </w:rPr>
          <w:t>Gênesis 22.20–23</w:t>
        </w:r>
      </w:hyperlink>
      <w:r>
        <w:t xml:space="preserve">. Abraão enviou seu servo para encontrar uma esposa para Isaque na residência de Naor na Mesopotâmia (veja </w:t>
      </w:r>
      <w:hyperlink r:id="rId10344">
        <w:r>
          <w:rPr>
            <w:color w:val="0000EE"/>
            <w:u w:val="single"/>
          </w:rPr>
          <w:t>Gn 24.10</w:t>
        </w:r>
      </w:hyperlink>
      <w:r>
        <w:t>, o que possivelmente sugere que a cidade em si era chamada Naor). Lá ele encontrou Rebeca, neta de Naor (</w:t>
      </w:r>
      <w:hyperlink r:id="rId15041">
        <w:r>
          <w:rPr>
            <w:color w:val="0000EE"/>
            <w:u w:val="single"/>
          </w:rPr>
          <w:t>Gn 24.1–51</w:t>
        </w:r>
      </w:hyperlink>
      <w:r>
        <w:t>).</w:t>
      </w:r>
    </w:p>
    <w:p>
      <w:r/>
      <w:r>
        <w:t>Naor também é mencionado como o pai (ou talvez avô) de Labão, para quem Jacó foi quando fugiu de seu irmão Esaú (</w:t>
      </w:r>
      <w:hyperlink r:id="rId15042">
        <w:r>
          <w:rPr>
            <w:color w:val="0000EE"/>
            <w:u w:val="single"/>
          </w:rPr>
          <w:t>Gn 29.5</w:t>
        </w:r>
      </w:hyperlink>
      <w:r>
        <w:t xml:space="preserve">). Ambos esses textos conectam a família de Abraão com povos semitas relacionados. Em </w:t>
      </w:r>
      <w:hyperlink r:id="rId12612">
        <w:r>
          <w:rPr>
            <w:color w:val="0000EE"/>
            <w:u w:val="single"/>
          </w:rPr>
          <w:t>Gênesis 31.53</w:t>
        </w:r>
      </w:hyperlink>
      <w:r>
        <w:t>, Deus é mencionado como “o Deus de Abraão e o Deus de Naor”.</w:t>
      </w:r>
    </w:p>
    <w:p>
      <w:r/>
      <w:r>
        <w:rPr>
          <w:i/>
        </w:rPr>
        <w:t>Veja também</w:t>
      </w:r>
      <w:r>
        <w:t xml:space="preserve"> </w:t>
      </w:r>
      <w:r>
        <w:t>Naor (Lugar)</w:t>
      </w:r>
      <w:r>
        <w:t>.</w:t>
      </w:r>
      <w:r/>
      <w:r/>
    </w:p>
    <w:p>
      <w:r/>
    </w:p>
    <w:p>
      <w:pPr>
        <w:pStyle w:val="Heading2"/>
      </w:pPr>
      <w:r>
        <w:t>Nasom</w:t>
      </w:r>
      <w:r/>
    </w:p>
    <w:p>
      <w:r/>
      <w:r>
        <w:t xml:space="preserve">Filho de Aminadabe, em </w:t>
      </w:r>
      <w:hyperlink r:id="rId124">
        <w:r>
          <w:rPr>
            <w:color w:val="0000EE"/>
            <w:u w:val="single"/>
          </w:rPr>
          <w:t>Êxodo 6.23</w:t>
        </w:r>
      </w:hyperlink>
      <w:r>
        <w:t>.</w:t>
      </w:r>
    </w:p>
    <w:p>
      <w:r/>
      <w:r>
        <w:rPr>
          <w:i/>
        </w:rPr>
        <w:t>Veja:</w:t>
      </w:r>
      <w:r>
        <w:t xml:space="preserve"> </w:t>
      </w:r>
      <w:r>
        <w:t>Naassom</w:t>
      </w:r>
      <w:r>
        <w:t>.</w:t>
      </w:r>
      <w:r/>
      <w:r/>
    </w:p>
    <w:p>
      <w:r/>
    </w:p>
    <w:p>
      <w:pPr>
        <w:pStyle w:val="Heading2"/>
      </w:pPr>
      <w:r>
        <w:t>Nasom</w:t>
      </w:r>
      <w:r/>
    </w:p>
    <w:p>
      <w:r/>
      <w:r>
        <w:t>Filho de Aminadabe, irmão de Eliseba e pai de Salmom (</w:t>
      </w:r>
      <w:hyperlink r:id="rId124">
        <w:r>
          <w:rPr>
            <w:color w:val="0000EE"/>
            <w:u w:val="single"/>
          </w:rPr>
          <w:t>Êx 6.23</w:t>
        </w:r>
      </w:hyperlink>
      <w:r>
        <w:t xml:space="preserve">; </w:t>
      </w:r>
      <w:hyperlink r:id="rId15043">
        <w:r>
          <w:rPr>
            <w:color w:val="0000EE"/>
            <w:u w:val="single"/>
          </w:rPr>
          <w:t>1Cr 2.10–11</w:t>
        </w:r>
      </w:hyperlink>
      <w:r>
        <w:t>).</w:t>
      </w:r>
    </w:p>
    <w:p>
      <w:r/>
      <w:r>
        <w:t>Nasom, o príncipe da tribo de Judá no início das peregrinações de Israel no deserto (</w:t>
      </w:r>
      <w:hyperlink r:id="rId1087">
        <w:r>
          <w:rPr>
            <w:color w:val="0000EE"/>
            <w:u w:val="single"/>
          </w:rPr>
          <w:t>Nm 1.7</w:t>
        </w:r>
      </w:hyperlink>
      <w:r>
        <w:t xml:space="preserve">; </w:t>
      </w:r>
      <w:hyperlink r:id="rId1088">
        <w:r>
          <w:rPr>
            <w:color w:val="0000EE"/>
            <w:u w:val="single"/>
          </w:rPr>
          <w:t>2.3</w:t>
        </w:r>
      </w:hyperlink>
      <w:r>
        <w:t xml:space="preserve">; </w:t>
      </w:r>
      <w:hyperlink r:id="rId1090">
        <w:r>
          <w:rPr>
            <w:color w:val="0000EE"/>
            <w:u w:val="single"/>
          </w:rPr>
          <w:t>10.14</w:t>
        </w:r>
      </w:hyperlink>
      <w:r>
        <w:t>), representou sua tribo na dedicação do altar (</w:t>
      </w:r>
      <w:hyperlink r:id="rId15044">
        <w:r>
          <w:rPr>
            <w:color w:val="0000EE"/>
            <w:u w:val="single"/>
          </w:rPr>
          <w:t>Nm 7.12</w:t>
        </w:r>
      </w:hyperlink>
      <w:r>
        <w:t>).</w:t>
      </w:r>
    </w:p>
    <w:p>
      <w:r/>
      <w:r>
        <w:t xml:space="preserve">Em </w:t>
      </w:r>
      <w:hyperlink r:id="rId15045">
        <w:r>
          <w:rPr>
            <w:color w:val="0000EE"/>
            <w:u w:val="single"/>
          </w:rPr>
          <w:t>Rute 4.20,</w:t>
        </w:r>
      </w:hyperlink>
      <w:r>
        <w:t xml:space="preserve"> ele é mencionado como ancestral de Davi e descendente de Judá através da linhagem de Perez. Nas genealogias de Mateus e Lucas, ele é citado como um ancestral de Jesus Cristo (</w:t>
      </w:r>
      <w:hyperlink r:id="rId1093">
        <w:r>
          <w:rPr>
            <w:color w:val="0000EE"/>
            <w:u w:val="single"/>
          </w:rPr>
          <w:t>Mt 1.4</w:t>
        </w:r>
      </w:hyperlink>
      <w:r>
        <w:t xml:space="preserve">; </w:t>
      </w:r>
      <w:hyperlink r:id="rId11671">
        <w:r>
          <w:rPr>
            <w:color w:val="0000EE"/>
            <w:u w:val="single"/>
          </w:rPr>
          <w:t>Lc 3.32</w:t>
        </w:r>
      </w:hyperlink>
      <w:r>
        <w:t>).</w:t>
      </w:r>
      <w:r/>
      <w:r/>
    </w:p>
    <w:p>
      <w:r/>
    </w:p>
    <w:p>
      <w:pPr>
        <w:pStyle w:val="Heading2"/>
      </w:pPr>
      <w:r>
        <w:t>Natanael</w:t>
      </w:r>
      <w:r/>
    </w:p>
    <w:p>
      <w:r/>
      <w:r>
        <w:t>Judeu de Caná da Galileia a quem Jesus chamou para ser um discípulo (</w:t>
      </w:r>
      <w:hyperlink r:id="rId3157">
        <w:r>
          <w:rPr>
            <w:color w:val="0000EE"/>
            <w:u w:val="single"/>
          </w:rPr>
          <w:t>Jo 1.45–50</w:t>
        </w:r>
      </w:hyperlink>
      <w:r>
        <w:t xml:space="preserve">; </w:t>
      </w:r>
      <w:hyperlink r:id="rId3158">
        <w:r>
          <w:rPr>
            <w:color w:val="0000EE"/>
            <w:u w:val="single"/>
          </w:rPr>
          <w:t>21.2</w:t>
        </w:r>
      </w:hyperlink>
      <w:r>
        <w:t>). Inicialmente cético quando Filipe descreveu Jesus como o cumprimento de todo o AT (</w:t>
      </w:r>
      <w:hyperlink r:id="rId15046">
        <w:r>
          <w:rPr>
            <w:color w:val="0000EE"/>
            <w:u w:val="single"/>
          </w:rPr>
          <w:t>1.45–46</w:t>
        </w:r>
      </w:hyperlink>
      <w:r>
        <w:t xml:space="preserve">), Natanael proclamou Jesus como o Filho de Deus e o Rei de Israel (v. </w:t>
      </w:r>
      <w:hyperlink r:id="rId11706">
        <w:r>
          <w:rPr>
            <w:color w:val="0000EE"/>
            <w:u w:val="single"/>
          </w:rPr>
          <w:t>49</w:t>
        </w:r>
      </w:hyperlink>
      <w:r>
        <w:t>) após um encontro pessoal surpreendente.</w:t>
      </w:r>
    </w:p>
    <w:p>
      <w:r/>
      <w:r>
        <w:t>O fato de que as únicas referências do NT a Natanael ocorrem no Evangelho de João levou alguns estudiosos a identificá-lo com várias personalidades que aparecem nos Evangelhos sinópticos. Como seu chamado aparece com os de André, Pedro e Filipe, alguns supuseram que ele era um dos 12, possivelmente Bartolomeu. Três evidências são citadas em apoio desta posição: (1) o nome Bartolomeu é patronímico (literalmente “filho de Tolmai”) e seria acompanhado por outro nome; (2) cada uma das listas nos sinópticos dos 12 apóstolos coloca Bartolomeu após Filipe (</w:t>
      </w:r>
      <w:hyperlink r:id="rId1443">
        <w:r>
          <w:rPr>
            <w:color w:val="0000EE"/>
            <w:u w:val="single"/>
          </w:rPr>
          <w:t>Mt 10.2–4</w:t>
        </w:r>
      </w:hyperlink>
      <w:r>
        <w:t xml:space="preserve">; </w:t>
      </w:r>
      <w:hyperlink r:id="rId3155">
        <w:r>
          <w:rPr>
            <w:color w:val="0000EE"/>
            <w:u w:val="single"/>
          </w:rPr>
          <w:t>Mc 3.16–19</w:t>
        </w:r>
      </w:hyperlink>
      <w:r>
        <w:t xml:space="preserve">; </w:t>
      </w:r>
      <w:hyperlink r:id="rId3156">
        <w:r>
          <w:rPr>
            <w:color w:val="0000EE"/>
            <w:u w:val="single"/>
          </w:rPr>
          <w:t>Lc 6.14–16</w:t>
        </w:r>
      </w:hyperlink>
      <w:r>
        <w:t>), em paralelo com o chamado de Natanael após Filipe no relato de João; e (3) O nome de Bartolomeu não aparece no quarto Evangelho.</w:t>
      </w:r>
    </w:p>
    <w:p>
      <w:r/>
      <w:r>
        <w:t xml:space="preserve">Uma segunda posição identifica Natanael como Tiago, o filho de Alfeu. De acordo com este ponto de vista, o comentário de Jesus em </w:t>
      </w:r>
      <w:hyperlink r:id="rId12426">
        <w:r>
          <w:rPr>
            <w:color w:val="0000EE"/>
            <w:u w:val="single"/>
          </w:rPr>
          <w:t>João 1.47</w:t>
        </w:r>
      </w:hyperlink>
      <w:r>
        <w:t xml:space="preserve"> deveria ser “Eis aqui Israel [não “um israelita”] de fato, em quem não há dolo!” Israel é o nome que Deus deu a Jacó, e a forma do NT de Jacó é Tiago. João se dirigiu a Tiago, filho de Alfeu, como Natanael, para distingui-lo dos outros que haviam se tornado proeminentes na igreja primitiva.</w:t>
      </w:r>
    </w:p>
    <w:p>
      <w:r/>
      <w:r>
        <w:t>Duas identificações menos plausíveis igualam Natanael a Mateus ou Simão, o cananeu. O primeiro é precariamente fundado nas etimologias semelhantes dos nomes Mateus (“presente de Yahweh”) e Natanael (“Yahweh deu”). O segundo identifica os dois com base na cidade natal comum de Caná.</w:t>
      </w:r>
    </w:p>
    <w:p>
      <w:r/>
      <w:r>
        <w:t>Em última análise, Natanael era provavelmente um discípulo que não era membro dos 12 e era conhecido apenas por João. Esta sugestão está em conformidade com as primeiras evidências patrísticas. No quarto Evangelho, Natanael serve como um símbolo para o verdadeiro judeu que supera o ceticismo inicial para acreditar em Cristo. Isso é confirmado por três observações: (1) sua reação inicial a Jesus é paralela à de outros que acreditavam na Lei e nos Profetas (</w:t>
      </w:r>
      <w:hyperlink r:id="rId10809">
        <w:r>
          <w:rPr>
            <w:color w:val="0000EE"/>
            <w:u w:val="single"/>
          </w:rPr>
          <w:t>Jo 7.15,27,41</w:t>
        </w:r>
      </w:hyperlink>
      <w:r>
        <w:t xml:space="preserve">; </w:t>
      </w:r>
      <w:hyperlink r:id="rId15047">
        <w:r>
          <w:rPr>
            <w:color w:val="0000EE"/>
            <w:u w:val="single"/>
          </w:rPr>
          <w:t>9.41</w:t>
        </w:r>
      </w:hyperlink>
      <w:r>
        <w:t>); (2) a percepção de Jesus de Natanael sob uma figueira (</w:t>
      </w:r>
      <w:hyperlink r:id="rId15048">
        <w:r>
          <w:rPr>
            <w:color w:val="0000EE"/>
            <w:u w:val="single"/>
          </w:rPr>
          <w:t>1.48</w:t>
        </w:r>
      </w:hyperlink>
      <w:r>
        <w:t xml:space="preserve">) identifica a devoção deste último à Torá (na literatura rabínica o lugar adequado para estudar a Torá é sob uma figueira); e (3) Jesus identifica Natanael com Jacó, o pai da nação israelita. Em </w:t>
      </w:r>
      <w:hyperlink r:id="rId15049">
        <w:r>
          <w:rPr>
            <w:color w:val="0000EE"/>
            <w:u w:val="single"/>
          </w:rPr>
          <w:t>Gênesis 25–32</w:t>
        </w:r>
      </w:hyperlink>
      <w:r>
        <w:t xml:space="preserve">, Jacó é certamente astuto e ardiloso em seus tratos com Esaú e Labão. </w:t>
      </w:r>
      <w:hyperlink r:id="rId9442">
        <w:r>
          <w:rPr>
            <w:color w:val="0000EE"/>
            <w:u w:val="single"/>
          </w:rPr>
          <w:t>João 1.51</w:t>
        </w:r>
      </w:hyperlink>
      <w:r>
        <w:t xml:space="preserve"> fortalece os laços entre Natanael e Jacó apresentando as imagens de anjos subindo e descendo, que lembram o sonho de Jacó, e localizando o evento na Galileia perto de Betel e Jaboque, os locais das experiências de Jacó. Natanael é, portanto, um símbolo do israelita piedoso para quem Cristo veio. Sua resposta tipifica o que o quarto evangelista entende como a resposta apropriada do verdadeiro israelita a Jesus — do ceticismo inicial à fé (cf. </w:t>
      </w:r>
      <w:hyperlink r:id="rId15050">
        <w:r>
          <w:rPr>
            <w:color w:val="0000EE"/>
            <w:u w:val="single"/>
          </w:rPr>
          <w:t>Rm 9.6</w:t>
        </w:r>
      </w:hyperlink>
      <w:r>
        <w:t>).</w:t>
      </w:r>
    </w:p>
    <w:p>
      <w:r/>
      <w:r>
        <w:rPr>
          <w:i/>
        </w:rPr>
        <w:t>Veja também</w:t>
      </w:r>
      <w:r>
        <w:t xml:space="preserve"> </w:t>
      </w:r>
      <w:r>
        <w:t>Apóstolo, Apostolado</w:t>
      </w:r>
      <w:r>
        <w:t>.</w:t>
      </w:r>
      <w:r/>
      <w:r/>
    </w:p>
    <w:p>
      <w:r/>
    </w:p>
    <w:p>
      <w:pPr>
        <w:pStyle w:val="Heading2"/>
      </w:pPr>
      <w:r>
        <w:t>Natanael, Netanel</w:t>
      </w:r>
      <w:r/>
    </w:p>
    <w:p>
      <w:r/>
      <w:r>
        <w:t>Um nome comum do Antigo Testamento, escrito como Netanel na NTLH.</w:t>
      </w:r>
    </w:p>
    <w:p>
      <w:pPr>
        <w:pStyle w:val="ListNumber"/>
        <w:spacing w:line="240" w:lineRule="auto"/>
        <w:ind w:left="720"/>
      </w:pPr>
      <w:r/>
      <w:r>
        <w:t>Um filho de Zuar e líder da tribo de Issacar no início das peregrinações no deserto de Israel (</w:t>
      </w:r>
      <w:hyperlink r:id="rId15051">
        <w:r>
          <w:rPr>
            <w:color w:val="0000EE"/>
            <w:u w:val="single"/>
          </w:rPr>
          <w:t>Nm 1.8</w:t>
        </w:r>
      </w:hyperlink>
      <w:r>
        <w:t xml:space="preserve">; </w:t>
      </w:r>
      <w:hyperlink r:id="rId15052">
        <w:r>
          <w:rPr>
            <w:color w:val="0000EE"/>
            <w:u w:val="single"/>
          </w:rPr>
          <w:t>2.5</w:t>
        </w:r>
      </w:hyperlink>
      <w:r>
        <w:t xml:space="preserve">; </w:t>
      </w:r>
      <w:hyperlink r:id="rId15053">
        <w:r>
          <w:rPr>
            <w:color w:val="0000EE"/>
            <w:u w:val="single"/>
          </w:rPr>
          <w:t>10.15</w:t>
        </w:r>
      </w:hyperlink>
      <w:r>
        <w:t>). Ele representou seus parentes na dedicação do altar (</w:t>
      </w:r>
      <w:hyperlink r:id="rId15054">
        <w:r>
          <w:rPr>
            <w:color w:val="0000EE"/>
            <w:u w:val="single"/>
          </w:rPr>
          <w:t>7.18,23</w:t>
        </w:r>
      </w:hyperlink>
      <w:r>
        <w:t>).</w:t>
      </w:r>
    </w:p>
    <w:p>
      <w:pPr>
        <w:pStyle w:val="ListNumber"/>
        <w:spacing w:line="240" w:lineRule="auto"/>
        <w:ind w:left="720"/>
      </w:pPr>
      <w:r/>
      <w:r>
        <w:t>Um judeu que era o quarto filho de Jessé e irmão do rei Davi (</w:t>
      </w:r>
      <w:hyperlink r:id="rId15055">
        <w:r>
          <w:rPr>
            <w:color w:val="0000EE"/>
            <w:u w:val="single"/>
          </w:rPr>
          <w:t>1Cr 2.14</w:t>
        </w:r>
      </w:hyperlink>
      <w:r>
        <w:t>).</w:t>
      </w:r>
    </w:p>
    <w:p>
      <w:pPr>
        <w:pStyle w:val="ListNumber"/>
        <w:spacing w:line="240" w:lineRule="auto"/>
        <w:ind w:left="720"/>
      </w:pPr>
      <w:r/>
      <w:r>
        <w:t>Um dos sacerdotes designados para tocar trombeta diante da arca de Deus quando o rei Davi a moveu para Jerusalém (</w:t>
      </w:r>
      <w:hyperlink r:id="rId7922">
        <w:r>
          <w:rPr>
            <w:color w:val="0000EE"/>
            <w:u w:val="single"/>
          </w:rPr>
          <w:t>1Cr 15.24</w:t>
        </w:r>
      </w:hyperlink>
      <w:r>
        <w:t>).</w:t>
      </w:r>
    </w:p>
    <w:p>
      <w:pPr>
        <w:pStyle w:val="ListNumber"/>
        <w:spacing w:line="240" w:lineRule="auto"/>
        <w:ind w:left="720"/>
      </w:pPr>
      <w:r/>
      <w:r>
        <w:t>Um levita e pai de Semaías. Ele foi o escriba que registrou as 24 divisões de sacerdotes estabelecidas quando Davi era rei (</w:t>
      </w:r>
      <w:hyperlink r:id="rId72">
        <w:r>
          <w:rPr>
            <w:color w:val="0000EE"/>
            <w:u w:val="single"/>
          </w:rPr>
          <w:t>1Cr 24.6</w:t>
        </w:r>
      </w:hyperlink>
      <w:r>
        <w:t>).</w:t>
      </w:r>
    </w:p>
    <w:p>
      <w:pPr>
        <w:pStyle w:val="ListNumber"/>
        <w:spacing w:line="240" w:lineRule="auto"/>
        <w:ind w:left="720"/>
      </w:pPr>
      <w:r/>
      <w:r>
        <w:t>Um coraíta da tribo de Levi. Ele era o quinto filho de Obede-Edom quando Davi era rei (</w:t>
      </w:r>
      <w:hyperlink r:id="rId15056">
        <w:r>
          <w:rPr>
            <w:color w:val="0000EE"/>
            <w:u w:val="single"/>
          </w:rPr>
          <w:t>1Cr 26.4</w:t>
        </w:r>
      </w:hyperlink>
      <w:r>
        <w:t>).</w:t>
      </w:r>
    </w:p>
    <w:p>
      <w:pPr>
        <w:pStyle w:val="ListNumber"/>
        <w:spacing w:line="240" w:lineRule="auto"/>
        <w:ind w:left="720"/>
      </w:pPr>
      <w:r/>
      <w:r>
        <w:t>Um dos príncipes enviados pelo rei Josafá para ensinar a lei nas cidades de Judá (</w:t>
      </w:r>
      <w:hyperlink r:id="rId15057">
        <w:r>
          <w:rPr>
            <w:color w:val="0000EE"/>
            <w:u w:val="single"/>
          </w:rPr>
          <w:t>2Cr 17.7</w:t>
        </w:r>
      </w:hyperlink>
      <w:r>
        <w:t>).</w:t>
      </w:r>
    </w:p>
    <w:p>
      <w:pPr>
        <w:pStyle w:val="ListNumber"/>
        <w:spacing w:line="240" w:lineRule="auto"/>
        <w:ind w:left="720"/>
      </w:pPr>
      <w:r/>
      <w:r>
        <w:t>Um dos oficiais levíticos que foi generoso ao doar animais para os sacrifícios. Ele os deu aos levitas para a celebração da festa da Páscoa quando Josias era rei (</w:t>
      </w:r>
      <w:hyperlink r:id="rId15058">
        <w:r>
          <w:rPr>
            <w:color w:val="0000EE"/>
            <w:u w:val="single"/>
          </w:rPr>
          <w:t>2Cr 35.9</w:t>
        </w:r>
      </w:hyperlink>
      <w:r>
        <w:t>).</w:t>
      </w:r>
    </w:p>
    <w:p>
      <w:pPr>
        <w:pStyle w:val="ListNumber"/>
        <w:spacing w:line="240" w:lineRule="auto"/>
        <w:ind w:left="720"/>
      </w:pPr>
      <w:r/>
      <w:r>
        <w:t>Um sacerdote e um dos seis filhos de Pasur. Esdras incentivou Natanael a se divorciar de sua esposa estrangeira após o retorno dos israelitas do exílio (</w:t>
      </w:r>
      <w:hyperlink r:id="rId11404">
        <w:r>
          <w:rPr>
            <w:color w:val="0000EE"/>
            <w:u w:val="single"/>
          </w:rPr>
          <w:t>Ed 10.22</w:t>
        </w:r>
      </w:hyperlink>
      <w:r>
        <w:t>).</w:t>
      </w:r>
    </w:p>
    <w:p>
      <w:pPr>
        <w:pStyle w:val="ListNumber"/>
        <w:spacing w:line="240" w:lineRule="auto"/>
        <w:ind w:left="720"/>
      </w:pPr>
      <w:r/>
      <w:r>
        <w:t>O líder da família do sacerdote Jedaías. Isso ocorreu quando Joaquim era o sumo sacerdote em Jerusalém após o retorno dos israelitas do exílio (</w:t>
      </w:r>
      <w:hyperlink r:id="rId15059">
        <w:r>
          <w:rPr>
            <w:color w:val="0000EE"/>
            <w:u w:val="single"/>
          </w:rPr>
          <w:t>Ne 12.21</w:t>
        </w:r>
      </w:hyperlink>
      <w:r>
        <w:t>).</w:t>
      </w:r>
    </w:p>
    <w:p>
      <w:pPr>
        <w:pStyle w:val="ListNumber"/>
        <w:spacing w:line="240" w:lineRule="auto"/>
        <w:ind w:left="720"/>
      </w:pPr>
      <w:r/>
      <w:r>
        <w:t>Um dos sacerdotes que serviu como músico. Ele se apresentou na dedicação do muro de Jerusalém durante o tempo de Neemias (</w:t>
      </w:r>
      <w:hyperlink r:id="rId12311">
        <w:r>
          <w:rPr>
            <w:color w:val="0000EE"/>
            <w:u w:val="single"/>
          </w:rPr>
          <w:t>Ne 12.36</w:t>
        </w:r>
      </w:hyperlink>
      <w:r>
        <w:t>).</w:t>
      </w:r>
      <w:r/>
      <w:r/>
    </w:p>
    <w:p>
      <w:r/>
    </w:p>
    <w:p>
      <w:pPr>
        <w:pStyle w:val="Heading2"/>
      </w:pPr>
      <w:r>
        <w:t>Naum, Livro de</w:t>
      </w:r>
      <w:r/>
    </w:p>
    <w:p>
      <w:r/>
      <w:r>
        <w:t>Sétimo livro no agrupamento canônico dos 12 Profetas menores. Sua significância e importância residem no lugar estratégico que ocupa ao delinear o plano e o programa de Deus em relação tanto a Judá quanto às nações do mundo.</w:t>
      </w:r>
    </w:p>
    <w:p>
      <w:r/>
      <w:r>
        <w:t>Resumo</w:t>
      </w:r>
    </w:p>
    <w:p>
      <w:r/>
      <w:r>
        <w:t>• Autor;</w:t>
      </w:r>
    </w:p>
    <w:p>
      <w:r/>
      <w:r>
        <w:t>• Data;</w:t>
      </w:r>
    </w:p>
    <w:p>
      <w:r/>
      <w:r>
        <w:t>• Contexto;</w:t>
      </w:r>
    </w:p>
    <w:p>
      <w:r/>
      <w:r>
        <w:t>• Propósito e ensino teológico;</w:t>
      </w:r>
    </w:p>
    <w:p>
      <w:r/>
      <w:r>
        <w:t>• Conteúdo.</w:t>
      </w:r>
    </w:p>
    <w:p>
      <w:pPr>
        <w:pStyle w:val="Heading3"/>
      </w:pPr>
      <w:r>
        <w:t>Autor</w:t>
      </w:r>
    </w:p>
    <w:p>
      <w:r/>
      <w:r>
        <w:t>Naum é identificado como um elcosita na inscrição do livro (</w:t>
      </w:r>
      <w:hyperlink r:id="rId13970">
        <w:r>
          <w:rPr>
            <w:color w:val="0000EE"/>
            <w:u w:val="single"/>
          </w:rPr>
          <w:t>Na 1.1</w:t>
        </w:r>
      </w:hyperlink>
      <w:r>
        <w:t>). O termo é um tanto duvidoso em significado, mas provavelmente se refere a uma cidade agora desconhecida. Se o termo se referir a uma localização geográfica, pode ser a vila de Elcesi em Judá.</w:t>
      </w:r>
    </w:p>
    <w:p>
      <w:pPr>
        <w:pStyle w:val="Heading3"/>
      </w:pPr>
      <w:r>
        <w:t>Data</w:t>
      </w:r>
    </w:p>
    <w:p>
      <w:r/>
      <w:r>
        <w:t xml:space="preserve">O livro de Naum aborda a queda de duas grandes cidades, Nínive e Tebas. A queda de Tebas é mencionada em </w:t>
      </w:r>
      <w:hyperlink r:id="rId15060">
        <w:r>
          <w:rPr>
            <w:color w:val="0000EE"/>
            <w:u w:val="single"/>
          </w:rPr>
          <w:t>3.8–10</w:t>
        </w:r>
      </w:hyperlink>
      <w:r>
        <w:t>, e todo o livro trata da destruição de Nínive, a capital da Assíria, que ainda estava por vir. Tebas foi destruída pelos assírios por volta de 663 a.C., e Nínive caiu em 612 a.C. Dentro desse intervalo histórico, várias datas para a composição de Naum foram sugeridas. Alguns estudiosos preferem uma data muito próxima à queda de Nínive, talvez durante o período em que a Assíria estava sendo invadida. No entanto, a influência da Assíria se estendia a Judá na época da escrita do livro (</w:t>
      </w:r>
      <w:hyperlink r:id="rId15061">
        <w:r>
          <w:rPr>
            <w:color w:val="0000EE"/>
            <w:u w:val="single"/>
          </w:rPr>
          <w:t>1.13–15</w:t>
        </w:r>
      </w:hyperlink>
      <w:r>
        <w:t xml:space="preserve">; </w:t>
      </w:r>
      <w:hyperlink r:id="rId15062">
        <w:r>
          <w:rPr>
            <w:color w:val="0000EE"/>
            <w:u w:val="single"/>
          </w:rPr>
          <w:t>2.2</w:t>
        </w:r>
      </w:hyperlink>
      <w:r>
        <w:t>), um fato que dificilmente é compatível com a iminente queda daquela nação. Como a influência da Assíria nas províncias ocidentais começou a declinar na segunda metade do sétimo século, é melhor situar a escrita do livro no meio do sétimo século, após a destruição de Tebas, mas antes da erosão do poder assírio na Sírio-Palestina.</w:t>
      </w:r>
    </w:p>
    <w:p>
      <w:r/>
      <w:r>
        <w:t>Estudiosos que negam a validade da profecia bíblica geralmente datam o livro no período após a queda de Nínive.</w:t>
      </w:r>
    </w:p>
    <w:p>
      <w:pPr>
        <w:pStyle w:val="Heading3"/>
      </w:pPr>
      <w:r>
        <w:t>Contexto</w:t>
      </w:r>
    </w:p>
    <w:p>
      <w:r/>
      <w:r>
        <w:t>A extensão do domínio assírio em meados do sétimo século era incomparável. Nunca antes a influência assíria havia se estendido tanto. A destruição de Tebas pôs fim a qualquer resistência significativa à Assíria por parte do Egito, seu inimigo mais poderoso.</w:t>
      </w:r>
    </w:p>
    <w:p>
      <w:r/>
      <w:r>
        <w:t>A destruição de Tebas ocorreu durante o reinado de Manassés de Judá (696–642 a.C.), que era, para todos os efeitos, um vassalo dos assírios. A influência assíria em Judá levou à intrusão de influências não-yahwísticas, como o renascimento de cultos de fertilidade e a adoração de divindades astrais assírias (</w:t>
      </w:r>
      <w:hyperlink r:id="rId15063">
        <w:r>
          <w:rPr>
            <w:color w:val="0000EE"/>
            <w:u w:val="single"/>
          </w:rPr>
          <w:t>2Rs 21.1–9</w:t>
        </w:r>
      </w:hyperlink>
      <w:r>
        <w:t>).</w:t>
      </w:r>
    </w:p>
    <w:p>
      <w:r/>
      <w:r>
        <w:t>Dentro da estrutura da enorme expansão da Assíria, havia muitas fraquezas que levariam ao declínio e eventual queda desse império. Por um lado, o império se expandiu demais. A tarefa de manter os países cativos hostis sob controle, muitos dos quais estavam a grandes distâncias da capital, tornou-se cada vez mais difícil.</w:t>
      </w:r>
    </w:p>
    <w:p>
      <w:r/>
      <w:r>
        <w:t>A Assíria começou a enfrentar dificuldades internas, especialmente com os caldeus, um grupo de tribos vagamente unidas que haviam sido incorporadas ao império assírio. O Egito também começou a reter tributos. Numerosos ataques fronteiriços por bárbaros fizeram com que o império enfraquecesse gradualmente.</w:t>
      </w:r>
    </w:p>
    <w:p>
      <w:r/>
      <w:r>
        <w:t>A situação piorou à medida que a luta interna começou a se transformar em uma grande crise. Finalmente, uma coalizão de babilônios, medos e citas provocou o colapso da Assíria quando, após um cerco de três meses, Nínive caiu em 612 a.C.</w:t>
      </w:r>
    </w:p>
    <w:p>
      <w:r/>
      <w:r>
        <w:t>O local de Nínive foi escavado em 1840 por Henry Layard. A escavação revelou que a cidade era fortemente fortificada. Ainda existem evidências dos fossos e baluartes construídos para sua defesa. O palácio de Senaqueribe, com seus 71 quartos decorados com obras artísticas, também foi descoberto por Layard. Mesmo que o palácio tenha permanecido enterrado por milênios, ainda revelou o esplendor dos dias de grandeza de Nínive.</w:t>
      </w:r>
    </w:p>
    <w:p>
      <w:r/>
      <w:r>
        <w:t>O profeta Naum previu que a cidade seria queimada (</w:t>
      </w:r>
      <w:hyperlink r:id="rId15064">
        <w:r>
          <w:rPr>
            <w:color w:val="0000EE"/>
            <w:u w:val="single"/>
          </w:rPr>
          <w:t>Na 2.13</w:t>
        </w:r>
      </w:hyperlink>
      <w:r>
        <w:t>). Em sua descrição da cidade, Layard indicou que um grande incêndio havia destruído Nínive. Isso se tornou evidente mesmo quando apenas duas pequenas porções do tell haviam sido exploradas. Os portões maciços da cidade, que Naum disse que estariam abertos para seus inimigos (</w:t>
      </w:r>
      <w:hyperlink r:id="rId15065">
        <w:r>
          <w:rPr>
            <w:color w:val="0000EE"/>
            <w:u w:val="single"/>
          </w:rPr>
          <w:t>3.13</w:t>
        </w:r>
      </w:hyperlink>
      <w:r>
        <w:t>), também foram queimados. As esculturas maciças que originalmente ficavam junto aos portões foram encontradas enterradas em detritos de terra, tijolos e pedras misturados com carvão.</w:t>
      </w:r>
    </w:p>
    <w:p>
      <w:r/>
      <w:r>
        <w:t>Uma importante descoberta arqueológica é uma crônica babilônica que registra eventos no reinado do rei babilônico Nabopolassar (625–605 a.C.). Esta crônica fixa a data da queda de Nínive, situando-a no 14º ano de Nabopolassar, ou seja, 612 a.C.</w:t>
      </w:r>
    </w:p>
    <w:p>
      <w:pPr>
        <w:pStyle w:val="Heading3"/>
      </w:pPr>
      <w:r>
        <w:t>Propósito e ensino teológico</w:t>
      </w:r>
    </w:p>
    <w:p>
      <w:r/>
      <w:r>
        <w:t>O propósito do livro de Naum é prever a queda do império Assírio, simbolizada por sua capital, Nínive. Ele destaca o poderoso poder de Deus revelado na arena da história.</w:t>
      </w:r>
    </w:p>
    <w:p>
      <w:r/>
      <w:r>
        <w:t>À primeira vista, o livro pode parecer carecer de um ensinamento teológico substancial. Afinal, é uma ode prolongada celebrando a queda de uma cidade pagã. No entanto, quando se observa a história do ponto de vista de um profeta, ela se torna o contexto para a revelação de muitos dos atributos de Deus.</w:t>
      </w:r>
    </w:p>
    <w:p>
      <w:r/>
      <w:r>
        <w:t xml:space="preserve">No capítulo </w:t>
      </w:r>
      <w:hyperlink r:id="rId278">
        <w:r>
          <w:rPr>
            <w:color w:val="0000EE"/>
            <w:u w:val="single"/>
          </w:rPr>
          <w:t>1</w:t>
        </w:r>
      </w:hyperlink>
      <w:r>
        <w:t xml:space="preserve"> o profeta entrelaça vários temas teológicos significativos em seu relato sobre a queda da cidade. Ele apresenta o fato de que Deus ama e cuida dos seus. Em </w:t>
      </w:r>
      <w:hyperlink r:id="rId9641">
        <w:r>
          <w:rPr>
            <w:color w:val="0000EE"/>
            <w:u w:val="single"/>
          </w:rPr>
          <w:t>1.7</w:t>
        </w:r>
      </w:hyperlink>
      <w:r>
        <w:t xml:space="preserve"> ele descreve o Senhor como conhecendo aqueles que buscam refúgio nele. Em </w:t>
      </w:r>
      <w:hyperlink r:id="rId15066">
        <w:r>
          <w:rPr>
            <w:color w:val="0000EE"/>
            <w:u w:val="single"/>
          </w:rPr>
          <w:t>1.13</w:t>
        </w:r>
      </w:hyperlink>
      <w:r>
        <w:t xml:space="preserve"> Deus promete o fim da opressão assíria sobre Judá.</w:t>
      </w:r>
    </w:p>
    <w:p>
      <w:r/>
      <w:r>
        <w:t>A soberania de Deus também é destacada. Deus é soberano sobre as nações que se opõem a Ele (</w:t>
      </w:r>
      <w:hyperlink r:id="rId11148">
        <w:r>
          <w:rPr>
            <w:color w:val="0000EE"/>
            <w:u w:val="single"/>
          </w:rPr>
          <w:t>1.2</w:t>
        </w:r>
      </w:hyperlink>
      <w:r>
        <w:t xml:space="preserve">). Ele é soberano sobre a natureza, pois as nuvens são apenas o pó dos Seus pés (v </w:t>
      </w:r>
      <w:hyperlink r:id="rId15067">
        <w:r>
          <w:rPr>
            <w:color w:val="0000EE"/>
            <w:u w:val="single"/>
          </w:rPr>
          <w:t>3</w:t>
        </w:r>
      </w:hyperlink>
      <w:r>
        <w:t xml:space="preserve">). Deus não pode ser desafiado (v </w:t>
      </w:r>
      <w:hyperlink r:id="rId15068">
        <w:r>
          <w:rPr>
            <w:color w:val="0000EE"/>
            <w:u w:val="single"/>
          </w:rPr>
          <w:t>6</w:t>
        </w:r>
      </w:hyperlink>
      <w:r>
        <w:t xml:space="preserve">). Ele é o soberano do Seu povo (v </w:t>
      </w:r>
      <w:hyperlink r:id="rId15066">
        <w:r>
          <w:rPr>
            <w:color w:val="0000EE"/>
            <w:u w:val="single"/>
          </w:rPr>
          <w:t>13</w:t>
        </w:r>
      </w:hyperlink>
      <w:r>
        <w:t>).</w:t>
      </w:r>
    </w:p>
    <w:p>
      <w:r/>
      <w:r>
        <w:t>É fundamental para a estrutura teológica do livro a afirmação de que Deus é o Senhor da história. A história é o palco de sua atividade. Para o profeta, Deus não é apenas um conceito abstrato, nem uma divindade indiferente. Ele cria nações e as destrói. A história não está sob o controle de nações ímpias ou de eventos aleatórios; está sob o controle do Criador.</w:t>
      </w:r>
    </w:p>
    <w:p>
      <w:r/>
      <w:r>
        <w:t>Naum destaca que Deus não trata as pessoas apenas com ira. Sua ira se manifesta contra aqueles que se opõem a Ele. Ele age com ternura e amor com aqueles que o buscam como refúgio.</w:t>
      </w:r>
    </w:p>
    <w:p>
      <w:pPr>
        <w:pStyle w:val="Heading3"/>
      </w:pPr>
      <w:r>
        <w:t>Conteúdo</w:t>
      </w:r>
    </w:p>
    <w:p>
      <w:pPr>
        <w:pStyle w:val="Heading4"/>
      </w:pPr>
      <w:r>
        <w:t>Superinscrição (</w:t>
      </w:r>
      <w:hyperlink r:id="rId13970">
        <w:r>
          <w:rPr>
            <w:color w:val="0000EE"/>
            <w:u w:val="single"/>
          </w:rPr>
          <w:t>1.1</w:t>
        </w:r>
      </w:hyperlink>
      <w:r>
        <w:t>)</w:t>
      </w:r>
    </w:p>
    <w:p>
      <w:r/>
      <w:r>
        <w:t>Como outros livros proféticos, Naum começa com uma superscrição. Ela atribui a autoria do livro ao profeta Naum. A primeira parte da superscrição diz: “Um oráculo sobre Nínive”, indicando o conteúdo do livro.</w:t>
      </w:r>
    </w:p>
    <w:p>
      <w:pPr>
        <w:pStyle w:val="Heading4"/>
      </w:pPr>
      <w:r>
        <w:t>O Profeta considera a ira e o poder de Deus (</w:t>
      </w:r>
      <w:hyperlink r:id="rId15069">
        <w:r>
          <w:rPr>
            <w:color w:val="0000EE"/>
            <w:u w:val="single"/>
          </w:rPr>
          <w:t>1.2–6</w:t>
        </w:r>
      </w:hyperlink>
      <w:r>
        <w:t>)</w:t>
      </w:r>
    </w:p>
    <w:p>
      <w:r/>
      <w:r>
        <w:t>A mensagem do profeta começa com uma descrição de vários atributos de Deus, especificamente sua ira e poder soberano. A afirmação de que Deus é um Deus ciumento (</w:t>
      </w:r>
      <w:hyperlink r:id="rId11148">
        <w:r>
          <w:rPr>
            <w:color w:val="0000EE"/>
            <w:u w:val="single"/>
          </w:rPr>
          <w:t>1.2</w:t>
        </w:r>
      </w:hyperlink>
      <w:r>
        <w:t>) não deve ser entendida como atribuir motivos egoístas a Deus. Em vez disso, expressa a intensa devoção e lealdade de Deus àqueles que são seus.</w:t>
      </w:r>
    </w:p>
    <w:p>
      <w:r/>
      <w:r>
        <w:t>É fundamental para esta seção a afirmação de que Deus se vinga de seus inimigos. Este princípio teológico é a base para a descrição de Naum sobre a queda de Nínive. Que a Assíria era inimiga de Deus ficou claro na história. Os assírios não eram apenas um instrumento usado por Deus para punir seu povo, mas também eram um povo pagão que se opunha e assediava os hebreus em todas as oportunidades. Sua conquista e exílio do reino de Israel foram a manifestação máxima de sua oposição a Yahweh. Talvez tenha sido esse período terrível na história hebraica que estava mais presente na mente de Naum.</w:t>
      </w:r>
    </w:p>
    <w:p>
      <w:r/>
      <w:r>
        <w:t>Uma declaração de abertura neste livro diz: “O Senhor é paciente mas poderoso e não deixa os culpados sem castigo” (</w:t>
      </w:r>
      <w:hyperlink r:id="rId15067">
        <w:r>
          <w:rPr>
            <w:color w:val="0000EE"/>
            <w:u w:val="single"/>
          </w:rPr>
          <w:t>1.3</w:t>
        </w:r>
      </w:hyperlink>
      <w:r>
        <w:t xml:space="preserve">, NTLH). Mesmo em relação aos seus inimigos, Deus age com graça; ele não reage com raiva descontrolada, mas lida com eles para mudar seus caminhos. A declaração “não deixa os culpados sem castigo” é uma alusão à grande afirmação de Deus em </w:t>
      </w:r>
      <w:hyperlink r:id="rId10123">
        <w:r>
          <w:rPr>
            <w:color w:val="0000EE"/>
            <w:u w:val="single"/>
          </w:rPr>
          <w:t>Êxodo 34.6</w:t>
        </w:r>
      </w:hyperlink>
      <w:r>
        <w:t>. É melhor traduzida como: “Ele não absolverá completamente o culpado”, o que afirma que Deus perdoa, mas muitas vezes permite que os efeitos do pecado sigam seu curso. Isso é ilustrado no caso de Davi, cujo pecado com Bate-Seba foi perdoado, mas o filho da união morreu. A destruição de Nínive era, portanto, certa de ocorrer, de acordo com o princípio teológico estabelecido por Naum: Deus pune aqueles que se opõem a ele.</w:t>
      </w:r>
    </w:p>
    <w:p>
      <w:r/>
      <w:r>
        <w:t xml:space="preserve">A soberania de Deus sobre a esfera da natureza é estabelecida em </w:t>
      </w:r>
      <w:hyperlink r:id="rId15070">
        <w:r>
          <w:rPr>
            <w:color w:val="0000EE"/>
            <w:u w:val="single"/>
          </w:rPr>
          <w:t>Na 1.3b-6</w:t>
        </w:r>
      </w:hyperlink>
      <w:r>
        <w:t>. Ela também é a arena na qual Seu poder impressionante é revelado.</w:t>
      </w:r>
    </w:p>
    <w:p>
      <w:pPr>
        <w:pStyle w:val="Heading4"/>
      </w:pPr>
      <w:r>
        <w:t>A queda de Nínive e a libertação de Israel (</w:t>
      </w:r>
      <w:hyperlink r:id="rId15071">
        <w:r>
          <w:rPr>
            <w:color w:val="0000EE"/>
            <w:u w:val="single"/>
          </w:rPr>
          <w:t>1.7–15</w:t>
        </w:r>
      </w:hyperlink>
      <w:r>
        <w:t>)</w:t>
      </w:r>
    </w:p>
    <w:p>
      <w:r/>
      <w:r>
        <w:t xml:space="preserve">O profeta então se dirigiu à cidade de Nínive em discurso direto. No versículo </w:t>
      </w:r>
      <w:hyperlink r:id="rId15072">
        <w:r>
          <w:rPr>
            <w:color w:val="0000EE"/>
            <w:u w:val="single"/>
          </w:rPr>
          <w:t>11</w:t>
        </w:r>
      </w:hyperlink>
      <w:r>
        <w:t xml:space="preserve">, ele fala de alguém que vem da Assíria tramando o mal contra o Senhor — uma lembrança do Rabsaqué, o emissário assírio citado em </w:t>
      </w:r>
      <w:hyperlink r:id="rId15073">
        <w:r>
          <w:rPr>
            <w:color w:val="0000EE"/>
            <w:u w:val="single"/>
          </w:rPr>
          <w:t xml:space="preserve">Isaías 36.14–20 </w:t>
        </w:r>
      </w:hyperlink>
      <w:r>
        <w:t>aconselhando o povo a ceder às suas exigências de rendição. As palavras de condenação para Nínive tornam-se palavras de conforto para Judá, pois Naum diz que a Assíria não os afligirá mais (</w:t>
      </w:r>
      <w:hyperlink r:id="rId15074">
        <w:r>
          <w:rPr>
            <w:color w:val="0000EE"/>
            <w:u w:val="single"/>
          </w:rPr>
          <w:t>Na 1.12</w:t>
        </w:r>
      </w:hyperlink>
      <w:r>
        <w:t>).</w:t>
      </w:r>
    </w:p>
    <w:p>
      <w:r/>
      <w:r>
        <w:t xml:space="preserve">A destruição final da cidade é apresentada nos versículos </w:t>
      </w:r>
      <w:hyperlink r:id="rId15061">
        <w:r>
          <w:rPr>
            <w:color w:val="0000EE"/>
            <w:u w:val="single"/>
          </w:rPr>
          <w:t>13–15</w:t>
        </w:r>
      </w:hyperlink>
      <w:r>
        <w:t xml:space="preserve">. A Assíria não se levantaria mais para afligir os judeus. Esta grande verdade é celebrada no versículo </w:t>
      </w:r>
      <w:hyperlink r:id="rId3388">
        <w:r>
          <w:rPr>
            <w:color w:val="0000EE"/>
            <w:u w:val="single"/>
          </w:rPr>
          <w:t>15</w:t>
        </w:r>
      </w:hyperlink>
      <w:r>
        <w:t>, onde o profeta encoraja o povo a retornar à sua adoração a Deus, pois eles não terão mais a Assíria como inimigo.</w:t>
      </w:r>
    </w:p>
    <w:p>
      <w:pPr>
        <w:pStyle w:val="Heading4"/>
      </w:pPr>
      <w:r>
        <w:t>A queda de Nínive (</w:t>
      </w:r>
      <w:hyperlink r:id="rId15075">
        <w:r>
          <w:rPr>
            <w:color w:val="0000EE"/>
            <w:u w:val="single"/>
          </w:rPr>
          <w:t>2.1–13</w:t>
        </w:r>
      </w:hyperlink>
      <w:r>
        <w:t>)</w:t>
      </w:r>
    </w:p>
    <w:p>
      <w:r/>
      <w:r>
        <w:t>O estilo literário de Naum nesta seção é soberbo. A ação rápida, expressa por frases concisas e quase cortadas, confere uma atmosfera de excitação e urgência à descrição do colapso da cidade. Ouve-se as ordens dos defensores nestas palavras: “O destruidor vai atacar a cidade de Nínive. Ponham guardas nas torres e vigiem as estradas. Chamem todos os soldados e preparem-se para lutar.” (</w:t>
      </w:r>
      <w:hyperlink r:id="rId13292">
        <w:r>
          <w:rPr>
            <w:color w:val="0000EE"/>
            <w:u w:val="single"/>
          </w:rPr>
          <w:t>2.1</w:t>
        </w:r>
      </w:hyperlink>
      <w:r>
        <w:t>, NTLH).</w:t>
      </w:r>
    </w:p>
    <w:p>
      <w:r/>
      <w:r>
        <w:t>Naum parece descrever a correria para dentro da cidade momentos após as muralhas terem sido rompidas. Vêem-se os lampejos de vermelho enquanto os escudos são brandidos (</w:t>
      </w:r>
      <w:hyperlink r:id="rId5584">
        <w:r>
          <w:rPr>
            <w:color w:val="0000EE"/>
            <w:u w:val="single"/>
          </w:rPr>
          <w:t>2.3</w:t>
        </w:r>
      </w:hyperlink>
      <w:r>
        <w:t xml:space="preserve">) e ouve-se o som esmagador dos carros de guerra correndo loucamente (v </w:t>
      </w:r>
      <w:hyperlink r:id="rId15076">
        <w:r>
          <w:rPr>
            <w:color w:val="0000EE"/>
            <w:u w:val="single"/>
          </w:rPr>
          <w:t>4</w:t>
        </w:r>
      </w:hyperlink>
      <w:r>
        <w:t xml:space="preserve">), mas os defensores chegam tarde demais (v </w:t>
      </w:r>
      <w:hyperlink r:id="rId15077">
        <w:r>
          <w:rPr>
            <w:color w:val="0000EE"/>
            <w:u w:val="single"/>
          </w:rPr>
          <w:t>5</w:t>
        </w:r>
      </w:hyperlink>
      <w:r>
        <w:t>).</w:t>
      </w:r>
    </w:p>
    <w:p>
      <w:r/>
      <w:r>
        <w:t xml:space="preserve">Uma parte importante da estrutura defensiva de Nínive eram os fossos que cercavam a cidade. Esses fossos, alimentados por dois rios nas proximidades, são mencionados em </w:t>
      </w:r>
      <w:hyperlink r:id="rId15078">
        <w:r>
          <w:rPr>
            <w:color w:val="0000EE"/>
            <w:u w:val="single"/>
          </w:rPr>
          <w:t>2.6,8</w:t>
        </w:r>
      </w:hyperlink>
      <w:r>
        <w:t>. No entanto, esses fossos não conseguem deter os invasores.</w:t>
      </w:r>
    </w:p>
    <w:p>
      <w:r/>
      <w:r>
        <w:t>A linguagem novamente se torna vívida, pontuada por comandos rápidos: “Parem! Parem!” (</w:t>
      </w:r>
      <w:hyperlink r:id="rId15079">
        <w:r>
          <w:rPr>
            <w:color w:val="0000EE"/>
            <w:u w:val="single"/>
          </w:rPr>
          <w:t>2.8</w:t>
        </w:r>
      </w:hyperlink>
      <w:r>
        <w:t xml:space="preserve">). E ouve-se os invasores dizerem: “Saquem a prata! Pilhem o ouro!” Finalmente, o cerco termina, e há apenas desolação e ruína (v </w:t>
      </w:r>
      <w:hyperlink r:id="rId15080">
        <w:r>
          <w:rPr>
            <w:color w:val="0000EE"/>
            <w:u w:val="single"/>
          </w:rPr>
          <w:t>10</w:t>
        </w:r>
      </w:hyperlink>
      <w:r>
        <w:t>).</w:t>
      </w:r>
    </w:p>
    <w:p>
      <w:r/>
      <w:r>
        <w:t>Esta seção termina com uma referência aos leões (</w:t>
      </w:r>
      <w:hyperlink r:id="rId15081">
        <w:r>
          <w:rPr>
            <w:color w:val="0000EE"/>
            <w:u w:val="single"/>
          </w:rPr>
          <w:t>2.11–13</w:t>
        </w:r>
      </w:hyperlink>
      <w:r>
        <w:t xml:space="preserve">). No Antigo Testamento, os leões frequentemente representam os ímpios, especialmente quando os ímpios devoram os justos. A Assíria era muito semelhante a leões em seu tratamento dos judeus. Mas Deus declara que está contra os assírios (v </w:t>
      </w:r>
      <w:hyperlink r:id="rId15064">
        <w:r>
          <w:rPr>
            <w:color w:val="0000EE"/>
            <w:u w:val="single"/>
          </w:rPr>
          <w:t>13</w:t>
        </w:r>
      </w:hyperlink>
      <w:r>
        <w:t>) e os destruirá completamente.</w:t>
      </w:r>
    </w:p>
    <w:p>
      <w:r/>
      <w:r>
        <w:t>Esta seção, vívida e colorida em seu estilo, contém uma mensagem teológica profunda que não deve ser ignorada. Ela afirma a atividade de Deus na história e assegura ao crente que os inimigos de Deus nunca conquistarão definitivamente o povo de Deus. Pois Deus é Todo-Poderoso; Ele é um Deus vingador que cuida zelosamente dos Seus.</w:t>
      </w:r>
    </w:p>
    <w:p>
      <w:pPr>
        <w:pStyle w:val="Heading4"/>
      </w:pPr>
      <w:r>
        <w:t>Um lamento por Nínive (</w:t>
      </w:r>
      <w:hyperlink r:id="rId15082">
        <w:r>
          <w:rPr>
            <w:color w:val="0000EE"/>
            <w:u w:val="single"/>
          </w:rPr>
          <w:t>3.1–19</w:t>
        </w:r>
      </w:hyperlink>
      <w:r>
        <w:t>)</w:t>
      </w:r>
    </w:p>
    <w:p>
      <w:r/>
      <w:r>
        <w:t>O profeta pronuncia "ai" sobre a cidade em uma longa ode celebrando a queda de Nínive. Se ele parece obter satisfação excessiva com a destruição de Nínive, não é necessariamente porque ele tem uma natureza cruel. Os escritores do AT viam as nações ímpias do mundo como a personificação do mal. Quando Nínive caiu, a esfera da história testemunhou a conquista do mal por Deus naquele reino específico.</w:t>
      </w:r>
    </w:p>
    <w:p>
      <w:r/>
      <w:r>
        <w:t xml:space="preserve">Em </w:t>
      </w:r>
      <w:hyperlink r:id="rId15083">
        <w:r>
          <w:rPr>
            <w:color w:val="0000EE"/>
            <w:u w:val="single"/>
          </w:rPr>
          <w:t>3.1–7</w:t>
        </w:r>
      </w:hyperlink>
      <w:r>
        <w:t>, o profeta fala da vergonha que Nínive experimentará como resultado de sua queda. Ele descreve uma das causas da queda da Assíria como suas feitiçarias e prostituições (</w:t>
      </w:r>
      <w:hyperlink r:id="rId9151">
        <w:r>
          <w:rPr>
            <w:color w:val="0000EE"/>
            <w:u w:val="single"/>
          </w:rPr>
          <w:t>3.4</w:t>
        </w:r>
      </w:hyperlink>
      <w:r>
        <w:t>). Esta é uma referência evidente à religião idólatra da Assíria. Os sacerdotes assírios eram conhecidos por seu uso de adivinhação e presságios. Particularmente notáveis eram suas tentativas de prever o futuro observando os movimentos dos corpos celestes.</w:t>
      </w:r>
    </w:p>
    <w:p>
      <w:r/>
      <w:r>
        <w:t>O profeta mencionou outros países que caíram nas mãos de seus inimigos (</w:t>
      </w:r>
      <w:hyperlink r:id="rId15084">
        <w:r>
          <w:rPr>
            <w:color w:val="0000EE"/>
            <w:u w:val="single"/>
          </w:rPr>
          <w:t>3.8–11</w:t>
        </w:r>
      </w:hyperlink>
      <w:r>
        <w:t xml:space="preserve">) e afirmou que a Assíria não é melhor do que eles. Ele concluiu descrevendo a grandeza e o poder de Nínive, mas mostrou vividamente como tudo isso passaria. Seja fortificações (v </w:t>
      </w:r>
      <w:hyperlink r:id="rId15085">
        <w:r>
          <w:rPr>
            <w:color w:val="0000EE"/>
            <w:u w:val="single"/>
          </w:rPr>
          <w:t>12</w:t>
        </w:r>
      </w:hyperlink>
      <w:r>
        <w:t xml:space="preserve">), comércio extenso (v </w:t>
      </w:r>
      <w:hyperlink r:id="rId5185">
        <w:r>
          <w:rPr>
            <w:color w:val="0000EE"/>
            <w:u w:val="single"/>
          </w:rPr>
          <w:t>16</w:t>
        </w:r>
      </w:hyperlink>
      <w:r>
        <w:t xml:space="preserve">) ou soldados (v </w:t>
      </w:r>
      <w:hyperlink r:id="rId5950">
        <w:r>
          <w:rPr>
            <w:color w:val="0000EE"/>
            <w:u w:val="single"/>
          </w:rPr>
          <w:t>17</w:t>
        </w:r>
      </w:hyperlink>
      <w:r>
        <w:t>) — tudo irá desmoronar.</w:t>
      </w:r>
    </w:p>
    <w:p>
      <w:r/>
      <w:r>
        <w:rPr>
          <w:i/>
        </w:rPr>
        <w:t>Veja também</w:t>
      </w:r>
      <w:r>
        <w:t xml:space="preserve"> </w:t>
      </w:r>
      <w:r>
        <w:t>Israel, História de</w:t>
      </w:r>
      <w:r>
        <w:t xml:space="preserve">; </w:t>
      </w:r>
      <w:r>
        <w:t>Naum (Pessoa) #1</w:t>
      </w:r>
      <w:r>
        <w:t xml:space="preserve">; </w:t>
      </w:r>
      <w:r>
        <w:t>Profecia</w:t>
      </w:r>
      <w:r>
        <w:t xml:space="preserve">; </w:t>
      </w:r>
      <w:r>
        <w:t>Profeta, profetisa</w:t>
      </w:r>
      <w:r>
        <w:t>.</w:t>
      </w:r>
      <w:r/>
      <w:r/>
    </w:p>
    <w:p>
      <w:r/>
    </w:p>
    <w:p>
      <w:pPr>
        <w:pStyle w:val="Heading2"/>
      </w:pPr>
      <w:r>
        <w:t>Navalha</w:t>
      </w:r>
      <w:r/>
    </w:p>
    <w:p>
      <w:r/>
      <w:r>
        <w:t>Uma ferramenta afiada usada para raspar a barba ou cabelo (</w:t>
      </w:r>
      <w:hyperlink r:id="rId15086">
        <w:r>
          <w:rPr>
            <w:color w:val="0000EE"/>
            <w:u w:val="single"/>
          </w:rPr>
          <w:t>Nm 8.7</w:t>
        </w:r>
      </w:hyperlink>
      <w:r>
        <w:t xml:space="preserve">; </w:t>
      </w:r>
      <w:hyperlink r:id="rId15087">
        <w:r>
          <w:rPr>
            <w:color w:val="0000EE"/>
            <w:u w:val="single"/>
          </w:rPr>
          <w:t>Ez 5.1</w:t>
        </w:r>
      </w:hyperlink>
      <w:r>
        <w:t>). O uso da navalha era proibido para aqueles sob o voto de nazireu (</w:t>
      </w:r>
      <w:hyperlink r:id="rId15088">
        <w:r>
          <w:rPr>
            <w:color w:val="0000EE"/>
            <w:u w:val="single"/>
          </w:rPr>
          <w:t>Nm 6.5</w:t>
        </w:r>
      </w:hyperlink>
      <w:r>
        <w:t xml:space="preserve">; </w:t>
      </w:r>
      <w:hyperlink r:id="rId15089">
        <w:r>
          <w:rPr>
            <w:color w:val="0000EE"/>
            <w:u w:val="single"/>
          </w:rPr>
          <w:t>1Sm 1.11</w:t>
        </w:r>
      </w:hyperlink>
      <w:r>
        <w:t>). O instrumento desempenhou um papel central na vida de Sansão (</w:t>
      </w:r>
      <w:hyperlink r:id="rId6493">
        <w:r>
          <w:rPr>
            <w:color w:val="0000EE"/>
            <w:u w:val="single"/>
          </w:rPr>
          <w:t>Jz 13.5</w:t>
        </w:r>
      </w:hyperlink>
      <w:r>
        <w:t xml:space="preserve">; </w:t>
      </w:r>
      <w:hyperlink r:id="rId15090">
        <w:r>
          <w:rPr>
            <w:color w:val="0000EE"/>
            <w:u w:val="single"/>
          </w:rPr>
          <w:t>16.17</w:t>
        </w:r>
      </w:hyperlink>
      <w:r>
        <w:t>).</w:t>
      </w:r>
    </w:p>
    <w:p>
      <w:r/>
      <w:r>
        <w:t>A navalha é uma comparação para uma língua caluniosa (</w:t>
      </w:r>
      <w:hyperlink r:id="rId15091">
        <w:r>
          <w:rPr>
            <w:color w:val="0000EE"/>
            <w:u w:val="single"/>
          </w:rPr>
          <w:t>Sl 52.2</w:t>
        </w:r>
      </w:hyperlink>
      <w:r>
        <w:t>) e uma metáfora para julgamento (</w:t>
      </w:r>
      <w:hyperlink r:id="rId3930">
        <w:r>
          <w:rPr>
            <w:color w:val="0000EE"/>
            <w:u w:val="single"/>
          </w:rPr>
          <w:t>Is 7.20</w:t>
        </w:r>
      </w:hyperlink>
      <w:r>
        <w:t>).</w:t>
      </w:r>
      <w:r/>
      <w:r/>
    </w:p>
    <w:p>
      <w:r/>
    </w:p>
    <w:p>
      <w:pPr>
        <w:pStyle w:val="Heading2"/>
      </w:pPr>
      <w:r>
        <w:t>Nazaré</w:t>
      </w:r>
      <w:r/>
    </w:p>
    <w:p>
      <w:r/>
      <w:r>
        <w:t xml:space="preserve">Aldeia na província romana da Galileia, a casa de José, Maria e Jesus. Sempre pequena e isolada, Nazaré não é mencionada no AT, nos Apócrifos, nos escritos judaicos intertestamentários ou nas histórias de Josefo. A cidade fica ao norte da planície de Esdrelão, nas colinas de calcário do sul do Líbano. Situada em três lados de uma colina. Esta localização forma um vale protegido com um clima moderado, favorável a frutas e flores silvestres. Rotas de comércio e estradas passavam perto de Nazaré, mas a própria aldeia não ficava em nenhuma estrada principal. Nazaré fica a cerca de 24,1 quilômetros a oeste do Mar da Galileia e 32,2 quilômetros a leste do Mediterrâneo. Jerusalém fica a cerca de 112,6 quilômetros ao sul. Os vestígios arqueológicos indicam que a antiga cidade era mais alta na colina ocidental do que a aldeia atual (cf. </w:t>
      </w:r>
      <w:hyperlink r:id="rId15092">
        <w:r>
          <w:rPr>
            <w:color w:val="0000EE"/>
            <w:u w:val="single"/>
          </w:rPr>
          <w:t>Lc 4.29</w:t>
        </w:r>
      </w:hyperlink>
      <w:r>
        <w:t>). No tempo de Cristo, Nazaré, juntamente com toda a região do sul da Galileia, ficava fora do cenário principal da vida judaica, fornecendo assim o pano de fundo para a observação irônica de Natanael a Filipe: “Pode algo de bom sair de Nazaré?” (</w:t>
      </w:r>
      <w:hyperlink r:id="rId9744">
        <w:r>
          <w:rPr>
            <w:color w:val="0000EE"/>
            <w:u w:val="single"/>
          </w:rPr>
          <w:t>Jo 1.46</w:t>
        </w:r>
      </w:hyperlink>
      <w:r>
        <w:t>).</w:t>
      </w:r>
    </w:p>
    <w:p>
      <w:r/>
      <w:r>
        <w:t>Nazaré é mencionada pela primeira vez no NT como a casa de Maria e José (</w:t>
      </w:r>
      <w:hyperlink r:id="rId15093">
        <w:r>
          <w:rPr>
            <w:color w:val="0000EE"/>
            <w:u w:val="single"/>
          </w:rPr>
          <w:t>Lc 1.26–27</w:t>
        </w:r>
      </w:hyperlink>
      <w:r>
        <w:t>). Algum tempo depois de Jesus ter nascido na cidade ancestral de seus pais - Belém (cerca de 128,7 quilômetros ao sul) - Maria e José voltaram para Nazaré (</w:t>
      </w:r>
      <w:hyperlink r:id="rId3577">
        <w:r>
          <w:rPr>
            <w:color w:val="0000EE"/>
            <w:u w:val="single"/>
          </w:rPr>
          <w:t>Mt 2.23</w:t>
        </w:r>
      </w:hyperlink>
      <w:r>
        <w:t xml:space="preserve">; </w:t>
      </w:r>
      <w:hyperlink r:id="rId9741">
        <w:r>
          <w:rPr>
            <w:color w:val="0000EE"/>
            <w:u w:val="single"/>
          </w:rPr>
          <w:t>Lc 2.39</w:t>
        </w:r>
      </w:hyperlink>
      <w:r>
        <w:t>). Jesus cresceu lá (</w:t>
      </w:r>
      <w:hyperlink r:id="rId15094">
        <w:r>
          <w:rPr>
            <w:color w:val="0000EE"/>
            <w:u w:val="single"/>
          </w:rPr>
          <w:t>Lc 2.39–40,51</w:t>
        </w:r>
      </w:hyperlink>
      <w:r>
        <w:t>), deixando a aldeia para ser batizado por João no rio Jordão (</w:t>
      </w:r>
      <w:hyperlink r:id="rId15095">
        <w:r>
          <w:rPr>
            <w:color w:val="0000EE"/>
            <w:u w:val="single"/>
          </w:rPr>
          <w:t>Mc 1.9</w:t>
        </w:r>
      </w:hyperlink>
      <w:r>
        <w:t>). Quando João foi preso, Jesus dirigiu-se para Cafarnaum (</w:t>
      </w:r>
      <w:hyperlink r:id="rId3980">
        <w:r>
          <w:rPr>
            <w:color w:val="0000EE"/>
            <w:u w:val="single"/>
          </w:rPr>
          <w:t>Mt 4.13</w:t>
        </w:r>
      </w:hyperlink>
      <w:r>
        <w:t xml:space="preserve">). Embora Jesus tenha sido muitas vezes identificado por sua cidade de infância como “Jesus de Nazaré” (veja </w:t>
      </w:r>
      <w:hyperlink r:id="rId15096">
        <w:r>
          <w:rPr>
            <w:color w:val="0000EE"/>
            <w:u w:val="single"/>
          </w:rPr>
          <w:t>Mc 10.47</w:t>
        </w:r>
      </w:hyperlink>
      <w:r>
        <w:t xml:space="preserve">; </w:t>
      </w:r>
      <w:hyperlink r:id="rId15097">
        <w:r>
          <w:rPr>
            <w:color w:val="0000EE"/>
            <w:u w:val="single"/>
          </w:rPr>
          <w:t>Jo 18.5,7</w:t>
        </w:r>
      </w:hyperlink>
      <w:r>
        <w:t xml:space="preserve">; </w:t>
      </w:r>
      <w:hyperlink r:id="rId15098">
        <w:r>
          <w:rPr>
            <w:color w:val="0000EE"/>
            <w:u w:val="single"/>
          </w:rPr>
          <w:t>Atos 2.22</w:t>
        </w:r>
      </w:hyperlink>
      <w:r>
        <w:t>), o NT registra apenas uma visita subsequente de Jesus a Nazaré. Nesta ocasião, Jesus pregou na sinagoga e foi rejeitado pelos habitantes da cidade (</w:t>
      </w:r>
      <w:hyperlink r:id="rId6411">
        <w:r>
          <w:rPr>
            <w:color w:val="0000EE"/>
            <w:u w:val="single"/>
          </w:rPr>
          <w:t>Lc 4.16–30</w:t>
        </w:r>
      </w:hyperlink>
      <w:r>
        <w:t xml:space="preserve">; cf. </w:t>
      </w:r>
      <w:hyperlink r:id="rId15099">
        <w:r>
          <w:rPr>
            <w:color w:val="0000EE"/>
            <w:u w:val="single"/>
          </w:rPr>
          <w:t>Mt 13.54–58</w:t>
        </w:r>
      </w:hyperlink>
      <w:r>
        <w:t xml:space="preserve">; </w:t>
      </w:r>
      <w:hyperlink r:id="rId11746">
        <w:r>
          <w:rPr>
            <w:color w:val="0000EE"/>
            <w:u w:val="single"/>
          </w:rPr>
          <w:t>Mc 6.1–6</w:t>
        </w:r>
      </w:hyperlink>
      <w:r>
        <w:t>). Os seguidores de Jesus também eram chamados de “nazarenos” (</w:t>
      </w:r>
      <w:hyperlink r:id="rId10595">
        <w:r>
          <w:rPr>
            <w:color w:val="0000EE"/>
            <w:u w:val="single"/>
          </w:rPr>
          <w:t>Atos 24.5</w:t>
        </w:r>
      </w:hyperlink>
      <w:r>
        <w:t>).</w:t>
      </w:r>
    </w:p>
    <w:p>
      <w:r/>
      <w:r>
        <w:t>Nazaré permaneceu uma cidade judaica até o tempo do imperador Constantino (m. 327 d.C.), quando se tornou um lugar sagrado para peregrinos cristãos. Uma grande basílica foi construída em Nazaré por volta de 600 d.C., os árabes e os cruzados controlaram alternadamente a aldeia até 1517, quando ela caiu nas mãos dos turcos, que forçaram todos os cristãos a sair. Os cristãos voltaram em 1620, e a cidade se tornou um importante centro cristão.</w:t>
      </w:r>
    </w:p>
    <w:p>
      <w:r/>
      <w:r>
        <w:rPr>
          <w:i/>
        </w:rPr>
        <w:t>Veja também</w:t>
      </w:r>
      <w:r>
        <w:t xml:space="preserve"> </w:t>
      </w:r>
      <w:r>
        <w:t>Nazareno</w:t>
      </w:r>
      <w:r>
        <w:t>.</w:t>
      </w:r>
      <w:r/>
      <w:r/>
    </w:p>
    <w:p>
      <w:r/>
    </w:p>
    <w:p>
      <w:pPr>
        <w:pStyle w:val="Heading2"/>
      </w:pPr>
      <w:r>
        <w:t>Nazareno</w:t>
      </w:r>
      <w:r/>
    </w:p>
    <w:p>
      <w:r/>
      <w:r>
        <w:t>Nativo ou habitante de Nazaré, uma cidade do NT na baixa Galileia.</w:t>
      </w:r>
    </w:p>
    <w:p>
      <w:r/>
      <w:r>
        <w:t xml:space="preserve">Nazaré foi o lar de Jesus durante os primeiros 30 anos de sua vida. Uma vez que o nome Jesus era um nome comum entre os judeus, e já que os sobrenomes não eram usados, talvez a designação nazareno tenha diferenciado Jesus de Nazaré de outros com o mesmo nome (veja textos gregos de </w:t>
      </w:r>
      <w:hyperlink r:id="rId15100">
        <w:r>
          <w:rPr>
            <w:color w:val="0000EE"/>
            <w:u w:val="single"/>
          </w:rPr>
          <w:t>Mt 27.16–17</w:t>
        </w:r>
      </w:hyperlink>
      <w:r>
        <w:t xml:space="preserve">; </w:t>
      </w:r>
      <w:hyperlink r:id="rId15101">
        <w:r>
          <w:rPr>
            <w:color w:val="0000EE"/>
            <w:u w:val="single"/>
          </w:rPr>
          <w:t>Atos 7.45</w:t>
        </w:r>
      </w:hyperlink>
      <w:r>
        <w:t xml:space="preserve">; </w:t>
      </w:r>
      <w:hyperlink r:id="rId11687">
        <w:r>
          <w:rPr>
            <w:color w:val="0000EE"/>
            <w:u w:val="single"/>
          </w:rPr>
          <w:t>Cl 4.11</w:t>
        </w:r>
      </w:hyperlink>
      <w:r>
        <w:t xml:space="preserve">; e </w:t>
      </w:r>
      <w:hyperlink r:id="rId15102">
        <w:r>
          <w:rPr>
            <w:color w:val="0000EE"/>
            <w:u w:val="single"/>
          </w:rPr>
          <w:t>Hb 4.8</w:t>
        </w:r>
      </w:hyperlink>
      <w:r>
        <w:t>, onde o nome Jesus se refere a outros homens).</w:t>
      </w:r>
    </w:p>
    <w:p>
      <w:r/>
      <w:r>
        <w:t>Nos textos originais, a designação Jesus, o nazareno, foi usada por demônios (</w:t>
      </w:r>
      <w:hyperlink r:id="rId6115">
        <w:r>
          <w:rPr>
            <w:color w:val="0000EE"/>
            <w:u w:val="single"/>
          </w:rPr>
          <w:t>Mc 1.24</w:t>
        </w:r>
      </w:hyperlink>
      <w:r>
        <w:t xml:space="preserve">; </w:t>
      </w:r>
      <w:hyperlink r:id="rId15103">
        <w:r>
          <w:rPr>
            <w:color w:val="0000EE"/>
            <w:u w:val="single"/>
          </w:rPr>
          <w:t>Lc 4.34</w:t>
        </w:r>
      </w:hyperlink>
      <w:r>
        <w:t>), pela multidão fora de Jericó (</w:t>
      </w:r>
      <w:hyperlink r:id="rId15096">
        <w:r>
          <w:rPr>
            <w:color w:val="0000EE"/>
            <w:u w:val="single"/>
          </w:rPr>
          <w:t>Mc 10.47</w:t>
        </w:r>
      </w:hyperlink>
      <w:r>
        <w:t xml:space="preserve">; </w:t>
      </w:r>
      <w:hyperlink r:id="rId15104">
        <w:r>
          <w:rPr>
            <w:color w:val="0000EE"/>
            <w:u w:val="single"/>
          </w:rPr>
          <w:t>Lc 18.37</w:t>
        </w:r>
      </w:hyperlink>
      <w:r>
        <w:t>), uma serva (</w:t>
      </w:r>
      <w:hyperlink r:id="rId15105">
        <w:r>
          <w:rPr>
            <w:color w:val="0000EE"/>
            <w:u w:val="single"/>
          </w:rPr>
          <w:t>Mc 14.67</w:t>
        </w:r>
      </w:hyperlink>
      <w:r>
        <w:t>), soldados (</w:t>
      </w:r>
      <w:hyperlink r:id="rId15106">
        <w:r>
          <w:rPr>
            <w:color w:val="0000EE"/>
            <w:u w:val="single"/>
          </w:rPr>
          <w:t>Jo 18.5–7</w:t>
        </w:r>
      </w:hyperlink>
      <w:r>
        <w:t>), Pilatos (</w:t>
      </w:r>
      <w:hyperlink r:id="rId15107">
        <w:r>
          <w:rPr>
            <w:color w:val="0000EE"/>
            <w:u w:val="single"/>
          </w:rPr>
          <w:t>Jo 19.19</w:t>
        </w:r>
      </w:hyperlink>
      <w:r>
        <w:t>), os dois discípulos na estrada para Emaús (</w:t>
      </w:r>
      <w:hyperlink r:id="rId15108">
        <w:r>
          <w:rPr>
            <w:color w:val="0000EE"/>
            <w:u w:val="single"/>
          </w:rPr>
          <w:t>Lc 24.19</w:t>
        </w:r>
      </w:hyperlink>
      <w:r>
        <w:t>) e o anjo no túmulo (</w:t>
      </w:r>
      <w:hyperlink r:id="rId15109">
        <w:r>
          <w:rPr>
            <w:color w:val="0000EE"/>
            <w:u w:val="single"/>
          </w:rPr>
          <w:t>Mc 16.6</w:t>
        </w:r>
      </w:hyperlink>
      <w:r>
        <w:t>).</w:t>
      </w:r>
    </w:p>
    <w:p>
      <w:r/>
      <w:r>
        <w:t>Os apóstolos em Atos usaram esta designação para identificar Jesus. Pedro fala de Jesus, o nazareno, em seu sermão no dia de Pentecostes (</w:t>
      </w:r>
      <w:hyperlink r:id="rId15098">
        <w:r>
          <w:rPr>
            <w:color w:val="0000EE"/>
            <w:u w:val="single"/>
          </w:rPr>
          <w:t>Atos 2.22</w:t>
        </w:r>
      </w:hyperlink>
      <w:r>
        <w:t>), e no portão do templo em uma cura subsequente (</w:t>
      </w:r>
      <w:hyperlink r:id="rId14520">
        <w:r>
          <w:rPr>
            <w:color w:val="0000EE"/>
            <w:u w:val="single"/>
          </w:rPr>
          <w:t>3.6</w:t>
        </w:r>
      </w:hyperlink>
      <w:r>
        <w:t xml:space="preserve">; </w:t>
      </w:r>
      <w:hyperlink r:id="rId8806">
        <w:r>
          <w:rPr>
            <w:color w:val="0000EE"/>
            <w:u w:val="single"/>
          </w:rPr>
          <w:t>4.10</w:t>
        </w:r>
      </w:hyperlink>
      <w:r>
        <w:t xml:space="preserve">). Paulo identifica Jesus desta maneira em </w:t>
      </w:r>
      <w:hyperlink r:id="rId15110">
        <w:r>
          <w:rPr>
            <w:color w:val="0000EE"/>
            <w:u w:val="single"/>
          </w:rPr>
          <w:t>Atos 26.9</w:t>
        </w:r>
      </w:hyperlink>
      <w:r>
        <w:t>.</w:t>
      </w:r>
    </w:p>
    <w:p>
      <w:r/>
      <w:r>
        <w:t xml:space="preserve">Uma referência hostil a este nome está em </w:t>
      </w:r>
      <w:hyperlink r:id="rId15111">
        <w:r>
          <w:rPr>
            <w:color w:val="0000EE"/>
            <w:u w:val="single"/>
          </w:rPr>
          <w:t>Atos 6.14</w:t>
        </w:r>
      </w:hyperlink>
      <w:r>
        <w:t xml:space="preserve">. As falsas testemunhas contra Estêvão o acusaram diante do Sinédrio dizendo: “Este nazareno, Jesus, destruirá este lugar [templo] e alterará os costumes que Moisés nos transmitiu” (veja o grego). Outra referência antagônica está em </w:t>
      </w:r>
      <w:hyperlink r:id="rId10595">
        <w:r>
          <w:rPr>
            <w:color w:val="0000EE"/>
            <w:u w:val="single"/>
          </w:rPr>
          <w:t>Atos 24.5</w:t>
        </w:r>
      </w:hyperlink>
      <w:r>
        <w:t>, a única referência aos seguidores de Jesus como nazarenos. Tértulo acusou Paulo, dizendo: “Porque este é um causador de problemas, um homem que está constantemente incitando os judeus em todo o mundo a tumultos e rebeliões contra o governo romano. Ele é um líder da seita conhecida como os nazarenos”</w:t>
      </w:r>
    </w:p>
    <w:p>
      <w:r/>
      <w:r>
        <w:t xml:space="preserve">Com relação ao nome “Nazareno”, </w:t>
      </w:r>
      <w:hyperlink r:id="rId3577">
        <w:r>
          <w:rPr>
            <w:color w:val="0000EE"/>
            <w:u w:val="single"/>
          </w:rPr>
          <w:t>Mateus 2.23</w:t>
        </w:r>
      </w:hyperlink>
      <w:r>
        <w:t xml:space="preserve"> sempre foi problemático: “Então eles foram e habitaram em uma cidade chamada Nazaré. Isso cumpriu o que foi falado pelos profetas a respeito do Messias: ‘Ele será chamado de nazareno’ Nenhuma profecia do AT afirma diretamente que o Messias seria chamado de nazareno. Alguns estudiosos relacionam a referência de Mateus a </w:t>
      </w:r>
      <w:hyperlink r:id="rId3578">
        <w:r>
          <w:rPr>
            <w:color w:val="0000EE"/>
            <w:u w:val="single"/>
          </w:rPr>
          <w:t>Isaías 11.1</w:t>
        </w:r>
      </w:hyperlink>
      <w:r>
        <w:t>, que fala do Messias como um ramo, um termo hebraico derivado da mesma raiz de “Nazaré”. Outros sugerem que as profecias do AT dizem respeito ao desprezo e insulto ao Messias por ser considerado pelos outros como um nazareno, quando era bem conhecido que o Messias deveria vir de Belém, a cidade de Davi. É claro, foi lá que Jesus nasceu, mas ele foi criado em Nazaré e, posteriormente, foi conhecido como um nazareno e, assim, ridicularizado. Assim, a profecia foi cumprida quando alguns de seus contemporâneos o chamaram de nazareno, da cidade desprezada de Nazaré (</w:t>
      </w:r>
      <w:hyperlink r:id="rId9744">
        <w:r>
          <w:rPr>
            <w:color w:val="0000EE"/>
            <w:u w:val="single"/>
          </w:rPr>
          <w:t>Jo 1.46</w:t>
        </w:r>
      </w:hyperlink>
      <w:r>
        <w:t xml:space="preserve">; cf. </w:t>
      </w:r>
      <w:hyperlink r:id="rId15112">
        <w:r>
          <w:rPr>
            <w:color w:val="0000EE"/>
            <w:u w:val="single"/>
          </w:rPr>
          <w:t>Mt 13.54</w:t>
        </w:r>
      </w:hyperlink>
      <w:r>
        <w:t xml:space="preserve">; </w:t>
      </w:r>
      <w:hyperlink r:id="rId15113">
        <w:r>
          <w:rPr>
            <w:color w:val="0000EE"/>
            <w:u w:val="single"/>
          </w:rPr>
          <w:t>Mc 6.2–3</w:t>
        </w:r>
      </w:hyperlink>
      <w:r>
        <w:t xml:space="preserve">; </w:t>
      </w:r>
      <w:hyperlink r:id="rId12058">
        <w:r>
          <w:rPr>
            <w:color w:val="0000EE"/>
            <w:u w:val="single"/>
          </w:rPr>
          <w:t>Lc 4.22</w:t>
        </w:r>
      </w:hyperlink>
      <w:r>
        <w:t>).</w:t>
      </w:r>
    </w:p>
    <w:p>
      <w:r/>
      <w:r>
        <w:rPr>
          <w:i/>
        </w:rPr>
        <w:t>Veja também</w:t>
      </w:r>
      <w:r>
        <w:t xml:space="preserve"> </w:t>
      </w:r>
      <w:r>
        <w:t>Nazaré</w:t>
      </w:r>
      <w:r>
        <w:t>.</w:t>
      </w:r>
      <w:r/>
      <w:r/>
    </w:p>
    <w:p>
      <w:r/>
    </w:p>
    <w:p>
      <w:pPr>
        <w:pStyle w:val="Heading2"/>
      </w:pPr>
      <w:r>
        <w:t>Nazarenos</w:t>
      </w:r>
      <w:r/>
    </w:p>
    <w:p>
      <w:r/>
      <w:r>
        <w:t>Nazarenos era o nome dado àqueles que seguiam Jesus de Nazaré. Como as pessoas conheciam Jesus como "Jesus de Nazaré" ou "Jesus, o nazareno", foi fácil transferir esse título para seus seguidores. Eles eram "seguidores do Nazareno" ou "nazarenos".</w:t>
      </w:r>
    </w:p>
    <w:p>
      <w:r/>
      <w:r>
        <w:t xml:space="preserve">O uso mais antigo do termo está em </w:t>
      </w:r>
      <w:hyperlink r:id="rId10595">
        <w:r>
          <w:rPr>
            <w:color w:val="0000EE"/>
            <w:u w:val="single"/>
          </w:rPr>
          <w:t>Atos 24.5.</w:t>
        </w:r>
      </w:hyperlink>
      <w:r>
        <w:t xml:space="preserve"> Tértulo acusou o apóstolo Paulo de ser “o líder do partido dos nazarenos”. Isso não foi um elogio.</w:t>
      </w:r>
    </w:p>
    <w:p>
      <w:r/>
      <w:r>
        <w:t xml:space="preserve">Os primeiros cristãos provavelmente não usaram esse nome para si mesmos. No entanto, grupos judaico-cristãos e gnósticos posteriores (grupos religiosos que enfatizavam um conhecimento secreto especial) se autodenominavam nazarenos. Um dos primeiros escritos foi até chamado de </w:t>
      </w:r>
      <w:r>
        <w:rPr>
          <w:i/>
        </w:rPr>
        <w:t>O Evangelho dos Nazarenos</w:t>
      </w:r>
      <w:r>
        <w:t>.</w:t>
      </w:r>
      <w:r/>
      <w:r/>
    </w:p>
    <w:p>
      <w:r/>
    </w:p>
    <w:p>
      <w:pPr>
        <w:pStyle w:val="Heading2"/>
      </w:pPr>
      <w:r>
        <w:t>Nazireu</w:t>
      </w:r>
      <w:r/>
    </w:p>
    <w:p>
      <w:r/>
      <w:r>
        <w:t>Pessoa que foi escolhida ou consagrada para a vida ou por um período determinado para cumprir um voto a Deus. O nazireu dedicava-se a uma disciplina autoimposta para realizar algum serviço especial (</w:t>
      </w:r>
      <w:hyperlink r:id="rId12561">
        <w:r>
          <w:rPr>
            <w:color w:val="0000EE"/>
            <w:u w:val="single"/>
          </w:rPr>
          <w:t>Nm 6.1–21</w:t>
        </w:r>
      </w:hyperlink>
      <w:r>
        <w:t>).</w:t>
      </w:r>
    </w:p>
    <w:p>
      <w:r/>
      <w:r>
        <w:t>A tradição israelita via o nazireu como alguém consagrado para a vida. Sansão foi o antigo herói dos nazireus. Ele foi “consagrado a Deus” através do voto de sua mãe (</w:t>
      </w:r>
      <w:hyperlink r:id="rId6493">
        <w:r>
          <w:rPr>
            <w:color w:val="0000EE"/>
            <w:u w:val="single"/>
          </w:rPr>
          <w:t>Jz 13.5</w:t>
        </w:r>
      </w:hyperlink>
      <w:r>
        <w:t xml:space="preserve">; </w:t>
      </w:r>
      <w:hyperlink r:id="rId15090">
        <w:r>
          <w:rPr>
            <w:color w:val="0000EE"/>
            <w:u w:val="single"/>
          </w:rPr>
          <w:t>16.17</w:t>
        </w:r>
      </w:hyperlink>
      <w:r>
        <w:t>) e permaneceu sob esse voto até o “dia de sua morte” (</w:t>
      </w:r>
      <w:hyperlink r:id="rId12560">
        <w:r>
          <w:rPr>
            <w:color w:val="0000EE"/>
            <w:u w:val="single"/>
          </w:rPr>
          <w:t>13.7</w:t>
        </w:r>
      </w:hyperlink>
      <w:r>
        <w:t>). Enquanto o cabelo de Sansão não fosse cortado, ele era capaz de receber o Espírito do Senhor e, assim, realizar feitos físicos incríveis.</w:t>
      </w:r>
    </w:p>
    <w:p>
      <w:r/>
      <w:r>
        <w:t>Os primeiros votos de nazireu podem ter sido associados a cerimônias de guerra santa. Os combatentes eram consagrados a Deus e talvez usassem cabelos longos (</w:t>
      </w:r>
      <w:hyperlink r:id="rId6493">
        <w:r>
          <w:rPr>
            <w:color w:val="0000EE"/>
            <w:u w:val="single"/>
          </w:rPr>
          <w:t>Jz 13.5</w:t>
        </w:r>
      </w:hyperlink>
      <w:r>
        <w:t>). O profeta Samuel não cortou o cabelo por causa do voto de sua mãe de que nenhuma navalha tocaria sua cabeça (</w:t>
      </w:r>
      <w:hyperlink r:id="rId15089">
        <w:r>
          <w:rPr>
            <w:color w:val="0000EE"/>
            <w:u w:val="single"/>
          </w:rPr>
          <w:t>1Sm 1.11</w:t>
        </w:r>
      </w:hyperlink>
      <w:r>
        <w:t>); a Septuaginta acrescenta que ele não deveria beber vinho. O voto de nazireu de não cortar o cabelo estava associado a ser consagrado ao serviço de Deus e era especialmente comum durante os dias carismáticos dos primeiros líderes de Israel.</w:t>
      </w:r>
    </w:p>
    <w:p>
      <w:r/>
      <w:r>
        <w:t>O nazireado tornou-se um ritual para aqueles que desejavam se consagrar temporariamente a Deus. Durante o período de consagração, o devoto se abstinha de beber vinho, deixava o cabelo crescer e evitava qualquer contato com corpos mortos.</w:t>
      </w:r>
    </w:p>
    <w:p>
      <w:r/>
      <w:r>
        <w:t>Cabelos não cortados simbolizam força e vida. Talvez este seja o significado pretendido de nazir quando usado para descrever José na bênção de Jacó (</w:t>
      </w:r>
      <w:hyperlink r:id="rId10737">
        <w:r>
          <w:rPr>
            <w:color w:val="0000EE"/>
            <w:u w:val="single"/>
          </w:rPr>
          <w:t>Gn 49.26</w:t>
        </w:r>
      </w:hyperlink>
      <w:r>
        <w:t>) e na bênção de Moisés (</w:t>
      </w:r>
      <w:hyperlink r:id="rId15114">
        <w:r>
          <w:rPr>
            <w:color w:val="0000EE"/>
            <w:u w:val="single"/>
          </w:rPr>
          <w:t>Dt 33.16</w:t>
        </w:r>
      </w:hyperlink>
      <w:r>
        <w:t>). Vinhedos que não eram podados em anos sabáticos ou de jubileu eram considerados nazir</w:t>
      </w:r>
      <w:r>
        <w:rPr>
          <w:i/>
        </w:rPr>
        <w:t>.</w:t>
      </w:r>
    </w:p>
    <w:p>
      <w:r/>
      <w:r>
        <w:t>Em tempos posteriores, tocar ou se aproximar de um corpo morto era a ofensa mais grave contra o voto. Se alguém morresse em sua presença, um nazireu tornava-se impuro. Um nazireu contaminado deveria raspar sua "cabeça contaminada" no dia da purificação. Em seguida, ele deveria levar dois pombos jovens ao sacerdote, que ofereceria um como oferta pelo pecado. E, finalmente, ele deveria trazer um cordeiro macho como oferta pela culpa (</w:t>
      </w:r>
      <w:hyperlink r:id="rId15115">
        <w:r>
          <w:rPr>
            <w:color w:val="0000EE"/>
            <w:u w:val="single"/>
          </w:rPr>
          <w:t>Nm 6.9–12</w:t>
        </w:r>
      </w:hyperlink>
      <w:r>
        <w:t>). Por causa dessa contaminação, o nazireu tinha que começar seus dias de separação novamente.</w:t>
      </w:r>
    </w:p>
    <w:p>
      <w:r/>
      <w:r>
        <w:t>No final do seu período de separação, ele se "profanava" através de uma cerimônia: oferecia um sacrifício pelo pecado e um sacrifício de comunhão, depois raspava a cabeça e queimava o cabelo. Após isso, o nazireu retornava à sua vida normal e poderia beber vinho (</w:t>
      </w:r>
      <w:hyperlink r:id="rId15116">
        <w:r>
          <w:rPr>
            <w:color w:val="0000EE"/>
            <w:u w:val="single"/>
          </w:rPr>
          <w:t>Nm 6.13–21</w:t>
        </w:r>
      </w:hyperlink>
      <w:r>
        <w:t>).</w:t>
      </w:r>
    </w:p>
    <w:p>
      <w:r/>
      <w:r>
        <w:t>Paulo completou um voto semelhante em Cencreia nos tempos do NT (</w:t>
      </w:r>
      <w:hyperlink r:id="rId3928">
        <w:r>
          <w:rPr>
            <w:color w:val="0000EE"/>
            <w:u w:val="single"/>
          </w:rPr>
          <w:t>At 18.18</w:t>
        </w:r>
      </w:hyperlink>
      <w:r>
        <w:t>) e, depois novamente, junto com quatro outros nazireus em Jerusalém (</w:t>
      </w:r>
      <w:hyperlink r:id="rId15117">
        <w:r>
          <w:rPr>
            <w:color w:val="0000EE"/>
            <w:u w:val="single"/>
          </w:rPr>
          <w:t>At 21.23–24</w:t>
        </w:r>
      </w:hyperlink>
      <w:r>
        <w:t>). No Talmude, o período de tempo para a consagração era geralmente de 30 dias. Era costume que os ricos ajudassem os nazireus pobres na compra de suas ofertas. Durante o período macabeu, os nazireus não puderam completar seus ritos porque o templo foi profanado (</w:t>
      </w:r>
      <w:hyperlink r:id="rId15118">
        <w:r>
          <w:rPr>
            <w:color w:val="0000EE"/>
            <w:u w:val="single"/>
          </w:rPr>
          <w:t>1Mc 3.49–51</w:t>
        </w:r>
      </w:hyperlink>
      <w:r>
        <w:t>).</w:t>
      </w:r>
      <w:r/>
      <w:r/>
    </w:p>
    <w:p>
      <w:r/>
    </w:p>
    <w:p>
      <w:pPr>
        <w:pStyle w:val="Heading2"/>
      </w:pPr>
      <w:r>
        <w:t>Neápolis</w:t>
      </w:r>
      <w:r/>
    </w:p>
    <w:p>
      <w:r/>
      <w:r>
        <w:t>Neápolis era uma cidade portuária que servia à cidade maior de Filipos. Hoje, essa antiga cidade é conhecida como Kavalla. O nome Neápolis vem de uma palavra grega que significa "cidade nova". Neápolis já existia no século V a.C. Durante o período do Império Romano, Neápolis claramente dependia da cidade vizinha de Filipos.</w:t>
      </w:r>
    </w:p>
    <w:p>
      <w:r/>
      <w:r>
        <w:t>O apóstolo Paulo sonhou com um homem da Macedônia pedindo ajuda. Depois disso, Paulo deixou Troas e o continente da Ásia para viajar para o continente da Europa. Paulo e seus companheiros navegaram além da ilha de Samotrácia e então chegaram a Neápolis. Isso fez de Neápolis a primeira cidade europeia que Paulo visitou durante suas jornadas missionárias (</w:t>
      </w:r>
      <w:hyperlink r:id="rId15119">
        <w:r>
          <w:rPr>
            <w:color w:val="0000EE"/>
            <w:u w:val="single"/>
          </w:rPr>
          <w:t>At 16.11</w:t>
        </w:r>
      </w:hyperlink>
      <w:r>
        <w:t>).</w:t>
      </w:r>
      <w:r/>
      <w:r/>
    </w:p>
    <w:p>
      <w:r/>
    </w:p>
    <w:p>
      <w:pPr>
        <w:pStyle w:val="Heading2"/>
      </w:pPr>
      <w:r>
        <w:t>Nebaiote</w:t>
      </w:r>
      <w:r/>
    </w:p>
    <w:p>
      <w:r/>
      <w:r>
        <w:t>O primogênito dos 12 filhos de Ismael (</w:t>
      </w:r>
      <w:hyperlink r:id="rId14358">
        <w:r>
          <w:rPr>
            <w:color w:val="0000EE"/>
            <w:u w:val="single"/>
          </w:rPr>
          <w:t>Gn 25.13</w:t>
        </w:r>
      </w:hyperlink>
      <w:r>
        <w:t xml:space="preserve">; </w:t>
      </w:r>
      <w:hyperlink r:id="rId2477">
        <w:r>
          <w:rPr>
            <w:color w:val="0000EE"/>
            <w:u w:val="single"/>
          </w:rPr>
          <w:t>1Cr 1.29</w:t>
        </w:r>
      </w:hyperlink>
      <w:r>
        <w:t xml:space="preserve">). Sua irmã era Maalate, que também era chamada de “Basemate” (cp. </w:t>
      </w:r>
      <w:hyperlink r:id="rId3168">
        <w:r>
          <w:rPr>
            <w:color w:val="0000EE"/>
            <w:u w:val="single"/>
          </w:rPr>
          <w:t>Gn 36.3</w:t>
        </w:r>
      </w:hyperlink>
      <w:r>
        <w:t>). Mais tarde, ela se casou com Esaú (</w:t>
      </w:r>
      <w:hyperlink r:id="rId3170">
        <w:r>
          <w:rPr>
            <w:color w:val="0000EE"/>
            <w:u w:val="single"/>
          </w:rPr>
          <w:t>Gn 28.9</w:t>
        </w:r>
      </w:hyperlink>
      <w:r>
        <w:t>).</w:t>
      </w:r>
    </w:p>
    <w:p>
      <w:r/>
      <w:r>
        <w:t>A identidade dos descendentes de Nebaiote é incerta. Eles podem ser os ancestrais da tribo árabe nabateia que possuía a terra de Edom e partes da área a leste do Rio Jordão (Transjordânia) até o norte, em Palmira (antiga Tadmor). Os descendentes de Nebaiote e Quedar são conhecidos por seus excelentes rebanhos de ovelhas (</w:t>
      </w:r>
      <w:hyperlink r:id="rId2343">
        <w:r>
          <w:rPr>
            <w:color w:val="0000EE"/>
            <w:u w:val="single"/>
          </w:rPr>
          <w:t>Is 60.7</w:t>
        </w:r>
      </w:hyperlink>
      <w:r>
        <w:t>). Eles também são mencionados nos escritos do rei assírio Assurbanípal, que viveu no século VII a.C.</w:t>
      </w:r>
      <w:r/>
      <w:r/>
    </w:p>
    <w:p>
      <w:r/>
    </w:p>
    <w:p>
      <w:pPr>
        <w:pStyle w:val="Heading2"/>
      </w:pPr>
      <w:r>
        <w:t>Nebo (Lugar)</w:t>
      </w:r>
      <w:r/>
    </w:p>
    <w:p>
      <w:r/>
      <w:r>
        <w:t>1. Cidade localizada nas terras altas pastorais da Transjordânia e desejada pelos filhos de Gade e Rúben (</w:t>
      </w:r>
      <w:hyperlink r:id="rId2947">
        <w:r>
          <w:rPr>
            <w:color w:val="0000EE"/>
            <w:u w:val="single"/>
          </w:rPr>
          <w:t>Nm 32.3</w:t>
        </w:r>
      </w:hyperlink>
      <w:r>
        <w:t>). Rúben recebeu esta cidade (</w:t>
      </w:r>
      <w:hyperlink r:id="rId2943">
        <w:r>
          <w:rPr>
            <w:color w:val="0000EE"/>
            <w:u w:val="single"/>
          </w:rPr>
          <w:t>Nm 32.38</w:t>
        </w:r>
      </w:hyperlink>
      <w:r>
        <w:t xml:space="preserve">; </w:t>
      </w:r>
      <w:hyperlink r:id="rId2944">
        <w:r>
          <w:rPr>
            <w:color w:val="0000EE"/>
            <w:u w:val="single"/>
          </w:rPr>
          <w:t>1Cr 5.8</w:t>
        </w:r>
      </w:hyperlink>
      <w:r>
        <w:t>), mas por fim a perdeu para o rei Mesa de Moabe por volta de 850 a.C. Mais tarde, Isaías (</w:t>
      </w:r>
      <w:hyperlink r:id="rId3929">
        <w:r>
          <w:rPr>
            <w:color w:val="0000EE"/>
            <w:u w:val="single"/>
          </w:rPr>
          <w:t>Is 15.2</w:t>
        </w:r>
      </w:hyperlink>
      <w:r>
        <w:t>) e Jeremias (</w:t>
      </w:r>
      <w:hyperlink r:id="rId15120">
        <w:r>
          <w:rPr>
            <w:color w:val="0000EE"/>
            <w:u w:val="single"/>
          </w:rPr>
          <w:t>Jr 48.1,22</w:t>
        </w:r>
      </w:hyperlink>
      <w:r>
        <w:t>) previram a destruição de Nebo como parte do julgamento de Deus contra Moabe.</w:t>
      </w:r>
    </w:p>
    <w:p>
      <w:r/>
      <w:r>
        <w:t>2. Cume na porção de Pisga da cordilheira Abarim, situada a 12,9 quilômetros a leste do rio Jordão, no canto nordeste do Mar Morto, no topo do qual Moisés viu a Terra Prometida de Canaã antes de morrer (</w:t>
      </w:r>
      <w:hyperlink r:id="rId14800">
        <w:r>
          <w:rPr>
            <w:color w:val="0000EE"/>
            <w:u w:val="single"/>
          </w:rPr>
          <w:t>Dt 32.49</w:t>
        </w:r>
      </w:hyperlink>
      <w:r>
        <w:t xml:space="preserve">; </w:t>
      </w:r>
      <w:hyperlink r:id="rId6742">
        <w:r>
          <w:rPr>
            <w:color w:val="0000EE"/>
            <w:u w:val="single"/>
          </w:rPr>
          <w:t>34.1</w:t>
        </w:r>
      </w:hyperlink>
      <w:r>
        <w:t>). Seu local foi identificado de várias maneiras como Jebel en Neba ou Khirbet el-Mekhaiyet.</w:t>
      </w:r>
    </w:p>
    <w:p>
      <w:r/>
      <w:r>
        <w:rPr>
          <w:i/>
        </w:rPr>
        <w:t>Veja também</w:t>
      </w:r>
      <w:r>
        <w:t xml:space="preserve"> </w:t>
      </w:r>
      <w:r>
        <w:t>Nebo, Monte</w:t>
      </w:r>
      <w:r>
        <w:t>.</w:t>
      </w:r>
      <w:r/>
      <w:r/>
    </w:p>
    <w:p>
      <w:r/>
    </w:p>
    <w:p>
      <w:pPr>
        <w:pStyle w:val="Heading2"/>
      </w:pPr>
      <w:r>
        <w:t>Necromante, Necromancia</w:t>
      </w:r>
      <w:r/>
    </w:p>
    <w:p>
      <w:r/>
      <w:r>
        <w:t>Um necromante é alguém que tenta falar com pessoas mortas. Necromancia é a prática de tentar se comunicar com os mortos para aprender segredos ou prever o futuro. A lei de Deus proibia estritamente os israelitas de fazerem isso (</w:t>
      </w:r>
      <w:hyperlink r:id="rId14851">
        <w:r>
          <w:rPr>
            <w:color w:val="0000EE"/>
            <w:u w:val="single"/>
          </w:rPr>
          <w:t>Dt 18.11</w:t>
        </w:r>
      </w:hyperlink>
      <w:r>
        <w:t>).</w:t>
      </w:r>
    </w:p>
    <w:p>
      <w:r/>
      <w:r>
        <w:rPr>
          <w:i/>
        </w:rPr>
        <w:t>Veja</w:t>
      </w:r>
      <w:r>
        <w:t xml:space="preserve"> </w:t>
      </w:r>
      <w:r>
        <w:t>Magia</w:t>
      </w:r>
      <w:r>
        <w:t xml:space="preserve">; </w:t>
      </w:r>
      <w:r>
        <w:t>Médium</w:t>
      </w:r>
      <w:r>
        <w:t xml:space="preserve">; </w:t>
      </w:r>
      <w:r>
        <w:t>Videntes</w:t>
      </w:r>
      <w:r>
        <w:t>.</w:t>
      </w:r>
      <w:r/>
      <w:r/>
    </w:p>
    <w:p>
      <w:r/>
    </w:p>
    <w:p>
      <w:pPr>
        <w:pStyle w:val="Heading2"/>
      </w:pPr>
      <w:r>
        <w:t>Nefegue</w:t>
      </w:r>
      <w:r/>
    </w:p>
    <w:p>
      <w:pPr>
        <w:pStyle w:val="ListNumber"/>
        <w:spacing w:line="240" w:lineRule="auto"/>
        <w:ind w:left="720"/>
      </w:pPr>
      <w:r/>
      <w:r>
        <w:t>Um levita da família de Coate e o segundo dos três filhos de Isar (</w:t>
      </w:r>
      <w:hyperlink r:id="rId7781">
        <w:r>
          <w:rPr>
            <w:color w:val="0000EE"/>
            <w:u w:val="single"/>
          </w:rPr>
          <w:t>Êx 6.21</w:t>
        </w:r>
      </w:hyperlink>
      <w:r>
        <w:t>).</w:t>
      </w:r>
    </w:p>
    <w:p>
      <w:pPr>
        <w:pStyle w:val="ListNumber"/>
        <w:spacing w:line="240" w:lineRule="auto"/>
        <w:ind w:left="720"/>
      </w:pPr>
      <w:r/>
      <w:r>
        <w:t>Filho de Davi nascido durante seu reinado em Jerusalém (</w:t>
      </w:r>
      <w:hyperlink r:id="rId7948">
        <w:r>
          <w:rPr>
            <w:color w:val="0000EE"/>
            <w:u w:val="single"/>
          </w:rPr>
          <w:t>2Sm 5.15</w:t>
        </w:r>
      </w:hyperlink>
      <w:r>
        <w:t xml:space="preserve">; </w:t>
      </w:r>
      <w:hyperlink r:id="rId15121">
        <w:r>
          <w:rPr>
            <w:color w:val="0000EE"/>
            <w:u w:val="single"/>
          </w:rPr>
          <w:t>1Cr 3.7</w:t>
        </w:r>
      </w:hyperlink>
      <w:r>
        <w:t xml:space="preserve">; </w:t>
      </w:r>
      <w:hyperlink r:id="rId15122">
        <w:r>
          <w:rPr>
            <w:color w:val="0000EE"/>
            <w:u w:val="single"/>
          </w:rPr>
          <w:t>14.6</w:t>
        </w:r>
      </w:hyperlink>
      <w:r>
        <w:t>).</w:t>
      </w:r>
      <w:r/>
      <w:r/>
    </w:p>
    <w:p>
      <w:r/>
    </w:p>
    <w:p>
      <w:pPr>
        <w:pStyle w:val="Heading2"/>
      </w:pPr>
      <w:r>
        <w:t>Nefilins</w:t>
      </w:r>
      <w:r/>
    </w:p>
    <w:p>
      <w:r/>
      <w:r>
        <w:t>Um grupo inicial de pessoas mencionado apenas duas vezes no Antigo Testamento (</w:t>
      </w:r>
      <w:hyperlink r:id="rId9938">
        <w:r>
          <w:rPr>
            <w:color w:val="0000EE"/>
            <w:u w:val="single"/>
          </w:rPr>
          <w:t>Gn 6.4</w:t>
        </w:r>
      </w:hyperlink>
      <w:r>
        <w:t xml:space="preserve">; </w:t>
      </w:r>
      <w:hyperlink r:id="rId9939">
        <w:r>
          <w:rPr>
            <w:color w:val="0000EE"/>
            <w:u w:val="single"/>
          </w:rPr>
          <w:t>Nm 13.33</w:t>
        </w:r>
      </w:hyperlink>
      <w:r>
        <w:t>). A tradução grega das Escrituras Hebraicas (a Septuaginta) traduziu "nefilim" como "gigantes". Outras versões, como a ARC e ARA, seguiram essa tradução. As traduções modernas variam entre "nefilins" e "gigantes". Eles são associados aos anaquins (</w:t>
      </w:r>
      <w:hyperlink r:id="rId9939">
        <w:r>
          <w:rPr>
            <w:color w:val="0000EE"/>
            <w:u w:val="single"/>
          </w:rPr>
          <w:t>Nm 13.33</w:t>
        </w:r>
      </w:hyperlink>
      <w:r>
        <w:t xml:space="preserve">; </w:t>
      </w:r>
      <w:hyperlink r:id="rId15123">
        <w:r>
          <w:rPr>
            <w:color w:val="0000EE"/>
            <w:u w:val="single"/>
          </w:rPr>
          <w:t>Dt 2.21</w:t>
        </w:r>
      </w:hyperlink>
      <w:r>
        <w:t>) e aos refains (</w:t>
      </w:r>
      <w:hyperlink r:id="rId9940">
        <w:r>
          <w:rPr>
            <w:color w:val="0000EE"/>
            <w:u w:val="single"/>
          </w:rPr>
          <w:t>Dt 2.20</w:t>
        </w:r>
      </w:hyperlink>
      <w:r>
        <w:t>). Esses grupos eram conhecidos por seu grande tamanho, razão pela qual eram frequentemente chamados de "gigantes".</w:t>
      </w:r>
    </w:p>
    <w:p>
      <w:r/>
      <w:r>
        <w:t xml:space="preserve">A origem dos nefilins é incerta. Alguns dizem que o verbo hebraico </w:t>
      </w:r>
      <w:r>
        <w:rPr>
          <w:i/>
        </w:rPr>
        <w:t>naphal</w:t>
      </w:r>
      <w:r>
        <w:t>, que significa "cair", implica que os nefilins eram "caídos". Estes seriam anjos caídos que mais tarde tiveram filhos com mulheres humanas. Mas Jesus ensinou que os anjos não têm relações físicas (</w:t>
      </w:r>
      <w:hyperlink r:id="rId15124">
        <w:r>
          <w:rPr>
            <w:color w:val="0000EE"/>
            <w:u w:val="single"/>
          </w:rPr>
          <w:t>Lc 20.34–35</w:t>
        </w:r>
      </w:hyperlink>
      <w:r>
        <w:t xml:space="preserve">). Esta ideia assume que </w:t>
      </w:r>
      <w:hyperlink r:id="rId8478">
        <w:r>
          <w:rPr>
            <w:color w:val="0000EE"/>
            <w:u w:val="single"/>
          </w:rPr>
          <w:t>Gênesis 6.1–4</w:t>
        </w:r>
      </w:hyperlink>
      <w:r>
        <w:t xml:space="preserve"> reflete mitos gregos, onde tais uniões aconteciam. No entanto, a passagem em Gênesis trata da história humana, não de mitologia.</w:t>
      </w:r>
    </w:p>
    <w:p>
      <w:r/>
      <w:r>
        <w:t>Os nefilins provavelmente não eram os "filhos de Deus" na Bíblia. Eles parecem ser diferentes das "filhas dos homens". Para entendê-los, pense em um grupo de pessoas antigas, como os anaquins e refains, cujas origens são desconhecidas.</w:t>
      </w:r>
    </w:p>
    <w:p>
      <w:r/>
      <w:r>
        <w:rPr>
          <w:i/>
        </w:rPr>
        <w:t>Veja também</w:t>
      </w:r>
      <w:r>
        <w:t xml:space="preserve"> </w:t>
      </w:r>
      <w:r>
        <w:t>Gigantes</w:t>
      </w:r>
      <w:r>
        <w:t>.</w:t>
      </w:r>
      <w:r/>
      <w:r/>
    </w:p>
    <w:p>
      <w:r/>
    </w:p>
    <w:p>
      <w:pPr>
        <w:pStyle w:val="Heading2"/>
      </w:pPr>
      <w:r>
        <w:t>Neguebe, Negev</w:t>
      </w:r>
      <w:r/>
    </w:p>
    <w:p>
      <w:r/>
      <w:r>
        <w:t>Região mais ao sul da Palestina. O nome vem da raiz "estar seco, árido", embora seu significado básico seja "país do sul, sul". É uma área sem limites geográficos precisos. De norte a sul, o Neguebe cobre a área entre Berseba e Cades-Barneia. De oeste a leste, estende-se desde perto do Mediterrâneo até o Arabá, uma distância de cerca de 112 quilômetros.</w:t>
      </w:r>
    </w:p>
    <w:p>
      <w:r/>
      <w:r>
        <w:t>Esta é uma região árida do país, com chuvas infrequentes e limitadas. Com recursos hídricos escassos, havia poucas oportunidades para a agricultura, embora na área norte algum cultivo de grãos fosse realizado em pequena escala, com possivelmente uma falha de safra a cada três anos. Uma economia pastoral existia, baseada principalmente na criação de ovelhas, cabras e camelos. Simeão recebeu este território, incluindo cidades como Arade e Reobote, na divisão tribal da Terra Prometida. Mais tarde, Judá absorveu esta tribo. Durante a monarquia, os israelitas avançaram no Neguebe. Nos reinados de Salomão e Josafá, havia tráfego comercial de e para o porto de Eziom-Geber no Golfo de Ácaba. Nos tempos greco-romanos, os nabateus habitavam o Neguebe. Através da cuidadosa preservação da água da chuva, eles desenvolveram uma agricultura limitada e sustentaram várias cidades. Durante os tempos do NT, os idumeus controlavam o Neguebe.</w:t>
      </w:r>
    </w:p>
    <w:p>
      <w:r/>
      <w:r>
        <w:t>A NTLH não usa o termo Neguebe, mas normalmente o traduz como "o sul". Por outro lado, a NAA, ARA e NVI usam regularmente o nome para o território. Abraão foi frequentemente associado ao Neguebe (</w:t>
      </w:r>
      <w:hyperlink r:id="rId15125">
        <w:r>
          <w:rPr>
            <w:color w:val="0000EE"/>
            <w:u w:val="single"/>
          </w:rPr>
          <w:t>Gn 12.9</w:t>
        </w:r>
      </w:hyperlink>
      <w:r>
        <w:t xml:space="preserve">; </w:t>
      </w:r>
      <w:hyperlink r:id="rId15126">
        <w:r>
          <w:rPr>
            <w:color w:val="0000EE"/>
            <w:u w:val="single"/>
          </w:rPr>
          <w:t>13.1–2</w:t>
        </w:r>
      </w:hyperlink>
      <w:r>
        <w:t xml:space="preserve">; </w:t>
      </w:r>
      <w:hyperlink r:id="rId15127">
        <w:r>
          <w:rPr>
            <w:color w:val="0000EE"/>
            <w:u w:val="single"/>
          </w:rPr>
          <w:t>20.1</w:t>
        </w:r>
      </w:hyperlink>
      <w:r>
        <w:t>). Davi disse a Aquis, rei de Gate, que ele havia atacado "o Neguebe de Judá", "o Neguebe dos jerameelitas" e "o Neguebe dos queneus" (</w:t>
      </w:r>
      <w:hyperlink r:id="rId15128">
        <w:r>
          <w:rPr>
            <w:color w:val="0000EE"/>
            <w:u w:val="single"/>
          </w:rPr>
          <w:t>1Sm 27.10</w:t>
        </w:r>
      </w:hyperlink>
      <w:r>
        <w:t>), enquanto o egípcio capturado por Davi afirmou que os amalequitas haviam feito incursões contra "o Neguebe dos quereteus", "o Neguebe de Judá" e "o Neguebe de Calebe" (</w:t>
      </w:r>
      <w:hyperlink r:id="rId4049">
        <w:r>
          <w:rPr>
            <w:color w:val="0000EE"/>
            <w:u w:val="single"/>
          </w:rPr>
          <w:t>1Sm 30.14</w:t>
        </w:r>
      </w:hyperlink>
      <w:r>
        <w:t>).</w:t>
      </w:r>
      <w:r/>
      <w:r/>
    </w:p>
    <w:p>
      <w:r/>
    </w:p>
    <w:p>
      <w:pPr>
        <w:pStyle w:val="Heading2"/>
      </w:pPr>
      <w:r>
        <w:t>Neguina, Neguinote</w:t>
      </w:r>
      <w:r/>
    </w:p>
    <w:p>
      <w:r/>
      <w:r>
        <w:t xml:space="preserve">Termos hebraicos nos sobrescritos dos </w:t>
      </w:r>
      <w:hyperlink r:id="rId14959">
        <w:r>
          <w:rPr>
            <w:color w:val="0000EE"/>
            <w:u w:val="single"/>
          </w:rPr>
          <w:t>Salmos 4</w:t>
        </w:r>
      </w:hyperlink>
      <w:r>
        <w:t xml:space="preserve">, </w:t>
      </w:r>
      <w:hyperlink r:id="rId14595">
        <w:r>
          <w:rPr>
            <w:color w:val="0000EE"/>
            <w:u w:val="single"/>
          </w:rPr>
          <w:t>6</w:t>
        </w:r>
      </w:hyperlink>
      <w:r>
        <w:t xml:space="preserve">, </w:t>
      </w:r>
      <w:hyperlink r:id="rId14960">
        <w:r>
          <w:rPr>
            <w:color w:val="0000EE"/>
            <w:u w:val="single"/>
          </w:rPr>
          <w:t>54–55</w:t>
        </w:r>
      </w:hyperlink>
      <w:r>
        <w:t xml:space="preserve">, </w:t>
      </w:r>
      <w:hyperlink r:id="rId14961">
        <w:r>
          <w:rPr>
            <w:color w:val="0000EE"/>
            <w:u w:val="single"/>
          </w:rPr>
          <w:t>61</w:t>
        </w:r>
      </w:hyperlink>
      <w:r>
        <w:t xml:space="preserve">, </w:t>
      </w:r>
      <w:hyperlink r:id="rId14962">
        <w:r>
          <w:rPr>
            <w:color w:val="0000EE"/>
            <w:u w:val="single"/>
          </w:rPr>
          <w:t>67</w:t>
        </w:r>
      </w:hyperlink>
      <w:r>
        <w:t xml:space="preserve"> e </w:t>
      </w:r>
      <w:hyperlink r:id="rId14963">
        <w:r>
          <w:rPr>
            <w:color w:val="0000EE"/>
            <w:u w:val="single"/>
          </w:rPr>
          <w:t>76</w:t>
        </w:r>
      </w:hyperlink>
      <w:r>
        <w:t xml:space="preserve"> (ARC); indicações musicais que significam "instrumentos de cordas", descrevendo o tipo de acompanhamento musical para a execução dos salmos designados. </w:t>
      </w:r>
    </w:p>
    <w:p>
      <w:r/>
      <w:r>
        <w:rPr>
          <w:i/>
        </w:rPr>
        <w:t>Veja</w:t>
      </w:r>
      <w:r>
        <w:t xml:space="preserve"> </w:t>
      </w:r>
      <w:r>
        <w:t>Música</w:t>
      </w:r>
      <w:r>
        <w:t>.</w:t>
      </w:r>
      <w:r/>
      <w:r/>
    </w:p>
    <w:p>
      <w:r/>
    </w:p>
    <w:p>
      <w:pPr>
        <w:pStyle w:val="Heading2"/>
      </w:pPr>
      <w:r>
        <w:t>Neilote</w:t>
      </w:r>
      <w:r/>
    </w:p>
    <w:p>
      <w:r/>
      <w:r>
        <w:t xml:space="preserve">Termo hebraico na inscrição de </w:t>
      </w:r>
      <w:hyperlink r:id="rId14958">
        <w:r>
          <w:rPr>
            <w:color w:val="0000EE"/>
            <w:u w:val="single"/>
          </w:rPr>
          <w:t>Salmo 5</w:t>
        </w:r>
      </w:hyperlink>
      <w:r>
        <w:t xml:space="preserve"> (ARC); indicação musical, significando "flautas", descrevendo o tipo de acompanhamento musical para a execução do salmo. </w:t>
      </w:r>
    </w:p>
    <w:p>
      <w:r/>
      <w:r>
        <w:rPr>
          <w:i/>
        </w:rPr>
        <w:t>Veja</w:t>
      </w:r>
      <w:r>
        <w:t xml:space="preserve"> </w:t>
      </w:r>
      <w:r>
        <w:t>Música</w:t>
      </w:r>
      <w:r>
        <w:t>.</w:t>
      </w:r>
      <w:r/>
      <w:r/>
    </w:p>
    <w:p>
      <w:r/>
    </w:p>
    <w:p>
      <w:pPr>
        <w:pStyle w:val="Heading2"/>
      </w:pPr>
      <w:r>
        <w:t>Nemuel</w:t>
      </w:r>
      <w:r/>
    </w:p>
    <w:p>
      <w:r/>
      <w:r>
        <w:t>1. Rubenita e filho de Eliabe (</w:t>
      </w:r>
      <w:hyperlink r:id="rId6557">
        <w:r>
          <w:rPr>
            <w:color w:val="0000EE"/>
            <w:u w:val="single"/>
          </w:rPr>
          <w:t>Nm 26.9</w:t>
        </w:r>
      </w:hyperlink>
      <w:r>
        <w:t>).</w:t>
      </w:r>
    </w:p>
    <w:p>
      <w:r/>
      <w:r>
        <w:t>2. Um dos filhos de Simeão (</w:t>
      </w:r>
      <w:hyperlink r:id="rId11529">
        <w:r>
          <w:rPr>
            <w:color w:val="0000EE"/>
            <w:u w:val="single"/>
          </w:rPr>
          <w:t>Nm 26.12</w:t>
        </w:r>
      </w:hyperlink>
      <w:r>
        <w:t xml:space="preserve">; </w:t>
      </w:r>
      <w:hyperlink r:id="rId11528">
        <w:r>
          <w:rPr>
            <w:color w:val="0000EE"/>
            <w:u w:val="single"/>
          </w:rPr>
          <w:t>1Cr 4.24</w:t>
        </w:r>
      </w:hyperlink>
      <w:r>
        <w:t>), também chamado de Jemuel (</w:t>
      </w:r>
      <w:hyperlink r:id="rId11526">
        <w:r>
          <w:rPr>
            <w:color w:val="0000EE"/>
            <w:u w:val="single"/>
          </w:rPr>
          <w:t>Gn 46.10</w:t>
        </w:r>
      </w:hyperlink>
      <w:r>
        <w:t xml:space="preserve">). </w:t>
      </w:r>
      <w:r>
        <w:rPr>
          <w:i/>
        </w:rPr>
        <w:t>Veja</w:t>
      </w:r>
      <w:r>
        <w:t xml:space="preserve"> </w:t>
      </w:r>
      <w:r>
        <w:t>Jemuel</w:t>
      </w:r>
      <w:r>
        <w:t>.</w:t>
      </w:r>
      <w:r/>
      <w:r/>
    </w:p>
    <w:p>
      <w:r/>
    </w:p>
    <w:p>
      <w:pPr>
        <w:pStyle w:val="Heading2"/>
      </w:pPr>
      <w:r>
        <w:t>Nemuelita</w:t>
      </w:r>
      <w:r/>
    </w:p>
    <w:p>
      <w:r/>
      <w:r>
        <w:t>Membro da família de Nemuel da tribo de Simeão (</w:t>
      </w:r>
      <w:hyperlink r:id="rId11529">
        <w:r>
          <w:rPr>
            <w:color w:val="0000EE"/>
            <w:u w:val="single"/>
          </w:rPr>
          <w:t>Nm 26.12</w:t>
        </w:r>
      </w:hyperlink>
      <w:r>
        <w:t xml:space="preserve">; alternativamente chamado de Jemuel em </w:t>
      </w:r>
      <w:hyperlink r:id="rId11526">
        <w:r>
          <w:rPr>
            <w:color w:val="0000EE"/>
            <w:u w:val="single"/>
          </w:rPr>
          <w:t>Gn 46.10</w:t>
        </w:r>
      </w:hyperlink>
      <w:r>
        <w:t xml:space="preserve">). </w:t>
      </w:r>
      <w:r>
        <w:rPr>
          <w:i/>
        </w:rPr>
        <w:t>Veja</w:t>
      </w:r>
      <w:r>
        <w:t xml:space="preserve"> </w:t>
      </w:r>
      <w:r>
        <w:t>Jemuel</w:t>
      </w:r>
      <w:r>
        <w:t>.</w:t>
      </w:r>
      <w:r/>
      <w:r/>
    </w:p>
    <w:p>
      <w:r/>
    </w:p>
    <w:p>
      <w:pPr>
        <w:pStyle w:val="Heading2"/>
      </w:pPr>
      <w:r>
        <w:t>Netineus</w:t>
      </w:r>
      <w:r/>
    </w:p>
    <w:p>
      <w:r/>
      <w:r>
        <w:t>Os netineus eram assistentes do templo que ajudavam no trabalho no templo de Deus. Este termo aparece apenas em livros escritos após o retorno dos israelitas do exílio (1 Crônicas, Esdras, Neemias). A palavra "netineu" vem do verbo hebraico "Natã", que significa "dar, separar ou dedicar". Assim, o termo significa "aqueles dados" ou "aqueles separados para o serviço".</w:t>
      </w:r>
    </w:p>
    <w:p>
      <w:r/>
      <w:r>
        <w:t xml:space="preserve">A tradução grega do Antigo Testamento (chamada de Septuaginta) traduz esta palavra como </w:t>
      </w:r>
      <w:r>
        <w:rPr>
          <w:i/>
        </w:rPr>
        <w:t>dedomenoi.</w:t>
      </w:r>
      <w:r>
        <w:t xml:space="preserve"> Alguns tradutores recentes seguiram o historiador judeu Josefo, referindo-se a eles como "escravos do templo" (</w:t>
      </w:r>
      <w:r>
        <w:rPr>
          <w:i/>
        </w:rPr>
        <w:t>Antiguidades</w:t>
      </w:r>
      <w:r>
        <w:t xml:space="preserve"> 11.5.1). A NTLH traduz como "servidores do templo".</w:t>
      </w:r>
    </w:p>
    <w:p>
      <w:r/>
      <w:r>
        <w:t xml:space="preserve">Antes do exílio (quando muitos israelitas foram levados para Babilônia), os netineus trabalhavam no serviço do templo. </w:t>
      </w:r>
      <w:hyperlink r:id="rId15129">
        <w:r>
          <w:rPr>
            <w:color w:val="0000EE"/>
            <w:u w:val="single"/>
          </w:rPr>
          <w:t>Primeiro de Crônicas 9.2</w:t>
        </w:r>
      </w:hyperlink>
      <w:r>
        <w:t xml:space="preserve"> os lista com os sacerdotes e levitas que tomaram posse de suas cidades designadas. A ordem em que são listados — sacerdotes, levitas e netineus — mostra que eles tinham um papel abaixo dos levitas (veja também </w:t>
      </w:r>
      <w:hyperlink r:id="rId15130">
        <w:r>
          <w:rPr>
            <w:color w:val="0000EE"/>
            <w:u w:val="single"/>
          </w:rPr>
          <w:t>Ne 7.73</w:t>
        </w:r>
      </w:hyperlink>
      <w:r>
        <w:t xml:space="preserve">; </w:t>
      </w:r>
      <w:hyperlink r:id="rId15131">
        <w:r>
          <w:rPr>
            <w:color w:val="0000EE"/>
            <w:u w:val="single"/>
          </w:rPr>
          <w:t>11.3,20–21</w:t>
        </w:r>
      </w:hyperlink>
      <w:r>
        <w:t>). Eles retornaram do exílio como servos do templo (</w:t>
      </w:r>
      <w:hyperlink r:id="rId15132">
        <w:r>
          <w:rPr>
            <w:color w:val="0000EE"/>
            <w:u w:val="single"/>
          </w:rPr>
          <w:t>Ed 2.43,58</w:t>
        </w:r>
      </w:hyperlink>
      <w:r>
        <w:t xml:space="preserve">; </w:t>
      </w:r>
      <w:hyperlink r:id="rId15133">
        <w:r>
          <w:rPr>
            <w:color w:val="0000EE"/>
            <w:u w:val="single"/>
          </w:rPr>
          <w:t>7.7,24</w:t>
        </w:r>
      </w:hyperlink>
      <w:r>
        <w:t xml:space="preserve">; </w:t>
      </w:r>
      <w:hyperlink r:id="rId15134">
        <w:r>
          <w:rPr>
            <w:color w:val="0000EE"/>
            <w:u w:val="single"/>
          </w:rPr>
          <w:t>8.17,20</w:t>
        </w:r>
      </w:hyperlink>
      <w:r>
        <w:t xml:space="preserve">; </w:t>
      </w:r>
      <w:hyperlink r:id="rId15135">
        <w:r>
          <w:rPr>
            <w:color w:val="0000EE"/>
            <w:u w:val="single"/>
          </w:rPr>
          <w:t>Ne 7.46,60</w:t>
        </w:r>
      </w:hyperlink>
      <w:r>
        <w:t>). Eles viviam em Jerusalém (</w:t>
      </w:r>
      <w:hyperlink r:id="rId11443">
        <w:r>
          <w:rPr>
            <w:color w:val="0000EE"/>
            <w:u w:val="single"/>
          </w:rPr>
          <w:t>Ed 7.7</w:t>
        </w:r>
      </w:hyperlink>
      <w:r>
        <w:t xml:space="preserve">; </w:t>
      </w:r>
      <w:hyperlink r:id="rId5189">
        <w:r>
          <w:rPr>
            <w:color w:val="0000EE"/>
            <w:u w:val="single"/>
          </w:rPr>
          <w:t>Ne 3.31</w:t>
        </w:r>
      </w:hyperlink>
      <w:r>
        <w:t xml:space="preserve">; </w:t>
      </w:r>
      <w:hyperlink r:id="rId15136">
        <w:r>
          <w:rPr>
            <w:color w:val="0000EE"/>
            <w:u w:val="single"/>
          </w:rPr>
          <w:t>11.21</w:t>
        </w:r>
      </w:hyperlink>
      <w:r>
        <w:t>). Eles ajudaram a reparar as muralhas da cidade (</w:t>
      </w:r>
      <w:hyperlink r:id="rId15137">
        <w:r>
          <w:rPr>
            <w:color w:val="0000EE"/>
            <w:u w:val="single"/>
          </w:rPr>
          <w:t>Ne 3.26</w:t>
        </w:r>
      </w:hyperlink>
      <w:r>
        <w:t>).</w:t>
      </w:r>
    </w:p>
    <w:p>
      <w:r/>
      <w:r>
        <w:t xml:space="preserve">Não podemos ter certeza completa sobre quem exatamente eram os netineus. </w:t>
      </w:r>
      <w:hyperlink r:id="rId3461">
        <w:r>
          <w:rPr>
            <w:color w:val="0000EE"/>
            <w:u w:val="single"/>
          </w:rPr>
          <w:t>Números 31.47</w:t>
        </w:r>
      </w:hyperlink>
      <w:r>
        <w:t xml:space="preserve"> nos diz que os levitas receberam cativos que foram designados para tarefas duras e básicas. Quando os gibeonitas foram aceitos em Israel como servos, eles também foram encarregados de carregar água e cortar lenha para toda a comunidade e para o altar do Senhor (</w:t>
      </w:r>
      <w:hyperlink r:id="rId15138">
        <w:r>
          <w:rPr>
            <w:color w:val="0000EE"/>
            <w:u w:val="single"/>
          </w:rPr>
          <w:t>Js 9.9–27</w:t>
        </w:r>
      </w:hyperlink>
      <w:r>
        <w:t>). O rei Davi aumentou o número de pessoas servindo no tabernáculo ao designar prisioneiros de guerra para realizar essas funções (</w:t>
      </w:r>
      <w:hyperlink r:id="rId8174">
        <w:r>
          <w:rPr>
            <w:color w:val="0000EE"/>
            <w:u w:val="single"/>
          </w:rPr>
          <w:t>Ed 8.20</w:t>
        </w:r>
      </w:hyperlink>
      <w:r>
        <w:t>). Quando o templo foi concluído, mais trabalhadores foram necessários para os serviços do templo, e o rei Salomão aumentou o número deles. Este novo grupo ficou conhecido como "os servos de Salomão".</w:t>
      </w:r>
    </w:p>
    <w:p>
      <w:r/>
      <w:r>
        <w:t>Esdras registra que 392 netineus retornaram do exílio para Jerusalém (</w:t>
      </w:r>
      <w:hyperlink r:id="rId8173">
        <w:r>
          <w:rPr>
            <w:color w:val="0000EE"/>
            <w:u w:val="single"/>
          </w:rPr>
          <w:t>2.58</w:t>
        </w:r>
      </w:hyperlink>
      <w:r>
        <w:t>). Eles desempenharam as funções no templo reconstruído que seus ancestrais fizeram antes do exílio. Os israelitas consideravam os netineus membros plenos da comunidade da aliança restaurada. Os netineus se dedicaram a Deus (</w:t>
      </w:r>
      <w:hyperlink r:id="rId15139">
        <w:r>
          <w:rPr>
            <w:color w:val="0000EE"/>
            <w:u w:val="single"/>
          </w:rPr>
          <w:t>Ne 10.28</w:t>
        </w:r>
      </w:hyperlink>
      <w:r>
        <w:t>).</w:t>
      </w:r>
      <w:r/>
      <w:r/>
    </w:p>
    <w:p>
      <w:r/>
    </w:p>
    <w:p>
      <w:pPr>
        <w:pStyle w:val="Heading2"/>
      </w:pPr>
      <w:r>
        <w:t>Nicanor</w:t>
      </w:r>
      <w:r/>
    </w:p>
    <w:p>
      <w:pPr>
        <w:pStyle w:val="ListNumber"/>
        <w:spacing w:line="240" w:lineRule="auto"/>
        <w:ind w:left="720"/>
      </w:pPr>
      <w:r/>
      <w:r>
        <w:t>O filho de Pátroclo, "um dos principais amigos do rei" (</w:t>
      </w:r>
      <w:hyperlink r:id="rId15140">
        <w:r>
          <w:rPr>
            <w:color w:val="0000EE"/>
            <w:u w:val="single"/>
          </w:rPr>
          <w:t>2Mc 8.9</w:t>
        </w:r>
      </w:hyperlink>
      <w:r>
        <w:t>). Ele foi um general sírio que serviu sob dois reis: Antíoco IV Epifânio e Demétrio Sóter. Nicanor pode ter sido o comandante supremo sobre Ptolomeu e Górgias na primeira campanha de Lísias contra Judas Macabeu (</w:t>
      </w:r>
      <w:hyperlink r:id="rId15141">
        <w:r>
          <w:rPr>
            <w:color w:val="0000EE"/>
            <w:u w:val="single"/>
          </w:rPr>
          <w:t>1Mc 3.38ss</w:t>
        </w:r>
      </w:hyperlink>
      <w:r>
        <w:t>). Isso ocorreu durante o reinado de Antíoco IV Epifânio.</w:t>
      </w:r>
    </w:p>
    <w:p>
      <w:r/>
      <w:r>
        <w:t>Nicanor morreu na batalha em Adasa e Bet-Horon em 161 a.C. De acordo com 2 Macabeus, Judas pendurou a cabeça de Nicanor na cidadela (uma fortaleza em Jerusalém) como uma prova clara da vitória de Deus (</w:t>
      </w:r>
      <w:hyperlink r:id="rId15142">
        <w:r>
          <w:rPr>
            <w:color w:val="0000EE"/>
            <w:u w:val="single"/>
          </w:rPr>
          <w:t>15.35</w:t>
        </w:r>
      </w:hyperlink>
      <w:r>
        <w:t>).</w:t>
      </w:r>
    </w:p>
    <w:p>
      <w:pPr>
        <w:pStyle w:val="ListNumber"/>
        <w:spacing w:line="240" w:lineRule="auto"/>
        <w:ind w:left="720"/>
      </w:pPr>
      <w:r/>
      <w:r>
        <w:t>Um dos sete homens escolhidos pela igreja primitiva para gerenciar a distribuição diária de alimentos aos crentes pobres em Jerusalém (</w:t>
      </w:r>
      <w:hyperlink r:id="rId1992">
        <w:r>
          <w:rPr>
            <w:color w:val="0000EE"/>
            <w:u w:val="single"/>
          </w:rPr>
          <w:t>At 6.5</w:t>
        </w:r>
      </w:hyperlink>
      <w:r>
        <w:t>). Esses sete homens foram selecionados para garantir que as viúvas e outros necessitados recebessem tratamento justo na distribuição diária de alimentos.</w:t>
      </w:r>
      <w:r/>
      <w:r/>
    </w:p>
    <w:p>
      <w:r/>
    </w:p>
    <w:p>
      <w:pPr>
        <w:pStyle w:val="Heading2"/>
      </w:pPr>
      <w:r>
        <w:t>Nicolaítas</w:t>
      </w:r>
      <w:r/>
    </w:p>
    <w:p>
      <w:r/>
      <w:r>
        <w:t>Os nicolaítas eram uma seita herética na igreja primitiva (um grupo que ensinava coisas falsas). O livro de Apocalipse os menciona pelo nome duas vezes. Jesus elogiou a igreja em Éfeso por odiar as obras dos nicolaítas (</w:t>
      </w:r>
      <w:hyperlink r:id="rId15143">
        <w:r>
          <w:rPr>
            <w:color w:val="0000EE"/>
            <w:u w:val="single"/>
          </w:rPr>
          <w:t>Ap 2.6</w:t>
        </w:r>
      </w:hyperlink>
      <w:r>
        <w:t xml:space="preserve">). E Jesus criticou a igreja em Pérgamo por ter alguns membros que seguiam o ensino dos nicolaítas (v. </w:t>
      </w:r>
      <w:hyperlink r:id="rId15144">
        <w:r>
          <w:rPr>
            <w:color w:val="0000EE"/>
            <w:u w:val="single"/>
          </w:rPr>
          <w:t>15</w:t>
        </w:r>
      </w:hyperlink>
      <w:r>
        <w:t>).</w:t>
      </w:r>
    </w:p>
    <w:p>
      <w:pPr>
        <w:pStyle w:val="Heading3"/>
      </w:pPr>
      <w:r>
        <w:t>Os pecados dos nicolaítas</w:t>
      </w:r>
    </w:p>
    <w:p>
      <w:r/>
      <w:r>
        <w:t>Os pecados específicos condenados em Pérgamo foram o consumo de alimentos sacrificados a ídolos e a prática da imoralidade. Estes também estavam presentes em Tiatira (</w:t>
      </w:r>
      <w:hyperlink r:id="rId15145">
        <w:r>
          <w:rPr>
            <w:color w:val="0000EE"/>
            <w:u w:val="single"/>
          </w:rPr>
          <w:t>Ap 2.20</w:t>
        </w:r>
      </w:hyperlink>
      <w:r>
        <w:t>). Muitas pessoas acreditam que a mulher chamada Jezabel era uma líder dos nicolaítas em Tiatira. Na carta a Pérgamo, Cristo equipara seus pecados ao ensino de Balaão (</w:t>
      </w:r>
      <w:hyperlink r:id="rId2998">
        <w:r>
          <w:rPr>
            <w:color w:val="0000EE"/>
            <w:u w:val="single"/>
          </w:rPr>
          <w:t>Ap 2.14</w:t>
        </w:r>
      </w:hyperlink>
      <w:r>
        <w:t xml:space="preserve">; compare </w:t>
      </w:r>
      <w:hyperlink r:id="rId15146">
        <w:r>
          <w:rPr>
            <w:color w:val="0000EE"/>
            <w:u w:val="single"/>
          </w:rPr>
          <w:t>Nm 25.1–2</w:t>
        </w:r>
      </w:hyperlink>
      <w:r>
        <w:t xml:space="preserve">; </w:t>
      </w:r>
      <w:hyperlink r:id="rId12384">
        <w:r>
          <w:rPr>
            <w:color w:val="0000EE"/>
            <w:u w:val="single"/>
          </w:rPr>
          <w:t>31.16</w:t>
        </w:r>
      </w:hyperlink>
      <w:r>
        <w:t xml:space="preserve">; </w:t>
      </w:r>
      <w:hyperlink r:id="rId3435">
        <w:r>
          <w:rPr>
            <w:color w:val="0000EE"/>
            <w:u w:val="single"/>
          </w:rPr>
          <w:t>2Pe 2.15</w:t>
        </w:r>
      </w:hyperlink>
      <w:r>
        <w:t xml:space="preserve">; </w:t>
      </w:r>
      <w:hyperlink r:id="rId4004">
        <w:r>
          <w:rPr>
            <w:color w:val="0000EE"/>
            <w:u w:val="single"/>
          </w:rPr>
          <w:t>Jd 1.11</w:t>
        </w:r>
      </w:hyperlink>
      <w:r>
        <w:t>). Balaão aconselhou Balaque, o rei dos moabitas, sobre como fazer Israel cair. Balaão disse a Balaque para convidar os israelitas a adorar os deuses moabitas e casar-se com mulheres moabitas. Esses casamentos levaram à imoralidade sexual ligada às práticas religiosas moabitas. Assim, os judeus teriam se separado de Deus e de sua proteção. No pensamento judaico, Balaão era um símbolo de tudo o que levava as pessoas a um mau comportamento e ao afastamento de Deus. As práticas ímpias em Tiatira são chamadas de "as profundezas de Satanás" (</w:t>
      </w:r>
      <w:hyperlink r:id="rId15147">
        <w:r>
          <w:rPr>
            <w:color w:val="0000EE"/>
            <w:u w:val="single"/>
          </w:rPr>
          <w:t>Ap 2.24</w:t>
        </w:r>
      </w:hyperlink>
      <w:r>
        <w:t>).</w:t>
      </w:r>
    </w:p>
    <w:p>
      <w:r/>
      <w:r>
        <w:t>A igreja primitiva enfrentou ameaças do culto a ídolos e da imoralidade sexual, que eram comuns no mundo daquela época. O Novo Testamento dá muitos avisos sobre esses problemas. O Concílio de Jerusalém instruiu os crentes gentios a evitarem comer alimentos oferecidos a ídolos e a se afastarem da imoralidade sexual (</w:t>
      </w:r>
      <w:hyperlink r:id="rId4351">
        <w:r>
          <w:rPr>
            <w:color w:val="0000EE"/>
            <w:u w:val="single"/>
          </w:rPr>
          <w:t>At 15.20</w:t>
        </w:r>
      </w:hyperlink>
      <w:r>
        <w:t>). O apóstolo Paulo pediu uma abstenção voluntária desse tipo de alimento pelo bem daqueles que eram fracos ou imaturos na fé (</w:t>
      </w:r>
      <w:hyperlink r:id="rId5800">
        <w:r>
          <w:rPr>
            <w:color w:val="0000EE"/>
            <w:u w:val="single"/>
          </w:rPr>
          <w:t>1Co 8</w:t>
        </w:r>
      </w:hyperlink>
      <w:r>
        <w:t>). Ele condenou fortemente a participação em festas de ídolos (</w:t>
      </w:r>
      <w:hyperlink r:id="rId5811">
        <w:r>
          <w:rPr>
            <w:color w:val="0000EE"/>
            <w:u w:val="single"/>
          </w:rPr>
          <w:t>1Co 10.14–22</w:t>
        </w:r>
      </w:hyperlink>
      <w:r>
        <w:t>). Ele também condenou a imoralidade sexual em geral e a prostituição em templos especificamente (</w:t>
      </w:r>
      <w:hyperlink r:id="rId5777">
        <w:r>
          <w:rPr>
            <w:color w:val="0000EE"/>
            <w:u w:val="single"/>
          </w:rPr>
          <w:t>6.12–20</w:t>
        </w:r>
      </w:hyperlink>
      <w:r>
        <w:t>).</w:t>
      </w:r>
    </w:p>
    <w:p>
      <w:pPr>
        <w:pStyle w:val="Heading3"/>
      </w:pPr>
      <w:r>
        <w:t>Quem eram os nicolaítas?</w:t>
      </w:r>
    </w:p>
    <w:p>
      <w:r/>
      <w:r>
        <w:t>É mais difícil saber exatamente quem eram os nicolaítas. Os primeiros pais da igreja frequentemente os identificavam como seguidores de Nicolau de Antioquia. Nicolau era um gentio (pessoa não judia) que havia se convertido à fé judaica. Ele então se tornou cristão e foi escolhido como um dos primeiros sete diáconos (</w:t>
      </w:r>
      <w:hyperlink r:id="rId1992">
        <w:r>
          <w:rPr>
            <w:color w:val="0000EE"/>
            <w:u w:val="single"/>
          </w:rPr>
          <w:t>At 6.5</w:t>
        </w:r>
      </w:hyperlink>
      <w:r>
        <w:t>). Tanto Irineu quanto Hipólito (líderes da igreja primitiva) acreditavam que Nicolau havia se desviado da fé. Clemente (outro líder da igreja) afirmou que os falsos ensinamentos e os imorais nicolaítas não eram seguidores reais de Nicolau, mas falsamente o reivindicavam como seu mestre. No entanto, não há evidências diretas disponíveis.</w:t>
      </w:r>
    </w:p>
    <w:p>
      <w:r/>
      <w:r>
        <w:t>Muitos estudiosos acreditam que o nome "nicolaítas" pode ser uma tradução grega do nome hebraico "Balaão". Isso se alinha com a natureza simbólica de Apocalipse e a aparente conexão entre os dois nomes na carta a Pérgamo (</w:t>
      </w:r>
      <w:hyperlink r:id="rId15148">
        <w:r>
          <w:rPr>
            <w:color w:val="0000EE"/>
            <w:u w:val="single"/>
          </w:rPr>
          <w:t>Ap 2.14–15</w:t>
        </w:r>
      </w:hyperlink>
      <w:r>
        <w:t>).</w:t>
      </w:r>
      <w:r/>
      <w:r/>
    </w:p>
    <w:p>
      <w:r/>
    </w:p>
    <w:p>
      <w:pPr>
        <w:pStyle w:val="Heading2"/>
      </w:pPr>
      <w:r>
        <w:t>Nicolau</w:t>
      </w:r>
      <w:r/>
    </w:p>
    <w:p>
      <w:r/>
      <w:r>
        <w:t xml:space="preserve">Nicolau foi um dos sete homens mencionados em </w:t>
      </w:r>
      <w:hyperlink r:id="rId1992">
        <w:r>
          <w:rPr>
            <w:color w:val="0000EE"/>
            <w:u w:val="single"/>
          </w:rPr>
          <w:t>Atos 6.5</w:t>
        </w:r>
      </w:hyperlink>
      <w:r>
        <w:t xml:space="preserve"> que foram escolhidos para servir na igreja primitiva de Jerusalém. Seu trabalho, conforme especificado em </w:t>
      </w:r>
      <w:hyperlink r:id="rId15149">
        <w:r>
          <w:rPr>
            <w:color w:val="0000EE"/>
            <w:u w:val="single"/>
          </w:rPr>
          <w:t>Atos 6.1–4</w:t>
        </w:r>
      </w:hyperlink>
      <w:r>
        <w:t xml:space="preserve">, era garantir que a comida fosse distribuída de forma justa e igual entre todos os membros da igreja. Tradicionalmente, as pessoas chamam esses sete homens de "diáconos" (que significa "servidores") porque </w:t>
      </w:r>
      <w:hyperlink r:id="rId10198">
        <w:r>
          <w:rPr>
            <w:color w:val="0000EE"/>
            <w:u w:val="single"/>
          </w:rPr>
          <w:t>Atos 6.1</w:t>
        </w:r>
      </w:hyperlink>
      <w:r>
        <w:t xml:space="preserve"> usa termos como "distribuição diária" ou "serviço" e </w:t>
      </w:r>
      <w:hyperlink r:id="rId7087">
        <w:r>
          <w:rPr>
            <w:color w:val="0000EE"/>
            <w:u w:val="single"/>
          </w:rPr>
          <w:t>6.2</w:t>
        </w:r>
      </w:hyperlink>
      <w:r>
        <w:t xml:space="preserve"> usa expressões como "servir às mesas" ou "servir".</w:t>
      </w:r>
    </w:p>
    <w:p>
      <w:r/>
      <w:r>
        <w:t>Nicolau é o último nome da lista. A Bíblia o identifica como um prosélito, o que significa que ele era um gentio (pessoa não judia) que havia se convertido ao Judaísmo antes de se tornar cristão. Ele tinha um nome grego, e sua cidade natal era Antioquia. O Novo Testamento não nos fornece mais informações sobre ele.</w:t>
      </w:r>
    </w:p>
    <w:p>
      <w:r/>
      <w:r>
        <w:rPr>
          <w:i/>
        </w:rPr>
        <w:t>Veja também</w:t>
      </w:r>
      <w:r>
        <w:t xml:space="preserve"> </w:t>
      </w:r>
      <w:r>
        <w:t>Diácono, Diaconisa</w:t>
      </w:r>
      <w:r>
        <w:t>.</w:t>
      </w:r>
      <w:r/>
      <w:r/>
    </w:p>
    <w:p>
      <w:r/>
    </w:p>
    <w:p>
      <w:pPr>
        <w:pStyle w:val="Heading2"/>
      </w:pPr>
      <w:r>
        <w:t>Nicópolis</w:t>
      </w:r>
      <w:r/>
    </w:p>
    <w:p>
      <w:r/>
      <w:r>
        <w:t>Nome que significa “Cidade da Vitória”, uma escolha popular no Império Romano quando uma cidade recém-fundada exigiu um nome, especialmente quando uma cidade recém-construída foi criada para comemorar uma vitória militar em dias de guerra.</w:t>
      </w:r>
    </w:p>
    <w:p>
      <w:r/>
      <w:r>
        <w:t>Em sua carta a Tito, Paulo o orienta a deixar a cidade de Creta, onde ele estava ministrando (</w:t>
      </w:r>
      <w:hyperlink r:id="rId1407">
        <w:r>
          <w:rPr>
            <w:color w:val="0000EE"/>
            <w:u w:val="single"/>
          </w:rPr>
          <w:t>Ti 1.5</w:t>
        </w:r>
      </w:hyperlink>
      <w:r>
        <w:t>), e a seguir seu caminho para Nicópolis, onde o apóstolo estava trabalhando e pretendia passar o inverno (</w:t>
      </w:r>
      <w:hyperlink r:id="rId2611">
        <w:r>
          <w:rPr>
            <w:color w:val="0000EE"/>
            <w:u w:val="single"/>
          </w:rPr>
          <w:t>3.12</w:t>
        </w:r>
      </w:hyperlink>
      <w:r>
        <w:t>). Das nove cidades chamadas Nicópolis espalhadas por todo o império, Paulo muito provavelmente se referiu àquela que ficava situada a noroeste do Golfo de Corinto e a sudeste da parte mais alta da região de Épiro.</w:t>
      </w:r>
    </w:p>
    <w:p>
      <w:r/>
      <w:r>
        <w:t>Otaviano fundou esta cidade em 31 a.C. para celebrar sua vitória sobre Marco Antônio na grande batalha de Ácio, travada nas proximidades. Nicópolis era grega tanto em seu nome quanto em sua constituição. O centro de várias cidades próximas, a nova Nicópolis era uma metrópole, desfrutando de uma independência semelhante à da cidade vizinha, Atenas. Templos, teatros, um estádio e um aqueduto foram construídos, e os jogos foram criados para os festivais que aconteciam a cada quatro anos. O cidadão mais famoso de Nicópolis, Epicteto ou Epiteto, filósofo estóico, viveu naquele lugar por volta do ano 90 d.C. Paulo fez desta esplêndida metrópole e suas comunidades ao redor um campo para evangelismo.</w:t>
      </w:r>
      <w:r/>
      <w:r/>
    </w:p>
    <w:p>
      <w:r/>
    </w:p>
    <w:p>
      <w:pPr>
        <w:pStyle w:val="Heading2"/>
      </w:pPr>
      <w:r>
        <w:t>Níger</w:t>
      </w:r>
      <w:r/>
    </w:p>
    <w:p>
      <w:r/>
      <w:r>
        <w:t>Um nome de família de Simeão, que foi um dos líderes na igreja em Antioquia (</w:t>
      </w:r>
      <w:hyperlink r:id="rId4994">
        <w:r>
          <w:rPr>
            <w:color w:val="0000EE"/>
            <w:u w:val="single"/>
          </w:rPr>
          <w:t>At 13.1</w:t>
        </w:r>
      </w:hyperlink>
      <w:r>
        <w:t>).</w:t>
      </w:r>
    </w:p>
    <w:p>
      <w:r/>
      <w:r>
        <w:rPr>
          <w:i/>
        </w:rPr>
        <w:t>Veja</w:t>
      </w:r>
      <w:r>
        <w:t xml:space="preserve"> </w:t>
      </w:r>
      <w:r>
        <w:t>Simeão (Pessoa) #4</w:t>
      </w:r>
      <w:r>
        <w:t>.</w:t>
      </w:r>
      <w:r/>
      <w:r/>
    </w:p>
    <w:p>
      <w:r/>
    </w:p>
    <w:p>
      <w:pPr>
        <w:pStyle w:val="Heading2"/>
      </w:pPr>
      <w:r>
        <w:t>Ninhada</w:t>
      </w:r>
      <w:r/>
    </w:p>
    <w:p>
      <w:r/>
      <w:r>
        <w:t>Um termo frequentemente usado na Bíblia para pássaros jovens, especialmente pássaros treinados, também é usado para cobras ou víboras como uma metáfora para "pecadores" (</w:t>
      </w:r>
      <w:hyperlink r:id="rId15150">
        <w:r>
          <w:rPr>
            <w:color w:val="0000EE"/>
            <w:u w:val="single"/>
          </w:rPr>
          <w:t>Nm 32.14</w:t>
        </w:r>
      </w:hyperlink>
      <w:r>
        <w:t xml:space="preserve">; </w:t>
      </w:r>
      <w:hyperlink r:id="rId1456">
        <w:r>
          <w:rPr>
            <w:color w:val="0000EE"/>
            <w:u w:val="single"/>
          </w:rPr>
          <w:t>Mt 3.7</w:t>
        </w:r>
      </w:hyperlink>
      <w:r>
        <w:t xml:space="preserve">; </w:t>
      </w:r>
      <w:hyperlink r:id="rId1457">
        <w:r>
          <w:rPr>
            <w:color w:val="0000EE"/>
            <w:u w:val="single"/>
          </w:rPr>
          <w:t>12.34</w:t>
        </w:r>
      </w:hyperlink>
      <w:r>
        <w:t xml:space="preserve">; </w:t>
      </w:r>
      <w:hyperlink r:id="rId15151">
        <w:r>
          <w:rPr>
            <w:color w:val="0000EE"/>
            <w:u w:val="single"/>
          </w:rPr>
          <w:t>Lc 3.7</w:t>
        </w:r>
      </w:hyperlink>
      <w:r>
        <w:t xml:space="preserve">). Pode ser traduzido também por "raça". </w:t>
      </w:r>
    </w:p>
    <w:p>
      <w:r/>
      <w:r>
        <w:rPr>
          <w:i/>
        </w:rPr>
        <w:t>Veja</w:t>
      </w:r>
      <w:r>
        <w:t xml:space="preserve"> </w:t>
      </w:r>
      <w:r>
        <w:t>Aves (Domésticas, Aves; Perdiz)</w:t>
      </w:r>
      <w:r>
        <w:t>.</w:t>
      </w:r>
      <w:r/>
      <w:r/>
    </w:p>
    <w:p>
      <w:r/>
    </w:p>
    <w:p>
      <w:pPr>
        <w:pStyle w:val="Heading2"/>
      </w:pPr>
      <w:r>
        <w:t>Nínive, Ninivita</w:t>
      </w:r>
      <w:r/>
    </w:p>
    <w:p>
      <w:r/>
      <w:r>
        <w:t>Uma das capitais do Império Assírio e, no auge desse império, uma das grandes cidades do mundo. Nínive estava localizada no que hoje é o norte do Iraque e é representada atualmente pelos montes de Kouyunjik e Nebi Yunus, a leste do Rio Tigre e em frente à parte principal da cidade de Mosul.</w:t>
      </w:r>
    </w:p>
    <w:p>
      <w:r/>
      <w:r>
        <w:t>O monte maior, Kouyunjik, ao noroeste (aproximadamente 1,6 quilômetros por 594 metros de área e cerca de 27 metros de altura acima da planície), é separado de Nebi Yunus pelo rio Khosr. Uma vila, um cemitério e uma mesquita que dizem conter o túmulo de Jonas ocupam Nebi Yunus, impedindo trabalhos arqueológicos extensivos.</w:t>
      </w:r>
    </w:p>
    <w:p>
      <w:r/>
      <w:r>
        <w:t>A muralha de tijolos ao redor de Nínive, com cerca de 13 quilômetros de comprimento e 15 portões (dos quais 5 foram escavados), era guardada pelos colossais touros de pedra que caracterizam a arquitetura das cidades assírias desse período.</w:t>
      </w:r>
    </w:p>
    <w:p>
      <w:pPr>
        <w:pStyle w:val="Heading3"/>
      </w:pPr>
      <w:r>
        <w:t>História</w:t>
      </w:r>
    </w:p>
    <w:p>
      <w:r/>
      <w:r>
        <w:t xml:space="preserve">A ocupação do local remonta a tempos pré-históricos (c. 4500 a.C.), de acordo com o registro da fundação da cidade em </w:t>
      </w:r>
      <w:hyperlink r:id="rId7547">
        <w:r>
          <w:rPr>
            <w:color w:val="0000EE"/>
            <w:u w:val="single"/>
          </w:rPr>
          <w:t>Gênesis 10</w:t>
        </w:r>
      </w:hyperlink>
      <w:r>
        <w:t>. Materiais das várias culturas antigas (Hassuna, Samarra, Halaf, Ubaid) foram encontrados em Nínive.</w:t>
      </w:r>
    </w:p>
    <w:p>
      <w:r/>
      <w:r>
        <w:t>Sargão de Acádia (meados do século 24 a.C.) estava familiarizado com Nínive, que floresceu durante seu tempo. Um registro do reinado de um rei posterior, Shamsi-Adad I (c. 1800 a.C.), relata que um filho de Sargão, Manishtusu, restaurou o templo de Ishtar em Nínive.</w:t>
      </w:r>
    </w:p>
    <w:p>
      <w:r/>
      <w:r>
        <w:t>Ishtar (Inanna), a deusa do amor e da guerra, era uma divindade apropriada para os assírios, conhecidos por serem agressivos e belicosos. Muitas outras divindades eram veneradas em Nínive, e os portões da cidade recebiam seus nomes em homenagem a elas. Os assírios adoravam no templo de Nabu, o deus da escrita, das artes e das ciências, refletindo o interesse assírio por registros, literatura e escultura em relevo e em três dimensões.</w:t>
      </w:r>
    </w:p>
    <w:p>
      <w:r/>
      <w:r>
        <w:t>Shamsi-Adad I e Hamurabi também restauraram o templo de Ishtar em Nínive. Salmanaser I e Tukulti-Ninurta I ampliaram e fortaleceram a cidade, e outros governantes construíram seus palácios lá, como Tiglate-Pileser I, Ashurnasirpal II (883–859 a.C.) e Sargão II (722–705 a.C.). No entanto, foi Senaqueribe (705–681 a.C.) quem fez de Nínive a capital e se dedicou intensamente a embelezar a cidade. Além de seu famoso palácio, ele realizou muitos projetos, reconstruindo as muralhas da cidade, criando parques, fazendo coleções botânicas e zoológicas, e construindo aquedutos para trazer água a 48 quilômetros de distância. Para Nínive, veio o tributo que os assírios conquistadores exigiam das nações, incluindo Israel e Judá, que caíram vítimas de seus formidáveis exércitos.</w:t>
      </w:r>
    </w:p>
    <w:p>
      <w:r/>
      <w:r>
        <w:t>Após o assassinato de Senaqueribe, seu filho e sucessor, Esar-Hadom (681–669 a.C.), retomou Nínive dos rebeldes. Ele construiu um palácio em Nínive e tinha outro em Calá, onde passava a maior parte do tempo.</w:t>
      </w:r>
    </w:p>
    <w:p>
      <w:r/>
      <w:r>
        <w:t>O filho de Esar-Hadom, Assurbanípal (669–633 a.C.), fez sua residência em Nínive, onde foi educado e treinado em esportes e habilidades militares. Ele era algo como um antiquário e dominava a leitura do acádio e sumério. Em seu palácio estava abrigada a famosa biblioteca para o estudo da Assiriologia. O templo de Nabu continha uma biblioteca que datava pelo menos do tempo de Sargão II, mas a biblioteca real de Assurbanípal a superava em tamanho e importância. Sargão e seus sucessores haviam coletado muitas tábuas, mas Assurbanípal enviou escribas por toda a Assíria e Babilônia para reunir e copiar tábuas, de modo que dezenas de milhares de tábuas se acumularam. Como a biblioteca de Nipur, a coleção de Nínive abrange uma grande variedade de materiais: contas comerciais, cartas, registros reais, documentos históricos, listas lexicográficas e textos bilíngues, lendas, mitos e vários outros tipos de inscrições religiosas, como hinos, orações e listas de divindades e templos. Entre as tábuas estavam sete que preservavam uma história da criação babilônica e doze que continham o épico de Gilgamesh, com uma versão do Dilúvio. Outros escritos que às vezes são citados como paralelos aos relatos bíblicos incluem a história de Adapa, com a oportunidade perdida de alcançar a imortalidade, e a lenda de Etana, um pastor que ascendeu ao céu.</w:t>
      </w:r>
    </w:p>
    <w:p>
      <w:r/>
      <w:r>
        <w:t>Ashurbanipal também era bem conhecido por suas guerras e por sua crueldade. O relevo do palácio que mostra uma cena de banquete pacífica também exibe a cabeça decapitada de um líder elamita pendurada em uma árvore.</w:t>
      </w:r>
    </w:p>
    <w:p>
      <w:r/>
      <w:r>
        <w:t>Nos últimos anos do envelhecido rei e após sua morte, os reinos vassalos se rebelaram. Babilônia tornou-se independente e se uniu aos Medos para tomar Assur e Calá em 614 a.C. Ciáxares, o Medo, Nabopolassar da Babilônia e uma força cita cercaram Nínive em 612 a.C.; a cidade caiu e o Rei Sinshariscum (Sardanápalo) pereceu em suas chamas.</w:t>
      </w:r>
    </w:p>
    <w:p>
      <w:r/>
      <w:r>
        <w:t>Embora um remanescente de Nínive sob Ashuruballit tenha resistido em Harran até 609 a.C., Nínive já havia sido destruída: as previsões divinas dos profetas hebreus se cumpriram completamente.</w:t>
      </w:r>
    </w:p>
    <w:p>
      <w:pPr>
        <w:pStyle w:val="Heading3"/>
      </w:pPr>
      <w:r>
        <w:t>Nínive e a Bíblia</w:t>
      </w:r>
    </w:p>
    <w:p>
      <w:r/>
      <w:r>
        <w:t>Seis livros do AT referem-se à cidade de Nínive. Em Gênesis, a única menção de Nínive aparece na tabela das nações (</w:t>
      </w:r>
      <w:hyperlink r:id="rId7547">
        <w:r>
          <w:rPr>
            <w:color w:val="0000EE"/>
            <w:u w:val="single"/>
          </w:rPr>
          <w:t>Gn 10</w:t>
        </w:r>
      </w:hyperlink>
      <w:r>
        <w:t xml:space="preserve">), que afirma que Ninrode saiu da terra de Sinar para a Assíria e construiu Nínive, Reobote, Calá e Resém entre Nínive e Calá (vv. </w:t>
      </w:r>
      <w:hyperlink r:id="rId4017">
        <w:r>
          <w:rPr>
            <w:color w:val="0000EE"/>
            <w:u w:val="single"/>
          </w:rPr>
          <w:t>11–12</w:t>
        </w:r>
      </w:hyperlink>
      <w:r>
        <w:t>).</w:t>
      </w:r>
    </w:p>
    <w:p>
      <w:r/>
      <w:r>
        <w:t>O tributo pago por Menaém (</w:t>
      </w:r>
      <w:hyperlink r:id="rId2776">
        <w:r>
          <w:rPr>
            <w:color w:val="0000EE"/>
            <w:u w:val="single"/>
          </w:rPr>
          <w:t>2Rs 15.19–20</w:t>
        </w:r>
      </w:hyperlink>
      <w:r>
        <w:t>) e o despojo tomado na queda de Samaria (</w:t>
      </w:r>
      <w:hyperlink r:id="rId6505">
        <w:r>
          <w:rPr>
            <w:color w:val="0000EE"/>
            <w:u w:val="single"/>
          </w:rPr>
          <w:t>Is 8.4</w:t>
        </w:r>
      </w:hyperlink>
      <w:r>
        <w:t>) foram levados para Nínive. Para esta cidade também veio o tributo que Senaqueribe recebeu de Ezequias (</w:t>
      </w:r>
      <w:hyperlink r:id="rId15152">
        <w:r>
          <w:rPr>
            <w:color w:val="0000EE"/>
            <w:u w:val="single"/>
          </w:rPr>
          <w:t>2Rs 14–16</w:t>
        </w:r>
      </w:hyperlink>
      <w:r>
        <w:t>).</w:t>
      </w:r>
    </w:p>
    <w:p>
      <w:r/>
      <w:r>
        <w:t xml:space="preserve">Entre as cenas celebradas nos relevos encontrados no palácio de Senaqueribe em Nínive está a representação do cerco e captura de Laquis (cf. </w:t>
      </w:r>
      <w:hyperlink r:id="rId13008">
        <w:r>
          <w:rPr>
            <w:color w:val="0000EE"/>
            <w:u w:val="single"/>
          </w:rPr>
          <w:t>2Rs 19.8</w:t>
        </w:r>
      </w:hyperlink>
      <w:r>
        <w:t>). Senaqueribe é mostrado em um trono, com cativos suplicantes diante dele. O cerco em si é mostrado em andamento, com arqueiros e aríetes no ataque, enquanto defensores nas muralhas usam arcos, flechas e tochas para repelir o ataque. De um portão, pessoas estão saindo com feixes nas costas, como se estivessem se rendendo ou fugindo. No canto inferior direito, três homens nus foram empalados em postes.</w:t>
      </w:r>
    </w:p>
    <w:p>
      <w:r/>
      <w:r>
        <w:t>No prisma do Instituto Oriental da Universidade de Chicago e no Prisma de Taylor no Museu Britânico, há o relato de Senaqueribe sobre essa invasão de Judá. Como os assírios não tomaram Jerusalém, Senaqueribe teve que se contentar em se gabar: “Quanto a Ezequias, o judeu, ele não se submeteu ao meu jugo. Cerquei 46 de suas cidades fortes, fortalezas muradas e as incontáveis pequenas aldeias em sua proximidade, e as conquistei... Fiz dele prisioneiro em Jerusalém, sua residência real, como um pássaro em uma gaiola”.</w:t>
      </w:r>
    </w:p>
    <w:p>
      <w:r/>
      <w:r>
        <w:t xml:space="preserve">Os reis assírios associados a Nínive desempenharam um papel importante na história de Israel, mas o nome Nínive ocorre apenas uma vez nos livros históricos da Bíblia. </w:t>
      </w:r>
      <w:hyperlink r:id="rId15153">
        <w:r>
          <w:rPr>
            <w:color w:val="0000EE"/>
            <w:u w:val="single"/>
          </w:rPr>
          <w:t>Segundo Reis 19.36</w:t>
        </w:r>
      </w:hyperlink>
      <w:r>
        <w:t xml:space="preserve"> afirma que, após a perda de 185.000 soldados pela mão do anjo do Senhor, Senaqueribe voltou para casa e permaneceu em Nínive. Lá, em 681 a.C., ele foi assassinado por seus filhos (cf. </w:t>
      </w:r>
      <w:hyperlink r:id="rId2408">
        <w:r>
          <w:rPr>
            <w:color w:val="0000EE"/>
            <w:u w:val="single"/>
          </w:rPr>
          <w:t>2Rs 19.37</w:t>
        </w:r>
      </w:hyperlink>
      <w:r>
        <w:t xml:space="preserve">; </w:t>
      </w:r>
      <w:hyperlink r:id="rId15154">
        <w:r>
          <w:rPr>
            <w:color w:val="0000EE"/>
            <w:u w:val="single"/>
          </w:rPr>
          <w:t>2Cr 32.21</w:t>
        </w:r>
      </w:hyperlink>
      <w:r>
        <w:t xml:space="preserve">; </w:t>
      </w:r>
      <w:hyperlink r:id="rId2409">
        <w:r>
          <w:rPr>
            <w:color w:val="0000EE"/>
            <w:u w:val="single"/>
          </w:rPr>
          <w:t>Is 37.38</w:t>
        </w:r>
      </w:hyperlink>
      <w:r>
        <w:t>).</w:t>
      </w:r>
    </w:p>
    <w:p>
      <w:r/>
      <w:r>
        <w:t>Há muitas referências a Nínive no livro de Jonas, pois o profeta foi especificamente enviado a essa cidade para alertá-la sobre o julgamento iminente. Nínive é chamada de “a Grande cidade” (</w:t>
      </w:r>
      <w:hyperlink r:id="rId15155">
        <w:r>
          <w:rPr>
            <w:color w:val="0000EE"/>
            <w:u w:val="single"/>
          </w:rPr>
          <w:t>Jn 1.2</w:t>
        </w:r>
      </w:hyperlink>
      <w:r>
        <w:t xml:space="preserve">; </w:t>
      </w:r>
      <w:hyperlink r:id="rId15156">
        <w:r>
          <w:rPr>
            <w:color w:val="0000EE"/>
            <w:u w:val="single"/>
          </w:rPr>
          <w:t>3.2</w:t>
        </w:r>
      </w:hyperlink>
      <w:r>
        <w:t>) e é descrita como “uma cidade tão grande, que levava três dias para vê-la” (</w:t>
      </w:r>
      <w:hyperlink r:id="rId13187">
        <w:r>
          <w:rPr>
            <w:color w:val="0000EE"/>
            <w:u w:val="single"/>
          </w:rPr>
          <w:t>3.3</w:t>
        </w:r>
      </w:hyperlink>
      <w:r>
        <w:t>). Nínive deve ter incluído mais do que a área representada pelos montes de Kouyunjik e Nebi Yunus. Alguns comentaristas acreditam que Nínive englobava outras cidades associadas a ela, incluindo o “triângulo assírio”, o ângulo de terra entre os rios Tigre e Grande Zab, estendendo-se de Khorsabad no norte até Nimrud no sul.</w:t>
      </w:r>
    </w:p>
    <w:p>
      <w:r/>
      <w:r>
        <w:t>O Senhor fala daquela "grande cidade de Nínive, onde há mais de cento e vinte mil crianças inocentes e também muitos animais!" (</w:t>
      </w:r>
      <w:hyperlink r:id="rId13232">
        <w:r>
          <w:rPr>
            <w:color w:val="0000EE"/>
            <w:u w:val="single"/>
          </w:rPr>
          <w:t>Jn 4.11</w:t>
        </w:r>
      </w:hyperlink>
      <w:r>
        <w:t>, NTLH). Alguns escritores interpretam esta declaração como indicando o número de crianças inocentes na cidade e, portanto, chegam a uma população total de cerca de 600.000 para a grande Nínive. No entanto, é mais razoável concluir que se refere a toda a população e que a cláusula descritiva se relaciona à completa escuridão espiritual dos ninivitas.</w:t>
      </w:r>
    </w:p>
    <w:p>
      <w:r/>
      <w:r>
        <w:t>Jonas pregou uma mensagem de julgamento e destruição, mas o arrependimento da cidade trouxe sua libertação (</w:t>
      </w:r>
      <w:hyperlink r:id="rId15157">
        <w:r>
          <w:rPr>
            <w:color w:val="0000EE"/>
            <w:u w:val="single"/>
          </w:rPr>
          <w:t>3.6–10</w:t>
        </w:r>
      </w:hyperlink>
      <w:r>
        <w:t>). Naum declarou a queda final da cidade em uma linguagem vívida e emocionante. Sofonias também previu a destruição de Nínive e profetizou que seria uma desolação, um lugar para rebanhos descansarem, como até mesmo o visitante casual ao local notaria (</w:t>
      </w:r>
      <w:hyperlink r:id="rId15158">
        <w:r>
          <w:rPr>
            <w:color w:val="0000EE"/>
            <w:u w:val="single"/>
          </w:rPr>
          <w:t>Sf 2.13–15</w:t>
        </w:r>
      </w:hyperlink>
      <w:r>
        <w:t>).</w:t>
      </w:r>
    </w:p>
    <w:p>
      <w:r/>
      <w:r>
        <w:t>Nínive foi destruída por uma coalizão de babilônios, medos e citas. A devastação da cidade foi avassaladora e completa; em poucos séculos, a localização exata da cidade foi esquecida. Xenofonte e os exércitos gregos recuaram passando pelo local em 401 a.C. sem perceber. No segundo século d.C., o satirista grego Luciano comentou: “Nínive está tão completamente destruída que não é mais possível dizer onde ficava. Não resta um único vestígio dela”.</w:t>
      </w:r>
    </w:p>
    <w:p>
      <w:r/>
      <w:r>
        <w:t>As únicas referências a Nínive nos Evangelhos do NT também estão relacionadas ao julgamento. Jesus afirmou, em resposta a uma exigência dos escribas e fariseus, que uma geração má busca um sinal; assim como Jonas foi um sinal para os ninivitas, Jesus seria um sinal para sua geração (</w:t>
      </w:r>
      <w:hyperlink r:id="rId15159">
        <w:r>
          <w:rPr>
            <w:color w:val="0000EE"/>
            <w:u w:val="single"/>
          </w:rPr>
          <w:t>Mt 12.38–40</w:t>
        </w:r>
      </w:hyperlink>
      <w:r>
        <w:t xml:space="preserve">; </w:t>
      </w:r>
      <w:hyperlink r:id="rId15160">
        <w:r>
          <w:rPr>
            <w:color w:val="0000EE"/>
            <w:u w:val="single"/>
          </w:rPr>
          <w:t>Lc 11.29–31</w:t>
        </w:r>
      </w:hyperlink>
      <w:r>
        <w:t>). Ele prosseguiu declarando que o povo de Nínive se levantaria no julgamento com sua geração e a condenaria, pois os ninivitas se arrependeram com a pregação de Jonas. Agora, alguém maior que Jonas havia chegado (</w:t>
      </w:r>
      <w:hyperlink r:id="rId15161">
        <w:r>
          <w:rPr>
            <w:color w:val="0000EE"/>
            <w:u w:val="single"/>
          </w:rPr>
          <w:t>Mt 12.41</w:t>
        </w:r>
      </w:hyperlink>
      <w:r>
        <w:t xml:space="preserve">; </w:t>
      </w:r>
      <w:hyperlink r:id="rId13185">
        <w:r>
          <w:rPr>
            <w:color w:val="0000EE"/>
            <w:u w:val="single"/>
          </w:rPr>
          <w:t>Lc 11.32</w:t>
        </w:r>
      </w:hyperlink>
      <w:r>
        <w:t>).</w:t>
      </w:r>
    </w:p>
    <w:p>
      <w:r/>
      <w:r>
        <w:rPr>
          <w:i/>
        </w:rPr>
        <w:t>Veja também</w:t>
      </w:r>
      <w:r>
        <w:t xml:space="preserve"> </w:t>
      </w:r>
      <w:r>
        <w:t>Assíria, Assírios</w:t>
      </w:r>
      <w:r>
        <w:t xml:space="preserve">; </w:t>
      </w:r>
      <w:r>
        <w:t>Hamurábi, Código de leis de</w:t>
      </w:r>
      <w:r>
        <w:t>.</w:t>
      </w:r>
      <w:r/>
      <w:r/>
    </w:p>
    <w:p>
      <w:r/>
    </w:p>
    <w:p>
      <w:pPr>
        <w:pStyle w:val="Heading2"/>
      </w:pPr>
      <w:r>
        <w:t>Ninra</w:t>
      </w:r>
      <w:r/>
    </w:p>
    <w:p>
      <w:r/>
      <w:r>
        <w:t>Outro nome para Bete-Ninra, uma cidade em Moabe (</w:t>
      </w:r>
      <w:hyperlink r:id="rId2947">
        <w:r>
          <w:rPr>
            <w:color w:val="0000EE"/>
            <w:u w:val="single"/>
          </w:rPr>
          <w:t>Nm 32.3</w:t>
        </w:r>
      </w:hyperlink>
      <w:r>
        <w:t>).</w:t>
      </w:r>
    </w:p>
    <w:p>
      <w:r/>
      <w:r>
        <w:rPr>
          <w:i/>
        </w:rPr>
        <w:t>Veja</w:t>
      </w:r>
      <w:r>
        <w:t xml:space="preserve"> </w:t>
      </w:r>
      <w:r>
        <w:t>Bete-Ninra</w:t>
      </w:r>
      <w:r>
        <w:t>.</w:t>
      </w:r>
      <w:r/>
      <w:r/>
    </w:p>
    <w:p>
      <w:r/>
    </w:p>
    <w:p>
      <w:pPr>
        <w:pStyle w:val="Heading2"/>
      </w:pPr>
      <w:r>
        <w:t>Ninrode</w:t>
      </w:r>
      <w:r/>
    </w:p>
    <w:p>
      <w:r/>
      <w:r>
        <w:t>Filho de Cuxe e neto de Cam, filho de Noé (</w:t>
      </w:r>
      <w:hyperlink r:id="rId6444">
        <w:r>
          <w:rPr>
            <w:color w:val="0000EE"/>
            <w:u w:val="single"/>
          </w:rPr>
          <w:t>Gn 10.8</w:t>
        </w:r>
      </w:hyperlink>
      <w:r>
        <w:t xml:space="preserve">; </w:t>
      </w:r>
      <w:hyperlink r:id="rId15162">
        <w:r>
          <w:rPr>
            <w:color w:val="0000EE"/>
            <w:u w:val="single"/>
          </w:rPr>
          <w:t>1Cr 1.10</w:t>
        </w:r>
      </w:hyperlink>
      <w:r>
        <w:t>). Ele é descrito como “o primeiro homem poderoso na terra” e “um poderoso caçador” (</w:t>
      </w:r>
      <w:hyperlink r:id="rId15163">
        <w:r>
          <w:rPr>
            <w:color w:val="0000EE"/>
            <w:u w:val="single"/>
          </w:rPr>
          <w:t>Gn 10.8–9</w:t>
        </w:r>
      </w:hyperlink>
      <w:r>
        <w:t>). Ninrode foi o primeiro a estabelecer um grande império e era um caçador bem conhecido. A tradição o coloca como governante sobre Babilônia e Acádia no sul da Mesopotâmia, e sobre Nínive na Assíria. A frase “terra de Ninrode” parece ser sinônimo de Assíria (</w:t>
      </w:r>
      <w:hyperlink r:id="rId15164">
        <w:r>
          <w:rPr>
            <w:color w:val="0000EE"/>
            <w:u w:val="single"/>
          </w:rPr>
          <w:t>Mq 5.6</w:t>
        </w:r>
      </w:hyperlink>
      <w:r>
        <w:t>).</w:t>
      </w:r>
    </w:p>
    <w:p>
      <w:r/>
      <w:r>
        <w:t>As referências do Antigo Testamento a Ninrode indicam que, na tradição antiga, ele era um homem de personalidade indomável, possuindo talentos e poderes extraordinários. Alguns estudiosos o identificam com um rei mesopotâmico que uniu a Assíria e a Babilônia no século XIII a.C. Isso entra em conflito com a afirmação que o conecta com Cuxe, filho de Cam, apontando para uma associação com o sul do Egito, onde Cuxe estava localizado (</w:t>
      </w:r>
      <w:hyperlink r:id="rId6444">
        <w:r>
          <w:rPr>
            <w:color w:val="0000EE"/>
            <w:u w:val="single"/>
          </w:rPr>
          <w:t>Gn 10.8</w:t>
        </w:r>
      </w:hyperlink>
      <w:r>
        <w:t>).</w:t>
      </w:r>
    </w:p>
    <w:p>
      <w:r/>
      <w:r>
        <w:t>O nome e a fama de Ninrode têm um lugar seguro no Judaísmo Talmúdico e na tradição islâmica. No primeiro, ele personifica tanto a rebelião contra Deus quanto o poder militar na terra. Na tradição rabínica, a Torre de Babel (</w:t>
      </w:r>
      <w:hyperlink r:id="rId2957">
        <w:r>
          <w:rPr>
            <w:color w:val="0000EE"/>
            <w:u w:val="single"/>
          </w:rPr>
          <w:t>Gn 11.1–9</w:t>
        </w:r>
      </w:hyperlink>
      <w:r>
        <w:t>) é "a casa de Ninrode", onde a idolatria era praticada e a homenagem divina era oferecida a Ninrode. No Islã, Ninrode persegue Abraão e o lança em uma fornalha ardente.</w:t>
      </w:r>
      <w:r/>
      <w:r/>
    </w:p>
    <w:p>
      <w:r/>
    </w:p>
    <w:p>
      <w:pPr>
        <w:pStyle w:val="Heading2"/>
      </w:pPr>
      <w:r>
        <w:t>Noba (Lugar)</w:t>
      </w:r>
      <w:r/>
    </w:p>
    <w:p>
      <w:pPr>
        <w:pStyle w:val="ListNumber"/>
        <w:spacing w:line="240" w:lineRule="auto"/>
        <w:ind w:left="720"/>
      </w:pPr>
      <w:r/>
      <w:r>
        <w:t>Uma cidade a leste do rio Jordão. Anteriormente, era chamada de Quenate. A cidade foi dada a Noba, o manassita, como sua herança, e ele a renomeou em sua homenagem (</w:t>
      </w:r>
      <w:hyperlink r:id="rId12644">
        <w:r>
          <w:rPr>
            <w:color w:val="0000EE"/>
            <w:u w:val="single"/>
          </w:rPr>
          <w:t>Nm 32.42</w:t>
        </w:r>
      </w:hyperlink>
      <w:r>
        <w:t>). Noba pode ser o mesmo lugar que Canatha, que era a cidade mais oriental da Decápolis durante o período em que os romanos governavam a área.</w:t>
      </w:r>
    </w:p>
    <w:p>
      <w:r/>
      <w:r>
        <w:rPr>
          <w:i/>
        </w:rPr>
        <w:t>Veja também</w:t>
      </w:r>
      <w:r>
        <w:t xml:space="preserve"> </w:t>
      </w:r>
      <w:r>
        <w:t>Decápolis</w:t>
      </w:r>
      <w:r>
        <w:t xml:space="preserve">; </w:t>
      </w:r>
      <w:r>
        <w:t>Canatha</w:t>
      </w:r>
      <w:r>
        <w:t>.</w:t>
      </w:r>
    </w:p>
    <w:p>
      <w:pPr>
        <w:pStyle w:val="ListNumber"/>
        <w:spacing w:line="240" w:lineRule="auto"/>
        <w:ind w:left="720"/>
      </w:pPr>
      <w:r/>
      <w:r>
        <w:t>Um lugar perto da cidade gadita de Jogbeá, a leste do rio Jordão. Era próximo ao local onde o juiz Gideão emboscou os midianitas (</w:t>
      </w:r>
      <w:hyperlink r:id="rId12000">
        <w:r>
          <w:rPr>
            <w:color w:val="0000EE"/>
            <w:u w:val="single"/>
          </w:rPr>
          <w:t>Jz 8.11</w:t>
        </w:r>
      </w:hyperlink>
      <w:r>
        <w:t>).</w:t>
      </w:r>
      <w:r/>
      <w:r/>
    </w:p>
    <w:p>
      <w:r/>
    </w:p>
    <w:p>
      <w:pPr>
        <w:pStyle w:val="Heading2"/>
      </w:pPr>
      <w:r>
        <w:t>Noba (Pessoa)</w:t>
      </w:r>
      <w:r/>
    </w:p>
    <w:p>
      <w:r/>
      <w:r>
        <w:t>Um homem da tribo de Manassés conquistou a cidade de Quenate, localizada a leste do rio Jordão. Após capturar a cidade, ele a renomeou em sua homenagem, chamando-a de Noba (</w:t>
      </w:r>
      <w:hyperlink r:id="rId12644">
        <w:r>
          <w:rPr>
            <w:color w:val="0000EE"/>
            <w:u w:val="single"/>
          </w:rPr>
          <w:t>Nm 32.42</w:t>
        </w:r>
      </w:hyperlink>
      <w:r>
        <w:t>).</w:t>
      </w:r>
      <w:r/>
      <w:r/>
    </w:p>
    <w:p>
      <w:r/>
    </w:p>
    <w:p>
      <w:pPr>
        <w:pStyle w:val="Heading2"/>
      </w:pPr>
      <w:r>
        <w:t>Nobe</w:t>
      </w:r>
      <w:r/>
    </w:p>
    <w:p>
      <w:r/>
      <w:r>
        <w:t>Cidade localizada nas encostas orientais do Monte Scopus, oposto ao Monte das Oliveiras e a nordeste de Jerusalém. Um importante centro religioso, 86 sacerdotes residiam lá, assim como o éfode (</w:t>
      </w:r>
      <w:hyperlink r:id="rId15165">
        <w:r>
          <w:rPr>
            <w:color w:val="0000EE"/>
            <w:u w:val="single"/>
          </w:rPr>
          <w:t>1Sm 22.13–20</w:t>
        </w:r>
      </w:hyperlink>
      <w:r>
        <w:t>). Nobe era o santuário central no qual serviam os sacerdotes que haviam fugido de Siló quando os filisteus destruíram o santuário de lá.</w:t>
      </w:r>
    </w:p>
    <w:p>
      <w:r/>
      <w:r>
        <w:t>O episódio de Davi e os sacerdotes de Nobe (</w:t>
      </w:r>
      <w:hyperlink r:id="rId15166">
        <w:r>
          <w:rPr>
            <w:color w:val="0000EE"/>
            <w:u w:val="single"/>
          </w:rPr>
          <w:t>1Sm 21:2–7</w:t>
        </w:r>
      </w:hyperlink>
      <w:r>
        <w:t>) atesta a antiguidade dos detalhes da mesa e do pão da presença (</w:t>
      </w:r>
      <w:hyperlink r:id="rId15167">
        <w:r>
          <w:rPr>
            <w:color w:val="0000EE"/>
            <w:u w:val="single"/>
          </w:rPr>
          <w:t>Êx 37.10–16</w:t>
        </w:r>
      </w:hyperlink>
      <w:r>
        <w:t>). Jesus cita a fome de Davi como uma razão justa para quebrar as leis rituais que governavam a observância do sábado (</w:t>
      </w:r>
      <w:hyperlink r:id="rId15168">
        <w:r>
          <w:rPr>
            <w:color w:val="0000EE"/>
            <w:u w:val="single"/>
          </w:rPr>
          <w:t>Mc 2.23–28</w:t>
        </w:r>
      </w:hyperlink>
      <w:r>
        <w:t>). Davi, fugindo de Saul e com necessidade de comida, foi para o santuário em Nobe e tomou os pães que eram dispostos para cada sábado como uma oferta ao Senhor.</w:t>
      </w:r>
    </w:p>
    <w:p>
      <w:r/>
      <w:r>
        <w:t>Aimeleque, um descendente de Eli e líder dos sacerdotes de Nobe, deu os pães da proposição a Davi, junto à espada com a qual Golias havia sido morto. Isso irritou Saul, que ordenou o assassinato de Aimeleque e o massacre de todos os sacerdotes e cidadãos de Nobe (</w:t>
      </w:r>
      <w:hyperlink r:id="rId6570">
        <w:r>
          <w:rPr>
            <w:color w:val="0000EE"/>
            <w:u w:val="single"/>
          </w:rPr>
          <w:t>1Sm 22.6–23</w:t>
        </w:r>
      </w:hyperlink>
      <w:r>
        <w:t>), um ato que selou o destino do rei. Abiatar, um sacerdote que escapou do massacre, desempenhou um papel proeminente no reinado de Davi até que Salomão eventualmente o removeu de sua posição (</w:t>
      </w:r>
      <w:hyperlink r:id="rId68">
        <w:r>
          <w:rPr>
            <w:color w:val="0000EE"/>
            <w:u w:val="single"/>
          </w:rPr>
          <w:t>1Rs 2.26–27</w:t>
        </w:r>
      </w:hyperlink>
      <w:r>
        <w:t>). A frase “onde havia um lugar de adoração” pode se referir ao santuário em Nobe (</w:t>
      </w:r>
      <w:hyperlink r:id="rId15169">
        <w:r>
          <w:rPr>
            <w:color w:val="0000EE"/>
            <w:u w:val="single"/>
          </w:rPr>
          <w:t>2Sm 15.32</w:t>
        </w:r>
      </w:hyperlink>
      <w:r>
        <w:t>).</w:t>
      </w:r>
      <w:r/>
      <w:r/>
    </w:p>
    <w:p>
      <w:r/>
    </w:p>
    <w:p>
      <w:pPr>
        <w:pStyle w:val="Heading2"/>
      </w:pPr>
      <w:r>
        <w:t>Nodabe, Nodabitas</w:t>
      </w:r>
      <w:r/>
    </w:p>
    <w:p>
      <w:r/>
      <w:r>
        <w:t>Antepassado de uma tribo árabe que se uniu aos hagarenos para lutar contra as tribos de Israel que viviam a leste do Jordão (</w:t>
      </w:r>
      <w:hyperlink r:id="rId11879">
        <w:r>
          <w:rPr>
            <w:color w:val="0000EE"/>
            <w:u w:val="single"/>
          </w:rPr>
          <w:t>1Cr 5.19</w:t>
        </w:r>
      </w:hyperlink>
      <w:r>
        <w:t xml:space="preserve">). Embora não esteja incluído na lista dos filhos de Ismael (cf. </w:t>
      </w:r>
      <w:hyperlink r:id="rId15170">
        <w:r>
          <w:rPr>
            <w:color w:val="0000EE"/>
            <w:u w:val="single"/>
          </w:rPr>
          <w:t>Gn 25.13–15</w:t>
        </w:r>
      </w:hyperlink>
      <w:r>
        <w:t>), ele talvez fosse um parente distante.</w:t>
      </w:r>
      <w:r/>
      <w:r/>
    </w:p>
    <w:p>
      <w:r/>
    </w:p>
    <w:p>
      <w:pPr>
        <w:pStyle w:val="Heading2"/>
      </w:pPr>
      <w:r>
        <w:t>Node</w:t>
      </w:r>
      <w:r/>
    </w:p>
    <w:p>
      <w:r/>
      <w:r>
        <w:t>Terra de Nod, a leste do Éden, para onde Caim foi após ter assassinado seu irmão Abel (</w:t>
      </w:r>
      <w:hyperlink r:id="rId15171">
        <w:r>
          <w:rPr>
            <w:color w:val="0000EE"/>
            <w:u w:val="single"/>
          </w:rPr>
          <w:t>Gn 4.16</w:t>
        </w:r>
      </w:hyperlink>
      <w:r>
        <w:t>).</w:t>
      </w:r>
      <w:r/>
      <w:r/>
    </w:p>
    <w:p>
      <w:r/>
    </w:p>
    <w:p>
      <w:pPr>
        <w:pStyle w:val="Heading2"/>
      </w:pPr>
      <w:r>
        <w:t>Noé</w:t>
      </w:r>
      <w:r/>
    </w:p>
    <w:p>
      <w:pPr>
        <w:pStyle w:val="ListNumber"/>
        <w:spacing w:line="240" w:lineRule="auto"/>
        <w:ind w:left="720"/>
      </w:pPr>
      <w:r/>
      <w:r>
        <w:t>Filho de Lameque e neto de Metusalém, descendente de Sete, terceiro filho de Adão (</w:t>
      </w:r>
      <w:hyperlink r:id="rId15172">
        <w:r>
          <w:rPr>
            <w:color w:val="0000EE"/>
            <w:u w:val="single"/>
          </w:rPr>
          <w:t>Gn 5.3–20</w:t>
        </w:r>
      </w:hyperlink>
      <w:r>
        <w:t>). Lameque nomeou seu filho Noé, um nome que soa como um termo hebraico que pode significar "alívio" ou "conforto". Ao dar esse nome, Lameque disse: “Que este nos console no trabalho e no esforço de nossas mãos causados pela terra que o Senhor amaldiçoou” (</w:t>
      </w:r>
      <w:hyperlink r:id="rId4526">
        <w:r>
          <w:rPr>
            <w:color w:val="0000EE"/>
            <w:u w:val="single"/>
          </w:rPr>
          <w:t>Gn 5.29</w:t>
        </w:r>
      </w:hyperlink>
      <w:r>
        <w:t>).</w:t>
      </w:r>
    </w:p>
    <w:p>
      <w:r/>
      <w:r>
        <w:t xml:space="preserve">Determinado a destruir a criação por causa da constante maldade (compare </w:t>
      </w:r>
      <w:hyperlink r:id="rId15173">
        <w:r>
          <w:rPr>
            <w:color w:val="0000EE"/>
            <w:u w:val="single"/>
          </w:rPr>
          <w:t>Mt 24.37–39</w:t>
        </w:r>
      </w:hyperlink>
      <w:r>
        <w:t xml:space="preserve">; </w:t>
      </w:r>
      <w:hyperlink r:id="rId15174">
        <w:r>
          <w:rPr>
            <w:color w:val="0000EE"/>
            <w:u w:val="single"/>
          </w:rPr>
          <w:t>Lc 17.26–27</w:t>
        </w:r>
      </w:hyperlink>
      <w:r>
        <w:t>), Deus fez uma exceção com Noé, um homem justo aos olhos de Deus e irrepreensível perante as pessoas (</w:t>
      </w:r>
      <w:hyperlink r:id="rId15175">
        <w:r>
          <w:rPr>
            <w:color w:val="0000EE"/>
            <w:u w:val="single"/>
          </w:rPr>
          <w:t>Gn 6.3–9</w:t>
        </w:r>
      </w:hyperlink>
      <w:r>
        <w:t>). Noé seguiu as instruções precisas de Deus. Ele construiu uma arca. Apenas oito pessoas entraram:</w:t>
      </w:r>
    </w:p>
    <w:p>
      <w:pPr>
        <w:pStyle w:val="ListBullet"/>
        <w:spacing w:line="240" w:lineRule="auto"/>
        <w:ind w:left="1440"/>
      </w:pPr>
      <w:r/>
      <w:r>
        <w:t>Noé</w:t>
      </w:r>
    </w:p>
    <w:p>
      <w:pPr>
        <w:pStyle w:val="ListBullet"/>
        <w:spacing w:line="240" w:lineRule="auto"/>
        <w:ind w:left="1440"/>
      </w:pPr>
      <w:r/>
      <w:r>
        <w:t>A sua esposa</w:t>
      </w:r>
    </w:p>
    <w:p>
      <w:pPr>
        <w:pStyle w:val="ListBullet"/>
        <w:spacing w:line="240" w:lineRule="auto"/>
        <w:ind w:left="1440"/>
      </w:pPr>
      <w:r/>
      <w:r>
        <w:t>Os três filhos dele</w:t>
      </w:r>
    </w:p>
    <w:p>
      <w:pPr>
        <w:pStyle w:val="ListBullet"/>
        <w:spacing w:line="240" w:lineRule="auto"/>
        <w:ind w:left="1440"/>
      </w:pPr>
      <w:r/>
      <w:r>
        <w:t>Suas esposas</w:t>
      </w:r>
    </w:p>
    <w:p>
      <w:r/>
      <w:r>
        <w:t>Todos os tipos de criaturas foram trazidos em pares. Assim, foram protegidos do dilúvio que se seguiu, no qual todas as outras coisas vivas pereceram (</w:t>
      </w:r>
      <w:hyperlink r:id="rId15176">
        <w:r>
          <w:rPr>
            <w:color w:val="0000EE"/>
            <w:u w:val="single"/>
          </w:rPr>
          <w:t>Gn 6.14–8.19</w:t>
        </w:r>
      </w:hyperlink>
      <w:r>
        <w:t>). Depois que saíram da arca, Noé construiu um altar. Ele sacrificou holocaustos que agradaram a Deus. Em resposta, Deus prometeu nunca repetir o Dilúvio ou interromper as estações, apesar do pecado do homem (</w:t>
      </w:r>
      <w:hyperlink r:id="rId15177">
        <w:r>
          <w:rPr>
            <w:color w:val="0000EE"/>
            <w:u w:val="single"/>
          </w:rPr>
          <w:t>Gn 8.20–9.17</w:t>
        </w:r>
      </w:hyperlink>
      <w:r>
        <w:t>).</w:t>
      </w:r>
    </w:p>
    <w:p>
      <w:r/>
      <w:r>
        <w:t>Noé resistiu a grandes tentações. No entanto, seja por descuido ou velhice, ele se embriagou. As reações variaram entre os membros da família, levando a avaliações individuais. Sem e Jafé receberam bênçãos. Cam não recebeu bênção, mas seu filho Canaã foi amaldiçoado (</w:t>
      </w:r>
      <w:hyperlink r:id="rId15178">
        <w:r>
          <w:rPr>
            <w:color w:val="0000EE"/>
            <w:u w:val="single"/>
          </w:rPr>
          <w:t>Gn 9.20–27</w:t>
        </w:r>
      </w:hyperlink>
      <w:r>
        <w:t>). Noé tinha 950 anos quando morreu, 350 anos após o Dilúvio.</w:t>
      </w:r>
    </w:p>
    <w:p>
      <w:r/>
      <w:hyperlink r:id="rId15179">
        <w:r>
          <w:rPr>
            <w:color w:val="0000EE"/>
            <w:u w:val="single"/>
          </w:rPr>
          <w:t>Ezequiel 14.12</w:t>
        </w:r>
      </w:hyperlink>
      <w:hyperlink r:id="rId15180">
        <w:r>
          <w:rPr>
            <w:color w:val="0000EE"/>
            <w:u w:val="single"/>
          </w:rPr>
          <w:t>–</w:t>
        </w:r>
      </w:hyperlink>
      <w:hyperlink r:id="rId15179">
        <w:r>
          <w:rPr>
            <w:color w:val="0000EE"/>
            <w:u w:val="single"/>
          </w:rPr>
          <w:t>14,19</w:t>
        </w:r>
      </w:hyperlink>
      <w:hyperlink r:id="rId15180">
        <w:r>
          <w:rPr>
            <w:color w:val="0000EE"/>
            <w:u w:val="single"/>
          </w:rPr>
          <w:t>–</w:t>
        </w:r>
      </w:hyperlink>
      <w:hyperlink r:id="rId15179">
        <w:r>
          <w:rPr>
            <w:color w:val="0000EE"/>
            <w:u w:val="single"/>
          </w:rPr>
          <w:t xml:space="preserve">20 </w:t>
        </w:r>
      </w:hyperlink>
      <w:r>
        <w:t>cita Noé, Daniel e Jó por "sua retidão". A Carta aos Hebreus elogia Noé, que, por fé e santo temor, rejeitou o mundo e se tornou o herdeiro da justiça (</w:t>
      </w:r>
      <w:hyperlink r:id="rId7147">
        <w:r>
          <w:rPr>
            <w:color w:val="0000EE"/>
            <w:u w:val="single"/>
          </w:rPr>
          <w:t>Hebreus 11.7</w:t>
        </w:r>
      </w:hyperlink>
      <w:r>
        <w:t xml:space="preserve">), e </w:t>
      </w:r>
      <w:hyperlink r:id="rId7145">
        <w:r>
          <w:rPr>
            <w:color w:val="0000EE"/>
            <w:u w:val="single"/>
          </w:rPr>
          <w:t>2 Pedro 2.5</w:t>
        </w:r>
      </w:hyperlink>
      <w:r>
        <w:t xml:space="preserve"> o chama de “pregador da justiça”.</w:t>
      </w:r>
    </w:p>
    <w:p>
      <w:r/>
      <w:r>
        <w:rPr>
          <w:i/>
        </w:rPr>
        <w:t>Veja também</w:t>
      </w:r>
      <w:r>
        <w:t xml:space="preserve"> </w:t>
      </w:r>
      <w:r>
        <w:t>Inundação, A</w:t>
      </w:r>
      <w:r>
        <w:t xml:space="preserve">; </w:t>
      </w:r>
      <w:r>
        <w:t>Épico de Gilgamesh</w:t>
      </w:r>
      <w:r>
        <w:t>.</w:t>
      </w:r>
    </w:p>
    <w:p>
      <w:pPr>
        <w:pStyle w:val="ListNumber"/>
        <w:spacing w:line="240" w:lineRule="auto"/>
        <w:ind w:left="720"/>
      </w:pPr>
      <w:r/>
      <w:r>
        <w:t>Um nome bem parecido em hebraico e que pode ser confundido é com Noa, filha de Zelofeade da tribo de Manassés (</w:t>
      </w:r>
      <w:hyperlink r:id="rId10684">
        <w:r>
          <w:rPr>
            <w:color w:val="0000EE"/>
            <w:u w:val="single"/>
          </w:rPr>
          <w:t>Nm 26.33</w:t>
        </w:r>
      </w:hyperlink>
      <w:r>
        <w:t>). Quando seu pai morreu sem deixar um filho, ela e suas quatro irmãs solicitaram uma lei para proteger seus direitos de herança (</w:t>
      </w:r>
      <w:hyperlink r:id="rId9883">
        <w:r>
          <w:rPr>
            <w:color w:val="0000EE"/>
            <w:u w:val="single"/>
          </w:rPr>
          <w:t>Nm 27.1–11</w:t>
        </w:r>
      </w:hyperlink>
      <w:r>
        <w:t xml:space="preserve">; compare </w:t>
      </w:r>
      <w:hyperlink r:id="rId12252">
        <w:r>
          <w:rPr>
            <w:color w:val="0000EE"/>
            <w:u w:val="single"/>
          </w:rPr>
          <w:t>Js 17.3–6</w:t>
        </w:r>
      </w:hyperlink>
      <w:r>
        <w:t>). No entanto, elas foram obrigadas a casar dentro de sua própria tribo (</w:t>
      </w:r>
      <w:hyperlink r:id="rId9884">
        <w:r>
          <w:rPr>
            <w:color w:val="0000EE"/>
            <w:u w:val="single"/>
          </w:rPr>
          <w:t>Nm 36.1–12</w:t>
        </w:r>
      </w:hyperlink>
      <w:r>
        <w:t>).</w:t>
      </w:r>
      <w:r/>
      <w:r/>
    </w:p>
    <w:p>
      <w:r/>
    </w:p>
    <w:p>
      <w:pPr>
        <w:pStyle w:val="Heading2"/>
      </w:pPr>
      <w:r>
        <w:t>Nofa</w:t>
      </w:r>
      <w:r/>
    </w:p>
    <w:p>
      <w:r/>
      <w:r>
        <w:t>Algumas versões da Bíblia usam a grafia "Nofá". Um local que marca as fronteiras entre Israel e os moabitas e amoritas (</w:t>
      </w:r>
      <w:hyperlink r:id="rId7132">
        <w:r>
          <w:rPr>
            <w:color w:val="0000EE"/>
            <w:u w:val="single"/>
          </w:rPr>
          <w:t>Nm 21.30</w:t>
        </w:r>
      </w:hyperlink>
      <w:r>
        <w:t xml:space="preserve">). Alguns estudiosos acreditam que Nofa é o mesmo que Noba de </w:t>
      </w:r>
      <w:hyperlink r:id="rId12000">
        <w:r>
          <w:rPr>
            <w:color w:val="0000EE"/>
            <w:u w:val="single"/>
          </w:rPr>
          <w:t>Juízes 8.11</w:t>
        </w:r>
      </w:hyperlink>
      <w:r>
        <w:t>.</w:t>
      </w:r>
      <w:r/>
      <w:r/>
    </w:p>
    <w:p>
      <w:r/>
    </w:p>
    <w:p>
      <w:pPr>
        <w:pStyle w:val="Heading2"/>
      </w:pPr>
      <w:r>
        <w:t>Noite</w:t>
      </w:r>
      <w:r/>
    </w:p>
    <w:p>
      <w:r/>
      <w:r>
        <w:t>Palavra nas Escrituras denotando aquele tempo de trevas do anoitecer até o amanhecer quando nenhuma luz do sol é visível. Por exemplo, José levou Maria e Jesus para o Egito à noite (</w:t>
      </w:r>
      <w:hyperlink r:id="rId15181">
        <w:r>
          <w:rPr>
            <w:color w:val="0000EE"/>
            <w:u w:val="single"/>
          </w:rPr>
          <w:t>Mt 2.14</w:t>
        </w:r>
      </w:hyperlink>
      <w:r>
        <w:t>). Os pastores estavam mantendo vigília sobre seus rebanhos à noite (</w:t>
      </w:r>
      <w:hyperlink r:id="rId1847">
        <w:r>
          <w:rPr>
            <w:color w:val="0000EE"/>
            <w:u w:val="single"/>
          </w:rPr>
          <w:t>Lc 2.8</w:t>
        </w:r>
      </w:hyperlink>
      <w:r>
        <w:t>). Nicodemos veio para ver Jesus à noite (</w:t>
      </w:r>
      <w:hyperlink r:id="rId15182">
        <w:r>
          <w:rPr>
            <w:color w:val="0000EE"/>
            <w:u w:val="single"/>
          </w:rPr>
          <w:t>Jo 3.2</w:t>
        </w:r>
      </w:hyperlink>
      <w:r>
        <w:t>). Um anjo do Senhor veio e abriu as portas da prisão à noite para deixar os discípulos saírem (</w:t>
      </w:r>
      <w:hyperlink r:id="rId1931">
        <w:r>
          <w:rPr>
            <w:color w:val="0000EE"/>
            <w:u w:val="single"/>
          </w:rPr>
          <w:t>At 5.19</w:t>
        </w:r>
      </w:hyperlink>
      <w:r>
        <w:t>).</w:t>
      </w:r>
    </w:p>
    <w:p>
      <w:r/>
      <w:r>
        <w:t xml:space="preserve">De acordo com </w:t>
      </w:r>
      <w:hyperlink r:id="rId1452">
        <w:r>
          <w:rPr>
            <w:color w:val="0000EE"/>
            <w:u w:val="single"/>
          </w:rPr>
          <w:t>Gn 1</w:t>
        </w:r>
      </w:hyperlink>
      <w:r>
        <w:t>, o ciclo dia-noite foi instituído por Deus e “noite” era o nome dado ao período das trevas (</w:t>
      </w:r>
      <w:hyperlink r:id="rId15183">
        <w:r>
          <w:rPr>
            <w:color w:val="0000EE"/>
            <w:u w:val="single"/>
          </w:rPr>
          <w:t>Gn 1.5</w:t>
        </w:r>
      </w:hyperlink>
      <w:r>
        <w:t xml:space="preserve">). Mais tarde, Deus colocou as luzes na expansão dos céus, nomeando o sol para governar ou dominar o dia, e a lua, a luz menor, para dominar a noite (vv. </w:t>
      </w:r>
      <w:hyperlink r:id="rId15184">
        <w:r>
          <w:rPr>
            <w:color w:val="0000EE"/>
            <w:u w:val="single"/>
          </w:rPr>
          <w:t>16–18</w:t>
        </w:r>
      </w:hyperlink>
      <w:r>
        <w:t>). A aliança do Senhor é a base da regularidade da rotação do dia e da noite.</w:t>
      </w:r>
    </w:p>
    <w:p>
      <w:r/>
      <w:r>
        <w:t>A noite nos tempos do AT era aparentemente dividida em três períodos ou “vigílias”. O último nome se originou com a mudança da guarda nesses momentos. Os 300 homens de Gideão tocaram suas trombetas e quebraram seus jarros no início da vigília do meio (</w:t>
      </w:r>
      <w:hyperlink r:id="rId15185">
        <w:r>
          <w:rPr>
            <w:color w:val="0000EE"/>
            <w:u w:val="single"/>
          </w:rPr>
          <w:t>Jz 7.19</w:t>
        </w:r>
      </w:hyperlink>
      <w:r>
        <w:t>). Embora nenhuma referência no AT dê os limites desses três períodos, a noite era considerada como começando ao pôr do sol, e, consequentemente, os períodos podem ter sido das 18:00 às 22:00, das 22:00 às 2:00, e das 2:00 às 6:00 da manhã.</w:t>
      </w:r>
    </w:p>
    <w:p>
      <w:r/>
      <w:r>
        <w:t xml:space="preserve">Mais tarde, de acordo com a estimativa romana do tempo, a noite foi dividida em quatro vigílias. Alguns historiadores pensam que elas começavam às 21:30, à meia-noite, às 2:30, e às 5:00 da manhã. Outros pensam que o período noturno entre as 18:00 e 6:00 da manhã foi dividido igualmente em quatro períodos, o primeiro começando às 18:00, o segundo às 21:00, o terceiro à meia-noite e o quarto às 3:00 da manhã. </w:t>
      </w:r>
      <w:hyperlink r:id="rId15186">
        <w:r>
          <w:rPr>
            <w:color w:val="0000EE"/>
            <w:u w:val="single"/>
          </w:rPr>
          <w:t>Mc 13.35</w:t>
        </w:r>
      </w:hyperlink>
      <w:r>
        <w:t xml:space="preserve"> contém as designações populares para essas quatro vigílias, ou seja, no final do dia (início da noite), à meia-noite, ao canto do galo e no início da manhã.</w:t>
      </w:r>
    </w:p>
    <w:p>
      <w:r/>
      <w:r>
        <w:t xml:space="preserve">Aparentemente, </w:t>
      </w:r>
      <w:hyperlink r:id="rId15187">
        <w:r>
          <w:rPr>
            <w:color w:val="0000EE"/>
            <w:u w:val="single"/>
          </w:rPr>
          <w:t>Mt 14.25</w:t>
        </w:r>
      </w:hyperlink>
      <w:r>
        <w:t xml:space="preserve"> e </w:t>
      </w:r>
      <w:hyperlink r:id="rId13819">
        <w:r>
          <w:rPr>
            <w:color w:val="0000EE"/>
            <w:u w:val="single"/>
          </w:rPr>
          <w:t>Mc 6.48</w:t>
        </w:r>
      </w:hyperlink>
      <w:r>
        <w:t xml:space="preserve"> seguem a estimativa romana quando localizam a caminhada de Jesus sobre a água por volta da quarta vigília da noite.</w:t>
      </w:r>
    </w:p>
    <w:p>
      <w:r/>
      <w:r>
        <w:t>Um uso especializado da palavra “noite” juntamente com a palavra “dia” enfatiza a continuação da atividade. Por exemplo, o homem com um espírito imundo é dito ter estado nas montanhas e nos túmulos “noite e dia” (</w:t>
      </w:r>
      <w:hyperlink r:id="rId15188">
        <w:r>
          <w:rPr>
            <w:color w:val="0000EE"/>
            <w:u w:val="single"/>
          </w:rPr>
          <w:t>Mc 5.5</w:t>
        </w:r>
      </w:hyperlink>
      <w:r>
        <w:t>). Paulo se refere a ele ter trabalhado, se esforçando noite e dia, para não ser um fardo para a igreja (</w:t>
      </w:r>
      <w:hyperlink r:id="rId9101">
        <w:r>
          <w:rPr>
            <w:color w:val="0000EE"/>
            <w:u w:val="single"/>
          </w:rPr>
          <w:t>1Ts 2.9</w:t>
        </w:r>
      </w:hyperlink>
      <w:r>
        <w:t>). Mais tarde no mesmo livro, ele se refere à sua oração contínua noite e dia (</w:t>
      </w:r>
      <w:hyperlink r:id="rId15189">
        <w:r>
          <w:rPr>
            <w:color w:val="0000EE"/>
            <w:u w:val="single"/>
          </w:rPr>
          <w:t>3.10</w:t>
        </w:r>
      </w:hyperlink>
      <w:r>
        <w:t>).</w:t>
      </w:r>
    </w:p>
    <w:p>
      <w:r/>
      <w:r>
        <w:t>Junto com este uso literal da palavra “noite”, há também um uso figurativo ou metafórico. Em algumas referências, se refere ao julgamento divino (</w:t>
      </w:r>
      <w:hyperlink r:id="rId1305">
        <w:r>
          <w:rPr>
            <w:color w:val="0000EE"/>
            <w:u w:val="single"/>
          </w:rPr>
          <w:t>Am 5.8–9</w:t>
        </w:r>
      </w:hyperlink>
      <w:r>
        <w:t xml:space="preserve">; </w:t>
      </w:r>
      <w:hyperlink r:id="rId5526">
        <w:r>
          <w:rPr>
            <w:color w:val="0000EE"/>
            <w:u w:val="single"/>
          </w:rPr>
          <w:t>Mq 3.6</w:t>
        </w:r>
      </w:hyperlink>
      <w:r>
        <w:t>). Jesus usa “noite” para se referir à morte (</w:t>
      </w:r>
      <w:hyperlink r:id="rId7026">
        <w:r>
          <w:rPr>
            <w:color w:val="0000EE"/>
            <w:u w:val="single"/>
          </w:rPr>
          <w:t>Jo 9.4</w:t>
        </w:r>
      </w:hyperlink>
      <w:r>
        <w:t>). Uma vez que a noite (morte) vem, o tempo para trabalhar acabou.</w:t>
      </w:r>
    </w:p>
    <w:p>
      <w:r/>
      <w:r>
        <w:t>Paulo compara esta era presente (que logo terminará) com a noite que está quase acabando (</w:t>
      </w:r>
      <w:hyperlink r:id="rId15190">
        <w:r>
          <w:rPr>
            <w:color w:val="0000EE"/>
            <w:u w:val="single"/>
          </w:rPr>
          <w:t>Rm 13.12</w:t>
        </w:r>
      </w:hyperlink>
      <w:r>
        <w:t>). Novamente, Paulo fala de si mesmo e seus leitores como filhos da luz e do dia, não da noite e das trevas (</w:t>
      </w:r>
      <w:hyperlink r:id="rId7027">
        <w:r>
          <w:rPr>
            <w:color w:val="0000EE"/>
            <w:u w:val="single"/>
          </w:rPr>
          <w:t>1Ts 5.5</w:t>
        </w:r>
      </w:hyperlink>
      <w:r>
        <w:t>). Neste contexto, ele liga a noite com a separação de Deus, pecado, intemperança, vida negligente, bem como cegueira espiritual e ignorância, especialmente em relação ao retorno do Senhor.</w:t>
      </w:r>
    </w:p>
    <w:p>
      <w:r/>
      <w:r>
        <w:rPr>
          <w:i/>
        </w:rPr>
        <w:t>Veja também</w:t>
      </w:r>
      <w:r>
        <w:t xml:space="preserve"> </w:t>
      </w:r>
      <w:r>
        <w:t>Dia</w:t>
      </w:r>
      <w:r>
        <w:t>.</w:t>
      </w:r>
      <w:r/>
      <w:r/>
    </w:p>
    <w:p>
      <w:r/>
    </w:p>
    <w:p>
      <w:pPr>
        <w:pStyle w:val="Heading2"/>
      </w:pPr>
      <w:r>
        <w:t>Nomes De Deus</w:t>
      </w:r>
      <w:r/>
    </w:p>
    <w:p>
      <w:r/>
      <w:r>
        <w:t>As autoidentificações de Deus expressando vários aspectos de seu ser.</w:t>
      </w:r>
    </w:p>
    <w:p>
      <w:r/>
      <w:r>
        <w:t>Resumo</w:t>
      </w:r>
    </w:p>
    <w:p>
      <w:r/>
      <w:r>
        <w:t>• A Ideia Bíblica de Nome</w:t>
      </w:r>
    </w:p>
    <w:p>
      <w:r/>
      <w:r>
        <w:t>• Os Nomes de Deus no Antigo Testamento</w:t>
      </w:r>
    </w:p>
    <w:p>
      <w:r/>
      <w:r>
        <w:t>• Os Nomes de Deus no Novo Testamento</w:t>
      </w:r>
    </w:p>
    <w:p>
      <w:pPr>
        <w:pStyle w:val="Heading3"/>
      </w:pPr>
      <w:r>
        <w:t>A Ideia Bíblica de Nome</w:t>
      </w:r>
    </w:p>
    <w:p>
      <w:r/>
      <w:r>
        <w:t>Nas Escrituras, o nome e a pessoa de Deus estão inseparavelmente relacionados. Isso está de acordo com a concepção bíblica do que um nome significa.</w:t>
      </w:r>
    </w:p>
    <w:p>
      <w:r/>
      <w:r>
        <w:t>Na língua hebraica, o termo para “nome” provavelmente significava “sinal” ou “marca distintiva”. Na língua grega, “nome” (</w:t>
      </w:r>
      <w:r>
        <w:rPr>
          <w:i/>
        </w:rPr>
        <w:t>onoma</w:t>
      </w:r>
      <w:r>
        <w:t xml:space="preserve">) é derivado de um verbo que significa </w:t>
      </w:r>
      <w:r>
        <w:rPr>
          <w:i/>
        </w:rPr>
        <w:t>“conhecer”</w:t>
      </w:r>
      <w:r>
        <w:t>. Um nome, portanto, indica aquilo pelo qual uma pessoa ou objeto deve ser conhecido. Mas a ideia de nome não deve ser tomada no sentido de um rótulo ou um meio arbitrário de identificar, ou especificar uma pessoa, lugar ou objeto. “Nome” no uso bíblico descreve corretamente a pessoa, lugar ou objeto e indica o caráter essencial daquilo ao qual o nome é dado. Adão nomeou os animais de acordo com sua natureza (</w:t>
      </w:r>
      <w:hyperlink r:id="rId15191">
        <w:r>
          <w:rPr>
            <w:color w:val="0000EE"/>
            <w:u w:val="single"/>
          </w:rPr>
          <w:t>Gn 2.19–20</w:t>
        </w:r>
      </w:hyperlink>
      <w:r>
        <w:t>); Noé significa “aquele que traz alívio e conforto” (</w:t>
      </w:r>
      <w:hyperlink r:id="rId4526">
        <w:r>
          <w:rPr>
            <w:color w:val="0000EE"/>
            <w:u w:val="single"/>
          </w:rPr>
          <w:t>5.29</w:t>
        </w:r>
      </w:hyperlink>
      <w:r>
        <w:t>); Jesus significa “salvador” (</w:t>
      </w:r>
      <w:hyperlink r:id="rId8705">
        <w:r>
          <w:rPr>
            <w:color w:val="0000EE"/>
            <w:u w:val="single"/>
          </w:rPr>
          <w:t>Mt 1.21</w:t>
        </w:r>
      </w:hyperlink>
      <w:r>
        <w:t xml:space="preserve">). Quando uma pessoa recebia uma nova posição ou uma mudança radical ocorria em sua vida, um novo nome era dado para indicar esse novo aspecto — por exemplo, Abraão (“pai de muitas nações”, </w:t>
      </w:r>
      <w:hyperlink r:id="rId154">
        <w:r>
          <w:rPr>
            <w:color w:val="0000EE"/>
            <w:u w:val="single"/>
          </w:rPr>
          <w:t>Gn 17.5</w:t>
        </w:r>
      </w:hyperlink>
      <w:r>
        <w:t xml:space="preserve">), e Israel (“aquele que luta com Deus” ou “Deus luta”, </w:t>
      </w:r>
      <w:hyperlink r:id="rId11405">
        <w:r>
          <w:rPr>
            <w:color w:val="0000EE"/>
            <w:u w:val="single"/>
          </w:rPr>
          <w:t>32.28</w:t>
        </w:r>
      </w:hyperlink>
      <w:r>
        <w:t>). O nome de uma pessoa ou pessoas expressava o que a pessoa ou pessoas consideravam ser a descrição ou declaração de caráter adequada.</w:t>
      </w:r>
    </w:p>
    <w:p>
      <w:r/>
      <w:r>
        <w:t>Com relação aos nomes de Deus, há diferenças consideráveis, e essas são mais claramente vistas quando os estudiosos e teólogos bíblicos confrontam a pergunta de se os nomes de Deus são atribuições dadas por Deus sobre si ou são atribuições dadas a Deus por pessoas que observaram seus atos e refletiram sobre seu caráter conforme discernido por meio do estudo dos feitos divinos. Aqui estão alguns exemplos dos vários tipos de nomes divinos:</w:t>
      </w:r>
    </w:p>
    <w:p>
      <w:r/>
      <w:r>
        <w:t>1. Nomes adequados: El, Yahweh, Adonai, Theos (Deus), Kurios (Senhor).</w:t>
      </w:r>
    </w:p>
    <w:p>
      <w:r/>
      <w:r>
        <w:t>2. Nomes pessoais: Pai, Aba, Filho, Jesus, Espírito Santo.</w:t>
      </w:r>
    </w:p>
    <w:p>
      <w:r/>
      <w:r>
        <w:t>3. Títulos: Criador, Messias/Cristo, Paráclito/Consolador.</w:t>
      </w:r>
    </w:p>
    <w:p>
      <w:r/>
      <w:r>
        <w:t>4. Nomes essenciais: Luz, Amor, Espírito.</w:t>
      </w:r>
    </w:p>
    <w:p>
      <w:r/>
      <w:r>
        <w:t>5. Nomes descritivos: Rocha, Ba’al, Mestre, Raboni, Pastor.</w:t>
      </w:r>
    </w:p>
    <w:p>
      <w:pPr>
        <w:pStyle w:val="Heading3"/>
      </w:pPr>
      <w:r>
        <w:t>Os Nomes de Deus no Antigo Testamento</w:t>
      </w:r>
    </w:p>
    <w:p>
      <w:pPr>
        <w:pStyle w:val="Heading4"/>
      </w:pPr>
      <w:r>
        <w:t>El e Nomes Relacionados</w:t>
      </w:r>
    </w:p>
    <w:p>
      <w:r/>
      <w:r>
        <w:t xml:space="preserve">O nome ‘El é encontrado mais de 200 vezes na Bíblia hebraica. É melhor traduzido como “Deus”. O termo ‘el tem uma série de possíveis significados. A raiz é cogitada por alguns como sendo </w:t>
      </w:r>
      <w:r>
        <w:rPr>
          <w:i/>
        </w:rPr>
        <w:t>‘ul</w:t>
      </w:r>
      <w:r>
        <w:t xml:space="preserve">, que significa “ser o primeiro” ou “ser forte”. Outros sugerem que a raiz é </w:t>
      </w:r>
      <w:r>
        <w:rPr>
          <w:i/>
        </w:rPr>
        <w:t>‘Alá</w:t>
      </w:r>
      <w:r>
        <w:t xml:space="preserve">, que significa “preceder” e insinua “líder” ou “comandante”. Também pode significar “ter medo”. Assim, Deus como </w:t>
      </w:r>
      <w:r>
        <w:rPr>
          <w:i/>
        </w:rPr>
        <w:t>‘alá</w:t>
      </w:r>
      <w:r>
        <w:t xml:space="preserve">, como o forte, deve ser temido. Ainda outros sugerem a preposição ‘el (“ao, para”) como a raiz; a ideia então é de “alguém se dando aos outros” ou de “alguém a quem os outros vão para pedir ajuda”. Alguns estudiosos sugerem que a palavra </w:t>
      </w:r>
      <w:r>
        <w:rPr>
          <w:i/>
        </w:rPr>
        <w:t>‘alim</w:t>
      </w:r>
      <w:r>
        <w:t>, que significa “vincular”, deve ser considerada como uma raiz também — isto é, “o forte vincula-se e mantém o controle firme”. Comum a esses quatro significados sugeridos é a ideia de força, poder e de excelência e grandeza supremas.</w:t>
      </w:r>
    </w:p>
    <w:p>
      <w:r/>
      <w:r>
        <w:t xml:space="preserve">‘El no AT é utilizado especialmente nos primeiros livros, onde descreve o exercício do poder dinâmico de Deus como distinto da autoridade. ‘El fala de Deus como o grande fazedor e produtor. Ele é Aquele que exerce tal poder que tudo o que é produzido, feito, mantido ou destruído é sua obra (cf. </w:t>
      </w:r>
      <w:hyperlink r:id="rId4201">
        <w:r>
          <w:rPr>
            <w:color w:val="0000EE"/>
            <w:u w:val="single"/>
          </w:rPr>
          <w:t>Êx 15</w:t>
        </w:r>
      </w:hyperlink>
      <w:r>
        <w:t>). ’El também é utilizado para expressar a ideia de que Deus não deve ser identificado como parte da criação, mas como Aquele que está acima, atrás e além da criação (</w:t>
      </w:r>
      <w:hyperlink r:id="rId6896">
        <w:r>
          <w:rPr>
            <w:color w:val="0000EE"/>
            <w:u w:val="single"/>
          </w:rPr>
          <w:t>Sl 19.1</w:t>
        </w:r>
      </w:hyperlink>
      <w:r>
        <w:t>).</w:t>
      </w:r>
    </w:p>
    <w:p>
      <w:r/>
      <w:r>
        <w:t xml:space="preserve">‘Elohim também é comumente utilizado como o nome de Deus, ocorrendo mais de 2.500 vezes no AT. Há diferenças de opinião sobre a origem exata e o significado deste nome plural. Alguns sugeriram que ‘Elohim é a forma plural de </w:t>
      </w:r>
      <w:r>
        <w:rPr>
          <w:i/>
        </w:rPr>
        <w:t>‘El</w:t>
      </w:r>
      <w:r>
        <w:t xml:space="preserve">, mas parece mais provável que seja um plural de </w:t>
      </w:r>
      <w:r>
        <w:rPr>
          <w:i/>
        </w:rPr>
        <w:t>‘Eloah</w:t>
      </w:r>
      <w:r>
        <w:t>, que aparece nos escritos poéticos. Alguns escritores críticos sugeriram que esta forma plural é emprestada de fontes politeístas pagãs, mas nenhuma forma plural é encontrada entre pagãos como o nome de uma divindade. Outros sugeriram que a forma plural é usada para indicar a natureza trina de Deus, e o sustento para isso foi visto no uso de um verbo no singular com este substantivo no plural. A doutrina bíblica da Trindade, como é desenvolvida ao longo das Escrituras, não parece ser baseada no uso desta forma plural do nome de Deus, embora as duas posições não sejam contraditórias.</w:t>
      </w:r>
    </w:p>
    <w:p>
      <w:r/>
      <w:r>
        <w:t xml:space="preserve">A forma plural, </w:t>
      </w:r>
      <w:r>
        <w:rPr>
          <w:i/>
        </w:rPr>
        <w:t>‘Elohim</w:t>
      </w:r>
      <w:r>
        <w:t>, é melhor entendida como expressando intensidade. Deus se faz conhecido por este nome como o Senhor de intensa e extensa glória e riqueza enquanto ele exerce sua preeminência e poder no cosmos criado. Portanto, quando a Escritura fala da criação, ela afirma: “No início, ‘Elohim criou os céus e a terra” (</w:t>
      </w:r>
      <w:hyperlink r:id="rId2581">
        <w:r>
          <w:rPr>
            <w:color w:val="0000EE"/>
            <w:u w:val="single"/>
          </w:rPr>
          <w:t>Gn 1.1</w:t>
        </w:r>
      </w:hyperlink>
      <w:r>
        <w:t xml:space="preserve">). Este nome é repetido 35 vezes em </w:t>
      </w:r>
      <w:hyperlink r:id="rId1452">
        <w:r>
          <w:rPr>
            <w:color w:val="0000EE"/>
            <w:u w:val="single"/>
          </w:rPr>
          <w:t>Gênesis 1</w:t>
        </w:r>
      </w:hyperlink>
      <w:r>
        <w:t xml:space="preserve"> e </w:t>
      </w:r>
      <w:hyperlink r:id="rId10694">
        <w:r>
          <w:rPr>
            <w:color w:val="0000EE"/>
            <w:u w:val="single"/>
          </w:rPr>
          <w:t>2</w:t>
        </w:r>
      </w:hyperlink>
      <w:r>
        <w:t xml:space="preserve"> em conexão com o poder de Deus como revelado na Criação. No livro de Deuteronômio, o nome ‘Elohim é utilizado repetidamente para enfatizar o poder majestoso de Deus demonstrado na libertação de Israel da escravidão no Egito, na preservação no deserto e na preparação para a entrada na Terra Prometida. Neste contexto, Deus (</w:t>
      </w:r>
      <w:r>
        <w:rPr>
          <w:i/>
        </w:rPr>
        <w:t>‘Elohim</w:t>
      </w:r>
      <w:r>
        <w:t xml:space="preserve">) também é reconhecido como o </w:t>
      </w:r>
      <w:r>
        <w:rPr>
          <w:i/>
        </w:rPr>
        <w:t>Legislador</w:t>
      </w:r>
      <w:r>
        <w:t xml:space="preserve"> que executará poderosamente o julgamento sobre os que romperam a aliança. Os salmistas também utilizaram esse nome repetidamente enquanto reconheciam e louvavam a Deus o governante majestoso que havia demonstrado sua onipotência em muitas dimensões da vida (veja </w:t>
      </w:r>
      <w:hyperlink r:id="rId13078">
        <w:r>
          <w:rPr>
            <w:color w:val="0000EE"/>
            <w:u w:val="single"/>
          </w:rPr>
          <w:t>Sl 68</w:t>
        </w:r>
      </w:hyperlink>
      <w:r>
        <w:t>, em que ‘Elohim aparece 26 vezes).</w:t>
      </w:r>
    </w:p>
    <w:p>
      <w:r/>
      <w:r>
        <w:t>Alguns estudiosos apontam para o uso de ‘Elohim quando Deus falou com Abraão e disse que ele seria ‘Elohim para o patriarca e seus descendentes; isto é, Deus estaria em um relacionamento de aliança com eles (</w:t>
      </w:r>
      <w:hyperlink r:id="rId350">
        <w:r>
          <w:rPr>
            <w:color w:val="0000EE"/>
            <w:u w:val="single"/>
          </w:rPr>
          <w:t>Gn 17.1–8</w:t>
        </w:r>
      </w:hyperlink>
      <w:r>
        <w:t>). Incluído neste relacionamento está a ideia de que Deus está sempre pronto para utilizar seu poder em nome daqueles que estão em aliança com ele. Assim, ‘Elohim também expressa o conceito da fidelidade de Deus em relação à aliança e as promessas e bênçãos envolvidas nela.</w:t>
      </w:r>
    </w:p>
    <w:p>
      <w:r/>
      <w:r>
        <w:t>O nome ‘Eloah ocorre principalmente nos escritos poéticos, não menos que 41 vezes em Jó. Isaías o utilizou para expressar o caráter incomparável de Deus (</w:t>
      </w:r>
      <w:hyperlink r:id="rId15192">
        <w:r>
          <w:rPr>
            <w:color w:val="0000EE"/>
            <w:u w:val="single"/>
          </w:rPr>
          <w:t>Is 44.8</w:t>
        </w:r>
      </w:hyperlink>
      <w:r>
        <w:t>). Da mesma maneira Davi perguntou: “Quem é Deus [’Eloah], além do Senhor?” (</w:t>
      </w:r>
      <w:hyperlink r:id="rId15193">
        <w:r>
          <w:rPr>
            <w:color w:val="0000EE"/>
            <w:u w:val="single"/>
          </w:rPr>
          <w:t>2Sm 22.32</w:t>
        </w:r>
      </w:hyperlink>
      <w:r>
        <w:t>). Moisés foi o primeiro a usar o nome ‘Eloah em seu cântico (</w:t>
      </w:r>
      <w:hyperlink r:id="rId15194">
        <w:r>
          <w:rPr>
            <w:color w:val="0000EE"/>
            <w:u w:val="single"/>
          </w:rPr>
          <w:t>Dt 32.15–17</w:t>
        </w:r>
      </w:hyperlink>
      <w:r>
        <w:t>), referindo-se ao Deus de Israel no contexto dos “não-deuses”, que haviam sido escolhidos no lugar da Rocha da salvação e do incomparável. Este nome foi provavelmente utilizado para enfatizar o fato de que Deus é o único verdadeiro e vivo, o Único a ser adorado; Ele deve ser reverenciado com um temor santo.</w:t>
      </w:r>
    </w:p>
    <w:p>
      <w:r/>
      <w:r>
        <w:t xml:space="preserve">Outro nome estreitamente relacionado é </w:t>
      </w:r>
      <w:r>
        <w:rPr>
          <w:i/>
        </w:rPr>
        <w:t>‘Elah</w:t>
      </w:r>
      <w:r>
        <w:t xml:space="preserve">, encontrado em Esdras e Daniel. Alguns pensam que </w:t>
      </w:r>
      <w:r>
        <w:rPr>
          <w:i/>
        </w:rPr>
        <w:t>‘Elah</w:t>
      </w:r>
      <w:r>
        <w:t xml:space="preserve"> é uma forma caldeia ou aramaica de ‘Eloah. Diz-se que sua raiz é </w:t>
      </w:r>
      <w:r>
        <w:rPr>
          <w:i/>
        </w:rPr>
        <w:t>‘Alá</w:t>
      </w:r>
      <w:r>
        <w:t>, que significa “temer” ou “ficar perplexo”. Deus como ‘Elah é o Deus a ser temido e adorado da forma correta. Tendo em vista este significado, pode-se entender por que, no tempo do exílio de Israel e imediatamente após seu retorno, este nome era comumente usado.</w:t>
      </w:r>
    </w:p>
    <w:p>
      <w:r/>
      <w:r>
        <w:t xml:space="preserve">Três outros nomes de Deus incluem o termo </w:t>
      </w:r>
      <w:r>
        <w:rPr>
          <w:i/>
        </w:rPr>
        <w:t>‘El</w:t>
      </w:r>
      <w:r>
        <w:t>:</w:t>
      </w:r>
    </w:p>
    <w:p>
      <w:r/>
      <w:r>
        <w:t>’El ‘Elyon é o nome utilizado para designar o Deus de Melquisedeque (</w:t>
      </w:r>
      <w:hyperlink r:id="rId15195">
        <w:r>
          <w:rPr>
            <w:color w:val="0000EE"/>
            <w:u w:val="single"/>
          </w:rPr>
          <w:t>Gn 14.18–22</w:t>
        </w:r>
      </w:hyperlink>
      <w:r>
        <w:t xml:space="preserve">) como o Deus Altíssimo. Em </w:t>
      </w:r>
      <w:hyperlink r:id="rId14192">
        <w:r>
          <w:rPr>
            <w:color w:val="0000EE"/>
            <w:u w:val="single"/>
          </w:rPr>
          <w:t>Salmos 57.2</w:t>
        </w:r>
      </w:hyperlink>
      <w:r>
        <w:t xml:space="preserve"> e </w:t>
      </w:r>
      <w:hyperlink r:id="rId14193">
        <w:r>
          <w:rPr>
            <w:color w:val="0000EE"/>
            <w:u w:val="single"/>
          </w:rPr>
          <w:t>78.56</w:t>
        </w:r>
      </w:hyperlink>
      <w:r>
        <w:t xml:space="preserve">, o hebraico lê </w:t>
      </w:r>
      <w:r>
        <w:rPr>
          <w:i/>
        </w:rPr>
        <w:t>‘Elohim ‘Elyon</w:t>
      </w:r>
      <w:r>
        <w:t xml:space="preserve">. Acredita-se que o termo ‘Elyon é derivado do verbo </w:t>
      </w:r>
      <w:r>
        <w:rPr>
          <w:i/>
        </w:rPr>
        <w:t>‘Alá</w:t>
      </w:r>
      <w:r>
        <w:t xml:space="preserve">, que significa “subir, ser elevado, ser exaltado”. Há uma série de casos em que o termo ‘Elyon é usado sozinho, mas o contexto indica que ele é então usado como um sinônimo de Deus (p. ex., </w:t>
      </w:r>
      <w:hyperlink r:id="rId15196">
        <w:r>
          <w:rPr>
            <w:color w:val="0000EE"/>
            <w:u w:val="single"/>
          </w:rPr>
          <w:t>Nm 24.16</w:t>
        </w:r>
      </w:hyperlink>
      <w:r>
        <w:t xml:space="preserve">; </w:t>
      </w:r>
      <w:hyperlink r:id="rId15197">
        <w:r>
          <w:rPr>
            <w:color w:val="0000EE"/>
            <w:u w:val="single"/>
          </w:rPr>
          <w:t>Sl 83.18</w:t>
        </w:r>
      </w:hyperlink>
      <w:r>
        <w:t xml:space="preserve">; </w:t>
      </w:r>
      <w:hyperlink r:id="rId15198">
        <w:r>
          <w:rPr>
            <w:color w:val="0000EE"/>
            <w:u w:val="single"/>
          </w:rPr>
          <w:t>Is 14.14</w:t>
        </w:r>
      </w:hyperlink>
      <w:r>
        <w:t>). O termo ‘elyon é utilizado com bastante frequência como um adjetivo; é então traduzido como “alto, altíssimo, superior, mais elevado”. A atribuição básica dada a Deus quando este nome é empregado é Aquele que está acima de todas as coisas como o criador, possuidor e governante. Ele é incomparável em todos os sentidos; ele não está sujeito a ninguém e a nada; ele é o Exaltado.</w:t>
      </w:r>
    </w:p>
    <w:p>
      <w:r/>
      <w:r>
        <w:t>‘El Shaddai é utilizado na forma mais longa sete vezes nas Escrituras (</w:t>
      </w:r>
      <w:hyperlink r:id="rId795">
        <w:r>
          <w:rPr>
            <w:color w:val="0000EE"/>
            <w:u w:val="single"/>
          </w:rPr>
          <w:t>Gn 17.1</w:t>
        </w:r>
      </w:hyperlink>
      <w:r>
        <w:t xml:space="preserve">; </w:t>
      </w:r>
      <w:hyperlink r:id="rId15199">
        <w:r>
          <w:rPr>
            <w:color w:val="0000EE"/>
            <w:u w:val="single"/>
          </w:rPr>
          <w:t>28.3</w:t>
        </w:r>
      </w:hyperlink>
      <w:r>
        <w:t xml:space="preserve">; </w:t>
      </w:r>
      <w:hyperlink r:id="rId13290">
        <w:r>
          <w:rPr>
            <w:color w:val="0000EE"/>
            <w:u w:val="single"/>
          </w:rPr>
          <w:t>35.11</w:t>
        </w:r>
      </w:hyperlink>
      <w:r>
        <w:t xml:space="preserve">; </w:t>
      </w:r>
      <w:hyperlink r:id="rId15200">
        <w:r>
          <w:rPr>
            <w:color w:val="0000EE"/>
            <w:u w:val="single"/>
          </w:rPr>
          <w:t>43.14</w:t>
        </w:r>
      </w:hyperlink>
      <w:r>
        <w:t xml:space="preserve">; </w:t>
      </w:r>
      <w:hyperlink r:id="rId15201">
        <w:r>
          <w:rPr>
            <w:color w:val="0000EE"/>
            <w:u w:val="single"/>
          </w:rPr>
          <w:t>48.3</w:t>
        </w:r>
      </w:hyperlink>
      <w:r>
        <w:t xml:space="preserve">; </w:t>
      </w:r>
      <w:hyperlink r:id="rId15202">
        <w:r>
          <w:rPr>
            <w:color w:val="0000EE"/>
            <w:u w:val="single"/>
          </w:rPr>
          <w:t>Êx 6.3</w:t>
        </w:r>
      </w:hyperlink>
      <w:r>
        <w:t xml:space="preserve">; </w:t>
      </w:r>
      <w:hyperlink r:id="rId15203">
        <w:r>
          <w:rPr>
            <w:color w:val="0000EE"/>
            <w:u w:val="single"/>
          </w:rPr>
          <w:t>Ez 10.5</w:t>
        </w:r>
      </w:hyperlink>
      <w:r>
        <w:t>). Na forma mais curta (</w:t>
      </w:r>
      <w:r>
        <w:rPr>
          <w:i/>
        </w:rPr>
        <w:t>Shaddai</w:t>
      </w:r>
      <w:r>
        <w:t xml:space="preserve">), aparece com mais frequência: em </w:t>
      </w:r>
      <w:r>
        <w:rPr>
          <w:i/>
        </w:rPr>
        <w:t>Jó</w:t>
      </w:r>
      <w:r>
        <w:t xml:space="preserve"> </w:t>
      </w:r>
      <w:hyperlink r:id="rId15204">
        <w:r>
          <w:rPr>
            <w:color w:val="0000EE"/>
            <w:u w:val="single"/>
          </w:rPr>
          <w:t>30 vezes</w:t>
        </w:r>
      </w:hyperlink>
      <w:r>
        <w:t xml:space="preserve">; em </w:t>
      </w:r>
      <w:hyperlink r:id="rId6896">
        <w:r>
          <w:rPr>
            <w:color w:val="0000EE"/>
            <w:u w:val="single"/>
          </w:rPr>
          <w:t>Salmos 19.1</w:t>
        </w:r>
      </w:hyperlink>
      <w:r>
        <w:t xml:space="preserve"> e </w:t>
      </w:r>
      <w:hyperlink r:id="rId7746">
        <w:r>
          <w:rPr>
            <w:color w:val="0000EE"/>
            <w:u w:val="single"/>
          </w:rPr>
          <w:t>68.14</w:t>
        </w:r>
      </w:hyperlink>
      <w:r>
        <w:t>; uma vez em Rute (</w:t>
      </w:r>
      <w:hyperlink r:id="rId15205">
        <w:r>
          <w:rPr>
            <w:color w:val="0000EE"/>
            <w:u w:val="single"/>
          </w:rPr>
          <w:t>1.21</w:t>
        </w:r>
      </w:hyperlink>
      <w:r>
        <w:t>), Isaías (</w:t>
      </w:r>
      <w:hyperlink r:id="rId15206">
        <w:r>
          <w:rPr>
            <w:color w:val="0000EE"/>
            <w:u w:val="single"/>
          </w:rPr>
          <w:t>13.6</w:t>
        </w:r>
      </w:hyperlink>
      <w:r>
        <w:t>), Ezequiel (</w:t>
      </w:r>
      <w:hyperlink r:id="rId15207">
        <w:r>
          <w:rPr>
            <w:color w:val="0000EE"/>
            <w:u w:val="single"/>
          </w:rPr>
          <w:t>1.24</w:t>
        </w:r>
      </w:hyperlink>
      <w:r>
        <w:t>) e Joel (</w:t>
      </w:r>
      <w:hyperlink r:id="rId7011">
        <w:r>
          <w:rPr>
            <w:color w:val="0000EE"/>
            <w:u w:val="single"/>
          </w:rPr>
          <w:t>1.15</w:t>
        </w:r>
      </w:hyperlink>
      <w:r>
        <w:t xml:space="preserve">). Nessas passagens, as ideias combinadas de Deus como o todo-poderoso, todo-suficiente, transcendente, governante soberano e dispensador estão presentes. Este significado é geralmente aceito, mas há diferenças sobre o significado exato do termo </w:t>
      </w:r>
      <w:r>
        <w:rPr>
          <w:i/>
        </w:rPr>
        <w:t>Shaddai</w:t>
      </w:r>
      <w:r>
        <w:t xml:space="preserve">. Alguns começaram com shad como o primeiro conceito a ser considerado; seu significado é “peito, mamilo ou mama”, e é considerado uma “metáfora preciosa” do Deus que nutre, fornece e satisfaz. A raiz de </w:t>
      </w:r>
      <w:r>
        <w:rPr>
          <w:i/>
        </w:rPr>
        <w:t>shad</w:t>
      </w:r>
      <w:r>
        <w:t xml:space="preserve"> (</w:t>
      </w:r>
      <w:r>
        <w:rPr>
          <w:i/>
        </w:rPr>
        <w:t>shadah</w:t>
      </w:r>
      <w:r>
        <w:t xml:space="preserve">), no uso semítico, é umedecer. Este significado não é o preferido no contexto em que ‘El Shaddai aparece; nem shed (demônio), que alguns estudiosos procuraram utilizar porque aparece em </w:t>
      </w:r>
      <w:hyperlink r:id="rId6769">
        <w:r>
          <w:rPr>
            <w:color w:val="0000EE"/>
            <w:u w:val="single"/>
          </w:rPr>
          <w:t>Deuteronômio 32.17</w:t>
        </w:r>
      </w:hyperlink>
      <w:r>
        <w:t xml:space="preserve"> e </w:t>
      </w:r>
      <w:hyperlink r:id="rId15208">
        <w:r>
          <w:rPr>
            <w:color w:val="0000EE"/>
            <w:u w:val="single"/>
          </w:rPr>
          <w:t>Salmo 106.37</w:t>
        </w:r>
      </w:hyperlink>
      <w:r>
        <w:t xml:space="preserve"> falando da idolatria de Israel. Além do fato de que shed é escrito de forma diferente, a conexão entre o conceito de demônio e Deus como todo-poderoso é difícil de estabelecer. Mais aceitável é a sugestão de que Shaddai é um termo composto de sha (“aquele que”) e dai (“é suficiente”). As versões gregas posteriores adotaram este significado. A explicação preferida é que Shaddai é derivado do verbo shadad (“subjugar, lidar violentamente ou devastar”). Uma conexão clara entre shadad e Shaddai é dito ser encontrada em </w:t>
      </w:r>
      <w:hyperlink r:id="rId15206">
        <w:r>
          <w:rPr>
            <w:color w:val="0000EE"/>
            <w:u w:val="single"/>
          </w:rPr>
          <w:t>Isaías 13.6</w:t>
        </w:r>
      </w:hyperlink>
      <w:r>
        <w:t xml:space="preserve"> e </w:t>
      </w:r>
      <w:hyperlink r:id="rId7011">
        <w:r>
          <w:rPr>
            <w:color w:val="0000EE"/>
            <w:u w:val="single"/>
          </w:rPr>
          <w:t>Joel 1.15</w:t>
        </w:r>
      </w:hyperlink>
      <w:r>
        <w:t xml:space="preserve">. Deus como ‘El Shaddai é apresentado como o Todo-Poderoso, totalmente autossuficiente, governante absoluto, e Aquele que pode e faz a disposição final. A Septuaginta adaptou este significado; traduz ‘El Shaddai como </w:t>
      </w:r>
      <w:r>
        <w:rPr>
          <w:i/>
        </w:rPr>
        <w:t>Pantokrator</w:t>
      </w:r>
      <w:r>
        <w:t>, o “Governante Total” ou “Soberano”.</w:t>
      </w:r>
    </w:p>
    <w:p>
      <w:r/>
      <w:r>
        <w:t>‘El ‘Olam é utilizado para se referir a Deus como o perpétuo ou o eterno, um exemplo claro onde o nome de Deus e um atributo de Deus são combinados. O termo ‘olam tem uma ampla gama de usos. Geralmente é definido nos léxicos como significando “longa duração, antiguidade e futuridade indefinida”. É utilizado para falar da existência de Deus, da aliança e promessas de Deus, e do reinado do Messias. Falando com Deus, o salmista disse: “Você é de ‘olam (eterno) a ‘olam (eterno)” (</w:t>
      </w:r>
      <w:hyperlink r:id="rId15209">
        <w:r>
          <w:rPr>
            <w:color w:val="0000EE"/>
            <w:u w:val="single"/>
          </w:rPr>
          <w:t>Sl 90.2</w:t>
        </w:r>
      </w:hyperlink>
      <w:r>
        <w:t>), e o profeta Isaías falou de Deus como o Criador eterno (</w:t>
      </w:r>
      <w:hyperlink r:id="rId6802">
        <w:r>
          <w:rPr>
            <w:color w:val="0000EE"/>
            <w:u w:val="single"/>
          </w:rPr>
          <w:t>Is 40.28</w:t>
        </w:r>
      </w:hyperlink>
      <w:r>
        <w:t>) e como força eterna (</w:t>
      </w:r>
      <w:hyperlink r:id="rId8608">
        <w:r>
          <w:rPr>
            <w:color w:val="0000EE"/>
            <w:u w:val="single"/>
          </w:rPr>
          <w:t>26.4</w:t>
        </w:r>
      </w:hyperlink>
      <w:r>
        <w:t>), e Jeremias falou de Deus como o Rei eterno (</w:t>
      </w:r>
      <w:hyperlink r:id="rId15210">
        <w:r>
          <w:rPr>
            <w:color w:val="0000EE"/>
            <w:u w:val="single"/>
          </w:rPr>
          <w:t>Jr 10.10</w:t>
        </w:r>
      </w:hyperlink>
      <w:r>
        <w:t xml:space="preserve">). A perpetuidade ou eternidade de Deus fala de sua infinidade em relação ao tempo. </w:t>
      </w:r>
      <w:r>
        <w:rPr>
          <w:i/>
        </w:rPr>
        <w:t>‘Olam</w:t>
      </w:r>
      <w:r>
        <w:t>, como atribuído a Deus, não deve ser pensado como uma duração prolongada indefinidamente para trás e para frente. Em vez disso, a palavra fala de Deus transcendendo todos os limites temporais; além disso, ‘olam se refere à qualidade de Deus que difere essencialmente do tempo. As Escrituras falam de ‘El ‘Olam em contextos onde a garantia de bem-estar, segurança e esperança do crente são apresentadas como bens valiosos.</w:t>
      </w:r>
    </w:p>
    <w:p>
      <w:r/>
      <w:r>
        <w:t>‘El Gibbor é um nome que fala da força e poder de Deus. Gibbor apenas, é usado em referência a homens poderosos e heroicos. Os dois termos juntos sempre se referem a Deus, e em alguns casos Hagadol (“o maior”) é adicionado (</w:t>
      </w:r>
      <w:hyperlink r:id="rId6928">
        <w:r>
          <w:rPr>
            <w:color w:val="0000EE"/>
            <w:u w:val="single"/>
          </w:rPr>
          <w:t>Dt 10.17</w:t>
        </w:r>
      </w:hyperlink>
      <w:r>
        <w:t xml:space="preserve">; </w:t>
      </w:r>
      <w:hyperlink r:id="rId6798">
        <w:r>
          <w:rPr>
            <w:color w:val="0000EE"/>
            <w:u w:val="single"/>
          </w:rPr>
          <w:t>Jr 32.18</w:t>
        </w:r>
      </w:hyperlink>
      <w:r>
        <w:t xml:space="preserve">) para enfatizar a grandeza e incrível majestade de Deus. ‘El Gibbor também é usado para descrever o Messias em </w:t>
      </w:r>
      <w:hyperlink r:id="rId5463">
        <w:r>
          <w:rPr>
            <w:color w:val="0000EE"/>
            <w:u w:val="single"/>
          </w:rPr>
          <w:t>Isaías 9.6</w:t>
        </w:r>
      </w:hyperlink>
      <w:r>
        <w:t xml:space="preserve"> (cf. </w:t>
      </w:r>
      <w:hyperlink r:id="rId15211">
        <w:r>
          <w:rPr>
            <w:color w:val="0000EE"/>
            <w:u w:val="single"/>
          </w:rPr>
          <w:t>Sl 45.4</w:t>
        </w:r>
      </w:hyperlink>
      <w:r>
        <w:t>).</w:t>
      </w:r>
    </w:p>
    <w:p>
      <w:r/>
      <w:r>
        <w:t>‘El Roi é usado uma vez para descrever Deus como Aquele que vê. Agar descreveu o Senhor desta maneira quando ela foi encontrada no deserto (</w:t>
      </w:r>
      <w:hyperlink r:id="rId7744">
        <w:r>
          <w:rPr>
            <w:color w:val="0000EE"/>
            <w:u w:val="single"/>
          </w:rPr>
          <w:t>Gn 16.13</w:t>
        </w:r>
      </w:hyperlink>
      <w:r>
        <w:t xml:space="preserve">). </w:t>
      </w:r>
      <w:hyperlink r:id="rId15212">
        <w:r>
          <w:rPr>
            <w:color w:val="0000EE"/>
            <w:u w:val="single"/>
          </w:rPr>
          <w:t>Salmo 139.1–2</w:t>
        </w:r>
      </w:hyperlink>
      <w:r>
        <w:t xml:space="preserve"> expressa este conceito de Deus como Aquele que tudo vê, de cujos olhos nada está escondido (cf. </w:t>
      </w:r>
      <w:hyperlink r:id="rId15213">
        <w:r>
          <w:rPr>
            <w:color w:val="0000EE"/>
            <w:u w:val="single"/>
          </w:rPr>
          <w:t>Sl 33.18</w:t>
        </w:r>
      </w:hyperlink>
      <w:r>
        <w:t>).</w:t>
      </w:r>
    </w:p>
    <w:p>
      <w:r/>
      <w:r>
        <w:t xml:space="preserve">Yahweh é um nome distintamente próprio de Deus. Nunca é usado para se referir a quaisquer deuses pagãos; nem é usado em relação aos homens. Aparece 6.823 vezes no AT, ocorrendo primeiro em </w:t>
      </w:r>
      <w:hyperlink r:id="rId6791">
        <w:r>
          <w:rPr>
            <w:color w:val="0000EE"/>
            <w:u w:val="single"/>
          </w:rPr>
          <w:t>Gênesis 2.4</w:t>
        </w:r>
      </w:hyperlink>
      <w:r>
        <w:t xml:space="preserve">, onde é unido a </w:t>
      </w:r>
      <w:r>
        <w:rPr>
          <w:i/>
        </w:rPr>
        <w:t>‘Elohim</w:t>
      </w:r>
      <w:r>
        <w:t xml:space="preserve">. Yahweh é usado 164 vezes em Gênesis, e aparece 1.800 vezes de Êxodo até Josué. Nunca aparece de forma declinada na língua hebraica, e nunca surge na forma plural ou com sufixos. É abreviada como Yah e Yahu (cf. </w:t>
      </w:r>
      <w:hyperlink r:id="rId13094">
        <w:r>
          <w:rPr>
            <w:color w:val="0000EE"/>
            <w:u w:val="single"/>
          </w:rPr>
          <w:t>Êx 15.2</w:t>
        </w:r>
      </w:hyperlink>
      <w:r>
        <w:t xml:space="preserve">; </w:t>
      </w:r>
      <w:hyperlink r:id="rId15214">
        <w:r>
          <w:rPr>
            <w:color w:val="0000EE"/>
            <w:u w:val="single"/>
          </w:rPr>
          <w:t>Sl 68.4</w:t>
        </w:r>
      </w:hyperlink>
      <w:r>
        <w:t xml:space="preserve">; </w:t>
      </w:r>
      <w:hyperlink r:id="rId15215">
        <w:r>
          <w:rPr>
            <w:color w:val="0000EE"/>
            <w:u w:val="single"/>
          </w:rPr>
          <w:t>Is 12.2</w:t>
        </w:r>
      </w:hyperlink>
      <w:r>
        <w:t>; etc).</w:t>
      </w:r>
    </w:p>
    <w:p>
      <w:r/>
      <w:r>
        <w:t xml:space="preserve">O significado exato do nome Yahweh é difícil de determinar. Alguns procuraram a raiz no verbo hayah (“ser”) ou em uma forma antiga desse mesmo verbo, </w:t>
      </w:r>
      <w:r>
        <w:rPr>
          <w:i/>
        </w:rPr>
        <w:t>hawah</w:t>
      </w:r>
      <w:r>
        <w:t xml:space="preserve">. Não há acordo sobre se a forma qal ou hifil do verbo deve ser considerada como a raiz. Aqueles que optam pela forma de hifil leem que Yahweh significa “fazer com que seja”; portanto </w:t>
      </w:r>
      <w:hyperlink r:id="rId6814">
        <w:r>
          <w:rPr>
            <w:color w:val="0000EE"/>
            <w:u w:val="single"/>
          </w:rPr>
          <w:t>Êxodo 3.14</w:t>
        </w:r>
      </w:hyperlink>
      <w:r>
        <w:t xml:space="preserve"> leria: “Eu farei com que seja o que veio a ser”. Outros olham para a forma qal e então traduzem o nome como “Eu Sou” ou “Eu Serei”. Outros ainda estão inclinados a desassociar o nome do verbo hayah e o consideram como um termo original e independente, expressando a singularidade do Deus gracioso de Israel.</w:t>
      </w:r>
    </w:p>
    <w:p>
      <w:r/>
      <w:r>
        <w:t xml:space="preserve">Tradutores do AT não concordaram com a tradução correta do nome </w:t>
      </w:r>
      <w:r>
        <w:rPr>
          <w:i/>
        </w:rPr>
        <w:t>Yahweh</w:t>
      </w:r>
      <w:r>
        <w:t xml:space="preserve">. Uma vez que é traduzido para o grego como </w:t>
      </w:r>
      <w:r>
        <w:rPr>
          <w:i/>
        </w:rPr>
        <w:t>kurios</w:t>
      </w:r>
      <w:r>
        <w:t xml:space="preserve">, que significa “Senhor”, muitos traduziram Yahweh como “Senhor”. Mas </w:t>
      </w:r>
      <w:r>
        <w:rPr>
          <w:i/>
        </w:rPr>
        <w:t>‘Adonai</w:t>
      </w:r>
      <w:r>
        <w:t xml:space="preserve">, que é uma melhor tradução de “Senhor”, aparece com Yahweh em vários casos. A BKJ, por exemplo, traduz Yahweh como “Deus”, e ‘Adonai como “Senhor”. Alguns tradutores modernos escolheram usar Yahweh (veja JB e NJB). O nome Jeová, como usado na ASV (1901), foi julgado inaceitável. Este nome surgiu devido à prática judaica de não pronunciar Yahweh por causa de </w:t>
      </w:r>
      <w:hyperlink r:id="rId7271">
        <w:r>
          <w:rPr>
            <w:color w:val="0000EE"/>
            <w:u w:val="single"/>
          </w:rPr>
          <w:t>Levítico 24.16</w:t>
        </w:r>
      </w:hyperlink>
      <w:r>
        <w:t xml:space="preserve">: “Aquele que blasfemar o nome de Yahweh será certamente morto”. Este aviso contra um uso vago ou blasfemo do nome foi levado em um sentido absoluto, especialmente após a deportação de Israel (cf. </w:t>
      </w:r>
      <w:hyperlink r:id="rId15216">
        <w:r>
          <w:rPr>
            <w:color w:val="0000EE"/>
            <w:u w:val="single"/>
          </w:rPr>
          <w:t>Am 6.10</w:t>
        </w:r>
      </w:hyperlink>
      <w:r>
        <w:t xml:space="preserve">). Por isso, quando liam o AT, os judeus substituíram ‘Elohim ou ‘Adonai por </w:t>
      </w:r>
      <w:r>
        <w:rPr>
          <w:i/>
        </w:rPr>
        <w:t>Yahweh</w:t>
      </w:r>
      <w:r>
        <w:t>. A partir disso, a prática de adicionar as vogais de ‘Adonai a YHWH (Jeová) foi estabelecida.</w:t>
      </w:r>
    </w:p>
    <w:p>
      <w:r/>
      <w:r>
        <w:t xml:space="preserve">A interpretação de </w:t>
      </w:r>
      <w:hyperlink r:id="rId15217">
        <w:r>
          <w:rPr>
            <w:color w:val="0000EE"/>
            <w:u w:val="single"/>
          </w:rPr>
          <w:t>Êxodo 6.2–3</w:t>
        </w:r>
      </w:hyperlink>
      <w:r>
        <w:t xml:space="preserve"> causou muito debate. “E Deus disse a Moisés: ‘Eu sou </w:t>
      </w:r>
      <w:r>
        <w:rPr>
          <w:i/>
        </w:rPr>
        <w:t>Yahweh</w:t>
      </w:r>
      <w:r>
        <w:t xml:space="preserve">; Eu apareci a Abraão, a Isaque e a Jacó, como </w:t>
      </w:r>
      <w:r>
        <w:rPr>
          <w:i/>
        </w:rPr>
        <w:t>‘El Shaddai</w:t>
      </w:r>
      <w:r>
        <w:t xml:space="preserve">, mas pelo meu nome, Yahweh, não me dei a conhecer a eles’. ” Esta passagem foi entendida como significando que o nome Yahweh não era conhecido ou utilizado antes do tempo de Moisés. Mas isso não é o que a passagem afirma; em vez disso, ela fala dos patriarcas não conhecendo a Deus como </w:t>
      </w:r>
      <w:r>
        <w:rPr>
          <w:i/>
        </w:rPr>
        <w:t>Yahweh</w:t>
      </w:r>
      <w:r>
        <w:t xml:space="preserve">. Eles o conheciam como ‘El Shaddai em atos históricos reveladores reais. Eles não conheceram a Deus de acordo com seu caráter único, isto é, como </w:t>
      </w:r>
      <w:r>
        <w:rPr>
          <w:i/>
        </w:rPr>
        <w:t>Yahweh</w:t>
      </w:r>
      <w:r>
        <w:t xml:space="preserve">. Em outras palavras, Deus sempre foi </w:t>
      </w:r>
      <w:r>
        <w:rPr>
          <w:i/>
        </w:rPr>
        <w:t>Yahweh</w:t>
      </w:r>
      <w:r>
        <w:t>; Ele está dizendo a Moisés que os descendentes dos patriarcas conheceriam o significado completo e rico do nome pela maneira como Deus lidou com eles.</w:t>
      </w:r>
    </w:p>
    <w:p>
      <w:r/>
      <w:r>
        <w:t>Este nome Yahweh revela a natureza de Deus no sentido mais elevado e completo possível. Inclui, ou pressupõe, o significado dos outros nomes. Yahweh enfatiza especialmente a fidelidade absoluta de Deus. Deus havia prometido aos patriarcas que Ele seria seu Deus, que Ele estaria com eles e os livraria e os abençoaria, os manteria e lhes daria uma terra como um lugar de serviço e herança. Moisés é informado por Deus que Israel está prestes a contemplar e experienciar a imutabilidade de Deus enquanto Ele se lembra de forma constante e maravilhosa de sua palavra, e a cumpre em seu grau mais completo. Deus provaria ser fiel, redentor, sustentador e restaurador. Ao realizar esta redenção, Deus demonstraria que ele é tudo o que seu nome implica: misericordioso, gracioso, paciente, cheio de bondade amorosa, verdadeiro, fiel, perdoador, íntegro e justo (</w:t>
      </w:r>
      <w:hyperlink r:id="rId15218">
        <w:r>
          <w:rPr>
            <w:color w:val="0000EE"/>
            <w:u w:val="single"/>
          </w:rPr>
          <w:t>Êx 34.5–6</w:t>
        </w:r>
      </w:hyperlink>
      <w:r>
        <w:t>). Verdadeiramente, Jacó havia recebido uma visão sobre o significado do nome quando ele exclamou: “Espero por tua salvação, ó Yahweh” (</w:t>
      </w:r>
      <w:hyperlink r:id="rId15219">
        <w:r>
          <w:rPr>
            <w:color w:val="0000EE"/>
            <w:u w:val="single"/>
          </w:rPr>
          <w:t>Gn 49.18</w:t>
        </w:r>
      </w:hyperlink>
      <w:r>
        <w:t>).</w:t>
      </w:r>
    </w:p>
    <w:p>
      <w:r/>
      <w:r>
        <w:rPr>
          <w:i/>
        </w:rPr>
        <w:t>Yahweh</w:t>
      </w:r>
      <w:r>
        <w:t xml:space="preserve">, então, é o nome por excelência do Deus de Israel. Como </w:t>
      </w:r>
      <w:r>
        <w:rPr>
          <w:i/>
        </w:rPr>
        <w:t>Yahweh</w:t>
      </w:r>
      <w:r>
        <w:t>, ele é um Deus fiel da aliança que, tendo dado sua palavra de amor e vida, mantém essa palavra concedendo amor e vida abundantemente por conta própria.</w:t>
      </w:r>
    </w:p>
    <w:p>
      <w:r/>
      <w:r>
        <w:t xml:space="preserve">Tendo em vista a riqueza do nome </w:t>
      </w:r>
      <w:r>
        <w:rPr>
          <w:i/>
        </w:rPr>
        <w:t>Yahweh</w:t>
      </w:r>
      <w:r>
        <w:t>, pode-se entender por que havia regras rigorosas quanto ao seu uso adequado (</w:t>
      </w:r>
      <w:hyperlink r:id="rId6461">
        <w:r>
          <w:rPr>
            <w:color w:val="0000EE"/>
            <w:u w:val="single"/>
          </w:rPr>
          <w:t>Lv 24.11,16</w:t>
        </w:r>
      </w:hyperlink>
      <w:r>
        <w:t>). Também explica por que os israelitas agradecidos, alegres e adoradores utilizavam a forma abreviada de Yahweh em cânticos quando cantavam Aleluia: “Louvai a Deus” (</w:t>
      </w:r>
      <w:hyperlink r:id="rId722">
        <w:r>
          <w:rPr>
            <w:color w:val="0000EE"/>
            <w:u w:val="single"/>
          </w:rPr>
          <w:t>Sl 104.35</w:t>
        </w:r>
      </w:hyperlink>
      <w:r>
        <w:t xml:space="preserve">; </w:t>
      </w:r>
      <w:hyperlink r:id="rId6859">
        <w:r>
          <w:rPr>
            <w:color w:val="0000EE"/>
            <w:u w:val="single"/>
          </w:rPr>
          <w:t>106.1</w:t>
        </w:r>
      </w:hyperlink>
      <w:r>
        <w:t xml:space="preserve">; </w:t>
      </w:r>
      <w:hyperlink r:id="rId10171">
        <w:r>
          <w:rPr>
            <w:color w:val="0000EE"/>
            <w:u w:val="single"/>
          </w:rPr>
          <w:t>149.1</w:t>
        </w:r>
      </w:hyperlink>
      <w:r>
        <w:t xml:space="preserve">; </w:t>
      </w:r>
      <w:hyperlink r:id="rId9581">
        <w:r>
          <w:rPr>
            <w:color w:val="0000EE"/>
            <w:u w:val="single"/>
          </w:rPr>
          <w:t>150.1</w:t>
        </w:r>
      </w:hyperlink>
      <w:r>
        <w:t>).</w:t>
      </w:r>
    </w:p>
    <w:p>
      <w:r/>
      <w:r>
        <w:t xml:space="preserve">Yahweh é utilizado em uma série de frases que são consideradas nomes ou atribuições de Deus. O mais comum desses nomes compostos é Yahweh Tseba'oth (“tropas”). A palavra “tropas” é usada frequentemente no Pentateuco para se referir aos exércitos de Israel (cf. </w:t>
      </w:r>
      <w:hyperlink r:id="rId15220">
        <w:r>
          <w:rPr>
            <w:color w:val="0000EE"/>
            <w:u w:val="single"/>
          </w:rPr>
          <w:t>Nm 10.14–28</w:t>
        </w:r>
      </w:hyperlink>
      <w:r>
        <w:t xml:space="preserve">). Isso ocorre porque a palavra é derivada do verbo </w:t>
      </w:r>
      <w:r>
        <w:rPr>
          <w:i/>
        </w:rPr>
        <w:t>saba’</w:t>
      </w:r>
      <w:r>
        <w:t xml:space="preserve">, que significa “travar” a guerra. Também significa “servir” em alguns contextos; por exemplo, </w:t>
      </w:r>
      <w:hyperlink r:id="rId15221">
        <w:r>
          <w:rPr>
            <w:color w:val="0000EE"/>
            <w:u w:val="single"/>
          </w:rPr>
          <w:t>Números 8.24</w:t>
        </w:r>
      </w:hyperlink>
      <w:r>
        <w:t xml:space="preserve"> claramente tem referência ao serviço realizado no tabernáculo. O substantivo tseba’oth ocorre primeiro em </w:t>
      </w:r>
      <w:hyperlink r:id="rId10775">
        <w:r>
          <w:rPr>
            <w:color w:val="0000EE"/>
            <w:u w:val="single"/>
          </w:rPr>
          <w:t>Gênesis 2.1</w:t>
        </w:r>
      </w:hyperlink>
      <w:r>
        <w:t xml:space="preserve">, onde se refere aos muitos componentes da terra e do céu. Alguns limitariam a referência nesses contextos às estrelas. Outros ainda sugeririam que o tseba’oth se refere aos anjos, apelando para o </w:t>
      </w:r>
      <w:hyperlink r:id="rId10777">
        <w:r>
          <w:rPr>
            <w:color w:val="0000EE"/>
            <w:u w:val="single"/>
          </w:rPr>
          <w:t>Salmo 33.6</w:t>
        </w:r>
      </w:hyperlink>
      <w:r>
        <w:t xml:space="preserve"> para confirmação.</w:t>
      </w:r>
    </w:p>
    <w:p>
      <w:r/>
      <w:r>
        <w:t xml:space="preserve">O nome composto Yahweh Tseba'oth aparece pela primeira vez em </w:t>
      </w:r>
      <w:hyperlink r:id="rId399">
        <w:r>
          <w:rPr>
            <w:color w:val="0000EE"/>
            <w:u w:val="single"/>
          </w:rPr>
          <w:t>1 Samuel 1.3</w:t>
        </w:r>
      </w:hyperlink>
      <w:r>
        <w:t>. Em vista do uso frequente de tseba’oth em 1—2 Samuel para se referir aos exércitos (</w:t>
      </w:r>
      <w:hyperlink r:id="rId15222">
        <w:r>
          <w:rPr>
            <w:color w:val="0000EE"/>
            <w:u w:val="single"/>
          </w:rPr>
          <w:t>1Sm 12.9</w:t>
        </w:r>
      </w:hyperlink>
      <w:r>
        <w:t xml:space="preserve">; </w:t>
      </w:r>
      <w:hyperlink r:id="rId15223">
        <w:r>
          <w:rPr>
            <w:color w:val="0000EE"/>
            <w:u w:val="single"/>
          </w:rPr>
          <w:t>14.50</w:t>
        </w:r>
      </w:hyperlink>
      <w:r>
        <w:t xml:space="preserve">; </w:t>
      </w:r>
      <w:hyperlink r:id="rId10243">
        <w:r>
          <w:rPr>
            <w:color w:val="0000EE"/>
            <w:u w:val="single"/>
          </w:rPr>
          <w:t>17.55</w:t>
        </w:r>
      </w:hyperlink>
      <w:r>
        <w:t xml:space="preserve">; </w:t>
      </w:r>
      <w:hyperlink r:id="rId15224">
        <w:r>
          <w:rPr>
            <w:color w:val="0000EE"/>
            <w:u w:val="single"/>
          </w:rPr>
          <w:t>2Sm 2.8</w:t>
        </w:r>
      </w:hyperlink>
      <w:r>
        <w:t xml:space="preserve">; </w:t>
      </w:r>
      <w:hyperlink r:id="rId15225">
        <w:r>
          <w:rPr>
            <w:color w:val="0000EE"/>
            <w:u w:val="single"/>
          </w:rPr>
          <w:t>8.16</w:t>
        </w:r>
      </w:hyperlink>
      <w:r>
        <w:t xml:space="preserve">; </w:t>
      </w:r>
      <w:hyperlink r:id="rId15226">
        <w:r>
          <w:rPr>
            <w:color w:val="0000EE"/>
            <w:u w:val="single"/>
          </w:rPr>
          <w:t>10.16</w:t>
        </w:r>
      </w:hyperlink>
      <w:r>
        <w:t>), é pensado que o nome composto se refere a Yahweh como o Deus dos exércitos, isto é, Deus tem seus exércitos para servi-lo. Estes são considerados exércitos de anjos que estão ministrando servos a Deus. Foi corretamente apontado que o nome composto Yahweh Tseba’oth é usado com mais frequência pelos profetas (Jeremias, 88 vezes; Zacarias, 55 vezes; Malaquias, 25 vezes; Ageu, 14 vezes) nos momentos em que o povo de Deus havia sofrido derrota nas mãos dos exércitos inimigos ou foi ameaçado de derrota. Portanto, o nome composto foi usado para lembrá-los de que seu Deus da aliança tinha grandes tropas para lutar e trabalhar por Ele em nome de seu povo. Assim, embora os exércitos de Israel falhassem, seu Deus da aliança era suficiente para cada possível circunstância. E era a este Yahweh Tseba'oth que os comandantes de Israel deveriam ser leais (</w:t>
      </w:r>
      <w:hyperlink r:id="rId12175">
        <w:r>
          <w:rPr>
            <w:color w:val="0000EE"/>
            <w:u w:val="single"/>
          </w:rPr>
          <w:t>Js 5.14–15</w:t>
        </w:r>
      </w:hyperlink>
      <w:r>
        <w:t>), e em cujo nome Israel foi abençoado (</w:t>
      </w:r>
      <w:hyperlink r:id="rId15227">
        <w:r>
          <w:rPr>
            <w:color w:val="0000EE"/>
            <w:u w:val="single"/>
          </w:rPr>
          <w:t>2Sm 6.18</w:t>
        </w:r>
      </w:hyperlink>
      <w:r>
        <w:t>).</w:t>
      </w:r>
    </w:p>
    <w:p>
      <w:r/>
      <w:r>
        <w:t>Vários outros nomes compostos ocorrem com pouca frequência:</w:t>
      </w:r>
    </w:p>
    <w:p>
      <w:r/>
      <w:r>
        <w:rPr>
          <w:i/>
        </w:rPr>
        <w:t>Yahweh-Nissi</w:t>
      </w:r>
      <w:r>
        <w:t xml:space="preserve"> (nissi, “minha bandeira”) é o nome que Moisés invocou quando ele construiu um altar celebrando a vitória dada por Deus a Israel sobre os amalequitas (</w:t>
      </w:r>
      <w:hyperlink r:id="rId980">
        <w:r>
          <w:rPr>
            <w:color w:val="0000EE"/>
            <w:u w:val="single"/>
          </w:rPr>
          <w:t>Êx 17.15</w:t>
        </w:r>
      </w:hyperlink>
      <w:r>
        <w:t>). Isaías usa o termo nissi quando fala da vinda do Messias, que seria o conquistador (</w:t>
      </w:r>
      <w:hyperlink r:id="rId11668">
        <w:r>
          <w:rPr>
            <w:color w:val="0000EE"/>
            <w:u w:val="single"/>
          </w:rPr>
          <w:t>Is 11.10</w:t>
        </w:r>
      </w:hyperlink>
      <w:r>
        <w:t>).</w:t>
      </w:r>
    </w:p>
    <w:p>
      <w:r/>
      <w:r>
        <w:rPr>
          <w:i/>
        </w:rPr>
        <w:t>Yahweh-Rafa</w:t>
      </w:r>
      <w:r>
        <w:t xml:space="preserve"> (rapha’, “curador”) aparece em </w:t>
      </w:r>
      <w:hyperlink r:id="rId7447">
        <w:r>
          <w:rPr>
            <w:color w:val="0000EE"/>
            <w:u w:val="single"/>
          </w:rPr>
          <w:t>Êxodo 15.26</w:t>
        </w:r>
      </w:hyperlink>
      <w:r>
        <w:t xml:space="preserve">, quando Israel é assegurado de que Deus, seu curador, impedirá que as doenças do Egito afetem Israel. Embora o nome seja usado apenas uma vez, Deus foi muitas vezes chamado e louvado como O curador (p. ex., </w:t>
      </w:r>
      <w:hyperlink r:id="rId6384">
        <w:r>
          <w:rPr>
            <w:color w:val="0000EE"/>
            <w:u w:val="single"/>
          </w:rPr>
          <w:t>Sl 103.3</w:t>
        </w:r>
      </w:hyperlink>
      <w:r>
        <w:t xml:space="preserve">; </w:t>
      </w:r>
      <w:hyperlink r:id="rId13334">
        <w:r>
          <w:rPr>
            <w:color w:val="0000EE"/>
            <w:u w:val="single"/>
          </w:rPr>
          <w:t>Is 30.26</w:t>
        </w:r>
      </w:hyperlink>
      <w:r>
        <w:t xml:space="preserve">; </w:t>
      </w:r>
      <w:hyperlink r:id="rId15228">
        <w:r>
          <w:rPr>
            <w:color w:val="0000EE"/>
            <w:u w:val="single"/>
          </w:rPr>
          <w:t>Jr 6.14</w:t>
        </w:r>
      </w:hyperlink>
      <w:r>
        <w:t>).</w:t>
      </w:r>
    </w:p>
    <w:p>
      <w:r/>
      <w:r>
        <w:rPr>
          <w:i/>
        </w:rPr>
        <w:t>Yahweh-Roi</w:t>
      </w:r>
      <w:r>
        <w:t xml:space="preserve"> (ro‘i, “meu pastor”) aparece no </w:t>
      </w:r>
      <w:hyperlink r:id="rId15229">
        <w:r>
          <w:rPr>
            <w:color w:val="0000EE"/>
            <w:u w:val="single"/>
          </w:rPr>
          <w:t>Salmo 23.1</w:t>
        </w:r>
      </w:hyperlink>
      <w:r>
        <w:t xml:space="preserve">. O conceito de Yahweh como pastor é explicado em </w:t>
      </w:r>
      <w:hyperlink r:id="rId9054">
        <w:r>
          <w:rPr>
            <w:color w:val="0000EE"/>
            <w:u w:val="single"/>
          </w:rPr>
          <w:t>Ezequiel 34</w:t>
        </w:r>
      </w:hyperlink>
      <w:r>
        <w:t xml:space="preserve">. “Eu mesmo serei o Pastor das minhas ovelhas” (v. </w:t>
      </w:r>
      <w:hyperlink r:id="rId15230">
        <w:r>
          <w:rPr>
            <w:color w:val="0000EE"/>
            <w:u w:val="single"/>
          </w:rPr>
          <w:t>15</w:t>
        </w:r>
      </w:hyperlink>
      <w:r>
        <w:t>). Jesus demonstrou o significado completo deste conceito quando, como pastor, deu sua vida pelas suas ovelhas.</w:t>
      </w:r>
    </w:p>
    <w:p>
      <w:r/>
      <w:r>
        <w:rPr>
          <w:i/>
        </w:rPr>
        <w:t>Yahweh-Jireh</w:t>
      </w:r>
      <w:r>
        <w:t xml:space="preserve"> (yir’eh, “ver adiante ou fornecer”) aparece em </w:t>
      </w:r>
      <w:hyperlink r:id="rId15231">
        <w:r>
          <w:rPr>
            <w:color w:val="0000EE"/>
            <w:u w:val="single"/>
          </w:rPr>
          <w:t>Gênesis 22.14</w:t>
        </w:r>
      </w:hyperlink>
      <w:r>
        <w:t xml:space="preserve">. Abraão deu este nome ao lugar onde Deus forneceu um cordeiro como substituto de seu filho Isaque, a quem Abraão deveria oferecer como um sacrifício a Deus. </w:t>
      </w:r>
      <w:r>
        <w:rPr>
          <w:i/>
        </w:rPr>
        <w:t>Yahweh-Shalom</w:t>
      </w:r>
      <w:r>
        <w:t xml:space="preserve"> (shalom, “paz”) é o nome que Gideão deu ao altar que ele construiu quando o anjo do Senhor veio para lhe dar ordens para lutar contra os midianitas (</w:t>
      </w:r>
      <w:hyperlink r:id="rId988">
        <w:r>
          <w:rPr>
            <w:color w:val="0000EE"/>
            <w:u w:val="single"/>
          </w:rPr>
          <w:t>Jz 6.24</w:t>
        </w:r>
      </w:hyperlink>
      <w:r>
        <w:t>).</w:t>
      </w:r>
    </w:p>
    <w:p>
      <w:r/>
      <w:r>
        <w:t xml:space="preserve">Yahweh aparece com algumas formas do termo </w:t>
      </w:r>
      <w:r>
        <w:rPr>
          <w:i/>
        </w:rPr>
        <w:t>tsadaq</w:t>
      </w:r>
      <w:r>
        <w:t xml:space="preserve">, “justiça”. Yahweh é mencionado como nossa justiça em </w:t>
      </w:r>
      <w:hyperlink r:id="rId3248">
        <w:r>
          <w:rPr>
            <w:color w:val="0000EE"/>
            <w:u w:val="single"/>
          </w:rPr>
          <w:t>Jeremias 23.6</w:t>
        </w:r>
      </w:hyperlink>
      <w:r>
        <w:t xml:space="preserve">; o pensamento evidentemente é que O Renovo Justo de Davi (o Messias) atribuirá a justiça de Deus aos que estão incorporados na nova aliança. Este conceito é expresso no Pentateuco várias vezes quando é dito que Deus forneceu um caminho para viver em retidão; isto é, Deus fornece um caminho de santificação (cf. </w:t>
      </w:r>
      <w:hyperlink r:id="rId12775">
        <w:r>
          <w:rPr>
            <w:color w:val="0000EE"/>
            <w:u w:val="single"/>
          </w:rPr>
          <w:t>Lv 20.8</w:t>
        </w:r>
      </w:hyperlink>
      <w:r>
        <w:t xml:space="preserve">; </w:t>
      </w:r>
      <w:hyperlink r:id="rId15232">
        <w:r>
          <w:rPr>
            <w:color w:val="0000EE"/>
            <w:u w:val="single"/>
          </w:rPr>
          <w:t>22.9</w:t>
        </w:r>
      </w:hyperlink>
      <w:r>
        <w:t>).</w:t>
      </w:r>
    </w:p>
    <w:p>
      <w:r/>
      <w:r>
        <w:t xml:space="preserve">‘Adonai como um nome para Deus aparece cerca de 360 vezes no AT, embora não seja utilizado uniformemente. É encontrado pela primeira vez em </w:t>
      </w:r>
      <w:hyperlink r:id="rId166">
        <w:r>
          <w:rPr>
            <w:color w:val="0000EE"/>
            <w:u w:val="single"/>
          </w:rPr>
          <w:t>Gênesis 15.2</w:t>
        </w:r>
      </w:hyperlink>
      <w:r>
        <w:t xml:space="preserve"> e </w:t>
      </w:r>
      <w:hyperlink r:id="rId15233">
        <w:r>
          <w:rPr>
            <w:color w:val="0000EE"/>
            <w:u w:val="single"/>
          </w:rPr>
          <w:t>8</w:t>
        </w:r>
      </w:hyperlink>
      <w:r>
        <w:t>, quando Abrão solicita informações mais definitivas sobre um filho e a Terra Prometida. Aparece apenas 14 vezes depois disso no Pentateuco. Aparece repetidamente nos Salmos (mais de 50 vezes), e alguns dos profetas o usam com frequência (Isaías, 47 vezes; Jeremias, 29 vezes; Ezequiel, mais de 150 vezes; e Amós, 27 vezes).</w:t>
      </w:r>
    </w:p>
    <w:p>
      <w:r/>
      <w:r>
        <w:t xml:space="preserve">A palavra </w:t>
      </w:r>
      <w:r>
        <w:rPr>
          <w:i/>
        </w:rPr>
        <w:t>‘adan</w:t>
      </w:r>
      <w:r>
        <w:t xml:space="preserve">, que significa “mestre, governante, proprietário, senhor”, é pensada como a raiz do substantivo </w:t>
      </w:r>
      <w:r>
        <w:rPr>
          <w:i/>
        </w:rPr>
        <w:t>‘adon</w:t>
      </w:r>
      <w:r>
        <w:t xml:space="preserve">, que é frequentemente usado para homens. Por exemplo, em Gênesis e 1—2 Samuel, o termo é utilizado muitas vezes para homens que possuem escravos ou estão em posições de autoridade. ‘Adonai é corretamente descrito como o nome da comunicação pessoal entre o crente e Deus. Em tal comunicação, o adorador reconhecia a intensa majestade e grandeza de Deus e também o sentimento de pertencer a este Deus. </w:t>
      </w:r>
      <w:r>
        <w:rPr>
          <w:i/>
        </w:rPr>
        <w:t>‘Adonai</w:t>
      </w:r>
      <w:r>
        <w:t xml:space="preserve">, vindo dos lábios humanos, expressava honra a Deus e humilde submissão da parte da pessoa que crê. </w:t>
      </w:r>
      <w:r>
        <w:rPr>
          <w:i/>
        </w:rPr>
        <w:t>‘Adonai</w:t>
      </w:r>
      <w:r>
        <w:t>, portanto, é o nome que expressa fé, confiança, segurança, pronto atendimento e ação de graças (</w:t>
      </w:r>
      <w:hyperlink r:id="rId15234">
        <w:r>
          <w:rPr>
            <w:color w:val="0000EE"/>
            <w:u w:val="single"/>
          </w:rPr>
          <w:t>Sl 16.2</w:t>
        </w:r>
      </w:hyperlink>
      <w:r>
        <w:t xml:space="preserve">; </w:t>
      </w:r>
      <w:hyperlink r:id="rId15235">
        <w:r>
          <w:rPr>
            <w:color w:val="0000EE"/>
            <w:u w:val="single"/>
          </w:rPr>
          <w:t>57.9–10</w:t>
        </w:r>
      </w:hyperlink>
      <w:r>
        <w:t>).</w:t>
      </w:r>
    </w:p>
    <w:p>
      <w:pPr>
        <w:pStyle w:val="Heading4"/>
      </w:pPr>
      <w:r>
        <w:t>Combinações de Nomes do Antigo Testamento</w:t>
      </w:r>
    </w:p>
    <w:p>
      <w:r/>
      <w:r>
        <w:t xml:space="preserve">No AT, os nomes de Deus aparecem em várias combinações. Por exemplo, </w:t>
      </w:r>
      <w:r>
        <w:rPr>
          <w:i/>
        </w:rPr>
        <w:t>‘Elohim-Yahweh</w:t>
      </w:r>
      <w:r>
        <w:t xml:space="preserve">, </w:t>
      </w:r>
      <w:r>
        <w:rPr>
          <w:i/>
        </w:rPr>
        <w:t>‘Elohim-Yahweh-‘Adona</w:t>
      </w:r>
      <w:r>
        <w:t>i, e ‘Elohim-‘Adonai são muito comuns. Essas combinações eram um esforço para expressar a plenitude do ser e caráter de Deus como estes haviam sido revelados. Os nomes de Deus em combinação com “Israel” ocorrem também como, por exemplo, com Yahweh-Deus-Israel (</w:t>
      </w:r>
      <w:hyperlink r:id="rId15236">
        <w:r>
          <w:rPr>
            <w:color w:val="0000EE"/>
            <w:u w:val="single"/>
          </w:rPr>
          <w:t>Jz 5.3</w:t>
        </w:r>
      </w:hyperlink>
      <w:r>
        <w:t xml:space="preserve">; </w:t>
      </w:r>
      <w:hyperlink r:id="rId15237">
        <w:r>
          <w:rPr>
            <w:color w:val="0000EE"/>
            <w:u w:val="single"/>
          </w:rPr>
          <w:t>Is 17.6</w:t>
        </w:r>
      </w:hyperlink>
      <w:r>
        <w:t xml:space="preserve">). Deus também é evocado em relação a Israel sem a menção de um de seus nomes — por exemplo, Qedosh Yisrael (“Santo de Israel”, </w:t>
      </w:r>
      <w:hyperlink r:id="rId15238">
        <w:r>
          <w:rPr>
            <w:color w:val="0000EE"/>
            <w:u w:val="single"/>
          </w:rPr>
          <w:t>Is 43.14</w:t>
        </w:r>
      </w:hyperlink>
      <w:r>
        <w:t xml:space="preserve">) e ‘Abir Yisrael (“Poderoso de Israel”, </w:t>
      </w:r>
      <w:hyperlink r:id="rId15239">
        <w:r>
          <w:rPr>
            <w:color w:val="0000EE"/>
            <w:u w:val="single"/>
          </w:rPr>
          <w:t>Gn 49.24</w:t>
        </w:r>
      </w:hyperlink>
      <w:r>
        <w:t xml:space="preserve">; </w:t>
      </w:r>
      <w:hyperlink r:id="rId15240">
        <w:r>
          <w:rPr>
            <w:color w:val="0000EE"/>
            <w:u w:val="single"/>
          </w:rPr>
          <w:t>Sl 132.2</w:t>
        </w:r>
      </w:hyperlink>
      <w:r>
        <w:t xml:space="preserve">; </w:t>
      </w:r>
      <w:hyperlink r:id="rId15241">
        <w:r>
          <w:rPr>
            <w:color w:val="0000EE"/>
            <w:u w:val="single"/>
          </w:rPr>
          <w:t>Is 49.26</w:t>
        </w:r>
      </w:hyperlink>
      <w:r>
        <w:t>). Por meio dessas frases, o relacionamento pactual entre Deus e seu povo foi expresso e o caráter imutável de Deus foi positivamente reconhecido.</w:t>
      </w:r>
    </w:p>
    <w:p>
      <w:pPr>
        <w:pStyle w:val="Heading4"/>
      </w:pPr>
      <w:r>
        <w:t>Nomes Pessoais do Antigo Testamento</w:t>
      </w:r>
    </w:p>
    <w:p>
      <w:r/>
      <w:r>
        <w:t>Os nomes pessoais de Deus são Pai, Filho e Espírito Santo e variações deles.</w:t>
      </w:r>
    </w:p>
    <w:p>
      <w:r/>
      <w:r>
        <w:t>O termo ‘Abh (“pai”) aparece mais frequentemente em Gênesis do que em qualquer outro livro, e no Pentateuco mais do que em qualquer outra divisão do AT. Mas ali não é usado para Deus, mas sim de alguém que gerou filhos (isto é, o pai), o progenitor — chefe, comandante e governante do grupo familiar ou clã. É utilizado muitas vezes no sentido do responsável através de quem Deus falou, com quem Deus lidou, e através de quem ele deu uma rica herança aos filhos e descendentes dos patriarcas.</w:t>
      </w:r>
    </w:p>
    <w:p>
      <w:r/>
      <w:r>
        <w:t>Nos livros poéticos, Deus é referido como Pai, mas não é diretamente nomeado como tal. É perguntado a Jó: “A chuva tem um pai?” (</w:t>
      </w:r>
      <w:hyperlink r:id="rId15242">
        <w:r>
          <w:rPr>
            <w:color w:val="0000EE"/>
            <w:u w:val="single"/>
          </w:rPr>
          <w:t>Jó 38.28</w:t>
        </w:r>
      </w:hyperlink>
      <w:r>
        <w:t xml:space="preserve">). A referência é a Deus como o criador, a fonte e controlador da chuva. No </w:t>
      </w:r>
      <w:hyperlink r:id="rId15243">
        <w:r>
          <w:rPr>
            <w:color w:val="0000EE"/>
            <w:u w:val="single"/>
          </w:rPr>
          <w:t>Salmo 68.5</w:t>
        </w:r>
      </w:hyperlink>
      <w:r>
        <w:t xml:space="preserve">, Deus em seu santo Templo “cuida dos órfãos”; a frase paralela, “protege as viúvas”, indica o sentido. O </w:t>
      </w:r>
      <w:hyperlink r:id="rId15244">
        <w:r>
          <w:rPr>
            <w:color w:val="0000EE"/>
            <w:u w:val="single"/>
          </w:rPr>
          <w:t>Salmo 89.26</w:t>
        </w:r>
      </w:hyperlink>
      <w:r>
        <w:t xml:space="preserve"> diz que Davi clama a Deus: “Tu és o meu pai”, e os paralelos usam os termos “meu Deus” e “rocha que me salva”. A ideia aqui é de Deus como Criador e Salvador que ressuscitou, libertou e protegeu Davi. No </w:t>
      </w:r>
      <w:hyperlink r:id="rId5262">
        <w:r>
          <w:rPr>
            <w:color w:val="0000EE"/>
            <w:u w:val="single"/>
          </w:rPr>
          <w:t>Salmo 103.13</w:t>
        </w:r>
      </w:hyperlink>
      <w:r>
        <w:t>, “Pai” é usado analogamente, “Como um pai trata com bondade os seus filhos”.</w:t>
      </w:r>
    </w:p>
    <w:p>
      <w:r/>
      <w:r>
        <w:t>Isaías usa o termo “Pai” em relação a Deus quatro vezes. Três vezes se refere Àquele que fez, salvou, formou, manteve e direcionou Israel (</w:t>
      </w:r>
      <w:hyperlink r:id="rId15245">
        <w:r>
          <w:rPr>
            <w:color w:val="0000EE"/>
            <w:u w:val="single"/>
          </w:rPr>
          <w:t>Is 63.16</w:t>
        </w:r>
      </w:hyperlink>
      <w:r>
        <w:t xml:space="preserve">; </w:t>
      </w:r>
      <w:hyperlink r:id="rId15246">
        <w:r>
          <w:rPr>
            <w:color w:val="0000EE"/>
            <w:u w:val="single"/>
          </w:rPr>
          <w:t>64.8</w:t>
        </w:r>
      </w:hyperlink>
      <w:r>
        <w:t>). Isaías diz que o filho prometido deve ser nomeado Pai Eterno (</w:t>
      </w:r>
      <w:hyperlink r:id="rId5463">
        <w:r>
          <w:rPr>
            <w:color w:val="0000EE"/>
            <w:u w:val="single"/>
          </w:rPr>
          <w:t>9.6</w:t>
        </w:r>
      </w:hyperlink>
      <w:r>
        <w:t xml:space="preserve">). Utilizado neste sentido, o termo estabelece a igualdade do Filho com o Pai em estatura, função, capacidade e responsabilidade. Jeremias também se refere a Deus como Pai em </w:t>
      </w:r>
      <w:hyperlink r:id="rId15247">
        <w:r>
          <w:rPr>
            <w:color w:val="0000EE"/>
            <w:u w:val="single"/>
          </w:rPr>
          <w:t>Jeremias 3.4,19</w:t>
        </w:r>
      </w:hyperlink>
      <w:r>
        <w:t xml:space="preserve">, significando a origem, guardião e amigo de seu povo Israel. </w:t>
      </w:r>
      <w:hyperlink r:id="rId13585">
        <w:r>
          <w:rPr>
            <w:color w:val="0000EE"/>
            <w:u w:val="single"/>
          </w:rPr>
          <w:t>Malaquias 1.6</w:t>
        </w:r>
      </w:hyperlink>
      <w:r>
        <w:t xml:space="preserve"> e </w:t>
      </w:r>
      <w:hyperlink r:id="rId13589">
        <w:r>
          <w:rPr>
            <w:color w:val="0000EE"/>
            <w:u w:val="single"/>
          </w:rPr>
          <w:t>2.10</w:t>
        </w:r>
      </w:hyperlink>
      <w:r>
        <w:t xml:space="preserve"> falam de Deus como o pai que merece honra de seus filhos e como a origem e governante de todas as pessoas.</w:t>
      </w:r>
    </w:p>
    <w:p>
      <w:r/>
      <w:r>
        <w:t>O termo “filho” é um dos termos mais usados no AT; geralmente ocorre no sentido de prole e descendente. Também aparece no sentido de seguidor ou sucessor. Há algumas referências indiretas à segunda pessoa da Trindade.</w:t>
      </w:r>
    </w:p>
    <w:p>
      <w:r/>
      <w:r>
        <w:t xml:space="preserve">O messiânico </w:t>
      </w:r>
      <w:hyperlink r:id="rId7066">
        <w:r>
          <w:rPr>
            <w:color w:val="0000EE"/>
            <w:u w:val="single"/>
          </w:rPr>
          <w:t>Salmo 2</w:t>
        </w:r>
      </w:hyperlink>
      <w:r>
        <w:t xml:space="preserve"> tem tal referência: “Você é meu filho” (v. </w:t>
      </w:r>
      <w:hyperlink r:id="rId2007">
        <w:r>
          <w:rPr>
            <w:color w:val="0000EE"/>
            <w:u w:val="single"/>
          </w:rPr>
          <w:t>7</w:t>
        </w:r>
      </w:hyperlink>
      <w:r>
        <w:t>). É afirmado no contexto do rei falando com alguém que governa e deve governar com e sob o soberano. A referência imediata pode ser ao rei teocrático; no entanto, a referência é revelada no NT como sendo a segunda pessoa da Trindade (</w:t>
      </w:r>
      <w:hyperlink r:id="rId6128">
        <w:r>
          <w:rPr>
            <w:color w:val="0000EE"/>
            <w:u w:val="single"/>
          </w:rPr>
          <w:t>Atos 13.33</w:t>
        </w:r>
      </w:hyperlink>
      <w:r>
        <w:t xml:space="preserve">). Portanto, o termo “filho” é aplicado ao Messias prometido que é estabelecido como o governante soberano divino e juiz das nações. O Filho é percebido como sendo igual ao Pai em divindade e função. Nem todos os estudiosos bíblicos aceitam esta interpretação, mas o apoio é encontrado em tais passagens do NT como </w:t>
      </w:r>
      <w:hyperlink r:id="rId4735">
        <w:r>
          <w:rPr>
            <w:color w:val="0000EE"/>
            <w:u w:val="single"/>
          </w:rPr>
          <w:t>Hebreus 1.8</w:t>
        </w:r>
      </w:hyperlink>
      <w:r>
        <w:t xml:space="preserve">, que cita o </w:t>
      </w:r>
      <w:hyperlink r:id="rId4734">
        <w:r>
          <w:rPr>
            <w:color w:val="0000EE"/>
            <w:u w:val="single"/>
          </w:rPr>
          <w:t>Salmo 45.6</w:t>
        </w:r>
      </w:hyperlink>
      <w:r>
        <w:t>. Como afirmado acima, Isaías fala do filho a ser dado (</w:t>
      </w:r>
      <w:hyperlink r:id="rId5463">
        <w:r>
          <w:rPr>
            <w:color w:val="0000EE"/>
            <w:u w:val="single"/>
          </w:rPr>
          <w:t>Is 9.6</w:t>
        </w:r>
      </w:hyperlink>
      <w:r>
        <w:t>), o Nascido da virgem (</w:t>
      </w:r>
      <w:hyperlink r:id="rId3591">
        <w:r>
          <w:rPr>
            <w:color w:val="0000EE"/>
            <w:u w:val="single"/>
          </w:rPr>
          <w:t>7.14</w:t>
        </w:r>
      </w:hyperlink>
      <w:r>
        <w:t>), que é Emanuel, Deus Poderoso, Pai Eterno, Príncipe da Paz.</w:t>
      </w:r>
    </w:p>
    <w:p>
      <w:r/>
      <w:r>
        <w:t>O nome “Espírito Santo” ocorre apenas algumas vezes no AT. O Espírito é referido frequentemente por termos e frases como “o Espírito de Deus” (</w:t>
      </w:r>
      <w:hyperlink r:id="rId105">
        <w:r>
          <w:rPr>
            <w:color w:val="0000EE"/>
            <w:u w:val="single"/>
          </w:rPr>
          <w:t>Gn 1.2</w:t>
        </w:r>
      </w:hyperlink>
      <w:r>
        <w:t>), “o Espírito do Senhor Deus” (</w:t>
      </w:r>
      <w:hyperlink r:id="rId8373">
        <w:r>
          <w:rPr>
            <w:color w:val="0000EE"/>
            <w:u w:val="single"/>
          </w:rPr>
          <w:t>Is 61.1</w:t>
        </w:r>
      </w:hyperlink>
      <w:r>
        <w:t>), “o Espírito do Senhor” (</w:t>
      </w:r>
      <w:hyperlink r:id="rId13789">
        <w:r>
          <w:rPr>
            <w:color w:val="0000EE"/>
            <w:u w:val="single"/>
          </w:rPr>
          <w:t>Ez 37.1</w:t>
        </w:r>
      </w:hyperlink>
      <w:r>
        <w:t>), “o Espírito” (</w:t>
      </w:r>
      <w:hyperlink r:id="rId15248">
        <w:r>
          <w:rPr>
            <w:color w:val="0000EE"/>
            <w:u w:val="single"/>
          </w:rPr>
          <w:t>Nm 11.17</w:t>
        </w:r>
      </w:hyperlink>
      <w:r>
        <w:t xml:space="preserve">; </w:t>
      </w:r>
      <w:hyperlink r:id="rId15249">
        <w:r>
          <w:rPr>
            <w:color w:val="0000EE"/>
            <w:u w:val="single"/>
          </w:rPr>
          <w:t>27.18</w:t>
        </w:r>
      </w:hyperlink>
      <w:r>
        <w:t>), “meu Espírito” (</w:t>
      </w:r>
      <w:hyperlink r:id="rId4270">
        <w:r>
          <w:rPr>
            <w:color w:val="0000EE"/>
            <w:u w:val="single"/>
          </w:rPr>
          <w:t>Gn 6.3</w:t>
        </w:r>
      </w:hyperlink>
      <w:r>
        <w:t>) e “seu Espírito” (</w:t>
      </w:r>
      <w:hyperlink r:id="rId8361">
        <w:r>
          <w:rPr>
            <w:color w:val="0000EE"/>
            <w:u w:val="single"/>
          </w:rPr>
          <w:t>Sl 51.11</w:t>
        </w:r>
      </w:hyperlink>
      <w:r>
        <w:t>). Embora o caráter do Espírito não seja desenvolvido tão claramente no AT quanto no NT, pode ser afirmado com segurança que o relacionamento postulado entre Deus e o Espírito é tal que não há dúvida de que o AT ensina a divindade do Espírito. O caráter e função do Espírito é referido especialmente em relação à obra da criação (</w:t>
      </w:r>
      <w:hyperlink r:id="rId105">
        <w:r>
          <w:rPr>
            <w:color w:val="0000EE"/>
            <w:u w:val="single"/>
          </w:rPr>
          <w:t>Gn 1.2</w:t>
        </w:r>
      </w:hyperlink>
      <w:r>
        <w:t xml:space="preserve">; </w:t>
      </w:r>
      <w:hyperlink r:id="rId10777">
        <w:r>
          <w:rPr>
            <w:color w:val="0000EE"/>
            <w:u w:val="single"/>
          </w:rPr>
          <w:t>Sl 33.6</w:t>
        </w:r>
      </w:hyperlink>
      <w:r>
        <w:t>; etc) e a capacitação de servos para o serviço de Deus — por exemplo, habilidade artesanal (</w:t>
      </w:r>
      <w:hyperlink r:id="rId15250">
        <w:r>
          <w:rPr>
            <w:color w:val="0000EE"/>
            <w:u w:val="single"/>
          </w:rPr>
          <w:t>Êx 35.31</w:t>
        </w:r>
      </w:hyperlink>
      <w:r>
        <w:t>), liderança (</w:t>
      </w:r>
      <w:hyperlink r:id="rId15248">
        <w:r>
          <w:rPr>
            <w:color w:val="0000EE"/>
            <w:u w:val="single"/>
          </w:rPr>
          <w:t>Nm 11.17</w:t>
        </w:r>
      </w:hyperlink>
      <w:r>
        <w:t xml:space="preserve">; </w:t>
      </w:r>
      <w:hyperlink r:id="rId15249">
        <w:r>
          <w:rPr>
            <w:color w:val="0000EE"/>
            <w:u w:val="single"/>
          </w:rPr>
          <w:t>27.18</w:t>
        </w:r>
      </w:hyperlink>
      <w:r>
        <w:t>) e profecia (</w:t>
      </w:r>
      <w:hyperlink r:id="rId15251">
        <w:r>
          <w:rPr>
            <w:color w:val="0000EE"/>
            <w:u w:val="single"/>
          </w:rPr>
          <w:t>1Sm 10.6</w:t>
        </w:r>
      </w:hyperlink>
      <w:r>
        <w:t xml:space="preserve">; </w:t>
      </w:r>
      <w:hyperlink r:id="rId15252">
        <w:r>
          <w:rPr>
            <w:color w:val="0000EE"/>
            <w:u w:val="single"/>
          </w:rPr>
          <w:t>2Sm 23.2</w:t>
        </w:r>
      </w:hyperlink>
      <w:r>
        <w:t xml:space="preserve">; </w:t>
      </w:r>
      <w:hyperlink r:id="rId15253">
        <w:r>
          <w:rPr>
            <w:color w:val="0000EE"/>
            <w:u w:val="single"/>
          </w:rPr>
          <w:t>2Cr 15.1</w:t>
        </w:r>
      </w:hyperlink>
      <w:r>
        <w:t xml:space="preserve">; </w:t>
      </w:r>
      <w:hyperlink r:id="rId14244">
        <w:r>
          <w:rPr>
            <w:color w:val="0000EE"/>
            <w:u w:val="single"/>
          </w:rPr>
          <w:t>Ez 11.5</w:t>
        </w:r>
      </w:hyperlink>
      <w:r>
        <w:t>).</w:t>
      </w:r>
    </w:p>
    <w:p>
      <w:pPr>
        <w:pStyle w:val="Heading3"/>
      </w:pPr>
      <w:r>
        <w:t>Os Nomes de Deus no Novo Testamento</w:t>
      </w:r>
    </w:p>
    <w:p>
      <w:pPr>
        <w:pStyle w:val="Heading4"/>
      </w:pPr>
      <w:r>
        <w:t>Nomes Adequados de Deus</w:t>
      </w:r>
    </w:p>
    <w:p>
      <w:r/>
      <w:r>
        <w:rPr>
          <w:i/>
        </w:rPr>
        <w:t>Theos</w:t>
      </w:r>
      <w:r>
        <w:t xml:space="preserve"> é o equivalente no NT dos nomes do AT ‘El e ‘Elohim; ‘Elyon aparece no NT como </w:t>
      </w:r>
      <w:r>
        <w:rPr>
          <w:i/>
        </w:rPr>
        <w:t>Hupsistos</w:t>
      </w:r>
      <w:r>
        <w:t>, o Altíssimo (</w:t>
      </w:r>
      <w:hyperlink r:id="rId8028">
        <w:r>
          <w:rPr>
            <w:color w:val="0000EE"/>
            <w:u w:val="single"/>
          </w:rPr>
          <w:t>Mc 5.7</w:t>
        </w:r>
      </w:hyperlink>
      <w:r>
        <w:t xml:space="preserve">; </w:t>
      </w:r>
      <w:hyperlink r:id="rId2005">
        <w:r>
          <w:rPr>
            <w:color w:val="0000EE"/>
            <w:u w:val="single"/>
          </w:rPr>
          <w:t>Lc 1.32,76</w:t>
        </w:r>
      </w:hyperlink>
      <w:r>
        <w:t>). Pantokrator (‘El Shaddai) aparece com Theos (</w:t>
      </w:r>
      <w:hyperlink r:id="rId9445">
        <w:r>
          <w:rPr>
            <w:color w:val="0000EE"/>
            <w:u w:val="single"/>
          </w:rPr>
          <w:t>2Co 6.18</w:t>
        </w:r>
      </w:hyperlink>
      <w:r>
        <w:t xml:space="preserve">; </w:t>
      </w:r>
      <w:hyperlink r:id="rId15254">
        <w:r>
          <w:rPr>
            <w:color w:val="0000EE"/>
            <w:u w:val="single"/>
          </w:rPr>
          <w:t>Ap 16.7</w:t>
        </w:r>
      </w:hyperlink>
      <w:r>
        <w:t xml:space="preserve">). Este nome foi utilizado não apenas para expressar a transcendência, poder, soberania e domínio de Deus, mas também para expressar que Deus é alguém que tem um relacionamento próximo com seu povo. Este fato é comprovado pelo uso muito frequente de pronomes pessoais com </w:t>
      </w:r>
      <w:r>
        <w:rPr>
          <w:i/>
        </w:rPr>
        <w:t>Theos</w:t>
      </w:r>
      <w:r>
        <w:t>. O nome Theos aparece mais de 1.000 vezes no NT.</w:t>
      </w:r>
    </w:p>
    <w:p>
      <w:r/>
      <w:r>
        <w:rPr>
          <w:i/>
        </w:rPr>
        <w:t>Kurios</w:t>
      </w:r>
      <w:r>
        <w:t xml:space="preserve">, “Senhor”, é usado para expressar os nomes do AT Yahweh e ‘Adonai na Septuaginta, e o NT o segue. </w:t>
      </w:r>
      <w:r>
        <w:rPr>
          <w:i/>
        </w:rPr>
        <w:t>Kurios</w:t>
      </w:r>
      <w:r>
        <w:t xml:space="preserve"> significa “poder”, então o significado não é o mesmo de Yahweh; no entanto, o NT dá a Kurios todo o peso do significado que o AT deu a </w:t>
      </w:r>
      <w:r>
        <w:rPr>
          <w:i/>
        </w:rPr>
        <w:t>Yahweh</w:t>
      </w:r>
      <w:r>
        <w:t xml:space="preserve">, especialmente quando usado por Jesus Cristo (cf. </w:t>
      </w:r>
      <w:hyperlink r:id="rId6120">
        <w:r>
          <w:rPr>
            <w:color w:val="0000EE"/>
            <w:u w:val="single"/>
          </w:rPr>
          <w:t>Atos 2.36</w:t>
        </w:r>
      </w:hyperlink>
      <w:r>
        <w:t xml:space="preserve">; </w:t>
      </w:r>
      <w:hyperlink r:id="rId2670">
        <w:r>
          <w:rPr>
            <w:color w:val="0000EE"/>
            <w:u w:val="single"/>
          </w:rPr>
          <w:t>Fp 2.9–11</w:t>
        </w:r>
      </w:hyperlink>
      <w:r>
        <w:t>; etc)</w:t>
      </w:r>
    </w:p>
    <w:p>
      <w:r/>
      <w:r>
        <w:t>Déspotas é utilizado cinco vezes para Deus ou Jesus no NT (</w:t>
      </w:r>
      <w:hyperlink r:id="rId15255">
        <w:r>
          <w:rPr>
            <w:color w:val="0000EE"/>
            <w:u w:val="single"/>
          </w:rPr>
          <w:t>Lc 2.29</w:t>
        </w:r>
      </w:hyperlink>
      <w:r>
        <w:t xml:space="preserve">; </w:t>
      </w:r>
      <w:hyperlink r:id="rId3651">
        <w:r>
          <w:rPr>
            <w:color w:val="0000EE"/>
            <w:u w:val="single"/>
          </w:rPr>
          <w:t>Atos 4.24</w:t>
        </w:r>
      </w:hyperlink>
      <w:r>
        <w:t xml:space="preserve">; </w:t>
      </w:r>
      <w:hyperlink r:id="rId1950">
        <w:r>
          <w:rPr>
            <w:color w:val="0000EE"/>
            <w:u w:val="single"/>
          </w:rPr>
          <w:t>2Pe 2.11</w:t>
        </w:r>
      </w:hyperlink>
      <w:r>
        <w:t xml:space="preserve">; </w:t>
      </w:r>
      <w:hyperlink r:id="rId10141">
        <w:r>
          <w:rPr>
            <w:color w:val="0000EE"/>
            <w:u w:val="single"/>
          </w:rPr>
          <w:t>Judas 1.4</w:t>
        </w:r>
      </w:hyperlink>
      <w:r>
        <w:t xml:space="preserve">; </w:t>
      </w:r>
      <w:hyperlink r:id="rId2087">
        <w:r>
          <w:rPr>
            <w:color w:val="0000EE"/>
            <w:u w:val="single"/>
          </w:rPr>
          <w:t>Ap 6.10</w:t>
        </w:r>
      </w:hyperlink>
      <w:r>
        <w:t>). Expressa a ideia de autoridade. A ideia de brutalidade transmitida pelo conceito moderno de “déspota” está ausente do uso do NT, mesmo quando aplicado aos homens, onde seu pensamento central é a propriedade (</w:t>
      </w:r>
      <w:hyperlink r:id="rId15256">
        <w:r>
          <w:rPr>
            <w:color w:val="0000EE"/>
            <w:u w:val="single"/>
          </w:rPr>
          <w:t>2Tm 2.21</w:t>
        </w:r>
      </w:hyperlink>
      <w:r>
        <w:t>).</w:t>
      </w:r>
    </w:p>
    <w:p>
      <w:pPr>
        <w:pStyle w:val="Heading4"/>
      </w:pPr>
      <w:r>
        <w:t>Nomes Pessoais de Deus</w:t>
      </w:r>
    </w:p>
    <w:p>
      <w:r/>
      <w:r>
        <w:t>Na fórmula batismal, que faz parte da Grande Comissão (</w:t>
      </w:r>
      <w:hyperlink r:id="rId502">
        <w:r>
          <w:rPr>
            <w:color w:val="0000EE"/>
            <w:u w:val="single"/>
          </w:rPr>
          <w:t>Mt 28.19–20</w:t>
        </w:r>
      </w:hyperlink>
      <w:r>
        <w:t>), os três nomes pessoais de Deus aparecem: Pai, Filho e Espírito Santo. Esses nomes carregam o significado do AT, mas uma vez que o relacionamento das três Pessoas é explicado, o significado dos nomes no NT é enriquecido.</w:t>
      </w:r>
    </w:p>
    <w:p>
      <w:r/>
      <w:r>
        <w:t>“Jesus” é o nome pessoal do Filho, a segunda pessoa da Divindade trina. Significa “salvador” (</w:t>
      </w:r>
      <w:hyperlink r:id="rId8705">
        <w:r>
          <w:rPr>
            <w:color w:val="0000EE"/>
            <w:u w:val="single"/>
          </w:rPr>
          <w:t>Mt 1.21</w:t>
        </w:r>
      </w:hyperlink>
      <w:r>
        <w:t>). A raiz deste nome “salvar” deu origem a nomes como Josué e Oseias. O significado básico da raiz no AT é “trazer para um lugar seguro e aberto”. Josué, ao levar Israel para Canaã, fez pessoalmente o que seu nome significava. A explicação no NT (“salvar do pecado”) não é contrária ao significado no AT. Ser salvo do pecado é ser restaurado à comunhão com Deus e entrar no paraíso do reino celestial.</w:t>
      </w:r>
    </w:p>
    <w:p>
      <w:r/>
      <w:r>
        <w:rPr>
          <w:i/>
        </w:rPr>
        <w:t>Veja também</w:t>
      </w:r>
      <w:r>
        <w:t xml:space="preserve"> </w:t>
      </w:r>
      <w:r>
        <w:t>Cristologia</w:t>
      </w:r>
      <w:r>
        <w:t xml:space="preserve">; </w:t>
      </w:r>
      <w:r>
        <w:t>Ser e Atributos de Deus</w:t>
      </w:r>
      <w:r>
        <w:t xml:space="preserve">; </w:t>
      </w:r>
      <w:r>
        <w:t>Espírito Santo</w:t>
      </w:r>
      <w:r>
        <w:t xml:space="preserve">; </w:t>
      </w:r>
      <w:r>
        <w:t>Vida e Ensinamentos de Jesus Cristo</w:t>
      </w:r>
      <w:r>
        <w:t xml:space="preserve">; </w:t>
      </w:r>
      <w:r>
        <w:t>Messias</w:t>
      </w:r>
      <w:r>
        <w:t xml:space="preserve">; </w:t>
      </w:r>
      <w:r>
        <w:t>Significado dos Nomes</w:t>
      </w:r>
      <w:r>
        <w:t>.</w:t>
      </w:r>
      <w:r/>
      <w:r/>
    </w:p>
    <w:p>
      <w:r/>
    </w:p>
    <w:p>
      <w:pPr>
        <w:pStyle w:val="Heading2"/>
      </w:pPr>
      <w:r>
        <w:t>Nomes, Significado de</w:t>
      </w:r>
      <w:r/>
    </w:p>
    <w:p>
      <w:r/>
      <w:r>
        <w:t>Nos tempos bíblicos, os nomes eram mais do que apenas rótulos. Eles eram frequentemente escolhidos para expressar algo significativo sobre uma pessoa, seu nascimento ou seu destino. Pelo menos sete motivações podem ser identificadas na escolha de nomes:</w:t>
      </w:r>
    </w:p>
    <w:p>
      <w:pPr>
        <w:pStyle w:val="ListNumber"/>
        <w:spacing w:line="240" w:lineRule="auto"/>
        <w:ind w:left="720"/>
      </w:pPr>
      <w:r/>
      <w:r>
        <w:rPr>
          <w:b/>
        </w:rPr>
        <w:t>Para registrar aspectos do nascimento:</w:t>
      </w:r>
    </w:p>
    <w:p>
      <w:pPr>
        <w:pStyle w:val="ListBullet"/>
        <w:spacing w:line="240" w:lineRule="auto"/>
        <w:ind w:left="1440"/>
      </w:pPr>
      <w:r/>
      <w:r>
        <w:t>Os nomes muitas vezes refletiam as circunstâncias do nascimento de uma pessoa. Por exemplo, Moisés foi nomeado por sua mãe adotiva porque foi tirado da água, lembrando um verbo hebraico que significa "tirar" (</w:t>
      </w:r>
      <w:hyperlink r:id="rId14738">
        <w:r>
          <w:rPr>
            <w:color w:val="0000EE"/>
            <w:u w:val="single"/>
          </w:rPr>
          <w:t>Êxodo 2.10</w:t>
        </w:r>
      </w:hyperlink>
      <w:r>
        <w:t>). Jacó recebeu seu nome devido às circunstâncias de seu nascimento (</w:t>
      </w:r>
      <w:hyperlink r:id="rId6211">
        <w:r>
          <w:rPr>
            <w:color w:val="0000EE"/>
            <w:u w:val="single"/>
          </w:rPr>
          <w:t>Gênesis 25.26</w:t>
        </w:r>
      </w:hyperlink>
      <w:r>
        <w:t>), assim como Samuel, cujo nome significa "ouvido por Deus", enfatizando a resposta de Deus à oração em vez de apenas sua oferta (</w:t>
      </w:r>
      <w:hyperlink r:id="rId4527">
        <w:r>
          <w:rPr>
            <w:color w:val="0000EE"/>
            <w:u w:val="single"/>
          </w:rPr>
          <w:t>1 Samuel 1.20</w:t>
        </w:r>
      </w:hyperlink>
      <w:r>
        <w:t>). Enquanto os nomes Jacó e Samuel surgem das condições de seu nascimento, eles também revelam a pessoa que a criança se tornará: Jacó, o oportunista astuto (</w:t>
      </w:r>
      <w:hyperlink r:id="rId15257">
        <w:r>
          <w:rPr>
            <w:color w:val="0000EE"/>
            <w:u w:val="single"/>
          </w:rPr>
          <w:t>Gênesis 27.36</w:t>
        </w:r>
      </w:hyperlink>
      <w:r>
        <w:t>), Samuel, o homem de oração (</w:t>
      </w:r>
      <w:hyperlink r:id="rId15258">
        <w:r>
          <w:rPr>
            <w:color w:val="0000EE"/>
            <w:u w:val="single"/>
          </w:rPr>
          <w:t>1 Samuel 7.5–9</w:t>
        </w:r>
      </w:hyperlink>
      <w:r>
        <w:t xml:space="preserve">; </w:t>
      </w:r>
      <w:hyperlink r:id="rId15259">
        <w:r>
          <w:rPr>
            <w:color w:val="0000EE"/>
            <w:u w:val="single"/>
          </w:rPr>
          <w:t>8.6,21</w:t>
        </w:r>
      </w:hyperlink>
      <w:r>
        <w:t xml:space="preserve">; </w:t>
      </w:r>
      <w:hyperlink r:id="rId15260">
        <w:r>
          <w:rPr>
            <w:color w:val="0000EE"/>
            <w:u w:val="single"/>
          </w:rPr>
          <w:t>12.19–23</w:t>
        </w:r>
      </w:hyperlink>
      <w:r>
        <w:t>).</w:t>
      </w:r>
    </w:p>
    <w:p>
      <w:pPr>
        <w:pStyle w:val="ListNumber"/>
        <w:spacing w:line="240" w:lineRule="auto"/>
        <w:ind w:left="720"/>
      </w:pPr>
      <w:r/>
      <w:r>
        <w:rPr>
          <w:b/>
        </w:rPr>
        <w:t>Para expressar reações dos pais:</w:t>
      </w:r>
    </w:p>
    <w:p>
      <w:pPr>
        <w:pStyle w:val="ListBullet"/>
        <w:spacing w:line="240" w:lineRule="auto"/>
        <w:ind w:left="1440"/>
      </w:pPr>
      <w:r/>
      <w:r>
        <w:t xml:space="preserve">Às vezes, os nomes expressavam os sentimentos ou esperanças dos pais. Isaque significa "riso" (compare </w:t>
      </w:r>
      <w:hyperlink r:id="rId157">
        <w:r>
          <w:rPr>
            <w:color w:val="0000EE"/>
            <w:u w:val="single"/>
          </w:rPr>
          <w:t>Gênesis 17.17</w:t>
        </w:r>
      </w:hyperlink>
      <w:r>
        <w:t xml:space="preserve">; </w:t>
      </w:r>
      <w:hyperlink r:id="rId11370">
        <w:r>
          <w:rPr>
            <w:color w:val="0000EE"/>
            <w:u w:val="single"/>
          </w:rPr>
          <w:t>18.12</w:t>
        </w:r>
      </w:hyperlink>
      <w:r>
        <w:t xml:space="preserve">; </w:t>
      </w:r>
      <w:hyperlink r:id="rId15261">
        <w:r>
          <w:rPr>
            <w:color w:val="0000EE"/>
            <w:u w:val="single"/>
          </w:rPr>
          <w:t>21.3–6</w:t>
        </w:r>
      </w:hyperlink>
      <w:r>
        <w:t>). Nabal, que significa "tolo", pode ter sido uma oração da mãe para evitar tal destino, embora ele tristemente tenha feito jus ao nome (</w:t>
      </w:r>
      <w:hyperlink r:id="rId15262">
        <w:r>
          <w:rPr>
            <w:color w:val="0000EE"/>
            <w:u w:val="single"/>
          </w:rPr>
          <w:t>1 Samuel 25.25</w:t>
        </w:r>
      </w:hyperlink>
      <w:r>
        <w:t>). Abimeleque (</w:t>
      </w:r>
      <w:hyperlink r:id="rId97">
        <w:r>
          <w:rPr>
            <w:color w:val="0000EE"/>
            <w:u w:val="single"/>
          </w:rPr>
          <w:t>Juízes 8.31</w:t>
        </w:r>
      </w:hyperlink>
      <w:r>
        <w:t>), que significa "Meu pai é rei", pode sugerir as ambições secretas de Gideão de ser rei (</w:t>
      </w:r>
      <w:hyperlink r:id="rId15263">
        <w:r>
          <w:rPr>
            <w:color w:val="0000EE"/>
            <w:u w:val="single"/>
          </w:rPr>
          <w:t>Juízes 8.22–23</w:t>
        </w:r>
      </w:hyperlink>
      <w:r>
        <w:t>).</w:t>
      </w:r>
    </w:p>
    <w:p>
      <w:pPr>
        <w:pStyle w:val="ListNumber"/>
        <w:spacing w:line="240" w:lineRule="auto"/>
        <w:ind w:left="720"/>
      </w:pPr>
      <w:r/>
      <w:r>
        <w:rPr>
          <w:b/>
        </w:rPr>
        <w:t>Para garantir a solidariedade familiar:</w:t>
      </w:r>
    </w:p>
    <w:p>
      <w:pPr>
        <w:pStyle w:val="ListBullet"/>
        <w:spacing w:line="240" w:lineRule="auto"/>
        <w:ind w:left="1440"/>
      </w:pPr>
      <w:r/>
      <w:r>
        <w:t xml:space="preserve">Os nomes podem ser escolhidos para fortalecer os laços familiares. Um exemplo é a proposta de nomear uma criança Zacarias em </w:t>
      </w:r>
      <w:hyperlink r:id="rId4944">
        <w:r>
          <w:rPr>
            <w:color w:val="0000EE"/>
            <w:u w:val="single"/>
          </w:rPr>
          <w:t>Lucas 1.59</w:t>
        </w:r>
      </w:hyperlink>
      <w:r>
        <w:t>.</w:t>
      </w:r>
    </w:p>
    <w:p>
      <w:pPr>
        <w:pStyle w:val="ListNumber"/>
        <w:spacing w:line="240" w:lineRule="auto"/>
        <w:ind w:left="720"/>
      </w:pPr>
      <w:r/>
      <w:r>
        <w:rPr>
          <w:b/>
        </w:rPr>
        <w:t>Para revelar a natureza ou função:</w:t>
      </w:r>
    </w:p>
    <w:p>
      <w:pPr>
        <w:pStyle w:val="ListBullet"/>
        <w:spacing w:line="240" w:lineRule="auto"/>
        <w:ind w:left="1440"/>
      </w:pPr>
      <w:r/>
      <w:r>
        <w:t>Os nomes podem descrever o papel ou o caráter de uma pessoa. Jesus é o melhor exemplo, nomeado por sua missão de salvar (</w:t>
      </w:r>
      <w:hyperlink r:id="rId8705">
        <w:r>
          <w:rPr>
            <w:color w:val="0000EE"/>
            <w:u w:val="single"/>
          </w:rPr>
          <w:t>Mateus 1.21</w:t>
        </w:r>
      </w:hyperlink>
      <w:r>
        <w:t>). Isaías viu seu próprio nome, que significa "o Senhor salva", como central para sua mensagem profética (</w:t>
      </w:r>
      <w:hyperlink r:id="rId15264">
        <w:r>
          <w:rPr>
            <w:color w:val="0000EE"/>
            <w:u w:val="single"/>
          </w:rPr>
          <w:t>Isaías 8.18</w:t>
        </w:r>
      </w:hyperlink>
      <w:r>
        <w:t>).</w:t>
      </w:r>
    </w:p>
    <w:p>
      <w:pPr>
        <w:pStyle w:val="ListNumber"/>
        <w:spacing w:line="240" w:lineRule="auto"/>
        <w:ind w:left="720"/>
      </w:pPr>
      <w:r/>
      <w:r>
        <w:rPr>
          <w:b/>
        </w:rPr>
        <w:t>Para comunicar a mensagem de Deus:</w:t>
      </w:r>
    </w:p>
    <w:p>
      <w:pPr>
        <w:pStyle w:val="ListBullet"/>
        <w:spacing w:line="240" w:lineRule="auto"/>
        <w:ind w:left="1440"/>
      </w:pPr>
      <w:r/>
      <w:r>
        <w:t>Os profetas frequentemente nomeavam seus filhos para transmitir mensagens divinas. Isaías nomeou seu primogênito Shear-Jasube (</w:t>
      </w:r>
      <w:hyperlink r:id="rId15265">
        <w:r>
          <w:rPr>
            <w:color w:val="0000EE"/>
            <w:u w:val="single"/>
          </w:rPr>
          <w:t>Isaías 7.3</w:t>
        </w:r>
      </w:hyperlink>
      <w:r>
        <w:t>), que significa "um remanescente retornará". Isso reflete a infidelidade do povo (“apenas um remanescente retornará”) e a fidelidade de Deus (“um remanescente de fato retornará”). Seu segundo filho foi chamado Maer-Salal-Hás-Baz (</w:t>
      </w:r>
      <w:hyperlink r:id="rId4529">
        <w:r>
          <w:rPr>
            <w:color w:val="0000EE"/>
            <w:u w:val="single"/>
          </w:rPr>
          <w:t>Isaías 8.3</w:t>
        </w:r>
      </w:hyperlink>
      <w:r>
        <w:t>), significando "rapidez-presa-pressa-despojo" para refletir o futuro de Israel — derrota estava chegando em breve.</w:t>
      </w:r>
    </w:p>
    <w:p>
      <w:pPr>
        <w:pStyle w:val="ListNumber"/>
        <w:spacing w:line="240" w:lineRule="auto"/>
        <w:ind w:left="720"/>
      </w:pPr>
      <w:r/>
      <w:r>
        <w:rPr>
          <w:b/>
        </w:rPr>
        <w:t>Para estabelecer afiliação religiosa:</w:t>
      </w:r>
    </w:p>
    <w:p>
      <w:pPr>
        <w:pStyle w:val="ListBullet"/>
        <w:spacing w:line="240" w:lineRule="auto"/>
        <w:ind w:left="1440"/>
      </w:pPr>
      <w:r/>
      <w:r>
        <w:t>Muitos nomes na Bíblia incluem elementos como -</w:t>
      </w:r>
      <w:r>
        <w:rPr>
          <w:i/>
        </w:rPr>
        <w:t>ias</w:t>
      </w:r>
      <w:r>
        <w:t xml:space="preserve"> ou </w:t>
      </w:r>
      <w:r>
        <w:rPr>
          <w:i/>
        </w:rPr>
        <w:t>-ja</w:t>
      </w:r>
      <w:r>
        <w:t xml:space="preserve"> (relacionados a "o Senhor") ou -</w:t>
      </w:r>
      <w:r>
        <w:rPr>
          <w:i/>
        </w:rPr>
        <w:t>el</w:t>
      </w:r>
      <w:r>
        <w:t xml:space="preserve"> (relacionados a "Deus") para declarar fé religiosa. Por exemplo, Adonias (</w:t>
      </w:r>
      <w:hyperlink r:id="rId15266">
        <w:r>
          <w:rPr>
            <w:color w:val="0000EE"/>
            <w:u w:val="single"/>
          </w:rPr>
          <w:t>2 Samuel 3.4</w:t>
        </w:r>
      </w:hyperlink>
      <w:r>
        <w:t>) significa "o Senhor é Soberano", e Natanael (</w:t>
      </w:r>
      <w:hyperlink r:id="rId12426">
        <w:r>
          <w:rPr>
            <w:color w:val="0000EE"/>
            <w:u w:val="single"/>
          </w:rPr>
          <w:t>João 1.47</w:t>
        </w:r>
      </w:hyperlink>
      <w:r>
        <w:t>) significa "Deus deu". Esses nomes eram populares em tempos de declínio religioso para reafirmar a fé dos pais.</w:t>
      </w:r>
    </w:p>
    <w:p>
      <w:pPr>
        <w:pStyle w:val="ListNumber"/>
        <w:spacing w:line="240" w:lineRule="auto"/>
        <w:ind w:left="720"/>
      </w:pPr>
      <w:r/>
      <w:r>
        <w:rPr>
          <w:b/>
        </w:rPr>
        <w:t>Para afirmar autoridade sobre outro:</w:t>
      </w:r>
    </w:p>
    <w:p>
      <w:pPr>
        <w:pStyle w:val="ListBullet"/>
        <w:spacing w:line="240" w:lineRule="auto"/>
        <w:ind w:left="1440"/>
      </w:pPr>
      <w:r/>
      <w:r>
        <w:t>No antigo Oriente Próximo, nomear algo ou alguém implicava poder sobre isso (</w:t>
      </w:r>
      <w:hyperlink r:id="rId15191">
        <w:r>
          <w:rPr>
            <w:color w:val="0000EE"/>
            <w:u w:val="single"/>
          </w:rPr>
          <w:t>Gênesis 2.19–20</w:t>
        </w:r>
      </w:hyperlink>
      <w:r>
        <w:t>). Se uma pessoa não conhecia o nome de outra, não podia fazer mal ou bem a ela (</w:t>
      </w:r>
      <w:hyperlink r:id="rId15267">
        <w:r>
          <w:rPr>
            <w:color w:val="0000EE"/>
            <w:u w:val="single"/>
          </w:rPr>
          <w:t>Êxodo 33.12,17</w:t>
        </w:r>
      </w:hyperlink>
      <w:r>
        <w:t>). No mundo antigo, um nome descrevia a pessoa ou seu trabalho de alguma forma. Quando a pessoa ou sua situação mudava, seu nome também mudava, como com Abrão (Abraão) e Jacó (Israel). Por exemplo, o Faraó renomeou José para Zafenate-Paneia quando ele foi elevado em status (</w:t>
      </w:r>
      <w:hyperlink r:id="rId2199">
        <w:r>
          <w:rPr>
            <w:color w:val="0000EE"/>
            <w:u w:val="single"/>
          </w:rPr>
          <w:t>Gênesis 41.45</w:t>
        </w:r>
      </w:hyperlink>
      <w:r>
        <w:t>). Quando Eliaquim foi feito rei de Judá, o Faraó mudou o nome do rei judeu para Jeoaquim (</w:t>
      </w:r>
      <w:hyperlink r:id="rId15268">
        <w:r>
          <w:rPr>
            <w:color w:val="0000EE"/>
            <w:u w:val="single"/>
          </w:rPr>
          <w:t>2 Reis 23.34</w:t>
        </w:r>
      </w:hyperlink>
      <w:r>
        <w:t>). Hebreus cativos, como Daniel e seus amigos, tiveram seus nomes mudados para se alinhar com os deuses babilônicos, simbolizando controle (</w:t>
      </w:r>
      <w:hyperlink r:id="rId15269">
        <w:r>
          <w:rPr>
            <w:color w:val="0000EE"/>
            <w:u w:val="single"/>
          </w:rPr>
          <w:t>Daniel 1.6–7</w:t>
        </w:r>
      </w:hyperlink>
      <w:r>
        <w:t>).</w:t>
      </w:r>
    </w:p>
    <w:p>
      <w:pPr>
        <w:pStyle w:val="Heading4"/>
      </w:pPr>
      <w:r>
        <w:t>Novos nomes na Bíblia</w:t>
      </w:r>
    </w:p>
    <w:p>
      <w:r/>
      <w:r>
        <w:t>A prática de dar novos nomes na Bíblia muitas vezes significava mudanças significativas na vida, caráter ou status de uma pessoa, como quando Sarai se tornou Sara (</w:t>
      </w:r>
      <w:hyperlink r:id="rId170">
        <w:r>
          <w:rPr>
            <w:color w:val="0000EE"/>
            <w:u w:val="single"/>
          </w:rPr>
          <w:t>Gênesis 17.15</w:t>
        </w:r>
      </w:hyperlink>
      <w:r>
        <w:t>). Três motivações são possíveis:</w:t>
      </w:r>
    </w:p>
    <w:p>
      <w:pPr>
        <w:pStyle w:val="ListNumber"/>
        <w:spacing w:line="240" w:lineRule="auto"/>
        <w:ind w:left="720"/>
      </w:pPr>
      <w:r/>
      <w:r>
        <w:rPr>
          <w:b/>
        </w:rPr>
        <w:t>Significando novos poderes:</w:t>
      </w:r>
    </w:p>
    <w:p>
      <w:pPr>
        <w:pStyle w:val="ListBullet"/>
        <w:spacing w:line="240" w:lineRule="auto"/>
        <w:ind w:left="1440"/>
      </w:pPr>
      <w:r/>
      <w:r>
        <w:t>Um novo nome poderia significar a concessão de novos poderes ou uma nova identidade. Por exemplo, Abrão tornou-se Abraão ("pai de uma multidão de nações") quando foi prometido ser o ancestral de muitas nações (</w:t>
      </w:r>
      <w:hyperlink r:id="rId154">
        <w:r>
          <w:rPr>
            <w:color w:val="0000EE"/>
            <w:u w:val="single"/>
          </w:rPr>
          <w:t>Gênesis 17.5</w:t>
        </w:r>
      </w:hyperlink>
      <w:r>
        <w:t>).</w:t>
      </w:r>
    </w:p>
    <w:p>
      <w:pPr>
        <w:pStyle w:val="ListNumber"/>
        <w:spacing w:line="240" w:lineRule="auto"/>
        <w:ind w:left="720"/>
      </w:pPr>
      <w:r/>
      <w:r>
        <w:rPr>
          <w:b/>
        </w:rPr>
        <w:t>Indicando novo caráter ou status com Deus:</w:t>
      </w:r>
    </w:p>
    <w:p>
      <w:pPr>
        <w:pStyle w:val="ListBullet"/>
        <w:spacing w:line="240" w:lineRule="auto"/>
        <w:ind w:left="1440"/>
      </w:pPr>
      <w:r/>
      <w:r>
        <w:t>Um novo nome também poderia marcar uma transformação no caráter ou relacionamento com Deus. Jacó, conhecido por ser um trapaceiro, tornou-se Israel, significando seu novo papel como alguém que tem poder com Deus (</w:t>
      </w:r>
      <w:hyperlink r:id="rId15270">
        <w:r>
          <w:rPr>
            <w:color w:val="0000EE"/>
            <w:u w:val="single"/>
          </w:rPr>
          <w:t>Gênesis 32.27</w:t>
        </w:r>
      </w:hyperlink>
      <w:r>
        <w:t xml:space="preserve">; </w:t>
      </w:r>
      <w:hyperlink r:id="rId15271">
        <w:r>
          <w:rPr>
            <w:color w:val="0000EE"/>
            <w:u w:val="single"/>
          </w:rPr>
          <w:t>Oséias 12.3–4</w:t>
        </w:r>
      </w:hyperlink>
      <w:r>
        <w:t>). Da mesma forma, Simão tornou-se Pedro (</w:t>
      </w:r>
      <w:hyperlink r:id="rId1436">
        <w:r>
          <w:rPr>
            <w:color w:val="0000EE"/>
            <w:u w:val="single"/>
          </w:rPr>
          <w:t>João 1.42</w:t>
        </w:r>
      </w:hyperlink>
      <w:r>
        <w:t>).</w:t>
      </w:r>
    </w:p>
    <w:p>
      <w:pPr>
        <w:pStyle w:val="ListNumber"/>
        <w:spacing w:line="240" w:lineRule="auto"/>
        <w:ind w:left="720"/>
      </w:pPr>
      <w:r/>
      <w:r>
        <w:rPr>
          <w:b/>
        </w:rPr>
        <w:t>Cimentando novas lealdades:</w:t>
      </w:r>
    </w:p>
    <w:p>
      <w:pPr>
        <w:pStyle w:val="ListBullet"/>
        <w:spacing w:line="240" w:lineRule="auto"/>
        <w:ind w:left="1440"/>
      </w:pPr>
      <w:r/>
      <w:r>
        <w:t>No cativeiro, os nomes podiam ser alterados para impor novas lealdades. Daniel foi renomeado Beltessazar para alinhá-lo com as divindades babilônicas, refletindo uma tentativa de mudar sua afiliação religiosa (</w:t>
      </w:r>
      <w:hyperlink r:id="rId6519">
        <w:r>
          <w:rPr>
            <w:color w:val="0000EE"/>
            <w:u w:val="single"/>
          </w:rPr>
          <w:t>Daniel 1.7</w:t>
        </w:r>
      </w:hyperlink>
      <w:r>
        <w:t>).</w:t>
      </w:r>
    </w:p>
    <w:p>
      <w:r/>
      <w:r>
        <w:rPr>
          <w:i/>
        </w:rPr>
        <w:t>Veja também</w:t>
      </w:r>
      <w:r>
        <w:t xml:space="preserve"> </w:t>
      </w:r>
      <w:r>
        <w:t>Deus, Nomes de</w:t>
      </w:r>
      <w:r>
        <w:t>.</w:t>
      </w:r>
      <w:r/>
      <w:r/>
    </w:p>
    <w:p>
      <w:r/>
    </w:p>
    <w:p>
      <w:pPr>
        <w:pStyle w:val="Heading2"/>
      </w:pPr>
      <w:r>
        <w:t>Nova criação, Nova criatura</w:t>
      </w:r>
      <w:r/>
    </w:p>
    <w:p>
      <w:r/>
      <w:r>
        <w:t>A mensagem de redenção que se desenrola através do Antigo e Novo Testamentos. Cristo a cumprirá em sua segunda vinda.</w:t>
      </w:r>
    </w:p>
    <w:p>
      <w:r/>
      <w:r>
        <w:t xml:space="preserve">A Bíblia diz que Deus é o Criador do céu e da terra. Ele controla tudo (veja </w:t>
      </w:r>
      <w:hyperlink r:id="rId1452">
        <w:r>
          <w:rPr>
            <w:color w:val="0000EE"/>
            <w:u w:val="single"/>
          </w:rPr>
          <w:t>Gênesis 1</w:t>
        </w:r>
      </w:hyperlink>
      <w:r>
        <w:t xml:space="preserve">; </w:t>
      </w:r>
      <w:hyperlink r:id="rId15272">
        <w:r>
          <w:rPr>
            <w:color w:val="0000EE"/>
            <w:u w:val="single"/>
          </w:rPr>
          <w:t>Salmos 33.6–11</w:t>
        </w:r>
      </w:hyperlink>
      <w:r>
        <w:t xml:space="preserve">; </w:t>
      </w:r>
      <w:hyperlink r:id="rId15273">
        <w:r>
          <w:rPr>
            <w:color w:val="0000EE"/>
            <w:u w:val="single"/>
          </w:rPr>
          <w:t>104</w:t>
        </w:r>
      </w:hyperlink>
      <w:r>
        <w:t xml:space="preserve">; </w:t>
      </w:r>
      <w:hyperlink r:id="rId15274">
        <w:r>
          <w:rPr>
            <w:color w:val="0000EE"/>
            <w:u w:val="single"/>
          </w:rPr>
          <w:t>Mateus 6.25–32</w:t>
        </w:r>
      </w:hyperlink>
      <w:r>
        <w:t>). Os humanos são descritos como seres feitos à imagem de Deus (</w:t>
      </w:r>
      <w:hyperlink r:id="rId15275">
        <w:r>
          <w:rPr>
            <w:color w:val="0000EE"/>
            <w:u w:val="single"/>
          </w:rPr>
          <w:t>Gênesis 1–2</w:t>
        </w:r>
      </w:hyperlink>
      <w:r>
        <w:t>). Entender Deus como Criador é fundamental para compreender a mensagem de salvação da Bíblia. O pecado humano é sério. É devido a pessoas que "adoravam e serviam a criatura em vez do Criador" (</w:t>
      </w:r>
      <w:hyperlink r:id="rId14908">
        <w:r>
          <w:rPr>
            <w:color w:val="0000EE"/>
            <w:u w:val="single"/>
          </w:rPr>
          <w:t>Romanos 1.25</w:t>
        </w:r>
      </w:hyperlink>
      <w:r>
        <w:t>). Deus é nosso Redentor porque ele é nosso Criador. Ele salva suas criaturas rebeldes. Elas sofrem, com toda a criação, sob uma maldição de futilidade e decadência (</w:t>
      </w:r>
      <w:hyperlink r:id="rId15276">
        <w:r>
          <w:rPr>
            <w:color w:val="0000EE"/>
            <w:u w:val="single"/>
          </w:rPr>
          <w:t>Gênesis 3.17–18</w:t>
        </w:r>
      </w:hyperlink>
      <w:r>
        <w:t xml:space="preserve">; </w:t>
      </w:r>
      <w:hyperlink r:id="rId15277">
        <w:r>
          <w:rPr>
            <w:color w:val="0000EE"/>
            <w:u w:val="single"/>
          </w:rPr>
          <w:t>Romanos 8.20–21</w:t>
        </w:r>
      </w:hyperlink>
      <w:r>
        <w:t>).</w:t>
      </w:r>
    </w:p>
    <w:p>
      <w:pPr>
        <w:pStyle w:val="Heading3"/>
      </w:pPr>
      <w:r>
        <w:t>Nova criação no Antigo Testamento</w:t>
      </w:r>
    </w:p>
    <w:p>
      <w:r/>
      <w:r>
        <w:t xml:space="preserve">O livro de Isaías, especialmente os capítulos </w:t>
      </w:r>
      <w:hyperlink r:id="rId11210">
        <w:r>
          <w:rPr>
            <w:color w:val="0000EE"/>
            <w:u w:val="single"/>
          </w:rPr>
          <w:t>40–66</w:t>
        </w:r>
      </w:hyperlink>
      <w:r>
        <w:t xml:space="preserve">, liga criação e salvação. Aqui, o profeta fala sobre a redenção final de Deus para Israel. Esta futura salvação frequentemente destaca Deus como o Criador do céu, da terra e de Israel (veja </w:t>
      </w:r>
      <w:hyperlink r:id="rId15278">
        <w:r>
          <w:rPr>
            <w:color w:val="0000EE"/>
            <w:u w:val="single"/>
          </w:rPr>
          <w:t>Isaías 40.12–31</w:t>
        </w:r>
      </w:hyperlink>
      <w:r>
        <w:t xml:space="preserve">; </w:t>
      </w:r>
      <w:hyperlink r:id="rId15279">
        <w:r>
          <w:rPr>
            <w:color w:val="0000EE"/>
            <w:u w:val="single"/>
          </w:rPr>
          <w:t>44.24</w:t>
        </w:r>
      </w:hyperlink>
      <w:r>
        <w:t xml:space="preserve">; </w:t>
      </w:r>
      <w:hyperlink r:id="rId15280">
        <w:r>
          <w:rPr>
            <w:color w:val="0000EE"/>
            <w:u w:val="single"/>
          </w:rPr>
          <w:t>45.18</w:t>
        </w:r>
      </w:hyperlink>
      <w:r>
        <w:t xml:space="preserve">; </w:t>
      </w:r>
      <w:hyperlink r:id="rId11242">
        <w:r>
          <w:rPr>
            <w:color w:val="0000EE"/>
            <w:u w:val="single"/>
          </w:rPr>
          <w:t>48.13</w:t>
        </w:r>
      </w:hyperlink>
      <w:r>
        <w:t xml:space="preserve">; </w:t>
      </w:r>
      <w:hyperlink r:id="rId15281">
        <w:r>
          <w:rPr>
            <w:color w:val="0000EE"/>
            <w:u w:val="single"/>
          </w:rPr>
          <w:t>51.16</w:t>
        </w:r>
      </w:hyperlink>
      <w:r>
        <w:t xml:space="preserve">; </w:t>
      </w:r>
      <w:hyperlink r:id="rId15246">
        <w:r>
          <w:rPr>
            <w:color w:val="0000EE"/>
            <w:u w:val="single"/>
          </w:rPr>
          <w:t>64.8</w:t>
        </w:r>
      </w:hyperlink>
      <w:r>
        <w:t>).</w:t>
      </w:r>
    </w:p>
    <w:p>
      <w:r/>
      <w:r>
        <w:t>Isaías fala de "novos céus e uma nova terra" (</w:t>
      </w:r>
      <w:hyperlink r:id="rId14246">
        <w:r>
          <w:rPr>
            <w:color w:val="0000EE"/>
            <w:u w:val="single"/>
          </w:rPr>
          <w:t>Isaías 65.17</w:t>
        </w:r>
      </w:hyperlink>
      <w:r>
        <w:t xml:space="preserve">; </w:t>
      </w:r>
      <w:hyperlink r:id="rId15282">
        <w:r>
          <w:rPr>
            <w:color w:val="0000EE"/>
            <w:u w:val="single"/>
          </w:rPr>
          <w:t>66.22</w:t>
        </w:r>
      </w:hyperlink>
      <w:r>
        <w:t>). Esta ideia de uma nova criação mostra que a salvação que Deus promete é para todos, não apenas para Israel. A obra de recriação e restauração de Deus no final conecta-se à sua obra de criação no início (</w:t>
      </w:r>
      <w:hyperlink r:id="rId15283">
        <w:r>
          <w:rPr>
            <w:color w:val="0000EE"/>
            <w:u w:val="single"/>
          </w:rPr>
          <w:t>Isaías 48.12</w:t>
        </w:r>
      </w:hyperlink>
      <w:r>
        <w:t>). O que Deus fará no final por todas as coisas é tão significativo quanto o que ele fez quando criou tudo do nada. Esta nova ordem de criação dará a felicidade eterna aos fiéis. Os escritores do Novo Testamento continuam a desenvolver esses temas.</w:t>
      </w:r>
    </w:p>
    <w:p>
      <w:pPr>
        <w:pStyle w:val="Heading3"/>
      </w:pPr>
      <w:r>
        <w:t>Nova criação e Cristo</w:t>
      </w:r>
    </w:p>
    <w:p>
      <w:r/>
      <w:r>
        <w:t>O Novo Testamento conecta fortemente criação e redenção. Vários escritores ligam a obra salvadora de Cristo ao seu papel na criação (</w:t>
      </w:r>
      <w:hyperlink r:id="rId6083">
        <w:r>
          <w:rPr>
            <w:color w:val="0000EE"/>
            <w:u w:val="single"/>
          </w:rPr>
          <w:t>João 1.3</w:t>
        </w:r>
      </w:hyperlink>
      <w:r>
        <w:t xml:space="preserve">; </w:t>
      </w:r>
      <w:hyperlink r:id="rId15284">
        <w:r>
          <w:rPr>
            <w:color w:val="0000EE"/>
            <w:u w:val="single"/>
          </w:rPr>
          <w:t>Colossenses 1.15–18</w:t>
        </w:r>
      </w:hyperlink>
      <w:r>
        <w:t xml:space="preserve">; </w:t>
      </w:r>
      <w:hyperlink r:id="rId15285">
        <w:r>
          <w:rPr>
            <w:color w:val="0000EE"/>
            <w:u w:val="single"/>
          </w:rPr>
          <w:t>Hebreus 1.2–3</w:t>
        </w:r>
      </w:hyperlink>
      <w:r>
        <w:t xml:space="preserve">; </w:t>
      </w:r>
      <w:hyperlink r:id="rId15286">
        <w:r>
          <w:rPr>
            <w:color w:val="0000EE"/>
            <w:u w:val="single"/>
          </w:rPr>
          <w:t>Apocalipse 3.14</w:t>
        </w:r>
      </w:hyperlink>
      <w:r>
        <w:t>). Eles destacam essa ligação. Eles mencionam o que Cristo fez "quando chegou a plenitude do tempo" (</w:t>
      </w:r>
      <w:hyperlink r:id="rId6832">
        <w:r>
          <w:rPr>
            <w:color w:val="0000EE"/>
            <w:u w:val="single"/>
          </w:rPr>
          <w:t>Gálatas 4.4</w:t>
        </w:r>
      </w:hyperlink>
      <w:r>
        <w:t xml:space="preserve">; </w:t>
      </w:r>
      <w:hyperlink r:id="rId7634">
        <w:r>
          <w:rPr>
            <w:color w:val="0000EE"/>
            <w:u w:val="single"/>
          </w:rPr>
          <w:t>Efésios 1.10</w:t>
        </w:r>
      </w:hyperlink>
      <w:r>
        <w:t>) e "nestes últimos dias" (</w:t>
      </w:r>
      <w:hyperlink r:id="rId8114">
        <w:r>
          <w:rPr>
            <w:color w:val="0000EE"/>
            <w:u w:val="single"/>
          </w:rPr>
          <w:t>Hebreus 1.2</w:t>
        </w:r>
      </w:hyperlink>
      <w:r>
        <w:t>). Esta obra está ligada às suas ações no início. A obra de redenção de Cristo é vista como uma nova criação.</w:t>
      </w:r>
    </w:p>
    <w:p>
      <w:r/>
      <w:r>
        <w:t>Este vínculo entre a nova criação e a obra de Cristo é claro. Paulo chama Cristo de "último Adão" e "segundo homem" (</w:t>
      </w:r>
      <w:hyperlink r:id="rId8044">
        <w:r>
          <w:rPr>
            <w:color w:val="0000EE"/>
            <w:u w:val="single"/>
          </w:rPr>
          <w:t>1 Coríntios 15.45–47</w:t>
        </w:r>
      </w:hyperlink>
      <w:r>
        <w:t xml:space="preserve">; compare versículo </w:t>
      </w:r>
      <w:hyperlink r:id="rId14822">
        <w:r>
          <w:rPr>
            <w:color w:val="0000EE"/>
            <w:u w:val="single"/>
          </w:rPr>
          <w:t>22</w:t>
        </w:r>
      </w:hyperlink>
      <w:r>
        <w:t xml:space="preserve">; </w:t>
      </w:r>
      <w:hyperlink r:id="rId316">
        <w:r>
          <w:rPr>
            <w:color w:val="0000EE"/>
            <w:u w:val="single"/>
          </w:rPr>
          <w:t>Romanos 5.14</w:t>
        </w:r>
      </w:hyperlink>
      <w:r>
        <w:t>). Esta descrição está intimamente relacionada ao título "Filho do Homem", que Jesus usou para si mesmo. Paulo usa o termo "último Adão" para destacar o contraste entre Adão e Cristo (</w:t>
      </w:r>
      <w:hyperlink r:id="rId15287">
        <w:r>
          <w:rPr>
            <w:color w:val="0000EE"/>
            <w:u w:val="single"/>
          </w:rPr>
          <w:t>Romanos 1</w:t>
        </w:r>
      </w:hyperlink>
      <w:r>
        <w:t xml:space="preserve">; </w:t>
      </w:r>
      <w:hyperlink r:id="rId5845">
        <w:r>
          <w:rPr>
            <w:color w:val="0000EE"/>
            <w:u w:val="single"/>
          </w:rPr>
          <w:t>1 Coríntios 15</w:t>
        </w:r>
      </w:hyperlink>
      <w:r>
        <w:t>). Adão trouxe pecado e morte porque foi desobediente. Mas Cristo foi obediente e assim trouxe justiça. Isso leva à justificação e à vida.</w:t>
      </w:r>
    </w:p>
    <w:p>
      <w:r/>
      <w:r>
        <w:t xml:space="preserve">Paulo explica todo o alcance deste contraste Adão-Cristo em </w:t>
      </w:r>
      <w:hyperlink r:id="rId15288">
        <w:r>
          <w:rPr>
            <w:color w:val="0000EE"/>
            <w:u w:val="single"/>
          </w:rPr>
          <w:t>1 Coríntios 15.42–49</w:t>
        </w:r>
      </w:hyperlink>
      <w:r>
        <w:t>. Ele compara o corpo fraco e mortal do crente com o glorioso e poderoso que receberá na ressurreição. Ele resume esse contraste dizendo que um corpo é "natural" e o outro é "espiritual". Adão e Cristo representam esses dois tipos de corpos — o natural e o espiritual. Mas Paulo também apresenta Adão e Cristo como pessoas inteiras, representando outros e liderando duas ordens de vida diferentes. Adão, o primeiro homem, é o chefe do mundo natural. Agora está corrupto e mortal devido ao pecado (</w:t>
      </w:r>
      <w:hyperlink r:id="rId362">
        <w:r>
          <w:rPr>
            <w:color w:val="0000EE"/>
            <w:u w:val="single"/>
          </w:rPr>
          <w:t>Romanos 5.12–19</w:t>
        </w:r>
      </w:hyperlink>
      <w:r>
        <w:t>). Cristo, o segundo e último Adão, é o chefe representativo da ordem espiritual e celestial caracterizada por vida, poder e glória. A passagem contrasta duas ordens mundiais: a criação original e seu cumprimento em uma nova criação. Cada uma começou com um Adão.</w:t>
      </w:r>
    </w:p>
    <w:p>
      <w:r/>
      <w:r>
        <w:t>Mais dois pontos são importantes para entender a mensagem da nova criação nos escritos de Paulo e no restante do Novo Testamento:</w:t>
      </w:r>
    </w:p>
    <w:p>
      <w:pPr>
        <w:pStyle w:val="ListNumber"/>
        <w:spacing w:line="240" w:lineRule="auto"/>
        <w:ind w:left="720"/>
      </w:pPr>
      <w:r/>
      <w:r>
        <w:t>A ressurreição de Cristo forma a base da ressurreição do crente. Como o último Adão, ele se tornou um Espírito vivificante através de sua ressurreição (</w:t>
      </w:r>
      <w:hyperlink r:id="rId8423">
        <w:r>
          <w:rPr>
            <w:color w:val="0000EE"/>
            <w:u w:val="single"/>
          </w:rPr>
          <w:t>1 Coríntios 15.45</w:t>
        </w:r>
      </w:hyperlink>
      <w:r>
        <w:t xml:space="preserve">). O foco está na unidade entre a ressurreição de Cristo e a dos crentes (compare com </w:t>
      </w:r>
      <w:hyperlink r:id="rId15289">
        <w:r>
          <w:rPr>
            <w:color w:val="0000EE"/>
            <w:u w:val="single"/>
          </w:rPr>
          <w:t>1 Coríntios 15.12–20</w:t>
        </w:r>
      </w:hyperlink>
      <w:r>
        <w:t xml:space="preserve">; </w:t>
      </w:r>
      <w:hyperlink r:id="rId367">
        <w:r>
          <w:rPr>
            <w:color w:val="0000EE"/>
            <w:u w:val="single"/>
          </w:rPr>
          <w:t>Colossenses 1.18</w:t>
        </w:r>
      </w:hyperlink>
      <w:r>
        <w:t>). De acordo com o Novo Testamento, a nova criação é uma realidade presente que começou com a ressurreição de Cristo.</w:t>
      </w:r>
    </w:p>
    <w:p>
      <w:pPr>
        <w:pStyle w:val="ListNumber"/>
        <w:spacing w:line="240" w:lineRule="auto"/>
        <w:ind w:left="720"/>
      </w:pPr>
      <w:r/>
      <w:r>
        <w:t xml:space="preserve">O texto de </w:t>
      </w:r>
      <w:hyperlink r:id="rId8423">
        <w:r>
          <w:rPr>
            <w:color w:val="0000EE"/>
            <w:u w:val="single"/>
          </w:rPr>
          <w:t>1 Coríntios 15.45</w:t>
        </w:r>
      </w:hyperlink>
      <w:r>
        <w:t xml:space="preserve"> mostra a unidade do Cristo ressuscitado e do Espírito Santo em dar vida. Diz que o último Adão tornou-se um Espírito vivificante. O Espírito Santo é o poder por trás da nova criação (veja </w:t>
      </w:r>
      <w:hyperlink r:id="rId8112">
        <w:r>
          <w:rPr>
            <w:color w:val="0000EE"/>
            <w:u w:val="single"/>
          </w:rPr>
          <w:t>Hebreus 6.5</w:t>
        </w:r>
      </w:hyperlink>
      <w:r>
        <w:t>). Onde quer que o Espírito atue como o dom do Cristo glorificado, a nova criação está presente.</w:t>
      </w:r>
    </w:p>
    <w:p>
      <w:r/>
      <w:r>
        <w:t>A nova criação cumpre o que o Antigo Testamento prometeu e antecipou. Já começou através da obra de Cristo (o último Adão), especialmente por meio de sua morte e ressurreição. Será completada em seu retorno. Enquanto isso, vivemos em um tempo onde as duas criações coexistem — a nova começou, enquanto a antiga continua a desaparecer (</w:t>
      </w:r>
      <w:hyperlink r:id="rId15290">
        <w:r>
          <w:rPr>
            <w:color w:val="0000EE"/>
            <w:u w:val="single"/>
          </w:rPr>
          <w:t>1 Coríntios 7.31</w:t>
        </w:r>
      </w:hyperlink>
      <w:r>
        <w:t>). O conceito de nova criação está ligado ao reino de Deus, um tema central nos ensinamentos de Jesus nos Evangelhos Sinópticos. O reino, ligado à obra de Jesus, é tanto presente (</w:t>
      </w:r>
      <w:hyperlink r:id="rId11825">
        <w:r>
          <w:rPr>
            <w:color w:val="0000EE"/>
            <w:u w:val="single"/>
          </w:rPr>
          <w:t>Mateus 12.28</w:t>
        </w:r>
      </w:hyperlink>
      <w:r>
        <w:t xml:space="preserve">; </w:t>
      </w:r>
      <w:hyperlink r:id="rId7643">
        <w:r>
          <w:rPr>
            <w:color w:val="0000EE"/>
            <w:u w:val="single"/>
          </w:rPr>
          <w:t>13.11,16–17</w:t>
        </w:r>
      </w:hyperlink>
      <w:r>
        <w:t>) quanto futuro (</w:t>
      </w:r>
      <w:hyperlink r:id="rId15291">
        <w:r>
          <w:rPr>
            <w:color w:val="0000EE"/>
            <w:u w:val="single"/>
          </w:rPr>
          <w:t>Mateus 8.11</w:t>
        </w:r>
      </w:hyperlink>
      <w:r>
        <w:t xml:space="preserve">; </w:t>
      </w:r>
      <w:hyperlink r:id="rId10546">
        <w:r>
          <w:rPr>
            <w:color w:val="0000EE"/>
            <w:u w:val="single"/>
          </w:rPr>
          <w:t>25.34</w:t>
        </w:r>
      </w:hyperlink>
      <w:r>
        <w:t xml:space="preserve">). O judaísmo, Jesus e a igreja primitiva (veja </w:t>
      </w:r>
      <w:hyperlink r:id="rId3820">
        <w:r>
          <w:rPr>
            <w:color w:val="0000EE"/>
            <w:u w:val="single"/>
          </w:rPr>
          <w:t>Mateus 12.32</w:t>
        </w:r>
      </w:hyperlink>
      <w:r>
        <w:t xml:space="preserve">; </w:t>
      </w:r>
      <w:hyperlink r:id="rId15292">
        <w:r>
          <w:rPr>
            <w:color w:val="0000EE"/>
            <w:u w:val="single"/>
          </w:rPr>
          <w:t>Efésios 1.21</w:t>
        </w:r>
      </w:hyperlink>
      <w:r>
        <w:t>) falavam de duas eras: esta era e a "era vindoura". Eles viam a "era vindoura" como a nova criação. O termo "nova criação" significa uma transformação completa. Sugere que a redenção significa renovar tudo (</w:t>
      </w:r>
      <w:hyperlink r:id="rId10718">
        <w:r>
          <w:rPr>
            <w:color w:val="0000EE"/>
            <w:u w:val="single"/>
          </w:rPr>
          <w:t>Apocalipse 21.5</w:t>
        </w:r>
      </w:hyperlink>
      <w:r>
        <w:t>).</w:t>
      </w:r>
    </w:p>
    <w:p>
      <w:r/>
      <w:r>
        <w:rPr>
          <w:b/>
        </w:rPr>
        <w:t>Nova criação e a Igreja</w:t>
      </w:r>
    </w:p>
    <w:p>
      <w:r/>
      <w:r>
        <w:t>No Novo Testamento, os crentes se unem a Cristo e desfrutam de sua salvação. Como Cristo morreu e ressuscitou, unir-se a ele significa tornar-se parte de uma nova criação (</w:t>
      </w:r>
      <w:hyperlink r:id="rId14826">
        <w:r>
          <w:rPr>
            <w:color w:val="0000EE"/>
            <w:u w:val="single"/>
          </w:rPr>
          <w:t>2 Coríntios 5.15</w:t>
        </w:r>
      </w:hyperlink>
      <w:r>
        <w:t>). Esta nova criação, vista no contexto da reconciliação, é tanto pessoal quanto cósmica (</w:t>
      </w:r>
      <w:hyperlink r:id="rId15293">
        <w:r>
          <w:rPr>
            <w:color w:val="0000EE"/>
            <w:u w:val="single"/>
          </w:rPr>
          <w:t>2 Coríntios 5.17–19</w:t>
        </w:r>
      </w:hyperlink>
      <w:r>
        <w:t>).</w:t>
      </w:r>
    </w:p>
    <w:p>
      <w:r/>
      <w:r>
        <w:t xml:space="preserve">Na única outra ocorrência no Novo Testamento da expressão "nova criação", que está em </w:t>
      </w:r>
      <w:hyperlink r:id="rId375">
        <w:r>
          <w:rPr>
            <w:color w:val="0000EE"/>
            <w:u w:val="single"/>
          </w:rPr>
          <w:t>Gálatas 6.15</w:t>
        </w:r>
      </w:hyperlink>
      <w:r>
        <w:t>, o contexto é cósmico e pessoal. Os crentes unidos com Cristo em sua crucificação agora pertencem a uma nova criação. Aqui, distinções como circuncisão são irrelevantes. A nova criação é contra o mundo, e o crente foi crucificado com Cristo (</w:t>
      </w:r>
      <w:hyperlink r:id="rId6351">
        <w:r>
          <w:rPr>
            <w:color w:val="0000EE"/>
            <w:u w:val="single"/>
          </w:rPr>
          <w:t>Gálatas 6.14</w:t>
        </w:r>
      </w:hyperlink>
      <w:r>
        <w:t xml:space="preserve">; compare </w:t>
      </w:r>
      <w:hyperlink r:id="rId5130">
        <w:r>
          <w:rPr>
            <w:color w:val="0000EE"/>
            <w:u w:val="single"/>
          </w:rPr>
          <w:t>Colossenses 2.20</w:t>
        </w:r>
      </w:hyperlink>
      <w:r>
        <w:t>). “Portanto, se alguém está em Cristo, é uma nova criação. O velho passou. Eis que o novo chegou!” (</w:t>
      </w:r>
      <w:hyperlink r:id="rId374">
        <w:r>
          <w:rPr>
            <w:color w:val="0000EE"/>
            <w:u w:val="single"/>
          </w:rPr>
          <w:t>2 Coríntios 5.17</w:t>
        </w:r>
      </w:hyperlink>
      <w:r>
        <w:t>).</w:t>
      </w:r>
    </w:p>
    <w:p>
      <w:r/>
      <w:r>
        <w:t>A ressurreição não é apenas uma esperança futura para os crentes, mas uma realidade presente; eles já foram ressuscitados com Cristo (</w:t>
      </w:r>
      <w:hyperlink r:id="rId15294">
        <w:r>
          <w:rPr>
            <w:color w:val="0000EE"/>
            <w:u w:val="single"/>
          </w:rPr>
          <w:t>Efésios 2.5–6</w:t>
        </w:r>
      </w:hyperlink>
      <w:r>
        <w:t xml:space="preserve">; compare </w:t>
      </w:r>
      <w:hyperlink r:id="rId3214">
        <w:r>
          <w:rPr>
            <w:color w:val="0000EE"/>
            <w:u w:val="single"/>
          </w:rPr>
          <w:t>Colossenses 2.12–13</w:t>
        </w:r>
      </w:hyperlink>
      <w:r>
        <w:t xml:space="preserve">; </w:t>
      </w:r>
      <w:hyperlink r:id="rId4781">
        <w:r>
          <w:rPr>
            <w:color w:val="0000EE"/>
            <w:u w:val="single"/>
          </w:rPr>
          <w:t>3.1</w:t>
        </w:r>
      </w:hyperlink>
      <w:r>
        <w:t>). Os crentes são “criados em Cristo Jesus para fazer boas obras” (</w:t>
      </w:r>
      <w:hyperlink r:id="rId15295">
        <w:r>
          <w:rPr>
            <w:color w:val="0000EE"/>
            <w:u w:val="single"/>
          </w:rPr>
          <w:t>Efésios 2.10</w:t>
        </w:r>
      </w:hyperlink>
      <w:r>
        <w:t>). A igreja é a nova realidade da aliança, o "novo homem", composto por judeus e gentios (</w:t>
      </w:r>
      <w:hyperlink r:id="rId371">
        <w:r>
          <w:rPr>
            <w:color w:val="0000EE"/>
            <w:u w:val="single"/>
          </w:rPr>
          <w:t>Efésios 2.15</w:t>
        </w:r>
      </w:hyperlink>
      <w:r>
        <w:t>). O Espírito Santo renova seus membros (</w:t>
      </w:r>
      <w:hyperlink r:id="rId15296">
        <w:r>
          <w:rPr>
            <w:color w:val="0000EE"/>
            <w:u w:val="single"/>
          </w:rPr>
          <w:t>2 Coríntios 4.16</w:t>
        </w:r>
      </w:hyperlink>
      <w:r>
        <w:t>). Eles começam a refletir a imagem de Cristo (</w:t>
      </w:r>
      <w:hyperlink r:id="rId370">
        <w:r>
          <w:rPr>
            <w:color w:val="0000EE"/>
            <w:u w:val="single"/>
          </w:rPr>
          <w:t>2 Coríntios 3.18</w:t>
        </w:r>
      </w:hyperlink>
      <w:r>
        <w:t xml:space="preserve">; </w:t>
      </w:r>
      <w:hyperlink r:id="rId8476">
        <w:r>
          <w:rPr>
            <w:color w:val="0000EE"/>
            <w:u w:val="single"/>
          </w:rPr>
          <w:t>4.4–6</w:t>
        </w:r>
      </w:hyperlink>
      <w:r>
        <w:t xml:space="preserve">; compare </w:t>
      </w:r>
      <w:hyperlink r:id="rId368">
        <w:r>
          <w:rPr>
            <w:color w:val="0000EE"/>
            <w:u w:val="single"/>
          </w:rPr>
          <w:t>Romanos 8.29</w:t>
        </w:r>
      </w:hyperlink>
      <w:r>
        <w:t xml:space="preserve">; </w:t>
      </w:r>
      <w:hyperlink r:id="rId372">
        <w:r>
          <w:rPr>
            <w:color w:val="0000EE"/>
            <w:u w:val="single"/>
          </w:rPr>
          <w:t>Efésios 4.24</w:t>
        </w:r>
      </w:hyperlink>
      <w:r>
        <w:t xml:space="preserve">; </w:t>
      </w:r>
      <w:hyperlink r:id="rId6842">
        <w:r>
          <w:rPr>
            <w:color w:val="0000EE"/>
            <w:u w:val="single"/>
          </w:rPr>
          <w:t>Colossenses 3.10</w:t>
        </w:r>
      </w:hyperlink>
      <w:r>
        <w:t>). Este processo será concluído no retorno de Cristo (</w:t>
      </w:r>
      <w:hyperlink r:id="rId369">
        <w:r>
          <w:rPr>
            <w:color w:val="0000EE"/>
            <w:u w:val="single"/>
          </w:rPr>
          <w:t>1 Coríntios 15.49</w:t>
        </w:r>
      </w:hyperlink>
      <w:r>
        <w:t>). A imagem de Cristo se forma completamente nos crentes. A ética do Novo Testamento deriva desta nova criação. Os crentes são instados a viver de acordo com sua nova identidade em Cristo (</w:t>
      </w:r>
      <w:hyperlink r:id="rId7317">
        <w:r>
          <w:rPr>
            <w:color w:val="0000EE"/>
            <w:u w:val="single"/>
          </w:rPr>
          <w:t>Romanos 12.2</w:t>
        </w:r>
      </w:hyperlink>
      <w:r>
        <w:t xml:space="preserve">; </w:t>
      </w:r>
      <w:hyperlink r:id="rId5130">
        <w:r>
          <w:rPr>
            <w:color w:val="0000EE"/>
            <w:u w:val="single"/>
          </w:rPr>
          <w:t>Colossenses 2.20</w:t>
        </w:r>
      </w:hyperlink>
      <w:r>
        <w:t>).</w:t>
      </w:r>
    </w:p>
    <w:p>
      <w:r/>
      <w:r>
        <w:rPr>
          <w:b/>
        </w:rPr>
        <w:t>O futuro da Nova criação</w:t>
      </w:r>
    </w:p>
    <w:p>
      <w:r/>
      <w:r>
        <w:t>Enquanto a nova criação é uma realidade presente, também é uma esperança futura. Os crentes vivem "por fé, não por vista" (</w:t>
      </w:r>
      <w:hyperlink r:id="rId15297">
        <w:r>
          <w:rPr>
            <w:color w:val="0000EE"/>
            <w:u w:val="single"/>
          </w:rPr>
          <w:t>2 Coríntios 5.7</w:t>
        </w:r>
      </w:hyperlink>
      <w:r>
        <w:t>). Eles aguardam o retorno de Cristo e a profecia de Isaías de "um novo céu e uma nova terra, onde habita a justiça" (</w:t>
      </w:r>
      <w:hyperlink r:id="rId6708">
        <w:r>
          <w:rPr>
            <w:color w:val="0000EE"/>
            <w:u w:val="single"/>
          </w:rPr>
          <w:t>2 Pedro 3.13</w:t>
        </w:r>
      </w:hyperlink>
      <w:r>
        <w:t xml:space="preserve">; </w:t>
      </w:r>
      <w:hyperlink r:id="rId15298">
        <w:r>
          <w:rPr>
            <w:color w:val="0000EE"/>
            <w:u w:val="single"/>
          </w:rPr>
          <w:t>Apocalipse 21.1–4</w:t>
        </w:r>
      </w:hyperlink>
      <w:r>
        <w:t>). Nesta nova criação, o pecado e seus efeitos não existirão mais.</w:t>
      </w:r>
    </w:p>
    <w:p>
      <w:r/>
      <w:r>
        <w:t xml:space="preserve">Essa esperança levanta questões sobre a ligação entre a ordem final e a criação original. </w:t>
      </w:r>
      <w:hyperlink r:id="rId15299">
        <w:r>
          <w:rPr>
            <w:color w:val="0000EE"/>
            <w:u w:val="single"/>
          </w:rPr>
          <w:t>2 Pedro 3.10–12</w:t>
        </w:r>
      </w:hyperlink>
      <w:r>
        <w:t xml:space="preserve"> e </w:t>
      </w:r>
      <w:hyperlink r:id="rId418">
        <w:r>
          <w:rPr>
            <w:color w:val="0000EE"/>
            <w:u w:val="single"/>
          </w:rPr>
          <w:t>Apocalipse 21</w:t>
        </w:r>
      </w:hyperlink>
      <w:r>
        <w:t xml:space="preserve"> e </w:t>
      </w:r>
      <w:hyperlink r:id="rId419">
        <w:r>
          <w:rPr>
            <w:color w:val="0000EE"/>
            <w:u w:val="single"/>
          </w:rPr>
          <w:t>22</w:t>
        </w:r>
      </w:hyperlink>
      <w:r>
        <w:t xml:space="preserve"> descrevem destruição pelo fogo. Eles sugerem um fim completo, pois não há sol, lua ou noite (veja </w:t>
      </w:r>
      <w:hyperlink r:id="rId15300">
        <w:r>
          <w:rPr>
            <w:color w:val="0000EE"/>
            <w:u w:val="single"/>
          </w:rPr>
          <w:t>Apocalipse 6.12–14</w:t>
        </w:r>
      </w:hyperlink>
      <w:r>
        <w:t>). Mas, alguns interpretam isso como figurativo. Corpos naturais e espirituais diferem antes e depois da ressurreição (</w:t>
      </w:r>
      <w:hyperlink r:id="rId5977">
        <w:r>
          <w:rPr>
            <w:color w:val="0000EE"/>
            <w:u w:val="single"/>
          </w:rPr>
          <w:t>1 Coríntios 15.44</w:t>
        </w:r>
      </w:hyperlink>
      <w:r>
        <w:t>). Mas eles permanecem conectados. O corpo, agora decaído e fraco, é enterrado em desonra. Ele ressurgirá, incorruptível, glorioso e poderoso. O mesmo se aplica à criação. Toda a criação anseia e geme não pela destruição. É pela liberdade da decadência. Visa compartilhar da glória dos filhos de Deus, revelada na ressurreição (</w:t>
      </w:r>
      <w:hyperlink r:id="rId15301">
        <w:r>
          <w:rPr>
            <w:color w:val="0000EE"/>
            <w:u w:val="single"/>
          </w:rPr>
          <w:t>Romanos 8.19–23</w:t>
        </w:r>
      </w:hyperlink>
      <w:r>
        <w:t>). A nova criação não é apenas um retorno ao passado. É uma renovação, o auge dos planos de Deus. Foi realizada através da redenção de Cristo, apesar do pecado humano e seus efeitos.</w:t>
      </w:r>
    </w:p>
    <w:p>
      <w:r/>
      <w:r>
        <w:rPr>
          <w:i/>
        </w:rPr>
        <w:t>Veja</w:t>
      </w:r>
      <w:r>
        <w:t xml:space="preserve"> </w:t>
      </w:r>
      <w:r>
        <w:t>Adão (Pessoa)</w:t>
      </w:r>
      <w:r>
        <w:t xml:space="preserve">; </w:t>
      </w:r>
      <w:r>
        <w:t>Criação</w:t>
      </w:r>
      <w:r>
        <w:t xml:space="preserve">; </w:t>
      </w:r>
      <w:r>
        <w:t>Vida Eterna</w:t>
      </w:r>
      <w:r>
        <w:t xml:space="preserve">; </w:t>
      </w:r>
      <w:r>
        <w:t>Homem, Velho e Novo</w:t>
      </w:r>
      <w:r>
        <w:t xml:space="preserve">; </w:t>
      </w:r>
      <w:r>
        <w:t>Novo</w:t>
      </w:r>
      <w:r>
        <w:t xml:space="preserve">; </w:t>
      </w:r>
      <w:r>
        <w:t>Novos Céus e Nova Terra</w:t>
      </w:r>
      <w:r>
        <w:t>.</w:t>
      </w:r>
      <w:r/>
      <w:r/>
    </w:p>
    <w:p>
      <w:r/>
    </w:p>
    <w:p>
      <w:pPr>
        <w:pStyle w:val="Heading2"/>
      </w:pPr>
      <w:r>
        <w:t>Novo</w:t>
      </w:r>
      <w:r/>
    </w:p>
    <w:p>
      <w:r/>
      <w:r>
        <w:t>Algo que acabou de ser criado ou surgiu. O novo frequentemente substitui algo que já existia, transformando o velho em novo.</w:t>
      </w:r>
    </w:p>
    <w:p>
      <w:r/>
      <w:r>
        <w:t xml:space="preserve">O fato de a segunda parte da Bíblia ser chamada de </w:t>
      </w:r>
      <w:r>
        <w:rPr>
          <w:i/>
        </w:rPr>
        <w:t>Novo</w:t>
      </w:r>
      <w:r>
        <w:t xml:space="preserve"> Testamento destaca a importância da ideia de "novo" para a revelação bíblica. Muitas ideias teológicas importantes incluem o conceito de novo:</w:t>
      </w:r>
    </w:p>
    <w:p>
      <w:pPr>
        <w:pStyle w:val="ListBullet"/>
        <w:spacing w:line="240" w:lineRule="auto"/>
        <w:ind w:left="720"/>
      </w:pPr>
      <w:r/>
      <w:r>
        <w:t>nova criação (</w:t>
      </w:r>
      <w:hyperlink r:id="rId374">
        <w:r>
          <w:rPr>
            <w:color w:val="0000EE"/>
            <w:u w:val="single"/>
          </w:rPr>
          <w:t>2Co 5.17</w:t>
        </w:r>
      </w:hyperlink>
      <w:r>
        <w:t>),</w:t>
      </w:r>
    </w:p>
    <w:p>
      <w:pPr>
        <w:pStyle w:val="ListBullet"/>
        <w:spacing w:line="240" w:lineRule="auto"/>
        <w:ind w:left="720"/>
      </w:pPr>
      <w:r/>
      <w:r>
        <w:t>novo nascimento (</w:t>
      </w:r>
      <w:hyperlink r:id="rId15302">
        <w:r>
          <w:rPr>
            <w:color w:val="0000EE"/>
            <w:u w:val="single"/>
          </w:rPr>
          <w:t>Jo 3.3</w:t>
        </w:r>
      </w:hyperlink>
      <w:r>
        <w:t>),</w:t>
      </w:r>
    </w:p>
    <w:p>
      <w:pPr>
        <w:pStyle w:val="ListBullet"/>
        <w:spacing w:line="240" w:lineRule="auto"/>
        <w:ind w:left="720"/>
      </w:pPr>
      <w:r/>
      <w:r>
        <w:t>novo homem (</w:t>
      </w:r>
      <w:hyperlink r:id="rId371">
        <w:r>
          <w:rPr>
            <w:color w:val="0000EE"/>
            <w:u w:val="single"/>
          </w:rPr>
          <w:t>Ef 2.15</w:t>
        </w:r>
      </w:hyperlink>
      <w:r>
        <w:t xml:space="preserve">; </w:t>
      </w:r>
      <w:hyperlink r:id="rId6842">
        <w:r>
          <w:rPr>
            <w:color w:val="0000EE"/>
            <w:u w:val="single"/>
          </w:rPr>
          <w:t>Cl 3.10</w:t>
        </w:r>
      </w:hyperlink>
      <w:r>
        <w:t>),</w:t>
      </w:r>
    </w:p>
    <w:p>
      <w:pPr>
        <w:pStyle w:val="ListBullet"/>
        <w:spacing w:line="240" w:lineRule="auto"/>
        <w:ind w:left="720"/>
      </w:pPr>
      <w:r/>
      <w:r>
        <w:t>novo mandamento (</w:t>
      </w:r>
      <w:hyperlink r:id="rId1197">
        <w:r>
          <w:rPr>
            <w:color w:val="0000EE"/>
            <w:u w:val="single"/>
          </w:rPr>
          <w:t>Jo 13.34</w:t>
        </w:r>
      </w:hyperlink>
      <w:r>
        <w:t>),</w:t>
      </w:r>
    </w:p>
    <w:p>
      <w:pPr>
        <w:pStyle w:val="ListBullet"/>
        <w:spacing w:line="240" w:lineRule="auto"/>
        <w:ind w:left="720"/>
      </w:pPr>
      <w:r/>
      <w:r>
        <w:t>nova aliança (</w:t>
      </w:r>
      <w:hyperlink r:id="rId822">
        <w:r>
          <w:rPr>
            <w:color w:val="0000EE"/>
            <w:u w:val="single"/>
          </w:rPr>
          <w:t>Jr 31.31</w:t>
        </w:r>
      </w:hyperlink>
      <w:r>
        <w:t>),</w:t>
      </w:r>
    </w:p>
    <w:p>
      <w:pPr>
        <w:pStyle w:val="ListBullet"/>
        <w:spacing w:line="240" w:lineRule="auto"/>
        <w:ind w:left="720"/>
      </w:pPr>
      <w:r/>
      <w:r>
        <w:t>nova vida (</w:t>
      </w:r>
      <w:hyperlink r:id="rId15303">
        <w:r>
          <w:rPr>
            <w:color w:val="0000EE"/>
            <w:u w:val="single"/>
          </w:rPr>
          <w:t>Rm 6.4</w:t>
        </w:r>
      </w:hyperlink>
      <w:r>
        <w:t>), e vários outros.</w:t>
      </w:r>
    </w:p>
    <w:p>
      <w:pPr>
        <w:pStyle w:val="Heading3"/>
      </w:pPr>
      <w:r>
        <w:t>A expectativa do novo</w:t>
      </w:r>
    </w:p>
    <w:p>
      <w:r/>
      <w:r>
        <w:t xml:space="preserve">A totalidade da expectativa do </w:t>
      </w:r>
      <w:r>
        <w:rPr>
          <w:i/>
        </w:rPr>
        <w:t>novo</w:t>
      </w:r>
      <w:r>
        <w:t xml:space="preserve"> é melhor expressa em Jeremias, Ezequiel e nos Salmos. A referência no Saltério ao "novo cântico" a ser dado ao povo para cantar é uma metáfora central (por exemplo, </w:t>
      </w:r>
      <w:hyperlink r:id="rId15304">
        <w:r>
          <w:rPr>
            <w:color w:val="0000EE"/>
            <w:u w:val="single"/>
          </w:rPr>
          <w:t>Sl 33.3</w:t>
        </w:r>
      </w:hyperlink>
      <w:r>
        <w:t xml:space="preserve">; </w:t>
      </w:r>
      <w:hyperlink r:id="rId15305">
        <w:r>
          <w:rPr>
            <w:color w:val="0000EE"/>
            <w:u w:val="single"/>
          </w:rPr>
          <w:t>40.3</w:t>
        </w:r>
      </w:hyperlink>
      <w:r>
        <w:t xml:space="preserve">; </w:t>
      </w:r>
      <w:hyperlink r:id="rId10171">
        <w:r>
          <w:rPr>
            <w:color w:val="0000EE"/>
            <w:u w:val="single"/>
          </w:rPr>
          <w:t>149.1</w:t>
        </w:r>
      </w:hyperlink>
      <w:r>
        <w:t xml:space="preserve">; compare também </w:t>
      </w:r>
      <w:hyperlink r:id="rId14917">
        <w:r>
          <w:rPr>
            <w:color w:val="0000EE"/>
            <w:u w:val="single"/>
          </w:rPr>
          <w:t>Is 42.10</w:t>
        </w:r>
      </w:hyperlink>
      <w:r>
        <w:t>). Jeremias fala do dia em que Deus fará uma nova aliança (acordo especial) com a casa de Israel (</w:t>
      </w:r>
      <w:hyperlink r:id="rId833">
        <w:r>
          <w:rPr>
            <w:color w:val="0000EE"/>
            <w:u w:val="single"/>
          </w:rPr>
          <w:t>Jr 31.31–34</w:t>
        </w:r>
      </w:hyperlink>
      <w:r>
        <w:t xml:space="preserve">; cp. </w:t>
      </w:r>
      <w:hyperlink r:id="rId15306">
        <w:r>
          <w:rPr>
            <w:color w:val="0000EE"/>
            <w:u w:val="single"/>
          </w:rPr>
          <w:t>Ez 34.25–31</w:t>
        </w:r>
      </w:hyperlink>
      <w:r>
        <w:t xml:space="preserve">; </w:t>
      </w:r>
      <w:hyperlink r:id="rId15307">
        <w:r>
          <w:rPr>
            <w:color w:val="0000EE"/>
            <w:u w:val="single"/>
          </w:rPr>
          <w:t>37.26–28</w:t>
        </w:r>
      </w:hyperlink>
      <w:r>
        <w:t>). Em contraste com a antiga, esta nova aliança será interna, escrita no coração. Ezequiel (</w:t>
      </w:r>
      <w:hyperlink r:id="rId15308">
        <w:r>
          <w:rPr>
            <w:color w:val="0000EE"/>
            <w:u w:val="single"/>
          </w:rPr>
          <w:t>Ez 36.22–32</w:t>
        </w:r>
      </w:hyperlink>
      <w:r>
        <w:t>) também fala do dia em que Deus purificará seu povo e dará um coração de carne em lugar do coração de pedra.</w:t>
      </w:r>
    </w:p>
    <w:p>
      <w:r/>
      <w:r>
        <w:t>Este ato da santidade de Deus introduzirá a era do Espírito. Ele trará uma nova existência, caracterizada por segurança e liberdade, onde as leis de Deus são seguidas. A característica suprema deste novo tempo é o novo espírito dentro das pessoas (</w:t>
      </w:r>
      <w:hyperlink r:id="rId5686">
        <w:r>
          <w:rPr>
            <w:color w:val="0000EE"/>
            <w:u w:val="single"/>
          </w:rPr>
          <w:t>Ez 11.19</w:t>
        </w:r>
      </w:hyperlink>
      <w:r>
        <w:t>). Joel também fala daquele dia em que o Espírito de Deus será derramado sobre toda a carne (</w:t>
      </w:r>
      <w:hyperlink r:id="rId4970">
        <w:r>
          <w:rPr>
            <w:color w:val="0000EE"/>
            <w:u w:val="single"/>
          </w:rPr>
          <w:t>Jl 2.28</w:t>
        </w:r>
      </w:hyperlink>
      <w:r>
        <w:t xml:space="preserve">). </w:t>
      </w:r>
      <w:hyperlink r:id="rId14246">
        <w:r>
          <w:rPr>
            <w:color w:val="0000EE"/>
            <w:u w:val="single"/>
          </w:rPr>
          <w:t>Isaías 65.17</w:t>
        </w:r>
      </w:hyperlink>
      <w:r>
        <w:t xml:space="preserve"> declara a promessa de "novos céus e uma nova terra". As palavras de Isaías frequentemente refletem circunstâncias e esperanças nacionais (por exemplo, após o exílio). No entanto, esta promessa adquiriu um novo significado além da esperança da nação de Israel.</w:t>
      </w:r>
    </w:p>
    <w:p>
      <w:pPr>
        <w:pStyle w:val="Heading3"/>
      </w:pPr>
      <w:r>
        <w:t>A chegada do novo</w:t>
      </w:r>
    </w:p>
    <w:p>
      <w:r/>
      <w:r>
        <w:t>A presença do reino no mundo através de Jesus anuncia que a nova era prometida irrompeu no tempo de maneiras poderosas. O ministério de Jesus é um cumprimento. O que os profetas prometeram começou a acontecer. João Batista havia preparado o caminho para aquele que daria o Espírito prometido. A doação deste Espírito é a doação de uma nova vida. Através da fé em Cristo, alguém nasce de novo (</w:t>
      </w:r>
      <w:hyperlink r:id="rId15309">
        <w:r>
          <w:rPr>
            <w:color w:val="0000EE"/>
            <w:u w:val="single"/>
          </w:rPr>
          <w:t>Jo 3.3–7</w:t>
        </w:r>
      </w:hyperlink>
      <w:r>
        <w:t>). Mas Jesus teve que morrer para que essa nova vida fosse dada. O cálice de vinho que Jesus compartilhou com seus discípulos na Santa Ceia simbolizava o sangue da nova aliança (</w:t>
      </w:r>
      <w:hyperlink r:id="rId857">
        <w:r>
          <w:rPr>
            <w:color w:val="0000EE"/>
            <w:u w:val="single"/>
          </w:rPr>
          <w:t>Mc 14.24</w:t>
        </w:r>
      </w:hyperlink>
      <w:r>
        <w:t>).</w:t>
      </w:r>
    </w:p>
    <w:p>
      <w:r/>
      <w:r>
        <w:t>A igreja primitiva destacou essa importância utilizando várias metáforas:</w:t>
      </w:r>
    </w:p>
    <w:p>
      <w:pPr>
        <w:pStyle w:val="ListBullet"/>
        <w:spacing w:line="240" w:lineRule="auto"/>
        <w:ind w:left="720"/>
      </w:pPr>
      <w:r/>
      <w:r>
        <w:t>Esta "novidade de vida" é demonstrada através do batismo (</w:t>
      </w:r>
      <w:hyperlink r:id="rId15303">
        <w:r>
          <w:rPr>
            <w:color w:val="0000EE"/>
            <w:u w:val="single"/>
          </w:rPr>
          <w:t>Rm 6.4</w:t>
        </w:r>
      </w:hyperlink>
      <w:r>
        <w:t>).</w:t>
      </w:r>
    </w:p>
    <w:p>
      <w:pPr>
        <w:pStyle w:val="ListBullet"/>
        <w:spacing w:line="240" w:lineRule="auto"/>
        <w:ind w:left="720"/>
      </w:pPr>
      <w:r/>
      <w:r>
        <w:t>O cálice eucarístico é a nova aliança através do sangue (</w:t>
      </w:r>
      <w:hyperlink r:id="rId851">
        <w:r>
          <w:rPr>
            <w:color w:val="0000EE"/>
            <w:u w:val="single"/>
          </w:rPr>
          <w:t>1Co 11.25</w:t>
        </w:r>
      </w:hyperlink>
      <w:r>
        <w:t>).</w:t>
      </w:r>
    </w:p>
    <w:p>
      <w:pPr>
        <w:pStyle w:val="ListBullet"/>
        <w:spacing w:line="240" w:lineRule="auto"/>
        <w:ind w:left="720"/>
      </w:pPr>
      <w:r/>
      <w:r>
        <w:t>Um discurso prolongado sobre os antigos e novos pactos mostra que, pelo derramamento de seu sangue, Cristo se tornou mediador de um novo pacto (</w:t>
      </w:r>
      <w:hyperlink r:id="rId854">
        <w:r>
          <w:rPr>
            <w:color w:val="0000EE"/>
            <w:u w:val="single"/>
          </w:rPr>
          <w:t>Hb 9.15</w:t>
        </w:r>
      </w:hyperlink>
      <w:r>
        <w:t>).</w:t>
      </w:r>
    </w:p>
    <w:p>
      <w:pPr>
        <w:pStyle w:val="ListBullet"/>
        <w:spacing w:line="240" w:lineRule="auto"/>
        <w:ind w:left="720"/>
      </w:pPr>
      <w:r/>
      <w:r>
        <w:t>Pelo seu sangue, Jesus abriu um novo e vivo caminho para o Lugar Santo (</w:t>
      </w:r>
      <w:hyperlink r:id="rId409">
        <w:r>
          <w:rPr>
            <w:color w:val="0000EE"/>
            <w:u w:val="single"/>
          </w:rPr>
          <w:t>10.19–20</w:t>
        </w:r>
      </w:hyperlink>
      <w:r>
        <w:t>).</w:t>
      </w:r>
    </w:p>
    <w:p>
      <w:pPr>
        <w:pStyle w:val="ListBullet"/>
        <w:spacing w:line="240" w:lineRule="auto"/>
        <w:ind w:left="720"/>
      </w:pPr>
      <w:r/>
      <w:r>
        <w:t>Paulo reafirma a promessa de Ezequiel de um coração de carne (</w:t>
      </w:r>
      <w:hyperlink r:id="rId869">
        <w:r>
          <w:rPr>
            <w:color w:val="0000EE"/>
            <w:u w:val="single"/>
          </w:rPr>
          <w:t>2Co 3.3</w:t>
        </w:r>
      </w:hyperlink>
      <w:r>
        <w:t>). Ele então apresenta um relato do ministério da nova aliança em contraste com a antiga.</w:t>
      </w:r>
    </w:p>
    <w:p>
      <w:pPr>
        <w:pStyle w:val="ListBullet"/>
        <w:spacing w:line="240" w:lineRule="auto"/>
        <w:ind w:left="720"/>
      </w:pPr>
      <w:r/>
      <w:r>
        <w:t>A igreja representa a manifestação da nova era no contexto da antiga.</w:t>
      </w:r>
    </w:p>
    <w:p>
      <w:pPr>
        <w:pStyle w:val="ListBullet"/>
        <w:spacing w:line="240" w:lineRule="auto"/>
        <w:ind w:left="720"/>
      </w:pPr>
      <w:r/>
      <w:r>
        <w:t>Aquele que vem a Cristo pela fé é declarado uma nova pessoa, uma nova criação, para quem o velho já passou (</w:t>
      </w:r>
      <w:hyperlink r:id="rId374">
        <w:r>
          <w:rPr>
            <w:color w:val="0000EE"/>
            <w:u w:val="single"/>
          </w:rPr>
          <w:t>2Co 5.17</w:t>
        </w:r>
      </w:hyperlink>
      <w:r>
        <w:t xml:space="preserve">; </w:t>
      </w:r>
      <w:hyperlink r:id="rId375">
        <w:r>
          <w:rPr>
            <w:color w:val="0000EE"/>
            <w:u w:val="single"/>
          </w:rPr>
          <w:t>Gl 6.15</w:t>
        </w:r>
      </w:hyperlink>
      <w:r>
        <w:t>).</w:t>
      </w:r>
    </w:p>
    <w:p>
      <w:pPr>
        <w:pStyle w:val="ListBullet"/>
        <w:spacing w:line="240" w:lineRule="auto"/>
        <w:ind w:left="720"/>
      </w:pPr>
      <w:r/>
      <w:r>
        <w:t>A hostilidade entre judeus e gentios desaparece na resultante "novo povo" (</w:t>
      </w:r>
      <w:hyperlink r:id="rId371">
        <w:r>
          <w:rPr>
            <w:color w:val="0000EE"/>
            <w:u w:val="single"/>
          </w:rPr>
          <w:t>Ef 2.15</w:t>
        </w:r>
      </w:hyperlink>
      <w:r>
        <w:t>).</w:t>
      </w:r>
    </w:p>
    <w:p>
      <w:pPr>
        <w:pStyle w:val="ListBullet"/>
        <w:spacing w:line="240" w:lineRule="auto"/>
        <w:ind w:left="720"/>
      </w:pPr>
      <w:r/>
      <w:r>
        <w:t>Todas as outras distinções sociais (como homem/mulher, escravo/livre) desaparecem na nova humanidade criada em Cristo Jesus (</w:t>
      </w:r>
      <w:hyperlink r:id="rId15310">
        <w:r>
          <w:rPr>
            <w:color w:val="0000EE"/>
            <w:u w:val="single"/>
          </w:rPr>
          <w:t>Cl 3.10–11</w:t>
        </w:r>
      </w:hyperlink>
      <w:r>
        <w:t>).</w:t>
      </w:r>
    </w:p>
    <w:p>
      <w:r/>
      <w:r>
        <w:t>A novidade de uma pessoa em Cristo é a base para a ética do Novo Testamento (</w:t>
      </w:r>
      <w:hyperlink r:id="rId372">
        <w:r>
          <w:rPr>
            <w:color w:val="0000EE"/>
            <w:u w:val="single"/>
          </w:rPr>
          <w:t>Ef 4.24</w:t>
        </w:r>
      </w:hyperlink>
      <w:r>
        <w:t xml:space="preserve">; </w:t>
      </w:r>
      <w:hyperlink r:id="rId3852">
        <w:r>
          <w:rPr>
            <w:color w:val="0000EE"/>
            <w:u w:val="single"/>
          </w:rPr>
          <w:t>Cl 3.12</w:t>
        </w:r>
      </w:hyperlink>
      <w:r>
        <w:t>). O novo mandamento (</w:t>
      </w:r>
      <w:hyperlink r:id="rId1197">
        <w:r>
          <w:rPr>
            <w:color w:val="0000EE"/>
            <w:u w:val="single"/>
          </w:rPr>
          <w:t>Jo 13.34</w:t>
        </w:r>
      </w:hyperlink>
      <w:r>
        <w:t xml:space="preserve">; </w:t>
      </w:r>
      <w:hyperlink r:id="rId13504">
        <w:r>
          <w:rPr>
            <w:color w:val="0000EE"/>
            <w:u w:val="single"/>
          </w:rPr>
          <w:t>1Jo 2.8</w:t>
        </w:r>
      </w:hyperlink>
      <w:r>
        <w:t>) não é realmente novo (</w:t>
      </w:r>
      <w:hyperlink r:id="rId15311">
        <w:r>
          <w:rPr>
            <w:color w:val="0000EE"/>
            <w:u w:val="single"/>
          </w:rPr>
          <w:t>1Jo 2.7</w:t>
        </w:r>
      </w:hyperlink>
      <w:r>
        <w:t xml:space="preserve">), mas agora tem uma nova possibilidade e um significado mais profundo pelo poder e exemplo de Jesus. Embora esta nova vida seja um presente de Deus, o </w:t>
      </w:r>
      <w:r>
        <w:rPr>
          <w:i/>
        </w:rPr>
        <w:t>processo</w:t>
      </w:r>
      <w:r>
        <w:t xml:space="preserve"> de ser renovado continua. A transformação pela renovação da mente (</w:t>
      </w:r>
      <w:hyperlink r:id="rId7317">
        <w:r>
          <w:rPr>
            <w:color w:val="0000EE"/>
            <w:u w:val="single"/>
          </w:rPr>
          <w:t>Rm 12.2</w:t>
        </w:r>
      </w:hyperlink>
      <w:r>
        <w:t>) realiza a vontade de Deus. Paulo declara que o eu interior está sendo renovado dia após dia (</w:t>
      </w:r>
      <w:hyperlink r:id="rId15296">
        <w:r>
          <w:rPr>
            <w:color w:val="0000EE"/>
            <w:u w:val="single"/>
          </w:rPr>
          <w:t>2Co 4.16</w:t>
        </w:r>
      </w:hyperlink>
      <w:r>
        <w:t>).</w:t>
      </w:r>
    </w:p>
    <w:p>
      <w:pPr>
        <w:pStyle w:val="Heading3"/>
      </w:pPr>
      <w:r>
        <w:t>A concretização do novo</w:t>
      </w:r>
    </w:p>
    <w:p>
      <w:r/>
      <w:r>
        <w:t>Tão real quanto a nova vida do crente é, a Escritura mostra uma tensão entre a nova era que ainda não foi realizada. O tempo em que todas as coisas são feitas novas é uma promessa futura (</w:t>
      </w:r>
      <w:hyperlink r:id="rId10718">
        <w:r>
          <w:rPr>
            <w:color w:val="0000EE"/>
            <w:u w:val="single"/>
          </w:rPr>
          <w:t>Ap 21.5</w:t>
        </w:r>
      </w:hyperlink>
      <w:r>
        <w:t xml:space="preserve">). Com o fim do antigo, há um novo céu e uma nova terra. A nova Jerusalém "que descia do céu" como a morada de Deus (versículo </w:t>
      </w:r>
      <w:hyperlink r:id="rId461">
        <w:r>
          <w:rPr>
            <w:color w:val="0000EE"/>
            <w:u w:val="single"/>
          </w:rPr>
          <w:t>2</w:t>
        </w:r>
      </w:hyperlink>
      <w:r>
        <w:t>). O povo de Deus recebe um novo nome (</w:t>
      </w:r>
      <w:hyperlink r:id="rId2168">
        <w:r>
          <w:rPr>
            <w:color w:val="0000EE"/>
            <w:u w:val="single"/>
          </w:rPr>
          <w:t>3.12</w:t>
        </w:r>
      </w:hyperlink>
      <w:r>
        <w:t>) à medida que as coisas antigas desaparecem.</w:t>
      </w:r>
    </w:p>
    <w:p>
      <w:r/>
      <w:r>
        <w:t>As pessoas que são os redimidos do Senhor recebem uma nova canção para cantar. A canção é sobre o Cordeiro que foi imolado desde o início da criação:</w:t>
      </w:r>
    </w:p>
    <w:p>
      <w:r/>
      <w:r>
        <w:t>A primeira linha da canção é "O Cordeiro que foi morto é digno de receber poder, riqueza, sabedoria e força, honra, glória e louvor!" O refrão retorna, "Ao que está sentado no trono e ao Cordeiro pertencem o louvor, a honra, a glória e o poder para todo o sempre!" (</w:t>
      </w:r>
      <w:hyperlink r:id="rId15312">
        <w:r>
          <w:rPr>
            <w:color w:val="0000EE"/>
            <w:u w:val="single"/>
          </w:rPr>
          <w:t>Ap 5.12–13</w:t>
        </w:r>
      </w:hyperlink>
      <w:r>
        <w:t>).</w:t>
      </w:r>
    </w:p>
    <w:p>
      <w:r/>
      <w:r>
        <w:rPr>
          <w:i/>
        </w:rPr>
        <w:t>Veja também</w:t>
      </w:r>
      <w:r>
        <w:t xml:space="preserve"> </w:t>
      </w:r>
      <w:r>
        <w:t>Mandamento, o Novo</w:t>
      </w:r>
      <w:r>
        <w:t xml:space="preserve">; </w:t>
      </w:r>
      <w:r>
        <w:t>Aliança, a Nova</w:t>
      </w:r>
      <w:r>
        <w:t xml:space="preserve">; </w:t>
      </w:r>
      <w:r>
        <w:t>Jerusalém, Nova</w:t>
      </w:r>
      <w:r>
        <w:t xml:space="preserve">; </w:t>
      </w:r>
      <w:r>
        <w:t>Homem, Velho e Novo</w:t>
      </w:r>
      <w:r>
        <w:t xml:space="preserve">; </w:t>
      </w:r>
      <w:r>
        <w:t>Nova Criação, Nova Criatura</w:t>
      </w:r>
      <w:r>
        <w:t xml:space="preserve">; </w:t>
      </w:r>
      <w:r>
        <w:t>Novos Céus e Nova Terra</w:t>
      </w:r>
      <w:r>
        <w:t xml:space="preserve">; </w:t>
      </w:r>
      <w:r>
        <w:t>Regeneração</w:t>
      </w:r>
      <w:r>
        <w:t>.</w:t>
      </w:r>
      <w:r/>
      <w:r/>
    </w:p>
    <w:p>
      <w:r/>
    </w:p>
    <w:p>
      <w:pPr>
        <w:pStyle w:val="Heading2"/>
      </w:pPr>
      <w:r>
        <w:t>Novos céus e nova terra</w:t>
      </w:r>
      <w:r/>
    </w:p>
    <w:p>
      <w:r/>
      <w:r>
        <w:t>O conceito de um universo novo ou renovado é encontrado pela primeira vez no livro de Isaías. Deus declara: “Pois eu estou criando um novo céu e uma nova terra; o passado será esquecido, e ninguém lembrará mais dele... Assim como o novo céu e a nova terra que eu vou criar durarão para sempre pelo meu poder, assim também durarão os nomes de vocês, e vocês sempre terão descendentes” (</w:t>
      </w:r>
      <w:hyperlink r:id="rId14246">
        <w:r>
          <w:rPr>
            <w:color w:val="0000EE"/>
            <w:u w:val="single"/>
          </w:rPr>
          <w:t>Is 65.17</w:t>
        </w:r>
      </w:hyperlink>
      <w:r>
        <w:t xml:space="preserve">; </w:t>
      </w:r>
      <w:hyperlink r:id="rId15282">
        <w:r>
          <w:rPr>
            <w:color w:val="0000EE"/>
            <w:u w:val="single"/>
          </w:rPr>
          <w:t>66.22</w:t>
        </w:r>
      </w:hyperlink>
      <w:r>
        <w:t>).</w:t>
      </w:r>
    </w:p>
    <w:p>
      <w:r/>
      <w:r>
        <w:t>Alguns estudiosos acreditam que, antes do tempo de Isaías, muitas culturas pensavam que o fim da história seria semelhante ao seu início. Isso resultaria em uma restauração universal. A Bíblia descreve uma renovação sobrenatural do mundo, que ocorre em um reino superior e distinto.</w:t>
      </w:r>
    </w:p>
    <w:p>
      <w:r/>
      <w:r>
        <w:t>A crença de que Deus é o Criador dos céus e da terra é central para todos os ensinamentos bíblicos. “No começo, criaste a terra e, com as tuas próprias mãos, fizeste o céu” (</w:t>
      </w:r>
      <w:hyperlink r:id="rId15313">
        <w:r>
          <w:rPr>
            <w:color w:val="0000EE"/>
            <w:u w:val="single"/>
          </w:rPr>
          <w:t>Sl 102.25</w:t>
        </w:r>
      </w:hyperlink>
      <w:r>
        <w:t>). Como Deus criou os céus e a terra, é apropriado que, uma vez que tenham cumprido seu propósito, Deus possa fazer com eles o que desejar. “A terra e o céu vão acabar, mas tu viverás para sempre. A terra e o céu se gastarão como roupas. Tu os trocarás como se troca de roupa, e eles serão jogados fora” (</w:t>
      </w:r>
      <w:hyperlink r:id="rId15314">
        <w:r>
          <w:rPr>
            <w:color w:val="0000EE"/>
            <w:u w:val="single"/>
          </w:rPr>
          <w:t>Sl 102.26</w:t>
        </w:r>
      </w:hyperlink>
      <w:r>
        <w:t xml:space="preserve">). A mesma metáfora é encontrada em </w:t>
      </w:r>
      <w:hyperlink r:id="rId15315">
        <w:r>
          <w:rPr>
            <w:color w:val="0000EE"/>
            <w:u w:val="single"/>
          </w:rPr>
          <w:t>Isaías 51.6</w:t>
        </w:r>
      </w:hyperlink>
      <w:r>
        <w:t>, onde a terra é descrita como se desgastando como uma roupa.</w:t>
      </w:r>
    </w:p>
    <w:p>
      <w:r/>
      <w:r>
        <w:t>A Bíblia discute o fim da velha ordem. Ela menciona um tempo em que o céu e a terra desaparecerão (</w:t>
      </w:r>
      <w:hyperlink r:id="rId11315">
        <w:r>
          <w:rPr>
            <w:color w:val="0000EE"/>
            <w:u w:val="single"/>
          </w:rPr>
          <w:t>Is 34.4</w:t>
        </w:r>
      </w:hyperlink>
      <w:r>
        <w:t xml:space="preserve">; </w:t>
      </w:r>
      <w:hyperlink r:id="rId15315">
        <w:r>
          <w:rPr>
            <w:color w:val="0000EE"/>
            <w:u w:val="single"/>
          </w:rPr>
          <w:t>51.6</w:t>
        </w:r>
      </w:hyperlink>
      <w:r>
        <w:t xml:space="preserve">; </w:t>
      </w:r>
      <w:hyperlink r:id="rId15316">
        <w:r>
          <w:rPr>
            <w:color w:val="0000EE"/>
            <w:u w:val="single"/>
          </w:rPr>
          <w:t>Mt 24.35</w:t>
        </w:r>
      </w:hyperlink>
      <w:r>
        <w:t xml:space="preserve">; </w:t>
      </w:r>
      <w:hyperlink r:id="rId2161">
        <w:r>
          <w:rPr>
            <w:color w:val="0000EE"/>
            <w:u w:val="single"/>
          </w:rPr>
          <w:t>Ap 21.1</w:t>
        </w:r>
      </w:hyperlink>
      <w:r>
        <w:t>). Várias frases expressam essa ideia:</w:t>
      </w:r>
    </w:p>
    <w:p>
      <w:pPr>
        <w:pStyle w:val="ListNumber"/>
        <w:spacing w:line="240" w:lineRule="auto"/>
        <w:ind w:left="720"/>
      </w:pPr>
      <w:r/>
      <w:r>
        <w:t>“O mundo passa” (</w:t>
      </w:r>
      <w:hyperlink r:id="rId5080">
        <w:r>
          <w:rPr>
            <w:color w:val="0000EE"/>
            <w:u w:val="single"/>
          </w:rPr>
          <w:t>1 João 2.17</w:t>
        </w:r>
      </w:hyperlink>
      <w:r>
        <w:t>)</w:t>
      </w:r>
    </w:p>
    <w:p>
      <w:pPr>
        <w:pStyle w:val="ListNumber"/>
        <w:spacing w:line="240" w:lineRule="auto"/>
        <w:ind w:left="720"/>
      </w:pPr>
      <w:r/>
      <w:r>
        <w:t>“A terra e o céu vão acabar... Eles ficarão velhos como roupa” (</w:t>
      </w:r>
      <w:hyperlink r:id="rId15317">
        <w:r>
          <w:rPr>
            <w:color w:val="0000EE"/>
            <w:u w:val="single"/>
          </w:rPr>
          <w:t>Hb 1.11</w:t>
        </w:r>
      </w:hyperlink>
      <w:r>
        <w:t xml:space="preserve">; cp. </w:t>
      </w:r>
      <w:hyperlink r:id="rId15314">
        <w:r>
          <w:rPr>
            <w:color w:val="0000EE"/>
            <w:u w:val="single"/>
          </w:rPr>
          <w:t>Sl 102.26</w:t>
        </w:r>
      </w:hyperlink>
      <w:r>
        <w:t xml:space="preserve">; </w:t>
      </w:r>
      <w:hyperlink r:id="rId15315">
        <w:r>
          <w:rPr>
            <w:color w:val="0000EE"/>
            <w:u w:val="single"/>
          </w:rPr>
          <w:t>Is 51.6</w:t>
        </w:r>
      </w:hyperlink>
      <w:r>
        <w:t>)</w:t>
      </w:r>
    </w:p>
    <w:p>
      <w:pPr>
        <w:pStyle w:val="ListNumber"/>
        <w:spacing w:line="240" w:lineRule="auto"/>
        <w:ind w:left="720"/>
      </w:pPr>
      <w:r/>
      <w:r>
        <w:t>“Porém o Dia do Senhor chegará como um ladrão. Naquele dia os céus vão desaparecer com um barulho espantoso, e tudo o que há no Universo será queimado. A terra e tudo o que existe nela vão sumir” (</w:t>
      </w:r>
      <w:hyperlink r:id="rId2185">
        <w:r>
          <w:rPr>
            <w:color w:val="0000EE"/>
            <w:u w:val="single"/>
          </w:rPr>
          <w:t>2Pe 3.10</w:t>
        </w:r>
      </w:hyperlink>
      <w:r>
        <w:t>)</w:t>
      </w:r>
    </w:p>
    <w:p>
      <w:pPr>
        <w:pStyle w:val="ListNumber"/>
        <w:spacing w:line="240" w:lineRule="auto"/>
        <w:ind w:left="720"/>
      </w:pPr>
      <w:r/>
      <w:r>
        <w:t>Essa destruição pelo fogo ocorrerá no momento do julgamento final. Será “Naquele dia os céus serão destruídos com fogo e tudo o que há no Universo ficará derretido” (</w:t>
      </w:r>
      <w:hyperlink r:id="rId15318">
        <w:r>
          <w:rPr>
            <w:color w:val="0000EE"/>
            <w:u w:val="single"/>
          </w:rPr>
          <w:t>2Pe 3.12</w:t>
        </w:r>
      </w:hyperlink>
      <w:r>
        <w:t>)</w:t>
      </w:r>
    </w:p>
    <w:p>
      <w:r/>
      <w:r>
        <w:t>Este julgamento, que põe fim à velha ordem, prepara o caminho para novos céus e uma nova terra. Pedro continua, “Porém Deus prometeu, e nós estamos esperando um novo céu e uma nova terra, onde tudo será feito de acordo com a vontade dele” (</w:t>
      </w:r>
      <w:hyperlink r:id="rId6708">
        <w:r>
          <w:rPr>
            <w:color w:val="0000EE"/>
            <w:u w:val="single"/>
          </w:rPr>
          <w:t>2Pe 3.13</w:t>
        </w:r>
      </w:hyperlink>
      <w:r>
        <w:t>). Será tão maravilhoso que ninguém sequer se lembrará do antigo (</w:t>
      </w:r>
      <w:hyperlink r:id="rId14246">
        <w:r>
          <w:rPr>
            <w:color w:val="0000EE"/>
            <w:u w:val="single"/>
          </w:rPr>
          <w:t>Is 65.17</w:t>
        </w:r>
      </w:hyperlink>
      <w:r>
        <w:t>). Pedro, pregando no Pórtico de Salomão, diz que Jesus permanecerá no céu até que chegue o tempo de estabelecer tudo o que Deus falou por meio de seus santos profetas (</w:t>
      </w:r>
      <w:hyperlink r:id="rId15319">
        <w:r>
          <w:rPr>
            <w:color w:val="0000EE"/>
            <w:u w:val="single"/>
          </w:rPr>
          <w:t>At 3.21</w:t>
        </w:r>
      </w:hyperlink>
      <w:r>
        <w:t>). A ordem criada aguarda ansiosamente essa recuperação ou renovação. Paulo escreve, “O Universo todo espera com muita impaciência o momento em que Deus vai revelar o que os seus filhos realmente são” (</w:t>
      </w:r>
      <w:hyperlink r:id="rId15320">
        <w:r>
          <w:rPr>
            <w:color w:val="0000EE"/>
            <w:u w:val="single"/>
          </w:rPr>
          <w:t>Rm 8.19</w:t>
        </w:r>
      </w:hyperlink>
      <w:r>
        <w:t>) porque “um dia o próprio Universo ficará livre do poder destruidor quer o mantém escravo e tomará parte na gloriosa liberdade dos filhos de Deus” (</w:t>
      </w:r>
      <w:hyperlink r:id="rId10061">
        <w:r>
          <w:rPr>
            <w:color w:val="0000EE"/>
            <w:u w:val="single"/>
          </w:rPr>
          <w:t>Rm 8.21</w:t>
        </w:r>
      </w:hyperlink>
      <w:r>
        <w:t>).</w:t>
      </w:r>
    </w:p>
    <w:p>
      <w:r/>
      <w:r>
        <w:t>O céu renovado não é a presença de Deus. É o universo estrelado, o céu da existência humana. O livro de Apocalipse diz que a nova Jerusalém desce do céu para a terra (</w:t>
      </w:r>
      <w:hyperlink r:id="rId15321">
        <w:r>
          <w:rPr>
            <w:color w:val="0000EE"/>
            <w:u w:val="single"/>
          </w:rPr>
          <w:t>Ap 21.2,10</w:t>
        </w:r>
      </w:hyperlink>
      <w:r>
        <w:t>). É o lar eterno de Deus e de seu povo. A nova terra será um lugar de perfeita justiça (</w:t>
      </w:r>
      <w:hyperlink r:id="rId15315">
        <w:r>
          <w:rPr>
            <w:color w:val="0000EE"/>
            <w:u w:val="single"/>
          </w:rPr>
          <w:t>Is 51.6</w:t>
        </w:r>
      </w:hyperlink>
      <w:r>
        <w:t>), bondade divina (</w:t>
      </w:r>
      <w:hyperlink r:id="rId14581">
        <w:r>
          <w:rPr>
            <w:color w:val="0000EE"/>
            <w:u w:val="single"/>
          </w:rPr>
          <w:t>Is 54.10</w:t>
        </w:r>
      </w:hyperlink>
      <w:r>
        <w:t>), relacionamento eterno com Deus (</w:t>
      </w:r>
      <w:hyperlink r:id="rId15282">
        <w:r>
          <w:rPr>
            <w:color w:val="0000EE"/>
            <w:u w:val="single"/>
          </w:rPr>
          <w:t>Is 66.22</w:t>
        </w:r>
      </w:hyperlink>
      <w:r>
        <w:t>), e total liberdade do pecado (</w:t>
      </w:r>
      <w:hyperlink r:id="rId10061">
        <w:r>
          <w:rPr>
            <w:color w:val="0000EE"/>
            <w:u w:val="single"/>
          </w:rPr>
          <w:t>Rm 8.21</w:t>
        </w:r>
      </w:hyperlink>
      <w:r>
        <w:t>).</w:t>
      </w:r>
    </w:p>
    <w:p>
      <w:r/>
      <w:r>
        <w:rPr>
          <w:i/>
        </w:rPr>
        <w:t>Veja também</w:t>
      </w:r>
      <w:r>
        <w:t xml:space="preserve"> </w:t>
      </w:r>
      <w:r>
        <w:t>Escatologia</w:t>
      </w:r>
      <w:r>
        <w:t xml:space="preserve">; </w:t>
      </w:r>
      <w:r>
        <w:t>Céu</w:t>
      </w:r>
      <w:r>
        <w:t xml:space="preserve">; </w:t>
      </w:r>
      <w:r>
        <w:t>Reino de Deus, Reino dos céus</w:t>
      </w:r>
      <w:r>
        <w:t xml:space="preserve">; </w:t>
      </w:r>
      <w:r>
        <w:t>Novo</w:t>
      </w:r>
      <w:r>
        <w:t xml:space="preserve">; </w:t>
      </w:r>
      <w:r>
        <w:t>Nova Criação, Nova Criatura</w:t>
      </w:r>
      <w:r>
        <w:t>.</w:t>
      </w:r>
      <w:r/>
      <w:r/>
    </w:p>
    <w:p>
      <w:r/>
    </w:p>
    <w:p>
      <w:pPr>
        <w:pStyle w:val="Heading2"/>
      </w:pPr>
      <w:r>
        <w:t>Num</w:t>
      </w:r>
      <w:r/>
    </w:p>
    <w:p>
      <w:r/>
      <w:r>
        <w:t>Num foi o pai de Josué, que se tornou um dos líderes mais importantes do povo israelita. Num pertencia à tribo de Efraim, um dos doze grupos familiares de Israel. Seu pai era Elisama. Josué, filho de Num, liderou os israelitas na Terra Prometida após a morte de Moisés (</w:t>
      </w:r>
      <w:hyperlink r:id="rId15322">
        <w:r>
          <w:rPr>
            <w:color w:val="0000EE"/>
            <w:u w:val="single"/>
          </w:rPr>
          <w:t>Êx 33.11</w:t>
        </w:r>
      </w:hyperlink>
      <w:r>
        <w:t xml:space="preserve">; </w:t>
      </w:r>
      <w:hyperlink r:id="rId15323">
        <w:r>
          <w:rPr>
            <w:color w:val="0000EE"/>
            <w:u w:val="single"/>
          </w:rPr>
          <w:t>Nm 11.28</w:t>
        </w:r>
      </w:hyperlink>
      <w:r>
        <w:t xml:space="preserve">; </w:t>
      </w:r>
      <w:hyperlink r:id="rId15324">
        <w:r>
          <w:rPr>
            <w:color w:val="0000EE"/>
            <w:u w:val="single"/>
          </w:rPr>
          <w:t>Dt 1.38</w:t>
        </w:r>
      </w:hyperlink>
      <w:r>
        <w:t xml:space="preserve">; </w:t>
      </w:r>
      <w:hyperlink r:id="rId12134">
        <w:r>
          <w:rPr>
            <w:color w:val="0000EE"/>
            <w:u w:val="single"/>
          </w:rPr>
          <w:t>Js 1.1</w:t>
        </w:r>
      </w:hyperlink>
      <w:r>
        <w:t xml:space="preserve">; </w:t>
      </w:r>
      <w:hyperlink r:id="rId15325">
        <w:r>
          <w:rPr>
            <w:color w:val="0000EE"/>
            <w:u w:val="single"/>
          </w:rPr>
          <w:t>Jz 2.8</w:t>
        </w:r>
      </w:hyperlink>
      <w:r>
        <w:t>).</w:t>
      </w:r>
      <w:r/>
      <w:r/>
    </w:p>
    <w:p>
      <w:r/>
    </w:p>
    <w:p>
      <w:pPr>
        <w:pStyle w:val="Heading2"/>
      </w:pPr>
      <w:r>
        <w:t>Números e Numerologia</w:t>
      </w:r>
      <w:r/>
    </w:p>
    <w:p>
      <w:r/>
      <w:r>
        <w:t>Números individuais têm um sentido simbólico, assim como literal, na Bíblia. Em Daniel, e em menor grau em Apocalipse, há um sistema desenvolvido de numerologia onde sistemas inter-relacionados de números são usados em um padrão definido.</w:t>
      </w:r>
    </w:p>
    <w:p>
      <w:r/>
      <w:r>
        <w:t>Tradicionalmente, os cristãos conservadores desconfiam da numerologia devido ao seu uso imprudente por grupos de cristãos que veem simbolismo teológico em cada número no AT, mesmo nos mais factuais. Essa visão foi herdada de grupos judaicos místicos pré-cristãos e, posteriormente, levada a extremos pelos cabalistas.</w:t>
      </w:r>
    </w:p>
    <w:p>
      <w:r/>
      <w:r>
        <w:t>Resumo:</w:t>
      </w:r>
    </w:p>
    <w:p>
      <w:r/>
      <w:r>
        <w:t>• Expressão de números</w:t>
      </w:r>
    </w:p>
    <w:p>
      <w:r/>
      <w:r>
        <w:t>• Maneiras de escrever números</w:t>
      </w:r>
    </w:p>
    <w:p>
      <w:r/>
      <w:r>
        <w:t>• Problemas de números grandes</w:t>
      </w:r>
    </w:p>
    <w:p>
      <w:r/>
      <w:r>
        <w:t>• Contando por gerações</w:t>
      </w:r>
    </w:p>
    <w:p>
      <w:r/>
      <w:r>
        <w:t>• Uso aproximado de números</w:t>
      </w:r>
    </w:p>
    <w:p>
      <w:r/>
      <w:r>
        <w:t>• Uso simbólico dos números</w:t>
      </w:r>
    </w:p>
    <w:p>
      <w:r/>
      <w:r>
        <w:t>• Estatísticas exatas</w:t>
      </w:r>
    </w:p>
    <w:p>
      <w:r/>
      <w:r>
        <w:t>• Numerologia</w:t>
      </w:r>
    </w:p>
    <w:p>
      <w:pPr>
        <w:pStyle w:val="Heading3"/>
      </w:pPr>
      <w:r>
        <w:t>Expressão de números</w:t>
      </w:r>
    </w:p>
    <w:p>
      <w:r/>
      <w:r>
        <w:t>O hebraico, e de fato qualquer outra língua semítica, possui um sistema de numeração simples, mas adequado. O número 1 (um) é um adjetivo. Depois disso, os numerais são substantivos, em formas masculinas e femininas paralelas, embora o masculino seja usado com o substantivo feminino e vice-versa. Números ordinais (primeiro, segundo, terceiro, etc.) existem ao lado dos números cardinais (um, dois, três), mas como na maioria das línguas, o segundo conjunto pode ser usado em vez do primeiro (“dia dois” em vez de “segundo dia”). De dez a dezenove, há uma forma composta construída como por exemplo no inglês “thirteen” (“três-dez”), mas “vinte” é literalmente “dezenas” (o plural de “dez”). Trinta, quarenta e assim por diante são literalmente “três”, “quatros” (o plural das palavras “três” e “quatro”, respectivamente) e assim por diante, até cem, que é uma nova palavra. Existem também palavras separadas para “mil” e para “dez mil”, como em grego, chinês e muitas outras línguas. Números maiores devem ser expressos por múltiplos destes (“dez mil vezes dez mil” e “milhares de milhares”), sugerindo que grandes números, raramente necessários para pequenas populações e pequenos reinos, eram expressos aproximadamente. O hebraico possui não apenas uma forma singular e plural, mas também uma forma dual para expressar dois de qualquer coisa (duzentos, dois mil). Frações (metade, um terço, um décimo, etc.) podiam ser expressas, e multiplicação, divisão, adição e subtração eram usadas. De fato, instâncias de todas as quatro operações podem ser encontradas na Bíblia. O sistema matemático hebraico era basicamente parte do sistema matemático maior da Ásia Ocidental, do qual sabemos muito da Mesopotâmia e do Egito. Esses países, no entanto, usavam um sistema matemático mais desenvolvido do que Israel.</w:t>
      </w:r>
    </w:p>
    <w:p>
      <w:pPr>
        <w:pStyle w:val="Heading3"/>
      </w:pPr>
      <w:r>
        <w:t>Maneiras de escrever números</w:t>
      </w:r>
    </w:p>
    <w:p>
      <w:r/>
      <w:r>
        <w:t>Na Bíblia, os números são sempre escritos por extenso, como na famosa Pedra Moabita e na Inscrição de Siloé. Mas todas as nações do mundo antigo também podiam expressar números usando figuras ou cifras de vários tipos (como nossos 1, 2, 3...). Devido a esse perigo de erro, em tempos posteriores, os números eram normalmente escritos por extenso, em palavras, onde a confusão, embora ainda possível, não era tão provável. Uma maneira adicional de escrever números, conhecida tanto pelos hebreus quanto pelos gregos, era o uso de letras consecutivas do alfabeto em vez de numerais consecutivos (como se usássemos A para 1, B para 2, etc.). Este sistema, amplamente utilizado na época do NT, é o sistema usual no hebraico moderno e tem a vantagem de que combinações numéricas podem ser pronunciadas inserindo vogais arbitrárias, criando assim palavras artificiais. Por exemplo, se o número da besta (</w:t>
      </w:r>
      <w:hyperlink r:id="rId8080">
        <w:r>
          <w:rPr>
            <w:color w:val="0000EE"/>
            <w:u w:val="single"/>
          </w:rPr>
          <w:t>Ap 13.18</w:t>
        </w:r>
      </w:hyperlink>
      <w:r>
        <w:t>), 666, for expresso em letras alfabéticas, pode-se soletrar as consoantes de “Nero César”, embora outros nomes sejam possíveis, especialmente se a leitura variante 616 for usada.</w:t>
      </w:r>
    </w:p>
    <w:p>
      <w:pPr>
        <w:pStyle w:val="Heading3"/>
      </w:pPr>
      <w:r>
        <w:t>Problemas de números grandes</w:t>
      </w:r>
    </w:p>
    <w:p>
      <w:r/>
      <w:r>
        <w:t xml:space="preserve">Mesmo considerando todas essas possibilidades, ainda existem certos problemas relacionados a grandes números, particularmente no AT. O mais óbvio é o dos dez patriarcas longevos, cujas idades são registradas em </w:t>
      </w:r>
      <w:hyperlink r:id="rId6203">
        <w:r>
          <w:rPr>
            <w:color w:val="0000EE"/>
            <w:u w:val="single"/>
          </w:rPr>
          <w:t>Gênesis 5</w:t>
        </w:r>
      </w:hyperlink>
      <w:r>
        <w:t>. Diferentes números (com variações de séculos inteiros) são registrados para suas idades no texto hebraico, no texto samaritano e na tradução grega mais antiga (conhecida como Septuaginta), mas todos os números são muito grandes. Alguns interpretam esses números literalmente e apontam que há uma redução constante das idades alcançadas por esses patriarcas até os mais modestos 120 anos atribuídos ao homem no tempo de Noé (</w:t>
      </w:r>
      <w:hyperlink r:id="rId4270">
        <w:r>
          <w:rPr>
            <w:color w:val="0000EE"/>
            <w:u w:val="single"/>
          </w:rPr>
          <w:t>Gn 6.3</w:t>
        </w:r>
      </w:hyperlink>
      <w:r>
        <w:t>) e os 70 anos aceitos posteriormente como o tempo de vida humano (</w:t>
      </w:r>
      <w:hyperlink r:id="rId8120">
        <w:r>
          <w:rPr>
            <w:color w:val="0000EE"/>
            <w:u w:val="single"/>
          </w:rPr>
          <w:t>Sl 90.10</w:t>
        </w:r>
      </w:hyperlink>
      <w:r>
        <w:t>). Isso corresponderia à deterioração espiritual progressiva da humanidade após a queda, do estado perfeito de Adão à condição atual. Qualquer que seja a explicação dos números, não há dúvida de que essa é a intenção teológica da Bíblia.</w:t>
      </w:r>
    </w:p>
    <w:p>
      <w:r/>
      <w:r>
        <w:t>O grande número de israelitas que deixaram o Egito também é problemático. Se realmente houvesse 600.000 homens de guerra (</w:t>
      </w:r>
      <w:hyperlink r:id="rId15326">
        <w:r>
          <w:rPr>
            <w:color w:val="0000EE"/>
            <w:u w:val="single"/>
          </w:rPr>
          <w:t>Nm 1.46</w:t>
        </w:r>
      </w:hyperlink>
      <w:r>
        <w:t>), isso corresponderia a uma nação inteira de cerca de 2 milhões ou mais. Possivelmente, a palavra traduzida como “mil” significa “unidades de clã”; seria claramente um corpo total muito menor, seja qual for seu tamanho exato. Claro, Deus poderia ter mantido qualquer número de pessoas no deserto. As evidências da arqueologia quanto à população de Canaã, tanto antes quanto depois do ataque israelita, parecem apoiar um número menor. O mesmo princípio pode explicar os grandes números dados para os homens de guerra das várias tribos israelitas e os enormes totais para a força militar de Israel e Judá dados em tempos posteriores nos livros históricos do AT.</w:t>
      </w:r>
    </w:p>
    <w:p>
      <w:r/>
      <w:r>
        <w:t>Para o leitor comum da Bíblia, talvez um dos maiores problemas sejam os diferentes números registrados em Crônicas e Reis, quando os mesmos incidentes estão sendo descritos. Erros de manuscrito, ou confusão de números escritos por sinais ou letras únicas do alfabeto, podem explicar inúmeras inconsistências individuais, mas não diferenças generalizadas, particularmente porque os números em Crônicas são consistentemente muito maiores. Esses números redondos muito grandes podem ter significado simbólico e podem não ter a intenção de serem tomados em seu sentido literal. De fato, como os judeus tinham diante deles o livro de Reis e o livro de Crônicas ao mesmo tempo, dificilmente poderiam ter tomado ambos os conjuntos de números literalmente.</w:t>
      </w:r>
    </w:p>
    <w:p>
      <w:pPr>
        <w:pStyle w:val="Heading3"/>
      </w:pPr>
      <w:r>
        <w:t>Contando por gerações</w:t>
      </w:r>
    </w:p>
    <w:p>
      <w:r/>
      <w:r>
        <w:t xml:space="preserve">Um dos problemas do AT é a datação dos eventos. Mesmo com um sistema numérico exato, não há um ponto fixo absoluto a partir do qual se possa calcular. Judeus e cristãos posteriores contaram a partir da data presumida da Criação. Somente após o tempo de Davi e Salomão são usadas tanto referências internas entre as datas comparativas dos reis de Judá e Israel quanto referências externas a monarcas fora de Israel. Essa abertura explica o vago período de “quarenta anos” usado com frequência no AT (por exemplo, o livro de Juízes) para qualquer período longo, mas indeterminado, quase certamente correspondendo a uma geração (hebraico, </w:t>
      </w:r>
      <w:r>
        <w:rPr>
          <w:i/>
        </w:rPr>
        <w:t>dor</w:t>
      </w:r>
      <w:r>
        <w:t>). Contar por gerações é específico em alguns lugares na Bíblia e pode ser implícito em outros. Por exemplo, os descendentes de Abraão devem retornar a Canaã “na quarta geração” (</w:t>
      </w:r>
      <w:hyperlink r:id="rId6215">
        <w:r>
          <w:rPr>
            <w:color w:val="0000EE"/>
            <w:u w:val="single"/>
          </w:rPr>
          <w:t>Gn 15.16</w:t>
        </w:r>
      </w:hyperlink>
      <w:r>
        <w:t>), e a genealogia de Cristo é cuidadosamente construída em um padrão de três grupos de quatorze gerações (</w:t>
      </w:r>
      <w:hyperlink r:id="rId9873">
        <w:r>
          <w:rPr>
            <w:color w:val="0000EE"/>
            <w:u w:val="single"/>
          </w:rPr>
          <w:t>Mt 1.17</w:t>
        </w:r>
      </w:hyperlink>
      <w:r>
        <w:t>), em vez de em períodos de anos. Onde quer que as pessoas usem e recitem genealogias, essa contagem por gerações é natural. Mas os descendentes de Abraão teriam retornado a Canaã aproximadamente quatro séculos depois (</w:t>
      </w:r>
      <w:hyperlink r:id="rId15327">
        <w:r>
          <w:rPr>
            <w:color w:val="0000EE"/>
            <w:u w:val="single"/>
          </w:rPr>
          <w:t>Gl 3.17</w:t>
        </w:r>
      </w:hyperlink>
      <w:r>
        <w:t>), e, portanto, a palavra “geração” às vezes representa 100 anos. A palavra hebraica para “geração” pode significar 120 anos (</w:t>
      </w:r>
      <w:hyperlink r:id="rId4270">
        <w:r>
          <w:rPr>
            <w:color w:val="0000EE"/>
            <w:u w:val="single"/>
          </w:rPr>
          <w:t>Gn 6.3</w:t>
        </w:r>
      </w:hyperlink>
      <w:r>
        <w:t>). Geralmente, os antigos hebreus usavam frases vagas como “naqueles dias” ou “depois daqueles dias” ou “estão chegando os dias”, que expressavam passado, presente e futuro sem qualquer menção específica de número. Em outras palavras, os escritores da Bíblia estavam mais preocupados com teologia do que com matemática.</w:t>
      </w:r>
    </w:p>
    <w:p>
      <w:pPr>
        <w:pStyle w:val="Heading3"/>
      </w:pPr>
      <w:r>
        <w:t>Uso aproximado de números</w:t>
      </w:r>
    </w:p>
    <w:p>
      <w:r/>
      <w:r>
        <w:t>No AT, os 40 anos de Israel no deserto são um bom exemplo do uso aproximado de números (</w:t>
      </w:r>
      <w:hyperlink r:id="rId6732">
        <w:r>
          <w:rPr>
            <w:color w:val="0000EE"/>
            <w:u w:val="single"/>
          </w:rPr>
          <w:t>Nm 14.33</w:t>
        </w:r>
      </w:hyperlink>
      <w:r>
        <w:t>). No NT, Jesus esteve no deserto 40 dias durante a tentação (</w:t>
      </w:r>
      <w:hyperlink r:id="rId15328">
        <w:r>
          <w:rPr>
            <w:color w:val="0000EE"/>
            <w:u w:val="single"/>
          </w:rPr>
          <w:t>Mt 4.2</w:t>
        </w:r>
      </w:hyperlink>
      <w:r>
        <w:t>) e houve 40 dias entre sua ressurreição e ascensão (</w:t>
      </w:r>
      <w:hyperlink r:id="rId6259">
        <w:r>
          <w:rPr>
            <w:color w:val="0000EE"/>
            <w:u w:val="single"/>
          </w:rPr>
          <w:t>At 1.3</w:t>
        </w:r>
      </w:hyperlink>
      <w:r>
        <w:t>). Moisés tinha 40 anos quando foi chamado (</w:t>
      </w:r>
      <w:hyperlink r:id="rId14740">
        <w:r>
          <w:rPr>
            <w:color w:val="0000EE"/>
            <w:u w:val="single"/>
          </w:rPr>
          <w:t>At 7.23</w:t>
        </w:r>
      </w:hyperlink>
      <w:r>
        <w:t>), aparentemente viveu 40 anos em Midiã (</w:t>
      </w:r>
      <w:hyperlink r:id="rId2370">
        <w:r>
          <w:rPr>
            <w:color w:val="0000EE"/>
            <w:u w:val="single"/>
          </w:rPr>
          <w:t>Êx 7.7</w:t>
        </w:r>
      </w:hyperlink>
      <w:r>
        <w:t>), e passou 40 anos liderando Israel para fora do Egito e através do deserto (</w:t>
      </w:r>
      <w:hyperlink r:id="rId14741">
        <w:r>
          <w:rPr>
            <w:color w:val="0000EE"/>
            <w:u w:val="single"/>
          </w:rPr>
          <w:t>Dt 34.7</w:t>
        </w:r>
      </w:hyperlink>
      <w:r>
        <w:t>), pois é dito que ele tinha 120 anos ao morrer. No entanto, duas gerações de 40 anos é o máximo normal para um homem saudável (</w:t>
      </w:r>
      <w:hyperlink r:id="rId8120">
        <w:r>
          <w:rPr>
            <w:color w:val="0000EE"/>
            <w:u w:val="single"/>
          </w:rPr>
          <w:t>Sl 90.10</w:t>
        </w:r>
      </w:hyperlink>
      <w:r>
        <w:t>), e mesmo isso é frequentemente reduzido para 70 anos pelos rigores da vida. Setenta também é usado às vezes nesse sentido aproximado.</w:t>
      </w:r>
    </w:p>
    <w:p>
      <w:pPr>
        <w:pStyle w:val="Heading3"/>
      </w:pPr>
      <w:r>
        <w:t>Uso simbólico dos números</w:t>
      </w:r>
    </w:p>
    <w:p>
      <w:r/>
      <w:r>
        <w:t>Na Escritura, sete simboliza completude ou perfeição. No sétimo dia, Deus descansou de seus trabalhos e a criação está concluída (</w:t>
      </w:r>
      <w:hyperlink r:id="rId6698">
        <w:r>
          <w:rPr>
            <w:color w:val="0000EE"/>
            <w:u w:val="single"/>
          </w:rPr>
          <w:t>Gn 2.2</w:t>
        </w:r>
      </w:hyperlink>
      <w:r>
        <w:t>). Faraó em seu sonho viu sete vacas saindo do Nilo (</w:t>
      </w:r>
      <w:hyperlink r:id="rId15329">
        <w:r>
          <w:rPr>
            <w:color w:val="0000EE"/>
            <w:u w:val="single"/>
          </w:rPr>
          <w:t>41.2</w:t>
        </w:r>
      </w:hyperlink>
      <w:r>
        <w:t>). As sagradas tranças nazireias de Sansão foram trançadas em sete mechas (</w:t>
      </w:r>
      <w:hyperlink r:id="rId15330">
        <w:r>
          <w:rPr>
            <w:color w:val="0000EE"/>
            <w:u w:val="single"/>
          </w:rPr>
          <w:t>Jz 16.13</w:t>
        </w:r>
      </w:hyperlink>
      <w:r>
        <w:t>). Sete demônios saíram de Maria Madalena, significando a totalidade de sua possessão anterior por Satanás (</w:t>
      </w:r>
      <w:hyperlink r:id="rId12738">
        <w:r>
          <w:rPr>
            <w:color w:val="0000EE"/>
            <w:u w:val="single"/>
          </w:rPr>
          <w:t>Lc 8.2</w:t>
        </w:r>
      </w:hyperlink>
      <w:r>
        <w:t>); “sete outros demônios” entrarão na vida purificada, mas vazia, de uma pessoa (</w:t>
      </w:r>
      <w:hyperlink r:id="rId12737">
        <w:r>
          <w:rPr>
            <w:color w:val="0000EE"/>
            <w:u w:val="single"/>
          </w:rPr>
          <w:t>Mt 12.45</w:t>
        </w:r>
      </w:hyperlink>
      <w:r>
        <w:t>). No entanto, no lado positivo, havia os sete espíritos de Deus (</w:t>
      </w:r>
      <w:hyperlink r:id="rId2064">
        <w:r>
          <w:rPr>
            <w:color w:val="0000EE"/>
            <w:u w:val="single"/>
          </w:rPr>
          <w:t>Ap 3.1</w:t>
        </w:r>
      </w:hyperlink>
      <w:r>
        <w:t>). No sétimo ano, o escravo hebreu deveria ser libertado (</w:t>
      </w:r>
      <w:hyperlink r:id="rId7381">
        <w:r>
          <w:rPr>
            <w:color w:val="0000EE"/>
            <w:u w:val="single"/>
          </w:rPr>
          <w:t>Êx 21.2</w:t>
        </w:r>
      </w:hyperlink>
      <w:r>
        <w:t>), tendo completado seu tempo de cativeiro e serviço. A cada sete anos havia um ano sabático (</w:t>
      </w:r>
      <w:hyperlink r:id="rId1953">
        <w:r>
          <w:rPr>
            <w:color w:val="0000EE"/>
            <w:u w:val="single"/>
          </w:rPr>
          <w:t>Lv 25.4</w:t>
        </w:r>
      </w:hyperlink>
      <w:r>
        <w:t>). Sete vezes sete reitera o sentido de completude. No Ano do Jubileu (na conclusão de 7 x 7 anos = o 50º ano), toda a terra é libertada e retorna aos proprietários originais (</w:t>
      </w:r>
      <w:hyperlink r:id="rId1963">
        <w:r>
          <w:rPr>
            <w:color w:val="0000EE"/>
            <w:u w:val="single"/>
          </w:rPr>
          <w:t>Lv 25.10</w:t>
        </w:r>
      </w:hyperlink>
      <w:r>
        <w:t>). Pentecostes, a Festa das Semanas, é sete vezes sete dias após a Páscoa. “Setenta”, que é literalmente “setes” em hebraico, reforça o conceito de perfeição. Há 70 anciãos (</w:t>
      </w:r>
      <w:hyperlink r:id="rId1380">
        <w:r>
          <w:rPr>
            <w:color w:val="0000EE"/>
            <w:u w:val="single"/>
          </w:rPr>
          <w:t>Êx 24.1</w:t>
        </w:r>
      </w:hyperlink>
      <w:r>
        <w:t>) em Israel. Israel foi exilado para Babilônia por 70 anos (</w:t>
      </w:r>
      <w:hyperlink r:id="rId15331">
        <w:r>
          <w:rPr>
            <w:color w:val="0000EE"/>
            <w:u w:val="single"/>
          </w:rPr>
          <w:t>Jr 25.12</w:t>
        </w:r>
      </w:hyperlink>
      <w:r>
        <w:t>) para completar seu castigo. “Setenta vezes sete” (</w:t>
      </w:r>
      <w:hyperlink r:id="rId12701">
        <w:r>
          <w:rPr>
            <w:color w:val="0000EE"/>
            <w:u w:val="single"/>
          </w:rPr>
          <w:t>Mt 18.22</w:t>
        </w:r>
      </w:hyperlink>
      <w:r>
        <w:t>) reitera isso ainda mais. O Senhor não estava dando a Pedro um número matemático de vezes que ele deveria perdoar outra pessoa, mas estava insistindo em um perdão ilimitado para o pecado de um irmão.</w:t>
      </w:r>
    </w:p>
    <w:p>
      <w:r/>
      <w:r>
        <w:t>“Três” pode muito bem compartilhar esse significado de conclusão ou perfeição, embora não tão fortemente (</w:t>
      </w:r>
      <w:hyperlink r:id="rId15332">
        <w:r>
          <w:rPr>
            <w:color w:val="0000EE"/>
            <w:u w:val="single"/>
          </w:rPr>
          <w:t>2Rs 13.18</w:t>
        </w:r>
      </w:hyperlink>
      <w:r>
        <w:t>). Muitas coisas acontecem “no terceiro dia” (</w:t>
      </w:r>
      <w:hyperlink r:id="rId15333">
        <w:r>
          <w:rPr>
            <w:color w:val="0000EE"/>
            <w:u w:val="single"/>
          </w:rPr>
          <w:t>Os 6.2</w:t>
        </w:r>
      </w:hyperlink>
      <w:r>
        <w:t>). Jonas passou três dias no estômago do peixe (</w:t>
      </w:r>
      <w:hyperlink r:id="rId1881">
        <w:r>
          <w:rPr>
            <w:color w:val="0000EE"/>
            <w:u w:val="single"/>
          </w:rPr>
          <w:t>Mt 12.40</w:t>
        </w:r>
      </w:hyperlink>
      <w:r>
        <w:t>), e o Senhor ressuscitou no terceiro dia (</w:t>
      </w:r>
      <w:hyperlink r:id="rId6250">
        <w:r>
          <w:rPr>
            <w:color w:val="0000EE"/>
            <w:u w:val="single"/>
          </w:rPr>
          <w:t>1Co 15.4</w:t>
        </w:r>
      </w:hyperlink>
      <w:r>
        <w:t>). Davi foi oferecido uma escolha de punições divinas — três anos, três meses, três dias (</w:t>
      </w:r>
      <w:hyperlink r:id="rId15334">
        <w:r>
          <w:rPr>
            <w:color w:val="0000EE"/>
            <w:u w:val="single"/>
          </w:rPr>
          <w:t>2Sm 24.13</w:t>
        </w:r>
      </w:hyperlink>
      <w:r>
        <w:t>). Para o cristão, “três” assume um significado muito mais profundo como o número de Pessoas da Trindade. As três Pessoas são claramente expressas, por exemplo, na Grande Comissão (</w:t>
      </w:r>
      <w:hyperlink r:id="rId3199">
        <w:r>
          <w:rPr>
            <w:color w:val="0000EE"/>
            <w:u w:val="single"/>
          </w:rPr>
          <w:t>MT 28.19</w:t>
        </w:r>
      </w:hyperlink>
      <w:r>
        <w:t>) e na bênção paulina (</w:t>
      </w:r>
      <w:hyperlink r:id="rId15335">
        <w:r>
          <w:rPr>
            <w:color w:val="0000EE"/>
            <w:u w:val="single"/>
          </w:rPr>
          <w:t>2Co 13.13</w:t>
        </w:r>
      </w:hyperlink>
      <w:r>
        <w:t xml:space="preserve">). Muitos ecos dessa expressão tríplice estão no NT, e muitas antecipações dela no AT, dos quais o “Santo” repetido três vezes em </w:t>
      </w:r>
      <w:hyperlink r:id="rId6877">
        <w:r>
          <w:rPr>
            <w:color w:val="0000EE"/>
            <w:u w:val="single"/>
          </w:rPr>
          <w:t>Isaías 6.3</w:t>
        </w:r>
      </w:hyperlink>
      <w:r>
        <w:t xml:space="preserve"> é o mais famoso.</w:t>
      </w:r>
    </w:p>
    <w:p>
      <w:r/>
      <w:r>
        <w:t xml:space="preserve">Alguns estudiosos veem quatro como outro símbolo de completude (quatro ventos do céu, </w:t>
      </w:r>
      <w:hyperlink r:id="rId6527">
        <w:r>
          <w:rPr>
            <w:color w:val="0000EE"/>
            <w:u w:val="single"/>
          </w:rPr>
          <w:t>Dt 7.2</w:t>
        </w:r>
      </w:hyperlink>
      <w:r>
        <w:t xml:space="preserve">; quatro cavaleiros, </w:t>
      </w:r>
      <w:hyperlink r:id="rId15336">
        <w:r>
          <w:rPr>
            <w:color w:val="0000EE"/>
            <w:u w:val="single"/>
          </w:rPr>
          <w:t>Ap 6.1–7</w:t>
        </w:r>
      </w:hyperlink>
      <w:r>
        <w:t xml:space="preserve">; quatro seres viventes ao redor do trono de Deus, </w:t>
      </w:r>
      <w:hyperlink r:id="rId15337">
        <w:r>
          <w:rPr>
            <w:color w:val="0000EE"/>
            <w:u w:val="single"/>
          </w:rPr>
          <w:t>Ap 4.6</w:t>
        </w:r>
      </w:hyperlink>
      <w:r>
        <w:t>). Cinco é certamente usado em um sentido indefinido como um número pequeno (</w:t>
      </w:r>
      <w:hyperlink r:id="rId10505">
        <w:r>
          <w:rPr>
            <w:color w:val="0000EE"/>
            <w:u w:val="single"/>
          </w:rPr>
          <w:t>Is 19.18</w:t>
        </w:r>
      </w:hyperlink>
      <w:r>
        <w:t xml:space="preserve">; </w:t>
      </w:r>
      <w:hyperlink r:id="rId15338">
        <w:r>
          <w:rPr>
            <w:color w:val="0000EE"/>
            <w:u w:val="single"/>
          </w:rPr>
          <w:t>30.17</w:t>
        </w:r>
      </w:hyperlink>
      <w:r>
        <w:t xml:space="preserve">). Nem oito nem nove parecem ter qualquer significado especial, embora, como outros números, possam ser usados em um sentido factual para descrever qualquer das atividades de Deus (nove pragas no Egito, </w:t>
      </w:r>
      <w:hyperlink r:id="rId15339">
        <w:r>
          <w:rPr>
            <w:color w:val="0000EE"/>
            <w:u w:val="single"/>
          </w:rPr>
          <w:t>Êx 7–10</w:t>
        </w:r>
      </w:hyperlink>
      <w:r>
        <w:t>). “Dez” tem significado por causa dos Dez Mandamentos (</w:t>
      </w:r>
      <w:hyperlink r:id="rId2571">
        <w:r>
          <w:rPr>
            <w:color w:val="0000EE"/>
            <w:u w:val="single"/>
          </w:rPr>
          <w:t>Êx 20.1–17</w:t>
        </w:r>
      </w:hyperlink>
      <w:r>
        <w:t>), mas não tem qualquer simbolismo especial anteriormente na Bíblia. Se algo, “dez” é usado em outros lugares de forma vaga. Labão muda o salário de Jacó dez vezes (</w:t>
      </w:r>
      <w:hyperlink r:id="rId15340">
        <w:r>
          <w:rPr>
            <w:color w:val="0000EE"/>
            <w:u w:val="single"/>
          </w:rPr>
          <w:t>Gn 31.7</w:t>
        </w:r>
      </w:hyperlink>
      <w:r>
        <w:t>); Daniel e seus amigos são dez vezes melhores que todos os outros estudantes (</w:t>
      </w:r>
      <w:hyperlink r:id="rId8020">
        <w:r>
          <w:rPr>
            <w:color w:val="0000EE"/>
            <w:u w:val="single"/>
          </w:rPr>
          <w:t>Dt 1.20</w:t>
        </w:r>
      </w:hyperlink>
      <w:r>
        <w:t>); dez vezes, os colonos judeus serão avisados de ataques inimigos iminentes (</w:t>
      </w:r>
      <w:hyperlink r:id="rId15341">
        <w:r>
          <w:rPr>
            <w:color w:val="0000EE"/>
            <w:u w:val="single"/>
          </w:rPr>
          <w:t>Ne 4.12</w:t>
        </w:r>
      </w:hyperlink>
      <w:r>
        <w:t>).</w:t>
      </w:r>
    </w:p>
    <w:p>
      <w:r/>
      <w:r>
        <w:t xml:space="preserve">Onze parece não ter nenhum significado bíblico especial, mas 12 certamente tem. A prova mais clara disso é a existência das 12 tribos em Israel. Em </w:t>
      </w:r>
      <w:hyperlink r:id="rId6489">
        <w:r>
          <w:rPr>
            <w:color w:val="0000EE"/>
            <w:u w:val="single"/>
          </w:rPr>
          <w:t>Apocalipse 7.4–8</w:t>
        </w:r>
      </w:hyperlink>
      <w:r>
        <w:t>, onde é matematicamente importante que o número de tribos seja limitado a 12, a tribo de Dã é completamente omitida — provavelmente por conta do pecado de idolatria de Dã (</w:t>
      </w:r>
      <w:hyperlink r:id="rId15342">
        <w:r>
          <w:rPr>
            <w:color w:val="0000EE"/>
            <w:u w:val="single"/>
          </w:rPr>
          <w:t>Jz 18.14–20</w:t>
        </w:r>
      </w:hyperlink>
      <w:r>
        <w:t>). Os descendentes de Ismael também foram divididos em 12 clãs (</w:t>
      </w:r>
      <w:hyperlink r:id="rId4926">
        <w:r>
          <w:rPr>
            <w:color w:val="0000EE"/>
            <w:u w:val="single"/>
          </w:rPr>
          <w:t>Gn 17.20</w:t>
        </w:r>
      </w:hyperlink>
      <w:r>
        <w:t>), de modo que o número 12 aparentemente era significativo fora de Israel também. No NT, Cristo escolheu 12 apóstolos (</w:t>
      </w:r>
      <w:hyperlink r:id="rId2255">
        <w:r>
          <w:rPr>
            <w:color w:val="0000EE"/>
            <w:u w:val="single"/>
          </w:rPr>
          <w:t>Mt 10.1–4</w:t>
        </w:r>
      </w:hyperlink>
      <w:r>
        <w:t>). A ligação com o número de tribos é feita de forma específica quando Cristo diz aos apóstolos que eles se sentarão em 12 tronos, julgando as 12 tribos (</w:t>
      </w:r>
      <w:hyperlink r:id="rId9406">
        <w:r>
          <w:rPr>
            <w:color w:val="0000EE"/>
            <w:u w:val="single"/>
          </w:rPr>
          <w:t>Mt 19.28</w:t>
        </w:r>
      </w:hyperlink>
      <w:r>
        <w:t>). No entanto, é interessante que, após a eleição e nomeação de Matias (</w:t>
      </w:r>
      <w:hyperlink r:id="rId7337">
        <w:r>
          <w:rPr>
            <w:color w:val="0000EE"/>
            <w:u w:val="single"/>
          </w:rPr>
          <w:t>At 1.26</w:t>
        </w:r>
      </w:hyperlink>
      <w:r>
        <w:t>), a igreja cristã aparentemente não fez esforços subsequentes para manter o número de apóstolos. Como “sete vezes sete”, “doze vezes doze” aumenta a força do número. Quando isso é ainda multiplicado por mil, a figura se torna os 144.000 redimidos (</w:t>
      </w:r>
      <w:hyperlink r:id="rId15343">
        <w:r>
          <w:rPr>
            <w:color w:val="0000EE"/>
            <w:u w:val="single"/>
          </w:rPr>
          <w:t>Ap 7.4</w:t>
        </w:r>
      </w:hyperlink>
      <w:r>
        <w:t>), que foram selados “de todas as tribos de Israel”.</w:t>
      </w:r>
    </w:p>
    <w:p>
      <w:pPr>
        <w:pStyle w:val="Heading3"/>
      </w:pPr>
      <w:r>
        <w:t>Estatísticas exatas</w:t>
      </w:r>
    </w:p>
    <w:p>
      <w:r/>
      <w:r>
        <w:t>Ao contrário do uso metafórico dos números para denotar completude, imensidão e semelhantes, os números em hebraico eram frequentemente usados para fornecer contagens ou medidas exatas. Tal uso é conhecido por nós apenas a partir de tábuas de argila e óstracos (pedaços quebrados de cacos de cerâmica gravados em tinta, usados como cadernos rústicos). No entanto, determinar exatamente qual era o texto em sua forma mais antiga e o que esse texto significa é difícil.</w:t>
      </w:r>
    </w:p>
    <w:p>
      <w:r/>
      <w:r>
        <w:t>Um exemplo é o número dos filhos de Jeconias entre os habitantes de Bete-Semes. Eles foram abatidos pelo Senhor por não se alegrarem com os outros quando a arca de Deus retornou a Israel do país dos filisteus (</w:t>
      </w:r>
      <w:hyperlink r:id="rId2440">
        <w:r>
          <w:rPr>
            <w:color w:val="0000EE"/>
            <w:u w:val="single"/>
          </w:rPr>
          <w:t>1Sm 6.19</w:t>
        </w:r>
      </w:hyperlink>
      <w:r>
        <w:t>). O texto grego (LXX) diz "setenta"; os manuscritos hebraicos posteriores acrescentam "cinquenta mil". Mas, como Bete-Semes em si era apenas uma pequena cidade fronteiriça, e os "filhos de Jeconias" eram presumivelmente apenas um clã entre vários, o número menor é obviamente o original, e a grande adição se deve a alguma confusão posterior de manuscritos.</w:t>
      </w:r>
    </w:p>
    <w:p>
      <w:r/>
      <w:r>
        <w:t>Uma boa regra ao tentar decidir se um número é estatístico ou impressionista é determinar se é um número pequeno ou um número incomum para o qual não há uma explicação teológica óbvia. Quando os homens de Ai mataram cerca de 36 israelitas no primeiro ataque à cidade (</w:t>
      </w:r>
      <w:hyperlink r:id="rId15344">
        <w:r>
          <w:rPr>
            <w:color w:val="0000EE"/>
            <w:u w:val="single"/>
          </w:rPr>
          <w:t>Js 7.5</w:t>
        </w:r>
      </w:hyperlink>
      <w:r>
        <w:t>), a pequenez do número é evidência de que este é um detalhe factual vividamente lembrado. Da mesma forma, no caso do número dos 318 homens de Abraão (</w:t>
      </w:r>
      <w:hyperlink r:id="rId9807">
        <w:r>
          <w:rPr>
            <w:color w:val="0000EE"/>
            <w:u w:val="single"/>
          </w:rPr>
          <w:t>Gn 14.14</w:t>
        </w:r>
      </w:hyperlink>
      <w:r>
        <w:t>) ou da pesca de 153 peixes após a ressurreição (</w:t>
      </w:r>
      <w:hyperlink r:id="rId15345">
        <w:r>
          <w:rPr>
            <w:color w:val="0000EE"/>
            <w:u w:val="single"/>
          </w:rPr>
          <w:t>Jo 21.11</w:t>
        </w:r>
      </w:hyperlink>
      <w:r>
        <w:t>), os números, embora grandes, não são números redondos, mas combinações incomuns, e são obviamente destinados a um sentido literal ou estatístico. Detalhes irrelevantes como este têm o hábito de permanecer na memória e são a melhor garantia da confiabilidade da narrativa.</w:t>
      </w:r>
    </w:p>
    <w:p>
      <w:pPr>
        <w:pStyle w:val="Heading3"/>
      </w:pPr>
      <w:r>
        <w:t>Numerologia</w:t>
      </w:r>
    </w:p>
    <w:p>
      <w:r/>
      <w:r>
        <w:t>A numerologia pode ser considerada uma aplicação ampliada do significado metafórico dos números (7, 40, etc.) já discutido. Na Bíblia, essa sistematização dos números sempre acompanha um forte senso da soberania de Deus, seu controle sobre a história humana e a crença em seu propósito contínuo e sua conclusão triunfante.</w:t>
      </w:r>
    </w:p>
    <w:p>
      <w:r/>
      <w:r>
        <w:t xml:space="preserve">Talvez o primeiro exemplo claro de numerologia na Bíblia seja </w:t>
      </w:r>
      <w:hyperlink r:id="rId5414">
        <w:r>
          <w:rPr>
            <w:color w:val="0000EE"/>
            <w:u w:val="single"/>
          </w:rPr>
          <w:t>1 Reis 6.1</w:t>
        </w:r>
      </w:hyperlink>
      <w:r>
        <w:t>, onde Salomão começou a construir o templo 480 anos após o Êxodo, um período de 5 vezes 10 vezes 12, ou 4 vezes 120, a vida útil ideal do homem nos primeiros dias (</w:t>
      </w:r>
      <w:hyperlink r:id="rId4270">
        <w:r>
          <w:rPr>
            <w:color w:val="0000EE"/>
            <w:u w:val="single"/>
          </w:rPr>
          <w:t>Gn 6.3</w:t>
        </w:r>
      </w:hyperlink>
      <w:r>
        <w:t xml:space="preserve">). O texto de </w:t>
      </w:r>
      <w:hyperlink r:id="rId6219">
        <w:r>
          <w:rPr>
            <w:color w:val="0000EE"/>
            <w:u w:val="single"/>
          </w:rPr>
          <w:t>1 Crônicas 6.3–8</w:t>
        </w:r>
      </w:hyperlink>
      <w:r>
        <w:t xml:space="preserve"> dá 12 gerações de homens (presumivelmente 40 anos cada) para cobrir o mesmo período, então "doze gerações" é provavelmente a base real para o cálculo, em vez de qualquer contagem exata ano a ano. Uma contagem teria sido impossível nos dias dos juízes e improvável antes da monarquia. Davi foi o primeiro a estabelecer um escriba ou registrador oficial para manter anais diários em Israel (</w:t>
      </w:r>
      <w:hyperlink r:id="rId8184">
        <w:r>
          <w:rPr>
            <w:color w:val="0000EE"/>
            <w:u w:val="single"/>
          </w:rPr>
          <w:t>2Sm 8.16–17</w:t>
        </w:r>
      </w:hyperlink>
      <w:r>
        <w:t>), como era comum nos grandes reinos desde tempos muito anteriores. Esses anais israelitas são mencionados mais tarde como fontes dos livros dos reis (</w:t>
      </w:r>
      <w:hyperlink r:id="rId15346">
        <w:r>
          <w:rPr>
            <w:color w:val="0000EE"/>
            <w:u w:val="single"/>
          </w:rPr>
          <w:t>2Rs 14.18</w:t>
        </w:r>
      </w:hyperlink>
      <w:r>
        <w:t>). O número 480 é provavelmente uma aproximação grosseira em vez de exata e denota o fim de uma das épocas de Deus.</w:t>
      </w:r>
    </w:p>
    <w:p>
      <w:r/>
      <w:r>
        <w:t>Quando Jeremias profetiza um exílio de 70 anos para Judá (</w:t>
      </w:r>
      <w:hyperlink r:id="rId11656">
        <w:r>
          <w:rPr>
            <w:color w:val="0000EE"/>
            <w:u w:val="single"/>
          </w:rPr>
          <w:t>Jr 25.11</w:t>
        </w:r>
      </w:hyperlink>
      <w:r>
        <w:t xml:space="preserve">; </w:t>
      </w:r>
      <w:hyperlink r:id="rId11657">
        <w:r>
          <w:rPr>
            <w:color w:val="0000EE"/>
            <w:u w:val="single"/>
          </w:rPr>
          <w:t>29.10</w:t>
        </w:r>
      </w:hyperlink>
      <w:r>
        <w:t xml:space="preserve">), não é apenas uma previsão histórica que foi literalmente cumprida, mas também um símbolo de completude; o castigo de Judá está completo (cf. </w:t>
      </w:r>
      <w:hyperlink r:id="rId8644">
        <w:r>
          <w:rPr>
            <w:color w:val="0000EE"/>
            <w:u w:val="single"/>
          </w:rPr>
          <w:t>Is 40.2</w:t>
        </w:r>
      </w:hyperlink>
      <w:r>
        <w:t>). Isaías (</w:t>
      </w:r>
      <w:hyperlink r:id="rId15347">
        <w:r>
          <w:rPr>
            <w:color w:val="0000EE"/>
            <w:u w:val="single"/>
          </w:rPr>
          <w:t>Is 23.15</w:t>
        </w:r>
      </w:hyperlink>
      <w:r>
        <w:t>) havia feito uma profecia semelhante de um castigo de 70 anos para Tiro, e Ezequiel (</w:t>
      </w:r>
      <w:hyperlink r:id="rId15348">
        <w:r>
          <w:rPr>
            <w:color w:val="0000EE"/>
            <w:u w:val="single"/>
          </w:rPr>
          <w:t>Ez 29.11–13</w:t>
        </w:r>
      </w:hyperlink>
      <w:r>
        <w:t>) profetizou um “exílio” de 40 anos para o Egito. Quando esses 70 anos são considerados como anos sabáticos, onde a terra deve permanecer sem cultivo para compensar os 7 vezes 70 anos de pecado anteriores, então a verdadeira numerologia começa (</w:t>
      </w:r>
      <w:hyperlink r:id="rId11658">
        <w:r>
          <w:rPr>
            <w:color w:val="0000EE"/>
            <w:u w:val="single"/>
          </w:rPr>
          <w:t>2Cr 36.21</w:t>
        </w:r>
      </w:hyperlink>
      <w:r>
        <w:t>). Aqui a numerologia é usada apenas como uma explicação do passado e do presente, mas também pode ser usada para explicar o futuro, especialmente no livro de Daniel.</w:t>
      </w:r>
    </w:p>
    <w:p>
      <w:r/>
      <w:r>
        <w:t>Daniel (</w:t>
      </w:r>
      <w:hyperlink r:id="rId3541">
        <w:r>
          <w:rPr>
            <w:color w:val="0000EE"/>
            <w:u w:val="single"/>
          </w:rPr>
          <w:t>Dn 9.2</w:t>
        </w:r>
      </w:hyperlink>
      <w:r>
        <w:t xml:space="preserve">) refere-se aos 70 anos literais do exílio, conforme predito por Jeremias. Em </w:t>
      </w:r>
      <w:hyperlink r:id="rId14298">
        <w:r>
          <w:rPr>
            <w:color w:val="0000EE"/>
            <w:u w:val="single"/>
          </w:rPr>
          <w:t>Daniel 9.24</w:t>
        </w:r>
      </w:hyperlink>
      <w:r>
        <w:t xml:space="preserve">, isso foi estendido para 70 semanas de anos (490 anos) aplicados ao futuro distante. </w:t>
      </w:r>
      <w:hyperlink r:id="rId14296">
        <w:r>
          <w:rPr>
            <w:color w:val="0000EE"/>
            <w:u w:val="single"/>
          </w:rPr>
          <w:t>Daniel 9.25</w:t>
        </w:r>
      </w:hyperlink>
      <w:r>
        <w:t xml:space="preserve"> vê 69 dessas semanas (483 anos) como decorrendo antes da aparição do Messias. Presumivelmente, a última semana das 70 é, portanto, considerada como o tempo de sua atividade. No entanto, por mais que isso possa ser interpretado em termos de datas reais, deve ser harmonizado com </w:t>
      </w:r>
      <w:hyperlink r:id="rId14297">
        <w:r>
          <w:rPr>
            <w:color w:val="0000EE"/>
            <w:u w:val="single"/>
          </w:rPr>
          <w:t>9.26</w:t>
        </w:r>
      </w:hyperlink>
      <w:r>
        <w:t>, onde o Messias é "cortado" após 62 semanas de anos (434 anos). A dificuldade está em estabelecer o ponto de partida para este longo período. Este é um exemplo de uma numerologia elaborada, abrangendo séculos de história, tudo baseado, em última análise, nos 70 anos de Jeremias. De acordo com princípios bíblicos, isso pode ter tanto um cumprimento “imediato” no retorno do exílio quanto um cumprimento “profético” no futuro distante em conexão com a vinda de Cristo.</w:t>
      </w:r>
    </w:p>
    <w:p>
      <w:r/>
      <w:r>
        <w:t>O outro grande exemplo de numerologia estendida em Daniel está relacionado com o “tempo, tempos e metade de um tempo” (</w:t>
      </w:r>
      <w:hyperlink r:id="rId15349">
        <w:r>
          <w:rPr>
            <w:color w:val="0000EE"/>
            <w:u w:val="single"/>
          </w:rPr>
          <w:t>7.25</w:t>
        </w:r>
      </w:hyperlink>
      <w:r>
        <w:t xml:space="preserve">). Isso deve representar três tempos e meio, ou seja, metade de sete tempos. Assim, refere-se ou a três anos e meio (metade de uma “semana” de anos) ou três e meia “semanas” de anos (cf. “sete tempos” em </w:t>
      </w:r>
      <w:hyperlink r:id="rId5708">
        <w:r>
          <w:rPr>
            <w:color w:val="0000EE"/>
            <w:u w:val="single"/>
          </w:rPr>
          <w:t>4.16</w:t>
        </w:r>
      </w:hyperlink>
      <w:r>
        <w:t xml:space="preserve">, onde “sete anos” é claramente mencionado). Qualquer que seja seu cumprimento profético final em Cristo, o cumprimento “inicial” ou “parcial” é o período de aproximadamente três anos e meio de amarga perseguição ao povo de Deus por Antíoco Epifânio (167–164 a.C.). Esta figura de três anos e meio reaparece em </w:t>
      </w:r>
      <w:hyperlink r:id="rId15350">
        <w:r>
          <w:rPr>
            <w:color w:val="0000EE"/>
            <w:u w:val="single"/>
          </w:rPr>
          <w:t>Apocalipse 11.2</w:t>
        </w:r>
      </w:hyperlink>
      <w:r>
        <w:t xml:space="preserve"> (“quarenta e dois meses”) e </w:t>
      </w:r>
      <w:hyperlink r:id="rId15351">
        <w:r>
          <w:rPr>
            <w:color w:val="0000EE"/>
            <w:u w:val="single"/>
          </w:rPr>
          <w:t>12.14</w:t>
        </w:r>
      </w:hyperlink>
      <w:r>
        <w:t xml:space="preserve"> (“um tempo, e tempos, e metade de um tempo”), para descrever o período de perseguição de Roma à igreja cristã. A figura possivelmente se tornou um símbolo de qualquer perseguição amarga, mas limitada. As “duas mil e trezentas tardes e manhãs” de </w:t>
      </w:r>
      <w:hyperlink r:id="rId15352">
        <w:r>
          <w:rPr>
            <w:color w:val="0000EE"/>
            <w:u w:val="single"/>
          </w:rPr>
          <w:t>Daniel 8.14</w:t>
        </w:r>
      </w:hyperlink>
      <w:r>
        <w:t xml:space="preserve"> podem significar 1.150 dias, que é aproximadamente o mesmo período de tempo.</w:t>
      </w:r>
    </w:p>
    <w:p>
      <w:r/>
      <w:r>
        <w:t xml:space="preserve">Os três anos e meio de </w:t>
      </w:r>
      <w:hyperlink r:id="rId15349">
        <w:r>
          <w:rPr>
            <w:color w:val="0000EE"/>
            <w:u w:val="single"/>
          </w:rPr>
          <w:t>Daniel 7.25</w:t>
        </w:r>
      </w:hyperlink>
      <w:r>
        <w:t xml:space="preserve"> reaparecem em </w:t>
      </w:r>
      <w:hyperlink r:id="rId2025">
        <w:r>
          <w:rPr>
            <w:color w:val="0000EE"/>
            <w:u w:val="single"/>
          </w:rPr>
          <w:t>Apocalipse 11</w:t>
        </w:r>
      </w:hyperlink>
      <w:r>
        <w:t xml:space="preserve"> na forma de “quarenta e dois meses”, o tempo em que os pagãos pisotearão Jerusalém (</w:t>
      </w:r>
      <w:hyperlink r:id="rId15350">
        <w:r>
          <w:rPr>
            <w:color w:val="0000EE"/>
            <w:u w:val="single"/>
          </w:rPr>
          <w:t>Ap 11.2</w:t>
        </w:r>
      </w:hyperlink>
      <w:r>
        <w:t xml:space="preserve">). Os 1.290 dias de </w:t>
      </w:r>
      <w:hyperlink r:id="rId15353">
        <w:r>
          <w:rPr>
            <w:color w:val="0000EE"/>
            <w:u w:val="single"/>
          </w:rPr>
          <w:t>Daniel 12.11</w:t>
        </w:r>
      </w:hyperlink>
      <w:r>
        <w:t xml:space="preserve"> reaparecem aqui (na forma ligeiramente diferente de 1.260 dias) como o tempo em que as duas testemunhas de Deus profetizarão (</w:t>
      </w:r>
      <w:hyperlink r:id="rId15354">
        <w:r>
          <w:rPr>
            <w:color w:val="0000EE"/>
            <w:u w:val="single"/>
          </w:rPr>
          <w:t>Ap 11.3</w:t>
        </w:r>
      </w:hyperlink>
      <w:r>
        <w:t xml:space="preserve">). Os 42 meses reaparecem em </w:t>
      </w:r>
      <w:hyperlink r:id="rId15355">
        <w:r>
          <w:rPr>
            <w:color w:val="0000EE"/>
            <w:u w:val="single"/>
          </w:rPr>
          <w:t>Apocalipse 13.5</w:t>
        </w:r>
      </w:hyperlink>
      <w:r>
        <w:t xml:space="preserve"> como o período em que a besta será permitida blasfemar. Enquanto os “mil anos” de </w:t>
      </w:r>
      <w:hyperlink r:id="rId14843">
        <w:r>
          <w:rPr>
            <w:color w:val="0000EE"/>
            <w:u w:val="single"/>
          </w:rPr>
          <w:t>20.6</w:t>
        </w:r>
      </w:hyperlink>
      <w:r>
        <w:t xml:space="preserve"> não são derivados de Daniel, o uso metafórico de “mil” é familiar ao AT. O paralelo direto mais próximo está em </w:t>
      </w:r>
      <w:hyperlink r:id="rId9324">
        <w:r>
          <w:rPr>
            <w:color w:val="0000EE"/>
            <w:u w:val="single"/>
          </w:rPr>
          <w:t>Deuteronômio 7.9</w:t>
        </w:r>
      </w:hyperlink>
      <w:r>
        <w:t>, onde a aliança de Deus será mantida com “mil gerações” por vir.</w:t>
      </w:r>
      <w:r/>
      <w:r/>
    </w:p>
    <w:p>
      <w:r/>
    </w:p>
    <w:p>
      <w:pPr>
        <w:pStyle w:val="Heading2"/>
      </w:pPr>
      <w:r>
        <w:t>Números, Livro de</w:t>
      </w:r>
      <w:r/>
    </w:p>
    <w:p>
      <w:r/>
      <w:r>
        <w:t xml:space="preserve">Quarto livro da Bíblia em português. Seu título é a tradução em português do título da Vulgata Latina, </w:t>
      </w:r>
      <w:r>
        <w:rPr>
          <w:i/>
        </w:rPr>
        <w:t>Numeri.</w:t>
      </w:r>
      <w:r>
        <w:t xml:space="preserve"> O livro recebe esse nome porque várias listas de diferentes tipos são registradas nele, especificamente, as duas contagens do exército nos capítulos </w:t>
      </w:r>
      <w:hyperlink r:id="rId15356">
        <w:r>
          <w:rPr>
            <w:color w:val="0000EE"/>
            <w:u w:val="single"/>
          </w:rPr>
          <w:t>1</w:t>
        </w:r>
      </w:hyperlink>
      <w:r>
        <w:t xml:space="preserve"> e </w:t>
      </w:r>
      <w:hyperlink r:id="rId4698">
        <w:r>
          <w:rPr>
            <w:color w:val="0000EE"/>
            <w:u w:val="single"/>
          </w:rPr>
          <w:t>26</w:t>
        </w:r>
      </w:hyperlink>
      <w:r>
        <w:t xml:space="preserve">, os arranjos do acampamento tribal e da marcha no capítulo </w:t>
      </w:r>
      <w:hyperlink r:id="rId15357">
        <w:r>
          <w:rPr>
            <w:color w:val="0000EE"/>
            <w:u w:val="single"/>
          </w:rPr>
          <w:t>2</w:t>
        </w:r>
      </w:hyperlink>
      <w:r>
        <w:t xml:space="preserve">, e os censos levíticos nos capítulos </w:t>
      </w:r>
      <w:hyperlink r:id="rId15358">
        <w:r>
          <w:rPr>
            <w:color w:val="0000EE"/>
            <w:u w:val="single"/>
          </w:rPr>
          <w:t>3</w:t>
        </w:r>
      </w:hyperlink>
      <w:r>
        <w:t xml:space="preserve"> e </w:t>
      </w:r>
      <w:hyperlink r:id="rId2446">
        <w:r>
          <w:rPr>
            <w:color w:val="0000EE"/>
            <w:u w:val="single"/>
          </w:rPr>
          <w:t>4</w:t>
        </w:r>
      </w:hyperlink>
      <w:r>
        <w:t>.</w:t>
      </w:r>
    </w:p>
    <w:p>
      <w:r/>
      <w:r>
        <w:t>Resumo</w:t>
      </w:r>
    </w:p>
    <w:p>
      <w:r/>
      <w:r>
        <w:t>• Autor(a)</w:t>
      </w:r>
    </w:p>
    <w:p>
      <w:r/>
      <w:r>
        <w:t>• Contexto</w:t>
      </w:r>
    </w:p>
    <w:p>
      <w:r/>
      <w:r>
        <w:t>• Propósito</w:t>
      </w:r>
    </w:p>
    <w:p>
      <w:r/>
      <w:r>
        <w:t>• Conteúdo</w:t>
      </w:r>
    </w:p>
    <w:p>
      <w:r/>
      <w:r>
        <w:t>• Educação Teológica</w:t>
      </w:r>
    </w:p>
    <w:p>
      <w:pPr>
        <w:pStyle w:val="Heading3"/>
      </w:pPr>
      <w:r>
        <w:t>Autor</w:t>
      </w:r>
    </w:p>
    <w:p>
      <w:r/>
      <w:r>
        <w:t xml:space="preserve">A questão da autoria de Números faz parte da questão maior da autoria do Pentateuco. Até o surgimento das teorias documentárias crítico-superiores do século XIX, a autoria mosaica do Pentateuco era quase universalmente aceita tanto por judeus quanto por cristãos. Esta tradição consagrada pelo tempo é apoiada pelo próprio Pentateuco (e.g., </w:t>
      </w:r>
      <w:hyperlink r:id="rId13080">
        <w:r>
          <w:rPr>
            <w:color w:val="0000EE"/>
            <w:u w:val="single"/>
          </w:rPr>
          <w:t>Êx 17.14</w:t>
        </w:r>
      </w:hyperlink>
      <w:r>
        <w:t xml:space="preserve">; </w:t>
      </w:r>
      <w:hyperlink r:id="rId981">
        <w:r>
          <w:rPr>
            <w:color w:val="0000EE"/>
            <w:u w:val="single"/>
          </w:rPr>
          <w:t>24.4</w:t>
        </w:r>
      </w:hyperlink>
      <w:r>
        <w:t xml:space="preserve">; </w:t>
      </w:r>
      <w:hyperlink r:id="rId12758">
        <w:r>
          <w:rPr>
            <w:color w:val="0000EE"/>
            <w:u w:val="single"/>
          </w:rPr>
          <w:t>34.27</w:t>
        </w:r>
      </w:hyperlink>
      <w:r>
        <w:t xml:space="preserve">; </w:t>
      </w:r>
      <w:hyperlink r:id="rId13233">
        <w:r>
          <w:rPr>
            <w:color w:val="0000EE"/>
            <w:u w:val="single"/>
          </w:rPr>
          <w:t>Nm 33.2</w:t>
        </w:r>
      </w:hyperlink>
      <w:r>
        <w:t xml:space="preserve">; </w:t>
      </w:r>
      <w:hyperlink r:id="rId15359">
        <w:r>
          <w:rPr>
            <w:color w:val="0000EE"/>
            <w:u w:val="single"/>
          </w:rPr>
          <w:t>Dt 31.9,24</w:t>
        </w:r>
      </w:hyperlink>
      <w:r>
        <w:t xml:space="preserve">), pelo restante do AT (por exemplo, </w:t>
      </w:r>
      <w:hyperlink r:id="rId12140">
        <w:r>
          <w:rPr>
            <w:color w:val="0000EE"/>
            <w:u w:val="single"/>
          </w:rPr>
          <w:t>Js 23.6</w:t>
        </w:r>
      </w:hyperlink>
      <w:r>
        <w:t xml:space="preserve">; </w:t>
      </w:r>
      <w:hyperlink r:id="rId15360">
        <w:r>
          <w:rPr>
            <w:color w:val="0000EE"/>
            <w:u w:val="single"/>
          </w:rPr>
          <w:t>Jz 3.4</w:t>
        </w:r>
      </w:hyperlink>
      <w:r>
        <w:t xml:space="preserve">; </w:t>
      </w:r>
      <w:hyperlink r:id="rId13084">
        <w:r>
          <w:rPr>
            <w:color w:val="0000EE"/>
            <w:u w:val="single"/>
          </w:rPr>
          <w:t>Ml 4.4</w:t>
        </w:r>
      </w:hyperlink>
      <w:r>
        <w:t xml:space="preserve">), bem como pelo ensino de Jesus (e.g., </w:t>
      </w:r>
      <w:hyperlink r:id="rId15361">
        <w:r>
          <w:rPr>
            <w:color w:val="0000EE"/>
            <w:u w:val="single"/>
          </w:rPr>
          <w:t>Jo 5.46–47</w:t>
        </w:r>
      </w:hyperlink>
      <w:r>
        <w:t xml:space="preserve">), e pelo restante do NT (e.g., </w:t>
      </w:r>
      <w:hyperlink r:id="rId6122">
        <w:r>
          <w:rPr>
            <w:color w:val="0000EE"/>
            <w:u w:val="single"/>
          </w:rPr>
          <w:t>At 28.23</w:t>
        </w:r>
      </w:hyperlink>
      <w:r>
        <w:t xml:space="preserve">; </w:t>
      </w:r>
      <w:hyperlink r:id="rId15362">
        <w:r>
          <w:rPr>
            <w:color w:val="0000EE"/>
            <w:u w:val="single"/>
          </w:rPr>
          <w:t>Rm 10.19</w:t>
        </w:r>
      </w:hyperlink>
      <w:r>
        <w:t xml:space="preserve">; </w:t>
      </w:r>
      <w:hyperlink r:id="rId3555">
        <w:r>
          <w:rPr>
            <w:color w:val="0000EE"/>
            <w:u w:val="single"/>
          </w:rPr>
          <w:t>1Cor 9.9</w:t>
        </w:r>
      </w:hyperlink>
      <w:r>
        <w:t>). Embora discrepâncias no Pentateuco fossem amplamente e abertamente reconhecidas, ainda assim Moisés, o legislador do século XV a.C., era afirmado como o autor principal do Pentateuco.</w:t>
      </w:r>
    </w:p>
    <w:p>
      <w:pPr>
        <w:pStyle w:val="Heading3"/>
      </w:pPr>
      <w:r>
        <w:t>Contexto</w:t>
      </w:r>
    </w:p>
    <w:p>
      <w:pPr>
        <w:pStyle w:val="Heading4"/>
      </w:pPr>
      <w:r>
        <w:t>Península do Sinai</w:t>
      </w:r>
    </w:p>
    <w:p>
      <w:r/>
      <w:r>
        <w:t>O contexto histórico de Números começa principalmente na região geográfica da Península do Sinai, no meio do segundo milênio a.C.</w:t>
      </w:r>
    </w:p>
    <w:p>
      <w:r/>
      <w:r>
        <w:t>A Península do Sinai tem a forma de um triângulo invertido com a base no norte. Mede aproximadamente 386 quilômetros de comprimento de norte a sul e 281 quilômetros de largura na base norte, com uma área de cerca de 56.980 quilômetros quadrados. É limitada ao norte pelo Mar Mediterrâneo e pela fronteira sul de Canaã, a oeste pelos Lagos Amargos e pelo Golfo de Suez, e a leste pelo Arabá e pelo Golfo de Aqaba. Começando no norte, na costa mediterrânea, e movendo-se para o sul por cerca de 24 quilômetros, o solo é arenoso. Ao sul desta planície costeira, há um planalto elevado (Et-Tih) de cascalho e calcário (cerca de 762 metros acima do nível do mar), estendendo-se para o sul na península por aproximadamente 241 quilômetros. Elevando-se acima do planalto neste ponto, há uma formação montanhosa de granito com picos de até 2.438 metros acima do nível do mar. Nesta região montanhosa, no ápice do triângulo peninsular, Jebel Musa (2.244 metros de altura), o local tradicional onde Israel acampou antes do Monte Sinai e Moisés recebeu a lei, ergue-se acima da planície.</w:t>
      </w:r>
    </w:p>
    <w:p>
      <w:r/>
      <w:r>
        <w:t>A península é composta por cinco desertos. Ao norte e imediatamente a leste da terra de Gósen está o deserto de Sur, com aproximadamente 64 quilômetros de largura, que se estende além do Rio do Egito (Wadi el-Arish) até a região de Cades-Barneia e ao nordeste até Berseba. A leste desta região está o deserto de Zin, que se estende a leste do deserto de Sur até a ponta sul do Mar Morto. Cades-Barneia está localizada na sua fronteira sul (</w:t>
      </w:r>
      <w:hyperlink r:id="rId3971">
        <w:r>
          <w:rPr>
            <w:color w:val="0000EE"/>
            <w:u w:val="single"/>
          </w:rPr>
          <w:t>Nm 20.1</w:t>
        </w:r>
      </w:hyperlink>
      <w:r>
        <w:t xml:space="preserve">; </w:t>
      </w:r>
      <w:hyperlink r:id="rId15363">
        <w:r>
          <w:rPr>
            <w:color w:val="0000EE"/>
            <w:u w:val="single"/>
          </w:rPr>
          <w:t>33.36</w:t>
        </w:r>
      </w:hyperlink>
      <w:r>
        <w:t>). Ao sul do deserto de Sur está o deserto de Etã, e a leste desta região selvagem, na região centro-leste do Sinai, está o grande deserto de Parã (</w:t>
      </w:r>
      <w:hyperlink r:id="rId14384">
        <w:r>
          <w:rPr>
            <w:color w:val="0000EE"/>
            <w:u w:val="single"/>
          </w:rPr>
          <w:t>Dt 1.19</w:t>
        </w:r>
      </w:hyperlink>
      <w:r>
        <w:t>). Cades-Barneia está na fronteira norte deste território (</w:t>
      </w:r>
      <w:hyperlink r:id="rId564">
        <w:r>
          <w:rPr>
            <w:color w:val="0000EE"/>
            <w:u w:val="single"/>
          </w:rPr>
          <w:t>Nm 13.26</w:t>
        </w:r>
      </w:hyperlink>
      <w:r>
        <w:t>). Nesta área, os israelitas passaram 38 dos seus 40 anos de peregrinação. A sudoeste do deserto de Parã, nas encostas ocidentais da península, não muito longe das montanhas de granito situadas no ápice sul do triângulo, está o deserto de Sin.</w:t>
      </w:r>
    </w:p>
    <w:p>
      <w:r/>
      <w:r>
        <w:t>Embora a região seja geralmente desolada e árida, não é intransitável nem incapaz de sustentar viajantes. Poços e nascentes pontilham tanto as fronteiras ocidentais quanto orientais a distâncias razoáveis umas das outras. O lençol freático está relativamente próximo ao nível do solo, tornando possível a escavação de poços (</w:t>
      </w:r>
      <w:hyperlink r:id="rId8531">
        <w:r>
          <w:rPr>
            <w:color w:val="0000EE"/>
            <w:u w:val="single"/>
          </w:rPr>
          <w:t>Nm 20.17</w:t>
        </w:r>
      </w:hyperlink>
      <w:r>
        <w:t xml:space="preserve">; </w:t>
      </w:r>
      <w:hyperlink r:id="rId15364">
        <w:r>
          <w:rPr>
            <w:color w:val="0000EE"/>
            <w:u w:val="single"/>
          </w:rPr>
          <w:t>21.16–18</w:t>
        </w:r>
      </w:hyperlink>
      <w:r>
        <w:t>). As rochas calcárias também são capazes de reter grandes quantidades de água (</w:t>
      </w:r>
      <w:hyperlink r:id="rId15365">
        <w:r>
          <w:rPr>
            <w:color w:val="0000EE"/>
            <w:u w:val="single"/>
          </w:rPr>
          <w:t>20.11</w:t>
        </w:r>
      </w:hyperlink>
      <w:r>
        <w:t>). A vegetação é escassa, exceto ao redor dos riachos mais permanentes, onde a vegetação e as tamareiras prosperam. A estação chuvosa no inverno dura aproximadamente 20 dias. Codornizes (</w:t>
      </w:r>
      <w:hyperlink r:id="rId5097">
        <w:r>
          <w:rPr>
            <w:color w:val="0000EE"/>
            <w:u w:val="single"/>
          </w:rPr>
          <w:t>11.31–32</w:t>
        </w:r>
      </w:hyperlink>
      <w:r>
        <w:t>) são conhecidas por migrar através da península para a Europa na primavera.</w:t>
      </w:r>
    </w:p>
    <w:p>
      <w:pPr>
        <w:pStyle w:val="Heading4"/>
      </w:pPr>
      <w:r>
        <w:t>Os povos que Israel confrontou</w:t>
      </w:r>
    </w:p>
    <w:p>
      <w:r/>
      <w:r>
        <w:t>Amalequitas e Cananeus (</w:t>
      </w:r>
      <w:hyperlink r:id="rId15366">
        <w:r>
          <w:rPr>
            <w:color w:val="0000EE"/>
            <w:u w:val="single"/>
          </w:rPr>
          <w:t>14.25,43–45</w:t>
        </w:r>
      </w:hyperlink>
      <w:r>
        <w:t xml:space="preserve">; </w:t>
      </w:r>
      <w:hyperlink r:id="rId1036">
        <w:r>
          <w:rPr>
            <w:color w:val="0000EE"/>
            <w:u w:val="single"/>
          </w:rPr>
          <w:t>24.20</w:t>
        </w:r>
      </w:hyperlink>
      <w:r>
        <w:t>)</w:t>
      </w:r>
    </w:p>
    <w:p>
      <w:r/>
      <w:r>
        <w:t>Os amalequitas eram descendentes de Amaleque, filho de Elifaz e neto de Esaú (</w:t>
      </w:r>
      <w:hyperlink r:id="rId15367">
        <w:r>
          <w:rPr>
            <w:color w:val="0000EE"/>
            <w:u w:val="single"/>
          </w:rPr>
          <w:t>Gn 36.12,16</w:t>
        </w:r>
      </w:hyperlink>
      <w:r>
        <w:t xml:space="preserve">). Eles eram geralmente um povo nômade. Na Península do Sinai, foram os primeiros a guerrear contra Israel em Refidim (cf. </w:t>
      </w:r>
      <w:hyperlink r:id="rId1036">
        <w:r>
          <w:rPr>
            <w:color w:val="0000EE"/>
            <w:u w:val="single"/>
          </w:rPr>
          <w:t>Nm 24.20</w:t>
        </w:r>
      </w:hyperlink>
      <w:r>
        <w:t>), possivelmente o Wadi Refayid no sudoeste do Sinai (</w:t>
      </w:r>
      <w:hyperlink r:id="rId1032">
        <w:r>
          <w:rPr>
            <w:color w:val="0000EE"/>
            <w:u w:val="single"/>
          </w:rPr>
          <w:t>Êx 17.8–16</w:t>
        </w:r>
      </w:hyperlink>
      <w:r>
        <w:t>), antes de Israel chegar a Horebe. Um ano depois, os amalequitas se estabeleceram nas colinas e vales ao norte de Cades-Barneia. Em aliança com os cananeus, os habitantes da Palestina, eles bloquearam o esforço de Israel para invadir a terra prometida pelo sul (</w:t>
      </w:r>
      <w:hyperlink r:id="rId10749">
        <w:r>
          <w:rPr>
            <w:color w:val="0000EE"/>
            <w:u w:val="single"/>
          </w:rPr>
          <w:t>Nm 14.45</w:t>
        </w:r>
      </w:hyperlink>
      <w:r>
        <w:t>). A disposição de Israel para travar guerra parece ter sido completamente quebrada por anos a fio.</w:t>
      </w:r>
    </w:p>
    <w:p>
      <w:r/>
      <w:r>
        <w:t>Edomitas (</w:t>
      </w:r>
      <w:hyperlink r:id="rId1118">
        <w:r>
          <w:rPr>
            <w:color w:val="0000EE"/>
            <w:u w:val="single"/>
          </w:rPr>
          <w:t>20.14–21</w:t>
        </w:r>
      </w:hyperlink>
      <w:r>
        <w:t xml:space="preserve">; </w:t>
      </w:r>
      <w:hyperlink r:id="rId15368">
        <w:r>
          <w:rPr>
            <w:color w:val="0000EE"/>
            <w:u w:val="single"/>
          </w:rPr>
          <w:t>21.4,10–11</w:t>
        </w:r>
      </w:hyperlink>
      <w:r>
        <w:t>)</w:t>
      </w:r>
    </w:p>
    <w:p>
      <w:r/>
      <w:r>
        <w:t>Edom, ou Seir (</w:t>
      </w:r>
      <w:hyperlink r:id="rId7544">
        <w:r>
          <w:rPr>
            <w:color w:val="0000EE"/>
            <w:u w:val="single"/>
          </w:rPr>
          <w:t>24.18</w:t>
        </w:r>
      </w:hyperlink>
      <w:r>
        <w:t>), é o território ao sul do Mar Morto ocupado pelos descendentes de Esaú. Estendendo-se desde sua fronteira norte no Wadi Zered (</w:t>
      </w:r>
      <w:hyperlink r:id="rId15369">
        <w:r>
          <w:rPr>
            <w:color w:val="0000EE"/>
            <w:u w:val="single"/>
          </w:rPr>
          <w:t>21.12</w:t>
        </w:r>
      </w:hyperlink>
      <w:r>
        <w:t>), que desaguava no Mar Morto em sua ponta sul, 161 quilômetros ao sul até o Golfo de Ácaba, ocupava ambos os lados da Arabá, com Cades-Barneia novamente situada na borda de sua fronteira oeste (</w:t>
      </w:r>
      <w:hyperlink r:id="rId15370">
        <w:r>
          <w:rPr>
            <w:color w:val="0000EE"/>
            <w:u w:val="single"/>
          </w:rPr>
          <w:t>20.16</w:t>
        </w:r>
      </w:hyperlink>
      <w:r>
        <w:t>), dando-lhe uma área terrestre de aproximadamente 10.300 quilômetros quadrados. É uma região montanhosa acidentada com picos que chegam a 1.066 metros. A “Estrada Real”, uma antiga rota comercial de Damasco através do Transjordão até o Golfo de Ácaba, passava por seu território e principais cidades, Bosra e Leman. Embora Edom não fosse fértil, tinha áreas cultiváveis (</w:t>
      </w:r>
      <w:hyperlink r:id="rId15371">
        <w:r>
          <w:rPr>
            <w:color w:val="0000EE"/>
            <w:u w:val="single"/>
          </w:rPr>
          <w:t>20.17–19</w:t>
        </w:r>
      </w:hyperlink>
      <w:r>
        <w:t>).</w:t>
      </w:r>
    </w:p>
    <w:p>
      <w:r/>
      <w:r>
        <w:t>Durante a marcha de Israel para a região de Transjordânia, Edom recusou-se a permitir que Israel viajasse diretamente para o leste de Cades através de seu território, forçando Israel a mover-se para sudeste e subir pela Arabá (</w:t>
      </w:r>
      <w:hyperlink r:id="rId15372">
        <w:r>
          <w:rPr>
            <w:color w:val="0000EE"/>
            <w:u w:val="single"/>
          </w:rPr>
          <w:t>21.4,11</w:t>
        </w:r>
      </w:hyperlink>
      <w:r>
        <w:t>). Apesar dessa hostilidade ao povo de Deus, Israel foi proibido de atacar (</w:t>
      </w:r>
      <w:hyperlink r:id="rId15373">
        <w:r>
          <w:rPr>
            <w:color w:val="0000EE"/>
            <w:u w:val="single"/>
          </w:rPr>
          <w:t>Dt 2.2–8</w:t>
        </w:r>
      </w:hyperlink>
      <w:r>
        <w:t>) ou odiar os edomitas (</w:t>
      </w:r>
      <w:hyperlink r:id="rId4515">
        <w:r>
          <w:rPr>
            <w:color w:val="0000EE"/>
            <w:u w:val="single"/>
          </w:rPr>
          <w:t>23.7</w:t>
        </w:r>
      </w:hyperlink>
      <w:r>
        <w:t>), e assim Edom foi poupado da destruição durante a conquista da terra. A área foi posteriormente conquistada por Davi (</w:t>
      </w:r>
      <w:hyperlink r:id="rId14470">
        <w:r>
          <w:rPr>
            <w:color w:val="0000EE"/>
            <w:u w:val="single"/>
          </w:rPr>
          <w:t>2Sm 8.13–14</w:t>
        </w:r>
      </w:hyperlink>
      <w:r>
        <w:t>) de acordo com a profecia de Balaão (</w:t>
      </w:r>
      <w:hyperlink r:id="rId7544">
        <w:r>
          <w:rPr>
            <w:color w:val="0000EE"/>
            <w:u w:val="single"/>
          </w:rPr>
          <w:t>Nm 24.18</w:t>
        </w:r>
      </w:hyperlink>
      <w:r>
        <w:t>).</w:t>
      </w:r>
    </w:p>
    <w:p>
      <w:r/>
      <w:r>
        <w:t>Arade (</w:t>
      </w:r>
      <w:hyperlink r:id="rId2345">
        <w:r>
          <w:rPr>
            <w:color w:val="0000EE"/>
            <w:u w:val="single"/>
          </w:rPr>
          <w:t>21.1–3</w:t>
        </w:r>
      </w:hyperlink>
      <w:r>
        <w:t>)</w:t>
      </w:r>
    </w:p>
    <w:p>
      <w:r/>
      <w:r>
        <w:t>Arade era um assentamento cananeu no sul do Neguebe. Seu rei, após lutar contra Israel e capturar alguns prisioneiros, foi posteriormente derrotado em Horma.</w:t>
      </w:r>
    </w:p>
    <w:p>
      <w:r/>
      <w:r>
        <w:t>Moabitas (</w:t>
      </w:r>
      <w:hyperlink r:id="rId15374">
        <w:r>
          <w:rPr>
            <w:color w:val="0000EE"/>
            <w:u w:val="single"/>
          </w:rPr>
          <w:t>21.11–15</w:t>
        </w:r>
      </w:hyperlink>
      <w:r>
        <w:t xml:space="preserve">; </w:t>
      </w:r>
      <w:hyperlink r:id="rId1122">
        <w:r>
          <w:rPr>
            <w:color w:val="0000EE"/>
            <w:u w:val="single"/>
          </w:rPr>
          <w:t>22.1–24.25</w:t>
        </w:r>
      </w:hyperlink>
      <w:r>
        <w:t>)</w:t>
      </w:r>
    </w:p>
    <w:p>
      <w:r/>
      <w:r>
        <w:t>Moabe, ocupado pelos descendentes de Ló (</w:t>
      </w:r>
      <w:hyperlink r:id="rId14672">
        <w:r>
          <w:rPr>
            <w:color w:val="0000EE"/>
            <w:u w:val="single"/>
          </w:rPr>
          <w:t>Gn 19.37</w:t>
        </w:r>
      </w:hyperlink>
      <w:r>
        <w:t>), é o território a leste do Mar Morto, situado principalmente entre o Wadi Arnom (</w:t>
      </w:r>
      <w:hyperlink r:id="rId1215">
        <w:r>
          <w:rPr>
            <w:color w:val="0000EE"/>
            <w:u w:val="single"/>
          </w:rPr>
          <w:t>Nm 21.13</w:t>
        </w:r>
      </w:hyperlink>
      <w:r>
        <w:t>) e o Wadi Zered, com uma área de aproximadamente 3.626 quilômetros quadrados.</w:t>
      </w:r>
    </w:p>
    <w:p>
      <w:r/>
      <w:r>
        <w:t>No final da Idade do Bronze Médio, os moabitas haviam ultrapassado seu planalto principal e se estendido bem ao norte do Arnom até o extremo norte do Mar Morto (</w:t>
      </w:r>
      <w:hyperlink r:id="rId6763">
        <w:r>
          <w:rPr>
            <w:color w:val="0000EE"/>
            <w:u w:val="single"/>
          </w:rPr>
          <w:t>21.20</w:t>
        </w:r>
      </w:hyperlink>
      <w:r>
        <w:t xml:space="preserve">). Na época dos eventos registrados em Números, no entanto, os amoritas ocupavam a área desde Arnom até o norte do Wadi Jaboque (vv </w:t>
      </w:r>
      <w:hyperlink r:id="rId1215">
        <w:r>
          <w:rPr>
            <w:color w:val="0000EE"/>
            <w:u w:val="single"/>
          </w:rPr>
          <w:t>13</w:t>
        </w:r>
      </w:hyperlink>
      <w:r>
        <w:t xml:space="preserve">, </w:t>
      </w:r>
      <w:hyperlink r:id="rId1119">
        <w:r>
          <w:rPr>
            <w:color w:val="0000EE"/>
            <w:u w:val="single"/>
          </w:rPr>
          <w:t>21–24</w:t>
        </w:r>
      </w:hyperlink>
      <w:r>
        <w:t xml:space="preserve">), tendo anteriormente tomado essa terra de Moabe (vv </w:t>
      </w:r>
      <w:hyperlink r:id="rId14387">
        <w:r>
          <w:rPr>
            <w:color w:val="0000EE"/>
            <w:u w:val="single"/>
          </w:rPr>
          <w:t>26–30</w:t>
        </w:r>
      </w:hyperlink>
      <w:r>
        <w:t xml:space="preserve">). O reino moabita era altamente organizado, com agricultura e pecuária, edifícios esplêndidos, cerâmica distintiva e fortes fortificações ao redor de suas fronteiras. Seu deus era Quemos (v </w:t>
      </w:r>
      <w:hyperlink r:id="rId14685">
        <w:r>
          <w:rPr>
            <w:color w:val="0000EE"/>
            <w:u w:val="single"/>
          </w:rPr>
          <w:t>29</w:t>
        </w:r>
      </w:hyperlink>
      <w:r>
        <w:t>).</w:t>
      </w:r>
    </w:p>
    <w:p>
      <w:r/>
      <w:r>
        <w:t xml:space="preserve">Balaque, rei de Moabe durante o período da conquista, em aliança com Midiã, contratou Balaão para amaldiçoar Israel (caps </w:t>
      </w:r>
      <w:hyperlink r:id="rId1122">
        <w:r>
          <w:rPr>
            <w:color w:val="0000EE"/>
            <w:u w:val="single"/>
          </w:rPr>
          <w:t>22–24</w:t>
        </w:r>
      </w:hyperlink>
      <w:r>
        <w:t>). Quando isso falhou, os dois poderes pagãos tentaram neutralizar Israel atraindo o povo de Deus para a adoração de Quemos e para a idolatria (</w:t>
      </w:r>
      <w:hyperlink r:id="rId15146">
        <w:r>
          <w:rPr>
            <w:color w:val="0000EE"/>
            <w:u w:val="single"/>
          </w:rPr>
          <w:t>25.1–2</w:t>
        </w:r>
      </w:hyperlink>
      <w:r>
        <w:t>). Na guerra que se seguiu, Israel derrotou Midiã (</w:t>
      </w:r>
      <w:hyperlink r:id="rId15375">
        <w:r>
          <w:rPr>
            <w:color w:val="0000EE"/>
            <w:u w:val="single"/>
          </w:rPr>
          <w:t>31.1–18</w:t>
        </w:r>
      </w:hyperlink>
      <w:r>
        <w:t>), mas por ordem expressa de Deus (</w:t>
      </w:r>
      <w:hyperlink r:id="rId15376">
        <w:r>
          <w:rPr>
            <w:color w:val="0000EE"/>
            <w:u w:val="single"/>
          </w:rPr>
          <w:t>Dt 2.9–13</w:t>
        </w:r>
      </w:hyperlink>
      <w:r>
        <w:t>) poupou Moabe. No entanto, como Balaão havia profetizado anteriormente (</w:t>
      </w:r>
      <w:hyperlink r:id="rId2807">
        <w:r>
          <w:rPr>
            <w:color w:val="0000EE"/>
            <w:u w:val="single"/>
          </w:rPr>
          <w:t>Nm 24.17</w:t>
        </w:r>
      </w:hyperlink>
      <w:r>
        <w:t>), Davi no século 11 guerreou contra Moabe e os derrotou (</w:t>
      </w:r>
      <w:hyperlink r:id="rId15377">
        <w:r>
          <w:rPr>
            <w:color w:val="0000EE"/>
            <w:u w:val="single"/>
          </w:rPr>
          <w:t>2Sm 8.2,13–14</w:t>
        </w:r>
      </w:hyperlink>
      <w:r>
        <w:t>).</w:t>
      </w:r>
    </w:p>
    <w:p>
      <w:r/>
      <w:r>
        <w:t>Amorreus (</w:t>
      </w:r>
      <w:hyperlink r:id="rId15378">
        <w:r>
          <w:rPr>
            <w:color w:val="0000EE"/>
            <w:u w:val="single"/>
          </w:rPr>
          <w:t>21.21–35</w:t>
        </w:r>
      </w:hyperlink>
      <w:r>
        <w:t>)</w:t>
      </w:r>
    </w:p>
    <w:p>
      <w:r/>
      <w:r>
        <w:t>Os amorreus, o povo que havia ocupado o território ao norte dos moabitas (</w:t>
      </w:r>
      <w:hyperlink r:id="rId10624">
        <w:r>
          <w:rPr>
            <w:color w:val="0000EE"/>
            <w:u w:val="single"/>
          </w:rPr>
          <w:t>Nm 21.25–30</w:t>
        </w:r>
      </w:hyperlink>
      <w:r>
        <w:t>), eram descendentes de Canaã (</w:t>
      </w:r>
      <w:hyperlink r:id="rId1207">
        <w:r>
          <w:rPr>
            <w:color w:val="0000EE"/>
            <w:u w:val="single"/>
          </w:rPr>
          <w:t>Gn 10.16</w:t>
        </w:r>
      </w:hyperlink>
      <w:r>
        <w:t>) que se espalharam por toda a região montanhosa em ambos os lados do rio Jordão. Hesbom era a capital deles. Tanto Seom de Hesbom quanto Ogue de Basã eram reis amorreus (</w:t>
      </w:r>
      <w:hyperlink r:id="rId10600">
        <w:r>
          <w:rPr>
            <w:color w:val="0000EE"/>
            <w:u w:val="single"/>
          </w:rPr>
          <w:t>Dt 3.8</w:t>
        </w:r>
      </w:hyperlink>
      <w:r>
        <w:t>).</w:t>
      </w:r>
    </w:p>
    <w:p>
      <w:r/>
      <w:r>
        <w:t>Quanto a Basã (</w:t>
      </w:r>
      <w:hyperlink r:id="rId2489">
        <w:r>
          <w:rPr>
            <w:color w:val="0000EE"/>
            <w:u w:val="single"/>
          </w:rPr>
          <w:t>Nm 21.33–35</w:t>
        </w:r>
      </w:hyperlink>
      <w:r>
        <w:t xml:space="preserve">; cf. </w:t>
      </w:r>
      <w:hyperlink r:id="rId2793">
        <w:r>
          <w:rPr>
            <w:color w:val="0000EE"/>
            <w:u w:val="single"/>
          </w:rPr>
          <w:t>Dt 1.4</w:t>
        </w:r>
      </w:hyperlink>
      <w:r>
        <w:t xml:space="preserve">; </w:t>
      </w:r>
      <w:hyperlink r:id="rId15379">
        <w:r>
          <w:rPr>
            <w:color w:val="0000EE"/>
            <w:u w:val="single"/>
          </w:rPr>
          <w:t>3.1–12</w:t>
        </w:r>
      </w:hyperlink>
      <w:r>
        <w:t>), é a região fértil de pastagem (</w:t>
      </w:r>
      <w:hyperlink r:id="rId11557">
        <w:r>
          <w:rPr>
            <w:color w:val="0000EE"/>
            <w:u w:val="single"/>
          </w:rPr>
          <w:t>Nm 32.1–5</w:t>
        </w:r>
      </w:hyperlink>
      <w:r>
        <w:t>) a leste do Mar de Quinerete (Galileia), cuja fronteira norte se estendia até o Monte Hermon e cuja fronteira sul, embora normalmente fosse o rio Yarmuk, na era mosaica era o Wadi Jaboque (</w:t>
      </w:r>
      <w:hyperlink r:id="rId13513">
        <w:r>
          <w:rPr>
            <w:color w:val="0000EE"/>
            <w:u w:val="single"/>
          </w:rPr>
          <w:t>Js 12.4–5</w:t>
        </w:r>
      </w:hyperlink>
      <w:r>
        <w:t>). Sua área territorial cobria aproximadamente 12.950 quilômetros quadrados. Suas principais cidades eram Astarote, Edrei e Golã. Após a conquista da terra, este território foi para a meia-tribo de Manassés, com Gade ocupando o sul de Gileade, e Rúben a região ao sul até o Wadi Arnom.</w:t>
      </w:r>
    </w:p>
    <w:p>
      <w:r/>
      <w:r>
        <w:t>Midianitas (</w:t>
      </w:r>
      <w:hyperlink r:id="rId15380">
        <w:r>
          <w:rPr>
            <w:color w:val="0000EE"/>
            <w:u w:val="single"/>
          </w:rPr>
          <w:t>25.16–18</w:t>
        </w:r>
      </w:hyperlink>
      <w:r>
        <w:t xml:space="preserve">; </w:t>
      </w:r>
      <w:hyperlink r:id="rId15381">
        <w:r>
          <w:rPr>
            <w:color w:val="0000EE"/>
            <w:u w:val="single"/>
          </w:rPr>
          <w:t>31.1–54</w:t>
        </w:r>
      </w:hyperlink>
      <w:r>
        <w:t>)</w:t>
      </w:r>
    </w:p>
    <w:p>
      <w:r/>
      <w:r>
        <w:t>Os midianitas, descendentes de Abraão através da concubina Quetura (</w:t>
      </w:r>
      <w:hyperlink r:id="rId11386">
        <w:r>
          <w:rPr>
            <w:color w:val="0000EE"/>
            <w:u w:val="single"/>
          </w:rPr>
          <w:t>Gn 25.2</w:t>
        </w:r>
      </w:hyperlink>
      <w:r>
        <w:t>), eram habitantes do deserto em Transjordânia, de Moabe até a região ao sul de Edom. Os anciãos de Moabe e Midiã cooperaram na contratação de Balaão para amaldiçoar Israel (</w:t>
      </w:r>
      <w:hyperlink r:id="rId15382">
        <w:r>
          <w:rPr>
            <w:color w:val="0000EE"/>
            <w:u w:val="single"/>
          </w:rPr>
          <w:t>Nm 22.4–7</w:t>
        </w:r>
      </w:hyperlink>
      <w:r>
        <w:t>). Mais tarde, quando esse esforço se mostrou infrutífero, os midianitas, novamente com Moabe, levaram Israel à idolatria e imoralidade (</w:t>
      </w:r>
      <w:hyperlink r:id="rId15383">
        <w:r>
          <w:rPr>
            <w:color w:val="0000EE"/>
            <w:u w:val="single"/>
          </w:rPr>
          <w:t>25.1–6,14–15</w:t>
        </w:r>
      </w:hyperlink>
      <w:r>
        <w:t>). Cosbi, a mulher midianita que foi executada por sua maldade (</w:t>
      </w:r>
      <w:hyperlink r:id="rId15384">
        <w:r>
          <w:rPr>
            <w:color w:val="0000EE"/>
            <w:u w:val="single"/>
          </w:rPr>
          <w:t>25.8</w:t>
        </w:r>
      </w:hyperlink>
      <w:r>
        <w:t>), era filha de Zur, um dos cinco reis midianitas confederados com o rei amorita Seom (</w:t>
      </w:r>
      <w:hyperlink r:id="rId8797">
        <w:r>
          <w:rPr>
            <w:color w:val="0000EE"/>
            <w:u w:val="single"/>
          </w:rPr>
          <w:t>Js 13.21</w:t>
        </w:r>
      </w:hyperlink>
      <w:r>
        <w:t>) que foram posteriormente mortos na guerra santa de Israel contra Midiã (</w:t>
      </w:r>
      <w:hyperlink r:id="rId2977">
        <w:r>
          <w:rPr>
            <w:color w:val="0000EE"/>
            <w:u w:val="single"/>
          </w:rPr>
          <w:t>Nm 31.8</w:t>
        </w:r>
      </w:hyperlink>
      <w:r>
        <w:t xml:space="preserve">). Esta guerra com Midiã aparentemente quebrou a resistência amorita remanescente, pois </w:t>
      </w:r>
      <w:hyperlink r:id="rId12230">
        <w:r>
          <w:rPr>
            <w:color w:val="0000EE"/>
            <w:u w:val="single"/>
          </w:rPr>
          <w:t>Josué 13.15–23</w:t>
        </w:r>
      </w:hyperlink>
      <w:r>
        <w:t xml:space="preserve"> claramente sugere que, como resultado, a tribo de Rúben ocupou este território.</w:t>
      </w:r>
    </w:p>
    <w:p>
      <w:pPr>
        <w:pStyle w:val="Heading3"/>
      </w:pPr>
      <w:r>
        <w:t>Propósito</w:t>
      </w:r>
    </w:p>
    <w:p>
      <w:r/>
      <w:r>
        <w:t xml:space="preserve">Números serve a um propósito duplo. Primeiro, como um livro histórico, contém o relato das experiências de Israel desde o Monte Sinai até as Campinas de Moabe, na véspera da conquista de Canaã — aquele período de quase 40 anos passado no deserto do Sinai e em Transjordânia (1447–1407 a.C.). Enquanto narra as muitas falhas de Israel e os muitos atos fiéis de Deus, retrata Moisés, o líder de Israel, em toda a sua grandeza e fraqueza. As duas listas do exército (caps. </w:t>
      </w:r>
      <w:hyperlink r:id="rId15357">
        <w:r>
          <w:rPr>
            <w:color w:val="0000EE"/>
            <w:u w:val="single"/>
          </w:rPr>
          <w:t>2</w:t>
        </w:r>
      </w:hyperlink>
      <w:r>
        <w:t xml:space="preserve"> e </w:t>
      </w:r>
      <w:hyperlink r:id="rId4698">
        <w:r>
          <w:rPr>
            <w:color w:val="0000EE"/>
            <w:u w:val="single"/>
          </w:rPr>
          <w:t>26</w:t>
        </w:r>
      </w:hyperlink>
      <w:r>
        <w:t>) introduzem os “atos” do principal drama de sua história: o primeiro em preparação para entrar na terra, que falhou devido à incredulidade de Israel; o segundo, após a morte de toda a geração que saiu do Egito, em preparação para a invasão bem-sucedida de Canaã sob a liderança de Josué.</w:t>
      </w:r>
    </w:p>
    <w:p>
      <w:r/>
      <w:r>
        <w:t>Em segundo lugar, em linha com a crença geral de Paulo de que “tudo o que está nas Escrituras foi escrito para nos ensinar, a fim de que tenhamos esperança por meio da paciência e da coragem que as Escrituras nos dão” (</w:t>
      </w:r>
      <w:hyperlink r:id="rId15385">
        <w:r>
          <w:rPr>
            <w:color w:val="0000EE"/>
            <w:u w:val="single"/>
          </w:rPr>
          <w:t>Rm 15.4</w:t>
        </w:r>
      </w:hyperlink>
      <w:r>
        <w:t>), e de acordo com seu ensinamento específico de que “tudo isso aconteceu com os nossos antepassados a fim de servir de exemplo para os outros, e aquelas coisas foram escritas a fim de servirem de aviso para nós. Pois estamos vivendo no fim dos tempos” (</w:t>
      </w:r>
      <w:hyperlink r:id="rId8111">
        <w:r>
          <w:rPr>
            <w:color w:val="0000EE"/>
            <w:u w:val="single"/>
          </w:rPr>
          <w:t>1Co 10.11</w:t>
        </w:r>
      </w:hyperlink>
      <w:r>
        <w:t xml:space="preserve">), Números serve a um propósito doutrinário, típico e exortativo (cf. v </w:t>
      </w:r>
      <w:hyperlink r:id="rId5809">
        <w:r>
          <w:rPr>
            <w:color w:val="0000EE"/>
            <w:u w:val="single"/>
          </w:rPr>
          <w:t>12</w:t>
        </w:r>
      </w:hyperlink>
      <w:r>
        <w:t>). Eventos históricos são divinamente investidos com verdades espirituais, tornando-se assim lições objetivas para o cristão.</w:t>
      </w:r>
    </w:p>
    <w:p>
      <w:pPr>
        <w:pStyle w:val="Heading3"/>
      </w:pPr>
      <w:r>
        <w:t>Conteúdo</w:t>
      </w:r>
    </w:p>
    <w:p>
      <w:pPr>
        <w:pStyle w:val="Heading4"/>
      </w:pPr>
      <w:r>
        <w:t xml:space="preserve">Capítulo </w:t>
      </w:r>
      <w:hyperlink r:id="rId15356">
        <w:r>
          <w:rPr>
            <w:color w:val="0000EE"/>
            <w:u w:val="single"/>
          </w:rPr>
          <w:t>1</w:t>
        </w:r>
      </w:hyperlink>
    </w:p>
    <w:p>
      <w:r/>
      <w:r>
        <w:t>O Senhor ordenou a Moisés que registrasse (</w:t>
      </w:r>
      <w:hyperlink r:id="rId15386">
        <w:r>
          <w:rPr>
            <w:color w:val="0000EE"/>
            <w:u w:val="single"/>
          </w:rPr>
          <w:t>Nm 1.18</w:t>
        </w:r>
      </w:hyperlink>
      <w:r>
        <w:t xml:space="preserve">) os homens aptos para ir à guerra (vv </w:t>
      </w:r>
      <w:hyperlink r:id="rId9813">
        <w:r>
          <w:rPr>
            <w:color w:val="0000EE"/>
            <w:u w:val="single"/>
          </w:rPr>
          <w:t>2–3</w:t>
        </w:r>
      </w:hyperlink>
      <w:r>
        <w:t xml:space="preserve">). O número total de soldados em Israel era de 603.550 (v </w:t>
      </w:r>
      <w:hyperlink r:id="rId15326">
        <w:r>
          <w:rPr>
            <w:color w:val="0000EE"/>
            <w:u w:val="single"/>
          </w:rPr>
          <w:t>46</w:t>
        </w:r>
      </w:hyperlink>
      <w:r>
        <w:t xml:space="preserve">). Os levitas não foram contados neste registro (vv </w:t>
      </w:r>
      <w:hyperlink r:id="rId15387">
        <w:r>
          <w:rPr>
            <w:color w:val="0000EE"/>
            <w:u w:val="single"/>
          </w:rPr>
          <w:t>47–54</w:t>
        </w:r>
      </w:hyperlink>
      <w:r>
        <w:t>), pois deveriam ser separados para um serviço especial relacionado ao tabernáculo.</w:t>
      </w:r>
    </w:p>
    <w:p>
      <w:pPr>
        <w:pStyle w:val="Heading4"/>
      </w:pPr>
      <w:r>
        <w:t xml:space="preserve">Capítulo </w:t>
      </w:r>
      <w:hyperlink r:id="rId15357">
        <w:r>
          <w:rPr>
            <w:color w:val="0000EE"/>
            <w:u w:val="single"/>
          </w:rPr>
          <w:t>2</w:t>
        </w:r>
      </w:hyperlink>
    </w:p>
    <w:p>
      <w:r/>
      <w:r>
        <w:t xml:space="preserve">O Senhor instruiu Moisés sobre o arranjo das tribos enquanto acampavam e durante a marcha. Com o tabernáculo no centro do acampamento, Judá, Issacar e Zebulom, totalizando 186.400 (v </w:t>
      </w:r>
      <w:hyperlink r:id="rId15388">
        <w:r>
          <w:rPr>
            <w:color w:val="0000EE"/>
            <w:u w:val="single"/>
          </w:rPr>
          <w:t>9</w:t>
        </w:r>
      </w:hyperlink>
      <w:r>
        <w:t xml:space="preserve">), deveriam acampar no leste; Rúben, Simeão e Gade, totalizando 151.450 (v </w:t>
      </w:r>
      <w:hyperlink r:id="rId15389">
        <w:r>
          <w:rPr>
            <w:color w:val="0000EE"/>
            <w:u w:val="single"/>
          </w:rPr>
          <w:t>16</w:t>
        </w:r>
      </w:hyperlink>
      <w:r>
        <w:t xml:space="preserve">), deveriam acampar no sul; Efraim, Manassés e Benjamim, totalizando 108.100 (v </w:t>
      </w:r>
      <w:hyperlink r:id="rId15390">
        <w:r>
          <w:rPr>
            <w:color w:val="0000EE"/>
            <w:u w:val="single"/>
          </w:rPr>
          <w:t>24</w:t>
        </w:r>
      </w:hyperlink>
      <w:r>
        <w:t xml:space="preserve">), deveriam acampar no oeste; e Dã, Aser e Naftali, totalizando 157.600 (v </w:t>
      </w:r>
      <w:hyperlink r:id="rId6464">
        <w:r>
          <w:rPr>
            <w:color w:val="0000EE"/>
            <w:u w:val="single"/>
          </w:rPr>
          <w:t>31</w:t>
        </w:r>
      </w:hyperlink>
      <w:r>
        <w:t>), deveriam acampar no norte.</w:t>
      </w:r>
    </w:p>
    <w:p>
      <w:r/>
      <w:r>
        <w:t xml:space="preserve">Na marcha, o grupo Leste de Judá (v </w:t>
      </w:r>
      <w:hyperlink r:id="rId15388">
        <w:r>
          <w:rPr>
            <w:color w:val="0000EE"/>
            <w:u w:val="single"/>
          </w:rPr>
          <w:t>9</w:t>
        </w:r>
      </w:hyperlink>
      <w:r>
        <w:t xml:space="preserve">) deveria partir primeiro, seguido pelo grupo sul de Rúben (v </w:t>
      </w:r>
      <w:hyperlink r:id="rId15389">
        <w:r>
          <w:rPr>
            <w:color w:val="0000EE"/>
            <w:u w:val="single"/>
          </w:rPr>
          <w:t>16</w:t>
        </w:r>
      </w:hyperlink>
      <w:r>
        <w:t xml:space="preserve">). Os levitas com o tabernáculo deveriam seguir (v </w:t>
      </w:r>
      <w:hyperlink r:id="rId15391">
        <w:r>
          <w:rPr>
            <w:color w:val="0000EE"/>
            <w:u w:val="single"/>
          </w:rPr>
          <w:t>17</w:t>
        </w:r>
      </w:hyperlink>
      <w:r>
        <w:t xml:space="preserve">). Então, o grupo oeste de Efraim (v </w:t>
      </w:r>
      <w:hyperlink r:id="rId15390">
        <w:r>
          <w:rPr>
            <w:color w:val="0000EE"/>
            <w:u w:val="single"/>
          </w:rPr>
          <w:t>24</w:t>
        </w:r>
      </w:hyperlink>
      <w:r>
        <w:t xml:space="preserve">) deveria seguir os levitas, com o grupo norte de Dã (v </w:t>
      </w:r>
      <w:hyperlink r:id="rId6464">
        <w:r>
          <w:rPr>
            <w:color w:val="0000EE"/>
            <w:u w:val="single"/>
          </w:rPr>
          <w:t>31</w:t>
        </w:r>
      </w:hyperlink>
      <w:r>
        <w:t>) fechando a retaguarda. Isso significa que os levitas estavam flanqueados por dois grupos, à frente e atrás.</w:t>
      </w:r>
    </w:p>
    <w:p>
      <w:pPr>
        <w:pStyle w:val="Heading4"/>
      </w:pPr>
      <w:r>
        <w:t xml:space="preserve">Capítulo </w:t>
      </w:r>
      <w:hyperlink r:id="rId15358">
        <w:r>
          <w:rPr>
            <w:color w:val="0000EE"/>
            <w:u w:val="single"/>
          </w:rPr>
          <w:t>3</w:t>
        </w:r>
      </w:hyperlink>
    </w:p>
    <w:p>
      <w:r/>
      <w:r>
        <w:t>Arão, bisneto de Levi através de Coate (</w:t>
      </w:r>
      <w:hyperlink r:id="rId1975">
        <w:r>
          <w:rPr>
            <w:color w:val="0000EE"/>
            <w:u w:val="single"/>
          </w:rPr>
          <w:t>Êx 6.16–20</w:t>
        </w:r>
      </w:hyperlink>
      <w:r>
        <w:t>), e seus descendentes foram designados para servir como sacerdotes no tabernáculo (</w:t>
      </w:r>
      <w:hyperlink r:id="rId15392">
        <w:r>
          <w:rPr>
            <w:color w:val="0000EE"/>
            <w:u w:val="single"/>
          </w:rPr>
          <w:t>Nm 3.2–3</w:t>
        </w:r>
      </w:hyperlink>
      <w:r>
        <w:t xml:space="preserve">). Os demais descendentes de Levi, das famílias de Gérson, Coate e Merari, deveriam servir à linhagem de Arão no tabernáculo (vv </w:t>
      </w:r>
      <w:hyperlink r:id="rId15393">
        <w:r>
          <w:rPr>
            <w:color w:val="0000EE"/>
            <w:u w:val="single"/>
          </w:rPr>
          <w:t>5–10</w:t>
        </w:r>
      </w:hyperlink>
      <w:r>
        <w:t xml:space="preserve">). Os gersonitas eram responsáveis pelas coberturas, cortinas e telas do tabernáculo (vv </w:t>
      </w:r>
      <w:hyperlink r:id="rId9923">
        <w:r>
          <w:rPr>
            <w:color w:val="0000EE"/>
            <w:u w:val="single"/>
          </w:rPr>
          <w:t>25–26</w:t>
        </w:r>
      </w:hyperlink>
      <w:r>
        <w:t xml:space="preserve">); os coatitas eram responsáveis pelo “mobiliário” no tabernáculo (v </w:t>
      </w:r>
      <w:hyperlink r:id="rId2435">
        <w:r>
          <w:rPr>
            <w:color w:val="0000EE"/>
            <w:u w:val="single"/>
          </w:rPr>
          <w:t>31</w:t>
        </w:r>
      </w:hyperlink>
      <w:r>
        <w:t xml:space="preserve">); e os meraritas eram responsáveis pelas armações, barras e fundações do tabernáculo (vv </w:t>
      </w:r>
      <w:hyperlink r:id="rId14256">
        <w:r>
          <w:rPr>
            <w:color w:val="0000EE"/>
            <w:u w:val="single"/>
          </w:rPr>
          <w:t>36–37</w:t>
        </w:r>
      </w:hyperlink>
      <w:r>
        <w:t>).</w:t>
      </w:r>
    </w:p>
    <w:p>
      <w:r/>
      <w:r>
        <w:t xml:space="preserve">Deus instruiu Moisés a numerar as três famílias levíticas. Os descendentes de Gérson, totalizando 7.500 (v </w:t>
      </w:r>
      <w:hyperlink r:id="rId9921">
        <w:r>
          <w:rPr>
            <w:color w:val="0000EE"/>
            <w:u w:val="single"/>
          </w:rPr>
          <w:t>22</w:t>
        </w:r>
      </w:hyperlink>
      <w:r>
        <w:t xml:space="preserve">), deviam acampar no oeste, entre o grupo ocidental de tribos e o tabernáculo. Os descendentes de Coate, totalizando 8.600 (v </w:t>
      </w:r>
      <w:hyperlink r:id="rId15394">
        <w:r>
          <w:rPr>
            <w:color w:val="0000EE"/>
            <w:u w:val="single"/>
          </w:rPr>
          <w:t>28</w:t>
        </w:r>
      </w:hyperlink>
      <w:r>
        <w:t xml:space="preserve">), deviam acampar no sul, entre o grupo meridional de tribos e o tabernáculo. Os descendentes de Merari, totalizando 6.200 (v </w:t>
      </w:r>
      <w:hyperlink r:id="rId15395">
        <w:r>
          <w:rPr>
            <w:color w:val="0000EE"/>
            <w:u w:val="single"/>
          </w:rPr>
          <w:t>34</w:t>
        </w:r>
      </w:hyperlink>
      <w:r>
        <w:t xml:space="preserve">), deviam acampar no norte, entre o grupo setentrional de tribos e o tabernáculo. Moisés e a família de Arão deviam acampar no leste, entre o grupo oriental de tribos e o tabernáculo (v </w:t>
      </w:r>
      <w:hyperlink r:id="rId15396">
        <w:r>
          <w:rPr>
            <w:color w:val="0000EE"/>
            <w:u w:val="single"/>
          </w:rPr>
          <w:t>38</w:t>
        </w:r>
      </w:hyperlink>
      <w:r>
        <w:t>). Tanto no acampamento quanto na marcha, o tabernáculo estava no meio de Israel.</w:t>
      </w:r>
    </w:p>
    <w:p>
      <w:r/>
      <w:r>
        <w:t xml:space="preserve">O censo dos primogênitos de Israel revelou 273 bebês do sexo masculino a mais do que os levitas (vv </w:t>
      </w:r>
      <w:hyperlink r:id="rId15397">
        <w:r>
          <w:rPr>
            <w:color w:val="0000EE"/>
            <w:u w:val="single"/>
          </w:rPr>
          <w:t>40–46</w:t>
        </w:r>
      </w:hyperlink>
      <w:r>
        <w:t xml:space="preserve">), e como os levitas eram um resgate para os homens israelitas em uma base de um para um, as 273 crianças do sexo masculino adicionais tiveram que ser resgatadas por dinheiro de expiação (vv </w:t>
      </w:r>
      <w:hyperlink r:id="rId15398">
        <w:r>
          <w:rPr>
            <w:color w:val="0000EE"/>
            <w:u w:val="single"/>
          </w:rPr>
          <w:t>46–51</w:t>
        </w:r>
      </w:hyperlink>
      <w:r>
        <w:t>).</w:t>
      </w:r>
    </w:p>
    <w:p>
      <w:pPr>
        <w:pStyle w:val="Heading4"/>
      </w:pPr>
      <w:r>
        <w:t xml:space="preserve">Capítulo </w:t>
      </w:r>
      <w:hyperlink r:id="rId2446">
        <w:r>
          <w:rPr>
            <w:color w:val="0000EE"/>
            <w:u w:val="single"/>
          </w:rPr>
          <w:t>4</w:t>
        </w:r>
      </w:hyperlink>
    </w:p>
    <w:p>
      <w:r/>
      <w:r>
        <w:t xml:space="preserve">Deus instruiu Moisés que apenas os levitas entre as idades de 30 e 50 anos deveriam servir no tabernáculo. Um censo revelou que havia 2.750 coatitas (v </w:t>
      </w:r>
      <w:hyperlink r:id="rId15399">
        <w:r>
          <w:rPr>
            <w:color w:val="0000EE"/>
            <w:u w:val="single"/>
          </w:rPr>
          <w:t>36</w:t>
        </w:r>
      </w:hyperlink>
      <w:r>
        <w:t xml:space="preserve">), 2.630 gersonitas (v </w:t>
      </w:r>
      <w:hyperlink r:id="rId15400">
        <w:r>
          <w:rPr>
            <w:color w:val="0000EE"/>
            <w:u w:val="single"/>
          </w:rPr>
          <w:t>40</w:t>
        </w:r>
      </w:hyperlink>
      <w:r>
        <w:t xml:space="preserve">) e 3.200 meraritas (v </w:t>
      </w:r>
      <w:hyperlink r:id="rId15401">
        <w:r>
          <w:rPr>
            <w:color w:val="0000EE"/>
            <w:u w:val="single"/>
          </w:rPr>
          <w:t>44</w:t>
        </w:r>
      </w:hyperlink>
      <w:r>
        <w:t xml:space="preserve">), totalizando 8.580 (v </w:t>
      </w:r>
      <w:hyperlink r:id="rId15402">
        <w:r>
          <w:rPr>
            <w:color w:val="0000EE"/>
            <w:u w:val="single"/>
          </w:rPr>
          <w:t>48</w:t>
        </w:r>
      </w:hyperlink>
      <w:r>
        <w:t>) que eram elegíveis para servir aos sacerdotes arônicos.</w:t>
      </w:r>
    </w:p>
    <w:p>
      <w:r/>
      <w:r>
        <w:t xml:space="preserve">Deus ordenou ainda aos sacerdotes aarônicos, quando o tabernáculo estava sendo desmontado para a marcha, que cobrissem todos os “móveis” do tabernáculo antes que os coatitas sequer olhassem para eles (v </w:t>
      </w:r>
      <w:hyperlink r:id="rId15403">
        <w:r>
          <w:rPr>
            <w:color w:val="0000EE"/>
            <w:u w:val="single"/>
          </w:rPr>
          <w:t>20</w:t>
        </w:r>
      </w:hyperlink>
      <w:r>
        <w:t xml:space="preserve">), para que os coatitas, ao olhar ou tocar neles (v </w:t>
      </w:r>
      <w:hyperlink r:id="rId15404">
        <w:r>
          <w:rPr>
            <w:color w:val="0000EE"/>
            <w:u w:val="single"/>
          </w:rPr>
          <w:t>15</w:t>
        </w:r>
      </w:hyperlink>
      <w:r>
        <w:t xml:space="preserve">), não morressem (vv </w:t>
      </w:r>
      <w:hyperlink r:id="rId15405">
        <w:r>
          <w:rPr>
            <w:color w:val="0000EE"/>
            <w:u w:val="single"/>
          </w:rPr>
          <w:t>15,20</w:t>
        </w:r>
      </w:hyperlink>
      <w:r>
        <w:t>).</w:t>
      </w:r>
    </w:p>
    <w:p>
      <w:pPr>
        <w:pStyle w:val="Heading4"/>
      </w:pPr>
      <w:r>
        <w:t xml:space="preserve">Capítulo </w:t>
      </w:r>
      <w:hyperlink r:id="rId152">
        <w:r>
          <w:rPr>
            <w:color w:val="0000EE"/>
            <w:u w:val="single"/>
          </w:rPr>
          <w:t>5</w:t>
        </w:r>
      </w:hyperlink>
    </w:p>
    <w:p>
      <w:r/>
      <w:r>
        <w:t xml:space="preserve">Para fins cerimoniais, Deus exigia que os leprosos, aqueles com uma descarga corporal e aqueles que haviam tocado os mortos, fossem colocados fora do acampamento até serem purificados (vv </w:t>
      </w:r>
      <w:hyperlink r:id="rId15406">
        <w:r>
          <w:rPr>
            <w:color w:val="0000EE"/>
            <w:u w:val="single"/>
          </w:rPr>
          <w:t>1–4</w:t>
        </w:r>
      </w:hyperlink>
      <w:r>
        <w:t xml:space="preserve">). Além disso, Deus instruiu que aqueles que faziam restituição por um erro, se a pessoa prejudicada não estivesse mais viva, deveriam dar o valor da restituição a um sacerdote (vv </w:t>
      </w:r>
      <w:hyperlink r:id="rId15407">
        <w:r>
          <w:rPr>
            <w:color w:val="0000EE"/>
            <w:u w:val="single"/>
          </w:rPr>
          <w:t>5–10</w:t>
        </w:r>
      </w:hyperlink>
      <w:r>
        <w:t>).</w:t>
      </w:r>
    </w:p>
    <w:p>
      <w:r/>
      <w:r>
        <w:t xml:space="preserve">Finalmente, se uma mulher fosse suspeita pelo marido de infidelidade, mas não houvesse evidências disso, a mulher deveria passar por uma prova de água para aliviar as suspeitas do homem. O sacerdote deveria dar-lhe água sagrada com poeira do chão do tabernáculo para beber. Se ela fosse culpada, a água, por direção divina, causaria dor, faria seu abdômen inchar e sua coxa definhar (vv </w:t>
      </w:r>
      <w:hyperlink r:id="rId15">
        <w:r>
          <w:rPr>
            <w:color w:val="0000EE"/>
            <w:u w:val="single"/>
          </w:rPr>
          <w:t>11–31</w:t>
        </w:r>
      </w:hyperlink>
      <w:r>
        <w:t>).</w:t>
      </w:r>
    </w:p>
    <w:p>
      <w:pPr>
        <w:pStyle w:val="Heading4"/>
      </w:pPr>
      <w:r>
        <w:t xml:space="preserve">Capítulo </w:t>
      </w:r>
      <w:hyperlink r:id="rId15408">
        <w:r>
          <w:rPr>
            <w:color w:val="0000EE"/>
            <w:u w:val="single"/>
          </w:rPr>
          <w:t>6</w:t>
        </w:r>
      </w:hyperlink>
    </w:p>
    <w:p>
      <w:r/>
      <w:r>
        <w:t xml:space="preserve">As leis referentes ao nazireu foram dadas em seguida. Um nazireu era uma pessoa que decidia fazer um voto para se separar totalmente para o Senhor. Para simbolizar essa separação, o nazireu não deveria beber nenhuma bebida intoxicante, deveria deixar o cabelo crescer e não tocar em nenhum corpo morto (vv </w:t>
      </w:r>
      <w:hyperlink r:id="rId15409">
        <w:r>
          <w:rPr>
            <w:color w:val="0000EE"/>
            <w:u w:val="single"/>
          </w:rPr>
          <w:t>3–6</w:t>
        </w:r>
      </w:hyperlink>
      <w:r>
        <w:t xml:space="preserve">). Caso se contaminasse, deveria seguir regras prescritas para a purificação cerimonial (vv </w:t>
      </w:r>
      <w:hyperlink r:id="rId15115">
        <w:r>
          <w:rPr>
            <w:color w:val="0000EE"/>
            <w:u w:val="single"/>
          </w:rPr>
          <w:t>9–12</w:t>
        </w:r>
      </w:hyperlink>
      <w:r>
        <w:t xml:space="preserve">). Quando seu voto chegasse ao fim, deveria seguir regras prescritas para encerrar seu voto (vv </w:t>
      </w:r>
      <w:hyperlink r:id="rId15116">
        <w:r>
          <w:rPr>
            <w:color w:val="0000EE"/>
            <w:u w:val="single"/>
          </w:rPr>
          <w:t>13–21</w:t>
        </w:r>
      </w:hyperlink>
      <w:r>
        <w:t xml:space="preserve">). Finalmente, Deus instruiu o sacerdócio aarônico sobre a bênção que deveriam pronunciar sobre o adorador israelita (vv </w:t>
      </w:r>
      <w:hyperlink r:id="rId48">
        <w:r>
          <w:rPr>
            <w:color w:val="0000EE"/>
            <w:u w:val="single"/>
          </w:rPr>
          <w:t>22–27</w:t>
        </w:r>
      </w:hyperlink>
      <w:r>
        <w:t>).</w:t>
      </w:r>
    </w:p>
    <w:p>
      <w:pPr>
        <w:pStyle w:val="Heading4"/>
      </w:pPr>
      <w:r>
        <w:t xml:space="preserve">Capítulo </w:t>
      </w:r>
      <w:hyperlink r:id="rId1534">
        <w:r>
          <w:rPr>
            <w:color w:val="0000EE"/>
            <w:u w:val="single"/>
          </w:rPr>
          <w:t>7</w:t>
        </w:r>
      </w:hyperlink>
    </w:p>
    <w:p>
      <w:r/>
      <w:r>
        <w:t>Os líderes em Israel trouxeram seis carroças e doze bois para uso na transferência do tabernáculo (</w:t>
      </w:r>
      <w:hyperlink r:id="rId1560">
        <w:r>
          <w:rPr>
            <w:color w:val="0000EE"/>
            <w:u w:val="single"/>
          </w:rPr>
          <w:t>7.3</w:t>
        </w:r>
      </w:hyperlink>
      <w:r>
        <w:t xml:space="preserve">). Moisés deu duas carroças e quatro bois aos gersonitas (v </w:t>
      </w:r>
      <w:hyperlink r:id="rId15410">
        <w:r>
          <w:rPr>
            <w:color w:val="0000EE"/>
            <w:u w:val="single"/>
          </w:rPr>
          <w:t>7</w:t>
        </w:r>
      </w:hyperlink>
      <w:r>
        <w:t xml:space="preserve">), e quatro carroças e oito bois aos meraritas (v </w:t>
      </w:r>
      <w:hyperlink r:id="rId11462">
        <w:r>
          <w:rPr>
            <w:color w:val="0000EE"/>
            <w:u w:val="single"/>
          </w:rPr>
          <w:t>8</w:t>
        </w:r>
      </w:hyperlink>
      <w:r>
        <w:t xml:space="preserve">). (Os coatitas deveriam carregar o “mobiliário” do tabernáculo sobre os ombros, v </w:t>
      </w:r>
      <w:hyperlink r:id="rId5028">
        <w:r>
          <w:rPr>
            <w:color w:val="0000EE"/>
            <w:u w:val="single"/>
          </w:rPr>
          <w:t>9</w:t>
        </w:r>
      </w:hyperlink>
      <w:r>
        <w:t xml:space="preserve">.) Por doze dias consecutivos, para consagrar o altar após ele ter sido ungido (vv </w:t>
      </w:r>
      <w:hyperlink r:id="rId15411">
        <w:r>
          <w:rPr>
            <w:color w:val="0000EE"/>
            <w:u w:val="single"/>
          </w:rPr>
          <w:t>10,88</w:t>
        </w:r>
      </w:hyperlink>
      <w:r>
        <w:t xml:space="preserve">), os líderes tribais, na ordem de marcha (cf. cap. </w:t>
      </w:r>
      <w:hyperlink r:id="rId15357">
        <w:r>
          <w:rPr>
            <w:color w:val="0000EE"/>
            <w:u w:val="single"/>
          </w:rPr>
          <w:t>2</w:t>
        </w:r>
      </w:hyperlink>
      <w:r>
        <w:t xml:space="preserve">), trouxeram ofertas semelhantes. Deus demonstrou seu agrado com este gesto ao falar com Moisés do propiciatório (v </w:t>
      </w:r>
      <w:hyperlink r:id="rId2433">
        <w:r>
          <w:rPr>
            <w:color w:val="0000EE"/>
            <w:u w:val="single"/>
          </w:rPr>
          <w:t>89</w:t>
        </w:r>
      </w:hyperlink>
      <w:r>
        <w:t>).</w:t>
      </w:r>
    </w:p>
    <w:p>
      <w:pPr>
        <w:pStyle w:val="Heading4"/>
      </w:pPr>
      <w:r>
        <w:t xml:space="preserve">Capítulo </w:t>
      </w:r>
      <w:hyperlink r:id="rId1535">
        <w:r>
          <w:rPr>
            <w:color w:val="0000EE"/>
            <w:u w:val="single"/>
          </w:rPr>
          <w:t>8</w:t>
        </w:r>
      </w:hyperlink>
    </w:p>
    <w:p>
      <w:r/>
      <w:r>
        <w:t xml:space="preserve">Deus concedeu aos sacerdotes aarônicos a prerrogativa de acender o candelabro de sete braços (vv </w:t>
      </w:r>
      <w:hyperlink r:id="rId15412">
        <w:r>
          <w:rPr>
            <w:color w:val="0000EE"/>
            <w:u w:val="single"/>
          </w:rPr>
          <w:t>1–4</w:t>
        </w:r>
      </w:hyperlink>
      <w:r>
        <w:t xml:space="preserve">). Seguindo instruções divinas, Moisés e Arão consagraram os levitas ao serviço do tabernáculo por meio de uma cerimônia de purificação (vv </w:t>
      </w:r>
      <w:hyperlink r:id="rId15413">
        <w:r>
          <w:rPr>
            <w:color w:val="0000EE"/>
            <w:u w:val="single"/>
          </w:rPr>
          <w:t>5–22</w:t>
        </w:r>
      </w:hyperlink>
      <w:r>
        <w:t>).</w:t>
      </w:r>
    </w:p>
    <w:p>
      <w:pPr>
        <w:pStyle w:val="Heading4"/>
      </w:pPr>
      <w:r>
        <w:t xml:space="preserve">Capítulos </w:t>
      </w:r>
      <w:hyperlink r:id="rId15414">
        <w:r>
          <w:rPr>
            <w:color w:val="0000EE"/>
            <w:u w:val="single"/>
          </w:rPr>
          <w:t>9.1–10.10</w:t>
        </w:r>
      </w:hyperlink>
    </w:p>
    <w:p>
      <w:r/>
      <w:r>
        <w:t xml:space="preserve">Para o benefício do adorador que estava cerimonialmente impuro ou em viagem na época da Páscoa, Deus concedeu permissão para observar a Páscoa um mês depois (vv </w:t>
      </w:r>
      <w:hyperlink r:id="rId15415">
        <w:r>
          <w:rPr>
            <w:color w:val="0000EE"/>
            <w:u w:val="single"/>
          </w:rPr>
          <w:t>6–12</w:t>
        </w:r>
      </w:hyperlink>
      <w:r>
        <w:t xml:space="preserve">; veja também cap. </w:t>
      </w:r>
      <w:hyperlink r:id="rId15416">
        <w:r>
          <w:rPr>
            <w:color w:val="0000EE"/>
            <w:u w:val="single"/>
          </w:rPr>
          <w:t>27</w:t>
        </w:r>
      </w:hyperlink>
      <w:r>
        <w:t>).</w:t>
      </w:r>
    </w:p>
    <w:p>
      <w:r/>
      <w:r>
        <w:t>Deus deu instruções finais ao povo antes de sua partida do Sinai. Eles deveriam se preparar para marchar quando vissem a nuvem subindo do tabernáculo, e deveriam parar no lugar onde a nuvem se estabelecesse (</w:t>
      </w:r>
      <w:hyperlink r:id="rId15417">
        <w:r>
          <w:rPr>
            <w:color w:val="0000EE"/>
            <w:u w:val="single"/>
          </w:rPr>
          <w:t>9.15–23</w:t>
        </w:r>
      </w:hyperlink>
      <w:r>
        <w:t>). O povo deveria se reunir no tabernáculo se duas trombetas de prata fossem tocadas; apenas os líderes deveriam vir se uma fosse tocada; e ao som de um alarme militar, os vários grupos de tribos deveriam se preparar para uma marcha imediata (</w:t>
      </w:r>
      <w:hyperlink r:id="rId15418">
        <w:r>
          <w:rPr>
            <w:color w:val="0000EE"/>
            <w:u w:val="single"/>
          </w:rPr>
          <w:t>10.1–10</w:t>
        </w:r>
      </w:hyperlink>
      <w:r>
        <w:t>).</w:t>
      </w:r>
    </w:p>
    <w:p>
      <w:pPr>
        <w:pStyle w:val="Heading4"/>
      </w:pPr>
      <w:r>
        <w:t xml:space="preserve">Capítulos </w:t>
      </w:r>
      <w:hyperlink r:id="rId15419">
        <w:r>
          <w:rPr>
            <w:color w:val="0000EE"/>
            <w:u w:val="single"/>
          </w:rPr>
          <w:t>10.11–14.45</w:t>
        </w:r>
      </w:hyperlink>
    </w:p>
    <w:p>
      <w:r/>
      <w:r>
        <w:t xml:space="preserve">A próxima seção relata a marcha do Sinai a Cades-Barneia, um período de aproximadamente um mês e meio a dois meses (cf. </w:t>
      </w:r>
      <w:hyperlink r:id="rId15420">
        <w:r>
          <w:rPr>
            <w:color w:val="0000EE"/>
            <w:u w:val="single"/>
          </w:rPr>
          <w:t>10.11</w:t>
        </w:r>
      </w:hyperlink>
      <w:r>
        <w:t xml:space="preserve">; </w:t>
      </w:r>
      <w:hyperlink r:id="rId15421">
        <w:r>
          <w:rPr>
            <w:color w:val="0000EE"/>
            <w:u w:val="single"/>
          </w:rPr>
          <w:t>13.20</w:t>
        </w:r>
      </w:hyperlink>
      <w:r>
        <w:t>). Quase imediatamente, o povo começou a reclamar ao passar pelo terrível deserto de Parã (</w:t>
      </w:r>
      <w:hyperlink r:id="rId14384">
        <w:r>
          <w:rPr>
            <w:color w:val="0000EE"/>
            <w:u w:val="single"/>
          </w:rPr>
          <w:t>Dt 1.19</w:t>
        </w:r>
      </w:hyperlink>
      <w:r>
        <w:t>), irritando o Senhor em Taberá (</w:t>
      </w:r>
      <w:hyperlink r:id="rId15422">
        <w:r>
          <w:rPr>
            <w:color w:val="0000EE"/>
            <w:u w:val="single"/>
          </w:rPr>
          <w:t>Nm 11.1–3</w:t>
        </w:r>
      </w:hyperlink>
      <w:r>
        <w:t>) e em Quibrote-Hataavá (</w:t>
      </w:r>
      <w:hyperlink r:id="rId15423">
        <w:r>
          <w:rPr>
            <w:color w:val="0000EE"/>
            <w:u w:val="single"/>
          </w:rPr>
          <w:t>Nm 11.4–35</w:t>
        </w:r>
      </w:hyperlink>
      <w:r>
        <w:t xml:space="preserve">; </w:t>
      </w:r>
      <w:hyperlink r:id="rId15424">
        <w:r>
          <w:rPr>
            <w:color w:val="0000EE"/>
            <w:u w:val="single"/>
          </w:rPr>
          <w:t>Sl 78.26–31</w:t>
        </w:r>
      </w:hyperlink>
      <w:r>
        <w:t xml:space="preserve">; </w:t>
      </w:r>
      <w:hyperlink r:id="rId15425">
        <w:r>
          <w:rPr>
            <w:color w:val="0000EE"/>
            <w:u w:val="single"/>
          </w:rPr>
          <w:t>106.13–15</w:t>
        </w:r>
      </w:hyperlink>
      <w:r>
        <w:t>). Miriã e Arão desafiaram o direito exclusivo de Moisés de falar por Deus ao povo, o que resultou em lepra temporária como punição para Miriã (sem dúvida a líder na provocação). Através da intercessão de Moisés, os dois foram perdoados (</w:t>
      </w:r>
      <w:hyperlink r:id="rId7438">
        <w:r>
          <w:rPr>
            <w:color w:val="0000EE"/>
            <w:u w:val="single"/>
          </w:rPr>
          <w:t>Nm 12</w:t>
        </w:r>
      </w:hyperlink>
      <w:r>
        <w:t xml:space="preserve">). Deste evento, no entanto, surgiu a notável descrição da relação de Moisés com Deus como um meio único de revelação (vv </w:t>
      </w:r>
      <w:hyperlink r:id="rId15426">
        <w:r>
          <w:rPr>
            <w:color w:val="0000EE"/>
            <w:u w:val="single"/>
          </w:rPr>
          <w:t>6–8</w:t>
        </w:r>
      </w:hyperlink>
      <w:r>
        <w:t>).</w:t>
      </w:r>
    </w:p>
    <w:p>
      <w:r/>
      <w:r>
        <w:t xml:space="preserve">De Parã (Cades-Barneia), Moisés enviou os espiões para explorar a terra (cap. </w:t>
      </w:r>
      <w:hyperlink r:id="rId15427">
        <w:r>
          <w:rPr>
            <w:color w:val="0000EE"/>
            <w:u w:val="single"/>
          </w:rPr>
          <w:t>13</w:t>
        </w:r>
      </w:hyperlink>
      <w:r>
        <w:t xml:space="preserve">). </w:t>
      </w:r>
      <w:hyperlink r:id="rId15428">
        <w:r>
          <w:rPr>
            <w:color w:val="0000EE"/>
            <w:u w:val="single"/>
          </w:rPr>
          <w:t>Deuteronômio 1.22</w:t>
        </w:r>
      </w:hyperlink>
      <w:r>
        <w:t xml:space="preserve"> sugere que o plano de espionar a terra originou-se com o povo, com Moisés (a pedido de Deus) consentindo. Ao final de 40 dias, eles retornaram. Apenas Calebe e Josué incentivaram o povo a avançar para a conquista; os outros 10 espiões falaram de inimigos muito formidáveis para eles derrotarem. O povo, muito desencorajado, tentou apedrejar Calebe e Josué (</w:t>
      </w:r>
      <w:hyperlink r:id="rId15429">
        <w:r>
          <w:rPr>
            <w:color w:val="0000EE"/>
            <w:u w:val="single"/>
          </w:rPr>
          <w:t>Nm 14.10</w:t>
        </w:r>
      </w:hyperlink>
      <w:r>
        <w:t>), e foram impedidos de fazê-lo apenas pela aparição repentina da nuvem de glória no tabernáculo. Deus jurou em sua ira (</w:t>
      </w:r>
      <w:hyperlink r:id="rId15430">
        <w:r>
          <w:rPr>
            <w:color w:val="0000EE"/>
            <w:u w:val="single"/>
          </w:rPr>
          <w:t>Nm 14.21</w:t>
        </w:r>
      </w:hyperlink>
      <w:r>
        <w:t xml:space="preserve">; cf. </w:t>
      </w:r>
      <w:hyperlink r:id="rId15431">
        <w:r>
          <w:rPr>
            <w:color w:val="0000EE"/>
            <w:u w:val="single"/>
          </w:rPr>
          <w:t>Hb 3.7–4.10</w:t>
        </w:r>
      </w:hyperlink>
      <w:r>
        <w:t>) que, com exceção de Calebe e Josué, nenhum daquela geração entraria na terra prometida (</w:t>
      </w:r>
      <w:hyperlink r:id="rId15432">
        <w:r>
          <w:rPr>
            <w:color w:val="0000EE"/>
            <w:u w:val="single"/>
          </w:rPr>
          <w:t>Nm 14.21–35</w:t>
        </w:r>
      </w:hyperlink>
      <w:r>
        <w:t xml:space="preserve">). Ele então abateu os 10 espiões incrédulos (v </w:t>
      </w:r>
      <w:hyperlink r:id="rId1081">
        <w:r>
          <w:rPr>
            <w:color w:val="0000EE"/>
            <w:u w:val="single"/>
          </w:rPr>
          <w:t>37</w:t>
        </w:r>
      </w:hyperlink>
      <w:r>
        <w:t>). Presunçosamente, e apesar do comando expresso de Deus em contrário (</w:t>
      </w:r>
      <w:hyperlink r:id="rId15433">
        <w:r>
          <w:rPr>
            <w:color w:val="0000EE"/>
            <w:u w:val="single"/>
          </w:rPr>
          <w:t>Dt 1.42</w:t>
        </w:r>
      </w:hyperlink>
      <w:r>
        <w:t>), Israel tentou avançar sobre a terra, deixando Moisés e a Arca da Aliança no acampamento. Eles foram desafiados pelos amalequitas e cananeus.</w:t>
      </w:r>
    </w:p>
    <w:p>
      <w:r/>
      <w:r>
        <w:t>Israel permaneceu nesta área geral com famílias tribais se espalhando pelo deserto e se estabelecendo ao redor de nascentes e oásis (</w:t>
      </w:r>
      <w:hyperlink r:id="rId3969">
        <w:r>
          <w:rPr>
            <w:color w:val="0000EE"/>
            <w:u w:val="single"/>
          </w:rPr>
          <w:t>Dt 1.46</w:t>
        </w:r>
      </w:hyperlink>
      <w:r>
        <w:t xml:space="preserve">). </w:t>
      </w:r>
      <w:hyperlink r:id="rId15434">
        <w:r>
          <w:rPr>
            <w:color w:val="0000EE"/>
            <w:u w:val="single"/>
          </w:rPr>
          <w:t>Números 15.1–21.20</w:t>
        </w:r>
      </w:hyperlink>
      <w:r>
        <w:t xml:space="preserve"> relata a história dos 38 anos de peregrinação no deserto. Muito desse tempo foi provavelmente passado ao redor de Cades-Barneia (</w:t>
      </w:r>
      <w:hyperlink r:id="rId3969">
        <w:r>
          <w:rPr>
            <w:color w:val="0000EE"/>
            <w:u w:val="single"/>
          </w:rPr>
          <w:t>Dt 1.46</w:t>
        </w:r>
      </w:hyperlink>
      <w:r>
        <w:t>).</w:t>
      </w:r>
    </w:p>
    <w:p>
      <w:pPr>
        <w:pStyle w:val="Heading4"/>
      </w:pPr>
      <w:r>
        <w:t xml:space="preserve">Capítulo </w:t>
      </w:r>
      <w:hyperlink r:id="rId12788">
        <w:r>
          <w:rPr>
            <w:color w:val="0000EE"/>
            <w:u w:val="single"/>
          </w:rPr>
          <w:t>15</w:t>
        </w:r>
      </w:hyperlink>
    </w:p>
    <w:p>
      <w:r/>
      <w:r>
        <w:t>Legislação sacerdotal adicional foi dada (</w:t>
      </w:r>
      <w:hyperlink r:id="rId15435">
        <w:r>
          <w:rPr>
            <w:color w:val="0000EE"/>
            <w:u w:val="single"/>
          </w:rPr>
          <w:t>Nm 15.1–21</w:t>
        </w:r>
      </w:hyperlink>
      <w:r>
        <w:t xml:space="preserve">). Além disso, o procedimento a ser seguido quando um israelita cometia um pecado deliberado e desafiador foi detalhado em termos de excomunhão: não havia expiação para tal atitude (vv </w:t>
      </w:r>
      <w:hyperlink r:id="rId15436">
        <w:r>
          <w:rPr>
            <w:color w:val="0000EE"/>
            <w:u w:val="single"/>
          </w:rPr>
          <w:t>22–31</w:t>
        </w:r>
      </w:hyperlink>
      <w:r>
        <w:t xml:space="preserve">). Um violador do sábado foi executado (vv </w:t>
      </w:r>
      <w:hyperlink r:id="rId7199">
        <w:r>
          <w:rPr>
            <w:color w:val="0000EE"/>
            <w:u w:val="single"/>
          </w:rPr>
          <w:t>32–36</w:t>
        </w:r>
      </w:hyperlink>
      <w:r>
        <w:t xml:space="preserve">), talvez como uma ilustração da legislação anterior. Finalmente, para ajudá-los a obedecer às leis de Deus, os israelitas foram instruídos a amarrar borlas azuis em suas vestes externas como lembretes (vv </w:t>
      </w:r>
      <w:hyperlink r:id="rId12332">
        <w:r>
          <w:rPr>
            <w:color w:val="0000EE"/>
            <w:u w:val="single"/>
          </w:rPr>
          <w:t>37–41</w:t>
        </w:r>
      </w:hyperlink>
      <w:r>
        <w:t>).</w:t>
      </w:r>
    </w:p>
    <w:p>
      <w:pPr>
        <w:pStyle w:val="Heading4"/>
      </w:pPr>
      <w:r>
        <w:t xml:space="preserve">Capítulo </w:t>
      </w:r>
      <w:hyperlink r:id="rId2404">
        <w:r>
          <w:rPr>
            <w:color w:val="0000EE"/>
            <w:u w:val="single"/>
          </w:rPr>
          <w:t>16</w:t>
        </w:r>
      </w:hyperlink>
    </w:p>
    <w:p>
      <w:r/>
      <w:r>
        <w:t xml:space="preserve">Corá desafiou o sumo sacerdócio de Arão, e Datã, Abirão e On desafiaram a liderança de Moisés (vv </w:t>
      </w:r>
      <w:hyperlink r:id="rId15437">
        <w:r>
          <w:rPr>
            <w:color w:val="0000EE"/>
            <w:u w:val="single"/>
          </w:rPr>
          <w:t>1–14</w:t>
        </w:r>
      </w:hyperlink>
      <w:r>
        <w:t>). Deus, por meio da palavra de Moisés, abriu a terra e engoliu os ofensores (</w:t>
      </w:r>
      <w:hyperlink r:id="rId15438">
        <w:r>
          <w:rPr>
            <w:color w:val="0000EE"/>
            <w:u w:val="single"/>
          </w:rPr>
          <w:t>Nm 16.32</w:t>
        </w:r>
      </w:hyperlink>
      <w:r>
        <w:t xml:space="preserve">; cf. </w:t>
      </w:r>
      <w:hyperlink r:id="rId12751">
        <w:r>
          <w:rPr>
            <w:color w:val="0000EE"/>
            <w:u w:val="single"/>
          </w:rPr>
          <w:t>Dt 9.6</w:t>
        </w:r>
      </w:hyperlink>
      <w:r>
        <w:t xml:space="preserve">; </w:t>
      </w:r>
      <w:hyperlink r:id="rId15439">
        <w:r>
          <w:rPr>
            <w:color w:val="0000EE"/>
            <w:u w:val="single"/>
          </w:rPr>
          <w:t>Sl 106.16–18</w:t>
        </w:r>
      </w:hyperlink>
      <w:r>
        <w:t>). Corá é considerado no NT (</w:t>
      </w:r>
      <w:hyperlink r:id="rId4004">
        <w:r>
          <w:rPr>
            <w:color w:val="0000EE"/>
            <w:u w:val="single"/>
          </w:rPr>
          <w:t>Jd 1.11</w:t>
        </w:r>
      </w:hyperlink>
      <w:r>
        <w:t>) como um exemplo clássico de descontentamento rebelde.</w:t>
      </w:r>
    </w:p>
    <w:p>
      <w:r/>
      <w:hyperlink r:id="rId5636">
        <w:r>
          <w:rPr>
            <w:color w:val="0000EE"/>
            <w:u w:val="single"/>
          </w:rPr>
          <w:t>Números 26.11</w:t>
        </w:r>
      </w:hyperlink>
      <w:r>
        <w:t xml:space="preserve"> afirma que os filhos pequenos de Corá não pereceram com ele. Talvez eles tenham se tornado os ancestrais dos “filhos de Corá”, os músicos sagrados do templo que compuseram 12 salmos coraítas (</w:t>
      </w:r>
      <w:hyperlink r:id="rId15440">
        <w:r>
          <w:rPr>
            <w:color w:val="0000EE"/>
            <w:u w:val="single"/>
          </w:rPr>
          <w:t>Sl 42–49</w:t>
        </w:r>
      </w:hyperlink>
      <w:r>
        <w:t xml:space="preserve">, </w:t>
      </w:r>
      <w:hyperlink r:id="rId5741">
        <w:r>
          <w:rPr>
            <w:color w:val="0000EE"/>
            <w:u w:val="single"/>
          </w:rPr>
          <w:t>84–85</w:t>
        </w:r>
      </w:hyperlink>
      <w:r>
        <w:t xml:space="preserve">, </w:t>
      </w:r>
      <w:hyperlink r:id="rId5742">
        <w:r>
          <w:rPr>
            <w:color w:val="0000EE"/>
            <w:u w:val="single"/>
          </w:rPr>
          <w:t>87–88</w:t>
        </w:r>
      </w:hyperlink>
      <w:r>
        <w:t>).</w:t>
      </w:r>
    </w:p>
    <w:p>
      <w:pPr>
        <w:pStyle w:val="Heading4"/>
      </w:pPr>
      <w:r>
        <w:t xml:space="preserve">Capítulo </w:t>
      </w:r>
      <w:hyperlink r:id="rId15441">
        <w:r>
          <w:rPr>
            <w:color w:val="0000EE"/>
            <w:u w:val="single"/>
          </w:rPr>
          <w:t>17</w:t>
        </w:r>
      </w:hyperlink>
    </w:p>
    <w:p>
      <w:r/>
      <w:r>
        <w:t>Deus então instruiu os líderes de cada tribo a trazerem varas, 12 ao todo, para escreverem os nomes das tribos sobre elas (com o nome de Arão na vara de Levi) e depositá-las no tabernáculo. No dia seguinte, a vara de Arão havia brotado com flores e amêndoas maduras, assim confirmando o status especial de sumo sacerdote de Arão.</w:t>
      </w:r>
    </w:p>
    <w:p>
      <w:pPr>
        <w:pStyle w:val="Heading4"/>
      </w:pPr>
      <w:r>
        <w:t xml:space="preserve">Capítulos </w:t>
      </w:r>
      <w:hyperlink r:id="rId15442">
        <w:r>
          <w:rPr>
            <w:color w:val="0000EE"/>
            <w:u w:val="single"/>
          </w:rPr>
          <w:t>18–19</w:t>
        </w:r>
      </w:hyperlink>
    </w:p>
    <w:p>
      <w:r/>
      <w:r>
        <w:t xml:space="preserve">Mais legislação sacerdotal foi dada. Em </w:t>
      </w:r>
      <w:hyperlink r:id="rId15443">
        <w:r>
          <w:rPr>
            <w:color w:val="0000EE"/>
            <w:u w:val="single"/>
          </w:rPr>
          <w:t>18.1–7</w:t>
        </w:r>
      </w:hyperlink>
      <w:r>
        <w:t xml:space="preserve">, a responsabilidade total pelo serviço sacerdotal foi atribuída aos sacerdotes aarônicos — uma consequência muito natural do capítulo anterior. Os levitas deveriam auxiliar a ordem aarônica (v </w:t>
      </w:r>
      <w:hyperlink r:id="rId15444">
        <w:r>
          <w:rPr>
            <w:color w:val="0000EE"/>
            <w:u w:val="single"/>
          </w:rPr>
          <w:t>6</w:t>
        </w:r>
      </w:hyperlink>
      <w:r>
        <w:t xml:space="preserve">). Como a tribo de Levi não recebeu herança de terras, eles deveriam ser sustentados pelas ofertas do povo (vv </w:t>
      </w:r>
      <w:hyperlink r:id="rId15445">
        <w:r>
          <w:rPr>
            <w:color w:val="0000EE"/>
            <w:u w:val="single"/>
          </w:rPr>
          <w:t>8–20</w:t>
        </w:r>
      </w:hyperlink>
      <w:r>
        <w:t>).</w:t>
      </w:r>
    </w:p>
    <w:p>
      <w:r/>
      <w:r>
        <w:t xml:space="preserve">Em </w:t>
      </w:r>
      <w:hyperlink r:id="rId11909">
        <w:r>
          <w:rPr>
            <w:color w:val="0000EE"/>
            <w:u w:val="single"/>
          </w:rPr>
          <w:t>19.1–22</w:t>
        </w:r>
      </w:hyperlink>
      <w:r>
        <w:t xml:space="preserve">, foram dadas instruções sobre impureza cerimonial. Quando um israelita se tornava cerimonialmente impuro por contato com a morte (vv </w:t>
      </w:r>
      <w:hyperlink r:id="rId15446">
        <w:r>
          <w:rPr>
            <w:color w:val="0000EE"/>
            <w:u w:val="single"/>
          </w:rPr>
          <w:t>11–16</w:t>
        </w:r>
      </w:hyperlink>
      <w:r>
        <w:t xml:space="preserve">), Deus exigia que ele fosse purificado de seu pecado (vv </w:t>
      </w:r>
      <w:hyperlink r:id="rId15447">
        <w:r>
          <w:rPr>
            <w:color w:val="0000EE"/>
            <w:u w:val="single"/>
          </w:rPr>
          <w:t>9,17</w:t>
        </w:r>
      </w:hyperlink>
      <w:r>
        <w:t>) pela aspersão de água especialmente preparada sobre ele.</w:t>
      </w:r>
    </w:p>
    <w:p>
      <w:pPr>
        <w:pStyle w:val="Heading4"/>
      </w:pPr>
      <w:r>
        <w:t xml:space="preserve">Capítulo </w:t>
      </w:r>
      <w:hyperlink r:id="rId15448">
        <w:r>
          <w:rPr>
            <w:color w:val="0000EE"/>
            <w:u w:val="single"/>
          </w:rPr>
          <w:t>20</w:t>
        </w:r>
      </w:hyperlink>
    </w:p>
    <w:p>
      <w:r/>
      <w:r>
        <w:t xml:space="preserve">Com Israel mais uma vez em Cades, na fronteira sul do deserto de Zin, no primeiro mês do 40º ano de peregrinação, Miriã morreu e foi sepultada (v </w:t>
      </w:r>
      <w:hyperlink r:id="rId3971">
        <w:r>
          <w:rPr>
            <w:color w:val="0000EE"/>
            <w:u w:val="single"/>
          </w:rPr>
          <w:t>1</w:t>
        </w:r>
      </w:hyperlink>
      <w:r>
        <w:t xml:space="preserve">). De acordo com a lista de acampamentos no capítulo </w:t>
      </w:r>
      <w:hyperlink r:id="rId15449">
        <w:r>
          <w:rPr>
            <w:color w:val="0000EE"/>
            <w:u w:val="single"/>
          </w:rPr>
          <w:t>33</w:t>
        </w:r>
      </w:hyperlink>
      <w:r>
        <w:t xml:space="preserve">, 18 acampamentos podem ter ocorrido para Israel desde que a nação esteve neste local pela última vez (cf. </w:t>
      </w:r>
      <w:hyperlink r:id="rId15450">
        <w:r>
          <w:rPr>
            <w:color w:val="0000EE"/>
            <w:u w:val="single"/>
          </w:rPr>
          <w:t>33.18–36</w:t>
        </w:r>
      </w:hyperlink>
      <w:r>
        <w:t>).</w:t>
      </w:r>
    </w:p>
    <w:p>
      <w:r/>
      <w:r>
        <w:t>Nesta ocasião, a nação reclamou mais uma vez porque havia pouca água (</w:t>
      </w:r>
      <w:hyperlink r:id="rId15451">
        <w:r>
          <w:rPr>
            <w:color w:val="0000EE"/>
            <w:u w:val="single"/>
          </w:rPr>
          <w:t>20.2</w:t>
        </w:r>
      </w:hyperlink>
      <w:r>
        <w:t xml:space="preserve">). Moisés, sob a instrução de Deus, fez jorrar água de uma rocha (vv </w:t>
      </w:r>
      <w:hyperlink r:id="rId15452">
        <w:r>
          <w:rPr>
            <w:color w:val="0000EE"/>
            <w:u w:val="single"/>
          </w:rPr>
          <w:t>8–11</w:t>
        </w:r>
      </w:hyperlink>
      <w:r>
        <w:t xml:space="preserve">), mas devido a uma grave infração de Moisés e Arão nesta ocasião, Deus anunciou que eles não teriam permissão para liderar Israel na conquista da terra (vv </w:t>
      </w:r>
      <w:hyperlink r:id="rId15453">
        <w:r>
          <w:rPr>
            <w:color w:val="0000EE"/>
            <w:u w:val="single"/>
          </w:rPr>
          <w:t>12,23–24</w:t>
        </w:r>
      </w:hyperlink>
      <w:r>
        <w:t>).</w:t>
      </w:r>
    </w:p>
    <w:p>
      <w:r/>
      <w:r>
        <w:t xml:space="preserve">O capítulo termina com Edom recusando a passagem de Israel através de seu território (vv </w:t>
      </w:r>
      <w:hyperlink r:id="rId1118">
        <w:r>
          <w:rPr>
            <w:color w:val="0000EE"/>
            <w:u w:val="single"/>
          </w:rPr>
          <w:t>14–21</w:t>
        </w:r>
      </w:hyperlink>
      <w:r>
        <w:t xml:space="preserve">) e Arão morrendo no Monte Hor, na fronteira de Edom (vv </w:t>
      </w:r>
      <w:hyperlink r:id="rId15454">
        <w:r>
          <w:rPr>
            <w:color w:val="0000EE"/>
            <w:u w:val="single"/>
          </w:rPr>
          <w:t>22–29</w:t>
        </w:r>
      </w:hyperlink>
      <w:r>
        <w:t>), no quinto mês do 40º ano (</w:t>
      </w:r>
      <w:hyperlink r:id="rId15455">
        <w:r>
          <w:rPr>
            <w:color w:val="0000EE"/>
            <w:u w:val="single"/>
          </w:rPr>
          <w:t>33.38</w:t>
        </w:r>
      </w:hyperlink>
      <w:r>
        <w:t>). Eleazar, filho de Arão, assumiu o cargo de sumo sacerdote.</w:t>
      </w:r>
    </w:p>
    <w:p>
      <w:pPr>
        <w:pStyle w:val="Heading4"/>
      </w:pPr>
      <w:r>
        <w:t xml:space="preserve">Capítulo </w:t>
      </w:r>
      <w:hyperlink r:id="rId5087">
        <w:r>
          <w:rPr>
            <w:color w:val="0000EE"/>
            <w:u w:val="single"/>
          </w:rPr>
          <w:t>21</w:t>
        </w:r>
      </w:hyperlink>
    </w:p>
    <w:p>
      <w:r/>
      <w:r>
        <w:t xml:space="preserve">Após uma rápida vitória sobre Arade (vv </w:t>
      </w:r>
      <w:hyperlink r:id="rId2345">
        <w:r>
          <w:rPr>
            <w:color w:val="0000EE"/>
            <w:u w:val="single"/>
          </w:rPr>
          <w:t>1–3</w:t>
        </w:r>
      </w:hyperlink>
      <w:r>
        <w:t xml:space="preserve">), Israel começou a ir para o sul para contornar Edom. Tornando-se impacientes com Deus e com Moisés, o povo expressou seu descontentamento com a provisão de maná de Deus. O Senhor enviou cobras venenosas para o acampamento, causando a morte de muitos. Mas, por ordem de Deus, Moisés fez uma cobra de bronze e a colocou no topo de um poste. Todos que olhavam para a cobra de bronze sobreviviam (vv </w:t>
      </w:r>
      <w:hyperlink r:id="rId15456">
        <w:r>
          <w:rPr>
            <w:color w:val="0000EE"/>
            <w:u w:val="single"/>
          </w:rPr>
          <w:t>4–10</w:t>
        </w:r>
      </w:hyperlink>
      <w:r>
        <w:t>). A cobra de bronze foi preservada e mais tarde foi destruída por Ezequias, pois o símbolo havia se tornado um ídolo em sua época (</w:t>
      </w:r>
      <w:hyperlink r:id="rId1871">
        <w:r>
          <w:rPr>
            <w:color w:val="0000EE"/>
            <w:u w:val="single"/>
          </w:rPr>
          <w:t>2Rs 18.4</w:t>
        </w:r>
      </w:hyperlink>
      <w:r>
        <w:t>). Mais tarde ainda, Jesus fez uma analogia entre esses pecadores perversos olhando para a cobra de bronze e sendo libertos e os homens olhando para ele com fé e sendo salvos (</w:t>
      </w:r>
      <w:hyperlink r:id="rId15457">
        <w:r>
          <w:rPr>
            <w:color w:val="0000EE"/>
            <w:u w:val="single"/>
          </w:rPr>
          <w:t>Jo 3.14–15</w:t>
        </w:r>
      </w:hyperlink>
      <w:r>
        <w:t>).</w:t>
      </w:r>
    </w:p>
    <w:p>
      <w:r/>
      <w:r>
        <w:t>Saindo daquele lugar fatídico, Israel viajou para dentro e subiu o Arabá, cruzou o Wadi Zered em um desvio a leste ao redor de Moabe, finalmente cruzando o Arnom para o território amorita. Viajando para o norte, acamparam em Pisga (</w:t>
      </w:r>
      <w:hyperlink r:id="rId15458">
        <w:r>
          <w:rPr>
            <w:color w:val="0000EE"/>
            <w:u w:val="single"/>
          </w:rPr>
          <w:t>Nm 21.10–20</w:t>
        </w:r>
      </w:hyperlink>
      <w:r>
        <w:t>).</w:t>
      </w:r>
    </w:p>
    <w:p>
      <w:r/>
      <w:r>
        <w:t xml:space="preserve">Neste ponto, começa a conquista de Transjordânia. Em rápida sucessão, Israel derrotou Seom de Hesbom (vv </w:t>
      </w:r>
      <w:hyperlink r:id="rId15459">
        <w:r>
          <w:rPr>
            <w:color w:val="0000EE"/>
            <w:u w:val="single"/>
          </w:rPr>
          <w:t>21–31</w:t>
        </w:r>
      </w:hyperlink>
      <w:r>
        <w:t xml:space="preserve">) e Ogue de Basã (vv </w:t>
      </w:r>
      <w:hyperlink r:id="rId2489">
        <w:r>
          <w:rPr>
            <w:color w:val="0000EE"/>
            <w:u w:val="single"/>
          </w:rPr>
          <w:t>33–35</w:t>
        </w:r>
      </w:hyperlink>
      <w:r>
        <w:t>) e se estabeleceu nas campinas de Moabe (</w:t>
      </w:r>
      <w:hyperlink r:id="rId6740">
        <w:r>
          <w:rPr>
            <w:color w:val="0000EE"/>
            <w:u w:val="single"/>
          </w:rPr>
          <w:t>22.1</w:t>
        </w:r>
      </w:hyperlink>
      <w:r>
        <w:t xml:space="preserve">). Este acampamento foi o cenário para o restante das atividades de Números, Deuteronômio e </w:t>
      </w:r>
      <w:hyperlink r:id="rId15460">
        <w:r>
          <w:rPr>
            <w:color w:val="0000EE"/>
            <w:u w:val="single"/>
          </w:rPr>
          <w:t>Josué 1–3</w:t>
        </w:r>
      </w:hyperlink>
      <w:r>
        <w:t>. Em um sentido real, pode-se dizer que as andanças pelo deserto agora estavam terminadas.</w:t>
      </w:r>
    </w:p>
    <w:p>
      <w:r/>
      <w:r>
        <w:t xml:space="preserve">Aqui está o momento, então, para resumir a condição espiritual de Israel na véspera da conquista de Canaã. Números torna bastante evidente que toda a geração que saiu do Egito, com exceção de Josué e Calebe, morreria no deserto por causa de sua apostasia (cf. </w:t>
      </w:r>
      <w:hyperlink r:id="rId15461">
        <w:r>
          <w:rPr>
            <w:color w:val="0000EE"/>
            <w:u w:val="single"/>
          </w:rPr>
          <w:t>Am 5.25</w:t>
        </w:r>
      </w:hyperlink>
      <w:r>
        <w:t>), incredulidade e falha geral em manter a aliança com Deus. Nenhuma das crianças do sexo masculino nascidas no deserto havia sido circuncidada (</w:t>
      </w:r>
      <w:hyperlink r:id="rId4950">
        <w:r>
          <w:rPr>
            <w:color w:val="0000EE"/>
            <w:u w:val="single"/>
          </w:rPr>
          <w:t>Js 5.2–9</w:t>
        </w:r>
      </w:hyperlink>
      <w:r>
        <w:t xml:space="preserve">). </w:t>
      </w:r>
      <w:hyperlink r:id="rId4077">
        <w:r>
          <w:rPr>
            <w:color w:val="0000EE"/>
            <w:u w:val="single"/>
          </w:rPr>
          <w:t>Salmo 90</w:t>
        </w:r>
      </w:hyperlink>
      <w:r>
        <w:t xml:space="preserve"> destaca Israel como o destinatário da ira de Deus no deserto. É nesta condição espiritual lamentável que Israel chegou às campinas de Moabe.</w:t>
      </w:r>
    </w:p>
    <w:p>
      <w:pPr>
        <w:pStyle w:val="Heading4"/>
      </w:pPr>
      <w:r>
        <w:t xml:space="preserve">Capítulos </w:t>
      </w:r>
      <w:hyperlink r:id="rId1122">
        <w:r>
          <w:rPr>
            <w:color w:val="0000EE"/>
            <w:u w:val="single"/>
          </w:rPr>
          <w:t>22–24</w:t>
        </w:r>
      </w:hyperlink>
    </w:p>
    <w:p>
      <w:r/>
      <w:r>
        <w:t>Balaque, rei de Moabe, assustado pela presença de Israel, aliou-se a Midiã para contratar Balaão, o falso profeta, para amaldiçoar Israel. Por ganância, Balaão concordou (</w:t>
      </w:r>
      <w:hyperlink r:id="rId3435">
        <w:r>
          <w:rPr>
            <w:color w:val="0000EE"/>
            <w:u w:val="single"/>
          </w:rPr>
          <w:t>2Pe 2.15</w:t>
        </w:r>
      </w:hyperlink>
      <w:r>
        <w:t xml:space="preserve">; </w:t>
      </w:r>
      <w:hyperlink r:id="rId4004">
        <w:r>
          <w:rPr>
            <w:color w:val="0000EE"/>
            <w:u w:val="single"/>
          </w:rPr>
          <w:t>Judas 1.11</w:t>
        </w:r>
      </w:hyperlink>
      <w:r>
        <w:t>), mas Deus o impediu, fazendo com que ele abençoasse Israel em suas quatro declarações oraculares (</w:t>
      </w:r>
      <w:hyperlink r:id="rId15462">
        <w:r>
          <w:rPr>
            <w:color w:val="0000EE"/>
            <w:u w:val="single"/>
          </w:rPr>
          <w:t>Nm 23.7–10,18–24</w:t>
        </w:r>
      </w:hyperlink>
      <w:r>
        <w:t xml:space="preserve">; </w:t>
      </w:r>
      <w:hyperlink r:id="rId15463">
        <w:r>
          <w:rPr>
            <w:color w:val="0000EE"/>
            <w:u w:val="single"/>
          </w:rPr>
          <w:t>24.3–9,15–19</w:t>
        </w:r>
      </w:hyperlink>
      <w:r>
        <w:t>) e previsse a destruição de Moabe, Edom, Amaleque (</w:t>
      </w:r>
      <w:hyperlink r:id="rId1036">
        <w:r>
          <w:rPr>
            <w:color w:val="0000EE"/>
            <w:u w:val="single"/>
          </w:rPr>
          <w:t>24.20</w:t>
        </w:r>
      </w:hyperlink>
      <w:r>
        <w:t>), os Queneus (</w:t>
      </w:r>
      <w:hyperlink r:id="rId15464">
        <w:r>
          <w:rPr>
            <w:color w:val="0000EE"/>
            <w:u w:val="single"/>
          </w:rPr>
          <w:t>24.21</w:t>
        </w:r>
      </w:hyperlink>
      <w:r>
        <w:t>) e Assur (</w:t>
      </w:r>
      <w:hyperlink r:id="rId4828">
        <w:r>
          <w:rPr>
            <w:color w:val="0000EE"/>
            <w:u w:val="single"/>
          </w:rPr>
          <w:t>24.24</w:t>
        </w:r>
      </w:hyperlink>
      <w:r>
        <w:t>). Com isso, Balaque e Balaão se separaram. Balaão, em conluio com Midiã, concordou em aconselhar Israel a cometer idolatria e imoralidade (</w:t>
      </w:r>
      <w:hyperlink r:id="rId12384">
        <w:r>
          <w:rPr>
            <w:color w:val="0000EE"/>
            <w:u w:val="single"/>
          </w:rPr>
          <w:t>31.16</w:t>
        </w:r>
      </w:hyperlink>
      <w:r>
        <w:t xml:space="preserve">). Assim, onde Balaque falhou em virar o Senhor contra Israel, Balaão teve sucesso (cap </w:t>
      </w:r>
      <w:hyperlink r:id="rId2975">
        <w:r>
          <w:rPr>
            <w:color w:val="0000EE"/>
            <w:u w:val="single"/>
          </w:rPr>
          <w:t>25</w:t>
        </w:r>
      </w:hyperlink>
      <w:r>
        <w:t>).</w:t>
      </w:r>
    </w:p>
    <w:p>
      <w:pPr>
        <w:pStyle w:val="Heading4"/>
      </w:pPr>
      <w:r>
        <w:t xml:space="preserve">Capítulo </w:t>
      </w:r>
      <w:hyperlink r:id="rId2975">
        <w:r>
          <w:rPr>
            <w:color w:val="0000EE"/>
            <w:u w:val="single"/>
          </w:rPr>
          <w:t>25</w:t>
        </w:r>
      </w:hyperlink>
    </w:p>
    <w:p>
      <w:r/>
      <w:r>
        <w:t xml:space="preserve">Israel pecou contra Deus por atos idólatras e imorais com o povo de Moabe (vv </w:t>
      </w:r>
      <w:hyperlink r:id="rId14770">
        <w:r>
          <w:rPr>
            <w:color w:val="0000EE"/>
            <w:u w:val="single"/>
          </w:rPr>
          <w:t>1–3</w:t>
        </w:r>
      </w:hyperlink>
      <w:r>
        <w:t xml:space="preserve">). Ao cumprir o mandamento de Deus para destruir os israelitas reprovados, Fineias matou Zinri e Cosbi, sendo esta última filha de um dos cinco reis de Midiã (vv </w:t>
      </w:r>
      <w:hyperlink r:id="rId15465">
        <w:r>
          <w:rPr>
            <w:color w:val="0000EE"/>
            <w:u w:val="single"/>
          </w:rPr>
          <w:t>4–14</w:t>
        </w:r>
      </w:hyperlink>
      <w:r>
        <w:t xml:space="preserve">). Este evento proporcionou a ocasião para Deus declarar uma guerra santa contra Midiã (vv </w:t>
      </w:r>
      <w:hyperlink r:id="rId15380">
        <w:r>
          <w:rPr>
            <w:color w:val="0000EE"/>
            <w:u w:val="single"/>
          </w:rPr>
          <w:t>16–18</w:t>
        </w:r>
      </w:hyperlink>
      <w:r>
        <w:t xml:space="preserve">; cf. cap. </w:t>
      </w:r>
      <w:hyperlink r:id="rId15381">
        <w:r>
          <w:rPr>
            <w:color w:val="0000EE"/>
            <w:u w:val="single"/>
          </w:rPr>
          <w:t>31</w:t>
        </w:r>
      </w:hyperlink>
      <w:r>
        <w:t>).</w:t>
      </w:r>
    </w:p>
    <w:p>
      <w:pPr>
        <w:pStyle w:val="Heading4"/>
      </w:pPr>
      <w:r>
        <w:t xml:space="preserve">Capítulo </w:t>
      </w:r>
      <w:hyperlink r:id="rId4698">
        <w:r>
          <w:rPr>
            <w:color w:val="0000EE"/>
            <w:u w:val="single"/>
          </w:rPr>
          <w:t>26</w:t>
        </w:r>
      </w:hyperlink>
    </w:p>
    <w:p>
      <w:r/>
      <w:r>
        <w:t xml:space="preserve">O Senhor ordenou a Moisés que fizesse um censo dos homens da segunda geração que eram capazes de guerrear contra os inimigos de Israel. O número total chegou a 601.730 (v </w:t>
      </w:r>
      <w:hyperlink r:id="rId4699">
        <w:r>
          <w:rPr>
            <w:color w:val="0000EE"/>
            <w:u w:val="single"/>
          </w:rPr>
          <w:t>51</w:t>
        </w:r>
      </w:hyperlink>
      <w:r>
        <w:t xml:space="preserve">), uma redução de 1.820 homens em relação à primeira contagem. Com uma força menor do que a da primeira geração, Israel conquistou Canaã, indicando claramente que Israel poderia ter poupado a si mesmo os anos de peregrinação se apenas a nação tivesse obedecido a Deus 38 anos antes em Cades. Os levitas totalizaram 23.000 homens de um mês de idade para cima (vv </w:t>
      </w:r>
      <w:hyperlink r:id="rId15466">
        <w:r>
          <w:rPr>
            <w:color w:val="0000EE"/>
            <w:u w:val="single"/>
          </w:rPr>
          <w:t>57–62</w:t>
        </w:r>
      </w:hyperlink>
      <w:r>
        <w:t>).</w:t>
      </w:r>
    </w:p>
    <w:p>
      <w:pPr>
        <w:pStyle w:val="Heading4"/>
      </w:pPr>
      <w:r>
        <w:t xml:space="preserve">Capítulo </w:t>
      </w:r>
      <w:hyperlink r:id="rId15416">
        <w:r>
          <w:rPr>
            <w:color w:val="0000EE"/>
            <w:u w:val="single"/>
          </w:rPr>
          <w:t>27</w:t>
        </w:r>
      </w:hyperlink>
    </w:p>
    <w:p>
      <w:r/>
      <w:r>
        <w:t xml:space="preserve">A pedido das filhas de Zelofeade (cf. </w:t>
      </w:r>
      <w:hyperlink r:id="rId10684">
        <w:r>
          <w:rPr>
            <w:color w:val="0000EE"/>
            <w:u w:val="single"/>
          </w:rPr>
          <w:t>26.33</w:t>
        </w:r>
      </w:hyperlink>
      <w:r>
        <w:t xml:space="preserve">) para que lhes fosse concedido o direito de herdar os bens de seu pai, já que ele não tinha filhos, o Senhor concordou que elas poderiam herdar, aproveitando a ocasião para estabelecer mais leis de herança (vv </w:t>
      </w:r>
      <w:hyperlink r:id="rId9883">
        <w:r>
          <w:rPr>
            <w:color w:val="0000EE"/>
            <w:u w:val="single"/>
          </w:rPr>
          <w:t>1–11</w:t>
        </w:r>
      </w:hyperlink>
      <w:r>
        <w:t>).</w:t>
      </w:r>
    </w:p>
    <w:p>
      <w:r/>
      <w:r>
        <w:t xml:space="preserve">Lembrando que em breve morreria em Abarim, Moisés pediu que Deus nomeasse seu sucessor. Deus escolheu Josué, e Moisés o comissionou (vv </w:t>
      </w:r>
      <w:hyperlink r:id="rId12071">
        <w:r>
          <w:rPr>
            <w:color w:val="0000EE"/>
            <w:u w:val="single"/>
          </w:rPr>
          <w:t>12–23</w:t>
        </w:r>
      </w:hyperlink>
      <w:r>
        <w:t>).</w:t>
      </w:r>
    </w:p>
    <w:p>
      <w:pPr>
        <w:pStyle w:val="Heading4"/>
      </w:pPr>
      <w:r>
        <w:t xml:space="preserve">Capítulos </w:t>
      </w:r>
      <w:hyperlink r:id="rId12790">
        <w:r>
          <w:rPr>
            <w:color w:val="0000EE"/>
            <w:u w:val="single"/>
          </w:rPr>
          <w:t>28–30</w:t>
        </w:r>
      </w:hyperlink>
    </w:p>
    <w:p>
      <w:r/>
      <w:r>
        <w:t>Foi dada mais legislação sacerdotal sobre ofertas para várias ocasiões. Deus também instruiu Moisés a informar o povo sobre votos. Quando um homem fazia um voto, ele era inviolável (</w:t>
      </w:r>
      <w:hyperlink r:id="rId15467">
        <w:r>
          <w:rPr>
            <w:color w:val="0000EE"/>
            <w:u w:val="single"/>
          </w:rPr>
          <w:t>30.2</w:t>
        </w:r>
      </w:hyperlink>
      <w:r>
        <w:t xml:space="preserve">), mas se uma mulher fazia um voto, o homem (pai, marido) responsável por ela poderia anulá-lo se achasse que era precipitado (vv </w:t>
      </w:r>
      <w:hyperlink r:id="rId14886">
        <w:r>
          <w:rPr>
            <w:color w:val="0000EE"/>
            <w:u w:val="single"/>
          </w:rPr>
          <w:t>1–16</w:t>
        </w:r>
      </w:hyperlink>
      <w:r>
        <w:t>).</w:t>
      </w:r>
    </w:p>
    <w:p>
      <w:pPr>
        <w:pStyle w:val="Heading4"/>
      </w:pPr>
      <w:r>
        <w:t xml:space="preserve">Capítulo </w:t>
      </w:r>
      <w:hyperlink r:id="rId15381">
        <w:r>
          <w:rPr>
            <w:color w:val="0000EE"/>
            <w:u w:val="single"/>
          </w:rPr>
          <w:t>31</w:t>
        </w:r>
      </w:hyperlink>
    </w:p>
    <w:p>
      <w:r/>
      <w:r>
        <w:t xml:space="preserve">O relato da guerra santa declarada contra Midiã em </w:t>
      </w:r>
      <w:hyperlink r:id="rId15380">
        <w:r>
          <w:rPr>
            <w:color w:val="0000EE"/>
            <w:u w:val="single"/>
          </w:rPr>
          <w:t>25.16–18</w:t>
        </w:r>
      </w:hyperlink>
      <w:r>
        <w:t xml:space="preserve"> é apresentado. Com Fineias acompanhando 12.000 guerreiros, Israel derrotou Midiã, matando Balaão junto com os cinco reis e muitos homens adultos de Midiã (</w:t>
      </w:r>
      <w:hyperlink r:id="rId15468">
        <w:r>
          <w:rPr>
            <w:color w:val="0000EE"/>
            <w:u w:val="single"/>
          </w:rPr>
          <w:t>31.1–8</w:t>
        </w:r>
      </w:hyperlink>
      <w:r>
        <w:t xml:space="preserve">). As mulheres e crianças midianitas foram capturadas, mas Moisés ordenou que todos os meninos e as mulheres não virgens fossem mortos (vv </w:t>
      </w:r>
      <w:hyperlink r:id="rId15469">
        <w:r>
          <w:rPr>
            <w:color w:val="0000EE"/>
            <w:u w:val="single"/>
          </w:rPr>
          <w:t>9–18</w:t>
        </w:r>
      </w:hyperlink>
      <w:r>
        <w:t>). Não se deve concluir que esta guerra significou o fim de Midiã como tal, pois Midiã mais tarde se mostrou um inimigo importante de Israel na época dos juízes (</w:t>
      </w:r>
      <w:hyperlink r:id="rId15470">
        <w:r>
          <w:rPr>
            <w:color w:val="0000EE"/>
            <w:u w:val="single"/>
          </w:rPr>
          <w:t>Jz 6</w:t>
        </w:r>
      </w:hyperlink>
      <w:r>
        <w:t>).</w:t>
      </w:r>
    </w:p>
    <w:p>
      <w:r/>
      <w:r>
        <w:t>Após a batalha, os guerreiros foram instruídos a se purificar, assim como suas roupas e o espólio da guerra, antes de entrar no acampamento (</w:t>
      </w:r>
      <w:hyperlink r:id="rId15471">
        <w:r>
          <w:rPr>
            <w:color w:val="0000EE"/>
            <w:u w:val="single"/>
          </w:rPr>
          <w:t>Nm 31.19–24</w:t>
        </w:r>
      </w:hyperlink>
      <w:r>
        <w:t xml:space="preserve">). Além disso, foram orientados a dividir o espólio pela metade e a contribuir com um quinto de um por cento de sua metade para o sumo sacerdote (“o tributo do Senhor”). A outra metade foi dividida entre as pessoas que haviam permanecido no acampamento, após os levitas receberem uma contribuição de dois por cento (vv </w:t>
      </w:r>
      <w:hyperlink r:id="rId15472">
        <w:r>
          <w:rPr>
            <w:color w:val="0000EE"/>
            <w:u w:val="single"/>
          </w:rPr>
          <w:t>25–31</w:t>
        </w:r>
      </w:hyperlink>
      <w:r>
        <w:t>).</w:t>
      </w:r>
    </w:p>
    <w:p>
      <w:r/>
      <w:r>
        <w:t xml:space="preserve">Os versículos </w:t>
      </w:r>
      <w:hyperlink r:id="rId15473">
        <w:r>
          <w:rPr>
            <w:color w:val="0000EE"/>
            <w:u w:val="single"/>
          </w:rPr>
          <w:t>32–47</w:t>
        </w:r>
      </w:hyperlink>
      <w:r>
        <w:t xml:space="preserve"> fornecem o total do saque após sua divisão em duas partes e a quantidade que foi dada de cada parte a Eleazar e aos levitas. Alguns dizem que o total é alto demais para ser autêntico, mas não há evidências que contestem os números registrados.</w:t>
      </w:r>
    </w:p>
    <w:p>
      <w:r/>
      <w:r>
        <w:t xml:space="preserve">Em ação de graças a Deus, porque nenhum israelita havia sido morto na guerra (v </w:t>
      </w:r>
      <w:hyperlink r:id="rId15474">
        <w:r>
          <w:rPr>
            <w:color w:val="0000EE"/>
            <w:u w:val="single"/>
          </w:rPr>
          <w:t>49</w:t>
        </w:r>
      </w:hyperlink>
      <w:r>
        <w:t xml:space="preserve">), e para fazer expiação por si mesmos (v </w:t>
      </w:r>
      <w:hyperlink r:id="rId7170">
        <w:r>
          <w:rPr>
            <w:color w:val="0000EE"/>
            <w:u w:val="single"/>
          </w:rPr>
          <w:t>50</w:t>
        </w:r>
      </w:hyperlink>
      <w:r>
        <w:t xml:space="preserve">), os oficiais do exército trouxeram uma oferta especial de enfeites de ouro para Moisés e Eleazar, que foi colocada no tabernáculo como um memorial (vv </w:t>
      </w:r>
      <w:hyperlink r:id="rId15475">
        <w:r>
          <w:rPr>
            <w:color w:val="0000EE"/>
            <w:u w:val="single"/>
          </w:rPr>
          <w:t>48–54</w:t>
        </w:r>
      </w:hyperlink>
      <w:r>
        <w:t>).</w:t>
      </w:r>
    </w:p>
    <w:p>
      <w:pPr>
        <w:pStyle w:val="Heading4"/>
      </w:pPr>
      <w:r>
        <w:t xml:space="preserve">Capítulo </w:t>
      </w:r>
      <w:hyperlink r:id="rId1125">
        <w:r>
          <w:rPr>
            <w:color w:val="0000EE"/>
            <w:u w:val="single"/>
          </w:rPr>
          <w:t>32</w:t>
        </w:r>
      </w:hyperlink>
    </w:p>
    <w:p>
      <w:r/>
      <w:r>
        <w:t>A pedido deles e com a condição de que ajudassem as outras tribos na conquista de Canaã, Rúben, Gade e a meia-tribo de Manassés receberam a região de Transjordânia. Moisés suplicou fervorosamente ao Senhor para mudar de ideia sobre não permitir que ele entrasse na terra prometida (</w:t>
      </w:r>
      <w:hyperlink r:id="rId15476">
        <w:r>
          <w:rPr>
            <w:color w:val="0000EE"/>
            <w:u w:val="single"/>
          </w:rPr>
          <w:t>Dt 3.23–27</w:t>
        </w:r>
      </w:hyperlink>
      <w:r>
        <w:t>). Mas Deus não permitiu.</w:t>
      </w:r>
    </w:p>
    <w:p>
      <w:pPr>
        <w:pStyle w:val="Heading4"/>
      </w:pPr>
      <w:r>
        <w:t xml:space="preserve">Capítulos </w:t>
      </w:r>
      <w:hyperlink r:id="rId15477">
        <w:r>
          <w:rPr>
            <w:color w:val="0000EE"/>
            <w:u w:val="single"/>
          </w:rPr>
          <w:t>33–34</w:t>
        </w:r>
      </w:hyperlink>
    </w:p>
    <w:p>
      <w:r/>
      <w:r>
        <w:t>Por ordem de Deus, Moisés manteve um registro escrito do itinerário de Israel, desde o Egito até as campinas de Moabe. Aqui está a evidência bíblica da autoria mosaica de Números.</w:t>
      </w:r>
    </w:p>
    <w:p>
      <w:r/>
      <w:r>
        <w:t>As fronteiras da Terra Prometida foram agora definidas. A fronteira sul iria do extremo sul do Mar Morto, ao sul de Cades-Barneia até o Rio do Egito (Wadi el-Arish), e seguiria até o Mar Mediterrâneo (</w:t>
      </w:r>
      <w:hyperlink r:id="rId15478">
        <w:r>
          <w:rPr>
            <w:color w:val="0000EE"/>
            <w:u w:val="single"/>
          </w:rPr>
          <w:t>34.3–5</w:t>
        </w:r>
      </w:hyperlink>
      <w:r>
        <w:t xml:space="preserve">). A fronteira oeste seria a linha costeira do próprio Mar Mediterrâneo (v </w:t>
      </w:r>
      <w:hyperlink r:id="rId15479">
        <w:r>
          <w:rPr>
            <w:color w:val="0000EE"/>
            <w:u w:val="single"/>
          </w:rPr>
          <w:t>6</w:t>
        </w:r>
      </w:hyperlink>
      <w:r>
        <w:t>). A fronteira norte, não expandida até os tempos de Davi e Salomão (</w:t>
      </w:r>
      <w:hyperlink r:id="rId15480">
        <w:r>
          <w:rPr>
            <w:color w:val="0000EE"/>
            <w:u w:val="single"/>
          </w:rPr>
          <w:t>2Sm 8.3–12</w:t>
        </w:r>
      </w:hyperlink>
      <w:r>
        <w:t xml:space="preserve">; </w:t>
      </w:r>
      <w:hyperlink r:id="rId9232">
        <w:r>
          <w:rPr>
            <w:color w:val="0000EE"/>
            <w:u w:val="single"/>
          </w:rPr>
          <w:t>1Rs 8.65</w:t>
        </w:r>
      </w:hyperlink>
      <w:r>
        <w:t>), deveria se estender do Mar Mediterrâneo leste até Hamate, na cabeceira do Rio Orontes (</w:t>
      </w:r>
      <w:hyperlink r:id="rId15481">
        <w:r>
          <w:rPr>
            <w:color w:val="0000EE"/>
            <w:u w:val="single"/>
          </w:rPr>
          <w:t>Nm 34.7–9</w:t>
        </w:r>
      </w:hyperlink>
      <w:r>
        <w:t xml:space="preserve">). A fronteira leste deveria ser praticamente uma linha vertical, com o Vale do Jordão correndo ao norte até a fronteira norte (vv </w:t>
      </w:r>
      <w:hyperlink r:id="rId15482">
        <w:r>
          <w:rPr>
            <w:color w:val="0000EE"/>
            <w:u w:val="single"/>
          </w:rPr>
          <w:t>10–12</w:t>
        </w:r>
      </w:hyperlink>
      <w:r>
        <w:t xml:space="preserve">). As nove tribos e meia deveriam dividir esta área entre si (vv </w:t>
      </w:r>
      <w:hyperlink r:id="rId15483">
        <w:r>
          <w:rPr>
            <w:color w:val="0000EE"/>
            <w:u w:val="single"/>
          </w:rPr>
          <w:t>13–15</w:t>
        </w:r>
      </w:hyperlink>
      <w:r>
        <w:t>).</w:t>
      </w:r>
    </w:p>
    <w:p>
      <w:r/>
      <w:r>
        <w:t xml:space="preserve">O Senhor então escolheu os homens que seriam responsáveis por dividir a terra de Canaã entre as tribos ocidentais após a conquista (vv </w:t>
      </w:r>
      <w:hyperlink r:id="rId9848">
        <w:r>
          <w:rPr>
            <w:color w:val="0000EE"/>
            <w:u w:val="single"/>
          </w:rPr>
          <w:t>16–29</w:t>
        </w:r>
      </w:hyperlink>
      <w:r>
        <w:t>).</w:t>
      </w:r>
    </w:p>
    <w:p>
      <w:pPr>
        <w:pStyle w:val="Heading4"/>
      </w:pPr>
      <w:r>
        <w:t xml:space="preserve">Capítulo </w:t>
      </w:r>
      <w:hyperlink r:id="rId14771">
        <w:r>
          <w:rPr>
            <w:color w:val="0000EE"/>
            <w:u w:val="single"/>
          </w:rPr>
          <w:t>35</w:t>
        </w:r>
      </w:hyperlink>
    </w:p>
    <w:p>
      <w:r/>
      <w:r>
        <w:t xml:space="preserve">Deus instruiu Israel a dar 48 cidades em toda a terra, em ambos os lados do Jordão, aos levitas como posse permanente (vv </w:t>
      </w:r>
      <w:hyperlink r:id="rId12233">
        <w:r>
          <w:rPr>
            <w:color w:val="0000EE"/>
            <w:u w:val="single"/>
          </w:rPr>
          <w:t>1–8</w:t>
        </w:r>
      </w:hyperlink>
      <w:r>
        <w:t xml:space="preserve">), já que essa tribo não foi incluída nas distribuições de terra para as outras tribos. O número de cidades que cada tribo deveria dar seria determinado pelo seu tamanho (v </w:t>
      </w:r>
      <w:hyperlink r:id="rId15484">
        <w:r>
          <w:rPr>
            <w:color w:val="0000EE"/>
            <w:u w:val="single"/>
          </w:rPr>
          <w:t>8</w:t>
        </w:r>
      </w:hyperlink>
      <w:r>
        <w:t xml:space="preserve">). Seis das cidades levíticas, três de cada lado do Jordão, deveriam ser designadas como "cidades de refúgio" para o homicida (v </w:t>
      </w:r>
      <w:hyperlink r:id="rId4872">
        <w:r>
          <w:rPr>
            <w:color w:val="0000EE"/>
            <w:u w:val="single"/>
          </w:rPr>
          <w:t>6</w:t>
        </w:r>
      </w:hyperlink>
      <w:r>
        <w:t xml:space="preserve">; cf. </w:t>
      </w:r>
      <w:hyperlink r:id="rId12088">
        <w:r>
          <w:rPr>
            <w:color w:val="0000EE"/>
            <w:u w:val="single"/>
          </w:rPr>
          <w:t>Js 20</w:t>
        </w:r>
      </w:hyperlink>
      <w:r>
        <w:t>).</w:t>
      </w:r>
    </w:p>
    <w:p>
      <w:r/>
      <w:r>
        <w:t xml:space="preserve">Segue-se então a legislação referente ao homicida (vv </w:t>
      </w:r>
      <w:hyperlink r:id="rId12267">
        <w:r>
          <w:rPr>
            <w:color w:val="0000EE"/>
            <w:u w:val="single"/>
          </w:rPr>
          <w:t>9–34</w:t>
        </w:r>
      </w:hyperlink>
      <w:r>
        <w:t xml:space="preserve">). Se o homicida cometeu assassinato, o vingador de sangue tinha o direito de cumprir seu papel como executor (vv </w:t>
      </w:r>
      <w:hyperlink r:id="rId15485">
        <w:r>
          <w:rPr>
            <w:color w:val="0000EE"/>
            <w:u w:val="single"/>
          </w:rPr>
          <w:t>16–21</w:t>
        </w:r>
      </w:hyperlink>
      <w:r>
        <w:t xml:space="preserve">). Se, no entanto, a morte foi não intencional, o homicida devia fugir para a cidade de refúgio mais próxima para um julgamento. Se fosse considerado inocente de assassinato, ele deveria permanecer na cidade de refúgio até a morte do sumo sacerdote. Se ele deixasse a cidade antes disso, o vingador de sangue estava autorizado a executá-lo (vv </w:t>
      </w:r>
      <w:hyperlink r:id="rId15486">
        <w:r>
          <w:rPr>
            <w:color w:val="0000EE"/>
            <w:u w:val="single"/>
          </w:rPr>
          <w:t>22–34</w:t>
        </w:r>
      </w:hyperlink>
      <w:r>
        <w:t>).</w:t>
      </w:r>
    </w:p>
    <w:p>
      <w:pPr>
        <w:pStyle w:val="Heading4"/>
      </w:pPr>
      <w:r>
        <w:t xml:space="preserve">Capítulo </w:t>
      </w:r>
      <w:hyperlink r:id="rId10514">
        <w:r>
          <w:rPr>
            <w:color w:val="0000EE"/>
            <w:u w:val="single"/>
          </w:rPr>
          <w:t>36</w:t>
        </w:r>
      </w:hyperlink>
    </w:p>
    <w:p>
      <w:r/>
      <w:r>
        <w:t xml:space="preserve">Baseando sua pergunta na lei anterior estabelecida no capítulo </w:t>
      </w:r>
      <w:hyperlink r:id="rId15416">
        <w:r>
          <w:rPr>
            <w:color w:val="0000EE"/>
            <w:u w:val="single"/>
          </w:rPr>
          <w:t>27</w:t>
        </w:r>
      </w:hyperlink>
      <w:r>
        <w:t xml:space="preserve">, os líderes de Manassés perguntaram se uma herdeira deveria ter permissão para se casar fora de sua tribo, considerando a consequente transferência de propriedade de uma tribo para outra que ocorreria. Deus ordenou que uma herdeira deveria se casar dentro de sua tribo (vv </w:t>
      </w:r>
      <w:hyperlink r:id="rId9884">
        <w:r>
          <w:rPr>
            <w:color w:val="0000EE"/>
            <w:u w:val="single"/>
          </w:rPr>
          <w:t>1–12</w:t>
        </w:r>
      </w:hyperlink>
      <w:r>
        <w:t>).</w:t>
      </w:r>
    </w:p>
    <w:p>
      <w:r/>
      <w:r>
        <w:t>O último versículo do livro refere-se a todas as leis dadas nas campinas de Moabe (</w:t>
      </w:r>
      <w:hyperlink r:id="rId15487">
        <w:r>
          <w:rPr>
            <w:color w:val="0000EE"/>
            <w:u w:val="single"/>
          </w:rPr>
          <w:t>26.1–36.12</w:t>
        </w:r>
      </w:hyperlink>
      <w:r>
        <w:t xml:space="preserve">; cf. </w:t>
      </w:r>
      <w:hyperlink r:id="rId15488">
        <w:r>
          <w:rPr>
            <w:color w:val="0000EE"/>
            <w:u w:val="single"/>
          </w:rPr>
          <w:t>Lv 27.34</w:t>
        </w:r>
      </w:hyperlink>
      <w:r>
        <w:t>).</w:t>
      </w:r>
    </w:p>
    <w:p>
      <w:pPr>
        <w:pStyle w:val="Heading3"/>
      </w:pPr>
      <w:r>
        <w:t>Educação teológica</w:t>
      </w:r>
    </w:p>
    <w:p>
      <w:r/>
      <w:r>
        <w:t>No livro de Números, Deus é revelado como o Deus imutavelmente fiel à aliança (</w:t>
      </w:r>
      <w:hyperlink r:id="rId6818">
        <w:r>
          <w:rPr>
            <w:color w:val="0000EE"/>
            <w:u w:val="single"/>
          </w:rPr>
          <w:t>Nm 23.19</w:t>
        </w:r>
      </w:hyperlink>
      <w:r>
        <w:t>). Essa fidelidade à sua aliança exigia que Ele tanto guiasse e cuidasse de seu povo quanto punisse seus pecados contra Ele. Mas nenhum impedimento foi tão grande que pudesse frustrar o desígnio de Deus de levar seu povo à terra da promessa (</w:t>
      </w:r>
      <w:hyperlink r:id="rId15489">
        <w:r>
          <w:rPr>
            <w:color w:val="0000EE"/>
            <w:u w:val="single"/>
          </w:rPr>
          <w:t>11.23</w:t>
        </w:r>
      </w:hyperlink>
      <w:r>
        <w:t>).</w:t>
      </w:r>
    </w:p>
    <w:p>
      <w:r/>
      <w:r>
        <w:t>Tanto por sua reação irada ao pecado de Israel quanto pelas numerosas leis sacerdotais, Deus destaca sua impressionante santidade. A legislação ensina claramente que a pessoa que se aproxima de Deus deve estar limpa. Mesmo olhar com olhos impuros para a santidade de Deus significava morte (</w:t>
      </w:r>
      <w:hyperlink r:id="rId15403">
        <w:r>
          <w:rPr>
            <w:color w:val="0000EE"/>
            <w:u w:val="single"/>
          </w:rPr>
          <w:t>4.20</w:t>
        </w:r>
      </w:hyperlink>
      <w:r>
        <w:t>).</w:t>
      </w:r>
    </w:p>
    <w:p>
      <w:r/>
      <w:r>
        <w:t>Sua soberania sobre toda a vida é evidente pela atenção que Ele demonstra até mesmo aos aspectos mais minuciosos da vida. A frase “E o Senhor disse a Moisés” ocorre mais de 50 vezes, e as palavras que seguem em cada caso tratam de todos os tipos de assuntos.</w:t>
      </w:r>
    </w:p>
    <w:p>
      <w:r/>
      <w:r>
        <w:t>Como o Deus da aliança, o caráter “cristológico” de Deus também é evidente. A bênção e a fidelidade de Deus refletem o motivo cristológico. Finalmente, a liderança profética de Moisés (</w:t>
      </w:r>
      <w:hyperlink r:id="rId15490">
        <w:r>
          <w:rPr>
            <w:color w:val="0000EE"/>
            <w:u w:val="single"/>
          </w:rPr>
          <w:t>At 7.37–38</w:t>
        </w:r>
      </w:hyperlink>
      <w:r>
        <w:t xml:space="preserve">) e o ministério intercessório (e.g., </w:t>
      </w:r>
      <w:hyperlink r:id="rId15491">
        <w:r>
          <w:rPr>
            <w:color w:val="0000EE"/>
            <w:u w:val="single"/>
          </w:rPr>
          <w:t>Nm 11.2</w:t>
        </w:r>
      </w:hyperlink>
      <w:r>
        <w:t xml:space="preserve">; </w:t>
      </w:r>
      <w:hyperlink r:id="rId15492">
        <w:r>
          <w:rPr>
            <w:color w:val="0000EE"/>
            <w:u w:val="single"/>
          </w:rPr>
          <w:t>12.13</w:t>
        </w:r>
      </w:hyperlink>
      <w:r>
        <w:t xml:space="preserve">; </w:t>
      </w:r>
      <w:hyperlink r:id="rId15493">
        <w:r>
          <w:rPr>
            <w:color w:val="0000EE"/>
            <w:u w:val="single"/>
          </w:rPr>
          <w:t>14.19</w:t>
        </w:r>
      </w:hyperlink>
      <w:r>
        <w:t xml:space="preserve">), no sacerdócio aarônico (por exemplo, cap. </w:t>
      </w:r>
      <w:hyperlink r:id="rId2404">
        <w:r>
          <w:rPr>
            <w:color w:val="0000EE"/>
            <w:u w:val="single"/>
          </w:rPr>
          <w:t>16</w:t>
        </w:r>
      </w:hyperlink>
      <w:r>
        <w:t xml:space="preserve">), nos sacrifícios de animais (cf. </w:t>
      </w:r>
      <w:hyperlink r:id="rId15494">
        <w:r>
          <w:rPr>
            <w:color w:val="0000EE"/>
            <w:u w:val="single"/>
          </w:rPr>
          <w:t>19.9</w:t>
        </w:r>
      </w:hyperlink>
      <w:r>
        <w:t xml:space="preserve">; </w:t>
      </w:r>
      <w:hyperlink r:id="rId4911">
        <w:r>
          <w:rPr>
            <w:color w:val="0000EE"/>
            <w:u w:val="single"/>
          </w:rPr>
          <w:t>Hb 9.13</w:t>
        </w:r>
      </w:hyperlink>
      <w:r>
        <w:t>), e nos símbolos (o maná, a água, a serpente de bronze) prefiguram o futuro Cristo.</w:t>
      </w:r>
    </w:p>
    <w:p>
      <w:r/>
      <w:r>
        <w:t xml:space="preserve">Nas respostas de Israel a Deus, o povo retrata toda a pecaminosidade e infidelidade humana. As andanças de Israel ilustram os resultados da incredulidade. As punições de Israel provam o ditado de </w:t>
      </w:r>
      <w:hyperlink r:id="rId15495">
        <w:r>
          <w:rPr>
            <w:color w:val="0000EE"/>
            <w:u w:val="single"/>
          </w:rPr>
          <w:t>Números 32.23</w:t>
        </w:r>
      </w:hyperlink>
      <w:r>
        <w:t>: “Porém, se vocês não cumprirem o que estão prometendo, estarão pecando contra o SENHOR. E fiquem sabendo que vocês serão castigados por causa dos seus próprios pecados” (NTLH). Números ensina de forma contundente que segurança e bênção só podem ser encontradas na confiança no Senhor. Somente ele é capaz de levar homens e mulheres ao lugar de descanso (</w:t>
      </w:r>
      <w:hyperlink r:id="rId10418">
        <w:r>
          <w:rPr>
            <w:color w:val="0000EE"/>
            <w:u w:val="single"/>
          </w:rPr>
          <w:t>Hb 4.9</w:t>
        </w:r>
      </w:hyperlink>
      <w:r>
        <w:t>).</w:t>
      </w:r>
    </w:p>
    <w:p>
      <w:r/>
      <w:r>
        <w:rPr>
          <w:i/>
        </w:rPr>
        <w:t>Veja também</w:t>
      </w:r>
      <w:r>
        <w:t xml:space="preserve"> </w:t>
      </w:r>
      <w:r>
        <w:t>Deuteronômio, Livro de</w:t>
      </w:r>
      <w:r>
        <w:t xml:space="preserve">; </w:t>
      </w:r>
      <w:r>
        <w:t>Êxodo, Livro de</w:t>
      </w:r>
      <w:r>
        <w:t xml:space="preserve">; </w:t>
      </w:r>
      <w:r>
        <w:t>Gênesis, Livro de</w:t>
      </w:r>
      <w:r>
        <w:t xml:space="preserve">; </w:t>
      </w:r>
      <w:r>
        <w:t>Levítico, Livro de</w:t>
      </w:r>
      <w:r>
        <w:t xml:space="preserve">; </w:t>
      </w:r>
      <w:r>
        <w:t>Moisés</w:t>
      </w:r>
      <w:r>
        <w:t xml:space="preserve">; </w:t>
      </w:r>
      <w:r>
        <w:t>Peregrinações no Deserto</w:t>
      </w:r>
      <w:r>
        <w:t>.</w:t>
      </w:r>
      <w:r/>
      <w:r/>
    </w:p>
    <w:p>
      <w:r/>
    </w:p>
    <w:p>
      <w:pPr>
        <w:pStyle w:val="Heading2"/>
      </w:pPr>
      <w:r>
        <w:t>Nuzi, Tábulas de Nuzi</w:t>
      </w:r>
      <w:r/>
    </w:p>
    <w:p>
      <w:r/>
      <w:r>
        <w:t>Uma cidade no nordeste da Mesopotâmia, cerca de 14 quilômetros a sudoeste da atual Kirkuk. Originalmente chamada de Gasur, agora é conhecida como Yorgan Tepe. Escavações arqueológicas ocorreram de 1925 a 1931 e revelaram muitas descobertas interessantes. Yorgan Tepe é famosa por suas tábuas de argila, que tratam principalmente de transações comerciais.</w:t>
      </w:r>
    </w:p>
    <w:p>
      <w:r/>
      <w:r>
        <w:t xml:space="preserve">No terceiro milênio a.C., Gasur era habitada principalmente por povos semitas. No meio do segundo milênio, os residentes eram hurritas, e o nome da cidade mudou para Nuzi. Os hurritas são identificados como os horeus na Bíblia (cp. </w:t>
      </w:r>
      <w:hyperlink r:id="rId7779">
        <w:r>
          <w:rPr>
            <w:color w:val="0000EE"/>
            <w:u w:val="single"/>
          </w:rPr>
          <w:t>Gn 14.6</w:t>
        </w:r>
      </w:hyperlink>
      <w:r>
        <w:t xml:space="preserve">; </w:t>
      </w:r>
      <w:hyperlink r:id="rId15496">
        <w:r>
          <w:rPr>
            <w:color w:val="0000EE"/>
            <w:u w:val="single"/>
          </w:rPr>
          <w:t>36.20</w:t>
        </w:r>
      </w:hyperlink>
      <w:r>
        <w:t>-</w:t>
      </w:r>
      <w:hyperlink r:id="rId15496">
        <w:r>
          <w:rPr>
            <w:color w:val="0000EE"/>
            <w:u w:val="single"/>
          </w:rPr>
          <w:t>21</w:t>
        </w:r>
      </w:hyperlink>
      <w:r>
        <w:t xml:space="preserve">; </w:t>
      </w:r>
      <w:hyperlink r:id="rId10739">
        <w:r>
          <w:rPr>
            <w:color w:val="0000EE"/>
            <w:u w:val="single"/>
          </w:rPr>
          <w:t>Dt 2.12,22</w:t>
        </w:r>
      </w:hyperlink>
      <w:r>
        <w:t>).</w:t>
      </w:r>
    </w:p>
    <w:p>
      <w:r/>
      <w:r>
        <w:t>Muitas tábuas de argila do terceiro milênio a.C. foram encontradas, incluindo o mapa mais antigo conhecido. Os registros indicam que a compra de itens através do pagamento em prestações já era praticada.</w:t>
      </w:r>
    </w:p>
    <w:p>
      <w:r/>
      <w:r>
        <w:t>Nos séculos XV a XIV a.C., escribas hurritas escreveram milhares de tábuas de argila, principalmente em babilônico. Esses registros fornecem muitas informações sobre os costumes e práticas legais do Oriente Próximo, esclarecendo o período patriarcal da Bíblia.</w:t>
      </w:r>
    </w:p>
    <w:p>
      <w:r/>
      <w:r>
        <w:t>Aqui estão alguns exemplos de possíveis conexões entre Nuzi e a Bíblia:</w:t>
      </w:r>
    </w:p>
    <w:p>
      <w:pPr>
        <w:pStyle w:val="ListBullet"/>
        <w:spacing w:line="240" w:lineRule="auto"/>
        <w:ind w:left="720"/>
      </w:pPr>
      <w:r/>
      <w:r>
        <w:t>Em Nuzi, uma esposa sem filhos podia dar sua serva ao marido para gerar filhos em seu nome. Essa prática foi seguida por Sarai, Raquel e Lia (</w:t>
      </w:r>
      <w:hyperlink r:id="rId439">
        <w:r>
          <w:rPr>
            <w:color w:val="0000EE"/>
            <w:u w:val="single"/>
          </w:rPr>
          <w:t>Gn 16.1</w:t>
        </w:r>
      </w:hyperlink>
      <w:r>
        <w:t>-</w:t>
      </w:r>
      <w:hyperlink r:id="rId439">
        <w:r>
          <w:rPr>
            <w:color w:val="0000EE"/>
            <w:u w:val="single"/>
          </w:rPr>
          <w:t>4</w:t>
        </w:r>
      </w:hyperlink>
      <w:r>
        <w:t xml:space="preserve">; </w:t>
      </w:r>
      <w:hyperlink r:id="rId11491">
        <w:r>
          <w:rPr>
            <w:color w:val="0000EE"/>
            <w:u w:val="single"/>
          </w:rPr>
          <w:t>30.1</w:t>
        </w:r>
      </w:hyperlink>
      <w:r>
        <w:t>-</w:t>
      </w:r>
      <w:hyperlink r:id="rId11491">
        <w:r>
          <w:rPr>
            <w:color w:val="0000EE"/>
            <w:u w:val="single"/>
          </w:rPr>
          <w:t>8</w:t>
        </w:r>
      </w:hyperlink>
      <w:r>
        <w:t xml:space="preserve">; </w:t>
      </w:r>
      <w:hyperlink r:id="rId15497">
        <w:r>
          <w:rPr>
            <w:color w:val="0000EE"/>
            <w:u w:val="single"/>
          </w:rPr>
          <w:t>30.9</w:t>
        </w:r>
      </w:hyperlink>
      <w:r>
        <w:t>-</w:t>
      </w:r>
      <w:hyperlink r:id="rId15497">
        <w:r>
          <w:rPr>
            <w:color w:val="0000EE"/>
            <w:u w:val="single"/>
          </w:rPr>
          <w:t>13</w:t>
        </w:r>
      </w:hyperlink>
      <w:r>
        <w:t>). O pai tinha que criar o filho como descendente de sua esposa legal, e a esposa não podia expulsar a criança. Assim, Sarai não tinha o direito de expulsar o filho de Agar, Ismael (</w:t>
      </w:r>
      <w:hyperlink r:id="rId15498">
        <w:r>
          <w:rPr>
            <w:color w:val="0000EE"/>
            <w:u w:val="single"/>
          </w:rPr>
          <w:t>Gn 16.4</w:t>
        </w:r>
      </w:hyperlink>
      <w:r>
        <w:t>-</w:t>
      </w:r>
      <w:hyperlink r:id="rId15498">
        <w:r>
          <w:rPr>
            <w:color w:val="0000EE"/>
            <w:u w:val="single"/>
          </w:rPr>
          <w:t>6</w:t>
        </w:r>
      </w:hyperlink>
      <w:r>
        <w:t>).</w:t>
      </w:r>
    </w:p>
    <w:p>
      <w:pPr>
        <w:pStyle w:val="ListBullet"/>
        <w:spacing w:line="240" w:lineRule="auto"/>
        <w:ind w:left="720"/>
      </w:pPr>
      <w:r/>
      <w:r>
        <w:t>Em Nuzi, vender propriedade fora da família era proibido. Para contornar isso, as pessoas usavam adoção ou troca de propriedades. Para cuidados ao longo da vida e custos de sepultamento, um proprietário de terras rico poderia ser "adotado" por camponeses e receber suas propriedades. O mesmo homem poderia ser adotado por 300 ou 400 camponeses. Um casal sem filhos poderia adotar alguém para cuidar deles e herdar sua propriedade, semelhante à relação entre Abrão e seu servo Eliezer (</w:t>
      </w:r>
      <w:hyperlink r:id="rId166">
        <w:r>
          <w:rPr>
            <w:color w:val="0000EE"/>
            <w:u w:val="single"/>
          </w:rPr>
          <w:t>Gn 15.2</w:t>
        </w:r>
      </w:hyperlink>
      <w:r>
        <w:t>). Propriedades de pouco valor poderiam ser trocadas por propriedades valiosas, às vezes com dinheiro para cobrir a diferença. Em Nuzi, um homem chamado Tehip-tilla vendeu seus direitos de herança para seu irmão Kurpazah por três ovelhas, semelhante a Esaú vendendo seu direito de primogenitura para Jacó por um ensopado (</w:t>
      </w:r>
      <w:hyperlink r:id="rId13265">
        <w:r>
          <w:rPr>
            <w:color w:val="0000EE"/>
            <w:u w:val="single"/>
          </w:rPr>
          <w:t>Gn 25.27</w:t>
        </w:r>
      </w:hyperlink>
      <w:r>
        <w:t>-</w:t>
      </w:r>
      <w:hyperlink r:id="rId13265">
        <w:r>
          <w:rPr>
            <w:color w:val="0000EE"/>
            <w:u w:val="single"/>
          </w:rPr>
          <w:t>34</w:t>
        </w:r>
      </w:hyperlink>
      <w:r>
        <w:t>).</w:t>
      </w:r>
    </w:p>
    <w:p>
      <w:pPr>
        <w:pStyle w:val="ListBullet"/>
        <w:spacing w:line="240" w:lineRule="auto"/>
        <w:ind w:left="720"/>
      </w:pPr>
      <w:r/>
      <w:r>
        <w:t>Em Nuzi, um testamento oral ou bênção dada no leito de morte era legalmente vinculativo. Um homem chamado Huya, em seu leito de morte, deu ao seu filho Tarmiya uma esposa, Sululi-Ishtar. Os dois irmãos de Tarmiya contestaram isso no tribunal, mas o tribunal manteve a reivindicação de Tarmiya. Da mesma forma, Isaque teve que honrar a bênção que deu a Jacó, mesmo que tenha sido obtida por engano (</w:t>
      </w:r>
      <w:hyperlink r:id="rId11482">
        <w:r>
          <w:rPr>
            <w:color w:val="0000EE"/>
            <w:u w:val="single"/>
          </w:rPr>
          <w:t>Gn 27.33</w:t>
        </w:r>
      </w:hyperlink>
      <w:r>
        <w:t>).</w:t>
      </w:r>
    </w:p>
    <w:p>
      <w:pPr>
        <w:pStyle w:val="ListBullet"/>
        <w:spacing w:line="240" w:lineRule="auto"/>
        <w:ind w:left="720"/>
      </w:pPr>
      <w:r/>
      <w:r>
        <w:t>Em Nuzi, a pessoa que possuía os deuses domésticos (</w:t>
      </w:r>
      <w:r>
        <w:rPr>
          <w:i/>
        </w:rPr>
        <w:t>terafins</w:t>
      </w:r>
      <w:r>
        <w:t xml:space="preserve">) herdava a propriedade do dono. É por isso que Raquel levou os </w:t>
      </w:r>
      <w:r>
        <w:rPr>
          <w:i/>
        </w:rPr>
        <w:t>terafins</w:t>
      </w:r>
      <w:r>
        <w:t xml:space="preserve"> de seu pai Labão (</w:t>
      </w:r>
      <w:hyperlink r:id="rId15499">
        <w:r>
          <w:rPr>
            <w:color w:val="0000EE"/>
            <w:u w:val="single"/>
          </w:rPr>
          <w:t>Gn 31.19</w:t>
        </w:r>
      </w:hyperlink>
      <w:r>
        <w:t>). Labão ficou muito chateado com o desaparecimento deles (</w:t>
      </w:r>
      <w:hyperlink r:id="rId15500">
        <w:r>
          <w:rPr>
            <w:color w:val="0000EE"/>
            <w:u w:val="single"/>
          </w:rPr>
          <w:t>Gn 31.30</w:t>
        </w:r>
      </w:hyperlink>
      <w:r>
        <w:t>-</w:t>
      </w:r>
      <w:hyperlink r:id="rId15500">
        <w:r>
          <w:rPr>
            <w:color w:val="0000EE"/>
            <w:u w:val="single"/>
          </w:rPr>
          <w:t>35</w:t>
        </w:r>
      </w:hyperlink>
      <w:r>
        <w:t>).</w:t>
      </w:r>
    </w:p>
    <w:p>
      <w:pPr>
        <w:pStyle w:val="ListBullet"/>
        <w:spacing w:line="240" w:lineRule="auto"/>
        <w:ind w:left="720"/>
      </w:pPr>
      <w:r/>
      <w:r>
        <w:t>Outro exemplo de adoção é semelhante a um caso na Bíblia. Nashwi adotou Wullu e deu sua filha Nuhuya a ele em casamento. Se Wullu se casasse com outra esposa, ele perderia a propriedade de Nashwi. Da mesma forma, Labão fez Jacó prometer não tomar outra esposa além de Lia e Raquel (</w:t>
      </w:r>
      <w:hyperlink r:id="rId15501">
        <w:r>
          <w:rPr>
            <w:color w:val="0000EE"/>
            <w:u w:val="single"/>
          </w:rPr>
          <w:t>Gn 31.50</w:t>
        </w:r>
      </w:hyperlink>
      <w:r>
        <w:t>).</w:t>
      </w:r>
    </w:p>
    <w:p>
      <w:r/>
      <w:r>
        <w:rPr>
          <w:i/>
        </w:rPr>
        <w:t>Veja também</w:t>
      </w:r>
      <w:r>
        <w:t xml:space="preserve"> </w:t>
      </w:r>
      <w:r>
        <w:t>Inscrições</w:t>
      </w:r>
      <w:r>
        <w:t>.</w:t>
      </w:r>
      <w:r/>
      <w:r/>
    </w:p>
    <w:p>
      <w:r/>
    </w:p>
    <w:p>
      <w:pPr>
        <w:pStyle w:val="Heading2"/>
      </w:pPr>
      <w:r>
        <w:t>O Caminho</w:t>
      </w:r>
      <w:r/>
    </w:p>
    <w:p>
      <w:r/>
      <w:r>
        <w:t>"O Caminho" é um dos nomes aplicados à comunidade cristã primitiva (</w:t>
      </w:r>
      <w:hyperlink r:id="rId15502">
        <w:r>
          <w:rPr>
            <w:color w:val="0000EE"/>
            <w:u w:val="single"/>
          </w:rPr>
          <w:t>At 9.2</w:t>
        </w:r>
      </w:hyperlink>
      <w:r>
        <w:t>). Tanto os judeus quanto as pessoas não religiosas usavam esse nome ao se referirem aos cristãos. O nome apareceu em discussões tanto positivas quanto negativas sobre a igreja (</w:t>
      </w:r>
      <w:hyperlink r:id="rId15503">
        <w:r>
          <w:rPr>
            <w:color w:val="0000EE"/>
            <w:u w:val="single"/>
          </w:rPr>
          <w:t>19.9,23</w:t>
        </w:r>
      </w:hyperlink>
      <w:r>
        <w:t xml:space="preserve">; </w:t>
      </w:r>
      <w:hyperlink r:id="rId15504">
        <w:r>
          <w:rPr>
            <w:color w:val="0000EE"/>
            <w:u w:val="single"/>
          </w:rPr>
          <w:t>22.4</w:t>
        </w:r>
      </w:hyperlink>
      <w:r>
        <w:t xml:space="preserve">; </w:t>
      </w:r>
      <w:hyperlink r:id="rId15505">
        <w:r>
          <w:rPr>
            <w:color w:val="0000EE"/>
            <w:u w:val="single"/>
          </w:rPr>
          <w:t>24.14,22</w:t>
        </w:r>
      </w:hyperlink>
      <w:r>
        <w:t>).</w:t>
      </w:r>
    </w:p>
    <w:p>
      <w:r/>
      <w:r>
        <w:t>O apóstolo Paulo usou o termo em sua defesa perante o governador romano Félix. Isso sugere que o nome tinha algum tipo de aceitação oficial (</w:t>
      </w:r>
      <w:hyperlink r:id="rId15505">
        <w:r>
          <w:rPr>
            <w:color w:val="0000EE"/>
            <w:u w:val="single"/>
          </w:rPr>
          <w:t>24.14,22</w:t>
        </w:r>
      </w:hyperlink>
      <w:r>
        <w:t>). Muito provavelmente, esse nome veio da própria declaração de Jesus: “Eu sou o caminho, a verdade e a vida” (</w:t>
      </w:r>
      <w:hyperlink r:id="rId408">
        <w:r>
          <w:rPr>
            <w:color w:val="0000EE"/>
            <w:u w:val="single"/>
          </w:rPr>
          <w:t>Jo 14.6</w:t>
        </w:r>
      </w:hyperlink>
      <w:r>
        <w:t>).</w:t>
      </w:r>
      <w:r/>
      <w:r/>
    </w:p>
    <w:p>
      <w:r/>
    </w:p>
    <w:p>
      <w:pPr>
        <w:pStyle w:val="Heading2"/>
      </w:pPr>
      <w:r>
        <w:t>O destruidor</w:t>
      </w:r>
      <w:r/>
    </w:p>
    <w:p>
      <w:pPr>
        <w:pStyle w:val="ListNumber"/>
        <w:spacing w:line="240" w:lineRule="auto"/>
        <w:ind w:left="720"/>
      </w:pPr>
      <w:r/>
      <w:r>
        <w:t>Um agente divino enviado para executar uma sentença de destruição. O destruidor matou o primogênito do Egito, encerrando as pragas e libertando os hebreus da escravidão (</w:t>
      </w:r>
      <w:hyperlink r:id="rId15506">
        <w:r>
          <w:rPr>
            <w:color w:val="0000EE"/>
            <w:u w:val="single"/>
          </w:rPr>
          <w:t>Êx 12.23</w:t>
        </w:r>
      </w:hyperlink>
      <w:r>
        <w:t xml:space="preserve">; compare </w:t>
      </w:r>
      <w:hyperlink r:id="rId14781">
        <w:r>
          <w:rPr>
            <w:color w:val="0000EE"/>
            <w:u w:val="single"/>
          </w:rPr>
          <w:t>Hb 11.28</w:t>
        </w:r>
      </w:hyperlink>
      <w:r>
        <w:t>). O apóstolo Paulo usou o termo para o julgamento de Deus sobre os israelitas rebeldes no deserto (</w:t>
      </w:r>
      <w:hyperlink r:id="rId15507">
        <w:r>
          <w:rPr>
            <w:color w:val="0000EE"/>
            <w:u w:val="single"/>
          </w:rPr>
          <w:t>1Co 10.10</w:t>
        </w:r>
      </w:hyperlink>
      <w:r>
        <w:t xml:space="preserve">; compare </w:t>
      </w:r>
      <w:hyperlink r:id="rId15508">
        <w:r>
          <w:rPr>
            <w:color w:val="0000EE"/>
            <w:u w:val="single"/>
          </w:rPr>
          <w:t>Nm 16.44–50</w:t>
        </w:r>
      </w:hyperlink>
      <w:r>
        <w:t>);</w:t>
      </w:r>
    </w:p>
    <w:p>
      <w:pPr>
        <w:pStyle w:val="ListNumber"/>
        <w:spacing w:line="240" w:lineRule="auto"/>
        <w:ind w:left="720"/>
      </w:pPr>
      <w:r/>
      <w:r>
        <w:t>No plural, "destruidores" implica um grupo que causa destruição, sejam anjos ou humanos (</w:t>
      </w:r>
      <w:hyperlink r:id="rId6062">
        <w:r>
          <w:rPr>
            <w:color w:val="0000EE"/>
            <w:u w:val="single"/>
          </w:rPr>
          <w:t>Jó 33.22</w:t>
        </w:r>
      </w:hyperlink>
      <w:r>
        <w:t xml:space="preserve">; </w:t>
      </w:r>
      <w:hyperlink r:id="rId15509">
        <w:r>
          <w:rPr>
            <w:color w:val="0000EE"/>
            <w:u w:val="single"/>
          </w:rPr>
          <w:t>Jr 22.7</w:t>
        </w:r>
      </w:hyperlink>
      <w:r>
        <w:t>);</w:t>
      </w:r>
    </w:p>
    <w:p>
      <w:pPr>
        <w:pStyle w:val="ListNumber"/>
        <w:spacing w:line="240" w:lineRule="auto"/>
        <w:ind w:left="720"/>
      </w:pPr>
      <w:r/>
      <w:r>
        <w:t>De forma mais ampla, o "destruidor" é qualquer agente que causa destruição (</w:t>
      </w:r>
      <w:hyperlink r:id="rId15510">
        <w:r>
          <w:rPr>
            <w:color w:val="0000EE"/>
            <w:u w:val="single"/>
          </w:rPr>
          <w:t>Jó 15.21</w:t>
        </w:r>
      </w:hyperlink>
      <w:r>
        <w:t xml:space="preserve">; </w:t>
      </w:r>
      <w:hyperlink r:id="rId1754">
        <w:r>
          <w:rPr>
            <w:color w:val="0000EE"/>
            <w:u w:val="single"/>
          </w:rPr>
          <w:t>Jr 4.7</w:t>
        </w:r>
      </w:hyperlink>
      <w:r>
        <w:t>);</w:t>
      </w:r>
    </w:p>
    <w:p>
      <w:pPr>
        <w:pStyle w:val="ListNumber"/>
        <w:spacing w:line="240" w:lineRule="auto"/>
        <w:ind w:left="720"/>
      </w:pPr>
      <w:r/>
      <w:r>
        <w:t>Sansão foi chamado de destruidor pelos filisteus que o mantinham cativo (</w:t>
      </w:r>
      <w:hyperlink r:id="rId15511">
        <w:r>
          <w:rPr>
            <w:color w:val="0000EE"/>
            <w:u w:val="single"/>
          </w:rPr>
          <w:t>Jz 16.24</w:t>
        </w:r>
      </w:hyperlink>
      <w:r>
        <w:t>).</w:t>
      </w:r>
      <w:r/>
      <w:r/>
    </w:p>
    <w:p>
      <w:r/>
    </w:p>
    <w:p>
      <w:pPr>
        <w:pStyle w:val="Heading2"/>
      </w:pPr>
      <w:r>
        <w:t>O dia do Senhor</w:t>
      </w:r>
      <w:r/>
    </w:p>
    <w:p>
      <w:r/>
      <w:r>
        <w:t xml:space="preserve">A frase “dia do Senhor” aparece uma vez no Novo Testamento. João a usa em </w:t>
      </w:r>
      <w:hyperlink r:id="rId8439">
        <w:r>
          <w:rPr>
            <w:color w:val="0000EE"/>
            <w:u w:val="single"/>
          </w:rPr>
          <w:t>Apocalipse 1.10</w:t>
        </w:r>
      </w:hyperlink>
      <w:r>
        <w:t>. Ele escreve: “No dia do Senhor fui dominado pelo Espírito de Deus”. A maioria dos cristãos hoje entende o dia do Senhor como sendo domingo.</w:t>
      </w:r>
    </w:p>
    <w:p>
      <w:r/>
      <w:r>
        <w:t>A primeira menção de cristãos fazendo algo especial no domingo está na carta de Paulo à igreja em Corinto. Ele lhes diz para separar algum dinheiro no “primeiro dia de cada semana” para ajudar os crentes pobres em Jerusalém (</w:t>
      </w:r>
      <w:hyperlink r:id="rId5858">
        <w:r>
          <w:rPr>
            <w:color w:val="0000EE"/>
            <w:u w:val="single"/>
          </w:rPr>
          <w:t>1Co 16.2</w:t>
        </w:r>
      </w:hyperlink>
      <w:r>
        <w:t>).</w:t>
      </w:r>
    </w:p>
    <w:p>
      <w:pPr>
        <w:pStyle w:val="Heading3"/>
      </w:pPr>
      <w:r>
        <w:t>Por que o domingo era um dia importante?</w:t>
      </w:r>
    </w:p>
    <w:p>
      <w:r/>
      <w:r>
        <w:t>O domingo já havia se tornado um dia importante para os cristãos quando Paulo escreveu à igreja em Corinto (por volta de 55–56 d.C). Paulo lhes diz para separar dinheiro no primeiro dia da semana (</w:t>
      </w:r>
      <w:hyperlink r:id="rId4390">
        <w:r>
          <w:rPr>
            <w:color w:val="0000EE"/>
            <w:u w:val="single"/>
          </w:rPr>
          <w:t>1Co 16.1</w:t>
        </w:r>
      </w:hyperlink>
      <w:r>
        <w:t>). Isso mostra que se reunir no domingo já era uma prática comum.</w:t>
      </w:r>
    </w:p>
    <w:p>
      <w:r/>
      <w:r>
        <w:t xml:space="preserve">Paulo também menciona outras reuniões da igreja em 1 Coríntios (veja </w:t>
      </w:r>
      <w:hyperlink r:id="rId15512">
        <w:r>
          <w:rPr>
            <w:color w:val="0000EE"/>
            <w:u w:val="single"/>
          </w:rPr>
          <w:t>5.4</w:t>
        </w:r>
      </w:hyperlink>
      <w:r>
        <w:t xml:space="preserve">; </w:t>
      </w:r>
      <w:hyperlink r:id="rId15513">
        <w:r>
          <w:rPr>
            <w:color w:val="0000EE"/>
            <w:u w:val="single"/>
          </w:rPr>
          <w:t>11.18–20</w:t>
        </w:r>
      </w:hyperlink>
      <w:r>
        <w:t xml:space="preserve">). Essas reuniões provavelmente aconteciam aos domingos. Durante esses encontros, a igreja também coletava dinheiro para ajudar nas necessidades locais (compare </w:t>
      </w:r>
      <w:hyperlink r:id="rId15514">
        <w:r>
          <w:rPr>
            <w:color w:val="0000EE"/>
            <w:u w:val="single"/>
          </w:rPr>
          <w:t>1Co 9.7–14</w:t>
        </w:r>
      </w:hyperlink>
      <w:r>
        <w:t>).</w:t>
      </w:r>
    </w:p>
    <w:p>
      <w:r/>
      <w:r>
        <w:t>Então, Paulo estava dizendo: "Quando vocês se reunirem no domingo e fizerem uma coleta, lembrem-se também dos crentes pobres em Jerusalém. Separem algo para eles também." Isso era um ato pessoal, mas conectado à reunião semanal da igreja.</w:t>
      </w:r>
    </w:p>
    <w:p>
      <w:pPr>
        <w:pStyle w:val="Heading3"/>
      </w:pPr>
      <w:r>
        <w:t>Uma reunião de domingo em Trôade</w:t>
      </w:r>
    </w:p>
    <w:p>
      <w:r/>
      <w:r>
        <w:t xml:space="preserve">Uma história mais detalhada sobre uma reunião de domingo vem de </w:t>
      </w:r>
      <w:hyperlink r:id="rId15515">
        <w:r>
          <w:rPr>
            <w:color w:val="0000EE"/>
            <w:u w:val="single"/>
          </w:rPr>
          <w:t>At 20.6–12</w:t>
        </w:r>
      </w:hyperlink>
      <w:r>
        <w:t>. Aconteceu na cidade de Trôade cerca de três anos depois que Paulo escreveu 1 Coríntios. A reunião durou a noite toda. Lucas, o escritor de Atos, foca na história de um jovem chamado Êutico. Ele adormeceu durante a reunião e morreu após cair de uma janela. Mas Paulo o trouxe de volta à vida. Embora Lucas não descreva tudo o que aconteceu na reunião, ele fornece detalhes suficientes para mostrar o que os primeiros cristãos faziam quando se reuniam aos domingos.</w:t>
      </w:r>
    </w:p>
    <w:p>
      <w:r/>
      <w:r>
        <w:t>É importante que Lucas nos diga que a reunião em Trôade aconteceu em um domingo (</w:t>
      </w:r>
      <w:hyperlink r:id="rId4653">
        <w:r>
          <w:rPr>
            <w:color w:val="0000EE"/>
            <w:u w:val="single"/>
          </w:rPr>
          <w:t>At 20.7</w:t>
        </w:r>
      </w:hyperlink>
      <w:r>
        <w:t>). No livro de Atos, ele geralmente menciona o dia apenas se for um sábado ou uma festa especial. Portanto, esse detalhe é significativo.</w:t>
      </w:r>
    </w:p>
    <w:p>
      <w:r/>
      <w:r>
        <w:t>Lucas também usa uma palavra especial para "reunidos". O Novo Testamento frequentemente usa essa palavra quando os cristãos se juntam para adoração (</w:t>
      </w:r>
      <w:hyperlink r:id="rId15512">
        <w:r>
          <w:rPr>
            <w:color w:val="0000EE"/>
            <w:u w:val="single"/>
          </w:rPr>
          <w:t>1Co 5.4</w:t>
        </w:r>
      </w:hyperlink>
      <w:r>
        <w:t>). Isso mostra que a reunião em Trôade não foi apenas um evento especial para ouvir Paulo. Paulo já estava lá há seis dias. A reunião de domingo provavelmente era o horário regular de adoração semanal deles. A igreja em Trôade pode ter se reunido todos os dias, como a igreja em Jerusalém (</w:t>
      </w:r>
      <w:hyperlink r:id="rId5298">
        <w:r>
          <w:rPr>
            <w:color w:val="0000EE"/>
            <w:u w:val="single"/>
          </w:rPr>
          <w:t>At 2.42,46</w:t>
        </w:r>
      </w:hyperlink>
      <w:r>
        <w:t>). Mas eles tratavam a reunião de domingo como uma ocasião especial.</w:t>
      </w:r>
    </w:p>
    <w:p>
      <w:pPr>
        <w:pStyle w:val="Heading3"/>
      </w:pPr>
      <w:r>
        <w:t>Conexões com o culto judaico</w:t>
      </w:r>
    </w:p>
    <w:p>
      <w:r/>
      <w:r>
        <w:t>Lucas usa esta mesma palavra para descrever a pregação de Paulo (</w:t>
      </w:r>
      <w:hyperlink r:id="rId4653">
        <w:r>
          <w:rPr>
            <w:color w:val="0000EE"/>
            <w:u w:val="single"/>
          </w:rPr>
          <w:t>At 20.7</w:t>
        </w:r>
      </w:hyperlink>
      <w:r>
        <w:t>). Ele a havia usado anteriormente para descrever a pregação de Paulo nas sinagogas judaicas em Éfeso e Corinto (</w:t>
      </w:r>
      <w:hyperlink r:id="rId5758">
        <w:r>
          <w:rPr>
            <w:color w:val="0000EE"/>
            <w:u w:val="single"/>
          </w:rPr>
          <w:t>18.4</w:t>
        </w:r>
      </w:hyperlink>
      <w:r>
        <w:t xml:space="preserve">; </w:t>
      </w:r>
      <w:hyperlink r:id="rId15516">
        <w:r>
          <w:rPr>
            <w:color w:val="0000EE"/>
            <w:u w:val="single"/>
          </w:rPr>
          <w:t>19.8</w:t>
        </w:r>
      </w:hyperlink>
      <w:r>
        <w:t>). Isso mostra uma conexão entre o culto do sábado judaico e o culto cristão primitivo no domingo.</w:t>
      </w:r>
    </w:p>
    <w:p>
      <w:r/>
      <w:r>
        <w:t>Quando os cristãos deixaram de se reunir nas sinagogas, provavelmente mantiveram um padrão semelhante para seus encontros. O culto na sinagoga geralmente incluía três partes principais: leitura das Escrituras, ensino e oração. O Novo Testamento não mostra as três acontecendo simultaneamente em uma reunião cristã, mas cada parte é mencionada em diferentes passagens.</w:t>
      </w:r>
    </w:p>
    <w:p>
      <w:pPr>
        <w:pStyle w:val="Heading3"/>
      </w:pPr>
      <w:r>
        <w:t>Compartilhando o pão juntos</w:t>
      </w:r>
    </w:p>
    <w:p>
      <w:r/>
      <w:r>
        <w:t>A principal razão pela qual a igreja em Troas se reunia no domingo era "para partir o pão" (</w:t>
      </w:r>
      <w:hyperlink r:id="rId4653">
        <w:r>
          <w:rPr>
            <w:color w:val="0000EE"/>
            <w:u w:val="single"/>
          </w:rPr>
          <w:t>At 20.7</w:t>
        </w:r>
      </w:hyperlink>
      <w:r>
        <w:t xml:space="preserve">). Esta era uma expressão comum no Novo Testamento para compartilhar a Ceia do Senhor. Pode ter incluído também uma refeição compartilhada conhecida como festa do amor (compare </w:t>
      </w:r>
      <w:hyperlink r:id="rId5822">
        <w:r>
          <w:rPr>
            <w:color w:val="0000EE"/>
            <w:u w:val="single"/>
          </w:rPr>
          <w:t>1Co 11.17–34</w:t>
        </w:r>
      </w:hyperlink>
      <w:r>
        <w:t>). A Ceia do Senhor logo se tornou a parte mais importante do culto de domingo para a igreja primitiva. Ajudava os crentes a lembrar que Jesus ressuscitou dos mortos. Também os lembrava de que Jesus estava presente com eles quando se reuniam. Para os cristãos, isso fazia do domingo o dia ideal para adorar e compartilhar a Ceia do Senhor juntos.</w:t>
      </w:r>
    </w:p>
    <w:p>
      <w:pPr>
        <w:pStyle w:val="Heading3"/>
      </w:pPr>
      <w:r>
        <w:t>O dia do Senhor em Apocalipse</w:t>
      </w:r>
    </w:p>
    <w:p>
      <w:r/>
      <w:r>
        <w:t xml:space="preserve">A terceira menção clara de domingo no Novo Testamento está em </w:t>
      </w:r>
      <w:hyperlink r:id="rId8439">
        <w:r>
          <w:rPr>
            <w:color w:val="0000EE"/>
            <w:u w:val="single"/>
          </w:rPr>
          <w:t>Apocalipse 1.10</w:t>
        </w:r>
      </w:hyperlink>
      <w:r>
        <w:t>. Este é o único versículo que o chama de “o dia do Senhor”. Isso aconteceu cerca de 40 anos após a visita de Paulo a Trôade. João estava na ilha de Patmos, na costa do que hoje é a Turquia. Ele diz que estava adorando no dia do Senhor quando recebeu uma visão de Deus (</w:t>
      </w:r>
      <w:hyperlink r:id="rId8439">
        <w:r>
          <w:rPr>
            <w:color w:val="0000EE"/>
            <w:u w:val="single"/>
          </w:rPr>
          <w:t>Ap 1.10</w:t>
        </w:r>
      </w:hyperlink>
      <w:r>
        <w:t>). Algumas pessoas acham que “dia do Senhor” aqui pode significar Páscoa, ou até mesmo o dia do juízo final que os profetas do Antigo Testamento mencionaram. Mas a maioria dos estudiosos da Bíblia concorda que simplesmente significa “domingo”, com base em como os primeiros cristãos usaram a frase posteriormente.</w:t>
      </w:r>
    </w:p>
    <w:p>
      <w:r/>
      <w:r>
        <w:t xml:space="preserve">O contexto imediato de </w:t>
      </w:r>
      <w:hyperlink r:id="rId8439">
        <w:r>
          <w:rPr>
            <w:color w:val="0000EE"/>
            <w:u w:val="single"/>
          </w:rPr>
          <w:t>Apocalipse 1.10</w:t>
        </w:r>
      </w:hyperlink>
      <w:r>
        <w:t xml:space="preserve"> deixa claro que João via o domingo como o dia do Senhor. Neste dia, os cristãos se reuniam para demonstrar seu total compromisso com Jesus como Senhor e Mestre (</w:t>
      </w:r>
      <w:hyperlink r:id="rId12669">
        <w:r>
          <w:rPr>
            <w:color w:val="0000EE"/>
            <w:u w:val="single"/>
          </w:rPr>
          <w:t>Ap 1.8</w:t>
        </w:r>
      </w:hyperlink>
      <w:r>
        <w:t xml:space="preserve">). Jesus ressuscitou dos mortos no primeiro dia da semana, mostrando que ele é verdadeiramente Senhor (veja </w:t>
      </w:r>
      <w:hyperlink r:id="rId10304">
        <w:r>
          <w:rPr>
            <w:color w:val="0000EE"/>
            <w:u w:val="single"/>
          </w:rPr>
          <w:t>Ap 1.18</w:t>
        </w:r>
      </w:hyperlink>
      <w:r>
        <w:t xml:space="preserve"> e </w:t>
      </w:r>
      <w:hyperlink r:id="rId15517">
        <w:r>
          <w:rPr>
            <w:color w:val="0000EE"/>
            <w:u w:val="single"/>
          </w:rPr>
          <w:t>Jo 20.25–28</w:t>
        </w:r>
      </w:hyperlink>
      <w:r>
        <w:t xml:space="preserve">). </w:t>
        <w:br/>
        <w:br/>
      </w:r>
      <w:r>
        <w:t>Um dia, o mundo inteiro reconhecerá Jesus como “Rei dos reis e Senhor dos senhores” (</w:t>
      </w:r>
      <w:hyperlink r:id="rId6127">
        <w:r>
          <w:rPr>
            <w:color w:val="0000EE"/>
            <w:u w:val="single"/>
          </w:rPr>
          <w:t>Ap 19.16</w:t>
        </w:r>
      </w:hyperlink>
      <w:r>
        <w:t xml:space="preserve">; compare </w:t>
      </w:r>
      <w:hyperlink r:id="rId6897">
        <w:r>
          <w:rPr>
            <w:color w:val="0000EE"/>
            <w:u w:val="single"/>
          </w:rPr>
          <w:t>Fp 2.11</w:t>
        </w:r>
      </w:hyperlink>
      <w:r>
        <w:t>). Mas até lá, a igreja demonstra essa verdade toda vez que os cristãos se reúnem para adorá-lo.</w:t>
      </w:r>
      <w:r/>
      <w:r/>
    </w:p>
    <w:p>
      <w:r/>
    </w:p>
    <w:p>
      <w:pPr>
        <w:pStyle w:val="Heading2"/>
      </w:pPr>
      <w:r>
        <w:t>O Egípcio</w:t>
      </w:r>
      <w:r/>
    </w:p>
    <w:p>
      <w:r/>
      <w:r>
        <w:t xml:space="preserve">Um homem não identificado do Egito liderou uma revolta violenta contra o domínio romano. Ele reuniu um grande grupo de seguidores, incluindo um grupo violento chamado </w:t>
      </w:r>
      <w:r>
        <w:rPr>
          <w:i/>
        </w:rPr>
        <w:t xml:space="preserve">Sicarii </w:t>
      </w:r>
      <w:r>
        <w:t>— rebeldes judeus conhecidos por usarem pequenas facas para assassinar seus inimigos. O Egípcio levou seus seguidores para o deserto.</w:t>
      </w:r>
    </w:p>
    <w:p>
      <w:r/>
      <w:r>
        <w:t xml:space="preserve">Após uma perturbação no Templo, o comandante romano Cláudio Lísias perguntou ao apóstolo Paulo se ele era o rebelde egípcio mencionado em </w:t>
      </w:r>
      <w:hyperlink r:id="rId15518">
        <w:r>
          <w:rPr>
            <w:color w:val="0000EE"/>
            <w:u w:val="single"/>
          </w:rPr>
          <w:t>At 21.38</w:t>
        </w:r>
      </w:hyperlink>
      <w:r>
        <w:t>. O antigo historiador judeu Josefo também escreveu sobre esse homem. Ele relatou que o egípcio liderou uma rebelião fracassada que foi interrompida pelo governador romano Félix. O número de rebeldes na revolta difere entre as fontes, mas todos concordam que o egípcio escapou e nunca foi capturado.</w:t>
      </w:r>
      <w:r/>
      <w:r/>
    </w:p>
    <w:p>
      <w:r/>
    </w:p>
    <w:p>
      <w:pPr>
        <w:pStyle w:val="Heading2"/>
      </w:pPr>
      <w:r>
        <w:t>O livro das batalhas do Senhor Deus</w:t>
      </w:r>
      <w:r/>
    </w:p>
    <w:p>
      <w:r/>
      <w:r>
        <w:t xml:space="preserve">Um documento mencionado uma vez no Antigo Testamento. </w:t>
      </w:r>
      <w:hyperlink r:id="rId13058">
        <w:r>
          <w:rPr>
            <w:color w:val="0000EE"/>
            <w:u w:val="single"/>
          </w:rPr>
          <w:t xml:space="preserve">Números 21.14 </w:t>
        </w:r>
      </w:hyperlink>
      <w:r>
        <w:t>menciona-o em uma descrição da fronteira de Moabe no Rio Arnom. Embora não tenhamos mais este livro hoje, escritores antigos o usaram como fonte de informação. O livro provavelmente continha registros de como Israel conquistou a terra a leste do Rio Jordão (chamada Transjordânia).</w:t>
      </w:r>
    </w:p>
    <w:p>
      <w:r/>
      <w:r>
        <w:t>Pode ser o mesmo que o "Livro do Justo" (</w:t>
      </w:r>
      <w:hyperlink r:id="rId13059">
        <w:r>
          <w:rPr>
            <w:color w:val="0000EE"/>
            <w:u w:val="single"/>
          </w:rPr>
          <w:t>Js 10.13</w:t>
        </w:r>
      </w:hyperlink>
      <w:r>
        <w:t xml:space="preserve">; </w:t>
      </w:r>
      <w:hyperlink r:id="rId12207">
        <w:r>
          <w:rPr>
            <w:color w:val="0000EE"/>
            <w:u w:val="single"/>
          </w:rPr>
          <w:t>2Sm 1.18</w:t>
        </w:r>
      </w:hyperlink>
      <w:r>
        <w:t xml:space="preserve">). A passagem em </w:t>
      </w:r>
      <w:hyperlink r:id="rId5087">
        <w:r>
          <w:rPr>
            <w:color w:val="0000EE"/>
            <w:u w:val="single"/>
          </w:rPr>
          <w:t>Números 21</w:t>
        </w:r>
      </w:hyperlink>
      <w:r>
        <w:t xml:space="preserve"> é escrita como poesia e fala sobre as batalhas e vitórias de Israel. Os estudiosos discordam sobre quais versículos vêm do Livro das batalhas do Senhor Deus. Alguns acham que é apenas o versículo </w:t>
      </w:r>
      <w:hyperlink r:id="rId13058">
        <w:r>
          <w:rPr>
            <w:color w:val="0000EE"/>
            <w:u w:val="single"/>
          </w:rPr>
          <w:t>14</w:t>
        </w:r>
      </w:hyperlink>
      <w:r>
        <w:t xml:space="preserve">, enquanto outros incluem o versículo </w:t>
      </w:r>
      <w:hyperlink r:id="rId15519">
        <w:r>
          <w:rPr>
            <w:color w:val="0000EE"/>
            <w:u w:val="single"/>
          </w:rPr>
          <w:t>15</w:t>
        </w:r>
      </w:hyperlink>
      <w:r>
        <w:t xml:space="preserve">, e ainda outros incluem os versículos </w:t>
      </w:r>
      <w:hyperlink r:id="rId1221">
        <w:r>
          <w:rPr>
            <w:color w:val="0000EE"/>
            <w:u w:val="single"/>
          </w:rPr>
          <w:t>27–30</w:t>
        </w:r>
      </w:hyperlink>
      <w:r>
        <w:t>.</w:t>
      </w:r>
      <w:r/>
      <w:r/>
    </w:p>
    <w:p>
      <w:r/>
    </w:p>
    <w:p>
      <w:pPr>
        <w:pStyle w:val="Heading2"/>
      </w:pPr>
      <w:r>
        <w:t>O Mar Grande</w:t>
      </w:r>
      <w:r/>
    </w:p>
    <w:p>
      <w:r/>
      <w:r>
        <w:t>O mar Grande é outro nome para o Mar Mediterrâneo. Os povos do antigo Oriente Próximo o chamavam de Grande Mar devido ao seu grande tamanho em comparação com os outros mares que conheciam (</w:t>
      </w:r>
      <w:hyperlink r:id="rId15479">
        <w:r>
          <w:rPr>
            <w:color w:val="0000EE"/>
            <w:u w:val="single"/>
          </w:rPr>
          <w:t>Nm 34.6</w:t>
        </w:r>
      </w:hyperlink>
      <w:r>
        <w:t xml:space="preserve">; </w:t>
      </w:r>
      <w:hyperlink r:id="rId12137">
        <w:r>
          <w:rPr>
            <w:color w:val="0000EE"/>
            <w:u w:val="single"/>
          </w:rPr>
          <w:t xml:space="preserve">Js 1.4 </w:t>
        </w:r>
      </w:hyperlink>
      <w:r>
        <w:t>ARC).</w:t>
      </w:r>
    </w:p>
    <w:p>
      <w:r/>
      <w:r>
        <w:rPr>
          <w:i/>
        </w:rPr>
        <w:t>Veja</w:t>
      </w:r>
      <w:r>
        <w:t xml:space="preserve"> </w:t>
      </w:r>
      <w:r>
        <w:t>o Mar Mediterrâneo</w:t>
      </w:r>
      <w:r>
        <w:t>.</w:t>
      </w:r>
      <w:r/>
      <w:r/>
    </w:p>
    <w:p>
      <w:r/>
    </w:p>
    <w:p>
      <w:pPr>
        <w:pStyle w:val="Heading2"/>
      </w:pPr>
      <w:r>
        <w:t>O novo mandamento</w:t>
      </w:r>
      <w:r/>
    </w:p>
    <w:p>
      <w:r/>
      <w:r>
        <w:t>O novo mandamento é a instrução de Cristo para que os cristãos amem uns aos outros. O termo “novo mandamento” aparece quatro vezes no Novo Testamento, sempre nos escritos de João (</w:t>
      </w:r>
      <w:hyperlink r:id="rId1197">
        <w:r>
          <w:rPr>
            <w:color w:val="0000EE"/>
            <w:u w:val="single"/>
          </w:rPr>
          <w:t>Jo 13.34</w:t>
        </w:r>
      </w:hyperlink>
      <w:r>
        <w:t xml:space="preserve">; </w:t>
      </w:r>
      <w:hyperlink r:id="rId15311">
        <w:r>
          <w:rPr>
            <w:color w:val="0000EE"/>
            <w:u w:val="single"/>
          </w:rPr>
          <w:t>1Jo 2.7,8</w:t>
        </w:r>
      </w:hyperlink>
      <w:r>
        <w:t xml:space="preserve">; </w:t>
      </w:r>
      <w:hyperlink r:id="rId15520">
        <w:r>
          <w:rPr>
            <w:color w:val="0000EE"/>
            <w:u w:val="single"/>
          </w:rPr>
          <w:t>2Jo 1.5</w:t>
        </w:r>
      </w:hyperlink>
      <w:r>
        <w:t>). Jesus deu este mandamento pela primeira vez aos seus discípulos na noite em que foi preso: “Eu lhes dou este novo mandamento: amem uns aos outros. Assim como eu os amei, amem também uns aos outros” (</w:t>
      </w:r>
      <w:hyperlink r:id="rId1197">
        <w:r>
          <w:rPr>
            <w:color w:val="0000EE"/>
            <w:u w:val="single"/>
          </w:rPr>
          <w:t>Jo 13.34</w:t>
        </w:r>
      </w:hyperlink>
      <w:r>
        <w:t>). Este mandamento aparece em outros lugares na Bíblia (</w:t>
      </w:r>
      <w:hyperlink r:id="rId5317">
        <w:r>
          <w:rPr>
            <w:color w:val="0000EE"/>
            <w:u w:val="single"/>
          </w:rPr>
          <w:t>Jo 15.12,17</w:t>
        </w:r>
      </w:hyperlink>
      <w:r>
        <w:t xml:space="preserve">; </w:t>
      </w:r>
      <w:hyperlink r:id="rId7387">
        <w:r>
          <w:rPr>
            <w:color w:val="0000EE"/>
            <w:u w:val="single"/>
          </w:rPr>
          <w:t>Rm 13.8</w:t>
        </w:r>
      </w:hyperlink>
      <w:r>
        <w:t xml:space="preserve">; </w:t>
      </w:r>
      <w:hyperlink r:id="rId5302">
        <w:r>
          <w:rPr>
            <w:color w:val="0000EE"/>
            <w:u w:val="single"/>
          </w:rPr>
          <w:t>1Pe 1.22</w:t>
        </w:r>
      </w:hyperlink>
      <w:r>
        <w:t xml:space="preserve">; </w:t>
      </w:r>
      <w:hyperlink r:id="rId15521">
        <w:r>
          <w:rPr>
            <w:color w:val="0000EE"/>
            <w:u w:val="single"/>
          </w:rPr>
          <w:t>1Jo 3.11,23</w:t>
        </w:r>
      </w:hyperlink>
      <w:r>
        <w:t xml:space="preserve">; </w:t>
      </w:r>
      <w:hyperlink r:id="rId15522">
        <w:r>
          <w:rPr>
            <w:color w:val="0000EE"/>
            <w:u w:val="single"/>
          </w:rPr>
          <w:t>4.7,11–12</w:t>
        </w:r>
      </w:hyperlink>
      <w:r>
        <w:t>), mas não é chamado de “novo” nessas passagens.</w:t>
      </w:r>
    </w:p>
    <w:p>
      <w:pPr>
        <w:pStyle w:val="Heading3"/>
      </w:pPr>
      <w:r>
        <w:t>Amar como um mandamento</w:t>
      </w:r>
    </w:p>
    <w:p>
      <w:r/>
      <w:r>
        <w:t>Jesus já havia dito aos seus discípulos para amarem seus inimigos (</w:t>
      </w:r>
      <w:hyperlink r:id="rId15523">
        <w:r>
          <w:rPr>
            <w:color w:val="0000EE"/>
            <w:u w:val="single"/>
          </w:rPr>
          <w:t>Mt 5.43–45</w:t>
        </w:r>
      </w:hyperlink>
      <w:r>
        <w:t>) e para amarem seus próximos como a si mesmos (</w:t>
      </w:r>
      <w:hyperlink r:id="rId13381">
        <w:r>
          <w:rPr>
            <w:color w:val="0000EE"/>
            <w:u w:val="single"/>
          </w:rPr>
          <w:t>Lc 10.25–37</w:t>
        </w:r>
      </w:hyperlink>
      <w:r>
        <w:t>). O “novo mandamento” focava nos cristãos amando uns aos outros. Ele não substituía os outros dois mandamentos de amor. Jesus pretendia que este mandamento criasse um testemunho forte e convincente para aqueles fora da igreja. Isso mostraria que:</w:t>
      </w:r>
    </w:p>
    <w:p>
      <w:pPr>
        <w:pStyle w:val="ListNumber"/>
        <w:spacing w:line="240" w:lineRule="auto"/>
        <w:ind w:left="720"/>
      </w:pPr>
      <w:r/>
      <w:r>
        <w:t>Seus seguidores amavam uns aos outros de uma maneira semelhante à de Cristo.</w:t>
      </w:r>
    </w:p>
    <w:p>
      <w:pPr>
        <w:pStyle w:val="ListNumber"/>
        <w:spacing w:line="240" w:lineRule="auto"/>
        <w:ind w:left="720"/>
      </w:pPr>
      <w:r/>
      <w:r>
        <w:t>A verdadeira comunidade pode ser encontrada "em Cristo".</w:t>
      </w:r>
    </w:p>
    <w:p>
      <w:pPr>
        <w:pStyle w:val="ListNumber"/>
        <w:spacing w:line="240" w:lineRule="auto"/>
        <w:ind w:left="720"/>
      </w:pPr>
      <w:r/>
      <w:r>
        <w:t>O que Jesus disse sobre si mesmo e sua missão era verdade (</w:t>
      </w:r>
      <w:hyperlink r:id="rId15524">
        <w:r>
          <w:rPr>
            <w:color w:val="0000EE"/>
            <w:u w:val="single"/>
          </w:rPr>
          <w:t>Jo 13.35</w:t>
        </w:r>
      </w:hyperlink>
      <w:r>
        <w:t xml:space="preserve">; </w:t>
      </w:r>
      <w:hyperlink r:id="rId15525">
        <w:r>
          <w:rPr>
            <w:color w:val="0000EE"/>
            <w:u w:val="single"/>
          </w:rPr>
          <w:t>17.21–23</w:t>
        </w:r>
      </w:hyperlink>
      <w:r>
        <w:t>).</w:t>
      </w:r>
    </w:p>
    <w:p>
      <w:r/>
      <w:r>
        <w:t>Jesus usou a mesma palavra para "mandamento" que descrevia a lei do Antigo Testamento, conferindo ao seu novo mandamento a mesma autoridade. A lei do Antigo Testamento também incluía mandamentos para amar (</w:t>
      </w:r>
      <w:hyperlink r:id="rId1166">
        <w:r>
          <w:rPr>
            <w:color w:val="0000EE"/>
            <w:u w:val="single"/>
          </w:rPr>
          <w:t>Lv 19.18,34</w:t>
        </w:r>
      </w:hyperlink>
      <w:r>
        <w:t xml:space="preserve">; </w:t>
      </w:r>
      <w:hyperlink r:id="rId6969">
        <w:r>
          <w:rPr>
            <w:color w:val="0000EE"/>
            <w:u w:val="single"/>
          </w:rPr>
          <w:t>Dt 10.19</w:t>
        </w:r>
      </w:hyperlink>
      <w:r>
        <w:t>). O apóstolo Paulo referiu-se ao amor como a "lei de Cristo" (</w:t>
      </w:r>
      <w:hyperlink r:id="rId1176">
        <w:r>
          <w:rPr>
            <w:color w:val="0000EE"/>
            <w:u w:val="single"/>
          </w:rPr>
          <w:t>Gl 6.2</w:t>
        </w:r>
      </w:hyperlink>
      <w:r>
        <w:t>), e Tiago chamou o mandamento do amor de "lei do Reino" (</w:t>
      </w:r>
      <w:hyperlink r:id="rId15526">
        <w:r>
          <w:rPr>
            <w:color w:val="0000EE"/>
            <w:u w:val="single"/>
          </w:rPr>
          <w:t>Tg 2.8</w:t>
        </w:r>
      </w:hyperlink>
      <w:r>
        <w:t>) e "a lei perfeita que dá liberdade às pessoas" (</w:t>
      </w:r>
      <w:hyperlink r:id="rId15527">
        <w:r>
          <w:rPr>
            <w:color w:val="0000EE"/>
            <w:u w:val="single"/>
          </w:rPr>
          <w:t>1.25</w:t>
        </w:r>
      </w:hyperlink>
      <w:r>
        <w:t xml:space="preserve">; </w:t>
      </w:r>
      <w:hyperlink r:id="rId15528">
        <w:r>
          <w:rPr>
            <w:color w:val="0000EE"/>
            <w:u w:val="single"/>
          </w:rPr>
          <w:t>2.12</w:t>
        </w:r>
      </w:hyperlink>
      <w:r>
        <w:t>).</w:t>
      </w:r>
    </w:p>
    <w:p>
      <w:r/>
      <w:r>
        <w:t>A palavra "mandamento" também tinha outro significado. Muitos judeus no tempo de Jesus pensavam erroneamente que obedecer aos mandamentos os tornaria dignos da bênção de Deus (</w:t>
      </w:r>
      <w:hyperlink r:id="rId9393">
        <w:r>
          <w:rPr>
            <w:color w:val="0000EE"/>
            <w:u w:val="single"/>
          </w:rPr>
          <w:t>Rm 8.3</w:t>
        </w:r>
      </w:hyperlink>
      <w:r>
        <w:t xml:space="preserve">; </w:t>
      </w:r>
      <w:hyperlink r:id="rId15529">
        <w:r>
          <w:rPr>
            <w:color w:val="0000EE"/>
            <w:u w:val="single"/>
          </w:rPr>
          <w:t>Gl 3.2</w:t>
        </w:r>
      </w:hyperlink>
      <w:r>
        <w:t>). No entanto, Jesus deixou claro que o amor é uma consequência da bênção de Deus, não um requisito para merecê-la. Para Jesus, o mandamento mostrava como os abençoados deveriam se comportar. Os discípulos foram ordenados a amar da mesma forma que os ramos são "ordenados" a dar frutos: permanecendo conectados à videira (Jesus), os cristãos podem amar (</w:t>
      </w:r>
      <w:hyperlink r:id="rId15530">
        <w:r>
          <w:rPr>
            <w:color w:val="0000EE"/>
            <w:u w:val="single"/>
          </w:rPr>
          <w:t>Jo 15.4</w:t>
        </w:r>
      </w:hyperlink>
      <w:r>
        <w:t>).</w:t>
      </w:r>
    </w:p>
    <w:p>
      <w:pPr>
        <w:pStyle w:val="Heading3"/>
      </w:pPr>
      <w:r>
        <w:t>O que o tornou algo novo?</w:t>
      </w:r>
    </w:p>
    <w:p>
      <w:r/>
      <w:r>
        <w:t>O novo mandamento adquire seu caráter especial da “nova aliança” (</w:t>
      </w:r>
      <w:hyperlink r:id="rId833">
        <w:r>
          <w:rPr>
            <w:color w:val="0000EE"/>
            <w:u w:val="single"/>
          </w:rPr>
          <w:t>Jr 31.31–34</w:t>
        </w:r>
      </w:hyperlink>
      <w:r>
        <w:t xml:space="preserve">; </w:t>
      </w:r>
      <w:hyperlink r:id="rId824">
        <w:r>
          <w:rPr>
            <w:color w:val="0000EE"/>
            <w:u w:val="single"/>
          </w:rPr>
          <w:t>Lc 22.20</w:t>
        </w:r>
      </w:hyperlink>
      <w:r>
        <w:t xml:space="preserve">; </w:t>
      </w:r>
      <w:hyperlink r:id="rId851">
        <w:r>
          <w:rPr>
            <w:color w:val="0000EE"/>
            <w:u w:val="single"/>
          </w:rPr>
          <w:t>1Co 11.25</w:t>
        </w:r>
      </w:hyperlink>
      <w:r>
        <w:t>), que Jesus estabeleceu na santa ceia. Sob a nova aliança, Deus “escreve” sua lei nos corações dos crentes (</w:t>
      </w:r>
      <w:hyperlink r:id="rId15531">
        <w:r>
          <w:rPr>
            <w:color w:val="0000EE"/>
            <w:u w:val="single"/>
          </w:rPr>
          <w:t>Hb 10.16</w:t>
        </w:r>
      </w:hyperlink>
      <w:r>
        <w:t>). Isso significa que ele trabalha ativamente neles através do Espírito Santo (</w:t>
      </w:r>
      <w:hyperlink r:id="rId15532">
        <w:r>
          <w:rPr>
            <w:color w:val="0000EE"/>
            <w:u w:val="single"/>
          </w:rPr>
          <w:t>Ez 36.27</w:t>
        </w:r>
      </w:hyperlink>
      <w:r>
        <w:t xml:space="preserve">; </w:t>
      </w:r>
      <w:hyperlink r:id="rId869">
        <w:r>
          <w:rPr>
            <w:color w:val="0000EE"/>
            <w:u w:val="single"/>
          </w:rPr>
          <w:t>2Co 3.3</w:t>
        </w:r>
      </w:hyperlink>
      <w:r>
        <w:t>), dando-lhes um novo desejo de obedecê-lo (</w:t>
      </w:r>
      <w:hyperlink r:id="rId4324">
        <w:r>
          <w:rPr>
            <w:color w:val="0000EE"/>
            <w:u w:val="single"/>
          </w:rPr>
          <w:t>Rm 8.4</w:t>
        </w:r>
      </w:hyperlink>
      <w:r>
        <w:t xml:space="preserve">; </w:t>
      </w:r>
      <w:hyperlink r:id="rId4323">
        <w:r>
          <w:rPr>
            <w:color w:val="0000EE"/>
            <w:u w:val="single"/>
          </w:rPr>
          <w:t>Gl 5.16</w:t>
        </w:r>
      </w:hyperlink>
      <w:r>
        <w:t>). O novo mandamento de amar é a parte principal da nova aliança (</w:t>
      </w:r>
      <w:hyperlink r:id="rId7387">
        <w:r>
          <w:rPr>
            <w:color w:val="0000EE"/>
            <w:u w:val="single"/>
          </w:rPr>
          <w:t>Rm 13.8,10</w:t>
        </w:r>
      </w:hyperlink>
      <w:r>
        <w:t xml:space="preserve">; </w:t>
      </w:r>
      <w:hyperlink r:id="rId1175">
        <w:r>
          <w:rPr>
            <w:color w:val="0000EE"/>
            <w:u w:val="single"/>
          </w:rPr>
          <w:t>Gl 5.14</w:t>
        </w:r>
      </w:hyperlink>
      <w:r>
        <w:t>). A obediência é, portanto, um presente, porque “porque o amor vem de Deus. Quem ama é filho de Deus e conhece a Deus” (</w:t>
      </w:r>
      <w:hyperlink r:id="rId15522">
        <w:r>
          <w:rPr>
            <w:color w:val="0000EE"/>
            <w:u w:val="single"/>
          </w:rPr>
          <w:t>1Jo 4.7</w:t>
        </w:r>
      </w:hyperlink>
      <w:r>
        <w:t>). O amor é o resultado da fé (</w:t>
      </w:r>
      <w:hyperlink r:id="rId15533">
        <w:r>
          <w:rPr>
            <w:color w:val="0000EE"/>
            <w:u w:val="single"/>
          </w:rPr>
          <w:t>1Jo 3.23</w:t>
        </w:r>
      </w:hyperlink>
      <w:r>
        <w:t>) e faz parte do próprio evangelho (</w:t>
      </w:r>
      <w:hyperlink r:id="rId15521">
        <w:r>
          <w:rPr>
            <w:color w:val="0000EE"/>
            <w:u w:val="single"/>
          </w:rPr>
          <w:t>1Jo 3.11</w:t>
        </w:r>
      </w:hyperlink>
      <w:r>
        <w:t>).</w:t>
      </w:r>
    </w:p>
    <w:p>
      <w:r/>
      <w:r>
        <w:t>A estreita conexão entre a nova aliança e o novo mandamento pode explicar por que o mandamento de amar foi chamado de “novo”. A vinda de Cristo marcou o início de uma nova era. João escreveu, "Pois a escuridão está passando, e já está brilhando a verdadeira luz” (</w:t>
      </w:r>
      <w:hyperlink r:id="rId13504">
        <w:r>
          <w:rPr>
            <w:color w:val="0000EE"/>
            <w:u w:val="single"/>
          </w:rPr>
          <w:t>1Jo 2.8</w:t>
        </w:r>
      </w:hyperlink>
      <w:r>
        <w:t>). Quando Jesus se preparava para retornar ao céu (</w:t>
      </w:r>
      <w:hyperlink r:id="rId15534">
        <w:r>
          <w:rPr>
            <w:color w:val="0000EE"/>
            <w:u w:val="single"/>
          </w:rPr>
          <w:t>Jo 13.33–35</w:t>
        </w:r>
      </w:hyperlink>
      <w:r>
        <w:t>), ele deu um único mandamento. Esse mandamento deveria guiar seus discípulos até o Dia do Juízo (</w:t>
      </w:r>
      <w:hyperlink r:id="rId8141">
        <w:r>
          <w:rPr>
            <w:color w:val="0000EE"/>
            <w:u w:val="single"/>
          </w:rPr>
          <w:t>Jo 5.28–29</w:t>
        </w:r>
      </w:hyperlink>
      <w:r>
        <w:t xml:space="preserve">; </w:t>
      </w:r>
      <w:hyperlink r:id="rId7037">
        <w:r>
          <w:rPr>
            <w:color w:val="0000EE"/>
            <w:u w:val="single"/>
          </w:rPr>
          <w:t>1Jo 4.17</w:t>
        </w:r>
      </w:hyperlink>
      <w:r>
        <w:t>). Obedecer ao novo mandamento os identificaria como discípulos de Jesus durante sua ausência (</w:t>
      </w:r>
      <w:hyperlink r:id="rId15524">
        <w:r>
          <w:rPr>
            <w:color w:val="0000EE"/>
            <w:u w:val="single"/>
          </w:rPr>
          <w:t>Jo 13.35</w:t>
        </w:r>
      </w:hyperlink>
      <w:r>
        <w:t xml:space="preserve">; </w:t>
      </w:r>
      <w:hyperlink r:id="rId15525">
        <w:r>
          <w:rPr>
            <w:color w:val="0000EE"/>
            <w:u w:val="single"/>
          </w:rPr>
          <w:t>17.21–23</w:t>
        </w:r>
      </w:hyperlink>
      <w:r>
        <w:t>). O mandamento era novo porque tinha um propósito especial nesta nova era.</w:t>
      </w:r>
    </w:p>
    <w:p>
      <w:r/>
      <w:r>
        <w:t>O que tornou a era nova foi que a vinda de Jesus Cristo revelou Deus o Pai de uma forma nunca antes vista (</w:t>
      </w:r>
      <w:hyperlink r:id="rId9132">
        <w:r>
          <w:rPr>
            <w:color w:val="0000EE"/>
            <w:u w:val="single"/>
          </w:rPr>
          <w:t>Jo 1.18</w:t>
        </w:r>
      </w:hyperlink>
      <w:r>
        <w:t xml:space="preserve">; </w:t>
      </w:r>
      <w:hyperlink r:id="rId11817">
        <w:r>
          <w:rPr>
            <w:color w:val="0000EE"/>
            <w:u w:val="single"/>
          </w:rPr>
          <w:t>10.30</w:t>
        </w:r>
      </w:hyperlink>
      <w:r>
        <w:t xml:space="preserve">; </w:t>
      </w:r>
      <w:hyperlink r:id="rId15535">
        <w:r>
          <w:rPr>
            <w:color w:val="0000EE"/>
            <w:u w:val="single"/>
          </w:rPr>
          <w:t>17.6–8</w:t>
        </w:r>
      </w:hyperlink>
      <w:r>
        <w:t>). Nenhum profeta jamais foi capaz de dizer: “Quem me vê, vê também o Pai” (</w:t>
      </w:r>
      <w:hyperlink r:id="rId9133">
        <w:r>
          <w:rPr>
            <w:color w:val="0000EE"/>
            <w:u w:val="single"/>
          </w:rPr>
          <w:t>Jo 14.9</w:t>
        </w:r>
      </w:hyperlink>
      <w:r>
        <w:t>). Portanto, o comando de Jesus para que seus discípulos se amassem “como eu os amei” (</w:t>
      </w:r>
      <w:hyperlink r:id="rId1197">
        <w:r>
          <w:rPr>
            <w:color w:val="0000EE"/>
            <w:u w:val="single"/>
          </w:rPr>
          <w:t>Jo 13.34</w:t>
        </w:r>
      </w:hyperlink>
      <w:r>
        <w:t>) era novo e chocante por qualquer padrão humano. Ninguém jamais amou perfeitamente como Jesus amou (</w:t>
      </w:r>
      <w:hyperlink r:id="rId4665">
        <w:r>
          <w:rPr>
            <w:color w:val="0000EE"/>
            <w:u w:val="single"/>
          </w:rPr>
          <w:t>Jo 13.1</w:t>
        </w:r>
      </w:hyperlink>
      <w:r>
        <w:t>). Seguir seu exemplo de amor era um novo mandamento. A grandeza do amor de Jesus o levou a “dar a sua vida por eles” (</w:t>
      </w:r>
      <w:hyperlink r:id="rId15536">
        <w:r>
          <w:rPr>
            <w:color w:val="0000EE"/>
            <w:u w:val="single"/>
          </w:rPr>
          <w:t>Jo 15.13</w:t>
        </w:r>
      </w:hyperlink>
      <w:r>
        <w:t>). Da mesma forma, João concluiu que “devemos dar a nossa vida pelos nossos irmãos” (</w:t>
      </w:r>
      <w:hyperlink r:id="rId1194">
        <w:r>
          <w:rPr>
            <w:color w:val="0000EE"/>
            <w:u w:val="single"/>
          </w:rPr>
          <w:t>1Jo 3.16</w:t>
        </w:r>
      </w:hyperlink>
      <w:r>
        <w:t>). Amor significa nunca fechar o coração para um cristão necessitado (</w:t>
      </w:r>
      <w:hyperlink r:id="rId15537">
        <w:r>
          <w:rPr>
            <w:color w:val="0000EE"/>
            <w:u w:val="single"/>
          </w:rPr>
          <w:t>1Jo 3.17</w:t>
        </w:r>
      </w:hyperlink>
      <w:r>
        <w:t>). Em vez disso, significa sacrificar alegremente o próprio bem em benefício de outro.</w:t>
      </w:r>
    </w:p>
    <w:p>
      <w:r/>
      <w:r>
        <w:rPr>
          <w:i/>
        </w:rPr>
        <w:t>Veja também</w:t>
      </w:r>
      <w:r>
        <w:t xml:space="preserve"> </w:t>
      </w:r>
      <w:r>
        <w:t>Mandamentos, Os Dez</w:t>
      </w:r>
      <w:r>
        <w:t xml:space="preserve">; </w:t>
      </w:r>
      <w:r>
        <w:t>Lei, Conceito bíblico</w:t>
      </w:r>
      <w:r>
        <w:t>.</w:t>
      </w:r>
      <w:r/>
      <w:r/>
    </w:p>
    <w:p>
      <w:r/>
    </w:p>
    <w:p>
      <w:pPr>
        <w:pStyle w:val="Heading2"/>
      </w:pPr>
      <w:r>
        <w:t>Oade</w:t>
      </w:r>
      <w:r/>
    </w:p>
    <w:p>
      <w:r/>
      <w:r>
        <w:t>Filho de Simeão (</w:t>
      </w:r>
      <w:hyperlink r:id="rId11526">
        <w:r>
          <w:rPr>
            <w:color w:val="0000EE"/>
            <w:u w:val="single"/>
          </w:rPr>
          <w:t>Gn 46.10</w:t>
        </w:r>
      </w:hyperlink>
      <w:r>
        <w:t xml:space="preserve">; </w:t>
      </w:r>
      <w:hyperlink r:id="rId11527">
        <w:r>
          <w:rPr>
            <w:color w:val="0000EE"/>
            <w:u w:val="single"/>
          </w:rPr>
          <w:t>Êx 6.15</w:t>
        </w:r>
      </w:hyperlink>
      <w:r>
        <w:t xml:space="preserve">). Seu nome não aparece na lista de </w:t>
      </w:r>
      <w:hyperlink r:id="rId15538">
        <w:r>
          <w:rPr>
            <w:color w:val="0000EE"/>
            <w:u w:val="single"/>
          </w:rPr>
          <w:t>Números 26.12–14</w:t>
        </w:r>
      </w:hyperlink>
      <w:r>
        <w:t>.</w:t>
      </w:r>
      <w:r/>
      <w:r/>
    </w:p>
    <w:p>
      <w:r/>
    </w:p>
    <w:p>
      <w:pPr>
        <w:pStyle w:val="Heading2"/>
      </w:pPr>
      <w:r>
        <w:t>Obal</w:t>
      </w:r>
      <w:r/>
    </w:p>
    <w:p>
      <w:r/>
      <w:r>
        <w:t xml:space="preserve">Ortografia alternativa de Ebal, descendente de Joctã, em </w:t>
      </w:r>
      <w:hyperlink r:id="rId89">
        <w:r>
          <w:rPr>
            <w:color w:val="0000EE"/>
            <w:u w:val="single"/>
          </w:rPr>
          <w:t>Gênesis 10.28</w:t>
        </w:r>
      </w:hyperlink>
      <w:r>
        <w:t xml:space="preserve">. </w:t>
      </w:r>
      <w:r>
        <w:rPr>
          <w:i/>
        </w:rPr>
        <w:t>Veja</w:t>
      </w:r>
      <w:r>
        <w:t xml:space="preserve"> </w:t>
      </w:r>
      <w:r>
        <w:t>Ebal #2</w:t>
      </w:r>
      <w:r>
        <w:t>.</w:t>
      </w:r>
      <w:r/>
      <w:r/>
    </w:p>
    <w:p>
      <w:r/>
    </w:p>
    <w:p>
      <w:pPr>
        <w:pStyle w:val="Heading2"/>
      </w:pPr>
      <w:r>
        <w:t>Obede-Edom</w:t>
      </w:r>
      <w:r/>
    </w:p>
    <w:p>
      <w:r/>
      <w:r>
        <w:t>1. Homem sob cuja responsabilidade Davi colocou a arca da aliança ao transferi-la de Gibeá para Jerusalém (</w:t>
      </w:r>
      <w:hyperlink r:id="rId15539">
        <w:r>
          <w:rPr>
            <w:color w:val="0000EE"/>
            <w:u w:val="single"/>
          </w:rPr>
          <w:t>2Sm 6.10–12</w:t>
        </w:r>
      </w:hyperlink>
      <w:r>
        <w:t xml:space="preserve">; </w:t>
      </w:r>
      <w:hyperlink r:id="rId15540">
        <w:r>
          <w:rPr>
            <w:color w:val="0000EE"/>
            <w:u w:val="single"/>
          </w:rPr>
          <w:t>1Cr 13.5–14</w:t>
        </w:r>
      </w:hyperlink>
      <w:r>
        <w:t>). Ele é chamado de gitita, indicando que nasceu em Gate. Esta não era a cidade filisteia de Gate, mas a cidade levítica no território de Dã conhecida como Gate-Rimom (</w:t>
      </w:r>
      <w:hyperlink r:id="rId15541">
        <w:r>
          <w:rPr>
            <w:color w:val="0000EE"/>
            <w:u w:val="single"/>
          </w:rPr>
          <w:t>Js 19.45</w:t>
        </w:r>
      </w:hyperlink>
      <w:r>
        <w:t>). É provável que Obede-Edom fosse um levita e, portanto, qualificado para cuidar da arca da aliança. A ação precipitada de Uzá ao tocar a arca quando os bois tropeçaram resultou em sua morte imediata. A consternação e o medo de Davi diante desse evento o levaram a reconsiderar sua intenção de levar a arca para Jerusalém. Aparentemente, a casa de Obede-Edom estava próxima, tornando conveniente deixar a arca sob seus cuidados. Quando Davi foi informado, após três meses, de que o Senhor havia abençoado grandemente Obede-Edom, ele percebeu que o julgamento sobre Uzá ocorreu porque a arca foi carregada de maneira contrária ao método prescrito na Lei (</w:t>
      </w:r>
      <w:hyperlink r:id="rId15404">
        <w:r>
          <w:rPr>
            <w:color w:val="0000EE"/>
            <w:u w:val="single"/>
          </w:rPr>
          <w:t>Nm 4.15</w:t>
        </w:r>
      </w:hyperlink>
      <w:r>
        <w:t xml:space="preserve">; </w:t>
      </w:r>
      <w:hyperlink r:id="rId5028">
        <w:r>
          <w:rPr>
            <w:color w:val="0000EE"/>
            <w:u w:val="single"/>
          </w:rPr>
          <w:t>7.9</w:t>
        </w:r>
      </w:hyperlink>
      <w:r>
        <w:t>) e não porque o Senhor estava irado com Uzá. Ele ordenou que a arca fosse retirada da casa de Obede-Edom e levada para Jerusalém da maneira correta (</w:t>
      </w:r>
      <w:hyperlink r:id="rId15542">
        <w:r>
          <w:rPr>
            <w:color w:val="0000EE"/>
            <w:u w:val="single"/>
          </w:rPr>
          <w:t>1Cr 15.25–28</w:t>
        </w:r>
      </w:hyperlink>
      <w:r>
        <w:t>). Aparentemente, Obede-Edom foi recompensado por seu serviço fiel ao ser nomeado guarda da arca em Jerusalém (</w:t>
      </w:r>
      <w:hyperlink r:id="rId7922">
        <w:r>
          <w:rPr>
            <w:color w:val="0000EE"/>
            <w:u w:val="single"/>
          </w:rPr>
          <w:t>15.24</w:t>
        </w:r>
      </w:hyperlink>
      <w:r>
        <w:t xml:space="preserve">; </w:t>
      </w:r>
      <w:hyperlink r:id="rId15543">
        <w:r>
          <w:rPr>
            <w:color w:val="0000EE"/>
            <w:u w:val="single"/>
          </w:rPr>
          <w:t>26.4,8,15</w:t>
        </w:r>
      </w:hyperlink>
      <w:r>
        <w:t>). No entanto, alguns estudiosos acreditam que Obede-Edom, o guarda, era uma pessoa diferente da mencionada anteriormente.</w:t>
      </w:r>
    </w:p>
    <w:p>
      <w:r/>
      <w:r>
        <w:t>2. Músico levita que ministrou diante da arca (</w:t>
      </w:r>
      <w:hyperlink r:id="rId14957">
        <w:r>
          <w:rPr>
            <w:color w:val="0000EE"/>
            <w:u w:val="single"/>
          </w:rPr>
          <w:t>1Cr 15.21</w:t>
        </w:r>
      </w:hyperlink>
      <w:r>
        <w:t xml:space="preserve">; </w:t>
      </w:r>
      <w:hyperlink r:id="rId15544">
        <w:r>
          <w:rPr>
            <w:color w:val="0000EE"/>
            <w:u w:val="single"/>
          </w:rPr>
          <w:t>16.5,38</w:t>
        </w:r>
      </w:hyperlink>
      <w:r>
        <w:t>). Ele era filho de Jedutum, um dos principais cantores de Davi. Alguns estudiosos acreditam que o músico e o cantor eram homens diferentes.</w:t>
      </w:r>
    </w:p>
    <w:p>
      <w:r/>
      <w:r>
        <w:t>3. Guardião levita dos vasos sagrados do templo, feito refém por Joás (</w:t>
      </w:r>
      <w:hyperlink r:id="rId15545">
        <w:r>
          <w:rPr>
            <w:color w:val="0000EE"/>
            <w:u w:val="single"/>
          </w:rPr>
          <w:t>2Cr 25.24</w:t>
        </w:r>
      </w:hyperlink>
      <w:r>
        <w:t>).</w:t>
      </w:r>
      <w:r/>
      <w:r/>
    </w:p>
    <w:p>
      <w:r/>
    </w:p>
    <w:p>
      <w:pPr>
        <w:pStyle w:val="Heading2"/>
      </w:pPr>
      <w:r>
        <w:t>Obediência</w:t>
      </w:r>
      <w:r/>
    </w:p>
    <w:p>
      <w:r/>
      <w:r>
        <w:t>Ato ou instância de se submeter à restrição ou comando de uma autoridade; conformidade com as demandas ou pedidos de alguém sobre nós. As palavras mais comuns para obediência em hebraico e grego se referem a ouvir ou ouvir uma autoridade superior. Outra grande palavra grega inclui a ideia de submissão à autoridade no sentido de organizar ou ordenar-se sob alguém em posição de controle, comando. Uma terceira palavra grega sugere obediência que é um resultado mais de persuasão, do que de submissão.</w:t>
      </w:r>
    </w:p>
    <w:p>
      <w:r/>
      <w:r>
        <w:t>Obediência a Deus e às autoridades humanas é uma obrigação enfatizada tanto no AT quanto no NT. Abraão foi adicionalmente abençoado em uma ocasião porque ele obedeceu a Deus ao oferecer Isaque, seu filho, no altar do Senhor (</w:t>
      </w:r>
      <w:hyperlink r:id="rId14285">
        <w:r>
          <w:rPr>
            <w:color w:val="0000EE"/>
            <w:u w:val="single"/>
          </w:rPr>
          <w:t>Gn 22.18</w:t>
        </w:r>
      </w:hyperlink>
      <w:r>
        <w:t xml:space="preserve">; cf. </w:t>
      </w:r>
      <w:hyperlink r:id="rId12747">
        <w:r>
          <w:rPr>
            <w:color w:val="0000EE"/>
            <w:u w:val="single"/>
          </w:rPr>
          <w:t>26.5</w:t>
        </w:r>
      </w:hyperlink>
      <w:r>
        <w:t>). A bênção contínua de Deus sobre Israel em virtude da aliança do Sinai estava condicionada em obedecer à sua voz e manter sua aliança (</w:t>
      </w:r>
      <w:hyperlink r:id="rId10585">
        <w:r>
          <w:rPr>
            <w:color w:val="0000EE"/>
            <w:u w:val="single"/>
          </w:rPr>
          <w:t>Êx 19.5</w:t>
        </w:r>
      </w:hyperlink>
      <w:r>
        <w:t>). À beira de entrar em Canaã, Moisés colocou diante de Israel uma bênção e uma maldição — a primeira se eles ouvissem e obedecessem aos mandamentos do Senhor, e a última caso não o fizessem (</w:t>
      </w:r>
      <w:hyperlink r:id="rId15546">
        <w:r>
          <w:rPr>
            <w:color w:val="0000EE"/>
            <w:u w:val="single"/>
          </w:rPr>
          <w:t>Dt 11.22–28</w:t>
        </w:r>
      </w:hyperlink>
      <w:r>
        <w:t>).</w:t>
      </w:r>
    </w:p>
    <w:p>
      <w:r/>
      <w:r>
        <w:t>Deuteronômio adverte que a pena para filhos teimosos e rebeldes é, em primeiro lugar, castigo, e depois a morte por apedrejamento se elas persistentemente se negarem a ouvir (</w:t>
      </w:r>
      <w:hyperlink r:id="rId7213">
        <w:r>
          <w:rPr>
            <w:color w:val="0000EE"/>
            <w:u w:val="single"/>
          </w:rPr>
          <w:t>Dt 21.18–21</w:t>
        </w:r>
      </w:hyperlink>
      <w:r>
        <w:t>).</w:t>
      </w:r>
    </w:p>
    <w:p>
      <w:r/>
      <w:r>
        <w:t>Uma evidência de que uma pessoa é um filho de Deus é a obediência contínua aos mandamentos divinos (</w:t>
      </w:r>
      <w:hyperlink r:id="rId15547">
        <w:r>
          <w:rPr>
            <w:color w:val="0000EE"/>
            <w:u w:val="single"/>
          </w:rPr>
          <w:t>1Jo 2.3–5</w:t>
        </w:r>
      </w:hyperlink>
      <w:r>
        <w:t>). Jesus disse que aqueles que o amam guardariam seus mandamentos (</w:t>
      </w:r>
      <w:hyperlink r:id="rId15548">
        <w:r>
          <w:rPr>
            <w:color w:val="0000EE"/>
            <w:u w:val="single"/>
          </w:rPr>
          <w:t>Jo 14.15</w:t>
        </w:r>
      </w:hyperlink>
      <w:r>
        <w:t>). E Pedro, falando de cristãos, os chama de “filhos obedientes” (</w:t>
      </w:r>
      <w:hyperlink r:id="rId15549">
        <w:r>
          <w:rPr>
            <w:color w:val="0000EE"/>
            <w:u w:val="single"/>
          </w:rPr>
          <w:t>1Pe 1.14</w:t>
        </w:r>
      </w:hyperlink>
      <w:r>
        <w:t xml:space="preserve">; ver também </w:t>
      </w:r>
      <w:hyperlink r:id="rId8054">
        <w:r>
          <w:rPr>
            <w:color w:val="0000EE"/>
            <w:u w:val="single"/>
          </w:rPr>
          <w:t>Hb 5.9</w:t>
        </w:r>
      </w:hyperlink>
      <w:r>
        <w:t xml:space="preserve">; </w:t>
      </w:r>
      <w:hyperlink r:id="rId10526">
        <w:r>
          <w:rPr>
            <w:color w:val="0000EE"/>
            <w:u w:val="single"/>
          </w:rPr>
          <w:t>11.8</w:t>
        </w:r>
      </w:hyperlink>
      <w:r>
        <w:t>).</w:t>
      </w:r>
    </w:p>
    <w:p>
      <w:r/>
      <w:r>
        <w:t>Os cristãos devem prestar obediência a uma variedade de pessoas. crentes ao Senhor (</w:t>
      </w:r>
      <w:hyperlink r:id="rId15550">
        <w:r>
          <w:rPr>
            <w:color w:val="0000EE"/>
            <w:u w:val="single"/>
          </w:rPr>
          <w:t>Jo 14.21–24</w:t>
        </w:r>
      </w:hyperlink>
      <w:r>
        <w:t xml:space="preserve">; </w:t>
      </w:r>
      <w:hyperlink r:id="rId1205">
        <w:r>
          <w:rPr>
            <w:color w:val="0000EE"/>
            <w:u w:val="single"/>
          </w:rPr>
          <w:t>15.10</w:t>
        </w:r>
      </w:hyperlink>
      <w:r>
        <w:t>), esposas aos seus maridos (</w:t>
      </w:r>
      <w:hyperlink r:id="rId15551">
        <w:r>
          <w:rPr>
            <w:color w:val="0000EE"/>
            <w:u w:val="single"/>
          </w:rPr>
          <w:t>Ef 5.22–24</w:t>
        </w:r>
      </w:hyperlink>
      <w:r>
        <w:t xml:space="preserve">; </w:t>
      </w:r>
      <w:hyperlink r:id="rId15552">
        <w:r>
          <w:rPr>
            <w:color w:val="0000EE"/>
            <w:u w:val="single"/>
          </w:rPr>
          <w:t>Cl 3.18</w:t>
        </w:r>
      </w:hyperlink>
      <w:r>
        <w:t xml:space="preserve">; </w:t>
      </w:r>
      <w:hyperlink r:id="rId3814">
        <w:r>
          <w:rPr>
            <w:color w:val="0000EE"/>
            <w:u w:val="single"/>
          </w:rPr>
          <w:t>Tt 2.5</w:t>
        </w:r>
      </w:hyperlink>
      <w:r>
        <w:t xml:space="preserve">; </w:t>
      </w:r>
      <w:hyperlink r:id="rId15553">
        <w:r>
          <w:rPr>
            <w:color w:val="0000EE"/>
            <w:u w:val="single"/>
          </w:rPr>
          <w:t>1Pe 3.1, 5</w:t>
        </w:r>
      </w:hyperlink>
      <w:r>
        <w:t>), filhos aos seus pais (</w:t>
      </w:r>
      <w:hyperlink r:id="rId15554">
        <w:r>
          <w:rPr>
            <w:color w:val="0000EE"/>
            <w:u w:val="single"/>
          </w:rPr>
          <w:t>Ef 6.1</w:t>
        </w:r>
      </w:hyperlink>
      <w:r>
        <w:t xml:space="preserve">; </w:t>
      </w:r>
      <w:hyperlink r:id="rId15555">
        <w:r>
          <w:rPr>
            <w:color w:val="0000EE"/>
            <w:u w:val="single"/>
          </w:rPr>
          <w:t>Cl 3.20</w:t>
        </w:r>
      </w:hyperlink>
      <w:r>
        <w:t>), cidadãos aos seus oficiais governamentais (</w:t>
      </w:r>
      <w:hyperlink r:id="rId15556">
        <w:r>
          <w:rPr>
            <w:color w:val="0000EE"/>
            <w:u w:val="single"/>
          </w:rPr>
          <w:t>Rm 13.1–7</w:t>
        </w:r>
      </w:hyperlink>
      <w:r>
        <w:t xml:space="preserve">; </w:t>
      </w:r>
      <w:hyperlink r:id="rId15557">
        <w:r>
          <w:rPr>
            <w:color w:val="0000EE"/>
            <w:u w:val="single"/>
          </w:rPr>
          <w:t>Tt 3.1</w:t>
        </w:r>
      </w:hyperlink>
      <w:r>
        <w:t xml:space="preserve">; </w:t>
      </w:r>
      <w:hyperlink r:id="rId15558">
        <w:r>
          <w:rPr>
            <w:color w:val="0000EE"/>
            <w:u w:val="single"/>
          </w:rPr>
          <w:t>1Pe 2.13–14</w:t>
        </w:r>
      </w:hyperlink>
      <w:r>
        <w:t>), e servos aos seus mestres (</w:t>
      </w:r>
      <w:hyperlink r:id="rId4294">
        <w:r>
          <w:rPr>
            <w:color w:val="0000EE"/>
            <w:u w:val="single"/>
          </w:rPr>
          <w:t>Ef 6.5</w:t>
        </w:r>
      </w:hyperlink>
      <w:r>
        <w:t xml:space="preserve">; </w:t>
      </w:r>
      <w:hyperlink r:id="rId4295">
        <w:r>
          <w:rPr>
            <w:color w:val="0000EE"/>
            <w:u w:val="single"/>
          </w:rPr>
          <w:t>Cl 3.22</w:t>
        </w:r>
      </w:hyperlink>
      <w:r>
        <w:t xml:space="preserve">; </w:t>
      </w:r>
      <w:hyperlink r:id="rId15559">
        <w:r>
          <w:rPr>
            <w:color w:val="0000EE"/>
            <w:u w:val="single"/>
          </w:rPr>
          <w:t>Tt 2.9</w:t>
        </w:r>
      </w:hyperlink>
      <w:r>
        <w:t xml:space="preserve">; </w:t>
      </w:r>
      <w:hyperlink r:id="rId13764">
        <w:r>
          <w:rPr>
            <w:color w:val="0000EE"/>
            <w:u w:val="single"/>
          </w:rPr>
          <w:t>1Pe 2.18</w:t>
        </w:r>
      </w:hyperlink>
      <w:r>
        <w:t>).</w:t>
      </w:r>
    </w:p>
    <w:p>
      <w:r/>
      <w:r>
        <w:t>No entanto, apesar da forte ênfase sobre a obediência na Bíblia, tal obediência nunca é tomada como a base para a justificação pessoal diante de Deus. Paulo declara que a salvação é um presente de Deus que produzirá boas obras em nós (</w:t>
      </w:r>
      <w:hyperlink r:id="rId801">
        <w:r>
          <w:rPr>
            <w:color w:val="0000EE"/>
            <w:u w:val="single"/>
          </w:rPr>
          <w:t>Ef 2.8–10</w:t>
        </w:r>
      </w:hyperlink>
      <w:r>
        <w:t>). Assim também, Tiago fala de obras de obediência como fluindo da fé (</w:t>
      </w:r>
      <w:hyperlink r:id="rId14620">
        <w:r>
          <w:rPr>
            <w:color w:val="0000EE"/>
            <w:u w:val="single"/>
          </w:rPr>
          <w:t>Tg 2.14–26</w:t>
        </w:r>
      </w:hyperlink>
      <w:r>
        <w:t>).</w:t>
      </w:r>
    </w:p>
    <w:p>
      <w:r/>
      <w:r>
        <w:t>O próprio Jesus, na noite de sua traição, enfatizou pela repetição de que o amor por ele é medido pela obediência aos seus mandamentos (</w:t>
      </w:r>
      <w:hyperlink r:id="rId15548">
        <w:r>
          <w:rPr>
            <w:color w:val="0000EE"/>
            <w:u w:val="single"/>
          </w:rPr>
          <w:t>Jo 14.15, 21, 23–24</w:t>
        </w:r>
      </w:hyperlink>
      <w:r>
        <w:t xml:space="preserve">; </w:t>
      </w:r>
      <w:hyperlink r:id="rId1205">
        <w:r>
          <w:rPr>
            <w:color w:val="0000EE"/>
            <w:u w:val="single"/>
          </w:rPr>
          <w:t>15.10</w:t>
        </w:r>
      </w:hyperlink>
      <w:r>
        <w:t>). Ele ressaltou isso afirmando que seu próprio amor pelo Pai era evidenciado pela obediência aos seus mandamentos (</w:t>
      </w:r>
      <w:hyperlink r:id="rId15560">
        <w:r>
          <w:rPr>
            <w:color w:val="0000EE"/>
            <w:u w:val="single"/>
          </w:rPr>
          <w:t>14.31</w:t>
        </w:r>
      </w:hyperlink>
      <w:r>
        <w:t>). A Bíblia menciona muitas pessoas em que a obediência a Deus vem de sua fé e amor por ele (</w:t>
      </w:r>
      <w:hyperlink r:id="rId4461">
        <w:r>
          <w:rPr>
            <w:color w:val="0000EE"/>
            <w:u w:val="single"/>
          </w:rPr>
          <w:t>Hb 11</w:t>
        </w:r>
      </w:hyperlink>
      <w:r>
        <w:t xml:space="preserve">). Por exemplo, Abel acreditava em Deus e ofereceu um sacrifício mais excelente (v. </w:t>
      </w:r>
      <w:hyperlink r:id="rId44">
        <w:r>
          <w:rPr>
            <w:color w:val="0000EE"/>
            <w:u w:val="single"/>
          </w:rPr>
          <w:t>4</w:t>
        </w:r>
      </w:hyperlink>
      <w:r>
        <w:t xml:space="preserve">); Noé colocou sua fé na palavra de Deus e preparou uma arca (v. </w:t>
      </w:r>
      <w:hyperlink r:id="rId7147">
        <w:r>
          <w:rPr>
            <w:color w:val="0000EE"/>
            <w:u w:val="single"/>
          </w:rPr>
          <w:t>7</w:t>
        </w:r>
      </w:hyperlink>
      <w:r>
        <w:t xml:space="preserve">); pela fé Abraão deixou Ur por orientação de Deus, sem saber seu destino (v. </w:t>
      </w:r>
      <w:hyperlink r:id="rId10526">
        <w:r>
          <w:rPr>
            <w:color w:val="0000EE"/>
            <w:u w:val="single"/>
          </w:rPr>
          <w:t>8</w:t>
        </w:r>
      </w:hyperlink>
      <w:r>
        <w:t xml:space="preserve">); Moisés colocou sua fé em Deus e se negou aos privilégios de ser chamado filho do Faraó, preferindo se identificar com Israel, o povo de Deus (vv. </w:t>
      </w:r>
      <w:hyperlink r:id="rId15561">
        <w:r>
          <w:rPr>
            <w:color w:val="0000EE"/>
            <w:u w:val="single"/>
          </w:rPr>
          <w:t>24–25</w:t>
        </w:r>
      </w:hyperlink>
      <w:r>
        <w:t>). O maior exemplo de obediência baseado na confiança em Deus é o próprio Jesus Cristo. Ele se esvaziou, tomando a forma de um servo; ele se humilhou e se tornou obediente até a morte, até a morte em uma cruz (</w:t>
      </w:r>
      <w:hyperlink r:id="rId15562">
        <w:r>
          <w:rPr>
            <w:color w:val="0000EE"/>
            <w:u w:val="single"/>
          </w:rPr>
          <w:t>Fp 2.7–8</w:t>
        </w:r>
      </w:hyperlink>
      <w:r>
        <w:t>).</w:t>
      </w:r>
      <w:r/>
      <w:r/>
    </w:p>
    <w:p>
      <w:r/>
    </w:p>
    <w:p>
      <w:pPr>
        <w:pStyle w:val="Heading2"/>
      </w:pPr>
      <w:r>
        <w:t>Obote</w:t>
      </w:r>
      <w:r/>
    </w:p>
    <w:p>
      <w:r/>
      <w:r>
        <w:t>Obote foi um local temporário de acampamento dos israelitas durante suas peregrinações no deserto. Estava localizado entre Punom e Abarim (</w:t>
      </w:r>
      <w:hyperlink r:id="rId15563">
        <w:r>
          <w:rPr>
            <w:color w:val="0000EE"/>
            <w:u w:val="single"/>
          </w:rPr>
          <w:t>Nm 21.10–11</w:t>
        </w:r>
      </w:hyperlink>
      <w:r>
        <w:t xml:space="preserve">; </w:t>
      </w:r>
      <w:hyperlink r:id="rId15564">
        <w:r>
          <w:rPr>
            <w:color w:val="0000EE"/>
            <w:u w:val="single"/>
          </w:rPr>
          <w:t>33.43–44</w:t>
        </w:r>
      </w:hyperlink>
      <w:r>
        <w:t>). Sua localização exata é incerta. Alguns estudiosos tentaram identificar Obote com 'Ain el-Weiba, que fica a 53 quilômetros ao sul do Mar Morto no Vale do Arabá.</w:t>
      </w:r>
    </w:p>
    <w:p>
      <w:r/>
      <w:r>
        <w:rPr>
          <w:i/>
        </w:rPr>
        <w:t>Veja</w:t>
      </w:r>
      <w:r>
        <w:t xml:space="preserve"> </w:t>
      </w:r>
      <w:r>
        <w:t>Peregrinações no deserto</w:t>
      </w:r>
      <w:r>
        <w:t>.</w:t>
      </w:r>
      <w:r/>
      <w:r/>
    </w:p>
    <w:p>
      <w:r/>
    </w:p>
    <w:p>
      <w:pPr>
        <w:pStyle w:val="Heading2"/>
      </w:pPr>
      <w:r>
        <w:t>Obstáculo</w:t>
      </w:r>
      <w:r/>
    </w:p>
    <w:p>
      <w:r/>
      <w:r>
        <w:t>Termo usado tanto literal quanto figurativamente para se referir a qualquer coisa que possa fazer alguém tropeçar.</w:t>
      </w:r>
    </w:p>
    <w:p>
      <w:r/>
      <w:r>
        <w:t xml:space="preserve">A frase é usada literalmente em </w:t>
      </w:r>
      <w:hyperlink r:id="rId4638">
        <w:r>
          <w:rPr>
            <w:color w:val="0000EE"/>
            <w:u w:val="single"/>
          </w:rPr>
          <w:t>Levítico 19.14</w:t>
        </w:r>
      </w:hyperlink>
      <w:r>
        <w:t xml:space="preserve">, onde o povo de Israel é advertido a não “colocar na frente de um cego alguma coisa que o faça tropeçar”, mas a “ter respeito para comigo, o seu Deus”. Um uso figurado isolado ocorre em </w:t>
      </w:r>
      <w:hyperlink r:id="rId15565">
        <w:r>
          <w:rPr>
            <w:color w:val="0000EE"/>
            <w:u w:val="single"/>
          </w:rPr>
          <w:t>Jeremias 6.21</w:t>
        </w:r>
      </w:hyperlink>
      <w:r>
        <w:t>, onde Deus promete colocar uma pedra de tropeço diante do povo de Israel se eles não atenderem aos seus avisos.</w:t>
      </w:r>
    </w:p>
    <w:p>
      <w:r/>
      <w:r>
        <w:t>O uso mais comum no Antigo Testamento, no entanto, é encontrado em Ezequiel, onde a frase é usada para se referir a ídolos e idolatria: "Filho do homem, estes homens levantaram os seus ídolos no seu coração e o tropeço da sua maldade puseram diante da sua face; devo eu de alguma maneira ser interrogado por eles?” (</w:t>
      </w:r>
      <w:hyperlink r:id="rId8962">
        <w:r>
          <w:rPr>
            <w:color w:val="0000EE"/>
            <w:u w:val="single"/>
          </w:rPr>
          <w:t>Ez 14.3</w:t>
        </w:r>
      </w:hyperlink>
      <w:r>
        <w:t xml:space="preserve"> ARC; também </w:t>
      </w:r>
      <w:hyperlink r:id="rId15566">
        <w:r>
          <w:rPr>
            <w:color w:val="0000EE"/>
            <w:u w:val="single"/>
          </w:rPr>
          <w:t>7.19</w:t>
        </w:r>
      </w:hyperlink>
      <w:r>
        <w:t xml:space="preserve">; </w:t>
      </w:r>
      <w:hyperlink r:id="rId15567">
        <w:r>
          <w:rPr>
            <w:color w:val="0000EE"/>
            <w:u w:val="single"/>
          </w:rPr>
          <w:t>44.12</w:t>
        </w:r>
      </w:hyperlink>
      <w:r>
        <w:t>).</w:t>
      </w:r>
    </w:p>
    <w:p>
      <w:r/>
      <w:r>
        <w:t xml:space="preserve">No NT, o termo essencialmente mantém seu significado hebraico. Mesmo assim, a expressão é usada figurativamente para falar das dificuldades encontradas por muitos judeus em acreditar que Jesus é o Filho de Deus. Em </w:t>
      </w:r>
      <w:hyperlink r:id="rId6123">
        <w:r>
          <w:rPr>
            <w:color w:val="0000EE"/>
            <w:u w:val="single"/>
          </w:rPr>
          <w:t xml:space="preserve">1 Coríntios 1.23 </w:t>
        </w:r>
      </w:hyperlink>
      <w:r>
        <w:t xml:space="preserve">Paulo afirma que anunciar o Cristo crucificado é uma "pedra de tropeço" ou um "obstáculo" para os judeus (veja também </w:t>
      </w:r>
      <w:hyperlink r:id="rId15568">
        <w:r>
          <w:rPr>
            <w:color w:val="0000EE"/>
            <w:u w:val="single"/>
          </w:rPr>
          <w:t>Rm 9.31,32</w:t>
        </w:r>
      </w:hyperlink>
      <w:r>
        <w:t xml:space="preserve">). Em </w:t>
      </w:r>
      <w:hyperlink r:id="rId15569">
        <w:r>
          <w:rPr>
            <w:color w:val="0000EE"/>
            <w:u w:val="single"/>
          </w:rPr>
          <w:t>Romanos 11.11,12</w:t>
        </w:r>
      </w:hyperlink>
      <w:r>
        <w:t xml:space="preserve">, Paulo diz que essa resistência é, na verdade, parte do plano de Deus para espalhar suas riquezas pelo mundo. Finalmente, </w:t>
      </w:r>
      <w:hyperlink r:id="rId15570">
        <w:r>
          <w:rPr>
            <w:color w:val="0000EE"/>
            <w:u w:val="single"/>
          </w:rPr>
          <w:t>1 Coríntios 8.9</w:t>
        </w:r>
      </w:hyperlink>
      <w:r>
        <w:t xml:space="preserve"> usa “pedra de tropeço”, em uma versão mais literal, para falar de algumas práticas que podem ser apropriadas em si mesmas, mas que também podem ter o efeito não intencional de ofender um irmão mais fraco (veja também </w:t>
      </w:r>
      <w:hyperlink r:id="rId11174">
        <w:r>
          <w:rPr>
            <w:color w:val="0000EE"/>
            <w:u w:val="single"/>
          </w:rPr>
          <w:t>Rm 14.13</w:t>
        </w:r>
      </w:hyperlink>
      <w:r>
        <w:t>).</w:t>
      </w:r>
      <w:r/>
      <w:r/>
    </w:p>
    <w:p>
      <w:r/>
    </w:p>
    <w:p>
      <w:pPr>
        <w:pStyle w:val="Heading2"/>
      </w:pPr>
      <w:r>
        <w:t>Ocrã</w:t>
      </w:r>
      <w:r/>
    </w:p>
    <w:p>
      <w:r/>
      <w:r>
        <w:t>O pai de Pagiel. Pagiel foi o líder da tribo de Aser durante o tempo em que os israelitas viajaram pelo deserto (</w:t>
      </w:r>
      <w:hyperlink r:id="rId2726">
        <w:r>
          <w:rPr>
            <w:color w:val="0000EE"/>
            <w:u w:val="single"/>
          </w:rPr>
          <w:t>Nm 1.13</w:t>
        </w:r>
      </w:hyperlink>
      <w:r>
        <w:t xml:space="preserve">; </w:t>
      </w:r>
      <w:hyperlink r:id="rId2727">
        <w:r>
          <w:rPr>
            <w:color w:val="0000EE"/>
            <w:u w:val="single"/>
          </w:rPr>
          <w:t>2.27</w:t>
        </w:r>
      </w:hyperlink>
      <w:r>
        <w:t xml:space="preserve">; </w:t>
      </w:r>
      <w:hyperlink r:id="rId15571">
        <w:r>
          <w:rPr>
            <w:color w:val="0000EE"/>
            <w:u w:val="single"/>
          </w:rPr>
          <w:t>7.72,77</w:t>
        </w:r>
      </w:hyperlink>
      <w:r>
        <w:t xml:space="preserve">; </w:t>
      </w:r>
      <w:hyperlink r:id="rId2729">
        <w:r>
          <w:rPr>
            <w:color w:val="0000EE"/>
            <w:u w:val="single"/>
          </w:rPr>
          <w:t>10.26</w:t>
        </w:r>
      </w:hyperlink>
      <w:r>
        <w:t>).</w:t>
      </w:r>
      <w:r/>
      <w:r/>
    </w:p>
    <w:p>
      <w:r/>
    </w:p>
    <w:p>
      <w:pPr>
        <w:pStyle w:val="Heading2"/>
      </w:pPr>
      <w:r>
        <w:t>Ódio</w:t>
      </w:r>
      <w:r/>
    </w:p>
    <w:p>
      <w:r/>
      <w:r>
        <w:t>O ódio é um sentimento intenso de aversão ou sentimentos semelhantes aos de um inimigo em relação a alguém ou algo. Ele pode levar uma pessoa a:</w:t>
      </w:r>
    </w:p>
    <w:p>
      <w:pPr>
        <w:pStyle w:val="ListBullet"/>
        <w:spacing w:line="240" w:lineRule="auto"/>
        <w:ind w:left="720"/>
      </w:pPr>
      <w:r/>
      <w:r>
        <w:t>Ter uma forte aversão por alguém ou algo</w:t>
      </w:r>
    </w:p>
    <w:p>
      <w:pPr>
        <w:pStyle w:val="ListBullet"/>
        <w:spacing w:line="240" w:lineRule="auto"/>
        <w:ind w:left="720"/>
      </w:pPr>
      <w:r/>
      <w:r>
        <w:t>Quer se vingar por ter sido prejudicado.</w:t>
      </w:r>
    </w:p>
    <w:p>
      <w:r/>
      <w:r>
        <w:t>As Escrituras proíbem as pessoas de odiarem os outros (</w:t>
      </w:r>
      <w:hyperlink r:id="rId15572">
        <w:r>
          <w:rPr>
            <w:color w:val="0000EE"/>
            <w:u w:val="single"/>
          </w:rPr>
          <w:t>Lv 19.17–18</w:t>
        </w:r>
      </w:hyperlink>
      <w:r>
        <w:t>) porque isso leva ao pecado. De fato, o ódio em si é considerado assassinato (</w:t>
      </w:r>
      <w:hyperlink r:id="rId15573">
        <w:r>
          <w:rPr>
            <w:color w:val="0000EE"/>
            <w:u w:val="single"/>
          </w:rPr>
          <w:t>1Jo 3.15</w:t>
        </w:r>
      </w:hyperlink>
      <w:r>
        <w:t>). Somos chamados a deixar que Deus, o santo, vingue todas as injustiças (</w:t>
      </w:r>
      <w:hyperlink r:id="rId15574">
        <w:r>
          <w:rPr>
            <w:color w:val="0000EE"/>
            <w:u w:val="single"/>
          </w:rPr>
          <w:t>Pv 20.22</w:t>
        </w:r>
      </w:hyperlink>
      <w:r>
        <w:t>), e somos ordenados por Jesus a amar nossos inimigos (</w:t>
      </w:r>
      <w:hyperlink r:id="rId15575">
        <w:r>
          <w:rPr>
            <w:color w:val="0000EE"/>
            <w:u w:val="single"/>
          </w:rPr>
          <w:t>Mt 5.43–44</w:t>
        </w:r>
      </w:hyperlink>
      <w:r>
        <w:t>).</w:t>
      </w:r>
    </w:p>
    <w:p>
      <w:r/>
      <w:r>
        <w:t>Nem todo ódio é ruim. A Bíblia nos diz:</w:t>
      </w:r>
    </w:p>
    <w:p>
      <w:pPr>
        <w:pStyle w:val="ListBullet"/>
        <w:spacing w:line="240" w:lineRule="auto"/>
        <w:ind w:left="720"/>
      </w:pPr>
      <w:r/>
      <w:r>
        <w:t>Deus odeia coisas más (</w:t>
      </w:r>
      <w:hyperlink r:id="rId15576">
        <w:r>
          <w:rPr>
            <w:color w:val="0000EE"/>
            <w:u w:val="single"/>
          </w:rPr>
          <w:t>Pv 6.16–19</w:t>
        </w:r>
      </w:hyperlink>
      <w:r>
        <w:t>)</w:t>
      </w:r>
    </w:p>
    <w:p>
      <w:pPr>
        <w:pStyle w:val="ListBullet"/>
        <w:spacing w:line="240" w:lineRule="auto"/>
        <w:ind w:left="720"/>
      </w:pPr>
      <w:r/>
      <w:r>
        <w:t>Deus odeia as pessoas más (</w:t>
      </w:r>
      <w:hyperlink r:id="rId15577">
        <w:r>
          <w:rPr>
            <w:color w:val="0000EE"/>
            <w:u w:val="single"/>
          </w:rPr>
          <w:t>Sl 5.5</w:t>
        </w:r>
      </w:hyperlink>
      <w:r>
        <w:t>)</w:t>
      </w:r>
    </w:p>
    <w:p>
      <w:r/>
      <w:r>
        <w:t>A Escritura também contém expressões como “Todavia, Jacó eu amei, mas Esaú eu odiei” (</w:t>
      </w:r>
      <w:hyperlink r:id="rId15578">
        <w:r>
          <w:rPr>
            <w:color w:val="0000EE"/>
            <w:u w:val="single"/>
          </w:rPr>
          <w:t>Mq 1.2–3</w:t>
        </w:r>
      </w:hyperlink>
      <w:r>
        <w:t>). Isso significa que Deus escolheu Jacó e não Esaú para ser o fundador do povo judeu. Da mesma forma, Jesus desafiou as pessoas a odiarem suas vidas e relacionamentos terrenos se quisessem segui-lo (</w:t>
      </w:r>
      <w:hyperlink r:id="rId923">
        <w:r>
          <w:rPr>
            <w:color w:val="0000EE"/>
            <w:u w:val="single"/>
          </w:rPr>
          <w:t>Lc 14.26</w:t>
        </w:r>
      </w:hyperlink>
      <w:r>
        <w:t>). Isso significa que elas devem escolher Jesus acima de tudo.</w:t>
      </w:r>
      <w:r/>
      <w:r/>
    </w:p>
    <w:p>
      <w:r/>
    </w:p>
    <w:p>
      <w:pPr>
        <w:pStyle w:val="Heading2"/>
      </w:pPr>
      <w:r>
        <w:t>Ofender, Ofensa</w:t>
      </w:r>
      <w:r/>
    </w:p>
    <w:p>
      <w:r/>
      <w:r>
        <w:t>As palavras "ofender" e "ofensa" são usadas de duas maneiras principais na Bíblia:</w:t>
      </w:r>
    </w:p>
    <w:p>
      <w:pPr>
        <w:pStyle w:val="ListNumber"/>
        <w:spacing w:line="240" w:lineRule="auto"/>
        <w:ind w:left="720"/>
      </w:pPr>
      <w:r/>
      <w:r>
        <w:t>Fazer algo errado por iniciativa própria</w:t>
      </w:r>
    </w:p>
    <w:p>
      <w:pPr>
        <w:pStyle w:val="ListNumber"/>
        <w:spacing w:line="240" w:lineRule="auto"/>
        <w:ind w:left="720"/>
      </w:pPr>
      <w:r/>
      <w:r>
        <w:t>Levar outra pessoa a cometer um erro ou se enganar em sua fé</w:t>
      </w:r>
    </w:p>
    <w:p>
      <w:pPr>
        <w:pStyle w:val="Heading3"/>
      </w:pPr>
      <w:r>
        <w:t>Fazendo de forma errada</w:t>
      </w:r>
    </w:p>
    <w:p>
      <w:r/>
      <w:r>
        <w:t>Tanto no Antigo Testamento Hebraico quanto no Novo Testamento Grego, existem muitas palavras para pecado ou transgressão. Quando usamos as palavras "ofender" ou "ofensa", focamos no pecado contra uma pessoa ou a lei, o que significa uma ofensa contra Deus ou contra as pessoas.</w:t>
      </w:r>
    </w:p>
    <w:p>
      <w:r/>
      <w:r>
        <w:t>Pecado é principalmente uma ofensa contra Deus. Por exemplo, o povo de Edom ofendeu a Deus ao se vingar de Judá, então Deus os julgou (</w:t>
      </w:r>
      <w:hyperlink r:id="rId15579">
        <w:r>
          <w:rPr>
            <w:color w:val="0000EE"/>
            <w:u w:val="single"/>
          </w:rPr>
          <w:t>Ez 25.12–13</w:t>
        </w:r>
      </w:hyperlink>
      <w:r>
        <w:t>). Israel ofendeu a Deus ao adorar Baal (</w:t>
      </w:r>
      <w:hyperlink r:id="rId15580">
        <w:r>
          <w:rPr>
            <w:color w:val="0000EE"/>
            <w:u w:val="single"/>
          </w:rPr>
          <w:t>Os 13.1</w:t>
        </w:r>
      </w:hyperlink>
      <w:r>
        <w:t>). Quebrar a lei de Deus é chamado de ofensa cometida (</w:t>
      </w:r>
      <w:hyperlink r:id="rId7205">
        <w:r>
          <w:rPr>
            <w:color w:val="0000EE"/>
            <w:u w:val="single"/>
          </w:rPr>
          <w:t>Dt 19.15</w:t>
        </w:r>
      </w:hyperlink>
      <w:r>
        <w:t xml:space="preserve">; cp. </w:t>
      </w:r>
      <w:hyperlink r:id="rId15581">
        <w:r>
          <w:rPr>
            <w:color w:val="0000EE"/>
            <w:u w:val="single"/>
          </w:rPr>
          <w:t>22.26</w:t>
        </w:r>
      </w:hyperlink>
      <w:r>
        <w:t xml:space="preserve">; </w:t>
      </w:r>
      <w:hyperlink r:id="rId15582">
        <w:r>
          <w:rPr>
            <w:color w:val="0000EE"/>
            <w:u w:val="single"/>
          </w:rPr>
          <w:t>25.2</w:t>
        </w:r>
      </w:hyperlink>
      <w:r>
        <w:t>). No Novo Testamento, Tiago fala sobre ofensas contra Deus e a lei de Deus (</w:t>
      </w:r>
      <w:hyperlink r:id="rId15583">
        <w:r>
          <w:rPr>
            <w:color w:val="0000EE"/>
            <w:u w:val="single"/>
          </w:rPr>
          <w:t>Tg 2.10</w:t>
        </w:r>
      </w:hyperlink>
      <w:r>
        <w:t xml:space="preserve">; </w:t>
      </w:r>
      <w:hyperlink r:id="rId15584">
        <w:r>
          <w:rPr>
            <w:color w:val="0000EE"/>
            <w:u w:val="single"/>
          </w:rPr>
          <w:t>3.2</w:t>
        </w:r>
      </w:hyperlink>
      <w:r>
        <w:t>).</w:t>
      </w:r>
    </w:p>
    <w:p>
      <w:r/>
      <w:r>
        <w:t>A Bíblia também aborda ofensas entre pessoas. Por exemplo, Abraão ofendeu Abimeleque (</w:t>
      </w:r>
      <w:hyperlink r:id="rId15585">
        <w:r>
          <w:rPr>
            <w:color w:val="0000EE"/>
            <w:u w:val="single"/>
          </w:rPr>
          <w:t>Gn 20.9</w:t>
        </w:r>
      </w:hyperlink>
      <w:r>
        <w:t>). O chefe dos copeiros e o padeiro de Faraó ofenderam seu senhor (</w:t>
      </w:r>
      <w:hyperlink r:id="rId15586">
        <w:r>
          <w:rPr>
            <w:color w:val="0000EE"/>
            <w:u w:val="single"/>
          </w:rPr>
          <w:t>Gn 40.1</w:t>
        </w:r>
      </w:hyperlink>
      <w:r>
        <w:t xml:space="preserve">). Às vezes, a ofensa é apenas alegada, e nenhum erro real foi cometido (e.g. </w:t>
      </w:r>
      <w:hyperlink r:id="rId15587">
        <w:r>
          <w:rPr>
            <w:color w:val="0000EE"/>
            <w:u w:val="single"/>
          </w:rPr>
          <w:t>Gn 31.36</w:t>
        </w:r>
      </w:hyperlink>
      <w:r>
        <w:t xml:space="preserve">; </w:t>
      </w:r>
      <w:hyperlink r:id="rId14506">
        <w:r>
          <w:rPr>
            <w:color w:val="0000EE"/>
            <w:u w:val="single"/>
          </w:rPr>
          <w:t>2Rs 18.14</w:t>
        </w:r>
      </w:hyperlink>
      <w:r>
        <w:t xml:space="preserve">; </w:t>
      </w:r>
      <w:hyperlink r:id="rId15588">
        <w:r>
          <w:rPr>
            <w:color w:val="0000EE"/>
            <w:u w:val="single"/>
          </w:rPr>
          <w:t>Jr 37.18</w:t>
        </w:r>
      </w:hyperlink>
      <w:r>
        <w:t>). Paulo, defendendo-se perante o governador romano Festo, disse: “Eu não fiz nada contra a lei dos judeus, nem contra o Templo, nem contra o Imperador” (</w:t>
      </w:r>
      <w:hyperlink r:id="rId15589">
        <w:r>
          <w:rPr>
            <w:color w:val="0000EE"/>
            <w:u w:val="single"/>
          </w:rPr>
          <w:t>At 25.8</w:t>
        </w:r>
      </w:hyperlink>
      <w:r>
        <w:t>).</w:t>
      </w:r>
    </w:p>
    <w:p>
      <w:r/>
      <w:r>
        <w:t>A Bíblia também ensina como lidar com ofensas reais contra Deus e as pessoas. As ofensas devem ser reconhecidas e confessadas (</w:t>
      </w:r>
      <w:hyperlink r:id="rId15590">
        <w:r>
          <w:rPr>
            <w:color w:val="0000EE"/>
            <w:u w:val="single"/>
          </w:rPr>
          <w:t>Os 5.15</w:t>
        </w:r>
      </w:hyperlink>
      <w:r>
        <w:t>). Uma resolução adequada diante de Deus é: “não vai pecar mais” (</w:t>
      </w:r>
      <w:hyperlink r:id="rId15591">
        <w:r>
          <w:rPr>
            <w:color w:val="0000EE"/>
            <w:u w:val="single"/>
          </w:rPr>
          <w:t>Jó 34.31</w:t>
        </w:r>
      </w:hyperlink>
      <w:r>
        <w:t>). Precisamos fazer reparações pelas ofensas e perdoar as ofensas dos outros (</w:t>
      </w:r>
      <w:hyperlink r:id="rId10100">
        <w:r>
          <w:rPr>
            <w:color w:val="0000EE"/>
            <w:u w:val="single"/>
          </w:rPr>
          <w:t>Ec 10.4</w:t>
        </w:r>
      </w:hyperlink>
      <w:r>
        <w:t xml:space="preserve">; </w:t>
      </w:r>
      <w:hyperlink r:id="rId15592">
        <w:r>
          <w:rPr>
            <w:color w:val="0000EE"/>
            <w:u w:val="single"/>
          </w:rPr>
          <w:t>Pv 17.9</w:t>
        </w:r>
      </w:hyperlink>
      <w:r>
        <w:t xml:space="preserve">; </w:t>
      </w:r>
      <w:hyperlink r:id="rId15593">
        <w:r>
          <w:rPr>
            <w:color w:val="0000EE"/>
            <w:u w:val="single"/>
          </w:rPr>
          <w:t>19.11</w:t>
        </w:r>
      </w:hyperlink>
      <w:r>
        <w:t>). Jesus Cristo morreu por nossas ofensas (</w:t>
      </w:r>
      <w:hyperlink r:id="rId6335">
        <w:r>
          <w:rPr>
            <w:color w:val="0000EE"/>
            <w:u w:val="single"/>
          </w:rPr>
          <w:t>Rm 4.25</w:t>
        </w:r>
      </w:hyperlink>
      <w:r>
        <w:t xml:space="preserve">; </w:t>
      </w:r>
      <w:hyperlink r:id="rId15594">
        <w:r>
          <w:rPr>
            <w:color w:val="0000EE"/>
            <w:u w:val="single"/>
          </w:rPr>
          <w:t>5.15–21</w:t>
        </w:r>
      </w:hyperlink>
      <w:r>
        <w:t>). Ao nos voltarmos para Jesus, há perdão para todos os pecados.</w:t>
      </w:r>
    </w:p>
    <w:p>
      <w:pPr>
        <w:pStyle w:val="Heading3"/>
      </w:pPr>
      <w:r>
        <w:t>Fazer o outro pecar</w:t>
      </w:r>
    </w:p>
    <w:p>
      <w:r/>
      <w:r>
        <w:t>As palavras "ofensa" e "ofender" também significam fazer com que alguém tropece ou cometa um erro. Existem três maneiras de isso ocorrer:</w:t>
      </w:r>
    </w:p>
    <w:p>
      <w:pPr>
        <w:pStyle w:val="ListNumber"/>
        <w:spacing w:line="240" w:lineRule="auto"/>
        <w:ind w:left="720"/>
      </w:pPr>
      <w:r/>
      <w:r>
        <w:rPr>
          <w:b/>
        </w:rPr>
        <w:t>Causa pessoal</w:t>
      </w:r>
      <w:r>
        <w:t>: Algo dentro de uma pessoa pode levá-la a tropeçar. Jesus enfatizou a seriedade disso e sugeriu tomar medidas extremas para evitá-lo (</w:t>
      </w:r>
      <w:hyperlink r:id="rId15595">
        <w:r>
          <w:rPr>
            <w:color w:val="0000EE"/>
            <w:u w:val="single"/>
          </w:rPr>
          <w:t>Mt 5.29–30</w:t>
        </w:r>
      </w:hyperlink>
      <w:r>
        <w:t xml:space="preserve">; </w:t>
      </w:r>
      <w:hyperlink r:id="rId15596">
        <w:r>
          <w:rPr>
            <w:color w:val="0000EE"/>
            <w:u w:val="single"/>
          </w:rPr>
          <w:t>18.8–9</w:t>
        </w:r>
      </w:hyperlink>
      <w:r>
        <w:t>).</w:t>
      </w:r>
    </w:p>
    <w:p>
      <w:pPr>
        <w:pStyle w:val="ListNumber"/>
        <w:spacing w:line="240" w:lineRule="auto"/>
        <w:ind w:left="720"/>
      </w:pPr>
      <w:r/>
      <w:r>
        <w:rPr>
          <w:b/>
        </w:rPr>
        <w:t>Fazer outros tropeçarem</w:t>
      </w:r>
      <w:r>
        <w:t>: Algo nas ações de uma pessoa pode levar outros a tropeçar. Jesus advertiu: “Ai do mundo por causa das coisas que fazem com que as pessoas me abandonem! Essas coisas têm de acontecer, mas ai do culpado!” (</w:t>
      </w:r>
      <w:hyperlink r:id="rId15597">
        <w:r>
          <w:rPr>
            <w:color w:val="0000EE"/>
            <w:u w:val="single"/>
          </w:rPr>
          <w:t>Mt 18.7</w:t>
        </w:r>
      </w:hyperlink>
      <w:r>
        <w:t>). O Novo Testamento ensina que devemos viver de uma maneira que não faça os outros tropeçarem (</w:t>
      </w:r>
      <w:hyperlink r:id="rId11174">
        <w:r>
          <w:rPr>
            <w:color w:val="0000EE"/>
            <w:u w:val="single"/>
          </w:rPr>
          <w:t>Rm 14.13</w:t>
        </w:r>
      </w:hyperlink>
      <w:r>
        <w:t>). O apóstolo Paulo diz: “Por uma questão de comida, não destrua o que Deus fez. Todos os alimentos podem ser comidos, mas é errado comer alguma coisa quando isso faz com que outra pessoa caia em pecado. O que está certo é não comer carne, não beber vinho, nem fazer qualquer outra coisa que leve um irmão a cair em pecado” (</w:t>
      </w:r>
      <w:hyperlink r:id="rId15598">
        <w:r>
          <w:rPr>
            <w:color w:val="0000EE"/>
            <w:u w:val="single"/>
          </w:rPr>
          <w:t>Rm 14.20–21</w:t>
        </w:r>
      </w:hyperlink>
      <w:r>
        <w:t xml:space="preserve">; cp. </w:t>
      </w:r>
      <w:hyperlink r:id="rId5817">
        <w:r>
          <w:rPr>
            <w:color w:val="0000EE"/>
            <w:u w:val="single"/>
          </w:rPr>
          <w:t>1Co 10.32</w:t>
        </w:r>
      </w:hyperlink>
      <w:r>
        <w:t xml:space="preserve">; </w:t>
      </w:r>
      <w:hyperlink r:id="rId15599">
        <w:r>
          <w:rPr>
            <w:color w:val="0000EE"/>
            <w:u w:val="single"/>
          </w:rPr>
          <w:t>2Co 6.3</w:t>
        </w:r>
      </w:hyperlink>
      <w:r>
        <w:t>).</w:t>
      </w:r>
    </w:p>
    <w:p>
      <w:pPr>
        <w:pStyle w:val="ListNumber"/>
        <w:spacing w:line="240" w:lineRule="auto"/>
        <w:ind w:left="720"/>
      </w:pPr>
      <w:r/>
      <w:r>
        <w:rPr>
          <w:b/>
        </w:rPr>
        <w:t>Ofensa à verdade</w:t>
      </w:r>
      <w:r>
        <w:t>: As pessoas podem se ofender com a verdade, mesmo que quem a apresente não tenha culpa. Isaías descreve Deus como “uma pedra e uma rocha que fará com que os povos de Judá e de Israel tropecem e caiam” (</w:t>
      </w:r>
      <w:hyperlink r:id="rId15600">
        <w:r>
          <w:rPr>
            <w:color w:val="0000EE"/>
            <w:u w:val="single"/>
          </w:rPr>
          <w:t>Is 8.14</w:t>
        </w:r>
      </w:hyperlink>
      <w:r>
        <w:t>) porque as pessoas nem sempre aceitariam Suas exigências e o caminho da fé nEle. O Novo Testamento aplica essas palavras à ofensa do evangelho de Cristo (</w:t>
      </w:r>
      <w:hyperlink r:id="rId15601">
        <w:r>
          <w:rPr>
            <w:color w:val="0000EE"/>
            <w:u w:val="single"/>
          </w:rPr>
          <w:t>Rm 9.32–33</w:t>
        </w:r>
      </w:hyperlink>
      <w:r>
        <w:t xml:space="preserve">; </w:t>
      </w:r>
      <w:hyperlink r:id="rId15602">
        <w:r>
          <w:rPr>
            <w:color w:val="0000EE"/>
            <w:u w:val="single"/>
          </w:rPr>
          <w:t>1Pe 2.8</w:t>
        </w:r>
      </w:hyperlink>
      <w:r>
        <w:t>). Durante Seu ministério, as pessoas se ofenderam com Jesus — por Seu nascimento humilde (</w:t>
      </w:r>
      <w:hyperlink r:id="rId11193">
        <w:r>
          <w:rPr>
            <w:color w:val="0000EE"/>
            <w:u w:val="single"/>
          </w:rPr>
          <w:t>Mt 13.57</w:t>
        </w:r>
      </w:hyperlink>
      <w:r>
        <w:t>), pelo que Ele disse e fez (</w:t>
      </w:r>
      <w:hyperlink r:id="rId15603">
        <w:r>
          <w:rPr>
            <w:color w:val="0000EE"/>
            <w:u w:val="single"/>
          </w:rPr>
          <w:t>Mt 15.12</w:t>
        </w:r>
      </w:hyperlink>
      <w:r>
        <w:t>), ou por causa do custo de segui-lo (</w:t>
      </w:r>
      <w:hyperlink r:id="rId15604">
        <w:r>
          <w:rPr>
            <w:color w:val="0000EE"/>
            <w:u w:val="single"/>
          </w:rPr>
          <w:t>Mt 13.21</w:t>
        </w:r>
      </w:hyperlink>
      <w:r>
        <w:t>). Até mesmo alguns discípulos se ofenderam e se afastaram (</w:t>
      </w:r>
      <w:hyperlink r:id="rId15605">
        <w:r>
          <w:rPr>
            <w:color w:val="0000EE"/>
            <w:u w:val="single"/>
          </w:rPr>
          <w:t>Jo 6.61</w:t>
        </w:r>
      </w:hyperlink>
      <w:r>
        <w:t>). Eventualmente, todos se ofenderam e fugiram dEle (</w:t>
      </w:r>
      <w:hyperlink r:id="rId15606">
        <w:r>
          <w:rPr>
            <w:color w:val="0000EE"/>
            <w:u w:val="single"/>
          </w:rPr>
          <w:t>Mt 26.31,56</w:t>
        </w:r>
      </w:hyperlink>
      <w:r>
        <w:t>). Paulo falou da ofensa em pregar a cruz de Cristo. Ele poderia ter evitado a perseguição pregando uma mensagem que não ofendesse ninguém (</w:t>
      </w:r>
      <w:hyperlink r:id="rId4979">
        <w:r>
          <w:rPr>
            <w:color w:val="0000EE"/>
            <w:u w:val="single"/>
          </w:rPr>
          <w:t>Gl 5.11</w:t>
        </w:r>
      </w:hyperlink>
      <w:r>
        <w:t>). Ele escolheu pregar a cruz, mesmo que fosse uma pedra de tropeço para os judeus e loucura para os não judeus (</w:t>
      </w:r>
      <w:hyperlink r:id="rId6123">
        <w:r>
          <w:rPr>
            <w:color w:val="0000EE"/>
            <w:u w:val="single"/>
          </w:rPr>
          <w:t>1Co 1.23</w:t>
        </w:r>
      </w:hyperlink>
      <w:r>
        <w:t>).</w:t>
      </w:r>
    </w:p>
    <w:p>
      <w:r/>
      <w:r>
        <w:rPr>
          <w:i/>
        </w:rPr>
        <w:t>Veja também</w:t>
      </w:r>
      <w:r>
        <w:t xml:space="preserve"> </w:t>
      </w:r>
      <w:r>
        <w:t>Pecado</w:t>
      </w:r>
      <w:r>
        <w:t>.</w:t>
      </w:r>
      <w:r/>
      <w:r/>
    </w:p>
    <w:p>
      <w:r/>
    </w:p>
    <w:p>
      <w:pPr>
        <w:pStyle w:val="Heading2"/>
      </w:pPr>
      <w:r>
        <w:t>Oferta queimada, Holocausto</w:t>
      </w:r>
      <w:r/>
    </w:p>
    <w:p>
      <w:r/>
      <w:r>
        <w:t>Uma oferta queimada era um tipo de sacrifício no antigo Israel. Nesse sacrifício, um animal sem defeitos era completamente queimado no altar. Nenhuma parte do animal era comida, pois era totalmente consumido pelo fogo. Os israelitas ofereciam ofertas queimadas para buscar o perdão pelos pecados e restaurar seu relacionamento com Deus (</w:t>
      </w:r>
      <w:hyperlink r:id="rId12919">
        <w:r>
          <w:rPr>
            <w:color w:val="0000EE"/>
            <w:u w:val="single"/>
          </w:rPr>
          <w:t>Lv 1</w:t>
        </w:r>
      </w:hyperlink>
      <w:r>
        <w:t>).</w:t>
      </w:r>
    </w:p>
    <w:p>
      <w:r/>
      <w:r>
        <w:rPr>
          <w:i/>
        </w:rPr>
        <w:t>Veja</w:t>
      </w:r>
      <w:r>
        <w:t xml:space="preserve"> </w:t>
      </w:r>
      <w:r>
        <w:t>Ofertas e sacrifícios</w:t>
      </w:r>
      <w:r>
        <w:t>.</w:t>
      </w:r>
      <w:r/>
      <w:r/>
    </w:p>
    <w:p>
      <w:r/>
    </w:p>
    <w:p>
      <w:pPr>
        <w:pStyle w:val="Heading2"/>
      </w:pPr>
      <w:r>
        <w:t>Oferta voluntária</w:t>
      </w:r>
      <w:r/>
    </w:p>
    <w:p>
      <w:r/>
      <w:r>
        <w:t>Uma oferta de paz voluntária a Deus (</w:t>
      </w:r>
      <w:hyperlink r:id="rId15607">
        <w:r>
          <w:rPr>
            <w:color w:val="0000EE"/>
            <w:u w:val="single"/>
          </w:rPr>
          <w:t>Lv 7.16</w:t>
        </w:r>
      </w:hyperlink>
      <w:r>
        <w:t xml:space="preserve">; </w:t>
      </w:r>
      <w:hyperlink r:id="rId15608">
        <w:r>
          <w:rPr>
            <w:color w:val="0000EE"/>
            <w:u w:val="single"/>
          </w:rPr>
          <w:t>Dt 12.6</w:t>
        </w:r>
      </w:hyperlink>
      <w:r>
        <w:t>).</w:t>
      </w:r>
    </w:p>
    <w:p>
      <w:r/>
      <w:r>
        <w:rPr>
          <w:i/>
        </w:rPr>
        <w:t>Veja</w:t>
      </w:r>
      <w:r>
        <w:t xml:space="preserve"> </w:t>
      </w:r>
      <w:r>
        <w:t>Ofertas e sacrifícios</w:t>
      </w:r>
      <w:r>
        <w:t>.</w:t>
      </w:r>
      <w:r/>
      <w:r/>
    </w:p>
    <w:p>
      <w:r/>
    </w:p>
    <w:p>
      <w:pPr>
        <w:pStyle w:val="Heading2"/>
      </w:pPr>
      <w:r>
        <w:t>Ofertas e sacrifícios</w:t>
      </w:r>
      <w:r/>
    </w:p>
    <w:p>
      <w:r/>
      <w:r>
        <w:t>Principais expressões rituais da vida religiosa com ritos como libações, efusões e refeições sagradas. A ideologia expressa no complexo ritual de Israel tornou sua religião única no antigo Oriente Próximo. Os conceitos do ritual do Antigo Testamento também fundamentam a teologia do Novo Testamento em relação ao pecado e à reconciliação com Deus por meio da morte expiatória de Jesus Cristo.</w:t>
      </w:r>
    </w:p>
    <w:p>
      <w:pPr>
        <w:pStyle w:val="Heading3"/>
      </w:pPr>
      <w:r>
        <w:t>Desempenho e ordem dos sacrifícios</w:t>
      </w:r>
    </w:p>
    <w:p>
      <w:r/>
      <w:r>
        <w:t>A principal fonte para uma descrição do desempenho correto do ritual sacrificial é a seção de abertura de Levítico (</w:t>
      </w:r>
      <w:hyperlink r:id="rId12816">
        <w:r>
          <w:rPr>
            <w:color w:val="0000EE"/>
            <w:u w:val="single"/>
          </w:rPr>
          <w:t>Lv 1–7</w:t>
        </w:r>
      </w:hyperlink>
      <w:r>
        <w:t>). Consiste em duas partes separadas. A primeira (</w:t>
      </w:r>
      <w:hyperlink r:id="rId15609">
        <w:r>
          <w:rPr>
            <w:color w:val="0000EE"/>
            <w:u w:val="single"/>
          </w:rPr>
          <w:t>1.1–6.7</w:t>
        </w:r>
      </w:hyperlink>
      <w:r>
        <w:t>) é didática, tratando de duas categorias de sacrifício: aqueles de um “odor agradável”, a saber, o holocausto (</w:t>
      </w:r>
      <w:hyperlink r:id="rId12919">
        <w:r>
          <w:rPr>
            <w:color w:val="0000EE"/>
            <w:u w:val="single"/>
          </w:rPr>
          <w:t>1.1–17</w:t>
        </w:r>
      </w:hyperlink>
      <w:r>
        <w:t>), a oferta de cereais (</w:t>
      </w:r>
      <w:hyperlink r:id="rId18">
        <w:r>
          <w:rPr>
            <w:color w:val="0000EE"/>
            <w:u w:val="single"/>
          </w:rPr>
          <w:t>2.1–16</w:t>
        </w:r>
      </w:hyperlink>
      <w:r>
        <w:t>) e as ofertas pacíficas (</w:t>
      </w:r>
      <w:hyperlink r:id="rId12921">
        <w:r>
          <w:rPr>
            <w:color w:val="0000EE"/>
            <w:u w:val="single"/>
          </w:rPr>
          <w:t>3.1–17</w:t>
        </w:r>
      </w:hyperlink>
      <w:r>
        <w:t>); e os sacrifícios expiatórios, a saber, o pecado (</w:t>
      </w:r>
      <w:hyperlink r:id="rId15610">
        <w:r>
          <w:rPr>
            <w:color w:val="0000EE"/>
            <w:u w:val="single"/>
          </w:rPr>
          <w:t>4.1–5.13</w:t>
        </w:r>
      </w:hyperlink>
      <w:r>
        <w:t>) e as ofertas de culpa ou transgressão (</w:t>
      </w:r>
      <w:hyperlink r:id="rId12927">
        <w:r>
          <w:rPr>
            <w:color w:val="0000EE"/>
            <w:u w:val="single"/>
          </w:rPr>
          <w:t>5.14–6.7</w:t>
        </w:r>
      </w:hyperlink>
      <w:r>
        <w:t>). Atenção é dada aos detalhes minuciosos de cada ritual, e eles são agrupados de acordo com suas associações lógicas ou conceituais.</w:t>
      </w:r>
    </w:p>
    <w:p>
      <w:r/>
      <w:r>
        <w:t>A oferta de cereal (ou de grãos) segue a oferta queimada porque sempre a acompanhava na prática real (</w:t>
      </w:r>
      <w:hyperlink r:id="rId15435">
        <w:r>
          <w:rPr>
            <w:color w:val="0000EE"/>
            <w:u w:val="single"/>
          </w:rPr>
          <w:t>Nm 15.1–21</w:t>
        </w:r>
      </w:hyperlink>
      <w:r>
        <w:t xml:space="preserve">; caps. </w:t>
      </w:r>
      <w:hyperlink r:id="rId15611">
        <w:r>
          <w:rPr>
            <w:color w:val="0000EE"/>
            <w:u w:val="single"/>
          </w:rPr>
          <w:t>28–29</w:t>
        </w:r>
      </w:hyperlink>
      <w:r>
        <w:t>); também acompanhava a oferta de paz (</w:t>
      </w:r>
      <w:hyperlink r:id="rId15612">
        <w:r>
          <w:rPr>
            <w:color w:val="0000EE"/>
            <w:u w:val="single"/>
          </w:rPr>
          <w:t>Lv 7.12–14</w:t>
        </w:r>
      </w:hyperlink>
      <w:r>
        <w:t xml:space="preserve">; </w:t>
      </w:r>
      <w:hyperlink r:id="rId15613">
        <w:r>
          <w:rPr>
            <w:color w:val="0000EE"/>
            <w:u w:val="single"/>
          </w:rPr>
          <w:t>Nm 15.3–4</w:t>
        </w:r>
      </w:hyperlink>
      <w:r>
        <w:t>). É dada ênfase especial à queima das partes internas de um sacrifício no altar para criar um “aroma agradável ao Senhor” (</w:t>
      </w:r>
      <w:hyperlink r:id="rId15614">
        <w:r>
          <w:rPr>
            <w:color w:val="0000EE"/>
            <w:u w:val="single"/>
          </w:rPr>
          <w:t>Lv 1.9,17</w:t>
        </w:r>
      </w:hyperlink>
      <w:r>
        <w:t xml:space="preserve">; </w:t>
      </w:r>
      <w:hyperlink r:id="rId15615">
        <w:r>
          <w:rPr>
            <w:color w:val="0000EE"/>
            <w:u w:val="single"/>
          </w:rPr>
          <w:t>2.2,9,12</w:t>
        </w:r>
      </w:hyperlink>
      <w:r>
        <w:t xml:space="preserve">; </w:t>
      </w:r>
      <w:hyperlink r:id="rId15616">
        <w:r>
          <w:rPr>
            <w:color w:val="0000EE"/>
            <w:u w:val="single"/>
          </w:rPr>
          <w:t>3.5,11,16</w:t>
        </w:r>
      </w:hyperlink>
      <w:r>
        <w:t>). Quando o Senhor sentia o aroma agradável (</w:t>
      </w:r>
      <w:hyperlink r:id="rId15617">
        <w:r>
          <w:rPr>
            <w:color w:val="0000EE"/>
            <w:u w:val="single"/>
          </w:rPr>
          <w:t>Gn 8.21</w:t>
        </w:r>
      </w:hyperlink>
      <w:r>
        <w:t>), era um sinal de favor divino; a recusa indicava o desagrado de Deus (</w:t>
      </w:r>
      <w:hyperlink r:id="rId6751">
        <w:r>
          <w:rPr>
            <w:color w:val="0000EE"/>
            <w:u w:val="single"/>
          </w:rPr>
          <w:t>Lv 26.31</w:t>
        </w:r>
      </w:hyperlink>
      <w:r>
        <w:t>). O sacerdote oficiante evidentemente sabia como interpretar os sinais e informava ao ofertante se seu sacrifício havia sido aceito (</w:t>
      </w:r>
      <w:hyperlink r:id="rId14792">
        <w:r>
          <w:rPr>
            <w:color w:val="0000EE"/>
            <w:u w:val="single"/>
          </w:rPr>
          <w:t>1Sm 26.19</w:t>
        </w:r>
      </w:hyperlink>
      <w:r>
        <w:t xml:space="preserve">; cf. </w:t>
      </w:r>
      <w:hyperlink r:id="rId15618">
        <w:r>
          <w:rPr>
            <w:color w:val="0000EE"/>
            <w:u w:val="single"/>
          </w:rPr>
          <w:t>Am 5.21–23</w:t>
        </w:r>
      </w:hyperlink>
      <w:r>
        <w:t>).</w:t>
      </w:r>
    </w:p>
    <w:p>
      <w:r/>
      <w:r>
        <w:t>As ofertas pelo pecado e pela culpa eram expiatórias (</w:t>
      </w:r>
      <w:hyperlink r:id="rId15619">
        <w:r>
          <w:rPr>
            <w:color w:val="0000EE"/>
            <w:u w:val="single"/>
          </w:rPr>
          <w:t>Lv 4.1–6.7</w:t>
        </w:r>
      </w:hyperlink>
      <w:r>
        <w:t>,</w:t>
      </w:r>
      <w:hyperlink r:id="rId10992">
        <w:r>
          <w:rPr>
            <w:color w:val="0000EE"/>
            <w:u w:val="single"/>
          </w:rPr>
          <w:t>20</w:t>
        </w:r>
      </w:hyperlink>
      <w:r>
        <w:t>). As situações que exigem tais ofertas são listadas, e uma ênfase especial é dada ao manuseio do sangue no ritual.</w:t>
      </w:r>
    </w:p>
    <w:p>
      <w:r/>
      <w:r>
        <w:t>A segunda seção principal nesta passagem (</w:t>
      </w:r>
      <w:hyperlink r:id="rId12928">
        <w:r>
          <w:rPr>
            <w:color w:val="0000EE"/>
            <w:u w:val="single"/>
          </w:rPr>
          <w:t>Lv 6.8–7.38</w:t>
        </w:r>
      </w:hyperlink>
      <w:r>
        <w:t>) enfatiza os detalhes administrativos para as várias ofertas. Esta seção consiste em uma série de “instruções” para cada tipo de oferta referente à distribuição dos materiais sacrificiais. Alguns iam para o(s) sacerdote(s), alguns iam para o ofertante, e outros eram queimados no altar ou descartados fora do acampamento. Aqueles sacrifícios designados como “santíssimos” deviam ser consumidos apenas por membros qualificados do sacerdócio (</w:t>
      </w:r>
      <w:hyperlink r:id="rId15620">
        <w:r>
          <w:rPr>
            <w:color w:val="0000EE"/>
            <w:u w:val="single"/>
          </w:rPr>
          <w:t>Lv 2.3,10</w:t>
        </w:r>
      </w:hyperlink>
      <w:r>
        <w:t xml:space="preserve">; </w:t>
      </w:r>
      <w:hyperlink r:id="rId15621">
        <w:r>
          <w:rPr>
            <w:color w:val="0000EE"/>
            <w:u w:val="single"/>
          </w:rPr>
          <w:t>10.12–17</w:t>
        </w:r>
      </w:hyperlink>
      <w:r>
        <w:t xml:space="preserve">; </w:t>
      </w:r>
      <w:hyperlink r:id="rId15622">
        <w:r>
          <w:rPr>
            <w:color w:val="0000EE"/>
            <w:u w:val="single"/>
          </w:rPr>
          <w:t>14.13</w:t>
        </w:r>
      </w:hyperlink>
      <w:r>
        <w:t xml:space="preserve">; </w:t>
      </w:r>
      <w:hyperlink r:id="rId15623">
        <w:r>
          <w:rPr>
            <w:color w:val="0000EE"/>
            <w:u w:val="single"/>
          </w:rPr>
          <w:t>Nm 18.9</w:t>
        </w:r>
      </w:hyperlink>
      <w:r>
        <w:t>).</w:t>
      </w:r>
    </w:p>
    <w:p>
      <w:r/>
      <w:r>
        <w:t>A oferta queimada é tratada primeiro porque era totalmente consumida no altar (e, portanto, não era comida por ninguém). Depois dela, seguem-se os sacrifícios distribuídos aos oficiais (</w:t>
      </w:r>
      <w:hyperlink r:id="rId15624">
        <w:r>
          <w:rPr>
            <w:color w:val="0000EE"/>
            <w:u w:val="single"/>
          </w:rPr>
          <w:t>Lv 6.17,26,29</w:t>
        </w:r>
      </w:hyperlink>
      <w:r>
        <w:t xml:space="preserve">; </w:t>
      </w:r>
      <w:hyperlink r:id="rId15625">
        <w:r>
          <w:rPr>
            <w:color w:val="0000EE"/>
            <w:u w:val="single"/>
          </w:rPr>
          <w:t>7.1,6</w:t>
        </w:r>
      </w:hyperlink>
      <w:r>
        <w:t>), e no final vêm as ofertas pacíficas, uma parte significativa das quais era devolvida ao ofertante.</w:t>
      </w:r>
    </w:p>
    <w:p>
      <w:r/>
      <w:r>
        <w:t>A ordem em que os sacrifícios são tratados nesta passagem também corresponde à sua frequência relativa nos rituais do calendário sagrado (</w:t>
      </w:r>
      <w:hyperlink r:id="rId1537">
        <w:r>
          <w:rPr>
            <w:color w:val="0000EE"/>
            <w:u w:val="single"/>
          </w:rPr>
          <w:t>Nm 28.19</w:t>
        </w:r>
      </w:hyperlink>
      <w:r>
        <w:t xml:space="preserve">; </w:t>
      </w:r>
      <w:hyperlink r:id="rId15626">
        <w:r>
          <w:rPr>
            <w:color w:val="0000EE"/>
            <w:u w:val="single"/>
          </w:rPr>
          <w:t>2Cr 31.3</w:t>
        </w:r>
      </w:hyperlink>
      <w:r>
        <w:t xml:space="preserve">; </w:t>
      </w:r>
      <w:hyperlink r:id="rId9251">
        <w:r>
          <w:rPr>
            <w:color w:val="0000EE"/>
            <w:u w:val="single"/>
          </w:rPr>
          <w:t>Ez 45.17</w:t>
        </w:r>
      </w:hyperlink>
      <w:r>
        <w:t>). Isso seria particularmente importante para os sacerdotes e levitas de plantão no templo, pois eram responsáveis pela logística do ritual sacrificial diário, especialmente nos dias sagrados importantes; a gestão do armazém do templo era uma tarefa formidável (</w:t>
      </w:r>
      <w:hyperlink r:id="rId15627">
        <w:r>
          <w:rPr>
            <w:color w:val="0000EE"/>
            <w:u w:val="single"/>
          </w:rPr>
          <w:t>1Cr 23.28–32</w:t>
        </w:r>
      </w:hyperlink>
      <w:r>
        <w:t xml:space="preserve">; </w:t>
      </w:r>
      <w:hyperlink r:id="rId15628">
        <w:r>
          <w:rPr>
            <w:color w:val="0000EE"/>
            <w:u w:val="single"/>
          </w:rPr>
          <w:t>26.15,20–22</w:t>
        </w:r>
      </w:hyperlink>
      <w:r>
        <w:t xml:space="preserve">; </w:t>
      </w:r>
      <w:hyperlink r:id="rId15629">
        <w:r>
          <w:rPr>
            <w:color w:val="0000EE"/>
            <w:u w:val="single"/>
          </w:rPr>
          <w:t>2Cr 13.10–11</w:t>
        </w:r>
      </w:hyperlink>
      <w:r>
        <w:t xml:space="preserve">; </w:t>
      </w:r>
      <w:hyperlink r:id="rId15630">
        <w:r>
          <w:rPr>
            <w:color w:val="0000EE"/>
            <w:u w:val="single"/>
          </w:rPr>
          <w:t>30.3–19</w:t>
        </w:r>
      </w:hyperlink>
      <w:r>
        <w:t xml:space="preserve">; </w:t>
      </w:r>
      <w:hyperlink r:id="rId15631">
        <w:r>
          <w:rPr>
            <w:color w:val="0000EE"/>
            <w:u w:val="single"/>
          </w:rPr>
          <w:t>34.9–11</w:t>
        </w:r>
      </w:hyperlink>
      <w:r>
        <w:t>).</w:t>
      </w:r>
    </w:p>
    <w:p>
      <w:r/>
      <w:r>
        <w:t>Cada seção referente a uma oferta específica conclui com os detalhes logísticos ou administrativos peculiares a ela. Em seguida, há um resumo dos assuntos tratados até então (</w:t>
      </w:r>
      <w:hyperlink r:id="rId15632">
        <w:r>
          <w:rPr>
            <w:color w:val="0000EE"/>
            <w:u w:val="single"/>
          </w:rPr>
          <w:t>Lv 7.7–10</w:t>
        </w:r>
      </w:hyperlink>
      <w:r>
        <w:t xml:space="preserve">), e a seção conclui com um tratamento das ofertas de paz (vv. </w:t>
      </w:r>
      <w:hyperlink r:id="rId15633">
        <w:r>
          <w:rPr>
            <w:color w:val="0000EE"/>
            <w:u w:val="single"/>
          </w:rPr>
          <w:t>11–36</w:t>
        </w:r>
      </w:hyperlink>
      <w:r>
        <w:t>). Estas últimas não desempenhavam um papel no calendário sagrado, exceto durante a Festa das Semanas (</w:t>
      </w:r>
      <w:hyperlink r:id="rId15634">
        <w:r>
          <w:rPr>
            <w:color w:val="0000EE"/>
            <w:u w:val="single"/>
          </w:rPr>
          <w:t>23.19–20</w:t>
        </w:r>
      </w:hyperlink>
      <w:r>
        <w:t>); em todas as outras ocasiões, com as duas exceções do voto de nazireu e a instalação do sacerdócio, as ofertas de paz eram sacrifícios puramente voluntários e, portanto, não estavam sujeitas a qualquer contabilidade fixa.</w:t>
      </w:r>
    </w:p>
    <w:p>
      <w:r/>
      <w:r>
        <w:t>Em outros contextos bíblicos, os sacrifícios são listados de acordo com a mesma ordem de “contabilidade” ou “administrativa”: holocausto, cereal e libação; pecado (ou culpa); e, às vezes, ofertas de paz. Um exemplo é a lista de doações feitas pelos líderes tribais para a dedicação do altar (</w:t>
      </w:r>
      <w:hyperlink r:id="rId1534">
        <w:r>
          <w:rPr>
            <w:color w:val="0000EE"/>
            <w:u w:val="single"/>
          </w:rPr>
          <w:t>Nm 7</w:t>
        </w:r>
      </w:hyperlink>
      <w:r>
        <w:t xml:space="preserve">). A informação é organizada como um livro-caixa cotidiano do armazém do templo; o resumo classifica os animais como ofertas de holocausto, cereal, pecado e paz (vv. </w:t>
      </w:r>
      <w:hyperlink r:id="rId15635">
        <w:r>
          <w:rPr>
            <w:color w:val="0000EE"/>
            <w:u w:val="single"/>
          </w:rPr>
          <w:t>87–88</w:t>
        </w:r>
      </w:hyperlink>
      <w:r>
        <w:t xml:space="preserve">) de acordo com as respectivas entradas de cada doador (vv. </w:t>
      </w:r>
      <w:hyperlink r:id="rId15636">
        <w:r>
          <w:rPr>
            <w:color w:val="0000EE"/>
            <w:u w:val="single"/>
          </w:rPr>
          <w:t>15–17</w:t>
        </w:r>
      </w:hyperlink>
      <w:r>
        <w:t>). O escriba levítico tinha dois propósitos para tal registro: creditar os ofertantes e registrar os tesouros e suprimentos alimentares que chegavam. Muitos dos alimentos dados como ofertas eram, na verdade, destinados aos sacerdotes oficiantes (</w:t>
      </w:r>
      <w:hyperlink r:id="rId15637">
        <w:r>
          <w:rPr>
            <w:color w:val="0000EE"/>
            <w:u w:val="single"/>
          </w:rPr>
          <w:t>Nm 18.8–11</w:t>
        </w:r>
      </w:hyperlink>
      <w:r>
        <w:t xml:space="preserve">; </w:t>
      </w:r>
      <w:hyperlink r:id="rId15638">
        <w:r>
          <w:rPr>
            <w:color w:val="0000EE"/>
            <w:u w:val="single"/>
          </w:rPr>
          <w:t>2Cr 31.4–19</w:t>
        </w:r>
      </w:hyperlink>
      <w:r>
        <w:t>).</w:t>
      </w:r>
    </w:p>
    <w:p>
      <w:r/>
      <w:r>
        <w:t xml:space="preserve">Quando eram feitas prescrições sobre o tipo e número de ofertas a serem trazidas (e.g., </w:t>
      </w:r>
      <w:hyperlink r:id="rId15639">
        <w:r>
          <w:rPr>
            <w:color w:val="0000EE"/>
            <w:u w:val="single"/>
          </w:rPr>
          <w:t>Nm 15.24</w:t>
        </w:r>
      </w:hyperlink>
      <w:r>
        <w:t>), a ordem de “contabilidade” geralmente era seguida. Isso era verdade para os sacrifícios calendários; ofertas queimadas, de cereais e libações eram listadas, seguidas por uma oferta pelo pecado para cada um dos seguintes: Lua Nova (</w:t>
      </w:r>
      <w:hyperlink r:id="rId514">
        <w:r>
          <w:rPr>
            <w:color w:val="0000EE"/>
            <w:u w:val="single"/>
          </w:rPr>
          <w:t>Nm 28.11–15</w:t>
        </w:r>
      </w:hyperlink>
      <w:r>
        <w:t xml:space="preserve">), cada dia da Páscoa (vv. </w:t>
      </w:r>
      <w:hyperlink r:id="rId15640">
        <w:r>
          <w:rPr>
            <w:color w:val="0000EE"/>
            <w:u w:val="single"/>
          </w:rPr>
          <w:t>19–22</w:t>
        </w:r>
      </w:hyperlink>
      <w:r>
        <w:t>), o Festival das Semanas (</w:t>
      </w:r>
      <w:hyperlink r:id="rId15641">
        <w:r>
          <w:rPr>
            <w:color w:val="0000EE"/>
            <w:u w:val="single"/>
          </w:rPr>
          <w:t>Lv 23.18–19</w:t>
        </w:r>
      </w:hyperlink>
      <w:r>
        <w:t xml:space="preserve">; </w:t>
      </w:r>
      <w:hyperlink r:id="rId15642">
        <w:r>
          <w:rPr>
            <w:color w:val="0000EE"/>
            <w:u w:val="single"/>
          </w:rPr>
          <w:t>Nm 28.27–30</w:t>
        </w:r>
      </w:hyperlink>
      <w:r>
        <w:t>), Trombetas (</w:t>
      </w:r>
      <w:hyperlink r:id="rId15643">
        <w:r>
          <w:rPr>
            <w:color w:val="0000EE"/>
            <w:u w:val="single"/>
          </w:rPr>
          <w:t>29.2–5</w:t>
        </w:r>
      </w:hyperlink>
      <w:r>
        <w:t xml:space="preserve">), Dia da Expiação (vv. </w:t>
      </w:r>
      <w:hyperlink r:id="rId15644">
        <w:r>
          <w:rPr>
            <w:color w:val="0000EE"/>
            <w:u w:val="single"/>
          </w:rPr>
          <w:t>8–11</w:t>
        </w:r>
      </w:hyperlink>
      <w:r>
        <w:t xml:space="preserve">), e cada dia da Festa dos Tabernáculos (vv. </w:t>
      </w:r>
      <w:hyperlink r:id="rId15645">
        <w:r>
          <w:rPr>
            <w:color w:val="0000EE"/>
            <w:u w:val="single"/>
          </w:rPr>
          <w:t>12–16</w:t>
        </w:r>
      </w:hyperlink>
      <w:r>
        <w:t>).</w:t>
      </w:r>
    </w:p>
    <w:p>
      <w:r/>
      <w:r>
        <w:t xml:space="preserve">Para sacrifícios exigidos em casos específicos, as instruções sobre quais ofertas trazer seguem esta sequência (por exemplo, a purificação de uma mulher após o parto, </w:t>
      </w:r>
      <w:hyperlink r:id="rId15646">
        <w:r>
          <w:rPr>
            <w:color w:val="0000EE"/>
            <w:u w:val="single"/>
          </w:rPr>
          <w:t>Lv 12.6–8</w:t>
        </w:r>
      </w:hyperlink>
      <w:r>
        <w:t xml:space="preserve">). Note também as ofertas dadas na conclusão bem-sucedida de um voto de nazireu; o nazireu trazia ofertas queimadas, de pecado e de paz (com algumas ofertas de cereais especiais, </w:t>
      </w:r>
      <w:hyperlink r:id="rId15647">
        <w:r>
          <w:rPr>
            <w:color w:val="0000EE"/>
            <w:u w:val="single"/>
          </w:rPr>
          <w:t>Nm 6.14–15</w:t>
        </w:r>
      </w:hyperlink>
      <w:r>
        <w:t xml:space="preserve">). No entanto, o sacerdote realizava o ritual real de acordo com uma ordem diferente; a oferta pelo pecado era feita primeiro, seguida pela oferta queimada e, finalmente, a oferta de paz (vv. </w:t>
      </w:r>
      <w:hyperlink r:id="rId15648">
        <w:r>
          <w:rPr>
            <w:color w:val="0000EE"/>
            <w:u w:val="single"/>
          </w:rPr>
          <w:t>16–17</w:t>
        </w:r>
      </w:hyperlink>
      <w:r>
        <w:t xml:space="preserve">). No caso de um voto incompleto, o primeiro passo era oferecer uma oferta pelo pecado e depois uma oferta queimada para renovar o voto (v. </w:t>
      </w:r>
      <w:hyperlink r:id="rId15649">
        <w:r>
          <w:rPr>
            <w:color w:val="0000EE"/>
            <w:u w:val="single"/>
          </w:rPr>
          <w:t>11</w:t>
        </w:r>
      </w:hyperlink>
      <w:r>
        <w:t xml:space="preserve">). A reconsagração do nazireu exigia uma oferta de culpa separada — um ato ritual distinto (v. </w:t>
      </w:r>
      <w:hyperlink r:id="rId15650">
        <w:r>
          <w:rPr>
            <w:color w:val="0000EE"/>
            <w:u w:val="single"/>
          </w:rPr>
          <w:t>12</w:t>
        </w:r>
      </w:hyperlink>
      <w:r>
        <w:t>).</w:t>
      </w:r>
    </w:p>
    <w:p>
      <w:r/>
      <w:r>
        <w:t>A descrição das ofertas feitas pelo príncipe de Israel nos últimos dias apresenta o mesmo contraste entre as duas ordens de sacrifícios. Nos feriados festivos, o príncipe trazia ofertas queimadas, de cereais e de bebida, mas ele as oferecia como ofertas pelo pecado, de cereais, queimadas e de paz (</w:t>
      </w:r>
      <w:hyperlink r:id="rId9251">
        <w:r>
          <w:rPr>
            <w:color w:val="0000EE"/>
            <w:u w:val="single"/>
          </w:rPr>
          <w:t>Ez 45.17</w:t>
        </w:r>
      </w:hyperlink>
      <w:r>
        <w:t>). Esta segunda ordem de sacrifícios, na qual a oferta pelo pecado precede a oferta queimada, também foi seguida na rededicação do altar (</w:t>
      </w:r>
      <w:hyperlink r:id="rId15651">
        <w:r>
          <w:rPr>
            <w:color w:val="0000EE"/>
            <w:u w:val="single"/>
          </w:rPr>
          <w:t>43.18–27</w:t>
        </w:r>
      </w:hyperlink>
      <w:r>
        <w:t>).</w:t>
      </w:r>
    </w:p>
    <w:p>
      <w:r/>
      <w:r>
        <w:t>A mesma sequência "procedimental" de sacrifícios aparece em outras situações: a purificação do leproso — ofertas de culpa e pecado (</w:t>
      </w:r>
      <w:hyperlink r:id="rId15652">
        <w:r>
          <w:rPr>
            <w:color w:val="0000EE"/>
            <w:u w:val="single"/>
          </w:rPr>
          <w:t>Lv 14.19</w:t>
        </w:r>
      </w:hyperlink>
      <w:r>
        <w:t xml:space="preserve">), seguida por uma oferta queimada (vv </w:t>
      </w:r>
      <w:hyperlink r:id="rId15653">
        <w:r>
          <w:rPr>
            <w:color w:val="0000EE"/>
            <w:u w:val="single"/>
          </w:rPr>
          <w:t>12–20</w:t>
        </w:r>
      </w:hyperlink>
      <w:r>
        <w:t>); o homem com uma secreção — ofertas de pecado e queimadas (</w:t>
      </w:r>
      <w:hyperlink r:id="rId15654">
        <w:r>
          <w:rPr>
            <w:color w:val="0000EE"/>
            <w:u w:val="single"/>
          </w:rPr>
          <w:t>15.15</w:t>
        </w:r>
      </w:hyperlink>
      <w:r>
        <w:t xml:space="preserve">); da mesma forma, a mulher com uma secreção (v </w:t>
      </w:r>
      <w:hyperlink r:id="rId15655">
        <w:r>
          <w:rPr>
            <w:color w:val="0000EE"/>
            <w:u w:val="single"/>
          </w:rPr>
          <w:t>30</w:t>
        </w:r>
      </w:hyperlink>
      <w:r>
        <w:t>). A mesma ordem é seguida para os sacrifícios no Dia da Expiação (</w:t>
      </w:r>
      <w:hyperlink r:id="rId15656">
        <w:r>
          <w:rPr>
            <w:color w:val="0000EE"/>
            <w:u w:val="single"/>
          </w:rPr>
          <w:t>16.3–6,11,15,24</w:t>
        </w:r>
      </w:hyperlink>
      <w:r>
        <w:t>).</w:t>
      </w:r>
    </w:p>
    <w:p>
      <w:r/>
      <w:r>
        <w:t>O livro de Levítico fornece dois exemplos da ordem correta em que os sacrifícios eram oferecidos. Um é a ordenação de Arão e seus filhos. A oferta pelo pecado veio primeiro e depois a oferta queimada (</w:t>
      </w:r>
      <w:hyperlink r:id="rId15657">
        <w:r>
          <w:rPr>
            <w:color w:val="0000EE"/>
            <w:u w:val="single"/>
          </w:rPr>
          <w:t>Êx 29.10–18</w:t>
        </w:r>
      </w:hyperlink>
      <w:r>
        <w:t xml:space="preserve">; </w:t>
      </w:r>
      <w:hyperlink r:id="rId15658">
        <w:r>
          <w:rPr>
            <w:color w:val="0000EE"/>
            <w:u w:val="single"/>
          </w:rPr>
          <w:t>Lv 8.14–21</w:t>
        </w:r>
      </w:hyperlink>
      <w:r>
        <w:t>). O ponto focal neste ritual foi o sacrifício de ordenação, ou literalmente "instalação", uma forma especial de oferta de paz (</w:t>
      </w:r>
      <w:hyperlink r:id="rId15659">
        <w:r>
          <w:rPr>
            <w:color w:val="0000EE"/>
            <w:u w:val="single"/>
          </w:rPr>
          <w:t>Êx 29.19–34</w:t>
        </w:r>
      </w:hyperlink>
      <w:r>
        <w:t xml:space="preserve">; </w:t>
      </w:r>
      <w:hyperlink r:id="rId15660">
        <w:r>
          <w:rPr>
            <w:color w:val="0000EE"/>
            <w:u w:val="single"/>
          </w:rPr>
          <w:t>Lv 8.22–29</w:t>
        </w:r>
      </w:hyperlink>
      <w:r>
        <w:t>). O segundo exemplo é a inauguração formal do sistema sacrificial no tabernáculo (</w:t>
      </w:r>
      <w:hyperlink r:id="rId12931">
        <w:r>
          <w:rPr>
            <w:color w:val="0000EE"/>
            <w:u w:val="single"/>
          </w:rPr>
          <w:t>Lv 9</w:t>
        </w:r>
      </w:hyperlink>
      <w:r>
        <w:t>). Os sacrifícios para Arão foram ofertas pelo pecado e queimadas, seguidos pelos do povo: ofertas pelo pecado, queimadas, de cereais e de paz (</w:t>
      </w:r>
      <w:hyperlink r:id="rId15661">
        <w:r>
          <w:rPr>
            <w:color w:val="0000EE"/>
            <w:u w:val="single"/>
          </w:rPr>
          <w:t>9.7–22</w:t>
        </w:r>
      </w:hyperlink>
      <w:r>
        <w:t>).</w:t>
      </w:r>
    </w:p>
    <w:p>
      <w:r/>
      <w:r>
        <w:t>A mesma sequência foi seguida na purificação e restauração do templo em Jerusalém conduzida pelo Rei Ezequias (</w:t>
      </w:r>
      <w:hyperlink r:id="rId15662">
        <w:r>
          <w:rPr>
            <w:color w:val="0000EE"/>
            <w:u w:val="single"/>
          </w:rPr>
          <w:t>2Cr 29.20–36</w:t>
        </w:r>
      </w:hyperlink>
      <w:r>
        <w:t>). Primeiro, foi feita uma grande oferta pelo pecado, seguida pelas ofertas queimadas acompanhadas por música e canto. Então, o rei proclamou que o povo havia se comprometido com o Senhor; neste novo estado de pureza, eles agora poderiam participar dos sacrifícios de devoção (ofertas queimadas) e ação de graças (ofertas pacíficas).</w:t>
      </w:r>
    </w:p>
    <w:p>
      <w:r/>
      <w:r>
        <w:t xml:space="preserve">A ordem processual dos sacrifícios incorpora a ideologia do AT sobre como Deus pode ser abordado. Primeiro, a expiação pelo pecado precisava ser feita e, em seguida, a consagração total de si mesmo; estes são simbolizados pelas ofertas pelo pecado e/ou culpa e pelas ofertas queimadas e de cereais, respectivamente. Quando essas condições eram atendidas, o ofertante podia expressar sua devoção contínua por mais ofertas queimadas e também participar dos sacrifícios de comunhão (ofertas de paz) nos quais ele próprio recebia uma grande porção do animal abatido (para compartilhar com seus amigos e os pobres em sua comunidade; </w:t>
      </w:r>
      <w:hyperlink r:id="rId15663">
        <w:r>
          <w:rPr>
            <w:color w:val="0000EE"/>
            <w:u w:val="single"/>
          </w:rPr>
          <w:t>Dt 12.17–19</w:t>
        </w:r>
      </w:hyperlink>
      <w:r>
        <w:t>).</w:t>
      </w:r>
    </w:p>
    <w:p>
      <w:pPr>
        <w:pStyle w:val="Heading3"/>
      </w:pPr>
      <w:r>
        <w:t>Descrição dos sacrifícios</w:t>
      </w:r>
    </w:p>
    <w:p>
      <w:r/>
      <w:r>
        <w:t>A descrição a seguir dos diferentes tipos de sacrifício os abordará de acordo com a ordem "procedimental", ou seja, como etapas simbólicas na aproximação a Deus.</w:t>
      </w:r>
    </w:p>
    <w:p>
      <w:pPr>
        <w:pStyle w:val="Heading4"/>
      </w:pPr>
      <w:r>
        <w:t>Expiação</w:t>
      </w:r>
    </w:p>
    <w:p>
      <w:r/>
      <w:r>
        <w:t>Essas duas ofertas eram necessárias para expiar os pecados e transgressões:</w:t>
      </w:r>
    </w:p>
    <w:p>
      <w:r/>
      <w:r>
        <w:t>1. Oferta pelo pecado (</w:t>
      </w:r>
      <w:hyperlink r:id="rId15610">
        <w:r>
          <w:rPr>
            <w:color w:val="0000EE"/>
            <w:u w:val="single"/>
          </w:rPr>
          <w:t>Lv 4.1–5.13</w:t>
        </w:r>
      </w:hyperlink>
      <w:r>
        <w:t xml:space="preserve">; </w:t>
      </w:r>
      <w:hyperlink r:id="rId15664">
        <w:r>
          <w:rPr>
            <w:color w:val="0000EE"/>
            <w:u w:val="single"/>
          </w:rPr>
          <w:t>6.24–30</w:t>
        </w:r>
      </w:hyperlink>
      <w:r>
        <w:t>). Animais diferentes eram especificados de acordo com o status do ofertante. Um sumo sacerdote tinha que trazer um novilho jovem (</w:t>
      </w:r>
      <w:hyperlink r:id="rId6649">
        <w:r>
          <w:rPr>
            <w:color w:val="0000EE"/>
            <w:u w:val="single"/>
          </w:rPr>
          <w:t>4.3</w:t>
        </w:r>
      </w:hyperlink>
      <w:r>
        <w:t xml:space="preserve">), assim como a congregação como um todo (v </w:t>
      </w:r>
      <w:hyperlink r:id="rId15665">
        <w:r>
          <w:rPr>
            <w:color w:val="0000EE"/>
            <w:u w:val="single"/>
          </w:rPr>
          <w:t>14</w:t>
        </w:r>
      </w:hyperlink>
      <w:r>
        <w:t>), exceto quando a questão era uma infração ritual (</w:t>
      </w:r>
      <w:hyperlink r:id="rId15639">
        <w:r>
          <w:rPr>
            <w:color w:val="0000EE"/>
            <w:u w:val="single"/>
          </w:rPr>
          <w:t>Nm 15.24</w:t>
        </w:r>
      </w:hyperlink>
      <w:r>
        <w:t>). Um governante traria um bode macho (</w:t>
      </w:r>
      <w:hyperlink r:id="rId15666">
        <w:r>
          <w:rPr>
            <w:color w:val="0000EE"/>
            <w:u w:val="single"/>
          </w:rPr>
          <w:t>Lv 4.23</w:t>
        </w:r>
      </w:hyperlink>
      <w:r>
        <w:t xml:space="preserve">), mas um plebeu poderia oferecer uma cabra fêmea (v. </w:t>
      </w:r>
      <w:hyperlink r:id="rId15667">
        <w:r>
          <w:rPr>
            <w:color w:val="0000EE"/>
            <w:u w:val="single"/>
          </w:rPr>
          <w:t>28</w:t>
        </w:r>
      </w:hyperlink>
      <w:r>
        <w:t xml:space="preserve">; </w:t>
      </w:r>
      <w:hyperlink r:id="rId15668">
        <w:r>
          <w:rPr>
            <w:color w:val="0000EE"/>
            <w:u w:val="single"/>
          </w:rPr>
          <w:t>Nm 15.27</w:t>
        </w:r>
      </w:hyperlink>
      <w:r>
        <w:t>) ou um cordeiro (</w:t>
      </w:r>
      <w:hyperlink r:id="rId15669">
        <w:r>
          <w:rPr>
            <w:color w:val="0000EE"/>
            <w:u w:val="single"/>
          </w:rPr>
          <w:t>Lv 4.32</w:t>
        </w:r>
      </w:hyperlink>
      <w:r>
        <w:t xml:space="preserve">). Se ele fosse indigente, poderia oferecer duas rolas ou dois pombos jovens (um dos quais seria uma oferta queimada; </w:t>
      </w:r>
      <w:hyperlink r:id="rId15670">
        <w:r>
          <w:rPr>
            <w:color w:val="0000EE"/>
            <w:u w:val="single"/>
          </w:rPr>
          <w:t>5.7</w:t>
        </w:r>
      </w:hyperlink>
      <w:r>
        <w:t>), ou se fosse extremamente pobre, poderia até substituir por um décimo de um Efá de farinha fina (</w:t>
      </w:r>
      <w:hyperlink r:id="rId15671">
        <w:r>
          <w:rPr>
            <w:color w:val="0000EE"/>
            <w:u w:val="single"/>
          </w:rPr>
          <w:t>Lv 5.11–13</w:t>
        </w:r>
      </w:hyperlink>
      <w:r>
        <w:t xml:space="preserve">; cf. </w:t>
      </w:r>
      <w:hyperlink r:id="rId8860">
        <w:r>
          <w:rPr>
            <w:color w:val="0000EE"/>
            <w:u w:val="single"/>
          </w:rPr>
          <w:t>Hb 9.22</w:t>
        </w:r>
      </w:hyperlink>
      <w:r>
        <w:t>).</w:t>
      </w:r>
    </w:p>
    <w:p>
      <w:r/>
      <w:r>
        <w:t>O ofertante trazia o animal até a entrada do pátio do templo e colocava sua mão sobre ele (</w:t>
      </w:r>
      <w:hyperlink r:id="rId15672">
        <w:r>
          <w:rPr>
            <w:color w:val="0000EE"/>
            <w:u w:val="single"/>
          </w:rPr>
          <w:t>Lv 4.4</w:t>
        </w:r>
      </w:hyperlink>
      <w:r>
        <w:t xml:space="preserve">). Ele não confessava seu pecado nesse ato porque o animal não estava sendo enviado embora (cf. o bode para Azazel, </w:t>
      </w:r>
      <w:hyperlink r:id="rId5372">
        <w:r>
          <w:rPr>
            <w:color w:val="0000EE"/>
            <w:u w:val="single"/>
          </w:rPr>
          <w:t>16.21</w:t>
        </w:r>
      </w:hyperlink>
      <w:r>
        <w:t>); ao invés disso, ele estava se identificando com o sacrifício. O ofertante tinha que matar o animal no lado norte do altar (</w:t>
      </w:r>
      <w:hyperlink r:id="rId15673">
        <w:r>
          <w:rPr>
            <w:color w:val="0000EE"/>
            <w:u w:val="single"/>
          </w:rPr>
          <w:t>4.24,29</w:t>
        </w:r>
      </w:hyperlink>
      <w:r>
        <w:t xml:space="preserve">). Os animais nunca eram abatidos no próprio altar. O sacerdote oficiante coletava o sangue; quando era um touro para si mesmo ou para a congregação, ele aspergia um pouco do sangue diante do véu dentro da tenda da congregação e colocava um pouco nos chifres do altar de incenso (vv. </w:t>
      </w:r>
      <w:hyperlink r:id="rId15674">
        <w:r>
          <w:rPr>
            <w:color w:val="0000EE"/>
            <w:u w:val="single"/>
          </w:rPr>
          <w:t>5–7</w:t>
        </w:r>
      </w:hyperlink>
      <w:r>
        <w:t>,</w:t>
      </w:r>
      <w:hyperlink r:id="rId15675">
        <w:r>
          <w:rPr>
            <w:color w:val="0000EE"/>
            <w:u w:val="single"/>
          </w:rPr>
          <w:t>16–18</w:t>
        </w:r>
      </w:hyperlink>
      <w:r>
        <w:t>). No Dia da Expiação, ele trazia o sangue sacrificial para si mesmo e para o povo no Santo dos Santos (</w:t>
      </w:r>
      <w:hyperlink r:id="rId15676">
        <w:r>
          <w:rPr>
            <w:color w:val="0000EE"/>
            <w:u w:val="single"/>
          </w:rPr>
          <w:t>16.14–15</w:t>
        </w:r>
      </w:hyperlink>
      <w:r>
        <w:t>). De todos os outros animais, o sangue era aplicado nos chifres do altar do holocausto (</w:t>
      </w:r>
      <w:hyperlink r:id="rId15677">
        <w:r>
          <w:rPr>
            <w:color w:val="0000EE"/>
            <w:u w:val="single"/>
          </w:rPr>
          <w:t>4.25,30,34</w:t>
        </w:r>
      </w:hyperlink>
      <w:r>
        <w:t>); o sangue das aves era aspergido no lado do altar (</w:t>
      </w:r>
      <w:hyperlink r:id="rId15678">
        <w:r>
          <w:rPr>
            <w:color w:val="0000EE"/>
            <w:u w:val="single"/>
          </w:rPr>
          <w:t>5.9</w:t>
        </w:r>
      </w:hyperlink>
      <w:r>
        <w:t>). Finalmente, o sangue restante de qualquer oferta era derramado ou escoado na base do altar (</w:t>
      </w:r>
      <w:hyperlink r:id="rId10976">
        <w:r>
          <w:rPr>
            <w:color w:val="0000EE"/>
            <w:u w:val="single"/>
          </w:rPr>
          <w:t>4.7</w:t>
        </w:r>
      </w:hyperlink>
      <w:r>
        <w:t>).</w:t>
      </w:r>
    </w:p>
    <w:p>
      <w:r/>
      <w:r>
        <w:t>Os órgãos internos mais escolhidos, ou seja, o tecido adiposo sobre e nos intestinos, os dois rins e sua gordura, e o apêndice do fígado, eram todos oferecidos ao Senhor no altar (</w:t>
      </w:r>
      <w:hyperlink r:id="rId15679">
        <w:r>
          <w:rPr>
            <w:color w:val="0000EE"/>
            <w:u w:val="single"/>
          </w:rPr>
          <w:t>Lv 4.8–10</w:t>
        </w:r>
      </w:hyperlink>
      <w:r>
        <w:t>). A carcaça e os outras entranhas eram queimados fora do acampamento quando se tratava de um touro para o sacerdote ou para o povo. Isso também era verdade para o touro usado na ordenação dos sacerdotes (</w:t>
      </w:r>
      <w:hyperlink r:id="rId15680">
        <w:r>
          <w:rPr>
            <w:color w:val="0000EE"/>
            <w:u w:val="single"/>
          </w:rPr>
          <w:t>Êx 29.10–14</w:t>
        </w:r>
      </w:hyperlink>
      <w:r>
        <w:t xml:space="preserve">; </w:t>
      </w:r>
      <w:hyperlink r:id="rId15681">
        <w:r>
          <w:rPr>
            <w:color w:val="0000EE"/>
            <w:u w:val="single"/>
          </w:rPr>
          <w:t>Lv 8.14–17</w:t>
        </w:r>
      </w:hyperlink>
      <w:r>
        <w:t>). Caso contrário, o sacerdote que conduzia os ritos recebia a carne comestível como sua porção. Ele tinha que comê-la dentro da área do templo, e sua preparação era regida por regras estritas de pureza ritual (</w:t>
      </w:r>
      <w:hyperlink r:id="rId15682">
        <w:r>
          <w:rPr>
            <w:color w:val="0000EE"/>
            <w:u w:val="single"/>
          </w:rPr>
          <w:t>Lv 6.25–30</w:t>
        </w:r>
      </w:hyperlink>
      <w:r>
        <w:t xml:space="preserve">; cf. </w:t>
      </w:r>
      <w:hyperlink r:id="rId15683">
        <w:r>
          <w:rPr>
            <w:color w:val="0000EE"/>
            <w:u w:val="single"/>
          </w:rPr>
          <w:t>10.16–20</w:t>
        </w:r>
      </w:hyperlink>
      <w:r>
        <w:t>). Uma oferta pelo pecado de um bode macho era apresentada em cada um dos feriados sagrados: a Lua Nova (</w:t>
      </w:r>
      <w:hyperlink r:id="rId15684">
        <w:r>
          <w:rPr>
            <w:color w:val="0000EE"/>
            <w:u w:val="single"/>
          </w:rPr>
          <w:t>Nm 28.15</w:t>
        </w:r>
      </w:hyperlink>
      <w:r>
        <w:t xml:space="preserve">), cada dia da Páscoa (vv. </w:t>
      </w:r>
      <w:hyperlink r:id="rId15685">
        <w:r>
          <w:rPr>
            <w:color w:val="0000EE"/>
            <w:u w:val="single"/>
          </w:rPr>
          <w:t>22–24</w:t>
        </w:r>
      </w:hyperlink>
      <w:r>
        <w:t xml:space="preserve">), o Festival das Semanas (v. </w:t>
      </w:r>
      <w:hyperlink r:id="rId15686">
        <w:r>
          <w:rPr>
            <w:color w:val="0000EE"/>
            <w:u w:val="single"/>
          </w:rPr>
          <w:t>30</w:t>
        </w:r>
      </w:hyperlink>
      <w:r>
        <w:t>), o Festival das Trombetas (</w:t>
      </w:r>
      <w:hyperlink r:id="rId15687">
        <w:r>
          <w:rPr>
            <w:color w:val="0000EE"/>
            <w:u w:val="single"/>
          </w:rPr>
          <w:t>29.5</w:t>
        </w:r>
      </w:hyperlink>
      <w:r>
        <w:t xml:space="preserve">), o Dia da Expiação (v. </w:t>
      </w:r>
      <w:hyperlink r:id="rId15688">
        <w:r>
          <w:rPr>
            <w:color w:val="0000EE"/>
            <w:u w:val="single"/>
          </w:rPr>
          <w:t>11</w:t>
        </w:r>
      </w:hyperlink>
      <w:r>
        <w:t xml:space="preserve">), e cada dia da Festa dos Tabernáculos (vv. </w:t>
      </w:r>
      <w:hyperlink r:id="rId15689">
        <w:r>
          <w:rPr>
            <w:color w:val="0000EE"/>
            <w:u w:val="single"/>
          </w:rPr>
          <w:t>16,19</w:t>
        </w:r>
      </w:hyperlink>
      <w:r>
        <w:t>). O sumo sacerdote também oferecia um touro por si mesmo e depois sacrificava um dos dois bodes no Dia da Expiação. Certos ritos de purificação exigiam ofertas pelo pecado menores, a saber, cordeiros ou aves: parto (</w:t>
      </w:r>
      <w:hyperlink r:id="rId15646">
        <w:r>
          <w:rPr>
            <w:color w:val="0000EE"/>
            <w:u w:val="single"/>
          </w:rPr>
          <w:t>Lv 12.6–8</w:t>
        </w:r>
      </w:hyperlink>
      <w:r>
        <w:t>), limpeza da lepra (</w:t>
      </w:r>
      <w:hyperlink r:id="rId15690">
        <w:r>
          <w:rPr>
            <w:color w:val="0000EE"/>
            <w:u w:val="single"/>
          </w:rPr>
          <w:t>14.12–14,19–22</w:t>
        </w:r>
      </w:hyperlink>
      <w:r>
        <w:t>), e abscessos e hemorragias (</w:t>
      </w:r>
      <w:hyperlink r:id="rId15691">
        <w:r>
          <w:rPr>
            <w:color w:val="0000EE"/>
            <w:u w:val="single"/>
          </w:rPr>
          <w:t>15.14–15,29–30</w:t>
        </w:r>
      </w:hyperlink>
      <w:r>
        <w:t>) ou após contaminação enquanto sob um voto (</w:t>
      </w:r>
      <w:hyperlink r:id="rId15692">
        <w:r>
          <w:rPr>
            <w:color w:val="0000EE"/>
            <w:u w:val="single"/>
          </w:rPr>
          <w:t>Nm 6.10–11</w:t>
        </w:r>
      </w:hyperlink>
      <w:r>
        <w:t>).</w:t>
      </w:r>
    </w:p>
    <w:p>
      <w:r/>
      <w:r>
        <w:t>2. Oferta de culpa (</w:t>
      </w:r>
      <w:hyperlink r:id="rId12927">
        <w:r>
          <w:rPr>
            <w:color w:val="0000EE"/>
            <w:u w:val="single"/>
          </w:rPr>
          <w:t>Lv 5.14–6.7</w:t>
        </w:r>
      </w:hyperlink>
      <w:r>
        <w:t xml:space="preserve">; </w:t>
      </w:r>
      <w:hyperlink r:id="rId15693">
        <w:r>
          <w:rPr>
            <w:color w:val="0000EE"/>
            <w:u w:val="single"/>
          </w:rPr>
          <w:t>7.1–7</w:t>
        </w:r>
      </w:hyperlink>
      <w:r>
        <w:t xml:space="preserve">). A oferta de culpa ou transgressão era um tipo especial de oferta pelo pecado (cf. </w:t>
      </w:r>
      <w:hyperlink r:id="rId15670">
        <w:r>
          <w:rPr>
            <w:color w:val="0000EE"/>
            <w:u w:val="single"/>
          </w:rPr>
          <w:t>5.7</w:t>
        </w:r>
      </w:hyperlink>
      <w:r>
        <w:t>) exigida sempre que alguém tivesse sido privado de seu devido direito. Era necessário fazer a reparação do valor que havia sido fraudado, além de uma multa de um quinto (</w:t>
      </w:r>
      <w:hyperlink r:id="rId15694">
        <w:r>
          <w:rPr>
            <w:color w:val="0000EE"/>
            <w:u w:val="single"/>
          </w:rPr>
          <w:t>5.16</w:t>
        </w:r>
      </w:hyperlink>
      <w:r>
        <w:t xml:space="preserve">; </w:t>
      </w:r>
      <w:hyperlink r:id="rId15695">
        <w:r>
          <w:rPr>
            <w:color w:val="0000EE"/>
            <w:u w:val="single"/>
          </w:rPr>
          <w:t>6.5</w:t>
        </w:r>
      </w:hyperlink>
      <w:r>
        <w:t>). O animal era geralmente um carneiro (</w:t>
      </w:r>
      <w:hyperlink r:id="rId15696">
        <w:r>
          <w:rPr>
            <w:color w:val="0000EE"/>
            <w:u w:val="single"/>
          </w:rPr>
          <w:t>5.15,18</w:t>
        </w:r>
      </w:hyperlink>
      <w:r>
        <w:t xml:space="preserve">; </w:t>
      </w:r>
      <w:hyperlink r:id="rId15697">
        <w:r>
          <w:rPr>
            <w:color w:val="0000EE"/>
            <w:u w:val="single"/>
          </w:rPr>
          <w:t>6.6</w:t>
        </w:r>
      </w:hyperlink>
      <w:r>
        <w:t>). O leproso purificado e o nazireu contaminado tinham que trazer um cordeiro macho (</w:t>
      </w:r>
      <w:hyperlink r:id="rId15698">
        <w:r>
          <w:rPr>
            <w:color w:val="0000EE"/>
            <w:u w:val="single"/>
          </w:rPr>
          <w:t>Lv 14.12,21</w:t>
        </w:r>
      </w:hyperlink>
      <w:r>
        <w:t xml:space="preserve">; </w:t>
      </w:r>
      <w:hyperlink r:id="rId15650">
        <w:r>
          <w:rPr>
            <w:color w:val="0000EE"/>
            <w:u w:val="single"/>
          </w:rPr>
          <w:t>Nm 6.12</w:t>
        </w:r>
      </w:hyperlink>
      <w:r>
        <w:t>). O ofertante aparentemente lidava com o sacrifício como faria com uma oferta pelo pecado, mas o sacerdote tinha que aspergir o sangue ao redor do altar (</w:t>
      </w:r>
      <w:hyperlink r:id="rId15699">
        <w:r>
          <w:rPr>
            <w:color w:val="0000EE"/>
            <w:u w:val="single"/>
          </w:rPr>
          <w:t>Lv 7.2</w:t>
        </w:r>
      </w:hyperlink>
      <w:r>
        <w:t xml:space="preserve">). As vísceras eram queimadas no altar como de costume (vv </w:t>
      </w:r>
      <w:hyperlink r:id="rId15700">
        <w:r>
          <w:rPr>
            <w:color w:val="0000EE"/>
            <w:u w:val="single"/>
          </w:rPr>
          <w:t>3–5</w:t>
        </w:r>
      </w:hyperlink>
      <w:r>
        <w:t>). Parte do sangue era então aplicada na ponta da orelha direita do leproso purificado e no polegar e dedão do pé direito (</w:t>
      </w:r>
      <w:hyperlink r:id="rId15701">
        <w:r>
          <w:rPr>
            <w:color w:val="0000EE"/>
            <w:u w:val="single"/>
          </w:rPr>
          <w:t>14.14</w:t>
        </w:r>
      </w:hyperlink>
      <w:r>
        <w:t>). Novamente, o sacerdote recebia a maior parte da carne do animal para alimento (</w:t>
      </w:r>
      <w:hyperlink r:id="rId15702">
        <w:r>
          <w:rPr>
            <w:color w:val="0000EE"/>
            <w:u w:val="single"/>
          </w:rPr>
          <w:t>7.6–7</w:t>
        </w:r>
      </w:hyperlink>
      <w:r>
        <w:t xml:space="preserve">; </w:t>
      </w:r>
      <w:hyperlink r:id="rId15622">
        <w:r>
          <w:rPr>
            <w:color w:val="0000EE"/>
            <w:u w:val="single"/>
          </w:rPr>
          <w:t>14.13</w:t>
        </w:r>
      </w:hyperlink>
      <w:r>
        <w:t>). Uma oferta de culpa era exigida sempre que outra parte tivesse sofrido alguma perda. Infrações rituais, como comer as “coisas sagradas” sem a devida autorização (</w:t>
      </w:r>
      <w:hyperlink r:id="rId15703">
        <w:r>
          <w:rPr>
            <w:color w:val="0000EE"/>
            <w:u w:val="single"/>
          </w:rPr>
          <w:t>5.14–19</w:t>
        </w:r>
      </w:hyperlink>
      <w:r>
        <w:t xml:space="preserve">; </w:t>
      </w:r>
      <w:hyperlink r:id="rId15704">
        <w:r>
          <w:rPr>
            <w:color w:val="0000EE"/>
            <w:u w:val="single"/>
          </w:rPr>
          <w:t>22.14</w:t>
        </w:r>
      </w:hyperlink>
      <w:r>
        <w:t>), exigiam o pagamento da quantia que deveria ter sido destinada ao Senhor, além da multa de um quinto que ia para o sacerdote (</w:t>
      </w:r>
      <w:hyperlink r:id="rId15694">
        <w:r>
          <w:rPr>
            <w:color w:val="0000EE"/>
            <w:u w:val="single"/>
          </w:rPr>
          <w:t>Lv 5.16</w:t>
        </w:r>
      </w:hyperlink>
      <w:r>
        <w:t xml:space="preserve">; </w:t>
      </w:r>
      <w:hyperlink r:id="rId15705">
        <w:r>
          <w:rPr>
            <w:color w:val="0000EE"/>
            <w:u w:val="single"/>
          </w:rPr>
          <w:t>2 Reis 12.16</w:t>
        </w:r>
      </w:hyperlink>
      <w:r>
        <w:t>). O leproso pertence a esta categoria, pois durante o tempo de sua infecção ele não podia prestar serviço a Deus (</w:t>
      </w:r>
      <w:hyperlink r:id="rId15706">
        <w:r>
          <w:rPr>
            <w:color w:val="0000EE"/>
            <w:u w:val="single"/>
          </w:rPr>
          <w:t>Lv 14.12–18</w:t>
        </w:r>
      </w:hyperlink>
      <w:r>
        <w:t>). O mesmo se aplica ao nazireu que havia sofrido contaminação enquanto estava separado para Deus pelo voto; assim, uma oferta de culpa era necessária (</w:t>
      </w:r>
      <w:hyperlink r:id="rId15650">
        <w:r>
          <w:rPr>
            <w:color w:val="0000EE"/>
            <w:u w:val="single"/>
          </w:rPr>
          <w:t>Nm 6.12</w:t>
        </w:r>
      </w:hyperlink>
      <w:r>
        <w:t>). A violação dos direitos de propriedade de outra pessoa só poderia ser expiada pela oferta de culpa e seu adicional de um quinto. Tais questões incluíam fraude em depósitos ou segurança, roubo ou opressão, não relatar o achado de alguma propriedade perdida, ou falso juramento ou não testemunhar (</w:t>
      </w:r>
      <w:hyperlink r:id="rId15707">
        <w:r>
          <w:rPr>
            <w:color w:val="0000EE"/>
            <w:u w:val="single"/>
          </w:rPr>
          <w:t>Lv 6.1–5</w:t>
        </w:r>
      </w:hyperlink>
      <w:r>
        <w:t>). Relações sexuais com uma escrava prometida também eram uma violação dos direitos de propriedade (</w:t>
      </w:r>
      <w:hyperlink r:id="rId15708">
        <w:r>
          <w:rPr>
            <w:color w:val="0000EE"/>
            <w:u w:val="single"/>
          </w:rPr>
          <w:t>19.20–22</w:t>
        </w:r>
      </w:hyperlink>
      <w:r>
        <w:t>). Se a parte ofendida não estivesse mais viva e não tivesse parentes sobreviventes, o pagamento ia para o sacerdote (</w:t>
      </w:r>
      <w:hyperlink r:id="rId15407">
        <w:r>
          <w:rPr>
            <w:color w:val="0000EE"/>
            <w:u w:val="single"/>
          </w:rPr>
          <w:t>Nm 5.5–10</w:t>
        </w:r>
      </w:hyperlink>
      <w:r>
        <w:t>).</w:t>
      </w:r>
    </w:p>
    <w:p>
      <w:pPr>
        <w:pStyle w:val="Heading4"/>
      </w:pPr>
      <w:r>
        <w:t>Ofertas de consagração</w:t>
      </w:r>
    </w:p>
    <w:p>
      <w:r/>
      <w:r>
        <w:t>Esses rituais geralmente vêm à mente quando se ouve a palavra "oferta". Eles representam atos de compromisso pessoal que devem acompanhar o arrependimento expresso nas ofertas pelo pecado e pela culpa. Além disso, eram um pré-requisito para os sacrifícios de comunhão ou comunitários que poderiam seguir.</w:t>
      </w:r>
    </w:p>
    <w:p>
      <w:r/>
      <w:r>
        <w:t>1. Holocausto (</w:t>
      </w:r>
      <w:hyperlink r:id="rId15709">
        <w:r>
          <w:rPr>
            <w:color w:val="0000EE"/>
            <w:u w:val="single"/>
          </w:rPr>
          <w:t>Lv 1.3–17</w:t>
        </w:r>
      </w:hyperlink>
      <w:r>
        <w:t xml:space="preserve">; </w:t>
      </w:r>
      <w:hyperlink r:id="rId15710">
        <w:r>
          <w:rPr>
            <w:color w:val="0000EE"/>
            <w:u w:val="single"/>
          </w:rPr>
          <w:t>6.8–13</w:t>
        </w:r>
      </w:hyperlink>
      <w:r>
        <w:t>). O holocausto poderia ser um touro, uma ovelha ou uma ave. O ofertante apresentava o animal, colocava sua mão sobre ele e o matava no lado norte do altar. A ave era simplesmente entregue ao sacerdote. Este último coletava o sangue, apresentava-o diante de Deus e depois o aspergia ao redor do altar. Quando a oferta era uma ave, ele torcia sua cabeça e drenava o sangue ao lado do altar. Embora o abate e a aspersão do sangue relacionem o holocausto aos sacrifícios expiatórios da seção anterior, a principal ênfase aqui é matar o animal, lavar suas partes impuras e depois arranjar cuidadosamente todas as peças no altar. Tudo isso era então consumido no altar como um aroma agradável ao Senhor. Como os holocaustos eram oferecidos de manhã e à noite, era necessário um bom suprimento de madeira junto ao altar. O sacerdote oficiante, vestido com roupas adequadas, tinha que manter o fogo continuamente aceso (</w:t>
      </w:r>
      <w:hyperlink r:id="rId15710">
        <w:r>
          <w:rPr>
            <w:color w:val="0000EE"/>
            <w:u w:val="single"/>
          </w:rPr>
          <w:t>6.8–13</w:t>
        </w:r>
      </w:hyperlink>
      <w:r>
        <w:t>).</w:t>
      </w:r>
    </w:p>
    <w:p>
      <w:r/>
      <w:r>
        <w:t>As ofertas queimadas desempenhavam um papel proeminente nos sacrifícios do calendário ritual. A oferta queimada contínua era feita duas vezes ao dia, um cordeiro macho de manhã e à noite (</w:t>
      </w:r>
      <w:hyperlink r:id="rId15711">
        <w:r>
          <w:rPr>
            <w:color w:val="0000EE"/>
            <w:u w:val="single"/>
          </w:rPr>
          <w:t>Êx 29.38–42</w:t>
        </w:r>
      </w:hyperlink>
      <w:r>
        <w:t xml:space="preserve">; </w:t>
      </w:r>
      <w:hyperlink r:id="rId15712">
        <w:r>
          <w:rPr>
            <w:color w:val="0000EE"/>
            <w:u w:val="single"/>
          </w:rPr>
          <w:t>Nm 28.1–8</w:t>
        </w:r>
      </w:hyperlink>
      <w:r>
        <w:t>). Dois cordeiros adicionais eram sacrificados a cada sábado (</w:t>
      </w:r>
      <w:hyperlink r:id="rId9242">
        <w:r>
          <w:rPr>
            <w:color w:val="0000EE"/>
            <w:u w:val="single"/>
          </w:rPr>
          <w:t>Nm 28.9–10</w:t>
        </w:r>
      </w:hyperlink>
      <w:r>
        <w:t>).</w:t>
      </w:r>
    </w:p>
    <w:p>
      <w:r/>
      <w:r>
        <w:t>Exceto por estas ofertas diárias, uma oferta pelo pecado de um bode geralmente era feita junto com as ofertas queimadas nos seguintes feriados: Para a Lua Nova no início de cada mês, dois novilhos, um carneiro e sete cordeiros machos eram oferecidos (</w:t>
      </w:r>
      <w:hyperlink r:id="rId1536">
        <w:r>
          <w:rPr>
            <w:color w:val="0000EE"/>
            <w:u w:val="single"/>
          </w:rPr>
          <w:t>Nm 28.11–14</w:t>
        </w:r>
      </w:hyperlink>
      <w:r>
        <w:t xml:space="preserve">). Os mesmos eram exigidos para cada dia do festival da Páscoa (vv. </w:t>
      </w:r>
      <w:hyperlink r:id="rId15713">
        <w:r>
          <w:rPr>
            <w:color w:val="0000EE"/>
            <w:u w:val="single"/>
          </w:rPr>
          <w:t>19–24</w:t>
        </w:r>
      </w:hyperlink>
      <w:r>
        <w:t xml:space="preserve">) e novamente na Festa das Semanas (vv. </w:t>
      </w:r>
      <w:hyperlink r:id="rId15714">
        <w:r>
          <w:rPr>
            <w:color w:val="0000EE"/>
            <w:u w:val="single"/>
          </w:rPr>
          <w:t>6–29</w:t>
        </w:r>
      </w:hyperlink>
      <w:r>
        <w:t>). No Festival das Trombetas e no Dia da Expiação, a exigência era um novilho, um carneiro e sete cordeiros (</w:t>
      </w:r>
      <w:hyperlink r:id="rId15715">
        <w:r>
          <w:rPr>
            <w:color w:val="0000EE"/>
            <w:u w:val="single"/>
          </w:rPr>
          <w:t>29.2–4</w:t>
        </w:r>
      </w:hyperlink>
      <w:r>
        <w:t>).</w:t>
      </w:r>
    </w:p>
    <w:p>
      <w:r/>
      <w:r>
        <w:t>A Grande Festa dos Tabernáculos era marcada por uma série de holocaustos elaborados, além de um bode por dia como oferta pelo pecado. No primeiro dia, eram oferecidos 13 novilhos, 2 carneiros e 14 cordeiros machos (</w:t>
      </w:r>
      <w:hyperlink r:id="rId15645">
        <w:r>
          <w:rPr>
            <w:color w:val="0000EE"/>
            <w:u w:val="single"/>
          </w:rPr>
          <w:t>Nm 29.12–16</w:t>
        </w:r>
      </w:hyperlink>
      <w:r>
        <w:t xml:space="preserve">). A cada dia sucessivo, o número de novilhos era reduzido em um até que, no sétimo dia, havia apenas sete (os carneiros e cordeiros permaneciam os mesmos; </w:t>
      </w:r>
      <w:hyperlink r:id="rId15716">
        <w:r>
          <w:rPr>
            <w:color w:val="0000EE"/>
            <w:u w:val="single"/>
          </w:rPr>
          <w:t>29.17–25</w:t>
        </w:r>
      </w:hyperlink>
      <w:r>
        <w:t>). No oitavo dia, os animais exigidos para as Trombetas e a Expiação eram oferecidos, a saber, um novilho, um carneiro e sete cordeiros.</w:t>
      </w:r>
    </w:p>
    <w:p>
      <w:r/>
      <w:r>
        <w:t>Certos rituais de purificação também exigiam holocaustos além das ofertas pelo pecado: após o parto (</w:t>
      </w:r>
      <w:hyperlink r:id="rId15646">
        <w:r>
          <w:rPr>
            <w:color w:val="0000EE"/>
            <w:u w:val="single"/>
          </w:rPr>
          <w:t>Lv 12.6–8</w:t>
        </w:r>
      </w:hyperlink>
      <w:r>
        <w:t>), abscessos (</w:t>
      </w:r>
      <w:hyperlink r:id="rId15717">
        <w:r>
          <w:rPr>
            <w:color w:val="0000EE"/>
            <w:u w:val="single"/>
          </w:rPr>
          <w:t>15.14–15</w:t>
        </w:r>
      </w:hyperlink>
      <w:r>
        <w:t xml:space="preserve">) e fluxos (vv. </w:t>
      </w:r>
      <w:hyperlink r:id="rId9587">
        <w:r>
          <w:rPr>
            <w:color w:val="0000EE"/>
            <w:u w:val="single"/>
          </w:rPr>
          <w:t>29–30</w:t>
        </w:r>
      </w:hyperlink>
      <w:r>
        <w:t>); ou após a contaminação durante um voto de nazireu (</w:t>
      </w:r>
      <w:hyperlink r:id="rId15692">
        <w:r>
          <w:rPr>
            <w:color w:val="0000EE"/>
            <w:u w:val="single"/>
          </w:rPr>
          <w:t>Nm 6.10–11</w:t>
        </w:r>
      </w:hyperlink>
      <w:r>
        <w:t>). Embora não seja declarado que ofertas de cereais fossem exigidas nesses casos, elas certamente eram para a purificação da lepra (</w:t>
      </w:r>
      <w:hyperlink r:id="rId15718">
        <w:r>
          <w:rPr>
            <w:color w:val="0000EE"/>
            <w:u w:val="single"/>
          </w:rPr>
          <w:t>Lv 14.10,19–22,31</w:t>
        </w:r>
      </w:hyperlink>
      <w:r>
        <w:t>) e a conclusão do voto de nazireu (</w:t>
      </w:r>
      <w:hyperlink r:id="rId15719">
        <w:r>
          <w:rPr>
            <w:color w:val="0000EE"/>
            <w:u w:val="single"/>
          </w:rPr>
          <w:t>Nm 6.14–16</w:t>
        </w:r>
      </w:hyperlink>
      <w:r>
        <w:t>).</w:t>
      </w:r>
    </w:p>
    <w:p>
      <w:r/>
      <w:r>
        <w:t>2. Oferta de grãos (cereal) (</w:t>
      </w:r>
      <w:hyperlink r:id="rId18">
        <w:r>
          <w:rPr>
            <w:color w:val="0000EE"/>
            <w:u w:val="single"/>
          </w:rPr>
          <w:t>Lv 2</w:t>
        </w:r>
      </w:hyperlink>
      <w:r>
        <w:t xml:space="preserve">; </w:t>
      </w:r>
      <w:hyperlink r:id="rId15720">
        <w:r>
          <w:rPr>
            <w:color w:val="0000EE"/>
            <w:u w:val="single"/>
          </w:rPr>
          <w:t>6.14–23</w:t>
        </w:r>
      </w:hyperlink>
      <w:r>
        <w:t>). O termo hebraico que se refere a esta oferta específica significa "presente" ou "oferta", incluindo animais (</w:t>
      </w:r>
      <w:hyperlink r:id="rId15721">
        <w:r>
          <w:rPr>
            <w:color w:val="0000EE"/>
            <w:u w:val="single"/>
          </w:rPr>
          <w:t>Gn 4.3–5</w:t>
        </w:r>
      </w:hyperlink>
      <w:r>
        <w:t xml:space="preserve">; </w:t>
      </w:r>
      <w:hyperlink r:id="rId15722">
        <w:r>
          <w:rPr>
            <w:color w:val="0000EE"/>
            <w:u w:val="single"/>
          </w:rPr>
          <w:t>Jz 6.18</w:t>
        </w:r>
      </w:hyperlink>
      <w:r>
        <w:t xml:space="preserve">; </w:t>
      </w:r>
      <w:hyperlink r:id="rId15723">
        <w:r>
          <w:rPr>
            <w:color w:val="0000EE"/>
            <w:u w:val="single"/>
          </w:rPr>
          <w:t>1Sm 2.17</w:t>
        </w:r>
      </w:hyperlink>
      <w:r>
        <w:t>). No contexto sacrificial específico, significa uma combinação de farinha fina, azeite de oliva e incenso que poderia ser feita na forma de pães assados, bolachas ou pedaços. A oferta das primícias deveria ser de espigas esmagadas de grãos novos (</w:t>
      </w:r>
      <w:hyperlink r:id="rId15724">
        <w:r>
          <w:rPr>
            <w:color w:val="0000EE"/>
            <w:u w:val="single"/>
          </w:rPr>
          <w:t>Lv 2.14</w:t>
        </w:r>
      </w:hyperlink>
      <w:r>
        <w:t xml:space="preserve">). Nenhum fermento ou mel era permitido nos bolos, embora essas mesmas mercadorias pudessem ser aceitas como oferta de primícias. Elas não iam para o altar, mas eram dadas ao sacerdote. O ofertante tinha que levar os pães ou bolachas preparados ao templo. O sacerdote queimaria um punhado no altar como sua "porção memorial" (v </w:t>
      </w:r>
      <w:hyperlink r:id="rId15725">
        <w:r>
          <w:rPr>
            <w:color w:val="0000EE"/>
            <w:u w:val="single"/>
          </w:rPr>
          <w:t>2</w:t>
        </w:r>
      </w:hyperlink>
      <w:r>
        <w:t>), mantendo o restante para seu próprio alimento (</w:t>
      </w:r>
      <w:hyperlink r:id="rId15726">
        <w:r>
          <w:rPr>
            <w:color w:val="0000EE"/>
            <w:u w:val="single"/>
          </w:rPr>
          <w:t>6.16</w:t>
        </w:r>
      </w:hyperlink>
      <w:r>
        <w:t xml:space="preserve">; </w:t>
      </w:r>
      <w:hyperlink r:id="rId15727">
        <w:r>
          <w:rPr>
            <w:color w:val="0000EE"/>
            <w:u w:val="single"/>
          </w:rPr>
          <w:t>7.9</w:t>
        </w:r>
      </w:hyperlink>
      <w:r>
        <w:t>). Mas quando o sacerdote fazia uma oferta de cereais em seu próprio nome, ele queimava tudo no altar (</w:t>
      </w:r>
      <w:hyperlink r:id="rId15728">
        <w:r>
          <w:rPr>
            <w:color w:val="0000EE"/>
            <w:u w:val="single"/>
          </w:rPr>
          <w:t>6.22–23</w:t>
        </w:r>
      </w:hyperlink>
      <w:r>
        <w:t>).</w:t>
      </w:r>
    </w:p>
    <w:p>
      <w:r/>
      <w:r>
        <w:t>Uma oferta de cereais era geralmente apresentada com cada oferta queimada, especialmente aquelas relacionadas ao calendário sagrado (</w:t>
      </w:r>
      <w:hyperlink r:id="rId15611">
        <w:r>
          <w:rPr>
            <w:color w:val="0000EE"/>
            <w:u w:val="single"/>
          </w:rPr>
          <w:t>Nm 28–29</w:t>
        </w:r>
      </w:hyperlink>
      <w:r>
        <w:t>). As quantidades de farinha e óleo eram determinadas de acordo com o animal sacrificado: três quilos de de farinha e metade de um litro e três quartos de óleo para um touro, dois quilos de farinha e um litro de azeite para um carneiro, e um quilo de farinha mais um litro e um quarto de azeite para um cordeiro (</w:t>
      </w:r>
      <w:hyperlink r:id="rId15729">
        <w:r>
          <w:rPr>
            <w:color w:val="0000EE"/>
            <w:u w:val="single"/>
          </w:rPr>
          <w:t>15.2–10</w:t>
        </w:r>
      </w:hyperlink>
      <w:r>
        <w:t>). Outras ocasiões propícias para uma oferta de cereais incluíam a purificação de um leproso (</w:t>
      </w:r>
      <w:hyperlink r:id="rId15730">
        <w:r>
          <w:rPr>
            <w:color w:val="0000EE"/>
            <w:u w:val="single"/>
          </w:rPr>
          <w:t>Lv 14.10,20–21,31</w:t>
        </w:r>
      </w:hyperlink>
      <w:r>
        <w:t>; quantidade não especificada de grãos com um pássaro) e a conclusão bem-sucedida de um voto de Nazireu (</w:t>
      </w:r>
      <w:hyperlink r:id="rId15731">
        <w:r>
          <w:rPr>
            <w:color w:val="0000EE"/>
            <w:u w:val="single"/>
          </w:rPr>
          <w:t>Nm 6.13–15</w:t>
        </w:r>
      </w:hyperlink>
      <w:r>
        <w:t>).</w:t>
      </w:r>
    </w:p>
    <w:p>
      <w:r/>
      <w:r>
        <w:t>As ofertas pacíficas eram invariavelmente seguidas por ofertas de cereais (</w:t>
      </w:r>
      <w:hyperlink r:id="rId15612">
        <w:r>
          <w:rPr>
            <w:color w:val="0000EE"/>
            <w:u w:val="single"/>
          </w:rPr>
          <w:t>Lv 7.12–14</w:t>
        </w:r>
      </w:hyperlink>
      <w:r>
        <w:t xml:space="preserve">; </w:t>
      </w:r>
      <w:hyperlink r:id="rId15732">
        <w:r>
          <w:rPr>
            <w:color w:val="0000EE"/>
            <w:u w:val="single"/>
          </w:rPr>
          <w:t>Nm 15.4</w:t>
        </w:r>
      </w:hyperlink>
      <w:r>
        <w:t>). O sacerdote recebia um de cada par de bolos ou bolachas. O restante era devolvido ao ofertante para ser consumido com a carne do animal sacrificial em um local de sua escolha.</w:t>
      </w:r>
    </w:p>
    <w:p>
      <w:r/>
      <w:r>
        <w:t>Um caso especial em que tal oferta foi usada foi o quilo de farinha de cevada exigido no ritual de ciúmes. Não deveria ter óleo ou incenso (</w:t>
      </w:r>
      <w:hyperlink r:id="rId15733">
        <w:r>
          <w:rPr>
            <w:color w:val="0000EE"/>
            <w:u w:val="single"/>
          </w:rPr>
          <w:t>Nm 5.15,18,25–26</w:t>
        </w:r>
      </w:hyperlink>
      <w:r>
        <w:t>). Um indivíduo muito pobre tinha permissão para trazer um quilo de farinha fina sem óleo ou incenso como oferta pelo pecado (</w:t>
      </w:r>
      <w:hyperlink r:id="rId15671">
        <w:r>
          <w:rPr>
            <w:color w:val="0000EE"/>
            <w:u w:val="single"/>
          </w:rPr>
          <w:t>Lv 5.11–13</w:t>
        </w:r>
      </w:hyperlink>
      <w:r>
        <w:t>).</w:t>
      </w:r>
    </w:p>
    <w:p>
      <w:r/>
      <w:r>
        <w:t>3. Oferta de bebida (</w:t>
      </w:r>
      <w:hyperlink r:id="rId15734">
        <w:r>
          <w:rPr>
            <w:color w:val="0000EE"/>
            <w:u w:val="single"/>
          </w:rPr>
          <w:t>Nm 15.1–10</w:t>
        </w:r>
      </w:hyperlink>
      <w:r>
        <w:t>). A libação padrão era de um litro e três quartos de vinho para um cordeiro, um terço para um carneiro e metade para um touro. O vinho (</w:t>
      </w:r>
      <w:hyperlink r:id="rId15735">
        <w:r>
          <w:rPr>
            <w:color w:val="0000EE"/>
            <w:u w:val="single"/>
          </w:rPr>
          <w:t>Êx 29.40</w:t>
        </w:r>
      </w:hyperlink>
      <w:r>
        <w:t>), também chamado de "bebida forte" (</w:t>
      </w:r>
      <w:hyperlink r:id="rId3294">
        <w:r>
          <w:rPr>
            <w:color w:val="0000EE"/>
            <w:u w:val="single"/>
          </w:rPr>
          <w:t>Nm 28.7</w:t>
        </w:r>
      </w:hyperlink>
      <w:r>
        <w:t>), é provavelmente um substituto intencional para o sangue usado por outras nações (</w:t>
      </w:r>
      <w:hyperlink r:id="rId15736">
        <w:r>
          <w:rPr>
            <w:color w:val="0000EE"/>
            <w:u w:val="single"/>
          </w:rPr>
          <w:t>Sl 16.4</w:t>
        </w:r>
      </w:hyperlink>
      <w:r>
        <w:t>). A libação era classificada como uma oferta de "aroma agradável" (</w:t>
      </w:r>
      <w:hyperlink r:id="rId15737">
        <w:r>
          <w:rPr>
            <w:color w:val="0000EE"/>
            <w:u w:val="single"/>
          </w:rPr>
          <w:t>Nm 15.7</w:t>
        </w:r>
      </w:hyperlink>
      <w:r>
        <w:t>). Assim como na oferta queimada, toda a oferta de bebida era consumida; nada era dado ao sacerdote (</w:t>
      </w:r>
      <w:hyperlink r:id="rId3294">
        <w:r>
          <w:rPr>
            <w:color w:val="0000EE"/>
            <w:u w:val="single"/>
          </w:rPr>
          <w:t>28.7</w:t>
        </w:r>
      </w:hyperlink>
      <w:r>
        <w:t>).</w:t>
      </w:r>
    </w:p>
    <w:p>
      <w:r/>
      <w:r>
        <w:t>As ofertas de bebida acompanhavam a oferta diária (</w:t>
      </w:r>
      <w:hyperlink r:id="rId15738">
        <w:r>
          <w:rPr>
            <w:color w:val="0000EE"/>
            <w:u w:val="single"/>
          </w:rPr>
          <w:t>Êx 29.40–41</w:t>
        </w:r>
      </w:hyperlink>
      <w:r>
        <w:t xml:space="preserve">; </w:t>
      </w:r>
      <w:hyperlink r:id="rId3294">
        <w:r>
          <w:rPr>
            <w:color w:val="0000EE"/>
            <w:u w:val="single"/>
          </w:rPr>
          <w:t>Nm 28.7</w:t>
        </w:r>
      </w:hyperlink>
      <w:r>
        <w:t>) e a oferta do sábado (</w:t>
      </w:r>
      <w:hyperlink r:id="rId15739">
        <w:r>
          <w:rPr>
            <w:color w:val="0000EE"/>
            <w:u w:val="single"/>
          </w:rPr>
          <w:t>Nm 28.9</w:t>
        </w:r>
      </w:hyperlink>
      <w:r>
        <w:t>), assim como o festival da Lua Nova. Também são mencionadas em conexão com o segundo e os dias seguintes da Festa dos Tabernáculos (</w:t>
      </w:r>
      <w:hyperlink r:id="rId15740">
        <w:r>
          <w:rPr>
            <w:color w:val="0000EE"/>
            <w:u w:val="single"/>
          </w:rPr>
          <w:t>29.18,21</w:t>
        </w:r>
      </w:hyperlink>
      <w:r>
        <w:t>); para o primeiro dia, sua ausência é provavelmente não intencional. O mesmo pode ser verdade para a Páscoa, Primícias e Festa das Trombetas (</w:t>
      </w:r>
      <w:hyperlink r:id="rId15741">
        <w:r>
          <w:rPr>
            <w:color w:val="0000EE"/>
            <w:u w:val="single"/>
          </w:rPr>
          <w:t>Nm 28.16–29.11</w:t>
        </w:r>
      </w:hyperlink>
      <w:r>
        <w:t xml:space="preserve">; cf. </w:t>
      </w:r>
      <w:hyperlink r:id="rId15742">
        <w:r>
          <w:rPr>
            <w:color w:val="0000EE"/>
            <w:u w:val="single"/>
          </w:rPr>
          <w:t>Ez 45.11</w:t>
        </w:r>
      </w:hyperlink>
      <w:r>
        <w:t>). Uma libação era exigida para os ritos que concluíam um voto de nazireu (</w:t>
      </w:r>
      <w:hyperlink r:id="rId15743">
        <w:r>
          <w:rPr>
            <w:color w:val="0000EE"/>
            <w:u w:val="single"/>
          </w:rPr>
          <w:t>Nm 6.17</w:t>
        </w:r>
      </w:hyperlink>
      <w:r>
        <w:t>), mas não para a purificação de um leproso (</w:t>
      </w:r>
      <w:hyperlink r:id="rId15744">
        <w:r>
          <w:rPr>
            <w:color w:val="0000EE"/>
            <w:u w:val="single"/>
          </w:rPr>
          <w:t>Lv 14.10–20</w:t>
        </w:r>
      </w:hyperlink>
      <w:r>
        <w:t>).</w:t>
      </w:r>
    </w:p>
    <w:p>
      <w:pPr>
        <w:pStyle w:val="Heading4"/>
      </w:pPr>
      <w:r>
        <w:t>Ofertas de comunhão</w:t>
      </w:r>
    </w:p>
    <w:p>
      <w:r/>
      <w:r>
        <w:t>Esses sacrifícios eram voluntários por parte do ofertante e geralmente não eram impostos por regulamentos, exceto para o nazireu (</w:t>
      </w:r>
      <w:hyperlink r:id="rId15743">
        <w:r>
          <w:rPr>
            <w:color w:val="0000EE"/>
            <w:u w:val="single"/>
          </w:rPr>
          <w:t>Nm 6.17</w:t>
        </w:r>
      </w:hyperlink>
      <w:r>
        <w:t>) e a Festa das Semanas (</w:t>
      </w:r>
      <w:hyperlink r:id="rId15634">
        <w:r>
          <w:rPr>
            <w:color w:val="0000EE"/>
            <w:u w:val="single"/>
          </w:rPr>
          <w:t>Lv 23.19–20</w:t>
        </w:r>
      </w:hyperlink>
      <w:r>
        <w:t>). Um ofertante que já havia cumprido os requisitos rituais para expiação e consagração pessoal estava autorizado a fazer uma oferta de comunhão. Ofertas queimadas frequentemente acompanhavam os sacrifícios de comunhão como uma expressão adicional de devoção.</w:t>
      </w:r>
    </w:p>
    <w:p>
      <w:r/>
      <w:r>
        <w:t>1. Oferta de paz (</w:t>
      </w:r>
      <w:hyperlink r:id="rId12921">
        <w:r>
          <w:rPr>
            <w:color w:val="0000EE"/>
            <w:u w:val="single"/>
          </w:rPr>
          <w:t>Lv 3</w:t>
        </w:r>
      </w:hyperlink>
      <w:r>
        <w:t xml:space="preserve">; </w:t>
      </w:r>
      <w:hyperlink r:id="rId15633">
        <w:r>
          <w:rPr>
            <w:color w:val="0000EE"/>
            <w:u w:val="single"/>
          </w:rPr>
          <w:t>7.11–36</w:t>
        </w:r>
      </w:hyperlink>
      <w:r>
        <w:t xml:space="preserve">; </w:t>
      </w:r>
      <w:hyperlink r:id="rId15745">
        <w:r>
          <w:rPr>
            <w:color w:val="0000EE"/>
            <w:u w:val="single"/>
          </w:rPr>
          <w:t>Am 5.22</w:t>
        </w:r>
      </w:hyperlink>
      <w:r>
        <w:t>). Esta é a categoria básica de todas as ofertas de comunhão ou comunitárias; as outras são simplesmente subclasses da oferta de paz. Em termos de santidade ou restrição, elas não eram tão rigidamente limitadas como as outras ofertas. Animais do rebanho ou do gado, macho ou fêmea (</w:t>
      </w:r>
      <w:hyperlink r:id="rId15746">
        <w:r>
          <w:rPr>
            <w:color w:val="0000EE"/>
            <w:u w:val="single"/>
          </w:rPr>
          <w:t>Lv 3.1,6,12</w:t>
        </w:r>
      </w:hyperlink>
      <w:r>
        <w:t>), eram permitidos. A exigência usual de ausência de defeitos estava em vigor, exceto no caso da oferta voluntária, na qual o animal poderia ter um membro mais longo que o outro (</w:t>
      </w:r>
      <w:hyperlink r:id="rId1529">
        <w:r>
          <w:rPr>
            <w:color w:val="0000EE"/>
            <w:u w:val="single"/>
          </w:rPr>
          <w:t>22.23</w:t>
        </w:r>
      </w:hyperlink>
      <w:r>
        <w:t>). Bolos sem fermento também eram necessários, pelo menos para as ofertas de gratidão (</w:t>
      </w:r>
      <w:hyperlink r:id="rId10166">
        <w:r>
          <w:rPr>
            <w:color w:val="0000EE"/>
            <w:u w:val="single"/>
          </w:rPr>
          <w:t>7.12–13</w:t>
        </w:r>
      </w:hyperlink>
      <w:r>
        <w:t>) e nazireu (</w:t>
      </w:r>
      <w:hyperlink r:id="rId15747">
        <w:r>
          <w:rPr>
            <w:color w:val="0000EE"/>
            <w:u w:val="single"/>
          </w:rPr>
          <w:t>Nm 6.15–19</w:t>
        </w:r>
      </w:hyperlink>
      <w:r>
        <w:t>). Cada um desses três tipos de ofertas de paz será discutido abaixo, com suas características especiais.</w:t>
      </w:r>
    </w:p>
    <w:p>
      <w:r/>
      <w:r>
        <w:t>As primeiras partes do ritual — a apresentação e a imposição das mãos — eram idênticas às dos outros sacrifícios. No entanto, o animal era abatido na porta do pátio do santuário e não no lado norte do altar (</w:t>
      </w:r>
      <w:hyperlink r:id="rId15748">
        <w:r>
          <w:rPr>
            <w:color w:val="0000EE"/>
            <w:u w:val="single"/>
          </w:rPr>
          <w:t>Lv 3.1–2,7–8,12–13</w:t>
        </w:r>
      </w:hyperlink>
      <w:r>
        <w:t xml:space="preserve">; </w:t>
      </w:r>
      <w:hyperlink r:id="rId15749">
        <w:r>
          <w:rPr>
            <w:color w:val="0000EE"/>
            <w:u w:val="single"/>
          </w:rPr>
          <w:t>7.29–30</w:t>
        </w:r>
      </w:hyperlink>
      <w:r>
        <w:t>). O sacerdote recolhia o sangue e o lançava contra o altar, como fazia com a oferta queimada (</w:t>
      </w:r>
      <w:hyperlink r:id="rId15750">
        <w:r>
          <w:rPr>
            <w:color w:val="0000EE"/>
            <w:u w:val="single"/>
          </w:rPr>
          <w:t>3.2,8,13</w:t>
        </w:r>
      </w:hyperlink>
      <w:r>
        <w:t>). As vísceras escolhidas eram oferecidas como um “aroma agradável” (</w:t>
      </w:r>
      <w:hyperlink r:id="rId15751">
        <w:r>
          <w:rPr>
            <w:color w:val="0000EE"/>
            <w:u w:val="single"/>
          </w:rPr>
          <w:t>3.3–5,6–11,14–16</w:t>
        </w:r>
      </w:hyperlink>
      <w:r>
        <w:t>).</w:t>
      </w:r>
    </w:p>
    <w:p>
      <w:r/>
      <w:r>
        <w:t>O sacerdote também recebia uma certa porção da oferta. Ele podia comê-la em qualquer lugar ritualmente limpo e compartilhá-la com sua família (</w:t>
      </w:r>
      <w:hyperlink r:id="rId15752">
        <w:r>
          <w:rPr>
            <w:color w:val="0000EE"/>
            <w:u w:val="single"/>
          </w:rPr>
          <w:t>Lv 7.14,30–36</w:t>
        </w:r>
      </w:hyperlink>
      <w:r>
        <w:t xml:space="preserve">; </w:t>
      </w:r>
      <w:hyperlink r:id="rId15753">
        <w:r>
          <w:rPr>
            <w:color w:val="0000EE"/>
            <w:u w:val="single"/>
          </w:rPr>
          <w:t>Nm 6.20</w:t>
        </w:r>
      </w:hyperlink>
      <w:r>
        <w:t>), em contraste com sua porção de outros sacrifícios, que ele tinha que comer em algum lugar no recinto do templo (</w:t>
      </w:r>
      <w:hyperlink r:id="rId15754">
        <w:r>
          <w:rPr>
            <w:color w:val="0000EE"/>
            <w:u w:val="single"/>
          </w:rPr>
          <w:t>Nm 18.10–11</w:t>
        </w:r>
      </w:hyperlink>
      <w:r>
        <w:t>). Ele recebia um dos bolos e o peito como oferta de movimento e a coxa direita como uma contribuição para o ofertante. Esta última é a chamada "oferta alçada"; o termo técnico se desenvolveu a partir de uma raiz que significa "ser alto" e significa "aquilo que é levantado". A oferta alçada não representava realmente um tipo especial de cerimônia ritual.</w:t>
      </w:r>
    </w:p>
    <w:p>
      <w:r/>
      <w:r>
        <w:t>O ato ritual da oferta de paz culminava com uma refeição de comunhão. Exceto pelas partes no altar ou dadas ao sacerdote, o corpo do animal era devolvido ao homem que o ofereceu. Ele precisava prepará-lo como uma refeição comunitária para si, para sua família e para o levita em sua comunidade (</w:t>
      </w:r>
      <w:hyperlink r:id="rId15755">
        <w:r>
          <w:rPr>
            <w:color w:val="0000EE"/>
            <w:u w:val="single"/>
          </w:rPr>
          <w:t>Dt 12.12,18–19</w:t>
        </w:r>
      </w:hyperlink>
      <w:r>
        <w:t>). Isso deveria ocorrer no santuário oficial (</w:t>
      </w:r>
      <w:hyperlink r:id="rId15756">
        <w:r>
          <w:rPr>
            <w:color w:val="0000EE"/>
            <w:u w:val="single"/>
          </w:rPr>
          <w:t>Dt 12.6–7,11–12,15–19</w:t>
        </w:r>
      </w:hyperlink>
      <w:r>
        <w:t xml:space="preserve">; cf. </w:t>
      </w:r>
      <w:hyperlink r:id="rId15757">
        <w:r>
          <w:rPr>
            <w:color w:val="0000EE"/>
            <w:u w:val="single"/>
          </w:rPr>
          <w:t>1Sm 1.3–4</w:t>
        </w:r>
      </w:hyperlink>
      <w:r>
        <w:t>) e os participantes tinham que observar regras estritas de pureza (</w:t>
      </w:r>
      <w:hyperlink r:id="rId15758">
        <w:r>
          <w:rPr>
            <w:color w:val="0000EE"/>
            <w:u w:val="single"/>
          </w:rPr>
          <w:t>Lv 7.19–21</w:t>
        </w:r>
      </w:hyperlink>
      <w:r>
        <w:t xml:space="preserve">; </w:t>
      </w:r>
      <w:hyperlink r:id="rId15759">
        <w:r>
          <w:rPr>
            <w:color w:val="0000EE"/>
            <w:u w:val="single"/>
          </w:rPr>
          <w:t>19.5–8</w:t>
        </w:r>
      </w:hyperlink>
      <w:r>
        <w:t>). Isso pode ser contrastado com o abate ritual de animais para um banquete, que era permitido em qualquer altar local (</w:t>
      </w:r>
      <w:hyperlink r:id="rId15760">
        <w:r>
          <w:rPr>
            <w:color w:val="0000EE"/>
            <w:u w:val="single"/>
          </w:rPr>
          <w:t>Dt 12.16,20–22</w:t>
        </w:r>
      </w:hyperlink>
      <w:r>
        <w:t>). A carne da oferta de gratidão precisava ser consumida no mesmo dia do sacrifício (</w:t>
      </w:r>
      <w:hyperlink r:id="rId15761">
        <w:r>
          <w:rPr>
            <w:color w:val="0000EE"/>
            <w:u w:val="single"/>
          </w:rPr>
          <w:t>Lv 7.15</w:t>
        </w:r>
      </w:hyperlink>
      <w:r>
        <w:t xml:space="preserve">), enquanto a das ofertas votivas ou voluntárias poderia ser consumida no dia seguinte (vv </w:t>
      </w:r>
      <w:hyperlink r:id="rId15762">
        <w:r>
          <w:rPr>
            <w:color w:val="0000EE"/>
            <w:u w:val="single"/>
          </w:rPr>
          <w:t>16–18</w:t>
        </w:r>
      </w:hyperlink>
      <w:r>
        <w:t>). O que restasse então precisava ser queimado antes que o prazo expirasse.</w:t>
      </w:r>
    </w:p>
    <w:p>
      <w:r/>
      <w:r>
        <w:t>Somente três vezes há uma demanda específica por uma oferta de paz: na Festa das Semanas (</w:t>
      </w:r>
      <w:hyperlink r:id="rId15634">
        <w:r>
          <w:rPr>
            <w:color w:val="0000EE"/>
            <w:u w:val="single"/>
          </w:rPr>
          <w:t>Lv 23.19–20</w:t>
        </w:r>
      </w:hyperlink>
      <w:r>
        <w:t>), ao completar um voto de nazireu (</w:t>
      </w:r>
      <w:hyperlink r:id="rId15763">
        <w:r>
          <w:rPr>
            <w:color w:val="0000EE"/>
            <w:u w:val="single"/>
          </w:rPr>
          <w:t>Nm 6.17–20</w:t>
        </w:r>
      </w:hyperlink>
      <w:r>
        <w:t>) e na instalação do sacerdócio (</w:t>
      </w:r>
      <w:hyperlink r:id="rId15764">
        <w:r>
          <w:rPr>
            <w:color w:val="0000EE"/>
            <w:u w:val="single"/>
          </w:rPr>
          <w:t>Ex 29.19–22,28</w:t>
        </w:r>
      </w:hyperlink>
      <w:r>
        <w:t>). Outras ocasiões rituais públicas incluíam a inauguração do templo (</w:t>
      </w:r>
      <w:hyperlink r:id="rId15765">
        <w:r>
          <w:rPr>
            <w:color w:val="0000EE"/>
            <w:u w:val="single"/>
          </w:rPr>
          <w:t>1Rs 8.63</w:t>
        </w:r>
      </w:hyperlink>
      <w:r>
        <w:t xml:space="preserve">; </w:t>
      </w:r>
      <w:hyperlink r:id="rId15766">
        <w:r>
          <w:rPr>
            <w:color w:val="0000EE"/>
            <w:u w:val="single"/>
          </w:rPr>
          <w:t>2Cr 7.5</w:t>
        </w:r>
      </w:hyperlink>
      <w:r>
        <w:t>). Eventos em nível nacional que evocavam a oferta de paz eram a conclusão bem-sucedida de uma campanha militar (</w:t>
      </w:r>
      <w:hyperlink r:id="rId15767">
        <w:r>
          <w:rPr>
            <w:color w:val="0000EE"/>
            <w:u w:val="single"/>
          </w:rPr>
          <w:t>1Sm 11.15</w:t>
        </w:r>
      </w:hyperlink>
      <w:r>
        <w:t>), o fim de uma fome ou pestilência (</w:t>
      </w:r>
      <w:hyperlink r:id="rId990">
        <w:r>
          <w:rPr>
            <w:color w:val="0000EE"/>
            <w:u w:val="single"/>
          </w:rPr>
          <w:t>2Sm 24.25</w:t>
        </w:r>
      </w:hyperlink>
      <w:r>
        <w:t>), a confirmação de um candidato ao trono (</w:t>
      </w:r>
      <w:hyperlink r:id="rId15768">
        <w:r>
          <w:rPr>
            <w:color w:val="0000EE"/>
            <w:u w:val="single"/>
          </w:rPr>
          <w:t>1Rs 1.9,19</w:t>
        </w:r>
      </w:hyperlink>
      <w:r>
        <w:t>) ou um tempo de avivamento religioso (</w:t>
      </w:r>
      <w:hyperlink r:id="rId15769">
        <w:r>
          <w:rPr>
            <w:color w:val="0000EE"/>
            <w:u w:val="single"/>
          </w:rPr>
          <w:t>2Cr 29.31–36</w:t>
        </w:r>
      </w:hyperlink>
      <w:r>
        <w:t>). No nível local, elas eram oferecidas na reunião anual da família (</w:t>
      </w:r>
      <w:hyperlink r:id="rId15770">
        <w:r>
          <w:rPr>
            <w:color w:val="0000EE"/>
            <w:u w:val="single"/>
          </w:rPr>
          <w:t>1Sm 20.6</w:t>
        </w:r>
      </w:hyperlink>
      <w:r>
        <w:t>) ou em outras ocasiões festivas, como a colheita dos primeiros frutos (</w:t>
      </w:r>
      <w:hyperlink r:id="rId15771">
        <w:r>
          <w:rPr>
            <w:color w:val="0000EE"/>
            <w:u w:val="single"/>
          </w:rPr>
          <w:t>Êx 22.29–31</w:t>
        </w:r>
      </w:hyperlink>
      <w:r>
        <w:t xml:space="preserve">; </w:t>
      </w:r>
      <w:hyperlink r:id="rId15772">
        <w:r>
          <w:rPr>
            <w:color w:val="0000EE"/>
            <w:u w:val="single"/>
          </w:rPr>
          <w:t>1Sm 9.11–14,22–24</w:t>
        </w:r>
      </w:hyperlink>
      <w:r>
        <w:t xml:space="preserve">; </w:t>
      </w:r>
      <w:hyperlink r:id="rId15773">
        <w:r>
          <w:rPr>
            <w:color w:val="0000EE"/>
            <w:u w:val="single"/>
          </w:rPr>
          <w:t>16.4–5</w:t>
        </w:r>
      </w:hyperlink>
      <w:r>
        <w:t>).</w:t>
      </w:r>
    </w:p>
    <w:p>
      <w:r/>
      <w:r>
        <w:t xml:space="preserve">2. Oferta movida. A primeira porção da oferta de paz era "movida" perante o Senhor para significar que o sacerdote a estava comendo como representante de Deus (o movimento real evidentemente se assemelhava ao manejo de uma serra ou de um bastão, </w:t>
      </w:r>
      <w:hyperlink r:id="rId15774">
        <w:r>
          <w:rPr>
            <w:color w:val="0000EE"/>
            <w:u w:val="single"/>
          </w:rPr>
          <w:t>Is 10.15</w:t>
        </w:r>
      </w:hyperlink>
      <w:r>
        <w:t>). O mesmo termo técnico, "oferta movida", também era usado para outros tipos de oferta: metais preciosos doados para a confecção dos artefatos cultuais (</w:t>
      </w:r>
      <w:hyperlink r:id="rId5678">
        <w:r>
          <w:rPr>
            <w:color w:val="0000EE"/>
            <w:u w:val="single"/>
          </w:rPr>
          <w:t>Êx 35.22</w:t>
        </w:r>
      </w:hyperlink>
      <w:r>
        <w:t xml:space="preserve">; </w:t>
      </w:r>
      <w:hyperlink r:id="rId15775">
        <w:r>
          <w:rPr>
            <w:color w:val="0000EE"/>
            <w:u w:val="single"/>
          </w:rPr>
          <w:t>38.29</w:t>
        </w:r>
      </w:hyperlink>
      <w:r>
        <w:t>) e a oferta pela culpa do leproso purificado (</w:t>
      </w:r>
      <w:hyperlink r:id="rId15776">
        <w:r>
          <w:rPr>
            <w:color w:val="0000EE"/>
            <w:u w:val="single"/>
          </w:rPr>
          <w:t>Lv 14.12</w:t>
        </w:r>
      </w:hyperlink>
      <w:r>
        <w:t>).</w:t>
      </w:r>
    </w:p>
    <w:p>
      <w:r/>
      <w:r>
        <w:t>3. Oferta voluntária. Esses presentes, trazidos para as santas convocações que ocorriam três vezes por ano (</w:t>
      </w:r>
      <w:hyperlink r:id="rId5106">
        <w:r>
          <w:rPr>
            <w:color w:val="0000EE"/>
            <w:u w:val="single"/>
          </w:rPr>
          <w:t>Êx 23.16</w:t>
        </w:r>
      </w:hyperlink>
      <w:r>
        <w:t xml:space="preserve">; </w:t>
      </w:r>
      <w:hyperlink r:id="rId15777">
        <w:r>
          <w:rPr>
            <w:color w:val="0000EE"/>
            <w:u w:val="single"/>
          </w:rPr>
          <w:t>34.20</w:t>
        </w:r>
      </w:hyperlink>
      <w:r>
        <w:t xml:space="preserve">; </w:t>
      </w:r>
      <w:hyperlink r:id="rId15778">
        <w:r>
          <w:rPr>
            <w:color w:val="0000EE"/>
            <w:u w:val="single"/>
          </w:rPr>
          <w:t>Dt 16.10,16–17</w:t>
        </w:r>
      </w:hyperlink>
      <w:r>
        <w:t xml:space="preserve">; </w:t>
      </w:r>
      <w:hyperlink r:id="rId15779">
        <w:r>
          <w:rPr>
            <w:color w:val="0000EE"/>
            <w:u w:val="single"/>
          </w:rPr>
          <w:t>2Cr 35.8</w:t>
        </w:r>
      </w:hyperlink>
      <w:r>
        <w:t xml:space="preserve">; </w:t>
      </w:r>
      <w:hyperlink r:id="rId15780">
        <w:r>
          <w:rPr>
            <w:color w:val="0000EE"/>
            <w:u w:val="single"/>
          </w:rPr>
          <w:t>Ed 3.5</w:t>
        </w:r>
      </w:hyperlink>
      <w:r>
        <w:t>), eram voluntários (</w:t>
      </w:r>
      <w:hyperlink r:id="rId15607">
        <w:r>
          <w:rPr>
            <w:color w:val="0000EE"/>
            <w:u w:val="single"/>
          </w:rPr>
          <w:t>Lv 7.16</w:t>
        </w:r>
      </w:hyperlink>
      <w:r>
        <w:t xml:space="preserve">; </w:t>
      </w:r>
      <w:hyperlink r:id="rId15781">
        <w:r>
          <w:rPr>
            <w:color w:val="0000EE"/>
            <w:u w:val="single"/>
          </w:rPr>
          <w:t>22.18,21–23</w:t>
        </w:r>
      </w:hyperlink>
      <w:r>
        <w:t xml:space="preserve">; </w:t>
      </w:r>
      <w:hyperlink r:id="rId15782">
        <w:r>
          <w:rPr>
            <w:color w:val="0000EE"/>
            <w:u w:val="single"/>
          </w:rPr>
          <w:t>23.28</w:t>
        </w:r>
      </w:hyperlink>
      <w:r>
        <w:t xml:space="preserve">; </w:t>
      </w:r>
      <w:hyperlink r:id="rId15783">
        <w:r>
          <w:rPr>
            <w:color w:val="0000EE"/>
            <w:u w:val="single"/>
          </w:rPr>
          <w:t>Nm 15.3</w:t>
        </w:r>
      </w:hyperlink>
      <w:r>
        <w:t xml:space="preserve">; </w:t>
      </w:r>
      <w:hyperlink r:id="rId15784">
        <w:r>
          <w:rPr>
            <w:color w:val="0000EE"/>
            <w:u w:val="single"/>
          </w:rPr>
          <w:t>29.39</w:t>
        </w:r>
      </w:hyperlink>
      <w:r>
        <w:t xml:space="preserve">; </w:t>
      </w:r>
      <w:hyperlink r:id="rId15785">
        <w:r>
          <w:rPr>
            <w:color w:val="0000EE"/>
            <w:u w:val="single"/>
          </w:rPr>
          <w:t>Dt 12.6,17</w:t>
        </w:r>
      </w:hyperlink>
      <w:r>
        <w:t>). Assim como a oferta voluntária, a oferta voluntária poderia ser um holocausto em vez de uma oferta pacífica (</w:t>
      </w:r>
      <w:hyperlink r:id="rId15786">
        <w:r>
          <w:rPr>
            <w:color w:val="0000EE"/>
            <w:u w:val="single"/>
          </w:rPr>
          <w:t>Lv 22.17–24</w:t>
        </w:r>
      </w:hyperlink>
      <w:r>
        <w:t xml:space="preserve">; </w:t>
      </w:r>
      <w:hyperlink r:id="rId15787">
        <w:r>
          <w:rPr>
            <w:color w:val="0000EE"/>
            <w:u w:val="single"/>
          </w:rPr>
          <w:t>Ez 46.12</w:t>
        </w:r>
      </w:hyperlink>
      <w:r>
        <w:t>). Se fosse a última, a carne poderia ser comida no segundo dia, mas deveria ser queimada antes do terceiro (</w:t>
      </w:r>
      <w:hyperlink r:id="rId15788">
        <w:r>
          <w:rPr>
            <w:color w:val="0000EE"/>
            <w:u w:val="single"/>
          </w:rPr>
          <w:t>Lv 7.16–17</w:t>
        </w:r>
      </w:hyperlink>
      <w:r>
        <w:t>). Ao contrário de algumas outras ofertas pacíficas, o animal sacrificado poderia ter um membro mais longo que o outro (</w:t>
      </w:r>
      <w:hyperlink r:id="rId1529">
        <w:r>
          <w:rPr>
            <w:color w:val="0000EE"/>
            <w:u w:val="single"/>
          </w:rPr>
          <w:t>22.23</w:t>
        </w:r>
      </w:hyperlink>
      <w:r>
        <w:t>).</w:t>
      </w:r>
    </w:p>
    <w:p>
      <w:r/>
      <w:r>
        <w:t>4. Oferta de instalação. Este termo hebraico refere-se ao estabelecimento de pedras preciosas (</w:t>
      </w:r>
      <w:hyperlink r:id="rId15789">
        <w:r>
          <w:rPr>
            <w:color w:val="0000EE"/>
            <w:u w:val="single"/>
          </w:rPr>
          <w:t>Êx 25.7</w:t>
        </w:r>
      </w:hyperlink>
      <w:r>
        <w:t xml:space="preserve">; </w:t>
      </w:r>
      <w:hyperlink r:id="rId15790">
        <w:r>
          <w:rPr>
            <w:color w:val="0000EE"/>
            <w:u w:val="single"/>
          </w:rPr>
          <w:t>35.9,27</w:t>
        </w:r>
      </w:hyperlink>
      <w:r>
        <w:t xml:space="preserve">; </w:t>
      </w:r>
      <w:hyperlink r:id="rId5513">
        <w:r>
          <w:rPr>
            <w:color w:val="0000EE"/>
            <w:u w:val="single"/>
          </w:rPr>
          <w:t>1Cr 29.2</w:t>
        </w:r>
      </w:hyperlink>
      <w:r>
        <w:t>), então "instalação" parece uma tradução apropriada. Estava relacionado com "encher a mão", um ato ritual que consagrava alguém ao serviço divino (</w:t>
      </w:r>
      <w:hyperlink r:id="rId5428">
        <w:r>
          <w:rPr>
            <w:color w:val="0000EE"/>
            <w:u w:val="single"/>
          </w:rPr>
          <w:t>Êx 28.41</w:t>
        </w:r>
      </w:hyperlink>
      <w:r>
        <w:t xml:space="preserve">; cf. </w:t>
      </w:r>
      <w:hyperlink r:id="rId15791">
        <w:r>
          <w:rPr>
            <w:color w:val="0000EE"/>
            <w:u w:val="single"/>
          </w:rPr>
          <w:t>32.29</w:t>
        </w:r>
      </w:hyperlink>
      <w:r>
        <w:t>) e exigia pureza ritual e devoção espiritual (</w:t>
      </w:r>
      <w:hyperlink r:id="rId15792">
        <w:r>
          <w:rPr>
            <w:color w:val="0000EE"/>
            <w:u w:val="single"/>
          </w:rPr>
          <w:t>2Cr 29.31</w:t>
        </w:r>
      </w:hyperlink>
      <w:r>
        <w:t>). Os detalhes da cerimônia original na instalação do primeiro sacerdote são descritos em duas passagens (</w:t>
      </w:r>
      <w:hyperlink r:id="rId15659">
        <w:r>
          <w:rPr>
            <w:color w:val="0000EE"/>
            <w:u w:val="single"/>
          </w:rPr>
          <w:t>Êx 29.19–34</w:t>
        </w:r>
      </w:hyperlink>
      <w:r>
        <w:t xml:space="preserve">; </w:t>
      </w:r>
      <w:hyperlink r:id="rId15793">
        <w:r>
          <w:rPr>
            <w:color w:val="0000EE"/>
            <w:u w:val="single"/>
          </w:rPr>
          <w:t>Lv 8.22–32</w:t>
        </w:r>
      </w:hyperlink>
      <w:r>
        <w:t>).</w:t>
      </w:r>
    </w:p>
    <w:p>
      <w:r/>
      <w:r>
        <w:rPr>
          <w:i/>
        </w:rPr>
        <w:t>Veja também</w:t>
      </w:r>
      <w:r>
        <w:t xml:space="preserve"> </w:t>
      </w:r>
      <w:r>
        <w:t>Expiação</w:t>
      </w:r>
      <w:r>
        <w:t xml:space="preserve">; </w:t>
      </w:r>
      <w:r>
        <w:t>Pureza e impureza, Regulamentos relacionados</w:t>
      </w:r>
      <w:r>
        <w:t xml:space="preserve">; </w:t>
      </w:r>
      <w:r>
        <w:t>Festas e festivais de Israel</w:t>
      </w:r>
      <w:r>
        <w:t xml:space="preserve">; </w:t>
      </w:r>
      <w:r>
        <w:t>Tabernáculo</w:t>
      </w:r>
      <w:r>
        <w:t xml:space="preserve">; </w:t>
      </w:r>
      <w:r>
        <w:t>Templo</w:t>
      </w:r>
      <w:r>
        <w:t>.</w:t>
      </w:r>
      <w:r/>
      <w:r/>
    </w:p>
    <w:p>
      <w:r/>
    </w:p>
    <w:p>
      <w:pPr>
        <w:pStyle w:val="Heading2"/>
      </w:pPr>
      <w:r>
        <w:t>Ofir (Lugar)</w:t>
      </w:r>
      <w:r/>
    </w:p>
    <w:p>
      <w:r/>
      <w:r>
        <w:t>Lugar para o qual Salomão enviou uma frota de navios mercantes para trazer ouro e todo tipo de produtos preciosos e exóticos. A localização de Ofir não é certa; a maioria dos estudiosos a coloca no sudoeste da Arábia. Pode haver uma relação entre o lugar e o homem chamado Ofir que aparece na tabela das nações como um filho de Joctã (</w:t>
      </w:r>
      <w:hyperlink r:id="rId10353">
        <w:r>
          <w:rPr>
            <w:color w:val="0000EE"/>
            <w:u w:val="single"/>
          </w:rPr>
          <w:t>Gn 10.29</w:t>
        </w:r>
      </w:hyperlink>
      <w:r>
        <w:t xml:space="preserve">; cf. </w:t>
      </w:r>
      <w:hyperlink r:id="rId10354">
        <w:r>
          <w:rPr>
            <w:color w:val="0000EE"/>
            <w:u w:val="single"/>
          </w:rPr>
          <w:t>1Cr 1.23</w:t>
        </w:r>
      </w:hyperlink>
      <w:r>
        <w:t>), um descendente de Sem. Os nomes de Joctã e seus filhos estão ligados às partes sul e oeste da Arábia.</w:t>
      </w:r>
    </w:p>
    <w:p>
      <w:r/>
      <w:hyperlink r:id="rId765">
        <w:r>
          <w:rPr>
            <w:color w:val="0000EE"/>
            <w:u w:val="single"/>
          </w:rPr>
          <w:t>Primeiro Reis 9.26–28</w:t>
        </w:r>
      </w:hyperlink>
      <w:r>
        <w:t xml:space="preserve"> relata que Salomão construiu uma frota de navios mercantes em Eziom-Geber, que ficava perto de Elate, no Golfo de Ácaba. Hirão, rei de Tiro, forneceu marinheiros para acompanhar os de Salomão. Esta expedição retornou com 14 mil quilos de ouro para Salomão. </w:t>
      </w:r>
      <w:hyperlink r:id="rId11001">
        <w:r>
          <w:rPr>
            <w:color w:val="0000EE"/>
            <w:u w:val="single"/>
          </w:rPr>
          <w:t>Primeiro Reis 10.11</w:t>
        </w:r>
      </w:hyperlink>
      <w:r>
        <w:t xml:space="preserve"> acrescenta que a frota de Hirão trouxe de Ofir uma grande quantidade de madeira de almugue (ou sândalo) e pedras preciosas.</w:t>
      </w:r>
    </w:p>
    <w:p>
      <w:r/>
      <w:r>
        <w:t xml:space="preserve">Mais tarde, Josafá construiu "navios de Társis" para ir a Ofir buscar ouro, mas os navios naufragaram em Eziom-Geber. Então Acazias, filho de Acabe de Israel, ofereceu-se para enviar seus homens com os marinheiros de Judá, mas Josafá recusou (veja </w:t>
      </w:r>
      <w:hyperlink r:id="rId15794">
        <w:r>
          <w:rPr>
            <w:color w:val="0000EE"/>
            <w:u w:val="single"/>
          </w:rPr>
          <w:t>1Rs 22.48–49</w:t>
        </w:r>
      </w:hyperlink>
      <w:r>
        <w:t>).</w:t>
      </w:r>
    </w:p>
    <w:p>
      <w:r/>
      <w:r>
        <w:t>O principal produto de Ofir era o ouro fino. Elifaz, o temanita, comenta que o Todo-Poderoso deve ser o ouro de alguém em vez do ouro de Ofir (</w:t>
      </w:r>
      <w:hyperlink r:id="rId15795">
        <w:r>
          <w:rPr>
            <w:color w:val="0000EE"/>
            <w:u w:val="single"/>
          </w:rPr>
          <w:t>Jó 22.24</w:t>
        </w:r>
      </w:hyperlink>
      <w:r>
        <w:t>). O próprio Jó declara que a sabedoria é muito mais valiosa do que todo o ouro de Ofir (</w:t>
      </w:r>
      <w:hyperlink r:id="rId15796">
        <w:r>
          <w:rPr>
            <w:color w:val="0000EE"/>
            <w:u w:val="single"/>
          </w:rPr>
          <w:t>28.16</w:t>
        </w:r>
      </w:hyperlink>
      <w:r>
        <w:t>). Em sua descrição das glórias do rei, o salmista descreve sua rainha à sua direita como usando joias do mais fino ouro de Ofir (</w:t>
      </w:r>
      <w:hyperlink r:id="rId15797">
        <w:r>
          <w:rPr>
            <w:color w:val="0000EE"/>
            <w:u w:val="single"/>
          </w:rPr>
          <w:t>Sl 45.9</w:t>
        </w:r>
      </w:hyperlink>
      <w:r>
        <w:t>).</w:t>
      </w:r>
    </w:p>
    <w:p>
      <w:r/>
      <w:r>
        <w:t>Alguns sugerem que os navios de Társis mencionados (</w:t>
      </w:r>
      <w:hyperlink r:id="rId1465">
        <w:r>
          <w:rPr>
            <w:color w:val="0000EE"/>
            <w:u w:val="single"/>
          </w:rPr>
          <w:t>1Rs 10.22</w:t>
        </w:r>
      </w:hyperlink>
      <w:r>
        <w:t>) eram aqueles que iam a Ofir e retornavam a cada três anos com ouro, prata, marfim, macacos e pavões. Comerciantes traziam os produtos, alguns de lugares tão distantes quanto a Índia, para os portos de Ofir, onde os representantes de Salomão os compravam.</w:t>
      </w:r>
      <w:r/>
      <w:r/>
    </w:p>
    <w:p>
      <w:r/>
    </w:p>
    <w:p>
      <w:pPr>
        <w:pStyle w:val="Heading2"/>
      </w:pPr>
      <w:r>
        <w:t>Ofir (Pessoa)</w:t>
      </w:r>
      <w:r/>
    </w:p>
    <w:p>
      <w:r/>
      <w:r>
        <w:t>Filho de Joctã e descendente de Sem através da linhagem de Arfaxade (</w:t>
      </w:r>
      <w:hyperlink r:id="rId10353">
        <w:r>
          <w:rPr>
            <w:color w:val="0000EE"/>
            <w:u w:val="single"/>
          </w:rPr>
          <w:t>Gn 10.29</w:t>
        </w:r>
      </w:hyperlink>
      <w:r>
        <w:t xml:space="preserve">; </w:t>
      </w:r>
      <w:hyperlink r:id="rId10354">
        <w:r>
          <w:rPr>
            <w:color w:val="0000EE"/>
            <w:u w:val="single"/>
          </w:rPr>
          <w:t>1Cr 1.23</w:t>
        </w:r>
      </w:hyperlink>
      <w:r>
        <w:t>).</w:t>
      </w:r>
      <w:r/>
      <w:r/>
    </w:p>
    <w:p>
      <w:r/>
    </w:p>
    <w:p>
      <w:pPr>
        <w:pStyle w:val="Heading2"/>
      </w:pPr>
      <w:r>
        <w:t>Ogue</w:t>
      </w:r>
      <w:r/>
    </w:p>
    <w:p>
      <w:r/>
      <w:r>
        <w:t>Rei de Basã. Este rei era famoso em parte porque era um gigante. “Pois apenas Ogue, rei de Basã, havia restado do remanescente dos refaíns. Sua cama de ferro, com nove côvados de comprimento e quatro côvados de largura, ainda está em Rabá dos amonitas” (</w:t>
      </w:r>
      <w:hyperlink r:id="rId1117">
        <w:r>
          <w:rPr>
            <w:color w:val="0000EE"/>
            <w:u w:val="single"/>
          </w:rPr>
          <w:t>Dt 3.11</w:t>
        </w:r>
      </w:hyperlink>
      <w:r>
        <w:t>). Isso significa que a cama tinha mais de 4,1 metros de comprimento e 1,8 metros de largura!</w:t>
      </w:r>
    </w:p>
    <w:p>
      <w:r/>
      <w:r>
        <w:t>Moisés derrotou Ogue logo após a derrota do rei Seom, o amorita (</w:t>
      </w:r>
      <w:hyperlink r:id="rId2489">
        <w:r>
          <w:rPr>
            <w:color w:val="0000EE"/>
            <w:u w:val="single"/>
          </w:rPr>
          <w:t>Nm 21.33–35</w:t>
        </w:r>
      </w:hyperlink>
      <w:r>
        <w:t>). Basã ficava ao longo da parte norte da Transjordânia (a região a leste do Rio Jordão). A terra de Ogue se estendia para o nordeste a partir do curso inferior do Rio Jarmuk (Yarmuk). Cadeias altas de montanhas a leste o protegiam dos ventos escaldantes do deserto.</w:t>
      </w:r>
    </w:p>
    <w:p>
      <w:r/>
      <w:r>
        <w:t>Ogue e seu povo tinham vários assentamentos. Os assentamentos mais importantes eram Astarote e Edrei (</w:t>
      </w:r>
      <w:hyperlink r:id="rId7578">
        <w:r>
          <w:rPr>
            <w:color w:val="0000EE"/>
            <w:u w:val="single"/>
          </w:rPr>
          <w:t>Js 13.12</w:t>
        </w:r>
      </w:hyperlink>
      <w:r>
        <w:t>). Ogue havia fortificado sua terra com 60 cidades muradas. Ele provavelmente estava excessivamente confiante ao lutar contra o exército de Moisés. Moisés destruiu todos que viviam nessas cidades, poupando apenas o gado e os despojos de guerra (</w:t>
      </w:r>
      <w:hyperlink r:id="rId15798">
        <w:r>
          <w:rPr>
            <w:color w:val="0000EE"/>
            <w:u w:val="single"/>
          </w:rPr>
          <w:t>Dt 3.5–6</w:t>
        </w:r>
      </w:hyperlink>
      <w:r>
        <w:t>).</w:t>
      </w:r>
    </w:p>
    <w:p>
      <w:r/>
      <w:r>
        <w:t>Três tribos de Israel achararam a Transjordânia mais adequada para pastorear seus rebanhos. Assim, após a derrota de Seom e Ogue, Moisés designou essas terras capturadas para as tribos de Gade, Rúben e metade de Manassés (</w:t>
      </w:r>
      <w:hyperlink r:id="rId1225">
        <w:r>
          <w:rPr>
            <w:color w:val="0000EE"/>
            <w:u w:val="single"/>
          </w:rPr>
          <w:t>Nm 32.33</w:t>
        </w:r>
      </w:hyperlink>
      <w:r>
        <w:t xml:space="preserve">; </w:t>
      </w:r>
      <w:hyperlink r:id="rId15799">
        <w:r>
          <w:rPr>
            <w:color w:val="0000EE"/>
            <w:u w:val="single"/>
          </w:rPr>
          <w:t>Js 12.4–6</w:t>
        </w:r>
      </w:hyperlink>
      <w:r>
        <w:t>).</w:t>
      </w:r>
      <w:r/>
      <w:r/>
    </w:p>
    <w:p>
      <w:r/>
    </w:p>
    <w:p>
      <w:pPr>
        <w:pStyle w:val="Heading2"/>
      </w:pPr>
      <w:r>
        <w:t>Olaria</w:t>
      </w:r>
      <w:r/>
    </w:p>
    <w:p>
      <w:r/>
      <w:r>
        <w:t>A fabricação de louça de barro e cerâmica.</w:t>
      </w:r>
    </w:p>
    <w:p>
      <w:pPr>
        <w:pStyle w:val="Heading3"/>
      </w:pPr>
      <w:r>
        <w:t>História e desenvolvimento</w:t>
      </w:r>
    </w:p>
    <w:p>
      <w:r/>
      <w:r>
        <w:t>A primeira cerâmica foi feita à mão, moldada na forma desejada e seca ao sol. Não há registros descrevendo o trabalho do antigo oleiro e seu lugar na sociedade, embora as paredes de tumbas e palácios no Egito estejam repletas de imagens de oleiros trabalhando e muito pode ser aprendido observando as atividades retratadas. Acredita-se que os primeiros oleiros tenham sido mulheres que, por necessidade, produziam recipientes para a preparação de alimentos, enquanto os homens estavam fora tentando trazer comida. Isso ainda parece ser o padrão em lugares como África, Anatólia, Curdistão e o sudoeste dos Estados Unidos. Eventualmente, a fabricação de cerâmica tornou-se uma profissão, aparentemente praticada por certas pessoas em uma grande aldeia e muitas vezes por artesãos itinerantes que se deslocavam de aldeia em aldeia fazendo cerâmica para atender à demanda e depois seguiam em frente.</w:t>
      </w:r>
    </w:p>
    <w:p>
      <w:r/>
      <w:r>
        <w:t>A descoberta que transformou a fabricação de cerâmica de uma atividade ocasional de uma dona de casa para uma profissão foi a invenção da roda de oleiro. A velocidade com que os vasos podiam então ser feitos industrializou o ofício, e eventualmente tornou-se principalmente uma ocupação masculina, embora haja evidências de que pessoas (presumivelmente mulheres) continuaram a fazer alguns vasos em casa. Até a descoberta da roda de oleiro, as técnicas de fazer potes colocando espirais de argila, uma sobre a outra, eram o método predominante usado, especialmente para grandes vasos. A primeira roda de oleiro encontrada em escavações nas terras da Bíblia vem de Ur em Sumer por volta de 3500 a 3000 a.C. Pode ter sido desenvolvida em assentamentos urbanos emergentes devido a um mercado maior para a olaria. Jeremias fala de uma oficina de oleiro no século sexto a.C.: “Então eu fui e encontrei o oleiro trabalhando com o barro sobre a roda de madeira. Quando o pote que o oleiro estava fazendo não ficava bom, ele pegava o barro e fazia outro, conforme queria” (</w:t>
      </w:r>
      <w:hyperlink r:id="rId15800">
        <w:r>
          <w:rPr>
            <w:color w:val="0000EE"/>
            <w:u w:val="single"/>
          </w:rPr>
          <w:t>Jr 18.3–4</w:t>
        </w:r>
      </w:hyperlink>
      <w:r>
        <w:t>, NTLH). Há evidências na Grécia de grandes oficinas no período clássico empregando mais de 50 trabalhadores.</w:t>
      </w:r>
    </w:p>
    <w:p>
      <w:r/>
      <w:r>
        <w:t>O barro deve ser girado pelo menos 100 rotações por minuto para criar a força centrífuga necessária para "lançar" o vaso. As rodas mais antigas eram feitas de duas pedras, uma inferior com um buraco no centro e uma superior com uma saliência que se encaixa no buraco inferior, permitindo que a pedra superior fosse girada. A pedra superior, com uma tábua maior anexada a ela sobre a qual o vaso repousava, era sem dúvida girada por um aprendiz. No período helenístico, após 300 a.C., a roda de pé foi inventada.</w:t>
      </w:r>
    </w:p>
    <w:p>
      <w:r/>
      <w:r>
        <w:t>Outra técnica usada na fabricação de cerâmica antiga era o molde. Os moldes eram esculpidos em pedra macia ou feitos de argila para uso na produção em massa do mesmo tipo de vaso. Moldes de lâmpadas são bastante comuns em museus do Oriente Médio dos períodos helenístico e romano. Pequenas lâmpadas a óleo eram feitas em duas partes nos moldes, uma metade superior e uma metade inferior, e depois fundidas antes da queima. As lâmpadas herodianas também tinham bicos espatulados que eram formados independentemente das outras duas partes.</w:t>
      </w:r>
    </w:p>
    <w:p>
      <w:r/>
      <w:r>
        <w:t>A quantidade de diversidade tanto no tamanho quanto na forma da cerâmica antiga é notável. Uma casa antiga de porte médio teria dentro dela grandes vasos (ânforas e pito) para conter líquidos como vinho ou água. Estes eram pontiagudos na parte inferior e projetados originalmente para se deitar contra a inclinação do casco de um navio durante o transporte. Nas casas do povo comum, eles eram parcialmente enterrados no chão e inclinados contra a parede. Nas tabernas de Pompeia e Herculano, eram armazenados em prateleiras de madeira. Grandes jarros de boca aberta eram parcialmente enterrados no chão para manter o líquido contido neles fresco. Além disso, grãos de vários tipos podiam ser mantidos nesses recipientes, alguns dos quais tinham 1,2 metros de altura e 0,9 metro de largura. Decantadores de água menores, com capacidade para um litro ou mais, eram comumente usados. Jarras globulares eram usadas para servir vinho, com bicos que evitavam derramar o precioso líquido. Cantis redondos, com alças em cada ombro, eram usados para transportar água em uma viagem. Tigelas e pratos eram comuns em vários tamanhos e profundidades nas casas antigas. Pratos de boca larga conhecidos como crateras eram usados para beber. O cozimento era feito em panelas de tamanho médio (cerca de 3,8 litros) com fundos arredondados que se acomodavam facilmente no fogo ou em um lugar escavado no chão após serem retirados do fogo. Elas também tinham duas alças em loop, o que permitia que fossem penduradas sobre o fogo.</w:t>
      </w:r>
    </w:p>
    <w:p>
      <w:r/>
      <w:r>
        <w:t>Os vasos eram pintados na Grécia clássica com descrições vívidas de religião, sexo, guerra e vida comunitária. Vasos anteriores das culturas minoica e micênica contêm belas obras de arte na forma de plantas, animais e vida marinha, bem como designs geométricos. Desde os primeiros tempos no Oriente Médio, variações no design foram criadas pelo uso de tons escuros e claros de engobe pintado ou derramado aleatoriamente sobre os vasos.</w:t>
      </w:r>
    </w:p>
    <w:p>
      <w:pPr>
        <w:pStyle w:val="Heading3"/>
      </w:pPr>
      <w:r>
        <w:t>Cerâmica nas Escrituras</w:t>
      </w:r>
    </w:p>
    <w:p>
      <w:r/>
      <w:r>
        <w:t>Há muitas referências ao oleiro e seu trabalho na Bíblia. As mais conhecidas são as seguintes: “Será que eu não posso fazer com o povo de Israel o mesmo que o oleiro faz com o barro? Vocês estão nas minhas mãos assim como o barro está nas mãos do oleiro. Sou eu, o SENHOR, quem está falando” (</w:t>
      </w:r>
      <w:hyperlink r:id="rId15801">
        <w:r>
          <w:rPr>
            <w:color w:val="0000EE"/>
            <w:u w:val="single"/>
          </w:rPr>
          <w:t>Jr 18.6</w:t>
        </w:r>
      </w:hyperlink>
      <w:r>
        <w:t>, NTLH); “Mas tu, ó SENHOR Deus, és o nosso Pai; nós somos o barro, tu és o oleiro, todos nós fomos feitos por ti” (</w:t>
      </w:r>
      <w:hyperlink r:id="rId15246">
        <w:r>
          <w:rPr>
            <w:color w:val="0000EE"/>
            <w:u w:val="single"/>
          </w:rPr>
          <w:t>Is 64.8</w:t>
        </w:r>
      </w:hyperlink>
      <w:r>
        <w:t>, NTLH). Na história da Criação, Deus é retratado como um oleiro fazendo o homem do solo (</w:t>
      </w:r>
      <w:hyperlink r:id="rId292">
        <w:r>
          <w:rPr>
            <w:color w:val="0000EE"/>
            <w:u w:val="single"/>
          </w:rPr>
          <w:t>Gn 2.7</w:t>
        </w:r>
      </w:hyperlink>
      <w:r>
        <w:t>). Sua soberania absoluta na eleição de Israel é argumentada por Paulo (</w:t>
      </w:r>
      <w:hyperlink r:id="rId15802">
        <w:r>
          <w:rPr>
            <w:color w:val="0000EE"/>
            <w:u w:val="single"/>
          </w:rPr>
          <w:t>Rm 9.20–21</w:t>
        </w:r>
      </w:hyperlink>
      <w:r>
        <w:t>) a partir de uma ilustração usada por Isaías (</w:t>
      </w:r>
      <w:hyperlink r:id="rId3964">
        <w:r>
          <w:rPr>
            <w:color w:val="0000EE"/>
            <w:u w:val="single"/>
          </w:rPr>
          <w:t>Is 45.9</w:t>
        </w:r>
      </w:hyperlink>
      <w:r>
        <w:t>) sobre um pote discutindo com seu oleiro: “Um vaso de barro não briga com quem o fez. O barro não pergunta ao oleiro: “O que é que você está fazendo?”, nem diz: “Você não sabe trabalhar.’” (NTLH).</w:t>
      </w:r>
    </w:p>
    <w:p>
      <w:r/>
      <w:r>
        <w:t>Jeremias profetizou graficamente a destruição de Jerusalém ao quebrar um vaso de oleiro em tantos pedaços que não poderia ser restaurado (</w:t>
      </w:r>
      <w:hyperlink r:id="rId15803">
        <w:r>
          <w:rPr>
            <w:color w:val="0000EE"/>
            <w:u w:val="single"/>
          </w:rPr>
          <w:t>Jr 19.11</w:t>
        </w:r>
      </w:hyperlink>
      <w:r>
        <w:t>). Os judeus, na época da destruição, embora preciosos aos olhos de Deus, foram “tratados como potes de barro” (</w:t>
      </w:r>
      <w:hyperlink r:id="rId15804">
        <w:r>
          <w:rPr>
            <w:color w:val="0000EE"/>
            <w:u w:val="single"/>
          </w:rPr>
          <w:t>Lm 4.2</w:t>
        </w:r>
      </w:hyperlink>
      <w:r>
        <w:t>) — uma expressão de sua fragilidade humana; eles poderiam ser facilmente quebrados e destruídos.</w:t>
      </w:r>
    </w:p>
    <w:p>
      <w:r/>
      <w:r>
        <w:t>Um vaso de cerâmica quebrado no mundo antigo era considerado tão sem valor que os pedaços eram varridos ou jogados pela janela e um novo era feito. A arte do oleiro era amplamente conhecida e os vasos estavam prontamente disponíveis a um preço baixo. As pessoas normalmente não transportavam seus vasos quando se mudavam. Era mais fácil fazer ou comprar novos do que tentar carregá-los, especialmente os maiores. No entanto, pedaços quebrados não eram totalmente inúteis. Jó raspou a secreção de suas feridas com um caco de cerâmica, que é um pedaço quebrado de cerâmica (</w:t>
      </w:r>
      <w:hyperlink r:id="rId15805">
        <w:r>
          <w:rPr>
            <w:color w:val="0000EE"/>
            <w:u w:val="single"/>
          </w:rPr>
          <w:t>Jó 2.8</w:t>
        </w:r>
      </w:hyperlink>
      <w:r>
        <w:t>). Muito tempo depois, cacos de cerâmica eram usados para escrever notas e eram chamados de ostraca. O salmista falou de sua força como tendo secado como um caco de cerâmica (</w:t>
      </w:r>
      <w:hyperlink r:id="rId3962">
        <w:r>
          <w:rPr>
            <w:color w:val="0000EE"/>
            <w:u w:val="single"/>
          </w:rPr>
          <w:t>Sl 22.15</w:t>
        </w:r>
      </w:hyperlink>
      <w:r>
        <w:t>) — uma referência à falta de umidade em um vaso de cerâmica seco e queimado. A eventual derrota de nações pagãs politeístas e idólatras é descrita como vasos de cerâmica sendo lançados ao chão e quebrados em pedaços pelos justos (</w:t>
      </w:r>
      <w:hyperlink r:id="rId2514">
        <w:r>
          <w:rPr>
            <w:color w:val="0000EE"/>
            <w:u w:val="single"/>
          </w:rPr>
          <w:t>Sl 2.9</w:t>
        </w:r>
      </w:hyperlink>
      <w:r>
        <w:t xml:space="preserve">; </w:t>
      </w:r>
      <w:hyperlink r:id="rId14559">
        <w:r>
          <w:rPr>
            <w:color w:val="0000EE"/>
            <w:u w:val="single"/>
          </w:rPr>
          <w:t>Ap 2.27</w:t>
        </w:r>
      </w:hyperlink>
      <w:r>
        <w:t>).</w:t>
      </w:r>
    </w:p>
    <w:p>
      <w:r/>
      <w:r>
        <w:rPr>
          <w:i/>
        </w:rPr>
        <w:t>Veja também</w:t>
      </w:r>
      <w:r>
        <w:t xml:space="preserve"> </w:t>
      </w:r>
      <w:r>
        <w:t>Arqueologia e a Bíblia</w:t>
      </w:r>
      <w:r>
        <w:t xml:space="preserve">; </w:t>
      </w:r>
      <w:r>
        <w:t>Tijolo, Forno de tijolos</w:t>
      </w:r>
      <w:r>
        <w:t xml:space="preserve">; </w:t>
      </w:r>
      <w:r>
        <w:t>Inscrições</w:t>
      </w:r>
      <w:r>
        <w:t>.</w:t>
      </w:r>
      <w:r/>
      <w:r/>
    </w:p>
    <w:p>
      <w:r/>
    </w:p>
    <w:p>
      <w:pPr>
        <w:pStyle w:val="Heading2"/>
      </w:pPr>
      <w:r>
        <w:t>Óleo</w:t>
      </w:r>
      <w:r/>
    </w:p>
    <w:p>
      <w:r/>
      <w:r>
        <w:t>Substância mais comumente produzida da azeitona, embora a palavra também possa se aplicar ao óleo de mirra (</w:t>
      </w:r>
      <w:hyperlink r:id="rId15806">
        <w:r>
          <w:rPr>
            <w:color w:val="0000EE"/>
            <w:u w:val="single"/>
          </w:rPr>
          <w:t>Et 2.12</w:t>
        </w:r>
      </w:hyperlink>
      <w:r>
        <w:t>). O óleo era usado principalmente na cozinha, mas também como um cosmético para ungir o corpo, para fins medicinais, como uma fonte de luz, para ungir reis e sacerdotes e em ofertas religiosas.</w:t>
      </w:r>
    </w:p>
    <w:p>
      <w:r/>
      <w:r>
        <w:t>O crescimento de oliveiras era generalizado, e os israelitas aproveitavam esta importante colheita para estabelecer um comércio próspero de óleo com Tiro e o Egito. Como metais preciosos e animais, o óleo se tornou um meio estabelecido de troca. Salomão o usou como parte do pagamento a Hirão para despesas de construção relacionadas com o templo (</w:t>
      </w:r>
      <w:hyperlink r:id="rId7163">
        <w:r>
          <w:rPr>
            <w:color w:val="0000EE"/>
            <w:u w:val="single"/>
          </w:rPr>
          <w:t>1Rs 5.11</w:t>
        </w:r>
      </w:hyperlink>
      <w:r>
        <w:t xml:space="preserve">; </w:t>
      </w:r>
      <w:hyperlink r:id="rId568">
        <w:r>
          <w:rPr>
            <w:color w:val="0000EE"/>
            <w:u w:val="single"/>
          </w:rPr>
          <w:t>Ez 27.17</w:t>
        </w:r>
      </w:hyperlink>
      <w:r>
        <w:t>).</w:t>
      </w:r>
    </w:p>
    <w:p>
      <w:r/>
      <w:r>
        <w:t>Porque o óleo era essencial para a vida cotidiana, era um meio eficaz e aceitável de troca. O óleo era usado na preparação da maioria dos alimentos (</w:t>
      </w:r>
      <w:hyperlink r:id="rId15807">
        <w:r>
          <w:rPr>
            <w:color w:val="0000EE"/>
            <w:u w:val="single"/>
          </w:rPr>
          <w:t>1Rs 17.12–16</w:t>
        </w:r>
      </w:hyperlink>
      <w:r>
        <w:t>). O bolo comum ou bolo de grãos, que formava a base da refeição do meio-dia, seria cozido em uma chapa com um pouco de óleo.</w:t>
      </w:r>
    </w:p>
    <w:p>
      <w:r/>
      <w:r>
        <w:t>Como um cosmético, o óleo era usado para ungir o corpo após um banho (</w:t>
      </w:r>
      <w:hyperlink r:id="rId3022">
        <w:r>
          <w:rPr>
            <w:color w:val="0000EE"/>
            <w:u w:val="single"/>
          </w:rPr>
          <w:t>Rt 3.3</w:t>
        </w:r>
      </w:hyperlink>
      <w:r>
        <w:t xml:space="preserve">; </w:t>
      </w:r>
      <w:hyperlink r:id="rId3023">
        <w:r>
          <w:rPr>
            <w:color w:val="0000EE"/>
            <w:u w:val="single"/>
          </w:rPr>
          <w:t>2Sm 12.20</w:t>
        </w:r>
      </w:hyperlink>
      <w:r>
        <w:t>). Era frequentemente usado em ocasiões festivas, e nos banquetes egípcios, as cabeças dos convidados e das artistas eram ungidas. No NT, a unção dos doentes é mencionada (</w:t>
      </w:r>
      <w:hyperlink r:id="rId1414">
        <w:r>
          <w:rPr>
            <w:color w:val="0000EE"/>
            <w:u w:val="single"/>
          </w:rPr>
          <w:t>Tg 5.14</w:t>
        </w:r>
      </w:hyperlink>
      <w:r>
        <w:t>). O azeite também poderia ser tomado internamente como um medicamento para o alívio dos distúrbios gástricos. Tinha um efeito calmante e também era usado como um laxante leve. Era aplicado externamente como um unguento para contusões, queimaduras, cortes e escoriações (</w:t>
      </w:r>
      <w:hyperlink r:id="rId15808">
        <w:r>
          <w:rPr>
            <w:color w:val="0000EE"/>
            <w:u w:val="single"/>
          </w:rPr>
          <w:t>Is 1.6</w:t>
        </w:r>
      </w:hyperlink>
      <w:r>
        <w:t xml:space="preserve">; </w:t>
      </w:r>
      <w:hyperlink r:id="rId15809">
        <w:r>
          <w:rPr>
            <w:color w:val="0000EE"/>
            <w:u w:val="single"/>
          </w:rPr>
          <w:t>Mc 6.13</w:t>
        </w:r>
      </w:hyperlink>
      <w:r>
        <w:t xml:space="preserve">; </w:t>
      </w:r>
      <w:hyperlink r:id="rId14134">
        <w:r>
          <w:rPr>
            <w:color w:val="0000EE"/>
            <w:u w:val="single"/>
          </w:rPr>
          <w:t>Lc 10.34</w:t>
        </w:r>
      </w:hyperlink>
      <w:r>
        <w:t>).</w:t>
      </w:r>
    </w:p>
    <w:p>
      <w:r/>
      <w:r>
        <w:t>Assim que o sol se punha, a única fonte de luz era a lâmpada a óleo. Muitas vezes a pequena e portátil poderia ser colocada facilmente em uma prateleira, mas em grandes casas, palácios, sinagogas ou templos, a lâmpada poderia ficar em uma base de metal alta como uma lâmpada padrão. O pavio de linho (</w:t>
      </w:r>
      <w:hyperlink r:id="rId12703">
        <w:r>
          <w:rPr>
            <w:color w:val="0000EE"/>
            <w:u w:val="single"/>
          </w:rPr>
          <w:t>Is 42.3</w:t>
        </w:r>
      </w:hyperlink>
      <w:r>
        <w:t>) ou corda de linho era colocada no óleo que emitia uma chama até que era extinta ou o fornecimento de combustível se esgotava. As tochas eram usadas nas ruas tanto para iluminar o caminho quanto para segurança adicional. Eles aumentaram imensuravelmente à atmosfera festiva das procissões à noite. As tochas eram uma parte essencial da procissão do casamento, e normalmente aqueles que carregavam as tochas traziam uma quantidade de óleo em um recipiente no caso de haver um atraso e seu fornecimento estar esgotado. Esta cena é vividamente retratada na parábola de Jesus das virgens sábias e tolas (</w:t>
      </w:r>
      <w:hyperlink r:id="rId7483">
        <w:r>
          <w:rPr>
            <w:color w:val="0000EE"/>
            <w:u w:val="single"/>
          </w:rPr>
          <w:t>Mt 25.1–13</w:t>
        </w:r>
      </w:hyperlink>
      <w:r>
        <w:t>).</w:t>
      </w:r>
    </w:p>
    <w:p>
      <w:r/>
      <w:r>
        <w:t>Em outros eventos cerimoniais, o óleo tinha um significado especial quando usado para a unção de reis (</w:t>
      </w:r>
      <w:hyperlink r:id="rId3319">
        <w:r>
          <w:rPr>
            <w:color w:val="0000EE"/>
            <w:u w:val="single"/>
          </w:rPr>
          <w:t>1Sm 10.1</w:t>
        </w:r>
      </w:hyperlink>
      <w:r>
        <w:t xml:space="preserve">; </w:t>
      </w:r>
      <w:hyperlink r:id="rId4822">
        <w:r>
          <w:rPr>
            <w:color w:val="0000EE"/>
            <w:u w:val="single"/>
          </w:rPr>
          <w:t>1Rs 1.39</w:t>
        </w:r>
      </w:hyperlink>
      <w:r>
        <w:t>) e sacerdotes (</w:t>
      </w:r>
      <w:hyperlink r:id="rId15810">
        <w:r>
          <w:rPr>
            <w:color w:val="0000EE"/>
            <w:u w:val="single"/>
          </w:rPr>
          <w:t>Êx 29.7</w:t>
        </w:r>
      </w:hyperlink>
      <w:r>
        <w:t>). Era símbolo do ofício e do reconhecimento da bênção de Deus sobre o titular do ofício.</w:t>
      </w:r>
    </w:p>
    <w:p>
      <w:r/>
      <w:r>
        <w:t>Quantidades de óleo eram usadas no templo. Era doado como parte da oferta de primícias (</w:t>
      </w:r>
      <w:hyperlink r:id="rId15811">
        <w:r>
          <w:rPr>
            <w:color w:val="0000EE"/>
            <w:u w:val="single"/>
          </w:rPr>
          <w:t>Êx 22.29</w:t>
        </w:r>
      </w:hyperlink>
      <w:r>
        <w:t>) e também estava sujeito a dízimo (</w:t>
      </w:r>
      <w:hyperlink r:id="rId15812">
        <w:r>
          <w:rPr>
            <w:color w:val="0000EE"/>
            <w:u w:val="single"/>
          </w:rPr>
          <w:t>Dt 12.17</w:t>
        </w:r>
      </w:hyperlink>
      <w:r>
        <w:t>). O óleo era frequentemente usado para o aspecto cerimonial da vida do templo ou como parte da oferta. A oferta de grãos era misturada com óleo (</w:t>
      </w:r>
      <w:hyperlink r:id="rId15813">
        <w:r>
          <w:rPr>
            <w:color w:val="0000EE"/>
            <w:u w:val="single"/>
          </w:rPr>
          <w:t>Lv 8.26</w:t>
        </w:r>
      </w:hyperlink>
      <w:r>
        <w:t xml:space="preserve">; </w:t>
      </w:r>
      <w:hyperlink r:id="rId15814">
        <w:r>
          <w:rPr>
            <w:color w:val="0000EE"/>
            <w:u w:val="single"/>
          </w:rPr>
          <w:t>Nm 7.19</w:t>
        </w:r>
      </w:hyperlink>
      <w:r>
        <w:t>), e o óleo na lâmpada que queimava no santuário precisava constantemente de reabastecimento (</w:t>
      </w:r>
      <w:hyperlink r:id="rId12823">
        <w:r>
          <w:rPr>
            <w:color w:val="0000EE"/>
            <w:u w:val="single"/>
          </w:rPr>
          <w:t>Lv 24.2</w:t>
        </w:r>
      </w:hyperlink>
      <w:r>
        <w:t>). O sacrifício diário exigia o uso de óleo (</w:t>
      </w:r>
      <w:hyperlink r:id="rId15735">
        <w:r>
          <w:rPr>
            <w:color w:val="0000EE"/>
            <w:u w:val="single"/>
          </w:rPr>
          <w:t>Êx 29.40</w:t>
        </w:r>
      </w:hyperlink>
      <w:r>
        <w:t>), embora a oferta pelo pecado (</w:t>
      </w:r>
      <w:hyperlink r:id="rId19">
        <w:r>
          <w:rPr>
            <w:color w:val="0000EE"/>
            <w:u w:val="single"/>
          </w:rPr>
          <w:t>Lv 5.11</w:t>
        </w:r>
      </w:hyperlink>
      <w:r>
        <w:t>) e a oferta de ciúme (</w:t>
      </w:r>
      <w:hyperlink r:id="rId17">
        <w:r>
          <w:rPr>
            <w:color w:val="0000EE"/>
            <w:u w:val="single"/>
          </w:rPr>
          <w:t>Nm 5.15</w:t>
        </w:r>
      </w:hyperlink>
      <w:r>
        <w:t>) especificamente não usassem óleo.</w:t>
      </w:r>
    </w:p>
    <w:p>
      <w:r/>
      <w:r>
        <w:t>Um pilão e socador, ou uma prensa de pedra, exprimia o óleo das azeitonas (</w:t>
      </w:r>
      <w:hyperlink r:id="rId12704">
        <w:r>
          <w:rPr>
            <w:color w:val="0000EE"/>
            <w:u w:val="single"/>
          </w:rPr>
          <w:t>Êx 27.20</w:t>
        </w:r>
      </w:hyperlink>
      <w:r>
        <w:t xml:space="preserve">). Onde este último foi usado, a polpa inicialmente produzida pela prensa era muitas vezes pisada ou submetida a uma prensagem mais extensa. As prensas de pedra foram criadas para processar as quantidades de azeitonas disponíveis no Monte das Oliveiras. A palavra para “prensa de óleo” era </w:t>
      </w:r>
      <w:r>
        <w:rPr>
          <w:i/>
        </w:rPr>
        <w:t>gatt-semen,</w:t>
      </w:r>
      <w:r>
        <w:t xml:space="preserve"> daí o nome Getsêmani.</w:t>
      </w:r>
    </w:p>
    <w:p>
      <w:r/>
      <w:r>
        <w:t>O óleo estava simbolicamente associado com alegria, festividade, cerimônia, honra, luz e saúde (tanto espiritual quanto física), enquanto sua ausência soletrava tristeza (</w:t>
      </w:r>
      <w:hyperlink r:id="rId15815">
        <w:r>
          <w:rPr>
            <w:color w:val="0000EE"/>
            <w:u w:val="single"/>
          </w:rPr>
          <w:t>Jl 1.10</w:t>
        </w:r>
      </w:hyperlink>
      <w:r>
        <w:t>) e a retirada de tudo o que é bom na vida.</w:t>
      </w:r>
    </w:p>
    <w:p>
      <w:r/>
      <w:r>
        <w:rPr>
          <w:i/>
        </w:rPr>
        <w:t>Veja também</w:t>
      </w:r>
      <w:r>
        <w:t xml:space="preserve"> </w:t>
      </w:r>
      <w:r>
        <w:t>Ungir</w:t>
      </w:r>
      <w:r>
        <w:t xml:space="preserve">; </w:t>
      </w:r>
      <w:r>
        <w:t>Alimentos e Preparação de Alimentos</w:t>
      </w:r>
      <w:r>
        <w:t xml:space="preserve">; </w:t>
      </w:r>
      <w:r>
        <w:t>Medicamento e Prática Médica</w:t>
      </w:r>
      <w:r>
        <w:t xml:space="preserve">; </w:t>
      </w:r>
      <w:r>
        <w:t>Unguento</w:t>
      </w:r>
      <w:r>
        <w:t xml:space="preserve">; </w:t>
      </w:r>
      <w:r>
        <w:t>Plantas</w:t>
      </w:r>
      <w:r>
        <w:t xml:space="preserve"> (</w:t>
      </w:r>
      <w:r>
        <w:t>Oliva, Oliveira</w:t>
      </w:r>
      <w:r>
        <w:t>).</w:t>
      </w:r>
      <w:r/>
      <w:r/>
    </w:p>
    <w:p>
      <w:r/>
    </w:p>
    <w:p>
      <w:pPr>
        <w:pStyle w:val="Heading2"/>
      </w:pPr>
      <w:r>
        <w:t>Oliveiras, Monte das</w:t>
      </w:r>
      <w:r/>
    </w:p>
    <w:p>
      <w:r/>
      <w:r>
        <w:t xml:space="preserve">O Monte das Oliveiras é uma grande cordilheira que se estende de norte a sul nas montanhas da Judeia. Está localizado diretamente a leste de Jerusalém e do Vale do Cedrom. A montanha possui três picos, com dois vales entre eles. O pico norte é o Monte Scopus. Ao sul do Monte Scopus, há uma pequena crista onde passava a antiga estrada romana para Jericó. O pico central é o tradicional Monte das Oliveiras, com 818,1 metros de altura, em frente à plataforma do Templo (o </w:t>
      </w:r>
      <w:r>
        <w:rPr>
          <w:i/>
        </w:rPr>
        <w:t>Haram esh-Sherif</w:t>
      </w:r>
      <w:r>
        <w:t>).</w:t>
      </w:r>
    </w:p>
    <w:p>
      <w:pPr>
        <w:pStyle w:val="Heading3"/>
      </w:pPr>
      <w:r>
        <w:t>Lugares e características notáveis</w:t>
      </w:r>
    </w:p>
    <w:p>
      <w:r/>
      <w:r>
        <w:t>No ponto mais alto, o Imperador Constantino construiu uma grande igreja por volta de 325 d.C. Esta igreja foi chamada de Igreja da Ascensão, e ele a dedicou à sua mãe Helena. Ao sul desta igreja, há uma área baixa onde hoje passa a estrada para Betânia.</w:t>
      </w:r>
    </w:p>
    <w:p>
      <w:r/>
      <w:r>
        <w:t>O pico sul olha para a parte mais antiga de Jerusalém, que já foi chamada de Cidade de Davi. Este pico tem um nome especial: o "Monte da Ofensa". Recebeu esse nome porque o Rei Salomão construiu templos para os deuses de suas esposas estrangeiras lá, o que era contra os mandamentos de Deus. No sopé deste pico sul, há uma vila árabe chamada Silwan. É onde dois vales, o Vale do Cedrom e o Vale do Hinom, se encontram.</w:t>
      </w:r>
    </w:p>
    <w:p>
      <w:r/>
      <w:r>
        <w:t>O Monte das Oliveiras recebeu seu nome das muitas oliveiras que cresciam lá. Nos tempos antigos, esses olivais eram bem conhecidos e importantes (</w:t>
      </w:r>
      <w:hyperlink r:id="rId15816">
        <w:r>
          <w:rPr>
            <w:color w:val="0000EE"/>
            <w:u w:val="single"/>
          </w:rPr>
          <w:t>Zc 14.4</w:t>
        </w:r>
      </w:hyperlink>
      <w:r>
        <w:t xml:space="preserve">; </w:t>
      </w:r>
      <w:hyperlink r:id="rId15817">
        <w:r>
          <w:rPr>
            <w:color w:val="0000EE"/>
            <w:u w:val="single"/>
          </w:rPr>
          <w:t>Mc 11.1</w:t>
        </w:r>
      </w:hyperlink>
      <w:r>
        <w:t>). O lado oeste da montanha recebe chuva do Mar Mediterrâneo. Essa chuva, combinada com o solo rico feito de rochas desintegradas, ajuda muitas árvores frutíferas a crescerem bem aqui.</w:t>
      </w:r>
    </w:p>
    <w:p>
      <w:r/>
      <w:r>
        <w:t>O lado leste da montanha marca o início do deserto da Judeia. Duas aldeias mencionadas no Novo Testamento, Betânia e Betfagé, foram construídas nas encostas orientais da montanha.</w:t>
      </w:r>
    </w:p>
    <w:p>
      <w:pPr>
        <w:pStyle w:val="Heading3"/>
      </w:pPr>
      <w:r>
        <w:t>O Monte das Oliveiras no Antigo Testamento</w:t>
      </w:r>
    </w:p>
    <w:p>
      <w:r/>
      <w:r>
        <w:t>A primeira vez que o Monte das Oliveiras aparece no Antigo Testamento é em uma história sobre o Rei Davi. Davi teve que fugir de Jerusalém porque seu filho Absalão estava tentando tomar seu trono. Davi foi para o leste, subindo o Monte das Oliveiras enquanto escapava em direção ao Vale do Jordão (</w:t>
      </w:r>
      <w:hyperlink r:id="rId13433">
        <w:r>
          <w:rPr>
            <w:color w:val="0000EE"/>
            <w:u w:val="single"/>
          </w:rPr>
          <w:t>2Sm 15.30</w:t>
        </w:r>
      </w:hyperlink>
      <w:r>
        <w:t>).</w:t>
      </w:r>
    </w:p>
    <w:p>
      <w:r/>
      <w:r>
        <w:t>Mais tarde, o rei Salomão (filho de Davi) construiu "lugares altos" de adoração na montanha para deuses estrangeiros. Estes incluíam deuses adorados por pessoas de Sidom, Moabe e Amom (</w:t>
      </w:r>
      <w:hyperlink r:id="rId11606">
        <w:r>
          <w:rPr>
            <w:color w:val="0000EE"/>
            <w:u w:val="single"/>
          </w:rPr>
          <w:t>1Rs 11.7</w:t>
        </w:r>
      </w:hyperlink>
      <w:r>
        <w:t>). Muitos anos depois, outro rei chamado Josias destruiu esses locais de adoração porque eram contra a lei de Deus (</w:t>
      </w:r>
      <w:hyperlink r:id="rId6911">
        <w:r>
          <w:rPr>
            <w:color w:val="0000EE"/>
            <w:u w:val="single"/>
          </w:rPr>
          <w:t>2Rs 23.13</w:t>
        </w:r>
      </w:hyperlink>
      <w:r>
        <w:t>).</w:t>
      </w:r>
    </w:p>
    <w:p>
      <w:r/>
      <w:r>
        <w:t>O profeta Ezequiel escreveu sobre a presença de Deus deixando o Templo em Jerusalém e movendo-se para o Monte das Oliveiras (</w:t>
      </w:r>
      <w:hyperlink r:id="rId8949">
        <w:r>
          <w:rPr>
            <w:color w:val="0000EE"/>
            <w:u w:val="single"/>
          </w:rPr>
          <w:t>Ez 11.23</w:t>
        </w:r>
      </w:hyperlink>
      <w:r>
        <w:t>). Outro profeta, Zacarias, forneceu uma das descrições mais conhecidas do Monte das Oliveiras. Em sua visão sobre eventos futuros, ele escreveu:</w:t>
      </w:r>
    </w:p>
    <w:p>
      <w:r/>
      <w:r>
        <w:t>"Naquele dia, ele ficará de pé no Monte das Oliveiras, a leste de Jerusalém. Então um grande vale, que correrá do leste para o oeste, dividirá o Monte das Oliveiras em dois. Metade do monte se afastará para o norte, e a outra metade, para o sul" (</w:t>
      </w:r>
      <w:hyperlink r:id="rId15818">
        <w:r>
          <w:rPr>
            <w:color w:val="0000EE"/>
            <w:u w:val="single"/>
          </w:rPr>
          <w:t>Zc 14.1–5</w:t>
        </w:r>
      </w:hyperlink>
      <w:r>
        <w:t xml:space="preserve">, v. </w:t>
      </w:r>
      <w:hyperlink r:id="rId15816">
        <w:r>
          <w:rPr>
            <w:color w:val="0000EE"/>
            <w:u w:val="single"/>
          </w:rPr>
          <w:t>4</w:t>
        </w:r>
      </w:hyperlink>
      <w:r>
        <w:t>).</w:t>
      </w:r>
    </w:p>
    <w:p>
      <w:pPr>
        <w:pStyle w:val="Heading3"/>
      </w:pPr>
      <w:r>
        <w:t>O Monte das Oliveiras no Novo Testamento</w:t>
      </w:r>
    </w:p>
    <w:p>
      <w:r/>
      <w:r>
        <w:t>No Novo Testamento, a maioria das histórias sobre Jesus no Monte das Oliveiras ocorre durante a última semana de sua vida, que os cristãos chamam de Semana Santa. Existem duas histórias anteriores que aconteceram em Betânia, uma aldeia na montanha:</w:t>
      </w:r>
    </w:p>
    <w:p>
      <w:pPr>
        <w:pStyle w:val="ListBullet"/>
        <w:spacing w:line="240" w:lineRule="auto"/>
        <w:ind w:left="720"/>
      </w:pPr>
      <w:r/>
      <w:r>
        <w:t>Jesus visitou suas amigas Maria e Marta (</w:t>
      </w:r>
      <w:hyperlink r:id="rId13953">
        <w:r>
          <w:rPr>
            <w:color w:val="0000EE"/>
            <w:u w:val="single"/>
          </w:rPr>
          <w:t>Lc 10.38–42,</w:t>
        </w:r>
      </w:hyperlink>
    </w:p>
    <w:p>
      <w:pPr>
        <w:pStyle w:val="ListBullet"/>
        <w:spacing w:line="240" w:lineRule="auto"/>
        <w:ind w:left="720"/>
      </w:pPr>
      <w:r/>
      <w:r>
        <w:t>Jesus trouxe seu amigo Lázaro de volta à vida depois que Lázaro havia morrido (</w:t>
      </w:r>
      <w:hyperlink r:id="rId15819">
        <w:r>
          <w:rPr>
            <w:color w:val="0000EE"/>
            <w:u w:val="single"/>
          </w:rPr>
          <w:t>Jo 11.17–44</w:t>
        </w:r>
      </w:hyperlink>
      <w:hyperlink r:id="rId11772">
        <w:r>
          <w:rPr>
            <w:color w:val="0000EE"/>
            <w:u w:val="single"/>
          </w:rPr>
          <w:t>).</w:t>
        </w:r>
      </w:hyperlink>
    </w:p>
    <w:p>
      <w:r/>
      <w:r>
        <w:t>Quando Jesus veio a Jerusalém pela última vez, ele viajou da cidade de Jericó. Ele passou pelo Monte das Oliveiras pelo lado leste e desceu para o Vale do Cedrom (</w:t>
      </w:r>
      <w:hyperlink r:id="rId11772">
        <w:r>
          <w:rPr>
            <w:color w:val="0000EE"/>
            <w:u w:val="single"/>
          </w:rPr>
          <w:t>Mc 11.1–10)</w:t>
        </w:r>
      </w:hyperlink>
      <w:r>
        <w:t>. Este foi o dia em que as pessoas o saudaram como um rei, espalhando ramos de palmeira na estrada.</w:t>
      </w:r>
    </w:p>
    <w:p>
      <w:r/>
      <w:r>
        <w:t>Quando Jesus desceu a montanha e viu Jerusalém, ele parou e chorou porque sabia o que aconteceria com a cidade no futuro (</w:t>
      </w:r>
      <w:hyperlink r:id="rId15820">
        <w:r>
          <w:rPr>
            <w:color w:val="0000EE"/>
            <w:u w:val="single"/>
          </w:rPr>
          <w:t>Lc 19.41–44</w:t>
        </w:r>
      </w:hyperlink>
      <w:r>
        <w:t>).</w:t>
      </w:r>
    </w:p>
    <w:p>
      <w:r/>
      <w:r>
        <w:t>Durante a última semana da vida de Jesus, ele passou muito do seu tempo no Monte das Oliveiras. Ele ensinava as pessoas lá durante o dia (</w:t>
      </w:r>
      <w:hyperlink r:id="rId2031">
        <w:r>
          <w:rPr>
            <w:color w:val="0000EE"/>
            <w:u w:val="single"/>
          </w:rPr>
          <w:t>Mc 13</w:t>
        </w:r>
      </w:hyperlink>
      <w:r>
        <w:t>). À noite, ele provavelmente ficava no monte ou na vila próxima de Betânia (</w:t>
      </w:r>
      <w:hyperlink r:id="rId15821">
        <w:r>
          <w:rPr>
            <w:color w:val="0000EE"/>
            <w:u w:val="single"/>
          </w:rPr>
          <w:t>Lc 21.37</w:t>
        </w:r>
      </w:hyperlink>
      <w:r>
        <w:t>, embora isso possa se referir a Betânia).</w:t>
      </w:r>
    </w:p>
    <w:p>
      <w:r/>
      <w:r>
        <w:t>Após a Santa Ceia, Jesus foi ao Monte das Oliveiras para orar (</w:t>
      </w:r>
      <w:hyperlink r:id="rId732">
        <w:r>
          <w:rPr>
            <w:color w:val="0000EE"/>
            <w:u w:val="single"/>
          </w:rPr>
          <w:t>Mc 14.26</w:t>
        </w:r>
      </w:hyperlink>
      <w:r>
        <w:t xml:space="preserve">). No jardim do Getsêmani, perto de um lagar de azeite, ele foi preso (v. </w:t>
      </w:r>
      <w:hyperlink r:id="rId15822">
        <w:r>
          <w:rPr>
            <w:color w:val="0000EE"/>
            <w:u w:val="single"/>
          </w:rPr>
          <w:t>32</w:t>
        </w:r>
      </w:hyperlink>
      <w:r>
        <w:t>). Mais tarde, depois que Jesus ressuscitou dos mortos, ele se encontrou com seus seguidores uma última vez no Monte das Oliveiras. Enquanto eles observavam, Jesus foi elevado ao céu. Os cristãos chamam esse evento de ascensão (</w:t>
      </w:r>
      <w:hyperlink r:id="rId2661">
        <w:r>
          <w:rPr>
            <w:color w:val="0000EE"/>
            <w:u w:val="single"/>
          </w:rPr>
          <w:t>At 1.12</w:t>
        </w:r>
      </w:hyperlink>
      <w:r>
        <w:t>).</w:t>
      </w:r>
      <w:r/>
      <w:r/>
    </w:p>
    <w:p>
      <w:r/>
    </w:p>
    <w:p>
      <w:pPr>
        <w:pStyle w:val="Heading2"/>
      </w:pPr>
      <w:r>
        <w:t>Om (Pessoa)</w:t>
      </w:r>
      <w:r/>
    </w:p>
    <w:p>
      <w:r/>
      <w:r>
        <w:t>O filho de Pelete. Ele era da tribo de Rúben. Om juntou-se à rebelião de Corá contra Moisés e Arão no deserto (</w:t>
      </w:r>
      <w:hyperlink r:id="rId5630">
        <w:r>
          <w:rPr>
            <w:color w:val="0000EE"/>
            <w:u w:val="single"/>
          </w:rPr>
          <w:t>Nm 16.1</w:t>
        </w:r>
      </w:hyperlink>
      <w:r>
        <w:t>). Esta rebelião desafiou a liderança de Moisés e Arão.</w:t>
      </w:r>
      <w:r/>
      <w:r/>
    </w:p>
    <w:p>
      <w:r/>
    </w:p>
    <w:p>
      <w:pPr>
        <w:pStyle w:val="Heading2"/>
      </w:pPr>
      <w:r>
        <w:t>Omar</w:t>
      </w:r>
      <w:r/>
    </w:p>
    <w:p>
      <w:r/>
      <w:r>
        <w:t>Segundo filho de Elifaz, neto de Esaú e bisneto de Abraão (</w:t>
      </w:r>
      <w:hyperlink r:id="rId15823">
        <w:r>
          <w:rPr>
            <w:color w:val="0000EE"/>
            <w:u w:val="single"/>
          </w:rPr>
          <w:t>Gn 36.11,15</w:t>
        </w:r>
      </w:hyperlink>
      <w:r>
        <w:t xml:space="preserve">; </w:t>
      </w:r>
      <w:hyperlink r:id="rId1031">
        <w:r>
          <w:rPr>
            <w:color w:val="0000EE"/>
            <w:u w:val="single"/>
          </w:rPr>
          <w:t>1Cr 1.36</w:t>
        </w:r>
      </w:hyperlink>
      <w:r>
        <w:t>); um chefe de clã edomita.</w:t>
      </w:r>
      <w:r/>
      <w:r/>
    </w:p>
    <w:p>
      <w:r/>
    </w:p>
    <w:p>
      <w:pPr>
        <w:pStyle w:val="Heading2"/>
      </w:pPr>
      <w:r>
        <w:t>Onã</w:t>
      </w:r>
      <w:r/>
    </w:p>
    <w:p>
      <w:r/>
      <w:r>
        <w:t>1. Neto de Seir e quinto filho de Sobal (</w:t>
      </w:r>
      <w:hyperlink r:id="rId1016">
        <w:r>
          <w:rPr>
            <w:color w:val="0000EE"/>
            <w:u w:val="single"/>
          </w:rPr>
          <w:t>Gn 36.23</w:t>
        </w:r>
      </w:hyperlink>
      <w:r>
        <w:t xml:space="preserve">; </w:t>
      </w:r>
      <w:hyperlink r:id="rId1017">
        <w:r>
          <w:rPr>
            <w:color w:val="0000EE"/>
            <w:u w:val="single"/>
          </w:rPr>
          <w:t>1Cr 1.40</w:t>
        </w:r>
      </w:hyperlink>
      <w:r>
        <w:t>).</w:t>
      </w:r>
    </w:p>
    <w:p>
      <w:r/>
      <w:r>
        <w:t>2. Filho de Jerameel e Atara, o pai de um clã em Judá (</w:t>
      </w:r>
      <w:hyperlink r:id="rId15824">
        <w:r>
          <w:rPr>
            <w:color w:val="0000EE"/>
            <w:u w:val="single"/>
          </w:rPr>
          <w:t>1Cr 2.26–28</w:t>
        </w:r>
      </w:hyperlink>
      <w:r>
        <w:t>).</w:t>
      </w:r>
      <w:r/>
      <w:r/>
    </w:p>
    <w:p>
      <w:r/>
    </w:p>
    <w:p>
      <w:pPr>
        <w:pStyle w:val="Heading2"/>
      </w:pPr>
      <w:r>
        <w:t>Onã</w:t>
      </w:r>
      <w:r/>
    </w:p>
    <w:p>
      <w:r/>
      <w:r>
        <w:t>Segundo filho de Judá e uma cananeia chamada Sua (</w:t>
      </w:r>
      <w:hyperlink r:id="rId15825">
        <w:r>
          <w:rPr>
            <w:color w:val="0000EE"/>
            <w:u w:val="single"/>
          </w:rPr>
          <w:t>Gn 38.4–10</w:t>
        </w:r>
      </w:hyperlink>
      <w:r>
        <w:t xml:space="preserve">; </w:t>
      </w:r>
      <w:hyperlink r:id="rId8103">
        <w:r>
          <w:rPr>
            <w:color w:val="0000EE"/>
            <w:u w:val="single"/>
          </w:rPr>
          <w:t>46.12</w:t>
        </w:r>
      </w:hyperlink>
      <w:r>
        <w:t xml:space="preserve">; </w:t>
      </w:r>
      <w:hyperlink r:id="rId15826">
        <w:r>
          <w:rPr>
            <w:color w:val="0000EE"/>
            <w:u w:val="single"/>
          </w:rPr>
          <w:t>Nm 26.19</w:t>
        </w:r>
      </w:hyperlink>
      <w:r>
        <w:t xml:space="preserve">; </w:t>
      </w:r>
      <w:hyperlink r:id="rId3190">
        <w:r>
          <w:rPr>
            <w:color w:val="0000EE"/>
            <w:u w:val="single"/>
          </w:rPr>
          <w:t>1Cr 2.3</w:t>
        </w:r>
      </w:hyperlink>
      <w:r>
        <w:t>). Judá o obrigou a entrar em um casamento de levirato com Tamar, a esposa de seu falecido irmão, Er. Er e Tamar não tinham filhos. Onã recusou-se a ter filhos com Tamar, sabendo que eles seriam herdeiros da propriedade de seu irmão. Como resultado da recusa de Onã em gerar descendentes para seu irmão, o Senhor o puniu com a morte (</w:t>
      </w:r>
      <w:hyperlink r:id="rId15827">
        <w:r>
          <w:rPr>
            <w:color w:val="0000EE"/>
            <w:u w:val="single"/>
          </w:rPr>
          <w:t>Gn 38.8–10</w:t>
        </w:r>
      </w:hyperlink>
      <w:r>
        <w:t>).</w:t>
      </w:r>
      <w:r/>
      <w:r/>
    </w:p>
    <w:p>
      <w:r/>
    </w:p>
    <w:p>
      <w:pPr>
        <w:pStyle w:val="Heading2"/>
      </w:pPr>
      <w:r>
        <w:t>Ônica</w:t>
      </w:r>
      <w:r/>
    </w:p>
    <w:p>
      <w:r/>
      <w:r>
        <w:t>Uma das especiarias cheirosas usadas no incenso sagrado do tabernáculo (</w:t>
      </w:r>
      <w:hyperlink r:id="rId2631">
        <w:r>
          <w:rPr>
            <w:color w:val="0000EE"/>
            <w:u w:val="single"/>
          </w:rPr>
          <w:t>Êxodo 30.34</w:t>
        </w:r>
      </w:hyperlink>
      <w:r>
        <w:t>). Não está claro a qual especiaria exata isso se refere. Alguns sugerem que a ônica vinha da concha de um certo mexilhão encontrado na Índia, que cheirava a almíscar quando queimado.</w:t>
      </w:r>
      <w:r/>
      <w:r/>
    </w:p>
    <w:p>
      <w:r/>
    </w:p>
    <w:p>
      <w:pPr>
        <w:pStyle w:val="Heading2"/>
      </w:pPr>
      <w:r>
        <w:t>Ônix</w:t>
      </w:r>
      <w:r/>
    </w:p>
    <w:p>
      <w:r/>
      <w:r>
        <w:t>Uma pedra semipreciosa usada no peitoral do sumo sacerdote (</w:t>
      </w:r>
      <w:hyperlink r:id="rId15828">
        <w:r>
          <w:rPr>
            <w:color w:val="0000EE"/>
            <w:u w:val="single"/>
          </w:rPr>
          <w:t>Êxodo 28.9</w:t>
        </w:r>
      </w:hyperlink>
      <w:r>
        <w:t>).</w:t>
      </w:r>
    </w:p>
    <w:p>
      <w:r/>
      <w:r>
        <w:rPr>
          <w:i/>
        </w:rPr>
        <w:t>Veja</w:t>
      </w:r>
      <w:r>
        <w:t xml:space="preserve"> </w:t>
      </w:r>
      <w:r>
        <w:t>Pedras preciosas nº 18</w:t>
      </w:r>
      <w:r>
        <w:t>.</w:t>
      </w:r>
      <w:r/>
      <w:r/>
    </w:p>
    <w:p>
      <w:r/>
    </w:p>
    <w:p>
      <w:pPr>
        <w:pStyle w:val="Heading2"/>
      </w:pPr>
      <w:r>
        <w:t>Onze, os</w:t>
      </w:r>
      <w:r/>
    </w:p>
    <w:p>
      <w:r/>
      <w:r>
        <w:t>Um nome usado para os discípulos de Jesus após sua ressurreição dos mortos (</w:t>
      </w:r>
      <w:hyperlink r:id="rId7521">
        <w:r>
          <w:rPr>
            <w:color w:val="0000EE"/>
            <w:u w:val="single"/>
          </w:rPr>
          <w:t>Mc 16.14</w:t>
        </w:r>
      </w:hyperlink>
      <w:r>
        <w:t xml:space="preserve">; </w:t>
      </w:r>
      <w:hyperlink r:id="rId15829">
        <w:r>
          <w:rPr>
            <w:color w:val="0000EE"/>
            <w:u w:val="single"/>
          </w:rPr>
          <w:t>Lc 24.9,33</w:t>
        </w:r>
      </w:hyperlink>
      <w:r>
        <w:t>) e no festival judaico de Pentecostes (</w:t>
      </w:r>
      <w:hyperlink r:id="rId15830">
        <w:r>
          <w:rPr>
            <w:color w:val="0000EE"/>
            <w:u w:val="single"/>
          </w:rPr>
          <w:t>At 2.14</w:t>
        </w:r>
      </w:hyperlink>
      <w:r>
        <w:t>). Este nome foi utilizado depois que Judas Iscariotes se suicidou.</w:t>
      </w:r>
    </w:p>
    <w:p>
      <w:r/>
      <w:r>
        <w:rPr>
          <w:i/>
        </w:rPr>
        <w:t>Veja</w:t>
      </w:r>
      <w:r>
        <w:t xml:space="preserve"> </w:t>
      </w:r>
      <w:r>
        <w:t>Apóstolo, Apostolado</w:t>
      </w:r>
      <w:r>
        <w:t>.</w:t>
      </w:r>
      <w:r/>
      <w:r/>
    </w:p>
    <w:p>
      <w:r/>
    </w:p>
    <w:p>
      <w:pPr>
        <w:pStyle w:val="Heading2"/>
      </w:pPr>
      <w:r>
        <w:t>Oolibama</w:t>
      </w:r>
      <w:r/>
    </w:p>
    <w:p>
      <w:r/>
      <w:r>
        <w:t>1. A esposa de Esaú, a filha de Aná, o heveu (</w:t>
      </w:r>
      <w:hyperlink r:id="rId15831">
        <w:r>
          <w:rPr>
            <w:color w:val="0000EE"/>
            <w:u w:val="single"/>
          </w:rPr>
          <w:t>Gn 36.2,5,14,18,25</w:t>
        </w:r>
      </w:hyperlink>
      <w:r>
        <w:t xml:space="preserve">), que lhe deu Jeús, Jalã e Corá antes de Esaú deixar Canaã para Seir. </w:t>
      </w:r>
    </w:p>
    <w:p>
      <w:r/>
      <w:r>
        <w:t xml:space="preserve">A ausência do nome dela nas outras listas das esposas de Esaú (veja </w:t>
      </w:r>
      <w:hyperlink r:id="rId3166">
        <w:r>
          <w:rPr>
            <w:color w:val="0000EE"/>
            <w:u w:val="single"/>
          </w:rPr>
          <w:t>Gn 26.34</w:t>
        </w:r>
      </w:hyperlink>
      <w:r>
        <w:t xml:space="preserve">; </w:t>
      </w:r>
      <w:hyperlink r:id="rId3170">
        <w:r>
          <w:rPr>
            <w:color w:val="0000EE"/>
            <w:u w:val="single"/>
          </w:rPr>
          <w:t>28.9</w:t>
        </w:r>
      </w:hyperlink>
      <w:r>
        <w:t>) gerou uma grande discussão. A considerável variação nessas listas pode indicar uma confusão na transmissão dos escribas ou pode apontar para o uso de nomes alternativos, adquiridos no casamento ou como resultado de algum evento memorável na vida das mulheres. Independentemente de ela ser identificada ou não com Judite, como alguns sugeriram, a observação bíblica de que ela "amargurou a vida de Isaque e de Rebeca" é verdadeira (</w:t>
      </w:r>
      <w:hyperlink r:id="rId15832">
        <w:r>
          <w:rPr>
            <w:color w:val="0000EE"/>
            <w:u w:val="single"/>
          </w:rPr>
          <w:t>26.35</w:t>
        </w:r>
      </w:hyperlink>
      <w:r>
        <w:t>).</w:t>
      </w:r>
    </w:p>
    <w:p>
      <w:r/>
      <w:r>
        <w:t>2. Chefe de clã edomita descendente de Esaú (</w:t>
      </w:r>
      <w:hyperlink r:id="rId7747">
        <w:r>
          <w:rPr>
            <w:color w:val="0000EE"/>
            <w:u w:val="single"/>
          </w:rPr>
          <w:t>Gn 36.41</w:t>
        </w:r>
      </w:hyperlink>
      <w:r>
        <w:t xml:space="preserve">; </w:t>
      </w:r>
      <w:hyperlink r:id="rId7748">
        <w:r>
          <w:rPr>
            <w:color w:val="0000EE"/>
            <w:u w:val="single"/>
          </w:rPr>
          <w:t>1Cr 1.52</w:t>
        </w:r>
      </w:hyperlink>
      <w:r>
        <w:t xml:space="preserve">). </w:t>
      </w:r>
      <w:r/>
      <w:r/>
    </w:p>
    <w:p>
      <w:r/>
    </w:p>
    <w:p>
      <w:pPr>
        <w:pStyle w:val="Heading2"/>
      </w:pPr>
      <w:r>
        <w:t>Oração</w:t>
      </w:r>
      <w:r/>
    </w:p>
    <w:p>
      <w:r/>
      <w:r>
        <w:t>O endereçamento e a petição a Deus. A oração a um deus ou deuses é uma característica de muitas, se não todas, as religiões, mas aqui a atenção será restrita ao ensino bíblico e algumas de suas implicações. Uma definição clássica de oração cristã é “uma oferta de nossos desejos a Deus, por coisas que são de acordo com a sua vontade, em nome de Cristo, com confissão de nossos pecados e reconhecimento agradecido de suas misericórdias” (Catecismo Menor de Westminster). A oração cristã é o produto final de um longo processo de mudança e desenvolvimento na relação de Deus com as pessoas, como uma análise dos dados bíblicos mostra.</w:t>
      </w:r>
    </w:p>
    <w:p>
      <w:pPr>
        <w:pStyle w:val="Heading3"/>
      </w:pPr>
      <w:r>
        <w:t>Oração no Antigo Testamento</w:t>
      </w:r>
    </w:p>
    <w:p>
      <w:r/>
      <w:r>
        <w:t>Os humanos recém-criados, feitos para comunhão com Deus, viviam em íntima comunhão com Ele. O pecado rompeu esse relacionamento íntimo e direto. No entanto, quando o Senhor formou sua aliança com Abraão (</w:t>
      </w:r>
      <w:hyperlink r:id="rId790">
        <w:r>
          <w:rPr>
            <w:color w:val="0000EE"/>
            <w:u w:val="single"/>
          </w:rPr>
          <w:t>Gn 15</w:t>
        </w:r>
      </w:hyperlink>
      <w:r>
        <w:t xml:space="preserve">), o relacionamento entre os parceiros da aliança foi reaberto. A oração de Abraão por Sodoma e Gomorra (cap. </w:t>
      </w:r>
      <w:hyperlink r:id="rId171">
        <w:r>
          <w:rPr>
            <w:color w:val="0000EE"/>
            <w:u w:val="single"/>
          </w:rPr>
          <w:t>18</w:t>
        </w:r>
      </w:hyperlink>
      <w:r>
        <w:t xml:space="preserve">) é uma combinação marcante de ousadia e persistência e é um reconhecimento de sua própria pequenez e inferioridade em comparação com Deus. O mesmo pode ser dito sobre a luta de Jacó com o anjo em Peniel (cap. </w:t>
      </w:r>
      <w:hyperlink r:id="rId11411">
        <w:r>
          <w:rPr>
            <w:color w:val="0000EE"/>
            <w:u w:val="single"/>
          </w:rPr>
          <w:t>32</w:t>
        </w:r>
      </w:hyperlink>
      <w:r>
        <w:t xml:space="preserve">). Mas ousadia e franqueza não devem ser confundidas com familiaridade. A oração bíblica é caracterizada pela realidade de que há uma distância entre o Criador e a criatura devido ao pecado humano, que é superada apenas pela graça de Deus. A base da abordagem de uma pessoa a Deus em oração nunca é simplesmente "a busca do homem por Deus", mas a iniciativa graciosa de Deus, o estabelecimento da aliança e a promessa de ajuda e libertação com base nessa aliança. É esse relacionamento de aliança que dá a </w:t>
      </w:r>
      <w:r>
        <w:rPr>
          <w:i/>
        </w:rPr>
        <w:t>garantia</w:t>
      </w:r>
      <w:r>
        <w:t xml:space="preserve"> para a oração. Assim, nos tempos patriarcais, a oração era conjugada com sacrifício e obediência.</w:t>
      </w:r>
    </w:p>
    <w:p>
      <w:r/>
      <w:r>
        <w:t>O restabelecimento da consciência nacional de Israel na época de sua libertação do Egito marca outra fase no desenvolvimento bíblico. Moisés não foi apenas o líder político de Israel, mas também seu mediador e intercessor divinamente designado diante do Senhor. Repetidamente, ele “invoca o nome do Senhor” diante das incertezas humanas da jornada pelo deserto e da incredulidade e desobediência de seu próprio povo. Invocar o nome do Senhor não deve ser considerado um encantamento, mas sim um lembrete a Deus de quem Ele revelou ser. (A revelação de Deus a Moisés na sarça ardente é fundamental para a compreensão disso). Nesta revelação de si mesmo, Deus fez promessas ao seu povo, e em oração Moisés cobrou de Deus essas promessas. Moisés não foi de forma alguma o único intercessor. Arão, Samuel, Salomão e Ezequias estavam entre aqueles que intercederam pelo povo.</w:t>
      </w:r>
    </w:p>
    <w:p>
      <w:r/>
      <w:r>
        <w:t xml:space="preserve">Com a formação do sacerdócio e o estabelecimento do culto ritual do tabernáculo e, posteriormente, do templo, a adoração a Deus parece ser caracterizada pela distância. Há pouca indicação de que o povo orava pessoalmente a Deus e — com exceção de </w:t>
      </w:r>
      <w:hyperlink r:id="rId15833">
        <w:r>
          <w:rPr>
            <w:color w:val="0000EE"/>
            <w:u w:val="single"/>
          </w:rPr>
          <w:t xml:space="preserve">Deuteronômio 26.1–15 </w:t>
        </w:r>
      </w:hyperlink>
      <w:r>
        <w:t>— não há nada sobre oração em todas as instruções de adoração dadas ao povo. No entanto, há indicação nos salmos de que sacrifício e oração seriam combinados (</w:t>
      </w:r>
      <w:hyperlink r:id="rId15834">
        <w:r>
          <w:rPr>
            <w:color w:val="0000EE"/>
            <w:u w:val="single"/>
          </w:rPr>
          <w:t>Sl 50.7–15</w:t>
        </w:r>
      </w:hyperlink>
      <w:r>
        <w:t xml:space="preserve">; </w:t>
      </w:r>
      <w:hyperlink r:id="rId15835">
        <w:r>
          <w:rPr>
            <w:color w:val="0000EE"/>
            <w:u w:val="single"/>
          </w:rPr>
          <w:t>55.14</w:t>
        </w:r>
      </w:hyperlink>
      <w:r>
        <w:t xml:space="preserve">). Muitos dos salmos são notáveis pela maneira como perplexidades pessoais são reconhecidas, levando a “discussões com Deus” e a uma resolução final do conflito (e.g., </w:t>
      </w:r>
      <w:hyperlink r:id="rId15836">
        <w:r>
          <w:rPr>
            <w:color w:val="0000EE"/>
            <w:u w:val="single"/>
          </w:rPr>
          <w:t>Sl 73</w:t>
        </w:r>
      </w:hyperlink>
      <w:r>
        <w:t>).</w:t>
      </w:r>
    </w:p>
    <w:p>
      <w:r/>
      <w:r>
        <w:t>Os profetas eram homens que oravam, e parece que a Palavra de Deus lhes chegava em oração (</w:t>
      </w:r>
      <w:hyperlink r:id="rId15837">
        <w:r>
          <w:rPr>
            <w:color w:val="0000EE"/>
            <w:u w:val="single"/>
          </w:rPr>
          <w:t>Is 6.5–13</w:t>
        </w:r>
      </w:hyperlink>
      <w:r>
        <w:t xml:space="preserve">; </w:t>
      </w:r>
      <w:hyperlink r:id="rId15838">
        <w:r>
          <w:rPr>
            <w:color w:val="0000EE"/>
            <w:u w:val="single"/>
          </w:rPr>
          <w:t>37.1–4</w:t>
        </w:r>
      </w:hyperlink>
      <w:r>
        <w:t xml:space="preserve">; </w:t>
      </w:r>
      <w:hyperlink r:id="rId15839">
        <w:r>
          <w:rPr>
            <w:color w:val="0000EE"/>
            <w:u w:val="single"/>
          </w:rPr>
          <w:t>Jr 11.20–23</w:t>
        </w:r>
      </w:hyperlink>
      <w:r>
        <w:t>). O ministério de Jeremias foi caracterizado por momentos de conflito em oração (</w:t>
      </w:r>
      <w:hyperlink r:id="rId15840">
        <w:r>
          <w:rPr>
            <w:color w:val="0000EE"/>
            <w:u w:val="single"/>
          </w:rPr>
          <w:t>Jr 18.19–23</w:t>
        </w:r>
      </w:hyperlink>
      <w:r>
        <w:t xml:space="preserve">; </w:t>
      </w:r>
      <w:hyperlink r:id="rId15841">
        <w:r>
          <w:rPr>
            <w:color w:val="0000EE"/>
            <w:u w:val="single"/>
          </w:rPr>
          <w:t>20.7–18</w:t>
        </w:r>
      </w:hyperlink>
      <w:r>
        <w:t>) assim como por tempos mais tranquilos de comunhão com Deus (</w:t>
      </w:r>
      <w:hyperlink r:id="rId15842">
        <w:r>
          <w:rPr>
            <w:color w:val="0000EE"/>
            <w:u w:val="single"/>
          </w:rPr>
          <w:t>10.23–25</w:t>
        </w:r>
      </w:hyperlink>
      <w:r>
        <w:t xml:space="preserve">; </w:t>
      </w:r>
      <w:hyperlink r:id="rId15843">
        <w:r>
          <w:rPr>
            <w:color w:val="0000EE"/>
            <w:u w:val="single"/>
          </w:rPr>
          <w:t>12.1–4</w:t>
        </w:r>
      </w:hyperlink>
      <w:r>
        <w:t xml:space="preserve">; </w:t>
      </w:r>
      <w:hyperlink r:id="rId15844">
        <w:r>
          <w:rPr>
            <w:color w:val="0000EE"/>
            <w:u w:val="single"/>
          </w:rPr>
          <w:t>14.7–9</w:t>
        </w:r>
      </w:hyperlink>
      <w:r>
        <w:t xml:space="preserve">; </w:t>
      </w:r>
      <w:hyperlink r:id="rId15845">
        <w:r>
          <w:rPr>
            <w:color w:val="0000EE"/>
            <w:u w:val="single"/>
          </w:rPr>
          <w:t>15.15–18</w:t>
        </w:r>
      </w:hyperlink>
      <w:r>
        <w:t>). No exílio, com o estabelecimento da sinagoga, a oração coletiva tornou-se um elemento no culto judaico. Após o exílio, houve uma ênfase na espontaneidade na oração e na necessidade de a devoção ser mais do que mecânica e rotineira (</w:t>
      </w:r>
      <w:hyperlink r:id="rId15846">
        <w:r>
          <w:rPr>
            <w:color w:val="0000EE"/>
            <w:u w:val="single"/>
          </w:rPr>
          <w:t>Ne 2.4</w:t>
        </w:r>
      </w:hyperlink>
      <w:r>
        <w:t xml:space="preserve">; </w:t>
      </w:r>
      <w:hyperlink r:id="rId15847">
        <w:r>
          <w:rPr>
            <w:color w:val="0000EE"/>
            <w:u w:val="single"/>
          </w:rPr>
          <w:t>4.4,9</w:t>
        </w:r>
      </w:hyperlink>
      <w:r>
        <w:t>).</w:t>
      </w:r>
    </w:p>
    <w:p>
      <w:pPr>
        <w:pStyle w:val="Heading3"/>
      </w:pPr>
      <w:r>
        <w:t>Oração no Novo Testamento</w:t>
      </w:r>
    </w:p>
    <w:p>
      <w:r/>
      <w:r>
        <w:t>O ensino do NT sobre a oração é dominado pelo próprio exemplo e ensino de Cristo. Sua dependência do Pai em seu trabalho mediador se expressa em oração repetida, culminando em sua oração sacerdotal (</w:t>
      </w:r>
      <w:hyperlink r:id="rId9388">
        <w:r>
          <w:rPr>
            <w:color w:val="0000EE"/>
            <w:u w:val="single"/>
          </w:rPr>
          <w:t>Jo 17</w:t>
        </w:r>
      </w:hyperlink>
      <w:r>
        <w:t>) e na agonia do Getsêmani com a oração da cruz. Seu ensino sobre a oração, particularmente no Sermão da Montanha, deve ser entendido como um contraste com as práticas judaicas daquela época, não com os ideais do AT. A oração é uma expressão de desejo sincero. Não é para informar a Deus sobre assuntos dos quais Ele de outra forma seria ignorante, e a validade da oração não é afetada pela duração ou repetitividade. A oração privada deve ser discreta e secreta (</w:t>
      </w:r>
      <w:hyperlink r:id="rId15848">
        <w:r>
          <w:rPr>
            <w:color w:val="0000EE"/>
            <w:u w:val="single"/>
          </w:rPr>
          <w:t>Mt 6.5–15</w:t>
        </w:r>
      </w:hyperlink>
      <w:r>
        <w:t>).</w:t>
      </w:r>
    </w:p>
    <w:p>
      <w:r/>
      <w:r>
        <w:t>As parábolas são outra fonte importante dos ensinamentos de Cristo, enfatizando a persistência na oração (</w:t>
      </w:r>
      <w:hyperlink r:id="rId15849">
        <w:r>
          <w:rPr>
            <w:color w:val="0000EE"/>
            <w:u w:val="single"/>
          </w:rPr>
          <w:t>Lc 18.1–8</w:t>
        </w:r>
      </w:hyperlink>
      <w:r>
        <w:t xml:space="preserve">), simplicidade e humildade (vv. </w:t>
      </w:r>
      <w:hyperlink r:id="rId9660">
        <w:r>
          <w:rPr>
            <w:color w:val="0000EE"/>
            <w:u w:val="single"/>
          </w:rPr>
          <w:t>10–14</w:t>
        </w:r>
      </w:hyperlink>
      <w:r>
        <w:t>), e tenacidade (</w:t>
      </w:r>
      <w:hyperlink r:id="rId15850">
        <w:r>
          <w:rPr>
            <w:color w:val="0000EE"/>
            <w:u w:val="single"/>
          </w:rPr>
          <w:t>11.5–8</w:t>
        </w:r>
      </w:hyperlink>
      <w:r>
        <w:t>). Uma terceira fonte de ensinamento é a Oração do Senhor. Mais uma vez, há a mistura de proximidade (“Pai Nosso”) e distância (“que estás no céu. Santificado seja o teu nome”). Os pedidos feitos na Oração do Senhor estão preocupados primeiro com Deus, seu reino e sua glória, e depois com as necessidades dos discípulos por perdão, apoio e livramento diário. Ocasionalmente, parece pelo ensinamento do nosso Senhor que qualquer coisa pedida em oração será, sem restrição, concedida. Mas tal ensinamento deve ser entendido à luz do ensinamento geral de Cristo sobre a oração (“Venha o teu reino. Seja feita a tua vontade, assim na terra como no céu”).</w:t>
      </w:r>
    </w:p>
    <w:p>
      <w:r/>
      <w:r>
        <w:t>Cristo afirmou que quando o Espírito Santo, o Consolador, viesse, os discípulos orariam ao Pai em nome de Cristo (</w:t>
      </w:r>
      <w:hyperlink r:id="rId15851">
        <w:r>
          <w:rPr>
            <w:color w:val="0000EE"/>
            <w:u w:val="single"/>
          </w:rPr>
          <w:t>Jo 16.23–25</w:t>
        </w:r>
      </w:hyperlink>
      <w:r>
        <w:t>). Assim, vemos que após a vinda do Espírito no dia de Pentecostes, a igreja primitiva é caracterizada pela oração (</w:t>
      </w:r>
      <w:hyperlink r:id="rId4652">
        <w:r>
          <w:rPr>
            <w:color w:val="0000EE"/>
            <w:u w:val="single"/>
          </w:rPr>
          <w:t>At 2.42</w:t>
        </w:r>
      </w:hyperlink>
      <w:r>
        <w:t>) sob a liderança dos apóstolos (</w:t>
      </w:r>
      <w:hyperlink r:id="rId7088">
        <w:r>
          <w:rPr>
            <w:color w:val="0000EE"/>
            <w:u w:val="single"/>
          </w:rPr>
          <w:t>6.4</w:t>
        </w:r>
      </w:hyperlink>
      <w:r>
        <w:t>). A igreja louva a Deus pelo dom de seu Filho e de seu Espírito, e faz petições a Deus em tempos de dificuldade (</w:t>
      </w:r>
      <w:hyperlink r:id="rId3651">
        <w:r>
          <w:rPr>
            <w:color w:val="0000EE"/>
            <w:u w:val="single"/>
          </w:rPr>
          <w:t>4.24</w:t>
        </w:r>
      </w:hyperlink>
      <w:r>
        <w:t xml:space="preserve">; </w:t>
      </w:r>
      <w:hyperlink r:id="rId15852">
        <w:r>
          <w:rPr>
            <w:color w:val="0000EE"/>
            <w:u w:val="single"/>
          </w:rPr>
          <w:t>12.5,12</w:t>
        </w:r>
      </w:hyperlink>
      <w:r>
        <w:t>).</w:t>
      </w:r>
    </w:p>
    <w:p>
      <w:r/>
      <w:r>
        <w:t>É nos escritos de Paulo que a teologia da oração é mais plenamente desenvolvida. O crente do NT é um filho, não apenas um servo. O Espírito que, como resultado do triunfo de Cristo, veio à igreja é o Espírito de adoção, capacitando o cristão a se aproximar de Deus como seu Pai, com todas as suas necessidades. Proeminente entre essas necessidades, na mente do apóstolo, estão o aprofundamento da fé em Cristo, o amor por Deus e uma crescente apreciação do amor de Deus em troca (</w:t>
      </w:r>
      <w:hyperlink r:id="rId6029">
        <w:r>
          <w:rPr>
            <w:color w:val="0000EE"/>
            <w:u w:val="single"/>
          </w:rPr>
          <w:t>Ef 3.14–19</w:t>
        </w:r>
      </w:hyperlink>
      <w:r>
        <w:t>). A oração é parte da armadura do cristão contra o ataque satânico (</w:t>
      </w:r>
      <w:hyperlink r:id="rId5323">
        <w:r>
          <w:rPr>
            <w:color w:val="0000EE"/>
            <w:u w:val="single"/>
          </w:rPr>
          <w:t>6.18</w:t>
        </w:r>
      </w:hyperlink>
      <w:r>
        <w:t xml:space="preserve">), o ministério eficaz da Palavra de Deus depende das orações do povo de Deus (vv. </w:t>
      </w:r>
      <w:hyperlink r:id="rId15853">
        <w:r>
          <w:rPr>
            <w:color w:val="0000EE"/>
            <w:u w:val="single"/>
          </w:rPr>
          <w:t>18–19</w:t>
        </w:r>
      </w:hyperlink>
      <w:r>
        <w:t>), e o cristão é encorajado a orar por todos os tipos de coisas, com ação de graças (</w:t>
      </w:r>
      <w:hyperlink r:id="rId10189">
        <w:r>
          <w:rPr>
            <w:color w:val="0000EE"/>
            <w:u w:val="single"/>
          </w:rPr>
          <w:t>Fp 4.6</w:t>
        </w:r>
      </w:hyperlink>
      <w:r>
        <w:t>), e assim estar livre da ansiedade. O próprio exemplo de Paulo na oração é tão instrutivo quanto o ensino que ele dá.</w:t>
      </w:r>
    </w:p>
    <w:p>
      <w:r/>
      <w:r>
        <w:t>A oração do cristão está enraizada, objetivamente, na intercessão de Cristo; subjetivamente, na capacitação do Espírito Santo. A igreja é um reino de sacerdotes, oferecendo sacrifícios espirituais de louvor e ação de graças (</w:t>
      </w:r>
      <w:hyperlink r:id="rId11106">
        <w:r>
          <w:rPr>
            <w:color w:val="0000EE"/>
            <w:u w:val="single"/>
          </w:rPr>
          <w:t>Hb 13.15</w:t>
        </w:r>
      </w:hyperlink>
      <w:r>
        <w:t xml:space="preserve">; </w:t>
      </w:r>
      <w:hyperlink r:id="rId4509">
        <w:r>
          <w:rPr>
            <w:color w:val="0000EE"/>
            <w:u w:val="single"/>
          </w:rPr>
          <w:t>1Pe 2.5</w:t>
        </w:r>
      </w:hyperlink>
      <w:r>
        <w:t>), mas Cristo é o “Grande Sumo Sacerdote”. Este pensamento é desenvolvido plenamente em Hebreus. Por causa da simpatia humana de Cristo, do poder de sua obra intercessória (ou seja, o triunfo de sua expiação) e de sua superioridade sobre o antigo sacerdócio aarônico, a igreja é encorajada a se aproximar de Deus com ousadia, para encontrar graça quando necessário (</w:t>
      </w:r>
      <w:hyperlink r:id="rId2687">
        <w:r>
          <w:rPr>
            <w:color w:val="0000EE"/>
            <w:u w:val="single"/>
          </w:rPr>
          <w:t>Hb 4.14–16</w:t>
        </w:r>
      </w:hyperlink>
      <w:r>
        <w:t xml:space="preserve">; </w:t>
      </w:r>
      <w:hyperlink r:id="rId2681">
        <w:r>
          <w:rPr>
            <w:color w:val="0000EE"/>
            <w:u w:val="single"/>
          </w:rPr>
          <w:t>9.24</w:t>
        </w:r>
      </w:hyperlink>
      <w:r>
        <w:t xml:space="preserve">; </w:t>
      </w:r>
      <w:hyperlink r:id="rId15854">
        <w:r>
          <w:rPr>
            <w:color w:val="0000EE"/>
            <w:u w:val="single"/>
          </w:rPr>
          <w:t>10.19–23</w:t>
        </w:r>
      </w:hyperlink>
      <w:r>
        <w:t>). Em nenhum lugar, tanto no AT quanto no NT, há incentivo para orar a indivíduos que não sejam Deus. Em nenhum lugar das Escrituras é sugerido que haja qualquer outro mediador entre Deus e os homens, exceto Cristo (</w:t>
      </w:r>
      <w:hyperlink r:id="rId14123">
        <w:r>
          <w:rPr>
            <w:color w:val="0000EE"/>
            <w:u w:val="single"/>
          </w:rPr>
          <w:t>1Tm 2.5</w:t>
        </w:r>
      </w:hyperlink>
      <w:r>
        <w:t>).</w:t>
      </w:r>
    </w:p>
    <w:p>
      <w:pPr>
        <w:pStyle w:val="Heading3"/>
      </w:pPr>
      <w:r>
        <w:t>Os Elementos da Oração</w:t>
      </w:r>
    </w:p>
    <w:p>
      <w:r/>
      <w:r>
        <w:t xml:space="preserve">Embora a oração seja, tipicamente, uma atividade inconsciente em que a pessoa que ora se dedica a Deus, é possível distinguir vários elementos na oração, como ficará evidente a partir da discussão dos dados bíblicos. </w:t>
      </w:r>
      <w:r>
        <w:rPr>
          <w:i/>
        </w:rPr>
        <w:t>Louvor</w:t>
      </w:r>
      <w:r>
        <w:t xml:space="preserve"> envolve o reconhecimento de quem Deus é e o que ele faz. É “dar glória a Deus”, não no sentido de acrescentar à sua glória, o que seria impossível, mas de reconhecer voluntariamente (e, quando apropriado, publicamente) Deus como Deus. Expressões típicas de tal louvor podem ser encontradas nos salmos (</w:t>
      </w:r>
      <w:hyperlink r:id="rId6524">
        <w:r>
          <w:rPr>
            <w:color w:val="0000EE"/>
            <w:u w:val="single"/>
          </w:rPr>
          <w:t>Sl 148</w:t>
        </w:r>
      </w:hyperlink>
      <w:r>
        <w:t xml:space="preserve">; </w:t>
      </w:r>
      <w:hyperlink r:id="rId727">
        <w:r>
          <w:rPr>
            <w:color w:val="0000EE"/>
            <w:u w:val="single"/>
          </w:rPr>
          <w:t>150</w:t>
        </w:r>
      </w:hyperlink>
      <w:r>
        <w:t xml:space="preserve">). Quando o reconhecimento da bondade de Deus é em relação ao que ele fez para quem ora, ou para outros, então a oração é de </w:t>
      </w:r>
      <w:r>
        <w:rPr>
          <w:i/>
        </w:rPr>
        <w:t>ação de graças,</w:t>
      </w:r>
      <w:r>
        <w:t xml:space="preserve"> pela própria vida, pelo uso e beleza do universo físico, por Cristo e seus benefícios (veja </w:t>
      </w:r>
      <w:hyperlink r:id="rId5915">
        <w:r>
          <w:rPr>
            <w:color w:val="0000EE"/>
            <w:u w:val="single"/>
          </w:rPr>
          <w:t>2Co 9.15</w:t>
        </w:r>
      </w:hyperlink>
      <w:r>
        <w:t xml:space="preserve">), e por respostas específicas à oração. </w:t>
      </w:r>
      <w:r>
        <w:rPr>
          <w:i/>
        </w:rPr>
        <w:t>Confissão</w:t>
      </w:r>
      <w:r>
        <w:t xml:space="preserve"> de pecado reconhece a santidade de Deus e sua suprema autoridade moral, juntamente com a responsabilidade pessoal de quem faz a confissão. A confissão, portanto, envolve a vindicação ou justificação de Deus e um reconhecimento explícito e irrestrito do pecado, tanto como ele surge em motivos e disposições pecaminosas quanto como encontra expressão externa. </w:t>
      </w:r>
      <w:hyperlink r:id="rId2603">
        <w:r>
          <w:rPr>
            <w:color w:val="0000EE"/>
            <w:u w:val="single"/>
          </w:rPr>
          <w:t>Salmo 51</w:t>
        </w:r>
      </w:hyperlink>
      <w:r>
        <w:t xml:space="preserve">, a confissão de pecado de Davi em relação a Bate-Seba, é o exemplo bíblico clássico de uma oração de confissão. </w:t>
      </w:r>
      <w:r>
        <w:rPr>
          <w:i/>
        </w:rPr>
        <w:t>Petição</w:t>
      </w:r>
      <w:r>
        <w:t xml:space="preserve"> pode ser considerada como diz respeito a quem ora, e também como diz respeito a outros, quando é </w:t>
      </w:r>
      <w:r>
        <w:rPr>
          <w:i/>
        </w:rPr>
        <w:t>intercessão.</w:t>
      </w:r>
      <w:r>
        <w:t xml:space="preserve"> A Escritura nunca considera a oração por si mesmo como pecaminosa ou eticamente imprópria, como pode ser visto no padrão de oração dado na Oração do Senhor. A oração pelos outros é uma expressão óbvia de amor ao próximo, que é fundamental para a ética bíblica.</w:t>
      </w:r>
    </w:p>
    <w:p>
      <w:r/>
      <w:r>
        <w:rPr>
          <w:i/>
        </w:rPr>
        <w:t>Veja também</w:t>
      </w:r>
      <w:r>
        <w:t xml:space="preserve"> </w:t>
      </w:r>
      <w:r>
        <w:t>A oração do Senhor</w:t>
      </w:r>
      <w:r>
        <w:t xml:space="preserve">; </w:t>
      </w:r>
      <w:r>
        <w:t>Louvor</w:t>
      </w:r>
      <w:r>
        <w:t xml:space="preserve">; </w:t>
      </w:r>
      <w:r>
        <w:t>Adoração</w:t>
      </w:r>
      <w:r>
        <w:t>.</w:t>
      </w:r>
      <w:r/>
      <w:r/>
    </w:p>
    <w:p>
      <w:r/>
    </w:p>
    <w:p>
      <w:pPr>
        <w:pStyle w:val="Heading2"/>
      </w:pPr>
      <w:r>
        <w:t>Oração de Manassés</w:t>
      </w:r>
      <w:r/>
    </w:p>
    <w:p>
      <w:r/>
      <w:r>
        <w:t>Esta breve oração, atribuída ao Rei Manassés de Judá, é frequentemente considerada uma das melhores obras da literatura apócrifa (um conjunto de textos antigos não incluídos na Bíblia Hebraica, mas aceitos por alguns grupos cristãos). Durante a Reforma, os protestantes apreciaram profundamente sua expressão de piedade. No entanto, não é considerada Escritura por protestantes, católicos romanos ou pela Igreja Ortodoxa Oriental.</w:t>
      </w:r>
    </w:p>
    <w:p>
      <w:r/>
      <w:r>
        <w:t xml:space="preserve">O título antigo, </w:t>
      </w:r>
      <w:r>
        <w:rPr>
          <w:i/>
        </w:rPr>
        <w:t>A Oração de Manassés rei de Judá quando ele foi mantido cativo na Babilônia</w:t>
      </w:r>
      <w:r>
        <w:t xml:space="preserve">, é melhor do que o título moderno e o título em latim, </w:t>
      </w:r>
      <w:r>
        <w:rPr>
          <w:i/>
        </w:rPr>
        <w:t>Oratio Manassae</w:t>
      </w:r>
      <w:r>
        <w:t>. O título antigo indica que esta oração está ligada ao Rei Manassés, que reinou de 696 a 642 a.C. Manassés foi levado cativo para a Babilônia, onde "ele finalmente voltou a si e humildemente clamou a Deus por ajuda. O Senhor ouviu e atendeu seu pedido, retornando-o a Jerusalém e ao seu reino!" (</w:t>
      </w:r>
      <w:hyperlink r:id="rId15855">
        <w:r>
          <w:rPr>
            <w:color w:val="0000EE"/>
            <w:u w:val="single"/>
          </w:rPr>
          <w:t>2Cr 33.12–13</w:t>
        </w:r>
      </w:hyperlink>
      <w:r>
        <w:t xml:space="preserve">; sobre a historicidade deste relato, veja </w:t>
      </w:r>
      <w:r>
        <w:t>Manassés</w:t>
      </w:r>
      <w:r>
        <w:t xml:space="preserve"> #3).</w:t>
      </w:r>
    </w:p>
    <w:p>
      <w:r/>
      <w:r>
        <w:t>O escritor de 2 Crônicas disse que esta oração veio dos arquivos nacionais e de outra fonte (</w:t>
      </w:r>
      <w:hyperlink r:id="rId15856">
        <w:r>
          <w:rPr>
            <w:color w:val="0000EE"/>
            <w:u w:val="single"/>
          </w:rPr>
          <w:t>2Cr 33.18–19</w:t>
        </w:r>
      </w:hyperlink>
      <w:r>
        <w:t xml:space="preserve">). Um autor anônimo compôs a oração, mas a data de composição é incerta. Com base em evidências internas, estudiosos a dataram entre 250 a.C. e 50 d.C. O manuscrito bíblico grego mais antigo sobrevivente com esta oração é o Codex Alexandrinus, do quinto século d.C. A evidência mais antiga de sua existência está em um manual siríaco de procedimentos da igreja chamado </w:t>
      </w:r>
      <w:r>
        <w:rPr>
          <w:i/>
        </w:rPr>
        <w:t>Didascalia</w:t>
      </w:r>
      <w:r>
        <w:t xml:space="preserve">, do terceiro século d.C. Este manual foi posteriormente revisado nas </w:t>
      </w:r>
      <w:r>
        <w:rPr>
          <w:i/>
        </w:rPr>
        <w:t>Constituições Apostólicas</w:t>
      </w:r>
      <w:r>
        <w:t xml:space="preserve"> em 380 d.C.</w:t>
      </w:r>
    </w:p>
    <w:p>
      <w:r/>
      <w:r>
        <w:t>A maioria dos estudiosos acredita que a oração foi originalmente escrita em grego. No entanto, é difícil determinar a língua original de um texto tão curto — cerca de 400 palavras em português. A Oração de Manassés existe em:</w:t>
      </w:r>
    </w:p>
    <w:p>
      <w:pPr>
        <w:pStyle w:val="ListBullet"/>
        <w:spacing w:line="240" w:lineRule="auto"/>
        <w:ind w:left="720"/>
      </w:pPr>
      <w:r/>
      <w:r>
        <w:t>Grego;</w:t>
      </w:r>
    </w:p>
    <w:p>
      <w:pPr>
        <w:pStyle w:val="ListBullet"/>
        <w:spacing w:line="240" w:lineRule="auto"/>
        <w:ind w:left="720"/>
      </w:pPr>
      <w:r/>
      <w:r>
        <w:t>Siríaco;</w:t>
      </w:r>
    </w:p>
    <w:p>
      <w:pPr>
        <w:pStyle w:val="ListBullet"/>
        <w:spacing w:line="240" w:lineRule="auto"/>
        <w:ind w:left="720"/>
      </w:pPr>
      <w:r/>
      <w:r>
        <w:t>Duas versões em latim;</w:t>
      </w:r>
    </w:p>
    <w:p>
      <w:pPr>
        <w:pStyle w:val="ListBullet"/>
        <w:spacing w:line="240" w:lineRule="auto"/>
        <w:ind w:left="720"/>
      </w:pPr>
      <w:r/>
      <w:r>
        <w:t>Etíope;</w:t>
      </w:r>
    </w:p>
    <w:p>
      <w:pPr>
        <w:pStyle w:val="ListBullet"/>
        <w:spacing w:line="240" w:lineRule="auto"/>
        <w:ind w:left="720"/>
      </w:pPr>
      <w:r/>
      <w:r>
        <w:t>Armênio;</w:t>
      </w:r>
    </w:p>
    <w:p>
      <w:pPr>
        <w:pStyle w:val="ListBullet"/>
        <w:spacing w:line="240" w:lineRule="auto"/>
        <w:ind w:left="720"/>
      </w:pPr>
      <w:r/>
      <w:r>
        <w:t>Eslavo Antigo.</w:t>
      </w:r>
    </w:p>
    <w:p>
      <w:r/>
      <w:r>
        <w:t>Sua popularidade entre judeus e cristãos nos primeiros três séculos da era cristã é clara.</w:t>
      </w:r>
    </w:p>
    <w:p>
      <w:r/>
      <w:r>
        <w:t>A Oração de Manassés é uma súplica de um pecador que reconhece seus erros e clama a um Deus misericordioso.</w:t>
      </w:r>
    </w:p>
    <w:p>
      <w:r/>
      <w:r>
        <w:t>A oração se baseia em descrições de Deus encontradas no Antigo Testamento. Ela identifica Deus como:</w:t>
      </w:r>
    </w:p>
    <w:p>
      <w:pPr>
        <w:pStyle w:val="ListBullet"/>
        <w:spacing w:line="240" w:lineRule="auto"/>
        <w:ind w:left="720"/>
      </w:pPr>
      <w:r/>
      <w:r>
        <w:t xml:space="preserve">"Senhor Todo-poderoso" (Or Mn 1.1; cp. </w:t>
      </w:r>
      <w:hyperlink r:id="rId9445">
        <w:r>
          <w:rPr>
            <w:color w:val="0000EE"/>
            <w:u w:val="single"/>
          </w:rPr>
          <w:t>2Co 6.18</w:t>
        </w:r>
      </w:hyperlink>
      <w:r>
        <w:t>);</w:t>
      </w:r>
    </w:p>
    <w:p>
      <w:pPr>
        <w:pStyle w:val="ListBullet"/>
        <w:spacing w:line="240" w:lineRule="auto"/>
        <w:ind w:left="720"/>
      </w:pPr>
      <w:r/>
      <w:r>
        <w:t xml:space="preserve">"Deus de nossos pais" (Or Mn 1.1; veja também </w:t>
      </w:r>
      <w:hyperlink r:id="rId6172">
        <w:r>
          <w:rPr>
            <w:color w:val="0000EE"/>
            <w:u w:val="single"/>
          </w:rPr>
          <w:t>2Cr 20.6</w:t>
        </w:r>
      </w:hyperlink>
      <w:r>
        <w:t xml:space="preserve">; </w:t>
      </w:r>
      <w:hyperlink r:id="rId15857">
        <w:r>
          <w:rPr>
            <w:color w:val="0000EE"/>
            <w:u w:val="single"/>
          </w:rPr>
          <w:t>33.12</w:t>
        </w:r>
      </w:hyperlink>
      <w:r>
        <w:t>);</w:t>
      </w:r>
    </w:p>
    <w:p>
      <w:pPr>
        <w:pStyle w:val="ListBullet"/>
        <w:spacing w:line="240" w:lineRule="auto"/>
        <w:ind w:left="720"/>
      </w:pPr>
      <w:r/>
      <w:r>
        <w:t>O Criador — glorioso, poderoso, irado, mas misericordioso (Or Mn 1.2–7a);</w:t>
      </w:r>
    </w:p>
    <w:p>
      <w:pPr>
        <w:pStyle w:val="ListBullet"/>
        <w:spacing w:line="240" w:lineRule="auto"/>
        <w:ind w:left="720"/>
      </w:pPr>
      <w:r/>
      <w:r>
        <w:t xml:space="preserve">Ele "fez o céu e a terra" (Or Mn 1.2; veja também </w:t>
      </w:r>
      <w:hyperlink r:id="rId13736">
        <w:r>
          <w:rPr>
            <w:color w:val="0000EE"/>
            <w:u w:val="single"/>
          </w:rPr>
          <w:t>Êx 20.11</w:t>
        </w:r>
      </w:hyperlink>
      <w:r>
        <w:t xml:space="preserve">; </w:t>
      </w:r>
      <w:hyperlink r:id="rId10776">
        <w:r>
          <w:rPr>
            <w:color w:val="0000EE"/>
            <w:u w:val="single"/>
          </w:rPr>
          <w:t>Ne 9.6</w:t>
        </w:r>
      </w:hyperlink>
      <w:r>
        <w:t xml:space="preserve">; </w:t>
      </w:r>
      <w:hyperlink r:id="rId15858">
        <w:r>
          <w:rPr>
            <w:color w:val="0000EE"/>
            <w:u w:val="single"/>
          </w:rPr>
          <w:t>Sl 146.6</w:t>
        </w:r>
      </w:hyperlink>
      <w:r>
        <w:t>);</w:t>
      </w:r>
    </w:p>
    <w:p>
      <w:pPr>
        <w:pStyle w:val="ListBullet"/>
        <w:spacing w:line="240" w:lineRule="auto"/>
        <w:ind w:left="720"/>
      </w:pPr>
      <w:r/>
      <w:r>
        <w:t>"Em sua variedade múltipla" (Or Mn 1.2);</w:t>
      </w:r>
    </w:p>
    <w:p>
      <w:pPr>
        <w:pStyle w:val="ListBullet"/>
        <w:spacing w:line="240" w:lineRule="auto"/>
        <w:ind w:left="720"/>
      </w:pPr>
      <w:r/>
      <w:r>
        <w:t xml:space="preserve">Ele "acorrentou o mar" e "confinou o abismo" (Or Mn 1.3; veja também </w:t>
      </w:r>
      <w:hyperlink r:id="rId13817">
        <w:r>
          <w:rPr>
            <w:color w:val="0000EE"/>
            <w:u w:val="single"/>
          </w:rPr>
          <w:t>Jó 38.8–11</w:t>
        </w:r>
      </w:hyperlink>
      <w:r>
        <w:t>);</w:t>
      </w:r>
    </w:p>
    <w:p>
      <w:pPr>
        <w:pStyle w:val="ListBullet"/>
        <w:spacing w:line="240" w:lineRule="auto"/>
        <w:ind w:left="720"/>
      </w:pPr>
      <w:r/>
      <w:r>
        <w:t xml:space="preserve">Ninguém pode suportar sua majestade gloriosa (Or Mn 1.5a; cp. </w:t>
      </w:r>
      <w:hyperlink r:id="rId10043">
        <w:r>
          <w:rPr>
            <w:color w:val="0000EE"/>
            <w:u w:val="single"/>
          </w:rPr>
          <w:t>2Pe 1.16–17</w:t>
        </w:r>
      </w:hyperlink>
      <w:r>
        <w:t>);</w:t>
      </w:r>
    </w:p>
    <w:p>
      <w:pPr>
        <w:pStyle w:val="ListBullet"/>
        <w:spacing w:line="240" w:lineRule="auto"/>
        <w:ind w:left="720"/>
      </w:pPr>
      <w:r/>
      <w:r>
        <w:t>Seu poder faz com que toda criatura "treme e estremeça" (Or Mn 1.4);</w:t>
      </w:r>
    </w:p>
    <w:p>
      <w:pPr>
        <w:pStyle w:val="ListBullet"/>
        <w:spacing w:line="240" w:lineRule="auto"/>
        <w:ind w:left="720"/>
      </w:pPr>
      <w:r/>
      <w:r>
        <w:t xml:space="preserve">Sua bondade é demonstrada na misericórdia e na salvação (Or Mn 1.7,14; veja também </w:t>
      </w:r>
      <w:hyperlink r:id="rId12632">
        <w:r>
          <w:rPr>
            <w:color w:val="0000EE"/>
            <w:u w:val="single"/>
          </w:rPr>
          <w:t>Is 63.7</w:t>
        </w:r>
      </w:hyperlink>
      <w:r>
        <w:t xml:space="preserve"> e </w:t>
      </w:r>
      <w:hyperlink r:id="rId5493">
        <w:r>
          <w:rPr>
            <w:color w:val="0000EE"/>
            <w:u w:val="single"/>
          </w:rPr>
          <w:t>Rm 2.4</w:t>
        </w:r>
      </w:hyperlink>
      <w:r>
        <w:t>);</w:t>
      </w:r>
    </w:p>
    <w:p>
      <w:pPr>
        <w:pStyle w:val="ListBullet"/>
        <w:spacing w:line="240" w:lineRule="auto"/>
        <w:ind w:left="720"/>
      </w:pPr>
      <w:r/>
      <w:r>
        <w:t xml:space="preserve">Ele é compassivo, paciente (tolerante) e muito misericordioso (Or Mn 1.7; veja também </w:t>
      </w:r>
      <w:hyperlink r:id="rId15859">
        <w:r>
          <w:rPr>
            <w:color w:val="0000EE"/>
            <w:u w:val="single"/>
          </w:rPr>
          <w:t>Sl 86.5,15</w:t>
        </w:r>
      </w:hyperlink>
      <w:r>
        <w:t>);</w:t>
      </w:r>
    </w:p>
    <w:p>
      <w:pPr>
        <w:pStyle w:val="ListBullet"/>
        <w:spacing w:line="240" w:lineRule="auto"/>
        <w:ind w:left="720"/>
      </w:pPr>
      <w:r/>
      <w:r>
        <w:t xml:space="preserve">Ele é "o Senhor Altíssimo" (Or Mn 1.7; veja também </w:t>
      </w:r>
      <w:hyperlink r:id="rId14190">
        <w:r>
          <w:rPr>
            <w:color w:val="0000EE"/>
            <w:u w:val="single"/>
          </w:rPr>
          <w:t>Sl 7.17</w:t>
        </w:r>
      </w:hyperlink>
      <w:r>
        <w:t xml:space="preserve">; </w:t>
      </w:r>
      <w:hyperlink r:id="rId14191">
        <w:r>
          <w:rPr>
            <w:color w:val="0000EE"/>
            <w:u w:val="single"/>
          </w:rPr>
          <w:t>47.2</w:t>
        </w:r>
      </w:hyperlink>
      <w:r>
        <w:t>).</w:t>
      </w:r>
    </w:p>
    <w:p>
      <w:r/>
      <w:r>
        <w:t>Manassés também afirma que:</w:t>
      </w:r>
    </w:p>
    <w:p>
      <w:pPr>
        <w:pStyle w:val="ListBullet"/>
        <w:spacing w:line="240" w:lineRule="auto"/>
        <w:ind w:left="720"/>
      </w:pPr>
      <w:r/>
      <w:r>
        <w:t>"Ninguém pode suportar a tua [de Deus] ira ameaçadora contra os pecadores" (Or Mn 1.5b);</w:t>
      </w:r>
    </w:p>
    <w:p>
      <w:pPr>
        <w:pStyle w:val="ListBullet"/>
        <w:spacing w:line="240" w:lineRule="auto"/>
        <w:ind w:left="720"/>
      </w:pPr>
      <w:r/>
      <w:r>
        <w:t>A idolatria dele sempre foi má aos olhos de Deus, mesmo que ele só tenha percebido recentemente que estava "acumulando pecado sobre pecado" (Or Mn 1.10);</w:t>
      </w:r>
    </w:p>
    <w:p>
      <w:pPr>
        <w:pStyle w:val="ListBullet"/>
        <w:spacing w:line="240" w:lineRule="auto"/>
        <w:ind w:left="720"/>
      </w:pPr>
      <w:r/>
      <w:r>
        <w:t xml:space="preserve">Ele está em correntes e rejeitado por Deus porque sua idolatria irritou Deus (Or Mn 1.10; veja também </w:t>
      </w:r>
      <w:hyperlink r:id="rId6678">
        <w:r>
          <w:rPr>
            <w:color w:val="0000EE"/>
            <w:u w:val="single"/>
          </w:rPr>
          <w:t>2Cr 33.6</w:t>
        </w:r>
      </w:hyperlink>
      <w:r>
        <w:t xml:space="preserve"> e </w:t>
      </w:r>
      <w:hyperlink r:id="rId15860">
        <w:r>
          <w:rPr>
            <w:color w:val="0000EE"/>
            <w:u w:val="single"/>
          </w:rPr>
          <w:t>Sl 107.10</w:t>
        </w:r>
      </w:hyperlink>
      <w:r>
        <w:t>).</w:t>
      </w:r>
    </w:p>
    <w:p>
      <w:r/>
      <w:r>
        <w:t>Manassés afirma que a misericórdia de Deus é sua única esperança. A misericórdia de Deus é:</w:t>
      </w:r>
    </w:p>
    <w:p>
      <w:pPr>
        <w:pStyle w:val="ListBullet"/>
        <w:spacing w:line="240" w:lineRule="auto"/>
        <w:ind w:left="720"/>
      </w:pPr>
      <w:r/>
      <w:r>
        <w:t>Incomensurável e além da compreensão (Or Mn 1.6);</w:t>
      </w:r>
    </w:p>
    <w:p>
      <w:pPr>
        <w:pStyle w:val="ListBullet"/>
        <w:spacing w:line="240" w:lineRule="auto"/>
        <w:ind w:left="720"/>
      </w:pPr>
      <w:r/>
      <w:r>
        <w:t>Infinita (Or Mn 1.7);</w:t>
      </w:r>
    </w:p>
    <w:p>
      <w:pPr>
        <w:pStyle w:val="ListBullet"/>
        <w:spacing w:line="240" w:lineRule="auto"/>
        <w:ind w:left="720"/>
      </w:pPr>
      <w:r/>
      <w:r>
        <w:t>Grande (Or Mn 1.14).</w:t>
      </w:r>
    </w:p>
    <w:p>
      <w:r/>
      <w:r>
        <w:t xml:space="preserve">A misericórdia de Deus está disponível porque o Senhor mesmo "designou o arrependimento para os pecadores, para que possam ser salvos" (Or Mn 1.7; veja também </w:t>
      </w:r>
      <w:hyperlink r:id="rId3204">
        <w:r>
          <w:rPr>
            <w:color w:val="0000EE"/>
            <w:u w:val="single"/>
          </w:rPr>
          <w:t>At 5.31</w:t>
        </w:r>
      </w:hyperlink>
      <w:r>
        <w:t>), incluindo o próprio Manassés (Or Mn 1.8).</w:t>
      </w:r>
    </w:p>
    <w:p>
      <w:r/>
      <w:r>
        <w:t>O coração da oração (Or Mn 1.9–13a) inclui a confissão de pecado de Manassés e seu apelo por perdão. Ela contém três linhas memoráveis:</w:t>
      </w:r>
    </w:p>
    <w:p>
      <w:pPr>
        <w:pStyle w:val="ListNumber"/>
        <w:spacing w:line="240" w:lineRule="auto"/>
        <w:ind w:left="720"/>
      </w:pPr>
      <w:r/>
      <w:r>
        <w:t>"</w:t>
      </w:r>
      <w:r>
        <w:rPr>
          <w:b/>
        </w:rPr>
        <w:t>Minhas transgressões são muitas, ó Senhor, minhas transgressões são muitas... Perdoa-me, ó Senhor, perdoa-me!";</w:t>
      </w:r>
    </w:p>
    <w:p>
      <w:pPr>
        <w:pStyle w:val="ListNumber"/>
        <w:spacing w:line="240" w:lineRule="auto"/>
        <w:ind w:left="720"/>
      </w:pPr>
      <w:r/>
      <w:r>
        <w:rPr>
          <w:b/>
        </w:rPr>
        <w:t>"E agora eu dobro o joelho do meu coração, suplicando-te por tua bondade".</w:t>
      </w:r>
      <w:r>
        <w:t xml:space="preserve"> Apesar de sua indignidade (Or Mn 1.9,14), ele implora a Deus para não destruí-lo, nem permanecer irado com ele para sempre, nem condená-lo à sepultura, porque o Senhor é "o Deus daqueles que se arrependem" (Or Mn 1.13);</w:t>
      </w:r>
    </w:p>
    <w:p>
      <w:pPr>
        <w:pStyle w:val="ListNumber"/>
        <w:spacing w:line="240" w:lineRule="auto"/>
        <w:ind w:left="720"/>
      </w:pPr>
      <w:r/>
      <w:r>
        <w:t xml:space="preserve">Manassés torna-se confiante de que Deus, em sua bondade e misericórdia, irá salvá-lo (Or Mn 1.14). Ele então demonstra a resposta adequada de um pecador perdoado ao dizer, </w:t>
      </w:r>
      <w:r>
        <w:rPr>
          <w:b/>
        </w:rPr>
        <w:t>"Eu te louvarei continuamente todos os dias da minha vida"</w:t>
      </w:r>
      <w:r>
        <w:t xml:space="preserve"> (Or Mn 1.15).</w:t>
      </w:r>
    </w:p>
    <w:p>
      <w:r/>
      <w:r>
        <w:t>A oração conclui com uma breve doxologia que louva a glória eterna de Deus.</w:t>
      </w:r>
    </w:p>
    <w:p>
      <w:r/>
      <w:r>
        <w:t xml:space="preserve">Embora esta oração tenha muitas qualidades admiráveis, ela difere do ensino cristão em um aspecto importante. O autor erroneamente pressupõe que existem dois tipos de pessoas: os justos, que são bons, e os pecadores, que são maus. A oração retrata Abraão, Isaque e Jacó como homens justos que não pecaram e não precisavam se arrepender. Isso não é preciso, mas reflete o pensamento judaico antes do cristianismo (veja </w:t>
      </w:r>
      <w:hyperlink r:id="rId14615">
        <w:r>
          <w:rPr>
            <w:color w:val="0000EE"/>
            <w:u w:val="single"/>
          </w:rPr>
          <w:t>Mt 9.13</w:t>
        </w:r>
      </w:hyperlink>
      <w:r>
        <w:t>). O Apóstolo Paulo disse que ninguém é justo por si só. Todos pecaram (</w:t>
      </w:r>
      <w:hyperlink r:id="rId15861">
        <w:r>
          <w:rPr>
            <w:color w:val="0000EE"/>
            <w:u w:val="single"/>
          </w:rPr>
          <w:t>Rm 3.10–12,21–26</w:t>
        </w:r>
      </w:hyperlink>
      <w:r>
        <w:t>). A justiça de Abraão não era inerente, ela veio através da fé (</w:t>
      </w:r>
      <w:hyperlink r:id="rId4990">
        <w:r>
          <w:rPr>
            <w:color w:val="0000EE"/>
            <w:u w:val="single"/>
          </w:rPr>
          <w:t>Rm 4.3</w:t>
        </w:r>
      </w:hyperlink>
      <w:r>
        <w:t xml:space="preserve">; cp. </w:t>
      </w:r>
      <w:hyperlink r:id="rId15862">
        <w:r>
          <w:rPr>
            <w:color w:val="0000EE"/>
            <w:u w:val="single"/>
          </w:rPr>
          <w:t>Fp 3.8–9</w:t>
        </w:r>
      </w:hyperlink>
      <w:r>
        <w:t>).</w:t>
      </w:r>
    </w:p>
    <w:p>
      <w:r/>
      <w:r>
        <w:rPr>
          <w:i/>
        </w:rPr>
        <w:t>Veja também</w:t>
      </w:r>
      <w:r>
        <w:t xml:space="preserve"> </w:t>
      </w:r>
      <w:r>
        <w:t>Apócrifos</w:t>
      </w:r>
      <w:r>
        <w:t>.</w:t>
      </w:r>
      <w:r/>
      <w:r/>
    </w:p>
    <w:p>
      <w:r/>
    </w:p>
    <w:p>
      <w:pPr>
        <w:pStyle w:val="Heading2"/>
      </w:pPr>
      <w:r>
        <w:t>Oráculo</w:t>
      </w:r>
      <w:r/>
    </w:p>
    <w:p>
      <w:r/>
      <w:r>
        <w:t>Um oráculo é uma mensagem divina de Deus transmitida por um porta-voz (como um profeta, sacerdote ou rei). Os oráculos geralmente anunciam bênçãos, fornecem instruções ou declaram julgamentos.</w:t>
      </w:r>
    </w:p>
    <w:p>
      <w:r/>
      <w:r>
        <w:t>Quando Balaque pediu a Balaão para proferir uma maldição contra Israel, Balaão, em vez disso, proferiu um oráculo de bênção (</w:t>
      </w:r>
      <w:hyperlink r:id="rId15863">
        <w:r>
          <w:rPr>
            <w:color w:val="0000EE"/>
            <w:u w:val="single"/>
          </w:rPr>
          <w:t>Nm 24.3–16</w:t>
        </w:r>
      </w:hyperlink>
      <w:r>
        <w:t>). Deus instruiu Moisés através de “palavras vivas” (</w:t>
      </w:r>
      <w:hyperlink r:id="rId1922">
        <w:r>
          <w:rPr>
            <w:color w:val="0000EE"/>
            <w:u w:val="single"/>
          </w:rPr>
          <w:t>At 7.38</w:t>
        </w:r>
      </w:hyperlink>
      <w:r>
        <w:t>). Deus confiou ao povo judeu essas mensagens (</w:t>
      </w:r>
      <w:hyperlink r:id="rId15864">
        <w:r>
          <w:rPr>
            <w:color w:val="0000EE"/>
            <w:u w:val="single"/>
          </w:rPr>
          <w:t>Rm 3.2</w:t>
        </w:r>
      </w:hyperlink>
      <w:r>
        <w:t>).</w:t>
      </w:r>
    </w:p>
    <w:p>
      <w:r/>
      <w:r>
        <w:t>O livro de Provérbios contém dois oráculos de sabedoria: um de Agur, que era filho de Jaque (</w:t>
      </w:r>
      <w:hyperlink r:id="rId620">
        <w:r>
          <w:rPr>
            <w:color w:val="0000EE"/>
            <w:u w:val="single"/>
          </w:rPr>
          <w:t>Pv 30.1</w:t>
        </w:r>
      </w:hyperlink>
      <w:r>
        <w:t>), e outro do rei Lemuel (</w:t>
      </w:r>
      <w:hyperlink r:id="rId13968">
        <w:r>
          <w:rPr>
            <w:color w:val="0000EE"/>
            <w:u w:val="single"/>
          </w:rPr>
          <w:t>Pv 31.1</w:t>
        </w:r>
      </w:hyperlink>
      <w:r>
        <w:t>).</w:t>
      </w:r>
    </w:p>
    <w:p>
      <w:r/>
      <w:r>
        <w:t>A Bíblia lista oráculos de julgamento entregues contra os reis Jorão de Israel (</w:t>
      </w:r>
      <w:hyperlink r:id="rId14992">
        <w:r>
          <w:rPr>
            <w:color w:val="0000EE"/>
            <w:u w:val="single"/>
          </w:rPr>
          <w:t>2Rs 9.25</w:t>
        </w:r>
      </w:hyperlink>
      <w:r>
        <w:t>) e Joás de Judá (</w:t>
      </w:r>
      <w:hyperlink r:id="rId6153">
        <w:r>
          <w:rPr>
            <w:color w:val="0000EE"/>
            <w:u w:val="single"/>
          </w:rPr>
          <w:t>2Cr 24.27</w:t>
        </w:r>
      </w:hyperlink>
      <w:r>
        <w:t>). Os profetas frequentemente proferiam oráculos contra nações que praticavam o mal:</w:t>
      </w:r>
    </w:p>
    <w:p>
      <w:pPr>
        <w:pStyle w:val="ListBullet"/>
        <w:spacing w:line="240" w:lineRule="auto"/>
        <w:ind w:left="720"/>
      </w:pPr>
      <w:r/>
      <w:r>
        <w:t>Isaías proferiu oráculos contra Babilônia (</w:t>
      </w:r>
      <w:hyperlink r:id="rId13969">
        <w:r>
          <w:rPr>
            <w:color w:val="0000EE"/>
            <w:u w:val="single"/>
          </w:rPr>
          <w:t>Is 13.1</w:t>
        </w:r>
      </w:hyperlink>
      <w:r>
        <w:t xml:space="preserve">; </w:t>
      </w:r>
      <w:hyperlink r:id="rId15865">
        <w:r>
          <w:rPr>
            <w:color w:val="0000EE"/>
            <w:u w:val="single"/>
          </w:rPr>
          <w:t>21.1</w:t>
        </w:r>
      </w:hyperlink>
      <w:r>
        <w:t>)</w:t>
      </w:r>
    </w:p>
    <w:p>
      <w:pPr>
        <w:pStyle w:val="ListBullet"/>
        <w:spacing w:line="240" w:lineRule="auto"/>
        <w:ind w:left="720"/>
      </w:pPr>
      <w:r/>
      <w:r>
        <w:t>Isaías proferiu oráculos contra Damasco (</w:t>
      </w:r>
      <w:hyperlink r:id="rId6506">
        <w:r>
          <w:rPr>
            <w:color w:val="0000EE"/>
            <w:u w:val="single"/>
          </w:rPr>
          <w:t>17.1</w:t>
        </w:r>
      </w:hyperlink>
      <w:r>
        <w:t>)</w:t>
      </w:r>
    </w:p>
    <w:p>
      <w:pPr>
        <w:pStyle w:val="ListBullet"/>
        <w:spacing w:line="240" w:lineRule="auto"/>
        <w:ind w:left="720"/>
      </w:pPr>
      <w:r/>
      <w:r>
        <w:t>Isaías proferiu oráculos contra o Egito (</w:t>
      </w:r>
      <w:hyperlink r:id="rId15866">
        <w:r>
          <w:rPr>
            <w:color w:val="0000EE"/>
            <w:u w:val="single"/>
          </w:rPr>
          <w:t>19.1</w:t>
        </w:r>
      </w:hyperlink>
      <w:r>
        <w:t>)</w:t>
      </w:r>
    </w:p>
    <w:p>
      <w:pPr>
        <w:pStyle w:val="ListBullet"/>
        <w:spacing w:line="240" w:lineRule="auto"/>
        <w:ind w:left="720"/>
      </w:pPr>
      <w:r/>
      <w:r>
        <w:t>Isaías proferiu oráculos contra Jerusalém (</w:t>
      </w:r>
      <w:hyperlink r:id="rId15867">
        <w:r>
          <w:rPr>
            <w:color w:val="0000EE"/>
            <w:u w:val="single"/>
          </w:rPr>
          <w:t>22.1</w:t>
        </w:r>
      </w:hyperlink>
      <w:r>
        <w:t>)</w:t>
      </w:r>
    </w:p>
    <w:p>
      <w:pPr>
        <w:pStyle w:val="ListBullet"/>
        <w:spacing w:line="240" w:lineRule="auto"/>
        <w:ind w:left="720"/>
      </w:pPr>
      <w:r/>
      <w:r>
        <w:t>Isaías proferiu oráculos contra Moabe (</w:t>
      </w:r>
      <w:hyperlink r:id="rId2307">
        <w:r>
          <w:rPr>
            <w:color w:val="0000EE"/>
            <w:u w:val="single"/>
          </w:rPr>
          <w:t>15.1</w:t>
        </w:r>
      </w:hyperlink>
      <w:r>
        <w:t>)</w:t>
      </w:r>
    </w:p>
    <w:p>
      <w:pPr>
        <w:pStyle w:val="ListBullet"/>
        <w:spacing w:line="240" w:lineRule="auto"/>
        <w:ind w:left="720"/>
      </w:pPr>
      <w:r/>
      <w:r>
        <w:t>Isaías proferiu oráculos contra a Filístia (</w:t>
      </w:r>
      <w:hyperlink r:id="rId15868">
        <w:r>
          <w:rPr>
            <w:color w:val="0000EE"/>
            <w:u w:val="single"/>
          </w:rPr>
          <w:t>14.28</w:t>
        </w:r>
      </w:hyperlink>
      <w:r>
        <w:t>)</w:t>
      </w:r>
    </w:p>
    <w:p>
      <w:pPr>
        <w:pStyle w:val="ListBullet"/>
        <w:spacing w:line="240" w:lineRule="auto"/>
        <w:ind w:left="720"/>
      </w:pPr>
      <w:r/>
      <w:r>
        <w:t>Isaías proferiu oráculos contra Tiro (</w:t>
      </w:r>
      <w:hyperlink r:id="rId15869">
        <w:r>
          <w:rPr>
            <w:color w:val="0000EE"/>
            <w:u w:val="single"/>
          </w:rPr>
          <w:t>23.1</w:t>
        </w:r>
      </w:hyperlink>
      <w:r>
        <w:t>)</w:t>
      </w:r>
    </w:p>
    <w:p>
      <w:pPr>
        <w:pStyle w:val="ListBullet"/>
        <w:spacing w:line="240" w:lineRule="auto"/>
        <w:ind w:left="720"/>
      </w:pPr>
      <w:r/>
      <w:r>
        <w:t>Naum proferiu oráculos contra Nínive (</w:t>
      </w:r>
      <w:hyperlink r:id="rId13970">
        <w:r>
          <w:rPr>
            <w:color w:val="0000EE"/>
            <w:u w:val="single"/>
          </w:rPr>
          <w:t>Na 1.1</w:t>
        </w:r>
      </w:hyperlink>
      <w:r>
        <w:t>)</w:t>
      </w:r>
    </w:p>
    <w:p>
      <w:pPr>
        <w:pStyle w:val="ListBullet"/>
        <w:spacing w:line="240" w:lineRule="auto"/>
        <w:ind w:left="720"/>
      </w:pPr>
      <w:r/>
      <w:r>
        <w:t>Habacuque proferiu oráculos contra Judá (</w:t>
      </w:r>
      <w:hyperlink r:id="rId13971">
        <w:r>
          <w:rPr>
            <w:color w:val="0000EE"/>
            <w:u w:val="single"/>
          </w:rPr>
          <w:t>Hc 1.1</w:t>
        </w:r>
      </w:hyperlink>
      <w:r>
        <w:t>)</w:t>
      </w:r>
    </w:p>
    <w:p>
      <w:pPr>
        <w:pStyle w:val="ListBullet"/>
        <w:spacing w:line="240" w:lineRule="auto"/>
        <w:ind w:left="720"/>
      </w:pPr>
      <w:r/>
      <w:r>
        <w:t>Malaquias proferiu oráculos contra Israel (</w:t>
      </w:r>
      <w:hyperlink r:id="rId15870">
        <w:r>
          <w:rPr>
            <w:color w:val="0000EE"/>
            <w:u w:val="single"/>
          </w:rPr>
          <w:t>Ml 1.1</w:t>
        </w:r>
      </w:hyperlink>
      <w:r>
        <w:t>)</w:t>
      </w:r>
    </w:p>
    <w:p>
      <w:r/>
      <w:r>
        <w:t>Às vezes, falsos profetas davam oráculos falsos e enganosos (</w:t>
      </w:r>
      <w:hyperlink r:id="rId12683">
        <w:r>
          <w:rPr>
            <w:color w:val="0000EE"/>
            <w:u w:val="single"/>
          </w:rPr>
          <w:t>Lm 2.14</w:t>
        </w:r>
      </w:hyperlink>
      <w:r>
        <w:t>).</w:t>
      </w:r>
    </w:p>
    <w:p>
      <w:r/>
      <w:r>
        <w:rPr>
          <w:i/>
        </w:rPr>
        <w:t>Veja também</w:t>
      </w:r>
      <w:r>
        <w:t xml:space="preserve"> </w:t>
      </w:r>
      <w:r>
        <w:t>Profecia</w:t>
      </w:r>
      <w:r>
        <w:t>.</w:t>
      </w:r>
      <w:r/>
      <w:r/>
    </w:p>
    <w:p>
      <w:r/>
    </w:p>
    <w:p>
      <w:pPr>
        <w:pStyle w:val="Heading2"/>
      </w:pPr>
      <w:r>
        <w:t>Ordenar, Ordenação</w:t>
      </w:r>
      <w:r/>
    </w:p>
    <w:p>
      <w:r/>
      <w:r>
        <w:t>O ato de investir, atribuir oficialmente alguém com autoridade religiosa. Vários sinônimos são “nomear”, “instituir”, “preparar” e “determinar”. No uso atual, as palavras “ordenar” e “ordenação” são aplicadas a pessoas, significando seleção e nomeação para o serviço de Deus.</w:t>
      </w:r>
    </w:p>
    <w:p>
      <w:pPr>
        <w:pStyle w:val="Heading3"/>
      </w:pPr>
      <w:r>
        <w:t>No Antigo Testamento</w:t>
      </w:r>
    </w:p>
    <w:p>
      <w:r/>
      <w:r>
        <w:t>Em todo o AT, a ênfase recai sobre a escolha e designação de Deus a quem ele quer. As funções sacerdotais passaram muito cedo do chefe de cada casa para a tribo divinamente escolhida de Levi (</w:t>
      </w:r>
      <w:hyperlink r:id="rId15871">
        <w:r>
          <w:rPr>
            <w:color w:val="0000EE"/>
            <w:u w:val="single"/>
          </w:rPr>
          <w:t>Dt 33.8–11</w:t>
        </w:r>
      </w:hyperlink>
      <w:r>
        <w:t xml:space="preserve">; </w:t>
      </w:r>
      <w:hyperlink r:id="rId15872">
        <w:r>
          <w:rPr>
            <w:color w:val="0000EE"/>
            <w:u w:val="single"/>
          </w:rPr>
          <w:t>Jz 17.13</w:t>
        </w:r>
      </w:hyperlink>
      <w:r>
        <w:t>). Através de todas as subsequentes rivalidades entre clãs — “Zadoqueus”, “Aarônico”, “Asmoneus” — esta reivindicação de privilégio herdado persistiu. A nomeação divina através de Levi remonta a Moisés (</w:t>
      </w:r>
      <w:hyperlink r:id="rId15873">
        <w:r>
          <w:rPr>
            <w:color w:val="0000EE"/>
            <w:u w:val="single"/>
          </w:rPr>
          <w:t>Êx 4.14</w:t>
        </w:r>
      </w:hyperlink>
      <w:r>
        <w:t xml:space="preserve">; </w:t>
      </w:r>
      <w:hyperlink r:id="rId5428">
        <w:r>
          <w:rPr>
            <w:color w:val="0000EE"/>
            <w:u w:val="single"/>
          </w:rPr>
          <w:t>28.41</w:t>
        </w:r>
      </w:hyperlink>
      <w:r>
        <w:t xml:space="preserve">; </w:t>
      </w:r>
      <w:hyperlink r:id="rId15874">
        <w:r>
          <w:rPr>
            <w:color w:val="0000EE"/>
            <w:u w:val="single"/>
          </w:rPr>
          <w:t>29.9</w:t>
        </w:r>
      </w:hyperlink>
      <w:r>
        <w:t>), reivindicada para o efraimita Samuel (</w:t>
      </w:r>
      <w:hyperlink r:id="rId15875">
        <w:r>
          <w:rPr>
            <w:color w:val="0000EE"/>
            <w:u w:val="single"/>
          </w:rPr>
          <w:t>1Cr 6.28</w:t>
        </w:r>
      </w:hyperlink>
      <w:r>
        <w:t xml:space="preserve">), e ainda celebrada por Siraque </w:t>
      </w:r>
      <w:hyperlink r:id="rId15876">
        <w:r>
          <w:rPr>
            <w:color w:val="0000EE"/>
            <w:u w:val="single"/>
          </w:rPr>
          <w:t>Eclo 45.6–22</w:t>
        </w:r>
      </w:hyperlink>
      <w:r>
        <w:t>, ca. 180 a.C.). . Como o livro de Hebreus afirma (</w:t>
      </w:r>
      <w:hyperlink r:id="rId15877">
        <w:r>
          <w:rPr>
            <w:color w:val="0000EE"/>
            <w:u w:val="single"/>
          </w:rPr>
          <w:t>Hb 5.1, 4</w:t>
        </w:r>
      </w:hyperlink>
      <w:r>
        <w:t>), ninguém toma a honra para si; ele é “chamado por Deus, como Arão foi”, por nascimento para um status herdado.</w:t>
      </w:r>
    </w:p>
    <w:p>
      <w:r/>
      <w:r>
        <w:t>Os primeiros levitas foram apresentados no tabernáculo na presença do povo, e reconhecidos pela “imposição das mãos” (</w:t>
      </w:r>
      <w:hyperlink r:id="rId15878">
        <w:r>
          <w:rPr>
            <w:color w:val="0000EE"/>
            <w:u w:val="single"/>
          </w:rPr>
          <w:t>Nm 8.10, 14–18</w:t>
        </w:r>
      </w:hyperlink>
      <w:r>
        <w:t>). Da mesma forma, Moisés recebeu instruções para a consagração de Arão e seus filhos, com duração de uma semana, com elaborados sacrifícios, vestimentas, unção e cerimônias rituais. (</w:t>
      </w:r>
      <w:hyperlink r:id="rId15879">
        <w:r>
          <w:rPr>
            <w:color w:val="0000EE"/>
            <w:u w:val="single"/>
          </w:rPr>
          <w:t>Êx 29</w:t>
        </w:r>
      </w:hyperlink>
      <w:r>
        <w:t xml:space="preserve">; </w:t>
      </w:r>
      <w:hyperlink r:id="rId15880">
        <w:r>
          <w:rPr>
            <w:color w:val="0000EE"/>
            <w:u w:val="single"/>
          </w:rPr>
          <w:t>Lv 8</w:t>
        </w:r>
      </w:hyperlink>
      <w:r>
        <w:t>). Em ambos os casos, a preservação cuidadosa dessas instruções detalhadas sugere que as cerimônias foram mantidas, em algum grau, nos anos posteriores, embora nenhuma repetição seja registrada.</w:t>
      </w:r>
    </w:p>
    <w:p>
      <w:r/>
      <w:r>
        <w:t>Ao lado dos sacerdotes, existiam estabelecimentos de profetas reconhecidos, ou comunidades proféticas, às vezes com patrocínio real (</w:t>
      </w:r>
      <w:hyperlink r:id="rId9547">
        <w:r>
          <w:rPr>
            <w:color w:val="0000EE"/>
            <w:u w:val="single"/>
          </w:rPr>
          <w:t>1Sm 10.5</w:t>
        </w:r>
      </w:hyperlink>
      <w:r>
        <w:t xml:space="preserve">; </w:t>
      </w:r>
      <w:hyperlink r:id="rId15881">
        <w:r>
          <w:rPr>
            <w:color w:val="0000EE"/>
            <w:u w:val="single"/>
          </w:rPr>
          <w:t>1Rs 1.9–10</w:t>
        </w:r>
      </w:hyperlink>
      <w:r>
        <w:t xml:space="preserve">; </w:t>
      </w:r>
      <w:hyperlink r:id="rId15882">
        <w:r>
          <w:rPr>
            <w:color w:val="0000EE"/>
            <w:u w:val="single"/>
          </w:rPr>
          <w:t>18.17–19</w:t>
        </w:r>
      </w:hyperlink>
      <w:r>
        <w:t xml:space="preserve">; </w:t>
      </w:r>
      <w:hyperlink r:id="rId15883">
        <w:r>
          <w:rPr>
            <w:color w:val="0000EE"/>
            <w:u w:val="single"/>
          </w:rPr>
          <w:t>20.35</w:t>
        </w:r>
      </w:hyperlink>
      <w:r>
        <w:t xml:space="preserve">; </w:t>
      </w:r>
      <w:hyperlink r:id="rId244">
        <w:r>
          <w:rPr>
            <w:color w:val="0000EE"/>
            <w:u w:val="single"/>
          </w:rPr>
          <w:t>22.5–28</w:t>
        </w:r>
      </w:hyperlink>
      <w:r>
        <w:t xml:space="preserve">; </w:t>
      </w:r>
      <w:hyperlink r:id="rId15884">
        <w:r>
          <w:rPr>
            <w:color w:val="0000EE"/>
            <w:u w:val="single"/>
          </w:rPr>
          <w:t>2Rs 2.3–7</w:t>
        </w:r>
      </w:hyperlink>
      <w:r>
        <w:t xml:space="preserve">; </w:t>
      </w:r>
      <w:hyperlink r:id="rId15885">
        <w:r>
          <w:rPr>
            <w:color w:val="0000EE"/>
            <w:u w:val="single"/>
          </w:rPr>
          <w:t>23.2</w:t>
        </w:r>
      </w:hyperlink>
      <w:r>
        <w:t xml:space="preserve">). A linhagem de profecia também remonta até os primeiros dias (ver </w:t>
      </w:r>
      <w:hyperlink r:id="rId15886">
        <w:r>
          <w:rPr>
            <w:color w:val="0000EE"/>
            <w:u w:val="single"/>
          </w:rPr>
          <w:t>Gn 20.7</w:t>
        </w:r>
      </w:hyperlink>
      <w:r>
        <w:t xml:space="preserve">; </w:t>
      </w:r>
      <w:hyperlink r:id="rId14773">
        <w:r>
          <w:rPr>
            <w:color w:val="0000EE"/>
            <w:u w:val="single"/>
          </w:rPr>
          <w:t>Dt 34.10</w:t>
        </w:r>
      </w:hyperlink>
      <w:r>
        <w:t xml:space="preserve">; </w:t>
      </w:r>
      <w:hyperlink r:id="rId6640">
        <w:r>
          <w:rPr>
            <w:color w:val="0000EE"/>
            <w:u w:val="single"/>
          </w:rPr>
          <w:t>Jz 4.4</w:t>
        </w:r>
      </w:hyperlink>
      <w:r>
        <w:t xml:space="preserve">; </w:t>
      </w:r>
      <w:hyperlink r:id="rId15887">
        <w:r>
          <w:rPr>
            <w:color w:val="0000EE"/>
            <w:u w:val="single"/>
          </w:rPr>
          <w:t>Jr 7.25</w:t>
        </w:r>
      </w:hyperlink>
      <w:r>
        <w:t xml:space="preserve">). A frase “filhos dos profetas”, e uma sugestão pouco clara em </w:t>
      </w:r>
      <w:hyperlink r:id="rId15888">
        <w:r>
          <w:rPr>
            <w:color w:val="0000EE"/>
            <w:u w:val="single"/>
          </w:rPr>
          <w:t>Jr 35.4</w:t>
        </w:r>
      </w:hyperlink>
      <w:r>
        <w:t xml:space="preserve">, podem implicar que a profecia, assim como o sacerdócio, às vezes era hereditária, mas a forma de nomeação e atribuição é desconhecida. Os profetas notáveis opunham-se frequentemente às “escolas” proféticas (Elias, </w:t>
      </w:r>
      <w:hyperlink r:id="rId7894">
        <w:r>
          <w:rPr>
            <w:color w:val="0000EE"/>
            <w:u w:val="single"/>
          </w:rPr>
          <w:t>1Rs 17</w:t>
        </w:r>
      </w:hyperlink>
      <w:r>
        <w:t xml:space="preserve">; Micaías, </w:t>
      </w:r>
      <w:hyperlink r:id="rId244">
        <w:r>
          <w:rPr>
            <w:color w:val="0000EE"/>
            <w:u w:val="single"/>
          </w:rPr>
          <w:t>1Rs 22.5–28</w:t>
        </w:r>
      </w:hyperlink>
      <w:r>
        <w:t xml:space="preserve">; Jeremias, </w:t>
      </w:r>
      <w:hyperlink r:id="rId15889">
        <w:r>
          <w:rPr>
            <w:color w:val="0000EE"/>
            <w:u w:val="single"/>
          </w:rPr>
          <w:t>Jr 27.14–16</w:t>
        </w:r>
      </w:hyperlink>
      <w:r>
        <w:t xml:space="preserve">; </w:t>
      </w:r>
      <w:hyperlink r:id="rId12439">
        <w:r>
          <w:rPr>
            <w:color w:val="0000EE"/>
            <w:u w:val="single"/>
          </w:rPr>
          <w:t>28</w:t>
        </w:r>
      </w:hyperlink>
      <w:r>
        <w:t>). Esses homens foram nomeados por chamado direto e divino (</w:t>
      </w:r>
      <w:hyperlink r:id="rId221">
        <w:r>
          <w:rPr>
            <w:color w:val="0000EE"/>
            <w:u w:val="single"/>
          </w:rPr>
          <w:t>1Rs 17.1</w:t>
        </w:r>
      </w:hyperlink>
      <w:r>
        <w:t xml:space="preserve">; </w:t>
      </w:r>
      <w:hyperlink r:id="rId15890">
        <w:r>
          <w:rPr>
            <w:color w:val="0000EE"/>
            <w:u w:val="single"/>
          </w:rPr>
          <w:t>21.17</w:t>
        </w:r>
      </w:hyperlink>
      <w:r>
        <w:t xml:space="preserve">; </w:t>
      </w:r>
      <w:hyperlink r:id="rId1938">
        <w:r>
          <w:rPr>
            <w:color w:val="0000EE"/>
            <w:u w:val="single"/>
          </w:rPr>
          <w:t>Is 6</w:t>
        </w:r>
      </w:hyperlink>
      <w:r>
        <w:t xml:space="preserve">; </w:t>
      </w:r>
      <w:hyperlink r:id="rId15891">
        <w:r>
          <w:rPr>
            <w:color w:val="0000EE"/>
            <w:u w:val="single"/>
          </w:rPr>
          <w:t>Jr 1</w:t>
        </w:r>
      </w:hyperlink>
      <w:r>
        <w:t xml:space="preserve">; </w:t>
      </w:r>
      <w:hyperlink r:id="rId1262">
        <w:r>
          <w:rPr>
            <w:color w:val="0000EE"/>
            <w:u w:val="single"/>
          </w:rPr>
          <w:t>Am 7.15</w:t>
        </w:r>
      </w:hyperlink>
      <w:r>
        <w:t>), embora pela instrução de Deus, Eliseu tenha sido chamado e ungido por Elias (</w:t>
      </w:r>
      <w:hyperlink r:id="rId7952">
        <w:r>
          <w:rPr>
            <w:color w:val="0000EE"/>
            <w:u w:val="single"/>
          </w:rPr>
          <w:t>1Rs 19.16</w:t>
        </w:r>
      </w:hyperlink>
      <w:r>
        <w:t xml:space="preserve">; cf. </w:t>
      </w:r>
      <w:hyperlink r:id="rId8373">
        <w:r>
          <w:rPr>
            <w:color w:val="0000EE"/>
            <w:u w:val="single"/>
          </w:rPr>
          <w:t>Is 61.1</w:t>
        </w:r>
      </w:hyperlink>
      <w:r>
        <w:t>). A autenticação da mensagem do profeta não reside em cerimônias de atribuição apropriadas, mas em sua verdade autoevidente; no caso das previsões, em sua realização (</w:t>
      </w:r>
      <w:hyperlink r:id="rId15892">
        <w:r>
          <w:rPr>
            <w:color w:val="0000EE"/>
            <w:u w:val="single"/>
          </w:rPr>
          <w:t>1Rs 22.13–14, 26–28</w:t>
        </w:r>
      </w:hyperlink>
      <w:r>
        <w:t xml:space="preserve">; </w:t>
      </w:r>
      <w:hyperlink r:id="rId15893">
        <w:r>
          <w:rPr>
            <w:color w:val="0000EE"/>
            <w:u w:val="single"/>
          </w:rPr>
          <w:t>Jr 28.5–9</w:t>
        </w:r>
      </w:hyperlink>
      <w:r>
        <w:t>).</w:t>
      </w:r>
    </w:p>
    <w:p>
      <w:pPr>
        <w:pStyle w:val="Heading3"/>
      </w:pPr>
      <w:r>
        <w:t>No Novo Testamento</w:t>
      </w:r>
    </w:p>
    <w:p>
      <w:r/>
      <w:r>
        <w:t>A ordenação cristã também é uma questão de escolha divina. Nem Jesus, nem qualquer discípulo, veio das classes religiosas profissionais. Ao ordenar os 12 apóstolos, Jesus chamou para si aqueles a quem ele desejava, mais tarde insistindo. “Não foram vocês que me escolheram; pelo contrário, fui eu que os escolhi” (</w:t>
      </w:r>
      <w:hyperlink r:id="rId7848">
        <w:r>
          <w:rPr>
            <w:color w:val="0000EE"/>
            <w:u w:val="single"/>
          </w:rPr>
          <w:t>Jo 15.16</w:t>
        </w:r>
      </w:hyperlink>
      <w:r>
        <w:t>). A escolha de Matias baseava-se em oração e na sorte divina (</w:t>
      </w:r>
      <w:hyperlink r:id="rId15894">
        <w:r>
          <w:rPr>
            <w:color w:val="0000EE"/>
            <w:u w:val="single"/>
          </w:rPr>
          <w:t>At 1.24–26</w:t>
        </w:r>
      </w:hyperlink>
      <w:r>
        <w:t>). Paulo argumentou que ele havia sido separado por Deus antes de nascer e não recebeu seu apostolado da parte de homens ou através deles (</w:t>
      </w:r>
      <w:hyperlink r:id="rId2273">
        <w:r>
          <w:rPr>
            <w:color w:val="0000EE"/>
            <w:u w:val="single"/>
          </w:rPr>
          <w:t>Gl 1.1, 15</w:t>
        </w:r>
      </w:hyperlink>
      <w:r>
        <w:t>). Paulo e Barnabé foram comissionados pela direção do Espírito durante a adoração, provavelmente por um profeta cristão. Da mesma forma, Timóteo foi primeiro escolhido como assistente de Paulo por declarações proféticas que apontavam para ele (</w:t>
      </w:r>
      <w:hyperlink r:id="rId15895">
        <w:r>
          <w:rPr>
            <w:color w:val="0000EE"/>
            <w:u w:val="single"/>
          </w:rPr>
          <w:t>1Tm 1.18</w:t>
        </w:r>
      </w:hyperlink>
      <w:r>
        <w:t xml:space="preserve">; </w:t>
      </w:r>
      <w:hyperlink r:id="rId13794">
        <w:r>
          <w:rPr>
            <w:color w:val="0000EE"/>
            <w:u w:val="single"/>
          </w:rPr>
          <w:t>4.14</w:t>
        </w:r>
      </w:hyperlink>
      <w:r>
        <w:t>).</w:t>
      </w:r>
    </w:p>
    <w:p>
      <w:r/>
      <w:r>
        <w:t>Em Corinto, vários ministérios de proclamação, ensino, cura e administração foram diretamente conferidos como dons do Espírito, que reparte como lhe convém (</w:t>
      </w:r>
      <w:hyperlink r:id="rId15896">
        <w:r>
          <w:rPr>
            <w:color w:val="0000EE"/>
            <w:u w:val="single"/>
          </w:rPr>
          <w:t>1Co 12.8–11, 28</w:t>
        </w:r>
      </w:hyperlink>
      <w:r>
        <w:t xml:space="preserve">; cf. </w:t>
      </w:r>
      <w:hyperlink r:id="rId3778">
        <w:r>
          <w:rPr>
            <w:color w:val="0000EE"/>
            <w:u w:val="single"/>
          </w:rPr>
          <w:t>Ef 4.11</w:t>
        </w:r>
      </w:hyperlink>
      <w:r>
        <w:t>). Os anciãos da igreja em Éfeso foram feitos guardiões do rebanho pelo Espírito Santo (</w:t>
      </w:r>
      <w:hyperlink r:id="rId1409">
        <w:r>
          <w:rPr>
            <w:color w:val="0000EE"/>
            <w:u w:val="single"/>
          </w:rPr>
          <w:t>At 20.28</w:t>
        </w:r>
      </w:hyperlink>
      <w:r>
        <w:t>). A prerrogativa divina está em todos os lugares da maneira clara: qualquer tentativa de obter o privilégio do ministério por iniciativa pessoal e meios indignos encontra a mais severa condenação (</w:t>
      </w:r>
      <w:hyperlink r:id="rId15897">
        <w:r>
          <w:rPr>
            <w:color w:val="0000EE"/>
            <w:u w:val="single"/>
          </w:rPr>
          <w:t>8.18–24</w:t>
        </w:r>
      </w:hyperlink>
      <w:r>
        <w:t>).</w:t>
      </w:r>
    </w:p>
    <w:p>
      <w:r/>
      <w:r>
        <w:t>Por outro lado, a igreja reunida “nomeou” Barnabé e Matias antes de submeter a escolha final a Deus (</w:t>
      </w:r>
      <w:hyperlink r:id="rId15898">
        <w:r>
          <w:rPr>
            <w:color w:val="0000EE"/>
            <w:u w:val="single"/>
          </w:rPr>
          <w:t>At 1.15, 23</w:t>
        </w:r>
      </w:hyperlink>
      <w:r>
        <w:t>). Os crentes escolheram os sete servidores, então os apresentaram aos apóstolos (</w:t>
      </w:r>
      <w:hyperlink r:id="rId15899">
        <w:r>
          <w:rPr>
            <w:color w:val="0000EE"/>
            <w:u w:val="single"/>
          </w:rPr>
          <w:t>6.2–6</w:t>
        </w:r>
      </w:hyperlink>
      <w:r>
        <w:t>). Uma igreja reunida, sob o comando do Espírito, comissionou e enviou Paulo e Barnabé (</w:t>
      </w:r>
      <w:hyperlink r:id="rId13793">
        <w:r>
          <w:rPr>
            <w:color w:val="0000EE"/>
            <w:u w:val="single"/>
          </w:rPr>
          <w:t>13.3</w:t>
        </w:r>
      </w:hyperlink>
      <w:r>
        <w:t>). Os próprios Paulo e Barnabé nomearam anciãos (</w:t>
      </w:r>
      <w:hyperlink r:id="rId1398">
        <w:r>
          <w:rPr>
            <w:color w:val="0000EE"/>
            <w:u w:val="single"/>
          </w:rPr>
          <w:t>14.23</w:t>
        </w:r>
      </w:hyperlink>
      <w:r>
        <w:t>), como Tito é instruído a fazer (</w:t>
      </w:r>
      <w:hyperlink r:id="rId1407">
        <w:r>
          <w:rPr>
            <w:color w:val="0000EE"/>
            <w:u w:val="single"/>
          </w:rPr>
          <w:t>Tt 1.5</w:t>
        </w:r>
      </w:hyperlink>
      <w:r>
        <w:t>), e provavelmente Timóteo também (</w:t>
      </w:r>
      <w:hyperlink r:id="rId15900">
        <w:r>
          <w:rPr>
            <w:color w:val="0000EE"/>
            <w:u w:val="single"/>
          </w:rPr>
          <w:t>1Tm 5.22</w:t>
        </w:r>
      </w:hyperlink>
      <w:r>
        <w:t>). Os anciãos em Listra e Icônio, juntamente com Paulo, obedecendo a um profeta cristão, nomearam Timóteo para a liderança (</w:t>
      </w:r>
      <w:hyperlink r:id="rId13794">
        <w:r>
          <w:rPr>
            <w:color w:val="0000EE"/>
            <w:u w:val="single"/>
          </w:rPr>
          <w:t>1Tm 4.14</w:t>
        </w:r>
      </w:hyperlink>
      <w:r>
        <w:t xml:space="preserve">; </w:t>
      </w:r>
      <w:hyperlink r:id="rId13795">
        <w:r>
          <w:rPr>
            <w:color w:val="0000EE"/>
            <w:u w:val="single"/>
          </w:rPr>
          <w:t>2Tm 1.6</w:t>
        </w:r>
      </w:hyperlink>
      <w:r>
        <w:t>). No momento em que as cartas foram escritas a Timóteo e Tito, listas elaboradas de qualificações eram necessárias para os líderes da igreja (</w:t>
      </w:r>
      <w:hyperlink r:id="rId15901">
        <w:r>
          <w:rPr>
            <w:color w:val="0000EE"/>
            <w:u w:val="single"/>
          </w:rPr>
          <w:t>1Tm 3.1–13</w:t>
        </w:r>
      </w:hyperlink>
      <w:r>
        <w:t xml:space="preserve">; </w:t>
      </w:r>
      <w:hyperlink r:id="rId15902">
        <w:r>
          <w:rPr>
            <w:color w:val="0000EE"/>
            <w:u w:val="single"/>
          </w:rPr>
          <w:t>2Tm 2.2</w:t>
        </w:r>
      </w:hyperlink>
      <w:r>
        <w:t>).</w:t>
      </w:r>
    </w:p>
    <w:p>
      <w:r/>
      <w:r>
        <w:t>A congregação dos crentes também participou na seleção dos líderes. Isso poderia ter envolvido oração, jejum e sorteio (</w:t>
      </w:r>
      <w:hyperlink r:id="rId7337">
        <w:r>
          <w:rPr>
            <w:color w:val="0000EE"/>
            <w:u w:val="single"/>
          </w:rPr>
          <w:t>At 1.26</w:t>
        </w:r>
      </w:hyperlink>
      <w:r>
        <w:t xml:space="preserve">; </w:t>
      </w:r>
      <w:hyperlink r:id="rId15903">
        <w:r>
          <w:rPr>
            <w:color w:val="0000EE"/>
            <w:u w:val="single"/>
          </w:rPr>
          <w:t>6.6</w:t>
        </w:r>
      </w:hyperlink>
      <w:r>
        <w:t xml:space="preserve">; </w:t>
      </w:r>
      <w:hyperlink r:id="rId3137">
        <w:r>
          <w:rPr>
            <w:color w:val="0000EE"/>
            <w:u w:val="single"/>
          </w:rPr>
          <w:t>13.2–3</w:t>
        </w:r>
      </w:hyperlink>
      <w:r>
        <w:t xml:space="preserve">; </w:t>
      </w:r>
      <w:hyperlink r:id="rId1398">
        <w:r>
          <w:rPr>
            <w:color w:val="0000EE"/>
            <w:u w:val="single"/>
          </w:rPr>
          <w:t>14.23</w:t>
        </w:r>
      </w:hyperlink>
      <w:r>
        <w:t xml:space="preserve">); às vezes “seleção através das mãos” (grego, </w:t>
      </w:r>
      <w:r>
        <w:rPr>
          <w:i/>
        </w:rPr>
        <w:t>cheirotonein</w:t>
      </w:r>
      <w:r>
        <w:t xml:space="preserve">, originalmente significa “eleição levantando as mãos”, mais tarde “seleção apontando para”; cf. </w:t>
      </w:r>
      <w:hyperlink r:id="rId1398">
        <w:r>
          <w:rPr>
            <w:color w:val="0000EE"/>
            <w:u w:val="single"/>
          </w:rPr>
          <w:t>At 14.23</w:t>
        </w:r>
      </w:hyperlink>
      <w:r>
        <w:t xml:space="preserve">; </w:t>
      </w:r>
      <w:hyperlink r:id="rId15904">
        <w:r>
          <w:rPr>
            <w:color w:val="0000EE"/>
            <w:u w:val="single"/>
          </w:rPr>
          <w:t>2Co 8.19</w:t>
        </w:r>
      </w:hyperlink>
      <w:r>
        <w:t>); e às vezes seleção por escolha do grupo (</w:t>
      </w:r>
      <w:hyperlink r:id="rId15898">
        <w:r>
          <w:rPr>
            <w:color w:val="0000EE"/>
            <w:u w:val="single"/>
          </w:rPr>
          <w:t>At 1.15, 23</w:t>
        </w:r>
      </w:hyperlink>
      <w:r>
        <w:t xml:space="preserve">; </w:t>
      </w:r>
      <w:hyperlink r:id="rId15905">
        <w:r>
          <w:rPr>
            <w:color w:val="0000EE"/>
            <w:u w:val="single"/>
          </w:rPr>
          <w:t>6.2–5</w:t>
        </w:r>
      </w:hyperlink>
      <w:r>
        <w:t xml:space="preserve">; </w:t>
      </w:r>
      <w:hyperlink r:id="rId13793">
        <w:r>
          <w:rPr>
            <w:color w:val="0000EE"/>
            <w:u w:val="single"/>
          </w:rPr>
          <w:t>13.3</w:t>
        </w:r>
      </w:hyperlink>
      <w:r>
        <w:t xml:space="preserve">; </w:t>
      </w:r>
      <w:hyperlink r:id="rId15906">
        <w:r>
          <w:rPr>
            <w:color w:val="0000EE"/>
            <w:u w:val="single"/>
          </w:rPr>
          <w:t>16.2</w:t>
        </w:r>
      </w:hyperlink>
      <w:r>
        <w:t xml:space="preserve">; </w:t>
      </w:r>
      <w:hyperlink r:id="rId13794">
        <w:r>
          <w:rPr>
            <w:color w:val="0000EE"/>
            <w:u w:val="single"/>
          </w:rPr>
          <w:t>1Tm 4.14</w:t>
        </w:r>
      </w:hyperlink>
      <w:r>
        <w:t>).</w:t>
      </w:r>
    </w:p>
    <w:p>
      <w:r/>
      <w:r>
        <w:rPr>
          <w:i/>
        </w:rPr>
        <w:t>Ver também</w:t>
      </w:r>
      <w:r>
        <w:t xml:space="preserve"> </w:t>
      </w:r>
      <w:r>
        <w:t>Preordenação</w:t>
      </w:r>
      <w:r>
        <w:t>.</w:t>
      </w:r>
      <w:r/>
      <w:r/>
    </w:p>
    <w:p>
      <w:r/>
    </w:p>
    <w:p>
      <w:pPr>
        <w:pStyle w:val="Heading2"/>
      </w:pPr>
      <w:r>
        <w:t>Orebe</w:t>
      </w:r>
      <w:r/>
    </w:p>
    <w:p>
      <w:r/>
      <w:r>
        <w:t>Um dos dois chefes midianitas (o outro sendo Zeebe) foi morto por homens da tribo de Efraim (</w:t>
      </w:r>
      <w:hyperlink r:id="rId15907">
        <w:r>
          <w:rPr>
            <w:color w:val="0000EE"/>
            <w:u w:val="single"/>
          </w:rPr>
          <w:t>Jz 7.25</w:t>
        </w:r>
      </w:hyperlink>
      <w:r>
        <w:t>). A ocasião para essa execução foi o ataque surpresa de Gideão ao acampamento midianita na colina de Moré, no Vale de Jezreel. A rota de retirada dos midianitas para o leste exigia que eles atravessassem novamente o Rio Jordão. Gideão enviou uma mensagem aos efraimitas para que tomassem os locais de travessia no rio, impedindo que os midianitas escapassem. Os efraimitas, seguindo as ordens, interceptaram um contingente de midianitas em fuga, incluindo os líderes proeminentes Orebe e Zeebe. Eles decapitaram esses dois líderes e enviaram suas cabeças como prêmio de guerra para Gideão, que então estava perseguindo os midianitas no lado leste do Jordão (</w:t>
      </w:r>
      <w:hyperlink r:id="rId15908">
        <w:r>
          <w:rPr>
            <w:color w:val="0000EE"/>
            <w:u w:val="single"/>
          </w:rPr>
          <w:t>8.3</w:t>
        </w:r>
      </w:hyperlink>
      <w:r>
        <w:t>).</w:t>
      </w:r>
    </w:p>
    <w:p>
      <w:r/>
      <w:r>
        <w:t>Na história posterior de Israel, as mortes de Orebe e Zeebe foram reconhecidas como um grande triunfo de Deus sobre os inimigos de seu povo. O salmista implora a Deus para derrubar os nobres entre os inimigos atuais de Israel, assim como fez com os chefes midianitas (</w:t>
      </w:r>
      <w:hyperlink r:id="rId15909">
        <w:r>
          <w:rPr>
            <w:color w:val="0000EE"/>
            <w:u w:val="single"/>
          </w:rPr>
          <w:t>Sl 83.11</w:t>
        </w:r>
      </w:hyperlink>
      <w:r>
        <w:t>). O Senhor, falando através de seu profeta Isaías, prometeu que os assírios seriam derrubados como no massacre de Midiã na rocha de Orebe (</w:t>
      </w:r>
      <w:hyperlink r:id="rId12434">
        <w:r>
          <w:rPr>
            <w:color w:val="0000EE"/>
            <w:u w:val="single"/>
          </w:rPr>
          <w:t>Is 9.4</w:t>
        </w:r>
      </w:hyperlink>
      <w:r>
        <w:t xml:space="preserve">; </w:t>
      </w:r>
      <w:hyperlink r:id="rId15910">
        <w:r>
          <w:rPr>
            <w:color w:val="0000EE"/>
            <w:u w:val="single"/>
          </w:rPr>
          <w:t>10.26</w:t>
        </w:r>
      </w:hyperlink>
      <w:r>
        <w:t>), implicando que a vitória anterior representava mais do que a captura de dois líderes; foi uma derrota importante e estratégica da força invasora midianita.</w:t>
      </w:r>
      <w:r/>
      <w:r/>
    </w:p>
    <w:p>
      <w:r/>
    </w:p>
    <w:p>
      <w:pPr>
        <w:pStyle w:val="Heading2"/>
      </w:pPr>
      <w:r>
        <w:t>Órfão</w:t>
      </w:r>
      <w:r/>
    </w:p>
    <w:p>
      <w:r/>
      <w:r>
        <w:t xml:space="preserve">Uma pessoa que perdeu um ou ambos os pais, muitas vezes devido à morte. A palavra vem de uma raiz hebraica que significa "estar sozinho" ou "desolado", e é frequentemente traduzida como "órfão". A ideia descreve qualquer pessoa sem proteção legal na comunidade de aliança de Israel. Elas estão desprotegidas ou necessitadas, e especialmente vulneráveis à opressão. Também se refere a alguém que carece do cuidado de um ou ambos os pais terrenos (compare </w:t>
      </w:r>
      <w:hyperlink r:id="rId15911">
        <w:r>
          <w:rPr>
            <w:color w:val="0000EE"/>
            <w:u w:val="single"/>
          </w:rPr>
          <w:t>Lm 5.3</w:t>
        </w:r>
      </w:hyperlink>
      <w:r>
        <w:t>).</w:t>
      </w:r>
    </w:p>
    <w:p>
      <w:r/>
      <w:r>
        <w:t>Deus demonstra uma preocupação especial pelos órfãos (</w:t>
      </w:r>
      <w:hyperlink r:id="rId11144">
        <w:r>
          <w:rPr>
            <w:color w:val="0000EE"/>
            <w:u w:val="single"/>
          </w:rPr>
          <w:t>Êx 22.22–24</w:t>
        </w:r>
      </w:hyperlink>
      <w:r>
        <w:t xml:space="preserve">; </w:t>
      </w:r>
      <w:hyperlink r:id="rId15912">
        <w:r>
          <w:rPr>
            <w:color w:val="0000EE"/>
            <w:u w:val="single"/>
          </w:rPr>
          <w:t>Dt 10.18</w:t>
        </w:r>
      </w:hyperlink>
      <w:r>
        <w:t xml:space="preserve">; </w:t>
      </w:r>
      <w:hyperlink r:id="rId15913">
        <w:r>
          <w:rPr>
            <w:color w:val="0000EE"/>
            <w:u w:val="single"/>
          </w:rPr>
          <w:t>Sl 10.14,18</w:t>
        </w:r>
      </w:hyperlink>
      <w:r>
        <w:t xml:space="preserve">; </w:t>
      </w:r>
      <w:hyperlink r:id="rId15914">
        <w:r>
          <w:rPr>
            <w:color w:val="0000EE"/>
            <w:u w:val="single"/>
          </w:rPr>
          <w:t>27.10</w:t>
        </w:r>
      </w:hyperlink>
      <w:r>
        <w:t xml:space="preserve">; </w:t>
      </w:r>
      <w:hyperlink r:id="rId15243">
        <w:r>
          <w:rPr>
            <w:color w:val="0000EE"/>
            <w:u w:val="single"/>
          </w:rPr>
          <w:t>68.5</w:t>
        </w:r>
      </w:hyperlink>
      <w:r>
        <w:t xml:space="preserve">; </w:t>
      </w:r>
      <w:hyperlink r:id="rId15915">
        <w:r>
          <w:rPr>
            <w:color w:val="0000EE"/>
            <w:u w:val="single"/>
          </w:rPr>
          <w:t>146.9</w:t>
        </w:r>
      </w:hyperlink>
      <w:r>
        <w:t xml:space="preserve">; </w:t>
      </w:r>
      <w:hyperlink r:id="rId15916">
        <w:r>
          <w:rPr>
            <w:color w:val="0000EE"/>
            <w:u w:val="single"/>
          </w:rPr>
          <w:t>Is 1.17</w:t>
        </w:r>
      </w:hyperlink>
      <w:r>
        <w:t xml:space="preserve">; </w:t>
      </w:r>
      <w:hyperlink r:id="rId15917">
        <w:r>
          <w:rPr>
            <w:color w:val="0000EE"/>
            <w:u w:val="single"/>
          </w:rPr>
          <w:t>Os 14.3</w:t>
        </w:r>
      </w:hyperlink>
      <w:r>
        <w:t>). As leis do Antigo Testamento protegiam seus direitos de herança (</w:t>
      </w:r>
      <w:hyperlink r:id="rId15918">
        <w:r>
          <w:rPr>
            <w:color w:val="0000EE"/>
            <w:u w:val="single"/>
          </w:rPr>
          <w:t>Nm 27.7–11</w:t>
        </w:r>
      </w:hyperlink>
      <w:r>
        <w:t xml:space="preserve">; </w:t>
      </w:r>
      <w:hyperlink r:id="rId7227">
        <w:r>
          <w:rPr>
            <w:color w:val="0000EE"/>
            <w:u w:val="single"/>
          </w:rPr>
          <w:t>Dt 24.17</w:t>
        </w:r>
      </w:hyperlink>
      <w:r>
        <w:t xml:space="preserve">; </w:t>
      </w:r>
      <w:hyperlink r:id="rId13865">
        <w:r>
          <w:rPr>
            <w:color w:val="0000EE"/>
            <w:u w:val="single"/>
          </w:rPr>
          <w:t>Pv 23.10</w:t>
        </w:r>
      </w:hyperlink>
      <w:r>
        <w:t>). A lei permitia que eles colhessem alimentos dos campos e vinhedos (</w:t>
      </w:r>
      <w:hyperlink r:id="rId15919">
        <w:r>
          <w:rPr>
            <w:color w:val="0000EE"/>
            <w:u w:val="single"/>
          </w:rPr>
          <w:t>Dt 24.19–21</w:t>
        </w:r>
      </w:hyperlink>
      <w:r>
        <w:t>). Também permitia que participassem das grandes festas anuais (</w:t>
      </w:r>
      <w:hyperlink r:id="rId8564">
        <w:r>
          <w:rPr>
            <w:color w:val="0000EE"/>
            <w:u w:val="single"/>
          </w:rPr>
          <w:t>Dt 16.11,14</w:t>
        </w:r>
      </w:hyperlink>
      <w:r>
        <w:t>). Eles também recebiam uma parte dos dízimos recolhidos a cada três anos (</w:t>
      </w:r>
      <w:hyperlink r:id="rId8566">
        <w:r>
          <w:rPr>
            <w:color w:val="0000EE"/>
            <w:u w:val="single"/>
          </w:rPr>
          <w:t>Dt 14.29</w:t>
        </w:r>
      </w:hyperlink>
      <w:r>
        <w:t xml:space="preserve">; </w:t>
      </w:r>
      <w:hyperlink r:id="rId7421">
        <w:r>
          <w:rPr>
            <w:color w:val="0000EE"/>
            <w:u w:val="single"/>
          </w:rPr>
          <w:t>26.12</w:t>
        </w:r>
      </w:hyperlink>
      <w:r>
        <w:t>). A Bíblia condena fortemente aqueles que maltratam os órfãos (</w:t>
      </w:r>
      <w:hyperlink r:id="rId7227">
        <w:r>
          <w:rPr>
            <w:color w:val="0000EE"/>
            <w:u w:val="single"/>
          </w:rPr>
          <w:t>Dt 24.17</w:t>
        </w:r>
      </w:hyperlink>
      <w:r>
        <w:t xml:space="preserve">; </w:t>
      </w:r>
      <w:hyperlink r:id="rId15920">
        <w:r>
          <w:rPr>
            <w:color w:val="0000EE"/>
            <w:u w:val="single"/>
          </w:rPr>
          <w:t>27.19</w:t>
        </w:r>
      </w:hyperlink>
      <w:r>
        <w:t xml:space="preserve">; </w:t>
      </w:r>
      <w:hyperlink r:id="rId450">
        <w:r>
          <w:rPr>
            <w:color w:val="0000EE"/>
            <w:u w:val="single"/>
          </w:rPr>
          <w:t>Ml 3.5</w:t>
        </w:r>
      </w:hyperlink>
      <w:r>
        <w:t>).</w:t>
      </w:r>
    </w:p>
    <w:p>
      <w:r/>
      <w:r>
        <w:t>Amigos e parentes às vezes ajudavam órfãos em Israel (</w:t>
      </w:r>
      <w:hyperlink r:id="rId15921">
        <w:r>
          <w:rPr>
            <w:color w:val="0000EE"/>
            <w:u w:val="single"/>
          </w:rPr>
          <w:t>Jó 29.12</w:t>
        </w:r>
      </w:hyperlink>
      <w:r>
        <w:t xml:space="preserve">; </w:t>
      </w:r>
      <w:hyperlink r:id="rId15922">
        <w:r>
          <w:rPr>
            <w:color w:val="0000EE"/>
            <w:u w:val="single"/>
          </w:rPr>
          <w:t>31.17</w:t>
        </w:r>
      </w:hyperlink>
      <w:r>
        <w:t>). No entanto, muitas pessoas não seguiam essas leis. Esse fracasso é evidenciado pelas acusações dos escritores da Bíblia (</w:t>
      </w:r>
      <w:hyperlink r:id="rId15923">
        <w:r>
          <w:rPr>
            <w:color w:val="0000EE"/>
            <w:u w:val="single"/>
          </w:rPr>
          <w:t>Jó 6.27</w:t>
        </w:r>
      </w:hyperlink>
      <w:r>
        <w:t xml:space="preserve">; </w:t>
      </w:r>
      <w:hyperlink r:id="rId15924">
        <w:r>
          <w:rPr>
            <w:color w:val="0000EE"/>
            <w:u w:val="single"/>
          </w:rPr>
          <w:t>22.9</w:t>
        </w:r>
      </w:hyperlink>
      <w:r>
        <w:t xml:space="preserve">; </w:t>
      </w:r>
      <w:hyperlink r:id="rId15925">
        <w:r>
          <w:rPr>
            <w:color w:val="0000EE"/>
            <w:u w:val="single"/>
          </w:rPr>
          <w:t>24.3,9</w:t>
        </w:r>
      </w:hyperlink>
      <w:r>
        <w:t xml:space="preserve">; </w:t>
      </w:r>
      <w:hyperlink r:id="rId15926">
        <w:r>
          <w:rPr>
            <w:color w:val="0000EE"/>
            <w:u w:val="single"/>
          </w:rPr>
          <w:t>Sl 94.6</w:t>
        </w:r>
      </w:hyperlink>
      <w:r>
        <w:t xml:space="preserve">; </w:t>
      </w:r>
      <w:hyperlink r:id="rId8335">
        <w:r>
          <w:rPr>
            <w:color w:val="0000EE"/>
            <w:u w:val="single"/>
          </w:rPr>
          <w:t>Is 1.23</w:t>
        </w:r>
      </w:hyperlink>
      <w:r>
        <w:t xml:space="preserve">; </w:t>
      </w:r>
      <w:hyperlink r:id="rId15927">
        <w:r>
          <w:rPr>
            <w:color w:val="0000EE"/>
            <w:u w:val="single"/>
          </w:rPr>
          <w:t>10.2</w:t>
        </w:r>
      </w:hyperlink>
      <w:r>
        <w:t xml:space="preserve">; </w:t>
      </w:r>
      <w:hyperlink r:id="rId15928">
        <w:r>
          <w:rPr>
            <w:color w:val="0000EE"/>
            <w:u w:val="single"/>
          </w:rPr>
          <w:t>Jr 5.28</w:t>
        </w:r>
      </w:hyperlink>
      <w:r>
        <w:t xml:space="preserve">; </w:t>
      </w:r>
      <w:hyperlink r:id="rId15929">
        <w:r>
          <w:rPr>
            <w:color w:val="0000EE"/>
            <w:u w:val="single"/>
          </w:rPr>
          <w:t>Ez 22.7</w:t>
        </w:r>
      </w:hyperlink>
      <w:r>
        <w:t>). Como resultado, os profetas frequentemente pediam um melhor tratamento para os órfãos (</w:t>
      </w:r>
      <w:hyperlink r:id="rId15930">
        <w:r>
          <w:rPr>
            <w:color w:val="0000EE"/>
            <w:u w:val="single"/>
          </w:rPr>
          <w:t>Jr 7.6</w:t>
        </w:r>
      </w:hyperlink>
      <w:r>
        <w:t xml:space="preserve">; </w:t>
      </w:r>
      <w:hyperlink r:id="rId15931">
        <w:r>
          <w:rPr>
            <w:color w:val="0000EE"/>
            <w:u w:val="single"/>
          </w:rPr>
          <w:t>22.3</w:t>
        </w:r>
      </w:hyperlink>
      <w:r>
        <w:t xml:space="preserve">; </w:t>
      </w:r>
      <w:hyperlink r:id="rId15932">
        <w:r>
          <w:rPr>
            <w:color w:val="0000EE"/>
            <w:u w:val="single"/>
          </w:rPr>
          <w:t>Zc 7.10</w:t>
        </w:r>
      </w:hyperlink>
      <w:r>
        <w:t>).</w:t>
      </w:r>
    </w:p>
    <w:p>
      <w:r/>
      <w:r>
        <w:t>O Novo Testamento usa a palavra apenas duas vezes. Uma vez, descreve aqueles que estão desolados ou em "aflição" (</w:t>
      </w:r>
      <w:hyperlink r:id="rId15933">
        <w:r>
          <w:rPr>
            <w:color w:val="0000EE"/>
            <w:u w:val="single"/>
          </w:rPr>
          <w:t>Jo 14.18</w:t>
        </w:r>
      </w:hyperlink>
      <w:r>
        <w:t>). O segundo uso descreve os "órfãos" (</w:t>
      </w:r>
      <w:hyperlink r:id="rId14901">
        <w:r>
          <w:rPr>
            <w:color w:val="0000EE"/>
            <w:u w:val="single"/>
          </w:rPr>
          <w:t>Tg 1.27</w:t>
        </w:r>
      </w:hyperlink>
      <w:r>
        <w:t>). No espírito de um profeta do Antigo Testamento, Tiago diz que a verdadeira religião inclui cuidar dos órfãos.</w:t>
      </w:r>
      <w:r/>
      <w:r/>
    </w:p>
    <w:p>
      <w:r/>
    </w:p>
    <w:p>
      <w:pPr>
        <w:pStyle w:val="Heading2"/>
      </w:pPr>
      <w:r>
        <w:t>Órgão</w:t>
      </w:r>
      <w:r/>
    </w:p>
    <w:p>
      <w:r/>
      <w:r>
        <w:t xml:space="preserve">Tradução incorreta da ARC para flauta em </w:t>
      </w:r>
      <w:hyperlink r:id="rId4858">
        <w:r>
          <w:rPr>
            <w:color w:val="0000EE"/>
            <w:u w:val="single"/>
          </w:rPr>
          <w:t>Gênesis 4.21</w:t>
        </w:r>
      </w:hyperlink>
      <w:r>
        <w:t xml:space="preserve">. </w:t>
      </w:r>
      <w:r>
        <w:rPr>
          <w:i/>
        </w:rPr>
        <w:t>Veja</w:t>
      </w:r>
      <w:r>
        <w:t xml:space="preserve"> </w:t>
      </w:r>
      <w:r>
        <w:t>Instrumentos musicais (Ugab)</w:t>
      </w:r>
      <w:r>
        <w:t>.</w:t>
      </w:r>
      <w:r/>
      <w:r/>
    </w:p>
    <w:p>
      <w:r/>
    </w:p>
    <w:p>
      <w:pPr>
        <w:pStyle w:val="Heading2"/>
      </w:pPr>
      <w:r>
        <w:t>Orgulho</w:t>
      </w:r>
      <w:r/>
    </w:p>
    <w:p>
      <w:r/>
      <w:r>
        <w:t>O orgulho pode referir-se a um autorrespeito razoável ou justificável, mas também pode significar uma autoestima inadequada e excessiva, conhecida como vaidade ou arrogância.</w:t>
      </w:r>
    </w:p>
    <w:p>
      <w:pPr>
        <w:pStyle w:val="Heading3"/>
      </w:pPr>
      <w:r>
        <w:t>Orgulho positivo e negativo</w:t>
      </w:r>
    </w:p>
    <w:p>
      <w:r/>
      <w:r>
        <w:t>O apóstolo Paulo demonstrou um tipo positivo de orgulho ao falar sobre sua confiança nos cristãos ou sua força no Senhor (</w:t>
      </w:r>
      <w:hyperlink r:id="rId9672">
        <w:r>
          <w:rPr>
            <w:color w:val="0000EE"/>
            <w:u w:val="single"/>
          </w:rPr>
          <w:t>2Co 7.4</w:t>
        </w:r>
      </w:hyperlink>
      <w:r>
        <w:t>;</w:t>
      </w:r>
      <w:hyperlink r:id="rId15934">
        <w:r>
          <w:rPr>
            <w:color w:val="0000EE"/>
            <w:u w:val="single"/>
          </w:rPr>
          <w:t xml:space="preserve"> 12.5,9</w:t>
        </w:r>
      </w:hyperlink>
      <w:r>
        <w:t>). No entanto, a Bíblia refere-se principalmente ao lado negativo do orgulho tanto no Antigo quanto no Novo Testamento.</w:t>
      </w:r>
    </w:p>
    <w:p>
      <w:r/>
      <w:r>
        <w:t xml:space="preserve">Na Bíblia, orgulho muitas vezes significa ter uma atitude de superioridade, que é o oposto de humildade. Uma palavra grega para orgulho descreve alguém que parece importante, mas na verdade está apenas cheio de auto importância (e.g., </w:t>
      </w:r>
      <w:hyperlink r:id="rId15935">
        <w:r>
          <w:rPr>
            <w:color w:val="0000EE"/>
            <w:u w:val="single"/>
          </w:rPr>
          <w:t>1Co 5.2</w:t>
        </w:r>
      </w:hyperlink>
      <w:r>
        <w:t xml:space="preserve">; </w:t>
      </w:r>
      <w:hyperlink r:id="rId5801">
        <w:r>
          <w:rPr>
            <w:color w:val="0000EE"/>
            <w:u w:val="single"/>
          </w:rPr>
          <w:t>8.1</w:t>
        </w:r>
      </w:hyperlink>
      <w:r>
        <w:t xml:space="preserve">; </w:t>
      </w:r>
      <w:hyperlink r:id="rId15936">
        <w:r>
          <w:rPr>
            <w:color w:val="0000EE"/>
            <w:u w:val="single"/>
          </w:rPr>
          <w:t>13.4</w:t>
        </w:r>
      </w:hyperlink>
      <w:r>
        <w:t xml:space="preserve">; </w:t>
      </w:r>
      <w:hyperlink r:id="rId1945">
        <w:r>
          <w:rPr>
            <w:color w:val="0000EE"/>
            <w:u w:val="single"/>
          </w:rPr>
          <w:t>Cl 2.18</w:t>
        </w:r>
      </w:hyperlink>
      <w:r>
        <w:t>).</w:t>
      </w:r>
    </w:p>
    <w:p>
      <w:pPr>
        <w:pStyle w:val="Heading3"/>
      </w:pPr>
      <w:r>
        <w:t>Orgulho como pecado</w:t>
      </w:r>
    </w:p>
    <w:p>
      <w:r/>
      <w:r>
        <w:t>O orgulho é um pecado de atitude e espírito. Assim se diz: “Olhos altivos e coração orgulhoso — os guias dos ímpios — são pecado” (</w:t>
      </w:r>
      <w:hyperlink r:id="rId15937">
        <w:r>
          <w:rPr>
            <w:color w:val="0000EE"/>
            <w:u w:val="single"/>
          </w:rPr>
          <w:t>Pv 21.4</w:t>
        </w:r>
      </w:hyperlink>
      <w:r>
        <w:t xml:space="preserve">). </w:t>
      </w:r>
      <w:hyperlink r:id="rId15938">
        <w:r>
          <w:rPr>
            <w:color w:val="0000EE"/>
            <w:u w:val="single"/>
          </w:rPr>
          <w:t>Eclesiastes 7.8</w:t>
        </w:r>
      </w:hyperlink>
      <w:r>
        <w:t xml:space="preserve"> fala sobre ser orgulhoso de espírito, e o salmista diz: “Ó Senhor, meus olhos não são altivos” (</w:t>
      </w:r>
      <w:hyperlink r:id="rId15939">
        <w:r>
          <w:rPr>
            <w:color w:val="0000EE"/>
            <w:u w:val="single"/>
          </w:rPr>
          <w:t>Sl 131.1</w:t>
        </w:r>
      </w:hyperlink>
      <w:r>
        <w:t>).</w:t>
      </w:r>
    </w:p>
    <w:p>
      <w:r/>
      <w:r>
        <w:t>O orgulho é mencionado nas duas listas dos pecados mais evidentes na Bíblia. Além dos pecados pelos quais Deus julgará os gentios, Paulo lista insolência, arrogância e vanglória (</w:t>
      </w:r>
      <w:hyperlink r:id="rId9663">
        <w:r>
          <w:rPr>
            <w:color w:val="0000EE"/>
            <w:u w:val="single"/>
          </w:rPr>
          <w:t>Rm 1.30</w:t>
        </w:r>
      </w:hyperlink>
      <w:r>
        <w:t>). Paulo também menciona que nos últimos dias, as pessoas serão vaidosas, arrogantes e presunçosas (</w:t>
      </w:r>
      <w:hyperlink r:id="rId15940">
        <w:r>
          <w:rPr>
            <w:color w:val="0000EE"/>
            <w:u w:val="single"/>
          </w:rPr>
          <w:t>2Tm 3.2–4</w:t>
        </w:r>
      </w:hyperlink>
      <w:r>
        <w:t>).</w:t>
      </w:r>
    </w:p>
    <w:p>
      <w:r/>
      <w:r>
        <w:t>Assim como muitos pecados de atitude, o orgulho não pode permanecer interno:</w:t>
      </w:r>
    </w:p>
    <w:p>
      <w:pPr>
        <w:pStyle w:val="ListBullet"/>
        <w:spacing w:line="240" w:lineRule="auto"/>
        <w:ind w:left="720"/>
      </w:pPr>
      <w:r/>
      <w:r>
        <w:t>Isso pode afetar a maneira como alguém fala:</w:t>
      </w:r>
    </w:p>
    <w:p>
      <w:pPr>
        <w:pStyle w:val="ListBullet"/>
        <w:spacing w:line="240" w:lineRule="auto"/>
        <w:ind w:left="1440"/>
      </w:pPr>
      <w:r/>
      <w:r>
        <w:t>Eles podem se gabar com mais frequência (</w:t>
      </w:r>
      <w:hyperlink r:id="rId15941">
        <w:r>
          <w:rPr>
            <w:color w:val="0000EE"/>
            <w:u w:val="single"/>
          </w:rPr>
          <w:t>Ml 3.13</w:t>
        </w:r>
      </w:hyperlink>
      <w:r>
        <w:t>).</w:t>
      </w:r>
    </w:p>
    <w:p>
      <w:pPr>
        <w:pStyle w:val="ListBullet"/>
        <w:spacing w:line="240" w:lineRule="auto"/>
        <w:ind w:left="720"/>
      </w:pPr>
      <w:r/>
      <w:r>
        <w:t>Pode afetar a aparência de alguém:</w:t>
      </w:r>
    </w:p>
    <w:p>
      <w:pPr>
        <w:pStyle w:val="ListBullet"/>
        <w:spacing w:line="240" w:lineRule="auto"/>
        <w:ind w:left="1440"/>
      </w:pPr>
      <w:r/>
      <w:r>
        <w:t>Eles podem ter “olhos altivos” ou "um olhar orgulhoso" (</w:t>
      </w:r>
      <w:hyperlink r:id="rId15942">
        <w:r>
          <w:rPr>
            <w:color w:val="0000EE"/>
            <w:u w:val="single"/>
          </w:rPr>
          <w:t>Pv 6.17</w:t>
        </w:r>
      </w:hyperlink>
      <w:r>
        <w:t xml:space="preserve">; </w:t>
      </w:r>
      <w:hyperlink r:id="rId15943">
        <w:r>
          <w:rPr>
            <w:color w:val="0000EE"/>
            <w:u w:val="single"/>
          </w:rPr>
          <w:t>Sl 101.5</w:t>
        </w:r>
      </w:hyperlink>
      <w:r>
        <w:t xml:space="preserve">; </w:t>
      </w:r>
      <w:hyperlink r:id="rId15944">
        <w:r>
          <w:rPr>
            <w:color w:val="0000EE"/>
            <w:u w:val="single"/>
          </w:rPr>
          <w:t>Pv 30.13</w:t>
        </w:r>
      </w:hyperlink>
      <w:r>
        <w:t>).</w:t>
      </w:r>
    </w:p>
    <w:p>
      <w:pPr>
        <w:pStyle w:val="ListBullet"/>
        <w:spacing w:line="240" w:lineRule="auto"/>
        <w:ind w:left="720"/>
      </w:pPr>
      <w:r/>
      <w:r>
        <w:t>Isso pode influenciar como alguém trata os outros:</w:t>
      </w:r>
    </w:p>
    <w:p>
      <w:pPr>
        <w:pStyle w:val="ListBullet"/>
        <w:spacing w:line="240" w:lineRule="auto"/>
        <w:ind w:left="1440"/>
      </w:pPr>
      <w:r/>
      <w:r>
        <w:t>Podem tratar os outros de forma rude (</w:t>
      </w:r>
      <w:hyperlink r:id="rId15945">
        <w:r>
          <w:rPr>
            <w:color w:val="0000EE"/>
            <w:u w:val="single"/>
          </w:rPr>
          <w:t>Pv 21.24</w:t>
        </w:r>
      </w:hyperlink>
      <w:r>
        <w:t xml:space="preserve">). Por exemplo, como os fariseus e outros líderes judeus tratavam e falavam sobre aqueles que consideravam inferiores (e.g., </w:t>
      </w:r>
      <w:hyperlink r:id="rId14075">
        <w:r>
          <w:rPr>
            <w:color w:val="0000EE"/>
            <w:u w:val="single"/>
          </w:rPr>
          <w:t>Mt 23.5–12</w:t>
        </w:r>
      </w:hyperlink>
      <w:r>
        <w:t xml:space="preserve">; </w:t>
      </w:r>
      <w:hyperlink r:id="rId15946">
        <w:r>
          <w:rPr>
            <w:color w:val="0000EE"/>
            <w:u w:val="single"/>
          </w:rPr>
          <w:t>Jo 9.34</w:t>
        </w:r>
      </w:hyperlink>
      <w:r>
        <w:t>). Isso era especialmente verdadeiro em relação aos cobradores de impostos e pecadores.</w:t>
      </w:r>
    </w:p>
    <w:p>
      <w:pPr>
        <w:pStyle w:val="Heading3"/>
      </w:pPr>
      <w:r>
        <w:t>Exemplos bíblicos de orgulho levando à queda</w:t>
      </w:r>
    </w:p>
    <w:p>
      <w:r/>
      <w:r>
        <w:t>A Bíblia fornece vários exemplos de como o orgulho leva à queda:</w:t>
      </w:r>
    </w:p>
    <w:p>
      <w:pPr>
        <w:pStyle w:val="ListBullet"/>
        <w:spacing w:line="240" w:lineRule="auto"/>
        <w:ind w:left="720"/>
      </w:pPr>
      <w:r/>
      <w:r>
        <w:t>O orgulho foi a queda do rei Uzias, que, por causa desse pecado, ousou oferecer incenso no altar de incenso e foi acometido de lepra como punição de Deus (</w:t>
      </w:r>
      <w:hyperlink r:id="rId15947">
        <w:r>
          <w:rPr>
            <w:color w:val="0000EE"/>
            <w:u w:val="single"/>
          </w:rPr>
          <w:t>2Cr 26.16</w:t>
        </w:r>
      </w:hyperlink>
      <w:r>
        <w:t>).</w:t>
      </w:r>
    </w:p>
    <w:p>
      <w:pPr>
        <w:pStyle w:val="ListBullet"/>
        <w:spacing w:line="240" w:lineRule="auto"/>
        <w:ind w:left="720"/>
      </w:pPr>
      <w:r/>
      <w:r>
        <w:t>Ezequias, após sua cura pelo Senhor, tornou-se orgulhoso de coração e trouxe a ira de Deus sobre si mesmo, Judá e Jerusalém (</w:t>
      </w:r>
      <w:hyperlink r:id="rId15948">
        <w:r>
          <w:rPr>
            <w:color w:val="0000EE"/>
            <w:u w:val="single"/>
          </w:rPr>
          <w:t>2Cr 32.25–26</w:t>
        </w:r>
      </w:hyperlink>
      <w:r>
        <w:t>).</w:t>
      </w:r>
    </w:p>
    <w:p>
      <w:pPr>
        <w:pStyle w:val="ListBullet"/>
        <w:spacing w:line="240" w:lineRule="auto"/>
        <w:ind w:left="720"/>
      </w:pPr>
      <w:r/>
      <w:r>
        <w:t>O fariseu orando no templo, comparando-se com o humilde coletor de impostos, é outro exemplo (</w:t>
      </w:r>
      <w:hyperlink r:id="rId9111">
        <w:r>
          <w:rPr>
            <w:color w:val="0000EE"/>
            <w:u w:val="single"/>
          </w:rPr>
          <w:t>Lc 18.9–14</w:t>
        </w:r>
      </w:hyperlink>
      <w:r>
        <w:t>).</w:t>
      </w:r>
    </w:p>
    <w:p>
      <w:pPr>
        <w:pStyle w:val="ListBullet"/>
        <w:spacing w:line="240" w:lineRule="auto"/>
        <w:ind w:left="720"/>
      </w:pPr>
      <w:r/>
      <w:r>
        <w:t>A recusa de Herodes em dar a Deus a glória por sua grandeza trouxe o julgamento divino; Herodes foi comido por vermes e morreu por seu pecado de orgulho (</w:t>
      </w:r>
      <w:hyperlink r:id="rId3823">
        <w:r>
          <w:rPr>
            <w:color w:val="0000EE"/>
            <w:u w:val="single"/>
          </w:rPr>
          <w:t>At 12.21–23</w:t>
        </w:r>
      </w:hyperlink>
      <w:r>
        <w:t>).</w:t>
      </w:r>
    </w:p>
    <w:p>
      <w:pPr>
        <w:pStyle w:val="ListBullet"/>
        <w:spacing w:line="240" w:lineRule="auto"/>
        <w:ind w:left="720"/>
      </w:pPr>
      <w:r/>
      <w:hyperlink r:id="rId9022">
        <w:r>
          <w:rPr>
            <w:color w:val="0000EE"/>
            <w:u w:val="single"/>
          </w:rPr>
          <w:t>Ezequiel 28</w:t>
        </w:r>
      </w:hyperlink>
      <w:r>
        <w:t>, que descreve o orgulho do líder de Tiro, é interpretado por muitos estudiosos bíblicos como uma referência, em um sentido mais profundo, à queda de Satanás no princípio.</w:t>
      </w:r>
    </w:p>
    <w:p>
      <w:r/>
      <w:r>
        <w:t>O orgulho não só causa a queda pessoal, mas também pode afetar nações. Foi uma razão fundamental para a remoção de Israel e Judá de Canaã (</w:t>
      </w:r>
      <w:hyperlink r:id="rId15949">
        <w:r>
          <w:rPr>
            <w:color w:val="0000EE"/>
            <w:u w:val="single"/>
          </w:rPr>
          <w:t>Is 3.16</w:t>
        </w:r>
      </w:hyperlink>
      <w:r>
        <w:t xml:space="preserve">; </w:t>
      </w:r>
      <w:hyperlink r:id="rId15950">
        <w:r>
          <w:rPr>
            <w:color w:val="0000EE"/>
            <w:u w:val="single"/>
          </w:rPr>
          <w:t>5.15</w:t>
        </w:r>
      </w:hyperlink>
      <w:r>
        <w:t xml:space="preserve">; </w:t>
      </w:r>
      <w:hyperlink r:id="rId15951">
        <w:r>
          <w:rPr>
            <w:color w:val="0000EE"/>
            <w:u w:val="single"/>
          </w:rPr>
          <w:t>Ez 16.50</w:t>
        </w:r>
      </w:hyperlink>
      <w:r>
        <w:t xml:space="preserve">; </w:t>
      </w:r>
      <w:hyperlink r:id="rId15952">
        <w:r>
          <w:rPr>
            <w:color w:val="0000EE"/>
            <w:u w:val="single"/>
          </w:rPr>
          <w:t>Os 13.6</w:t>
        </w:r>
      </w:hyperlink>
      <w:r>
        <w:t xml:space="preserve">; </w:t>
      </w:r>
      <w:hyperlink r:id="rId15953">
        <w:r>
          <w:rPr>
            <w:color w:val="0000EE"/>
            <w:u w:val="single"/>
          </w:rPr>
          <w:t>Sf 3.11</w:t>
        </w:r>
      </w:hyperlink>
      <w:r>
        <w:t>). Também levou à queda do rei assírio e do rei moabita (</w:t>
      </w:r>
      <w:hyperlink r:id="rId15954">
        <w:r>
          <w:rPr>
            <w:color w:val="0000EE"/>
            <w:u w:val="single"/>
          </w:rPr>
          <w:t>Is 10.12,33</w:t>
        </w:r>
      </w:hyperlink>
      <w:r>
        <w:t xml:space="preserve">; </w:t>
      </w:r>
      <w:hyperlink r:id="rId15955">
        <w:r>
          <w:rPr>
            <w:color w:val="0000EE"/>
            <w:u w:val="single"/>
          </w:rPr>
          <w:t>Jr 48.29</w:t>
        </w:r>
      </w:hyperlink>
      <w:r>
        <w:t>). Por causa de sua letalidade, Israel é advertido contra o orgulho e o esquecimento de Deus (</w:t>
      </w:r>
      <w:hyperlink r:id="rId15956">
        <w:r>
          <w:rPr>
            <w:color w:val="0000EE"/>
            <w:u w:val="single"/>
          </w:rPr>
          <w:t>Dt 8.14</w:t>
        </w:r>
      </w:hyperlink>
      <w:r>
        <w:t>).</w:t>
      </w:r>
    </w:p>
    <w:p>
      <w:pPr>
        <w:pStyle w:val="Heading3"/>
      </w:pPr>
      <w:r>
        <w:t>Deus detesta o orgulho</w:t>
      </w:r>
    </w:p>
    <w:p>
      <w:r/>
      <w:r>
        <w:t>Dado isso, fica claro por que a Bíblia diz que o orgulho é uma das sete coisas que Deus odeia (</w:t>
      </w:r>
      <w:hyperlink r:id="rId15942">
        <w:r>
          <w:rPr>
            <w:color w:val="0000EE"/>
            <w:u w:val="single"/>
          </w:rPr>
          <w:t>Pv 6.17</w:t>
        </w:r>
      </w:hyperlink>
      <w:r>
        <w:t>). Também menciona que Deus se opõe aos orgulhosos, mas concede graça aos humildes (</w:t>
      </w:r>
      <w:hyperlink r:id="rId10137">
        <w:r>
          <w:rPr>
            <w:color w:val="0000EE"/>
            <w:u w:val="single"/>
          </w:rPr>
          <w:t>Tg 4.6</w:t>
        </w:r>
      </w:hyperlink>
      <w:r>
        <w:t xml:space="preserve">; </w:t>
      </w:r>
      <w:hyperlink r:id="rId10138">
        <w:r>
          <w:rPr>
            <w:color w:val="0000EE"/>
            <w:u w:val="single"/>
          </w:rPr>
          <w:t>1Pe 5.5</w:t>
        </w:r>
      </w:hyperlink>
      <w:r>
        <w:t xml:space="preserve">; veja também </w:t>
      </w:r>
      <w:hyperlink r:id="rId15957">
        <w:r>
          <w:rPr>
            <w:color w:val="0000EE"/>
            <w:u w:val="single"/>
          </w:rPr>
          <w:t>Pv 3.34</w:t>
        </w:r>
      </w:hyperlink>
      <w:r>
        <w:t xml:space="preserve">; </w:t>
      </w:r>
      <w:hyperlink r:id="rId15958">
        <w:r>
          <w:rPr>
            <w:color w:val="0000EE"/>
            <w:u w:val="single"/>
          </w:rPr>
          <w:t>18.12</w:t>
        </w:r>
      </w:hyperlink>
      <w:r>
        <w:t>). O hino de Maria, a mãe de Jesus, pode resumir a atitude de Deus em relação ao orgulho: “Ele realizou feitos poderosos com seu braço; ele dispersou aqueles que são orgulhosos nos pensamentos de seus corações. Ele derrubou governantes de seus tronos, mas exaltou os humildes” (</w:t>
      </w:r>
      <w:hyperlink r:id="rId15959">
        <w:r>
          <w:rPr>
            <w:color w:val="0000EE"/>
            <w:u w:val="single"/>
          </w:rPr>
          <w:t>Lc 1.51–52</w:t>
        </w:r>
      </w:hyperlink>
      <w:r>
        <w:t>).</w:t>
      </w:r>
      <w:r/>
      <w:r/>
    </w:p>
    <w:p>
      <w:r/>
    </w:p>
    <w:p>
      <w:pPr>
        <w:pStyle w:val="Heading2"/>
      </w:pPr>
      <w:r>
        <w:t>Orvalho</w:t>
      </w:r>
      <w:r/>
    </w:p>
    <w:p>
      <w:r/>
      <w:r>
        <w:t xml:space="preserve">O orvalho é a água que se forma nas superfícies durante a noite quando o ar quente esfria. Você geralmente pode ver o orvalho como pequenas gotas de água em plantas e outras superfícies no início da manhã. </w:t>
        <w:br/>
        <w:br/>
      </w:r>
      <w:r>
        <w:t>No antigo Oriente Próximo, o orvalho era muito importante. Ele fornecia a água tão necessária em áreas quentes e secas onde a chuva era rara. As plantas precisavam do orvalho para crescer, e os agricultores dependiam dele para boas colheitas (</w:t>
      </w:r>
      <w:hyperlink r:id="rId15960">
        <w:r>
          <w:rPr>
            <w:color w:val="0000EE"/>
            <w:u w:val="single"/>
          </w:rPr>
          <w:t>Ag 1.10</w:t>
        </w:r>
      </w:hyperlink>
      <w:r>
        <w:t>). A Bíblia frequentemente menciona o orvalho e a chuva juntos como valiosos presentes de Deus (</w:t>
      </w:r>
      <w:hyperlink r:id="rId221">
        <w:r>
          <w:rPr>
            <w:color w:val="0000EE"/>
            <w:u w:val="single"/>
          </w:rPr>
          <w:t>1Rs 17.1</w:t>
        </w:r>
      </w:hyperlink>
      <w:r>
        <w:t>). O orvalho desempenhou um papel importante durante o Êxodo (quando Deus conduziu os israelitas para fora do Egito). Ele ajudou a fornecer alimento para o povo no deserto (</w:t>
      </w:r>
      <w:hyperlink r:id="rId15961">
        <w:r>
          <w:rPr>
            <w:color w:val="0000EE"/>
            <w:u w:val="single"/>
          </w:rPr>
          <w:t>Êx 16.13–21</w:t>
        </w:r>
      </w:hyperlink>
      <w:r>
        <w:t xml:space="preserve">; </w:t>
      </w:r>
      <w:hyperlink r:id="rId15962">
        <w:r>
          <w:rPr>
            <w:color w:val="0000EE"/>
            <w:u w:val="single"/>
          </w:rPr>
          <w:t>Nm 11.9</w:t>
        </w:r>
      </w:hyperlink>
      <w:r>
        <w:t>).</w:t>
      </w:r>
    </w:p>
    <w:p>
      <w:r/>
      <w:r>
        <w:t>A Bíblia utiliza "orvalho" como uma metáfora para diversas coisas diferentes:</w:t>
      </w:r>
    </w:p>
    <w:p>
      <w:pPr>
        <w:pStyle w:val="ListBullet"/>
        <w:spacing w:line="240" w:lineRule="auto"/>
        <w:ind w:left="720"/>
      </w:pPr>
      <w:r/>
      <w:r>
        <w:t>O orvalho é, às vezes, um símbolo de bênção. Por exemplo, Isaque abençoou Jacó pedindo que "o orvalho do céu" lhe fosse dado (</w:t>
      </w:r>
      <w:hyperlink r:id="rId15963">
        <w:r>
          <w:rPr>
            <w:color w:val="0000EE"/>
            <w:u w:val="single"/>
          </w:rPr>
          <w:t>Gn 27.28</w:t>
        </w:r>
      </w:hyperlink>
      <w:r>
        <w:t xml:space="preserve">; cp. </w:t>
      </w:r>
      <w:hyperlink r:id="rId4750">
        <w:r>
          <w:rPr>
            <w:color w:val="0000EE"/>
            <w:u w:val="single"/>
          </w:rPr>
          <w:t>Dt 33.13</w:t>
        </w:r>
      </w:hyperlink>
      <w:r>
        <w:t xml:space="preserve">; </w:t>
      </w:r>
      <w:hyperlink r:id="rId15964">
        <w:r>
          <w:rPr>
            <w:color w:val="0000EE"/>
            <w:u w:val="single"/>
          </w:rPr>
          <w:t>Mq 5.7</w:t>
        </w:r>
      </w:hyperlink>
      <w:r>
        <w:t>).</w:t>
      </w:r>
    </w:p>
    <w:p>
      <w:pPr>
        <w:pStyle w:val="ListBullet"/>
        <w:spacing w:line="240" w:lineRule="auto"/>
        <w:ind w:left="720"/>
      </w:pPr>
      <w:r/>
      <w:r>
        <w:t>O orvalho também era um símbolo de frescor, renovação ou prosperidade (</w:t>
      </w:r>
      <w:hyperlink r:id="rId15965">
        <w:r>
          <w:rPr>
            <w:color w:val="0000EE"/>
            <w:u w:val="single"/>
          </w:rPr>
          <w:t>Jó 29.19</w:t>
        </w:r>
      </w:hyperlink>
      <w:r>
        <w:t xml:space="preserve">; </w:t>
      </w:r>
      <w:hyperlink r:id="rId15966">
        <w:r>
          <w:rPr>
            <w:color w:val="0000EE"/>
            <w:u w:val="single"/>
          </w:rPr>
          <w:t>Os 14.5</w:t>
        </w:r>
      </w:hyperlink>
      <w:r>
        <w:t>).</w:t>
      </w:r>
    </w:p>
    <w:p>
      <w:pPr>
        <w:pStyle w:val="ListBullet"/>
        <w:spacing w:line="240" w:lineRule="auto"/>
        <w:ind w:left="720"/>
      </w:pPr>
      <w:r/>
      <w:r>
        <w:t>Dizia-se que o favor de um rei era como o orvalho sobre a grama (</w:t>
      </w:r>
      <w:hyperlink r:id="rId15967">
        <w:r>
          <w:rPr>
            <w:color w:val="0000EE"/>
            <w:u w:val="single"/>
          </w:rPr>
          <w:t>Pv 19.12</w:t>
        </w:r>
      </w:hyperlink>
      <w:r>
        <w:t>).</w:t>
      </w:r>
    </w:p>
    <w:p>
      <w:pPr>
        <w:pStyle w:val="ListBullet"/>
        <w:spacing w:line="240" w:lineRule="auto"/>
        <w:ind w:left="720"/>
      </w:pPr>
      <w:r/>
      <w:r>
        <w:t>O orvalho pode representar algo que chega silenciosamente. Assim como o orvalho se forma de maneira discreta à noite, ele foi usado para descrever ações silenciosas e secretas (</w:t>
      </w:r>
      <w:hyperlink r:id="rId15968">
        <w:r>
          <w:rPr>
            <w:color w:val="0000EE"/>
            <w:u w:val="single"/>
          </w:rPr>
          <w:t>2Sm 17.12</w:t>
        </w:r>
      </w:hyperlink>
      <w:r>
        <w:t>).</w:t>
      </w:r>
    </w:p>
    <w:p>
      <w:pPr>
        <w:pStyle w:val="ListBullet"/>
        <w:spacing w:line="240" w:lineRule="auto"/>
        <w:ind w:left="720"/>
      </w:pPr>
      <w:r/>
      <w:r>
        <w:t>O orvalho também é um símbolo de algo que desaparece rapidamente. Assim como o orvalho evapora rapidamente ao sol da manhã, era usado para descrever coisas que não duram muito (</w:t>
      </w:r>
      <w:hyperlink r:id="rId15969">
        <w:r>
          <w:rPr>
            <w:color w:val="0000EE"/>
            <w:u w:val="single"/>
          </w:rPr>
          <w:t>Os 6.4</w:t>
        </w:r>
      </w:hyperlink>
      <w:r>
        <w:t>).</w:t>
      </w:r>
    </w:p>
    <w:p>
      <w:r/>
      <w:r>
        <w:t>Em um dos salmos de Davi, ele escreveu que Deus daria nova força como o orvalho da manhã (</w:t>
      </w:r>
      <w:hyperlink r:id="rId15970">
        <w:r>
          <w:rPr>
            <w:color w:val="0000EE"/>
            <w:u w:val="single"/>
          </w:rPr>
          <w:t>Sl 110.3</w:t>
        </w:r>
      </w:hyperlink>
      <w:r>
        <w:t>).</w:t>
      </w:r>
      <w:r/>
      <w:r/>
    </w:p>
    <w:p>
      <w:r/>
    </w:p>
    <w:p>
      <w:pPr>
        <w:pStyle w:val="Heading2"/>
      </w:pPr>
      <w:r>
        <w:t>Os Césares</w:t>
      </w:r>
      <w:r/>
    </w:p>
    <w:p>
      <w:r/>
      <w:r>
        <w:t xml:space="preserve">Os Césares eram os governantes do Império Romano. O nome </w:t>
      </w:r>
      <w:r>
        <w:rPr>
          <w:i/>
        </w:rPr>
        <w:t>César</w:t>
      </w:r>
      <w:r>
        <w:t xml:space="preserve"> foi inicialmente o sobrenome de Júlio César, que viveu de 100 a 44 a.C.</w:t>
      </w:r>
    </w:p>
    <w:p>
      <w:r/>
      <w:r>
        <w:t xml:space="preserve">Os líderes romanos posteriores usaram </w:t>
      </w:r>
      <w:r>
        <w:rPr>
          <w:i/>
        </w:rPr>
        <w:t>Cesar</w:t>
      </w:r>
      <w:r>
        <w:t xml:space="preserve"> como um título, mesmo que não fossem da família de Júlio César. É daí que vêm as palavras </w:t>
      </w:r>
      <w:r>
        <w:rPr>
          <w:i/>
        </w:rPr>
        <w:t>Kaiser</w:t>
      </w:r>
      <w:r>
        <w:t xml:space="preserve"> (em alemão), </w:t>
      </w:r>
      <w:r>
        <w:rPr>
          <w:i/>
        </w:rPr>
        <w:t>Keizer</w:t>
      </w:r>
      <w:r>
        <w:t xml:space="preserve"> (em holandês) e </w:t>
      </w:r>
      <w:r>
        <w:rPr>
          <w:i/>
        </w:rPr>
        <w:t>Czar</w:t>
      </w:r>
      <w:r>
        <w:t xml:space="preserve"> (em russo).</w:t>
      </w:r>
    </w:p>
    <w:p>
      <w:r/>
      <w:r>
        <w:t>A Bíblia menciona César Augusto (</w:t>
      </w:r>
      <w:hyperlink r:id="rId4850">
        <w:r>
          <w:rPr>
            <w:color w:val="0000EE"/>
            <w:u w:val="single"/>
          </w:rPr>
          <w:t>Lc 2.1</w:t>
        </w:r>
      </w:hyperlink>
      <w:r>
        <w:t>) e Tibério César (</w:t>
      </w:r>
      <w:hyperlink r:id="rId9463">
        <w:r>
          <w:rPr>
            <w:color w:val="0000EE"/>
            <w:u w:val="single"/>
          </w:rPr>
          <w:t>Lc 3.1</w:t>
        </w:r>
      </w:hyperlink>
      <w:r>
        <w:t xml:space="preserve">). No livro de Atos, o título </w:t>
      </w:r>
      <w:r>
        <w:rPr>
          <w:i/>
        </w:rPr>
        <w:t>César</w:t>
      </w:r>
      <w:r>
        <w:t xml:space="preserve"> refere-se a Nero (</w:t>
      </w:r>
      <w:hyperlink r:id="rId15971">
        <w:r>
          <w:rPr>
            <w:color w:val="0000EE"/>
            <w:u w:val="single"/>
          </w:rPr>
          <w:t>At 25.11–12,21</w:t>
        </w:r>
      </w:hyperlink>
      <w:r>
        <w:t xml:space="preserve">; </w:t>
      </w:r>
      <w:hyperlink r:id="rId2846">
        <w:r>
          <w:rPr>
            <w:color w:val="0000EE"/>
            <w:u w:val="single"/>
          </w:rPr>
          <w:t>26.32</w:t>
        </w:r>
      </w:hyperlink>
      <w:r>
        <w:t xml:space="preserve">; </w:t>
      </w:r>
      <w:hyperlink r:id="rId15972">
        <w:r>
          <w:rPr>
            <w:color w:val="0000EE"/>
            <w:u w:val="single"/>
          </w:rPr>
          <w:t>27.24</w:t>
        </w:r>
      </w:hyperlink>
      <w:r>
        <w:t xml:space="preserve">; </w:t>
      </w:r>
      <w:hyperlink r:id="rId15973">
        <w:r>
          <w:rPr>
            <w:color w:val="0000EE"/>
            <w:u w:val="single"/>
          </w:rPr>
          <w:t>28.19</w:t>
        </w:r>
      </w:hyperlink>
      <w:r>
        <w:t>). Durante o período do Novo Testamento, 12 Césares governaram. Seis deles pertenciam à família original de César.</w:t>
      </w:r>
    </w:p>
    <w:p>
      <w:pPr>
        <w:pStyle w:val="Heading3"/>
      </w:pPr>
      <w:r>
        <w:t>Imperadores da dinastia de César</w:t>
      </w:r>
    </w:p>
    <w:p>
      <w:pPr>
        <w:pStyle w:val="ListBullet"/>
        <w:spacing w:line="240" w:lineRule="auto"/>
        <w:ind w:left="720"/>
      </w:pPr>
      <w:r/>
      <w:r>
        <w:t>Júlio César</w:t>
      </w:r>
      <w:r>
        <w:t xml:space="preserve"> (100–44 a.C.; ele não foi oficialmente um imperador, mas seu nome e liderança deram início à linha dos Césares);</w:t>
      </w:r>
    </w:p>
    <w:p>
      <w:pPr>
        <w:pStyle w:val="ListBullet"/>
        <w:spacing w:line="240" w:lineRule="auto"/>
        <w:ind w:left="720"/>
      </w:pPr>
      <w:r/>
      <w:r>
        <w:t>Tibério</w:t>
      </w:r>
      <w:r>
        <w:t xml:space="preserve"> (42 a.C. – 37 d.C., governou de 14 a 37 d.C.);</w:t>
      </w:r>
    </w:p>
    <w:p>
      <w:pPr>
        <w:pStyle w:val="ListBullet"/>
        <w:spacing w:line="240" w:lineRule="auto"/>
        <w:ind w:left="720"/>
      </w:pPr>
      <w:r/>
      <w:r>
        <w:t>Cláudio</w:t>
      </w:r>
      <w:r>
        <w:t xml:space="preserve"> (10 a.C. – 54 d.C., governou de 41 a 54 d.C.);</w:t>
      </w:r>
    </w:p>
    <w:p>
      <w:pPr>
        <w:pStyle w:val="ListBullet"/>
        <w:spacing w:line="240" w:lineRule="auto"/>
        <w:ind w:left="720"/>
      </w:pPr>
      <w:r/>
      <w:r>
        <w:t>Nero</w:t>
      </w:r>
      <w:r>
        <w:t xml:space="preserve"> (37–68 d.C., governou de 54–68 d.C.).</w:t>
      </w:r>
    </w:p>
    <w:p>
      <w:pPr>
        <w:pStyle w:val="Heading3"/>
      </w:pPr>
      <w:r>
        <w:t>Alguns imperadores posteriores</w:t>
      </w:r>
    </w:p>
    <w:p>
      <w:pPr>
        <w:pStyle w:val="ListBullet"/>
        <w:spacing w:line="240" w:lineRule="auto"/>
        <w:ind w:left="720"/>
      </w:pPr>
      <w:r/>
      <w:r>
        <w:t>Galba</w:t>
      </w:r>
      <w:r>
        <w:t xml:space="preserve"> (3 a.C. – 69 d.C., governou de 68 a 69 d.C.);</w:t>
      </w:r>
    </w:p>
    <w:p>
      <w:pPr>
        <w:pStyle w:val="ListBullet"/>
        <w:spacing w:line="240" w:lineRule="auto"/>
        <w:ind w:left="720"/>
      </w:pPr>
      <w:r/>
      <w:r>
        <w:t>Vespasiano</w:t>
      </w:r>
      <w:r>
        <w:t xml:space="preserve"> (9–79 d.C., governou de 69–79 d.C.);</w:t>
      </w:r>
    </w:p>
    <w:p>
      <w:pPr>
        <w:pStyle w:val="ListBullet"/>
        <w:spacing w:line="240" w:lineRule="auto"/>
        <w:ind w:left="720"/>
      </w:pPr>
      <w:r/>
      <w:r>
        <w:t>Tito</w:t>
      </w:r>
      <w:r>
        <w:t xml:space="preserve"> (39–81 d.C., governou de 79–81 d.C.);</w:t>
      </w:r>
    </w:p>
    <w:p>
      <w:pPr>
        <w:pStyle w:val="ListBullet"/>
        <w:spacing w:line="240" w:lineRule="auto"/>
        <w:ind w:left="720"/>
      </w:pPr>
      <w:r/>
      <w:r>
        <w:t>Domiciano</w:t>
      </w:r>
      <w:r>
        <w:t xml:space="preserve"> (51–96 d.C., governou de 81–96 d.C.);</w:t>
      </w:r>
    </w:p>
    <w:p>
      <w:pPr>
        <w:pStyle w:val="ListBullet"/>
        <w:spacing w:line="240" w:lineRule="auto"/>
        <w:ind w:left="720"/>
      </w:pPr>
      <w:r/>
      <w:r>
        <w:t>Trajano</w:t>
      </w:r>
      <w:r>
        <w:t xml:space="preserve"> (53–117 d.C, governou de 98–117 d.C);</w:t>
      </w:r>
    </w:p>
    <w:p>
      <w:pPr>
        <w:pStyle w:val="ListBullet"/>
        <w:spacing w:line="240" w:lineRule="auto"/>
        <w:ind w:left="720"/>
      </w:pPr>
      <w:r/>
      <w:r>
        <w:t>Diocleciano</w:t>
      </w:r>
      <w:r>
        <w:t xml:space="preserve"> (245–313 d.C., governou de 284 a 305 d.C.);</w:t>
      </w:r>
    </w:p>
    <w:p>
      <w:pPr>
        <w:pStyle w:val="ListBullet"/>
        <w:spacing w:line="240" w:lineRule="auto"/>
        <w:ind w:left="720"/>
      </w:pPr>
      <w:r/>
      <w:r>
        <w:t xml:space="preserve">Constantino, o Grande </w:t>
      </w:r>
      <w:r>
        <w:t>(272 ou 273–337 d.C, governou de 306 a 337 d.C).</w:t>
      </w:r>
    </w:p>
    <w:p>
      <w:r/>
      <w:r>
        <w:rPr>
          <w:i/>
        </w:rPr>
        <w:t>Veja também</w:t>
      </w:r>
      <w:r>
        <w:t xml:space="preserve"> </w:t>
      </w:r>
      <w:r>
        <w:t>Roma, Cidade de</w:t>
      </w:r>
      <w:r>
        <w:t>.</w:t>
      </w:r>
      <w:r/>
      <w:r/>
    </w:p>
    <w:p>
      <w:r/>
    </w:p>
    <w:p>
      <w:pPr>
        <w:pStyle w:val="Heading2"/>
      </w:pPr>
      <w:r>
        <w:t>Oseias</w:t>
      </w:r>
      <w:r/>
    </w:p>
    <w:p>
      <w:pPr>
        <w:pStyle w:val="ListNumber"/>
        <w:spacing w:line="240" w:lineRule="auto"/>
        <w:ind w:left="720"/>
      </w:pPr>
      <w:r/>
      <w:r>
        <w:t>O nome original de Josué, filho de Num. Josué mais tarde tornou-se o sucessor de Moisés como líder dos israelitas. Moisés mudou o nome de Josué de Oseias para Josué (</w:t>
      </w:r>
      <w:hyperlink r:id="rId12068">
        <w:r>
          <w:rPr>
            <w:color w:val="0000EE"/>
            <w:u w:val="single"/>
          </w:rPr>
          <w:t>Nm 13.8,16</w:t>
        </w:r>
      </w:hyperlink>
      <w:r>
        <w:t>).</w:t>
      </w:r>
    </w:p>
    <w:p>
      <w:r/>
      <w:r>
        <w:rPr>
          <w:i/>
        </w:rPr>
        <w:t>Veja</w:t>
      </w:r>
      <w:r>
        <w:t xml:space="preserve"> </w:t>
      </w:r>
      <w:r>
        <w:t>Josué (Pessoa) #1</w:t>
      </w:r>
      <w:r>
        <w:t>.</w:t>
      </w:r>
    </w:p>
    <w:p>
      <w:pPr>
        <w:pStyle w:val="ListNumber"/>
        <w:spacing w:line="240" w:lineRule="auto"/>
        <w:ind w:left="720"/>
      </w:pPr>
      <w:r/>
      <w:r>
        <w:t>O filho de Elá e o último dos 20 reis do reino do norte de Israel (</w:t>
      </w:r>
      <w:hyperlink r:id="rId15974">
        <w:r>
          <w:rPr>
            <w:color w:val="0000EE"/>
            <w:u w:val="single"/>
          </w:rPr>
          <w:t>2Rs 17.1–6</w:t>
        </w:r>
      </w:hyperlink>
      <w:r>
        <w:t>). O rei Oseias governou por nove anos, de 732 a 723 a.C., até que os assírios o capturaram. Nos últimos anos do reino do norte, a Assíria havia conquistado a maior parte do Oriente Médio. Isso ocorreu sob o governo de Tiglate-Pileser III. A Assíria havia reduzido o reino do norte a apenas três áreas tribais. Tudo o que restava era Efraim, Issacar e a metade de Manassés a oeste do rio Jordão.</w:t>
      </w:r>
    </w:p>
    <w:p>
      <w:r/>
      <w:r>
        <w:t>Anteriormente, o reino do norte havia formado uma aliança com Rezim de Damasco (Síria). Isso ocorreu sob o governo de Peca, que reinou de 740 a 732 a.C. Acaz era rei de Judá durante esse período, governando de 735 a 715 a.C. O rei Peca de Israel tentou forçar o rei Acaz de Judá a se unir a eles contra Tiglate-Pileser (</w:t>
      </w:r>
      <w:hyperlink r:id="rId15975">
        <w:r>
          <w:rPr>
            <w:color w:val="0000EE"/>
            <w:u w:val="single"/>
          </w:rPr>
          <w:t>2Rs 16.5</w:t>
        </w:r>
      </w:hyperlink>
      <w:r>
        <w:t xml:space="preserve">; </w:t>
      </w:r>
      <w:hyperlink r:id="rId15976">
        <w:r>
          <w:rPr>
            <w:color w:val="0000EE"/>
            <w:u w:val="single"/>
          </w:rPr>
          <w:t>Is 7.1–6</w:t>
        </w:r>
      </w:hyperlink>
      <w:r>
        <w:t>). A Assíria veio em auxílio de Judá. Durante esse tempo, Oseias fazia parte de um grupo que matou Peca (</w:t>
      </w:r>
      <w:hyperlink r:id="rId7750">
        <w:r>
          <w:rPr>
            <w:color w:val="0000EE"/>
            <w:u w:val="single"/>
          </w:rPr>
          <w:t>2Rs 15.30</w:t>
        </w:r>
      </w:hyperlink>
      <w:r>
        <w:t>). Tiglate-Pileser recompensou Oseias, tornando-o rei sobre o que restava do reino do norte.</w:t>
      </w:r>
    </w:p>
    <w:p>
      <w:r/>
      <w:r>
        <w:t>Oseias governou apenas como um rei servo sob a Assíria e pagou grandes tributos. Ele permaneceu leal à Assíria até a morte de Tiglate-Pileser em 727 a.C. Quando Salmaneser V se tornou o novo rei da Assíria, ele não confiou em Oseias. Salmaneser marchou contra Oseias, continuando a exigir tributo anual (</w:t>
      </w:r>
      <w:hyperlink r:id="rId15977">
        <w:r>
          <w:rPr>
            <w:color w:val="0000EE"/>
            <w:u w:val="single"/>
          </w:rPr>
          <w:t>2Rs 17.3</w:t>
        </w:r>
      </w:hyperlink>
      <w:r>
        <w:t>).</w:t>
      </w:r>
    </w:p>
    <w:p>
      <w:r/>
      <w:r>
        <w:t xml:space="preserve">Pouco depois, Oseias tentou afirmar sua independência. Ele parou de pagar tributos e iniciou negociações com o Rei So do Egito (versículo </w:t>
      </w:r>
      <w:hyperlink r:id="rId15978">
        <w:r>
          <w:rPr>
            <w:color w:val="0000EE"/>
            <w:u w:val="single"/>
          </w:rPr>
          <w:t>4</w:t>
        </w:r>
      </w:hyperlink>
      <w:r>
        <w:t>). O Egito estava disposto a apoiar Hoshea porque temia que a Assíria controlasse a Palestina. O Egito esperava que Samaria (a capital de Israel) permanecesse como uma zona de amortecimento entre o Egito e a Assíria.</w:t>
      </w:r>
    </w:p>
    <w:p>
      <w:r/>
      <w:r>
        <w:t>Salmaneser então enviou seu exército contra Samaria em 724 a.C. Oseias descobriu que sua aliança com o Egito tinha pouco valor. Os assírios capturaram Oseias e cercaram Samaria por três anos. A cidade caiu para os assírios em 722 a.C. Sargão II, que havia substituído Salmaneser por volta de 726 a.C., transferiu muitos israelitas para vários lugares na Assíria. Isso encerrou o reino do norte.</w:t>
      </w:r>
    </w:p>
    <w:p>
      <w:pPr>
        <w:pStyle w:val="ListNumber"/>
        <w:spacing w:line="240" w:lineRule="auto"/>
        <w:ind w:left="720"/>
      </w:pPr>
      <w:r/>
      <w:r>
        <w:t>O filho de Azazias era um dos oficiais do Rei Davi e estava encarregado dos efraimitas (</w:t>
      </w:r>
      <w:hyperlink r:id="rId11995">
        <w:r>
          <w:rPr>
            <w:color w:val="0000EE"/>
            <w:u w:val="single"/>
          </w:rPr>
          <w:t>1Cr 27.20</w:t>
        </w:r>
      </w:hyperlink>
      <w:r>
        <w:t>).</w:t>
      </w:r>
    </w:p>
    <w:p>
      <w:pPr>
        <w:pStyle w:val="ListNumber"/>
        <w:spacing w:line="240" w:lineRule="auto"/>
        <w:ind w:left="720"/>
      </w:pPr>
      <w:r/>
      <w:r>
        <w:t>Um dos que colocaram seu selo na aliança de Esdras (</w:t>
      </w:r>
      <w:hyperlink r:id="rId15979">
        <w:r>
          <w:rPr>
            <w:color w:val="0000EE"/>
            <w:u w:val="single"/>
          </w:rPr>
          <w:t>Ne 10.23</w:t>
        </w:r>
      </w:hyperlink>
      <w:r>
        <w:t>).</w:t>
      </w:r>
    </w:p>
    <w:p>
      <w:pPr>
        <w:pStyle w:val="ListNumber"/>
        <w:spacing w:line="240" w:lineRule="auto"/>
        <w:ind w:left="720"/>
      </w:pPr>
      <w:r/>
      <w:r>
        <w:t>Um profeta de Israel do século VIII, mais conhecido como Oseias.</w:t>
      </w:r>
    </w:p>
    <w:p>
      <w:r/>
      <w:r>
        <w:rPr>
          <w:i/>
        </w:rPr>
        <w:t>Veja</w:t>
      </w:r>
      <w:r>
        <w:t xml:space="preserve"> </w:t>
      </w:r>
      <w:r>
        <w:t>Oseias (Pessoa)</w:t>
      </w:r>
      <w:r>
        <w:t xml:space="preserve">; </w:t>
      </w:r>
      <w:r>
        <w:t>Oseias, Livro de</w:t>
      </w:r>
      <w:r>
        <w:t>.</w:t>
      </w:r>
      <w:r/>
      <w:r/>
    </w:p>
    <w:p>
      <w:r/>
    </w:p>
    <w:p>
      <w:pPr>
        <w:pStyle w:val="Heading2"/>
      </w:pPr>
      <w:r>
        <w:t>Oseias</w:t>
      </w:r>
      <w:r/>
    </w:p>
    <w:p>
      <w:r/>
      <w:r>
        <w:t xml:space="preserve">Este é o nome alternativo para Josué em </w:t>
      </w:r>
      <w:hyperlink r:id="rId12068">
        <w:r>
          <w:rPr>
            <w:color w:val="0000EE"/>
            <w:u w:val="single"/>
          </w:rPr>
          <w:t>Números 13.8,16</w:t>
        </w:r>
      </w:hyperlink>
      <w:r>
        <w:t>.</w:t>
      </w:r>
    </w:p>
    <w:p>
      <w:r/>
      <w:r>
        <w:rPr>
          <w:i/>
        </w:rPr>
        <w:t>Veja</w:t>
      </w:r>
      <w:r>
        <w:t xml:space="preserve"> </w:t>
      </w:r>
      <w:r>
        <w:t>Josué (Pessoa) #1</w:t>
      </w:r>
      <w:r>
        <w:t>.</w:t>
      </w:r>
      <w:r/>
      <w:r/>
    </w:p>
    <w:p>
      <w:r/>
    </w:p>
    <w:p>
      <w:pPr>
        <w:pStyle w:val="Heading2"/>
      </w:pPr>
      <w:r>
        <w:t>Oseias, Livro de</w:t>
      </w:r>
      <w:r/>
    </w:p>
    <w:p>
      <w:r/>
      <w:r>
        <w:t>Oseias é o primeiro dos 12 profetas menores na ordem tradicional dos livros do Antigo Testamento. Foi escrito no final do século VIII a.C.</w:t>
      </w:r>
    </w:p>
    <w:p>
      <w:r/>
      <w:r>
        <w:t>Oseias profetizou para o reino do norte de Israel durante seus últimos anos. Ele foi o único profeta que viveu e pregou no reino do norte. Deus escolheu Oseias para expor o abandono generalizado da fé e a corrupção naquele lugar. Oseias instou seus concidadãos a se arrependerem (pararem de fazer o mal) e voltarem para Deus. Através de sua própria vida, ele mostrou o amor fiel e inquebrável que Deus tinha por Israel.</w:t>
      </w:r>
    </w:p>
    <w:p>
      <w:pPr>
        <w:pStyle w:val="Heading3"/>
      </w:pPr>
      <w:r>
        <w:t>Resumo</w:t>
      </w:r>
    </w:p>
    <w:p>
      <w:pPr>
        <w:pStyle w:val="ListBullet"/>
        <w:spacing w:line="240" w:lineRule="auto"/>
        <w:ind w:left="720"/>
      </w:pPr>
      <w:r/>
      <w:r>
        <w:t>Quem escreveu o Livro de Oseias?</w:t>
      </w:r>
    </w:p>
    <w:p>
      <w:pPr>
        <w:pStyle w:val="ListBullet"/>
        <w:spacing w:line="240" w:lineRule="auto"/>
        <w:ind w:left="720"/>
      </w:pPr>
      <w:r/>
      <w:r>
        <w:t>O Livro de Oseias é autêntico?</w:t>
      </w:r>
    </w:p>
    <w:p>
      <w:pPr>
        <w:pStyle w:val="ListBullet"/>
        <w:spacing w:line="240" w:lineRule="auto"/>
        <w:ind w:left="720"/>
      </w:pPr>
      <w:r/>
      <w:r>
        <w:t>Qual é a história do Livro de Oseias?</w:t>
      </w:r>
    </w:p>
    <w:p>
      <w:pPr>
        <w:pStyle w:val="ListBullet"/>
        <w:spacing w:line="240" w:lineRule="auto"/>
        <w:ind w:left="720"/>
      </w:pPr>
      <w:r/>
      <w:r>
        <w:t>Quando o Livro de Oseias foi escrito?</w:t>
      </w:r>
    </w:p>
    <w:p>
      <w:pPr>
        <w:pStyle w:val="ListBullet"/>
        <w:spacing w:line="240" w:lineRule="auto"/>
        <w:ind w:left="720"/>
      </w:pPr>
      <w:r/>
      <w:r>
        <w:t>Onde o Livro de Oseias foi escrito? Para quem ele foi destinado?</w:t>
      </w:r>
    </w:p>
    <w:p>
      <w:pPr>
        <w:pStyle w:val="ListBullet"/>
        <w:spacing w:line="240" w:lineRule="auto"/>
        <w:ind w:left="720"/>
      </w:pPr>
      <w:r/>
      <w:r>
        <w:t>Por que o Livro de Oseias foi escrito?</w:t>
      </w:r>
    </w:p>
    <w:p>
      <w:pPr>
        <w:pStyle w:val="ListBullet"/>
        <w:spacing w:line="240" w:lineRule="auto"/>
        <w:ind w:left="720"/>
      </w:pPr>
      <w:r/>
      <w:r>
        <w:t>Qual é o tema do Livro de Oseias?</w:t>
      </w:r>
    </w:p>
    <w:p>
      <w:pPr>
        <w:pStyle w:val="ListBullet"/>
        <w:spacing w:line="240" w:lineRule="auto"/>
        <w:ind w:left="720"/>
      </w:pPr>
      <w:r/>
      <w:r>
        <w:t>Qual é a mensagem do livro de Oseias?</w:t>
      </w:r>
    </w:p>
    <w:p>
      <w:pPr>
        <w:pStyle w:val="Heading3"/>
      </w:pPr>
      <w:r>
        <w:t>Quem escreveu o Livro de Oseias?</w:t>
      </w:r>
    </w:p>
    <w:p>
      <w:r/>
      <w:r>
        <w:t>O ministério de Oseias durou pelo menos 38 anos, aproximadamente de 753 a 715 a.C. Ele parecia ser conhecedor, independentemente de ser um camponês ou de pertencer a uma classe rica em Israel.</w:t>
      </w:r>
    </w:p>
    <w:p>
      <w:r/>
      <w:r>
        <w:t>O casamento de Oseias com a prostituta Gomer provavelmente foi controverso em sua época. Também gerou grande controvérsia entre estudantes e comentaristas da Bíblia. É mais adequado entender que Gomer era uma prostituta bem conhecida. Oseias foi ordenado a se casar com ela como um símbolo da infidelidade de Israel e do amor inabalável de Deus.</w:t>
      </w:r>
    </w:p>
    <w:p>
      <w:pPr>
        <w:pStyle w:val="Heading3"/>
      </w:pPr>
      <w:r>
        <w:t>O Livro de Oseias é autêntico?</w:t>
      </w:r>
    </w:p>
    <w:p>
      <w:r/>
      <w:r>
        <w:t>A maioria dos estudiosos concorda com a autenticidade e unidade de Oseias. No entanto, existem duas áreas de controvérsia:</w:t>
      </w:r>
    </w:p>
    <w:p>
      <w:pPr>
        <w:pStyle w:val="ListNumber"/>
        <w:spacing w:line="240" w:lineRule="auto"/>
        <w:ind w:left="720"/>
      </w:pPr>
      <w:r/>
      <w:r>
        <w:t xml:space="preserve">As passagens que mencionam Judá (por exemplo, </w:t>
      </w:r>
      <w:hyperlink r:id="rId15980">
        <w:r>
          <w:rPr>
            <w:color w:val="0000EE"/>
            <w:u w:val="single"/>
          </w:rPr>
          <w:t>Os 1.1,7,11</w:t>
        </w:r>
      </w:hyperlink>
      <w:r>
        <w:t xml:space="preserve">; </w:t>
      </w:r>
      <w:hyperlink r:id="rId9986">
        <w:r>
          <w:rPr>
            <w:color w:val="0000EE"/>
            <w:u w:val="single"/>
          </w:rPr>
          <w:t>4.15</w:t>
        </w:r>
      </w:hyperlink>
      <w:r>
        <w:t xml:space="preserve">; </w:t>
      </w:r>
      <w:hyperlink r:id="rId15981">
        <w:r>
          <w:rPr>
            <w:color w:val="0000EE"/>
            <w:u w:val="single"/>
          </w:rPr>
          <w:t>5.5,10–14</w:t>
        </w:r>
      </w:hyperlink>
      <w:r>
        <w:t xml:space="preserve">; </w:t>
      </w:r>
      <w:hyperlink r:id="rId15982">
        <w:r>
          <w:rPr>
            <w:color w:val="0000EE"/>
            <w:u w:val="single"/>
          </w:rPr>
          <w:t>6.4,11</w:t>
        </w:r>
      </w:hyperlink>
      <w:r>
        <w:t xml:space="preserve">; </w:t>
      </w:r>
      <w:hyperlink r:id="rId9639">
        <w:r>
          <w:rPr>
            <w:color w:val="0000EE"/>
            <w:u w:val="single"/>
          </w:rPr>
          <w:t>8.14</w:t>
        </w:r>
      </w:hyperlink>
      <w:r>
        <w:t xml:space="preserve">; </w:t>
      </w:r>
      <w:hyperlink r:id="rId15983">
        <w:r>
          <w:rPr>
            <w:color w:val="0000EE"/>
            <w:u w:val="single"/>
          </w:rPr>
          <w:t>11.12</w:t>
        </w:r>
      </w:hyperlink>
      <w:r>
        <w:t xml:space="preserve">; </w:t>
      </w:r>
      <w:hyperlink r:id="rId15984">
        <w:r>
          <w:rPr>
            <w:color w:val="0000EE"/>
            <w:u w:val="single"/>
          </w:rPr>
          <w:t>12.2</w:t>
        </w:r>
      </w:hyperlink>
      <w:r>
        <w:t>)</w:t>
      </w:r>
    </w:p>
    <w:p>
      <w:pPr>
        <w:pStyle w:val="ListNumber"/>
        <w:spacing w:line="240" w:lineRule="auto"/>
        <w:ind w:left="720"/>
      </w:pPr>
      <w:r/>
      <w:r>
        <w:t xml:space="preserve">As seções que falam sobre bênçãos futuras ou libertação nacional (por exemplo, </w:t>
      </w:r>
      <w:hyperlink r:id="rId15985">
        <w:r>
          <w:rPr>
            <w:color w:val="0000EE"/>
            <w:u w:val="single"/>
          </w:rPr>
          <w:t>Os 11.8–11</w:t>
        </w:r>
      </w:hyperlink>
      <w:r>
        <w:t xml:space="preserve">; </w:t>
      </w:r>
      <w:hyperlink r:id="rId15986">
        <w:r>
          <w:rPr>
            <w:color w:val="0000EE"/>
            <w:u w:val="single"/>
          </w:rPr>
          <w:t>14.2–9</w:t>
        </w:r>
      </w:hyperlink>
      <w:r>
        <w:t>)</w:t>
      </w:r>
    </w:p>
    <w:p>
      <w:r/>
      <w:r>
        <w:t>As menções de Oseias a Judá são compreensíveis. Ele era um homem de Deus, perturbado pela separação de Israel da legítima linhagem davídica. O reino do norte, liderado por reis ímpios, enfrentou o julgamento de Deus. Oseias havia recebido uma visão divina sobre os planos de Deus para Judá e Israel.</w:t>
      </w:r>
    </w:p>
    <w:p>
      <w:r/>
      <w:r>
        <w:t>As bênçãos futuras e a libertação de Israel não anulam a condenação dos pecados de Israel. Isso é semelhante ao amor e à reconciliação de Oseias com a infiel Gomer, que não apagam seus erros. Restauração e perdão não significam ignorar a culpa.</w:t>
      </w:r>
    </w:p>
    <w:p>
      <w:pPr>
        <w:pStyle w:val="Heading3"/>
      </w:pPr>
      <w:r>
        <w:t>Qual é a história do Livro de Oseias?</w:t>
      </w:r>
    </w:p>
    <w:p>
      <w:r/>
      <w:r>
        <w:t>Oseias viveu durante os tempos prósperos do reino do norte de Israel sob o rei Jeroboão II, de 793 a 753 a.C. Ele também testemunhou sua derrota e a deportação do povo após a invasão assíria em 722 a.C.</w:t>
      </w:r>
    </w:p>
    <w:p>
      <w:r/>
      <w:hyperlink r:id="rId3301">
        <w:r>
          <w:rPr>
            <w:color w:val="0000EE"/>
            <w:u w:val="single"/>
          </w:rPr>
          <w:t>Oséias 1.1</w:t>
        </w:r>
      </w:hyperlink>
      <w:r>
        <w:t xml:space="preserve"> menciona estes reis de Judá:</w:t>
      </w:r>
    </w:p>
    <w:p>
      <w:pPr>
        <w:pStyle w:val="ListBullet"/>
        <w:spacing w:line="240" w:lineRule="auto"/>
        <w:ind w:left="720"/>
      </w:pPr>
      <w:r/>
      <w:r>
        <w:t>Uzias</w:t>
      </w:r>
    </w:p>
    <w:p>
      <w:pPr>
        <w:pStyle w:val="ListBullet"/>
        <w:spacing w:line="240" w:lineRule="auto"/>
        <w:ind w:left="720"/>
      </w:pPr>
      <w:r/>
      <w:r>
        <w:t>Jotão</w:t>
      </w:r>
    </w:p>
    <w:p>
      <w:pPr>
        <w:pStyle w:val="ListBullet"/>
        <w:spacing w:line="240" w:lineRule="auto"/>
        <w:ind w:left="720"/>
      </w:pPr>
      <w:r/>
      <w:r>
        <w:t>Acaz</w:t>
      </w:r>
    </w:p>
    <w:p>
      <w:pPr>
        <w:pStyle w:val="ListBullet"/>
        <w:spacing w:line="240" w:lineRule="auto"/>
        <w:ind w:left="720"/>
      </w:pPr>
      <w:r/>
      <w:r>
        <w:t>Ezequias</w:t>
      </w:r>
    </w:p>
    <w:p>
      <w:r/>
      <w:r>
        <w:t>Este versículo também menciona dois reis de Israel:</w:t>
      </w:r>
    </w:p>
    <w:p>
      <w:pPr>
        <w:pStyle w:val="ListBullet"/>
        <w:spacing w:line="240" w:lineRule="auto"/>
        <w:ind w:left="720"/>
      </w:pPr>
      <w:r/>
      <w:r>
        <w:t>Joás</w:t>
      </w:r>
    </w:p>
    <w:p>
      <w:pPr>
        <w:pStyle w:val="ListBullet"/>
        <w:spacing w:line="240" w:lineRule="auto"/>
        <w:ind w:left="720"/>
      </w:pPr>
      <w:r/>
      <w:r>
        <w:t>Jeroboão</w:t>
      </w:r>
    </w:p>
    <w:p>
      <w:r/>
      <w:r>
        <w:t>Uzias governou simultaneamente com Joás e Jeroboão. Acaz era o rei de Judá quando a Assíria capturou Israel. Ezequias pode ter governado junto com Acaz durante o cativeiro assírio.</w:t>
      </w:r>
    </w:p>
    <w:p>
      <w:r/>
      <w:r>
        <w:t>Jeroboão governou Israel por 41 anos, seguindo os caminhos malignos de seu pai, Nebate (</w:t>
      </w:r>
      <w:hyperlink r:id="rId11627">
        <w:r>
          <w:rPr>
            <w:color w:val="0000EE"/>
            <w:u w:val="single"/>
          </w:rPr>
          <w:t>2Rs 14.23–24</w:t>
        </w:r>
      </w:hyperlink>
      <w:r>
        <w:t>). Embora Israel tenha prosperado durante o reinado de Jeroboão, a corrupção governamental e o declínio espiritual prepararam o cenário para futuros tumultos, abrindo caminho para a queda de Israel. Os ricos proprietários de terras, incluindo o rei, oprimiram os camponeses, forçando os proprietários de terras de classe baixa a se mudarem das fazendas para as cidades. Esses problemas sociais logo levaram à corrupção generalizada em Israel. A anarquia resultou desses tempos (</w:t>
      </w:r>
      <w:hyperlink r:id="rId15987">
        <w:r>
          <w:rPr>
            <w:color w:val="0000EE"/>
            <w:u w:val="single"/>
          </w:rPr>
          <w:t>Os 4.1–2</w:t>
        </w:r>
      </w:hyperlink>
      <w:r>
        <w:t xml:space="preserve">; </w:t>
      </w:r>
      <w:hyperlink r:id="rId1164">
        <w:r>
          <w:rPr>
            <w:color w:val="0000EE"/>
            <w:u w:val="single"/>
          </w:rPr>
          <w:t>7.1–7</w:t>
        </w:r>
      </w:hyperlink>
      <w:r>
        <w:t xml:space="preserve">; </w:t>
      </w:r>
      <w:hyperlink r:id="rId15988">
        <w:r>
          <w:rPr>
            <w:color w:val="0000EE"/>
            <w:u w:val="single"/>
          </w:rPr>
          <w:t>8.3–4</w:t>
        </w:r>
      </w:hyperlink>
      <w:r>
        <w:t xml:space="preserve">; </w:t>
      </w:r>
      <w:hyperlink r:id="rId9987">
        <w:r>
          <w:rPr>
            <w:color w:val="0000EE"/>
            <w:u w:val="single"/>
          </w:rPr>
          <w:t>9.15</w:t>
        </w:r>
      </w:hyperlink>
      <w:r>
        <w:t>).</w:t>
      </w:r>
    </w:p>
    <w:p>
      <w:pPr>
        <w:pStyle w:val="Heading3"/>
      </w:pPr>
      <w:r>
        <w:t>Quando o Livro de Oseias foi escrito?</w:t>
      </w:r>
    </w:p>
    <w:p>
      <w:r/>
      <w:r>
        <w:t>Oseias iniciou seu trabalho como mensageiro de Deus durante o reinado de Jeroboão II, de 793 a 753 a.C., e continuou até o reinado de Ezequias de Judá, de 715 a 686 a.C.</w:t>
      </w:r>
    </w:p>
    <w:p>
      <w:r/>
      <w:r>
        <w:t>Vários fatores sugerem que Oseias continuou a profetizar durante o reinado de Oséias de Israel, de 732 a 722 a.C.:</w:t>
      </w:r>
    </w:p>
    <w:p>
      <w:pPr>
        <w:pStyle w:val="ListNumber"/>
        <w:spacing w:line="240" w:lineRule="auto"/>
        <w:ind w:left="720"/>
      </w:pPr>
      <w:r/>
      <w:r>
        <w:t>"Salmã" (</w:t>
      </w:r>
      <w:hyperlink r:id="rId15989">
        <w:r>
          <w:rPr>
            <w:color w:val="0000EE"/>
            <w:u w:val="single"/>
          </w:rPr>
          <w:t>Os 10.14</w:t>
        </w:r>
      </w:hyperlink>
      <w:r>
        <w:t>) pode ser Salmaneser da Assíria, que invadiu Israel no início do reinado de Oseias (</w:t>
      </w:r>
      <w:hyperlink r:id="rId15977">
        <w:r>
          <w:rPr>
            <w:color w:val="0000EE"/>
            <w:u w:val="single"/>
          </w:rPr>
          <w:t>2Rs 17.3</w:t>
        </w:r>
      </w:hyperlink>
      <w:r>
        <w:t>)</w:t>
      </w:r>
    </w:p>
    <w:p>
      <w:pPr>
        <w:pStyle w:val="ListNumber"/>
        <w:spacing w:line="240" w:lineRule="auto"/>
        <w:ind w:left="720"/>
      </w:pPr>
      <w:r/>
      <w:r>
        <w:t>"Jarebe" (</w:t>
      </w:r>
      <w:hyperlink r:id="rId15990">
        <w:r>
          <w:rPr>
            <w:color w:val="0000EE"/>
            <w:u w:val="single"/>
          </w:rPr>
          <w:t>Os 5.13</w:t>
        </w:r>
      </w:hyperlink>
      <w:r>
        <w:t xml:space="preserve">; </w:t>
      </w:r>
      <w:hyperlink r:id="rId15991">
        <w:r>
          <w:rPr>
            <w:color w:val="0000EE"/>
            <w:u w:val="single"/>
          </w:rPr>
          <w:t>10.6</w:t>
        </w:r>
      </w:hyperlink>
      <w:r>
        <w:t>; ambos da versão ARC) pode se referir a Sargão II, que governou de 722 a 705 a.C.</w:t>
      </w:r>
    </w:p>
    <w:p>
      <w:pPr>
        <w:pStyle w:val="ListNumber"/>
        <w:spacing w:line="240" w:lineRule="auto"/>
        <w:ind w:left="720"/>
      </w:pPr>
      <w:r/>
      <w:r>
        <w:t>As previsões da invasão assíria parecem descrever um evento prestes a acontecer (</w:t>
      </w:r>
      <w:hyperlink r:id="rId3539">
        <w:r>
          <w:rPr>
            <w:color w:val="0000EE"/>
            <w:u w:val="single"/>
          </w:rPr>
          <w:t>Os 10.5–6</w:t>
        </w:r>
      </w:hyperlink>
      <w:r>
        <w:t xml:space="preserve">; </w:t>
      </w:r>
      <w:hyperlink r:id="rId15992">
        <w:r>
          <w:rPr>
            <w:color w:val="0000EE"/>
            <w:u w:val="single"/>
          </w:rPr>
          <w:t>13.15–16</w:t>
        </w:r>
      </w:hyperlink>
      <w:r>
        <w:t>)</w:t>
      </w:r>
    </w:p>
    <w:p>
      <w:pPr>
        <w:pStyle w:val="ListNumber"/>
        <w:spacing w:line="240" w:lineRule="auto"/>
        <w:ind w:left="720"/>
      </w:pPr>
      <w:r/>
      <w:r>
        <w:t>As menções ao Egito e à dependência de Israel dessa nação parecem corresponder ao reinado de Oseias (</w:t>
      </w:r>
      <w:hyperlink r:id="rId15993">
        <w:r>
          <w:rPr>
            <w:color w:val="0000EE"/>
            <w:u w:val="single"/>
          </w:rPr>
          <w:t>Os 7.11</w:t>
        </w:r>
      </w:hyperlink>
      <w:r>
        <w:t xml:space="preserve">; </w:t>
      </w:r>
      <w:hyperlink r:id="rId15994">
        <w:r>
          <w:rPr>
            <w:color w:val="0000EE"/>
            <w:u w:val="single"/>
          </w:rPr>
          <w:t>11.11</w:t>
        </w:r>
      </w:hyperlink>
      <w:r>
        <w:t>)</w:t>
      </w:r>
    </w:p>
    <w:p>
      <w:r/>
      <w:r>
        <w:t>Esses fatores sugerem que as mensagens de Oseias foram reunidas próximo à queda de Israel em 722 a.C..</w:t>
      </w:r>
    </w:p>
    <w:p>
      <w:pPr>
        <w:pStyle w:val="Heading3"/>
      </w:pPr>
      <w:r>
        <w:t>Onde o Livro de Oseias foi escrito? Para quem foi escrito?</w:t>
      </w:r>
    </w:p>
    <w:p>
      <w:r/>
      <w:r>
        <w:t>Oseias profetizou enquanto vivia em Israel. Ele chama o rei em Samaria de "nosso rei" (</w:t>
      </w:r>
      <w:hyperlink r:id="rId15995">
        <w:r>
          <w:rPr>
            <w:color w:val="0000EE"/>
            <w:u w:val="single"/>
          </w:rPr>
          <w:t>Os 7.5</w:t>
        </w:r>
      </w:hyperlink>
      <w:r>
        <w:t>). Suas descrições de Israel mostram que ele conhecia bem a geografia do reino do norte. Oseias menciona Gileade como se tivesse visto a área ele mesmo (</w:t>
      </w:r>
      <w:hyperlink r:id="rId9964">
        <w:r>
          <w:rPr>
            <w:color w:val="0000EE"/>
            <w:u w:val="single"/>
          </w:rPr>
          <w:t>Os 6.8</w:t>
        </w:r>
      </w:hyperlink>
      <w:r>
        <w:t xml:space="preserve">; </w:t>
      </w:r>
      <w:hyperlink r:id="rId9988">
        <w:r>
          <w:rPr>
            <w:color w:val="0000EE"/>
            <w:u w:val="single"/>
          </w:rPr>
          <w:t>12.11</w:t>
        </w:r>
      </w:hyperlink>
      <w:r>
        <w:t>). Oseias foi provavelmente o único profeta do reino do norte que viveu lá durante todo o seu ministério.</w:t>
      </w:r>
    </w:p>
    <w:p>
      <w:pPr>
        <w:pStyle w:val="Heading3"/>
      </w:pPr>
      <w:r>
        <w:t>Por que o Livro de Oseias foi escrito?</w:t>
      </w:r>
    </w:p>
    <w:p>
      <w:r/>
      <w:r>
        <w:t xml:space="preserve">Oseias disse a Israel para se arrepender e voltar para Deus. Ele descreveu o Deus de Israel como paciente e amoroso, sempre fiel às suas promessas. Este foco é típico de Oseias (veja </w:t>
      </w:r>
      <w:hyperlink r:id="rId15996">
        <w:r>
          <w:rPr>
            <w:color w:val="0000EE"/>
            <w:u w:val="single"/>
          </w:rPr>
          <w:t>Os 2.19</w:t>
        </w:r>
      </w:hyperlink>
      <w:r>
        <w:t>).</w:t>
      </w:r>
    </w:p>
    <w:p>
      <w:r/>
      <w:r>
        <w:t>"Devoção amorosa" é a expressão que melhor representa o amor fiel de Yahweh. A vida familiar de Oseias foi um símbolo dessa devoção amorosa.</w:t>
      </w:r>
    </w:p>
    <w:p>
      <w:pPr>
        <w:pStyle w:val="Heading3"/>
      </w:pPr>
      <w:r>
        <w:t>Qual é o tema do Livro de Oseias?</w:t>
      </w:r>
    </w:p>
    <w:p>
      <w:r/>
      <w:r>
        <w:t>As principais seções e tópicos do livro de Oseias são apresentados da seguinte forma.</w:t>
      </w:r>
    </w:p>
    <w:p>
      <w:pPr>
        <w:pStyle w:val="Heading4"/>
      </w:pPr>
      <w:r>
        <w:t>Capítulos 1–3</w:t>
      </w:r>
    </w:p>
    <w:p>
      <w:r/>
      <w:r>
        <w:t>Os primeiros três capítulos de Oseias concentram-se na vida de Oseias. Eles destacam sua fidelidade e amor por sua esposa infiel.</w:t>
      </w:r>
    </w:p>
    <w:p>
      <w:r/>
      <w:r>
        <w:t>Deus disse a Oseias para se casar com a prostituta Gomer e ter filhos com ela (</w:t>
      </w:r>
      <w:hyperlink r:id="rId15997">
        <w:r>
          <w:rPr>
            <w:color w:val="0000EE"/>
            <w:u w:val="single"/>
          </w:rPr>
          <w:t>Os 1.2–3.5</w:t>
        </w:r>
      </w:hyperlink>
      <w:r>
        <w:t xml:space="preserve">). Este comando intrigou alguns comentaristas porque sacerdotes e profetas em Israel não se casavam com prostitutas. Escritores judeus medievais viam essa história como simbólica, mas não histórica. Alguns estudiosos posteriores viam uma diferença entre </w:t>
      </w:r>
      <w:hyperlink r:id="rId15998">
        <w:r>
          <w:rPr>
            <w:color w:val="0000EE"/>
            <w:u w:val="single"/>
          </w:rPr>
          <w:t>Oseias 1</w:t>
        </w:r>
      </w:hyperlink>
      <w:r>
        <w:t xml:space="preserve"> e </w:t>
      </w:r>
      <w:hyperlink r:id="rId470">
        <w:r>
          <w:rPr>
            <w:color w:val="0000EE"/>
            <w:u w:val="single"/>
          </w:rPr>
          <w:t>3</w:t>
        </w:r>
      </w:hyperlink>
      <w:r>
        <w:t xml:space="preserve">, considerando o último como o relato pessoal de Oseias sobre seu casamento, enquanto o primeiro capítulo era visto como memórias gerais de seus primeiros dias como profeta. Outros comentaristas acreditavam que ambos os capítulos eram fatos literais, enquanto alguns estudiosos pensavam que </w:t>
      </w:r>
      <w:hyperlink r:id="rId15998">
        <w:r>
          <w:rPr>
            <w:color w:val="0000EE"/>
            <w:u w:val="single"/>
          </w:rPr>
          <w:t>Oseias 1</w:t>
        </w:r>
      </w:hyperlink>
      <w:r>
        <w:t xml:space="preserve"> era histórico e </w:t>
      </w:r>
      <w:hyperlink r:id="rId470">
        <w:r>
          <w:rPr>
            <w:color w:val="0000EE"/>
            <w:u w:val="single"/>
          </w:rPr>
          <w:t>Oseias 3</w:t>
        </w:r>
      </w:hyperlink>
      <w:r>
        <w:t xml:space="preserve"> era a interpretação alegórica (não literal) de Oseias sobre o casamento.</w:t>
      </w:r>
    </w:p>
    <w:p>
      <w:r/>
      <w:r>
        <w:t>As atividades sexuais de Gomer foram amplamente discutidas. Existem duas visões principais:</w:t>
      </w:r>
    </w:p>
    <w:p>
      <w:pPr>
        <w:pStyle w:val="ListNumber"/>
        <w:spacing w:line="240" w:lineRule="auto"/>
        <w:ind w:left="720"/>
      </w:pPr>
      <w:r/>
      <w:r>
        <w:t>Gomer foi uma esposa fiel a Oseias no início do casamento. A frase “uma prostituta como sua esposa” (</w:t>
      </w:r>
      <w:hyperlink r:id="rId15999">
        <w:r>
          <w:rPr>
            <w:color w:val="0000EE"/>
            <w:u w:val="single"/>
          </w:rPr>
          <w:t>Os 1.2</w:t>
        </w:r>
      </w:hyperlink>
      <w:r>
        <w:t>) refere-se à sua natureza pecaminosa e rebelde. Deus mais tarde expôs isso para mostrar a idolatria de Israel.</w:t>
      </w:r>
    </w:p>
    <w:p>
      <w:pPr>
        <w:pStyle w:val="ListNumber"/>
        <w:spacing w:line="240" w:lineRule="auto"/>
        <w:ind w:left="720"/>
      </w:pPr>
      <w:r/>
      <w:r>
        <w:t>Gomer era uma conhecida prostituta com quem Oseias foi instruído a se casar para ilustrar a idolatria de Israel e o amor fiel de Deus. Esta segunda visão atrai mais os estudiosos evangélicos e é a interpretação mais simples dentro de um quadro bíblico literal, gramatical e histórico.</w:t>
      </w:r>
    </w:p>
    <w:p>
      <w:r/>
      <w:r>
        <w:t>A razão pela qual Oseias precisou resgatá-la não está clara. Também é desconhecido por que o pagamento foi parcialmente em grãos e parcialmente em dinheiro. Esta transação pode simbolizar a futura libertação de Israel do exílio por Deus. No entanto, as dez tribos do norte não retornaram do exílio na Assíria. Esta interpretação provavelmente não se aplica a Judá, já que a mensagem de Oseias não era para o reino do sul, embora Judá tenha recebido um aviso (</w:t>
      </w:r>
      <w:hyperlink r:id="rId16000">
        <w:r>
          <w:rPr>
            <w:color w:val="0000EE"/>
            <w:u w:val="single"/>
          </w:rPr>
          <w:t>Os 6.11</w:t>
        </w:r>
      </w:hyperlink>
      <w:r>
        <w:t>).</w:t>
      </w:r>
    </w:p>
    <w:p>
      <w:r/>
      <w:r>
        <w:t>Os filhos nascidos de Oseias e Gomer receberam nomes simbólicos. O primeiro filho foi um menino chamado Jezreel (</w:t>
      </w:r>
      <w:hyperlink r:id="rId1106">
        <w:r>
          <w:rPr>
            <w:color w:val="0000EE"/>
            <w:u w:val="single"/>
          </w:rPr>
          <w:t>Os 1.4a</w:t>
        </w:r>
      </w:hyperlink>
      <w:r>
        <w:t>). Este nome significava o julgamento de Deus sobre a família de Jeú pela matança da família de Acabe no Vale de Jezreel (</w:t>
      </w:r>
      <w:hyperlink r:id="rId16001">
        <w:r>
          <w:rPr>
            <w:color w:val="0000EE"/>
            <w:u w:val="single"/>
          </w:rPr>
          <w:t>2Rs 10.1–11,30</w:t>
        </w:r>
      </w:hyperlink>
      <w:r>
        <w:t>).</w:t>
      </w:r>
    </w:p>
    <w:p>
      <w:r/>
      <w:r>
        <w:t>Lo-Ruama foi o segundo filho (</w:t>
      </w:r>
      <w:hyperlink r:id="rId1107">
        <w:r>
          <w:rPr>
            <w:color w:val="0000EE"/>
            <w:u w:val="single"/>
          </w:rPr>
          <w:t>Os 1.6a</w:t>
        </w:r>
      </w:hyperlink>
      <w:r>
        <w:t>), e seu nome significa "não mostrada compaixão ou piedade". Isso simbolizava o julgamento de Israel. A corrupção espiritual do reino do norte havia chegado ao fim, e ele seria derrotado e levado ao cativeiro (</w:t>
      </w:r>
      <w:hyperlink r:id="rId1107">
        <w:r>
          <w:rPr>
            <w:color w:val="0000EE"/>
            <w:u w:val="single"/>
          </w:rPr>
          <w:t>Os 1.6b</w:t>
        </w:r>
      </w:hyperlink>
      <w:r>
        <w:t>).</w:t>
      </w:r>
    </w:p>
    <w:p>
      <w:r/>
      <w:r>
        <w:rPr>
          <w:i/>
        </w:rPr>
        <w:t xml:space="preserve">Lo-Ami </w:t>
      </w:r>
      <w:r>
        <w:t>foi o terceiro filho, um segundo filho, e seu nome significa "não Meu povo" (</w:t>
      </w:r>
      <w:hyperlink r:id="rId16002">
        <w:r>
          <w:rPr>
            <w:color w:val="0000EE"/>
            <w:u w:val="single"/>
          </w:rPr>
          <w:t>Os 1.8–9</w:t>
        </w:r>
      </w:hyperlink>
      <w:r>
        <w:t>). Esta rejeição de Israel como povo escolhido de Deus foi temporária (</w:t>
      </w:r>
      <w:hyperlink r:id="rId16003">
        <w:r>
          <w:rPr>
            <w:color w:val="0000EE"/>
            <w:u w:val="single"/>
          </w:rPr>
          <w:t>Os 1.10–2.1</w:t>
        </w:r>
      </w:hyperlink>
      <w:r>
        <w:t>). Deus cumpriria Suas promessas a Abraão (</w:t>
      </w:r>
      <w:hyperlink r:id="rId5904">
        <w:r>
          <w:rPr>
            <w:color w:val="0000EE"/>
            <w:u w:val="single"/>
          </w:rPr>
          <w:t>Os 1.10</w:t>
        </w:r>
      </w:hyperlink>
      <w:r>
        <w:t xml:space="preserve">; </w:t>
      </w:r>
      <w:hyperlink r:id="rId16004">
        <w:r>
          <w:rPr>
            <w:color w:val="0000EE"/>
            <w:u w:val="single"/>
          </w:rPr>
          <w:t>Gn 22.17</w:t>
        </w:r>
      </w:hyperlink>
      <w:r>
        <w:t>) e a Moisés (</w:t>
      </w:r>
      <w:hyperlink r:id="rId16005">
        <w:r>
          <w:rPr>
            <w:color w:val="0000EE"/>
            <w:u w:val="single"/>
          </w:rPr>
          <w:t>Êx 19.1–7</w:t>
        </w:r>
      </w:hyperlink>
      <w:r>
        <w:t>) apesar da desobediência de qualquer geração em particular.</w:t>
      </w:r>
    </w:p>
    <w:p>
      <w:r/>
      <w:r>
        <w:t>Gomer não estava feliz com seu casamento, então procurou outros amantes. Da mesma forma, Israel buscou satisfação adorando falsos deuses. Eles erroneamente atribuíram as coisas boas de seu misericordioso Deus a esses deuses pagãos (</w:t>
      </w:r>
      <w:hyperlink r:id="rId16006">
        <w:r>
          <w:rPr>
            <w:color w:val="0000EE"/>
            <w:u w:val="single"/>
          </w:rPr>
          <w:t>Os 2.8,12</w:t>
        </w:r>
      </w:hyperlink>
      <w:r>
        <w:t>). Quando perceberam que seus pecados não trouxeram felicidade duradoura, os israelitas arrependidos retornariam ao seu primeiro amor.</w:t>
      </w:r>
    </w:p>
    <w:p>
      <w:r/>
      <w:r>
        <w:t>A declaração de divórcio de Oseias de Gomer devido ao seu adultério simboliza o divórcio de Yahweh de Israel por sua infidelidade (</w:t>
      </w:r>
      <w:hyperlink r:id="rId4599">
        <w:r>
          <w:rPr>
            <w:color w:val="0000EE"/>
            <w:u w:val="single"/>
          </w:rPr>
          <w:t>Os 2.2</w:t>
        </w:r>
      </w:hyperlink>
      <w:r>
        <w:t xml:space="preserve">; veja também </w:t>
      </w:r>
      <w:hyperlink r:id="rId16007">
        <w:r>
          <w:rPr>
            <w:color w:val="0000EE"/>
            <w:u w:val="single"/>
          </w:rPr>
          <w:t>Jr 3.1–4.2</w:t>
        </w:r>
      </w:hyperlink>
      <w:r>
        <w:t>). Seus filhos representam os membros individuais da nação de Israel durante o tempo de Oseias (</w:t>
      </w:r>
      <w:hyperlink r:id="rId16008">
        <w:r>
          <w:rPr>
            <w:color w:val="0000EE"/>
            <w:u w:val="single"/>
          </w:rPr>
          <w:t>Os 2.2–5</w:t>
        </w:r>
      </w:hyperlink>
      <w:r>
        <w:t>).</w:t>
      </w:r>
    </w:p>
    <w:p>
      <w:r/>
      <w:hyperlink r:id="rId470">
        <w:r>
          <w:rPr>
            <w:color w:val="0000EE"/>
            <w:u w:val="single"/>
          </w:rPr>
          <w:t>Oseias 3</w:t>
        </w:r>
      </w:hyperlink>
      <w:r>
        <w:t xml:space="preserve"> utiliza a restauração para resumir a história de Israel. A escravidão de Israel ao pecado e a Satanás (veja </w:t>
      </w:r>
      <w:hyperlink r:id="rId14828">
        <w:r>
          <w:rPr>
            <w:color w:val="0000EE"/>
            <w:u w:val="single"/>
          </w:rPr>
          <w:t>Hb 2.14–15</w:t>
        </w:r>
      </w:hyperlink>
      <w:r>
        <w:t>) é ilustrada pelo preço que Oseias pagou por Gomer (</w:t>
      </w:r>
      <w:hyperlink r:id="rId16009">
        <w:r>
          <w:rPr>
            <w:color w:val="0000EE"/>
            <w:u w:val="single"/>
          </w:rPr>
          <w:t>Os 3.2</w:t>
        </w:r>
      </w:hyperlink>
      <w:r>
        <w:t xml:space="preserve">). Este preço era para uma escrava porque Gomer estava escravizada por seu adultério (veja </w:t>
      </w:r>
      <w:hyperlink r:id="rId14524">
        <w:r>
          <w:rPr>
            <w:color w:val="0000EE"/>
            <w:u w:val="single"/>
          </w:rPr>
          <w:t>Êx 21.32</w:t>
        </w:r>
      </w:hyperlink>
      <w:r>
        <w:t>). O isolamento de Gomer, assim como o exílio de Israel, foi destinado à purificação (</w:t>
      </w:r>
      <w:hyperlink r:id="rId16010">
        <w:r>
          <w:rPr>
            <w:color w:val="0000EE"/>
            <w:u w:val="single"/>
          </w:rPr>
          <w:t>Os 3.3</w:t>
        </w:r>
      </w:hyperlink>
      <w:r>
        <w:t xml:space="preserve">; veja </w:t>
      </w:r>
      <w:hyperlink r:id="rId4520">
        <w:r>
          <w:rPr>
            <w:color w:val="0000EE"/>
            <w:u w:val="single"/>
          </w:rPr>
          <w:t>Dt 21.13</w:t>
        </w:r>
      </w:hyperlink>
      <w:r>
        <w:t xml:space="preserve">; </w:t>
      </w:r>
      <w:hyperlink r:id="rId16011">
        <w:r>
          <w:rPr>
            <w:color w:val="0000EE"/>
            <w:u w:val="single"/>
          </w:rPr>
          <w:t>30.2</w:t>
        </w:r>
      </w:hyperlink>
      <w:r>
        <w:t>).</w:t>
      </w:r>
    </w:p>
    <w:p>
      <w:r/>
      <w:r>
        <w:t>Após o exílio na Babilônia ("depois"), e "nos últimos dias", Israel retornará ao seu marido para desfrutar das bênçãos do relacionamento renovado. Em uma referência ao Messias, "Davi, seu rei", será ressuscitado para conduzir Israel ao Senhor (</w:t>
      </w:r>
      <w:hyperlink r:id="rId6616">
        <w:r>
          <w:rPr>
            <w:color w:val="0000EE"/>
            <w:u w:val="single"/>
          </w:rPr>
          <w:t>Os 3.5</w:t>
        </w:r>
      </w:hyperlink>
      <w:r>
        <w:t>).</w:t>
      </w:r>
    </w:p>
    <w:p>
      <w:r/>
      <w:r>
        <w:t xml:space="preserve">A última seção principal de Oseias explica em detalhes o que </w:t>
      </w:r>
      <w:hyperlink r:id="rId819">
        <w:r>
          <w:rPr>
            <w:color w:val="0000EE"/>
            <w:u w:val="single"/>
          </w:rPr>
          <w:t>Os 1–3</w:t>
        </w:r>
      </w:hyperlink>
      <w:r>
        <w:t xml:space="preserve"> mostraram e explicaram brevemente. Oseias profetiza:</w:t>
      </w:r>
    </w:p>
    <w:p>
      <w:pPr>
        <w:pStyle w:val="ListBullet"/>
        <w:spacing w:line="240" w:lineRule="auto"/>
        <w:ind w:left="720"/>
      </w:pPr>
      <w:r/>
      <w:r>
        <w:t>O abandono da fé por Israel (</w:t>
      </w:r>
      <w:hyperlink r:id="rId16012">
        <w:r>
          <w:rPr>
            <w:color w:val="0000EE"/>
            <w:u w:val="single"/>
          </w:rPr>
          <w:t>Os 4.1–7.16</w:t>
        </w:r>
      </w:hyperlink>
      <w:r>
        <w:t>)</w:t>
      </w:r>
    </w:p>
    <w:p>
      <w:pPr>
        <w:pStyle w:val="ListBullet"/>
        <w:spacing w:line="240" w:lineRule="auto"/>
        <w:ind w:left="720"/>
      </w:pPr>
      <w:r/>
      <w:r>
        <w:t>Punição (</w:t>
      </w:r>
      <w:hyperlink r:id="rId16013">
        <w:r>
          <w:rPr>
            <w:color w:val="0000EE"/>
            <w:u w:val="single"/>
          </w:rPr>
          <w:t>Os 8.1–10.15</w:t>
        </w:r>
      </w:hyperlink>
      <w:r>
        <w:t>)</w:t>
      </w:r>
    </w:p>
    <w:p>
      <w:pPr>
        <w:pStyle w:val="ListBullet"/>
        <w:spacing w:line="240" w:lineRule="auto"/>
        <w:ind w:left="720"/>
      </w:pPr>
      <w:r/>
      <w:r>
        <w:t>Restauração (</w:t>
      </w:r>
      <w:hyperlink r:id="rId16014">
        <w:r>
          <w:rPr>
            <w:color w:val="0000EE"/>
            <w:u w:val="single"/>
          </w:rPr>
          <w:t>Os 11.1–14.9</w:t>
        </w:r>
      </w:hyperlink>
      <w:r>
        <w:t>)</w:t>
      </w:r>
    </w:p>
    <w:p>
      <w:pPr>
        <w:pStyle w:val="Heading4"/>
      </w:pPr>
      <w:r>
        <w:t>Capítulo 4</w:t>
      </w:r>
    </w:p>
    <w:p>
      <w:r/>
      <w:r>
        <w:t>Israel estava profundamente envolvido em atividades ímpias e havia se distanciado de Deus (</w:t>
      </w:r>
      <w:hyperlink r:id="rId15987">
        <w:r>
          <w:rPr>
            <w:color w:val="0000EE"/>
            <w:u w:val="single"/>
          </w:rPr>
          <w:t>Os 4.1–2</w:t>
        </w:r>
      </w:hyperlink>
      <w:r>
        <w:t xml:space="preserve">; compare </w:t>
      </w:r>
      <w:hyperlink r:id="rId2571">
        <w:r>
          <w:rPr>
            <w:color w:val="0000EE"/>
            <w:u w:val="single"/>
          </w:rPr>
          <w:t>Êx 20.1–17</w:t>
        </w:r>
      </w:hyperlink>
      <w:r>
        <w:t>). O povo ignorou a palavra de Deus devido à sua indiferença e ao engano dos sacerdotes (</w:t>
      </w:r>
      <w:hyperlink r:id="rId16015">
        <w:r>
          <w:rPr>
            <w:color w:val="0000EE"/>
            <w:u w:val="single"/>
          </w:rPr>
          <w:t>Os 4.6–9</w:t>
        </w:r>
      </w:hyperlink>
      <w:r>
        <w:t xml:space="preserve">; compare </w:t>
      </w:r>
      <w:hyperlink r:id="rId13032">
        <w:r>
          <w:rPr>
            <w:color w:val="0000EE"/>
            <w:u w:val="single"/>
          </w:rPr>
          <w:t>Is 5.13</w:t>
        </w:r>
      </w:hyperlink>
      <w:r>
        <w:t xml:space="preserve">; </w:t>
      </w:r>
      <w:hyperlink r:id="rId16016">
        <w:r>
          <w:rPr>
            <w:color w:val="0000EE"/>
            <w:u w:val="single"/>
          </w:rPr>
          <w:t>Am 8.11–12</w:t>
        </w:r>
      </w:hyperlink>
      <w:r>
        <w:t xml:space="preserve">; </w:t>
      </w:r>
      <w:hyperlink r:id="rId16017">
        <w:r>
          <w:rPr>
            <w:color w:val="0000EE"/>
            <w:u w:val="single"/>
          </w:rPr>
          <w:t>Sf 1.6</w:t>
        </w:r>
      </w:hyperlink>
      <w:r>
        <w:t>). Israel seguiu líderes espirituais corruptos, assim como seus reis seguiram os caminhos corruptos de governantes passados (</w:t>
      </w:r>
      <w:hyperlink r:id="rId16018">
        <w:r>
          <w:rPr>
            <w:color w:val="0000EE"/>
            <w:u w:val="single"/>
          </w:rPr>
          <w:t>Os 4.9</w:t>
        </w:r>
      </w:hyperlink>
      <w:r>
        <w:t>). Em vez da palavra de Deus, Israel buscou orientação em ídolos e adivinhação (</w:t>
      </w:r>
      <w:hyperlink r:id="rId16019">
        <w:r>
          <w:rPr>
            <w:color w:val="0000EE"/>
            <w:u w:val="single"/>
          </w:rPr>
          <w:t>Os 4.12–13</w:t>
        </w:r>
      </w:hyperlink>
      <w:r>
        <w:t>). Eventualmente, Israel perdeu sua identidade sacerdotal (</w:t>
      </w:r>
      <w:hyperlink r:id="rId16020">
        <w:r>
          <w:rPr>
            <w:color w:val="0000EE"/>
            <w:u w:val="single"/>
          </w:rPr>
          <w:t>Os 4.6</w:t>
        </w:r>
      </w:hyperlink>
      <w:r>
        <w:t xml:space="preserve">; compare </w:t>
      </w:r>
      <w:hyperlink r:id="rId806">
        <w:r>
          <w:rPr>
            <w:color w:val="0000EE"/>
            <w:u w:val="single"/>
          </w:rPr>
          <w:t>Êx 19.6</w:t>
        </w:r>
      </w:hyperlink>
      <w:r>
        <w:t>) porque os sacerdotes eram principalmente responsáveis pelo afastamento da nação da fé (</w:t>
      </w:r>
      <w:hyperlink r:id="rId16021">
        <w:r>
          <w:rPr>
            <w:color w:val="0000EE"/>
            <w:u w:val="single"/>
          </w:rPr>
          <w:t>Os 5.1</w:t>
        </w:r>
      </w:hyperlink>
      <w:r>
        <w:t>).</w:t>
      </w:r>
    </w:p>
    <w:p>
      <w:pPr>
        <w:pStyle w:val="Heading4"/>
      </w:pPr>
      <w:r>
        <w:t>Capítulos 5–6</w:t>
      </w:r>
    </w:p>
    <w:p>
      <w:r/>
      <w:r>
        <w:t>Após apresentar seu caso contra o reino do norte, Deus dá um aviso (</w:t>
      </w:r>
      <w:hyperlink r:id="rId16022">
        <w:r>
          <w:rPr>
            <w:color w:val="0000EE"/>
            <w:u w:val="single"/>
          </w:rPr>
          <w:t>Os 5.8–14</w:t>
        </w:r>
      </w:hyperlink>
      <w:r>
        <w:t>). A trombeta soará nas colinas de Benjamim (</w:t>
      </w:r>
      <w:hyperlink r:id="rId11076">
        <w:r>
          <w:rPr>
            <w:color w:val="0000EE"/>
            <w:u w:val="single"/>
          </w:rPr>
          <w:t>Os 5.8</w:t>
        </w:r>
      </w:hyperlink>
      <w:r>
        <w:t>), a área entre Israel e Judá. O alarme ali indicará que Israel está sendo invadido e Judá está em risco (</w:t>
      </w:r>
      <w:hyperlink r:id="rId16023">
        <w:r>
          <w:rPr>
            <w:color w:val="0000EE"/>
            <w:u w:val="single"/>
          </w:rPr>
          <w:t>Os 5.9–12</w:t>
        </w:r>
      </w:hyperlink>
      <w:r>
        <w:t>). O reino do norte confiava em comandos humanos, não em Deus (</w:t>
      </w:r>
      <w:hyperlink r:id="rId16024">
        <w:r>
          <w:rPr>
            <w:color w:val="0000EE"/>
            <w:u w:val="single"/>
          </w:rPr>
          <w:t>Os 5.11</w:t>
        </w:r>
      </w:hyperlink>
      <w:r>
        <w:t>). Israel buscou ajuda da Assíria, mas enfrentou traição e derrota (</w:t>
      </w:r>
      <w:hyperlink r:id="rId15990">
        <w:r>
          <w:rPr>
            <w:color w:val="0000EE"/>
            <w:u w:val="single"/>
          </w:rPr>
          <w:t>Os 5.13</w:t>
        </w:r>
      </w:hyperlink>
      <w:r>
        <w:t>). Nesta profecia sobre a queda de Israel para os assírios em 722 a.C., Oseias retrata Deus como o disciplinador supremo (</w:t>
      </w:r>
      <w:hyperlink r:id="rId1771">
        <w:r>
          <w:rPr>
            <w:color w:val="0000EE"/>
            <w:u w:val="single"/>
          </w:rPr>
          <w:t>Os 5.14</w:t>
        </w:r>
      </w:hyperlink>
      <w:r>
        <w:t>).</w:t>
      </w:r>
    </w:p>
    <w:p>
      <w:r/>
      <w:r>
        <w:t>Deus chama ao arrependimento logo após revelar a punição (</w:t>
      </w:r>
      <w:hyperlink r:id="rId16025">
        <w:r>
          <w:rPr>
            <w:color w:val="0000EE"/>
            <w:u w:val="single"/>
          </w:rPr>
          <w:t>Os 5.15–6.3</w:t>
        </w:r>
      </w:hyperlink>
      <w:r>
        <w:t xml:space="preserve">). (A divisão do capítulo aqui não é ideal, pois </w:t>
      </w:r>
      <w:hyperlink r:id="rId914">
        <w:r>
          <w:rPr>
            <w:color w:val="0000EE"/>
            <w:u w:val="single"/>
          </w:rPr>
          <w:t>Os 6.1–3</w:t>
        </w:r>
      </w:hyperlink>
      <w:r>
        <w:t xml:space="preserve"> pertence a </w:t>
      </w:r>
      <w:hyperlink r:id="rId15590">
        <w:r>
          <w:rPr>
            <w:color w:val="0000EE"/>
            <w:u w:val="single"/>
          </w:rPr>
          <w:t>5.15</w:t>
        </w:r>
      </w:hyperlink>
      <w:r>
        <w:t xml:space="preserve">.) O chamado para retornar a Yahweh pode refletir a resposta pessoal de Oseias à revelação. No entanto, é melhor ver </w:t>
      </w:r>
      <w:hyperlink r:id="rId914">
        <w:r>
          <w:rPr>
            <w:color w:val="0000EE"/>
            <w:u w:val="single"/>
          </w:rPr>
          <w:t>Oseias 6.1–3</w:t>
        </w:r>
      </w:hyperlink>
      <w:r>
        <w:t xml:space="preserve"> como as palavras do futuro remanescente que retorna. A Assíria não ofereceu cura, nem qualquer outra nação o faria, mas Deus curará Israel espiritualmente, politicamente e fisicamente (</w:t>
      </w:r>
      <w:hyperlink r:id="rId16026">
        <w:r>
          <w:rPr>
            <w:color w:val="0000EE"/>
            <w:u w:val="single"/>
          </w:rPr>
          <w:t>Os 6.1</w:t>
        </w:r>
      </w:hyperlink>
      <w:r>
        <w:t xml:space="preserve">; veja também </w:t>
      </w:r>
      <w:hyperlink r:id="rId7447">
        <w:r>
          <w:rPr>
            <w:color w:val="0000EE"/>
            <w:u w:val="single"/>
          </w:rPr>
          <w:t>Êx 15.26</w:t>
        </w:r>
      </w:hyperlink>
      <w:r>
        <w:t xml:space="preserve">; </w:t>
      </w:r>
      <w:hyperlink r:id="rId6381">
        <w:r>
          <w:rPr>
            <w:color w:val="0000EE"/>
            <w:u w:val="single"/>
          </w:rPr>
          <w:t>Dt 32.39</w:t>
        </w:r>
      </w:hyperlink>
      <w:r>
        <w:t xml:space="preserve">; </w:t>
      </w:r>
      <w:hyperlink r:id="rId11349">
        <w:r>
          <w:rPr>
            <w:color w:val="0000EE"/>
            <w:u w:val="single"/>
          </w:rPr>
          <w:t>Is 53.5</w:t>
        </w:r>
      </w:hyperlink>
      <w:r>
        <w:t xml:space="preserve">; </w:t>
      </w:r>
      <w:hyperlink r:id="rId16027">
        <w:r>
          <w:rPr>
            <w:color w:val="0000EE"/>
            <w:u w:val="single"/>
          </w:rPr>
          <w:t>Ez 37.1–14</w:t>
        </w:r>
      </w:hyperlink>
      <w:r>
        <w:t xml:space="preserve">; </w:t>
      </w:r>
      <w:hyperlink r:id="rId1547">
        <w:r>
          <w:rPr>
            <w:color w:val="0000EE"/>
            <w:u w:val="single"/>
          </w:rPr>
          <w:t>Ml 4.2</w:t>
        </w:r>
      </w:hyperlink>
      <w:r>
        <w:t>).</w:t>
      </w:r>
    </w:p>
    <w:p>
      <w:r/>
      <w:r>
        <w:t>Após chamar ao arrependimento, Deus volta a focar em Israel (</w:t>
      </w:r>
      <w:hyperlink r:id="rId16028">
        <w:r>
          <w:rPr>
            <w:color w:val="0000EE"/>
            <w:u w:val="single"/>
          </w:rPr>
          <w:t>Os 6.4–11</w:t>
        </w:r>
      </w:hyperlink>
      <w:r>
        <w:t xml:space="preserve">; veja também </w:t>
      </w:r>
      <w:hyperlink r:id="rId9986">
        <w:r>
          <w:rPr>
            <w:color w:val="0000EE"/>
            <w:u w:val="single"/>
          </w:rPr>
          <w:t>4.15</w:t>
        </w:r>
      </w:hyperlink>
      <w:r>
        <w:t>). Israel se afastou de seu Criador e desobedeceu à Sua mensagem (</w:t>
      </w:r>
      <w:hyperlink r:id="rId314">
        <w:r>
          <w:rPr>
            <w:color w:val="0000EE"/>
            <w:u w:val="single"/>
          </w:rPr>
          <w:t>Os 6.7</w:t>
        </w:r>
      </w:hyperlink>
      <w:r>
        <w:t>). Gileade é apenas um exemplo da natureza violenta de Israel (</w:t>
      </w:r>
      <w:hyperlink r:id="rId9964">
        <w:r>
          <w:rPr>
            <w:color w:val="0000EE"/>
            <w:u w:val="single"/>
          </w:rPr>
          <w:t>Os 6.8</w:t>
        </w:r>
      </w:hyperlink>
      <w:r>
        <w:t>). Até mesmo os sacerdotes são conhecidos por sua violência (</w:t>
      </w:r>
      <w:hyperlink r:id="rId16029">
        <w:r>
          <w:rPr>
            <w:color w:val="0000EE"/>
            <w:u w:val="single"/>
          </w:rPr>
          <w:t>Os 6.9</w:t>
        </w:r>
      </w:hyperlink>
      <w:r>
        <w:t xml:space="preserve">; veja também </w:t>
      </w:r>
      <w:hyperlink r:id="rId9577">
        <w:r>
          <w:rPr>
            <w:color w:val="0000EE"/>
            <w:u w:val="single"/>
          </w:rPr>
          <w:t>1Sm 2.12–17</w:t>
        </w:r>
      </w:hyperlink>
      <w:r>
        <w:t xml:space="preserve">; </w:t>
      </w:r>
      <w:hyperlink r:id="rId16030">
        <w:r>
          <w:rPr>
            <w:color w:val="0000EE"/>
            <w:u w:val="single"/>
          </w:rPr>
          <w:t>Jr 5.31</w:t>
        </w:r>
      </w:hyperlink>
      <w:r>
        <w:t>). O pecado de Israel é "horrível" (</w:t>
      </w:r>
      <w:hyperlink r:id="rId16031">
        <w:r>
          <w:rPr>
            <w:color w:val="0000EE"/>
            <w:u w:val="single"/>
          </w:rPr>
          <w:t>Os 6.10</w:t>
        </w:r>
      </w:hyperlink>
      <w:r>
        <w:t>).</w:t>
      </w:r>
    </w:p>
    <w:p>
      <w:pPr>
        <w:pStyle w:val="Heading4"/>
      </w:pPr>
      <w:r>
        <w:t>Capítulo 7</w:t>
      </w:r>
    </w:p>
    <w:p>
      <w:r/>
      <w:hyperlink r:id="rId16032">
        <w:r>
          <w:rPr>
            <w:color w:val="0000EE"/>
            <w:u w:val="single"/>
          </w:rPr>
          <w:t>Oseias 7</w:t>
        </w:r>
      </w:hyperlink>
      <w:r>
        <w:t xml:space="preserve"> apresenta os pensamentos finais de Deus sobre Israel. Todo esforço de Deus para levar Israel ao arrependimento apenas destaca ainda mais o pecado deles (</w:t>
      </w:r>
      <w:hyperlink r:id="rId6387">
        <w:r>
          <w:rPr>
            <w:color w:val="0000EE"/>
            <w:u w:val="single"/>
          </w:rPr>
          <w:t>Os 7.1</w:t>
        </w:r>
      </w:hyperlink>
      <w:r>
        <w:t>). Eles acreditam que podem pecar sem que Deus perceba (</w:t>
      </w:r>
      <w:hyperlink r:id="rId16033">
        <w:r>
          <w:rPr>
            <w:color w:val="0000EE"/>
            <w:u w:val="single"/>
          </w:rPr>
          <w:t>Os 7.2</w:t>
        </w:r>
      </w:hyperlink>
      <w:r>
        <w:t xml:space="preserve">; veja também </w:t>
      </w:r>
      <w:hyperlink r:id="rId13489">
        <w:r>
          <w:rPr>
            <w:color w:val="0000EE"/>
            <w:u w:val="single"/>
          </w:rPr>
          <w:t>Sl 90.8</w:t>
        </w:r>
      </w:hyperlink>
      <w:r>
        <w:t xml:space="preserve">; </w:t>
      </w:r>
      <w:hyperlink r:id="rId11865">
        <w:r>
          <w:rPr>
            <w:color w:val="0000EE"/>
            <w:u w:val="single"/>
          </w:rPr>
          <w:t>Mt 12.36–37</w:t>
        </w:r>
      </w:hyperlink>
      <w:r>
        <w:t>). Seus líderes estão satisfeitos que o povo seja tão perverso quanto o rei e os príncipes (</w:t>
      </w:r>
      <w:hyperlink r:id="rId16034">
        <w:r>
          <w:rPr>
            <w:color w:val="0000EE"/>
            <w:u w:val="single"/>
          </w:rPr>
          <w:t>Os 7.3</w:t>
        </w:r>
      </w:hyperlink>
      <w:r>
        <w:t>). Todo Israel é conhecido por seu constante adultério (</w:t>
      </w:r>
      <w:hyperlink r:id="rId9197">
        <w:r>
          <w:rPr>
            <w:color w:val="0000EE"/>
            <w:u w:val="single"/>
          </w:rPr>
          <w:t>Os 7.4</w:t>
        </w:r>
      </w:hyperlink>
      <w:r>
        <w:t>). Israel não se separou dos descrentes (</w:t>
      </w:r>
      <w:hyperlink r:id="rId16035">
        <w:r>
          <w:rPr>
            <w:color w:val="0000EE"/>
            <w:u w:val="single"/>
          </w:rPr>
          <w:t>Os 7.8</w:t>
        </w:r>
      </w:hyperlink>
      <w:r>
        <w:t xml:space="preserve">; veja também </w:t>
      </w:r>
      <w:hyperlink r:id="rId12485">
        <w:r>
          <w:rPr>
            <w:color w:val="0000EE"/>
            <w:u w:val="single"/>
          </w:rPr>
          <w:t>Êx 34.12–16</w:t>
        </w:r>
      </w:hyperlink>
      <w:r>
        <w:t xml:space="preserve">; </w:t>
      </w:r>
      <w:hyperlink r:id="rId505">
        <w:r>
          <w:rPr>
            <w:color w:val="0000EE"/>
            <w:u w:val="single"/>
          </w:rPr>
          <w:t>2Co 6.14–7.1</w:t>
        </w:r>
      </w:hyperlink>
      <w:r>
        <w:t>). Como um "bolo não virado" (</w:t>
      </w:r>
      <w:hyperlink r:id="rId16035">
        <w:r>
          <w:rPr>
            <w:color w:val="0000EE"/>
            <w:u w:val="single"/>
          </w:rPr>
          <w:t>Os 7.8</w:t>
        </w:r>
      </w:hyperlink>
      <w:r>
        <w:t>), Israel não está equilibrado espiritualmente ou politicamente, com um lado exagerado e o outro lado cru.</w:t>
      </w:r>
    </w:p>
    <w:p>
      <w:r/>
      <w:r>
        <w:t>Nos assuntos externos, Israel movia-se entre Egito e Assíria "como uma pomba tola e sem senso" sem entendimento (</w:t>
      </w:r>
      <w:hyperlink r:id="rId15993">
        <w:r>
          <w:rPr>
            <w:color w:val="0000EE"/>
            <w:u w:val="single"/>
          </w:rPr>
          <w:t>Os 7.11</w:t>
        </w:r>
      </w:hyperlink>
      <w:r>
        <w:t>). Eles não buscavam o conselho do Senhor quando necessário, mas confiavam em poderes mundanos. Sua falta de fé em Yahweh e falha em se separar do pecado levarão à disciplina de Deus (</w:t>
      </w:r>
      <w:hyperlink r:id="rId3959">
        <w:r>
          <w:rPr>
            <w:color w:val="0000EE"/>
            <w:u w:val="single"/>
          </w:rPr>
          <w:t>Os 7.12</w:t>
        </w:r>
      </w:hyperlink>
      <w:r>
        <w:t xml:space="preserve">; veja também </w:t>
      </w:r>
      <w:hyperlink r:id="rId7308">
        <w:r>
          <w:rPr>
            <w:color w:val="0000EE"/>
            <w:u w:val="single"/>
          </w:rPr>
          <w:t>1Co 11.32</w:t>
        </w:r>
      </w:hyperlink>
      <w:r>
        <w:t xml:space="preserve">; </w:t>
      </w:r>
      <w:hyperlink r:id="rId16036">
        <w:r>
          <w:rPr>
            <w:color w:val="0000EE"/>
            <w:u w:val="single"/>
          </w:rPr>
          <w:t>Hb 12.5–15</w:t>
        </w:r>
      </w:hyperlink>
      <w:r>
        <w:t>).</w:t>
      </w:r>
    </w:p>
    <w:p>
      <w:pPr>
        <w:pStyle w:val="Heading4"/>
      </w:pPr>
      <w:r>
        <w:t>Capítulo 8</w:t>
      </w:r>
    </w:p>
    <w:p>
      <w:r/>
      <w:hyperlink r:id="rId16037">
        <w:r>
          <w:rPr>
            <w:color w:val="0000EE"/>
            <w:u w:val="single"/>
          </w:rPr>
          <w:t>Oseias 8</w:t>
        </w:r>
      </w:hyperlink>
      <w:r>
        <w:t xml:space="preserve"> discute o julgamento de Israel (veja </w:t>
      </w:r>
      <w:hyperlink r:id="rId16038">
        <w:r>
          <w:rPr>
            <w:color w:val="0000EE"/>
            <w:u w:val="single"/>
          </w:rPr>
          <w:t>Os 8.7</w:t>
        </w:r>
      </w:hyperlink>
      <w:r>
        <w:t>). Um alarme avisa o povo sobre a aproximação dos assírios (</w:t>
      </w:r>
      <w:hyperlink r:id="rId5327">
        <w:r>
          <w:rPr>
            <w:color w:val="0000EE"/>
            <w:u w:val="single"/>
          </w:rPr>
          <w:t>Os 8.1</w:t>
        </w:r>
      </w:hyperlink>
      <w:r>
        <w:t xml:space="preserve">; veja também </w:t>
      </w:r>
      <w:hyperlink r:id="rId16039">
        <w:r>
          <w:rPr>
            <w:color w:val="0000EE"/>
            <w:u w:val="single"/>
          </w:rPr>
          <w:t>Ez 17.2–21</w:t>
        </w:r>
      </w:hyperlink>
      <w:r>
        <w:t>). Os assírios atacariam Israel (</w:t>
      </w:r>
      <w:hyperlink r:id="rId5327">
        <w:r>
          <w:rPr>
            <w:color w:val="0000EE"/>
            <w:u w:val="single"/>
          </w:rPr>
          <w:t>Os 8.1</w:t>
        </w:r>
      </w:hyperlink>
      <w:r>
        <w:t xml:space="preserve">) porque Israel quebrou o pacto do Sinai (veja </w:t>
      </w:r>
      <w:hyperlink r:id="rId16040">
        <w:r>
          <w:rPr>
            <w:color w:val="0000EE"/>
            <w:u w:val="single"/>
          </w:rPr>
          <w:t>Dt 27.9–29.29</w:t>
        </w:r>
      </w:hyperlink>
      <w:r>
        <w:t xml:space="preserve">) e desobedeceu à lei de Moisés. Israel falsamente clama a Deus por ajuda contra o castigo (veja </w:t>
      </w:r>
      <w:hyperlink r:id="rId16041">
        <w:r>
          <w:rPr>
            <w:color w:val="0000EE"/>
            <w:u w:val="single"/>
          </w:rPr>
          <w:t>Is 10.5</w:t>
        </w:r>
      </w:hyperlink>
      <w:r>
        <w:t>), mas Deus não responde, e a Assíria continua a perseguir as dez tribos (</w:t>
      </w:r>
      <w:hyperlink r:id="rId16042">
        <w:r>
          <w:rPr>
            <w:color w:val="0000EE"/>
            <w:u w:val="single"/>
          </w:rPr>
          <w:t>Os 8.2–3</w:t>
        </w:r>
      </w:hyperlink>
      <w:r>
        <w:t>). Outras razões para o julgamento de Deus incluem nomear reis sem a orientação de Deus (</w:t>
      </w:r>
      <w:hyperlink r:id="rId14488">
        <w:r>
          <w:rPr>
            <w:color w:val="0000EE"/>
            <w:u w:val="single"/>
          </w:rPr>
          <w:t>Os 8.4a</w:t>
        </w:r>
      </w:hyperlink>
      <w:r>
        <w:t>) e praticar idolatria (</w:t>
      </w:r>
      <w:hyperlink r:id="rId16043">
        <w:r>
          <w:rPr>
            <w:color w:val="0000EE"/>
            <w:u w:val="single"/>
          </w:rPr>
          <w:t>Os 4b–6</w:t>
        </w:r>
      </w:hyperlink>
      <w:r>
        <w:t xml:space="preserve">). Os sacrifícios de Israel eram inaceitáveis devido à desobediência da nação (veja </w:t>
      </w:r>
      <w:hyperlink r:id="rId16044">
        <w:r>
          <w:rPr>
            <w:color w:val="0000EE"/>
            <w:u w:val="single"/>
          </w:rPr>
          <w:t>1Sm 15.22</w:t>
        </w:r>
      </w:hyperlink>
      <w:r>
        <w:t xml:space="preserve">; </w:t>
      </w:r>
      <w:hyperlink r:id="rId16045">
        <w:r>
          <w:rPr>
            <w:color w:val="0000EE"/>
            <w:u w:val="single"/>
          </w:rPr>
          <w:t>Is 1.11–15</w:t>
        </w:r>
      </w:hyperlink>
      <w:r>
        <w:t>). Portanto, eles iriam para o exílio, semelhante ao exílio anterior no Egito (</w:t>
      </w:r>
      <w:hyperlink r:id="rId16046">
        <w:r>
          <w:rPr>
            <w:color w:val="0000EE"/>
            <w:u w:val="single"/>
          </w:rPr>
          <w:t>Os 8.13</w:t>
        </w:r>
      </w:hyperlink>
      <w:r>
        <w:t>).</w:t>
      </w:r>
    </w:p>
    <w:p>
      <w:pPr>
        <w:pStyle w:val="Heading4"/>
      </w:pPr>
      <w:r>
        <w:t>Capítulo 9</w:t>
      </w:r>
    </w:p>
    <w:p>
      <w:r/>
      <w:hyperlink r:id="rId16047">
        <w:r>
          <w:rPr>
            <w:color w:val="0000EE"/>
            <w:u w:val="single"/>
          </w:rPr>
          <w:t>Oseias 9</w:t>
        </w:r>
      </w:hyperlink>
      <w:r>
        <w:t xml:space="preserve"> continua o tema do exílio. Israel não encontrará alegria (</w:t>
      </w:r>
      <w:hyperlink r:id="rId16048">
        <w:r>
          <w:rPr>
            <w:color w:val="0000EE"/>
            <w:u w:val="single"/>
          </w:rPr>
          <w:t>Os 9.1</w:t>
        </w:r>
      </w:hyperlink>
      <w:r>
        <w:t>). A produção da terra não os sustentará porque não viverão mais lá (</w:t>
      </w:r>
      <w:hyperlink r:id="rId16049">
        <w:r>
          <w:rPr>
            <w:color w:val="0000EE"/>
            <w:u w:val="single"/>
          </w:rPr>
          <w:t>Os 9.2–3</w:t>
        </w:r>
      </w:hyperlink>
      <w:r>
        <w:t>). Alguns israelitas fugirão para o Egito, enquanto outros serão levados cativos para a Assíria. Todos os sacrifícios cessarão, e eles consumirão os vinhos e carnes sacrificiais para suas próprias necessidades (</w:t>
      </w:r>
      <w:hyperlink r:id="rId16050">
        <w:r>
          <w:rPr>
            <w:color w:val="0000EE"/>
            <w:u w:val="single"/>
          </w:rPr>
          <w:t>Os 9.4–5</w:t>
        </w:r>
      </w:hyperlink>
      <w:r>
        <w:t>). Os egípcios matarão aqueles israelitas que fugirem para o Egito (</w:t>
      </w:r>
      <w:hyperlink r:id="rId16051">
        <w:r>
          <w:rPr>
            <w:color w:val="0000EE"/>
            <w:u w:val="single"/>
          </w:rPr>
          <w:t>Os 9.6</w:t>
        </w:r>
      </w:hyperlink>
      <w:r>
        <w:t>).</w:t>
      </w:r>
    </w:p>
    <w:p>
      <w:pPr>
        <w:pStyle w:val="Heading4"/>
      </w:pPr>
      <w:r>
        <w:t>Capítulo 10</w:t>
      </w:r>
    </w:p>
    <w:p>
      <w:r/>
      <w:hyperlink r:id="rId16052">
        <w:r>
          <w:rPr>
            <w:color w:val="0000EE"/>
            <w:u w:val="single"/>
          </w:rPr>
          <w:t>Oseias 10</w:t>
        </w:r>
      </w:hyperlink>
      <w:r>
        <w:t xml:space="preserve"> descreve ainda mais as consequências dos erros de Israel. Israel é como uma videira frondosa (</w:t>
      </w:r>
      <w:hyperlink r:id="rId16053">
        <w:r>
          <w:rPr>
            <w:color w:val="0000EE"/>
            <w:u w:val="single"/>
          </w:rPr>
          <w:t>Os 10.1</w:t>
        </w:r>
      </w:hyperlink>
      <w:r>
        <w:t>), mas sua abundância é mal utilizada para sacrifícios em altares pagãos. Eles são culpados diante de Deus, que está prestes a destruir seus altares e remover seu rei (</w:t>
      </w:r>
      <w:hyperlink r:id="rId16054">
        <w:r>
          <w:rPr>
            <w:color w:val="0000EE"/>
            <w:u w:val="single"/>
          </w:rPr>
          <w:t>Os 10.2–3</w:t>
        </w:r>
      </w:hyperlink>
      <w:r>
        <w:t>). Gibeá é mencionada novamente (</w:t>
      </w:r>
      <w:hyperlink r:id="rId16055">
        <w:r>
          <w:rPr>
            <w:color w:val="0000EE"/>
            <w:u w:val="single"/>
          </w:rPr>
          <w:t>Os 9.9</w:t>
        </w:r>
      </w:hyperlink>
      <w:r>
        <w:t>), lembrando a Israel que se afastar de Deus é tanto contagioso quanto permanente (</w:t>
      </w:r>
      <w:hyperlink r:id="rId16056">
        <w:r>
          <w:rPr>
            <w:color w:val="0000EE"/>
            <w:u w:val="single"/>
          </w:rPr>
          <w:t>Os 10.9</w:t>
        </w:r>
      </w:hyperlink>
      <w:r>
        <w:t xml:space="preserve">). A "dupla transgressão" em </w:t>
      </w:r>
      <w:hyperlink r:id="rId16057">
        <w:r>
          <w:rPr>
            <w:color w:val="0000EE"/>
            <w:u w:val="single"/>
          </w:rPr>
          <w:t>Os 10.10</w:t>
        </w:r>
      </w:hyperlink>
      <w:r>
        <w:t xml:space="preserve"> pode se referir aos dois ídolos de bezerro em Betel e Dã, que trouxeram o castigo de Deus. A penalidade será trabalho árduo sob um fardo pesado (</w:t>
      </w:r>
      <w:hyperlink r:id="rId16058">
        <w:r>
          <w:rPr>
            <w:color w:val="0000EE"/>
            <w:u w:val="single"/>
          </w:rPr>
          <w:t>Os 10.11</w:t>
        </w:r>
      </w:hyperlink>
      <w:r>
        <w:t>).</w:t>
      </w:r>
    </w:p>
    <w:p>
      <w:pPr>
        <w:pStyle w:val="Heading4"/>
      </w:pPr>
      <w:r>
        <w:t>Capítulos 11–14</w:t>
      </w:r>
    </w:p>
    <w:p>
      <w:r/>
      <w:r>
        <w:t>Os capítulos 11 a 14 concluem as profecias de Oseias com uma mensagem sobre a futura restauração de Israel. O amor inabalável do Pai é a base para essa futura restauração (</w:t>
      </w:r>
      <w:hyperlink r:id="rId14583">
        <w:r>
          <w:rPr>
            <w:color w:val="0000EE"/>
            <w:u w:val="single"/>
          </w:rPr>
          <w:t>Os 11.1–12</w:t>
        </w:r>
      </w:hyperlink>
      <w:r>
        <w:t>). Como nação, Israel foi chamado do Egito como filho de Yahweh (</w:t>
      </w:r>
      <w:hyperlink r:id="rId3569">
        <w:r>
          <w:rPr>
            <w:color w:val="0000EE"/>
            <w:u w:val="single"/>
          </w:rPr>
          <w:t>Os 11.1</w:t>
        </w:r>
      </w:hyperlink>
      <w:r>
        <w:t xml:space="preserve">; veja também </w:t>
      </w:r>
      <w:hyperlink r:id="rId13108">
        <w:r>
          <w:rPr>
            <w:color w:val="0000EE"/>
            <w:u w:val="single"/>
          </w:rPr>
          <w:t>Êx 4.22–23</w:t>
        </w:r>
      </w:hyperlink>
      <w:r>
        <w:t>). No entanto, Israel não retribuiu o amor do Pai e, em vez disso, buscou alianças com pagãos (</w:t>
      </w:r>
      <w:hyperlink r:id="rId16059">
        <w:r>
          <w:rPr>
            <w:color w:val="0000EE"/>
            <w:u w:val="single"/>
          </w:rPr>
          <w:t>Os 11.5</w:t>
        </w:r>
      </w:hyperlink>
      <w:r>
        <w:t>), o que levaria ao julgamento (</w:t>
      </w:r>
      <w:hyperlink r:id="rId16060">
        <w:r>
          <w:rPr>
            <w:color w:val="0000EE"/>
            <w:u w:val="single"/>
          </w:rPr>
          <w:t>Os 11.5–7</w:t>
        </w:r>
      </w:hyperlink>
      <w:r>
        <w:t>). As palavras de Yahweh mostram seu julgamento imutável devido à sua completa santidade e justiça (</w:t>
      </w:r>
      <w:hyperlink r:id="rId16061">
        <w:r>
          <w:rPr>
            <w:color w:val="0000EE"/>
            <w:u w:val="single"/>
          </w:rPr>
          <w:t>Os 12.1–13.16</w:t>
        </w:r>
      </w:hyperlink>
      <w:r>
        <w:t>). Os pecados de Israel exigem punição justa (</w:t>
      </w:r>
      <w:hyperlink r:id="rId16062">
        <w:r>
          <w:rPr>
            <w:color w:val="0000EE"/>
            <w:u w:val="single"/>
          </w:rPr>
          <w:t>Os 12.1–2</w:t>
        </w:r>
      </w:hyperlink>
      <w:r>
        <w:t>). Israel é responsável pela destruição do reino do norte. Apesar do pecado de Israel, Deus ainda pode ser sua ajuda (</w:t>
      </w:r>
      <w:hyperlink r:id="rId16063">
        <w:r>
          <w:rPr>
            <w:color w:val="0000EE"/>
            <w:u w:val="single"/>
          </w:rPr>
          <w:t>Os 13.9</w:t>
        </w:r>
      </w:hyperlink>
      <w:r>
        <w:t>).</w:t>
      </w:r>
    </w:p>
    <w:p>
      <w:r/>
      <w:r>
        <w:t>Israel deveria ter se arrependido rapidamente, mas não o fez (</w:t>
      </w:r>
      <w:hyperlink r:id="rId16064">
        <w:r>
          <w:rPr>
            <w:color w:val="0000EE"/>
            <w:u w:val="single"/>
          </w:rPr>
          <w:t>Os 13.13</w:t>
        </w:r>
      </w:hyperlink>
      <w:r>
        <w:t>). No entanto, a misericórdia de Yahweh acabaria por terminar com a própria morte, permitindo que Israel vivesse espiritualmente, politicamente e, possivelmente, fisicamente (</w:t>
      </w:r>
      <w:hyperlink r:id="rId915">
        <w:r>
          <w:rPr>
            <w:color w:val="0000EE"/>
            <w:u w:val="single"/>
          </w:rPr>
          <w:t>Os 13.14</w:t>
        </w:r>
      </w:hyperlink>
      <w:r>
        <w:t xml:space="preserve">; veja também </w:t>
      </w:r>
      <w:hyperlink r:id="rId16027">
        <w:r>
          <w:rPr>
            <w:color w:val="0000EE"/>
            <w:u w:val="single"/>
          </w:rPr>
          <w:t>Ez 37.1–14</w:t>
        </w:r>
      </w:hyperlink>
      <w:r>
        <w:t xml:space="preserve">; </w:t>
      </w:r>
      <w:hyperlink r:id="rId16065">
        <w:r>
          <w:rPr>
            <w:color w:val="0000EE"/>
            <w:u w:val="single"/>
          </w:rPr>
          <w:t>Dn 12.1–2,13</w:t>
        </w:r>
      </w:hyperlink>
      <w:r>
        <w:t>).</w:t>
      </w:r>
    </w:p>
    <w:p>
      <w:r/>
      <w:hyperlink r:id="rId16066">
        <w:r>
          <w:rPr>
            <w:color w:val="0000EE"/>
            <w:u w:val="single"/>
          </w:rPr>
          <w:t>Oseias 14</w:t>
        </w:r>
      </w:hyperlink>
      <w:r>
        <w:t xml:space="preserve"> apresenta o convite amoroso de Deus para que Israel se arrependa e retorne a Ele através de confissão, oração e louvor (</w:t>
      </w:r>
      <w:hyperlink r:id="rId16067">
        <w:r>
          <w:rPr>
            <w:color w:val="0000EE"/>
            <w:u w:val="single"/>
          </w:rPr>
          <w:t>Os 14.2</w:t>
        </w:r>
      </w:hyperlink>
      <w:r>
        <w:t>). A frase “fruto dos nossos lábios” (</w:t>
      </w:r>
      <w:hyperlink r:id="rId16067">
        <w:r>
          <w:rPr>
            <w:color w:val="0000EE"/>
            <w:u w:val="single"/>
          </w:rPr>
          <w:t>Os 14.2</w:t>
        </w:r>
      </w:hyperlink>
      <w:r>
        <w:t>) refere-se a uma oferta de gratidão, que geralmente incluía novilhos jovens (</w:t>
      </w:r>
      <w:hyperlink r:id="rId16068">
        <w:r>
          <w:rPr>
            <w:color w:val="0000EE"/>
            <w:u w:val="single"/>
          </w:rPr>
          <w:t>Êx 24.5</w:t>
        </w:r>
      </w:hyperlink>
      <w:r>
        <w:t xml:space="preserve">; </w:t>
      </w:r>
      <w:hyperlink r:id="rId16069">
        <w:r>
          <w:rPr>
            <w:color w:val="0000EE"/>
            <w:u w:val="single"/>
          </w:rPr>
          <w:t>Lv 7.11–15</w:t>
        </w:r>
      </w:hyperlink>
      <w:r>
        <w:t xml:space="preserve">; veja também </w:t>
      </w:r>
      <w:hyperlink r:id="rId16070">
        <w:r>
          <w:rPr>
            <w:color w:val="0000EE"/>
            <w:u w:val="single"/>
          </w:rPr>
          <w:t>Sl 51.17–19</w:t>
        </w:r>
      </w:hyperlink>
      <w:r>
        <w:t xml:space="preserve">; </w:t>
      </w:r>
      <w:hyperlink r:id="rId16071">
        <w:r>
          <w:rPr>
            <w:color w:val="0000EE"/>
            <w:u w:val="single"/>
          </w:rPr>
          <w:t>69.30–31</w:t>
        </w:r>
      </w:hyperlink>
      <w:r>
        <w:t xml:space="preserve">; </w:t>
      </w:r>
      <w:hyperlink r:id="rId16072">
        <w:r>
          <w:rPr>
            <w:color w:val="0000EE"/>
            <w:u w:val="single"/>
          </w:rPr>
          <w:t>Hb 13.15–16</w:t>
        </w:r>
      </w:hyperlink>
      <w:r>
        <w:t>). Parte da confissão de Israel envolverá reconhecer que a salvação não vem da Assíria (em alianças políticas) ou de ídolos (</w:t>
      </w:r>
      <w:hyperlink r:id="rId15917">
        <w:r>
          <w:rPr>
            <w:color w:val="0000EE"/>
            <w:u w:val="single"/>
          </w:rPr>
          <w:t>Os 14.3</w:t>
        </w:r>
      </w:hyperlink>
      <w:r>
        <w:t>).</w:t>
      </w:r>
    </w:p>
    <w:p>
      <w:r/>
      <w:r>
        <w:t xml:space="preserve">Deus promete repetidamente bênçãos a Israel durante sua restauração (note “Eu farei”, em </w:t>
      </w:r>
      <w:hyperlink r:id="rId16073">
        <w:r>
          <w:rPr>
            <w:color w:val="0000EE"/>
            <w:u w:val="single"/>
          </w:rPr>
          <w:t>Os 14.4–5</w:t>
        </w:r>
      </w:hyperlink>
      <w:r>
        <w:t>). Yahweh curará Israel espiritualmente, amará livremente, ajudará a prosperar completamente e protegerá totalmente (</w:t>
      </w:r>
      <w:hyperlink r:id="rId16074">
        <w:r>
          <w:rPr>
            <w:color w:val="0000EE"/>
            <w:u w:val="single"/>
          </w:rPr>
          <w:t>Os 14.4–7</w:t>
        </w:r>
      </w:hyperlink>
      <w:r>
        <w:t>). Israel será tão bela quanto o lírio, tão forte quanto o cedro e tão frutífera quanto a oliveira.</w:t>
      </w:r>
    </w:p>
    <w:p>
      <w:pPr>
        <w:pStyle w:val="Heading3"/>
      </w:pPr>
      <w:r>
        <w:t>Qual é a mensagem do livro de Oseias?</w:t>
      </w:r>
    </w:p>
    <w:p>
      <w:r/>
      <w:r>
        <w:t>O foco principal de Oseias está no último versículo (</w:t>
      </w:r>
      <w:hyperlink r:id="rId16075">
        <w:r>
          <w:rPr>
            <w:color w:val="0000EE"/>
            <w:u w:val="single"/>
          </w:rPr>
          <w:t>Os 14.9</w:t>
        </w:r>
      </w:hyperlink>
      <w:r>
        <w:t>). Pessoas sábias viverão vidas piedosas, enquanto pessoas tolas viverão vidas ímpias. Aqueles que vivem vidas piedosas experimentarão:</w:t>
      </w:r>
    </w:p>
    <w:p>
      <w:pPr>
        <w:pStyle w:val="ListBullet"/>
        <w:spacing w:line="240" w:lineRule="auto"/>
        <w:ind w:left="720"/>
      </w:pPr>
      <w:r/>
      <w:r>
        <w:t>Restauração</w:t>
      </w:r>
    </w:p>
    <w:p>
      <w:pPr>
        <w:pStyle w:val="ListBullet"/>
        <w:spacing w:line="240" w:lineRule="auto"/>
        <w:ind w:left="720"/>
      </w:pPr>
      <w:r/>
      <w:r>
        <w:t>Triunfo sobre a morte (</w:t>
      </w:r>
      <w:hyperlink r:id="rId915">
        <w:r>
          <w:rPr>
            <w:color w:val="0000EE"/>
            <w:u w:val="single"/>
          </w:rPr>
          <w:t>Os 13.14</w:t>
        </w:r>
      </w:hyperlink>
      <w:r>
        <w:t>)</w:t>
      </w:r>
    </w:p>
    <w:p>
      <w:pPr>
        <w:pStyle w:val="ListBullet"/>
        <w:spacing w:line="240" w:lineRule="auto"/>
        <w:ind w:left="720"/>
      </w:pPr>
      <w:r/>
      <w:r>
        <w:t>Bênçãos (</w:t>
      </w:r>
      <w:hyperlink r:id="rId16074">
        <w:r>
          <w:rPr>
            <w:color w:val="0000EE"/>
            <w:u w:val="single"/>
          </w:rPr>
          <w:t>Os 14.4–7</w:t>
        </w:r>
      </w:hyperlink>
      <w:r>
        <w:t>)</w:t>
      </w:r>
    </w:p>
    <w:p>
      <w:r/>
      <w:r>
        <w:t>A idolatria é qualquer coisa que ocupa o lugar de Deus no coração humano. Israel não buscou a Deus por:</w:t>
      </w:r>
    </w:p>
    <w:p>
      <w:pPr>
        <w:pStyle w:val="ListBullet"/>
        <w:spacing w:line="240" w:lineRule="auto"/>
        <w:ind w:left="720"/>
      </w:pPr>
      <w:r/>
      <w:r>
        <w:t>Orientação</w:t>
      </w:r>
    </w:p>
    <w:p>
      <w:pPr>
        <w:pStyle w:val="ListBullet"/>
        <w:spacing w:line="240" w:lineRule="auto"/>
        <w:ind w:left="720"/>
      </w:pPr>
      <w:r/>
      <w:r>
        <w:t>Ajuda</w:t>
      </w:r>
    </w:p>
    <w:p>
      <w:pPr>
        <w:pStyle w:val="ListBullet"/>
        <w:spacing w:line="240" w:lineRule="auto"/>
        <w:ind w:left="720"/>
      </w:pPr>
      <w:r/>
      <w:r>
        <w:t>Bênção</w:t>
      </w:r>
    </w:p>
    <w:p>
      <w:pPr>
        <w:pStyle w:val="ListBullet"/>
        <w:spacing w:line="240" w:lineRule="auto"/>
        <w:ind w:left="720"/>
      </w:pPr>
      <w:r/>
      <w:r>
        <w:t>Salvação</w:t>
      </w:r>
    </w:p>
    <w:p>
      <w:r/>
      <w:r>
        <w:t>Em vez disso, Israel recorreu a:</w:t>
      </w:r>
    </w:p>
    <w:p>
      <w:pPr>
        <w:pStyle w:val="ListBullet"/>
        <w:spacing w:line="240" w:lineRule="auto"/>
        <w:ind w:left="720"/>
      </w:pPr>
      <w:r/>
      <w:r>
        <w:t>Deuses estrangeiros (</w:t>
      </w:r>
      <w:hyperlink r:id="rId16076">
        <w:r>
          <w:rPr>
            <w:color w:val="0000EE"/>
            <w:u w:val="single"/>
          </w:rPr>
          <w:t>Os 4.12–19</w:t>
        </w:r>
      </w:hyperlink>
      <w:r>
        <w:t>)</w:t>
      </w:r>
    </w:p>
    <w:p>
      <w:pPr>
        <w:pStyle w:val="ListBullet"/>
        <w:spacing w:line="240" w:lineRule="auto"/>
        <w:ind w:left="720"/>
      </w:pPr>
      <w:r/>
      <w:r>
        <w:t>Orgulho nacional (</w:t>
      </w:r>
      <w:hyperlink r:id="rId16076">
        <w:r>
          <w:rPr>
            <w:color w:val="0000EE"/>
            <w:u w:val="single"/>
          </w:rPr>
          <w:t>Os</w:t>
        </w:r>
      </w:hyperlink>
      <w:hyperlink r:id="rId16077">
        <w:r>
          <w:rPr>
            <w:color w:val="0000EE"/>
            <w:u w:val="single"/>
          </w:rPr>
          <w:t xml:space="preserve"> 5.5</w:t>
        </w:r>
      </w:hyperlink>
      <w:r>
        <w:t>)</w:t>
      </w:r>
    </w:p>
    <w:p>
      <w:pPr>
        <w:pStyle w:val="ListBullet"/>
        <w:spacing w:line="240" w:lineRule="auto"/>
        <w:ind w:left="720"/>
      </w:pPr>
      <w:r/>
      <w:r>
        <w:t>Rituais religiosos (</w:t>
      </w:r>
      <w:hyperlink r:id="rId16076">
        <w:r>
          <w:rPr>
            <w:color w:val="0000EE"/>
            <w:u w:val="single"/>
          </w:rPr>
          <w:t>Os</w:t>
        </w:r>
      </w:hyperlink>
      <w:hyperlink r:id="rId1163">
        <w:r>
          <w:rPr>
            <w:color w:val="0000EE"/>
            <w:u w:val="single"/>
          </w:rPr>
          <w:t xml:space="preserve"> 6.6</w:t>
        </w:r>
      </w:hyperlink>
      <w:r>
        <w:t>)</w:t>
      </w:r>
    </w:p>
    <w:p>
      <w:pPr>
        <w:pStyle w:val="ListBullet"/>
        <w:spacing w:line="240" w:lineRule="auto"/>
        <w:ind w:left="720"/>
      </w:pPr>
      <w:r/>
      <w:r>
        <w:t>Conveniência política (</w:t>
      </w:r>
      <w:hyperlink r:id="rId16076">
        <w:r>
          <w:rPr>
            <w:color w:val="0000EE"/>
            <w:u w:val="single"/>
          </w:rPr>
          <w:t>Os</w:t>
        </w:r>
      </w:hyperlink>
      <w:hyperlink r:id="rId16034">
        <w:r>
          <w:rPr>
            <w:color w:val="0000EE"/>
            <w:u w:val="single"/>
          </w:rPr>
          <w:t xml:space="preserve"> 7.3</w:t>
        </w:r>
      </w:hyperlink>
      <w:r>
        <w:t>)</w:t>
      </w:r>
    </w:p>
    <w:p>
      <w:pPr>
        <w:pStyle w:val="ListBullet"/>
        <w:spacing w:line="240" w:lineRule="auto"/>
        <w:ind w:left="720"/>
      </w:pPr>
      <w:r/>
      <w:r>
        <w:t>Alianças políticas (</w:t>
      </w:r>
      <w:hyperlink r:id="rId16076">
        <w:r>
          <w:rPr>
            <w:color w:val="0000EE"/>
            <w:u w:val="single"/>
          </w:rPr>
          <w:t>Os</w:t>
        </w:r>
      </w:hyperlink>
      <w:hyperlink r:id="rId15993">
        <w:r>
          <w:rPr>
            <w:color w:val="0000EE"/>
            <w:u w:val="single"/>
          </w:rPr>
          <w:t xml:space="preserve"> 7.11</w:t>
        </w:r>
      </w:hyperlink>
      <w:r>
        <w:t>)</w:t>
      </w:r>
    </w:p>
    <w:p>
      <w:pPr>
        <w:pStyle w:val="ListBullet"/>
        <w:spacing w:line="240" w:lineRule="auto"/>
        <w:ind w:left="720"/>
      </w:pPr>
      <w:r/>
      <w:r>
        <w:t>Governo civil (</w:t>
      </w:r>
      <w:hyperlink r:id="rId14488">
        <w:r>
          <w:rPr>
            <w:color w:val="0000EE"/>
            <w:u w:val="single"/>
          </w:rPr>
          <w:t>Os 8.4</w:t>
        </w:r>
      </w:hyperlink>
      <w:r>
        <w:t>)</w:t>
      </w:r>
    </w:p>
    <w:p>
      <w:pPr>
        <w:pStyle w:val="ListBullet"/>
        <w:spacing w:line="240" w:lineRule="auto"/>
        <w:ind w:left="720"/>
      </w:pPr>
      <w:r/>
      <w:r>
        <w:t>Projetos de construção (</w:t>
      </w:r>
      <w:hyperlink r:id="rId9639">
        <w:r>
          <w:rPr>
            <w:color w:val="0000EE"/>
            <w:u w:val="single"/>
          </w:rPr>
          <w:t>Os 8.14</w:t>
        </w:r>
      </w:hyperlink>
      <w:r>
        <w:t>)</w:t>
      </w:r>
    </w:p>
    <w:p>
      <w:pPr>
        <w:pStyle w:val="ListBullet"/>
        <w:spacing w:line="240" w:lineRule="auto"/>
        <w:ind w:left="720"/>
      </w:pPr>
      <w:r/>
      <w:r>
        <w:t>Riqueza egoísta (</w:t>
      </w:r>
      <w:hyperlink r:id="rId16053">
        <w:r>
          <w:rPr>
            <w:color w:val="0000EE"/>
            <w:u w:val="single"/>
          </w:rPr>
          <w:t>Os 10.1</w:t>
        </w:r>
      </w:hyperlink>
      <w:r>
        <w:t>)</w:t>
      </w:r>
    </w:p>
    <w:p>
      <w:pPr>
        <w:pStyle w:val="ListBullet"/>
        <w:spacing w:line="240" w:lineRule="auto"/>
        <w:ind w:left="720"/>
      </w:pPr>
      <w:r/>
      <w:r>
        <w:t>Adoração de ídolos (</w:t>
      </w:r>
      <w:hyperlink r:id="rId16076">
        <w:r>
          <w:rPr>
            <w:color w:val="0000EE"/>
            <w:u w:val="single"/>
          </w:rPr>
          <w:t>Os</w:t>
        </w:r>
      </w:hyperlink>
      <w:hyperlink r:id="rId1559">
        <w:r>
          <w:rPr>
            <w:color w:val="0000EE"/>
            <w:u w:val="single"/>
          </w:rPr>
          <w:t xml:space="preserve"> 13.2</w:t>
        </w:r>
      </w:hyperlink>
      <w:r>
        <w:t>)</w:t>
      </w:r>
    </w:p>
    <w:p>
      <w:r/>
      <w:r>
        <w:t>Eles poderiam encontrar verdadeira bênção e segurança apenas em Deus (</w:t>
      </w:r>
      <w:hyperlink r:id="rId16078">
        <w:r>
          <w:rPr>
            <w:color w:val="0000EE"/>
            <w:u w:val="single"/>
          </w:rPr>
          <w:t>Os 13.4,9</w:t>
        </w:r>
      </w:hyperlink>
      <w:r>
        <w:t xml:space="preserve">; </w:t>
      </w:r>
      <w:hyperlink r:id="rId16074">
        <w:r>
          <w:rPr>
            <w:color w:val="0000EE"/>
            <w:u w:val="single"/>
          </w:rPr>
          <w:t>14.4–7</w:t>
        </w:r>
      </w:hyperlink>
      <w:r>
        <w:t>).</w:t>
      </w:r>
    </w:p>
    <w:p>
      <w:r/>
      <w:r>
        <w:t>Oseias descreve a apostasia (abandono da fé) como contagiosa. Pode começar tanto com líderes espirituais quanto com o povo e depois se espalhar entre eles (</w:t>
      </w:r>
      <w:hyperlink r:id="rId16076">
        <w:r>
          <w:rPr>
            <w:color w:val="0000EE"/>
            <w:u w:val="single"/>
          </w:rPr>
          <w:t>Os</w:t>
        </w:r>
      </w:hyperlink>
      <w:hyperlink r:id="rId16018">
        <w:r>
          <w:rPr>
            <w:color w:val="0000EE"/>
            <w:u w:val="single"/>
          </w:rPr>
          <w:t xml:space="preserve"> 4.9</w:t>
        </w:r>
      </w:hyperlink>
      <w:r>
        <w:t>). A punição para a apostasia depende da responsabilidade que alguém tem (</w:t>
      </w:r>
      <w:hyperlink r:id="rId16076">
        <w:r>
          <w:rPr>
            <w:color w:val="0000EE"/>
            <w:u w:val="single"/>
          </w:rPr>
          <w:t>Os</w:t>
        </w:r>
      </w:hyperlink>
      <w:hyperlink r:id="rId16021">
        <w:r>
          <w:rPr>
            <w:color w:val="0000EE"/>
            <w:u w:val="single"/>
          </w:rPr>
          <w:t xml:space="preserve"> 5.1</w:t>
        </w:r>
      </w:hyperlink>
      <w:r>
        <w:t xml:space="preserve">; </w:t>
      </w:r>
      <w:hyperlink r:id="rId16063">
        <w:r>
          <w:rPr>
            <w:color w:val="0000EE"/>
            <w:u w:val="single"/>
          </w:rPr>
          <w:t>13.9</w:t>
        </w:r>
      </w:hyperlink>
      <w:r>
        <w:t xml:space="preserve">; </w:t>
      </w:r>
      <w:hyperlink r:id="rId5474">
        <w:r>
          <w:rPr>
            <w:color w:val="0000EE"/>
            <w:u w:val="single"/>
          </w:rPr>
          <w:t>14.4</w:t>
        </w:r>
      </w:hyperlink>
      <w:r>
        <w:t>).</w:t>
      </w:r>
    </w:p>
    <w:p>
      <w:r/>
      <w:r>
        <w:rPr>
          <w:i/>
        </w:rPr>
        <w:t>Veja também</w:t>
      </w:r>
      <w:r>
        <w:t xml:space="preserve"> </w:t>
      </w:r>
      <w:r>
        <w:t>Oséias (Pessoa)</w:t>
      </w:r>
      <w:r>
        <w:t xml:space="preserve">; </w:t>
      </w:r>
      <w:r>
        <w:t>Israel, História de</w:t>
      </w:r>
      <w:r>
        <w:t xml:space="preserve">; </w:t>
      </w:r>
      <w:r>
        <w:t>Profecia</w:t>
      </w:r>
      <w:r>
        <w:t xml:space="preserve">; </w:t>
      </w:r>
      <w:r>
        <w:t>Profeta, Profetisa</w:t>
      </w:r>
      <w:r>
        <w:t>.</w:t>
      </w:r>
      <w:r/>
      <w:r/>
    </w:p>
    <w:p>
      <w:r/>
    </w:p>
    <w:p>
      <w:pPr>
        <w:pStyle w:val="Heading2"/>
      </w:pPr>
      <w:r>
        <w:t>Osso</w:t>
      </w:r>
      <w:r/>
    </w:p>
    <w:p>
      <w:r/>
      <w:r>
        <w:t>Uma das partes separadas do esqueleto humano ou animal. Após a morte, os ossos mantêm sua forma muito tempo depois que os tecidos moles se decompõem, por isso os ossos são frequentemente associados a corpos mortos ou à própria morte. Os israelitas estavam preocupados com o respeito adequado pelos corpos dos mortos (</w:t>
      </w:r>
      <w:hyperlink r:id="rId12289">
        <w:r>
          <w:rPr>
            <w:color w:val="0000EE"/>
            <w:u w:val="single"/>
          </w:rPr>
          <w:t>Gênesis 50.25</w:t>
        </w:r>
      </w:hyperlink>
      <w:r>
        <w:t xml:space="preserve">; </w:t>
      </w:r>
      <w:hyperlink r:id="rId16079">
        <w:r>
          <w:rPr>
            <w:color w:val="0000EE"/>
            <w:u w:val="single"/>
          </w:rPr>
          <w:t>1 Samuel 31.11–13</w:t>
        </w:r>
      </w:hyperlink>
      <w:r>
        <w:t xml:space="preserve">; </w:t>
      </w:r>
      <w:hyperlink r:id="rId16080">
        <w:r>
          <w:rPr>
            <w:color w:val="0000EE"/>
            <w:u w:val="single"/>
          </w:rPr>
          <w:t>2 Reis 23.14–18</w:t>
        </w:r>
      </w:hyperlink>
      <w:r>
        <w:t xml:space="preserve">; </w:t>
      </w:r>
      <w:hyperlink r:id="rId16081">
        <w:r>
          <w:rPr>
            <w:color w:val="0000EE"/>
            <w:u w:val="single"/>
          </w:rPr>
          <w:t>Ezequiel 39.14–16</w:t>
        </w:r>
      </w:hyperlink>
      <w:r>
        <w:t xml:space="preserve">; </w:t>
      </w:r>
      <w:hyperlink r:id="rId16082">
        <w:r>
          <w:rPr>
            <w:color w:val="0000EE"/>
            <w:u w:val="single"/>
          </w:rPr>
          <w:t>Amós 2.1</w:t>
        </w:r>
      </w:hyperlink>
      <w:r>
        <w:t xml:space="preserve">; </w:t>
      </w:r>
      <w:hyperlink r:id="rId13090">
        <w:r>
          <w:rPr>
            <w:color w:val="0000EE"/>
            <w:u w:val="single"/>
          </w:rPr>
          <w:t>Hebreus 11.22</w:t>
        </w:r>
      </w:hyperlink>
      <w:r>
        <w:t>).</w:t>
      </w:r>
    </w:p>
    <w:p>
      <w:r/>
      <w:r>
        <w:t>Um vale de “ossos velhos e secos” simbolizava o povo de Israel, que estava sem esperança até que o Espírito do Senhor lhes devolvesse a vida (</w:t>
      </w:r>
      <w:hyperlink r:id="rId16027">
        <w:r>
          <w:rPr>
            <w:color w:val="0000EE"/>
            <w:u w:val="single"/>
          </w:rPr>
          <w:t>Ezequiel 37.1–14</w:t>
        </w:r>
      </w:hyperlink>
      <w:r>
        <w:t>). Em um corpo vivo, no entanto, os ossos são tecidos vivos, e Ezequiel sabia que ossos quebrados podiam se curar (</w:t>
      </w:r>
      <w:hyperlink r:id="rId14126">
        <w:r>
          <w:rPr>
            <w:color w:val="0000EE"/>
            <w:u w:val="single"/>
          </w:rPr>
          <w:t>30.21</w:t>
        </w:r>
      </w:hyperlink>
      <w:r>
        <w:t>). Ossos intactos eram um requisito para um cordeiro sem defeito para a Páscoa (</w:t>
      </w:r>
      <w:hyperlink r:id="rId16083">
        <w:r>
          <w:rPr>
            <w:color w:val="0000EE"/>
            <w:u w:val="single"/>
          </w:rPr>
          <w:t>Êxodo 12.46</w:t>
        </w:r>
      </w:hyperlink>
      <w:r>
        <w:t xml:space="preserve">; </w:t>
      </w:r>
      <w:hyperlink r:id="rId16084">
        <w:r>
          <w:rPr>
            <w:color w:val="0000EE"/>
            <w:u w:val="single"/>
          </w:rPr>
          <w:t>Números 9.11–12</w:t>
        </w:r>
      </w:hyperlink>
      <w:r>
        <w:t>). Assim, o NT afirma que quando Jesus Cristo, o “Cordeiro de Deus” (</w:t>
      </w:r>
      <w:hyperlink r:id="rId1425">
        <w:r>
          <w:rPr>
            <w:color w:val="0000EE"/>
            <w:u w:val="single"/>
          </w:rPr>
          <w:t>João 1.36</w:t>
        </w:r>
      </w:hyperlink>
      <w:r>
        <w:t>), foi crucificado, ao contrário da prática romana, suas pernas não foram quebradas (</w:t>
      </w:r>
      <w:hyperlink r:id="rId16085">
        <w:r>
          <w:rPr>
            <w:color w:val="0000EE"/>
            <w:u w:val="single"/>
          </w:rPr>
          <w:t>Salmos 34.20</w:t>
        </w:r>
      </w:hyperlink>
      <w:r>
        <w:t xml:space="preserve">; </w:t>
      </w:r>
      <w:hyperlink r:id="rId16086">
        <w:r>
          <w:rPr>
            <w:color w:val="0000EE"/>
            <w:u w:val="single"/>
          </w:rPr>
          <w:t>João 19.30–37</w:t>
        </w:r>
      </w:hyperlink>
      <w:r>
        <w:t>).</w:t>
      </w:r>
    </w:p>
    <w:p>
      <w:r/>
      <w:r>
        <w:t>Algumas referências a ossos na Bíblia (</w:t>
      </w:r>
      <w:hyperlink r:id="rId16087">
        <w:r>
          <w:rPr>
            <w:color w:val="0000EE"/>
            <w:u w:val="single"/>
          </w:rPr>
          <w:t>Jó 2.5</w:t>
        </w:r>
      </w:hyperlink>
      <w:r>
        <w:t xml:space="preserve">; </w:t>
      </w:r>
      <w:hyperlink r:id="rId13039">
        <w:r>
          <w:rPr>
            <w:color w:val="0000EE"/>
            <w:u w:val="single"/>
          </w:rPr>
          <w:t>19.20</w:t>
        </w:r>
      </w:hyperlink>
      <w:r>
        <w:t xml:space="preserve">; </w:t>
      </w:r>
      <w:hyperlink r:id="rId5520">
        <w:r>
          <w:rPr>
            <w:color w:val="0000EE"/>
            <w:u w:val="single"/>
          </w:rPr>
          <w:t>30.30</w:t>
        </w:r>
      </w:hyperlink>
      <w:r>
        <w:t>) carregam a conotação de sentimentos profundos, como na frase “Sinto isso nos meus ossos”. Outras referências são expressões metafóricas de parentesco próximo, “carne e osso” (</w:t>
      </w:r>
      <w:hyperlink r:id="rId8639">
        <w:r>
          <w:rPr>
            <w:color w:val="0000EE"/>
            <w:u w:val="single"/>
          </w:rPr>
          <w:t>Gênesis 2.23</w:t>
        </w:r>
      </w:hyperlink>
      <w:r>
        <w:t xml:space="preserve">; </w:t>
      </w:r>
      <w:hyperlink r:id="rId16088">
        <w:r>
          <w:rPr>
            <w:color w:val="0000EE"/>
            <w:u w:val="single"/>
          </w:rPr>
          <w:t>29.14</w:t>
        </w:r>
      </w:hyperlink>
      <w:r>
        <w:t xml:space="preserve">; </w:t>
      </w:r>
      <w:hyperlink r:id="rId4269">
        <w:r>
          <w:rPr>
            <w:color w:val="0000EE"/>
            <w:u w:val="single"/>
          </w:rPr>
          <w:t>Juízes 9.2</w:t>
        </w:r>
      </w:hyperlink>
      <w:r>
        <w:t>) sendo equivalente à expressão “carne e sangue de alguém”.</w:t>
      </w:r>
      <w:r/>
      <w:r/>
    </w:p>
    <w:p>
      <w:r/>
    </w:p>
    <w:p>
      <w:pPr>
        <w:pStyle w:val="Heading2"/>
      </w:pPr>
      <w:r>
        <w:t>Ourives</w:t>
      </w:r>
      <w:r/>
    </w:p>
    <w:p>
      <w:r/>
      <w:r>
        <w:t>Um ourives era um trabalhador habilidoso que fazia objetos de ouro. Alguns criavam ídolos caros (falsos deuses) para as pessoas adorarem (</w:t>
      </w:r>
      <w:hyperlink r:id="rId10848">
        <w:r>
          <w:rPr>
            <w:color w:val="0000EE"/>
            <w:u w:val="single"/>
          </w:rPr>
          <w:t>Is 40.19</w:t>
        </w:r>
      </w:hyperlink>
      <w:r>
        <w:t xml:space="preserve">; </w:t>
      </w:r>
      <w:hyperlink r:id="rId16089">
        <w:r>
          <w:rPr>
            <w:color w:val="0000EE"/>
            <w:u w:val="single"/>
          </w:rPr>
          <w:t>41.7</w:t>
        </w:r>
      </w:hyperlink>
      <w:r>
        <w:t xml:space="preserve">; </w:t>
      </w:r>
      <w:hyperlink r:id="rId2987">
        <w:r>
          <w:rPr>
            <w:color w:val="0000EE"/>
            <w:u w:val="single"/>
          </w:rPr>
          <w:t>46.6</w:t>
        </w:r>
      </w:hyperlink>
      <w:r>
        <w:t xml:space="preserve">; </w:t>
      </w:r>
      <w:hyperlink r:id="rId16090">
        <w:r>
          <w:rPr>
            <w:color w:val="0000EE"/>
            <w:u w:val="single"/>
          </w:rPr>
          <w:t>Jr 10.9,14</w:t>
        </w:r>
      </w:hyperlink>
      <w:r>
        <w:t xml:space="preserve">; </w:t>
      </w:r>
      <w:hyperlink r:id="rId16091">
        <w:r>
          <w:rPr>
            <w:color w:val="0000EE"/>
            <w:u w:val="single"/>
          </w:rPr>
          <w:t>51.17</w:t>
        </w:r>
      </w:hyperlink>
      <w:r>
        <w:t>). Outros produziam itens sagrados e revestimentos de ouro para o tabernáculo e o templo de Salomão (</w:t>
      </w:r>
      <w:hyperlink r:id="rId16092">
        <w:r>
          <w:rPr>
            <w:color w:val="0000EE"/>
            <w:u w:val="single"/>
          </w:rPr>
          <w:t>Êx 31.4</w:t>
        </w:r>
      </w:hyperlink>
      <w:r>
        <w:t xml:space="preserve">; </w:t>
      </w:r>
      <w:hyperlink r:id="rId16093">
        <w:r>
          <w:rPr>
            <w:color w:val="0000EE"/>
            <w:u w:val="single"/>
          </w:rPr>
          <w:t>35.32</w:t>
        </w:r>
      </w:hyperlink>
      <w:r>
        <w:t xml:space="preserve">; </w:t>
      </w:r>
      <w:hyperlink r:id="rId16094">
        <w:r>
          <w:rPr>
            <w:color w:val="0000EE"/>
            <w:u w:val="single"/>
          </w:rPr>
          <w:t>1Rs 6.20–35</w:t>
        </w:r>
      </w:hyperlink>
      <w:r>
        <w:t>). Após o retorno do povo de Israel do exílio na Babilônia, os ourives formaram um grupo especial de trabalhadores. Eles ajudaram a consertar e restaurar o templo em Jerusalém (</w:t>
      </w:r>
      <w:hyperlink r:id="rId16095">
        <w:r>
          <w:rPr>
            <w:color w:val="0000EE"/>
            <w:u w:val="single"/>
          </w:rPr>
          <w:t>Ne 3.8,31–32</w:t>
        </w:r>
      </w:hyperlink>
      <w:r>
        <w:t>).</w:t>
      </w:r>
    </w:p>
    <w:p>
      <w:r/>
      <w:r>
        <w:rPr>
          <w:i/>
        </w:rPr>
        <w:t>Veja também</w:t>
      </w:r>
      <w:r>
        <w:t xml:space="preserve"> </w:t>
      </w:r>
      <w:r>
        <w:t>Minerais e Metais</w:t>
      </w:r>
      <w:r>
        <w:t>.</w:t>
      </w:r>
      <w:r/>
      <w:r/>
    </w:p>
    <w:p>
      <w:r/>
    </w:p>
    <w:p>
      <w:pPr>
        <w:pStyle w:val="Heading2"/>
      </w:pPr>
      <w:r>
        <w:t>Ourives</w:t>
      </w:r>
      <w:r/>
    </w:p>
    <w:p>
      <w:r/>
      <w:r>
        <w:t>Um ourives é uma pessoa que trabalha com prata para criar diferentes objetos. Esses trabalhadores habilidosos pegam o minério de prata bruto, limpam-no para remover impurezas e depois o moldam em muitos itens úteis.</w:t>
      </w:r>
    </w:p>
    <w:p>
      <w:r/>
      <w:r>
        <w:t>Na Bíblia, os ourives produziam instrumentos musicais como trombetas (</w:t>
      </w:r>
      <w:hyperlink r:id="rId11072">
        <w:r>
          <w:rPr>
            <w:color w:val="0000EE"/>
            <w:u w:val="single"/>
          </w:rPr>
          <w:t>Nm 10.2</w:t>
        </w:r>
      </w:hyperlink>
      <w:r>
        <w:t>). Eles também faziam bases que sustentavam a estrutura do tabernáculo (</w:t>
      </w:r>
      <w:hyperlink r:id="rId16096">
        <w:r>
          <w:rPr>
            <w:color w:val="0000EE"/>
            <w:u w:val="single"/>
          </w:rPr>
          <w:t>Êx 26.19–25</w:t>
        </w:r>
      </w:hyperlink>
      <w:r>
        <w:t>). Eles criavam objetos para uso no tabernáculo e no templo (</w:t>
      </w:r>
      <w:hyperlink r:id="rId16097">
        <w:r>
          <w:rPr>
            <w:color w:val="0000EE"/>
            <w:u w:val="single"/>
          </w:rPr>
          <w:t>Nm 7.13–85</w:t>
        </w:r>
      </w:hyperlink>
      <w:r>
        <w:t>).</w:t>
      </w:r>
    </w:p>
    <w:p>
      <w:r/>
      <w:r>
        <w:t>Ourives também confeccionavam ornamentos para uso pessoal. Alguns também faziam estátuas religiosas para adoração falsa (</w:t>
      </w:r>
      <w:hyperlink r:id="rId14484">
        <w:r>
          <w:rPr>
            <w:color w:val="0000EE"/>
            <w:u w:val="single"/>
          </w:rPr>
          <w:t>Êx 20.23</w:t>
        </w:r>
      </w:hyperlink>
      <w:r>
        <w:t xml:space="preserve">; </w:t>
      </w:r>
      <w:hyperlink r:id="rId9223">
        <w:r>
          <w:rPr>
            <w:color w:val="0000EE"/>
            <w:u w:val="single"/>
          </w:rPr>
          <w:t>Jz 17.4</w:t>
        </w:r>
      </w:hyperlink>
      <w:r>
        <w:t xml:space="preserve">). Demétrio era um ourives em Éfeso. Ele fazia santuários de prata para a deusa Ártemis (também chamada Diana; ver </w:t>
      </w:r>
      <w:hyperlink r:id="rId9224">
        <w:r>
          <w:rPr>
            <w:color w:val="0000EE"/>
            <w:u w:val="single"/>
          </w:rPr>
          <w:t>At 19.24</w:t>
        </w:r>
      </w:hyperlink>
      <w:r>
        <w:t>). Esta profissão era bem conhecida nos tempos do Novo Testamento (</w:t>
      </w:r>
      <w:hyperlink r:id="rId16098">
        <w:r>
          <w:rPr>
            <w:color w:val="0000EE"/>
            <w:u w:val="single"/>
          </w:rPr>
          <w:t>2Tm 2.20</w:t>
        </w:r>
      </w:hyperlink>
      <w:r>
        <w:t xml:space="preserve">; </w:t>
      </w:r>
      <w:hyperlink r:id="rId14538">
        <w:r>
          <w:rPr>
            <w:color w:val="0000EE"/>
            <w:u w:val="single"/>
          </w:rPr>
          <w:t>Ap 9.20</w:t>
        </w:r>
      </w:hyperlink>
      <w:r>
        <w:t>).</w:t>
      </w:r>
      <w:r/>
      <w:r/>
    </w:p>
    <w:p>
      <w:r/>
    </w:p>
    <w:p>
      <w:pPr>
        <w:pStyle w:val="Heading2"/>
      </w:pPr>
      <w:r>
        <w:t>Ozni, Oznita</w:t>
      </w:r>
      <w:r/>
    </w:p>
    <w:p>
      <w:r/>
      <w:r>
        <w:t>Ozni era outro nome para uma pessoa chamada Esbom. Os oznitas eram o grupo familiar que descendia de Ozni (</w:t>
      </w:r>
      <w:hyperlink r:id="rId8123">
        <w:r>
          <w:rPr>
            <w:color w:val="0000EE"/>
            <w:u w:val="single"/>
          </w:rPr>
          <w:t>Nm 26.16</w:t>
        </w:r>
      </w:hyperlink>
      <w:r>
        <w:t>).</w:t>
      </w:r>
    </w:p>
    <w:p>
      <w:r/>
      <w:r>
        <w:rPr>
          <w:i/>
        </w:rPr>
        <w:t>Veja</w:t>
      </w:r>
      <w:r>
        <w:t xml:space="preserve"> </w:t>
      </w:r>
      <w:r>
        <w:t>Esbom #1</w:t>
      </w:r>
      <w:r>
        <w:t>.</w:t>
      </w:r>
      <w:r/>
      <w:r/>
    </w:p>
    <w:p>
      <w:r/>
    </w:p>
    <w:p>
      <w:pPr>
        <w:pStyle w:val="Heading2"/>
      </w:pPr>
      <w:r>
        <w:t>Paciência</w:t>
      </w:r>
      <w:r/>
    </w:p>
    <w:p>
      <w:r/>
      <w:r>
        <w:t>Paciência é a capacidade de suportar muitas dificuldades ou maus-tratos. É não perder a calma, ficar irritado ou buscar vingança. Inclui:</w:t>
      </w:r>
    </w:p>
    <w:p>
      <w:pPr>
        <w:pStyle w:val="ListNumber"/>
        <w:spacing w:line="240" w:lineRule="auto"/>
        <w:ind w:left="720"/>
      </w:pPr>
      <w:r/>
      <w:r>
        <w:t>A força para suportar a dor sem reclamar;</w:t>
      </w:r>
    </w:p>
    <w:p>
      <w:pPr>
        <w:pStyle w:val="ListNumber"/>
        <w:spacing w:line="240" w:lineRule="auto"/>
        <w:ind w:left="720"/>
      </w:pPr>
      <w:r/>
      <w:r>
        <w:t>A capacidade de se controlar quando severamente provocado;</w:t>
      </w:r>
    </w:p>
    <w:p>
      <w:pPr>
        <w:pStyle w:val="ListNumber"/>
        <w:spacing w:line="240" w:lineRule="auto"/>
        <w:ind w:left="720"/>
      </w:pPr>
      <w:r/>
      <w:r>
        <w:t>O autocontrole para evitar ações precipitadas em momentos de adversidade.</w:t>
      </w:r>
    </w:p>
    <w:p>
      <w:r/>
      <w:r>
        <w:t>Em hebraico, a expressão comum para paciência está relacionada ao verbo "ser longo", significando ser lento para se irritar ou chatear. Em grego, duas palavras diferentes foram traduzidas como "paciência" na Bíblia:</w:t>
      </w:r>
    </w:p>
    <w:p>
      <w:pPr>
        <w:pStyle w:val="ListNumber"/>
        <w:spacing w:line="240" w:lineRule="auto"/>
        <w:ind w:left="720"/>
      </w:pPr>
      <w:r/>
      <w:r>
        <w:t>Uma palavra sugere "permanecer firme sob" testes e provações e é melhor traduzida como "resistência" ou "firmeza".</w:t>
      </w:r>
    </w:p>
    <w:p>
      <w:pPr>
        <w:pStyle w:val="ListNumber"/>
        <w:spacing w:line="240" w:lineRule="auto"/>
        <w:ind w:left="720"/>
      </w:pPr>
      <w:r/>
      <w:r>
        <w:t>A outra palavra grega é semelhante ao significado hebraico. Refere-se à paciência como "longanimidade" ou a capacidade de manter a calma quando provocado à raiva.</w:t>
      </w:r>
    </w:p>
    <w:p>
      <w:r/>
      <w:r>
        <w:t>O maior exemplo de paciência na Bíblia é o próprio Deus. Muitos trechos descrevem Deus, junto com outros atributos graciosos, como "lento para se irar". Apesar das repetidas rebeliões de Israel, Deus é mostrado como perdoador. Ele é gracioso, compassivo, lento para se irar e cheio de bondade (</w:t>
      </w:r>
      <w:hyperlink r:id="rId6796">
        <w:r>
          <w:rPr>
            <w:color w:val="0000EE"/>
            <w:u w:val="single"/>
          </w:rPr>
          <w:t>Ne 9.17</w:t>
        </w:r>
      </w:hyperlink>
      <w:r>
        <w:t>). O salmista diz: "Mas tu, Senhor, és um Deus compassivo e gracioso, lento para se irar, abundante em amor e fidelidade" (</w:t>
      </w:r>
      <w:hyperlink r:id="rId1158">
        <w:r>
          <w:rPr>
            <w:color w:val="0000EE"/>
            <w:u w:val="single"/>
          </w:rPr>
          <w:t>Sl 86.15</w:t>
        </w:r>
      </w:hyperlink>
      <w:r>
        <w:t xml:space="preserve">; veja também </w:t>
      </w:r>
      <w:hyperlink r:id="rId10123">
        <w:r>
          <w:rPr>
            <w:color w:val="0000EE"/>
            <w:u w:val="single"/>
          </w:rPr>
          <w:t>Êx 34.6</w:t>
        </w:r>
      </w:hyperlink>
      <w:r>
        <w:t xml:space="preserve">; </w:t>
      </w:r>
      <w:hyperlink r:id="rId6795">
        <w:r>
          <w:rPr>
            <w:color w:val="0000EE"/>
            <w:u w:val="single"/>
          </w:rPr>
          <w:t>Nm 14.18</w:t>
        </w:r>
      </w:hyperlink>
      <w:r>
        <w:t xml:space="preserve">; </w:t>
      </w:r>
      <w:hyperlink r:id="rId6797">
        <w:r>
          <w:rPr>
            <w:color w:val="0000EE"/>
            <w:u w:val="single"/>
          </w:rPr>
          <w:t>Sl 103.8</w:t>
        </w:r>
      </w:hyperlink>
      <w:r>
        <w:t xml:space="preserve">; </w:t>
      </w:r>
      <w:hyperlink r:id="rId5726">
        <w:r>
          <w:rPr>
            <w:color w:val="0000EE"/>
            <w:u w:val="single"/>
          </w:rPr>
          <w:t>Jl 2.13</w:t>
        </w:r>
      </w:hyperlink>
      <w:r>
        <w:t xml:space="preserve">; </w:t>
      </w:r>
      <w:hyperlink r:id="rId6799">
        <w:r>
          <w:rPr>
            <w:color w:val="0000EE"/>
            <w:u w:val="single"/>
          </w:rPr>
          <w:t>Jn 4.2</w:t>
        </w:r>
      </w:hyperlink>
      <w:r>
        <w:t>). O Antigo Testamento também elogia a virtude de um espírito paciente, especialmente em Provérbios (</w:t>
      </w:r>
      <w:hyperlink r:id="rId16099">
        <w:r>
          <w:rPr>
            <w:color w:val="0000EE"/>
            <w:u w:val="single"/>
          </w:rPr>
          <w:t>Pv 14.29</w:t>
        </w:r>
      </w:hyperlink>
      <w:r>
        <w:t xml:space="preserve">; </w:t>
      </w:r>
      <w:hyperlink r:id="rId16100">
        <w:r>
          <w:rPr>
            <w:color w:val="0000EE"/>
            <w:u w:val="single"/>
          </w:rPr>
          <w:t>15.18</w:t>
        </w:r>
      </w:hyperlink>
      <w:r>
        <w:t xml:space="preserve">; </w:t>
      </w:r>
      <w:hyperlink r:id="rId16101">
        <w:r>
          <w:rPr>
            <w:color w:val="0000EE"/>
            <w:u w:val="single"/>
          </w:rPr>
          <w:t>16.32</w:t>
        </w:r>
      </w:hyperlink>
      <w:r>
        <w:t xml:space="preserve">; </w:t>
      </w:r>
      <w:hyperlink r:id="rId9766">
        <w:r>
          <w:rPr>
            <w:color w:val="0000EE"/>
            <w:u w:val="single"/>
          </w:rPr>
          <w:t>25.15</w:t>
        </w:r>
      </w:hyperlink>
      <w:r>
        <w:t xml:space="preserve">; veja também </w:t>
      </w:r>
      <w:hyperlink r:id="rId15938">
        <w:r>
          <w:rPr>
            <w:color w:val="0000EE"/>
            <w:u w:val="single"/>
          </w:rPr>
          <w:t>Ec 7.8</w:t>
        </w:r>
      </w:hyperlink>
      <w:r>
        <w:t>).</w:t>
      </w:r>
    </w:p>
    <w:p>
      <w:r/>
      <w:r>
        <w:t>O Novo Testamento também enfatiza a paciência do Senhor. É a bondade, a tolerância e a paciência de Deus que levam as pessoas ao arrependimento (</w:t>
      </w:r>
      <w:hyperlink r:id="rId5493">
        <w:r>
          <w:rPr>
            <w:color w:val="0000EE"/>
            <w:u w:val="single"/>
          </w:rPr>
          <w:t>Rm 2.4</w:t>
        </w:r>
      </w:hyperlink>
      <w:r>
        <w:t>). Deus foi paciente ao adiar o dilúvio no tempo de Noé, enquanto a arca estava sendo construída. Isso deu às pessoas mais tempo para se arrependerem (</w:t>
      </w:r>
      <w:hyperlink r:id="rId931">
        <w:r>
          <w:rPr>
            <w:color w:val="0000EE"/>
            <w:u w:val="single"/>
          </w:rPr>
          <w:t>1Pe 3.20</w:t>
        </w:r>
      </w:hyperlink>
      <w:r>
        <w:t xml:space="preserve">). Talvez a referência mais significativa do Novo Testamento à paciência de Deus esteja em </w:t>
      </w:r>
      <w:hyperlink r:id="rId5495">
        <w:r>
          <w:rPr>
            <w:color w:val="0000EE"/>
            <w:u w:val="single"/>
          </w:rPr>
          <w:t>2Pe 3.9</w:t>
        </w:r>
      </w:hyperlink>
      <w:r>
        <w:t>. Pedro explica que o atraso na volta de Cristo não se deve à lentidão de Deus, mas à sua paciência, pois ele não quer que ninguém pereça. Paulo também menciona a paciência de Jesus Cristo, afirmando que Cristo mostrou perfeita paciência em seus tratos com ele (</w:t>
      </w:r>
      <w:hyperlink r:id="rId13300">
        <w:r>
          <w:rPr>
            <w:color w:val="0000EE"/>
            <w:u w:val="single"/>
          </w:rPr>
          <w:t>1Tm 1.16</w:t>
        </w:r>
      </w:hyperlink>
      <w:r>
        <w:t>).</w:t>
      </w:r>
    </w:p>
    <w:p>
      <w:r/>
      <w:r>
        <w:t>Paciência, que é uma característica de Deus e de Jesus Cristo, também deve ser vista em todo cristão. Paulo orou pelos colossenses, pedindo que eles demonstrassem essa qualidade (</w:t>
      </w:r>
      <w:hyperlink r:id="rId16102">
        <w:r>
          <w:rPr>
            <w:color w:val="0000EE"/>
            <w:u w:val="single"/>
          </w:rPr>
          <w:t>Cl 1.11</w:t>
        </w:r>
      </w:hyperlink>
      <w:r>
        <w:t>). Paciência é:</w:t>
      </w:r>
    </w:p>
    <w:p>
      <w:pPr>
        <w:pStyle w:val="ListBullet"/>
        <w:spacing w:line="240" w:lineRule="auto"/>
        <w:ind w:left="720"/>
      </w:pPr>
      <w:r/>
      <w:r>
        <w:t>Um dos frutos do Espírito (</w:t>
      </w:r>
      <w:hyperlink r:id="rId720">
        <w:r>
          <w:rPr>
            <w:color w:val="0000EE"/>
            <w:u w:val="single"/>
          </w:rPr>
          <w:t>Gl 5.22</w:t>
        </w:r>
      </w:hyperlink>
      <w:r>
        <w:t>);</w:t>
      </w:r>
    </w:p>
    <w:p>
      <w:pPr>
        <w:pStyle w:val="ListBullet"/>
        <w:spacing w:line="240" w:lineRule="auto"/>
        <w:ind w:left="720"/>
      </w:pPr>
      <w:r/>
      <w:r>
        <w:t>Uma característica do amor (</w:t>
      </w:r>
      <w:hyperlink r:id="rId15936">
        <w:r>
          <w:rPr>
            <w:color w:val="0000EE"/>
            <w:u w:val="single"/>
          </w:rPr>
          <w:t>1Co 13.4</w:t>
        </w:r>
      </w:hyperlink>
      <w:r>
        <w:t>);</w:t>
      </w:r>
    </w:p>
    <w:p>
      <w:pPr>
        <w:pStyle w:val="ListBullet"/>
        <w:spacing w:line="240" w:lineRule="auto"/>
        <w:ind w:left="720"/>
      </w:pPr>
      <w:r/>
      <w:r>
        <w:t>Uma virtude (</w:t>
      </w:r>
      <w:hyperlink r:id="rId3852">
        <w:r>
          <w:rPr>
            <w:color w:val="0000EE"/>
            <w:u w:val="single"/>
          </w:rPr>
          <w:t>Cl 3.12</w:t>
        </w:r>
      </w:hyperlink>
      <w:r>
        <w:t xml:space="preserve">; veja também </w:t>
      </w:r>
      <w:hyperlink r:id="rId16103">
        <w:r>
          <w:rPr>
            <w:color w:val="0000EE"/>
            <w:u w:val="single"/>
          </w:rPr>
          <w:t>2Tm 3.10</w:t>
        </w:r>
      </w:hyperlink>
      <w:r>
        <w:t>)</w:t>
      </w:r>
    </w:p>
    <w:p>
      <w:r/>
      <w:r>
        <w:t>Os cristãos também são instados a serem pacientes (</w:t>
      </w:r>
      <w:hyperlink r:id="rId16104">
        <w:r>
          <w:rPr>
            <w:color w:val="0000EE"/>
            <w:u w:val="single"/>
          </w:rPr>
          <w:t>1Ts 5.14</w:t>
        </w:r>
      </w:hyperlink>
      <w:r>
        <w:t>). Se não formos, podemos ser tratados como o servo em uma das parábolas de Jesus. Este servo implorou ao seu mestre, a quem devia uma grande dívida, por paciência, prometendo pagar tudo. O mestre foi paciente e perdoou toda a dívida. No entanto, ele descobriu que o servo se recusou a mostrar a mesma paciência a um colega servo que lhe devia uma pequena quantia. (</w:t>
      </w:r>
      <w:hyperlink r:id="rId16105">
        <w:r>
          <w:rPr>
            <w:color w:val="0000EE"/>
            <w:u w:val="single"/>
          </w:rPr>
          <w:t>Mt 18.26–29</w:t>
        </w:r>
      </w:hyperlink>
      <w:r>
        <w:t>)</w:t>
      </w:r>
    </w:p>
    <w:p>
      <w:r/>
      <w:r>
        <w:t>Em alguns contextos, "paciência" também significa esperar muito tempo com esperança e expectativa. Por exemplo, um agricultor espera pacientemente que as colheitas cresçam (</w:t>
      </w:r>
      <w:hyperlink r:id="rId4840">
        <w:r>
          <w:rPr>
            <w:color w:val="0000EE"/>
            <w:u w:val="single"/>
          </w:rPr>
          <w:t>Tg 5.7b</w:t>
        </w:r>
      </w:hyperlink>
      <w:r>
        <w:t>). Abraão esperou que Deus lhe desse a terra de Canaã. Ele morreu sem ver a promessa cumprida, mas ainda assim acreditou (</w:t>
      </w:r>
      <w:hyperlink r:id="rId16106">
        <w:r>
          <w:rPr>
            <w:color w:val="0000EE"/>
            <w:u w:val="single"/>
          </w:rPr>
          <w:t>Hb 6.15</w:t>
        </w:r>
      </w:hyperlink>
      <w:r>
        <w:t xml:space="preserve">; </w:t>
      </w:r>
      <w:hyperlink r:id="rId16107">
        <w:r>
          <w:rPr>
            <w:color w:val="0000EE"/>
            <w:u w:val="single"/>
          </w:rPr>
          <w:t>11.39</w:t>
        </w:r>
      </w:hyperlink>
      <w:r>
        <w:t>). Finalmente, todos os cristãos são ordenados a serem pacientes até o retorno do Senhor (</w:t>
      </w:r>
      <w:hyperlink r:id="rId4840">
        <w:r>
          <w:rPr>
            <w:color w:val="0000EE"/>
            <w:u w:val="single"/>
          </w:rPr>
          <w:t>Tg 5.7a</w:t>
        </w:r>
      </w:hyperlink>
      <w:r>
        <w:t>).</w:t>
      </w:r>
      <w:r/>
      <w:r/>
    </w:p>
    <w:p>
      <w:r/>
    </w:p>
    <w:p>
      <w:pPr>
        <w:pStyle w:val="Heading2"/>
      </w:pPr>
      <w:r>
        <w:t>Padã, Padã-Arã</w:t>
      </w:r>
      <w:r/>
    </w:p>
    <w:p>
      <w:r/>
      <w:r>
        <w:t xml:space="preserve">Distrito do noroeste da Mesopotâmia cujo nome significa "Campo de Arã", distinguindo esta planície das regiões montanhosas ao norte e leste. Padã-Arã é alternadamente chamado de </w:t>
      </w:r>
      <w:r>
        <w:rPr>
          <w:i/>
        </w:rPr>
        <w:t>Padã</w:t>
      </w:r>
      <w:r>
        <w:t xml:space="preserve"> (ARC) em </w:t>
      </w:r>
      <w:hyperlink r:id="rId3335">
        <w:r>
          <w:rPr>
            <w:color w:val="0000EE"/>
            <w:u w:val="single"/>
          </w:rPr>
          <w:t>Gênesis 48.7</w:t>
        </w:r>
      </w:hyperlink>
      <w:r>
        <w:t xml:space="preserve">; </w:t>
      </w:r>
      <w:r>
        <w:rPr>
          <w:i/>
        </w:rPr>
        <w:t>campo da Síria</w:t>
      </w:r>
      <w:r>
        <w:t xml:space="preserve"> (ARC) em </w:t>
      </w:r>
      <w:hyperlink r:id="rId16108">
        <w:r>
          <w:rPr>
            <w:color w:val="0000EE"/>
            <w:u w:val="single"/>
          </w:rPr>
          <w:t>Oséias 12.12</w:t>
        </w:r>
      </w:hyperlink>
      <w:r>
        <w:t xml:space="preserve">, embora o termo no original em hebraico signifique a "terra de Arã"; e </w:t>
      </w:r>
      <w:r>
        <w:rPr>
          <w:i/>
        </w:rPr>
        <w:t>Mesopotâmia</w:t>
      </w:r>
      <w:r>
        <w:t xml:space="preserve"> em </w:t>
      </w:r>
      <w:hyperlink r:id="rId10344">
        <w:r>
          <w:rPr>
            <w:color w:val="0000EE"/>
            <w:u w:val="single"/>
          </w:rPr>
          <w:t>Gênesis 24.10</w:t>
        </w:r>
      </w:hyperlink>
      <w:r>
        <w:t>, embora o termo no original em hebraico seja Arã-naaraim, significando "Arã dos dois rios". Os dois rios provavelmente referem-se aos rios Eufrates e Balikh, entre os quais esta faixa de terra estava situada.</w:t>
      </w:r>
    </w:p>
    <w:p>
      <w:r/>
      <w:r>
        <w:rPr>
          <w:i/>
        </w:rPr>
        <w:t>Veja também</w:t>
      </w:r>
      <w:r>
        <w:t xml:space="preserve"> </w:t>
      </w:r>
      <w:r>
        <w:t>Arã-naaraim</w:t>
      </w:r>
      <w:r>
        <w:t>.</w:t>
      </w:r>
      <w:r/>
      <w:r/>
    </w:p>
    <w:p>
      <w:r/>
    </w:p>
    <w:p>
      <w:pPr>
        <w:pStyle w:val="Heading2"/>
      </w:pPr>
      <w:r>
        <w:t>Padeiro</w:t>
      </w:r>
      <w:r/>
    </w:p>
    <w:p>
      <w:r/>
      <w:r>
        <w:t>Aquele que prepara comida. Nos tempos bíblicos, o padeiro trabalhava:</w:t>
      </w:r>
    </w:p>
    <w:p>
      <w:pPr>
        <w:pStyle w:val="ListBullet"/>
        <w:spacing w:line="240" w:lineRule="auto"/>
        <w:ind w:left="720"/>
      </w:pPr>
      <w:r/>
      <w:r>
        <w:t>em casa (</w:t>
      </w:r>
      <w:hyperlink r:id="rId3095">
        <w:r>
          <w:rPr>
            <w:color w:val="0000EE"/>
            <w:u w:val="single"/>
          </w:rPr>
          <w:t>Gn 19.3</w:t>
        </w:r>
      </w:hyperlink>
      <w:r>
        <w:t>),</w:t>
      </w:r>
    </w:p>
    <w:p>
      <w:pPr>
        <w:pStyle w:val="ListBullet"/>
        <w:spacing w:line="240" w:lineRule="auto"/>
        <w:ind w:left="720"/>
      </w:pPr>
      <w:r/>
      <w:r>
        <w:t>na padaria pública (</w:t>
      </w:r>
      <w:hyperlink r:id="rId16109">
        <w:r>
          <w:rPr>
            <w:color w:val="0000EE"/>
            <w:u w:val="single"/>
          </w:rPr>
          <w:t>Jr 37.21</w:t>
        </w:r>
      </w:hyperlink>
      <w:r>
        <w:t>), e</w:t>
      </w:r>
    </w:p>
    <w:p>
      <w:pPr>
        <w:pStyle w:val="ListBullet"/>
        <w:spacing w:line="240" w:lineRule="auto"/>
        <w:ind w:left="720"/>
      </w:pPr>
      <w:r/>
      <w:r>
        <w:t>nos palácios de reis e nobres (</w:t>
      </w:r>
      <w:hyperlink r:id="rId16110">
        <w:r>
          <w:rPr>
            <w:color w:val="0000EE"/>
            <w:u w:val="single"/>
          </w:rPr>
          <w:t>Gn 40.1–22</w:t>
        </w:r>
      </w:hyperlink>
      <w:r>
        <w:t xml:space="preserve">; </w:t>
      </w:r>
      <w:hyperlink r:id="rId16111">
        <w:r>
          <w:rPr>
            <w:color w:val="0000EE"/>
            <w:u w:val="single"/>
          </w:rPr>
          <w:t>41.10,13</w:t>
        </w:r>
      </w:hyperlink>
      <w:r>
        <w:t xml:space="preserve">; </w:t>
      </w:r>
      <w:hyperlink r:id="rId16112">
        <w:r>
          <w:rPr>
            <w:color w:val="0000EE"/>
            <w:u w:val="single"/>
          </w:rPr>
          <w:t>1Sm 8.13</w:t>
        </w:r>
      </w:hyperlink>
      <w:r>
        <w:t>)</w:t>
      </w:r>
    </w:p>
    <w:p>
      <w:r/>
      <w:r>
        <w:t>Eles faziam pão e bolos a partir dos alimentos básicos de óleo e farinha. Os israelitas, ao fugirem do Egito, assaram pão sem fermento para sua jornada (</w:t>
      </w:r>
      <w:hyperlink r:id="rId16113">
        <w:r>
          <w:rPr>
            <w:color w:val="0000EE"/>
            <w:u w:val="single"/>
          </w:rPr>
          <w:t>Êx 12.39</w:t>
        </w:r>
      </w:hyperlink>
      <w:r>
        <w:t>). O pão e os bolos eram assados em uma panela ou forno (</w:t>
      </w:r>
      <w:hyperlink r:id="rId16114">
        <w:r>
          <w:rPr>
            <w:color w:val="0000EE"/>
            <w:u w:val="single"/>
          </w:rPr>
          <w:t>Lv 2.4</w:t>
        </w:r>
      </w:hyperlink>
      <w:r>
        <w:t xml:space="preserve">; </w:t>
      </w:r>
      <w:hyperlink r:id="rId16115">
        <w:r>
          <w:rPr>
            <w:color w:val="0000EE"/>
            <w:u w:val="single"/>
          </w:rPr>
          <w:t>26.26</w:t>
        </w:r>
      </w:hyperlink>
      <w:r>
        <w:t>). À medida que a sociedade israelita se desenvolveu, padeiros profissionais trabalhavam e formavam guildas. Alguns argumentaram que Oseias era padeiro por causa de seu conhecimento das técnicas de panificação (</w:t>
      </w:r>
      <w:hyperlink r:id="rId16116">
        <w:r>
          <w:rPr>
            <w:color w:val="0000EE"/>
            <w:u w:val="single"/>
          </w:rPr>
          <w:t>Os 7.4–8</w:t>
        </w:r>
      </w:hyperlink>
      <w:r>
        <w:t>).</w:t>
      </w:r>
    </w:p>
    <w:p>
      <w:r/>
      <w:r>
        <w:rPr>
          <w:i/>
        </w:rPr>
        <w:t>Veja também</w:t>
      </w:r>
      <w:r>
        <w:t xml:space="preserve"> </w:t>
      </w:r>
      <w:r>
        <w:t>Alimentos e preparação de alimentos</w:t>
      </w:r>
      <w:r>
        <w:t>.</w:t>
      </w:r>
      <w:r/>
      <w:r/>
    </w:p>
    <w:p>
      <w:r/>
    </w:p>
    <w:p>
      <w:pPr>
        <w:pStyle w:val="Heading2"/>
      </w:pPr>
      <w:r>
        <w:t>Pafos</w:t>
      </w:r>
      <w:r/>
    </w:p>
    <w:p>
      <w:r/>
      <w:r>
        <w:t>Pafos era uma cidade no sudoeste de Chipre. Começou como um assentamento fenício chamado "Velha Pafos". Mais tarde, um assentamento grego chamado "Nova Pafos" foi construído a cerca de 16,1 quilômetros de distância da cidade original. Nova Pafos tornou-se o principal centro governamental quando Chipre se tornou parte do Império Romano em 22 a.C.</w:t>
      </w:r>
    </w:p>
    <w:p>
      <w:r/>
      <w:r>
        <w:t>A cidade combinada era famosa por seu templo. As pessoas inicialmente dedicaram o templo à deusa síria Astarte. Segundo o historiador romano Tácito, as pessoas adoravam Astarte utilizando cerimônias fenícias antigas. Essas cerimônias incluíam a aplicação de óleo em uma pedra em forma de cone (possivelmente um meteorito). Posteriormente, os gregos identificaram Astarte com sua deusa Afrodite. Eles acreditavam que Afrodite emergiu do mar.</w:t>
      </w:r>
    </w:p>
    <w:p>
      <w:r/>
      <w:r>
        <w:t>Em Pafos, o apóstolo Paulo enfrentou sua primeira forte oposição às boas-novas sobre Jesus. Essa oposição veio de um homem chamado Elimas. Em resposta, Paulo realizou seu primeiro milagre registrado na Bíblia. Paulo deixou Elimas cego, mas a cegueira foi apenas temporária, demonstrando a misericórdia de Paulo (</w:t>
      </w:r>
      <w:hyperlink r:id="rId4650">
        <w:r>
          <w:rPr>
            <w:color w:val="0000EE"/>
            <w:u w:val="single"/>
          </w:rPr>
          <w:t>At 13.11</w:t>
        </w:r>
      </w:hyperlink>
      <w:r>
        <w:t>).</w:t>
      </w:r>
      <w:r/>
      <w:r/>
    </w:p>
    <w:p>
      <w:r/>
    </w:p>
    <w:p>
      <w:pPr>
        <w:pStyle w:val="Heading2"/>
      </w:pPr>
      <w:r>
        <w:t>Pagiel</w:t>
      </w:r>
      <w:r/>
    </w:p>
    <w:p>
      <w:r/>
      <w:r>
        <w:t>Pagiel era filho de Ocrã, da tribo de Aser. Moisés escolheu Pagiel para ajudar a contar os israelitas enquanto estavam no deserto. Pagiel também serviu como líder de sua tribo durante esse período (</w:t>
      </w:r>
      <w:hyperlink r:id="rId2726">
        <w:r>
          <w:rPr>
            <w:color w:val="0000EE"/>
            <w:u w:val="single"/>
          </w:rPr>
          <w:t>Nm 1.13</w:t>
        </w:r>
      </w:hyperlink>
      <w:r>
        <w:t xml:space="preserve">; </w:t>
      </w:r>
      <w:hyperlink r:id="rId2727">
        <w:r>
          <w:rPr>
            <w:color w:val="0000EE"/>
            <w:u w:val="single"/>
          </w:rPr>
          <w:t>2.27</w:t>
        </w:r>
      </w:hyperlink>
      <w:r>
        <w:t xml:space="preserve">; </w:t>
      </w:r>
      <w:hyperlink r:id="rId15571">
        <w:r>
          <w:rPr>
            <w:color w:val="0000EE"/>
            <w:u w:val="single"/>
          </w:rPr>
          <w:t>7.72,77</w:t>
        </w:r>
      </w:hyperlink>
      <w:r>
        <w:t xml:space="preserve">; </w:t>
      </w:r>
      <w:hyperlink r:id="rId2729">
        <w:r>
          <w:rPr>
            <w:color w:val="0000EE"/>
            <w:u w:val="single"/>
          </w:rPr>
          <w:t>10.26</w:t>
        </w:r>
      </w:hyperlink>
      <w:r>
        <w:t>).</w:t>
      </w:r>
      <w:r/>
      <w:r/>
    </w:p>
    <w:p>
      <w:r/>
    </w:p>
    <w:p>
      <w:pPr>
        <w:pStyle w:val="Heading2"/>
      </w:pPr>
      <w:r>
        <w:t>Paixão</w:t>
      </w:r>
      <w:r/>
    </w:p>
    <w:p>
      <w:r/>
      <w:r>
        <w:t xml:space="preserve">Um termo que vem do latim, significando "sofrimento". É usado em algumas traduções (como a ARC) em </w:t>
      </w:r>
      <w:hyperlink r:id="rId6259">
        <w:r>
          <w:rPr>
            <w:color w:val="0000EE"/>
            <w:u w:val="single"/>
          </w:rPr>
          <w:t>Atos 1.3</w:t>
        </w:r>
      </w:hyperlink>
      <w:r>
        <w:t xml:space="preserve"> para se referir aos sofrimentos de Jesus. Ao longo da história, os cristãos se referiram aos sofrimentos de Jesus como sua Paixão.</w:t>
      </w:r>
    </w:p>
    <w:p>
      <w:pPr>
        <w:pStyle w:val="Heading3"/>
      </w:pPr>
      <w:r>
        <w:t>O que ocorreu durante a Paixão de Jesus?</w:t>
      </w:r>
    </w:p>
    <w:p>
      <w:r/>
      <w:r>
        <w:t>Cada um dos quatro Evangelhos possui o que é chamado de narrativa da Paixão. Esta é a seção que registra os sofrimentos de Jesus na noite de sua prisão e no dia seguinte, culminando em sua morte.</w:t>
      </w:r>
    </w:p>
    <w:p>
      <w:pPr>
        <w:pStyle w:val="ListNumber"/>
        <w:spacing w:line="240" w:lineRule="auto"/>
        <w:ind w:left="720"/>
      </w:pPr>
      <w:r/>
      <w:r>
        <w:t xml:space="preserve">Mateus inclui isso nos capítulos </w:t>
      </w:r>
      <w:hyperlink r:id="rId16117">
        <w:r>
          <w:rPr>
            <w:color w:val="0000EE"/>
            <w:u w:val="single"/>
          </w:rPr>
          <w:t>26–27.</w:t>
        </w:r>
      </w:hyperlink>
    </w:p>
    <w:p>
      <w:pPr>
        <w:pStyle w:val="ListNumber"/>
        <w:spacing w:line="240" w:lineRule="auto"/>
        <w:ind w:left="720"/>
      </w:pPr>
      <w:r/>
      <w:r>
        <w:t xml:space="preserve">Marcos inclui isso nos capítulos </w:t>
      </w:r>
      <w:hyperlink r:id="rId13894">
        <w:r>
          <w:rPr>
            <w:color w:val="0000EE"/>
            <w:u w:val="single"/>
          </w:rPr>
          <w:t>14–15.</w:t>
        </w:r>
      </w:hyperlink>
    </w:p>
    <w:p>
      <w:pPr>
        <w:pStyle w:val="ListNumber"/>
        <w:spacing w:line="240" w:lineRule="auto"/>
        <w:ind w:left="720"/>
      </w:pPr>
      <w:r/>
      <w:r>
        <w:t xml:space="preserve">Lucas inclui isso nos capítulos </w:t>
      </w:r>
      <w:hyperlink r:id="rId16118">
        <w:r>
          <w:rPr>
            <w:color w:val="0000EE"/>
            <w:u w:val="single"/>
          </w:rPr>
          <w:t>22–23.</w:t>
        </w:r>
      </w:hyperlink>
    </w:p>
    <w:p>
      <w:pPr>
        <w:pStyle w:val="ListNumber"/>
        <w:spacing w:line="240" w:lineRule="auto"/>
        <w:ind w:left="720"/>
      </w:pPr>
      <w:r/>
      <w:r>
        <w:t xml:space="preserve">João inclui isso nos capítulos </w:t>
      </w:r>
      <w:hyperlink r:id="rId16119">
        <w:r>
          <w:rPr>
            <w:color w:val="0000EE"/>
            <w:u w:val="single"/>
          </w:rPr>
          <w:t>18–19</w:t>
        </w:r>
      </w:hyperlink>
      <w:r>
        <w:t>.</w:t>
      </w:r>
    </w:p>
    <w:p>
      <w:pPr>
        <w:pStyle w:val="Heading4"/>
      </w:pPr>
      <w:r>
        <w:t>Prisão e julgamento de Jesus</w:t>
      </w:r>
    </w:p>
    <w:p>
      <w:r/>
      <w:r>
        <w:t>Lucas oferece o relato mais detalhado da dor física que Jesus experimentou enquanto orava no Jardim do Getsêmani (</w:t>
      </w:r>
      <w:hyperlink r:id="rId16120">
        <w:r>
          <w:rPr>
            <w:color w:val="0000EE"/>
            <w:u w:val="single"/>
          </w:rPr>
          <w:t>Lc 22.41–44</w:t>
        </w:r>
      </w:hyperlink>
      <w:r>
        <w:t xml:space="preserve">). </w:t>
      </w:r>
      <w:hyperlink r:id="rId16121">
        <w:r>
          <w:rPr>
            <w:color w:val="0000EE"/>
            <w:u w:val="single"/>
          </w:rPr>
          <w:t>João 18.12</w:t>
        </w:r>
      </w:hyperlink>
      <w:r>
        <w:t xml:space="preserve"> nos diz que Jesus foi então amarrado e levado à casa do sumo sacerdote, onde foi primeiro interrogado por Anás, o sogro de Caifás, que era o atual titular desse cargo. Este interrogatório está registrado em </w:t>
      </w:r>
      <w:hyperlink r:id="rId16122">
        <w:r>
          <w:rPr>
            <w:color w:val="0000EE"/>
            <w:u w:val="single"/>
          </w:rPr>
          <w:t>João 18.19–24</w:t>
        </w:r>
      </w:hyperlink>
      <w:r>
        <w:t>.</w:t>
      </w:r>
    </w:p>
    <w:p>
      <w:r/>
      <w:r>
        <w:t>Anás enviou Jesus a Caifás para mais interrogatórios (</w:t>
      </w:r>
      <w:hyperlink r:id="rId16123">
        <w:r>
          <w:rPr>
            <w:color w:val="0000EE"/>
            <w:u w:val="single"/>
          </w:rPr>
          <w:t>Jo 18.24</w:t>
        </w:r>
      </w:hyperlink>
      <w:r>
        <w:t>). Nesta fase, os soldados que guardavam Jesus se entregaram a algumas jogadas sujas. Eles o espancaram e, com os olhos vendados, pediram que ele profetizasse quem o havia atingido (</w:t>
      </w:r>
      <w:hyperlink r:id="rId16124">
        <w:r>
          <w:rPr>
            <w:color w:val="0000EE"/>
            <w:u w:val="single"/>
          </w:rPr>
          <w:t>Lc 22.63–65</w:t>
        </w:r>
      </w:hyperlink>
      <w:r>
        <w:t>). Ao amanhecer, o Conselho Judaico (chamado Sinédrio) se reuniu e tentou provar que Jesus era culpado, mas não conseguiram obter provas suficientemente fortes contra ele.</w:t>
      </w:r>
    </w:p>
    <w:p>
      <w:r/>
      <w:r>
        <w:t>Finalmente, o sumo sacerdote fez-lhe uma pergunta que o fez parecer culpado aos olhos deles. Isso vai contra o que normalmente é descrito na lei judaica (</w:t>
      </w:r>
      <w:hyperlink r:id="rId16125">
        <w:r>
          <w:rPr>
            <w:color w:val="0000EE"/>
            <w:u w:val="single"/>
          </w:rPr>
          <w:t>Mc 14.55–64</w:t>
        </w:r>
      </w:hyperlink>
      <w:r>
        <w:t>). Ao fazer uma pergunta direta sobre o papel de Jesus como Messias, eles o obrigaram a cometer o que consideravam ser blasfêmia. Blasfêmia é tipicamente entendida como falar falsamente sobre Deus. Eles haviam fechado suas mentes para a possibilidade de que Jesus pudesse ser o Messias.</w:t>
      </w:r>
    </w:p>
    <w:p>
      <w:pPr>
        <w:pStyle w:val="Heading4"/>
      </w:pPr>
      <w:r>
        <w:t>Sofrimento físico e morte de Jesus</w:t>
      </w:r>
    </w:p>
    <w:p>
      <w:r/>
      <w:hyperlink r:id="rId16126">
        <w:r>
          <w:rPr>
            <w:color w:val="0000EE"/>
            <w:u w:val="single"/>
          </w:rPr>
          <w:t>Mateus 26.67–68</w:t>
        </w:r>
      </w:hyperlink>
      <w:r>
        <w:t xml:space="preserve"> e </w:t>
      </w:r>
      <w:hyperlink r:id="rId16127">
        <w:r>
          <w:rPr>
            <w:color w:val="0000EE"/>
            <w:u w:val="single"/>
          </w:rPr>
          <w:t>Marcos 14.65</w:t>
        </w:r>
      </w:hyperlink>
      <w:r>
        <w:t xml:space="preserve"> sugerem que foi nesse momento que Jesus foi maltratado por seus guardas e possivelmente por alguns membros do conselho. Ele foi então levado sob custódia para a residência de Pilatos em Jerusalém. Pilatos vivia no Pretório ou no quartel-general da guarnição. Pilatos parece ter realizado um exame preliminar de Jesus. Ele descobriu que a cidade natal de Jesus era na Galileia e, por isso, enviou Jesus a Herodes, já que estava sob a autoridade de Herodes. Jesus se recusou a responder a qualquer uma das perguntas de Herodes, então Herodes enviou Jesus de volta ao governador após zombar dele (</w:t>
      </w:r>
      <w:hyperlink r:id="rId16128">
        <w:r>
          <w:rPr>
            <w:color w:val="0000EE"/>
            <w:u w:val="single"/>
          </w:rPr>
          <w:t>Lc 23.1–12</w:t>
        </w:r>
      </w:hyperlink>
      <w:r>
        <w:t>).</w:t>
      </w:r>
    </w:p>
    <w:p>
      <w:r/>
      <w:r>
        <w:t>Pilatos então parece ter tentado conquistar a simpatia da multidão por Jesus e, assim, mandou açoitá-lo. Após isso, ele foi vestido com um manto púrpura, possivelmente o que lhe foi dado por Herodes (</w:t>
      </w:r>
      <w:hyperlink r:id="rId16129">
        <w:r>
          <w:rPr>
            <w:color w:val="0000EE"/>
            <w:u w:val="single"/>
          </w:rPr>
          <w:t>Lc 23.11</w:t>
        </w:r>
      </w:hyperlink>
      <w:r>
        <w:t>), e uma coroa de espinhos. O açoite poderia ter sido o prelúdio regular para a crucificação ou uma tentativa de sugerir que ele já havia punido Jesus o suficiente (</w:t>
      </w:r>
      <w:hyperlink r:id="rId16130">
        <w:r>
          <w:rPr>
            <w:color w:val="0000EE"/>
            <w:u w:val="single"/>
          </w:rPr>
          <w:t>23.16</w:t>
        </w:r>
      </w:hyperlink>
      <w:r>
        <w:t>). Jesus foi açoitado com um flagelo enquanto suas mãos estavam amarradas a um pilar (</w:t>
      </w:r>
      <w:hyperlink r:id="rId16131">
        <w:r>
          <w:rPr>
            <w:color w:val="0000EE"/>
            <w:u w:val="single"/>
          </w:rPr>
          <w:t>Mc 15.15</w:t>
        </w:r>
      </w:hyperlink>
      <w:r>
        <w:t>). Um flagelo era um chicote de couro cujas tiras eram pesadas com pedaços irregulares de osso e chumbo.</w:t>
      </w:r>
    </w:p>
    <w:p>
      <w:r/>
      <w:r>
        <w:t>Mesmo depois disso, Jesus enfrentou mais ataques dos soldados (</w:t>
      </w:r>
      <w:hyperlink r:id="rId16132">
        <w:r>
          <w:rPr>
            <w:color w:val="0000EE"/>
            <w:u w:val="single"/>
          </w:rPr>
          <w:t>Mt 27.27–31</w:t>
        </w:r>
      </w:hyperlink>
      <w:r>
        <w:t xml:space="preserve">; </w:t>
      </w:r>
      <w:hyperlink r:id="rId16133">
        <w:r>
          <w:rPr>
            <w:color w:val="0000EE"/>
            <w:u w:val="single"/>
          </w:rPr>
          <w:t>Mc 15.16–20</w:t>
        </w:r>
      </w:hyperlink>
      <w:r>
        <w:t xml:space="preserve">; </w:t>
      </w:r>
      <w:hyperlink r:id="rId16134">
        <w:r>
          <w:rPr>
            <w:color w:val="0000EE"/>
            <w:u w:val="single"/>
          </w:rPr>
          <w:t>Jo 19.3</w:t>
        </w:r>
      </w:hyperlink>
      <w:r>
        <w:t>) e então teve que ficar de pé enquanto Pilatos tentava debilmente negociar com a multidão, que agora havia sido incitada por seus opositores a clamar pela morte de Jesus (</w:t>
      </w:r>
      <w:hyperlink r:id="rId16135">
        <w:r>
          <w:rPr>
            <w:color w:val="0000EE"/>
            <w:u w:val="single"/>
          </w:rPr>
          <w:t>Jo 19.1–16</w:t>
        </w:r>
      </w:hyperlink>
      <w:r>
        <w:t xml:space="preserve">; cf. </w:t>
      </w:r>
      <w:hyperlink r:id="rId16136">
        <w:r>
          <w:rPr>
            <w:color w:val="0000EE"/>
            <w:u w:val="single"/>
          </w:rPr>
          <w:t>Mt 27.11–26</w:t>
        </w:r>
      </w:hyperlink>
      <w:r>
        <w:t xml:space="preserve">; </w:t>
      </w:r>
      <w:hyperlink r:id="rId13937">
        <w:r>
          <w:rPr>
            <w:color w:val="0000EE"/>
            <w:u w:val="single"/>
          </w:rPr>
          <w:t>Mc 15.1–15</w:t>
        </w:r>
      </w:hyperlink>
      <w:r>
        <w:t xml:space="preserve">; </w:t>
      </w:r>
      <w:hyperlink r:id="rId3143">
        <w:r>
          <w:rPr>
            <w:color w:val="0000EE"/>
            <w:u w:val="single"/>
          </w:rPr>
          <w:t>Lc 23.18–25</w:t>
        </w:r>
      </w:hyperlink>
      <w:r>
        <w:t>). Não funcionou, e Pilatos enviou Jesus para o esquadrão de execução.</w:t>
      </w:r>
    </w:p>
    <w:p>
      <w:r/>
      <w:r>
        <w:t xml:space="preserve">Não é surpreendente que, após todo esse mau-trato, Jesus aparentemente não tenha conseguido carregar a cruz até o Calvário. Ele deveria carregar apenas a trave ou a cruz inteira, incluindo ambas as vigas de madeira. Simão de Cirene foi forçado a carregá-la por ele. Isso é explicado em </w:t>
      </w:r>
      <w:hyperlink r:id="rId736">
        <w:r>
          <w:rPr>
            <w:color w:val="0000EE"/>
            <w:u w:val="single"/>
          </w:rPr>
          <w:t>Marcos 15.21</w:t>
        </w:r>
      </w:hyperlink>
      <w:r>
        <w:t xml:space="preserve"> e nos outros relatos dos Evangelhos.</w:t>
      </w:r>
    </w:p>
    <w:p>
      <w:r/>
      <w:r>
        <w:t>Assim que ele chegou ao Calvário, os soldados rapidamente o pregaram na cruz. Tradicionalmente, isso era feito cravando um prego em cada mão e um prego mais longo nos dois pés juntos. A cruz era então colocada na posição vertical em um encaixe no chão. Em alguns casos, a trave carregada era conectada ao poste já em pé no chão. Jesus foi deixado pendurado ali até morrer por perda de sangue após o açoite ou por um coração rompido causado pela tensão nos músculos do diafragma. Às vezes, os açoites eram fatais.</w:t>
      </w:r>
    </w:p>
    <w:p>
      <w:pPr>
        <w:pStyle w:val="Heading4"/>
      </w:pPr>
      <w:r>
        <w:t>O sofrimento mental e espiritual de Jesus</w:t>
      </w:r>
    </w:p>
    <w:p>
      <w:r/>
      <w:r>
        <w:t>Além do aspecto físico da Paixão, não devemos esquecer que Jesus também experimentou agonia mental.</w:t>
      </w:r>
    </w:p>
    <w:p>
      <w:pPr>
        <w:pStyle w:val="ListNumber"/>
        <w:spacing w:line="240" w:lineRule="auto"/>
        <w:ind w:left="720"/>
      </w:pPr>
      <w:r/>
      <w:r>
        <w:t>Seus amigos o traíram.</w:t>
      </w:r>
    </w:p>
    <w:p>
      <w:pPr>
        <w:pStyle w:val="ListNumber"/>
        <w:spacing w:line="240" w:lineRule="auto"/>
        <w:ind w:left="720"/>
      </w:pPr>
      <w:r/>
      <w:r>
        <w:t>Os seguidores dele o abandonaram.</w:t>
      </w:r>
    </w:p>
    <w:p>
      <w:pPr>
        <w:pStyle w:val="ListNumber"/>
        <w:spacing w:line="240" w:lineRule="auto"/>
        <w:ind w:left="720"/>
      </w:pPr>
      <w:r/>
      <w:r>
        <w:t>Havia o sofrimento adicional de saber que tudo o que ele passou foi injusto. Ele era completamente inocente de todas as acusações feitas contra ele.</w:t>
      </w:r>
    </w:p>
    <w:p>
      <w:r/>
      <w:r>
        <w:t>O povo judeu se orgulhava da qualidade de sua religião. Os romanos se orgulhavam dos padrões de sua lei. De uma maneira que parece oposta ao que se poderia esperar, foi o mal-entendido da religião judaica e o mau uso da lei romana que permitiram que os inimigos de Jesus o matassem.</w:t>
      </w:r>
    </w:p>
    <w:p>
      <w:r/>
      <w:r>
        <w:t>Acima de tudo, Jesus sofreu espiritualmente ao saber que Deus iria fazer “Àquele que não conheceu pecado, o fez pecado por nós (</w:t>
      </w:r>
      <w:hyperlink r:id="rId3239">
        <w:r>
          <w:rPr>
            <w:color w:val="0000EE"/>
            <w:u w:val="single"/>
          </w:rPr>
          <w:t>2Co 5.21</w:t>
        </w:r>
      </w:hyperlink>
      <w:r>
        <w:t>)“. Isso significava que ele seria separado de Deus. Em um momento em que muitas pessoas morrendo por sua fé sentiram fortemente a presença de Deus, Jesus, em vez disso, clamou: “Meu Deus, Meu Deus, por que me abandonaste?” (</w:t>
      </w:r>
      <w:hyperlink r:id="rId7870">
        <w:r>
          <w:rPr>
            <w:color w:val="0000EE"/>
            <w:u w:val="single"/>
          </w:rPr>
          <w:t>Mc 15.34</w:t>
        </w:r>
      </w:hyperlink>
      <w:r>
        <w:t xml:space="preserve"> e passagens paralelas).</w:t>
      </w:r>
    </w:p>
    <w:p>
      <w:pPr>
        <w:pStyle w:val="Heading3"/>
      </w:pPr>
      <w:r>
        <w:t>Por que a Paixão de Jesus é importante para os cristãos?</w:t>
      </w:r>
    </w:p>
    <w:p>
      <w:r/>
      <w:r>
        <w:t>O Novo Testamento nos mostra o que os primeiros cristãos acreditavam ser "boas-novas". Esta notícia mudou o mundo antigo. As boas-novas eram que "Cristo morreu pelos nossos pecados, como está escrito nas Escrituras Sagradas; ele foi sepultado e, no terceiro dia, foi ressuscitado, como está escrito nas Escrituras" (</w:t>
      </w:r>
      <w:hyperlink r:id="rId14825">
        <w:r>
          <w:rPr>
            <w:color w:val="0000EE"/>
            <w:u w:val="single"/>
          </w:rPr>
          <w:t>1Co 15.3–4</w:t>
        </w:r>
      </w:hyperlink>
      <w:r>
        <w:t>). Esta era a mensagem básica de vários escritores do Novo Testamento. Por exemplo:</w:t>
      </w:r>
    </w:p>
    <w:p>
      <w:pPr>
        <w:pStyle w:val="ListBullet"/>
        <w:spacing w:line="240" w:lineRule="auto"/>
        <w:ind w:left="720"/>
      </w:pPr>
      <w:r/>
      <w:r>
        <w:t xml:space="preserve">Pedro (veja </w:t>
      </w:r>
      <w:hyperlink r:id="rId6630">
        <w:r>
          <w:rPr>
            <w:color w:val="0000EE"/>
            <w:u w:val="single"/>
          </w:rPr>
          <w:t>At 2.22–36</w:t>
        </w:r>
      </w:hyperlink>
      <w:r>
        <w:t xml:space="preserve">; </w:t>
      </w:r>
      <w:hyperlink r:id="rId16137">
        <w:r>
          <w:rPr>
            <w:color w:val="0000EE"/>
            <w:u w:val="single"/>
          </w:rPr>
          <w:t>3.12–21</w:t>
        </w:r>
      </w:hyperlink>
      <w:r>
        <w:t xml:space="preserve">; </w:t>
      </w:r>
      <w:hyperlink r:id="rId8757">
        <w:r>
          <w:rPr>
            <w:color w:val="0000EE"/>
            <w:u w:val="single"/>
          </w:rPr>
          <w:t>10.36–43</w:t>
        </w:r>
      </w:hyperlink>
      <w:r>
        <w:t xml:space="preserve">; </w:t>
      </w:r>
      <w:hyperlink r:id="rId5989">
        <w:r>
          <w:rPr>
            <w:color w:val="0000EE"/>
            <w:u w:val="single"/>
          </w:rPr>
          <w:t>1Pe 2.24</w:t>
        </w:r>
      </w:hyperlink>
      <w:r>
        <w:t xml:space="preserve">; </w:t>
      </w:r>
      <w:hyperlink r:id="rId4290">
        <w:r>
          <w:rPr>
            <w:color w:val="0000EE"/>
            <w:u w:val="single"/>
          </w:rPr>
          <w:t>3.18</w:t>
        </w:r>
      </w:hyperlink>
      <w:r>
        <w:t>)</w:t>
      </w:r>
    </w:p>
    <w:p>
      <w:pPr>
        <w:pStyle w:val="ListBullet"/>
        <w:spacing w:line="240" w:lineRule="auto"/>
        <w:ind w:left="720"/>
      </w:pPr>
      <w:r/>
      <w:r>
        <w:t xml:space="preserve">Paulo (veja </w:t>
      </w:r>
      <w:hyperlink r:id="rId6632">
        <w:r>
          <w:rPr>
            <w:color w:val="0000EE"/>
            <w:u w:val="single"/>
          </w:rPr>
          <w:t>At 13.26–39</w:t>
        </w:r>
      </w:hyperlink>
      <w:r>
        <w:t>)</w:t>
      </w:r>
    </w:p>
    <w:p>
      <w:pPr>
        <w:pStyle w:val="ListBullet"/>
        <w:spacing w:line="240" w:lineRule="auto"/>
        <w:ind w:left="720"/>
      </w:pPr>
      <w:r/>
      <w:r>
        <w:t xml:space="preserve">João (veja </w:t>
      </w:r>
      <w:hyperlink r:id="rId5313">
        <w:r>
          <w:rPr>
            <w:color w:val="0000EE"/>
            <w:u w:val="single"/>
          </w:rPr>
          <w:t>1Jo 1.7</w:t>
        </w:r>
      </w:hyperlink>
      <w:r>
        <w:t xml:space="preserve">; </w:t>
      </w:r>
      <w:hyperlink r:id="rId1202">
        <w:r>
          <w:rPr>
            <w:color w:val="0000EE"/>
            <w:u w:val="single"/>
          </w:rPr>
          <w:t>2.2</w:t>
        </w:r>
      </w:hyperlink>
      <w:r>
        <w:t xml:space="preserve">; </w:t>
      </w:r>
      <w:hyperlink r:id="rId8861">
        <w:r>
          <w:rPr>
            <w:color w:val="0000EE"/>
            <w:u w:val="single"/>
          </w:rPr>
          <w:t>4.10</w:t>
        </w:r>
      </w:hyperlink>
      <w:r>
        <w:t xml:space="preserve">; </w:t>
      </w:r>
      <w:hyperlink r:id="rId9331">
        <w:r>
          <w:rPr>
            <w:color w:val="0000EE"/>
            <w:u w:val="single"/>
          </w:rPr>
          <w:t>Ap 1.5</w:t>
        </w:r>
      </w:hyperlink>
      <w:r>
        <w:t xml:space="preserve">; </w:t>
      </w:r>
      <w:hyperlink r:id="rId16138">
        <w:r>
          <w:rPr>
            <w:color w:val="0000EE"/>
            <w:u w:val="single"/>
          </w:rPr>
          <w:t>5.9</w:t>
        </w:r>
      </w:hyperlink>
      <w:r>
        <w:t>)</w:t>
      </w:r>
    </w:p>
    <w:p>
      <w:pPr>
        <w:pStyle w:val="ListBullet"/>
        <w:spacing w:line="240" w:lineRule="auto"/>
        <w:ind w:left="720"/>
      </w:pPr>
      <w:r/>
      <w:r>
        <w:t>O autor da Carta aos Hebreus (</w:t>
      </w:r>
      <w:hyperlink r:id="rId16139">
        <w:r>
          <w:rPr>
            <w:color w:val="0000EE"/>
            <w:u w:val="single"/>
          </w:rPr>
          <w:t>Hb 2.9,17</w:t>
        </w:r>
      </w:hyperlink>
      <w:r>
        <w:t xml:space="preserve">; </w:t>
      </w:r>
      <w:hyperlink r:id="rId8498">
        <w:r>
          <w:rPr>
            <w:color w:val="0000EE"/>
            <w:u w:val="single"/>
          </w:rPr>
          <w:t>9.28</w:t>
        </w:r>
      </w:hyperlink>
      <w:r>
        <w:t xml:space="preserve">; </w:t>
      </w:r>
      <w:hyperlink r:id="rId874">
        <w:r>
          <w:rPr>
            <w:color w:val="0000EE"/>
            <w:u w:val="single"/>
          </w:rPr>
          <w:t>10.12</w:t>
        </w:r>
      </w:hyperlink>
      <w:r>
        <w:t>)</w:t>
      </w:r>
    </w:p>
    <w:p>
      <w:r/>
      <w:r>
        <w:t>O fato de Jesus ser sem pecado o qualificou para carregar os pecados de todo o mundo. Ele fez o que nenhum ser humano jamais foi capaz, ou será capaz, de fazer. Ele assumiu as consequências e o castigo pelo pecado humano.</w:t>
      </w:r>
      <w:r/>
      <w:r/>
    </w:p>
    <w:p>
      <w:r/>
    </w:p>
    <w:p>
      <w:pPr>
        <w:pStyle w:val="Heading2"/>
      </w:pPr>
      <w:r>
        <w:t>Palavra, Palavra De Deus, Palavras De Deus</w:t>
      </w:r>
      <w:r/>
    </w:p>
    <w:p>
      <w:r/>
      <w:r>
        <w:t>Uma “palavra” é uma expressão que comunica. No nível da comunicação humana, “palavras" geralmente se referem à expressão verbal. Quando Deus “falou” ao longo dos séculos, no entanto, ele se comunicou de várias maneiras (</w:t>
      </w:r>
      <w:hyperlink r:id="rId16140">
        <w:r>
          <w:rPr>
            <w:color w:val="0000EE"/>
            <w:u w:val="single"/>
          </w:rPr>
          <w:t>Hb 1.1</w:t>
        </w:r>
      </w:hyperlink>
      <w:r>
        <w:t>), terminando nesse epítome de toda expressão divina, Jesus Cristo, seu Filho.</w:t>
      </w:r>
    </w:p>
    <w:p>
      <w:pPr>
        <w:pStyle w:val="Heading3"/>
      </w:pPr>
      <w:r>
        <w:t>A importância das palavras</w:t>
      </w:r>
    </w:p>
    <w:p>
      <w:r/>
      <w:r>
        <w:t>Em uma sociedade principalmente não literária, a confiabilidade da palavra falada era muito importante na lei, comércio, religião, casamento e reputação. Recibos, acordos e registros tinham pouca utilidade. A integridade pessoal e a fala sincera eram essenciais para a comunicação e, para a maioria das pessoas, para a autoexpressão e relacionamentos estáveis. As palavras de poetas, profetas, contadores de histórias e instrutores eram cautelosamente preservadas.</w:t>
      </w:r>
    </w:p>
    <w:p>
      <w:r/>
      <w:r>
        <w:t>As palavras eram diligentemente testadas. Palavras tolas, lisonja, engano, palavras de sedução, mentiras, rumor, escândalo e fala blasfema eram todas reconhecidas como malignas. O juramento tinha que ser inviolável nos assuntos mercantil, judiciais e cívicos. A bênção falada tinha poder dentro de si mesma e não poderia ser retirada (</w:t>
      </w:r>
      <w:hyperlink r:id="rId16141">
        <w:r>
          <w:rPr>
            <w:color w:val="0000EE"/>
            <w:u w:val="single"/>
          </w:rPr>
          <w:t>Gn 27.30–38</w:t>
        </w:r>
      </w:hyperlink>
      <w:r>
        <w:t xml:space="preserve">; </w:t>
      </w:r>
      <w:hyperlink r:id="rId16142">
        <w:r>
          <w:rPr>
            <w:color w:val="0000EE"/>
            <w:u w:val="single"/>
          </w:rPr>
          <w:t>Mt 10.12–13</w:t>
        </w:r>
      </w:hyperlink>
      <w:r>
        <w:t>); assim também o voto (</w:t>
      </w:r>
      <w:hyperlink r:id="rId16143">
        <w:r>
          <w:rPr>
            <w:color w:val="0000EE"/>
            <w:u w:val="single"/>
          </w:rPr>
          <w:t>Jz 11.34–35</w:t>
        </w:r>
      </w:hyperlink>
      <w:r>
        <w:t>) e a maldição (</w:t>
      </w:r>
      <w:hyperlink r:id="rId16144">
        <w:r>
          <w:rPr>
            <w:color w:val="0000EE"/>
            <w:u w:val="single"/>
          </w:rPr>
          <w:t>Gn 27.12–13</w:t>
        </w:r>
      </w:hyperlink>
      <w:r>
        <w:t>). Igualmente poderosa era a palavra de comando — de autoridade sacerdotal, judicial ou real (</w:t>
      </w:r>
      <w:hyperlink r:id="rId16145">
        <w:r>
          <w:rPr>
            <w:color w:val="0000EE"/>
            <w:u w:val="single"/>
          </w:rPr>
          <w:t>Ec 8.4</w:t>
        </w:r>
      </w:hyperlink>
      <w:r>
        <w:t>).</w:t>
      </w:r>
    </w:p>
    <w:p>
      <w:r/>
      <w:r>
        <w:t>Esta estimativa de palavras humanas permanece no NT. A palavra revela o eu interior, e assim toda palavra negligente, dolorosa e enganosa será julgada (</w:t>
      </w:r>
      <w:hyperlink r:id="rId16146">
        <w:r>
          <w:rPr>
            <w:color w:val="0000EE"/>
            <w:u w:val="single"/>
          </w:rPr>
          <w:t>Mt 12.34–37</w:t>
        </w:r>
      </w:hyperlink>
      <w:r>
        <w:t xml:space="preserve">; </w:t>
      </w:r>
      <w:hyperlink r:id="rId9801">
        <w:r>
          <w:rPr>
            <w:color w:val="0000EE"/>
            <w:u w:val="single"/>
          </w:rPr>
          <w:t>5.22</w:t>
        </w:r>
      </w:hyperlink>
      <w:r>
        <w:t>), assim como blasfêmia (</w:t>
      </w:r>
      <w:hyperlink r:id="rId16147">
        <w:r>
          <w:rPr>
            <w:color w:val="0000EE"/>
            <w:u w:val="single"/>
          </w:rPr>
          <w:t>Lc 12.10</w:t>
        </w:r>
      </w:hyperlink>
      <w:r>
        <w:t>). Paulo (</w:t>
      </w:r>
      <w:hyperlink r:id="rId16148">
        <w:r>
          <w:rPr>
            <w:color w:val="0000EE"/>
            <w:u w:val="single"/>
          </w:rPr>
          <w:t>Ef 4.29</w:t>
        </w:r>
      </w:hyperlink>
      <w:r>
        <w:t xml:space="preserve">; </w:t>
      </w:r>
      <w:hyperlink r:id="rId16149">
        <w:r>
          <w:rPr>
            <w:color w:val="0000EE"/>
            <w:u w:val="single"/>
          </w:rPr>
          <w:t>5.4</w:t>
        </w:r>
      </w:hyperlink>
      <w:r>
        <w:t>) e Tiago (</w:t>
      </w:r>
      <w:hyperlink r:id="rId16150">
        <w:r>
          <w:rPr>
            <w:color w:val="0000EE"/>
            <w:u w:val="single"/>
          </w:rPr>
          <w:t>Tg 3.1–12</w:t>
        </w:r>
      </w:hyperlink>
      <w:r>
        <w:t>) preservam esta reverência hebraica pela palavra falada.</w:t>
      </w:r>
    </w:p>
    <w:p>
      <w:pPr>
        <w:pStyle w:val="Heading3"/>
      </w:pPr>
      <w:r>
        <w:t>As Palavras de Deus</w:t>
      </w:r>
    </w:p>
    <w:p>
      <w:r/>
      <w:r>
        <w:t>A palavra falada de Deus foi preservada nas Escrituras. Sua palavra veio através dos profetas (</w:t>
      </w:r>
      <w:hyperlink r:id="rId16151">
        <w:r>
          <w:rPr>
            <w:color w:val="0000EE"/>
            <w:u w:val="single"/>
          </w:rPr>
          <w:t>1Rs 12.22</w:t>
        </w:r>
      </w:hyperlink>
      <w:r>
        <w:t xml:space="preserve">; </w:t>
      </w:r>
      <w:hyperlink r:id="rId16152">
        <w:r>
          <w:rPr>
            <w:color w:val="0000EE"/>
            <w:u w:val="single"/>
          </w:rPr>
          <w:t>1Cr 17.3</w:t>
        </w:r>
      </w:hyperlink>
      <w:r>
        <w:t xml:space="preserve">; cf. </w:t>
      </w:r>
      <w:hyperlink r:id="rId1361">
        <w:r>
          <w:rPr>
            <w:color w:val="0000EE"/>
            <w:u w:val="single"/>
          </w:rPr>
          <w:t>Lc 3.2</w:t>
        </w:r>
      </w:hyperlink>
      <w:r>
        <w:t>), que falaram e agiram “pela palavra do Senhor”. Sua palavra também veio na lei, que Deus “falou” no Sinai (</w:t>
      </w:r>
      <w:hyperlink r:id="rId6949">
        <w:r>
          <w:rPr>
            <w:color w:val="0000EE"/>
            <w:u w:val="single"/>
          </w:rPr>
          <w:t>Êx 20.1</w:t>
        </w:r>
      </w:hyperlink>
      <w:r>
        <w:t xml:space="preserve">); portanto, “estatutos”, “mandamentos” e “preceitos” são sinônimos para a “palavra” de Deus (p. ex., </w:t>
      </w:r>
      <w:hyperlink r:id="rId274">
        <w:r>
          <w:rPr>
            <w:color w:val="0000EE"/>
            <w:u w:val="single"/>
          </w:rPr>
          <w:t>Sl 119</w:t>
        </w:r>
      </w:hyperlink>
      <w:r>
        <w:t>).</w:t>
      </w:r>
    </w:p>
    <w:p>
      <w:r/>
      <w:r>
        <w:t>Períodos em que nenhuma comunicação divina veio, foi caracterizada de “fome” (</w:t>
      </w:r>
      <w:hyperlink r:id="rId16153">
        <w:r>
          <w:rPr>
            <w:color w:val="0000EE"/>
            <w:u w:val="single"/>
          </w:rPr>
          <w:t>1Sm 3.1</w:t>
        </w:r>
      </w:hyperlink>
      <w:r>
        <w:t xml:space="preserve">; </w:t>
      </w:r>
      <w:hyperlink r:id="rId16154">
        <w:r>
          <w:rPr>
            <w:color w:val="0000EE"/>
            <w:u w:val="single"/>
          </w:rPr>
          <w:t>Am 8.11</w:t>
        </w:r>
      </w:hyperlink>
      <w:r>
        <w:t>). Misturadas com advertências e injunções estavam promessas divinas. Todas as palavras de Deus eram confiáveis (</w:t>
      </w:r>
      <w:hyperlink r:id="rId16155">
        <w:r>
          <w:rPr>
            <w:color w:val="0000EE"/>
            <w:u w:val="single"/>
          </w:rPr>
          <w:t>Is 31.2</w:t>
        </w:r>
      </w:hyperlink>
      <w:r>
        <w:t>), firmemente fixadas no céu (</w:t>
      </w:r>
      <w:hyperlink r:id="rId16156">
        <w:r>
          <w:rPr>
            <w:color w:val="0000EE"/>
            <w:u w:val="single"/>
          </w:rPr>
          <w:t>Sl 119.89</w:t>
        </w:r>
      </w:hyperlink>
      <w:r>
        <w:t xml:space="preserve">; </w:t>
      </w:r>
      <w:hyperlink r:id="rId16157">
        <w:r>
          <w:rPr>
            <w:color w:val="0000EE"/>
            <w:u w:val="single"/>
          </w:rPr>
          <w:t>Is 40.8</w:t>
        </w:r>
      </w:hyperlink>
      <w:r>
        <w:t>), e apoiadas por juramento divino (</w:t>
      </w:r>
      <w:hyperlink r:id="rId16158">
        <w:r>
          <w:rPr>
            <w:color w:val="0000EE"/>
            <w:u w:val="single"/>
          </w:rPr>
          <w:t>Jr 1.12</w:t>
        </w:r>
      </w:hyperlink>
      <w:r>
        <w:t xml:space="preserve">; </w:t>
      </w:r>
      <w:hyperlink r:id="rId6824">
        <w:r>
          <w:rPr>
            <w:color w:val="0000EE"/>
            <w:u w:val="single"/>
          </w:rPr>
          <w:t>Sl 110.4</w:t>
        </w:r>
      </w:hyperlink>
      <w:r>
        <w:t xml:space="preserve">; </w:t>
      </w:r>
      <w:hyperlink r:id="rId16159">
        <w:r>
          <w:rPr>
            <w:color w:val="0000EE"/>
            <w:u w:val="single"/>
          </w:rPr>
          <w:t>Ez 12.25,28</w:t>
        </w:r>
      </w:hyperlink>
      <w:r>
        <w:t>). Uma palavra, expressando a mente divina, não era ameaçadora ou opressiva; era um prazer, esperança, alegria e proteção contra o pecado (</w:t>
      </w:r>
      <w:hyperlink r:id="rId13051">
        <w:r>
          <w:rPr>
            <w:color w:val="0000EE"/>
            <w:u w:val="single"/>
          </w:rPr>
          <w:t>Sl 1</w:t>
        </w:r>
      </w:hyperlink>
      <w:r>
        <w:t xml:space="preserve">; </w:t>
      </w:r>
      <w:hyperlink r:id="rId274">
        <w:r>
          <w:rPr>
            <w:color w:val="0000EE"/>
            <w:u w:val="single"/>
          </w:rPr>
          <w:t>119</w:t>
        </w:r>
      </w:hyperlink>
      <w:r>
        <w:t xml:space="preserve">; </w:t>
      </w:r>
      <w:hyperlink r:id="rId16160">
        <w:r>
          <w:rPr>
            <w:color w:val="0000EE"/>
            <w:u w:val="single"/>
          </w:rPr>
          <w:t>Jr 15.16</w:t>
        </w:r>
      </w:hyperlink>
      <w:r>
        <w:t>). Os homens podem viver por ela (</w:t>
      </w:r>
      <w:hyperlink r:id="rId341">
        <w:r>
          <w:rPr>
            <w:color w:val="0000EE"/>
            <w:u w:val="single"/>
          </w:rPr>
          <w:t>Dt 8.3</w:t>
        </w:r>
      </w:hyperlink>
      <w:r>
        <w:t xml:space="preserve">; </w:t>
      </w:r>
      <w:hyperlink r:id="rId16161">
        <w:r>
          <w:rPr>
            <w:color w:val="0000EE"/>
            <w:u w:val="single"/>
          </w:rPr>
          <w:t>Mt 4.4</w:t>
        </w:r>
      </w:hyperlink>
      <w:r>
        <w:t>).</w:t>
      </w:r>
    </w:p>
    <w:p>
      <w:r/>
      <w:r>
        <w:t>A palavra de Deus tem poder para realizar sua vontade. Não retornará para ele “vazia”, mas realizará aquilo que ele propõe (</w:t>
      </w:r>
      <w:hyperlink r:id="rId16162">
        <w:r>
          <w:rPr>
            <w:color w:val="0000EE"/>
            <w:u w:val="single"/>
          </w:rPr>
          <w:t>Is 55.11</w:t>
        </w:r>
      </w:hyperlink>
      <w:r>
        <w:t>). Por sua fala somente, Deus criou o mundo, e sua palavra o sustenta (</w:t>
      </w:r>
      <w:hyperlink r:id="rId1452">
        <w:r>
          <w:rPr>
            <w:color w:val="0000EE"/>
            <w:u w:val="single"/>
          </w:rPr>
          <w:t>Gn 1</w:t>
        </w:r>
      </w:hyperlink>
      <w:r>
        <w:t xml:space="preserve">; </w:t>
      </w:r>
      <w:hyperlink r:id="rId10777">
        <w:r>
          <w:rPr>
            <w:color w:val="0000EE"/>
            <w:u w:val="single"/>
          </w:rPr>
          <w:t>Sl 33.6</w:t>
        </w:r>
      </w:hyperlink>
      <w:r>
        <w:t xml:space="preserve">; cf. </w:t>
      </w:r>
      <w:hyperlink r:id="rId8114">
        <w:r>
          <w:rPr>
            <w:color w:val="0000EE"/>
            <w:u w:val="single"/>
          </w:rPr>
          <w:t>Hb 1.2</w:t>
        </w:r>
      </w:hyperlink>
      <w:r>
        <w:t xml:space="preserve">; </w:t>
      </w:r>
      <w:hyperlink r:id="rId6078">
        <w:r>
          <w:rPr>
            <w:color w:val="0000EE"/>
            <w:u w:val="single"/>
          </w:rPr>
          <w:t>11.3</w:t>
        </w:r>
      </w:hyperlink>
      <w:r>
        <w:t xml:space="preserve">; </w:t>
      </w:r>
      <w:hyperlink r:id="rId592">
        <w:r>
          <w:rPr>
            <w:color w:val="0000EE"/>
            <w:u w:val="single"/>
          </w:rPr>
          <w:t>2Pe 3.5</w:t>
        </w:r>
      </w:hyperlink>
      <w:r>
        <w:t>). Eventualmente, esta revelação divina foi colocada em escrita, o que torna a Bíblia também “a palavra de Deus” (</w:t>
      </w:r>
      <w:hyperlink r:id="rId9115">
        <w:r>
          <w:rPr>
            <w:color w:val="0000EE"/>
            <w:u w:val="single"/>
          </w:rPr>
          <w:t>Mc 7.13</w:t>
        </w:r>
      </w:hyperlink>
      <w:r>
        <w:t xml:space="preserve">; cf. </w:t>
      </w:r>
      <w:hyperlink r:id="rId16163">
        <w:r>
          <w:rPr>
            <w:color w:val="0000EE"/>
            <w:u w:val="single"/>
          </w:rPr>
          <w:t>Lc 16.29–31</w:t>
        </w:r>
      </w:hyperlink>
      <w:r>
        <w:t xml:space="preserve">; </w:t>
      </w:r>
      <w:hyperlink r:id="rId14313">
        <w:r>
          <w:rPr>
            <w:color w:val="0000EE"/>
            <w:u w:val="single"/>
          </w:rPr>
          <w:t>Jo 5.39</w:t>
        </w:r>
      </w:hyperlink>
      <w:r>
        <w:t>).</w:t>
      </w:r>
    </w:p>
    <w:p>
      <w:r/>
      <w:r>
        <w:t>Jesus falou a palavra de Deus. Ele era “poderoso em palavra” (</w:t>
      </w:r>
      <w:hyperlink r:id="rId15108">
        <w:r>
          <w:rPr>
            <w:color w:val="0000EE"/>
            <w:u w:val="single"/>
          </w:rPr>
          <w:t>Lc 24.19</w:t>
        </w:r>
      </w:hyperlink>
      <w:r>
        <w:t>); ele ensinava com autoridade (</w:t>
      </w:r>
      <w:hyperlink r:id="rId14350">
        <w:r>
          <w:rPr>
            <w:color w:val="0000EE"/>
            <w:u w:val="single"/>
          </w:rPr>
          <w:t>Mc 1.22,27</w:t>
        </w:r>
      </w:hyperlink>
      <w:r>
        <w:t>), exercendo poder sobre o mar, doenças, demônios e morte (</w:t>
      </w:r>
      <w:hyperlink r:id="rId12641">
        <w:r>
          <w:rPr>
            <w:color w:val="0000EE"/>
            <w:u w:val="single"/>
          </w:rPr>
          <w:t>Mt 8.8,13</w:t>
        </w:r>
      </w:hyperlink>
      <w:r>
        <w:t>). Sua “palavra do reino” é a semente viva, que, plantada no bom solo dos corações receptivos, produz fruto para Deus (</w:t>
      </w:r>
      <w:hyperlink r:id="rId16164">
        <w:r>
          <w:rPr>
            <w:color w:val="0000EE"/>
            <w:u w:val="single"/>
          </w:rPr>
          <w:t>Mt 13.19</w:t>
        </w:r>
      </w:hyperlink>
      <w:r>
        <w:t xml:space="preserve">; </w:t>
      </w:r>
      <w:hyperlink r:id="rId16165">
        <w:r>
          <w:rPr>
            <w:color w:val="0000EE"/>
            <w:u w:val="single"/>
          </w:rPr>
          <w:t>Mc 4.14</w:t>
        </w:r>
      </w:hyperlink>
      <w:r>
        <w:t>). A palavra que Cristo dá aos seus discípulos os purifica e os liberta (</w:t>
      </w:r>
      <w:hyperlink r:id="rId12423">
        <w:r>
          <w:rPr>
            <w:color w:val="0000EE"/>
            <w:u w:val="single"/>
          </w:rPr>
          <w:t>Jo 8.31</w:t>
        </w:r>
      </w:hyperlink>
      <w:r>
        <w:t xml:space="preserve">; </w:t>
      </w:r>
      <w:hyperlink r:id="rId16166">
        <w:r>
          <w:rPr>
            <w:color w:val="0000EE"/>
            <w:u w:val="single"/>
          </w:rPr>
          <w:t>12.48</w:t>
        </w:r>
      </w:hyperlink>
      <w:r>
        <w:t xml:space="preserve">; </w:t>
      </w:r>
      <w:hyperlink r:id="rId16167">
        <w:r>
          <w:rPr>
            <w:color w:val="0000EE"/>
            <w:u w:val="single"/>
          </w:rPr>
          <w:t>15.3</w:t>
        </w:r>
      </w:hyperlink>
      <w:r>
        <w:t xml:space="preserve">; </w:t>
      </w:r>
      <w:hyperlink r:id="rId16168">
        <w:r>
          <w:rPr>
            <w:color w:val="0000EE"/>
            <w:u w:val="single"/>
          </w:rPr>
          <w:t>17.14</w:t>
        </w:r>
      </w:hyperlink>
      <w:r>
        <w:t>). A palavra de fé que a igreja prega (</w:t>
      </w:r>
      <w:hyperlink r:id="rId16169">
        <w:r>
          <w:rPr>
            <w:color w:val="0000EE"/>
            <w:u w:val="single"/>
          </w:rPr>
          <w:t>Rm 10.8–9,17</w:t>
        </w:r>
      </w:hyperlink>
      <w:r>
        <w:t>) é descrita de várias maneiras como a palavra de salvação, a palavra da graça, a palavra de reconciliação, a palavra do evangelho, a palavra de justiça e a palavra da vida.</w:t>
      </w:r>
    </w:p>
    <w:p>
      <w:pPr>
        <w:pStyle w:val="Heading3"/>
      </w:pPr>
      <w:r>
        <w:t>A Palavra de Deus</w:t>
      </w:r>
    </w:p>
    <w:p>
      <w:r/>
      <w:r>
        <w:t xml:space="preserve">Deliberadamente lembrando de </w:t>
      </w:r>
      <w:hyperlink r:id="rId1452">
        <w:r>
          <w:rPr>
            <w:color w:val="0000EE"/>
            <w:u w:val="single"/>
          </w:rPr>
          <w:t>Gênesis 1</w:t>
        </w:r>
      </w:hyperlink>
      <w:r>
        <w:t xml:space="preserve">, o escritor do Evangelho, João, chamou o Filho de Deus de “a Palavra”. Como a Palavra, o Filho de Deus transmite e comunica plenamente a Deus. O termo grego é </w:t>
      </w:r>
      <w:r>
        <w:rPr>
          <w:i/>
        </w:rPr>
        <w:t>logos</w:t>
      </w:r>
      <w:r>
        <w:t>; era usado de duas maneiras pelos gregos. A palavra pode ser pensada como permanecendo dentro de uma pessoa, quando denotava seu pensamento ou razão. Ou pode se referir à palavra que sai de uma pessoa, quando denotava a expressão de seu pensamento, isto é, fala. Como um termo filosófico, o logos denotava o princípio do universo, até mesmo a energia criativa que gerou o universo. Tanto na concepção judaica quanto no grego, o logos estava associado com a ideia de começos — o mundo começou através da originação e instrumentalidade da Palavra (</w:t>
      </w:r>
      <w:hyperlink r:id="rId16170">
        <w:r>
          <w:rPr>
            <w:color w:val="0000EE"/>
            <w:u w:val="single"/>
          </w:rPr>
          <w:t>Gn 1.3ss</w:t>
        </w:r>
      </w:hyperlink>
      <w:r>
        <w:t>., onde a expressão “Deus disse” é usada repetidamente). João pode ter tido essas ideias em mente, mas provavelmente ele originou um novo termo para identificar o Filho de Deus como a expressão divina em forma humana (</w:t>
      </w:r>
      <w:hyperlink r:id="rId3743">
        <w:r>
          <w:rPr>
            <w:color w:val="0000EE"/>
            <w:u w:val="single"/>
          </w:rPr>
          <w:t>Jo 1.14</w:t>
        </w:r>
      </w:hyperlink>
      <w:r>
        <w:t>). Ele é a imagem do Deus invisível (</w:t>
      </w:r>
      <w:hyperlink r:id="rId10904">
        <w:r>
          <w:rPr>
            <w:color w:val="0000EE"/>
            <w:u w:val="single"/>
          </w:rPr>
          <w:t>Cl 1.15</w:t>
        </w:r>
      </w:hyperlink>
      <w:r>
        <w:t>), a imagem expressa da substância de Deus (</w:t>
      </w:r>
      <w:hyperlink r:id="rId2666">
        <w:r>
          <w:rPr>
            <w:color w:val="0000EE"/>
            <w:u w:val="single"/>
          </w:rPr>
          <w:t>Hb 1.3</w:t>
        </w:r>
      </w:hyperlink>
      <w:r>
        <w:t>). Na Divindade, o Filho funciona como o revelador de Deus e a realidade de Deus, que é um tema central em todo o Evangelho de João. João usou um título semelhante em sua primeira epístola: “a Palavra da vida” (</w:t>
      </w:r>
      <w:hyperlink r:id="rId8041">
        <w:r>
          <w:rPr>
            <w:color w:val="0000EE"/>
            <w:u w:val="single"/>
          </w:rPr>
          <w:t>1Jo 1.1–3</w:t>
        </w:r>
      </w:hyperlink>
      <w:r>
        <w:t xml:space="preserve">). E em </w:t>
      </w:r>
      <w:hyperlink r:id="rId1735">
        <w:r>
          <w:rPr>
            <w:color w:val="0000EE"/>
            <w:u w:val="single"/>
          </w:rPr>
          <w:t>Apocalipse 19.11–16</w:t>
        </w:r>
      </w:hyperlink>
      <w:r>
        <w:t>, Jesus é apresentado como o Rei dos reis e Senhor dos senhores, que tem um nome nele: “a Palavra de Deus”.</w:t>
      </w:r>
    </w:p>
    <w:p>
      <w:r/>
      <w:r>
        <w:rPr>
          <w:i/>
        </w:rPr>
        <w:t>Ver também</w:t>
      </w:r>
      <w:r>
        <w:t xml:space="preserve"> </w:t>
      </w:r>
      <w:r>
        <w:t>Bíblia</w:t>
      </w:r>
      <w:r>
        <w:t xml:space="preserve">; </w:t>
      </w:r>
      <w:r>
        <w:t>João, Evangelho de</w:t>
      </w:r>
      <w:r>
        <w:t xml:space="preserve">; </w:t>
      </w:r>
      <w:r>
        <w:t>Logos</w:t>
      </w:r>
      <w:r>
        <w:t xml:space="preserve">; </w:t>
      </w:r>
      <w:r>
        <w:t>Apocalipse</w:t>
      </w:r>
      <w:r>
        <w:t>.</w:t>
      </w:r>
      <w:r/>
      <w:r/>
    </w:p>
    <w:p>
      <w:r/>
    </w:p>
    <w:p>
      <w:pPr>
        <w:pStyle w:val="Heading2"/>
      </w:pPr>
      <w:r>
        <w:t>Palestina</w:t>
      </w:r>
      <w:r/>
    </w:p>
    <w:p>
      <w:r/>
      <w:r>
        <w:t xml:space="preserve">Palavra presente em algumas traduções, como a KJV, para se referir a um país localizado ao longo da costa sudoeste de Canaã, em </w:t>
      </w:r>
      <w:hyperlink r:id="rId16171">
        <w:r>
          <w:rPr>
            <w:color w:val="0000EE"/>
            <w:u w:val="single"/>
          </w:rPr>
          <w:t>Êxodo 15.14</w:t>
        </w:r>
      </w:hyperlink>
      <w:r>
        <w:t xml:space="preserve"> e </w:t>
      </w:r>
      <w:hyperlink r:id="rId16172">
        <w:r>
          <w:rPr>
            <w:color w:val="0000EE"/>
            <w:u w:val="single"/>
          </w:rPr>
          <w:t>Isaías 14.29–31</w:t>
        </w:r>
      </w:hyperlink>
      <w:r>
        <w:t>.</w:t>
      </w:r>
    </w:p>
    <w:p>
      <w:r/>
      <w:r>
        <w:rPr>
          <w:i/>
        </w:rPr>
        <w:t>Veja</w:t>
      </w:r>
      <w:r>
        <w:t xml:space="preserve"> </w:t>
      </w:r>
      <w:r>
        <w:t>Filístia, filisteus</w:t>
      </w:r>
      <w:r>
        <w:t>.</w:t>
      </w:r>
      <w:r/>
      <w:r/>
    </w:p>
    <w:p>
      <w:r/>
    </w:p>
    <w:p>
      <w:pPr>
        <w:pStyle w:val="Heading2"/>
      </w:pPr>
      <w:r>
        <w:t>Palestina</w:t>
      </w:r>
      <w:r/>
    </w:p>
    <w:p>
      <w:r/>
      <w:r>
        <w:t>Um país na costa leste do Mar Mediterrâneo, também conhecido como Canaã e Israel nos tempos antigos.</w:t>
      </w:r>
    </w:p>
    <w:p>
      <w:r/>
      <w:r>
        <w:t>A Palestina está na extremidade ocidental de uma faixa curva de terras agrícolas férteis chamada "Crescente Fértil". Esta terra fértil se estendia do Golfo Pérsico, passando pela Mesopotâmia e Síria, até o Egito. O solo lá era excelente para o cultivo de plantas.</w:t>
      </w:r>
    </w:p>
    <w:p>
      <w:r/>
      <w:r>
        <w:t>A localização da Palestina a tornava extremamente importante nos tempos antigos. Ela servia como uma ponte natural de terra entre dois grandes centros culturais antigos: Mesopotâmia e Egito. Além disso, conectava os continentes da Ásia, África e Europa.</w:t>
      </w:r>
    </w:p>
    <w:p>
      <w:r/>
      <w:r>
        <w:t>Muitas rotas comerciais passavam pela Palestina. Comerciantes usavam essas rotas para transportar mercadorias de lugares distantes, como o norte da Europa, Índia e sul do Egito. Essas mesmas estradas foram posteriormente usadas por exércitos que queriam conquistar a região e sua riqueza.</w:t>
      </w:r>
    </w:p>
    <w:p>
      <w:r/>
      <w:r>
        <w:t>Esta terra foi muito importante na história religiosa. De acordo com a Bíblia, Deus prometeu esta terra a Abraão e seus descendentes. Tornou-se a pátria do povo judeu, e muitos eventos bíblicos ocorreram lá. Hoje, a Palestina é sagrada para três grandes religiões mundiais: judaísmo, cristianismo e islamismo.</w:t>
      </w:r>
    </w:p>
    <w:p>
      <w:r/>
      <w:r>
        <w:t>A Palestina possui muitos tipos diferentes de terra e clima em uma pequena área. Em apenas 241,4 quilômetros, é possível encontrar quase todos os tipos de ambiente na Terra:</w:t>
      </w:r>
    </w:p>
    <w:p>
      <w:pPr>
        <w:pStyle w:val="ListBullet"/>
        <w:spacing w:line="240" w:lineRule="auto"/>
        <w:ind w:left="720"/>
      </w:pPr>
      <w:r/>
      <w:r>
        <w:t>Planícies férteis adequadas para a agricultura</w:t>
      </w:r>
    </w:p>
    <w:p>
      <w:pPr>
        <w:pStyle w:val="ListBullet"/>
        <w:spacing w:line="240" w:lineRule="auto"/>
        <w:ind w:left="720"/>
      </w:pPr>
      <w:r/>
      <w:r>
        <w:t>Desertos de areia</w:t>
      </w:r>
    </w:p>
    <w:p>
      <w:pPr>
        <w:pStyle w:val="ListBullet"/>
        <w:spacing w:line="240" w:lineRule="auto"/>
        <w:ind w:left="720"/>
      </w:pPr>
      <w:r/>
      <w:r>
        <w:t>Áreas de rochas</w:t>
      </w:r>
    </w:p>
    <w:p>
      <w:pPr>
        <w:pStyle w:val="ListBullet"/>
        <w:spacing w:line="240" w:lineRule="auto"/>
        <w:ind w:left="720"/>
      </w:pPr>
      <w:r/>
      <w:r>
        <w:t>Florestas</w:t>
      </w:r>
    </w:p>
    <w:p>
      <w:pPr>
        <w:pStyle w:val="ListBullet"/>
        <w:spacing w:line="240" w:lineRule="auto"/>
        <w:ind w:left="720"/>
      </w:pPr>
      <w:r/>
      <w:r>
        <w:t>Montanhas</w:t>
      </w:r>
    </w:p>
    <w:p>
      <w:pPr>
        <w:pStyle w:val="ListBullet"/>
        <w:spacing w:line="240" w:lineRule="auto"/>
        <w:ind w:left="720"/>
      </w:pPr>
      <w:r/>
      <w:r>
        <w:t>Lagos</w:t>
      </w:r>
    </w:p>
    <w:p>
      <w:pPr>
        <w:pStyle w:val="ListBullet"/>
        <w:spacing w:line="240" w:lineRule="auto"/>
        <w:ind w:left="720"/>
      </w:pPr>
      <w:r/>
      <w:r>
        <w:t>Rios</w:t>
      </w:r>
    </w:p>
    <w:p>
      <w:r/>
      <w:r>
        <w:t>Esses diferentes ambientes criam fortes contrastes. No norte, o Monte Hermom é tão alto (2.773,7 metros) que sempre tem neve em seu pico. Cerca de 160,9 quilômetros de distância, o Mar Morto está em um vale quente. Este é o ponto mais baixo na superfície da Terra.</w:t>
      </w:r>
    </w:p>
    <w:p>
      <w:pPr>
        <w:pStyle w:val="Heading3"/>
      </w:pPr>
      <w:r>
        <w:t>Resumo</w:t>
      </w:r>
    </w:p>
    <w:p>
      <w:r/>
      <w:r>
        <w:t>• Nome</w:t>
      </w:r>
    </w:p>
    <w:p>
      <w:r/>
      <w:r>
        <w:t>• Território</w:t>
      </w:r>
    </w:p>
    <w:p>
      <w:r/>
      <w:r>
        <w:t>• Clima</w:t>
      </w:r>
    </w:p>
    <w:p>
      <w:r/>
      <w:r>
        <w:t>• Geografia</w:t>
      </w:r>
    </w:p>
    <w:p>
      <w:pPr>
        <w:pStyle w:val="Heading3"/>
      </w:pPr>
      <w:r>
        <w:t>Nome</w:t>
      </w:r>
    </w:p>
    <w:p>
      <w:r/>
      <w:r>
        <w:t>Esta terra teve muitos nomes diferentes ao longo de sua história. A maioria dos comerciantes estrangeiros conheceu a área pela primeira vez através de sua região costeira. Provavelmente é por isso que toda a terra foi inicialmente chamada de Canaã e, mais tarde, Palestina (nomeada em homenagem a uma região chamada Filístia).</w:t>
      </w:r>
    </w:p>
    <w:p>
      <w:r/>
      <w:r>
        <w:t>De acordo com o registro bíblico dos povos antigos (a Tabela das Nações), a terra de Canaã se estendia de Sidom no norte até Gerar e Gaza no sul e leste até as Cidades da Planície (</w:t>
      </w:r>
      <w:hyperlink r:id="rId382">
        <w:r>
          <w:rPr>
            <w:color w:val="0000EE"/>
            <w:u w:val="single"/>
          </w:rPr>
          <w:t>Gn 10.19</w:t>
        </w:r>
      </w:hyperlink>
      <w:r>
        <w:t xml:space="preserve">). A primeira vez que a Bíblia usa "Canaã" como nome para esta região é em </w:t>
      </w:r>
      <w:hyperlink r:id="rId160">
        <w:r>
          <w:rPr>
            <w:color w:val="0000EE"/>
            <w:u w:val="single"/>
          </w:rPr>
          <w:t>Gênesis 11.31</w:t>
        </w:r>
      </w:hyperlink>
      <w:r>
        <w:t>.</w:t>
      </w:r>
    </w:p>
    <w:p>
      <w:r/>
      <w:r>
        <w:t>Depois que os israelitas tomaram o controle de Canaã, as pessoas começaram a chamá-la de terra de Israel (</w:t>
      </w:r>
      <w:hyperlink r:id="rId4191">
        <w:r>
          <w:rPr>
            <w:color w:val="0000EE"/>
            <w:u w:val="single"/>
          </w:rPr>
          <w:t>1Sm 13.19</w:t>
        </w:r>
      </w:hyperlink>
      <w:r>
        <w:t xml:space="preserve">; </w:t>
      </w:r>
      <w:hyperlink r:id="rId16173">
        <w:r>
          <w:rPr>
            <w:color w:val="0000EE"/>
            <w:u w:val="single"/>
          </w:rPr>
          <w:t>1Cr 22.2</w:t>
        </w:r>
      </w:hyperlink>
      <w:r>
        <w:t>). Então, por volta de 930 a.C., durante o reinado do Rei Roboão, a terra se dividiu em dois reinos:</w:t>
      </w:r>
    </w:p>
    <w:p>
      <w:pPr>
        <w:pStyle w:val="ListBullet"/>
        <w:spacing w:line="240" w:lineRule="auto"/>
        <w:ind w:left="720"/>
      </w:pPr>
      <w:r/>
      <w:r>
        <w:t>O reino do norte manteve o nome de Israel.</w:t>
      </w:r>
    </w:p>
    <w:p>
      <w:pPr>
        <w:pStyle w:val="ListBullet"/>
        <w:spacing w:line="240" w:lineRule="auto"/>
        <w:ind w:left="720"/>
      </w:pPr>
      <w:r/>
      <w:r>
        <w:t>O reino do sul era chamado Judá (mais tarde conhecido como Judeia).</w:t>
      </w:r>
    </w:p>
    <w:p>
      <w:pPr>
        <w:pStyle w:val="Heading3"/>
      </w:pPr>
      <w:r>
        <w:t>Território</w:t>
      </w:r>
    </w:p>
    <w:p>
      <w:r/>
      <w:r>
        <w:t>A Bíblia descreve pela primeira vez o tamanho da Palestina na promessa de Deus a Abraão e seus descendentes (</w:t>
      </w:r>
      <w:hyperlink r:id="rId4175">
        <w:r>
          <w:rPr>
            <w:color w:val="0000EE"/>
            <w:u w:val="single"/>
          </w:rPr>
          <w:t>Gn 15.18–21</w:t>
        </w:r>
      </w:hyperlink>
      <w:r>
        <w:t>). As fronteiras se estendiam do Rio do Egito (Wadi el-Arish) no sudoeste até o Rio Eufrates no nordeste. Esta área era o lar de dez grupos de pessoas:</w:t>
      </w:r>
    </w:p>
    <w:p>
      <w:pPr>
        <w:pStyle w:val="ListNumber"/>
        <w:spacing w:line="240" w:lineRule="auto"/>
        <w:ind w:left="720"/>
      </w:pPr>
      <w:r/>
      <w:r>
        <w:t>Queneus</w:t>
      </w:r>
    </w:p>
    <w:p>
      <w:pPr>
        <w:pStyle w:val="ListNumber"/>
        <w:spacing w:line="240" w:lineRule="auto"/>
        <w:ind w:left="720"/>
      </w:pPr>
      <w:r/>
      <w:r>
        <w:t>Quenezeus</w:t>
      </w:r>
    </w:p>
    <w:p>
      <w:pPr>
        <w:pStyle w:val="ListNumber"/>
        <w:spacing w:line="240" w:lineRule="auto"/>
        <w:ind w:left="720"/>
      </w:pPr>
      <w:r/>
      <w:r>
        <w:t>Cadmonitas</w:t>
      </w:r>
    </w:p>
    <w:p>
      <w:pPr>
        <w:pStyle w:val="ListNumber"/>
        <w:spacing w:line="240" w:lineRule="auto"/>
        <w:ind w:left="720"/>
      </w:pPr>
      <w:r/>
      <w:r>
        <w:t>Hititas</w:t>
      </w:r>
    </w:p>
    <w:p>
      <w:pPr>
        <w:pStyle w:val="ListNumber"/>
        <w:spacing w:line="240" w:lineRule="auto"/>
        <w:ind w:left="720"/>
      </w:pPr>
      <w:r/>
      <w:r>
        <w:t>Perizeus</w:t>
      </w:r>
    </w:p>
    <w:p>
      <w:pPr>
        <w:pStyle w:val="ListNumber"/>
        <w:spacing w:line="240" w:lineRule="auto"/>
        <w:ind w:left="720"/>
      </w:pPr>
      <w:r/>
      <w:r>
        <w:t>Refains</w:t>
      </w:r>
    </w:p>
    <w:p>
      <w:pPr>
        <w:pStyle w:val="ListNumber"/>
        <w:spacing w:line="240" w:lineRule="auto"/>
        <w:ind w:left="720"/>
      </w:pPr>
      <w:r/>
      <w:r>
        <w:t>Os amorreus</w:t>
      </w:r>
    </w:p>
    <w:p>
      <w:pPr>
        <w:pStyle w:val="ListNumber"/>
        <w:spacing w:line="240" w:lineRule="auto"/>
        <w:ind w:left="720"/>
      </w:pPr>
      <w:r/>
      <w:r>
        <w:t>Cananeus</w:t>
      </w:r>
    </w:p>
    <w:p>
      <w:pPr>
        <w:pStyle w:val="ListNumber"/>
        <w:spacing w:line="240" w:lineRule="auto"/>
        <w:ind w:left="720"/>
      </w:pPr>
      <w:r/>
      <w:r>
        <w:t>Girgaseus</w:t>
      </w:r>
    </w:p>
    <w:p>
      <w:pPr>
        <w:pStyle w:val="ListNumber"/>
        <w:spacing w:line="240" w:lineRule="auto"/>
        <w:ind w:left="720"/>
      </w:pPr>
      <w:r/>
      <w:r>
        <w:t>Jebuseus.</w:t>
      </w:r>
    </w:p>
    <w:p>
      <w:r/>
      <w:r>
        <w:t xml:space="preserve">Em </w:t>
      </w:r>
      <w:hyperlink r:id="rId4949">
        <w:r>
          <w:rPr>
            <w:color w:val="0000EE"/>
            <w:u w:val="single"/>
          </w:rPr>
          <w:t>Gênesis 17.8</w:t>
        </w:r>
      </w:hyperlink>
      <w:r>
        <w:t>, toda a área é simplesmente chamada de "toda a terra de Canaã".</w:t>
      </w:r>
    </w:p>
    <w:p>
      <w:r/>
      <w:r>
        <w:t>Deus deu a Moisés instruções mais específicas sobre as fronteiras da terra onde Israel viveria (</w:t>
      </w:r>
      <w:hyperlink r:id="rId16174">
        <w:r>
          <w:rPr>
            <w:color w:val="0000EE"/>
            <w:u w:val="single"/>
          </w:rPr>
          <w:t>Nm 34.1–12</w:t>
        </w:r>
      </w:hyperlink>
      <w:r>
        <w:t>). A fronteira sul se estendia desde o Rio do Egito, ao sul de Cades-Barneia, e seguia pelo deserto de Zin até a ponta sul do Mar Morto. A fronteira oeste era o Mar Mediterrâneo. A fronteira norte ficava perto da entrada de Hamate, e o Rio Jordão e o Mar Morto marcavam a fronteira leste.</w:t>
      </w:r>
    </w:p>
    <w:p>
      <w:r/>
      <w:r>
        <w:t xml:space="preserve">A maior área que a Terra Prometida já ocupou é descrita em </w:t>
      </w:r>
      <w:hyperlink r:id="rId13858">
        <w:r>
          <w:rPr>
            <w:color w:val="0000EE"/>
            <w:u w:val="single"/>
          </w:rPr>
          <w:t>Êxodo 23.31</w:t>
        </w:r>
      </w:hyperlink>
      <w:r>
        <w:t>. Deus disse a Moisés que estabeleceria as fronteiras de Israel do Mar Vermelho ao Mar Mediterrâneo e do deserto ao Rio Eufrates.</w:t>
      </w:r>
    </w:p>
    <w:p>
      <w:r/>
      <w:r>
        <w:t>Durante o período inicial em que os juízes lideravam Israel, e mais tarde quando Saul era rei, os israelitas não controlavam toda a terra que havia sido dada às suas tribos sob a liderança de Josué. Isso mudou durante o reinado de dois reis posteriores, Davi e Salomão.</w:t>
      </w:r>
    </w:p>
    <w:p>
      <w:r/>
      <w:r>
        <w:t>O Rei Davi usou o poder militar para expandir as fronteiras de Israel. Ele derrotou o Rei Hadadezer de Zobá, estendendo a fronteira norte até o Rio Eufrates. Ele venceu batalhas contra a Síria, Amom, Moabe, Edom e Amaleque. Davi ampliou o reino para o leste e sul (</w:t>
      </w:r>
      <w:hyperlink r:id="rId16175">
        <w:r>
          <w:rPr>
            <w:color w:val="0000EE"/>
            <w:u w:val="single"/>
          </w:rPr>
          <w:t>2Sm 8.1–14</w:t>
        </w:r>
      </w:hyperlink>
      <w:r>
        <w:t xml:space="preserve">; </w:t>
      </w:r>
      <w:hyperlink r:id="rId16176">
        <w:r>
          <w:rPr>
            <w:color w:val="0000EE"/>
            <w:u w:val="single"/>
          </w:rPr>
          <w:t>1Cr 18.1–13</w:t>
        </w:r>
      </w:hyperlink>
      <w:r>
        <w:t>).</w:t>
      </w:r>
    </w:p>
    <w:p>
      <w:r/>
      <w:r>
        <w:t>O Rei Salomão utilizou diplomacia pacífica para manter e expandir o reino. Ele possuía navios de comércio em Eziom-Geber, no Golfo de Ácaba, e iniciou operações de mineração de cobre naquela região.</w:t>
      </w:r>
    </w:p>
    <w:p>
      <w:pPr>
        <w:pStyle w:val="Heading3"/>
      </w:pPr>
      <w:r>
        <w:t>Clima</w:t>
      </w:r>
    </w:p>
    <w:p>
      <w:r/>
      <w:r>
        <w:t>A Palestina possui muitos tipos diferentes de clima em uma área pequena. Ela tem mais tipos de clima do que qualquer outro lugar de tamanho similar no mundo. O clima é geralmente ameno, mas varia em diferentes partes do país.</w:t>
      </w:r>
    </w:p>
    <w:p>
      <w:r/>
      <w:r>
        <w:t>Em Jerusalém, as temperaturas podem variar de -3,3°C a 41,6°C. A área recebe cerca de 50,8 centímetros de chuva por ano. A planície costeira é mais quente e úmida durante todo o ano. Na cidade de Jope, a temperatura média é de 19,4°C. O Vale do Jordão, perto do Mar Morto, é subtropical, com temperaturas de verão chegando a até 48,8°C.</w:t>
      </w:r>
    </w:p>
    <w:p>
      <w:r/>
      <w:r>
        <w:t>A precipitação é sazonal, com a maior parte da chuva caindo durante os meses mais frios, de outubro a abril. O resto do ano é geralmente seco. Isso acontece porque ventos úmidos sopram do oeste. Quando esses ventos chegam à terra mais fria, eles liberam sua umidade como chuva. Ventos úmidos do oeste trazem chuva sobre a terra mais fria, semelhante ao efeito de neve "lake effect" visto perto dos Grandes Lagos nos Estados Unidos. A Bíblia menciona dois períodos chuvosos (</w:t>
      </w:r>
      <w:hyperlink r:id="rId4839">
        <w:r>
          <w:rPr>
            <w:color w:val="0000EE"/>
            <w:u w:val="single"/>
          </w:rPr>
          <w:t>Jr 5.24</w:t>
        </w:r>
      </w:hyperlink>
      <w:r>
        <w:t xml:space="preserve">; </w:t>
      </w:r>
      <w:hyperlink r:id="rId4846">
        <w:r>
          <w:rPr>
            <w:color w:val="0000EE"/>
            <w:u w:val="single"/>
          </w:rPr>
          <w:t>Jl 2.23</w:t>
        </w:r>
      </w:hyperlink>
      <w:r>
        <w:t>):</w:t>
      </w:r>
    </w:p>
    <w:p>
      <w:pPr>
        <w:pStyle w:val="ListBullet"/>
        <w:spacing w:line="240" w:lineRule="auto"/>
        <w:ind w:left="720"/>
      </w:pPr>
      <w:r/>
      <w:r>
        <w:t>A "chuva anterior" ocorre em outubro e novembro</w:t>
      </w:r>
    </w:p>
    <w:p>
      <w:pPr>
        <w:pStyle w:val="ListBullet"/>
        <w:spacing w:line="240" w:lineRule="auto"/>
        <w:ind w:left="720"/>
      </w:pPr>
      <w:r/>
      <w:r>
        <w:t>A "chuva tardia" ocorre de março a abril</w:t>
      </w:r>
    </w:p>
    <w:p>
      <w:r/>
      <w:r>
        <w:t>Diferentes áreas recebem quantidades variadas de chuva a cada ano. A área costeira recebe aproximadamente 71,1 centímetros de chuva anualmente. A média geral do país varia de 55,9 a 70 centímetros.</w:t>
      </w:r>
    </w:p>
    <w:p>
      <w:pPr>
        <w:pStyle w:val="Heading3"/>
      </w:pPr>
      <w:r>
        <w:t>Geografia</w:t>
      </w:r>
    </w:p>
    <w:p>
      <w:r/>
      <w:r>
        <w:t>A Palestina pode ser dividida em cinco regiões principais que se estendem de norte a sul:</w:t>
      </w:r>
    </w:p>
    <w:p>
      <w:pPr>
        <w:pStyle w:val="ListNumber"/>
        <w:spacing w:line="240" w:lineRule="auto"/>
        <w:ind w:left="720"/>
      </w:pPr>
      <w:r/>
      <w:r>
        <w:t>A Planície Marítima ou Costeira é a terra ao longo do Mar Mediterrâneo</w:t>
      </w:r>
    </w:p>
    <w:p>
      <w:pPr>
        <w:pStyle w:val="ListNumber"/>
        <w:spacing w:line="240" w:lineRule="auto"/>
        <w:ind w:left="720"/>
      </w:pPr>
      <w:r/>
      <w:r>
        <w:t>A Sefelá, uma região de colinas baixas</w:t>
      </w:r>
    </w:p>
    <w:p>
      <w:pPr>
        <w:pStyle w:val="ListNumber"/>
        <w:spacing w:line="240" w:lineRule="auto"/>
        <w:ind w:left="720"/>
      </w:pPr>
      <w:r/>
      <w:r>
        <w:t>O Planalto Ocidental ou Região Montanhosa é um alto planalto de montanhas e colinas</w:t>
      </w:r>
    </w:p>
    <w:p>
      <w:pPr>
        <w:pStyle w:val="ListNumber"/>
        <w:spacing w:line="240" w:lineRule="auto"/>
        <w:ind w:left="720"/>
      </w:pPr>
      <w:r/>
      <w:r>
        <w:t>O Vale do Jordão, um vale profundo (também chamado de Arabá)</w:t>
      </w:r>
    </w:p>
    <w:p>
      <w:pPr>
        <w:pStyle w:val="ListNumber"/>
        <w:spacing w:line="240" w:lineRule="auto"/>
        <w:ind w:left="720"/>
      </w:pPr>
      <w:r/>
      <w:r>
        <w:t>O Planalto Oriental, a terra elevada a leste do Rio Jordão (também chamado de Transjordânia)</w:t>
      </w:r>
    </w:p>
    <w:p>
      <w:pPr>
        <w:pStyle w:val="Heading4"/>
      </w:pPr>
      <w:r>
        <w:t>A Planície Marítima ou Costeira</w:t>
      </w:r>
    </w:p>
    <w:p>
      <w:r/>
      <w:r>
        <w:t>A Planície Costeira pode ser dividida em três áreas de sul a norte: a planície da Filístia, a planície de Sarom e a planície de Acre.</w:t>
      </w:r>
    </w:p>
    <w:p>
      <w:pPr>
        <w:pStyle w:val="ListNumber"/>
        <w:spacing w:line="240" w:lineRule="auto"/>
        <w:ind w:left="720"/>
      </w:pPr>
      <w:r/>
      <w:r>
        <w:t>A planície da Filístia se estende do Wadi el-Arish (também chamado de Rio do Egito) no sul até cerca de 8 quilômetros ao norte de Jope. Ela tem cerca de 112 quilômetros de comprimento e é mais larga perto de Gaza, medindo 48 quilômetros de largura. Esta planície, em sua maioria fértil, era ideal para o cultivo de grãos.</w:t>
      </w:r>
    </w:p>
    <w:p>
      <w:pPr>
        <w:pStyle w:val="ListNumber"/>
        <w:spacing w:line="240" w:lineRule="auto"/>
        <w:ind w:left="720"/>
      </w:pPr>
      <w:r/>
      <w:r>
        <w:t xml:space="preserve">A planície de Sarom está localizada ao norte da planície dos filisteus. Provavelmente estava sob o controle dos filisteus. O Antigo Testamento a reconhece como separada das terras dos filisteus (veja </w:t>
      </w:r>
      <w:hyperlink r:id="rId16177">
        <w:r>
          <w:rPr>
            <w:color w:val="0000EE"/>
            <w:u w:val="single"/>
          </w:rPr>
          <w:t>Ct 2.1</w:t>
        </w:r>
      </w:hyperlink>
      <w:r>
        <w:t xml:space="preserve">; </w:t>
      </w:r>
      <w:hyperlink r:id="rId16178">
        <w:r>
          <w:rPr>
            <w:color w:val="0000EE"/>
            <w:u w:val="single"/>
          </w:rPr>
          <w:t>Is 65.10</w:t>
        </w:r>
      </w:hyperlink>
      <w:r>
        <w:t>). Esta planície se estende ao norte até o Monte Carmelo e inclui as cidades de Dor e Cesareia.</w:t>
      </w:r>
    </w:p>
    <w:p>
      <w:pPr>
        <w:pStyle w:val="ListNumber"/>
        <w:spacing w:line="240" w:lineRule="auto"/>
        <w:ind w:left="720"/>
      </w:pPr>
      <w:r/>
      <w:r>
        <w:t xml:space="preserve">A planície de Acre começa além do Monte Carmelo, perto da cidade de Ptolemaida (também conhecida como Acre ou Acco), mencionada em </w:t>
      </w:r>
      <w:hyperlink r:id="rId260">
        <w:r>
          <w:rPr>
            <w:color w:val="0000EE"/>
            <w:u w:val="single"/>
          </w:rPr>
          <w:t>Atos 21.7</w:t>
        </w:r>
      </w:hyperlink>
      <w:r>
        <w:t xml:space="preserve"> e </w:t>
      </w:r>
      <w:hyperlink r:id="rId258">
        <w:r>
          <w:rPr>
            <w:color w:val="0000EE"/>
            <w:u w:val="single"/>
          </w:rPr>
          <w:t>Juízes 1.31</w:t>
        </w:r>
      </w:hyperlink>
      <w:r>
        <w:t>. Esta estreita planície se estende por cerca de 32 quilômetros até a Escada de Tiro (Ras en-Nakurah). O rio Quisom (</w:t>
      </w:r>
      <w:hyperlink r:id="rId16179">
        <w:r>
          <w:rPr>
            <w:color w:val="0000EE"/>
            <w:u w:val="single"/>
          </w:rPr>
          <w:t>Jz 4.7,13</w:t>
        </w:r>
      </w:hyperlink>
      <w:r>
        <w:t xml:space="preserve">; </w:t>
      </w:r>
      <w:hyperlink r:id="rId16180">
        <w:r>
          <w:rPr>
            <w:color w:val="0000EE"/>
            <w:u w:val="single"/>
          </w:rPr>
          <w:t>1Rs 18.40</w:t>
        </w:r>
      </w:hyperlink>
      <w:r>
        <w:t>) flui por esta área.</w:t>
      </w:r>
    </w:p>
    <w:p>
      <w:pPr>
        <w:pStyle w:val="Heading4"/>
      </w:pPr>
      <w:r>
        <w:t>A Sefelá</w:t>
      </w:r>
    </w:p>
    <w:p>
      <w:r/>
      <w:r>
        <w:t>A Sefalá é uma região situada entre a baixa planície costeira e os planaltos do Planalto Ocidental. Sua elevação varia de aproximadamente 152 a 304 metros e tem apenas alguns quilômetros de largura. Estende-se do vale de Aijalom até Berseba. Os vales na Sefalá eram ideais para o cultivo de grãos, enquanto as colinas eram adequadas para vinhedos e oliveiras. Esta área era estrategicamente importante porque fornecia acesso a Jerusalém.</w:t>
      </w:r>
    </w:p>
    <w:p>
      <w:pPr>
        <w:pStyle w:val="Heading4"/>
      </w:pPr>
      <w:r>
        <w:t>O Planalto Ocidental ou a Região Montanhosa</w:t>
      </w:r>
    </w:p>
    <w:p>
      <w:r/>
      <w:r>
        <w:t>O Planalto Ocidental ou Região Montanhosa eleva-se a uma altitude entre 304 e 609 metros. Estende-se por cerca de 241 quilômetros do Líbano no norte até Berseba no sul. Esta região pode ser dividida em três partes: Galileia, Samaria e Judeia.</w:t>
      </w:r>
    </w:p>
    <w:p>
      <w:pPr>
        <w:pStyle w:val="ListNumber"/>
        <w:spacing w:line="240" w:lineRule="auto"/>
        <w:ind w:left="720"/>
      </w:pPr>
      <w:r/>
      <w:r>
        <w:rPr>
          <w:b/>
        </w:rPr>
        <w:t>Galileia</w:t>
      </w:r>
      <w:r>
        <w:t xml:space="preserve"> é dividida em </w:t>
      </w:r>
      <w:r>
        <w:rPr>
          <w:b/>
          <w:i/>
        </w:rPr>
        <w:t>Alta Galileia</w:t>
      </w:r>
      <w:r>
        <w:t xml:space="preserve">, com elevações de 609 a 1.220 metros, e </w:t>
      </w:r>
      <w:r>
        <w:rPr>
          <w:b/>
          <w:i/>
        </w:rPr>
        <w:t>Baixa Galileia</w:t>
      </w:r>
      <w:r>
        <w:t xml:space="preserve">, abaixo de 609 metros. Era uma região principalmente utilizada para agricultura e suscetível a invasões. Sua localização fez de Galileia uma área diversa e culturalmente mista, referida como "Galileia das nações" em </w:t>
      </w:r>
      <w:hyperlink r:id="rId9719">
        <w:r>
          <w:rPr>
            <w:color w:val="0000EE"/>
            <w:u w:val="single"/>
          </w:rPr>
          <w:t>Isaías 9.1</w:t>
        </w:r>
      </w:hyperlink>
      <w:r>
        <w:t>.</w:t>
      </w:r>
    </w:p>
    <w:p>
      <w:pPr>
        <w:pStyle w:val="ListNumber"/>
        <w:spacing w:line="240" w:lineRule="auto"/>
        <w:ind w:left="720"/>
      </w:pPr>
      <w:r/>
      <w:r>
        <w:rPr>
          <w:b/>
        </w:rPr>
        <w:t>Samaria</w:t>
      </w:r>
      <w:r>
        <w:t xml:space="preserve"> era outra área adequada para o cultivo de safras e criação de gado. Os irmãos de José estavam pastoreando suas ovelhas na planície de Dotã quando conspiraram contra ele (</w:t>
      </w:r>
      <w:hyperlink r:id="rId16181">
        <w:r>
          <w:rPr>
            <w:color w:val="0000EE"/>
            <w:u w:val="single"/>
          </w:rPr>
          <w:t>Gn 37.17</w:t>
        </w:r>
      </w:hyperlink>
      <w:r>
        <w:t>).</w:t>
      </w:r>
    </w:p>
    <w:p>
      <w:pPr>
        <w:pStyle w:val="ListNumber"/>
        <w:spacing w:line="240" w:lineRule="auto"/>
        <w:ind w:left="720"/>
      </w:pPr>
      <w:r/>
      <w:r>
        <w:rPr>
          <w:b/>
        </w:rPr>
        <w:t>Judeia</w:t>
      </w:r>
      <w:r>
        <w:t xml:space="preserve"> está entre 609 e 1.066 metros acima do nível do mar e se estende por cerca de 96 quilômetros de Betel a Berseba. Jerusalém, localizada na Judeia, está a 808 metros. Cercada por montanhas e vales, Jerusalém possuía defesas naturais (</w:t>
      </w:r>
      <w:hyperlink r:id="rId4859">
        <w:r>
          <w:rPr>
            <w:color w:val="0000EE"/>
            <w:u w:val="single"/>
          </w:rPr>
          <w:t>Salmo 125.2</w:t>
        </w:r>
      </w:hyperlink>
      <w:r>
        <w:t>). Jerusalém tornou-se o centro religioso e capital de Israel quando Davi transferiu a Arca da Aliança para lá. Conforme profetizado, Jerusalém tornou-se o centro de adoração quando Salomão construiu o templo, um dos edifícios mais impressionantes da época.</w:t>
      </w:r>
    </w:p>
    <w:p>
      <w:pPr>
        <w:pStyle w:val="Heading4"/>
      </w:pPr>
      <w:r>
        <w:t>O Vale do Jordão ou a Arabá</w:t>
      </w:r>
    </w:p>
    <w:p>
      <w:r/>
      <w:r>
        <w:t>O Vale do Jordão (também chamado de Arabá) possui tanto os pontos mais altos quanto os mais baixos da Palestina. O Monte Hermom, com 2.793 metros, é o ponto mais alto. A superfície do Mar Morto está a 395 metros abaixo do nível do mar. Seu ponto mais profundo desce mais 396 metros.</w:t>
      </w:r>
    </w:p>
    <w:p>
      <w:pPr>
        <w:pStyle w:val="ListNumber"/>
        <w:spacing w:line="240" w:lineRule="auto"/>
        <w:ind w:left="720"/>
      </w:pPr>
      <w:r/>
      <w:r>
        <w:t>O Norte de Arabá (ou Vale do Alto Jordão) é onde o Rio Jordão começa perto do Monte Hermom. O rio tem quatro fontes diferentes. Ele flui através do antigo Lago Huleh (agora parcialmente drenado e transformado em um refúgio de vida selvagem). A Ponte das Filhas de Jacó, que cruza o Jordão na estrada para Damasco, está localizada a 3,2 quilômetros abaixo de Huleh. O rio então passa por um desfiladeiro de 365 metros.</w:t>
      </w:r>
    </w:p>
    <w:p>
      <w:pPr>
        <w:pStyle w:val="ListNumber"/>
        <w:spacing w:line="240" w:lineRule="auto"/>
        <w:ind w:left="720"/>
      </w:pPr>
      <w:r/>
      <w:r>
        <w:t>O Mar da Galileia está localizado a cerca de 16 quilômetros do Lago Huleh. Ele está a uma elevação de menos 208 metros. Ele se estende por 24 quilômetros de comprimento e 13 quilômetros de largura, com uma profundidade máxima de 228 metros. Sua forma inspirou seu nome no Antigo Testamento, Quinerete, que significa "harpa" (</w:t>
      </w:r>
      <w:hyperlink r:id="rId639">
        <w:r>
          <w:rPr>
            <w:color w:val="0000EE"/>
            <w:u w:val="single"/>
          </w:rPr>
          <w:t>Nm 34.11</w:t>
        </w:r>
      </w:hyperlink>
      <w:r>
        <w:t xml:space="preserve">; </w:t>
      </w:r>
      <w:hyperlink r:id="rId3474">
        <w:r>
          <w:rPr>
            <w:color w:val="0000EE"/>
            <w:u w:val="single"/>
          </w:rPr>
          <w:t>Js13.27</w:t>
        </w:r>
      </w:hyperlink>
      <w:r>
        <w:t>). No Novo Testamento, era chamado de Lago de Genesaré (</w:t>
      </w:r>
      <w:hyperlink r:id="rId9888">
        <w:r>
          <w:rPr>
            <w:color w:val="0000EE"/>
            <w:u w:val="single"/>
          </w:rPr>
          <w:t>Lc 5.1</w:t>
        </w:r>
      </w:hyperlink>
      <w:r>
        <w:t>) e Mar de Tiberíades (</w:t>
      </w:r>
      <w:hyperlink r:id="rId13830">
        <w:r>
          <w:rPr>
            <w:color w:val="0000EE"/>
            <w:u w:val="single"/>
          </w:rPr>
          <w:t>Jo 6.1</w:t>
        </w:r>
      </w:hyperlink>
      <w:r>
        <w:t xml:space="preserve">; </w:t>
      </w:r>
      <w:hyperlink r:id="rId13831">
        <w:r>
          <w:rPr>
            <w:color w:val="0000EE"/>
            <w:u w:val="single"/>
          </w:rPr>
          <w:t>21.1</w:t>
        </w:r>
      </w:hyperlink>
      <w:r>
        <w:t>).</w:t>
      </w:r>
    </w:p>
    <w:p>
      <w:pPr>
        <w:pStyle w:val="ListNumber"/>
        <w:spacing w:line="240" w:lineRule="auto"/>
        <w:ind w:left="720"/>
      </w:pPr>
      <w:r/>
      <w:r>
        <w:t>O Médio Arabá (ou Ghor) contém o Rio Jordão. O nome Jordão significa "descendente". O Rio Jordão cobre cerca de 96 quilômetros em linha reta do Mar da Galileia até o Mar Morto. Esta parte do curso do rio desce mais de 182 metros, fluindo em uma série de curvas acentuadas em zigue-zague. O comprimento real do rio é de 321 quilômetros.</w:t>
      </w:r>
    </w:p>
    <w:p>
      <w:r/>
      <w:r>
        <w:t>Este trecho do Vale do Jordão é conhecido como Ghor ou Rift. O Rio Yarmuk entra no Jordão pelo leste a 9,7 quilômetros abaixo do Mar da Galileia. Alguns riachos menores deságuam no Jordão, mas o outro rio importante é o Jaboque (</w:t>
      </w:r>
      <w:hyperlink r:id="rId16182">
        <w:r>
          <w:rPr>
            <w:color w:val="0000EE"/>
            <w:u w:val="single"/>
          </w:rPr>
          <w:t>Gn 32.22</w:t>
        </w:r>
      </w:hyperlink>
      <w:r>
        <w:t>). O Ghor, logo ao sul do Mar da Galileia, tem cerca de 6,4 quilômetros de largura. Perto de Bete-Seã, atinge 11 quilômetros de largura. Além disso, por cerca de 24 quilômetros, as montanhas estão próximas ao rio, tornando o vale de 3,2 a 4,8 quilômetros de largura. Perto de Jericó, ele se expande para cerca de 19 quilômetros de largura.</w:t>
      </w:r>
    </w:p>
    <w:p>
      <w:pPr>
        <w:pStyle w:val="ListNumber"/>
        <w:spacing w:line="240" w:lineRule="auto"/>
        <w:ind w:left="720"/>
      </w:pPr>
      <w:r/>
      <w:r>
        <w:t>O Mar Morto é uma região única. É o ponto mais profundo da Terra. O Mar Morto também é conhecido como o "Mar de Sal" (</w:t>
      </w:r>
      <w:hyperlink r:id="rId10069">
        <w:r>
          <w:rPr>
            <w:color w:val="0000EE"/>
            <w:u w:val="single"/>
          </w:rPr>
          <w:t>Gn14.3</w:t>
        </w:r>
      </w:hyperlink>
      <w:r>
        <w:t xml:space="preserve">; </w:t>
      </w:r>
      <w:hyperlink r:id="rId16183">
        <w:r>
          <w:rPr>
            <w:color w:val="0000EE"/>
            <w:u w:val="single"/>
          </w:rPr>
          <w:t>Nm 34.12</w:t>
        </w:r>
      </w:hyperlink>
      <w:r>
        <w:t xml:space="preserve">; </w:t>
      </w:r>
      <w:hyperlink r:id="rId2705">
        <w:r>
          <w:rPr>
            <w:color w:val="0000EE"/>
            <w:u w:val="single"/>
          </w:rPr>
          <w:t>Js 12.3</w:t>
        </w:r>
      </w:hyperlink>
      <w:r>
        <w:t>) ou o "Mar de Arabá" (</w:t>
      </w:r>
      <w:hyperlink r:id="rId2705">
        <w:r>
          <w:rPr>
            <w:color w:val="0000EE"/>
            <w:u w:val="single"/>
          </w:rPr>
          <w:t>Js 12.3</w:t>
        </w:r>
      </w:hyperlink>
      <w:r>
        <w:t>). Josefo o chama de "Lago Asfaltite".</w:t>
      </w:r>
    </w:p>
    <w:p>
      <w:r/>
      <w:r>
        <w:t>Ele tem 74 quilômetros de comprimento, 16 quilômetros de largura e 396 metros de profundidade. Com um teor mineral de cerca de 25 por cento, é um depósito químico valioso. O Mar Morto recebe água do Jordão e de outros riachos, como o Rio Arnom no leste. Grande parte do escoamento das chuvas sazonais também se acumula no Mar Morto. As temperaturas de verão podem chegar a 48,8°C, com umidade extrema. O mar experimenta de 5,4 a 7,3 milhões de toneladas métricas (6 a 8 milhões de toneladas) de evaporação diária.</w:t>
      </w:r>
    </w:p>
    <w:p>
      <w:pPr>
        <w:pStyle w:val="ListNumber"/>
        <w:spacing w:line="240" w:lineRule="auto"/>
        <w:ind w:left="720"/>
      </w:pPr>
      <w:r/>
      <w:r>
        <w:t>O sul de Arabá é uma região predominantemente árida. Estende-se do Mar Morto até o Golfo de Ácaba, abrangendo 241 quilômetros. O Arabá se eleva de seu ponto mais baixo, o Mar Morto, até seu ponto mais alto, uma divisória de águas a oeste de Petra. Portos como Elate (moderna Eilat) e Eziom-Geber estavam localizados em sua extremidade sul.</w:t>
      </w:r>
    </w:p>
    <w:p>
      <w:pPr>
        <w:pStyle w:val="Heading4"/>
      </w:pPr>
      <w:r>
        <w:t>O Planalto Oriental ou Transjordânia</w:t>
      </w:r>
    </w:p>
    <w:p>
      <w:r/>
      <w:r>
        <w:t>O Planalto Oriental (ou Transjordânia) não fazia parte da terra Prometida. As tribos de Rúben, Gade e metade de Manassés reivindicaram essa região. Tinha melhores recursos hídricos do que o Planalto Ocidental, com riachos permanentes como o Yarmuk, Jaboque e Arnom. A Estrada do Rei, uma rota chave de norte a sul, passava por essa região. É mencionada na jornada dos israelitas durante o Êxodo (</w:t>
      </w:r>
      <w:hyperlink r:id="rId7546">
        <w:r>
          <w:rPr>
            <w:color w:val="0000EE"/>
            <w:u w:val="single"/>
          </w:rPr>
          <w:t>Nm 21.22</w:t>
        </w:r>
      </w:hyperlink>
      <w:r>
        <w:t xml:space="preserve">). Provavelmente também foi a rota tomada pelos reis invasores de </w:t>
      </w:r>
      <w:hyperlink r:id="rId1116">
        <w:r>
          <w:rPr>
            <w:color w:val="0000EE"/>
            <w:u w:val="single"/>
          </w:rPr>
          <w:t>Gênesis 14</w:t>
        </w:r>
      </w:hyperlink>
      <w:r>
        <w:t>.</w:t>
      </w:r>
    </w:p>
    <w:p>
      <w:r/>
      <w:r>
        <w:t>A seção norte de Transjordânia era conhecida como Basã. Era famosa por seu gado e carvalhos (</w:t>
      </w:r>
      <w:hyperlink r:id="rId1526">
        <w:r>
          <w:rPr>
            <w:color w:val="0000EE"/>
            <w:u w:val="single"/>
          </w:rPr>
          <w:t>Sl 22.12</w:t>
        </w:r>
      </w:hyperlink>
      <w:r>
        <w:t xml:space="preserve">; </w:t>
      </w:r>
      <w:hyperlink r:id="rId3161">
        <w:r>
          <w:rPr>
            <w:color w:val="0000EE"/>
            <w:u w:val="single"/>
          </w:rPr>
          <w:t>Ez 39.18</w:t>
        </w:r>
      </w:hyperlink>
      <w:r>
        <w:t xml:space="preserve">; </w:t>
      </w:r>
      <w:hyperlink r:id="rId12975">
        <w:r>
          <w:rPr>
            <w:color w:val="0000EE"/>
            <w:u w:val="single"/>
          </w:rPr>
          <w:t>Is 2.13</w:t>
        </w:r>
      </w:hyperlink>
      <w:r>
        <w:t xml:space="preserve">; </w:t>
      </w:r>
      <w:hyperlink r:id="rId16184">
        <w:r>
          <w:rPr>
            <w:color w:val="0000EE"/>
            <w:u w:val="single"/>
          </w:rPr>
          <w:t>Zc 11.2</w:t>
        </w:r>
      </w:hyperlink>
      <w:r>
        <w:t>).</w:t>
      </w:r>
    </w:p>
    <w:p>
      <w:r/>
      <w:r>
        <w:t>Gileade era uma área a leste do Rio Jordão, bem conhecida nos tempos antigos por produzir um remédio curativo chamado bálsamo (</w:t>
      </w:r>
      <w:hyperlink r:id="rId1495">
        <w:r>
          <w:rPr>
            <w:color w:val="0000EE"/>
            <w:u w:val="single"/>
          </w:rPr>
          <w:t>Gn 37.25</w:t>
        </w:r>
      </w:hyperlink>
      <w:r>
        <w:t xml:space="preserve">; </w:t>
      </w:r>
      <w:hyperlink r:id="rId7451">
        <w:r>
          <w:rPr>
            <w:color w:val="0000EE"/>
            <w:u w:val="single"/>
          </w:rPr>
          <w:t>Jr 8.22</w:t>
        </w:r>
      </w:hyperlink>
      <w:r>
        <w:t xml:space="preserve">). A Bíblia menciona Gileade muitas vezes (por exemplo, em </w:t>
      </w:r>
      <w:hyperlink r:id="rId16185">
        <w:r>
          <w:rPr>
            <w:color w:val="0000EE"/>
            <w:u w:val="single"/>
          </w:rPr>
          <w:t>Dt 3.10–16</w:t>
        </w:r>
      </w:hyperlink>
      <w:r>
        <w:t xml:space="preserve"> e </w:t>
      </w:r>
      <w:hyperlink r:id="rId16186">
        <w:r>
          <w:rPr>
            <w:color w:val="0000EE"/>
            <w:u w:val="single"/>
          </w:rPr>
          <w:t>Jz 11</w:t>
        </w:r>
      </w:hyperlink>
      <w:r>
        <w:t>). A região de Gileade se estendia do Rio Yarmuk até Hesbom. No tempo de Davi, era coberta por densas florestas (</w:t>
      </w:r>
      <w:hyperlink r:id="rId16187">
        <w:r>
          <w:rPr>
            <w:color w:val="0000EE"/>
            <w:u w:val="single"/>
          </w:rPr>
          <w:t>2Sm 18.8</w:t>
        </w:r>
      </w:hyperlink>
      <w:r>
        <w:t>).</w:t>
      </w:r>
    </w:p>
    <w:p>
      <w:r/>
      <w:r>
        <w:t>Na Palestina propriamente dita, duas áreas são especialmente importantes:</w:t>
      </w:r>
    </w:p>
    <w:p>
      <w:pPr>
        <w:pStyle w:val="ListNumber"/>
        <w:spacing w:line="240" w:lineRule="auto"/>
        <w:ind w:left="720"/>
      </w:pPr>
      <w:r/>
      <w:r>
        <w:t>A Planície de Esdrelon era conhecida por suas terras férteis e batalhas históricas. Esta planície fica entre a Galileia e Samaria. É frequentemente associada ao Armagedom e era protegida por cidades fortificadas como Megido, Ibleão e Taanaque. No Antigo Testamento, o Vale de Jezreel era considerado separado de Esdrelon. Na extremidade oriental estava a fortaleza de Bete-Seã.</w:t>
      </w:r>
    </w:p>
    <w:p>
      <w:pPr>
        <w:pStyle w:val="ListNumber"/>
        <w:spacing w:line="240" w:lineRule="auto"/>
        <w:ind w:left="720"/>
      </w:pPr>
      <w:r/>
      <w:r>
        <w:t>No extremo sul da Palestina, há uma área desértica chamada Neguebe (também conhecida como o País do Sul). Esta região se estende de Berseba até Cades-Barneia. Não chove com frequência, o que torna difícil o cultivo. No entanto, a região tem sido usada há muito tempo principalmente por pastores nômades que se deslocam com seus animais.</w:t>
      </w:r>
    </w:p>
    <w:p>
      <w:r/>
      <w:r>
        <w:rPr>
          <w:i/>
        </w:rPr>
        <w:t>Veja</w:t>
      </w:r>
      <w:r>
        <w:t xml:space="preserve"> </w:t>
      </w:r>
      <w:r>
        <w:t>Arabá</w:t>
      </w:r>
      <w:r>
        <w:t xml:space="preserve">; </w:t>
      </w:r>
      <w:r>
        <w:t>Conquista e distribuição da Terra</w:t>
      </w:r>
      <w:r>
        <w:t xml:space="preserve">; </w:t>
      </w:r>
      <w:r>
        <w:t>Mar Morto</w:t>
      </w:r>
      <w:r>
        <w:t xml:space="preserve">; </w:t>
      </w:r>
      <w:r>
        <w:t>Decápolis</w:t>
      </w:r>
      <w:r>
        <w:t xml:space="preserve">; </w:t>
      </w:r>
      <w:r>
        <w:t>Mar da Galileia</w:t>
      </w:r>
      <w:r>
        <w:t xml:space="preserve">; </w:t>
      </w:r>
      <w:r>
        <w:t>Rio Jordão</w:t>
      </w:r>
      <w:r>
        <w:t xml:space="preserve">; </w:t>
      </w:r>
      <w:r>
        <w:t>Neguebe</w:t>
      </w:r>
      <w:r>
        <w:t xml:space="preserve">; </w:t>
      </w:r>
      <w:r>
        <w:t>Sefelá</w:t>
      </w:r>
      <w:r>
        <w:t xml:space="preserve">; </w:t>
      </w:r>
      <w:r>
        <w:t>Transjordânia</w:t>
      </w:r>
      <w:r>
        <w:t>.</w:t>
      </w:r>
      <w:r/>
      <w:r/>
    </w:p>
    <w:p>
      <w:r/>
    </w:p>
    <w:p>
      <w:pPr>
        <w:pStyle w:val="Heading2"/>
      </w:pPr>
      <w:r>
        <w:t>Palha</w:t>
      </w:r>
      <w:r/>
    </w:p>
    <w:p>
      <w:r/>
      <w:r>
        <w:t>Cascas soltas separadas dos grãos comestíveis pela debulha e joeiramento. Nos tempos bíblicos, o grão joeirado era uma visão comum. O vento soprava as cascas mais leves, deixando apenas o grão. Isso deu origem a uma forte metáfora. Simbolizava que pessoas ou nações boas sobreviveriam ao julgamento, mas os ímpios não. Assim, por exemplo, os pecadores “são como a palha levada pelo vento” (</w:t>
      </w:r>
      <w:hyperlink r:id="rId16188">
        <w:r>
          <w:rPr>
            <w:color w:val="0000EE"/>
            <w:u w:val="single"/>
          </w:rPr>
          <w:t>Sl 1.4</w:t>
        </w:r>
      </w:hyperlink>
      <w:r>
        <w:t>).</w:t>
      </w:r>
    </w:p>
    <w:p>
      <w:r/>
      <w:r>
        <w:t>O profeta Isaías disse dos assírios: “O que vocês inventam vale menos do que a palha; o que vocês planejam é tão sem valor como o lixo” (</w:t>
      </w:r>
      <w:hyperlink r:id="rId16189">
        <w:r>
          <w:rPr>
            <w:color w:val="0000EE"/>
            <w:u w:val="single"/>
          </w:rPr>
          <w:t>Is 33.11</w:t>
        </w:r>
      </w:hyperlink>
      <w:r>
        <w:t>). No sonho de Nabucodonosor, as nações do mundo colapsam e são como a palha das eiras de verão antes da vitória do reino vindouro de Deus (</w:t>
      </w:r>
      <w:hyperlink r:id="rId16190">
        <w:r>
          <w:rPr>
            <w:color w:val="0000EE"/>
            <w:u w:val="single"/>
          </w:rPr>
          <w:t>Dn 2.35</w:t>
        </w:r>
      </w:hyperlink>
      <w:r>
        <w:t>).</w:t>
      </w:r>
    </w:p>
    <w:p>
      <w:r/>
      <w:r>
        <w:t>No Novo Testamento, é dito que o Messias vindouro “ajuntará seu trigo no celeiro; mas queimará a palha com fogo inextinguível” (</w:t>
      </w:r>
      <w:hyperlink r:id="rId3192">
        <w:r>
          <w:rPr>
            <w:color w:val="0000EE"/>
            <w:u w:val="single"/>
          </w:rPr>
          <w:t>Mt 3.12</w:t>
        </w:r>
      </w:hyperlink>
      <w:r>
        <w:t>).</w:t>
      </w:r>
      <w:r/>
      <w:r/>
    </w:p>
    <w:p>
      <w:r/>
    </w:p>
    <w:p>
      <w:pPr>
        <w:pStyle w:val="Heading2"/>
      </w:pPr>
      <w:r>
        <w:t>Palmeiras, Cidade de</w:t>
      </w:r>
      <w:r/>
    </w:p>
    <w:p>
      <w:r/>
      <w:r>
        <w:t xml:space="preserve">Designação para Jericó em </w:t>
      </w:r>
      <w:hyperlink r:id="rId4864">
        <w:r>
          <w:rPr>
            <w:color w:val="0000EE"/>
            <w:u w:val="single"/>
          </w:rPr>
          <w:t>Deuteronômio 34.3</w:t>
        </w:r>
      </w:hyperlink>
      <w:r>
        <w:t xml:space="preserve"> e </w:t>
      </w:r>
      <w:hyperlink r:id="rId11582">
        <w:r>
          <w:rPr>
            <w:color w:val="0000EE"/>
            <w:u w:val="single"/>
          </w:rPr>
          <w:t>2 Crônicas 28.15</w:t>
        </w:r>
      </w:hyperlink>
      <w:r>
        <w:t xml:space="preserve">. </w:t>
      </w:r>
      <w:r>
        <w:rPr>
          <w:i/>
        </w:rPr>
        <w:t>Veja</w:t>
      </w:r>
      <w:r>
        <w:t xml:space="preserve"> </w:t>
      </w:r>
      <w:r>
        <w:t>Jericó</w:t>
      </w:r>
      <w:r>
        <w:t>.</w:t>
      </w:r>
      <w:r/>
      <w:r/>
    </w:p>
    <w:p>
      <w:r/>
    </w:p>
    <w:p>
      <w:pPr>
        <w:pStyle w:val="Heading2"/>
      </w:pPr>
      <w:r>
        <w:t>Palmo</w:t>
      </w:r>
      <w:r/>
    </w:p>
    <w:p>
      <w:r/>
      <w:r>
        <w:t>Uma medida de comprimento igual a um sexto de um côvado ou pouco menos de 7,6 centímetros (três polegadas) de comprimento. Os dedos, até quatro (</w:t>
      </w:r>
      <w:hyperlink r:id="rId16191">
        <w:r>
          <w:rPr>
            <w:color w:val="0000EE"/>
            <w:u w:val="single"/>
          </w:rPr>
          <w:t>Jr 52.21</w:t>
        </w:r>
      </w:hyperlink>
      <w:r>
        <w:t>), formavam a "grossura da mão"; três desses formavam um palmo (</w:t>
      </w:r>
      <w:hyperlink r:id="rId16192">
        <w:r>
          <w:rPr>
            <w:color w:val="0000EE"/>
            <w:u w:val="single"/>
          </w:rPr>
          <w:t>Êxodo 28.16</w:t>
        </w:r>
      </w:hyperlink>
      <w:r>
        <w:t>).</w:t>
      </w:r>
    </w:p>
    <w:p>
      <w:r/>
      <w:r>
        <w:rPr>
          <w:i/>
        </w:rPr>
        <w:t xml:space="preserve">Veja </w:t>
      </w:r>
      <w:r>
        <w:t>Pesos e medidas</w:t>
      </w:r>
      <w:r>
        <w:t>.</w:t>
      </w:r>
      <w:r/>
      <w:r/>
    </w:p>
    <w:p>
      <w:r/>
    </w:p>
    <w:p>
      <w:pPr>
        <w:pStyle w:val="Heading2"/>
      </w:pPr>
      <w:r>
        <w:t>Palmo</w:t>
      </w:r>
      <w:r/>
    </w:p>
    <w:p>
      <w:r/>
      <w:r>
        <w:t>Uma medida de mão equivalente a meio côvado (</w:t>
      </w:r>
      <w:hyperlink r:id="rId16192">
        <w:r>
          <w:rPr>
            <w:color w:val="0000EE"/>
            <w:u w:val="single"/>
          </w:rPr>
          <w:t>Êx 28.16</w:t>
        </w:r>
      </w:hyperlink>
      <w:r>
        <w:t xml:space="preserve">; </w:t>
      </w:r>
      <w:hyperlink r:id="rId16193">
        <w:r>
          <w:rPr>
            <w:color w:val="0000EE"/>
            <w:u w:val="single"/>
          </w:rPr>
          <w:t>39.9</w:t>
        </w:r>
      </w:hyperlink>
      <w:r>
        <w:t>).</w:t>
      </w:r>
    </w:p>
    <w:p>
      <w:r/>
      <w:r>
        <w:rPr>
          <w:i/>
        </w:rPr>
        <w:t>Veja</w:t>
      </w:r>
      <w:r>
        <w:t xml:space="preserve"> </w:t>
      </w:r>
      <w:r>
        <w:t>Pesos e medidas</w:t>
      </w:r>
      <w:r>
        <w:t>.</w:t>
      </w:r>
      <w:r/>
      <w:r/>
    </w:p>
    <w:p>
      <w:r/>
    </w:p>
    <w:p>
      <w:pPr>
        <w:pStyle w:val="Heading2"/>
      </w:pPr>
      <w:r>
        <w:t>Palti</w:t>
      </w:r>
      <w:r/>
    </w:p>
    <w:p>
      <w:pPr>
        <w:pStyle w:val="ListNumber"/>
        <w:spacing w:line="240" w:lineRule="auto"/>
        <w:ind w:left="720"/>
      </w:pPr>
      <w:r/>
      <w:r>
        <w:t>Um dos 12 espiões que Moisés enviou para explorar a terra de Canaã antes da conquista israelita. Palti representou a tribo de Benjamim (</w:t>
      </w:r>
      <w:hyperlink r:id="rId16194">
        <w:r>
          <w:rPr>
            <w:color w:val="0000EE"/>
            <w:u w:val="single"/>
          </w:rPr>
          <w:t>Nm 13.9</w:t>
        </w:r>
      </w:hyperlink>
      <w:r>
        <w:t>).</w:t>
      </w:r>
    </w:p>
    <w:p>
      <w:pPr>
        <w:pStyle w:val="ListNumber"/>
        <w:spacing w:line="240" w:lineRule="auto"/>
        <w:ind w:left="720"/>
      </w:pPr>
      <w:r/>
      <w:r>
        <w:t>Um filho de Laís, a quem o rei Saul deu Mical, sua filha e esposa de Davi. Isso foi após a ruptura entre Saul e Davi (</w:t>
      </w:r>
      <w:hyperlink r:id="rId16195">
        <w:r>
          <w:rPr>
            <w:color w:val="0000EE"/>
            <w:u w:val="single"/>
          </w:rPr>
          <w:t>1Sm 25.44</w:t>
        </w:r>
      </w:hyperlink>
      <w:r>
        <w:t>). Isbosete recuperou Mical de Palti e a devolveu a Davi (</w:t>
      </w:r>
      <w:hyperlink r:id="rId16196">
        <w:r>
          <w:rPr>
            <w:color w:val="0000EE"/>
            <w:u w:val="single"/>
          </w:rPr>
          <w:t>2Sm 3.15</w:t>
        </w:r>
      </w:hyperlink>
      <w:r>
        <w:t>; aqui chamado “Paltiel”).</w:t>
      </w:r>
      <w:r/>
      <w:r/>
    </w:p>
    <w:p>
      <w:r/>
    </w:p>
    <w:p>
      <w:pPr>
        <w:pStyle w:val="Heading2"/>
      </w:pPr>
      <w:r>
        <w:t>Paltiel</w:t>
      </w:r>
      <w:r/>
    </w:p>
    <w:p>
      <w:pPr>
        <w:pStyle w:val="ListNumber"/>
        <w:spacing w:line="240" w:lineRule="auto"/>
        <w:ind w:left="720"/>
      </w:pPr>
      <w:r/>
      <w:r>
        <w:t>Um filho de Azã e líder da tribo de Issacar (</w:t>
      </w:r>
      <w:hyperlink r:id="rId2934">
        <w:r>
          <w:rPr>
            <w:color w:val="0000EE"/>
            <w:u w:val="single"/>
          </w:rPr>
          <w:t>Nm 34.26</w:t>
        </w:r>
      </w:hyperlink>
      <w:r>
        <w:t>). Eleazar e Josué o escolheram para ajudar na distribuição da terra a oeste do rio Jordão entre as dez tribos a quem foi dada.</w:t>
      </w:r>
    </w:p>
    <w:p>
      <w:pPr>
        <w:pStyle w:val="ListNumber"/>
        <w:spacing w:line="240" w:lineRule="auto"/>
        <w:ind w:left="720"/>
      </w:pPr>
      <w:r/>
      <w:r>
        <w:t>Outro nome para Palti, um filho de Laís (</w:t>
      </w:r>
      <w:hyperlink r:id="rId16196">
        <w:r>
          <w:rPr>
            <w:color w:val="0000EE"/>
            <w:u w:val="single"/>
          </w:rPr>
          <w:t>2Sm 3.15</w:t>
        </w:r>
      </w:hyperlink>
      <w:r>
        <w:t>).</w:t>
      </w:r>
    </w:p>
    <w:p>
      <w:r/>
      <w:r>
        <w:rPr>
          <w:i/>
        </w:rPr>
        <w:t>Veja</w:t>
      </w:r>
      <w:r>
        <w:t xml:space="preserve"> </w:t>
      </w:r>
      <w:r>
        <w:t>Palti #2</w:t>
      </w:r>
      <w:r>
        <w:t>.</w:t>
      </w:r>
      <w:r/>
      <w:r/>
    </w:p>
    <w:p>
      <w:r/>
    </w:p>
    <w:p>
      <w:pPr>
        <w:pStyle w:val="Heading2"/>
      </w:pPr>
      <w:r>
        <w:t>Palu, Paluíta</w:t>
      </w:r>
      <w:r/>
    </w:p>
    <w:p>
      <w:r/>
      <w:r>
        <w:t>O filho de Rúben, pai de Eliabe (</w:t>
      </w:r>
      <w:hyperlink r:id="rId4258">
        <w:r>
          <w:rPr>
            <w:color w:val="0000EE"/>
            <w:u w:val="single"/>
          </w:rPr>
          <w:t>Gn 46.9</w:t>
        </w:r>
      </w:hyperlink>
      <w:r>
        <w:t xml:space="preserve">; </w:t>
      </w:r>
      <w:hyperlink r:id="rId4259">
        <w:r>
          <w:rPr>
            <w:color w:val="0000EE"/>
            <w:u w:val="single"/>
          </w:rPr>
          <w:t>Êx 6.14</w:t>
        </w:r>
      </w:hyperlink>
      <w:r>
        <w:t xml:space="preserve">; </w:t>
      </w:r>
      <w:hyperlink r:id="rId16197">
        <w:r>
          <w:rPr>
            <w:color w:val="0000EE"/>
            <w:u w:val="single"/>
          </w:rPr>
          <w:t>Nm 26.8</w:t>
        </w:r>
      </w:hyperlink>
      <w:r>
        <w:t xml:space="preserve">; </w:t>
      </w:r>
      <w:hyperlink r:id="rId4260">
        <w:r>
          <w:rPr>
            <w:color w:val="0000EE"/>
            <w:u w:val="single"/>
          </w:rPr>
          <w:t>1Cr 5.3</w:t>
        </w:r>
      </w:hyperlink>
      <w:r>
        <w:t>). O fundador da família Paluíta (</w:t>
      </w:r>
      <w:hyperlink r:id="rId8083">
        <w:r>
          <w:rPr>
            <w:color w:val="0000EE"/>
            <w:u w:val="single"/>
          </w:rPr>
          <w:t>Nm 26.5</w:t>
        </w:r>
      </w:hyperlink>
      <w:r>
        <w:t>).</w:t>
      </w:r>
      <w:r/>
      <w:r/>
    </w:p>
    <w:p>
      <w:r/>
    </w:p>
    <w:p>
      <w:pPr>
        <w:pStyle w:val="Heading2"/>
      </w:pPr>
      <w:r>
        <w:t>Panfília</w:t>
      </w:r>
      <w:r/>
    </w:p>
    <w:p>
      <w:r/>
      <w:r>
        <w:t>Região costeira no sul da Ásia Menor (Turquia) que se estende por 128 quilômetros de Lícia a oeste até Cilícia a leste, e cerca de 32 quilômetros de largura da costa até as Montanhas Taurus. Sendo pouco mais do que uma estreita planície costeira com um clima desagradavelmente quente e úmido, esta província produziu poucas cidades importantes. Isso, combinado com sua inacessibilidade geral — localizada no extremo norte da baía de Adalia e separada do restante do interior da Ásia por uma cadeia de montanhas acidentada — fez dela um refúgio para piratas. Em 102 a.C., o senado romano estabeleceu estações de patrulha nas costas da Panfília e da Cilícia ocidental para policiar a área, mas nenhum controle efetivo foi estabelecido até 67 a.C., quando Pompeu recebeu recursos ilimitados para limpar o Mediterrâneo.</w:t>
      </w:r>
    </w:p>
    <w:p>
      <w:r/>
      <w:r>
        <w:t>Evidentemente, havia uma população judaica na província, pois Lucas menciona Panfília entre os 15 países de onde os judeus vieram a Jerusalém para a festa de Pentecostes (</w:t>
      </w:r>
      <w:hyperlink r:id="rId4397">
        <w:r>
          <w:rPr>
            <w:color w:val="0000EE"/>
            <w:u w:val="single"/>
          </w:rPr>
          <w:t>At 2.10</w:t>
        </w:r>
      </w:hyperlink>
      <w:r>
        <w:t xml:space="preserve">). Alguns argumentaram que Panfília não poderia ter tido um número significativo de cristãos porque ela e Lícia não são mencionadas em </w:t>
      </w:r>
      <w:hyperlink r:id="rId2751">
        <w:r>
          <w:rPr>
            <w:color w:val="0000EE"/>
            <w:u w:val="single"/>
          </w:rPr>
          <w:t>1 Pedro 1.1</w:t>
        </w:r>
      </w:hyperlink>
      <w:r>
        <w:t>, que parece resumir toda a Ásia Menor. Esse argumento não é convincente, no entanto, porque a data da escrita de 1 Pedro não é conhecida, e se foi escrita durante o período de 43 a 74 d.C., quando Panfília era considerada parte da Galácia, Panfília poderia ter sido incluída nessa designação. Pedro também pode ter considerado Lícia na designação ampla de Galácia, pois sua introdução menciona apenas as maiores divisões políticas da Ásia Menor. No entanto, deve-se notar que Paulo aparentemente teve pouco sucesso na cidade Panfília de Perge, porque não há declaração de oposição a ele lá ou de qualquer conversão sendo feita. Ele não revisitou a província em sua segunda viagem, mesmo que seu plano fosse retornar e visitar os cristãos em cada cidade onde haviam pregado (</w:t>
      </w:r>
      <w:hyperlink r:id="rId16198">
        <w:r>
          <w:rPr>
            <w:color w:val="0000EE"/>
            <w:u w:val="single"/>
          </w:rPr>
          <w:t>At 15.36</w:t>
        </w:r>
      </w:hyperlink>
      <w:r>
        <w:t xml:space="preserve">). Talvez a separação de Paulo de Barnabé tenha sido a razão para isso, e pode ser que Barnabé e João Marcos tenham visitado Panfília após Chipre (vv. </w:t>
      </w:r>
      <w:hyperlink r:id="rId16199">
        <w:r>
          <w:rPr>
            <w:color w:val="0000EE"/>
            <w:u w:val="single"/>
          </w:rPr>
          <w:t>37–41</w:t>
        </w:r>
      </w:hyperlink>
      <w:r>
        <w:t>).</w:t>
      </w:r>
    </w:p>
    <w:p>
      <w:r/>
      <w:r>
        <w:rPr>
          <w:i/>
        </w:rPr>
        <w:t>Veja também</w:t>
      </w:r>
      <w:r>
        <w:t xml:space="preserve"> </w:t>
      </w:r>
      <w:r>
        <w:t>Atalia</w:t>
      </w:r>
      <w:r>
        <w:t xml:space="preserve">; </w:t>
      </w:r>
      <w:r>
        <w:t>Perge</w:t>
      </w:r>
      <w:r>
        <w:t>.</w:t>
      </w:r>
      <w:r/>
      <w:r/>
    </w:p>
    <w:p>
      <w:r/>
    </w:p>
    <w:p>
      <w:pPr>
        <w:pStyle w:val="Heading2"/>
      </w:pPr>
      <w:r>
        <w:t>Pano de saco</w:t>
      </w:r>
      <w:r/>
    </w:p>
    <w:p>
      <w:r/>
      <w:r>
        <w:t>O pano de saco era um material áspero, frequentemente feito de pelo de cabra, usado principalmente como símbolo de luto. Alguns profetas e cativos também o utilizavam.</w:t>
      </w:r>
    </w:p>
    <w:p>
      <w:r/>
      <w:r>
        <w:t>O saco de pano era geralmente escuro e grosseiro (</w:t>
      </w:r>
      <w:hyperlink r:id="rId5523">
        <w:r>
          <w:rPr>
            <w:color w:val="0000EE"/>
            <w:u w:val="single"/>
          </w:rPr>
          <w:t>Is 50.3</w:t>
        </w:r>
      </w:hyperlink>
      <w:r>
        <w:t xml:space="preserve">; </w:t>
      </w:r>
      <w:hyperlink r:id="rId5527">
        <w:r>
          <w:rPr>
            <w:color w:val="0000EE"/>
            <w:u w:val="single"/>
          </w:rPr>
          <w:t>Ap 6.12</w:t>
        </w:r>
      </w:hyperlink>
      <w:r>
        <w:t>). Existem duas principais opiniões sobre sua forma.</w:t>
      </w:r>
    </w:p>
    <w:p>
      <w:pPr>
        <w:pStyle w:val="ListNumber"/>
        <w:spacing w:line="240" w:lineRule="auto"/>
        <w:ind w:left="720"/>
      </w:pPr>
      <w:r/>
      <w:r>
        <w:t>O pano de saco era uma vestimenta retangular, costurada nas laterais e em uma extremidade, com aberturas para a cabeça e os braços. Esta forma é semelhante aos sacos de grãos usados pelos irmãos de José (</w:t>
      </w:r>
      <w:hyperlink r:id="rId16200">
        <w:r>
          <w:rPr>
            <w:color w:val="0000EE"/>
            <w:u w:val="single"/>
          </w:rPr>
          <w:t>Gn 42.25–27,35</w:t>
        </w:r>
      </w:hyperlink>
      <w:r>
        <w:t>) e aos sacos usados pelos gibeonitas (</w:t>
      </w:r>
      <w:hyperlink r:id="rId1701">
        <w:r>
          <w:rPr>
            <w:color w:val="0000EE"/>
            <w:u w:val="single"/>
          </w:rPr>
          <w:t>Js 9.4</w:t>
        </w:r>
      </w:hyperlink>
      <w:r>
        <w:t xml:space="preserve">; compare </w:t>
      </w:r>
      <w:hyperlink r:id="rId16201">
        <w:r>
          <w:rPr>
            <w:color w:val="0000EE"/>
            <w:u w:val="single"/>
          </w:rPr>
          <w:t>Lv 11.32</w:t>
        </w:r>
      </w:hyperlink>
      <w:r>
        <w:t>);</w:t>
      </w:r>
    </w:p>
    <w:p>
      <w:pPr>
        <w:pStyle w:val="ListNumber"/>
        <w:spacing w:line="240" w:lineRule="auto"/>
        <w:ind w:left="720"/>
      </w:pPr>
      <w:r/>
      <w:r>
        <w:t>O pano de saco era mais parecido com uma pequena tanga. As práticas hebraicas apoiam isso. Elas incluem cingir os lombos com pano de saco (</w:t>
      </w:r>
      <w:hyperlink r:id="rId13432">
        <w:r>
          <w:rPr>
            <w:color w:val="0000EE"/>
            <w:u w:val="single"/>
          </w:rPr>
          <w:t>2Sm 3.31</w:t>
        </w:r>
      </w:hyperlink>
      <w:r>
        <w:t xml:space="preserve">; </w:t>
      </w:r>
      <w:hyperlink r:id="rId16202">
        <w:r>
          <w:rPr>
            <w:color w:val="0000EE"/>
            <w:u w:val="single"/>
          </w:rPr>
          <w:t>Is 15.3</w:t>
        </w:r>
      </w:hyperlink>
      <w:r>
        <w:t xml:space="preserve">; </w:t>
      </w:r>
      <w:hyperlink r:id="rId13444">
        <w:r>
          <w:rPr>
            <w:color w:val="0000EE"/>
            <w:u w:val="single"/>
          </w:rPr>
          <w:t>22.12</w:t>
        </w:r>
      </w:hyperlink>
      <w:r>
        <w:t xml:space="preserve">; </w:t>
      </w:r>
      <w:hyperlink r:id="rId16203">
        <w:r>
          <w:rPr>
            <w:color w:val="0000EE"/>
            <w:u w:val="single"/>
          </w:rPr>
          <w:t>Jr 4.8</w:t>
        </w:r>
      </w:hyperlink>
      <w:r>
        <w:t>) e colocar pano de saco nos lombos (</w:t>
      </w:r>
      <w:hyperlink r:id="rId13429">
        <w:r>
          <w:rPr>
            <w:color w:val="0000EE"/>
            <w:u w:val="single"/>
          </w:rPr>
          <w:t>Gn 37.34</w:t>
        </w:r>
      </w:hyperlink>
      <w:r>
        <w:t xml:space="preserve">; </w:t>
      </w:r>
      <w:hyperlink r:id="rId16204">
        <w:r>
          <w:rPr>
            <w:color w:val="0000EE"/>
            <w:u w:val="single"/>
          </w:rPr>
          <w:t>1Rs 20.31</w:t>
        </w:r>
      </w:hyperlink>
      <w:r>
        <w:t xml:space="preserve">; </w:t>
      </w:r>
      <w:hyperlink r:id="rId3932">
        <w:r>
          <w:rPr>
            <w:color w:val="0000EE"/>
            <w:u w:val="single"/>
          </w:rPr>
          <w:t>Jr 48.37</w:t>
        </w:r>
      </w:hyperlink>
      <w:r>
        <w:t>), embora mais de um tipo de vestimenta pudesse ter sido feita de pano de saco.</w:t>
      </w:r>
    </w:p>
    <w:p>
      <w:r/>
      <w:r>
        <w:t>O pano de saco estava principalmente associado ao luto (</w:t>
      </w:r>
      <w:hyperlink r:id="rId13429">
        <w:r>
          <w:rPr>
            <w:color w:val="0000EE"/>
            <w:u w:val="single"/>
          </w:rPr>
          <w:t>Gn 37.34</w:t>
        </w:r>
      </w:hyperlink>
      <w:r>
        <w:t xml:space="preserve">; </w:t>
      </w:r>
      <w:hyperlink r:id="rId16205">
        <w:r>
          <w:rPr>
            <w:color w:val="0000EE"/>
            <w:u w:val="single"/>
          </w:rPr>
          <w:t>1Rs 21.27</w:t>
        </w:r>
      </w:hyperlink>
      <w:r>
        <w:t xml:space="preserve">; </w:t>
      </w:r>
      <w:hyperlink r:id="rId3887">
        <w:r>
          <w:rPr>
            <w:color w:val="0000EE"/>
            <w:u w:val="single"/>
          </w:rPr>
          <w:t>Lm 2.10</w:t>
        </w:r>
      </w:hyperlink>
      <w:r>
        <w:t>). Era usado durante crises nacionais (</w:t>
      </w:r>
      <w:hyperlink r:id="rId16206">
        <w:r>
          <w:rPr>
            <w:color w:val="0000EE"/>
            <w:u w:val="single"/>
          </w:rPr>
          <w:t>2Rs 6.30</w:t>
        </w:r>
      </w:hyperlink>
      <w:r>
        <w:t xml:space="preserve">; </w:t>
      </w:r>
      <w:hyperlink r:id="rId13437">
        <w:r>
          <w:rPr>
            <w:color w:val="0000EE"/>
            <w:u w:val="single"/>
          </w:rPr>
          <w:t>Ne 9.1</w:t>
        </w:r>
      </w:hyperlink>
      <w:r>
        <w:t xml:space="preserve">; </w:t>
      </w:r>
      <w:hyperlink r:id="rId16207">
        <w:r>
          <w:rPr>
            <w:color w:val="0000EE"/>
            <w:u w:val="single"/>
          </w:rPr>
          <w:t>Is 37.1</w:t>
        </w:r>
      </w:hyperlink>
      <w:r>
        <w:t xml:space="preserve">; </w:t>
      </w:r>
      <w:hyperlink r:id="rId16208">
        <w:r>
          <w:rPr>
            <w:color w:val="0000EE"/>
            <w:u w:val="single"/>
          </w:rPr>
          <w:t>Jn 3.8</w:t>
        </w:r>
      </w:hyperlink>
      <w:r>
        <w:t>) assim como em crises pessoais, que eram momentos para o uso do pano de saco. Era usado por:</w:t>
      </w:r>
    </w:p>
    <w:p>
      <w:pPr>
        <w:pStyle w:val="ListBullet"/>
        <w:spacing w:line="240" w:lineRule="auto"/>
        <w:ind w:left="720"/>
      </w:pPr>
      <w:r/>
      <w:r>
        <w:t>Reis (</w:t>
      </w:r>
      <w:hyperlink r:id="rId16205">
        <w:r>
          <w:rPr>
            <w:color w:val="0000EE"/>
            <w:u w:val="single"/>
          </w:rPr>
          <w:t>1Rs 21.27</w:t>
        </w:r>
      </w:hyperlink>
      <w:r>
        <w:t xml:space="preserve">; </w:t>
      </w:r>
      <w:hyperlink r:id="rId16206">
        <w:r>
          <w:rPr>
            <w:color w:val="0000EE"/>
            <w:u w:val="single"/>
          </w:rPr>
          <w:t>2Rs 6.30</w:t>
        </w:r>
      </w:hyperlink>
      <w:r>
        <w:t>);</w:t>
      </w:r>
    </w:p>
    <w:p>
      <w:pPr>
        <w:pStyle w:val="ListBullet"/>
        <w:spacing w:line="240" w:lineRule="auto"/>
        <w:ind w:left="720"/>
      </w:pPr>
      <w:r/>
      <w:r>
        <w:t>Sacerdotes (</w:t>
      </w:r>
      <w:hyperlink r:id="rId13150">
        <w:r>
          <w:rPr>
            <w:color w:val="0000EE"/>
            <w:u w:val="single"/>
          </w:rPr>
          <w:t>Jl 1.13</w:t>
        </w:r>
      </w:hyperlink>
      <w:r>
        <w:t>);</w:t>
      </w:r>
    </w:p>
    <w:p>
      <w:pPr>
        <w:pStyle w:val="ListBullet"/>
        <w:spacing w:line="240" w:lineRule="auto"/>
        <w:ind w:left="720"/>
      </w:pPr>
      <w:r/>
      <w:r>
        <w:t>Anciãos (</w:t>
      </w:r>
      <w:hyperlink r:id="rId3887">
        <w:r>
          <w:rPr>
            <w:color w:val="0000EE"/>
            <w:u w:val="single"/>
          </w:rPr>
          <w:t>Lm 2.10</w:t>
        </w:r>
      </w:hyperlink>
      <w:r>
        <w:t>);</w:t>
      </w:r>
    </w:p>
    <w:p>
      <w:pPr>
        <w:pStyle w:val="ListBullet"/>
        <w:spacing w:line="240" w:lineRule="auto"/>
        <w:ind w:left="720"/>
      </w:pPr>
      <w:r/>
      <w:r>
        <w:t>Profetas (</w:t>
      </w:r>
      <w:hyperlink r:id="rId16209">
        <w:r>
          <w:rPr>
            <w:color w:val="0000EE"/>
            <w:u w:val="single"/>
          </w:rPr>
          <w:t>Is 20.2</w:t>
        </w:r>
      </w:hyperlink>
      <w:r>
        <w:t xml:space="preserve">; </w:t>
      </w:r>
      <w:hyperlink r:id="rId1498">
        <w:r>
          <w:rPr>
            <w:color w:val="0000EE"/>
            <w:u w:val="single"/>
          </w:rPr>
          <w:t>Zc 13.4</w:t>
        </w:r>
      </w:hyperlink>
      <w:r>
        <w:t>);</w:t>
      </w:r>
    </w:p>
    <w:p>
      <w:pPr>
        <w:pStyle w:val="ListBullet"/>
        <w:spacing w:line="240" w:lineRule="auto"/>
        <w:ind w:left="720"/>
      </w:pPr>
      <w:r/>
      <w:r>
        <w:t>Gado (</w:t>
      </w:r>
      <w:hyperlink r:id="rId16208">
        <w:r>
          <w:rPr>
            <w:color w:val="0000EE"/>
            <w:u w:val="single"/>
          </w:rPr>
          <w:t>Jn 3.8</w:t>
        </w:r>
      </w:hyperlink>
      <w:r>
        <w:t>).</w:t>
      </w:r>
    </w:p>
    <w:p>
      <w:r/>
      <w:r>
        <w:t>Era usado por aqueles que estavam se arrependendo (</w:t>
      </w:r>
      <w:hyperlink r:id="rId13437">
        <w:r>
          <w:rPr>
            <w:color w:val="0000EE"/>
            <w:u w:val="single"/>
          </w:rPr>
          <w:t>Ne 9.1</w:t>
        </w:r>
      </w:hyperlink>
      <w:r>
        <w:t xml:space="preserve">; </w:t>
      </w:r>
      <w:hyperlink r:id="rId13443">
        <w:r>
          <w:rPr>
            <w:color w:val="0000EE"/>
            <w:u w:val="single"/>
          </w:rPr>
          <w:t>Jr 6.26</w:t>
        </w:r>
      </w:hyperlink>
      <w:r>
        <w:t xml:space="preserve">; cp. </w:t>
      </w:r>
      <w:hyperlink r:id="rId9738">
        <w:r>
          <w:rPr>
            <w:color w:val="0000EE"/>
            <w:u w:val="single"/>
          </w:rPr>
          <w:t>Mt 11.21</w:t>
        </w:r>
      </w:hyperlink>
      <w:r>
        <w:t>). Esta prática não era limitada a Israel (</w:t>
      </w:r>
      <w:hyperlink r:id="rId16202">
        <w:r>
          <w:rPr>
            <w:color w:val="0000EE"/>
            <w:u w:val="single"/>
          </w:rPr>
          <w:t>Is 15.3</w:t>
        </w:r>
      </w:hyperlink>
      <w:r>
        <w:t xml:space="preserve">; </w:t>
      </w:r>
      <w:hyperlink r:id="rId10631">
        <w:r>
          <w:rPr>
            <w:color w:val="0000EE"/>
            <w:u w:val="single"/>
          </w:rPr>
          <w:t>Jr 49.3</w:t>
        </w:r>
      </w:hyperlink>
      <w:r>
        <w:t xml:space="preserve">; </w:t>
      </w:r>
      <w:hyperlink r:id="rId4112">
        <w:r>
          <w:rPr>
            <w:color w:val="0000EE"/>
            <w:u w:val="single"/>
          </w:rPr>
          <w:t>Ez 27.31</w:t>
        </w:r>
      </w:hyperlink>
      <w:r>
        <w:t xml:space="preserve">; </w:t>
      </w:r>
      <w:hyperlink r:id="rId13186">
        <w:r>
          <w:rPr>
            <w:color w:val="0000EE"/>
            <w:u w:val="single"/>
          </w:rPr>
          <w:t>Jn 3.5</w:t>
        </w:r>
      </w:hyperlink>
      <w:r>
        <w:t>).</w:t>
      </w:r>
    </w:p>
    <w:p>
      <w:r/>
      <w:r>
        <w:t>Foi sugerido que a textura áspera do tecido de saco era desconfortável e usada para punir quem o vestia. No entanto, não há evidências que apoiem essa ideia.</w:t>
      </w:r>
    </w:p>
    <w:p>
      <w:r/>
      <w:r>
        <w:rPr>
          <w:i/>
        </w:rPr>
        <w:t>Veja também</w:t>
      </w:r>
      <w:r>
        <w:t xml:space="preserve"> </w:t>
      </w:r>
      <w:r>
        <w:t>Enterro, Costumes de enterro</w:t>
      </w:r>
      <w:r>
        <w:t xml:space="preserve">; </w:t>
      </w:r>
      <w:r>
        <w:t>Luto</w:t>
      </w:r>
      <w:r>
        <w:t>.</w:t>
      </w:r>
      <w:r/>
      <w:r/>
    </w:p>
    <w:p>
      <w:r/>
    </w:p>
    <w:p>
      <w:pPr>
        <w:pStyle w:val="Heading2"/>
      </w:pPr>
      <w:r>
        <w:t>Pão</w:t>
      </w:r>
      <w:r/>
    </w:p>
    <w:p>
      <w:r/>
      <w:r>
        <w:t>Comida feita da massa de farinha ou de grãos moídos.</w:t>
      </w:r>
    </w:p>
    <w:p>
      <w:pPr>
        <w:pStyle w:val="Heading3"/>
      </w:pPr>
      <w:r>
        <w:t>Tipos de semente usados na fabricação de pão</w:t>
      </w:r>
    </w:p>
    <w:p>
      <w:r/>
      <w:r>
        <w:t>A Bíblia nos diz que trigo, cevada, centeio, feijão, lentilhas, milhete e maná foram usados para fazer pão.</w:t>
      </w:r>
    </w:p>
    <w:p>
      <w:pPr>
        <w:pStyle w:val="Heading4"/>
      </w:pPr>
      <w:r>
        <w:t>Trigo</w:t>
      </w:r>
    </w:p>
    <w:p>
      <w:r/>
      <w:r>
        <w:t xml:space="preserve">O trigo é mencionado com frequência nas Escrituras (cerca de 48 usos de quatro palavras hebraicas no AT; 14 usos de uma palavra grega no NT). O grão duro do inverno </w:t>
      </w:r>
      <w:r>
        <w:rPr>
          <w:i/>
        </w:rPr>
        <w:t>(Triticum aestivuum)</w:t>
      </w:r>
      <w:r>
        <w:t xml:space="preserve"> permanece o mais popular entre os fazendeiros da Palestina, que ainda semeiam no outono e colhem no verão seguinte.</w:t>
      </w:r>
    </w:p>
    <w:p>
      <w:pPr>
        <w:pStyle w:val="Heading4"/>
      </w:pPr>
      <w:r>
        <w:t>Cevada</w:t>
      </w:r>
    </w:p>
    <w:p>
      <w:r/>
      <w:r>
        <w:t>A cevada amadurece mais rapidamente e produz mais prolificamente do que o trigo. A praga de granizo no Egito destruiu a colheita de cevada porque havia amadurecido; ao mesmo tempo, trigo e centeio não haviam amadurecido (</w:t>
      </w:r>
      <w:hyperlink r:id="rId5207">
        <w:r>
          <w:rPr>
            <w:color w:val="0000EE"/>
            <w:u w:val="single"/>
          </w:rPr>
          <w:t>Êx 9.31–32</w:t>
        </w:r>
      </w:hyperlink>
      <w:r>
        <w:t>). A cevada é mencionada 32 vezes no AT. A cevada produziu uma colheita mesmo em tempo de fome (</w:t>
      </w:r>
      <w:hyperlink r:id="rId5105">
        <w:r>
          <w:rPr>
            <w:color w:val="0000EE"/>
            <w:u w:val="single"/>
          </w:rPr>
          <w:t>Rt 1.22</w:t>
        </w:r>
      </w:hyperlink>
      <w:r>
        <w:t xml:space="preserve">; </w:t>
      </w:r>
      <w:hyperlink r:id="rId583">
        <w:r>
          <w:rPr>
            <w:color w:val="0000EE"/>
            <w:u w:val="single"/>
          </w:rPr>
          <w:t>2.17,23</w:t>
        </w:r>
      </w:hyperlink>
      <w:r>
        <w:t xml:space="preserve">; </w:t>
      </w:r>
      <w:hyperlink r:id="rId16210">
        <w:r>
          <w:rPr>
            <w:color w:val="0000EE"/>
            <w:u w:val="single"/>
          </w:rPr>
          <w:t>3.2,15,17</w:t>
        </w:r>
      </w:hyperlink>
      <w:r>
        <w:t>) e era vendida mais barato do que o trigo (</w:t>
      </w:r>
      <w:hyperlink r:id="rId16211">
        <w:r>
          <w:rPr>
            <w:color w:val="0000EE"/>
            <w:u w:val="single"/>
          </w:rPr>
          <w:t>2Rs 7.1,16</w:t>
        </w:r>
      </w:hyperlink>
      <w:r>
        <w:t>). As pessoas mais pobres dependiam da cevada. O menino que contribuiu com seu almoço para Jesus para alimentar 5.000 tinha pão de cevada (</w:t>
      </w:r>
      <w:hyperlink r:id="rId16212">
        <w:r>
          <w:rPr>
            <w:color w:val="0000EE"/>
            <w:u w:val="single"/>
          </w:rPr>
          <w:t>Jo 6.9,13</w:t>
        </w:r>
      </w:hyperlink>
      <w:r>
        <w:t>). Os palestinos alimentavam o gado com cevada (</w:t>
      </w:r>
      <w:hyperlink r:id="rId16213">
        <w:r>
          <w:rPr>
            <w:color w:val="0000EE"/>
            <w:u w:val="single"/>
          </w:rPr>
          <w:t>1Rs 4.28</w:t>
        </w:r>
      </w:hyperlink>
      <w:r>
        <w:t>). A cevada no talo carrega uma casca maior com um fio longo e fino (assim, o nome em hebraico significa “cabelo longo”), o que dificulta a separação da palha. A maior probabilidade de matéria estranha na farinha, combinada com o sabor menos apreciado, tornava a cevada mais barata.</w:t>
      </w:r>
    </w:p>
    <w:p>
      <w:pPr>
        <w:pStyle w:val="Heading4"/>
      </w:pPr>
      <w:r>
        <w:t>Centeio</w:t>
      </w:r>
    </w:p>
    <w:p>
      <w:r/>
      <w:r>
        <w:t>“Centeio” traduz uma palavra hebraica que aparece em várias versões como “vícia”, “ervilhaca” ou “espelta” (</w:t>
      </w:r>
      <w:hyperlink r:id="rId8346">
        <w:r>
          <w:rPr>
            <w:color w:val="0000EE"/>
            <w:u w:val="single"/>
          </w:rPr>
          <w:t>Êx 9.32</w:t>
        </w:r>
      </w:hyperlink>
      <w:r>
        <w:t xml:space="preserve">; </w:t>
      </w:r>
      <w:hyperlink r:id="rId16214">
        <w:r>
          <w:rPr>
            <w:color w:val="0000EE"/>
            <w:u w:val="single"/>
          </w:rPr>
          <w:t>Is 28.25</w:t>
        </w:r>
      </w:hyperlink>
      <w:r>
        <w:t xml:space="preserve">; </w:t>
      </w:r>
      <w:hyperlink r:id="rId572">
        <w:r>
          <w:rPr>
            <w:color w:val="0000EE"/>
            <w:u w:val="single"/>
          </w:rPr>
          <w:t>Ez 4.9</w:t>
        </w:r>
      </w:hyperlink>
      <w:r>
        <w:t>). Um tipo de capim resistente, produz uma colheita mesmo em solo pobre. O pão de centeio ganhou popularidade no norte da Europa e, em certo grau, no Egito (</w:t>
      </w:r>
      <w:hyperlink r:id="rId8346">
        <w:r>
          <w:rPr>
            <w:color w:val="0000EE"/>
            <w:u w:val="single"/>
          </w:rPr>
          <w:t>Êx 9.32</w:t>
        </w:r>
      </w:hyperlink>
      <w:r>
        <w:t xml:space="preserve">). </w:t>
      </w:r>
      <w:hyperlink r:id="rId16215">
        <w:r>
          <w:rPr>
            <w:color w:val="0000EE"/>
            <w:u w:val="single"/>
          </w:rPr>
          <w:t>Isaías 28.24–28</w:t>
        </w:r>
      </w:hyperlink>
      <w:r>
        <w:t xml:space="preserve"> resume o trabalho dos fazendeiros em crescer e debulhar várias colheitas de sementes. Os judeus ocasionalmente faziam pão de centeio (</w:t>
      </w:r>
      <w:hyperlink r:id="rId572">
        <w:r>
          <w:rPr>
            <w:color w:val="0000EE"/>
            <w:u w:val="single"/>
          </w:rPr>
          <w:t>Ez 4.9</w:t>
        </w:r>
      </w:hyperlink>
      <w:r>
        <w:t>), mas normalmente o usavam para a alimentação do gado.</w:t>
      </w:r>
    </w:p>
    <w:p>
      <w:pPr>
        <w:pStyle w:val="Heading4"/>
      </w:pPr>
      <w:r>
        <w:t>Outras sementes</w:t>
      </w:r>
    </w:p>
    <w:p>
      <w:r/>
      <w:r>
        <w:t>Feijão, lentilhas e milhete eram moídos e misturados para fazer um pão, juntamente com trigo, cevada e espelta (</w:t>
      </w:r>
      <w:hyperlink r:id="rId572">
        <w:r>
          <w:rPr>
            <w:color w:val="0000EE"/>
            <w:u w:val="single"/>
          </w:rPr>
          <w:t>Ez 4.9</w:t>
        </w:r>
      </w:hyperlink>
      <w:r>
        <w:t>). O profeta Ezequiel comeu esta mistura como um sinal do “pão contaminado” que os judeus comiam em cativeiro entre os gentios.</w:t>
      </w:r>
    </w:p>
    <w:p>
      <w:pPr>
        <w:pStyle w:val="Heading4"/>
      </w:pPr>
      <w:r>
        <w:t>Maná</w:t>
      </w:r>
    </w:p>
    <w:p>
      <w:r/>
      <w:hyperlink r:id="rId13694">
        <w:r>
          <w:rPr>
            <w:color w:val="0000EE"/>
            <w:u w:val="single"/>
          </w:rPr>
          <w:t>Nm 11.8</w:t>
        </w:r>
      </w:hyperlink>
      <w:r>
        <w:t xml:space="preserve"> nos diz que as pessoas moíam o maná em moinhos ou o batiam em um almofariz e o coziam em panelas e faziam pão. No entanto, em seu estado principal, Deus o chamou de pão (veja </w:t>
      </w:r>
      <w:hyperlink r:id="rId16216">
        <w:r>
          <w:rPr>
            <w:color w:val="0000EE"/>
            <w:u w:val="single"/>
          </w:rPr>
          <w:t>Êx 16.4–32</w:t>
        </w:r>
      </w:hyperlink>
      <w:r>
        <w:t>). Parecia-se com semente de coentro (</w:t>
      </w:r>
      <w:hyperlink r:id="rId5101">
        <w:r>
          <w:rPr>
            <w:color w:val="0000EE"/>
            <w:u w:val="single"/>
          </w:rPr>
          <w:t>Êx 16.31</w:t>
        </w:r>
      </w:hyperlink>
      <w:r>
        <w:t xml:space="preserve">; </w:t>
      </w:r>
      <w:hyperlink r:id="rId3286">
        <w:r>
          <w:rPr>
            <w:color w:val="0000EE"/>
            <w:u w:val="single"/>
          </w:rPr>
          <w:t>Nm 11.7</w:t>
        </w:r>
      </w:hyperlink>
      <w:r>
        <w:t>); portanto, os grãos brancos opacos eram menores do que o trigo. Os hebreus se queixaram de que não tinham pão, e suas almas odiavam “este pão leve” (</w:t>
      </w:r>
      <w:hyperlink r:id="rId16217">
        <w:r>
          <w:rPr>
            <w:color w:val="0000EE"/>
            <w:u w:val="single"/>
          </w:rPr>
          <w:t>Nm 21.5</w:t>
        </w:r>
      </w:hyperlink>
      <w:r>
        <w:t>, KJV). O salmista o chamou de “o pão dos anjos” (</w:t>
      </w:r>
      <w:hyperlink r:id="rId13699">
        <w:r>
          <w:rPr>
            <w:color w:val="0000EE"/>
            <w:u w:val="single"/>
          </w:rPr>
          <w:t>Sl 78.25</w:t>
        </w:r>
      </w:hyperlink>
      <w:r>
        <w:t>).</w:t>
      </w:r>
    </w:p>
    <w:p>
      <w:pPr>
        <w:pStyle w:val="Heading3"/>
      </w:pPr>
      <w:r>
        <w:t>Equipamento usado na fabricação de pão</w:t>
      </w:r>
    </w:p>
    <w:p>
      <w:r/>
      <w:r>
        <w:t>As esculturas em baixo-relevo nas tumbas mastabas egípcias representam a maior parte dos utensílios usados nas padarias do antigo Oriente Próximo.</w:t>
      </w:r>
    </w:p>
    <w:p>
      <w:pPr>
        <w:pStyle w:val="Heading4"/>
      </w:pPr>
      <w:r>
        <w:t>Peneira</w:t>
      </w:r>
    </w:p>
    <w:p>
      <w:r/>
      <w:r>
        <w:t>Um dispositivo semelhante a um coador de vime ajudava a separar pequenas impurezas do grão.</w:t>
      </w:r>
    </w:p>
    <w:p>
      <w:pPr>
        <w:pStyle w:val="Heading4"/>
      </w:pPr>
      <w:r>
        <w:t>Pedras de moer</w:t>
      </w:r>
    </w:p>
    <w:p>
      <w:r/>
      <w:r>
        <w:t>Um par de pedras era moldado para que uma pedra superior fosse virada contra a pedra de fundo, esmagando grãos até se tornarem farinha.</w:t>
      </w:r>
    </w:p>
    <w:p>
      <w:pPr>
        <w:pStyle w:val="Heading4"/>
      </w:pPr>
      <w:r>
        <w:t>Frascos</w:t>
      </w:r>
    </w:p>
    <w:p>
      <w:r/>
      <w:r>
        <w:t>Os frascos de barro continham azeite, água e fermento líquido a ser misturado com a farinha para fazer massa (</w:t>
      </w:r>
      <w:hyperlink r:id="rId16114">
        <w:r>
          <w:rPr>
            <w:color w:val="0000EE"/>
            <w:u w:val="single"/>
          </w:rPr>
          <w:t>Lv 2.4</w:t>
        </w:r>
      </w:hyperlink>
      <w:r>
        <w:t xml:space="preserve">; </w:t>
      </w:r>
      <w:hyperlink r:id="rId15807">
        <w:r>
          <w:rPr>
            <w:color w:val="0000EE"/>
            <w:u w:val="single"/>
          </w:rPr>
          <w:t>1Rs 17.12–16</w:t>
        </w:r>
      </w:hyperlink>
      <w:r>
        <w:t>).</w:t>
      </w:r>
    </w:p>
    <w:p>
      <w:pPr>
        <w:pStyle w:val="Heading4"/>
      </w:pPr>
      <w:r>
        <w:t>Tigelas</w:t>
      </w:r>
    </w:p>
    <w:p>
      <w:r/>
      <w:r>
        <w:t>Tigelas de sovar (</w:t>
      </w:r>
      <w:hyperlink r:id="rId14691">
        <w:r>
          <w:rPr>
            <w:color w:val="0000EE"/>
            <w:u w:val="single"/>
          </w:rPr>
          <w:t>Êx 8.3</w:t>
        </w:r>
      </w:hyperlink>
      <w:r>
        <w:t xml:space="preserve">; </w:t>
      </w:r>
      <w:hyperlink r:id="rId16218">
        <w:r>
          <w:rPr>
            <w:color w:val="0000EE"/>
            <w:u w:val="single"/>
          </w:rPr>
          <w:t>12.34</w:t>
        </w:r>
      </w:hyperlink>
      <w:r>
        <w:t xml:space="preserve">; </w:t>
      </w:r>
      <w:hyperlink r:id="rId16219">
        <w:r>
          <w:rPr>
            <w:color w:val="0000EE"/>
            <w:u w:val="single"/>
          </w:rPr>
          <w:t>Dt 28.5,17</w:t>
        </w:r>
      </w:hyperlink>
      <w:r>
        <w:t>), tábuas ou mesas feitas de madeira, forneciam espaço para uma mistura completa de ingredientes.</w:t>
      </w:r>
    </w:p>
    <w:p>
      <w:pPr>
        <w:pStyle w:val="Heading4"/>
      </w:pPr>
      <w:r>
        <w:t>Panelas</w:t>
      </w:r>
    </w:p>
    <w:p>
      <w:r/>
      <w:r>
        <w:t>Os pobres usavam pedras planas aquecidas ou as paredes internas de seus fornos como assadeiras. A maioria das pessoas usava placas de ferro, pratos ou panelas (</w:t>
      </w:r>
      <w:hyperlink r:id="rId16220">
        <w:r>
          <w:rPr>
            <w:color w:val="0000EE"/>
            <w:u w:val="single"/>
          </w:rPr>
          <w:t>Lv 2.5</w:t>
        </w:r>
      </w:hyperlink>
      <w:r>
        <w:t xml:space="preserve">; </w:t>
      </w:r>
      <w:hyperlink r:id="rId16221">
        <w:r>
          <w:rPr>
            <w:color w:val="0000EE"/>
            <w:u w:val="single"/>
          </w:rPr>
          <w:t>6.21</w:t>
        </w:r>
      </w:hyperlink>
      <w:r>
        <w:t xml:space="preserve">; </w:t>
      </w:r>
      <w:hyperlink r:id="rId15727">
        <w:r>
          <w:rPr>
            <w:color w:val="0000EE"/>
            <w:u w:val="single"/>
          </w:rPr>
          <w:t>7.9</w:t>
        </w:r>
      </w:hyperlink>
      <w:r>
        <w:t xml:space="preserve">; </w:t>
      </w:r>
      <w:hyperlink r:id="rId13694">
        <w:r>
          <w:rPr>
            <w:color w:val="0000EE"/>
            <w:u w:val="single"/>
          </w:rPr>
          <w:t>Nm 11.8</w:t>
        </w:r>
      </w:hyperlink>
      <w:r>
        <w:t xml:space="preserve">; </w:t>
      </w:r>
      <w:hyperlink r:id="rId5746">
        <w:r>
          <w:rPr>
            <w:color w:val="0000EE"/>
            <w:u w:val="single"/>
          </w:rPr>
          <w:t>1Cr 9.31</w:t>
        </w:r>
      </w:hyperlink>
      <w:r>
        <w:t xml:space="preserve">; </w:t>
      </w:r>
      <w:hyperlink r:id="rId16222">
        <w:r>
          <w:rPr>
            <w:color w:val="0000EE"/>
            <w:u w:val="single"/>
          </w:rPr>
          <w:t>23.29</w:t>
        </w:r>
      </w:hyperlink>
      <w:r>
        <w:t xml:space="preserve">; </w:t>
      </w:r>
      <w:hyperlink r:id="rId16223">
        <w:r>
          <w:rPr>
            <w:color w:val="0000EE"/>
            <w:u w:val="single"/>
          </w:rPr>
          <w:t>2Cr 35.13</w:t>
        </w:r>
      </w:hyperlink>
      <w:r>
        <w:t xml:space="preserve">; </w:t>
      </w:r>
      <w:hyperlink r:id="rId14551">
        <w:r>
          <w:rPr>
            <w:color w:val="0000EE"/>
            <w:u w:val="single"/>
          </w:rPr>
          <w:t>Ez 4.3</w:t>
        </w:r>
      </w:hyperlink>
      <w:r>
        <w:t>). Essas eram muitas vezes planas, com alças de até 1,5 metros de comprimento. A massa colocada na chapa estava pronta para o calor.</w:t>
      </w:r>
    </w:p>
    <w:p>
      <w:pPr>
        <w:pStyle w:val="Heading4"/>
      </w:pPr>
      <w:r>
        <w:t>Fornos</w:t>
      </w:r>
    </w:p>
    <w:p>
      <w:r/>
      <w:r>
        <w:t>Às vezes os fornos tinham uma câmara separada do fogo, mas geralmente não. Um fogo de madeira, erva seca (</w:t>
      </w:r>
      <w:hyperlink r:id="rId16224">
        <w:r>
          <w:rPr>
            <w:color w:val="0000EE"/>
            <w:u w:val="single"/>
          </w:rPr>
          <w:t>Mt 6.30</w:t>
        </w:r>
      </w:hyperlink>
      <w:r>
        <w:t>), ou esterco (</w:t>
      </w:r>
      <w:hyperlink r:id="rId5211">
        <w:r>
          <w:rPr>
            <w:color w:val="0000EE"/>
            <w:u w:val="single"/>
          </w:rPr>
          <w:t>Ez 4.12,15</w:t>
        </w:r>
      </w:hyperlink>
      <w:r>
        <w:t>) aquecia o forno (</w:t>
      </w:r>
      <w:hyperlink r:id="rId16114">
        <w:r>
          <w:rPr>
            <w:color w:val="0000EE"/>
            <w:u w:val="single"/>
          </w:rPr>
          <w:t>Lv 2.4</w:t>
        </w:r>
      </w:hyperlink>
      <w:r>
        <w:t xml:space="preserve">; </w:t>
      </w:r>
      <w:hyperlink r:id="rId15727">
        <w:r>
          <w:rPr>
            <w:color w:val="0000EE"/>
            <w:u w:val="single"/>
          </w:rPr>
          <w:t>7.9</w:t>
        </w:r>
      </w:hyperlink>
      <w:r>
        <w:t xml:space="preserve">; </w:t>
      </w:r>
      <w:hyperlink r:id="rId16225">
        <w:r>
          <w:rPr>
            <w:color w:val="0000EE"/>
            <w:u w:val="single"/>
          </w:rPr>
          <w:t>11.35</w:t>
        </w:r>
      </w:hyperlink>
      <w:r>
        <w:t xml:space="preserve">; </w:t>
      </w:r>
      <w:hyperlink r:id="rId16115">
        <w:r>
          <w:rPr>
            <w:color w:val="0000EE"/>
            <w:u w:val="single"/>
          </w:rPr>
          <w:t>26.26</w:t>
        </w:r>
      </w:hyperlink>
      <w:r>
        <w:t xml:space="preserve">; </w:t>
      </w:r>
      <w:hyperlink r:id="rId16226">
        <w:r>
          <w:rPr>
            <w:color w:val="0000EE"/>
            <w:u w:val="single"/>
          </w:rPr>
          <w:t>Os 7.4–7</w:t>
        </w:r>
      </w:hyperlink>
      <w:r>
        <w:t>). Enquanto as brasas e as paredes do forno retinham seu calor, o prato que carregava o pão era inserido. Bolos sem fermento planos, duros, ou pequenos bolos levedados (</w:t>
      </w:r>
      <w:hyperlink r:id="rId16227">
        <w:r>
          <w:rPr>
            <w:color w:val="0000EE"/>
            <w:u w:val="single"/>
          </w:rPr>
          <w:t>Mt 14.17</w:t>
        </w:r>
      </w:hyperlink>
      <w:r>
        <w:t xml:space="preserve">; </w:t>
      </w:r>
      <w:hyperlink r:id="rId16228">
        <w:r>
          <w:rPr>
            <w:color w:val="0000EE"/>
            <w:u w:val="single"/>
          </w:rPr>
          <w:t>Mc 6.38</w:t>
        </w:r>
      </w:hyperlink>
      <w:r>
        <w:t xml:space="preserve">; </w:t>
      </w:r>
      <w:hyperlink r:id="rId16229">
        <w:r>
          <w:rPr>
            <w:color w:val="0000EE"/>
            <w:u w:val="single"/>
          </w:rPr>
          <w:t>Lc 9.13</w:t>
        </w:r>
      </w:hyperlink>
      <w:r>
        <w:t>) eram feitos em poucos minutos. Grandes pães com cerca de 30 centímetros de diâmetro cresceriam até mais de 7,6 centímetros de espessura, pesariam aproximadamente 1 quilo e exigiriam cerca de 45 minutos para assar (</w:t>
      </w:r>
      <w:hyperlink r:id="rId5215">
        <w:r>
          <w:rPr>
            <w:color w:val="0000EE"/>
            <w:u w:val="single"/>
          </w:rPr>
          <w:t>1Sm 17.17</w:t>
        </w:r>
      </w:hyperlink>
      <w:r>
        <w:t xml:space="preserve">; </w:t>
      </w:r>
      <w:hyperlink r:id="rId16230">
        <w:r>
          <w:rPr>
            <w:color w:val="0000EE"/>
            <w:u w:val="single"/>
          </w:rPr>
          <w:t>2Sm 16.1</w:t>
        </w:r>
      </w:hyperlink>
      <w:r>
        <w:t>).</w:t>
      </w:r>
    </w:p>
    <w:p>
      <w:pPr>
        <w:pStyle w:val="Heading3"/>
      </w:pPr>
      <w:r>
        <w:t>Pão como um símbolo</w:t>
      </w:r>
    </w:p>
    <w:p>
      <w:r/>
      <w:r>
        <w:t>O pão era muito importante para a vida e a sobrevivência nos tempos bíblicos. Por isso, a Bíblia o utiliza para ensinar verdades espirituais. No Antigo Testamento, os sacerdotes tinham que colocar pães especiais sobre uma mesa no lugar santo, no tabernáculo e, posteriormente, no templo (</w:t>
      </w:r>
      <w:hyperlink r:id="rId16231">
        <w:r>
          <w:rPr>
            <w:color w:val="0000EE"/>
            <w:u w:val="single"/>
          </w:rPr>
          <w:t>Êx 25.30</w:t>
        </w:r>
      </w:hyperlink>
      <w:r>
        <w:t xml:space="preserve">). Esse pão era chamado de "Pão da Presença". </w:t>
      </w:r>
    </w:p>
    <w:p>
      <w:r/>
      <w:r>
        <w:t>Tanto a lei do Antigo Testamento quanto Jesus ensinam que "nem só de pão viverá o homem, mas de toda palavra que sai da boca de Deus" (</w:t>
      </w:r>
      <w:hyperlink r:id="rId16161">
        <w:r>
          <w:rPr>
            <w:color w:val="0000EE"/>
            <w:u w:val="single"/>
          </w:rPr>
          <w:t>Mt 4.4</w:t>
        </w:r>
      </w:hyperlink>
      <w:r>
        <w:t xml:space="preserve">; </w:t>
      </w:r>
      <w:hyperlink r:id="rId341">
        <w:r>
          <w:rPr>
            <w:color w:val="0000EE"/>
            <w:u w:val="single"/>
          </w:rPr>
          <w:t>Dt 8.3</w:t>
        </w:r>
      </w:hyperlink>
      <w:r>
        <w:t>). Todos os quatro Evangelhos contam histórias de Jesus multiplicando pães para alimentar grandes multidões (</w:t>
      </w:r>
      <w:hyperlink r:id="rId11747">
        <w:r>
          <w:rPr>
            <w:color w:val="0000EE"/>
            <w:u w:val="single"/>
          </w:rPr>
          <w:t>Mt 14.13–21</w:t>
        </w:r>
      </w:hyperlink>
      <w:r>
        <w:t xml:space="preserve">; </w:t>
      </w:r>
      <w:hyperlink r:id="rId11748">
        <w:r>
          <w:rPr>
            <w:color w:val="0000EE"/>
            <w:u w:val="single"/>
          </w:rPr>
          <w:t>Mc 6.30–44</w:t>
        </w:r>
      </w:hyperlink>
      <w:r>
        <w:t xml:space="preserve">; </w:t>
      </w:r>
      <w:hyperlink r:id="rId3511">
        <w:r>
          <w:rPr>
            <w:color w:val="0000EE"/>
            <w:u w:val="single"/>
          </w:rPr>
          <w:t>Lc 9.10–17</w:t>
        </w:r>
      </w:hyperlink>
      <w:r>
        <w:t xml:space="preserve">; </w:t>
      </w:r>
      <w:hyperlink r:id="rId16232">
        <w:r>
          <w:rPr>
            <w:color w:val="0000EE"/>
            <w:u w:val="single"/>
          </w:rPr>
          <w:t>Jo 6.1–14</w:t>
        </w:r>
      </w:hyperlink>
      <w:r>
        <w:t>). Jesus explicou que o verdadeiro "pão da vida" não era o maná que Deus enviou do céu aos israelitas no deserto. Em vez disso, o próprio Jesus é o verdadeiro pão da vida que dá a vida eterna (</w:t>
      </w:r>
      <w:hyperlink r:id="rId16233">
        <w:r>
          <w:rPr>
            <w:color w:val="0000EE"/>
            <w:u w:val="single"/>
          </w:rPr>
          <w:t>Jo 6.28–35</w:t>
        </w:r>
      </w:hyperlink>
      <w:r>
        <w:t xml:space="preserve">). </w:t>
      </w:r>
    </w:p>
    <w:p>
      <w:r/>
      <w:r>
        <w:t>Antes de sua morte, Jesus tomou o pão e o compartilhou com seus discípulos, juntamente com o vinho. Ele apresentou o pão como símbolo de seu corpo e o vinho como símbolo de seu sangue. Isso porque sua morte seria o sacrifício pelos pecados do mundo. Ao comerem esse pão e beberem esse vinho, os discípulos aceitaram o sacrifício de Jesus por seus pecados (</w:t>
      </w:r>
      <w:hyperlink r:id="rId6008">
        <w:r>
          <w:rPr>
            <w:color w:val="0000EE"/>
            <w:u w:val="single"/>
          </w:rPr>
          <w:t>Mt 26.26–29</w:t>
        </w:r>
      </w:hyperlink>
      <w:r>
        <w:t xml:space="preserve">). Em </w:t>
      </w:r>
      <w:hyperlink r:id="rId5614">
        <w:r>
          <w:rPr>
            <w:color w:val="0000EE"/>
            <w:u w:val="single"/>
          </w:rPr>
          <w:t>Apocalipse 2.17</w:t>
        </w:r>
      </w:hyperlink>
      <w:r>
        <w:t>, Jesus faz esta misteriosa promessa: "Ao vencedor, eu darei o maná escondido".</w:t>
      </w:r>
    </w:p>
    <w:p>
      <w:r/>
      <w:r>
        <w:rPr>
          <w:i/>
        </w:rPr>
        <w:t>Veja também</w:t>
      </w:r>
      <w:r>
        <w:t xml:space="preserve"> </w:t>
      </w:r>
      <w:r>
        <w:t>Alimentos e Preparação de Alimentos</w:t>
      </w:r>
      <w:r>
        <w:t xml:space="preserve">; </w:t>
      </w:r>
      <w:r>
        <w:t>Refeições, Significado de</w:t>
      </w:r>
      <w:r>
        <w:t xml:space="preserve">; </w:t>
      </w:r>
      <w:r>
        <w:t>Pão da Presença</w:t>
      </w:r>
      <w:r>
        <w:t xml:space="preserve">; </w:t>
      </w:r>
      <w:r>
        <w:t>Fermento</w:t>
      </w:r>
      <w:r>
        <w:t xml:space="preserve">; </w:t>
      </w:r>
      <w:r>
        <w:t>Pães sem fermento</w:t>
      </w:r>
      <w:r>
        <w:t>.</w:t>
      </w:r>
      <w:r/>
      <w:r/>
    </w:p>
    <w:p>
      <w:r/>
    </w:p>
    <w:p>
      <w:pPr>
        <w:pStyle w:val="Heading2"/>
      </w:pPr>
      <w:r>
        <w:t>Pão ázimo</w:t>
      </w:r>
      <w:r/>
    </w:p>
    <w:p>
      <w:r/>
      <w:r>
        <w:t>Um pão feito sem fermento (levedura). Nos tempos antigos, os padeiros usavam um pedaço de massa deixado de uma fornada anterior. Esse pedaço havia fermentado e desenvolvido um certo teor de ácido. Este era o fermento que fazia o pão crescer.</w:t>
      </w:r>
    </w:p>
    <w:p>
      <w:r/>
      <w:r>
        <w:t>Por ordem de Deus, o pão para a Páscoa judaica deve ser sem fermento. Isso se aplica à maioria das outras observâncias religiosas também (</w:t>
      </w:r>
      <w:hyperlink r:id="rId16234">
        <w:r>
          <w:rPr>
            <w:color w:val="0000EE"/>
            <w:u w:val="single"/>
          </w:rPr>
          <w:t>Êx 12.15–20</w:t>
        </w:r>
      </w:hyperlink>
      <w:r>
        <w:t xml:space="preserve">; </w:t>
      </w:r>
      <w:hyperlink r:id="rId13069">
        <w:r>
          <w:rPr>
            <w:color w:val="0000EE"/>
            <w:u w:val="single"/>
          </w:rPr>
          <w:t>23.15</w:t>
        </w:r>
      </w:hyperlink>
      <w:r>
        <w:t>). O povo podia usar pão fermentado para propósitos espirituais apenas em certos casos (</w:t>
      </w:r>
      <w:hyperlink r:id="rId9204">
        <w:r>
          <w:rPr>
            <w:color w:val="0000EE"/>
            <w:u w:val="single"/>
          </w:rPr>
          <w:t>Lv 7.13</w:t>
        </w:r>
      </w:hyperlink>
      <w:r>
        <w:t xml:space="preserve">; </w:t>
      </w:r>
      <w:hyperlink r:id="rId9205">
        <w:r>
          <w:rPr>
            <w:color w:val="0000EE"/>
            <w:u w:val="single"/>
          </w:rPr>
          <w:t>23.17</w:t>
        </w:r>
      </w:hyperlink>
      <w:r>
        <w:t>). Isso se devia ao símbolo do mal que o fermento representava; a fermentação implicava decadência.</w:t>
      </w:r>
    </w:p>
    <w:p>
      <w:r/>
      <w:r>
        <w:t>O Novo Testamento fala do fermento de forma negativa, exceto pelo ensinamento de Jesus sobre o reino de Deus (</w:t>
      </w:r>
      <w:hyperlink r:id="rId9212">
        <w:r>
          <w:rPr>
            <w:color w:val="0000EE"/>
            <w:u w:val="single"/>
          </w:rPr>
          <w:t>Mt 13.33</w:t>
        </w:r>
      </w:hyperlink>
      <w:r>
        <w:t>).</w:t>
      </w:r>
    </w:p>
    <w:p>
      <w:pPr>
        <w:pStyle w:val="ListBullet"/>
        <w:spacing w:line="240" w:lineRule="auto"/>
        <w:ind w:left="720"/>
      </w:pPr>
      <w:r/>
      <w:r>
        <w:t>Jesus advertiu sobre o fermento dos fariseus e saduceus (</w:t>
      </w:r>
      <w:hyperlink r:id="rId9208">
        <w:r>
          <w:rPr>
            <w:color w:val="0000EE"/>
            <w:u w:val="single"/>
          </w:rPr>
          <w:t>Mt 16.6</w:t>
        </w:r>
      </w:hyperlink>
      <w:r>
        <w:t>);</w:t>
      </w:r>
    </w:p>
    <w:p>
      <w:pPr>
        <w:pStyle w:val="ListBullet"/>
        <w:spacing w:line="240" w:lineRule="auto"/>
        <w:ind w:left="720"/>
      </w:pPr>
      <w:r/>
      <w:r>
        <w:t>Paulo exortou os crentes a se protegerem contra valores prejudiciais. Eles podem se espalhar como fermento na massa (</w:t>
      </w:r>
      <w:hyperlink r:id="rId5769">
        <w:r>
          <w:rPr>
            <w:color w:val="0000EE"/>
            <w:u w:val="single"/>
          </w:rPr>
          <w:t>1Co 5.6–8</w:t>
        </w:r>
      </w:hyperlink>
      <w:r>
        <w:t>).</w:t>
      </w:r>
    </w:p>
    <w:p>
      <w:r/>
      <w:r>
        <w:rPr>
          <w:i/>
        </w:rPr>
        <w:t>Veja também</w:t>
      </w:r>
      <w:r>
        <w:t xml:space="preserve"> </w:t>
      </w:r>
      <w:r>
        <w:t>Pão</w:t>
      </w:r>
      <w:r>
        <w:t xml:space="preserve">; </w:t>
      </w:r>
      <w:r>
        <w:t>Comida e preparação de alimentos</w:t>
      </w:r>
      <w:r>
        <w:t xml:space="preserve">; </w:t>
      </w:r>
      <w:r>
        <w:t>Fermento</w:t>
      </w:r>
      <w:r>
        <w:t>.</w:t>
      </w:r>
      <w:r/>
      <w:r/>
    </w:p>
    <w:p>
      <w:r/>
    </w:p>
    <w:p>
      <w:pPr>
        <w:pStyle w:val="Heading2"/>
      </w:pPr>
      <w:r>
        <w:t>Pão Da Presença</w:t>
      </w:r>
      <w:r/>
    </w:p>
    <w:p>
      <w:r/>
      <w:r>
        <w:t>Pães colocados em uma mesa especial no santuário ou Lugar Santo do tabernáculo e mais tarde no templo. Dois outros termos no AT são usados para descrever o “pão da Presença”, que significa pão que foi colocado diante da face do Senhor (</w:t>
      </w:r>
      <w:hyperlink r:id="rId16235">
        <w:r>
          <w:rPr>
            <w:color w:val="0000EE"/>
            <w:u w:val="single"/>
          </w:rPr>
          <w:t>Êx 25.23, 30</w:t>
        </w:r>
      </w:hyperlink>
      <w:r>
        <w:t xml:space="preserve">; </w:t>
      </w:r>
      <w:hyperlink r:id="rId16236">
        <w:r>
          <w:rPr>
            <w:color w:val="0000EE"/>
            <w:u w:val="single"/>
          </w:rPr>
          <w:t>35.13</w:t>
        </w:r>
      </w:hyperlink>
      <w:r>
        <w:t xml:space="preserve">; </w:t>
      </w:r>
      <w:hyperlink r:id="rId16237">
        <w:r>
          <w:rPr>
            <w:color w:val="0000EE"/>
            <w:u w:val="single"/>
          </w:rPr>
          <w:t>39.36</w:t>
        </w:r>
      </w:hyperlink>
      <w:r>
        <w:t xml:space="preserve">; </w:t>
      </w:r>
      <w:hyperlink r:id="rId16238">
        <w:r>
          <w:rPr>
            <w:color w:val="0000EE"/>
            <w:u w:val="single"/>
          </w:rPr>
          <w:t>1Rs 7.48</w:t>
        </w:r>
      </w:hyperlink>
      <w:r>
        <w:t xml:space="preserve">; </w:t>
      </w:r>
      <w:hyperlink r:id="rId16239">
        <w:r>
          <w:rPr>
            <w:color w:val="0000EE"/>
            <w:u w:val="single"/>
          </w:rPr>
          <w:t>2Cr 4.19</w:t>
        </w:r>
      </w:hyperlink>
      <w:r>
        <w:t>). O termo “pão da proposição” (ARA, ARC, NAA) se refere ao arranjo do pão em fileiras na mesa (</w:t>
      </w:r>
      <w:hyperlink r:id="rId5043">
        <w:r>
          <w:rPr>
            <w:color w:val="0000EE"/>
            <w:u w:val="single"/>
          </w:rPr>
          <w:t>1Cr 9.32</w:t>
        </w:r>
      </w:hyperlink>
      <w:r>
        <w:t xml:space="preserve">; </w:t>
      </w:r>
      <w:hyperlink r:id="rId16222">
        <w:r>
          <w:rPr>
            <w:color w:val="0000EE"/>
            <w:u w:val="single"/>
          </w:rPr>
          <w:t>23.29</w:t>
        </w:r>
      </w:hyperlink>
      <w:r>
        <w:t xml:space="preserve">; </w:t>
      </w:r>
      <w:hyperlink r:id="rId16240">
        <w:r>
          <w:rPr>
            <w:color w:val="0000EE"/>
            <w:u w:val="single"/>
          </w:rPr>
          <w:t>28.16</w:t>
        </w:r>
      </w:hyperlink>
      <w:r>
        <w:t xml:space="preserve">; </w:t>
      </w:r>
      <w:hyperlink r:id="rId13338">
        <w:r>
          <w:rPr>
            <w:color w:val="0000EE"/>
            <w:u w:val="single"/>
          </w:rPr>
          <w:t>2Cr 2.4</w:t>
        </w:r>
      </w:hyperlink>
      <w:r>
        <w:t xml:space="preserve">; </w:t>
      </w:r>
      <w:hyperlink r:id="rId16241">
        <w:r>
          <w:rPr>
            <w:color w:val="0000EE"/>
            <w:u w:val="single"/>
          </w:rPr>
          <w:t>13.11</w:t>
        </w:r>
      </w:hyperlink>
      <w:r>
        <w:t xml:space="preserve">; </w:t>
      </w:r>
      <w:hyperlink r:id="rId993">
        <w:r>
          <w:rPr>
            <w:color w:val="0000EE"/>
            <w:u w:val="single"/>
          </w:rPr>
          <w:t>29.18</w:t>
        </w:r>
      </w:hyperlink>
      <w:r>
        <w:t>).</w:t>
      </w:r>
    </w:p>
    <w:p>
      <w:r/>
      <w:r>
        <w:t>Embora a mesa dos pães da proposição, o altar do incenso e o candelabro de ouro não estivessem no Santo dos Santos, eles eram, no entanto, considerados como estando na presença de Deus. Como uma oferta colocada diante da presença de Deus, os pães eram considerados santos e poderiam ser comidos apenas pelos sacerdotes. Mais tarde na história de Israel, a provisão para oferecer o pão da Presença, bem como outros serviços do templo foi financiada por um imposto de um terço de siclos sobre todos os cidadãos (</w:t>
      </w:r>
      <w:hyperlink r:id="rId16242">
        <w:r>
          <w:rPr>
            <w:color w:val="0000EE"/>
            <w:u w:val="single"/>
          </w:rPr>
          <w:t>Ne 10.32–33</w:t>
        </w:r>
      </w:hyperlink>
      <w:r>
        <w:t>).</w:t>
      </w:r>
    </w:p>
    <w:p>
      <w:r/>
      <w:r>
        <w:t>O pão da Presença consistia em 12 pães muito grandes, cada um feito de um quinto de medida de farinha fina. Uma vez que uma medida era pouco mais de um alqueire, dois alqueires e meio (30,3 litros) de trigo finamente moído eram necessários para fazer os 12 pães. Eles foram polvilhados com incenso, dispostos em duas fileiras, uma apoiada na outra, e colocados na mesa dos pães da proposição (</w:t>
      </w:r>
      <w:hyperlink r:id="rId16243">
        <w:r>
          <w:rPr>
            <w:color w:val="0000EE"/>
            <w:u w:val="single"/>
          </w:rPr>
          <w:t>Lv 24.5–9</w:t>
        </w:r>
      </w:hyperlink>
      <w:r>
        <w:t>). Organizado dessa maneira, o pão se tornou uma “oferta de comida” ao Senhor. Os pães eram trocados semanalmente no dia de sábado.</w:t>
      </w:r>
    </w:p>
    <w:p>
      <w:r/>
      <w:r>
        <w:t>O pão da Presença é apresentado em um incidente lembrado no NT. O tabernáculo estava em Nobe quando Davi estava fugindo da presença do rei Saul. Davi foi até Aimeleque, o sacerdote, em busca de comida (</w:t>
      </w:r>
      <w:hyperlink r:id="rId16244">
        <w:r>
          <w:rPr>
            <w:color w:val="0000EE"/>
            <w:u w:val="single"/>
          </w:rPr>
          <w:t>1Sm 21.1–6</w:t>
        </w:r>
      </w:hyperlink>
      <w:r>
        <w:t>). Aimeleque tinha apenas os pães da proposição, que ele concordou em compartilhar com os homens de Davi, desde que eles tivessem sido sexualmente continente por um período antes de sua comida. Jesus mais tarde se referiu ao incidente como um paralelo ao seu próprio ministério de suprir as necessidades daqueles que o seguiram (</w:t>
      </w:r>
      <w:hyperlink r:id="rId649">
        <w:r>
          <w:rPr>
            <w:color w:val="0000EE"/>
            <w:u w:val="single"/>
          </w:rPr>
          <w:t>Mt 12.1–8</w:t>
        </w:r>
      </w:hyperlink>
      <w:r>
        <w:t xml:space="preserve">; </w:t>
      </w:r>
      <w:hyperlink r:id="rId16245">
        <w:r>
          <w:rPr>
            <w:color w:val="0000EE"/>
            <w:u w:val="single"/>
          </w:rPr>
          <w:t>Mc 2.25–26</w:t>
        </w:r>
      </w:hyperlink>
      <w:r>
        <w:t xml:space="preserve">; </w:t>
      </w:r>
      <w:hyperlink r:id="rId2300">
        <w:r>
          <w:rPr>
            <w:color w:val="0000EE"/>
            <w:u w:val="single"/>
          </w:rPr>
          <w:t>Lc 6.1–5</w:t>
        </w:r>
      </w:hyperlink>
      <w:r>
        <w:t>). Como ungido de Deus, Davi e seus homens tiveram permissão para comer o pão santo. Da mesma forma Jesus, o ungido de Deus, proveu para as necessidades dos outros, apesar dos regulamentos do sábado.</w:t>
      </w:r>
    </w:p>
    <w:p>
      <w:r/>
      <w:r>
        <w:rPr>
          <w:i/>
        </w:rPr>
        <w:t>Ver também</w:t>
      </w:r>
      <w:r>
        <w:t xml:space="preserve"> </w:t>
      </w:r>
      <w:r>
        <w:t>Tabernáculo</w:t>
      </w:r>
      <w:r>
        <w:t xml:space="preserve">; </w:t>
      </w:r>
      <w:r>
        <w:t>Templo</w:t>
      </w:r>
      <w:r>
        <w:t>.</w:t>
      </w:r>
      <w:r/>
      <w:r/>
    </w:p>
    <w:p>
      <w:r/>
    </w:p>
    <w:p>
      <w:pPr>
        <w:pStyle w:val="Heading2"/>
      </w:pPr>
      <w:r>
        <w:t>Papiros elefantinos</w:t>
      </w:r>
      <w:r/>
    </w:p>
    <w:p>
      <w:r/>
      <w:r>
        <w:t>Uma série de documentos aramaicos do quinto século a.C. foi descoberta em Elefantina, uma ilha no Rio Nilo. No quinto século a.C., Elefantina era um posto militar da Pérsia. Alguns soldados judeus e suas famílias viviam lá.</w:t>
      </w:r>
    </w:p>
    <w:p>
      <w:r/>
      <w:r>
        <w:t>Mais de 100 documentos foram encontrados. Eles pertenciam a três grupos: duas coleções familiares e uma coleção comunitária. Muitos dos documentos eram pergaminhos completos que ainda estavam amarrados e selados quando foram encontrados. Havia também muitos papiros quebrados (papel feito de plantas).</w:t>
      </w:r>
    </w:p>
    <w:p>
      <w:r/>
      <w:r>
        <w:t>Os manuscritos são muito importantes para o estudo do passado. Eles são vários séculos mais antigos do que a maioria dos Rolos do Mar Morto. Eles mostram como os judeus fora de Israel viviam social, política e religiosamente. Existem várias semelhanças com os livros de Esdras e Neemias.</w:t>
      </w:r>
    </w:p>
    <w:p>
      <w:r/>
      <w:r>
        <w:t>A maioria desses documentos trata de leis. Eles nos ajudam a entender como as leis mudaram ao longo do tempo naquela região do mundo. Os textos também mostram como as pessoas falavam aramaico. Eles abordam a vida cotidiana em uma base militar persa que estava distante da Pérsia.</w:t>
      </w:r>
    </w:p>
    <w:p>
      <w:pPr>
        <w:pStyle w:val="Heading3"/>
      </w:pPr>
      <w:r>
        <w:t>Antiga Elefantina</w:t>
      </w:r>
    </w:p>
    <w:p>
      <w:r/>
      <w:r>
        <w:t>Elefantina estava em uma pequena ilha no Rio Nilo, perto de uma grande cachoeira em frente à cidade de Sinim (agora Aswan). A Bíblia provavelmente se refere a essas duas cidades quando menciona "de Migdol a Sinim" (</w:t>
      </w:r>
      <w:hyperlink r:id="rId8615">
        <w:r>
          <w:rPr>
            <w:color w:val="0000EE"/>
            <w:u w:val="single"/>
          </w:rPr>
          <w:t>Ez 29.10</w:t>
        </w:r>
      </w:hyperlink>
      <w:r>
        <w:t xml:space="preserve">; </w:t>
      </w:r>
      <w:hyperlink r:id="rId14394">
        <w:r>
          <w:rPr>
            <w:color w:val="0000EE"/>
            <w:u w:val="single"/>
          </w:rPr>
          <w:t>30.6.</w:t>
        </w:r>
      </w:hyperlink>
      <w:r>
        <w:t xml:space="preserve"> Isso significa da borda norte à borda sul do Egito. </w:t>
      </w:r>
      <w:r>
        <w:rPr>
          <w:i/>
        </w:rPr>
        <w:t>Elefantina</w:t>
      </w:r>
      <w:r>
        <w:t xml:space="preserve"> vem da versão aramaica de um nome egípcio que significa "cidade dos marfins" e foi traduzido para o grego</w:t>
      </w:r>
      <w:r>
        <w:rPr>
          <w:i/>
        </w:rPr>
        <w:t>.</w:t>
      </w:r>
      <w:r>
        <w:t xml:space="preserve"> Era um local importante na fronteira sul do Egito com a Núbia. Assim, provavelmente foi protegida por muros já em 2700 a.C. e teve um papel significativo na história militar do Egito.</w:t>
      </w:r>
    </w:p>
    <w:p>
      <w:r/>
      <w:r>
        <w:t>Elefantina também era importante para o comércio. Os barcos não podiam navegar além da cachoeira, então tinham que parar em Elefantina e Sinim. Cada cidade tinha portos com soldados que protegiam o comércio de marfim, peles de animais, especiarias, minerais, escravos e alimentos. Elefantina também era um centro religioso com um templo dedicado a Khnum, um deus egípcio que controlava as inundações do Nilo.</w:t>
      </w:r>
    </w:p>
    <w:p>
      <w:pPr>
        <w:pStyle w:val="Heading3"/>
      </w:pPr>
      <w:r>
        <w:t>Descoberta dos papiros</w:t>
      </w:r>
    </w:p>
    <w:p>
      <w:r/>
      <w:r>
        <w:t>Após a descoberta dos papiros, Elefantina tornou-se importante para os arqueólogos. Eles foram encontrados em três etapas.</w:t>
      </w:r>
    </w:p>
    <w:p>
      <w:r/>
      <w:r>
        <w:t>O primeiro grupo foi publicado em 1906. Eles foram comprados de comerciantes de antiguidades (pessoas que coletam e vendem achados antigos) e mantidos no Museu do Cairo. Esta publicação levou arqueólogos alemães e franceses a escavarem em Elefantina para descobrir mais papiros.</w:t>
      </w:r>
    </w:p>
    <w:p>
      <w:r/>
      <w:r>
        <w:t>Os arqueólogos descobriram o grupo Segundo em 1911. Eles foram preservados no Museu de Berlim.</w:t>
      </w:r>
    </w:p>
    <w:p>
      <w:r/>
      <w:r>
        <w:t>O grupo final de papiros já havia sido encontrado. Em 1893, o estudioso americano C. E. Wilbour comprou papiros de algumas mulheres árabes em Aswan. Quando ele morreu, a filha de Wilbour os doou ao Museu do Brooklyn. Eles foram publicados em 1953.</w:t>
      </w:r>
    </w:p>
    <w:p>
      <w:r/>
      <w:r>
        <w:t>Todas as outras escavações desde 1912 não encontraram mais papiros.</w:t>
      </w:r>
    </w:p>
    <w:p>
      <w:pPr>
        <w:pStyle w:val="Heading3"/>
      </w:pPr>
      <w:r>
        <w:t>Colônia judaica</w:t>
      </w:r>
    </w:p>
    <w:p>
      <w:r/>
      <w:r>
        <w:t>Quando os papiros foram escritos, os judeus já viviam em Elefantina há algum tempo. Os documentos mostram como era a vida na comunidade militar lá. Havia soldados judeus ("homens do regimento") e civis judeus ("homens da cidade"). Os soldados eram organizados em grupos que também desempenhavam papéis sociais e econômicos. Mesmo tendo que seguir regras militares, os soldados tinham muita liberdade. Eles levavam vidas familiares normais, faziam negócios e podiam deixar suas propriedades para seus filhos. Para se casar em Elefantina, tanto a noiva quanto seu pai precisavam concordar. Tanto o marido quanto a esposa podiam terminar o casamento declarando publicamente que "odeiam" a outra pessoa.</w:t>
      </w:r>
    </w:p>
    <w:p>
      <w:r/>
      <w:r>
        <w:t>O povo judeu em Elefantina tinha seu próprio templo. Eles adoravam o Deus hebreu, a quem chamavam de Yahu (uma forma diferente de Yahweh). Os líderes em Elefantina escreveram cartas para os oficiais em Jerusalém e Samaria.</w:t>
      </w:r>
    </w:p>
    <w:p>
      <w:r/>
      <w:r>
        <w:t>Não sabemos exatamente quando os judeus chegaram pela primeira vez a Elefantina. Eles podem ter vindo para o Egito em diferentes momentos, do oitavo século ao início do sexto século a.C.. Um documento afirma que o templo judaico lá foi construído antes dos persas tomarem o Egito (antes de 522 a.C.). Isso significa que o templo foi construído, no máximo, em meados do sexto século a.C..</w:t>
      </w:r>
    </w:p>
    <w:p>
      <w:pPr>
        <w:pStyle w:val="Heading3"/>
      </w:pPr>
      <w:r>
        <w:t>Judaísmo de Elefantina</w:t>
      </w:r>
    </w:p>
    <w:p>
      <w:r/>
      <w:r>
        <w:t>O povo judeu em Elefantina tinha seu próprio templo, mesmo que a Bíblia diga que deve haver apenas um templo (</w:t>
      </w:r>
      <w:hyperlink r:id="rId16246">
        <w:r>
          <w:rPr>
            <w:color w:val="0000EE"/>
            <w:u w:val="single"/>
          </w:rPr>
          <w:t>Dt 12.1</w:t>
        </w:r>
      </w:hyperlink>
      <w:r>
        <w:t>–</w:t>
      </w:r>
      <w:hyperlink r:id="rId16246">
        <w:r>
          <w:rPr>
            <w:color w:val="0000EE"/>
            <w:u w:val="single"/>
          </w:rPr>
          <w:t>11</w:t>
        </w:r>
      </w:hyperlink>
      <w:r>
        <w:t>). Os reis Ezequias e Josias haviam recentemente feito mudanças para concentrar toda a adoração em Jerusalém. No entanto, os judeus de Elefantina não pareciam considerar errado ter um templo no Egito. Nenhuma das escavações em Elefantina encontrou o templo judeu, mas os documentos indicam que ele estava voltado para Jerusalém.</w:t>
      </w:r>
    </w:p>
    <w:p>
      <w:r/>
      <w:r>
        <w:t xml:space="preserve">Os judeus de Elefantina podem ter visto Jerusalém como o centro do Judaísmo. Em 410 a.C., sacerdotes do deus Khnum destruíram o templo de Elefantina. Os judeus escreveram para Joanã, o sumo sacerdote, e Bagoas, o governador de Judá, pedindo permissão e ajuda para reconstruí-lo (compare </w:t>
      </w:r>
      <w:hyperlink r:id="rId16247">
        <w:r>
          <w:rPr>
            <w:color w:val="0000EE"/>
            <w:u w:val="single"/>
          </w:rPr>
          <w:t>Ne 12.22</w:t>
        </w:r>
      </w:hyperlink>
      <w:r>
        <w:t xml:space="preserve">; </w:t>
      </w:r>
      <w:hyperlink r:id="rId16248">
        <w:r>
          <w:rPr>
            <w:color w:val="0000EE"/>
            <w:u w:val="single"/>
          </w:rPr>
          <w:t>13.28</w:t>
        </w:r>
      </w:hyperlink>
      <w:r>
        <w:t>). Eles não obtiveram resposta, talvez porque os líderes em Jerusalém não aprovassem o templo no Egito.</w:t>
      </w:r>
    </w:p>
    <w:p>
      <w:r/>
      <w:r>
        <w:t>Três anos depois, eles escreveram novamente para Bagoas, Delaías e Selemias, filhos de Sanbalate, governador de Samaria. Desta vez, receberam uma resposta oral, que foi registrada por escrito. A resposta dizia que eles poderiam reconstruir o templo e começar a oferecer grãos e incenso novamente. No entanto, não tinham permissão para oferecer sacrifícios de animais, possivelmente para evitar ofender crenças religiosas egípcias ou persas. Um documento de 402 a.C. menciona o templo de Yahu, sugerindo que ele foi reconstruído.</w:t>
      </w:r>
    </w:p>
    <w:p>
      <w:r/>
      <w:r>
        <w:t>Os judeus de Elefantina provavelmente trouxeram consigo a religião popular que os profetas haviam criticado fortemente antes do templo de Jerusalém ser destruído. Deus era o mais importante em sua fé, mas eles também adoravam outros deuses de forma menor. Isso é demonstrado por uma lista de oferendas feitas a dois deuses arameus: Eshembethel e Anathbethel. As pessoas em Elefantina geralmente faziam promessas em nome de Yahu, mas às vezes usavam os nomes de uma deusa egípcia, Sati, e de outro deus arameu, Herembethel.</w:t>
      </w:r>
    </w:p>
    <w:p>
      <w:r/>
      <w:r>
        <w:t>Cartas pediam bênçãos de vários deuses. Além disso, judeus estavam se casando com pessoas não-judaicas, o que era proibido no Antigo Testamento porque poderia levar à adoração de outros deuses (</w:t>
      </w:r>
      <w:hyperlink r:id="rId16249">
        <w:r>
          <w:rPr>
            <w:color w:val="0000EE"/>
            <w:u w:val="single"/>
          </w:rPr>
          <w:t>Êx 34.11</w:t>
        </w:r>
      </w:hyperlink>
      <w:r>
        <w:t>–</w:t>
      </w:r>
      <w:hyperlink r:id="rId16249">
        <w:r>
          <w:rPr>
            <w:color w:val="0000EE"/>
            <w:u w:val="single"/>
          </w:rPr>
          <w:t>16</w:t>
        </w:r>
      </w:hyperlink>
      <w:r>
        <w:t xml:space="preserve">; </w:t>
      </w:r>
      <w:hyperlink r:id="rId219">
        <w:r>
          <w:rPr>
            <w:color w:val="0000EE"/>
            <w:u w:val="single"/>
          </w:rPr>
          <w:t>Dt 7.1</w:t>
        </w:r>
      </w:hyperlink>
      <w:r>
        <w:t>–</w:t>
      </w:r>
      <w:hyperlink r:id="rId219">
        <w:r>
          <w:rPr>
            <w:color w:val="0000EE"/>
            <w:u w:val="single"/>
          </w:rPr>
          <w:t>5</w:t>
        </w:r>
      </w:hyperlink>
      <w:r>
        <w:t>). Isso também estava acontecendo em Israel ao mesmo tempo, como vemos nos livros de Esdras e Neemias (</w:t>
      </w:r>
      <w:hyperlink r:id="rId16250">
        <w:r>
          <w:rPr>
            <w:color w:val="0000EE"/>
            <w:u w:val="single"/>
          </w:rPr>
          <w:t>Ed 9.1</w:t>
        </w:r>
      </w:hyperlink>
      <w:r>
        <w:t>–</w:t>
      </w:r>
      <w:hyperlink r:id="rId16250">
        <w:r>
          <w:rPr>
            <w:color w:val="0000EE"/>
            <w:u w:val="single"/>
          </w:rPr>
          <w:t>10.44</w:t>
        </w:r>
      </w:hyperlink>
      <w:r>
        <w:t xml:space="preserve">; </w:t>
      </w:r>
      <w:hyperlink r:id="rId9819">
        <w:r>
          <w:rPr>
            <w:color w:val="0000EE"/>
            <w:u w:val="single"/>
          </w:rPr>
          <w:t>Ne 13.23</w:t>
        </w:r>
      </w:hyperlink>
      <w:r>
        <w:t>–</w:t>
      </w:r>
      <w:hyperlink r:id="rId9819">
        <w:r>
          <w:rPr>
            <w:color w:val="0000EE"/>
            <w:u w:val="single"/>
          </w:rPr>
          <w:t>28</w:t>
        </w:r>
      </w:hyperlink>
      <w:r>
        <w:t>). Crianças dessas uniões mistas em Elefantina frequentemente tinham nomes egípcios.</w:t>
      </w:r>
    </w:p>
    <w:p>
      <w:r/>
      <w:r>
        <w:t>No entanto, os documentos também mostram que os judeus de Elefantina ainda celebravam festivais judaicos. Em 419 a.C., o rei Dario II ordenou que os judeus em Elefantina celebrassem a Festa dos Pães Ázimos. O documento está fragmentado pouco antes disso, mas provavelmente também lhes instruía a celebrar a Páscoa. Quatro óstracos (pedaços de cerâmica) também mencionam o sábado, mas não nos informam muito sobre como ele era observado em Elefantina</w:t>
      </w:r>
    </w:p>
    <w:p>
      <w:pPr>
        <w:pStyle w:val="Heading3"/>
      </w:pPr>
      <w:r>
        <w:t>Linguagem dos papiros</w:t>
      </w:r>
    </w:p>
    <w:p>
      <w:r/>
      <w:r>
        <w:t>A língua aramaica usada nos documentos de Elefantina é muito semelhante ao aramaico da Bíblia. Ambos fazem parte de um tipo de aramaico chamado Aramaico Imperial, que era usado para comunicação internacional e comércio no Império Persa. Os nomes das pessoas ainda eram em hebraico, mas não temos evidências de que o hebraico fosse falado na comunidade. O aramaico era a língua do dia a dia. Não há sinal de que as pessoas discutissem sobre se o hebraico deveria ser usado nas casas judaicas como fizeram com Neemias em Jerusalém (</w:t>
      </w:r>
      <w:hyperlink r:id="rId16251">
        <w:r>
          <w:rPr>
            <w:color w:val="0000EE"/>
            <w:u w:val="single"/>
          </w:rPr>
          <w:t>Ne 13.23</w:t>
        </w:r>
      </w:hyperlink>
      <w:r>
        <w:t>–</w:t>
      </w:r>
      <w:hyperlink r:id="rId16251">
        <w:r>
          <w:rPr>
            <w:color w:val="0000EE"/>
            <w:u w:val="single"/>
          </w:rPr>
          <w:t>25</w:t>
        </w:r>
      </w:hyperlink>
      <w:r>
        <w:t>).</w:t>
      </w:r>
      <w:r/>
      <w:r/>
    </w:p>
    <w:p>
      <w:r/>
    </w:p>
    <w:p>
      <w:pPr>
        <w:pStyle w:val="Heading2"/>
      </w:pPr>
      <w:r>
        <w:t>Parã</w:t>
      </w:r>
      <w:r/>
    </w:p>
    <w:p>
      <w:r/>
      <w:r>
        <w:t>Região desértica no nordeste da Península do Sinai, a oeste de Arabá (Vale do Rifte). O assentamento de Cades-Barneia é seu limite mais ao norte. Alguns estudiosos identificam o grande planalto Et-Tih, no centro do Sinai, como parte deste deserto.</w:t>
      </w:r>
    </w:p>
    <w:p>
      <w:r/>
      <w:r>
        <w:t>O deserto de Parã é uma vasta e árida extensão de planaltos, montanhas, desfiladeiros e vales secos. A falta de água e vegetação tornava-o um lugar extremamente inóspito, em contraste marcante com a terra que mana leite e mel prometida a Israel.</w:t>
      </w:r>
    </w:p>
    <w:p>
      <w:r/>
      <w:r>
        <w:t>Este deserto tornou-se o lar de Ismael (</w:t>
      </w:r>
      <w:hyperlink r:id="rId11392">
        <w:r>
          <w:rPr>
            <w:color w:val="0000EE"/>
            <w:u w:val="single"/>
          </w:rPr>
          <w:t>Gn 21.20–21</w:t>
        </w:r>
      </w:hyperlink>
      <w:r>
        <w:t>). A nação de Israel acampou lá no caminho do Egito para Canaã (</w:t>
      </w:r>
      <w:hyperlink r:id="rId16252">
        <w:r>
          <w:rPr>
            <w:color w:val="0000EE"/>
            <w:u w:val="single"/>
          </w:rPr>
          <w:t>Nm 10.12</w:t>
        </w:r>
      </w:hyperlink>
      <w:r>
        <w:t xml:space="preserve">; </w:t>
      </w:r>
      <w:hyperlink r:id="rId10367">
        <w:r>
          <w:rPr>
            <w:color w:val="0000EE"/>
            <w:u w:val="single"/>
          </w:rPr>
          <w:t>12.16</w:t>
        </w:r>
      </w:hyperlink>
      <w:r>
        <w:t>). De Cades-Barneia, na borda norte do deserto, Moisés enviou espiões para reconhecer a Terra Prometida (</w:t>
      </w:r>
      <w:hyperlink r:id="rId16253">
        <w:r>
          <w:rPr>
            <w:color w:val="0000EE"/>
            <w:u w:val="single"/>
          </w:rPr>
          <w:t>13.3,26</w:t>
        </w:r>
      </w:hyperlink>
      <w:r>
        <w:t>). Diz-se que Davi liderou seu grupo de homens para esta região após a morte de Samuel para se distanciar do Rei Saul (</w:t>
      </w:r>
      <w:hyperlink r:id="rId4608">
        <w:r>
          <w:rPr>
            <w:color w:val="0000EE"/>
            <w:u w:val="single"/>
          </w:rPr>
          <w:t>1Sm 25.1</w:t>
        </w:r>
      </w:hyperlink>
      <w:r>
        <w:t>).</w:t>
      </w:r>
    </w:p>
    <w:p>
      <w:r/>
      <w:r>
        <w:rPr>
          <w:i/>
        </w:rPr>
        <w:t>Veja também</w:t>
      </w:r>
      <w:r>
        <w:t xml:space="preserve"> </w:t>
      </w:r>
      <w:r>
        <w:t>Palestina</w:t>
      </w:r>
      <w:r>
        <w:t xml:space="preserve">; </w:t>
      </w:r>
      <w:r>
        <w:t>Sina, Sinai</w:t>
      </w:r>
      <w:r>
        <w:t xml:space="preserve">; </w:t>
      </w:r>
      <w:r>
        <w:t>Peregrinações no deserto</w:t>
      </w:r>
      <w:r>
        <w:t>.</w:t>
      </w:r>
      <w:r/>
      <w:r/>
    </w:p>
    <w:p>
      <w:r/>
    </w:p>
    <w:p>
      <w:pPr>
        <w:pStyle w:val="Heading2"/>
      </w:pPr>
      <w:r>
        <w:t>Parábola</w:t>
      </w:r>
      <w:r/>
    </w:p>
    <w:p>
      <w:r/>
      <w:r>
        <w:t>Uma forma específica de ensino de Jesus nos Evangelhos.</w:t>
      </w:r>
    </w:p>
    <w:p>
      <w:r/>
      <w:r>
        <w:t>Resumo</w:t>
      </w:r>
    </w:p>
    <w:p>
      <w:r/>
      <w:r>
        <w:t>• Introdução</w:t>
      </w:r>
    </w:p>
    <w:p>
      <w:r/>
      <w:r>
        <w:t>• História da interpretação</w:t>
      </w:r>
    </w:p>
    <w:p>
      <w:r/>
      <w:r>
        <w:t>• O significado de “Parábola”</w:t>
      </w:r>
    </w:p>
    <w:p>
      <w:r/>
      <w:r>
        <w:t>• O propósito das parábolas</w:t>
      </w:r>
    </w:p>
    <w:p>
      <w:r/>
      <w:r>
        <w:t>• A razão pela qual Jesus ensinou em parábolas</w:t>
      </w:r>
    </w:p>
    <w:p>
      <w:pPr>
        <w:pStyle w:val="Heading3"/>
      </w:pPr>
      <w:r>
        <w:t>Introdução</w:t>
      </w:r>
    </w:p>
    <w:p>
      <w:r/>
      <w:r>
        <w:t xml:space="preserve">Compreender as parábolas é essencial se alguém quiser entender o ensino de Jesus, uma vez que as parábolas compõem aproximadamente 35% de seus ditos registrados. Em nenhum momento a vitalidade, relevância e adequação de seu ensino são tão claras quanto elas são em suas parábolas. Embora a forma de parábola não seja exclusiva de Jesus, ele certamente era um mestre em usar parábolas como uma maneira de ensinar. As parábolas não são meras ilustrações para a pregação de Jesus; elas </w:t>
      </w:r>
      <w:r>
        <w:rPr>
          <w:i/>
        </w:rPr>
        <w:t>são</w:t>
      </w:r>
      <w:r>
        <w:t xml:space="preserve"> a pregação, pelo menos em grande medida. Nem são histórias simples; elas foram verdadeiramente descritas como “obras de arte” e “armas de guerra”. Interpretar as parábolas não é uma tarefa tão fácil quanto se possa pensar. A maneira como alguém entende a natureza de uma parábola e a essência da mensagem de Jesus, obviamente, determinará o método e o conteúdo de sua interpretação.</w:t>
      </w:r>
    </w:p>
    <w:p>
      <w:pPr>
        <w:pStyle w:val="Heading3"/>
      </w:pPr>
      <w:r>
        <w:t>História da interpretação</w:t>
      </w:r>
    </w:p>
    <w:p>
      <w:r/>
      <w:r>
        <w:t>Uma grande quantidade de ideias pode ser obtida ao observar o tratamento que as parábolas receberam ao longo dos séculos. Não surpreendentemente, elas foram submetidas a abordagens radicalmente diferentes. Mas as perguntas que estão por trás de todas as interpretações são estas: (1) Quanto da parábola é realmente significativo — todos os detalhes ou apenas um ponto? (2) Qual é o significado da parábola no ensino de Jesus? (3) Qual é a relevância da parábola para o intérprete?</w:t>
      </w:r>
    </w:p>
    <w:p>
      <w:pPr>
        <w:pStyle w:val="Heading4"/>
      </w:pPr>
      <w:r>
        <w:t>A abordagem da alegorização</w:t>
      </w:r>
    </w:p>
    <w:p>
      <w:r/>
      <w:r>
        <w:t>Do segundo século até o presente, muitas pessoas alegorizaram as parábolas. Enfaticamente disseram que cada detalhe no relato é significativo e o significado e relevância de uma parábola podem ser encontrados na maneira como ela retrata a teologia cristã. Este método, muitas vezes identificado como a escola de interpretação alexandrina, é melhor ilustrado por um exemplo clássico que vem de Agostinho (354–430 d.C.), o estudioso que, apesar de sua alegorização, foi um grande teólogo. Sua interpretação da parábola do bom samaritano vê Cristo como o bom samaritano, o óleo como o conforto da boa esperança, o animal como a carne da encarnação, a pousada como a igreja e o estalajadeiro como o apóstolo Paulo (sem falar dos outros detalhes). Obviamente esta interpretação não tem nada em comum com a intenção de Jesus, mas, em vez disso, interpreta a história por meio de ideias preconcebidas do intérprete. Tal abordagem pode soar boa teologicamente, mas inibe a audição da Palavra de Deus. Os intérpretes medievais foram ainda mais longe do que a abordagem alegorizante, encontrando múltiplos significados no texto. Geralmente quatro eram listados: (1) o significado literal; (2) um significado alegórico relacionado com a teologia cristã; (3) um significado moral que dá direção para a vida diária; (4) um significado celestial que indica algo sobre a vida futura.</w:t>
      </w:r>
    </w:p>
    <w:p>
      <w:r/>
      <w:r>
        <w:t>Nem toda a igreja era dominada por tais interpretações alegorizantes. A escola de Antioquia era conhecida por sua abordagem que utilizava o senso comum para ouvir o texto. No entanto, sua influência foi limitada quando comparada com a escola alexandrina, e, além de exceções notáveis, a maioria dos esforços da igreja para entender as parábolas ao longo dos séculos envolvia alegorização.</w:t>
      </w:r>
    </w:p>
    <w:p>
      <w:pPr>
        <w:pStyle w:val="Heading4"/>
      </w:pPr>
      <w:r>
        <w:t>A abordagem de Adolph Julicher (1867–1938)</w:t>
      </w:r>
    </w:p>
    <w:p>
      <w:r/>
      <w:r>
        <w:t>Julicher foi um estudioso alemão que publicou dois volumes sobre as parábolas no final do século 19. Sua principal contribuição foi a rejeição generalizada da alegorização como um meio de interpretar as parábolas. Em sua reação contra a alegorização, Julicher foi para o extremo oposto ao afirmar que as parábolas de Jesus tem apenas um ponto de contato entre a história e o fato que está sendo retratado. Ele defendeu que este ponto é o único importante na interpretação e que geralmente será uma declaração religiosa geral. Julicher foi tão longe a ponto de dizer que não apenas a alegorização estava errada, mas que Jesus não utilizava alegorias, visto que elas tendem a esconder em vez de revelar. Ele disse que qualquer alegoria que possa aparecer no NT vem dos escritores dos Evangelhos, e não de Jesus. Julicher estava correto em rejeitar a alegoria (isto é, fazer uma alegoria do que não era para ser alegoria), mas a rejeição da alegoria como um meio legítimo de comunicação utilizado por Jesus é infundada.</w:t>
      </w:r>
    </w:p>
    <w:p>
      <w:pPr>
        <w:pStyle w:val="Heading4"/>
      </w:pPr>
      <w:r>
        <w:t>A abordagem histórica</w:t>
      </w:r>
    </w:p>
    <w:p>
      <w:r/>
      <w:r>
        <w:t xml:space="preserve">O estudo das parábolas no século 20, especialmente a obra de C. H. Dodd (1884–1973) e Joachim Jeremias, enfatizou corretamente o contexto histórico em que as parábolas foram originalmente contadas. O foco é colocado em fatores culturais que ajudam a entender os detalhes das parábolas e, também, no contexto original da pregação de Jesus sobre o reino de Deus. De modo geral esta abordagem assumiu que a igreja do primeiro século mudou a interpretação original de algumas das parábolas para atender às suas próprias necessidades, e, consequentemente, vários procedimentos foram propostos para restaurar a intenção original. É verdade que as parábolas foram moldadas, editadas e coletadas em unidades pelos escritores dos Evangelhos (nota-se, por exemplo, a coleção de oito parábolas de Mateus em </w:t>
      </w:r>
      <w:hyperlink r:id="rId16254">
        <w:r>
          <w:rPr>
            <w:color w:val="0000EE"/>
            <w:u w:val="single"/>
          </w:rPr>
          <w:t>Mt 13.1–52</w:t>
        </w:r>
      </w:hyperlink>
      <w:r>
        <w:t>). Além disso, o objetivo de um intérprete deve ser ouvir as parábolas como elas foram originalmente concebidas por Jesus e como seu público original as ouviu. A tentativa de investigar o contexto dos relatos dos Evangelhos, no entanto, é uma tarefa delicada, e alguns dos procedimentos propostos para fazê-la precisam ser questionados. Deve-se observar a maneira como cada um dos escritores dos Evangelhos usou seu material, mas a extensão que alguém pode chegar a conhecer o contexto dos Evangelhos é limitada.</w:t>
      </w:r>
    </w:p>
    <w:p>
      <w:pPr>
        <w:pStyle w:val="Heading4"/>
      </w:pPr>
      <w:r>
        <w:t>Tendências modernas na pesquisa das parábolas</w:t>
      </w:r>
    </w:p>
    <w:p>
      <w:r/>
      <w:r>
        <w:t>Nas últimas décadas, várias tentativas de interpretar as parábolas sugeriram novas vias de abordagem. Basicamente, essas novas abordagens têm estado um pouco insatisfeitas (embora sejam apreciadores) tanto com Julicher quanto com a abordagem histórica, pois consideram que estas limitam o impacto das parábolas para o leitor de hoje. Julicher reduziu o ensino de Jesus a moralismos piedosos, e a abordagem histórica se concentrava no que houve há 2.000 anos, ignorando assim tanto as características artísticas quanto psicológicas das parábolas. Consequentemente, numerosas tentativas foram feitas a fim de transmitir o mesmo impacto que as parábolas tiveram para os ouvintes originais aos ouvintes de hoje. Cada vez mais, menos foco é colocado no significado histórico das parábolas e mais ênfase é colocada em seu efeito artístico, existencial e poético. As parábolas de Jesus são consideradas como obras de arte que podem ser tidas como abertas no que diz respeito ao significado. Uma parábola, então, teria um significado original e o potencial para uma série de possíveis significados adicionais. Embora o significado original forneça algum controle para reinterpretação, essas abordagens não estão ligadas à intenção do autor.</w:t>
      </w:r>
    </w:p>
    <w:p>
      <w:r/>
      <w:r>
        <w:t>Muito pode ser aprendido com as abordagens modernas, especialmente seu interesse em garantir que as parábolas falem com o público dos nossos dias usando a mesma vitalidade original. Contudo, há também o perigo de abusar das parábolas de uma maneira semelhante aos maus usos anteriores. Aqueles que alegorizaram as parábolas na história da igreja não estavam preocupados com o significado que Jesus intencionava, mas encontraram seu próprio significado. Os intérpretes modernos também podem encontrar seu próprio significado, e mesmo que as explicações possam parecer convincentes (como, sem dúvida, as de Agostinho fizeram aos seus ouvintes), elas não serão uma comunicação da Palavra de Deus. Se Deus e seus preceitos são revelados por Jesus, então erramos se não ouvimos suas parábolas como elas foram concebidas em seu contexto original. Há de fato uma interação dinâmica entre o texto e o intérprete, mas o intérprete é conduzido a um momento de encontro da verdade de forma mais eficaz quando o Espírito o confronta com a parábola da mesma maneira que Jesus pretendia aos seus ouvintes.</w:t>
      </w:r>
    </w:p>
    <w:p>
      <w:pPr>
        <w:pStyle w:val="Heading3"/>
      </w:pPr>
      <w:r>
        <w:t>O significado de “Parábola”</w:t>
      </w:r>
    </w:p>
    <w:p>
      <w:r/>
      <w:r>
        <w:t>A definição comum de uma parábola como “uma história terrena com um significado celestial” não é suficiente para entender as parábolas de Jesus. Nem as parábolas são meras comparações ou ilustrações do que Jesus queria dizer. A situação é muito mais complexa no que diz respeito ao significado bíblico da palavra “parábola”. Na verdade, deve-se distinguir entre três usos da palavra “parábola” nos estudos bíblicos.</w:t>
      </w:r>
    </w:p>
    <w:p>
      <w:r/>
      <w:r>
        <w:t xml:space="preserve">Primeiro, deve-se estar ciente de que a palavra grega para parábola e sua contraparte hebraica são termos amplos e podem ser usados para qualquer coisa, desde um provérbio a uma alegoria completa, incluindo um enigma, um ditado misterioso, uma ilustração, um contraste ou uma história. Por exemplo, a palavra grega para parábola é usada em </w:t>
      </w:r>
      <w:hyperlink r:id="rId8684">
        <w:r>
          <w:rPr>
            <w:color w:val="0000EE"/>
            <w:u w:val="single"/>
          </w:rPr>
          <w:t>Lucas 4.23</w:t>
        </w:r>
      </w:hyperlink>
      <w:r>
        <w:t xml:space="preserve"> com referência ao ditado “médico, cura a si mesmo” e a maioria das traduções o traduz como “provérbio”. Em </w:t>
      </w:r>
      <w:hyperlink r:id="rId16255">
        <w:r>
          <w:rPr>
            <w:color w:val="0000EE"/>
            <w:u w:val="single"/>
          </w:rPr>
          <w:t>Marcos 3.23</w:t>
        </w:r>
      </w:hyperlink>
      <w:r>
        <w:t xml:space="preserve">, “parábolas” é usado para se referir aos enigmas que Jesus pergunta aos escribas, por exemplo: “Como Satanás pode expulsar Satanás?” Da mesma forma, </w:t>
      </w:r>
      <w:hyperlink r:id="rId16256">
        <w:r>
          <w:rPr>
            <w:color w:val="0000EE"/>
            <w:u w:val="single"/>
          </w:rPr>
          <w:t>Marcos 13.28</w:t>
        </w:r>
      </w:hyperlink>
      <w:r>
        <w:t xml:space="preserve"> usa “parábola” em uma ilustração simples. Em </w:t>
      </w:r>
      <w:hyperlink r:id="rId16257">
        <w:r>
          <w:rPr>
            <w:color w:val="0000EE"/>
            <w:u w:val="single"/>
          </w:rPr>
          <w:t>Lucas 18.2–5</w:t>
        </w:r>
      </w:hyperlink>
      <w:r>
        <w:t xml:space="preserve">, o juiz iníquo é </w:t>
      </w:r>
      <w:r>
        <w:rPr>
          <w:i/>
        </w:rPr>
        <w:t>contrastado</w:t>
      </w:r>
      <w:r>
        <w:t xml:space="preserve"> com Deus, que traz justiça rapidamente. Se alguém comparar o AT hebraico e a Septuaginta (uma tradução grega antiga do AT), a palavra para parábola é usada com mais frequência com referência a um provérbio ou ditado misterioso. O amplo significado de “parábola”, então, pode se referir a qualquer um desses métodos usados para estimular o pensamento.</w:t>
      </w:r>
    </w:p>
    <w:p>
      <w:r/>
      <w:r>
        <w:t>Segundo, “parábola” pode ser usada em qualquer história com dois níveis de significado (literal e figurado) que funcione como fala religiosa e ética.</w:t>
      </w:r>
    </w:p>
    <w:p>
      <w:r/>
      <w:r>
        <w:t xml:space="preserve">Terceiro, “parábola” pode ser usada tecnicamente em estudos modernos para distingui-la de outros tipos de histórias, como analogias, histórias exemplares e alegorias. Neste caso, uma parábola é uma história fictícia que narra um evento específico e é geralmente contada no tempo passado (p. ex., a parábola do filho perdido). Uma analogia, no entanto, é uma comparação que relaciona um evento típico ou recorrente na vida real e é geralmente contada no tempo presente (p. ex., </w:t>
      </w:r>
      <w:hyperlink r:id="rId5239">
        <w:r>
          <w:rPr>
            <w:color w:val="0000EE"/>
            <w:u w:val="single"/>
          </w:rPr>
          <w:t>Mt 13.31–32</w:t>
        </w:r>
      </w:hyperlink>
      <w:r>
        <w:t>). Uma história exemplar não é uma comparação; em vez disso, apresenta traços de caráter como exemplos positivos ou negativos a serem imitados, ou evitados. Geralmente quatro histórias exemplares são identificadas: o bom samaritano (</w:t>
      </w:r>
      <w:hyperlink r:id="rId16258">
        <w:r>
          <w:rPr>
            <w:color w:val="0000EE"/>
            <w:u w:val="single"/>
          </w:rPr>
          <w:t>Lc 10.30–35</w:t>
        </w:r>
      </w:hyperlink>
      <w:r>
        <w:t>), o rico tolo (</w:t>
      </w:r>
      <w:hyperlink r:id="rId16259">
        <w:r>
          <w:rPr>
            <w:color w:val="0000EE"/>
            <w:u w:val="single"/>
          </w:rPr>
          <w:t>12.16–20</w:t>
        </w:r>
      </w:hyperlink>
      <w:r>
        <w:t>), o homem rico e Lázaro (</w:t>
      </w:r>
      <w:hyperlink r:id="rId8493">
        <w:r>
          <w:rPr>
            <w:color w:val="0000EE"/>
            <w:u w:val="single"/>
          </w:rPr>
          <w:t>16.19–31</w:t>
        </w:r>
      </w:hyperlink>
      <w:r>
        <w:t>) e o fariseu e o cobrador de impostos (</w:t>
      </w:r>
      <w:hyperlink r:id="rId16260">
        <w:r>
          <w:rPr>
            <w:color w:val="0000EE"/>
            <w:u w:val="single"/>
          </w:rPr>
          <w:t>18.10–13</w:t>
        </w:r>
      </w:hyperlink>
      <w:r>
        <w:t>).</w:t>
      </w:r>
    </w:p>
    <w:p>
      <w:r/>
      <w:r>
        <w:t>A alegoria é a mais difícil de definir e tem causado um debate considerável. Geralmente a alegoria é definida como “uma série de metáforas relacionadas”. Uma metáfora é uma comparação implícita que não usa “como” ou “conforme”. Esta definição é usada amplamente, mas não é inteiramente satisfatória por duas razões: (1) Não indica se a obscuridade é um elemento essencial na alegoria. Alguns veem a alegoria como necessária de ser decodificada e compreensível apenas para alguns. Se, todavia, a alegoria usar metáforas costumeiras que todos poderiam entender, não seria obscura. (2) Não especifica quanto da história é importante como metáforas relacionadas. Se houvesse apenas duas ou três metáforas relacionadas, a história seria uma alegoria? Em outro extremo, detalhes menores na história (como os três níveis de colheita na parábola do semeador) têm significado? Um exemplo de uma alegoria seria a parábola do semeador.</w:t>
      </w:r>
    </w:p>
    <w:p>
      <w:r/>
      <w:r>
        <w:t xml:space="preserve">Isso levanta o problema da diferença entre uma parábola e uma alegoria — uma questão frequentemente debatida. Nas definições um e dois acima, a alegoria está inclusa na parábola. Mas na definição três uma distinção é feita entre elas, pois uma parábola não é uma série de metáforas relacionadas. Os detalhes da história do filho perdido (os porcos, o país distante, etc.) não representam outra coisa como seria se estivessem em uma alegoria, mas transmitem em termos dramáticos as profundezas nas quais o filho havia afundado. No entanto, uma parábola </w:t>
      </w:r>
      <w:r>
        <w:rPr>
          <w:i/>
        </w:rPr>
        <w:t>não</w:t>
      </w:r>
      <w:r>
        <w:t xml:space="preserve"> está limitada a um ponto de comparação entre a história e o fato que está sendo retratado. Pode haver vários itens que precisam ser mencionados em uma parábola específica. A parábola do filho perdido enfatiza a alegria que ocorre no arrependimento (observe a repetição deste tema em </w:t>
      </w:r>
      <w:hyperlink r:id="rId16261">
        <w:r>
          <w:rPr>
            <w:color w:val="0000EE"/>
            <w:u w:val="single"/>
          </w:rPr>
          <w:t>Lc 15.24,32</w:t>
        </w:r>
      </w:hyperlink>
      <w:r>
        <w:t>), mas a receptividade do pai obviamente é paralela à graça de Deus, além disso, o filho mais novo e o mais velho refletem pecadores e autoridades religiosas, respectivamente. A distinção entre parábola e alegoria é vaga, e irá variar, dependendo de quais definições são atribuídas aos termos. Deve-se notar que o que pode ser dito sobre parábola geralmente também pode ser dito sobre alegoria.</w:t>
      </w:r>
    </w:p>
    <w:p>
      <w:pPr>
        <w:pStyle w:val="Heading3"/>
      </w:pPr>
      <w:r>
        <w:t>O propósito das parábolas</w:t>
      </w:r>
    </w:p>
    <w:p>
      <w:r/>
      <w:r>
        <w:t xml:space="preserve">O propósito das parábolas e uma descrição de suas características auxiliarão a sua compreensão. As parábolas se concentram em Deus e seu reino, e, ao fazê-lo, revelam que tipo de Deus ele é, por quais princípios ele trabalha e o que ele espera da humanidade. Por causa do foco no reino, algumas das parábolas também revelam muitos aspectos da missão de Jesus (observe a parábola dos maus lavradores em </w:t>
      </w:r>
      <w:hyperlink r:id="rId16262">
        <w:r>
          <w:rPr>
            <w:color w:val="0000EE"/>
            <w:u w:val="single"/>
          </w:rPr>
          <w:t>Mt 21.33–41</w:t>
        </w:r>
      </w:hyperlink>
      <w:r>
        <w:t>).</w:t>
      </w:r>
    </w:p>
    <w:p>
      <w:r/>
      <w:r>
        <w:t>As seguintes características das parábolas devem ser observadas: (1) As parábolas geralmente são concisas e simétricas. Os itens são apresentados em dois ou três com uma economia de palavras. Pessoas, motivos e detalhes desnecessários são geralmente omitidos. (2) As características na história são tiradas da vida cotidiana, e as metáforas usadas são frequentemente comuns o suficiente para criar um contexto para o entendimento. Por exemplo, a descrição de um proprietário e sua vinha naturalmente faria os ouvintes pensarem em Deus e seu povo devido ao uso dessas imagens do AT. (3) Mesmo que as parábolas falem em termos da vida cotidiana, muitas vezes elas contêm elementos de surpresa ou hipérbole (um exagero usado como uma figura de linguagem). A parábola do bom samaritano (</w:t>
      </w:r>
      <w:hyperlink r:id="rId16258">
        <w:r>
          <w:rPr>
            <w:color w:val="0000EE"/>
            <w:u w:val="single"/>
          </w:rPr>
          <w:t>Lc 10.30–35</w:t>
        </w:r>
      </w:hyperlink>
      <w:r>
        <w:t>) introduz um samaritano na história onde provavelmente se esperaria um leigo. A parábola do servo incompassivo (</w:t>
      </w:r>
      <w:hyperlink r:id="rId16263">
        <w:r>
          <w:rPr>
            <w:color w:val="0000EE"/>
            <w:u w:val="single"/>
          </w:rPr>
          <w:t>Mt 18.23–34</w:t>
        </w:r>
      </w:hyperlink>
      <w:r>
        <w:t>) coloca a dívida do primeiro servo em milhões de moedas de prata, uma soma inacreditável naquele tempo. (4) As parábolas exigem que seus ouvintes realizem seu julgamento sobre os eventos da história e, tendo feito isso, percebam que eles devem fazer um julgamento semelhante em suas próprias vidas. O exemplo clássico é a parábola de Natã a Davi (</w:t>
      </w:r>
      <w:hyperlink r:id="rId16264">
        <w:r>
          <w:rPr>
            <w:color w:val="0000EE"/>
            <w:u w:val="single"/>
          </w:rPr>
          <w:t>2Sm 12.1–7</w:t>
        </w:r>
      </w:hyperlink>
      <w:r>
        <w:t>), onde Davi julga o homem na história como digno de morte, e então é revelado que ele é o homem. Porque forçam a pessoa a decidir, a definir o que é a verdade, as parábolas forçam seus ouvintes a viver no presente sem descansar na glória do passado ou esperar pelo futuro. As parábolas são o resultado de uma mente que vê a verdade em imagens concretas, em vez de abstrações, e elas ensinam essa verdade de uma maneira tão convincente que o ouvinte não pode escapar dela.</w:t>
      </w:r>
    </w:p>
    <w:p>
      <w:pPr>
        <w:pStyle w:val="Heading3"/>
      </w:pPr>
      <w:r>
        <w:t>A razão pela qual Jesus ensinou em parábolas</w:t>
      </w:r>
    </w:p>
    <w:p>
      <w:r/>
      <w:r>
        <w:t xml:space="preserve">Há pouca dúvida de que Jesus ensinou em parábolas porque elas são interessantes e convincentes e, portanto, são um dos meios mais eficazes de se comunicar. Quando se lê </w:t>
      </w:r>
      <w:hyperlink r:id="rId13904">
        <w:r>
          <w:rPr>
            <w:color w:val="0000EE"/>
            <w:u w:val="single"/>
          </w:rPr>
          <w:t>Marcos 4.10–12</w:t>
        </w:r>
      </w:hyperlink>
      <w:r>
        <w:t xml:space="preserve">, no entanto, parece que Jesus ensinava em parábolas para </w:t>
      </w:r>
      <w:r>
        <w:rPr>
          <w:i/>
        </w:rPr>
        <w:t>impedir</w:t>
      </w:r>
      <w:r>
        <w:t xml:space="preserve"> que as pessoas entendessem a fim de que não se voltassem para Deus e fossem perdoadas. Ao mesmo tempo, parece que há um mistério que é dado ao grupo </w:t>
      </w:r>
      <w:r>
        <w:rPr>
          <w:i/>
        </w:rPr>
        <w:t>interno</w:t>
      </w:r>
      <w:r>
        <w:t xml:space="preserve"> e o grupo </w:t>
      </w:r>
      <w:r>
        <w:rPr>
          <w:i/>
        </w:rPr>
        <w:t>externo</w:t>
      </w:r>
      <w:r>
        <w:t xml:space="preserve"> é proibido de aprender. Aqui está o significado do termo “mistério”. Em vez de se referir às coisas que não são conhecidas ou compreendidas, como a palavra é usada hoje, o uso bíblico desta palavra é geralmente para as coisas que foram reveladas por Deus e não teriam sido conhecidas se Deus não as revelasse. O conteúdo do mistério não é explicado aqui, mas do ensino de Jesus sobre o reino em outros lugares, provavelmente se refere ao fato de que o reino está presente nas próprias palavras e ações de Jesus.</w:t>
      </w:r>
    </w:p>
    <w:p>
      <w:r/>
      <w:r>
        <w:t>O outro fator crucial para entender esta passagem é que a palavra “parábola” no uso bíblico tem um significado amplo que se refere a qualquer fala impressionante ou ditado sombrio destinado a estimular o pensamento. Jesus não alimentou seus ouvintes com "papinha"; em vez disso, ele ensinava de tal maneira que fazia com que uma resposta fosse produzida, e onde havia uma resposta, ele fornecia o seu ensino. Consequentemente, não se resume meramente que as parábolas sejam interessantes, poéticas e cativantes (por mais importantes que atendam essas características). Além dessas coisas, as parábolas estimulam o pensamento e trazem resposta — se a dureza de coração não o impedir. É como se Jesus estivesse dizendo: “Se vocês não podem ouvir o que eu estou dizendo, revelarei meu pensamento em parábolas”. Onde há resposta a este ensino inicial, informações adicionais são dadas.</w:t>
      </w:r>
      <w:r/>
      <w:r/>
    </w:p>
    <w:p>
      <w:r/>
    </w:p>
    <w:p>
      <w:pPr>
        <w:pStyle w:val="Heading2"/>
      </w:pPr>
      <w:r>
        <w:t>Paradoxo*</w:t>
      </w:r>
      <w:r/>
    </w:p>
    <w:p>
      <w:r/>
      <w:r>
        <w:t>Uma forma de expressão que parece ser autocontraditória ou absurda, mas em outro nível expressa a verdade fundamental. Muitas vezes é empregado para fazer com que os ouvintes pensem em um nível mais profundo e mais crítico. Muitas vezes pode estar intimamente relacionado com a hipérbole, uma declaração exagerada, exceto que para o paradoxo há um elemento aparente de contradição, que chama a atenção e exige consideração.</w:t>
      </w:r>
    </w:p>
    <w:p>
      <w:r/>
      <w:r>
        <w:t>No ministério de Jesus, encontra-se em tais expressões como pessoas crescidas nascendo de novo. “Um homem pode entrar uma segunda vez no ventre de sua mãe”, pergunta Nicodemos, “e nascer?” (</w:t>
      </w:r>
      <w:hyperlink r:id="rId16265">
        <w:r>
          <w:rPr>
            <w:color w:val="0000EE"/>
            <w:u w:val="single"/>
          </w:rPr>
          <w:t>Jo 3.4</w:t>
        </w:r>
      </w:hyperlink>
      <w:r>
        <w:t>). Ou novamente, em resposta às tentativas dos homens ricos de entrar no reino, Jesus diz que é mais fácil para um camelo passar pelo buraco de uma agulha (uma impossibilidade) do que um homem rico entrar no reino (</w:t>
      </w:r>
      <w:hyperlink r:id="rId614">
        <w:r>
          <w:rPr>
            <w:color w:val="0000EE"/>
            <w:u w:val="single"/>
          </w:rPr>
          <w:t>Mc 10.25</w:t>
        </w:r>
      </w:hyperlink>
      <w:r>
        <w:t>). O ponto é não se concentrar na declaração literal ou entendê-la literalmente, mas entender seu propósito essencial. Neste caso, é uma forma de “tratamento de choque” forçar os ricos a ver como suas atitudes em relação à riqueza os excluíram do reino.</w:t>
      </w:r>
    </w:p>
    <w:p>
      <w:r/>
      <w:r>
        <w:t>Grande parte do uso do paradoxo no ministério de Jesus tem a ver com suas tentativas de mostrar que a perspectiva, ou sistema de valores, do reino representa uma reversão completa dos valores pelos quais as pessoas vivem. Quem perder sua vida a encontrará (</w:t>
      </w:r>
      <w:hyperlink r:id="rId16266">
        <w:r>
          <w:rPr>
            <w:color w:val="0000EE"/>
            <w:u w:val="single"/>
          </w:rPr>
          <w:t>Mt 10.39</w:t>
        </w:r>
      </w:hyperlink>
      <w:r>
        <w:t>). Os últimos serão primeiro, e os primeiros os últimos (</w:t>
      </w:r>
      <w:hyperlink r:id="rId16267">
        <w:r>
          <w:rPr>
            <w:color w:val="0000EE"/>
            <w:u w:val="single"/>
          </w:rPr>
          <w:t>Lc 13.30</w:t>
        </w:r>
      </w:hyperlink>
      <w:r>
        <w:t>). Quem seria o maior de todos deve ser servo de todos (</w:t>
      </w:r>
      <w:hyperlink r:id="rId16268">
        <w:r>
          <w:rPr>
            <w:color w:val="0000EE"/>
            <w:u w:val="single"/>
          </w:rPr>
          <w:t>Mc 10.43</w:t>
        </w:r>
      </w:hyperlink>
      <w:r>
        <w:t xml:space="preserve">; </w:t>
      </w:r>
      <w:hyperlink r:id="rId16269">
        <w:r>
          <w:rPr>
            <w:color w:val="0000EE"/>
            <w:u w:val="single"/>
          </w:rPr>
          <w:t>Lc 22.26</w:t>
        </w:r>
      </w:hyperlink>
      <w:r>
        <w:t>). De fato, o ministério de servo do próprio Jesus ressalta esta grande reversão do reino. Depois de lavar os pés dos discípulos, Jesus diz: “Vocês me chamam de Mestre e Senhor; e vocês estão certos, pois eu sou. Se eu, então, seu Senhor e Mestre, lavei seus pés, vocês também deveriam lavar os pés uns dos outros” (</w:t>
      </w:r>
      <w:hyperlink r:id="rId16270">
        <w:r>
          <w:rPr>
            <w:color w:val="0000EE"/>
            <w:u w:val="single"/>
          </w:rPr>
          <w:t>Jo 13.13–14</w:t>
        </w:r>
      </w:hyperlink>
      <w:r>
        <w:t>, ARA).</w:t>
      </w:r>
    </w:p>
    <w:p>
      <w:r/>
      <w:r>
        <w:t>Paradoxo também entra na expressão cristã quando se tenta falar de Deus na linguagem dos homens. Assim, Deus é “antes de todos os tempos”. Até “Deus em carne” é paradoxal, mas profundamente verdadeiro. As pessoas inevitavelmente e por necessidade falam de Deus em termos de sua própria experiência, mas Deus não pode ser limitado por tal experiência ou linguagem, pois ele é infinitamente maior. Por isso, a linguagem é um instrumento limitado para falar dele que não é limitado.</w:t>
      </w:r>
      <w:r/>
      <w:r/>
    </w:p>
    <w:p>
      <w:r/>
    </w:p>
    <w:p>
      <w:pPr>
        <w:pStyle w:val="Heading2"/>
      </w:pPr>
      <w:r>
        <w:t>Paraíso</w:t>
      </w:r>
      <w:r/>
    </w:p>
    <w:p>
      <w:r/>
      <w:r>
        <w:t>Um termo emprestado da língua persa e significa "jardim de Deus". Os hebreus usavam uma palavra diferente para jardins. Eles a aplicavam tanto a jardins do dia a dia quanto ao jardim de Deus no Éden (</w:t>
      </w:r>
      <w:hyperlink r:id="rId2066">
        <w:r>
          <w:rPr>
            <w:color w:val="0000EE"/>
            <w:u w:val="single"/>
          </w:rPr>
          <w:t>Gênesis 2–3</w:t>
        </w:r>
      </w:hyperlink>
      <w:r>
        <w:t xml:space="preserve">; </w:t>
      </w:r>
      <w:hyperlink r:id="rId6757">
        <w:r>
          <w:rPr>
            <w:color w:val="0000EE"/>
            <w:u w:val="single"/>
          </w:rPr>
          <w:t>Isaías 51.3</w:t>
        </w:r>
      </w:hyperlink>
      <w:r>
        <w:t xml:space="preserve">; </w:t>
      </w:r>
      <w:hyperlink r:id="rId9025">
        <w:r>
          <w:rPr>
            <w:color w:val="0000EE"/>
            <w:u w:val="single"/>
          </w:rPr>
          <w:t>Ezequiel 28.13</w:t>
        </w:r>
      </w:hyperlink>
      <w:r>
        <w:t>). Mais tarde em sua história, eles emprestaram a palavra persa que eventualmente se tornou "paraíso". Esta palavra aparece três vezes no Antigo Testamento. Refere-se a um parque ou pomar (</w:t>
      </w:r>
      <w:hyperlink r:id="rId2657">
        <w:r>
          <w:rPr>
            <w:color w:val="0000EE"/>
            <w:u w:val="single"/>
          </w:rPr>
          <w:t>Neemias 2.8</w:t>
        </w:r>
      </w:hyperlink>
      <w:r>
        <w:t xml:space="preserve">; </w:t>
      </w:r>
      <w:hyperlink r:id="rId16271">
        <w:r>
          <w:rPr>
            <w:color w:val="0000EE"/>
            <w:u w:val="single"/>
          </w:rPr>
          <w:t>Eclesiastes 2.5</w:t>
        </w:r>
      </w:hyperlink>
      <w:r>
        <w:t xml:space="preserve">; </w:t>
      </w:r>
      <w:hyperlink r:id="rId16272">
        <w:r>
          <w:rPr>
            <w:color w:val="0000EE"/>
            <w:u w:val="single"/>
          </w:rPr>
          <w:t>Cântico de Salomão 4.13</w:t>
        </w:r>
      </w:hyperlink>
      <w:r>
        <w:t xml:space="preserve">). Quando o Antigo Testamento foi traduzido para o grego, usaram uma forma grega da mesma palavra. Para os judeus de língua grega, o jardim em </w:t>
      </w:r>
      <w:hyperlink r:id="rId10694">
        <w:r>
          <w:rPr>
            <w:color w:val="0000EE"/>
            <w:u w:val="single"/>
          </w:rPr>
          <w:t>Gênesis 2</w:t>
        </w:r>
      </w:hyperlink>
      <w:r>
        <w:t xml:space="preserve"> tornou-se conhecido como </w:t>
      </w:r>
      <w:r>
        <w:rPr>
          <w:i/>
        </w:rPr>
        <w:t>paradeisos</w:t>
      </w:r>
      <w:r>
        <w:t>.</w:t>
      </w:r>
    </w:p>
    <w:p>
      <w:pPr>
        <w:pStyle w:val="Heading3"/>
      </w:pPr>
      <w:r>
        <w:t>Paraíso no Antigo Testamento</w:t>
      </w:r>
    </w:p>
    <w:p>
      <w:r/>
      <w:r>
        <w:t>A palavra persa original significava um jardim fechado ou murado, especialmente os parques reais dos reis persas. Os gregos também entendiam dessa forma. Isso se encaixa com a ideia hebraica de um jardim onde Deus caminhava (</w:t>
      </w:r>
      <w:hyperlink r:id="rId300">
        <w:r>
          <w:rPr>
            <w:color w:val="0000EE"/>
            <w:u w:val="single"/>
          </w:rPr>
          <w:t>Gênesis 3.8</w:t>
        </w:r>
      </w:hyperlink>
      <w:r>
        <w:t>) e do qual as pessoas poderiam ser excluídas (</w:t>
      </w:r>
      <w:hyperlink r:id="rId1902">
        <w:r>
          <w:rPr>
            <w:color w:val="0000EE"/>
            <w:u w:val="single"/>
          </w:rPr>
          <w:t>Gênesis 3.24</w:t>
        </w:r>
      </w:hyperlink>
      <w:r>
        <w:t>). As características principais do paraíso do Gênesis eram suas árvores frutíferas e rios.</w:t>
      </w:r>
    </w:p>
    <w:p>
      <w:pPr>
        <w:pStyle w:val="Heading3"/>
      </w:pPr>
      <w:r>
        <w:t>Paraíso no Novo Testamento</w:t>
      </w:r>
    </w:p>
    <w:p>
      <w:r/>
      <w:r>
        <w:t>Na época do Novo Testamento, as visões sobre o jardim de Deus haviam mudado de várias maneiras, como muitos mitos em várias culturas. Como a "Idade de Ouro" nas histórias gregas e romanas, o paraíso era uma vez um passado distante. Mas, os judeus começaram a acreditar que ele ainda existia em algum lugar desconhecido, como os "Campos Elísios". Era um lugar onde os mortos justos viviam. Com o tempo, eles descreveram suas maravilhas cada vez mais, acreditando que ele reapareceria no fim dos tempos.</w:t>
      </w:r>
    </w:p>
    <w:p>
      <w:r/>
      <w:r>
        <w:t>A ideia de paraíso combina mitos de várias culturas. Eles descrevem um mundo perfeito em todos os momentos, onde a morte e o mal não existem. O Novo Testamento afirma a verdade por trás dessas crenças. O paraíso é um lugar real e sobrenatural. Paulo foi misteriosamente "arrebatado" para lá durante sua vida (</w:t>
      </w:r>
      <w:hyperlink r:id="rId2222">
        <w:r>
          <w:rPr>
            <w:color w:val="0000EE"/>
            <w:u w:val="single"/>
          </w:rPr>
          <w:t>2 Coríntios 12.4</w:t>
        </w:r>
      </w:hyperlink>
      <w:r>
        <w:t>). É também onde Jesus prometeu ao ladrão arrependido na cruz que estaria com ele após a morte (</w:t>
      </w:r>
      <w:hyperlink r:id="rId7494">
        <w:r>
          <w:rPr>
            <w:color w:val="0000EE"/>
            <w:u w:val="single"/>
          </w:rPr>
          <w:t>Lucas 23.43</w:t>
        </w:r>
      </w:hyperlink>
      <w:r>
        <w:t>). A terceira e última referência do Novo Testamento ao paraíso (</w:t>
      </w:r>
      <w:hyperlink r:id="rId2166">
        <w:r>
          <w:rPr>
            <w:color w:val="0000EE"/>
            <w:u w:val="single"/>
          </w:rPr>
          <w:t>Apocalipse 2.7</w:t>
        </w:r>
      </w:hyperlink>
      <w:r>
        <w:t xml:space="preserve">), é outra promessa. Ela nos diz que o paraíso é onde a árvore da vida cresce. Conecta o mundo original de </w:t>
      </w:r>
      <w:hyperlink r:id="rId10694">
        <w:r>
          <w:rPr>
            <w:color w:val="0000EE"/>
            <w:u w:val="single"/>
          </w:rPr>
          <w:t xml:space="preserve">Gênesis 2 </w:t>
        </w:r>
      </w:hyperlink>
      <w:r>
        <w:t xml:space="preserve">e o mundo futuro de </w:t>
      </w:r>
      <w:hyperlink r:id="rId419">
        <w:r>
          <w:rPr>
            <w:color w:val="0000EE"/>
            <w:u w:val="single"/>
          </w:rPr>
          <w:t>Apocalipse 22</w:t>
        </w:r>
      </w:hyperlink>
      <w:r>
        <w:t>. Inclui a árvore que dá vida, um rio, uma muralha protetora e a presença do rei.</w:t>
      </w:r>
    </w:p>
    <w:p>
      <w:r/>
      <w:r>
        <w:rPr>
          <w:i/>
        </w:rPr>
        <w:t>Veja também</w:t>
      </w:r>
      <w:r>
        <w:t xml:space="preserve"> </w:t>
      </w:r>
      <w:r>
        <w:t>céu</w:t>
      </w:r>
      <w:r>
        <w:t xml:space="preserve">; </w:t>
      </w:r>
      <w:r>
        <w:t>Novos Céus e Nova Terra</w:t>
      </w:r>
      <w:r>
        <w:t>.</w:t>
      </w:r>
      <w:r/>
      <w:r/>
    </w:p>
    <w:p>
      <w:r/>
    </w:p>
    <w:p>
      <w:pPr>
        <w:pStyle w:val="Heading2"/>
      </w:pPr>
      <w:r>
        <w:t>Paralisia*, Paralítico*, Paralisado</w:t>
      </w:r>
      <w:r/>
    </w:p>
    <w:p>
      <w:r/>
      <w:r>
        <w:t>Sintoma de uma doença orgânica do sistema nervoso central que resulta na perda temporária ou permanente das sensações e/ou controle muscular voluntário. Esta condição degenerativa normalmente era incurável. Alguns casos de paralisia são mencionados no NT, todos estes ocorrem em conexão com o ministério de cura de Cristo.</w:t>
      </w:r>
    </w:p>
    <w:p>
      <w:r/>
      <w:r>
        <w:t>Os paralíticos foram incluídos no grupo de pessoas doentes que buscavam a cura de Jesus na Galileia (</w:t>
      </w:r>
      <w:hyperlink r:id="rId16273">
        <w:r>
          <w:rPr>
            <w:color w:val="0000EE"/>
            <w:u w:val="single"/>
          </w:rPr>
          <w:t>Mt 4.24</w:t>
        </w:r>
      </w:hyperlink>
      <w:r>
        <w:t>), contados entre os doentes em Betesda em Jerusalém (</w:t>
      </w:r>
      <w:hyperlink r:id="rId16274">
        <w:r>
          <w:rPr>
            <w:color w:val="0000EE"/>
            <w:u w:val="single"/>
          </w:rPr>
          <w:t>Jo 5.3</w:t>
        </w:r>
      </w:hyperlink>
      <w:r>
        <w:t>), e representados entre aqueles que foram curados por Filipe em Samaria (</w:t>
      </w:r>
      <w:hyperlink r:id="rId6424">
        <w:r>
          <w:rPr>
            <w:color w:val="0000EE"/>
            <w:u w:val="single"/>
          </w:rPr>
          <w:t>Atos 8.7</w:t>
        </w:r>
      </w:hyperlink>
      <w:r>
        <w:t>). O servo paralítico do centurião foi descrito por Lucas como muito doente e a ponto de morrer (</w:t>
      </w:r>
      <w:hyperlink r:id="rId3982">
        <w:r>
          <w:rPr>
            <w:color w:val="0000EE"/>
            <w:u w:val="single"/>
          </w:rPr>
          <w:t>Lc 7.2</w:t>
        </w:r>
      </w:hyperlink>
      <w:r>
        <w:t>). Este homem foi provavelmente acometido de uma forma comumente fatal de paralisia que começa nas pernas e se espalha rapidamente para cima no restante do corpo. O paralítico em Cafarnaum provavelmente estava sofrendo de paraplegia, uma paralisia da metade inferior do corpo (</w:t>
      </w:r>
      <w:hyperlink r:id="rId11723">
        <w:r>
          <w:rPr>
            <w:color w:val="0000EE"/>
            <w:u w:val="single"/>
          </w:rPr>
          <w:t>Mt 9.2,6</w:t>
        </w:r>
      </w:hyperlink>
      <w:r>
        <w:t xml:space="preserve">; </w:t>
      </w:r>
      <w:hyperlink r:id="rId16275">
        <w:r>
          <w:rPr>
            <w:color w:val="0000EE"/>
            <w:u w:val="single"/>
          </w:rPr>
          <w:t>Mc 2.3–10</w:t>
        </w:r>
      </w:hyperlink>
      <w:r>
        <w:t xml:space="preserve">; </w:t>
      </w:r>
      <w:hyperlink r:id="rId14711">
        <w:r>
          <w:rPr>
            <w:color w:val="0000EE"/>
            <w:u w:val="single"/>
          </w:rPr>
          <w:t>Lc 5.18,24</w:t>
        </w:r>
      </w:hyperlink>
      <w:r>
        <w:t>). Esta doença pode ter sido causada por uma lesão no nascimento ou por danos na medula espinhal. Talvez Enéias, a quem Pedro curou em Lida, também sofresse de paraplegia (</w:t>
      </w:r>
      <w:hyperlink r:id="rId16276">
        <w:r>
          <w:rPr>
            <w:color w:val="0000EE"/>
            <w:u w:val="single"/>
          </w:rPr>
          <w:t>Atos 9.33</w:t>
        </w:r>
      </w:hyperlink>
      <w:r>
        <w:t>).</w:t>
      </w:r>
    </w:p>
    <w:p>
      <w:r/>
      <w:r>
        <w:rPr>
          <w:i/>
        </w:rPr>
        <w:t>Veja também</w:t>
      </w:r>
      <w:r>
        <w:t xml:space="preserve"> </w:t>
      </w:r>
      <w:r>
        <w:t>Doença</w:t>
      </w:r>
      <w:r>
        <w:t xml:space="preserve">; </w:t>
      </w:r>
      <w:r>
        <w:t>Medicina e Prática Médica</w:t>
      </w:r>
      <w:r>
        <w:t>.</w:t>
      </w:r>
      <w:r/>
      <w:r/>
    </w:p>
    <w:p>
      <w:r/>
    </w:p>
    <w:p>
      <w:pPr>
        <w:pStyle w:val="Heading2"/>
      </w:pPr>
      <w:r>
        <w:t>Parapeito</w:t>
      </w:r>
      <w:r/>
    </w:p>
    <w:p>
      <w:r/>
      <w:r>
        <w:t>Barreira protetora ao redor da circunferência dos telhados das casas. O parapeito era exigido pela Lei (</w:t>
      </w:r>
      <w:hyperlink r:id="rId1064">
        <w:r>
          <w:rPr>
            <w:color w:val="0000EE"/>
            <w:u w:val="single"/>
          </w:rPr>
          <w:t>Dt 22.8</w:t>
        </w:r>
      </w:hyperlink>
      <w:r>
        <w:t>) uma vez que os telhados planos eram amplamente utilizados (</w:t>
      </w:r>
      <w:hyperlink r:id="rId573">
        <w:r>
          <w:rPr>
            <w:color w:val="0000EE"/>
            <w:u w:val="single"/>
          </w:rPr>
          <w:t>Js 2.6</w:t>
        </w:r>
      </w:hyperlink>
      <w:r>
        <w:t xml:space="preserve">; </w:t>
      </w:r>
      <w:hyperlink r:id="rId16277">
        <w:r>
          <w:rPr>
            <w:color w:val="0000EE"/>
            <w:u w:val="single"/>
          </w:rPr>
          <w:t>Jz 16.27</w:t>
        </w:r>
      </w:hyperlink>
      <w:r>
        <w:t xml:space="preserve">; </w:t>
      </w:r>
      <w:hyperlink r:id="rId1060">
        <w:r>
          <w:rPr>
            <w:color w:val="0000EE"/>
            <w:u w:val="single"/>
          </w:rPr>
          <w:t>1Sm 9.25</w:t>
        </w:r>
      </w:hyperlink>
      <w:r>
        <w:t xml:space="preserve">; </w:t>
      </w:r>
      <w:hyperlink r:id="rId15867">
        <w:r>
          <w:rPr>
            <w:color w:val="0000EE"/>
            <w:u w:val="single"/>
          </w:rPr>
          <w:t>Is 22.1</w:t>
        </w:r>
      </w:hyperlink>
      <w:r>
        <w:t>). A construção de um parapeito isentaria o morador de responsabilidade caso uma pessoa caísse do telhado.</w:t>
      </w:r>
    </w:p>
    <w:p>
      <w:r/>
      <w:r>
        <w:rPr>
          <w:i/>
        </w:rPr>
        <w:t>Veja também</w:t>
      </w:r>
      <w:r>
        <w:t xml:space="preserve"> </w:t>
      </w:r>
      <w:r>
        <w:t>Arquitetura</w:t>
      </w:r>
      <w:r>
        <w:t xml:space="preserve">; </w:t>
      </w:r>
      <w:r>
        <w:t>Casas e habitações</w:t>
      </w:r>
      <w:r>
        <w:t>.</w:t>
      </w:r>
      <w:r/>
      <w:r/>
    </w:p>
    <w:p>
      <w:r/>
    </w:p>
    <w:p>
      <w:pPr>
        <w:pStyle w:val="Heading2"/>
      </w:pPr>
      <w:r>
        <w:t>Parente</w:t>
      </w:r>
      <w:r/>
    </w:p>
    <w:p>
      <w:r/>
      <w:r>
        <w:t>Um parente é um familiar próximo na mesma família. Na antiga Israel, a tribo era o maior grupo social e político. A família era a menor unidade social dentro da tribo. A relação entre as famílias era cuidadosamente organizada por regras sobre quem não podia se casar entre si (</w:t>
      </w:r>
      <w:hyperlink r:id="rId2572">
        <w:r>
          <w:rPr>
            <w:color w:val="0000EE"/>
            <w:u w:val="single"/>
          </w:rPr>
          <w:t>Lv 18</w:t>
        </w:r>
      </w:hyperlink>
      <w:r>
        <w:t>).</w:t>
      </w:r>
    </w:p>
    <w:p>
      <w:r/>
      <w:r>
        <w:t>Pessoas que eram parentes, mesmo que distantes, recebiam direitos e responsabilidades especiais por todos os membros da família. Era direito do parente receber a propriedade de um membro da família que morresse sem filhos (</w:t>
      </w:r>
      <w:hyperlink r:id="rId16278">
        <w:r>
          <w:rPr>
            <w:color w:val="0000EE"/>
            <w:u w:val="single"/>
          </w:rPr>
          <w:t>Nm 27.11</w:t>
        </w:r>
      </w:hyperlink>
      <w:r>
        <w:t>). O parente também era obrigado a recomprar a propriedade de um parente que tivesse caído em dívida (</w:t>
      </w:r>
      <w:hyperlink r:id="rId10515">
        <w:r>
          <w:rPr>
            <w:color w:val="0000EE"/>
            <w:u w:val="single"/>
          </w:rPr>
          <w:t>Lv 25.25–28</w:t>
        </w:r>
      </w:hyperlink>
      <w:r>
        <w:t xml:space="preserve">). Isso era especialmente importante se o parente tivesse se tornado escravo de alguém que não fosse israelita (v. </w:t>
      </w:r>
      <w:hyperlink r:id="rId16279">
        <w:r>
          <w:rPr>
            <w:color w:val="0000EE"/>
            <w:u w:val="single"/>
          </w:rPr>
          <w:t>47–49</w:t>
        </w:r>
      </w:hyperlink>
      <w:r>
        <w:t>). Quando um parente (</w:t>
      </w:r>
      <w:r>
        <w:rPr>
          <w:i/>
        </w:rPr>
        <w:t>karov</w:t>
      </w:r>
      <w:r>
        <w:t>) desempenhava esse papel de recomprar propriedade ou libertar parentes, ele se tornava conhecido como um parente resgatador (</w:t>
      </w:r>
      <w:r>
        <w:rPr>
          <w:i/>
        </w:rPr>
        <w:t>go'el</w:t>
      </w:r>
      <w:r>
        <w:t>).</w:t>
      </w:r>
    </w:p>
    <w:p>
      <w:r/>
      <w:r>
        <w:t>No livro de Rute, Boaz é o parente resgatador. “Esse homem é nosso parente chegado e um dos responsáveis por nós”. (</w:t>
      </w:r>
      <w:hyperlink r:id="rId16280">
        <w:r>
          <w:rPr>
            <w:color w:val="0000EE"/>
            <w:u w:val="single"/>
          </w:rPr>
          <w:t>Rt 2.20</w:t>
        </w:r>
      </w:hyperlink>
      <w:r>
        <w:t xml:space="preserve">). Legalmente, Boaz tinha o direito de reivindicar a propriedade de Noemi. Mas a lei exigia que ele esperasse sua vez, pois ele não era o parente </w:t>
      </w:r>
      <w:r>
        <w:rPr>
          <w:i/>
        </w:rPr>
        <w:t>chegado</w:t>
      </w:r>
      <w:r>
        <w:t xml:space="preserve"> (</w:t>
      </w:r>
      <w:hyperlink r:id="rId16281">
        <w:r>
          <w:rPr>
            <w:color w:val="0000EE"/>
            <w:u w:val="single"/>
          </w:rPr>
          <w:t>4.4</w:t>
        </w:r>
      </w:hyperlink>
      <w:r>
        <w:t xml:space="preserve">). O parente mais próximo se recusou a ajudar (v. </w:t>
      </w:r>
      <w:hyperlink r:id="rId16282">
        <w:r>
          <w:rPr>
            <w:color w:val="0000EE"/>
            <w:u w:val="single"/>
          </w:rPr>
          <w:t>6</w:t>
        </w:r>
      </w:hyperlink>
      <w:r>
        <w:t>). Então, Boaz cumpriu seu dever como resgatador parente.</w:t>
      </w:r>
      <w:r/>
      <w:r/>
    </w:p>
    <w:p>
      <w:r/>
    </w:p>
    <w:p>
      <w:pPr>
        <w:pStyle w:val="Heading2"/>
      </w:pPr>
      <w:r>
        <w:t>Pármenas</w:t>
      </w:r>
      <w:r/>
    </w:p>
    <w:p>
      <w:r/>
      <w:r>
        <w:t>Um dos sete homens escolhidos pela igreja primitiva em Jerusalém para servir às viúvas e gerenciar a distribuição diária de alimentos (</w:t>
      </w:r>
      <w:hyperlink r:id="rId1992">
        <w:r>
          <w:rPr>
            <w:color w:val="0000EE"/>
            <w:u w:val="single"/>
          </w:rPr>
          <w:t>At 6.5</w:t>
        </w:r>
      </w:hyperlink>
      <w:r>
        <w:t>). Esses sete homens foram selecionados porque estavam cheios do Espírito Santo e sabedoria. Os outros seis homens eram Estêvão, Filipe, Prócoro, Nicanor, Timão e Nicolau.</w:t>
      </w:r>
      <w:r/>
      <w:r/>
    </w:p>
    <w:p>
      <w:r/>
    </w:p>
    <w:p>
      <w:pPr>
        <w:pStyle w:val="Heading2"/>
      </w:pPr>
      <w:r>
        <w:t>Parnaque</w:t>
      </w:r>
      <w:r/>
    </w:p>
    <w:p>
      <w:r/>
      <w:r>
        <w:t>O pai de Elizafã da tribo de Zebulom (</w:t>
      </w:r>
      <w:hyperlink r:id="rId7995">
        <w:r>
          <w:rPr>
            <w:color w:val="0000EE"/>
            <w:u w:val="single"/>
          </w:rPr>
          <w:t>Nm 34.25</w:t>
        </w:r>
      </w:hyperlink>
      <w:r>
        <w:t>).</w:t>
      </w:r>
      <w:r/>
      <w:r/>
    </w:p>
    <w:p>
      <w:r/>
    </w:p>
    <w:p>
      <w:pPr>
        <w:pStyle w:val="Heading2"/>
      </w:pPr>
      <w:r>
        <w:t>Pártia, partos</w:t>
      </w:r>
      <w:r/>
    </w:p>
    <w:p>
      <w:r/>
      <w:r>
        <w:t>Terra (aproximadamente correspondente ao atual Irã) situada além das fronteiras orientais do Império Romano, e assim quase fora do mundo do Novo Testamento.</w:t>
      </w:r>
    </w:p>
    <w:p>
      <w:r/>
      <w:r>
        <w:t>No entanto, está incluído em mapas do mundo do AT, que geralmente abrangem o território oriental. Muitos judeus deportados da Palestina após as invasões assírias e babilônicas estavam vivendo nesta área quando, no século VI a.C., ela se tornou parte do vasto Império Persa de Ciro, e milhares permaneceram apesar da oferta de repatriação de Ciro. Dois séculos depois, esse império foi conquistado por Alexandre, o Grande. Mas 100 anos depois, várias partes dele, incluindo a Pártia, livraram-se do jugo de seus sucessores e tornaram-se independentes.</w:t>
      </w:r>
    </w:p>
    <w:p>
      <w:r/>
      <w:r>
        <w:t>Partia eventualmente se tornou um grande império, estendendo-se do Eufrates ao Indo. No período do NT, até mesmo a poderosa Roma a considerava uma ameaça potencial. O primeiro confronto entre as duas potências resultou em uma derrota para os romanos (em Carrhae, o bíblico Harã, em 53 a.C.). Somente no segundo século d.C. o equilíbrio mudou, e mesmo assim, embora tenha sido anexada duas vezes, Partia recuperou sua independência duas vezes. Ela caiu eventualmente em 226 d.C., não para os romanos, mas para um golpe neo-persa dentro de suas próprias fronteiras.</w:t>
      </w:r>
    </w:p>
    <w:p>
      <w:r/>
      <w:r>
        <w:t>Ricos devido à sua posição nas rotas comerciais asiáticas e militarmente fortes por causa dos seus famosos arqueiros montados, que ganharam muitas batalhas aparentemente recuando e depois atirando no inimigo que os perseguia (daí a expressão "tiro de despedida [ou 'tiro parta']"), os partas parecem também ter sido um povo tolerante. Uma grande comunidade judaica continuou a viver entre eles, e na época de Pentecostes (</w:t>
      </w:r>
      <w:hyperlink r:id="rId2610">
        <w:r>
          <w:rPr>
            <w:color w:val="0000EE"/>
            <w:u w:val="single"/>
          </w:rPr>
          <w:t>At 2</w:t>
        </w:r>
      </w:hyperlink>
      <w:r>
        <w:t xml:space="preserve">) sua província da Babilônia tinha, curiosamente, um governador judeu. Mais importante, judeus da Pártia, e possivelmente também convertidos partas ao judaísmo ("prosélitos"), estavam em Jerusalém naquele dia marcante (v. </w:t>
      </w:r>
      <w:hyperlink r:id="rId7767">
        <w:r>
          <w:rPr>
            <w:color w:val="0000EE"/>
            <w:u w:val="single"/>
          </w:rPr>
          <w:t>9</w:t>
        </w:r>
      </w:hyperlink>
      <w:r>
        <w:t>). Por meio deles, o evangelho pode ter sido levado, dentro de semanas após a ressurreição, bem a caminho da Índia.</w:t>
      </w:r>
      <w:r/>
      <w:r/>
    </w:p>
    <w:p>
      <w:r/>
    </w:p>
    <w:p>
      <w:pPr>
        <w:pStyle w:val="Heading2"/>
      </w:pPr>
      <w:r>
        <w:t>Pássaros</w:t>
      </w:r>
      <w:r/>
    </w:p>
    <w:p>
      <w:r/>
      <w:r>
        <w:t>Vertebrados com penas da classe Aves. Mais de 8.000 espécies de aves são conhecidas. Aproximadamente 400 espécies são encontradas na Terra Santa e cerca de 40 são mencionadas nas Escrituras.</w:t>
      </w:r>
    </w:p>
    <w:p>
      <w:r/>
      <w:r>
        <w:t>Cientistas modernos classificam organismos com base na estrutura interna e externa, mas os escritores bíblicos geralmente classificavam organismos de acordo com o habitat. Assim, na Bíblia, os morcegos são listados com as aves como criaturas do ar (</w:t>
      </w:r>
      <w:hyperlink r:id="rId1477">
        <w:r>
          <w:rPr>
            <w:color w:val="0000EE"/>
            <w:u w:val="single"/>
          </w:rPr>
          <w:t>Lv 11.19</w:t>
        </w:r>
      </w:hyperlink>
      <w:r>
        <w:t xml:space="preserve">; </w:t>
      </w:r>
      <w:hyperlink r:id="rId1478">
        <w:r>
          <w:rPr>
            <w:color w:val="0000EE"/>
            <w:u w:val="single"/>
          </w:rPr>
          <w:t>Dt 14.18</w:t>
        </w:r>
      </w:hyperlink>
      <w:r>
        <w:t>).</w:t>
      </w:r>
    </w:p>
    <w:p>
      <w:r/>
      <w:r>
        <w:t>A identificação precisa das aves bíblicas é frequentemente difícil ou impossível. As línguas bíblicas não eram altamente especializadas como as línguas científicas. As pessoas nos tempos bíblicos geralmente sabiam a diferença entre animais semelhantes que agora são categorizados como espécies separadas. No entanto, para as aves, eles frequentemente usavam termos poéticos e descritivos. Os estudiosos bíblicos tentam superar as dificuldades na identificação comparando as palavras hebraicas com palavras semelhantes em línguas relacionadas e prestando atenção ao habitat, hábitos e características atribuídas às aves nas Escrituras. No entanto, diferentes estudiosos às vezes chegam a identificações distintas.</w:t>
      </w:r>
    </w:p>
    <w:p>
      <w:pPr>
        <w:pStyle w:val="Heading3"/>
      </w:pPr>
      <w:r>
        <w:t>Referências bíblicas a aves</w:t>
      </w:r>
    </w:p>
    <w:p>
      <w:r/>
      <w:r>
        <w:t>A Bíblia refere-se às aves tanto em sentidos literais quanto figurativos. Os escritores bíblicos eram observadores atentos da natureza, e sua consciência sobre as aves e a vida delas é refletida em muitas passagens. Eles afirmaram que Deus conhece todas as aves (</w:t>
      </w:r>
      <w:hyperlink r:id="rId16283">
        <w:r>
          <w:rPr>
            <w:color w:val="0000EE"/>
            <w:u w:val="single"/>
          </w:rPr>
          <w:t>Sl 50.11</w:t>
        </w:r>
      </w:hyperlink>
      <w:r>
        <w:t>) e cuida delas (</w:t>
      </w:r>
      <w:hyperlink r:id="rId11816">
        <w:r>
          <w:rPr>
            <w:color w:val="0000EE"/>
            <w:u w:val="single"/>
          </w:rPr>
          <w:t>Mt 10.29</w:t>
        </w:r>
      </w:hyperlink>
      <w:r>
        <w:t>). Eles viram a aliança de Deus com Noé após o dilúvio, sua promessa de nunca mais destruir a vida por meio de um dilúvio, como se estendendo até mesmo às aves e aos animais (</w:t>
      </w:r>
      <w:hyperlink r:id="rId16284">
        <w:r>
          <w:rPr>
            <w:color w:val="0000EE"/>
            <w:u w:val="single"/>
          </w:rPr>
          <w:t>Gn 9.10</w:t>
        </w:r>
      </w:hyperlink>
      <w:r>
        <w:t>).</w:t>
      </w:r>
    </w:p>
    <w:p>
      <w:r/>
      <w:r>
        <w:t>A lei mosaica declarou muitas aves como "imundas", principalmente espécies que eram carniceiras, predadoras ou habitavam lugares desolados. Séculos depois, os primeiros cristãos passaram a considerar espécies impuras como limpas por decreto de Deus, revelado na visão do apóstolo Pedro (</w:t>
      </w:r>
      <w:hyperlink r:id="rId16285">
        <w:r>
          <w:rPr>
            <w:color w:val="0000EE"/>
            <w:u w:val="single"/>
          </w:rPr>
          <w:t>Atos 10.12</w:t>
        </w:r>
      </w:hyperlink>
      <w:r>
        <w:t>). Outras aves, como a codorna, sustentaram os israelitas em suas peregrinações (</w:t>
      </w:r>
      <w:hyperlink r:id="rId5096">
        <w:r>
          <w:rPr>
            <w:color w:val="0000EE"/>
            <w:u w:val="single"/>
          </w:rPr>
          <w:t>Êx 16.13</w:t>
        </w:r>
      </w:hyperlink>
      <w:r>
        <w:t>). A Lei prescrevia aves como sacrifícios para um filho primogênito (</w:t>
      </w:r>
      <w:hyperlink r:id="rId16286">
        <w:r>
          <w:rPr>
            <w:color w:val="0000EE"/>
            <w:u w:val="single"/>
          </w:rPr>
          <w:t>Lc 2.24</w:t>
        </w:r>
      </w:hyperlink>
      <w:r>
        <w:t>), para um voto de nazireu (</w:t>
      </w:r>
      <w:hyperlink r:id="rId16287">
        <w:r>
          <w:rPr>
            <w:color w:val="0000EE"/>
            <w:u w:val="single"/>
          </w:rPr>
          <w:t>Nm 6.10</w:t>
        </w:r>
      </w:hyperlink>
      <w:r>
        <w:t>), para a purificação de um leproso (</w:t>
      </w:r>
      <w:hyperlink r:id="rId16288">
        <w:r>
          <w:rPr>
            <w:color w:val="0000EE"/>
            <w:u w:val="single"/>
          </w:rPr>
          <w:t>Lv 14.22</w:t>
        </w:r>
      </w:hyperlink>
      <w:r>
        <w:t>), e como oferta queimada e oferta pelo pecado (</w:t>
      </w:r>
      <w:hyperlink r:id="rId16289">
        <w:r>
          <w:rPr>
            <w:color w:val="0000EE"/>
            <w:u w:val="single"/>
          </w:rPr>
          <w:t>12.8</w:t>
        </w:r>
      </w:hyperlink>
      <w:r>
        <w:t>).</w:t>
      </w:r>
    </w:p>
    <w:p>
      <w:r/>
      <w:r>
        <w:t>Os pássaros estão facilmente sujeitos à extinção, especialmente devido à atividade humana. Deus exigiu que os israelitas praticassem a conservação para evitar que qualquer pássaro se tornasse extinto na Terra Santa, tanto pelo bem das aves quanto para que os israelitas tivessem uma fonte contínua de alimento. A Lei permitia que os israelitas em busca de alimento pegassem ovos ou filhotes de um ninho de pássaro, mas não tinham permissão para matar tanto a mãe quanto seus filhotes (</w:t>
      </w:r>
      <w:hyperlink r:id="rId16290">
        <w:r>
          <w:rPr>
            <w:color w:val="0000EE"/>
            <w:u w:val="single"/>
          </w:rPr>
          <w:t>Dt 22.6</w:t>
        </w:r>
      </w:hyperlink>
      <w:r>
        <w:t>).</w:t>
      </w:r>
    </w:p>
    <w:p>
      <w:r/>
      <w:r>
        <w:t>Os escritores bíblicos frequentemente recorriam à natureza para ilustrar princípios divinos ou características humanas. Comparações de humanos com pássaros às vezes carregam um sentido de inferioridade, como quando o Rei Nabucodonosor desenvolveu garras como um pássaro em sua loucura (</w:t>
      </w:r>
      <w:hyperlink r:id="rId16291">
        <w:r>
          <w:rPr>
            <w:color w:val="0000EE"/>
            <w:u w:val="single"/>
          </w:rPr>
          <w:t>Dn 4.33</w:t>
        </w:r>
      </w:hyperlink>
      <w:r>
        <w:t>), ou quando Jó comentou que os pássaros não conheciam a fonte da sabedoria (</w:t>
      </w:r>
      <w:hyperlink r:id="rId16292">
        <w:r>
          <w:rPr>
            <w:color w:val="0000EE"/>
            <w:u w:val="single"/>
          </w:rPr>
          <w:t>Jó 28.21</w:t>
        </w:r>
      </w:hyperlink>
      <w:r>
        <w:t>). Na parábola do semeador de Jesus, os pássaros que comeram a semente espalhada à beira do caminho podem representar indiferença e falta de compreensão espiritual (</w:t>
      </w:r>
      <w:hyperlink r:id="rId16293">
        <w:r>
          <w:rPr>
            <w:color w:val="0000EE"/>
            <w:u w:val="single"/>
          </w:rPr>
          <w:t>Mt 13.4</w:t>
        </w:r>
      </w:hyperlink>
      <w:r>
        <w:t>).</w:t>
      </w:r>
    </w:p>
    <w:p>
      <w:r/>
      <w:r>
        <w:t>As escrituras também contêm imagens simpáticas da situação das aves. Um homem solitário orando foi comparado a um pássaro solitário no telhado (</w:t>
      </w:r>
      <w:hyperlink r:id="rId16294">
        <w:r>
          <w:rPr>
            <w:color w:val="0000EE"/>
            <w:u w:val="single"/>
          </w:rPr>
          <w:t>Sl 102.7</w:t>
        </w:r>
      </w:hyperlink>
      <w:r>
        <w:t>). Se alguém fosse injustamente caçado por seus inimigos, ele entenderia a situação de um pássaro caçado (</w:t>
      </w:r>
      <w:hyperlink r:id="rId16295">
        <w:r>
          <w:rPr>
            <w:color w:val="0000EE"/>
            <w:u w:val="single"/>
          </w:rPr>
          <w:t>Lm 3.52</w:t>
        </w:r>
      </w:hyperlink>
      <w:r>
        <w:t>). Dizia-se que as aves eram afetadas por maldições sobre malfeitores enquanto fugiam de Jerusalém ou da face da terra (</w:t>
      </w:r>
      <w:hyperlink r:id="rId16296">
        <w:r>
          <w:rPr>
            <w:color w:val="0000EE"/>
            <w:u w:val="single"/>
          </w:rPr>
          <w:t>Jr 9.10</w:t>
        </w:r>
      </w:hyperlink>
      <w:r>
        <w:t xml:space="preserve">; </w:t>
      </w:r>
      <w:hyperlink r:id="rId3457">
        <w:r>
          <w:rPr>
            <w:color w:val="0000EE"/>
            <w:u w:val="single"/>
          </w:rPr>
          <w:t>Sf 1.3</w:t>
        </w:r>
      </w:hyperlink>
      <w:r>
        <w:t>).</w:t>
      </w:r>
    </w:p>
    <w:p>
      <w:r/>
      <w:r>
        <w:t>Apesar do infortúnio que recai sobre as aves, as Escrituras afirmam que, assim como outras criaturas, elas são cuidadas e apreciadas por Deus (</w:t>
      </w:r>
      <w:hyperlink r:id="rId16283">
        <w:r>
          <w:rPr>
            <w:color w:val="0000EE"/>
            <w:u w:val="single"/>
          </w:rPr>
          <w:t>Sl 50.11</w:t>
        </w:r>
      </w:hyperlink>
      <w:r>
        <w:t xml:space="preserve">; </w:t>
      </w:r>
      <w:hyperlink r:id="rId16297">
        <w:r>
          <w:rPr>
            <w:color w:val="0000EE"/>
            <w:u w:val="single"/>
          </w:rPr>
          <w:t>Mt 6.26</w:t>
        </w:r>
      </w:hyperlink>
      <w:r>
        <w:t xml:space="preserve">; </w:t>
      </w:r>
      <w:hyperlink r:id="rId11816">
        <w:r>
          <w:rPr>
            <w:color w:val="0000EE"/>
            <w:u w:val="single"/>
          </w:rPr>
          <w:t>10.29</w:t>
        </w:r>
      </w:hyperlink>
      <w:r>
        <w:t>). Tanto Faraó quanto Nabucodonosor foram comparados a uma árvore que oferece abrigo às aves (</w:t>
      </w:r>
      <w:hyperlink r:id="rId16298">
        <w:r>
          <w:rPr>
            <w:color w:val="0000EE"/>
            <w:u w:val="single"/>
          </w:rPr>
          <w:t>Ez 31.6</w:t>
        </w:r>
      </w:hyperlink>
      <w:r>
        <w:t xml:space="preserve">; </w:t>
      </w:r>
      <w:hyperlink r:id="rId16299">
        <w:r>
          <w:rPr>
            <w:color w:val="0000EE"/>
            <w:u w:val="single"/>
          </w:rPr>
          <w:t>Dn 4.12</w:t>
        </w:r>
      </w:hyperlink>
      <w:r>
        <w:t xml:space="preserve">; cf. </w:t>
      </w:r>
      <w:hyperlink r:id="rId16300">
        <w:r>
          <w:rPr>
            <w:color w:val="0000EE"/>
            <w:u w:val="single"/>
          </w:rPr>
          <w:t>2.38</w:t>
        </w:r>
      </w:hyperlink>
      <w:r>
        <w:t>). O poder humano, entretanto, eventualmente falha, como quando a árvore que representava Nabucodonosor foi cortada, forçando as aves a fugirem (</w:t>
      </w:r>
      <w:hyperlink r:id="rId16301">
        <w:r>
          <w:rPr>
            <w:color w:val="0000EE"/>
            <w:u w:val="single"/>
          </w:rPr>
          <w:t>Dn 4.14</w:t>
        </w:r>
      </w:hyperlink>
      <w:r>
        <w:t>). A proteção de Deus, em contraste, é infalível. Jesus comparou o reino de Deus a uma semente de mostarda, que cresce e se torna um abrigo para as aves (</w:t>
      </w:r>
      <w:hyperlink r:id="rId16302">
        <w:r>
          <w:rPr>
            <w:color w:val="0000EE"/>
            <w:u w:val="single"/>
          </w:rPr>
          <w:t>Mt 13.32</w:t>
        </w:r>
      </w:hyperlink>
      <w:r>
        <w:t>). Deus fornece uma habitação para as aves (</w:t>
      </w:r>
      <w:hyperlink r:id="rId16303">
        <w:r>
          <w:rPr>
            <w:color w:val="0000EE"/>
            <w:u w:val="single"/>
          </w:rPr>
          <w:t>Sl 104.12</w:t>
        </w:r>
      </w:hyperlink>
      <w:r>
        <w:t>), embora Jesus, o Filho do Homem, não tivesse onde repousar sua cabeça (</w:t>
      </w:r>
      <w:hyperlink r:id="rId3916">
        <w:r>
          <w:rPr>
            <w:color w:val="0000EE"/>
            <w:u w:val="single"/>
          </w:rPr>
          <w:t>Mt 8.20</w:t>
        </w:r>
      </w:hyperlink>
      <w:r>
        <w:t>).</w:t>
      </w:r>
    </w:p>
    <w:p>
      <w:r/>
      <w:r>
        <w:t>Os pássaros eram vistos como evidências da obra de Deus (</w:t>
      </w:r>
      <w:hyperlink r:id="rId3455">
        <w:r>
          <w:rPr>
            <w:color w:val="0000EE"/>
            <w:u w:val="single"/>
          </w:rPr>
          <w:t>Jó 12.7</w:t>
        </w:r>
      </w:hyperlink>
      <w:r>
        <w:t>). A sabedoria popular sobre pássaros fornecia exemplos de bom senso ao aprender com um erro (</w:t>
      </w:r>
      <w:hyperlink r:id="rId3956">
        <w:r>
          <w:rPr>
            <w:color w:val="0000EE"/>
            <w:u w:val="single"/>
          </w:rPr>
          <w:t>Pv 1.17</w:t>
        </w:r>
      </w:hyperlink>
      <w:r>
        <w:t xml:space="preserve">; </w:t>
      </w:r>
      <w:hyperlink r:id="rId1682">
        <w:r>
          <w:rPr>
            <w:color w:val="0000EE"/>
            <w:u w:val="single"/>
          </w:rPr>
          <w:t>6.5</w:t>
        </w:r>
      </w:hyperlink>
      <w:r>
        <w:t>) e de mau julgamento ao não evitar as armadilhas da imoralidade (</w:t>
      </w:r>
      <w:hyperlink r:id="rId9333">
        <w:r>
          <w:rPr>
            <w:color w:val="0000EE"/>
            <w:u w:val="single"/>
          </w:rPr>
          <w:t>7.23</w:t>
        </w:r>
      </w:hyperlink>
      <w:r>
        <w:t>). Pássaros e outras criaturas podiam ser domesticados, ao contrário da língua humana perversa (</w:t>
      </w:r>
      <w:hyperlink r:id="rId16304">
        <w:r>
          <w:rPr>
            <w:color w:val="0000EE"/>
            <w:u w:val="single"/>
          </w:rPr>
          <w:t>Tg 3.7</w:t>
        </w:r>
      </w:hyperlink>
      <w:r>
        <w:t>). Pássaros voando sem pousar eram uma imagem de uma maldição imerecida (</w:t>
      </w:r>
      <w:hyperlink r:id="rId13631">
        <w:r>
          <w:rPr>
            <w:color w:val="0000EE"/>
            <w:u w:val="single"/>
          </w:rPr>
          <w:t>Pv 26.2</w:t>
        </w:r>
      </w:hyperlink>
      <w:r>
        <w:t>). Sem confiança em Deus, as pessoas poderiam ser forçadas pelo mal a fugir como um pássaro para as montanhas (</w:t>
      </w:r>
      <w:hyperlink r:id="rId16305">
        <w:r>
          <w:rPr>
            <w:color w:val="0000EE"/>
            <w:u w:val="single"/>
          </w:rPr>
          <w:t>Sl 11.1</w:t>
        </w:r>
      </w:hyperlink>
      <w:r>
        <w:t>). O canto dos pássaros era dito trazer alegria (</w:t>
      </w:r>
      <w:hyperlink r:id="rId16306">
        <w:r>
          <w:rPr>
            <w:color w:val="0000EE"/>
            <w:u w:val="single"/>
          </w:rPr>
          <w:t>Ct 2.12</w:t>
        </w:r>
      </w:hyperlink>
      <w:r>
        <w:t>). O retorno do povo de Deus à Terra Prometida seria como o retorno dos pássaros (</w:t>
      </w:r>
      <w:hyperlink r:id="rId15994">
        <w:r>
          <w:rPr>
            <w:color w:val="0000EE"/>
            <w:u w:val="single"/>
          </w:rPr>
          <w:t>Os 11.11</w:t>
        </w:r>
      </w:hyperlink>
      <w:r>
        <w:t>). Jesus expressou seu amor por Jerusalém dizendo que ansiava reunir seu povo a si mesmo como uma galinha reúne seus pintinhos sob suas asas (</w:t>
      </w:r>
      <w:hyperlink r:id="rId2924">
        <w:r>
          <w:rPr>
            <w:color w:val="0000EE"/>
            <w:u w:val="single"/>
          </w:rPr>
          <w:t>Mt 23.37</w:t>
        </w:r>
      </w:hyperlink>
      <w:r>
        <w:t>).</w:t>
      </w:r>
    </w:p>
    <w:p>
      <w:r/>
      <w:r>
        <w:t>Finalmente, os pássaros eram ocasionalmente considerados sinais ominosos. Por exemplo, o padeiro do Faraó soube de sua morte iminente porque, em um sonho, os pássaros comeram a comida de um cesto em sua cabeça (</w:t>
      </w:r>
      <w:hyperlink r:id="rId16307">
        <w:r>
          <w:rPr>
            <w:color w:val="0000EE"/>
            <w:u w:val="single"/>
          </w:rPr>
          <w:t>Gn 40.17</w:t>
        </w:r>
      </w:hyperlink>
      <w:r>
        <w:t>). Salomão advertiu contra amaldiçoar o rei, mesmo em particular, porque “um passarinho pode contar a eles o que você disse” (</w:t>
      </w:r>
      <w:hyperlink r:id="rId16308">
        <w:r>
          <w:rPr>
            <w:color w:val="0000EE"/>
            <w:u w:val="single"/>
          </w:rPr>
          <w:t>Ec 10.20</w:t>
        </w:r>
      </w:hyperlink>
      <w:r>
        <w:t>). Uma imagem bíblica vívida é a de pássaros necrófagos, que se alimentam de carniça, consumindo os corpos dos malfeitores. Para os israelitas, tal profanação da humanidade era uma imagem de horror supremo (</w:t>
      </w:r>
      <w:hyperlink r:id="rId3307">
        <w:r>
          <w:rPr>
            <w:color w:val="0000EE"/>
            <w:u w:val="single"/>
          </w:rPr>
          <w:t>Dt 28.26</w:t>
        </w:r>
      </w:hyperlink>
      <w:r>
        <w:t xml:space="preserve">; </w:t>
      </w:r>
      <w:hyperlink r:id="rId3468">
        <w:r>
          <w:rPr>
            <w:color w:val="0000EE"/>
            <w:u w:val="single"/>
          </w:rPr>
          <w:t>1Sm 17.44</w:t>
        </w:r>
      </w:hyperlink>
      <w:r>
        <w:t xml:space="preserve">; </w:t>
      </w:r>
      <w:hyperlink r:id="rId16309">
        <w:r>
          <w:rPr>
            <w:color w:val="0000EE"/>
            <w:u w:val="single"/>
          </w:rPr>
          <w:t>Is 46.11</w:t>
        </w:r>
      </w:hyperlink>
      <w:r>
        <w:t xml:space="preserve">; </w:t>
      </w:r>
      <w:hyperlink r:id="rId16310">
        <w:r>
          <w:rPr>
            <w:color w:val="0000EE"/>
            <w:u w:val="single"/>
          </w:rPr>
          <w:t>Jr 7.33</w:t>
        </w:r>
      </w:hyperlink>
      <w:r>
        <w:t xml:space="preserve">; </w:t>
      </w:r>
      <w:hyperlink r:id="rId16311">
        <w:r>
          <w:rPr>
            <w:color w:val="0000EE"/>
            <w:u w:val="single"/>
          </w:rPr>
          <w:t>12.9</w:t>
        </w:r>
      </w:hyperlink>
      <w:r>
        <w:t xml:space="preserve">; </w:t>
      </w:r>
      <w:hyperlink r:id="rId16312">
        <w:r>
          <w:rPr>
            <w:color w:val="0000EE"/>
            <w:u w:val="single"/>
          </w:rPr>
          <w:t>Ez 29.5</w:t>
        </w:r>
      </w:hyperlink>
      <w:r>
        <w:t xml:space="preserve">; </w:t>
      </w:r>
      <w:hyperlink r:id="rId16313">
        <w:r>
          <w:rPr>
            <w:color w:val="0000EE"/>
            <w:u w:val="single"/>
          </w:rPr>
          <w:t>39.4</w:t>
        </w:r>
      </w:hyperlink>
      <w:r>
        <w:t xml:space="preserve">; </w:t>
      </w:r>
      <w:hyperlink r:id="rId16314">
        <w:r>
          <w:rPr>
            <w:color w:val="0000EE"/>
            <w:u w:val="single"/>
          </w:rPr>
          <w:t>Ap 19.17,21</w:t>
        </w:r>
      </w:hyperlink>
      <w:r>
        <w:t>).</w:t>
      </w:r>
    </w:p>
    <w:p>
      <w:pPr>
        <w:pStyle w:val="Heading3"/>
      </w:pPr>
      <w:r>
        <w:t>Espécies Individuais</w:t>
      </w:r>
    </w:p>
    <w:p>
      <w:pPr>
        <w:pStyle w:val="Heading4"/>
      </w:pPr>
      <w:r>
        <w:t>Abetouro</w:t>
      </w:r>
    </w:p>
    <w:p>
      <w:r/>
      <w:r>
        <w:t xml:space="preserve">Pássaro pernaltas </w:t>
      </w:r>
      <w:r>
        <w:rPr>
          <w:i/>
        </w:rPr>
        <w:t>(Botaurus stellaris)</w:t>
      </w:r>
      <w:r>
        <w:t xml:space="preserve"> semelhante à garça, mas com pernas mais curtas e um corpo menor e mais compacto. Abetouros vivem em pântanos, onde é fácil para elas se esconderem com sua camuflagem natural. A plumagem mosqueada de um abetouro, com listras marrons e pretas, imita tanto a cor quanto a forma da vegetação do pântano, a ponto de, às vezes, o pássaro parecer desaparecer diante dos olhos do observador. O pescoço é coberto por penas longas e macias, fazendo-o parecer desproporcionalmente pesado. Os abetouros são cautelosos e solitários. Durante a época de acasalamento, a laringe do abetouro é modificada para produzir um grito de som misterioso. O corpo se torce de uma maneira incomum em harmonia com as notas. Os abetouros constróem ninhos sozinhos em pântanos gramados. Por serem tímidos, tornaram-se símbolos de lugares de desolação e solidão.</w:t>
      </w:r>
    </w:p>
    <w:p>
      <w:r/>
      <w:r>
        <w:t>Há alguma dúvida sobre se o abetouro é realmente mencionado na Bíblia. A palavra hebraica para abetouro aparece em poucos versículos em Isaías e uma vez em Sofonias. Na verdade, não se tem uma precisão quanto a que animal se refere (</w:t>
      </w:r>
      <w:hyperlink r:id="rId1829">
        <w:r>
          <w:rPr>
            <w:color w:val="0000EE"/>
            <w:u w:val="single"/>
          </w:rPr>
          <w:t>Is 14.23</w:t>
        </w:r>
      </w:hyperlink>
      <w:r>
        <w:t xml:space="preserve">; </w:t>
      </w:r>
      <w:hyperlink r:id="rId1828">
        <w:r>
          <w:rPr>
            <w:color w:val="0000EE"/>
            <w:u w:val="single"/>
          </w:rPr>
          <w:t>34.11</w:t>
        </w:r>
      </w:hyperlink>
      <w:r>
        <w:t xml:space="preserve">; </w:t>
      </w:r>
      <w:hyperlink r:id="rId16315">
        <w:r>
          <w:rPr>
            <w:color w:val="0000EE"/>
            <w:u w:val="single"/>
          </w:rPr>
          <w:t>Sf 2.14</w:t>
        </w:r>
      </w:hyperlink>
      <w:r>
        <w:t xml:space="preserve">). Muitos estudiosos bíblicos acreditam que a palavra hebraica nesses versículos se refere não ao abetouro, mas ao ouriço como aparece em algumas versões da Bíblia em português. Em outras versões o mesmo termo é traduzido por coruja. A palavra hebraica é semelhante a uma palavra árabe que significa "porco-espinho". Outros estudiosos apontam que as referências sugerem uma ave em vez de um mamífero, especialmente </w:t>
      </w:r>
      <w:hyperlink r:id="rId16315">
        <w:r>
          <w:rPr>
            <w:color w:val="0000EE"/>
            <w:u w:val="single"/>
          </w:rPr>
          <w:t>Sf 2.14</w:t>
        </w:r>
      </w:hyperlink>
      <w:r>
        <w:t>, que fala da criatura fazendo seu "abrigo em seus capitéis" (ou seja, acima dos umbrais de Nínive). Os abetouros são particularmente abundantes nos pântanos do Rio Tigre (perto de Nínive). As características do abetouro podem se encaixar melhor nas referências dos três trechos do que as do ouriço.</w:t>
      </w:r>
    </w:p>
    <w:p>
      <w:r/>
      <w:r>
        <w:rPr>
          <w:i/>
        </w:rPr>
        <w:t>Veja também</w:t>
      </w:r>
      <w:r>
        <w:t xml:space="preserve"> </w:t>
      </w:r>
      <w:r>
        <w:t>Ouriço</w:t>
      </w:r>
      <w:r>
        <w:t xml:space="preserve">; </w:t>
      </w:r>
      <w:r>
        <w:t>Animais (Porco-espinho)</w:t>
      </w:r>
      <w:r>
        <w:t>.</w:t>
      </w:r>
    </w:p>
    <w:p>
      <w:pPr>
        <w:pStyle w:val="Heading4"/>
      </w:pPr>
      <w:r>
        <w:t>Águia-de-asa-redonda</w:t>
      </w:r>
    </w:p>
    <w:p>
      <w:r/>
      <w:r>
        <w:t xml:space="preserve">Pássaro planador semelhante a um falcão </w:t>
      </w:r>
      <w:r>
        <w:rPr>
          <w:i/>
        </w:rPr>
        <w:t>(Buteo vulgaris</w:t>
      </w:r>
      <w:r>
        <w:t xml:space="preserve"> ou </w:t>
      </w:r>
      <w:r>
        <w:rPr>
          <w:i/>
        </w:rPr>
        <w:t>Buteo ferox).</w:t>
      </w:r>
      <w:r>
        <w:t xml:space="preserve"> Assemelha-se ao milhano, embora sua cauda seja reta e não bifurcada. É mencionado na lista de aves impuras (</w:t>
      </w:r>
      <w:hyperlink r:id="rId261">
        <w:r>
          <w:rPr>
            <w:color w:val="0000EE"/>
            <w:u w:val="single"/>
          </w:rPr>
          <w:t>Dt 14.13</w:t>
        </w:r>
      </w:hyperlink>
      <w:r>
        <w:t xml:space="preserve">). No entanto, outras traduções usam a palavra “milhano” (ARA) ou “milhafre” (NVI). A lista paralela em </w:t>
      </w:r>
      <w:hyperlink r:id="rId1455">
        <w:r>
          <w:rPr>
            <w:color w:val="0000EE"/>
            <w:u w:val="single"/>
          </w:rPr>
          <w:t>Levítico 11</w:t>
        </w:r>
      </w:hyperlink>
      <w:r>
        <w:t>, no entanto, substitui “milhano” “abutre” por “águia-de-asa-redonda”. Assim, é difícil determinar se a águia-de-asa-redonda é realmente mencionado na Bíblia, embora seja um residente comum de Israel.</w:t>
      </w:r>
    </w:p>
    <w:p>
      <w:r/>
      <w:r>
        <w:t xml:space="preserve">Como outras grandes aves planadoras, a águia-de-asa-redonda é conhecido por sua visão aguçada e pode ser a ave mencionada por essa qualidade em </w:t>
      </w:r>
      <w:hyperlink r:id="rId9104">
        <w:r>
          <w:rPr>
            <w:color w:val="0000EE"/>
            <w:u w:val="single"/>
          </w:rPr>
          <w:t>Jó 28.7</w:t>
        </w:r>
      </w:hyperlink>
      <w:r>
        <w:t xml:space="preserve"> (traduzido de várias formas como "falcão", "águia" ou "águia-de-asa-redonda"). Ele segue sua presa por horas e tem uma habilidade notável de ver uma carcaça sobre a qual desce para se alimentar. Um pouco maior que a águia-de-asa-redonda comum é a águia-de-asa-redonda de pernas longas, encontrado em Israel, Ásia Ocidental e Síria.</w:t>
      </w:r>
    </w:p>
    <w:p>
      <w:r/>
      <w:r>
        <w:rPr>
          <w:i/>
        </w:rPr>
        <w:t>Consulte também</w:t>
      </w:r>
      <w:r>
        <w:t xml:space="preserve"> Peneireiro; Milhafre; Abutre (abaixo).</w:t>
      </w:r>
    </w:p>
    <w:p>
      <w:pPr>
        <w:pStyle w:val="Heading4"/>
      </w:pPr>
      <w:r>
        <w:t>Corvo-marinho</w:t>
      </w:r>
    </w:p>
    <w:p>
      <w:r/>
      <w:r>
        <w:t xml:space="preserve">Grande ave preta semelhante a um ganso </w:t>
      </w:r>
      <w:r>
        <w:rPr>
          <w:i/>
        </w:rPr>
        <w:t>(Phalacrocorax carbo),</w:t>
      </w:r>
      <w:r>
        <w:t xml:space="preserve"> frequentemente retratada na arte do Egito e da Terra Santa. Seu comprimento varia de 48 a 100 centímetros. Seus pés têm membranas entre todos os quatro dedos. Os pés, fixados bem atrás no corpo, servem como propulsores quando o corvo-marinho mergulha para capturar sua refeição de peixes, crustáceos ou anfíbios. O longo bico é curvado na ponta, e sob o bico há um saco no qual o corvo-marinho guarda o peixe capturado.</w:t>
      </w:r>
    </w:p>
    <w:p>
      <w:r/>
      <w:r>
        <w:t>Os corvos-marinhos vivem em grandes grupos, construindo ninhos com gravetos e outras vegetações que levam para árvores ou prateleiras rochosas próximas às costas. Até quatro ovos são incubados, e os filhotes são alimentados por ambos os pais.</w:t>
      </w:r>
    </w:p>
    <w:p>
      <w:r/>
      <w:r>
        <w:t>O corvo-marinho frequenta pântanos ao redor do Mar da Galileia, Lago Hulé (as Águas de Merom) e a costa do Mediterrâneo. Seu nome em hebraico originalmente denotava o “arremesso” da ave sobre sua presa. Os corvos-marinhos mergulham em águas profundas e às vezes parecem acelerar sob a superfície em sua caça por peixes. A avareza do corvo-marinho é proverbial. Era cerimonialmente impuro para os israelitas (</w:t>
      </w:r>
      <w:hyperlink r:id="rId6033">
        <w:r>
          <w:rPr>
            <w:color w:val="0000EE"/>
            <w:u w:val="single"/>
          </w:rPr>
          <w:t>Lv 11.17</w:t>
        </w:r>
      </w:hyperlink>
      <w:r>
        <w:t xml:space="preserve">; </w:t>
      </w:r>
      <w:hyperlink r:id="rId6035">
        <w:r>
          <w:rPr>
            <w:color w:val="0000EE"/>
            <w:u w:val="single"/>
          </w:rPr>
          <w:t>Dt 14.17</w:t>
        </w:r>
      </w:hyperlink>
      <w:r>
        <w:t>).</w:t>
      </w:r>
    </w:p>
    <w:p>
      <w:r/>
      <w:r>
        <w:rPr>
          <w:i/>
        </w:rPr>
        <w:t>Consulte também</w:t>
      </w:r>
      <w:r>
        <w:t xml:space="preserve"> Pelicano (abaixo).</w:t>
      </w:r>
    </w:p>
    <w:p>
      <w:pPr>
        <w:pStyle w:val="Heading4"/>
      </w:pPr>
      <w:r>
        <w:t>Grou</w:t>
      </w:r>
    </w:p>
    <w:p>
      <w:r/>
      <w:r>
        <w:t xml:space="preserve">Aves pernaltas altas </w:t>
      </w:r>
      <w:r>
        <w:rPr>
          <w:i/>
        </w:rPr>
        <w:t>(Grus grus)</w:t>
      </w:r>
      <w:r>
        <w:t xml:space="preserve"> que se assemelham a cegonhas e garças, mas com garras mais curtas. A plumagem tem um brilho prateado e as penas da cauda são onduladas. Grandes bandos de grous voando em formações em forma de cunha passam sobre a Terra Santa durante o dia a cada outono, a caminho da África, vindos dos países do norte da Europa, e novamente na primavera, quando retornam ao norte para se reproduzir. Bandos migratórios podem contar com até 2.000 aves. </w:t>
      </w:r>
      <w:hyperlink r:id="rId16316">
        <w:r>
          <w:rPr>
            <w:color w:val="0000EE"/>
            <w:u w:val="single"/>
          </w:rPr>
          <w:t>Jeremias 8.7</w:t>
        </w:r>
      </w:hyperlink>
      <w:r>
        <w:t xml:space="preserve"> refere-se aos hábitos migratórios do grou.</w:t>
      </w:r>
    </w:p>
    <w:p>
      <w:r/>
      <w:r>
        <w:t xml:space="preserve">O chamado usual do grou é melhor descrito como um bramido, mas durante o voo migratório, eles emitem um som de tagarelice que pode ser referido em </w:t>
      </w:r>
      <w:hyperlink r:id="rId16317">
        <w:r>
          <w:rPr>
            <w:color w:val="0000EE"/>
            <w:u w:val="single"/>
          </w:rPr>
          <w:t>Isaías 38.14</w:t>
        </w:r>
      </w:hyperlink>
      <w:r>
        <w:t>. Os grous têm vozes notavelmente poderosas, e seus chamados parecem se propagar por quilômetros. Bandos migratórios geralmente têm um líder que faz os chamados.</w:t>
      </w:r>
    </w:p>
    <w:p>
      <w:r/>
      <w:r>
        <w:t>A altura de um grou pode variar de 1 a 1.5 metros. Exceto pelo avestruz, o grou é a ave mais alta que já habitou a Terra Santa. A envergadura de um grou pode ultrapassar 2.20 metros. A cor geral é cinza aço; a cabeça e o pescoço são pretos com uma faixa branca longitudinal. O grou se alimenta em terra, em vez de em águas rasas. Alimenta-se principalmente de grama e grãos, mas pode consumir insetos, cobras, pequenos jacarés, rãs e minhocas, usando seu longo e poderoso bico como um martelo afiado para matar essas criaturas.</w:t>
      </w:r>
    </w:p>
    <w:p>
      <w:r/>
      <w:r>
        <w:t>O grou geralmente faz ninho em locais isolados, muitas vezes em águas rasas ou nas proximidades. Seu ninho é uma massa de vegetação, contendo dois ou três ovos de cor clara com manchas mais escuras.</w:t>
      </w:r>
    </w:p>
    <w:p>
      <w:pPr>
        <w:pStyle w:val="Heading4"/>
      </w:pPr>
      <w:r>
        <w:t>Cuco</w:t>
      </w:r>
    </w:p>
    <w:p>
      <w:r/>
      <w:r>
        <w:t xml:space="preserve">Pequeno pássaro marrom-claro conhecido por seus hábitos parasitários. O termo em algumas bíblias em </w:t>
      </w:r>
      <w:hyperlink r:id="rId9712">
        <w:r>
          <w:rPr>
            <w:color w:val="0000EE"/>
            <w:u w:val="single"/>
          </w:rPr>
          <w:t>Levítico 11.16</w:t>
        </w:r>
      </w:hyperlink>
      <w:r>
        <w:t xml:space="preserve"> e </w:t>
      </w:r>
      <w:hyperlink r:id="rId9713">
        <w:r>
          <w:rPr>
            <w:color w:val="0000EE"/>
            <w:u w:val="single"/>
          </w:rPr>
          <w:t>Deuteronômio 14.15</w:t>
        </w:r>
      </w:hyperlink>
      <w:r>
        <w:t xml:space="preserve"> pode se referir tanto ao cuco comum </w:t>
      </w:r>
      <w:r>
        <w:rPr>
          <w:i/>
        </w:rPr>
        <w:t>(Cuculus canorus)</w:t>
      </w:r>
      <w:r>
        <w:t xml:space="preserve"> quanto ao cuco-rabilongo </w:t>
      </w:r>
      <w:r>
        <w:rPr>
          <w:i/>
        </w:rPr>
        <w:t>(Clamator glandarius).</w:t>
      </w:r>
      <w:r>
        <w:t xml:space="preserve"> A ave atua como um parasita de ninhada, colocando seus ovos no ninho de outra espécie após empurrar um dos ovos da espécie hospedeira. O jovem cuco choca antes dos jovens da espécie hospedeira e expulsa os outros filhotes. Os pais adotivos o criam como se fosse seu.</w:t>
      </w:r>
    </w:p>
    <w:p>
      <w:r/>
      <w:r>
        <w:t>O cuco, um comedor de insetos, é considerado ritualmente impuro nas Escrituras, o que pode sugerir que seja um predador ou comedor de carniça. Por essa razão, alguns acreditam que a palavra hebraica se refira, na verdade, à gaivota ou à andorinha-do-mar, em vez do cuco. Gaivotas, andorinhas-do-mar e petréis são todos comuns na costa e nos lagos da Terra Santa.</w:t>
      </w:r>
    </w:p>
    <w:p>
      <w:r/>
      <w:r>
        <w:t>Alguns estudiosos acreditam que a palavra hebraica não se refere ao cuco, mas a uma das corujas, possivelmente a coruja-das-torres.</w:t>
      </w:r>
    </w:p>
    <w:p>
      <w:r/>
      <w:r>
        <w:rPr>
          <w:i/>
        </w:rPr>
        <w:t>Consulte também</w:t>
      </w:r>
      <w:r>
        <w:t xml:space="preserve"> Coruja; Gaivota (abaixo).</w:t>
      </w:r>
    </w:p>
    <w:p>
      <w:pPr>
        <w:pStyle w:val="Heading4"/>
      </w:pPr>
      <w:r>
        <w:t>Águia</w:t>
      </w:r>
    </w:p>
    <w:p>
      <w:r/>
      <w:r>
        <w:t xml:space="preserve">Grande ave de rapina, gênero </w:t>
      </w:r>
      <w:r>
        <w:rPr>
          <w:i/>
        </w:rPr>
        <w:t>Áquila.</w:t>
      </w:r>
      <w:r>
        <w:t xml:space="preserve"> Abutres eram frequentemente confundidos com águias, tornando a identificação das aves bíblicas difícil. As cabeças das águias não são carecas como as dos abutres, mas à distância parecem semelhantes. É possível que a palavra hebraica traduzida como “águia” (que literalmente significa “rasgar com o bico”) possa ter se referido a todas as grandes aves de rapina, tanto águias quanto abutres. Várias referências à águia nas Escrituras são, na verdade, referências ao grifo-eurasiático (e.g., </w:t>
      </w:r>
      <w:hyperlink r:id="rId5327">
        <w:r>
          <w:rPr>
            <w:color w:val="0000EE"/>
            <w:u w:val="single"/>
          </w:rPr>
          <w:t>Os 8.1</w:t>
        </w:r>
      </w:hyperlink>
      <w:r>
        <w:t xml:space="preserve">; talvez </w:t>
      </w:r>
      <w:hyperlink r:id="rId16318">
        <w:r>
          <w:rPr>
            <w:color w:val="0000EE"/>
            <w:u w:val="single"/>
          </w:rPr>
          <w:t>Mt 24.28</w:t>
        </w:r>
      </w:hyperlink>
      <w:r>
        <w:t>). Em certas passagens, no entanto, a verdadeira águia pode ser mencionada.</w:t>
      </w:r>
    </w:p>
    <w:p>
      <w:r/>
      <w:r>
        <w:t xml:space="preserve">A Terra Santa possui várias espécies de águia, incluindo a águia imperial </w:t>
      </w:r>
      <w:r>
        <w:rPr>
          <w:i/>
        </w:rPr>
        <w:t>(Áquila heliaca)</w:t>
      </w:r>
      <w:r>
        <w:t xml:space="preserve"> e a menos comum águia dourada </w:t>
      </w:r>
      <w:r>
        <w:rPr>
          <w:i/>
        </w:rPr>
        <w:t>(Áquila chrysaetos).</w:t>
      </w:r>
      <w:r>
        <w:t xml:space="preserve"> Estas aves são robustamente construídas com asas fortes; seus movimentos revelam flexibilidade e força. Um bico curvo distintivo, que realça a aparência digna e um tanto feroz da águia, serve como um instrumento eficaz para rasgar e matar presas. Pernas curtas e poderosas e garras preênseis permitem que uma águia aplique um aperto quase inquebrável em uma vítima em luta. As garras fortes têm pontas e bordas afiadas. A águia caça durante o dia.</w:t>
      </w:r>
    </w:p>
    <w:p>
      <w:r/>
      <w:r>
        <w:t xml:space="preserve">Para Jeremias e outros profetas, a águia era o símbolo da rapidez. A águia dourada, que pode voar três de 5 a 7 quilômetros em dez minutos, pode ter inspirado as comparações em </w:t>
      </w:r>
      <w:hyperlink r:id="rId16319">
        <w:r>
          <w:rPr>
            <w:color w:val="0000EE"/>
            <w:u w:val="single"/>
          </w:rPr>
          <w:t>2 Samuel 1.23</w:t>
        </w:r>
      </w:hyperlink>
      <w:r>
        <w:t xml:space="preserve">; </w:t>
      </w:r>
      <w:hyperlink r:id="rId16320">
        <w:r>
          <w:rPr>
            <w:color w:val="0000EE"/>
            <w:u w:val="single"/>
          </w:rPr>
          <w:t>Jeremias 4.13</w:t>
        </w:r>
      </w:hyperlink>
      <w:r>
        <w:t xml:space="preserve">; </w:t>
      </w:r>
      <w:hyperlink r:id="rId16321">
        <w:r>
          <w:rPr>
            <w:color w:val="0000EE"/>
            <w:u w:val="single"/>
          </w:rPr>
          <w:t>49.22</w:t>
        </w:r>
      </w:hyperlink>
      <w:r>
        <w:t xml:space="preserve">; </w:t>
      </w:r>
      <w:hyperlink r:id="rId16322">
        <w:r>
          <w:rPr>
            <w:color w:val="0000EE"/>
            <w:u w:val="single"/>
          </w:rPr>
          <w:t>Lamentações 4.19</w:t>
        </w:r>
      </w:hyperlink>
      <w:r>
        <w:t xml:space="preserve"> e </w:t>
      </w:r>
      <w:hyperlink r:id="rId1747">
        <w:r>
          <w:rPr>
            <w:color w:val="0000EE"/>
            <w:u w:val="single"/>
          </w:rPr>
          <w:t>Habacuque 1.8</w:t>
        </w:r>
      </w:hyperlink>
      <w:r>
        <w:t>. Moisés usou uma comparação semelhante para destacar o poder de ataque repentino de um inimigo hostil (</w:t>
      </w:r>
      <w:hyperlink r:id="rId16323">
        <w:r>
          <w:rPr>
            <w:color w:val="0000EE"/>
            <w:u w:val="single"/>
          </w:rPr>
          <w:t>Dt 28.49</w:t>
        </w:r>
      </w:hyperlink>
      <w:r>
        <w:t>). O autor de Provérbios, observando a alta altitude à qual a águia sobe, aplicou essa imagem à situação humana (</w:t>
      </w:r>
      <w:hyperlink r:id="rId16324">
        <w:r>
          <w:rPr>
            <w:color w:val="0000EE"/>
            <w:u w:val="single"/>
          </w:rPr>
          <w:t>Pv 23.4–5</w:t>
        </w:r>
      </w:hyperlink>
      <w:r>
        <w:t xml:space="preserve">; cf. </w:t>
      </w:r>
      <w:hyperlink r:id="rId15351">
        <w:r>
          <w:rPr>
            <w:color w:val="0000EE"/>
            <w:u w:val="single"/>
          </w:rPr>
          <w:t>Ap 12.14</w:t>
        </w:r>
      </w:hyperlink>
      <w:r>
        <w:t>).</w:t>
      </w:r>
    </w:p>
    <w:p>
      <w:r/>
      <w:r>
        <w:t>A força e a invencibilidade da águia foram frequentemente mencionadas em referência a nações poderosas atacando Israel. O profeta Ezequiel descreveu Nabucodonosor como uma águia (</w:t>
      </w:r>
      <w:hyperlink r:id="rId5511">
        <w:r>
          <w:rPr>
            <w:color w:val="0000EE"/>
            <w:u w:val="single"/>
          </w:rPr>
          <w:t>Ez 17.3</w:t>
        </w:r>
      </w:hyperlink>
      <w:r>
        <w:t>). Tanto os babilônios quanto os assírios frequentemente retratavam a águia em sua arte, especialmente como uma divindade com corpo de homem e cabeça de águia. Nabucodonosor até teve uma experiência de insanidade temporária na qual “seu cabelo cresceu como penas de águia, e suas unhas eram como garras de pássaros” (</w:t>
      </w:r>
      <w:hyperlink r:id="rId16291">
        <w:r>
          <w:rPr>
            <w:color w:val="0000EE"/>
            <w:u w:val="single"/>
          </w:rPr>
          <w:t>Dn 4.33</w:t>
        </w:r>
      </w:hyperlink>
      <w:r>
        <w:t>).</w:t>
      </w:r>
    </w:p>
    <w:p>
      <w:r/>
      <w:r>
        <w:t>A águia constrói seu ninho em picos de montanhas inacessíveis ou no topo das árvores mais altas, um fato observado por Jeremias (</w:t>
      </w:r>
      <w:hyperlink r:id="rId16325">
        <w:r>
          <w:rPr>
            <w:color w:val="0000EE"/>
            <w:u w:val="single"/>
          </w:rPr>
          <w:t>Jr 49.16</w:t>
        </w:r>
      </w:hyperlink>
      <w:r>
        <w:t xml:space="preserve">; cf. </w:t>
      </w:r>
      <w:hyperlink r:id="rId16326">
        <w:r>
          <w:rPr>
            <w:color w:val="0000EE"/>
            <w:u w:val="single"/>
          </w:rPr>
          <w:t>Jó 39.27–28</w:t>
        </w:r>
      </w:hyperlink>
      <w:r>
        <w:t xml:space="preserve">; </w:t>
      </w:r>
      <w:hyperlink r:id="rId16327">
        <w:r>
          <w:rPr>
            <w:color w:val="0000EE"/>
            <w:u w:val="single"/>
          </w:rPr>
          <w:t>Ob 1.4</w:t>
        </w:r>
      </w:hyperlink>
      <w:r>
        <w:t xml:space="preserve">). A ninhada consiste em dois ou ocasionalmente três ovos. Apenas a fêmea fica no ninho, mas os jovens filhotes são alimentados por ambos os pais. As águias são dedicadas aos seus filhotes e os treinam com grande cuidado na arte de voar. Alguns comentaristas interpretam </w:t>
      </w:r>
      <w:hyperlink r:id="rId16328">
        <w:r>
          <w:rPr>
            <w:color w:val="0000EE"/>
            <w:u w:val="single"/>
          </w:rPr>
          <w:t>Êxodo 19.4</w:t>
        </w:r>
      </w:hyperlink>
      <w:r>
        <w:t xml:space="preserve"> e </w:t>
      </w:r>
      <w:hyperlink r:id="rId16329">
        <w:r>
          <w:rPr>
            <w:color w:val="0000EE"/>
            <w:u w:val="single"/>
          </w:rPr>
          <w:t>Deuteronômio 32.11</w:t>
        </w:r>
      </w:hyperlink>
      <w:r>
        <w:t xml:space="preserve"> como evidência da prática da águia de pegar seus filhotes em suas asas. No entanto, há virtualmente nenhuma evidência de observação de que qualquer águia possa realizar tal feito. Em algumas versões, a redação evita uma declaração direta de que as águias carregam seus filhotes em suas asas.</w:t>
      </w:r>
    </w:p>
    <w:p>
      <w:r/>
      <w:r>
        <w:t>Algumas águias em cativeiro viveram por mais de 100 anos. Essa notável longevidade levou o salmista a mencionar a águia cuja juventude é renovada (</w:t>
      </w:r>
      <w:hyperlink r:id="rId16330">
        <w:r>
          <w:rPr>
            <w:color w:val="0000EE"/>
            <w:u w:val="single"/>
          </w:rPr>
          <w:t>Sl 103.5</w:t>
        </w:r>
      </w:hyperlink>
      <w:r>
        <w:t>). Impressionados por suas qualidades notáveis, os autores bíblicos observaram a águia com admiração e espanto (</w:t>
      </w:r>
      <w:hyperlink r:id="rId16331">
        <w:r>
          <w:rPr>
            <w:color w:val="0000EE"/>
            <w:u w:val="single"/>
          </w:rPr>
          <w:t>Jó 39.27–30</w:t>
        </w:r>
      </w:hyperlink>
      <w:r>
        <w:t xml:space="preserve">; </w:t>
      </w:r>
      <w:hyperlink r:id="rId16332">
        <w:r>
          <w:rPr>
            <w:color w:val="0000EE"/>
            <w:u w:val="single"/>
          </w:rPr>
          <w:t>Pv 30.18–19</w:t>
        </w:r>
      </w:hyperlink>
      <w:r>
        <w:t>). Essas qualidades impressionantes também inspiraram várias visões proféticas, incluindo a visão de Ezequiel de uma criatura com rosto de águia (</w:t>
      </w:r>
      <w:hyperlink r:id="rId12732">
        <w:r>
          <w:rPr>
            <w:color w:val="0000EE"/>
            <w:u w:val="single"/>
          </w:rPr>
          <w:t>Ez 1.10</w:t>
        </w:r>
      </w:hyperlink>
      <w:r>
        <w:t>) e a visão do apóstolo João de uma besta sagrada semelhante a uma águia voadora (</w:t>
      </w:r>
      <w:hyperlink r:id="rId16333">
        <w:r>
          <w:rPr>
            <w:color w:val="0000EE"/>
            <w:u w:val="single"/>
          </w:rPr>
          <w:t>Ap 4.7</w:t>
        </w:r>
      </w:hyperlink>
      <w:r>
        <w:t>).</w:t>
      </w:r>
    </w:p>
    <w:p>
      <w:r/>
      <w:r>
        <w:rPr>
          <w:i/>
        </w:rPr>
        <w:t>Consulte também</w:t>
      </w:r>
      <w:r>
        <w:t xml:space="preserve"> Abutre (abaixo).</w:t>
      </w:r>
    </w:p>
    <w:p>
      <w:pPr>
        <w:pStyle w:val="Heading4"/>
      </w:pPr>
      <w:r>
        <w:t>Galinha doméstica</w:t>
      </w:r>
    </w:p>
    <w:p>
      <w:r/>
      <w:r>
        <w:t xml:space="preserve">Aves domésticas </w:t>
      </w:r>
      <w:r>
        <w:rPr>
          <w:i/>
        </w:rPr>
        <w:t>(Gallus gallus domesticus)</w:t>
      </w:r>
      <w:r>
        <w:t>, provavelmente derivadas do galo-da-selva vermelho da Índia. Elas parecem já ser conhecidas nos tempos do AT (</w:t>
      </w:r>
      <w:hyperlink r:id="rId2921">
        <w:r>
          <w:rPr>
            <w:color w:val="0000EE"/>
            <w:u w:val="single"/>
          </w:rPr>
          <w:t>Pv 30.31</w:t>
        </w:r>
      </w:hyperlink>
      <w:r>
        <w:t xml:space="preserve">). Um selo de Jazanias (veja </w:t>
      </w:r>
      <w:hyperlink r:id="rId2922">
        <w:r>
          <w:rPr>
            <w:color w:val="0000EE"/>
            <w:u w:val="single"/>
          </w:rPr>
          <w:t>2Rs 25.23</w:t>
        </w:r>
      </w:hyperlink>
      <w:r>
        <w:t>), datado de cerca de 600 a.C., traz a imagem de um galo de briga. Uma referência a aves ou aves domésticas para a mesa de Neemias, no entanto, pode ser a caça selvagem em vez de aves domésticas (</w:t>
      </w:r>
      <w:hyperlink r:id="rId2923">
        <w:r>
          <w:rPr>
            <w:color w:val="0000EE"/>
            <w:u w:val="single"/>
          </w:rPr>
          <w:t>Ne 5.18</w:t>
        </w:r>
      </w:hyperlink>
      <w:r>
        <w:t>).</w:t>
      </w:r>
    </w:p>
    <w:p>
      <w:r/>
      <w:r>
        <w:t>Aves simbolizavam fertilidade, e os judeus levavam um galo e uma galinha à frente dos casais de noivos em casamentos. A preocupação maternal das galinhas reunindo suas ninhadas era familiar aos ouvintes de Jesus (</w:t>
      </w:r>
      <w:hyperlink r:id="rId2924">
        <w:r>
          <w:rPr>
            <w:color w:val="0000EE"/>
            <w:u w:val="single"/>
          </w:rPr>
          <w:t>Mt 23.37</w:t>
        </w:r>
      </w:hyperlink>
      <w:r>
        <w:t xml:space="preserve">; </w:t>
      </w:r>
      <w:hyperlink r:id="rId2925">
        <w:r>
          <w:rPr>
            <w:color w:val="0000EE"/>
            <w:u w:val="single"/>
          </w:rPr>
          <w:t>Lc 13.34</w:t>
        </w:r>
      </w:hyperlink>
      <w:r>
        <w:t>).</w:t>
      </w:r>
    </w:p>
    <w:p>
      <w:r/>
      <w:r>
        <w:t>Como os galos normalmente cantam uma ou duas horas antes do amanhecer, a terceira vigília da noite, da meia-noite às 3:00 da manhã, era conhecida como o canto do galo. Segundo o Talmud (um comentário sobre a lei judaica), manter galinhas era proibido em Jerusalém nos tempos do NT para evitar que os insetos e larvas que se reproduzem nas fezes das galinhas contaminassem a carne sacrificial. Por essa razão, o galo que Pedro ouviu (</w:t>
      </w:r>
      <w:hyperlink r:id="rId16334">
        <w:r>
          <w:rPr>
            <w:color w:val="0000EE"/>
            <w:u w:val="single"/>
          </w:rPr>
          <w:t>Mt 26.34,74</w:t>
        </w:r>
      </w:hyperlink>
      <w:r>
        <w:t xml:space="preserve">; </w:t>
      </w:r>
      <w:hyperlink r:id="rId16335">
        <w:r>
          <w:rPr>
            <w:color w:val="0000EE"/>
            <w:u w:val="single"/>
          </w:rPr>
          <w:t>Lc 22.34,60–61</w:t>
        </w:r>
      </w:hyperlink>
      <w:r>
        <w:t>) provavelmente pertencia a romanos que viviam lá ou a judeus que não seguiam as regulamentações judaicas.</w:t>
      </w:r>
    </w:p>
    <w:p>
      <w:pPr>
        <w:pStyle w:val="Heading4"/>
      </w:pPr>
      <w:r>
        <w:t>Noitibó</w:t>
      </w:r>
    </w:p>
    <w:p>
      <w:r/>
      <w:r>
        <w:t xml:space="preserve">Pássaro migratório, de cor escura e pernas curtas, semelhante ao bacurau americano. O curiango (gênero </w:t>
      </w:r>
      <w:r>
        <w:rPr>
          <w:i/>
        </w:rPr>
        <w:t>Caprimulgus</w:t>
      </w:r>
      <w:r>
        <w:t xml:space="preserve">) se assemelha a uma coruja com cabeça achatada, olhos grandes, plumagem macia e voo silencioso. Ele caça insetos à noite, capturando-os em pleno voo, e durante o dia descansa em galhos. Os curiangos receberam esse nome porque os antigos acreditavam que eles sugavam leite das cabras. De acordo com </w:t>
      </w:r>
      <w:hyperlink r:id="rId9712">
        <w:r>
          <w:rPr>
            <w:color w:val="0000EE"/>
            <w:u w:val="single"/>
          </w:rPr>
          <w:t>Levítico 11.16</w:t>
        </w:r>
      </w:hyperlink>
      <w:r>
        <w:t xml:space="preserve"> e </w:t>
      </w:r>
      <w:hyperlink r:id="rId9713">
        <w:r>
          <w:rPr>
            <w:color w:val="0000EE"/>
            <w:u w:val="single"/>
          </w:rPr>
          <w:t>Deuteronômio 14.15</w:t>
        </w:r>
      </w:hyperlink>
      <w:r>
        <w:t>, eles eram ritualmente impuros. Embora alguns estudiosos acreditem que se refira a uma coruja, parece haver boas razões para aceitar a tradução como "noitibó".</w:t>
      </w:r>
    </w:p>
    <w:p>
      <w:pPr>
        <w:pStyle w:val="Heading4"/>
      </w:pPr>
      <w:r>
        <w:t>Ganso</w:t>
      </w:r>
    </w:p>
    <w:p>
      <w:r/>
      <w:r>
        <w:t xml:space="preserve">Aves aquáticas de pescoço longo e pés palmados com penas impermeáveis (gênero </w:t>
      </w:r>
      <w:r>
        <w:rPr>
          <w:i/>
        </w:rPr>
        <w:t>Anser</w:t>
      </w:r>
      <w:r>
        <w:t xml:space="preserve">). Os gansos domésticos eram conhecidos pelos gregos na época de Homero, já que são mencionados na </w:t>
      </w:r>
      <w:r>
        <w:rPr>
          <w:i/>
        </w:rPr>
        <w:t>Odisseia.</w:t>
      </w:r>
      <w:r>
        <w:t xml:space="preserve"> Eles foram domesticados no Egito possivelmente já no Antigo Reino (c. 2500 a.C.) e certamente na época do Novo Reino (c. 1500–1100 a.C.). Eles eram usados para alimentação e sacrifício. A criação de gansos era comum em Canaã nos tempos bíblicos; esculturas em marfim do século 13 ou 12 a.C. mostrando gansos foram encontradas em escavações em Megido, Israel.</w:t>
      </w:r>
    </w:p>
    <w:p>
      <w:r/>
      <w:r>
        <w:t>Muitas espécies de gansos passam a maior parte de suas vidas em terra, mesmo sendo aves aquáticas; alguns até constroem seus ninhos em árvores. Gansos selvagens tendem a habitar planícies e pradarias em vez de áreas montanhosas.</w:t>
      </w:r>
    </w:p>
    <w:p>
      <w:r/>
      <w:r>
        <w:t xml:space="preserve">Gansos podem ter adornado a mesa do Rei Salomão. Em </w:t>
      </w:r>
      <w:hyperlink r:id="rId1583">
        <w:r>
          <w:rPr>
            <w:color w:val="0000EE"/>
            <w:u w:val="single"/>
          </w:rPr>
          <w:t>1 Reis 4.23</w:t>
        </w:r>
      </w:hyperlink>
      <w:r>
        <w:t>, eles são referidos como “aves cevadas”, um termo que também pode se referir a patos, cisnes, galinhas-d'angola, pombos ou outras aves domésticas comestíveis.</w:t>
      </w:r>
    </w:p>
    <w:p>
      <w:pPr>
        <w:pStyle w:val="Heading4"/>
      </w:pPr>
      <w:r>
        <w:t>Falcão</w:t>
      </w:r>
    </w:p>
    <w:p>
      <w:r/>
      <w:r>
        <w:t xml:space="preserve">Pequenas aves de rapina encontradas na Terra Santa. A maioria das referências provavelmente é ao gavião </w:t>
      </w:r>
      <w:r>
        <w:rPr>
          <w:i/>
        </w:rPr>
        <w:t>(Accipter nisus).</w:t>
      </w:r>
      <w:r>
        <w:t xml:space="preserve"> Esta ave é ligeiramente maior que o peneireiro, tem as costas marrom-acinzentadas e a barriga branca com barras pretas e marrons. Possui penas curtas, garras longas e curvas, e asas largas, arredondadas nas extremidades externas, que lhe permitem planar em correntes ascendentes. A longa cauda, atuando como leme, ajuda a ave a mudar rapidamente de curso em voo. É, portanto, muito manobrável no ar ao perseguir felosas ou outras pequenas aves. Não captura sua presa no chão, como faz o peneireiro, mas caça e ataca pequenas aves em voo. Os gaviões caçam durante o dia, ao contrário das corujas que são adaptadas para a caça noturna. Com os olhos localizados nas laterais da cabeça, os gaviões têm uma visão muito aguçada. Eles geralmente nidificam em árvores altas e seus ninhos são frequentemente ocupados pelo mesmo par ano após ano.</w:t>
      </w:r>
    </w:p>
    <w:p>
      <w:r/>
      <w:r>
        <w:t>Os egípcios embalsamavam gaviões e consideravam todos os falcões de grande importância. O deus Hórus era representado com a cabeça de um falcão, e o falcão era cerimonialmente impuro para os israelitas (</w:t>
      </w:r>
      <w:hyperlink r:id="rId9712">
        <w:r>
          <w:rPr>
            <w:color w:val="0000EE"/>
            <w:u w:val="single"/>
          </w:rPr>
          <w:t>Lv 11.16</w:t>
        </w:r>
      </w:hyperlink>
      <w:r>
        <w:t xml:space="preserve">; </w:t>
      </w:r>
      <w:hyperlink r:id="rId9713">
        <w:r>
          <w:rPr>
            <w:color w:val="0000EE"/>
            <w:u w:val="single"/>
          </w:rPr>
          <w:t>Dt 14.15</w:t>
        </w:r>
      </w:hyperlink>
      <w:r>
        <w:t xml:space="preserve">). Não era um residente permanente de Israel, mas parava enquanto migrava de norte a sul. Sua migração para o sul é mencionada em </w:t>
      </w:r>
      <w:hyperlink r:id="rId16336">
        <w:r>
          <w:rPr>
            <w:color w:val="0000EE"/>
            <w:u w:val="single"/>
          </w:rPr>
          <w:t>Jó 39.26</w:t>
        </w:r>
      </w:hyperlink>
      <w:r>
        <w:t xml:space="preserve">. Uma referência em </w:t>
      </w:r>
      <w:hyperlink r:id="rId1828">
        <w:r>
          <w:rPr>
            <w:color w:val="0000EE"/>
            <w:u w:val="single"/>
          </w:rPr>
          <w:t>Isaías 34.11</w:t>
        </w:r>
      </w:hyperlink>
      <w:r>
        <w:t xml:space="preserve"> a “falcão” (“corvo-marinho") é incerta. </w:t>
      </w:r>
    </w:p>
    <w:p>
      <w:r/>
      <w:r>
        <w:rPr>
          <w:i/>
        </w:rPr>
        <w:t>Veja</w:t>
      </w:r>
      <w:r>
        <w:t xml:space="preserve"> Peneireiro ou Falcão; Milhafre (abaixo).</w:t>
      </w:r>
    </w:p>
    <w:p>
      <w:pPr>
        <w:pStyle w:val="Heading4"/>
      </w:pPr>
      <w:r>
        <w:t>Garça</w:t>
      </w:r>
    </w:p>
    <w:p>
      <w:r/>
      <w:r>
        <w:t xml:space="preserve">Ave aquática (gênero </w:t>
      </w:r>
      <w:r>
        <w:rPr>
          <w:i/>
        </w:rPr>
        <w:t>Ardea</w:t>
      </w:r>
      <w:r>
        <w:t>) com pescoço longo e fino e pernas compridas. Possui um crescimento característico em forma de pente no lado interno do terceiro dedo do pé.</w:t>
      </w:r>
    </w:p>
    <w:p>
      <w:r/>
      <w:r>
        <w:t>Garças são geralmente brancas, azuis, verdes ou cinzas. Elas nidificam juntas em colônias, e ambos os pais trazem comida para os filhotes. Garças se alimentam de peixes, pequenos répteis e insetos, engolindo-os de uma só vez. Adultos e jovens migram no final do outono para climas quentes do sul. A garça branca pode atingir um comprimento de mais de 90 centímetros, enquanto a garça anã tem apenas cerca de 55 centímetros de comprimento.</w:t>
      </w:r>
    </w:p>
    <w:p>
      <w:r/>
      <w:r>
        <w:t>Pelo menos sete variedades de garça são relatadas na Terra Santa. O íbis branco, ou garça-boieira (</w:t>
      </w:r>
      <w:r>
        <w:rPr>
          <w:i/>
        </w:rPr>
        <w:t>Buphus russatus</w:t>
      </w:r>
      <w:r>
        <w:t xml:space="preserve">), provavelmente era a espécie mais comum. A garça roxa </w:t>
      </w:r>
      <w:r>
        <w:rPr>
          <w:i/>
        </w:rPr>
        <w:t>(Ardea purpureus)</w:t>
      </w:r>
      <w:r>
        <w:t xml:space="preserve"> é uma reprodutora de verão encontrada em todas as partes da Terra Santa onde há água parada.</w:t>
      </w:r>
    </w:p>
    <w:p>
      <w:r/>
      <w:r>
        <w:t>A garça-cinzenta (</w:t>
      </w:r>
      <w:r>
        <w:rPr>
          <w:i/>
        </w:rPr>
        <w:t>Ardea cinerea</w:t>
      </w:r>
      <w:r>
        <w:t>) passa o inverno no sul da Europa e no norte da África, migrando para o norte da Europa no início da primavera. Em Israel, constrói seu ninho de inverno perto da água, em pântanos e ao longo das margens dos rios, onde se alimenta de peixes e rãs. Ela permanece pacientemente na água por horas e, de repente, seu longo e pontiagudo bico mergulha com velocidade relâmpago para capturar sua presa. Frequentemente, a garça-cinzenta constrói seu ninho em uma árvore alta para a qual pode retornar ano após ano.</w:t>
      </w:r>
    </w:p>
    <w:p>
      <w:r/>
      <w:r>
        <w:t xml:space="preserve">De acordo com </w:t>
      </w:r>
      <w:hyperlink r:id="rId1477">
        <w:r>
          <w:rPr>
            <w:color w:val="0000EE"/>
            <w:u w:val="single"/>
          </w:rPr>
          <w:t>Levítico 11.19</w:t>
        </w:r>
      </w:hyperlink>
      <w:r>
        <w:t xml:space="preserve"> e </w:t>
      </w:r>
      <w:hyperlink r:id="rId1478">
        <w:r>
          <w:rPr>
            <w:color w:val="0000EE"/>
            <w:u w:val="single"/>
          </w:rPr>
          <w:t>Deuteronômio 14.18</w:t>
        </w:r>
      </w:hyperlink>
      <w:r>
        <w:t>, a garça era cerimonialmente impura para os israelitas. Alguns estudiosos acreditam que essas referências são ao corvo-marinho, mas a maioria dos estudiosos pensa que se referem a uma das garças.</w:t>
      </w:r>
    </w:p>
    <w:p>
      <w:r/>
      <w:r>
        <w:rPr>
          <w:i/>
        </w:rPr>
        <w:t>Consulte também</w:t>
      </w:r>
      <w:r>
        <w:t xml:space="preserve"> Cormorão (acima).</w:t>
      </w:r>
    </w:p>
    <w:p>
      <w:pPr>
        <w:pStyle w:val="Heading4"/>
      </w:pPr>
      <w:r>
        <w:t>Poupa</w:t>
      </w:r>
    </w:p>
    <w:p>
      <w:r/>
      <w:r>
        <w:t>Uma das aves mais bonitas da Terra Santa (</w:t>
      </w:r>
      <w:r>
        <w:rPr>
          <w:i/>
        </w:rPr>
        <w:t>Upupa epops</w:t>
      </w:r>
      <w:r>
        <w:t>). Possui plumagem vividamente colorida, uma linda crista em forma de coroa que se ergue quando a ave está alarmada, e um bico longo, fino e curvado. A poupa rosada mede cerca de 28 centímetros de comprimento, com faixas pretas e brancas nas costas, cauda e asas. As poupas são principalmente aves que habitam o deserto.</w:t>
      </w:r>
    </w:p>
    <w:p>
      <w:r/>
      <w:r>
        <w:t>O nome "poupa" vem do som do chamado do pássaro. Para emitir esse som, as penas do pescoço se eriçam e a cabeça é lançada para o ar. Quando está no chão, o pássaro martela seu bico na terra.</w:t>
      </w:r>
    </w:p>
    <w:p>
      <w:r/>
      <w:r>
        <w:t>A poupa chega à Terra Santa em fevereiro, se reproduz no verão e parte em setembro. Era reverenciada religiosamente pelos egípcios. Foi listada como ritualmente impura (</w:t>
      </w:r>
      <w:hyperlink r:id="rId1477">
        <w:r>
          <w:rPr>
            <w:color w:val="0000EE"/>
            <w:u w:val="single"/>
          </w:rPr>
          <w:t>Lv 11.19</w:t>
        </w:r>
      </w:hyperlink>
      <w:r>
        <w:t xml:space="preserve">; </w:t>
      </w:r>
      <w:hyperlink r:id="rId1478">
        <w:r>
          <w:rPr>
            <w:color w:val="0000EE"/>
            <w:u w:val="single"/>
          </w:rPr>
          <w:t>Dt 14.18</w:t>
        </w:r>
      </w:hyperlink>
      <w:r>
        <w:t>), provavelmente porque busca larvas e pequenos insetos em lugares tão insalubres como montes de esterco.</w:t>
      </w:r>
    </w:p>
    <w:p>
      <w:pPr>
        <w:pStyle w:val="Heading4"/>
      </w:pPr>
      <w:r>
        <w:t>Íbis</w:t>
      </w:r>
    </w:p>
    <w:p>
      <w:r/>
      <w:r>
        <w:t>A ave pernalta (</w:t>
      </w:r>
      <w:r>
        <w:rPr>
          <w:i/>
        </w:rPr>
        <w:t>Threskiornis aethiopica</w:t>
      </w:r>
      <w:r>
        <w:t>) é atualmente desconhecida na Terra Santa, mas possivelmente era conhecida lá em tempos bíblicos. Era bem conhecida no antigo Egito, onde era sagrada para o deus Tote. Hoje, praticamente desapareceu com o desaparecimento dos pântanos ao longo do Nilo.</w:t>
      </w:r>
    </w:p>
    <w:p>
      <w:r/>
      <w:r>
        <w:t xml:space="preserve">Há alguma dúvida sobre se o íbis é mencionado em </w:t>
      </w:r>
      <w:hyperlink r:id="rId6033">
        <w:r>
          <w:rPr>
            <w:color w:val="0000EE"/>
            <w:u w:val="single"/>
          </w:rPr>
          <w:t>Levítico 11.17</w:t>
        </w:r>
      </w:hyperlink>
      <w:r>
        <w:t xml:space="preserve">, onde é classificado como cerimonialmente impuro. A mesma palavra hebraica em </w:t>
      </w:r>
      <w:hyperlink r:id="rId6034">
        <w:r>
          <w:rPr>
            <w:color w:val="0000EE"/>
            <w:u w:val="single"/>
          </w:rPr>
          <w:t>Deuteronômio 14.16</w:t>
        </w:r>
      </w:hyperlink>
      <w:r>
        <w:t xml:space="preserve"> e </w:t>
      </w:r>
      <w:hyperlink r:id="rId1828">
        <w:r>
          <w:rPr>
            <w:color w:val="0000EE"/>
            <w:u w:val="single"/>
          </w:rPr>
          <w:t>Isaías 34.11</w:t>
        </w:r>
      </w:hyperlink>
      <w:r>
        <w:t xml:space="preserve"> é traduzida como "grande coruja", uma tradução preferida pela maioria dos estudiosos.</w:t>
      </w:r>
    </w:p>
    <w:p>
      <w:r/>
      <w:r>
        <w:rPr>
          <w:i/>
        </w:rPr>
        <w:t>Veja também</w:t>
      </w:r>
      <w:r>
        <w:t xml:space="preserve"> Coruja, Grande (abaixo).</w:t>
      </w:r>
    </w:p>
    <w:p>
      <w:pPr>
        <w:pStyle w:val="Heading4"/>
      </w:pPr>
      <w:r>
        <w:t>Peneireiro-eurasiático ou falcão</w:t>
      </w:r>
    </w:p>
    <w:p>
      <w:r/>
      <w:r>
        <w:t>O pequeno falcão (</w:t>
      </w:r>
      <w:r>
        <w:rPr>
          <w:i/>
        </w:rPr>
        <w:t>Falco tinnunculus</w:t>
      </w:r>
      <w:r>
        <w:t>) tem cerca de 30 centímetros de comprimento, com penas marrons, pretas e amarelas no peito. Era abundante na Terra Santa, em vilarejos e no campo, nidificando em telhados e entre rochas. Como a maioria dos falcões, o peneireiro é capaz de pairar e flutuar no ar e depois mergulhar sobre sua presa, agarrando-a com garras afiadas em forma de gancho. Alimenta-se principalmente de ratos, pequenos répteis e insetos.</w:t>
      </w:r>
    </w:p>
    <w:p>
      <w:r/>
      <w:r>
        <w:t xml:space="preserve">Falcões embalsamados foram encontrados em tumbas do antigo Egito. Os egípcios também embalsamaram o falcão de caça </w:t>
      </w:r>
      <w:r>
        <w:rPr>
          <w:i/>
        </w:rPr>
        <w:t>(Falco cherug)</w:t>
      </w:r>
      <w:r>
        <w:t>, que pode ser domesticado e treinado para caçar coelhos e outros pequenos animais. A falcoaria (caça com falcões de várias espécies) era bem conhecida entre os antigos e ainda é praticada hoje. Que os assírios estavam familiarizados com a falcoaria é evidenciado nos registros de Assurbanípal. Como o falcão é um predador, era cerimonialmente impuro (</w:t>
      </w:r>
      <w:hyperlink r:id="rId9103">
        <w:r>
          <w:rPr>
            <w:color w:val="0000EE"/>
            <w:u w:val="single"/>
          </w:rPr>
          <w:t>Lv 11.14</w:t>
        </w:r>
      </w:hyperlink>
      <w:r>
        <w:t>). Algumas traduções usam a palavra “milhafre”, uma ilustração da dificuldade de identificar precisamente as aves bíblicas.</w:t>
      </w:r>
    </w:p>
    <w:p>
      <w:r/>
      <w:r>
        <w:rPr>
          <w:i/>
        </w:rPr>
        <w:t>Veja também</w:t>
      </w:r>
      <w:r>
        <w:t xml:space="preserve"> Milhafre ou Glede (abaixo).</w:t>
      </w:r>
    </w:p>
    <w:p>
      <w:pPr>
        <w:pStyle w:val="Heading4"/>
      </w:pPr>
      <w:r>
        <w:t>Milhafre ou milhafre-real</w:t>
      </w:r>
    </w:p>
    <w:p>
      <w:r/>
      <w:r>
        <w:t xml:space="preserve">Grande ave de rapina </w:t>
      </w:r>
      <w:r>
        <w:rPr>
          <w:i/>
        </w:rPr>
        <w:t>(Milvus milvus).</w:t>
      </w:r>
      <w:r>
        <w:t xml:space="preserve"> O comprimento médio do milhafre é de cerca de 48 centímetros. A parte superior é geralmente escura, mas a barriga é branca. Os milhafres fazem ninhos no alto das árvores e constroem ninhos com vegetação, incluindo gravetos. Raramente têm mais de dois ou três filhotes, que alimentam com cobras, gafanhotos e outros. Às vezes, os milhafres são chamados de gaviões-cobra.</w:t>
      </w:r>
    </w:p>
    <w:p>
      <w:r/>
      <w:r>
        <w:t>O milhafre é uma ave migratória que permanece em Israel durante o verão, especialmente nas montanhas do sul da Judeia, nos desertos inexplorados a oeste do Mar Morto e no deserto de Berseba.</w:t>
      </w:r>
    </w:p>
    <w:p>
      <w:r/>
      <w:r>
        <w:t xml:space="preserve">O milhafre-real ou milhafre é uma ave de rapina de tamanho médio. As bordas da parte superior do bico sobrepõem-se à inferior, formando tesouras afiadas. A cauda é bifurcada ou fendida, semelhante à de um peixe. Seu grito alto frequentemente inclui notas agudas de assobio. Outras espécies da Terra Santa incluem o milhafre-preto </w:t>
      </w:r>
      <w:r>
        <w:rPr>
          <w:i/>
        </w:rPr>
        <w:t>(Milvus migrans)</w:t>
      </w:r>
      <w:r>
        <w:t xml:space="preserve"> e o peneireiro-cinzento </w:t>
      </w:r>
      <w:r>
        <w:rPr>
          <w:i/>
        </w:rPr>
        <w:t>(Elanus caeruleus).</w:t>
      </w:r>
    </w:p>
    <w:p>
      <w:r/>
      <w:r>
        <w:t>O milhafre está listado entre as aves impuras na lei mosaica (</w:t>
      </w:r>
      <w:hyperlink r:id="rId9103">
        <w:r>
          <w:rPr>
            <w:color w:val="0000EE"/>
            <w:u w:val="single"/>
          </w:rPr>
          <w:t>Lv 11.14</w:t>
        </w:r>
      </w:hyperlink>
      <w:r>
        <w:t xml:space="preserve">; </w:t>
      </w:r>
      <w:hyperlink r:id="rId261">
        <w:r>
          <w:rPr>
            <w:color w:val="0000EE"/>
            <w:u w:val="single"/>
          </w:rPr>
          <w:t>Dt 14.13</w:t>
        </w:r>
      </w:hyperlink>
      <w:r>
        <w:t>), mas a identificação precisa das aves mencionadas lá é contestada por alguns estudiosos e tradutores.</w:t>
      </w:r>
    </w:p>
    <w:p>
      <w:r/>
      <w:r>
        <w:rPr>
          <w:i/>
        </w:rPr>
        <w:t>Veja também</w:t>
      </w:r>
      <w:r>
        <w:t xml:space="preserve"> Águia; Peneireiro-eurasiático ou Falcão (acima).</w:t>
      </w:r>
    </w:p>
    <w:p>
      <w:pPr>
        <w:pStyle w:val="Heading4"/>
      </w:pPr>
      <w:r>
        <w:t>Abutre-barbudo</w:t>
      </w:r>
    </w:p>
    <w:p>
      <w:r/>
      <w:r>
        <w:t>É o maior dos abutres e menos comum do que os outros membros da família. Possui coloração marrom-acinzentada com listras brancas e um tufo preto de pelos rígidos na área facial, o que lhe confere o nome de “abutre barbudo”. Outro nome para ele é “abutre cordeiro”.</w:t>
      </w:r>
    </w:p>
    <w:p>
      <w:r/>
      <w:r>
        <w:t xml:space="preserve">O abutre-barbudo </w:t>
      </w:r>
      <w:r>
        <w:rPr>
          <w:i/>
        </w:rPr>
        <w:t>(Gypaetus barbatus)</w:t>
      </w:r>
      <w:r>
        <w:t xml:space="preserve"> tem uma maneira única de capturar sua presa; como seu bico não é particularmente poderoso, ele leva sua vítima a uma grande altura e depois a solta sobre as rochas.</w:t>
      </w:r>
    </w:p>
    <w:p>
      <w:r/>
      <w:r>
        <w:t>O abutre-barbudo tem uma preferência especial por tartarugas e ossos de tutano. Depois que chacais e abutres menores reduzem uma carcaça a ossos, o quebra-ossos esmaga os ossos para obter o tutano ou engole os pedaços inteiros. Por isso, também é conhecido como ossifraga, de uma palavra latina que significa “quebrador de ossos”. O quebra-ossos era considerado impuro na lei mosaica (</w:t>
      </w:r>
      <w:hyperlink r:id="rId611">
        <w:r>
          <w:rPr>
            <w:color w:val="0000EE"/>
            <w:u w:val="single"/>
          </w:rPr>
          <w:t>Lv 11.13</w:t>
        </w:r>
      </w:hyperlink>
      <w:r>
        <w:t xml:space="preserve">; </w:t>
      </w:r>
      <w:hyperlink r:id="rId261">
        <w:r>
          <w:rPr>
            <w:color w:val="0000EE"/>
            <w:u w:val="single"/>
          </w:rPr>
          <w:t>Dt 14.13</w:t>
        </w:r>
      </w:hyperlink>
      <w:r>
        <w:t>).</w:t>
      </w:r>
    </w:p>
    <w:p>
      <w:r/>
      <w:r>
        <w:rPr>
          <w:i/>
        </w:rPr>
        <w:t>Consulte também</w:t>
      </w:r>
      <w:r>
        <w:t xml:space="preserve"> Abutre (abaixo).</w:t>
      </w:r>
    </w:p>
    <w:p>
      <w:pPr>
        <w:pStyle w:val="Heading4"/>
      </w:pPr>
      <w:r>
        <w:t>Avestruz</w:t>
      </w:r>
    </w:p>
    <w:p>
      <w:r/>
      <w:r>
        <w:t>Ave de duas patas, rápida, não voadora (</w:t>
      </w:r>
      <w:r>
        <w:rPr>
          <w:i/>
        </w:rPr>
        <w:t>Struthio camelus</w:t>
      </w:r>
      <w:r>
        <w:t>) que vive em desertos ou em áreas cobertas por arbustos pequenos.</w:t>
      </w:r>
    </w:p>
    <w:p>
      <w:r/>
      <w:r>
        <w:t>Nos tempos bíblicos, as avestruzes se espalhavam até o norte da Síria e eram encontradas em todo o deserto do Neguebe, mas desde então se tornaram extintas lá. Seu nome em hebraico significa "filha do deserto". É a maior de todas as aves vivas, atingindo uma altura de cerca de 3 metros e um peso de 79,5 quilos, embora alguns machos possam pesar até 136,4 quilos. A fêmea é consideravelmente menor. Coxas poderosas e pernas longas dão à avestruz grande velocidade, podendo alcançar até 64 km/h.</w:t>
      </w:r>
    </w:p>
    <w:p>
      <w:r/>
      <w:r>
        <w:t>O avestruz é onívoro. Ele consome grama, frutas, pequenos mamíferos, pássaros, cobras e lagartos, além de grandes seixos que ajudam na trituração dos alimentos em sua moela. O avestruz é caçado, mas seus ovos são geralmente mais procurados do que a própria ave. As cascas vazias são comercializadas em toda a área do Mediterrâneo para uso como utensílios, ou quando quebradas, como matéria-prima para miçangas. Os ovos — até 25 em uma ninhada — são postos em um ninho raso de areia, com alguns deixados descobertos. Eles podem parecer negligenciados durante o dia, mas isso ocorre porque são normalmente incubados à noite. O macho realiza a maior parte da incubação; a fêmea participa apenas durante os dias frios. A casca forte e espessa do ovo protege o embrião do calor do deserto.</w:t>
      </w:r>
    </w:p>
    <w:p>
      <w:r/>
      <w:r>
        <w:t>O avestruz é ocasionalmente usado para montaria ou até mesmo para puxar pequenos carrinhos. As penas de avestruz tem uma alta demanda. As plumas de avestruz adornavam as antigas cortes reais como leques. Um leque com cabo de marfim do Faraó Tutancâmon (Rei Tut) tinha lindas plumas de avestruz. As plumas são brancas no macho e cinza-amarronzadas na fêmea. A reputação do avestruz por estupidez vem de seu comportamento quando caçado e encurralado; ele não toma medidas evasivas mesmo quando isso o salvaria. No campo aberto, no entanto, é muito cauteloso e corre em alta velocidade para escapar. Em contraste com a perdiz, um avestruz fugirá de seus ovos e filhotes quando perseguido.</w:t>
      </w:r>
    </w:p>
    <w:p>
      <w:r/>
      <w:r>
        <w:t>A maioria das referências bíblicas aos avestruzes destaca suas características negativas. Eles eram considerados impuros na lei judaica (</w:t>
      </w:r>
      <w:hyperlink r:id="rId9712">
        <w:r>
          <w:rPr>
            <w:color w:val="0000EE"/>
            <w:u w:val="single"/>
          </w:rPr>
          <w:t>Lv 11.16</w:t>
        </w:r>
      </w:hyperlink>
      <w:r>
        <w:t xml:space="preserve">; </w:t>
      </w:r>
      <w:hyperlink r:id="rId9713">
        <w:r>
          <w:rPr>
            <w:color w:val="0000EE"/>
            <w:u w:val="single"/>
          </w:rPr>
          <w:t>Dt 14.15</w:t>
        </w:r>
      </w:hyperlink>
      <w:r>
        <w:t>). Várias referências associam avestruzes a imagens de deserto e desolação (</w:t>
      </w:r>
      <w:hyperlink r:id="rId1738">
        <w:r>
          <w:rPr>
            <w:color w:val="0000EE"/>
            <w:u w:val="single"/>
          </w:rPr>
          <w:t>Jó 30.29</w:t>
        </w:r>
      </w:hyperlink>
      <w:r>
        <w:t xml:space="preserve">; </w:t>
      </w:r>
      <w:hyperlink r:id="rId16337">
        <w:r>
          <w:rPr>
            <w:color w:val="0000EE"/>
            <w:u w:val="single"/>
          </w:rPr>
          <w:t>Is 13.21</w:t>
        </w:r>
      </w:hyperlink>
      <w:r>
        <w:t xml:space="preserve">; </w:t>
      </w:r>
      <w:hyperlink r:id="rId1740">
        <w:r>
          <w:rPr>
            <w:color w:val="0000EE"/>
            <w:u w:val="single"/>
          </w:rPr>
          <w:t>34.13</w:t>
        </w:r>
      </w:hyperlink>
      <w:r>
        <w:t xml:space="preserve">; </w:t>
      </w:r>
      <w:hyperlink r:id="rId7837">
        <w:r>
          <w:rPr>
            <w:color w:val="0000EE"/>
            <w:u w:val="single"/>
          </w:rPr>
          <w:t>43.20</w:t>
        </w:r>
      </w:hyperlink>
      <w:r>
        <w:t xml:space="preserve">; </w:t>
      </w:r>
      <w:hyperlink r:id="rId16338">
        <w:r>
          <w:rPr>
            <w:color w:val="0000EE"/>
            <w:u w:val="single"/>
          </w:rPr>
          <w:t>Jr 50.39</w:t>
        </w:r>
      </w:hyperlink>
      <w:r>
        <w:t xml:space="preserve">). Seu grito noturno, comparado ao mugido de um boi em dor, é mencionado em </w:t>
      </w:r>
      <w:hyperlink r:id="rId1737">
        <w:r>
          <w:rPr>
            <w:color w:val="0000EE"/>
            <w:u w:val="single"/>
          </w:rPr>
          <w:t>Miquéias 1.8</w:t>
        </w:r>
      </w:hyperlink>
      <w:r>
        <w:t>. Os escritores bíblicos também notaram a aparente indiferença do avestruz para com sua ninhada (</w:t>
      </w:r>
      <w:hyperlink r:id="rId16339">
        <w:r>
          <w:rPr>
            <w:color w:val="0000EE"/>
            <w:u w:val="single"/>
          </w:rPr>
          <w:t>Jó 39.13–18</w:t>
        </w:r>
      </w:hyperlink>
      <w:r>
        <w:t xml:space="preserve">; </w:t>
      </w:r>
      <w:hyperlink r:id="rId1744">
        <w:r>
          <w:rPr>
            <w:color w:val="0000EE"/>
            <w:u w:val="single"/>
          </w:rPr>
          <w:t>Lm 4.3</w:t>
        </w:r>
      </w:hyperlink>
      <w:r>
        <w:t>).</w:t>
      </w:r>
    </w:p>
    <w:p>
      <w:pPr>
        <w:pStyle w:val="Heading4"/>
      </w:pPr>
      <w:r>
        <w:t>Coruja</w:t>
      </w:r>
    </w:p>
    <w:p>
      <w:r/>
      <w:r>
        <w:t>Aves noturnas (ordem Strigiformes) com cabeças grandes e olhos grandes voltados para a frente. Suas penas de asas e caudas são macias como veludo, ajudando a tornar seu voo silencioso. O corpo da coruja é pequeno e esbelto, aproximadamente do tamanho de um pombo, mas parece volumoso devido à espessa cobertura de penas. As corujas têm sido consideradas portadoras de infortúnio e presságios de desastre. No Oriente Próximo, as corujas agora vivem em ruínas de templos e pirâmides no Egito, e em túmulos escavados na rocha, ruínas e cavernas em ambos os lados do Rio Jordão em Israel. Raramente se aproximam de locais habitados.</w:t>
      </w:r>
    </w:p>
    <w:p>
      <w:r/>
      <w:r>
        <w:t>As corujas têm excelente visão noturna, que usam para capturar roedores ou outros animais. Embora seus olhos sejam excepcionalmente grandes, eles são quase inúteis à luz do dia porque a luz os ofusca. A coruja é capaz de engolir sua presa inteira por causa de seu esôfago elástico. Pelos e ossos indigestíveis são regurgitados como pelotas. O bico é curto, mas fortemente curvado.</w:t>
      </w:r>
    </w:p>
    <w:p>
      <w:r/>
      <w:r>
        <w:t>Corujas podem botar até dez ovos. Os filhotes são cuidados no ninho por ambos os pais. Tanto os adultos quanto os filhotes tendem a permanecer na área em que nasceram. Oito espécies de corujas são encontradas na Terra Santa, das quais cinco são abundantes. No entanto, é difícil identificar uma espécie específica com qualquer uma das quatro palavras hebraicas traduzidas como “coruja” nas Escrituras. Uma quinta palavra traduzida como “coruja” é mais apropriadamente identificada com o avestruz. Corujas aparecem nas listas de aves impuras (</w:t>
      </w:r>
      <w:hyperlink r:id="rId6033">
        <w:r>
          <w:rPr>
            <w:color w:val="0000EE"/>
            <w:u w:val="single"/>
          </w:rPr>
          <w:t>Lv 11.17</w:t>
        </w:r>
      </w:hyperlink>
      <w:r>
        <w:t xml:space="preserve">; </w:t>
      </w:r>
      <w:hyperlink r:id="rId6034">
        <w:r>
          <w:rPr>
            <w:color w:val="0000EE"/>
            <w:u w:val="single"/>
          </w:rPr>
          <w:t>Dt 14.16</w:t>
        </w:r>
      </w:hyperlink>
      <w:r>
        <w:t>), e embora as traduções diferem, elas concordam que todas as espécies de corujas, sendo predadoras, são impuras.</w:t>
      </w:r>
    </w:p>
    <w:p>
      <w:r/>
      <w:r>
        <w:rPr>
          <w:i/>
        </w:rPr>
        <w:t>Veja também</w:t>
      </w:r>
      <w:r>
        <w:t xml:space="preserve"> Avestruz (acima); Coruja-das-torres ou Branca; Coruja-Grande; Coruja-Pequena; Coruja-Mocho (abaixo).</w:t>
      </w:r>
    </w:p>
    <w:p>
      <w:pPr>
        <w:pStyle w:val="Heading4"/>
      </w:pPr>
      <w:r>
        <w:t>Coruja, das-torres ou Branca</w:t>
      </w:r>
    </w:p>
    <w:p>
      <w:r/>
      <w:r>
        <w:t xml:space="preserve">Coruja-das-torres </w:t>
      </w:r>
      <w:r>
        <w:rPr>
          <w:i/>
        </w:rPr>
        <w:t>(Tyto alloa)</w:t>
      </w:r>
      <w:r>
        <w:t xml:space="preserve"> com um rosto distinto em forma de coração. Pode ter recebido seu nome hebraico devido a um som de ronco que faz ao respirar no ninho. Em voo, emite um grito assustador, e por isso às vezes é chamada de coruja gritadora. Suas características um tanto sinistras — uma cabeça grande e olhos arregalados — levaram algumas pessoas a considerá-la demoníaca, mas também inspiraram outro nome, a coruja cara de macaco. No entanto, é uma ave útil, devorando roedores que invadem campos e danificam grãos armazenados. Como outras corujas, dorme durante o dia e caça à noite com um bem desenvolvido senso de audição e visão. Sua cor é amarelo acastanhado claro com uma máscara branca ao redor dos olhos e bochechas. A perna inteira é coberta com penas que a protegem contra as mordidas de vítimas que lutam em suas garras.</w:t>
      </w:r>
    </w:p>
    <w:p>
      <w:r/>
      <w:r>
        <w:t>Algumas traduções modernas mencionam a coruja-das-torres ou a coruja-branca pelo nome (</w:t>
      </w:r>
      <w:hyperlink r:id="rId6033">
        <w:r>
          <w:rPr>
            <w:color w:val="0000EE"/>
            <w:u w:val="single"/>
          </w:rPr>
          <w:t>Lv 11.17,</w:t>
        </w:r>
      </w:hyperlink>
      <w:r>
        <w:t xml:space="preserve"> </w:t>
      </w:r>
      <w:hyperlink r:id="rId16340">
        <w:r>
          <w:rPr>
            <w:color w:val="0000EE"/>
            <w:u w:val="single"/>
          </w:rPr>
          <w:t>11.18</w:t>
        </w:r>
      </w:hyperlink>
      <w:r>
        <w:t xml:space="preserve">, </w:t>
      </w:r>
      <w:hyperlink r:id="rId6034">
        <w:r>
          <w:rPr>
            <w:color w:val="0000EE"/>
            <w:u w:val="single"/>
          </w:rPr>
          <w:t>Dt 14.16</w:t>
        </w:r>
      </w:hyperlink>
      <w:r>
        <w:t>).</w:t>
      </w:r>
    </w:p>
    <w:p>
      <w:r/>
      <w:r>
        <w:rPr>
          <w:i/>
        </w:rPr>
        <w:t>Consulte também</w:t>
      </w:r>
      <w:r>
        <w:t xml:space="preserve"> Coruja (acima), Coruja, Scops (abaixo).</w:t>
      </w:r>
    </w:p>
    <w:p>
      <w:pPr>
        <w:pStyle w:val="Heading4"/>
      </w:pPr>
      <w:r>
        <w:t>Grande Coruja</w:t>
      </w:r>
    </w:p>
    <w:p>
      <w:r/>
      <w:r>
        <w:t xml:space="preserve">Grande coruja, com aproximadamente 60 centímetros de altura </w:t>
      </w:r>
      <w:r>
        <w:rPr>
          <w:i/>
        </w:rPr>
        <w:t>(Asio otus).</w:t>
      </w:r>
      <w:r>
        <w:t xml:space="preserve"> A cor é cinza rato com manchas cinza-amarronzadas e listras pretas. Como um de seus nomes indica, possui “orelhas” tufadas e às vezes é chamada de coruja-das-torres. Alimenta-se de roedores, como ratos e camundongos. Passa o inverno em Israel entre ruínas e bosques.</w:t>
      </w:r>
    </w:p>
    <w:p>
      <w:r/>
      <w:r>
        <w:t>A grande coruja pode ser a coruja mencionada na Bíblia entre as aves de desolação que habitarão a devastada Edom (</w:t>
      </w:r>
      <w:hyperlink r:id="rId1828">
        <w:r>
          <w:rPr>
            <w:color w:val="0000EE"/>
            <w:u w:val="single"/>
          </w:rPr>
          <w:t>Is 34.11</w:t>
        </w:r>
      </w:hyperlink>
      <w:r>
        <w:t>). Também é mencionada pelo nome em algumas traduções das listas de aves ritualmente impuras (</w:t>
      </w:r>
      <w:hyperlink r:id="rId6033">
        <w:r>
          <w:rPr>
            <w:color w:val="0000EE"/>
            <w:u w:val="single"/>
          </w:rPr>
          <w:t>Lv 11.17</w:t>
        </w:r>
      </w:hyperlink>
      <w:r>
        <w:t xml:space="preserve">, </w:t>
      </w:r>
      <w:hyperlink r:id="rId6034">
        <w:r>
          <w:rPr>
            <w:color w:val="0000EE"/>
            <w:u w:val="single"/>
          </w:rPr>
          <w:t>Dt 14.16</w:t>
        </w:r>
      </w:hyperlink>
      <w:r>
        <w:t>).</w:t>
      </w:r>
    </w:p>
    <w:p>
      <w:pPr>
        <w:pStyle w:val="Heading4"/>
      </w:pPr>
      <w:r>
        <w:t>Mocho-galego (corujinha)</w:t>
      </w:r>
    </w:p>
    <w:p>
      <w:r/>
      <w:r>
        <w:t xml:space="preserve">Menor de todas as aves de rapina noturnas. Principalmente insetívora, a pequena coruja </w:t>
      </w:r>
      <w:r>
        <w:rPr>
          <w:i/>
        </w:rPr>
        <w:t>(Athene noctua glaux)</w:t>
      </w:r>
      <w:r>
        <w:t xml:space="preserve"> também se alimenta às vezes de pequenos pássaros. É a coruja mais comum na Terra Santa, habitando entre ruínas, lápides, rochas e matagais (talvez a coruja de </w:t>
      </w:r>
      <w:hyperlink r:id="rId6032">
        <w:r>
          <w:rPr>
            <w:color w:val="0000EE"/>
            <w:u w:val="single"/>
          </w:rPr>
          <w:t>Sl 102.6</w:t>
        </w:r>
      </w:hyperlink>
      <w:r>
        <w:t>). Sua voz soa como a de uma pessoa morrendo. Em algumas ocasiões, pode ser observada empoleirada em uma rocha com seus grandes olhos olhando para o horizonte, uma pose que os antigos consideravam um sinal de sabedoria. Os gregos associavam a pequena coruja à deusa Atena. É mencionada pelo nome em várias traduções (</w:t>
      </w:r>
      <w:hyperlink r:id="rId6033">
        <w:r>
          <w:rPr>
            <w:color w:val="0000EE"/>
            <w:u w:val="single"/>
          </w:rPr>
          <w:t>Lv 11.17</w:t>
        </w:r>
      </w:hyperlink>
      <w:r>
        <w:t xml:space="preserve">, </w:t>
      </w:r>
      <w:hyperlink r:id="rId6034">
        <w:r>
          <w:rPr>
            <w:color w:val="0000EE"/>
            <w:u w:val="single"/>
          </w:rPr>
          <w:t>Dt 14.16</w:t>
        </w:r>
      </w:hyperlink>
      <w:r>
        <w:t>).</w:t>
      </w:r>
    </w:p>
    <w:p>
      <w:r/>
      <w:r>
        <w:rPr>
          <w:i/>
        </w:rPr>
        <w:t>Consulte também</w:t>
      </w:r>
      <w:r>
        <w:t xml:space="preserve"> Coruja (acima).</w:t>
      </w:r>
    </w:p>
    <w:p>
      <w:pPr>
        <w:pStyle w:val="Heading4"/>
      </w:pPr>
      <w:r>
        <w:t>Mocho-d’orelhas</w:t>
      </w:r>
    </w:p>
    <w:p>
      <w:r/>
      <w:r>
        <w:t xml:space="preserve">Pequena coruja </w:t>
      </w:r>
      <w:r>
        <w:rPr>
          <w:i/>
        </w:rPr>
        <w:t>(Otus scops)</w:t>
      </w:r>
      <w:r>
        <w:t xml:space="preserve"> distinguida por duas cristas em forma de chifre de penas semelhantes a cabelos em sua cabeça. Ela pousa em uma postura inclinada e pula e dança como uma cabra. Durante o período de incubação, o pio do macho soa como um gemido. O mocho-d’orelhas alimenta-se de insetos, roedores e aves. Durante invasões de ratos ou gafanhotos, essas corujas aparecem em grandes bandos e ajudam a destruir as pragas. Elas são conhecidas por atacar humanos que invadem seus ninhos. São habitantes bem conhecidos da Eurásia e da África.</w:t>
      </w:r>
    </w:p>
    <w:p>
      <w:r/>
      <w:r>
        <w:t>Alguns estudiosos sugerem que o ótus é o verdadeiro mocho-d’orelhas, por causa de seus chamados assobiantes que ressoam durante a noite. O mocho-d’orelhas é mencionada apenas uma vez nas Escrituras (</w:t>
      </w:r>
      <w:hyperlink r:id="rId16341">
        <w:r>
          <w:rPr>
            <w:color w:val="0000EE"/>
            <w:u w:val="single"/>
          </w:rPr>
          <w:t>Is 34.14</w:t>
        </w:r>
      </w:hyperlink>
      <w:r>
        <w:t xml:space="preserve">), mas essa tradução é objeto de debate acadêmico. Seguindo a mitologia judaica tradicional, algumas traduções usam a palavra hebraica </w:t>
      </w:r>
      <w:r>
        <w:rPr>
          <w:i/>
        </w:rPr>
        <w:t>(</w:t>
      </w:r>
      <w:r>
        <w:t>lilith</w:t>
      </w:r>
      <w:r>
        <w:rPr>
          <w:i/>
        </w:rPr>
        <w:t>)</w:t>
      </w:r>
      <w:r>
        <w:t xml:space="preserve"> como um nome próprio. Na tradição judaica, Lilith era uma bruxa-demônio que, antes da criação de Eva, foi esposa de Adão. Ela se tornou a mãe do Demônio e era considerada uma ameaça para as crianças durante a noite; assim, o nome “Lilith” é traduzido como “bruxa do deserto” ou “monstro da noite”. A maioria dos estudiosos que favorecem a interpretação mítica, no entanto, sugere que Isaías estava usando uma lenda popular para evocar um senso de desolação e não acreditava ele próprio na existência de Lilith. Há pouco apoio para “mocho-d’orelhas” como uma tradução apropriada do nome.</w:t>
      </w:r>
    </w:p>
    <w:p>
      <w:r/>
      <w:r>
        <w:rPr>
          <w:i/>
        </w:rPr>
        <w:t>Consulte também</w:t>
      </w:r>
      <w:r>
        <w:t xml:space="preserve"> Coruja; Coruja, Celeiro ou Branca (acima).</w:t>
      </w:r>
    </w:p>
    <w:p>
      <w:pPr>
        <w:pStyle w:val="Heading4"/>
      </w:pPr>
      <w:r>
        <w:t>Perdiz</w:t>
      </w:r>
    </w:p>
    <w:p>
      <w:r/>
      <w:r>
        <w:t xml:space="preserve">A ave de caça mais comum na Terra Santa é a perdiz. Ela se assemelha a uma galinha em sua anatomia básica, mas possui um corpo menos robusto e uma cauda mais longa. Duas espécies de perdizes habitam a Terra Santa: a perdiz-do-deserto </w:t>
      </w:r>
      <w:r>
        <w:rPr>
          <w:i/>
        </w:rPr>
        <w:t>(Ammoperdix heyi)</w:t>
      </w:r>
      <w:r>
        <w:t xml:space="preserve">, encontrada perto do Mar Morto, no vale do Rio Jordão e no Deserto do Sinai; e a perdiz-chukar </w:t>
      </w:r>
      <w:r>
        <w:rPr>
          <w:i/>
        </w:rPr>
        <w:t>(Alectoris graeca)</w:t>
      </w:r>
      <w:r>
        <w:t>. A perdiz-do-deserto é uma ave de tamanho médio com pés amarelos. O macho tem plumagem de cor areia, penas da cauda superior riscadas e barradas com marrom, e uma parte inferior do peito castanha e branca. A fêmea é de uma cor areia acinzentada. A perdiz-chukar se assemelha à perdiz francesa comum da Europa, com um corpo de cerca de 40 centímetros de comprimento. É coberta por penas belas e radiantemente coloridas.</w:t>
      </w:r>
    </w:p>
    <w:p>
      <w:r/>
      <w:r>
        <w:t>A referência bíblica (</w:t>
      </w:r>
      <w:hyperlink r:id="rId1660">
        <w:r>
          <w:rPr>
            <w:color w:val="0000EE"/>
            <w:u w:val="single"/>
          </w:rPr>
          <w:t>1Sm 26.20</w:t>
        </w:r>
      </w:hyperlink>
      <w:r>
        <w:t xml:space="preserve">; provavelmente a perdiz da areia devido ao contexto geográfico) alude ao método comum de capturá-la por perseguição. Também era caçada com armadilhas (cf. </w:t>
      </w:r>
      <w:hyperlink r:id="rId3943">
        <w:r>
          <w:rPr>
            <w:color w:val="0000EE"/>
            <w:u w:val="single"/>
          </w:rPr>
          <w:t>Sl 91.3</w:t>
        </w:r>
      </w:hyperlink>
      <w:r>
        <w:t>) ou por caçadores escondidos em um esconderijo. A perdiz, que corre rapidamente, logo se exaure, o que permite aos caçadores persegui-la até o chão e matá-la. No entanto, ao correr e saltar, pode subir penhascos muito íngremes. A ave encontra refúgio entre arbustos nos quais suas penas verde-acastanhadas se misturam de forma protetora. Se não fosse uma reprodutora tão prolífica, provavelmente teria se tornado extinta por ser caçada para alimentação.</w:t>
      </w:r>
    </w:p>
    <w:p>
      <w:r/>
      <w:r>
        <w:t>A descrição bíblica da perdiz reunindo uma ninhada que ela não chocou (</w:t>
      </w:r>
      <w:hyperlink r:id="rId16342">
        <w:r>
          <w:rPr>
            <w:color w:val="0000EE"/>
            <w:u w:val="single"/>
          </w:rPr>
          <w:t>Jr 17.11</w:t>
        </w:r>
      </w:hyperlink>
      <w:r>
        <w:t>) parece ser baseada no fato de que a fêmea põe pelo menos duas ninhadas de ovos, uma para ela e outra para o macho incubar.</w:t>
      </w:r>
    </w:p>
    <w:p>
      <w:pPr>
        <w:pStyle w:val="Heading4"/>
      </w:pPr>
      <w:r>
        <w:t>Pavão</w:t>
      </w:r>
    </w:p>
    <w:p>
      <w:r/>
      <w:r>
        <w:t xml:space="preserve">Membro da família das codornas, perdizes e faisões, o pavão </w:t>
      </w:r>
      <w:r>
        <w:rPr>
          <w:i/>
        </w:rPr>
        <w:t>(Pavo cristatus)</w:t>
      </w:r>
      <w:r>
        <w:t xml:space="preserve"> é, na verdade, o macho da espécie. Sua companheira é propriamente conhecida como pavoa. O macho chama a atenção por sua aparência majestosa e luxuosa, realçada por penas magníficas. O peito é de um azul metálico brilhante, e cada pena da cauda possui um olho brilhante perto da ponta. Quando abaixadas, as penas da cauda, incomumente longas, formam uma cauda atrás do pavão no chão, dando-lhe um comprimento total de até 1.8 metros. A cauda também pode ser levantado para formar um enorme leque adornado com olhos multicoloridos. Durante o acasalamento, as penas são levantadas e vibradas para produzir um ruído distinto de farfalhar. A pavoa, um tanto apagada, não possui a longa cauda.</w:t>
      </w:r>
    </w:p>
    <w:p>
      <w:r/>
      <w:r>
        <w:t xml:space="preserve">Como os pavões não são nativos da Terra Santa, os mencionados em </w:t>
      </w:r>
      <w:hyperlink r:id="rId1465">
        <w:r>
          <w:rPr>
            <w:color w:val="0000EE"/>
            <w:u w:val="single"/>
          </w:rPr>
          <w:t>1 Reis 10.22</w:t>
        </w:r>
      </w:hyperlink>
      <w:r>
        <w:t xml:space="preserve"> e </w:t>
      </w:r>
      <w:hyperlink r:id="rId1466">
        <w:r>
          <w:rPr>
            <w:color w:val="0000EE"/>
            <w:u w:val="single"/>
          </w:rPr>
          <w:t>2 Crônicas 9.21</w:t>
        </w:r>
      </w:hyperlink>
      <w:r>
        <w:t xml:space="preserve"> são considerados por alguns estudiosos como sendo macacos do Velho Mundo ou babuínos trazidos do Leste da África, ou galinhas-da-guiné da região superior do Rio Nilo. No entanto, há evidências de que os fenícios introduziram pavões ao faraó egípcio, talvez já na época do Rei Salomão. É possível que as expedições comerciais de Salomão tenham se estendido até a Índia, onde o pavão é nativo. O pavão também era bem conhecido pelos gregos e romanos. Alexandre, o Grande, valorizava sua beleza e proibia seus soldados de matar a ave.</w:t>
      </w:r>
    </w:p>
    <w:p>
      <w:r/>
      <w:r>
        <w:t>Na igreja cristã primitiva, o pavão tornou-se um símbolo da imortalidade prometida pela ressurreição de Cristo. Além disso, os olhos em sua cauda passaram a representar o olho onisciente de Deus.</w:t>
      </w:r>
    </w:p>
    <w:p>
      <w:pPr>
        <w:pStyle w:val="Heading4"/>
      </w:pPr>
      <w:r>
        <w:t>Pelicano</w:t>
      </w:r>
    </w:p>
    <w:p>
      <w:r/>
      <w:r>
        <w:t xml:space="preserve">É a maior de todas as aves aquáticas, consideravelmente maior até mesmo que o cisne. O pelicano </w:t>
      </w:r>
      <w:r>
        <w:rPr>
          <w:i/>
        </w:rPr>
        <w:t>(Pelecanus onocrotalus)</w:t>
      </w:r>
      <w:r>
        <w:t xml:space="preserve"> geralmente tem cerca de 127 centímetros de comprimento, com um bico de 40.6 centímetros, cuja parte superior é curvada para baixo na extremidade, facilitando a captura de peixes. A parte inferior do bico sustenta uma bolsa amarela que se estende pela garganta. A bolsa pode conter até 11.4 litros de comida (peixes pequenos) e água. Os pés palmados do pelicano são peculiares por terem membranas entre todos os quatro dedos. Os pelicanos são nadadores experientes, bem como voadores eficientes. O corpo maciço do pelicano, o pescoço longo e a cabeça comparativamente pequena dão-lhe proporções que tornam difícil levantar-se da água. Para decolar, um pelicano deve primeiro bater desajeitadamente ao longo da superfície, batendo na água com suas pernas.</w:t>
      </w:r>
    </w:p>
    <w:p>
      <w:r/>
      <w:r>
        <w:t>Os pelicanos voam e fazem ninhos em grupos. Ambos os sexos cuidam dos filhotes que nascem de um a quatro ovos. Enquanto a maioria das aves alimenta seus filhotes colocando comida em suas bocas, o pelicano inverte o processo; o jovem pelicano enfia sua cabeça e a maior parte de seu corpo na garganta da mãe e retira comida parcialmente digerida do papo dela. A penetração profunda do bico do jovem na garganta da mãe levou os antigos a acreditar que os filhotes estavam se alimentando do sangue do peito da mãe, dando assim origem ao amplo uso do pelicano como símbolo da expiação de Cristo e da caridade em geral.</w:t>
      </w:r>
    </w:p>
    <w:p>
      <w:r/>
      <w:r>
        <w:t>O pelicano-rosado é branco, às vezes com um leve tom rosado, e possui penas pretas que crescem na articulação da asa mais distante do corpo. As pernas, a bolsa e a pele ao redor dos olhos são amarelas; o gancho do bico é vermelho. Esta espécie pode atingir até 1.8 metros de comprimento, com uma envergadura de até 2.4 metros. Durante a época de reprodução, a coloração das áreas expostas das pernas e do rosto do pelicano-rosado muda de cinza para laranja brilhante ou vermelho. Ao mesmo tempo, as penas brancas adquirem um belo tom rosa, originado de uma secreção da glândula de óleo. O óleo é espalhado por toda a plumagem pela ave enquanto ela se arruma.</w:t>
      </w:r>
    </w:p>
    <w:p>
      <w:r/>
      <w:r>
        <w:t>Alguns estudiosos questionam se "pelicano" é uma tradução apropriada do hebraico em vários versículos, acreditando que a palavra se refere a uma das corujas, falcões ou abutres. A maioria das traduções inclui o pelicano nas listas de aves ritualmente impuras (</w:t>
      </w:r>
      <w:hyperlink r:id="rId16340">
        <w:r>
          <w:rPr>
            <w:color w:val="0000EE"/>
            <w:u w:val="single"/>
          </w:rPr>
          <w:t>Lv 11.18</w:t>
        </w:r>
      </w:hyperlink>
      <w:r>
        <w:t xml:space="preserve">; </w:t>
      </w:r>
      <w:hyperlink r:id="rId6035">
        <w:r>
          <w:rPr>
            <w:color w:val="0000EE"/>
            <w:u w:val="single"/>
          </w:rPr>
          <w:t>Dt 14.17</w:t>
        </w:r>
      </w:hyperlink>
      <w:r>
        <w:t xml:space="preserve">). A opinião sobre as outras referências é mais dividida. Alguns estudiosos sustentam que o contexto desértico dos versículos elimina a possibilidade de uma ave aquática como o pelicano (cf. </w:t>
      </w:r>
      <w:hyperlink r:id="rId6032">
        <w:r>
          <w:rPr>
            <w:color w:val="0000EE"/>
            <w:u w:val="single"/>
          </w:rPr>
          <w:t>Sl 102.6</w:t>
        </w:r>
      </w:hyperlink>
      <w:r>
        <w:t xml:space="preserve">, "coruja" NTLH; </w:t>
      </w:r>
      <w:hyperlink r:id="rId1828">
        <w:r>
          <w:rPr>
            <w:color w:val="0000EE"/>
            <w:u w:val="single"/>
          </w:rPr>
          <w:t>Is 34.11</w:t>
        </w:r>
      </w:hyperlink>
      <w:r>
        <w:t xml:space="preserve">, "coruja-do-deserto", NVI; </w:t>
      </w:r>
      <w:hyperlink r:id="rId16315">
        <w:r>
          <w:rPr>
            <w:color w:val="0000EE"/>
            <w:u w:val="single"/>
          </w:rPr>
          <w:t>Sf 2.14</w:t>
        </w:r>
      </w:hyperlink>
      <w:r>
        <w:t>, "corujas"). Por outro lado, o pelicano-rosado frequenta os rios, lagos e pântanos da Terra Santa. Depois de voar até 32 quilômetros para o mar para mergulhar em peixes próximos à superfície, o pelicano frequentemente retorna para o interior a um lugar deserto para digerir sua enorme refeição. Assim, o pelicano pode ser a ave solitária do deserto mencionada nessas passagens.</w:t>
      </w:r>
    </w:p>
    <w:p>
      <w:pPr>
        <w:pStyle w:val="Heading4"/>
      </w:pPr>
      <w:r>
        <w:t>Pomba ou rola</w:t>
      </w:r>
    </w:p>
    <w:p>
      <w:r/>
      <w:r>
        <w:t>Espécies da família dos pombos (Columbidae). No uso comum, os nomes “pombo” e “rola” são praticamente intercambiáveis. O pombo doméstico comum, familiar aos habitantes das cidades em todo o mundo, por exemplo, é na verdade um descendente da pomba-brava selvagem. Ambos os nomes são usados em traduções em português da Bíblia para traduzir a mesma palavra hebraica. Uma segunda palavra hebraica é geralmente traduzida como “rola”. No entanto, parece claro que os antigos hebreus reconheciam diferenças entre as espécies de pombas.</w:t>
      </w:r>
    </w:p>
    <w:p>
      <w:r/>
      <w:r>
        <w:t xml:space="preserve">Pelo menos seis espécies de pombos ou rolas residem no Israel moderno: o pombo-das-rochas, o pombo-de-colar e o pombo-bravo (gênero </w:t>
      </w:r>
      <w:r>
        <w:rPr>
          <w:i/>
        </w:rPr>
        <w:t>Columba</w:t>
      </w:r>
      <w:r>
        <w:t xml:space="preserve">), e a rola-turca, a rola-de-colar e a rola-do-palmier (gênero </w:t>
      </w:r>
      <w:r>
        <w:rPr>
          <w:i/>
        </w:rPr>
        <w:t>Streptopelia</w:t>
      </w:r>
      <w:r>
        <w:t xml:space="preserve">). Entre essas, o pombo-das-rochas </w:t>
      </w:r>
      <w:r>
        <w:rPr>
          <w:i/>
        </w:rPr>
        <w:t>(Columba livia)</w:t>
      </w:r>
      <w:r>
        <w:t xml:space="preserve"> e a rola-brava </w:t>
      </w:r>
      <w:r>
        <w:rPr>
          <w:i/>
        </w:rPr>
        <w:t>(Streptopelia turtur)</w:t>
      </w:r>
      <w:r>
        <w:t xml:space="preserve"> parecem ser as duas mais frequentemente mencionadas nas Escrituras.</w:t>
      </w:r>
    </w:p>
    <w:p>
      <w:r/>
      <w:r>
        <w:t xml:space="preserve">Os pombos variam em tamanho de 15 a 30 centímetros. A espécie israelense mais colorida é a pomba-das-rochas, que pode apresentar um belo cinza prateado com plumagem iridescente cinza-esverdeada nas asas (observado por Davi, </w:t>
      </w:r>
      <w:hyperlink r:id="rId5556">
        <w:r>
          <w:rPr>
            <w:color w:val="0000EE"/>
            <w:u w:val="single"/>
          </w:rPr>
          <w:t>Sl 68.13</w:t>
        </w:r>
      </w:hyperlink>
      <w:r>
        <w:t xml:space="preserve">). As pombas menores </w:t>
      </w:r>
      <w:r>
        <w:rPr>
          <w:i/>
        </w:rPr>
        <w:t>(Streptopelia)</w:t>
      </w:r>
      <w:r>
        <w:t xml:space="preserve"> são menos coloridas, principalmente cinza ou bege com uma meia coleira preta ou xadrez na parte de trás do pescoço. Os pombos têm pescoços curtos e cabeças pequenas, corpos rechonchudos e asas curtas controladas por músculos fortes que lhes permitem voar distâncias consideráveis. As pombas menores têm caudas mais longas.</w:t>
      </w:r>
    </w:p>
    <w:p>
      <w:r/>
      <w:r>
        <w:t>Atualmente, a pomba-brava selvagem é encontrada principalmente na área ao redor do Mar da Galileia e mais ao sul, nas muitas ravinas que descem até o Mar Morto. As pombas-bravas selvagens preferem construir seus ninhos em rochas e faces de penhascos, um fato precisamente descrito nas Escrituras (</w:t>
      </w:r>
      <w:hyperlink r:id="rId16343">
        <w:r>
          <w:rPr>
            <w:color w:val="0000EE"/>
            <w:u w:val="single"/>
          </w:rPr>
          <w:t>Ct 2.14</w:t>
        </w:r>
      </w:hyperlink>
      <w:r>
        <w:t xml:space="preserve">; </w:t>
      </w:r>
      <w:hyperlink r:id="rId16344">
        <w:r>
          <w:rPr>
            <w:color w:val="0000EE"/>
            <w:u w:val="single"/>
          </w:rPr>
          <w:t>Jr 48.28</w:t>
        </w:r>
      </w:hyperlink>
      <w:r>
        <w:t>). Todas as pombas israelenses constroem ninhos frágeis de restos de vegetação. Os ovos são chocados duas vezes por ano. As pombas raramente põem mais de dois ovos. Os filhotes são cuidados no ninho por ambos os pais, que percorrem os campos comendo sementes e ervas daninhas. O papo do adulto contém alimento digerido em uma condição leitosa, chamada leite de pombo, que pode ser regurgitado e alimentado aos filhotes.</w:t>
      </w:r>
    </w:p>
    <w:p>
      <w:r/>
      <w:r>
        <w:t>Durante o cortejo, há uma grande rivalidade entre os pombos machos. A dança de cortejo da rola é uma impressionante exibição aérea. A atenção ao cortejo, o cuidado conjunto dos filhotes e a solicitude dos pais um pelo outro, observados desde os tempos mais remotos, fizeram da pomba um dos símbolos mais populares de amor e paz (</w:t>
      </w:r>
      <w:hyperlink r:id="rId16345">
        <w:r>
          <w:rPr>
            <w:color w:val="0000EE"/>
            <w:u w:val="single"/>
          </w:rPr>
          <w:t>Ct 1.15</w:t>
        </w:r>
      </w:hyperlink>
      <w:r>
        <w:t xml:space="preserve">; </w:t>
      </w:r>
      <w:hyperlink r:id="rId16343">
        <w:r>
          <w:rPr>
            <w:color w:val="0000EE"/>
            <w:u w:val="single"/>
          </w:rPr>
          <w:t>2.14</w:t>
        </w:r>
      </w:hyperlink>
      <w:r>
        <w:t xml:space="preserve">; </w:t>
      </w:r>
      <w:hyperlink r:id="rId1705">
        <w:r>
          <w:rPr>
            <w:color w:val="0000EE"/>
            <w:u w:val="single"/>
          </w:rPr>
          <w:t>4.1</w:t>
        </w:r>
      </w:hyperlink>
      <w:r>
        <w:t xml:space="preserve">; </w:t>
      </w:r>
      <w:hyperlink r:id="rId16346">
        <w:r>
          <w:rPr>
            <w:color w:val="0000EE"/>
            <w:u w:val="single"/>
          </w:rPr>
          <w:t>5.2</w:t>
        </w:r>
      </w:hyperlink>
      <w:r>
        <w:t>).</w:t>
      </w:r>
    </w:p>
    <w:p>
      <w:r/>
      <w:r>
        <w:t>Uma distinção importante entre pombos (pombos-de-colar) e rolas parece ter sido reconhecida por escritores antigos. Os pombos são residentes durante todo o ano e facilmente domesticados, enquanto as rolas são migratórias. As rolas eram confinadas em gaiolas individualmente ou em pares como animais de estimação ou para sacrifícios. Os pombos provavelmente foram as primeiras aves a serem domesticadas, talvez já na época de Noé (</w:t>
      </w:r>
      <w:hyperlink r:id="rId16347">
        <w:r>
          <w:rPr>
            <w:color w:val="0000EE"/>
            <w:u w:val="single"/>
          </w:rPr>
          <w:t>Gn 8.8–12</w:t>
        </w:r>
      </w:hyperlink>
      <w:r>
        <w:t xml:space="preserve">). Eles foram representados nos primeiros monumentos egípcios, e sua comestibilidade foi mencionada em textos egípcios antigos. Assim, os pombos domésticos eram considerados evidências da prosperidade de uma casa. Nas casas mais prósperas, eles faziam ninhos em pombais de argila moldada em estruturas semelhantes a treliças (daí as “janelas” de </w:t>
      </w:r>
      <w:hyperlink r:id="rId16348">
        <w:r>
          <w:rPr>
            <w:color w:val="0000EE"/>
            <w:u w:val="single"/>
          </w:rPr>
          <w:t>Is 60.8</w:t>
        </w:r>
      </w:hyperlink>
      <w:r>
        <w:t>).</w:t>
      </w:r>
    </w:p>
    <w:p>
      <w:r/>
      <w:r>
        <w:t>Nos tempos do NT, havia muitos pombais nos parques ao redor do palácio de Herodes, o Grande, em Jerusalém. A popularidade da pomba se devia não apenas à sua docilidade, mas também a ser desejada como alimento e como um sacrifício aceitável e relativamente barato. A rola pode ter sido considerada mais valiosa como sacrifício devido à sua natureza selvagem e consequente menor disponibilidade. As duas referências bíblicas às rolas fora de um contexto sacrificial referem-se aos seus hábitos migratórios e à sua chegada em Israel na primavera (</w:t>
      </w:r>
      <w:hyperlink r:id="rId16306">
        <w:r>
          <w:rPr>
            <w:color w:val="0000EE"/>
            <w:u w:val="single"/>
          </w:rPr>
          <w:t>Ct 2.12</w:t>
        </w:r>
      </w:hyperlink>
      <w:r>
        <w:t xml:space="preserve">; </w:t>
      </w:r>
      <w:hyperlink r:id="rId16316">
        <w:r>
          <w:rPr>
            <w:color w:val="0000EE"/>
            <w:u w:val="single"/>
          </w:rPr>
          <w:t>Jr 8.7</w:t>
        </w:r>
      </w:hyperlink>
      <w:r>
        <w:t xml:space="preserve">; cf. </w:t>
      </w:r>
      <w:hyperlink r:id="rId15994">
        <w:r>
          <w:rPr>
            <w:color w:val="0000EE"/>
            <w:u w:val="single"/>
          </w:rPr>
          <w:t>Os 11.11</w:t>
        </w:r>
      </w:hyperlink>
      <w:r>
        <w:t>).</w:t>
      </w:r>
    </w:p>
    <w:p>
      <w:r/>
      <w:r>
        <w:t>A maioria das referências a pombas e rolas na Bíblia está em declarações sobre procedimentos sacrificiais (</w:t>
      </w:r>
      <w:hyperlink r:id="rId16349">
        <w:r>
          <w:rPr>
            <w:color w:val="0000EE"/>
            <w:u w:val="single"/>
          </w:rPr>
          <w:t>Gn 15.7–10</w:t>
        </w:r>
      </w:hyperlink>
      <w:r>
        <w:t xml:space="preserve">; </w:t>
      </w:r>
      <w:hyperlink r:id="rId16350">
        <w:r>
          <w:rPr>
            <w:color w:val="0000EE"/>
            <w:u w:val="single"/>
          </w:rPr>
          <w:t>Lv 1.14</w:t>
        </w:r>
      </w:hyperlink>
      <w:r>
        <w:t xml:space="preserve">; </w:t>
      </w:r>
      <w:hyperlink r:id="rId15670">
        <w:r>
          <w:rPr>
            <w:color w:val="0000EE"/>
            <w:u w:val="single"/>
          </w:rPr>
          <w:t>5.7</w:t>
        </w:r>
      </w:hyperlink>
      <w:r>
        <w:t xml:space="preserve">; </w:t>
      </w:r>
      <w:hyperlink r:id="rId16351">
        <w:r>
          <w:rPr>
            <w:color w:val="0000EE"/>
            <w:u w:val="single"/>
          </w:rPr>
          <w:t>12.6</w:t>
        </w:r>
      </w:hyperlink>
      <w:r>
        <w:t xml:space="preserve">; </w:t>
      </w:r>
      <w:hyperlink r:id="rId16287">
        <w:r>
          <w:rPr>
            <w:color w:val="0000EE"/>
            <w:u w:val="single"/>
          </w:rPr>
          <w:t>Nm 6.10</w:t>
        </w:r>
      </w:hyperlink>
      <w:r>
        <w:t xml:space="preserve">; </w:t>
      </w:r>
      <w:hyperlink r:id="rId16286">
        <w:r>
          <w:rPr>
            <w:color w:val="0000EE"/>
            <w:u w:val="single"/>
          </w:rPr>
          <w:t>Lc 2.24</w:t>
        </w:r>
      </w:hyperlink>
      <w:r>
        <w:t>). Outras referências, no entanto, incluem uma variedade de observações e usos simbólicos da pomba. Seu gemido gutural era frequentemente observado (</w:t>
      </w:r>
      <w:hyperlink r:id="rId16317">
        <w:r>
          <w:rPr>
            <w:color w:val="0000EE"/>
            <w:u w:val="single"/>
          </w:rPr>
          <w:t>Is 38.14</w:t>
        </w:r>
      </w:hyperlink>
      <w:r>
        <w:t xml:space="preserve">; </w:t>
      </w:r>
      <w:hyperlink r:id="rId16352">
        <w:r>
          <w:rPr>
            <w:color w:val="0000EE"/>
            <w:u w:val="single"/>
          </w:rPr>
          <w:t>59.11</w:t>
        </w:r>
      </w:hyperlink>
      <w:r>
        <w:t xml:space="preserve">; </w:t>
      </w:r>
      <w:hyperlink r:id="rId16353">
        <w:r>
          <w:rPr>
            <w:color w:val="0000EE"/>
            <w:u w:val="single"/>
          </w:rPr>
          <w:t>Ez 7.16</w:t>
        </w:r>
      </w:hyperlink>
      <w:r>
        <w:t xml:space="preserve">; </w:t>
      </w:r>
      <w:hyperlink r:id="rId16354">
        <w:r>
          <w:rPr>
            <w:color w:val="0000EE"/>
            <w:u w:val="single"/>
          </w:rPr>
          <w:t>Na 2.7</w:t>
        </w:r>
      </w:hyperlink>
      <w:r>
        <w:t>). Seu poder de voo era bem conhecido (</w:t>
      </w:r>
      <w:hyperlink r:id="rId16355">
        <w:r>
          <w:rPr>
            <w:color w:val="0000EE"/>
            <w:u w:val="single"/>
          </w:rPr>
          <w:t>Sl 55.6</w:t>
        </w:r>
      </w:hyperlink>
      <w:r>
        <w:t>), assim como sua beleza (</w:t>
      </w:r>
      <w:hyperlink r:id="rId16345">
        <w:r>
          <w:rPr>
            <w:color w:val="0000EE"/>
            <w:u w:val="single"/>
          </w:rPr>
          <w:t>Ct 1.15</w:t>
        </w:r>
      </w:hyperlink>
      <w:r>
        <w:t xml:space="preserve">; </w:t>
      </w:r>
      <w:hyperlink r:id="rId1705">
        <w:r>
          <w:rPr>
            <w:color w:val="0000EE"/>
            <w:u w:val="single"/>
          </w:rPr>
          <w:t>4.1</w:t>
        </w:r>
      </w:hyperlink>
      <w:r>
        <w:t xml:space="preserve">; </w:t>
      </w:r>
      <w:hyperlink r:id="rId16356">
        <w:r>
          <w:rPr>
            <w:color w:val="0000EE"/>
            <w:u w:val="single"/>
          </w:rPr>
          <w:t>5.12</w:t>
        </w:r>
      </w:hyperlink>
      <w:r>
        <w:t>), sua gentileza e lealdade ao parceiro (</w:t>
      </w:r>
      <w:hyperlink r:id="rId16343">
        <w:r>
          <w:rPr>
            <w:color w:val="0000EE"/>
            <w:u w:val="single"/>
          </w:rPr>
          <w:t>Ct 2.14</w:t>
        </w:r>
      </w:hyperlink>
      <w:r>
        <w:t xml:space="preserve">; </w:t>
      </w:r>
      <w:hyperlink r:id="rId16346">
        <w:r>
          <w:rPr>
            <w:color w:val="0000EE"/>
            <w:u w:val="single"/>
          </w:rPr>
          <w:t>5.2</w:t>
        </w:r>
      </w:hyperlink>
      <w:r>
        <w:t xml:space="preserve">; </w:t>
      </w:r>
      <w:hyperlink r:id="rId16357">
        <w:r>
          <w:rPr>
            <w:color w:val="0000EE"/>
            <w:u w:val="single"/>
          </w:rPr>
          <w:t>6.9</w:t>
        </w:r>
      </w:hyperlink>
      <w:r>
        <w:t>), seu afeto (</w:t>
      </w:r>
      <w:hyperlink r:id="rId16358">
        <w:r>
          <w:rPr>
            <w:color w:val="0000EE"/>
            <w:u w:val="single"/>
          </w:rPr>
          <w:t>Sl 74.19</w:t>
        </w:r>
      </w:hyperlink>
      <w:r>
        <w:t>) e sua inocência (</w:t>
      </w:r>
      <w:hyperlink r:id="rId1851">
        <w:r>
          <w:rPr>
            <w:color w:val="0000EE"/>
            <w:u w:val="single"/>
          </w:rPr>
          <w:t>Mt 10.16</w:t>
        </w:r>
      </w:hyperlink>
      <w:r>
        <w:t xml:space="preserve">). A única referência negativa às pombas está em </w:t>
      </w:r>
      <w:hyperlink r:id="rId15993">
        <w:r>
          <w:rPr>
            <w:color w:val="0000EE"/>
            <w:u w:val="single"/>
          </w:rPr>
          <w:t>Oséias 7.11</w:t>
        </w:r>
      </w:hyperlink>
      <w:r>
        <w:t>, onde são consideradas insensatas e tolas, talvez em referência à sua natureza excessivamente confiante.</w:t>
      </w:r>
    </w:p>
    <w:p>
      <w:r/>
      <w:r>
        <w:t>Das referências do NT, talvez a mais significativa seja a descrição do Espírito Santo no batismo de Cristo como uma pomba descendo (</w:t>
      </w:r>
      <w:hyperlink r:id="rId11702">
        <w:r>
          <w:rPr>
            <w:color w:val="0000EE"/>
            <w:u w:val="single"/>
          </w:rPr>
          <w:t>Mt 3.16</w:t>
        </w:r>
      </w:hyperlink>
      <w:r>
        <w:t>). A natureza amorosa da pomba fez com que fosse natural para os primeiros cristãos conectar a imagem da pomba com o conceito do Consolador. Desde então, a pomba permaneceu como o símbolo mais popular do Espírito Santo.</w:t>
      </w:r>
    </w:p>
    <w:p>
      <w:pPr>
        <w:pStyle w:val="Heading4"/>
      </w:pPr>
      <w:r>
        <w:t>Codorna</w:t>
      </w:r>
    </w:p>
    <w:p>
      <w:r/>
      <w:r>
        <w:t xml:space="preserve">Pássaros curtos e robustos com bicos e pés semelhantes aos das galinhas; portanto, são adaptados para comer sementes ou insetos. As codornas </w:t>
      </w:r>
      <w:r>
        <w:rPr>
          <w:i/>
        </w:rPr>
        <w:t>(Coturnix coturnix)</w:t>
      </w:r>
      <w:r>
        <w:t xml:space="preserve"> são as menores da subfamília de aves que também inclui faisões e perdizes. Codornas (ou "codornizes", outra forma plural) têm cerca de vinte e cinco centímetros de comprimento e possuem asas pequenas e arredondadas. Elas saem de seus esconderijos na grama ou arbustos com um som de zumbido. A barriga da codorna é branca. Até 18 ovos são postos, e se a mãe morrer, o macho é conhecido por assumir o cuidado dos filhotes. Codornas da região do Mediterrâneo passam o inverno no Sudão e migram para o norte em grandes bandos na primavera. Codornas não conseguem manter um voo sustentado por muito tempo, mas utilizam correntes de vento para se manterem no ar.</w:t>
      </w:r>
    </w:p>
    <w:p>
      <w:r/>
      <w:r>
        <w:t>Enormes bandos de codornizes serviram duas vezes como alimento para os israelitas no Deserto do Sinai, quando as aves foram levadas ao deserto milagrosamente pelos ventos (</w:t>
      </w:r>
      <w:hyperlink r:id="rId5096">
        <w:r>
          <w:rPr>
            <w:color w:val="0000EE"/>
            <w:u w:val="single"/>
          </w:rPr>
          <w:t>Êx 16.13</w:t>
        </w:r>
      </w:hyperlink>
      <w:r>
        <w:t xml:space="preserve">; </w:t>
      </w:r>
      <w:hyperlink r:id="rId5097">
        <w:r>
          <w:rPr>
            <w:color w:val="0000EE"/>
            <w:u w:val="single"/>
          </w:rPr>
          <w:t>Nm 11.31–32</w:t>
        </w:r>
      </w:hyperlink>
      <w:r>
        <w:t xml:space="preserve">; </w:t>
      </w:r>
      <w:hyperlink r:id="rId5098">
        <w:r>
          <w:rPr>
            <w:color w:val="0000EE"/>
            <w:u w:val="single"/>
          </w:rPr>
          <w:t>Sl 105.40</w:t>
        </w:r>
      </w:hyperlink>
      <w:r>
        <w:t>). Na segunda vez, provavelmente estavam voando ao longo do Golfo de Ácaba e foram desviadas do curso pelo vento leste (</w:t>
      </w:r>
      <w:hyperlink r:id="rId5099">
        <w:r>
          <w:rPr>
            <w:color w:val="0000EE"/>
            <w:u w:val="single"/>
          </w:rPr>
          <w:t>Nm 11.31</w:t>
        </w:r>
      </w:hyperlink>
      <w:r>
        <w:t xml:space="preserve">; </w:t>
      </w:r>
      <w:hyperlink r:id="rId5100">
        <w:r>
          <w:rPr>
            <w:color w:val="0000EE"/>
            <w:u w:val="single"/>
          </w:rPr>
          <w:t>Sl 78.26–28</w:t>
        </w:r>
      </w:hyperlink>
      <w:r>
        <w:t>). Sua incapacidade de sustentar um voo longo pode explicar seu nível de voo baixo — dois côvados, ou cerca de 1 metro. Quando exaustas, eram facilmente capturadas à mão (</w:t>
      </w:r>
      <w:hyperlink r:id="rId5097">
        <w:r>
          <w:rPr>
            <w:color w:val="0000EE"/>
            <w:u w:val="single"/>
          </w:rPr>
          <w:t>Nm 11.31–32</w:t>
        </w:r>
      </w:hyperlink>
      <w:r>
        <w:t>). As codornizes eram consideradas limpas e a mais delicada iguaria de todas as aves de caça, e eram preservadas secando ao sol.</w:t>
      </w:r>
    </w:p>
    <w:p>
      <w:pPr>
        <w:pStyle w:val="Heading4"/>
      </w:pPr>
      <w:r>
        <w:t>Gralha-preta (ou corvo)</w:t>
      </w:r>
    </w:p>
    <w:p>
      <w:r/>
      <w:r>
        <w:t>Membro da família dos corvos (Corvidae). A palavra hebraica para "corvo" significa "preto". O corvo (</w:t>
      </w:r>
      <w:r>
        <w:rPr>
          <w:i/>
        </w:rPr>
        <w:t>Corvus corax</w:t>
      </w:r>
      <w:r>
        <w:t>) pesa cerca de 1.3 quilogramas e varia de 56 a 66 centímetros de comprimento. Sua cauda é mais larga no meio do que em qualquer uma das extremidades. Oito espécies são encontradas em Israel: três corvos, duas gralhas, uma corveja, uma gralha-calva e uma gralha-de-bico-vermelho. O corvo, com cerca de 50,8 centímetros de comprimento, é menor que uma gralha, e sua cauda é uniforme em largura. A característica mais marcante da gralha é sua plumagem preta, iridescente e brilhante.</w:t>
      </w:r>
    </w:p>
    <w:p>
      <w:r/>
      <w:r>
        <w:t>Corvos e gralhas sobreviveram apesar da aversão que muitos humanos têm por eles. Excelentes voadores, migram durante o dia e se reúnem em grandes bandos de até várias centenas de milhares. Durante a época de fazer ninhos, fazem ninhos de gravetos nos quais são postos de dois a sete ovos. Corvos acasalam para a vida toda. Equipados com asas fortes, um bico forte e pés fortes, os corvos podem viver em lugares isolados dos quais se deslocam amplamente em busca de alimento. O fato de não ter retornado à arca foi um bom sinal para Noé, indicando que o corvo poderia encontrar alimento e possivelmente um lugar para descansar nos topos das montanhas secas (</w:t>
      </w:r>
      <w:hyperlink r:id="rId16359">
        <w:r>
          <w:rPr>
            <w:color w:val="0000EE"/>
            <w:u w:val="single"/>
          </w:rPr>
          <w:t>Gn 8.7</w:t>
        </w:r>
      </w:hyperlink>
      <w:r>
        <w:t>).</w:t>
      </w:r>
    </w:p>
    <w:p>
      <w:r/>
      <w:r>
        <w:t>A gralha-preta, essencialmente um necrófago, era cerimonialmente impuro (</w:t>
      </w:r>
      <w:hyperlink r:id="rId16360">
        <w:r>
          <w:rPr>
            <w:color w:val="0000EE"/>
            <w:u w:val="single"/>
          </w:rPr>
          <w:t>Lv 11.15</w:t>
        </w:r>
      </w:hyperlink>
      <w:r>
        <w:t xml:space="preserve">; </w:t>
      </w:r>
      <w:hyperlink r:id="rId16361">
        <w:r>
          <w:rPr>
            <w:color w:val="0000EE"/>
            <w:u w:val="single"/>
          </w:rPr>
          <w:t>Dt 14.14</w:t>
        </w:r>
      </w:hyperlink>
      <w:r>
        <w:t>). No entanto, gralhas (ou corvos) alimentaram Elias por ordem de Deus (</w:t>
      </w:r>
      <w:hyperlink r:id="rId16362">
        <w:r>
          <w:rPr>
            <w:color w:val="0000EE"/>
            <w:u w:val="single"/>
          </w:rPr>
          <w:t>1Rs 17.4–6</w:t>
        </w:r>
      </w:hyperlink>
      <w:r>
        <w:t>). Foi dito a Jó que Deus dava ao corvo seu alimento (</w:t>
      </w:r>
      <w:hyperlink r:id="rId16363">
        <w:r>
          <w:rPr>
            <w:color w:val="0000EE"/>
            <w:u w:val="single"/>
          </w:rPr>
          <w:t>Jó 38.41</w:t>
        </w:r>
      </w:hyperlink>
      <w:r>
        <w:t>), como o salmista e Jesus repetiram (</w:t>
      </w:r>
      <w:hyperlink r:id="rId16364">
        <w:r>
          <w:rPr>
            <w:color w:val="0000EE"/>
            <w:u w:val="single"/>
          </w:rPr>
          <w:t>Sl 147.9</w:t>
        </w:r>
      </w:hyperlink>
      <w:r>
        <w:t xml:space="preserve">; </w:t>
      </w:r>
      <w:hyperlink r:id="rId16365">
        <w:r>
          <w:rPr>
            <w:color w:val="0000EE"/>
            <w:u w:val="single"/>
          </w:rPr>
          <w:t>Lc 12.24</w:t>
        </w:r>
      </w:hyperlink>
      <w:r>
        <w:t>). A plumagem negra e brilhante da gralha inspirou a comparação da noiva com o cabelo de seu amado (</w:t>
      </w:r>
      <w:hyperlink r:id="rId5519">
        <w:r>
          <w:rPr>
            <w:color w:val="0000EE"/>
            <w:u w:val="single"/>
          </w:rPr>
          <w:t>Ct 5.11</w:t>
        </w:r>
      </w:hyperlink>
      <w:r>
        <w:t>). Eles preferem áreas desoladas e desabitadas como seu território doméstico (</w:t>
      </w:r>
      <w:hyperlink r:id="rId1828">
        <w:r>
          <w:rPr>
            <w:color w:val="0000EE"/>
            <w:u w:val="single"/>
          </w:rPr>
          <w:t>Is 34.11</w:t>
        </w:r>
      </w:hyperlink>
      <w:r>
        <w:t>). Gralhas-pretas</w:t>
      </w:r>
    </w:p>
    <w:p>
      <w:r/>
      <w:r>
        <w:t xml:space="preserve"> são pássaros astutos e ativos. Alguns são capazes de falar, resolver quebra-cabeças e realizar feitos de memória. Ousados e curiosos, às vezes usam seus talentos para roubo.</w:t>
      </w:r>
    </w:p>
    <w:p>
      <w:pPr>
        <w:pStyle w:val="Heading4"/>
      </w:pPr>
      <w:r>
        <w:t>Gaivota</w:t>
      </w:r>
    </w:p>
    <w:p>
      <w:r/>
      <w:r>
        <w:t>Aves marinhas robustas, principalmente necrófagas (família Laridae). Várias espécies de gaivotas habitam a costa da Terra Santa. Elas geralmente apresentam costas cinza, com cabeças e partes inferiores brancas e pontas das asas pretas. O bico esguio termina em uma curva para baixo.</w:t>
      </w:r>
    </w:p>
    <w:p>
      <w:r/>
      <w:r>
        <w:t>As gaivotas podem medir de 20 a 76 centímetros de comprimento. Muitas espécies migram, percorrendo longas distâncias graças à sua habilidade excepcional de voo. As gaivotas também conseguem nadar facilmente devido aos seus pés palmados. Sua voz é semelhante a um grito áspero ou grasnido. Na época de nidificação, muitas constroem ninhos juntas em qualquer lugar disponível, como um penhasco ou árvore. Tanto o macho quanto a fêmea incubam e cuidam dos filhotes.</w:t>
      </w:r>
    </w:p>
    <w:p>
      <w:r/>
      <w:r>
        <w:t>Como as gaivotas comem quase qualquer coisa, elas são classificadas como aves ritualmente impuras (</w:t>
      </w:r>
      <w:hyperlink r:id="rId9712">
        <w:r>
          <w:rPr>
            <w:color w:val="0000EE"/>
            <w:u w:val="single"/>
          </w:rPr>
          <w:t>Lv 11.16</w:t>
        </w:r>
      </w:hyperlink>
      <w:r>
        <w:t xml:space="preserve">; </w:t>
      </w:r>
      <w:hyperlink r:id="rId9713">
        <w:r>
          <w:rPr>
            <w:color w:val="0000EE"/>
            <w:u w:val="single"/>
          </w:rPr>
          <w:t>Dt 14.15</w:t>
        </w:r>
      </w:hyperlink>
      <w:r>
        <w:t>). Alguns comentaristas acreditam que essas passagens se referem a uma coruja ou ao cuco, e não à gaivota.</w:t>
      </w:r>
    </w:p>
    <w:p>
      <w:r/>
      <w:r>
        <w:rPr>
          <w:i/>
        </w:rPr>
        <w:t>Consulte também</w:t>
      </w:r>
      <w:r>
        <w:t xml:space="preserve"> Cuco (acima).</w:t>
      </w:r>
    </w:p>
    <w:p>
      <w:pPr>
        <w:pStyle w:val="Heading4"/>
      </w:pPr>
      <w:r>
        <w:t>Pardal</w:t>
      </w:r>
    </w:p>
    <w:p>
      <w:r/>
      <w:r>
        <w:t>Pequeno pássaro da família dos tentilhões (Fringillidae) ou da família dos pardais tecelões (Ploceidae), considerado de pouco valor. A palavra hebraica é um termo geral para "pássaro" e refere-se a qualquer pequeno pássaro, como um pardal, tentilhão, tordo ou estorninho. Na tradução, no entanto, a palavra às vezes se refere ao pardal-comum ou pardal-doméstico (</w:t>
      </w:r>
      <w:r>
        <w:rPr>
          <w:i/>
        </w:rPr>
        <w:t>Passer domestica;</w:t>
      </w:r>
      <w:r>
        <w:t xml:space="preserve"> </w:t>
      </w:r>
      <w:hyperlink r:id="rId16366">
        <w:r>
          <w:rPr>
            <w:color w:val="0000EE"/>
            <w:u w:val="single"/>
          </w:rPr>
          <w:t>Sl 84.3</w:t>
        </w:r>
      </w:hyperlink>
      <w:r>
        <w:t xml:space="preserve">; </w:t>
      </w:r>
      <w:hyperlink r:id="rId13631">
        <w:r>
          <w:rPr>
            <w:color w:val="0000EE"/>
            <w:u w:val="single"/>
          </w:rPr>
          <w:t>Pv 26.2</w:t>
        </w:r>
      </w:hyperlink>
      <w:r>
        <w:t>).</w:t>
      </w:r>
    </w:p>
    <w:p>
      <w:r/>
      <w:r>
        <w:t>Opaco em cor com uma garganta preta, o pardal-doméstico macho é uma criatura barulhenta e energética. O ninho, quando construído em locais abertos, tem uma abertura lateral e é feito de quase qualquer material disponível. Os pardais também fazem ninhos em locais abrigados, como habitações, caixas ou buracos em árvores. Eles põem de quatro a sete ovos.</w:t>
      </w:r>
    </w:p>
    <w:p>
      <w:r/>
      <w:r>
        <w:t>O pardal-comum ou pardal-doméstico era conhecido na antiga Grécia e Egito. Lá, tinha a reputação de invadir campos em grandes enxames e colher as sementes. É um residente permanente da Terra Santa.</w:t>
      </w:r>
    </w:p>
    <w:p>
      <w:r/>
      <w:r>
        <w:t>O pardal é prolífico e vive em estreita associação com os humanos. Era considerado ritualmente puro. Pardais tinham preços baixos em países onde eram vendidos (</w:t>
      </w:r>
      <w:hyperlink r:id="rId11816">
        <w:r>
          <w:rPr>
            <w:color w:val="0000EE"/>
            <w:u w:val="single"/>
          </w:rPr>
          <w:t>Mt 10.29</w:t>
        </w:r>
      </w:hyperlink>
      <w:r>
        <w:t xml:space="preserve">; </w:t>
      </w:r>
      <w:hyperlink r:id="rId14730">
        <w:r>
          <w:rPr>
            <w:color w:val="0000EE"/>
            <w:u w:val="single"/>
          </w:rPr>
          <w:t>Lc 12.6</w:t>
        </w:r>
      </w:hyperlink>
      <w:r>
        <w:t>). Hoje, nos mercados do Oriente Próximo, meninos oferecem pardais vivos à venda. Amarrados juntos em grupos de quatro a seis por cordas presas a uma perna, os pássaros voam sobre as cabeças dos meninos. Evidentemente, tal cena era comum nos tempos do NT.</w:t>
      </w:r>
    </w:p>
    <w:p>
      <w:pPr>
        <w:pStyle w:val="Heading4"/>
      </w:pPr>
      <w:r>
        <w:t>Cegonha</w:t>
      </w:r>
    </w:p>
    <w:p>
      <w:r/>
      <w:r>
        <w:t xml:space="preserve">Pássaro de pernas longas, branco, que anda na água (gênero </w:t>
      </w:r>
      <w:r>
        <w:rPr>
          <w:i/>
        </w:rPr>
        <w:t>Ciconia</w:t>
      </w:r>
      <w:r>
        <w:t>) com grandes e poderosas asas, possuindo penas primárias e secundárias pretas e brilhantes. O bater de suas asas produz um som alto e sibilante. Membranas conectando os dedos impedem que o pássaro afunde na lama. Seu bico vermelho é afiado e longo, servindo para agarrar e levantar sua presa para fora da água. As cegonhas são mudas, pois não possuem caixa vocal.</w:t>
      </w:r>
    </w:p>
    <w:p>
      <w:r/>
      <w:r>
        <w:t>Bandos de cegonhas passam pela Terra Santa durante sua migração de setembro a caminho da África Central e Meridional e, da mesma forma, na primavera em seu voo de retorno para suas casas no norte de Israel, Síria e Europa. As cegonhas viajam em grandes bandos durante o dia, destacando-se contra o céu.</w:t>
      </w:r>
    </w:p>
    <w:p>
      <w:r/>
      <w:r>
        <w:t>O cuidado dedicado da cegonha com seus filhotes é conhecido, assim como seu hábito de retornar anualmente ao mesmo local onde faz seus ninhos. As cegonhas costumam adicionar material aos seus ninhos a cada ano, e é possível encontrar ninhos com 100 anos de idade e mais de noventa centímetros de altura.</w:t>
      </w:r>
    </w:p>
    <w:p>
      <w:r/>
      <w:r>
        <w:t xml:space="preserve">Duas espécies de cegonhas frequentam a Terra Santa. A cegonha-branca </w:t>
      </w:r>
      <w:r>
        <w:rPr>
          <w:i/>
        </w:rPr>
        <w:t>(Ciconia alba)</w:t>
      </w:r>
      <w:r>
        <w:t xml:space="preserve"> tem por volta de 1 metro de altura, e sua envergadura é de 1.8 metro, permitindo-lhe mover-se com um voo lento e sustentado ou planar. No folclore, a cegonha-branca é às vezes considerada um presságio de boa sorte.</w:t>
      </w:r>
    </w:p>
    <w:p>
      <w:r/>
      <w:r>
        <w:t xml:space="preserve">A cegonha-preta </w:t>
      </w:r>
      <w:r>
        <w:rPr>
          <w:i/>
        </w:rPr>
        <w:t>(Ciconia nigra),</w:t>
      </w:r>
      <w:r>
        <w:t xml:space="preserve"> comum ao redor do vale do Mar Morto, faz ninhos em árvores; portanto, pode ser a espécie que habita em árvores referida em </w:t>
      </w:r>
      <w:hyperlink r:id="rId16367">
        <w:r>
          <w:rPr>
            <w:color w:val="0000EE"/>
            <w:u w:val="single"/>
          </w:rPr>
          <w:t>Salmo 104.17</w:t>
        </w:r>
      </w:hyperlink>
      <w:r>
        <w:t>. O nome hebraico para “cegonha” significa literalmente “a régia” ou “a leal”, uma referência ao cuidado da ave com seus filhotes. Assim como a garça, a cegonha era cerimonialmente impura por causa de sua dieta de organismos aquáticos, resíduos, pequenos animais, aves e répteis (</w:t>
      </w:r>
      <w:hyperlink r:id="rId1477">
        <w:r>
          <w:rPr>
            <w:color w:val="0000EE"/>
            <w:u w:val="single"/>
          </w:rPr>
          <w:t>Lv 11.19</w:t>
        </w:r>
      </w:hyperlink>
      <w:r>
        <w:t xml:space="preserve">; </w:t>
      </w:r>
      <w:hyperlink r:id="rId1478">
        <w:r>
          <w:rPr>
            <w:color w:val="0000EE"/>
            <w:u w:val="single"/>
          </w:rPr>
          <w:t>Dt 14.18</w:t>
        </w:r>
      </w:hyperlink>
      <w:r>
        <w:t>). Jeremias mencionou o conhecimento instintivo e impressionante da cegonha sobre o tempo de sua migração (</w:t>
      </w:r>
      <w:hyperlink r:id="rId16316">
        <w:r>
          <w:rPr>
            <w:color w:val="0000EE"/>
            <w:u w:val="single"/>
          </w:rPr>
          <w:t>Jr 8.7</w:t>
        </w:r>
      </w:hyperlink>
      <w:r>
        <w:t>). Suas asas impressionantes figuraram em uma das visões de Zacarias (</w:t>
      </w:r>
      <w:hyperlink r:id="rId16368">
        <w:r>
          <w:rPr>
            <w:color w:val="0000EE"/>
            <w:u w:val="single"/>
          </w:rPr>
          <w:t>Zc 5.9</w:t>
        </w:r>
      </w:hyperlink>
      <w:r>
        <w:t>).</w:t>
      </w:r>
    </w:p>
    <w:p>
      <w:pPr>
        <w:pStyle w:val="Heading4"/>
      </w:pPr>
      <w:r>
        <w:t>Andorinha</w:t>
      </w:r>
    </w:p>
    <w:p>
      <w:r/>
      <w:r>
        <w:t xml:space="preserve">Pequena ave de cauda bifurcada, quase preta, com asas longas e afiladas, conhecida por seu voo gracioso </w:t>
      </w:r>
      <w:r>
        <w:rPr>
          <w:i/>
        </w:rPr>
        <w:t>(hirundo rustica).</w:t>
      </w:r>
      <w:r>
        <w:t xml:space="preserve"> Os pés pequenos e fracos são mal adaptados para caminhar. As andorinhas se assemelham aos andorinhões em forma e hábitos de vida, mas são um pouco menores.</w:t>
      </w:r>
    </w:p>
    <w:p>
      <w:r/>
      <w:r>
        <w:t>A grande boca da andorinha permite que ela capture insetos enquanto voa. As cores variam de marrom e azul a branco. As andorinhas frequentemente fazem ninhos em edifícios, uma característica notada pelo salmista, que relatou a casa de uma andorinha no templo (</w:t>
      </w:r>
      <w:hyperlink r:id="rId16366">
        <w:r>
          <w:rPr>
            <w:color w:val="0000EE"/>
            <w:u w:val="single"/>
          </w:rPr>
          <w:t>Sl 84.3</w:t>
        </w:r>
      </w:hyperlink>
      <w:r>
        <w:t>).</w:t>
      </w:r>
    </w:p>
    <w:p>
      <w:r/>
      <w:r>
        <w:t xml:space="preserve">As andorinhas são residentes em Israel, enquanto o andorinhão é uma ave migratória conhecida pela regularidade de seu cronograma migratório. A "andorinha" de </w:t>
      </w:r>
      <w:hyperlink r:id="rId16317">
        <w:r>
          <w:rPr>
            <w:color w:val="0000EE"/>
            <w:u w:val="single"/>
          </w:rPr>
          <w:t>Isaías 38.14</w:t>
        </w:r>
      </w:hyperlink>
      <w:r>
        <w:t xml:space="preserve"> provavelmente se refere a um andorinhão, assim como em </w:t>
      </w:r>
      <w:hyperlink r:id="rId16316">
        <w:r>
          <w:rPr>
            <w:color w:val="0000EE"/>
            <w:u w:val="single"/>
          </w:rPr>
          <w:t>Jeremias 8.7</w:t>
        </w:r>
      </w:hyperlink>
      <w:r>
        <w:t xml:space="preserve">, onde a confiabilidade da ave é contrastada com a irregularidade do povo de Deus. </w:t>
      </w:r>
      <w:hyperlink r:id="rId13631">
        <w:r>
          <w:rPr>
            <w:color w:val="0000EE"/>
            <w:u w:val="single"/>
          </w:rPr>
          <w:t>Provérbios 26.2</w:t>
        </w:r>
      </w:hyperlink>
      <w:r>
        <w:t xml:space="preserve"> pode ser uma referência tanto à andorinha quanto ao andorinhão.</w:t>
      </w:r>
    </w:p>
    <w:p>
      <w:r/>
      <w:r>
        <w:rPr>
          <w:i/>
        </w:rPr>
        <w:t>Consulte também</w:t>
      </w:r>
      <w:r>
        <w:t xml:space="preserve"> Andorinhão (abaixo).</w:t>
      </w:r>
    </w:p>
    <w:p>
      <w:pPr>
        <w:pStyle w:val="Heading4"/>
      </w:pPr>
      <w:r>
        <w:t>Cisne</w:t>
      </w:r>
    </w:p>
    <w:p>
      <w:r/>
      <w:r>
        <w:t xml:space="preserve">Grandes e graciosas aves aquáticas. Duas espécies de cisnes (gênero </w:t>
      </w:r>
      <w:r>
        <w:rPr>
          <w:i/>
        </w:rPr>
        <w:t>Cygnus</w:t>
      </w:r>
      <w:r>
        <w:t xml:space="preserve">) são encontradas no Oriente Médio como migrantes de passagem </w:t>
      </w:r>
      <w:r>
        <w:rPr>
          <w:i/>
        </w:rPr>
        <w:t>(Cygnus olor</w:t>
      </w:r>
      <w:r>
        <w:t xml:space="preserve"> e </w:t>
      </w:r>
      <w:r>
        <w:rPr>
          <w:i/>
        </w:rPr>
        <w:t>Cygnus musicus).</w:t>
      </w:r>
      <w:r>
        <w:t xml:space="preserve"> Os cisnes são conhecidos como os melhores músicos entre as aves e eram considerados sagrados para o deus Apolo pelos gregos. Suas vozes soam como flautas e harpas.</w:t>
      </w:r>
    </w:p>
    <w:p>
      <w:r/>
      <w:r>
        <w:t xml:space="preserve">As referências em </w:t>
      </w:r>
      <w:hyperlink r:id="rId16340">
        <w:r>
          <w:rPr>
            <w:color w:val="0000EE"/>
            <w:u w:val="single"/>
          </w:rPr>
          <w:t>Levítico 11.18</w:t>
        </w:r>
      </w:hyperlink>
      <w:r>
        <w:t xml:space="preserve"> e </w:t>
      </w:r>
      <w:hyperlink r:id="rId6034">
        <w:r>
          <w:rPr>
            <w:color w:val="0000EE"/>
            <w:u w:val="single"/>
          </w:rPr>
          <w:t>Deuteronômio 14.16</w:t>
        </w:r>
      </w:hyperlink>
      <w:r>
        <w:t xml:space="preserve"> provavelmente não se referem ao cisne, mas à galinha-d'água ou à coruja-das-torres, já que parece haver pouca razão para declarar o cisne vegetariano um animal impuro. </w:t>
      </w:r>
      <w:r>
        <w:rPr>
          <w:i/>
        </w:rPr>
        <w:t>Veja também</w:t>
      </w:r>
      <w:r>
        <w:t xml:space="preserve"> Coruja, das Torres ou Branca (acima); Galinha-d'água (abaixo).</w:t>
      </w:r>
    </w:p>
    <w:p>
      <w:pPr>
        <w:pStyle w:val="Heading4"/>
      </w:pPr>
      <w:r>
        <w:t>Andorinhão</w:t>
      </w:r>
    </w:p>
    <w:p>
      <w:r/>
      <w:r>
        <w:t xml:space="preserve">Pequenos e fortes voadores (gênero </w:t>
      </w:r>
      <w:r>
        <w:rPr>
          <w:i/>
        </w:rPr>
        <w:t>Apus</w:t>
      </w:r>
      <w:r>
        <w:t>). Assim como a andorinha, o andorinhão possui asas longas e curvadas e uma cauda bifurcada, permitindo-lhe alcançar grande velocidade enquanto raspa o chão e varre o ar. Um andorinhão devora uma grande quantidade de insetos nocivos, capturando-os em voo com a boca. Muitos andorinhões fazem seus ninhos em telhados e em cantos e fendas de paredes da cidade. Seus ninhos são construídos com penas fortes cimentadas com saliva. Outros andorinhões vivem em cavernas e fendas de rochas.</w:t>
      </w:r>
    </w:p>
    <w:p>
      <w:r/>
      <w:r>
        <w:t xml:space="preserve">Os andorinhões comuns são nativos de Israel, e no Vale do Jordão ocorrem em grandes bandos. </w:t>
      </w:r>
      <w:hyperlink r:id="rId16317">
        <w:r>
          <w:rPr>
            <w:color w:val="0000EE"/>
            <w:u w:val="single"/>
          </w:rPr>
          <w:t>Isaías 38.14</w:t>
        </w:r>
      </w:hyperlink>
      <w:r>
        <w:t xml:space="preserve"> parece ser uma referência clara ao chamado plangente do andorinhão, já que o chilreio agudo da andorinha não é uma comparação marcante para o grito de um rei angustiado. O andorinhão tem uma voz suave e delicada, e seu grito poderia ser facilmente interpretado como um lamento melodioso.</w:t>
      </w:r>
    </w:p>
    <w:p>
      <w:r/>
      <w:r>
        <w:t xml:space="preserve">Os andorinhões migratórios chegam em um horário preciso na Terra Santa no final do inverno, e imensos bandos enchem as cidades com seus gritos. Assim, a referência em </w:t>
      </w:r>
      <w:hyperlink r:id="rId16316">
        <w:r>
          <w:rPr>
            <w:color w:val="0000EE"/>
            <w:u w:val="single"/>
          </w:rPr>
          <w:t>Jeremias 8.7</w:t>
        </w:r>
      </w:hyperlink>
      <w:r>
        <w:t xml:space="preserve"> a andorinhas, que são em grande parte residentes permanentes, é provavelmente aos andorinhões.</w:t>
      </w:r>
    </w:p>
    <w:p>
      <w:r/>
      <w:r>
        <w:rPr>
          <w:i/>
        </w:rPr>
        <w:t>Consulte também</w:t>
      </w:r>
      <w:r>
        <w:t xml:space="preserve"> Andorinha (acima).</w:t>
      </w:r>
    </w:p>
    <w:p>
      <w:pPr>
        <w:pStyle w:val="Heading4"/>
      </w:pPr>
      <w:r>
        <w:t>Abutre</w:t>
      </w:r>
    </w:p>
    <w:p>
      <w:r/>
      <w:r>
        <w:t>Subfamília (Aegypiinae) da família dos falcões (Accipitridae). Cada uma das quatro espécies de abutres do Velho Mundo é encontrada na Terra Santa: o abutre egípcio, o grifo, o preto e o abutre barbudo (também conhecido como quebra-ossos). Essas aves variam em tamanho, desde o abutre egípcio, com 61 centímetros, até o enorme abutre barbudo, a maior de todas as aves voadoras na Terra Santa.</w:t>
      </w:r>
    </w:p>
    <w:p>
      <w:r/>
      <w:r>
        <w:t>A maioria dos abutres é marrom ou preta, com pescoço curto e bico curto e curvado, que usam para rasgar a carne de animais mortos de que se alimentam. Todos os abutres, exceto o barbudo, têm cabeças e pescoços nus ou cobertos de penugem, o que lhes permite penetrar profundamente em uma carcaça sem estragar a plumagem. A excelente visão permite que um abutre localize uma carcaça a partir de uma posição elevada em voo. Considerando o estado de decomposição da maioria de seus alimentos, o fraco olfato de um abutre pode ser uma limitação afortunada. Os abutres fazem ninho em qualquer lugar conveniente; ambos os pais cuidam dos filhotes.</w:t>
      </w:r>
    </w:p>
    <w:p>
      <w:r/>
      <w:r>
        <w:t xml:space="preserve">A palavra hebraica geralmente traduzida como "águia" no Antigo Testamento pode ter sido um termo geral para todas as grandes aves de rapina, incluindo abutres. Assim, muitas das passagens sobre águias podem se referir tanto à águia quanto ao abutre (cf. </w:t>
      </w:r>
      <w:hyperlink r:id="rId611">
        <w:r>
          <w:rPr>
            <w:color w:val="0000EE"/>
            <w:u w:val="single"/>
          </w:rPr>
          <w:t>Lv 11.13</w:t>
        </w:r>
      </w:hyperlink>
      <w:r>
        <w:t xml:space="preserve">; </w:t>
      </w:r>
      <w:hyperlink r:id="rId612">
        <w:r>
          <w:rPr>
            <w:color w:val="0000EE"/>
            <w:u w:val="single"/>
          </w:rPr>
          <w:t>Dt 14.12</w:t>
        </w:r>
      </w:hyperlink>
      <w:r>
        <w:t>). Tais passagens incluem referências aos hábitos de como fazem os ninhos (</w:t>
      </w:r>
      <w:hyperlink r:id="rId16326">
        <w:r>
          <w:rPr>
            <w:color w:val="0000EE"/>
            <w:u w:val="single"/>
          </w:rPr>
          <w:t>Jó 39.27–28</w:t>
        </w:r>
      </w:hyperlink>
      <w:r>
        <w:t xml:space="preserve">; </w:t>
      </w:r>
      <w:hyperlink r:id="rId16325">
        <w:r>
          <w:rPr>
            <w:color w:val="0000EE"/>
            <w:u w:val="single"/>
          </w:rPr>
          <w:t>Jr 49.16</w:t>
        </w:r>
      </w:hyperlink>
      <w:r>
        <w:t xml:space="preserve">; </w:t>
      </w:r>
      <w:hyperlink r:id="rId16327">
        <w:r>
          <w:rPr>
            <w:color w:val="0000EE"/>
            <w:u w:val="single"/>
          </w:rPr>
          <w:t>Ob 1.4</w:t>
        </w:r>
      </w:hyperlink>
      <w:r>
        <w:t>), cuidado com os filhotes (</w:t>
      </w:r>
      <w:hyperlink r:id="rId16329">
        <w:r>
          <w:rPr>
            <w:color w:val="0000EE"/>
            <w:u w:val="single"/>
          </w:rPr>
          <w:t>Dt 32.11</w:t>
        </w:r>
      </w:hyperlink>
      <w:r>
        <w:t>), poderes de voo (</w:t>
      </w:r>
      <w:hyperlink r:id="rId16328">
        <w:r>
          <w:rPr>
            <w:color w:val="0000EE"/>
            <w:u w:val="single"/>
          </w:rPr>
          <w:t>Êx 19.4</w:t>
        </w:r>
      </w:hyperlink>
      <w:r>
        <w:t xml:space="preserve">; </w:t>
      </w:r>
      <w:hyperlink r:id="rId16323">
        <w:r>
          <w:rPr>
            <w:color w:val="0000EE"/>
            <w:u w:val="single"/>
          </w:rPr>
          <w:t>Dt 28.49</w:t>
        </w:r>
      </w:hyperlink>
      <w:r>
        <w:t xml:space="preserve">; </w:t>
      </w:r>
      <w:hyperlink r:id="rId16369">
        <w:r>
          <w:rPr>
            <w:color w:val="0000EE"/>
            <w:u w:val="single"/>
          </w:rPr>
          <w:t>Jó 9.26</w:t>
        </w:r>
      </w:hyperlink>
      <w:r>
        <w:t xml:space="preserve">; </w:t>
      </w:r>
      <w:hyperlink r:id="rId16322">
        <w:r>
          <w:rPr>
            <w:color w:val="0000EE"/>
            <w:u w:val="single"/>
          </w:rPr>
          <w:t>Lm 4.19</w:t>
        </w:r>
      </w:hyperlink>
      <w:r>
        <w:t>), e altitude extremamente alta de voo (</w:t>
      </w:r>
      <w:hyperlink r:id="rId16370">
        <w:r>
          <w:rPr>
            <w:color w:val="0000EE"/>
            <w:u w:val="single"/>
          </w:rPr>
          <w:t>Pv 23.5</w:t>
        </w:r>
      </w:hyperlink>
      <w:r>
        <w:t xml:space="preserve">; </w:t>
      </w:r>
      <w:hyperlink r:id="rId16371">
        <w:r>
          <w:rPr>
            <w:color w:val="0000EE"/>
            <w:u w:val="single"/>
          </w:rPr>
          <w:t>30.19</w:t>
        </w:r>
      </w:hyperlink>
      <w:r>
        <w:t xml:space="preserve">; </w:t>
      </w:r>
      <w:hyperlink r:id="rId16372">
        <w:r>
          <w:rPr>
            <w:color w:val="0000EE"/>
            <w:u w:val="single"/>
          </w:rPr>
          <w:t>Is 40.31</w:t>
        </w:r>
      </w:hyperlink>
      <w:r>
        <w:t>). Apesar das variações entre as traduções, o abutre claramente pertence à lista de aves impuras por causa de sua dieta imunda (</w:t>
      </w:r>
      <w:hyperlink r:id="rId16373">
        <w:r>
          <w:rPr>
            <w:color w:val="0000EE"/>
            <w:u w:val="single"/>
          </w:rPr>
          <w:t>Lv 11.13,18</w:t>
        </w:r>
      </w:hyperlink>
      <w:r>
        <w:t xml:space="preserve">; </w:t>
      </w:r>
      <w:hyperlink r:id="rId16374">
        <w:r>
          <w:rPr>
            <w:color w:val="0000EE"/>
            <w:u w:val="single"/>
          </w:rPr>
          <w:t>Dt 14.12,17</w:t>
        </w:r>
      </w:hyperlink>
      <w:r>
        <w:t>).</w:t>
      </w:r>
    </w:p>
    <w:p>
      <w:r/>
      <w:r>
        <w:t>Várias referências à águia em algumas traduções modernas foram alteradas para "abutre" em traduções modernas. A mudança parece apropriada nas referências ao abutre como um sinal de desgraça presente ou iminente (</w:t>
      </w:r>
      <w:hyperlink r:id="rId16322">
        <w:r>
          <w:rPr>
            <w:color w:val="0000EE"/>
            <w:u w:val="single"/>
          </w:rPr>
          <w:t>Lm 4.19</w:t>
        </w:r>
      </w:hyperlink>
      <w:r>
        <w:t xml:space="preserve">; </w:t>
      </w:r>
      <w:hyperlink r:id="rId5327">
        <w:r>
          <w:rPr>
            <w:color w:val="0000EE"/>
            <w:u w:val="single"/>
          </w:rPr>
          <w:t>Os 8.1</w:t>
        </w:r>
      </w:hyperlink>
      <w:r>
        <w:t xml:space="preserve">). Da mesma forma, a ave que arranca os olhos em </w:t>
      </w:r>
      <w:hyperlink r:id="rId7232">
        <w:r>
          <w:rPr>
            <w:color w:val="0000EE"/>
            <w:u w:val="single"/>
          </w:rPr>
          <w:t>Provérbios 30.17</w:t>
        </w:r>
      </w:hyperlink>
      <w:r>
        <w:t xml:space="preserve"> é provavelmente um abutre. A frase "careca como a águia" (</w:t>
      </w:r>
      <w:hyperlink r:id="rId4113">
        <w:r>
          <w:rPr>
            <w:color w:val="0000EE"/>
            <w:u w:val="single"/>
          </w:rPr>
          <w:t>Mq 1.16</w:t>
        </w:r>
      </w:hyperlink>
      <w:r>
        <w:t>) claramente deveria ser "careca como o abutre", já que não há águias carecas em Israel e a maioria dos abutres é careca. Como o abutre, assim como a águia, era um símbolo de soberania e dominação no antigo Oriente Próximo, alguns deuses eram representados como abutres. Assim, a comparação de Ezequiel dos reis da Babilônia e do Egito a águias pode ser concebida alternativamente como comparações a abutres (</w:t>
      </w:r>
      <w:hyperlink r:id="rId16375">
        <w:r>
          <w:rPr>
            <w:color w:val="0000EE"/>
            <w:u w:val="single"/>
          </w:rPr>
          <w:t>Ez 17.3,7</w:t>
        </w:r>
      </w:hyperlink>
      <w:r>
        <w:t>). A referência de Jesus às águias se congregando em torno de cadáveres nos tempos finais (</w:t>
      </w:r>
      <w:hyperlink r:id="rId16318">
        <w:r>
          <w:rPr>
            <w:color w:val="0000EE"/>
            <w:u w:val="single"/>
          </w:rPr>
          <w:t>Mt 24.28</w:t>
        </w:r>
      </w:hyperlink>
      <w:r>
        <w:t>) também deve ser revisada para abutres, já que as águias geralmente comem sozinhas, enquanto os abutres geralmente se juntam em torno de carniça.</w:t>
      </w:r>
    </w:p>
    <w:p>
      <w:r/>
      <w:r>
        <w:t xml:space="preserve">Em algumas traduções modernas, várias referências a abutres são geralmente traduzidas como "milhafre" ou "falcão" (cf. várias versões de </w:t>
      </w:r>
      <w:hyperlink r:id="rId9103">
        <w:r>
          <w:rPr>
            <w:color w:val="0000EE"/>
            <w:u w:val="single"/>
          </w:rPr>
          <w:t>Lv 11.14</w:t>
        </w:r>
      </w:hyperlink>
      <w:r>
        <w:t xml:space="preserve">; </w:t>
      </w:r>
      <w:hyperlink r:id="rId261">
        <w:r>
          <w:rPr>
            <w:color w:val="0000EE"/>
            <w:u w:val="single"/>
          </w:rPr>
          <w:t>Dt 14.13</w:t>
        </w:r>
      </w:hyperlink>
      <w:r>
        <w:t xml:space="preserve">; </w:t>
      </w:r>
      <w:hyperlink r:id="rId9104">
        <w:r>
          <w:rPr>
            <w:color w:val="0000EE"/>
            <w:u w:val="single"/>
          </w:rPr>
          <w:t>Jó 28.7</w:t>
        </w:r>
      </w:hyperlink>
      <w:r>
        <w:t xml:space="preserve">; </w:t>
      </w:r>
      <w:hyperlink r:id="rId16376">
        <w:r>
          <w:rPr>
            <w:color w:val="0000EE"/>
            <w:u w:val="single"/>
          </w:rPr>
          <w:t>Is 34.15</w:t>
        </w:r>
      </w:hyperlink>
      <w:r>
        <w:t>).</w:t>
      </w:r>
    </w:p>
    <w:p>
      <w:r/>
      <w:r>
        <w:rPr>
          <w:i/>
        </w:rPr>
        <w:t>Veja também</w:t>
      </w:r>
      <w:r>
        <w:t xml:space="preserve"> Águia; Peneireiro; Milhafre; Quebra-ossos; Abutre-preto ou Águia-pescadora; Abutre-egípcio; Abutre-grifo.</w:t>
      </w:r>
    </w:p>
    <w:p>
      <w:pPr>
        <w:pStyle w:val="Heading4"/>
      </w:pPr>
      <w:r>
        <w:t>Abutre, Corvo ou Abutre-preto</w:t>
      </w:r>
    </w:p>
    <w:p>
      <w:r/>
      <w:r>
        <w:t>Carnívoro de hábito diurno, um pouco mais de 90 centímetros de comprimento com uma envergadura de mais de três 2.7 metros. As penas do corvo ou abutre-preto (</w:t>
      </w:r>
      <w:r>
        <w:rPr>
          <w:i/>
        </w:rPr>
        <w:t>Aegypius monachus</w:t>
      </w:r>
      <w:r>
        <w:t xml:space="preserve">) são pretas, e a cabeça e a parte superior do pescoço são calvas, como as de outros comedores de carniça. Ele faz ninhos no vale do Rio Jordão e parece ter sido abundante nos tempos bíblicos. Hoje é bastante raro. O abutre preto é provavelmente o abutre de </w:t>
      </w:r>
      <w:hyperlink r:id="rId611">
        <w:r>
          <w:rPr>
            <w:color w:val="0000EE"/>
            <w:u w:val="single"/>
          </w:rPr>
          <w:t>Levítico 11.13</w:t>
        </w:r>
      </w:hyperlink>
      <w:r>
        <w:t xml:space="preserve"> e </w:t>
      </w:r>
      <w:hyperlink r:id="rId612">
        <w:r>
          <w:rPr>
            <w:color w:val="0000EE"/>
            <w:u w:val="single"/>
          </w:rPr>
          <w:t>Deuteronômio 14.12</w:t>
        </w:r>
      </w:hyperlink>
      <w:r>
        <w:t>.</w:t>
      </w:r>
    </w:p>
    <w:p>
      <w:r/>
      <w:r>
        <w:rPr>
          <w:i/>
        </w:rPr>
        <w:t>Consulte também</w:t>
      </w:r>
      <w:r>
        <w:t xml:space="preserve"> Abutre (acima).</w:t>
      </w:r>
    </w:p>
    <w:p>
      <w:pPr>
        <w:pStyle w:val="Heading4"/>
      </w:pPr>
      <w:r>
        <w:t>Abutre-do-egito</w:t>
      </w:r>
    </w:p>
    <w:p>
      <w:r/>
      <w:r>
        <w:t>Também conhecido como águia gier ou galinha do Faraó, o abutre-do-egito (</w:t>
      </w:r>
      <w:r>
        <w:rPr>
          <w:i/>
        </w:rPr>
        <w:t>Neophron percnopterus</w:t>
      </w:r>
      <w:r>
        <w:t>) tem plumagem basicamente branca, com a cabeça nua e o pescoço amarelo. O abutre-do-egito quebra ossos deixados por outros abutres. Seu voo é lento e fácil, e sua voz é um crocitar. Medindo cerca de 61 centímetros de comprimento, é a menor de todas as aves necrófagas encontradas na Terra Santa. Pode ser mencionado na lista de aves impuras (</w:t>
      </w:r>
      <w:hyperlink r:id="rId16340">
        <w:r>
          <w:rPr>
            <w:color w:val="0000EE"/>
            <w:u w:val="single"/>
          </w:rPr>
          <w:t>Lv 11.18</w:t>
        </w:r>
      </w:hyperlink>
      <w:r>
        <w:t xml:space="preserve">; </w:t>
      </w:r>
      <w:hyperlink r:id="rId6035">
        <w:r>
          <w:rPr>
            <w:color w:val="0000EE"/>
            <w:u w:val="single"/>
          </w:rPr>
          <w:t>Dt 14.17</w:t>
        </w:r>
      </w:hyperlink>
      <w:r>
        <w:t xml:space="preserve">). </w:t>
      </w:r>
      <w:r>
        <w:rPr>
          <w:i/>
        </w:rPr>
        <w:t>Veja</w:t>
      </w:r>
      <w:r>
        <w:t xml:space="preserve"> </w:t>
      </w:r>
      <w:r>
        <w:t>Abutre (acima)</w:t>
      </w:r>
      <w:r>
        <w:t>.</w:t>
      </w:r>
    </w:p>
    <w:p>
      <w:pPr>
        <w:pStyle w:val="Heading4"/>
      </w:pPr>
      <w:r>
        <w:t>Grifo-eurasiático</w:t>
      </w:r>
    </w:p>
    <w:p>
      <w:r/>
      <w:r>
        <w:t xml:space="preserve">Uma das maiores aves voadoras da Terra Santa </w:t>
      </w:r>
      <w:r>
        <w:rPr>
          <w:i/>
        </w:rPr>
        <w:t>(Gyps fulvus).</w:t>
      </w:r>
      <w:r>
        <w:t xml:space="preserve"> Até uma geração atrás, o grifo-eurasiático era uma das aves mais comuns na Terra Santa. Hoje, está à beira da extinção. Muitos foram mortos ao ingerir iscas venenosas destinadas a raposas e chacais. Além disso, sua reprodução é limitada; a fêmea põe apenas um ou dois ovos por ano.</w:t>
      </w:r>
    </w:p>
    <w:p>
      <w:r/>
      <w:r>
        <w:t>O grifo-eurasiático mede cerca de 122 centímetros de comprimento e até 3 metros entre as pontas das asas. Seu bico é extremamente forte, e seus dedos curtos são equipados com garras rombas. É uma ave de cor marrom-claro, com a cabeça e o pescoço amarelo-pálido, que são quase nus, cobertos apenas por uma penugem muito fina.</w:t>
      </w:r>
    </w:p>
    <w:p>
      <w:r/>
      <w:r>
        <w:t>O abutre-grifo alimenta-se principalmente de carniça, mas também de gafanhotos e pequenas tartarugas. Ele consegue ficar sem comida por vários dias sem efeitos negativos, mas quando quebra o jejum, empanturra-se. É encontrado especialmente na região do Mar da Galileia. A maioria das referências bíblicas ao abutre provavelmente se refere ao grifo-eurasiático.</w:t>
      </w:r>
    </w:p>
    <w:p>
      <w:r/>
      <w:r>
        <w:rPr>
          <w:i/>
        </w:rPr>
        <w:t>Consulte também</w:t>
      </w:r>
      <w:r>
        <w:t xml:space="preserve"> Águia; Abutre (acima).</w:t>
      </w:r>
    </w:p>
    <w:p>
      <w:pPr>
        <w:pStyle w:val="Heading4"/>
      </w:pPr>
      <w:r>
        <w:t>Galinha-d'água</w:t>
      </w:r>
    </w:p>
    <w:p>
      <w:r/>
      <w:r>
        <w:t>Pequena ave aquática da família dos ralídeos. A galinha-d'água, listada entre as aves impuras (</w:t>
      </w:r>
      <w:hyperlink r:id="rId16340">
        <w:r>
          <w:rPr>
            <w:color w:val="0000EE"/>
            <w:u w:val="single"/>
          </w:rPr>
          <w:t>Lv 11.18</w:t>
        </w:r>
      </w:hyperlink>
      <w:r>
        <w:t xml:space="preserve">; </w:t>
      </w:r>
      <w:hyperlink r:id="rId6034">
        <w:r>
          <w:rPr>
            <w:color w:val="0000EE"/>
            <w:u w:val="single"/>
          </w:rPr>
          <w:t>Dt 14.16</w:t>
        </w:r>
      </w:hyperlink>
      <w:r>
        <w:t>), pode ser a ave bíblica mais difícil de identificar. Várias alternativas foram sugeridas, incluindo o cisne, uma das corujas ou a galinha-do-brejo. A maioria dos estudiosos descarta o cisne, já que é uma ave vegetariana e, portanto, não deveria ser considerada impura. Uma coruja continua sendo uma possibilidade.</w:t>
      </w:r>
    </w:p>
    <w:p>
      <w:r/>
      <w:r>
        <w:t xml:space="preserve">A galinha-d'água é um tipo de saracura, com várias espécies habitando Israel. Uma dessas espécies é a galinha-sultana </w:t>
      </w:r>
      <w:r>
        <w:rPr>
          <w:i/>
        </w:rPr>
        <w:t>(Porphyrio porphyrio).</w:t>
      </w:r>
      <w:r>
        <w:t xml:space="preserve"> As saracuras são aves muito elegantes, variando de 15 a 51 centímetros de comprimento. Elas vivem em pântanos, onde consomem uma grande variedade de matéria animal e vegetal, o que as torna candidatas à inclusão nas listas mosaicas de animais impuros.</w:t>
      </w:r>
    </w:p>
    <w:p>
      <w:r/>
      <w:r>
        <w:rPr>
          <w:i/>
        </w:rPr>
        <w:t>Consulte também</w:t>
      </w:r>
      <w:r>
        <w:t xml:space="preserve"> </w:t>
      </w:r>
      <w:r>
        <w:t>Animais</w:t>
      </w:r>
      <w:r>
        <w:t>.</w:t>
      </w:r>
      <w:r/>
      <w:r/>
    </w:p>
    <w:p>
      <w:r/>
    </w:p>
    <w:p>
      <w:pPr>
        <w:pStyle w:val="Heading2"/>
      </w:pPr>
      <w:r>
        <w:t>Pastor</w:t>
      </w:r>
      <w:r/>
    </w:p>
    <w:p>
      <w:r/>
      <w:r>
        <w:t xml:space="preserve">Palavra que literalmente significa “pastor” (de ovelhas), usada tanto no AT quanto no NT em um sentido figurativo para governantes e líderes. Das 12 vezes que a palavra grega "poimen" é usada no NT como uma metáfora para “líder”, as versões da Bíblia em português em geral usam a palavra "pastor" ou "pastores" — por exemplo, em </w:t>
      </w:r>
      <w:hyperlink r:id="rId3778">
        <w:r>
          <w:rPr>
            <w:color w:val="0000EE"/>
            <w:u w:val="single"/>
          </w:rPr>
          <w:t>Efésios 4.11</w:t>
        </w:r>
      </w:hyperlink>
      <w:r>
        <w:t>.</w:t>
      </w:r>
    </w:p>
    <w:p>
      <w:r/>
      <w:r>
        <w:t xml:space="preserve">Pastores e mestres juntos formaram um grupo que complementava o trabalho dos apóstolos, profetas e evangelistas. Os títulos “bispo” e “ancião” se referem ao mesmo ofício no NT (cf. </w:t>
      </w:r>
      <w:hyperlink r:id="rId1408">
        <w:r>
          <w:rPr>
            <w:color w:val="0000EE"/>
            <w:u w:val="single"/>
          </w:rPr>
          <w:t>Atos 20.17, 28</w:t>
        </w:r>
      </w:hyperlink>
      <w:r>
        <w:t xml:space="preserve">; </w:t>
      </w:r>
      <w:hyperlink r:id="rId1419">
        <w:r>
          <w:rPr>
            <w:color w:val="0000EE"/>
            <w:u w:val="single"/>
          </w:rPr>
          <w:t>Ti 1.5–7</w:t>
        </w:r>
      </w:hyperlink>
      <w:r>
        <w:t>), e “pastor” parece ser praticamente sinônimo de todos eles, como mencionado por Jesus sendo referido como “o Pastor e Bispo de suas almas” (</w:t>
      </w:r>
      <w:hyperlink r:id="rId962">
        <w:r>
          <w:rPr>
            <w:color w:val="0000EE"/>
            <w:u w:val="single"/>
          </w:rPr>
          <w:t>1Pd 2.25</w:t>
        </w:r>
      </w:hyperlink>
      <w:r>
        <w:t>, ARC). O verbo “pastorear” é usado para descrever o trabalho dos líderes da igreja local (</w:t>
      </w:r>
      <w:hyperlink r:id="rId16377">
        <w:r>
          <w:rPr>
            <w:color w:val="0000EE"/>
            <w:u w:val="single"/>
          </w:rPr>
          <w:t>João 21.16</w:t>
        </w:r>
      </w:hyperlink>
      <w:r>
        <w:t xml:space="preserve">; </w:t>
      </w:r>
      <w:hyperlink r:id="rId1409">
        <w:r>
          <w:rPr>
            <w:color w:val="0000EE"/>
            <w:u w:val="single"/>
          </w:rPr>
          <w:t>Atos 20.28</w:t>
        </w:r>
      </w:hyperlink>
      <w:r>
        <w:t xml:space="preserve">; </w:t>
      </w:r>
      <w:hyperlink r:id="rId1416">
        <w:r>
          <w:rPr>
            <w:color w:val="0000EE"/>
            <w:u w:val="single"/>
          </w:rPr>
          <w:t>1Pd 5.2</w:t>
        </w:r>
      </w:hyperlink>
      <w:r>
        <w:t>), e muitas vezes a congregação é chamada de rebanho. É responsabilidade do pastor edificar o corpo de Cristo vigiando a congregação (</w:t>
      </w:r>
      <w:hyperlink r:id="rId1409">
        <w:r>
          <w:rPr>
            <w:color w:val="0000EE"/>
            <w:u w:val="single"/>
          </w:rPr>
          <w:t>Atos 20.28</w:t>
        </w:r>
      </w:hyperlink>
      <w:r>
        <w:t xml:space="preserve">; </w:t>
      </w:r>
      <w:hyperlink r:id="rId958">
        <w:r>
          <w:rPr>
            <w:color w:val="0000EE"/>
            <w:u w:val="single"/>
          </w:rPr>
          <w:t>Hb 13.7</w:t>
        </w:r>
      </w:hyperlink>
      <w:r>
        <w:t>) e contrariando o falso ensino (</w:t>
      </w:r>
      <w:hyperlink r:id="rId16378">
        <w:r>
          <w:rPr>
            <w:color w:val="0000EE"/>
            <w:u w:val="single"/>
          </w:rPr>
          <w:t>Atos 20.29–30</w:t>
        </w:r>
      </w:hyperlink>
      <w:r>
        <w:t>). Informações mais detalhadas sobre os deveres e responsabilidades dos pastores são encontradas nas cartas de Paulo a Timóteo e Tito, que vieram a ser chamadas de Cartas Pastorais.</w:t>
      </w:r>
    </w:p>
    <w:p>
      <w:r/>
      <w:r>
        <w:rPr>
          <w:i/>
        </w:rPr>
        <w:t>Ver também</w:t>
      </w:r>
      <w:r>
        <w:t xml:space="preserve"> </w:t>
      </w:r>
      <w:r>
        <w:t>Bispo</w:t>
      </w:r>
      <w:r>
        <w:t xml:space="preserve">; </w:t>
      </w:r>
      <w:r>
        <w:t>Diácono, Diaconisa</w:t>
      </w:r>
      <w:r>
        <w:t xml:space="preserve">; </w:t>
      </w:r>
      <w:r>
        <w:t>Ancião</w:t>
      </w:r>
      <w:r>
        <w:t xml:space="preserve">; </w:t>
      </w:r>
      <w:r>
        <w:t>Presbítero</w:t>
      </w:r>
      <w:r>
        <w:t xml:space="preserve">; </w:t>
      </w:r>
      <w:r>
        <w:t>Pastor</w:t>
      </w:r>
      <w:r>
        <w:t xml:space="preserve">; </w:t>
      </w:r>
      <w:r>
        <w:t>Dons Espirituais</w:t>
      </w:r>
      <w:r>
        <w:t>.</w:t>
      </w:r>
      <w:r/>
      <w:r/>
    </w:p>
    <w:p>
      <w:r/>
    </w:p>
    <w:p>
      <w:pPr>
        <w:pStyle w:val="Heading2"/>
      </w:pPr>
      <w:r>
        <w:t>Pastor</w:t>
      </w:r>
      <w:r/>
    </w:p>
    <w:p>
      <w:r/>
      <w:r>
        <w:t>Aquele que tomava conta de um rebanho de ovelhas. Sua tarefa era encontrar grama e água para as ovelhas, protegê-las dos animais selvagens (</w:t>
      </w:r>
      <w:hyperlink r:id="rId1773">
        <w:r>
          <w:rPr>
            <w:color w:val="0000EE"/>
            <w:u w:val="single"/>
          </w:rPr>
          <w:t>Amós 3.12</w:t>
        </w:r>
      </w:hyperlink>
      <w:r>
        <w:t>), buscar e restaurar aquelas que se desviavam (</w:t>
      </w:r>
      <w:hyperlink r:id="rId16379">
        <w:r>
          <w:rPr>
            <w:color w:val="0000EE"/>
            <w:u w:val="single"/>
          </w:rPr>
          <w:t>Ezequiel 34.8</w:t>
        </w:r>
      </w:hyperlink>
      <w:r>
        <w:t xml:space="preserve">; </w:t>
      </w:r>
      <w:hyperlink r:id="rId16380">
        <w:r>
          <w:rPr>
            <w:color w:val="0000EE"/>
            <w:u w:val="single"/>
          </w:rPr>
          <w:t>Mateus 18.12</w:t>
        </w:r>
      </w:hyperlink>
      <w:r>
        <w:t>), conduzir o rebanho para fora do curral a cada dia e trazer o rebanho de volta ao final do dia (</w:t>
      </w:r>
      <w:hyperlink r:id="rId16381">
        <w:r>
          <w:rPr>
            <w:color w:val="0000EE"/>
            <w:u w:val="single"/>
          </w:rPr>
          <w:t>João 10.2–4</w:t>
        </w:r>
      </w:hyperlink>
      <w:r>
        <w:t>).</w:t>
      </w:r>
    </w:p>
    <w:p>
      <w:r/>
      <w:r>
        <w:t>A figura do pastor e suas ovelhas é importante no Novo Testamento. Jesus é o Bom Pastor que dá sua vida pelas ovelhas (</w:t>
      </w:r>
      <w:hyperlink r:id="rId16382">
        <w:r>
          <w:rPr>
            <w:color w:val="0000EE"/>
            <w:u w:val="single"/>
          </w:rPr>
          <w:t>Mateus 18.10–14</w:t>
        </w:r>
      </w:hyperlink>
      <w:r>
        <w:t xml:space="preserve">; </w:t>
      </w:r>
      <w:hyperlink r:id="rId1854">
        <w:r>
          <w:rPr>
            <w:color w:val="0000EE"/>
            <w:u w:val="single"/>
          </w:rPr>
          <w:t>Marcos 6.34</w:t>
        </w:r>
      </w:hyperlink>
      <w:r>
        <w:t xml:space="preserve">; </w:t>
      </w:r>
      <w:hyperlink r:id="rId9053">
        <w:r>
          <w:rPr>
            <w:color w:val="0000EE"/>
            <w:u w:val="single"/>
          </w:rPr>
          <w:t>João 10</w:t>
        </w:r>
      </w:hyperlink>
      <w:r>
        <w:t xml:space="preserve">; </w:t>
      </w:r>
      <w:hyperlink r:id="rId881">
        <w:r>
          <w:rPr>
            <w:color w:val="0000EE"/>
            <w:u w:val="single"/>
          </w:rPr>
          <w:t>Hebreus 13.20</w:t>
        </w:r>
      </w:hyperlink>
      <w:r>
        <w:t xml:space="preserve">). A analogia do pastor e do rebanho encontra uma rica expressão no </w:t>
      </w:r>
      <w:hyperlink r:id="rId9047">
        <w:r>
          <w:rPr>
            <w:color w:val="0000EE"/>
            <w:u w:val="single"/>
          </w:rPr>
          <w:t>Salmo 23</w:t>
        </w:r>
      </w:hyperlink>
      <w:r>
        <w:t xml:space="preserve">, </w:t>
      </w:r>
      <w:hyperlink r:id="rId9054">
        <w:r>
          <w:rPr>
            <w:color w:val="0000EE"/>
            <w:u w:val="single"/>
          </w:rPr>
          <w:t>Ezequiel 34</w:t>
        </w:r>
      </w:hyperlink>
      <w:r>
        <w:t xml:space="preserve"> e </w:t>
      </w:r>
      <w:hyperlink r:id="rId9053">
        <w:r>
          <w:rPr>
            <w:color w:val="0000EE"/>
            <w:u w:val="single"/>
          </w:rPr>
          <w:t>João 10</w:t>
        </w:r>
      </w:hyperlink>
      <w:r>
        <w:t>. Deus era o Pastor de Israel (</w:t>
      </w:r>
      <w:hyperlink r:id="rId15239">
        <w:r>
          <w:rPr>
            <w:color w:val="0000EE"/>
            <w:u w:val="single"/>
          </w:rPr>
          <w:t>Gênesis 49.24</w:t>
        </w:r>
      </w:hyperlink>
      <w:r>
        <w:t xml:space="preserve">; </w:t>
      </w:r>
      <w:hyperlink r:id="rId15229">
        <w:r>
          <w:rPr>
            <w:color w:val="0000EE"/>
            <w:u w:val="single"/>
          </w:rPr>
          <w:t>Salmos 23.1</w:t>
        </w:r>
      </w:hyperlink>
      <w:r>
        <w:t xml:space="preserve">; </w:t>
      </w:r>
      <w:hyperlink r:id="rId16383">
        <w:r>
          <w:rPr>
            <w:color w:val="0000EE"/>
            <w:u w:val="single"/>
          </w:rPr>
          <w:t>80.1</w:t>
        </w:r>
      </w:hyperlink>
      <w:r>
        <w:t xml:space="preserve">; </w:t>
      </w:r>
      <w:hyperlink r:id="rId16384">
        <w:r>
          <w:rPr>
            <w:color w:val="0000EE"/>
            <w:u w:val="single"/>
          </w:rPr>
          <w:t>Isaías 40.11</w:t>
        </w:r>
      </w:hyperlink>
      <w:r>
        <w:t>). Quando os pastores infiéis falharam com Israel, Deus interveio e nomeou seu servo Davi como um pastor fiel sobre eles (</w:t>
      </w:r>
      <w:hyperlink r:id="rId16385">
        <w:r>
          <w:rPr>
            <w:color w:val="0000EE"/>
            <w:u w:val="single"/>
          </w:rPr>
          <w:t>Ezequiel 34.11–16,23–24</w:t>
        </w:r>
      </w:hyperlink>
      <w:r>
        <w:t>).</w:t>
      </w:r>
    </w:p>
    <w:p>
      <w:r/>
      <w:r>
        <w:t>As imagens do Novo Testamento vêm do Antigo Testamento e de um contexto palestino. Na economia judaica, o pastor que cuidava de um rebanho de ovelhas ou cabras ocupava uma posição de grande responsabilidade. Grandes rebanhos tinham que ser movidos de um lugar para outro. Eles também precisavam ser protegidos de animais selvagens e assaltantes. Devido ao papel fundamental do pastoreio no mundo antigo, a palavra “pastor” tornou-se um termo comum para se referir a um governante. Os reis de Assíria, Babilônia e o Egito eram muitas vezes referidos como pastores que protegiam seu povo. Esta imagem formou o pano de fundo para o Antigo Testamento, onde o mesmo uso é encontrado. Deus é retratado como o pastor de Israel, interessado em todos os aspectos do bem-estar de seu povo. Governantes e líderes do povo são muitas vezes citados como pastores (</w:t>
      </w:r>
      <w:hyperlink r:id="rId1852">
        <w:r>
          <w:rPr>
            <w:color w:val="0000EE"/>
            <w:u w:val="single"/>
          </w:rPr>
          <w:t>Números 27.17</w:t>
        </w:r>
      </w:hyperlink>
      <w:r>
        <w:t xml:space="preserve">; </w:t>
      </w:r>
      <w:hyperlink r:id="rId16386">
        <w:r>
          <w:rPr>
            <w:color w:val="0000EE"/>
            <w:u w:val="single"/>
          </w:rPr>
          <w:t>1 Reis 22.17</w:t>
        </w:r>
      </w:hyperlink>
      <w:r>
        <w:t xml:space="preserve">; </w:t>
      </w:r>
      <w:hyperlink r:id="rId16387">
        <w:r>
          <w:rPr>
            <w:color w:val="0000EE"/>
            <w:u w:val="single"/>
          </w:rPr>
          <w:t>Jeremias 10.21</w:t>
        </w:r>
      </w:hyperlink>
      <w:r>
        <w:t xml:space="preserve">; </w:t>
      </w:r>
      <w:hyperlink r:id="rId16388">
        <w:r>
          <w:rPr>
            <w:color w:val="0000EE"/>
            <w:u w:val="single"/>
          </w:rPr>
          <w:t>12.10</w:t>
        </w:r>
      </w:hyperlink>
      <w:r>
        <w:t xml:space="preserve">; </w:t>
      </w:r>
      <w:hyperlink r:id="rId16389">
        <w:r>
          <w:rPr>
            <w:color w:val="0000EE"/>
            <w:u w:val="single"/>
          </w:rPr>
          <w:t>22.22</w:t>
        </w:r>
      </w:hyperlink>
      <w:r>
        <w:t xml:space="preserve">; </w:t>
      </w:r>
      <w:hyperlink r:id="rId16390">
        <w:r>
          <w:rPr>
            <w:color w:val="0000EE"/>
            <w:u w:val="single"/>
          </w:rPr>
          <w:t>23.1–2</w:t>
        </w:r>
      </w:hyperlink>
      <w:r>
        <w:t>).</w:t>
      </w:r>
    </w:p>
    <w:p>
      <w:r/>
      <w:r>
        <w:t>Na época de Jeremias, “pastor” começou a ser usado como um título para a vinda do Messias. O próprio Deus proveria para seu rebanho (</w:t>
      </w:r>
      <w:hyperlink r:id="rId16391">
        <w:r>
          <w:rPr>
            <w:color w:val="0000EE"/>
            <w:u w:val="single"/>
          </w:rPr>
          <w:t>Jeremias 23.3</w:t>
        </w:r>
      </w:hyperlink>
      <w:r>
        <w:t xml:space="preserve">; </w:t>
      </w:r>
      <w:hyperlink r:id="rId16392">
        <w:r>
          <w:rPr>
            <w:color w:val="0000EE"/>
            <w:u w:val="single"/>
          </w:rPr>
          <w:t>31.10</w:t>
        </w:r>
      </w:hyperlink>
      <w:r>
        <w:t xml:space="preserve">; </w:t>
      </w:r>
      <w:hyperlink r:id="rId16393">
        <w:r>
          <w:rPr>
            <w:color w:val="0000EE"/>
            <w:u w:val="single"/>
          </w:rPr>
          <w:t>Ezequiel 34.11–22</w:t>
        </w:r>
      </w:hyperlink>
      <w:r>
        <w:t>) e prometeu fornecer pastores fiéis que se preocupassem com seu povo (</w:t>
      </w:r>
      <w:hyperlink r:id="rId16394">
        <w:r>
          <w:rPr>
            <w:color w:val="0000EE"/>
            <w:u w:val="single"/>
          </w:rPr>
          <w:t>Jeremias 3.15</w:t>
        </w:r>
      </w:hyperlink>
      <w:r>
        <w:t xml:space="preserve">; </w:t>
      </w:r>
      <w:hyperlink r:id="rId16395">
        <w:r>
          <w:rPr>
            <w:color w:val="0000EE"/>
            <w:u w:val="single"/>
          </w:rPr>
          <w:t>23.4</w:t>
        </w:r>
      </w:hyperlink>
      <w:r>
        <w:t>). Ele prometeu explicitamente que ele seria seu Deus e colocaria o Messias, filho de Davi como pastor sobre eles (</w:t>
      </w:r>
      <w:hyperlink r:id="rId16396">
        <w:r>
          <w:rPr>
            <w:color w:val="0000EE"/>
            <w:u w:val="single"/>
          </w:rPr>
          <w:t>Ezequiel 34.23–24</w:t>
        </w:r>
      </w:hyperlink>
      <w:r>
        <w:t>). No Novo Testamento, Jesus se referiu a si como o Pastor messiânico prometido (</w:t>
      </w:r>
      <w:hyperlink r:id="rId1851">
        <w:r>
          <w:rPr>
            <w:color w:val="0000EE"/>
            <w:u w:val="single"/>
          </w:rPr>
          <w:t>Mateus 10.16</w:t>
        </w:r>
      </w:hyperlink>
      <w:r>
        <w:t xml:space="preserve">; </w:t>
      </w:r>
      <w:hyperlink r:id="rId9439">
        <w:r>
          <w:rPr>
            <w:color w:val="0000EE"/>
            <w:u w:val="single"/>
          </w:rPr>
          <w:t>25.32</w:t>
        </w:r>
      </w:hyperlink>
      <w:r>
        <w:t xml:space="preserve">; </w:t>
      </w:r>
      <w:hyperlink r:id="rId16397">
        <w:r>
          <w:rPr>
            <w:color w:val="0000EE"/>
            <w:u w:val="single"/>
          </w:rPr>
          <w:t>Marcos 14.27</w:t>
        </w:r>
      </w:hyperlink>
      <w:r>
        <w:t xml:space="preserve">; </w:t>
      </w:r>
      <w:hyperlink r:id="rId1855">
        <w:r>
          <w:rPr>
            <w:color w:val="0000EE"/>
            <w:u w:val="single"/>
          </w:rPr>
          <w:t>João 10.1–30</w:t>
        </w:r>
      </w:hyperlink>
      <w:r>
        <w:t xml:space="preserve">; compare </w:t>
      </w:r>
      <w:hyperlink r:id="rId881">
        <w:r>
          <w:rPr>
            <w:color w:val="0000EE"/>
            <w:u w:val="single"/>
          </w:rPr>
          <w:t>Hebreus 13.20</w:t>
        </w:r>
      </w:hyperlink>
      <w:r>
        <w:t xml:space="preserve">; </w:t>
      </w:r>
      <w:hyperlink r:id="rId962">
        <w:r>
          <w:rPr>
            <w:color w:val="0000EE"/>
            <w:u w:val="single"/>
          </w:rPr>
          <w:t>1 Pedro 2.25</w:t>
        </w:r>
      </w:hyperlink>
      <w:r>
        <w:t xml:space="preserve">). </w:t>
      </w:r>
      <w:hyperlink r:id="rId3778">
        <w:r>
          <w:rPr>
            <w:color w:val="0000EE"/>
            <w:u w:val="single"/>
          </w:rPr>
          <w:t>Efésios 4.11</w:t>
        </w:r>
      </w:hyperlink>
      <w:r>
        <w:t xml:space="preserve"> fala de líderes da igreja como pastores. Este uso continuou da igreja primitiva até os dias atuais. Paulo disse que eles são pessoas especiais dadas à igreja por Deus para cuidar do povo dele como um pastor faz com suas ovelhas, liderando e ensinando-as nos caminhos de Deus. Pedro também falou dos líderes como pastores. Ele os encorajou a permanecer pastores fiéis até o tempo em que o Grande Pastor, Jesus Cristo, aparecesse (</w:t>
      </w:r>
      <w:hyperlink r:id="rId16398">
        <w:r>
          <w:rPr>
            <w:color w:val="0000EE"/>
            <w:u w:val="single"/>
          </w:rPr>
          <w:t>1 Pedro 5.1–4</w:t>
        </w:r>
      </w:hyperlink>
      <w:r>
        <w:t>).</w:t>
      </w:r>
      <w:r/>
      <w:r/>
    </w:p>
    <w:p>
      <w:r/>
    </w:p>
    <w:p>
      <w:pPr>
        <w:pStyle w:val="Heading2"/>
      </w:pPr>
      <w:r>
        <w:t>Pastores</w:t>
      </w:r>
      <w:r/>
    </w:p>
    <w:p>
      <w:r/>
      <w:r>
        <w:t>Homens que cuidavam de animais domésticos, como gado, ovelhas e cabras (</w:t>
      </w:r>
      <w:hyperlink r:id="rId16399">
        <w:r>
          <w:rPr>
            <w:color w:val="0000EE"/>
            <w:u w:val="single"/>
          </w:rPr>
          <w:t>Gênesis 13.7–8</w:t>
        </w:r>
      </w:hyperlink>
      <w:r>
        <w:t xml:space="preserve">; </w:t>
      </w:r>
      <w:hyperlink r:id="rId8328">
        <w:r>
          <w:rPr>
            <w:color w:val="0000EE"/>
            <w:u w:val="single"/>
          </w:rPr>
          <w:t>26.20</w:t>
        </w:r>
      </w:hyperlink>
      <w:r>
        <w:t xml:space="preserve">; </w:t>
      </w:r>
      <w:hyperlink r:id="rId7428">
        <w:r>
          <w:rPr>
            <w:color w:val="0000EE"/>
            <w:u w:val="single"/>
          </w:rPr>
          <w:t>1 Samuel 21.7</w:t>
        </w:r>
      </w:hyperlink>
      <w:r>
        <w:t>). Estes também incluíam os pastores de ovelhas. No Novo Testamento, os pastores eram bem conhecidos. A metáfora do pastor e suas ovelhas foi usada por Jesus (</w:t>
      </w:r>
      <w:hyperlink r:id="rId16400">
        <w:r>
          <w:rPr>
            <w:color w:val="0000EE"/>
            <w:u w:val="single"/>
          </w:rPr>
          <w:t>João 10.1–16</w:t>
        </w:r>
      </w:hyperlink>
      <w:r>
        <w:t>). Alguns pastores criavam porcos (</w:t>
      </w:r>
      <w:hyperlink r:id="rId16401">
        <w:r>
          <w:rPr>
            <w:color w:val="0000EE"/>
            <w:u w:val="single"/>
          </w:rPr>
          <w:t>Mateus 8.33</w:t>
        </w:r>
      </w:hyperlink>
      <w:r>
        <w:t xml:space="preserve">; </w:t>
      </w:r>
      <w:hyperlink r:id="rId16402">
        <w:r>
          <w:rPr>
            <w:color w:val="0000EE"/>
            <w:u w:val="single"/>
          </w:rPr>
          <w:t>Marcos 5.14</w:t>
        </w:r>
      </w:hyperlink>
      <w:r>
        <w:t xml:space="preserve">; </w:t>
      </w:r>
      <w:hyperlink r:id="rId16403">
        <w:r>
          <w:rPr>
            <w:color w:val="0000EE"/>
            <w:u w:val="single"/>
          </w:rPr>
          <w:t>Lucas 8.34</w:t>
        </w:r>
      </w:hyperlink>
      <w:r>
        <w:t>).</w:t>
      </w:r>
      <w:r/>
      <w:r/>
    </w:p>
    <w:p>
      <w:r/>
    </w:p>
    <w:p>
      <w:pPr>
        <w:pStyle w:val="Heading2"/>
      </w:pPr>
      <w:r>
        <w:t>Pátara</w:t>
      </w:r>
      <w:r/>
    </w:p>
    <w:p>
      <w:r/>
      <w:r>
        <w:t>Pátara era um porto marítimo da antiga região da Lícia, agora localizada na moderna Turquia. A antiga cidade era uma das maiores e mais prósperas da região. Era um centro de comércio e negócios. Um templo dedicado a Apolo estava em Pátara. Restos de um teatro e banhos ainda estão lá. Os padrões de vento comuns tornavam Pátara um lugar conveniente para os navios iniciarem suas viagens ao leste do Mediterrâneo. O apóstolo Paulo trocou de navio em Pátara em sua última viagem a Jerusalém (</w:t>
      </w:r>
      <w:hyperlink r:id="rId16404">
        <w:r>
          <w:rPr>
            <w:color w:val="0000EE"/>
            <w:u w:val="single"/>
          </w:rPr>
          <w:t>At 21.1–2</w:t>
        </w:r>
      </w:hyperlink>
      <w:r>
        <w:t>).</w:t>
      </w:r>
      <w:r/>
      <w:r/>
    </w:p>
    <w:p>
      <w:r/>
    </w:p>
    <w:p>
      <w:pPr>
        <w:pStyle w:val="Heading2"/>
      </w:pPr>
      <w:r>
        <w:t>Patriarcas, Período dos</w:t>
      </w:r>
      <w:r/>
    </w:p>
    <w:p>
      <w:r/>
      <w:r>
        <w:t>O período de tempo em que os pais bíblicos de Israel viveram. A Bíblia fala sobre:</w:t>
      </w:r>
    </w:p>
    <w:p>
      <w:pPr>
        <w:pStyle w:val="ListBullet"/>
        <w:spacing w:line="240" w:lineRule="auto"/>
        <w:ind w:left="720"/>
      </w:pPr>
      <w:r/>
      <w:r>
        <w:t>Os patriarcas que viveram longas vidas antes do dilúvio (</w:t>
      </w:r>
      <w:hyperlink r:id="rId16405">
        <w:r>
          <w:rPr>
            <w:color w:val="0000EE"/>
            <w:u w:val="single"/>
          </w:rPr>
          <w:t>Gênesis 1–5</w:t>
        </w:r>
      </w:hyperlink>
      <w:r>
        <w:t>);</w:t>
      </w:r>
    </w:p>
    <w:p>
      <w:pPr>
        <w:pStyle w:val="ListBullet"/>
        <w:spacing w:line="240" w:lineRule="auto"/>
        <w:ind w:left="720"/>
      </w:pPr>
      <w:r/>
      <w:r>
        <w:t>Noé (</w:t>
      </w:r>
      <w:hyperlink r:id="rId6201">
        <w:r>
          <w:rPr>
            <w:color w:val="0000EE"/>
            <w:u w:val="single"/>
          </w:rPr>
          <w:t>Gênesis 6–9</w:t>
        </w:r>
      </w:hyperlink>
      <w:r>
        <w:t>);</w:t>
      </w:r>
    </w:p>
    <w:p>
      <w:pPr>
        <w:pStyle w:val="ListBullet"/>
        <w:spacing w:line="240" w:lineRule="auto"/>
        <w:ind w:left="720"/>
      </w:pPr>
      <w:r/>
      <w:r>
        <w:t>Uma linha de patriarcas após o dilúvio (</w:t>
      </w:r>
      <w:hyperlink r:id="rId16406">
        <w:r>
          <w:rPr>
            <w:color w:val="0000EE"/>
            <w:u w:val="single"/>
          </w:rPr>
          <w:t>Gênesis 10–11</w:t>
        </w:r>
      </w:hyperlink>
      <w:r>
        <w:t>).</w:t>
      </w:r>
    </w:p>
    <w:p>
      <w:r/>
      <w:r>
        <w:t>No entanto, a palavra geralmente se refere a Abraão, Isaque e Jacó (</w:t>
      </w:r>
      <w:hyperlink r:id="rId16407">
        <w:r>
          <w:rPr>
            <w:color w:val="0000EE"/>
            <w:u w:val="single"/>
          </w:rPr>
          <w:t>Gênesis 12–36</w:t>
        </w:r>
      </w:hyperlink>
      <w:r>
        <w:t>) e também inclui José (</w:t>
      </w:r>
      <w:hyperlink r:id="rId11500">
        <w:r>
          <w:rPr>
            <w:color w:val="0000EE"/>
            <w:u w:val="single"/>
          </w:rPr>
          <w:t>Gênesis 37–50</w:t>
        </w:r>
      </w:hyperlink>
      <w:r>
        <w:t>).</w:t>
      </w:r>
    </w:p>
    <w:p>
      <w:pPr>
        <w:pStyle w:val="Heading3"/>
      </w:pPr>
      <w:r>
        <w:t>Quando viveram os patriarcas?</w:t>
      </w:r>
    </w:p>
    <w:p>
      <w:r/>
      <w:r>
        <w:t xml:space="preserve">É difícil encontrar a data exata dos patriarcas. Os reis mencionados em </w:t>
      </w:r>
      <w:hyperlink r:id="rId4024">
        <w:r>
          <w:rPr>
            <w:color w:val="0000EE"/>
            <w:u w:val="single"/>
          </w:rPr>
          <w:t>Gênesis 14.1</w:t>
        </w:r>
      </w:hyperlink>
      <w:r>
        <w:t>–</w:t>
      </w:r>
      <w:hyperlink r:id="rId4024">
        <w:r>
          <w:rPr>
            <w:color w:val="0000EE"/>
            <w:u w:val="single"/>
          </w:rPr>
          <w:t>2</w:t>
        </w:r>
      </w:hyperlink>
      <w:r>
        <w:t xml:space="preserve"> são o único ponto de referência para identificar uma data. Este capítulo refere-se a pessoas e lugares históricos, mas não podemos identificar os reis com certeza. Arqueólogos italianos em Tell Mardikh (antiga Ebla) encontraram tábuas de argila com os nomes das “Cidades da Planície” de </w:t>
      </w:r>
      <w:hyperlink r:id="rId3328">
        <w:r>
          <w:rPr>
            <w:color w:val="0000EE"/>
            <w:u w:val="single"/>
          </w:rPr>
          <w:t>Gênesis 14.2</w:t>
        </w:r>
      </w:hyperlink>
      <w:r>
        <w:t xml:space="preserve"> e o nome de um de seus reis. No entanto, essas tábuas datam de antes de 2000 a.C. e antes de Abraão. Tudo o que mostram é que as cidades existiam antes de Abraão.</w:t>
      </w:r>
    </w:p>
    <w:p>
      <w:r/>
      <w:r>
        <w:t>Os patriarcas viveram na Idade do Bronze Médio, provavelmente no início do segundo milênio a.C. Esta foi a época em que os amorreus se mudaram para a Palestina vindos do noroeste. Os amorreus se mudaram para a Palestina em duas “ondas":</w:t>
      </w:r>
    </w:p>
    <w:p>
      <w:pPr>
        <w:pStyle w:val="ListBullet"/>
        <w:spacing w:line="240" w:lineRule="auto"/>
        <w:ind w:left="720"/>
      </w:pPr>
      <w:r/>
      <w:r>
        <w:t xml:space="preserve">A primeira envolvia um grupo que se moveu em habitações temporárias (como os amigos de Abraão: Aner, Escol e Manre) (veja </w:t>
      </w:r>
      <w:hyperlink r:id="rId1449">
        <w:r>
          <w:rPr>
            <w:color w:val="0000EE"/>
            <w:u w:val="single"/>
          </w:rPr>
          <w:t>Gênesis 14.13);</w:t>
        </w:r>
      </w:hyperlink>
    </w:p>
    <w:p>
      <w:pPr>
        <w:pStyle w:val="ListBullet"/>
        <w:spacing w:line="240" w:lineRule="auto"/>
        <w:ind w:left="720"/>
      </w:pPr>
      <w:r/>
      <w:r>
        <w:t>A segunda onda foi da Síria e envolveu pessoas se mudando para as cidades (estes eram "os amorreus") (</w:t>
      </w:r>
      <w:hyperlink r:id="rId1494">
        <w:r>
          <w:rPr>
            <w:color w:val="0000EE"/>
            <w:u w:val="single"/>
          </w:rPr>
          <w:t>Êxodo 3.8</w:t>
        </w:r>
      </w:hyperlink>
      <w:r>
        <w:t>).</w:t>
      </w:r>
    </w:p>
    <w:p>
      <w:r/>
      <w:r>
        <w:t>A sociedade dos patriarcas tinha dois tipos:</w:t>
      </w:r>
    </w:p>
    <w:p>
      <w:pPr>
        <w:pStyle w:val="ListBullet"/>
        <w:spacing w:line="240" w:lineRule="auto"/>
        <w:ind w:left="720"/>
      </w:pPr>
      <w:r/>
      <w:r>
        <w:t>As comunidades de cidades;</w:t>
      </w:r>
    </w:p>
    <w:p>
      <w:pPr>
        <w:pStyle w:val="ListBullet"/>
        <w:spacing w:line="240" w:lineRule="auto"/>
        <w:ind w:left="720"/>
      </w:pPr>
      <w:r/>
      <w:r>
        <w:t>As comunidades rurais (ou tribos seminômades) que se deslocavam ao redor das cidades.</w:t>
      </w:r>
    </w:p>
    <w:p>
      <w:r/>
      <w:r>
        <w:t>José viveu no Egito, mas as Escrituras não nos dão o nome deste Faraó para podermos situar o período em que ele viveu.</w:t>
      </w:r>
    </w:p>
    <w:p>
      <w:pPr>
        <w:pStyle w:val="Heading3"/>
      </w:pPr>
      <w:r>
        <w:t>Onde viveram os patriarcas?</w:t>
      </w:r>
    </w:p>
    <w:p>
      <w:r/>
      <w:r>
        <w:t xml:space="preserve">A história patriarcal cobre uma ampla faixa geográfica, abrangendo centenas de milhas. Abraão viveu em Ur, uma antiga cidade suméria perto do Golfo Pérsico. Depois ele se muda para Harã no noroeste, entre os rios Tigre e Eufrates no norte. De lá, ele se move para o sudoeste até a Palestina, mas viaja de volta para Harã duas vezes e duas vezes para o Egito. Mesmo na Palestina, os patriarcas estão sempre se movendo de um lugar para outro. Eles viajam principalmente de norte a sul ao longo das montanhas, mas às vezes viajam para a costa e até para a Transjordânia (leste do rio Jordão). Alguns se juntam às culturas urbanas (como Ló em </w:t>
      </w:r>
      <w:hyperlink r:id="rId16408">
        <w:r>
          <w:rPr>
            <w:color w:val="0000EE"/>
            <w:u w:val="single"/>
          </w:rPr>
          <w:t>Gênesis 13.12</w:t>
        </w:r>
      </w:hyperlink>
      <w:r>
        <w:t xml:space="preserve">), enquanto outros se mudam para o deserto (como Ismael em </w:t>
      </w:r>
      <w:hyperlink r:id="rId16409">
        <w:r>
          <w:rPr>
            <w:color w:val="0000EE"/>
            <w:u w:val="single"/>
          </w:rPr>
          <w:t>Gênesis 25.18</w:t>
        </w:r>
      </w:hyperlink>
      <w:r>
        <w:t xml:space="preserve"> ou Esaú em </w:t>
      </w:r>
      <w:hyperlink r:id="rId3171">
        <w:r>
          <w:rPr>
            <w:color w:val="0000EE"/>
            <w:u w:val="single"/>
          </w:rPr>
          <w:t>36.6</w:t>
        </w:r>
      </w:hyperlink>
      <w:r>
        <w:t>–</w:t>
      </w:r>
      <w:hyperlink r:id="rId3171">
        <w:r>
          <w:rPr>
            <w:color w:val="0000EE"/>
            <w:u w:val="single"/>
          </w:rPr>
          <w:t>8</w:t>
        </w:r>
      </w:hyperlink>
      <w:r>
        <w:t>).</w:t>
      </w:r>
    </w:p>
    <w:p>
      <w:pPr>
        <w:pStyle w:val="Heading3"/>
      </w:pPr>
      <w:r>
        <w:t>Por que os patriarcas são importantes?</w:t>
      </w:r>
    </w:p>
    <w:p>
      <w:r/>
      <w:r>
        <w:t>Os patriarcas são muito importantes para o plano de redenção de Deus. O processo que leva à vinda de Cristo começa com Abraão (</w:t>
      </w:r>
      <w:hyperlink r:id="rId14308">
        <w:r>
          <w:rPr>
            <w:color w:val="0000EE"/>
            <w:u w:val="single"/>
          </w:rPr>
          <w:t>João 8.56</w:t>
        </w:r>
      </w:hyperlink>
      <w:r>
        <w:t xml:space="preserve">). Claro, o plano de salvação de Deus começa nos primeiros capítulos de Gênesis. Mas o plano de Deus se torna claro com o chamado de Abraão em </w:t>
      </w:r>
      <w:hyperlink r:id="rId162">
        <w:r>
          <w:rPr>
            <w:color w:val="0000EE"/>
            <w:u w:val="single"/>
          </w:rPr>
          <w:t>Gênesis 12.1</w:t>
        </w:r>
      </w:hyperlink>
      <w:r>
        <w:t>–</w:t>
      </w:r>
      <w:hyperlink r:id="rId162">
        <w:r>
          <w:rPr>
            <w:color w:val="0000EE"/>
            <w:u w:val="single"/>
          </w:rPr>
          <w:t>3</w:t>
        </w:r>
      </w:hyperlink>
      <w:r>
        <w:t xml:space="preserve"> e continua através das vidas de todos os patriarcas. A Bíblia frequentemente fala de Deus como o Deus de Abraão, Isaque e Jacó por uma razão. Isso porque a revelação feita aos primeiros patriarcas é a base para tudo o que se segue. No Novo Testamento, os cristãos também chamam Abraão de seu “pai” (</w:t>
      </w:r>
      <w:hyperlink r:id="rId10127">
        <w:r>
          <w:rPr>
            <w:color w:val="0000EE"/>
            <w:u w:val="single"/>
          </w:rPr>
          <w:t>Romanos 4.16</w:t>
        </w:r>
      </w:hyperlink>
      <w:r>
        <w:t>).</w:t>
      </w:r>
    </w:p>
    <w:p>
      <w:r/>
      <w:r>
        <w:rPr>
          <w:i/>
        </w:rPr>
        <w:t>Veja também</w:t>
      </w:r>
      <w:r>
        <w:t xml:space="preserve"> </w:t>
      </w:r>
      <w:r>
        <w:t>Abraão</w:t>
      </w:r>
      <w:r>
        <w:t xml:space="preserve">; </w:t>
      </w:r>
      <w:r>
        <w:t>Cronologia da Bíblia (Antigo Testamento)</w:t>
      </w:r>
      <w:r>
        <w:t xml:space="preserve">; </w:t>
      </w:r>
      <w:r>
        <w:t>Isaque</w:t>
      </w:r>
      <w:r>
        <w:t xml:space="preserve">; </w:t>
      </w:r>
      <w:r>
        <w:t>Israel, História de</w:t>
      </w:r>
      <w:r>
        <w:t xml:space="preserve">; </w:t>
      </w:r>
      <w:r>
        <w:t>Jacó #1</w:t>
      </w:r>
      <w:r>
        <w:t xml:space="preserve">; </w:t>
      </w:r>
      <w:r>
        <w:t>José #1</w:t>
      </w:r>
      <w:r>
        <w:t>.</w:t>
      </w:r>
      <w:r/>
      <w:r/>
    </w:p>
    <w:p>
      <w:r/>
    </w:p>
    <w:p>
      <w:pPr>
        <w:pStyle w:val="Heading2"/>
      </w:pPr>
      <w:r>
        <w:t>Patrimônio</w:t>
      </w:r>
      <w:r/>
    </w:p>
    <w:p>
      <w:r/>
      <w:r>
        <w:t>Uma herança de um pai ou antepassado (</w:t>
      </w:r>
      <w:hyperlink r:id="rId16410">
        <w:r>
          <w:rPr>
            <w:color w:val="0000EE"/>
            <w:u w:val="single"/>
          </w:rPr>
          <w:t>Dt 18.8</w:t>
        </w:r>
      </w:hyperlink>
      <w:r>
        <w:t>).</w:t>
      </w:r>
    </w:p>
    <w:p>
      <w:r/>
      <w:r>
        <w:rPr>
          <w:i/>
        </w:rPr>
        <w:t>Veja</w:t>
      </w:r>
      <w:r>
        <w:t xml:space="preserve"> </w:t>
      </w:r>
      <w:r>
        <w:t>Herdeiro</w:t>
      </w:r>
      <w:r>
        <w:t xml:space="preserve">; </w:t>
      </w:r>
      <w:r>
        <w:t>Herança</w:t>
      </w:r>
      <w:r>
        <w:t>.</w:t>
      </w:r>
      <w:r/>
      <w:r/>
    </w:p>
    <w:p>
      <w:r/>
    </w:p>
    <w:p>
      <w:pPr>
        <w:pStyle w:val="Heading2"/>
      </w:pPr>
      <w:r>
        <w:t>Patrusitas</w:t>
      </w:r>
      <w:r/>
    </w:p>
    <w:p>
      <w:r/>
      <w:r>
        <w:t>Habitantes de Patros, uma região ao sul do Egito (</w:t>
      </w:r>
      <w:hyperlink r:id="rId3994">
        <w:r>
          <w:rPr>
            <w:color w:val="0000EE"/>
            <w:u w:val="single"/>
          </w:rPr>
          <w:t>Gn 10.14</w:t>
        </w:r>
      </w:hyperlink>
      <w:r>
        <w:t xml:space="preserve">; </w:t>
      </w:r>
      <w:hyperlink r:id="rId3992">
        <w:r>
          <w:rPr>
            <w:color w:val="0000EE"/>
            <w:u w:val="single"/>
          </w:rPr>
          <w:t>1Cr 1.12</w:t>
        </w:r>
      </w:hyperlink>
      <w:r>
        <w:t xml:space="preserve">). </w:t>
      </w:r>
      <w:r>
        <w:rPr>
          <w:i/>
        </w:rPr>
        <w:t>Veja</w:t>
      </w:r>
      <w:r>
        <w:t xml:space="preserve"> </w:t>
      </w:r>
      <w:r>
        <w:t>Patros</w:t>
      </w:r>
      <w:r>
        <w:t>.</w:t>
      </w:r>
      <w:r/>
      <w:r/>
    </w:p>
    <w:p>
      <w:r/>
    </w:p>
    <w:p>
      <w:pPr>
        <w:pStyle w:val="Heading2"/>
      </w:pPr>
      <w:r>
        <w:t>Paú</w:t>
      </w:r>
      <w:r/>
    </w:p>
    <w:p>
      <w:r/>
      <w:r>
        <w:t>Uma cidade localizada em Edom onde o Rei Hadade governou (</w:t>
      </w:r>
      <w:hyperlink r:id="rId10282">
        <w:r>
          <w:rPr>
            <w:color w:val="0000EE"/>
            <w:u w:val="single"/>
          </w:rPr>
          <w:t>Gn 36.39</w:t>
        </w:r>
      </w:hyperlink>
      <w:r>
        <w:t>). Também era chamada de "Paí".</w:t>
      </w:r>
      <w:r/>
      <w:r/>
    </w:p>
    <w:p>
      <w:r/>
    </w:p>
    <w:p>
      <w:pPr>
        <w:pStyle w:val="Heading2"/>
      </w:pPr>
      <w:r>
        <w:t>Paulo, O Apóstolo</w:t>
      </w:r>
      <w:r/>
    </w:p>
    <w:p>
      <w:r/>
      <w:r>
        <w:t>Líder proeminente da igreja do primeiro século, um apóstolo dos gentios e autor de 13 cartas do Novo Testamento.</w:t>
      </w:r>
    </w:p>
    <w:p>
      <w:pPr>
        <w:pStyle w:val="Heading3"/>
      </w:pPr>
      <w:r>
        <w:t>Resumo</w:t>
      </w:r>
    </w:p>
    <w:p>
      <w:pPr>
        <w:pStyle w:val="ListBullet"/>
        <w:spacing w:line="240" w:lineRule="auto"/>
        <w:ind w:left="720"/>
      </w:pPr>
      <w:r/>
      <w:r>
        <w:t>Família e contexto cultural</w:t>
      </w:r>
    </w:p>
    <w:p>
      <w:pPr>
        <w:pStyle w:val="ListBullet"/>
        <w:spacing w:line="240" w:lineRule="auto"/>
        <w:ind w:left="720"/>
      </w:pPr>
      <w:r/>
      <w:r>
        <w:t>Educação</w:t>
      </w:r>
    </w:p>
    <w:p>
      <w:pPr>
        <w:pStyle w:val="ListBullet"/>
        <w:spacing w:line="240" w:lineRule="auto"/>
        <w:ind w:left="720"/>
      </w:pPr>
      <w:r/>
      <w:r>
        <w:t>Saulo, o perseguidor</w:t>
      </w:r>
    </w:p>
    <w:p>
      <w:pPr>
        <w:pStyle w:val="ListBullet"/>
        <w:spacing w:line="240" w:lineRule="auto"/>
        <w:ind w:left="720"/>
      </w:pPr>
      <w:r/>
      <w:r>
        <w:t>Conversão e chamado</w:t>
      </w:r>
    </w:p>
    <w:p>
      <w:pPr>
        <w:pStyle w:val="ListBullet"/>
        <w:spacing w:line="240" w:lineRule="auto"/>
        <w:ind w:left="720"/>
      </w:pPr>
      <w:r/>
      <w:r>
        <w:t>Preparação para o ministério</w:t>
      </w:r>
    </w:p>
    <w:p>
      <w:pPr>
        <w:pStyle w:val="ListBullet"/>
        <w:spacing w:line="240" w:lineRule="auto"/>
        <w:ind w:left="720"/>
      </w:pPr>
      <w:r/>
      <w:r>
        <w:t>Enviado de Antioquia</w:t>
      </w:r>
    </w:p>
    <w:p>
      <w:pPr>
        <w:pStyle w:val="ListBullet"/>
        <w:spacing w:line="240" w:lineRule="auto"/>
        <w:ind w:left="720"/>
      </w:pPr>
      <w:r/>
      <w:r>
        <w:t>Viajando com Barnabé</w:t>
      </w:r>
    </w:p>
    <w:p>
      <w:pPr>
        <w:pStyle w:val="ListBullet"/>
        <w:spacing w:line="240" w:lineRule="auto"/>
        <w:ind w:left="720"/>
      </w:pPr>
      <w:r/>
      <w:r>
        <w:t>O Conselho de Jerusalém</w:t>
      </w:r>
    </w:p>
    <w:p>
      <w:pPr>
        <w:pStyle w:val="ListBullet"/>
        <w:spacing w:line="240" w:lineRule="auto"/>
        <w:ind w:left="720"/>
      </w:pPr>
      <w:r/>
      <w:r>
        <w:t>Viagens</w:t>
      </w:r>
    </w:p>
    <w:p>
      <w:pPr>
        <w:pStyle w:val="ListBullet"/>
        <w:spacing w:line="240" w:lineRule="auto"/>
        <w:ind w:left="720"/>
      </w:pPr>
      <w:r/>
      <w:r>
        <w:t>Trabalho no Evangelho</w:t>
      </w:r>
    </w:p>
    <w:p>
      <w:pPr>
        <w:pStyle w:val="ListBullet"/>
        <w:spacing w:line="240" w:lineRule="auto"/>
        <w:ind w:left="720"/>
      </w:pPr>
      <w:r/>
      <w:r>
        <w:t>A prisão em Jerusalém</w:t>
      </w:r>
    </w:p>
    <w:p>
      <w:pPr>
        <w:pStyle w:val="ListBullet"/>
        <w:spacing w:line="240" w:lineRule="auto"/>
        <w:ind w:left="720"/>
      </w:pPr>
      <w:r/>
      <w:r>
        <w:t>Viagem e estadia em Roma</w:t>
      </w:r>
    </w:p>
    <w:p>
      <w:pPr>
        <w:pStyle w:val="ListBullet"/>
        <w:spacing w:line="240" w:lineRule="auto"/>
        <w:ind w:left="720"/>
      </w:pPr>
      <w:r/>
      <w:r>
        <w:t>Anos finais e martírio</w:t>
      </w:r>
    </w:p>
    <w:p>
      <w:pPr>
        <w:pStyle w:val="Heading3"/>
      </w:pPr>
      <w:r>
        <w:t>Família e contexto cultural</w:t>
      </w:r>
    </w:p>
    <w:p>
      <w:r/>
      <w:r>
        <w:t>Paulo nasceu por volta do ano 10 d.C., um judeu em uma família de fariseus (</w:t>
      </w:r>
      <w:hyperlink r:id="rId12336">
        <w:r>
          <w:rPr>
            <w:color w:val="0000EE"/>
            <w:u w:val="single"/>
          </w:rPr>
          <w:t>Atos 23.6</w:t>
        </w:r>
      </w:hyperlink>
      <w:r>
        <w:t>) da tribo de Benjamim (</w:t>
      </w:r>
      <w:hyperlink r:id="rId3431">
        <w:r>
          <w:rPr>
            <w:color w:val="0000EE"/>
            <w:u w:val="single"/>
          </w:rPr>
          <w:t>Filipenses 3.5</w:t>
        </w:r>
      </w:hyperlink>
      <w:r>
        <w:t>) em Tarso da Cilícia (</w:t>
      </w:r>
      <w:hyperlink r:id="rId4621">
        <w:r>
          <w:rPr>
            <w:color w:val="0000EE"/>
            <w:u w:val="single"/>
          </w:rPr>
          <w:t>Atos 9.11</w:t>
        </w:r>
      </w:hyperlink>
      <w:r>
        <w:t xml:space="preserve">; </w:t>
      </w:r>
      <w:hyperlink r:id="rId4848">
        <w:r>
          <w:rPr>
            <w:color w:val="0000EE"/>
            <w:u w:val="single"/>
          </w:rPr>
          <w:t>21.39</w:t>
        </w:r>
      </w:hyperlink>
      <w:r>
        <w:t xml:space="preserve">; </w:t>
      </w:r>
      <w:hyperlink r:id="rId4901">
        <w:r>
          <w:rPr>
            <w:color w:val="0000EE"/>
            <w:u w:val="single"/>
          </w:rPr>
          <w:t>22.3</w:t>
        </w:r>
      </w:hyperlink>
      <w:r>
        <w:t>). Tarso era um centro de comércio e aprendizado que abraçava o espírito helenístico e a política romana. Era uma cidade da qual ele poderia se orgulhar (</w:t>
      </w:r>
      <w:hyperlink r:id="rId4848">
        <w:r>
          <w:rPr>
            <w:color w:val="0000EE"/>
            <w:u w:val="single"/>
          </w:rPr>
          <w:t>21.39</w:t>
        </w:r>
      </w:hyperlink>
      <w:r>
        <w:t>). Seus pais o nomearam Saulo, talvez em homenagem ao primeiro rei de Israel, que também era um benjamita (</w:t>
      </w:r>
      <w:hyperlink r:id="rId15767">
        <w:r>
          <w:rPr>
            <w:color w:val="0000EE"/>
            <w:u w:val="single"/>
          </w:rPr>
          <w:t>1 Samuel 11.15</w:t>
        </w:r>
      </w:hyperlink>
      <w:r>
        <w:t xml:space="preserve">; </w:t>
      </w:r>
      <w:hyperlink r:id="rId3432">
        <w:r>
          <w:rPr>
            <w:color w:val="0000EE"/>
            <w:u w:val="single"/>
          </w:rPr>
          <w:t>Atos 13.21</w:t>
        </w:r>
      </w:hyperlink>
      <w:r>
        <w:t xml:space="preserve">). Mas </w:t>
      </w:r>
      <w:hyperlink r:id="rId2853">
        <w:r>
          <w:rPr>
            <w:color w:val="0000EE"/>
            <w:u w:val="single"/>
          </w:rPr>
          <w:t>Atos 13.9</w:t>
        </w:r>
      </w:hyperlink>
      <w:r>
        <w:t xml:space="preserve"> observa que ele “também era chamado de Paulo”. Ele usa o nome romano Paulo ao longo de suas cartas.</w:t>
      </w:r>
    </w:p>
    <w:p>
      <w:r/>
      <w:r>
        <w:t>Paulo recebeu conhecimento da lei e dos profetas e das línguas hebraica e aramaica de pais religiosos (</w:t>
      </w:r>
      <w:hyperlink r:id="rId5003">
        <w:r>
          <w:rPr>
            <w:color w:val="0000EE"/>
            <w:u w:val="single"/>
          </w:rPr>
          <w:t>Atos 21.40</w:t>
        </w:r>
      </w:hyperlink>
      <w:r>
        <w:t xml:space="preserve">; </w:t>
      </w:r>
      <w:hyperlink r:id="rId16411">
        <w:r>
          <w:rPr>
            <w:color w:val="0000EE"/>
            <w:u w:val="single"/>
          </w:rPr>
          <w:t>22.2–3</w:t>
        </w:r>
      </w:hyperlink>
      <w:r>
        <w:t xml:space="preserve">; </w:t>
      </w:r>
      <w:hyperlink r:id="rId12336">
        <w:r>
          <w:rPr>
            <w:color w:val="0000EE"/>
            <w:u w:val="single"/>
          </w:rPr>
          <w:t>23.6</w:t>
        </w:r>
      </w:hyperlink>
      <w:r>
        <w:t xml:space="preserve">; </w:t>
      </w:r>
      <w:hyperlink r:id="rId9113">
        <w:r>
          <w:rPr>
            <w:color w:val="0000EE"/>
            <w:u w:val="single"/>
          </w:rPr>
          <w:t>Gálatas 1.14</w:t>
        </w:r>
      </w:hyperlink>
      <w:r>
        <w:t xml:space="preserve">; </w:t>
      </w:r>
      <w:hyperlink r:id="rId16412">
        <w:r>
          <w:rPr>
            <w:color w:val="0000EE"/>
            <w:u w:val="single"/>
          </w:rPr>
          <w:t>Filipenses 3.5</w:t>
        </w:r>
      </w:hyperlink>
      <w:r>
        <w:t>–</w:t>
      </w:r>
      <w:hyperlink r:id="rId16412">
        <w:r>
          <w:rPr>
            <w:color w:val="0000EE"/>
            <w:u w:val="single"/>
          </w:rPr>
          <w:t>6</w:t>
        </w:r>
      </w:hyperlink>
      <w:r>
        <w:t>). Tarso, no entanto, não era uma cidade judaica. Em vez disso, tinha um caráter grego, sendo um lugar onde a língua grega era falada e a literatura grega cultivada. Isso explica a familiaridade de Paulo com o grego (</w:t>
      </w:r>
      <w:hyperlink r:id="rId10205">
        <w:r>
          <w:rPr>
            <w:color w:val="0000EE"/>
            <w:u w:val="single"/>
          </w:rPr>
          <w:t>Atos 21.37</w:t>
        </w:r>
      </w:hyperlink>
      <w:r>
        <w:t>), o idioma das ruas e dos comércios de Tarso.</w:t>
      </w:r>
    </w:p>
    <w:p>
      <w:r/>
      <w:r>
        <w:t>Os judeus foram trazidos para Tarso, a capital da província romana da Cilícia, em 171 a.C. para promover os negócios na região. Naquela época, os antepassados de Paulo provavelmente receberam a cidadania romana. Paulo herdou de seu pai tanto a cidadania tarsiana quanto a romana. Isso provaria ser de grande valor para Paulo em sua vida mais tarde conforme ele viajava com o Evangelho por todo o Império Romano (</w:t>
      </w:r>
      <w:hyperlink r:id="rId4902">
        <w:r>
          <w:rPr>
            <w:color w:val="0000EE"/>
            <w:u w:val="single"/>
          </w:rPr>
          <w:t>Atos 16.37</w:t>
        </w:r>
      </w:hyperlink>
      <w:r>
        <w:t xml:space="preserve">; </w:t>
      </w:r>
      <w:hyperlink r:id="rId16413">
        <w:r>
          <w:rPr>
            <w:color w:val="0000EE"/>
            <w:u w:val="single"/>
          </w:rPr>
          <w:t>22.25</w:t>
        </w:r>
      </w:hyperlink>
      <w:r>
        <w:t>–</w:t>
      </w:r>
      <w:hyperlink r:id="rId16413">
        <w:r>
          <w:rPr>
            <w:color w:val="0000EE"/>
            <w:u w:val="single"/>
          </w:rPr>
          <w:t>29</w:t>
        </w:r>
      </w:hyperlink>
      <w:r>
        <w:t xml:space="preserve">; </w:t>
      </w:r>
      <w:hyperlink r:id="rId16414">
        <w:r>
          <w:rPr>
            <w:color w:val="0000EE"/>
            <w:u w:val="single"/>
          </w:rPr>
          <w:t>23.27</w:t>
        </w:r>
      </w:hyperlink>
      <w:r>
        <w:t xml:space="preserve">). Paulo pode ter tido vários irmãos e irmãs, mas </w:t>
      </w:r>
      <w:hyperlink r:id="rId16415">
        <w:r>
          <w:rPr>
            <w:color w:val="0000EE"/>
            <w:u w:val="single"/>
          </w:rPr>
          <w:t>Atos 23.16</w:t>
        </w:r>
      </w:hyperlink>
      <w:r>
        <w:t xml:space="preserve"> menciona apenas uma irmã, cujo filho salvou a vida de Paulo.</w:t>
      </w:r>
    </w:p>
    <w:p>
      <w:r/>
      <w:r>
        <w:t>Paulo era um fabricante de tendas (</w:t>
      </w:r>
      <w:hyperlink r:id="rId9099">
        <w:r>
          <w:rPr>
            <w:color w:val="0000EE"/>
            <w:u w:val="single"/>
          </w:rPr>
          <w:t>Atos 18.3</w:t>
        </w:r>
      </w:hyperlink>
      <w:r>
        <w:t>). Ele pode ter aprendido este ofício com seu pai, ou ele pode tê-lo selecionado como um meio de sustento próprio, como era o costume daqueles que estavam no treinamento rabínico. Tarso era bem conhecido pelo pano de pelos de cabra chamado cilício. Ao tecer e formar este pano em tendas, velas, toldos, e capas, Paulo ganhou independência econômica durante seu ministério apostólico (</w:t>
      </w:r>
      <w:hyperlink r:id="rId9099">
        <w:r>
          <w:rPr>
            <w:color w:val="0000EE"/>
            <w:u w:val="single"/>
          </w:rPr>
          <w:t>Atos 18.3</w:t>
        </w:r>
      </w:hyperlink>
      <w:r>
        <w:t xml:space="preserve">; </w:t>
      </w:r>
      <w:hyperlink r:id="rId13784">
        <w:r>
          <w:rPr>
            <w:color w:val="0000EE"/>
            <w:u w:val="single"/>
          </w:rPr>
          <w:t>20.34</w:t>
        </w:r>
      </w:hyperlink>
      <w:r>
        <w:t xml:space="preserve">; </w:t>
      </w:r>
      <w:hyperlink r:id="rId2878">
        <w:r>
          <w:rPr>
            <w:color w:val="0000EE"/>
            <w:u w:val="single"/>
          </w:rPr>
          <w:t>28.30</w:t>
        </w:r>
      </w:hyperlink>
      <w:r>
        <w:t xml:space="preserve">; </w:t>
      </w:r>
      <w:hyperlink r:id="rId16416">
        <w:r>
          <w:rPr>
            <w:color w:val="0000EE"/>
            <w:u w:val="single"/>
          </w:rPr>
          <w:t>2 Coríntios 11.9</w:t>
        </w:r>
      </w:hyperlink>
      <w:r>
        <w:t xml:space="preserve">; </w:t>
      </w:r>
      <w:hyperlink r:id="rId9101">
        <w:r>
          <w:rPr>
            <w:color w:val="0000EE"/>
            <w:u w:val="single"/>
          </w:rPr>
          <w:t>1 Tessalonicenses 2.9</w:t>
        </w:r>
      </w:hyperlink>
      <w:r>
        <w:t xml:space="preserve">; </w:t>
      </w:r>
      <w:hyperlink r:id="rId9102">
        <w:r>
          <w:rPr>
            <w:color w:val="0000EE"/>
            <w:u w:val="single"/>
          </w:rPr>
          <w:t>2 Tessalonicenses 3.8</w:t>
        </w:r>
      </w:hyperlink>
      <w:r>
        <w:t>).</w:t>
      </w:r>
    </w:p>
    <w:p>
      <w:pPr>
        <w:pStyle w:val="Heading3"/>
      </w:pPr>
      <w:r>
        <w:t>Educação</w:t>
      </w:r>
    </w:p>
    <w:p>
      <w:r/>
      <w:r>
        <w:t>Embora nascido em Tarso, Paulo testemunhou aos judeus em Jerusalém onde havia sido criado e estudado com Gamaliel (</w:t>
      </w:r>
      <w:hyperlink r:id="rId4901">
        <w:r>
          <w:rPr>
            <w:color w:val="0000EE"/>
            <w:u w:val="single"/>
          </w:rPr>
          <w:t>Atos 22.3</w:t>
        </w:r>
      </w:hyperlink>
      <w:r>
        <w:t>). Não fica claro quando Paulo foi trazido pela primeira vez à Jerusalém, mas é provável que em algum momento entre as idades de 13 a 20 anos, ele começou seus estudos rabínicos formais. Seu mestre, Gamaliel, era o neto de Hilel, fundador de uma escola farisaica que ainda estão presentes nos escritos talmúdicos hoje. Este é o mesmo Gamaliel cuja sabedoria persuadiu o Sinédrio a poupar as vidas de Pedro e dos apóstolos (</w:t>
      </w:r>
      <w:hyperlink r:id="rId16417">
        <w:r>
          <w:rPr>
            <w:color w:val="0000EE"/>
            <w:u w:val="single"/>
          </w:rPr>
          <w:t>5.33</w:t>
        </w:r>
      </w:hyperlink>
      <w:r>
        <w:t>–</w:t>
      </w:r>
      <w:hyperlink r:id="rId16417">
        <w:r>
          <w:rPr>
            <w:color w:val="0000EE"/>
            <w:u w:val="single"/>
          </w:rPr>
          <w:t>40</w:t>
        </w:r>
      </w:hyperlink>
      <w:r>
        <w:t>). Certamente, foi enquanto estudava com Gamaliel na escola de Hilel que ele começou a avançar no judaísmo além de muitos judeus de sua própria idade e se tornou extremamente zeloso pelas tradições de seus pais (</w:t>
      </w:r>
      <w:hyperlink r:id="rId9113">
        <w:r>
          <w:rPr>
            <w:color w:val="0000EE"/>
            <w:u w:val="single"/>
          </w:rPr>
          <w:t>Gálatas 1.14</w:t>
        </w:r>
      </w:hyperlink>
      <w:r>
        <w:t xml:space="preserve">). Então, talvez Paulo também tenha começado a experimentar as lutas com a lei que ele descreveria mais tarde em </w:t>
      </w:r>
      <w:hyperlink r:id="rId4418">
        <w:r>
          <w:rPr>
            <w:color w:val="0000EE"/>
            <w:u w:val="single"/>
          </w:rPr>
          <w:t>Romanos 7</w:t>
        </w:r>
      </w:hyperlink>
      <w:r>
        <w:t>.</w:t>
      </w:r>
    </w:p>
    <w:p>
      <w:r/>
      <w:r>
        <w:t>Enquanto Paulo estava estudando a lei judaica em Jerusalém, Jesus estava trabalhando como carpinteiro em Nazaré. Então, Jesus reuniu os discípulos que um dia seriam os colaboradores de Paulo no evangelho. Jesus cumpriu seu ministério e realizou a redenção na cruz (30 d.C.). A ressurreição de Cristo deu à luz a igreja, que foi batizada no Espírito Santo na Festa de Pentecostes em Jerusalém (Atos 2.1–13).</w:t>
      </w:r>
    </w:p>
    <w:p>
      <w:pPr>
        <w:pStyle w:val="Heading3"/>
      </w:pPr>
      <w:r>
        <w:t>Saulo, o perseguidor</w:t>
      </w:r>
    </w:p>
    <w:p>
      <w:r/>
      <w:r>
        <w:t>Pouco depois desses eventos que mudaram o mundo, os membros de certas sinagogas em Jerusalém, incluindo a sinagoga de Cilícia, de onde Paulo era (</w:t>
      </w:r>
      <w:hyperlink r:id="rId743">
        <w:r>
          <w:rPr>
            <w:color w:val="0000EE"/>
            <w:u w:val="single"/>
          </w:rPr>
          <w:t>Atos 6.9</w:t>
        </w:r>
      </w:hyperlink>
      <w:r>
        <w:t xml:space="preserve">), não puderam resistir à sabedoria e ao espírito (verso </w:t>
      </w:r>
      <w:hyperlink r:id="rId16418">
        <w:r>
          <w:rPr>
            <w:color w:val="0000EE"/>
            <w:u w:val="single"/>
          </w:rPr>
          <w:t>10</w:t>
        </w:r>
      </w:hyperlink>
      <w:r>
        <w:t xml:space="preserve">) de um membro da igreja em Jerusalém chamado Estêvão (versos </w:t>
      </w:r>
      <w:hyperlink r:id="rId1992">
        <w:r>
          <w:rPr>
            <w:color w:val="0000EE"/>
            <w:u w:val="single"/>
          </w:rPr>
          <w:t>5, 8</w:t>
        </w:r>
      </w:hyperlink>
      <w:r>
        <w:t xml:space="preserve">). Eles o acusaram de blasfêmia diante do Sinédrio (versos </w:t>
      </w:r>
      <w:hyperlink r:id="rId16419">
        <w:r>
          <w:rPr>
            <w:color w:val="0000EE"/>
            <w:u w:val="single"/>
          </w:rPr>
          <w:t>11</w:t>
        </w:r>
      </w:hyperlink>
      <w:r>
        <w:t>–</w:t>
      </w:r>
      <w:hyperlink r:id="rId16419">
        <w:r>
          <w:rPr>
            <w:color w:val="0000EE"/>
            <w:u w:val="single"/>
          </w:rPr>
          <w:t>15</w:t>
        </w:r>
      </w:hyperlink>
      <w:r>
        <w:t>). Após a eloquente defesa de Estêvão (</w:t>
      </w:r>
      <w:hyperlink r:id="rId8526">
        <w:r>
          <w:rPr>
            <w:color w:val="0000EE"/>
            <w:u w:val="single"/>
          </w:rPr>
          <w:t>7.1</w:t>
        </w:r>
      </w:hyperlink>
      <w:r>
        <w:t>–</w:t>
      </w:r>
      <w:hyperlink r:id="rId8526">
        <w:r>
          <w:rPr>
            <w:color w:val="0000EE"/>
            <w:u w:val="single"/>
          </w:rPr>
          <w:t>53</w:t>
        </w:r>
      </w:hyperlink>
      <w:r>
        <w:t xml:space="preserve">), eles o arrastaram para fora da cidade, onde ele foi apedrejado até a morte. Ele se tornou o primeiro mártir cristão. O registro não revela totalmente o papel de Paulo nesses eventos. Mas, sabemos que ele estava presente e proeminente, porque as testemunhas contra Estêvão, que eram obrigadas a jogar as primeiras pedras na morte, “colocavam suas roupas aos pés de um jovem chamado Saulo [Paulo]” (verso </w:t>
      </w:r>
      <w:hyperlink r:id="rId16420">
        <w:r>
          <w:rPr>
            <w:color w:val="0000EE"/>
            <w:u w:val="single"/>
          </w:rPr>
          <w:t>58</w:t>
        </w:r>
      </w:hyperlink>
      <w:r>
        <w:t>).</w:t>
      </w:r>
    </w:p>
    <w:p>
      <w:r/>
      <w:r>
        <w:t>No julgamento de Estêvão, Paulo ouviu o histórico método de defesa de Estêvão. O próprio Paulo o usou mais tarde em Antioquia da Pisídia (</w:t>
      </w:r>
      <w:hyperlink r:id="rId16421">
        <w:r>
          <w:rPr>
            <w:color w:val="0000EE"/>
            <w:u w:val="single"/>
          </w:rPr>
          <w:t>Atos 13.16</w:t>
        </w:r>
      </w:hyperlink>
      <w:r>
        <w:t>–</w:t>
      </w:r>
      <w:hyperlink r:id="rId16421">
        <w:r>
          <w:rPr>
            <w:color w:val="0000EE"/>
            <w:u w:val="single"/>
          </w:rPr>
          <w:t>41</w:t>
        </w:r>
      </w:hyperlink>
      <w:r>
        <w:t>). Ele testemunhou o homem com o rosto de um anjo (</w:t>
      </w:r>
      <w:hyperlink r:id="rId16422">
        <w:r>
          <w:rPr>
            <w:color w:val="0000EE"/>
            <w:u w:val="single"/>
          </w:rPr>
          <w:t>6.15</w:t>
        </w:r>
      </w:hyperlink>
      <w:r>
        <w:t>), cheio do Espírito Santo, olhando para cima e proclamando: “Olhem! Eu estou vendo o céu aberto e o Filho do Homem em pé, ao lado direito de Deus.” (</w:t>
      </w:r>
      <w:hyperlink r:id="rId9411">
        <w:r>
          <w:rPr>
            <w:color w:val="0000EE"/>
            <w:u w:val="single"/>
          </w:rPr>
          <w:t>7.56</w:t>
        </w:r>
      </w:hyperlink>
      <w:r>
        <w:t>). A morte de Estêvão iniciou os eventos que acabariam na conversão e comissão de Paulo como o apóstolo aos gentios. Mas naquela época Paulo era um líder dos opressores da igreja. Ele proferia ameaças e assassinato contra os discípulos do Senhor (</w:t>
      </w:r>
      <w:hyperlink r:id="rId16423">
        <w:r>
          <w:rPr>
            <w:color w:val="0000EE"/>
            <w:u w:val="single"/>
          </w:rPr>
          <w:t>9.1</w:t>
        </w:r>
      </w:hyperlink>
      <w:r>
        <w:t>). Ele perseguiu a igreja de Deus e tentou destruí-la (</w:t>
      </w:r>
      <w:hyperlink r:id="rId4332">
        <w:r>
          <w:rPr>
            <w:color w:val="0000EE"/>
            <w:u w:val="single"/>
          </w:rPr>
          <w:t>Gálatas 1.13</w:t>
        </w:r>
      </w:hyperlink>
      <w:r>
        <w:t>) aprisionando cristãos, tanto homens quanto mulheres (</w:t>
      </w:r>
      <w:hyperlink r:id="rId15504">
        <w:r>
          <w:rPr>
            <w:color w:val="0000EE"/>
            <w:u w:val="single"/>
          </w:rPr>
          <w:t>Atos 22.4</w:t>
        </w:r>
      </w:hyperlink>
      <w:r>
        <w:t>), em muitas cidades.</w:t>
      </w:r>
    </w:p>
    <w:p>
      <w:pPr>
        <w:pStyle w:val="Heading3"/>
      </w:pPr>
      <w:r>
        <w:t>Conversão e chamado</w:t>
      </w:r>
    </w:p>
    <w:p>
      <w:r/>
      <w:r>
        <w:t>Paulo havia obtido cartas do sumo sacerdote em Jerusalém para as sinagogas em Damasco, autorizando-o a prender os crentes lá e trazê-los para Jerusalém para julgamento (</w:t>
      </w:r>
      <w:hyperlink r:id="rId16424">
        <w:r>
          <w:rPr>
            <w:color w:val="0000EE"/>
            <w:u w:val="single"/>
          </w:rPr>
          <w:t>Atos 9.1</w:t>
        </w:r>
      </w:hyperlink>
      <w:r>
        <w:t>–</w:t>
      </w:r>
      <w:hyperlink r:id="rId16424">
        <w:r>
          <w:rPr>
            <w:color w:val="0000EE"/>
            <w:u w:val="single"/>
          </w:rPr>
          <w:t>2</w:t>
        </w:r>
      </w:hyperlink>
      <w:r>
        <w:t>). Ele viajou para Damasco com este propósito. Então, nos arredores da cidade, ocorreu o evento que iria transformar esse perseguidor zeloso de Jesus Cristo, cumpridor da lei, e destruidor blasfemo da igreja nascente, no principal propagador do evangelho da graça e mestre de obras da igreja (</w:t>
      </w:r>
      <w:hyperlink r:id="rId16425">
        <w:r>
          <w:rPr>
            <w:color w:val="0000EE"/>
            <w:u w:val="single"/>
          </w:rPr>
          <w:t>1 Coríntios 3.10</w:t>
        </w:r>
      </w:hyperlink>
      <w:r>
        <w:t xml:space="preserve">; </w:t>
      </w:r>
      <w:hyperlink r:id="rId16426">
        <w:r>
          <w:rPr>
            <w:color w:val="0000EE"/>
            <w:u w:val="single"/>
          </w:rPr>
          <w:t>1 Timóteo 1.13</w:t>
        </w:r>
      </w:hyperlink>
      <w:r>
        <w:t>). Esta era a ocasião da conversão de Paulo (por volta de 31–33 d.C.). A importância desse evento foi tão revolucionária e duradoura que três relatos detalhados são dados no livro de Atos (</w:t>
      </w:r>
      <w:hyperlink r:id="rId2283">
        <w:r>
          <w:rPr>
            <w:color w:val="0000EE"/>
            <w:u w:val="single"/>
          </w:rPr>
          <w:t>Atos 9.1</w:t>
        </w:r>
      </w:hyperlink>
      <w:r>
        <w:t>–</w:t>
      </w:r>
      <w:hyperlink r:id="rId2283">
        <w:r>
          <w:rPr>
            <w:color w:val="0000EE"/>
            <w:u w:val="single"/>
          </w:rPr>
          <w:t>19</w:t>
        </w:r>
      </w:hyperlink>
      <w:r>
        <w:t xml:space="preserve">; </w:t>
      </w:r>
      <w:hyperlink r:id="rId16427">
        <w:r>
          <w:rPr>
            <w:color w:val="0000EE"/>
            <w:u w:val="single"/>
          </w:rPr>
          <w:t>22.1</w:t>
        </w:r>
      </w:hyperlink>
      <w:r>
        <w:t>–</w:t>
      </w:r>
      <w:hyperlink r:id="rId16427">
        <w:r>
          <w:rPr>
            <w:color w:val="0000EE"/>
            <w:u w:val="single"/>
          </w:rPr>
          <w:t>21</w:t>
        </w:r>
      </w:hyperlink>
      <w:r>
        <w:t xml:space="preserve">; </w:t>
      </w:r>
      <w:hyperlink r:id="rId16428">
        <w:r>
          <w:rPr>
            <w:color w:val="0000EE"/>
            <w:u w:val="single"/>
          </w:rPr>
          <w:t>26.1</w:t>
        </w:r>
      </w:hyperlink>
      <w:r>
        <w:t>–</w:t>
      </w:r>
      <w:hyperlink r:id="rId16428">
        <w:r>
          <w:rPr>
            <w:color w:val="0000EE"/>
            <w:u w:val="single"/>
          </w:rPr>
          <w:t>23</w:t>
        </w:r>
      </w:hyperlink>
      <w:r>
        <w:t>). Muitas referências também são dadas nos próprios escritos de Paulo (</w:t>
      </w:r>
      <w:hyperlink r:id="rId2278">
        <w:r>
          <w:rPr>
            <w:color w:val="0000EE"/>
            <w:u w:val="single"/>
          </w:rPr>
          <w:t>1 Coríntios 9.1</w:t>
        </w:r>
      </w:hyperlink>
      <w:r>
        <w:t xml:space="preserve">; </w:t>
      </w:r>
      <w:hyperlink r:id="rId153">
        <w:r>
          <w:rPr>
            <w:color w:val="0000EE"/>
            <w:u w:val="single"/>
          </w:rPr>
          <w:t>15.8</w:t>
        </w:r>
      </w:hyperlink>
      <w:r>
        <w:t xml:space="preserve">; </w:t>
      </w:r>
      <w:hyperlink r:id="rId2292">
        <w:r>
          <w:rPr>
            <w:color w:val="0000EE"/>
            <w:u w:val="single"/>
          </w:rPr>
          <w:t>Gálatas 1.15</w:t>
        </w:r>
      </w:hyperlink>
      <w:r>
        <w:t>–</w:t>
      </w:r>
      <w:hyperlink r:id="rId2292">
        <w:r>
          <w:rPr>
            <w:color w:val="0000EE"/>
            <w:u w:val="single"/>
          </w:rPr>
          <w:t>16</w:t>
        </w:r>
      </w:hyperlink>
      <w:r>
        <w:t xml:space="preserve">; </w:t>
      </w:r>
      <w:hyperlink r:id="rId16429">
        <w:r>
          <w:rPr>
            <w:color w:val="0000EE"/>
            <w:u w:val="single"/>
          </w:rPr>
          <w:t>Efésios 3.3</w:t>
        </w:r>
      </w:hyperlink>
      <w:r>
        <w:t xml:space="preserve">; </w:t>
      </w:r>
      <w:hyperlink r:id="rId16430">
        <w:r>
          <w:rPr>
            <w:color w:val="0000EE"/>
            <w:u w:val="single"/>
          </w:rPr>
          <w:t>Filipenses 3.12</w:t>
        </w:r>
      </w:hyperlink>
      <w:r>
        <w:t>).</w:t>
      </w:r>
    </w:p>
    <w:p>
      <w:r/>
      <w:r>
        <w:t>Naquele tempo, uma luz do céu, mais brilhante do que o sol do meio-dia, brilhou ao redor de Paulo e seus companheiros de viagem, e eles caíram no chão (</w:t>
      </w:r>
      <w:hyperlink r:id="rId16431">
        <w:r>
          <w:rPr>
            <w:color w:val="0000EE"/>
            <w:u w:val="single"/>
          </w:rPr>
          <w:t>Atos 26.13</w:t>
        </w:r>
      </w:hyperlink>
      <w:r>
        <w:t>–</w:t>
      </w:r>
      <w:hyperlink r:id="rId16431">
        <w:r>
          <w:rPr>
            <w:color w:val="0000EE"/>
            <w:u w:val="single"/>
          </w:rPr>
          <w:t>14</w:t>
        </w:r>
      </w:hyperlink>
      <w:r>
        <w:t xml:space="preserve">). Apenas Paulo, no entanto, ouviu a voz de Jesus instruí-lo em sua comissão como ministro e testemunha aos gentios (versos </w:t>
      </w:r>
      <w:hyperlink r:id="rId16432">
        <w:r>
          <w:rPr>
            <w:color w:val="0000EE"/>
            <w:u w:val="single"/>
          </w:rPr>
          <w:t>14</w:t>
        </w:r>
      </w:hyperlink>
      <w:r>
        <w:t>–</w:t>
      </w:r>
      <w:hyperlink r:id="rId16432">
        <w:r>
          <w:rPr>
            <w:color w:val="0000EE"/>
            <w:u w:val="single"/>
          </w:rPr>
          <w:t>18</w:t>
        </w:r>
      </w:hyperlink>
      <w:r>
        <w:t>). Temporariamente cego, Paulo foi levado para Damasco (</w:t>
      </w:r>
      <w:hyperlink r:id="rId16433">
        <w:r>
          <w:rPr>
            <w:color w:val="0000EE"/>
            <w:u w:val="single"/>
          </w:rPr>
          <w:t>9.8</w:t>
        </w:r>
      </w:hyperlink>
      <w:r>
        <w:t xml:space="preserve">). Lá, o discípulo Ananias e a comunidade cristã perdoaram Paulo. Eles o batizaram e o ajudaram durante o evento confuso de sua conversão (versos </w:t>
      </w:r>
      <w:hyperlink r:id="rId16434">
        <w:r>
          <w:rPr>
            <w:color w:val="0000EE"/>
            <w:u w:val="single"/>
          </w:rPr>
          <w:t>10</w:t>
        </w:r>
      </w:hyperlink>
      <w:r>
        <w:t>–</w:t>
      </w:r>
      <w:hyperlink r:id="rId16434">
        <w:r>
          <w:rPr>
            <w:color w:val="0000EE"/>
            <w:u w:val="single"/>
          </w:rPr>
          <w:t>22</w:t>
        </w:r>
      </w:hyperlink>
      <w:r>
        <w:t xml:space="preserve">). Depois de pouco tempo com a igreja lá, Paulo foi ameaçado de morte pelos judeus a quem ele pregava Jesus (versos </w:t>
      </w:r>
      <w:hyperlink r:id="rId16435">
        <w:r>
          <w:rPr>
            <w:color w:val="0000EE"/>
            <w:u w:val="single"/>
          </w:rPr>
          <w:t>20</w:t>
        </w:r>
      </w:hyperlink>
      <w:r>
        <w:t>-</w:t>
      </w:r>
      <w:hyperlink r:id="rId16435">
        <w:r>
          <w:rPr>
            <w:color w:val="0000EE"/>
            <w:u w:val="single"/>
          </w:rPr>
          <w:t>22</w:t>
        </w:r>
      </w:hyperlink>
      <w:r>
        <w:t xml:space="preserve">), mas ele era protegido pelos crentes e engenhosamente libertado de seus perseguidores (versos </w:t>
      </w:r>
      <w:hyperlink r:id="rId6513">
        <w:r>
          <w:rPr>
            <w:color w:val="0000EE"/>
            <w:u w:val="single"/>
          </w:rPr>
          <w:t>23</w:t>
        </w:r>
      </w:hyperlink>
      <w:r>
        <w:t>-</w:t>
      </w:r>
      <w:hyperlink r:id="rId6513">
        <w:r>
          <w:rPr>
            <w:color w:val="0000EE"/>
            <w:u w:val="single"/>
          </w:rPr>
          <w:t>25</w:t>
        </w:r>
      </w:hyperlink>
      <w:r>
        <w:t>).</w:t>
      </w:r>
    </w:p>
    <w:p>
      <w:pPr>
        <w:pStyle w:val="Heading3"/>
      </w:pPr>
      <w:r>
        <w:t>Preparação para o ministério</w:t>
      </w:r>
    </w:p>
    <w:p>
      <w:r/>
      <w:r>
        <w:t>Então começou um período de preparação, que durou cerca de 13 anos. Durante este tempo, Paulo esteve primeiro no deserto da Arábia por três anos. Aqui estava sua oportunidade de orar e refletir sobre a defesa de Estêvão ao Sinédrio, o significado monumental de sua conversão, a visão que ele recebeu de Jesus Cristo e o significado de tudo isso à luz da teologia judaica. Depois disso, Paulo voltou para Damasco e depois visitou Pedro em Jerusalém por 15 dias (</w:t>
      </w:r>
      <w:hyperlink r:id="rId16436">
        <w:r>
          <w:rPr>
            <w:color w:val="0000EE"/>
            <w:u w:val="single"/>
          </w:rPr>
          <w:t>Gálatas 1.17</w:t>
        </w:r>
      </w:hyperlink>
      <w:r>
        <w:t>–</w:t>
      </w:r>
      <w:hyperlink r:id="rId16436">
        <w:r>
          <w:rPr>
            <w:color w:val="0000EE"/>
            <w:u w:val="single"/>
          </w:rPr>
          <w:t>18</w:t>
        </w:r>
      </w:hyperlink>
      <w:r>
        <w:t>).</w:t>
      </w:r>
    </w:p>
    <w:p>
      <w:r/>
      <w:r>
        <w:t>No começo, os discípulos em Jerusalém estavam com medo dele, porque não acreditavam que ele era um discípulo de Jesus (</w:t>
      </w:r>
      <w:hyperlink r:id="rId4349">
        <w:r>
          <w:rPr>
            <w:color w:val="0000EE"/>
            <w:u w:val="single"/>
          </w:rPr>
          <w:t>Atos 9.26</w:t>
        </w:r>
      </w:hyperlink>
      <w:r>
        <w:t xml:space="preserve">). Mas ele foi defendido por Barnabé e, portanto, aceito pelos crentes em Jerusalém (versos </w:t>
      </w:r>
      <w:hyperlink r:id="rId16437">
        <w:r>
          <w:rPr>
            <w:color w:val="0000EE"/>
            <w:u w:val="single"/>
          </w:rPr>
          <w:t>27</w:t>
        </w:r>
      </w:hyperlink>
      <w:r>
        <w:t>–</w:t>
      </w:r>
      <w:hyperlink r:id="rId16437">
        <w:r>
          <w:rPr>
            <w:color w:val="0000EE"/>
            <w:u w:val="single"/>
          </w:rPr>
          <w:t>28</w:t>
        </w:r>
      </w:hyperlink>
      <w:r>
        <w:t>). Enquanto estava lá, Paulo pode ter ouvido o evangelho oralmente, um resumo das palavras e atos de Jesus, transmitido a todos os convertidos. Isso incluiria a instituição da Ceia do Senhor (</w:t>
      </w:r>
      <w:hyperlink r:id="rId16438">
        <w:r>
          <w:rPr>
            <w:color w:val="0000EE"/>
            <w:u w:val="single"/>
          </w:rPr>
          <w:t>1 Coríntios 11.23</w:t>
        </w:r>
      </w:hyperlink>
      <w:r>
        <w:t>–</w:t>
      </w:r>
      <w:hyperlink r:id="rId16438">
        <w:r>
          <w:rPr>
            <w:color w:val="0000EE"/>
            <w:u w:val="single"/>
          </w:rPr>
          <w:t>25</w:t>
        </w:r>
      </w:hyperlink>
      <w:r>
        <w:t>), palavras específicas do Senhor (</w:t>
      </w:r>
      <w:hyperlink r:id="rId16439">
        <w:r>
          <w:rPr>
            <w:color w:val="0000EE"/>
            <w:u w:val="single"/>
          </w:rPr>
          <w:t>Atos 20.35</w:t>
        </w:r>
      </w:hyperlink>
      <w:r>
        <w:t xml:space="preserve">; </w:t>
      </w:r>
      <w:hyperlink r:id="rId16440">
        <w:r>
          <w:rPr>
            <w:color w:val="0000EE"/>
            <w:u w:val="single"/>
          </w:rPr>
          <w:t>1 Coríntios 7.10</w:t>
        </w:r>
      </w:hyperlink>
      <w:r>
        <w:t xml:space="preserve">; </w:t>
      </w:r>
      <w:hyperlink r:id="rId16441">
        <w:r>
          <w:rPr>
            <w:color w:val="0000EE"/>
            <w:u w:val="single"/>
          </w:rPr>
          <w:t>9.14</w:t>
        </w:r>
      </w:hyperlink>
      <w:r>
        <w:t>), as aparições do Cristo ressuscitado (</w:t>
      </w:r>
      <w:hyperlink r:id="rId2282">
        <w:r>
          <w:rPr>
            <w:color w:val="0000EE"/>
            <w:u w:val="single"/>
          </w:rPr>
          <w:t>1 Coríntios 15.3</w:t>
        </w:r>
      </w:hyperlink>
      <w:r>
        <w:t>–</w:t>
      </w:r>
      <w:hyperlink r:id="rId2282">
        <w:r>
          <w:rPr>
            <w:color w:val="0000EE"/>
            <w:u w:val="single"/>
          </w:rPr>
          <w:t>8</w:t>
        </w:r>
      </w:hyperlink>
      <w:r>
        <w:t>) e o espírito e caráter de Jesus (</w:t>
      </w:r>
      <w:hyperlink r:id="rId5916">
        <w:r>
          <w:rPr>
            <w:color w:val="0000EE"/>
            <w:u w:val="single"/>
          </w:rPr>
          <w:t>2 Coríntios 10.1</w:t>
        </w:r>
      </w:hyperlink>
      <w:r>
        <w:t xml:space="preserve">; </w:t>
      </w:r>
      <w:hyperlink r:id="rId10803">
        <w:r>
          <w:rPr>
            <w:color w:val="0000EE"/>
            <w:u w:val="single"/>
          </w:rPr>
          <w:t>Filipenses 2.5</w:t>
        </w:r>
      </w:hyperlink>
      <w:r>
        <w:t>–</w:t>
      </w:r>
      <w:hyperlink r:id="rId10803">
        <w:r>
          <w:rPr>
            <w:color w:val="0000EE"/>
            <w:u w:val="single"/>
          </w:rPr>
          <w:t>8</w:t>
        </w:r>
      </w:hyperlink>
      <w:r>
        <w:t>). Paulo também pregava em Jerusalém, talvez nas mesmas sinagogas em que ele havia ouvido Estêvão. No entanto, quando sua vida foi novamente ameaçada pelos judeus, os crentes o enviaram para Tarso (</w:t>
      </w:r>
      <w:hyperlink r:id="rId16442">
        <w:r>
          <w:rPr>
            <w:color w:val="0000EE"/>
            <w:u w:val="single"/>
          </w:rPr>
          <w:t>Atos 9.29</w:t>
        </w:r>
      </w:hyperlink>
      <w:r>
        <w:t>–</w:t>
      </w:r>
      <w:hyperlink r:id="rId16442">
        <w:r>
          <w:rPr>
            <w:color w:val="0000EE"/>
            <w:u w:val="single"/>
          </w:rPr>
          <w:t>30</w:t>
        </w:r>
      </w:hyperlink>
      <w:r>
        <w:t xml:space="preserve">; </w:t>
      </w:r>
      <w:hyperlink r:id="rId4335">
        <w:r>
          <w:rPr>
            <w:color w:val="0000EE"/>
            <w:u w:val="single"/>
          </w:rPr>
          <w:t>Gálatas 1.21</w:t>
        </w:r>
      </w:hyperlink>
      <w:r>
        <w:t>).</w:t>
      </w:r>
    </w:p>
    <w:p>
      <w:r/>
      <w:r>
        <w:t>O fim da preparação de Paulo veio quando Barnabé foi para Tarso para buscá-lo e trazê-lo para Antioquia. Nessa época, Paulo havia vivido por 10 anos na Cilícia. Desde sua conversão, antes de ser enviado para Tarso, ele havia proclamado Jesus (</w:t>
      </w:r>
      <w:hyperlink r:id="rId9395">
        <w:r>
          <w:rPr>
            <w:color w:val="0000EE"/>
            <w:u w:val="single"/>
          </w:rPr>
          <w:t>Atos 9.20</w:t>
        </w:r>
      </w:hyperlink>
      <w:r>
        <w:t xml:space="preserve">), falando ousadamente em nome do Senhor (verso </w:t>
      </w:r>
      <w:hyperlink r:id="rId11945">
        <w:r>
          <w:rPr>
            <w:color w:val="0000EE"/>
            <w:u w:val="single"/>
          </w:rPr>
          <w:t>27</w:t>
        </w:r>
      </w:hyperlink>
      <w:r>
        <w:t xml:space="preserve">). Não há razão para pensar que ele fez o contrário enquanto vivia entre os gentios na Cilícia. Na verdade, seu trabalho pode ter sido tão eficaz que ele começou a atrair a atenção em Antioquia. Durante esses anos, Paulo provavelmente passou por muitos dos sofrimentos mencionados em </w:t>
      </w:r>
      <w:hyperlink r:id="rId16443">
        <w:r>
          <w:rPr>
            <w:color w:val="0000EE"/>
            <w:u w:val="single"/>
          </w:rPr>
          <w:t>2 Coríntios 11.24</w:t>
        </w:r>
      </w:hyperlink>
      <w:r>
        <w:t>–</w:t>
      </w:r>
      <w:hyperlink r:id="rId16443">
        <w:r>
          <w:rPr>
            <w:color w:val="0000EE"/>
            <w:u w:val="single"/>
          </w:rPr>
          <w:t>26</w:t>
        </w:r>
      </w:hyperlink>
      <w:r>
        <w:t xml:space="preserve">. Muitos estudiosos pensam que a experiência extática mencionada em </w:t>
      </w:r>
      <w:hyperlink r:id="rId16444">
        <w:r>
          <w:rPr>
            <w:color w:val="0000EE"/>
            <w:u w:val="single"/>
          </w:rPr>
          <w:t>2 Coríntios 12.1</w:t>
        </w:r>
      </w:hyperlink>
      <w:r>
        <w:t>–</w:t>
      </w:r>
      <w:hyperlink r:id="rId16444">
        <w:r>
          <w:rPr>
            <w:color w:val="0000EE"/>
            <w:u w:val="single"/>
          </w:rPr>
          <w:t>9</w:t>
        </w:r>
      </w:hyperlink>
      <w:r>
        <w:t>, acompanhada do “espinho na carne”, também ocorreu antes de ele vir para Antioquia.</w:t>
      </w:r>
    </w:p>
    <w:p>
      <w:pPr>
        <w:pStyle w:val="Heading3"/>
      </w:pPr>
      <w:r>
        <w:t>Enviado de Antioquia</w:t>
      </w:r>
    </w:p>
    <w:p>
      <w:r/>
      <w:r>
        <w:t>A igreja em Antioquia teve suas origens na perseguição fomentada por Paulo após a morte de Estêvão. Até que eles chegassem a Antioquia, os crentes espalhados só haviam pregado a palavra aos judeus (</w:t>
      </w:r>
      <w:hyperlink r:id="rId1993">
        <w:r>
          <w:rPr>
            <w:color w:val="0000EE"/>
            <w:u w:val="single"/>
          </w:rPr>
          <w:t>Atos 11.19</w:t>
        </w:r>
      </w:hyperlink>
      <w:r>
        <w:t xml:space="preserve">). Foi aqui que os gentios ouviram pela primeira vez as boas novas (verso </w:t>
      </w:r>
      <w:hyperlink r:id="rId4993">
        <w:r>
          <w:rPr>
            <w:color w:val="0000EE"/>
            <w:u w:val="single"/>
          </w:rPr>
          <w:t>20</w:t>
        </w:r>
      </w:hyperlink>
      <w:r>
        <w:t xml:space="preserve">), e muitos se tornaram crentes (verso </w:t>
      </w:r>
      <w:hyperlink r:id="rId5484">
        <w:r>
          <w:rPr>
            <w:color w:val="0000EE"/>
            <w:u w:val="single"/>
          </w:rPr>
          <w:t>21</w:t>
        </w:r>
      </w:hyperlink>
      <w:r>
        <w:t>). É apropriado que Paulo, o apóstolo dos gentios (</w:t>
      </w:r>
      <w:hyperlink r:id="rId16445">
        <w:r>
          <w:rPr>
            <w:color w:val="0000EE"/>
            <w:u w:val="single"/>
          </w:rPr>
          <w:t>Atos 22.21</w:t>
        </w:r>
      </w:hyperlink>
      <w:r>
        <w:t xml:space="preserve">; </w:t>
      </w:r>
      <w:hyperlink r:id="rId16446">
        <w:r>
          <w:rPr>
            <w:color w:val="0000EE"/>
            <w:u w:val="single"/>
          </w:rPr>
          <w:t>Romanos 11.13</w:t>
        </w:r>
      </w:hyperlink>
      <w:r>
        <w:t>), que ainda era desconhecido para as igrejas da Judeia (</w:t>
      </w:r>
      <w:hyperlink r:id="rId4338">
        <w:r>
          <w:rPr>
            <w:color w:val="0000EE"/>
            <w:u w:val="single"/>
          </w:rPr>
          <w:t>Gálatas 1.22</w:t>
        </w:r>
      </w:hyperlink>
      <w:r>
        <w:t>), aparecesse em Antioquia para começar formalmente o ministério para o qual ele foi chamado (</w:t>
      </w:r>
      <w:hyperlink r:id="rId16447">
        <w:r>
          <w:rPr>
            <w:color w:val="0000EE"/>
            <w:u w:val="single"/>
          </w:rPr>
          <w:t>Atos 26.17</w:t>
        </w:r>
      </w:hyperlink>
      <w:r>
        <w:t>–</w:t>
      </w:r>
      <w:hyperlink r:id="rId16447">
        <w:r>
          <w:rPr>
            <w:color w:val="0000EE"/>
            <w:u w:val="single"/>
          </w:rPr>
          <w:t>18</w:t>
        </w:r>
      </w:hyperlink>
      <w:r>
        <w:t>).</w:t>
      </w:r>
    </w:p>
    <w:p>
      <w:r/>
      <w:r>
        <w:t>Barnabé e Paulo ficaram com a igreja em Antioquia por um ano. Seu trabalho lá era tão abençoado que um novo nome, cristão, surgiu para distinguir os crentes em Antioquia dos gentios e judeus (</w:t>
      </w:r>
      <w:hyperlink r:id="rId1995">
        <w:r>
          <w:rPr>
            <w:color w:val="0000EE"/>
            <w:u w:val="single"/>
          </w:rPr>
          <w:t>Atos 11.26</w:t>
        </w:r>
      </w:hyperlink>
      <w:r>
        <w:t xml:space="preserve">). Ao ouvirem falar de uma fome na Judeia, os discípulos em Antioquia resolveram enviar ajuda aos crentes naquela região e fizeram isso por meio de Barnabé e Paulo (verso </w:t>
      </w:r>
      <w:hyperlink r:id="rId1397">
        <w:r>
          <w:rPr>
            <w:color w:val="0000EE"/>
            <w:u w:val="single"/>
          </w:rPr>
          <w:t>30</w:t>
        </w:r>
      </w:hyperlink>
      <w:r>
        <w:t>). Tal presente exibia às igrejas judaicas a potência do evangelho entre os gentios. Tendo concluído sua missão, Barnabé e Paulo voltaram para Antioquia com João Marcos (</w:t>
      </w:r>
      <w:hyperlink r:id="rId2858">
        <w:r>
          <w:rPr>
            <w:color w:val="0000EE"/>
            <w:u w:val="single"/>
          </w:rPr>
          <w:t>12.25</w:t>
        </w:r>
      </w:hyperlink>
      <w:r>
        <w:t>), o primo de Barnabé (</w:t>
      </w:r>
      <w:hyperlink r:id="rId3140">
        <w:r>
          <w:rPr>
            <w:color w:val="0000EE"/>
            <w:u w:val="single"/>
          </w:rPr>
          <w:t>Colossenses 4.10</w:t>
        </w:r>
      </w:hyperlink>
      <w:r>
        <w:t>).</w:t>
      </w:r>
    </w:p>
    <w:p>
      <w:r/>
      <w:r>
        <w:t>Desde o Dia de Pentecostes, a obra no evangelho havia sido casual e incidental. Os contatos eram feitos nas casas, no mercado, nas ruas, sinagogas, rodovias e outras coisas semelhantes. (</w:t>
      </w:r>
      <w:hyperlink r:id="rId4954">
        <w:r>
          <w:rPr>
            <w:color w:val="0000EE"/>
            <w:u w:val="single"/>
          </w:rPr>
          <w:t>Atos 3.1</w:t>
        </w:r>
      </w:hyperlink>
      <w:r>
        <w:t xml:space="preserve">; </w:t>
      </w:r>
      <w:hyperlink r:id="rId973">
        <w:r>
          <w:rPr>
            <w:color w:val="0000EE"/>
            <w:u w:val="single"/>
          </w:rPr>
          <w:t>5.12, 42</w:t>
        </w:r>
      </w:hyperlink>
      <w:r>
        <w:t xml:space="preserve">; </w:t>
      </w:r>
      <w:hyperlink r:id="rId16448">
        <w:r>
          <w:rPr>
            <w:color w:val="0000EE"/>
            <w:u w:val="single"/>
          </w:rPr>
          <w:t>8.26</w:t>
        </w:r>
      </w:hyperlink>
      <w:r>
        <w:t>–</w:t>
      </w:r>
      <w:hyperlink r:id="rId16448">
        <w:r>
          <w:rPr>
            <w:color w:val="0000EE"/>
            <w:u w:val="single"/>
          </w:rPr>
          <w:t>29</w:t>
        </w:r>
      </w:hyperlink>
      <w:r>
        <w:t xml:space="preserve">; </w:t>
      </w:r>
      <w:hyperlink r:id="rId16449">
        <w:r>
          <w:rPr>
            <w:color w:val="0000EE"/>
            <w:u w:val="single"/>
          </w:rPr>
          <w:t>10.22</w:t>
        </w:r>
      </w:hyperlink>
      <w:r>
        <w:t>). Mas em Antioquia, o Espírito Santo iniciou uma atuação determinada para evangelizar uma seção do Império Romano (</w:t>
      </w:r>
      <w:hyperlink r:id="rId1417">
        <w:r>
          <w:rPr>
            <w:color w:val="0000EE"/>
            <w:u w:val="single"/>
          </w:rPr>
          <w:t>13.1</w:t>
        </w:r>
      </w:hyperlink>
      <w:r>
        <w:t>–</w:t>
      </w:r>
      <w:hyperlink r:id="rId1417">
        <w:r>
          <w:rPr>
            <w:color w:val="0000EE"/>
            <w:u w:val="single"/>
          </w:rPr>
          <w:t>3</w:t>
        </w:r>
      </w:hyperlink>
      <w:r>
        <w:t xml:space="preserve">). Por meio das instruções do Espírito Santo, a igreja separou Barnabé e Paulo para esta obra. Com as orações e encorajamento desta igreja, e com João Marcos como seu assistente, Barnabé e Paulo, enviados pelo Espírito Santo, navegaram para Chipre (verso </w:t>
      </w:r>
      <w:hyperlink r:id="rId16450">
        <w:r>
          <w:rPr>
            <w:color w:val="0000EE"/>
            <w:u w:val="single"/>
          </w:rPr>
          <w:t>4</w:t>
        </w:r>
      </w:hyperlink>
      <w:r>
        <w:t>).</w:t>
      </w:r>
    </w:p>
    <w:p>
      <w:pPr>
        <w:pStyle w:val="Heading3"/>
      </w:pPr>
      <w:r>
        <w:t>Viajando com Barnabé</w:t>
      </w:r>
    </w:p>
    <w:p>
      <w:r/>
      <w:r>
        <w:t>Chegando a Salamina, eles pregaram nas sinagogas enquanto percorriam toda a extensão da ilha até Pafos (</w:t>
      </w:r>
      <w:hyperlink r:id="rId16451">
        <w:r>
          <w:rPr>
            <w:color w:val="0000EE"/>
            <w:u w:val="single"/>
          </w:rPr>
          <w:t>Atos 13.5</w:t>
        </w:r>
      </w:hyperlink>
      <w:r>
        <w:t>–</w:t>
      </w:r>
      <w:hyperlink r:id="rId16451">
        <w:r>
          <w:rPr>
            <w:color w:val="0000EE"/>
            <w:u w:val="single"/>
          </w:rPr>
          <w:t>6</w:t>
        </w:r>
      </w:hyperlink>
      <w:r>
        <w:t xml:space="preserve">). Lá, o procônsul romano, Sérgio Paulo, queria ouvir a palavra de Deus (verso </w:t>
      </w:r>
      <w:hyperlink r:id="rId16452">
        <w:r>
          <w:rPr>
            <w:color w:val="0000EE"/>
            <w:u w:val="single"/>
          </w:rPr>
          <w:t>7</w:t>
        </w:r>
      </w:hyperlink>
      <w:r>
        <w:t xml:space="preserve">). Um mago chamado Elimas Bar-Jesus tentou impedir que o procônsul acreditasse em Jesus, mas foi atingido com cegueira temporária pelo comando de Paulo (versos </w:t>
      </w:r>
      <w:hyperlink r:id="rId16453">
        <w:r>
          <w:rPr>
            <w:color w:val="0000EE"/>
            <w:u w:val="single"/>
          </w:rPr>
          <w:t>8</w:t>
        </w:r>
      </w:hyperlink>
      <w:r>
        <w:t>–</w:t>
      </w:r>
      <w:hyperlink r:id="rId16453">
        <w:r>
          <w:rPr>
            <w:color w:val="0000EE"/>
            <w:u w:val="single"/>
          </w:rPr>
          <w:t>11</w:t>
        </w:r>
      </w:hyperlink>
      <w:r>
        <w:t>). Esta foi a primeira manifestação em Paulo dos sinais de um apóstolo (</w:t>
      </w:r>
      <w:hyperlink r:id="rId14457">
        <w:r>
          <w:rPr>
            <w:color w:val="0000EE"/>
            <w:u w:val="single"/>
          </w:rPr>
          <w:t>2 Coríntios 12.12</w:t>
        </w:r>
      </w:hyperlink>
      <w:r>
        <w:t>). A partir de então, o nome Paulo, não Saulo, é usado no registro de Lucas em Atos dos Apóstolos (</w:t>
      </w:r>
      <w:hyperlink r:id="rId2853">
        <w:r>
          <w:rPr>
            <w:color w:val="0000EE"/>
            <w:u w:val="single"/>
          </w:rPr>
          <w:t>Atos 13.9</w:t>
        </w:r>
      </w:hyperlink>
      <w:r>
        <w:t xml:space="preserve">), e Paulo substituiu Barnabé como o líder do grupo. Então “Paulo e seus companheiros” partiram de Pafos e chegaram a Perge da Panfília (verso </w:t>
      </w:r>
      <w:hyperlink r:id="rId2200">
        <w:r>
          <w:rPr>
            <w:color w:val="0000EE"/>
            <w:u w:val="single"/>
          </w:rPr>
          <w:t>13</w:t>
        </w:r>
      </w:hyperlink>
      <w:r>
        <w:t xml:space="preserve">). João Marcos os desertou em Perge e voltou para sua casa em Jerusalém (verso </w:t>
      </w:r>
      <w:hyperlink r:id="rId2200">
        <w:r>
          <w:rPr>
            <w:color w:val="0000EE"/>
            <w:u w:val="single"/>
          </w:rPr>
          <w:t>13</w:t>
        </w:r>
      </w:hyperlink>
      <w:r>
        <w:t>). Isso causou discórdia (</w:t>
      </w:r>
      <w:hyperlink r:id="rId4835">
        <w:r>
          <w:rPr>
            <w:color w:val="0000EE"/>
            <w:u w:val="single"/>
          </w:rPr>
          <w:t>15.39</w:t>
        </w:r>
      </w:hyperlink>
      <w:r>
        <w:t>), mas Paulo e Marcos foram mais tarde reconciliados (</w:t>
      </w:r>
      <w:hyperlink r:id="rId3140">
        <w:r>
          <w:rPr>
            <w:color w:val="0000EE"/>
            <w:u w:val="single"/>
          </w:rPr>
          <w:t>Colossenses 4.10</w:t>
        </w:r>
      </w:hyperlink>
      <w:r>
        <w:t xml:space="preserve">; </w:t>
      </w:r>
      <w:hyperlink r:id="rId2830">
        <w:r>
          <w:rPr>
            <w:color w:val="0000EE"/>
            <w:u w:val="single"/>
          </w:rPr>
          <w:t>2 Timóteo 4.11</w:t>
        </w:r>
      </w:hyperlink>
      <w:r>
        <w:t>).</w:t>
      </w:r>
    </w:p>
    <w:p>
      <w:r/>
      <w:r>
        <w:t>As viagens de Paulo com o evangelho agora continuavam pela província romana da Ásia, especificamente na porção Sul da Galácia, as áreas da Panfília, Pisídia e Licaônia. A área costeira onde o grupo desembarcou é uma região quente afetada pela malária. Pensa-se que Paulo contraiu malária lá e viajou pelo interior atravessando as montanhas até as planícies elevadas com 1.219,2 metros de altitude. Uma jornada desse tipo estaria cheia de rios e bandidos perigosos (</w:t>
      </w:r>
      <w:hyperlink r:id="rId16454">
        <w:r>
          <w:rPr>
            <w:color w:val="0000EE"/>
            <w:u w:val="single"/>
          </w:rPr>
          <w:t>2 Coríntios 11.26</w:t>
        </w:r>
      </w:hyperlink>
      <w:r>
        <w:t>), mas Paulo era bem tratado pelos gálatas habitantes das montanhas quando chegou (</w:t>
      </w:r>
      <w:hyperlink r:id="rId16455">
        <w:r>
          <w:rPr>
            <w:color w:val="0000EE"/>
            <w:u w:val="single"/>
          </w:rPr>
          <w:t>Gálatas 4.13</w:t>
        </w:r>
      </w:hyperlink>
      <w:r>
        <w:t>–</w:t>
      </w:r>
      <w:hyperlink r:id="rId16455">
        <w:r>
          <w:rPr>
            <w:color w:val="0000EE"/>
            <w:u w:val="single"/>
          </w:rPr>
          <w:t>15</w:t>
        </w:r>
      </w:hyperlink>
      <w:r>
        <w:t>). Ele foi recompensado com uma recepção calorosa à sua mensagem (</w:t>
      </w:r>
      <w:hyperlink r:id="rId16456">
        <w:r>
          <w:rPr>
            <w:color w:val="0000EE"/>
            <w:u w:val="single"/>
          </w:rPr>
          <w:t>Atos 13.48</w:t>
        </w:r>
      </w:hyperlink>
      <w:r>
        <w:t>–</w:t>
      </w:r>
      <w:hyperlink r:id="rId16456">
        <w:r>
          <w:rPr>
            <w:color w:val="0000EE"/>
            <w:u w:val="single"/>
          </w:rPr>
          <w:t>49</w:t>
        </w:r>
      </w:hyperlink>
      <w:r>
        <w:t>).</w:t>
      </w:r>
    </w:p>
    <w:p>
      <w:r/>
      <w:r>
        <w:t>Pediram a Paulo e Barnabé que falassem na sinagoga de Antioquia da Pisídia (</w:t>
      </w:r>
      <w:hyperlink r:id="rId4810">
        <w:r>
          <w:rPr>
            <w:color w:val="0000EE"/>
            <w:u w:val="single"/>
          </w:rPr>
          <w:t>Atos 13.15</w:t>
        </w:r>
      </w:hyperlink>
      <w:r>
        <w:t xml:space="preserve">), e ele proferiu um sermão cheio das características do evangelho que ele mais tarde registraria em suas cartas às igrejas (versos </w:t>
      </w:r>
      <w:hyperlink r:id="rId16421">
        <w:r>
          <w:rPr>
            <w:color w:val="0000EE"/>
            <w:u w:val="single"/>
          </w:rPr>
          <w:t>16</w:t>
        </w:r>
      </w:hyperlink>
      <w:r>
        <w:t>–</w:t>
      </w:r>
      <w:hyperlink r:id="rId16421">
        <w:r>
          <w:rPr>
            <w:color w:val="0000EE"/>
            <w:u w:val="single"/>
          </w:rPr>
          <w:t>41</w:t>
        </w:r>
      </w:hyperlink>
      <w:r>
        <w:t xml:space="preserve">). Ele foi convidado para falar na semana seguinte (verso </w:t>
      </w:r>
      <w:hyperlink r:id="rId1986">
        <w:r>
          <w:rPr>
            <w:color w:val="0000EE"/>
            <w:u w:val="single"/>
          </w:rPr>
          <w:t>42</w:t>
        </w:r>
      </w:hyperlink>
      <w:r>
        <w:t xml:space="preserve">). Quase toda a cidade se reuniu para ouvir a palavra de Deus (verso </w:t>
      </w:r>
      <w:hyperlink r:id="rId16457">
        <w:r>
          <w:rPr>
            <w:color w:val="0000EE"/>
            <w:u w:val="single"/>
          </w:rPr>
          <w:t>44</w:t>
        </w:r>
      </w:hyperlink>
      <w:r>
        <w:t xml:space="preserve">). Isso despertou ciúme nos judeus que se opuseram às palavras de Paulo (verso </w:t>
      </w:r>
      <w:hyperlink r:id="rId1987">
        <w:r>
          <w:rPr>
            <w:color w:val="0000EE"/>
            <w:u w:val="single"/>
          </w:rPr>
          <w:t>45</w:t>
        </w:r>
      </w:hyperlink>
      <w:r>
        <w:t xml:space="preserve">), causando a dramática volta dos apóstolos aos gentios (versos </w:t>
      </w:r>
      <w:hyperlink r:id="rId3625">
        <w:r>
          <w:rPr>
            <w:color w:val="0000EE"/>
            <w:u w:val="single"/>
          </w:rPr>
          <w:t>46</w:t>
        </w:r>
      </w:hyperlink>
      <w:r>
        <w:t>–</w:t>
      </w:r>
      <w:hyperlink r:id="rId3625">
        <w:r>
          <w:rPr>
            <w:color w:val="0000EE"/>
            <w:u w:val="single"/>
          </w:rPr>
          <w:t>47</w:t>
        </w:r>
      </w:hyperlink>
      <w:r>
        <w:t xml:space="preserve">). Muitos gentios em Antioquia acreditavam e espalhavam a palavra por toda a região, mas Paulo e Barnabé foram forçados a sair e foram para Icônio na Licaônia (versos </w:t>
      </w:r>
      <w:hyperlink r:id="rId16458">
        <w:r>
          <w:rPr>
            <w:color w:val="0000EE"/>
            <w:u w:val="single"/>
          </w:rPr>
          <w:t>48</w:t>
        </w:r>
      </w:hyperlink>
      <w:r>
        <w:t>–</w:t>
      </w:r>
      <w:hyperlink r:id="rId16458">
        <w:r>
          <w:rPr>
            <w:color w:val="0000EE"/>
            <w:u w:val="single"/>
          </w:rPr>
          <w:t>51</w:t>
        </w:r>
      </w:hyperlink>
      <w:r>
        <w:t>).</w:t>
      </w:r>
    </w:p>
    <w:p>
      <w:r/>
      <w:r>
        <w:t>O sucesso em Antioquia foi duplicado em Icônio assim como a oposição dos judeus (</w:t>
      </w:r>
      <w:hyperlink r:id="rId10200">
        <w:r>
          <w:rPr>
            <w:color w:val="0000EE"/>
            <w:u w:val="single"/>
          </w:rPr>
          <w:t>Atos 14.1</w:t>
        </w:r>
      </w:hyperlink>
      <w:r>
        <w:t xml:space="preserve">), e os apóstolos fugiram da ameaça de apedrejamento para Listra e Derbe na Licaônia (versos </w:t>
      </w:r>
      <w:hyperlink r:id="rId16459">
        <w:r>
          <w:rPr>
            <w:color w:val="0000EE"/>
            <w:u w:val="single"/>
          </w:rPr>
          <w:t>5</w:t>
        </w:r>
      </w:hyperlink>
      <w:r>
        <w:t>–</w:t>
      </w:r>
      <w:hyperlink r:id="rId16459">
        <w:r>
          <w:rPr>
            <w:color w:val="0000EE"/>
            <w:u w:val="single"/>
          </w:rPr>
          <w:t>6</w:t>
        </w:r>
      </w:hyperlink>
      <w:r>
        <w:t xml:space="preserve">). Em Listra, os sinais de um apóstolo foram novamente vistos quando ele curou um homem que havia sido aleijado desde o nascimento (versos </w:t>
      </w:r>
      <w:hyperlink r:id="rId16460">
        <w:r>
          <w:rPr>
            <w:color w:val="0000EE"/>
            <w:u w:val="single"/>
          </w:rPr>
          <w:t>8</w:t>
        </w:r>
      </w:hyperlink>
      <w:r>
        <w:t>–</w:t>
      </w:r>
      <w:hyperlink r:id="rId16460">
        <w:r>
          <w:rPr>
            <w:color w:val="0000EE"/>
            <w:u w:val="single"/>
          </w:rPr>
          <w:t>10</w:t>
        </w:r>
      </w:hyperlink>
      <w:r>
        <w:t xml:space="preserve">). Os cidadãos idólatras da cidade, no entanto, influenciados pela crença popular de que Júpiter, acompanhado por Mercúrio, havia visitado sua região, adoravam Paulo e Barnabé como essas divindades (versos </w:t>
      </w:r>
      <w:hyperlink r:id="rId16461">
        <w:r>
          <w:rPr>
            <w:color w:val="0000EE"/>
            <w:u w:val="single"/>
          </w:rPr>
          <w:t>11</w:t>
        </w:r>
      </w:hyperlink>
      <w:r>
        <w:t>–</w:t>
      </w:r>
      <w:hyperlink r:id="rId16461">
        <w:r>
          <w:rPr>
            <w:color w:val="0000EE"/>
            <w:u w:val="single"/>
          </w:rPr>
          <w:t>13</w:t>
        </w:r>
      </w:hyperlink>
      <w:r>
        <w:t xml:space="preserve">). Até as palavras convincentes de Paulo, a quem eles confundiram com Mercúrio, dificilmente impediam as multidões de oferecer um sacrifício (versos </w:t>
      </w:r>
      <w:hyperlink r:id="rId16462">
        <w:r>
          <w:rPr>
            <w:color w:val="0000EE"/>
            <w:u w:val="single"/>
          </w:rPr>
          <w:t>14</w:t>
        </w:r>
      </w:hyperlink>
      <w:r>
        <w:t>–</w:t>
      </w:r>
      <w:hyperlink r:id="rId16462">
        <w:r>
          <w:rPr>
            <w:color w:val="0000EE"/>
            <w:u w:val="single"/>
          </w:rPr>
          <w:t>18</w:t>
        </w:r>
      </w:hyperlink>
      <w:r>
        <w:t>).</w:t>
      </w:r>
    </w:p>
    <w:p>
      <w:r/>
      <w:r>
        <w:t>Foi em Listra que Paulo encontrou pela primeira vez o mesmo tipo de tratamento que ele havia infligido anteriormente aos cristãos. Os judeus o apedrejaram, o arrastaram para fora da cidade e o deixaram para morrer (</w:t>
      </w:r>
      <w:hyperlink r:id="rId1990">
        <w:r>
          <w:rPr>
            <w:color w:val="0000EE"/>
            <w:u w:val="single"/>
          </w:rPr>
          <w:t>Atos 14.19</w:t>
        </w:r>
      </w:hyperlink>
      <w:r>
        <w:t>). Timóteo (</w:t>
      </w:r>
      <w:hyperlink r:id="rId10201">
        <w:r>
          <w:rPr>
            <w:color w:val="0000EE"/>
            <w:u w:val="single"/>
          </w:rPr>
          <w:t>16.1</w:t>
        </w:r>
      </w:hyperlink>
      <w:r>
        <w:t>–</w:t>
      </w:r>
      <w:hyperlink r:id="rId10201">
        <w:r>
          <w:rPr>
            <w:color w:val="0000EE"/>
            <w:u w:val="single"/>
          </w:rPr>
          <w:t>3</w:t>
        </w:r>
      </w:hyperlink>
      <w:r>
        <w:t>) pode ter estado entre os novos discípulos que cercavam Paulo enquanto ele estava deitado do lado de fora do portão (</w:t>
      </w:r>
      <w:hyperlink r:id="rId6696">
        <w:r>
          <w:rPr>
            <w:color w:val="0000EE"/>
            <w:u w:val="single"/>
          </w:rPr>
          <w:t>14.20</w:t>
        </w:r>
      </w:hyperlink>
      <w:r>
        <w:t>). Timóteo era o filho de Paulo na fé (</w:t>
      </w:r>
      <w:hyperlink r:id="rId10878">
        <w:r>
          <w:rPr>
            <w:color w:val="0000EE"/>
            <w:u w:val="single"/>
          </w:rPr>
          <w:t>1 Coríntios 4.17</w:t>
        </w:r>
      </w:hyperlink>
      <w:r>
        <w:t xml:space="preserve">; </w:t>
      </w:r>
      <w:hyperlink r:id="rId14607">
        <w:r>
          <w:rPr>
            <w:color w:val="0000EE"/>
            <w:u w:val="single"/>
          </w:rPr>
          <w:t>1Tm 1.2</w:t>
        </w:r>
      </w:hyperlink>
      <w:r>
        <w:t>), testemunha de seu sofrimento (</w:t>
      </w:r>
      <w:hyperlink r:id="rId16463">
        <w:r>
          <w:rPr>
            <w:color w:val="0000EE"/>
            <w:u w:val="single"/>
          </w:rPr>
          <w:t>2 Timóteo 3.10</w:t>
        </w:r>
      </w:hyperlink>
      <w:r>
        <w:t>–</w:t>
      </w:r>
      <w:hyperlink r:id="rId16463">
        <w:r>
          <w:rPr>
            <w:color w:val="0000EE"/>
            <w:u w:val="single"/>
          </w:rPr>
          <w:t>11</w:t>
        </w:r>
      </w:hyperlink>
      <w:r>
        <w:t>), companheiro fiel e parceiro de trabalho (</w:t>
      </w:r>
      <w:hyperlink r:id="rId7678">
        <w:r>
          <w:rPr>
            <w:color w:val="0000EE"/>
            <w:u w:val="single"/>
          </w:rPr>
          <w:t>Atos 19.22</w:t>
        </w:r>
      </w:hyperlink>
      <w:r>
        <w:t xml:space="preserve">; </w:t>
      </w:r>
      <w:hyperlink r:id="rId2497">
        <w:r>
          <w:rPr>
            <w:color w:val="0000EE"/>
            <w:u w:val="single"/>
          </w:rPr>
          <w:t>20.4</w:t>
        </w:r>
      </w:hyperlink>
      <w:r>
        <w:t xml:space="preserve">; </w:t>
      </w:r>
      <w:hyperlink r:id="rId11544">
        <w:r>
          <w:rPr>
            <w:color w:val="0000EE"/>
            <w:u w:val="single"/>
          </w:rPr>
          <w:t>Romanos 16.21</w:t>
        </w:r>
      </w:hyperlink>
      <w:r>
        <w:t xml:space="preserve">; </w:t>
      </w:r>
      <w:hyperlink r:id="rId5330">
        <w:r>
          <w:rPr>
            <w:color w:val="0000EE"/>
            <w:u w:val="single"/>
          </w:rPr>
          <w:t>1 Tessalonicenses 3.2</w:t>
        </w:r>
      </w:hyperlink>
      <w:r>
        <w:t>). No dia seguinte Barnabé e Paulo foram para Derbe (</w:t>
      </w:r>
      <w:hyperlink r:id="rId6696">
        <w:r>
          <w:rPr>
            <w:color w:val="0000EE"/>
            <w:u w:val="single"/>
          </w:rPr>
          <w:t>Atos 14.20</w:t>
        </w:r>
      </w:hyperlink>
      <w:r>
        <w:t>).</w:t>
      </w:r>
    </w:p>
    <w:p>
      <w:r/>
      <w:r>
        <w:t>Depois de fazer muitos discípulos em Derbe, os apóstolos refizeram seus passos passando por Listra, Icônio e Antioquia da Pisídia. Eles fortaleceram e encorajaram os novos crentes e nomearam presbíteros em cada igreja (</w:t>
      </w:r>
      <w:hyperlink r:id="rId16464">
        <w:r>
          <w:rPr>
            <w:color w:val="0000EE"/>
            <w:u w:val="single"/>
          </w:rPr>
          <w:t>Atos 14.21</w:t>
        </w:r>
      </w:hyperlink>
      <w:r>
        <w:t>–</w:t>
      </w:r>
      <w:hyperlink r:id="rId16464">
        <w:r>
          <w:rPr>
            <w:color w:val="0000EE"/>
            <w:u w:val="single"/>
          </w:rPr>
          <w:t>23</w:t>
        </w:r>
      </w:hyperlink>
      <w:r>
        <w:t xml:space="preserve">). Chegando novamente a Perge, eles voltaram para Antioquia da Síria. Lá, eles relataram à igreja as notícias maravilhosas de que Deus havia fornecido uma oportunidade de fé para os gentios (versos </w:t>
      </w:r>
      <w:hyperlink r:id="rId16465">
        <w:r>
          <w:rPr>
            <w:color w:val="0000EE"/>
            <w:u w:val="single"/>
          </w:rPr>
          <w:t>25</w:t>
        </w:r>
      </w:hyperlink>
      <w:r>
        <w:t>–</w:t>
      </w:r>
      <w:hyperlink r:id="rId16465">
        <w:r>
          <w:rPr>
            <w:color w:val="0000EE"/>
            <w:u w:val="single"/>
          </w:rPr>
          <w:t>27</w:t>
        </w:r>
      </w:hyperlink>
      <w:r>
        <w:t>).</w:t>
      </w:r>
    </w:p>
    <w:p>
      <w:pPr>
        <w:pStyle w:val="Heading3"/>
      </w:pPr>
      <w:r>
        <w:t>O Conselho de Jerusalém</w:t>
      </w:r>
    </w:p>
    <w:p>
      <w:r/>
      <w:r>
        <w:t>Os judeus haviam seguido Paulo e Barnabé de perto, por toda a Galácia. Eles continuaram a perseguir Paulo e Barnabé, buscando ludibriar os gentios lá. Os judeus os convenceram a abandonar a graça de Cristo e se submeter à lei judaica (</w:t>
      </w:r>
      <w:hyperlink r:id="rId6275">
        <w:r>
          <w:rPr>
            <w:color w:val="0000EE"/>
            <w:u w:val="single"/>
          </w:rPr>
          <w:t>Gálatas 1.6</w:t>
        </w:r>
      </w:hyperlink>
      <w:r>
        <w:t xml:space="preserve">; </w:t>
      </w:r>
      <w:hyperlink r:id="rId6327">
        <w:r>
          <w:rPr>
            <w:color w:val="0000EE"/>
            <w:u w:val="single"/>
          </w:rPr>
          <w:t>3.1</w:t>
        </w:r>
      </w:hyperlink>
      <w:r>
        <w:t>). Pouco após o retorno dos apóstolos a Antioquia, os judaizantes [judeus cristãos que tentaram impor o modo de vida judaico aos cristãos gentios] vieram da Judeia para Antioquia, ensinando a salvação pela lei (</w:t>
      </w:r>
      <w:hyperlink r:id="rId4411">
        <w:r>
          <w:rPr>
            <w:color w:val="0000EE"/>
            <w:u w:val="single"/>
          </w:rPr>
          <w:t>Atos 15.1</w:t>
        </w:r>
      </w:hyperlink>
      <w:r>
        <w:t>). Isso iniciou a guerra contra o evangelho da graça, que Paulo pregava.</w:t>
      </w:r>
    </w:p>
    <w:p>
      <w:r/>
      <w:r>
        <w:t xml:space="preserve">A igreja em Antioquia enviou Paulo, Barnabé e outros para Jerusalém para resolver a controvérsia da lei contra a graça com os apóstolos e presbíteros de lá (49 d.C., </w:t>
      </w:r>
      <w:hyperlink r:id="rId1399">
        <w:r>
          <w:rPr>
            <w:color w:val="0000EE"/>
            <w:u w:val="single"/>
          </w:rPr>
          <w:t>Atos 15.2</w:t>
        </w:r>
      </w:hyperlink>
      <w:r>
        <w:t xml:space="preserve">). Ao longo do caminho para Jerusalém, eles espalham as notícias da conversão dos gentios. Isso trouxe grande alegria aos crentes (verso </w:t>
      </w:r>
      <w:hyperlink r:id="rId16466">
        <w:r>
          <w:rPr>
            <w:color w:val="0000EE"/>
            <w:u w:val="single"/>
          </w:rPr>
          <w:t>3</w:t>
        </w:r>
      </w:hyperlink>
      <w:r>
        <w:t xml:space="preserve">). Tal alegria não era compartilhada por alguns em Jerusalém, que na primeira reunião do conselho disseram que os gentios deveriam ser ordenados a guardar a lei de Moisés (verso </w:t>
      </w:r>
      <w:hyperlink r:id="rId6072">
        <w:r>
          <w:rPr>
            <w:color w:val="0000EE"/>
            <w:u w:val="single"/>
          </w:rPr>
          <w:t>5</w:t>
        </w:r>
      </w:hyperlink>
      <w:r>
        <w:t>).</w:t>
      </w:r>
    </w:p>
    <w:p>
      <w:r/>
      <w:r>
        <w:t>Após este encontro, Paulo e Barnabé se encontraram privadamente com Pedro, João e Tiago (</w:t>
      </w:r>
      <w:hyperlink r:id="rId6271">
        <w:r>
          <w:rPr>
            <w:color w:val="0000EE"/>
            <w:u w:val="single"/>
          </w:rPr>
          <w:t>Gálatas 2.1</w:t>
        </w:r>
      </w:hyperlink>
      <w:r>
        <w:t>–</w:t>
      </w:r>
      <w:hyperlink r:id="rId6271">
        <w:r>
          <w:rPr>
            <w:color w:val="0000EE"/>
            <w:u w:val="single"/>
          </w:rPr>
          <w:t>10</w:t>
        </w:r>
      </w:hyperlink>
      <w:r>
        <w:t>). Eles explicaram o evangelho que estavam pregando aos gentios. Esses três líderes da igreja em Jerusalém viram a graça que havia sido dada a Paulo de trazer o evangelho aos gentios e estendeu a ele a “mão direita da comunhão” [uma expressão de unidade e parceria]. Esta reunião privada parece ter decidido a questão da obediência à lei judaica, porque na próxima reunião geral Pedro disse: “Acreditamos que é através da graça do Senhor Jesus que somos salvos” (</w:t>
      </w:r>
      <w:hyperlink r:id="rId4973">
        <w:r>
          <w:rPr>
            <w:color w:val="0000EE"/>
            <w:u w:val="single"/>
          </w:rPr>
          <w:t>Atos 15.11</w:t>
        </w:r>
      </w:hyperlink>
      <w:r>
        <w:t>). Tiago decidiu que “não devemos atrapalhar os gentios que estão se convertendo a Deus.” (</w:t>
      </w:r>
      <w:hyperlink r:id="rId16467">
        <w:r>
          <w:rPr>
            <w:color w:val="0000EE"/>
            <w:u w:val="single"/>
          </w:rPr>
          <w:t>Atos 15.19</w:t>
        </w:r>
      </w:hyperlink>
      <w:r>
        <w:t xml:space="preserve">). Esta foi uma grande vitória para Paulo e Barnabé, e as notícias foram recebidas com alegria pela igreja em Antioquia (versos </w:t>
      </w:r>
      <w:hyperlink r:id="rId16468">
        <w:r>
          <w:rPr>
            <w:color w:val="0000EE"/>
            <w:u w:val="single"/>
          </w:rPr>
          <w:t>30</w:t>
        </w:r>
      </w:hyperlink>
      <w:r>
        <w:t>–</w:t>
      </w:r>
      <w:hyperlink r:id="rId16468">
        <w:r>
          <w:rPr>
            <w:color w:val="0000EE"/>
            <w:u w:val="single"/>
          </w:rPr>
          <w:t>35</w:t>
        </w:r>
      </w:hyperlink>
      <w:r>
        <w:t>).</w:t>
      </w:r>
    </w:p>
    <w:p>
      <w:r/>
      <w:r>
        <w:t>Mais tarde, Pedro visitou Antioquia e se associou livremente com os crentes gentios como ele havia feito timidamente na casa de Cornélio (</w:t>
      </w:r>
      <w:hyperlink r:id="rId16469">
        <w:r>
          <w:rPr>
            <w:color w:val="0000EE"/>
            <w:u w:val="single"/>
          </w:rPr>
          <w:t>Atos 10.28</w:t>
        </w:r>
      </w:hyperlink>
      <w:r>
        <w:t>). Isso continuou até que “certos homens vieram de Tiago”. A presença deles trouxe medo a Pedro, nublando a luz do evangelho da graça, e fazendo com que ele se separasse dos gentios. A ação de Pedro influenciou outros, incluindo Barnabé, a fazer o mesmo (</w:t>
      </w:r>
      <w:hyperlink r:id="rId16470">
        <w:r>
          <w:rPr>
            <w:color w:val="0000EE"/>
            <w:u w:val="single"/>
          </w:rPr>
          <w:t>Gálatas 2.12</w:t>
        </w:r>
      </w:hyperlink>
      <w:r>
        <w:t>–</w:t>
      </w:r>
      <w:hyperlink r:id="rId16470">
        <w:r>
          <w:rPr>
            <w:color w:val="0000EE"/>
            <w:u w:val="single"/>
          </w:rPr>
          <w:t>13</w:t>
        </w:r>
      </w:hyperlink>
      <w:r>
        <w:t xml:space="preserve">). Paulo enfrentou o desafio desta crise séria. Ele confrontou Pedro publicamente e o acusou de hipocrisia e de impor a lei judaica (verso </w:t>
      </w:r>
      <w:hyperlink r:id="rId12339">
        <w:r>
          <w:rPr>
            <w:color w:val="0000EE"/>
            <w:u w:val="single"/>
          </w:rPr>
          <w:t>14</w:t>
        </w:r>
      </w:hyperlink>
      <w:r>
        <w:t xml:space="preserve">). Paulo ganhou a batalha e resgatou Pedro e Barnabé com palavras eloquentes sobre justificação pela fé (versos </w:t>
      </w:r>
      <w:hyperlink r:id="rId4363">
        <w:r>
          <w:rPr>
            <w:color w:val="0000EE"/>
            <w:u w:val="single"/>
          </w:rPr>
          <w:t>15</w:t>
        </w:r>
      </w:hyperlink>
      <w:r>
        <w:t>–</w:t>
      </w:r>
      <w:hyperlink r:id="rId4363">
        <w:r>
          <w:rPr>
            <w:color w:val="0000EE"/>
            <w:u w:val="single"/>
          </w:rPr>
          <w:t>21</w:t>
        </w:r>
      </w:hyperlink>
      <w:r>
        <w:t xml:space="preserve">), mas os judaizantes haviam retomado sua guerra. Daí em diante, eles não descansaram. Em vez disso, eles atormentaram e perseguiram Paulo por todo o mundo. Mas o apóstolo não se submeteu a eles em nenhum momento. Ele estava envolvido na luta de sua vida para que a verdade do evangelho permanecesse com os crentes gentios (verso </w:t>
      </w:r>
      <w:hyperlink r:id="rId16471">
        <w:r>
          <w:rPr>
            <w:color w:val="0000EE"/>
            <w:u w:val="single"/>
          </w:rPr>
          <w:t>5</w:t>
        </w:r>
      </w:hyperlink>
      <w:r>
        <w:t>).</w:t>
      </w:r>
    </w:p>
    <w:p>
      <w:pPr>
        <w:pStyle w:val="Heading3"/>
      </w:pPr>
      <w:r>
        <w:t>Viagens</w:t>
      </w:r>
    </w:p>
    <w:p>
      <w:r/>
      <w:r>
        <w:t>Paulo queria visitar os novos crentes e ver como eles estavam se saindo. Então ele propôs a Barnabé que eles retornassem para as cidades onde haviam pregado anteriormente sobre Jesus (</w:t>
      </w:r>
      <w:hyperlink r:id="rId16198">
        <w:r>
          <w:rPr>
            <w:color w:val="0000EE"/>
            <w:u w:val="single"/>
          </w:rPr>
          <w:t>Atos 15.36</w:t>
        </w:r>
      </w:hyperlink>
      <w:r>
        <w:t>). Barnabé queria levar João Marcos com eles, mas Paulo não o levaria, uma vez que ele os havia desertado durante sua jornada anterior (</w:t>
      </w:r>
      <w:hyperlink r:id="rId2200">
        <w:r>
          <w:rPr>
            <w:color w:val="0000EE"/>
            <w:u w:val="single"/>
          </w:rPr>
          <w:t>13.13</w:t>
        </w:r>
      </w:hyperlink>
      <w:r>
        <w:t>). Essa forte discordância encerrou a associação de Barnabé com Paulo (</w:t>
      </w:r>
      <w:hyperlink r:id="rId16472">
        <w:r>
          <w:rPr>
            <w:color w:val="0000EE"/>
            <w:u w:val="single"/>
          </w:rPr>
          <w:t>15.37</w:t>
        </w:r>
      </w:hyperlink>
      <w:r>
        <w:t>–</w:t>
      </w:r>
      <w:hyperlink r:id="rId16472">
        <w:r>
          <w:rPr>
            <w:color w:val="0000EE"/>
            <w:u w:val="single"/>
          </w:rPr>
          <w:t>39</w:t>
        </w:r>
      </w:hyperlink>
      <w:r>
        <w:t xml:space="preserve">). Silas, um líder entre os irmãos em Jerusalém (verso </w:t>
      </w:r>
      <w:hyperlink r:id="rId3153">
        <w:r>
          <w:rPr>
            <w:color w:val="0000EE"/>
            <w:u w:val="single"/>
          </w:rPr>
          <w:t>22</w:t>
        </w:r>
      </w:hyperlink>
      <w:r>
        <w:t xml:space="preserve">), acompanhou Paulo enquanto ele partiu por terra através da Síria e da Cilícia, fortalecendo as igrejas (versos </w:t>
      </w:r>
      <w:hyperlink r:id="rId2852">
        <w:r>
          <w:rPr>
            <w:color w:val="0000EE"/>
            <w:u w:val="single"/>
          </w:rPr>
          <w:t>40</w:t>
        </w:r>
      </w:hyperlink>
      <w:r>
        <w:t>–</w:t>
      </w:r>
      <w:hyperlink r:id="rId2852">
        <w:r>
          <w:rPr>
            <w:color w:val="0000EE"/>
            <w:u w:val="single"/>
          </w:rPr>
          <w:t>41</w:t>
        </w:r>
      </w:hyperlink>
      <w:r>
        <w:t>).</w:t>
      </w:r>
    </w:p>
    <w:p>
      <w:r/>
      <w:r>
        <w:t>Partindo de Derbe na Galácia, Paulo e Silas revisitaram as igrejas que ele havia estabelecido com Barnabé. Enquanto em Listra, eles foram acompanhados por Timóteo (</w:t>
      </w:r>
      <w:hyperlink r:id="rId10201">
        <w:r>
          <w:rPr>
            <w:color w:val="0000EE"/>
            <w:u w:val="single"/>
          </w:rPr>
          <w:t>Atos 16.1</w:t>
        </w:r>
      </w:hyperlink>
      <w:r>
        <w:t>–</w:t>
      </w:r>
      <w:hyperlink r:id="rId10201">
        <w:r>
          <w:rPr>
            <w:color w:val="0000EE"/>
            <w:u w:val="single"/>
          </w:rPr>
          <w:t>3</w:t>
        </w:r>
      </w:hyperlink>
      <w:r>
        <w:t>). Os apóstolos entregaram a essas jovens igrejas a carta elaborada pelos presbíteros e apóstolos em Jerusalém a respeito da observância da lei (</w:t>
      </w:r>
      <w:hyperlink r:id="rId12348">
        <w:r>
          <w:rPr>
            <w:color w:val="0000EE"/>
            <w:u w:val="single"/>
          </w:rPr>
          <w:t>15.23</w:t>
        </w:r>
      </w:hyperlink>
      <w:r>
        <w:t>–</w:t>
      </w:r>
      <w:hyperlink r:id="rId12348">
        <w:r>
          <w:rPr>
            <w:color w:val="0000EE"/>
            <w:u w:val="single"/>
          </w:rPr>
          <w:t>29</w:t>
        </w:r>
      </w:hyperlink>
      <w:r>
        <w:t>), fortalecendo-as e aumentando-as dessa forma (</w:t>
      </w:r>
      <w:hyperlink r:id="rId16473">
        <w:r>
          <w:rPr>
            <w:color w:val="0000EE"/>
            <w:u w:val="single"/>
          </w:rPr>
          <w:t>16.4</w:t>
        </w:r>
      </w:hyperlink>
      <w:r>
        <w:t>–</w:t>
      </w:r>
      <w:hyperlink r:id="rId16473">
        <w:r>
          <w:rPr>
            <w:color w:val="0000EE"/>
            <w:u w:val="single"/>
          </w:rPr>
          <w:t>5</w:t>
        </w:r>
      </w:hyperlink>
      <w:r>
        <w:t>).</w:t>
      </w:r>
    </w:p>
    <w:p>
      <w:r/>
      <w:r>
        <w:t>É provável que Éfeso, uma importante cidade na província romana da Ásia, fosse o principal alvo do grupo para o avanço do evangelho. Mas “o Espírito Santo os havia impedido de pregar a Palavra na província da Ásia” (</w:t>
      </w:r>
      <w:hyperlink r:id="rId4336">
        <w:r>
          <w:rPr>
            <w:color w:val="0000EE"/>
            <w:u w:val="single"/>
          </w:rPr>
          <w:t>Atos 16.6</w:t>
        </w:r>
      </w:hyperlink>
      <w:r>
        <w:t xml:space="preserve">). Então eles tentaram se virar para o norte e entrar na região da Bitínia, “mas o Espírito de Jesus não os permitiu” (verso </w:t>
      </w:r>
      <w:hyperlink r:id="rId3797">
        <w:r>
          <w:rPr>
            <w:color w:val="0000EE"/>
            <w:u w:val="single"/>
          </w:rPr>
          <w:t>7</w:t>
        </w:r>
      </w:hyperlink>
      <w:r>
        <w:t xml:space="preserve">). Desta forma, eles foram forçados por Deus a continuar em linha reta para o oeste até Trôade, no Mar Egeu. Lá, Lucas se juntou a eles (“nós” no verso </w:t>
      </w:r>
      <w:hyperlink r:id="rId16474">
        <w:r>
          <w:rPr>
            <w:color w:val="0000EE"/>
            <w:u w:val="single"/>
          </w:rPr>
          <w:t>10</w:t>
        </w:r>
      </w:hyperlink>
      <w:r>
        <w:t xml:space="preserve">), e Paulo teve uma visão na qual ele foi chamado da Ásia para a Macedônia (versos </w:t>
      </w:r>
      <w:hyperlink r:id="rId16475">
        <w:r>
          <w:rPr>
            <w:color w:val="0000EE"/>
            <w:u w:val="single"/>
          </w:rPr>
          <w:t>8</w:t>
        </w:r>
      </w:hyperlink>
      <w:r>
        <w:t>–</w:t>
      </w:r>
      <w:hyperlink r:id="rId16475">
        <w:r>
          <w:rPr>
            <w:color w:val="0000EE"/>
            <w:u w:val="single"/>
          </w:rPr>
          <w:t>9</w:t>
        </w:r>
      </w:hyperlink>
      <w:r>
        <w:t xml:space="preserve">). Paulo e seu grupo imediatamente atravessaram de barco para a Europa (verso </w:t>
      </w:r>
      <w:hyperlink r:id="rId15119">
        <w:r>
          <w:rPr>
            <w:color w:val="0000EE"/>
            <w:u w:val="single"/>
          </w:rPr>
          <w:t>11</w:t>
        </w:r>
      </w:hyperlink>
      <w:r>
        <w:t>), onde levaram o evangelho para Filipos, Tessalônica, Bereia, Atenas e Corinto.</w:t>
      </w:r>
    </w:p>
    <w:p>
      <w:r/>
      <w:r>
        <w:t>Filipos era uma colônia romana e um posto militar onde havia poucos judeus, então Paulo foi para um lugar perto do rio onde os judeus locais oravam. Ele falou com algumas mulheres lá, especialmente com Lídia, que creu e, juntamente com sua família, foi batizada (</w:t>
      </w:r>
      <w:hyperlink r:id="rId16476">
        <w:r>
          <w:rPr>
            <w:color w:val="0000EE"/>
            <w:u w:val="single"/>
          </w:rPr>
          <w:t>Atos 16.12</w:t>
        </w:r>
      </w:hyperlink>
      <w:r>
        <w:t>–</w:t>
      </w:r>
      <w:hyperlink r:id="rId16476">
        <w:r>
          <w:rPr>
            <w:color w:val="0000EE"/>
            <w:u w:val="single"/>
          </w:rPr>
          <w:t>15</w:t>
        </w:r>
      </w:hyperlink>
      <w:r>
        <w:t xml:space="preserve">), começando assim a primeira igreja na Europa. Paulo expulsou um espírito de adivinhação de uma menina em Filipos, e como resultado, ele e Silas foram presos (versos </w:t>
      </w:r>
      <w:hyperlink r:id="rId16477">
        <w:r>
          <w:rPr>
            <w:color w:val="0000EE"/>
            <w:u w:val="single"/>
          </w:rPr>
          <w:t>16</w:t>
        </w:r>
      </w:hyperlink>
      <w:r>
        <w:t>–</w:t>
      </w:r>
      <w:hyperlink r:id="rId16477">
        <w:r>
          <w:rPr>
            <w:color w:val="0000EE"/>
            <w:u w:val="single"/>
          </w:rPr>
          <w:t>24</w:t>
        </w:r>
      </w:hyperlink>
      <w:r>
        <w:t xml:space="preserve">). Os eventos de sua noite na prisão fizeram do carcereiro um crente em Deus (versos </w:t>
      </w:r>
      <w:hyperlink r:id="rId16478">
        <w:r>
          <w:rPr>
            <w:color w:val="0000EE"/>
            <w:u w:val="single"/>
          </w:rPr>
          <w:t>25</w:t>
        </w:r>
      </w:hyperlink>
      <w:r>
        <w:t>–</w:t>
      </w:r>
      <w:hyperlink r:id="rId16478">
        <w:r>
          <w:rPr>
            <w:color w:val="0000EE"/>
            <w:u w:val="single"/>
          </w:rPr>
          <w:t>34</w:t>
        </w:r>
      </w:hyperlink>
      <w:r>
        <w:t xml:space="preserve">). Ele e sua família foram acrescentados à igreja em Filipos, que se encontrava na casa de Lídia (verso </w:t>
      </w:r>
      <w:hyperlink r:id="rId16479">
        <w:r>
          <w:rPr>
            <w:color w:val="0000EE"/>
            <w:u w:val="single"/>
          </w:rPr>
          <w:t>40</w:t>
        </w:r>
      </w:hyperlink>
      <w:r>
        <w:t xml:space="preserve">). Quando Paulo revelou sua cidadania romana, ele foi liberto e convidado a deixar a cidade (versos </w:t>
      </w:r>
      <w:hyperlink r:id="rId16480">
        <w:r>
          <w:rPr>
            <w:color w:val="0000EE"/>
            <w:u w:val="single"/>
          </w:rPr>
          <w:t>35</w:t>
        </w:r>
      </w:hyperlink>
      <w:r>
        <w:t>–</w:t>
      </w:r>
      <w:hyperlink r:id="rId16480">
        <w:r>
          <w:rPr>
            <w:color w:val="0000EE"/>
            <w:u w:val="single"/>
          </w:rPr>
          <w:t>39</w:t>
        </w:r>
      </w:hyperlink>
      <w:r>
        <w:t>).</w:t>
      </w:r>
    </w:p>
    <w:p>
      <w:r/>
      <w:r>
        <w:t>Em Tessalônica, os judeus, movidos por ciúme pelo sucesso da mensagem do evangelho de Paulo, levantaram uma multidão para buscar os apóstolos. Eles reclamaram às autoridades da cidade que as pessoas “que viraram o mundo de cabeça para baixo agora vieram aqui” e argumentaram que os apóstolos “disseram que há outro rei [além de César], chamado Jesus” (</w:t>
      </w:r>
      <w:hyperlink r:id="rId16481">
        <w:r>
          <w:rPr>
            <w:color w:val="0000EE"/>
            <w:u w:val="single"/>
          </w:rPr>
          <w:t>Atos 17.5</w:t>
        </w:r>
      </w:hyperlink>
      <w:r>
        <w:t>–</w:t>
      </w:r>
      <w:hyperlink r:id="rId16481">
        <w:r>
          <w:rPr>
            <w:color w:val="0000EE"/>
            <w:u w:val="single"/>
          </w:rPr>
          <w:t>7</w:t>
        </w:r>
      </w:hyperlink>
      <w:r>
        <w:t>).</w:t>
      </w:r>
    </w:p>
    <w:p>
      <w:r/>
      <w:r>
        <w:t>Paulo e Silas rapidamente deixaram Tessalônica à noite e chegaram a Bereia, uma cidade que depois disso se distingue por seus cidadãos que receberam o evangelho com entusiasmo e reflexão (</w:t>
      </w:r>
      <w:hyperlink r:id="rId16482">
        <w:r>
          <w:rPr>
            <w:color w:val="0000EE"/>
            <w:u w:val="single"/>
          </w:rPr>
          <w:t>Atos 17.10</w:t>
        </w:r>
      </w:hyperlink>
      <w:r>
        <w:t>–</w:t>
      </w:r>
      <w:hyperlink r:id="rId16482">
        <w:r>
          <w:rPr>
            <w:color w:val="0000EE"/>
            <w:u w:val="single"/>
          </w:rPr>
          <w:t>12</w:t>
        </w:r>
      </w:hyperlink>
      <w:r>
        <w:t xml:space="preserve">). Os judeus de Tessalônica não descansaram, mas levaram Paulo até Bereia para incitar as multidões. Os crentes então enviaram Paulo para Atenas, enquanto Silas e Timóteo ficaram para trás (versos </w:t>
      </w:r>
      <w:hyperlink r:id="rId16483">
        <w:r>
          <w:rPr>
            <w:color w:val="0000EE"/>
            <w:u w:val="single"/>
          </w:rPr>
          <w:t>13</w:t>
        </w:r>
      </w:hyperlink>
      <w:r>
        <w:t>-</w:t>
      </w:r>
      <w:hyperlink r:id="rId16483">
        <w:r>
          <w:rPr>
            <w:color w:val="0000EE"/>
            <w:u w:val="single"/>
          </w:rPr>
          <w:t>15</w:t>
        </w:r>
      </w:hyperlink>
      <w:r>
        <w:t>).</w:t>
      </w:r>
    </w:p>
    <w:p>
      <w:r/>
      <w:r>
        <w:t>Os atenienses chamavam Paulo de tagarela, mas deixaram-no expressar seus pontos de vista diante do Areópago. O discurso de Paulo estava repleto de seu amplo conhecimento. Ele aludiu à filosofia greco-romana (</w:t>
      </w:r>
      <w:hyperlink r:id="rId16484">
        <w:r>
          <w:rPr>
            <w:color w:val="0000EE"/>
            <w:u w:val="single"/>
          </w:rPr>
          <w:t>Atos 17.27</w:t>
        </w:r>
      </w:hyperlink>
      <w:r>
        <w:t xml:space="preserve">), poesia (verso </w:t>
      </w:r>
      <w:hyperlink r:id="rId2411">
        <w:r>
          <w:rPr>
            <w:color w:val="0000EE"/>
            <w:u w:val="single"/>
          </w:rPr>
          <w:t>28</w:t>
        </w:r>
      </w:hyperlink>
      <w:r>
        <w:t xml:space="preserve">), escultura (versos </w:t>
      </w:r>
      <w:hyperlink r:id="rId6813">
        <w:r>
          <w:rPr>
            <w:color w:val="0000EE"/>
            <w:u w:val="single"/>
          </w:rPr>
          <w:t>25, 29</w:t>
        </w:r>
      </w:hyperlink>
      <w:r>
        <w:t xml:space="preserve">), arquitetura (verso </w:t>
      </w:r>
      <w:hyperlink r:id="rId6835">
        <w:r>
          <w:rPr>
            <w:color w:val="0000EE"/>
            <w:u w:val="single"/>
          </w:rPr>
          <w:t>24</w:t>
        </w:r>
      </w:hyperlink>
      <w:r>
        <w:t xml:space="preserve">) e à religião enquanto proclamava a existência de um “deus desconhecido” (verso </w:t>
      </w:r>
      <w:hyperlink r:id="rId11048">
        <w:r>
          <w:rPr>
            <w:color w:val="0000EE"/>
            <w:u w:val="single"/>
          </w:rPr>
          <w:t>23</w:t>
        </w:r>
      </w:hyperlink>
      <w:r>
        <w:t xml:space="preserve">). Mas ele foi rudemente interrompido por zombaria e indiferença quando mencionou a ressurreição. (verso </w:t>
      </w:r>
      <w:hyperlink r:id="rId16485">
        <w:r>
          <w:rPr>
            <w:color w:val="0000EE"/>
            <w:u w:val="single"/>
          </w:rPr>
          <w:t>32</w:t>
        </w:r>
      </w:hyperlink>
      <w:r>
        <w:t>). Embora as palavras de Paulo encantassem as mentes de muitos, elas influenciavam a vontade de poucos. Quando ele chegou a Corinto, ele decidiu não proclamar o mistério de Deus em palavras eloquentes de sabedoria, para que a fé dos crentes não se baseasse na sabedoria humana, mas no poder de Deus. (</w:t>
      </w:r>
      <w:hyperlink r:id="rId6331">
        <w:r>
          <w:rPr>
            <w:color w:val="0000EE"/>
            <w:u w:val="single"/>
          </w:rPr>
          <w:t>1 Coríntios 2.1</w:t>
        </w:r>
      </w:hyperlink>
      <w:r>
        <w:t>–</w:t>
      </w:r>
      <w:hyperlink r:id="rId6331">
        <w:r>
          <w:rPr>
            <w:color w:val="0000EE"/>
            <w:u w:val="single"/>
          </w:rPr>
          <w:t>5</w:t>
        </w:r>
      </w:hyperlink>
      <w:r>
        <w:t>).</w:t>
      </w:r>
    </w:p>
    <w:p>
      <w:r/>
      <w:r>
        <w:t>Em Corinto, Paulo conheceu Áquila e Priscila (</w:t>
      </w:r>
      <w:hyperlink r:id="rId5862">
        <w:r>
          <w:rPr>
            <w:color w:val="0000EE"/>
            <w:u w:val="single"/>
          </w:rPr>
          <w:t>Atos 18.2</w:t>
        </w:r>
      </w:hyperlink>
      <w:r>
        <w:t>–</w:t>
      </w:r>
      <w:hyperlink r:id="rId5862">
        <w:r>
          <w:rPr>
            <w:color w:val="0000EE"/>
            <w:u w:val="single"/>
          </w:rPr>
          <w:t>3</w:t>
        </w:r>
      </w:hyperlink>
      <w:r>
        <w:t>), judeus romanos com quem ele vivia e trabalhava como fabricante de tendas e que se tornariam proeminentes entre as igrejas (</w:t>
      </w:r>
      <w:hyperlink r:id="rId7628">
        <w:r>
          <w:rPr>
            <w:color w:val="0000EE"/>
            <w:u w:val="single"/>
          </w:rPr>
          <w:t>Atos 18.26</w:t>
        </w:r>
      </w:hyperlink>
      <w:r>
        <w:t xml:space="preserve">; </w:t>
      </w:r>
      <w:hyperlink r:id="rId2219">
        <w:r>
          <w:rPr>
            <w:color w:val="0000EE"/>
            <w:u w:val="single"/>
          </w:rPr>
          <w:t>Romanos 16.3</w:t>
        </w:r>
      </w:hyperlink>
      <w:r>
        <w:t xml:space="preserve">; </w:t>
      </w:r>
      <w:hyperlink r:id="rId2303">
        <w:r>
          <w:rPr>
            <w:color w:val="0000EE"/>
            <w:u w:val="single"/>
          </w:rPr>
          <w:t>1 Coríntios 16.19</w:t>
        </w:r>
      </w:hyperlink>
      <w:r>
        <w:t xml:space="preserve">; </w:t>
      </w:r>
      <w:hyperlink r:id="rId2216">
        <w:r>
          <w:rPr>
            <w:color w:val="0000EE"/>
            <w:u w:val="single"/>
          </w:rPr>
          <w:t>2 Timóteo 4.19</w:t>
        </w:r>
      </w:hyperlink>
      <w:r>
        <w:t>). Ele ficou em Corinto 18 meses, de 50 a 51 d.C. Lá, ele plantou uma igreja (</w:t>
      </w:r>
      <w:hyperlink r:id="rId2861">
        <w:r>
          <w:rPr>
            <w:color w:val="0000EE"/>
            <w:u w:val="single"/>
          </w:rPr>
          <w:t>Atos 18.11</w:t>
        </w:r>
      </w:hyperlink>
      <w:r>
        <w:t xml:space="preserve">) impulsionado por uma visão de Deus (versos </w:t>
      </w:r>
      <w:hyperlink r:id="rId16486">
        <w:r>
          <w:rPr>
            <w:color w:val="0000EE"/>
            <w:u w:val="single"/>
          </w:rPr>
          <w:t>9</w:t>
        </w:r>
      </w:hyperlink>
      <w:r>
        <w:t>–</w:t>
      </w:r>
      <w:hyperlink r:id="rId16486">
        <w:r>
          <w:rPr>
            <w:color w:val="0000EE"/>
            <w:u w:val="single"/>
          </w:rPr>
          <w:t>10</w:t>
        </w:r>
      </w:hyperlink>
      <w:r>
        <w:t xml:space="preserve">) e apesar dos ataques dos judeus (versos </w:t>
      </w:r>
      <w:hyperlink r:id="rId2862">
        <w:r>
          <w:rPr>
            <w:color w:val="0000EE"/>
            <w:u w:val="single"/>
          </w:rPr>
          <w:t>12</w:t>
        </w:r>
      </w:hyperlink>
      <w:r>
        <w:t>–</w:t>
      </w:r>
      <w:hyperlink r:id="rId2862">
        <w:r>
          <w:rPr>
            <w:color w:val="0000EE"/>
            <w:u w:val="single"/>
          </w:rPr>
          <w:t>17</w:t>
        </w:r>
      </w:hyperlink>
      <w:r>
        <w:t>). Ele escreveu a primeira e a segunda cartas aos tessalonicensses de Corinto para estabelecer os crentes em uma vida santa e laboriosa (</w:t>
      </w:r>
      <w:hyperlink r:id="rId5681">
        <w:r>
          <w:rPr>
            <w:color w:val="0000EE"/>
            <w:u w:val="single"/>
          </w:rPr>
          <w:t>1 Tessalonicenses 3.13</w:t>
        </w:r>
      </w:hyperlink>
      <w:r>
        <w:t xml:space="preserve">; </w:t>
      </w:r>
      <w:hyperlink r:id="rId943">
        <w:r>
          <w:rPr>
            <w:color w:val="0000EE"/>
            <w:u w:val="single"/>
          </w:rPr>
          <w:t>5.23</w:t>
        </w:r>
      </w:hyperlink>
      <w:r>
        <w:t xml:space="preserve">; </w:t>
      </w:r>
      <w:hyperlink r:id="rId16487">
        <w:r>
          <w:rPr>
            <w:color w:val="0000EE"/>
            <w:u w:val="single"/>
          </w:rPr>
          <w:t>2 Tessalonicenses 3.7</w:t>
        </w:r>
      </w:hyperlink>
      <w:r>
        <w:t>–</w:t>
      </w:r>
      <w:hyperlink r:id="rId16487">
        <w:r>
          <w:rPr>
            <w:color w:val="0000EE"/>
            <w:u w:val="single"/>
          </w:rPr>
          <w:t>12</w:t>
        </w:r>
      </w:hyperlink>
      <w:r>
        <w:t>) na esperança da segunda vinda de Jesus Cristo (</w:t>
      </w:r>
      <w:hyperlink r:id="rId16488">
        <w:r>
          <w:rPr>
            <w:color w:val="0000EE"/>
            <w:u w:val="single"/>
          </w:rPr>
          <w:t>1 Tessalonicenses 4.15</w:t>
        </w:r>
      </w:hyperlink>
      <w:r>
        <w:t>–</w:t>
      </w:r>
      <w:hyperlink r:id="rId16488">
        <w:r>
          <w:rPr>
            <w:color w:val="0000EE"/>
            <w:u w:val="single"/>
          </w:rPr>
          <w:t>18</w:t>
        </w:r>
      </w:hyperlink>
      <w:r>
        <w:t xml:space="preserve">; </w:t>
      </w:r>
      <w:hyperlink r:id="rId16489">
        <w:r>
          <w:rPr>
            <w:color w:val="0000EE"/>
            <w:u w:val="single"/>
          </w:rPr>
          <w:t>2 Tessalonicenses 2.1 e seguintes</w:t>
        </w:r>
      </w:hyperlink>
      <w:r>
        <w:t>).</w:t>
      </w:r>
    </w:p>
    <w:p>
      <w:r/>
      <w:r>
        <w:t>Acompanhado de Priscila e Áquila, ele navegou de Corinto para a Síria. Ele deixou seus companheiros de trabalho em Éfeso, navegou para Cesareia, visitou brevemente Jerusalém e voltou para Antioquia (</w:t>
      </w:r>
      <w:hyperlink r:id="rId16490">
        <w:r>
          <w:rPr>
            <w:color w:val="0000EE"/>
            <w:u w:val="single"/>
          </w:rPr>
          <w:t>Atos 18.18</w:t>
        </w:r>
      </w:hyperlink>
      <w:r>
        <w:t>–</w:t>
      </w:r>
      <w:hyperlink r:id="rId16490">
        <w:r>
          <w:rPr>
            <w:color w:val="0000EE"/>
            <w:u w:val="single"/>
          </w:rPr>
          <w:t>22</w:t>
        </w:r>
      </w:hyperlink>
      <w:r>
        <w:t>). Paulo ficou em Antioquia por um tempo, mas não permaneceu ausente no campo de seus trabalhos por muito tempo. Sozinho, ele partiu de Antioquia, foi de um lugar a outro na Galácia e na Frígia fortalecendo todos os discípulos, e finalmente chegou a Éfeso (</w:t>
      </w:r>
      <w:hyperlink r:id="rId4337">
        <w:r>
          <w:rPr>
            <w:color w:val="0000EE"/>
            <w:u w:val="single"/>
          </w:rPr>
          <w:t>18.23</w:t>
        </w:r>
      </w:hyperlink>
      <w:r>
        <w:t xml:space="preserve">; </w:t>
      </w:r>
      <w:hyperlink r:id="rId16491">
        <w:r>
          <w:rPr>
            <w:color w:val="0000EE"/>
            <w:u w:val="single"/>
          </w:rPr>
          <w:t>19.1</w:t>
        </w:r>
      </w:hyperlink>
      <w:r>
        <w:t>).</w:t>
      </w:r>
    </w:p>
    <w:p>
      <w:pPr>
        <w:pStyle w:val="Heading3"/>
      </w:pPr>
      <w:r>
        <w:t>Trabalho no Evangelho</w:t>
      </w:r>
    </w:p>
    <w:p>
      <w:r/>
      <w:r>
        <w:t>Um judeu chamado Apolo havia ministrado em Éfeso antes da chegada de Paulo e havia recentemente ido para Corinto (</w:t>
      </w:r>
      <w:hyperlink r:id="rId2864">
        <w:r>
          <w:rPr>
            <w:color w:val="0000EE"/>
            <w:u w:val="single"/>
          </w:rPr>
          <w:t>Atos 18.24</w:t>
        </w:r>
      </w:hyperlink>
      <w:r>
        <w:t>–</w:t>
      </w:r>
      <w:hyperlink r:id="rId2864">
        <w:r>
          <w:rPr>
            <w:color w:val="0000EE"/>
            <w:u w:val="single"/>
          </w:rPr>
          <w:t>28</w:t>
        </w:r>
      </w:hyperlink>
      <w:r>
        <w:t>). Lá, Apolo inocentemente se tornou a causa de tal discórdia (</w:t>
      </w:r>
      <w:hyperlink r:id="rId16492">
        <w:r>
          <w:rPr>
            <w:color w:val="0000EE"/>
            <w:u w:val="single"/>
          </w:rPr>
          <w:t>1 Coríntios 3.3</w:t>
        </w:r>
      </w:hyperlink>
      <w:r>
        <w:t>–</w:t>
      </w:r>
      <w:hyperlink r:id="rId16492">
        <w:r>
          <w:rPr>
            <w:color w:val="0000EE"/>
            <w:u w:val="single"/>
          </w:rPr>
          <w:t>9</w:t>
        </w:r>
      </w:hyperlink>
      <w:r>
        <w:t>) que acabou partindo e se negou a voltar, mesmo a pedido de Paulo (</w:t>
      </w:r>
      <w:hyperlink r:id="rId2236">
        <w:r>
          <w:rPr>
            <w:color w:val="0000EE"/>
            <w:u w:val="single"/>
          </w:rPr>
          <w:t>16.12</w:t>
        </w:r>
      </w:hyperlink>
      <w:r>
        <w:t>). A visita anterior de Pedro a Éfeso (</w:t>
      </w:r>
      <w:hyperlink r:id="rId16493">
        <w:r>
          <w:rPr>
            <w:color w:val="0000EE"/>
            <w:u w:val="single"/>
          </w:rPr>
          <w:t>Atos 18.19</w:t>
        </w:r>
      </w:hyperlink>
      <w:r>
        <w:t>–</w:t>
      </w:r>
      <w:hyperlink r:id="rId16493">
        <w:r>
          <w:rPr>
            <w:color w:val="0000EE"/>
            <w:u w:val="single"/>
          </w:rPr>
          <w:t>20</w:t>
        </w:r>
      </w:hyperlink>
      <w:r>
        <w:t>), o ministério de Apolo e a presença de Priscila e Áquila haviam preparado Éfeso para que o apóstolo pudesse pregar o evangelho de Cristo.</w:t>
      </w:r>
    </w:p>
    <w:p>
      <w:r/>
      <w:r>
        <w:t>Ele começou seu trabalho em Éfeso corrigindo os equívocos de alguns discípulos mal-informados de João Batista (</w:t>
      </w:r>
      <w:hyperlink r:id="rId16494">
        <w:r>
          <w:rPr>
            <w:color w:val="0000EE"/>
            <w:u w:val="single"/>
          </w:rPr>
          <w:t>Atos 19.1</w:t>
        </w:r>
      </w:hyperlink>
      <w:r>
        <w:t>–</w:t>
      </w:r>
      <w:hyperlink r:id="rId16494">
        <w:r>
          <w:rPr>
            <w:color w:val="0000EE"/>
            <w:u w:val="single"/>
          </w:rPr>
          <w:t>7</w:t>
        </w:r>
      </w:hyperlink>
      <w:r>
        <w:t xml:space="preserve">). Ele então passou três meses pregando na sinagoga local até que os membros da congregação “difamaram publicamente o Caminho [a fé cristã]” (verso </w:t>
      </w:r>
      <w:hyperlink r:id="rId16495">
        <w:r>
          <w:rPr>
            <w:color w:val="0000EE"/>
            <w:u w:val="single"/>
          </w:rPr>
          <w:t>9</w:t>
        </w:r>
      </w:hyperlink>
      <w:r>
        <w:t xml:space="preserve">). Então, Paulo levou os discípulos e continuou seus argumentos no terreno neutro da escola de Tirano (versos </w:t>
      </w:r>
      <w:hyperlink r:id="rId16496">
        <w:r>
          <w:rPr>
            <w:color w:val="0000EE"/>
            <w:u w:val="single"/>
          </w:rPr>
          <w:t>8</w:t>
        </w:r>
      </w:hyperlink>
      <w:r>
        <w:t>-</w:t>
      </w:r>
      <w:hyperlink r:id="rId16496">
        <w:r>
          <w:rPr>
            <w:color w:val="0000EE"/>
            <w:u w:val="single"/>
          </w:rPr>
          <w:t>9</w:t>
        </w:r>
      </w:hyperlink>
      <w:r>
        <w:t xml:space="preserve">), onde judeus e gregos podiam ir livremente. Ele continuou lá por dois anos e "todos os que viviam na província da Ásia, judeus e gregos, ouviram a palavra do Senhor” (verso </w:t>
      </w:r>
      <w:hyperlink r:id="rId2746">
        <w:r>
          <w:rPr>
            <w:color w:val="0000EE"/>
            <w:u w:val="single"/>
          </w:rPr>
          <w:t>10</w:t>
        </w:r>
      </w:hyperlink>
      <w:r>
        <w:t>).</w:t>
      </w:r>
    </w:p>
    <w:p>
      <w:r/>
      <w:r>
        <w:t>A obra em Éfeso foi um grande sucesso (</w:t>
      </w:r>
      <w:hyperlink r:id="rId2746">
        <w:r>
          <w:rPr>
            <w:color w:val="0000EE"/>
            <w:u w:val="single"/>
          </w:rPr>
          <w:t>Atos 19.10,20,26</w:t>
        </w:r>
      </w:hyperlink>
      <w:r>
        <w:t>). Paulo desfrutou de uma oportunidade de trabalho eficaz (</w:t>
      </w:r>
      <w:hyperlink r:id="rId16497">
        <w:r>
          <w:rPr>
            <w:color w:val="0000EE"/>
            <w:u w:val="single"/>
          </w:rPr>
          <w:t>1Co 16.9</w:t>
        </w:r>
      </w:hyperlink>
      <w:r>
        <w:t>), reforçado por milagres extraordinários (</w:t>
      </w:r>
      <w:hyperlink r:id="rId16498">
        <w:r>
          <w:rPr>
            <w:color w:val="0000EE"/>
            <w:u w:val="single"/>
          </w:rPr>
          <w:t>Atos 19.11</w:t>
        </w:r>
      </w:hyperlink>
      <w:r>
        <w:t>–</w:t>
      </w:r>
      <w:hyperlink r:id="rId16498">
        <w:r>
          <w:rPr>
            <w:color w:val="0000EE"/>
            <w:u w:val="single"/>
          </w:rPr>
          <w:t>17</w:t>
        </w:r>
      </w:hyperlink>
      <w:r>
        <w:t xml:space="preserve">), uma queima pública de livros valiosos de feitiçaria (versos </w:t>
      </w:r>
      <w:hyperlink r:id="rId16499">
        <w:r>
          <w:rPr>
            <w:color w:val="0000EE"/>
            <w:u w:val="single"/>
          </w:rPr>
          <w:t>18</w:t>
        </w:r>
      </w:hyperlink>
      <w:r>
        <w:t>–</w:t>
      </w:r>
      <w:hyperlink r:id="rId16499">
        <w:r>
          <w:rPr>
            <w:color w:val="0000EE"/>
            <w:u w:val="single"/>
          </w:rPr>
          <w:t>19</w:t>
        </w:r>
      </w:hyperlink>
      <w:r>
        <w:t xml:space="preserve">) e a assistência de oficiais amigos da província da Ásia (verso </w:t>
      </w:r>
      <w:hyperlink r:id="rId2755">
        <w:r>
          <w:rPr>
            <w:color w:val="0000EE"/>
            <w:u w:val="single"/>
          </w:rPr>
          <w:t>31</w:t>
        </w:r>
      </w:hyperlink>
      <w:r>
        <w:t>). Havia também muitos adversários (</w:t>
      </w:r>
      <w:hyperlink r:id="rId5133">
        <w:r>
          <w:rPr>
            <w:color w:val="0000EE"/>
            <w:u w:val="single"/>
          </w:rPr>
          <w:t>1 Coríntios 15.32</w:t>
        </w:r>
      </w:hyperlink>
      <w:r>
        <w:t xml:space="preserve">; </w:t>
      </w:r>
      <w:hyperlink r:id="rId16497">
        <w:r>
          <w:rPr>
            <w:color w:val="0000EE"/>
            <w:u w:val="single"/>
          </w:rPr>
          <w:t>16.9</w:t>
        </w:r>
      </w:hyperlink>
      <w:r>
        <w:t>), especialmente entre os artesãos associados com o templo de Diana. O ministério de Paulo havia prejudicado o comércio deles na medida em que eram incitados a se revoltar (</w:t>
      </w:r>
      <w:hyperlink r:id="rId740">
        <w:r>
          <w:rPr>
            <w:color w:val="0000EE"/>
            <w:u w:val="single"/>
          </w:rPr>
          <w:t>Atos 19.23</w:t>
        </w:r>
      </w:hyperlink>
      <w:r>
        <w:t>–</w:t>
      </w:r>
      <w:hyperlink r:id="rId740">
        <w:r>
          <w:rPr>
            <w:color w:val="0000EE"/>
            <w:u w:val="single"/>
          </w:rPr>
          <w:t>41</w:t>
        </w:r>
      </w:hyperlink>
      <w:r>
        <w:t>). Ele pretendia ficar em Éfeso até o Pentecostes (</w:t>
      </w:r>
      <w:hyperlink r:id="rId9292">
        <w:r>
          <w:rPr>
            <w:color w:val="0000EE"/>
            <w:u w:val="single"/>
          </w:rPr>
          <w:t>1 Coríntios 16.8</w:t>
        </w:r>
      </w:hyperlink>
      <w:r>
        <w:t>), mas este tumulto parece ter apressado sua partida (</w:t>
      </w:r>
      <w:hyperlink r:id="rId16500">
        <w:r>
          <w:rPr>
            <w:color w:val="0000EE"/>
            <w:u w:val="single"/>
          </w:rPr>
          <w:t>Atos 20.1</w:t>
        </w:r>
      </w:hyperlink>
      <w:r>
        <w:t>).</w:t>
      </w:r>
    </w:p>
    <w:p>
      <w:r/>
      <w:r>
        <w:t>Durante sua estadia em Éfeso, a família de Cloé enviou a Corinto uma mensagem de que havia divisões na igreja lá (</w:t>
      </w:r>
      <w:hyperlink r:id="rId16501">
        <w:r>
          <w:rPr>
            <w:color w:val="0000EE"/>
            <w:u w:val="single"/>
          </w:rPr>
          <w:t>1 Coríntios 1.10</w:t>
        </w:r>
      </w:hyperlink>
      <w:r>
        <w:t>–</w:t>
      </w:r>
      <w:hyperlink r:id="rId16501">
        <w:r>
          <w:rPr>
            <w:color w:val="0000EE"/>
            <w:u w:val="single"/>
          </w:rPr>
          <w:t>13</w:t>
        </w:r>
      </w:hyperlink>
      <w:r>
        <w:t>). Este relatório gerou uma enxurrada de cartas e viagens. Paul escreveu uma carta (que está agora perdida) para esta igreja (</w:t>
      </w:r>
      <w:hyperlink r:id="rId5868">
        <w:r>
          <w:rPr>
            <w:color w:val="0000EE"/>
            <w:u w:val="single"/>
          </w:rPr>
          <w:t>5.9</w:t>
        </w:r>
      </w:hyperlink>
      <w:r>
        <w:t>). A igreja em Corinto escreveu uma carta (</w:t>
      </w:r>
      <w:hyperlink r:id="rId4393">
        <w:r>
          <w:rPr>
            <w:color w:val="0000EE"/>
            <w:u w:val="single"/>
          </w:rPr>
          <w:t>7.1</w:t>
        </w:r>
      </w:hyperlink>
      <w:r>
        <w:t>) e enviou mensageiros a Paulo (</w:t>
      </w:r>
      <w:hyperlink r:id="rId5756">
        <w:r>
          <w:rPr>
            <w:color w:val="0000EE"/>
            <w:u w:val="single"/>
          </w:rPr>
          <w:t>16.17</w:t>
        </w:r>
      </w:hyperlink>
      <w:r>
        <w:t>), e ele enviou Timóteo a eles (</w:t>
      </w:r>
      <w:hyperlink r:id="rId10878">
        <w:r>
          <w:rPr>
            <w:color w:val="0000EE"/>
            <w:u w:val="single"/>
          </w:rPr>
          <w:t>4.17</w:t>
        </w:r>
      </w:hyperlink>
      <w:r>
        <w:t xml:space="preserve">; </w:t>
      </w:r>
      <w:hyperlink r:id="rId16502">
        <w:r>
          <w:rPr>
            <w:color w:val="0000EE"/>
            <w:u w:val="single"/>
          </w:rPr>
          <w:t>16.10</w:t>
        </w:r>
      </w:hyperlink>
      <w:r>
        <w:t>). Então, Paulo escreveu 1 Coríntios (53 d.C.) e enviou por meio de Tito, que deveria encontrá-lo em Trôade para relatar os resultados (</w:t>
      </w:r>
      <w:hyperlink r:id="rId5887">
        <w:r>
          <w:rPr>
            <w:color w:val="0000EE"/>
            <w:u w:val="single"/>
          </w:rPr>
          <w:t>2 Coríntios 2.12</w:t>
        </w:r>
      </w:hyperlink>
      <w:r>
        <w:t>–</w:t>
      </w:r>
      <w:hyperlink r:id="rId5887">
        <w:r>
          <w:rPr>
            <w:color w:val="0000EE"/>
            <w:u w:val="single"/>
          </w:rPr>
          <w:t>13</w:t>
        </w:r>
      </w:hyperlink>
      <w:r>
        <w:t>).</w:t>
      </w:r>
    </w:p>
    <w:p>
      <w:r/>
      <w:r>
        <w:t>Após sua saída apressada de Éfeso, Paulo encontrou uma oportunidade para o evangelho em Trôade. Mas ele ansiava tanto por notícias de Corinto que continuou sua jornada até a Macedônia (</w:t>
      </w:r>
      <w:hyperlink r:id="rId5887">
        <w:r>
          <w:rPr>
            <w:color w:val="0000EE"/>
            <w:u w:val="single"/>
          </w:rPr>
          <w:t>2 Coríntios 2.12</w:t>
        </w:r>
      </w:hyperlink>
      <w:r>
        <w:t>–</w:t>
      </w:r>
      <w:hyperlink r:id="rId5887">
        <w:r>
          <w:rPr>
            <w:color w:val="0000EE"/>
            <w:u w:val="single"/>
          </w:rPr>
          <w:t>13</w:t>
        </w:r>
      </w:hyperlink>
      <w:r>
        <w:t>). Lá, ele foi finalmente confortado por Tito (</w:t>
      </w:r>
      <w:hyperlink r:id="rId16503">
        <w:r>
          <w:rPr>
            <w:color w:val="0000EE"/>
            <w:u w:val="single"/>
          </w:rPr>
          <w:t>7.5</w:t>
        </w:r>
      </w:hyperlink>
      <w:r>
        <w:t>–</w:t>
      </w:r>
      <w:hyperlink r:id="rId16503">
        <w:r>
          <w:rPr>
            <w:color w:val="0000EE"/>
            <w:u w:val="single"/>
          </w:rPr>
          <w:t>7</w:t>
        </w:r>
      </w:hyperlink>
      <w:r>
        <w:t xml:space="preserve">) e se alegrou com as notícias do arrependimento, seriedade, saudade e zelo dos coríntios (versos </w:t>
      </w:r>
      <w:hyperlink r:id="rId16504">
        <w:r>
          <w:rPr>
            <w:color w:val="0000EE"/>
            <w:u w:val="single"/>
          </w:rPr>
          <w:t>8</w:t>
        </w:r>
      </w:hyperlink>
      <w:r>
        <w:t>–</w:t>
      </w:r>
      <w:hyperlink r:id="rId16504">
        <w:r>
          <w:rPr>
            <w:color w:val="0000EE"/>
            <w:u w:val="single"/>
          </w:rPr>
          <w:t>16</w:t>
        </w:r>
      </w:hyperlink>
      <w:r>
        <w:t>). Da Macedônia, Paulo escreveu 2 Coríntios (54 d.C.), percorreu o Noroeste para proclamar as boas novas de Cristo em Ilírico (</w:t>
      </w:r>
      <w:hyperlink r:id="rId10897">
        <w:r>
          <w:rPr>
            <w:color w:val="0000EE"/>
            <w:u w:val="single"/>
          </w:rPr>
          <w:t>Romanos 15.19</w:t>
        </w:r>
      </w:hyperlink>
      <w:r>
        <w:t>), e depois se voltou para o sul para Acaia e sua terceira visita a Corinto (</w:t>
      </w:r>
      <w:hyperlink r:id="rId16505">
        <w:r>
          <w:rPr>
            <w:color w:val="0000EE"/>
            <w:u w:val="single"/>
          </w:rPr>
          <w:t>Atos 19.21</w:t>
        </w:r>
      </w:hyperlink>
      <w:r>
        <w:t xml:space="preserve">; </w:t>
      </w:r>
      <w:hyperlink r:id="rId13543">
        <w:r>
          <w:rPr>
            <w:color w:val="0000EE"/>
            <w:u w:val="single"/>
          </w:rPr>
          <w:t>20.1</w:t>
        </w:r>
      </w:hyperlink>
      <w:r>
        <w:t>–</w:t>
      </w:r>
      <w:hyperlink r:id="rId13543">
        <w:r>
          <w:rPr>
            <w:color w:val="0000EE"/>
            <w:u w:val="single"/>
          </w:rPr>
          <w:t>3</w:t>
        </w:r>
      </w:hyperlink>
      <w:r>
        <w:t xml:space="preserve">; </w:t>
      </w:r>
      <w:hyperlink r:id="rId12445">
        <w:r>
          <w:rPr>
            <w:color w:val="0000EE"/>
            <w:u w:val="single"/>
          </w:rPr>
          <w:t>2Co 13.1</w:t>
        </w:r>
      </w:hyperlink>
      <w:r>
        <w:t>).</w:t>
      </w:r>
    </w:p>
    <w:p>
      <w:r/>
      <w:r>
        <w:t>O tempo e o lugar de onde Paulo escreveu sua carta aos gálatas é um tópico de controvérsia. Alguns datam antes do concílio em Jerusalém, cerca de 45 d.C. Outros dizem que ele escreveu de Corinto neste estágio de sua história. A última opinião é a escolha desta narrativa.</w:t>
      </w:r>
    </w:p>
    <w:p>
      <w:r/>
      <w:r>
        <w:t>Uma estadia de inverno de três meses em Corinto (55–56 d.C.) resultou na carta aos Romanos, que estabeleceu firmemente a referência do evangelho para todos os tempos. Paulo tinha muitos amigos pessoais em Roma (</w:t>
      </w:r>
      <w:hyperlink r:id="rId4409">
        <w:r>
          <w:rPr>
            <w:color w:val="0000EE"/>
            <w:u w:val="single"/>
          </w:rPr>
          <w:t>Romanos 16</w:t>
        </w:r>
      </w:hyperlink>
      <w:r>
        <w:t>) e há muito tempo pretendia visitar lá (</w:t>
      </w:r>
      <w:hyperlink r:id="rId16506">
        <w:r>
          <w:rPr>
            <w:color w:val="0000EE"/>
            <w:u w:val="single"/>
          </w:rPr>
          <w:t>1.10</w:t>
        </w:r>
      </w:hyperlink>
      <w:r>
        <w:t>–</w:t>
      </w:r>
      <w:hyperlink r:id="rId16506">
        <w:r>
          <w:rPr>
            <w:color w:val="0000EE"/>
            <w:u w:val="single"/>
          </w:rPr>
          <w:t>15</w:t>
        </w:r>
      </w:hyperlink>
      <w:r>
        <w:t>). Ele planejava entregar uma oferta das igrejas gentias para Jerusalém (</w:t>
      </w:r>
      <w:hyperlink r:id="rId16439">
        <w:r>
          <w:rPr>
            <w:color w:val="0000EE"/>
            <w:u w:val="single"/>
          </w:rPr>
          <w:t>Atos 20.35</w:t>
        </w:r>
      </w:hyperlink>
      <w:r>
        <w:t xml:space="preserve">; </w:t>
      </w:r>
      <w:hyperlink r:id="rId16507">
        <w:r>
          <w:rPr>
            <w:color w:val="0000EE"/>
            <w:u w:val="single"/>
          </w:rPr>
          <w:t>Romanos 15.5</w:t>
        </w:r>
      </w:hyperlink>
      <w:r>
        <w:t>–</w:t>
      </w:r>
      <w:hyperlink r:id="rId16507">
        <w:r>
          <w:rPr>
            <w:color w:val="0000EE"/>
            <w:u w:val="single"/>
          </w:rPr>
          <w:t>26</w:t>
        </w:r>
      </w:hyperlink>
      <w:r>
        <w:t xml:space="preserve">; </w:t>
      </w:r>
      <w:hyperlink r:id="rId4390">
        <w:r>
          <w:rPr>
            <w:color w:val="0000EE"/>
            <w:u w:val="single"/>
          </w:rPr>
          <w:t>1 Coríntios 16.1</w:t>
        </w:r>
      </w:hyperlink>
      <w:r>
        <w:t>) e depois visitar Roma (</w:t>
      </w:r>
      <w:hyperlink r:id="rId16505">
        <w:r>
          <w:rPr>
            <w:color w:val="0000EE"/>
            <w:u w:val="single"/>
          </w:rPr>
          <w:t>Atos 19.21</w:t>
        </w:r>
      </w:hyperlink>
      <w:r>
        <w:t>) em seu caminho para a Espanha (</w:t>
      </w:r>
      <w:hyperlink r:id="rId4395">
        <w:r>
          <w:rPr>
            <w:color w:val="0000EE"/>
            <w:u w:val="single"/>
          </w:rPr>
          <w:t>Romanos 15.23</w:t>
        </w:r>
      </w:hyperlink>
      <w:r>
        <w:t>–</w:t>
      </w:r>
      <w:hyperlink r:id="rId4395">
        <w:r>
          <w:rPr>
            <w:color w:val="0000EE"/>
            <w:u w:val="single"/>
          </w:rPr>
          <w:t>24</w:t>
        </w:r>
      </w:hyperlink>
      <w:r>
        <w:t>).</w:t>
      </w:r>
    </w:p>
    <w:p>
      <w:pPr>
        <w:pStyle w:val="Heading3"/>
      </w:pPr>
      <w:r>
        <w:t>A prisão em Jerusalém</w:t>
      </w:r>
    </w:p>
    <w:p>
      <w:r/>
      <w:r>
        <w:t>A viagem de Corinto a Jerusalém foi marcada por abundantes avisos do perigo que o esperavam em Jerusalém. A animosidade dos judaizantes em relação a Paulo era um assunto comum em todos os lugares, mas todos os avisos foram ignorados (</w:t>
      </w:r>
      <w:hyperlink r:id="rId16508">
        <w:r>
          <w:rPr>
            <w:color w:val="0000EE"/>
            <w:u w:val="single"/>
          </w:rPr>
          <w:t>Atos 20.22</w:t>
        </w:r>
      </w:hyperlink>
      <w:r>
        <w:t>–</w:t>
      </w:r>
      <w:hyperlink r:id="rId16508">
        <w:r>
          <w:rPr>
            <w:color w:val="0000EE"/>
            <w:u w:val="single"/>
          </w:rPr>
          <w:t>24, 38</w:t>
        </w:r>
      </w:hyperlink>
      <w:r>
        <w:t xml:space="preserve">; </w:t>
      </w:r>
      <w:hyperlink r:id="rId16509">
        <w:r>
          <w:rPr>
            <w:color w:val="0000EE"/>
            <w:u w:val="single"/>
          </w:rPr>
          <w:t>21.4, 10</w:t>
        </w:r>
      </w:hyperlink>
      <w:r>
        <w:t>–</w:t>
      </w:r>
      <w:hyperlink r:id="rId16509">
        <w:r>
          <w:rPr>
            <w:color w:val="0000EE"/>
            <w:u w:val="single"/>
          </w:rPr>
          <w:t>15</w:t>
        </w:r>
      </w:hyperlink>
      <w:r>
        <w:t xml:space="preserve">). No entanto, o pedido de oração em </w:t>
      </w:r>
      <w:hyperlink r:id="rId16510">
        <w:r>
          <w:rPr>
            <w:color w:val="0000EE"/>
            <w:u w:val="single"/>
          </w:rPr>
          <w:t>Romanos 15.30</w:t>
        </w:r>
      </w:hyperlink>
      <w:r>
        <w:t>–</w:t>
      </w:r>
      <w:hyperlink r:id="rId16510">
        <w:r>
          <w:rPr>
            <w:color w:val="0000EE"/>
            <w:u w:val="single"/>
          </w:rPr>
          <w:t>32</w:t>
        </w:r>
      </w:hyperlink>
      <w:r>
        <w:t xml:space="preserve"> mostra que Paulo sabia que em breve poderia precisar de um resgate divino dos incrédulos na Judeia.</w:t>
      </w:r>
    </w:p>
    <w:p>
      <w:r/>
      <w:r>
        <w:t>Os viajantes, carregando a oferta para Jerusalém, viajaram rapidamente para chegar a Jerusalém até o Pentecostes (</w:t>
      </w:r>
      <w:hyperlink r:id="rId6285">
        <w:r>
          <w:rPr>
            <w:color w:val="0000EE"/>
            <w:u w:val="single"/>
          </w:rPr>
          <w:t>Atos 20.16</w:t>
        </w:r>
      </w:hyperlink>
      <w:r>
        <w:t xml:space="preserve">). Eles seguiram por terra desde Acaia, passando pela Macedônia, para Filipos a tempo da Páscoa (primavera 56 d.C., verso </w:t>
      </w:r>
      <w:hyperlink r:id="rId9527">
        <w:r>
          <w:rPr>
            <w:color w:val="0000EE"/>
            <w:u w:val="single"/>
          </w:rPr>
          <w:t>6</w:t>
        </w:r>
      </w:hyperlink>
      <w:r>
        <w:t xml:space="preserve">). Atravessando pelo mar para Trôade, eles visitaram os crentes de lá (versos </w:t>
      </w:r>
      <w:hyperlink r:id="rId8635">
        <w:r>
          <w:rPr>
            <w:color w:val="0000EE"/>
            <w:u w:val="single"/>
          </w:rPr>
          <w:t>7</w:t>
        </w:r>
      </w:hyperlink>
      <w:r>
        <w:t>-</w:t>
      </w:r>
      <w:hyperlink r:id="rId8635">
        <w:r>
          <w:rPr>
            <w:color w:val="0000EE"/>
            <w:u w:val="single"/>
          </w:rPr>
          <w:t>12</w:t>
        </w:r>
      </w:hyperlink>
      <w:r>
        <w:t xml:space="preserve">). Então, eles navegaram pelo arquipélago [um grupo de ilhas] do leste do Mar Egeu até Mileto (versos </w:t>
      </w:r>
      <w:hyperlink r:id="rId16511">
        <w:r>
          <w:rPr>
            <w:color w:val="0000EE"/>
            <w:u w:val="single"/>
          </w:rPr>
          <w:t>13</w:t>
        </w:r>
      </w:hyperlink>
      <w:r>
        <w:t>-</w:t>
      </w:r>
      <w:hyperlink r:id="rId16511">
        <w:r>
          <w:rPr>
            <w:color w:val="0000EE"/>
            <w:u w:val="single"/>
          </w:rPr>
          <w:t>16</w:t>
        </w:r>
      </w:hyperlink>
      <w:r>
        <w:t xml:space="preserve">). De Mileto, Paulo mandou chamar os anciãos de Éfeso, a quem ele proferiu um discurso apaixonado contendo seus próprios avisos terríveis para eles (versos </w:t>
      </w:r>
      <w:hyperlink r:id="rId16512">
        <w:r>
          <w:rPr>
            <w:color w:val="0000EE"/>
            <w:u w:val="single"/>
          </w:rPr>
          <w:t>17</w:t>
        </w:r>
      </w:hyperlink>
      <w:r>
        <w:t>–</w:t>
      </w:r>
      <w:hyperlink r:id="rId16512">
        <w:r>
          <w:rPr>
            <w:color w:val="0000EE"/>
            <w:u w:val="single"/>
          </w:rPr>
          <w:t>38</w:t>
        </w:r>
      </w:hyperlink>
      <w:r>
        <w:t>).</w:t>
      </w:r>
    </w:p>
    <w:p>
      <w:r/>
      <w:r>
        <w:t>Separando-se deles, Paulo e seus companheiros partiram de barco para Cós, para Rodes e depois para Pátara. Lá, eles trocaram de navio para a Fenícia (</w:t>
      </w:r>
      <w:hyperlink r:id="rId16404">
        <w:r>
          <w:rPr>
            <w:color w:val="0000EE"/>
            <w:u w:val="single"/>
          </w:rPr>
          <w:t>Atos 21.1</w:t>
        </w:r>
      </w:hyperlink>
      <w:r>
        <w:t>–</w:t>
      </w:r>
      <w:hyperlink r:id="rId16404">
        <w:r>
          <w:rPr>
            <w:color w:val="0000EE"/>
            <w:u w:val="single"/>
          </w:rPr>
          <w:t>2</w:t>
        </w:r>
      </w:hyperlink>
      <w:r>
        <w:t xml:space="preserve">). Um caminho direto para Tiro os trouxe à vista de Chipre, com suas memórias de Barnabé e Sérgio Paulo (verso </w:t>
      </w:r>
      <w:hyperlink r:id="rId4836">
        <w:r>
          <w:rPr>
            <w:color w:val="0000EE"/>
            <w:u w:val="single"/>
          </w:rPr>
          <w:t>3</w:t>
        </w:r>
      </w:hyperlink>
      <w:r>
        <w:t xml:space="preserve">). “Através do Espírito”, os discípulos em Tiro “continuavam dizendo a Paulo para não ir até Jerusalém” (verso </w:t>
      </w:r>
      <w:hyperlink r:id="rId16509">
        <w:r>
          <w:rPr>
            <w:color w:val="0000EE"/>
            <w:u w:val="single"/>
          </w:rPr>
          <w:t>4</w:t>
        </w:r>
      </w:hyperlink>
      <w:r>
        <w:t>), mas ele seguiu em frente até Cesareia. Lá, ele e sua companhia ficaram com Filipe, que havia anteriormente servido com o Estêvão martirizado (</w:t>
      </w:r>
      <w:hyperlink r:id="rId4727">
        <w:r>
          <w:rPr>
            <w:color w:val="0000EE"/>
            <w:u w:val="single"/>
          </w:rPr>
          <w:t>21.8</w:t>
        </w:r>
      </w:hyperlink>
      <w:r>
        <w:t xml:space="preserve">; compare </w:t>
      </w:r>
      <w:hyperlink r:id="rId1992">
        <w:r>
          <w:rPr>
            <w:color w:val="0000EE"/>
            <w:u w:val="single"/>
          </w:rPr>
          <w:t>6.5</w:t>
        </w:r>
      </w:hyperlink>
      <w:r>
        <w:t>). Em Cesareia, Paulo não seria persuadido por uma profecia particularmente dramática de sua próxima prisão (</w:t>
      </w:r>
      <w:hyperlink r:id="rId16513">
        <w:r>
          <w:rPr>
            <w:color w:val="0000EE"/>
            <w:u w:val="single"/>
          </w:rPr>
          <w:t>21.10</w:t>
        </w:r>
      </w:hyperlink>
      <w:r>
        <w:t>–</w:t>
      </w:r>
      <w:hyperlink r:id="rId16513">
        <w:r>
          <w:rPr>
            <w:color w:val="0000EE"/>
            <w:u w:val="single"/>
          </w:rPr>
          <w:t>14</w:t>
        </w:r>
      </w:hyperlink>
      <w:r>
        <w:t>).</w:t>
      </w:r>
    </w:p>
    <w:p>
      <w:r/>
      <w:r>
        <w:t>Em Jerusalém, o grupo de apóstolos ficou com Mnason, um dos primeiros discípulos, e foram calorosamente recebidos pelos irmãos lá (</w:t>
      </w:r>
      <w:hyperlink r:id="rId16514">
        <w:r>
          <w:rPr>
            <w:color w:val="0000EE"/>
            <w:u w:val="single"/>
          </w:rPr>
          <w:t>Atos 21.15</w:t>
        </w:r>
      </w:hyperlink>
      <w:r>
        <w:t>–</w:t>
      </w:r>
      <w:hyperlink r:id="rId16514">
        <w:r>
          <w:rPr>
            <w:color w:val="0000EE"/>
            <w:u w:val="single"/>
          </w:rPr>
          <w:t>17</w:t>
        </w:r>
      </w:hyperlink>
      <w:r>
        <w:t xml:space="preserve">). Tiago e os presbíteros da igreja louvaram a Deus quando ouviram falar das coisas que ele havia feito por meio de Paulo entre os gentios (versos </w:t>
      </w:r>
      <w:hyperlink r:id="rId16515">
        <w:r>
          <w:rPr>
            <w:color w:val="0000EE"/>
            <w:u w:val="single"/>
          </w:rPr>
          <w:t>18</w:t>
        </w:r>
      </w:hyperlink>
      <w:r>
        <w:t>–</w:t>
      </w:r>
      <w:hyperlink r:id="rId16515">
        <w:r>
          <w:rPr>
            <w:color w:val="0000EE"/>
            <w:u w:val="single"/>
          </w:rPr>
          <w:t>20</w:t>
        </w:r>
      </w:hyperlink>
      <w:r>
        <w:t>), e quando receberam a oferta das igrejas (</w:t>
      </w:r>
      <w:hyperlink r:id="rId4386">
        <w:r>
          <w:rPr>
            <w:color w:val="0000EE"/>
            <w:u w:val="single"/>
          </w:rPr>
          <w:t>24.17</w:t>
        </w:r>
      </w:hyperlink>
      <w:r>
        <w:t>). Eles contaram a Paulo de sua má fama entre os milhares de crentes judeus em Jerusalém e o instaram a corrigir a deturpação dos judaizantes, de que ele encorajava os cristãos judeus a abandonar os costumes mosaicos (</w:t>
      </w:r>
      <w:hyperlink r:id="rId16516">
        <w:r>
          <w:rPr>
            <w:color w:val="0000EE"/>
            <w:u w:val="single"/>
          </w:rPr>
          <w:t>21.21</w:t>
        </w:r>
      </w:hyperlink>
      <w:r>
        <w:t>–</w:t>
      </w:r>
      <w:hyperlink r:id="rId16516">
        <w:r>
          <w:rPr>
            <w:color w:val="0000EE"/>
            <w:u w:val="single"/>
          </w:rPr>
          <w:t>24</w:t>
        </w:r>
      </w:hyperlink>
      <w:r>
        <w:t xml:space="preserve">). </w:t>
      </w:r>
      <w:hyperlink r:id="rId8592">
        <w:r>
          <w:rPr>
            <w:color w:val="0000EE"/>
            <w:u w:val="single"/>
          </w:rPr>
          <w:t>Atos 21.25</w:t>
        </w:r>
      </w:hyperlink>
      <w:r>
        <w:t xml:space="preserve"> mostra que os presbíteros de Jerusalém entendiam que os gentios não tinham obrigação de observar a lei de Moisés. O interesse deles era que Paulo demonstrasse que os crentes judeus eram livres para continuar suas observâncias tradicionais.</w:t>
      </w:r>
    </w:p>
    <w:p>
      <w:r/>
      <w:r>
        <w:t>Paulo havia mantido as festas judaicas (</w:t>
      </w:r>
      <w:hyperlink r:id="rId9527">
        <w:r>
          <w:rPr>
            <w:color w:val="0000EE"/>
            <w:u w:val="single"/>
          </w:rPr>
          <w:t>Atos 20.6</w:t>
        </w:r>
      </w:hyperlink>
      <w:r>
        <w:t>), assim como Jesus e os primeiros discípulos em Jerusalém. Ele também havia cortado seu cabelo em um voto em Cencreia (</w:t>
      </w:r>
      <w:hyperlink r:id="rId3928">
        <w:r>
          <w:rPr>
            <w:color w:val="0000EE"/>
            <w:u w:val="single"/>
          </w:rPr>
          <w:t>18.18</w:t>
        </w:r>
      </w:hyperlink>
      <w:r>
        <w:t>), então era algo para ele não importava, um judeu, purificar-se cerimonialmente depois de se tornar cristão, especialmente se isso enfraquecesse os argumentos dos judaizantes. Ter rejeitado o pedido dos presbíteros teria conferido credibilidade à acusação dos judaizantes. O sucesso deste plano é visto na medida em que foram os judeus da Ásia, visitando Jerusalém para a festa de Pentecostes de 57 d.C., que causaram problemas para Paulo (</w:t>
      </w:r>
      <w:hyperlink r:id="rId16517">
        <w:r>
          <w:rPr>
            <w:color w:val="0000EE"/>
            <w:u w:val="single"/>
          </w:rPr>
          <w:t>21.27</w:t>
        </w:r>
      </w:hyperlink>
      <w:r>
        <w:t>–</w:t>
      </w:r>
      <w:hyperlink r:id="rId16517">
        <w:r>
          <w:rPr>
            <w:color w:val="0000EE"/>
            <w:u w:val="single"/>
          </w:rPr>
          <w:t>29</w:t>
        </w:r>
      </w:hyperlink>
      <w:r>
        <w:t>) — não os judaizantes de Jerusalém.</w:t>
      </w:r>
    </w:p>
    <w:p>
      <w:r/>
      <w:r>
        <w:t>Toda a cidade ficou agitada pelos persistentes perseguidores de Paulo. Uma multidão violenta o arrastou para fora do templo, assim como Estêvão havia sido levado para seu martírio. Eles tentaram matá-lo, mas ele foi resgatado por soldados romanos enquanto a multidão gritava: “Fora com ele!” — assim como eles haviam feito com Jesus (</w:t>
      </w:r>
      <w:hyperlink r:id="rId16518">
        <w:r>
          <w:rPr>
            <w:color w:val="0000EE"/>
            <w:u w:val="single"/>
          </w:rPr>
          <w:t>Atos 21.30</w:t>
        </w:r>
      </w:hyperlink>
      <w:r>
        <w:t>–</w:t>
      </w:r>
      <w:hyperlink r:id="rId16518">
        <w:r>
          <w:rPr>
            <w:color w:val="0000EE"/>
            <w:u w:val="single"/>
          </w:rPr>
          <w:t>36</w:t>
        </w:r>
      </w:hyperlink>
      <w:r>
        <w:t xml:space="preserve">). Neste momento, a diversidade educacional e eclesiástica da vida de Paulo veio em seu resgate. Ao ser levado em segurança para os quartéis romanos, ele falou em grego com a tribuno, que o havia confundido com um assassino egípcio (versos </w:t>
      </w:r>
      <w:hyperlink r:id="rId16519">
        <w:r>
          <w:rPr>
            <w:color w:val="0000EE"/>
            <w:u w:val="single"/>
          </w:rPr>
          <w:t>37</w:t>
        </w:r>
      </w:hyperlink>
      <w:r>
        <w:t>–</w:t>
      </w:r>
      <w:hyperlink r:id="rId16519">
        <w:r>
          <w:rPr>
            <w:color w:val="0000EE"/>
            <w:u w:val="single"/>
          </w:rPr>
          <w:t>38</w:t>
        </w:r>
      </w:hyperlink>
      <w:r>
        <w:t xml:space="preserve">). Com permissão para falar com a multidão, ele o fez na língua aramaica, então comum em Israel (versos </w:t>
      </w:r>
      <w:hyperlink r:id="rId16520">
        <w:r>
          <w:rPr>
            <w:color w:val="0000EE"/>
            <w:u w:val="single"/>
          </w:rPr>
          <w:t>39</w:t>
        </w:r>
      </w:hyperlink>
      <w:r>
        <w:t>–</w:t>
      </w:r>
      <w:hyperlink r:id="rId16520">
        <w:r>
          <w:rPr>
            <w:color w:val="0000EE"/>
            <w:u w:val="single"/>
          </w:rPr>
          <w:t>40</w:t>
        </w:r>
      </w:hyperlink>
      <w:r>
        <w:t>). A multidão silenciada ouviu ansiosamente a defesa de Paulo até que ele pronunciou a palavra “gentios”. Com isso, a multidão retomou sua ameaça e violência, e Paulo foi trazido para os quartéis (</w:t>
      </w:r>
      <w:hyperlink r:id="rId16521">
        <w:r>
          <w:rPr>
            <w:color w:val="0000EE"/>
            <w:u w:val="single"/>
          </w:rPr>
          <w:t>22.1</w:t>
        </w:r>
      </w:hyperlink>
      <w:r>
        <w:t>–</w:t>
      </w:r>
      <w:hyperlink r:id="rId16521">
        <w:r>
          <w:rPr>
            <w:color w:val="0000EE"/>
            <w:u w:val="single"/>
          </w:rPr>
          <w:t>24</w:t>
        </w:r>
      </w:hyperlink>
      <w:r>
        <w:t xml:space="preserve">). Lá, os romanos se prepararam para açoitá-lo, até que Paulo revelou que ele não era apenas um judeu de Tarso, mas também um cidadão romano nascido livre. O tribuno estava com medo, uma vez que ele havia prendido um cidadão romano. Querendo saber os crimes contra Paulo, ele o trouxe para o Sinédrio (versos </w:t>
      </w:r>
      <w:hyperlink r:id="rId16522">
        <w:r>
          <w:rPr>
            <w:color w:val="0000EE"/>
            <w:u w:val="single"/>
          </w:rPr>
          <w:t>25</w:t>
        </w:r>
      </w:hyperlink>
      <w:r>
        <w:t>–</w:t>
      </w:r>
      <w:hyperlink r:id="rId16522">
        <w:r>
          <w:rPr>
            <w:color w:val="0000EE"/>
            <w:u w:val="single"/>
          </w:rPr>
          <w:t>30</w:t>
        </w:r>
      </w:hyperlink>
      <w:r>
        <w:t>).</w:t>
      </w:r>
    </w:p>
    <w:p>
      <w:r/>
      <w:r>
        <w:t>Esta reunião do judiciário judaico foi logo reduzida à dissensão e violência. Ele recorreu a táticas justificáveis em tal situação de conflito e dividiu irremediavelmente o Sinédrio sobre o tema da ressurreição (</w:t>
      </w:r>
      <w:hyperlink r:id="rId16523">
        <w:r>
          <w:rPr>
            <w:color w:val="0000EE"/>
            <w:u w:val="single"/>
          </w:rPr>
          <w:t>Atos 23.1</w:t>
        </w:r>
      </w:hyperlink>
      <w:r>
        <w:t>–</w:t>
      </w:r>
      <w:hyperlink r:id="rId16523">
        <w:r>
          <w:rPr>
            <w:color w:val="0000EE"/>
            <w:u w:val="single"/>
          </w:rPr>
          <w:t>9</w:t>
        </w:r>
      </w:hyperlink>
      <w:r>
        <w:t xml:space="preserve">). Paulo foi novamente resgatado, desta vez das facções em conflito da liderança judaica, e levado para os quartéis, onde o Senhor o encorajou, prometendo que ele iria para Roma (56 d.C., versos </w:t>
      </w:r>
      <w:hyperlink r:id="rId16524">
        <w:r>
          <w:rPr>
            <w:color w:val="0000EE"/>
            <w:u w:val="single"/>
          </w:rPr>
          <w:t>10</w:t>
        </w:r>
      </w:hyperlink>
      <w:r>
        <w:t>–</w:t>
      </w:r>
      <w:hyperlink r:id="rId16524">
        <w:r>
          <w:rPr>
            <w:color w:val="0000EE"/>
            <w:u w:val="single"/>
          </w:rPr>
          <w:t>11</w:t>
        </w:r>
      </w:hyperlink>
      <w:r>
        <w:t>).</w:t>
      </w:r>
    </w:p>
    <w:p>
      <w:r/>
      <w:r>
        <w:t>Enquanto isso, 40 judeus conspiraram para assassinar Paulo. Eles prometeram não comer ou beber até que tivessem matado o apóstolo (</w:t>
      </w:r>
      <w:hyperlink r:id="rId16525">
        <w:r>
          <w:rPr>
            <w:color w:val="0000EE"/>
            <w:u w:val="single"/>
          </w:rPr>
          <w:t>Atos 23.12</w:t>
        </w:r>
      </w:hyperlink>
      <w:r>
        <w:t>–</w:t>
      </w:r>
      <w:hyperlink r:id="rId16525">
        <w:r>
          <w:rPr>
            <w:color w:val="0000EE"/>
            <w:u w:val="single"/>
          </w:rPr>
          <w:t>15</w:t>
        </w:r>
      </w:hyperlink>
      <w:r>
        <w:t xml:space="preserve">). Eles quase tiveram sucesso, mas com a ajuda do filho da irmã de Paulo (verso </w:t>
      </w:r>
      <w:hyperlink r:id="rId16415">
        <w:r>
          <w:rPr>
            <w:color w:val="0000EE"/>
            <w:u w:val="single"/>
          </w:rPr>
          <w:t>16</w:t>
        </w:r>
      </w:hyperlink>
      <w:r>
        <w:t xml:space="preserve">), a conspiração foi exposta. Por segurança, Paulo foi levado de Jerusalém para Cesareia sob guarda de 470 soldados e entregue à guarda de Félix, o governador (versos </w:t>
      </w:r>
      <w:hyperlink r:id="rId5005">
        <w:r>
          <w:rPr>
            <w:color w:val="0000EE"/>
            <w:u w:val="single"/>
          </w:rPr>
          <w:t>16</w:t>
        </w:r>
      </w:hyperlink>
      <w:r>
        <w:t>–</w:t>
      </w:r>
      <w:hyperlink r:id="rId5005">
        <w:r>
          <w:rPr>
            <w:color w:val="0000EE"/>
            <w:u w:val="single"/>
          </w:rPr>
          <w:t>35</w:t>
        </w:r>
      </w:hyperlink>
      <w:r>
        <w:t>). Audiências inconclusivas diante de Félix (</w:t>
      </w:r>
      <w:hyperlink r:id="rId4723">
        <w:r>
          <w:rPr>
            <w:color w:val="0000EE"/>
            <w:u w:val="single"/>
          </w:rPr>
          <w:t>Atos 24</w:t>
        </w:r>
      </w:hyperlink>
      <w:r>
        <w:t>), seu sucessor, Festo (</w:t>
      </w:r>
      <w:hyperlink r:id="rId6289">
        <w:r>
          <w:rPr>
            <w:color w:val="0000EE"/>
            <w:u w:val="single"/>
          </w:rPr>
          <w:t>25.1</w:t>
        </w:r>
      </w:hyperlink>
      <w:r>
        <w:t>–</w:t>
      </w:r>
      <w:hyperlink r:id="rId6289">
        <w:r>
          <w:rPr>
            <w:color w:val="0000EE"/>
            <w:u w:val="single"/>
          </w:rPr>
          <w:t>12</w:t>
        </w:r>
      </w:hyperlink>
      <w:r>
        <w:t>) e o rei Agripa (</w:t>
      </w:r>
      <w:hyperlink r:id="rId16526">
        <w:r>
          <w:rPr>
            <w:color w:val="0000EE"/>
            <w:u w:val="single"/>
          </w:rPr>
          <w:t>25.23–26.32</w:t>
        </w:r>
      </w:hyperlink>
      <w:r>
        <w:t>) em seus dois anos de prisão em Cesareia. Festo, querendo agradar os judeus, sugeriu que Paulo fosse devolvido a Jerusalém para julgamento, mas Paulo conhecia a intenção assassina de seus agressores e novamente utilizou sua cidadania romana fazendo um apelo dramático a César (</w:t>
      </w:r>
      <w:hyperlink r:id="rId16527">
        <w:r>
          <w:rPr>
            <w:color w:val="0000EE"/>
            <w:u w:val="single"/>
          </w:rPr>
          <w:t>25.9</w:t>
        </w:r>
      </w:hyperlink>
      <w:r>
        <w:t>–</w:t>
      </w:r>
      <w:hyperlink r:id="rId16527">
        <w:r>
          <w:rPr>
            <w:color w:val="0000EE"/>
            <w:u w:val="single"/>
          </w:rPr>
          <w:t>12</w:t>
        </w:r>
      </w:hyperlink>
      <w:r>
        <w:t>).</w:t>
      </w:r>
    </w:p>
    <w:p>
      <w:pPr>
        <w:pStyle w:val="Heading3"/>
      </w:pPr>
      <w:r>
        <w:t>Viagem e estadia em Roma</w:t>
      </w:r>
    </w:p>
    <w:p>
      <w:r/>
      <w:r>
        <w:t xml:space="preserve">Para defender seu caso na corte de César, Paulo e seus companheiros, Aristarco e Lucas foram levados em uma viagem perigosa (58 d.C., </w:t>
      </w:r>
      <w:hyperlink r:id="rId2836">
        <w:r>
          <w:rPr>
            <w:color w:val="0000EE"/>
            <w:u w:val="single"/>
          </w:rPr>
          <w:t>Atos 27.1–28.16</w:t>
        </w:r>
      </w:hyperlink>
      <w:r>
        <w:t>). Sua passagem de navio de Cesareia para Roma é uma das mais notáveis ​​já registradas. O relato detalhado de Lucas é um tesouro de informações sobre navios antigos, navegação e marinharia. É também um belo retrato de um apóstolo Paulo heroico e digno. Paulo era o embaixador do evangelho acorrentado (</w:t>
      </w:r>
      <w:hyperlink r:id="rId5117">
        <w:r>
          <w:rPr>
            <w:color w:val="0000EE"/>
            <w:u w:val="single"/>
          </w:rPr>
          <w:t>Efésios 6.20</w:t>
        </w:r>
      </w:hyperlink>
      <w:r>
        <w:t>), que, com a orientação e a prudência de seu Deus (</w:t>
      </w:r>
      <w:hyperlink r:id="rId16528">
        <w:r>
          <w:rPr>
            <w:color w:val="0000EE"/>
            <w:u w:val="single"/>
          </w:rPr>
          <w:t>Atos 27.23</w:t>
        </w:r>
      </w:hyperlink>
      <w:r>
        <w:t>–</w:t>
      </w:r>
      <w:hyperlink r:id="rId16528">
        <w:r>
          <w:rPr>
            <w:color w:val="0000EE"/>
            <w:u w:val="single"/>
          </w:rPr>
          <w:t>26</w:t>
        </w:r>
      </w:hyperlink>
      <w:r>
        <w:t xml:space="preserve">), conduzia as 276 pessoas a bordo para a segurança (verso </w:t>
      </w:r>
      <w:hyperlink r:id="rId16529">
        <w:r>
          <w:rPr>
            <w:color w:val="0000EE"/>
            <w:u w:val="single"/>
          </w:rPr>
          <w:t>37</w:t>
        </w:r>
      </w:hyperlink>
      <w:r>
        <w:t>).</w:t>
      </w:r>
    </w:p>
    <w:p>
      <w:r/>
      <w:r>
        <w:t>Lucas traça a viagem etapa por etapa através de cada crise, com uma mudança de navio em Mirra, um atraso em Bons Portos, em Creta, e o naufrágio em Malta. Finalmente, na primavera de 59 d.C., eles chegaram a Putéoli, na Itália, e fizeram seu caminho para Roma. Eles foram recebidos pelos crentes ao longo da praça de Ápio (</w:t>
      </w:r>
      <w:hyperlink r:id="rId16530">
        <w:r>
          <w:rPr>
            <w:color w:val="0000EE"/>
            <w:u w:val="single"/>
          </w:rPr>
          <w:t>Atos 28.13</w:t>
        </w:r>
      </w:hyperlink>
      <w:r>
        <w:t>–</w:t>
      </w:r>
      <w:hyperlink r:id="rId16530">
        <w:r>
          <w:rPr>
            <w:color w:val="0000EE"/>
            <w:u w:val="single"/>
          </w:rPr>
          <w:t>16</w:t>
        </w:r>
      </w:hyperlink>
      <w:r>
        <w:t>).</w:t>
      </w:r>
    </w:p>
    <w:p>
      <w:r/>
      <w:r>
        <w:t>Lucas forneceu uma resolução pacífica para Atos, mesmo que o apóstolo fosse um prisioneiro imperial de César Nero. Paulo vivia sozinho em sua própria casa, acorrentado a um guarda romano (</w:t>
      </w:r>
      <w:hyperlink r:id="rId12606">
        <w:r>
          <w:rPr>
            <w:color w:val="0000EE"/>
            <w:u w:val="single"/>
          </w:rPr>
          <w:t>Atos 28.16,30</w:t>
        </w:r>
      </w:hyperlink>
      <w:r>
        <w:t xml:space="preserve">). Lá, ele recebeu os líderes judeus locais — para acalmar quaisquer dúvidas que eles pudessem ter tido sobre ele e, ao mesmo tempo, convencê-los sobre Jesus. Seus esforços tiveram sucesso misto (versos </w:t>
      </w:r>
      <w:hyperlink r:id="rId16531">
        <w:r>
          <w:rPr>
            <w:color w:val="0000EE"/>
            <w:u w:val="single"/>
          </w:rPr>
          <w:t>17</w:t>
        </w:r>
      </w:hyperlink>
      <w:r>
        <w:t>–</w:t>
      </w:r>
      <w:hyperlink r:id="rId16531">
        <w:r>
          <w:rPr>
            <w:color w:val="0000EE"/>
            <w:u w:val="single"/>
          </w:rPr>
          <w:t>28</w:t>
        </w:r>
      </w:hyperlink>
      <w:r>
        <w:t>). Durante os dois ou mais anos em Roma, os judaizantes parecem ter se retirado, apenas para serem substituídos pelo perigo do gnosticismo oriental [um tipo de pensamento religioso que se concentra no conhecimento oculto e místico, valorizando o conhecimento sobre a fé]. Isso é visto nas cartas de Paulo aos filipenses, colossenses e efésios e a Filemom, todas escritas neste momento. É improvável que os acusadores de Paulo tenham aparecido em Roma para trazer queixas formais diante de César, então Paulo foi provavelmente liberto em 61 d.C.</w:t>
      </w:r>
    </w:p>
    <w:p>
      <w:pPr>
        <w:pStyle w:val="Heading3"/>
      </w:pPr>
      <w:r>
        <w:t>Anos finais e martírio</w:t>
      </w:r>
    </w:p>
    <w:p>
      <w:r/>
      <w:r>
        <w:t xml:space="preserve">Aqui é assumido que as Cartas Pastorais (1 Timóteo, 2 Timóteo e Tito) são verdadeiramente obras de Paulo. Somente através delas é possível traçar o provável curso dos eventos nos últimos anos de Paulo. </w:t>
      </w:r>
      <w:hyperlink r:id="rId10899">
        <w:r>
          <w:rPr>
            <w:color w:val="0000EE"/>
            <w:u w:val="single"/>
          </w:rPr>
          <w:t>Romanos 15.28</w:t>
        </w:r>
      </w:hyperlink>
      <w:r>
        <w:t xml:space="preserve"> mostra que Paulo pretendia entregar a oferta a Jerusalém e depois “partir para a Espanha passando por vocês [Roma]”. A prisão e o encarceramento em Jerusalém não apenas destruíram esses planos, mas também extraíram cinco anos preciosos do auge de uma vida muita produtiva. Embora Clemente de Roma tenha inferido que Paulo satisfez seu desejo de ir para a Espanha (</w:t>
      </w:r>
      <w:r>
        <w:rPr>
          <w:i/>
        </w:rPr>
        <w:t>Clemente aos Coríntios</w:t>
      </w:r>
      <w:r>
        <w:t xml:space="preserve"> 5), é certo que a pressão diária da preocupação de Paulo por todas as igrejas (</w:t>
      </w:r>
      <w:hyperlink r:id="rId16532">
        <w:r>
          <w:rPr>
            <w:color w:val="0000EE"/>
            <w:u w:val="single"/>
          </w:rPr>
          <w:t>2 Coríntios 11.28</w:t>
        </w:r>
      </w:hyperlink>
      <w:r>
        <w:t>) não diminuiu.</w:t>
      </w:r>
    </w:p>
    <w:p>
      <w:r/>
      <w:r>
        <w:t>Se Paulo foi para a Espanha, ele pode ter estado lá quando Roma foi queimada, em 19 de julho de 64 d.C. A tradição diz que ele viajou até Britânia, mas não há evidências para confirmar isso. Voltando para o leste, ele deixou Tito em Creta (</w:t>
      </w:r>
      <w:hyperlink r:id="rId1407">
        <w:r>
          <w:rPr>
            <w:color w:val="0000EE"/>
            <w:u w:val="single"/>
          </w:rPr>
          <w:t>Tito 1.5</w:t>
        </w:r>
      </w:hyperlink>
      <w:r>
        <w:t>) e viajou por Mileto, ao sul de Éfeso, onde ele deixou Trófimo doente (</w:t>
      </w:r>
      <w:hyperlink r:id="rId4381">
        <w:r>
          <w:rPr>
            <w:color w:val="0000EE"/>
            <w:u w:val="single"/>
          </w:rPr>
          <w:t>2 Timóteo 4.20</w:t>
        </w:r>
      </w:hyperlink>
      <w:r>
        <w:t>). Viajando em direção à Macedônia, Paulo visitou Timóteo em Éfeso (</w:t>
      </w:r>
      <w:hyperlink r:id="rId7677">
        <w:r>
          <w:rPr>
            <w:color w:val="0000EE"/>
            <w:u w:val="single"/>
          </w:rPr>
          <w:t>1 Timóteo 1.3</w:t>
        </w:r>
      </w:hyperlink>
      <w:r>
        <w:t>). No caminho, Paulo deixou seu manto e livros com Carpo em Trôade (</w:t>
      </w:r>
      <w:hyperlink r:id="rId16533">
        <w:r>
          <w:rPr>
            <w:color w:val="0000EE"/>
            <w:u w:val="single"/>
          </w:rPr>
          <w:t>2 Timóteo 4.13</w:t>
        </w:r>
      </w:hyperlink>
      <w:r>
        <w:t>). Isso indica que ele pretendia voltar lá para pegar seus pertences. Da Macedônia, Paulo escreveu sua primeira carta em tom amoroso, mas apreensivo, a Timóteo (62–64 d.C.). Ele havia decidido passar o inverno em Nicópolis (</w:t>
      </w:r>
      <w:hyperlink r:id="rId2611">
        <w:r>
          <w:rPr>
            <w:color w:val="0000EE"/>
            <w:u w:val="single"/>
          </w:rPr>
          <w:t>Tito 3.12</w:t>
        </w:r>
      </w:hyperlink>
      <w:r>
        <w:t>), a noroeste de Corinto, no Mar Adriático, mas ainda estava na Macedônia quando escreveu sua carta a Tito. Esta carta é semelhante à 1 Timóteo, porém com um tom um pouco mais áspero. Nele está um vislumbre final do eloquente e zeloso Apolo (</w:t>
      </w:r>
      <w:hyperlink r:id="rId16534">
        <w:r>
          <w:rPr>
            <w:color w:val="0000EE"/>
            <w:u w:val="single"/>
          </w:rPr>
          <w:t>Tito 3.13</w:t>
        </w:r>
      </w:hyperlink>
      <w:r>
        <w:t>), que ainda está em associação com Paulo, 10 ou mais anos após sua primeira aparição em Éfeso (</w:t>
      </w:r>
      <w:hyperlink r:id="rId744">
        <w:r>
          <w:rPr>
            <w:color w:val="0000EE"/>
            <w:u w:val="single"/>
          </w:rPr>
          <w:t>Atos 18.24</w:t>
        </w:r>
      </w:hyperlink>
      <w:r>
        <w:t>).</w:t>
      </w:r>
    </w:p>
    <w:p>
      <w:r/>
      <w:r>
        <w:t>A partir daqui, o caminho de Paulo é obscuro. Ele pode ter passado o inverno em Nicópolis, mas ele não voltou para Trôade para pegar seu manto de inverno (</w:t>
      </w:r>
      <w:hyperlink r:id="rId16533">
        <w:r>
          <w:rPr>
            <w:color w:val="0000EE"/>
            <w:u w:val="single"/>
          </w:rPr>
          <w:t>2 Timóteo 4.13</w:t>
        </w:r>
      </w:hyperlink>
      <w:r>
        <w:t xml:space="preserve">). Em algum momento, ele foi preso pelos romanos, porque ele passou um inverno na prisão Mamertina de Roma, sofrendo com o frio naquela cela de pedra antes de escrever sua segunda carta a Timóteo (66–67 d.C). Ele poderia estar antecipando o próximo inverno quando pediu que Timóteo trouxesse seu manto (versos </w:t>
      </w:r>
      <w:hyperlink r:id="rId16533">
        <w:r>
          <w:rPr>
            <w:color w:val="0000EE"/>
            <w:u w:val="single"/>
          </w:rPr>
          <w:t>13, 21</w:t>
        </w:r>
      </w:hyperlink>
      <w:r>
        <w:t>). As denúncias contra Paulo estavam possivelmente relacionadas com a queima de Roma (isso é desconhecido). Era, no entanto, “ilegal” naquele momento ser um cristão, uma vez que a “nova religião” não era mais protegida pela lei romana como parte do judaísmo (que era uma religião legalizada e reconhecida pela lei romana).</w:t>
      </w:r>
    </w:p>
    <w:p>
      <w:r/>
      <w:r>
        <w:t>Era perigoso ser associado com Paulo neste momento. Muitos o abandonaram (</w:t>
      </w:r>
      <w:hyperlink r:id="rId11949">
        <w:r>
          <w:rPr>
            <w:color w:val="0000EE"/>
            <w:u w:val="single"/>
          </w:rPr>
          <w:t>2 Timóteo 4.16</w:t>
        </w:r>
      </w:hyperlink>
      <w:r>
        <w:t>), incluindo todos os seus cooperadores na Ásia (</w:t>
      </w:r>
      <w:hyperlink r:id="rId2750">
        <w:r>
          <w:rPr>
            <w:color w:val="0000EE"/>
            <w:u w:val="single"/>
          </w:rPr>
          <w:t>1:15</w:t>
        </w:r>
      </w:hyperlink>
      <w:r>
        <w:t>) e Demas, que amavam o mundo (</w:t>
      </w:r>
      <w:hyperlink r:id="rId9714">
        <w:r>
          <w:rPr>
            <w:color w:val="0000EE"/>
            <w:u w:val="single"/>
          </w:rPr>
          <w:t>4:10</w:t>
        </w:r>
      </w:hyperlink>
      <w:r>
        <w:t xml:space="preserve">). Apenas Lucas, o médico e autor do livro de Lucas e Atos, estava com ele quando escreveu sua segunda carta a Timóteo (verso </w:t>
      </w:r>
      <w:hyperlink r:id="rId2830">
        <w:r>
          <w:rPr>
            <w:color w:val="0000EE"/>
            <w:u w:val="single"/>
          </w:rPr>
          <w:t>11</w:t>
        </w:r>
      </w:hyperlink>
      <w:r>
        <w:t>). Os crentes fiéis ainda se escondendo em Roma também estavam em contato com o apóstolo (</w:t>
      </w:r>
      <w:hyperlink r:id="rId16535">
        <w:r>
          <w:rPr>
            <w:color w:val="0000EE"/>
            <w:u w:val="single"/>
          </w:rPr>
          <w:t>1.16</w:t>
        </w:r>
      </w:hyperlink>
      <w:r>
        <w:t xml:space="preserve">; </w:t>
      </w:r>
      <w:hyperlink r:id="rId2216">
        <w:r>
          <w:rPr>
            <w:color w:val="0000EE"/>
            <w:u w:val="single"/>
          </w:rPr>
          <w:t>4.19, 21</w:t>
        </w:r>
      </w:hyperlink>
      <w:r>
        <w:t>). Ele disse a Timóteo para vir até ele em Roma e trazer Marcos também (</w:t>
      </w:r>
      <w:hyperlink r:id="rId2830">
        <w:r>
          <w:rPr>
            <w:color w:val="0000EE"/>
            <w:u w:val="single"/>
          </w:rPr>
          <w:t>4.11</w:t>
        </w:r>
      </w:hyperlink>
      <w:r>
        <w:t>). Aparentemente, Timóteo, de fato, veio e foi preso (</w:t>
      </w:r>
      <w:hyperlink r:id="rId10392">
        <w:r>
          <w:rPr>
            <w:color w:val="0000EE"/>
            <w:u w:val="single"/>
          </w:rPr>
          <w:t>Hebreus 13.23</w:t>
        </w:r>
      </w:hyperlink>
      <w:r>
        <w:t>). O pedido de Paulo por livros e pergaminhos (</w:t>
      </w:r>
      <w:hyperlink r:id="rId16533">
        <w:r>
          <w:rPr>
            <w:color w:val="0000EE"/>
            <w:u w:val="single"/>
          </w:rPr>
          <w:t>2 Timóteo 4.13</w:t>
        </w:r>
      </w:hyperlink>
      <w:r>
        <w:t>) revela que ele estava lendo e estudando as Escrituras até o fim.</w:t>
      </w:r>
    </w:p>
    <w:p>
      <w:r/>
      <w:r>
        <w:t>O apóstolo Paulo teve duas audiências diante de César Nero. Em sua primeira defesa, apenas o Senhor estava ao lado dele (</w:t>
      </w:r>
      <w:hyperlink r:id="rId11949">
        <w:r>
          <w:rPr>
            <w:color w:val="0000EE"/>
            <w:u w:val="single"/>
          </w:rPr>
          <w:t>2 Timóteo 4.16</w:t>
        </w:r>
      </w:hyperlink>
      <w:r>
        <w:t xml:space="preserve">). Lá, ele não apenas defendeu sua própria causa, mas também a do evangelho, ainda desejando que todos os gentios ouvissem sua mensagem. Talvez nenhuma decisão tenha sido tomada, e assim ele foi “livrado da boca do leão” (verso </w:t>
      </w:r>
      <w:hyperlink r:id="rId16536">
        <w:r>
          <w:rPr>
            <w:color w:val="0000EE"/>
            <w:u w:val="single"/>
          </w:rPr>
          <w:t>17</w:t>
        </w:r>
      </w:hyperlink>
      <w:r>
        <w:t xml:space="preserve">). Embora ele soubesse que morreria em breve, ele não estava com medo, mas foi assegurado que o Senhor lhe daria uma coroa de justiça no último dia (verso </w:t>
      </w:r>
      <w:hyperlink r:id="rId4800">
        <w:r>
          <w:rPr>
            <w:color w:val="0000EE"/>
            <w:u w:val="single"/>
          </w:rPr>
          <w:t>8</w:t>
        </w:r>
      </w:hyperlink>
      <w:r>
        <w:t xml:space="preserve">). Finalmente, o próprio apóstolo registrou seu encorajamento seminal a todos os crentes: “O Senhor seja com seu espírito. A graça seja com todos vocês” (verso </w:t>
      </w:r>
      <w:hyperlink r:id="rId16537">
        <w:r>
          <w:rPr>
            <w:color w:val="0000EE"/>
            <w:u w:val="single"/>
          </w:rPr>
          <w:t>22</w:t>
        </w:r>
      </w:hyperlink>
      <w:r>
        <w:t>). Depois disso, as Escrituras ficam em silêncio sobre Paulo.</w:t>
      </w:r>
    </w:p>
    <w:p>
      <w:r/>
      <w:r>
        <w:t>Nada se sabe da segunda audiência, exceto que resultou na sentença da pena de morte. A história não registra o fim de Paulo. Nero morreu no verão de 68 d.C., então Paulo foi morto antes dessa data. Como cidadão romano, ele deve ter sido poupado da tortura que havia sido sofrida recentemente por seus companheiros mártires. A tradição diz que ele foi decapitado pela espada de um chefe imperial na Estrada Ostiana, nos arredores de Roma, e enterrado nas proximidades. Isso satisfez o desejo de Paulo “partir e estar com Cristo, o que é muito melhor” (</w:t>
      </w:r>
      <w:hyperlink r:id="rId5076">
        <w:r>
          <w:rPr>
            <w:color w:val="0000EE"/>
            <w:u w:val="single"/>
          </w:rPr>
          <w:t>Filipenses 1.23</w:t>
        </w:r>
      </w:hyperlink>
      <w:r>
        <w:t>).</w:t>
      </w:r>
      <w:r/>
      <w:r/>
    </w:p>
    <w:p>
      <w:r/>
    </w:p>
    <w:p>
      <w:pPr>
        <w:pStyle w:val="Heading2"/>
      </w:pPr>
      <w:r>
        <w:t>Paz</w:t>
      </w:r>
      <w:r/>
    </w:p>
    <w:p>
      <w:r/>
      <w:r>
        <w:t>Bem-estar total, prosperidade e segurança estão associados à presença de Deus entre seu povo. No Antigo Testamento, a paz está ligada à aliança (um acordo especial entre Deus e os israelitas). A presença da paz era condicional. Israel precisava obedecer para experimentar a paz. Nos escritos proféticos, a verdadeira paz faz parte da esperança escatológica da salvação de Deus. No Novo Testamento, essa paz tão desejada é entendida como tendo vindo em Cristo e pode ser experimentada pelos crentes.</w:t>
      </w:r>
    </w:p>
    <w:p>
      <w:pPr>
        <w:pStyle w:val="Heading3"/>
      </w:pPr>
      <w:r>
        <w:t>No Antigo Testamento</w:t>
      </w:r>
    </w:p>
    <w:p>
      <w:r/>
      <w:r>
        <w:t xml:space="preserve">A principal palavra do Antigo Testamento para "paz" vem da palavra hebraica </w:t>
      </w:r>
      <w:r>
        <w:rPr>
          <w:i/>
        </w:rPr>
        <w:t>shalom.</w:t>
      </w:r>
      <w:r>
        <w:t xml:space="preserve"> Esta palavra tinha muitos significados:</w:t>
      </w:r>
    </w:p>
    <w:p>
      <w:pPr>
        <w:pStyle w:val="ListBullet"/>
        <w:spacing w:line="240" w:lineRule="auto"/>
        <w:ind w:left="720"/>
      </w:pPr>
      <w:r/>
      <w:r>
        <w:t>integridade;</w:t>
      </w:r>
    </w:p>
    <w:p>
      <w:pPr>
        <w:pStyle w:val="ListBullet"/>
        <w:spacing w:line="240" w:lineRule="auto"/>
        <w:ind w:left="720"/>
      </w:pPr>
      <w:r/>
      <w:r>
        <w:t>saúde;</w:t>
      </w:r>
    </w:p>
    <w:p>
      <w:pPr>
        <w:pStyle w:val="ListBullet"/>
        <w:spacing w:line="240" w:lineRule="auto"/>
        <w:ind w:left="720"/>
      </w:pPr>
      <w:r/>
      <w:r>
        <w:t>segurança;</w:t>
      </w:r>
    </w:p>
    <w:p>
      <w:pPr>
        <w:pStyle w:val="ListBullet"/>
        <w:spacing w:line="240" w:lineRule="auto"/>
        <w:ind w:left="720"/>
      </w:pPr>
      <w:r/>
      <w:r>
        <w:t>bem-estar;</w:t>
      </w:r>
    </w:p>
    <w:p>
      <w:pPr>
        <w:pStyle w:val="ListBullet"/>
        <w:spacing w:line="240" w:lineRule="auto"/>
        <w:ind w:left="720"/>
      </w:pPr>
      <w:r/>
      <w:r>
        <w:t>salvação.</w:t>
      </w:r>
    </w:p>
    <w:p>
      <w:r/>
      <w:r>
        <w:t>Isso poderia se aplicar a uma variedade igualmente ampla de contextos:</w:t>
      </w:r>
    </w:p>
    <w:p>
      <w:pPr>
        <w:pStyle w:val="ListBullet"/>
        <w:spacing w:line="240" w:lineRule="auto"/>
        <w:ind w:left="720"/>
      </w:pPr>
      <w:r/>
      <w:r>
        <w:t>o estado do indivíduo (</w:t>
      </w:r>
      <w:hyperlink r:id="rId16538">
        <w:r>
          <w:rPr>
            <w:color w:val="0000EE"/>
            <w:u w:val="single"/>
          </w:rPr>
          <w:t>Sl 37.37</w:t>
        </w:r>
      </w:hyperlink>
      <w:r>
        <w:t xml:space="preserve">; </w:t>
      </w:r>
      <w:hyperlink r:id="rId16539">
        <w:r>
          <w:rPr>
            <w:color w:val="0000EE"/>
            <w:u w:val="single"/>
          </w:rPr>
          <w:t>Pv 3.2</w:t>
        </w:r>
      </w:hyperlink>
      <w:r>
        <w:t xml:space="preserve">; </w:t>
      </w:r>
      <w:hyperlink r:id="rId16540">
        <w:r>
          <w:rPr>
            <w:color w:val="0000EE"/>
            <w:u w:val="single"/>
          </w:rPr>
          <w:t>Is 32.17</w:t>
        </w:r>
      </w:hyperlink>
      <w:r>
        <w:t>);</w:t>
      </w:r>
    </w:p>
    <w:p>
      <w:pPr>
        <w:pStyle w:val="ListBullet"/>
        <w:spacing w:line="240" w:lineRule="auto"/>
        <w:ind w:left="720"/>
      </w:pPr>
      <w:r/>
      <w:r>
        <w:t>o relacionamento de pessoa para pessoa (</w:t>
      </w:r>
      <w:hyperlink r:id="rId16541">
        <w:r>
          <w:rPr>
            <w:color w:val="0000EE"/>
            <w:u w:val="single"/>
          </w:rPr>
          <w:t>Gn 34.21</w:t>
        </w:r>
      </w:hyperlink>
      <w:r>
        <w:t xml:space="preserve">; </w:t>
      </w:r>
      <w:hyperlink r:id="rId16542">
        <w:r>
          <w:rPr>
            <w:color w:val="0000EE"/>
            <w:u w:val="single"/>
          </w:rPr>
          <w:t>Js 9.15</w:t>
        </w:r>
      </w:hyperlink>
      <w:r>
        <w:t>);</w:t>
      </w:r>
    </w:p>
    <w:p>
      <w:pPr>
        <w:pStyle w:val="ListBullet"/>
        <w:spacing w:line="240" w:lineRule="auto"/>
        <w:ind w:left="720"/>
      </w:pPr>
      <w:r/>
      <w:r>
        <w:t xml:space="preserve">nação para nação (Por exemplo, ausência de conflito — </w:t>
      </w:r>
      <w:hyperlink r:id="rId16543">
        <w:r>
          <w:rPr>
            <w:color w:val="0000EE"/>
            <w:u w:val="single"/>
          </w:rPr>
          <w:t>Dt 2.26</w:t>
        </w:r>
      </w:hyperlink>
      <w:r>
        <w:t xml:space="preserve">; </w:t>
      </w:r>
      <w:hyperlink r:id="rId16544">
        <w:r>
          <w:rPr>
            <w:color w:val="0000EE"/>
            <w:u w:val="single"/>
          </w:rPr>
          <w:t>Js 10.21</w:t>
        </w:r>
      </w:hyperlink>
      <w:r>
        <w:t xml:space="preserve">; </w:t>
      </w:r>
      <w:hyperlink r:id="rId785">
        <w:r>
          <w:rPr>
            <w:color w:val="0000EE"/>
            <w:u w:val="single"/>
          </w:rPr>
          <w:t>1Rs 5.12</w:t>
        </w:r>
      </w:hyperlink>
      <w:r>
        <w:t xml:space="preserve">; </w:t>
      </w:r>
      <w:hyperlink r:id="rId16545">
        <w:r>
          <w:rPr>
            <w:color w:val="0000EE"/>
            <w:u w:val="single"/>
          </w:rPr>
          <w:t>Sl 122.6–7</w:t>
        </w:r>
      </w:hyperlink>
      <w:r>
        <w:t>)</w:t>
      </w:r>
    </w:p>
    <w:p>
      <w:pPr>
        <w:pStyle w:val="ListBullet"/>
        <w:spacing w:line="240" w:lineRule="auto"/>
        <w:ind w:left="720"/>
      </w:pPr>
      <w:r/>
      <w:r>
        <w:t>o relacionamento de Deus e as pessoas (</w:t>
      </w:r>
      <w:hyperlink r:id="rId16546">
        <w:r>
          <w:rPr>
            <w:color w:val="0000EE"/>
            <w:u w:val="single"/>
          </w:rPr>
          <w:t>Sl 85.8</w:t>
        </w:r>
      </w:hyperlink>
      <w:r>
        <w:t xml:space="preserve">; </w:t>
      </w:r>
      <w:hyperlink r:id="rId16547">
        <w:r>
          <w:rPr>
            <w:color w:val="0000EE"/>
            <w:u w:val="single"/>
          </w:rPr>
          <w:t>Jr 16.5</w:t>
        </w:r>
      </w:hyperlink>
      <w:r>
        <w:t>).</w:t>
      </w:r>
    </w:p>
    <w:p>
      <w:r/>
      <w:r>
        <w:t>A presença de shalom em qualquer um desses contextos não era considerada o resultado do esforço humano. Em vez disso, era um presente ou bênção de Deus (</w:t>
      </w:r>
      <w:hyperlink r:id="rId16548">
        <w:r>
          <w:rPr>
            <w:color w:val="0000EE"/>
            <w:u w:val="single"/>
          </w:rPr>
          <w:t>Lv 26.6</w:t>
        </w:r>
      </w:hyperlink>
      <w:r>
        <w:t xml:space="preserve">; </w:t>
      </w:r>
      <w:hyperlink r:id="rId16549">
        <w:r>
          <w:rPr>
            <w:color w:val="0000EE"/>
            <w:u w:val="single"/>
          </w:rPr>
          <w:t>1Rs 2.33</w:t>
        </w:r>
      </w:hyperlink>
      <w:r>
        <w:t xml:space="preserve">; </w:t>
      </w:r>
      <w:hyperlink r:id="rId16550">
        <w:r>
          <w:rPr>
            <w:color w:val="0000EE"/>
            <w:u w:val="single"/>
          </w:rPr>
          <w:t>Jó 25.2</w:t>
        </w:r>
      </w:hyperlink>
      <w:r>
        <w:t xml:space="preserve">; </w:t>
      </w:r>
      <w:hyperlink r:id="rId16551">
        <w:r>
          <w:rPr>
            <w:color w:val="0000EE"/>
            <w:u w:val="single"/>
          </w:rPr>
          <w:t>Sl 29.11</w:t>
        </w:r>
      </w:hyperlink>
      <w:r>
        <w:t xml:space="preserve">; </w:t>
      </w:r>
      <w:hyperlink r:id="rId16546">
        <w:r>
          <w:rPr>
            <w:color w:val="0000EE"/>
            <w:u w:val="single"/>
          </w:rPr>
          <w:t>85.8</w:t>
        </w:r>
      </w:hyperlink>
      <w:r>
        <w:t xml:space="preserve">; </w:t>
      </w:r>
      <w:hyperlink r:id="rId7436">
        <w:r>
          <w:rPr>
            <w:color w:val="0000EE"/>
            <w:u w:val="single"/>
          </w:rPr>
          <w:t>Is 45.7</w:t>
        </w:r>
      </w:hyperlink>
      <w:r>
        <w:t>). Não é surpreendente, portanto, encontrar "paz" intimamente ligada à noção de aliança do Antigo Testamento.</w:t>
      </w:r>
    </w:p>
    <w:p>
      <w:r/>
      <w:r>
        <w:t>Shalom era o estado desejado de harmonia e comunhão entre os dois parceiros da aliança — Deus e seu povo (</w:t>
      </w:r>
      <w:hyperlink r:id="rId16552">
        <w:r>
          <w:rPr>
            <w:color w:val="0000EE"/>
            <w:u w:val="single"/>
          </w:rPr>
          <w:t>Nm 6.26</w:t>
        </w:r>
      </w:hyperlink>
      <w:r>
        <w:t xml:space="preserve">; compare </w:t>
      </w:r>
      <w:hyperlink r:id="rId14581">
        <w:r>
          <w:rPr>
            <w:color w:val="0000EE"/>
            <w:u w:val="single"/>
          </w:rPr>
          <w:t>Is 54.10</w:t>
        </w:r>
      </w:hyperlink>
      <w:r>
        <w:t>). Paz significava a bênção de Deus na relação de aliança (</w:t>
      </w:r>
      <w:hyperlink r:id="rId13601">
        <w:r>
          <w:rPr>
            <w:color w:val="0000EE"/>
            <w:u w:val="single"/>
          </w:rPr>
          <w:t>Ml 2.5</w:t>
        </w:r>
      </w:hyperlink>
      <w:r>
        <w:t xml:space="preserve">; compare </w:t>
      </w:r>
      <w:hyperlink r:id="rId16553">
        <w:r>
          <w:rPr>
            <w:color w:val="0000EE"/>
            <w:u w:val="single"/>
          </w:rPr>
          <w:t>Nm 25.12</w:t>
        </w:r>
      </w:hyperlink>
      <w:r>
        <w:t>). A ausência de paz significava a ruptura dessa relação devido à desobediência e injustiça de Israel (</w:t>
      </w:r>
      <w:hyperlink r:id="rId16554">
        <w:r>
          <w:rPr>
            <w:color w:val="0000EE"/>
            <w:u w:val="single"/>
          </w:rPr>
          <w:t>Jr 16.5,10–13</w:t>
        </w:r>
      </w:hyperlink>
      <w:r>
        <w:t xml:space="preserve">; compare </w:t>
      </w:r>
      <w:hyperlink r:id="rId16555">
        <w:r>
          <w:rPr>
            <w:color w:val="0000EE"/>
            <w:u w:val="single"/>
          </w:rPr>
          <w:t>Sl 85.9–11</w:t>
        </w:r>
      </w:hyperlink>
      <w:r>
        <w:t xml:space="preserve">; </w:t>
      </w:r>
      <w:hyperlink r:id="rId16540">
        <w:r>
          <w:rPr>
            <w:color w:val="0000EE"/>
            <w:u w:val="single"/>
          </w:rPr>
          <w:t>Is 32.17</w:t>
        </w:r>
      </w:hyperlink>
      <w:r>
        <w:t>).</w:t>
      </w:r>
    </w:p>
    <w:p>
      <w:pPr>
        <w:pStyle w:val="Heading4"/>
      </w:pPr>
      <w:r>
        <w:t>Paz nos escritos proféticos</w:t>
      </w:r>
    </w:p>
    <w:p>
      <w:r/>
      <w:r>
        <w:t>Shalom se torna uma palavra muito importante nos escritos proféticos. Profetas "falsos" negligenciaram as condições para o bem-estar dentro da relação de aliança. Deus foi leal a Israel (</w:t>
      </w:r>
      <w:hyperlink r:id="rId8600">
        <w:r>
          <w:rPr>
            <w:color w:val="0000EE"/>
            <w:u w:val="single"/>
          </w:rPr>
          <w:t>Sl89</w:t>
        </w:r>
      </w:hyperlink>
      <w:r>
        <w:t>). Eles pensaram que isso garantiria paz política para sempre (</w:t>
      </w:r>
      <w:hyperlink r:id="rId15228">
        <w:r>
          <w:rPr>
            <w:color w:val="0000EE"/>
            <w:u w:val="single"/>
          </w:rPr>
          <w:t>Jr 6.14</w:t>
        </w:r>
      </w:hyperlink>
      <w:r>
        <w:t xml:space="preserve">; </w:t>
      </w:r>
      <w:hyperlink r:id="rId16556">
        <w:r>
          <w:rPr>
            <w:color w:val="0000EE"/>
            <w:u w:val="single"/>
          </w:rPr>
          <w:t>8.15</w:t>
        </w:r>
      </w:hyperlink>
      <w:r>
        <w:t xml:space="preserve">; </w:t>
      </w:r>
      <w:hyperlink r:id="rId16557">
        <w:r>
          <w:rPr>
            <w:color w:val="0000EE"/>
            <w:u w:val="single"/>
          </w:rPr>
          <w:t>Ez13.10,16</w:t>
        </w:r>
      </w:hyperlink>
      <w:r>
        <w:t xml:space="preserve">; </w:t>
      </w:r>
      <w:hyperlink r:id="rId8366">
        <w:r>
          <w:rPr>
            <w:color w:val="0000EE"/>
            <w:u w:val="single"/>
          </w:rPr>
          <w:t>Mq 3.5</w:t>
        </w:r>
      </w:hyperlink>
      <w:r>
        <w:t>). No contexto dessa segurança popular, mas falsa, os profetas que viveram antes do exílio para Babilônia proclamaram o julgamento vindouro como uma perda de shalom. Essa perda foi atribuída à persistente desobediência e injustiça de Israel (</w:t>
      </w:r>
      <w:hyperlink r:id="rId16558">
        <w:r>
          <w:rPr>
            <w:color w:val="0000EE"/>
            <w:u w:val="single"/>
          </w:rPr>
          <w:t>Is 48.18</w:t>
        </w:r>
      </w:hyperlink>
      <w:r>
        <w:t xml:space="preserve">; </w:t>
      </w:r>
      <w:hyperlink r:id="rId16559">
        <w:r>
          <w:rPr>
            <w:color w:val="0000EE"/>
            <w:u w:val="single"/>
          </w:rPr>
          <w:t>Jr 14.13–16</w:t>
        </w:r>
      </w:hyperlink>
      <w:r>
        <w:t xml:space="preserve">; </w:t>
      </w:r>
      <w:hyperlink r:id="rId16554">
        <w:r>
          <w:rPr>
            <w:color w:val="0000EE"/>
            <w:u w:val="single"/>
          </w:rPr>
          <w:t>16.5,10–13</w:t>
        </w:r>
      </w:hyperlink>
      <w:r>
        <w:t xml:space="preserve">; </w:t>
      </w:r>
      <w:hyperlink r:id="rId12439">
        <w:r>
          <w:rPr>
            <w:color w:val="0000EE"/>
            <w:u w:val="single"/>
          </w:rPr>
          <w:t>28</w:t>
        </w:r>
      </w:hyperlink>
      <w:r>
        <w:t xml:space="preserve">; </w:t>
      </w:r>
      <w:hyperlink r:id="rId16560">
        <w:r>
          <w:rPr>
            <w:color w:val="0000EE"/>
            <w:u w:val="single"/>
          </w:rPr>
          <w:t>Mq 3.4,9–12</w:t>
        </w:r>
      </w:hyperlink>
      <w:r>
        <w:t>).</w:t>
      </w:r>
    </w:p>
    <w:p>
      <w:r/>
      <w:r>
        <w:t>Os profetas apontaram além das crises para um tempo em que o shalom retornaria, caracterizado por:</w:t>
      </w:r>
    </w:p>
    <w:p>
      <w:pPr>
        <w:pStyle w:val="ListBullet"/>
        <w:spacing w:line="240" w:lineRule="auto"/>
        <w:ind w:left="720"/>
      </w:pPr>
      <w:r/>
      <w:r>
        <w:t>prosperidade e bem-estar (</w:t>
      </w:r>
      <w:hyperlink r:id="rId7436">
        <w:r>
          <w:rPr>
            <w:color w:val="0000EE"/>
            <w:u w:val="single"/>
          </w:rPr>
          <w:t>Is 45.7</w:t>
        </w:r>
      </w:hyperlink>
      <w:r>
        <w:t xml:space="preserve">; </w:t>
      </w:r>
      <w:hyperlink r:id="rId16561">
        <w:r>
          <w:rPr>
            <w:color w:val="0000EE"/>
            <w:u w:val="single"/>
          </w:rPr>
          <w:t>Ez 34.25–26</w:t>
        </w:r>
      </w:hyperlink>
      <w:r>
        <w:t>)</w:t>
      </w:r>
    </w:p>
    <w:p>
      <w:pPr>
        <w:pStyle w:val="ListBullet"/>
        <w:spacing w:line="240" w:lineRule="auto"/>
        <w:ind w:left="720"/>
      </w:pPr>
      <w:r/>
      <w:r>
        <w:t>ausência de conflito (</w:t>
      </w:r>
      <w:hyperlink r:id="rId11261">
        <w:r>
          <w:rPr>
            <w:color w:val="0000EE"/>
            <w:u w:val="single"/>
          </w:rPr>
          <w:t>Is 2.2–4</w:t>
        </w:r>
      </w:hyperlink>
      <w:r>
        <w:t xml:space="preserve">; </w:t>
      </w:r>
      <w:hyperlink r:id="rId16562">
        <w:r>
          <w:rPr>
            <w:color w:val="0000EE"/>
            <w:u w:val="single"/>
          </w:rPr>
          <w:t>32.15–20</w:t>
        </w:r>
      </w:hyperlink>
      <w:r>
        <w:t xml:space="preserve">; </w:t>
      </w:r>
      <w:hyperlink r:id="rId16563">
        <w:r>
          <w:rPr>
            <w:color w:val="0000EE"/>
            <w:u w:val="single"/>
          </w:rPr>
          <w:t>Ez 34.28–31</w:t>
        </w:r>
      </w:hyperlink>
      <w:r>
        <w:t>)</w:t>
      </w:r>
    </w:p>
    <w:p>
      <w:pPr>
        <w:pStyle w:val="ListBullet"/>
        <w:spacing w:line="240" w:lineRule="auto"/>
        <w:ind w:left="720"/>
      </w:pPr>
      <w:r/>
      <w:r>
        <w:t>relações corretas (</w:t>
      </w:r>
      <w:hyperlink r:id="rId3249">
        <w:r>
          <w:rPr>
            <w:color w:val="0000EE"/>
            <w:u w:val="single"/>
          </w:rPr>
          <w:t>Is 11.1–5</w:t>
        </w:r>
      </w:hyperlink>
      <w:r>
        <w:t xml:space="preserve">; </w:t>
      </w:r>
      <w:hyperlink r:id="rId16564">
        <w:r>
          <w:rPr>
            <w:color w:val="0000EE"/>
            <w:u w:val="single"/>
          </w:rPr>
          <w:t>Mq 4.1–4</w:t>
        </w:r>
      </w:hyperlink>
      <w:r>
        <w:t xml:space="preserve">; </w:t>
      </w:r>
      <w:hyperlink r:id="rId16565">
        <w:r>
          <w:rPr>
            <w:color w:val="0000EE"/>
            <w:u w:val="single"/>
          </w:rPr>
          <w:t>Zc 8.9–13</w:t>
        </w:r>
      </w:hyperlink>
      <w:r>
        <w:t>)</w:t>
      </w:r>
    </w:p>
    <w:p>
      <w:pPr>
        <w:pStyle w:val="ListBullet"/>
        <w:spacing w:line="240" w:lineRule="auto"/>
        <w:ind w:left="720"/>
      </w:pPr>
      <w:r/>
      <w:r>
        <w:t>restauração da harmonia na natureza (</w:t>
      </w:r>
      <w:hyperlink r:id="rId11275">
        <w:r>
          <w:rPr>
            <w:color w:val="0000EE"/>
            <w:u w:val="single"/>
          </w:rPr>
          <w:t>Is 11.6–9</w:t>
        </w:r>
      </w:hyperlink>
      <w:r>
        <w:t xml:space="preserve">; </w:t>
      </w:r>
      <w:hyperlink r:id="rId2328">
        <w:r>
          <w:rPr>
            <w:color w:val="0000EE"/>
            <w:u w:val="single"/>
          </w:rPr>
          <w:t>Ez 47.1–12</w:t>
        </w:r>
      </w:hyperlink>
      <w:r>
        <w:t>)</w:t>
      </w:r>
    </w:p>
    <w:p>
      <w:pPr>
        <w:pStyle w:val="ListBullet"/>
        <w:spacing w:line="240" w:lineRule="auto"/>
        <w:ind w:left="720"/>
      </w:pPr>
      <w:r/>
      <w:r>
        <w:t>salvação (</w:t>
      </w:r>
      <w:hyperlink r:id="rId16566">
        <w:r>
          <w:rPr>
            <w:color w:val="0000EE"/>
            <w:u w:val="single"/>
          </w:rPr>
          <w:t>Is 52.7</w:t>
        </w:r>
      </w:hyperlink>
      <w:r>
        <w:t xml:space="preserve">; </w:t>
      </w:r>
      <w:hyperlink r:id="rId16567">
        <w:r>
          <w:rPr>
            <w:color w:val="0000EE"/>
            <w:u w:val="single"/>
          </w:rPr>
          <w:t>60.17</w:t>
        </w:r>
      </w:hyperlink>
      <w:r>
        <w:t xml:space="preserve">; </w:t>
      </w:r>
      <w:hyperlink r:id="rId16568">
        <w:r>
          <w:rPr>
            <w:color w:val="0000EE"/>
            <w:u w:val="single"/>
          </w:rPr>
          <w:t>Ez 34.30–31</w:t>
        </w:r>
      </w:hyperlink>
      <w:r>
        <w:t xml:space="preserve">; </w:t>
      </w:r>
      <w:hyperlink r:id="rId15307">
        <w:r>
          <w:rPr>
            <w:color w:val="0000EE"/>
            <w:u w:val="single"/>
          </w:rPr>
          <w:t>37.26–28</w:t>
        </w:r>
      </w:hyperlink>
      <w:r>
        <w:t>)</w:t>
      </w:r>
    </w:p>
    <w:p>
      <w:r/>
      <w:r>
        <w:t xml:space="preserve">Muitas vezes, essa expectativa de paz no Antigo Testamento estava associada a uma figura messiânica (o líder escolhido por Deus). </w:t>
      </w:r>
      <w:hyperlink r:id="rId5463">
        <w:r>
          <w:rPr>
            <w:color w:val="0000EE"/>
            <w:u w:val="single"/>
          </w:rPr>
          <w:t>Isaías 9.6</w:t>
        </w:r>
      </w:hyperlink>
      <w:r>
        <w:t xml:space="preserve"> identifica o futuro Messias (o líder escolhido por Deus) como o "Príncipe da Paz". Além disso, seu reinado seria de "paz" não apenas para Israel, mas por toda a terra (</w:t>
      </w:r>
      <w:hyperlink r:id="rId16569">
        <w:r>
          <w:rPr>
            <w:color w:val="0000EE"/>
            <w:u w:val="single"/>
          </w:rPr>
          <w:t>Zc 9.9–10</w:t>
        </w:r>
      </w:hyperlink>
      <w:r>
        <w:t>). O Antigo Testamento termina com essa esperança de paz ainda não realizada em seu pleno sentido.</w:t>
      </w:r>
    </w:p>
    <w:p>
      <w:pPr>
        <w:pStyle w:val="Heading3"/>
      </w:pPr>
      <w:r>
        <w:t>No Novo Testamento</w:t>
      </w:r>
    </w:p>
    <w:p>
      <w:r/>
      <w:r>
        <w:t xml:space="preserve">O termo grego para "paz" usado predominantemente no Novo Testamento é </w:t>
      </w:r>
      <w:r>
        <w:rPr>
          <w:i/>
        </w:rPr>
        <w:t>eirene.</w:t>
      </w:r>
      <w:r>
        <w:t xml:space="preserve"> Esta palavra expandiu-se do seu significado grego clássico de "descanso" para incluir conotações do conceito hebraico de shalom. Assim como shalom</w:t>
      </w:r>
      <w:r>
        <w:rPr>
          <w:i/>
        </w:rPr>
        <w:t>,</w:t>
      </w:r>
      <w:r>
        <w:t xml:space="preserve"> </w:t>
      </w:r>
      <w:r>
        <w:rPr>
          <w:i/>
        </w:rPr>
        <w:t>eirene</w:t>
      </w:r>
      <w:r>
        <w:t xml:space="preserve"> podia ser usado como saudação ou despedida. A frase "paz esteja convosco" aparece em </w:t>
      </w:r>
      <w:hyperlink r:id="rId4616">
        <w:r>
          <w:rPr>
            <w:color w:val="0000EE"/>
            <w:u w:val="single"/>
          </w:rPr>
          <w:t>Lucas 10.5,</w:t>
        </w:r>
      </w:hyperlink>
      <w:r>
        <w:t xml:space="preserve"> </w:t>
      </w:r>
      <w:hyperlink r:id="rId1396">
        <w:r>
          <w:rPr>
            <w:color w:val="0000EE"/>
            <w:u w:val="single"/>
          </w:rPr>
          <w:t>Gálatas 6.16,</w:t>
        </w:r>
      </w:hyperlink>
      <w:r>
        <w:t xml:space="preserve"> e </w:t>
      </w:r>
      <w:hyperlink r:id="rId5969">
        <w:r>
          <w:rPr>
            <w:color w:val="0000EE"/>
            <w:u w:val="single"/>
          </w:rPr>
          <w:t>Tiago 2.16</w:t>
        </w:r>
      </w:hyperlink>
      <w:r>
        <w:t xml:space="preserve"> (compare </w:t>
      </w:r>
      <w:hyperlink r:id="rId16570">
        <w:r>
          <w:rPr>
            <w:color w:val="0000EE"/>
            <w:u w:val="single"/>
          </w:rPr>
          <w:t>Jo 20.19</w:t>
        </w:r>
      </w:hyperlink>
      <w:r>
        <w:t xml:space="preserve">). </w:t>
      </w:r>
      <w:r>
        <w:rPr>
          <w:i/>
        </w:rPr>
        <w:t>Eirene</w:t>
      </w:r>
      <w:r>
        <w:t xml:space="preserve"> também podia significar o fim de um conflito, tanto entre nações (</w:t>
      </w:r>
      <w:hyperlink r:id="rId16571">
        <w:r>
          <w:rPr>
            <w:color w:val="0000EE"/>
            <w:u w:val="single"/>
          </w:rPr>
          <w:t>Lc 14.32</w:t>
        </w:r>
      </w:hyperlink>
      <w:r>
        <w:t xml:space="preserve">; </w:t>
      </w:r>
      <w:hyperlink r:id="rId3822">
        <w:r>
          <w:rPr>
            <w:color w:val="0000EE"/>
            <w:u w:val="single"/>
          </w:rPr>
          <w:t>At 12.20</w:t>
        </w:r>
      </w:hyperlink>
      <w:r>
        <w:t>) quanto entre pessoas (</w:t>
      </w:r>
      <w:hyperlink r:id="rId16572">
        <w:r>
          <w:rPr>
            <w:color w:val="0000EE"/>
            <w:u w:val="single"/>
          </w:rPr>
          <w:t>Rm 14.19</w:t>
        </w:r>
      </w:hyperlink>
      <w:r>
        <w:t xml:space="preserve">; </w:t>
      </w:r>
      <w:hyperlink r:id="rId8795">
        <w:r>
          <w:rPr>
            <w:color w:val="0000EE"/>
            <w:u w:val="single"/>
          </w:rPr>
          <w:t>Ef 4.3</w:t>
        </w:r>
      </w:hyperlink>
      <w:r>
        <w:t xml:space="preserve">). Também podia significar paz em casa (compare </w:t>
      </w:r>
      <w:hyperlink r:id="rId5792">
        <w:r>
          <w:rPr>
            <w:color w:val="0000EE"/>
            <w:u w:val="single"/>
          </w:rPr>
          <w:t>1Co 7.15</w:t>
        </w:r>
      </w:hyperlink>
      <w:r>
        <w:t>).</w:t>
      </w:r>
    </w:p>
    <w:p>
      <w:pPr>
        <w:pStyle w:val="Heading4"/>
      </w:pPr>
      <w:r>
        <w:t>Jesus traz a paz de Deus</w:t>
      </w:r>
    </w:p>
    <w:p>
      <w:r/>
      <w:r>
        <w:t>Jesus incorpora a esperança do Antigo Testamento pela paz de Deus em seu ministério. No "benedictus" (cântico de louvor) de Zacarias, a vinda de Jesus como o Messias é esperada para "guiar nossos pés no caminho da paz" (</w:t>
      </w:r>
      <w:hyperlink r:id="rId16573">
        <w:r>
          <w:rPr>
            <w:color w:val="0000EE"/>
            <w:u w:val="single"/>
          </w:rPr>
          <w:t>Lc 1.67–79</w:t>
        </w:r>
      </w:hyperlink>
      <w:r>
        <w:t>). A mensagem dos anjos aos pastores proclama Jesus como o portador da paz de Deus para as pessoas (</w:t>
      </w:r>
      <w:hyperlink r:id="rId11695">
        <w:r>
          <w:rPr>
            <w:color w:val="0000EE"/>
            <w:u w:val="single"/>
          </w:rPr>
          <w:t>2.14</w:t>
        </w:r>
      </w:hyperlink>
      <w:r>
        <w:t>). Em outras palavras, como o Messias, Jesus traria o governo pacífico de Deus. O Evangelho de João mostra que Jesus também entendia seu papel dessa forma. Esta paz de Deus há muito esperada é o presente de despedida de Jesus para os discípulos (</w:t>
      </w:r>
      <w:hyperlink r:id="rId14904">
        <w:r>
          <w:rPr>
            <w:color w:val="0000EE"/>
            <w:u w:val="single"/>
          </w:rPr>
          <w:t>Jo 14.27</w:t>
        </w:r>
      </w:hyperlink>
      <w:r>
        <w:t>). A paz é dada a eles quando ele sopra seu Espírito sobre eles (</w:t>
      </w:r>
      <w:hyperlink r:id="rId16574">
        <w:r>
          <w:rPr>
            <w:color w:val="0000EE"/>
            <w:u w:val="single"/>
          </w:rPr>
          <w:t>20.19–22</w:t>
        </w:r>
      </w:hyperlink>
      <w:r>
        <w:t>).</w:t>
      </w:r>
    </w:p>
    <w:p>
      <w:r/>
      <w:r>
        <w:t>A natureza deste dom de paz trazido por Jesus pode ser mais fácil de explicar ao afirmar o que ela não é. Não é o fim da tensão ou a ausência de guerra. Não é tranquilidade doméstica nem nada parecido com a estimativa mundana de paz (</w:t>
      </w:r>
      <w:hyperlink r:id="rId16575">
        <w:r>
          <w:rPr>
            <w:color w:val="0000EE"/>
            <w:u w:val="single"/>
          </w:rPr>
          <w:t>Lc 12.51–53</w:t>
        </w:r>
      </w:hyperlink>
      <w:r>
        <w:t xml:space="preserve">; </w:t>
      </w:r>
      <w:hyperlink r:id="rId14904">
        <w:r>
          <w:rPr>
            <w:color w:val="0000EE"/>
            <w:u w:val="single"/>
          </w:rPr>
          <w:t>Jo 14.27</w:t>
        </w:r>
      </w:hyperlink>
      <w:r>
        <w:t xml:space="preserve">; </w:t>
      </w:r>
      <w:hyperlink r:id="rId16576">
        <w:r>
          <w:rPr>
            <w:color w:val="0000EE"/>
            <w:u w:val="single"/>
          </w:rPr>
          <w:t>16.32–33</w:t>
        </w:r>
      </w:hyperlink>
      <w:r>
        <w:t>). A presença da paz pode contrariar nossas expectativas ao perturbar relações existentes. Mateus diz que a paz pode às vezes ser uma "espada" divisória nas relações familiares (</w:t>
      </w:r>
      <w:hyperlink r:id="rId16577">
        <w:r>
          <w:rPr>
            <w:color w:val="0000EE"/>
            <w:u w:val="single"/>
          </w:rPr>
          <w:t>Mt 10.34–37</w:t>
        </w:r>
      </w:hyperlink>
      <w:r>
        <w:t>). O dom de paz de Jesus é, na realidade, o caráter e o ânimo da nova aliança de seu sangue. Esta aliança reconcilia Deus com as pessoas (</w:t>
      </w:r>
      <w:hyperlink r:id="rId376">
        <w:r>
          <w:rPr>
            <w:color w:val="0000EE"/>
            <w:u w:val="single"/>
          </w:rPr>
          <w:t>Rm 5.1</w:t>
        </w:r>
      </w:hyperlink>
      <w:r>
        <w:t xml:space="preserve">; </w:t>
      </w:r>
      <w:hyperlink r:id="rId5154">
        <w:r>
          <w:rPr>
            <w:color w:val="0000EE"/>
            <w:u w:val="single"/>
          </w:rPr>
          <w:t>Cl 1.20</w:t>
        </w:r>
      </w:hyperlink>
      <w:r>
        <w:t>). Também forma uma base de reconciliação entre pessoas divergentes (</w:t>
      </w:r>
      <w:hyperlink r:id="rId16578">
        <w:r>
          <w:rPr>
            <w:color w:val="0000EE"/>
            <w:u w:val="single"/>
          </w:rPr>
          <w:t>Ef 2.14–22</w:t>
        </w:r>
      </w:hyperlink>
      <w:r>
        <w:t>).</w:t>
      </w:r>
    </w:p>
    <w:p>
      <w:pPr>
        <w:pStyle w:val="Heading4"/>
      </w:pPr>
      <w:r>
        <w:t>Como a igreja primitiva compreendia a paz?</w:t>
      </w:r>
    </w:p>
    <w:p>
      <w:r/>
      <w:r>
        <w:t xml:space="preserve">A igreja primitiva entendia "paz" como a salvação final e escatológica de Deus já concedida através de Jesus Cristo (compare </w:t>
      </w:r>
      <w:hyperlink r:id="rId16579">
        <w:r>
          <w:rPr>
            <w:color w:val="0000EE"/>
            <w:u w:val="single"/>
          </w:rPr>
          <w:t>Fp 4.7–9</w:t>
        </w:r>
      </w:hyperlink>
      <w:r>
        <w:t>). Esse entendimento de "paz" alterou o conteúdo da saudação comum "vá em paz" dentro da comunidade cristã. Paulo comumente escrevia uma saudação de "graça e paz" em suas cartas (</w:t>
      </w:r>
      <w:hyperlink r:id="rId16580">
        <w:r>
          <w:rPr>
            <w:color w:val="0000EE"/>
            <w:u w:val="single"/>
          </w:rPr>
          <w:t>1Co 1.3</w:t>
        </w:r>
      </w:hyperlink>
      <w:r>
        <w:t xml:space="preserve">; </w:t>
      </w:r>
      <w:hyperlink r:id="rId16581">
        <w:r>
          <w:rPr>
            <w:color w:val="0000EE"/>
            <w:u w:val="single"/>
          </w:rPr>
          <w:t>2Co 1.2</w:t>
        </w:r>
      </w:hyperlink>
      <w:r>
        <w:t xml:space="preserve">; </w:t>
      </w:r>
      <w:hyperlink r:id="rId16582">
        <w:r>
          <w:rPr>
            <w:color w:val="0000EE"/>
            <w:u w:val="single"/>
          </w:rPr>
          <w:t>Gl 1.3</w:t>
        </w:r>
      </w:hyperlink>
      <w:r>
        <w:t xml:space="preserve">; </w:t>
      </w:r>
      <w:hyperlink r:id="rId16583">
        <w:r>
          <w:rPr>
            <w:color w:val="0000EE"/>
            <w:u w:val="single"/>
          </w:rPr>
          <w:t>Ef1.2</w:t>
        </w:r>
      </w:hyperlink>
      <w:r>
        <w:t xml:space="preserve">, etc.; compare também </w:t>
      </w:r>
      <w:hyperlink r:id="rId16584">
        <w:r>
          <w:rPr>
            <w:color w:val="0000EE"/>
            <w:u w:val="single"/>
          </w:rPr>
          <w:t>1Pe 1.2</w:t>
        </w:r>
      </w:hyperlink>
      <w:r>
        <w:t xml:space="preserve">; </w:t>
      </w:r>
      <w:hyperlink r:id="rId16585">
        <w:r>
          <w:rPr>
            <w:color w:val="0000EE"/>
            <w:u w:val="single"/>
          </w:rPr>
          <w:t>2Jo 1.3</w:t>
        </w:r>
      </w:hyperlink>
      <w:r>
        <w:t xml:space="preserve">; </w:t>
      </w:r>
      <w:hyperlink r:id="rId16586">
        <w:r>
          <w:rPr>
            <w:color w:val="0000EE"/>
            <w:u w:val="single"/>
          </w:rPr>
          <w:t>Jd 1.2</w:t>
        </w:r>
      </w:hyperlink>
      <w:r>
        <w:t xml:space="preserve">; </w:t>
      </w:r>
      <w:hyperlink r:id="rId8612">
        <w:r>
          <w:rPr>
            <w:color w:val="0000EE"/>
            <w:u w:val="single"/>
          </w:rPr>
          <w:t>Ap 1.4</w:t>
        </w:r>
      </w:hyperlink>
      <w:r>
        <w:t>). Esta expressão não é apenas um desejo de paz que Paulo estende aos seus leitores. É uma lembrança dos dons messiânicos disponíveis no tempo presente através de Cristo para o homem de fé. Em conformidade com isso, Jesus é descrito como a própria "paz" (</w:t>
      </w:r>
      <w:hyperlink r:id="rId16587">
        <w:r>
          <w:rPr>
            <w:color w:val="0000EE"/>
            <w:u w:val="single"/>
          </w:rPr>
          <w:t>Ef 2.14</w:t>
        </w:r>
      </w:hyperlink>
      <w:r>
        <w:t>). Deus, também, por causa de seu ato de reconciliação através de Cristo, é conhecido como um "Deus de paz" (</w:t>
      </w:r>
      <w:hyperlink r:id="rId9487">
        <w:r>
          <w:rPr>
            <w:color w:val="0000EE"/>
            <w:u w:val="single"/>
          </w:rPr>
          <w:t>Fp 4.9</w:t>
        </w:r>
      </w:hyperlink>
      <w:r>
        <w:t xml:space="preserve">; </w:t>
      </w:r>
      <w:hyperlink r:id="rId16588">
        <w:r>
          <w:rPr>
            <w:color w:val="0000EE"/>
            <w:u w:val="single"/>
          </w:rPr>
          <w:t>Cl 3.15</w:t>
        </w:r>
      </w:hyperlink>
      <w:r>
        <w:t>).</w:t>
      </w:r>
    </w:p>
    <w:p>
      <w:r/>
      <w:r>
        <w:t>Este dom de paz ou reconciliação com Deus, disponibilizado através de Cristo, impõe uma exigência ética sobre o cristão. O dom requer a prática da "paz" (como reconciliação entre pessoas) dentro da igreja. A paz, como fruto do Espírito (</w:t>
      </w:r>
      <w:hyperlink r:id="rId720">
        <w:r>
          <w:rPr>
            <w:color w:val="0000EE"/>
            <w:u w:val="single"/>
          </w:rPr>
          <w:t>Gl 5.22</w:t>
        </w:r>
      </w:hyperlink>
      <w:r>
        <w:t>), deve ser o objetivo dos relacionamentos do cristão com os outros (</w:t>
      </w:r>
      <w:hyperlink r:id="rId16589">
        <w:r>
          <w:rPr>
            <w:color w:val="0000EE"/>
            <w:u w:val="single"/>
          </w:rPr>
          <w:t>Rm 12.18</w:t>
        </w:r>
      </w:hyperlink>
      <w:r>
        <w:t xml:space="preserve">; </w:t>
      </w:r>
      <w:hyperlink r:id="rId16572">
        <w:r>
          <w:rPr>
            <w:color w:val="0000EE"/>
            <w:u w:val="single"/>
          </w:rPr>
          <w:t>14.19</w:t>
        </w:r>
      </w:hyperlink>
      <w:r>
        <w:t xml:space="preserve">; </w:t>
      </w:r>
      <w:hyperlink r:id="rId16590">
        <w:r>
          <w:rPr>
            <w:color w:val="0000EE"/>
            <w:u w:val="single"/>
          </w:rPr>
          <w:t>Hb 12.14</w:t>
        </w:r>
      </w:hyperlink>
      <w:r>
        <w:t>).</w:t>
      </w:r>
      <w:r/>
      <w:r/>
    </w:p>
    <w:p>
      <w:r/>
    </w:p>
    <w:p>
      <w:pPr>
        <w:pStyle w:val="Heading2"/>
      </w:pPr>
      <w:r>
        <w:t>Pecado</w:t>
      </w:r>
      <w:r/>
    </w:p>
    <w:p>
      <w:r/>
      <w:r>
        <w:t>Maldade que não é apenas contra a humanidade, a sociedade, os outros ou contra si mesmo, mas contra Deus. O conceito de Deus, portanto, dá à ideia de pecado seu significado multifacetado. Outros deuses, concebidos como caprichosos e sem caráter, exerciam poder ilimitado em comportamento desenfreado; eles não geraram tal senso de pecado como o único Deus de Israel, santo, justo e totalmente bom. Esta concepção religiosa de transgressão com a terminologia que ela criou persiste no NT.</w:t>
      </w:r>
    </w:p>
    <w:p>
      <w:pPr>
        <w:pStyle w:val="Heading3"/>
      </w:pPr>
      <w:r>
        <w:t>Terminologia</w:t>
      </w:r>
    </w:p>
    <w:p>
      <w:r/>
      <w:r>
        <w:t>O Deus de Israel define o ideal, o padrão para o comportamento humano. As palavras bíblicas mais frequentes para pecado falam de violar esse padrão de alguma forma. A palavra hebraica hata’ e grega hamartia significavam originalmente “errar o alvo, falhar no dever” (</w:t>
      </w:r>
      <w:hyperlink r:id="rId4436">
        <w:r>
          <w:rPr>
            <w:color w:val="0000EE"/>
            <w:u w:val="single"/>
          </w:rPr>
          <w:t>Rm 3.23</w:t>
        </w:r>
      </w:hyperlink>
      <w:r>
        <w:t xml:space="preserve">). Como Legislador, Deus estabelece limites para a liberdade do homem; outro termo frequente (hebraico, </w:t>
      </w:r>
      <w:r>
        <w:rPr>
          <w:i/>
        </w:rPr>
        <w:t>‘abar</w:t>
      </w:r>
      <w:r>
        <w:t>; grego, parabasis) descreve o pecado como “transgressão”, “ultrapassando os limites estabelecidos”. Termos semelhantes são pesha (hebraico), que significa “rebelião”, “transgressão”; ‘asham (hebraico) denota “invadir a prerrogativa real de Deus”, “incorrendo em culpa”; paraptoma (grego) denota “um falso passo fora do caminho designado”, “invadir terreno proibido”. “Iniquidade” muitas vezes se traduz ‘aon (hebraico, que significa “perversidade”, “erroneidade”), para a qual o equivalente do NT mais próximo é anomia (grego, “ilegalidade”) ou paranomia (grego, “violação da lei”).</w:t>
      </w:r>
    </w:p>
    <w:p>
      <w:pPr>
        <w:pStyle w:val="Heading3"/>
      </w:pPr>
      <w:r>
        <w:t>No Antigo Testamento</w:t>
      </w:r>
    </w:p>
    <w:p>
      <w:r/>
      <w:r>
        <w:t>Gênesis traça o pecado para o uso deliberado da liberdade dada por Deus na desobediência de uma única proibição limitante. Ezequiel insiste eloquentemente na responsabilidade individual contra teorias tradicionais de culpa corporativa (</w:t>
      </w:r>
      <w:hyperlink r:id="rId16591">
        <w:r>
          <w:rPr>
            <w:color w:val="0000EE"/>
            <w:u w:val="single"/>
          </w:rPr>
          <w:t>Ez 18</w:t>
        </w:r>
      </w:hyperlink>
      <w:r>
        <w:t>). Seguindo Jeremias, ele insta a necessidade de uma vida interior limpa e renovada para que o comportamento externo possa ser reformado; a lei divina deve se tornar uma força motivadora dentro de uma pessoa para que o pecado possa ser superado (</w:t>
      </w:r>
      <w:hyperlink r:id="rId16592">
        <w:r>
          <w:rPr>
            <w:color w:val="0000EE"/>
            <w:u w:val="single"/>
          </w:rPr>
          <w:t>Jr 31.29–34</w:t>
        </w:r>
      </w:hyperlink>
      <w:r>
        <w:t xml:space="preserve">; </w:t>
      </w:r>
      <w:hyperlink r:id="rId16593">
        <w:r>
          <w:rPr>
            <w:color w:val="0000EE"/>
            <w:u w:val="single"/>
          </w:rPr>
          <w:t>Ez 36.24–29</w:t>
        </w:r>
      </w:hyperlink>
      <w:r>
        <w:t>).</w:t>
      </w:r>
    </w:p>
    <w:p>
      <w:r/>
      <w:hyperlink r:id="rId2603">
        <w:r>
          <w:rPr>
            <w:color w:val="0000EE"/>
            <w:u w:val="single"/>
          </w:rPr>
          <w:t>O Salmo 51</w:t>
        </w:r>
      </w:hyperlink>
      <w:r>
        <w:t xml:space="preserve"> oferece uma análise aguçada do significado interior do pecado. Ao afirmar “em pecado minha mãe me concebeu”, o salmista confessou que sua vida havia sido pecaminosa desde o primeiro. Toda a sua personalidade precisava de “purificação”; ele estava contaminado. Os sacrifícios rituais não oferecem solução. Apenas um coração quebrantado e contrito pode preparar um pecador para a purificação de Deus. A única esperança, o único fundamento do apelo, está no amor constante e abundante misericórdia de Deus. Apesar de sua visão rigorosa do pecado, o AT também contém uma disposição graciosa de perdão (</w:t>
      </w:r>
      <w:hyperlink r:id="rId16594">
        <w:r>
          <w:rPr>
            <w:color w:val="0000EE"/>
            <w:u w:val="single"/>
          </w:rPr>
          <w:t>Sl 103.8–14</w:t>
        </w:r>
      </w:hyperlink>
      <w:r>
        <w:t xml:space="preserve"> </w:t>
      </w:r>
      <w:hyperlink r:id="rId1843">
        <w:r>
          <w:rPr>
            <w:color w:val="0000EE"/>
            <w:u w:val="single"/>
          </w:rPr>
          <w:t>Is 1.18</w:t>
        </w:r>
      </w:hyperlink>
      <w:r>
        <w:t xml:space="preserve">; </w:t>
      </w:r>
      <w:hyperlink r:id="rId16595">
        <w:r>
          <w:rPr>
            <w:color w:val="0000EE"/>
            <w:u w:val="single"/>
          </w:rPr>
          <w:t>55.6–7</w:t>
        </w:r>
      </w:hyperlink>
      <w:r>
        <w:t>).</w:t>
      </w:r>
    </w:p>
    <w:p>
      <w:pPr>
        <w:pStyle w:val="Heading3"/>
      </w:pPr>
      <w:r>
        <w:t>Nos ensinamentos de Jesus</w:t>
      </w:r>
    </w:p>
    <w:p>
      <w:r/>
      <w:r>
        <w:t>Os ensinamentos de Jesus sobre o assunto do pecado aceitaram a oferta graciosa de perdão e renovação divinos, não apenas proclamando com autoridade: “Seus pecados estão perdoados”, mas mostrando muitos atos de compaixão e reconhecimento social de que ele veio a ser o amigo dos pecadores, chamando-os ao arrependimento, restaurando sua esperança e dignidade (</w:t>
      </w:r>
      <w:hyperlink r:id="rId16596">
        <w:r>
          <w:rPr>
            <w:color w:val="0000EE"/>
            <w:u w:val="single"/>
          </w:rPr>
          <w:t>Mt 9.1–13</w:t>
        </w:r>
      </w:hyperlink>
      <w:r>
        <w:t xml:space="preserve">; </w:t>
      </w:r>
      <w:hyperlink r:id="rId5093">
        <w:r>
          <w:rPr>
            <w:color w:val="0000EE"/>
            <w:u w:val="single"/>
          </w:rPr>
          <w:t>11.19</w:t>
        </w:r>
      </w:hyperlink>
      <w:r>
        <w:t xml:space="preserve">; </w:t>
      </w:r>
      <w:hyperlink r:id="rId1169">
        <w:r>
          <w:rPr>
            <w:color w:val="0000EE"/>
            <w:u w:val="single"/>
          </w:rPr>
          <w:t>Lc 15</w:t>
        </w:r>
      </w:hyperlink>
      <w:r>
        <w:t xml:space="preserve">; </w:t>
      </w:r>
      <w:hyperlink r:id="rId11768">
        <w:r>
          <w:rPr>
            <w:color w:val="0000EE"/>
            <w:u w:val="single"/>
          </w:rPr>
          <w:t>19.1–10</w:t>
        </w:r>
      </w:hyperlink>
      <w:r>
        <w:t>).</w:t>
      </w:r>
    </w:p>
    <w:p>
      <w:r/>
      <w:r>
        <w:t>Jesus disse pouco sobre a origem do pecado, exceto ao traçá-lo até o coração e vontade humana (</w:t>
      </w:r>
      <w:hyperlink r:id="rId12712">
        <w:r>
          <w:rPr>
            <w:color w:val="0000EE"/>
            <w:u w:val="single"/>
          </w:rPr>
          <w:t>Mt 6.22–23</w:t>
        </w:r>
      </w:hyperlink>
      <w:r>
        <w:t xml:space="preserve">; </w:t>
      </w:r>
      <w:hyperlink r:id="rId16597">
        <w:r>
          <w:rPr>
            <w:color w:val="0000EE"/>
            <w:u w:val="single"/>
          </w:rPr>
          <w:t>7.17–19</w:t>
        </w:r>
      </w:hyperlink>
      <w:r>
        <w:t xml:space="preserve">; </w:t>
      </w:r>
      <w:hyperlink r:id="rId15597">
        <w:r>
          <w:rPr>
            <w:color w:val="0000EE"/>
            <w:u w:val="single"/>
          </w:rPr>
          <w:t>18.7</w:t>
        </w:r>
      </w:hyperlink>
      <w:r>
        <w:t xml:space="preserve">; </w:t>
      </w:r>
      <w:hyperlink r:id="rId16598">
        <w:r>
          <w:rPr>
            <w:color w:val="0000EE"/>
            <w:u w:val="single"/>
          </w:rPr>
          <w:t>Mc 7.20–23</w:t>
        </w:r>
      </w:hyperlink>
      <w:r>
        <w:t>), mas ele redefiniu significativamente o escopo do pecado. Onde a lei poderia suprimir apenas as ações das pessoas, Jesus mostrou que raiva, desprezo, luxúria, dureza de coração e engano também são pecaminosos. Ele também falou de pecados de negligência, bem deixado de fazer, a árvore estéril, o talento não utilizado, o sacerdote ignorando os feridos e o amor nunca mostrado (</w:t>
      </w:r>
      <w:hyperlink r:id="rId16599">
        <w:r>
          <w:rPr>
            <w:color w:val="0000EE"/>
            <w:u w:val="single"/>
          </w:rPr>
          <w:t>Mt 25.41–46</w:t>
        </w:r>
      </w:hyperlink>
      <w:r>
        <w:t>). Ele condena especialmente os pecados contra o amor — falta de fraterna, hostilidade implacável, egoísmo, insensibilidade (</w:t>
      </w:r>
      <w:hyperlink r:id="rId16600">
        <w:r>
          <w:rPr>
            <w:color w:val="0000EE"/>
            <w:u w:val="single"/>
          </w:rPr>
          <w:t>Lc 12.16–21</w:t>
        </w:r>
      </w:hyperlink>
      <w:r>
        <w:t xml:space="preserve">; </w:t>
      </w:r>
      <w:hyperlink r:id="rId8493">
        <w:r>
          <w:rPr>
            <w:color w:val="0000EE"/>
            <w:u w:val="single"/>
          </w:rPr>
          <w:t>16.19–31</w:t>
        </w:r>
      </w:hyperlink>
      <w:r>
        <w:t>). E ele condenou a autojusto e cegueira espiritual (</w:t>
      </w:r>
      <w:hyperlink r:id="rId16601">
        <w:r>
          <w:rPr>
            <w:color w:val="0000EE"/>
            <w:u w:val="single"/>
          </w:rPr>
          <w:t>Mt 23.16–26</w:t>
        </w:r>
      </w:hyperlink>
      <w:r>
        <w:t xml:space="preserve">; </w:t>
      </w:r>
      <w:hyperlink r:id="rId16602">
        <w:r>
          <w:rPr>
            <w:color w:val="0000EE"/>
            <w:u w:val="single"/>
          </w:rPr>
          <w:t>Mc 3.22–30</w:t>
        </w:r>
      </w:hyperlink>
      <w:r>
        <w:t>). Jesus falou de pecado como doença (</w:t>
      </w:r>
      <w:hyperlink r:id="rId14137">
        <w:r>
          <w:rPr>
            <w:color w:val="0000EE"/>
            <w:u w:val="single"/>
          </w:rPr>
          <w:t>Mc 2.17</w:t>
        </w:r>
      </w:hyperlink>
      <w:r>
        <w:t>) e às vezes como insensatez (</w:t>
      </w:r>
      <w:hyperlink r:id="rId16603">
        <w:r>
          <w:rPr>
            <w:color w:val="0000EE"/>
            <w:u w:val="single"/>
          </w:rPr>
          <w:t>Lc 12.20</w:t>
        </w:r>
      </w:hyperlink>
      <w:r>
        <w:t>). No entanto, Jesus declarou que os seres humanos caídos podem ser purificados com a ajuda de Deus (</w:t>
      </w:r>
      <w:hyperlink r:id="rId11739">
        <w:r>
          <w:rPr>
            <w:color w:val="0000EE"/>
            <w:u w:val="single"/>
          </w:rPr>
          <w:t>7.36–50</w:t>
        </w:r>
      </w:hyperlink>
      <w:r>
        <w:t>).</w:t>
      </w:r>
    </w:p>
    <w:p>
      <w:pPr>
        <w:pStyle w:val="Heading3"/>
      </w:pPr>
      <w:r>
        <w:t>Nos escritos de João</w:t>
      </w:r>
    </w:p>
    <w:p>
      <w:r/>
      <w:r>
        <w:t>O Evangelho de João assume a necessidade da humanidade pecadora, o sacrifício de Cristo, o Cordeiro, para carregar o pecado do mundo e a oferta de luz e vida em Cristo. A nova nota é uma ênfase no pecado que se nega a aceitar a salvação fornecida em Cristo, pelo amor de Deus pelo mundo — a negação de acreditar. É por amar as trevas, rejeitar a luz e se negar a aceitar Cristo, o Salvador, que os seres humanos já são julgados (</w:t>
      </w:r>
      <w:hyperlink r:id="rId16604">
        <w:r>
          <w:rPr>
            <w:color w:val="0000EE"/>
            <w:u w:val="single"/>
          </w:rPr>
          <w:t>Jo 3.16–21</w:t>
        </w:r>
      </w:hyperlink>
      <w:r>
        <w:t>).</w:t>
      </w:r>
    </w:p>
    <w:p>
      <w:r/>
      <w:r>
        <w:t>Contra a alegação do gnosticismo de que para os cristãos avançados, o pecado não importa, 1 João afirma 15 razões pelas quais o pecado não pode ser tolerado na vida cristã e enfatiza novamente que o pecado é tanto ignorância da verdade quanto falta de amor (</w:t>
      </w:r>
      <w:hyperlink r:id="rId16605">
        <w:r>
          <w:rPr>
            <w:color w:val="0000EE"/>
            <w:u w:val="single"/>
          </w:rPr>
          <w:t>1Jo 3.3–10</w:t>
        </w:r>
      </w:hyperlink>
      <w:r>
        <w:t>). No entanto, Deus perdoa aqueles que confessam seus pecados, enquanto Cristo expia por seus pecados e intercede por eles (</w:t>
      </w:r>
      <w:hyperlink r:id="rId16606">
        <w:r>
          <w:rPr>
            <w:color w:val="0000EE"/>
            <w:u w:val="single"/>
          </w:rPr>
          <w:t>1.7–2.2</w:t>
        </w:r>
      </w:hyperlink>
      <w:r>
        <w:t>).</w:t>
      </w:r>
    </w:p>
    <w:p>
      <w:pPr>
        <w:pStyle w:val="Heading3"/>
      </w:pPr>
      <w:r>
        <w:t>Nos escritos de Paulo</w:t>
      </w:r>
    </w:p>
    <w:p>
      <w:r/>
      <w:r>
        <w:t>Paulo argumentou fortemente, a partir da observação e das Escrituras, que todos pecaram (</w:t>
      </w:r>
      <w:hyperlink r:id="rId4405">
        <w:r>
          <w:rPr>
            <w:color w:val="0000EE"/>
            <w:u w:val="single"/>
          </w:rPr>
          <w:t>Rm 1–3</w:t>
        </w:r>
      </w:hyperlink>
      <w:r>
        <w:t>). Para ele, o pecado é uma força, um poder, uma “lei” governando dentro das pessoas (</w:t>
      </w:r>
      <w:hyperlink r:id="rId16607">
        <w:r>
          <w:rPr>
            <w:color w:val="0000EE"/>
            <w:u w:val="single"/>
          </w:rPr>
          <w:t>Rm 5.21</w:t>
        </w:r>
      </w:hyperlink>
      <w:r>
        <w:t xml:space="preserve">; </w:t>
      </w:r>
      <w:hyperlink r:id="rId16608">
        <w:r>
          <w:rPr>
            <w:color w:val="0000EE"/>
            <w:u w:val="single"/>
          </w:rPr>
          <w:t>7.23</w:t>
        </w:r>
      </w:hyperlink>
      <w:r>
        <w:t xml:space="preserve">; </w:t>
      </w:r>
      <w:hyperlink r:id="rId4302">
        <w:r>
          <w:rPr>
            <w:color w:val="0000EE"/>
            <w:u w:val="single"/>
          </w:rPr>
          <w:t>8.2</w:t>
        </w:r>
      </w:hyperlink>
      <w:r>
        <w:t xml:space="preserve">; </w:t>
      </w:r>
      <w:hyperlink r:id="rId16609">
        <w:r>
          <w:rPr>
            <w:color w:val="0000EE"/>
            <w:u w:val="single"/>
          </w:rPr>
          <w:t>1Co 15.56</w:t>
        </w:r>
      </w:hyperlink>
      <w:r>
        <w:t>), produzindo todos os tipos de comportamento maligno — o endurecimento da consciência (</w:t>
      </w:r>
      <w:hyperlink r:id="rId16610">
        <w:r>
          <w:rPr>
            <w:color w:val="0000EE"/>
            <w:u w:val="single"/>
          </w:rPr>
          <w:t>Rm 7.21–24</w:t>
        </w:r>
      </w:hyperlink>
      <w:r>
        <w:t>), alienação de Deus e sujeição à morte (</w:t>
      </w:r>
      <w:hyperlink r:id="rId8854">
        <w:r>
          <w:rPr>
            <w:color w:val="0000EE"/>
            <w:u w:val="single"/>
          </w:rPr>
          <w:t>Rm 5.10</w:t>
        </w:r>
      </w:hyperlink>
      <w:r>
        <w:t xml:space="preserve">; </w:t>
      </w:r>
      <w:hyperlink r:id="rId5369">
        <w:r>
          <w:rPr>
            <w:color w:val="0000EE"/>
            <w:u w:val="single"/>
          </w:rPr>
          <w:t>6.23</w:t>
        </w:r>
      </w:hyperlink>
      <w:r>
        <w:t xml:space="preserve">; </w:t>
      </w:r>
      <w:hyperlink r:id="rId16611">
        <w:r>
          <w:rPr>
            <w:color w:val="0000EE"/>
            <w:u w:val="single"/>
          </w:rPr>
          <w:t>Ef 2.1–5,12</w:t>
        </w:r>
      </w:hyperlink>
      <w:r>
        <w:t xml:space="preserve">; </w:t>
      </w:r>
      <w:hyperlink r:id="rId8856">
        <w:r>
          <w:rPr>
            <w:color w:val="0000EE"/>
            <w:u w:val="single"/>
          </w:rPr>
          <w:t>Cl 1.21</w:t>
        </w:r>
      </w:hyperlink>
      <w:r>
        <w:t>). Os seres humanos são impotentes para se reformarem (</w:t>
      </w:r>
      <w:hyperlink r:id="rId5971">
        <w:r>
          <w:rPr>
            <w:color w:val="0000EE"/>
            <w:u w:val="single"/>
          </w:rPr>
          <w:t>Rm 7.24</w:t>
        </w:r>
      </w:hyperlink>
      <w:r>
        <w:t xml:space="preserve">). A explicação de Paulo sobre esta condição desesperadora e universal é interpretada de diversas maneiras. Alguns leitores pensam que </w:t>
      </w:r>
      <w:hyperlink r:id="rId360">
        <w:r>
          <w:rPr>
            <w:color w:val="0000EE"/>
            <w:u w:val="single"/>
          </w:rPr>
          <w:t>Romanos 5.12–21</w:t>
        </w:r>
      </w:hyperlink>
      <w:r>
        <w:t xml:space="preserve"> diz que o pecado de Adão é a fonte de todo o pecado; outros, que é a “semelhança” (ARA) de todo o pecado. De qualquer forma, Paulo essencialmente disse que “cada homem é seu próprio Adão”, o que significa que cada pessoa é totalmente responsável por sua condição pecaminosa, mesmo que a natureza pecaminosa tenha sido herdada de Adão.</w:t>
      </w:r>
    </w:p>
    <w:p>
      <w:r/>
      <w:r>
        <w:t>A solução para o pecado, para Paulo, reside na morte do crente com Cristo – morte para o pecado, para si mesmo, para o mundo. Ao mesmo tempo, a nova vida do Espírito invasivo e efusivo transforma a vida de alguém de dentro, tornando cada pessoa uma criação santificando a personalidade à semelhança de Cristo (</w:t>
      </w:r>
      <w:hyperlink r:id="rId8752">
        <w:r>
          <w:rPr>
            <w:color w:val="0000EE"/>
            <w:u w:val="single"/>
          </w:rPr>
          <w:t>Rm 3.21–26</w:t>
        </w:r>
      </w:hyperlink>
      <w:r>
        <w:t xml:space="preserve">; </w:t>
      </w:r>
      <w:hyperlink r:id="rId16612">
        <w:r>
          <w:rPr>
            <w:color w:val="0000EE"/>
            <w:u w:val="single"/>
          </w:rPr>
          <w:t>5.6–9</w:t>
        </w:r>
      </w:hyperlink>
      <w:r>
        <w:t xml:space="preserve">; </w:t>
      </w:r>
      <w:hyperlink r:id="rId4417">
        <w:r>
          <w:rPr>
            <w:color w:val="0000EE"/>
            <w:u w:val="single"/>
          </w:rPr>
          <w:t>6</w:t>
        </w:r>
      </w:hyperlink>
      <w:r>
        <w:t xml:space="preserve">; </w:t>
      </w:r>
      <w:hyperlink r:id="rId16613">
        <w:r>
          <w:rPr>
            <w:color w:val="0000EE"/>
            <w:u w:val="single"/>
          </w:rPr>
          <w:t>8.1–4,28–29</w:t>
        </w:r>
      </w:hyperlink>
      <w:r>
        <w:t xml:space="preserve">; </w:t>
      </w:r>
      <w:hyperlink r:id="rId8754">
        <w:r>
          <w:rPr>
            <w:color w:val="0000EE"/>
            <w:u w:val="single"/>
          </w:rPr>
          <w:t>2Co 5.14–21</w:t>
        </w:r>
      </w:hyperlink>
      <w:r>
        <w:t>).</w:t>
      </w:r>
    </w:p>
    <w:p>
      <w:r/>
      <w:r>
        <w:rPr>
          <w:i/>
        </w:rPr>
        <w:t>Ver também</w:t>
      </w:r>
      <w:r>
        <w:t xml:space="preserve"> </w:t>
      </w:r>
      <w:r>
        <w:t>Carne</w:t>
      </w:r>
      <w:r>
        <w:t xml:space="preserve">; </w:t>
      </w:r>
      <w:r>
        <w:t>Justificação, Justificado</w:t>
      </w:r>
      <w:r>
        <w:t xml:space="preserve">; </w:t>
      </w:r>
      <w:r>
        <w:t>Santificação</w:t>
      </w:r>
      <w:r>
        <w:t xml:space="preserve">; </w:t>
      </w:r>
      <w:r>
        <w:t>Pecado para a Morte</w:t>
      </w:r>
      <w:r>
        <w:t xml:space="preserve">; </w:t>
      </w:r>
      <w:r>
        <w:t>Pecado Imperdoável, O</w:t>
      </w:r>
      <w:r>
        <w:t>.</w:t>
      </w:r>
      <w:r/>
      <w:r/>
    </w:p>
    <w:p>
      <w:r/>
    </w:p>
    <w:p>
      <w:pPr>
        <w:pStyle w:val="Heading2"/>
      </w:pPr>
      <w:r>
        <w:t>Pecado Lmperdoável*, O</w:t>
      </w:r>
      <w:r/>
    </w:p>
    <w:p>
      <w:r/>
      <w:r>
        <w:t>Atribuir a Satanás o que é realmente a obra do Espírito Santo como demonstrado através de Jesus Cristo. Este pecado é blasfêmia contra o Espírito Santo.</w:t>
      </w:r>
    </w:p>
    <w:p>
      <w:r/>
      <w:r>
        <w:t xml:space="preserve">O pecado imperdoável deve ser definido por seu contexto, que é encontrado em </w:t>
      </w:r>
      <w:hyperlink r:id="rId16614">
        <w:r>
          <w:rPr>
            <w:color w:val="0000EE"/>
            <w:u w:val="single"/>
          </w:rPr>
          <w:t>Mateus 12.31–32</w:t>
        </w:r>
      </w:hyperlink>
      <w:r>
        <w:t xml:space="preserve"> e </w:t>
      </w:r>
      <w:hyperlink r:id="rId16615">
        <w:r>
          <w:rPr>
            <w:color w:val="0000EE"/>
            <w:u w:val="single"/>
          </w:rPr>
          <w:t>Marcos 3.28–30</w:t>
        </w:r>
      </w:hyperlink>
      <w:r>
        <w:t>. Nessas passagens, Jesus havia acabado de expulsar um demônio de um homem que era cego e mudo. Evidência incontestável do poder de Deus havia acabado de ocorrer. Mas os fariseus, com incredulidade teimosa, creditam esta exibição do poder de Deus a Belzebu, o diabo (</w:t>
      </w:r>
      <w:hyperlink r:id="rId1673">
        <w:r>
          <w:rPr>
            <w:color w:val="0000EE"/>
            <w:u w:val="single"/>
          </w:rPr>
          <w:t>Mt 12.24</w:t>
        </w:r>
      </w:hyperlink>
      <w:r>
        <w:t>). Várias Escrituras revelam que muitos judeus haviam expressado o mesmo tipo de opinião falaciosa, a saber, que Jesus estava realizando milagres pelo poder do diabo (</w:t>
      </w:r>
      <w:hyperlink r:id="rId16616">
        <w:r>
          <w:rPr>
            <w:color w:val="0000EE"/>
            <w:u w:val="single"/>
          </w:rPr>
          <w:t>Mt 9.34</w:t>
        </w:r>
      </w:hyperlink>
      <w:r>
        <w:t xml:space="preserve">; </w:t>
      </w:r>
      <w:hyperlink r:id="rId11894">
        <w:r>
          <w:rPr>
            <w:color w:val="0000EE"/>
            <w:u w:val="single"/>
          </w:rPr>
          <w:t>11.18</w:t>
        </w:r>
      </w:hyperlink>
      <w:r>
        <w:t xml:space="preserve">; </w:t>
      </w:r>
      <w:hyperlink r:id="rId11936">
        <w:r>
          <w:rPr>
            <w:color w:val="0000EE"/>
            <w:u w:val="single"/>
          </w:rPr>
          <w:t>Lc 7.33</w:t>
        </w:r>
      </w:hyperlink>
      <w:r>
        <w:t xml:space="preserve">; </w:t>
      </w:r>
      <w:hyperlink r:id="rId16617">
        <w:r>
          <w:rPr>
            <w:color w:val="0000EE"/>
            <w:u w:val="single"/>
          </w:rPr>
          <w:t>11.14–20</w:t>
        </w:r>
      </w:hyperlink>
      <w:r>
        <w:t xml:space="preserve">; </w:t>
      </w:r>
      <w:hyperlink r:id="rId16618">
        <w:r>
          <w:rPr>
            <w:color w:val="0000EE"/>
            <w:u w:val="single"/>
          </w:rPr>
          <w:t>Jo 7.20</w:t>
        </w:r>
      </w:hyperlink>
      <w:r>
        <w:t xml:space="preserve">; </w:t>
      </w:r>
      <w:hyperlink r:id="rId11742">
        <w:r>
          <w:rPr>
            <w:color w:val="0000EE"/>
            <w:u w:val="single"/>
          </w:rPr>
          <w:t>8.48,52</w:t>
        </w:r>
      </w:hyperlink>
      <w:r>
        <w:t xml:space="preserve">; </w:t>
      </w:r>
      <w:hyperlink r:id="rId16619">
        <w:r>
          <w:rPr>
            <w:color w:val="0000EE"/>
            <w:u w:val="single"/>
          </w:rPr>
          <w:t>10.20</w:t>
        </w:r>
      </w:hyperlink>
      <w:r>
        <w:t xml:space="preserve">). Um grupo de judeus, na maioria fariseus, foi culpado de atribuir ao diabo o que era a obra do Espírito demonstrada através do Senhor Jesus. Eles cometeram </w:t>
      </w:r>
      <w:r>
        <w:rPr>
          <w:i/>
        </w:rPr>
        <w:t>o</w:t>
      </w:r>
      <w:r>
        <w:t xml:space="preserve"> pecado imperdoável quando disseram que as ações de Jesus, realizadas pelo poder do Espírito Santo, se originaram de Belzebu, o diabo. Simplificando, eles pecaram gravemente caracterizando ousadamente a obra de Jesus como vindo do diabo. De forma interessante, muitos judeus perpetuaram esta falsa caracterização sobre Jesus muito tempo após sua morte. Eles não negaram que ele fez milagres; eles disseram que ele fez milagres pelo poder do diabo.</w:t>
      </w:r>
    </w:p>
    <w:p>
      <w:pPr>
        <w:pStyle w:val="Heading3"/>
      </w:pPr>
      <w:r>
        <w:t>O que não é o pecado imperdoável</w:t>
      </w:r>
    </w:p>
    <w:p>
      <w:r/>
      <w:r>
        <w:t>O pecado imperdoável não é a rebelião de Israel contra Deus, mesmo que esta rebelião tenha resultado no julgamento eterno de milhares de pessoas e uma eliminação temporária da bênção de Deus. O “pecado para morte” mencionado por João (</w:t>
      </w:r>
      <w:hyperlink r:id="rId16620">
        <w:r>
          <w:rPr>
            <w:color w:val="0000EE"/>
            <w:u w:val="single"/>
          </w:rPr>
          <w:t>1Jo 5.16–17</w:t>
        </w:r>
      </w:hyperlink>
      <w:r>
        <w:t>) não é o pecado imperdoável. Seria impossível que uma pessoa que tenha redenção e o perdão do pecado (</w:t>
      </w:r>
      <w:hyperlink r:id="rId6340">
        <w:r>
          <w:rPr>
            <w:color w:val="0000EE"/>
            <w:u w:val="single"/>
          </w:rPr>
          <w:t>Ef 1.7</w:t>
        </w:r>
      </w:hyperlink>
      <w:r>
        <w:t>), purificação para o pecado presente e futuro (</w:t>
      </w:r>
      <w:hyperlink r:id="rId5313">
        <w:r>
          <w:rPr>
            <w:color w:val="0000EE"/>
            <w:u w:val="single"/>
          </w:rPr>
          <w:t>1Jo 1.7</w:t>
        </w:r>
      </w:hyperlink>
      <w:r>
        <w:t>) e vida eterna (</w:t>
      </w:r>
      <w:hyperlink r:id="rId1191">
        <w:r>
          <w:rPr>
            <w:color w:val="0000EE"/>
            <w:u w:val="single"/>
          </w:rPr>
          <w:t>Jo 3.16</w:t>
        </w:r>
      </w:hyperlink>
      <w:r>
        <w:t xml:space="preserve">) cometesse um pecado imperdoável. Mas aqueles que cometem o “pecado para morte” são todos cristãos. </w:t>
      </w:r>
      <w:hyperlink r:id="rId16621">
        <w:r>
          <w:rPr>
            <w:color w:val="0000EE"/>
            <w:u w:val="single"/>
          </w:rPr>
          <w:t>Primeira João 5.16</w:t>
        </w:r>
      </w:hyperlink>
      <w:r>
        <w:t xml:space="preserve"> diz que a pessoa que comete o “pecado para morte” é um “irmão” em Cristo.</w:t>
      </w:r>
    </w:p>
    <w:p>
      <w:r/>
      <w:r>
        <w:t>O pecado imperdoável não é a rejeição do Senhor Jesus, até que o rejeitado morra em sua descrença. Tal pecado não será perdoado por toda a eternidade, mas não é o mesmo pecado que Jesus condenou com essas palavras: “Qualquer um que blasfema contra mim, o Filho do Homem, pode ser perdoado, mas a blasfêmia contra o Espírito Santo nunca será perdoada, seja neste mundo ou no mundo por vir” (</w:t>
      </w:r>
      <w:hyperlink r:id="rId3820">
        <w:r>
          <w:rPr>
            <w:color w:val="0000EE"/>
            <w:u w:val="single"/>
          </w:rPr>
          <w:t>Mt 12.32</w:t>
        </w:r>
      </w:hyperlink>
      <w:r>
        <w:t>). Numerosas passagens repetem o aviso de que a incredulidade no Salvador resulta em morte eterna (</w:t>
      </w:r>
      <w:hyperlink r:id="rId9443">
        <w:r>
          <w:rPr>
            <w:color w:val="0000EE"/>
            <w:u w:val="single"/>
          </w:rPr>
          <w:t>Jo 3.18,36</w:t>
        </w:r>
      </w:hyperlink>
      <w:r>
        <w:t xml:space="preserve">; </w:t>
      </w:r>
      <w:hyperlink r:id="rId14823">
        <w:r>
          <w:rPr>
            <w:color w:val="0000EE"/>
            <w:u w:val="single"/>
          </w:rPr>
          <w:t>1Jo 5.12</w:t>
        </w:r>
      </w:hyperlink>
      <w:r>
        <w:t xml:space="preserve">; </w:t>
      </w:r>
      <w:hyperlink r:id="rId13077">
        <w:r>
          <w:rPr>
            <w:color w:val="0000EE"/>
            <w:u w:val="single"/>
          </w:rPr>
          <w:t>Ap 20.15</w:t>
        </w:r>
      </w:hyperlink>
      <w:r>
        <w:t xml:space="preserve">; </w:t>
      </w:r>
      <w:hyperlink r:id="rId144">
        <w:r>
          <w:rPr>
            <w:color w:val="0000EE"/>
            <w:u w:val="single"/>
          </w:rPr>
          <w:t>21.8</w:t>
        </w:r>
      </w:hyperlink>
      <w:r>
        <w:t>), mas essas Escrituras não falam diretamente do pecado imperdoável. Jesus afirmou que uma pessoa poderia ser um incrédulo nele, até mesmo no grau de falar contra ele, mas não ser culpado do pecado imperdoável.</w:t>
      </w:r>
    </w:p>
    <w:p>
      <w:r/>
      <w:r>
        <w:rPr>
          <w:i/>
        </w:rPr>
        <w:t>Ver também</w:t>
      </w:r>
      <w:r>
        <w:t xml:space="preserve"> </w:t>
      </w:r>
      <w:r>
        <w:t>Justificação, Justificado</w:t>
      </w:r>
      <w:r>
        <w:t xml:space="preserve">; </w:t>
      </w:r>
      <w:r>
        <w:t>Pecado para Morte</w:t>
      </w:r>
      <w:r>
        <w:t>.</w:t>
      </w:r>
      <w:r/>
      <w:r/>
    </w:p>
    <w:p>
      <w:r/>
    </w:p>
    <w:p>
      <w:pPr>
        <w:pStyle w:val="Heading2"/>
      </w:pPr>
      <w:r>
        <w:t>Pedael</w:t>
      </w:r>
      <w:r/>
    </w:p>
    <w:p>
      <w:r/>
      <w:r>
        <w:t>Pedael era filho de Amiúde. Ele veio da tribo de Naftali. Pedael foi escolhido para trabalhar junto com Josué e Eleazar (o sumo sacerdote) para ajudar a dividir a terra de Canaã a oeste do rio Jordão entre as tribos de Israel (</w:t>
      </w:r>
      <w:hyperlink r:id="rId1100">
        <w:r>
          <w:rPr>
            <w:color w:val="0000EE"/>
            <w:u w:val="single"/>
          </w:rPr>
          <w:t>Nm 34.28</w:t>
        </w:r>
      </w:hyperlink>
      <w:r>
        <w:t>).</w:t>
      </w:r>
      <w:r/>
      <w:r/>
    </w:p>
    <w:p>
      <w:r/>
    </w:p>
    <w:p>
      <w:pPr>
        <w:pStyle w:val="Heading2"/>
      </w:pPr>
      <w:r>
        <w:t>Pedazur</w:t>
      </w:r>
      <w:r/>
    </w:p>
    <w:p>
      <w:r/>
      <w:r>
        <w:t>O pai de Gamaliel da tribo de Manassés (</w:t>
      </w:r>
      <w:hyperlink r:id="rId1097">
        <w:r>
          <w:rPr>
            <w:color w:val="0000EE"/>
            <w:u w:val="single"/>
          </w:rPr>
          <w:t>Nm 1.10</w:t>
        </w:r>
      </w:hyperlink>
      <w:r>
        <w:t xml:space="preserve">; </w:t>
      </w:r>
      <w:hyperlink r:id="rId9759">
        <w:r>
          <w:rPr>
            <w:color w:val="0000EE"/>
            <w:u w:val="single"/>
          </w:rPr>
          <w:t>2.20</w:t>
        </w:r>
      </w:hyperlink>
      <w:r>
        <w:t xml:space="preserve">; </w:t>
      </w:r>
      <w:hyperlink r:id="rId9760">
        <w:r>
          <w:rPr>
            <w:color w:val="0000EE"/>
            <w:u w:val="single"/>
          </w:rPr>
          <w:t>7.54,59</w:t>
        </w:r>
      </w:hyperlink>
      <w:r>
        <w:t xml:space="preserve">; </w:t>
      </w:r>
      <w:hyperlink r:id="rId9758">
        <w:r>
          <w:rPr>
            <w:color w:val="0000EE"/>
            <w:u w:val="single"/>
          </w:rPr>
          <w:t>10.23</w:t>
        </w:r>
      </w:hyperlink>
      <w:r>
        <w:t>).</w:t>
      </w:r>
      <w:r/>
      <w:r/>
    </w:p>
    <w:p>
      <w:r/>
    </w:p>
    <w:p>
      <w:pPr>
        <w:pStyle w:val="Heading2"/>
      </w:pPr>
      <w:r>
        <w:t>Pedra angular</w:t>
      </w:r>
      <w:r/>
    </w:p>
    <w:p>
      <w:r/>
      <w:r>
        <w:t>Uma pedra angular é a pedra mais importante na fundação de um edifício. No Novo Testamento, "pedra angular" é um título especial para Jesus, destacando sua importância.</w:t>
      </w:r>
    </w:p>
    <w:p>
      <w:pPr>
        <w:pStyle w:val="Heading3"/>
      </w:pPr>
      <w:r>
        <w:t>Como Jesus utilizou a expressão "pedra angular" em seus ensinamentos?</w:t>
      </w:r>
    </w:p>
    <w:p>
      <w:r/>
      <w:r>
        <w:t>Jesus usou este termo quando contou uma história sobre trabalhadores em uma vinha (</w:t>
      </w:r>
      <w:hyperlink r:id="rId3543">
        <w:r>
          <w:rPr>
            <w:color w:val="0000EE"/>
            <w:u w:val="single"/>
          </w:rPr>
          <w:t>Mt 21.42</w:t>
        </w:r>
      </w:hyperlink>
      <w:r>
        <w:t xml:space="preserve">; </w:t>
      </w:r>
      <w:hyperlink r:id="rId16622">
        <w:r>
          <w:rPr>
            <w:color w:val="0000EE"/>
            <w:u w:val="single"/>
          </w:rPr>
          <w:t>Mc 12.10</w:t>
        </w:r>
      </w:hyperlink>
      <w:r>
        <w:t xml:space="preserve">; </w:t>
      </w:r>
      <w:hyperlink r:id="rId16623">
        <w:r>
          <w:rPr>
            <w:color w:val="0000EE"/>
            <w:u w:val="single"/>
          </w:rPr>
          <w:t>Lc 20.17</w:t>
        </w:r>
      </w:hyperlink>
      <w:r>
        <w:t>). Ele compartilhou esta história durante sua última visita a Jerusalém, após ter expulsado os comerciantes do templo. Quando os líderes judeus o questionaram sobre suas ações no templo, Jesus respondeu com esta história.</w:t>
      </w:r>
    </w:p>
    <w:p>
      <w:r/>
      <w:r>
        <w:t>Na história, alguns trabalhadores foram colocados no comando de uma vinha. A vinha representava o povo de Deus, e os trabalhadores representavam os líderes judeus. O dono da vinha representava Deus. Quando o dono enviou seu filho para a vinha, os trabalhadores o mataram. Jesus usou essa história para mostrar como os líderes judeus iriam rejeitar e matar o Filho de Deus, que era ele.</w:t>
      </w:r>
    </w:p>
    <w:p>
      <w:r/>
      <w:r>
        <w:t xml:space="preserve">Nesta história, Jesus estava dando uma dica sobre sua morte iminente. Ele então citou as Escrituras Judaicas, especialmente </w:t>
      </w:r>
      <w:hyperlink r:id="rId16624">
        <w:r>
          <w:rPr>
            <w:color w:val="0000EE"/>
            <w:u w:val="single"/>
          </w:rPr>
          <w:t>Salmo 118.22–23</w:t>
        </w:r>
      </w:hyperlink>
      <w:r>
        <w:t xml:space="preserve"> e </w:t>
      </w:r>
      <w:hyperlink r:id="rId3561">
        <w:r>
          <w:rPr>
            <w:color w:val="0000EE"/>
            <w:u w:val="single"/>
          </w:rPr>
          <w:t>Isaías 28.16</w:t>
        </w:r>
      </w:hyperlink>
      <w:r>
        <w:t>. Esses versículos falam sobre uma pedra que os construtores rejeitaram, mas que mais tarde se tornou a pedra mais importante do edifício. Jesus usou esses versículos para mostrar o que aconteceria com ele: embora os líderes judeus o rejeitassem, Deus o tornaria a parte mais importante de seu plano.</w:t>
      </w:r>
    </w:p>
    <w:p>
      <w:pPr>
        <w:pStyle w:val="Heading3"/>
      </w:pPr>
      <w:r>
        <w:t>Como Pedro usou "pedra angular" para explicar o papel de Jesus?</w:t>
      </w:r>
    </w:p>
    <w:p>
      <w:r/>
      <w:r>
        <w:t>Pedro também usou a expressão "pedra angular" quando falou aos governantes judeus em Jerusalém (</w:t>
      </w:r>
      <w:hyperlink r:id="rId3617">
        <w:r>
          <w:rPr>
            <w:color w:val="0000EE"/>
            <w:u w:val="single"/>
          </w:rPr>
          <w:t>At 4.11</w:t>
        </w:r>
      </w:hyperlink>
      <w:r>
        <w:t>). Ele estava explicando sobre a cura de um homem que não podia andar, perto do portão do templo. Pedro lhes disse que havia curado o homem através do poder de Jesus de Nazaré. Ele os lembrou de que tinham matado Jesus, mas Deus o trouxe de volta à vida (</w:t>
      </w:r>
      <w:hyperlink r:id="rId8806">
        <w:r>
          <w:rPr>
            <w:color w:val="0000EE"/>
            <w:u w:val="single"/>
          </w:rPr>
          <w:t>At 4.10</w:t>
        </w:r>
      </w:hyperlink>
      <w:r>
        <w:t>).</w:t>
      </w:r>
    </w:p>
    <w:p>
      <w:r/>
      <w:r>
        <w:t xml:space="preserve">Pedro então citou </w:t>
      </w:r>
      <w:hyperlink r:id="rId3616">
        <w:r>
          <w:rPr>
            <w:color w:val="0000EE"/>
            <w:u w:val="single"/>
          </w:rPr>
          <w:t>Salmo 118.22</w:t>
        </w:r>
      </w:hyperlink>
      <w:r>
        <w:t xml:space="preserve"> para mostrar que esses eventos estavam descritos nas escrituras deles. Quando Pedro falou sobre a pedra rejeitada, ele estava se referindo à morte de Jesus. Quando ele falou sobre a pedra se tornando a mais importante, ele estava descrevendo como Deus ressuscitou Jesus e lhe deu a mais alta autoridade. É por isso que chamamos Jesus de "pedra angular". Jesus tem a posição mais importante com Deus, o Pai.</w:t>
      </w:r>
    </w:p>
    <w:p>
      <w:r/>
      <w:r>
        <w:t xml:space="preserve">Pedro usa a palavra "pedra angular" novamente em sua carta </w:t>
      </w:r>
      <w:hyperlink r:id="rId16625">
        <w:r>
          <w:rPr>
            <w:color w:val="0000EE"/>
            <w:u w:val="single"/>
          </w:rPr>
          <w:t>1 Pedro 2.6–7</w:t>
        </w:r>
      </w:hyperlink>
      <w:r>
        <w:t xml:space="preserve">. No texto de </w:t>
      </w:r>
      <w:hyperlink r:id="rId16626">
        <w:r>
          <w:rPr>
            <w:color w:val="0000EE"/>
            <w:u w:val="single"/>
          </w:rPr>
          <w:t>1 Pedro 2.4</w:t>
        </w:r>
      </w:hyperlink>
      <w:r>
        <w:t xml:space="preserve">, Pedro combina a ideia da rejeição da pedra em </w:t>
      </w:r>
      <w:hyperlink r:id="rId3616">
        <w:r>
          <w:rPr>
            <w:color w:val="0000EE"/>
            <w:u w:val="single"/>
          </w:rPr>
          <w:t>Salmo 118.22</w:t>
        </w:r>
      </w:hyperlink>
      <w:r>
        <w:t xml:space="preserve"> com a ideia da pedra escolhida e valiosa em </w:t>
      </w:r>
      <w:hyperlink r:id="rId3561">
        <w:r>
          <w:rPr>
            <w:color w:val="0000EE"/>
            <w:u w:val="single"/>
          </w:rPr>
          <w:t>Isaías 28.16</w:t>
        </w:r>
      </w:hyperlink>
      <w:r>
        <w:t>. Como Pedro viu Jesus vivo após sua morte, ele também descreve Jesus como uma "pedra viva". Pedro encoraja seus leitores a se aproximarem de Jesus. Ele diz que, ao fazerem isso, eles se tornam como pedras que Deus usa para construir um templo especial onde ele é adorado. Esta imagem ajuda a mostrar o quão importante e poderoso Jesus é.</w:t>
      </w:r>
    </w:p>
    <w:p>
      <w:r/>
      <w:r>
        <w:t xml:space="preserve">No texto de </w:t>
      </w:r>
      <w:hyperlink r:id="rId16627">
        <w:r>
          <w:rPr>
            <w:color w:val="0000EE"/>
            <w:u w:val="single"/>
          </w:rPr>
          <w:t>1 Pedro 2.6</w:t>
        </w:r>
      </w:hyperlink>
      <w:r>
        <w:t xml:space="preserve">, Pedro cita </w:t>
      </w:r>
      <w:hyperlink r:id="rId3561">
        <w:r>
          <w:rPr>
            <w:color w:val="0000EE"/>
            <w:u w:val="single"/>
          </w:rPr>
          <w:t>Isaías 28.16</w:t>
        </w:r>
      </w:hyperlink>
      <w:r>
        <w:t xml:space="preserve">, que fala da pedra angular escolhida e preciosa. Esta mensagem é para pessoas que confiam em Jesus. No texto de </w:t>
      </w:r>
      <w:hyperlink r:id="rId16628">
        <w:r>
          <w:rPr>
            <w:color w:val="0000EE"/>
            <w:u w:val="single"/>
          </w:rPr>
          <w:t>1 Pedro 2.7–8</w:t>
        </w:r>
      </w:hyperlink>
      <w:r>
        <w:t xml:space="preserve">, ele cita </w:t>
      </w:r>
      <w:hyperlink r:id="rId3616">
        <w:r>
          <w:rPr>
            <w:color w:val="0000EE"/>
            <w:u w:val="single"/>
          </w:rPr>
          <w:t>Salmo 118.22</w:t>
        </w:r>
      </w:hyperlink>
      <w:r>
        <w:t xml:space="preserve">, falando sobre a rejeição da pedra, e </w:t>
      </w:r>
      <w:hyperlink r:id="rId15600">
        <w:r>
          <w:rPr>
            <w:color w:val="0000EE"/>
            <w:u w:val="single"/>
          </w:rPr>
          <w:t>Isaías 8.14</w:t>
        </w:r>
      </w:hyperlink>
      <w:r>
        <w:t>. Isaías descreve uma pedra que faz as pessoas tropeçarem. Esses versículos descrevem o que acontece com as pessoas que não acreditam em Jesus. Através dessas citações, Pedro mostra quão importante Jesus é. Ele quer lembrar seus leitores de que Deus os escolheu para seguir Jesus.</w:t>
      </w:r>
    </w:p>
    <w:p>
      <w:r/>
      <w:r>
        <w:t>Ao longo do Antigo Testamento, uma pedra angular representa algo muito importante. Os escritores do Novo Testamento usam essa imagem para mostrar que Jesus tem a mais alta autoridade com Deus, o Pai. Isso ensina as pessoas que seguem Jesus o quanto ele é especial e importante. Paulo também usa essa imagem em sua carta aos Efésios, dizendo que Jesus é a pedra angular que mantém o povo de Deus unido como um edifício (</w:t>
      </w:r>
      <w:hyperlink r:id="rId10135">
        <w:r>
          <w:rPr>
            <w:color w:val="0000EE"/>
            <w:u w:val="single"/>
          </w:rPr>
          <w:t>Ef 2.20</w:t>
        </w:r>
      </w:hyperlink>
      <w:r>
        <w:t>).</w:t>
      </w:r>
      <w:r/>
      <w:r/>
    </w:p>
    <w:p>
      <w:r/>
    </w:p>
    <w:p>
      <w:pPr>
        <w:pStyle w:val="Heading2"/>
      </w:pPr>
      <w:r>
        <w:t>Pedras preciosas</w:t>
      </w:r>
      <w:r/>
    </w:p>
    <w:p>
      <w:r/>
      <w:r>
        <w:t xml:space="preserve">Uma longa lista das pedras preciosas usadas nos tempos do AT ocorre em </w:t>
      </w:r>
      <w:hyperlink r:id="rId16629">
        <w:r>
          <w:rPr>
            <w:color w:val="0000EE"/>
            <w:u w:val="single"/>
          </w:rPr>
          <w:t>Êxodo 28.17–20</w:t>
        </w:r>
      </w:hyperlink>
      <w:r>
        <w:t xml:space="preserve"> e </w:t>
      </w:r>
      <w:hyperlink r:id="rId16630">
        <w:r>
          <w:rPr>
            <w:color w:val="0000EE"/>
            <w:u w:val="single"/>
          </w:rPr>
          <w:t>39.10–13</w:t>
        </w:r>
      </w:hyperlink>
      <w:r>
        <w:t xml:space="preserve">, onde quatro fileiras de três pedras, cada uma gravada com o nome de uma das 12 tribos de Israel, foram colocadas no peitoral do sumo sacerdote. Outras listas ocorrem em </w:t>
      </w:r>
      <w:hyperlink r:id="rId9025">
        <w:r>
          <w:rPr>
            <w:color w:val="0000EE"/>
            <w:u w:val="single"/>
          </w:rPr>
          <w:t>Ezequiel 28.13</w:t>
        </w:r>
      </w:hyperlink>
      <w:r>
        <w:t xml:space="preserve"> e </w:t>
      </w:r>
      <w:hyperlink r:id="rId16631">
        <w:r>
          <w:rPr>
            <w:color w:val="0000EE"/>
            <w:u w:val="single"/>
          </w:rPr>
          <w:t>Apocalipse 21.19–21</w:t>
        </w:r>
      </w:hyperlink>
      <w:r>
        <w:t>. É difícil identificar corretamente todas essas pedras, pois uma tradução precisa nem sempre é possível. Algumas das diferenças de tradução são indicadas na lista a seguir, conforme traduzido na NTLH:</w:t>
      </w:r>
    </w:p>
    <w:p>
      <w:r/>
      <w:r>
        <w:t>1. Ágata, um óxido de silício, um tipo de quartzo translúcido com camadas de diferentes cores (</w:t>
      </w:r>
      <w:hyperlink r:id="rId13026">
        <w:r>
          <w:rPr>
            <w:color w:val="0000EE"/>
            <w:u w:val="single"/>
          </w:rPr>
          <w:t>Êx 28.19</w:t>
        </w:r>
      </w:hyperlink>
      <w:r>
        <w:t xml:space="preserve">; </w:t>
      </w:r>
      <w:hyperlink r:id="rId13027">
        <w:r>
          <w:rPr>
            <w:color w:val="0000EE"/>
            <w:u w:val="single"/>
          </w:rPr>
          <w:t>39.12</w:t>
        </w:r>
      </w:hyperlink>
      <w:r>
        <w:t xml:space="preserve">; </w:t>
      </w:r>
      <w:hyperlink r:id="rId16632">
        <w:r>
          <w:rPr>
            <w:color w:val="0000EE"/>
            <w:u w:val="single"/>
          </w:rPr>
          <w:t>Is 54.12</w:t>
        </w:r>
      </w:hyperlink>
      <w:r>
        <w:t xml:space="preserve">; </w:t>
      </w:r>
      <w:hyperlink r:id="rId16633">
        <w:r>
          <w:rPr>
            <w:color w:val="0000EE"/>
            <w:u w:val="single"/>
          </w:rPr>
          <w:t>Ap 21.19</w:t>
        </w:r>
      </w:hyperlink>
      <w:r>
        <w:t>).</w:t>
      </w:r>
    </w:p>
    <w:p>
      <w:r/>
      <w:r>
        <w:t>2. Alabastro, uma variedade finamente granular e bandada de carbonato de cálcio (gesso), muitas vezes branco e translúcido e amplamente utilizado nos tempos bíblicos para vasos ornamentais, tigelas, potes de kohl, estátuas, frascos de perfume, e assim por diante (</w:t>
      </w:r>
      <w:hyperlink r:id="rId16634">
        <w:r>
          <w:rPr>
            <w:color w:val="0000EE"/>
            <w:u w:val="single"/>
          </w:rPr>
          <w:t>Ct 5.15</w:t>
        </w:r>
      </w:hyperlink>
      <w:r>
        <w:t xml:space="preserve">; </w:t>
      </w:r>
      <w:hyperlink r:id="rId3903">
        <w:r>
          <w:rPr>
            <w:color w:val="0000EE"/>
            <w:u w:val="single"/>
          </w:rPr>
          <w:t>Mt 26.7</w:t>
        </w:r>
      </w:hyperlink>
      <w:r>
        <w:t xml:space="preserve">; </w:t>
      </w:r>
      <w:hyperlink r:id="rId3905">
        <w:r>
          <w:rPr>
            <w:color w:val="0000EE"/>
            <w:u w:val="single"/>
          </w:rPr>
          <w:t>Mc 14.3</w:t>
        </w:r>
      </w:hyperlink>
      <w:r>
        <w:t xml:space="preserve">; </w:t>
      </w:r>
      <w:hyperlink r:id="rId16635">
        <w:r>
          <w:rPr>
            <w:color w:val="0000EE"/>
            <w:u w:val="single"/>
          </w:rPr>
          <w:t>Lc 7.37</w:t>
        </w:r>
      </w:hyperlink>
      <w:r>
        <w:t>).</w:t>
      </w:r>
    </w:p>
    <w:p>
      <w:r/>
      <w:r>
        <w:t>3. Ametista, um óxido de silício, uma variedade roxa ou violeta de quartzo cristalino transparente (</w:t>
      </w:r>
      <w:hyperlink r:id="rId13026">
        <w:r>
          <w:rPr>
            <w:color w:val="0000EE"/>
            <w:u w:val="single"/>
          </w:rPr>
          <w:t>Êx 28.19</w:t>
        </w:r>
      </w:hyperlink>
      <w:r>
        <w:t xml:space="preserve">; </w:t>
      </w:r>
      <w:hyperlink r:id="rId13027">
        <w:r>
          <w:rPr>
            <w:color w:val="0000EE"/>
            <w:u w:val="single"/>
          </w:rPr>
          <w:t>39.12</w:t>
        </w:r>
      </w:hyperlink>
      <w:r>
        <w:t xml:space="preserve">; </w:t>
      </w:r>
      <w:hyperlink r:id="rId3447">
        <w:r>
          <w:rPr>
            <w:color w:val="0000EE"/>
            <w:u w:val="single"/>
          </w:rPr>
          <w:t>Ap 21.20</w:t>
        </w:r>
      </w:hyperlink>
      <w:r>
        <w:t>).</w:t>
      </w:r>
    </w:p>
    <w:p>
      <w:r/>
      <w:r>
        <w:t>4. Berilo, um silicato de alumínio (</w:t>
      </w:r>
      <w:hyperlink r:id="rId3446">
        <w:r>
          <w:rPr>
            <w:color w:val="0000EE"/>
            <w:u w:val="single"/>
          </w:rPr>
          <w:t>Êx 28.20</w:t>
        </w:r>
      </w:hyperlink>
      <w:r>
        <w:t xml:space="preserve">; </w:t>
      </w:r>
      <w:hyperlink r:id="rId16636">
        <w:r>
          <w:rPr>
            <w:color w:val="0000EE"/>
            <w:u w:val="single"/>
          </w:rPr>
          <w:t>39.13</w:t>
        </w:r>
      </w:hyperlink>
      <w:r>
        <w:t xml:space="preserve">; </w:t>
      </w:r>
      <w:hyperlink r:id="rId16637">
        <w:r>
          <w:rPr>
            <w:color w:val="0000EE"/>
            <w:u w:val="single"/>
          </w:rPr>
          <w:t>Ct 5.14</w:t>
        </w:r>
      </w:hyperlink>
      <w:r>
        <w:t xml:space="preserve">; </w:t>
      </w:r>
      <w:hyperlink r:id="rId5507">
        <w:r>
          <w:rPr>
            <w:color w:val="0000EE"/>
            <w:u w:val="single"/>
          </w:rPr>
          <w:t>Dn 10.6</w:t>
        </w:r>
      </w:hyperlink>
      <w:r>
        <w:t>). Geralmente é verde (</w:t>
      </w:r>
      <w:hyperlink r:id="rId3447">
        <w:r>
          <w:rPr>
            <w:color w:val="0000EE"/>
            <w:u w:val="single"/>
          </w:rPr>
          <w:t>Ap 21.20</w:t>
        </w:r>
      </w:hyperlink>
      <w:r>
        <w:t>), mas pode ser azul, branco ou dourado e pode ser opaco ou transparente — esta última variedade inclui as gemas esmeralda e água-marinha.</w:t>
      </w:r>
    </w:p>
    <w:p>
      <w:r/>
      <w:r>
        <w:t>5. Carbúnculo. Veja esmeralda abaixo.</w:t>
      </w:r>
    </w:p>
    <w:p>
      <w:r/>
      <w:r>
        <w:t>6. Cornalina, um óxido de silício de cor avermelhada. Em traduções, às vezes é equiparada ao sárdio (</w:t>
      </w:r>
      <w:hyperlink r:id="rId4257">
        <w:r>
          <w:rPr>
            <w:color w:val="0000EE"/>
            <w:u w:val="single"/>
          </w:rPr>
          <w:t>Êx 28.17</w:t>
        </w:r>
      </w:hyperlink>
      <w:r>
        <w:t xml:space="preserve">; </w:t>
      </w:r>
      <w:hyperlink r:id="rId16638">
        <w:r>
          <w:rPr>
            <w:color w:val="0000EE"/>
            <w:u w:val="single"/>
          </w:rPr>
          <w:t>39.10</w:t>
        </w:r>
      </w:hyperlink>
      <w:r>
        <w:t xml:space="preserve">; </w:t>
      </w:r>
      <w:hyperlink r:id="rId9025">
        <w:r>
          <w:rPr>
            <w:color w:val="0000EE"/>
            <w:u w:val="single"/>
          </w:rPr>
          <w:t>Ez 28.13</w:t>
        </w:r>
      </w:hyperlink>
      <w:r>
        <w:t>), um tipo de quartzo marrom escuro ou vermelho (</w:t>
      </w:r>
      <w:hyperlink r:id="rId2465">
        <w:r>
          <w:rPr>
            <w:color w:val="0000EE"/>
            <w:u w:val="single"/>
          </w:rPr>
          <w:t>Ap 4.3</w:t>
        </w:r>
      </w:hyperlink>
      <w:r>
        <w:t xml:space="preserve">; </w:t>
      </w:r>
      <w:hyperlink r:id="rId3447">
        <w:r>
          <w:rPr>
            <w:color w:val="0000EE"/>
            <w:u w:val="single"/>
          </w:rPr>
          <w:t>21.20</w:t>
        </w:r>
      </w:hyperlink>
      <w:r>
        <w:t>).</w:t>
      </w:r>
    </w:p>
    <w:p>
      <w:r/>
      <w:r>
        <w:t>7. Calcedônia. Veja ágata acima.</w:t>
      </w:r>
    </w:p>
    <w:p>
      <w:r/>
      <w:r>
        <w:t>8. Crisólito, um fluossilicato de alumínio, amarelado em cor (</w:t>
      </w:r>
      <w:hyperlink r:id="rId3447">
        <w:r>
          <w:rPr>
            <w:color w:val="0000EE"/>
            <w:u w:val="single"/>
          </w:rPr>
          <w:t>Ap 21.20</w:t>
        </w:r>
      </w:hyperlink>
      <w:r>
        <w:t>), provavelmente equivalente ao topázio (</w:t>
      </w:r>
      <w:hyperlink r:id="rId4257">
        <w:r>
          <w:rPr>
            <w:color w:val="0000EE"/>
            <w:u w:val="single"/>
          </w:rPr>
          <w:t>Êx 28.17</w:t>
        </w:r>
      </w:hyperlink>
      <w:r>
        <w:t>) ou berilo (</w:t>
      </w:r>
      <w:hyperlink r:id="rId16639">
        <w:r>
          <w:rPr>
            <w:color w:val="0000EE"/>
            <w:u w:val="single"/>
          </w:rPr>
          <w:t>Ez 1.16</w:t>
        </w:r>
      </w:hyperlink>
      <w:r>
        <w:t xml:space="preserve">; </w:t>
      </w:r>
      <w:hyperlink r:id="rId5506">
        <w:r>
          <w:rPr>
            <w:color w:val="0000EE"/>
            <w:u w:val="single"/>
          </w:rPr>
          <w:t>10.9</w:t>
        </w:r>
      </w:hyperlink>
      <w:r>
        <w:t xml:space="preserve">; </w:t>
      </w:r>
      <w:hyperlink r:id="rId9025">
        <w:r>
          <w:rPr>
            <w:color w:val="0000EE"/>
            <w:u w:val="single"/>
          </w:rPr>
          <w:t>28.13</w:t>
        </w:r>
      </w:hyperlink>
      <w:r>
        <w:t>).</w:t>
      </w:r>
    </w:p>
    <w:p>
      <w:r/>
      <w:r>
        <w:t>9. Crisópraso, uma calcedônia verde-maçã manchada de níquel amplamente utilizada em joalheria (</w:t>
      </w:r>
      <w:hyperlink r:id="rId3447">
        <w:r>
          <w:rPr>
            <w:color w:val="0000EE"/>
            <w:u w:val="single"/>
          </w:rPr>
          <w:t>Ap 21.20</w:t>
        </w:r>
      </w:hyperlink>
      <w:r>
        <w:t>).</w:t>
      </w:r>
    </w:p>
    <w:p>
      <w:r/>
      <w:r>
        <w:t>10. Coral, o esqueleto calcário duro de uma variedade de animais marinhos que ocorre em várias cores — vermelho, branco e preto. Não é estritamente uma pedra (</w:t>
      </w:r>
      <w:hyperlink r:id="rId1572">
        <w:r>
          <w:rPr>
            <w:color w:val="0000EE"/>
            <w:u w:val="single"/>
          </w:rPr>
          <w:t>Jó 28.18</w:t>
        </w:r>
      </w:hyperlink>
      <w:r>
        <w:t xml:space="preserve">; </w:t>
      </w:r>
      <w:hyperlink r:id="rId1573">
        <w:r>
          <w:rPr>
            <w:color w:val="0000EE"/>
            <w:u w:val="single"/>
          </w:rPr>
          <w:t>Ez 27.16</w:t>
        </w:r>
      </w:hyperlink>
      <w:r>
        <w:t>).</w:t>
      </w:r>
    </w:p>
    <w:p>
      <w:r/>
      <w:r>
        <w:t>11. Cristal, um quartzo cristalino claro e translúcido (</w:t>
      </w:r>
      <w:hyperlink r:id="rId1572">
        <w:r>
          <w:rPr>
            <w:color w:val="0000EE"/>
            <w:u w:val="single"/>
          </w:rPr>
          <w:t>Jó 28.18</w:t>
        </w:r>
      </w:hyperlink>
      <w:r>
        <w:t xml:space="preserve">). Em </w:t>
      </w:r>
      <w:hyperlink r:id="rId15337">
        <w:r>
          <w:rPr>
            <w:color w:val="0000EE"/>
            <w:u w:val="single"/>
          </w:rPr>
          <w:t>Ap 4.6</w:t>
        </w:r>
      </w:hyperlink>
      <w:r>
        <w:t xml:space="preserve">, </w:t>
      </w:r>
      <w:hyperlink r:id="rId13496">
        <w:r>
          <w:rPr>
            <w:color w:val="0000EE"/>
            <w:u w:val="single"/>
          </w:rPr>
          <w:t>21.11</w:t>
        </w:r>
      </w:hyperlink>
      <w:r>
        <w:t xml:space="preserve"> e </w:t>
      </w:r>
      <w:hyperlink r:id="rId2159">
        <w:r>
          <w:rPr>
            <w:color w:val="0000EE"/>
            <w:u w:val="single"/>
          </w:rPr>
          <w:t>22.1</w:t>
        </w:r>
      </w:hyperlink>
      <w:r>
        <w:t xml:space="preserve"> a palavra grega krystallon pode ser cristal de rocha ou até mesmo gelo.</w:t>
      </w:r>
    </w:p>
    <w:p>
      <w:r/>
      <w:r>
        <w:t>12. Diamante, uma pedra de identificação incerta (</w:t>
      </w:r>
      <w:hyperlink r:id="rId16640">
        <w:r>
          <w:rPr>
            <w:color w:val="0000EE"/>
            <w:u w:val="single"/>
          </w:rPr>
          <w:t>Êx 28.18</w:t>
        </w:r>
      </w:hyperlink>
      <w:r>
        <w:t xml:space="preserve">; </w:t>
      </w:r>
      <w:hyperlink r:id="rId16641">
        <w:r>
          <w:rPr>
            <w:color w:val="0000EE"/>
            <w:u w:val="single"/>
          </w:rPr>
          <w:t>39.11</w:t>
        </w:r>
      </w:hyperlink>
      <w:r>
        <w:t xml:space="preserve">; </w:t>
      </w:r>
      <w:hyperlink r:id="rId9025">
        <w:r>
          <w:rPr>
            <w:color w:val="0000EE"/>
            <w:u w:val="single"/>
          </w:rPr>
          <w:t>Ez 28.13</w:t>
        </w:r>
      </w:hyperlink>
      <w:r>
        <w:t xml:space="preserve">). Pode não ser equivalente ao diamante moderno. Em </w:t>
      </w:r>
      <w:hyperlink r:id="rId14549">
        <w:r>
          <w:rPr>
            <w:color w:val="0000EE"/>
            <w:u w:val="single"/>
          </w:rPr>
          <w:t>Jr 17.1</w:t>
        </w:r>
      </w:hyperlink>
      <w:r>
        <w:t>, o diamante era provavelmente uma forma de coríndon, uma substância muito dura.</w:t>
      </w:r>
    </w:p>
    <w:p>
      <w:r/>
      <w:r>
        <w:t>13. Esmeralda, provavelmente uma pedra verde como a esmeralda moderna (</w:t>
      </w:r>
      <w:hyperlink r:id="rId16640">
        <w:r>
          <w:rPr>
            <w:color w:val="0000EE"/>
            <w:u w:val="single"/>
          </w:rPr>
          <w:t>Êx 28.18</w:t>
        </w:r>
      </w:hyperlink>
      <w:r>
        <w:t xml:space="preserve">; </w:t>
      </w:r>
      <w:hyperlink r:id="rId16641">
        <w:r>
          <w:rPr>
            <w:color w:val="0000EE"/>
            <w:u w:val="single"/>
          </w:rPr>
          <w:t>39.11</w:t>
        </w:r>
      </w:hyperlink>
      <w:r>
        <w:t xml:space="preserve">; </w:t>
      </w:r>
      <w:hyperlink r:id="rId1573">
        <w:r>
          <w:rPr>
            <w:color w:val="0000EE"/>
            <w:u w:val="single"/>
          </w:rPr>
          <w:t>Ez 27.16</w:t>
        </w:r>
      </w:hyperlink>
      <w:r>
        <w:t xml:space="preserve">; </w:t>
      </w:r>
      <w:hyperlink r:id="rId9025">
        <w:r>
          <w:rPr>
            <w:color w:val="0000EE"/>
            <w:u w:val="single"/>
          </w:rPr>
          <w:t>28.13</w:t>
        </w:r>
      </w:hyperlink>
      <w:r>
        <w:t xml:space="preserve">). A Septuaginta sugere uma pedra roxa como um granada. No NT, smaragdinos em </w:t>
      </w:r>
      <w:hyperlink r:id="rId2465">
        <w:r>
          <w:rPr>
            <w:color w:val="0000EE"/>
            <w:u w:val="single"/>
          </w:rPr>
          <w:t>Apocalipse 4.3</w:t>
        </w:r>
      </w:hyperlink>
      <w:r>
        <w:t xml:space="preserve"> e smaragdos em </w:t>
      </w:r>
      <w:hyperlink r:id="rId16633">
        <w:r>
          <w:rPr>
            <w:color w:val="0000EE"/>
            <w:u w:val="single"/>
          </w:rPr>
          <w:t>Apocalipse 21.19</w:t>
        </w:r>
      </w:hyperlink>
      <w:r>
        <w:t xml:space="preserve"> sugerem uma esmeralda.</w:t>
      </w:r>
    </w:p>
    <w:p>
      <w:r/>
      <w:r>
        <w:t>14. Jacinto, talvez um zircão laranja-avermelhado ou uma pedra azul como turquesa, ametista ou safira (</w:t>
      </w:r>
      <w:hyperlink r:id="rId13026">
        <w:r>
          <w:rPr>
            <w:color w:val="0000EE"/>
            <w:u w:val="single"/>
          </w:rPr>
          <w:t>Êx 28.19</w:t>
        </w:r>
      </w:hyperlink>
      <w:r>
        <w:t xml:space="preserve">; </w:t>
      </w:r>
      <w:hyperlink r:id="rId13027">
        <w:r>
          <w:rPr>
            <w:color w:val="0000EE"/>
            <w:u w:val="single"/>
          </w:rPr>
          <w:t>39.12</w:t>
        </w:r>
      </w:hyperlink>
      <w:r>
        <w:t xml:space="preserve">). Em </w:t>
      </w:r>
      <w:hyperlink r:id="rId3447">
        <w:r>
          <w:rPr>
            <w:color w:val="0000EE"/>
            <w:u w:val="single"/>
          </w:rPr>
          <w:t>Ap 21.20</w:t>
        </w:r>
      </w:hyperlink>
      <w:r>
        <w:t xml:space="preserve"> huakinthos é uma pedra azul. A identificação exata é incerta.</w:t>
      </w:r>
    </w:p>
    <w:p>
      <w:r/>
      <w:r>
        <w:t>15. Jaspe, uma substância de quartzo cristalino compacta, opaca e frequentemente altamente colorida (</w:t>
      </w:r>
      <w:hyperlink r:id="rId3446">
        <w:r>
          <w:rPr>
            <w:color w:val="0000EE"/>
            <w:u w:val="single"/>
          </w:rPr>
          <w:t>Êx 28.20</w:t>
        </w:r>
      </w:hyperlink>
      <w:r>
        <w:t xml:space="preserve">; </w:t>
      </w:r>
      <w:hyperlink r:id="rId16636">
        <w:r>
          <w:rPr>
            <w:color w:val="0000EE"/>
            <w:u w:val="single"/>
          </w:rPr>
          <w:t>39.13</w:t>
        </w:r>
      </w:hyperlink>
      <w:r>
        <w:t>). No NT, o termo grego iaspis (</w:t>
      </w:r>
      <w:hyperlink r:id="rId2465">
        <w:r>
          <w:rPr>
            <w:color w:val="0000EE"/>
            <w:u w:val="single"/>
          </w:rPr>
          <w:t>Ap 4.3</w:t>
        </w:r>
      </w:hyperlink>
      <w:r>
        <w:t xml:space="preserve">; </w:t>
      </w:r>
      <w:hyperlink r:id="rId16642">
        <w:r>
          <w:rPr>
            <w:color w:val="0000EE"/>
            <w:u w:val="single"/>
          </w:rPr>
          <w:t>21.11,18–19</w:t>
        </w:r>
      </w:hyperlink>
      <w:r>
        <w:t>) é um quartzo verde.</w:t>
      </w:r>
    </w:p>
    <w:p>
      <w:r/>
      <w:r>
        <w:t>16. Lápis-lazúli, uma pedra azul profunda; um composto de sódio, alumínio, cálcio, enxofre e prata contendo uma mistura de vários minerais. Geralmente tem manchas douradas de pirita de ferro e foi amplamente utilizado para fins ornamentais no mundo antigo. É semelhante ao safira.</w:t>
      </w:r>
    </w:p>
    <w:p>
      <w:r/>
      <w:r>
        <w:t>17. Mármore, um calcário cristalizado por metamorfismo, que recebe um alto polimento, durável e adequado para fins de construção (</w:t>
      </w:r>
      <w:hyperlink r:id="rId5513">
        <w:r>
          <w:rPr>
            <w:color w:val="0000EE"/>
            <w:u w:val="single"/>
          </w:rPr>
          <w:t>1Cr 29.2</w:t>
        </w:r>
      </w:hyperlink>
      <w:r>
        <w:t xml:space="preserve">; </w:t>
      </w:r>
      <w:hyperlink r:id="rId3105">
        <w:r>
          <w:rPr>
            <w:color w:val="0000EE"/>
            <w:u w:val="single"/>
          </w:rPr>
          <w:t>Et 1.6</w:t>
        </w:r>
      </w:hyperlink>
      <w:r>
        <w:t xml:space="preserve">; </w:t>
      </w:r>
      <w:hyperlink r:id="rId5592">
        <w:r>
          <w:rPr>
            <w:color w:val="0000EE"/>
            <w:u w:val="single"/>
          </w:rPr>
          <w:t>Ap 18.12</w:t>
        </w:r>
      </w:hyperlink>
      <w:r>
        <w:t>).</w:t>
      </w:r>
    </w:p>
    <w:p>
      <w:r/>
      <w:r>
        <w:t>18. Ônix, um quartzo composto por camadas ou faixas retas que diferem em cor (</w:t>
      </w:r>
      <w:hyperlink r:id="rId3287">
        <w:r>
          <w:rPr>
            <w:color w:val="0000EE"/>
            <w:u w:val="single"/>
          </w:rPr>
          <w:t>Gn 2.12</w:t>
        </w:r>
      </w:hyperlink>
      <w:r>
        <w:t xml:space="preserve">; </w:t>
      </w:r>
      <w:hyperlink r:id="rId15789">
        <w:r>
          <w:rPr>
            <w:color w:val="0000EE"/>
            <w:u w:val="single"/>
          </w:rPr>
          <w:t>Êx 25.7</w:t>
        </w:r>
      </w:hyperlink>
      <w:r>
        <w:t xml:space="preserve">; </w:t>
      </w:r>
      <w:hyperlink r:id="rId16643">
        <w:r>
          <w:rPr>
            <w:color w:val="0000EE"/>
            <w:u w:val="single"/>
          </w:rPr>
          <w:t>28.9,20</w:t>
        </w:r>
      </w:hyperlink>
      <w:r>
        <w:t xml:space="preserve">; </w:t>
      </w:r>
      <w:hyperlink r:id="rId16644">
        <w:r>
          <w:rPr>
            <w:color w:val="0000EE"/>
            <w:u w:val="single"/>
          </w:rPr>
          <w:t>39.6,13</w:t>
        </w:r>
      </w:hyperlink>
      <w:r>
        <w:t xml:space="preserve">; </w:t>
      </w:r>
      <w:hyperlink r:id="rId5513">
        <w:r>
          <w:rPr>
            <w:color w:val="0000EE"/>
            <w:u w:val="single"/>
          </w:rPr>
          <w:t>1Cr 29.2</w:t>
        </w:r>
      </w:hyperlink>
      <w:r>
        <w:t xml:space="preserve">; </w:t>
      </w:r>
      <w:hyperlink r:id="rId15796">
        <w:r>
          <w:rPr>
            <w:color w:val="0000EE"/>
            <w:u w:val="single"/>
          </w:rPr>
          <w:t>Jó 28.16</w:t>
        </w:r>
      </w:hyperlink>
      <w:r>
        <w:t xml:space="preserve">; </w:t>
      </w:r>
      <w:hyperlink r:id="rId9025">
        <w:r>
          <w:rPr>
            <w:color w:val="0000EE"/>
            <w:u w:val="single"/>
          </w:rPr>
          <w:t>Ez 28.13</w:t>
        </w:r>
      </w:hyperlink>
      <w:r>
        <w:t>). Veja sardônica abaixo.</w:t>
      </w:r>
    </w:p>
    <w:p>
      <w:r/>
      <w:r>
        <w:t>19. Pérola, uma substância dura e lisa, branca ou de várias cores, que cresce na concha de vários moluscos bivalves. No NT, “pérolas” são conhecidas como ornamentos para mulheres (</w:t>
      </w:r>
      <w:hyperlink r:id="rId14521">
        <w:r>
          <w:rPr>
            <w:color w:val="0000EE"/>
            <w:u w:val="single"/>
          </w:rPr>
          <w:t>1Tm 2.9</w:t>
        </w:r>
      </w:hyperlink>
      <w:r>
        <w:t xml:space="preserve">; </w:t>
      </w:r>
      <w:hyperlink r:id="rId4083">
        <w:r>
          <w:rPr>
            <w:color w:val="0000EE"/>
            <w:u w:val="single"/>
          </w:rPr>
          <w:t>Ap 17.4</w:t>
        </w:r>
      </w:hyperlink>
      <w:r>
        <w:t>) ou como itens para comércio (</w:t>
      </w:r>
      <w:hyperlink r:id="rId16645">
        <w:r>
          <w:rPr>
            <w:color w:val="0000EE"/>
            <w:u w:val="single"/>
          </w:rPr>
          <w:t>Ap 18.12,16</w:t>
        </w:r>
      </w:hyperlink>
      <w:r>
        <w:t>). O reino do céu é comparado a uma fina pérola, que as pessoas buscam a grande custo (</w:t>
      </w:r>
      <w:hyperlink r:id="rId16646">
        <w:r>
          <w:rPr>
            <w:color w:val="0000EE"/>
            <w:u w:val="single"/>
          </w:rPr>
          <w:t>Mt 13.45–46</w:t>
        </w:r>
      </w:hyperlink>
      <w:r>
        <w:t>).</w:t>
      </w:r>
    </w:p>
    <w:p>
      <w:r/>
      <w:r>
        <w:t>20. Rubi, uma tradução incerta da palavra hebraica peninim em seis lugares (</w:t>
      </w:r>
      <w:hyperlink r:id="rId1572">
        <w:r>
          <w:rPr>
            <w:color w:val="0000EE"/>
            <w:u w:val="single"/>
          </w:rPr>
          <w:t>Jó 28.18</w:t>
        </w:r>
      </w:hyperlink>
      <w:r>
        <w:t xml:space="preserve">; </w:t>
      </w:r>
      <w:hyperlink r:id="rId16647">
        <w:r>
          <w:rPr>
            <w:color w:val="0000EE"/>
            <w:u w:val="single"/>
          </w:rPr>
          <w:t>Pv 3.15</w:t>
        </w:r>
      </w:hyperlink>
      <w:r>
        <w:t xml:space="preserve">; </w:t>
      </w:r>
      <w:hyperlink r:id="rId16648">
        <w:r>
          <w:rPr>
            <w:color w:val="0000EE"/>
            <w:u w:val="single"/>
          </w:rPr>
          <w:t>8.11</w:t>
        </w:r>
      </w:hyperlink>
      <w:r>
        <w:t xml:space="preserve">; </w:t>
      </w:r>
      <w:hyperlink r:id="rId14516">
        <w:r>
          <w:rPr>
            <w:color w:val="0000EE"/>
            <w:u w:val="single"/>
          </w:rPr>
          <w:t>20.15</w:t>
        </w:r>
      </w:hyperlink>
      <w:r>
        <w:t xml:space="preserve">; </w:t>
      </w:r>
      <w:hyperlink r:id="rId16649">
        <w:r>
          <w:rPr>
            <w:color w:val="0000EE"/>
            <w:u w:val="single"/>
          </w:rPr>
          <w:t>31.10</w:t>
        </w:r>
      </w:hyperlink>
      <w:r>
        <w:t xml:space="preserve">; </w:t>
      </w:r>
      <w:hyperlink r:id="rId1571">
        <w:r>
          <w:rPr>
            <w:color w:val="0000EE"/>
            <w:u w:val="single"/>
          </w:rPr>
          <w:t>Lm 4.7</w:t>
        </w:r>
      </w:hyperlink>
      <w:r>
        <w:t>). Esta pedra vermelha forte ou carmesim provavelmente era conhecida no mundo antigo, mas há dificuldades na tradução dos termos que podem se referir a ela.</w:t>
      </w:r>
    </w:p>
    <w:p>
      <w:r/>
      <w:r>
        <w:t>21. Safira, uma pedra azul forte (</w:t>
      </w:r>
      <w:hyperlink r:id="rId16650">
        <w:r>
          <w:rPr>
            <w:color w:val="0000EE"/>
            <w:u w:val="single"/>
          </w:rPr>
          <w:t>Êx 24.10</w:t>
        </w:r>
      </w:hyperlink>
      <w:r>
        <w:t xml:space="preserve">; </w:t>
      </w:r>
      <w:hyperlink r:id="rId16640">
        <w:r>
          <w:rPr>
            <w:color w:val="0000EE"/>
            <w:u w:val="single"/>
          </w:rPr>
          <w:t>28.18</w:t>
        </w:r>
      </w:hyperlink>
      <w:r>
        <w:t xml:space="preserve">; </w:t>
      </w:r>
      <w:hyperlink r:id="rId16641">
        <w:r>
          <w:rPr>
            <w:color w:val="0000EE"/>
            <w:u w:val="single"/>
          </w:rPr>
          <w:t>39.11</w:t>
        </w:r>
      </w:hyperlink>
      <w:r>
        <w:t xml:space="preserve">; </w:t>
      </w:r>
      <w:hyperlink r:id="rId16651">
        <w:r>
          <w:rPr>
            <w:color w:val="0000EE"/>
            <w:u w:val="single"/>
          </w:rPr>
          <w:t>Jó 28.6,16</w:t>
        </w:r>
      </w:hyperlink>
      <w:r>
        <w:t xml:space="preserve">; </w:t>
      </w:r>
      <w:hyperlink r:id="rId16637">
        <w:r>
          <w:rPr>
            <w:color w:val="0000EE"/>
            <w:u w:val="single"/>
          </w:rPr>
          <w:t>Ct 5.14</w:t>
        </w:r>
      </w:hyperlink>
      <w:r>
        <w:t xml:space="preserve">; </w:t>
      </w:r>
      <w:hyperlink r:id="rId16652">
        <w:r>
          <w:rPr>
            <w:color w:val="0000EE"/>
            <w:u w:val="single"/>
          </w:rPr>
          <w:t>Is 54.11</w:t>
        </w:r>
      </w:hyperlink>
      <w:r>
        <w:t xml:space="preserve">; </w:t>
      </w:r>
      <w:hyperlink r:id="rId1571">
        <w:r>
          <w:rPr>
            <w:color w:val="0000EE"/>
            <w:u w:val="single"/>
          </w:rPr>
          <w:t>Lm 4.7</w:t>
        </w:r>
      </w:hyperlink>
      <w:r>
        <w:t xml:space="preserve">; </w:t>
      </w:r>
      <w:hyperlink r:id="rId16653">
        <w:r>
          <w:rPr>
            <w:color w:val="0000EE"/>
            <w:u w:val="single"/>
          </w:rPr>
          <w:t>Ez 1.26</w:t>
        </w:r>
      </w:hyperlink>
      <w:r>
        <w:t xml:space="preserve">; </w:t>
      </w:r>
      <w:hyperlink r:id="rId9583">
        <w:r>
          <w:rPr>
            <w:color w:val="0000EE"/>
            <w:u w:val="single"/>
          </w:rPr>
          <w:t>10.1</w:t>
        </w:r>
      </w:hyperlink>
      <w:r>
        <w:t xml:space="preserve">; </w:t>
      </w:r>
      <w:hyperlink r:id="rId9025">
        <w:r>
          <w:rPr>
            <w:color w:val="0000EE"/>
            <w:u w:val="single"/>
          </w:rPr>
          <w:t>28.13</w:t>
        </w:r>
      </w:hyperlink>
      <w:r>
        <w:t xml:space="preserve">), que pode ter se referido às vezes ao lápis-lazúli como em </w:t>
      </w:r>
      <w:hyperlink r:id="rId16654">
        <w:r>
          <w:rPr>
            <w:color w:val="0000EE"/>
            <w:u w:val="single"/>
          </w:rPr>
          <w:t>Jó 28.6</w:t>
        </w:r>
      </w:hyperlink>
      <w:r>
        <w:t xml:space="preserve"> e </w:t>
      </w:r>
      <w:hyperlink r:id="rId16633">
        <w:r>
          <w:rPr>
            <w:color w:val="0000EE"/>
            <w:u w:val="single"/>
          </w:rPr>
          <w:t>Apocalipse 21.19</w:t>
        </w:r>
      </w:hyperlink>
      <w:r>
        <w:t>.</w:t>
      </w:r>
    </w:p>
    <w:p>
      <w:r/>
      <w:r>
        <w:t>22. Sardius, uma forma vermelha ou marrom escura de quartzo (</w:t>
      </w:r>
      <w:hyperlink r:id="rId4257">
        <w:r>
          <w:rPr>
            <w:color w:val="0000EE"/>
            <w:u w:val="single"/>
          </w:rPr>
          <w:t>Êx 28.17</w:t>
        </w:r>
      </w:hyperlink>
      <w:r>
        <w:t xml:space="preserve">; </w:t>
      </w:r>
      <w:hyperlink r:id="rId16638">
        <w:r>
          <w:rPr>
            <w:color w:val="0000EE"/>
            <w:u w:val="single"/>
          </w:rPr>
          <w:t>39.10</w:t>
        </w:r>
      </w:hyperlink>
      <w:r>
        <w:t xml:space="preserve">; </w:t>
      </w:r>
      <w:hyperlink r:id="rId9025">
        <w:r>
          <w:rPr>
            <w:color w:val="0000EE"/>
            <w:u w:val="single"/>
          </w:rPr>
          <w:t>Ez 28.13</w:t>
        </w:r>
      </w:hyperlink>
      <w:r>
        <w:t>). Em versões modernas é frequentemente traduzido como “cornalina”. Veja Cornalina acima.</w:t>
      </w:r>
    </w:p>
    <w:p>
      <w:r/>
      <w:r>
        <w:t>23. Sardônica, uma forma de ágata com camadas de marrom e branco (</w:t>
      </w:r>
      <w:hyperlink r:id="rId3447">
        <w:r>
          <w:rPr>
            <w:color w:val="0000EE"/>
            <w:u w:val="single"/>
          </w:rPr>
          <w:t>Ap 21.20</w:t>
        </w:r>
      </w:hyperlink>
      <w:r>
        <w:t>).</w:t>
      </w:r>
    </w:p>
    <w:p>
      <w:r/>
      <w:r>
        <w:t>24. Topázio, uma pedra amarela, um fluossilicato de alumínio que ocorre em forma cristalina (</w:t>
      </w:r>
      <w:hyperlink r:id="rId4257">
        <w:r>
          <w:rPr>
            <w:color w:val="0000EE"/>
            <w:u w:val="single"/>
          </w:rPr>
          <w:t>Êx 28.17</w:t>
        </w:r>
      </w:hyperlink>
      <w:r>
        <w:t xml:space="preserve">; </w:t>
      </w:r>
      <w:hyperlink r:id="rId16638">
        <w:r>
          <w:rPr>
            <w:color w:val="0000EE"/>
            <w:u w:val="single"/>
          </w:rPr>
          <w:t>39.10</w:t>
        </w:r>
      </w:hyperlink>
      <w:r>
        <w:t xml:space="preserve">; </w:t>
      </w:r>
      <w:hyperlink r:id="rId8618">
        <w:r>
          <w:rPr>
            <w:color w:val="0000EE"/>
            <w:u w:val="single"/>
          </w:rPr>
          <w:t>Jó 28.19</w:t>
        </w:r>
      </w:hyperlink>
      <w:r>
        <w:t xml:space="preserve">; </w:t>
      </w:r>
      <w:hyperlink r:id="rId9025">
        <w:r>
          <w:rPr>
            <w:color w:val="0000EE"/>
            <w:u w:val="single"/>
          </w:rPr>
          <w:t>Ez 28.13</w:t>
        </w:r>
      </w:hyperlink>
      <w:r>
        <w:t xml:space="preserve">; </w:t>
      </w:r>
      <w:hyperlink r:id="rId3447">
        <w:r>
          <w:rPr>
            <w:color w:val="0000EE"/>
            <w:u w:val="single"/>
          </w:rPr>
          <w:t>Ap 21.20</w:t>
        </w:r>
      </w:hyperlink>
      <w:r>
        <w:t>).</w:t>
      </w:r>
    </w:p>
    <w:p>
      <w:r/>
      <w:r>
        <w:rPr>
          <w:i/>
        </w:rPr>
        <w:t>Veja também</w:t>
      </w:r>
      <w:r>
        <w:t xml:space="preserve"> </w:t>
      </w:r>
      <w:r>
        <w:t>Minerais e metais</w:t>
      </w:r>
      <w:r>
        <w:t>.</w:t>
      </w:r>
      <w:r/>
      <w:r/>
    </w:p>
    <w:p>
      <w:r/>
    </w:p>
    <w:p>
      <w:pPr>
        <w:pStyle w:val="Heading2"/>
      </w:pPr>
      <w:r>
        <w:t>Pedro, O Apóstolo</w:t>
      </w:r>
      <w:r/>
    </w:p>
    <w:p>
      <w:r/>
      <w:r>
        <w:t>Um dos 12 discípulos; ganhou destaque tanto entre os discípulos durante o ministério de Jesus quanto entre os apóstolos posteriormente.</w:t>
      </w:r>
    </w:p>
    <w:p>
      <w:r/>
      <w:r>
        <w:t>Na verdade, há quatro formas para o nome de Pedro no Novo Testamento: o hebraico traduzido para o grego, “Simeão” para “Simão”, e o aramaico traduzido para o grego, “Cefas” para “Petros” (que significa “rocha”). Seu nome era Simeão bar-Jonas (</w:t>
      </w:r>
      <w:hyperlink r:id="rId1435">
        <w:r>
          <w:rPr>
            <w:color w:val="0000EE"/>
            <w:u w:val="single"/>
          </w:rPr>
          <w:t>Mt 16.17</w:t>
        </w:r>
      </w:hyperlink>
      <w:r>
        <w:t xml:space="preserve">; cf. </w:t>
      </w:r>
      <w:hyperlink r:id="rId1436">
        <w:r>
          <w:rPr>
            <w:color w:val="0000EE"/>
            <w:u w:val="single"/>
          </w:rPr>
          <w:t>Jo 1.42</w:t>
        </w:r>
      </w:hyperlink>
      <w:r>
        <w:t xml:space="preserve">), “Simão, filho de João”, que era a nomenclatura semítica comum. É mais provável que “Simão” não fosse meramente o equivalente grego de “Simeão”, mas que, tendo sua casa na Galileia bilíngue, “Simão” era a forma alternativa que ele usava nos negócios com os gentios. Na verdade, era bastante comum um judeu cosmopolita empregar três formas de seu nome dependendo da ocasião: aramaico, latim e grego. O nome duplo “Simão Pedro” (ou “Simão chamado Pedro”) demonstra que o segundo nome era uma adição posterior, semelhante a “Jesus, o Cristo”. O número de vezes que o equivalente aramaico “Cefas” é usado (uma vez em João, quatro vezes cada em Gálatas e 1 Coríntios), bem como sua tradução para o grego (não comum com nomes próprios), indica a importância do segundo nome. Tanto as formas aramaicas quanto as gregas significam “a rocha”, uma indicação óbvia da posição de Pedro na igreja primitiva (veja abaixo em </w:t>
      </w:r>
      <w:hyperlink r:id="rId10302">
        <w:r>
          <w:rPr>
            <w:color w:val="0000EE"/>
            <w:u w:val="single"/>
          </w:rPr>
          <w:t>Mt 16.18</w:t>
        </w:r>
      </w:hyperlink>
      <w:r>
        <w:t>). É óbvio que ele foi chamado de “Simão” durante todo o ministério de Jesus, mas veio a ser conhecido como “Pedro” cada vez mais na era apostólica.</w:t>
      </w:r>
    </w:p>
    <w:p>
      <w:r/>
      <w:r>
        <w:t>Resumo</w:t>
      </w:r>
    </w:p>
    <w:p>
      <w:r/>
      <w:r>
        <w:t>• O Contexto de Pedro</w:t>
      </w:r>
    </w:p>
    <w:p>
      <w:r/>
      <w:r>
        <w:t>• A Conversão e Chamado de Pedro</w:t>
      </w:r>
    </w:p>
    <w:p>
      <w:r/>
      <w:r>
        <w:t>• O Lugar de Pedro entre os Doze</w:t>
      </w:r>
    </w:p>
    <w:p>
      <w:r/>
      <w:r>
        <w:t>• Pedro, a Rocha</w:t>
      </w:r>
    </w:p>
    <w:p>
      <w:r/>
      <w:r>
        <w:t>• Pedro, o Apóstolo</w:t>
      </w:r>
    </w:p>
    <w:p>
      <w:r/>
      <w:r>
        <w:t>• O Ministério Futuro de Pedro</w:t>
      </w:r>
    </w:p>
    <w:p>
      <w:pPr>
        <w:pStyle w:val="Heading3"/>
      </w:pPr>
      <w:r>
        <w:t>O Contexto de Pedro</w:t>
      </w:r>
    </w:p>
    <w:p>
      <w:r/>
      <w:r>
        <w:t xml:space="preserve">Pedro foi criado na Galileia bilíngue. </w:t>
      </w:r>
      <w:hyperlink r:id="rId1438">
        <w:r>
          <w:rPr>
            <w:color w:val="0000EE"/>
            <w:u w:val="single"/>
          </w:rPr>
          <w:t>João 1.44</w:t>
        </w:r>
      </w:hyperlink>
      <w:r>
        <w:t xml:space="preserve"> diz que a casa de André (seu irmão) e Pedro era em Betsaida, o local exato é difícil de ser definido arqueologicamente. A única informação sobre localização que temos é que ficava a leste do Jordão, no distrito chamado Golã. No entanto, </w:t>
      </w:r>
      <w:hyperlink r:id="rId3506">
        <w:r>
          <w:rPr>
            <w:color w:val="0000EE"/>
            <w:u w:val="single"/>
          </w:rPr>
          <w:t>João 12.21</w:t>
        </w:r>
      </w:hyperlink>
      <w:r>
        <w:t xml:space="preserve"> coloca Betsaida na Galileia; porém é possível que João esteja refletindo o uso popular do termo “Galileia” em vez do legalmente correto. Pedro e André tinham um negócio de pesca centrado em Cafarnaum (</w:t>
      </w:r>
      <w:hyperlink r:id="rId14344">
        <w:r>
          <w:rPr>
            <w:color w:val="0000EE"/>
            <w:u w:val="single"/>
          </w:rPr>
          <w:t>Mc 1.21,29</w:t>
        </w:r>
      </w:hyperlink>
      <w:r>
        <w:t>) e talvez fossem parceiros de Tiago e João (</w:t>
      </w:r>
      <w:hyperlink r:id="rId16655">
        <w:r>
          <w:rPr>
            <w:color w:val="0000EE"/>
            <w:u w:val="single"/>
          </w:rPr>
          <w:t>Lc 5.10</w:t>
        </w:r>
      </w:hyperlink>
      <w:r>
        <w:t xml:space="preserve">). Também é provável que eles intermitentemente continuaram em seus negócios enquanto discípulos, como indicado na cena de pesca em </w:t>
      </w:r>
      <w:hyperlink r:id="rId16656">
        <w:r>
          <w:rPr>
            <w:color w:val="0000EE"/>
            <w:u w:val="single"/>
          </w:rPr>
          <w:t>João 21.1–8</w:t>
        </w:r>
      </w:hyperlink>
      <w:r>
        <w:t>.</w:t>
      </w:r>
    </w:p>
    <w:p>
      <w:r/>
      <w:r>
        <w:t>Uma dificuldade com isso é a série de declarações dizendo: “Nós deixamos tudo e te seguimos” (</w:t>
      </w:r>
      <w:hyperlink r:id="rId16657">
        <w:r>
          <w:rPr>
            <w:color w:val="0000EE"/>
            <w:u w:val="single"/>
          </w:rPr>
          <w:t>Mt 19.27</w:t>
        </w:r>
      </w:hyperlink>
      <w:r>
        <w:t xml:space="preserve">; </w:t>
      </w:r>
      <w:hyperlink r:id="rId16658">
        <w:r>
          <w:rPr>
            <w:color w:val="0000EE"/>
            <w:u w:val="single"/>
          </w:rPr>
          <w:t>Mc 10.28</w:t>
        </w:r>
      </w:hyperlink>
      <w:r>
        <w:t xml:space="preserve">; </w:t>
      </w:r>
      <w:hyperlink r:id="rId16659">
        <w:r>
          <w:rPr>
            <w:color w:val="0000EE"/>
            <w:u w:val="single"/>
          </w:rPr>
          <w:t>Lc 18.28</w:t>
        </w:r>
      </w:hyperlink>
      <w:r>
        <w:t xml:space="preserve">). A maioria dos intérpretes deu a isso um senso absoluto de “vender” ou “deixar” seus negócios. No entanto, </w:t>
      </w:r>
      <w:hyperlink r:id="rId16659">
        <w:r>
          <w:rPr>
            <w:color w:val="0000EE"/>
            <w:u w:val="single"/>
          </w:rPr>
          <w:t>Lucas 18.28</w:t>
        </w:r>
      </w:hyperlink>
      <w:r>
        <w:t xml:space="preserve"> ocorre no contexto de deixar suas casas, mas obviamente não se entende em um sentido absoluto. Parece mais provável que os discípulos de fato deixaram a prática de seus negócios de pesca para seguir a Cristo, mas mantiveram as ferramentas de seu comércio e voltaram para seus negócios quando necessário.</w:t>
      </w:r>
    </w:p>
    <w:p>
      <w:r/>
      <w:r>
        <w:t xml:space="preserve">Eles certamente não abandonaram suas famílias, como evidenciado por Pedro, que voltava para sua casa no final de cada trajeto. O Novo Testamento nos diz que Pedro era casado. Em </w:t>
      </w:r>
      <w:hyperlink r:id="rId16660">
        <w:r>
          <w:rPr>
            <w:color w:val="0000EE"/>
            <w:u w:val="single"/>
          </w:rPr>
          <w:t>Marcos 1.29–31</w:t>
        </w:r>
      </w:hyperlink>
      <w:r>
        <w:t>, Jesus cura a sogra de Pedro, que talvez estivesse morando com ele. Na verdade, é possível que sua casa tenha se tornado a base de Jesus na Galileia. (</w:t>
      </w:r>
      <w:hyperlink r:id="rId16661">
        <w:r>
          <w:rPr>
            <w:color w:val="0000EE"/>
            <w:u w:val="single"/>
          </w:rPr>
          <w:t>Mateus 8.14</w:t>
        </w:r>
      </w:hyperlink>
      <w:r>
        <w:t xml:space="preserve"> pode indicar que Jesus morou lá). </w:t>
      </w:r>
      <w:hyperlink r:id="rId11197">
        <w:r>
          <w:rPr>
            <w:color w:val="0000EE"/>
            <w:u w:val="single"/>
          </w:rPr>
          <w:t>Primeira aos Coríntios 9.5</w:t>
        </w:r>
      </w:hyperlink>
      <w:r>
        <w:t xml:space="preserve"> diz que Pedro, juntamente com os outros apóstolos casados, muitas vezes levava sua esposa com ele em suas viagens missionárias. A tradição posterior fala de seus filhos (</w:t>
      </w:r>
      <w:r>
        <w:rPr>
          <w:i/>
        </w:rPr>
        <w:t>Stromata</w:t>
      </w:r>
      <w:r>
        <w:t xml:space="preserve"> 2.6.52, de Clemente de Alexandria) e diz que Pedro estava presente no martírio de sua esposa (</w:t>
      </w:r>
      <w:r>
        <w:rPr>
          <w:i/>
        </w:rPr>
        <w:t>História Eclesiástica</w:t>
      </w:r>
      <w:r>
        <w:t xml:space="preserve"> de Eusébio 3.30.2).</w:t>
      </w:r>
    </w:p>
    <w:p>
      <w:pPr>
        <w:pStyle w:val="Heading3"/>
      </w:pPr>
      <w:r>
        <w:t>A Conversão e Chamado de Pedro</w:t>
      </w:r>
    </w:p>
    <w:p>
      <w:r/>
      <w:r>
        <w:t xml:space="preserve">O irmão de Pedro, André, era um discípulo de João Batista, de acordo com </w:t>
      </w:r>
      <w:hyperlink r:id="rId16662">
        <w:r>
          <w:rPr>
            <w:color w:val="0000EE"/>
            <w:u w:val="single"/>
          </w:rPr>
          <w:t>João 1.35–40</w:t>
        </w:r>
      </w:hyperlink>
      <w:r>
        <w:t xml:space="preserve">. Isso segue o testemunho de João em </w:t>
      </w:r>
      <w:hyperlink r:id="rId16663">
        <w:r>
          <w:rPr>
            <w:color w:val="0000EE"/>
            <w:u w:val="single"/>
          </w:rPr>
          <w:t>1.29–34</w:t>
        </w:r>
      </w:hyperlink>
      <w:r>
        <w:t xml:space="preserve"> e é a segunda etapa do drama do discipulado de João no capítulo um — isto é, depois de dar testemunho, ele agora envia seus próprios seguidores para Jesus. André e o discípulo sem nome (talvez Filipe como em </w:t>
      </w:r>
      <w:hyperlink r:id="rId16664">
        <w:r>
          <w:rPr>
            <w:color w:val="0000EE"/>
            <w:u w:val="single"/>
          </w:rPr>
          <w:t>Jo 1.43</w:t>
        </w:r>
      </w:hyperlink>
      <w:r>
        <w:t xml:space="preserve"> ou o “discípulo amado”, a quem muitos identificam como o próprio João) então “seguem” Jesus (um termo usado muitas vezes em João para o discipulado). No dia seguinte, André segue o exemplo de João Batista e encontra seu irmão Simão, dizendo: “Encontramos o Messias” (</w:t>
      </w:r>
      <w:hyperlink r:id="rId6101">
        <w:r>
          <w:rPr>
            <w:color w:val="0000EE"/>
            <w:u w:val="single"/>
          </w:rPr>
          <w:t>Jo 1.41</w:t>
        </w:r>
      </w:hyperlink>
      <w:r>
        <w:t xml:space="preserve">). A conversão de Pedro é pressuposta em </w:t>
      </w:r>
      <w:hyperlink r:id="rId1436">
        <w:r>
          <w:rPr>
            <w:color w:val="0000EE"/>
            <w:u w:val="single"/>
          </w:rPr>
          <w:t>João 1.42</w:t>
        </w:r>
      </w:hyperlink>
      <w:r>
        <w:t>, onde Simão é trazido a Jesus por André e lá recebe um novo nome.</w:t>
      </w:r>
    </w:p>
    <w:p>
      <w:r/>
      <w:r>
        <w:t>Há três episódios separados nos Evangelhos nos quais Simão é chamado, e esses se sobrepõem com três episódios nos quais ele recebe o nome de “Cefas” (“Pedro”, que significa “rocha”) por Jesus. João localiza o evento na Judeia onde João Batista estava batizando. Os Evangelhos sinópticos têm duas cenas diferentes. O primeiro chamado ocorre no Mar da Galileia (</w:t>
      </w:r>
      <w:hyperlink r:id="rId11715">
        <w:r>
          <w:rPr>
            <w:color w:val="0000EE"/>
            <w:u w:val="single"/>
          </w:rPr>
          <w:t>Mc 1.16–20</w:t>
        </w:r>
      </w:hyperlink>
      <w:r>
        <w:t xml:space="preserve">; </w:t>
      </w:r>
      <w:hyperlink r:id="rId11714">
        <w:r>
          <w:rPr>
            <w:color w:val="0000EE"/>
            <w:u w:val="single"/>
          </w:rPr>
          <w:t>Mt 4.18–22</w:t>
        </w:r>
      </w:hyperlink>
      <w:r>
        <w:t>). Jesus está andando ao longo da margem e vê Pedro e André, juntamente com Tiago e João lançando suas redes ao mar. Neste momento, ele os chama para se tornarem “pescadores de homens”. Lucas então expande isso para uma cena de pesca (</w:t>
      </w:r>
      <w:hyperlink r:id="rId11716">
        <w:r>
          <w:rPr>
            <w:color w:val="0000EE"/>
            <w:u w:val="single"/>
          </w:rPr>
          <w:t>Lc 5.1–11</w:t>
        </w:r>
      </w:hyperlink>
      <w:r>
        <w:t>), na qual os discípulos pescaram a noite toda e nada pegaram, mas, sob o comando de Jesus, lançam suas redes e pegam uma quantidade de peixe tão grande que o barco começa a afundar. O episódio conclui exatamente como é descrito na forma abreviada de Marcos: Jesus diz que a partir de agora eles “pescarão homens” e, como resultado, deixam tudo e o seguem.</w:t>
      </w:r>
    </w:p>
    <w:p>
      <w:r/>
      <w:r>
        <w:t>O segundo episódio sinótico envolvendo o chamado de Pedro (e seu novo nome) é a escolha oficial dos Doze na montanha (</w:t>
      </w:r>
      <w:hyperlink r:id="rId2256">
        <w:r>
          <w:rPr>
            <w:color w:val="0000EE"/>
            <w:u w:val="single"/>
          </w:rPr>
          <w:t>Mc 3.13–19</w:t>
        </w:r>
      </w:hyperlink>
      <w:r>
        <w:t xml:space="preserve"> e paralelos); na lista dos nomes, temos “Simão, de sobrenome Pedro”. A ocorrência final que lida com o novo nome de Pedro é encontrada em </w:t>
      </w:r>
      <w:hyperlink r:id="rId16665">
        <w:r>
          <w:rPr>
            <w:color w:val="0000EE"/>
            <w:u w:val="single"/>
          </w:rPr>
          <w:t>Mateus 16.17–19</w:t>
        </w:r>
      </w:hyperlink>
      <w:r>
        <w:t>, em conexão com a confissão de Pedro em Cesareia de Filipe.</w:t>
      </w:r>
    </w:p>
    <w:p>
      <w:r/>
      <w:r>
        <w:t>É um pouco difícil harmonizar esses episódios corretamente. Houve, de fato, três episódios diferentes em que Simão foi chamado (</w:t>
      </w:r>
      <w:hyperlink r:id="rId1436">
        <w:r>
          <w:rPr>
            <w:color w:val="0000EE"/>
            <w:u w:val="single"/>
          </w:rPr>
          <w:t>Jo 1.42</w:t>
        </w:r>
      </w:hyperlink>
      <w:r>
        <w:t xml:space="preserve">; </w:t>
      </w:r>
      <w:hyperlink r:id="rId16666">
        <w:r>
          <w:rPr>
            <w:color w:val="0000EE"/>
            <w:u w:val="single"/>
          </w:rPr>
          <w:t>Mc 1.20</w:t>
        </w:r>
      </w:hyperlink>
      <w:r>
        <w:t xml:space="preserve">; </w:t>
      </w:r>
      <w:hyperlink r:id="rId16667">
        <w:r>
          <w:rPr>
            <w:color w:val="0000EE"/>
            <w:u w:val="single"/>
          </w:rPr>
          <w:t>3.16</w:t>
        </w:r>
      </w:hyperlink>
      <w:r>
        <w:t>) e três incidentes separados nos quais ele recebeu o nome de Cefas/Pedro (</w:t>
      </w:r>
      <w:hyperlink r:id="rId1436">
        <w:r>
          <w:rPr>
            <w:color w:val="0000EE"/>
            <w:u w:val="single"/>
          </w:rPr>
          <w:t>Jo 1.42</w:t>
        </w:r>
      </w:hyperlink>
      <w:r>
        <w:t xml:space="preserve">; </w:t>
      </w:r>
      <w:hyperlink r:id="rId16667">
        <w:r>
          <w:rPr>
            <w:color w:val="0000EE"/>
            <w:u w:val="single"/>
          </w:rPr>
          <w:t>Mc 3.16</w:t>
        </w:r>
      </w:hyperlink>
      <w:r>
        <w:t xml:space="preserve">; </w:t>
      </w:r>
      <w:hyperlink r:id="rId10302">
        <w:r>
          <w:rPr>
            <w:color w:val="0000EE"/>
            <w:u w:val="single"/>
          </w:rPr>
          <w:t>Mt 16.8</w:t>
        </w:r>
      </w:hyperlink>
      <w:r>
        <w:t xml:space="preserve">)? É atraente para um amplo espectro da academia a consideração de que um único evento, o qual aconteceu em algum momento indeterminado em relação ao início do ministério de Jesus, foi mais tarde expandido para essas diversas tradições. Contudo, um exame mais detalhado das informações apresentadas no Evangelho não exige tal conclusão. </w:t>
      </w:r>
      <w:hyperlink r:id="rId16668">
        <w:r>
          <w:rPr>
            <w:color w:val="0000EE"/>
            <w:u w:val="single"/>
          </w:rPr>
          <w:t>João 1.35–42</w:t>
        </w:r>
      </w:hyperlink>
      <w:r>
        <w:t xml:space="preserve"> não é uma cena institucional que conota um chamado oficial. Em vez disso, descreve o primeiro encontro com Jesus e a percepção sobre o que ele representava. A “renomeação” está no tempo futuro e parece um evento posterior. Além disso, João deliberadamente omite muitos dos eventos críticos na vida de Jesus (o batismo, a escolha dos Doze, a Transfiguração, as palavras de instituição na Última Ceia, no Getsêmani) e os substitui por cenas altamente teológicas que ensinam o significado espiritual dos eventos. Isso é o que ele fez aqui.</w:t>
      </w:r>
    </w:p>
    <w:p>
      <w:r/>
      <w:r>
        <w:t xml:space="preserve">O mesmo é verdadeiro para a primeira chamada sinóptica, isto é, a cena da pesca. Novamente, não há nenhuma pista de ordenação oficial para exercer funções aqui, mas sim uma pista proléptica ou profética do ministério futuro. Isso é especialmente verdadeiro na cena altamente teológica em Lucas, que promete resultados abundantes. Novamente, em todos os três relatos, o tempo futuro é empregado: “Eu os farei pescadores de homens” (Mateus e Marcos), “Vocês pescarão homens” (Lucas). O chamado em </w:t>
      </w:r>
      <w:hyperlink r:id="rId16666">
        <w:r>
          <w:rPr>
            <w:color w:val="0000EE"/>
            <w:u w:val="single"/>
          </w:rPr>
          <w:t>Marcos 1.20</w:t>
        </w:r>
      </w:hyperlink>
      <w:r>
        <w:t xml:space="preserve"> e </w:t>
      </w:r>
      <w:hyperlink r:id="rId11950">
        <w:r>
          <w:rPr>
            <w:color w:val="0000EE"/>
            <w:u w:val="single"/>
          </w:rPr>
          <w:t>Mateus 4.21</w:t>
        </w:r>
      </w:hyperlink>
      <w:r>
        <w:t xml:space="preserve"> e sua reação (deixando tudo para trás e seguindo Jesus) é a jogada de abertura que é finalizada na cena institucional real em </w:t>
      </w:r>
      <w:hyperlink r:id="rId2256">
        <w:r>
          <w:rPr>
            <w:color w:val="0000EE"/>
            <w:u w:val="single"/>
          </w:rPr>
          <w:t>Marcos 3.13–19</w:t>
        </w:r>
      </w:hyperlink>
      <w:r>
        <w:t xml:space="preserve"> e paralelos. A redação não indica que esses dois episódios são duplos, pois a real nomeação dos discípulos ocorre na segunda passagem. Devemos diferenciar entre o chamado original e um segmento (que se tornou o chamado “círculo interno” dos Doze) e a escolha final de todos os discípulos.</w:t>
      </w:r>
    </w:p>
    <w:p>
      <w:pPr>
        <w:pStyle w:val="Heading3"/>
      </w:pPr>
      <w:r>
        <w:t>O Lugar de Pedro entre os Doze</w:t>
      </w:r>
    </w:p>
    <w:p>
      <w:r/>
      <w:r>
        <w:t xml:space="preserve">A proeminência de Simão Pedro nos Evangelhos e Atos não pode ser contestada. Enquanto alguns tentaram atribuir isso ao seu papel de liderança na igreja tardia, não há base para isso no texto do NT. Desde o início, Simão alcançou preeminência acima dos outros. Nas listas dos Doze que acabamos de mencionar, o nome de Simão sempre aparece primeiro, e em </w:t>
      </w:r>
      <w:hyperlink r:id="rId16669">
        <w:r>
          <w:rPr>
            <w:color w:val="0000EE"/>
            <w:u w:val="single"/>
          </w:rPr>
          <w:t>Mateus 10.2</w:t>
        </w:r>
      </w:hyperlink>
      <w:r>
        <w:t xml:space="preserve"> introduz seu nome como “o primeiro”. Além disso, os Doze são frequentemente designados “Pedro e aqueles com ele” (</w:t>
      </w:r>
      <w:hyperlink r:id="rId16670">
        <w:r>
          <w:rPr>
            <w:color w:val="0000EE"/>
            <w:u w:val="single"/>
          </w:rPr>
          <w:t>Mc 1.36</w:t>
        </w:r>
      </w:hyperlink>
      <w:r>
        <w:t xml:space="preserve">; </w:t>
      </w:r>
      <w:hyperlink r:id="rId16671">
        <w:r>
          <w:rPr>
            <w:color w:val="0000EE"/>
            <w:u w:val="single"/>
          </w:rPr>
          <w:t>Lc 9.32</w:t>
        </w:r>
      </w:hyperlink>
      <w:r>
        <w:t xml:space="preserve">; </w:t>
      </w:r>
      <w:hyperlink r:id="rId16672">
        <w:r>
          <w:rPr>
            <w:color w:val="0000EE"/>
            <w:u w:val="single"/>
          </w:rPr>
          <w:t>8.45</w:t>
        </w:r>
      </w:hyperlink>
      <w:r>
        <w:t>).</w:t>
      </w:r>
    </w:p>
    <w:p>
      <w:r/>
      <w:r>
        <w:t>Ao decorrer dos relatos, Pedro agiu e falou em nome dos outros discípulos. Na Transfiguração, é Pedro que queria erguer tendas (</w:t>
      </w:r>
      <w:hyperlink r:id="rId14330">
        <w:r>
          <w:rPr>
            <w:color w:val="0000EE"/>
            <w:u w:val="single"/>
          </w:rPr>
          <w:t>Mc 9.5</w:t>
        </w:r>
      </w:hyperlink>
      <w:r>
        <w:t>), e apenas ele teve fé suficiente para tentar andar sobre a água (</w:t>
      </w:r>
      <w:hyperlink r:id="rId14048">
        <w:r>
          <w:rPr>
            <w:color w:val="0000EE"/>
            <w:u w:val="single"/>
          </w:rPr>
          <w:t>Mt 14.28–31</w:t>
        </w:r>
      </w:hyperlink>
      <w:r>
        <w:t>). É Pedro que pede ao Senhor para explicar seu ensino sobre perdão (</w:t>
      </w:r>
      <w:hyperlink r:id="rId16673">
        <w:r>
          <w:rPr>
            <w:color w:val="0000EE"/>
            <w:u w:val="single"/>
          </w:rPr>
          <w:t>Mt 18.21</w:t>
        </w:r>
      </w:hyperlink>
      <w:r>
        <w:t>) e parábolas (</w:t>
      </w:r>
      <w:hyperlink r:id="rId16674">
        <w:r>
          <w:rPr>
            <w:color w:val="0000EE"/>
            <w:u w:val="single"/>
          </w:rPr>
          <w:t>Mt 15.15</w:t>
        </w:r>
      </w:hyperlink>
      <w:r>
        <w:t xml:space="preserve">; </w:t>
      </w:r>
      <w:hyperlink r:id="rId16675">
        <w:r>
          <w:rPr>
            <w:color w:val="0000EE"/>
            <w:u w:val="single"/>
          </w:rPr>
          <w:t>Lc 12.41</w:t>
        </w:r>
      </w:hyperlink>
      <w:r>
        <w:t xml:space="preserve">) e que emite o pensamento dos discípulos em </w:t>
      </w:r>
      <w:hyperlink r:id="rId16657">
        <w:r>
          <w:rPr>
            <w:color w:val="0000EE"/>
            <w:u w:val="single"/>
          </w:rPr>
          <w:t>Mateus 19.27</w:t>
        </w:r>
      </w:hyperlink>
      <w:r>
        <w:t>: “Eis que deixamos tudo e te seguimos; o que há nisso para nós?” (parafraseado). Os cobradores de impostos do templo vêm a Pedro como líder do grupo (</w:t>
      </w:r>
      <w:hyperlink r:id="rId3069">
        <w:r>
          <w:rPr>
            <w:color w:val="0000EE"/>
            <w:u w:val="single"/>
          </w:rPr>
          <w:t>Mt 17.24</w:t>
        </w:r>
      </w:hyperlink>
      <w:r>
        <w:t xml:space="preserve">). Como membro do círculo interno (com Tiago e João, possivelmente André em </w:t>
      </w:r>
      <w:hyperlink r:id="rId1433">
        <w:r>
          <w:rPr>
            <w:color w:val="0000EE"/>
            <w:u w:val="single"/>
          </w:rPr>
          <w:t>Mc 13.3</w:t>
        </w:r>
      </w:hyperlink>
      <w:r>
        <w:t xml:space="preserve">), ele estava muitas vezes sozinho com Jesus (na ressurreição da filha de Jairo, </w:t>
      </w:r>
      <w:hyperlink r:id="rId11957">
        <w:r>
          <w:rPr>
            <w:color w:val="0000EE"/>
            <w:u w:val="single"/>
          </w:rPr>
          <w:t>Mc 5.37</w:t>
        </w:r>
      </w:hyperlink>
      <w:r>
        <w:t xml:space="preserve"> e paralelos; na Transfiguração, </w:t>
      </w:r>
      <w:hyperlink r:id="rId11955">
        <w:r>
          <w:rPr>
            <w:color w:val="0000EE"/>
            <w:u w:val="single"/>
          </w:rPr>
          <w:t>Mc 9.2</w:t>
        </w:r>
      </w:hyperlink>
      <w:r>
        <w:t xml:space="preserve"> e paralelos; no Getsêmani, </w:t>
      </w:r>
      <w:hyperlink r:id="rId11960">
        <w:r>
          <w:rPr>
            <w:color w:val="0000EE"/>
            <w:u w:val="single"/>
          </w:rPr>
          <w:t>Mc 14.33</w:t>
        </w:r>
      </w:hyperlink>
      <w:r>
        <w:t xml:space="preserve"> e </w:t>
      </w:r>
      <w:hyperlink r:id="rId11959">
        <w:r>
          <w:rPr>
            <w:color w:val="0000EE"/>
            <w:u w:val="single"/>
          </w:rPr>
          <w:t>Mt 26.37</w:t>
        </w:r>
      </w:hyperlink>
      <w:r>
        <w:t xml:space="preserve">). Jesus pede a Pedro e João para preparar a refeição da Páscoa em </w:t>
      </w:r>
      <w:hyperlink r:id="rId11962">
        <w:r>
          <w:rPr>
            <w:color w:val="0000EE"/>
            <w:u w:val="single"/>
          </w:rPr>
          <w:t>Lucas 22.8</w:t>
        </w:r>
      </w:hyperlink>
      <w:r>
        <w:t xml:space="preserve">, e em </w:t>
      </w:r>
      <w:hyperlink r:id="rId16676">
        <w:r>
          <w:rPr>
            <w:color w:val="0000EE"/>
            <w:u w:val="single"/>
          </w:rPr>
          <w:t>Marcos 14.37</w:t>
        </w:r>
      </w:hyperlink>
      <w:r>
        <w:t xml:space="preserve"> (e </w:t>
      </w:r>
      <w:hyperlink r:id="rId16677">
        <w:r>
          <w:rPr>
            <w:color w:val="0000EE"/>
            <w:u w:val="single"/>
          </w:rPr>
          <w:t>Mt 26.40</w:t>
        </w:r>
      </w:hyperlink>
      <w:r>
        <w:t xml:space="preserve">) ele dirige sua repreensão a Pedro como representando os outros (“Vocês não puderam vigiar comigo nem por uma hora?”). Finalmente, a mensagem do anjo no túmulo como registrada em </w:t>
      </w:r>
      <w:hyperlink r:id="rId16678">
        <w:r>
          <w:rPr>
            <w:color w:val="0000EE"/>
            <w:u w:val="single"/>
          </w:rPr>
          <w:t>Marcos 16.7</w:t>
        </w:r>
      </w:hyperlink>
      <w:r>
        <w:t xml:space="preserve"> disse: “Ide, dizei aos discípulos dele e a Pedro”. Certamente Pedro tinha um lugar muito especial entre os Doze.</w:t>
      </w:r>
    </w:p>
    <w:p>
      <w:r/>
      <w:r>
        <w:t>Isso ficou especialmente evidente no episódio de Cesareia de Filipe (</w:t>
      </w:r>
      <w:hyperlink r:id="rId16679">
        <w:r>
          <w:rPr>
            <w:color w:val="0000EE"/>
            <w:u w:val="single"/>
          </w:rPr>
          <w:t>Mc 8.27–33</w:t>
        </w:r>
      </w:hyperlink>
      <w:r>
        <w:t xml:space="preserve"> e paralelos). Foi de Pedro a confissão que se tornou o ponto alto dos relatos dos Evangelhos: “Tu és o Cristo” (Lucas acrescenta “de Deus”; Mateus, “o Filho do Deus vivo”). Depois que Jesus então citou o sofrimento do Filho do Homem, Pedro o repreendeu e, na descrição de Marcos, Jesus logo se virou, olhou para todos os discípulos, e disse a Pedro: “Saia da minha frente, Satanás! Você está pensando como um ser humano pensa e não como Deus pensa.” (v. </w:t>
      </w:r>
      <w:hyperlink r:id="rId16680">
        <w:r>
          <w:rPr>
            <w:color w:val="0000EE"/>
            <w:u w:val="single"/>
          </w:rPr>
          <w:t>33</w:t>
        </w:r>
      </w:hyperlink>
      <w:r>
        <w:t>, NTLH). Isso foi obviamente dirigido a todos eles através de Pedro.</w:t>
      </w:r>
    </w:p>
    <w:p>
      <w:r/>
      <w:r>
        <w:t>A imagem de Pedro que vem através de todos os quatro relatos o retrata como impulsivo, muitas vezes precipitado; ele era o primeiro a agir e falar o que pensava, e foi tipificado por seu entusiasmo em tudo que ele fazia parte. Ao ver Jesus andando sobre a água, Pedro pediu que o Senhor lhe ordenasse que fizesse o mesmo, e então, imediatamente, saltou do barco e começou a fazer exatamente isso. Na Transfiguração, enquanto os outros ficaram em silêncio impressionados pela aparição de Moisés e Elias, Pedro, o homem da ação, disse: “Se quiseres, farei três tendas” (</w:t>
      </w:r>
      <w:hyperlink r:id="rId16681">
        <w:r>
          <w:rPr>
            <w:color w:val="0000EE"/>
            <w:u w:val="single"/>
          </w:rPr>
          <w:t>Mt 17.4</w:t>
        </w:r>
      </w:hyperlink>
      <w:r>
        <w:t xml:space="preserve">). Marcos e Lucas acrescentam aqui que Pedro não sabia o que ele estava dizendo. A tendência não cautelosa e irrefletida de Pedro ao responder às declarações de Jesus pode ser observada não apenas em Cesareia de Filipe, mas também na cena em que lava os pés dos discípulos em </w:t>
      </w:r>
      <w:hyperlink r:id="rId16682">
        <w:r>
          <w:rPr>
            <w:color w:val="0000EE"/>
            <w:u w:val="single"/>
          </w:rPr>
          <w:t>João 13.4–11</w:t>
        </w:r>
      </w:hyperlink>
      <w:r>
        <w:t>, quando ele disse apressadamente: “Nunca lavarás meus pés”; e então, após a forte réplica de Jesus: “Se eu não lavar, você não será mais meu discípulo!”, ele inverteu seu discurso completamente, afirmando: “Então, Senhor, não lave somente os meus pés; lave também as minhas mãos e a minha cabeça!” (</w:t>
      </w:r>
      <w:hyperlink r:id="rId3717">
        <w:r>
          <w:rPr>
            <w:color w:val="0000EE"/>
            <w:u w:val="single"/>
          </w:rPr>
          <w:t>13.8–9</w:t>
        </w:r>
      </w:hyperlink>
      <w:r>
        <w:t>, NTLH). Finalmente, no relato da corrida até o túmulo (</w:t>
      </w:r>
      <w:hyperlink r:id="rId11811">
        <w:r>
          <w:rPr>
            <w:color w:val="0000EE"/>
            <w:u w:val="single"/>
          </w:rPr>
          <w:t>Jo 20.2–10</w:t>
        </w:r>
      </w:hyperlink>
      <w:r>
        <w:t>), o discípulo amado, chegando ao túmulo primeiro, ficou parado, enquanto Pedro, imediata e impulsivamente, entrou nele. Pedro certamente foi alguém que “correu onde os anjos temem pisar”. No entanto, esta mesma característica o alinha com todos nós e pode ser uma das principais razões pelas quais ele se torna o representante dos discípulos em todos os Evangelhos.</w:t>
      </w:r>
    </w:p>
    <w:p>
      <w:pPr>
        <w:pStyle w:val="Heading3"/>
      </w:pPr>
      <w:r>
        <w:t>Pedro, a Rocha</w:t>
      </w:r>
    </w:p>
    <w:p>
      <w:r/>
      <w:r>
        <w:t xml:space="preserve">A chave para a representatividade de Simão Pedro é obviamente o adendo controverso ao episódio de Cesareia de Filipe, encontrado apenas em </w:t>
      </w:r>
      <w:hyperlink r:id="rId16665">
        <w:r>
          <w:rPr>
            <w:color w:val="0000EE"/>
            <w:u w:val="single"/>
          </w:rPr>
          <w:t>Mateus 16.17–19</w:t>
        </w:r>
      </w:hyperlink>
      <w:r>
        <w:t xml:space="preserve">, o testemunho de Jesus a Pedro. Há vários aspectos cruciais deste discurso. O mais importante para este estudo é o verso </w:t>
      </w:r>
      <w:hyperlink r:id="rId10302">
        <w:r>
          <w:rPr>
            <w:color w:val="0000EE"/>
            <w:u w:val="single"/>
          </w:rPr>
          <w:t>18</w:t>
        </w:r>
      </w:hyperlink>
      <w:r>
        <w:t xml:space="preserve">: “Portanto, eu lhe digo: você é Pedro, e sobre esta pedra construirei a minha Igreja." (NTLH). Houve muitas interpretações disso ao longo da história: (1) Se refere a Pedro como a “rocha” ou o primeiro bispo da igreja. Esta era a interpretação católica romana do terceiro século em diante e foi empregada como um texto de prova para a sucessão apostólica, mas não é insinuada em qualquer outro lugar no contexto ou mesmo nas epístolas: não era um conceito do primeiro século. (2) A maioria dos protestantes desde a Reforma considerou isso uma referência à declaração de fé de Pedro, em vez de ao próprio Pedro; mas isso negligencia o jogo de palavras, que é ainda mais claro em aramaico, que tem apenas uma forma para “Cefas” (rocha). (3) Uma alternativa tem sido tomar “esta rocha” como uma referência ao próprio Jesus, mas isso é fantasioso e dificilmente está no contexto. Em conclusão, “esta rocha” é praticamente certo se tratar de uma referência a Pedro, mas deve ser entendida de duas maneiras. Primeiro, Pedro deveria se tornar o fundamento sobre o qual Cristo edificaria sua igreja, uma posição claramente atestada em Atos. Isso não significa que Pedro tinha uma autoridade acima dos outros apóstolos. A repreensão a Pedro por Paulo em </w:t>
      </w:r>
      <w:hyperlink r:id="rId4353">
        <w:r>
          <w:rPr>
            <w:color w:val="0000EE"/>
            <w:u w:val="single"/>
          </w:rPr>
          <w:t>Gálatas 2.11–14</w:t>
        </w:r>
      </w:hyperlink>
      <w:r>
        <w:t xml:space="preserve"> demonstra que ele não estava acima deles, e no concílio de Jerusalém em </w:t>
      </w:r>
      <w:hyperlink r:id="rId1997">
        <w:r>
          <w:rPr>
            <w:color w:val="0000EE"/>
            <w:u w:val="single"/>
          </w:rPr>
          <w:t>Atos 15</w:t>
        </w:r>
      </w:hyperlink>
      <w:r>
        <w:t xml:space="preserve"> é Tiago que tem a posição de liderança. Segundo, Pedro é visto aqui não meramente como um indivíduo, mas como o representante dos discípulos. Esta visão tem ganhado proeminência hoje. Reconhecendo o conceito judaico de “identidade corporativa”, no qual o líder era identificado junto ao corpo corporativo (por exemplo, o rei ou sumo sacerdote que representava a nação diante de Deus). Este conceito também está em conformidade com </w:t>
      </w:r>
      <w:hyperlink r:id="rId16683">
        <w:r>
          <w:rPr>
            <w:color w:val="0000EE"/>
            <w:u w:val="single"/>
          </w:rPr>
          <w:t>Mateus 18.18–20</w:t>
        </w:r>
      </w:hyperlink>
      <w:r>
        <w:t xml:space="preserve">, que atribui à igreja a mesma autoridade que é dada a Pedro. Nesta visão, Pedro, como a rocha, se torna o primeiro dos blocos de construção sobre os quais Cristo, a principal pedra angular (para continuar a metáfora), construirá sua igreja (veja </w:t>
      </w:r>
      <w:hyperlink r:id="rId16684">
        <w:r>
          <w:rPr>
            <w:color w:val="0000EE"/>
            <w:u w:val="single"/>
          </w:rPr>
          <w:t>Ef 2.19–20</w:t>
        </w:r>
      </w:hyperlink>
      <w:r>
        <w:t>).</w:t>
      </w:r>
    </w:p>
    <w:p>
      <w:r/>
      <w:r>
        <w:t xml:space="preserve">Dois outros aspectos são dignos de nota aqui. Primeiro, o verso </w:t>
      </w:r>
      <w:hyperlink r:id="rId10302">
        <w:r>
          <w:rPr>
            <w:color w:val="0000EE"/>
            <w:u w:val="single"/>
          </w:rPr>
          <w:t>18</w:t>
        </w:r>
      </w:hyperlink>
      <w:r>
        <w:t xml:space="preserve"> diz: “As portas do inferno não prevalecerão contra ela”. As “portas do inferno” são um eufemismo judaico comum para o poder inevitável e irrevogável da morte. Jesus está dizendo que Satanás não triunfará sobre a igreja, e sua esfera de operações, a morte, será derrotada (cf. </w:t>
      </w:r>
      <w:hyperlink r:id="rId16685">
        <w:r>
          <w:rPr>
            <w:color w:val="0000EE"/>
            <w:u w:val="single"/>
          </w:rPr>
          <w:t>1Co 15.26,54–55</w:t>
        </w:r>
      </w:hyperlink>
      <w:r>
        <w:t>). A igreja pode sofrer perseguição e martírio, mas a igreja será triunfante.</w:t>
      </w:r>
    </w:p>
    <w:p>
      <w:r/>
      <w:r>
        <w:t xml:space="preserve">Segundo, o verso </w:t>
      </w:r>
      <w:hyperlink r:id="rId3566">
        <w:r>
          <w:rPr>
            <w:color w:val="0000EE"/>
            <w:u w:val="single"/>
          </w:rPr>
          <w:t>19</w:t>
        </w:r>
      </w:hyperlink>
      <w:r>
        <w:t xml:space="preserve"> promete: “Eu darei a ti [singular] as chaves do reino”, outra declaração usada para a sucessão apostólica pela igreja medieval. Novamente, isso deve ser entendido à luz da identidade corporativa; Pedro, como a figura mais preeminente na igreja primitiva, aqui incorpora a comunidade em sua liderança. As “chaves do reino” estão em contraste direto com as “portas do inferno” (cf. </w:t>
      </w:r>
      <w:hyperlink r:id="rId10304">
        <w:r>
          <w:rPr>
            <w:color w:val="0000EE"/>
            <w:u w:val="single"/>
          </w:rPr>
          <w:t>Ap 1.18</w:t>
        </w:r>
      </w:hyperlink>
      <w:r>
        <w:t xml:space="preserve">, “as chaves do inferno e da morte” e </w:t>
      </w:r>
      <w:hyperlink r:id="rId6633">
        <w:r>
          <w:rPr>
            <w:color w:val="0000EE"/>
            <w:u w:val="single"/>
          </w:rPr>
          <w:t>Ap 3.7</w:t>
        </w:r>
      </w:hyperlink>
      <w:r>
        <w:t>, a “chave de Davi”), e isso segue as imagens do edifício visto na rocha sobre a qual Cristo edificará sua igreja. Aqui Pedro recebe as chaves que desbloquearão o poder do reino na edificação da comunidade de Deus, a igreja. O tempo futuro (“darei”), sem dúvida, aponta para o período pós-ressurreição, quando esse poder foi desencadeado e a igreja edificada.</w:t>
      </w:r>
    </w:p>
    <w:p>
      <w:pPr>
        <w:pStyle w:val="Heading3"/>
      </w:pPr>
      <w:r>
        <w:t>Pedro, o Apóstolo</w:t>
      </w:r>
    </w:p>
    <w:p>
      <w:r/>
      <w:r>
        <w:t xml:space="preserve">Dois eventos levaram ao novo Pedro que enche as páginas de Atos: sua reintegração descrita em </w:t>
      </w:r>
      <w:hyperlink r:id="rId1437">
        <w:r>
          <w:rPr>
            <w:color w:val="0000EE"/>
            <w:u w:val="single"/>
          </w:rPr>
          <w:t>João 21.15–17</w:t>
        </w:r>
      </w:hyperlink>
      <w:r>
        <w:t xml:space="preserve"> e a aparição do Senhor ressurreto a ele, que não é descrita, mas é aludida em </w:t>
      </w:r>
      <w:hyperlink r:id="rId16686">
        <w:r>
          <w:rPr>
            <w:color w:val="0000EE"/>
            <w:u w:val="single"/>
          </w:rPr>
          <w:t>Lucas 24.34</w:t>
        </w:r>
      </w:hyperlink>
      <w:r>
        <w:t xml:space="preserve"> e </w:t>
      </w:r>
      <w:hyperlink r:id="rId16687">
        <w:r>
          <w:rPr>
            <w:color w:val="0000EE"/>
            <w:u w:val="single"/>
          </w:rPr>
          <w:t>1 Coríntios 15.5</w:t>
        </w:r>
      </w:hyperlink>
      <w:r>
        <w:t xml:space="preserve">. Sua negação foi certamente a prova de que ele ainda não era capaz de assumir sua posição prevista como a rocha da igreja. Tanto Lucas quanto Paulo parecem afirmar que o Senhor ressurreto apareceu a Simão Pedro antes dos outros, o que seria apropriado à luz de sua preeminência na igreja primitiva. Durante a era palestina, o período de quinze anos antes da missão aos gentios, Pedro foi a figura principal. Os outros mencionados em </w:t>
      </w:r>
      <w:hyperlink r:id="rId2848">
        <w:r>
          <w:rPr>
            <w:color w:val="0000EE"/>
            <w:u w:val="single"/>
          </w:rPr>
          <w:t>Atos 1–12</w:t>
        </w:r>
      </w:hyperlink>
      <w:r>
        <w:t xml:space="preserve"> são todos secundários em relação a Pedro, o diretor dominante da política da igreja. Entre eles estão João, que aparece com Pedro no templo (</w:t>
      </w:r>
      <w:hyperlink r:id="rId4954">
        <w:r>
          <w:rPr>
            <w:color w:val="0000EE"/>
            <w:u w:val="single"/>
          </w:rPr>
          <w:t>3.1</w:t>
        </w:r>
      </w:hyperlink>
      <w:r>
        <w:t>), na prisão (</w:t>
      </w:r>
      <w:hyperlink r:id="rId11973">
        <w:r>
          <w:rPr>
            <w:color w:val="0000EE"/>
            <w:u w:val="single"/>
          </w:rPr>
          <w:t>4.13</w:t>
        </w:r>
      </w:hyperlink>
      <w:r>
        <w:t>) e em Samaria (</w:t>
      </w:r>
      <w:hyperlink r:id="rId7353">
        <w:r>
          <w:rPr>
            <w:color w:val="0000EE"/>
            <w:u w:val="single"/>
          </w:rPr>
          <w:t>8.14</w:t>
        </w:r>
      </w:hyperlink>
      <w:r>
        <w:t xml:space="preserve">); Estêvão, que era um dos Sete e cuja pregação revolucionária levou ao seu martírio (capítulos </w:t>
      </w:r>
      <w:hyperlink r:id="rId10499">
        <w:r>
          <w:rPr>
            <w:color w:val="0000EE"/>
            <w:u w:val="single"/>
          </w:rPr>
          <w:t>6–7</w:t>
        </w:r>
      </w:hyperlink>
      <w:r>
        <w:t xml:space="preserve">); Filipe, outro dos Sete, aquele que proclamou o evangelho em Samaria e ao povo etíope (capítulo </w:t>
      </w:r>
      <w:hyperlink r:id="rId16688">
        <w:r>
          <w:rPr>
            <w:color w:val="0000EE"/>
            <w:u w:val="single"/>
          </w:rPr>
          <w:t>8</w:t>
        </w:r>
      </w:hyperlink>
      <w:r>
        <w:t>); Barnabé, que demonstrou um exemplo de oferta comunal (</w:t>
      </w:r>
      <w:hyperlink r:id="rId3132">
        <w:r>
          <w:rPr>
            <w:color w:val="0000EE"/>
            <w:u w:val="single"/>
          </w:rPr>
          <w:t>4.36–37</w:t>
        </w:r>
      </w:hyperlink>
      <w:r>
        <w:t>) e era um delegado oficial em Antioquia (</w:t>
      </w:r>
      <w:hyperlink r:id="rId16689">
        <w:r>
          <w:rPr>
            <w:color w:val="0000EE"/>
            <w:u w:val="single"/>
          </w:rPr>
          <w:t>11.20–30</w:t>
        </w:r>
      </w:hyperlink>
      <w:r>
        <w:t>); Paulo, um convertido miraculosamente e testemunha (</w:t>
      </w:r>
      <w:hyperlink r:id="rId16690">
        <w:r>
          <w:rPr>
            <w:color w:val="0000EE"/>
            <w:u w:val="single"/>
          </w:rPr>
          <w:t>9.1–30</w:t>
        </w:r>
      </w:hyperlink>
      <w:r>
        <w:t xml:space="preserve">; </w:t>
      </w:r>
      <w:hyperlink r:id="rId16691">
        <w:r>
          <w:rPr>
            <w:color w:val="0000EE"/>
            <w:u w:val="single"/>
          </w:rPr>
          <w:t>11.25–30</w:t>
        </w:r>
      </w:hyperlink>
      <w:r>
        <w:t xml:space="preserve">; </w:t>
      </w:r>
      <w:hyperlink r:id="rId2858">
        <w:r>
          <w:rPr>
            <w:color w:val="0000EE"/>
            <w:u w:val="single"/>
          </w:rPr>
          <w:t>12.25</w:t>
        </w:r>
      </w:hyperlink>
      <w:r>
        <w:t>); e Tiago, que se tornou o primeiro mártir apostólico (</w:t>
      </w:r>
      <w:hyperlink r:id="rId6265">
        <w:r>
          <w:rPr>
            <w:color w:val="0000EE"/>
            <w:u w:val="single"/>
          </w:rPr>
          <w:t>12.2</w:t>
        </w:r>
      </w:hyperlink>
      <w:r>
        <w:t>). É Pedro que propõe a escolha do 12º discípulo (</w:t>
      </w:r>
      <w:hyperlink r:id="rId16692">
        <w:r>
          <w:rPr>
            <w:color w:val="0000EE"/>
            <w:u w:val="single"/>
          </w:rPr>
          <w:t>1.15–17</w:t>
        </w:r>
      </w:hyperlink>
      <w:r>
        <w:t>), que proclama o evangelho em Pentecostes (</w:t>
      </w:r>
      <w:hyperlink r:id="rId16693">
        <w:r>
          <w:rPr>
            <w:color w:val="0000EE"/>
            <w:u w:val="single"/>
          </w:rPr>
          <w:t>2.14–40</w:t>
        </w:r>
      </w:hyperlink>
      <w:r>
        <w:t>), que profere a palavra de cura (</w:t>
      </w:r>
      <w:hyperlink r:id="rId14520">
        <w:r>
          <w:rPr>
            <w:color w:val="0000EE"/>
            <w:u w:val="single"/>
          </w:rPr>
          <w:t>3.6</w:t>
        </w:r>
      </w:hyperlink>
      <w:r>
        <w:t>) e que defende o evangelho diante do Sinédrio (</w:t>
      </w:r>
      <w:hyperlink r:id="rId16694">
        <w:r>
          <w:rPr>
            <w:color w:val="0000EE"/>
            <w:u w:val="single"/>
          </w:rPr>
          <w:t>4.8–12,19–20</w:t>
        </w:r>
      </w:hyperlink>
      <w:r>
        <w:t xml:space="preserve">; </w:t>
      </w:r>
      <w:hyperlink r:id="rId16695">
        <w:r>
          <w:rPr>
            <w:color w:val="0000EE"/>
            <w:u w:val="single"/>
          </w:rPr>
          <w:t>5.29–32</w:t>
        </w:r>
      </w:hyperlink>
      <w:r>
        <w:t>). O episódio sobre Ananias e Safira é especialmente pungente, pois aqui Pedro age como o mensageiro vingador de Deus; em nenhum outro lugar sua autoridade é mais evidente. Também observamos sua autoridade na cena em Samaria no episódio da tentativa de Simão, o Feiticeiro, de comprar o poder carismático (</w:t>
      </w:r>
      <w:hyperlink r:id="rId15897">
        <w:r>
          <w:rPr>
            <w:color w:val="0000EE"/>
            <w:u w:val="single"/>
          </w:rPr>
          <w:t>8.18–24</w:t>
        </w:r>
      </w:hyperlink>
      <w:r>
        <w:t xml:space="preserve">). Novamente, é a influência de Pedro que traz ordem à situação. Nesses dois incidentes, certamente notamos a jurisdição de “permitir e não permitir” (cf. </w:t>
      </w:r>
      <w:hyperlink r:id="rId3566">
        <w:r>
          <w:rPr>
            <w:color w:val="0000EE"/>
            <w:u w:val="single"/>
          </w:rPr>
          <w:t>Mt 16.19</w:t>
        </w:r>
      </w:hyperlink>
      <w:r>
        <w:t>) exibida em Pedro.</w:t>
      </w:r>
    </w:p>
    <w:p>
      <w:r/>
      <w:r>
        <w:t xml:space="preserve">Contudo, Pedro e a igreja ainda estavam sob as restrições de sua herança judaica. As evidências apontam para uma autoconsciência de um prosélito judaico por parte da igreja primitiva. Eles se viam como o justo remanescente, vivendo na era do cumprimento messiânico, mas ainda assim interpretavam a si mesmos em um sentido judaico e conduziam seu evangelismo na forma prosélita do particularismo judaico (isto é, os gentios só poderiam ser convertidos através do judaísmo). Dois eventos alteraram isso. Primeiro, o ramo judaico helenístico da igreja se rebelou contra os cristãos hebreus, o que resultou na nomeação dos sete diáconos e uma mudança na política ortodoxa da igreja palestina. Segundo, isso então levou a um novo ministério de pregação, primeiramente através de Estevão, que terminou em seu martírio e a dispersão do ramo helenístico no capítulo </w:t>
      </w:r>
      <w:hyperlink r:id="rId2884">
        <w:r>
          <w:rPr>
            <w:color w:val="0000EE"/>
            <w:u w:val="single"/>
          </w:rPr>
          <w:t>8</w:t>
        </w:r>
      </w:hyperlink>
      <w:r>
        <w:t>; então de Filipe e outros, que estenderam o evangelho ainda mais, aos samaritanos e tementes a Deus. Como um resultado adicional, Pedro e João foram a Samaria (</w:t>
      </w:r>
      <w:hyperlink r:id="rId7353">
        <w:r>
          <w:rPr>
            <w:color w:val="0000EE"/>
            <w:u w:val="single"/>
          </w:rPr>
          <w:t>8.14</w:t>
        </w:r>
      </w:hyperlink>
      <w:r>
        <w:t>), o próximo passo significativo em direção à missão gentia. Assim se encerrou a centralidade de Jerusalém no desdobramento da história.</w:t>
      </w:r>
    </w:p>
    <w:p>
      <w:r/>
      <w:r>
        <w:t xml:space="preserve">Os dois milagres de Pedro, em Lida (o paralítico) e Jope (ressuscitando a mulher morta) em </w:t>
      </w:r>
      <w:hyperlink r:id="rId14423">
        <w:r>
          <w:rPr>
            <w:color w:val="0000EE"/>
            <w:u w:val="single"/>
          </w:rPr>
          <w:t>Atos 9.32–42</w:t>
        </w:r>
      </w:hyperlink>
      <w:r>
        <w:t>, provavelmente têm a intenção de serem paralelos com milagres semelhantes de Jesus na primeira obra de Lucas (</w:t>
      </w:r>
      <w:hyperlink r:id="rId14424">
        <w:r>
          <w:rPr>
            <w:color w:val="0000EE"/>
            <w:u w:val="single"/>
          </w:rPr>
          <w:t>Lc 5.18–26</w:t>
        </w:r>
      </w:hyperlink>
      <w:r>
        <w:t xml:space="preserve">; </w:t>
      </w:r>
      <w:hyperlink r:id="rId14425">
        <w:r>
          <w:rPr>
            <w:color w:val="0000EE"/>
            <w:u w:val="single"/>
          </w:rPr>
          <w:t>8.49–56</w:t>
        </w:r>
      </w:hyperlink>
      <w:r>
        <w:t>). Isso faz parte de um tema central em Atos, em que a vida e ministério de Jesus são colocados como paralelos e continuados na obra do Espírito através da igreja. Novamente Pedro é visto em um papel representativo.</w:t>
      </w:r>
    </w:p>
    <w:p>
      <w:r/>
      <w:r>
        <w:t>Os novos relacionamentos são estendidos em duas cenas adicionais. Primeiro, Pedro fica com “Simão, o curtidor de couro”, em Jope, um comércio impuro; nenhum judeu piedoso teria, conscientemente, contato social com tal profissional. Ainda mais importante, Deus ensina Pedro através de um sonho (</w:t>
      </w:r>
      <w:hyperlink r:id="rId16696">
        <w:r>
          <w:rPr>
            <w:color w:val="0000EE"/>
            <w:u w:val="single"/>
          </w:rPr>
          <w:t>10.10–16</w:t>
        </w:r>
      </w:hyperlink>
      <w:r>
        <w:t>) que a antiga dicotomia entre puro e impuro foi quebrada. Isso então leva Pedro à casa de um gentio não circuncidado, o mais sério tabu social para os judeus, e eventos subsequentes forçam Pedro a admitir gentios na igreja sem a necessidade dos requisitos de prosélitos judaicos. As sérias consequências disso são vistas no debate que se seguiu em Jerusalém (</w:t>
      </w:r>
      <w:hyperlink r:id="rId16697">
        <w:r>
          <w:rPr>
            <w:color w:val="0000EE"/>
            <w:u w:val="single"/>
          </w:rPr>
          <w:t>Atos 11.2–3</w:t>
        </w:r>
      </w:hyperlink>
      <w:r>
        <w:t>) e mais tarde no concílio (</w:t>
      </w:r>
      <w:hyperlink r:id="rId16698">
        <w:r>
          <w:rPr>
            <w:color w:val="0000EE"/>
            <w:u w:val="single"/>
          </w:rPr>
          <w:t>Atos 15.1–21</w:t>
        </w:r>
      </w:hyperlink>
      <w:r>
        <w:t xml:space="preserve">). A centralidade deste evento é demonstrada na medida em que Lucas reproduz a fala de Pedro, que parece ser uma repetição do capítulo </w:t>
      </w:r>
      <w:hyperlink r:id="rId2882">
        <w:r>
          <w:rPr>
            <w:color w:val="0000EE"/>
            <w:u w:val="single"/>
          </w:rPr>
          <w:t>10</w:t>
        </w:r>
      </w:hyperlink>
      <w:r>
        <w:t>, mas tem o propósito de trazer destaque a este episódio crucial. Frequentemente esquecido na importância disso para a igreja primitiva é o fato de que, para Lucas, a missão gentia começa com Pedro, não Paulo. Ele é aquele sobre quem desce o ato salvífico de Deus; e como líder da igreja, ele foi a primeira testemunha importante disso.</w:t>
      </w:r>
    </w:p>
    <w:p>
      <w:r/>
      <w:r>
        <w:t>A perseguição de Herodes Agripa (</w:t>
      </w:r>
      <w:hyperlink r:id="rId16699">
        <w:r>
          <w:rPr>
            <w:color w:val="0000EE"/>
            <w:u w:val="single"/>
          </w:rPr>
          <w:t>Atos 12.1–4</w:t>
        </w:r>
      </w:hyperlink>
      <w:r>
        <w:t>) provavelmente foi devido ao furor causado por esta livre relação com os gentios; e fez com que terminasse o período da liderança de Pedro em Jerusalém. O povo judeu ficou grandemente ofendido com o novo avanço cristão; e de acordo com Lucas em Atos, o período prazeroso de popularidade, em que as pessoas comuns apoiavam a igreja, efetivamente cessou neste momento. A libertação milagrosa de Pedro e a cena dramática na casa de Maria tipificaram o lugar especial de Pedro, mas o momento muda. Pedro é forçado a fugir de Jerusalém, e, neste interim, Tiago é levantado como líder (</w:t>
      </w:r>
      <w:hyperlink r:id="rId11196">
        <w:r>
          <w:rPr>
            <w:color w:val="0000EE"/>
            <w:u w:val="single"/>
          </w:rPr>
          <w:t>Atos 12.17</w:t>
        </w:r>
      </w:hyperlink>
      <w:r>
        <w:t>); no concílio de Jerusalém, é o último que tem a cadeira e apresenta a decisão do concílio (</w:t>
      </w:r>
      <w:hyperlink r:id="rId5333">
        <w:r>
          <w:rPr>
            <w:color w:val="0000EE"/>
            <w:u w:val="single"/>
          </w:rPr>
          <w:t>Atos 15.6–29</w:t>
        </w:r>
      </w:hyperlink>
      <w:r>
        <w:t>).</w:t>
      </w:r>
    </w:p>
    <w:p>
      <w:r/>
      <w:r>
        <w:t xml:space="preserve">A relação exata entre Pedro e os outros discípulos, especialmente com aqueles que são chamados de "pilares" — Tiago e João — e com o apóstolo Paulo, não pode ser determinada. A evidência é muito vaga. Muitos pensavam que, de fato, não havia verdadeiramente líderes universais, pois a igreja primitiva era muito diversa. No entanto, isso é improvável, e o retrato de Lucas em Atos é paralelo à declaração de Paulo em </w:t>
      </w:r>
      <w:hyperlink r:id="rId2294">
        <w:r>
          <w:rPr>
            <w:color w:val="0000EE"/>
            <w:u w:val="single"/>
          </w:rPr>
          <w:t>Gálatas 2.8</w:t>
        </w:r>
      </w:hyperlink>
      <w:r>
        <w:t xml:space="preserve"> de que Pedro era o apóstolo por excelência para os “circuncidados” e Paulo para os “gentios”. Eles eram os líderes universais, enquanto Tiago se tornou o líder local dos presbíteros de Jerusalém. Todavia, nem Pedro, nem Paulo tinham um status dominical semelhante ao dos papas posteriores (isto é, não era o porta-voz absoluto da igreja e acima de qualquer crítica). Os chamados emissários de Tiago tiveram tal influência sobre Pedro que ele hipocritamente mudou seu comportamento diante dos gentios (</w:t>
      </w:r>
      <w:hyperlink r:id="rId12345">
        <w:r>
          <w:rPr>
            <w:color w:val="0000EE"/>
            <w:u w:val="single"/>
          </w:rPr>
          <w:t>Gl 2.12</w:t>
        </w:r>
      </w:hyperlink>
      <w:r>
        <w:t>), e Paulo repreendeu Pedro publicamente por fazê-lo (</w:t>
      </w:r>
      <w:hyperlink r:id="rId4353">
        <w:r>
          <w:rPr>
            <w:color w:val="0000EE"/>
            <w:u w:val="single"/>
          </w:rPr>
          <w:t>Gl 2.11–14</w:t>
        </w:r>
      </w:hyperlink>
      <w:r>
        <w:t>). Paulo nunca reivindicou autoridade sobre os outros discípulos e até buscou sua aprovação e “as destras da comunhão” para seu ministério aos gentios (</w:t>
      </w:r>
      <w:hyperlink r:id="rId6271">
        <w:r>
          <w:rPr>
            <w:color w:val="0000EE"/>
            <w:u w:val="single"/>
          </w:rPr>
          <w:t>Gl 2.1–10</w:t>
        </w:r>
      </w:hyperlink>
      <w:r>
        <w:t>).</w:t>
      </w:r>
    </w:p>
    <w:p>
      <w:pPr>
        <w:pStyle w:val="Heading3"/>
      </w:pPr>
      <w:r>
        <w:t>O Ministério Futuro de Pedro</w:t>
      </w:r>
    </w:p>
    <w:p>
      <w:r/>
      <w:r>
        <w:t>Temos pouca evidência concreta para os outros movimentos de Pedro. Parece que Pedro gradualmente se retirou da liderança para focar no trabalho missionário. Porém, esta é uma simplificação excessiva. É mais provável que, seguindo o padrão semelhante de Paulo, ele combinou os dois. A presença de um “partido de Cefas” em Corinto (</w:t>
      </w:r>
      <w:hyperlink r:id="rId2234">
        <w:r>
          <w:rPr>
            <w:color w:val="0000EE"/>
            <w:u w:val="single"/>
          </w:rPr>
          <w:t>1Co 1.12</w:t>
        </w:r>
      </w:hyperlink>
      <w:r>
        <w:t xml:space="preserve">; </w:t>
      </w:r>
      <w:hyperlink r:id="rId16700">
        <w:r>
          <w:rPr>
            <w:color w:val="0000EE"/>
            <w:u w:val="single"/>
          </w:rPr>
          <w:t>3.22</w:t>
        </w:r>
      </w:hyperlink>
      <w:r>
        <w:t>) pode indicar que Pedro havia passado algum tempo lá. Isso é ainda mais provável quando Paulo usa Pedro como o principal exemplo para levar a esposa em expedições missionárias (</w:t>
      </w:r>
      <w:hyperlink r:id="rId11197">
        <w:r>
          <w:rPr>
            <w:color w:val="0000EE"/>
            <w:u w:val="single"/>
          </w:rPr>
          <w:t>1Co 9.5</w:t>
        </w:r>
      </w:hyperlink>
      <w:r>
        <w:t>). O “partido de Cefas” provavelmente consistia daqueles que foram convertidos sob seu ministério; é provável que eles eram cristãos judeus e se opuseram ao “partido de Paulo” nos debates entre judeus e gentios refletidos em outros lugares em 1 Coríntios.</w:t>
      </w:r>
    </w:p>
    <w:p>
      <w:r/>
      <w:r>
        <w:t xml:space="preserve">A Primeira Epístola de Pedro foi enviada para as igrejas no norte da Ásia Menor — as províncias de Ponto, Galácia, Capadócia, Ásia e Bitínia. O problema aqui é que não há nenhuma pista de que Pedro havia de fato estado lá e nenhuma notação pessoal na epístola para demonstrar seu entendimento com essas igrejas. No entanto, a carta mostra que ele estava muito interessado neles. Na verdade, alguns acreditam que a razão pela qual Paulo não foi permitido entrar neste distrito, de acordo com </w:t>
      </w:r>
      <w:hyperlink r:id="rId14622">
        <w:r>
          <w:rPr>
            <w:color w:val="0000EE"/>
            <w:u w:val="single"/>
          </w:rPr>
          <w:t>Atos 16.7–8</w:t>
        </w:r>
      </w:hyperlink>
      <w:r>
        <w:t>, era que Pedro já estava ministrando lá. Em suma, a questão do envolvimento de Pedro na Ásia Menor deve permanecer em aberto.</w:t>
      </w:r>
    </w:p>
    <w:p>
      <w:r/>
      <w:r>
        <w:t xml:space="preserve">Não há evidência final do NT de que Pedro foi para Roma. </w:t>
      </w:r>
      <w:hyperlink r:id="rId11942">
        <w:r>
          <w:rPr>
            <w:color w:val="0000EE"/>
            <w:u w:val="single"/>
          </w:rPr>
          <w:t>Primeira de Pedro 5.13</w:t>
        </w:r>
      </w:hyperlink>
      <w:r>
        <w:t xml:space="preserve"> diz que a epístola foi enviada da “Babilônia”, e é duvidoso que esta fosse a Babilônia literal, porque não há tradição de que Pedro tenha ido lá, e a Babilônia era escassamente povoada naquela época. É provavelmente um símbolo enigmático para Roma, a “Babilônia do Ocidente”. É mais provável que a “Babilônia” de </w:t>
      </w:r>
      <w:hyperlink r:id="rId9631">
        <w:r>
          <w:rPr>
            <w:color w:val="0000EE"/>
            <w:u w:val="single"/>
          </w:rPr>
          <w:t>Apocalipse 14.8</w:t>
        </w:r>
      </w:hyperlink>
      <w:r>
        <w:t xml:space="preserve"> e </w:t>
      </w:r>
      <w:hyperlink r:id="rId4093">
        <w:r>
          <w:rPr>
            <w:color w:val="0000EE"/>
            <w:u w:val="single"/>
          </w:rPr>
          <w:t>16.19</w:t>
        </w:r>
      </w:hyperlink>
      <w:r>
        <w:t xml:space="preserve"> também seja um símbolo de Roma. Isso se encaixaria na forte tradição da igreja primitiva que, de fato, Pedro ministrou lá.</w:t>
      </w:r>
    </w:p>
    <w:p>
      <w:r/>
      <w:r>
        <w:t xml:space="preserve">Há quatro testemunhas externas iniciais sobre a morte de Pedro. </w:t>
      </w:r>
      <w:hyperlink r:id="rId16701">
        <w:r>
          <w:rPr>
            <w:color w:val="0000EE"/>
            <w:u w:val="single"/>
          </w:rPr>
          <w:t>João 21.18</w:t>
        </w:r>
      </w:hyperlink>
      <w:r>
        <w:t xml:space="preserve"> menciona apenas o martírio de Pedro, mas não dá nenhuma pista em relação ao lugar. Primeira de Clemente foi escrita no final do primeiro século e relata o martírio de Pedro e Paulo, entre outros. Enquanto 1 Clemente 5.4 testifica apenas o fato, e não o lugar do martírio de Pedro, um estudo de dois aspectos favorece Roma — a referência a uma “grande multidão” de mártires, que melhor se encaixa na perseguição de Nero, e a frase “exemplo glorioso entre nós”, que mostra que o povo da própria igreja de Clemente (Roma) estava envolvido. A carta de Inácio aos Romanos (4.3) também testifica de maneira geral o martírio de Pedro e de Paulo, e o contexto novamente favorece Roma como o local. Ele diz: “Eu não vos ordenei como Pedro e Paulo fizeram”, o que mostra que eles tinham ministérios em Roma. A Ascensão de Isaías 4.2–3, uma obra judaico-cristã do mesmo período, fala de Beliar (provavelmente Nero) que martiriza “um dos Doze”, quase certamente Pedro. Portanto, a evidência mais antiga não aponta explicitamente para Roma como o lugar da morte de Pedro, mas essa é a hipótese mais provável.</w:t>
      </w:r>
    </w:p>
    <w:p>
      <w:r/>
      <w:r>
        <w:t xml:space="preserve">Declarações definitivas para esse efeito aparecem no final do segundo século. Dionísio, bispo de Corinto, em uma carta datada em cerca de 170 d.C. (preservada na </w:t>
      </w:r>
      <w:r>
        <w:rPr>
          <w:i/>
        </w:rPr>
        <w:t>História Eclesiástica</w:t>
      </w:r>
      <w:r>
        <w:t xml:space="preserve"> de Eusébio 2.25.8), diz que Pedro e Paulo ensinaram juntos na Itália. No final daquele século, Irineu diz (em </w:t>
      </w:r>
      <w:r>
        <w:rPr>
          <w:i/>
        </w:rPr>
        <w:t>Contra as Heresias</w:t>
      </w:r>
      <w:r>
        <w:t xml:space="preserve"> 2.1–3) que Pedro e Paulo pregaram em Roma, e Tertuliano, no mesmo período, acrescenta que Pedro foi martirizado “como . . .o Senhor” (</w:t>
      </w:r>
      <w:r>
        <w:rPr>
          <w:i/>
        </w:rPr>
        <w:t>Scorpiace</w:t>
      </w:r>
      <w:r>
        <w:t xml:space="preserve"> 15). Clemente de Alexandria e Orígenes aludem à presença de Pedro em Roma, e este último acrescenta a crença de que ele foi “crucificado de cabeça para baixo” (</w:t>
      </w:r>
      <w:r>
        <w:rPr>
          <w:i/>
        </w:rPr>
        <w:t>História Eclesiástica</w:t>
      </w:r>
      <w:r>
        <w:t xml:space="preserve"> de Eusébio 2.15.2; 3.1.2). A tradição de que Pedro foi crucificado pode ser apoiada em </w:t>
      </w:r>
      <w:hyperlink r:id="rId16701">
        <w:r>
          <w:rPr>
            <w:color w:val="0000EE"/>
            <w:u w:val="single"/>
          </w:rPr>
          <w:t>João 21.18</w:t>
        </w:r>
      </w:hyperlink>
      <w:r>
        <w:t>: “Quando for velho, você estenderá as mãos, alguém vai amarrá-las e o levará para onde você não vai querer ir.” (NTLH).</w:t>
      </w:r>
    </w:p>
    <w:p>
      <w:r/>
      <w:r>
        <w:t>O fato de que a Epístola de Paulo aos romanos (cerca de 55–57 d.C.) não menciona Pedro nos mostra que ele não poderia ter ido lá mais cedo do que isso. Se 1 Pedro foi escrito durante a perseguição de Nero, como acreditam aqueles que mantêm a autoria petrina, ele deve ter ido para lá em algum momento no final dos anos 50 ou início dos anos 60. É claro, a extensão de seu ministério em Roma também não pode ser conhecida. Alguns de fato postularam que ele teve pouca ou nenhuma estadia extensa em Roma. Os fatos, como eles podem ser restaurados, apontam para certas conclusões provisórias. Pedro tinha algum tipo de ministério em Roma, embora a sua extensão não possa ser conhecida. No entanto, é duvidoso, à luz do testemunho inicial de seu ministério de pregação lá, que ele estava meramente passando por Roma quando foi pego pelo massacre de Nero. Portanto, ele provavelmente passou os últimos anos de seu ministério em Roma, e lá sofreu o martírio sob Nero, talvez por crucificação.</w:t>
      </w:r>
    </w:p>
    <w:p>
      <w:r/>
      <w:r>
        <w:t>Simão Pedro, junto com Paulo, era a figura principal na igreja primitiva. Seu impacto foi tragicamente diminuído pelos debates amargos dos círculos católicos romanos e protestantes, mas a evidência bíblica é clara. Ele era o principal discípulo de Jesus e, de fato, a “rocha” que forneceu o fundamento para a igreja. Como discípulo representante, seu entusiasmo e até mesmo suas fraquezas o tornaram o exemplo supremo do discípulo em desenvolvimento, que, através do poder do Senhor ressurreto, se levantou acima de suas falhas para se tornar uma figura imponente no cenário da igreja.</w:t>
      </w:r>
      <w:r/>
      <w:r/>
    </w:p>
    <w:p>
      <w:r/>
    </w:p>
    <w:p>
      <w:pPr>
        <w:pStyle w:val="Heading2"/>
      </w:pPr>
      <w:r>
        <w:t>Pedro, Primeira Carta De</w:t>
      </w:r>
      <w:r/>
    </w:p>
    <w:p>
      <w:r/>
      <w:r>
        <w:t>Primeira de duas epístolas gerais de autoria de Pedro.</w:t>
      </w:r>
    </w:p>
    <w:p>
      <w:r/>
      <w:r>
        <w:t>Resumo</w:t>
      </w:r>
    </w:p>
    <w:p>
      <w:r/>
      <w:r>
        <w:t>• Autor</w:t>
      </w:r>
    </w:p>
    <w:p>
      <w:r/>
      <w:r>
        <w:t>• Destino, Origem, Data</w:t>
      </w:r>
    </w:p>
    <w:p>
      <w:r/>
      <w:r>
        <w:t>• Contexto</w:t>
      </w:r>
    </w:p>
    <w:p>
      <w:r/>
      <w:r>
        <w:t>• Propósito e Ensino Teológico</w:t>
      </w:r>
    </w:p>
    <w:p>
      <w:r/>
      <w:r>
        <w:t>• Conteúdo</w:t>
      </w:r>
    </w:p>
    <w:p>
      <w:pPr>
        <w:pStyle w:val="Heading3"/>
      </w:pPr>
      <w:r>
        <w:t>Autor</w:t>
      </w:r>
    </w:p>
    <w:p>
      <w:r/>
      <w:r>
        <w:t>O autor diz que é o apóstolo Pedro (</w:t>
      </w:r>
      <w:hyperlink r:id="rId2751">
        <w:r>
          <w:rPr>
            <w:color w:val="0000EE"/>
            <w:u w:val="single"/>
          </w:rPr>
          <w:t>1Pe 1.1</w:t>
        </w:r>
      </w:hyperlink>
      <w:r>
        <w:t>), uma testemunha dos sofrimentos de Cristo (</w:t>
      </w:r>
      <w:hyperlink r:id="rId1415">
        <w:r>
          <w:rPr>
            <w:color w:val="0000EE"/>
            <w:u w:val="single"/>
          </w:rPr>
          <w:t>5.1</w:t>
        </w:r>
      </w:hyperlink>
      <w:r>
        <w:t>) — assim, um dos apóstolos originais escolhido por Jesus (</w:t>
      </w:r>
      <w:hyperlink r:id="rId16702">
        <w:r>
          <w:rPr>
            <w:color w:val="0000EE"/>
            <w:u w:val="single"/>
          </w:rPr>
          <w:t>Mc 3.14–19</w:t>
        </w:r>
      </w:hyperlink>
      <w:r>
        <w:t>) como um porta-voz autorizado. Também conhecido como Simão e Cefas, Pedro provavelmente viu e sentiu as últimas horas de sofrimento de Jesus mais intensamente do que qualquer um dos outros apóstolos (</w:t>
      </w:r>
      <w:hyperlink r:id="rId13868">
        <w:r>
          <w:rPr>
            <w:color w:val="0000EE"/>
            <w:u w:val="single"/>
          </w:rPr>
          <w:t>14.54</w:t>
        </w:r>
      </w:hyperlink>
      <w:r>
        <w:t xml:space="preserve">) porque ele havia negado Jesus três vezes (vv. </w:t>
      </w:r>
      <w:hyperlink r:id="rId11790">
        <w:r>
          <w:rPr>
            <w:color w:val="0000EE"/>
            <w:u w:val="single"/>
          </w:rPr>
          <w:t>66–72</w:t>
        </w:r>
      </w:hyperlink>
      <w:r>
        <w:t>). Em 1 Pedro, os sofrimentos de Jesus são mencionados pelo menos quatro vezes (</w:t>
      </w:r>
      <w:hyperlink r:id="rId6110">
        <w:r>
          <w:rPr>
            <w:color w:val="0000EE"/>
            <w:u w:val="single"/>
          </w:rPr>
          <w:t>1Pe 1.11</w:t>
        </w:r>
      </w:hyperlink>
      <w:r>
        <w:t xml:space="preserve">; </w:t>
      </w:r>
      <w:hyperlink r:id="rId16703">
        <w:r>
          <w:rPr>
            <w:color w:val="0000EE"/>
            <w:u w:val="single"/>
          </w:rPr>
          <w:t>2.23</w:t>
        </w:r>
      </w:hyperlink>
      <w:r>
        <w:t xml:space="preserve">; </w:t>
      </w:r>
      <w:hyperlink r:id="rId16704">
        <w:r>
          <w:rPr>
            <w:color w:val="0000EE"/>
            <w:u w:val="single"/>
          </w:rPr>
          <w:t>4.1</w:t>
        </w:r>
      </w:hyperlink>
      <w:r>
        <w:t xml:space="preserve">; </w:t>
      </w:r>
      <w:hyperlink r:id="rId1415">
        <w:r>
          <w:rPr>
            <w:color w:val="0000EE"/>
            <w:u w:val="single"/>
          </w:rPr>
          <w:t>5.1</w:t>
        </w:r>
      </w:hyperlink>
      <w:r>
        <w:t>).</w:t>
      </w:r>
    </w:p>
    <w:p>
      <w:r/>
      <w:r>
        <w:t>Pedro era conhecido como o apóstolo dos judeus, assim como Paulo era o apóstolo dos gentios (</w:t>
      </w:r>
      <w:hyperlink r:id="rId4967">
        <w:r>
          <w:rPr>
            <w:color w:val="0000EE"/>
            <w:u w:val="single"/>
          </w:rPr>
          <w:t>Gl 2.7</w:t>
        </w:r>
      </w:hyperlink>
      <w:r>
        <w:t>). Uma vez que Pedro era um missionário viajante (</w:t>
      </w:r>
      <w:hyperlink r:id="rId2234">
        <w:r>
          <w:rPr>
            <w:color w:val="0000EE"/>
            <w:u w:val="single"/>
          </w:rPr>
          <w:t>1Co 1.12</w:t>
        </w:r>
      </w:hyperlink>
      <w:r>
        <w:t xml:space="preserve">; </w:t>
      </w:r>
      <w:hyperlink r:id="rId11197">
        <w:r>
          <w:rPr>
            <w:color w:val="0000EE"/>
            <w:u w:val="single"/>
          </w:rPr>
          <w:t>9.5</w:t>
        </w:r>
      </w:hyperlink>
      <w:r>
        <w:t>), ele poderia ter de fato visitado as igrejas da Ásia Menor para as quais esta carta foi enviada.</w:t>
      </w:r>
    </w:p>
    <w:p>
      <w:r/>
      <w:r>
        <w:t>O fato que Pedro estava com Jesus durante seu ministério terreno pode ajudar a explicar a forte influência do ensino de Jesus em 1 Pedro. Exceto por Tiago, 1 Pedro provavelmente ecoa mais das palavras de Jesus do que qualquer outra carta do NT. O gráfico abaixo apresenta similaridades entre as palavras de Pedro e as palavras de Jesus nos Evangelhos:</w:t>
      </w:r>
    </w:p>
    <w:p>
      <w:r/>
      <w:r>
        <w:t>Alguns estudiosos pensam que o grego desta carta é bom demais para ter sido escrito por um ex-pescador que tinha o aramaico como sua língua nativa; que a doutrina é muito parecida com a de Paulo para ter sido escrita por um apóstolo que tinha uma posição diferente da de Paulo; e que alguém escreveu a carta após a morte de Pedro e usou seu nome para dar peso apostólico a ela.</w:t>
      </w:r>
    </w:p>
    <w:p>
      <w:r/>
      <w:r>
        <w:t>Outros estudiosos respondem que se o autor quisesse dar autoridade a uma carta que se assemelha às de Paulo, ele teria usado o nome de Paulo, não o de Pedro; que a maioria dos galileus provavelmente aprendeu grego e aramaico no início da vida; e que não há evidências de que o ensino de Pedro e Paulo diferisse fundamentalmente. Quando Paulo repreendeu Pedro (</w:t>
      </w:r>
      <w:hyperlink r:id="rId4353">
        <w:r>
          <w:rPr>
            <w:color w:val="0000EE"/>
            <w:u w:val="single"/>
          </w:rPr>
          <w:t>Gl 2.11–14</w:t>
        </w:r>
      </w:hyperlink>
      <w:r>
        <w:t>), foi devido a um lapso temporário na conduta, não uma discordância básica no ensino. Além disso, algumas doutrinas-chave de Paulo não são evidenciadas em 1 Pedro (p. ex. justificação), e as que são semelhantes às de Paulo eram de posse comum de todas as igrejas primitivas. Podemos concluir razoavelmente que o apóstolo Pedro foi o autor desta carta. No entanto, parece bastante claro que Silas (também conhecido como Silvano) ajudou Pedro a escrever esta epístola (</w:t>
      </w:r>
      <w:hyperlink r:id="rId16705">
        <w:r>
          <w:rPr>
            <w:color w:val="0000EE"/>
            <w:u w:val="single"/>
          </w:rPr>
          <w:t>1Pe 5.12</w:t>
        </w:r>
      </w:hyperlink>
      <w:r>
        <w:t>), o que significa que (1) ele foi como um amanuense (secretário) para Pedro, (2) ele traduziu a carta de Pedro (do aramaico para o grego) enquanto Pedro ditava, ou (3) ele compôs uma carta baseada nos pensamentos de Pedro.</w:t>
      </w:r>
    </w:p>
    <w:p>
      <w:pPr>
        <w:pStyle w:val="Heading3"/>
      </w:pPr>
      <w:r>
        <w:t>Destino, Origem, Data</w:t>
      </w:r>
    </w:p>
    <w:p>
      <w:r/>
      <w:r>
        <w:t>As pessoas a quem 1 Pedro é endereçado viviam em Ponto, Galácia, Capadócia, Ásia e Bitínia. Essas províncias romanas cobriam toda, exceto a parte mais ao sul da Ásia Menor, a maior parte da Turquia moderna.</w:t>
      </w:r>
    </w:p>
    <w:p>
      <w:r/>
      <w:r>
        <w:t xml:space="preserve">O cristianismo pode ter sido trazido por judeus peregrinos convertidos em Jerusalém no dia de Pentecostes (cf. </w:t>
      </w:r>
      <w:hyperlink r:id="rId7767">
        <w:r>
          <w:rPr>
            <w:color w:val="0000EE"/>
            <w:u w:val="single"/>
          </w:rPr>
          <w:t>Atos 2.9</w:t>
        </w:r>
      </w:hyperlink>
      <w:r>
        <w:t>). Muito provavelmente, essas igrejas incluíam algumas fundadas por Paulo em sua primeira e segunda jornadas missionárias, e outras por missionários desconhecidos. Pedro não se inclui explicitamente entre “aqueles que vos pregaram” (</w:t>
      </w:r>
      <w:hyperlink r:id="rId5075">
        <w:r>
          <w:rPr>
            <w:color w:val="0000EE"/>
            <w:u w:val="single"/>
          </w:rPr>
          <w:t>1Pe 1.12</w:t>
        </w:r>
      </w:hyperlink>
      <w:r>
        <w:t>).</w:t>
      </w:r>
    </w:p>
    <w:p>
      <w:r/>
      <w:r>
        <w:t xml:space="preserve">Se os leitores eram judeus cristãos ou gentios pagãos convertidos não é conhecido. </w:t>
      </w:r>
      <w:hyperlink r:id="rId2751">
        <w:r>
          <w:rPr>
            <w:color w:val="0000EE"/>
            <w:u w:val="single"/>
          </w:rPr>
          <w:t>Primeira carta de Pedro 1.1</w:t>
        </w:r>
      </w:hyperlink>
      <w:r>
        <w:t xml:space="preserve"> diz: “ao povo de Deus que vive espalhado nas províncias do Ponto, Galácia, Capadócia, Ásia e Bitínia" (NTLH). Que os leitores estão, em certo sentido, exilados é confirmado por </w:t>
      </w:r>
      <w:hyperlink r:id="rId16706">
        <w:r>
          <w:rPr>
            <w:color w:val="0000EE"/>
            <w:u w:val="single"/>
          </w:rPr>
          <w:t>1.17</w:t>
        </w:r>
      </w:hyperlink>
      <w:r>
        <w:t xml:space="preserve"> e </w:t>
      </w:r>
      <w:hyperlink r:id="rId8590">
        <w:r>
          <w:rPr>
            <w:color w:val="0000EE"/>
            <w:u w:val="single"/>
          </w:rPr>
          <w:t>2.11</w:t>
        </w:r>
      </w:hyperlink>
      <w:r>
        <w:t xml:space="preserve">. Esses versos poderiam se referir a um exílio literal de judeus fora da Palestina ou a um exílio espiritual de todos os crentes na terra porque seu verdadeiro lar está no céu. Ninguém nega que havia (e ainda existe) uma dispersão judaica literal (Diáspora). Pedro, vendo a igreja como o verdadeiro Israel (cf. </w:t>
      </w:r>
      <w:hyperlink r:id="rId4432">
        <w:r>
          <w:rPr>
            <w:color w:val="0000EE"/>
            <w:u w:val="single"/>
          </w:rPr>
          <w:t>Rm 2.29</w:t>
        </w:r>
      </w:hyperlink>
      <w:r>
        <w:t xml:space="preserve">; </w:t>
      </w:r>
      <w:hyperlink r:id="rId1396">
        <w:r>
          <w:rPr>
            <w:color w:val="0000EE"/>
            <w:u w:val="single"/>
          </w:rPr>
          <w:t>Gl 6.16</w:t>
        </w:r>
      </w:hyperlink>
      <w:r>
        <w:t xml:space="preserve">; </w:t>
      </w:r>
      <w:hyperlink r:id="rId3223">
        <w:r>
          <w:rPr>
            <w:color w:val="0000EE"/>
            <w:u w:val="single"/>
          </w:rPr>
          <w:t>Fp 3.3</w:t>
        </w:r>
      </w:hyperlink>
      <w:r>
        <w:t xml:space="preserve">), pode ter simplesmente transferido a linguagem que se referia ao exílio da nação de Israel para a igreja. A frase usada por Pedro em </w:t>
      </w:r>
      <w:hyperlink r:id="rId8590">
        <w:r>
          <w:rPr>
            <w:color w:val="0000EE"/>
            <w:u w:val="single"/>
          </w:rPr>
          <w:t>1Pedro 2.11</w:t>
        </w:r>
      </w:hyperlink>
      <w:r>
        <w:t xml:space="preserve"> é quase idêntica à de </w:t>
      </w:r>
      <w:hyperlink r:id="rId8589">
        <w:r>
          <w:rPr>
            <w:color w:val="0000EE"/>
            <w:u w:val="single"/>
          </w:rPr>
          <w:t>Hebreus 11.13</w:t>
        </w:r>
      </w:hyperlink>
      <w:r>
        <w:t xml:space="preserve"> (cf. </w:t>
      </w:r>
      <w:hyperlink r:id="rId8557">
        <w:r>
          <w:rPr>
            <w:color w:val="0000EE"/>
            <w:u w:val="single"/>
          </w:rPr>
          <w:t>Gn 23.4</w:t>
        </w:r>
      </w:hyperlink>
      <w:r>
        <w:t xml:space="preserve">; </w:t>
      </w:r>
      <w:hyperlink r:id="rId8554">
        <w:r>
          <w:rPr>
            <w:color w:val="0000EE"/>
            <w:u w:val="single"/>
          </w:rPr>
          <w:t>Sl 39.12</w:t>
        </w:r>
      </w:hyperlink>
      <w:r>
        <w:t>).</w:t>
      </w:r>
    </w:p>
    <w:p>
      <w:r/>
      <w:r>
        <w:t xml:space="preserve">Contra a visão que interpreta a dispersão de </w:t>
      </w:r>
      <w:hyperlink r:id="rId2751">
        <w:r>
          <w:rPr>
            <w:color w:val="0000EE"/>
            <w:u w:val="single"/>
          </w:rPr>
          <w:t>1 Pedro 1.1</w:t>
        </w:r>
      </w:hyperlink>
      <w:r>
        <w:t xml:space="preserve"> como cristãos (judeus e gentios), em vez de apenas judeus, pode-se argumentar que Pedro era especificamente o apóstolo dos judeus (</w:t>
      </w:r>
      <w:hyperlink r:id="rId4967">
        <w:r>
          <w:rPr>
            <w:color w:val="0000EE"/>
            <w:u w:val="single"/>
          </w:rPr>
          <w:t>Gl 2.7</w:t>
        </w:r>
      </w:hyperlink>
      <w:r>
        <w:t>) e que o frequente uso do AT em 1 Pedro exige um público judaico. Mas há evidências de que Pedro não restringiu seu ministério aos judeus (</w:t>
      </w:r>
      <w:hyperlink r:id="rId2234">
        <w:r>
          <w:rPr>
            <w:color w:val="0000EE"/>
            <w:u w:val="single"/>
          </w:rPr>
          <w:t>1Co 1.12</w:t>
        </w:r>
      </w:hyperlink>
      <w:r>
        <w:t xml:space="preserve">; </w:t>
      </w:r>
      <w:hyperlink r:id="rId12345">
        <w:r>
          <w:rPr>
            <w:color w:val="0000EE"/>
            <w:u w:val="single"/>
          </w:rPr>
          <w:t>Gl 2.12</w:t>
        </w:r>
      </w:hyperlink>
      <w:r>
        <w:t xml:space="preserve">), e o uso do AT não é surpreendente, mesmo que os leitores não fossem judeus, pois diversos gentios tementes a Deus (como Cornélio, </w:t>
      </w:r>
      <w:hyperlink r:id="rId4400">
        <w:r>
          <w:rPr>
            <w:color w:val="0000EE"/>
            <w:u w:val="single"/>
          </w:rPr>
          <w:t>Atos 10.2</w:t>
        </w:r>
      </w:hyperlink>
      <w:r>
        <w:t>) estavam familiarizados com o AT.</w:t>
      </w:r>
    </w:p>
    <w:p>
      <w:r/>
      <w:r>
        <w:t xml:space="preserve">Se os leitores eram principalmente judeus ou gentios é decidido por meio de vários textos que refletem o pano de fundo pagão dos leitores. Pedro diz em </w:t>
      </w:r>
      <w:hyperlink r:id="rId3642">
        <w:r>
          <w:rPr>
            <w:color w:val="0000EE"/>
            <w:u w:val="single"/>
          </w:rPr>
          <w:t>1 Pedro 2.10</w:t>
        </w:r>
      </w:hyperlink>
      <w:r>
        <w:t xml:space="preserve"> que seus leitores eram anteriormente “não um povo”, uma referência a </w:t>
      </w:r>
      <w:hyperlink r:id="rId1109">
        <w:r>
          <w:rPr>
            <w:color w:val="0000EE"/>
            <w:u w:val="single"/>
          </w:rPr>
          <w:t>Oséias 2.23</w:t>
        </w:r>
      </w:hyperlink>
      <w:r>
        <w:t xml:space="preserve"> (cf. </w:t>
      </w:r>
      <w:hyperlink r:id="rId16707">
        <w:r>
          <w:rPr>
            <w:color w:val="0000EE"/>
            <w:u w:val="single"/>
          </w:rPr>
          <w:t>Rm 9.25</w:t>
        </w:r>
      </w:hyperlink>
      <w:r>
        <w:t xml:space="preserve">). Então em </w:t>
      </w:r>
      <w:hyperlink r:id="rId16708">
        <w:r>
          <w:rPr>
            <w:color w:val="0000EE"/>
            <w:u w:val="single"/>
          </w:rPr>
          <w:t>1 Pedro 4.3</w:t>
        </w:r>
      </w:hyperlink>
      <w:r>
        <w:t>, Pedro descreve seu passado de “imoralidade, nos desejos carnais, nas bebedeiras, nas orgias, na embriaguez e na nojenta adoração de ídolos.” (NTLH). Isso não descreve judeus incrédulos, os quais não tinham grande problema com a imoralidade vulgar, mas com a hipocrisia e o legalismo. Assim, entre os destinatários desta carta devem estar inclusos muitos cristãos gentios da Ásia Menor, caracterizados como estrangeiros e forasteiros neste mundo.</w:t>
      </w:r>
    </w:p>
    <w:p>
      <w:r/>
      <w:r>
        <w:t xml:space="preserve">A maioria dos estudiosos pensa que 1 Pedro foi escrita em Roma. A dica é encontrada em </w:t>
      </w:r>
      <w:hyperlink r:id="rId11942">
        <w:r>
          <w:rPr>
            <w:color w:val="0000EE"/>
            <w:u w:val="single"/>
          </w:rPr>
          <w:t>5.13</w:t>
        </w:r>
      </w:hyperlink>
      <w:r>
        <w:t xml:space="preserve">: “A igreja que está em Babilônia, escolhida também por Deus, manda saudações” (NTLH). Babilônia (que havia vindo para simbolizar uma cidade grande, poderosa e maligna) passou a ser um nome que servia como código para Roma em muita da literatura cristã primitiva (p. ex., </w:t>
      </w:r>
      <w:hyperlink r:id="rId9631">
        <w:r>
          <w:rPr>
            <w:color w:val="0000EE"/>
            <w:u w:val="single"/>
          </w:rPr>
          <w:t>Ap 14.8</w:t>
        </w:r>
      </w:hyperlink>
      <w:r>
        <w:t xml:space="preserve">; </w:t>
      </w:r>
      <w:hyperlink r:id="rId4093">
        <w:r>
          <w:rPr>
            <w:color w:val="0000EE"/>
            <w:u w:val="single"/>
          </w:rPr>
          <w:t>16.19</w:t>
        </w:r>
      </w:hyperlink>
      <w:r>
        <w:t xml:space="preserve">; </w:t>
      </w:r>
      <w:hyperlink r:id="rId14665">
        <w:r>
          <w:rPr>
            <w:color w:val="0000EE"/>
            <w:u w:val="single"/>
          </w:rPr>
          <w:t>17.5</w:t>
        </w:r>
      </w:hyperlink>
      <w:r>
        <w:t xml:space="preserve">; </w:t>
      </w:r>
      <w:hyperlink r:id="rId11280">
        <w:r>
          <w:rPr>
            <w:color w:val="0000EE"/>
            <w:u w:val="single"/>
          </w:rPr>
          <w:t>18.2,10,21</w:t>
        </w:r>
      </w:hyperlink>
      <w:r>
        <w:t>; cf. Sibilene 5.143,159).</w:t>
      </w:r>
    </w:p>
    <w:p>
      <w:r/>
      <w:r>
        <w:t>A datação de 1 Pedro é provavelmente em 64 ou 65 d.C. (veja a próxima seção).</w:t>
      </w:r>
    </w:p>
    <w:p>
      <w:pPr>
        <w:pStyle w:val="Heading3"/>
      </w:pPr>
      <w:r>
        <w:t>Contexto</w:t>
      </w:r>
    </w:p>
    <w:p>
      <w:r/>
      <w:r>
        <w:t>Enquanto outros escritos do NT se refiram agora e posteriormente ao sofrimento cristão, 1 Pedro está preocupado com isso. A maneira que os cristãos devem se comportar quando são atacados é frequentemente abordada (</w:t>
      </w:r>
      <w:hyperlink r:id="rId16709">
        <w:r>
          <w:rPr>
            <w:color w:val="0000EE"/>
            <w:u w:val="single"/>
          </w:rPr>
          <w:t>1Pe 1.3–7</w:t>
        </w:r>
      </w:hyperlink>
      <w:r>
        <w:t xml:space="preserve">; </w:t>
      </w:r>
      <w:hyperlink r:id="rId16710">
        <w:r>
          <w:rPr>
            <w:color w:val="0000EE"/>
            <w:u w:val="single"/>
          </w:rPr>
          <w:t>2.12,20–23</w:t>
        </w:r>
      </w:hyperlink>
      <w:r>
        <w:t xml:space="preserve">; </w:t>
      </w:r>
      <w:hyperlink r:id="rId16711">
        <w:r>
          <w:rPr>
            <w:color w:val="0000EE"/>
            <w:u w:val="single"/>
          </w:rPr>
          <w:t>3.13–17</w:t>
        </w:r>
      </w:hyperlink>
      <w:r>
        <w:t xml:space="preserve">; </w:t>
      </w:r>
      <w:hyperlink r:id="rId16712">
        <w:r>
          <w:rPr>
            <w:color w:val="0000EE"/>
            <w:u w:val="single"/>
          </w:rPr>
          <w:t>4.12–19</w:t>
        </w:r>
      </w:hyperlink>
      <w:r>
        <w:t xml:space="preserve">; </w:t>
      </w:r>
      <w:hyperlink r:id="rId16713">
        <w:r>
          <w:rPr>
            <w:color w:val="0000EE"/>
            <w:u w:val="single"/>
          </w:rPr>
          <w:t>5.9–10</w:t>
        </w:r>
      </w:hyperlink>
      <w:r>
        <w:t>). Uma perseguição oficial do estado não pode ser claramente afirmada; os ataques parecem ser o destino comum de todos os cristãos em todos os lugares (</w:t>
      </w:r>
      <w:hyperlink r:id="rId11171">
        <w:r>
          <w:rPr>
            <w:color w:val="0000EE"/>
            <w:u w:val="single"/>
          </w:rPr>
          <w:t>5.9</w:t>
        </w:r>
      </w:hyperlink>
      <w:r>
        <w:t>). Mestres cruéis às vezes perseguiam seus servos cristãos (</w:t>
      </w:r>
      <w:hyperlink r:id="rId16714">
        <w:r>
          <w:rPr>
            <w:color w:val="0000EE"/>
            <w:u w:val="single"/>
          </w:rPr>
          <w:t>2.18–20</w:t>
        </w:r>
      </w:hyperlink>
      <w:r>
        <w:t>); esposas cristãs podiam ter que suportar maridos hostis e incrédulos (</w:t>
      </w:r>
      <w:hyperlink r:id="rId16715">
        <w:r>
          <w:rPr>
            <w:color w:val="0000EE"/>
            <w:u w:val="single"/>
          </w:rPr>
          <w:t>3.1–6</w:t>
        </w:r>
      </w:hyperlink>
      <w:r>
        <w:t>); e, em geral, as pessoas estavam prontas para insultar os cristãos como malfeitores (</w:t>
      </w:r>
      <w:hyperlink r:id="rId16710">
        <w:r>
          <w:rPr>
            <w:color w:val="0000EE"/>
            <w:u w:val="single"/>
          </w:rPr>
          <w:t>2.12</w:t>
        </w:r>
      </w:hyperlink>
      <w:r>
        <w:t>;</w:t>
      </w:r>
      <w:hyperlink r:id="rId16716">
        <w:r>
          <w:rPr>
            <w:color w:val="0000EE"/>
            <w:u w:val="single"/>
          </w:rPr>
          <w:t>3.9,16</w:t>
        </w:r>
      </w:hyperlink>
      <w:r>
        <w:t xml:space="preserve">; </w:t>
      </w:r>
      <w:hyperlink r:id="rId16717">
        <w:r>
          <w:rPr>
            <w:color w:val="0000EE"/>
            <w:u w:val="single"/>
          </w:rPr>
          <w:t>4.15–16</w:t>
        </w:r>
      </w:hyperlink>
      <w:r>
        <w:t>).</w:t>
      </w:r>
    </w:p>
    <w:p>
      <w:r/>
      <w:r>
        <w:t>Mesmo que nenhuma perseguição oficial do estado estivesse acontecendo, a carta aparentemente indica que havia algo pior no horizonte (</w:t>
      </w:r>
      <w:hyperlink r:id="rId16712">
        <w:r>
          <w:rPr>
            <w:color w:val="0000EE"/>
            <w:u w:val="single"/>
          </w:rPr>
          <w:t>4.12–19</w:t>
        </w:r>
      </w:hyperlink>
      <w:r>
        <w:t>). Pedro parece sentir que a tensão presente entre os crentes e sua sociedade poderia se transformar em algo muito pior.</w:t>
      </w:r>
    </w:p>
    <w:p>
      <w:r/>
      <w:r>
        <w:t xml:space="preserve">A tradição da igreja primitiva diz que Pedro foi crucificado em Roma durante a perseguição de Nero, e não há uma boa razão para duvidar disso. Além disso, uma vez que 1 Pedro foi escrita de Roma, e uma vez que </w:t>
      </w:r>
      <w:hyperlink r:id="rId16718">
        <w:r>
          <w:rPr>
            <w:color w:val="0000EE"/>
            <w:u w:val="single"/>
          </w:rPr>
          <w:t>4.12</w:t>
        </w:r>
      </w:hyperlink>
      <w:r>
        <w:t xml:space="preserve"> e </w:t>
      </w:r>
      <w:hyperlink r:id="rId4510">
        <w:r>
          <w:rPr>
            <w:color w:val="0000EE"/>
            <w:u w:val="single"/>
          </w:rPr>
          <w:t>17</w:t>
        </w:r>
      </w:hyperlink>
      <w:r>
        <w:t xml:space="preserve"> implicam uma crise iminente como a que atingiu os cristãos em Roma em 65 d.C., podemos supor que esta carta foi escrita não muito antes de Nero começar a oprimir os cristãos em Roma. De acordo com o historiador Tácito, Nero responsabilizou os cristãos pelo incêndio de Roma, a fim de abafar o rumor de que ele mesmo havia feito isso (para que ele pudesse construir uma cidade maior). Sua perseguição implacável aos cristãos ainda não havia eclodido quando 1 Pedro foi escrita (cf. </w:t>
      </w:r>
      <w:hyperlink r:id="rId10095">
        <w:r>
          <w:rPr>
            <w:color w:val="0000EE"/>
            <w:u w:val="single"/>
          </w:rPr>
          <w:t>2.14</w:t>
        </w:r>
      </w:hyperlink>
      <w:r>
        <w:t xml:space="preserve">; </w:t>
      </w:r>
      <w:hyperlink r:id="rId16719">
        <w:r>
          <w:rPr>
            <w:color w:val="0000EE"/>
            <w:u w:val="single"/>
          </w:rPr>
          <w:t>3.13</w:t>
        </w:r>
      </w:hyperlink>
      <w:r>
        <w:t>), mas Pedro pode ter visto isso se aproximando e pode ter desejado preparar as igrejas de fora de Roma, caso este holocausto as alcançasse também. A perseguição de Nero aparentemente não afetou os cristãos nas províncias fora de Roma, mas isso não diminui o valor da carta de Pedro, porque esta lida principalmente com a maneira com a qual os cristãos devem se relacionar com sua sociedade e como eles devem responder quando os ataques e o sofrimento vierem.</w:t>
      </w:r>
    </w:p>
    <w:p>
      <w:r/>
      <w:r>
        <w:t>Se esta for uma imagem correta do pano de fundo de 1 Pedro, sua datação seria do início até meados dos anos 60, uma vez que o incêndio de Roma eclodiu em 19 de julho de 64 d.C., e a perseguição ocorreu no final daquele ano ou na primavera de 65.</w:t>
      </w:r>
    </w:p>
    <w:p>
      <w:pPr>
        <w:pStyle w:val="Heading3"/>
      </w:pPr>
      <w:r>
        <w:t>Propósito e Ensino Teológico</w:t>
      </w:r>
    </w:p>
    <w:p>
      <w:r/>
      <w:r>
        <w:t>O principal propósito de 1 Pedro é exortar os cristãos a se comportarem adequadamente dentro da comunidade dos crentes (</w:t>
      </w:r>
      <w:hyperlink r:id="rId16720">
        <w:r>
          <w:rPr>
            <w:color w:val="0000EE"/>
            <w:u w:val="single"/>
          </w:rPr>
          <w:t>3.8</w:t>
        </w:r>
      </w:hyperlink>
      <w:r>
        <w:t xml:space="preserve">; </w:t>
      </w:r>
      <w:hyperlink r:id="rId16721">
        <w:r>
          <w:rPr>
            <w:color w:val="0000EE"/>
            <w:u w:val="single"/>
          </w:rPr>
          <w:t>5.1–7</w:t>
        </w:r>
      </w:hyperlink>
      <w:r>
        <w:t>), mas também, especialmente, na sociedade não cristã (</w:t>
      </w:r>
      <w:hyperlink r:id="rId16710">
        <w:r>
          <w:rPr>
            <w:color w:val="0000EE"/>
            <w:u w:val="single"/>
          </w:rPr>
          <w:t>2.12</w:t>
        </w:r>
      </w:hyperlink>
      <w:r>
        <w:t>), testificando claramente de sua esperança em Cristo (</w:t>
      </w:r>
      <w:hyperlink r:id="rId15553">
        <w:r>
          <w:rPr>
            <w:color w:val="0000EE"/>
            <w:u w:val="single"/>
          </w:rPr>
          <w:t>3.1,15</w:t>
        </w:r>
      </w:hyperlink>
      <w:r>
        <w:t>) para a glória de Deus. A carta visa ajudar os cristãos a entender e suportar os ataques que vêm muitas vezes de relacionamentos com não cristãos (</w:t>
      </w:r>
      <w:hyperlink r:id="rId16722">
        <w:r>
          <w:rPr>
            <w:color w:val="0000EE"/>
            <w:u w:val="single"/>
          </w:rPr>
          <w:t>1.6–7</w:t>
        </w:r>
      </w:hyperlink>
      <w:r>
        <w:t xml:space="preserve">; </w:t>
      </w:r>
      <w:hyperlink r:id="rId16710">
        <w:r>
          <w:rPr>
            <w:color w:val="0000EE"/>
            <w:u w:val="single"/>
          </w:rPr>
          <w:t>2.12, 18–25</w:t>
        </w:r>
      </w:hyperlink>
      <w:r>
        <w:t xml:space="preserve">; </w:t>
      </w:r>
      <w:hyperlink r:id="rId16716">
        <w:r>
          <w:rPr>
            <w:color w:val="0000EE"/>
            <w:u w:val="single"/>
          </w:rPr>
          <w:t>3.9, 14–17</w:t>
        </w:r>
      </w:hyperlink>
      <w:r>
        <w:t xml:space="preserve">; </w:t>
      </w:r>
      <w:hyperlink r:id="rId16723">
        <w:r>
          <w:rPr>
            <w:color w:val="0000EE"/>
            <w:u w:val="single"/>
          </w:rPr>
          <w:t>4.1–5, 12–19</w:t>
        </w:r>
      </w:hyperlink>
      <w:r>
        <w:t xml:space="preserve">; </w:t>
      </w:r>
      <w:hyperlink r:id="rId16724">
        <w:r>
          <w:rPr>
            <w:color w:val="0000EE"/>
            <w:u w:val="single"/>
          </w:rPr>
          <w:t>5.8–10</w:t>
        </w:r>
      </w:hyperlink>
      <w:r>
        <w:t>).</w:t>
      </w:r>
    </w:p>
    <w:p>
      <w:r/>
      <w:r>
        <w:t>A exortação de Pedro é baseada nas boas novas da salvação de Deus através da morte, ressurreição e segunda vinda de Cristo. Deus é misericordioso (</w:t>
      </w:r>
      <w:hyperlink r:id="rId8811">
        <w:r>
          <w:rPr>
            <w:color w:val="0000EE"/>
            <w:u w:val="single"/>
          </w:rPr>
          <w:t>1.3</w:t>
        </w:r>
      </w:hyperlink>
      <w:r>
        <w:t xml:space="preserve">; </w:t>
      </w:r>
      <w:hyperlink r:id="rId3642">
        <w:r>
          <w:rPr>
            <w:color w:val="0000EE"/>
            <w:u w:val="single"/>
          </w:rPr>
          <w:t>2.10</w:t>
        </w:r>
      </w:hyperlink>
      <w:r>
        <w:t>), “o Deus de toda a graça” (</w:t>
      </w:r>
      <w:hyperlink r:id="rId16725">
        <w:r>
          <w:rPr>
            <w:color w:val="0000EE"/>
            <w:u w:val="single"/>
          </w:rPr>
          <w:t>4.10</w:t>
        </w:r>
      </w:hyperlink>
      <w:r>
        <w:t xml:space="preserve">; </w:t>
      </w:r>
      <w:hyperlink r:id="rId16705">
        <w:r>
          <w:rPr>
            <w:color w:val="0000EE"/>
            <w:u w:val="single"/>
          </w:rPr>
          <w:t>5.12</w:t>
        </w:r>
      </w:hyperlink>
      <w:r>
        <w:t>), e há esperança na revelação final da graça na vinda de Cristo (</w:t>
      </w:r>
      <w:hyperlink r:id="rId13298">
        <w:r>
          <w:rPr>
            <w:color w:val="0000EE"/>
            <w:u w:val="single"/>
          </w:rPr>
          <w:t>1.13</w:t>
        </w:r>
      </w:hyperlink>
      <w:r>
        <w:t>). Deus conheceu de antemão e determinou (</w:t>
      </w:r>
      <w:hyperlink r:id="rId16584">
        <w:r>
          <w:rPr>
            <w:color w:val="0000EE"/>
            <w:u w:val="single"/>
          </w:rPr>
          <w:t>1.2,20</w:t>
        </w:r>
      </w:hyperlink>
      <w:r>
        <w:t xml:space="preserve">; </w:t>
      </w:r>
      <w:hyperlink r:id="rId15602">
        <w:r>
          <w:rPr>
            <w:color w:val="0000EE"/>
            <w:u w:val="single"/>
          </w:rPr>
          <w:t>2.8</w:t>
        </w:r>
      </w:hyperlink>
      <w:r>
        <w:t>) um plano de redenção pelo qual criaria um povo santo para sua própria posse (</w:t>
      </w:r>
      <w:hyperlink r:id="rId5404">
        <w:r>
          <w:rPr>
            <w:color w:val="0000EE"/>
            <w:u w:val="single"/>
          </w:rPr>
          <w:t>2.9–10</w:t>
        </w:r>
      </w:hyperlink>
      <w:r>
        <w:t>). Assim, Cristo foi enviado ao mundo para realizar esta redenção por causa dos eleitos de Deus (</w:t>
      </w:r>
      <w:hyperlink r:id="rId16726">
        <w:r>
          <w:rPr>
            <w:color w:val="0000EE"/>
            <w:u w:val="single"/>
          </w:rPr>
          <w:t>1.20</w:t>
        </w:r>
      </w:hyperlink>
      <w:r>
        <w:t>). Embora ele tenha sido “escolhido e precioso” para Deus, ele foi “rejeitado pelos homens” (</w:t>
      </w:r>
      <w:hyperlink r:id="rId16626">
        <w:r>
          <w:rPr>
            <w:color w:val="0000EE"/>
            <w:u w:val="single"/>
          </w:rPr>
          <w:t>2.4</w:t>
        </w:r>
      </w:hyperlink>
      <w:r>
        <w:t xml:space="preserve">) que não creram nele (v. </w:t>
      </w:r>
      <w:hyperlink r:id="rId16727">
        <w:r>
          <w:rPr>
            <w:color w:val="0000EE"/>
            <w:u w:val="single"/>
          </w:rPr>
          <w:t>7</w:t>
        </w:r>
      </w:hyperlink>
      <w:r>
        <w:t>). Mas seus sofrimentos (</w:t>
      </w:r>
      <w:hyperlink r:id="rId6110">
        <w:r>
          <w:rPr>
            <w:color w:val="0000EE"/>
            <w:u w:val="single"/>
          </w:rPr>
          <w:t>1.11</w:t>
        </w:r>
      </w:hyperlink>
      <w:r>
        <w:t xml:space="preserve">; </w:t>
      </w:r>
      <w:hyperlink r:id="rId16704">
        <w:r>
          <w:rPr>
            <w:color w:val="0000EE"/>
            <w:u w:val="single"/>
          </w:rPr>
          <w:t>4.1,13</w:t>
        </w:r>
      </w:hyperlink>
      <w:r>
        <w:t xml:space="preserve">; </w:t>
      </w:r>
      <w:hyperlink r:id="rId1415">
        <w:r>
          <w:rPr>
            <w:color w:val="0000EE"/>
            <w:u w:val="single"/>
          </w:rPr>
          <w:t>5.1</w:t>
        </w:r>
      </w:hyperlink>
      <w:r>
        <w:t>) não eram uma tragédia sem sentido; eram por causa de seu povo (</w:t>
      </w:r>
      <w:hyperlink r:id="rId11869">
        <w:r>
          <w:rPr>
            <w:color w:val="0000EE"/>
            <w:u w:val="single"/>
          </w:rPr>
          <w:t>2.21,24</w:t>
        </w:r>
      </w:hyperlink>
      <w:r>
        <w:t xml:space="preserve">; </w:t>
      </w:r>
      <w:hyperlink r:id="rId4290">
        <w:r>
          <w:rPr>
            <w:color w:val="0000EE"/>
            <w:u w:val="single"/>
          </w:rPr>
          <w:t>3.18</w:t>
        </w:r>
      </w:hyperlink>
      <w:r>
        <w:t>), para redimi-los com seu precioso sangue de seu modo de vida vazio (</w:t>
      </w:r>
      <w:hyperlink r:id="rId8758">
        <w:r>
          <w:rPr>
            <w:color w:val="0000EE"/>
            <w:u w:val="single"/>
          </w:rPr>
          <w:t>1.18–19</w:t>
        </w:r>
      </w:hyperlink>
      <w:r>
        <w:t>).</w:t>
      </w:r>
    </w:p>
    <w:p>
      <w:r/>
      <w:r>
        <w:t>Posto à morte na carne, ele foi “vivificado pelo Espírito” (</w:t>
      </w:r>
      <w:hyperlink r:id="rId4290">
        <w:r>
          <w:rPr>
            <w:color w:val="0000EE"/>
            <w:u w:val="single"/>
          </w:rPr>
          <w:t>3.18</w:t>
        </w:r>
      </w:hyperlink>
      <w:r>
        <w:t>), ressuscitado dos mortos e glorificado (</w:t>
      </w:r>
      <w:hyperlink r:id="rId16728">
        <w:r>
          <w:rPr>
            <w:color w:val="0000EE"/>
            <w:u w:val="single"/>
          </w:rPr>
          <w:t>1.21</w:t>
        </w:r>
      </w:hyperlink>
      <w:r>
        <w:t xml:space="preserve">; </w:t>
      </w:r>
      <w:hyperlink r:id="rId16727">
        <w:r>
          <w:rPr>
            <w:color w:val="0000EE"/>
            <w:u w:val="single"/>
          </w:rPr>
          <w:t>2.7</w:t>
        </w:r>
      </w:hyperlink>
      <w:r>
        <w:t>), e possui o lugar de autoridade à direita de Deus (</w:t>
      </w:r>
      <w:hyperlink r:id="rId2673">
        <w:r>
          <w:rPr>
            <w:color w:val="0000EE"/>
            <w:u w:val="single"/>
          </w:rPr>
          <w:t>3.22</w:t>
        </w:r>
      </w:hyperlink>
      <w:r>
        <w:t>). Ainda mais, devemos tentar explicar a ligação entre as boas novas da atividade salvadora de Deus e nossa boa conduta. As boas novas devem ser proclamadas se for para mudar a vida de alguém. Esta proclamação acontece no poder do Espírito Santo de Deus (</w:t>
      </w:r>
      <w:hyperlink r:id="rId5075">
        <w:r>
          <w:rPr>
            <w:color w:val="0000EE"/>
            <w:u w:val="single"/>
          </w:rPr>
          <w:t>1.12</w:t>
        </w:r>
      </w:hyperlink>
      <w:r>
        <w:t>). Não é meramente um “noticiário”, mas é “a palavra viva e duradoura de Deus” (</w:t>
      </w:r>
      <w:hyperlink r:id="rId16729">
        <w:r>
          <w:rPr>
            <w:color w:val="0000EE"/>
            <w:u w:val="single"/>
          </w:rPr>
          <w:t>1.23</w:t>
        </w:r>
      </w:hyperlink>
      <w:r>
        <w:t xml:space="preserve">; cf. </w:t>
      </w:r>
      <w:hyperlink r:id="rId16730">
        <w:r>
          <w:rPr>
            <w:color w:val="0000EE"/>
            <w:u w:val="single"/>
          </w:rPr>
          <w:t>4.11</w:t>
        </w:r>
      </w:hyperlink>
      <w:r>
        <w:t>), pela qual Deus chama seu povo à existência e o convoca “das trevas para sua luz maravilhosa” (</w:t>
      </w:r>
      <w:hyperlink r:id="rId3643">
        <w:r>
          <w:rPr>
            <w:color w:val="0000EE"/>
            <w:u w:val="single"/>
          </w:rPr>
          <w:t>2.9</w:t>
        </w:r>
      </w:hyperlink>
      <w:r>
        <w:t xml:space="preserve">; cf. </w:t>
      </w:r>
      <w:hyperlink r:id="rId16731">
        <w:r>
          <w:rPr>
            <w:color w:val="0000EE"/>
            <w:u w:val="single"/>
          </w:rPr>
          <w:t>1.15</w:t>
        </w:r>
      </w:hyperlink>
      <w:r>
        <w:t>), “para sua glória eterna em Cristo” (</w:t>
      </w:r>
      <w:hyperlink r:id="rId16732">
        <w:r>
          <w:rPr>
            <w:color w:val="0000EE"/>
            <w:u w:val="single"/>
          </w:rPr>
          <w:t>5.10</w:t>
        </w:r>
      </w:hyperlink>
      <w:r>
        <w:t>). Esta mudança é descrita em 1 Pedro como um “novo nascimento” (</w:t>
      </w:r>
      <w:hyperlink r:id="rId8811">
        <w:r>
          <w:rPr>
            <w:color w:val="0000EE"/>
            <w:u w:val="single"/>
          </w:rPr>
          <w:t>1.3,23</w:t>
        </w:r>
      </w:hyperlink>
      <w:r>
        <w:t>); o que distingue uma pessoa recém-nascida é a “esperança viva” que ela tem em Cristo (</w:t>
      </w:r>
      <w:hyperlink r:id="rId8811">
        <w:r>
          <w:rPr>
            <w:color w:val="0000EE"/>
            <w:u w:val="single"/>
          </w:rPr>
          <w:t>1.3,13</w:t>
        </w:r>
      </w:hyperlink>
      <w:r>
        <w:t>).</w:t>
      </w:r>
    </w:p>
    <w:p>
      <w:r/>
      <w:r>
        <w:t>Esta esperança, fundamentada na ressurreição de Cristo e em seu retorno certo, transforma o comportamento (</w:t>
      </w:r>
      <w:hyperlink r:id="rId16733">
        <w:r>
          <w:rPr>
            <w:color w:val="0000EE"/>
            <w:u w:val="single"/>
          </w:rPr>
          <w:t>1.13–15</w:t>
        </w:r>
      </w:hyperlink>
      <w:r>
        <w:t>). Não teremos mais que buscar satisfação e cumprimento de maneiras prejudiciais e sem amor, mas ao confiar nossas almas a um Criador fiel (</w:t>
      </w:r>
      <w:hyperlink r:id="rId963">
        <w:r>
          <w:rPr>
            <w:color w:val="0000EE"/>
            <w:u w:val="single"/>
          </w:rPr>
          <w:t>4.19</w:t>
        </w:r>
      </w:hyperlink>
      <w:r>
        <w:t xml:space="preserve">; </w:t>
      </w:r>
      <w:hyperlink r:id="rId14155">
        <w:r>
          <w:rPr>
            <w:color w:val="0000EE"/>
            <w:u w:val="single"/>
          </w:rPr>
          <w:t>5.7</w:t>
        </w:r>
      </w:hyperlink>
      <w:r>
        <w:t>), podemos suportar o sofrimento injusto pacientemente (</w:t>
      </w:r>
      <w:hyperlink r:id="rId16734">
        <w:r>
          <w:rPr>
            <w:color w:val="0000EE"/>
            <w:u w:val="single"/>
          </w:rPr>
          <w:t>2.20</w:t>
        </w:r>
      </w:hyperlink>
      <w:r>
        <w:t>), não devolver o mal pelo mal (</w:t>
      </w:r>
      <w:hyperlink r:id="rId16716">
        <w:r>
          <w:rPr>
            <w:color w:val="0000EE"/>
            <w:u w:val="single"/>
          </w:rPr>
          <w:t>3.9</w:t>
        </w:r>
      </w:hyperlink>
      <w:r>
        <w:t>) e buscar estender a misericórdia de Deus aos outros fazendo o bem (</w:t>
      </w:r>
      <w:hyperlink r:id="rId16710">
        <w:r>
          <w:rPr>
            <w:color w:val="0000EE"/>
            <w:u w:val="single"/>
          </w:rPr>
          <w:t>2.12,15</w:t>
        </w:r>
      </w:hyperlink>
      <w:r>
        <w:t xml:space="preserve">; </w:t>
      </w:r>
      <w:hyperlink r:id="rId16735">
        <w:r>
          <w:rPr>
            <w:color w:val="0000EE"/>
            <w:u w:val="single"/>
          </w:rPr>
          <w:t>3.11,16</w:t>
        </w:r>
      </w:hyperlink>
      <w:r>
        <w:t xml:space="preserve">; </w:t>
      </w:r>
      <w:hyperlink r:id="rId963">
        <w:r>
          <w:rPr>
            <w:color w:val="0000EE"/>
            <w:u w:val="single"/>
          </w:rPr>
          <w:t>4.19</w:t>
        </w:r>
      </w:hyperlink>
      <w:r>
        <w:t>).</w:t>
      </w:r>
    </w:p>
    <w:p>
      <w:r/>
      <w:r>
        <w:t xml:space="preserve">A viva esperança cristã não nos leva </w:t>
      </w:r>
      <w:r>
        <w:rPr>
          <w:i/>
        </w:rPr>
        <w:t>para fora</w:t>
      </w:r>
      <w:r>
        <w:t xml:space="preserve"> da sociedade não cristã, mas muda nosso comportamento </w:t>
      </w:r>
      <w:r>
        <w:rPr>
          <w:i/>
        </w:rPr>
        <w:t>nela</w:t>
      </w:r>
      <w:r>
        <w:t>. Os cristãos são endereçados como cidadãos do estado (</w:t>
      </w:r>
      <w:hyperlink r:id="rId16736">
        <w:r>
          <w:rPr>
            <w:color w:val="0000EE"/>
            <w:u w:val="single"/>
          </w:rPr>
          <w:t>2.13–17</w:t>
        </w:r>
      </w:hyperlink>
      <w:r>
        <w:t xml:space="preserve">), como escravos de mestres cruéis (vv. </w:t>
      </w:r>
      <w:hyperlink r:id="rId16737">
        <w:r>
          <w:rPr>
            <w:color w:val="0000EE"/>
            <w:u w:val="single"/>
          </w:rPr>
          <w:t>18–25</w:t>
        </w:r>
      </w:hyperlink>
      <w:r>
        <w:t>) e como esposas de maridos incrédulos (</w:t>
      </w:r>
      <w:hyperlink r:id="rId16715">
        <w:r>
          <w:rPr>
            <w:color w:val="0000EE"/>
            <w:u w:val="single"/>
          </w:rPr>
          <w:t>3.1–6</w:t>
        </w:r>
      </w:hyperlink>
      <w:r>
        <w:t xml:space="preserve">). Ao viver como pessoas novas e esperançosas </w:t>
      </w:r>
      <w:r>
        <w:rPr>
          <w:i/>
        </w:rPr>
        <w:t>nas</w:t>
      </w:r>
      <w:r>
        <w:t xml:space="preserve"> instituições da sociedade, os outros veem nossas boas obras e dão glória a nosso Pai no céu (</w:t>
      </w:r>
      <w:hyperlink r:id="rId16710">
        <w:r>
          <w:rPr>
            <w:color w:val="0000EE"/>
            <w:u w:val="single"/>
          </w:rPr>
          <w:t>2.12</w:t>
        </w:r>
      </w:hyperlink>
      <w:r>
        <w:t xml:space="preserve">; cf. </w:t>
      </w:r>
      <w:hyperlink r:id="rId11850">
        <w:r>
          <w:rPr>
            <w:color w:val="0000EE"/>
            <w:u w:val="single"/>
          </w:rPr>
          <w:t>Mt 5.16</w:t>
        </w:r>
      </w:hyperlink>
      <w:r>
        <w:t>).</w:t>
      </w:r>
    </w:p>
    <w:p>
      <w:pPr>
        <w:pStyle w:val="Heading3"/>
      </w:pPr>
      <w:r>
        <w:t>Conteúdo</w:t>
      </w:r>
    </w:p>
    <w:p>
      <w:pPr>
        <w:pStyle w:val="Heading4"/>
      </w:pPr>
      <w:r>
        <w:t>1.1–2</w:t>
      </w:r>
    </w:p>
    <w:p>
      <w:r/>
      <w:r>
        <w:t>Esta seção descreve a eleição de Deus de seu povo, que muitas vezes é traduzida usando três frases preposicionais.</w:t>
      </w:r>
    </w:p>
    <w:p>
      <w:r/>
      <w:r>
        <w:t xml:space="preserve">Primeiro, é “segundo a presciência de Deus” (ARA). Isso significa mais do que o conhecimento de Deus de antemão sobre quem ele elegeria. Como em </w:t>
      </w:r>
      <w:hyperlink r:id="rId16726">
        <w:r>
          <w:rPr>
            <w:color w:val="0000EE"/>
            <w:u w:val="single"/>
          </w:rPr>
          <w:t>1.20</w:t>
        </w:r>
      </w:hyperlink>
      <w:r>
        <w:t xml:space="preserve">, a presciência provavelmente também inclui o propósito de Deus (cf. </w:t>
      </w:r>
      <w:hyperlink r:id="rId16738">
        <w:r>
          <w:rPr>
            <w:color w:val="0000EE"/>
            <w:u w:val="single"/>
          </w:rPr>
          <w:t>Am 3.2</w:t>
        </w:r>
      </w:hyperlink>
      <w:r>
        <w:t xml:space="preserve">; </w:t>
      </w:r>
      <w:hyperlink r:id="rId16739">
        <w:r>
          <w:rPr>
            <w:color w:val="0000EE"/>
            <w:u w:val="single"/>
          </w:rPr>
          <w:t>Atos 2.23</w:t>
        </w:r>
      </w:hyperlink>
      <w:r>
        <w:t xml:space="preserve">; </w:t>
      </w:r>
      <w:hyperlink r:id="rId10067">
        <w:r>
          <w:rPr>
            <w:color w:val="0000EE"/>
            <w:u w:val="single"/>
          </w:rPr>
          <w:t>Rm 8.28–30</w:t>
        </w:r>
      </w:hyperlink>
      <w:r>
        <w:t xml:space="preserve">; </w:t>
      </w:r>
      <w:hyperlink r:id="rId7911">
        <w:r>
          <w:rPr>
            <w:color w:val="0000EE"/>
            <w:u w:val="single"/>
          </w:rPr>
          <w:t>11.2</w:t>
        </w:r>
      </w:hyperlink>
      <w:r>
        <w:t xml:space="preserve">; </w:t>
      </w:r>
      <w:hyperlink r:id="rId16740">
        <w:r>
          <w:rPr>
            <w:color w:val="0000EE"/>
            <w:u w:val="single"/>
          </w:rPr>
          <w:t>1Co 8.3</w:t>
        </w:r>
      </w:hyperlink>
      <w:r>
        <w:t xml:space="preserve">; </w:t>
      </w:r>
      <w:hyperlink r:id="rId5487">
        <w:r>
          <w:rPr>
            <w:color w:val="0000EE"/>
            <w:u w:val="single"/>
          </w:rPr>
          <w:t>Gl 4.9</w:t>
        </w:r>
      </w:hyperlink>
      <w:r>
        <w:t>).</w:t>
      </w:r>
    </w:p>
    <w:p>
      <w:r/>
      <w:r>
        <w:t xml:space="preserve">Segundo, a eleição é “pela obra santificadora do Espírito” (NVI). A eleição envolve o trabalho eficaz do Espírito em fazer uma pessoa obediente ao evangelho (veja </w:t>
      </w:r>
      <w:hyperlink r:id="rId8784">
        <w:r>
          <w:rPr>
            <w:color w:val="0000EE"/>
            <w:u w:val="single"/>
          </w:rPr>
          <w:t>Rm 1.5</w:t>
        </w:r>
      </w:hyperlink>
      <w:r>
        <w:t xml:space="preserve">). Em </w:t>
      </w:r>
      <w:hyperlink r:id="rId7649">
        <w:r>
          <w:rPr>
            <w:color w:val="0000EE"/>
            <w:u w:val="single"/>
          </w:rPr>
          <w:t>Efésios 1.4</w:t>
        </w:r>
      </w:hyperlink>
      <w:r>
        <w:t xml:space="preserve"> a eleição é descrita como “antes da criação do mundo” (NTLH).</w:t>
      </w:r>
    </w:p>
    <w:p>
      <w:r/>
      <w:r>
        <w:t xml:space="preserve">Terceiro, nossa eleição é “para a obediência e a aspersão do sangue de Jesus Cristo” (ARA). O último se refere provavelmente ao efeito moral da morte de Cristo em purificar nossa consciência e nosso comportamento enquanto confiamos nele (veja </w:t>
      </w:r>
      <w:hyperlink r:id="rId16741">
        <w:r>
          <w:rPr>
            <w:color w:val="0000EE"/>
            <w:u w:val="single"/>
          </w:rPr>
          <w:t>Hb 9.13–14</w:t>
        </w:r>
      </w:hyperlink>
      <w:r>
        <w:t>).</w:t>
      </w:r>
    </w:p>
    <w:p>
      <w:r/>
      <w:r>
        <w:t xml:space="preserve">Assim, o povo eleito de Deus tem sua origem na eterna e presciência proposital de Deus; deve seu chamado e conversão à obra do Espírito Santo; e tem como objetivo nesta vida a obediência a Deus (cf. </w:t>
      </w:r>
      <w:hyperlink r:id="rId15549">
        <w:r>
          <w:rPr>
            <w:color w:val="0000EE"/>
            <w:u w:val="single"/>
          </w:rPr>
          <w:t>1Pe 1.14</w:t>
        </w:r>
      </w:hyperlink>
      <w:r>
        <w:t>).</w:t>
      </w:r>
    </w:p>
    <w:p>
      <w:pPr>
        <w:pStyle w:val="Heading4"/>
      </w:pPr>
      <w:r>
        <w:t>1.3–12</w:t>
      </w:r>
    </w:p>
    <w:p>
      <w:r/>
      <w:r>
        <w:t xml:space="preserve">Esta seção descreve como a salvação é tremendamente valiosa — uma vasta herança, absolutamente perfeita, nunca diminuindo em beleza ou valor (v. </w:t>
      </w:r>
      <w:hyperlink r:id="rId4802">
        <w:r>
          <w:rPr>
            <w:color w:val="0000EE"/>
            <w:u w:val="single"/>
          </w:rPr>
          <w:t>4</w:t>
        </w:r>
      </w:hyperlink>
      <w:r>
        <w:t xml:space="preserve">), o objetivo de nossa fé (v. </w:t>
      </w:r>
      <w:hyperlink r:id="rId961">
        <w:r>
          <w:rPr>
            <w:color w:val="0000EE"/>
            <w:u w:val="single"/>
          </w:rPr>
          <w:t>9</w:t>
        </w:r>
      </w:hyperlink>
      <w:r>
        <w:t xml:space="preserve">), a base da alegria inexprimível (v. </w:t>
      </w:r>
      <w:hyperlink r:id="rId16742">
        <w:r>
          <w:rPr>
            <w:color w:val="0000EE"/>
            <w:u w:val="single"/>
          </w:rPr>
          <w:t>6–8</w:t>
        </w:r>
      </w:hyperlink>
      <w:r>
        <w:t xml:space="preserve">). Procurada e desejada pelos santos profetas da antiguidade, é tão surpreendente que até mesmo os anjos desejam observá-la (vv. </w:t>
      </w:r>
      <w:hyperlink r:id="rId10128">
        <w:r>
          <w:rPr>
            <w:color w:val="0000EE"/>
            <w:u w:val="single"/>
          </w:rPr>
          <w:t>10–12</w:t>
        </w:r>
      </w:hyperlink>
      <w:r>
        <w:t>).</w:t>
      </w:r>
    </w:p>
    <w:p>
      <w:r/>
      <w:r>
        <w:t xml:space="preserve">Tem origem na grande misericórdia de Deus e foi disponibilizada às pessoas através da ressurreição de Jesus dos mortos (v. </w:t>
      </w:r>
      <w:hyperlink r:id="rId8811">
        <w:r>
          <w:rPr>
            <w:color w:val="0000EE"/>
            <w:u w:val="single"/>
          </w:rPr>
          <w:t>3</w:t>
        </w:r>
      </w:hyperlink>
      <w:r>
        <w:t xml:space="preserve">). Mesmo que uma herança </w:t>
      </w:r>
      <w:r>
        <w:rPr>
          <w:i/>
        </w:rPr>
        <w:t>futura</w:t>
      </w:r>
      <w:r>
        <w:t xml:space="preserve"> esteja pronta para ser revelada nos últimos tempos (v. </w:t>
      </w:r>
      <w:hyperlink r:id="rId16743">
        <w:r>
          <w:rPr>
            <w:color w:val="0000EE"/>
            <w:u w:val="single"/>
          </w:rPr>
          <w:t>5</w:t>
        </w:r>
      </w:hyperlink>
      <w:r>
        <w:t xml:space="preserve">), ela oferece muitos benefícios espirituais </w:t>
      </w:r>
      <w:r>
        <w:rPr>
          <w:i/>
        </w:rPr>
        <w:t>presentes</w:t>
      </w:r>
      <w:r>
        <w:t xml:space="preserve"> para aqueles que confiam em Cristo. Um deles é a promessa do poder presente de Deus de fazer com que o crente persevere na fé (v. </w:t>
      </w:r>
      <w:hyperlink r:id="rId16743">
        <w:r>
          <w:rPr>
            <w:color w:val="0000EE"/>
            <w:u w:val="single"/>
          </w:rPr>
          <w:t>5</w:t>
        </w:r>
      </w:hyperlink>
      <w:r>
        <w:t xml:space="preserve">). Isso não significa que os cristãos escapem da adversidade; pode ser necessário que eles sofram (v. </w:t>
      </w:r>
      <w:hyperlink r:id="rId16744">
        <w:r>
          <w:rPr>
            <w:color w:val="0000EE"/>
            <w:u w:val="single"/>
          </w:rPr>
          <w:t>6</w:t>
        </w:r>
      </w:hyperlink>
      <w:r>
        <w:t xml:space="preserve">). Se assim for, eles não devem murmurar, mas ver o sofrimento como um fogo refinador para seu bem, pois queima as falsas dependências e deixa apenas o ouro puro de uma fé genuína (v. </w:t>
      </w:r>
      <w:hyperlink r:id="rId9624">
        <w:r>
          <w:rPr>
            <w:color w:val="0000EE"/>
            <w:u w:val="single"/>
          </w:rPr>
          <w:t>7</w:t>
        </w:r>
      </w:hyperlink>
      <w:r>
        <w:t>). Então o sofrimento pode ser uma preparação importante para a experiência completa da salvação, uma vez que é apenas a fé que importará no final.</w:t>
      </w:r>
    </w:p>
    <w:p>
      <w:r/>
      <w:r>
        <w:t xml:space="preserve">A fé não é a mesma coisa que a visão, pois os crentes nunca viram Jesus, mas confiam nele e o amam (v. </w:t>
      </w:r>
      <w:hyperlink r:id="rId16745">
        <w:r>
          <w:rPr>
            <w:color w:val="0000EE"/>
            <w:u w:val="single"/>
          </w:rPr>
          <w:t>8</w:t>
        </w:r>
      </w:hyperlink>
      <w:r>
        <w:t>). Há bons motivos para ter esperança (</w:t>
      </w:r>
      <w:hyperlink r:id="rId16746">
        <w:r>
          <w:rPr>
            <w:color w:val="0000EE"/>
            <w:u w:val="single"/>
          </w:rPr>
          <w:t>3.15</w:t>
        </w:r>
      </w:hyperlink>
      <w:r>
        <w:t>), fundados principalmente na ressurreição de Jesus (</w:t>
      </w:r>
      <w:hyperlink r:id="rId8811">
        <w:r>
          <w:rPr>
            <w:color w:val="0000EE"/>
            <w:u w:val="single"/>
          </w:rPr>
          <w:t>1.3</w:t>
        </w:r>
      </w:hyperlink>
      <w:r>
        <w:t>) — um evento histórico real.</w:t>
      </w:r>
    </w:p>
    <w:p>
      <w:pPr>
        <w:pStyle w:val="Heading4"/>
      </w:pPr>
      <w:r>
        <w:t>1.13–25</w:t>
      </w:r>
    </w:p>
    <w:p>
      <w:r/>
      <w:r>
        <w:t xml:space="preserve">Pedro agora dá uma ordem: esperem plenamente na graça que vem a vocês na revelação de Cristo (v. </w:t>
      </w:r>
      <w:hyperlink r:id="rId13298">
        <w:r>
          <w:rPr>
            <w:color w:val="0000EE"/>
            <w:u w:val="single"/>
          </w:rPr>
          <w:t>13</w:t>
        </w:r>
      </w:hyperlink>
      <w:r>
        <w:t xml:space="preserve">), e vivam uma nova vida de obediência a Deus (v. </w:t>
      </w:r>
      <w:hyperlink r:id="rId6880">
        <w:r>
          <w:rPr>
            <w:color w:val="0000EE"/>
            <w:u w:val="single"/>
          </w:rPr>
          <w:t>14–15</w:t>
        </w:r>
      </w:hyperlink>
      <w:r>
        <w:t xml:space="preserve">). A esperança é um desejo intenso por algo e uma confiança de que isto verdadeiramente acontecerá. Então Pedro estava ordenando às igrejas que </w:t>
      </w:r>
      <w:r>
        <w:rPr>
          <w:i/>
        </w:rPr>
        <w:t>desejassem</w:t>
      </w:r>
      <w:r>
        <w:t xml:space="preserve"> a Cristo fortemente e que tivessem certeza de sua glória e sua vinda. Assim, os crentes devem usar suas mentes e se manter lúcidos (sóbrios) sobre o que é verdadeiramente valioso na vida (v. </w:t>
      </w:r>
      <w:hyperlink r:id="rId13298">
        <w:r>
          <w:rPr>
            <w:color w:val="0000EE"/>
            <w:u w:val="single"/>
          </w:rPr>
          <w:t>13</w:t>
        </w:r>
      </w:hyperlink>
      <w:r>
        <w:t xml:space="preserve">). A plena esperança em Cristo sempre resulta em santidade de vida. Se nos deleitarmos em ser filhos de Deus (v. </w:t>
      </w:r>
      <w:hyperlink r:id="rId15549">
        <w:r>
          <w:rPr>
            <w:color w:val="0000EE"/>
            <w:u w:val="single"/>
          </w:rPr>
          <w:t>14</w:t>
        </w:r>
      </w:hyperlink>
      <w:r>
        <w:t xml:space="preserve">), certamente imitaremos nosso Pai (v. </w:t>
      </w:r>
      <w:hyperlink r:id="rId16747">
        <w:r>
          <w:rPr>
            <w:color w:val="0000EE"/>
            <w:u w:val="single"/>
          </w:rPr>
          <w:t>15–16</w:t>
        </w:r>
      </w:hyperlink>
      <w:r>
        <w:t xml:space="preserve">; cf. </w:t>
      </w:r>
      <w:hyperlink r:id="rId5370">
        <w:r>
          <w:rPr>
            <w:color w:val="0000EE"/>
            <w:u w:val="single"/>
          </w:rPr>
          <w:t>Lv 19.2</w:t>
        </w:r>
      </w:hyperlink>
      <w:r>
        <w:t>).</w:t>
      </w:r>
    </w:p>
    <w:p>
      <w:r/>
      <w:r>
        <w:t>Mas há outra motivação para uma boa conduta: temor a Deus, aquele que julga cada pessoa de acordo com suas obras (</w:t>
      </w:r>
      <w:hyperlink r:id="rId16706">
        <w:r>
          <w:rPr>
            <w:color w:val="0000EE"/>
            <w:u w:val="single"/>
          </w:rPr>
          <w:t>1Pe 1.17</w:t>
        </w:r>
      </w:hyperlink>
      <w:r>
        <w:t xml:space="preserve">). Enquanto Pedro motiva com temor, ele também nos assegura que fomos redimidos de nossa conduta fútil com o precioso sangue de Cristo (vv. </w:t>
      </w:r>
      <w:hyperlink r:id="rId8758">
        <w:r>
          <w:rPr>
            <w:color w:val="0000EE"/>
            <w:u w:val="single"/>
          </w:rPr>
          <w:t>18–19</w:t>
        </w:r>
      </w:hyperlink>
      <w:r>
        <w:t>). Somos salvos mediante a fé, não por boas obras. Provavelmente Pedro quer nos exortar para que venhamos a temer o desprazer de Deus com a nossa falta de fé. Quando a carta diz que ele julgará nossas obras, provavelmente significa que ele buscará evidências de conduta obediente e amorosa, que é o sinal claro de nossa esperança e fé. Se tivermos falta disso, o medo de seu julgamento deve nos levar de volta para a misericórdia de Deus, onde podemos ter paz e alegria, que, por sua vez, levam ao amor.</w:t>
      </w:r>
    </w:p>
    <w:p>
      <w:r/>
      <w:r>
        <w:t xml:space="preserve">Este amor é exigido dos crentes no verso </w:t>
      </w:r>
      <w:hyperlink r:id="rId5302">
        <w:r>
          <w:rPr>
            <w:color w:val="0000EE"/>
            <w:u w:val="single"/>
          </w:rPr>
          <w:t>22</w:t>
        </w:r>
      </w:hyperlink>
      <w:r>
        <w:t xml:space="preserve">. A esperança não é mencionada nos versos </w:t>
      </w:r>
      <w:hyperlink r:id="rId16748">
        <w:r>
          <w:rPr>
            <w:color w:val="0000EE"/>
            <w:u w:val="single"/>
          </w:rPr>
          <w:t>22–25</w:t>
        </w:r>
      </w:hyperlink>
      <w:r>
        <w:t xml:space="preserve">, mas está implícita quando Pedro diz que nascemos de novo através da </w:t>
      </w:r>
      <w:r>
        <w:rPr>
          <w:i/>
        </w:rPr>
        <w:t>permanente</w:t>
      </w:r>
      <w:r>
        <w:t xml:space="preserve"> Palavra de Deus. Considerando que “a palavra do Senhor permanece para sempre” (v. </w:t>
      </w:r>
      <w:hyperlink r:id="rId16749">
        <w:r>
          <w:rPr>
            <w:color w:val="0000EE"/>
            <w:u w:val="single"/>
          </w:rPr>
          <w:t>25</w:t>
        </w:r>
      </w:hyperlink>
      <w:r>
        <w:t xml:space="preserve"> = </w:t>
      </w:r>
      <w:hyperlink r:id="rId16750">
        <w:r>
          <w:rPr>
            <w:color w:val="0000EE"/>
            <w:u w:val="single"/>
          </w:rPr>
          <w:t>Is 40.6–8</w:t>
        </w:r>
      </w:hyperlink>
      <w:r>
        <w:t>), aqueles cujas vidas dependem dela permanecerão para sempre.</w:t>
      </w:r>
    </w:p>
    <w:p>
      <w:pPr>
        <w:pStyle w:val="Heading4"/>
      </w:pPr>
      <w:r>
        <w:t>2.1–10</w:t>
      </w:r>
    </w:p>
    <w:p>
      <w:r/>
      <w:r>
        <w:t>Esta passagem está cheia de citações e imagens do AT, como mostrado no seguinte gráfico:</w:t>
      </w:r>
    </w:p>
    <w:p>
      <w:r/>
      <w:r>
        <w:t xml:space="preserve">Os versos </w:t>
      </w:r>
      <w:hyperlink r:id="rId3643">
        <w:r>
          <w:rPr>
            <w:color w:val="0000EE"/>
            <w:u w:val="single"/>
          </w:rPr>
          <w:t>9</w:t>
        </w:r>
      </w:hyperlink>
      <w:r>
        <w:t xml:space="preserve"> e </w:t>
      </w:r>
      <w:hyperlink r:id="rId3642">
        <w:r>
          <w:rPr>
            <w:color w:val="0000EE"/>
            <w:u w:val="single"/>
          </w:rPr>
          <w:t>10</w:t>
        </w:r>
      </w:hyperlink>
      <w:r>
        <w:t xml:space="preserve"> indicam que Pedro considerava a igreja cristã um novo Israel. Ele provavelmente via a experiência da igreja no mundo como a de um </w:t>
      </w:r>
      <w:r>
        <w:rPr>
          <w:i/>
        </w:rPr>
        <w:t>exílio</w:t>
      </w:r>
      <w:r>
        <w:t>, semelhante aos judeus no exílio babilônico (</w:t>
      </w:r>
      <w:hyperlink r:id="rId2751">
        <w:r>
          <w:rPr>
            <w:color w:val="0000EE"/>
            <w:u w:val="single"/>
          </w:rPr>
          <w:t>1.1,17</w:t>
        </w:r>
      </w:hyperlink>
      <w:r>
        <w:t xml:space="preserve">; </w:t>
      </w:r>
      <w:hyperlink r:id="rId8590">
        <w:r>
          <w:rPr>
            <w:color w:val="0000EE"/>
            <w:u w:val="single"/>
          </w:rPr>
          <w:t>2.11</w:t>
        </w:r>
      </w:hyperlink>
      <w:r>
        <w:t xml:space="preserve">), e considerava a conversão como uma espécie de </w:t>
      </w:r>
      <w:r>
        <w:rPr>
          <w:i/>
        </w:rPr>
        <w:t>êxodo</w:t>
      </w:r>
      <w:r>
        <w:t xml:space="preserve"> das trevas de uma antiga vida fútil para a luz de Deus, assim como o êxodo judaico do Egito.</w:t>
      </w:r>
    </w:p>
    <w:p>
      <w:r/>
      <w:r>
        <w:t xml:space="preserve">Os versos </w:t>
      </w:r>
      <w:hyperlink r:id="rId3598">
        <w:r>
          <w:rPr>
            <w:color w:val="0000EE"/>
            <w:u w:val="single"/>
          </w:rPr>
          <w:t>6–8</w:t>
        </w:r>
      </w:hyperlink>
      <w:r>
        <w:t xml:space="preserve"> mostram que Jesus é uma joia preciosa para alguns, mas uma pedra de tropeço para os incrédulos. Por trás disso está a predestinação inescrutável de Deus (v. </w:t>
      </w:r>
      <w:hyperlink r:id="rId15602">
        <w:r>
          <w:rPr>
            <w:color w:val="0000EE"/>
            <w:u w:val="single"/>
          </w:rPr>
          <w:t>8</w:t>
        </w:r>
      </w:hyperlink>
      <w:r>
        <w:t xml:space="preserve">). Aqueles que confiam nele são escolhidos (v. </w:t>
      </w:r>
      <w:hyperlink r:id="rId3643">
        <w:r>
          <w:rPr>
            <w:color w:val="0000EE"/>
            <w:u w:val="single"/>
          </w:rPr>
          <w:t>9</w:t>
        </w:r>
      </w:hyperlink>
      <w:r>
        <w:t xml:space="preserve">; cf. </w:t>
      </w:r>
      <w:hyperlink r:id="rId2751">
        <w:r>
          <w:rPr>
            <w:color w:val="0000EE"/>
            <w:u w:val="single"/>
          </w:rPr>
          <w:t>1.1</w:t>
        </w:r>
      </w:hyperlink>
      <w:r>
        <w:t xml:space="preserve">) como um sacerdócio real (veja abaixo em </w:t>
      </w:r>
      <w:hyperlink r:id="rId4509">
        <w:r>
          <w:rPr>
            <w:color w:val="0000EE"/>
            <w:u w:val="single"/>
          </w:rPr>
          <w:t>2.5</w:t>
        </w:r>
      </w:hyperlink>
      <w:r>
        <w:t xml:space="preserve">), como uma nação que tem o próprio caráter santo de Deus (cf. </w:t>
      </w:r>
      <w:hyperlink r:id="rId6880">
        <w:r>
          <w:rPr>
            <w:color w:val="0000EE"/>
            <w:u w:val="single"/>
          </w:rPr>
          <w:t>1.14–15</w:t>
        </w:r>
      </w:hyperlink>
      <w:r>
        <w:t xml:space="preserve">) e como um povo amado de posse exclusiva de Deus. Tudo isso não é devido ao nosso mérito, mas à misericórdia de Deus (v. </w:t>
      </w:r>
      <w:hyperlink r:id="rId3642">
        <w:r>
          <w:rPr>
            <w:color w:val="0000EE"/>
            <w:u w:val="single"/>
          </w:rPr>
          <w:t>10</w:t>
        </w:r>
      </w:hyperlink>
      <w:r>
        <w:t>).</w:t>
      </w:r>
    </w:p>
    <w:p>
      <w:r/>
      <w:r>
        <w:t xml:space="preserve">Os versos </w:t>
      </w:r>
      <w:hyperlink r:id="rId16751">
        <w:r>
          <w:rPr>
            <w:color w:val="0000EE"/>
            <w:u w:val="single"/>
          </w:rPr>
          <w:t>1–3</w:t>
        </w:r>
      </w:hyperlink>
      <w:r>
        <w:t xml:space="preserve"> são novamente uma ordem — desejar a bondade de Cristo que provamos através do leite da Palavra e assim crescer mais forte na fé ou esperar plenamente na graça de Cristo.</w:t>
      </w:r>
    </w:p>
    <w:p>
      <w:r/>
      <w:r>
        <w:t xml:space="preserve">Os versos </w:t>
      </w:r>
      <w:hyperlink r:id="rId3624">
        <w:r>
          <w:rPr>
            <w:color w:val="0000EE"/>
            <w:u w:val="single"/>
          </w:rPr>
          <w:t>4–5</w:t>
        </w:r>
      </w:hyperlink>
      <w:r>
        <w:t xml:space="preserve"> retratam uma metáfora complexa e mista que retrata Cristo como uma pedra viva e a igreja tanto como uma casa espiritual de pedras quanto como um sacerdócio. A igreja é, por um lado, um lugar de habitação para Deus (cf. </w:t>
      </w:r>
      <w:hyperlink r:id="rId16752">
        <w:r>
          <w:rPr>
            <w:color w:val="0000EE"/>
            <w:u w:val="single"/>
          </w:rPr>
          <w:t>1Co 3.16</w:t>
        </w:r>
      </w:hyperlink>
      <w:r>
        <w:t xml:space="preserve">; </w:t>
      </w:r>
      <w:hyperlink r:id="rId16753">
        <w:r>
          <w:rPr>
            <w:color w:val="0000EE"/>
            <w:u w:val="single"/>
          </w:rPr>
          <w:t>Ef 2.21–22</w:t>
        </w:r>
      </w:hyperlink>
      <w:r>
        <w:t xml:space="preserve">), e, por outro, um grupo de ministros nesta habitação que oferecem a Deus os sacrifícios de obediência (cf. </w:t>
      </w:r>
      <w:hyperlink r:id="rId5433">
        <w:r>
          <w:rPr>
            <w:color w:val="0000EE"/>
            <w:u w:val="single"/>
          </w:rPr>
          <w:t>Rm 12.1–2</w:t>
        </w:r>
      </w:hyperlink>
      <w:r>
        <w:t>).</w:t>
      </w:r>
    </w:p>
    <w:p>
      <w:pPr>
        <w:pStyle w:val="Heading4"/>
      </w:pPr>
      <w:r>
        <w:t>2.11–12</w:t>
      </w:r>
    </w:p>
    <w:p>
      <w:r/>
      <w:r>
        <w:t xml:space="preserve">Este é o interesse central da carta. Uma vez que os cristãos são como exilados neste mundo, eles não devem compartilhar os mesmos desejos que os incrédulos. Tais desejos carnais são efêmeros e destroem as suas almas. Em vez disso, o novo povo de Deus deve se dedicar às boas obras, mesmo que as pessoas possam difamá-las, pois isso, por fim, acabará fazendo com que as pessoas glorifiquem a Deus. A sequência, novamente, retrata desejos alterados, comportamento alterado e Deus sendo glorificado (cf. </w:t>
      </w:r>
      <w:hyperlink r:id="rId11850">
        <w:r>
          <w:rPr>
            <w:color w:val="0000EE"/>
            <w:u w:val="single"/>
          </w:rPr>
          <w:t>Mt 5.16</w:t>
        </w:r>
      </w:hyperlink>
      <w:r>
        <w:t>).</w:t>
      </w:r>
    </w:p>
    <w:p>
      <w:pPr>
        <w:pStyle w:val="Heading4"/>
      </w:pPr>
      <w:r>
        <w:t>2.13–17</w:t>
      </w:r>
    </w:p>
    <w:p>
      <w:r/>
      <w:r>
        <w:t xml:space="preserve">Os cristãos devem mostrar o devido respeito a todos (vv. </w:t>
      </w:r>
      <w:hyperlink r:id="rId15558">
        <w:r>
          <w:rPr>
            <w:color w:val="0000EE"/>
            <w:u w:val="single"/>
          </w:rPr>
          <w:t>13–14</w:t>
        </w:r>
      </w:hyperlink>
      <w:r>
        <w:t xml:space="preserve">). O fato de que Cristo morreu pelos pecadores é uma verdade tão humilhante que proíbe os cristãos de serem arrogantes ou de pensar que eles não precisam amar os outros (cf. </w:t>
      </w:r>
      <w:hyperlink r:id="rId1173">
        <w:r>
          <w:rPr>
            <w:color w:val="0000EE"/>
            <w:u w:val="single"/>
          </w:rPr>
          <w:t>Rm 13.8–10</w:t>
        </w:r>
      </w:hyperlink>
      <w:r>
        <w:t>). Em vez disso, eles são exortados a considerar os outros como maiores do que eles mesmos (</w:t>
      </w:r>
      <w:hyperlink r:id="rId16754">
        <w:r>
          <w:rPr>
            <w:color w:val="0000EE"/>
            <w:u w:val="single"/>
          </w:rPr>
          <w:t>Mc 10.44</w:t>
        </w:r>
      </w:hyperlink>
      <w:r>
        <w:t xml:space="preserve">; </w:t>
      </w:r>
      <w:hyperlink r:id="rId16755">
        <w:r>
          <w:rPr>
            <w:color w:val="0000EE"/>
            <w:u w:val="single"/>
          </w:rPr>
          <w:t>Fp 2.3</w:t>
        </w:r>
      </w:hyperlink>
      <w:r>
        <w:t>).</w:t>
      </w:r>
    </w:p>
    <w:p>
      <w:r/>
      <w:r>
        <w:t>Pedro declara, então, que os crentes devem estar sujeitos ao rei e às autoridades civis sob ele. Eles devem se empenhar em fazer o bem com o propósito de que aqueles que dizem que o cristianismo não faz diferença na vida sejam silenciados.</w:t>
      </w:r>
    </w:p>
    <w:p>
      <w:r/>
      <w:r>
        <w:t>Todavia, a sujeição ao estado não é absoluta, pois os cristãos são, em primeiro lugar, escravos de Deus. É por esta liberdade que eles podem reconhecer a propriedade de um estado orientado por Deus para preservar a vida ordenada. Porque os cristãos servem a Deus em primeiro lugar, e o rei é meramente uma criatura de Deus, a sujeição a ele é uma sujeição por amor ao Senhor, não por amor ao rei.</w:t>
      </w:r>
    </w:p>
    <w:p>
      <w:pPr>
        <w:pStyle w:val="Heading4"/>
      </w:pPr>
      <w:r>
        <w:t>2.18–25</w:t>
      </w:r>
    </w:p>
    <w:p>
      <w:r/>
      <w:r>
        <w:t xml:space="preserve">Os escravos cristãos têm consciências orientadas e moldadas por Deus (v. </w:t>
      </w:r>
      <w:hyperlink r:id="rId16756">
        <w:r>
          <w:rPr>
            <w:color w:val="0000EE"/>
            <w:u w:val="single"/>
          </w:rPr>
          <w:t>19</w:t>
        </w:r>
      </w:hyperlink>
      <w:r>
        <w:t xml:space="preserve">). Eles também experimentaram sua graça e são aqui instruídos a confiar nela suportando pacientemente o sofrimento injusto. Eles não devem contra-atacar: eles foram chamados para viver desta maneira, pois Jesus sofreu </w:t>
      </w:r>
      <w:r>
        <w:rPr>
          <w:i/>
        </w:rPr>
        <w:t>por eles</w:t>
      </w:r>
      <w:r>
        <w:t xml:space="preserve"> e porque seu sofrimento serviu </w:t>
      </w:r>
      <w:r>
        <w:rPr>
          <w:i/>
        </w:rPr>
        <w:t>como um exemplo.</w:t>
      </w:r>
      <w:r>
        <w:t xml:space="preserve"> Os versos </w:t>
      </w:r>
      <w:hyperlink r:id="rId16757">
        <w:r>
          <w:rPr>
            <w:color w:val="0000EE"/>
            <w:u w:val="single"/>
          </w:rPr>
          <w:t>21–23</w:t>
        </w:r>
      </w:hyperlink>
      <w:r>
        <w:t xml:space="preserve"> descrevem o exemplo. Os versos </w:t>
      </w:r>
      <w:hyperlink r:id="rId16758">
        <w:r>
          <w:rPr>
            <w:color w:val="0000EE"/>
            <w:u w:val="single"/>
          </w:rPr>
          <w:t>24–25</w:t>
        </w:r>
      </w:hyperlink>
      <w:r>
        <w:t xml:space="preserve"> descrevem a redenção de Cristo e seus efeitos. Ou seja, Jesus não apenas modelou a vida de não retaliação, mas também permitiu que seus seguidores vivessem desta maneira morrendo </w:t>
      </w:r>
      <w:r>
        <w:rPr>
          <w:i/>
        </w:rPr>
        <w:t>para</w:t>
      </w:r>
      <w:r>
        <w:t xml:space="preserve"> si mesmos a fim de que pudessem viver para a justiça (v. </w:t>
      </w:r>
      <w:hyperlink r:id="rId5989">
        <w:r>
          <w:rPr>
            <w:color w:val="0000EE"/>
            <w:u w:val="single"/>
          </w:rPr>
          <w:t>24</w:t>
        </w:r>
      </w:hyperlink>
      <w:r>
        <w:t xml:space="preserve">). Apenas quando os cristãos estão seguros e contentes na esperança que Cristo alcançou </w:t>
      </w:r>
      <w:r>
        <w:rPr>
          <w:i/>
        </w:rPr>
        <w:t>para eles</w:t>
      </w:r>
      <w:r>
        <w:t xml:space="preserve">, eles podem finalmente ter a liberdade e inclinação para seguir seu precioso exemplo. Quando os crentes são tentados a se vingar com suas próprias mãos, eles devem se lembrar de que até mesmo Jesus confiou sua própria vida a Deus, que julga justamente (v. </w:t>
      </w:r>
      <w:hyperlink r:id="rId16703">
        <w:r>
          <w:rPr>
            <w:color w:val="0000EE"/>
            <w:u w:val="single"/>
          </w:rPr>
          <w:t>23</w:t>
        </w:r>
      </w:hyperlink>
      <w:r>
        <w:t xml:space="preserve">; cf. </w:t>
      </w:r>
      <w:hyperlink r:id="rId16759">
        <w:r>
          <w:rPr>
            <w:color w:val="0000EE"/>
            <w:u w:val="single"/>
          </w:rPr>
          <w:t>Rm 12.19–20</w:t>
        </w:r>
      </w:hyperlink>
      <w:r>
        <w:t>).</w:t>
      </w:r>
    </w:p>
    <w:p>
      <w:pPr>
        <w:pStyle w:val="Heading4"/>
      </w:pPr>
      <w:r>
        <w:t>3.1–7</w:t>
      </w:r>
    </w:p>
    <w:p>
      <w:r/>
      <w:r>
        <w:t xml:space="preserve">Aqui se encontram seis versos para as esposas e um para os maridos. Como uma esposa crente conquistará seu marido incrédulo (v. </w:t>
      </w:r>
      <w:hyperlink r:id="rId15553">
        <w:r>
          <w:rPr>
            <w:color w:val="0000EE"/>
            <w:u w:val="single"/>
          </w:rPr>
          <w:t>1</w:t>
        </w:r>
      </w:hyperlink>
      <w:r>
        <w:t xml:space="preserve">)? Pedro adverte contra a predisposição de tornar o corpo mais atraente (v. </w:t>
      </w:r>
      <w:hyperlink r:id="rId3925">
        <w:r>
          <w:rPr>
            <w:color w:val="0000EE"/>
            <w:u w:val="single"/>
          </w:rPr>
          <w:t>3</w:t>
        </w:r>
      </w:hyperlink>
      <w:r>
        <w:t xml:space="preserve">). Em vez disso, ele enfatiza o adorno do coração com um espírito manso e tranquilo (v. </w:t>
      </w:r>
      <w:hyperlink r:id="rId5702">
        <w:r>
          <w:rPr>
            <w:color w:val="0000EE"/>
            <w:u w:val="single"/>
          </w:rPr>
          <w:t>4</w:t>
        </w:r>
      </w:hyperlink>
      <w:r>
        <w:t xml:space="preserve">), acompanhado de uma conduta pura e amorosa (v. </w:t>
      </w:r>
      <w:hyperlink r:id="rId16760">
        <w:r>
          <w:rPr>
            <w:color w:val="0000EE"/>
            <w:u w:val="single"/>
          </w:rPr>
          <w:t>2</w:t>
        </w:r>
      </w:hyperlink>
      <w:r>
        <w:t xml:space="preserve">), que pode ganhar o marido “sem precisar falar” (v. </w:t>
      </w:r>
      <w:hyperlink r:id="rId15553">
        <w:r>
          <w:rPr>
            <w:color w:val="0000EE"/>
            <w:u w:val="single"/>
          </w:rPr>
          <w:t>1</w:t>
        </w:r>
      </w:hyperlink>
      <w:r>
        <w:t xml:space="preserve">). Este não é um chamado para uma subserviência irracional, mas para o equilíbrio, para um serviço livre e confiante no amor. A esposa não deve ter medo de um marido abusivo (v. </w:t>
      </w:r>
      <w:hyperlink r:id="rId16761">
        <w:r>
          <w:rPr>
            <w:color w:val="0000EE"/>
            <w:u w:val="single"/>
          </w:rPr>
          <w:t>6</w:t>
        </w:r>
      </w:hyperlink>
      <w:r>
        <w:t xml:space="preserve">). Mas como? Seguindo o exemplo de Sara de </w:t>
      </w:r>
      <w:r>
        <w:rPr>
          <w:i/>
        </w:rPr>
        <w:t>esperar</w:t>
      </w:r>
      <w:r>
        <w:t xml:space="preserve"> em Deus (v. </w:t>
      </w:r>
      <w:hyperlink r:id="rId16762">
        <w:r>
          <w:rPr>
            <w:color w:val="0000EE"/>
            <w:u w:val="single"/>
          </w:rPr>
          <w:t>5</w:t>
        </w:r>
      </w:hyperlink>
      <w:r>
        <w:t>). Então é dito novamente que a esperança transforma a vida e permite que os crentes sejam sujeitos aos outros. A esposa está ligada primeiramente ao Senhor e apenas secundariamente a seu marido. Assim como os escravos, a esposa cristã usará sua consciência orientada por Deus (</w:t>
      </w:r>
      <w:hyperlink r:id="rId12992">
        <w:r>
          <w:rPr>
            <w:color w:val="0000EE"/>
            <w:u w:val="single"/>
          </w:rPr>
          <w:t>2.16</w:t>
        </w:r>
      </w:hyperlink>
      <w:r>
        <w:t>) para decidir em que momentos, por amor a Cristo, ela não poderá seguir a liderança de seu marido.</w:t>
      </w:r>
    </w:p>
    <w:p>
      <w:r/>
      <w:r>
        <w:t xml:space="preserve">Os maridos são admoestados no verso </w:t>
      </w:r>
      <w:hyperlink r:id="rId10726">
        <w:r>
          <w:rPr>
            <w:color w:val="0000EE"/>
            <w:u w:val="single"/>
          </w:rPr>
          <w:t>7</w:t>
        </w:r>
      </w:hyperlink>
      <w:r>
        <w:t xml:space="preserve"> a fazer com que seus relacionamentos com suas esposas esteja em conformidade com a verdade natural e revelada. A verdade </w:t>
      </w:r>
      <w:r>
        <w:rPr>
          <w:i/>
        </w:rPr>
        <w:t>natural</w:t>
      </w:r>
      <w:r>
        <w:t xml:space="preserve"> é que as mulheres são fisicamente mais fracas. Isso não significa que eles são inferiores mental ou emocionalmente. É uma declaração simples de um fato observado: os corpos das mulheres não são tão fortes quanto os dos homens. Em uma cultura sem todos os tipos de dispositivos automáticos, a força física era muito mais crucial para a sobrevivência e conforto do que é hoje. Então o homem é exortado a usar sua força superior para o bem de sua esposa. A verdade </w:t>
      </w:r>
      <w:r>
        <w:rPr>
          <w:i/>
        </w:rPr>
        <w:t>revelada</w:t>
      </w:r>
      <w:r>
        <w:t xml:space="preserve"> é que a esposa é uma “parceira igual no dom de Deus da nova vida”, que deve ser honrada e respeitada.</w:t>
      </w:r>
    </w:p>
    <w:p>
      <w:pPr>
        <w:pStyle w:val="Heading4"/>
      </w:pPr>
      <w:r>
        <w:t>3.8–12</w:t>
      </w:r>
    </w:p>
    <w:p>
      <w:r/>
      <w:r>
        <w:t xml:space="preserve">Isso conclui a seção </w:t>
      </w:r>
      <w:hyperlink r:id="rId16763">
        <w:r>
          <w:rPr>
            <w:color w:val="0000EE"/>
            <w:u w:val="single"/>
          </w:rPr>
          <w:t>2.13–3.12</w:t>
        </w:r>
      </w:hyperlink>
      <w:r>
        <w:t xml:space="preserve"> e admoesta toda a igreja primeiramente a amar os irmãos (</w:t>
      </w:r>
      <w:hyperlink r:id="rId16720">
        <w:r>
          <w:rPr>
            <w:color w:val="0000EE"/>
            <w:u w:val="single"/>
          </w:rPr>
          <w:t>3.8</w:t>
        </w:r>
      </w:hyperlink>
      <w:r>
        <w:t xml:space="preserve">) e depois a amar o estranho hostil (vv. </w:t>
      </w:r>
      <w:hyperlink r:id="rId16764">
        <w:r>
          <w:rPr>
            <w:color w:val="0000EE"/>
            <w:u w:val="single"/>
          </w:rPr>
          <w:t>9–12</w:t>
        </w:r>
      </w:hyperlink>
      <w:r>
        <w:t xml:space="preserve">). O verso </w:t>
      </w:r>
      <w:hyperlink r:id="rId16716">
        <w:r>
          <w:rPr>
            <w:color w:val="0000EE"/>
            <w:u w:val="single"/>
          </w:rPr>
          <w:t>9</w:t>
        </w:r>
      </w:hyperlink>
      <w:r>
        <w:t xml:space="preserve"> lembra o comportamento de Jesus e seus mandamentos (</w:t>
      </w:r>
      <w:hyperlink r:id="rId6864">
        <w:r>
          <w:rPr>
            <w:color w:val="0000EE"/>
            <w:u w:val="single"/>
          </w:rPr>
          <w:t>Lc 6.27–36</w:t>
        </w:r>
      </w:hyperlink>
      <w:r>
        <w:t>). Os cristãos não devem apenas suportar os ataques pacientemente (</w:t>
      </w:r>
      <w:hyperlink r:id="rId16765">
        <w:r>
          <w:rPr>
            <w:color w:val="0000EE"/>
            <w:u w:val="single"/>
          </w:rPr>
          <w:t>1Pe 2.19–20</w:t>
        </w:r>
      </w:hyperlink>
      <w:r>
        <w:t>), eles devem também reagir positivamente e “abençoar” aqueles que os insultam (</w:t>
      </w:r>
      <w:hyperlink r:id="rId16716">
        <w:r>
          <w:rPr>
            <w:color w:val="0000EE"/>
            <w:u w:val="single"/>
          </w:rPr>
          <w:t>3.9</w:t>
        </w:r>
      </w:hyperlink>
      <w:r>
        <w:t xml:space="preserve">). Abençoar significa desejar-lhes o bem e transformar este desejo em uma oração. O verdadeiro desejo dos crentes aos seus inimigos é que eles sejam convertidos e venham a compartilhar da bênção que o cristão herdará (vv. </w:t>
      </w:r>
      <w:hyperlink r:id="rId15553">
        <w:r>
          <w:rPr>
            <w:color w:val="0000EE"/>
            <w:u w:val="single"/>
          </w:rPr>
          <w:t>1,9</w:t>
        </w:r>
      </w:hyperlink>
      <w:r>
        <w:t xml:space="preserve">). </w:t>
      </w:r>
      <w:hyperlink r:id="rId3637">
        <w:r>
          <w:rPr>
            <w:color w:val="0000EE"/>
            <w:u w:val="single"/>
          </w:rPr>
          <w:t>O Salmo 34.12–16</w:t>
        </w:r>
      </w:hyperlink>
      <w:r>
        <w:t xml:space="preserve"> é citado para apoiar a lógica do verso </w:t>
      </w:r>
      <w:hyperlink r:id="rId16716">
        <w:r>
          <w:rPr>
            <w:color w:val="0000EE"/>
            <w:u w:val="single"/>
          </w:rPr>
          <w:t>9</w:t>
        </w:r>
      </w:hyperlink>
      <w:r>
        <w:t>. Se os cristãos quiserem herdar a bênção da salvação (</w:t>
      </w:r>
      <w:hyperlink r:id="rId16766">
        <w:r>
          <w:rPr>
            <w:color w:val="0000EE"/>
            <w:u w:val="single"/>
          </w:rPr>
          <w:t>1.4–5</w:t>
        </w:r>
      </w:hyperlink>
      <w:r>
        <w:t xml:space="preserve">; </w:t>
      </w:r>
      <w:hyperlink r:id="rId16716">
        <w:r>
          <w:rPr>
            <w:color w:val="0000EE"/>
            <w:u w:val="single"/>
          </w:rPr>
          <w:t>3.9</w:t>
        </w:r>
      </w:hyperlink>
      <w:r>
        <w:t xml:space="preserve">), eles devem abençoar aqueles que os insultarem. Isso não significa que eles </w:t>
      </w:r>
      <w:r>
        <w:rPr>
          <w:i/>
        </w:rPr>
        <w:t>merecem</w:t>
      </w:r>
      <w:r>
        <w:t xml:space="preserve"> sua salvação, mas que a salvação é o alvo da fé (</w:t>
      </w:r>
      <w:hyperlink r:id="rId961">
        <w:r>
          <w:rPr>
            <w:color w:val="0000EE"/>
            <w:u w:val="single"/>
          </w:rPr>
          <w:t>1.9</w:t>
        </w:r>
      </w:hyperlink>
      <w:r>
        <w:t>), e a verdadeira fé sempre faz de uma pessoa alguém amável.</w:t>
      </w:r>
    </w:p>
    <w:p>
      <w:pPr>
        <w:pStyle w:val="Heading4"/>
      </w:pPr>
      <w:r>
        <w:t>3.13–17</w:t>
      </w:r>
    </w:p>
    <w:p>
      <w:r/>
      <w:r>
        <w:t xml:space="preserve">De modo geral, quando os cristãos fizerem o bem, eles não serão prejudicados por isso (v. </w:t>
      </w:r>
      <w:hyperlink r:id="rId16719">
        <w:r>
          <w:rPr>
            <w:color w:val="0000EE"/>
            <w:u w:val="single"/>
          </w:rPr>
          <w:t>13</w:t>
        </w:r>
      </w:hyperlink>
      <w:r>
        <w:t xml:space="preserve">). Não obstante, pode ser a vontade de Deus que os cristãos sofram por fazer o bem (v. </w:t>
      </w:r>
      <w:hyperlink r:id="rId16767">
        <w:r>
          <w:rPr>
            <w:color w:val="0000EE"/>
            <w:u w:val="single"/>
          </w:rPr>
          <w:t>17</w:t>
        </w:r>
      </w:hyperlink>
      <w:r>
        <w:t xml:space="preserve">) e isso é muito melhor do que sofrer por fazer o mal. É melhor não apenas porque eles nunca deveriam fazer o mal, mas também porque eles são “abençoados” quando sofrem por causa da justiça (v. </w:t>
      </w:r>
      <w:hyperlink r:id="rId16768">
        <w:r>
          <w:rPr>
            <w:color w:val="0000EE"/>
            <w:u w:val="single"/>
          </w:rPr>
          <w:t>14</w:t>
        </w:r>
      </w:hyperlink>
      <w:r>
        <w:t xml:space="preserve">; cf. </w:t>
      </w:r>
      <w:hyperlink r:id="rId10051">
        <w:r>
          <w:rPr>
            <w:color w:val="0000EE"/>
            <w:u w:val="single"/>
          </w:rPr>
          <w:t>4.14</w:t>
        </w:r>
      </w:hyperlink>
      <w:r>
        <w:t xml:space="preserve">; </w:t>
      </w:r>
      <w:hyperlink r:id="rId16769">
        <w:r>
          <w:rPr>
            <w:color w:val="0000EE"/>
            <w:u w:val="single"/>
          </w:rPr>
          <w:t>Mt 5.10–12</w:t>
        </w:r>
      </w:hyperlink>
      <w:r>
        <w:t xml:space="preserve">). Então, em vez de terem medo das pessoas, os crentes devem temer desagradar a Cristo e estar em paz em sua fidelidade (cf. </w:t>
      </w:r>
      <w:hyperlink r:id="rId3638">
        <w:r>
          <w:rPr>
            <w:color w:val="0000EE"/>
            <w:u w:val="single"/>
          </w:rPr>
          <w:t>1Pe 3.14–15</w:t>
        </w:r>
      </w:hyperlink>
      <w:r>
        <w:t xml:space="preserve"> com </w:t>
      </w:r>
      <w:hyperlink r:id="rId3639">
        <w:r>
          <w:rPr>
            <w:color w:val="0000EE"/>
            <w:u w:val="single"/>
          </w:rPr>
          <w:t>Is 8.12–13</w:t>
        </w:r>
      </w:hyperlink>
      <w:r>
        <w:t xml:space="preserve">). Assim, suas consciências estarão limpas e os crentes serão libertos para que, quando explicarem a razão de sua esperança, até mesmo seu comportamento testifique de sua verdade (cf. </w:t>
      </w:r>
      <w:hyperlink r:id="rId16746">
        <w:r>
          <w:rPr>
            <w:color w:val="0000EE"/>
            <w:u w:val="single"/>
          </w:rPr>
          <w:t>1Pe 3.15</w:t>
        </w:r>
      </w:hyperlink>
      <w:r>
        <w:t xml:space="preserve"> com </w:t>
      </w:r>
      <w:hyperlink r:id="rId8811">
        <w:r>
          <w:rPr>
            <w:color w:val="0000EE"/>
            <w:u w:val="single"/>
          </w:rPr>
          <w:t>1.3</w:t>
        </w:r>
      </w:hyperlink>
      <w:r>
        <w:t xml:space="preserve">). Os perseguidores dos cristãos podem ser envergonhados (v. </w:t>
      </w:r>
      <w:hyperlink r:id="rId16770">
        <w:r>
          <w:rPr>
            <w:color w:val="0000EE"/>
            <w:u w:val="single"/>
          </w:rPr>
          <w:t>16</w:t>
        </w:r>
      </w:hyperlink>
      <w:r>
        <w:t>), convencidos (</w:t>
      </w:r>
      <w:hyperlink r:id="rId15553">
        <w:r>
          <w:rPr>
            <w:color w:val="0000EE"/>
            <w:u w:val="single"/>
          </w:rPr>
          <w:t>3.1</w:t>
        </w:r>
      </w:hyperlink>
      <w:r>
        <w:t>) e assim dar glória a Deus (</w:t>
      </w:r>
      <w:hyperlink r:id="rId16710">
        <w:r>
          <w:rPr>
            <w:color w:val="0000EE"/>
            <w:u w:val="single"/>
          </w:rPr>
          <w:t>2.12</w:t>
        </w:r>
      </w:hyperlink>
      <w:r>
        <w:t>).</w:t>
      </w:r>
    </w:p>
    <w:p>
      <w:pPr>
        <w:pStyle w:val="Heading4"/>
      </w:pPr>
      <w:r>
        <w:t>3.18–22</w:t>
      </w:r>
    </w:p>
    <w:p>
      <w:r/>
      <w:r>
        <w:t xml:space="preserve">Semelhante a </w:t>
      </w:r>
      <w:hyperlink r:id="rId16771">
        <w:r>
          <w:rPr>
            <w:color w:val="0000EE"/>
            <w:u w:val="single"/>
          </w:rPr>
          <w:t>2.21–25</w:t>
        </w:r>
      </w:hyperlink>
      <w:r>
        <w:t xml:space="preserve"> e </w:t>
      </w:r>
      <w:hyperlink r:id="rId6343">
        <w:r>
          <w:rPr>
            <w:color w:val="0000EE"/>
            <w:u w:val="single"/>
          </w:rPr>
          <w:t>1.18–21</w:t>
        </w:r>
      </w:hyperlink>
      <w:r>
        <w:t>, esta unidade afirma o chamado de Pedro ao sofrimento paciente. Considerando que Cristo morreu de uma vez por todas pelos pecados da humanidade e, assim, libertou todos da culpa, abrindo um caminho para a comunhão com o Deus misericordioso, os crentes são capazes de suportar o sofrimento injusto mansamente. Se negar a suportar o sofrimento imerecido seria uma marca de incredulidade no fiel Criador (</w:t>
      </w:r>
      <w:hyperlink r:id="rId963">
        <w:r>
          <w:rPr>
            <w:color w:val="0000EE"/>
            <w:u w:val="single"/>
          </w:rPr>
          <w:t>4.19</w:t>
        </w:r>
      </w:hyperlink>
      <w:r>
        <w:t>) que se importa com seus filhos e deseja carregar suas ansiedades (</w:t>
      </w:r>
      <w:hyperlink r:id="rId14155">
        <w:r>
          <w:rPr>
            <w:color w:val="0000EE"/>
            <w:u w:val="single"/>
          </w:rPr>
          <w:t>5.7</w:t>
        </w:r>
      </w:hyperlink>
      <w:r>
        <w:t>).</w:t>
      </w:r>
    </w:p>
    <w:p>
      <w:r/>
      <w:r>
        <w:t xml:space="preserve">Assim como nos dias de Noé, apenas alguns foram salvos (cf. </w:t>
      </w:r>
      <w:hyperlink r:id="rId15553">
        <w:r>
          <w:rPr>
            <w:color w:val="0000EE"/>
            <w:u w:val="single"/>
          </w:rPr>
          <w:t>3.1,20</w:t>
        </w:r>
      </w:hyperlink>
      <w:r>
        <w:t xml:space="preserve">; </w:t>
      </w:r>
      <w:hyperlink r:id="rId4510">
        <w:r>
          <w:rPr>
            <w:color w:val="0000EE"/>
            <w:u w:val="single"/>
          </w:rPr>
          <w:t>4.17</w:t>
        </w:r>
      </w:hyperlink>
      <w:r>
        <w:t>), da mesma maneira agora apenas alguns estavam sendo salvos na geração hostil de Pedro, através do batismo (</w:t>
      </w:r>
      <w:hyperlink r:id="rId16772">
        <w:r>
          <w:rPr>
            <w:color w:val="0000EE"/>
            <w:u w:val="single"/>
          </w:rPr>
          <w:t>3.18–21</w:t>
        </w:r>
      </w:hyperlink>
      <w:r>
        <w:t xml:space="preserve">). Pedro definiu muito atentamente em que sentido ele quis dizer que o batismo salva — não pela função purificadora da água, mas pela ressurreição de Jesus Cristo e pelo penhor de uma boa consciência em relação a Deus (v. </w:t>
      </w:r>
      <w:hyperlink r:id="rId16773">
        <w:r>
          <w:rPr>
            <w:color w:val="0000EE"/>
            <w:u w:val="single"/>
          </w:rPr>
          <w:t>21</w:t>
        </w:r>
      </w:hyperlink>
      <w:r>
        <w:t>).</w:t>
      </w:r>
    </w:p>
    <w:p>
      <w:pPr>
        <w:pStyle w:val="Heading4"/>
      </w:pPr>
      <w:r>
        <w:t>4.1–6</w:t>
      </w:r>
    </w:p>
    <w:p>
      <w:r/>
      <w:r>
        <w:t xml:space="preserve">Os cristãos devem viver de acordo com a vontade de Deus (cf. </w:t>
      </w:r>
      <w:hyperlink r:id="rId15549">
        <w:r>
          <w:rPr>
            <w:color w:val="0000EE"/>
            <w:u w:val="single"/>
          </w:rPr>
          <w:t>1.14</w:t>
        </w:r>
      </w:hyperlink>
      <w:r>
        <w:t xml:space="preserve">; </w:t>
      </w:r>
      <w:hyperlink r:id="rId16774">
        <w:r>
          <w:rPr>
            <w:color w:val="0000EE"/>
            <w:u w:val="single"/>
          </w:rPr>
          <w:t>2.1–2,11–12,15</w:t>
        </w:r>
      </w:hyperlink>
      <w:r>
        <w:t>). Isso significará uma ruptura com o comportamento de seus amigos incrédulos e provavelmente resultará em ser difamado (</w:t>
      </w:r>
      <w:hyperlink r:id="rId16775">
        <w:r>
          <w:rPr>
            <w:color w:val="0000EE"/>
            <w:u w:val="single"/>
          </w:rPr>
          <w:t>4.4</w:t>
        </w:r>
      </w:hyperlink>
      <w:r>
        <w:t xml:space="preserve">). Mas isso não deve fazer com que os crentes se vinguem, pois Deus cuidará do julgamento (v. </w:t>
      </w:r>
      <w:hyperlink r:id="rId16776">
        <w:r>
          <w:rPr>
            <w:color w:val="0000EE"/>
            <w:u w:val="single"/>
          </w:rPr>
          <w:t>5</w:t>
        </w:r>
      </w:hyperlink>
      <w:r>
        <w:t>).</w:t>
      </w:r>
    </w:p>
    <w:p>
      <w:r/>
      <w:r>
        <w:t xml:space="preserve">Os crentes têm esta ordem (v. </w:t>
      </w:r>
      <w:hyperlink r:id="rId16704">
        <w:r>
          <w:rPr>
            <w:color w:val="0000EE"/>
            <w:u w:val="single"/>
          </w:rPr>
          <w:t>1</w:t>
        </w:r>
      </w:hyperlink>
      <w:r>
        <w:t xml:space="preserve">): "Por isso, assim como Cristo sofreu no corpo, vocês também devem estar prontos, como ele estava, para sofrer. Porque aquele que sofre no corpo deixa de ser dominado pelo pecado.” (NTLH). Alguns interpretaram isso como significando que através de um processo de sofrimento somos cada vez mais santificados; no entanto, se o sofrimento aqui se refere a morrer (como o paralelo com </w:t>
      </w:r>
      <w:hyperlink r:id="rId4290">
        <w:r>
          <w:rPr>
            <w:color w:val="0000EE"/>
            <w:u w:val="single"/>
          </w:rPr>
          <w:t>3.18</w:t>
        </w:r>
      </w:hyperlink>
      <w:r>
        <w:t xml:space="preserve"> e o “portanto” de </w:t>
      </w:r>
      <w:hyperlink r:id="rId16704">
        <w:r>
          <w:rPr>
            <w:color w:val="0000EE"/>
            <w:u w:val="single"/>
          </w:rPr>
          <w:t>4.1</w:t>
        </w:r>
      </w:hyperlink>
      <w:r>
        <w:t xml:space="preserve"> sugerem), então provavelmente o verso </w:t>
      </w:r>
      <w:hyperlink r:id="rId16704">
        <w:r>
          <w:rPr>
            <w:color w:val="0000EE"/>
            <w:u w:val="single"/>
          </w:rPr>
          <w:t>1</w:t>
        </w:r>
      </w:hyperlink>
      <w:r>
        <w:t xml:space="preserve"> deve ser entendido conforme </w:t>
      </w:r>
      <w:hyperlink r:id="rId4317">
        <w:r>
          <w:rPr>
            <w:color w:val="0000EE"/>
            <w:u w:val="single"/>
          </w:rPr>
          <w:t>Romanos 6.6,10–11</w:t>
        </w:r>
      </w:hyperlink>
      <w:r>
        <w:t>.</w:t>
      </w:r>
    </w:p>
    <w:p>
      <w:r/>
      <w:hyperlink r:id="rId113">
        <w:r>
          <w:rPr>
            <w:color w:val="0000EE"/>
            <w:u w:val="single"/>
          </w:rPr>
          <w:t>Primeira de Pedro 4.6</w:t>
        </w:r>
      </w:hyperlink>
      <w:r>
        <w:t xml:space="preserve"> é difícil. Alguns pensam que se refere à mesma pregação referida em </w:t>
      </w:r>
      <w:hyperlink r:id="rId112">
        <w:r>
          <w:rPr>
            <w:color w:val="0000EE"/>
            <w:u w:val="single"/>
          </w:rPr>
          <w:t>3.19</w:t>
        </w:r>
      </w:hyperlink>
      <w:r>
        <w:t xml:space="preserve">. Uma outra interpretação, talvez preferível, é que não há pregação aos mortos aqui, mas sim uma pregação do evangelho para aqueles que posteriormente morreram. Ou seja, aqueles que ouviram o evangelho, creram, e então morreram, não ouviram o evangelho em vão. O propósito da pregação era que, enquanto de um ponto de vista meramente humano, esses crentes foram julgados na carne (isto é, morreram), mas, do ponto de vista divino, eles vivem no Espírito. O propósito do verso </w:t>
      </w:r>
      <w:hyperlink r:id="rId113">
        <w:r>
          <w:rPr>
            <w:color w:val="0000EE"/>
            <w:u w:val="single"/>
          </w:rPr>
          <w:t>6</w:t>
        </w:r>
      </w:hyperlink>
      <w:r>
        <w:t xml:space="preserve"> é, portanto, um grande encorajamento para viver pela vontade de Deus, mesmo quando antigos amigos desprezam a esperança cristã alegando que até os cristãos morrem.</w:t>
      </w:r>
    </w:p>
    <w:p>
      <w:pPr>
        <w:pStyle w:val="Heading4"/>
      </w:pPr>
      <w:r>
        <w:t>4.7–11</w:t>
      </w:r>
    </w:p>
    <w:p>
      <w:r/>
      <w:r>
        <w:t xml:space="preserve">A atividade entre os crentes na igreja é novamente o tema aqui. Pedro via os eventos contemporâneos como o início do fim (vv. </w:t>
      </w:r>
      <w:hyperlink r:id="rId16777">
        <w:r>
          <w:rPr>
            <w:color w:val="0000EE"/>
            <w:u w:val="single"/>
          </w:rPr>
          <w:t>7,17</w:t>
        </w:r>
      </w:hyperlink>
      <w:r>
        <w:t>). Isso deu uma seriedade à sua exortação de que os crentes devem manter suas mentes claras e sóbrias para a oração.</w:t>
      </w:r>
    </w:p>
    <w:p>
      <w:r/>
      <w:r>
        <w:t xml:space="preserve">Ao se aproximar constantemente de Deus em oração, os cristãos encontram a ajuda que precisam para amar uns aos outros e negligenciar muitas coisas ofensivas (cf. </w:t>
      </w:r>
      <w:hyperlink r:id="rId16778">
        <w:r>
          <w:rPr>
            <w:color w:val="0000EE"/>
            <w:u w:val="single"/>
          </w:rPr>
          <w:t>Ef 4.1–3</w:t>
        </w:r>
      </w:hyperlink>
      <w:r>
        <w:t>). Este amor deve se manifestar em uma hospitalidade alegre, especialmente importante em tempos de perseguição (</w:t>
      </w:r>
      <w:hyperlink r:id="rId10762">
        <w:r>
          <w:rPr>
            <w:color w:val="0000EE"/>
            <w:u w:val="single"/>
          </w:rPr>
          <w:t>1Pe 4.9</w:t>
        </w:r>
      </w:hyperlink>
      <w:r>
        <w:t xml:space="preserve">), e deve mover os crentes a usar todos os seus variados dons e talentos para edificarem uns aos outros na fé (v. </w:t>
      </w:r>
      <w:hyperlink r:id="rId16725">
        <w:r>
          <w:rPr>
            <w:color w:val="0000EE"/>
            <w:u w:val="single"/>
          </w:rPr>
          <w:t>10</w:t>
        </w:r>
      </w:hyperlink>
      <w:r>
        <w:t xml:space="preserve">). Dois exemplos são dados: falar e ministrar (a obra do pregador e a obra do diácono). O mais importante em falar e ministrar é reconhecer qual é o objetivo desses dons e como alcançar esse objetivo. O objetivo é “que em todas as coisas Deus seja louvado” (v. </w:t>
      </w:r>
      <w:hyperlink r:id="rId16730">
        <w:r>
          <w:rPr>
            <w:color w:val="0000EE"/>
            <w:u w:val="single"/>
          </w:rPr>
          <w:t>11</w:t>
        </w:r>
      </w:hyperlink>
      <w:r>
        <w:t>). Isso pode ser feito reconhecendo que ele dá a força necessária para servir e as palavras para a pregação edificante.</w:t>
      </w:r>
    </w:p>
    <w:p>
      <w:pPr>
        <w:pStyle w:val="Heading4"/>
      </w:pPr>
      <w:r>
        <w:t>4.12–19</w:t>
      </w:r>
    </w:p>
    <w:p>
      <w:r/>
      <w:r>
        <w:t xml:space="preserve">Aqui a situação de sofrimento e de suportar a repreensão por serem cristãos está novamente em vista. A perspectiva de um “julgamento doloroso” (v. </w:t>
      </w:r>
      <w:hyperlink r:id="rId16718">
        <w:r>
          <w:rPr>
            <w:color w:val="0000EE"/>
            <w:u w:val="single"/>
          </w:rPr>
          <w:t>12</w:t>
        </w:r>
      </w:hyperlink>
      <w:r>
        <w:t xml:space="preserve">) é iminente (cf. </w:t>
      </w:r>
      <w:hyperlink r:id="rId16722">
        <w:r>
          <w:rPr>
            <w:color w:val="0000EE"/>
            <w:u w:val="single"/>
          </w:rPr>
          <w:t>1.6–7</w:t>
        </w:r>
      </w:hyperlink>
      <w:r>
        <w:t xml:space="preserve">). Pedro viu esses sofrimentos (provavelmente de pessoas hostis associadas em vez de uma perseguição oficial do estado) como o julgamento de Deus sobre o mundo, começando com a igreja (vv. </w:t>
      </w:r>
      <w:hyperlink r:id="rId16779">
        <w:r>
          <w:rPr>
            <w:color w:val="0000EE"/>
            <w:u w:val="single"/>
          </w:rPr>
          <w:t>17–18</w:t>
        </w:r>
      </w:hyperlink>
      <w:r>
        <w:t xml:space="preserve">; cf. </w:t>
      </w:r>
      <w:hyperlink r:id="rId16780">
        <w:r>
          <w:rPr>
            <w:color w:val="0000EE"/>
            <w:u w:val="single"/>
          </w:rPr>
          <w:t>Pv 11.31</w:t>
        </w:r>
      </w:hyperlink>
      <w:r>
        <w:t>). Mas o julgamento de Deus sobre a igreja não é punitivo, mas purificador (</w:t>
      </w:r>
      <w:hyperlink r:id="rId10051">
        <w:r>
          <w:rPr>
            <w:color w:val="0000EE"/>
            <w:u w:val="single"/>
          </w:rPr>
          <w:t>1Pe 4.14</w:t>
        </w:r>
      </w:hyperlink>
      <w:r>
        <w:t xml:space="preserve">; cf. </w:t>
      </w:r>
      <w:hyperlink r:id="rId16722">
        <w:r>
          <w:rPr>
            <w:color w:val="0000EE"/>
            <w:u w:val="single"/>
          </w:rPr>
          <w:t>1.6–7</w:t>
        </w:r>
      </w:hyperlink>
      <w:r>
        <w:t>).</w:t>
      </w:r>
    </w:p>
    <w:p>
      <w:r/>
      <w:r>
        <w:t xml:space="preserve">Pedro dá um lembrete de que o sofrimento é uma experiência normal para os cristãos (v. </w:t>
      </w:r>
      <w:hyperlink r:id="rId963">
        <w:r>
          <w:rPr>
            <w:color w:val="0000EE"/>
            <w:u w:val="single"/>
          </w:rPr>
          <w:t>19</w:t>
        </w:r>
      </w:hyperlink>
      <w:r>
        <w:t xml:space="preserve">; cf. </w:t>
      </w:r>
      <w:hyperlink r:id="rId16768">
        <w:r>
          <w:rPr>
            <w:color w:val="0000EE"/>
            <w:u w:val="single"/>
          </w:rPr>
          <w:t>3.14</w:t>
        </w:r>
      </w:hyperlink>
      <w:r>
        <w:t xml:space="preserve">; </w:t>
      </w:r>
      <w:hyperlink r:id="rId16781">
        <w:r>
          <w:rPr>
            <w:color w:val="0000EE"/>
            <w:u w:val="single"/>
          </w:rPr>
          <w:t>Atos 14.22</w:t>
        </w:r>
      </w:hyperlink>
      <w:r>
        <w:t xml:space="preserve">; </w:t>
      </w:r>
      <w:hyperlink r:id="rId16782">
        <w:r>
          <w:rPr>
            <w:color w:val="0000EE"/>
            <w:u w:val="single"/>
          </w:rPr>
          <w:t>1Ts 3.3</w:t>
        </w:r>
      </w:hyperlink>
      <w:r>
        <w:t>) e que o próprio Cristo foi demasiadamente maltratado (</w:t>
      </w:r>
      <w:hyperlink r:id="rId16771">
        <w:r>
          <w:rPr>
            <w:color w:val="0000EE"/>
            <w:u w:val="single"/>
          </w:rPr>
          <w:t>1Pe 2.21–25</w:t>
        </w:r>
      </w:hyperlink>
      <w:r>
        <w:t xml:space="preserve">; </w:t>
      </w:r>
      <w:hyperlink r:id="rId1672">
        <w:r>
          <w:rPr>
            <w:color w:val="0000EE"/>
            <w:u w:val="single"/>
          </w:rPr>
          <w:t>Mt 10.25</w:t>
        </w:r>
      </w:hyperlink>
      <w:r>
        <w:t>). Os cristãos são encorajados a confiar suas almas a um Criador fiel (</w:t>
      </w:r>
      <w:hyperlink r:id="rId963">
        <w:r>
          <w:rPr>
            <w:color w:val="0000EE"/>
            <w:u w:val="single"/>
          </w:rPr>
          <w:t>1Pe 4.19</w:t>
        </w:r>
      </w:hyperlink>
      <w:r>
        <w:t xml:space="preserve">), a se alegrar (v. </w:t>
      </w:r>
      <w:hyperlink r:id="rId16783">
        <w:r>
          <w:rPr>
            <w:color w:val="0000EE"/>
            <w:u w:val="single"/>
          </w:rPr>
          <w:t>13</w:t>
        </w:r>
      </w:hyperlink>
      <w:r>
        <w:t xml:space="preserve">) e perseverar em fazer o bem (v. </w:t>
      </w:r>
      <w:hyperlink r:id="rId963">
        <w:r>
          <w:rPr>
            <w:color w:val="0000EE"/>
            <w:u w:val="single"/>
          </w:rPr>
          <w:t>19</w:t>
        </w:r>
      </w:hyperlink>
      <w:r>
        <w:t xml:space="preserve">), glorificando assim a Deus (v. </w:t>
      </w:r>
      <w:hyperlink r:id="rId6100">
        <w:r>
          <w:rPr>
            <w:color w:val="0000EE"/>
            <w:u w:val="single"/>
          </w:rPr>
          <w:t>16</w:t>
        </w:r>
      </w:hyperlink>
      <w:r>
        <w:t xml:space="preserve">). Quando os crentes respondem ao sofrimento desta maneira, eles são abençoados (v. </w:t>
      </w:r>
      <w:hyperlink r:id="rId10051">
        <w:r>
          <w:rPr>
            <w:color w:val="0000EE"/>
            <w:u w:val="single"/>
          </w:rPr>
          <w:t>14</w:t>
        </w:r>
      </w:hyperlink>
      <w:r>
        <w:t>), pois Deus se manifesta a eles de uma maneira íntima e restauradora.</w:t>
      </w:r>
    </w:p>
    <w:p>
      <w:pPr>
        <w:pStyle w:val="Heading4"/>
      </w:pPr>
      <w:r>
        <w:t>5.1–7</w:t>
      </w:r>
    </w:p>
    <w:p>
      <w:r/>
      <w:r>
        <w:t xml:space="preserve">Novamente (como em </w:t>
      </w:r>
      <w:hyperlink r:id="rId16720">
        <w:r>
          <w:rPr>
            <w:color w:val="0000EE"/>
            <w:u w:val="single"/>
          </w:rPr>
          <w:t>3.8</w:t>
        </w:r>
      </w:hyperlink>
      <w:r>
        <w:t xml:space="preserve">; </w:t>
      </w:r>
      <w:hyperlink r:id="rId16784">
        <w:r>
          <w:rPr>
            <w:color w:val="0000EE"/>
            <w:u w:val="single"/>
          </w:rPr>
          <w:t>4.7–11</w:t>
        </w:r>
      </w:hyperlink>
      <w:r>
        <w:t>) Pedro trata sobre as relações dentro da igreja. Ele ensina aos presbíteros como podem ser bons pastores do rebanho (</w:t>
      </w:r>
      <w:hyperlink r:id="rId16398">
        <w:r>
          <w:rPr>
            <w:color w:val="0000EE"/>
            <w:u w:val="single"/>
          </w:rPr>
          <w:t>5.1–4</w:t>
        </w:r>
      </w:hyperlink>
      <w:r>
        <w:t xml:space="preserve">), aos mais jovens como tratar seus anciãos (v. </w:t>
      </w:r>
      <w:hyperlink r:id="rId10138">
        <w:r>
          <w:rPr>
            <w:color w:val="0000EE"/>
            <w:u w:val="single"/>
          </w:rPr>
          <w:t>5</w:t>
        </w:r>
      </w:hyperlink>
      <w:r>
        <w:t>) e a todos como ser humildes uns com os outros.</w:t>
      </w:r>
    </w:p>
    <w:p>
      <w:r/>
      <w:r>
        <w:t xml:space="preserve">Pedro lembra aos crentes que Deus se opõe aos orgulhosos, mas dá graça aos humildes (v. </w:t>
      </w:r>
      <w:hyperlink r:id="rId10138">
        <w:r>
          <w:rPr>
            <w:color w:val="0000EE"/>
            <w:u w:val="single"/>
          </w:rPr>
          <w:t>5</w:t>
        </w:r>
      </w:hyperlink>
      <w:r>
        <w:t xml:space="preserve">; cf. </w:t>
      </w:r>
      <w:hyperlink r:id="rId10805">
        <w:r>
          <w:rPr>
            <w:color w:val="0000EE"/>
            <w:u w:val="single"/>
          </w:rPr>
          <w:t>Mt 23.12</w:t>
        </w:r>
      </w:hyperlink>
      <w:r>
        <w:t xml:space="preserve">; </w:t>
      </w:r>
      <w:hyperlink r:id="rId10137">
        <w:r>
          <w:rPr>
            <w:color w:val="0000EE"/>
            <w:u w:val="single"/>
          </w:rPr>
          <w:t>Tg 4.6</w:t>
        </w:r>
      </w:hyperlink>
      <w:r>
        <w:t>), a quem ele exaltará na era por vir (</w:t>
      </w:r>
      <w:hyperlink r:id="rId16785">
        <w:r>
          <w:rPr>
            <w:color w:val="0000EE"/>
            <w:u w:val="single"/>
          </w:rPr>
          <w:t>1Pe 5.6</w:t>
        </w:r>
      </w:hyperlink>
      <w:r>
        <w:t xml:space="preserve">; cf. </w:t>
      </w:r>
      <w:hyperlink r:id="rId10804">
        <w:r>
          <w:rPr>
            <w:color w:val="0000EE"/>
            <w:u w:val="single"/>
          </w:rPr>
          <w:t>Lc 14.11</w:t>
        </w:r>
      </w:hyperlink>
      <w:r>
        <w:t xml:space="preserve">; </w:t>
      </w:r>
      <w:hyperlink r:id="rId12637">
        <w:r>
          <w:rPr>
            <w:color w:val="0000EE"/>
            <w:u w:val="single"/>
          </w:rPr>
          <w:t>18.14</w:t>
        </w:r>
      </w:hyperlink>
      <w:r>
        <w:t xml:space="preserve">; </w:t>
      </w:r>
      <w:hyperlink r:id="rId16786">
        <w:r>
          <w:rPr>
            <w:color w:val="0000EE"/>
            <w:u w:val="single"/>
          </w:rPr>
          <w:t>Tg 4.10</w:t>
        </w:r>
      </w:hyperlink>
      <w:r>
        <w:t>). Mais importante, Deus convida seu povo a lançar todas as suas ansiedades sobre ele, porque ele cuida deles (</w:t>
      </w:r>
      <w:hyperlink r:id="rId14155">
        <w:r>
          <w:rPr>
            <w:color w:val="0000EE"/>
            <w:u w:val="single"/>
          </w:rPr>
          <w:t>1Pe 5.7</w:t>
        </w:r>
      </w:hyperlink>
      <w:r>
        <w:t xml:space="preserve">; cf. </w:t>
      </w:r>
      <w:hyperlink r:id="rId16787">
        <w:r>
          <w:rPr>
            <w:color w:val="0000EE"/>
            <w:u w:val="single"/>
          </w:rPr>
          <w:t>Sl 55.22</w:t>
        </w:r>
      </w:hyperlink>
      <w:r>
        <w:t xml:space="preserve">; </w:t>
      </w:r>
      <w:hyperlink r:id="rId16788">
        <w:r>
          <w:rPr>
            <w:color w:val="0000EE"/>
            <w:u w:val="single"/>
          </w:rPr>
          <w:t>Mt 6.25–30</w:t>
        </w:r>
      </w:hyperlink>
      <w:r>
        <w:t>).</w:t>
      </w:r>
    </w:p>
    <w:p>
      <w:r/>
      <w:r>
        <w:t>Os jovens que, desta maneira, são feitos humildes, se sujeitarão aos seus anciãos e os respeitarão (</w:t>
      </w:r>
      <w:hyperlink r:id="rId10138">
        <w:r>
          <w:rPr>
            <w:color w:val="0000EE"/>
            <w:u w:val="single"/>
          </w:rPr>
          <w:t>1Pe 5:5</w:t>
        </w:r>
      </w:hyperlink>
      <w:r>
        <w:t xml:space="preserve">). Os presbíteros que, assim, são feitos humildes, não dominarão o rebanho (v. </w:t>
      </w:r>
      <w:hyperlink r:id="rId16789">
        <w:r>
          <w:rPr>
            <w:color w:val="0000EE"/>
            <w:u w:val="single"/>
          </w:rPr>
          <w:t>3</w:t>
        </w:r>
      </w:hyperlink>
      <w:r>
        <w:t xml:space="preserve">), ou serão gananciosos, ou relutantes em seu serviço (v. </w:t>
      </w:r>
      <w:hyperlink r:id="rId1416">
        <w:r>
          <w:rPr>
            <w:color w:val="0000EE"/>
            <w:u w:val="single"/>
          </w:rPr>
          <w:t>2</w:t>
        </w:r>
      </w:hyperlink>
      <w:r>
        <w:t>), mas guiarão o rebanho através de um exemplo humilde.</w:t>
      </w:r>
    </w:p>
    <w:p>
      <w:pPr>
        <w:pStyle w:val="Heading4"/>
      </w:pPr>
      <w:r>
        <w:t>5.8–11</w:t>
      </w:r>
    </w:p>
    <w:p>
      <w:r/>
      <w:r>
        <w:t xml:space="preserve">Pedro retorna ao seu interesse com o sofrimento. O sofrimento é o destino universal dos crentes (v. </w:t>
      </w:r>
      <w:hyperlink r:id="rId11171">
        <w:r>
          <w:rPr>
            <w:color w:val="0000EE"/>
            <w:u w:val="single"/>
          </w:rPr>
          <w:t>9</w:t>
        </w:r>
      </w:hyperlink>
      <w:r>
        <w:t xml:space="preserve">; cf. </w:t>
      </w:r>
      <w:hyperlink r:id="rId16718">
        <w:r>
          <w:rPr>
            <w:color w:val="0000EE"/>
            <w:u w:val="single"/>
          </w:rPr>
          <w:t>4.12</w:t>
        </w:r>
      </w:hyperlink>
      <w:r>
        <w:t>). Embora em um sentido seja desejado por Deus (</w:t>
      </w:r>
      <w:hyperlink r:id="rId16744">
        <w:r>
          <w:rPr>
            <w:color w:val="0000EE"/>
            <w:u w:val="single"/>
          </w:rPr>
          <w:t>1.6</w:t>
        </w:r>
      </w:hyperlink>
      <w:r>
        <w:t xml:space="preserve">; </w:t>
      </w:r>
      <w:hyperlink r:id="rId16767">
        <w:r>
          <w:rPr>
            <w:color w:val="0000EE"/>
            <w:u w:val="single"/>
          </w:rPr>
          <w:t>3.17</w:t>
        </w:r>
      </w:hyperlink>
      <w:r>
        <w:t xml:space="preserve">; </w:t>
      </w:r>
      <w:hyperlink r:id="rId963">
        <w:r>
          <w:rPr>
            <w:color w:val="0000EE"/>
            <w:u w:val="single"/>
          </w:rPr>
          <w:t>4.19</w:t>
        </w:r>
      </w:hyperlink>
      <w:r>
        <w:t>), é usado por Satanás para tentar destruir sua fé. Então Pedro alerta que a igreja esteja desperta e sóbria (</w:t>
      </w:r>
      <w:hyperlink r:id="rId1766">
        <w:r>
          <w:rPr>
            <w:color w:val="0000EE"/>
            <w:u w:val="single"/>
          </w:rPr>
          <w:t>5.8</w:t>
        </w:r>
      </w:hyperlink>
      <w:r>
        <w:t xml:space="preserve">; cf. </w:t>
      </w:r>
      <w:hyperlink r:id="rId13298">
        <w:r>
          <w:rPr>
            <w:color w:val="0000EE"/>
            <w:u w:val="single"/>
          </w:rPr>
          <w:t>1.13</w:t>
        </w:r>
      </w:hyperlink>
      <w:r>
        <w:t xml:space="preserve">; </w:t>
      </w:r>
      <w:hyperlink r:id="rId16777">
        <w:r>
          <w:rPr>
            <w:color w:val="0000EE"/>
            <w:u w:val="single"/>
          </w:rPr>
          <w:t>4.7</w:t>
        </w:r>
      </w:hyperlink>
      <w:r>
        <w:t>) para que possam resistir ao leão pela fé.</w:t>
      </w:r>
    </w:p>
    <w:p>
      <w:pPr>
        <w:pStyle w:val="Heading4"/>
      </w:pPr>
      <w:r>
        <w:t>5.12–14</w:t>
      </w:r>
    </w:p>
    <w:p>
      <w:r/>
      <w:r>
        <w:t xml:space="preserve">Em conclusão, Pedro descreve sua “breve” escrita como uma exortação e um testemunho sobre a verdadeira graça de Deus. Portanto, a carta não é um chamado ao trabalho árduo para Deus; em vez disso, é um chamado para reconhecer, desfrutar e viver por meio do árduo trabalho que Deus graciosamente exerceu e continuará exercendo por seus filhos. Como foi observado acima, a carta foi escrita por Silas (grego </w:t>
      </w:r>
      <w:r>
        <w:rPr>
          <w:i/>
        </w:rPr>
        <w:t>Silvano</w:t>
      </w:r>
      <w:r>
        <w:t xml:space="preserve">, provavelmente a mesma pessoa presente em </w:t>
      </w:r>
      <w:hyperlink r:id="rId13324">
        <w:r>
          <w:rPr>
            <w:color w:val="0000EE"/>
            <w:u w:val="single"/>
          </w:rPr>
          <w:t>Atos 16.25</w:t>
        </w:r>
      </w:hyperlink>
      <w:r>
        <w:t xml:space="preserve">; </w:t>
      </w:r>
      <w:hyperlink r:id="rId3688">
        <w:r>
          <w:rPr>
            <w:color w:val="0000EE"/>
            <w:u w:val="single"/>
          </w:rPr>
          <w:t>1Ts 1.1</w:t>
        </w:r>
      </w:hyperlink>
      <w:r>
        <w:t xml:space="preserve">; </w:t>
      </w:r>
      <w:hyperlink r:id="rId16790">
        <w:r>
          <w:rPr>
            <w:color w:val="0000EE"/>
            <w:u w:val="single"/>
          </w:rPr>
          <w:t>2Ts 1.1</w:t>
        </w:r>
      </w:hyperlink>
      <w:r>
        <w:t xml:space="preserve">). Foi escrita em Roma, e as saudações foram enviadas por Marcos (provavelmente o escritor do Evangelho e ex-companheiro missionário de </w:t>
      </w:r>
      <w:hyperlink r:id="rId2200">
        <w:r>
          <w:rPr>
            <w:color w:val="0000EE"/>
            <w:u w:val="single"/>
          </w:rPr>
          <w:t>Paulo — Atos 13.13</w:t>
        </w:r>
      </w:hyperlink>
      <w:r>
        <w:t xml:space="preserve">; </w:t>
      </w:r>
      <w:hyperlink r:id="rId16791">
        <w:r>
          <w:rPr>
            <w:color w:val="0000EE"/>
            <w:u w:val="single"/>
          </w:rPr>
          <w:t>15.37</w:t>
        </w:r>
      </w:hyperlink>
      <w:r>
        <w:t xml:space="preserve">; </w:t>
      </w:r>
      <w:hyperlink r:id="rId2830">
        <w:r>
          <w:rPr>
            <w:color w:val="0000EE"/>
            <w:u w:val="single"/>
          </w:rPr>
          <w:t>2Tm 4.11</w:t>
        </w:r>
      </w:hyperlink>
      <w:r>
        <w:t>) e por toda a igreja. A última palavra de Pedro é invocar a paz sobre as igrejas e instá-las a manter o afeto caloroso entre si.</w:t>
      </w:r>
    </w:p>
    <w:p>
      <w:r/>
      <w:r>
        <w:rPr>
          <w:i/>
        </w:rPr>
        <w:t>Veja também</w:t>
      </w:r>
      <w:r>
        <w:t xml:space="preserve"> </w:t>
      </w:r>
      <w:r>
        <w:t>Sofrimento</w:t>
      </w:r>
      <w:r>
        <w:t xml:space="preserve">; </w:t>
      </w:r>
      <w:r>
        <w:t>Pedro, o Apóstolo</w:t>
      </w:r>
      <w:r>
        <w:t xml:space="preserve">; </w:t>
      </w:r>
      <w:r>
        <w:t>Espíritos em Prisão</w:t>
      </w:r>
      <w:r>
        <w:t>.</w:t>
      </w:r>
      <w:r/>
      <w:r/>
    </w:p>
    <w:p>
      <w:r/>
    </w:p>
    <w:p>
      <w:pPr>
        <w:pStyle w:val="Heading2"/>
      </w:pPr>
      <w:r>
        <w:t>Pedro, Segunda carta de</w:t>
      </w:r>
      <w:r/>
    </w:p>
    <w:p>
      <w:r/>
      <w:r>
        <w:t>A Segunda, epístola geral escrita por Pedro.</w:t>
      </w:r>
    </w:p>
    <w:p>
      <w:r/>
      <w:r>
        <w:t>Resumo:</w:t>
      </w:r>
    </w:p>
    <w:p>
      <w:r/>
      <w:r>
        <w:t>• Autor</w:t>
      </w:r>
    </w:p>
    <w:p>
      <w:r/>
      <w:r>
        <w:t>• Data, origem, destino</w:t>
      </w:r>
    </w:p>
    <w:p>
      <w:r/>
      <w:r>
        <w:t>• Contexto</w:t>
      </w:r>
    </w:p>
    <w:p>
      <w:r/>
      <w:r>
        <w:t>• Propósito e ensino teológico</w:t>
      </w:r>
    </w:p>
    <w:p>
      <w:r/>
      <w:r>
        <w:t>• Conteúdo</w:t>
      </w:r>
    </w:p>
    <w:p>
      <w:pPr>
        <w:pStyle w:val="Heading3"/>
      </w:pPr>
      <w:r>
        <w:t>Autor</w:t>
      </w:r>
    </w:p>
    <w:p>
      <w:r/>
      <w:r>
        <w:t xml:space="preserve">O autor é claramente identificado em </w:t>
      </w:r>
      <w:hyperlink r:id="rId16792">
        <w:r>
          <w:rPr>
            <w:color w:val="0000EE"/>
            <w:u w:val="single"/>
          </w:rPr>
          <w:t>1.1</w:t>
        </w:r>
      </w:hyperlink>
      <w:r>
        <w:t xml:space="preserve"> como Simão Pedro, um dos 12 apóstolos escolhidos por Jesus. No entanto, duas coisas devem ser observadas. Primeiro, seu estilo difere marcadamente do de 1 Pedro. Segundo, porque 2 Pedro é obviamente uma obra posterior (veja a data abaixo) e incorpora Judas em resumo, é possível que um colaborador de confiança (por exemplo, João Marcos) tenha reunido as preocupações finais de Pedro, incorporando um resumo da epístola de Judas após a morte de Pedro. Assim, 2 Pedro são as palavras finais de Pedro, um tipo de testamento póstumo direcionando a igreja na era pós-apostólica. Também é possível que Pedro tenha sido o autor por trás desta obra, mas não o escritor, como foi sugerido na seção sobre “Autor” para a Primeira Epístola. Como tal, a epístola poderia ter sido preparada por alguém que não fosse Silas (como foi feito para a primeira epístola de Pedro) e, portanto, explicaria a diferença de estilo entre as duas epístolas. Além disso, o documento escrito original pode ter sido publicado postumamente.</w:t>
      </w:r>
    </w:p>
    <w:p>
      <w:pPr>
        <w:pStyle w:val="Heading3"/>
      </w:pPr>
      <w:r>
        <w:t>Data, origem, destino</w:t>
      </w:r>
    </w:p>
    <w:p>
      <w:r/>
      <w:r>
        <w:t xml:space="preserve">A tradição nos diz que Pedro foi martirizado por volta de 64 d.C. em Roma. Se for assim, este trabalho foi provavelmente escrito em Roma antes de 70 d.C. (antes que seu último ensinamento fosse esquecido) e depois de 60 d.C. (a data mais cedo em que Pedro poderia ter conhecido as cartas de Paulo). Além disso, foi escrito após Judas, pois </w:t>
      </w:r>
      <w:hyperlink r:id="rId12373">
        <w:r>
          <w:rPr>
            <w:color w:val="0000EE"/>
            <w:u w:val="single"/>
          </w:rPr>
          <w:t>2 Pedro 2</w:t>
        </w:r>
      </w:hyperlink>
      <w:r>
        <w:t xml:space="preserve"> incorpora uma forma abreviada de Judas. O local de origem romano também explica o aparente conhecimento de 1 Clemente sobre 2 Pedro em 96 d.C., o uso mais antigo da carta. Se </w:t>
      </w:r>
      <w:hyperlink r:id="rId16793">
        <w:r>
          <w:rPr>
            <w:color w:val="0000EE"/>
            <w:u w:val="single"/>
          </w:rPr>
          <w:t>3.1</w:t>
        </w:r>
      </w:hyperlink>
      <w:r>
        <w:t xml:space="preserve"> se refere às mesmas igrejas mencionadas em 1 Pedro, então a carta é destinada ao nordeste da Ásia Menor. O grupo de igrejas inclui algumas para as quais Paulo escreveu cartas (</w:t>
      </w:r>
      <w:hyperlink r:id="rId16794">
        <w:r>
          <w:rPr>
            <w:color w:val="0000EE"/>
            <w:u w:val="single"/>
          </w:rPr>
          <w:t>3.15</w:t>
        </w:r>
      </w:hyperlink>
      <w:r>
        <w:t>). Mas as igrejas poderiam muito bem ser todas as igrejas, para as quais Pedro estava enviando uma mensagem geral.</w:t>
      </w:r>
    </w:p>
    <w:p>
      <w:pPr>
        <w:pStyle w:val="Heading3"/>
      </w:pPr>
      <w:r>
        <w:t>Contexto</w:t>
      </w:r>
    </w:p>
    <w:p>
      <w:r/>
      <w:r>
        <w:t xml:space="preserve">Em um contexto de muitos cultos libertinos atraentes, a igreja estava constantemente em perigo por causa de mestres que promoviam a imoralidade. Corinto certamente tinha problemas semelhantes, e </w:t>
      </w:r>
      <w:hyperlink r:id="rId4417">
        <w:r>
          <w:rPr>
            <w:color w:val="0000EE"/>
            <w:u w:val="single"/>
          </w:rPr>
          <w:t>Romanos 6</w:t>
        </w:r>
      </w:hyperlink>
      <w:r>
        <w:t xml:space="preserve"> pode mostrar que Paulo estava ciente de um uso indevido semelhante de seu ensino que havia chegado a Roma. A declaração de Paulo de que os cristãos estão livres da lei (veja </w:t>
      </w:r>
      <w:hyperlink r:id="rId16795">
        <w:r>
          <w:rPr>
            <w:color w:val="0000EE"/>
            <w:u w:val="single"/>
          </w:rPr>
          <w:t>Gl 3–5</w:t>
        </w:r>
      </w:hyperlink>
      <w:r>
        <w:t>) sempre carregava o perigo de que, em vez de se renderem ao Espírito, as pessoas cedessem aos seus desejos caídos, ignorando o aviso de Paulo de que aqueles que faziam tais coisas não herdariam o reino de Deus. Essa tendência na igreja primitiva parece estar por trás de 2 Pedro.</w:t>
      </w:r>
    </w:p>
    <w:p>
      <w:pPr>
        <w:pStyle w:val="Heading3"/>
      </w:pPr>
      <w:r>
        <w:t>Propósito e ensino teológico</w:t>
      </w:r>
    </w:p>
    <w:p>
      <w:r/>
      <w:r>
        <w:t xml:space="preserve">Como </w:t>
      </w:r>
      <w:hyperlink r:id="rId16796">
        <w:r>
          <w:rPr>
            <w:color w:val="0000EE"/>
            <w:u w:val="single"/>
          </w:rPr>
          <w:t>1.12–15</w:t>
        </w:r>
      </w:hyperlink>
      <w:r>
        <w:t xml:space="preserve"> deixa claro, a carta é um testamento, um lembrete final da verdade escrito diante das divisões causadas por falsos mestres. É uma tentativa final de estabilizar a igreja.</w:t>
      </w:r>
    </w:p>
    <w:p>
      <w:r/>
      <w:r>
        <w:t>Três temas teológicos principais se destacam: (1) um chamado à virtude cristã e à fidelidade e à tradição apostólica sobre a qual a igreja foi fundada; (2) uma base para esse chamado no status exaltado de Jesus Cristo e seu retorno em julgamento, tornando todos os outros objetivos da vida irrelevantes; e (3) uma denúncia apocalíptica daqueles que haviam se comprometido com o mundo e, portanto, viviam com uma ética sub-cristã.</w:t>
      </w:r>
    </w:p>
    <w:p>
      <w:pPr>
        <w:pStyle w:val="Heading3"/>
      </w:pPr>
      <w:r>
        <w:t>Conteúdo</w:t>
      </w:r>
    </w:p>
    <w:p>
      <w:pPr>
        <w:pStyle w:val="Heading4"/>
      </w:pPr>
      <w:r>
        <w:t>Saudação (</w:t>
      </w:r>
      <w:hyperlink r:id="rId16797">
        <w:r>
          <w:rPr>
            <w:color w:val="0000EE"/>
            <w:u w:val="single"/>
          </w:rPr>
          <w:t>1.1–2</w:t>
        </w:r>
      </w:hyperlink>
      <w:r>
        <w:t>)</w:t>
      </w:r>
    </w:p>
    <w:p>
      <w:r/>
      <w:r>
        <w:t>A saudação enfatiza a autoridade tanto de Pedro quanto de seu ensino ao usar o título “apóstolo” e a solidariedade com seus leitores ao incluir a palavra “servo” e mencionar “uma fé de igual valor” em relação aos leitores.</w:t>
      </w:r>
    </w:p>
    <w:p>
      <w:pPr>
        <w:pStyle w:val="Heading4"/>
      </w:pPr>
      <w:r>
        <w:t>Convite à virtude (</w:t>
      </w:r>
      <w:hyperlink r:id="rId16798">
        <w:r>
          <w:rPr>
            <w:color w:val="0000EE"/>
            <w:u w:val="single"/>
          </w:rPr>
          <w:t>1.3–21</w:t>
        </w:r>
      </w:hyperlink>
      <w:r>
        <w:t>)</w:t>
      </w:r>
    </w:p>
    <w:p>
      <w:r/>
      <w:r>
        <w:t>Deus já agiu para chamar os cristãos para si. Ele, por graça soberana, deu-lhes tudo o que é necessário para viver verdadeiramente de maneira piedosa. E ele colocou promessas fantásticas diante deles. Eles não devem permitir que sejam apanhados novamente no pântano moral do mundo, pois foi o propósito de Deus ao salvá-los capacitá-los a escapar dessa armadilha. Em vez disso, devem se tornar como Cristo (“participar da natureza divina”) e, portanto, devem crescer em virtude cristã. Se falharem nesse crescimento, perderão as promessas de Deus, mas o zelo para avançar confirmará sua eleição e seu futuro no céu (</w:t>
      </w:r>
      <w:hyperlink r:id="rId16799">
        <w:r>
          <w:rPr>
            <w:color w:val="0000EE"/>
            <w:u w:val="single"/>
          </w:rPr>
          <w:t>1.3–11</w:t>
        </w:r>
      </w:hyperlink>
      <w:r>
        <w:t>).</w:t>
      </w:r>
    </w:p>
    <w:p>
      <w:r/>
      <w:r>
        <w:t xml:space="preserve">Como Pedro estava prestes a morrer, como Jesus previu (cf. </w:t>
      </w:r>
      <w:hyperlink r:id="rId16800">
        <w:r>
          <w:rPr>
            <w:color w:val="0000EE"/>
            <w:u w:val="single"/>
          </w:rPr>
          <w:t>Jo 21.18–19</w:t>
        </w:r>
      </w:hyperlink>
      <w:r>
        <w:t>), ele queria dar aos seus leitores uma palavra final de encorajamento. O encorajamento de Pedro era importante por duas razões. Primeiro, ele foi verdadeiramente uma testemunha ocular da glória de Cristo (ou seja, a Transfiguração, um evento que deve ter impressionado profundamente Pedro, mas é citado aqui porque revelou a glória, poder e autoridade de Jesus e uniu o AT e o NT). Ao contrário dos falsos mestres, sua tradição é baseada no que Deus realmente fez, não em mera especulação. Segundo, sua experiência confirma a profecia do AT. Como Pedro e seus seguidores na tradição apostólica, os profetas do AT foram inspirados pelo Espírito Santo. Assim, somente o Espírito dá a verdadeira interpretação, e as interpretações idiossincráticas dos falsos mestres são, portanto, erradas (</w:t>
      </w:r>
      <w:hyperlink r:id="rId16801">
        <w:r>
          <w:rPr>
            <w:color w:val="0000EE"/>
            <w:u w:val="single"/>
          </w:rPr>
          <w:t>2Pe 1.12–21</w:t>
        </w:r>
      </w:hyperlink>
      <w:r>
        <w:t>).</w:t>
      </w:r>
    </w:p>
    <w:p>
      <w:pPr>
        <w:pStyle w:val="Heading4"/>
      </w:pPr>
      <w:r>
        <w:t>Denúncia de falsos mestres (</w:t>
      </w:r>
      <w:hyperlink r:id="rId12373">
        <w:r>
          <w:rPr>
            <w:color w:val="0000EE"/>
            <w:u w:val="single"/>
          </w:rPr>
          <w:t>2.1–22</w:t>
        </w:r>
      </w:hyperlink>
      <w:r>
        <w:t>)</w:t>
      </w:r>
    </w:p>
    <w:p>
      <w:r/>
      <w:r>
        <w:t xml:space="preserve">Os cristãos precisam ser encorajados a permanecer firmes na virtude porque sempre houve falsos mestres na igreja que distorcem as Escrituras do AT para apoiar seu próprio comportamento. Não se pode ter certeza de quem exatamente eram esses mestres, mas algumas de suas ações são claras. Primeiro, eram libertinos em sua moral, provavelmente distorcendo o ensino de Paulo sobre a liberdade da lei para apoiar suas ações (cf. </w:t>
      </w:r>
      <w:hyperlink r:id="rId16794">
        <w:r>
          <w:rPr>
            <w:color w:val="0000EE"/>
            <w:u w:val="single"/>
          </w:rPr>
          <w:t>3.15</w:t>
        </w:r>
      </w:hyperlink>
      <w:r>
        <w:t xml:space="preserve">; </w:t>
      </w:r>
      <w:hyperlink r:id="rId5777">
        <w:r>
          <w:rPr>
            <w:color w:val="0000EE"/>
            <w:u w:val="single"/>
          </w:rPr>
          <w:t>1Co 6.12–20</w:t>
        </w:r>
      </w:hyperlink>
      <w:r>
        <w:t xml:space="preserve"> mostra um problema semelhante em Corinto). Segundo, estavam formando grupos leais a si mesmos, explorando essas pessoas e levando-as ao pecado (cf. </w:t>
      </w:r>
      <w:hyperlink r:id="rId16802">
        <w:r>
          <w:rPr>
            <w:color w:val="0000EE"/>
            <w:u w:val="single"/>
          </w:rPr>
          <w:t>1Co 1–3</w:t>
        </w:r>
      </w:hyperlink>
      <w:r>
        <w:t xml:space="preserve"> para outro exemplo de formação de grupos dissidentes). Terceiro, estavam ensinando sobre poderes angélicos e demoníacos, alguns dos quais estavam amaldiçoando, o que revelava um desrespeito geral pela autoridade (</w:t>
      </w:r>
      <w:hyperlink r:id="rId16803">
        <w:r>
          <w:rPr>
            <w:color w:val="0000EE"/>
            <w:u w:val="single"/>
          </w:rPr>
          <w:t>2Pe 2.10</w:t>
        </w:r>
      </w:hyperlink>
      <w:r>
        <w:t xml:space="preserve">; cf. </w:t>
      </w:r>
      <w:hyperlink r:id="rId5135">
        <w:r>
          <w:rPr>
            <w:color w:val="0000EE"/>
            <w:u w:val="single"/>
          </w:rPr>
          <w:t>Cl 2.8</w:t>
        </w:r>
      </w:hyperlink>
      <w:r>
        <w:t>). Quarto, embora em última análise sectários, ainda estavam celebrando a Ceia do Senhor (que naquela época ainda era uma refeição comum, como seria por mais um século) com a igreja e, assim, profanando toda a celebração (</w:t>
      </w:r>
      <w:hyperlink r:id="rId16804">
        <w:r>
          <w:rPr>
            <w:color w:val="0000EE"/>
            <w:u w:val="single"/>
          </w:rPr>
          <w:t>2Pe 2.13</w:t>
        </w:r>
      </w:hyperlink>
      <w:r>
        <w:t>).</w:t>
      </w:r>
    </w:p>
    <w:p>
      <w:r/>
      <w:r>
        <w:t>A grande preocupação de Pedro é que essas pessoas são sectárias. (“Heresias destrutivas” refere-se a grupos que se separaram da igreja, não a diferenças doutrinárias, que é o significado que “heresia” adquiriu séculos depois). Esses mestres formaram grupos marcados por seu comportamento imoral. Eles negaram a autoridade de Cristo, mesmo que ele uma vez os tenha resgatado do pecado. Eles negaram Cristo ao rejeitar seu claro ensinamento contra a ganância e a imoralidade, e levaram outros em sua esteira, tornando toda a fé cristã desacreditada perante o mundo. Sua motivação era a ganância, e seu destino previsto era o julgamento, embora isso possa não ser aparente para aqueles que não estão familiarizados com as Escrituras.</w:t>
      </w:r>
    </w:p>
    <w:p>
      <w:r/>
      <w:r>
        <w:t>Este julgamento é certo, como mostram os exemplos do AT do julgamento de pessoas imorais (junto com a salvação dos justos): por exemplo, dos anjos (</w:t>
      </w:r>
      <w:hyperlink r:id="rId8478">
        <w:r>
          <w:rPr>
            <w:color w:val="0000EE"/>
            <w:u w:val="single"/>
          </w:rPr>
          <w:t>Gn 6.1–4</w:t>
        </w:r>
      </w:hyperlink>
      <w:r>
        <w:t xml:space="preserve">), do povo dos dias de Noé (v. </w:t>
      </w:r>
      <w:hyperlink r:id="rId16805">
        <w:r>
          <w:rPr>
            <w:color w:val="0000EE"/>
            <w:u w:val="single"/>
          </w:rPr>
          <w:t>5–22</w:t>
        </w:r>
      </w:hyperlink>
      <w:r>
        <w:t xml:space="preserve">) e de Sodoma (caps. </w:t>
      </w:r>
      <w:hyperlink r:id="rId16806">
        <w:r>
          <w:rPr>
            <w:color w:val="0000EE"/>
            <w:u w:val="single"/>
          </w:rPr>
          <w:t>18–19</w:t>
        </w:r>
      </w:hyperlink>
      <w:r>
        <w:t>). Em cada caso, Deus livrou os poucos indivíduos justos, mesmo que tenha julgado severamente a maioria maligna; isso encorajou os leitores a serem justos como Noé e Ló. Além disso, os leitores poderiam se identificar com Ló em sua própria angústia diante da imoralidade que ocorria em sua igreja (</w:t>
      </w:r>
      <w:hyperlink r:id="rId16807">
        <w:r>
          <w:rPr>
            <w:color w:val="0000EE"/>
            <w:u w:val="single"/>
          </w:rPr>
          <w:t>2Pe 2.4–10</w:t>
        </w:r>
      </w:hyperlink>
      <w:r>
        <w:t xml:space="preserve">; cf. </w:t>
      </w:r>
      <w:hyperlink r:id="rId16808">
        <w:r>
          <w:rPr>
            <w:color w:val="0000EE"/>
            <w:u w:val="single"/>
          </w:rPr>
          <w:t>Jd 1.6–7</w:t>
        </w:r>
      </w:hyperlink>
      <w:r>
        <w:t>).</w:t>
      </w:r>
    </w:p>
    <w:p>
      <w:r/>
      <w:r>
        <w:t xml:space="preserve">Como aqueles julgados no AT, esses falsos mestres eram tanto orgulhosos quanto ignorantes, amaldiçoando poderes espirituais que não entendiam realmente (provavelmente poderes demoníacos, pois Pedro estava seguindo Judas, que se baseou em uma tradição da Assunção de Moisés). Mesmo os anjos, que sabem muito mais do que esses mestres e são mais poderosos, não são tão desrespeitosos. Mesmo Satanás deve ser tratado com respeito, de acordo com as Escrituras. Os mestres não eram apenas orgulhosos, mas também imorais e gananciosos, até mesmo na Mesa do Senhor (“regozijando-se em seus prazeres enquanto festejam com vocês”, </w:t>
      </w:r>
      <w:hyperlink r:id="rId16804">
        <w:r>
          <w:rPr>
            <w:color w:val="0000EE"/>
            <w:u w:val="single"/>
          </w:rPr>
          <w:t>2Pe 2.13</w:t>
        </w:r>
      </w:hyperlink>
      <w:r>
        <w:t xml:space="preserve">). Eles afirmavam ensinar liberdade, mas estavam presos ao desejo, então suas palavras eram vazias. Seu ensino parecia impressionante, mas era todo som e vento. Porque eles retornaram ao mal após experimentar a liberdade do pecado em Cristo, ficaram em pior situação do que se nunca tivessem ouvido o evangelho. Eles eram como cães (cf. </w:t>
      </w:r>
      <w:hyperlink r:id="rId1593">
        <w:r>
          <w:rPr>
            <w:color w:val="0000EE"/>
            <w:u w:val="single"/>
          </w:rPr>
          <w:t>Pv 26.11</w:t>
        </w:r>
      </w:hyperlink>
      <w:r>
        <w:t>) ou como porcos (</w:t>
      </w:r>
      <w:hyperlink r:id="rId16809">
        <w:r>
          <w:rPr>
            <w:color w:val="0000EE"/>
            <w:u w:val="single"/>
          </w:rPr>
          <w:t>2.11–22</w:t>
        </w:r>
      </w:hyperlink>
      <w:r>
        <w:t xml:space="preserve">; cf. </w:t>
      </w:r>
      <w:hyperlink r:id="rId16810">
        <w:r>
          <w:rPr>
            <w:color w:val="0000EE"/>
            <w:u w:val="single"/>
          </w:rPr>
          <w:t>Jd 1.8–13</w:t>
        </w:r>
      </w:hyperlink>
      <w:r>
        <w:t>).</w:t>
      </w:r>
    </w:p>
    <w:p>
      <w:pPr>
        <w:pStyle w:val="Heading4"/>
      </w:pPr>
      <w:r>
        <w:t>Aviso de julgamento vindouro (</w:t>
      </w:r>
      <w:hyperlink r:id="rId16811">
        <w:r>
          <w:rPr>
            <w:color w:val="0000EE"/>
            <w:u w:val="single"/>
          </w:rPr>
          <w:t>3.1–16</w:t>
        </w:r>
      </w:hyperlink>
      <w:r>
        <w:t>)</w:t>
      </w:r>
    </w:p>
    <w:p>
      <w:r/>
      <w:r>
        <w:t xml:space="preserve">Tanto o AT quanto o próprio Jesus falam de um julgamento vindouro. Os falsos mestres podem zombar da ideia, mas a história de Noé mostra que Deus eventualmente julga. Deus julgou o mundo em Gênesis pela água (a mesma água da qual ele uma vez separou a terra em </w:t>
      </w:r>
      <w:hyperlink r:id="rId1452">
        <w:r>
          <w:rPr>
            <w:color w:val="0000EE"/>
            <w:u w:val="single"/>
          </w:rPr>
          <w:t>Gn 1</w:t>
        </w:r>
      </w:hyperlink>
      <w:r>
        <w:t>); ele julgará novamente, mas desta vez pelo fogo (</w:t>
      </w:r>
      <w:hyperlink r:id="rId16812">
        <w:r>
          <w:rPr>
            <w:color w:val="0000EE"/>
            <w:u w:val="single"/>
          </w:rPr>
          <w:t>2Pe 3.1–7</w:t>
        </w:r>
      </w:hyperlink>
      <w:r>
        <w:t>).</w:t>
      </w:r>
    </w:p>
    <w:p>
      <w:r/>
      <w:r>
        <w:t>O julgamento ainda não veio, porque Deus é maravilhosamente paciente; o tempo não tem o mesmo significado para ele como para os humanos. A zombaria dos falsos mestres simplesmente revela sua ignorância de Deus. E eles também não conhecem os motivos de Deus para seu aparente atraso — ou seja, que Deus quer perdoar as pessoas, não condená-las. Ele não se agrada em enviar pessoas para o inferno, mas deseja que todos sejam salvos; nem todos, no entanto, aceitarão a oferta de Deus, e eventualmente seu julgamento virá e o universo será queimado. Tudo o que agora é visível é transitório (</w:t>
      </w:r>
      <w:hyperlink r:id="rId16813">
        <w:r>
          <w:rPr>
            <w:color w:val="0000EE"/>
            <w:u w:val="single"/>
          </w:rPr>
          <w:t>3.8–10</w:t>
        </w:r>
      </w:hyperlink>
      <w:r>
        <w:t>).</w:t>
      </w:r>
    </w:p>
    <w:p>
      <w:r/>
      <w:r>
        <w:t>Portanto, os cristãos devem viver vidas santas, preparando-se para o novo e permanente mundo que Deus lhes prometeu, em vez de se entregarem aos desejos deste mundo temporário e perecível como fazem os falsos mestres (</w:t>
      </w:r>
      <w:hyperlink r:id="rId16814">
        <w:r>
          <w:rPr>
            <w:color w:val="0000EE"/>
            <w:u w:val="single"/>
          </w:rPr>
          <w:t>3.11–16</w:t>
        </w:r>
      </w:hyperlink>
      <w:r>
        <w:t xml:space="preserve">; cf. </w:t>
      </w:r>
      <w:hyperlink r:id="rId16815">
        <w:r>
          <w:rPr>
            <w:color w:val="0000EE"/>
            <w:u w:val="single"/>
          </w:rPr>
          <w:t>Jd 1.20–21</w:t>
        </w:r>
      </w:hyperlink>
      <w:r>
        <w:t>).</w:t>
      </w:r>
    </w:p>
    <w:p>
      <w:pPr>
        <w:pStyle w:val="Heading4"/>
      </w:pPr>
      <w:r>
        <w:t>Fechamento (</w:t>
      </w:r>
      <w:hyperlink r:id="rId16816">
        <w:r>
          <w:rPr>
            <w:color w:val="0000EE"/>
            <w:u w:val="single"/>
          </w:rPr>
          <w:t>3.17–18</w:t>
        </w:r>
      </w:hyperlink>
      <w:r>
        <w:t>)</w:t>
      </w:r>
    </w:p>
    <w:p>
      <w:r/>
      <w:r>
        <w:t>Para concluir, Pedro exorta os cristãos a estarem atentos contra os falsos ensinamentos. Em vez de copiar a vida dos falsos mestres, eles devem imitar a vida de Jesus. Uma doxologia a Cristo encerra a carta.</w:t>
      </w:r>
    </w:p>
    <w:p>
      <w:r/>
      <w:r>
        <w:rPr>
          <w:i/>
        </w:rPr>
        <w:t>Veja também</w:t>
      </w:r>
      <w:r>
        <w:t xml:space="preserve"> </w:t>
      </w:r>
      <w:r>
        <w:t>Pedro, O apóstolo</w:t>
      </w:r>
      <w:r>
        <w:t>.</w:t>
      </w:r>
      <w:r/>
      <w:r/>
    </w:p>
    <w:p>
      <w:r/>
    </w:p>
    <w:p>
      <w:pPr>
        <w:pStyle w:val="Heading2"/>
      </w:pPr>
      <w:r>
        <w:t>Peitoral, Couraça</w:t>
      </w:r>
      <w:r/>
    </w:p>
    <w:p>
      <w:pPr>
        <w:pStyle w:val="ListNumber"/>
        <w:spacing w:line="240" w:lineRule="auto"/>
        <w:ind w:left="720"/>
      </w:pPr>
      <w:r/>
      <w:r>
        <w:t>Uma parte das vestes cerimoniais do sumo sacerdote (</w:t>
      </w:r>
      <w:hyperlink r:id="rId15789">
        <w:r>
          <w:rPr>
            <w:color w:val="0000EE"/>
            <w:u w:val="single"/>
          </w:rPr>
          <w:t>Êx 25.7</w:t>
        </w:r>
      </w:hyperlink>
      <w:r>
        <w:t>).</w:t>
      </w:r>
    </w:p>
    <w:p>
      <w:r/>
      <w:r>
        <w:rPr>
          <w:i/>
        </w:rPr>
        <w:t>Veja</w:t>
      </w:r>
      <w:r>
        <w:t xml:space="preserve"> </w:t>
      </w:r>
      <w:r>
        <w:t>Sacerdotes e levitas</w:t>
      </w:r>
      <w:r>
        <w:t>.</w:t>
      </w:r>
    </w:p>
    <w:p>
      <w:pPr>
        <w:pStyle w:val="ListNumber"/>
        <w:spacing w:line="240" w:lineRule="auto"/>
        <w:ind w:left="720"/>
      </w:pPr>
      <w:r/>
      <w:r>
        <w:t xml:space="preserve">Uma peça de armadura usada para proteger o peito. A palavra é usada simbolicamente em várias passagens. </w:t>
      </w:r>
      <w:hyperlink r:id="rId16817">
        <w:r>
          <w:rPr>
            <w:color w:val="0000EE"/>
            <w:u w:val="single"/>
          </w:rPr>
          <w:t>Isaías 59.17</w:t>
        </w:r>
      </w:hyperlink>
      <w:r>
        <w:t xml:space="preserve"> diz que Deus vestiu a justiça como armadura. Ele fez isso para se vingar de seus inimigos. O apóstolo Paulo exortou os cristãos a usarem uma couraça de justiça para resistir ao diabo (</w:t>
      </w:r>
      <w:hyperlink r:id="rId13297">
        <w:r>
          <w:rPr>
            <w:color w:val="0000EE"/>
            <w:u w:val="single"/>
          </w:rPr>
          <w:t>Ef 6.14</w:t>
        </w:r>
      </w:hyperlink>
      <w:r>
        <w:t>). Ele também os exortou a usarem uma couraça de fé e amor enquanto aguardam o retorno de Cristo (</w:t>
      </w:r>
      <w:hyperlink r:id="rId16818">
        <w:r>
          <w:rPr>
            <w:color w:val="0000EE"/>
            <w:u w:val="single"/>
          </w:rPr>
          <w:t>1 Ts 5.8</w:t>
        </w:r>
      </w:hyperlink>
      <w:r>
        <w:t>).</w:t>
      </w:r>
    </w:p>
    <w:p>
      <w:r/>
      <w:r>
        <w:rPr>
          <w:i/>
        </w:rPr>
        <w:t>Veja também</w:t>
      </w:r>
      <w:r>
        <w:t xml:space="preserve"> </w:t>
      </w:r>
      <w:r>
        <w:t>Armadura e armas</w:t>
      </w:r>
      <w:r>
        <w:t>.</w:t>
      </w:r>
      <w:r/>
      <w:r/>
    </w:p>
    <w:p>
      <w:r/>
    </w:p>
    <w:p>
      <w:pPr>
        <w:pStyle w:val="Heading2"/>
      </w:pPr>
      <w:r>
        <w:t>Pelegue</w:t>
      </w:r>
      <w:r/>
    </w:p>
    <w:p>
      <w:r/>
      <w:r>
        <w:t>O filho de Éber e pai de Reú (</w:t>
      </w:r>
      <w:hyperlink r:id="rId16819">
        <w:r>
          <w:rPr>
            <w:color w:val="0000EE"/>
            <w:u w:val="single"/>
          </w:rPr>
          <w:t>Gn 10.25</w:t>
        </w:r>
      </w:hyperlink>
      <w:r>
        <w:t xml:space="preserve">; </w:t>
      </w:r>
      <w:hyperlink r:id="rId16820">
        <w:r>
          <w:rPr>
            <w:color w:val="0000EE"/>
            <w:u w:val="single"/>
          </w:rPr>
          <w:t>11.16–19</w:t>
        </w:r>
      </w:hyperlink>
      <w:r>
        <w:t xml:space="preserve">; </w:t>
      </w:r>
      <w:hyperlink r:id="rId16821">
        <w:r>
          <w:rPr>
            <w:color w:val="0000EE"/>
            <w:u w:val="single"/>
          </w:rPr>
          <w:t>1 Cr 1.19,25</w:t>
        </w:r>
      </w:hyperlink>
      <w:r>
        <w:t xml:space="preserve">; </w:t>
      </w:r>
      <w:hyperlink r:id="rId7530">
        <w:r>
          <w:rPr>
            <w:color w:val="0000EE"/>
            <w:u w:val="single"/>
          </w:rPr>
          <w:t>Lc 3.35</w:t>
        </w:r>
      </w:hyperlink>
      <w:r>
        <w:t>). Durante sua vida, a terra foi dividida (</w:t>
      </w:r>
      <w:r>
        <w:rPr>
          <w:i/>
        </w:rPr>
        <w:t>Pelegue</w:t>
      </w:r>
      <w:r>
        <w:t xml:space="preserve"> significa “divisão” ou “curso de água”). Não está claro a que essa divisão se refere. Sugestões incluem:</w:t>
      </w:r>
    </w:p>
    <w:p>
      <w:pPr>
        <w:pStyle w:val="ListNumber"/>
        <w:spacing w:line="240" w:lineRule="auto"/>
        <w:ind w:left="720"/>
      </w:pPr>
      <w:r/>
      <w:r>
        <w:t>A dispersão das línguas após a Torre de Babel (</w:t>
      </w:r>
      <w:hyperlink r:id="rId2957">
        <w:r>
          <w:rPr>
            <w:color w:val="0000EE"/>
            <w:u w:val="single"/>
          </w:rPr>
          <w:t>Gn 11.1–9</w:t>
        </w:r>
      </w:hyperlink>
      <w:r>
        <w:t>)</w:t>
      </w:r>
    </w:p>
    <w:p>
      <w:pPr>
        <w:pStyle w:val="ListNumber"/>
        <w:spacing w:line="240" w:lineRule="auto"/>
        <w:ind w:left="720"/>
      </w:pPr>
      <w:r/>
      <w:r>
        <w:t>A disseminação dos descendentes de Noé</w:t>
      </w:r>
    </w:p>
    <w:p>
      <w:pPr>
        <w:pStyle w:val="ListNumber"/>
        <w:spacing w:line="240" w:lineRule="auto"/>
        <w:ind w:left="720"/>
      </w:pPr>
      <w:r/>
      <w:r>
        <w:t>A separação do povo de Arfaxade dos árabes joctanitas (</w:t>
      </w:r>
      <w:hyperlink r:id="rId16822">
        <w:r>
          <w:rPr>
            <w:color w:val="0000EE"/>
            <w:u w:val="single"/>
          </w:rPr>
          <w:t>Gn 10.24–29</w:t>
        </w:r>
      </w:hyperlink>
      <w:r>
        <w:t>)</w:t>
      </w:r>
    </w:p>
    <w:p>
      <w:pPr>
        <w:pStyle w:val="ListNumber"/>
        <w:spacing w:line="240" w:lineRule="auto"/>
        <w:ind w:left="720"/>
      </w:pPr>
      <w:r/>
      <w:r>
        <w:t xml:space="preserve">A divisão da terra por canais (o termo é usado desta forma em </w:t>
      </w:r>
      <w:hyperlink r:id="rId16823">
        <w:r>
          <w:rPr>
            <w:color w:val="0000EE"/>
            <w:u w:val="single"/>
          </w:rPr>
          <w:t>Jó 29.6</w:t>
        </w:r>
      </w:hyperlink>
      <w:r>
        <w:t xml:space="preserve">; </w:t>
      </w:r>
      <w:hyperlink r:id="rId16824">
        <w:r>
          <w:rPr>
            <w:color w:val="0000EE"/>
            <w:u w:val="single"/>
          </w:rPr>
          <w:t>38.25</w:t>
        </w:r>
      </w:hyperlink>
      <w:r>
        <w:t xml:space="preserve">; </w:t>
      </w:r>
      <w:hyperlink r:id="rId16825">
        <w:r>
          <w:rPr>
            <w:color w:val="0000EE"/>
            <w:u w:val="single"/>
          </w:rPr>
          <w:t>Is 30.25</w:t>
        </w:r>
      </w:hyperlink>
      <w:r>
        <w:t xml:space="preserve">; </w:t>
      </w:r>
      <w:hyperlink r:id="rId16826">
        <w:r>
          <w:rPr>
            <w:color w:val="0000EE"/>
            <w:u w:val="single"/>
          </w:rPr>
          <w:t>32.2</w:t>
        </w:r>
      </w:hyperlink>
      <w:r>
        <w:t>)</w:t>
      </w:r>
    </w:p>
    <w:p>
      <w:r/>
      <w:r>
        <w:t>A origem do nome é geralmente atribuída à cidade de Phalga, ao norte da junção dos rios Eufrates e Cabur.</w:t>
      </w:r>
    </w:p>
    <w:p>
      <w:r/>
      <w:r>
        <w:rPr>
          <w:i/>
        </w:rPr>
        <w:t>Veja também</w:t>
      </w:r>
      <w:r>
        <w:t xml:space="preserve"> </w:t>
      </w:r>
      <w:r>
        <w:t>Ancestralidade de Jesus Cristo</w:t>
      </w:r>
      <w:r>
        <w:t>.</w:t>
      </w:r>
      <w:r/>
      <w:r/>
    </w:p>
    <w:p>
      <w:r/>
    </w:p>
    <w:p>
      <w:pPr>
        <w:pStyle w:val="Heading2"/>
      </w:pPr>
      <w:r>
        <w:t>Pelete</w:t>
      </w:r>
      <w:r/>
    </w:p>
    <w:p>
      <w:pPr>
        <w:pStyle w:val="ListNumber"/>
        <w:spacing w:line="240" w:lineRule="auto"/>
        <w:ind w:left="720"/>
      </w:pPr>
      <w:r/>
      <w:r>
        <w:t>Um homem da tribo de Rúben que era o pai de Om (</w:t>
      </w:r>
      <w:hyperlink r:id="rId5630">
        <w:r>
          <w:rPr>
            <w:color w:val="0000EE"/>
            <w:u w:val="single"/>
          </w:rPr>
          <w:t>Nm 16.1</w:t>
        </w:r>
      </w:hyperlink>
      <w:r>
        <w:t>).</w:t>
      </w:r>
    </w:p>
    <w:p>
      <w:pPr>
        <w:pStyle w:val="ListNumber"/>
        <w:spacing w:line="240" w:lineRule="auto"/>
        <w:ind w:left="720"/>
      </w:pPr>
      <w:r/>
      <w:r>
        <w:t>Um homem da tribo de Judá que era filho de Jônatas. Ele pertencia ao grupo familiar dos jerameelitas (</w:t>
      </w:r>
      <w:hyperlink r:id="rId16827">
        <w:r>
          <w:rPr>
            <w:color w:val="0000EE"/>
            <w:u w:val="single"/>
          </w:rPr>
          <w:t>1Cr 2.33</w:t>
        </w:r>
      </w:hyperlink>
      <w:r>
        <w:t>).</w:t>
      </w:r>
      <w:r/>
      <w:r/>
    </w:p>
    <w:p>
      <w:r/>
    </w:p>
    <w:p>
      <w:pPr>
        <w:pStyle w:val="Heading2"/>
      </w:pPr>
      <w:r>
        <w:t>Pelicano</w:t>
      </w:r>
      <w:r/>
    </w:p>
    <w:p>
      <w:r/>
      <w:r>
        <w:t>Um pelicano é a maior ave aquática do mundo, sendo muito maior do que um cisne. O pelicano comum (</w:t>
      </w:r>
      <w:r>
        <w:rPr>
          <w:i/>
        </w:rPr>
        <w:t>Pelecanus onocrotalus</w:t>
      </w:r>
      <w:r>
        <w:t>) geralmente mede cerca de 127 centímetros de comprimento. Seu bico tem aproximadamente 40,6 centímetros de comprimento. A parte superior do bico é curvada na ponta, o que ajuda o pelicano a capturar peixes. A parte inferior do bico possui uma bolsa amarela sob a garganta, que pode conter até 11,4 litros de pequenos peixes e água.</w:t>
      </w:r>
    </w:p>
    <w:p>
      <w:r/>
      <w:r>
        <w:t>Os pelicanos têm pés palmados com pele entre todos os quatro dedos. Eles são nadadores fortes e bons voadores. Devido aos seus corpos grandes, pescoços longos e cabeças pequenas, precisam correr ao longo da água e bater as pernas contra ela para decolar.</w:t>
      </w:r>
    </w:p>
    <w:p>
      <w:r/>
      <w:r>
        <w:t>Os pelicanos frequentemente voam e formam seus ninhos em grupos. A fêmea põe de um a quatro ovos. Tanto o macho quanto a fêmea cuidam dos filhotes. A maioria das aves alimenta seus filhotes colocando comida em suas bocas. Os pelicanos fazem o contrário. Os filhotes empurram suas cabeças profundamente na garganta da mãe e retiram alimento parcialmente digerido de sua bolsa. Nos tempos antigos, as pessoas pensavam que os filhotes estavam bebendo o sangue da mãe. Isso levou o pelicano a se tornar um símbolo do sacrifício de Cristo e da caridade (amor e cuidado pelos outros).</w:t>
      </w:r>
    </w:p>
    <w:p>
      <w:r/>
      <w:r>
        <w:t>O pelicano-rosado é branco, às vezes com um tom rosa pálido. Penas pretas crescem na extremidade de suas asas. As pernas, a bolsa e a pele ao redor dos olhos são amarelas, e o gancho na ponta do bico é vermelho. Esta ave pode atingir até 1,8 metros de comprimento e ter uma envergadura de 2,4 metros. Durante a época de reprodução, suas pernas e rosto ficam laranja ou vermelhos brilhantes. Suas penas brancas tornam-se rosa devido ao óleo de uma glândula, que a ave espalha por suas penas enquanto as limpa.</w:t>
      </w:r>
    </w:p>
    <w:p>
      <w:pPr>
        <w:pStyle w:val="Heading3"/>
      </w:pPr>
      <w:r>
        <w:rPr>
          <w:b/>
        </w:rPr>
        <w:t>Pelicanos na Bíblia</w:t>
      </w:r>
    </w:p>
    <w:p>
      <w:r/>
      <w:r>
        <w:t>Alguns estudiosos não têm certeza se "pelicano" é a tradução correta de uma palavra hebraica em vários versículos da Bíblia. Eles acreditam que pode se referir a uma coruja, falcão ou abutre. Algumas traduções da Bíblia incluem o pelicano na lista de aves que a lei considera impuras (</w:t>
      </w:r>
      <w:hyperlink r:id="rId16340">
        <w:r>
          <w:rPr>
            <w:color w:val="0000EE"/>
            <w:u w:val="single"/>
          </w:rPr>
          <w:t>Lv 11.18</w:t>
        </w:r>
      </w:hyperlink>
      <w:r>
        <w:t xml:space="preserve">; </w:t>
      </w:r>
      <w:hyperlink r:id="rId6035">
        <w:r>
          <w:rPr>
            <w:color w:val="0000EE"/>
            <w:u w:val="single"/>
          </w:rPr>
          <w:t>Dt 14.17</w:t>
        </w:r>
      </w:hyperlink>
      <w:r>
        <w:t xml:space="preserve">). Outros versículos também são debatidos por estudiosos. Alguns acreditam que o cenário desértico desses versículos torna improvável uma ave aquática como o pelicano (cp. </w:t>
      </w:r>
      <w:hyperlink r:id="rId6032">
        <w:r>
          <w:rPr>
            <w:color w:val="0000EE"/>
            <w:u w:val="single"/>
          </w:rPr>
          <w:t>Sl 102.6</w:t>
        </w:r>
      </w:hyperlink>
      <w:r>
        <w:t xml:space="preserve">; </w:t>
      </w:r>
      <w:hyperlink r:id="rId1828">
        <w:r>
          <w:rPr>
            <w:color w:val="0000EE"/>
            <w:u w:val="single"/>
          </w:rPr>
          <w:t>Is 34.11</w:t>
        </w:r>
      </w:hyperlink>
      <w:r>
        <w:t xml:space="preserve">; </w:t>
      </w:r>
      <w:hyperlink r:id="rId16315">
        <w:r>
          <w:rPr>
            <w:color w:val="0000EE"/>
            <w:u w:val="single"/>
          </w:rPr>
          <w:t>Sf 2.14</w:t>
        </w:r>
      </w:hyperlink>
      <w:r>
        <w:t>; a NTLH usa "coruja" nesses versículos).</w:t>
      </w:r>
    </w:p>
    <w:p>
      <w:r/>
      <w:r>
        <w:t>No entanto, o pelicano-rosado vive em rios, lagos e pântanos na Terra Santa. Ele pode voar até 32,2 quilômetros até o mar para pegar peixes e depois retornar a um lugar tranquilo no interior para descansar e digerir sua comida. Isso pode explicar por que a Bíblia o descreve como uma ave solitária do deserto.</w:t>
      </w:r>
    </w:p>
    <w:p>
      <w:r/>
      <w:r>
        <w:rPr>
          <w:i/>
        </w:rPr>
        <w:t>Veja também</w:t>
      </w:r>
      <w:r>
        <w:t xml:space="preserve"> </w:t>
      </w:r>
      <w:r>
        <w:t>Aves</w:t>
      </w:r>
      <w:r>
        <w:t>.</w:t>
      </w:r>
      <w:r/>
      <w:r/>
    </w:p>
    <w:p>
      <w:r/>
    </w:p>
    <w:p>
      <w:pPr>
        <w:pStyle w:val="Heading2"/>
      </w:pPr>
      <w:r>
        <w:t>Peniel</w:t>
      </w:r>
      <w:r/>
    </w:p>
    <w:p>
      <w:r/>
      <w:r>
        <w:t>Outra forma de Penuel. Esta foi a cidade palestina onde o patriarca Jacó lutou com o “homem” de Deus (</w:t>
      </w:r>
      <w:hyperlink r:id="rId11497">
        <w:r>
          <w:rPr>
            <w:color w:val="0000EE"/>
            <w:u w:val="single"/>
          </w:rPr>
          <w:t>Gn 32.30</w:t>
        </w:r>
      </w:hyperlink>
      <w:r>
        <w:t>).</w:t>
      </w:r>
    </w:p>
    <w:p>
      <w:r/>
      <w:r>
        <w:rPr>
          <w:i/>
        </w:rPr>
        <w:t>Veja</w:t>
      </w:r>
      <w:r>
        <w:t xml:space="preserve"> </w:t>
      </w:r>
      <w:r>
        <w:t>Penuel (lugar)</w:t>
      </w:r>
      <w:r>
        <w:t>.</w:t>
      </w:r>
      <w:r/>
      <w:r/>
    </w:p>
    <w:p>
      <w:r/>
    </w:p>
    <w:p>
      <w:pPr>
        <w:pStyle w:val="Heading2"/>
      </w:pPr>
      <w:r>
        <w:t>Pentateuco</w:t>
      </w:r>
      <w:r/>
    </w:p>
    <w:p>
      <w:r/>
      <w:r>
        <w:t xml:space="preserve">Uma palavra formada pelas raízes gregas </w:t>
      </w:r>
      <w:r>
        <w:rPr>
          <w:i/>
        </w:rPr>
        <w:t>pente</w:t>
      </w:r>
      <w:r>
        <w:t xml:space="preserve"> (que significa “cinco”) e </w:t>
      </w:r>
      <w:r>
        <w:rPr>
          <w:i/>
        </w:rPr>
        <w:t>teuchos</w:t>
      </w:r>
      <w:r>
        <w:t xml:space="preserve"> (que significa “livro”). O termo é comumente usado para se referir aos primeiros cinco livros do Antigo Testamento: Gênesis, Êxodo, Levítico, Números e Deuteronômio. Esses cinco livros eram frequentemente agrupados como um único livro. Esta porção da palavra de Deus é a base sobre a qual o restante das Escrituras se apoia. É tradicionalmente atribuída a Moisés (</w:t>
      </w:r>
      <w:hyperlink r:id="rId13080">
        <w:r>
          <w:rPr>
            <w:color w:val="0000EE"/>
            <w:u w:val="single"/>
          </w:rPr>
          <w:t>Êx 17.14</w:t>
        </w:r>
      </w:hyperlink>
      <w:r>
        <w:t xml:space="preserve">; </w:t>
      </w:r>
      <w:hyperlink r:id="rId981">
        <w:r>
          <w:rPr>
            <w:color w:val="0000EE"/>
            <w:u w:val="single"/>
          </w:rPr>
          <w:t>24.4</w:t>
        </w:r>
      </w:hyperlink>
      <w:r>
        <w:t xml:space="preserve">; </w:t>
      </w:r>
      <w:hyperlink r:id="rId12758">
        <w:r>
          <w:rPr>
            <w:color w:val="0000EE"/>
            <w:u w:val="single"/>
          </w:rPr>
          <w:t>34.27</w:t>
        </w:r>
      </w:hyperlink>
      <w:r>
        <w:t xml:space="preserve">; </w:t>
      </w:r>
      <w:hyperlink r:id="rId16828">
        <w:r>
          <w:rPr>
            <w:color w:val="0000EE"/>
            <w:u w:val="single"/>
          </w:rPr>
          <w:t>Nm 33.1–2</w:t>
        </w:r>
      </w:hyperlink>
      <w:r>
        <w:t xml:space="preserve">; </w:t>
      </w:r>
      <w:hyperlink r:id="rId13083">
        <w:r>
          <w:rPr>
            <w:color w:val="0000EE"/>
            <w:u w:val="single"/>
          </w:rPr>
          <w:t>Dt 31.9,22</w:t>
        </w:r>
      </w:hyperlink>
      <w:r>
        <w:t>). O Pentateuco inclui muitas histórias importantes, incluindo:</w:t>
      </w:r>
    </w:p>
    <w:p>
      <w:pPr>
        <w:pStyle w:val="ListBullet"/>
        <w:spacing w:line="240" w:lineRule="auto"/>
        <w:ind w:left="720"/>
      </w:pPr>
      <w:r/>
      <w:r>
        <w:t>A criação do universo;</w:t>
      </w:r>
    </w:p>
    <w:p>
      <w:pPr>
        <w:pStyle w:val="ListBullet"/>
        <w:spacing w:line="240" w:lineRule="auto"/>
        <w:ind w:left="720"/>
      </w:pPr>
      <w:r/>
      <w:r>
        <w:t>Interações de Deus com os humanos no jardim do Éden;</w:t>
      </w:r>
    </w:p>
    <w:p>
      <w:pPr>
        <w:pStyle w:val="ListBullet"/>
        <w:spacing w:line="240" w:lineRule="auto"/>
        <w:ind w:left="720"/>
      </w:pPr>
      <w:r/>
      <w:r>
        <w:t>a formação de uma família próspera para Abraão (as histórias patriarcais);</w:t>
      </w:r>
    </w:p>
    <w:p>
      <w:pPr>
        <w:pStyle w:val="ListBullet"/>
        <w:spacing w:line="240" w:lineRule="auto"/>
        <w:ind w:left="720"/>
      </w:pPr>
      <w:r/>
      <w:r>
        <w:t>a formação da nação de Israel.</w:t>
      </w:r>
    </w:p>
    <w:p>
      <w:r/>
      <w:r>
        <w:t>Grande parte do Pentateuco é composta por leis que orientam a vida religiosa e cotidiana da nação, na qual Deus é considerado o rei.</w:t>
      </w:r>
    </w:p>
    <w:p>
      <w:r/>
      <w:r>
        <w:rPr>
          <w:i/>
        </w:rPr>
        <w:t>Veja também</w:t>
      </w:r>
      <w:r>
        <w:t xml:space="preserve"> </w:t>
      </w:r>
      <w:r>
        <w:t>Deuteronômio, Livro de</w:t>
      </w:r>
      <w:r>
        <w:t xml:space="preserve">; </w:t>
      </w:r>
      <w:r>
        <w:t>Êxodo, Livro de</w:t>
      </w:r>
      <w:r>
        <w:t xml:space="preserve">; </w:t>
      </w:r>
      <w:r>
        <w:t>Gênesis, Livro de</w:t>
      </w:r>
      <w:r>
        <w:t>;</w:t>
      </w:r>
      <w:r>
        <w:t xml:space="preserve"> Levítico, Livro de</w:t>
      </w:r>
      <w:r>
        <w:t xml:space="preserve">; </w:t>
      </w:r>
      <w:r>
        <w:t>Números, Livro de</w:t>
      </w:r>
      <w:r>
        <w:t xml:space="preserve">; </w:t>
      </w:r>
      <w:r>
        <w:t>Torá</w:t>
      </w:r>
      <w:r>
        <w:t>.</w:t>
      </w:r>
      <w:r/>
      <w:r/>
    </w:p>
    <w:p>
      <w:r/>
    </w:p>
    <w:p>
      <w:pPr>
        <w:pStyle w:val="Heading2"/>
      </w:pPr>
      <w:r>
        <w:t>Pentecostes</w:t>
      </w:r>
      <w:r/>
    </w:p>
    <w:p>
      <w:r/>
      <w:r>
        <w:t>Palavra derivada do grego pentekoste (“quinquagésimo”), que representava o festival celebrado no 50º dia após a Páscoa. No AT, este festival, chamado Shavu‘oth (Semanas) no Judaísmo, é referido como a Festa das Semanas (</w:t>
      </w:r>
      <w:hyperlink r:id="rId4073">
        <w:r>
          <w:rPr>
            <w:color w:val="0000EE"/>
            <w:u w:val="single"/>
          </w:rPr>
          <w:t>Êx 34.22</w:t>
        </w:r>
      </w:hyperlink>
      <w:r>
        <w:t xml:space="preserve">; </w:t>
      </w:r>
      <w:hyperlink r:id="rId10917">
        <w:r>
          <w:rPr>
            <w:color w:val="0000EE"/>
            <w:u w:val="single"/>
          </w:rPr>
          <w:t>Dt 16.10</w:t>
        </w:r>
      </w:hyperlink>
      <w:r>
        <w:t>) porque ocorre sete semanas após a Páscoa. Outros nomes incluem a Festa da Colheita (</w:t>
      </w:r>
      <w:hyperlink r:id="rId5106">
        <w:r>
          <w:rPr>
            <w:color w:val="0000EE"/>
            <w:u w:val="single"/>
          </w:rPr>
          <w:t>Êx 23.16</w:t>
        </w:r>
      </w:hyperlink>
      <w:r>
        <w:t>), devido à sua relação com a época da colheita, e o dia das primícias (</w:t>
      </w:r>
      <w:hyperlink r:id="rId9276">
        <w:r>
          <w:rPr>
            <w:color w:val="0000EE"/>
            <w:u w:val="single"/>
          </w:rPr>
          <w:t>Nm 28.26</w:t>
        </w:r>
      </w:hyperlink>
      <w:r>
        <w:t xml:space="preserve">), porque dois pães de grãos recém-moídos eram apresentados diante do Senhor. (Este último nome deve ser distinguido da oferta das primícias no início da época da colheita, conforme mencionado em </w:t>
      </w:r>
      <w:hyperlink r:id="rId16829">
        <w:r>
          <w:rPr>
            <w:color w:val="0000EE"/>
            <w:u w:val="single"/>
          </w:rPr>
          <w:t>Lv 23.9–14</w:t>
        </w:r>
      </w:hyperlink>
      <w:r>
        <w:t>.)</w:t>
      </w:r>
    </w:p>
    <w:p>
      <w:r/>
      <w:r>
        <w:t>A Festa das Semanas era um dos três festivais de peregrinação do Antigo Testamento, quando os indivíduos deviam comparecer perante o Senhor com presentes e ofertas (</w:t>
      </w:r>
      <w:hyperlink r:id="rId9266">
        <w:r>
          <w:rPr>
            <w:color w:val="0000EE"/>
            <w:u w:val="single"/>
          </w:rPr>
          <w:t>Êx 23.14–17</w:t>
        </w:r>
      </w:hyperlink>
      <w:r>
        <w:t>). O festival era principalmente uma festa da colheita, celebrando o fim da colheita da cevada e o início da colheita do trigo. Tradicionalmente, a colheita de grãos se estendia desde a Páscoa, quando o primeiro grão era cortado (</w:t>
      </w:r>
      <w:hyperlink r:id="rId9271">
        <w:r>
          <w:rPr>
            <w:color w:val="0000EE"/>
            <w:u w:val="single"/>
          </w:rPr>
          <w:t>Dt 16.9</w:t>
        </w:r>
      </w:hyperlink>
      <w:r>
        <w:t>) por volta de meados de abril, até o Pentecostes, que marcava sua conclusão em meados de junho. A afirmação de Josefo de que o Pentecostes era chamado de “fechamento” ilustra esse entendimento (</w:t>
      </w:r>
      <w:r>
        <w:rPr>
          <w:i/>
        </w:rPr>
        <w:t>Antiguidades</w:t>
      </w:r>
      <w:r>
        <w:t xml:space="preserve"> 3.10.6).</w:t>
      </w:r>
    </w:p>
    <w:p>
      <w:r/>
      <w:r>
        <w:t>A cada ano, o sacerdote agitava um feixe de grãos recém-colhidos diante do Senhor no dia após o sábado durante o festival dos pães asmos (o período de sete dias após a Páscoa). O povo então contava 50 dias a partir da oferta daquele primeiro feixe de grãos até o dia após o sétimo sábado para observar a Festa das Semanas (</w:t>
      </w:r>
      <w:hyperlink r:id="rId16830">
        <w:r>
          <w:rPr>
            <w:color w:val="0000EE"/>
            <w:u w:val="single"/>
          </w:rPr>
          <w:t>Lv 23.11</w:t>
        </w:r>
      </w:hyperlink>
      <w:r>
        <w:t xml:space="preserve">). Nesse dia, dois pães, feitos de dois décimos de um Efá de farinha e assados com fermento, eram agitados diante do Senhor (v </w:t>
      </w:r>
      <w:hyperlink r:id="rId9205">
        <w:r>
          <w:rPr>
            <w:color w:val="0000EE"/>
            <w:u w:val="single"/>
          </w:rPr>
          <w:t>17</w:t>
        </w:r>
      </w:hyperlink>
      <w:r>
        <w:t>) e ofertas voluntárias eram incentivadas (</w:t>
      </w:r>
      <w:hyperlink r:id="rId10917">
        <w:r>
          <w:rPr>
            <w:color w:val="0000EE"/>
            <w:u w:val="single"/>
          </w:rPr>
          <w:t>Dt 16.10</w:t>
        </w:r>
      </w:hyperlink>
      <w:r>
        <w:t>). Este festival da colheita era um tempo de grande alegria e uma assembleia sagrada quando nenhum trabalho deveria ser realizado (</w:t>
      </w:r>
      <w:hyperlink r:id="rId16831">
        <w:r>
          <w:rPr>
            <w:color w:val="0000EE"/>
            <w:u w:val="single"/>
          </w:rPr>
          <w:t>Lv 23.21</w:t>
        </w:r>
      </w:hyperlink>
      <w:r>
        <w:t xml:space="preserve">; </w:t>
      </w:r>
      <w:hyperlink r:id="rId16832">
        <w:r>
          <w:rPr>
            <w:color w:val="0000EE"/>
            <w:u w:val="single"/>
          </w:rPr>
          <w:t>Dt 16.11</w:t>
        </w:r>
      </w:hyperlink>
      <w:r>
        <w:t>). A observância da Festa das Semanas durante o tempo de Salomão (</w:t>
      </w:r>
      <w:hyperlink r:id="rId16833">
        <w:r>
          <w:rPr>
            <w:color w:val="0000EE"/>
            <w:u w:val="single"/>
          </w:rPr>
          <w:t>2Cr 8.13</w:t>
        </w:r>
      </w:hyperlink>
      <w:r>
        <w:t>) é a única referência no AT fora do Pentateuco, pois Ezequiel não a menciona em seu calendário para festivais futuros (</w:t>
      </w:r>
      <w:hyperlink r:id="rId3257">
        <w:r>
          <w:rPr>
            <w:color w:val="0000EE"/>
            <w:u w:val="single"/>
          </w:rPr>
          <w:t>Ez 45–46</w:t>
        </w:r>
      </w:hyperlink>
      <w:r>
        <w:t>).</w:t>
      </w:r>
    </w:p>
    <w:p>
      <w:r/>
      <w:r>
        <w:t>O Pentecostes é mencionado pela primeira vez no NT como a ocasião do derramamento do Espírito Santo sobre os discípulos de Cristo, um evento que muitos teólogos entendem como a marca do início da igreja (</w:t>
      </w:r>
      <w:hyperlink r:id="rId6260">
        <w:r>
          <w:rPr>
            <w:color w:val="0000EE"/>
            <w:u w:val="single"/>
          </w:rPr>
          <w:t>At 2.1</w:t>
        </w:r>
      </w:hyperlink>
      <w:r>
        <w:t>). Como este era um festival obrigatório, judeus se reuniam de grandes distâncias para observar o Pentecostes em Jerusalém, tornando-o um momento apropriado para a obra de Deus. Em duas ocasiões, Paulo leva em consideração o Festival de Pentecostes ao planejar suas viagens. Na primeira instância, ele escreve aos coríntios sobre adiar sua visita a eles até depois do Pentecostes (</w:t>
      </w:r>
      <w:hyperlink r:id="rId9292">
        <w:r>
          <w:rPr>
            <w:color w:val="0000EE"/>
            <w:u w:val="single"/>
          </w:rPr>
          <w:t>1Co 16.8</w:t>
        </w:r>
      </w:hyperlink>
      <w:r>
        <w:t>), enquanto mais tarde ele desejava viajar para Jerusalém para chegar lá a tempo para o Pentecostes (</w:t>
      </w:r>
      <w:hyperlink r:id="rId6285">
        <w:r>
          <w:rPr>
            <w:color w:val="0000EE"/>
            <w:u w:val="single"/>
          </w:rPr>
          <w:t>At 20.16</w:t>
        </w:r>
      </w:hyperlink>
      <w:r>
        <w:t>).</w:t>
      </w:r>
    </w:p>
    <w:p>
      <w:r/>
      <w:r>
        <w:rPr>
          <w:i/>
        </w:rPr>
        <w:t>Veja também</w:t>
      </w:r>
      <w:r>
        <w:t xml:space="preserve"> </w:t>
      </w:r>
      <w:r>
        <w:t>Festas e festivais de Israel</w:t>
      </w:r>
      <w:r>
        <w:t>.</w:t>
      </w:r>
      <w:r/>
      <w:r/>
    </w:p>
    <w:p>
      <w:r/>
    </w:p>
    <w:p>
      <w:pPr>
        <w:pStyle w:val="Heading2"/>
      </w:pPr>
      <w:r>
        <w:t>Penuel (Lugar)</w:t>
      </w:r>
      <w:r/>
    </w:p>
    <w:p>
      <w:r/>
      <w:r>
        <w:t>Um nome dado ao lugar perto do rio Jaboque onde o patriarca Jacó lutou a noite toda com Deus (</w:t>
      </w:r>
      <w:hyperlink r:id="rId16834">
        <w:r>
          <w:rPr>
            <w:color w:val="0000EE"/>
            <w:u w:val="single"/>
          </w:rPr>
          <w:t>Gn 32.31</w:t>
        </w:r>
      </w:hyperlink>
      <w:r>
        <w:t xml:space="preserve">). Outro nome é “Peniel” (versículo </w:t>
      </w:r>
      <w:hyperlink r:id="rId11497">
        <w:r>
          <w:rPr>
            <w:color w:val="0000EE"/>
            <w:u w:val="single"/>
          </w:rPr>
          <w:t>30</w:t>
        </w:r>
      </w:hyperlink>
      <w:r>
        <w:t>).</w:t>
      </w:r>
    </w:p>
    <w:p>
      <w:r/>
      <w:r>
        <w:t>Gideão destruiu a torre de Penuel quando era líder durante o tempo dos juízes. Ele matou os homens da cidade por se recusarem a se juntar a ele na guerra contra os midianitas (</w:t>
      </w:r>
      <w:hyperlink r:id="rId16835">
        <w:r>
          <w:rPr>
            <w:color w:val="0000EE"/>
            <w:u w:val="single"/>
          </w:rPr>
          <w:t>Jz 8.8–9,17</w:t>
        </w:r>
      </w:hyperlink>
      <w:r>
        <w:t>). Mais tarde, o rei Jeroboão reconstruiu a cidade (</w:t>
      </w:r>
      <w:hyperlink r:id="rId11613">
        <w:r>
          <w:rPr>
            <w:color w:val="0000EE"/>
            <w:u w:val="single"/>
          </w:rPr>
          <w:t>1Rs 12.25</w:t>
        </w:r>
      </w:hyperlink>
      <w:r>
        <w:t>). Ficava perto de Sucote, a leste do rio Jordão, embora sua localização exata permaneça incerta.</w:t>
      </w:r>
      <w:r/>
      <w:r/>
    </w:p>
    <w:p>
      <w:r/>
    </w:p>
    <w:p>
      <w:pPr>
        <w:pStyle w:val="Heading2"/>
      </w:pPr>
      <w:r>
        <w:t>Peor (divindade)</w:t>
      </w:r>
      <w:r/>
    </w:p>
    <w:p>
      <w:r/>
      <w:r>
        <w:t>Uma forma abreviada do nome do deus cananeu chamado Baal-Peor. Pode também referir-se ao lugar onde esse falso deus era adorado (</w:t>
      </w:r>
      <w:hyperlink r:id="rId11665">
        <w:r>
          <w:rPr>
            <w:color w:val="0000EE"/>
            <w:u w:val="single"/>
          </w:rPr>
          <w:t>Nm 23.28</w:t>
        </w:r>
      </w:hyperlink>
      <w:r>
        <w:t xml:space="preserve">; </w:t>
      </w:r>
      <w:hyperlink r:id="rId16836">
        <w:r>
          <w:rPr>
            <w:color w:val="0000EE"/>
            <w:u w:val="single"/>
          </w:rPr>
          <w:t>25.3,5</w:t>
        </w:r>
      </w:hyperlink>
      <w:r>
        <w:t>).</w:t>
      </w:r>
    </w:p>
    <w:p>
      <w:r/>
      <w:r>
        <w:rPr>
          <w:i/>
        </w:rPr>
        <w:t>Veja</w:t>
      </w:r>
      <w:r>
        <w:t xml:space="preserve"> </w:t>
      </w:r>
      <w:r>
        <w:t>Baal-Peor</w:t>
      </w:r>
      <w:r>
        <w:t xml:space="preserve">; </w:t>
      </w:r>
      <w:r>
        <w:t>Deidades e religião cananeias</w:t>
      </w:r>
      <w:r>
        <w:t>.</w:t>
      </w:r>
      <w:r/>
      <w:r/>
    </w:p>
    <w:p>
      <w:r/>
    </w:p>
    <w:p>
      <w:pPr>
        <w:pStyle w:val="Heading2"/>
      </w:pPr>
      <w:r>
        <w:t>Peor (Lugar)</w:t>
      </w:r>
      <w:r/>
    </w:p>
    <w:p>
      <w:pPr>
        <w:pStyle w:val="ListNumber"/>
        <w:spacing w:line="240" w:lineRule="auto"/>
        <w:ind w:left="720"/>
      </w:pPr>
      <w:r/>
      <w:r>
        <w:t>Uma montanha a leste do Rio Jordão e ao norte do Mar Morto. Foi aqui que o rei Balaque levou Balaão em uma tentativa final de fazê-lo amaldiçoar os israelitas (</w:t>
      </w:r>
      <w:hyperlink r:id="rId11665">
        <w:r>
          <w:rPr>
            <w:color w:val="0000EE"/>
            <w:u w:val="single"/>
          </w:rPr>
          <w:t>Nm 23.28</w:t>
        </w:r>
      </w:hyperlink>
      <w:r>
        <w:t>). Dessa montanha, eles podiam ver o acampamento israelita em Sitim (</w:t>
      </w:r>
      <w:hyperlink r:id="rId16837">
        <w:r>
          <w:rPr>
            <w:color w:val="0000EE"/>
            <w:u w:val="single"/>
          </w:rPr>
          <w:t>24.2</w:t>
        </w:r>
      </w:hyperlink>
      <w:r>
        <w:t>). Nesse lugar, os israelitas começaram a ter relações sexuais com mulheres moabitas e adoraram o falso deus Baal (</w:t>
      </w:r>
      <w:hyperlink r:id="rId16838">
        <w:r>
          <w:rPr>
            <w:color w:val="0000EE"/>
            <w:u w:val="single"/>
          </w:rPr>
          <w:t>25.1–13</w:t>
        </w:r>
      </w:hyperlink>
      <w:r>
        <w:t>). Não temos certeza da localização exata dessa montanha. No entanto, os primeiros estudiosos cristãos Eusébio e Jerônimo escreveram que ela estava localizada em frente a Jericó, no caminho para Hesbom. Por causa disso, a maioria das pessoas acredita que Peor estava perto do Monte Nebo, na cadeia de montanhas Abarim.</w:t>
      </w:r>
    </w:p>
    <w:p>
      <w:pPr>
        <w:pStyle w:val="ListNumber"/>
        <w:spacing w:line="240" w:lineRule="auto"/>
        <w:ind w:left="720"/>
      </w:pPr>
      <w:r/>
      <w:r>
        <w:t xml:space="preserve">O nome de um lugar mencionado na Septuaginta (uma antiga tradução grega do Antigo Testamento) em </w:t>
      </w:r>
      <w:hyperlink r:id="rId16839">
        <w:r>
          <w:rPr>
            <w:color w:val="0000EE"/>
            <w:u w:val="single"/>
          </w:rPr>
          <w:t>Josué 15.59</w:t>
        </w:r>
      </w:hyperlink>
      <w:r>
        <w:t>. Este lugar não é mencionado nos manuscritos hebraicos da Bíblia. Hoje, estudiosos identificam Peor com a localização moderna chamada Khirbet Faghur, que fica a sudoeste de Belém.</w:t>
      </w:r>
      <w:r/>
      <w:r/>
    </w:p>
    <w:p>
      <w:r/>
    </w:p>
    <w:p>
      <w:pPr>
        <w:pStyle w:val="Heading2"/>
      </w:pPr>
      <w:r>
        <w:t>Pepino</w:t>
      </w:r>
      <w:r/>
    </w:p>
    <w:p>
      <w:r/>
      <w:r>
        <w:t xml:space="preserve">Um vegetal de jardim da família das cucurbitáceas. </w:t>
      </w:r>
      <w:hyperlink r:id="rId754">
        <w:r>
          <w:rPr>
            <w:color w:val="0000EE"/>
            <w:u w:val="single"/>
          </w:rPr>
          <w:t xml:space="preserve">Números 11.5 </w:t>
        </w:r>
      </w:hyperlink>
      <w:r>
        <w:t>menciona-o como um dos alimentos desejados pelos israelitas errantes quando se lembraram dos alimentos que comiam no Egito.</w:t>
      </w:r>
    </w:p>
    <w:p>
      <w:r/>
      <w:r>
        <w:t>O pepino é uma videira anual que cresce verticalmente ou se espalha. Ninguém sabe ao certo a origem exata dos pepinos. As pessoas cultivam pepinos em todos os países quentes da Europa, Ásia e África desde tempos pré-históricos.</w:t>
      </w:r>
    </w:p>
    <w:p>
      <w:r/>
      <w:r>
        <w:t>Os pepinos geralmente são consumidos crus. Um pepino e um bolo de cevada ou algum outro tipo de pão costumam compor uma refeição simples. A referência a "uma cabana numa plantação de pepinos" (</w:t>
      </w:r>
      <w:hyperlink r:id="rId3881">
        <w:r>
          <w:rPr>
            <w:color w:val="0000EE"/>
            <w:u w:val="single"/>
          </w:rPr>
          <w:t>Is 1.8</w:t>
        </w:r>
      </w:hyperlink>
      <w:r>
        <w:t>) refere-se à pequena casa ou abrigo rudimentar frequentemente montado em campos de pepinos e vinhedos palestinos. Esses abrigos protegiam os agricultores ou vigias que guardavam as colheitas.</w:t>
      </w:r>
    </w:p>
    <w:p>
      <w:r/>
      <w:r>
        <w:rPr>
          <w:i/>
        </w:rPr>
        <w:t>Veja</w:t>
      </w:r>
      <w:r>
        <w:t xml:space="preserve"> </w:t>
      </w:r>
      <w:r>
        <w:t>Alimentos e preparação de alimentos</w:t>
      </w:r>
      <w:r>
        <w:t>.</w:t>
      </w:r>
      <w:r/>
      <w:r/>
    </w:p>
    <w:p>
      <w:r/>
    </w:p>
    <w:p>
      <w:pPr>
        <w:pStyle w:val="Heading2"/>
      </w:pPr>
      <w:r>
        <w:t>Perdão</w:t>
      </w:r>
      <w:r/>
    </w:p>
    <w:p>
      <w:r/>
      <w:r>
        <w:t>Perdão, envolvendo restauração de relacionamentos quebrados; o cessar de sentir ressentimento pelos erros e ofensas. Primeiramente, o perdão é um ato de Deus, libertando os pecadores do julgamento e libertando-os da penalidade divina de seu pecado. Considerando que apenas Deus é santo, apenas ele pode perdoar pecados (</w:t>
      </w:r>
      <w:hyperlink r:id="rId3816">
        <w:r>
          <w:rPr>
            <w:color w:val="0000EE"/>
            <w:u w:val="single"/>
          </w:rPr>
          <w:t>Mc 2.7</w:t>
        </w:r>
      </w:hyperlink>
      <w:r>
        <w:t xml:space="preserve">; </w:t>
      </w:r>
      <w:hyperlink r:id="rId16840">
        <w:r>
          <w:rPr>
            <w:color w:val="0000EE"/>
            <w:u w:val="single"/>
          </w:rPr>
          <w:t>Lc 5.21</w:t>
        </w:r>
      </w:hyperlink>
      <w:r>
        <w:t>). O perdão também é um ato humano estendido em direção ao próximo — uma manifestação da realização e apropriação do perdão de Deus. Assim, o perdão é uma doutrina exclusivamente cristã.</w:t>
      </w:r>
    </w:p>
    <w:p>
      <w:r/>
      <w:r>
        <w:t>Em outras religiões, o perdão não tem a mesma força. No animismo, não há consciência de um relacionamento pessoal com Deus. No hinduísmo, todos têm que pagar as consequências inexoráveis do carma no ciclo de reencarnações. O budismo também não sabe nada sobre um Deus perdoador. A ideia está presente no Islã, mas não há um Deus ou pai pessoais. Mesmo no judaísmo, o perdão permanece uma experiência limitada, embora o conceito de perdão desenvolvido no NT complemente o ensino do AT.</w:t>
      </w:r>
    </w:p>
    <w:p>
      <w:pPr>
        <w:pStyle w:val="Heading3"/>
      </w:pPr>
      <w:r>
        <w:t>Expressões de Perdão no Antigo Testamento</w:t>
      </w:r>
    </w:p>
    <w:p>
      <w:r/>
      <w:r>
        <w:t xml:space="preserve">A ideia de perdão é expressa em várias metáforas. O comando é </w:t>
      </w:r>
      <w:r>
        <w:rPr>
          <w:i/>
        </w:rPr>
        <w:t>nasa</w:t>
      </w:r>
      <w:r>
        <w:t>, “enviar”, como o bode expiatório era enviado para o deserto para carregar os pecados dos israelitas. Também é traduzido como “ser misericordioso” (</w:t>
      </w:r>
      <w:hyperlink r:id="rId16841">
        <w:r>
          <w:rPr>
            <w:color w:val="0000EE"/>
            <w:u w:val="single"/>
          </w:rPr>
          <w:t>Lv 4.20</w:t>
        </w:r>
      </w:hyperlink>
      <w:r>
        <w:t xml:space="preserve">; </w:t>
      </w:r>
      <w:hyperlink r:id="rId16842">
        <w:r>
          <w:rPr>
            <w:color w:val="0000EE"/>
            <w:u w:val="single"/>
          </w:rPr>
          <w:t>1Rs 8.30,34</w:t>
        </w:r>
      </w:hyperlink>
      <w:r>
        <w:t xml:space="preserve">; </w:t>
      </w:r>
      <w:hyperlink r:id="rId15859">
        <w:r>
          <w:rPr>
            <w:color w:val="0000EE"/>
            <w:u w:val="single"/>
          </w:rPr>
          <w:t>Sl 86.5</w:t>
        </w:r>
      </w:hyperlink>
      <w:r>
        <w:t xml:space="preserve">; </w:t>
      </w:r>
      <w:hyperlink r:id="rId6384">
        <w:r>
          <w:rPr>
            <w:color w:val="0000EE"/>
            <w:u w:val="single"/>
          </w:rPr>
          <w:t>103.3</w:t>
        </w:r>
      </w:hyperlink>
      <w:r>
        <w:t>). A palavra hebraica kapar é comumente usada para expiação, que significa “encobrir”, pois o sacrifício foi oferecido para cobrir a deficiência do adorador (</w:t>
      </w:r>
      <w:hyperlink r:id="rId16843">
        <w:r>
          <w:rPr>
            <w:color w:val="0000EE"/>
            <w:u w:val="single"/>
          </w:rPr>
          <w:t>Êx 29.36</w:t>
        </w:r>
      </w:hyperlink>
      <w:r>
        <w:t xml:space="preserve">; </w:t>
      </w:r>
      <w:hyperlink r:id="rId16844">
        <w:r>
          <w:rPr>
            <w:color w:val="0000EE"/>
            <w:u w:val="single"/>
          </w:rPr>
          <w:t>Dt 21:8</w:t>
        </w:r>
      </w:hyperlink>
      <w:r>
        <w:t xml:space="preserve">; </w:t>
      </w:r>
      <w:hyperlink r:id="rId13658">
        <w:r>
          <w:rPr>
            <w:color w:val="0000EE"/>
            <w:u w:val="single"/>
          </w:rPr>
          <w:t>Jr 18.23</w:t>
        </w:r>
      </w:hyperlink>
      <w:r>
        <w:t xml:space="preserve">; </w:t>
      </w:r>
      <w:hyperlink r:id="rId16845">
        <w:r>
          <w:rPr>
            <w:color w:val="0000EE"/>
            <w:u w:val="single"/>
          </w:rPr>
          <w:t>Ez 43.20</w:t>
        </w:r>
      </w:hyperlink>
      <w:r>
        <w:t xml:space="preserve">; </w:t>
      </w:r>
      <w:hyperlink r:id="rId16846">
        <w:r>
          <w:rPr>
            <w:color w:val="0000EE"/>
            <w:u w:val="single"/>
          </w:rPr>
          <w:t>45.20</w:t>
        </w:r>
      </w:hyperlink>
      <w:r>
        <w:t>). Os cognatos de salah sempre se referem ao ato de perdão de Deus (</w:t>
      </w:r>
      <w:hyperlink r:id="rId16847">
        <w:r>
          <w:rPr>
            <w:color w:val="0000EE"/>
            <w:u w:val="single"/>
          </w:rPr>
          <w:t>Nm 30.5,8,12</w:t>
        </w:r>
      </w:hyperlink>
      <w:r>
        <w:t xml:space="preserve">; </w:t>
      </w:r>
      <w:hyperlink r:id="rId15859">
        <w:r>
          <w:rPr>
            <w:color w:val="0000EE"/>
            <w:u w:val="single"/>
          </w:rPr>
          <w:t>Sl 86.5</w:t>
        </w:r>
      </w:hyperlink>
      <w:r>
        <w:t xml:space="preserve">; </w:t>
      </w:r>
      <w:hyperlink r:id="rId16848">
        <w:r>
          <w:rPr>
            <w:color w:val="0000EE"/>
            <w:u w:val="single"/>
          </w:rPr>
          <w:t>130.4</w:t>
        </w:r>
      </w:hyperlink>
      <w:r>
        <w:t xml:space="preserve">; </w:t>
      </w:r>
      <w:hyperlink r:id="rId16849">
        <w:r>
          <w:rPr>
            <w:color w:val="0000EE"/>
            <w:u w:val="single"/>
          </w:rPr>
          <w:t>Dn 9.9</w:t>
        </w:r>
      </w:hyperlink>
      <w:r>
        <w:t xml:space="preserve">). Deus deixa para trás a transgressão; ele a remove. Outra expressão é </w:t>
      </w:r>
      <w:r>
        <w:rPr>
          <w:i/>
        </w:rPr>
        <w:t>maha</w:t>
      </w:r>
      <w:r>
        <w:t>, “limpar” (</w:t>
      </w:r>
      <w:hyperlink r:id="rId16850">
        <w:r>
          <w:rPr>
            <w:color w:val="0000EE"/>
            <w:u w:val="single"/>
          </w:rPr>
          <w:t>Sl 51.1,7</w:t>
        </w:r>
      </w:hyperlink>
      <w:r>
        <w:t xml:space="preserve">; </w:t>
      </w:r>
      <w:hyperlink r:id="rId16851">
        <w:r>
          <w:rPr>
            <w:color w:val="0000EE"/>
            <w:u w:val="single"/>
          </w:rPr>
          <w:t>Is 43.25</w:t>
        </w:r>
      </w:hyperlink>
      <w:r>
        <w:t xml:space="preserve">; </w:t>
      </w:r>
      <w:hyperlink r:id="rId16852">
        <w:r>
          <w:rPr>
            <w:color w:val="0000EE"/>
            <w:u w:val="single"/>
          </w:rPr>
          <w:t>44.22</w:t>
        </w:r>
      </w:hyperlink>
      <w:r>
        <w:t>).</w:t>
      </w:r>
    </w:p>
    <w:p>
      <w:r/>
      <w:r>
        <w:t>O AT ensina que Deus é um Deus perdoador (</w:t>
      </w:r>
      <w:hyperlink r:id="rId848">
        <w:r>
          <w:rPr>
            <w:color w:val="0000EE"/>
            <w:u w:val="single"/>
          </w:rPr>
          <w:t>Êx 34.6–7</w:t>
        </w:r>
      </w:hyperlink>
      <w:r>
        <w:t xml:space="preserve">; </w:t>
      </w:r>
      <w:hyperlink r:id="rId6796">
        <w:r>
          <w:rPr>
            <w:color w:val="0000EE"/>
            <w:u w:val="single"/>
          </w:rPr>
          <w:t>Ne 9.17</w:t>
        </w:r>
      </w:hyperlink>
      <w:r>
        <w:t xml:space="preserve">; </w:t>
      </w:r>
      <w:hyperlink r:id="rId16849">
        <w:r>
          <w:rPr>
            <w:color w:val="0000EE"/>
            <w:u w:val="single"/>
          </w:rPr>
          <w:t>Dn 9.9</w:t>
        </w:r>
      </w:hyperlink>
      <w:r>
        <w:t>), mas ele é justo e pune o pecado. Muitos incidentes também são apresentados onde Deus se recusa a perdoar quando as condições adequadas não são atendidas, ou quando certas ofensas graves são cometidas (</w:t>
      </w:r>
      <w:hyperlink r:id="rId16853">
        <w:r>
          <w:rPr>
            <w:color w:val="0000EE"/>
            <w:u w:val="single"/>
          </w:rPr>
          <w:t>Dt 29.20</w:t>
        </w:r>
      </w:hyperlink>
      <w:r>
        <w:t xml:space="preserve">; </w:t>
      </w:r>
      <w:hyperlink r:id="rId6360">
        <w:r>
          <w:rPr>
            <w:color w:val="0000EE"/>
            <w:u w:val="single"/>
          </w:rPr>
          <w:t>2Rs 24.4</w:t>
        </w:r>
      </w:hyperlink>
      <w:r>
        <w:t xml:space="preserve">; </w:t>
      </w:r>
      <w:hyperlink r:id="rId6923">
        <w:r>
          <w:rPr>
            <w:color w:val="0000EE"/>
            <w:u w:val="single"/>
          </w:rPr>
          <w:t>Jr 5.7</w:t>
        </w:r>
      </w:hyperlink>
      <w:r>
        <w:t>). O perdão está enraizado no caráter de Deus, mas seu perdão nunca é indiscriminado, pois as pessoas também devem ser penitentes. O AT usa imagens vívidas para indicar a magnitude do perdão de Deus. O pecado é lançado “nas profundezas do mar” (</w:t>
      </w:r>
      <w:hyperlink r:id="rId5283">
        <w:r>
          <w:rPr>
            <w:color w:val="0000EE"/>
            <w:u w:val="single"/>
          </w:rPr>
          <w:t>Mq 7.19</w:t>
        </w:r>
      </w:hyperlink>
      <w:r>
        <w:t>), removido tão longe “Quanto o Oriente está do Ocidente” (</w:t>
      </w:r>
      <w:hyperlink r:id="rId16854">
        <w:r>
          <w:rPr>
            <w:color w:val="0000EE"/>
            <w:u w:val="single"/>
          </w:rPr>
          <w:t>Sl 103.12</w:t>
        </w:r>
      </w:hyperlink>
      <w:r>
        <w:t>), escondido pelas costas de Deus (</w:t>
      </w:r>
      <w:hyperlink r:id="rId16855">
        <w:r>
          <w:rPr>
            <w:color w:val="0000EE"/>
            <w:u w:val="single"/>
          </w:rPr>
          <w:t>Is 38.17</w:t>
        </w:r>
      </w:hyperlink>
      <w:r>
        <w:t>), “não mais lembrado” (</w:t>
      </w:r>
      <w:hyperlink r:id="rId823">
        <w:r>
          <w:rPr>
            <w:color w:val="0000EE"/>
            <w:u w:val="single"/>
          </w:rPr>
          <w:t>Jr 31.34</w:t>
        </w:r>
      </w:hyperlink>
      <w:r>
        <w:t>). A mancha e a sujeira do pecado são branqueadas (</w:t>
      </w:r>
      <w:hyperlink r:id="rId1843">
        <w:r>
          <w:rPr>
            <w:color w:val="0000EE"/>
            <w:u w:val="single"/>
          </w:rPr>
          <w:t>Is 1.18</w:t>
        </w:r>
      </w:hyperlink>
      <w:r>
        <w:t>). O pecado, que é como um peso a ser carregado, é para sempre erguido e remido.</w:t>
      </w:r>
    </w:p>
    <w:p>
      <w:r/>
      <w:r>
        <w:t>A dinâmica do perdão no Antigo Testamento é, portanto, libertar alguém do passado. Os atos e ações passadas de pecado não são negados, mas não há mais nenhum vínculo. O perdão traz liberdade.</w:t>
      </w:r>
    </w:p>
    <w:p>
      <w:pPr>
        <w:pStyle w:val="Heading3"/>
      </w:pPr>
      <w:r>
        <w:t>Perdão no Novo Testamento</w:t>
      </w:r>
    </w:p>
    <w:p>
      <w:r/>
      <w:r>
        <w:t>No NT, o conceito de perdão imerecido de Deus é intensificado pelo fato de que Deus perdoou nossos pecados quando Cristo morreu por nós. Cada humano é um devedor insolvente (</w:t>
      </w:r>
      <w:hyperlink r:id="rId7384">
        <w:r>
          <w:rPr>
            <w:color w:val="0000EE"/>
            <w:u w:val="single"/>
          </w:rPr>
          <w:t>Mt 18.23–35</w:t>
        </w:r>
      </w:hyperlink>
      <w:r>
        <w:t>) que não tem esperança de quitar sua dívida. Todos somos pecadores, não podemos cumprir a lei ou nos salvar (</w:t>
      </w:r>
      <w:hyperlink r:id="rId16856">
        <w:r>
          <w:rPr>
            <w:color w:val="0000EE"/>
            <w:u w:val="single"/>
          </w:rPr>
          <w:t>Mc 10.26–27</w:t>
        </w:r>
      </w:hyperlink>
      <w:r>
        <w:t>). Isso destaca o ensino do NT de que é na pessoa do próprio Cristo que há perdão. Somente ele tem o poder para perdoar pecados (</w:t>
      </w:r>
      <w:hyperlink r:id="rId16857">
        <w:r>
          <w:rPr>
            <w:color w:val="0000EE"/>
            <w:u w:val="single"/>
          </w:rPr>
          <w:t>2.5–10</w:t>
        </w:r>
      </w:hyperlink>
      <w:r>
        <w:t>). É sua morte que é redentiva (</w:t>
      </w:r>
      <w:hyperlink r:id="rId856">
        <w:r>
          <w:rPr>
            <w:color w:val="0000EE"/>
            <w:u w:val="single"/>
          </w:rPr>
          <w:t>Mt 26.28</w:t>
        </w:r>
      </w:hyperlink>
      <w:r>
        <w:t xml:space="preserve">; </w:t>
      </w:r>
      <w:hyperlink r:id="rId921">
        <w:r>
          <w:rPr>
            <w:color w:val="0000EE"/>
            <w:u w:val="single"/>
          </w:rPr>
          <w:t>Mc 10.45</w:t>
        </w:r>
      </w:hyperlink>
      <w:r>
        <w:t>) e seu sangue que é a base de uma nova aliança (</w:t>
      </w:r>
      <w:hyperlink r:id="rId851">
        <w:r>
          <w:rPr>
            <w:color w:val="0000EE"/>
            <w:u w:val="single"/>
          </w:rPr>
          <w:t>1Co 11.25</w:t>
        </w:r>
      </w:hyperlink>
      <w:r>
        <w:t>). É por meio dele que alguém pode experimentar verdadeiramente o perdão (</w:t>
      </w:r>
      <w:hyperlink r:id="rId854">
        <w:r>
          <w:rPr>
            <w:color w:val="0000EE"/>
            <w:u w:val="single"/>
          </w:rPr>
          <w:t>Hb 9.15,22</w:t>
        </w:r>
      </w:hyperlink>
      <w:r>
        <w:t>). Então o perdão é inseparável da proclamação de Jesus Cristo (</w:t>
      </w:r>
      <w:hyperlink r:id="rId3206">
        <w:r>
          <w:rPr>
            <w:color w:val="0000EE"/>
            <w:u w:val="single"/>
          </w:rPr>
          <w:t>At 13.38</w:t>
        </w:r>
      </w:hyperlink>
      <w:r>
        <w:t xml:space="preserve">; </w:t>
      </w:r>
      <w:hyperlink r:id="rId6340">
        <w:r>
          <w:rPr>
            <w:color w:val="0000EE"/>
            <w:u w:val="single"/>
          </w:rPr>
          <w:t>Ef 1.7</w:t>
        </w:r>
      </w:hyperlink>
      <w:r>
        <w:t xml:space="preserve">; </w:t>
      </w:r>
      <w:hyperlink r:id="rId16858">
        <w:r>
          <w:rPr>
            <w:color w:val="0000EE"/>
            <w:u w:val="single"/>
          </w:rPr>
          <w:t>Cl 1.14</w:t>
        </w:r>
      </w:hyperlink>
      <w:r>
        <w:t xml:space="preserve">; </w:t>
      </w:r>
      <w:hyperlink r:id="rId16859">
        <w:r>
          <w:rPr>
            <w:color w:val="0000EE"/>
            <w:u w:val="single"/>
          </w:rPr>
          <w:t>1Jo 2.12</w:t>
        </w:r>
      </w:hyperlink>
      <w:r>
        <w:t>).</w:t>
      </w:r>
    </w:p>
    <w:p>
      <w:r/>
      <w:r>
        <w:t xml:space="preserve">Há outros conceitos distintos de perdão no NT. A palavra grega </w:t>
      </w:r>
      <w:r>
        <w:rPr>
          <w:i/>
        </w:rPr>
        <w:t>charizomai</w:t>
      </w:r>
      <w:r>
        <w:t>, que significa “perdoar pecados”, é distintamente desenvolvida por Paulo em termos do perdão gracioso de Deus (</w:t>
      </w:r>
      <w:hyperlink r:id="rId16860">
        <w:r>
          <w:rPr>
            <w:color w:val="0000EE"/>
            <w:u w:val="single"/>
          </w:rPr>
          <w:t>2Co 2.7</w:t>
        </w:r>
      </w:hyperlink>
      <w:r>
        <w:t xml:space="preserve">; </w:t>
      </w:r>
      <w:hyperlink r:id="rId16861">
        <w:r>
          <w:rPr>
            <w:color w:val="0000EE"/>
            <w:u w:val="single"/>
          </w:rPr>
          <w:t>12.13</w:t>
        </w:r>
      </w:hyperlink>
      <w:r>
        <w:t xml:space="preserve">; </w:t>
      </w:r>
      <w:hyperlink r:id="rId16862">
        <w:r>
          <w:rPr>
            <w:color w:val="0000EE"/>
            <w:u w:val="single"/>
          </w:rPr>
          <w:t>Ef 4.32</w:t>
        </w:r>
      </w:hyperlink>
      <w:r>
        <w:t xml:space="preserve">; </w:t>
      </w:r>
      <w:hyperlink r:id="rId4987">
        <w:r>
          <w:rPr>
            <w:color w:val="0000EE"/>
            <w:u w:val="single"/>
          </w:rPr>
          <w:t>Cl 2.13</w:t>
        </w:r>
      </w:hyperlink>
      <w:r>
        <w:t xml:space="preserve">; </w:t>
      </w:r>
      <w:hyperlink r:id="rId16863">
        <w:r>
          <w:rPr>
            <w:color w:val="0000EE"/>
            <w:u w:val="single"/>
          </w:rPr>
          <w:t>3.13</w:t>
        </w:r>
      </w:hyperlink>
      <w:r>
        <w:t xml:space="preserve">). O pecado é considerado como uma dívida, e aphesis denota a quitação de uma dívida (“colocando-a de lado” — veja </w:t>
      </w:r>
      <w:hyperlink r:id="rId16864">
        <w:r>
          <w:rPr>
            <w:color w:val="0000EE"/>
            <w:u w:val="single"/>
          </w:rPr>
          <w:t>Lc 6.37</w:t>
        </w:r>
      </w:hyperlink>
      <w:r>
        <w:t>). O perdão também é tratado como remissão, paresis (“passar por cima”). Deus não realizou a retribuição completa exigida pelo pecado (</w:t>
      </w:r>
      <w:hyperlink r:id="rId16865">
        <w:r>
          <w:rPr>
            <w:color w:val="0000EE"/>
            <w:u w:val="single"/>
          </w:rPr>
          <w:t>At 14.16</w:t>
        </w:r>
      </w:hyperlink>
      <w:r>
        <w:t xml:space="preserve">; </w:t>
      </w:r>
      <w:hyperlink r:id="rId4428">
        <w:r>
          <w:rPr>
            <w:color w:val="0000EE"/>
            <w:u w:val="single"/>
          </w:rPr>
          <w:t>17.30</w:t>
        </w:r>
      </w:hyperlink>
      <w:r>
        <w:t>); em vez disso, ele mostrou misericórdia.</w:t>
      </w:r>
    </w:p>
    <w:p>
      <w:r/>
      <w:r>
        <w:t>No entanto, o NT fala de duas limitações ao perdão. Um é o pecado imperdoável (</w:t>
      </w:r>
      <w:hyperlink r:id="rId16614">
        <w:r>
          <w:rPr>
            <w:color w:val="0000EE"/>
            <w:u w:val="single"/>
          </w:rPr>
          <w:t>Mt 12.31–32</w:t>
        </w:r>
      </w:hyperlink>
      <w:r>
        <w:t xml:space="preserve">; </w:t>
      </w:r>
      <w:hyperlink r:id="rId16615">
        <w:r>
          <w:rPr>
            <w:color w:val="0000EE"/>
            <w:u w:val="single"/>
          </w:rPr>
          <w:t>Mc 3.28–30</w:t>
        </w:r>
      </w:hyperlink>
      <w:r>
        <w:t xml:space="preserve">; </w:t>
      </w:r>
      <w:hyperlink r:id="rId16147">
        <w:r>
          <w:rPr>
            <w:color w:val="0000EE"/>
            <w:u w:val="single"/>
          </w:rPr>
          <w:t>Lc 12.10</w:t>
        </w:r>
      </w:hyperlink>
      <w:r>
        <w:t>). A este respeito, Cristo fala daqueles que, como os fariseus, estão tão deturpados em seus julgamentos morais que eles não podem distinguir entre os atos de Satanás e as boas ações de Cristo. Há também “o pecado contra o Espírito Santo” que é “pecado para a morte” (</w:t>
      </w:r>
      <w:hyperlink r:id="rId16621">
        <w:r>
          <w:rPr>
            <w:color w:val="0000EE"/>
            <w:u w:val="single"/>
          </w:rPr>
          <w:t>1Jo 5.16</w:t>
        </w:r>
      </w:hyperlink>
      <w:r>
        <w:t>). Este pecado não é especificamente definido, mas sua essência parece ser a rejeição consistente da graça de Deus.</w:t>
      </w:r>
    </w:p>
    <w:p>
      <w:r/>
      <w:r>
        <w:t>A ética do perdão no NT insiste não apenas na penitência como uma condição para o perdão (</w:t>
      </w:r>
      <w:hyperlink r:id="rId5494">
        <w:r>
          <w:rPr>
            <w:color w:val="0000EE"/>
            <w:u w:val="single"/>
          </w:rPr>
          <w:t>2Co 7.10</w:t>
        </w:r>
      </w:hyperlink>
      <w:r>
        <w:t>), mas também na necessidade de perdoar os outros (</w:t>
      </w:r>
      <w:hyperlink r:id="rId16866">
        <w:r>
          <w:rPr>
            <w:color w:val="0000EE"/>
            <w:u w:val="single"/>
          </w:rPr>
          <w:t>Mt 6.14–15</w:t>
        </w:r>
      </w:hyperlink>
      <w:r>
        <w:t>). Se no ato de receber perdão alguém não perdoar os outros, é um sinal claro de que o arrependimento não está completo. Várias vezes em suas parábolas, o Senhor insiste que a prontidão para perdoar os outros é um sinal de verdadeiro arrependimento (</w:t>
      </w:r>
      <w:hyperlink r:id="rId7384">
        <w:r>
          <w:rPr>
            <w:color w:val="0000EE"/>
            <w:u w:val="single"/>
          </w:rPr>
          <w:t>Mt 18.23–35</w:t>
        </w:r>
      </w:hyperlink>
      <w:r>
        <w:t xml:space="preserve">; </w:t>
      </w:r>
      <w:hyperlink r:id="rId16864">
        <w:r>
          <w:rPr>
            <w:color w:val="0000EE"/>
            <w:u w:val="single"/>
          </w:rPr>
          <w:t>Lc 6.37</w:t>
        </w:r>
      </w:hyperlink>
      <w:r>
        <w:t>). Então Cristo ensinou que perdoar é um dever, e não há limites para isso. Deve ser concedido sem hesitar, até 70 vezes 7 (</w:t>
      </w:r>
      <w:hyperlink r:id="rId16867">
        <w:r>
          <w:rPr>
            <w:color w:val="0000EE"/>
            <w:u w:val="single"/>
          </w:rPr>
          <w:t>Mt 18.21–22</w:t>
        </w:r>
      </w:hyperlink>
      <w:r>
        <w:t>). O perdão faz parte do relacionamento mútuo dos crentes: uma vez que todos são dependentes do perdão de Deus, todos são chamados a perdoar uns aos outros. “Assim como o Senhor perdoou vocês, perdoem uns aos outros.” (</w:t>
      </w:r>
      <w:hyperlink r:id="rId16863">
        <w:r>
          <w:rPr>
            <w:color w:val="0000EE"/>
            <w:u w:val="single"/>
          </w:rPr>
          <w:t>Cl 3.13</w:t>
        </w:r>
      </w:hyperlink>
      <w:r>
        <w:t>).</w:t>
      </w:r>
    </w:p>
    <w:p>
      <w:r/>
      <w:r>
        <w:rPr>
          <w:i/>
        </w:rPr>
        <w:t>Veja também</w:t>
      </w:r>
      <w:r>
        <w:t xml:space="preserve"> </w:t>
      </w:r>
      <w:r>
        <w:t>Confissão</w:t>
      </w:r>
      <w:r>
        <w:t xml:space="preserve">; </w:t>
      </w:r>
      <w:r>
        <w:t>Arrependimento</w:t>
      </w:r>
      <w:r>
        <w:t>.</w:t>
      </w:r>
      <w:r/>
      <w:r/>
    </w:p>
    <w:p>
      <w:r/>
    </w:p>
    <w:p>
      <w:pPr>
        <w:pStyle w:val="Heading2"/>
      </w:pPr>
      <w:r>
        <w:t>Perdição</w:t>
      </w:r>
      <w:r/>
    </w:p>
    <w:p>
      <w:r/>
      <w:r>
        <w:t xml:space="preserve">Um termo que significa destruição eterna ou ruína completa. No Novo Testamento, "perdição" descreve o estado final daqueles que rejeitam a salvação. A palavra aparece seis vezes na versão ARC da Bíblia. Em </w:t>
      </w:r>
      <w:hyperlink r:id="rId9510">
        <w:r>
          <w:rPr>
            <w:color w:val="0000EE"/>
            <w:u w:val="single"/>
          </w:rPr>
          <w:t>Filipenses 1.28</w:t>
        </w:r>
      </w:hyperlink>
      <w:r>
        <w:t xml:space="preserve">, "perdição" é o oposto de "salvação". </w:t>
      </w:r>
      <w:hyperlink r:id="rId956">
        <w:r>
          <w:rPr>
            <w:color w:val="0000EE"/>
            <w:u w:val="single"/>
          </w:rPr>
          <w:t>Hebreus 10.39</w:t>
        </w:r>
      </w:hyperlink>
      <w:r>
        <w:t xml:space="preserve"> a contrasta com "conservação da alma". </w:t>
      </w:r>
      <w:hyperlink r:id="rId16868">
        <w:r>
          <w:rPr>
            <w:color w:val="0000EE"/>
            <w:u w:val="single"/>
          </w:rPr>
          <w:t>2 Pedro 3.7</w:t>
        </w:r>
      </w:hyperlink>
      <w:r>
        <w:t xml:space="preserve"> liga a perdição com "o Dia do Juízo". Enquanto </w:t>
      </w:r>
      <w:hyperlink r:id="rId16869">
        <w:r>
          <w:rPr>
            <w:color w:val="0000EE"/>
            <w:u w:val="single"/>
          </w:rPr>
          <w:t>1 Timóteo 6.9</w:t>
        </w:r>
      </w:hyperlink>
      <w:r>
        <w:t xml:space="preserve"> fala tanto do presente quanto do futuro. "O filho da perdição" é um rótulo que afirma o destino de Judas que traiu Cristo (</w:t>
      </w:r>
      <w:hyperlink r:id="rId16870">
        <w:r>
          <w:rPr>
            <w:color w:val="0000EE"/>
            <w:u w:val="single"/>
          </w:rPr>
          <w:t>Jo 17.12</w:t>
        </w:r>
      </w:hyperlink>
      <w:r>
        <w:t>). É também um título do Anticristo (</w:t>
      </w:r>
      <w:hyperlink r:id="rId2252">
        <w:r>
          <w:rPr>
            <w:color w:val="0000EE"/>
            <w:u w:val="single"/>
          </w:rPr>
          <w:t>2Ts 2.3</w:t>
        </w:r>
      </w:hyperlink>
      <w:r>
        <w:t xml:space="preserve">). Em </w:t>
      </w:r>
      <w:hyperlink r:id="rId16871">
        <w:r>
          <w:rPr>
            <w:color w:val="0000EE"/>
            <w:u w:val="single"/>
          </w:rPr>
          <w:t>Apocalipse 17.8,11</w:t>
        </w:r>
      </w:hyperlink>
      <w:r>
        <w:t xml:space="preserve"> perdição designa o destino final da besta. </w:t>
      </w:r>
      <w:hyperlink r:id="rId8093">
        <w:r>
          <w:rPr>
            <w:color w:val="0000EE"/>
            <w:u w:val="single"/>
          </w:rPr>
          <w:t>Apocalipse 19.20</w:t>
        </w:r>
      </w:hyperlink>
      <w:r>
        <w:t xml:space="preserve"> e </w:t>
      </w:r>
      <w:hyperlink r:id="rId6693">
        <w:r>
          <w:rPr>
            <w:color w:val="0000EE"/>
            <w:u w:val="single"/>
          </w:rPr>
          <w:t>20.10</w:t>
        </w:r>
      </w:hyperlink>
      <w:r>
        <w:t xml:space="preserve"> identificam este lugar como o "lago de fogo", um lugar de tormento eterno.</w:t>
      </w:r>
    </w:p>
    <w:p>
      <w:r/>
      <w:r>
        <w:t>A palavra "perdição" aparece quatro vezes na versão ARC do Novo Testamento (</w:t>
      </w:r>
      <w:hyperlink r:id="rId16870">
        <w:r>
          <w:rPr>
            <w:color w:val="0000EE"/>
            <w:u w:val="single"/>
          </w:rPr>
          <w:t>Jo 17.12</w:t>
        </w:r>
      </w:hyperlink>
      <w:r>
        <w:t xml:space="preserve">; </w:t>
      </w:r>
      <w:hyperlink r:id="rId2252">
        <w:r>
          <w:rPr>
            <w:color w:val="0000EE"/>
            <w:u w:val="single"/>
          </w:rPr>
          <w:t>2Ts 2.3</w:t>
        </w:r>
      </w:hyperlink>
      <w:r>
        <w:t xml:space="preserve">; </w:t>
      </w:r>
      <w:hyperlink r:id="rId16871">
        <w:r>
          <w:rPr>
            <w:color w:val="0000EE"/>
            <w:u w:val="single"/>
          </w:rPr>
          <w:t>Ap 17.8,11</w:t>
        </w:r>
      </w:hyperlink>
      <w:r>
        <w:t>). Na versão ARA ela aparece seis vezes no Antigo Testamento (</w:t>
      </w:r>
      <w:hyperlink r:id="rId16872">
        <w:r>
          <w:rPr>
            <w:color w:val="0000EE"/>
            <w:u w:val="single"/>
          </w:rPr>
          <w:t>Jó 31.3; Pv 1.27,32; 24.22; Jr 48.16; Os 4.14</w:t>
        </w:r>
      </w:hyperlink>
      <w:r>
        <w:t>). No Antigo Testamento, as linhas paralelas da Poesia Hebraica indicam que perdição significa morte.</w:t>
      </w:r>
    </w:p>
    <w:p>
      <w:r/>
      <w:r>
        <w:rPr>
          <w:i/>
        </w:rPr>
        <w:t>Veja também</w:t>
      </w:r>
      <w:r>
        <w:t xml:space="preserve"> </w:t>
      </w:r>
      <w:r>
        <w:t>Anticristo</w:t>
      </w:r>
      <w:r>
        <w:t xml:space="preserve">; </w:t>
      </w:r>
      <w:r>
        <w:t>Morte</w:t>
      </w:r>
      <w:r>
        <w:t xml:space="preserve">; </w:t>
      </w:r>
      <w:r>
        <w:t>Julgamento</w:t>
      </w:r>
      <w:r>
        <w:t xml:space="preserve">; </w:t>
      </w:r>
      <w:r>
        <w:t>Lago de Fogo</w:t>
      </w:r>
      <w:r>
        <w:t>.</w:t>
      </w:r>
      <w:r/>
      <w:r/>
    </w:p>
    <w:p>
      <w:r/>
    </w:p>
    <w:p>
      <w:pPr>
        <w:pStyle w:val="Heading2"/>
      </w:pPr>
      <w:r>
        <w:t>Perdiz</w:t>
      </w:r>
      <w:r/>
    </w:p>
    <w:p>
      <w:r/>
      <w:r>
        <w:t>Uma perdiz é a ave de caça mais comum na Terra Santa. Ela se assemelha a uma galinha, mas possui um corpo mais esguio e uma cauda mais longa.</w:t>
      </w:r>
    </w:p>
    <w:p>
      <w:r/>
      <w:r>
        <w:t>Dois tipos de perdiz vivem na Terra Santa:</w:t>
      </w:r>
    </w:p>
    <w:p>
      <w:pPr>
        <w:pStyle w:val="ListNumber"/>
        <w:spacing w:line="240" w:lineRule="auto"/>
        <w:ind w:left="720"/>
      </w:pPr>
      <w:r/>
      <w:r>
        <w:rPr>
          <w:b/>
        </w:rPr>
        <w:t>Perdiz-do-deserto</w:t>
      </w:r>
      <w:r>
        <w:t xml:space="preserve"> (</w:t>
      </w:r>
      <w:r>
        <w:rPr>
          <w:i/>
        </w:rPr>
        <w:t>Ammoperdix heyi</w:t>
      </w:r>
      <w:r>
        <w:t>) — Encontrada perto do Mar Morto, no vale do Rio Jordão e no Deserto do Sinai. É de tamanho médio com pés amarelos. O macho possui penas de cor areia com barras marrons na parte superior da cauda e parte inferior castanha e branca. A fêmea tem coloração cinza-amarelada.</w:t>
      </w:r>
    </w:p>
    <w:p>
      <w:pPr>
        <w:pStyle w:val="ListNumber"/>
        <w:spacing w:line="240" w:lineRule="auto"/>
        <w:ind w:left="720"/>
      </w:pPr>
      <w:r/>
      <w:r>
        <w:rPr>
          <w:b/>
        </w:rPr>
        <w:t>Perdiz Chucar</w:t>
      </w:r>
      <w:r>
        <w:t xml:space="preserve"> (</w:t>
      </w:r>
      <w:r>
        <w:rPr>
          <w:i/>
        </w:rPr>
        <w:t>Alectoris graeca</w:t>
      </w:r>
      <w:r>
        <w:t>) — Parecida com a perdiz francesa da Europa. Mede cerca de 40,6 centímetros de comprimento e tem penas brilhantes e coloridas.</w:t>
      </w:r>
    </w:p>
    <w:p>
      <w:pPr>
        <w:pStyle w:val="Heading4"/>
      </w:pPr>
      <w:r>
        <w:t>Perdizes na Bíblia</w:t>
      </w:r>
    </w:p>
    <w:p>
      <w:r/>
      <w:r>
        <w:t>A perdiz era caçada para alimentação. As pessoas a capturavam perseguindo-a até que estivesse cansada demais para correr (</w:t>
      </w:r>
      <w:hyperlink r:id="rId1660">
        <w:r>
          <w:rPr>
            <w:color w:val="0000EE"/>
            <w:u w:val="single"/>
          </w:rPr>
          <w:t>1Sm 26.20</w:t>
        </w:r>
      </w:hyperlink>
      <w:r>
        <w:t>). Ela também podia ser capturada com armadilhas (</w:t>
      </w:r>
      <w:hyperlink r:id="rId3943">
        <w:r>
          <w:rPr>
            <w:color w:val="0000EE"/>
            <w:u w:val="single"/>
          </w:rPr>
          <w:t>Sl 91.3</w:t>
        </w:r>
      </w:hyperlink>
      <w:r>
        <w:t>) ou por caçadores escondidos em um abrigo. Embora possa correr rapidamente e saltar penhascos íngremes, ainda é fácil de capturar quando está cansada. Suas penas marrom-esverdeadas ajudam-na a se esconder entre os arbustos.</w:t>
      </w:r>
    </w:p>
    <w:p>
      <w:r/>
      <w:r>
        <w:t xml:space="preserve">A ave põe muitos ovos, o que a impede de se tornar extinta, apesar da caça intensa. Às vezes, a fêmea põe dois grupos de ovos: um para ela mesma e outro para o macho manter aquecido. Isso pode explicar o ditado em </w:t>
      </w:r>
      <w:hyperlink r:id="rId16342">
        <w:r>
          <w:rPr>
            <w:color w:val="0000EE"/>
            <w:u w:val="single"/>
          </w:rPr>
          <w:t>Jeremias 17.11</w:t>
        </w:r>
      </w:hyperlink>
      <w:r>
        <w:t xml:space="preserve"> sobre um pássaro juntando ovos que não chocou. Isso foi usado como uma imagem de alguém tomando crédito por um trabalho que não fez.</w:t>
      </w:r>
    </w:p>
    <w:p>
      <w:r/>
      <w:r>
        <w:rPr>
          <w:i/>
        </w:rPr>
        <w:t>Veja também</w:t>
      </w:r>
      <w:r>
        <w:t xml:space="preserve"> </w:t>
      </w:r>
      <w:r>
        <w:t>Aves</w:t>
      </w:r>
      <w:r>
        <w:t>.</w:t>
      </w:r>
      <w:r/>
      <w:r/>
    </w:p>
    <w:p>
      <w:r/>
    </w:p>
    <w:p>
      <w:pPr>
        <w:pStyle w:val="Heading2"/>
      </w:pPr>
      <w:r>
        <w:t>Peregrinações no deserto</w:t>
      </w:r>
      <w:r/>
    </w:p>
    <w:p>
      <w:r/>
      <w:r>
        <w:t>Depois que os israelitas deixaram o Egito, passaram cerca de 40 anos viajando pelas áreas desérticas da Península do Sinai e do Neguebe. Após esse tempo, avançaram para tomar posse da terra que Deus lhes havia prometido. Os livros de Êxodo, Levítico e Números descrevem os eventos mais importantes desse período.</w:t>
      </w:r>
    </w:p>
    <w:p>
      <w:r/>
      <w:r>
        <w:t>A Bíblia diz que durante esses anos difíceis no deserto, as tribos se unificaram em uma nação. No Sinai, eles se tornaram um povo com um Deus e um objetivo nacional: conquistar Canaã.</w:t>
      </w:r>
    </w:p>
    <w:p>
      <w:r/>
      <w:hyperlink r:id="rId15455">
        <w:r>
          <w:rPr>
            <w:color w:val="0000EE"/>
            <w:u w:val="single"/>
          </w:rPr>
          <w:t>Números 33.38</w:t>
        </w:r>
      </w:hyperlink>
      <w:r>
        <w:t xml:space="preserve"> e </w:t>
      </w:r>
      <w:hyperlink r:id="rId16873">
        <w:r>
          <w:rPr>
            <w:color w:val="0000EE"/>
            <w:u w:val="single"/>
          </w:rPr>
          <w:t>Deuteronômio 1.3</w:t>
        </w:r>
      </w:hyperlink>
      <w:r>
        <w:t xml:space="preserve"> dizem que Israel vagou no deserto por 40 anos. O número 40 às vezes é usado para significar "muito tempo" ou um número redondo grande, e não exatamente 40. Mas nessas histórias, muitas datas exatas são dadas. Isso implica que foram 40 anos literais. No entanto, é difícil saber quando esse período começou e terminou.</w:t>
      </w:r>
    </w:p>
    <w:p>
      <w:r/>
      <w:r>
        <w:t xml:space="preserve">De acordo com </w:t>
      </w:r>
      <w:hyperlink r:id="rId5414">
        <w:r>
          <w:rPr>
            <w:color w:val="0000EE"/>
            <w:u w:val="single"/>
          </w:rPr>
          <w:t>1 Reis 6.1</w:t>
        </w:r>
      </w:hyperlink>
      <w:r>
        <w:t>, Salomão começou a construir o templo 480 anos após os israelitas saírem do Egito. A construção do templo começou por volta de 960 a.C. Isso significa que os israelitas saíram do Egito por volta de 1440 a.C. (um evento conhecido como o êxodo). A conquista de Canaã por Israel foi por volta de 1400 a.C. No entanto, estudiosos datam o Êxodo e a conquista entre 1290–1250 a.C. devido a certas descobertas de vestígios materiais da história antiga. Não há prova convincente para nenhum dos cronogramas.</w:t>
      </w:r>
    </w:p>
    <w:p>
      <w:r/>
      <w:r>
        <w:t>Durante os 40 anos de peregrinações, há relatos detalhados do primeiro ano e meio passado no deserto, desde o Êxodo até o retorno dos espiões (</w:t>
      </w:r>
      <w:hyperlink r:id="rId401">
        <w:r>
          <w:rPr>
            <w:color w:val="0000EE"/>
            <w:u w:val="single"/>
          </w:rPr>
          <w:t>Êx 12</w:t>
        </w:r>
      </w:hyperlink>
      <w:r>
        <w:t>–</w:t>
      </w:r>
      <w:hyperlink r:id="rId16874">
        <w:r>
          <w:rPr>
            <w:color w:val="0000EE"/>
            <w:u w:val="single"/>
          </w:rPr>
          <w:t>Nm 14</w:t>
        </w:r>
      </w:hyperlink>
      <w:r>
        <w:t>). Além disso, são fornecidos mais detalhes sobre o último ano da conquista de Transjordânia (</w:t>
      </w:r>
      <w:hyperlink r:id="rId15448">
        <w:r>
          <w:rPr>
            <w:color w:val="0000EE"/>
            <w:u w:val="single"/>
          </w:rPr>
          <w:t>Nm 20</w:t>
        </w:r>
      </w:hyperlink>
      <w:r>
        <w:t>–</w:t>
      </w:r>
      <w:hyperlink r:id="rId7003">
        <w:r>
          <w:rPr>
            <w:color w:val="0000EE"/>
            <w:u w:val="single"/>
          </w:rPr>
          <w:t>Dt 34</w:t>
        </w:r>
      </w:hyperlink>
      <w:r>
        <w:t xml:space="preserve">). Não se sabe muito sobre os anos intermediários, quando as tribos acamparam perto de oásis como Cades-Barneia. As histórias descritas em </w:t>
      </w:r>
      <w:hyperlink r:id="rId16875">
        <w:r>
          <w:rPr>
            <w:color w:val="0000EE"/>
            <w:u w:val="single"/>
          </w:rPr>
          <w:t>Números 15–17</w:t>
        </w:r>
      </w:hyperlink>
      <w:r>
        <w:t xml:space="preserve"> provavelmente aconteceram durante esse período sobre o qual não sabemos muito.</w:t>
      </w:r>
    </w:p>
    <w:p>
      <w:r/>
      <w:r>
        <w:rPr>
          <w:i/>
        </w:rPr>
        <w:t>Veja também</w:t>
      </w:r>
      <w:r>
        <w:t xml:space="preserve"> </w:t>
      </w:r>
      <w:r>
        <w:t>Linha do tempo da Bíblia (Antigo Testamento)</w:t>
      </w:r>
      <w:r>
        <w:t xml:space="preserve">; </w:t>
      </w:r>
      <w:r>
        <w:t>O Êxodo</w:t>
      </w:r>
      <w:r>
        <w:t xml:space="preserve">; </w:t>
      </w:r>
      <w:r>
        <w:t>História de Israel</w:t>
      </w:r>
      <w:r>
        <w:t xml:space="preserve">; </w:t>
      </w:r>
      <w:r>
        <w:t>Sina, Sinai</w:t>
      </w:r>
      <w:r>
        <w:t xml:space="preserve">; </w:t>
      </w:r>
      <w:r>
        <w:t>Deserto de Sim</w:t>
      </w:r>
      <w:r>
        <w:t xml:space="preserve">; </w:t>
      </w:r>
      <w:r>
        <w:t>Deserto de Zim</w:t>
      </w:r>
      <w:r>
        <w:t>.</w:t>
      </w:r>
      <w:r/>
      <w:r/>
    </w:p>
    <w:p>
      <w:r/>
    </w:p>
    <w:p>
      <w:pPr>
        <w:pStyle w:val="Heading2"/>
      </w:pPr>
      <w:r>
        <w:t>Pereia*</w:t>
      </w:r>
      <w:r/>
    </w:p>
    <w:p>
      <w:r/>
      <w:r>
        <w:t xml:space="preserve">Termo que não ocorre no NT, exceto no manuscrito do Códice Sinaítico do quarto século e no manuscrito do quinto século Códice Washingtoniano, onde aparece em </w:t>
      </w:r>
      <w:hyperlink r:id="rId12969">
        <w:r>
          <w:rPr>
            <w:color w:val="0000EE"/>
            <w:u w:val="single"/>
          </w:rPr>
          <w:t>Lucas 6.17</w:t>
        </w:r>
      </w:hyperlink>
      <w:r>
        <w:t xml:space="preserve"> e é tratado como uma leitura variante pela maioria dos editores do NT grego. Foi usado no primeiro século d.C. por Josefo para se referir à região “além do Jordão” (adotou a derivação da palavra Peraias do grego para “além”). A localização geográfica da área é, portanto, melhor entendida a partir da </w:t>
      </w:r>
      <w:r>
        <w:rPr>
          <w:i/>
        </w:rPr>
        <w:t>Guerra dos Judeus</w:t>
      </w:r>
      <w:r>
        <w:t xml:space="preserve"> de Josefo (3.3.3): “Agora o comprimento da Pereia é de Maquero até Pela, e sua largura desde Filadélfia até o Jordão; suas partes ao norte são delimitadas por Pela, como já dissemos, bem como seu oeste com o Jordão; a terra de Moabe é sua fronteira sul, e seus limites orientais chegam à Arábia, e Silbonitis, e além de Filadélfia e Gergesa. Gadara é chamada de “a metrópole da Pereia” por Josefo porque era um “lugar de força” e porque “muitos dos cidadãos de Gadara eram homens ricos” (</w:t>
      </w:r>
      <w:r>
        <w:rPr>
          <w:i/>
        </w:rPr>
        <w:t>Guerra</w:t>
      </w:r>
      <w:r>
        <w:t xml:space="preserve"> 4.7.3). Esta Gadara não deve ser confundida com a Gadara de Decápolis, a moderna Umm Qais, mas deve ser identificada com Tel Gadura, a cerca de 24,1 quilômetros a noroeste da moderna Amã, na Jordânia.</w:t>
      </w:r>
    </w:p>
    <w:p>
      <w:r/>
      <w:r>
        <w:t xml:space="preserve">A Decápolis é separada da Pereia em </w:t>
      </w:r>
      <w:hyperlink r:id="rId3504">
        <w:r>
          <w:rPr>
            <w:color w:val="0000EE"/>
            <w:u w:val="single"/>
          </w:rPr>
          <w:t>Mateus 4.25</w:t>
        </w:r>
      </w:hyperlink>
      <w:r>
        <w:t xml:space="preserve">, onde está listada entre as várias seções da Palestina das quais as pessoas vieram para ouvir Jesus. Pereia é aqui chamada de região “além do Jordão”, e é assim designada também em </w:t>
      </w:r>
      <w:hyperlink r:id="rId12967">
        <w:r>
          <w:rPr>
            <w:color w:val="0000EE"/>
            <w:u w:val="single"/>
          </w:rPr>
          <w:t>Marcos 3.8</w:t>
        </w:r>
      </w:hyperlink>
      <w:r>
        <w:t>. Em determinado momento, Mateus se referiu à Pereia como “a região da Judeia além do Jordão” (</w:t>
      </w:r>
      <w:hyperlink r:id="rId16876">
        <w:r>
          <w:rPr>
            <w:color w:val="0000EE"/>
            <w:u w:val="single"/>
          </w:rPr>
          <w:t>Mt 19.1</w:t>
        </w:r>
      </w:hyperlink>
      <w:r>
        <w:t xml:space="preserve">). Isso é surpreendente porque, politicamente, a Pereia nunca fez parte da Judeia, pertencendo à jurisdição não de Arquelau, mas de Herodes Antipas, que também controlava a Galileia. A passagem paralela em </w:t>
      </w:r>
      <w:hyperlink r:id="rId16877">
        <w:r>
          <w:rPr>
            <w:color w:val="0000EE"/>
            <w:u w:val="single"/>
          </w:rPr>
          <w:t>Marcos 10.1</w:t>
        </w:r>
      </w:hyperlink>
      <w:r>
        <w:t xml:space="preserve"> diz: “a região da Judeia e além do Jordão”. Talvez Mateus estivesse usando a frase para se referir a essa parte da Pereia que, embora politicamente não faça parte da Judeia, era judaica em sua população. Em sua </w:t>
      </w:r>
      <w:r>
        <w:rPr>
          <w:i/>
        </w:rPr>
        <w:t>História Natural</w:t>
      </w:r>
      <w:r>
        <w:t xml:space="preserve"> (77 d.C.) Plínio falou da Pereia como um lugar “separado das </w:t>
      </w:r>
      <w:r>
        <w:rPr>
          <w:i/>
        </w:rPr>
        <w:t>outras partes</w:t>
      </w:r>
      <w:r>
        <w:t xml:space="preserve"> da Judeia pelo rio Jordão” (5.70), e o "</w:t>
      </w:r>
      <w:r>
        <w:rPr>
          <w:i/>
        </w:rPr>
        <w:t>resto</w:t>
      </w:r>
      <w:r>
        <w:t xml:space="preserve"> da Judeia ao lado do rio Jordão” (5.70), e o “</w:t>
      </w:r>
      <w:r>
        <w:rPr>
          <w:i/>
        </w:rPr>
        <w:t>resto</w:t>
      </w:r>
      <w:r>
        <w:t xml:space="preserve"> da Judeia” como sendo dividido em 10 áreas do governo local, como se ele considerasse a Pereia como parte da Judeia. Contudo, isso pode ser uma atitude errônea, uma vez que o conhecimento de Plínio da área imediata é um pouco questionável — no mesmo contexto, ele erroneamente afirma que o Mar Morto tem “mais de 160 quilômetros de comprimento e largura igual em sua parte mais ampla” (</w:t>
      </w:r>
      <w:r>
        <w:rPr>
          <w:i/>
        </w:rPr>
        <w:t>História Natural</w:t>
      </w:r>
      <w:r>
        <w:t xml:space="preserve"> 5.72), enquanto na realidade tem menos de 80,5 quilômetros de comprimento e apenas 17 quilômetros de largura.</w:t>
      </w:r>
    </w:p>
    <w:p>
      <w:r/>
      <w:r>
        <w:t>A área era bem conhecida e muitas vezes mencionada no AT pela frase “além do Jordão” (</w:t>
      </w:r>
      <w:hyperlink r:id="rId6740">
        <w:r>
          <w:rPr>
            <w:color w:val="0000EE"/>
            <w:u w:val="single"/>
          </w:rPr>
          <w:t>Nm 22.1</w:t>
        </w:r>
      </w:hyperlink>
      <w:r>
        <w:t xml:space="preserve">; </w:t>
      </w:r>
      <w:hyperlink r:id="rId2314">
        <w:r>
          <w:rPr>
            <w:color w:val="0000EE"/>
            <w:u w:val="single"/>
          </w:rPr>
          <w:t>Dt 1.1,5</w:t>
        </w:r>
      </w:hyperlink>
      <w:r>
        <w:t>), e era habitada em sua porção sul pelas duas tribos israelitas de Gade e Rúben (</w:t>
      </w:r>
      <w:hyperlink r:id="rId16878">
        <w:r>
          <w:rPr>
            <w:color w:val="0000EE"/>
            <w:u w:val="single"/>
          </w:rPr>
          <w:t>Js 1.12–14</w:t>
        </w:r>
      </w:hyperlink>
      <w:r>
        <w:t>). Estendendo-se do riacho Querite, no norte, quase até o rio Arnom, no sul, Pereia era virtualmente sinônimo de Gileade no AT (</w:t>
      </w:r>
      <w:hyperlink r:id="rId16879">
        <w:r>
          <w:rPr>
            <w:color w:val="0000EE"/>
            <w:u w:val="single"/>
          </w:rPr>
          <w:t>Js 22.9</w:t>
        </w:r>
      </w:hyperlink>
      <w:r>
        <w:t xml:space="preserve">; </w:t>
      </w:r>
      <w:hyperlink r:id="rId2725">
        <w:r>
          <w:rPr>
            <w:color w:val="0000EE"/>
            <w:u w:val="single"/>
          </w:rPr>
          <w:t>Jz 5.17</w:t>
        </w:r>
      </w:hyperlink>
      <w:r>
        <w:t>).</w:t>
      </w:r>
    </w:p>
    <w:p>
      <w:r/>
      <w:r>
        <w:t>Parece ter sido um distrito importante nas décadas antes do nascimento de Cristo (período helenístico), quando os líderes judeus (macabeus) a controlavam após 124 a.C. Sob o governo romano, foi dada a Herodes, o Grande, até sua morte em 4 a.C., quando passou (de acordo com sua vontade) para as mãos de seu filho Herodes Antipas, junto à Galileia. Como a área era bonita e produtiva e tinha árvores conhecidas por seu bálsamo medicinal (</w:t>
      </w:r>
      <w:hyperlink r:id="rId7451">
        <w:r>
          <w:rPr>
            <w:color w:val="0000EE"/>
            <w:u w:val="single"/>
          </w:rPr>
          <w:t>Jr 8.22</w:t>
        </w:r>
      </w:hyperlink>
      <w:r>
        <w:t xml:space="preserve">; </w:t>
      </w:r>
      <w:hyperlink r:id="rId9949">
        <w:r>
          <w:rPr>
            <w:color w:val="0000EE"/>
            <w:u w:val="single"/>
          </w:rPr>
          <w:t>46.11</w:t>
        </w:r>
      </w:hyperlink>
      <w:r>
        <w:t xml:space="preserve">), sempre foi bem povoada e apoiava numerosas cidades bem conhecidas, como Pela, Jabes-Gileade, Sucote, Peniel e Gergesa (moderna Jerash). Herodes Antipas tinha até mesmo um forte chamado Maquero nas extremidades do sul da Pereia, onde ele aprisionou João Batista e o condenou à morte (veja </w:t>
      </w:r>
      <w:r>
        <w:rPr>
          <w:i/>
        </w:rPr>
        <w:t>Antiguidades</w:t>
      </w:r>
      <w:r>
        <w:t xml:space="preserve"> de Josefo 18.5.2).</w:t>
      </w:r>
    </w:p>
    <w:p>
      <w:r/>
      <w:r>
        <w:t>Era costume que os judeus viajassem da Galileia para a Judeia atravessassem o Jordão para a Pereia para evitar o contato com os samaritanos. Antes de sua morte, João Batista estava batizando em Betânia, além do Jordão, quando anunciou Jesus como o Cordeiro de Deus (</w:t>
      </w:r>
      <w:hyperlink r:id="rId16880">
        <w:r>
          <w:rPr>
            <w:color w:val="0000EE"/>
            <w:u w:val="single"/>
          </w:rPr>
          <w:t>Jo 1.28–29</w:t>
        </w:r>
      </w:hyperlink>
      <w:r>
        <w:t>), e Jesus voltou uma vez para este lugar durante seu ministério quando ele estava sendo severamente perseguido (</w:t>
      </w:r>
      <w:hyperlink r:id="rId16881">
        <w:r>
          <w:rPr>
            <w:color w:val="0000EE"/>
            <w:u w:val="single"/>
          </w:rPr>
          <w:t>10.40</w:t>
        </w:r>
      </w:hyperlink>
      <w:r>
        <w:t>).</w:t>
      </w:r>
      <w:r/>
      <w:r/>
    </w:p>
    <w:p>
      <w:r/>
    </w:p>
    <w:p>
      <w:pPr>
        <w:pStyle w:val="Heading2"/>
      </w:pPr>
      <w:r>
        <w:t>Perez, perezita</w:t>
      </w:r>
      <w:r/>
    </w:p>
    <w:p>
      <w:r/>
      <w:r>
        <w:t>Filho de Judá. Seu nome vem de uma palavra hebraica que significa "aquele que irrompe". Refere-se a como ele inesperadamente saiu primeiro do ventre de Tamar antes de seu irmão gêmeo, Zerá (</w:t>
      </w:r>
      <w:hyperlink r:id="rId16882">
        <w:r>
          <w:rPr>
            <w:color w:val="0000EE"/>
            <w:u w:val="single"/>
          </w:rPr>
          <w:t>Gn 38.29</w:t>
        </w:r>
      </w:hyperlink>
      <w:r>
        <w:t>). Ele foi pai de dois filhos, Hezrom e Hamul, e tornou-se o chefe ancestral da família perezita (</w:t>
      </w:r>
      <w:hyperlink r:id="rId8103">
        <w:r>
          <w:rPr>
            <w:color w:val="0000EE"/>
            <w:u w:val="single"/>
          </w:rPr>
          <w:t>Gn 46.12</w:t>
        </w:r>
      </w:hyperlink>
      <w:r>
        <w:t xml:space="preserve">; </w:t>
      </w:r>
      <w:hyperlink r:id="rId16883">
        <w:r>
          <w:rPr>
            <w:color w:val="0000EE"/>
            <w:u w:val="single"/>
          </w:rPr>
          <w:t>Nm 26.20–21</w:t>
        </w:r>
      </w:hyperlink>
      <w:r>
        <w:t xml:space="preserve">; </w:t>
      </w:r>
      <w:hyperlink r:id="rId16884">
        <w:r>
          <w:rPr>
            <w:color w:val="0000EE"/>
            <w:u w:val="single"/>
          </w:rPr>
          <w:t>1Cr 2.4–5</w:t>
        </w:r>
      </w:hyperlink>
      <w:r>
        <w:t xml:space="preserve">; </w:t>
      </w:r>
      <w:hyperlink r:id="rId4264">
        <w:r>
          <w:rPr>
            <w:color w:val="0000EE"/>
            <w:u w:val="single"/>
          </w:rPr>
          <w:t>4.1</w:t>
        </w:r>
      </w:hyperlink>
      <w:r>
        <w:t xml:space="preserve">). </w:t>
      </w:r>
    </w:p>
    <w:p>
      <w:r/>
      <w:r>
        <w:t>Através dos filhos de seu filho Hezrom, ele se tornou o ancestral de Davi e Jesus Cristo (</w:t>
      </w:r>
      <w:hyperlink r:id="rId1092">
        <w:r>
          <w:rPr>
            <w:color w:val="0000EE"/>
            <w:u w:val="single"/>
          </w:rPr>
          <w:t>Rt 4.18–22</w:t>
        </w:r>
      </w:hyperlink>
      <w:r>
        <w:t xml:space="preserve">; </w:t>
      </w:r>
      <w:hyperlink r:id="rId10644">
        <w:r>
          <w:rPr>
            <w:color w:val="0000EE"/>
            <w:u w:val="single"/>
          </w:rPr>
          <w:t>Mt 1.3</w:t>
        </w:r>
      </w:hyperlink>
      <w:r>
        <w:t xml:space="preserve">; </w:t>
      </w:r>
      <w:hyperlink r:id="rId1094">
        <w:r>
          <w:rPr>
            <w:color w:val="0000EE"/>
            <w:u w:val="single"/>
          </w:rPr>
          <w:t>Lc 3.33</w:t>
        </w:r>
      </w:hyperlink>
      <w:r>
        <w:t>). Este clã era respeitado na tribo de Judá. Eles foram abençoados pelos homens de Belém (</w:t>
      </w:r>
      <w:hyperlink r:id="rId12302">
        <w:r>
          <w:rPr>
            <w:color w:val="0000EE"/>
            <w:u w:val="single"/>
          </w:rPr>
          <w:t>Rt 4.12</w:t>
        </w:r>
      </w:hyperlink>
      <w:r>
        <w:t>). Um descendente chamado Jasobeão comandou os capitães de Davi no primeiro mês de cada ano (</w:t>
      </w:r>
      <w:hyperlink r:id="rId16885">
        <w:r>
          <w:rPr>
            <w:color w:val="0000EE"/>
            <w:u w:val="single"/>
          </w:rPr>
          <w:t>1Cr 27.2–3</w:t>
        </w:r>
      </w:hyperlink>
      <w:r>
        <w:t>). Após o retorno do cativeiro na Babilônia, 468 perezitas foram escolhidos para viver em Jerusalém (</w:t>
      </w:r>
      <w:hyperlink r:id="rId1102">
        <w:r>
          <w:rPr>
            <w:color w:val="0000EE"/>
            <w:u w:val="single"/>
          </w:rPr>
          <w:t>1Cr 9.4</w:t>
        </w:r>
      </w:hyperlink>
      <w:r>
        <w:t xml:space="preserve">; </w:t>
      </w:r>
      <w:hyperlink r:id="rId16886">
        <w:r>
          <w:rPr>
            <w:color w:val="0000EE"/>
            <w:u w:val="single"/>
          </w:rPr>
          <w:t>Ne 11.4–6</w:t>
        </w:r>
      </w:hyperlink>
      <w:r>
        <w:t>).</w:t>
      </w:r>
      <w:r/>
      <w:r/>
    </w:p>
    <w:p>
      <w:r/>
    </w:p>
    <w:p>
      <w:pPr>
        <w:pStyle w:val="Heading2"/>
      </w:pPr>
      <w:r>
        <w:t>Perfume</w:t>
      </w:r>
      <w:r/>
    </w:p>
    <w:p>
      <w:r/>
      <w:r>
        <w:t>Os perfumes na Bíblia incluíam uma ampla variedade de materiais feitos de minerais moídos, óleos vegetais e raízes. Eles eram usados desde os tempos antigos para melhorar a apresentação pessoal e criar fragrâncias agradáveis, tanto para fins seculares quanto religiosos.</w:t>
      </w:r>
    </w:p>
    <w:p>
      <w:pPr>
        <w:pStyle w:val="Heading3"/>
      </w:pPr>
      <w:r>
        <w:t>Tipos de perfumes na Bíblia</w:t>
      </w:r>
    </w:p>
    <w:p>
      <w:r/>
      <w:r>
        <w:t>A Bíblia menciona muitos tipos de perfumes, tais como:</w:t>
      </w:r>
    </w:p>
    <w:p>
      <w:pPr>
        <w:pStyle w:val="ListBullet"/>
        <w:spacing w:line="240" w:lineRule="auto"/>
        <w:ind w:left="720"/>
      </w:pPr>
      <w:r/>
      <w:r>
        <w:t>Aloés;</w:t>
      </w:r>
    </w:p>
    <w:p>
      <w:pPr>
        <w:pStyle w:val="ListBullet"/>
        <w:spacing w:line="240" w:lineRule="auto"/>
        <w:ind w:left="720"/>
      </w:pPr>
      <w:r/>
      <w:r>
        <w:t>Bálsamo;</w:t>
      </w:r>
    </w:p>
    <w:p>
      <w:pPr>
        <w:pStyle w:val="ListBullet"/>
        <w:spacing w:line="240" w:lineRule="auto"/>
        <w:ind w:left="720"/>
      </w:pPr>
      <w:r/>
      <w:r>
        <w:t>Unguento;</w:t>
      </w:r>
    </w:p>
    <w:p>
      <w:pPr>
        <w:pStyle w:val="ListBullet"/>
        <w:spacing w:line="240" w:lineRule="auto"/>
        <w:ind w:left="720"/>
      </w:pPr>
      <w:r/>
      <w:r>
        <w:t>Bdélio;</w:t>
      </w:r>
    </w:p>
    <w:p>
      <w:pPr>
        <w:pStyle w:val="ListBullet"/>
        <w:spacing w:line="240" w:lineRule="auto"/>
        <w:ind w:left="720"/>
      </w:pPr>
      <w:r/>
      <w:r>
        <w:t>Cássia;</w:t>
      </w:r>
    </w:p>
    <w:p>
      <w:pPr>
        <w:pStyle w:val="ListBullet"/>
        <w:spacing w:line="240" w:lineRule="auto"/>
        <w:ind w:left="720"/>
      </w:pPr>
      <w:r/>
      <w:r>
        <w:t>Canela;</w:t>
      </w:r>
    </w:p>
    <w:p>
      <w:pPr>
        <w:pStyle w:val="ListBullet"/>
        <w:spacing w:line="240" w:lineRule="auto"/>
        <w:ind w:left="720"/>
      </w:pPr>
      <w:r/>
      <w:r>
        <w:t>Incenso;</w:t>
      </w:r>
    </w:p>
    <w:p>
      <w:pPr>
        <w:pStyle w:val="ListBullet"/>
        <w:spacing w:line="240" w:lineRule="auto"/>
        <w:ind w:left="720"/>
      </w:pPr>
      <w:r/>
      <w:r>
        <w:t>Goma;</w:t>
      </w:r>
    </w:p>
    <w:p>
      <w:pPr>
        <w:pStyle w:val="ListBullet"/>
        <w:spacing w:line="240" w:lineRule="auto"/>
        <w:ind w:left="720"/>
      </w:pPr>
      <w:r/>
      <w:r>
        <w:t>Mirra;</w:t>
      </w:r>
    </w:p>
    <w:p>
      <w:pPr>
        <w:pStyle w:val="ListBullet"/>
        <w:spacing w:line="240" w:lineRule="auto"/>
        <w:ind w:left="720"/>
      </w:pPr>
      <w:r/>
      <w:r>
        <w:t>Nardo;</w:t>
      </w:r>
    </w:p>
    <w:p>
      <w:pPr>
        <w:pStyle w:val="ListBullet"/>
        <w:spacing w:line="240" w:lineRule="auto"/>
        <w:ind w:left="720"/>
      </w:pPr>
      <w:r/>
      <w:r>
        <w:t>Cana aromática;</w:t>
      </w:r>
    </w:p>
    <w:p>
      <w:pPr>
        <w:pStyle w:val="ListBullet"/>
        <w:spacing w:line="240" w:lineRule="auto"/>
        <w:ind w:left="720"/>
      </w:pPr>
      <w:r/>
      <w:r>
        <w:t>Especiarias;</w:t>
      </w:r>
    </w:p>
    <w:p>
      <w:pPr>
        <w:pStyle w:val="ListBullet"/>
        <w:spacing w:line="240" w:lineRule="auto"/>
        <w:ind w:left="720"/>
      </w:pPr>
      <w:r/>
      <w:r>
        <w:t>Pomadas.</w:t>
      </w:r>
    </w:p>
    <w:p>
      <w:pPr>
        <w:pStyle w:val="Heading3"/>
      </w:pPr>
      <w:r>
        <w:t>Venda de perfume</w:t>
      </w:r>
    </w:p>
    <w:p>
      <w:r/>
      <w:r>
        <w:t>Muitos lugares comercializavam perfumes:</w:t>
      </w:r>
    </w:p>
    <w:p>
      <w:pPr>
        <w:pStyle w:val="ListBullet"/>
        <w:spacing w:line="240" w:lineRule="auto"/>
        <w:ind w:left="720"/>
      </w:pPr>
      <w:r/>
      <w:r>
        <w:t>A Arábia comercializava incenso e mirra.</w:t>
      </w:r>
    </w:p>
    <w:p>
      <w:pPr>
        <w:pStyle w:val="ListBullet"/>
        <w:spacing w:line="240" w:lineRule="auto"/>
        <w:ind w:left="720"/>
      </w:pPr>
      <w:r/>
      <w:r>
        <w:t>A Índia comercializava aloés e nardo.</w:t>
      </w:r>
    </w:p>
    <w:p>
      <w:pPr>
        <w:pStyle w:val="ListBullet"/>
        <w:spacing w:line="240" w:lineRule="auto"/>
        <w:ind w:left="720"/>
      </w:pPr>
      <w:r/>
      <w:r>
        <w:t>O Ceilão comercializava canela.</w:t>
      </w:r>
    </w:p>
    <w:p>
      <w:pPr>
        <w:pStyle w:val="ListBullet"/>
        <w:spacing w:line="240" w:lineRule="auto"/>
        <w:ind w:left="720"/>
      </w:pPr>
      <w:r/>
      <w:r>
        <w:t>A Pérsia comercializava a especiaria gálbano.</w:t>
      </w:r>
    </w:p>
    <w:p>
      <w:pPr>
        <w:pStyle w:val="ListBullet"/>
        <w:spacing w:line="240" w:lineRule="auto"/>
        <w:ind w:left="720"/>
      </w:pPr>
      <w:r/>
      <w:r>
        <w:t>A Somalilândia comercializava incenso.</w:t>
      </w:r>
    </w:p>
    <w:p>
      <w:r/>
      <w:r>
        <w:t>Referências bíblicas a comerciantes de perfumes incluem:</w:t>
      </w:r>
    </w:p>
    <w:p>
      <w:pPr>
        <w:pStyle w:val="ListBullet"/>
        <w:spacing w:line="240" w:lineRule="auto"/>
        <w:ind w:left="720"/>
      </w:pPr>
      <w:r/>
      <w:r>
        <w:t>os mercadores árabes (ismaelitas) que levaram José ao Egito (</w:t>
      </w:r>
      <w:hyperlink r:id="rId1495">
        <w:r>
          <w:rPr>
            <w:color w:val="0000EE"/>
            <w:u w:val="single"/>
          </w:rPr>
          <w:t>Gn 37.25</w:t>
        </w:r>
      </w:hyperlink>
      <w:r>
        <w:t>);</w:t>
      </w:r>
    </w:p>
    <w:p>
      <w:pPr>
        <w:pStyle w:val="ListBullet"/>
        <w:spacing w:line="240" w:lineRule="auto"/>
        <w:ind w:left="720"/>
      </w:pPr>
      <w:r/>
      <w:r>
        <w:t>as caravanas da Rainha de Sabá (</w:t>
      </w:r>
      <w:hyperlink r:id="rId16887">
        <w:r>
          <w:rPr>
            <w:color w:val="0000EE"/>
            <w:u w:val="single"/>
          </w:rPr>
          <w:t>1Rs 10.10</w:t>
        </w:r>
      </w:hyperlink>
      <w:r>
        <w:t>);</w:t>
      </w:r>
    </w:p>
    <w:p>
      <w:pPr>
        <w:pStyle w:val="ListBullet"/>
        <w:spacing w:line="240" w:lineRule="auto"/>
        <w:ind w:left="720"/>
      </w:pPr>
      <w:r/>
      <w:r>
        <w:t>os comerciantes de Sabá e Ramá que trouxeram especiarias para Tiro (</w:t>
      </w:r>
      <w:hyperlink r:id="rId8535">
        <w:r>
          <w:rPr>
            <w:color w:val="0000EE"/>
            <w:u w:val="single"/>
          </w:rPr>
          <w:t>Ez 27.22</w:t>
        </w:r>
      </w:hyperlink>
      <w:r>
        <w:t>).</w:t>
      </w:r>
    </w:p>
    <w:p>
      <w:pPr>
        <w:pStyle w:val="Heading3"/>
      </w:pPr>
      <w:r>
        <w:t>Preparação e uso de perfumes</w:t>
      </w:r>
    </w:p>
    <w:p>
      <w:r/>
      <w:r>
        <w:t>A Bíblia menciona aqueles que preparavam perfumes. Por exemplo, Bezalel fez o óleo sagrado de unção e o incenso sagrado para o tabernáculo (</w:t>
      </w:r>
      <w:hyperlink r:id="rId16888">
        <w:r>
          <w:rPr>
            <w:color w:val="0000EE"/>
            <w:u w:val="single"/>
          </w:rPr>
          <w:t>Êx 37.29</w:t>
        </w:r>
      </w:hyperlink>
      <w:r>
        <w:t>). O óleo sagrado de unção era uma mistura de mirra, canela, cálamo aromático e cássia em azeite de oliva (</w:t>
      </w:r>
      <w:hyperlink r:id="rId16889">
        <w:r>
          <w:rPr>
            <w:color w:val="0000EE"/>
            <w:u w:val="single"/>
          </w:rPr>
          <w:t>Êx 30.22–25</w:t>
        </w:r>
      </w:hyperlink>
      <w:r>
        <w:t>). Após o exílio para Babilônia, alguns sacerdotes eram responsáveis por misturar perfumes para o incenso (</w:t>
      </w:r>
      <w:hyperlink r:id="rId16890">
        <w:r>
          <w:rPr>
            <w:color w:val="0000EE"/>
            <w:u w:val="single"/>
          </w:rPr>
          <w:t>1Cr 9.30</w:t>
        </w:r>
      </w:hyperlink>
      <w:r>
        <w:t>). Um perfumista é até mencionado entre aqueles que construíram o muro de Neemias (</w:t>
      </w:r>
      <w:hyperlink r:id="rId16891">
        <w:r>
          <w:rPr>
            <w:color w:val="0000EE"/>
            <w:u w:val="single"/>
          </w:rPr>
          <w:t>Ne 3.8</w:t>
        </w:r>
      </w:hyperlink>
      <w:r>
        <w:t>).</w:t>
      </w:r>
    </w:p>
    <w:p>
      <w:pPr>
        <w:pStyle w:val="Heading4"/>
      </w:pPr>
      <w:r>
        <w:t>Armazenagem de perfumes</w:t>
      </w:r>
    </w:p>
    <w:p>
      <w:r/>
      <w:r>
        <w:t>Escavações modernas encontraram vários recipientes e ferramentas cosméticas, embora a Bíblia diga pouco sobre esses itens (</w:t>
      </w:r>
      <w:hyperlink r:id="rId16892">
        <w:r>
          <w:rPr>
            <w:color w:val="0000EE"/>
            <w:u w:val="single"/>
          </w:rPr>
          <w:t>Is 3.20</w:t>
        </w:r>
      </w:hyperlink>
      <w:r>
        <w:t xml:space="preserve">; </w:t>
      </w:r>
      <w:hyperlink r:id="rId3903">
        <w:r>
          <w:rPr>
            <w:color w:val="0000EE"/>
            <w:u w:val="single"/>
          </w:rPr>
          <w:t>Mt 26.7</w:t>
        </w:r>
      </w:hyperlink>
      <w:r>
        <w:t xml:space="preserve">; </w:t>
      </w:r>
      <w:hyperlink r:id="rId3905">
        <w:r>
          <w:rPr>
            <w:color w:val="0000EE"/>
            <w:u w:val="single"/>
          </w:rPr>
          <w:t>Mc 14.3</w:t>
        </w:r>
      </w:hyperlink>
      <w:r>
        <w:t xml:space="preserve">; </w:t>
      </w:r>
      <w:hyperlink r:id="rId16635">
        <w:r>
          <w:rPr>
            <w:color w:val="0000EE"/>
            <w:u w:val="single"/>
          </w:rPr>
          <w:t>Lc 7.37</w:t>
        </w:r>
      </w:hyperlink>
      <w:r>
        <w:t>). Referências a recipientes de alabastro são apoiadas por seu uso no Egito e pela arqueologia. Sítios antigos na Palestina revelaram muitas pequenas tigelas cosméticas decoradas, muitas vezes feitas de alabastro, pequenos frascos para perfumes e óleos, e paletas para misturar cosméticos. Alguns desses itens foram importados de terras como o Egito.</w:t>
      </w:r>
    </w:p>
    <w:p>
      <w:pPr>
        <w:pStyle w:val="Heading4"/>
      </w:pPr>
      <w:r>
        <w:t>Como os perfumes eram utilizados</w:t>
      </w:r>
    </w:p>
    <w:p>
      <w:r/>
      <w:r>
        <w:t>Perfumes tinham muitos usos, fossem pós ou óleos. Óleos perfumados eram utilizados para ungir o corpo e suavizar a pele ressecada pelo sol (</w:t>
      </w:r>
      <w:hyperlink r:id="rId3023">
        <w:r>
          <w:rPr>
            <w:color w:val="0000EE"/>
            <w:u w:val="single"/>
          </w:rPr>
          <w:t>2Sm 12.20</w:t>
        </w:r>
      </w:hyperlink>
      <w:r>
        <w:t xml:space="preserve">; </w:t>
      </w:r>
      <w:hyperlink r:id="rId3022">
        <w:r>
          <w:rPr>
            <w:color w:val="0000EE"/>
            <w:u w:val="single"/>
          </w:rPr>
          <w:t>Rt 3.3</w:t>
        </w:r>
      </w:hyperlink>
      <w:r>
        <w:t>). O rei Acaz certa vez vestiu, alimentou e ungiu homens que retornavam do cativeiro (</w:t>
      </w:r>
      <w:hyperlink r:id="rId11582">
        <w:r>
          <w:rPr>
            <w:color w:val="0000EE"/>
            <w:u w:val="single"/>
          </w:rPr>
          <w:t>2Cr 28.15</w:t>
        </w:r>
      </w:hyperlink>
      <w:r>
        <w:t>). Os ricos podiam se dar ao luxo dos “melhores óleos” (</w:t>
      </w:r>
      <w:hyperlink r:id="rId16893">
        <w:r>
          <w:rPr>
            <w:color w:val="0000EE"/>
            <w:u w:val="single"/>
          </w:rPr>
          <w:t>Am 6.6</w:t>
        </w:r>
      </w:hyperlink>
      <w:r>
        <w:t>), embora tal luxo pudesse ser caro (</w:t>
      </w:r>
      <w:hyperlink r:id="rId16894">
        <w:r>
          <w:rPr>
            <w:color w:val="0000EE"/>
            <w:u w:val="single"/>
          </w:rPr>
          <w:t>Pv 21.17</w:t>
        </w:r>
      </w:hyperlink>
      <w:r>
        <w:t>). Isso é confirmado por evidências do Egito e da Mesopotâmia, onde óleos e unguentos eram usados abundantemente nos palácios reais.</w:t>
      </w:r>
    </w:p>
    <w:p>
      <w:r/>
      <w:r>
        <w:t>Unguentos e óleos que exalavam fragrâncias agradáveis eram comumente usados. Cantares frequentemente menciona tais unguentos (</w:t>
      </w:r>
      <w:hyperlink r:id="rId16895">
        <w:r>
          <w:rPr>
            <w:color w:val="0000EE"/>
            <w:u w:val="single"/>
          </w:rPr>
          <w:t>Ct 1.3</w:t>
        </w:r>
      </w:hyperlink>
      <w:r>
        <w:t>), alguns dos quais são especificamente nomeados:</w:t>
      </w:r>
    </w:p>
    <w:p>
      <w:pPr>
        <w:pStyle w:val="ListBullet"/>
        <w:spacing w:line="240" w:lineRule="auto"/>
        <w:ind w:left="720"/>
      </w:pPr>
      <w:r/>
      <w:r>
        <w:t>Nardo (</w:t>
      </w:r>
      <w:hyperlink r:id="rId10966">
        <w:r>
          <w:rPr>
            <w:color w:val="0000EE"/>
            <w:u w:val="single"/>
          </w:rPr>
          <w:t>1.12</w:t>
        </w:r>
      </w:hyperlink>
      <w:r>
        <w:t xml:space="preserve">; </w:t>
      </w:r>
      <w:hyperlink r:id="rId16896">
        <w:r>
          <w:rPr>
            <w:color w:val="0000EE"/>
            <w:u w:val="single"/>
          </w:rPr>
          <w:t>4.13–14</w:t>
        </w:r>
      </w:hyperlink>
      <w:r>
        <w:t>)</w:t>
      </w:r>
    </w:p>
    <w:p>
      <w:pPr>
        <w:pStyle w:val="ListBullet"/>
        <w:spacing w:line="240" w:lineRule="auto"/>
        <w:ind w:left="720"/>
      </w:pPr>
      <w:r/>
      <w:r>
        <w:t>Mirra (</w:t>
      </w:r>
      <w:hyperlink r:id="rId10965">
        <w:r>
          <w:rPr>
            <w:color w:val="0000EE"/>
            <w:u w:val="single"/>
          </w:rPr>
          <w:t>1.13</w:t>
        </w:r>
      </w:hyperlink>
      <w:r>
        <w:t xml:space="preserve">; </w:t>
      </w:r>
      <w:hyperlink r:id="rId10954">
        <w:r>
          <w:rPr>
            <w:color w:val="0000EE"/>
            <w:u w:val="single"/>
          </w:rPr>
          <w:t>3.6</w:t>
        </w:r>
      </w:hyperlink>
      <w:r>
        <w:t xml:space="preserve">; </w:t>
      </w:r>
      <w:hyperlink r:id="rId10955">
        <w:r>
          <w:rPr>
            <w:color w:val="0000EE"/>
            <w:u w:val="single"/>
          </w:rPr>
          <w:t>4.6</w:t>
        </w:r>
      </w:hyperlink>
      <w:r>
        <w:t xml:space="preserve">; </w:t>
      </w:r>
      <w:hyperlink r:id="rId16897">
        <w:r>
          <w:rPr>
            <w:color w:val="0000EE"/>
            <w:u w:val="single"/>
          </w:rPr>
          <w:t>5.1,5,13</w:t>
        </w:r>
      </w:hyperlink>
      <w:r>
        <w:t>)</w:t>
      </w:r>
    </w:p>
    <w:p>
      <w:pPr>
        <w:pStyle w:val="ListBullet"/>
        <w:spacing w:line="240" w:lineRule="auto"/>
        <w:ind w:left="720"/>
      </w:pPr>
      <w:r/>
      <w:r>
        <w:t>Incenso (</w:t>
      </w:r>
      <w:hyperlink r:id="rId10954">
        <w:r>
          <w:rPr>
            <w:color w:val="0000EE"/>
            <w:u w:val="single"/>
          </w:rPr>
          <w:t>3.6</w:t>
        </w:r>
      </w:hyperlink>
      <w:r>
        <w:t xml:space="preserve">; </w:t>
      </w:r>
      <w:hyperlink r:id="rId10955">
        <w:r>
          <w:rPr>
            <w:color w:val="0000EE"/>
            <w:u w:val="single"/>
          </w:rPr>
          <w:t>4.6</w:t>
        </w:r>
      </w:hyperlink>
      <w:r>
        <w:t>)</w:t>
      </w:r>
    </w:p>
    <w:p>
      <w:pPr>
        <w:pStyle w:val="ListBullet"/>
        <w:spacing w:line="240" w:lineRule="auto"/>
        <w:ind w:left="720"/>
      </w:pPr>
      <w:r/>
      <w:r>
        <w:t>Especiarias (</w:t>
      </w:r>
      <w:hyperlink r:id="rId16898">
        <w:r>
          <w:rPr>
            <w:color w:val="0000EE"/>
            <w:u w:val="single"/>
          </w:rPr>
          <w:t>5.13</w:t>
        </w:r>
      </w:hyperlink>
      <w:r>
        <w:t xml:space="preserve">; </w:t>
      </w:r>
      <w:hyperlink r:id="rId16899">
        <w:r>
          <w:rPr>
            <w:color w:val="0000EE"/>
            <w:u w:val="single"/>
          </w:rPr>
          <w:t>6.2</w:t>
        </w:r>
      </w:hyperlink>
      <w:r>
        <w:t xml:space="preserve">; </w:t>
      </w:r>
      <w:hyperlink r:id="rId1581">
        <w:r>
          <w:rPr>
            <w:color w:val="0000EE"/>
            <w:u w:val="single"/>
          </w:rPr>
          <w:t>8.14</w:t>
        </w:r>
      </w:hyperlink>
      <w:r>
        <w:t>)</w:t>
      </w:r>
    </w:p>
    <w:p>
      <w:pPr>
        <w:pStyle w:val="ListBullet"/>
        <w:spacing w:line="240" w:lineRule="auto"/>
        <w:ind w:left="720"/>
      </w:pPr>
      <w:r/>
      <w:r>
        <w:t>Hena (</w:t>
      </w:r>
      <w:hyperlink r:id="rId8065">
        <w:r>
          <w:rPr>
            <w:color w:val="0000EE"/>
            <w:u w:val="single"/>
          </w:rPr>
          <w:t>1.14</w:t>
        </w:r>
      </w:hyperlink>
      <w:r>
        <w:t xml:space="preserve">; </w:t>
      </w:r>
      <w:hyperlink r:id="rId16272">
        <w:r>
          <w:rPr>
            <w:color w:val="0000EE"/>
            <w:u w:val="single"/>
          </w:rPr>
          <w:t>4.13</w:t>
        </w:r>
      </w:hyperlink>
      <w:r>
        <w:t>)</w:t>
      </w:r>
    </w:p>
    <w:p>
      <w:pPr>
        <w:pStyle w:val="ListBullet"/>
        <w:spacing w:line="240" w:lineRule="auto"/>
        <w:ind w:left="720"/>
      </w:pPr>
      <w:r/>
      <w:r>
        <w:t>Pós perfumados (</w:t>
      </w:r>
      <w:hyperlink r:id="rId10954">
        <w:r>
          <w:rPr>
            <w:color w:val="0000EE"/>
            <w:u w:val="single"/>
          </w:rPr>
          <w:t>3.6</w:t>
        </w:r>
      </w:hyperlink>
      <w:r>
        <w:t>)</w:t>
      </w:r>
    </w:p>
    <w:p>
      <w:pPr>
        <w:pStyle w:val="ListBullet"/>
        <w:spacing w:line="240" w:lineRule="auto"/>
        <w:ind w:left="720"/>
      </w:pPr>
      <w:r/>
      <w:r>
        <w:t>Açafrão (</w:t>
      </w:r>
      <w:hyperlink r:id="rId4021">
        <w:r>
          <w:rPr>
            <w:color w:val="0000EE"/>
            <w:u w:val="single"/>
          </w:rPr>
          <w:t>4.14</w:t>
        </w:r>
      </w:hyperlink>
      <w:r>
        <w:t>)</w:t>
      </w:r>
    </w:p>
    <w:p>
      <w:pPr>
        <w:pStyle w:val="ListBullet"/>
        <w:spacing w:line="240" w:lineRule="auto"/>
        <w:ind w:left="720"/>
      </w:pPr>
      <w:r/>
      <w:r>
        <w:t>Cálamo</w:t>
      </w:r>
    </w:p>
    <w:p>
      <w:pPr>
        <w:pStyle w:val="ListBullet"/>
        <w:spacing w:line="240" w:lineRule="auto"/>
        <w:ind w:left="720"/>
      </w:pPr>
      <w:r/>
      <w:r>
        <w:t>Canela (</w:t>
      </w:r>
      <w:hyperlink r:id="rId4021">
        <w:r>
          <w:rPr>
            <w:color w:val="0000EE"/>
            <w:u w:val="single"/>
          </w:rPr>
          <w:t>4.14</w:t>
        </w:r>
      </w:hyperlink>
      <w:r>
        <w:t>)</w:t>
      </w:r>
    </w:p>
    <w:p>
      <w:r/>
      <w:r>
        <w:t>Outras partes da Bíblia também fazem referência a perfumes e unguentos (</w:t>
      </w:r>
      <w:hyperlink r:id="rId2334">
        <w:r>
          <w:rPr>
            <w:color w:val="0000EE"/>
            <w:u w:val="single"/>
          </w:rPr>
          <w:t>1Rs 10.2,10</w:t>
        </w:r>
      </w:hyperlink>
      <w:r>
        <w:t xml:space="preserve">; </w:t>
      </w:r>
      <w:hyperlink r:id="rId10964">
        <w:r>
          <w:rPr>
            <w:color w:val="0000EE"/>
            <w:u w:val="single"/>
          </w:rPr>
          <w:t>2Rs 20.13</w:t>
        </w:r>
      </w:hyperlink>
      <w:r>
        <w:t xml:space="preserve">; </w:t>
      </w:r>
      <w:hyperlink r:id="rId5458">
        <w:r>
          <w:rPr>
            <w:color w:val="0000EE"/>
            <w:u w:val="single"/>
          </w:rPr>
          <w:t>Pv 27.9</w:t>
        </w:r>
      </w:hyperlink>
      <w:r>
        <w:t xml:space="preserve">; </w:t>
      </w:r>
      <w:hyperlink r:id="rId16900">
        <w:r>
          <w:rPr>
            <w:color w:val="0000EE"/>
            <w:u w:val="single"/>
          </w:rPr>
          <w:t>Is 3.24</w:t>
        </w:r>
      </w:hyperlink>
      <w:r>
        <w:t>).</w:t>
      </w:r>
    </w:p>
    <w:p>
      <w:r/>
      <w:r>
        <w:t>Perfumes eram aplicados em roupas e borrifados em sofás (</w:t>
      </w:r>
      <w:hyperlink r:id="rId4627">
        <w:r>
          <w:rPr>
            <w:color w:val="0000EE"/>
            <w:u w:val="single"/>
          </w:rPr>
          <w:t>Sl 45.8</w:t>
        </w:r>
      </w:hyperlink>
      <w:r>
        <w:t xml:space="preserve">; </w:t>
      </w:r>
      <w:hyperlink r:id="rId16901">
        <w:r>
          <w:rPr>
            <w:color w:val="0000EE"/>
            <w:u w:val="single"/>
          </w:rPr>
          <w:t>Ct 4.11</w:t>
        </w:r>
      </w:hyperlink>
      <w:r>
        <w:t xml:space="preserve">; </w:t>
      </w:r>
      <w:hyperlink r:id="rId16902">
        <w:r>
          <w:rPr>
            <w:color w:val="0000EE"/>
            <w:u w:val="single"/>
          </w:rPr>
          <w:t>Pv 7.17</w:t>
        </w:r>
      </w:hyperlink>
      <w:r>
        <w:t>). Eles também desempenhavam um papel significativo em rituais funerários. Perfumes eram usados no embalsamamento, borrifados em esquifes ou queimados em funerais (</w:t>
      </w:r>
      <w:hyperlink r:id="rId2562">
        <w:r>
          <w:rPr>
            <w:color w:val="0000EE"/>
            <w:u w:val="single"/>
          </w:rPr>
          <w:t>Gn 50.2–3,26</w:t>
        </w:r>
      </w:hyperlink>
      <w:r>
        <w:t xml:space="preserve">; </w:t>
      </w:r>
      <w:hyperlink r:id="rId16903">
        <w:r>
          <w:rPr>
            <w:color w:val="0000EE"/>
            <w:u w:val="single"/>
          </w:rPr>
          <w:t>2Cr 16.14</w:t>
        </w:r>
      </w:hyperlink>
      <w:r>
        <w:t>). Nicodemos trouxe mirra e aloés para envolver o corpo de Jesus (</w:t>
      </w:r>
      <w:hyperlink r:id="rId5997">
        <w:r>
          <w:rPr>
            <w:color w:val="0000EE"/>
            <w:u w:val="single"/>
          </w:rPr>
          <w:t>Jo 19.39–40</w:t>
        </w:r>
      </w:hyperlink>
      <w:r>
        <w:t>). O funeral de Herodes, o Grande, incluiu 500 escravos carregando especiarias (</w:t>
      </w:r>
      <w:r>
        <w:rPr>
          <w:i/>
        </w:rPr>
        <w:t>Antiguidades</w:t>
      </w:r>
      <w:r>
        <w:t xml:space="preserve"> de Josefo 17.8.3).</w:t>
      </w:r>
    </w:p>
    <w:p>
      <w:pPr>
        <w:pStyle w:val="Heading4"/>
      </w:pPr>
      <w:r>
        <w:t>Perfumes na adoração</w:t>
      </w:r>
    </w:p>
    <w:p>
      <w:r/>
      <w:r>
        <w:t>Além do uso pessoal, óleos, perfumes e incenso eram utilizados na adoração. O óleo sagrado de unção ungia o tabernáculo, seus móveis e os sacerdotes arônicos durante sua consagração (</w:t>
      </w:r>
      <w:hyperlink r:id="rId16889">
        <w:r>
          <w:rPr>
            <w:color w:val="0000EE"/>
            <w:u w:val="single"/>
          </w:rPr>
          <w:t>Êx 30.22–25</w:t>
        </w:r>
      </w:hyperlink>
      <w:r>
        <w:t xml:space="preserve">; </w:t>
      </w:r>
      <w:hyperlink r:id="rId16904">
        <w:r>
          <w:rPr>
            <w:color w:val="0000EE"/>
            <w:u w:val="single"/>
          </w:rPr>
          <w:t>Sl 133</w:t>
        </w:r>
      </w:hyperlink>
      <w:r>
        <w:t xml:space="preserve">). </w:t>
      </w:r>
      <w:hyperlink r:id="rId1867">
        <w:r>
          <w:rPr>
            <w:color w:val="0000EE"/>
            <w:u w:val="single"/>
          </w:rPr>
          <w:t xml:space="preserve">Êxodo 30.34–35 </w:t>
        </w:r>
      </w:hyperlink>
      <w:r>
        <w:t>fornece uma receita detalhada para o incenso sagrado, bem conhecido em Israel e no antigo Oriente.</w:t>
      </w:r>
    </w:p>
    <w:p>
      <w:pPr>
        <w:pStyle w:val="Heading3"/>
      </w:pPr>
      <w:r>
        <w:t>Referências figurativas e perfumes</w:t>
      </w:r>
    </w:p>
    <w:p>
      <w:r/>
      <w:r>
        <w:t>O Novo Testamento contém referências figurativas a perfumes. Cristo se entregou como uma oferta de perfume agradável a Deus (</w:t>
      </w:r>
      <w:hyperlink r:id="rId16905">
        <w:r>
          <w:rPr>
            <w:color w:val="0000EE"/>
            <w:u w:val="single"/>
          </w:rPr>
          <w:t>Ef 5.2</w:t>
        </w:r>
      </w:hyperlink>
      <w:r>
        <w:t>). Os presentes dos Filipenses a Paulo são descritos como uma oferta fragrante (</w:t>
      </w:r>
      <w:hyperlink r:id="rId5332">
        <w:r>
          <w:rPr>
            <w:color w:val="0000EE"/>
            <w:u w:val="single"/>
          </w:rPr>
          <w:t>Fp 4.18</w:t>
        </w:r>
      </w:hyperlink>
      <w:r>
        <w:t>). As orações dos santos são como taças de incenso (</w:t>
      </w:r>
      <w:hyperlink r:id="rId10986">
        <w:r>
          <w:rPr>
            <w:color w:val="0000EE"/>
            <w:u w:val="single"/>
          </w:rPr>
          <w:t>Ap 5.8</w:t>
        </w:r>
      </w:hyperlink>
      <w:r>
        <w:t>).</w:t>
      </w:r>
    </w:p>
    <w:p>
      <w:r/>
      <w:r>
        <w:rPr>
          <w:i/>
        </w:rPr>
        <w:t>Veja também</w:t>
      </w:r>
      <w:r>
        <w:t xml:space="preserve"> </w:t>
      </w:r>
      <w:r>
        <w:t>Cosméticos</w:t>
      </w:r>
      <w:r>
        <w:t xml:space="preserve">; </w:t>
      </w:r>
      <w:r>
        <w:t>Óleo</w:t>
      </w:r>
      <w:r>
        <w:t xml:space="preserve">; </w:t>
      </w:r>
      <w:r>
        <w:t>Unguento</w:t>
      </w:r>
      <w:r>
        <w:t xml:space="preserve">; </w:t>
      </w:r>
      <w:r>
        <w:t>Perfumista</w:t>
      </w:r>
      <w:r>
        <w:t>.</w:t>
      </w:r>
      <w:r/>
      <w:r/>
    </w:p>
    <w:p>
      <w:r/>
    </w:p>
    <w:p>
      <w:pPr>
        <w:pStyle w:val="Heading2"/>
      </w:pPr>
      <w:r>
        <w:t>Perfumista</w:t>
      </w:r>
      <w:r/>
    </w:p>
    <w:p>
      <w:r/>
      <w:r>
        <w:t>Um perfumista era uma pessoa que preparava óleos, pós e misturas para três usos:</w:t>
      </w:r>
    </w:p>
    <w:p>
      <w:pPr>
        <w:pStyle w:val="ListNumber"/>
        <w:spacing w:line="240" w:lineRule="auto"/>
        <w:ind w:left="720"/>
      </w:pPr>
      <w:r/>
      <w:r>
        <w:t>Medicina;</w:t>
      </w:r>
    </w:p>
    <w:p>
      <w:pPr>
        <w:pStyle w:val="ListNumber"/>
        <w:spacing w:line="240" w:lineRule="auto"/>
        <w:ind w:left="720"/>
      </w:pPr>
      <w:r/>
      <w:r>
        <w:t>Perfumes;</w:t>
      </w:r>
    </w:p>
    <w:p>
      <w:pPr>
        <w:pStyle w:val="ListNumber"/>
        <w:spacing w:line="240" w:lineRule="auto"/>
        <w:ind w:left="720"/>
      </w:pPr>
      <w:r/>
      <w:r>
        <w:t>Incenso utilizado em cerimônias religiosas.</w:t>
      </w:r>
    </w:p>
    <w:p>
      <w:r/>
      <w:r>
        <w:t>Muitas plantas, quando esmagadas, forneciam óleos ou pós com um cheiro único.</w:t>
      </w:r>
    </w:p>
    <w:p>
      <w:r/>
      <w:r>
        <w:t>Um perfumista também é conhecido como "boticário" (</w:t>
      </w:r>
      <w:hyperlink r:id="rId16906">
        <w:r>
          <w:rPr>
            <w:color w:val="0000EE"/>
            <w:u w:val="single"/>
          </w:rPr>
          <w:t>Êx 30.2</w:t>
        </w:r>
      </w:hyperlink>
      <w:r>
        <w:t xml:space="preserve">, </w:t>
      </w:r>
      <w:hyperlink r:id="rId16112">
        <w:r>
          <w:rPr>
            <w:color w:val="0000EE"/>
            <w:u w:val="single"/>
          </w:rPr>
          <w:t>1Sm 8.13</w:t>
        </w:r>
      </w:hyperlink>
      <w:r>
        <w:t>).</w:t>
      </w:r>
    </w:p>
    <w:p>
      <w:r/>
      <w:r>
        <w:rPr>
          <w:i/>
        </w:rPr>
        <w:t>Veja</w:t>
      </w:r>
      <w:r>
        <w:t xml:space="preserve"> </w:t>
      </w:r>
      <w:r>
        <w:t>Perfume</w:t>
      </w:r>
      <w:r>
        <w:t>.</w:t>
      </w:r>
      <w:r/>
      <w:r/>
    </w:p>
    <w:p>
      <w:r/>
    </w:p>
    <w:p>
      <w:pPr>
        <w:pStyle w:val="Heading2"/>
      </w:pPr>
      <w:r>
        <w:t>Perge</w:t>
      </w:r>
      <w:r/>
    </w:p>
    <w:p>
      <w:r/>
      <w:r>
        <w:t>Perge foi uma importante cidade antiga localizada na Panfília (uma região que hoje é o sul da Turquia). Os gregos provavelmente construíram esta cidade bem no início de sua história. Ela se tornou a cidade religiosa mais importante da Panfília.</w:t>
      </w:r>
    </w:p>
    <w:p>
      <w:r/>
      <w:r>
        <w:t>No século II a.C., soldados romanos derrotaram e removeram um grupo de soldados sírios que controlavam a cidade. Após isso, Perge conseguiu, em grande parte, se autogovernar sem o controle de outras nações.</w:t>
      </w:r>
    </w:p>
    <w:p>
      <w:pPr>
        <w:pStyle w:val="Heading3"/>
      </w:pPr>
      <w:r>
        <w:t>A visita de Paulo a Perge em suas viagens missionárias</w:t>
      </w:r>
    </w:p>
    <w:p>
      <w:r/>
      <w:r>
        <w:t>Em sua primeira viagem missionária, Paulo e seus colegas passaram pela cidade a caminho de Antioquia da Pisídia. O Livro de Atos não relata nenhuma atividade de pregação nessa ocasião. Observa apenas que João Marcos deixou seus companheiros em Perge e voltou para Jerusalém (</w:t>
      </w:r>
      <w:hyperlink r:id="rId16907">
        <w:r>
          <w:rPr>
            <w:color w:val="0000EE"/>
            <w:u w:val="single"/>
          </w:rPr>
          <w:t>At 13.13–14</w:t>
        </w:r>
      </w:hyperlink>
      <w:r>
        <w:t>).</w:t>
      </w:r>
    </w:p>
    <w:p>
      <w:r/>
      <w:r>
        <w:t xml:space="preserve">Lucas, o autor de Atos, provavelmente teria registrado se Paulo tivesse pregado durante esta visita. O motivo pelo qual ele não pregou não é mencionado. Um renomado templo de Ártemis, uma deusa da natureza anatoliana, existia perto de Perge. Mas, pelo que sabemos das ações de Paulo em outros lugares, isso não o teria impedido. De fato, era mais provável que apresentasse um desafio ao apóstolo. Paulo pode ter estado doente. Alguns comentaristas sugerem uma possível conexão com </w:t>
      </w:r>
      <w:hyperlink r:id="rId4345">
        <w:r>
          <w:rPr>
            <w:color w:val="0000EE"/>
            <w:u w:val="single"/>
          </w:rPr>
          <w:t>Gálatas 4.13.</w:t>
        </w:r>
      </w:hyperlink>
      <w:r>
        <w:t xml:space="preserve"> Nesse caso, Barnabé provavelmente teria pregado no lugar de Paulo. A falta de pregação em Perge pode ter coincidido com um desacordo no grupo sobre o alcance e a aceitação dos gentios. Nesse caso, pode ser que João Marcos tenha deixado o grupo por causa de diferenças com Paulo.</w:t>
      </w:r>
    </w:p>
    <w:p>
      <w:r/>
      <w:r>
        <w:t xml:space="preserve">No caminho de volta para casa, no entanto, Paulo e Barnabé pregaram o evangelho em Perge ("proclamaram a palavra em Perge"; </w:t>
      </w:r>
      <w:hyperlink r:id="rId16908">
        <w:r>
          <w:rPr>
            <w:color w:val="0000EE"/>
            <w:u w:val="single"/>
          </w:rPr>
          <w:t>At 14.25–26</w:t>
        </w:r>
      </w:hyperlink>
      <w:r>
        <w:t>). Depois, partiram de lá e seguiram para Atália, onde embarcaram para Antioquia da Síria. Os resultados dessa pregação não são conhecidos, mas é evidente que o cristianismo não prosperou em Perge, como aconteceu em outras cidades da Ásia Menor.</w:t>
      </w:r>
      <w:r/>
      <w:r/>
    </w:p>
    <w:p>
      <w:r/>
    </w:p>
    <w:p>
      <w:pPr>
        <w:pStyle w:val="Heading2"/>
      </w:pPr>
      <w:r>
        <w:t>Período macabeu</w:t>
      </w:r>
      <w:r/>
    </w:p>
    <w:p>
      <w:r/>
      <w:r>
        <w:t>O período da história de Israel em que os macabeus lutaram pela liberdade de Israel e governaram o país durou de 167 a.C. até aproximadamente 40 a.C.</w:t>
      </w:r>
    </w:p>
    <w:p>
      <w:pPr>
        <w:pStyle w:val="Heading3"/>
      </w:pPr>
      <w:r>
        <w:t>Quem foram os macabeus?</w:t>
      </w:r>
    </w:p>
    <w:p>
      <w:r/>
      <w:r>
        <w:t>Um sacerdote chamado Matatias e seus filhos lideraram os macabeus. O filho mais famoso de Matatias era Judas, que as pessoas chamavam de "macabeu". O nome "macabeus" deriva desse título.</w:t>
      </w:r>
    </w:p>
    <w:p>
      <w:r/>
      <w:r>
        <w:t>Os macabeus lutaram contra aqueles que desejavam alterar a vida e as práticas religiosas judaicas. Naquela época, muitos governantes queriam que o povo judeu adotasse os costumes gregos e adorasse os deuses gregos. Os macabeus se opuseram firmemente a essas mudanças porque queriam:</w:t>
      </w:r>
    </w:p>
    <w:p>
      <w:pPr>
        <w:pStyle w:val="ListBullet"/>
        <w:spacing w:line="240" w:lineRule="auto"/>
        <w:ind w:left="720"/>
      </w:pPr>
      <w:r/>
      <w:r>
        <w:t>Proteger os modos de vida tradicionais judaicos;</w:t>
      </w:r>
    </w:p>
    <w:p>
      <w:pPr>
        <w:pStyle w:val="ListBullet"/>
        <w:spacing w:line="240" w:lineRule="auto"/>
        <w:ind w:left="720"/>
      </w:pPr>
      <w:r/>
      <w:r>
        <w:t>Manter suas práticas religiosas puras;</w:t>
      </w:r>
    </w:p>
    <w:p>
      <w:pPr>
        <w:pStyle w:val="ListBullet"/>
        <w:spacing w:line="240" w:lineRule="auto"/>
        <w:ind w:left="720"/>
      </w:pPr>
      <w:r/>
      <w:r>
        <w:t>Impedir que governantes estrangeiros controlem sua religião;</w:t>
      </w:r>
    </w:p>
    <w:p>
      <w:pPr>
        <w:pStyle w:val="ListBullet"/>
        <w:spacing w:line="240" w:lineRule="auto"/>
        <w:ind w:left="720"/>
      </w:pPr>
      <w:r/>
      <w:r>
        <w:t>Manter sua independência.</w:t>
      </w:r>
    </w:p>
    <w:p>
      <w:pPr>
        <w:pStyle w:val="Heading3"/>
      </w:pPr>
      <w:r>
        <w:t>Quem governava o povo judeu antes dos macabeus?</w:t>
      </w:r>
    </w:p>
    <w:p>
      <w:r/>
      <w:r>
        <w:t>Em 332 a.C., um governante grego chamado Alexandre, o Grande, conquistou a Judeia. Após sua morte, três grupos diferentes lutaram pelo controle dessa terra: os egípcios (liderados pela família de Ptolomeu), os sírios e, mais tarde, os romanos.</w:t>
      </w:r>
    </w:p>
    <w:p>
      <w:pPr>
        <w:pStyle w:val="Heading4"/>
      </w:pPr>
      <w:r>
        <w:t>Domínio grego e conflito cultural</w:t>
      </w:r>
    </w:p>
    <w:p>
      <w:r/>
      <w:r>
        <w:t>Os governantes egípcios eram, na verdade, gregos, assim como os reis sírios. Ambos os grupos estavam relacionados aos generais que serviram sob Alexandre, o Grande. Os governantes egípcios, embora governassem a partir do Egito em vez da Grécia, acreditavam firmemente que a cultura grega era superior. Eles desejavam disseminar o aprendizado e as ideias gregas. Para isso, construíram uma grande biblioteca na cidade de Alexandria, esperando torná-la um importante centro da cultura grega, como Atenas.</w:t>
      </w:r>
    </w:p>
    <w:p>
      <w:r/>
      <w:r>
        <w:t>As pessoas que apoiavam a cultura grega (chamadas de helenistas) desejavam espalhar sua cultura para outras terras no leste do Mediterrâneo e no Oriente Médio. Eles tinham três objetivos principais:</w:t>
      </w:r>
    </w:p>
    <w:p>
      <w:pPr>
        <w:pStyle w:val="ListNumber"/>
        <w:spacing w:line="240" w:lineRule="auto"/>
        <w:ind w:left="720"/>
      </w:pPr>
      <w:r/>
      <w:r>
        <w:t>Introduzir os modos de vida gregos nessas regiões;</w:t>
      </w:r>
    </w:p>
    <w:p>
      <w:pPr>
        <w:pStyle w:val="ListNumber"/>
        <w:spacing w:line="240" w:lineRule="auto"/>
        <w:ind w:left="720"/>
      </w:pPr>
      <w:r/>
      <w:r>
        <w:t>Construir novas cidades que se assemelhassem e funcionassem como cidades gregas;</w:t>
      </w:r>
    </w:p>
    <w:p>
      <w:pPr>
        <w:pStyle w:val="ListNumber"/>
        <w:spacing w:line="240" w:lineRule="auto"/>
        <w:ind w:left="720"/>
      </w:pPr>
      <w:r/>
      <w:r>
        <w:t>Encorajar os gregos a se casarem com pessoas da região.</w:t>
      </w:r>
    </w:p>
    <w:p>
      <w:r/>
      <w:r>
        <w:t>Eles esperavam que essas ações levassem as pessoas locais a esquecerem suas próprias tradições e adotarem os costumes gregos. Queriam que as pessoas deixassem de seguir suas crenças religiosas locais e passassem a adorar os deuses gregos, que possuíam muitas histórias e símbolos interessantes.</w:t>
      </w:r>
    </w:p>
    <w:p>
      <w:r/>
      <w:r>
        <w:t>Judá (a pátria judaica) era uma pequena nação enfrentando essa invasão grega. Parecia improvável que o povo judeu pudesse manter sua religião, cultura e liberdade. No entanto, eles tinham uma forte fé de que Deus os protegeria. Acreditavam que, se obedecessem às leis de Deus, sobreviveriam como povo. Mesmo que pudessem sofrer e ser forçados a deixar sua terra natal, confiavam que Deus preservaria pelo menos parte deles. Encontravam esperança na crença de que Deus em breve enviaria o Messias (seu salvador e líder prometido).</w:t>
      </w:r>
    </w:p>
    <w:p>
      <w:pPr>
        <w:pStyle w:val="Heading4"/>
      </w:pPr>
      <w:r>
        <w:t>Síria assume o controle da Judeia</w:t>
      </w:r>
    </w:p>
    <w:p>
      <w:r/>
      <w:r>
        <w:t>Antes de 200 a.C., nem o Egito nem a Síria pareciam capazes de obter controle a longo prazo sobre a Judeia. Eventualmente, um acordo foi alcançado, dando controle à Síria, e a Judeia apoiou isso. Em agradecimento por esse apoio, Antíoco, o Grande da Síria, cancelou os impostos dos judeus por três anos. Ele prometeu fornecer dinheiro às cidades destruídas nas batalhas anteriores. Sacerdotes, escribas e cantores do templo não precisavam pagar certos impostos. As taxas sobre a venda de materiais de construção foram removidas por um curto período para ajudar os judeus a reconstruir Jerusalém. Dinheiro foi disponibilizado para sacrifícios, e muitos prisioneiros judeus foram libertados.</w:t>
      </w:r>
    </w:p>
    <w:p>
      <w:r/>
      <w:r>
        <w:t>Por volta de 175 a.C., a situação mudou. Antíoco IV Epifânio tornou-se rei da Síria ao matar tanto seu irmão quanto a pessoa que deveria ser o próximo rei. Antes disso, Antíoco IV viveu em Atenas e também foi mantido como refém em Roma por 14 anos.</w:t>
      </w:r>
    </w:p>
    <w:p>
      <w:r/>
      <w:r>
        <w:t>Antíoco compreendia e respeitava o poder político de Roma. Para evitar uma tomada da Ásia Ocidental, ele decidiu expandir sua posição conquistando o Egito e trazendo toda a área sob controle sírio. Impressionado pela filosofia e tradições gregas, ele tentou usar a disseminação da cultura grega como uma ferramenta para unir os diversos povos sob seu controle. Ele era um homem perigoso e não pararia por nada para alcançar seus objetivos políticos.</w:t>
      </w:r>
    </w:p>
    <w:p>
      <w:pPr>
        <w:pStyle w:val="Heading4"/>
      </w:pPr>
      <w:r>
        <w:t>O poder do sumo sacerdote na política e na religião</w:t>
      </w:r>
    </w:p>
    <w:p>
      <w:r/>
      <w:r>
        <w:t>A pessoa mais poderosa em Jerusalém na época era o sumo sacerdote, que ocupava tanto um cargo político quanto religioso. Tradicionalmente, o sumo sacerdote era descendente de Arão. Durante este período de conflitos, era essencial que o sumo sacerdote fosse um líder forte e inspirador. Ele precisava ser firme em sua própria fé, além de ser um exemplo e capaz de motivar outros a lutar contra a disseminação da cultura grega.</w:t>
      </w:r>
    </w:p>
    <w:p>
      <w:r/>
      <w:r>
        <w:t>Aquele que controlava militarmente a área tinha a capacidade de escolher o sumo sacerdote. Quando o poder sírio era forte, o rei tentava nomear sua própria escolha como sumo sacerdote. Quando a Síria estava envolvida em conflitos políticos internos, em batalhas contra outras nações, ou estava sendo derrotada pelos seguidores de Judas Macabeu, o povo judeu tinha permissão temporária para escolher seu próprio sumo sacerdote. Durante esses períodos, eles desfrutavam de alguma independência política e alívio do pagamento de impostos.</w:t>
      </w:r>
    </w:p>
    <w:p>
      <w:r/>
      <w:r>
        <w:t>É claro porque os judeus ficaram chateados quando Antíoco tentou inicialmente instalar seu próprio indicado, Menelau, como sumo sacerdote. Como ele não era descendente de Arão, não tinha direito à posição. O Antigo Testamento afirma que o sumo sacerdote deve ser um descendente de Arão. Menelau tornou-se sumo sacerdote pagando a Antíoco uma grande quantia de dinheiro, o que convenceu Antíoco, que precisava de recursos.</w:t>
      </w:r>
    </w:p>
    <w:p>
      <w:r/>
      <w:r>
        <w:t>Enquanto o rei Antíoco estava ocupado lutando no Egito, o povo de Jerusalém agiu. Eles forçaram Menelau a deixar de ser sumo sacerdote e devolveram a posição à pessoa que havia sido sumo sacerdote antes dele. Em vingança, Antíoco ordenou que a cidade fosse destruída. Muitas das pessoas que viviam em Jerusalém foram mortas. O templo foi profanado e seu tesouro foi removido.</w:t>
      </w:r>
    </w:p>
    <w:p>
      <w:pPr>
        <w:pStyle w:val="Heading4"/>
      </w:pPr>
      <w:r>
        <w:t>O rei Antíoco ataca as tradições judaicas</w:t>
      </w:r>
    </w:p>
    <w:p>
      <w:r/>
      <w:r>
        <w:t>Depois disso, a cidade foi colocada sob a autoridade de um comandante militar sírio (</w:t>
      </w:r>
      <w:hyperlink r:id="rId16909">
        <w:r>
          <w:rPr>
            <w:color w:val="0000EE"/>
            <w:u w:val="single"/>
          </w:rPr>
          <w:t>1Mc 1.20–29</w:t>
        </w:r>
      </w:hyperlink>
      <w:r>
        <w:t xml:space="preserve">; </w:t>
      </w:r>
      <w:hyperlink r:id="rId16910">
        <w:r>
          <w:rPr>
            <w:color w:val="0000EE"/>
            <w:u w:val="single"/>
          </w:rPr>
          <w:t>2Mc 5.14–22</w:t>
        </w:r>
      </w:hyperlink>
      <w:r>
        <w:t xml:space="preserve">; </w:t>
      </w:r>
      <w:r>
        <w:rPr>
          <w:i/>
        </w:rPr>
        <w:t>Antiguidades</w:t>
      </w:r>
      <w:r>
        <w:t xml:space="preserve"> de Josefo 12.5.3). Antíoco ainda queria controlar o Egito, então ele o atacou novamente. Mas quando os líderes romanos (o senado) ordenaram que ele se retirasse, ele rapidamente ordenou que seu exército recuasse. Ele tinha medo do grande poder de Roma. Para se proteger de Roma, ele elaborou um novo plano. Ele forçaria o povo judeu a aceitar os modos de vida gregos. Ele pensava que isso os tornaria leais a ele e criaria uma área de proteção entre seu reino e Roma.</w:t>
      </w:r>
    </w:p>
    <w:p>
      <w:r/>
      <w:r>
        <w:t>Antíoco interrompeu a observância do sábado, festivais religiosos, sacrifícios e a circuncisão de crianças do sexo masculino. Estas são práticas judaicas ensinadas nos primeiros cinco livros da Bíblia. Ele também mandou destruir cópias da Torá e construiu altares dedicados aos deuses gregos. Ele ordenou que os judeus comessem carne de porco, prática que a Bíblia proíbe para os judeus (</w:t>
      </w:r>
      <w:hyperlink r:id="rId1824">
        <w:r>
          <w:rPr>
            <w:color w:val="0000EE"/>
            <w:u w:val="single"/>
          </w:rPr>
          <w:t>2Mc 6.18</w:t>
        </w:r>
      </w:hyperlink>
      <w:r>
        <w:t xml:space="preserve">; veja </w:t>
      </w:r>
      <w:hyperlink r:id="rId1822">
        <w:r>
          <w:rPr>
            <w:color w:val="0000EE"/>
            <w:u w:val="single"/>
          </w:rPr>
          <w:t>Lv 11.7</w:t>
        </w:r>
      </w:hyperlink>
      <w:r>
        <w:t>). O templo em Jerusalém tornou-se um santuário dedicado a Zeus, e um porco foi oferecido em sacrifício no altar (</w:t>
      </w:r>
      <w:hyperlink r:id="rId16911">
        <w:r>
          <w:rPr>
            <w:color w:val="0000EE"/>
            <w:u w:val="single"/>
          </w:rPr>
          <w:t>1Mc 1.41–64</w:t>
        </w:r>
      </w:hyperlink>
      <w:r>
        <w:t xml:space="preserve">; </w:t>
      </w:r>
      <w:hyperlink r:id="rId16912">
        <w:r>
          <w:rPr>
            <w:color w:val="0000EE"/>
            <w:u w:val="single"/>
          </w:rPr>
          <w:t>2Mcs 6.1–11</w:t>
        </w:r>
      </w:hyperlink>
      <w:r>
        <w:t xml:space="preserve">; veja </w:t>
      </w:r>
      <w:hyperlink r:id="rId16913">
        <w:r>
          <w:rPr>
            <w:color w:val="0000EE"/>
            <w:u w:val="single"/>
          </w:rPr>
          <w:t>Dn 11.31,32</w:t>
        </w:r>
      </w:hyperlink>
      <w:r>
        <w:t>).</w:t>
      </w:r>
    </w:p>
    <w:p>
      <w:r/>
      <w:r>
        <w:t>Os governantes sírios obrigaram cada aldeia judaica a construir um altar para adorar deuses estrangeiros. Eles colocaram oficiais sírios em cada aldeia para garantir que o povo obedecesse a essa nova regra.</w:t>
      </w:r>
    </w:p>
    <w:p>
      <w:pPr>
        <w:pStyle w:val="Heading3"/>
      </w:pPr>
      <w:r>
        <w:t>A revolta dos macabeus</w:t>
      </w:r>
    </w:p>
    <w:p>
      <w:pPr>
        <w:pStyle w:val="Heading4"/>
      </w:pPr>
      <w:r>
        <w:t>Matatias inicia a rebelião</w:t>
      </w:r>
    </w:p>
    <w:p>
      <w:r/>
      <w:r>
        <w:t>Em 166 a.C., um idoso sacerdote judeu chamado Matatias enfrentou uma escolha difícil. Ele e seus cinco filhos foram ordenados a fazer uma oferenda religiosa que ia contra a lei judaica. Disseram-lhes para sacrificar carne que os judeus não estavam autorizados a comer e oferecê-la a um deus estrangeiro. Matatias se recusou a fazer isso.</w:t>
      </w:r>
    </w:p>
    <w:p>
      <w:r/>
      <w:r>
        <w:t>Em sua raiva, Matatias matou duas pessoas: um oficial sírio que estava forçando as pessoas a seguirem a nova lei e um judeu que havia abandonado suas crenças e feito a oferta proibida.</w:t>
      </w:r>
    </w:p>
    <w:p>
      <w:r/>
      <w:r>
        <w:t>Antes disso acontecer, alguns judeus estavam se recusando a seguir essas novas regras, mas sua resistência não era organizada. Enquanto algumas pessoas aceitavam as leis sírias, muitas outras recusavam. Essas pessoas estavam dispostas a morrer em vez de irem contra suas crenças religiosas (</w:t>
      </w:r>
      <w:hyperlink r:id="rId16914">
        <w:r>
          <w:rPr>
            <w:color w:val="0000EE"/>
            <w:u w:val="single"/>
          </w:rPr>
          <w:t>1Mc 1.60</w:t>
        </w:r>
      </w:hyperlink>
      <w:r>
        <w:t xml:space="preserve">; </w:t>
      </w:r>
      <w:hyperlink r:id="rId16915">
        <w:r>
          <w:rPr>
            <w:color w:val="0000EE"/>
            <w:u w:val="single"/>
          </w:rPr>
          <w:t>2.29–37</w:t>
        </w:r>
      </w:hyperlink>
      <w:r>
        <w:t xml:space="preserve">; </w:t>
      </w:r>
      <w:hyperlink r:id="rId16916">
        <w:r>
          <w:rPr>
            <w:color w:val="0000EE"/>
            <w:u w:val="single"/>
          </w:rPr>
          <w:t>2Mc 6.18–31</w:t>
        </w:r>
      </w:hyperlink>
      <w:r>
        <w:t>).</w:t>
      </w:r>
    </w:p>
    <w:p>
      <w:r/>
      <w:r>
        <w:t>Matatias convocou todas as pessoas que eram leais às leis religiosas judaicas para se juntarem a ele (</w:t>
      </w:r>
      <w:hyperlink r:id="rId16917">
        <w:r>
          <w:rPr>
            <w:color w:val="0000EE"/>
            <w:u w:val="single"/>
          </w:rPr>
          <w:t>1Mc 2.15–27</w:t>
        </w:r>
      </w:hyperlink>
      <w:r>
        <w:t>). Então, ele e seus filhos fugiram para as colinas para se esconder. Um grupo chamado hasidim juntou-se a Matatias. Eram pessoas muito rigorosas em seguir as leis religiosas judaicas. Junto com outros apoiadores, eles se esconderam nas colinas da Judeia. De lá, faziam ataques surpresa contra seus inimigos e venceram muitas batalhas.</w:t>
      </w:r>
    </w:p>
    <w:p>
      <w:r/>
      <w:r>
        <w:t>Os combatentes judeus atacaram pequenas aldeias sob o controle de seus inimigos. Eles destruíram os altares usados para adorar deuses estrangeiros. Além disso, realizaram a circuncisão (uma importante cerimônia religiosa judaica) em meninos judeus que ainda não a haviam recebido.</w:t>
      </w:r>
    </w:p>
    <w:p>
      <w:pPr>
        <w:pStyle w:val="Heading4"/>
      </w:pPr>
      <w:r>
        <w:t>Judas Macabeu lidera a revolta dos macabeus</w:t>
      </w:r>
    </w:p>
    <w:p>
      <w:r/>
      <w:r>
        <w:t>Em 166 a.C., Matatias faleceu. Seu filho Judas Macabeu assumiu a liderança e, sob seu comando, a luta se intensificou. Judas tornou-se um símbolo importante de como o povo judeu se levantou contra seus inimigos.</w:t>
      </w:r>
    </w:p>
    <w:p>
      <w:r/>
      <w:r>
        <w:t>Judas era um líder forte que acreditava estar lutando pelo que era certo. Ele ajudou a unir seu povo e venceu muitas batalhas, mesmo que seu exército fosse muito menor do que o de seus inimigos. Seus planos de batalha inteligentes e suas muitas vitórias causaram sérios problemas para o Rei Antíoco. Os apoiadores de Judas o admiravam, e seus inimigos o temiam.</w:t>
      </w:r>
    </w:p>
    <w:p>
      <w:r/>
      <w:r>
        <w:t>O sucesso de Judas deu-lhe o controle da maior parte do país. Ele imediatamente restaurou o templo. O altar que havia sido usado para sacrifícios a Zeus foi destruído. Sacerdotes obedientes rededicaram o templo, para que o culto diário pudesse ser retomado (</w:t>
      </w:r>
      <w:hyperlink r:id="rId11444">
        <w:r>
          <w:rPr>
            <w:color w:val="0000EE"/>
            <w:u w:val="single"/>
          </w:rPr>
          <w:t>1Mc 4.36–59</w:t>
        </w:r>
      </w:hyperlink>
      <w:r>
        <w:t xml:space="preserve">; </w:t>
      </w:r>
      <w:hyperlink r:id="rId16918">
        <w:r>
          <w:rPr>
            <w:color w:val="0000EE"/>
            <w:u w:val="single"/>
          </w:rPr>
          <w:t>2Mc 10.1–8</w:t>
        </w:r>
      </w:hyperlink>
      <w:r>
        <w:t xml:space="preserve">; </w:t>
      </w:r>
      <w:r>
        <w:rPr>
          <w:i/>
        </w:rPr>
        <w:t>Antiguidades</w:t>
      </w:r>
      <w:r>
        <w:t xml:space="preserve"> de Josefo 12.7.6,7).</w:t>
      </w:r>
    </w:p>
    <w:p>
      <w:r/>
      <w:r>
        <w:t>O povo judeu agora podia praticar sua fé abertamente novamente. Para celebrar essa vitória, eles criaram um novo festival chamado Festa da Dedicação ou das Luzes (atualmente conhecido como Hanukkah).</w:t>
      </w:r>
    </w:p>
    <w:p>
      <w:r/>
      <w:r>
        <w:t>Após restaurar o templo e as práticas religiosas, Judas iniciou outro projeto importante: a reconstrução das muralhas de Jerusalém. Muralhas fortes ajudariam a proteger a cidade quando os sírios atacassem novamente.</w:t>
      </w:r>
    </w:p>
    <w:p>
      <w:r/>
      <w:r>
        <w:t>Então Judas e seus irmãos decidiram expandir seus objetivos. Eles queriam libertar toda a Palestina, não apenas a Judeia. Eles começaram a atacar diferentes regiões:</w:t>
      </w:r>
    </w:p>
    <w:p>
      <w:pPr>
        <w:pStyle w:val="ListBullet"/>
        <w:spacing w:line="240" w:lineRule="auto"/>
        <w:ind w:left="720"/>
      </w:pPr>
      <w:r/>
      <w:r>
        <w:t>Os idumeus que viviam a leste do rio Jordão (</w:t>
      </w:r>
      <w:hyperlink r:id="rId16919">
        <w:r>
          <w:rPr>
            <w:color w:val="0000EE"/>
            <w:u w:val="single"/>
          </w:rPr>
          <w:t>1Mc 5.1–8</w:t>
        </w:r>
      </w:hyperlink>
      <w:r>
        <w:t>);</w:t>
      </w:r>
    </w:p>
    <w:p>
      <w:pPr>
        <w:pStyle w:val="ListBullet"/>
        <w:spacing w:line="240" w:lineRule="auto"/>
        <w:ind w:left="720"/>
      </w:pPr>
      <w:r/>
      <w:r>
        <w:t>A área da Filístia (</w:t>
      </w:r>
      <w:hyperlink r:id="rId16920">
        <w:r>
          <w:rPr>
            <w:color w:val="0000EE"/>
            <w:u w:val="single"/>
          </w:rPr>
          <w:t>5.9–68</w:t>
        </w:r>
      </w:hyperlink>
      <w:r>
        <w:t xml:space="preserve">; </w:t>
      </w:r>
      <w:r>
        <w:rPr>
          <w:i/>
        </w:rPr>
        <w:t>Antiguidades</w:t>
      </w:r>
      <w:r>
        <w:t xml:space="preserve"> de Josefo 12.8.1–6).</w:t>
      </w:r>
    </w:p>
    <w:p>
      <w:r/>
      <w:r>
        <w:t>Então, Judas trabalhou para conquistar a liberdade política para a Judeia. Ele se opôs a um novo sumo sacerdote que havia sido escolhido. Este sacerdote pertencia à linhagem correta de Arão, mas seguia os costumes gregos em vez das tradições judaicas (</w:t>
      </w:r>
      <w:hyperlink r:id="rId16921">
        <w:r>
          <w:rPr>
            <w:color w:val="0000EE"/>
            <w:u w:val="single"/>
          </w:rPr>
          <w:t>1Mc 7.14</w:t>
        </w:r>
      </w:hyperlink>
      <w:r>
        <w:t xml:space="preserve">; </w:t>
      </w:r>
      <w:hyperlink r:id="rId16922">
        <w:r>
          <w:rPr>
            <w:color w:val="0000EE"/>
            <w:u w:val="single"/>
          </w:rPr>
          <w:t>2Mc 14.3–7</w:t>
        </w:r>
      </w:hyperlink>
      <w:r>
        <w:t xml:space="preserve">; </w:t>
      </w:r>
      <w:r>
        <w:rPr>
          <w:i/>
        </w:rPr>
        <w:t>Antiguidades</w:t>
      </w:r>
      <w:r>
        <w:t xml:space="preserve"> de Josefo 12.9.7).</w:t>
      </w:r>
    </w:p>
    <w:p>
      <w:r/>
      <w:r>
        <w:t>Os hassidim discordaram de Judas e aceitaram o novo sumo sacerdote. No entanto, as promessas feitas a eles foram quebradas, e 60 de seus membros foram mortos. Após isso, os hassidim restantes perceberam seu erro e voltaram a apoiar Judas (</w:t>
      </w:r>
      <w:hyperlink r:id="rId16923">
        <w:r>
          <w:rPr>
            <w:color w:val="0000EE"/>
            <w:u w:val="single"/>
          </w:rPr>
          <w:t>1Mc 7.15–20</w:t>
        </w:r>
      </w:hyperlink>
      <w:r>
        <w:t xml:space="preserve">; </w:t>
      </w:r>
      <w:r>
        <w:rPr>
          <w:i/>
        </w:rPr>
        <w:t>Antiguidades</w:t>
      </w:r>
      <w:r>
        <w:t xml:space="preserve"> de Josefo 12.10.2).</w:t>
      </w:r>
    </w:p>
    <w:p>
      <w:r/>
      <w:r>
        <w:t>Os sírios enviaram um exército para Jerusalém para proteger a posição do novo sumo sacerdote. No entanto, as forças de Judas derrotaram esse exército. Tanto os soldados sírios quanto o sacerdote escolhido por eles fugiram derrotados.</w:t>
      </w:r>
    </w:p>
    <w:p>
      <w:r/>
      <w:r>
        <w:t>Durante esse período, Roma estava se tornando muito poderosa na região. Judas acreditava que poderia usar o poder de Roma para ajudá-lo em sua luta contínua contra a Síria. Ele fez um acordo com Roma para obter proteção.</w:t>
      </w:r>
    </w:p>
    <w:p>
      <w:r/>
      <w:r>
        <w:t>Roma enviou uma mensagem de aviso ao rei sírio Demétrio, informando-o de que Judas estava agora sob proteção romana. No entanto, a mensagem chegou tarde demais. Um grande exército sírio já havia partido para atacar Judas e suas tropas.</w:t>
      </w:r>
    </w:p>
    <w:p>
      <w:r/>
      <w:r>
        <w:t>Quando os soldados de Judas viram o tamanho do exército sírio, alguns deles fugiram. Na batalha que se seguiu, Judas foi morto.</w:t>
      </w:r>
    </w:p>
    <w:p>
      <w:pPr>
        <w:pStyle w:val="Heading4"/>
      </w:pPr>
      <w:r>
        <w:t>Jônatas lidera os macabeus</w:t>
      </w:r>
    </w:p>
    <w:p>
      <w:r/>
      <w:r>
        <w:t>Após a morte de Judas, seu irmão mais novo, Jônatas, tornou-se o novo líder dos combatentes macabeus. Durante esse período, os sírios e seus apoiadores (judeus que seguiam os costumes gregos) controlavam Jerusalém. Eles reconstruíram as muralhas da cidade e fortaleceram outras cidades para se protegerem de possíveis ataques das forças de Jônatas.</w:t>
      </w:r>
    </w:p>
    <w:p>
      <w:r/>
      <w:r>
        <w:t>Nos anos seguintes, os sírios perderam algumas batalhas e enfraqueceram. Isso significava que eles não podiam oferecer tanto apoio aos seus seguidores judeus na Judeia. Os sírios não escolheram um novo sumo sacerdote durante esse período. Isso deixou Jônatas contente, pois ele não queria que mais ninguém tivesse poder sobre assuntos religiosos.</w:t>
      </w:r>
    </w:p>
    <w:p>
      <w:r/>
      <w:r>
        <w:t>Quando os macabeus se tornaram poderosos novamente, eles puniram os judeus que haviam apoiado os costumes sírios (</w:t>
      </w:r>
      <w:hyperlink r:id="rId16924">
        <w:r>
          <w:rPr>
            <w:color w:val="0000EE"/>
            <w:u w:val="single"/>
          </w:rPr>
          <w:t>1Mc 9.23–73</w:t>
        </w:r>
      </w:hyperlink>
      <w:r>
        <w:t xml:space="preserve">; </w:t>
      </w:r>
      <w:r>
        <w:rPr>
          <w:i/>
        </w:rPr>
        <w:t>Antiguidades</w:t>
      </w:r>
      <w:r>
        <w:t xml:space="preserve"> de Josefo 13.1.1–6). Nos cinco anos seguintes, houve paz.</w:t>
      </w:r>
    </w:p>
    <w:p>
      <w:r/>
      <w:r>
        <w:t>Em 152 a.C., a Síria enfrentou problemas internos. Dois grupos diferentes de sírios estavam lutando entre si pelo poder. Ambos os grupos queriam que Jônatas os apoiasse e fizeram-lhe muitas promessas:</w:t>
      </w:r>
    </w:p>
    <w:p>
      <w:pPr>
        <w:pStyle w:val="ListBullet"/>
        <w:spacing w:line="240" w:lineRule="auto"/>
        <w:ind w:left="720"/>
      </w:pPr>
      <w:r/>
      <w:r>
        <w:t>Eles ofereceram torná-lo sumo sacerdote;</w:t>
      </w:r>
    </w:p>
    <w:p>
      <w:pPr>
        <w:pStyle w:val="ListBullet"/>
        <w:spacing w:line="240" w:lineRule="auto"/>
        <w:ind w:left="720"/>
      </w:pPr>
      <w:r/>
      <w:r>
        <w:t>Eles disseram que ele não precisaria pagar impostos;</w:t>
      </w:r>
    </w:p>
    <w:p>
      <w:pPr>
        <w:pStyle w:val="ListBullet"/>
        <w:spacing w:line="240" w:lineRule="auto"/>
        <w:ind w:left="720"/>
      </w:pPr>
      <w:r/>
      <w:r>
        <w:t>Eles ofereceram a ele mais terras para controlar.</w:t>
      </w:r>
    </w:p>
    <w:p>
      <w:r/>
      <w:r>
        <w:t>No final, Jônatas tornou-se o sumo sacerdote. Ele foi o primeiro membro da família dos Macabeus a ocupar essa posição importante.</w:t>
      </w:r>
    </w:p>
    <w:p>
      <w:r/>
      <w:r>
        <w:t>Anos antes, seu irmão Judas desejava ser sumo sacerdote como recompensa por suas vitórias. No entanto, a família de Judas não era da linhagem de Arão. Naquela época, o povo não aceitaria alguém como sumo sacerdote a menos que viesse da família de Arão.</w:t>
      </w:r>
    </w:p>
    <w:p>
      <w:pPr>
        <w:pStyle w:val="Heading4"/>
      </w:pPr>
      <w:r>
        <w:t>Simão e a linhagem familiar dos hasmoneus</w:t>
      </w:r>
    </w:p>
    <w:p>
      <w:r/>
      <w:r>
        <w:t>A liderança da Síria continuou mudando durante esse período. Alguns reis sírios morreram em batalha, enquanto outros foram assassinados por seus inimigos. Jônatas tentou manter-se no poder apoiando diferentes grupos sírios em momentos distintos.</w:t>
      </w:r>
    </w:p>
    <w:p>
      <w:r/>
      <w:r>
        <w:t>Jônatas também enviou representantes a Roma para garantir que Roma continuasse a apoiá-lo. No entanto, os sírios acabaram capturando Jônatas e o mataram. Em 143 a.C., Simão, o último filho vivo de Matatias, tornou-se o novo líder do povo judeu.</w:t>
      </w:r>
    </w:p>
    <w:p>
      <w:r/>
      <w:r>
        <w:t>Simão fez um tratado com o jovem rei sírio Demétrio II para que a Judeia se tornasse mais independente e ganhasse um território maior. Simão até recebeu o direito de cunhar sua própria moeda (</w:t>
      </w:r>
      <w:hyperlink r:id="rId7175">
        <w:r>
          <w:rPr>
            <w:color w:val="0000EE"/>
            <w:u w:val="single"/>
          </w:rPr>
          <w:t>1Mc 15.6</w:t>
        </w:r>
      </w:hyperlink>
      <w:r>
        <w:t>). Isso foi um claro sinal de independência. Assim que Antíoco assumiu o poder em 139 a.C., o direito de cunhar moeda foi retirado.</w:t>
      </w:r>
    </w:p>
    <w:p>
      <w:r/>
      <w:r>
        <w:t>Durante o período de paz que se seguiu, muitos judeus acreditavam que um momento importante em sua história estava prestes a chegar. Eles acreditavam que o Messias (o líder escolhido por Deus para salvar seu povo) apareceria em breve. Algumas pessoas pensavam que o Messias poderia vir da família de Simão. Eles acreditavam nisso, mesmo que alguns dos líderes macabeus, incluindo os irmãos de Simão, tivessem feito coisas que muitos consideravam erradas.</w:t>
      </w:r>
    </w:p>
    <w:p>
      <w:r/>
      <w:r>
        <w:t>Simão continuou a servir como sumo sacerdote (o líder religioso mais importante). Ele garantiu que essa posição importante fosse transmitida a seus filhos e netos após ele.</w:t>
      </w:r>
    </w:p>
    <w:p>
      <w:r/>
      <w:r>
        <w:t>Nem todos concordaram que Simão deveria ser o sumo sacerdote. Até mesmo alguns grupos que haviam apoiado os macabeus anteriormente agora discordavam dessa escolha:</w:t>
      </w:r>
    </w:p>
    <w:p>
      <w:pPr>
        <w:pStyle w:val="ListBullet"/>
        <w:spacing w:line="240" w:lineRule="auto"/>
        <w:ind w:left="720"/>
      </w:pPr>
      <w:r/>
      <w:r>
        <w:t>Os hassidim;</w:t>
      </w:r>
    </w:p>
    <w:p>
      <w:pPr>
        <w:pStyle w:val="ListBullet"/>
        <w:spacing w:line="240" w:lineRule="auto"/>
        <w:ind w:left="720"/>
      </w:pPr>
      <w:r/>
      <w:r>
        <w:t>Pessoas que se opunham aos costumes gregos;</w:t>
      </w:r>
    </w:p>
    <w:p>
      <w:pPr>
        <w:pStyle w:val="ListBullet"/>
        <w:spacing w:line="240" w:lineRule="auto"/>
        <w:ind w:left="720"/>
      </w:pPr>
      <w:r/>
      <w:r>
        <w:t>Judeus que acreditavam que somente a família de Arão deveria servir como sacerdotes.</w:t>
      </w:r>
    </w:p>
    <w:p>
      <w:r/>
      <w:r>
        <w:t>Apesar dessas divergências, o povo judeu experimentou um período de paz e sucesso, que durou até cerca de 135 a.C., quando o genro de Simão o matou.</w:t>
      </w:r>
    </w:p>
    <w:p>
      <w:pPr>
        <w:pStyle w:val="Heading4"/>
      </w:pPr>
      <w:r>
        <w:t>João Hircano se torna sumo sacerdote</w:t>
      </w:r>
    </w:p>
    <w:p>
      <w:r/>
      <w:r>
        <w:t>Simão foi o primeiro da linha familiar dos hasmoneus. Ele foi sucedido por seu filho João Hircano. João foi um governante forte, mas enfrentou um período conturbado no início de seu reinado. Antíoco VII, que havia governado a Síria alguns anos antes, atacou Jerusalém. A cidade resistiu por um ano antes de finalmente sucumbir. A Síria voltou a governar a Judeia, que só recuperou sua liberdade após a morte de Antíoco por volta de 128 a.C.</w:t>
      </w:r>
    </w:p>
    <w:p>
      <w:r/>
      <w:r>
        <w:t>Durante esse período, João Hircano fez inimigos entre os fariseus (anteriormente chamados de hasidim). Isso foi surpreendente porque ele já havia sido aluno deles. Os fariseus provavelmente ficaram irritados porque João Hircano queria se tornar rei. Eles acreditavam que apenas alguém da linhagem da família do rei Davi tinha o direito de ser rei. Os fariseus mantinham essa crença mesmo que não houvesse ninguém da família de Davi pronto para assumir o trono naquela época.</w:t>
      </w:r>
    </w:p>
    <w:p>
      <w:r/>
      <w:r>
        <w:t>Como sumo sacerdote, João Hircano trabalhou de perto com um grupo chamado saduceus. Os saduceus eram tanto um grupo religioso quanto político. A maioria de seus apoiadores era composta por pessoas ricas e poderosas. Mais tarde, na época de Jesus, os filhos desses apoiadores se tornaram líderes no conselho judaico chamado Sinédrio.</w:t>
      </w:r>
    </w:p>
    <w:p>
      <w:r/>
      <w:r>
        <w:t>Os fariseus seguiam as leis religiosas judaicas (chamadas de Torá) de forma muito rigorosa. Isso tornava difícil para qualquer líder governar, pois os fariseus tinham muitas regras rígidas que desejavam que todos seguissem.</w:t>
      </w:r>
    </w:p>
    <w:p>
      <w:r/>
      <w:r>
        <w:t>Durante as lutas anteriores na Judeia, os hasidim, ou "os piedosos", às vezes apoiaram os macabeus. Em outras ocasiões, aceitaram o controle sírio, desde que pudessem praticar sua religião livremente.</w:t>
      </w:r>
    </w:p>
    <w:p>
      <w:r/>
      <w:r>
        <w:t>As coisas mudaram quando João Hircano se tornou líder. Sob seu governo, os hasidim começaram a ajudar a tomar decisões importantes para sua nação. Eles gostaram de ter esse novo poder e não queriam abrir mão dele. Podemos entender por que ficaram muito chateados quando seus inimigos, os Saduceus, ganharam o controle político em vez deles.</w:t>
      </w:r>
    </w:p>
    <w:p>
      <w:r/>
      <w:r>
        <w:t>Os fariseus ficaram cada vez mais insatisfeitos com seus líderes. Durante esse período, um importante mestre religioso surgiu na Judeia. Nós o conhecemos a partir de escritos antigos encontrados em Qumran como o "mestre da justiça". Este mestre tinha duas mensagens principais:</w:t>
      </w:r>
    </w:p>
    <w:p>
      <w:pPr>
        <w:pStyle w:val="ListNumber"/>
        <w:spacing w:line="240" w:lineRule="auto"/>
        <w:ind w:left="720"/>
      </w:pPr>
      <w:r/>
      <w:r>
        <w:t>As pessoas deviam seguir a lei de Deus com muita atenção;</w:t>
      </w:r>
    </w:p>
    <w:p>
      <w:pPr>
        <w:pStyle w:val="ListNumber"/>
        <w:spacing w:line="240" w:lineRule="auto"/>
        <w:ind w:left="720"/>
      </w:pPr>
      <w:r/>
      <w:r>
        <w:t>O tempo atual era o período final da história, e todos deveriam se preparar, pois o líder escolhido por Deus (o Messias) viria muito em breve.</w:t>
      </w:r>
    </w:p>
    <w:p>
      <w:pPr>
        <w:pStyle w:val="Heading4"/>
      </w:pPr>
      <w:r>
        <w:t>Alexandre Janeu reina com violência</w:t>
      </w:r>
    </w:p>
    <w:p>
      <w:r/>
      <w:r>
        <w:t>Mais tarde, quando Alexandre Janeu se tornou governante, ele tratou as pessoas com severidade se seguissem estritamente as leis religiosas. Devido a essa perseguição, o mestre da justiça e seus seguidores deixaram Jerusalém. Eles foram viver em Qumran, que ficava no deserto da Judeia.</w:t>
      </w:r>
    </w:p>
    <w:p>
      <w:r/>
      <w:r>
        <w:t>Essas pessoas acreditavam que Alexandre Janeus era um governante maligno. Elas pensavam que Deus havia abandonado o grupo principal do povo judeu e agora estaria presente apenas com seu pequeno grupo de seguidores fiéis em Qumran.</w:t>
      </w:r>
    </w:p>
    <w:p>
      <w:r/>
      <w:r>
        <w:t>O grupo de Qumran se separou completamente dos líderes judeus em Jerusalém de duas maneiras importantes:</w:t>
      </w:r>
    </w:p>
    <w:p>
      <w:pPr>
        <w:pStyle w:val="ListNumber"/>
        <w:spacing w:line="240" w:lineRule="auto"/>
        <w:ind w:left="720"/>
      </w:pPr>
      <w:r/>
      <w:r>
        <w:t>Eles cessaram de oferecer sacrifícios no templo em Jerusalém;</w:t>
      </w:r>
    </w:p>
    <w:p>
      <w:pPr>
        <w:pStyle w:val="ListNumber"/>
        <w:spacing w:line="240" w:lineRule="auto"/>
        <w:ind w:left="720"/>
      </w:pPr>
      <w:r/>
      <w:r>
        <w:t>Eles usavam um calendário diferente e mais antigo, semelhante ao utilizado em Samaria.</w:t>
      </w:r>
    </w:p>
    <w:p>
      <w:r/>
      <w:r>
        <w:t>Como usavam um calendário diferente, celebravam importantes festivais religiosos em dias distintos dos outros judeus. À medida que mais pessoas se juntavam a esse grupo, isso enfraquecia o poder tanto do templo em Jerusalém quanto dos outros fariseus.</w:t>
      </w:r>
    </w:p>
    <w:p>
      <w:r/>
      <w:r>
        <w:t>Após a morte de João Hircano, seu filho mais novo, Aristóbulo, tornou-se sumo sacerdote e rei. Aristóbulo reinou por apenas um ano. Então, em 103 a.C., o filho mais velho, Alexandre Janeu, tornou-se rei.</w:t>
      </w:r>
    </w:p>
    <w:p>
      <w:r/>
      <w:r>
        <w:t>Nessa época, o povo judeu estava muito esperançoso em relação ao seu futuro. Os sírios estavam ocupados demais lidando com seus próprios problemas para atacar os judeus. Alexandre Janneu começou a vencer batalhas e conquistar novos territórios.</w:t>
      </w:r>
    </w:p>
    <w:p>
      <w:r/>
      <w:r>
        <w:t>Alexandre Janeu parecia mais feliz quando estava lutando em guerras e causando dor e morte aos outros. Pelo que sabemos sobre o tipo de pessoa que ele era, podemos entender por que seu irmão mais novo foi escolhido para ser rei antes dele.</w:t>
      </w:r>
    </w:p>
    <w:p>
      <w:r/>
      <w:r>
        <w:t>Alexandre Janeu foi muito bem-sucedido em expandir as fronteiras da nação judaica desde a costa mediterrânea até as fronteiras do Egito. No entanto, seu sucesso teve um grande custo. Ele frequentemente perdia quase tantas tropas quanto seu inimigo. A maior parte de seu exército era composta por guerreiros contratados, e o povo judeu era fortemente taxado para pagá-los.</w:t>
      </w:r>
    </w:p>
    <w:p>
      <w:r/>
      <w:r>
        <w:t>Durante seis anos, Alexandre Janeu travou uma guerra violenta contra seu próprio povo. Eles o temiam e não gostavam dele. Ele demonstrava pouco interesse genuíno pela religião, e muitas pessoas estavam irritadas com o fato de alguém que amava tanto a violência estar servindo como sumo sacerdote.</w:t>
      </w:r>
    </w:p>
    <w:p>
      <w:r/>
      <w:r>
        <w:t>Outro problema foi seu casamento. Após a morte de seu irmão, Alexandre casou-se com a viúva de seu irmão, Alexandra (também chamada de Salomé). A lei judaica permitia que um homem se casasse com a esposa falecida de seu irmão em alguns casos (</w:t>
      </w:r>
      <w:hyperlink r:id="rId4536">
        <w:r>
          <w:rPr>
            <w:color w:val="0000EE"/>
            <w:u w:val="single"/>
          </w:rPr>
          <w:t>Dt 25.5–10</w:t>
        </w:r>
      </w:hyperlink>
      <w:r>
        <w:t>). Mas isso não era permitido para os sumos sacerdotes (</w:t>
      </w:r>
      <w:hyperlink r:id="rId16925">
        <w:r>
          <w:rPr>
            <w:color w:val="0000EE"/>
            <w:u w:val="single"/>
          </w:rPr>
          <w:t>Lv 21.13,14</w:t>
        </w:r>
      </w:hyperlink>
      <w:r>
        <w:t xml:space="preserve">; compare </w:t>
      </w:r>
      <w:hyperlink r:id="rId16926">
        <w:r>
          <w:rPr>
            <w:color w:val="0000EE"/>
            <w:u w:val="single"/>
          </w:rPr>
          <w:t>Ez 44.22</w:t>
        </w:r>
      </w:hyperlink>
      <w:r>
        <w:t>).</w:t>
      </w:r>
    </w:p>
    <w:p>
      <w:r/>
      <w:r>
        <w:t>A raiva do povo em relação a Alexandre tornou-se muito clara em 90 a.C. Durante um importante festival religioso chamado Festa dos Tabernáculos, ele estava tentando desempenhar suas funções como sumo sacerdote. As pessoas que vieram para o festival jogaram limões nele. Alexandre respondeu com violência: ele ordenou que seus guardas atacassem a multidão, e eles mataram 6.000 pessoas (</w:t>
      </w:r>
      <w:r>
        <w:rPr>
          <w:i/>
        </w:rPr>
        <w:t>Antiguidades</w:t>
      </w:r>
      <w:r>
        <w:t xml:space="preserve"> de Josefo 13.13.5).</w:t>
      </w:r>
    </w:p>
    <w:p>
      <w:r/>
      <w:r>
        <w:t>Como o rei era apoiado pelos saduceus, o povo começou a apoiar os fariseus. À medida que mais pessoas se opunham a Alexandre Janeu, os fariseus pediram ajuda a Demétrio III, um rei sírio. Isso levou a combates terríveis. Cerca de 50.000 judeus morreram nessas batalhas.</w:t>
      </w:r>
    </w:p>
    <w:p>
      <w:r/>
      <w:r>
        <w:t>Alexandre Janeu perdeu uma batalha em Siquém. No entanto, Demétrio e seu exército então deixaram a área. Isso significava que os fariseus ficaram sozinhos para enfrentar a punição de seu rei furioso. Alexandre Janeu matou muitos deles, e cerca de 8.000 fariseus tiveram que deixar sua terra natal para escapar dele (</w:t>
      </w:r>
      <w:r>
        <w:rPr>
          <w:i/>
        </w:rPr>
        <w:t>Antiguidades</w:t>
      </w:r>
      <w:r>
        <w:t xml:space="preserve"> de Josefo 14.14.2).</w:t>
      </w:r>
    </w:p>
    <w:p>
      <w:r/>
      <w:r>
        <w:t>Os fariseus acreditavam que Alexandre Janeu havia tornado o reino judaico menos religioso e mais focado na política. Eles não gostavam que ele tivesse crescido na Galileia, onde aprendeu os costumes e modos gregos.</w:t>
      </w:r>
    </w:p>
    <w:p>
      <w:r/>
      <w:r>
        <w:t>Os fariseus também estavam preocupados com duas questões:</w:t>
      </w:r>
    </w:p>
    <w:p>
      <w:pPr>
        <w:pStyle w:val="ListNumber"/>
        <w:spacing w:line="240" w:lineRule="auto"/>
        <w:ind w:left="720"/>
      </w:pPr>
      <w:r/>
      <w:r>
        <w:t>Seus esforços para conquistar novos territórios;</w:t>
      </w:r>
    </w:p>
    <w:p>
      <w:pPr>
        <w:pStyle w:val="ListNumber"/>
        <w:spacing w:line="240" w:lineRule="auto"/>
        <w:ind w:left="720"/>
      </w:pPr>
      <w:r/>
      <w:r>
        <w:t>Suas tentativas de obrigar outras pessoas a seguir a religião judaica.</w:t>
      </w:r>
    </w:p>
    <w:p>
      <w:pPr>
        <w:pStyle w:val="Heading4"/>
      </w:pPr>
      <w:r>
        <w:t>Rainha Alexandra e seus dois filhos</w:t>
      </w:r>
    </w:p>
    <w:p>
      <w:r/>
      <w:r>
        <w:t>Quando Alexandre Janeu estava morrendo, ele entregou o trono à sua esposa, Alexandra Salomé. Ele disse a ela para fazer as pazes com os fariseus, compartilhando o poder com eles. Alexandra pode ter sido filha de um importante líder fariseu. Ela seguiu o conselho do marido e deu aos fariseus quase total controle sobre o reino (</w:t>
      </w:r>
      <w:r>
        <w:rPr>
          <w:i/>
        </w:rPr>
        <w:t>Antiguidades</w:t>
      </w:r>
      <w:r>
        <w:t xml:space="preserve"> de Josefo 13.16.2).</w:t>
      </w:r>
    </w:p>
    <w:p>
      <w:r/>
      <w:r>
        <w:t>Os fariseus estavam felizes por finalmente terem poder e removeram muitas das antigas regras que os saduceus haviam criado. A rainha tinha dois filhos, o que complicava a situação. O filho mais velho, Hircano, apoiava os fariseus. Ele era o sumo sacerdote e deveria se tornar o próximo rei. No entanto, ele era quieto e não mostrava interesse em governar. O filho mais novo, Aristóbulo, apoiava os saduceus. Ele era mais parecido com seu pai Alexandre Janeu em personalidade, então sua mãe o colocou no comando do exército.</w:t>
      </w:r>
    </w:p>
    <w:p>
      <w:r/>
      <w:r>
        <w:t>Os saduceus disseram à rainha Alexandra que o país estava em perigo. Por isso, ela permitiu que eles assumissem o controle de vários edifícios fortificados em todo o país. A rainha Alexandra governou por nove anos. Durante esse tempo, os Fariseus administraram bem as leis religiosas. Mas quando ela morreu em 67 a.C., seus dois filhos começaram a lutar entre si pelo poder.</w:t>
      </w:r>
    </w:p>
    <w:p>
      <w:r/>
      <w:r>
        <w:t>Quando Aristóbulo reuniu um exército e atacou seu irmão, muitas das tropas abandonaram Hircano. Ele cedeu suas posições de rei e sumo sacerdote a Aristóbulo. Em vez de poder se retirar tranquilamente para sua propriedade rural como esperava, os fariseus ainda consideravam Hircano como seu líder.</w:t>
      </w:r>
    </w:p>
    <w:p>
      <w:r/>
      <w:r>
        <w:t>Um homem chamado Antípatro de Idumeia fez planos para ajudar Hircano a se tornar rei novamente, mesmo que Hircano não quisesse governar. Antípatro era o pai de Herodes, o Grande, que mais tarde se tornaria rei. O verdadeiro objetivo de Antípatro era controlar o reino ele mesmo, enquanto fazia parecer que Hircano estava no comando.</w:t>
      </w:r>
    </w:p>
    <w:p>
      <w:r/>
      <w:r>
        <w:t>Antípatro e Hircano receberam ajuda de outros governantes e derrotaram Aristóbulo. Eles então cercaram Jerusalém, onde Aristóbulo estava escondido. Durante esse tempo, muitos judeus religiosos estavam cansados de toda a luta e ódio. Eles decidiram deixar sua terra natal e começar uma nova vida no Egito.</w:t>
      </w:r>
    </w:p>
    <w:p>
      <w:pPr>
        <w:pStyle w:val="Heading3"/>
      </w:pPr>
      <w:r>
        <w:t>Roma assume o controle</w:t>
      </w:r>
    </w:p>
    <w:p>
      <w:pPr>
        <w:pStyle w:val="Heading4"/>
      </w:pPr>
      <w:r>
        <w:t>Pompeu captura Jerusalém</w:t>
      </w:r>
    </w:p>
    <w:p>
      <w:r/>
      <w:r>
        <w:t>A luta por Jerusalém chamou a atenção do exército romano nas proximidades. Ambos os lados tentaram convencer os romanos a ajudá-los, oferecendo grandes quantias de dinheiro. No início, o comandante romano escolheu ajudar Aristóbulo. Mas dois anos depois, em 63 a.C., um poderoso líder romano chamado Pompeu decidiu se envolver pessoalmente.</w:t>
      </w:r>
    </w:p>
    <w:p>
      <w:r/>
      <w:r>
        <w:t>Os romanos começaram a desconfiar de Aristóbulo, mas ele ainda tentou lutar contra o exército que se aproximava. As pessoas que apoiavam Hircano ajudaram os romanos, abrindo os portões da cidade para eles.</w:t>
      </w:r>
    </w:p>
    <w:p>
      <w:r/>
      <w:r>
        <w:t>Os apoiadores de Aristóbulo defenderam o templo por três meses. Eles até lutaram no sábado, o dia sagrado de descanso dos judeus. Finalmente, os romanos capturaram o templo. Pompeu entrou na sala mais sagrada do templo, chamada de Santo dos Santos, carregando sua espada. Isso foi chocante para o povo judeu porque essa sala era tão sagrada que apenas o sumo sacerdote tinha permissão para entrar nela. No entanto, Pompeu não levou nenhum dos tesouros do templo.</w:t>
      </w:r>
    </w:p>
    <w:p>
      <w:r/>
      <w:r>
        <w:t>Pompeu permitiu que Aristóbulo vivesse, mas ordenou a execução de muitos dos principais apoiadores de Aristóbulo. Após isso, a Judeia perdeu o controle sobre muitas áreas próximas que governava anteriormente. O povo judeu agora tinha que pagar tributos a Roma e seguir as ordens romanas.</w:t>
      </w:r>
    </w:p>
    <w:p>
      <w:pPr>
        <w:pStyle w:val="Heading4"/>
      </w:pPr>
      <w:r>
        <w:t>Novas regras sob o domínio romano</w:t>
      </w:r>
    </w:p>
    <w:p>
      <w:r/>
      <w:r>
        <w:t>O povo judeu agora tinha que pagar grandes impostos a Roma. No entanto, esses impostos pareciam menores do que os que haviam pago antes. Nos cem anos anteriores, eles precisaram pagar por lutas e guerras constantes. A Judeia então experimentou um período de relativa tranquilidade.</w:t>
      </w:r>
    </w:p>
    <w:p>
      <w:r/>
      <w:r>
        <w:t>Os romanos não consideravam a Judeia muito importante porque:</w:t>
      </w:r>
    </w:p>
    <w:p>
      <w:pPr>
        <w:pStyle w:val="ListNumber"/>
        <w:spacing w:line="240" w:lineRule="auto"/>
        <w:ind w:left="720"/>
      </w:pPr>
      <w:r/>
      <w:r>
        <w:t>As principais rotas comerciais agora passavam por Roma;</w:t>
      </w:r>
    </w:p>
    <w:p>
      <w:pPr>
        <w:pStyle w:val="ListNumber"/>
        <w:spacing w:line="240" w:lineRule="auto"/>
        <w:ind w:left="720"/>
      </w:pPr>
      <w:r/>
      <w:r>
        <w:t>Os comerciantes não podiam mais usar os caminhos para os países do leste devido a conflitos entre diferentes nações;</w:t>
      </w:r>
    </w:p>
    <w:p>
      <w:pPr>
        <w:pStyle w:val="ListNumber"/>
        <w:spacing w:line="240" w:lineRule="auto"/>
        <w:ind w:left="720"/>
      </w:pPr>
      <w:r/>
      <w:r>
        <w:t>Menos comerciantes estavam utilizando a rota comercial entre o Egito e os países do norte.</w:t>
      </w:r>
    </w:p>
    <w:p>
      <w:r/>
      <w:r>
        <w:t>Isso significava que a Judeia, que antes lucrava com os comerciantes que passavam por suas terras, tornou-se menos relevante para o comércio.</w:t>
      </w:r>
    </w:p>
    <w:p>
      <w:r/>
      <w:r>
        <w:t>Em 57 a.C., Aristóbulo iniciou uma pequena rebelião contra Roma. O único resultado foi que seu irmão Hircano perdeu ainda mais do poder que lhe restava. Nos anos seguintes, Aristóbulo e seus apoiadores tentaram lutar contra o domínio romano várias vezes, mas nunca tiveram sucesso.</w:t>
      </w:r>
    </w:p>
    <w:p>
      <w:pPr>
        <w:pStyle w:val="Heading4"/>
      </w:pPr>
      <w:r>
        <w:t>Antípatro assume o poder</w:t>
      </w:r>
    </w:p>
    <w:p>
      <w:r/>
      <w:r>
        <w:t>Antípatro continuou a apoiar Hircano e Roma. Em 49 a.C., começou uma guerra civil em Roma. Inicialmente, Antípatro apoiou o líder romano Pompeu. Depois, ele transferiu seu apoio para outro líder romano chamado César, alegando representar Hircano. Quando César venceu a guerra, ele recompensou o povo judeu reduzindo os impostos que eles tinham que pagar a Roma.</w:t>
      </w:r>
    </w:p>
    <w:p>
      <w:r/>
      <w:r>
        <w:t>Roma permitiu oficialmente que o povo judeu praticasse sua religião livremente. Em questões judaicas, eles podiam ser julgados em seus próprios tribunais. Eles também estavam isentos do serviço militar romano. Roma ampliou o território da Judeia e permitiu que os judeus arrecadassem seus próprios impostos. Antípatro foi pessoalmente recompensado pelos romanos. À medida que sua autoridade aumentava, o ódio e a desconfiança dos saduceus por ele também cresciam. Antípatro nomeou seu filho Herodes como governador da Galileia.</w:t>
      </w:r>
    </w:p>
    <w:p>
      <w:pPr>
        <w:pStyle w:val="Heading4"/>
      </w:pPr>
      <w:r>
        <w:t>Herodes se torna rei</w:t>
      </w:r>
    </w:p>
    <w:p>
      <w:r/>
      <w:r>
        <w:t>Herodes decidiu atacar um grupo de combatentes perto da fronteira com a Síria. Esses combatentes eram liderados por um homem chamado Ezequias. Algumas pessoas os chamavam de criminosos, enquanto outras os viam como heróis lutando pela liberdade judaica. Muitos moradores locais apoiavam esse grupo.</w:t>
      </w:r>
    </w:p>
    <w:p>
      <w:r/>
      <w:r>
        <w:t>As forças de Herodes capturaram muitos dos combatentes, incluindo Ezequias, e mataram todos eles. Isso gerou um problema porque a lei judaica determinava que ninguém poderia ser condenado à morte sem a permissão do Sinédrio (o mais alto tribunal e conselho judaico). Como Herodes havia violado essa lei, os líderes do Sinédrio ordenaram que ele viesse explicar suas ações.</w:t>
      </w:r>
    </w:p>
    <w:p>
      <w:r/>
      <w:r>
        <w:t>Esses foram tempos conturbados com muitas lutas. Durante esse período, Antígono mandou matar Hircano. Herodes então viajou para Roma, onde o senado romano o nomeou rei do povo judeu. Antígono foi o último governante da linhagem dos hasmoneus. Os romanos o capturaram e o mataram na cidade de Antioquia.</w:t>
      </w:r>
    </w:p>
    <w:p>
      <w:r/>
      <w:r>
        <w:t>Isso preparou o caminho para a chegada de um novo e poderoso líder para o povo judeu — o tão aguardado Messias.</w:t>
      </w:r>
      <w:r/>
      <w:r/>
    </w:p>
    <w:p>
      <w:r/>
    </w:p>
    <w:p>
      <w:pPr>
        <w:pStyle w:val="Heading2"/>
      </w:pPr>
      <w:r>
        <w:t>Perseguição</w:t>
      </w:r>
      <w:r/>
    </w:p>
    <w:p>
      <w:r/>
      <w:r>
        <w:t>Imposição de sofrimento, lesão ou morte aos outros por causa de sua identificação, ou crenças. A Bíblia começa com um relato da perseguição dos justos pelos injustos (</w:t>
      </w:r>
      <w:hyperlink r:id="rId16927">
        <w:r>
          <w:rPr>
            <w:color w:val="0000EE"/>
            <w:u w:val="single"/>
          </w:rPr>
          <w:t>Gn 4.3–7</w:t>
        </w:r>
      </w:hyperlink>
      <w:r>
        <w:t xml:space="preserve">, “consideração por Abel”; </w:t>
      </w:r>
      <w:hyperlink r:id="rId42">
        <w:r>
          <w:rPr>
            <w:color w:val="0000EE"/>
            <w:u w:val="single"/>
          </w:rPr>
          <w:t>Mt 23.35</w:t>
        </w:r>
      </w:hyperlink>
      <w:r>
        <w:t xml:space="preserve">; </w:t>
      </w:r>
      <w:hyperlink r:id="rId44">
        <w:r>
          <w:rPr>
            <w:color w:val="0000EE"/>
            <w:u w:val="single"/>
          </w:rPr>
          <w:t>Hb 11.4</w:t>
        </w:r>
      </w:hyperlink>
      <w:r>
        <w:t>). A Sabedoria de Salomão (</w:t>
      </w:r>
      <w:hyperlink r:id="rId16928">
        <w:r>
          <w:rPr>
            <w:color w:val="0000EE"/>
            <w:u w:val="single"/>
          </w:rPr>
          <w:t>Sabedoria 2.12–20</w:t>
        </w:r>
      </w:hyperlink>
      <w:r>
        <w:t>) dramaticamente ilustra a inveja e culpa que levam a tal perseguição. A experiência de Ló, da mesma forma, ilustra o sofrimento envolvido em se negar a se conformar com o comportamento popular (</w:t>
      </w:r>
      <w:hyperlink r:id="rId16929">
        <w:r>
          <w:rPr>
            <w:color w:val="0000EE"/>
            <w:u w:val="single"/>
          </w:rPr>
          <w:t>Gn 19.9</w:t>
        </w:r>
      </w:hyperlink>
      <w:r>
        <w:t xml:space="preserve">; </w:t>
      </w:r>
      <w:hyperlink r:id="rId16930">
        <w:r>
          <w:rPr>
            <w:color w:val="0000EE"/>
            <w:u w:val="single"/>
          </w:rPr>
          <w:t>2Pe 2.7–8</w:t>
        </w:r>
      </w:hyperlink>
      <w:r>
        <w:t>). Os maus-tratos de Israel no Egito, como sua opressão posterior pelos filisteus, midianitas e outros, tinham motivos econômicos e políticos. Para aqueles que se negam a aceitar a política real do sincretismo, tolerância oficial da injustiça e imoralidades pagãs, a perseguição se torna frequente — do período de Elias em diante (</w:t>
      </w:r>
      <w:hyperlink r:id="rId16931">
        <w:r>
          <w:rPr>
            <w:color w:val="0000EE"/>
            <w:u w:val="single"/>
          </w:rPr>
          <w:t>1Rs 19.10</w:t>
        </w:r>
      </w:hyperlink>
      <w:r>
        <w:t>). Profetas posteriores, como porta-vozes da verdade intransigente e as alegações da lei divina diante dos males sociais, sofreram severamente nas mãos das classes governantes, de modo que a perseguição se tornou, aos olhos judaicos, a marca registrada do verdadeiro profeta (</w:t>
      </w:r>
      <w:hyperlink r:id="rId13574">
        <w:r>
          <w:rPr>
            <w:color w:val="0000EE"/>
            <w:u w:val="single"/>
          </w:rPr>
          <w:t>2Cr 36.15–16</w:t>
        </w:r>
      </w:hyperlink>
      <w:r>
        <w:t xml:space="preserve">; </w:t>
      </w:r>
      <w:hyperlink r:id="rId4797">
        <w:r>
          <w:rPr>
            <w:color w:val="0000EE"/>
            <w:u w:val="single"/>
          </w:rPr>
          <w:t>Mt 5.12</w:t>
        </w:r>
      </w:hyperlink>
      <w:r>
        <w:t xml:space="preserve">; </w:t>
      </w:r>
      <w:hyperlink r:id="rId16932">
        <w:r>
          <w:rPr>
            <w:color w:val="0000EE"/>
            <w:u w:val="single"/>
          </w:rPr>
          <w:t>23.29–37</w:t>
        </w:r>
      </w:hyperlink>
      <w:r>
        <w:t xml:space="preserve">; </w:t>
      </w:r>
      <w:hyperlink r:id="rId16933">
        <w:r>
          <w:rPr>
            <w:color w:val="0000EE"/>
            <w:u w:val="single"/>
          </w:rPr>
          <w:t>At 7.52</w:t>
        </w:r>
      </w:hyperlink>
      <w:r>
        <w:t xml:space="preserve">; </w:t>
      </w:r>
      <w:hyperlink r:id="rId16934">
        <w:r>
          <w:rPr>
            <w:color w:val="0000EE"/>
            <w:u w:val="single"/>
          </w:rPr>
          <w:t>Hb 11.32–38</w:t>
        </w:r>
      </w:hyperlink>
      <w:r>
        <w:t>).</w:t>
      </w:r>
    </w:p>
    <w:p>
      <w:r/>
      <w:r>
        <w:t>As histórias de Daniel ilustram perseguição durante o exílio. No retorno sob governo estrangeiro, judeus estritos tentaram preservar a identidade e religião da nação em meio a pressões estrangeiras e os compromissos de judeus relaxados ansiosos por acomodação e prosperidade (</w:t>
      </w:r>
      <w:hyperlink r:id="rId16935">
        <w:r>
          <w:rPr>
            <w:color w:val="0000EE"/>
            <w:u w:val="single"/>
          </w:rPr>
          <w:t>1Mc 1.11–15</w:t>
        </w:r>
      </w:hyperlink>
      <w:r>
        <w:t xml:space="preserve">; </w:t>
      </w:r>
      <w:hyperlink r:id="rId16936">
        <w:r>
          <w:rPr>
            <w:color w:val="0000EE"/>
            <w:u w:val="single"/>
          </w:rPr>
          <w:t>2.42–48</w:t>
        </w:r>
      </w:hyperlink>
      <w:r>
        <w:t xml:space="preserve">). O resultado foi a opressão social e assédio que fizeram os repetidos pedidos de vindicação e intervenção divina, em salmos como </w:t>
      </w:r>
      <w:hyperlink r:id="rId268">
        <w:r>
          <w:rPr>
            <w:color w:val="0000EE"/>
            <w:u w:val="single"/>
          </w:rPr>
          <w:t>10</w:t>
        </w:r>
      </w:hyperlink>
      <w:r>
        <w:t xml:space="preserve">, </w:t>
      </w:r>
      <w:hyperlink r:id="rId14972">
        <w:r>
          <w:rPr>
            <w:color w:val="0000EE"/>
            <w:u w:val="single"/>
          </w:rPr>
          <w:t>69</w:t>
        </w:r>
      </w:hyperlink>
      <w:r>
        <w:t xml:space="preserve">, </w:t>
      </w:r>
      <w:hyperlink r:id="rId16937">
        <w:r>
          <w:rPr>
            <w:color w:val="0000EE"/>
            <w:u w:val="single"/>
          </w:rPr>
          <w:t>140</w:t>
        </w:r>
      </w:hyperlink>
      <w:r>
        <w:t xml:space="preserve"> e </w:t>
      </w:r>
      <w:hyperlink r:id="rId16938">
        <w:r>
          <w:rPr>
            <w:color w:val="0000EE"/>
            <w:u w:val="single"/>
          </w:rPr>
          <w:t>149</w:t>
        </w:r>
      </w:hyperlink>
      <w:r>
        <w:t>, dolorosamente relevantes na adoração pós-exílica. Esta perseguição atingiu um clímax horrível de crueldade durante a era dos Macabeus, provocando resistência armada em resposta (</w:t>
      </w:r>
      <w:hyperlink r:id="rId16939">
        <w:r>
          <w:rPr>
            <w:color w:val="0000EE"/>
            <w:u w:val="single"/>
          </w:rPr>
          <w:t>2Mc 6–7</w:t>
        </w:r>
      </w:hyperlink>
      <w:r>
        <w:t xml:space="preserve">; </w:t>
      </w:r>
      <w:hyperlink r:id="rId16940">
        <w:r>
          <w:rPr>
            <w:color w:val="0000EE"/>
            <w:u w:val="single"/>
          </w:rPr>
          <w:t>Hb 11.35–38</w:t>
        </w:r>
      </w:hyperlink>
      <w:r>
        <w:t>).</w:t>
      </w:r>
    </w:p>
    <w:p>
      <w:r/>
      <w:r>
        <w:t>Assim, apesar de sua confiança na soberania e “proteção” de Deus, Israel aprendeu que o direito nem sempre prospera neste mundo, que a fidelidade à verdade não garante imunidade do sofrimento, sacrifício ou martírio.</w:t>
      </w:r>
    </w:p>
    <w:p>
      <w:r/>
      <w:r>
        <w:t>Esta aceitação do alto preço da justiça foi herdada pelo cristianismo. Jesus repetidamente advertiu sobre a perseguição, até mesmo dentro das casas, e exortou a preparação “armada” para isso, prometendo a assistência do Espírito nos exames judiciais (</w:t>
      </w:r>
      <w:hyperlink r:id="rId716">
        <w:r>
          <w:rPr>
            <w:color w:val="0000EE"/>
            <w:u w:val="single"/>
          </w:rPr>
          <w:t>Mt 5.11–12</w:t>
        </w:r>
      </w:hyperlink>
      <w:r>
        <w:t xml:space="preserve">; </w:t>
      </w:r>
      <w:hyperlink r:id="rId16941">
        <w:r>
          <w:rPr>
            <w:color w:val="0000EE"/>
            <w:u w:val="single"/>
          </w:rPr>
          <w:t>10.16–23,34–36</w:t>
        </w:r>
      </w:hyperlink>
      <w:r>
        <w:t xml:space="preserve">; </w:t>
      </w:r>
      <w:hyperlink r:id="rId16942">
        <w:r>
          <w:rPr>
            <w:color w:val="0000EE"/>
            <w:u w:val="single"/>
          </w:rPr>
          <w:t>23.34</w:t>
        </w:r>
      </w:hyperlink>
      <w:r>
        <w:t xml:space="preserve">; </w:t>
      </w:r>
      <w:hyperlink r:id="rId16943">
        <w:r>
          <w:rPr>
            <w:color w:val="0000EE"/>
            <w:u w:val="single"/>
          </w:rPr>
          <w:t>Lc 6.26</w:t>
        </w:r>
      </w:hyperlink>
      <w:r>
        <w:t xml:space="preserve">; </w:t>
      </w:r>
      <w:hyperlink r:id="rId3833">
        <w:r>
          <w:rPr>
            <w:color w:val="0000EE"/>
            <w:u w:val="single"/>
          </w:rPr>
          <w:t>22.35–36</w:t>
        </w:r>
      </w:hyperlink>
      <w:r>
        <w:t>). Jesus ficou profundamente irritado com o assassinato de João Batista por Herodes (</w:t>
      </w:r>
      <w:hyperlink r:id="rId11801">
        <w:r>
          <w:rPr>
            <w:color w:val="0000EE"/>
            <w:u w:val="single"/>
          </w:rPr>
          <w:t>Lc 23.9</w:t>
        </w:r>
      </w:hyperlink>
      <w:r>
        <w:t>), e ele previu seu próprio destino. Porque ele criticou o legalismo e nacionalismo dos fariseus, e os compromissos dos saduceus para proteger seus próprios privilégios (</w:t>
      </w:r>
      <w:hyperlink r:id="rId14453">
        <w:r>
          <w:rPr>
            <w:color w:val="0000EE"/>
            <w:u w:val="single"/>
          </w:rPr>
          <w:t>Jo 11.47–50</w:t>
        </w:r>
      </w:hyperlink>
      <w:r>
        <w:t>), e porque ele desapontou as esperanças militaristas estabelecidas sobre o Messias pelas pessoas comuns, Jesus sabia que ele seria rejeitado. Seu chamado para o discipulado veio a incluir advertências de perigo, insulto, calúnia, acusação, açoitamento, julgamento diante dos tribunais, ódio e morte. Ele convidou francamente os seguidores para se preparar para sua crucificação, como o único caminho para a vida e o reino (</w:t>
      </w:r>
      <w:hyperlink r:id="rId16944">
        <w:r>
          <w:rPr>
            <w:color w:val="0000EE"/>
            <w:u w:val="single"/>
          </w:rPr>
          <w:t>Mt 16.21–26</w:t>
        </w:r>
      </w:hyperlink>
      <w:r>
        <w:t xml:space="preserve">; </w:t>
      </w:r>
      <w:hyperlink r:id="rId16945">
        <w:r>
          <w:rPr>
            <w:color w:val="0000EE"/>
            <w:u w:val="single"/>
          </w:rPr>
          <w:t>20.17–22</w:t>
        </w:r>
      </w:hyperlink>
      <w:r>
        <w:t xml:space="preserve">; </w:t>
      </w:r>
      <w:hyperlink r:id="rId16946">
        <w:r>
          <w:rPr>
            <w:color w:val="0000EE"/>
            <w:u w:val="single"/>
          </w:rPr>
          <w:t>Mc 10.29–30</w:t>
        </w:r>
      </w:hyperlink>
      <w:r>
        <w:t xml:space="preserve">; </w:t>
      </w:r>
      <w:hyperlink r:id="rId6311">
        <w:r>
          <w:rPr>
            <w:color w:val="0000EE"/>
            <w:u w:val="single"/>
          </w:rPr>
          <w:t>Jo 15.18–25</w:t>
        </w:r>
      </w:hyperlink>
      <w:r>
        <w:t xml:space="preserve">; </w:t>
      </w:r>
      <w:hyperlink r:id="rId16947">
        <w:r>
          <w:rPr>
            <w:color w:val="0000EE"/>
            <w:u w:val="single"/>
          </w:rPr>
          <w:t>16.1–4</w:t>
        </w:r>
      </w:hyperlink>
      <w:r>
        <w:t>). Jesus foi morto sob as denúncias de subverter a nação, proibindo o pagamento de impostos aos romanos e alegando ser rei (</w:t>
      </w:r>
      <w:hyperlink r:id="rId10938">
        <w:r>
          <w:rPr>
            <w:color w:val="0000EE"/>
            <w:u w:val="single"/>
          </w:rPr>
          <w:t>Lc 23.2</w:t>
        </w:r>
      </w:hyperlink>
      <w:r>
        <w:t>).</w:t>
      </w:r>
    </w:p>
    <w:p>
      <w:r/>
      <w:r>
        <w:t>A primeira perseguição da igreja pelas autoridades judaicas foi provocada principalmente pelas denúncias de Pedro sobre o assassinato do Messias. À medida que a influência apostólica aumentava, a ação oficial veio a incluir prisão e espancamento (</w:t>
      </w:r>
      <w:hyperlink r:id="rId8483">
        <w:r>
          <w:rPr>
            <w:color w:val="0000EE"/>
            <w:u w:val="single"/>
          </w:rPr>
          <w:t>At 5.17,40</w:t>
        </w:r>
      </w:hyperlink>
      <w:r>
        <w:t>). A poderosa defesa do helenista Estêvão provocou uma multidão judaica a apedrejá-lo (</w:t>
      </w:r>
      <w:hyperlink r:id="rId10499">
        <w:r>
          <w:rPr>
            <w:color w:val="0000EE"/>
            <w:u w:val="single"/>
          </w:rPr>
          <w:t>Atos 6–7</w:t>
        </w:r>
      </w:hyperlink>
      <w:r>
        <w:t>) — o sinal para “uma grande perseguição”, dispersando a maioria dos cristãos de Jerusalém. A conversão do maior perseguidor Saulo de Tarso marcou uma vitória retumbante sobre a oposição, e a morte súbita de Herodes logo após atacar a igreja “para agradar os judeus” foi outra (</w:t>
      </w:r>
      <w:hyperlink r:id="rId16948">
        <w:r>
          <w:rPr>
            <w:color w:val="0000EE"/>
            <w:u w:val="single"/>
          </w:rPr>
          <w:t>At 12.1–3,20–24</w:t>
        </w:r>
      </w:hyperlink>
      <w:r>
        <w:t>).</w:t>
      </w:r>
    </w:p>
    <w:p>
      <w:r/>
      <w:r>
        <w:t>À medida que o cristianismo se mudou para o mundo gentio, uma nova causa de perseguição judaica surgiu quando os distúrbios começaram a ocorrer nas sinagogas (</w:t>
      </w:r>
      <w:hyperlink r:id="rId16949">
        <w:r>
          <w:rPr>
            <w:color w:val="0000EE"/>
            <w:u w:val="single"/>
          </w:rPr>
          <w:t>At 13.44–45,50</w:t>
        </w:r>
      </w:hyperlink>
      <w:r>
        <w:t xml:space="preserve">; </w:t>
      </w:r>
      <w:hyperlink r:id="rId16950">
        <w:r>
          <w:rPr>
            <w:color w:val="0000EE"/>
            <w:u w:val="single"/>
          </w:rPr>
          <w:t>14.1–6,19</w:t>
        </w:r>
      </w:hyperlink>
      <w:r>
        <w:t xml:space="preserve">; </w:t>
      </w:r>
      <w:hyperlink r:id="rId1451">
        <w:r>
          <w:rPr>
            <w:color w:val="0000EE"/>
            <w:u w:val="single"/>
          </w:rPr>
          <w:t>17.1,5,13</w:t>
        </w:r>
      </w:hyperlink>
      <w:r>
        <w:t xml:space="preserve">; </w:t>
      </w:r>
      <w:hyperlink r:id="rId16951">
        <w:r>
          <w:rPr>
            <w:color w:val="0000EE"/>
            <w:u w:val="single"/>
          </w:rPr>
          <w:t>18.4–6,12</w:t>
        </w:r>
      </w:hyperlink>
      <w:r>
        <w:t>). Além disso, a cura da escrava em Filipos levou à prisão dos discípulos (</w:t>
      </w:r>
      <w:hyperlink r:id="rId16952">
        <w:r>
          <w:rPr>
            <w:color w:val="0000EE"/>
            <w:u w:val="single"/>
          </w:rPr>
          <w:t>16.19–24</w:t>
        </w:r>
      </w:hyperlink>
      <w:r>
        <w:t>); em Éfeso, o efeito da pregação cristã no comércio de fabricantes de ídolos ocasionou uma ameaça perigosa, que as autoridades evitaram (</w:t>
      </w:r>
      <w:hyperlink r:id="rId740">
        <w:r>
          <w:rPr>
            <w:color w:val="0000EE"/>
            <w:u w:val="single"/>
          </w:rPr>
          <w:t>19.23–41</w:t>
        </w:r>
      </w:hyperlink>
      <w:r>
        <w:t>). Paulo evitou a trama de mais de 40 homens que prometeram emboscá-lo e matá-lo (</w:t>
      </w:r>
      <w:hyperlink r:id="rId16953">
        <w:r>
          <w:rPr>
            <w:color w:val="0000EE"/>
            <w:u w:val="single"/>
          </w:rPr>
          <w:t>21.4–36</w:t>
        </w:r>
      </w:hyperlink>
      <w:r>
        <w:t xml:space="preserve">; </w:t>
      </w:r>
      <w:hyperlink r:id="rId16525">
        <w:r>
          <w:rPr>
            <w:color w:val="0000EE"/>
            <w:u w:val="single"/>
          </w:rPr>
          <w:t>23.12–15</w:t>
        </w:r>
      </w:hyperlink>
      <w:r>
        <w:t>). E o livro de Atos termina com Paulo aguardando o julgamento diante de César (</w:t>
      </w:r>
      <w:hyperlink r:id="rId2893">
        <w:r>
          <w:rPr>
            <w:color w:val="0000EE"/>
            <w:u w:val="single"/>
          </w:rPr>
          <w:t>28.30–31</w:t>
        </w:r>
      </w:hyperlink>
      <w:r>
        <w:t>).</w:t>
      </w:r>
    </w:p>
    <w:p>
      <w:r/>
      <w:r>
        <w:t>Ao longo deste período, a perseguição aos cristãos era esporádica, local e principalmente judaica, provocada pela inveja do sucesso missionário da igreja. Oficialmente, o cristianismo, como uma seita judaica (</w:t>
      </w:r>
      <w:hyperlink r:id="rId10595">
        <w:r>
          <w:rPr>
            <w:color w:val="0000EE"/>
            <w:u w:val="single"/>
          </w:rPr>
          <w:t>At 24.5,14</w:t>
        </w:r>
      </w:hyperlink>
      <w:r>
        <w:t>), compartilhou o reconhecimento legal do estado ganho pelos judeus. Assim, Paulo recebeu proteção romana em Pafos, Filipe, Corinto, Éfeso e Jerusalém dos governadores Félix e Festo e seu conselheiro Herodes Agripa, bem como do centurião que o transportou a Roma. Isso explica o apelo confiante de Paulo a César; uma absolvição imperial garantiria a liberdade do cristianismo de serem perseguidos em todo o império.</w:t>
      </w:r>
    </w:p>
    <w:p>
      <w:r/>
      <w:r>
        <w:t>A atitude de Paulo à perseguição incluiu lembrança lamentável de seus próprios dias de perseguição (</w:t>
      </w:r>
      <w:hyperlink r:id="rId15504">
        <w:r>
          <w:rPr>
            <w:color w:val="0000EE"/>
            <w:u w:val="single"/>
          </w:rPr>
          <w:t>At 22.4</w:t>
        </w:r>
      </w:hyperlink>
      <w:r>
        <w:t xml:space="preserve">; </w:t>
      </w:r>
      <w:hyperlink r:id="rId16954">
        <w:r>
          <w:rPr>
            <w:color w:val="0000EE"/>
            <w:u w:val="single"/>
          </w:rPr>
          <w:t>26.9–11</w:t>
        </w:r>
      </w:hyperlink>
      <w:r>
        <w:t xml:space="preserve">; </w:t>
      </w:r>
      <w:hyperlink r:id="rId16955">
        <w:r>
          <w:rPr>
            <w:color w:val="0000EE"/>
            <w:u w:val="single"/>
          </w:rPr>
          <w:t>Gl 1.22–24</w:t>
        </w:r>
      </w:hyperlink>
      <w:r>
        <w:t>), aceitação deliberada de riscos na obediência a Cristo (</w:t>
      </w:r>
      <w:hyperlink r:id="rId16508">
        <w:r>
          <w:rPr>
            <w:color w:val="0000EE"/>
            <w:u w:val="single"/>
          </w:rPr>
          <w:t>At 20.22–24</w:t>
        </w:r>
      </w:hyperlink>
      <w:r>
        <w:t xml:space="preserve">; </w:t>
      </w:r>
      <w:hyperlink r:id="rId16956">
        <w:r>
          <w:rPr>
            <w:color w:val="0000EE"/>
            <w:u w:val="single"/>
          </w:rPr>
          <w:t>21.13</w:t>
        </w:r>
      </w:hyperlink>
      <w:r>
        <w:t>), advertência contínua de que a tribulação é inseparável do discipulado (</w:t>
      </w:r>
      <w:hyperlink r:id="rId16781">
        <w:r>
          <w:rPr>
            <w:color w:val="0000EE"/>
            <w:u w:val="single"/>
          </w:rPr>
          <w:t>At 14.22</w:t>
        </w:r>
      </w:hyperlink>
      <w:r>
        <w:t xml:space="preserve">; </w:t>
      </w:r>
      <w:hyperlink r:id="rId9668">
        <w:r>
          <w:rPr>
            <w:color w:val="0000EE"/>
            <w:u w:val="single"/>
          </w:rPr>
          <w:t>Rm 5.3</w:t>
        </w:r>
      </w:hyperlink>
      <w:r>
        <w:t xml:space="preserve">; </w:t>
      </w:r>
      <w:hyperlink r:id="rId16957">
        <w:r>
          <w:rPr>
            <w:color w:val="0000EE"/>
            <w:u w:val="single"/>
          </w:rPr>
          <w:t>12.12</w:t>
        </w:r>
      </w:hyperlink>
      <w:r>
        <w:t xml:space="preserve">; </w:t>
      </w:r>
      <w:hyperlink r:id="rId16958">
        <w:r>
          <w:rPr>
            <w:color w:val="0000EE"/>
            <w:u w:val="single"/>
          </w:rPr>
          <w:t>1Ts 3.4</w:t>
        </w:r>
      </w:hyperlink>
      <w:r>
        <w:t>), e certeza de que em todas as formas de tribulação os cristãos são mais do que vencedores (</w:t>
      </w:r>
      <w:hyperlink r:id="rId1856">
        <w:r>
          <w:rPr>
            <w:color w:val="0000EE"/>
            <w:u w:val="single"/>
          </w:rPr>
          <w:t>Rm 8.35–37</w:t>
        </w:r>
      </w:hyperlink>
      <w:r>
        <w:t>).</w:t>
      </w:r>
    </w:p>
    <w:p>
      <w:r/>
      <w:r>
        <w:t xml:space="preserve">Quase certamente, Paulo foi decapitado durante a feroz perseguição em Roma após o fogo pelo qual os cristãos foram responsabilizados. Os cristãos foram muitas vezes acusados de “ateísmo” (rejeitando o politeísmo), de apelar apenas para classes de escravos, de festas de amor “escandalosas” e de comportamento insociável e austero (cf. </w:t>
      </w:r>
      <w:hyperlink r:id="rId14899">
        <w:r>
          <w:rPr>
            <w:color w:val="0000EE"/>
            <w:u w:val="single"/>
          </w:rPr>
          <w:t>Jo 15.19</w:t>
        </w:r>
      </w:hyperlink>
      <w:r>
        <w:t>), tornando-os um alvo popular de censura.</w:t>
      </w:r>
    </w:p>
    <w:p>
      <w:r/>
      <w:r>
        <w:t>Por volta deste tempo, Pedro advertiu os cristãos no Oriente do perigo que confronta a igreja. Por um tempo, “várias provações” apenas provam a genuinidade da fé (</w:t>
      </w:r>
      <w:hyperlink r:id="rId16744">
        <w:r>
          <w:rPr>
            <w:color w:val="0000EE"/>
            <w:u w:val="single"/>
          </w:rPr>
          <w:t>1Pe 1.6</w:t>
        </w:r>
      </w:hyperlink>
      <w:r>
        <w:t>). A calúnia deve ser respondida por um viver irrepreensível. A honra deve ser paga às autoridades. O sofrimento pela justiça deve ser aceito sem medo. Que os cristãos preparem defesas respeitosas, com as consciências livres de culpa. Se eles sofrem por fazer o certo, lembre-se de que Cristo também sofreu — por eles. Assim, eles devem “se armar” para o sofrimento (</w:t>
      </w:r>
      <w:hyperlink r:id="rId16704">
        <w:r>
          <w:rPr>
            <w:color w:val="0000EE"/>
            <w:u w:val="single"/>
          </w:rPr>
          <w:t>4.1</w:t>
        </w:r>
      </w:hyperlink>
      <w:r>
        <w:t xml:space="preserve">), e não se surpreenderem com a perseguição como “algo estranho” (v. </w:t>
      </w:r>
      <w:hyperlink r:id="rId16718">
        <w:r>
          <w:rPr>
            <w:color w:val="0000EE"/>
            <w:u w:val="single"/>
          </w:rPr>
          <w:t>12</w:t>
        </w:r>
      </w:hyperlink>
      <w:r>
        <w:t>). Eles estão compartilhando os sofrimentos de Cristo. Sua palavra final é “Permaneçam firmes!”</w:t>
      </w:r>
    </w:p>
    <w:p>
      <w:r/>
      <w:r>
        <w:t>Acredita-se que Marcos, também, tenha escrito neste momento para o benefício da sofredora igreja romana. Seu Evangelho habita no conflito de Cristo, suas causas e formas, e retrata vividamente a própria morte heroica de Cristo. Como Pedro, Marcos encontra a perseguição apontando para o Senhor que sofre.</w:t>
      </w:r>
    </w:p>
    <w:p>
      <w:r/>
      <w:r>
        <w:t xml:space="preserve">Um pouco mais tarde, o cristianismo foi exposto como uma “religião ilegal”, não mais uma seita protegida do judaísmo, pela introdução nos serviços da sinagoga de uma oração contra os “nazarenos”, que os cristãos não poderiam oferecer. Depois disso, a igreja estava sujeita à proibição oficial. Roma prontamente incorporou antigas religiões nacionais em rituais de estado por uma questão de unidade imperial, mas ela resistiu a novos movimentos não conformistas, especialmente aqueles com reuniões secretas (isto é, a Eucaristia), como politicamente perigosos (cf. </w:t>
      </w:r>
      <w:hyperlink r:id="rId16959">
        <w:r>
          <w:rPr>
            <w:color w:val="0000EE"/>
            <w:u w:val="single"/>
          </w:rPr>
          <w:t>At 17.6–7</w:t>
        </w:r>
      </w:hyperlink>
      <w:r>
        <w:t>).</w:t>
      </w:r>
    </w:p>
    <w:p>
      <w:r/>
      <w:r>
        <w:t>No final do século, confrontado com uma igreja crescente e agitação política, o estado exigiu a “adoração” pública do “gênio de Roma” ao lado de quaisquer outros ritos religiosos. No reinado de Domiciano (81–96 d.C.), isso se tornou adoração do imperador vivo, com templos elaborados e um sacerdócio oficial. Quando os cristãos se negaram, reconhecendo apenas Jesus como Senhor divino, começou a perseguição oficial e cada vez mais bárbara. É provável que Apocalipse reflita esta situação (</w:t>
      </w:r>
      <w:hyperlink r:id="rId2023">
        <w:r>
          <w:rPr>
            <w:color w:val="0000EE"/>
            <w:u w:val="single"/>
          </w:rPr>
          <w:t>Ap 1.9</w:t>
        </w:r>
      </w:hyperlink>
      <w:r>
        <w:t xml:space="preserve">; </w:t>
      </w:r>
      <w:hyperlink r:id="rId2036">
        <w:r>
          <w:rPr>
            <w:color w:val="0000EE"/>
            <w:u w:val="single"/>
          </w:rPr>
          <w:t>2.13</w:t>
        </w:r>
      </w:hyperlink>
      <w:r>
        <w:t xml:space="preserve">; </w:t>
      </w:r>
      <w:hyperlink r:id="rId964">
        <w:r>
          <w:rPr>
            <w:color w:val="0000EE"/>
            <w:u w:val="single"/>
          </w:rPr>
          <w:t>6.9</w:t>
        </w:r>
      </w:hyperlink>
      <w:r>
        <w:t xml:space="preserve">; </w:t>
      </w:r>
      <w:hyperlink r:id="rId2024">
        <w:r>
          <w:rPr>
            <w:color w:val="0000EE"/>
            <w:u w:val="single"/>
          </w:rPr>
          <w:t>13</w:t>
        </w:r>
      </w:hyperlink>
      <w:r>
        <w:t xml:space="preserve">; </w:t>
      </w:r>
      <w:hyperlink r:id="rId9634">
        <w:r>
          <w:rPr>
            <w:color w:val="0000EE"/>
            <w:u w:val="single"/>
          </w:rPr>
          <w:t>19.2</w:t>
        </w:r>
      </w:hyperlink>
      <w:r>
        <w:t>). Então a Bíblia termina como começou, com o tema da perseguição do povo de Deus.</w:t>
      </w:r>
    </w:p>
    <w:p>
      <w:r/>
      <w:r>
        <w:rPr>
          <w:i/>
        </w:rPr>
        <w:t>Veja também</w:t>
      </w:r>
      <w:r>
        <w:t xml:space="preserve"> </w:t>
      </w:r>
      <w:r>
        <w:t>Sofrimento</w:t>
      </w:r>
      <w:r>
        <w:t xml:space="preserve">; </w:t>
      </w:r>
      <w:r>
        <w:t>Tribulação</w:t>
      </w:r>
      <w:r>
        <w:t>.</w:t>
      </w:r>
      <w:r/>
      <w:r/>
    </w:p>
    <w:p>
      <w:r/>
    </w:p>
    <w:p>
      <w:pPr>
        <w:pStyle w:val="Heading2"/>
      </w:pPr>
      <w:r>
        <w:t>Perseverança</w:t>
      </w:r>
      <w:r/>
    </w:p>
    <w:p>
      <w:r/>
      <w:r>
        <w:t>Ação ou condição de firmeza. O Israel do AT esperou durante gerações pelo cumprimento de promessas que muitos crentes não chegaram a viver para ver (</w:t>
      </w:r>
      <w:hyperlink r:id="rId9146">
        <w:r>
          <w:rPr>
            <w:color w:val="0000EE"/>
            <w:u w:val="single"/>
          </w:rPr>
          <w:t>Hb 11.1,13,21–22,39</w:t>
        </w:r>
      </w:hyperlink>
      <w:r>
        <w:t>). A promessa a Abraão sustentou a esperança por séculos antes de Canaã ser tomada. A lição da jornada no deserto, quando o declínio do zelo inicial impediu que as pessoas entrassem na Terra Prometida, nunca foi esquecida (</w:t>
      </w:r>
      <w:hyperlink r:id="rId16960">
        <w:r>
          <w:rPr>
            <w:color w:val="0000EE"/>
            <w:u w:val="single"/>
          </w:rPr>
          <w:t>3.16–19</w:t>
        </w:r>
      </w:hyperlink>
      <w:r>
        <w:t>). Os profetas olhavam constantemente para além do fracasso e da tragédia para horizontes distantes, e eles alimentavam uma fé paciente (</w:t>
      </w:r>
      <w:hyperlink r:id="rId16961">
        <w:r>
          <w:rPr>
            <w:color w:val="0000EE"/>
            <w:u w:val="single"/>
          </w:rPr>
          <w:t>Jr 32.1–15</w:t>
        </w:r>
      </w:hyperlink>
      <w:r>
        <w:t xml:space="preserve">; </w:t>
      </w:r>
      <w:hyperlink r:id="rId16962">
        <w:r>
          <w:rPr>
            <w:color w:val="0000EE"/>
            <w:u w:val="single"/>
          </w:rPr>
          <w:t>Os 3.4–5</w:t>
        </w:r>
      </w:hyperlink>
      <w:r>
        <w:t xml:space="preserve">; </w:t>
      </w:r>
      <w:hyperlink r:id="rId3272">
        <w:r>
          <w:rPr>
            <w:color w:val="0000EE"/>
            <w:u w:val="single"/>
          </w:rPr>
          <w:t>Jl 2.28–29</w:t>
        </w:r>
      </w:hyperlink>
      <w:r>
        <w:t xml:space="preserve">; </w:t>
      </w:r>
      <w:hyperlink r:id="rId16963">
        <w:r>
          <w:rPr>
            <w:color w:val="0000EE"/>
            <w:u w:val="single"/>
          </w:rPr>
          <w:t>Hc 2.1–3</w:t>
        </w:r>
      </w:hyperlink>
      <w:r>
        <w:t xml:space="preserve">; </w:t>
      </w:r>
      <w:hyperlink r:id="rId16964">
        <w:r>
          <w:rPr>
            <w:color w:val="0000EE"/>
            <w:u w:val="single"/>
          </w:rPr>
          <w:t>Dn 12.11–13</w:t>
        </w:r>
      </w:hyperlink>
      <w:r>
        <w:t>).</w:t>
      </w:r>
    </w:p>
    <w:p>
      <w:r/>
      <w:r>
        <w:t xml:space="preserve">O NT em todo momento incita uma perseverança similar. Entre várias expressões gregas, a palavra comum, </w:t>
      </w:r>
      <w:r>
        <w:rPr>
          <w:i/>
        </w:rPr>
        <w:t>proskartereo</w:t>
      </w:r>
      <w:r>
        <w:t>, tem a raiz que significa “estar presente continuamente, aderir firmemente” (</w:t>
      </w:r>
      <w:hyperlink r:id="rId13960">
        <w:r>
          <w:rPr>
            <w:color w:val="0000EE"/>
            <w:u w:val="single"/>
          </w:rPr>
          <w:t>Mc 3.9</w:t>
        </w:r>
      </w:hyperlink>
      <w:r>
        <w:t xml:space="preserve">; </w:t>
      </w:r>
      <w:hyperlink r:id="rId16965">
        <w:r>
          <w:rPr>
            <w:color w:val="0000EE"/>
            <w:u w:val="single"/>
          </w:rPr>
          <w:t>Atos 8.13</w:t>
        </w:r>
      </w:hyperlink>
      <w:r>
        <w:t xml:space="preserve">; </w:t>
      </w:r>
      <w:hyperlink r:id="rId4624">
        <w:r>
          <w:rPr>
            <w:color w:val="0000EE"/>
            <w:u w:val="single"/>
          </w:rPr>
          <w:t>10.7</w:t>
        </w:r>
      </w:hyperlink>
      <w:r>
        <w:t xml:space="preserve">; </w:t>
      </w:r>
      <w:hyperlink r:id="rId16966">
        <w:r>
          <w:rPr>
            <w:color w:val="0000EE"/>
            <w:u w:val="single"/>
          </w:rPr>
          <w:t>Rm 13:6</w:t>
        </w:r>
      </w:hyperlink>
      <w:r>
        <w:t>), e é traduzida de várias maneiras como “devoto”, “contínuo”, “constante”, “[ser] firme”.</w:t>
      </w:r>
    </w:p>
    <w:p>
      <w:r/>
      <w:r>
        <w:t>Esta paciência persistente é invocada pela oração (</w:t>
      </w:r>
      <w:hyperlink r:id="rId15849">
        <w:r>
          <w:rPr>
            <w:color w:val="0000EE"/>
            <w:u w:val="single"/>
          </w:rPr>
          <w:t>Lc 18.1–8</w:t>
        </w:r>
      </w:hyperlink>
      <w:r>
        <w:t xml:space="preserve">; </w:t>
      </w:r>
      <w:hyperlink r:id="rId6093">
        <w:r>
          <w:rPr>
            <w:color w:val="0000EE"/>
            <w:u w:val="single"/>
          </w:rPr>
          <w:t>Cl 4.2</w:t>
        </w:r>
      </w:hyperlink>
      <w:r>
        <w:t>); no bom modo de agir (</w:t>
      </w:r>
      <w:hyperlink r:id="rId16967">
        <w:r>
          <w:rPr>
            <w:color w:val="0000EE"/>
            <w:u w:val="single"/>
          </w:rPr>
          <w:t>Rm 2.7</w:t>
        </w:r>
      </w:hyperlink>
      <w:r>
        <w:t xml:space="preserve">; </w:t>
      </w:r>
      <w:hyperlink r:id="rId16968">
        <w:r>
          <w:rPr>
            <w:color w:val="0000EE"/>
            <w:u w:val="single"/>
          </w:rPr>
          <w:t>Gl 6.9</w:t>
        </w:r>
      </w:hyperlink>
      <w:r>
        <w:t>); no ensino cristão (</w:t>
      </w:r>
      <w:hyperlink r:id="rId4652">
        <w:r>
          <w:rPr>
            <w:color w:val="0000EE"/>
            <w:u w:val="single"/>
          </w:rPr>
          <w:t>Atos 2.42</w:t>
        </w:r>
      </w:hyperlink>
      <w:r>
        <w:t xml:space="preserve">; </w:t>
      </w:r>
      <w:hyperlink r:id="rId16969">
        <w:r>
          <w:rPr>
            <w:color w:val="0000EE"/>
            <w:u w:val="single"/>
          </w:rPr>
          <w:t>2Tm 3.14</w:t>
        </w:r>
      </w:hyperlink>
      <w:r>
        <w:t>); na aflição (</w:t>
      </w:r>
      <w:hyperlink r:id="rId16970">
        <w:r>
          <w:rPr>
            <w:color w:val="0000EE"/>
            <w:u w:val="single"/>
          </w:rPr>
          <w:t>2Ts 1.4</w:t>
        </w:r>
      </w:hyperlink>
      <w:r>
        <w:t>); na graça (</w:t>
      </w:r>
      <w:hyperlink r:id="rId16971">
        <w:r>
          <w:rPr>
            <w:color w:val="0000EE"/>
            <w:u w:val="single"/>
          </w:rPr>
          <w:t>Atos 13.43</w:t>
        </w:r>
      </w:hyperlink>
      <w:r>
        <w:t xml:space="preserve">; </w:t>
      </w:r>
      <w:hyperlink r:id="rId16972">
        <w:r>
          <w:rPr>
            <w:color w:val="0000EE"/>
            <w:u w:val="single"/>
          </w:rPr>
          <w:t>2Co 6.1</w:t>
        </w:r>
      </w:hyperlink>
      <w:r>
        <w:t>); na fé (</w:t>
      </w:r>
      <w:hyperlink r:id="rId16781">
        <w:r>
          <w:rPr>
            <w:color w:val="0000EE"/>
            <w:u w:val="single"/>
          </w:rPr>
          <w:t>Atos 14.22</w:t>
        </w:r>
      </w:hyperlink>
      <w:r>
        <w:t xml:space="preserve">; </w:t>
      </w:r>
      <w:hyperlink r:id="rId8788">
        <w:r>
          <w:rPr>
            <w:color w:val="0000EE"/>
            <w:u w:val="single"/>
          </w:rPr>
          <w:t>Cl 1.23</w:t>
        </w:r>
      </w:hyperlink>
      <w:r>
        <w:t>); no amor divino (</w:t>
      </w:r>
      <w:hyperlink r:id="rId16973">
        <w:r>
          <w:rPr>
            <w:color w:val="0000EE"/>
            <w:u w:val="single"/>
          </w:rPr>
          <w:t>Jo 15.9</w:t>
        </w:r>
      </w:hyperlink>
      <w:r>
        <w:t xml:space="preserve">; </w:t>
      </w:r>
      <w:hyperlink r:id="rId16974">
        <w:r>
          <w:rPr>
            <w:color w:val="0000EE"/>
            <w:u w:val="single"/>
          </w:rPr>
          <w:t>Judas 1.21</w:t>
        </w:r>
      </w:hyperlink>
      <w:r>
        <w:t>); em permanecer firme (</w:t>
      </w:r>
      <w:hyperlink r:id="rId16975">
        <w:r>
          <w:rPr>
            <w:color w:val="0000EE"/>
            <w:u w:val="single"/>
          </w:rPr>
          <w:t>1Co 16.13</w:t>
        </w:r>
      </w:hyperlink>
      <w:r>
        <w:t xml:space="preserve">; </w:t>
      </w:r>
      <w:hyperlink r:id="rId16976">
        <w:r>
          <w:rPr>
            <w:color w:val="0000EE"/>
            <w:u w:val="single"/>
          </w:rPr>
          <w:t>2Ts 2.15</w:t>
        </w:r>
      </w:hyperlink>
      <w:r>
        <w:t>); em permanecer em Cristo (</w:t>
      </w:r>
      <w:hyperlink r:id="rId16977">
        <w:r>
          <w:rPr>
            <w:color w:val="0000EE"/>
            <w:u w:val="single"/>
          </w:rPr>
          <w:t>Jo 15.4–10</w:t>
        </w:r>
      </w:hyperlink>
      <w:r>
        <w:t xml:space="preserve">; </w:t>
      </w:r>
      <w:hyperlink r:id="rId16978">
        <w:r>
          <w:rPr>
            <w:color w:val="0000EE"/>
            <w:u w:val="single"/>
          </w:rPr>
          <w:t>1Jo 2.28</w:t>
        </w:r>
      </w:hyperlink>
      <w:r>
        <w:t>); em correr com paciência (</w:t>
      </w:r>
      <w:hyperlink r:id="rId16979">
        <w:r>
          <w:rPr>
            <w:color w:val="0000EE"/>
            <w:u w:val="single"/>
          </w:rPr>
          <w:t>Hb 6.12</w:t>
        </w:r>
      </w:hyperlink>
      <w:r>
        <w:t xml:space="preserve">; </w:t>
      </w:r>
      <w:hyperlink r:id="rId9147">
        <w:r>
          <w:rPr>
            <w:color w:val="0000EE"/>
            <w:u w:val="single"/>
          </w:rPr>
          <w:t>12.1</w:t>
        </w:r>
      </w:hyperlink>
      <w:r>
        <w:t>); em não se afastar (</w:t>
      </w:r>
      <w:hyperlink r:id="rId16980">
        <w:r>
          <w:rPr>
            <w:color w:val="0000EE"/>
            <w:u w:val="single"/>
          </w:rPr>
          <w:t>Hb 3.12</w:t>
        </w:r>
      </w:hyperlink>
      <w:r>
        <w:t xml:space="preserve">; </w:t>
      </w:r>
      <w:hyperlink r:id="rId16981">
        <w:r>
          <w:rPr>
            <w:color w:val="0000EE"/>
            <w:u w:val="single"/>
          </w:rPr>
          <w:t>4.1–10</w:t>
        </w:r>
      </w:hyperlink>
      <w:r>
        <w:t>); e em ser zeloso para confirmar nosso chamado e eleição (</w:t>
      </w:r>
      <w:hyperlink r:id="rId7844">
        <w:r>
          <w:rPr>
            <w:color w:val="0000EE"/>
            <w:u w:val="single"/>
          </w:rPr>
          <w:t>2Pe 1.10</w:t>
        </w:r>
      </w:hyperlink>
      <w:r>
        <w:t>).</w:t>
      </w:r>
    </w:p>
    <w:p>
      <w:r/>
      <w:r>
        <w:t>O fracasso em perseverar de Judas (</w:t>
      </w:r>
      <w:hyperlink r:id="rId16982">
        <w:r>
          <w:rPr>
            <w:color w:val="0000EE"/>
            <w:u w:val="single"/>
          </w:rPr>
          <w:t>Jo 6.71</w:t>
        </w:r>
      </w:hyperlink>
      <w:r>
        <w:t>), Demas (</w:t>
      </w:r>
      <w:hyperlink r:id="rId9714">
        <w:r>
          <w:rPr>
            <w:color w:val="0000EE"/>
            <w:u w:val="single"/>
          </w:rPr>
          <w:t>2Tm 4.10</w:t>
        </w:r>
      </w:hyperlink>
      <w:r>
        <w:t>) e Himeneu (</w:t>
      </w:r>
      <w:hyperlink r:id="rId9762">
        <w:r>
          <w:rPr>
            <w:color w:val="0000EE"/>
            <w:u w:val="single"/>
          </w:rPr>
          <w:t>2Tm 2.17</w:t>
        </w:r>
      </w:hyperlink>
      <w:r>
        <w:t>) deve ser mantido em mente, bem como a terrível possibilidade de negligenciar uma salvação tão grande (</w:t>
      </w:r>
      <w:hyperlink r:id="rId10380">
        <w:r>
          <w:rPr>
            <w:color w:val="0000EE"/>
            <w:u w:val="single"/>
          </w:rPr>
          <w:t>Hb 2.3</w:t>
        </w:r>
      </w:hyperlink>
      <w:r>
        <w:t>), ser desqualificado (</w:t>
      </w:r>
      <w:hyperlink r:id="rId8845">
        <w:r>
          <w:rPr>
            <w:color w:val="0000EE"/>
            <w:u w:val="single"/>
          </w:rPr>
          <w:t>1Co 9.27</w:t>
        </w:r>
      </w:hyperlink>
      <w:r>
        <w:t>), cair enquanto pensamos que estamos de pé (</w:t>
      </w:r>
      <w:hyperlink r:id="rId5809">
        <w:r>
          <w:rPr>
            <w:color w:val="0000EE"/>
            <w:u w:val="single"/>
          </w:rPr>
          <w:t>1Co 10.12</w:t>
        </w:r>
      </w:hyperlink>
      <w:r>
        <w:t>) e cometer apostasia (</w:t>
      </w:r>
      <w:hyperlink r:id="rId16983">
        <w:r>
          <w:rPr>
            <w:color w:val="0000EE"/>
            <w:u w:val="single"/>
          </w:rPr>
          <w:t>Hb 6.1–8</w:t>
        </w:r>
      </w:hyperlink>
      <w:r>
        <w:t>). Pois, como Jesus disse: “Aquele que perseverar até o fim será salvo” (</w:t>
      </w:r>
      <w:hyperlink r:id="rId16984">
        <w:r>
          <w:rPr>
            <w:color w:val="0000EE"/>
            <w:u w:val="single"/>
          </w:rPr>
          <w:t>Mt 10.22</w:t>
        </w:r>
      </w:hyperlink>
      <w:r>
        <w:t xml:space="preserve">; </w:t>
      </w:r>
      <w:hyperlink r:id="rId16985">
        <w:r>
          <w:rPr>
            <w:color w:val="0000EE"/>
            <w:u w:val="single"/>
          </w:rPr>
          <w:t>24.13</w:t>
        </w:r>
      </w:hyperlink>
      <w:r>
        <w:t>). Tal ênfase extraordinária não pode ser acidental. As pressões da sociedade pagã, o perigo de perseguição, a reação emocional após uma experiência inicial maravilhosa e a aparente implicação de uma “salvação instantânea”, tornaram imperativo que os cristãos entendessem que através de sua resistência herdariam a salvação eterna (</w:t>
      </w:r>
      <w:hyperlink r:id="rId16986">
        <w:r>
          <w:rPr>
            <w:color w:val="0000EE"/>
            <w:u w:val="single"/>
          </w:rPr>
          <w:t>Lc 21.19</w:t>
        </w:r>
      </w:hyperlink>
      <w:r>
        <w:t xml:space="preserve">; </w:t>
      </w:r>
      <w:hyperlink r:id="rId9668">
        <w:r>
          <w:rPr>
            <w:color w:val="0000EE"/>
            <w:u w:val="single"/>
          </w:rPr>
          <w:t>Rm 5.3</w:t>
        </w:r>
      </w:hyperlink>
      <w:r>
        <w:t xml:space="preserve">; </w:t>
      </w:r>
      <w:hyperlink r:id="rId16102">
        <w:r>
          <w:rPr>
            <w:color w:val="0000EE"/>
            <w:u w:val="single"/>
          </w:rPr>
          <w:t>Cl 1.11</w:t>
        </w:r>
      </w:hyperlink>
      <w:r>
        <w:t>).</w:t>
      </w:r>
    </w:p>
    <w:p>
      <w:r/>
      <w:r>
        <w:t>No entanto, as Escrituras nunca implicam que a perseverança depende inteiramente do esforço humano. No AT, o propósito redentor de Deus é inabalável; a aliança de Deus permanece, embora precise ser renovada (</w:t>
      </w:r>
      <w:hyperlink r:id="rId833">
        <w:r>
          <w:rPr>
            <w:color w:val="0000EE"/>
            <w:u w:val="single"/>
          </w:rPr>
          <w:t>Jr 31.31–34</w:t>
        </w:r>
      </w:hyperlink>
      <w:r>
        <w:t>). O amor divino (hebraico, hesed) conota uma lealdade imutável; Deus “nunca falhará nem nos abandonará” por “seu próprio nome”. A afirmação do NT é que Cristo ressuscitará os seus no último dia — ninguém os roubará de sua mão ou da do Pai. Cristo nos impedirá de cair. Deus é fiel; ele trabalha em nós desde o querer até o realizar para seu bom prazer, e não permitirá que sejamos tentados além de nossa força. Nada, no céu ou na terra, presente ou futuro, nos separará do amor divino. Já estamos selados pelo Espírito Santo como uma garantia da salvação eterna, e somos mantidos pelo poder de Deus para uma salvação que ainda será revelada.</w:t>
      </w:r>
    </w:p>
    <w:p>
      <w:r/>
      <w:r>
        <w:t>A tensão nas escrituras entre exortação à perseverança e certeza da salvação deu origem a muito debate. O paradoxo intelectual é resolvido apenas na experiência espiritual.</w:t>
      </w:r>
    </w:p>
    <w:p>
      <w:r/>
      <w:r>
        <w:rPr>
          <w:i/>
        </w:rPr>
        <w:t>Veja também</w:t>
      </w:r>
      <w:r>
        <w:t xml:space="preserve"> </w:t>
      </w:r>
      <w:r>
        <w:t>Certeza</w:t>
      </w:r>
      <w:r>
        <w:t xml:space="preserve">; </w:t>
      </w:r>
      <w:r>
        <w:t>Retrocesso</w:t>
      </w:r>
      <w:r>
        <w:t>.</w:t>
      </w:r>
      <w:r/>
      <w:r/>
    </w:p>
    <w:p>
      <w:r/>
    </w:p>
    <w:p>
      <w:pPr>
        <w:pStyle w:val="Heading2"/>
      </w:pPr>
      <w:r>
        <w:t>Pescadores</w:t>
      </w:r>
      <w:r/>
    </w:p>
    <w:p>
      <w:r/>
      <w:r>
        <w:t>Aqueles que tinham a pesca como trabalho. A pesca era realizada por pescadores na Terra Santa desde os primeiros tempos e é referida tanto no AT (</w:t>
      </w:r>
      <w:hyperlink r:id="rId16987">
        <w:r>
          <w:rPr>
            <w:color w:val="0000EE"/>
            <w:u w:val="single"/>
          </w:rPr>
          <w:t>Is 19.8</w:t>
        </w:r>
      </w:hyperlink>
      <w:r>
        <w:t xml:space="preserve">; </w:t>
      </w:r>
      <w:hyperlink r:id="rId3954">
        <w:r>
          <w:rPr>
            <w:color w:val="0000EE"/>
            <w:u w:val="single"/>
          </w:rPr>
          <w:t>Jr 16.16</w:t>
        </w:r>
      </w:hyperlink>
      <w:r>
        <w:t xml:space="preserve">; </w:t>
      </w:r>
      <w:hyperlink r:id="rId1657">
        <w:r>
          <w:rPr>
            <w:color w:val="0000EE"/>
            <w:u w:val="single"/>
          </w:rPr>
          <w:t>Ez 47.10</w:t>
        </w:r>
      </w:hyperlink>
      <w:r>
        <w:t>) quanto no NT (</w:t>
      </w:r>
      <w:hyperlink r:id="rId16988">
        <w:r>
          <w:rPr>
            <w:color w:val="0000EE"/>
            <w:u w:val="single"/>
          </w:rPr>
          <w:t>Mt 4.18–19</w:t>
        </w:r>
      </w:hyperlink>
      <w:r>
        <w:t xml:space="preserve">; </w:t>
      </w:r>
      <w:hyperlink r:id="rId16989">
        <w:r>
          <w:rPr>
            <w:color w:val="0000EE"/>
            <w:u w:val="single"/>
          </w:rPr>
          <w:t>Mc 1.16–17</w:t>
        </w:r>
      </w:hyperlink>
      <w:r>
        <w:t xml:space="preserve">; </w:t>
      </w:r>
      <w:hyperlink r:id="rId13961">
        <w:r>
          <w:rPr>
            <w:color w:val="0000EE"/>
            <w:u w:val="single"/>
          </w:rPr>
          <w:t>Lc 5.2</w:t>
        </w:r>
      </w:hyperlink>
      <w:r>
        <w:t xml:space="preserve">; </w:t>
      </w:r>
      <w:hyperlink r:id="rId7348">
        <w:r>
          <w:rPr>
            <w:color w:val="0000EE"/>
            <w:u w:val="single"/>
          </w:rPr>
          <w:t>Jo 21.7</w:t>
        </w:r>
      </w:hyperlink>
      <w:r>
        <w:t>). Os pescadores formavam uma classe distinta na sociedade. Jesus incluiu vários pescadores entre seus discípulos (</w:t>
      </w:r>
      <w:hyperlink r:id="rId11714">
        <w:r>
          <w:rPr>
            <w:color w:val="0000EE"/>
            <w:u w:val="single"/>
          </w:rPr>
          <w:t>Mt 4.18–22</w:t>
        </w:r>
      </w:hyperlink>
      <w:r>
        <w:t xml:space="preserve">; </w:t>
      </w:r>
      <w:hyperlink r:id="rId11715">
        <w:r>
          <w:rPr>
            <w:color w:val="0000EE"/>
            <w:u w:val="single"/>
          </w:rPr>
          <w:t>Mc 1.16–20</w:t>
        </w:r>
      </w:hyperlink>
      <w:r>
        <w:t xml:space="preserve">; cf. </w:t>
      </w:r>
      <w:hyperlink r:id="rId16990">
        <w:r>
          <w:rPr>
            <w:color w:val="0000EE"/>
            <w:u w:val="single"/>
          </w:rPr>
          <w:t>Lc 5.2–11</w:t>
        </w:r>
      </w:hyperlink>
      <w:r>
        <w:t>). Seu trabalho era cansativo (</w:t>
      </w:r>
      <w:hyperlink r:id="rId16991">
        <w:r>
          <w:rPr>
            <w:color w:val="0000EE"/>
            <w:u w:val="single"/>
          </w:rPr>
          <w:t>Lc 5.2–5</w:t>
        </w:r>
      </w:hyperlink>
      <w:r>
        <w:t>) e nem sempre recompensador (</w:t>
      </w:r>
      <w:hyperlink r:id="rId3706">
        <w:r>
          <w:rPr>
            <w:color w:val="0000EE"/>
            <w:u w:val="single"/>
          </w:rPr>
          <w:t>Lc 5.5</w:t>
        </w:r>
      </w:hyperlink>
      <w:r>
        <w:t xml:space="preserve">; </w:t>
      </w:r>
      <w:hyperlink r:id="rId16992">
        <w:r>
          <w:rPr>
            <w:color w:val="0000EE"/>
            <w:u w:val="single"/>
          </w:rPr>
          <w:t>Jo 21.3</w:t>
        </w:r>
      </w:hyperlink>
      <w:r>
        <w:t>). Jesus usou a metáfora “pescadores de homens” de seus discípulos para denotar como eles “capturariam” as pessoas para o reino (</w:t>
      </w:r>
      <w:hyperlink r:id="rId16993">
        <w:r>
          <w:rPr>
            <w:color w:val="0000EE"/>
            <w:u w:val="single"/>
          </w:rPr>
          <w:t>Mt 4.19</w:t>
        </w:r>
      </w:hyperlink>
      <w:r>
        <w:t xml:space="preserve">; </w:t>
      </w:r>
      <w:hyperlink r:id="rId16994">
        <w:r>
          <w:rPr>
            <w:color w:val="0000EE"/>
            <w:u w:val="single"/>
          </w:rPr>
          <w:t>Mc 1.17</w:t>
        </w:r>
      </w:hyperlink>
      <w:r>
        <w:t xml:space="preserve">; </w:t>
      </w:r>
      <w:hyperlink r:id="rId16655">
        <w:r>
          <w:rPr>
            <w:color w:val="0000EE"/>
            <w:u w:val="single"/>
          </w:rPr>
          <w:t>Lc 5.10</w:t>
        </w:r>
      </w:hyperlink>
      <w:r>
        <w:t>).</w:t>
      </w:r>
      <w:r/>
      <w:r/>
    </w:p>
    <w:p>
      <w:r/>
    </w:p>
    <w:p>
      <w:pPr>
        <w:pStyle w:val="Heading2"/>
      </w:pPr>
      <w:r>
        <w:t>Pesos E Medidas</w:t>
      </w:r>
      <w:r/>
    </w:p>
    <w:p>
      <w:r/>
      <w:r>
        <w:t>Resumo</w:t>
      </w:r>
    </w:p>
    <w:p>
      <w:r/>
      <w:r>
        <w:t>• Introdução</w:t>
      </w:r>
    </w:p>
    <w:p>
      <w:r/>
      <w:r>
        <w:t>• Medidas de peso</w:t>
      </w:r>
    </w:p>
    <w:p>
      <w:r/>
      <w:r>
        <w:t>• Medidas lineares no Antigo Testamento</w:t>
      </w:r>
    </w:p>
    <w:p>
      <w:r/>
      <w:r>
        <w:t>• Medidas lineares no Novo Testamento</w:t>
      </w:r>
    </w:p>
    <w:p>
      <w:r/>
      <w:r>
        <w:t>• Capacidade (Medida Seca) no Antigo Testamento</w:t>
      </w:r>
    </w:p>
    <w:p>
      <w:r/>
      <w:r>
        <w:t>• Capacidade (Medida Seca) no Novo Testamento</w:t>
      </w:r>
    </w:p>
    <w:p>
      <w:r/>
      <w:r>
        <w:t>• Medidas líquidas no Antigo Testamento</w:t>
      </w:r>
    </w:p>
    <w:p>
      <w:r/>
      <w:r>
        <w:t>• Medidas líquidas no Novo Testamento</w:t>
      </w:r>
    </w:p>
    <w:p>
      <w:pPr>
        <w:pStyle w:val="Heading3"/>
      </w:pPr>
      <w:r>
        <w:t>Introdução</w:t>
      </w:r>
    </w:p>
    <w:p>
      <w:r/>
      <w:r>
        <w:t>Unidades de medida no mundo antigo eram em grande parte baseadas em padrões práticos: o comprimento de um braço, a jornada de um dia, o quanto um jumento poderia carregar, e assim por diante. Embora este fosse um sistema conveniente, também sofria de uma falta de padronização. Alguns braços eram mais longos do que outros, e alguns jumentos poderiam carregar mais do que outros. A história de pesos e medidas, portanto, se torna a história da busca de padrões. Isso não foi alcançado no AT, mas começou a ocorrer sob influências gregas e romanas nos tempos do NT.</w:t>
      </w:r>
    </w:p>
    <w:p>
      <w:r/>
      <w:r>
        <w:t>No AT, as medidas que foram usadas são frequentemente atestadas na literatura mesopotâmica, bem como na egípcia e cananeia. Os israelitas não tinham seu próprio conjunto único de medidas. No entanto, enquanto os termos são compartilhados, não é incomum encontrar um termo específico que tenha um valor em Israel e um valor visivelmente diferente em uma das outras culturas.</w:t>
      </w:r>
    </w:p>
    <w:p>
      <w:r/>
      <w:r>
        <w:t>No momento do NT, outras variáveis foram adicionadas. Os israelitas deste período ainda estavam usando muitas das medidas que haviam sido usadas e desenvolvidas ao longo do período do AT. Mas adicionados a isso estavam os sistemas de medição grego e romano. Às vezes, esses termos eram adotados por atacado, enquanto em outras épocas os termos hebraicos eram adaptados aos padrões greco-romanos. Em ainda outras ocasiões, os termos romanos eram aparentemente usados ao lidar com o governo, enquanto os termos hebraicos ainda eram usados na prática cotidiana.</w:t>
      </w:r>
    </w:p>
    <w:p>
      <w:r/>
      <w:r>
        <w:t>Na maioria dos tipos de medição, a unidade de base (isto é, aquela da qual todos os outros são frações ou múltiplos) é aquela sobre a qual há mais incerteza. Assim, o côvado (comprimento), o siclo (peso), o ômer (volume seco) e o bato (volume líquido) são todos em certo grau incertos. Isso torna todas as outras medidas baseadas nelas igualmente incertas.</w:t>
      </w:r>
    </w:p>
    <w:p>
      <w:pPr>
        <w:pStyle w:val="Heading3"/>
      </w:pPr>
      <w:r>
        <w:t>Medidas de peso</w:t>
      </w:r>
    </w:p>
    <w:p>
      <w:r/>
      <w:r>
        <w:t>Os termos usados para pesos foram os que mais se beneficiaram das descobertas arqueológicas. As escavações fornecem pesos de pedra que são ocasionalmente inscritos com a unidade que elas representam. Quando as pedras são pesadas, elas frequentemente dão uma gama de pesos que têm apenas um padrão geral. No entanto, comparar estes dados com os fornecidos pelo texto, deu a base para determinações bastante precisas. A escala relativa em qualquer local é mais importante do que valores absolutos.</w:t>
      </w:r>
    </w:p>
    <w:p>
      <w:r/>
      <w:r>
        <w:t>Havia padronização das medidas de peso, mas a precisão era difícil de alcançar. O sistema israelita é semelhante ao usado pelos mesopotâmios e cananeus. Durante a maior parte do período do AT, o sistema de pesos forneceu o sistema monetário. Moeda cunhada foi a invenção dos persas. Até aquele momento, prata, ouro ou qualquer outra mercadoria de troca tinha que ser pesada para que a troca ou compra pudesse ocorrer. Isso fez do sistema de pesos o núcleo da economia antiga. Também explica por que as Escrituras falam tão seriamente contra o uso de falsos pesos (</w:t>
      </w:r>
      <w:hyperlink r:id="rId2979">
        <w:r>
          <w:rPr>
            <w:color w:val="0000EE"/>
            <w:u w:val="single"/>
          </w:rPr>
          <w:t>Lv 19.36</w:t>
        </w:r>
      </w:hyperlink>
      <w:r>
        <w:t xml:space="preserve">; </w:t>
      </w:r>
      <w:hyperlink r:id="rId3826">
        <w:r>
          <w:rPr>
            <w:color w:val="0000EE"/>
            <w:u w:val="single"/>
          </w:rPr>
          <w:t>Dt 25.13</w:t>
        </w:r>
      </w:hyperlink>
      <w:r>
        <w:t xml:space="preserve">; </w:t>
      </w:r>
      <w:hyperlink r:id="rId2981">
        <w:r>
          <w:rPr>
            <w:color w:val="0000EE"/>
            <w:u w:val="single"/>
          </w:rPr>
          <w:t>Pv 16.11</w:t>
        </w:r>
      </w:hyperlink>
      <w:r>
        <w:t xml:space="preserve">; </w:t>
      </w:r>
      <w:hyperlink r:id="rId16995">
        <w:r>
          <w:rPr>
            <w:color w:val="0000EE"/>
            <w:u w:val="single"/>
          </w:rPr>
          <w:t>20.10,23</w:t>
        </w:r>
      </w:hyperlink>
      <w:r>
        <w:t xml:space="preserve">; </w:t>
      </w:r>
      <w:hyperlink r:id="rId3828">
        <w:r>
          <w:rPr>
            <w:color w:val="0000EE"/>
            <w:u w:val="single"/>
          </w:rPr>
          <w:t>Mq 6.11</w:t>
        </w:r>
      </w:hyperlink>
      <w:r>
        <w:t xml:space="preserve">; </w:t>
      </w:r>
      <w:hyperlink r:id="rId2984">
        <w:r>
          <w:rPr>
            <w:color w:val="0000EE"/>
            <w:u w:val="single"/>
          </w:rPr>
          <w:t>Os 12.7</w:t>
        </w:r>
      </w:hyperlink>
      <w:r>
        <w:t xml:space="preserve">; </w:t>
      </w:r>
      <w:hyperlink r:id="rId2985">
        <w:r>
          <w:rPr>
            <w:color w:val="0000EE"/>
            <w:u w:val="single"/>
          </w:rPr>
          <w:t>Am 8.5</w:t>
        </w:r>
      </w:hyperlink>
      <w:r>
        <w:t>).</w:t>
      </w:r>
    </w:p>
    <w:p>
      <w:r/>
      <w:r>
        <w:t>Os pesos de pedra eram usados em um conjunto de balanças para conduzir negócios no mercado antigo. Balanças ou escalas são mencionados meia dúzia de vezes no AT, mas nenhuma delas está em contextos econômicos reais (</w:t>
      </w:r>
      <w:hyperlink r:id="rId16996">
        <w:r>
          <w:rPr>
            <w:color w:val="0000EE"/>
            <w:u w:val="single"/>
          </w:rPr>
          <w:t>Jó 6.2</w:t>
        </w:r>
      </w:hyperlink>
      <w:r>
        <w:t xml:space="preserve">; </w:t>
      </w:r>
      <w:hyperlink r:id="rId2990">
        <w:r>
          <w:rPr>
            <w:color w:val="0000EE"/>
            <w:u w:val="single"/>
          </w:rPr>
          <w:t>31</w:t>
        </w:r>
      </w:hyperlink>
      <w:r>
        <w:t xml:space="preserve">.6; </w:t>
      </w:r>
      <w:hyperlink r:id="rId16997">
        <w:r>
          <w:rPr>
            <w:color w:val="0000EE"/>
            <w:u w:val="single"/>
          </w:rPr>
          <w:t>Sl 62</w:t>
        </w:r>
      </w:hyperlink>
      <w:r>
        <w:t xml:space="preserve">.9; </w:t>
      </w:r>
      <w:hyperlink r:id="rId16998">
        <w:r>
          <w:rPr>
            <w:color w:val="0000EE"/>
            <w:u w:val="single"/>
          </w:rPr>
          <w:t>Is 40.12</w:t>
        </w:r>
      </w:hyperlink>
      <w:r>
        <w:t xml:space="preserve">; </w:t>
      </w:r>
      <w:hyperlink r:id="rId15087">
        <w:r>
          <w:rPr>
            <w:color w:val="0000EE"/>
            <w:u w:val="single"/>
          </w:rPr>
          <w:t>Ez</w:t>
        </w:r>
      </w:hyperlink>
      <w:r>
        <w:t xml:space="preserve"> 5.1; </w:t>
      </w:r>
      <w:hyperlink r:id="rId2991">
        <w:r>
          <w:rPr>
            <w:color w:val="0000EE"/>
            <w:u w:val="single"/>
          </w:rPr>
          <w:t>Dn 5.27</w:t>
        </w:r>
      </w:hyperlink>
      <w:r>
        <w:t>). As balanças usadas eram geralmente do tipo de balança de viga com pratos em cada extremidade.</w:t>
      </w:r>
    </w:p>
    <w:p>
      <w:pPr>
        <w:pStyle w:val="Heading4"/>
      </w:pPr>
      <w:r>
        <w:t>Talento</w:t>
      </w:r>
    </w:p>
    <w:p>
      <w:r/>
      <w:r>
        <w:t xml:space="preserve">De acordo com </w:t>
      </w:r>
      <w:hyperlink r:id="rId16999">
        <w:r>
          <w:rPr>
            <w:color w:val="0000EE"/>
            <w:u w:val="single"/>
          </w:rPr>
          <w:t>Êxodo 38.25–26</w:t>
        </w:r>
      </w:hyperlink>
      <w:r>
        <w:t xml:space="preserve">, o talento deve ter sido igual a 3.000 siclos. (Cem talentos então teriam sido iguais a 300.000 siclos, e se isso for adicionado aos 1.175 siclos no verso </w:t>
      </w:r>
      <w:hyperlink r:id="rId17000">
        <w:r>
          <w:rPr>
            <w:color w:val="0000EE"/>
            <w:u w:val="single"/>
          </w:rPr>
          <w:t>25</w:t>
        </w:r>
      </w:hyperlink>
      <w:r>
        <w:t xml:space="preserve">, o total é de 301.775, ou meio siclo para cada um dos 603.550 homens — como o verso </w:t>
      </w:r>
      <w:hyperlink r:id="rId3296">
        <w:r>
          <w:rPr>
            <w:color w:val="0000EE"/>
            <w:u w:val="single"/>
          </w:rPr>
          <w:t>26</w:t>
        </w:r>
      </w:hyperlink>
      <w:r>
        <w:t xml:space="preserve"> afirma). Os talentos escavados pesam entre 29,5 a 36,3 quilos. No AT, o talento é usado apenas para metais preciosos, geralmente prata ou ouro. De acordo com </w:t>
      </w:r>
      <w:hyperlink r:id="rId14508">
        <w:r>
          <w:rPr>
            <w:color w:val="0000EE"/>
            <w:u w:val="single"/>
          </w:rPr>
          <w:t>1 Reis 10.14</w:t>
        </w:r>
      </w:hyperlink>
      <w:r>
        <w:t>, a renda anual do tributo do reino de Salomão era de 666 talentos, o que aparentemente era considerado bastante exorbitante. Davi legou 100.000 talentos de ouro e 1.000.000 talentos de prata a Salomão para a construção do templo (</w:t>
      </w:r>
      <w:hyperlink r:id="rId17001">
        <w:r>
          <w:rPr>
            <w:color w:val="0000EE"/>
            <w:u w:val="single"/>
          </w:rPr>
          <w:t>1Cr 22.14</w:t>
        </w:r>
      </w:hyperlink>
      <w:r>
        <w:t>).</w:t>
      </w:r>
    </w:p>
    <w:p>
      <w:pPr>
        <w:pStyle w:val="Heading4"/>
      </w:pPr>
      <w:r>
        <w:t>Mina</w:t>
      </w:r>
    </w:p>
    <w:p>
      <w:r/>
      <w:r>
        <w:t xml:space="preserve">No material cananeu de Ugarit, a mina é igual a 50 siclos, enquanto na Babilônia, a mina é igual a 60 siclos. Em </w:t>
      </w:r>
      <w:hyperlink r:id="rId17002">
        <w:r>
          <w:rPr>
            <w:color w:val="0000EE"/>
            <w:u w:val="single"/>
          </w:rPr>
          <w:t>Ezequiel 45.12</w:t>
        </w:r>
      </w:hyperlink>
      <w:r>
        <w:t>, a mina é definida em 60 siclos, mas não está claro se isso representa uma mudança dos padrões anteriores.</w:t>
      </w:r>
    </w:p>
    <w:p>
      <w:pPr>
        <w:pStyle w:val="Heading4"/>
      </w:pPr>
      <w:r>
        <w:t>Siclo</w:t>
      </w:r>
    </w:p>
    <w:p>
      <w:r/>
      <w:r>
        <w:t>O siclo era a unidade básica de peso. Além do siclo regular, havia um siclo “real” (</w:t>
      </w:r>
      <w:hyperlink r:id="rId17003">
        <w:r>
          <w:rPr>
            <w:color w:val="0000EE"/>
            <w:u w:val="single"/>
          </w:rPr>
          <w:t>2Sm 14.26</w:t>
        </w:r>
      </w:hyperlink>
      <w:r>
        <w:t>). Calculando por pesos que foram escavados e encontrados rotulados como “beca” (meio siclo), o siclo foi estimado em cerca de 11,4 gramas.</w:t>
      </w:r>
    </w:p>
    <w:p>
      <w:r/>
      <w:r>
        <w:t>O siclo é usado nas Escrituras quase exclusivamente em contextos que lidam com valor monetário. Seja prata, ouro, cevada ou farinha, a avaliação do siclo dá à mercadoria um valor relativo na economia. As exceções a isso são a armadura e a lança de Golias (</w:t>
      </w:r>
      <w:hyperlink r:id="rId17004">
        <w:r>
          <w:rPr>
            <w:color w:val="0000EE"/>
            <w:u w:val="single"/>
          </w:rPr>
          <w:t>1Sm 17.5–7</w:t>
        </w:r>
      </w:hyperlink>
      <w:r>
        <w:t>), que são descritas em termos de seu peso em siclo.</w:t>
      </w:r>
    </w:p>
    <w:p>
      <w:pPr>
        <w:pStyle w:val="Heading4"/>
      </w:pPr>
      <w:r>
        <w:t>Pim</w:t>
      </w:r>
    </w:p>
    <w:p>
      <w:r/>
      <w:r>
        <w:t xml:space="preserve">A única referência a esta unidade está em </w:t>
      </w:r>
      <w:hyperlink r:id="rId17005">
        <w:r>
          <w:rPr>
            <w:color w:val="0000EE"/>
            <w:u w:val="single"/>
          </w:rPr>
          <w:t>1 Samuel 13.21</w:t>
        </w:r>
      </w:hyperlink>
      <w:r>
        <w:t>, onde é o preço cobrado aos israelitas pelos filisteus por afiar um arado. Os pesos escavados variam de 7,1 a 8,5 gramas, sugerindo que o pim era de dois terços de um siclo.</w:t>
      </w:r>
    </w:p>
    <w:p>
      <w:pPr>
        <w:pStyle w:val="Heading4"/>
      </w:pPr>
      <w:r>
        <w:t>Beca</w:t>
      </w:r>
    </w:p>
    <w:p>
      <w:r/>
      <w:r>
        <w:t xml:space="preserve">Sete pedras inscritas com este rótulo variam em peso de 5,7 a 6,5 gramas. Em </w:t>
      </w:r>
      <w:hyperlink r:id="rId3296">
        <w:r>
          <w:rPr>
            <w:color w:val="0000EE"/>
            <w:u w:val="single"/>
          </w:rPr>
          <w:t>Êxodo 38.26</w:t>
        </w:r>
      </w:hyperlink>
      <w:r>
        <w:t>, é o valor cobrado sobre cada indivíduo pelo imposto do censo. Nesse texto, é o equivalente a meio siclo.</w:t>
      </w:r>
    </w:p>
    <w:p>
      <w:pPr>
        <w:pStyle w:val="Heading4"/>
      </w:pPr>
      <w:r>
        <w:t>Gera</w:t>
      </w:r>
    </w:p>
    <w:p>
      <w:r/>
      <w:r>
        <w:t>Igual a um vigésimo de um siclo, ou 0,6 gramas. O termo é usado cinco vezes (</w:t>
      </w:r>
      <w:hyperlink r:id="rId17006">
        <w:r>
          <w:rPr>
            <w:color w:val="0000EE"/>
            <w:u w:val="single"/>
          </w:rPr>
          <w:t>Êx 30.13</w:t>
        </w:r>
      </w:hyperlink>
      <w:r>
        <w:t xml:space="preserve">; </w:t>
      </w:r>
      <w:hyperlink r:id="rId17007">
        <w:r>
          <w:rPr>
            <w:color w:val="0000EE"/>
            <w:u w:val="single"/>
          </w:rPr>
          <w:t>Lv 27.25</w:t>
        </w:r>
      </w:hyperlink>
      <w:r>
        <w:t xml:space="preserve">; </w:t>
      </w:r>
      <w:hyperlink r:id="rId17008">
        <w:r>
          <w:rPr>
            <w:color w:val="0000EE"/>
            <w:u w:val="single"/>
          </w:rPr>
          <w:t>Nm 3.47</w:t>
        </w:r>
      </w:hyperlink>
      <w:r>
        <w:t xml:space="preserve">; </w:t>
      </w:r>
      <w:hyperlink r:id="rId17009">
        <w:r>
          <w:rPr>
            <w:color w:val="0000EE"/>
            <w:u w:val="single"/>
          </w:rPr>
          <w:t>18.16</w:t>
        </w:r>
      </w:hyperlink>
      <w:r>
        <w:t xml:space="preserve">; </w:t>
      </w:r>
      <w:hyperlink r:id="rId17002">
        <w:r>
          <w:rPr>
            <w:color w:val="0000EE"/>
            <w:u w:val="single"/>
          </w:rPr>
          <w:t>Ez 45.12</w:t>
        </w:r>
      </w:hyperlink>
      <w:r>
        <w:t>) e em cada ocasião é usado para dar um valor ao siclo. Seu uso é estritamente monetário nesses contextos.</w:t>
      </w:r>
    </w:p>
    <w:p>
      <w:pPr>
        <w:pStyle w:val="Heading4"/>
      </w:pPr>
      <w:r>
        <w:t>Litra</w:t>
      </w:r>
    </w:p>
    <w:p>
      <w:r/>
      <w:r>
        <w:t xml:space="preserve">O NT usa os mesmos pesos que já foram identificados no uso do AT, especialmente o siclo, mina e talento. Há uma unidade adicional usada: a litra, usada em </w:t>
      </w:r>
      <w:hyperlink r:id="rId17010">
        <w:r>
          <w:rPr>
            <w:color w:val="0000EE"/>
            <w:u w:val="single"/>
          </w:rPr>
          <w:t>João 12.3</w:t>
        </w:r>
      </w:hyperlink>
      <w:r>
        <w:t xml:space="preserve"> e </w:t>
      </w:r>
      <w:hyperlink r:id="rId11809">
        <w:r>
          <w:rPr>
            <w:color w:val="0000EE"/>
            <w:u w:val="single"/>
          </w:rPr>
          <w:t>19.39</w:t>
        </w:r>
      </w:hyperlink>
      <w:r>
        <w:t xml:space="preserve"> em relação às especiarias. Na literatura grega, uma litra é de aproximadamente 327 gramas.</w:t>
      </w:r>
    </w:p>
    <w:p>
      <w:pPr>
        <w:pStyle w:val="Heading3"/>
      </w:pPr>
      <w:r>
        <w:t>Medidas lineares no Antigo Testamento</w:t>
      </w:r>
    </w:p>
    <w:p>
      <w:r/>
      <w:r>
        <w:t>As medições de comprimento e profundidade eram geralmente derivadas de uma parte do corpo usada para fazer a medição. A unidade básica era o côvado, e a maioria dos outros estavam relacionados a ele. Medições precisas de distância geográfica estão faltando no AT e foi mais frequentemente declarado em termos do número de dias que levariam para chegar a um destino. A jornada de um único dia provavelmente era de 32 a 40 quilômetros. Um “ritmo” era igual a um “passo” — sobre uma jarda (</w:t>
      </w:r>
      <w:hyperlink r:id="rId17011">
        <w:r>
          <w:rPr>
            <w:color w:val="0000EE"/>
            <w:u w:val="single"/>
          </w:rPr>
          <w:t>2Sm 6.13</w:t>
        </w:r>
      </w:hyperlink>
      <w:r>
        <w:t>).</w:t>
      </w:r>
    </w:p>
    <w:p>
      <w:pPr>
        <w:pStyle w:val="Heading4"/>
      </w:pPr>
      <w:r>
        <w:t>Côvado</w:t>
      </w:r>
    </w:p>
    <w:p>
      <w:r/>
      <w:r>
        <w:t xml:space="preserve">O comprimento da ponta do dedo indicador até o cotovelo. Há tanto côvados longos quanto curtos, usados não apenas em Israel, mas na Mesopotâmia e no Egito também. </w:t>
      </w:r>
      <w:hyperlink r:id="rId17012">
        <w:r>
          <w:rPr>
            <w:color w:val="0000EE"/>
            <w:u w:val="single"/>
          </w:rPr>
          <w:t>Ezequiel 40.5</w:t>
        </w:r>
      </w:hyperlink>
      <w:r>
        <w:t xml:space="preserve"> identifica o côvado longo como sendo o equivalente de um côvado mais uma largura de mão (cerca de 50,8 a 53,3 centímetros). A inscrição encontrada dentro do túnel de Siloé construído por Ezequias (715–686 a.C.) indica que o túnel tem 1.200 côvados de comprimento. O comprimento real do túnel foi determinado como sendo de 533,1 metros. Isso produziria um côvado de 44,4 centímetros. Todas as coisas consideradas, 44,5 centímetros é uma boa estimativa do comprimento do côvado em Israel. Isso definiria o côvado longo em aproximadamente 52 centímetros. O côvado era mais frequentemente usado para dar as dimensões de edifícios ou objetos (p. ex., cortinas, pilares, peças de mobiliário, etc.). A maior estrutura medida em côvados era a arca que Noé construiu, com 300 côvados de comprimento (</w:t>
      </w:r>
      <w:hyperlink r:id="rId17013">
        <w:r>
          <w:rPr>
            <w:color w:val="0000EE"/>
            <w:u w:val="single"/>
          </w:rPr>
          <w:t>Gn 6.15</w:t>
        </w:r>
      </w:hyperlink>
      <w:r>
        <w:t>).</w:t>
      </w:r>
    </w:p>
    <w:p>
      <w:pPr>
        <w:pStyle w:val="Heading4"/>
      </w:pPr>
      <w:r>
        <w:t>Palmo</w:t>
      </w:r>
    </w:p>
    <w:p>
      <w:r/>
      <w:r>
        <w:t>A distância medida pelo esticar da mão da ponta do dedo à ponta do dedo, igual a meio côvado, ou 22,2 centímetros. É usado apenas sete vezes no AT, e quatro dessas são para descrever as dimensões do peitoral do sumo sacerdote (</w:t>
      </w:r>
      <w:hyperlink r:id="rId17014">
        <w:r>
          <w:rPr>
            <w:color w:val="0000EE"/>
            <w:u w:val="single"/>
          </w:rPr>
          <w:t>Êx 28.15–16</w:t>
        </w:r>
      </w:hyperlink>
      <w:r>
        <w:t xml:space="preserve">; </w:t>
      </w:r>
      <w:hyperlink r:id="rId17015">
        <w:r>
          <w:rPr>
            <w:color w:val="0000EE"/>
            <w:u w:val="single"/>
          </w:rPr>
          <w:t>39.8–9</w:t>
        </w:r>
      </w:hyperlink>
      <w:r>
        <w:t>).</w:t>
      </w:r>
    </w:p>
    <w:p>
      <w:pPr>
        <w:pStyle w:val="Heading4"/>
      </w:pPr>
      <w:r>
        <w:t>Largura de mão</w:t>
      </w:r>
    </w:p>
    <w:p>
      <w:r/>
      <w:r>
        <w:t>A largura da mão na base, igual a um sexto de um côvado, um terço de um palmo, ou 7,6 centímetros. O termo é usado apenas cinco vezes e dá a largura da borda em torno da mesa dos pães da proposição (</w:t>
      </w:r>
      <w:hyperlink r:id="rId17016">
        <w:r>
          <w:rPr>
            <w:color w:val="0000EE"/>
            <w:u w:val="single"/>
          </w:rPr>
          <w:t>Êx 25.25</w:t>
        </w:r>
      </w:hyperlink>
      <w:r>
        <w:t>) e do mar de fundição de Salomão (</w:t>
      </w:r>
      <w:hyperlink r:id="rId17017">
        <w:r>
          <w:rPr>
            <w:color w:val="0000EE"/>
            <w:u w:val="single"/>
          </w:rPr>
          <w:t>1Rs 7.26</w:t>
        </w:r>
      </w:hyperlink>
      <w:r>
        <w:t>).</w:t>
      </w:r>
    </w:p>
    <w:p>
      <w:pPr>
        <w:pStyle w:val="Heading3"/>
      </w:pPr>
      <w:r>
        <w:t>Medidas lineares no Novo Testamento</w:t>
      </w:r>
    </w:p>
    <w:p>
      <w:r/>
      <w:r>
        <w:t>No NT, algumas das unidades de comprimento e profundidade representam os padrões greco-romanos, enquanto outras são aquelas usadas no AT. Como o AT, o NT frequentemente usa designações imprecisas para distância, como um lançamento de pedra ou uma jornada de um dia. Há, no entanto, algumas ocorrências de termos precisos emprestados da cultura romana.</w:t>
      </w:r>
    </w:p>
    <w:p>
      <w:pPr>
        <w:pStyle w:val="Heading4"/>
      </w:pPr>
      <w:r>
        <w:t>Côvado</w:t>
      </w:r>
    </w:p>
    <w:p>
      <w:r/>
      <w:r>
        <w:t>Para os romanos, o côvado foi estabelecido em uma vez e meia o seu pé padrão de 29,6 centímetros, equivalendo a 44,5 centímetros, assim como o côvado do AT.</w:t>
      </w:r>
    </w:p>
    <w:p>
      <w:pPr>
        <w:pStyle w:val="Heading4"/>
      </w:pPr>
      <w:r>
        <w:t>Braça</w:t>
      </w:r>
    </w:p>
    <w:p>
      <w:r/>
      <w:r>
        <w:t xml:space="preserve">A distância entre as pontas dos dedos da mão esquerda e da direita quando os braços estavam estendidos. É usado apenas em </w:t>
      </w:r>
      <w:hyperlink r:id="rId3871">
        <w:r>
          <w:rPr>
            <w:color w:val="0000EE"/>
            <w:u w:val="single"/>
          </w:rPr>
          <w:t>Atos 27.28</w:t>
        </w:r>
      </w:hyperlink>
      <w:r>
        <w:t xml:space="preserve"> e é considerado cerca de 1,8 metros.</w:t>
      </w:r>
    </w:p>
    <w:p>
      <w:pPr>
        <w:pStyle w:val="Heading4"/>
      </w:pPr>
      <w:r>
        <w:t>Estádio/Campo de esporte</w:t>
      </w:r>
    </w:p>
    <w:p>
      <w:r/>
      <w:r>
        <w:t xml:space="preserve">O comprimento da antiga pista grega, igual a um oitavo de uma milha romana, ou um pouco mais de 183 metros. Geralmente é usado para dar uma distância aproximada, mas em </w:t>
      </w:r>
      <w:hyperlink r:id="rId2156">
        <w:r>
          <w:rPr>
            <w:color w:val="0000EE"/>
            <w:u w:val="single"/>
          </w:rPr>
          <w:t>Apocalipse 21.16</w:t>
        </w:r>
      </w:hyperlink>
      <w:r>
        <w:t xml:space="preserve"> é usado para dar as dimensões da Nova Jerusalém e é medido com uma vara de medição.</w:t>
      </w:r>
    </w:p>
    <w:p>
      <w:pPr>
        <w:pStyle w:val="Heading4"/>
      </w:pPr>
      <w:r>
        <w:t>Milha</w:t>
      </w:r>
    </w:p>
    <w:p>
      <w:r/>
      <w:r>
        <w:t xml:space="preserve">A única ocorrência deste termo, </w:t>
      </w:r>
      <w:hyperlink r:id="rId17018">
        <w:r>
          <w:rPr>
            <w:color w:val="0000EE"/>
            <w:u w:val="single"/>
          </w:rPr>
          <w:t>Mateus 5.41</w:t>
        </w:r>
      </w:hyperlink>
      <w:r>
        <w:t>, tem referência à milha romana de 1.620 jardas, cerca de 1,4 quilômetros.</w:t>
      </w:r>
    </w:p>
    <w:p>
      <w:pPr>
        <w:pStyle w:val="Heading3"/>
      </w:pPr>
      <w:r>
        <w:t>Capacidade (medida seca) no Antigo Testamento</w:t>
      </w:r>
    </w:p>
    <w:p>
      <w:r/>
      <w:r>
        <w:t>Quantidades de produtos secos eram orientadas para questões práticas, como cargas típicas de jumentos, quanta semente poderia ser semeada em um dia, ou quanta semente seria necessária para semear uma uma porção de determinado tamanho. Tal como acontece com os outros tipos de medidas, essas então se tornaram padronizadas.</w:t>
      </w:r>
    </w:p>
    <w:p>
      <w:pPr>
        <w:pStyle w:val="Heading4"/>
      </w:pPr>
      <w:r>
        <w:t>Coro/Ômer</w:t>
      </w:r>
    </w:p>
    <w:p>
      <w:r/>
      <w:r>
        <w:t xml:space="preserve">A medida de mercadoria seca mais comum e o equivalente a uma carga de jumento. As estimativas de seu tamanho padrão variam muito, variando de 3,8 alqueires a 7,5 alqueires (133,9 a 264,3 litros). Além das sete ocorrências em </w:t>
      </w:r>
      <w:hyperlink r:id="rId17019">
        <w:r>
          <w:rPr>
            <w:color w:val="0000EE"/>
            <w:u w:val="single"/>
          </w:rPr>
          <w:t>Ezequiel 45.11–14</w:t>
        </w:r>
      </w:hyperlink>
      <w:r>
        <w:t>, o termo ocorre apenas quatro vezes no AT. Três desses contextos apresentam semente ou cevada (</w:t>
      </w:r>
      <w:hyperlink r:id="rId7173">
        <w:r>
          <w:rPr>
            <w:color w:val="0000EE"/>
            <w:u w:val="single"/>
          </w:rPr>
          <w:t>Lv 27.16</w:t>
        </w:r>
      </w:hyperlink>
      <w:r>
        <w:t xml:space="preserve">; </w:t>
      </w:r>
      <w:hyperlink r:id="rId17020">
        <w:r>
          <w:rPr>
            <w:color w:val="0000EE"/>
            <w:u w:val="single"/>
          </w:rPr>
          <w:t>Is 5.10</w:t>
        </w:r>
      </w:hyperlink>
      <w:r>
        <w:t xml:space="preserve">; </w:t>
      </w:r>
      <w:hyperlink r:id="rId16009">
        <w:r>
          <w:rPr>
            <w:color w:val="0000EE"/>
            <w:u w:val="single"/>
          </w:rPr>
          <w:t>Os 3.2</w:t>
        </w:r>
      </w:hyperlink>
      <w:r>
        <w:t>), enquanto o quarto está no contexto dos israelitas reunindo codornas no deserto. Um coro é usado nove vezes e ocorre com uma variedade de mercadorias, incluindo óleo, farinha, trigo e cevada, em múltiplos até 20.000 (</w:t>
      </w:r>
      <w:hyperlink r:id="rId7163">
        <w:r>
          <w:rPr>
            <w:color w:val="0000EE"/>
            <w:u w:val="single"/>
          </w:rPr>
          <w:t>1Rs 5.11</w:t>
        </w:r>
      </w:hyperlink>
      <w:r>
        <w:t>).</w:t>
      </w:r>
    </w:p>
    <w:p>
      <w:pPr>
        <w:pStyle w:val="Heading4"/>
      </w:pPr>
      <w:r>
        <w:t>Lethek</w:t>
      </w:r>
    </w:p>
    <w:p>
      <w:r/>
      <w:r>
        <w:t xml:space="preserve">Unidade ocorrendo apenas em </w:t>
      </w:r>
      <w:hyperlink r:id="rId16009">
        <w:r>
          <w:rPr>
            <w:color w:val="0000EE"/>
            <w:u w:val="single"/>
          </w:rPr>
          <w:t>Oseias 3.2</w:t>
        </w:r>
      </w:hyperlink>
      <w:r>
        <w:t>. As primeiras versões da Bíblia a identificaram como metade de um coro, ou ômer.</w:t>
      </w:r>
    </w:p>
    <w:p>
      <w:pPr>
        <w:pStyle w:val="Heading4"/>
      </w:pPr>
      <w:r>
        <w:t>Efa</w:t>
      </w:r>
    </w:p>
    <w:p>
      <w:r/>
      <w:r>
        <w:t>Isso é igual a um décimo de um ômer (</w:t>
      </w:r>
      <w:hyperlink r:id="rId15742">
        <w:r>
          <w:rPr>
            <w:color w:val="0000EE"/>
            <w:u w:val="single"/>
          </w:rPr>
          <w:t>Ez 45.11</w:t>
        </w:r>
      </w:hyperlink>
      <w:r>
        <w:t xml:space="preserve">), ou metade de um alqueire (17,6 litros). O termo ocorre dezenas de vezes com todos os tipos de produtos agrícolas. Parece ter sido a unidade mais usada na negociação e venda. De acordo com </w:t>
      </w:r>
      <w:hyperlink r:id="rId17021">
        <w:r>
          <w:rPr>
            <w:color w:val="0000EE"/>
            <w:u w:val="single"/>
          </w:rPr>
          <w:t>Zacarias 5.6–10</w:t>
        </w:r>
      </w:hyperlink>
      <w:r>
        <w:t>, o efa se refere a um recipiente que conteria um efa de produtos, muito parecido com a cesta de alqueire dos dias modernos.</w:t>
      </w:r>
    </w:p>
    <w:p>
      <w:pPr>
        <w:pStyle w:val="Heading4"/>
      </w:pPr>
      <w:r>
        <w:t>Seá</w:t>
      </w:r>
    </w:p>
    <w:p>
      <w:r/>
      <w:r>
        <w:t>Uma fração do ômer, que tem uma gama muito ampla. O termo mede farinha, semente, cevada e grãos, e é aproximadamente um terço de uma efa. Um alqueire era cerca de cinco seás (</w:t>
      </w:r>
      <w:hyperlink r:id="rId1623">
        <w:r>
          <w:rPr>
            <w:color w:val="0000EE"/>
            <w:u w:val="single"/>
          </w:rPr>
          <w:t>1Sm 25.18</w:t>
        </w:r>
      </w:hyperlink>
      <w:r>
        <w:t>, há uma explicação sobre a medida do seá numa nota de rodapé da Bíblia NVI).</w:t>
      </w:r>
    </w:p>
    <w:p>
      <w:pPr>
        <w:pStyle w:val="Heading4"/>
      </w:pPr>
      <w:r>
        <w:t>Ômer/Issaron</w:t>
      </w:r>
    </w:p>
    <w:p>
      <w:r/>
      <w:r>
        <w:t>O ômer ocorre apenas no relato da coleta do maná pelos israelitas (</w:t>
      </w:r>
      <w:hyperlink r:id="rId17022">
        <w:r>
          <w:rPr>
            <w:color w:val="0000EE"/>
            <w:u w:val="single"/>
          </w:rPr>
          <w:t>Êx 16.22</w:t>
        </w:r>
      </w:hyperlink>
      <w:r>
        <w:t>). Representa a ração de um dia de maná e é identificado como um décimo de uma efa (</w:t>
      </w:r>
      <w:hyperlink r:id="rId17023">
        <w:r>
          <w:rPr>
            <w:color w:val="0000EE"/>
            <w:u w:val="single"/>
          </w:rPr>
          <w:t>Êx 16.36</w:t>
        </w:r>
      </w:hyperlink>
      <w:r>
        <w:t xml:space="preserve">). O issaron é um termo que significa um décimo. Suas 25 ocorrências estão todas em Êxodo, Levítico e Números (principalmente em </w:t>
      </w:r>
      <w:hyperlink r:id="rId15611">
        <w:r>
          <w:rPr>
            <w:color w:val="0000EE"/>
            <w:u w:val="single"/>
          </w:rPr>
          <w:t>Nm 28–29</w:t>
        </w:r>
      </w:hyperlink>
      <w:r>
        <w:t>); se refere apenas a medidas de farinha fina.</w:t>
      </w:r>
    </w:p>
    <w:p>
      <w:pPr>
        <w:pStyle w:val="Heading4"/>
      </w:pPr>
      <w:r>
        <w:t>Cabo, Kab</w:t>
      </w:r>
    </w:p>
    <w:p>
      <w:r/>
      <w:r>
        <w:t xml:space="preserve">Esta unidade ocorre apenas em </w:t>
      </w:r>
      <w:hyperlink r:id="rId5201">
        <w:r>
          <w:rPr>
            <w:color w:val="0000EE"/>
            <w:u w:val="single"/>
          </w:rPr>
          <w:t>2 Reis 6.25</w:t>
        </w:r>
      </w:hyperlink>
      <w:r>
        <w:t>. A estimativa dada por Josefo, um décimo oitavo de uma efa (ou cerca de metade de um ômer), é geralmente aceita.</w:t>
      </w:r>
    </w:p>
    <w:p>
      <w:pPr>
        <w:pStyle w:val="Heading3"/>
      </w:pPr>
      <w:r>
        <w:t>Capacidade (medida seca) no Novo Testamento</w:t>
      </w:r>
    </w:p>
    <w:p>
      <w:r/>
      <w:r>
        <w:t>As seguintes medidas secas são usadas no NT.</w:t>
      </w:r>
    </w:p>
    <w:p>
      <w:pPr>
        <w:pStyle w:val="Heading4"/>
      </w:pPr>
      <w:r>
        <w:t>Choinix</w:t>
      </w:r>
    </w:p>
    <w:p>
      <w:r/>
      <w:r>
        <w:t xml:space="preserve">Ocorrendo apenas em </w:t>
      </w:r>
      <w:hyperlink r:id="rId2993">
        <w:r>
          <w:rPr>
            <w:color w:val="0000EE"/>
            <w:u w:val="single"/>
          </w:rPr>
          <w:t>Apocalipse 6.6</w:t>
        </w:r>
      </w:hyperlink>
      <w:r>
        <w:t xml:space="preserve"> (essa explicação está numa nota de rodapé da Bíblia NLT, em inglês), o choinix é um pouco mais do que um litro. Na literatura grega, era considerada a quantidade diária de milho de um homem.</w:t>
      </w:r>
    </w:p>
    <w:p>
      <w:pPr>
        <w:pStyle w:val="Heading4"/>
      </w:pPr>
      <w:r>
        <w:t>Modios</w:t>
      </w:r>
    </w:p>
    <w:p>
      <w:r/>
      <w:r>
        <w:t>Este é o “alqueire” sob o qual a lâmpada não deve ser escondida (</w:t>
      </w:r>
      <w:hyperlink r:id="rId3875">
        <w:r>
          <w:rPr>
            <w:color w:val="0000EE"/>
            <w:u w:val="single"/>
          </w:rPr>
          <w:t>Mt 5.15</w:t>
        </w:r>
      </w:hyperlink>
      <w:r>
        <w:t xml:space="preserve">; </w:t>
      </w:r>
      <w:hyperlink r:id="rId3876">
        <w:r>
          <w:rPr>
            <w:color w:val="0000EE"/>
            <w:u w:val="single"/>
          </w:rPr>
          <w:t>Mc 4.21</w:t>
        </w:r>
      </w:hyperlink>
      <w:r>
        <w:t xml:space="preserve">; </w:t>
      </w:r>
      <w:hyperlink r:id="rId3877">
        <w:r>
          <w:rPr>
            <w:color w:val="0000EE"/>
            <w:u w:val="single"/>
          </w:rPr>
          <w:t>Lc 11.33</w:t>
        </w:r>
      </w:hyperlink>
      <w:r>
        <w:t>). É na verdade igual a cerca de um peck, 7,68 quartos secos (8,5 litros).</w:t>
      </w:r>
    </w:p>
    <w:p>
      <w:pPr>
        <w:pStyle w:val="Heading4"/>
      </w:pPr>
      <w:r>
        <w:t>Sato</w:t>
      </w:r>
    </w:p>
    <w:p>
      <w:r/>
      <w:r>
        <w:t>Este é o equivalente do AT seá e pode, portanto, também ser aproximado por cerca de um peck. É usado apenas duas vezes no NT em passagens paralelas da parábola do fermento, que é como o reino de Deus (</w:t>
      </w:r>
      <w:hyperlink r:id="rId9212">
        <w:r>
          <w:rPr>
            <w:color w:val="0000EE"/>
            <w:u w:val="single"/>
          </w:rPr>
          <w:t>Mt 13.33</w:t>
        </w:r>
      </w:hyperlink>
      <w:r>
        <w:t xml:space="preserve">; </w:t>
      </w:r>
      <w:hyperlink r:id="rId17024">
        <w:r>
          <w:rPr>
            <w:color w:val="0000EE"/>
            <w:u w:val="single"/>
          </w:rPr>
          <w:t>Lc 13.21</w:t>
        </w:r>
      </w:hyperlink>
      <w:r>
        <w:t>).</w:t>
      </w:r>
    </w:p>
    <w:p>
      <w:pPr>
        <w:pStyle w:val="Heading3"/>
      </w:pPr>
      <w:r>
        <w:t>Medidas líquidas no Antigo Testamento</w:t>
      </w:r>
    </w:p>
    <w:p>
      <w:r/>
      <w:r>
        <w:t>Três medidas básicas foram usadas para líquidos no AT.</w:t>
      </w:r>
    </w:p>
    <w:p>
      <w:pPr>
        <w:pStyle w:val="Heading4"/>
      </w:pPr>
      <w:r>
        <w:t>Bato</w:t>
      </w:r>
    </w:p>
    <w:p>
      <w:r/>
      <w:r>
        <w:t>A unidade básica para a medição de líquidos. Os dados bíblicos (</w:t>
      </w:r>
      <w:hyperlink r:id="rId17019">
        <w:r>
          <w:rPr>
            <w:color w:val="0000EE"/>
            <w:u w:val="single"/>
          </w:rPr>
          <w:t>Ez 45.11–14</w:t>
        </w:r>
      </w:hyperlink>
      <w:r>
        <w:t xml:space="preserve">) definem-no como o equivalente líquido à medida seca, o efa. É um décimo de um ômer. A arqueologia também foi capaz de fornecer alguns dados para esta determinação. Os frascos inscritos como “bato do rei” foram encontrados em Laquis, e Tell en-Nasbeh, e frascos marcados “bato” foram encontrados em Tell Beit Mirsim. Os frascos não estão completos, então sua capacidade deve ser estimada com base em uma reconstrução. Usando estes dados, o bato era de aproximadamente 20,8 litros. Esta estimativa forneceria resultados aceitáveis quando considerada nas informações dadas em </w:t>
      </w:r>
      <w:hyperlink r:id="rId17025">
        <w:r>
          <w:rPr>
            <w:color w:val="0000EE"/>
            <w:u w:val="single"/>
          </w:rPr>
          <w:t>1 Reis 7.23–26</w:t>
        </w:r>
      </w:hyperlink>
      <w:r>
        <w:t>, onde o “mar de fundição” do templo de Salomão é descrito como tendo 30 côvados em circunferência, 10 côvados de diâmetro, 5 côvados de profundidade e capaz de conter 2.000 batos de água.</w:t>
      </w:r>
    </w:p>
    <w:p>
      <w:pPr>
        <w:pStyle w:val="Heading4"/>
      </w:pPr>
      <w:r>
        <w:t>Him</w:t>
      </w:r>
    </w:p>
    <w:p>
      <w:r/>
      <w:r>
        <w:t>Um sexto de um him de água era considerado o requisito diário mínimo de uma pessoa (</w:t>
      </w:r>
      <w:hyperlink r:id="rId17026">
        <w:r>
          <w:rPr>
            <w:color w:val="0000EE"/>
            <w:u w:val="single"/>
          </w:rPr>
          <w:t>Ez 4.11</w:t>
        </w:r>
      </w:hyperlink>
      <w:r>
        <w:t>). Um him é igual a um sexto de um bato, aproximadamente 3,8 litros. É usado para uma medida de óleo, vinho e água, mas nenhum contexto menciona mais de um him. Em vez disso, frações de um him são usadas. As ocorrências são limitadas a Êxodo, Levítico, Números e Ezequiel e, portanto, são mais comumente atestadas no contexto de libações sacrificiais.</w:t>
      </w:r>
    </w:p>
    <w:p>
      <w:pPr>
        <w:pStyle w:val="Heading4"/>
      </w:pPr>
      <w:r>
        <w:t>Logue</w:t>
      </w:r>
    </w:p>
    <w:p>
      <w:r/>
      <w:r>
        <w:t xml:space="preserve">Esta unidade ocorre apenas em </w:t>
      </w:r>
      <w:hyperlink r:id="rId17027">
        <w:r>
          <w:rPr>
            <w:color w:val="0000EE"/>
            <w:u w:val="single"/>
          </w:rPr>
          <w:t>Levítico 14.10–24</w:t>
        </w:r>
      </w:hyperlink>
      <w:r>
        <w:t xml:space="preserve"> e é igual a um duodécimo de um him, então cerca de 0,3 quarto ou 0,3 litro.</w:t>
      </w:r>
    </w:p>
    <w:p>
      <w:pPr>
        <w:pStyle w:val="Heading3"/>
      </w:pPr>
      <w:r>
        <w:t>Medidas líquidas no Novo Testamento</w:t>
      </w:r>
    </w:p>
    <w:p>
      <w:r/>
      <w:r>
        <w:t>As seguintes medidas líquidas ocorrem no NT.</w:t>
      </w:r>
    </w:p>
    <w:p>
      <w:pPr>
        <w:pStyle w:val="Heading4"/>
      </w:pPr>
      <w:r>
        <w:t>Bato</w:t>
      </w:r>
    </w:p>
    <w:p>
      <w:r/>
      <w:r>
        <w:t>Isso é usado apenas uma vez (</w:t>
      </w:r>
      <w:hyperlink r:id="rId17028">
        <w:r>
          <w:rPr>
            <w:color w:val="0000EE"/>
            <w:u w:val="single"/>
          </w:rPr>
          <w:t>Lc 16.6</w:t>
        </w:r>
      </w:hyperlink>
      <w:r>
        <w:t>) e é o mesmo que o bato do AT.</w:t>
      </w:r>
    </w:p>
    <w:p>
      <w:pPr>
        <w:pStyle w:val="Heading4"/>
      </w:pPr>
      <w:r>
        <w:t>Metretas</w:t>
      </w:r>
    </w:p>
    <w:p>
      <w:r/>
      <w:r>
        <w:t xml:space="preserve">Isso é usado apenas em </w:t>
      </w:r>
      <w:hyperlink r:id="rId14443">
        <w:r>
          <w:rPr>
            <w:color w:val="0000EE"/>
            <w:u w:val="single"/>
          </w:rPr>
          <w:t>João 2.6</w:t>
        </w:r>
      </w:hyperlink>
      <w:r>
        <w:t>, onde descreve os recipientes nos quais a água foi transformada em vinho. Josefo o identifica como equivalente a um bato hebraico, mas no uso grego, era o equivalente a cerca de dez galões (37,9 litros).</w:t>
      </w:r>
    </w:p>
    <w:p>
      <w:pPr>
        <w:pStyle w:val="Heading4"/>
      </w:pPr>
      <w:r>
        <w:t>Sextarius/Xestes</w:t>
      </w:r>
    </w:p>
    <w:p>
      <w:r/>
      <w:r>
        <w:t xml:space="preserve">Uma medida de capacidade igual a cerca de 552 mililitros. Em </w:t>
      </w:r>
      <w:hyperlink r:id="rId14265">
        <w:r>
          <w:rPr>
            <w:color w:val="0000EE"/>
            <w:u w:val="single"/>
          </w:rPr>
          <w:t>Marcos 7.4</w:t>
        </w:r>
      </w:hyperlink>
      <w:r>
        <w:t>, a palavra é traduzida como “jarra” ou “vaso”.</w:t>
      </w:r>
      <w:r/>
      <w:r/>
    </w:p>
    <w:p>
      <w:r/>
    </w:p>
    <w:p>
      <w:pPr>
        <w:pStyle w:val="Heading2"/>
      </w:pPr>
      <w:r>
        <w:t>Peste</w:t>
      </w:r>
      <w:r/>
    </w:p>
    <w:p>
      <w:r/>
      <w:r>
        <w:t>Uma variação de uma palavra hebraica para uma praga mortal que se espalha facilmente. A peste nunca é retratada na Bíblia como um evento aleatório. É sempre considerada um julgamento ou punição enviada por Deus.</w:t>
      </w:r>
    </w:p>
    <w:p>
      <w:pPr>
        <w:pStyle w:val="Heading3"/>
      </w:pPr>
      <w:r>
        <w:t>Peste no Antigo Testamento</w:t>
      </w:r>
    </w:p>
    <w:p>
      <w:r/>
      <w:r>
        <w:t>A peste era um castigo pela negligência de Israel em relação ao seu pacto (</w:t>
      </w:r>
      <w:hyperlink r:id="rId17029">
        <w:r>
          <w:rPr>
            <w:color w:val="0000EE"/>
            <w:u w:val="single"/>
          </w:rPr>
          <w:t>Lv 26.25</w:t>
        </w:r>
      </w:hyperlink>
      <w:r>
        <w:t xml:space="preserve">; </w:t>
      </w:r>
      <w:hyperlink r:id="rId17030">
        <w:r>
          <w:rPr>
            <w:color w:val="0000EE"/>
            <w:u w:val="single"/>
          </w:rPr>
          <w:t>Dt 28.21</w:t>
        </w:r>
      </w:hyperlink>
      <w:r>
        <w:t>). Esta é a razão para o uso frequente da palavra por ambos, Jeremias e Ezequiel. Esses profetas estavam processando a ação judicial da aliança de Deus contra seu povo. A sentença havia sido determinada, e eles anunciaram que sua aplicação estava iminente. Por essa razão, a peste quase sempre aparece como parte de uma lista de pragas, como a fórmula “espada, fome e pestilência” usada ao longo da profecia de Jeremias em algumas traduções (</w:t>
      </w:r>
      <w:hyperlink r:id="rId9603">
        <w:r>
          <w:rPr>
            <w:color w:val="0000EE"/>
            <w:u w:val="single"/>
          </w:rPr>
          <w:t>Jr 14.12</w:t>
        </w:r>
      </w:hyperlink>
      <w:r>
        <w:t xml:space="preserve"> e outros versículos). A peste pune o pecado. Assim, ela não atinge a todos. Aquele que permanece fiel será protegido de seus efeitos (</w:t>
      </w:r>
      <w:hyperlink r:id="rId17031">
        <w:r>
          <w:rPr>
            <w:color w:val="0000EE"/>
            <w:u w:val="single"/>
          </w:rPr>
          <w:t>Sl 91.1–3</w:t>
        </w:r>
      </w:hyperlink>
      <w:r>
        <w:t>). Os inimigos de Israel também poderiam ser objetos dessa forma de julgamento (</w:t>
      </w:r>
      <w:hyperlink r:id="rId17032">
        <w:r>
          <w:rPr>
            <w:color w:val="0000EE"/>
            <w:u w:val="single"/>
          </w:rPr>
          <w:t>Sl 78.50</w:t>
        </w:r>
      </w:hyperlink>
      <w:r>
        <w:t xml:space="preserve">; </w:t>
      </w:r>
      <w:hyperlink r:id="rId17033">
        <w:r>
          <w:rPr>
            <w:color w:val="0000EE"/>
            <w:u w:val="single"/>
          </w:rPr>
          <w:t>Ez 28.23</w:t>
        </w:r>
      </w:hyperlink>
      <w:r>
        <w:t xml:space="preserve">; </w:t>
      </w:r>
      <w:hyperlink r:id="rId8090">
        <w:r>
          <w:rPr>
            <w:color w:val="0000EE"/>
            <w:u w:val="single"/>
          </w:rPr>
          <w:t>38.22</w:t>
        </w:r>
      </w:hyperlink>
      <w:r>
        <w:t>).</w:t>
      </w:r>
    </w:p>
    <w:p>
      <w:pPr>
        <w:pStyle w:val="Heading4"/>
      </w:pPr>
      <w:r>
        <w:t>Diferenças entre peste e praga</w:t>
      </w:r>
    </w:p>
    <w:p>
      <w:r/>
      <w:r>
        <w:t>Peste não é idêntica à praga no Antigo Testamento. "Praga" muitas vezes se refere a doenças como:</w:t>
      </w:r>
    </w:p>
    <w:p>
      <w:pPr>
        <w:pStyle w:val="ListBullet"/>
        <w:spacing w:line="240" w:lineRule="auto"/>
        <w:ind w:left="720"/>
      </w:pPr>
      <w:r/>
      <w:r>
        <w:t>Praga bubônica</w:t>
      </w:r>
    </w:p>
    <w:p>
      <w:pPr>
        <w:pStyle w:val="ListBullet"/>
        <w:spacing w:line="240" w:lineRule="auto"/>
        <w:ind w:left="720"/>
      </w:pPr>
      <w:r/>
      <w:r>
        <w:t>Sarampo</w:t>
      </w:r>
    </w:p>
    <w:p>
      <w:pPr>
        <w:pStyle w:val="ListBullet"/>
        <w:spacing w:line="240" w:lineRule="auto"/>
        <w:ind w:left="720"/>
      </w:pPr>
      <w:r/>
      <w:r>
        <w:t>Varíola</w:t>
      </w:r>
    </w:p>
    <w:p>
      <w:r/>
      <w:r>
        <w:t>"Peste" pode se referir a:</w:t>
      </w:r>
    </w:p>
    <w:p>
      <w:pPr>
        <w:pStyle w:val="ListBullet"/>
        <w:spacing w:line="240" w:lineRule="auto"/>
        <w:ind w:left="720"/>
      </w:pPr>
      <w:r/>
      <w:r>
        <w:t>Cólera</w:t>
      </w:r>
    </w:p>
    <w:p>
      <w:pPr>
        <w:pStyle w:val="ListBullet"/>
        <w:spacing w:line="240" w:lineRule="auto"/>
        <w:ind w:left="720"/>
      </w:pPr>
      <w:r/>
      <w:r>
        <w:t>Tifo</w:t>
      </w:r>
    </w:p>
    <w:p>
      <w:pPr>
        <w:pStyle w:val="ListBullet"/>
        <w:spacing w:line="240" w:lineRule="auto"/>
        <w:ind w:left="720"/>
      </w:pPr>
      <w:r/>
      <w:r>
        <w:t>Tifoide</w:t>
      </w:r>
    </w:p>
    <w:p>
      <w:pPr>
        <w:pStyle w:val="ListBullet"/>
        <w:spacing w:line="240" w:lineRule="auto"/>
        <w:ind w:left="720"/>
      </w:pPr>
      <w:r/>
      <w:r>
        <w:t>Disenteria</w:t>
      </w:r>
    </w:p>
    <w:p>
      <w:r/>
      <w:r>
        <w:t>Essas doenças frequentemente afligiam uma cidade sob cerco. No entanto, há alguma sobreposição nos termos. Setenta mil israelitas morreram após o censo de Davi. Isso mostra a severidade do castigo divino (</w:t>
      </w:r>
      <w:hyperlink r:id="rId17034">
        <w:r>
          <w:rPr>
            <w:color w:val="0000EE"/>
            <w:u w:val="single"/>
          </w:rPr>
          <w:t>2Sm 24.13–15</w:t>
        </w:r>
      </w:hyperlink>
      <w:r>
        <w:t>).</w:t>
      </w:r>
    </w:p>
    <w:p>
      <w:pPr>
        <w:pStyle w:val="Heading3"/>
      </w:pPr>
      <w:r>
        <w:t>Peste no Novo Testamento</w:t>
      </w:r>
    </w:p>
    <w:p>
      <w:r/>
      <w:r>
        <w:t xml:space="preserve">A palavra grega </w:t>
      </w:r>
      <w:r>
        <w:rPr>
          <w:i/>
        </w:rPr>
        <w:t>loimos</w:t>
      </w:r>
      <w:r>
        <w:t xml:space="preserve"> ocorre três vezes no Novo Testamento. Em </w:t>
      </w:r>
      <w:hyperlink r:id="rId10595">
        <w:r>
          <w:rPr>
            <w:color w:val="0000EE"/>
            <w:u w:val="single"/>
          </w:rPr>
          <w:t>Atos 24.5</w:t>
        </w:r>
      </w:hyperlink>
      <w:r>
        <w:t>, Tértulo usou este termo como uma descrição ofensiva de Paulo: “Descobrimos que este homem é uma peste”. Jesus previu que a destruição do templo seria precedida por vários julgamentos, incluindo peste ou praga (</w:t>
      </w:r>
      <w:hyperlink r:id="rId17035">
        <w:r>
          <w:rPr>
            <w:color w:val="0000EE"/>
            <w:u w:val="single"/>
          </w:rPr>
          <w:t>Lc 21.11</w:t>
        </w:r>
      </w:hyperlink>
      <w:r>
        <w:t>).</w:t>
      </w:r>
    </w:p>
    <w:p>
      <w:r/>
      <w:r>
        <w:rPr>
          <w:i/>
        </w:rPr>
        <w:t>Veja também</w:t>
      </w:r>
      <w:r>
        <w:t xml:space="preserve"> </w:t>
      </w:r>
      <w:r>
        <w:t>Doença</w:t>
      </w:r>
      <w:r>
        <w:t xml:space="preserve">; </w:t>
      </w:r>
      <w:r>
        <w:t>Praga</w:t>
      </w:r>
      <w:r>
        <w:t>.</w:t>
      </w:r>
      <w:r/>
      <w:r/>
    </w:p>
    <w:p>
      <w:r/>
    </w:p>
    <w:p>
      <w:pPr>
        <w:pStyle w:val="Heading2"/>
      </w:pPr>
      <w:r>
        <w:t>Petor</w:t>
      </w:r>
      <w:r/>
    </w:p>
    <w:p>
      <w:r/>
      <w:r>
        <w:t>A cidade natal de Balaão (</w:t>
      </w:r>
      <w:hyperlink r:id="rId1059">
        <w:r>
          <w:rPr>
            <w:color w:val="0000EE"/>
            <w:u w:val="single"/>
          </w:rPr>
          <w:t>Nm 22.5</w:t>
        </w:r>
      </w:hyperlink>
      <w:r>
        <w:t xml:space="preserve">). Petor está na Alta Mesopotâmia, onde os rios Sajur e Eufrates se encontram. </w:t>
      </w:r>
      <w:hyperlink r:id="rId2363">
        <w:r>
          <w:rPr>
            <w:color w:val="0000EE"/>
            <w:u w:val="single"/>
          </w:rPr>
          <w:t>Deuteronômio 23.4</w:t>
        </w:r>
      </w:hyperlink>
      <w:r>
        <w:t xml:space="preserve"> diz que Balaão, filho de Beor, veio de Petor da Mesopotâmia.</w:t>
      </w:r>
    </w:p>
    <w:p>
      <w:r/>
      <w:r>
        <w:t xml:space="preserve">As inscrições do rei Salmanaser III, que governou de 859 a 824 a.C., identificam Petor com </w:t>
      </w:r>
      <w:r>
        <w:rPr>
          <w:i/>
        </w:rPr>
        <w:t>Pi-it/ti-ru</w:t>
      </w:r>
      <w:r>
        <w:t xml:space="preserve"> como um local no rio Sajur. As inscrições hititas (sírios ou arameus) conheciam a cidade como Petor. A área foi inicialmente governada pelos assírios e, posteriormente, pelos arameus. Mais tarde, Salmanaser a recapturou e a repovoou com os assírios.</w:t>
      </w:r>
      <w:r/>
      <w:r/>
    </w:p>
    <w:p>
      <w:r/>
    </w:p>
    <w:p>
      <w:pPr>
        <w:pStyle w:val="Heading2"/>
      </w:pPr>
      <w:r>
        <w:t>Phallu</w:t>
      </w:r>
      <w:r/>
    </w:p>
    <w:p>
      <w:r/>
      <w:r>
        <w:t>Versão alternativa da grafia de Palu, o segundo filho de Rúben (</w:t>
      </w:r>
      <w:hyperlink r:id="rId4258">
        <w:r>
          <w:rPr>
            <w:color w:val="0000EE"/>
            <w:u w:val="single"/>
          </w:rPr>
          <w:t>Gn 46.9</w:t>
        </w:r>
      </w:hyperlink>
      <w:r>
        <w:t>).</w:t>
      </w:r>
    </w:p>
    <w:p>
      <w:r/>
      <w:r>
        <w:rPr>
          <w:i/>
        </w:rPr>
        <w:t>Veja</w:t>
      </w:r>
      <w:r>
        <w:t xml:space="preserve"> </w:t>
      </w:r>
      <w:r>
        <w:t>Palu, paluíta</w:t>
      </w:r>
      <w:r>
        <w:t>.</w:t>
      </w:r>
      <w:r/>
      <w:r/>
    </w:p>
    <w:p>
      <w:r/>
    </w:p>
    <w:p>
      <w:pPr>
        <w:pStyle w:val="Heading2"/>
      </w:pPr>
      <w:r>
        <w:t>Pia</w:t>
      </w:r>
      <w:r/>
    </w:p>
    <w:p>
      <w:r/>
      <w:r>
        <w:t>Uma bacia ou um grande recipiente cheio de água que os sacerdotes usavam para lavar as mãos e os pés antes de entrar no Lugar Santo e antes de servir no altar (</w:t>
      </w:r>
      <w:hyperlink r:id="rId17036">
        <w:r>
          <w:rPr>
            <w:color w:val="0000EE"/>
            <w:u w:val="single"/>
          </w:rPr>
          <w:t>Êx 30.17–21</w:t>
        </w:r>
      </w:hyperlink>
      <w:r>
        <w:t>). No templo de Salomão, uma grande bacia chamada "mar de fundição" ficava entre o altar dos holocaustos no pátio e a entrada do templo interno (</w:t>
      </w:r>
      <w:hyperlink r:id="rId17037">
        <w:r>
          <w:rPr>
            <w:color w:val="0000EE"/>
            <w:u w:val="single"/>
          </w:rPr>
          <w:t>1Rs 7.23</w:t>
        </w:r>
      </w:hyperlink>
      <w:r>
        <w:t>). A bacia era o grande recipiente e o pedestal sobre o qual ela se apoiava (</w:t>
      </w:r>
      <w:hyperlink r:id="rId17038">
        <w:r>
          <w:rPr>
            <w:color w:val="0000EE"/>
            <w:u w:val="single"/>
          </w:rPr>
          <w:t>Êx 30.18</w:t>
        </w:r>
      </w:hyperlink>
      <w:r>
        <w:t>). Era feita de bronze ou latão, fundida e moldada a partir de espelhos de metal altamente polido dados por mulheres israelitas (</w:t>
      </w:r>
      <w:hyperlink r:id="rId8345">
        <w:r>
          <w:rPr>
            <w:color w:val="0000EE"/>
            <w:u w:val="single"/>
          </w:rPr>
          <w:t>Êx 38.8</w:t>
        </w:r>
      </w:hyperlink>
      <w:r>
        <w:t>).</w:t>
      </w:r>
    </w:p>
    <w:p>
      <w:r/>
      <w:r>
        <w:t>No templo de Salomão, além do mar de bronze, havia dez pias menores, cinco em cada lado norte e sul do santuário (</w:t>
      </w:r>
      <w:hyperlink r:id="rId17039">
        <w:r>
          <w:rPr>
            <w:color w:val="0000EE"/>
            <w:u w:val="single"/>
          </w:rPr>
          <w:t>1Rs 7.38–39</w:t>
        </w:r>
      </w:hyperlink>
      <w:r>
        <w:t>). Cada uma continha 40 batos (1.211,2–1.665,4 litros, ou 320–440 galões), um quinquagésimo da capacidade da grande pia. Os sacerdotes usavam o mar de bronze para suas lavagens rituais. As dez pias eram para os sacrifícios (</w:t>
      </w:r>
      <w:hyperlink r:id="rId17040">
        <w:r>
          <w:rPr>
            <w:color w:val="0000EE"/>
            <w:u w:val="single"/>
          </w:rPr>
          <w:t>2Cr 4.6</w:t>
        </w:r>
      </w:hyperlink>
      <w:r>
        <w:t>). Mais tarde, o Rei Acaz, por razões religiosas ou financeiras, separou as pias e o mar de suas bases. Ele os colocou sobre um pedestal de pedra (</w:t>
      </w:r>
      <w:hyperlink r:id="rId17041">
        <w:r>
          <w:rPr>
            <w:color w:val="0000EE"/>
            <w:u w:val="single"/>
          </w:rPr>
          <w:t>2Rs 16.17</w:t>
        </w:r>
      </w:hyperlink>
      <w:r>
        <w:t>). O profeta Jeremias, durante o reinado do Rei Jeoaquim, previu que o mar de bronze e as bases seriam levados para Babilônia (</w:t>
      </w:r>
      <w:hyperlink r:id="rId17042">
        <w:r>
          <w:rPr>
            <w:color w:val="0000EE"/>
            <w:u w:val="single"/>
          </w:rPr>
          <w:t>Jr 27.19–22</w:t>
        </w:r>
      </w:hyperlink>
      <w:r>
        <w:t xml:space="preserve">). Isso de fato aconteceu, conforme registrado em </w:t>
      </w:r>
      <w:hyperlink r:id="rId17043">
        <w:r>
          <w:rPr>
            <w:color w:val="0000EE"/>
            <w:u w:val="single"/>
          </w:rPr>
          <w:t>Jeremias 52.17</w:t>
        </w:r>
      </w:hyperlink>
      <w:r>
        <w:t>. O texto não menciona o que aconteceu com as dez pias pequenas. Elas talvez já tivessem sido derretidas e vendidas.</w:t>
      </w:r>
    </w:p>
    <w:p>
      <w:r/>
      <w:r>
        <w:t>Na descrição do templo futuro por Ezequiel, não há menção de uma bacia ou mar de fundição (</w:t>
      </w:r>
      <w:hyperlink r:id="rId17044">
        <w:r>
          <w:rPr>
            <w:color w:val="0000EE"/>
            <w:u w:val="single"/>
          </w:rPr>
          <w:t>Ez 40–42</w:t>
        </w:r>
      </w:hyperlink>
      <w:r>
        <w:t xml:space="preserve">). No entanto, o apóstolo João em </w:t>
      </w:r>
      <w:hyperlink r:id="rId15337">
        <w:r>
          <w:rPr>
            <w:color w:val="0000EE"/>
            <w:u w:val="single"/>
          </w:rPr>
          <w:t>Apocalipse 4.6</w:t>
        </w:r>
      </w:hyperlink>
      <w:r>
        <w:t xml:space="preserve"> e </w:t>
      </w:r>
      <w:hyperlink r:id="rId17045">
        <w:r>
          <w:rPr>
            <w:color w:val="0000EE"/>
            <w:u w:val="single"/>
          </w:rPr>
          <w:t>15.2</w:t>
        </w:r>
      </w:hyperlink>
      <w:r>
        <w:t xml:space="preserve"> menciona um "mar de vidro". Este "mar de vidro" pode ser semelhante ou lembrar o mar de fundição de Salomão.</w:t>
      </w:r>
    </w:p>
    <w:p>
      <w:r/>
      <w:r>
        <w:rPr>
          <w:i/>
        </w:rPr>
        <w:t>Consulte também</w:t>
      </w:r>
      <w:r>
        <w:t xml:space="preserve"> </w:t>
      </w:r>
      <w:r>
        <w:t>Mar de Bronze</w:t>
      </w:r>
      <w:r>
        <w:t>.</w:t>
      </w:r>
      <w:r/>
      <w:r/>
    </w:p>
    <w:p>
      <w:r/>
    </w:p>
    <w:p>
      <w:pPr>
        <w:pStyle w:val="Heading2"/>
      </w:pPr>
      <w:r>
        <w:t>Piche</w:t>
      </w:r>
      <w:r/>
    </w:p>
    <w:p>
      <w:r/>
      <w:r>
        <w:t xml:space="preserve">O termo "piche" na NTLH em </w:t>
      </w:r>
      <w:hyperlink r:id="rId3516">
        <w:r>
          <w:rPr>
            <w:color w:val="0000EE"/>
            <w:u w:val="single"/>
          </w:rPr>
          <w:t>Gênesis 11.3</w:t>
        </w:r>
      </w:hyperlink>
      <w:r>
        <w:t xml:space="preserve"> e </w:t>
      </w:r>
      <w:hyperlink r:id="rId3517">
        <w:r>
          <w:rPr>
            <w:color w:val="0000EE"/>
            <w:u w:val="single"/>
          </w:rPr>
          <w:t>Êxodo 2.3</w:t>
        </w:r>
      </w:hyperlink>
      <w:r>
        <w:t>.</w:t>
      </w:r>
    </w:p>
    <w:p>
      <w:r/>
      <w:r>
        <w:rPr>
          <w:i/>
        </w:rPr>
        <w:t>Veja</w:t>
      </w:r>
      <w:r>
        <w:t xml:space="preserve"> </w:t>
      </w:r>
      <w:r>
        <w:t>Asfalto</w:t>
      </w:r>
      <w:r>
        <w:t xml:space="preserve">; </w:t>
      </w:r>
      <w:r>
        <w:t>Betume</w:t>
      </w:r>
      <w:r>
        <w:t>.</w:t>
      </w:r>
      <w:r/>
      <w:r/>
    </w:p>
    <w:p>
      <w:r/>
    </w:p>
    <w:p>
      <w:pPr>
        <w:pStyle w:val="Heading2"/>
      </w:pPr>
      <w:r>
        <w:t>Pi-Hairote</w:t>
      </w:r>
      <w:r/>
    </w:p>
    <w:p>
      <w:r/>
      <w:r>
        <w:t>Um lugar onde os israelitas pararam durante sua jornada do Egito para a terra Prometida (</w:t>
      </w:r>
      <w:hyperlink r:id="rId14391">
        <w:r>
          <w:rPr>
            <w:color w:val="0000EE"/>
            <w:u w:val="single"/>
          </w:rPr>
          <w:t>Êx 14.2</w:t>
        </w:r>
      </w:hyperlink>
      <w:r>
        <w:t>). Foi em Pi-Hairote que o exército egípcio os alcançou (</w:t>
      </w:r>
      <w:hyperlink r:id="rId17046">
        <w:r>
          <w:rPr>
            <w:color w:val="0000EE"/>
            <w:u w:val="single"/>
          </w:rPr>
          <w:t>Êx 14.9</w:t>
        </w:r>
      </w:hyperlink>
      <w:r>
        <w:t>). Isso levou ao resgate de Deus no Mar Vermelho. Os israelitas sempre lembraram como Deus os salvou neste lugar.</w:t>
      </w:r>
    </w:p>
    <w:p>
      <w:r/>
      <w:r>
        <w:t>A localização exata de Pi-Hairote não é conhecida com certeza. Baal-Zefom e Migdol também eram lugares próximos mencionados na mesma área. Depois que os israelitas deixaram o Egito, eles primeiro acamparam em Sucote, em Gósen, e depois em Etã (</w:t>
      </w:r>
      <w:hyperlink r:id="rId17047">
        <w:r>
          <w:rPr>
            <w:color w:val="0000EE"/>
            <w:u w:val="single"/>
          </w:rPr>
          <w:t>Nm 33.6</w:t>
        </w:r>
      </w:hyperlink>
      <w:r>
        <w:t>). Após Pi-Hairote, eles viajaram por três dias para chegar a Mara e Elim. Esses lugares ficam provavelmente na costa leste do Golfo de Suez, no caminho para o Sinai.</w:t>
      </w:r>
    </w:p>
    <w:p>
      <w:r/>
      <w:r>
        <w:t xml:space="preserve">Pi-Hairote ficava provavelmente na fronteira nordeste do Egito, possivelmente na margem oeste dos Lagos Amargos. Os israelitas não viajaram pela rota esperada ao norte, chamada Caminho dos Filisteus. Em vez disso, foram para sudeste através do deserto (compare </w:t>
      </w:r>
      <w:hyperlink r:id="rId17048">
        <w:r>
          <w:rPr>
            <w:color w:val="0000EE"/>
            <w:u w:val="single"/>
          </w:rPr>
          <w:t>Êx 13.17–18</w:t>
        </w:r>
      </w:hyperlink>
      <w:r>
        <w:t>). Eventualmente, eles retornaram à antiga estrada egípcia que levava às minas de cobre e turquesa do Sinai.</w:t>
      </w:r>
    </w:p>
    <w:p>
      <w:r/>
      <w:r>
        <w:rPr>
          <w:i/>
        </w:rPr>
        <w:t>Veja também</w:t>
      </w:r>
      <w:r>
        <w:t xml:space="preserve"> </w:t>
      </w:r>
      <w:r>
        <w:t>Peregrinações no deserto</w:t>
      </w:r>
      <w:r>
        <w:t>.</w:t>
      </w:r>
      <w:r/>
      <w:r/>
    </w:p>
    <w:p>
      <w:r/>
    </w:p>
    <w:p>
      <w:pPr>
        <w:pStyle w:val="Heading2"/>
      </w:pPr>
      <w:r>
        <w:t>Pilar De Fogo E Nuvem</w:t>
      </w:r>
      <w:r/>
    </w:p>
    <w:p>
      <w:r/>
      <w:r>
        <w:t>Um dos modos mais frequentes de Deus aparecer aos seres humanos no AT; uma manifestação visual da presença de Deus comum nas narrativas do êxodo, aliança do Sinai, as peregrinações no deserto e a dedicação do templo. A Bíblia se refere a este fenômeno numa variedade de maneiras: o pilar de nuvem e de fogo (</w:t>
      </w:r>
      <w:hyperlink r:id="rId17049">
        <w:r>
          <w:rPr>
            <w:color w:val="0000EE"/>
            <w:u w:val="single"/>
          </w:rPr>
          <w:t>Êx 14.24</w:t>
        </w:r>
      </w:hyperlink>
      <w:r>
        <w:t>); pilar de nuvem (</w:t>
      </w:r>
      <w:hyperlink r:id="rId10988">
        <w:r>
          <w:rPr>
            <w:color w:val="0000EE"/>
            <w:u w:val="single"/>
          </w:rPr>
          <w:t>Êx 33.9–10</w:t>
        </w:r>
      </w:hyperlink>
      <w:r>
        <w:t xml:space="preserve">; </w:t>
      </w:r>
      <w:hyperlink r:id="rId17050">
        <w:r>
          <w:rPr>
            <w:color w:val="0000EE"/>
            <w:u w:val="single"/>
          </w:rPr>
          <w:t>Nm 14.14</w:t>
        </w:r>
      </w:hyperlink>
      <w:r>
        <w:t>); pilar de fogo (</w:t>
      </w:r>
      <w:hyperlink r:id="rId13469">
        <w:r>
          <w:rPr>
            <w:color w:val="0000EE"/>
            <w:u w:val="single"/>
          </w:rPr>
          <w:t>Êx 13.21</w:t>
        </w:r>
      </w:hyperlink>
      <w:r>
        <w:t xml:space="preserve">; </w:t>
      </w:r>
      <w:hyperlink r:id="rId17050">
        <w:r>
          <w:rPr>
            <w:color w:val="0000EE"/>
            <w:u w:val="single"/>
          </w:rPr>
          <w:t>Nm 14.14</w:t>
        </w:r>
      </w:hyperlink>
      <w:r>
        <w:t>); nuvem (</w:t>
      </w:r>
      <w:hyperlink r:id="rId17051">
        <w:r>
          <w:rPr>
            <w:color w:val="0000EE"/>
            <w:u w:val="single"/>
          </w:rPr>
          <w:t>Êx 40.34–35</w:t>
        </w:r>
      </w:hyperlink>
      <w:r>
        <w:t xml:space="preserve">; </w:t>
      </w:r>
      <w:hyperlink r:id="rId17052">
        <w:r>
          <w:rPr>
            <w:color w:val="0000EE"/>
            <w:u w:val="single"/>
          </w:rPr>
          <w:t>Dt 1.33</w:t>
        </w:r>
      </w:hyperlink>
      <w:r>
        <w:t>); fogo (</w:t>
      </w:r>
      <w:hyperlink r:id="rId17052">
        <w:r>
          <w:rPr>
            <w:color w:val="0000EE"/>
            <w:u w:val="single"/>
          </w:rPr>
          <w:t>Dt 1.33</w:t>
        </w:r>
      </w:hyperlink>
      <w:r>
        <w:t xml:space="preserve">; </w:t>
      </w:r>
      <w:hyperlink r:id="rId17053">
        <w:r>
          <w:rPr>
            <w:color w:val="0000EE"/>
            <w:u w:val="single"/>
          </w:rPr>
          <w:t>4.12</w:t>
        </w:r>
      </w:hyperlink>
      <w:r>
        <w:t>). Embora a própria Bíblia não use esta designação, a nuvem e teofanias associadas (aparições de Deus) são muitas vezes chamadas de “glória de Shekinah” ou simplesmente “a Shekinah” — termos que entraram na teologia cristã da literatura rabínica.</w:t>
      </w:r>
    </w:p>
    <w:p>
      <w:r/>
      <w:r>
        <w:t>A teofania da nuvem está associada com uma variedade de funções; comum a todos eles é que é uma expressão visível da presença de Deus. A nuvem enchia o tabernáculo e estava lá dia e noite como uma testemunha da presença de Deus (</w:t>
      </w:r>
      <w:hyperlink r:id="rId10024">
        <w:r>
          <w:rPr>
            <w:color w:val="0000EE"/>
            <w:u w:val="single"/>
          </w:rPr>
          <w:t>Êx 40.34–38</w:t>
        </w:r>
      </w:hyperlink>
      <w:r>
        <w:t>). Deus apareceu na nuvem no Dia da Expiação (</w:t>
      </w:r>
      <w:hyperlink r:id="rId2444">
        <w:r>
          <w:rPr>
            <w:color w:val="0000EE"/>
            <w:u w:val="single"/>
          </w:rPr>
          <w:t>Lv 16.2</w:t>
        </w:r>
      </w:hyperlink>
      <w:r>
        <w:t>). A aceitação de Deus do templo construído como sua habitação é mostrada quando a nuvem vem na dedicação (</w:t>
      </w:r>
      <w:hyperlink r:id="rId8911">
        <w:r>
          <w:rPr>
            <w:color w:val="0000EE"/>
            <w:u w:val="single"/>
          </w:rPr>
          <w:t>1Rs 8.10–11</w:t>
        </w:r>
      </w:hyperlink>
      <w:r>
        <w:t xml:space="preserve">; </w:t>
      </w:r>
      <w:hyperlink r:id="rId17054">
        <w:r>
          <w:rPr>
            <w:color w:val="0000EE"/>
            <w:u w:val="single"/>
          </w:rPr>
          <w:t>2Cr 5.13–14</w:t>
        </w:r>
      </w:hyperlink>
      <w:r>
        <w:t>).</w:t>
      </w:r>
    </w:p>
    <w:p>
      <w:r/>
      <w:r>
        <w:t>A nuvem também era uma proteção para Israel. Em sua primeira aparição nos eventos do Êxodo, a nuvem se posicionou entre os exércitos do Egito e Israel, engolindo os egípcios nas trevas de um lado enquanto iluminando o caminho com seu fogo para Israel, do outro (</w:t>
      </w:r>
      <w:hyperlink r:id="rId8832">
        <w:r>
          <w:rPr>
            <w:color w:val="0000EE"/>
            <w:u w:val="single"/>
          </w:rPr>
          <w:t>Êx 14.19–20</w:t>
        </w:r>
      </w:hyperlink>
      <w:r>
        <w:t>). O salmista lembrou de como Deus “espalhou uma nuvem como uma cobertura, e um fogo para dar luz à noite” (</w:t>
      </w:r>
      <w:hyperlink r:id="rId13473">
        <w:r>
          <w:rPr>
            <w:color w:val="0000EE"/>
            <w:u w:val="single"/>
          </w:rPr>
          <w:t>Sl 105.39</w:t>
        </w:r>
      </w:hyperlink>
      <w:r>
        <w:t>, NVI).</w:t>
      </w:r>
    </w:p>
    <w:p>
      <w:r/>
      <w:r>
        <w:t>O pilar também serviu como o guia de Israel durante o êxodo e a peregrinação no deserto. “O Senhor os guiou por um pilar de nuvem durante o dia e um pilar de fogo à noite. Dessa forma, eles poderiam viajar se fosse dia ou noite. E o Senhor não removeu o pilar de nuvem ou pilar de fogo de sua visão” (</w:t>
      </w:r>
      <w:hyperlink r:id="rId10017">
        <w:r>
          <w:rPr>
            <w:color w:val="0000EE"/>
            <w:u w:val="single"/>
          </w:rPr>
          <w:t>Êx 13.21–22</w:t>
        </w:r>
      </w:hyperlink>
      <w:r>
        <w:t>, NTLH). Sempre que a nuvem se levantava de cima da tenda, os israelitas partiam; onde quer que a nuvem se estabelecesse, os israelitas acampavam (</w:t>
      </w:r>
      <w:hyperlink r:id="rId17055">
        <w:r>
          <w:rPr>
            <w:color w:val="0000EE"/>
            <w:u w:val="single"/>
          </w:rPr>
          <w:t>Nm 9.17</w:t>
        </w:r>
      </w:hyperlink>
      <w:r>
        <w:t>). Apesar dos pecados do povo, o Senhor Deus foi à frente deles em sua jornada, em fogo à noite e em uma nuvem de dia (</w:t>
      </w:r>
      <w:hyperlink r:id="rId17052">
        <w:r>
          <w:rPr>
            <w:color w:val="0000EE"/>
            <w:u w:val="single"/>
          </w:rPr>
          <w:t>Dt 1.33</w:t>
        </w:r>
      </w:hyperlink>
      <w:r>
        <w:t>). As gerações subsequentes relatariam como Deus era seu guia de dia e noite (</w:t>
      </w:r>
      <w:hyperlink r:id="rId13471">
        <w:r>
          <w:rPr>
            <w:color w:val="0000EE"/>
            <w:u w:val="single"/>
          </w:rPr>
          <w:t>Ne 9.12,19</w:t>
        </w:r>
      </w:hyperlink>
      <w:r>
        <w:t xml:space="preserve">; </w:t>
      </w:r>
      <w:hyperlink r:id="rId13472">
        <w:r>
          <w:rPr>
            <w:color w:val="0000EE"/>
            <w:u w:val="single"/>
          </w:rPr>
          <w:t>Sl 78.14</w:t>
        </w:r>
      </w:hyperlink>
      <w:r>
        <w:t>).</w:t>
      </w:r>
    </w:p>
    <w:p>
      <w:r/>
      <w:r>
        <w:t>A nuvem também tinha uma função profética (</w:t>
      </w:r>
      <w:hyperlink r:id="rId17056">
        <w:r>
          <w:rPr>
            <w:color w:val="0000EE"/>
            <w:u w:val="single"/>
          </w:rPr>
          <w:t>Sl 99.7</w:t>
        </w:r>
      </w:hyperlink>
      <w:r>
        <w:t>). Deus não apenas falou da nuvem no Sinai (</w:t>
      </w:r>
      <w:hyperlink r:id="rId10019">
        <w:r>
          <w:rPr>
            <w:color w:val="0000EE"/>
            <w:u w:val="single"/>
          </w:rPr>
          <w:t>Êx 19.9,16</w:t>
        </w:r>
      </w:hyperlink>
      <w:r>
        <w:t xml:space="preserve">; </w:t>
      </w:r>
      <w:hyperlink r:id="rId17057">
        <w:r>
          <w:rPr>
            <w:color w:val="0000EE"/>
            <w:u w:val="single"/>
          </w:rPr>
          <w:t>34.1–25</w:t>
        </w:r>
      </w:hyperlink>
      <w:r>
        <w:t xml:space="preserve">; </w:t>
      </w:r>
      <w:hyperlink r:id="rId17058">
        <w:r>
          <w:rPr>
            <w:color w:val="0000EE"/>
            <w:u w:val="single"/>
          </w:rPr>
          <w:t>Dt 4.11–12</w:t>
        </w:r>
      </w:hyperlink>
      <w:r>
        <w:t xml:space="preserve">; </w:t>
      </w:r>
      <w:hyperlink r:id="rId838">
        <w:r>
          <w:rPr>
            <w:color w:val="0000EE"/>
            <w:u w:val="single"/>
          </w:rPr>
          <w:t>5.22</w:t>
        </w:r>
      </w:hyperlink>
      <w:r>
        <w:t>), ele também falou de lá quando Israel se rebelou (</w:t>
      </w:r>
      <w:hyperlink r:id="rId17059">
        <w:r>
          <w:rPr>
            <w:color w:val="0000EE"/>
            <w:u w:val="single"/>
          </w:rPr>
          <w:t>Êx 16.10</w:t>
        </w:r>
      </w:hyperlink>
      <w:r>
        <w:t xml:space="preserve">; </w:t>
      </w:r>
      <w:hyperlink r:id="rId15429">
        <w:r>
          <w:rPr>
            <w:color w:val="0000EE"/>
            <w:u w:val="single"/>
          </w:rPr>
          <w:t>Nm 14.10</w:t>
        </w:r>
      </w:hyperlink>
      <w:r>
        <w:t xml:space="preserve">; </w:t>
      </w:r>
      <w:hyperlink r:id="rId17060">
        <w:r>
          <w:rPr>
            <w:color w:val="0000EE"/>
            <w:u w:val="single"/>
          </w:rPr>
          <w:t>16.42–43</w:t>
        </w:r>
      </w:hyperlink>
      <w:r>
        <w:t>), quando Arão e Miriã tiveram uma briga com Moisés (</w:t>
      </w:r>
      <w:hyperlink r:id="rId17061">
        <w:r>
          <w:rPr>
            <w:color w:val="0000EE"/>
            <w:u w:val="single"/>
          </w:rPr>
          <w:t>Nm 12.1–15</w:t>
        </w:r>
      </w:hyperlink>
      <w:r>
        <w:t>), e quando os 70 anciãos foram nomeados. Apenas Moisés tinha este acesso pronto às próprias palavras de Deus. Quando Moisés entrava no tabernáculo, “o pilar de nuvem descia e pairava na entrada, enquanto o Senhor falava com Moisés” (</w:t>
      </w:r>
      <w:hyperlink r:id="rId17062">
        <w:r>
          <w:rPr>
            <w:color w:val="0000EE"/>
            <w:u w:val="single"/>
          </w:rPr>
          <w:t>Êx 33.9</w:t>
        </w:r>
      </w:hyperlink>
      <w:r>
        <w:t>, NTLH). Na morte de Moisés, o Senhor aparece no pilar na tenda e fala da apostasia da nação que está por vir (</w:t>
      </w:r>
      <w:hyperlink r:id="rId17063">
        <w:r>
          <w:rPr>
            <w:color w:val="0000EE"/>
            <w:u w:val="single"/>
          </w:rPr>
          <w:t>Dt 31.14–29</w:t>
        </w:r>
      </w:hyperlink>
      <w:r>
        <w:t>).</w:t>
      </w:r>
    </w:p>
    <w:p>
      <w:r/>
      <w:r>
        <w:t>Outras teofanias tendo as características de nuvem, fogo e luz — ou alguma combinação — provavelmente deveriam ser associadas com o pilar de fogo e nuvem. Ezequiel viu uma imensa nuvem com relâmpagos piscando e cercado por uma luz brilhante (</w:t>
      </w:r>
      <w:hyperlink r:id="rId5504">
        <w:r>
          <w:rPr>
            <w:color w:val="0000EE"/>
            <w:u w:val="single"/>
          </w:rPr>
          <w:t>Ez 1.4</w:t>
        </w:r>
      </w:hyperlink>
      <w:r>
        <w:t xml:space="preserve">); quando ele olhou para dentro da nuvem, ele viu um fogo, criaturas ao serviço de Deus, o trono de Deus e a presença incrível daquele que se sentou sobre ele e falou (vv. </w:t>
      </w:r>
      <w:hyperlink r:id="rId17064">
        <w:r>
          <w:rPr>
            <w:color w:val="0000EE"/>
            <w:u w:val="single"/>
          </w:rPr>
          <w:t>5–28</w:t>
        </w:r>
      </w:hyperlink>
      <w:r>
        <w:t xml:space="preserve">). Ezequiel também teve uma visão da glória de Deus deixando o templo, e mais tarde uma visão de seu retorno (caps. </w:t>
      </w:r>
      <w:hyperlink r:id="rId8948">
        <w:r>
          <w:rPr>
            <w:color w:val="0000EE"/>
            <w:u w:val="single"/>
          </w:rPr>
          <w:t>10</w:t>
        </w:r>
      </w:hyperlink>
      <w:r>
        <w:t xml:space="preserve">; </w:t>
      </w:r>
      <w:hyperlink r:id="rId17065">
        <w:r>
          <w:rPr>
            <w:color w:val="0000EE"/>
            <w:u w:val="single"/>
          </w:rPr>
          <w:t>43</w:t>
        </w:r>
      </w:hyperlink>
      <w:r>
        <w:t>). Na visão de Daniel do Ancião de Dias, ele vê alguém “como o filho do homem, vindo com as nuvens do céu” para receber autoridade, glória e poder (</w:t>
      </w:r>
      <w:hyperlink r:id="rId6555">
        <w:r>
          <w:rPr>
            <w:color w:val="0000EE"/>
            <w:u w:val="single"/>
          </w:rPr>
          <w:t>Dn 7.13</w:t>
        </w:r>
      </w:hyperlink>
      <w:r>
        <w:t>, NVI). A frase “filho do homem” se torna a autodesignação favorita de Jesus nos Evangelhos. Na Transfiguração, quando ele revela sua própria glória, as nuvens o envolvem (</w:t>
      </w:r>
      <w:hyperlink r:id="rId4769">
        <w:r>
          <w:rPr>
            <w:color w:val="0000EE"/>
            <w:u w:val="single"/>
          </w:rPr>
          <w:t>Mt 17.5</w:t>
        </w:r>
      </w:hyperlink>
      <w:r>
        <w:t xml:space="preserve">; </w:t>
      </w:r>
      <w:hyperlink r:id="rId8026">
        <w:r>
          <w:rPr>
            <w:color w:val="0000EE"/>
            <w:u w:val="single"/>
          </w:rPr>
          <w:t>Mc 9.7</w:t>
        </w:r>
      </w:hyperlink>
      <w:r>
        <w:t xml:space="preserve">; </w:t>
      </w:r>
      <w:hyperlink r:id="rId17066">
        <w:r>
          <w:rPr>
            <w:color w:val="0000EE"/>
            <w:u w:val="single"/>
          </w:rPr>
          <w:t>Lc 9.34</w:t>
        </w:r>
      </w:hyperlink>
      <w:r>
        <w:t>). Em sua ascensão, ele é recebido nas nuvens, e os anjos lembram aos apóstolos de sua promessa de voltar da mesma maneira (</w:t>
      </w:r>
      <w:hyperlink r:id="rId2659">
        <w:r>
          <w:rPr>
            <w:color w:val="0000EE"/>
            <w:u w:val="single"/>
          </w:rPr>
          <w:t>At 1.9–11</w:t>
        </w:r>
      </w:hyperlink>
      <w:r>
        <w:t xml:space="preserve">; veja </w:t>
      </w:r>
      <w:hyperlink r:id="rId3650">
        <w:r>
          <w:rPr>
            <w:color w:val="0000EE"/>
            <w:u w:val="single"/>
          </w:rPr>
          <w:t>Mt 24.30</w:t>
        </w:r>
      </w:hyperlink>
      <w:r>
        <w:t xml:space="preserve">; </w:t>
      </w:r>
      <w:hyperlink r:id="rId9433">
        <w:r>
          <w:rPr>
            <w:color w:val="0000EE"/>
            <w:u w:val="single"/>
          </w:rPr>
          <w:t>Mc 13.26</w:t>
        </w:r>
      </w:hyperlink>
      <w:r>
        <w:t xml:space="preserve">; </w:t>
      </w:r>
      <w:hyperlink r:id="rId9434">
        <w:r>
          <w:rPr>
            <w:color w:val="0000EE"/>
            <w:u w:val="single"/>
          </w:rPr>
          <w:t>Lc 21.27</w:t>
        </w:r>
      </w:hyperlink>
      <w:r>
        <w:t xml:space="preserve">; </w:t>
      </w:r>
      <w:hyperlink r:id="rId1078">
        <w:r>
          <w:rPr>
            <w:color w:val="0000EE"/>
            <w:u w:val="single"/>
          </w:rPr>
          <w:t>Ap 1.7</w:t>
        </w:r>
      </w:hyperlink>
      <w:r>
        <w:t>).</w:t>
      </w:r>
    </w:p>
    <w:p>
      <w:r/>
      <w:r>
        <w:rPr>
          <w:i/>
        </w:rPr>
        <w:t>Veja também</w:t>
      </w:r>
      <w:r>
        <w:t xml:space="preserve"> </w:t>
      </w:r>
      <w:r>
        <w:t>Glória</w:t>
      </w:r>
      <w:r>
        <w:t xml:space="preserve">; </w:t>
      </w:r>
      <w:r>
        <w:t>Shekinah</w:t>
      </w:r>
      <w:r>
        <w:t xml:space="preserve">; </w:t>
      </w:r>
      <w:r>
        <w:t>Teofania</w:t>
      </w:r>
      <w:r>
        <w:t>.</w:t>
      </w:r>
      <w:r/>
      <w:r/>
    </w:p>
    <w:p>
      <w:r/>
    </w:p>
    <w:p>
      <w:pPr>
        <w:pStyle w:val="Heading2"/>
      </w:pPr>
      <w:r>
        <w:t>Pilatos, Pôncio</w:t>
      </w:r>
      <w:r/>
    </w:p>
    <w:p>
      <w:r/>
      <w:r>
        <w:t>Tibério nomeou Pôncio Pilatos como o quinto governador (ou prefeito) da Judeia. Pilatos serviu nessa função de 26 a 36 d.C. Ele aparece de forma proeminente nos relatos dos Evangelhos sobre o julgamento como o governador romano que autorizou a crucificação de Jesus. Pilatos também é mencionado em outras fontes históricas como um líder racional que buscava manter a autoridade romana na Judeia.</w:t>
      </w:r>
    </w:p>
    <w:p>
      <w:pPr>
        <w:pStyle w:val="Heading3"/>
      </w:pPr>
      <w:r>
        <w:t>O papel de Pilatos como governador da Judeia</w:t>
      </w:r>
    </w:p>
    <w:p>
      <w:r/>
      <w:r>
        <w:t>Tácito (</w:t>
      </w:r>
      <w:r>
        <w:rPr>
          <w:i/>
        </w:rPr>
        <w:t>Anais</w:t>
      </w:r>
      <w:r>
        <w:t xml:space="preserve"> 15.44) menciona Pilatos em conexão com a crucificação de Jesus, mas acrescenta pouco ao relato do evangelho. Josefo, por outro lado, fornece três narrativas.</w:t>
      </w:r>
    </w:p>
    <w:p>
      <w:pPr>
        <w:pStyle w:val="ListNumber"/>
        <w:spacing w:line="240" w:lineRule="auto"/>
        <w:ind w:left="720"/>
      </w:pPr>
      <w:r/>
      <w:r>
        <w:t>Primeiro, ele descreve a chegada de Pilatos como o novo governador (</w:t>
      </w:r>
      <w:r>
        <w:rPr>
          <w:i/>
        </w:rPr>
        <w:t>Guerra</w:t>
      </w:r>
      <w:r>
        <w:t xml:space="preserve"> 2.9.2; </w:t>
      </w:r>
      <w:r>
        <w:rPr>
          <w:i/>
        </w:rPr>
        <w:t>Antiguidades</w:t>
      </w:r>
      <w:r>
        <w:t xml:space="preserve"> 18.3.1; cf. </w:t>
      </w:r>
      <w:r>
        <w:rPr>
          <w:i/>
        </w:rPr>
        <w:t>Histórias</w:t>
      </w:r>
      <w:r>
        <w:t xml:space="preserve"> de Eusébio 2.6). Ofendendo a lei judaica, Pilatos trouxe símbolos romanos para Jerusalém que carregavam a imagem de César. Uma grande reunião de judeus foi a Cesareia em protesto, jejuando lá por cinco dias. Os judeus demonstraram que preferiam morrer a permitir os símbolos romanos. Esta foi a primeira experiência de Pilatos com a força das crenças religiosas dos judeus. Ele decidiu remover as bandeiras.</w:t>
      </w:r>
    </w:p>
    <w:p>
      <w:pPr>
        <w:pStyle w:val="ListNumber"/>
        <w:spacing w:line="240" w:lineRule="auto"/>
        <w:ind w:left="720"/>
      </w:pPr>
      <w:r/>
      <w:r>
        <w:t>Em um segundo incidente, Pilatos apropriou-se de fundos do Templo para construir um aqueduto de 56,3 quilômetros para Jerusalém (</w:t>
      </w:r>
      <w:r>
        <w:rPr>
          <w:i/>
        </w:rPr>
        <w:t>Guerra</w:t>
      </w:r>
      <w:r>
        <w:t xml:space="preserve"> 2.9.4; </w:t>
      </w:r>
      <w:r>
        <w:rPr>
          <w:i/>
        </w:rPr>
        <w:t>Antiguidades</w:t>
      </w:r>
      <w:r>
        <w:t xml:space="preserve"> 18.3.2). Novamente, houve um grande protesto. Pilatos ordenou que seus soldados se vestissem com túnicas e se infiltrassem nas multidões disfarçados. Sob seu comando, as tropas usaram cassetetes para espancar os infratores. Muitos judeus foram mortos. Josefo registra o horror com que Jerusalém percebeu o acontecimento.</w:t>
      </w:r>
    </w:p>
    <w:p>
      <w:pPr>
        <w:pStyle w:val="ListNumber"/>
        <w:spacing w:line="240" w:lineRule="auto"/>
        <w:ind w:left="720"/>
      </w:pPr>
      <w:r/>
      <w:r>
        <w:t>Finalmente, Josefo relata a história da demissão de Pilatos (</w:t>
      </w:r>
      <w:r>
        <w:rPr>
          <w:i/>
        </w:rPr>
        <w:t>Antiguidades</w:t>
      </w:r>
      <w:r>
        <w:t xml:space="preserve"> 18.4.1–2). Em 36 d.C., um falso profeta samaritano fingia ser o Taheb, ou Messias Samaritano. Ele prometeu mostrar a seus seguidores vasos sagrados escondidos por Moisés no Monte Gerizim. Pilatos enviou um grupo fortemente armado de soldados de infantaria e cavalaria que interceptaram os peregrinos e massacraram a maioria deles. Os samaritanos reclamaram a Vitélio, o governador da Síria. Pilatos foi ordenado a se apresentar ao Imperador Tibério. Outro governador, Marcelo, foi então enviado por Roma como substituto de Pilatos.</w:t>
      </w:r>
    </w:p>
    <w:p>
      <w:r/>
      <w:r>
        <w:t>Filo relata mais uma história sobre Pilatos (</w:t>
      </w:r>
      <w:r>
        <w:rPr>
          <w:i/>
        </w:rPr>
        <w:t>Leg. to Caius</w:t>
      </w:r>
      <w:r>
        <w:t xml:space="preserve"> 299–305). Filo escreve sobre como Tibério era geralmente gentil com o povo judeu. Em contraste, ele descreve Pôncio Pilatos como um mau líder que não respeitava os costumes judaicos. O governador havia colocado escudos dourados com o nome do Imperador neles. Ele os colocou no antigo palácio de Herodes em Jerusalém. Recusando-se a ouvir as queixas dos judeus, os filhos de Herodes apelaram a Tibério. Tibério ordenou que Pilatos transferisse os escudos para o templo de Augusto em Cesareia. As semelhanças com a história paralela em Josefo mostram que Filo pode estar apenas relatando outra versão do mesmo evento.</w:t>
      </w:r>
    </w:p>
    <w:p>
      <w:r/>
      <w:r>
        <w:t xml:space="preserve">Lucas menciona um incidente menor que contribui para esse mesmo retrato. Em </w:t>
      </w:r>
      <w:hyperlink r:id="rId10615">
        <w:r>
          <w:rPr>
            <w:color w:val="0000EE"/>
            <w:u w:val="single"/>
          </w:rPr>
          <w:t>Lucas 13.1</w:t>
        </w:r>
      </w:hyperlink>
      <w:r>
        <w:t xml:space="preserve"> alguns judeus contam a Jesus sobre os galileus cujo sangue Pilatos havia misturado com seus sacrifícios. Essa história não é apoiada por nenhuma outra testemunha, mas está de acordo com as impressões do caráter de Pilatos dadas por Filo e Josefo. De fato, Lucas acrescenta outro detalhe de interesse em sua narrativa do julgamento. Em </w:t>
      </w:r>
      <w:hyperlink r:id="rId17067">
        <w:r>
          <w:rPr>
            <w:color w:val="0000EE"/>
            <w:u w:val="single"/>
          </w:rPr>
          <w:t>Lucas 23.12</w:t>
        </w:r>
      </w:hyperlink>
      <w:r>
        <w:t>, ele diz que antes da crucificação de Jesus, Herodes Antipas (na Galileia) e Pilatos estavam em inimizade um com o outro. Isso pode ter se originado não apenas da habitual hostilidade de Pilatos, mas particularmente do evento na Galileia.</w:t>
      </w:r>
    </w:p>
    <w:p>
      <w:pPr>
        <w:pStyle w:val="Heading3"/>
      </w:pPr>
      <w:r>
        <w:t>O papel de Pilatos no julgamento de Jesus</w:t>
      </w:r>
    </w:p>
    <w:p>
      <w:r/>
      <w:r>
        <w:t>O papel de Pilatos na morte de Jesus é registrado em cada Evangelho (</w:t>
      </w:r>
      <w:hyperlink r:id="rId17068">
        <w:r>
          <w:rPr>
            <w:color w:val="0000EE"/>
            <w:u w:val="single"/>
          </w:rPr>
          <w:t>Mt 27.2</w:t>
        </w:r>
      </w:hyperlink>
      <w:r>
        <w:t xml:space="preserve">; </w:t>
      </w:r>
      <w:hyperlink r:id="rId11797">
        <w:r>
          <w:rPr>
            <w:color w:val="0000EE"/>
            <w:u w:val="single"/>
          </w:rPr>
          <w:t>Mc 15.1</w:t>
        </w:r>
      </w:hyperlink>
      <w:r>
        <w:t xml:space="preserve">; </w:t>
      </w:r>
      <w:hyperlink r:id="rId11798">
        <w:r>
          <w:rPr>
            <w:color w:val="0000EE"/>
            <w:u w:val="single"/>
          </w:rPr>
          <w:t>Lc 23.1</w:t>
        </w:r>
      </w:hyperlink>
      <w:r>
        <w:t xml:space="preserve">; </w:t>
      </w:r>
      <w:hyperlink r:id="rId17069">
        <w:r>
          <w:rPr>
            <w:color w:val="0000EE"/>
            <w:u w:val="single"/>
          </w:rPr>
          <w:t>Jo 18.29</w:t>
        </w:r>
      </w:hyperlink>
      <w:r>
        <w:t>). Os apóstolos mencionaram seu envolvimento como um dado histórico em suas narrativas (</w:t>
      </w:r>
      <w:hyperlink r:id="rId12983">
        <w:r>
          <w:rPr>
            <w:color w:val="0000EE"/>
            <w:u w:val="single"/>
          </w:rPr>
          <w:t>At 3.13</w:t>
        </w:r>
      </w:hyperlink>
      <w:r>
        <w:t xml:space="preserve">; </w:t>
      </w:r>
      <w:hyperlink r:id="rId15011">
        <w:r>
          <w:rPr>
            <w:color w:val="0000EE"/>
            <w:u w:val="single"/>
          </w:rPr>
          <w:t>4.27</w:t>
        </w:r>
      </w:hyperlink>
      <w:r>
        <w:t xml:space="preserve">; </w:t>
      </w:r>
      <w:hyperlink r:id="rId2887">
        <w:r>
          <w:rPr>
            <w:color w:val="0000EE"/>
            <w:u w:val="single"/>
          </w:rPr>
          <w:t>13.28</w:t>
        </w:r>
      </w:hyperlink>
      <w:r>
        <w:t xml:space="preserve">; </w:t>
      </w:r>
      <w:hyperlink r:id="rId17070">
        <w:r>
          <w:rPr>
            <w:color w:val="0000EE"/>
            <w:u w:val="single"/>
          </w:rPr>
          <w:t>1Tm 6.13</w:t>
        </w:r>
      </w:hyperlink>
      <w:r>
        <w:t>). Para garantir a condenação e morte de Jesus, Caifás e o Sinédrio (conselho judaico) levaram suas acusações a Pilatos. Os acusadores apresentaram suas alegações como políticas para chamar a atenção do governador, mas ele ainda assim não encontrou razão para condenar Jesus. No final, Pilatos inesperadamente cede aos líderes judeus e manda crucificar Jesus.</w:t>
      </w:r>
    </w:p>
    <w:p>
      <w:r/>
      <w:r>
        <w:t xml:space="preserve">Todos os Evangelhos, particularmente João, mostram o veredicto repetido de Pilatos sobre a inocência de Jesus. De acordo com </w:t>
      </w:r>
      <w:hyperlink r:id="rId3390">
        <w:r>
          <w:rPr>
            <w:color w:val="0000EE"/>
            <w:u w:val="single"/>
          </w:rPr>
          <w:t>Mateus 27.19</w:t>
        </w:r>
      </w:hyperlink>
      <w:r>
        <w:t>, a esposa de Pilatos teve um sonho ominoso sobre a condenação de Jesus e alertou seu marido. Pilatos tentou libertar Jesus, mas a multidão clamou por Barrabás. Mateus até registra que Pilatos lavou as mãos (</w:t>
      </w:r>
      <w:hyperlink r:id="rId17071">
        <w:r>
          <w:rPr>
            <w:color w:val="0000EE"/>
            <w:u w:val="single"/>
          </w:rPr>
          <w:t>27.24–25</w:t>
        </w:r>
      </w:hyperlink>
      <w:r>
        <w:t>), declarando sua própria inocência nisso. E, finalmente, João diz que Pilatos se recusou a alterar o título sobre a cruz (</w:t>
      </w:r>
      <w:hyperlink r:id="rId17072">
        <w:r>
          <w:rPr>
            <w:color w:val="0000EE"/>
            <w:u w:val="single"/>
          </w:rPr>
          <w:t>Jo 19.19–22</w:t>
        </w:r>
      </w:hyperlink>
      <w:r>
        <w:t>). Esses relatos tiram toda a culpa pela morte de Jesus de Pilatos e a colocam sobre os líderes judeus do Sinédrio. Eles são os responsáveis finais.</w:t>
      </w:r>
    </w:p>
    <w:p>
      <w:r/>
      <w:r>
        <w:t>Mas por que Pilatos agiria em nome do Sinédrio? Duas respostas são possíveis.</w:t>
      </w:r>
    </w:p>
    <w:p>
      <w:pPr>
        <w:pStyle w:val="ListNumber"/>
        <w:spacing w:line="240" w:lineRule="auto"/>
        <w:ind w:left="720"/>
      </w:pPr>
      <w:r/>
      <w:r>
        <w:t>Primeiro, pode ter havido uma conivência entre Caifás e Pilatos que surgiu de um relacionamento de longa data. Dez dos dezoito anos de poder de Caifás foram sob Pilatos, e quando o governador foi demitido em 36 d.C., Caifás foi simultaneamente removido.</w:t>
      </w:r>
    </w:p>
    <w:p>
      <w:pPr>
        <w:pStyle w:val="ListNumber"/>
        <w:spacing w:line="240" w:lineRule="auto"/>
        <w:ind w:left="720"/>
      </w:pPr>
      <w:r/>
      <w:r>
        <w:t xml:space="preserve">Em segundo lugar, se o julgamento de Jesus ocorreu em 33 d.C., Pilatos pode ter estado preocupado com sua remoção do cargo. Ele havia sido originalmente nomeado por Sejano (governador dos guardas que protegiam o Imperador em Roma, que havia nomeado homens para cargos coloniais sob Tibério). Sejano morreu no outono de 31 d.C.. Isso explica por que uma delegação judaica pôde relatar diretamente a Tibério durante o incidente do escudo votivo. Assim, a acusação registrada em </w:t>
      </w:r>
      <w:hyperlink r:id="rId17073">
        <w:r>
          <w:rPr>
            <w:color w:val="0000EE"/>
            <w:u w:val="single"/>
          </w:rPr>
          <w:t>João 19.12</w:t>
        </w:r>
      </w:hyperlink>
      <w:r>
        <w:t xml:space="preserve"> ("Se o senhor soltar este homem, não é amigo do Imperador!") teria tido um poder genuíno sobre Pilatos. Pilatos percebeu o perigo e estava ansioso para pacificar os judeus e agradar o Imperador.</w:t>
      </w:r>
    </w:p>
    <w:p>
      <w:r/>
      <w:r>
        <w:t>A história de Pilatos após sua demissão em 36 d.C. é desconhecida. Eusébio relata que Pilatos acabou se suicidando durante o reinado do Imperador Calígula, de 37 a 41 d.C. (</w:t>
      </w:r>
      <w:r>
        <w:rPr>
          <w:i/>
        </w:rPr>
        <w:t>História</w:t>
      </w:r>
      <w:r>
        <w:t xml:space="preserve"> 2.7).</w:t>
      </w:r>
      <w:r/>
      <w:r/>
    </w:p>
    <w:p>
      <w:r/>
    </w:p>
    <w:p>
      <w:pPr>
        <w:pStyle w:val="Heading2"/>
      </w:pPr>
      <w:r>
        <w:t>Pildas</w:t>
      </w:r>
      <w:r/>
    </w:p>
    <w:p>
      <w:r/>
      <w:r>
        <w:t>O sexto filho de Naor e Milca. Ele era sobrinho do patriarca Abraão (</w:t>
      </w:r>
      <w:hyperlink r:id="rId10370">
        <w:r>
          <w:rPr>
            <w:color w:val="0000EE"/>
            <w:u w:val="single"/>
          </w:rPr>
          <w:t>Gn 22.22</w:t>
        </w:r>
      </w:hyperlink>
      <w:r>
        <w:t>).</w:t>
      </w:r>
      <w:r/>
      <w:r/>
    </w:p>
    <w:p>
      <w:r/>
    </w:p>
    <w:p>
      <w:pPr>
        <w:pStyle w:val="Heading2"/>
      </w:pPr>
      <w:r>
        <w:t>Pinom</w:t>
      </w:r>
      <w:r/>
    </w:p>
    <w:p>
      <w:r/>
      <w:r>
        <w:t>Um dos chefes (líderes) descendentes do patriarca Esaú (</w:t>
      </w:r>
      <w:hyperlink r:id="rId7747">
        <w:r>
          <w:rPr>
            <w:color w:val="0000EE"/>
            <w:u w:val="single"/>
          </w:rPr>
          <w:t>Gn 36.41</w:t>
        </w:r>
      </w:hyperlink>
      <w:r>
        <w:t xml:space="preserve">; </w:t>
      </w:r>
      <w:hyperlink r:id="rId7748">
        <w:r>
          <w:rPr>
            <w:color w:val="0000EE"/>
            <w:u w:val="single"/>
          </w:rPr>
          <w:t>1Cr 1.52</w:t>
        </w:r>
      </w:hyperlink>
      <w:r>
        <w:t>).</w:t>
      </w:r>
      <w:r/>
      <w:r/>
    </w:p>
    <w:p>
      <w:r/>
    </w:p>
    <w:p>
      <w:pPr>
        <w:pStyle w:val="Heading2"/>
      </w:pPr>
      <w:r>
        <w:t>Piolho</w:t>
      </w:r>
      <w:r/>
    </w:p>
    <w:p>
      <w:r/>
      <w:r>
        <w:t>A tradução refere-se a algum tipo de pequenos insetos, provavelmente mosquitos. Esses insetos foram a terceira praga no Egito (</w:t>
      </w:r>
      <w:hyperlink r:id="rId1690">
        <w:r>
          <w:rPr>
            <w:color w:val="0000EE"/>
            <w:u w:val="single"/>
          </w:rPr>
          <w:t>Êx 8.16–18</w:t>
        </w:r>
      </w:hyperlink>
      <w:r>
        <w:t>).</w:t>
      </w:r>
    </w:p>
    <w:p>
      <w:r/>
      <w:r>
        <w:rPr>
          <w:i/>
        </w:rPr>
        <w:t>Veja</w:t>
      </w:r>
      <w:r>
        <w:t xml:space="preserve"> </w:t>
      </w:r>
      <w:r>
        <w:t>Animais (Mosquito)</w:t>
      </w:r>
      <w:r>
        <w:t>.</w:t>
      </w:r>
      <w:r/>
      <w:r/>
    </w:p>
    <w:p>
      <w:r/>
    </w:p>
    <w:p>
      <w:pPr>
        <w:pStyle w:val="Heading2"/>
      </w:pPr>
      <w:r>
        <w:t>Pirro</w:t>
      </w:r>
      <w:r/>
    </w:p>
    <w:p>
      <w:r/>
      <w:r>
        <w:t>O pai de Sópatro, de Bereia. Seu filho, Sópatro, foi um dos vários homens que viajaram com o apóstolo Paulo em sua viagem de retorno através da Macedônia (</w:t>
      </w:r>
      <w:hyperlink r:id="rId2497">
        <w:r>
          <w:rPr>
            <w:color w:val="0000EE"/>
            <w:u w:val="single"/>
          </w:rPr>
          <w:t>At 20.4</w:t>
        </w:r>
      </w:hyperlink>
      <w:r>
        <w:t>).</w:t>
      </w:r>
      <w:r/>
      <w:r/>
    </w:p>
    <w:p>
      <w:r/>
    </w:p>
    <w:p>
      <w:pPr>
        <w:pStyle w:val="Heading2"/>
      </w:pPr>
      <w:r>
        <w:t>Pisídia</w:t>
      </w:r>
      <w:r/>
    </w:p>
    <w:p>
      <w:r/>
      <w:r>
        <w:t>Uma região na província romana da Galácia, que Paulo e Barnabé visitaram por volta de 48 d.C.</w:t>
      </w:r>
    </w:p>
    <w:p>
      <w:r/>
      <w:r>
        <w:t>Pisídia está localizada ao norte das montanhas Taurus, que se estendem ao longo das costas da Cilícia e Panfília. Pisídia encontra-se no planalto central da Anatólia, a 1100 metros acima do nível do mar. As montanhas a separam das regiões costeiras. A área inclui as colinas do Taurus e se estende por cerca de 640 quilômetros de comprimento e 265 quilômetros de largura. Faz fronteira com a grande província da Ásia a oeste, Galácia ao norte e Licônia a leste. As pessoas nessas montanhas tinham a reputação de serem agressivas e difíceis de controlar.</w:t>
      </w:r>
    </w:p>
    <w:p>
      <w:r/>
      <w:r>
        <w:t>Os Selêucidas controlaram a região por muitos anos. Mais tarde, os Romanos fizeram o mesmo. Seleuco I Nicátor, que governou de 312 a 280 a.C., fundou a cidade de Antioquia para ajudar a controlar essas tribos. Amintas da Galácia também fortificou a cidade por volta de 26 a.C. para melhorar a segurança. Quando ele morreu em 25 a.C., a Pisídia tornou-se parte da província da Galácia. O Imperador Augusto completou o esforço para trazer paz à região fundando cinco cidades além de Antioquia:</w:t>
      </w:r>
    </w:p>
    <w:p>
      <w:pPr>
        <w:pStyle w:val="ListNumber"/>
        <w:spacing w:line="240" w:lineRule="auto"/>
        <w:ind w:left="720"/>
      </w:pPr>
      <w:r/>
      <w:r>
        <w:t>Crimeia</w:t>
      </w:r>
    </w:p>
    <w:p>
      <w:pPr>
        <w:pStyle w:val="ListNumber"/>
        <w:spacing w:line="240" w:lineRule="auto"/>
        <w:ind w:left="720"/>
      </w:pPr>
      <w:r/>
      <w:r>
        <w:t>Comana</w:t>
      </w:r>
    </w:p>
    <w:p>
      <w:pPr>
        <w:pStyle w:val="ListNumber"/>
        <w:spacing w:line="240" w:lineRule="auto"/>
        <w:ind w:left="720"/>
      </w:pPr>
      <w:r/>
      <w:r>
        <w:t>Olba</w:t>
      </w:r>
    </w:p>
    <w:p>
      <w:pPr>
        <w:pStyle w:val="ListNumber"/>
        <w:spacing w:line="240" w:lineRule="auto"/>
        <w:ind w:left="720"/>
      </w:pPr>
      <w:r/>
      <w:r>
        <w:t>Parlais</w:t>
      </w:r>
    </w:p>
    <w:p>
      <w:pPr>
        <w:pStyle w:val="ListNumber"/>
        <w:spacing w:line="240" w:lineRule="auto"/>
        <w:ind w:left="720"/>
      </w:pPr>
      <w:r/>
      <w:r>
        <w:t>Listra</w:t>
      </w:r>
    </w:p>
    <w:p>
      <w:r/>
      <w:r>
        <w:t xml:space="preserve">Estradas militares conectavam todas as cidades a Antioquia. Uma inscrição descoberta em 1912 mostra que Quirino era um governador da região sob Augusto (veja </w:t>
      </w:r>
      <w:hyperlink r:id="rId4711">
        <w:r>
          <w:rPr>
            <w:color w:val="0000EE"/>
            <w:u w:val="single"/>
          </w:rPr>
          <w:t>Lucas 2.2</w:t>
        </w:r>
      </w:hyperlink>
      <w:r>
        <w:t>). Antioquia era a capital da Pisídia. Esta cidade estava na estrada principal entre Éfeso a oeste e Derbe e Tarso a leste. Era principalmente uma colônia romana (um assentamento controlado por Roma), com uma grande comunidade judaica trazida pelos Selêucidas para o comércio.</w:t>
      </w:r>
    </w:p>
    <w:p>
      <w:r/>
      <w:r>
        <w:t>Paulo e Barnabé viajaram pela Pisídia pelo menos duas vezes em seu caminho entre Perge e Derbe (</w:t>
      </w:r>
      <w:hyperlink r:id="rId9288">
        <w:r>
          <w:rPr>
            <w:color w:val="0000EE"/>
            <w:u w:val="single"/>
          </w:rPr>
          <w:t>At 13.14</w:t>
        </w:r>
      </w:hyperlink>
      <w:r>
        <w:t xml:space="preserve">; </w:t>
      </w:r>
      <w:hyperlink r:id="rId17074">
        <w:r>
          <w:rPr>
            <w:color w:val="0000EE"/>
            <w:u w:val="single"/>
          </w:rPr>
          <w:t>14.24</w:t>
        </w:r>
      </w:hyperlink>
      <w:r>
        <w:t>). Em Antioquia da Pisídia, uma das decisões mais importantes na história do trabalho missionário cristão foi tomada e anunciada. Depois que a maioria do público judeu rejeitou sua mensagem, Paulo e Barnabé começaram a se concentrar em pessoas não-judaicas. Eles disseram, "Mas, como vocês não querem aceitá-la e acham que não merecem receber a vida eterna, então agora nós vamos anunciar a palavra aos não-judeus" (</w:t>
      </w:r>
      <w:hyperlink r:id="rId17075">
        <w:r>
          <w:rPr>
            <w:color w:val="0000EE"/>
            <w:u w:val="single"/>
          </w:rPr>
          <w:t>At 13.46</w:t>
        </w:r>
      </w:hyperlink>
      <w:r>
        <w:t>). A partir de então, Paulo e seus amigos se concentraram em espalhar sua mensagem para não-judeus. Isso fez do Cristianismo uma religião mundial, não apenas outra seita judaica.</w:t>
      </w:r>
      <w:r/>
      <w:r/>
    </w:p>
    <w:p>
      <w:r/>
    </w:p>
    <w:p>
      <w:pPr>
        <w:pStyle w:val="Heading2"/>
      </w:pPr>
      <w:r>
        <w:t>Pisom</w:t>
      </w:r>
      <w:r/>
    </w:p>
    <w:p>
      <w:r/>
      <w:r>
        <w:t>Primeira das quatro divisões do rio que fluía do Jardim do Éden (</w:t>
      </w:r>
      <w:hyperlink r:id="rId11000">
        <w:r>
          <w:rPr>
            <w:color w:val="0000EE"/>
            <w:u w:val="single"/>
          </w:rPr>
          <w:t>Gn 2.11</w:t>
        </w:r>
      </w:hyperlink>
      <w:r>
        <w:t>). As sugestões para sua identidade incluem o Rion, o Indo, o Ganges, um canal conectando o Tigre e o Eufrates e um símbolo da Via Láctea. Não há consenso sobre a identidade de Pison.</w:t>
      </w:r>
      <w:r/>
      <w:r/>
    </w:p>
    <w:p>
      <w:r/>
    </w:p>
    <w:p>
      <w:pPr>
        <w:pStyle w:val="Heading2"/>
      </w:pPr>
      <w:r>
        <w:t>Pitom</w:t>
      </w:r>
      <w:r/>
    </w:p>
    <w:p>
      <w:r/>
      <w:r>
        <w:t>Pitom foi uma das cidades-armazém construídas pelos israelitas durante seu tempo como escravos no Egito. A Bíblia menciona que os israelitas construíram tanto Pitom quanto Ramessés como cidades-armazém para o Faraó (</w:t>
      </w:r>
      <w:hyperlink r:id="rId4245">
        <w:r>
          <w:rPr>
            <w:color w:val="0000EE"/>
            <w:u w:val="single"/>
          </w:rPr>
          <w:t>Êx 1.11</w:t>
        </w:r>
      </w:hyperlink>
      <w:r>
        <w:t>).</w:t>
      </w:r>
    </w:p>
    <w:p>
      <w:r/>
      <w:r>
        <w:t>Por mais de 100 anos, especialistas que estudam o antigo Egito têm debatido sobre a localização real dessas cidades. A localização de Ramessés é bastante conhecida. A maioria dos especialistas a associa com Pi-Ramessés. Foi a capital do Faraó Ramessés II, que governou de 1290 a 1224 a.C. Vários sítios antigos foram sugeridos como a localização de Ramessés. Por muitos anos, estudiosos pensaram que era em Tanis, na região nordeste do Delta do Nilo. No entanto, Qantir, que está na mesma área geral, é agora considerado o local mais provável.</w:t>
      </w:r>
    </w:p>
    <w:p>
      <w:r/>
      <w:r>
        <w:t>O nome "Pitom" vem de uma expressão egípcia que significa "Casa do [deus] Atum." Este teria sido um templo construído para adorar Atum, um deus do sol egípcio. Os israelitas teriam participado da construção das instalações de armazenamento que faziam parte deste templo. Podemos ter uma boa ideia de como esses edifícios de armazenamento eram ao estudar estruturas semelhantes do templo-túmulo de Ramessés II em Tebas. Esses edifícios de armazenamento ainda estão bem preservados hoje. Eram estruturas retangulares longas com telhados curvados, construídas lado a lado. Essas instalações de armazenamento cobriam uma grande área do complexo do templo. Isso nos ajuda a entender o tipo de edifícios para os quais os israelitas foram forçados a fazer tijolos durante sua escravidão no Egito.</w:t>
      </w:r>
    </w:p>
    <w:p>
      <w:r/>
      <w:r>
        <w:t>Embora saibamos o que o nome Pitom significa, sua localização exata ainda está sendo debatida por estudiosos. Os dois locais mais frequentemente sugeridos como sendo Pitom são Tell Er-Retabah e Tell el-Maskhutah. Ambos esses sítios antigos estão localizados no Wadi Tumilat, um vale que se estende para leste do Delta do Nilo até o Lago Timsah.</w:t>
      </w:r>
    </w:p>
    <w:p>
      <w:r/>
      <w:r>
        <w:t xml:space="preserve">Nos últimos anos, arqueólogos escavaram em ambos os locais. Eles encontraram evidências de que pessoas da Palestina e Síria (chamadas de asiáticos) viveram em ambos os lugares. Pode haver uma conexão entre o nome árabe "Maskhutah" e a palavra hebraica "Sucote." Sucote é mencionada em </w:t>
      </w:r>
      <w:hyperlink r:id="rId8830">
        <w:r>
          <w:rPr>
            <w:color w:val="0000EE"/>
            <w:u w:val="single"/>
          </w:rPr>
          <w:t>Êxodo 12.37</w:t>
        </w:r>
      </w:hyperlink>
      <w:r>
        <w:t xml:space="preserve"> como um lugar onde os israelitas pararam durante sua jornada para fora do Egito. Por causa dessa possível conexão, muitos estudiosos agora acreditam que Tell Er-Retabah é o local mais provável para Pitom, enquanto Tell el-Maskhutah pode ser Sucote.</w:t>
      </w:r>
    </w:p>
    <w:p>
      <w:r/>
      <w:r>
        <w:rPr>
          <w:i/>
        </w:rPr>
        <w:t>Veja também</w:t>
      </w:r>
      <w:r>
        <w:t xml:space="preserve"> </w:t>
      </w:r>
      <w:r>
        <w:t>Egito, Egípcio</w:t>
      </w:r>
      <w:r>
        <w:t xml:space="preserve">; </w:t>
      </w:r>
      <w:r>
        <w:t>Ramessés (Lugar)</w:t>
      </w:r>
      <w:r>
        <w:t>.</w:t>
      </w:r>
      <w:r/>
      <w:r/>
    </w:p>
    <w:p>
      <w:r/>
    </w:p>
    <w:p>
      <w:pPr>
        <w:pStyle w:val="Heading2"/>
      </w:pPr>
      <w:r>
        <w:t>Plantas</w:t>
      </w:r>
      <w:r/>
    </w:p>
    <w:p>
      <w:r/>
      <w:r>
        <w:t>Identificar plantas bíblicas sempre foi uma tarefa difícil, em parte porque as pessoas continuam a identificar o olmo, sicômoro, lírio, rosa e videira com plantas modernas, e também porque elas afirmam que todas as plantas que agora crescem na Terra Santa estavam lá nos dias bíblicos antigos, ou que as plantas referidas na Bíblia ainda são encontradas lá hoje. Infelizmente, muitas plantas agora bem comuns na Terra Santa não estavam lá nos dias bíblicos. Muitas plantas que antes cresceram em abundância na Terra Santa estão agora extintas. Alguns foram retiradas por invasores estrangeiros; outros foram exterminados ou quase exterminados pela exploração excessiva da terra, pela destruição das florestas e pelas mudanças resultantes das condições climáticas e outras condições ambientais. Em tempos passados, a Terra Santa era uma terra de palmeiras, com a tamareira tão abundante e característica lá quanto era no Egito, mas hoje a tamareira é muito menos comum. Da mesma forma, na antiguidade, os cedros imponentes cobriam as encostas do Líbano e outras cadeias de montanhas. Agora as poucas espécies restantes devem ser cautelosamente cercadas para proteger contra o pisoteio e a devastação das cabras.</w:t>
      </w:r>
    </w:p>
    <w:p>
      <w:r/>
      <w:r>
        <w:t>Resumo</w:t>
      </w:r>
    </w:p>
    <w:p>
      <w:r/>
      <w:r>
        <w:t>• Acácia</w:t>
      </w:r>
    </w:p>
    <w:p>
      <w:r/>
      <w:r>
        <w:t>• Acanto</w:t>
      </w:r>
    </w:p>
    <w:p>
      <w:r/>
      <w:r>
        <w:t>• Algum</w:t>
      </w:r>
    </w:p>
    <w:p>
      <w:r/>
      <w:r>
        <w:t>• Amendoeira</w:t>
      </w:r>
    </w:p>
    <w:p>
      <w:r/>
      <w:r>
        <w:t>• Almugue</w:t>
      </w:r>
    </w:p>
    <w:p>
      <w:r/>
      <w:r>
        <w:t>• Aloe</w:t>
      </w:r>
    </w:p>
    <w:p>
      <w:r/>
      <w:r>
        <w:t>• Maça</w:t>
      </w:r>
    </w:p>
    <w:p>
      <w:r/>
      <w:r>
        <w:t>• Damasco</w:t>
      </w:r>
    </w:p>
    <w:p>
      <w:r/>
      <w:r>
        <w:t>• Freixo</w:t>
      </w:r>
    </w:p>
    <w:p>
      <w:r/>
      <w:r>
        <w:t>• Aspen</w:t>
      </w:r>
    </w:p>
    <w:p>
      <w:r/>
      <w:r>
        <w:t>• Bálsamo</w:t>
      </w:r>
    </w:p>
    <w:p>
      <w:r/>
      <w:r>
        <w:t>• Cevada</w:t>
      </w:r>
    </w:p>
    <w:p>
      <w:r/>
      <w:r>
        <w:t>• Bdélio</w:t>
      </w:r>
    </w:p>
    <w:p>
      <w:r/>
      <w:r>
        <w:t>• Feijão</w:t>
      </w:r>
    </w:p>
    <w:p>
      <w:r/>
      <w:r>
        <w:t>• Ervas Amargas</w:t>
      </w:r>
    </w:p>
    <w:p>
      <w:r/>
      <w:r>
        <w:t>• Espinheiro-europeu</w:t>
      </w:r>
    </w:p>
    <w:p>
      <w:r/>
      <w:r>
        <w:t>• Buxo</w:t>
      </w:r>
    </w:p>
    <w:p>
      <w:r/>
      <w:r>
        <w:t>• Amoreira-silvestre</w:t>
      </w:r>
    </w:p>
    <w:p>
      <w:r/>
      <w:r>
        <w:t>• Giesta</w:t>
      </w:r>
    </w:p>
    <w:p>
      <w:r/>
      <w:r>
        <w:t>• Espinheiro-alvar</w:t>
      </w:r>
    </w:p>
    <w:p>
      <w:r/>
      <w:r>
        <w:t>• Sarça</w:t>
      </w:r>
    </w:p>
    <w:p>
      <w:r/>
      <w:r>
        <w:t>• Ranúnculo</w:t>
      </w:r>
    </w:p>
    <w:p>
      <w:r/>
      <w:r>
        <w:t>• Cálamo</w:t>
      </w:r>
    </w:p>
    <w:p>
      <w:r/>
      <w:r>
        <w:t>• Cana-de-açúcar</w:t>
      </w:r>
    </w:p>
    <w:p>
      <w:r/>
      <w:r>
        <w:t>• Planta de Alcaparra</w:t>
      </w:r>
    </w:p>
    <w:p>
      <w:r/>
      <w:r>
        <w:t>• Árvore de Alfarroba</w:t>
      </w:r>
    </w:p>
    <w:p>
      <w:r/>
      <w:r>
        <w:t>• Cássia</w:t>
      </w:r>
    </w:p>
    <w:p>
      <w:r/>
      <w:r>
        <w:t>• Mamona</w:t>
      </w:r>
    </w:p>
    <w:p>
      <w:r/>
      <w:r>
        <w:t>• Cedro</w:t>
      </w:r>
    </w:p>
    <w:p>
      <w:r/>
      <w:r>
        <w:t>• Chicória</w:t>
      </w:r>
    </w:p>
    <w:p>
      <w:r/>
      <w:r>
        <w:t>• Canela</w:t>
      </w:r>
    </w:p>
    <w:p>
      <w:r/>
      <w:r>
        <w:t>• Árvore de Cidra</w:t>
      </w:r>
    </w:p>
    <w:p>
      <w:r/>
      <w:r>
        <w:t>• Coentro</w:t>
      </w:r>
    </w:p>
    <w:p>
      <w:r/>
      <w:r>
        <w:t>• Algodão</w:t>
      </w:r>
    </w:p>
    <w:p>
      <w:r/>
      <w:r>
        <w:t>• Pepino</w:t>
      </w:r>
    </w:p>
    <w:p>
      <w:r/>
      <w:r>
        <w:t>• Cominho</w:t>
      </w:r>
    </w:p>
    <w:p>
      <w:r/>
      <w:r>
        <w:t>• Cipreste</w:t>
      </w:r>
    </w:p>
    <w:p>
      <w:r/>
      <w:r>
        <w:t>• Dente-de-leão</w:t>
      </w:r>
    </w:p>
    <w:p>
      <w:r/>
      <w:r>
        <w:t>• Joio</w:t>
      </w:r>
    </w:p>
    <w:p>
      <w:r/>
      <w:r>
        <w:t>• Endro</w:t>
      </w:r>
    </w:p>
    <w:p>
      <w:r/>
      <w:r>
        <w:t>• Ébano</w:t>
      </w:r>
    </w:p>
    <w:p>
      <w:r/>
      <w:r>
        <w:t>• Endívia</w:t>
      </w:r>
    </w:p>
    <w:p>
      <w:r/>
      <w:r>
        <w:t>• Figo, Figueira</w:t>
      </w:r>
    </w:p>
    <w:p>
      <w:r/>
      <w:r>
        <w:t>• Abeto</w:t>
      </w:r>
    </w:p>
    <w:p>
      <w:r/>
      <w:r>
        <w:t>• Linho</w:t>
      </w:r>
    </w:p>
    <w:p>
      <w:r/>
      <w:r>
        <w:t>• Olíbano</w:t>
      </w:r>
    </w:p>
    <w:p>
      <w:r/>
      <w:r>
        <w:t>• Gálbano</w:t>
      </w:r>
    </w:p>
    <w:p>
      <w:r/>
      <w:r>
        <w:t>• Alho</w:t>
      </w:r>
    </w:p>
    <w:p>
      <w:r/>
      <w:r>
        <w:t>• Cabaça-Selvagem</w:t>
      </w:r>
    </w:p>
    <w:p>
      <w:r/>
      <w:r>
        <w:t>• Sebe</w:t>
      </w:r>
    </w:p>
    <w:p>
      <w:r/>
      <w:r>
        <w:t>• Hena</w:t>
      </w:r>
    </w:p>
    <w:p>
      <w:r/>
      <w:r>
        <w:t>• Jacinto</w:t>
      </w:r>
    </w:p>
    <w:p>
      <w:r/>
      <w:r>
        <w:t>• Hissopo</w:t>
      </w:r>
    </w:p>
    <w:p>
      <w:r/>
      <w:r>
        <w:t>• Junípero</w:t>
      </w:r>
    </w:p>
    <w:p>
      <w:r/>
      <w:r>
        <w:t>• Loureiro</w:t>
      </w:r>
    </w:p>
    <w:p>
      <w:r/>
      <w:r>
        <w:t>• Alho-poró</w:t>
      </w:r>
    </w:p>
    <w:p>
      <w:r/>
      <w:r>
        <w:t>• Lentilha</w:t>
      </w:r>
    </w:p>
    <w:p>
      <w:r/>
      <w:r>
        <w:t>• Alface</w:t>
      </w:r>
    </w:p>
    <w:p>
      <w:r/>
      <w:r>
        <w:t>• Lírio</w:t>
      </w:r>
    </w:p>
    <w:p>
      <w:r/>
      <w:r>
        <w:t>• Arbusto de Lótus</w:t>
      </w:r>
    </w:p>
    <w:p>
      <w:r/>
      <w:r>
        <w:t>• Malva</w:t>
      </w:r>
    </w:p>
    <w:p>
      <w:r/>
      <w:r>
        <w:t>• Mandrágora</w:t>
      </w:r>
    </w:p>
    <w:p>
      <w:r/>
      <w:r>
        <w:t>• Melão</w:t>
      </w:r>
    </w:p>
    <w:p>
      <w:r/>
      <w:r>
        <w:t>• Milheto</w:t>
      </w:r>
    </w:p>
    <w:p>
      <w:r/>
      <w:r>
        <w:t>• Menta</w:t>
      </w:r>
    </w:p>
    <w:p>
      <w:r/>
      <w:r>
        <w:t>• Amoreira-negra</w:t>
      </w:r>
    </w:p>
    <w:p>
      <w:r/>
      <w:r>
        <w:t>• Mostarda</w:t>
      </w:r>
    </w:p>
    <w:p>
      <w:r/>
      <w:r>
        <w:t>• Mirra</w:t>
      </w:r>
    </w:p>
    <w:p>
      <w:r/>
      <w:r>
        <w:t>• Murta</w:t>
      </w:r>
    </w:p>
    <w:p>
      <w:r/>
      <w:r>
        <w:t>• Narciso</w:t>
      </w:r>
    </w:p>
    <w:p>
      <w:r/>
      <w:r>
        <w:t>• Nardo</w:t>
      </w:r>
    </w:p>
    <w:p>
      <w:r/>
      <w:r>
        <w:t>• Urtiga</w:t>
      </w:r>
    </w:p>
    <w:p>
      <w:r/>
      <w:r>
        <w:t>• Flor de noz-moscada</w:t>
      </w:r>
    </w:p>
    <w:p>
      <w:r/>
      <w:r>
        <w:t>• Carvalho</w:t>
      </w:r>
    </w:p>
    <w:p>
      <w:r/>
      <w:r>
        <w:t>• Oleastro</w:t>
      </w:r>
    </w:p>
    <w:p>
      <w:r/>
      <w:r>
        <w:t>• Oleandro</w:t>
      </w:r>
    </w:p>
    <w:p>
      <w:r/>
      <w:r>
        <w:t>• Azeitona</w:t>
      </w:r>
    </w:p>
    <w:p>
      <w:r/>
      <w:r>
        <w:t>• Cebola</w:t>
      </w:r>
    </w:p>
    <w:p>
      <w:r/>
      <w:r>
        <w:t>• Palmeira</w:t>
      </w:r>
    </w:p>
    <w:p>
      <w:r/>
      <w:r>
        <w:t>• Papiro</w:t>
      </w:r>
    </w:p>
    <w:p>
      <w:r/>
      <w:r>
        <w:t>• Pinheiro</w:t>
      </w:r>
    </w:p>
    <w:p>
      <w:r/>
      <w:r>
        <w:t>• Pistache</w:t>
      </w:r>
    </w:p>
    <w:p>
      <w:r/>
      <w:r>
        <w:t>• Plátano</w:t>
      </w:r>
    </w:p>
    <w:p>
      <w:r/>
      <w:r>
        <w:t>• Romãzeira</w:t>
      </w:r>
    </w:p>
    <w:p>
      <w:r/>
      <w:r>
        <w:t>• Álamo</w:t>
      </w:r>
    </w:p>
    <w:p>
      <w:r/>
      <w:r>
        <w:t>• Marmelo</w:t>
      </w:r>
    </w:p>
    <w:p>
      <w:r/>
      <w:r>
        <w:t>• Junco</w:t>
      </w:r>
    </w:p>
    <w:p>
      <w:r/>
      <w:r>
        <w:t>• Arruda</w:t>
      </w:r>
    </w:p>
    <w:p>
      <w:r/>
      <w:r>
        <w:t>• Junco-florido</w:t>
      </w:r>
    </w:p>
    <w:p>
      <w:r/>
      <w:r>
        <w:t>• Açafrão</w:t>
      </w:r>
    </w:p>
    <w:p>
      <w:r/>
      <w:r>
        <w:t>• Sálvia</w:t>
      </w:r>
    </w:p>
    <w:p>
      <w:r/>
      <w:r>
        <w:t>• Espelta</w:t>
      </w:r>
    </w:p>
    <w:p>
      <w:r/>
      <w:r>
        <w:t>• Árvore de Estoraque</w:t>
      </w:r>
    </w:p>
    <w:p>
      <w:r/>
      <w:r>
        <w:t>• Sicômoro</w:t>
      </w:r>
    </w:p>
    <w:p>
      <w:r/>
      <w:r>
        <w:t>• Tamarisco</w:t>
      </w:r>
    </w:p>
    <w:p>
      <w:r/>
      <w:r>
        <w:t>• Terebinto</w:t>
      </w:r>
    </w:p>
    <w:p>
      <w:r/>
      <w:r>
        <w:t>• Cardo-espinhoso</w:t>
      </w:r>
    </w:p>
    <w:p>
      <w:r/>
      <w:r>
        <w:t>• Tulipa</w:t>
      </w:r>
    </w:p>
    <w:p>
      <w:r/>
      <w:r>
        <w:t>• Erva daninha</w:t>
      </w:r>
    </w:p>
    <w:p>
      <w:r/>
      <w:r>
        <w:t>• Vegetal</w:t>
      </w:r>
    </w:p>
    <w:p>
      <w:r/>
      <w:r>
        <w:t>• Videira</w:t>
      </w:r>
    </w:p>
    <w:p>
      <w:r/>
      <w:r>
        <w:t>• Nogueira</w:t>
      </w:r>
    </w:p>
    <w:p>
      <w:r/>
      <w:r>
        <w:t>• Ninfeia</w:t>
      </w:r>
    </w:p>
    <w:p>
      <w:r/>
      <w:r>
        <w:t>• Trigo</w:t>
      </w:r>
    </w:p>
    <w:p>
      <w:r/>
      <w:r>
        <w:t>• Absinto</w:t>
      </w:r>
    </w:p>
    <w:p>
      <w:pPr>
        <w:pStyle w:val="Heading3"/>
      </w:pPr>
      <w:r>
        <w:t>Acácia (Acácia tortilis e A. Seyal)</w:t>
      </w:r>
    </w:p>
    <w:p>
      <w:r/>
      <w:r>
        <w:t xml:space="preserve">Qualquer árvore ou arbusto da família mimosa de plantas que crescem em regiões quentes. A planta referida na KJV como “shittah” (singular) ou “shittim” (plural) é, sem dúvida, a árvore de acácia, a única árvore de madeira de qualquer tamanho considerável no deserto árabe. </w:t>
      </w:r>
      <w:r>
        <w:rPr>
          <w:i/>
        </w:rPr>
        <w:t>Acácia tortilis</w:t>
      </w:r>
      <w:r>
        <w:t xml:space="preserve"> é de longe a maior e mais comum árvore no deserto em que os israelitas vagaram por 40 anos. Ela é notável no Monte Sinai e provavelmente foi a espécie usada para a mobília do tabernáculo. </w:t>
      </w:r>
      <w:r>
        <w:rPr>
          <w:i/>
        </w:rPr>
        <w:t>A. seyal</w:t>
      </w:r>
      <w:r>
        <w:t xml:space="preserve"> é menos comum, pelo menos hoje. Pode crescer até 7,6 metros, e tem flores amarelas em ramos retorcidos. A madeira é de grão fino, pesada e dura, de cor marrom-alaranjada e muito valorizada na marcenaria. Os antigos egípcios prendiam caixões de múmias fechados com madeira de acácia.</w:t>
      </w:r>
    </w:p>
    <w:p>
      <w:pPr>
        <w:pStyle w:val="Heading3"/>
      </w:pPr>
      <w:r>
        <w:t>Acanto (Acanthus syriacus)</w:t>
      </w:r>
    </w:p>
    <w:p>
      <w:r/>
      <w:r>
        <w:t xml:space="preserve">O acanto, talvez referido em </w:t>
      </w:r>
      <w:hyperlink r:id="rId17076">
        <w:r>
          <w:rPr>
            <w:color w:val="0000EE"/>
            <w:u w:val="single"/>
          </w:rPr>
          <w:t>Jó 30.7</w:t>
        </w:r>
      </w:hyperlink>
      <w:r>
        <w:t xml:space="preserve"> e </w:t>
      </w:r>
      <w:hyperlink r:id="rId17077">
        <w:r>
          <w:rPr>
            <w:color w:val="0000EE"/>
            <w:u w:val="single"/>
          </w:rPr>
          <w:t>Sofonias 2.9</w:t>
        </w:r>
      </w:hyperlink>
      <w:r>
        <w:t>, é um cardo ou pequeno arbusto de cerca de 0,9 metro de altura, e é uma erva daninha comum em todos os países orientais. Tem sido usado desde tempos antigos como um modelo para as decorações de folhas ou pergaminhos na arte.</w:t>
      </w:r>
    </w:p>
    <w:p>
      <w:pPr>
        <w:pStyle w:val="Heading3"/>
      </w:pPr>
      <w:r>
        <w:t>Algum (Juniperus excelsa Bieb)</w:t>
      </w:r>
    </w:p>
    <w:p>
      <w:r/>
      <w:r>
        <w:t xml:space="preserve">A madeira do Líbano referida em </w:t>
      </w:r>
      <w:hyperlink r:id="rId11002">
        <w:r>
          <w:rPr>
            <w:color w:val="0000EE"/>
            <w:u w:val="single"/>
          </w:rPr>
          <w:t>2 Crônicas 2.8</w:t>
        </w:r>
      </w:hyperlink>
      <w:r>
        <w:t xml:space="preserve"> é provavelmente o junípero. Alguns tradutores sustentam, no entanto, que algum e almugue são variantes hebraicas para a mesma árvore (</w:t>
      </w:r>
      <w:hyperlink r:id="rId11002">
        <w:r>
          <w:rPr>
            <w:color w:val="0000EE"/>
            <w:u w:val="single"/>
          </w:rPr>
          <w:t>2Cr 2.8</w:t>
        </w:r>
      </w:hyperlink>
      <w:r>
        <w:t>).</w:t>
      </w:r>
    </w:p>
    <w:p>
      <w:r/>
      <w:r>
        <w:rPr>
          <w:i/>
        </w:rPr>
        <w:t>Veja também</w:t>
      </w:r>
      <w:r>
        <w:t xml:space="preserve"> Almugue (abaixo).</w:t>
      </w:r>
    </w:p>
    <w:p>
      <w:pPr>
        <w:pStyle w:val="Heading3"/>
      </w:pPr>
      <w:r>
        <w:t>Amendoeira (Amygdalus communis)</w:t>
      </w:r>
    </w:p>
    <w:p>
      <w:r/>
      <w:r>
        <w:t>A amêndoa é uma árvore parecida com um pessegueiro com folhas pontiagudas e casca cinzenta. Cresce até uma altura de 3 a 7,6 metros. Floresce muito no início do ano; seu nome em hebraico tem suas raízes em “vigiar”. Para os judeus, era um prenúncio bem-vindo da primavera (</w:t>
      </w:r>
      <w:hyperlink r:id="rId17078">
        <w:r>
          <w:rPr>
            <w:color w:val="0000EE"/>
            <w:u w:val="single"/>
          </w:rPr>
          <w:t>Jr 1.11</w:t>
        </w:r>
      </w:hyperlink>
      <w:r>
        <w:t>).</w:t>
      </w:r>
    </w:p>
    <w:p>
      <w:pPr>
        <w:pStyle w:val="Heading3"/>
      </w:pPr>
      <w:r>
        <w:t>Almugue (Pterocarpus santalinus)</w:t>
      </w:r>
    </w:p>
    <w:p>
      <w:r/>
      <w:r>
        <w:t>A madeira preciosa importada pelo rei Salomão usada na fabricação dos pilares do templo e para fazer harpas e saltérios (</w:t>
      </w:r>
      <w:hyperlink r:id="rId9096">
        <w:r>
          <w:rPr>
            <w:color w:val="0000EE"/>
            <w:u w:val="single"/>
          </w:rPr>
          <w:t>1Rs 10.11–12</w:t>
        </w:r>
      </w:hyperlink>
      <w:r>
        <w:t xml:space="preserve">). Esta madeira foi trazida pelo mar de Ofir, para Eziom-Geber, perto de Elate. As autoridades modernas sugerem que Ofir, ou estava na Arábia, na Índia ou na África Oriental, perto de Moçambique. A referência a “algum” em </w:t>
      </w:r>
      <w:hyperlink r:id="rId11002">
        <w:r>
          <w:rPr>
            <w:color w:val="0000EE"/>
            <w:u w:val="single"/>
          </w:rPr>
          <w:t>2 Crônicas 2.8</w:t>
        </w:r>
      </w:hyperlink>
      <w:r>
        <w:t xml:space="preserve"> é possivelmente a esta árvore. </w:t>
      </w:r>
      <w:r>
        <w:rPr>
          <w:i/>
        </w:rPr>
        <w:t>Veja</w:t>
      </w:r>
      <w:r>
        <w:t xml:space="preserve"> Algum (acima).</w:t>
      </w:r>
    </w:p>
    <w:p>
      <w:pPr>
        <w:pStyle w:val="Heading3"/>
      </w:pPr>
      <w:r>
        <w:t>Aloé (Aloe succotrina, Aquilaria agallocha)</w:t>
      </w:r>
    </w:p>
    <w:p>
      <w:r/>
      <w:r>
        <w:t xml:space="preserve">Majoritariamente africana, planta semelhante a um lírio do gênero </w:t>
      </w:r>
      <w:r>
        <w:rPr>
          <w:i/>
        </w:rPr>
        <w:t>Aloés,</w:t>
      </w:r>
      <w:r>
        <w:t xml:space="preserve"> certas espécies das quais produzem uma substância e uma fibra. Aloé é uma substância aromática mencionada na Bíblia, juntamente com mirra, bálsamo e outras plantas com fragrância (</w:t>
      </w:r>
      <w:hyperlink r:id="rId4627">
        <w:r>
          <w:rPr>
            <w:color w:val="0000EE"/>
            <w:u w:val="single"/>
          </w:rPr>
          <w:t>Sl 45.8</w:t>
        </w:r>
      </w:hyperlink>
      <w:r>
        <w:t xml:space="preserve">; </w:t>
      </w:r>
      <w:hyperlink r:id="rId16902">
        <w:r>
          <w:rPr>
            <w:color w:val="0000EE"/>
            <w:u w:val="single"/>
          </w:rPr>
          <w:t>Pv 7.17</w:t>
        </w:r>
      </w:hyperlink>
      <w:r>
        <w:t xml:space="preserve">; </w:t>
      </w:r>
      <w:hyperlink r:id="rId4021">
        <w:r>
          <w:rPr>
            <w:color w:val="0000EE"/>
            <w:u w:val="single"/>
          </w:rPr>
          <w:t>Ct 4.14</w:t>
        </w:r>
      </w:hyperlink>
      <w:r>
        <w:t xml:space="preserve">; </w:t>
      </w:r>
      <w:hyperlink r:id="rId11809">
        <w:r>
          <w:rPr>
            <w:color w:val="0000EE"/>
            <w:u w:val="single"/>
          </w:rPr>
          <w:t>Jo 19.39</w:t>
        </w:r>
      </w:hyperlink>
      <w:r>
        <w:t xml:space="preserve">). A maioria dos estudiosos pensa que essas passagens se referem a duas plantas diferentes. A planta do AT teria provavelmente sido </w:t>
      </w:r>
      <w:r>
        <w:rPr>
          <w:i/>
        </w:rPr>
        <w:t>Aquilaria agallocha,</w:t>
      </w:r>
      <w:r>
        <w:t xml:space="preserve"> pau-de-águila, uma grande árvore que cresce até 36,6 metros de altura com um tronco de 3,7 metros em circunferência. É nativo do Norte da Índia, Malásia e Indochina. A madeira em decomposição possui uma alta fragrância, e como tal é altamente valorizada como perfume e incenso e para fumigação.</w:t>
      </w:r>
    </w:p>
    <w:p>
      <w:r/>
      <w:r>
        <w:t xml:space="preserve">Acredita-se que a aloé de </w:t>
      </w:r>
      <w:hyperlink r:id="rId11809">
        <w:r>
          <w:rPr>
            <w:color w:val="0000EE"/>
            <w:u w:val="single"/>
          </w:rPr>
          <w:t>João 19.39</w:t>
        </w:r>
      </w:hyperlink>
      <w:r>
        <w:t xml:space="preserve"> seja a verdadeira aloé </w:t>
      </w:r>
      <w:r>
        <w:rPr>
          <w:i/>
        </w:rPr>
        <w:t>(Aloe succotrina),</w:t>
      </w:r>
      <w:r>
        <w:t xml:space="preserve"> o suco que era usado pelos egípcios no embalsamamento. Seu cheiro, no entanto, não é muito agradável, e tem um sabor amargo. Às vezes é usado por veterinários como um medicamento para cavalos.</w:t>
      </w:r>
    </w:p>
    <w:p>
      <w:pPr>
        <w:pStyle w:val="Heading3"/>
      </w:pPr>
      <w:r>
        <w:t>Maçã (Malus sylvestris)</w:t>
      </w:r>
    </w:p>
    <w:p>
      <w:r/>
      <w:r>
        <w:t>A identificação do fruto identificado pela palavra hebraica tappuach (</w:t>
      </w:r>
      <w:hyperlink r:id="rId5255">
        <w:r>
          <w:rPr>
            <w:color w:val="0000EE"/>
            <w:u w:val="single"/>
          </w:rPr>
          <w:t>Pv 25.11</w:t>
        </w:r>
      </w:hyperlink>
      <w:r>
        <w:t xml:space="preserve">; </w:t>
      </w:r>
      <w:hyperlink r:id="rId17079">
        <w:r>
          <w:rPr>
            <w:color w:val="0000EE"/>
            <w:u w:val="single"/>
          </w:rPr>
          <w:t>Ct 2.3,5</w:t>
        </w:r>
      </w:hyperlink>
      <w:r>
        <w:t xml:space="preserve">; </w:t>
      </w:r>
      <w:hyperlink r:id="rId17080">
        <w:r>
          <w:rPr>
            <w:color w:val="0000EE"/>
            <w:u w:val="single"/>
          </w:rPr>
          <w:t>7.8</w:t>
        </w:r>
      </w:hyperlink>
      <w:r>
        <w:t xml:space="preserve">; </w:t>
      </w:r>
      <w:hyperlink r:id="rId17081">
        <w:r>
          <w:rPr>
            <w:color w:val="0000EE"/>
            <w:u w:val="single"/>
          </w:rPr>
          <w:t>8.5</w:t>
        </w:r>
      </w:hyperlink>
      <w:r>
        <w:t xml:space="preserve">) continua a ser debatida. Na maioria das traduções em português, foi traduzido como “maçã” por causa de seu laço linguístico próximo com a palavra árabe </w:t>
      </w:r>
      <w:r>
        <w:rPr>
          <w:i/>
        </w:rPr>
        <w:t>tuffah.</w:t>
      </w:r>
      <w:r>
        <w:t xml:space="preserve"> Muitos estudiosos identificam esta árvore como do damasco, questionando se as maçãs se encaixam na descrição bíblica “maçãs de ouro” e se a macieira era cultivada na antiga Palestina. Escavações recentes em Cades-Barneia, no entanto, descobriram maçãs carbonizadas, provavelmente uma maçã silvestre </w:t>
      </w:r>
      <w:r>
        <w:rPr>
          <w:i/>
        </w:rPr>
        <w:t>(Malus sylvestris),</w:t>
      </w:r>
      <w:r>
        <w:t xml:space="preserve"> que data do nono século a.C. Isso certamente permitiria a plantação desta maçã ornamental nos jardins de Salomão.</w:t>
      </w:r>
    </w:p>
    <w:p>
      <w:r/>
      <w:r>
        <w:rPr>
          <w:i/>
        </w:rPr>
        <w:t>Veja também</w:t>
      </w:r>
      <w:r>
        <w:t xml:space="preserve"> Damasco (abaixo).</w:t>
      </w:r>
    </w:p>
    <w:p>
      <w:pPr>
        <w:pStyle w:val="Heading3"/>
      </w:pPr>
      <w:r>
        <w:t>Damasco (Prunus armeniaca)</w:t>
      </w:r>
    </w:p>
    <w:p>
      <w:r/>
      <w:r>
        <w:t xml:space="preserve">A identificação da palavra hebraica tappuach com o damasco continua a ser debatida. O damasqueiro produz frutos comestíveis amarelo-alaranjados e é nativo da Ásia Ocidental e da África. É abundante na Terra Santa e tem provavelmente sido assim desde os primeiros tempos bíblicos. A árvore possui a copa arredondada de casca avermelhada que cresce 9,1 metros de altura. A maioria das traduções traduz esta palavra hebraica “maçã”, embora muitos estudiosos a identifiquem com o damasco por causa de suas descrições no texto bíblico (veja </w:t>
      </w:r>
      <w:hyperlink r:id="rId5255">
        <w:r>
          <w:rPr>
            <w:color w:val="0000EE"/>
            <w:u w:val="single"/>
          </w:rPr>
          <w:t>Pv 25.11</w:t>
        </w:r>
      </w:hyperlink>
      <w:r>
        <w:t xml:space="preserve">; </w:t>
      </w:r>
      <w:hyperlink r:id="rId17079">
        <w:r>
          <w:rPr>
            <w:color w:val="0000EE"/>
            <w:u w:val="single"/>
          </w:rPr>
          <w:t>Ct 2.3,5</w:t>
        </w:r>
      </w:hyperlink>
      <w:r>
        <w:t xml:space="preserve">; </w:t>
      </w:r>
      <w:hyperlink r:id="rId17080">
        <w:r>
          <w:rPr>
            <w:color w:val="0000EE"/>
            <w:u w:val="single"/>
          </w:rPr>
          <w:t>7.8</w:t>
        </w:r>
      </w:hyperlink>
      <w:r>
        <w:t xml:space="preserve">; </w:t>
      </w:r>
      <w:hyperlink r:id="rId17081">
        <w:r>
          <w:rPr>
            <w:color w:val="0000EE"/>
            <w:u w:val="single"/>
          </w:rPr>
          <w:t>8.5</w:t>
        </w:r>
      </w:hyperlink>
      <w:r>
        <w:t xml:space="preserve">; </w:t>
      </w:r>
      <w:hyperlink r:id="rId5251">
        <w:r>
          <w:rPr>
            <w:color w:val="0000EE"/>
            <w:u w:val="single"/>
          </w:rPr>
          <w:t>Jl 1.12</w:t>
        </w:r>
      </w:hyperlink>
      <w:r>
        <w:t>).</w:t>
      </w:r>
    </w:p>
    <w:p>
      <w:r/>
      <w:r>
        <w:rPr>
          <w:i/>
        </w:rPr>
        <w:t>Veja também</w:t>
      </w:r>
      <w:r>
        <w:t xml:space="preserve"> Maça (acima).</w:t>
      </w:r>
    </w:p>
    <w:p>
      <w:pPr>
        <w:pStyle w:val="Heading3"/>
      </w:pPr>
      <w:r>
        <w:t>Freixo (Alhagi maurorum, Fraxinus ornus, Tamarix mannifera)</w:t>
      </w:r>
    </w:p>
    <w:p>
      <w:r/>
      <w:r>
        <w:t xml:space="preserve">Há vários freixos encontrados no Oriente Próximo. Um deles, o alhagi espinhoso </w:t>
      </w:r>
      <w:r>
        <w:rPr>
          <w:i/>
        </w:rPr>
        <w:t>(Alhagi maurorum),</w:t>
      </w:r>
      <w:r>
        <w:t xml:space="preserve"> é um membro da família das ervilhas. É um arbusto baixo, de muitos caules e com muitos ramos que cresce cerca de três pés (0,9 metros) de altura, com galhos um pouco peludos e flores parecidas com ervilhas. Durante o calor do dia, as folhas exalam uma substância doce e pegajosa que endurece no ar e é recolhida sacudindo os arbustos sobre o tecido espalhado.</w:t>
      </w:r>
    </w:p>
    <w:p>
      <w:r/>
      <w:r>
        <w:t xml:space="preserve">O tamarisco do maná </w:t>
      </w:r>
      <w:r>
        <w:rPr>
          <w:i/>
        </w:rPr>
        <w:t>(Tamarix mannifera)</w:t>
      </w:r>
      <w:r>
        <w:t xml:space="preserve"> é um arbusto com vários ramos ou uma pequena árvore de 2,7 a 4,6 metros de altura com ramos rígidos que têm pequenas flores cor de rosa. É encontrado em desertos da Terra Santa para a Arábia e o Sinai.</w:t>
      </w:r>
    </w:p>
    <w:p>
      <w:r/>
      <w:r>
        <w:t xml:space="preserve">O freixo de flor ou freixo de maná </w:t>
      </w:r>
      <w:r>
        <w:rPr>
          <w:i/>
        </w:rPr>
        <w:t>(Fraxinus ornus)</w:t>
      </w:r>
      <w:r>
        <w:t xml:space="preserve"> é uma árvore que cresce de 4,6 a 15,2 metros de altura. Os frutos são muito semelhantes aos produzidos por nossas espécies de freixo. Acredita-se que o freixo (ou olmeiro) de </w:t>
      </w:r>
      <w:hyperlink r:id="rId17082">
        <w:r>
          <w:rPr>
            <w:color w:val="0000EE"/>
            <w:u w:val="single"/>
          </w:rPr>
          <w:t>Isaías 44.14</w:t>
        </w:r>
      </w:hyperlink>
      <w:r>
        <w:t xml:space="preserve"> (ARC) sejam o Pinheiro-de-Alepo.</w:t>
      </w:r>
    </w:p>
    <w:p>
      <w:pPr>
        <w:pStyle w:val="Heading3"/>
      </w:pPr>
      <w:r>
        <w:t>Aspen (Populus euphratica ou P. tremula)</w:t>
      </w:r>
    </w:p>
    <w:p>
      <w:r/>
      <w:r>
        <w:t xml:space="preserve">Qualquer uma das várias árvores do gênero </w:t>
      </w:r>
      <w:r>
        <w:rPr>
          <w:i/>
        </w:rPr>
        <w:t>Populus</w:t>
      </w:r>
      <w:r>
        <w:t xml:space="preserve"> com folhas presas por pecíolos achatados de forma que tremam ou "vibrem" com o vento.</w:t>
      </w:r>
    </w:p>
    <w:p>
      <w:pPr>
        <w:pStyle w:val="Heading3"/>
      </w:pPr>
      <w:r>
        <w:t>Bálsamo (Balanitas aegyptiaca, Pistacia lentisco, Commiphora opobalsamum)</w:t>
      </w:r>
    </w:p>
    <w:p>
      <w:r/>
      <w:r>
        <w:t xml:space="preserve">Uma resina aromática oleosa exalada principalmente por árvores e arbustos tropicais e usada medicinalmente; árvores e arbustos produzem esta substância. Referências em </w:t>
      </w:r>
      <w:hyperlink r:id="rId1495">
        <w:r>
          <w:rPr>
            <w:color w:val="0000EE"/>
            <w:u w:val="single"/>
          </w:rPr>
          <w:t>Gênesis 37.25</w:t>
        </w:r>
      </w:hyperlink>
      <w:r>
        <w:t xml:space="preserve">, </w:t>
      </w:r>
      <w:hyperlink r:id="rId7451">
        <w:r>
          <w:rPr>
            <w:color w:val="0000EE"/>
            <w:u w:val="single"/>
          </w:rPr>
          <w:t>Jeremias 8.22</w:t>
        </w:r>
      </w:hyperlink>
      <w:r>
        <w:t xml:space="preserve">, </w:t>
      </w:r>
      <w:hyperlink r:id="rId9949">
        <w:r>
          <w:rPr>
            <w:color w:val="0000EE"/>
            <w:u w:val="single"/>
          </w:rPr>
          <w:t>46.11</w:t>
        </w:r>
      </w:hyperlink>
      <w:r>
        <w:t xml:space="preserve"> e </w:t>
      </w:r>
      <w:hyperlink r:id="rId17083">
        <w:r>
          <w:rPr>
            <w:color w:val="0000EE"/>
            <w:u w:val="single"/>
          </w:rPr>
          <w:t>51.8</w:t>
        </w:r>
      </w:hyperlink>
      <w:r>
        <w:t xml:space="preserve"> são pensadas para ser o bálsamo de Jericó </w:t>
      </w:r>
      <w:r>
        <w:rPr>
          <w:i/>
        </w:rPr>
        <w:t>(balanitas aegyptiaca)</w:t>
      </w:r>
      <w:r>
        <w:t xml:space="preserve"> ou a lestisqueira, ou lentisco </w:t>
      </w:r>
      <w:r>
        <w:rPr>
          <w:i/>
        </w:rPr>
        <w:t>(Pistacia lentisco).</w:t>
      </w:r>
      <w:r>
        <w:t xml:space="preserve"> O bálsamo de Jericó é muito comum no Egito, no Norte da África, nas planícies de Jericó e nas planícies quentes na fronteira do Mar Morto. É uma pequena planta que gosta do deserto, de 2,7 a 4,6 metros de altura, com ramos finos e espinhosos e pequenos cachos de flores verdes.</w:t>
      </w:r>
    </w:p>
    <w:p>
      <w:r/>
      <w:r>
        <w:t xml:space="preserve">A lentisqueira ou árvore de mastique, nativa da Terra Santa, e a referência em </w:t>
      </w:r>
      <w:hyperlink r:id="rId5193">
        <w:r>
          <w:rPr>
            <w:color w:val="0000EE"/>
            <w:u w:val="single"/>
          </w:rPr>
          <w:t>Gênesis 43.11</w:t>
        </w:r>
      </w:hyperlink>
      <w:r>
        <w:t xml:space="preserve"> é provavelmente a esta planta, uma vez que a implicação é que este é um produto nativo da Terra Santa desconhecido no Egito na época. Esta árvore é um arbusto ou árvore arbustiva de 0,9 a 3 metros de altura com folhas perenes. O “bálsamo” é uma secreção gomosa perfumada da seiva obtida através de cortes feitos no tronco e nos ramos, geralmente em agosto. Os de melhor qualidade estão na forma de lágrimas ou gotas translúcidas amarelo-branco; elas são empregadas na medicina como um adstringente. As qualidades inferiores são usadas extensivamente como verniz. As crianças no Oriente o usam como goma de mascar.</w:t>
      </w:r>
    </w:p>
    <w:p>
      <w:r/>
      <w:r>
        <w:t xml:space="preserve">Referências a especiarias em </w:t>
      </w:r>
      <w:hyperlink r:id="rId16887">
        <w:r>
          <w:rPr>
            <w:color w:val="0000EE"/>
            <w:u w:val="single"/>
          </w:rPr>
          <w:t>1Rs 10.10</w:t>
        </w:r>
      </w:hyperlink>
      <w:r>
        <w:t xml:space="preserve">, </w:t>
      </w:r>
      <w:hyperlink r:id="rId10964">
        <w:r>
          <w:rPr>
            <w:color w:val="0000EE"/>
            <w:u w:val="single"/>
          </w:rPr>
          <w:t>2Rs 20.13</w:t>
        </w:r>
      </w:hyperlink>
      <w:r>
        <w:t xml:space="preserve">, </w:t>
      </w:r>
      <w:hyperlink r:id="rId10954">
        <w:r>
          <w:rPr>
            <w:color w:val="0000EE"/>
            <w:u w:val="single"/>
          </w:rPr>
          <w:t>Cantares 3.6</w:t>
        </w:r>
      </w:hyperlink>
      <w:r>
        <w:t xml:space="preserve">, </w:t>
      </w:r>
      <w:hyperlink r:id="rId17084">
        <w:r>
          <w:rPr>
            <w:color w:val="0000EE"/>
            <w:u w:val="single"/>
          </w:rPr>
          <w:t>Isaías 39.2</w:t>
        </w:r>
      </w:hyperlink>
      <w:r>
        <w:t xml:space="preserve"> e </w:t>
      </w:r>
      <w:hyperlink r:id="rId568">
        <w:r>
          <w:rPr>
            <w:color w:val="0000EE"/>
            <w:u w:val="single"/>
          </w:rPr>
          <w:t>Ezequiel 27.17</w:t>
        </w:r>
      </w:hyperlink>
      <w:r>
        <w:t xml:space="preserve"> acredita-se que são o bálsamo de Gileade </w:t>
      </w:r>
      <w:r>
        <w:rPr>
          <w:i/>
        </w:rPr>
        <w:t>(Commiphora opobalsamum),</w:t>
      </w:r>
      <w:r>
        <w:t xml:space="preserve"> que, apesar de seu nome, não é nativa de Gileade ou mesmo da Terra Santa, mas da Arábia, especificamente das regiões montanhosas do Iêmen. As árvores ainda existiam na planície de Jericó na época da conquista romana. Os conquistadores romanos carregavam ramos para Roma como troféus de sua vitória sobre os judeus.</w:t>
      </w:r>
    </w:p>
    <w:p>
      <w:r/>
      <w:r>
        <w:t>Essa árvore é uma pequena árvore perene de galhos rígidos, raramente ultrapassando 4,6 metros de altura, com galhos irregulares. O “bálsamo” é obtido fazendo cortes no caule e nos ramos da árvore. A seiva logo endurece em pequenos nódulos irregulares que são coletados. A goma também é adquirida de frutas verdes e maduras.</w:t>
      </w:r>
    </w:p>
    <w:p>
      <w:r/>
      <w:r>
        <w:rPr>
          <w:i/>
        </w:rPr>
        <w:t>Veja também</w:t>
      </w:r>
      <w:r>
        <w:t xml:space="preserve"> Mirra (abaixo).</w:t>
      </w:r>
    </w:p>
    <w:p>
      <w:pPr>
        <w:pStyle w:val="Heading3"/>
      </w:pPr>
      <w:r>
        <w:t>Cevada (Hordeum distichon)</w:t>
      </w:r>
    </w:p>
    <w:p>
      <w:r/>
      <w:r>
        <w:t xml:space="preserve">Um cereal que produz espigas de flores com aristas e sementes comestíveis. A cevada comum </w:t>
      </w:r>
      <w:r>
        <w:rPr>
          <w:i/>
        </w:rPr>
        <w:t>(Hordeum distichon),</w:t>
      </w:r>
      <w:r>
        <w:t xml:space="preserve"> a cevada de inverno </w:t>
      </w:r>
      <w:r>
        <w:rPr>
          <w:i/>
        </w:rPr>
        <w:t>(H.</w:t>
      </w:r>
      <w:r>
        <w:t xml:space="preserve"> hexastichon) e a cevada da primavera </w:t>
      </w:r>
      <w:r>
        <w:rPr>
          <w:i/>
        </w:rPr>
        <w:t>(H. vulgare)</w:t>
      </w:r>
      <w:r>
        <w:t xml:space="preserve"> foram produzidas em regiões temperadas do mundo desde tempos muito antigos e hoje ainda constituem um dos principais alimentos de grãos. Cevada e trigo eram as duas colheitas de cereais básicas do Egito e da Terra Santa. Sendo mais barata, a cevada era usada principalmente para alimentar o gado, embora também fosse usada por si só ou misturada com trigo e outras sementes como alimento para o homem (</w:t>
      </w:r>
      <w:hyperlink r:id="rId17085">
        <w:r>
          <w:rPr>
            <w:color w:val="0000EE"/>
            <w:u w:val="single"/>
          </w:rPr>
          <w:t>Ez 4.9–12</w:t>
        </w:r>
      </w:hyperlink>
      <w:r>
        <w:t>). A cevada é mencionada na Bíblia mais de 30 vezes, seja como uma planta que cresce nos campos ou em referência a produtos feitos a partir dela, como farinha de cevada, bolos de cevada e pães de cevada. Como alimento comum dos pobres, a cevada também era considerada como um símbolo de pobreza e baixo valor ou inutilidade (</w:t>
      </w:r>
      <w:hyperlink r:id="rId16009">
        <w:r>
          <w:rPr>
            <w:color w:val="0000EE"/>
            <w:u w:val="single"/>
          </w:rPr>
          <w:t>Os 3.2</w:t>
        </w:r>
      </w:hyperlink>
      <w:r>
        <w:t>).</w:t>
      </w:r>
    </w:p>
    <w:p>
      <w:pPr>
        <w:pStyle w:val="Heading3"/>
      </w:pPr>
      <w:r>
        <w:t>Bdélio (Commiphora africana)</w:t>
      </w:r>
    </w:p>
    <w:p>
      <w:r/>
      <w:r>
        <w:t xml:space="preserve">Uma goma resinada aromática semelhante à mirra, produzida por várias árvores do gênero </w:t>
      </w:r>
      <w:r>
        <w:rPr>
          <w:i/>
        </w:rPr>
        <w:t>Commiphora</w:t>
      </w:r>
      <w:r>
        <w:t xml:space="preserve"> da África e Ásia Ocidental. A referência em </w:t>
      </w:r>
      <w:hyperlink r:id="rId3287">
        <w:r>
          <w:rPr>
            <w:color w:val="0000EE"/>
            <w:u w:val="single"/>
          </w:rPr>
          <w:t>Gênesis 2.12</w:t>
        </w:r>
      </w:hyperlink>
      <w:r>
        <w:t xml:space="preserve"> e </w:t>
      </w:r>
      <w:hyperlink r:id="rId3286">
        <w:r>
          <w:rPr>
            <w:color w:val="0000EE"/>
            <w:u w:val="single"/>
          </w:rPr>
          <w:t>Números 11.7</w:t>
        </w:r>
      </w:hyperlink>
      <w:r>
        <w:t xml:space="preserve"> a bdélio é pensada pela maioria dos estudiosos de hoje para se referir a uma resina gomosa, obtida de um arbusto, </w:t>
      </w:r>
      <w:r>
        <w:rPr>
          <w:i/>
        </w:rPr>
        <w:t>Commiphora africana</w:t>
      </w:r>
      <w:r>
        <w:t>, que cresce no Sul da Arábia e no Nordeste da África. A resina é amarelada, transparente e perfumada, e se parece com uma pérola.</w:t>
      </w:r>
    </w:p>
    <w:p>
      <w:pPr>
        <w:pStyle w:val="Heading3"/>
      </w:pPr>
      <w:r>
        <w:t>Feijão (Faba vulgaris)</w:t>
      </w:r>
    </w:p>
    <w:p>
      <w:r/>
      <w:r>
        <w:t xml:space="preserve">As referências em </w:t>
      </w:r>
      <w:hyperlink r:id="rId17086">
        <w:r>
          <w:rPr>
            <w:color w:val="0000EE"/>
            <w:u w:val="single"/>
          </w:rPr>
          <w:t>2 Samuel 17.27–28</w:t>
        </w:r>
      </w:hyperlink>
      <w:r>
        <w:t xml:space="preserve"> e </w:t>
      </w:r>
      <w:hyperlink r:id="rId572">
        <w:r>
          <w:rPr>
            <w:color w:val="0000EE"/>
            <w:u w:val="single"/>
          </w:rPr>
          <w:t>Ezequiel</w:t>
        </w:r>
      </w:hyperlink>
      <w:r>
        <w:t xml:space="preserve"> 4.9 são geralmente consideradas como se referindo ao feijão. Acredita-se que esta espécie, uma planta que cresce anualmente, tenha crescido originalmente no Norte da Pérsia, mas foi extensivamente plantada na Ásia Ocidental em tempos muito antigos como uma planta de alimentos. Os feijões foram encontrados nos caixões de múmias de túmulos egípcios, e eles também foram plantados pelos gregos e romanos.</w:t>
      </w:r>
    </w:p>
    <w:p>
      <w:pPr>
        <w:pStyle w:val="Heading3"/>
      </w:pPr>
      <w:r>
        <w:t>Ervas amargas (Cichorium endivia, Taraxacum officinale, Lactuca sativa)</w:t>
      </w:r>
    </w:p>
    <w:p>
      <w:r/>
      <w:r>
        <w:t xml:space="preserve">As “ervas amargas” de </w:t>
      </w:r>
      <w:hyperlink r:id="rId5218">
        <w:r>
          <w:rPr>
            <w:color w:val="0000EE"/>
            <w:u w:val="single"/>
          </w:rPr>
          <w:t>Êxodo 12.8</w:t>
        </w:r>
      </w:hyperlink>
      <w:r>
        <w:t xml:space="preserve"> e </w:t>
      </w:r>
      <w:hyperlink r:id="rId5235">
        <w:r>
          <w:rPr>
            <w:color w:val="0000EE"/>
            <w:u w:val="single"/>
          </w:rPr>
          <w:t>Números 9.11</w:t>
        </w:r>
      </w:hyperlink>
      <w:r>
        <w:t xml:space="preserve"> parecem ter sido plantas como endívia </w:t>
      </w:r>
      <w:r>
        <w:rPr>
          <w:i/>
        </w:rPr>
        <w:t>(Cichorium endivia),</w:t>
      </w:r>
      <w:r>
        <w:t xml:space="preserve"> a chicória comum </w:t>
      </w:r>
      <w:r>
        <w:rPr>
          <w:i/>
        </w:rPr>
        <w:t>(Cichorium intybus),</w:t>
      </w:r>
      <w:r>
        <w:t xml:space="preserve"> a alface </w:t>
      </w:r>
      <w:r>
        <w:rPr>
          <w:i/>
        </w:rPr>
        <w:t>(Lactuca sativa)</w:t>
      </w:r>
      <w:r>
        <w:t xml:space="preserve"> ou o dente de leão comum </w:t>
      </w:r>
      <w:r>
        <w:rPr>
          <w:i/>
        </w:rPr>
        <w:t>(Taraxacum officinale).</w:t>
      </w:r>
      <w:r>
        <w:t xml:space="preserve"> Essas são todas as plantas daninhas comuns no Egito moderno e na Ásia ocidental e ainda hoje são consumidas pelas pessoas que vivem lá. As folhas da alface comum do jardim são intensamente amargas quando branqueadas. Isso também é verdade do dente-de-leão comum. Outros sugerem que as ervas amargas eram derivadas de espinhos e cardos.</w:t>
      </w:r>
    </w:p>
    <w:p>
      <w:pPr>
        <w:pStyle w:val="Heading3"/>
      </w:pPr>
      <w:r>
        <w:t>Espinheiro-europeu (Lycium europaeum)</w:t>
      </w:r>
    </w:p>
    <w:p>
      <w:r/>
      <w:r>
        <w:t xml:space="preserve">Vários arbustos espinhosos, algumas espécies dos quais produzem flores arroxeadas e bagas de cores vivas. Acredita-se que a referência em </w:t>
      </w:r>
      <w:hyperlink r:id="rId17087">
        <w:r>
          <w:rPr>
            <w:color w:val="0000EE"/>
            <w:u w:val="single"/>
          </w:rPr>
          <w:t>Juízes 9.14–15</w:t>
        </w:r>
      </w:hyperlink>
      <w:r>
        <w:t xml:space="preserve"> seja ao espinheiro europeu ou espinheiro-do-deserto. É um arbusto espinhoso de 1,8 a 3,7 metros de altura, com folhas aglomeradas e pequenas flores violetas que eventualmente produzem pequenas bagas vermelhas globulares. É nativo e comum em toda a Terra Santa, especialmente na região do Líbano até o Mar Morto.</w:t>
      </w:r>
    </w:p>
    <w:p>
      <w:pPr>
        <w:pStyle w:val="Heading3"/>
      </w:pPr>
      <w:r>
        <w:t>Buxo (Buxus longifolia)</w:t>
      </w:r>
    </w:p>
    <w:p>
      <w:r/>
      <w:r>
        <w:t xml:space="preserve">A árvore de folhas longas é uma árvore perene resistente encontrada nas regiões montanhosas da parte Norte da Terra Santa, as colinas da Galileia e no Líbano. Cresce até uma altura de cerca de 6,1 metros com um tronco fino raramente com mais de 15,2 a 20,3 centímetros de diâmetro. Sua madeira é muito dura e leva um polimento fino. Foi cultivado pelos romanos por sua madeira dura, a qual eles embutiam com marfim para armários e caixões de joias. As referências bíblicas incluem </w:t>
      </w:r>
      <w:hyperlink r:id="rId17088">
        <w:r>
          <w:rPr>
            <w:color w:val="0000EE"/>
            <w:u w:val="single"/>
          </w:rPr>
          <w:t>Isaías 41.19</w:t>
        </w:r>
      </w:hyperlink>
      <w:r>
        <w:t xml:space="preserve"> e </w:t>
      </w:r>
      <w:hyperlink r:id="rId3362">
        <w:r>
          <w:rPr>
            <w:color w:val="0000EE"/>
            <w:u w:val="single"/>
          </w:rPr>
          <w:t>60.13</w:t>
        </w:r>
      </w:hyperlink>
      <w:r>
        <w:t>.</w:t>
      </w:r>
    </w:p>
    <w:p>
      <w:pPr>
        <w:pStyle w:val="Heading3"/>
      </w:pPr>
      <w:r>
        <w:t>Amoreira-silvestre (Rubus sanctus, R. ulmifolius)</w:t>
      </w:r>
    </w:p>
    <w:p>
      <w:r/>
      <w:r>
        <w:t xml:space="preserve">A amora-silvestre da Palestina </w:t>
      </w:r>
      <w:r>
        <w:rPr>
          <w:i/>
        </w:rPr>
        <w:t>(Rubus sanctus)</w:t>
      </w:r>
      <w:r>
        <w:t xml:space="preserve"> e a amoreira-de-folha-olmo </w:t>
      </w:r>
      <w:r>
        <w:rPr>
          <w:i/>
        </w:rPr>
        <w:t>(R. ulmifolius)</w:t>
      </w:r>
      <w:r>
        <w:t xml:space="preserve"> são arbustos perenes e espinhosos que se espalham por meio de brotações subterrâneas. As hastes e os brotos jovens estão cobertos com uma flor característica ou pó esbranquiçado e pelos pequenos. Os espinhos são fortes, eretos e peludos. As flores são brancas, rosa ou púrpura e a fruta é redonda e preta.</w:t>
      </w:r>
    </w:p>
    <w:p>
      <w:r/>
      <w:r>
        <w:rPr>
          <w:i/>
        </w:rPr>
        <w:t>Veja também</w:t>
      </w:r>
      <w:r>
        <w:t xml:space="preserve"> Cardo-espinhoso (abaixo).</w:t>
      </w:r>
    </w:p>
    <w:p>
      <w:pPr>
        <w:pStyle w:val="Heading3"/>
      </w:pPr>
      <w:r>
        <w:t>Giesta (Retama raetam)</w:t>
      </w:r>
    </w:p>
    <w:p>
      <w:r/>
      <w:r>
        <w:t xml:space="preserve">Um arbusto nativo da Eurásia. A palavra traduzida “junípero” na versão KJV não tem nada a ver com os verdadeiros juníperos, mas se refere mais a uma espécie de giesta, conhecida como giesta-branca </w:t>
      </w:r>
      <w:r>
        <w:rPr>
          <w:i/>
        </w:rPr>
        <w:t>(Retama raetam).</w:t>
      </w:r>
      <w:r>
        <w:t xml:space="preserve"> Seus ramos são mais longos e flexíveis, formando um arbusto ereto e denso de 0,9 a 3,7 metros de altura. As folhas são pequenas e esparsas, mas forma uma sombra agradável em uma região desértica. As flores brancas pálidas são doces e muito perfumadas e são carregadas de cachos ao longo dos galhos. É um belo arbusto que cresce nas regiões desérticas da Palestina, Síria e Pérsia. Em muitas áreas do deserto, é o único arbusto que oferece qualquer sombra (</w:t>
      </w:r>
      <w:hyperlink r:id="rId17089">
        <w:r>
          <w:rPr>
            <w:color w:val="0000EE"/>
            <w:u w:val="single"/>
          </w:rPr>
          <w:t>1Rs 19.4–5</w:t>
        </w:r>
      </w:hyperlink>
      <w:r>
        <w:t>).</w:t>
      </w:r>
    </w:p>
    <w:p>
      <w:r/>
      <w:r>
        <w:t xml:space="preserve">As “raízes de junípero” de </w:t>
      </w:r>
      <w:hyperlink r:id="rId17090">
        <w:r>
          <w:rPr>
            <w:color w:val="0000EE"/>
            <w:u w:val="single"/>
          </w:rPr>
          <w:t>Jó 30.4</w:t>
        </w:r>
      </w:hyperlink>
      <w:r>
        <w:t xml:space="preserve"> não são as raízes do junípero ou da giesta branca. As raízes destes últimos dão muita náusea e não poderiam ser comidas da maneira descrita por Jó. As “raízes de junípero” de Jó eram provavelmente uma planta parasita comestível </w:t>
      </w:r>
      <w:r>
        <w:rPr>
          <w:i/>
        </w:rPr>
        <w:t>(Cynomorium coccineum).</w:t>
      </w:r>
      <w:r>
        <w:t xml:space="preserve"> Esta planta cresce em pântanos salinos e areias marítimas. É frequentemente consumido em tempos de escassez de alimentos e, ao mesmo tempo, era altamente valorizado por seu suposto valor medicinal no tratamento da disenteria.</w:t>
      </w:r>
    </w:p>
    <w:p>
      <w:pPr>
        <w:pStyle w:val="Heading3"/>
      </w:pPr>
      <w:r>
        <w:t>Espinheiro-alvar (Rhamnus palaestina)</w:t>
      </w:r>
    </w:p>
    <w:p>
      <w:r/>
      <w:r>
        <w:t>O espinheiro-alvar palestino é um arbusto ou pequena árvore que atinge uma altura de 0,9 a 1,8 metros com ramos aveludados, espinhosos, folhas verdes e cachos de pequenas flores florescendo em março ou abril. Cresce em matas e nas encostas da Síria e do Líbano indo da Terra Santa para a Arábia e o Sinai.</w:t>
      </w:r>
    </w:p>
    <w:p>
      <w:pPr>
        <w:pStyle w:val="Heading3"/>
      </w:pPr>
      <w:r>
        <w:t>Sarça (Acacia nilotica, Loranthus acaciae)</w:t>
      </w:r>
    </w:p>
    <w:p>
      <w:r/>
      <w:r>
        <w:t>Planta baixa, ramificada, lenhosa, geralmente menor do que uma árvore. Há diferenças de opinião em relação à sarça da qual o Senhor apareceu a Moisés (</w:t>
      </w:r>
      <w:hyperlink r:id="rId17091">
        <w:r>
          <w:rPr>
            <w:color w:val="0000EE"/>
            <w:u w:val="single"/>
          </w:rPr>
          <w:t>Êx 3.2–4</w:t>
        </w:r>
      </w:hyperlink>
      <w:r>
        <w:t xml:space="preserve">). Do relato bíblico, parece mais provável que o evento tenha sido milagroso. No entanto, alguns buscam uma explicação natural e acreditam que a sarça ardente pode ter sido o visco de flor carmesim ou flor-de-cira-de-acácia </w:t>
      </w:r>
      <w:r>
        <w:rPr>
          <w:i/>
        </w:rPr>
        <w:t>(Loranthus acaciae),</w:t>
      </w:r>
      <w:r>
        <w:t xml:space="preserve"> que cresce em grande profusão como um parasita parcial nos vários arbustos de acácia, como a acácia-espinhosa </w:t>
      </w:r>
      <w:r>
        <w:rPr>
          <w:i/>
        </w:rPr>
        <w:t>(Acácia nilotica),</w:t>
      </w:r>
      <w:r>
        <w:t xml:space="preserve"> na Terra Santa e no Sinai. Quando em plena floração, o visco dá ao arbusto ou à árvore a aparência de estar em chamas, porque suas flores brilhantes de cor flamejante se destacam contra a folhagem verde e as flores amarelas das plantas hospedeiras.</w:t>
      </w:r>
    </w:p>
    <w:p>
      <w:pPr>
        <w:pStyle w:val="Heading3"/>
      </w:pPr>
      <w:r>
        <w:t>Ranúnculo (Ranunculus asiaticus)</w:t>
      </w:r>
    </w:p>
    <w:p>
      <w:r/>
      <w:r>
        <w:t>O Ranúnculo persa é uma das flores ou ervas do campo (</w:t>
      </w:r>
      <w:hyperlink r:id="rId17092">
        <w:r>
          <w:rPr>
            <w:color w:val="0000EE"/>
            <w:u w:val="single"/>
          </w:rPr>
          <w:t>Mt 6.28–30</w:t>
        </w:r>
      </w:hyperlink>
      <w:r>
        <w:t>). É uma planta vistosa que floresce em todas as cores brilhantes, exceto o azul, com flores duplas, às vezes medindo 5,1 centímetros de diâmetro.</w:t>
      </w:r>
    </w:p>
    <w:p>
      <w:pPr>
        <w:pStyle w:val="Heading3"/>
      </w:pPr>
      <w:r>
        <w:t>Cálamo (Acorus calamus, Andropogon aromaticus)</w:t>
      </w:r>
    </w:p>
    <w:p>
      <w:r/>
      <w:r>
        <w:t>Uma planta, ou sua raiz aromática; qualquer variedade de palmeiras asiáticas tropicais. Uma das plantas que cresceu no jardim de Salomão (</w:t>
      </w:r>
      <w:hyperlink r:id="rId4021">
        <w:r>
          <w:rPr>
            <w:color w:val="0000EE"/>
            <w:u w:val="single"/>
          </w:rPr>
          <w:t>Ct 4.14</w:t>
        </w:r>
      </w:hyperlink>
      <w:r>
        <w:t xml:space="preserve">). O açoro-doce </w:t>
      </w:r>
      <w:r>
        <w:rPr>
          <w:i/>
        </w:rPr>
        <w:t>(Acorus</w:t>
      </w:r>
      <w:r>
        <w:t xml:space="preserve"> </w:t>
      </w:r>
      <w:r>
        <w:rPr>
          <w:i/>
        </w:rPr>
        <w:t>calamus)</w:t>
      </w:r>
      <w:r>
        <w:t xml:space="preserve"> e as capim-barba </w:t>
      </w:r>
      <w:r>
        <w:rPr>
          <w:i/>
        </w:rPr>
        <w:t>(Andropogon aromaticus)</w:t>
      </w:r>
      <w:r>
        <w:t xml:space="preserve"> foram sugeridas como as plantas de onde veio o cálamo veio. O açoro-doce é altamente aromático e cresce na Europa e Ásia, mas não é conhecido na Terra Santa. Natural da Índia, o capim-barba é altamente odorífero quando machucado e acredita-se que tenha fornecido o cálamo da Bíblia. Produz um óleo conhecido como óleo de gengibre.</w:t>
      </w:r>
    </w:p>
    <w:p>
      <w:pPr>
        <w:pStyle w:val="Heading3"/>
      </w:pPr>
      <w:r>
        <w:t>Cana-de-açúcar (Saccharum officinarum)</w:t>
      </w:r>
    </w:p>
    <w:p>
      <w:r/>
      <w:r>
        <w:t xml:space="preserve">Acredita-se que havia duas espécies de cana-de-açúcar nativas e crescendo selvagens na Terra Santa. Uma delas, </w:t>
      </w:r>
      <w:r>
        <w:rPr>
          <w:i/>
        </w:rPr>
        <w:t>Saccharum sara,</w:t>
      </w:r>
      <w:r>
        <w:t xml:space="preserve"> é conhecida por ser apenas do Líbano. A outra espécie nativa é </w:t>
      </w:r>
      <w:r>
        <w:rPr>
          <w:i/>
        </w:rPr>
        <w:t>S. biflorum,</w:t>
      </w:r>
      <w:r>
        <w:t xml:space="preserve"> que cresce nas margens de valas e riachos desde a Síria e o Líbano, passando pela Terra Santa até o Sul da Arábia Pétrea e o Sinai. Esta pode ser a cana selvagem familiar aos judeus. A maioria das autoridades, no entanto, pensa que a “cana-aromática” de </w:t>
      </w:r>
      <w:hyperlink r:id="rId17093">
        <w:r>
          <w:rPr>
            <w:color w:val="0000EE"/>
            <w:u w:val="single"/>
          </w:rPr>
          <w:t>Isaías 43.24</w:t>
        </w:r>
      </w:hyperlink>
      <w:r>
        <w:t xml:space="preserve"> era a verdadeira cana-de-açúcar </w:t>
      </w:r>
      <w:r>
        <w:rPr>
          <w:i/>
        </w:rPr>
        <w:t>(S. officinarum).</w:t>
      </w:r>
      <w:r>
        <w:t xml:space="preserve"> Acredita-se que esta planta tenha se originado nos trópicos do hemisfério oriental. Tem sido cultivada por pessoas desde tempos antigos e agora não é conhecida em estado selvagem em lugar nenhum. É uma planta perene alta e robusta, com aspecto semelhante ao do milho, com muitos caules articulados e uma grande inflorescência terminal plurosa.</w:t>
      </w:r>
    </w:p>
    <w:p>
      <w:pPr>
        <w:pStyle w:val="Heading3"/>
      </w:pPr>
      <w:r>
        <w:t>Planta de Alcaparra (Capparis sincula)</w:t>
      </w:r>
    </w:p>
    <w:p>
      <w:r/>
      <w:r>
        <w:t xml:space="preserve">Arbusto rastejante e espinhoso da região mediterrânea; o botão de flor deste arbusto. A palavra “desejo” em </w:t>
      </w:r>
      <w:hyperlink r:id="rId17094">
        <w:r>
          <w:rPr>
            <w:color w:val="0000EE"/>
            <w:u w:val="single"/>
          </w:rPr>
          <w:t>Eclesiastes 12.5</w:t>
        </w:r>
      </w:hyperlink>
      <w:r>
        <w:t xml:space="preserve"> pode realmente se referir à alcaparra. A alcaparra profusamente na Síria, no Líbano, na Terra Santa e nos Vales das Montanhas do Sinai. A planta pode às vezes crescer ereta, mas geralmente se espalha fracamente pelo chão como uma videira, cobrindo rochas, ruínas e paredes antigas como a hera. Os botões florais jovens, em conserva de vinagre, eram usados pelos antigos como um condimento para carne. O fruto também eram usadas para cozinhar.</w:t>
      </w:r>
    </w:p>
    <w:p>
      <w:pPr>
        <w:pStyle w:val="Heading3"/>
      </w:pPr>
      <w:r>
        <w:t>Árvore de Alfarroba (Ceratonia siliqua)</w:t>
      </w:r>
    </w:p>
    <w:p>
      <w:r/>
      <w:r>
        <w:t>Planta perene da região do Mediterrâneo com vagens comestíveis. Os estudiosos geralmente concordam que as vagens da alfarroba ou alfarrobeira eram as “vagens” (ou bolotas em algumas versões) da parábola de Jesus do filho pródigo (</w:t>
      </w:r>
      <w:hyperlink r:id="rId5073">
        <w:r>
          <w:rPr>
            <w:color w:val="0000EE"/>
            <w:u w:val="single"/>
          </w:rPr>
          <w:t>Lc 15.16</w:t>
        </w:r>
      </w:hyperlink>
      <w:r>
        <w:t>). A alfarrobeira é uma árvore leguminosa atraente perene que é muito comum em toda a Terra Santa, Síria e Egito. As vagens são mais abundantes em abril e maio e contêm numerosas sementes semelhantes a ervilhas inseridas em uma polpa mucilaginosa agradavelmente adocicada. As vagens também são usadas abundantemente agora como elas eram na antiguidade para alimentar gado, cavalos e porcos. Em tempo de escassez, elas são usadas como alimento humano e talvez até regularmente pelas pessoas muito pobres. A alfarroba é frequentemente mencionada no Talmude como uma fonte de boa comida para animais domésticos. As sementes da alfarroba eram anteriormente empregadas como um padrão de peso e são a fonte do termo “quilate”. Alguns comentaristas sugerem que os “gafanhotos” comidos por João Batista (</w:t>
      </w:r>
      <w:hyperlink r:id="rId1497">
        <w:r>
          <w:rPr>
            <w:color w:val="0000EE"/>
            <w:u w:val="single"/>
          </w:rPr>
          <w:t>Mt 3.4</w:t>
        </w:r>
      </w:hyperlink>
      <w:r>
        <w:t>) não eram insetos, mas o fruto da alfarrobeira.</w:t>
      </w:r>
    </w:p>
    <w:p>
      <w:pPr>
        <w:pStyle w:val="Heading3"/>
      </w:pPr>
      <w:r>
        <w:t>Cássia (Cinnamomum cassia, Saussurea lappa)</w:t>
      </w:r>
    </w:p>
    <w:p>
      <w:r/>
      <w:r>
        <w:t xml:space="preserve">Árvore da Ásia Tropical com casca semelhante, mas inferior à canela. A “cássia” de </w:t>
      </w:r>
      <w:hyperlink r:id="rId4626">
        <w:r>
          <w:rPr>
            <w:color w:val="0000EE"/>
            <w:u w:val="single"/>
          </w:rPr>
          <w:t>Êxodo 30.24</w:t>
        </w:r>
      </w:hyperlink>
      <w:r>
        <w:t xml:space="preserve"> e </w:t>
      </w:r>
      <w:hyperlink r:id="rId4020">
        <w:r>
          <w:rPr>
            <w:color w:val="0000EE"/>
            <w:u w:val="single"/>
          </w:rPr>
          <w:t>Ezequiel 27.19</w:t>
        </w:r>
      </w:hyperlink>
      <w:r>
        <w:t xml:space="preserve">é a árvore da casca da cássia, </w:t>
      </w:r>
      <w:r>
        <w:rPr>
          <w:i/>
        </w:rPr>
        <w:t>Cinnamomum cassia.</w:t>
      </w:r>
      <w:r>
        <w:t xml:space="preserve"> No </w:t>
      </w:r>
      <w:hyperlink r:id="rId4627">
        <w:r>
          <w:rPr>
            <w:color w:val="0000EE"/>
            <w:u w:val="single"/>
          </w:rPr>
          <w:t>Salmo 45.8</w:t>
        </w:r>
      </w:hyperlink>
      <w:r>
        <w:t xml:space="preserve">, a referência parece ser ao lírio indiano, </w:t>
      </w:r>
      <w:r>
        <w:rPr>
          <w:i/>
        </w:rPr>
        <w:t>Saussurea lappa.</w:t>
      </w:r>
    </w:p>
    <w:p>
      <w:pPr>
        <w:pStyle w:val="Heading3"/>
      </w:pPr>
      <w:r>
        <w:t>Mamona (Ricinus communis)</w:t>
      </w:r>
    </w:p>
    <w:p>
      <w:r/>
      <w:r>
        <w:t xml:space="preserve">Planta grande, nativa da África tropical e da Ásia, cultivada por razões ornamentais e para extração de óleo de suas sementes. A cabaceira de </w:t>
      </w:r>
      <w:hyperlink r:id="rId17095">
        <w:r>
          <w:rPr>
            <w:color w:val="0000EE"/>
            <w:u w:val="single"/>
          </w:rPr>
          <w:t>Jonas 4.6–7</w:t>
        </w:r>
      </w:hyperlink>
      <w:r>
        <w:t xml:space="preserve"> era provavelmente a mamona comum. A planta da mamona é um arbusto delicado, crescendo 0,9 a 3,7 metros de altura com folhas enormes que se assemelham à mão humana estendida. A planta de mamona é encontrada em lugares residuais, especialmente perto da água, tanto no Líbano quanto na Terra Santa, e muitas vezes é cultivada. Em climas quentes, torna-se semelhante a uma árvore e proporciona uma sombra densa pela abundância de suas enormes folhas semelhantes a um guarda-chuva. É conhecida no Oriente pela rapidez de seu crescimento. O óleo extraído das sementes da mamona era usado pelos judeus em ritos cerimoniais e é mencionado entre os cinco tipos de óleo que a tradição rabínica sancionava para tal uso. As próprias sementes são venenosas quando comidas.</w:t>
      </w:r>
    </w:p>
    <w:p>
      <w:pPr>
        <w:pStyle w:val="Heading3"/>
      </w:pPr>
      <w:r>
        <w:t>Cedro (Cedrus libani)</w:t>
      </w:r>
    </w:p>
    <w:p>
      <w:r/>
      <w:r>
        <w:t xml:space="preserve">Qualquer uma das várias árvores perenes coníferas do gênero nativo do mundo antigo. Com poucas exceções, as referências a “cedro” são ao conhecido cedro do Líbano. Esta é uma árvore nobre, a mais alta e mais volumosa com a qual os israelitas estavam familiarizados. Cresce muito rapidamente, atingindo uma altura de até 36,6 metros com um diâmetro de tronco de até 2,4 metros. Nos dias de Salomão, essas árvores eram obviamente abundantes nas montanhas do Líbano, mas agora, devido ao desmatamento excessivo, elas são muito raras. O cedro do Líbano era altamente estimado não apenas por seu vigor, beleza e longevidade, mas também pela fragrância e qualidades duradouras notáveis da madeira. Simboliza grandeza, poder, majestade, dignidade, estatura elevada e ampla expansão. As referências em </w:t>
      </w:r>
      <w:hyperlink r:id="rId5511">
        <w:r>
          <w:rPr>
            <w:color w:val="0000EE"/>
            <w:u w:val="single"/>
          </w:rPr>
          <w:t>Ezequiel 17.3,22–24</w:t>
        </w:r>
      </w:hyperlink>
      <w:r>
        <w:t xml:space="preserve"> e </w:t>
      </w:r>
      <w:hyperlink r:id="rId17096">
        <w:r>
          <w:rPr>
            <w:color w:val="0000EE"/>
            <w:u w:val="single"/>
          </w:rPr>
          <w:t>31.3–18</w:t>
        </w:r>
      </w:hyperlink>
      <w:r>
        <w:t xml:space="preserve"> ilustram com beleza como esses reis elevados da floresta simbolizam e tipificam a força, poder e glória mundana.</w:t>
      </w:r>
    </w:p>
    <w:p>
      <w:pPr>
        <w:pStyle w:val="Heading3"/>
      </w:pPr>
      <w:r>
        <w:t>Chicória (Cichorium intybus)</w:t>
      </w:r>
    </w:p>
    <w:p>
      <w:r/>
      <w:r>
        <w:rPr>
          <w:i/>
        </w:rPr>
        <w:t>Veja</w:t>
      </w:r>
      <w:r>
        <w:t xml:space="preserve"> Ervas Amargas (acima).</w:t>
      </w:r>
    </w:p>
    <w:p>
      <w:pPr>
        <w:pStyle w:val="Heading3"/>
      </w:pPr>
      <w:r>
        <w:t>Canela (Cinnamomum zeylanicum)</w:t>
      </w:r>
    </w:p>
    <w:p>
      <w:r/>
      <w:r>
        <w:t xml:space="preserve">Duas variedades de árvores deste gênero, nativas da Ásia tropical, com casca aromática que, quando moída, é usada como especiaria. A canela de </w:t>
      </w:r>
      <w:hyperlink r:id="rId4019">
        <w:r>
          <w:rPr>
            <w:color w:val="0000EE"/>
            <w:u w:val="single"/>
          </w:rPr>
          <w:t>Êxodo 30.23</w:t>
        </w:r>
      </w:hyperlink>
      <w:r>
        <w:t xml:space="preserve">, </w:t>
      </w:r>
      <w:hyperlink r:id="rId16902">
        <w:r>
          <w:rPr>
            <w:color w:val="0000EE"/>
            <w:u w:val="single"/>
          </w:rPr>
          <w:t>Provérbios 7.17</w:t>
        </w:r>
      </w:hyperlink>
      <w:r>
        <w:t xml:space="preserve">, </w:t>
      </w:r>
      <w:hyperlink r:id="rId4021">
        <w:r>
          <w:rPr>
            <w:color w:val="0000EE"/>
            <w:u w:val="single"/>
          </w:rPr>
          <w:t>Cantares 4.14</w:t>
        </w:r>
      </w:hyperlink>
      <w:r>
        <w:t xml:space="preserve"> e </w:t>
      </w:r>
      <w:hyperlink r:id="rId17097">
        <w:r>
          <w:rPr>
            <w:color w:val="0000EE"/>
            <w:u w:val="single"/>
          </w:rPr>
          <w:t>Apocalipse 18.13</w:t>
        </w:r>
      </w:hyperlink>
      <w:r>
        <w:t xml:space="preserve"> é, sem dúvida, </w:t>
      </w:r>
      <w:r>
        <w:rPr>
          <w:i/>
        </w:rPr>
        <w:t>Cinnamomum zeylanicum.</w:t>
      </w:r>
      <w:r>
        <w:t xml:space="preserve"> A árvore é relativamente baixa, nunca alcançando mais de 9,1 metros de altura, com uma casca lisa de cor cinza-claro e ramos espalhados e flores brancas. Suas folhas perenes brilhantes e desenhadas de forma muito bela crescem cerca de 22,9 centímetros de comprimento e 5,1 centímetros de largura.</w:t>
      </w:r>
    </w:p>
    <w:p>
      <w:r/>
      <w:r>
        <w:t>Os judeus sempre consideravam a canela como uma substância extremamente cheirosa e a valorizavam altamente como uma especiaria e um perfume. Era um dos principais ingredientes usados na fabricação dos unguentos preciosos, ou “óleo santo”, que Moisés recebeu ordem de usar no tabernáculo para ungir os vasos sagrados e oficiar os sacerdotes. Era, sem dúvida, muito caro e precioso.</w:t>
      </w:r>
    </w:p>
    <w:p>
      <w:pPr>
        <w:pStyle w:val="Heading3"/>
      </w:pPr>
      <w:r>
        <w:t>Árvore de cidra (Tetraclinis articulata)</w:t>
      </w:r>
    </w:p>
    <w:p>
      <w:r/>
      <w:r>
        <w:t>Árvore nativa da Ásia tendo fruto semelhante a limão com uma casca espessa e com fragrância. Raramente excede uma altura de 9,1 metros e tem madeira dura, de cor escura, resistente e aromatizada que leva um polimento fino. A madeira era uma das mais valorizadas pelos antigos, que a utilizavam extensivamente na marcenaria. Era comumente referida como valendo seu peso em ouro. A madeira, devido às suas propriedades resinosas, é lenta para apodrecer e permanece praticamente intacta aos insetos.</w:t>
      </w:r>
    </w:p>
    <w:p>
      <w:pPr>
        <w:pStyle w:val="Heading3"/>
      </w:pPr>
      <w:r>
        <w:t>Coentro (Coriandrum sativum)</w:t>
      </w:r>
    </w:p>
    <w:p>
      <w:r/>
      <w:r>
        <w:t xml:space="preserve">As referências em </w:t>
      </w:r>
      <w:hyperlink r:id="rId5101">
        <w:r>
          <w:rPr>
            <w:color w:val="0000EE"/>
            <w:u w:val="single"/>
          </w:rPr>
          <w:t>Êxodo 16.31</w:t>
        </w:r>
      </w:hyperlink>
      <w:r>
        <w:t xml:space="preserve"> e </w:t>
      </w:r>
      <w:hyperlink r:id="rId3286">
        <w:r>
          <w:rPr>
            <w:color w:val="0000EE"/>
            <w:u w:val="single"/>
          </w:rPr>
          <w:t>Números 11.7</w:t>
        </w:r>
      </w:hyperlink>
      <w:r>
        <w:t xml:space="preserve"> são claramente à planta de coentro comum. O coentro era encontrado com bastante frequência crescendo junto com grãos em campos cultivados por toda a Terra Santa. Cresce silvestre no Egito e foi usado pelos antigos tanto como condimento quanto como um medicamento. As folhas, bem aromáticas, são usadas em sopas e para aromatizar pudins, caril e vinhos. O coentro ainda é usado hoje como especiaria pelos árabes. Nas Escrituras, só é mencionado em vínculo com o maná, que diziam se assemelhar a sementes de coentro em tamanho, forma e cor.</w:t>
      </w:r>
    </w:p>
    <w:p>
      <w:pPr>
        <w:pStyle w:val="Heading3"/>
      </w:pPr>
      <w:r>
        <w:t>Algodão (Gossypium herbaceum)</w:t>
      </w:r>
    </w:p>
    <w:p>
      <w:r/>
      <w:r>
        <w:t xml:space="preserve">Qualquer uma das várias plantas ou arbustos deste gênero cresceu em climas quentes pela suave fibra branca ligada às suas sementes e pelo óleo dessas sementes. O “verde” da versão KJV em </w:t>
      </w:r>
      <w:hyperlink r:id="rId3105">
        <w:r>
          <w:rPr>
            <w:color w:val="0000EE"/>
            <w:u w:val="single"/>
          </w:rPr>
          <w:t>Ester 1.6</w:t>
        </w:r>
      </w:hyperlink>
      <w:r>
        <w:t xml:space="preserve"> é, sem dúvida, uma referência ao algodão do Levante </w:t>
      </w:r>
      <w:r>
        <w:rPr>
          <w:i/>
        </w:rPr>
        <w:t>(Gossypium herbaceum)</w:t>
      </w:r>
      <w:r>
        <w:t xml:space="preserve"> que foi plantado desde tempos antigos no Extremo Oriente. Alexandre, o Grande, o trouxe de volta da Índia. É provável que os judeus se familiarizaram com o algodão durante o período de seu cativeiro persa sob o rei Assuero.</w:t>
      </w:r>
    </w:p>
    <w:p>
      <w:pPr>
        <w:pStyle w:val="Heading3"/>
      </w:pPr>
      <w:r>
        <w:t>Pepino (Cucumis chate, C. sativus)</w:t>
      </w:r>
    </w:p>
    <w:p>
      <w:r/>
      <w:r>
        <w:t>O pepino é uma trepadeira ou planta rasteira, a origem é desconhecida. Tem sido cultivado em todos os países quentes do mundo antigo desde os tempos pré-históricos. Pepinos são geralmente consumidos crus; um pepino e um bolo de cevada ou algum outro tipo de pão frequentemente constituem uma refeição. A referência a “um abrigo em um jardim de pepinos” (</w:t>
      </w:r>
      <w:hyperlink r:id="rId3881">
        <w:r>
          <w:rPr>
            <w:color w:val="0000EE"/>
            <w:u w:val="single"/>
          </w:rPr>
          <w:t>Is 1.8</w:t>
        </w:r>
      </w:hyperlink>
      <w:r>
        <w:t>) refere-se à pequena casa ou abrigo rudimentar frequentemente montado em campos de pepinos e vinhedos palestinos.</w:t>
      </w:r>
    </w:p>
    <w:p>
      <w:pPr>
        <w:pStyle w:val="Heading3"/>
      </w:pPr>
      <w:r>
        <w:t>Cominho (Cinium cyminum)</w:t>
      </w:r>
    </w:p>
    <w:p>
      <w:r/>
      <w:r>
        <w:t xml:space="preserve">As referências em </w:t>
      </w:r>
      <w:hyperlink r:id="rId17098">
        <w:r>
          <w:rPr>
            <w:color w:val="0000EE"/>
            <w:u w:val="single"/>
          </w:rPr>
          <w:t>Isaías 28.25–27</w:t>
        </w:r>
      </w:hyperlink>
      <w:r>
        <w:t xml:space="preserve"> e </w:t>
      </w:r>
      <w:hyperlink r:id="rId5236">
        <w:r>
          <w:rPr>
            <w:color w:val="0000EE"/>
            <w:u w:val="single"/>
          </w:rPr>
          <w:t>Mateus 23.23</w:t>
        </w:r>
      </w:hyperlink>
      <w:r>
        <w:t>são claramente para o cominho — uma planta comum que cresce anualmente da família da cenoura que se acredita ser nativo do Egito e da região do Mediterrâneo Oriental. Há muito tempo é cultivado por suas sementes poderosamente aromáticas e pontiagudo, que são semelhantes às sementes de alcarávia, mas maiores. Eles não têm um gosto tão agradável quanto as sementes de alcarávia, no entanto, eram usadas extensivamente para dar sabor ou como especiaria e às vezes eram até misturadas com farinha na confecção do pão. Cominho também era usado medicinalmente e como um condimento para peixes e carnes.</w:t>
      </w:r>
    </w:p>
    <w:p>
      <w:pPr>
        <w:pStyle w:val="Heading3"/>
      </w:pPr>
      <w:r>
        <w:t>Cipreste (Cupressus sempervirens horizontalis)</w:t>
      </w:r>
    </w:p>
    <w:p>
      <w:r/>
      <w:r>
        <w:t xml:space="preserve">O cipreste é uma árvore perene maciça e de alto crescimento com folhas em forma de escama, amplamente distribuída nas regiões montanhosas da Terra Santa. No Monte Líbano e no Monte Hermon, cresce junto com o cedro e o carvalho. Sua altura geralmente é de 15,2 a 18,3 metros, mas pode crescer até 24,2 metros. Diz-se que foi usado extensivamente na construção naval pelos fenícios, cretenses e gregos. Há um consenso geral de que a “madeira de Gôfer” de </w:t>
      </w:r>
      <w:hyperlink r:id="rId787">
        <w:r>
          <w:rPr>
            <w:color w:val="0000EE"/>
            <w:u w:val="single"/>
          </w:rPr>
          <w:t>Gênesis 6.14</w:t>
        </w:r>
      </w:hyperlink>
      <w:r>
        <w:t xml:space="preserve"> é cipreste porque a madeira é muito durável.</w:t>
      </w:r>
    </w:p>
    <w:p>
      <w:pPr>
        <w:pStyle w:val="Heading3"/>
      </w:pPr>
      <w:r>
        <w:t>Dente de leão (Taraxacum officinale)</w:t>
      </w:r>
    </w:p>
    <w:p>
      <w:r/>
      <w:r>
        <w:rPr>
          <w:i/>
        </w:rPr>
        <w:t>Veja</w:t>
      </w:r>
      <w:r>
        <w:t xml:space="preserve"> Ervas Amargas (acima).</w:t>
      </w:r>
    </w:p>
    <w:p>
      <w:pPr>
        <w:pStyle w:val="Heading3"/>
      </w:pPr>
      <w:r>
        <w:t>Joio (Lolium temulentum)</w:t>
      </w:r>
    </w:p>
    <w:p>
      <w:r/>
      <w:r>
        <w:t xml:space="preserve">É geralmente aceito que o "joio" em </w:t>
      </w:r>
      <w:hyperlink r:id="rId5111">
        <w:r>
          <w:rPr>
            <w:color w:val="0000EE"/>
            <w:u w:val="single"/>
          </w:rPr>
          <w:t>Mateus 13.24–30</w:t>
        </w:r>
      </w:hyperlink>
      <w:r>
        <w:t xml:space="preserve"> é o joio que cresce anualmente ou cizânia barbuda. É uma gramínea robusta que se assemelha muito ao trigo ou ao centeio em aparência. As sementes são muito menores do que as de trigo ou centeio, mas é extremamente difícil distingui-lo do trigo ou centeio em seus estágios iniciais. Se não for removido cedo, mas for deixado até o momento da colheita, é cortado com o trigo e posteriormente são muito difíceis de separar os dois. As sementes são venenosas, seja devido a alguns produtos químicos naturalmente presentes ou por causa de um fungo que cresce dentro das sementes.</w:t>
      </w:r>
    </w:p>
    <w:p>
      <w:pPr>
        <w:pStyle w:val="Heading3"/>
      </w:pPr>
      <w:r>
        <w:t>Endro (Anethum graveolens)</w:t>
      </w:r>
    </w:p>
    <w:p>
      <w:r/>
      <w:r>
        <w:t xml:space="preserve">Endro é uma planta que cresce anualmente parecida com a salsa e a erva-doce, possuindo de 30,5 a 50,8 centímetros de altura com flores amarelas. A referência em </w:t>
      </w:r>
      <w:hyperlink r:id="rId5236">
        <w:r>
          <w:rPr>
            <w:color w:val="0000EE"/>
            <w:u w:val="single"/>
          </w:rPr>
          <w:t>Mateus 23.23</w:t>
        </w:r>
      </w:hyperlink>
      <w:r>
        <w:t xml:space="preserve"> que a KJV em inglês traduz por "anise" é provavelmente uma referência ao endro. Esta planta é muito cultivada para sementes que são aromáticas e também usada para alívio de gazes intestinais ou estomacais.</w:t>
      </w:r>
    </w:p>
    <w:p>
      <w:pPr>
        <w:pStyle w:val="Heading3"/>
      </w:pPr>
      <w:r>
        <w:t>Ébano (Diospyros ebenaster, D. ebenum, D. melanoxylon)</w:t>
      </w:r>
    </w:p>
    <w:p>
      <w:r/>
      <w:r>
        <w:t xml:space="preserve">Árvore principalmente tropical do Sul da Ásia com cerne duro e colorido. Ébano vem da ameixeira </w:t>
      </w:r>
      <w:r>
        <w:rPr>
          <w:i/>
        </w:rPr>
        <w:t>(Diospyros ebenaster</w:t>
      </w:r>
      <w:r>
        <w:t xml:space="preserve"> e </w:t>
      </w:r>
      <w:r>
        <w:rPr>
          <w:i/>
        </w:rPr>
        <w:t>D. melanoxylon)</w:t>
      </w:r>
      <w:r>
        <w:t xml:space="preserve"> da Índia e é bem diferente da tamareira. Foi enviado por navios fenícios através do Mar Arábico e até o Mar Vermelho para o mercado em Tiro, do qual era transportado por caravanas de camelos por terra. A madeira externa dessas árvores é branca e macia, mas quando velha, a madeira interior se torna dura, escura, pesada e durável constituindo a maior parte do valioso ébano do comércio. O ébano adquire um polimento fino e é altamente valorizado para marcenaria, para tornearia, para a fabricação de artigos ornamentais e instrumentos, e como verniz para outras madeiras.</w:t>
      </w:r>
    </w:p>
    <w:p>
      <w:r/>
      <w:r>
        <w:t>Ezequiel menciona marfim e ébano juntos (</w:t>
      </w:r>
      <w:hyperlink r:id="rId11003">
        <w:r>
          <w:rPr>
            <w:color w:val="0000EE"/>
            <w:u w:val="single"/>
          </w:rPr>
          <w:t>Ez 27.15</w:t>
        </w:r>
      </w:hyperlink>
      <w:r>
        <w:t>). O ébano era e ainda é frequentemente adornado com marfim, com o qual contrasta tão marcantemente em cor.</w:t>
      </w:r>
    </w:p>
    <w:p>
      <w:pPr>
        <w:pStyle w:val="Heading3"/>
      </w:pPr>
      <w:r>
        <w:t>Endívia (Cichorium endivia)</w:t>
      </w:r>
    </w:p>
    <w:p>
      <w:r/>
      <w:r>
        <w:rPr>
          <w:i/>
        </w:rPr>
        <w:t>Veja</w:t>
      </w:r>
      <w:r>
        <w:t xml:space="preserve"> Ervas Amargas (acima).</w:t>
      </w:r>
    </w:p>
    <w:p>
      <w:pPr>
        <w:pStyle w:val="Heading3"/>
      </w:pPr>
      <w:r>
        <w:t>Figo, Figueira (Ficus carica)</w:t>
      </w:r>
    </w:p>
    <w:p>
      <w:r/>
      <w:r>
        <w:t xml:space="preserve">Qualquer uma das várias árvores ou arbustos deste gênero, nativos da região do Mediterrâneo; seu fruto comestível. O figo comum, mencionado cerca de 60 vezes na Bíblia, é uma das plantas bíblicas mais importantes. Suas folhas são mencionadas primeiro em </w:t>
      </w:r>
      <w:hyperlink r:id="rId299">
        <w:r>
          <w:rPr>
            <w:color w:val="0000EE"/>
            <w:u w:val="single"/>
          </w:rPr>
          <w:t>Gênesis 3.7</w:t>
        </w:r>
      </w:hyperlink>
      <w:r>
        <w:t xml:space="preserve">. O figo é geralmente considerado como nativo do Sudoeste da Ásia e da Síria, mas já nos primeiros tempos também era plantado extensivamente no Egito e na Terra Santa, onde era um dos principais alimentos. </w:t>
      </w:r>
      <w:hyperlink r:id="rId1623">
        <w:r>
          <w:rPr>
            <w:color w:val="0000EE"/>
            <w:u w:val="single"/>
          </w:rPr>
          <w:t>Primeiro de Samuel 25.18</w:t>
        </w:r>
      </w:hyperlink>
      <w:r>
        <w:t xml:space="preserve"> afirma que uma parte do presente enviado por Abigail a Davi consistia em 200 bolos de figos.</w:t>
      </w:r>
    </w:p>
    <w:p>
      <w:r/>
      <w:r>
        <w:t>A figueira tem um tipo muito peculiar de fruto chamado de sicônio, que, na verdade, é um receptáculo bem largo e pulposo. É polinizada por uma vespa, sem a qual não pode obter seus frutos; isso foi descoberto quando foi transplantado pela primeira vez para a Califórnia.</w:t>
      </w:r>
    </w:p>
    <w:p>
      <w:r/>
      <w:r>
        <w:t>A figueira coloca seus primeiros brotos de frutas antes de suas folhas, a primeira em fevereiro e a última em abril ou maio. Quando as folhas saem, o fruto deve estar maduro (</w:t>
      </w:r>
      <w:hyperlink r:id="rId17099">
        <w:r>
          <w:rPr>
            <w:color w:val="0000EE"/>
            <w:u w:val="single"/>
          </w:rPr>
          <w:t>Mt 21.19</w:t>
        </w:r>
      </w:hyperlink>
      <w:r>
        <w:t>).</w:t>
      </w:r>
    </w:p>
    <w:p>
      <w:r/>
      <w:r>
        <w:t>Sempre que os profetas da antiguidade repreendiam o povo por sua maldade, eles muitas vezes ameaçavam que a videira e as plantações de figo seriam destruídas. E quando eles sustentaram a promessa de grandes recompensas, eles disseram que a videira e a plantação de figo seriam restauradas (</w:t>
      </w:r>
      <w:hyperlink r:id="rId17100">
        <w:r>
          <w:rPr>
            <w:color w:val="0000EE"/>
            <w:u w:val="single"/>
          </w:rPr>
          <w:t>Jr 8.13</w:t>
        </w:r>
      </w:hyperlink>
      <w:r>
        <w:t xml:space="preserve">; </w:t>
      </w:r>
      <w:hyperlink r:id="rId17101">
        <w:r>
          <w:rPr>
            <w:color w:val="0000EE"/>
            <w:u w:val="single"/>
          </w:rPr>
          <w:t>Os 2.12</w:t>
        </w:r>
      </w:hyperlink>
      <w:r>
        <w:t xml:space="preserve">; </w:t>
      </w:r>
      <w:hyperlink r:id="rId17102">
        <w:r>
          <w:rPr>
            <w:color w:val="0000EE"/>
            <w:u w:val="single"/>
          </w:rPr>
          <w:t>Jl 1.7,12</w:t>
        </w:r>
      </w:hyperlink>
      <w:r>
        <w:t xml:space="preserve">; </w:t>
      </w:r>
      <w:hyperlink r:id="rId17103">
        <w:r>
          <w:rPr>
            <w:color w:val="0000EE"/>
            <w:u w:val="single"/>
          </w:rPr>
          <w:t>Mq 4.4</w:t>
        </w:r>
      </w:hyperlink>
      <w:r>
        <w:t xml:space="preserve">; </w:t>
      </w:r>
      <w:hyperlink r:id="rId17104">
        <w:r>
          <w:rPr>
            <w:color w:val="0000EE"/>
            <w:u w:val="single"/>
          </w:rPr>
          <w:t>Zc 3.10</w:t>
        </w:r>
      </w:hyperlink>
      <w:r>
        <w:t>).</w:t>
      </w:r>
    </w:p>
    <w:p>
      <w:pPr>
        <w:pStyle w:val="Heading3"/>
      </w:pPr>
      <w:r>
        <w:t>Árvore de abeto (Abies cilicica)</w:t>
      </w:r>
    </w:p>
    <w:p>
      <w:r/>
      <w:r>
        <w:t>Esta é uma designação genérica para várias árvores perenes que possuem agulhas planas e cones eretos. Com toda a probabilidade, a maioria das referências nas Escrituras ao abeto são referências ao pinho, cipreste ou junípero. O único abeto verdadeiro na Terra Santa cresce nas partes mais altas do Líbano e nas montanhas para o Norte. Ela atinge uma altura de 9,1 a 22,9 metros e é amplamente cultivada.</w:t>
      </w:r>
    </w:p>
    <w:p>
      <w:pPr>
        <w:pStyle w:val="Heading3"/>
      </w:pPr>
      <w:r>
        <w:t>Linho (Linum usitatissimum)</w:t>
      </w:r>
    </w:p>
    <w:p>
      <w:r/>
      <w:r>
        <w:t>Qualquer uma das várias plantas deste gênero, sendo uma particularmente cultivada em larga escala pelo óleo de linhaça de suas sementes e pelas finas fibras têxteis de seus caules. O linho é a fibra têxtil mais antiga conhecida. O algodão é identificado apenas uma vez na Bíblia (</w:t>
      </w:r>
      <w:hyperlink r:id="rId3105">
        <w:r>
          <w:rPr>
            <w:color w:val="0000EE"/>
            <w:u w:val="single"/>
          </w:rPr>
          <w:t>Et 1.6</w:t>
        </w:r>
      </w:hyperlink>
      <w:r>
        <w:t>). Não há menção de qualquer outra planta de fibra sendo cultivada no Egito ou na Terra Santa nos tempos bíblicos, e por esse motivo acredita-se que o linho era o material do qual eram feitas as roupas além das de lã. O linho também era usado para fins domésticos, como toalhas (</w:t>
      </w:r>
      <w:hyperlink r:id="rId3026">
        <w:r>
          <w:rPr>
            <w:color w:val="0000EE"/>
            <w:u w:val="single"/>
          </w:rPr>
          <w:t>Jo 13.4–5</w:t>
        </w:r>
      </w:hyperlink>
      <w:r>
        <w:t>), guardanapos (</w:t>
      </w:r>
      <w:hyperlink r:id="rId6040">
        <w:r>
          <w:rPr>
            <w:color w:val="0000EE"/>
            <w:u w:val="single"/>
          </w:rPr>
          <w:t>11.44</w:t>
        </w:r>
      </w:hyperlink>
      <w:r>
        <w:t>), cinto e roupas íntimas (</w:t>
      </w:r>
      <w:hyperlink r:id="rId5057">
        <w:r>
          <w:rPr>
            <w:color w:val="0000EE"/>
            <w:u w:val="single"/>
          </w:rPr>
          <w:t>Is 3.23</w:t>
        </w:r>
      </w:hyperlink>
      <w:r>
        <w:t xml:space="preserve">; </w:t>
      </w:r>
      <w:hyperlink r:id="rId17105">
        <w:r>
          <w:rPr>
            <w:color w:val="0000EE"/>
            <w:u w:val="single"/>
          </w:rPr>
          <w:t>Mc 14:51</w:t>
        </w:r>
      </w:hyperlink>
      <w:r>
        <w:t>), redes (</w:t>
      </w:r>
      <w:hyperlink r:id="rId17106">
        <w:r>
          <w:rPr>
            <w:color w:val="0000EE"/>
            <w:u w:val="single"/>
          </w:rPr>
          <w:t>Is 19.8–9</w:t>
        </w:r>
      </w:hyperlink>
      <w:r>
        <w:t>) e linhas de medição (</w:t>
      </w:r>
      <w:hyperlink r:id="rId17107">
        <w:r>
          <w:rPr>
            <w:color w:val="0000EE"/>
            <w:u w:val="single"/>
          </w:rPr>
          <w:t>Ez 40.3</w:t>
        </w:r>
      </w:hyperlink>
      <w:r>
        <w:t>). Os sacerdotes que serviam no templo deveriam usar apenas roupas de linho; uma mistura de lã e linho era estritamente proibida aos judeus (</w:t>
      </w:r>
      <w:hyperlink r:id="rId1812">
        <w:r>
          <w:rPr>
            <w:color w:val="0000EE"/>
            <w:u w:val="single"/>
          </w:rPr>
          <w:t>Lv 19.19</w:t>
        </w:r>
      </w:hyperlink>
      <w:r>
        <w:t xml:space="preserve">; </w:t>
      </w:r>
      <w:hyperlink r:id="rId12647">
        <w:r>
          <w:rPr>
            <w:color w:val="0000EE"/>
            <w:u w:val="single"/>
          </w:rPr>
          <w:t>Dt 22.11</w:t>
        </w:r>
      </w:hyperlink>
      <w:r>
        <w:t>).</w:t>
      </w:r>
    </w:p>
    <w:p>
      <w:r/>
      <w:r>
        <w:t xml:space="preserve">Havia pelo menos três tipos de linho eram usados nos tempos bíblicos, e aparentemente havia usos específicos para cada tipo. Linho comum de textura mais grossa é mencionado em </w:t>
      </w:r>
      <w:hyperlink r:id="rId17108">
        <w:r>
          <w:rPr>
            <w:color w:val="0000EE"/>
            <w:u w:val="single"/>
          </w:rPr>
          <w:t>Levítico 6.10</w:t>
        </w:r>
      </w:hyperlink>
      <w:r>
        <w:t xml:space="preserve">, </w:t>
      </w:r>
      <w:hyperlink r:id="rId17109">
        <w:r>
          <w:rPr>
            <w:color w:val="0000EE"/>
            <w:u w:val="single"/>
          </w:rPr>
          <w:t>Ezequiel 9.2</w:t>
        </w:r>
      </w:hyperlink>
      <w:r>
        <w:t xml:space="preserve">, </w:t>
      </w:r>
      <w:hyperlink r:id="rId17110">
        <w:r>
          <w:rPr>
            <w:color w:val="0000EE"/>
            <w:u w:val="single"/>
          </w:rPr>
          <w:t>Daniel 10.5</w:t>
        </w:r>
      </w:hyperlink>
      <w:r>
        <w:t xml:space="preserve"> e </w:t>
      </w:r>
      <w:hyperlink r:id="rId17111">
        <w:r>
          <w:rPr>
            <w:color w:val="0000EE"/>
            <w:u w:val="single"/>
          </w:rPr>
          <w:t>Apocalipse 15.6</w:t>
        </w:r>
      </w:hyperlink>
      <w:r>
        <w:t xml:space="preserve">. O segundo tipo de linho de qualidade superior é mencionado em </w:t>
      </w:r>
      <w:hyperlink r:id="rId5530">
        <w:r>
          <w:rPr>
            <w:color w:val="0000EE"/>
            <w:u w:val="single"/>
          </w:rPr>
          <w:t>Êxodo 26.1</w:t>
        </w:r>
      </w:hyperlink>
      <w:r>
        <w:t xml:space="preserve"> e </w:t>
      </w:r>
      <w:hyperlink r:id="rId17112">
        <w:r>
          <w:rPr>
            <w:color w:val="0000EE"/>
            <w:u w:val="single"/>
          </w:rPr>
          <w:t>39.27</w:t>
        </w:r>
      </w:hyperlink>
      <w:r>
        <w:t xml:space="preserve">. Um terceiro tipo de linho de melhor textura e preço é mencionado em </w:t>
      </w:r>
      <w:hyperlink r:id="rId17113">
        <w:r>
          <w:rPr>
            <w:color w:val="0000EE"/>
            <w:u w:val="single"/>
          </w:rPr>
          <w:t>1 Crônicas 15.27</w:t>
        </w:r>
      </w:hyperlink>
      <w:r>
        <w:t xml:space="preserve">, </w:t>
      </w:r>
      <w:hyperlink r:id="rId1862">
        <w:r>
          <w:rPr>
            <w:color w:val="0000EE"/>
            <w:u w:val="single"/>
          </w:rPr>
          <w:t>Ester 8.15</w:t>
        </w:r>
      </w:hyperlink>
      <w:r>
        <w:t xml:space="preserve"> e </w:t>
      </w:r>
      <w:hyperlink r:id="rId17114">
        <w:r>
          <w:rPr>
            <w:color w:val="0000EE"/>
            <w:u w:val="single"/>
          </w:rPr>
          <w:t>Apocalipse 19.8</w:t>
        </w:r>
      </w:hyperlink>
      <w:r>
        <w:t>.</w:t>
      </w:r>
    </w:p>
    <w:p>
      <w:r/>
      <w:r>
        <w:t>A planta comum de linho cresce de 0,3 a 1,2 metros de altura, com um caule simples, fino e semelhante a um fio, e numerosas pequenas folhas verdes em forma de lança. O fracasso da colheita de linho é listado como uma das punições de Deus (</w:t>
      </w:r>
      <w:hyperlink r:id="rId17115">
        <w:r>
          <w:rPr>
            <w:color w:val="0000EE"/>
            <w:u w:val="single"/>
          </w:rPr>
          <w:t>Os 2.9</w:t>
        </w:r>
      </w:hyperlink>
      <w:r>
        <w:t>). A fabricação de linho a partir de fibras de linho era uma indústria doméstica de mulheres judias (</w:t>
      </w:r>
      <w:hyperlink r:id="rId17116">
        <w:r>
          <w:rPr>
            <w:color w:val="0000EE"/>
            <w:u w:val="single"/>
          </w:rPr>
          <w:t>Pv 31.13,19</w:t>
        </w:r>
      </w:hyperlink>
      <w:r>
        <w:t>), abrangendo desde roupas comuns até as vestes e aventais usados pelos sacerdotes e atendentes do templo. O linho também era usado para pavios em lâmpadas (</w:t>
      </w:r>
      <w:hyperlink r:id="rId12703">
        <w:r>
          <w:rPr>
            <w:color w:val="0000EE"/>
            <w:u w:val="single"/>
          </w:rPr>
          <w:t>Is 42.3</w:t>
        </w:r>
      </w:hyperlink>
      <w:r>
        <w:t>).</w:t>
      </w:r>
    </w:p>
    <w:p>
      <w:pPr>
        <w:pStyle w:val="Heading3"/>
      </w:pPr>
      <w:r>
        <w:t>Olíbano (Boswellia)</w:t>
      </w:r>
    </w:p>
    <w:p>
      <w:r/>
      <w:r>
        <w:t>Resina de gênero aromático usada principalmente como incenso. Olíbano é obtido de três espécies de um único gênero de plantas que crescem no Sul da Arábia, Etiópia, Somalilândia, Índia e as Índias Orientais. As árvores são bem grandes, relacionadas às árvores de terebintina ou terebinto e às que produzem bálsamo e mirra. A goma tem um sabor amargo e emite um odor forte na forma de um óleo volátil quando aquecida ou queimada. É obtido por cortes sucessivos na casca do tronco e nos ramos das árvores vivas. Acredita-se que os hebreus importavam todo o seu incenso da Arábia, especialmente da região de Sabá.</w:t>
      </w:r>
    </w:p>
    <w:p>
      <w:r/>
      <w:r>
        <w:t xml:space="preserve">O olíbano é mencionado 21 vezes na Bíblia (por exemplo, </w:t>
      </w:r>
      <w:hyperlink r:id="rId2631">
        <w:r>
          <w:rPr>
            <w:color w:val="0000EE"/>
            <w:u w:val="single"/>
          </w:rPr>
          <w:t>Êx 30:34</w:t>
        </w:r>
      </w:hyperlink>
      <w:r>
        <w:t xml:space="preserve">; </w:t>
      </w:r>
      <w:hyperlink r:id="rId17117">
        <w:r>
          <w:rPr>
            <w:color w:val="0000EE"/>
            <w:u w:val="single"/>
          </w:rPr>
          <w:t>1Cr 9.29</w:t>
        </w:r>
      </w:hyperlink>
      <w:r>
        <w:t xml:space="preserve">; </w:t>
      </w:r>
      <w:hyperlink r:id="rId17118">
        <w:r>
          <w:rPr>
            <w:color w:val="0000EE"/>
            <w:u w:val="single"/>
          </w:rPr>
          <w:t>Ne 13.9</w:t>
        </w:r>
      </w:hyperlink>
      <w:r>
        <w:t xml:space="preserve">; </w:t>
      </w:r>
      <w:hyperlink r:id="rId10954">
        <w:r>
          <w:rPr>
            <w:color w:val="0000EE"/>
            <w:u w:val="single"/>
          </w:rPr>
          <w:t>Ct 3:6</w:t>
        </w:r>
      </w:hyperlink>
      <w:r>
        <w:t xml:space="preserve">; </w:t>
      </w:r>
      <w:hyperlink r:id="rId10955">
        <w:r>
          <w:rPr>
            <w:color w:val="0000EE"/>
            <w:u w:val="single"/>
          </w:rPr>
          <w:t>4.6,14</w:t>
        </w:r>
      </w:hyperlink>
      <w:r>
        <w:t xml:space="preserve">; </w:t>
      </w:r>
      <w:hyperlink r:id="rId10956">
        <w:r>
          <w:rPr>
            <w:color w:val="0000EE"/>
            <w:u w:val="single"/>
          </w:rPr>
          <w:t>Mt 2.11</w:t>
        </w:r>
      </w:hyperlink>
      <w:r>
        <w:t xml:space="preserve">; </w:t>
      </w:r>
      <w:hyperlink r:id="rId17097">
        <w:r>
          <w:rPr>
            <w:color w:val="0000EE"/>
            <w:u w:val="single"/>
          </w:rPr>
          <w:t>Ap 18.13</w:t>
        </w:r>
      </w:hyperlink>
      <w:r>
        <w:t>) e foi provavelmente empregado quase exclusivamente nos serviços sacrificiais do tabernáculo e do templo até o tempo de Salomão. Tem sido a resina de incenso mais importante no mundo.</w:t>
      </w:r>
    </w:p>
    <w:p>
      <w:pPr>
        <w:pStyle w:val="Heading3"/>
      </w:pPr>
      <w:r>
        <w:t>Gálbano (Ferula galbaniflua)</w:t>
      </w:r>
    </w:p>
    <w:p>
      <w:r/>
      <w:r>
        <w:t>Gálbano é uma resina gomosa amarelada ou acastanhada, malcheirosa que contém a substância química umbeliferona, obtida de várias espécies de plantas relacionadas com o funcho, nativas da Síria e da Pérsia. A goma é uma exsudação natural do caule ou é obtida fazendo uma incisão transversal no caule jovem a poucos centímetros acima do solo. O líquido enbranquiçado logo endurece e forma um dos tipos de gálbano comercial. Seu odor é fortemente balsâmico, pungente e desagradável quando queimado. Gálbano era um dos ingredientes usados para formar o “incenso santo” (</w:t>
      </w:r>
      <w:hyperlink r:id="rId2631">
        <w:r>
          <w:rPr>
            <w:color w:val="0000EE"/>
            <w:u w:val="single"/>
          </w:rPr>
          <w:t>Êx 30.34</w:t>
        </w:r>
      </w:hyperlink>
      <w:r>
        <w:t>).</w:t>
      </w:r>
    </w:p>
    <w:p>
      <w:pPr>
        <w:pStyle w:val="Heading3"/>
      </w:pPr>
      <w:r>
        <w:t>Alho (Allium sativum)</w:t>
      </w:r>
    </w:p>
    <w:p>
      <w:r/>
      <w:r>
        <w:rPr>
          <w:i/>
        </w:rPr>
        <w:t>Veja</w:t>
      </w:r>
      <w:r>
        <w:t xml:space="preserve"> Cebola (abaixo).</w:t>
      </w:r>
    </w:p>
    <w:p>
      <w:pPr>
        <w:pStyle w:val="Heading3"/>
      </w:pPr>
      <w:r>
        <w:t>Cabaça-Selvagem (Citrullus colocynthis)</w:t>
      </w:r>
    </w:p>
    <w:p>
      <w:r/>
      <w:r>
        <w:t>Há uma diferença considerável de opinião sobre o significado das palavras traduzidas “cabaças selvagens” (</w:t>
      </w:r>
      <w:hyperlink r:id="rId17119">
        <w:r>
          <w:rPr>
            <w:color w:val="0000EE"/>
            <w:u w:val="single"/>
          </w:rPr>
          <w:t>2Rs 4.39</w:t>
        </w:r>
      </w:hyperlink>
      <w:r>
        <w:t>) ou “fel” (</w:t>
      </w:r>
      <w:hyperlink r:id="rId9159">
        <w:r>
          <w:rPr>
            <w:color w:val="0000EE"/>
            <w:u w:val="single"/>
          </w:rPr>
          <w:t>Dt 29.18</w:t>
        </w:r>
      </w:hyperlink>
      <w:r>
        <w:t xml:space="preserve">; </w:t>
      </w:r>
      <w:hyperlink r:id="rId17120">
        <w:r>
          <w:rPr>
            <w:color w:val="0000EE"/>
            <w:u w:val="single"/>
          </w:rPr>
          <w:t>32.32</w:t>
        </w:r>
      </w:hyperlink>
      <w:r>
        <w:t xml:space="preserve">; </w:t>
      </w:r>
      <w:hyperlink r:id="rId9161">
        <w:r>
          <w:rPr>
            <w:color w:val="0000EE"/>
            <w:u w:val="single"/>
          </w:rPr>
          <w:t>Sl 69.21</w:t>
        </w:r>
      </w:hyperlink>
      <w:r>
        <w:t xml:space="preserve">; </w:t>
      </w:r>
      <w:hyperlink r:id="rId9162">
        <w:r>
          <w:rPr>
            <w:color w:val="0000EE"/>
            <w:u w:val="single"/>
          </w:rPr>
          <w:t>Jr 8.14</w:t>
        </w:r>
      </w:hyperlink>
      <w:r>
        <w:t xml:space="preserve">; </w:t>
      </w:r>
      <w:hyperlink r:id="rId204">
        <w:r>
          <w:rPr>
            <w:color w:val="0000EE"/>
            <w:u w:val="single"/>
          </w:rPr>
          <w:t>9.15</w:t>
        </w:r>
      </w:hyperlink>
      <w:r>
        <w:t xml:space="preserve">; </w:t>
      </w:r>
      <w:hyperlink r:id="rId205">
        <w:r>
          <w:rPr>
            <w:color w:val="0000EE"/>
            <w:u w:val="single"/>
          </w:rPr>
          <w:t>23.15</w:t>
        </w:r>
      </w:hyperlink>
      <w:r>
        <w:t xml:space="preserve">; </w:t>
      </w:r>
      <w:hyperlink r:id="rId17121">
        <w:r>
          <w:rPr>
            <w:color w:val="0000EE"/>
            <w:u w:val="single"/>
          </w:rPr>
          <w:t>Lm 3.5,19</w:t>
        </w:r>
      </w:hyperlink>
      <w:r>
        <w:t xml:space="preserve">; </w:t>
      </w:r>
      <w:hyperlink r:id="rId209">
        <w:r>
          <w:rPr>
            <w:color w:val="0000EE"/>
            <w:u w:val="single"/>
          </w:rPr>
          <w:t>Am 6.12</w:t>
        </w:r>
      </w:hyperlink>
      <w:r>
        <w:t xml:space="preserve">; </w:t>
      </w:r>
      <w:hyperlink r:id="rId6319">
        <w:r>
          <w:rPr>
            <w:color w:val="0000EE"/>
            <w:u w:val="single"/>
          </w:rPr>
          <w:t>Mt 27.34</w:t>
        </w:r>
      </w:hyperlink>
      <w:r>
        <w:t xml:space="preserve">; </w:t>
      </w:r>
      <w:hyperlink r:id="rId9165">
        <w:r>
          <w:rPr>
            <w:color w:val="0000EE"/>
            <w:u w:val="single"/>
          </w:rPr>
          <w:t>Atos 8.23</w:t>
        </w:r>
      </w:hyperlink>
      <w:r>
        <w:t>). A maioria dos estudiosos hoje acredita que a planta referida era a colocíntida, uma videira semelhante a um pepino que rasteja no chão ou se enrola em arbustos e cercas. A fruta contém uma polpa macia e esponjosa, que é intensamente amarga, fortemente catártica e às vezes venenosa.</w:t>
      </w:r>
    </w:p>
    <w:p>
      <w:pPr>
        <w:pStyle w:val="Heading3"/>
      </w:pPr>
      <w:r>
        <w:t>Sebe (Rhamnus palaestina, Balanites aegyptiaca, Lycium europaeum)</w:t>
      </w:r>
    </w:p>
    <w:p>
      <w:r/>
      <w:r>
        <w:t xml:space="preserve">Fileira de arbustos plantados ou árvores de baixo crescimento formando uma cerca, ou divisa. Uma série de plantas era usada para fornecer sebes nos tempos bíblicos. Um deles era o espinheiro da Palestina, </w:t>
      </w:r>
      <w:r>
        <w:rPr>
          <w:i/>
        </w:rPr>
        <w:t>Rhamnus palaestina.</w:t>
      </w:r>
      <w:r>
        <w:t xml:space="preserve"> Esta planta é um arbusto ou uma pequena árvore que cresce de 0,9 a 1,8 metros de altura com ramos aveludados, espinhosos, folhas verdes e cachos de pequenas flores florescendo em março e abril. Cresce em matas e nas encostas da Síria passando pela Terra Santa até a Arábia e o Sinai. O bálsamo de Jericó </w:t>
      </w:r>
      <w:r>
        <w:rPr>
          <w:i/>
        </w:rPr>
        <w:t>(Balanites aegyptiaca)</w:t>
      </w:r>
      <w:r>
        <w:t xml:space="preserve"> e o espinheiro europeu </w:t>
      </w:r>
      <w:r>
        <w:rPr>
          <w:i/>
        </w:rPr>
        <w:t>(Lycium europaeum)</w:t>
      </w:r>
      <w:r>
        <w:t xml:space="preserve"> também são arbustos espinhosos amplamente usados como sebes na Terra Santa e podem ser as plantas mencionadas em </w:t>
      </w:r>
      <w:hyperlink r:id="rId17122">
        <w:r>
          <w:rPr>
            <w:color w:val="0000EE"/>
            <w:u w:val="single"/>
          </w:rPr>
          <w:t>Provérbios 15.19</w:t>
        </w:r>
      </w:hyperlink>
      <w:r>
        <w:t xml:space="preserve"> e </w:t>
      </w:r>
      <w:hyperlink r:id="rId17123">
        <w:r>
          <w:rPr>
            <w:color w:val="0000EE"/>
            <w:u w:val="single"/>
          </w:rPr>
          <w:t>Oseias 2.6</w:t>
        </w:r>
      </w:hyperlink>
      <w:r>
        <w:t>.</w:t>
      </w:r>
    </w:p>
    <w:p>
      <w:pPr>
        <w:pStyle w:val="Heading3"/>
      </w:pPr>
      <w:r>
        <w:t>Hena (Lawsonia inermis)</w:t>
      </w:r>
    </w:p>
    <w:p>
      <w:r/>
      <w:r>
        <w:t xml:space="preserve">Árvore ou arbusto da Ásia e do Norte da África com flores e folhas aromatizadas avermelhadas ou brancas e que contêm um corante vermelho. A planta mencionada em </w:t>
      </w:r>
      <w:hyperlink r:id="rId8065">
        <w:r>
          <w:rPr>
            <w:color w:val="0000EE"/>
            <w:u w:val="single"/>
          </w:rPr>
          <w:t>Cantares 1.14</w:t>
        </w:r>
      </w:hyperlink>
      <w:r>
        <w:t xml:space="preserve"> e </w:t>
      </w:r>
      <w:hyperlink r:id="rId16272">
        <w:r>
          <w:rPr>
            <w:color w:val="0000EE"/>
            <w:u w:val="single"/>
          </w:rPr>
          <w:t>4.13</w:t>
        </w:r>
      </w:hyperlink>
      <w:r>
        <w:t xml:space="preserve"> segundo os estudiosos se refere à hena. É uma planta nativa do Norte da Índia e cresce selvagem no Sudão, Egito, Arábia, Síria, Líbano e a Terra Santa. Cresce de 1,2 a 3,7 metros de altura, e seu aroma é semelhante ao das rosas.</w:t>
      </w:r>
    </w:p>
    <w:p>
      <w:r/>
      <w:r>
        <w:t>As folhas de hena são secas, esmagadas em pó, misturadas com água e transformadas em uma pasta que tem sido usada desde tempos antigos como cosmético. Muitas múmias foram encontradas decoradas com hena. A hena era usada para fornecer uma cor amarela brilhante, laranja ou vermelha para as unhas das mãos e dos pés, as pontas dos dedos, as palmas das mãos e as solas dos pés de meninas jovens. Os homens também o usavam para colorir suas barbas e as crinas e caudas dos cavalos. O corante tinha que ser renovado uma vez a cada duas ou três semanas. Este uso da hena como um cosmético era comum no Egito na época em que os filhos de Israel estavam lá como escravos; eles estavam, sem dúvida, familiarizados com ela.</w:t>
      </w:r>
    </w:p>
    <w:p>
      <w:pPr>
        <w:pStyle w:val="Heading3"/>
      </w:pPr>
      <w:r>
        <w:t>Jacinto (Hyacinthus orientalis)</w:t>
      </w:r>
    </w:p>
    <w:p>
      <w:r/>
      <w:r>
        <w:t xml:space="preserve">O lírio mencionado em </w:t>
      </w:r>
      <w:hyperlink r:id="rId17124">
        <w:r>
          <w:rPr>
            <w:color w:val="0000EE"/>
            <w:u w:val="single"/>
          </w:rPr>
          <w:t>Cantares 2.1–2,16</w:t>
        </w:r>
      </w:hyperlink>
      <w:r>
        <w:t xml:space="preserve">; </w:t>
      </w:r>
      <w:hyperlink r:id="rId1687">
        <w:r>
          <w:rPr>
            <w:color w:val="0000EE"/>
            <w:u w:val="single"/>
          </w:rPr>
          <w:t>4.5</w:t>
        </w:r>
      </w:hyperlink>
      <w:r>
        <w:t xml:space="preserve">; e </w:t>
      </w:r>
      <w:hyperlink r:id="rId17125">
        <w:r>
          <w:rPr>
            <w:color w:val="0000EE"/>
            <w:u w:val="single"/>
          </w:rPr>
          <w:t>6.2–4</w:t>
        </w:r>
      </w:hyperlink>
      <w:r>
        <w:t xml:space="preserve"> pode muito bem ser o jacinto de jardim. É nativo, e muito comum em campos e lugares rochosos na Terra Santa, no Líbano e em direção ao Norte. Suas flores na forma selvagem são sempre de azul profundo e muito cheirosas.</w:t>
      </w:r>
    </w:p>
    <w:p>
      <w:r/>
      <w:r>
        <w:rPr>
          <w:i/>
        </w:rPr>
        <w:t>Veja também</w:t>
      </w:r>
      <w:r>
        <w:t xml:space="preserve"> Lírio (abaixo).</w:t>
      </w:r>
    </w:p>
    <w:p>
      <w:pPr>
        <w:pStyle w:val="Heading3"/>
      </w:pPr>
      <w:r>
        <w:t>Hissopo (Origanum maru)</w:t>
      </w:r>
    </w:p>
    <w:p>
      <w:r/>
      <w:r>
        <w:t xml:space="preserve">Planta lenhosa nativa da Ásia com espinhos de pequenas flores azuis e folhas aromáticas usadas para condimento e em perfumaria. Há pouca concordância entre botânicos quanto à identificação exata do “hissopo” bíblico. Alguns sugeriram </w:t>
      </w:r>
      <w:r>
        <w:rPr>
          <w:i/>
        </w:rPr>
        <w:t>Hissopus officinalis,</w:t>
      </w:r>
      <w:r>
        <w:t xml:space="preserve"> a erva de jardim bem conhecida agora chamada hissopo. No entanto, esta planta não é nativa da Terra Santa ou do Egito, sendo encontrada apenas no Sul da Europa. Além disso, não se encaixa nos requisitos da planta bíblica.</w:t>
      </w:r>
    </w:p>
    <w:p>
      <w:r/>
      <w:r>
        <w:t xml:space="preserve">O “hissopo” do AT é provavelmente a manjerona síria ou egípcia </w:t>
      </w:r>
      <w:r>
        <w:rPr>
          <w:i/>
        </w:rPr>
        <w:t>(Origanum maru).</w:t>
      </w:r>
      <w:r>
        <w:t xml:space="preserve"> É mencionado em </w:t>
      </w:r>
      <w:hyperlink r:id="rId6324">
        <w:r>
          <w:rPr>
            <w:color w:val="0000EE"/>
            <w:u w:val="single"/>
          </w:rPr>
          <w:t>Êxodo 12.22</w:t>
        </w:r>
      </w:hyperlink>
      <w:r>
        <w:t xml:space="preserve">; </w:t>
      </w:r>
      <w:hyperlink r:id="rId5599">
        <w:r>
          <w:rPr>
            <w:color w:val="0000EE"/>
            <w:u w:val="single"/>
          </w:rPr>
          <w:t>Levítico 14.4–6,52</w:t>
        </w:r>
      </w:hyperlink>
      <w:r>
        <w:t xml:space="preserve">; </w:t>
      </w:r>
      <w:hyperlink r:id="rId5602">
        <w:r>
          <w:rPr>
            <w:color w:val="0000EE"/>
            <w:u w:val="single"/>
          </w:rPr>
          <w:t>Números 19.6,18</w:t>
        </w:r>
      </w:hyperlink>
      <w:r>
        <w:t xml:space="preserve">; </w:t>
      </w:r>
      <w:hyperlink r:id="rId7591">
        <w:r>
          <w:rPr>
            <w:color w:val="0000EE"/>
            <w:u w:val="single"/>
          </w:rPr>
          <w:t>1Reis 4.33</w:t>
        </w:r>
      </w:hyperlink>
      <w:r>
        <w:t xml:space="preserve">; </w:t>
      </w:r>
      <w:hyperlink r:id="rId5623">
        <w:r>
          <w:rPr>
            <w:color w:val="0000EE"/>
            <w:u w:val="single"/>
          </w:rPr>
          <w:t>Salmo 51.7</w:t>
        </w:r>
      </w:hyperlink>
      <w:r>
        <w:t xml:space="preserve">; e </w:t>
      </w:r>
      <w:hyperlink r:id="rId5598">
        <w:r>
          <w:rPr>
            <w:color w:val="0000EE"/>
            <w:u w:val="single"/>
          </w:rPr>
          <w:t>Hebreus 9.19</w:t>
        </w:r>
      </w:hyperlink>
      <w:r>
        <w:t xml:space="preserve">. As manjeronas são mentas que crescem (sob condições favoráveis) com cerca de 0,6 a 0,9 metro de altura, mas mais frequentemente são anãs quando crescem em fendas e paredes rochosas (cf. </w:t>
      </w:r>
      <w:hyperlink r:id="rId7591">
        <w:r>
          <w:rPr>
            <w:color w:val="0000EE"/>
            <w:u w:val="single"/>
          </w:rPr>
          <w:t>1Rs 4.33</w:t>
        </w:r>
      </w:hyperlink>
      <w:r>
        <w:t>). Uma substância aromática é obtida das folhas trituradas e secas. Se reunidos em um feixe com folhas e flores, os caules peludos da manjerona segurariam o líquido muito bem e fariam um excelente borrifador.</w:t>
      </w:r>
    </w:p>
    <w:p>
      <w:r/>
      <w:r>
        <w:t>O hissopo mencionado no relato da crucificação no NT (</w:t>
      </w:r>
      <w:hyperlink r:id="rId14133">
        <w:r>
          <w:rPr>
            <w:color w:val="0000EE"/>
            <w:u w:val="single"/>
          </w:rPr>
          <w:t>Jo 19.29</w:t>
        </w:r>
      </w:hyperlink>
      <w:r>
        <w:t>) é provavelmente o sorgo, uma planta de cereais alta cultivada principalmente para comida, mas também usada para escovas e esfregões.</w:t>
      </w:r>
    </w:p>
    <w:p>
      <w:pPr>
        <w:pStyle w:val="Heading3"/>
      </w:pPr>
      <w:r>
        <w:t>Junípero (Juniperus)</w:t>
      </w:r>
    </w:p>
    <w:p>
      <w:r/>
      <w:r>
        <w:t xml:space="preserve">Variedade de árvore ou arbusto perene. A planta mencionada em </w:t>
      </w:r>
      <w:hyperlink r:id="rId17126">
        <w:r>
          <w:rPr>
            <w:color w:val="0000EE"/>
            <w:u w:val="single"/>
          </w:rPr>
          <w:t>Jeremias 17.6</w:t>
        </w:r>
      </w:hyperlink>
      <w:r>
        <w:t xml:space="preserve"> e </w:t>
      </w:r>
      <w:hyperlink r:id="rId17127">
        <w:r>
          <w:rPr>
            <w:color w:val="0000EE"/>
            <w:u w:val="single"/>
          </w:rPr>
          <w:t>48.6</w:t>
        </w:r>
      </w:hyperlink>
      <w:r>
        <w:t xml:space="preserve"> e traduzida na KJV é provavelmente o junípero sabino ou fenício. O junípero fenício, </w:t>
      </w:r>
      <w:r>
        <w:rPr>
          <w:i/>
        </w:rPr>
        <w:t>Juniperus phoenicia,</w:t>
      </w:r>
      <w:r>
        <w:t xml:space="preserve"> é encontrado nas colinas e lugares rochosos da Arábia. O junípero sabino, </w:t>
      </w:r>
      <w:r>
        <w:rPr>
          <w:i/>
        </w:rPr>
        <w:t>J. sabina,</w:t>
      </w:r>
      <w:r>
        <w:t xml:space="preserve"> é comum nos desertos, planícies e lugares rochosos da Síria e da Palestina. Essas referências são ao cedro de frutos marrons, ou cedro afiado.</w:t>
      </w:r>
    </w:p>
    <w:p>
      <w:pPr>
        <w:pStyle w:val="Heading3"/>
      </w:pPr>
      <w:r>
        <w:t>Loureiro (Laurus nobilis)</w:t>
      </w:r>
    </w:p>
    <w:p>
      <w:r/>
      <w:r>
        <w:t xml:space="preserve">Arbusto ou árvore nativa da região do Mediterrâneo. Embora a referência no </w:t>
      </w:r>
      <w:hyperlink r:id="rId17128">
        <w:r>
          <w:rPr>
            <w:color w:val="0000EE"/>
            <w:u w:val="single"/>
          </w:rPr>
          <w:t>Salmo 37.35</w:t>
        </w:r>
      </w:hyperlink>
      <w:r>
        <w:t xml:space="preserve"> possa ser ao cedro do Líbano, a maioria dos estudiosos associa à “árvore frondosa” (KJV) do salmista ao loureiro, um nativo da Terra Santa, habitando matas e bosques da costa até a zona montanhosa média. É uma árvore perene que atinge uma altura de 12,2 a 18,3 metros.</w:t>
      </w:r>
    </w:p>
    <w:p>
      <w:r/>
      <w:r>
        <w:t>Mesmo que a árvore seja abundante no Monte Carmelo e ao redor de Hebrom, geralmente não é comum na Terra Santa. Suas folhas ainda são usadas como condimento, e seus frutos, folhas e casca têm sido usados na medicina.</w:t>
      </w:r>
    </w:p>
    <w:p>
      <w:pPr>
        <w:pStyle w:val="Heading3"/>
      </w:pPr>
      <w:r>
        <w:t>Alho-poró (Allium porrum)</w:t>
      </w:r>
    </w:p>
    <w:p>
      <w:r/>
      <w:r>
        <w:rPr>
          <w:i/>
        </w:rPr>
        <w:t>Veja</w:t>
      </w:r>
      <w:r>
        <w:t xml:space="preserve"> Cebola (abaixo).</w:t>
      </w:r>
    </w:p>
    <w:p>
      <w:pPr>
        <w:pStyle w:val="Heading3"/>
      </w:pPr>
      <w:r>
        <w:t>Lentilha (Lens esculenta)</w:t>
      </w:r>
    </w:p>
    <w:p>
      <w:r/>
      <w:r>
        <w:t xml:space="preserve">A planta da lentilha a que </w:t>
      </w:r>
      <w:hyperlink r:id="rId8128">
        <w:r>
          <w:rPr>
            <w:color w:val="0000EE"/>
            <w:u w:val="single"/>
          </w:rPr>
          <w:t>Gênesis 25.29–34</w:t>
        </w:r>
      </w:hyperlink>
      <w:r>
        <w:t xml:space="preserve">, </w:t>
      </w:r>
      <w:hyperlink r:id="rId1083">
        <w:r>
          <w:rPr>
            <w:color w:val="0000EE"/>
            <w:u w:val="single"/>
          </w:rPr>
          <w:t>2 Samuel 17.27–29</w:t>
        </w:r>
      </w:hyperlink>
      <w:r>
        <w:t xml:space="preserve">, </w:t>
      </w:r>
      <w:hyperlink r:id="rId17129">
        <w:r>
          <w:rPr>
            <w:color w:val="0000EE"/>
            <w:u w:val="single"/>
          </w:rPr>
          <w:t>23.11</w:t>
        </w:r>
      </w:hyperlink>
      <w:r>
        <w:t xml:space="preserve"> e </w:t>
      </w:r>
      <w:hyperlink r:id="rId572">
        <w:r>
          <w:rPr>
            <w:color w:val="0000EE"/>
            <w:u w:val="single"/>
          </w:rPr>
          <w:t>Ezequiel 4.9</w:t>
        </w:r>
      </w:hyperlink>
      <w:r>
        <w:t xml:space="preserve"> se referem é uma planta pequena, ereta que cresce anualmente e é semelhante a uma erva com hastes finas e folhas de gavinhas. Produz flores pequenas, brancas e listradas de violetas com vagens achatadas, semelhantes a ervilhas, onde as lentilhas são produzidas.</w:t>
      </w:r>
    </w:p>
    <w:p>
      <w:pPr>
        <w:pStyle w:val="Heading3"/>
      </w:pPr>
      <w:r>
        <w:t>Alface (Lactuca sativa)</w:t>
      </w:r>
    </w:p>
    <w:p>
      <w:r/>
      <w:r>
        <w:rPr>
          <w:i/>
        </w:rPr>
        <w:t>Veja</w:t>
      </w:r>
      <w:r>
        <w:t xml:space="preserve"> Ervas Amargas (acima).</w:t>
      </w:r>
    </w:p>
    <w:p>
      <w:pPr>
        <w:pStyle w:val="Heading3"/>
      </w:pPr>
      <w:r>
        <w:t>Lírio (Lilium)</w:t>
      </w:r>
    </w:p>
    <w:p>
      <w:r/>
      <w:r>
        <w:t xml:space="preserve">Qualquer uma das várias plantas do gênero </w:t>
      </w:r>
      <w:r>
        <w:rPr>
          <w:i/>
        </w:rPr>
        <w:t>Lilium</w:t>
      </w:r>
      <w:r>
        <w:t xml:space="preserve"> tendo flores grandes, de várias cores, em forma de trombeta; e plantas relacionadas. O lírio é uma das plantas mais famosas de toda a Bíblia, mas também é uma sobre a qual houve opiniões divergentes. Parece provável que vários tipos de plantas, talvez cinco ou seis, sejam chamados de lírios na Bíblia. A maioria das autoridades considera a anêmona da Palestina ou flor-do-vento, </w:t>
      </w:r>
      <w:r>
        <w:rPr>
          <w:i/>
        </w:rPr>
        <w:t>Anemone coronaria,</w:t>
      </w:r>
      <w:r>
        <w:t xml:space="preserve"> como o “lírio do campo” (</w:t>
      </w:r>
      <w:hyperlink r:id="rId9320">
        <w:r>
          <w:rPr>
            <w:color w:val="0000EE"/>
            <w:u w:val="single"/>
          </w:rPr>
          <w:t>Mt 6.28</w:t>
        </w:r>
      </w:hyperlink>
      <w:r>
        <w:t>, ARC) que superou Salomão em toda a sua glória. Essas flores são encontradas em todas as partes da Terra Santa em abundância; as formas mais comuns são escarlates ou amarelo, mas a anêmona da Palestina também pode ser azul, roxa, rosa ou branca. A flor possui um diâmetro de aproximadamente 7 centímetros.</w:t>
      </w:r>
    </w:p>
    <w:p>
      <w:r/>
      <w:r>
        <w:t xml:space="preserve">Uma sugestão alternativa é a camomila palestina, </w:t>
      </w:r>
      <w:r>
        <w:rPr>
          <w:i/>
        </w:rPr>
        <w:t>Anthemis palaestina,</w:t>
      </w:r>
      <w:r>
        <w:t xml:space="preserve"> uma planta comum, branca e semelhante à margarida. A camomila é colhida como capim seco e jogada na fornalha quando seca.</w:t>
      </w:r>
    </w:p>
    <w:p>
      <w:r/>
      <w:r>
        <w:t xml:space="preserve">Outra planta proposta é </w:t>
      </w:r>
      <w:r>
        <w:rPr>
          <w:i/>
        </w:rPr>
        <w:t>Lilium chalcedonicum,</w:t>
      </w:r>
      <w:r>
        <w:t xml:space="preserve"> o Escarlate ou Lírio-martagão. A declaração em </w:t>
      </w:r>
      <w:hyperlink r:id="rId16898">
        <w:r>
          <w:rPr>
            <w:color w:val="0000EE"/>
            <w:u w:val="single"/>
          </w:rPr>
          <w:t>Cantares 5.13</w:t>
        </w:r>
      </w:hyperlink>
      <w:r>
        <w:t xml:space="preserve"> — “seus lábios como lírios” — se encaixaria melhor nesta planta do que a anêmona da Palestina. A referência é aparentemente a uma planta rara de beleza excepcional. O lírio escarlate é raro na Terra Santa; de fato, alguns botânicos duvidam que ele viva lá.</w:t>
      </w:r>
    </w:p>
    <w:p>
      <w:r/>
      <w:r>
        <w:t xml:space="preserve">As referências em </w:t>
      </w:r>
      <w:hyperlink r:id="rId17130">
        <w:r>
          <w:rPr>
            <w:color w:val="0000EE"/>
            <w:u w:val="single"/>
          </w:rPr>
          <w:t>1 Reis 7.19,22,26</w:t>
        </w:r>
      </w:hyperlink>
      <w:r>
        <w:t xml:space="preserve"> e </w:t>
      </w:r>
      <w:hyperlink r:id="rId17131">
        <w:r>
          <w:rPr>
            <w:color w:val="0000EE"/>
            <w:u w:val="single"/>
          </w:rPr>
          <w:t>2 Crônicas 4.5</w:t>
        </w:r>
      </w:hyperlink>
      <w:r>
        <w:t xml:space="preserve"> são provavelmente ao lírio d’água, </w:t>
      </w:r>
      <w:r>
        <w:rPr>
          <w:i/>
        </w:rPr>
        <w:t>Nymphaea alba,</w:t>
      </w:r>
      <w:r>
        <w:t xml:space="preserve"> que serviu como padrão. O lírio d’água é bastante comum na Europa e também na Terra Santa e no Norte da África.</w:t>
      </w:r>
    </w:p>
    <w:p>
      <w:pPr>
        <w:pStyle w:val="Heading3"/>
      </w:pPr>
      <w:r>
        <w:t>Arbusto de Lótus (Zizyphus lotus)</w:t>
      </w:r>
    </w:p>
    <w:p>
      <w:r/>
      <w:r>
        <w:t xml:space="preserve">As “árvores sombrias” de </w:t>
      </w:r>
      <w:hyperlink r:id="rId17132">
        <w:r>
          <w:rPr>
            <w:color w:val="0000EE"/>
            <w:u w:val="single"/>
          </w:rPr>
          <w:t>Jó 40.21–22</w:t>
        </w:r>
      </w:hyperlink>
      <w:r>
        <w:t xml:space="preserve"> (ARC: cf. ARA “lotos”) podem se referir ao arbusto de lótus do Oriente Médio, </w:t>
      </w:r>
      <w:r>
        <w:rPr>
          <w:i/>
        </w:rPr>
        <w:t>Zizyphus lotus,</w:t>
      </w:r>
      <w:r>
        <w:t xml:space="preserve"> um arbusto ou árvore baixa que cresce até uma altura de cerca de 1,5 metros com ramos lisos, em zigue-zague e esbranquiçados.</w:t>
      </w:r>
    </w:p>
    <w:p>
      <w:r/>
      <w:r>
        <w:t xml:space="preserve">Outros comentaristas acreditam que as árvores sombreadas de Jó são árvores de folhas grandes, como a plátano, </w:t>
      </w:r>
      <w:r>
        <w:rPr>
          <w:i/>
        </w:rPr>
        <w:t>Platanus orientalis,</w:t>
      </w:r>
      <w:r>
        <w:t xml:space="preserve"> ou o oleandro, </w:t>
      </w:r>
      <w:r>
        <w:rPr>
          <w:i/>
        </w:rPr>
        <w:t>Nerium oleander.</w:t>
      </w:r>
      <w:r>
        <w:t xml:space="preserve"> Esta sugestão é baseada na afirmação de que o animal descrito em </w:t>
      </w:r>
      <w:hyperlink r:id="rId17133">
        <w:r>
          <w:rPr>
            <w:color w:val="0000EE"/>
            <w:u w:val="single"/>
          </w:rPr>
          <w:t>Jó 40</w:t>
        </w:r>
      </w:hyperlink>
      <w:r>
        <w:t xml:space="preserve"> é o hipopótamo, e parece improvável que o hipopótamo vivesse sob um arbusto de lótus ou até mesmo fosse encontrado em lugares onde este arbusto cresce. Esses indivíduos consideram a plátano ou o oleandro como mais provável.</w:t>
      </w:r>
    </w:p>
    <w:p>
      <w:pPr>
        <w:pStyle w:val="Heading3"/>
      </w:pPr>
      <w:r>
        <w:t>Malva (Atriplex)</w:t>
      </w:r>
    </w:p>
    <w:p>
      <w:r/>
      <w:r>
        <w:t xml:space="preserve">A palavra hebraica usada em </w:t>
      </w:r>
      <w:hyperlink r:id="rId17090">
        <w:r>
          <w:rPr>
            <w:color w:val="0000EE"/>
            <w:u w:val="single"/>
          </w:rPr>
          <w:t>Jó 30.4</w:t>
        </w:r>
      </w:hyperlink>
      <w:r>
        <w:t xml:space="preserve"> implica em salinidade, e por esta razão os botânicos acreditam que se refere a uma das espécies da salicornia ou erva-armola. Vinte e uma espécies de salicornia ocorrem na Terra Santa, quase todas as quais são comuns e poderiam muito bem atender aos requisitos do texto. </w:t>
      </w:r>
      <w:r>
        <w:rPr>
          <w:i/>
        </w:rPr>
        <w:t>Atriplex halimus</w:t>
      </w:r>
      <w:r>
        <w:t xml:space="preserve"> é a espécie geralmente sugerida, um arbusto vigoroso e ramificado, relacionado ao espinafre.</w:t>
      </w:r>
    </w:p>
    <w:p>
      <w:pPr>
        <w:pStyle w:val="Heading3"/>
      </w:pPr>
      <w:r>
        <w:t>Mandrágora (Mandragora officinarum)</w:t>
      </w:r>
    </w:p>
    <w:p>
      <w:r/>
      <w:r>
        <w:t xml:space="preserve">A mandrágora é uma planta perene herbácea sem caule, relacionada à beladona, à batata e ao tomate. Tem uma raiz grande, semelhante a uma beterraba, muitas vezes bifurcada do topo da qual surgem muitas folhas pretas com cerca de 30,5 centímetros de comprimento e 10,2 centímetros de largura. A planta é sutilmente venenosa, e as raízes espessas têm uma semelhança em forma com as partes inferiores do corpo humano. Por esta razão, certas propriedades afrodisíacas foram atribuídas a ela (cf. </w:t>
      </w:r>
      <w:hyperlink r:id="rId17134">
        <w:r>
          <w:rPr>
            <w:color w:val="0000EE"/>
            <w:u w:val="single"/>
          </w:rPr>
          <w:t>Gn 30.14–16</w:t>
        </w:r>
      </w:hyperlink>
      <w:r>
        <w:t>).</w:t>
      </w:r>
    </w:p>
    <w:p>
      <w:r/>
      <w:r>
        <w:t xml:space="preserve">A mandrágora (chamada por alguns de "maçã do amor") era uma planta comum em campos desertos em toda a Terra Santa. É nativa de toda a região mediterrânea, sul da Europa e Ásia Menor. A mandrágora é mencionada em </w:t>
      </w:r>
      <w:hyperlink r:id="rId13746">
        <w:r>
          <w:rPr>
            <w:color w:val="0000EE"/>
            <w:u w:val="single"/>
          </w:rPr>
          <w:t>Cantares 7.13</w:t>
        </w:r>
      </w:hyperlink>
      <w:r>
        <w:t xml:space="preserve">, embora alguns estudiosos acreditem que o escritor possa, na verdade, estar se referindo ao citrão ou ao cogumelo comum do campo, </w:t>
      </w:r>
      <w:r>
        <w:rPr>
          <w:i/>
        </w:rPr>
        <w:t>Agarico campestris</w:t>
      </w:r>
      <w:r>
        <w:t>.</w:t>
      </w:r>
    </w:p>
    <w:p>
      <w:pPr>
        <w:pStyle w:val="Heading3"/>
      </w:pPr>
      <w:r>
        <w:t>Melão (Cucumis melo, Citrullus vulgaris)</w:t>
      </w:r>
    </w:p>
    <w:p>
      <w:r/>
      <w:r>
        <w:t xml:space="preserve">Qualquer uma das variedades dessas duas videiras relacionadas que possuem casca dura e polpa suculenta. Os melões de </w:t>
      </w:r>
      <w:hyperlink r:id="rId754">
        <w:r>
          <w:rPr>
            <w:color w:val="0000EE"/>
            <w:u w:val="single"/>
          </w:rPr>
          <w:t>Números 11.5</w:t>
        </w:r>
      </w:hyperlink>
      <w:r>
        <w:t xml:space="preserve"> podem ser o melão comum </w:t>
      </w:r>
      <w:r>
        <w:rPr>
          <w:i/>
        </w:rPr>
        <w:t>(Cucumis melo)</w:t>
      </w:r>
      <w:r>
        <w:t xml:space="preserve"> ou a melância </w:t>
      </w:r>
      <w:r>
        <w:rPr>
          <w:i/>
        </w:rPr>
        <w:t>(Citrullus vulgaris).</w:t>
      </w:r>
      <w:r>
        <w:t xml:space="preserve"> Pode ser que ambos os frutos sejam mencionados.</w:t>
      </w:r>
    </w:p>
    <w:p>
      <w:pPr>
        <w:pStyle w:val="Heading3"/>
      </w:pPr>
      <w:r>
        <w:t>Milheto (Panicum miliaceum)</w:t>
      </w:r>
    </w:p>
    <w:p>
      <w:r/>
      <w:r>
        <w:t>Um capim cultivado na Eurásia para sua semente comestível. As sementes de milheto são as menores de todas as sementes colhidas como alimento, mas são produzidas em grande quantidade. Milheto é um campim que cresce todo ano e é raramente maior do que 0,6 metro de altura. As pequenas sementes do milheto são usadas em bolos e comidas cruas pelos pobres da terra.</w:t>
      </w:r>
    </w:p>
    <w:p>
      <w:pPr>
        <w:pStyle w:val="Heading3"/>
      </w:pPr>
      <w:r>
        <w:t>Menta (Mentha)</w:t>
      </w:r>
    </w:p>
    <w:p>
      <w:r/>
      <w:r>
        <w:t xml:space="preserve">Qualquer uma das diversas plantas desta família com folhagem aromática que é processada para dar sabor. Algumas mentas são comuns na Terra Santa, mas a hortelã-silvestre </w:t>
      </w:r>
      <w:r>
        <w:rPr>
          <w:i/>
        </w:rPr>
        <w:t>(Mentha longifolia)</w:t>
      </w:r>
      <w:r>
        <w:t xml:space="preserve"> é provavelmente a mencionada em </w:t>
      </w:r>
      <w:hyperlink r:id="rId5236">
        <w:r>
          <w:rPr>
            <w:color w:val="0000EE"/>
            <w:u w:val="single"/>
          </w:rPr>
          <w:t>Mateus 23.23</w:t>
        </w:r>
      </w:hyperlink>
      <w:r>
        <w:t xml:space="preserve"> e </w:t>
      </w:r>
      <w:hyperlink r:id="rId5237">
        <w:r>
          <w:rPr>
            <w:color w:val="0000EE"/>
            <w:u w:val="single"/>
          </w:rPr>
          <w:t>Lucas 11.42</w:t>
        </w:r>
      </w:hyperlink>
      <w:r>
        <w:t>. As mentas eram utilizadas pelos antigos hebreus, gregos e romanos para dar sabor, como medicamentos e como condimento na culinária.</w:t>
      </w:r>
    </w:p>
    <w:p>
      <w:pPr>
        <w:pStyle w:val="Heading3"/>
      </w:pPr>
      <w:r>
        <w:t>Amoreira-negra (Morus nigra)</w:t>
      </w:r>
    </w:p>
    <w:p>
      <w:r/>
      <w:r>
        <w:t xml:space="preserve">Qualquer árvore desta família, algumas produzindo frutos de cor roxo-escuro e uma produzindo frutos brancos, cujas folhas são usadas como alimento para bichos-da-seda. A "figueira brava" de </w:t>
      </w:r>
      <w:hyperlink r:id="rId17135">
        <w:r>
          <w:rPr>
            <w:color w:val="0000EE"/>
            <w:u w:val="single"/>
          </w:rPr>
          <w:t>Lucas 17.6</w:t>
        </w:r>
      </w:hyperlink>
      <w:r>
        <w:t xml:space="preserve"> (NTLH) é, evidentemente, a amoreira-preta, </w:t>
      </w:r>
      <w:r>
        <w:rPr>
          <w:i/>
        </w:rPr>
        <w:t>Morus nigra.</w:t>
      </w:r>
      <w:r>
        <w:t xml:space="preserve"> É uma árvore de crescimento baixo, com copa densa e ramos rígidos, que chega a ter de 7,3 a 10,7 metros de altura, embora raramente ultrapasse 9,1 metros de altura. Originalmente nativa do Norte da Pérsia, agora é plantado em todo o Oriente Médio por seus frutos. A espécie chinesa ou indiana, </w:t>
      </w:r>
      <w:r>
        <w:rPr>
          <w:i/>
        </w:rPr>
        <w:t>M. alba,</w:t>
      </w:r>
      <w:r>
        <w:t xml:space="preserve"> até recentemente era amplamente cultivada na Síria e na Terra Santa, mas não é nativa daquela região.</w:t>
      </w:r>
    </w:p>
    <w:p>
      <w:pPr>
        <w:pStyle w:val="Heading3"/>
      </w:pPr>
      <w:r>
        <w:t>Mostarda (Brassica nigra, B. arvensis)</w:t>
      </w:r>
    </w:p>
    <w:p>
      <w:r/>
      <w:r>
        <w:t xml:space="preserve">Várias plantas deste gênero são nativas da Eurásia, algumas das quais são produzidas por suas sementes comestíveis. Embora haja discordância sobre a identificação da “mostarda” de </w:t>
      </w:r>
      <w:hyperlink r:id="rId5239">
        <w:r>
          <w:rPr>
            <w:color w:val="0000EE"/>
            <w:u w:val="single"/>
          </w:rPr>
          <w:t>Mateus 13.31–32</w:t>
        </w:r>
      </w:hyperlink>
      <w:r>
        <w:t xml:space="preserve">, </w:t>
      </w:r>
      <w:hyperlink r:id="rId9122">
        <w:r>
          <w:rPr>
            <w:color w:val="0000EE"/>
            <w:u w:val="single"/>
          </w:rPr>
          <w:t>17.20</w:t>
        </w:r>
      </w:hyperlink>
      <w:r>
        <w:t xml:space="preserve">, </w:t>
      </w:r>
      <w:hyperlink r:id="rId17136">
        <w:r>
          <w:rPr>
            <w:color w:val="0000EE"/>
            <w:u w:val="single"/>
          </w:rPr>
          <w:t>Marcos 4.31</w:t>
        </w:r>
      </w:hyperlink>
      <w:r>
        <w:t xml:space="preserve">, </w:t>
      </w:r>
      <w:hyperlink r:id="rId17137">
        <w:r>
          <w:rPr>
            <w:color w:val="0000EE"/>
            <w:u w:val="single"/>
          </w:rPr>
          <w:t>Lucas 13.19</w:t>
        </w:r>
      </w:hyperlink>
      <w:r>
        <w:t xml:space="preserve"> e </w:t>
      </w:r>
      <w:hyperlink r:id="rId17135">
        <w:r>
          <w:rPr>
            <w:color w:val="0000EE"/>
            <w:u w:val="single"/>
          </w:rPr>
          <w:t>17.6</w:t>
        </w:r>
      </w:hyperlink>
      <w:r>
        <w:t xml:space="preserve">, geralmente acredita-se que seja a mostarda-preta comum, </w:t>
      </w:r>
      <w:r>
        <w:rPr>
          <w:i/>
        </w:rPr>
        <w:t>Brassica nigra.</w:t>
      </w:r>
    </w:p>
    <w:p>
      <w:r/>
      <w:r>
        <w:t xml:space="preserve">A mostarda à qual Jesus se refere pode ser a mostarda-dos-campos ou mostarda-selvagem, </w:t>
      </w:r>
      <w:r>
        <w:rPr>
          <w:i/>
        </w:rPr>
        <w:t>B. arvensis,</w:t>
      </w:r>
      <w:r>
        <w:t xml:space="preserve"> que normalmente cresce de 0,3 a 0,9 metro de altura. Alguns sugeriram que era, na verdade, </w:t>
      </w:r>
      <w:r>
        <w:rPr>
          <w:i/>
        </w:rPr>
        <w:t>Salvadora persica</w:t>
      </w:r>
      <w:r>
        <w:t>, encontrada em matas ao redor do Mar Morto. A planta tem um sabor aromático agradável que lembra o da mostarda, e se for consumida em quantidade considerável, produzirá uma irritação do nariz e nos olhos semelhante à da mostarda comum. No entanto, esta planta não cresce tão ao Norte quanto a Galileia, e os frutos são bem grandes e pedregosos, assim, dificilmente se encaixam na descrição da parábola.</w:t>
      </w:r>
    </w:p>
    <w:p>
      <w:r/>
      <w:r>
        <w:t>Embora as sementes de mostarda não sejam as menores conhecidas, provavelmente eram as menores familiarizadas com o povo comum que compunha a audiência de Jesus na Galileia.</w:t>
      </w:r>
    </w:p>
    <w:p>
      <w:pPr>
        <w:pStyle w:val="Heading3"/>
      </w:pPr>
      <w:r>
        <w:t>Mirra (Commiphora myrrha, C. kataf)</w:t>
      </w:r>
    </w:p>
    <w:p>
      <w:r/>
      <w:r>
        <w:t xml:space="preserve">Arbusto ou árvore que exala uma resina de goma aromática usada em perfume e incenso. A maioria das referências nas Escrituras a mirra são a </w:t>
      </w:r>
      <w:r>
        <w:rPr>
          <w:i/>
        </w:rPr>
        <w:t>Commiphora myrrha,</w:t>
      </w:r>
      <w:r>
        <w:t xml:space="preserve"> embora </w:t>
      </w:r>
      <w:r>
        <w:rPr>
          <w:i/>
        </w:rPr>
        <w:t>C. kataf</w:t>
      </w:r>
      <w:r>
        <w:t xml:space="preserve"> também possa estar envolvida, uma vez que cresce na mesma região e é semelhante. As duas árvores são nativas da Arábia, Etiópia e a Costa da Somália do Leste da África. Elas produzem uma exsudação gengival que constitui a maior parte da mirra do comércio. Ambas as espécies são arbustos ou árvores, baixas, densas e de ramos rígidos e espinhosos que crescem em locais rochosos, especialmente em colinas de calcário. No Oriente, é muito valorizada como uma substância aromática, perfume e medicamento. Os antigos egípcios o queimaram em seus templos e embalsamaram seus mortos com isso; os judeus também o usavam para embalsamar (</w:t>
      </w:r>
      <w:hyperlink r:id="rId11809">
        <w:r>
          <w:rPr>
            <w:color w:val="0000EE"/>
            <w:u w:val="single"/>
          </w:rPr>
          <w:t>Jo 19.39</w:t>
        </w:r>
      </w:hyperlink>
      <w:r>
        <w:t>). Os hebreus tinham-na em alta estima como um perfume (</w:t>
      </w:r>
      <w:hyperlink r:id="rId4627">
        <w:r>
          <w:rPr>
            <w:color w:val="0000EE"/>
            <w:u w:val="single"/>
          </w:rPr>
          <w:t>Sl 45.8</w:t>
        </w:r>
      </w:hyperlink>
      <w:r>
        <w:t>).</w:t>
      </w:r>
    </w:p>
    <w:p>
      <w:pPr>
        <w:pStyle w:val="Heading3"/>
      </w:pPr>
      <w:r>
        <w:t>Murta (Myrtus communis)</w:t>
      </w:r>
    </w:p>
    <w:p>
      <w:r/>
      <w:r>
        <w:t>A árvore de murta é comum na Terra Santa, especialmente ao redor de Belém, Líbano, Hebrom e as encostas do Monte Carmelo e do Monte Tabor. É nativa do Oeste da Ásia e, em ambientes favoráveis, cresce até se tornar uma pequena árvore perene, com 6,2 a 9,1 metros de altura. Mais frequentemente, no entanto, é um arbusto com 0,5 a 1,2 metros de altura.</w:t>
      </w:r>
    </w:p>
    <w:p>
      <w:r/>
      <w:r>
        <w:t>Na Bíblia, a murta é mencionado principalmente como um símbolo da generosidade de Deus. Ramos de árvores de murtas foram incluídos entre aqueles que Neemias ordenou que fossem reunidos para a Festa dos Tabernáculos (</w:t>
      </w:r>
      <w:hyperlink r:id="rId17138">
        <w:r>
          <w:rPr>
            <w:color w:val="0000EE"/>
            <w:u w:val="single"/>
          </w:rPr>
          <w:t>Ne 8.15</w:t>
        </w:r>
      </w:hyperlink>
      <w:r>
        <w:t>). A murta não simbolizava apenas a paz, mas também a justiça.</w:t>
      </w:r>
    </w:p>
    <w:p>
      <w:pPr>
        <w:pStyle w:val="Heading3"/>
      </w:pPr>
      <w:r>
        <w:t>Narciso (Narcissus tazetta)</w:t>
      </w:r>
    </w:p>
    <w:p>
      <w:r/>
      <w:r>
        <w:t xml:space="preserve">Planta amplamente cultivada desta família com folhas estreitas e geralmente flores brancas ou amarelas, com uma coroa em forma de taça ou de trombeta. O polyanthus narciso </w:t>
      </w:r>
      <w:r>
        <w:rPr>
          <w:i/>
        </w:rPr>
        <w:t>(Narcissus tazetta)</w:t>
      </w:r>
      <w:r>
        <w:t xml:space="preserve"> parece ser a planta mencionada em </w:t>
      </w:r>
      <w:hyperlink r:id="rId17139">
        <w:r>
          <w:rPr>
            <w:color w:val="0000EE"/>
            <w:u w:val="single"/>
          </w:rPr>
          <w:t>Isaías 35.1</w:t>
        </w:r>
      </w:hyperlink>
      <w:r>
        <w:t>. Este narciso cresce abundantemente nas Planícies de Saron e em outros lugares na Palestina. Possuindo um aroma doce, é um grande favorito.</w:t>
      </w:r>
    </w:p>
    <w:p>
      <w:pPr>
        <w:pStyle w:val="Heading3"/>
      </w:pPr>
      <w:r>
        <w:t>Nardo (Nardostachys jatamansi)</w:t>
      </w:r>
    </w:p>
    <w:p>
      <w:r/>
      <w:r>
        <w:t>O nardo é uma erva perene com raízes fortes e agradavelmente cheiroso. Ela é nativa de altitudes elevadas no Himalaia, e sua distribuição se estende dali até a Ásia Ocidental. As raízes e os jovens talos lanosos em forma de espiga são secos antes das folhas se desdobrarem e são usados para fazer perfume. Ainda é usado na Índia como um perfume para o cabelo, e há todas as razões para acreditar que o nardo das Escrituras (</w:t>
      </w:r>
      <w:hyperlink r:id="rId10966">
        <w:r>
          <w:rPr>
            <w:color w:val="0000EE"/>
            <w:u w:val="single"/>
          </w:rPr>
          <w:t>Ct 1.12</w:t>
        </w:r>
      </w:hyperlink>
      <w:r>
        <w:t xml:space="preserve">; </w:t>
      </w:r>
      <w:hyperlink r:id="rId16896">
        <w:r>
          <w:rPr>
            <w:color w:val="0000EE"/>
            <w:u w:val="single"/>
          </w:rPr>
          <w:t>4.13–14</w:t>
        </w:r>
      </w:hyperlink>
      <w:r>
        <w:t xml:space="preserve">; </w:t>
      </w:r>
      <w:hyperlink r:id="rId3905">
        <w:r>
          <w:rPr>
            <w:color w:val="0000EE"/>
            <w:u w:val="single"/>
          </w:rPr>
          <w:t>Mc 14.3</w:t>
        </w:r>
      </w:hyperlink>
      <w:r>
        <w:t xml:space="preserve">; </w:t>
      </w:r>
      <w:hyperlink r:id="rId17010">
        <w:r>
          <w:rPr>
            <w:color w:val="0000EE"/>
            <w:u w:val="single"/>
          </w:rPr>
          <w:t>Jo 12.3</w:t>
        </w:r>
      </w:hyperlink>
      <w:r>
        <w:t>) veio originalmente da Índia.</w:t>
      </w:r>
    </w:p>
    <w:p>
      <w:pPr>
        <w:pStyle w:val="Heading3"/>
      </w:pPr>
      <w:r>
        <w:t>Urtiga (Urtica)</w:t>
      </w:r>
    </w:p>
    <w:p>
      <w:r/>
      <w:r>
        <w:t xml:space="preserve">Planta deste gênero com folhas dentadas cobertas por pelos que expelem uma sensação de irritação. Quatro espécies de urtiga são encontradas na Terra Santa: a urtiga comum ou grande, </w:t>
      </w:r>
      <w:r>
        <w:rPr>
          <w:i/>
        </w:rPr>
        <w:t>Urtica dioica;</w:t>
      </w:r>
      <w:r>
        <w:t xml:space="preserve"> a urtiga-romana, </w:t>
      </w:r>
      <w:r>
        <w:rPr>
          <w:i/>
        </w:rPr>
        <w:t>U. pilulifera;</w:t>
      </w:r>
      <w:r>
        <w:t xml:space="preserve"> a pequena urtiga, </w:t>
      </w:r>
      <w:r>
        <w:rPr>
          <w:i/>
        </w:rPr>
        <w:t>U. urens;</w:t>
      </w:r>
      <w:r>
        <w:t xml:space="preserve"> e </w:t>
      </w:r>
      <w:r>
        <w:rPr>
          <w:i/>
        </w:rPr>
        <w:t>U. caudata,</w:t>
      </w:r>
      <w:r>
        <w:t xml:space="preserve"> que é semelhante à pequena urtiga. Algumas urtigas atingem uma altura de 1,5 a 1,8 metros. Elas são pragas comuns de terrenos baldios e campos. Elas frequentemente são vistas ocupando terrenos que antes eram cultivados, mas que desde então foram negligenciados (</w:t>
      </w:r>
      <w:hyperlink r:id="rId1740">
        <w:r>
          <w:rPr>
            <w:color w:val="0000EE"/>
            <w:u w:val="single"/>
          </w:rPr>
          <w:t>Is 34.13</w:t>
        </w:r>
      </w:hyperlink>
      <w:r>
        <w:t xml:space="preserve">; </w:t>
      </w:r>
      <w:hyperlink r:id="rId16051">
        <w:r>
          <w:rPr>
            <w:color w:val="0000EE"/>
            <w:u w:val="single"/>
          </w:rPr>
          <w:t>Os 9.6</w:t>
        </w:r>
      </w:hyperlink>
      <w:r>
        <w:t>).</w:t>
      </w:r>
    </w:p>
    <w:p>
      <w:pPr>
        <w:pStyle w:val="Heading3"/>
      </w:pPr>
      <w:r>
        <w:t>Flor de noz-moscada (Nigella sativa)</w:t>
      </w:r>
    </w:p>
    <w:p>
      <w:r/>
      <w:r>
        <w:t xml:space="preserve">Os “endros” de </w:t>
      </w:r>
      <w:hyperlink r:id="rId17098">
        <w:r>
          <w:rPr>
            <w:color w:val="0000EE"/>
            <w:u w:val="single"/>
          </w:rPr>
          <w:t>Isaías 28.25–27</w:t>
        </w:r>
      </w:hyperlink>
      <w:r>
        <w:t xml:space="preserve"> (NTLH) são provavelmente a flor de noz-moscada, uma planta que cresce anualmente da família das ranunculáceas. A planta cresce selvagem no sul da Europa, Síria, Egito, norte da África e outras terras do Mediterrâneao, onde é extensivamente plantada por suas sementes aromáticas fortemente picantes semelhantes à pimenta. Essas sementes são polvilhadas sobre alguns tipos de pão e bolos no Oriente e são usadas para dar sabor ao carril e outros pratos na Terra Santa e no Egito. Cominho e flor de noz-moscada ainda são colhidos na Terra Santa da mesma maneira descrita por Isaías.</w:t>
      </w:r>
    </w:p>
    <w:p>
      <w:pPr>
        <w:pStyle w:val="Heading3"/>
      </w:pPr>
      <w:r>
        <w:t>Carvalho (Quercus)</w:t>
      </w:r>
    </w:p>
    <w:p>
      <w:r/>
      <w:r>
        <w:t xml:space="preserve">Pelo menos cinco espécies de carvalhos são encontradas na Palestina. Um deles é o carvalho-quermes </w:t>
      </w:r>
      <w:r>
        <w:rPr>
          <w:i/>
        </w:rPr>
        <w:t>(Quercus coccifera),</w:t>
      </w:r>
      <w:r>
        <w:t xml:space="preserve"> o hospedeiro do inseto </w:t>
      </w:r>
      <w:r>
        <w:rPr>
          <w:i/>
        </w:rPr>
        <w:t>Coccus ilicis,</w:t>
      </w:r>
      <w:r>
        <w:t xml:space="preserve"> que produz o corante escarlate usado na coloração de linho e lã (</w:t>
      </w:r>
      <w:hyperlink r:id="rId17140">
        <w:r>
          <w:rPr>
            <w:color w:val="0000EE"/>
            <w:u w:val="single"/>
          </w:rPr>
          <w:t>Gn 38.28–30</w:t>
        </w:r>
      </w:hyperlink>
      <w:r>
        <w:t xml:space="preserve">; </w:t>
      </w:r>
      <w:hyperlink r:id="rId1858">
        <w:r>
          <w:rPr>
            <w:color w:val="0000EE"/>
            <w:u w:val="single"/>
          </w:rPr>
          <w:t>Êx 25.4</w:t>
        </w:r>
      </w:hyperlink>
      <w:r>
        <w:t xml:space="preserve">; </w:t>
      </w:r>
      <w:hyperlink r:id="rId5530">
        <w:r>
          <w:rPr>
            <w:color w:val="0000EE"/>
            <w:u w:val="single"/>
          </w:rPr>
          <w:t>26.1</w:t>
        </w:r>
      </w:hyperlink>
      <w:r>
        <w:t xml:space="preserve">; </w:t>
      </w:r>
      <w:hyperlink r:id="rId5253">
        <w:r>
          <w:rPr>
            <w:color w:val="0000EE"/>
            <w:u w:val="single"/>
          </w:rPr>
          <w:t>28.33</w:t>
        </w:r>
      </w:hyperlink>
      <w:r>
        <w:t xml:space="preserve">; </w:t>
      </w:r>
      <w:hyperlink r:id="rId17141">
        <w:r>
          <w:rPr>
            <w:color w:val="0000EE"/>
            <w:u w:val="single"/>
          </w:rPr>
          <w:t>35.23</w:t>
        </w:r>
      </w:hyperlink>
      <w:r>
        <w:t xml:space="preserve">; </w:t>
      </w:r>
      <w:hyperlink r:id="rId17142">
        <w:r>
          <w:rPr>
            <w:color w:val="0000EE"/>
            <w:u w:val="single"/>
          </w:rPr>
          <w:t>39.24</w:t>
        </w:r>
      </w:hyperlink>
      <w:r>
        <w:t xml:space="preserve">; </w:t>
      </w:r>
      <w:hyperlink r:id="rId5599">
        <w:r>
          <w:rPr>
            <w:color w:val="0000EE"/>
            <w:u w:val="single"/>
          </w:rPr>
          <w:t>Lv 14.4–6,51–52</w:t>
        </w:r>
      </w:hyperlink>
      <w:r>
        <w:t xml:space="preserve">; </w:t>
      </w:r>
      <w:hyperlink r:id="rId5602">
        <w:r>
          <w:rPr>
            <w:color w:val="0000EE"/>
            <w:u w:val="single"/>
          </w:rPr>
          <w:t>Nm 19.6</w:t>
        </w:r>
      </w:hyperlink>
      <w:r>
        <w:t xml:space="preserve">; </w:t>
      </w:r>
      <w:hyperlink r:id="rId1861">
        <w:r>
          <w:rPr>
            <w:color w:val="0000EE"/>
            <w:u w:val="single"/>
          </w:rPr>
          <w:t>2Cr 2.7,14</w:t>
        </w:r>
      </w:hyperlink>
      <w:r>
        <w:t xml:space="preserve">; </w:t>
      </w:r>
      <w:hyperlink r:id="rId5532">
        <w:r>
          <w:rPr>
            <w:color w:val="0000EE"/>
            <w:u w:val="single"/>
          </w:rPr>
          <w:t>3.14</w:t>
        </w:r>
      </w:hyperlink>
      <w:r>
        <w:t xml:space="preserve">; </w:t>
      </w:r>
      <w:hyperlink r:id="rId1843">
        <w:r>
          <w:rPr>
            <w:color w:val="0000EE"/>
            <w:u w:val="single"/>
          </w:rPr>
          <w:t>Is 1.18</w:t>
        </w:r>
      </w:hyperlink>
      <w:r>
        <w:t xml:space="preserve">; </w:t>
      </w:r>
      <w:hyperlink r:id="rId5598">
        <w:r>
          <w:rPr>
            <w:color w:val="0000EE"/>
            <w:u w:val="single"/>
          </w:rPr>
          <w:t>Hb 9.19</w:t>
        </w:r>
      </w:hyperlink>
      <w:r>
        <w:t xml:space="preserve">; </w:t>
      </w:r>
      <w:hyperlink r:id="rId5592">
        <w:r>
          <w:rPr>
            <w:color w:val="0000EE"/>
            <w:u w:val="single"/>
          </w:rPr>
          <w:t>Ap 18.12</w:t>
        </w:r>
      </w:hyperlink>
      <w:r>
        <w:t>). O carvalho-quermes cresce de 1,8 a 10,7 metros de altura e é encontrado nas regiões montanhosas da Síria, do Líbano e da Terra Santa. Quando cresce sozinho, o carvalho-quermes muitas vezes se torna uma grande árvore. Era regularmente plantado aos túmulos no Oriente. O carvalho sempre foi respeitado e até venerado nos tempos bíblicos por seu grande tamanho e força, e homens importantes eram geralmente enterrados em sua sombra. O carvalho de Abraão em Hebrom é um exemplo.</w:t>
      </w:r>
    </w:p>
    <w:p>
      <w:r/>
      <w:r>
        <w:t xml:space="preserve">Um segundo carvalho é o carvalho-valônia </w:t>
      </w:r>
      <w:r>
        <w:rPr>
          <w:i/>
        </w:rPr>
        <w:t>(Q. aegilops),</w:t>
      </w:r>
      <w:r>
        <w:t xml:space="preserve"> talvez o carvalho de </w:t>
      </w:r>
      <w:hyperlink r:id="rId12975">
        <w:r>
          <w:rPr>
            <w:color w:val="0000EE"/>
            <w:u w:val="single"/>
          </w:rPr>
          <w:t>Isaías 2.13</w:t>
        </w:r>
      </w:hyperlink>
      <w:r>
        <w:t xml:space="preserve"> e </w:t>
      </w:r>
      <w:hyperlink r:id="rId17082">
        <w:r>
          <w:rPr>
            <w:color w:val="0000EE"/>
            <w:u w:val="single"/>
          </w:rPr>
          <w:t>44.14</w:t>
        </w:r>
      </w:hyperlink>
      <w:r>
        <w:t xml:space="preserve">. É comum nas zonas montanhosas médias e provavelmente era abundante na área ao redor de Basã. Acredita-se que o carvalho de </w:t>
      </w:r>
      <w:hyperlink r:id="rId17143">
        <w:r>
          <w:rPr>
            <w:color w:val="0000EE"/>
            <w:u w:val="single"/>
          </w:rPr>
          <w:t>Gênesis 35.4,8</w:t>
        </w:r>
      </w:hyperlink>
      <w:r>
        <w:t xml:space="preserve"> tenha sido a azinheira </w:t>
      </w:r>
      <w:r>
        <w:rPr>
          <w:i/>
        </w:rPr>
        <w:t>(Q. ilex),</w:t>
      </w:r>
      <w:r>
        <w:t xml:space="preserve"> um carvalho perene que cresce até uma altura de 18,3 metros. Ainda outro carvalho é </w:t>
      </w:r>
      <w:r>
        <w:rPr>
          <w:i/>
        </w:rPr>
        <w:t>Q. lusitanica,</w:t>
      </w:r>
      <w:r>
        <w:t xml:space="preserve"> o carvalho-cipreste, uma pequena árvore caducifólia raramente com mais de 6,1 metros de altura. As bolotas muito grandes desta árvore às vezes eram consumidas.</w:t>
      </w:r>
    </w:p>
    <w:p>
      <w:r/>
      <w:r>
        <w:t xml:space="preserve">A palavra traduzida por “planície” (KJV) em </w:t>
      </w:r>
      <w:hyperlink r:id="rId14813">
        <w:r>
          <w:rPr>
            <w:color w:val="0000EE"/>
            <w:u w:val="single"/>
          </w:rPr>
          <w:t>Gênesis 12.6</w:t>
        </w:r>
      </w:hyperlink>
      <w:r>
        <w:t xml:space="preserve">, </w:t>
      </w:r>
      <w:hyperlink r:id="rId4472">
        <w:r>
          <w:rPr>
            <w:color w:val="0000EE"/>
            <w:u w:val="single"/>
          </w:rPr>
          <w:t>13.18</w:t>
        </w:r>
      </w:hyperlink>
      <w:r>
        <w:t xml:space="preserve">, </w:t>
      </w:r>
      <w:hyperlink r:id="rId1449">
        <w:r>
          <w:rPr>
            <w:color w:val="0000EE"/>
            <w:u w:val="single"/>
          </w:rPr>
          <w:t>14.13</w:t>
        </w:r>
      </w:hyperlink>
      <w:r>
        <w:t xml:space="preserve"> e </w:t>
      </w:r>
      <w:hyperlink r:id="rId17144">
        <w:r>
          <w:rPr>
            <w:color w:val="0000EE"/>
            <w:u w:val="single"/>
          </w:rPr>
          <w:t>18.1</w:t>
        </w:r>
      </w:hyperlink>
      <w:r>
        <w:t xml:space="preserve"> provavelmente deveria ser traduzida por “carvalho”.</w:t>
      </w:r>
    </w:p>
    <w:p>
      <w:r/>
      <w:r>
        <w:t>As muitas referências a "bosque" (ARC) ou “poste-ídolo” (ARA) no AT, geralmente em conexão com a adoração de Baal ou outros deuses pagãos (</w:t>
      </w:r>
      <w:hyperlink r:id="rId3860">
        <w:r>
          <w:rPr>
            <w:color w:val="0000EE"/>
            <w:u w:val="single"/>
          </w:rPr>
          <w:t>Êx 34.13</w:t>
        </w:r>
      </w:hyperlink>
      <w:r>
        <w:t xml:space="preserve">; </w:t>
      </w:r>
      <w:hyperlink r:id="rId17145">
        <w:r>
          <w:rPr>
            <w:color w:val="0000EE"/>
            <w:u w:val="single"/>
          </w:rPr>
          <w:t>Dt 16.21</w:t>
        </w:r>
      </w:hyperlink>
      <w:r>
        <w:t xml:space="preserve">; </w:t>
      </w:r>
      <w:hyperlink r:id="rId17146">
        <w:r>
          <w:rPr>
            <w:color w:val="0000EE"/>
            <w:u w:val="single"/>
          </w:rPr>
          <w:t>Jz 3.7</w:t>
        </w:r>
      </w:hyperlink>
      <w:r>
        <w:t xml:space="preserve">; </w:t>
      </w:r>
      <w:hyperlink r:id="rId5545">
        <w:r>
          <w:rPr>
            <w:color w:val="0000EE"/>
            <w:u w:val="single"/>
          </w:rPr>
          <w:t>1Rs 14.23</w:t>
        </w:r>
      </w:hyperlink>
      <w:r>
        <w:t xml:space="preserve">; </w:t>
      </w:r>
      <w:hyperlink r:id="rId17147">
        <w:r>
          <w:rPr>
            <w:color w:val="0000EE"/>
            <w:u w:val="single"/>
          </w:rPr>
          <w:t>18.19</w:t>
        </w:r>
      </w:hyperlink>
      <w:r>
        <w:t xml:space="preserve">; </w:t>
      </w:r>
      <w:hyperlink r:id="rId3540">
        <w:r>
          <w:rPr>
            <w:color w:val="0000EE"/>
            <w:u w:val="single"/>
          </w:rPr>
          <w:t>2Rs 17.16</w:t>
        </w:r>
      </w:hyperlink>
      <w:r>
        <w:t>), provavelmente eram bosques de carvalhos sagrados.</w:t>
      </w:r>
    </w:p>
    <w:p>
      <w:pPr>
        <w:pStyle w:val="Heading3"/>
      </w:pPr>
      <w:r>
        <w:t>Oleastro (Elaeagnus angustifolia)</w:t>
      </w:r>
    </w:p>
    <w:p>
      <w:r/>
      <w:r>
        <w:t xml:space="preserve">Pequena árvore eurasiática com folhas oblongas prateadas, flores esverdeadas e frutos semelhantes a azeitonas. Há dúvidas sobre a qual árvore é mencionada quando </w:t>
      </w:r>
      <w:hyperlink r:id="rId17148">
        <w:r>
          <w:rPr>
            <w:color w:val="0000EE"/>
            <w:u w:val="single"/>
          </w:rPr>
          <w:t>1 Reis 6.23,31–33</w:t>
        </w:r>
      </w:hyperlink>
      <w:r>
        <w:t xml:space="preserve"> e </w:t>
      </w:r>
      <w:hyperlink r:id="rId2942">
        <w:r>
          <w:rPr>
            <w:color w:val="0000EE"/>
            <w:u w:val="single"/>
          </w:rPr>
          <w:t>1 Crônicas 27.28</w:t>
        </w:r>
      </w:hyperlink>
      <w:r>
        <w:t xml:space="preserve"> se referem a “oliveiras”. A mesma palavra ocorre em </w:t>
      </w:r>
      <w:hyperlink r:id="rId17088">
        <w:r>
          <w:rPr>
            <w:color w:val="0000EE"/>
            <w:u w:val="single"/>
          </w:rPr>
          <w:t>Isaías 41.19</w:t>
        </w:r>
      </w:hyperlink>
      <w:r>
        <w:t xml:space="preserve"> e </w:t>
      </w:r>
      <w:hyperlink r:id="rId17149">
        <w:r>
          <w:rPr>
            <w:color w:val="0000EE"/>
            <w:u w:val="single"/>
          </w:rPr>
          <w:t>Miquéias 6.7</w:t>
        </w:r>
      </w:hyperlink>
      <w:r>
        <w:t xml:space="preserve">. A planta mencionada provavelmente é oleastro com folhas-estreitas </w:t>
      </w:r>
      <w:r>
        <w:rPr>
          <w:i/>
        </w:rPr>
        <w:t>(Elaeagnus angustifolia),</w:t>
      </w:r>
      <w:r>
        <w:t xml:space="preserve"> uma pequena árvore de ramos rígidos ou arbusto elegante que cresce de 4,6 a 6,1 metros de altura, comum em todas as partes da Terra Santa, exceto no Vale do Jordão. Ao mesmo tempo, era muito comum no Monte Tabor e em Hebrom e Samaria. A madeira é dura e de grão fino e, portanto, bem adequada para esculpir imagens e figuras. O óleo que produz é um tipo bastante inferior usado em medicação, mas não para comida; esse pode ser o óleo de </w:t>
      </w:r>
      <w:hyperlink r:id="rId17149">
        <w:r>
          <w:rPr>
            <w:color w:val="0000EE"/>
            <w:u w:val="single"/>
          </w:rPr>
          <w:t>Miquéias 6.7</w:t>
        </w:r>
      </w:hyperlink>
      <w:r>
        <w:t>.</w:t>
      </w:r>
    </w:p>
    <w:p>
      <w:pPr>
        <w:pStyle w:val="Heading3"/>
      </w:pPr>
      <w:r>
        <w:t>Oleandro (Nerium oleander)</w:t>
      </w:r>
    </w:p>
    <w:p>
      <w:r/>
      <w:r>
        <w:t>Qualquer arbusto perene venenoso deste gênero que cresce em climas quentes. Uma das sugestões para as plantas identificadas como “rosas” em várias traduções (</w:t>
      </w:r>
      <w:hyperlink r:id="rId17150">
        <w:r>
          <w:rPr>
            <w:color w:val="0000EE"/>
            <w:u w:val="single"/>
          </w:rPr>
          <w:t>Eclo 24.14</w:t>
        </w:r>
      </w:hyperlink>
      <w:r>
        <w:t>, KJV em inglês - Apócrifos) é o oleandro. Esta planta, originalmente nativa das Índias Orientais, foi plantada nas regiões quentes do mundo por centenas de anos. Floresce na Terra Santa hoje e forma matagais densos em algumas partes do Vale do Jordão. Geralmente é um arbusto de 0,9 a 3,7 metros de altura. Cada parte da planta é perigosamente venenosa.</w:t>
      </w:r>
    </w:p>
    <w:p>
      <w:pPr>
        <w:pStyle w:val="Heading3"/>
      </w:pPr>
      <w:r>
        <w:t>Oliveira (Olea europaea)</w:t>
      </w:r>
    </w:p>
    <w:p>
      <w:r/>
      <w:r>
        <w:t xml:space="preserve">Árvore perene semitropical do mundo antigo que produz frutos comestíveis. A oliveira, </w:t>
      </w:r>
      <w:r>
        <w:rPr>
          <w:i/>
        </w:rPr>
        <w:t>Olea europaea,</w:t>
      </w:r>
      <w:r>
        <w:t xml:space="preserve"> era, inquestionavelmente, uma das árvores mais valiosas conhecidas pelos judeus. Há inúmeras referências a ele nas Escrituras, bem como ao azeite, que era usado para a unção. A árvore é bastante comum na Terra Santa e, em muitos lugares, é a única árvore de tamanho substancial. Os ramos da oliveira silvestre são bastante rígidos e espinhosos, e a árvore típica vegetada é uma árvore vegetal multiramificada de 6,1 metros de altura, com um tronco retorcido e uma casca lisa e cor cinza-claro. As folhas são coriáceas e as flores são pequenas, amarelas ou brancas. Os frutos são grandes, pretos ou violetas, amadurecendo em setembro, e são as partes externas carnudas da fruta que produzem o valioso azeite comercial. Trinta e um por cento do fruto maduro é óleo. O fruto maduro é consumido cru, assim como o fruto verde e não maduro. A madeira do tronco e dos membros é dura, rica em amarelo ou âmbar, e de grão fino, frequentemente com uma beleza variada. Ainda é usado hoje para as melhores marcenarias e torneamentos. A árvore cresce muito lentamente, mas atinge uma idade avançada. É difícil matar a oliveira cortando-a, porque novos brotos nascem da raiz e de todos os lados das margens do toco antigo, muitas vezes formando um bosque de dois a cinco troncos, todos de uma única raiz que originalmente suportava apenas uma árvore.</w:t>
      </w:r>
    </w:p>
    <w:p>
      <w:pPr>
        <w:pStyle w:val="Heading4"/>
      </w:pPr>
      <w:r>
        <w:t>Cebola (Allium)</w:t>
      </w:r>
    </w:p>
    <w:p>
      <w:r/>
      <w:r>
        <w:t xml:space="preserve">As cebolas referidas em </w:t>
      </w:r>
      <w:hyperlink r:id="rId754">
        <w:r>
          <w:rPr>
            <w:color w:val="0000EE"/>
            <w:u w:val="single"/>
          </w:rPr>
          <w:t>Números 11.5</w:t>
        </w:r>
      </w:hyperlink>
      <w:r>
        <w:t xml:space="preserve"> são, sem dúvida, </w:t>
      </w:r>
      <w:r>
        <w:rPr>
          <w:i/>
        </w:rPr>
        <w:t>Allium cepa,</w:t>
      </w:r>
      <w:r>
        <w:t xml:space="preserve"> a cebola egípcia, que é composta de um bulbo revestido compacto formado por camadas consistindo em bases largas e carnudas de folhas sobrepostas. As folhas são finas e com cavidades. Toda a planta tem um gosto e odor pungentes característicos.</w:t>
      </w:r>
    </w:p>
    <w:p>
      <w:r/>
      <w:r>
        <w:t xml:space="preserve">Intimamente relacionado com a cebola está o alho, </w:t>
      </w:r>
      <w:r>
        <w:rPr>
          <w:i/>
        </w:rPr>
        <w:t>A. sativum.</w:t>
      </w:r>
      <w:r>
        <w:t xml:space="preserve"> O alho comum é uma planta perene, resistente e bulbosa que é plantada na Europa, Ásia ocidental e Egito. As folhas são estreitas, planas e semelhantes a uma fita. É extremamente popular entre as pessoas da região do Mediterrâneo.</w:t>
      </w:r>
    </w:p>
    <w:p>
      <w:r/>
      <w:r>
        <w:t xml:space="preserve">Outro que faz parte da família das cebolas é o alho-poró, </w:t>
      </w:r>
      <w:r>
        <w:rPr>
          <w:i/>
        </w:rPr>
        <w:t>A. porrum.</w:t>
      </w:r>
      <w:r>
        <w:t xml:space="preserve"> O bulbo do alho-poró difere da cebola e do alho na medida em que é fino, cilíndrico e com mais de 15,2 centímetros de comprimento. O sabor se assemelha ao da cebola, mas é mais pungente. As folhas dão sabor e são cozidas em sopas. Os bulbos são cortados em pequenos pedaços e usados como tempero para carne.</w:t>
      </w:r>
    </w:p>
    <w:p>
      <w:pPr>
        <w:pStyle w:val="Heading3"/>
      </w:pPr>
      <w:r>
        <w:t>Palmeira (Phoenix dactylifera)</w:t>
      </w:r>
    </w:p>
    <w:p>
      <w:r/>
      <w:r>
        <w:t>A palmeira da Bíblia é, sem dúvida, a tamareira. Ao mesmo tempo, era tão característica da Terra Santa quanto ainda é hoje do Egito. Ele é caracterizado por um caule sem ramificações e afilado, de até 24,2 metros ou mais de altura, e um grande conjunto terminal de folhas plumosas, cada uma de 1,8 a 2,7 metros ou mais de comprimento. Por causa de sua altura e estrutura incomum, era natural que fosse usado como uma forma de ornamentação na arquitetura Oriental. O caule e as folhas eram temas favoritos de ornamentação arquitetônica. As folhas imensas que são citadas como ramos na Bíblia eram símbolos de triunfo e eram usadas em ocasiões de grande júbilo (</w:t>
      </w:r>
      <w:hyperlink r:id="rId5252">
        <w:r>
          <w:rPr>
            <w:color w:val="0000EE"/>
            <w:u w:val="single"/>
          </w:rPr>
          <w:t>Jo 12.13</w:t>
        </w:r>
      </w:hyperlink>
      <w:r>
        <w:t xml:space="preserve">; </w:t>
      </w:r>
      <w:hyperlink r:id="rId2134">
        <w:r>
          <w:rPr>
            <w:color w:val="0000EE"/>
            <w:u w:val="single"/>
          </w:rPr>
          <w:t>Ap 7.9</w:t>
        </w:r>
      </w:hyperlink>
      <w:r>
        <w:t>). As grandes folhas ainda são usadas para cobrir os telhados e os lados das casas e para dar solidez às cercas de junco. Tapetes, cestas e até pratos são feitos deles. Pequenas folhas são usadas como espanadores, e a madeira do tronco é usada para madeira. Corda é feita do envoltório em forma de teia na coroa. O fruto, carregado em um imenso cacho pendente, que pode pesar de 13,6 a 22,7 quilogramas, é o principal alimento de muitos nativos da Arábia e do Norte da África. Uma única árvore pode render até 90,7 quilogramas de tâmaras por ano. Eles podem estar secos para uso futuro.</w:t>
      </w:r>
    </w:p>
    <w:p>
      <w:pPr>
        <w:pStyle w:val="Heading3"/>
      </w:pPr>
      <w:r>
        <w:t>Papiro (Cyperus papyrus)</w:t>
      </w:r>
    </w:p>
    <w:p>
      <w:r/>
      <w:r>
        <w:t>O junco ou papiro egípcio (</w:t>
      </w:r>
      <w:hyperlink r:id="rId17151">
        <w:r>
          <w:rPr>
            <w:color w:val="0000EE"/>
            <w:u w:val="single"/>
          </w:rPr>
          <w:t>Êx 2.3–5</w:t>
        </w:r>
      </w:hyperlink>
      <w:r>
        <w:t xml:space="preserve">; </w:t>
      </w:r>
      <w:hyperlink r:id="rId17152">
        <w:r>
          <w:rPr>
            <w:color w:val="0000EE"/>
            <w:u w:val="single"/>
          </w:rPr>
          <w:t>Jó 8.11</w:t>
        </w:r>
      </w:hyperlink>
      <w:r>
        <w:t xml:space="preserve">; </w:t>
      </w:r>
      <w:hyperlink r:id="rId17153">
        <w:r>
          <w:rPr>
            <w:color w:val="0000EE"/>
            <w:u w:val="single"/>
          </w:rPr>
          <w:t>Is 18.2</w:t>
        </w:r>
      </w:hyperlink>
      <w:r>
        <w:t xml:space="preserve">; </w:t>
      </w:r>
      <w:hyperlink r:id="rId17154">
        <w:r>
          <w:rPr>
            <w:color w:val="0000EE"/>
            <w:u w:val="single"/>
          </w:rPr>
          <w:t>19.6–7</w:t>
        </w:r>
      </w:hyperlink>
      <w:r>
        <w:t xml:space="preserve">; </w:t>
      </w:r>
      <w:hyperlink r:id="rId1741">
        <w:r>
          <w:rPr>
            <w:color w:val="0000EE"/>
            <w:u w:val="single"/>
          </w:rPr>
          <w:t>35.7</w:t>
        </w:r>
      </w:hyperlink>
      <w:r>
        <w:t xml:space="preserve">; </w:t>
      </w:r>
      <w:hyperlink r:id="rId3886">
        <w:r>
          <w:rPr>
            <w:color w:val="0000EE"/>
            <w:u w:val="single"/>
          </w:rPr>
          <w:t>58.5</w:t>
        </w:r>
      </w:hyperlink>
      <w:r>
        <w:t>) tem caules suaves de três lados que normalmente atingem uma altura de 2,4 a 3 metros, mas às vezes até 4,9 metros e uma espessura de 5,1 a 7,6 centímetros na base com um grande tufo de flores na ponta. O papiro anteriormente crescia em grande abundância ao longo das margens do Nilo, formando o que era quase uma selva densa. Hoje está praticamente extinta no Egito baixo, embora ainda seja encontrada ao longo do Nilo Branco e no Sudão. O papiro ainda cresce em partes da Terra Santa, especialmente ao redor do extremo norte da planície da Galileia e dos pântanos de Hula.</w:t>
      </w:r>
    </w:p>
    <w:p>
      <w:r/>
      <w:r>
        <w:t>Além de ser usado para fazer pequenas embarcações flutuarem na água (</w:t>
      </w:r>
      <w:hyperlink r:id="rId3517">
        <w:r>
          <w:rPr>
            <w:color w:val="0000EE"/>
            <w:u w:val="single"/>
          </w:rPr>
          <w:t>Êxodo 2.3</w:t>
        </w:r>
      </w:hyperlink>
      <w:r>
        <w:t>), tapetes e para diversos outros fins domésticos, é mais conhecido como a fonte do papel antigo. Na fabricação de papel a partir do papiro, os caules da planta eram primeiro descascados e depois cortados longitudinalmente em fatias finas que eram colocadas lado a lado. Então, eram regados com água e prensados para unir o conjunto em uma peça única. A folha era então seca e cortada em pedaços do tamanho necessário. Nas melhores notas de papel de papiro, várias camadas de fatias de caule eram colocadas transversalmente umas nas outras.</w:t>
      </w:r>
    </w:p>
    <w:p>
      <w:r/>
      <w:r>
        <w:t>As inflorescências pálidas, cor de feno, em forma de borla no topo dos caules eram usadas para adornar templos egípcios e coroar as estátuas dos deuses. Eles também eram usados como coroas por homens famosos e heróis nacionais.</w:t>
      </w:r>
    </w:p>
    <w:p>
      <w:pPr>
        <w:pStyle w:val="Heading3"/>
      </w:pPr>
      <w:r>
        <w:t>Pinheiro (Pinus brutia, P. halepensis)</w:t>
      </w:r>
    </w:p>
    <w:p>
      <w:r/>
      <w:r>
        <w:t xml:space="preserve">Várias árvores perenes desta família têm folhas em forma de agulha agrupadas e cones que contêm sementes. Embora haja considerável confusão sobre os coníferos da Bíblia, parece evidente que os pinheiros são mencionados em passagens como </w:t>
      </w:r>
      <w:hyperlink r:id="rId17155">
        <w:r>
          <w:rPr>
            <w:color w:val="0000EE"/>
            <w:u w:val="single"/>
          </w:rPr>
          <w:t>Levítico 23.40</w:t>
        </w:r>
      </w:hyperlink>
      <w:r>
        <w:t xml:space="preserve">; </w:t>
      </w:r>
      <w:hyperlink r:id="rId17138">
        <w:r>
          <w:rPr>
            <w:color w:val="0000EE"/>
            <w:u w:val="single"/>
          </w:rPr>
          <w:t>Neemias 8.15</w:t>
        </w:r>
      </w:hyperlink>
      <w:r>
        <w:t xml:space="preserve">; </w:t>
      </w:r>
      <w:hyperlink r:id="rId17088">
        <w:r>
          <w:rPr>
            <w:color w:val="0000EE"/>
            <w:u w:val="single"/>
          </w:rPr>
          <w:t>Isaías 41.19</w:t>
        </w:r>
      </w:hyperlink>
      <w:r>
        <w:t xml:space="preserve">; e </w:t>
      </w:r>
      <w:hyperlink r:id="rId3362">
        <w:r>
          <w:rPr>
            <w:color w:val="0000EE"/>
            <w:u w:val="single"/>
          </w:rPr>
          <w:t>60.13</w:t>
        </w:r>
      </w:hyperlink>
      <w:r>
        <w:t xml:space="preserve">. Um dos pinheiros da Terra Santa é o Pinheiro-bruto </w:t>
      </w:r>
      <w:r>
        <w:rPr>
          <w:i/>
        </w:rPr>
        <w:t>(Pinus brutia),</w:t>
      </w:r>
      <w:r>
        <w:t xml:space="preserve"> uma espécie que habita as montanhas das regiões do Norte da Palestina. Atinge uma altura de 3 a 10,7 metros com um crescimento bastante difuso e galhos em verticilos.</w:t>
      </w:r>
    </w:p>
    <w:p>
      <w:r/>
      <w:r>
        <w:t xml:space="preserve">Outro pinheiro é o pinheiro-de-alepo, </w:t>
      </w:r>
      <w:r>
        <w:rPr>
          <w:i/>
        </w:rPr>
        <w:t>Pinus halepensis.</w:t>
      </w:r>
      <w:r>
        <w:t xml:space="preserve"> A maioria dos casos da ocorrência de “pinho” ou “pinheiro” na NVI provavelmente se refere ao pinheiro-de-alepo (</w:t>
      </w:r>
      <w:hyperlink r:id="rId4905">
        <w:r>
          <w:rPr>
            <w:color w:val="0000EE"/>
            <w:u w:val="single"/>
          </w:rPr>
          <w:t>2Sm 6.5</w:t>
        </w:r>
      </w:hyperlink>
      <w:r>
        <w:t xml:space="preserve">; </w:t>
      </w:r>
      <w:hyperlink r:id="rId17156">
        <w:r>
          <w:rPr>
            <w:color w:val="0000EE"/>
            <w:u w:val="single"/>
          </w:rPr>
          <w:t>1Rs 5.8,10</w:t>
        </w:r>
      </w:hyperlink>
      <w:r>
        <w:t xml:space="preserve">; </w:t>
      </w:r>
      <w:hyperlink r:id="rId17157">
        <w:r>
          <w:rPr>
            <w:color w:val="0000EE"/>
            <w:u w:val="single"/>
          </w:rPr>
          <w:t>6.34</w:t>
        </w:r>
      </w:hyperlink>
      <w:r>
        <w:t xml:space="preserve">; </w:t>
      </w:r>
      <w:hyperlink r:id="rId17158">
        <w:r>
          <w:rPr>
            <w:color w:val="0000EE"/>
            <w:u w:val="single"/>
          </w:rPr>
          <w:t>2Rs 19.23</w:t>
        </w:r>
      </w:hyperlink>
      <w:r>
        <w:t xml:space="preserve">; </w:t>
      </w:r>
      <w:hyperlink r:id="rId11002">
        <w:r>
          <w:rPr>
            <w:color w:val="0000EE"/>
            <w:u w:val="single"/>
          </w:rPr>
          <w:t>2Cr 2.8</w:t>
        </w:r>
      </w:hyperlink>
      <w:r>
        <w:t xml:space="preserve">; </w:t>
      </w:r>
      <w:hyperlink r:id="rId16367">
        <w:r>
          <w:rPr>
            <w:color w:val="0000EE"/>
            <w:u w:val="single"/>
          </w:rPr>
          <w:t>Sl 104.17</w:t>
        </w:r>
      </w:hyperlink>
      <w:r>
        <w:t xml:space="preserve">; </w:t>
      </w:r>
      <w:hyperlink r:id="rId17159">
        <w:r>
          <w:rPr>
            <w:color w:val="0000EE"/>
            <w:u w:val="single"/>
          </w:rPr>
          <w:t>Sl 1.17</w:t>
        </w:r>
      </w:hyperlink>
      <w:r>
        <w:t xml:space="preserve">; </w:t>
      </w:r>
      <w:hyperlink r:id="rId12965">
        <w:r>
          <w:rPr>
            <w:color w:val="0000EE"/>
            <w:u w:val="single"/>
          </w:rPr>
          <w:t>Is 14.8</w:t>
        </w:r>
      </w:hyperlink>
      <w:r>
        <w:t xml:space="preserve">; </w:t>
      </w:r>
      <w:hyperlink r:id="rId17160">
        <w:r>
          <w:rPr>
            <w:color w:val="0000EE"/>
            <w:u w:val="single"/>
          </w:rPr>
          <w:t>37.24</w:t>
        </w:r>
      </w:hyperlink>
      <w:r>
        <w:t xml:space="preserve">; </w:t>
      </w:r>
      <w:hyperlink r:id="rId17161">
        <w:r>
          <w:rPr>
            <w:color w:val="0000EE"/>
            <w:u w:val="single"/>
          </w:rPr>
          <w:t>55.13</w:t>
        </w:r>
      </w:hyperlink>
      <w:r>
        <w:t xml:space="preserve">; </w:t>
      </w:r>
      <w:hyperlink r:id="rId3362">
        <w:r>
          <w:rPr>
            <w:color w:val="0000EE"/>
            <w:u w:val="single"/>
          </w:rPr>
          <w:t>60.13</w:t>
        </w:r>
      </w:hyperlink>
      <w:r>
        <w:t xml:space="preserve">; </w:t>
      </w:r>
      <w:hyperlink r:id="rId1984">
        <w:r>
          <w:rPr>
            <w:color w:val="0000EE"/>
            <w:u w:val="single"/>
          </w:rPr>
          <w:t>Ez 27.5</w:t>
        </w:r>
      </w:hyperlink>
      <w:r>
        <w:t xml:space="preserve">; </w:t>
      </w:r>
      <w:hyperlink r:id="rId4628">
        <w:r>
          <w:rPr>
            <w:color w:val="0000EE"/>
            <w:u w:val="single"/>
          </w:rPr>
          <w:t>31.8</w:t>
        </w:r>
      </w:hyperlink>
      <w:r>
        <w:t xml:space="preserve">; </w:t>
      </w:r>
      <w:hyperlink r:id="rId17162">
        <w:r>
          <w:rPr>
            <w:color w:val="0000EE"/>
            <w:u w:val="single"/>
          </w:rPr>
          <w:t>Os 14.8</w:t>
        </w:r>
      </w:hyperlink>
      <w:r>
        <w:t xml:space="preserve">; </w:t>
      </w:r>
      <w:hyperlink r:id="rId5584">
        <w:r>
          <w:rPr>
            <w:color w:val="0000EE"/>
            <w:u w:val="single"/>
          </w:rPr>
          <w:t>Na 2.3</w:t>
        </w:r>
      </w:hyperlink>
      <w:r>
        <w:t xml:space="preserve">; </w:t>
      </w:r>
      <w:hyperlink r:id="rId16184">
        <w:r>
          <w:rPr>
            <w:color w:val="0000EE"/>
            <w:u w:val="single"/>
          </w:rPr>
          <w:t>Zc 11.2</w:t>
        </w:r>
      </w:hyperlink>
      <w:r>
        <w:t>). Cresce de 9 a 18,3 metros de altura com ramos ascendentes difusos e ramos amarelados ou acastanhados.</w:t>
      </w:r>
    </w:p>
    <w:p>
      <w:pPr>
        <w:pStyle w:val="Heading3"/>
      </w:pPr>
      <w:r>
        <w:t>Pistache (Pistacia terebinthus, P. vera)</w:t>
      </w:r>
    </w:p>
    <w:p>
      <w:r/>
      <w:r>
        <w:t>O terebinto ou terebintina da Palestina é uma grande árvore decídua grande com galhos irregulares. No inverno, sem suas folhas, se parece muito com o carvalho. Cresce de 3,7 a 7,6 metros de altura. Cada parte da árvore contém um líquido aromatizado e resinoso. É comum nas encostas inferiores das colinas em toda a Síria, Líbano, Palestina e Arábia, geralmente crescendo como uma árvore solitária e encontrada principalmente em localidades muito quentes ou muito secas para o carvalho que geralmente substitui. Uma vez que é nativa de Gileade, é bastante provável que seu suco resinoso fizesse parte das especiarias que os israelitas carregavam de Gileade para o Egito (</w:t>
      </w:r>
      <w:hyperlink r:id="rId1495">
        <w:r>
          <w:rPr>
            <w:color w:val="0000EE"/>
            <w:u w:val="single"/>
          </w:rPr>
          <w:t>Gn 37.25</w:t>
        </w:r>
      </w:hyperlink>
      <w:r>
        <w:t>).</w:t>
      </w:r>
    </w:p>
    <w:p>
      <w:r/>
      <w:r>
        <w:t xml:space="preserve">As nozes de </w:t>
      </w:r>
      <w:hyperlink r:id="rId5193">
        <w:r>
          <w:rPr>
            <w:color w:val="0000EE"/>
            <w:u w:val="single"/>
          </w:rPr>
          <w:t>Gênesis 43.11</w:t>
        </w:r>
      </w:hyperlink>
      <w:r>
        <w:t xml:space="preserve"> são aparentemente nozes de pistache da árvore de pistache, </w:t>
      </w:r>
      <w:r>
        <w:rPr>
          <w:i/>
        </w:rPr>
        <w:t>Pistacia vera,</w:t>
      </w:r>
      <w:r>
        <w:t xml:space="preserve"> intimamente relacionadas com o terebinto. Ela atinge uma altura de 3 a 9,1 metros com uma copa que se espalha. Ela é encontrada selvagem em muitas partes rochosas do Líbano e da Terra Santa. A noz tem uma casca de cor clara e o grão tem um sabor doce e delicado muito apreciado onde quer que cresça.</w:t>
      </w:r>
    </w:p>
    <w:p>
      <w:pPr>
        <w:pStyle w:val="Heading3"/>
      </w:pPr>
      <w:r>
        <w:t>Plátano (Platanus orientalis)</w:t>
      </w:r>
    </w:p>
    <w:p>
      <w:r/>
      <w:r>
        <w:t xml:space="preserve">Qualquer uma de várias árvores dessa família com cachos de frutos em forma de sino e geralmente uma casca externa que se desprende em manchas ou tiras. As referências em </w:t>
      </w:r>
      <w:hyperlink r:id="rId2920">
        <w:r>
          <w:rPr>
            <w:color w:val="0000EE"/>
            <w:u w:val="single"/>
          </w:rPr>
          <w:t>Gênesis 30.37</w:t>
        </w:r>
      </w:hyperlink>
      <w:r>
        <w:t xml:space="preserve"> e </w:t>
      </w:r>
      <w:hyperlink r:id="rId4628">
        <w:r>
          <w:rPr>
            <w:color w:val="0000EE"/>
            <w:u w:val="single"/>
          </w:rPr>
          <w:t>Ezequiel 31.8</w:t>
        </w:r>
      </w:hyperlink>
      <w:r>
        <w:t xml:space="preserve"> aparentemente não são à castanheira, que não é nativa da Palestina, mas ao Plátano Oriental, </w:t>
      </w:r>
      <w:r>
        <w:rPr>
          <w:i/>
        </w:rPr>
        <w:t>Platanus orientalis.</w:t>
      </w:r>
    </w:p>
    <w:p>
      <w:r/>
      <w:r>
        <w:t>O plátano é uma árvore maciça de 18,3 metros ou mais de altura, com um tronco frequentemente de vasta circunferência, às vezes chegando a 12,2 metros. A casca externa se desprende em folhas ou escamas, expondo assim uma casca interna lisa esbranquiçada ou amarelada. A árvore é comum em todo o Líbano, Síria e Terra Santa, crescendo até mesmo nas regiões subalpinas. No entanto, é primariamente uma árvore das planícies e planícies, crescendo nas bordas dos riachos e lagos e em lugares pantanosos.</w:t>
      </w:r>
    </w:p>
    <w:p>
      <w:pPr>
        <w:pStyle w:val="Heading3"/>
      </w:pPr>
      <w:r>
        <w:t>Romãzeira (Punica granatum)</w:t>
      </w:r>
    </w:p>
    <w:p>
      <w:r/>
      <w:r>
        <w:t xml:space="preserve">A romãzeira é geralmente uma árvore pequena e arbustiva, mas ocasionalmente pode se tornar um arbusto grande e ramificado ou uma pequena árvore, alcançando uma altura de 6 a 9 metros. Os ramos são muitas vezes espinhosos. As flores vistosas como um sino são geralmente escarlates, embora às vezes amarelas ou brancas. A fruta globular é tão grande quanto uma laranja ou maça de tamanho médio. Ela tem uma casca dura de cor vermelha brilhante ou amarelada quando madura e é rematada pelos sépalos secos que se assemelham a uma coroa. O próprio fruto é uma polpa suculenta de cor vermelho-carmesim na qual muitas sementes vermelhas estão embutidas. As flores da romã, sem dúvida, serviram como um padrão para os sinos de ouro mencionados em </w:t>
      </w:r>
      <w:hyperlink r:id="rId11085">
        <w:r>
          <w:rPr>
            <w:color w:val="0000EE"/>
            <w:u w:val="single"/>
          </w:rPr>
          <w:t>Êxodo 28.33–34</w:t>
        </w:r>
      </w:hyperlink>
      <w:r>
        <w:t xml:space="preserve"> e </w:t>
      </w:r>
      <w:hyperlink r:id="rId17163">
        <w:r>
          <w:rPr>
            <w:color w:val="0000EE"/>
            <w:u w:val="single"/>
          </w:rPr>
          <w:t>39.24–26</w:t>
        </w:r>
      </w:hyperlink>
      <w:r>
        <w:t xml:space="preserve">, e as flores abertas de </w:t>
      </w:r>
      <w:hyperlink r:id="rId17164">
        <w:r>
          <w:rPr>
            <w:color w:val="0000EE"/>
            <w:u w:val="single"/>
          </w:rPr>
          <w:t>1 Reis 6.32</w:t>
        </w:r>
      </w:hyperlink>
      <w:r>
        <w:t>. Os lóbulos do cálice ereto no fruto serviam como um modelo para coroas de reis.</w:t>
      </w:r>
    </w:p>
    <w:p>
      <w:r/>
      <w:r>
        <w:t>A romã é nativa da Ásia, mas foi cultivado desde os tempos pré-históricos e agora é bem comum na Terra Santa, no Egito e ao longo das margens do Mediterrâneo. É listado como um dos frutos agradáveis do Egito (</w:t>
      </w:r>
      <w:hyperlink r:id="rId17165">
        <w:r>
          <w:rPr>
            <w:color w:val="0000EE"/>
            <w:u w:val="single"/>
          </w:rPr>
          <w:t>Nm 20.5</w:t>
        </w:r>
      </w:hyperlink>
      <w:r>
        <w:t>) e uma das bênçãos prometidas da Terra Santa (</w:t>
      </w:r>
      <w:hyperlink r:id="rId17166">
        <w:r>
          <w:rPr>
            <w:color w:val="0000EE"/>
            <w:u w:val="single"/>
          </w:rPr>
          <w:t>Dt 8.8</w:t>
        </w:r>
      </w:hyperlink>
      <w:r>
        <w:t>).</w:t>
      </w:r>
    </w:p>
    <w:p>
      <w:pPr>
        <w:pStyle w:val="Heading3"/>
      </w:pPr>
      <w:r>
        <w:t>Álamo (Populus euphratica, P. alba)</w:t>
      </w:r>
    </w:p>
    <w:p>
      <w:r/>
      <w:r>
        <w:t xml:space="preserve">Árvore decídua de crescimento rápido do mesmo gênero que o álamo e o álamo-branco. As referências em </w:t>
      </w:r>
      <w:hyperlink r:id="rId2959">
        <w:r>
          <w:rPr>
            <w:color w:val="0000EE"/>
            <w:u w:val="single"/>
          </w:rPr>
          <w:t>2 Samuel 5.23–24</w:t>
        </w:r>
      </w:hyperlink>
      <w:r>
        <w:t xml:space="preserve"> e </w:t>
      </w:r>
      <w:hyperlink r:id="rId2960">
        <w:r>
          <w:rPr>
            <w:color w:val="0000EE"/>
            <w:u w:val="single"/>
          </w:rPr>
          <w:t>1 Crônicas 14.14–15</w:t>
        </w:r>
      </w:hyperlink>
      <w:r>
        <w:t xml:space="preserve"> às amoreiras são mais provavelmente ao álamo do Eufrates ou ao aspen, </w:t>
      </w:r>
      <w:r>
        <w:rPr>
          <w:i/>
        </w:rPr>
        <w:t>Populus euphratica.</w:t>
      </w:r>
      <w:r>
        <w:t xml:space="preserve"> Esta árvore cresce até uma altura de 9,1 a 13,7 metros, com ramos se espalhando. O aspen do Eufrates é encontrado apenas em rios e bancos de riachos em toda a área, da Síria através da Terra Santa até a Arábia Pétrea. É muito comum no Vale do Jordão.</w:t>
      </w:r>
    </w:p>
    <w:p>
      <w:r/>
      <w:r>
        <w:t xml:space="preserve">O álamo branco </w:t>
      </w:r>
      <w:r>
        <w:rPr>
          <w:i/>
        </w:rPr>
        <w:t>(Populus alba)</w:t>
      </w:r>
      <w:r>
        <w:t xml:space="preserve"> é comum em lugares úmidos na Síria, no Líbano, na Terra Santa e no Sinai. Atinge uma altura de 9 a 18,3 metros com ramos se espalhando. Alguns sugerem que os altares de várias religiões pagãs eram geralmente levantados no topo de uma colina e à sombra de um bosque de álamos.</w:t>
      </w:r>
    </w:p>
    <w:p>
      <w:pPr>
        <w:pStyle w:val="Heading3"/>
      </w:pPr>
      <w:r>
        <w:t>Marmeleiro (Cydonia oblonga)</w:t>
      </w:r>
    </w:p>
    <w:p>
      <w:r/>
      <w:r>
        <w:t xml:space="preserve">Árvore nativa da Ásia Ocidental, tendo flores brancas e frutos semelhantes à maçã que são comestíveis quando cozidos. Alguns acreditam que as “maçãs” do AT eram marmelos, </w:t>
      </w:r>
      <w:r>
        <w:rPr>
          <w:i/>
        </w:rPr>
        <w:t>Cydonia oblonga.</w:t>
      </w:r>
      <w:r>
        <w:t xml:space="preserve"> O marmeleiro é bem comum na Terra Santa, sendo uma árvore amplamente cultivada. Pode ter alguns selvagens nas partes setentrionais da Síria. É nativo do Norte da Pérsia e Ásia Menor. O fruto é amarelado e bem fragrante, e foi essa fragrância que fez com que fosse altamente valorizado pelos antigos.</w:t>
      </w:r>
    </w:p>
    <w:p>
      <w:pPr>
        <w:pStyle w:val="Heading3"/>
      </w:pPr>
      <w:r>
        <w:t>Junco (Juncus, Scirpus, Typha angustata, Arundo donax)</w:t>
      </w:r>
    </w:p>
    <w:p>
      <w:r/>
      <w:r>
        <w:t xml:space="preserve">Numerosas espécies de juncos ou taboa crescem na Terra Santa. Há pelo menos 21 variedades de juncos. O junco-mole comum ou o junco de pântano </w:t>
      </w:r>
      <w:r>
        <w:rPr>
          <w:i/>
        </w:rPr>
        <w:t>(Juncus effusus)</w:t>
      </w:r>
      <w:r>
        <w:t xml:space="preserve"> é encontrado em lugares úmidos, mesmo no Sinai e outros desertos. O junco-do-mar ou o junco-rígido </w:t>
      </w:r>
      <w:r>
        <w:rPr>
          <w:i/>
        </w:rPr>
        <w:t>(J. maritimus)</w:t>
      </w:r>
      <w:r>
        <w:t xml:space="preserve"> é encontrado em lugares úmidos em toda a Terra Santa e até mesmo no Sinai.</w:t>
      </w:r>
    </w:p>
    <w:p>
      <w:r/>
      <w:r>
        <w:t xml:space="preserve">Pelo menos 15 tipos de taboa </w:t>
      </w:r>
      <w:r>
        <w:rPr>
          <w:i/>
        </w:rPr>
        <w:t>(Scirpus)</w:t>
      </w:r>
      <w:r>
        <w:t xml:space="preserve"> são conhecidos na Terra Santa. O junco-cabeça-aglomerada </w:t>
      </w:r>
      <w:r>
        <w:rPr>
          <w:i/>
        </w:rPr>
        <w:t>(Scirpus holoschoenus)</w:t>
      </w:r>
      <w:r>
        <w:t xml:space="preserve"> é comum em lugares úmidos em toda a Terra Santa até o Sinai. O junco-de-lago ou junco-alto </w:t>
      </w:r>
      <w:r>
        <w:rPr>
          <w:i/>
        </w:rPr>
        <w:t>(S. lacustris)</w:t>
      </w:r>
      <w:r>
        <w:t xml:space="preserve"> é encontrado em pântanos e valas em todo o Norte da África até o Mar Morto. O junco-do-mar ou junco-de-pântano-salgado </w:t>
      </w:r>
      <w:r>
        <w:rPr>
          <w:i/>
        </w:rPr>
        <w:t>(S. maritimus)</w:t>
      </w:r>
      <w:r>
        <w:t xml:space="preserve"> é encontrado em valas e pântanos em muitos lugares da Terra Santa. Qualquer uma dessas espécies pode ser a mencionada em </w:t>
      </w:r>
      <w:hyperlink r:id="rId17152">
        <w:r>
          <w:rPr>
            <w:color w:val="0000EE"/>
            <w:u w:val="single"/>
          </w:rPr>
          <w:t>Jó 8.11</w:t>
        </w:r>
      </w:hyperlink>
      <w:r>
        <w:t xml:space="preserve">; </w:t>
      </w:r>
      <w:hyperlink r:id="rId17167">
        <w:r>
          <w:rPr>
            <w:color w:val="0000EE"/>
            <w:u w:val="single"/>
          </w:rPr>
          <w:t>Isaías 9.14</w:t>
        </w:r>
      </w:hyperlink>
      <w:r>
        <w:t xml:space="preserve">; </w:t>
      </w:r>
      <w:hyperlink r:id="rId17168">
        <w:r>
          <w:rPr>
            <w:color w:val="0000EE"/>
            <w:u w:val="single"/>
          </w:rPr>
          <w:t>19.6,15</w:t>
        </w:r>
      </w:hyperlink>
      <w:r>
        <w:t>.</w:t>
      </w:r>
    </w:p>
    <w:p>
      <w:r/>
      <w:r>
        <w:t xml:space="preserve">A referência em </w:t>
      </w:r>
      <w:hyperlink r:id="rId15329">
        <w:r>
          <w:rPr>
            <w:color w:val="0000EE"/>
            <w:u w:val="single"/>
          </w:rPr>
          <w:t>Gênesis 41.2</w:t>
        </w:r>
      </w:hyperlink>
      <w:r>
        <w:t xml:space="preserve"> à alimentação do gado no prado parece ser ao junco-alto </w:t>
      </w:r>
      <w:r>
        <w:rPr>
          <w:i/>
        </w:rPr>
        <w:t>(Arundo donax),</w:t>
      </w:r>
      <w:r>
        <w:t xml:space="preserve"> que cresce de 5,5 metros ou mais de altura. Esta planta também é conhecida como junco-persa e é comum em toda a Terra Santa, Síria e a Península do Sinai. É uma gramínea gigantesca que pode ter um diâmetro do caule de 5,1 a 7,6 centímetros na base e é terminada por uma pluma de flores brancas semelhantes às da cana-de-açúcar ou capim-dos-pampas. A planta era usada para diferentes propósitos pelos antigos: para varas de caminhar, varas de pesca, varas de medição e tubos musicais. É, portanto, bem possível que a "cana" ou "vara" de </w:t>
      </w:r>
      <w:hyperlink r:id="rId1875">
        <w:r>
          <w:rPr>
            <w:color w:val="0000EE"/>
            <w:u w:val="single"/>
          </w:rPr>
          <w:t>Mateus 27.48</w:t>
        </w:r>
      </w:hyperlink>
      <w:r>
        <w:t xml:space="preserve"> e </w:t>
      </w:r>
      <w:hyperlink r:id="rId1876">
        <w:r>
          <w:rPr>
            <w:color w:val="0000EE"/>
            <w:u w:val="single"/>
          </w:rPr>
          <w:t>Marcos 15.36</w:t>
        </w:r>
      </w:hyperlink>
      <w:r>
        <w:t xml:space="preserve"> fosse junco de carpinteiro, ou a vara de medição.</w:t>
      </w:r>
    </w:p>
    <w:p>
      <w:r/>
      <w:r>
        <w:rPr>
          <w:i/>
        </w:rPr>
        <w:t>Veja também</w:t>
      </w:r>
      <w:r>
        <w:t xml:space="preserve"> Papiro.</w:t>
      </w:r>
    </w:p>
    <w:p>
      <w:pPr>
        <w:pStyle w:val="Heading3"/>
      </w:pPr>
      <w:r>
        <w:t>Arruda (Ruta chalepensis, R. graveolens)</w:t>
      </w:r>
    </w:p>
    <w:p>
      <w:r/>
      <w:r>
        <w:t xml:space="preserve">Planta aromática euroasiática com folhas perenes que produzem um óleo volátil e ácido, usado antigamente na medicina. Não há dúvida quanto à correção da tradução de "arruda" em </w:t>
      </w:r>
      <w:hyperlink r:id="rId5237">
        <w:r>
          <w:rPr>
            <w:color w:val="0000EE"/>
            <w:u w:val="single"/>
          </w:rPr>
          <w:t>Lucas 11.42</w:t>
        </w:r>
      </w:hyperlink>
      <w:r>
        <w:t xml:space="preserve">, mas há alguma incerteza quanto à espécie exata. A maioria dos escritores pensa que era a arruda-comum </w:t>
      </w:r>
      <w:r>
        <w:rPr>
          <w:i/>
        </w:rPr>
        <w:t>(Rue graveolens),</w:t>
      </w:r>
      <w:r>
        <w:t xml:space="preserve"> uma planta arbustiva perene com caules eretos de dois a três pés 0,6 a 0,9 metros de altura e folhas profundamente recortadas. Um odor muito forte emana da folhagem. Esta espécie é nativa da região do Mediterrâneo e cresce de maneira selvagem na Terra Santa, especialmente no Monte Tabor.</w:t>
      </w:r>
    </w:p>
    <w:p>
      <w:r/>
      <w:r>
        <w:t>A arruda era altamente valorizada pelos antigos como um medicamento, supostamente para evitar tonturas, mudanças, epilepsia, inflamações nos olhos, insanidade e o “mau-olhado”. A arruda também era usada para temperar comidas.</w:t>
      </w:r>
    </w:p>
    <w:p>
      <w:pPr>
        <w:pStyle w:val="Heading3"/>
      </w:pPr>
      <w:r>
        <w:t>Junco-florido (Butomus umbellatus)</w:t>
      </w:r>
    </w:p>
    <w:p>
      <w:r/>
      <w:r>
        <w:t xml:space="preserve">Termo genérico para qualquer uma das várias plantas de pântano semelhantes a gramíneas, com caules flexíveis, ocos ou medulosos. Há uma incerteza considerável sobre a identificação da planta referida em </w:t>
      </w:r>
      <w:hyperlink r:id="rId15329">
        <w:r>
          <w:rPr>
            <w:color w:val="0000EE"/>
            <w:u w:val="single"/>
          </w:rPr>
          <w:t>Gênesis 41.2</w:t>
        </w:r>
      </w:hyperlink>
      <w:r>
        <w:t xml:space="preserve">, traduzida na NTLH como “capim”, e em </w:t>
      </w:r>
      <w:hyperlink r:id="rId17152">
        <w:r>
          <w:rPr>
            <w:color w:val="0000EE"/>
            <w:u w:val="single"/>
          </w:rPr>
          <w:t>Jó 8.11</w:t>
        </w:r>
      </w:hyperlink>
      <w:r>
        <w:t xml:space="preserve"> como “junco”. Como é mencionada junto com o papiro na passagem de Jó, parece que se refere a um tipo específico de planta, em vez de algo genérico como "capim". Pela descrição em Gênesis como sendo uma planta da qual o gado do Faraó poderia se alimentar nas margens do Nilo e, no entanto, não sendo o papiro, pode se referir ao junco-florido ou gladíolo-d'água </w:t>
      </w:r>
      <w:r>
        <w:rPr>
          <w:i/>
        </w:rPr>
        <w:t>(Butomus umbellatus),</w:t>
      </w:r>
      <w:r>
        <w:t xml:space="preserve"> que floresce tanto no Egito quanto na Terra Santa, junto com o papiro.</w:t>
      </w:r>
    </w:p>
    <w:p>
      <w:r/>
      <w:r>
        <w:rPr>
          <w:i/>
        </w:rPr>
        <w:t>Veja também</w:t>
      </w:r>
      <w:r>
        <w:t xml:space="preserve"> </w:t>
      </w:r>
      <w:r>
        <w:t>Junco</w:t>
      </w:r>
      <w:r>
        <w:t>.</w:t>
      </w:r>
    </w:p>
    <w:p>
      <w:pPr>
        <w:pStyle w:val="Heading3"/>
      </w:pPr>
      <w:r>
        <w:t>Açafrão (Crocus sativus)</w:t>
      </w:r>
    </w:p>
    <w:p>
      <w:r/>
      <w:r>
        <w:t xml:space="preserve">O açafrão mencionado em </w:t>
      </w:r>
      <w:hyperlink r:id="rId4021">
        <w:r>
          <w:rPr>
            <w:color w:val="0000EE"/>
            <w:u w:val="single"/>
          </w:rPr>
          <w:t>Cantares 4.14</w:t>
        </w:r>
      </w:hyperlink>
      <w:r>
        <w:t xml:space="preserve">, é o produto de várias espécies de </w:t>
      </w:r>
      <w:r>
        <w:rPr>
          <w:i/>
        </w:rPr>
        <w:t>Crocus,</w:t>
      </w:r>
      <w:r>
        <w:t xml:space="preserve"> especialmente do açafrão de flor azul </w:t>
      </w:r>
      <w:r>
        <w:rPr>
          <w:i/>
        </w:rPr>
        <w:t>(C. sativus),</w:t>
      </w:r>
      <w:r>
        <w:t xml:space="preserve"> que é nativo da Grécia e da Ásia Menor. O produto comercial consiste no estigma e na parte superior do estilo, as partes superiores do ovário da flor, que são coletadas logo após a abertura da flor. Exige pelo menos 4.000 estigmas para fazer 28 gramas de açafrão. Depois de serem colhidos, os estigmas são secos ao sol, batidos e feitos em pequenos bolos. O açafrão é usado principalmente como um corante amarelo e também como corante de frutas para caril e ensopados.</w:t>
      </w:r>
    </w:p>
    <w:p>
      <w:r/>
      <w:r>
        <w:t xml:space="preserve">Outro tipo totalmente diferente de planta produtora de corantes </w:t>
      </w:r>
      <w:r>
        <w:rPr>
          <w:i/>
        </w:rPr>
        <w:t>(Carthamus tinctorius)</w:t>
      </w:r>
      <w:r>
        <w:t xml:space="preserve"> chamado cartamina, açafrão-bastardo ou cártamo é um membro da família do cardo. Suas flores vermelhas produzem um corante usado extensivamente para colorir seda, cozinhar e adulterar açafrão genuíno. É uma planta espinhosa que cresce anualmente até 1,4 metro de altura, nativa da Síria e do Egito. No Egito, vestimentas de sepultamento das múmias eram tingidas com este material, e é muito possível que esta planta também possa ter sido o açafrão mencionado na Bíblia.</w:t>
      </w:r>
    </w:p>
    <w:p>
      <w:pPr>
        <w:pStyle w:val="Heading3"/>
      </w:pPr>
      <w:r>
        <w:t>Sálvia (Salvia judaica)</w:t>
      </w:r>
    </w:p>
    <w:p>
      <w:r/>
      <w:r>
        <w:t>A sálvia da Judeia chega a 0,9 metro de altura nas montanhas e colinas da Palestina. Seus caules têm quatro ângulos, duros e ásperos. A planta cresce da Síria passando pelo Sul até Nazaré, Hebrom, Tibério, Samaria e Judeia.</w:t>
      </w:r>
    </w:p>
    <w:p>
      <w:r/>
      <w:r>
        <w:t xml:space="preserve">Esta planta é a origem do design do candelabro de sete braços de </w:t>
      </w:r>
      <w:hyperlink r:id="rId17169">
        <w:r>
          <w:rPr>
            <w:color w:val="0000EE"/>
            <w:u w:val="single"/>
          </w:rPr>
          <w:t>Êxodo 37.17–18</w:t>
        </w:r>
      </w:hyperlink>
      <w:r>
        <w:t>, que é conhecido como a menorá, o símbolo tradicional judaico. A inflorescência da planta, quando pressionada plana, tem quase exatamente a mesma forma e estrutura que o candelabro de sete braços, com seu pico central e três pares de ramos laterais cada um dobrando para cima e para dentro de maneira simétrica. Em cada ramo da inflorescência da planta estão espirais ou brotos que talvez dêem a ideia para os “botões” (NTLH) nos castiçais de ouro bíblicos.</w:t>
      </w:r>
    </w:p>
    <w:p>
      <w:pPr>
        <w:pStyle w:val="Heading3"/>
      </w:pPr>
      <w:r>
        <w:t>Espelta (Triticum aestivum)</w:t>
      </w:r>
    </w:p>
    <w:p>
      <w:r/>
      <w:r>
        <w:t xml:space="preserve">Membro resistente da família do trigo. O centeio de </w:t>
      </w:r>
      <w:hyperlink r:id="rId8346">
        <w:r>
          <w:rPr>
            <w:color w:val="0000EE"/>
            <w:u w:val="single"/>
          </w:rPr>
          <w:t>Êxodo 9.32</w:t>
        </w:r>
      </w:hyperlink>
      <w:r>
        <w:t xml:space="preserve"> e a cevada de </w:t>
      </w:r>
      <w:hyperlink r:id="rId16214">
        <w:r>
          <w:rPr>
            <w:color w:val="0000EE"/>
            <w:u w:val="single"/>
          </w:rPr>
          <w:t>Isaías 28.25</w:t>
        </w:r>
      </w:hyperlink>
      <w:r>
        <w:t xml:space="preserve"> e </w:t>
      </w:r>
      <w:hyperlink r:id="rId572">
        <w:r>
          <w:rPr>
            <w:color w:val="0000EE"/>
            <w:u w:val="single"/>
          </w:rPr>
          <w:t>Ezequiel 4.9</w:t>
        </w:r>
      </w:hyperlink>
      <w:r>
        <w:t xml:space="preserve"> (todos na KJV) se referem a espelta. É uma espécie de trigo de grão duro com espigas soltas e grãos triangulares em seção transversal, e era a forma mais comum de trigo nos primeiros tempos. Tem um caule mais robusto do que o trigo e fortes espigas de grãos. O pão feito com sua farinha é muito inferior ao feito de trigo, mas a espelta prosperará em quase qualquer tipo de solo e dará uma colheita em terras inadequadas para o trigo. Os antigos preferiam a cevada para pão.</w:t>
      </w:r>
    </w:p>
    <w:p>
      <w:pPr>
        <w:pStyle w:val="Heading3"/>
      </w:pPr>
      <w:r>
        <w:t>Árvore de Estoraque (Styrax officinalis)</w:t>
      </w:r>
    </w:p>
    <w:p>
      <w:r/>
      <w:r>
        <w:t xml:space="preserve">Várias árvores deste gênero produzindo uma resina aromática. Hoje pensa-se que a especiaria de </w:t>
      </w:r>
      <w:hyperlink r:id="rId2631">
        <w:r>
          <w:rPr>
            <w:color w:val="0000EE"/>
            <w:u w:val="single"/>
          </w:rPr>
          <w:t>Êxodo 30.34</w:t>
        </w:r>
      </w:hyperlink>
      <w:r>
        <w:t xml:space="preserve"> foi derivado da árvore de estoraque. Trata-se de um arbusto ou pequena árvore de ramos irregularmente rígidos, com altura de 2,7 a 6,1 metros. Esta árvore é abundante em colinas baixas e lugares rochosos do Líbano até a Terra Santa. Sua goma é obtida fazendo incisões nos caules e ramos. É altamente aromatizado e ainda é valorizado como um perfume nos dias de hoje.</w:t>
      </w:r>
    </w:p>
    <w:p>
      <w:pPr>
        <w:pStyle w:val="Heading3"/>
      </w:pPr>
      <w:r>
        <w:t>Sicômoro (Ficus sycomorus)</w:t>
      </w:r>
    </w:p>
    <w:p>
      <w:r/>
      <w:r>
        <w:t xml:space="preserve">Árvore do nordeste da África e Ásia adjacente, relacionada com o figo. A palavra traduzida "figueira-brava” em </w:t>
      </w:r>
      <w:hyperlink r:id="rId11653">
        <w:r>
          <w:rPr>
            <w:color w:val="0000EE"/>
            <w:u w:val="single"/>
          </w:rPr>
          <w:t>1 Reis 10:27</w:t>
        </w:r>
      </w:hyperlink>
      <w:r>
        <w:t xml:space="preserve">; </w:t>
      </w:r>
      <w:hyperlink r:id="rId2942">
        <w:r>
          <w:rPr>
            <w:color w:val="0000EE"/>
            <w:u w:val="single"/>
          </w:rPr>
          <w:t>1 Crônicas 27.28</w:t>
        </w:r>
      </w:hyperlink>
      <w:r>
        <w:t xml:space="preserve">; </w:t>
      </w:r>
      <w:hyperlink r:id="rId17170">
        <w:r>
          <w:rPr>
            <w:color w:val="0000EE"/>
            <w:u w:val="single"/>
          </w:rPr>
          <w:t>2 Crônicas 1.15</w:t>
        </w:r>
      </w:hyperlink>
      <w:r>
        <w:t xml:space="preserve">; </w:t>
      </w:r>
      <w:hyperlink r:id="rId17171">
        <w:r>
          <w:rPr>
            <w:color w:val="0000EE"/>
            <w:u w:val="single"/>
          </w:rPr>
          <w:t>9.27</w:t>
        </w:r>
      </w:hyperlink>
      <w:r>
        <w:t xml:space="preserve">; </w:t>
      </w:r>
      <w:hyperlink r:id="rId9783">
        <w:r>
          <w:rPr>
            <w:color w:val="0000EE"/>
            <w:u w:val="single"/>
          </w:rPr>
          <w:t>Salmo 78.47</w:t>
        </w:r>
      </w:hyperlink>
      <w:r>
        <w:t xml:space="preserve">; </w:t>
      </w:r>
      <w:hyperlink r:id="rId17172">
        <w:r>
          <w:rPr>
            <w:color w:val="0000EE"/>
            <w:u w:val="single"/>
          </w:rPr>
          <w:t>Isaías 9.10</w:t>
        </w:r>
      </w:hyperlink>
      <w:r>
        <w:t xml:space="preserve">; </w:t>
      </w:r>
      <w:hyperlink r:id="rId5248">
        <w:r>
          <w:rPr>
            <w:color w:val="0000EE"/>
            <w:u w:val="single"/>
          </w:rPr>
          <w:t>Amós 7.14</w:t>
        </w:r>
      </w:hyperlink>
      <w:r>
        <w:t xml:space="preserve">; e </w:t>
      </w:r>
      <w:hyperlink r:id="rId17173">
        <w:r>
          <w:rPr>
            <w:color w:val="0000EE"/>
            <w:u w:val="single"/>
          </w:rPr>
          <w:t>Lucas 19.4</w:t>
        </w:r>
      </w:hyperlink>
      <w:r>
        <w:t xml:space="preserve">, sem dúvida, se refere ao bem conhecido sicômoro, que também é conhecido como figueira-doida e figueira-do-faraó. Não deve ser confundido com o sicômoro comum do continente norte-americano, que é, na verdade, um plátano. O sicômoro-figueira da Bíblia é uma árvore de crescimento vigoroso, robusta e de ampla ramificação, que pode alcançar de 9,1 a 12,2 metros de altura e, às vezes, atingir uma circunferência de tronco de 6,1 metros ou mais, com uma copa de 36,6 metros de diâmetro. É uma árvore que é facilmente escalada e é frequentemente plantada ao longo das estradas, o que explica a referência em </w:t>
      </w:r>
      <w:hyperlink r:id="rId17173">
        <w:r>
          <w:rPr>
            <w:color w:val="0000EE"/>
            <w:u w:val="single"/>
          </w:rPr>
          <w:t>Lucas 19.4</w:t>
        </w:r>
      </w:hyperlink>
      <w:r>
        <w:t>. Ela produz uma quantidade abundante de frutos em cachos em todas as partes da árvore, tanto em galhos jovens quanto em galhos velhos e até mesmo no próprio tronco. É muito semelhante ao figo comum, apenas menor e de qualidade muito inferior. Nos dias de Davi, era tão valioso que ele designou um supervisor especial para as árvores de sicômoros (</w:t>
      </w:r>
      <w:hyperlink r:id="rId2942">
        <w:r>
          <w:rPr>
            <w:color w:val="0000EE"/>
            <w:u w:val="single"/>
          </w:rPr>
          <w:t>1Cr 27.28</w:t>
        </w:r>
      </w:hyperlink>
      <w:r>
        <w:t>). Acredita-se que Amós não era um colhedor de frutos de sicômoro, mas sim um cultivador de árvores de sicômoro.</w:t>
      </w:r>
    </w:p>
    <w:p>
      <w:pPr>
        <w:pStyle w:val="Heading3"/>
      </w:pPr>
      <w:r>
        <w:t>Tamarisco (Tamarix)</w:t>
      </w:r>
    </w:p>
    <w:p>
      <w:r/>
      <w:r>
        <w:t xml:space="preserve">As referências em </w:t>
      </w:r>
      <w:hyperlink r:id="rId3863">
        <w:r>
          <w:rPr>
            <w:color w:val="0000EE"/>
            <w:u w:val="single"/>
          </w:rPr>
          <w:t>Gênesis 21.33</w:t>
        </w:r>
      </w:hyperlink>
      <w:r>
        <w:t xml:space="preserve"> e </w:t>
      </w:r>
      <w:hyperlink r:id="rId17174">
        <w:r>
          <w:rPr>
            <w:color w:val="0000EE"/>
            <w:u w:val="single"/>
          </w:rPr>
          <w:t>1 Samuel 22.6</w:t>
        </w:r>
      </w:hyperlink>
      <w:r>
        <w:t xml:space="preserve"> e </w:t>
      </w:r>
      <w:hyperlink r:id="rId13449">
        <w:r>
          <w:rPr>
            <w:color w:val="0000EE"/>
            <w:u w:val="single"/>
          </w:rPr>
          <w:t>31.13</w:t>
        </w:r>
      </w:hyperlink>
      <w:r>
        <w:t xml:space="preserve"> parecem ser ao tamarisco. Estas árvores ou arbustos são pequenos e de rápido crescimento, com madeira durável. Elas são abundantes em desertos, dunas e pântanos de sal. </w:t>
      </w:r>
      <w:r>
        <w:rPr>
          <w:i/>
        </w:rPr>
        <w:t>Tamarix aphylla</w:t>
      </w:r>
      <w:r>
        <w:t xml:space="preserve"> é sem folhas e tem pequenas flores brancas. Estas árvores ou arbustos frequentemente oferecem um toque suave de folhagem verde e a promessa de sombra refrescante para o viajante. Os tamariscos conseguem sobreviver porque possuem folhas pequenas, semelhantes a escamas, que perdem pouca umidade por transpiração, ou não possuem folhas. Os maiores tamariscos são valorizados por sua madeira em uma região onde a madeira é escassa. A madeira era utilizada para construção e também como fonte de um excelente tipo de carvão.</w:t>
      </w:r>
    </w:p>
    <w:p>
      <w:pPr>
        <w:pStyle w:val="Heading3"/>
      </w:pPr>
      <w:r>
        <w:t>Terebinth (Pistacia terebinthus)</w:t>
      </w:r>
    </w:p>
    <w:p>
      <w:r/>
      <w:r>
        <w:rPr>
          <w:i/>
        </w:rPr>
        <w:t>Veja</w:t>
      </w:r>
      <w:r>
        <w:t xml:space="preserve"> Pistache (acima).</w:t>
      </w:r>
    </w:p>
    <w:p>
      <w:pPr>
        <w:pStyle w:val="Heading3"/>
      </w:pPr>
      <w:r>
        <w:t>Cardo-espinhoso (Lycium europaeum, Solanum incanum, Centaurea, Silybum marianum, Rusco aculeatus, Agrostemma githago, Paliurus spina-christi, Zizyphus spina-christi)</w:t>
      </w:r>
    </w:p>
    <w:p>
      <w:r/>
      <w:r>
        <w:t>Existem 22 palavras diferentes em hebraico e grego usadas na Escritura para se referir a arbustos ou ervas espinhosas, ou pontiagudas, e estas são traduzidas como "espinheiro", "arbustos espinhosos", "joio", "erva venenosa" e "cardo". No momento, há cerca de 125 espécies de espinhos e cardos que crescem na Terra Santa.</w:t>
      </w:r>
    </w:p>
    <w:p>
      <w:r/>
      <w:r>
        <w:t xml:space="preserve">Acredita-se que o espinheiro na alegoria de </w:t>
      </w:r>
      <w:hyperlink r:id="rId17087">
        <w:r>
          <w:rPr>
            <w:color w:val="0000EE"/>
            <w:u w:val="single"/>
          </w:rPr>
          <w:t>Juízes 9.14–15</w:t>
        </w:r>
      </w:hyperlink>
      <w:r>
        <w:t xml:space="preserve"> se referia ao espinheiro-europeu ou espinheiro-do-deserto, </w:t>
      </w:r>
      <w:r>
        <w:rPr>
          <w:i/>
        </w:rPr>
        <w:t>Lycium europaeum.</w:t>
      </w:r>
    </w:p>
    <w:p>
      <w:r/>
      <w:r>
        <w:t xml:space="preserve">O consenso geral é que os “espinheiros” de </w:t>
      </w:r>
      <w:hyperlink r:id="rId17175">
        <w:r>
          <w:rPr>
            <w:color w:val="0000EE"/>
            <w:u w:val="single"/>
          </w:rPr>
          <w:t>Isaías 10.17</w:t>
        </w:r>
      </w:hyperlink>
      <w:r>
        <w:t xml:space="preserve">, </w:t>
      </w:r>
      <w:hyperlink r:id="rId17161">
        <w:r>
          <w:rPr>
            <w:color w:val="0000EE"/>
            <w:u w:val="single"/>
          </w:rPr>
          <w:t>55.13</w:t>
        </w:r>
      </w:hyperlink>
      <w:r>
        <w:t xml:space="preserve">, </w:t>
      </w:r>
      <w:hyperlink r:id="rId17176">
        <w:r>
          <w:rPr>
            <w:color w:val="0000EE"/>
            <w:u w:val="single"/>
          </w:rPr>
          <w:t>Miquéias 7.4</w:t>
        </w:r>
      </w:hyperlink>
      <w:r>
        <w:t xml:space="preserve"> e </w:t>
      </w:r>
      <w:hyperlink r:id="rId17177">
        <w:r>
          <w:rPr>
            <w:color w:val="0000EE"/>
            <w:u w:val="single"/>
          </w:rPr>
          <w:t>Hebreus 6.8</w:t>
        </w:r>
      </w:hyperlink>
      <w:r>
        <w:t xml:space="preserve">são a erva-moura </w:t>
      </w:r>
      <w:r>
        <w:rPr>
          <w:i/>
        </w:rPr>
        <w:t>(Solanum incanum),</w:t>
      </w:r>
      <w:r>
        <w:t xml:space="preserve"> ou a "batata de Jericó."</w:t>
      </w:r>
    </w:p>
    <w:p>
      <w:r/>
      <w:r>
        <w:t xml:space="preserve">Os cardos de </w:t>
      </w:r>
      <w:hyperlink r:id="rId15276">
        <w:r>
          <w:rPr>
            <w:color w:val="0000EE"/>
            <w:u w:val="single"/>
          </w:rPr>
          <w:t>Gênesis 3.17–18</w:t>
        </w:r>
      </w:hyperlink>
      <w:r>
        <w:t xml:space="preserve">, </w:t>
      </w:r>
      <w:hyperlink r:id="rId12972">
        <w:r>
          <w:rPr>
            <w:color w:val="0000EE"/>
            <w:u w:val="single"/>
          </w:rPr>
          <w:t>2 Reis 14.9</w:t>
        </w:r>
      </w:hyperlink>
      <w:r>
        <w:t xml:space="preserve">, </w:t>
      </w:r>
      <w:hyperlink r:id="rId17178">
        <w:r>
          <w:rPr>
            <w:color w:val="0000EE"/>
            <w:u w:val="single"/>
          </w:rPr>
          <w:t>2 Crônicas 25.18</w:t>
        </w:r>
      </w:hyperlink>
      <w:r>
        <w:t xml:space="preserve">, </w:t>
      </w:r>
      <w:hyperlink r:id="rId13424">
        <w:r>
          <w:rPr>
            <w:color w:val="0000EE"/>
            <w:u w:val="single"/>
          </w:rPr>
          <w:t>Oséias 10.8</w:t>
        </w:r>
      </w:hyperlink>
      <w:r>
        <w:t xml:space="preserve"> e </w:t>
      </w:r>
      <w:hyperlink r:id="rId17179">
        <w:r>
          <w:rPr>
            <w:color w:val="0000EE"/>
            <w:u w:val="single"/>
          </w:rPr>
          <w:t>Mateus 7.16</w:t>
        </w:r>
      </w:hyperlink>
      <w:r>
        <w:t xml:space="preserve">, bem como os espinhos de </w:t>
      </w:r>
      <w:hyperlink r:id="rId17180">
        <w:r>
          <w:rPr>
            <w:color w:val="0000EE"/>
            <w:u w:val="single"/>
          </w:rPr>
          <w:t>Mateus 13.7</w:t>
        </w:r>
      </w:hyperlink>
      <w:r>
        <w:t xml:space="preserve"> e </w:t>
      </w:r>
      <w:hyperlink r:id="rId17177">
        <w:r>
          <w:rPr>
            <w:color w:val="0000EE"/>
            <w:u w:val="single"/>
          </w:rPr>
          <w:t>Hebreus 6.8</w:t>
        </w:r>
      </w:hyperlink>
      <w:r>
        <w:t xml:space="preserve">, são provavelmente uma das espécies do cardo, </w:t>
      </w:r>
      <w:r>
        <w:rPr>
          <w:i/>
        </w:rPr>
        <w:t>Centaurea.</w:t>
      </w:r>
      <w:r>
        <w:t xml:space="preserve"> Entre os cardos mais comuns na Terra Santa estão o verdadeiro cardo-estrelado </w:t>
      </w:r>
      <w:r>
        <w:rPr>
          <w:i/>
        </w:rPr>
        <w:t>(Centaurea calcitrapa),</w:t>
      </w:r>
      <w:r>
        <w:t xml:space="preserve"> o centáurea-anã </w:t>
      </w:r>
      <w:r>
        <w:rPr>
          <w:i/>
        </w:rPr>
        <w:t>(C. verutum),</w:t>
      </w:r>
      <w:r>
        <w:t xml:space="preserve"> o centáurea-ibérica </w:t>
      </w:r>
      <w:r>
        <w:rPr>
          <w:i/>
        </w:rPr>
        <w:t>(C. iberica),</w:t>
      </w:r>
      <w:r>
        <w:t xml:space="preserve"> e o cardo-mariano </w:t>
      </w:r>
      <w:r>
        <w:rPr>
          <w:i/>
        </w:rPr>
        <w:t>(Silybum marianum).</w:t>
      </w:r>
      <w:r>
        <w:t xml:space="preserve"> Alguns cardos atingem uma altura de 0,9 a 1,8 metros. Os cardos são característicos de uma área que é negligenciada e sem vegetação. Muitos têm flores bonitas, mas todos estão cobertos de espinhos afiados.</w:t>
      </w:r>
    </w:p>
    <w:p>
      <w:r/>
      <w:r>
        <w:t xml:space="preserve">As referências em </w:t>
      </w:r>
      <w:hyperlink r:id="rId1832">
        <w:r>
          <w:rPr>
            <w:color w:val="0000EE"/>
            <w:u w:val="single"/>
          </w:rPr>
          <w:t>Ezequiel 2.6</w:t>
        </w:r>
      </w:hyperlink>
      <w:r>
        <w:t xml:space="preserve"> a “espinhos” e </w:t>
      </w:r>
      <w:hyperlink r:id="rId9031">
        <w:r>
          <w:rPr>
            <w:color w:val="0000EE"/>
            <w:u w:val="single"/>
          </w:rPr>
          <w:t>Ezequiel 28.24</w:t>
        </w:r>
      </w:hyperlink>
      <w:r>
        <w:t xml:space="preserve"> a “abrolhos” podem ser à vassoura-de-açougueiro ou azevinho, </w:t>
      </w:r>
      <w:r>
        <w:rPr>
          <w:i/>
        </w:rPr>
        <w:t>Rusco aculeatus.</w:t>
      </w:r>
      <w:r>
        <w:t xml:space="preserve"> A planta é comum em florestas rochosas nas regiões do Norte da Terra Santa, especialmente ao redor do Monte Tabor e do Monte Carmelo.</w:t>
      </w:r>
    </w:p>
    <w:p>
      <w:r/>
      <w:r>
        <w:t xml:space="preserve">O mato de </w:t>
      </w:r>
      <w:hyperlink r:id="rId17181">
        <w:r>
          <w:rPr>
            <w:color w:val="0000EE"/>
            <w:u w:val="single"/>
          </w:rPr>
          <w:t>Jó 31.40</w:t>
        </w:r>
      </w:hyperlink>
      <w:r>
        <w:t xml:space="preserve"> (NTLH) talvez se refira a mandioquinha, </w:t>
      </w:r>
      <w:r>
        <w:rPr>
          <w:i/>
        </w:rPr>
        <w:t>Agrostemma githago.</w:t>
      </w:r>
      <w:r>
        <w:t xml:space="preserve"> Esta planta é comum nos campos de grãos em toda a Terra Santa. É uma erva daninha forte e que gera problemas em campos de cereais, crescendo de 0,3 a 0,9 metro de altura.</w:t>
      </w:r>
    </w:p>
    <w:p>
      <w:r/>
      <w:r>
        <w:t>Muitos comentaristas pensam que os “espinhos” dos quais a coroa de espinhos (</w:t>
      </w:r>
      <w:hyperlink r:id="rId698">
        <w:r>
          <w:rPr>
            <w:color w:val="0000EE"/>
            <w:u w:val="single"/>
          </w:rPr>
          <w:t>Mt 27.29</w:t>
        </w:r>
      </w:hyperlink>
      <w:r>
        <w:t xml:space="preserve">; </w:t>
      </w:r>
      <w:hyperlink r:id="rId5574">
        <w:r>
          <w:rPr>
            <w:color w:val="0000EE"/>
            <w:u w:val="single"/>
          </w:rPr>
          <w:t>Jo 19.2</w:t>
        </w:r>
      </w:hyperlink>
      <w:r>
        <w:t xml:space="preserve">) foi feita eram do espinheiro-de-Cristo </w:t>
      </w:r>
      <w:r>
        <w:rPr>
          <w:i/>
        </w:rPr>
        <w:t>(Paliurus spina-christi).</w:t>
      </w:r>
      <w:r>
        <w:t xml:space="preserve"> Esta crença levou a seu nome específico; o espinheiro-de-Cristo é uma planta espinhosa que normalmente cresce como um arbusto espalhado de 0,9 a 2,7 metros de altura. Os ramos flexíveis são armados na base de cada folha com um par de espinhos desiguais, rígidos e afiados. A textura incomumente flexível dos ramos jovens torna-os particularmente fáceis de trançar em uma coroa semelhante a uma guirlanda.</w:t>
      </w:r>
    </w:p>
    <w:p>
      <w:r/>
      <w:r>
        <w:t xml:space="preserve">Os espinhos de </w:t>
      </w:r>
      <w:hyperlink r:id="rId17182">
        <w:r>
          <w:rPr>
            <w:color w:val="0000EE"/>
            <w:u w:val="single"/>
          </w:rPr>
          <w:t>Juízes 8.7</w:t>
        </w:r>
      </w:hyperlink>
      <w:r>
        <w:t xml:space="preserve">, </w:t>
      </w:r>
      <w:hyperlink r:id="rId17183">
        <w:r>
          <w:rPr>
            <w:color w:val="0000EE"/>
            <w:u w:val="single"/>
          </w:rPr>
          <w:t>Isaías 7.19</w:t>
        </w:r>
      </w:hyperlink>
      <w:r>
        <w:t xml:space="preserve">, </w:t>
      </w:r>
      <w:hyperlink r:id="rId17184">
        <w:r>
          <w:rPr>
            <w:color w:val="0000EE"/>
            <w:u w:val="single"/>
          </w:rPr>
          <w:t>9.18</w:t>
        </w:r>
      </w:hyperlink>
      <w:r>
        <w:t xml:space="preserve">, </w:t>
      </w:r>
      <w:hyperlink r:id="rId17161">
        <w:r>
          <w:rPr>
            <w:color w:val="0000EE"/>
            <w:u w:val="single"/>
          </w:rPr>
          <w:t>55.13</w:t>
        </w:r>
      </w:hyperlink>
      <w:r>
        <w:t xml:space="preserve"> e </w:t>
      </w:r>
      <w:hyperlink r:id="rId17179">
        <w:r>
          <w:rPr>
            <w:color w:val="0000EE"/>
            <w:u w:val="single"/>
          </w:rPr>
          <w:t>Mateus 7:16</w:t>
        </w:r>
      </w:hyperlink>
      <w:r>
        <w:t xml:space="preserve">podem se referir ao espinheiro-de-cristo sírio </w:t>
      </w:r>
      <w:r>
        <w:rPr>
          <w:i/>
        </w:rPr>
        <w:t>(Zizyphus spina-christi),</w:t>
      </w:r>
      <w:r>
        <w:t xml:space="preserve"> um arbusto ou pequena árvore de 2,7 a 4,6 metros de altura, às vezes crescendo até se tornar uma árvore de 12,2 metros de altura com ramos brancos lisos que contêm um par de espinhos robustos, desiguais e recurvados na parte de trás de cada folha.</w:t>
      </w:r>
    </w:p>
    <w:p>
      <w:r/>
      <w:r>
        <w:rPr>
          <w:i/>
        </w:rPr>
        <w:t>Veja também</w:t>
      </w:r>
      <w:r>
        <w:t xml:space="preserve"> Amoreira-silvestre; Espinheiro-alvar (acima).</w:t>
      </w:r>
    </w:p>
    <w:p>
      <w:pPr>
        <w:pStyle w:val="Heading3"/>
      </w:pPr>
      <w:r>
        <w:t>Tulipa (Tulipa montana, T. sharonensis)</w:t>
      </w:r>
    </w:p>
    <w:p>
      <w:r/>
      <w:r>
        <w:t xml:space="preserve">Qualquer uma das várias plantas bulbosas desta família nativa da Ásia. A rosa de Sarom em </w:t>
      </w:r>
      <w:hyperlink r:id="rId16177">
        <w:r>
          <w:rPr>
            <w:color w:val="0000EE"/>
            <w:u w:val="single"/>
          </w:rPr>
          <w:t>Cantares 2.1</w:t>
        </w:r>
      </w:hyperlink>
      <w:r>
        <w:t xml:space="preserve"> pode ser a tulipa-da-montanha, </w:t>
      </w:r>
      <w:r>
        <w:rPr>
          <w:i/>
        </w:rPr>
        <w:t>Tulipa montana,</w:t>
      </w:r>
      <w:r>
        <w:t xml:space="preserve"> ou a espécie muito próxima que é a tulipa-de-Sarom, </w:t>
      </w:r>
      <w:r>
        <w:rPr>
          <w:i/>
        </w:rPr>
        <w:t>T. sharonensis.</w:t>
      </w:r>
      <w:r>
        <w:t xml:space="preserve"> A primeira é uma planta atraente que cresce de um bulbo e muitas vezes tem folhas com margens onduladas. A espécie é comum nas regiões montanhosas da Síria, do Líbano e do Anti-Líbano. Ela é principalmente uma espécie montanhosa. A tulipa-de-Sarom </w:t>
      </w:r>
      <w:r>
        <w:rPr>
          <w:i/>
        </w:rPr>
        <w:t>(T. sharonensis)</w:t>
      </w:r>
      <w:r>
        <w:t xml:space="preserve"> é encontrada em lugares arenosos nas planícies costeiras de Sharon.</w:t>
      </w:r>
    </w:p>
    <w:p>
      <w:pPr>
        <w:pStyle w:val="Heading3"/>
      </w:pPr>
      <w:r>
        <w:t>Erva daninha (Gundelia tournefortii, Anastatica hierochuntica)</w:t>
      </w:r>
    </w:p>
    <w:p>
      <w:r/>
      <w:r>
        <w:t xml:space="preserve">As referências no </w:t>
      </w:r>
      <w:hyperlink r:id="rId8124">
        <w:r>
          <w:rPr>
            <w:color w:val="0000EE"/>
            <w:u w:val="single"/>
          </w:rPr>
          <w:t>Salmo 83.13</w:t>
        </w:r>
      </w:hyperlink>
      <w:r>
        <w:t xml:space="preserve"> e em </w:t>
      </w:r>
      <w:hyperlink r:id="rId8125">
        <w:r>
          <w:rPr>
            <w:color w:val="0000EE"/>
            <w:u w:val="single"/>
          </w:rPr>
          <w:t>Isaías 17.13</w:t>
        </w:r>
      </w:hyperlink>
      <w:r>
        <w:t xml:space="preserve"> a "palha" (ARA) parecem ser para a erva palestina </w:t>
      </w:r>
      <w:r>
        <w:rPr>
          <w:i/>
        </w:rPr>
        <w:t>(Gundelia tournefortii),</w:t>
      </w:r>
      <w:r>
        <w:t xml:space="preserve"> um membro da família dos cardos. É uma erva espinhosa com suco leitoso. Ele rola sobre a terra e se acumula em montes enormes em depressões.</w:t>
      </w:r>
    </w:p>
    <w:p>
      <w:pPr>
        <w:pStyle w:val="Heading3"/>
      </w:pPr>
      <w:r>
        <w:t>Vegetal</w:t>
      </w:r>
    </w:p>
    <w:p>
      <w:r/>
      <w:r>
        <w:t>As referências bíblicas aos vegetais são, provavelmente, na maioria dos casos, às sementes leguminosas de feijão e lentilhas.</w:t>
      </w:r>
    </w:p>
    <w:p>
      <w:pPr>
        <w:pStyle w:val="Heading3"/>
      </w:pPr>
      <w:r>
        <w:t>Videira (Vitis vinifera)</w:t>
      </w:r>
    </w:p>
    <w:p>
      <w:r/>
      <w:r>
        <w:t xml:space="preserve">Qualquer planta com um caule flexível que suba, se entrelaça ou se arrasta ao longo de uma superfície ou sustentação. A videira comum </w:t>
      </w:r>
      <w:r>
        <w:rPr>
          <w:i/>
        </w:rPr>
        <w:t>(Vitis vinifera)</w:t>
      </w:r>
      <w:r>
        <w:t xml:space="preserve"> é mencionada em toda a Bíblia. A videira frutífera (</w:t>
      </w:r>
      <w:hyperlink r:id="rId17185">
        <w:r>
          <w:rPr>
            <w:color w:val="0000EE"/>
            <w:u w:val="single"/>
          </w:rPr>
          <w:t>Ez 17.5–10</w:t>
        </w:r>
      </w:hyperlink>
      <w:r>
        <w:t>) e a videira trazida do Egito (</w:t>
      </w:r>
      <w:hyperlink r:id="rId6019">
        <w:r>
          <w:rPr>
            <w:color w:val="0000EE"/>
            <w:u w:val="single"/>
          </w:rPr>
          <w:t>Sl 80.8</w:t>
        </w:r>
      </w:hyperlink>
      <w:r>
        <w:t>) eram simbólicas para o povo judeu. Jesus se compara com a videira verdadeira, da qual seus discípulos eram os ramos (</w:t>
      </w:r>
      <w:hyperlink r:id="rId17186">
        <w:r>
          <w:rPr>
            <w:color w:val="0000EE"/>
            <w:u w:val="single"/>
          </w:rPr>
          <w:t>Jo 15.1–6</w:t>
        </w:r>
      </w:hyperlink>
      <w:r>
        <w:t>).</w:t>
      </w:r>
    </w:p>
    <w:p>
      <w:r/>
      <w:r>
        <w:t>A videira do mundo antigo às vezes assume as características de uma árvore, com caules de até 46 centímetros de diâmetro, os galhos então sendo conduzidos em uma treliça e produzindo cachos de uvas individuais pesando de 4,5 a 5,4 quilo do tamanho de pequenas ameixas. Foram produzidos cachos pesando até 11,8 quilos. As videiras da Terra Santa sempre foram famosas tanto pela luxúria de seu crescimento quanto pelos imensos cachos de uvas que produzidos. Assim, não parece improvável que os espiões enviados para a Terra Prometida tenham usado um poste para transportar alguns dos cachos para casa (</w:t>
      </w:r>
      <w:hyperlink r:id="rId8145">
        <w:r>
          <w:rPr>
            <w:color w:val="0000EE"/>
            <w:u w:val="single"/>
          </w:rPr>
          <w:t>Nm 13.23–24</w:t>
        </w:r>
      </w:hyperlink>
      <w:r>
        <w:t>).</w:t>
      </w:r>
    </w:p>
    <w:p>
      <w:r/>
      <w:r>
        <w:t xml:space="preserve">A uva selvagem </w:t>
      </w:r>
      <w:r>
        <w:rPr>
          <w:i/>
        </w:rPr>
        <w:t>(Vitis orientalis)</w:t>
      </w:r>
      <w:r>
        <w:t xml:space="preserve"> é mencionada em </w:t>
      </w:r>
      <w:hyperlink r:id="rId17187">
        <w:r>
          <w:rPr>
            <w:color w:val="0000EE"/>
            <w:u w:val="single"/>
          </w:rPr>
          <w:t>Isaías 5.2–4</w:t>
        </w:r>
      </w:hyperlink>
      <w:r>
        <w:t xml:space="preserve">, </w:t>
      </w:r>
      <w:hyperlink r:id="rId17188">
        <w:r>
          <w:rPr>
            <w:color w:val="0000EE"/>
            <w:u w:val="single"/>
          </w:rPr>
          <w:t>Jeremias 2.21</w:t>
        </w:r>
      </w:hyperlink>
      <w:r>
        <w:t xml:space="preserve"> e </w:t>
      </w:r>
      <w:hyperlink r:id="rId17189">
        <w:r>
          <w:rPr>
            <w:color w:val="0000EE"/>
            <w:u w:val="single"/>
          </w:rPr>
          <w:t>Ezequiel 15.2–6</w:t>
        </w:r>
      </w:hyperlink>
      <w:r>
        <w:t>. Conhecida como uva-da-mata nativa, possui bagas pretas, ácidas e pequenas, do tamanho de groselhas, com pouca polpa.</w:t>
      </w:r>
    </w:p>
    <w:p>
      <w:pPr>
        <w:pStyle w:val="Heading3"/>
      </w:pPr>
      <w:r>
        <w:t>Nogueira (Juglans regia)</w:t>
      </w:r>
    </w:p>
    <w:p>
      <w:r/>
      <w:r>
        <w:t xml:space="preserve">Qualquer uma das várias árvores desse gênero que têm frutos redondos e pegajosos que envolvem uma noz comestível. Acredita-se que a referência em </w:t>
      </w:r>
      <w:hyperlink r:id="rId17190">
        <w:r>
          <w:rPr>
            <w:color w:val="0000EE"/>
            <w:u w:val="single"/>
          </w:rPr>
          <w:t>Cantares 6.11</w:t>
        </w:r>
      </w:hyperlink>
      <w:r>
        <w:t xml:space="preserve"> a “nogueiras” se referia à nogueira persa ou comum, </w:t>
      </w:r>
      <w:r>
        <w:rPr>
          <w:i/>
        </w:rPr>
        <w:t>Juglans regia.</w:t>
      </w:r>
      <w:r>
        <w:t xml:space="preserve"> Acredita-se que a árvore seja nativa do Norte da Pérsia, mas, na verdade, é encontrada selvagem em muitas partes do Norte da Índia, indo até a China a Leste e através da Pérsia a Oeste. Na época de Salomão, ela era amplamente cultivada pelo seu fruto por todo o Oriente. Talvez o jardim de nogueiras de Salomão fizesse parte de seus extensos jardins em Etã, a 9,7 quilômetros de Jerusalém.</w:t>
      </w:r>
    </w:p>
    <w:p>
      <w:pPr>
        <w:pStyle w:val="Heading3"/>
      </w:pPr>
      <w:r>
        <w:t>Lírio-d'água (Nymphaea)</w:t>
      </w:r>
    </w:p>
    <w:p>
      <w:r/>
      <w:r>
        <w:t xml:space="preserve">Qualquer uma das inúmeras plantas aquáticas deste gênero com folhas flutuantes e flores vistosas. A ornamentação de lírios esculpidos mencionada em </w:t>
      </w:r>
      <w:hyperlink r:id="rId17191">
        <w:r>
          <w:rPr>
            <w:color w:val="0000EE"/>
            <w:u w:val="single"/>
          </w:rPr>
          <w:t>1 Reis 7.19–26</w:t>
        </w:r>
      </w:hyperlink>
      <w:r>
        <w:t xml:space="preserve">e </w:t>
      </w:r>
      <w:hyperlink r:id="rId17131">
        <w:r>
          <w:rPr>
            <w:color w:val="0000EE"/>
            <w:u w:val="single"/>
          </w:rPr>
          <w:t>2 Crônicas 4:5</w:t>
        </w:r>
      </w:hyperlink>
      <w:r>
        <w:t xml:space="preserve"> provavelmente teve como modelo as flores do lírio-d'água. Poucas flores podem igualar o lótus-do-egito ou o lírio-d'água </w:t>
      </w:r>
      <w:r>
        <w:rPr>
          <w:i/>
        </w:rPr>
        <w:t>(Nymphaea lotus)</w:t>
      </w:r>
      <w:r>
        <w:t xml:space="preserve"> em beleza. Parece muito com uma grande rosa-branca e, em tempos antigos, flutuava em profusão nas águas do Nilo.</w:t>
      </w:r>
    </w:p>
    <w:p>
      <w:r/>
      <w:r>
        <w:t xml:space="preserve">A ninfeia-branca-europeia comum </w:t>
      </w:r>
      <w:r>
        <w:rPr>
          <w:i/>
        </w:rPr>
        <w:t>(N. alba)</w:t>
      </w:r>
      <w:r>
        <w:t xml:space="preserve"> também era familiar para as crianças de Israel. Ela cresce não apenas na Europa, mas também na Terra Santa e no Norte da África. No entanto, não é tão comum no Egito quanto o lótus-branco.</w:t>
      </w:r>
    </w:p>
    <w:p>
      <w:r/>
      <w:r>
        <w:t xml:space="preserve">Outro lírio d’água com o qual os israelitas provavelmente estavam familiarizados é o lótus-azul, </w:t>
      </w:r>
      <w:r>
        <w:rPr>
          <w:i/>
        </w:rPr>
        <w:t>N. caerulea.</w:t>
      </w:r>
      <w:r>
        <w:t xml:space="preserve"> Suas folhas têm 30,5 a 40,6 centímetros de diâmetro e tem flores azuis claras que têm 7,6 a 15,2 centímetros de diâmetro.</w:t>
      </w:r>
    </w:p>
    <w:p>
      <w:pPr>
        <w:pStyle w:val="Heading3"/>
      </w:pPr>
      <w:r>
        <w:t>Trigo (Triticum aestivum, T. compositum)</w:t>
      </w:r>
    </w:p>
    <w:p>
      <w:r/>
      <w:r>
        <w:t xml:space="preserve">Vários cereais da família das gramíneas amplamente cultivados por seus grãos comestíveis. Cinco tipos de trigo são nativos — e ainda selvagens — na Terra Santa, e pelo menos oito outros são plantados lá hoje; provavelmente a maioria, se não todos, eram conhecidos nos tempos bíblicos. As variedades selvagens provavelmente eram mais abundantes naquela época do que são hoje. Entre esses estão o trigo-einkorn </w:t>
      </w:r>
      <w:r>
        <w:rPr>
          <w:i/>
        </w:rPr>
        <w:t>(T. monococcum),</w:t>
      </w:r>
      <w:r>
        <w:t xml:space="preserve"> o trigo-thaoudar </w:t>
      </w:r>
      <w:r>
        <w:rPr>
          <w:i/>
        </w:rPr>
        <w:t>(T. thaoudar)</w:t>
      </w:r>
      <w:r>
        <w:t xml:space="preserve"> e o trigo-emmer-selvagem </w:t>
      </w:r>
      <w:r>
        <w:rPr>
          <w:i/>
        </w:rPr>
        <w:t>(T. dicoccoides).</w:t>
      </w:r>
      <w:r>
        <w:t xml:space="preserve"> O trigo-composto </w:t>
      </w:r>
      <w:r>
        <w:rPr>
          <w:i/>
        </w:rPr>
        <w:t>(T. compositum),</w:t>
      </w:r>
      <w:r>
        <w:t xml:space="preserve"> com suas espigas ramificadas, frequentemente carregando até sete cabeças por caule, é citado em </w:t>
      </w:r>
      <w:hyperlink r:id="rId17192">
        <w:r>
          <w:rPr>
            <w:color w:val="0000EE"/>
            <w:u w:val="single"/>
          </w:rPr>
          <w:t>Gênesis 41.5–57</w:t>
        </w:r>
      </w:hyperlink>
      <w:r>
        <w:t>. É representado em diversos monumentos egípcios e inscrições e ainda é comumente visto no Delta do Nilo, onde é conhecido como "trigo de múmia". Ele também é cultivado na Terra Santa.</w:t>
      </w:r>
    </w:p>
    <w:p>
      <w:r/>
      <w:r>
        <w:t xml:space="preserve">O trigo mais frequentemente mencionado da Bíblia é, sem dúvida, o trigo-de-verão e inverno, </w:t>
      </w:r>
      <w:r>
        <w:rPr>
          <w:i/>
        </w:rPr>
        <w:t>Triticum aestivum.</w:t>
      </w:r>
      <w:r>
        <w:t xml:space="preserve"> É uma erva que cresce anualmente cultivada abundantemente no Egito e em outras terras do Oriente desde os tempos mais antigos. O lugar exato de sua origem é desconhecido. Grãos de trigo foram encontrados nas tumbas mais antigas do Egito e nos restos de habitações lacustres pré-históricas na Suíça. Era certamente o principal grão da Mesopotâmia no tempo de Jacó (</w:t>
      </w:r>
      <w:hyperlink r:id="rId14130">
        <w:r>
          <w:rPr>
            <w:color w:val="0000EE"/>
            <w:u w:val="single"/>
          </w:rPr>
          <w:t>Gn 30.14</w:t>
        </w:r>
      </w:hyperlink>
      <w:r>
        <w:t>).</w:t>
      </w:r>
    </w:p>
    <w:p>
      <w:r/>
      <w:r>
        <w:t>Na época bíblica, o termo "grãos" frequentemente incluía uma mistura de ervilhas, feijões, lentilhas, cominho, cevada, milheto e espelta, mas o trigo era sempre o seu principal componente. O Egito era um grande país produtor de grãos, e Abrão (</w:t>
      </w:r>
      <w:hyperlink r:id="rId9593">
        <w:r>
          <w:rPr>
            <w:color w:val="0000EE"/>
            <w:u w:val="single"/>
          </w:rPr>
          <w:t>Gn 12.10</w:t>
        </w:r>
      </w:hyperlink>
      <w:r>
        <w:t xml:space="preserve">) e os irmãos de José (cap. </w:t>
      </w:r>
      <w:hyperlink r:id="rId17193">
        <w:r>
          <w:rPr>
            <w:color w:val="0000EE"/>
            <w:u w:val="single"/>
          </w:rPr>
          <w:t>42</w:t>
        </w:r>
      </w:hyperlink>
      <w:r>
        <w:t>) naturalmente foram para o Egito em busca de trigo quando a fome visitou a terra de Canaã.</w:t>
      </w:r>
    </w:p>
    <w:p>
      <w:r/>
      <w:r>
        <w:t>Os moinhos, pedras de moinho, celeiros e eira mencionados na Bíblia se referem ao equipamento empregado no processamento de grãos para produzir farinha. A farinha fina da qual os pães da proposição eram feitos (</w:t>
      </w:r>
      <w:hyperlink r:id="rId17194">
        <w:r>
          <w:rPr>
            <w:color w:val="0000EE"/>
            <w:u w:val="single"/>
          </w:rPr>
          <w:t>Lv 24.5</w:t>
        </w:r>
      </w:hyperlink>
      <w:r>
        <w:t xml:space="preserve">) foi inquestionavelmente farinha de trigo. O trigo destinado para o consumo doméstico era muitas vezes armazenado na parte central da casa; isso explica a história contada em </w:t>
      </w:r>
      <w:hyperlink r:id="rId17195">
        <w:r>
          <w:rPr>
            <w:color w:val="0000EE"/>
            <w:u w:val="single"/>
          </w:rPr>
          <w:t>2 Samuel 4.6</w:t>
        </w:r>
      </w:hyperlink>
      <w:r>
        <w:t>. Às vezes, também era armazenado em poços secos (</w:t>
      </w:r>
      <w:hyperlink r:id="rId17196">
        <w:r>
          <w:rPr>
            <w:color w:val="0000EE"/>
            <w:u w:val="single"/>
          </w:rPr>
          <w:t>2Sm 17.19</w:t>
        </w:r>
      </w:hyperlink>
      <w:r>
        <w:t>).</w:t>
      </w:r>
    </w:p>
    <w:p>
      <w:pPr>
        <w:pStyle w:val="Heading3"/>
      </w:pPr>
      <w:r>
        <w:t>Absinto (Artemisia judaica, A. herba-alba)</w:t>
      </w:r>
    </w:p>
    <w:p>
      <w:r/>
      <w:r>
        <w:t>O absinto é um nome geral dado a um grupo de plantas lenhosas com um forte odor aromático. As plantas de absinto têm um sabor forte e amargo, e seus brotos jovens e pontas de ramos fornecem o “absinto comercial". Seu sabor amargo explica por que é mencionado com fel — como sendo simbólico de calamidade amarga e tristeza (</w:t>
      </w:r>
      <w:hyperlink r:id="rId203">
        <w:r>
          <w:rPr>
            <w:color w:val="0000EE"/>
            <w:u w:val="single"/>
          </w:rPr>
          <w:t>Pv 5.4</w:t>
        </w:r>
      </w:hyperlink>
      <w:r>
        <w:t xml:space="preserve">; </w:t>
      </w:r>
      <w:hyperlink r:id="rId204">
        <w:r>
          <w:rPr>
            <w:color w:val="0000EE"/>
            <w:u w:val="single"/>
          </w:rPr>
          <w:t>Jr 9:15</w:t>
        </w:r>
      </w:hyperlink>
      <w:r>
        <w:t xml:space="preserve">; </w:t>
      </w:r>
      <w:hyperlink r:id="rId205">
        <w:r>
          <w:rPr>
            <w:color w:val="0000EE"/>
            <w:u w:val="single"/>
          </w:rPr>
          <w:t>23.15</w:t>
        </w:r>
      </w:hyperlink>
      <w:r>
        <w:t xml:space="preserve">; </w:t>
      </w:r>
      <w:hyperlink r:id="rId208">
        <w:r>
          <w:rPr>
            <w:color w:val="0000EE"/>
            <w:u w:val="single"/>
          </w:rPr>
          <w:t>Lm 3.15,19</w:t>
        </w:r>
      </w:hyperlink>
      <w:r>
        <w:t xml:space="preserve">). </w:t>
      </w:r>
      <w:r>
        <w:rPr>
          <w:i/>
        </w:rPr>
        <w:t>Artemisia herba-alba</w:t>
      </w:r>
      <w:r>
        <w:t xml:space="preserve"> é a espécie comum de absinto na Terra Santa hoje. É fortemente aromático e amargo, cheirando a cânfora. </w:t>
      </w:r>
      <w:r>
        <w:rPr>
          <w:i/>
        </w:rPr>
        <w:t>A. judaica</w:t>
      </w:r>
      <w:r>
        <w:t xml:space="preserve"> tem apenas no Sinai.</w:t>
      </w:r>
    </w:p>
    <w:p>
      <w:r/>
      <w:r>
        <w:t>O absinto é feito de espécies deste grupo. Primeiro, leva a uma maior atividade e sensações agradáveis e enche a mente de ideias grandiosas (</w:t>
      </w:r>
      <w:hyperlink r:id="rId208">
        <w:r>
          <w:rPr>
            <w:color w:val="0000EE"/>
            <w:u w:val="single"/>
          </w:rPr>
          <w:t>Lm 3.15</w:t>
        </w:r>
      </w:hyperlink>
      <w:r>
        <w:t xml:space="preserve">). O uso habitual dele, no entanto, traz um estupor e diminuição gradual das capacidades intelectuais, resultando em delírio e até mesmo a morte. Talvez a amargura de </w:t>
      </w:r>
      <w:hyperlink r:id="rId209">
        <w:r>
          <w:rPr>
            <w:color w:val="0000EE"/>
            <w:u w:val="single"/>
          </w:rPr>
          <w:t>Amós 6.12</w:t>
        </w:r>
      </w:hyperlink>
      <w:r>
        <w:t xml:space="preserve"> fosse o absinto.</w:t>
      </w:r>
      <w:r/>
      <w:r/>
    </w:p>
    <w:p>
      <w:r/>
    </w:p>
    <w:p>
      <w:pPr>
        <w:pStyle w:val="Heading2"/>
      </w:pPr>
      <w:r>
        <w:t>Plátano</w:t>
      </w:r>
      <w:r/>
    </w:p>
    <w:p>
      <w:r/>
      <w:r>
        <w:t>Árvore de grande porte com tronco largo e casca escamosa, nativa da Palestina (</w:t>
      </w:r>
      <w:hyperlink r:id="rId2920">
        <w:r>
          <w:rPr>
            <w:color w:val="0000EE"/>
            <w:u w:val="single"/>
          </w:rPr>
          <w:t>Gn 30.37</w:t>
        </w:r>
      </w:hyperlink>
      <w:r>
        <w:t xml:space="preserve">; </w:t>
      </w:r>
      <w:hyperlink r:id="rId4628">
        <w:r>
          <w:rPr>
            <w:color w:val="0000EE"/>
            <w:u w:val="single"/>
          </w:rPr>
          <w:t>Ez 31.8</w:t>
        </w:r>
      </w:hyperlink>
      <w:r>
        <w:t xml:space="preserve">). </w:t>
      </w:r>
      <w:r>
        <w:rPr>
          <w:i/>
        </w:rPr>
        <w:t>Veja</w:t>
      </w:r>
      <w:r>
        <w:t xml:space="preserve"> </w:t>
      </w:r>
      <w:r>
        <w:t>Plantas</w:t>
      </w:r>
      <w:r>
        <w:t>.</w:t>
      </w:r>
      <w:r/>
      <w:r/>
    </w:p>
    <w:p>
      <w:r/>
    </w:p>
    <w:p>
      <w:pPr>
        <w:pStyle w:val="Heading2"/>
      </w:pPr>
      <w:r>
        <w:t>Plenitude</w:t>
      </w:r>
      <w:r/>
    </w:p>
    <w:p>
      <w:r/>
      <w:r>
        <w:t>"Plenitude" refere-se ao estado de estar completamente preenchido ou de não ter nada faltando. É uma tradução comum da palavra grega pleroma. Na Bíblia, "plenitude" frequentemente se refere a algo que está completo ou completamente preenchido. O significado exato depende do contexto em que a palavra aparece. No Antigo Testamento, uma das palavras hebraicas que corresponde a "plenitude" é melo. Essa palavra aparece em várias passagens e tem significados semelhantes ao termo grego pleroma. Frequentemente descreve o conteúdo que preenche algo. Por exemplo, a frase "a terra e sua plenitude" no Salmo 24:1 refere-se a tudo na criação sendo parte da propriedade de Deus. Para entender o que "plenitude" significa em um versículo específico, precisamos examinar as palavras que a envolvem e a mensagem geral dessa passagem.</w:t>
      </w:r>
    </w:p>
    <w:p>
      <w:pPr>
        <w:pStyle w:val="Heading3"/>
      </w:pPr>
      <w:r>
        <w:t>Uso geral</w:t>
      </w:r>
    </w:p>
    <w:p>
      <w:r/>
      <w:r>
        <w:t>No uso grego fora do NT, a palavra significa “aquilo que enche”. É encontrada em referência à carga ou tripulação que enche um navio, as pessoas que compõem uma multidão e os anos que preenchem a vida de uma pessoa. O filósofo Aristóteles usou o termo para denotar a população que enche uma cidade. Esse sentido é usado nos Evangelhos de Mateus e Marcos para um remendo que tapa um buraco em uma roupa velha (</w:t>
      </w:r>
      <w:hyperlink r:id="rId17197">
        <w:r>
          <w:rPr>
            <w:color w:val="0000EE"/>
            <w:u w:val="single"/>
          </w:rPr>
          <w:t>Mt 9.16</w:t>
        </w:r>
      </w:hyperlink>
      <w:r>
        <w:t xml:space="preserve">; </w:t>
      </w:r>
      <w:hyperlink r:id="rId17198">
        <w:r>
          <w:rPr>
            <w:color w:val="0000EE"/>
            <w:u w:val="single"/>
          </w:rPr>
          <w:t>Mc 2.21</w:t>
        </w:r>
      </w:hyperlink>
      <w:r>
        <w:t>), e em Marcos dos pedaços de peixe que enchem uma cesta (</w:t>
      </w:r>
      <w:hyperlink r:id="rId17199">
        <w:r>
          <w:rPr>
            <w:color w:val="0000EE"/>
            <w:u w:val="single"/>
          </w:rPr>
          <w:t>Mc 6.43</w:t>
        </w:r>
      </w:hyperlink>
      <w:r>
        <w:t xml:space="preserve">; </w:t>
      </w:r>
      <w:hyperlink r:id="rId17200">
        <w:r>
          <w:rPr>
            <w:color w:val="0000EE"/>
            <w:u w:val="single"/>
          </w:rPr>
          <w:t>8.20</w:t>
        </w:r>
      </w:hyperlink>
      <w:r>
        <w:t>).</w:t>
      </w:r>
    </w:p>
    <w:p>
      <w:pPr>
        <w:pStyle w:val="Heading3"/>
      </w:pPr>
      <w:r>
        <w:t>Expressões “Terra”</w:t>
      </w:r>
    </w:p>
    <w:p>
      <w:r/>
      <w:r>
        <w:t>A palavra grega pleroma aparece várias vezes na Septuaginta (a tradução grega do Antigo Testamento). É usada para traduzir a palavra hebraica para "plenitude" (melo) na frase "a terra e a sua plenitude" nos Salmos</w:t>
      </w:r>
      <w:hyperlink r:id="rId17201">
        <w:r>
          <w:rPr>
            <w:color w:val="0000EE"/>
            <w:u w:val="single"/>
          </w:rPr>
          <w:t xml:space="preserve"> 24.1</w:t>
        </w:r>
      </w:hyperlink>
      <w:r>
        <w:t xml:space="preserve">; </w:t>
      </w:r>
      <w:hyperlink r:id="rId17202">
        <w:r>
          <w:rPr>
            <w:color w:val="0000EE"/>
            <w:u w:val="single"/>
          </w:rPr>
          <w:t>50.12</w:t>
        </w:r>
      </w:hyperlink>
      <w:r>
        <w:t xml:space="preserve">; </w:t>
      </w:r>
      <w:hyperlink r:id="rId17203">
        <w:r>
          <w:rPr>
            <w:color w:val="0000EE"/>
            <w:u w:val="single"/>
          </w:rPr>
          <w:t>89.11</w:t>
        </w:r>
      </w:hyperlink>
      <w:r>
        <w:t xml:space="preserve">. Este conceito é posteriormente citado em </w:t>
      </w:r>
      <w:hyperlink r:id="rId17204">
        <w:r>
          <w:rPr>
            <w:color w:val="0000EE"/>
            <w:u w:val="single"/>
          </w:rPr>
          <w:t>1Co 10.26</w:t>
        </w:r>
      </w:hyperlink>
      <w:r>
        <w:t>. Uma frase semelhante é "o mar e a sua plenitude" (</w:t>
      </w:r>
      <w:hyperlink r:id="rId17205">
        <w:r>
          <w:rPr>
            <w:color w:val="0000EE"/>
            <w:u w:val="single"/>
          </w:rPr>
          <w:t>1Cr 16.32</w:t>
        </w:r>
      </w:hyperlink>
      <w:r>
        <w:t xml:space="preserve">; </w:t>
      </w:r>
      <w:hyperlink r:id="rId17206">
        <w:r>
          <w:rPr>
            <w:color w:val="0000EE"/>
            <w:u w:val="single"/>
          </w:rPr>
          <w:t>Sl 96.11–12</w:t>
        </w:r>
      </w:hyperlink>
      <w:r>
        <w:t>). Além de seu sentido quantitativo óbvio, o significado nessas expressões pode refletir um caráter qualitativo: o conteúdo da terra é bom e especial. A mente hebraica via a ordem criada como um reflexo do Criador (</w:t>
      </w:r>
      <w:hyperlink r:id="rId17207">
        <w:r>
          <w:rPr>
            <w:color w:val="0000EE"/>
            <w:u w:val="single"/>
          </w:rPr>
          <w:t>Sl 8.5–6</w:t>
        </w:r>
      </w:hyperlink>
      <w:r>
        <w:t xml:space="preserve">; </w:t>
      </w:r>
      <w:hyperlink r:id="rId3355">
        <w:r>
          <w:rPr>
            <w:color w:val="0000EE"/>
            <w:u w:val="single"/>
          </w:rPr>
          <w:t>19.1–6</w:t>
        </w:r>
      </w:hyperlink>
      <w:r>
        <w:t xml:space="preserve">; </w:t>
      </w:r>
      <w:hyperlink r:id="rId17208">
        <w:r>
          <w:rPr>
            <w:color w:val="0000EE"/>
            <w:u w:val="single"/>
          </w:rPr>
          <w:t>Jr 23.24</w:t>
        </w:r>
      </w:hyperlink>
      <w:r>
        <w:t>). Assim, sempre que as pessoas entravam em relacionamento com qualquer coisa que Deus havia criado, seja no trabalho, nas refeições ou nos relacionamentos, elas também entravam objetivamente em relacionamento com Deus, que havia dado essas coisas. Assim, os judeus ouviram com horror o anúncio profético da intenção de Deus de trazer destruição sobre “a terra e tudo o que a enche” (</w:t>
      </w:r>
      <w:hyperlink r:id="rId6453">
        <w:r>
          <w:rPr>
            <w:color w:val="0000EE"/>
            <w:u w:val="single"/>
          </w:rPr>
          <w:t>Jr 8.16</w:t>
        </w:r>
      </w:hyperlink>
      <w:r>
        <w:t xml:space="preserve">; </w:t>
      </w:r>
      <w:hyperlink r:id="rId17209">
        <w:r>
          <w:rPr>
            <w:color w:val="0000EE"/>
            <w:u w:val="single"/>
          </w:rPr>
          <w:t>47.2</w:t>
        </w:r>
      </w:hyperlink>
      <w:r>
        <w:t xml:space="preserve">; </w:t>
      </w:r>
      <w:hyperlink r:id="rId17210">
        <w:r>
          <w:rPr>
            <w:color w:val="0000EE"/>
            <w:u w:val="single"/>
          </w:rPr>
          <w:t>Ez 12.19</w:t>
        </w:r>
      </w:hyperlink>
      <w:r>
        <w:t xml:space="preserve">; </w:t>
      </w:r>
      <w:hyperlink r:id="rId17211">
        <w:r>
          <w:rPr>
            <w:color w:val="0000EE"/>
            <w:u w:val="single"/>
          </w:rPr>
          <w:t>19.7</w:t>
        </w:r>
      </w:hyperlink>
      <w:r>
        <w:t xml:space="preserve">; </w:t>
      </w:r>
      <w:hyperlink r:id="rId17212">
        <w:r>
          <w:rPr>
            <w:color w:val="0000EE"/>
            <w:u w:val="single"/>
          </w:rPr>
          <w:t>30.12</w:t>
        </w:r>
      </w:hyperlink>
      <w:r>
        <w:t>).</w:t>
      </w:r>
    </w:p>
    <w:p>
      <w:pPr>
        <w:pStyle w:val="Heading3"/>
      </w:pPr>
      <w:r>
        <w:t>O uso do apóstolo Paulo</w:t>
      </w:r>
    </w:p>
    <w:p>
      <w:r/>
      <w:r>
        <w:t>A origem do entendimento de Paulo e seu uso de “plenitude” como um termo teológico significativo tem sido debatido. É sustentado por alguns que a palavra era um termo técnico usado pelos gnósticos em referência a um reino de seres espirituais que fazia a ponte entre o verdadeiro Deus e uma terra “maligna”. Posteriormente, os falsos mestres passaram a ver Cristo como uma das muitas divindades que viviam nessa “plenitude”. Para corrigir o mal-entendido, Paulo pegou emprestado o termo de seus oponentes e o aplicou a Cristo. Jesus não é apenas um dos seres entre Deus e a humanidade, Paulo ensinou; em vez disso, ele é tudo o que há (“a plenitude”) entre Deus e a humanidade (</w:t>
      </w:r>
      <w:hyperlink r:id="rId5122">
        <w:r>
          <w:rPr>
            <w:color w:val="0000EE"/>
            <w:u w:val="single"/>
          </w:rPr>
          <w:t>Cl 1.15–20</w:t>
        </w:r>
      </w:hyperlink>
      <w:r>
        <w:t>).</w:t>
      </w:r>
    </w:p>
    <w:p>
      <w:r/>
      <w:r>
        <w:t>Contra essa visão, argumenta-se que Paulo usou o termo em vários contextos onde essa interpretação é obviamente inadequada (</w:t>
      </w:r>
      <w:hyperlink r:id="rId17213">
        <w:r>
          <w:rPr>
            <w:color w:val="0000EE"/>
            <w:u w:val="single"/>
          </w:rPr>
          <w:t>Rm 13.10</w:t>
        </w:r>
      </w:hyperlink>
      <w:r>
        <w:t xml:space="preserve">; </w:t>
      </w:r>
      <w:hyperlink r:id="rId366">
        <w:r>
          <w:rPr>
            <w:color w:val="0000EE"/>
            <w:u w:val="single"/>
          </w:rPr>
          <w:t>Ef 1.22–23</w:t>
        </w:r>
      </w:hyperlink>
      <w:r>
        <w:t>). Além disso, é provável que Paulo, com seu contexto judaico farisaico, entenderia o termo à luz de seu uso do AT. Assim, o uso do termo por Paulo pode ser melhor entendido como não sendo emprestado de seus oponentes.</w:t>
      </w:r>
    </w:p>
    <w:p>
      <w:r/>
      <w:r>
        <w:t>Paulo usou o termo quatro vezes no livro de Romanos. Pode ser traduzido como “inclusão completa” em referência ao número total de judeus (</w:t>
      </w:r>
      <w:hyperlink r:id="rId17214">
        <w:r>
          <w:rPr>
            <w:color w:val="0000EE"/>
            <w:u w:val="single"/>
          </w:rPr>
          <w:t>Rm 11.12</w:t>
        </w:r>
      </w:hyperlink>
      <w:r>
        <w:t xml:space="preserve">) ou gentios (v. </w:t>
      </w:r>
      <w:hyperlink r:id="rId7645">
        <w:r>
          <w:rPr>
            <w:color w:val="0000EE"/>
            <w:u w:val="single"/>
          </w:rPr>
          <w:t>25</w:t>
        </w:r>
      </w:hyperlink>
      <w:r>
        <w:t xml:space="preserve">) que virão a Deus. No verso </w:t>
      </w:r>
      <w:hyperlink r:id="rId17214">
        <w:r>
          <w:rPr>
            <w:color w:val="0000EE"/>
            <w:u w:val="single"/>
          </w:rPr>
          <w:t>12</w:t>
        </w:r>
      </w:hyperlink>
      <w:r>
        <w:t xml:space="preserve">, no entanto, o termo é definido em oposição ao “fracasso” e “transgressão” dos judeus, que sentem que a justiça é uma questão de sua herança judaica, em vez de fé. Pode ser que Paulo tenha usado o termo em referência a “obediência completa à vontade de Deus”. Assim, em essência, Paulo disse: “Se a desobediência deles significa tanto bem para o mundo, pense no que a obediência deles significará”. É neste sentido ativo que “plenitude” é usada em </w:t>
      </w:r>
      <w:hyperlink r:id="rId17213">
        <w:r>
          <w:rPr>
            <w:color w:val="0000EE"/>
            <w:u w:val="single"/>
          </w:rPr>
          <w:t>Romanos 13.10</w:t>
        </w:r>
      </w:hyperlink>
      <w:r>
        <w:t>. O amor cumpre tudo o que a lei pretende. Da mesma forma, Paulo deseja que sua própria vida seja uma expressão completa do evangelho de Cristo (</w:t>
      </w:r>
      <w:hyperlink r:id="rId17215">
        <w:r>
          <w:rPr>
            <w:color w:val="0000EE"/>
            <w:u w:val="single"/>
          </w:rPr>
          <w:t>15.29</w:t>
        </w:r>
      </w:hyperlink>
      <w:r>
        <w:t>).</w:t>
      </w:r>
    </w:p>
    <w:p>
      <w:r/>
      <w:r>
        <w:t>No livro de Efésios, a igreja é referida como a “plenitude de Cristo” (</w:t>
      </w:r>
      <w:hyperlink r:id="rId366">
        <w:r>
          <w:rPr>
            <w:color w:val="0000EE"/>
            <w:u w:val="single"/>
          </w:rPr>
          <w:t>Ef 1.22–23</w:t>
        </w:r>
      </w:hyperlink>
      <w:r>
        <w:t xml:space="preserve">; </w:t>
      </w:r>
      <w:hyperlink r:id="rId17216">
        <w:r>
          <w:rPr>
            <w:color w:val="0000EE"/>
            <w:u w:val="single"/>
          </w:rPr>
          <w:t>4.13</w:t>
        </w:r>
      </w:hyperlink>
      <w:r>
        <w:t>), e “a plenitude de Deus” (</w:t>
      </w:r>
      <w:hyperlink r:id="rId17217">
        <w:r>
          <w:rPr>
            <w:color w:val="0000EE"/>
            <w:u w:val="single"/>
          </w:rPr>
          <w:t>3.19</w:t>
        </w:r>
      </w:hyperlink>
      <w:r>
        <w:t xml:space="preserve">). Uma variedade de interpretações foi oferecida para esta frase: a igreja está cheia, completa ou inteira por Cristo; a igreja possui os atributos de Cristo; a igreja é o agente através do qual Cristo realiza toda a sua obra. A igreja está cheia de Cristo na medida em que é a expressão completa e contínua de suas palavras e obras (compare </w:t>
      </w:r>
      <w:hyperlink r:id="rId3921">
        <w:r>
          <w:rPr>
            <w:color w:val="0000EE"/>
            <w:u w:val="single"/>
          </w:rPr>
          <w:t>Cl 2.10</w:t>
        </w:r>
      </w:hyperlink>
      <w:r>
        <w:t>). No livro de Colossenses, Paulo usou o termo em referência a Cristo; nele habita a “plenitude de Deus” (</w:t>
      </w:r>
      <w:hyperlink r:id="rId5142">
        <w:r>
          <w:rPr>
            <w:color w:val="0000EE"/>
            <w:u w:val="single"/>
          </w:rPr>
          <w:t>1.19</w:t>
        </w:r>
      </w:hyperlink>
      <w:r>
        <w:t xml:space="preserve">; </w:t>
      </w:r>
      <w:hyperlink r:id="rId5143">
        <w:r>
          <w:rPr>
            <w:color w:val="0000EE"/>
            <w:u w:val="single"/>
          </w:rPr>
          <w:t>2.9</w:t>
        </w:r>
      </w:hyperlink>
      <w:r>
        <w:t>). Essas passagens são muitas vezes interpretadas como proclamando a igualdade de Cristo com Deus. Todos os atributos de Deus estão contidos em Cristo. Tudo o que Deus é, Cristo é.</w:t>
      </w:r>
    </w:p>
    <w:p>
      <w:pPr>
        <w:pStyle w:val="Heading3"/>
      </w:pPr>
      <w:r>
        <w:t>O uso do apóstolo João</w:t>
      </w:r>
    </w:p>
    <w:p>
      <w:r/>
      <w:r>
        <w:t>O prólogo do Evangelho de João afirma que a “plenitude de Cristo” é recebida por todos os crentes (</w:t>
      </w:r>
      <w:hyperlink r:id="rId17218">
        <w:r>
          <w:rPr>
            <w:color w:val="0000EE"/>
            <w:u w:val="single"/>
          </w:rPr>
          <w:t>1.16</w:t>
        </w:r>
      </w:hyperlink>
      <w:r>
        <w:t xml:space="preserve">). A natureza exata desta plenitude é definida no verso </w:t>
      </w:r>
      <w:hyperlink r:id="rId3743">
        <w:r>
          <w:rPr>
            <w:color w:val="0000EE"/>
            <w:u w:val="single"/>
          </w:rPr>
          <w:t>14</w:t>
        </w:r>
      </w:hyperlink>
      <w:r>
        <w:t xml:space="preserve">: “E o Verbo se fez carne e habitou entre nós, cheio de graça e verdade”. A palavra grega para “cheio” aqui indica plenitude e totalidade. Os gnósticos usaram a palavra para descrever a totalidade de todas as divindades. João, assim como Paulo, usou a palavra para descrever Cristo como completo, a plenitude de Deus, pois toda a plenitude da divindade habita nele corporalmente (veja </w:t>
      </w:r>
      <w:hyperlink r:id="rId5142">
        <w:r>
          <w:rPr>
            <w:color w:val="0000EE"/>
            <w:u w:val="single"/>
          </w:rPr>
          <w:t>Cl 1.19</w:t>
        </w:r>
      </w:hyperlink>
      <w:r>
        <w:t xml:space="preserve">; </w:t>
      </w:r>
      <w:hyperlink r:id="rId5143">
        <w:r>
          <w:rPr>
            <w:color w:val="0000EE"/>
            <w:u w:val="single"/>
          </w:rPr>
          <w:t>2.9</w:t>
        </w:r>
      </w:hyperlink>
      <w:r>
        <w:t>).</w:t>
      </w:r>
    </w:p>
    <w:p>
      <w:r/>
      <w:r>
        <w:t>Uma vez que toda a plenitude de Deus habita em Cristo, toda a realidade espiritual é encontrada em Cristo. Não falta nada aos crentes que estão em Cristo. É claro, nenhum crente único poderia receber tudo o que Cristo é; é preciso o corpo de Cristo para se apropriar da plenitude dele e expressá-la (</w:t>
      </w:r>
      <w:hyperlink r:id="rId17219">
        <w:r>
          <w:rPr>
            <w:color w:val="0000EE"/>
            <w:u w:val="single"/>
          </w:rPr>
          <w:t>Ef 1.23</w:t>
        </w:r>
      </w:hyperlink>
      <w:r>
        <w:t>). No entanto, cada crente recebe em medida o mesmo conteúdo dessa plenitude. Cristo está sempre completo; ele nunca será esgotado. Não importa o quanto os crentes recebam dele, ele continua dando. Os crentes não precisam buscar nenhuma outra fonte além de Cristo.</w:t>
      </w:r>
      <w:r/>
      <w:r/>
    </w:p>
    <w:p>
      <w:r/>
    </w:p>
    <w:p>
      <w:pPr>
        <w:pStyle w:val="Heading2"/>
      </w:pPr>
      <w:r>
        <w:t>Plenitude Dos Tempos*</w:t>
      </w:r>
      <w:r/>
    </w:p>
    <w:p>
      <w:r/>
      <w:r>
        <w:t xml:space="preserve">Expressão que significa “quando o tempo era propício,” ocorrendo nas traduções para o português de </w:t>
      </w:r>
      <w:hyperlink r:id="rId6832">
        <w:r>
          <w:rPr>
            <w:color w:val="0000EE"/>
            <w:u w:val="single"/>
          </w:rPr>
          <w:t>Gálatas 4.4</w:t>
        </w:r>
      </w:hyperlink>
      <w:r>
        <w:t xml:space="preserve"> e </w:t>
      </w:r>
      <w:hyperlink r:id="rId7634">
        <w:r>
          <w:rPr>
            <w:color w:val="0000EE"/>
            <w:u w:val="single"/>
          </w:rPr>
          <w:t>Efésios 1.10</w:t>
        </w:r>
      </w:hyperlink>
      <w:r>
        <w:t>. Em Gálatas, a referência é ao tempo em que “Deus enviou seu Filho”. O apóstolo Paulo usou a imagem de uma criança que amadureceu para dizer que Jesus veio em um ponto da história humana em que o tempo era propício e libertou a humanidade do vínculo com a lei.</w:t>
      </w:r>
    </w:p>
    <w:p>
      <w:r/>
      <w:r>
        <w:t>Tradicionalmente, os teólogos viram indicações do tempo ideal do nascimento de Jesus nas circunstâncias históricas de seus dias. As conquistas de Roma haviam produzido a “paz romana”, de modo que viajar era seguro e fácil. Essa unidade política foi construída sobre as vitórias anteriores de Alexandre, o Grande, cuja expansão da Grécia ao Egito e à Índia deixou em seu rastro a língua e a cultura gregas, o que mais tarde facilitou a propagação do evangelho. Os judeus de língua grega viviam em todas as cidades do Império Romano. A religião deles era protegida pela lei romana, e essa lei protegeu o cristianismo por seus primeiros cinquenta anos. Muitos gentios que estavam interessados no monoteísmo e na moralidade do judaísmo iam para as sinagogas judaicas. Assim, a sinagoga era um ponto de partida natural para o alcance inicial da igreja aos gentios.</w:t>
      </w:r>
    </w:p>
    <w:p>
      <w:r/>
      <w:r>
        <w:t>Na Palestina, os judeus ansiavam por um Messias (libertador), uma vez que estavam politicamente sujeitos aos Herodes e aos romanos. A rebelião messiânica fervia constantemente, e até mesmo explodia continuamente em batalha aberta. Socialmente, os camponeses eram oprimidos por grandes proprietários, que usavam todas as oportunidades e brechas legais para expandir suas propriedades. Muitos desses opressores eram das principais famílias sacerdotais, das quais a ganância era bem conhecida de todos. Em toda a Palestina, a expectativa messiânica estava em um ponto alto. Os fariseus falavam sobre o que aconteceria quando o Messias viesse, e os escribas em Qumran (a comunidade dos Manuscritos do Mar Morto) escreveram livros sobre isso. O tempo estava propício para a vinda de Jesus, como ele mesmo indicou (</w:t>
      </w:r>
      <w:hyperlink r:id="rId7643">
        <w:r>
          <w:rPr>
            <w:color w:val="0000EE"/>
            <w:u w:val="single"/>
          </w:rPr>
          <w:t>Mt 13.11,16–17</w:t>
        </w:r>
      </w:hyperlink>
      <w:r>
        <w:t xml:space="preserve">; </w:t>
      </w:r>
      <w:hyperlink r:id="rId2608">
        <w:r>
          <w:rPr>
            <w:color w:val="0000EE"/>
            <w:u w:val="single"/>
          </w:rPr>
          <w:t>Mc 1.15</w:t>
        </w:r>
      </w:hyperlink>
      <w:r>
        <w:t>).</w:t>
      </w:r>
    </w:p>
    <w:p>
      <w:r/>
      <w:r>
        <w:t xml:space="preserve">Em </w:t>
      </w:r>
      <w:hyperlink r:id="rId7634">
        <w:r>
          <w:rPr>
            <w:color w:val="0000EE"/>
            <w:u w:val="single"/>
          </w:rPr>
          <w:t>Efésios 1.10</w:t>
        </w:r>
      </w:hyperlink>
      <w:r>
        <w:t>, Paulo usou uma expressão grega ligeiramente diferente, que cobre todo o período entre a primeira vinda de Jesus e seu futuro retorno para completar o plano de Deus na história. Jesus revelou este plano (ou “mistério”, como Paulo o chamou —</w:t>
      </w:r>
      <w:hyperlink r:id="rId17220">
        <w:r>
          <w:rPr>
            <w:color w:val="0000EE"/>
            <w:u w:val="single"/>
          </w:rPr>
          <w:t>Rm 16.25–26</w:t>
        </w:r>
      </w:hyperlink>
      <w:r>
        <w:t xml:space="preserve">; </w:t>
      </w:r>
      <w:hyperlink r:id="rId9448">
        <w:r>
          <w:rPr>
            <w:color w:val="0000EE"/>
            <w:u w:val="single"/>
          </w:rPr>
          <w:t>Ef 1.9</w:t>
        </w:r>
      </w:hyperlink>
      <w:r>
        <w:t xml:space="preserve">; </w:t>
      </w:r>
      <w:hyperlink r:id="rId17221">
        <w:r>
          <w:rPr>
            <w:color w:val="0000EE"/>
            <w:u w:val="single"/>
          </w:rPr>
          <w:t>3.4–5</w:t>
        </w:r>
      </w:hyperlink>
      <w:r>
        <w:t xml:space="preserve">; </w:t>
      </w:r>
      <w:hyperlink r:id="rId8113">
        <w:r>
          <w:rPr>
            <w:color w:val="0000EE"/>
            <w:u w:val="single"/>
          </w:rPr>
          <w:t>Cl 1.26</w:t>
        </w:r>
      </w:hyperlink>
      <w:r>
        <w:t>), que se concretiza na igreja à medida que as pessoas se arrependem e são unidas a ele. No sentido final, o “tempo ideal” pleno virá quando o plano ou propósito de Deus (“dispensação”, ARC) for concluído e Cristo se tornar o cabeça sobre todas as coisas. Paulo sabia que esta conclusão estava em progresso, mas ele esperava sua realização total no que ele esperava que fosse o futuro próximo.</w:t>
      </w:r>
      <w:r/>
      <w:r/>
    </w:p>
    <w:p>
      <w:r/>
    </w:p>
    <w:p>
      <w:pPr>
        <w:pStyle w:val="Heading2"/>
      </w:pPr>
      <w:r>
        <w:t>Pobres, Os</w:t>
      </w:r>
      <w:r/>
    </w:p>
    <w:p>
      <w:r/>
      <w:r>
        <w:t>Aqueles que não têm riqueza material.</w:t>
      </w:r>
    </w:p>
    <w:p>
      <w:pPr>
        <w:pStyle w:val="Heading3"/>
      </w:pPr>
      <w:r>
        <w:t>Pobreza como uma coisa ruim</w:t>
      </w:r>
    </w:p>
    <w:p>
      <w:r/>
      <w:r>
        <w:t>Às vezes, a Bíblia dá uma explicação muito simples de por que as pessoas são ricas ou pobres. Se uma pessoa se deleitar na lei do Senhor, ele ou ela receberá prosperidade e riquezas. Tais pessoas prosperarão em tudo o que fazem (</w:t>
      </w:r>
      <w:hyperlink r:id="rId597">
        <w:r>
          <w:rPr>
            <w:color w:val="0000EE"/>
            <w:u w:val="single"/>
          </w:rPr>
          <w:t>Sl 1.3</w:t>
        </w:r>
      </w:hyperlink>
      <w:r>
        <w:t xml:space="preserve">; </w:t>
      </w:r>
      <w:hyperlink r:id="rId17222">
        <w:r>
          <w:rPr>
            <w:color w:val="0000EE"/>
            <w:u w:val="single"/>
          </w:rPr>
          <w:t>112.3</w:t>
        </w:r>
      </w:hyperlink>
      <w:r>
        <w:t>). Com relação a Israel nos dias do AT, essas ideias não são tão ingênuas quanto podem parecer. Havia de fato uma conexão entre pecado e pobreza. A sociedade israelita foi construída em regras estabelecidas por Deus, então se havia pobreza, isso deve significar que em algum lugar as regras estavam sendo quebradas.</w:t>
      </w:r>
    </w:p>
    <w:p>
      <w:r/>
      <w:r>
        <w:t xml:space="preserve">Se a pobreza de uma pessoa fosse devido a seu próprio pecado ou ao de outra pessoa, o AT viu como um mal a ser combatido, e a lei fez muitas provisões para o alívio dela (p. ex., </w:t>
      </w:r>
      <w:hyperlink r:id="rId7225">
        <w:r>
          <w:rPr>
            <w:color w:val="0000EE"/>
            <w:u w:val="single"/>
          </w:rPr>
          <w:t>Êx 22.21–27</w:t>
        </w:r>
      </w:hyperlink>
      <w:r>
        <w:t xml:space="preserve">; </w:t>
      </w:r>
      <w:hyperlink r:id="rId5109">
        <w:r>
          <w:rPr>
            <w:color w:val="0000EE"/>
            <w:u w:val="single"/>
          </w:rPr>
          <w:t>Lv 19.9–10</w:t>
        </w:r>
      </w:hyperlink>
      <w:r>
        <w:t xml:space="preserve">; </w:t>
      </w:r>
      <w:hyperlink r:id="rId17223">
        <w:r>
          <w:rPr>
            <w:color w:val="0000EE"/>
            <w:u w:val="single"/>
          </w:rPr>
          <w:t>Dt 15.1–15</w:t>
        </w:r>
      </w:hyperlink>
      <w:r>
        <w:t xml:space="preserve">; </w:t>
      </w:r>
      <w:hyperlink r:id="rId17224">
        <w:r>
          <w:rPr>
            <w:color w:val="0000EE"/>
            <w:u w:val="single"/>
          </w:rPr>
          <w:t>24.10–22</w:t>
        </w:r>
      </w:hyperlink>
      <w:r>
        <w:t>). Deus se importava com os necessitados e esperava que seu povo fizesse o mesmo.</w:t>
      </w:r>
    </w:p>
    <w:p>
      <w:r/>
      <w:r>
        <w:t>Durante o período entre os testamentos, esse cautela continuou a ser exercida dentro das comunidades judaicas espalhadas ao redor do Mediterrâneo, e foi no devido tempo assumido como uma responsabilidade prática pela igreja cristã (</w:t>
      </w:r>
      <w:hyperlink r:id="rId17225">
        <w:r>
          <w:rPr>
            <w:color w:val="0000EE"/>
            <w:u w:val="single"/>
          </w:rPr>
          <w:t>At 11.29</w:t>
        </w:r>
      </w:hyperlink>
      <w:r>
        <w:t xml:space="preserve">; </w:t>
      </w:r>
      <w:hyperlink r:id="rId4386">
        <w:r>
          <w:rPr>
            <w:color w:val="0000EE"/>
            <w:u w:val="single"/>
          </w:rPr>
          <w:t>24.17</w:t>
        </w:r>
      </w:hyperlink>
      <w:r>
        <w:t xml:space="preserve">; </w:t>
      </w:r>
      <w:hyperlink r:id="rId4343">
        <w:r>
          <w:rPr>
            <w:color w:val="0000EE"/>
            <w:u w:val="single"/>
          </w:rPr>
          <w:t>Rm 15.26</w:t>
        </w:r>
      </w:hyperlink>
      <w:r>
        <w:t xml:space="preserve">; </w:t>
      </w:r>
      <w:hyperlink r:id="rId4390">
        <w:r>
          <w:rPr>
            <w:color w:val="0000EE"/>
            <w:u w:val="single"/>
          </w:rPr>
          <w:t>1Co 16.1</w:t>
        </w:r>
      </w:hyperlink>
      <w:r>
        <w:t xml:space="preserve">; </w:t>
      </w:r>
      <w:hyperlink r:id="rId4352">
        <w:r>
          <w:rPr>
            <w:color w:val="0000EE"/>
            <w:u w:val="single"/>
          </w:rPr>
          <w:t>Gl 2.10</w:t>
        </w:r>
      </w:hyperlink>
      <w:r>
        <w:t xml:space="preserve">; </w:t>
      </w:r>
      <w:hyperlink r:id="rId11173">
        <w:r>
          <w:rPr>
            <w:color w:val="0000EE"/>
            <w:u w:val="single"/>
          </w:rPr>
          <w:t>Tg 2.15–16</w:t>
        </w:r>
      </w:hyperlink>
      <w:r>
        <w:t xml:space="preserve">; </w:t>
      </w:r>
      <w:hyperlink r:id="rId15537">
        <w:r>
          <w:rPr>
            <w:color w:val="0000EE"/>
            <w:u w:val="single"/>
          </w:rPr>
          <w:t>1Jo 3.17</w:t>
        </w:r>
      </w:hyperlink>
      <w:r>
        <w:t>); para os cristãos também, a doação de esmolas era um dever claramente esperado por seu Senhor (</w:t>
      </w:r>
      <w:hyperlink r:id="rId17226">
        <w:r>
          <w:rPr>
            <w:color w:val="0000EE"/>
            <w:u w:val="single"/>
          </w:rPr>
          <w:t>Mt 6.2–4</w:t>
        </w:r>
      </w:hyperlink>
      <w:r>
        <w:t xml:space="preserve">; </w:t>
      </w:r>
      <w:hyperlink r:id="rId1804">
        <w:r>
          <w:rPr>
            <w:color w:val="0000EE"/>
            <w:u w:val="single"/>
          </w:rPr>
          <w:t>Lc 12.33</w:t>
        </w:r>
      </w:hyperlink>
      <w:r>
        <w:t xml:space="preserve">). Não era realmente um comunismo primitivo que a igreja primitiva praticava, pois se eles tivessem renunciado aos bens pessoais, eles não poderiam ter feito o que eles de fato fizeram — a saber, </w:t>
      </w:r>
      <w:r>
        <w:rPr>
          <w:i/>
        </w:rPr>
        <w:t>dar</w:t>
      </w:r>
      <w:r>
        <w:t xml:space="preserve"> em dinheiro ou em espécie “conforme qualquer um tivesse necessidade” (</w:t>
      </w:r>
      <w:hyperlink r:id="rId17227">
        <w:r>
          <w:rPr>
            <w:color w:val="0000EE"/>
            <w:u w:val="single"/>
          </w:rPr>
          <w:t>At 2.45</w:t>
        </w:r>
      </w:hyperlink>
      <w:r>
        <w:t xml:space="preserve">; </w:t>
      </w:r>
      <w:hyperlink r:id="rId17228">
        <w:r>
          <w:rPr>
            <w:color w:val="0000EE"/>
            <w:u w:val="single"/>
          </w:rPr>
          <w:t>4.35</w:t>
        </w:r>
      </w:hyperlink>
      <w:r>
        <w:t>).</w:t>
      </w:r>
    </w:p>
    <w:p>
      <w:r/>
      <w:r>
        <w:t>A pobreza, então, embora forneça aos ricos uma chance de mostrar a virtude da generosidade, é em si mesma (no NT como no AT) uma coisa ruim.</w:t>
      </w:r>
    </w:p>
    <w:p>
      <w:pPr>
        <w:pStyle w:val="Heading3"/>
      </w:pPr>
      <w:r>
        <w:t>Pobreza como uma coisa boa</w:t>
      </w:r>
    </w:p>
    <w:p>
      <w:r/>
      <w:r>
        <w:t xml:space="preserve">Como podemos ver, há um certo sentido em que a justiça tornará as pessoas prósperas e o pecado as tornará pobres. Mas a vida comum é mais complicada do que isso. Os </w:t>
      </w:r>
      <w:hyperlink r:id="rId13051">
        <w:r>
          <w:rPr>
            <w:color w:val="0000EE"/>
            <w:u w:val="single"/>
          </w:rPr>
          <w:t>Sl 1</w:t>
        </w:r>
      </w:hyperlink>
      <w:r>
        <w:t xml:space="preserve"> e </w:t>
      </w:r>
      <w:hyperlink r:id="rId273">
        <w:r>
          <w:rPr>
            <w:color w:val="0000EE"/>
            <w:u w:val="single"/>
          </w:rPr>
          <w:t>112</w:t>
        </w:r>
      </w:hyperlink>
      <w:r>
        <w:t>, referidos acima, mostram apenas um lado da questão. E sobre a prosperidade dos ímpios (</w:t>
      </w:r>
      <w:hyperlink r:id="rId17229">
        <w:r>
          <w:rPr>
            <w:color w:val="0000EE"/>
            <w:u w:val="single"/>
          </w:rPr>
          <w:t>Sl 73.3</w:t>
        </w:r>
      </w:hyperlink>
      <w:r>
        <w:t xml:space="preserve">) e seu corolário, a pessoa que é justa, mas pobre? A resposta das Escrituras (p. ex., </w:t>
      </w:r>
      <w:hyperlink r:id="rId17230">
        <w:r>
          <w:rPr>
            <w:color w:val="0000EE"/>
            <w:u w:val="single"/>
          </w:rPr>
          <w:t>Jó 21</w:t>
        </w:r>
      </w:hyperlink>
      <w:r>
        <w:t xml:space="preserve">; </w:t>
      </w:r>
      <w:hyperlink r:id="rId271">
        <w:r>
          <w:rPr>
            <w:color w:val="0000EE"/>
            <w:u w:val="single"/>
          </w:rPr>
          <w:t>Sl 37</w:t>
        </w:r>
      </w:hyperlink>
      <w:r>
        <w:t xml:space="preserve">, </w:t>
      </w:r>
      <w:hyperlink r:id="rId17231">
        <w:r>
          <w:rPr>
            <w:color w:val="0000EE"/>
            <w:u w:val="single"/>
          </w:rPr>
          <w:t>49</w:t>
        </w:r>
      </w:hyperlink>
      <w:r>
        <w:t xml:space="preserve">, </w:t>
      </w:r>
      <w:hyperlink r:id="rId15836">
        <w:r>
          <w:rPr>
            <w:color w:val="0000EE"/>
            <w:u w:val="single"/>
          </w:rPr>
          <w:t>73</w:t>
        </w:r>
      </w:hyperlink>
      <w:r>
        <w:t>) é que a riqueza das pessoas ruins é uma coisa temporária e que os justos, embora pobres em bens mundanos, têm riquezas espirituais.</w:t>
      </w:r>
    </w:p>
    <w:p>
      <w:r/>
      <w:r>
        <w:t>Este pensamento — que longe de ser próspero, a boa pessoa pode muitas vezes ser pobre — às vezes é curiosamente invertido. Os justos podem ser pobres, mas as Escrituras às vezes parecem contar que ser pobre é ser justo. É claro, não é automaticamente assim (</w:t>
      </w:r>
      <w:hyperlink r:id="rId17232">
        <w:r>
          <w:rPr>
            <w:color w:val="0000EE"/>
            <w:u w:val="single"/>
          </w:rPr>
          <w:t>Pv 30.8–9</w:t>
        </w:r>
      </w:hyperlink>
      <w:r>
        <w:t xml:space="preserve">), mas tais referências são frequentes o suficiente, especialmente nos Salmos (p. ex., </w:t>
      </w:r>
      <w:hyperlink r:id="rId17233">
        <w:r>
          <w:rPr>
            <w:color w:val="0000EE"/>
            <w:u w:val="single"/>
          </w:rPr>
          <w:t>Sl 9.18</w:t>
        </w:r>
      </w:hyperlink>
      <w:r>
        <w:t xml:space="preserve">; </w:t>
      </w:r>
      <w:hyperlink r:id="rId17234">
        <w:r>
          <w:rPr>
            <w:color w:val="0000EE"/>
            <w:u w:val="single"/>
          </w:rPr>
          <w:t>10.14</w:t>
        </w:r>
      </w:hyperlink>
      <w:r>
        <w:t xml:space="preserve">; </w:t>
      </w:r>
      <w:hyperlink r:id="rId17235">
        <w:r>
          <w:rPr>
            <w:color w:val="0000EE"/>
            <w:u w:val="single"/>
          </w:rPr>
          <w:t>12.5</w:t>
        </w:r>
      </w:hyperlink>
      <w:r>
        <w:t xml:space="preserve">; </w:t>
      </w:r>
      <w:hyperlink r:id="rId17236">
        <w:r>
          <w:rPr>
            <w:color w:val="0000EE"/>
            <w:u w:val="single"/>
          </w:rPr>
          <w:t>34.6</w:t>
        </w:r>
      </w:hyperlink>
      <w:r>
        <w:t xml:space="preserve">; </w:t>
      </w:r>
      <w:hyperlink r:id="rId17237">
        <w:r>
          <w:rPr>
            <w:color w:val="0000EE"/>
            <w:u w:val="single"/>
          </w:rPr>
          <w:t>35.10</w:t>
        </w:r>
      </w:hyperlink>
      <w:r>
        <w:t xml:space="preserve">; </w:t>
      </w:r>
      <w:hyperlink r:id="rId16358">
        <w:r>
          <w:rPr>
            <w:color w:val="0000EE"/>
            <w:u w:val="single"/>
          </w:rPr>
          <w:t>74.19</w:t>
        </w:r>
      </w:hyperlink>
      <w:r>
        <w:t>), para merecer consideração cuidadosa. E em reflexão, eles não são tão estranhos. Como Deus está especialmente interessado nos pobres, assim os pobres podem estar especialmente interessados em Deus, por duas boas razões. Primeiro, se houvesse pobreza em Israel, era porque aqueles com poder o estavam usando mal; portanto, os pobres alegariam a ajuda de Deus primeiro porque é seu governo que estava sendo desprezado, e ele deve se vindicar. E segundo, a pobreza leva as pessoas a Deus porque nessas circunstâncias não há ninguém mais a quem se voltar. Desta forma, “pobre” se torna quase um termo técnico. “Os pobres” são os humildes, e os humildes são os piedosos (</w:t>
      </w:r>
      <w:hyperlink r:id="rId17238">
        <w:r>
          <w:rPr>
            <w:color w:val="0000EE"/>
            <w:u w:val="single"/>
          </w:rPr>
          <w:t>Sl 10.17</w:t>
        </w:r>
      </w:hyperlink>
      <w:r>
        <w:t xml:space="preserve">; </w:t>
      </w:r>
      <w:hyperlink r:id="rId17239">
        <w:r>
          <w:rPr>
            <w:color w:val="0000EE"/>
            <w:u w:val="single"/>
          </w:rPr>
          <w:t>14.5–6</w:t>
        </w:r>
      </w:hyperlink>
      <w:r>
        <w:t xml:space="preserve">; </w:t>
      </w:r>
      <w:hyperlink r:id="rId10557">
        <w:r>
          <w:rPr>
            <w:color w:val="0000EE"/>
            <w:u w:val="single"/>
          </w:rPr>
          <w:t>37.11</w:t>
        </w:r>
      </w:hyperlink>
      <w:r>
        <w:t xml:space="preserve">; </w:t>
      </w:r>
      <w:hyperlink r:id="rId17240">
        <w:r>
          <w:rPr>
            <w:color w:val="0000EE"/>
            <w:u w:val="single"/>
          </w:rPr>
          <w:t>Sf 3.12–13</w:t>
        </w:r>
      </w:hyperlink>
      <w:r>
        <w:t>). Assim como ser rico pode promover a autoindulgência, autoconfiança, orgulho e o desprezo e opressão dos seres humanos semelhantes, também ser pobre deve encorajar as virtudes opostas.</w:t>
      </w:r>
    </w:p>
    <w:p>
      <w:r/>
      <w:r>
        <w:t xml:space="preserve">Em vez de ser um mal a ser evitado, assim a pobreza se torna um ideal a ser buscado. Seguindo o uso do AT de “os pobres” e “os piedosos” como termos quase intercambiáveis, a propriedade pessoal foi renunciada por muitos judeus durante o período entre os testamentos. Entre eles estavam a seita dos essênios e a comunidade relacionada que foi criada em Qumran, perto do Mar Morto. Os últimos realmente se chamavam de “Os Pobres”. Esta tradição continuou nos tempos do NT. Possivelmente “os pobres” em Jerusalém significa um grupo definido dentro da igreja lá (ou até a igreja de Jerusalém como um todo; </w:t>
      </w:r>
      <w:hyperlink r:id="rId4343">
        <w:r>
          <w:rPr>
            <w:color w:val="0000EE"/>
            <w:u w:val="single"/>
          </w:rPr>
          <w:t>Rm 15.26</w:t>
        </w:r>
      </w:hyperlink>
      <w:r>
        <w:t xml:space="preserve">; </w:t>
      </w:r>
      <w:hyperlink r:id="rId4352">
        <w:r>
          <w:rPr>
            <w:color w:val="0000EE"/>
            <w:u w:val="single"/>
          </w:rPr>
          <w:t>Gl 2.10</w:t>
        </w:r>
      </w:hyperlink>
      <w:r>
        <w:t>). Certamente surgiu mais tarde uma seita judaico-cristã chamada de “ebionitas” (de uma palavra hebraica para “pobre”).</w:t>
      </w:r>
    </w:p>
    <w:p>
      <w:r/>
      <w:r>
        <w:t>O NT ensina claramente, claro, que o que realmente importa é a atitude do coração. É bem possível ser pobre, mas ganancioso, ou rico, mas generoso. Mesmo assim, com o pano de fundo do AT descrito acima, o sentido geral dessas palavras nos Evangelhos é que rico = ruim, pobre = bom. Por um lado, os saduceus são ricos em riqueza mundana e os fariseus em orgulho espiritual, e os homens de propriedade são egoístas, tolos e em grave perigo espiritual (</w:t>
      </w:r>
      <w:hyperlink r:id="rId17241">
        <w:r>
          <w:rPr>
            <w:color w:val="0000EE"/>
            <w:u w:val="single"/>
          </w:rPr>
          <w:t>Mc 10.23</w:t>
        </w:r>
      </w:hyperlink>
      <w:r>
        <w:t xml:space="preserve">; </w:t>
      </w:r>
      <w:hyperlink r:id="rId17242">
        <w:r>
          <w:rPr>
            <w:color w:val="0000EE"/>
            <w:u w:val="single"/>
          </w:rPr>
          <w:t>Lc 12.13–21</w:t>
        </w:r>
      </w:hyperlink>
      <w:r>
        <w:t xml:space="preserve">; </w:t>
      </w:r>
      <w:hyperlink r:id="rId8493">
        <w:r>
          <w:rPr>
            <w:color w:val="0000EE"/>
            <w:u w:val="single"/>
          </w:rPr>
          <w:t>16.19–31</w:t>
        </w:r>
      </w:hyperlink>
      <w:r>
        <w:t>). Por outro lado, é gente devota e simples, como a própria família e amigos de Jesus, que geralmente representam os pobres.</w:t>
      </w:r>
    </w:p>
    <w:p>
      <w:r/>
      <w:r>
        <w:t>Na verdade, portanto, as duas versões da primeira beatitude (a de Mateus e a de Lucas) equivalem à mesma coisa. A de Mateus tem a profundidade: “Bem-aventurados os pobres em espírito” (</w:t>
      </w:r>
      <w:hyperlink r:id="rId8690">
        <w:r>
          <w:rPr>
            <w:color w:val="0000EE"/>
            <w:u w:val="single"/>
          </w:rPr>
          <w:t>Mt 5.3</w:t>
        </w:r>
      </w:hyperlink>
      <w:r>
        <w:t>). Mas a de Lucas tem a largura. Quando ele diz simplesmente “Bem-aventurados sois vocês pobres” (</w:t>
      </w:r>
      <w:hyperlink r:id="rId17243">
        <w:r>
          <w:rPr>
            <w:color w:val="0000EE"/>
            <w:u w:val="single"/>
          </w:rPr>
          <w:t>Lc 6.20</w:t>
        </w:r>
      </w:hyperlink>
      <w:r>
        <w:t xml:space="preserve">), ele se refere àqueles que em sua necessidade — em </w:t>
      </w:r>
      <w:r>
        <w:rPr>
          <w:i/>
        </w:rPr>
        <w:t>qualquer</w:t>
      </w:r>
      <w:r>
        <w:t xml:space="preserve"> tipo de necessidade — se voltam para o Senhor. Foi para trazer o evangelho a tais pessoas que Cristo veio ao mundo (</w:t>
      </w:r>
      <w:hyperlink r:id="rId4641">
        <w:r>
          <w:rPr>
            <w:color w:val="0000EE"/>
            <w:u w:val="single"/>
          </w:rPr>
          <w:t>Mt 11.5</w:t>
        </w:r>
      </w:hyperlink>
      <w:r>
        <w:t xml:space="preserve">; </w:t>
      </w:r>
      <w:hyperlink r:id="rId1168">
        <w:r>
          <w:rPr>
            <w:color w:val="0000EE"/>
            <w:u w:val="single"/>
          </w:rPr>
          <w:t>Lc 4.18</w:t>
        </w:r>
      </w:hyperlink>
      <w:r>
        <w:t>). O próprio Jesus Cristo incorpora o mesmo ideal. Como Paulo colocou: “Embora ele fosse muito rico, por amor de vocês, ele se tornou pobre, para que por sua pobreza ele pudesse torná-lo rico” (</w:t>
      </w:r>
      <w:hyperlink r:id="rId8774">
        <w:r>
          <w:rPr>
            <w:color w:val="0000EE"/>
            <w:u w:val="single"/>
          </w:rPr>
          <w:t>2Co 8.9</w:t>
        </w:r>
      </w:hyperlink>
      <w:r>
        <w:t>, NTLH). Nossa pobreza impotente é um mal do qual ele vem para nos resgatar; sua pobreza deliberadamente escolhida é o meio glorioso pelo qual ele faz isso.</w:t>
      </w:r>
    </w:p>
    <w:p>
      <w:r/>
      <w:r>
        <w:rPr>
          <w:i/>
        </w:rPr>
        <w:t>Veja também</w:t>
      </w:r>
      <w:r>
        <w:t xml:space="preserve"> </w:t>
      </w:r>
      <w:r>
        <w:t>Esmolas</w:t>
      </w:r>
      <w:r>
        <w:t xml:space="preserve">; </w:t>
      </w:r>
      <w:r>
        <w:t>Riquezas</w:t>
      </w:r>
      <w:r>
        <w:t xml:space="preserve">; </w:t>
      </w:r>
      <w:r>
        <w:t>Justiça</w:t>
      </w:r>
      <w:r>
        <w:t xml:space="preserve">; </w:t>
      </w:r>
      <w:r>
        <w:t>Salários</w:t>
      </w:r>
      <w:r>
        <w:t xml:space="preserve">; </w:t>
      </w:r>
      <w:r>
        <w:t>Prosperidade</w:t>
      </w:r>
      <w:r>
        <w:t>.</w:t>
      </w:r>
      <w:r/>
      <w:r/>
    </w:p>
    <w:p>
      <w:r/>
    </w:p>
    <w:p>
      <w:pPr>
        <w:pStyle w:val="Heading2"/>
      </w:pPr>
      <w:r>
        <w:t>Poço</w:t>
      </w:r>
      <w:r/>
    </w:p>
    <w:p>
      <w:r/>
      <w:r>
        <w:t>Reservatório artificial alimentado por nascentes subterrâneas ou por água da chuva. Como a maior parte do mundo bíblico varia de árido a semiárido, os poços eram uma fonte crítica de água para humanos, gado e irrigação de plantações. Infelizmente, a maioria dos poços não oferecia uma fonte confiável de água, dependendo da escassa chuva ou de nascentes intermitentes (</w:t>
      </w:r>
      <w:hyperlink r:id="rId17244">
        <w:r>
          <w:rPr>
            <w:color w:val="0000EE"/>
            <w:u w:val="single"/>
          </w:rPr>
          <w:t>Pv 25.26</w:t>
        </w:r>
      </w:hyperlink>
      <w:r>
        <w:t>). A descoberta de uma fonte confiável de água era, portanto, motivo de muita alegria (</w:t>
      </w:r>
      <w:hyperlink r:id="rId3298">
        <w:r>
          <w:rPr>
            <w:color w:val="0000EE"/>
            <w:u w:val="single"/>
          </w:rPr>
          <w:t>Nm 21.17–18</w:t>
        </w:r>
      </w:hyperlink>
      <w:r>
        <w:t>) e frequente conflito (</w:t>
      </w:r>
      <w:hyperlink r:id="rId17245">
        <w:r>
          <w:rPr>
            <w:color w:val="0000EE"/>
            <w:u w:val="single"/>
          </w:rPr>
          <w:t>Gn 21.25–30</w:t>
        </w:r>
      </w:hyperlink>
      <w:r>
        <w:t xml:space="preserve">; </w:t>
      </w:r>
      <w:hyperlink r:id="rId17246">
        <w:r>
          <w:rPr>
            <w:color w:val="0000EE"/>
            <w:u w:val="single"/>
          </w:rPr>
          <w:t>26.19–22</w:t>
        </w:r>
      </w:hyperlink>
      <w:r>
        <w:t xml:space="preserve">; </w:t>
      </w:r>
      <w:hyperlink r:id="rId17247">
        <w:r>
          <w:rPr>
            <w:color w:val="0000EE"/>
            <w:u w:val="single"/>
          </w:rPr>
          <w:t>2Rs 3.19</w:t>
        </w:r>
      </w:hyperlink>
      <w:r>
        <w:t>). Escavar um poço com sucesso e defender os direitos sobre a água muitas vezes serviam como um importante determinante dos direitos de propriedade (</w:t>
      </w:r>
      <w:hyperlink r:id="rId17245">
        <w:r>
          <w:rPr>
            <w:color w:val="0000EE"/>
            <w:u w:val="single"/>
          </w:rPr>
          <w:t>Gn 21.25–30</w:t>
        </w:r>
      </w:hyperlink>
      <w:r>
        <w:t xml:space="preserve">; </w:t>
      </w:r>
      <w:hyperlink r:id="rId17248">
        <w:r>
          <w:rPr>
            <w:color w:val="0000EE"/>
            <w:u w:val="single"/>
          </w:rPr>
          <w:t>29.2–3</w:t>
        </w:r>
      </w:hyperlink>
      <w:r>
        <w:t>).</w:t>
      </w:r>
    </w:p>
    <w:p>
      <w:r/>
      <w:r>
        <w:t>Bons poços eram geralmente considerados sinais da providência de Deus (</w:t>
      </w:r>
      <w:hyperlink r:id="rId3438">
        <w:r>
          <w:rPr>
            <w:color w:val="0000EE"/>
            <w:u w:val="single"/>
          </w:rPr>
          <w:t>Gn 16.14</w:t>
        </w:r>
      </w:hyperlink>
      <w:r>
        <w:t xml:space="preserve">; </w:t>
      </w:r>
      <w:hyperlink r:id="rId17249">
        <w:r>
          <w:rPr>
            <w:color w:val="0000EE"/>
            <w:u w:val="single"/>
          </w:rPr>
          <w:t>21.19</w:t>
        </w:r>
      </w:hyperlink>
      <w:r>
        <w:t xml:space="preserve">; </w:t>
      </w:r>
      <w:hyperlink r:id="rId15364">
        <w:r>
          <w:rPr>
            <w:color w:val="0000EE"/>
            <w:u w:val="single"/>
          </w:rPr>
          <w:t>Nm 21.16–18</w:t>
        </w:r>
      </w:hyperlink>
      <w:r>
        <w:t>). Os escritores bíblicos, portanto, comparavam a água dos poços alimentados por nascentes à provisão de salvação de Deus para seu povo (</w:t>
      </w:r>
      <w:hyperlink r:id="rId17250">
        <w:r>
          <w:rPr>
            <w:color w:val="0000EE"/>
            <w:u w:val="single"/>
          </w:rPr>
          <w:t>Is 12.3</w:t>
        </w:r>
      </w:hyperlink>
      <w:r>
        <w:t xml:space="preserve">; </w:t>
      </w:r>
      <w:hyperlink r:id="rId602">
        <w:r>
          <w:rPr>
            <w:color w:val="0000EE"/>
            <w:u w:val="single"/>
          </w:rPr>
          <w:t>Jo 4.14</w:t>
        </w:r>
      </w:hyperlink>
      <w:r>
        <w:t>). A distinção entre a qualidade relativamente pobre da água em cisternas que capturavam água da chuva e a alta qualidade daqueles poços que acessavam nascentes de água "viva" (ou seja, corrente) ajuda a esclarecer o diálogo entre Jesus e a mulher samaritana quando Jesus ofereceu a ela "água viva" (</w:t>
      </w:r>
      <w:hyperlink r:id="rId17251">
        <w:r>
          <w:rPr>
            <w:color w:val="0000EE"/>
            <w:u w:val="single"/>
          </w:rPr>
          <w:t>Jo 4.10–15</w:t>
        </w:r>
      </w:hyperlink>
      <w:r>
        <w:t>).</w:t>
      </w:r>
    </w:p>
    <w:p>
      <w:r/>
      <w:r>
        <w:rPr>
          <w:i/>
        </w:rPr>
        <w:t>Veja também</w:t>
      </w:r>
      <w:r>
        <w:t xml:space="preserve"> </w:t>
      </w:r>
      <w:r>
        <w:t>Cisterna</w:t>
      </w:r>
      <w:r>
        <w:t xml:space="preserve">; </w:t>
      </w:r>
      <w:r>
        <w:t>Poço de Jacó</w:t>
      </w:r>
      <w:r>
        <w:t>.</w:t>
      </w:r>
      <w:r/>
      <w:r/>
    </w:p>
    <w:p>
      <w:r/>
    </w:p>
    <w:p>
      <w:pPr>
        <w:pStyle w:val="Heading2"/>
      </w:pPr>
      <w:r>
        <w:t>Poço de Jacó</w:t>
      </w:r>
      <w:r/>
    </w:p>
    <w:p>
      <w:r/>
      <w:r>
        <w:t>Local mencionado apenas no Evangelho de João (</w:t>
      </w:r>
      <w:hyperlink r:id="rId17252">
        <w:r>
          <w:rPr>
            <w:color w:val="0000EE"/>
            <w:u w:val="single"/>
          </w:rPr>
          <w:t>Jo 4.5–29</w:t>
        </w:r>
      </w:hyperlink>
      <w:r>
        <w:t>). Foi aqui que Jesus se sentou e conversou com a mulher samaritana sem nome, que prontamente aceitou as palavras de Jesus. Este poço está localizado em um terreno adquirido pelo patriarca Jacó, cerca de 274 metros a sudeste do túmulo tradicional de José (</w:t>
      </w:r>
      <w:hyperlink r:id="rId7167">
        <w:r>
          <w:rPr>
            <w:color w:val="0000EE"/>
            <w:u w:val="single"/>
          </w:rPr>
          <w:t>Gn 33.19</w:t>
        </w:r>
      </w:hyperlink>
      <w:r>
        <w:t xml:space="preserve">; </w:t>
      </w:r>
      <w:hyperlink r:id="rId7168">
        <w:r>
          <w:rPr>
            <w:color w:val="0000EE"/>
            <w:u w:val="single"/>
          </w:rPr>
          <w:t>Js 24.32</w:t>
        </w:r>
      </w:hyperlink>
      <w:r>
        <w:t xml:space="preserve">; </w:t>
      </w:r>
      <w:hyperlink r:id="rId17253">
        <w:r>
          <w:rPr>
            <w:color w:val="0000EE"/>
            <w:u w:val="single"/>
          </w:rPr>
          <w:t>Jo 4.5–6</w:t>
        </w:r>
      </w:hyperlink>
      <w:r>
        <w:t>). O local está a cerca de 3 quilômetros a sudeste da moderna Nablus, 549 metros a sudeste do local da antiga Siquém (moderna Balata), e 914 metros ao sul de Sicar (moderna Askar). Dominando o local a noroeste está o Monte Ebal (aos pés do qual fica Askar), e a sudoeste o Monte Gerizim, montanhas de maldição e bênção, respectivamente (</w:t>
      </w:r>
      <w:hyperlink r:id="rId17254">
        <w:r>
          <w:rPr>
            <w:color w:val="0000EE"/>
            <w:u w:val="single"/>
          </w:rPr>
          <w:t>Dt 27.12–13</w:t>
        </w:r>
      </w:hyperlink>
      <w:r>
        <w:t xml:space="preserve">; </w:t>
      </w:r>
      <w:hyperlink r:id="rId6469">
        <w:r>
          <w:rPr>
            <w:color w:val="0000EE"/>
            <w:u w:val="single"/>
          </w:rPr>
          <w:t>Js 8.30–33</w:t>
        </w:r>
      </w:hyperlink>
      <w:r>
        <w:t>). Perto dali Abraão construiu seu primeiro altar, e Jacó seu segundo (</w:t>
      </w:r>
      <w:hyperlink r:id="rId9908">
        <w:r>
          <w:rPr>
            <w:color w:val="0000EE"/>
            <w:u w:val="single"/>
          </w:rPr>
          <w:t>Gn 12.6–7</w:t>
        </w:r>
      </w:hyperlink>
      <w:r>
        <w:t xml:space="preserve">; </w:t>
      </w:r>
      <w:hyperlink r:id="rId9909">
        <w:r>
          <w:rPr>
            <w:color w:val="0000EE"/>
            <w:u w:val="single"/>
          </w:rPr>
          <w:t>33.18–20</w:t>
        </w:r>
      </w:hyperlink>
      <w:r>
        <w:t>). Assim, o local é um dos mais antigos e sagrados da Terra Santa.</w:t>
      </w:r>
    </w:p>
    <w:p>
      <w:r/>
      <w:r>
        <w:t>O poço tem cerca de 30 metros de profundidade e 90 centímetros de diâmetro, cortado através de calcário. Alimentado por riachos subterrâneos das encostas das montanhas adjacentes, a água é pura e abundante, sendo o orgulho dos moradores. Uma igreja existia no local desde pelo menos 380 d.C. A Igreja Ortodoxa Grega adquiriu o local em 1885 e construiu uma estrutura no local. O acesso ao poço é feito por degraus que levam de ambos os lados do altar da igreja até a borda do poço abaixo.</w:t>
      </w:r>
      <w:r/>
      <w:r/>
    </w:p>
    <w:p>
      <w:r/>
    </w:p>
    <w:p>
      <w:pPr>
        <w:pStyle w:val="Heading2"/>
      </w:pPr>
      <w:r>
        <w:t>Poços de betume</w:t>
      </w:r>
      <w:r/>
    </w:p>
    <w:p>
      <w:r/>
      <w:r>
        <w:t>As versões da NAA, ARC e BKJ traduzem "poços de betume" encontrados no vale de Sidim (</w:t>
      </w:r>
      <w:hyperlink r:id="rId3518">
        <w:r>
          <w:rPr>
            <w:color w:val="0000EE"/>
            <w:u w:val="single"/>
          </w:rPr>
          <w:t>Gn 14.10</w:t>
        </w:r>
      </w:hyperlink>
      <w:r>
        <w:t>).</w:t>
      </w:r>
    </w:p>
    <w:p>
      <w:r/>
      <w:r>
        <w:rPr>
          <w:i/>
        </w:rPr>
        <w:t>Veja</w:t>
      </w:r>
      <w:r>
        <w:t xml:space="preserve"> </w:t>
      </w:r>
      <w:r>
        <w:t>Vale de Sidim</w:t>
      </w:r>
      <w:r>
        <w:t>.</w:t>
      </w:r>
      <w:r/>
      <w:r/>
    </w:p>
    <w:p>
      <w:r/>
    </w:p>
    <w:p>
      <w:pPr>
        <w:pStyle w:val="Heading2"/>
      </w:pPr>
      <w:r>
        <w:t>Poder</w:t>
      </w:r>
      <w:r/>
    </w:p>
    <w:p>
      <w:r/>
      <w:r>
        <w:t>A capacidade de realizar tarefas devido à força, habilidade, recursos ou permissão.</w:t>
      </w:r>
    </w:p>
    <w:p>
      <w:r/>
      <w:r>
        <w:t>A Bíblia utiliza várias palavras para poder em hebraico no Antigo Testamento e grego no Novo Testamento. Podemos agrupar o que a Bíblia diz sobre poder em quatro áreas principais:</w:t>
      </w:r>
    </w:p>
    <w:p>
      <w:pPr>
        <w:pStyle w:val="ListNumber"/>
        <w:spacing w:line="240" w:lineRule="auto"/>
        <w:ind w:left="720"/>
      </w:pPr>
      <w:r/>
      <w:r>
        <w:t>Poder ilimitado de Deus;</w:t>
      </w:r>
    </w:p>
    <w:p>
      <w:pPr>
        <w:pStyle w:val="ListNumber"/>
        <w:spacing w:line="240" w:lineRule="auto"/>
        <w:ind w:left="720"/>
      </w:pPr>
      <w:r/>
      <w:r>
        <w:t>O poder limitado que Deus concede à sua criação;</w:t>
      </w:r>
    </w:p>
    <w:p>
      <w:pPr>
        <w:pStyle w:val="ListNumber"/>
        <w:spacing w:line="240" w:lineRule="auto"/>
        <w:ind w:left="720"/>
      </w:pPr>
      <w:r/>
      <w:r>
        <w:t>Poder de Deus manifestado em Jesus Cristo;</w:t>
      </w:r>
    </w:p>
    <w:p>
      <w:pPr>
        <w:pStyle w:val="ListNumber"/>
        <w:spacing w:line="240" w:lineRule="auto"/>
        <w:ind w:left="720"/>
      </w:pPr>
      <w:r/>
      <w:r>
        <w:t>O poder de Deus (através do Espírito Santo) na vida do seu povo.</w:t>
      </w:r>
    </w:p>
    <w:p>
      <w:pPr>
        <w:pStyle w:val="Heading3"/>
      </w:pPr>
      <w:r>
        <w:t>O poder ilimitado de Deus</w:t>
      </w:r>
    </w:p>
    <w:p>
      <w:r/>
      <w:r>
        <w:t xml:space="preserve">Deus é todo-poderoso. Qualquer outro poder vem dele e está sob seu controle. Muito do que a Bíblia diz é resumido nas palavras de </w:t>
      </w:r>
      <w:hyperlink r:id="rId6156">
        <w:r>
          <w:rPr>
            <w:color w:val="0000EE"/>
            <w:u w:val="single"/>
          </w:rPr>
          <w:t>1 Crônicas 29.11–12,</w:t>
        </w:r>
      </w:hyperlink>
      <w:r>
        <w:t xml:space="preserve"> dirigidas a Deus em louvor: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w:t>
      </w:r>
    </w:p>
    <w:p>
      <w:r/>
      <w:r>
        <w:t>A Bíblia frequentemente descreve o poder de Deus como sua "mão poderosa" e "braço estendido" (</w:t>
      </w:r>
      <w:hyperlink r:id="rId1958">
        <w:r>
          <w:rPr>
            <w:color w:val="0000EE"/>
            <w:u w:val="single"/>
          </w:rPr>
          <w:t>Êx 6.6</w:t>
        </w:r>
      </w:hyperlink>
      <w:r>
        <w:t xml:space="preserve">; </w:t>
      </w:r>
      <w:hyperlink r:id="rId13104">
        <w:r>
          <w:rPr>
            <w:color w:val="0000EE"/>
            <w:u w:val="single"/>
          </w:rPr>
          <w:t>7.4</w:t>
        </w:r>
      </w:hyperlink>
      <w:r>
        <w:t xml:space="preserve">; </w:t>
      </w:r>
      <w:hyperlink r:id="rId17255">
        <w:r>
          <w:rPr>
            <w:color w:val="0000EE"/>
            <w:u w:val="single"/>
          </w:rPr>
          <w:t>Sl 44.2–3</w:t>
        </w:r>
      </w:hyperlink>
      <w:r>
        <w:t>). Vemos o poder de Deus em:</w:t>
      </w:r>
    </w:p>
    <w:p>
      <w:pPr>
        <w:pStyle w:val="ListBullet"/>
        <w:spacing w:line="240" w:lineRule="auto"/>
        <w:ind w:left="720"/>
      </w:pPr>
      <w:r/>
      <w:r>
        <w:t>criação (</w:t>
      </w:r>
      <w:hyperlink r:id="rId17256">
        <w:r>
          <w:rPr>
            <w:color w:val="0000EE"/>
            <w:u w:val="single"/>
          </w:rPr>
          <w:t>Sl 65.6</w:t>
        </w:r>
      </w:hyperlink>
      <w:r>
        <w:t xml:space="preserve">; </w:t>
      </w:r>
      <w:hyperlink r:id="rId10779">
        <w:r>
          <w:rPr>
            <w:color w:val="0000EE"/>
            <w:u w:val="single"/>
          </w:rPr>
          <w:t>Is 40.26</w:t>
        </w:r>
      </w:hyperlink>
      <w:r>
        <w:t xml:space="preserve">; </w:t>
      </w:r>
      <w:hyperlink r:id="rId17257">
        <w:r>
          <w:rPr>
            <w:color w:val="0000EE"/>
            <w:u w:val="single"/>
          </w:rPr>
          <w:t>Jr 10.12</w:t>
        </w:r>
      </w:hyperlink>
      <w:r>
        <w:t xml:space="preserve">; </w:t>
      </w:r>
      <w:hyperlink r:id="rId17258">
        <w:r>
          <w:rPr>
            <w:color w:val="0000EE"/>
            <w:u w:val="single"/>
          </w:rPr>
          <w:t>27.5</w:t>
        </w:r>
      </w:hyperlink>
      <w:r>
        <w:t>);</w:t>
      </w:r>
    </w:p>
    <w:p>
      <w:pPr>
        <w:pStyle w:val="ListBullet"/>
        <w:spacing w:line="240" w:lineRule="auto"/>
        <w:ind w:left="720"/>
      </w:pPr>
      <w:r/>
      <w:r>
        <w:t>O governo de Deus sobre o mundo (</w:t>
      </w:r>
      <w:hyperlink r:id="rId6172">
        <w:r>
          <w:rPr>
            <w:color w:val="0000EE"/>
            <w:u w:val="single"/>
          </w:rPr>
          <w:t>2Cr 20.6</w:t>
        </w:r>
      </w:hyperlink>
      <w:r>
        <w:t>);</w:t>
      </w:r>
    </w:p>
    <w:p>
      <w:pPr>
        <w:pStyle w:val="ListBullet"/>
        <w:spacing w:line="240" w:lineRule="auto"/>
        <w:ind w:left="720"/>
      </w:pPr>
      <w:r/>
      <w:r>
        <w:t>Atos de salvação e julgamento de Deus (</w:t>
      </w:r>
      <w:hyperlink r:id="rId17259">
        <w:r>
          <w:rPr>
            <w:color w:val="0000EE"/>
            <w:u w:val="single"/>
          </w:rPr>
          <w:t>Êx 15.6</w:t>
        </w:r>
      </w:hyperlink>
      <w:r>
        <w:t xml:space="preserve">; </w:t>
      </w:r>
      <w:hyperlink r:id="rId17260">
        <w:r>
          <w:rPr>
            <w:color w:val="0000EE"/>
            <w:u w:val="single"/>
          </w:rPr>
          <w:t>Dt 26.8</w:t>
        </w:r>
      </w:hyperlink>
      <w:r>
        <w:t>);</w:t>
      </w:r>
    </w:p>
    <w:p>
      <w:pPr>
        <w:pStyle w:val="ListBullet"/>
        <w:spacing w:line="240" w:lineRule="auto"/>
        <w:ind w:left="720"/>
      </w:pPr>
      <w:r/>
      <w:r>
        <w:t>Ajuda ao seu povo (</w:t>
      </w:r>
      <w:hyperlink r:id="rId17261">
        <w:r>
          <w:rPr>
            <w:color w:val="0000EE"/>
            <w:u w:val="single"/>
          </w:rPr>
          <w:t>Sl 111.6</w:t>
        </w:r>
      </w:hyperlink>
      <w:r>
        <w:t>).</w:t>
      </w:r>
    </w:p>
    <w:p>
      <w:r/>
      <w:r>
        <w:t xml:space="preserve">O Novo Testamento também fala do grande poder de Deus. </w:t>
      </w:r>
      <w:hyperlink r:id="rId17262">
        <w:r>
          <w:rPr>
            <w:color w:val="0000EE"/>
            <w:u w:val="single"/>
          </w:rPr>
          <w:t>Efésios 1.19</w:t>
        </w:r>
      </w:hyperlink>
      <w:r>
        <w:t xml:space="preserve"> diz que seu poder é ilimitado. Em algumas versões em </w:t>
      </w:r>
      <w:hyperlink r:id="rId9408">
        <w:r>
          <w:rPr>
            <w:color w:val="0000EE"/>
            <w:u w:val="single"/>
          </w:rPr>
          <w:t>Mateus 26.64,</w:t>
        </w:r>
      </w:hyperlink>
      <w:r>
        <w:t xml:space="preserve"> Jesus usa "Poder" como outro nome para Deus: "Você verá o Filho do Homem sentado à direita do Poder".</w:t>
      </w:r>
    </w:p>
    <w:p>
      <w:pPr>
        <w:pStyle w:val="Heading3"/>
      </w:pPr>
      <w:r>
        <w:t>O poder limitado que Deus concede à sua criação</w:t>
      </w:r>
    </w:p>
    <w:p>
      <w:r/>
      <w:r>
        <w:t>A criação de Deus possui poder próprio. Por exemplo:</w:t>
      </w:r>
    </w:p>
    <w:p>
      <w:pPr>
        <w:pStyle w:val="ListBullet"/>
        <w:spacing w:line="240" w:lineRule="auto"/>
        <w:ind w:left="720"/>
      </w:pPr>
      <w:r/>
      <w:r>
        <w:t>animais, como o boi selvagem, o cavalo e o leão (</w:t>
      </w:r>
      <w:hyperlink r:id="rId17263">
        <w:r>
          <w:rPr>
            <w:color w:val="0000EE"/>
            <w:u w:val="single"/>
          </w:rPr>
          <w:t>Jó 39.11,19</w:t>
        </w:r>
      </w:hyperlink>
      <w:r>
        <w:t xml:space="preserve">; </w:t>
      </w:r>
      <w:hyperlink r:id="rId17264">
        <w:r>
          <w:rPr>
            <w:color w:val="0000EE"/>
            <w:u w:val="single"/>
          </w:rPr>
          <w:t>Pv 30.30</w:t>
        </w:r>
      </w:hyperlink>
      <w:r>
        <w:t>);</w:t>
      </w:r>
    </w:p>
    <w:p>
      <w:pPr>
        <w:pStyle w:val="ListBullet"/>
        <w:spacing w:line="240" w:lineRule="auto"/>
        <w:ind w:left="720"/>
      </w:pPr>
      <w:r/>
      <w:r>
        <w:t>o vento, a tempestade, o trovão e o relâmpago.</w:t>
      </w:r>
    </w:p>
    <w:p>
      <w:r/>
      <w:r>
        <w:t>O poder é concedido aos humanos em:</w:t>
      </w:r>
    </w:p>
    <w:p>
      <w:pPr>
        <w:pStyle w:val="ListBullet"/>
        <w:spacing w:line="240" w:lineRule="auto"/>
        <w:ind w:left="720"/>
      </w:pPr>
      <w:r/>
      <w:r>
        <w:t>força física (</w:t>
      </w:r>
      <w:hyperlink r:id="rId17265">
        <w:r>
          <w:rPr>
            <w:color w:val="0000EE"/>
            <w:u w:val="single"/>
          </w:rPr>
          <w:t>Jz 16.5–6</w:t>
        </w:r>
      </w:hyperlink>
      <w:r>
        <w:t>);</w:t>
      </w:r>
    </w:p>
    <w:p>
      <w:pPr>
        <w:pStyle w:val="ListBullet"/>
        <w:spacing w:line="240" w:lineRule="auto"/>
        <w:ind w:left="720"/>
      </w:pPr>
      <w:r/>
      <w:r>
        <w:t>o poder de lutar (</w:t>
      </w:r>
      <w:hyperlink r:id="rId17266">
        <w:r>
          <w:rPr>
            <w:color w:val="0000EE"/>
            <w:u w:val="single"/>
          </w:rPr>
          <w:t>Jz 6.12</w:t>
        </w:r>
      </w:hyperlink>
      <w:r>
        <w:t>);</w:t>
      </w:r>
    </w:p>
    <w:p>
      <w:pPr>
        <w:pStyle w:val="ListBullet"/>
        <w:spacing w:line="240" w:lineRule="auto"/>
        <w:ind w:left="720"/>
      </w:pPr>
      <w:r/>
      <w:r>
        <w:t>o poder de fazer o bem e o poder de causar dano (</w:t>
      </w:r>
      <w:hyperlink r:id="rId17267">
        <w:r>
          <w:rPr>
            <w:color w:val="0000EE"/>
            <w:u w:val="single"/>
          </w:rPr>
          <w:t>Gn 31.29</w:t>
        </w:r>
      </w:hyperlink>
      <w:r>
        <w:t xml:space="preserve">; </w:t>
      </w:r>
      <w:hyperlink r:id="rId17268">
        <w:r>
          <w:rPr>
            <w:color w:val="0000EE"/>
            <w:u w:val="single"/>
          </w:rPr>
          <w:t>Pv 3.27</w:t>
        </w:r>
      </w:hyperlink>
      <w:r>
        <w:t xml:space="preserve">; </w:t>
      </w:r>
      <w:hyperlink r:id="rId17269">
        <w:r>
          <w:rPr>
            <w:color w:val="0000EE"/>
            <w:u w:val="single"/>
          </w:rPr>
          <w:t>Mq 2.1</w:t>
        </w:r>
      </w:hyperlink>
      <w:r>
        <w:t>).</w:t>
      </w:r>
    </w:p>
    <w:p>
      <w:r/>
      <w:r>
        <w:t>Os governantes têm poder e autoridade dados por Deus (</w:t>
      </w:r>
      <w:hyperlink r:id="rId930">
        <w:r>
          <w:rPr>
            <w:color w:val="0000EE"/>
            <w:u w:val="single"/>
          </w:rPr>
          <w:t>Rm 13.1</w:t>
        </w:r>
      </w:hyperlink>
      <w:r>
        <w:t>).</w:t>
      </w:r>
    </w:p>
    <w:p>
      <w:r/>
      <w:r>
        <w:t>A Bíblia também fala sobre o poder dos anjos (</w:t>
      </w:r>
      <w:hyperlink r:id="rId1950">
        <w:r>
          <w:rPr>
            <w:color w:val="0000EE"/>
            <w:u w:val="single"/>
          </w:rPr>
          <w:t>2Pe 2.11</w:t>
        </w:r>
      </w:hyperlink>
      <w:r>
        <w:t xml:space="preserve">) e seres espirituais chamados de “principados e potestades”. Satanás também tem poder (veja </w:t>
      </w:r>
      <w:hyperlink r:id="rId2182">
        <w:r>
          <w:rPr>
            <w:color w:val="0000EE"/>
            <w:u w:val="single"/>
          </w:rPr>
          <w:t>Jó 1.6–12</w:t>
        </w:r>
      </w:hyperlink>
      <w:r>
        <w:t xml:space="preserve">; </w:t>
      </w:r>
      <w:hyperlink r:id="rId17270">
        <w:r>
          <w:rPr>
            <w:color w:val="0000EE"/>
            <w:u w:val="single"/>
          </w:rPr>
          <w:t>2.1–6</w:t>
        </w:r>
      </w:hyperlink>
      <w:r>
        <w:t>). O pecado, o mal e a morte têm permissão para exercer algum poder sobre os homens (</w:t>
      </w:r>
      <w:hyperlink r:id="rId915">
        <w:r>
          <w:rPr>
            <w:color w:val="0000EE"/>
            <w:u w:val="single"/>
          </w:rPr>
          <w:t>Os 13.14</w:t>
        </w:r>
      </w:hyperlink>
      <w:r>
        <w:t xml:space="preserve">; </w:t>
      </w:r>
      <w:hyperlink r:id="rId8312">
        <w:r>
          <w:rPr>
            <w:color w:val="0000EE"/>
            <w:u w:val="single"/>
          </w:rPr>
          <w:t>Lc 22.53</w:t>
        </w:r>
      </w:hyperlink>
      <w:r>
        <w:t xml:space="preserve">; </w:t>
      </w:r>
      <w:hyperlink r:id="rId17271">
        <w:r>
          <w:rPr>
            <w:color w:val="0000EE"/>
            <w:u w:val="single"/>
          </w:rPr>
          <w:t>Rm 3.9</w:t>
        </w:r>
      </w:hyperlink>
      <w:r>
        <w:t>).</w:t>
      </w:r>
    </w:p>
    <w:p>
      <w:r/>
      <w:r>
        <w:t>Todos esses têm poder limitado, e Deus dá ao seu povo força para conquistar todos esses poderes. Ele pode protegê-los de animais selvagens (</w:t>
      </w:r>
      <w:hyperlink r:id="rId17272">
        <w:r>
          <w:rPr>
            <w:color w:val="0000EE"/>
            <w:u w:val="single"/>
          </w:rPr>
          <w:t>Dn 6.27</w:t>
        </w:r>
      </w:hyperlink>
      <w:r>
        <w:t xml:space="preserve">; </w:t>
      </w:r>
      <w:hyperlink r:id="rId1833">
        <w:r>
          <w:rPr>
            <w:color w:val="0000EE"/>
            <w:u w:val="single"/>
          </w:rPr>
          <w:t>Lc 10.19</w:t>
        </w:r>
      </w:hyperlink>
      <w:r>
        <w:t>) e do controle de outras pessoas. Jesus disse a Pilatos: “Você não teria autoridade sobre Mim se não lhe fosse dada de cima” (</w:t>
      </w:r>
      <w:hyperlink r:id="rId17273">
        <w:r>
          <w:rPr>
            <w:color w:val="0000EE"/>
            <w:u w:val="single"/>
          </w:rPr>
          <w:t>Jo 19.11</w:t>
        </w:r>
      </w:hyperlink>
      <w:r>
        <w:t>). Deus pode salvar as pessoas do pecado, da morte, de Satanás e de todas as forças espirituais malignas (</w:t>
      </w:r>
      <w:hyperlink r:id="rId17274">
        <w:r>
          <w:rPr>
            <w:color w:val="0000EE"/>
            <w:u w:val="single"/>
          </w:rPr>
          <w:t>2Co 10.4</w:t>
        </w:r>
      </w:hyperlink>
      <w:r>
        <w:t xml:space="preserve">; </w:t>
      </w:r>
      <w:hyperlink r:id="rId17275">
        <w:r>
          <w:rPr>
            <w:color w:val="0000EE"/>
            <w:u w:val="single"/>
          </w:rPr>
          <w:t>Ef 6.10–18</w:t>
        </w:r>
      </w:hyperlink>
      <w:r>
        <w:t>). O “governante deste mundo” não tem poder sobre Cristo (</w:t>
      </w:r>
      <w:hyperlink r:id="rId14896">
        <w:r>
          <w:rPr>
            <w:color w:val="0000EE"/>
            <w:u w:val="single"/>
          </w:rPr>
          <w:t>Jo 14.30</w:t>
        </w:r>
      </w:hyperlink>
      <w:r>
        <w:t>), então ele não pode controlar aqueles que confiam Nele.</w:t>
      </w:r>
    </w:p>
    <w:p>
      <w:pPr>
        <w:pStyle w:val="Heading3"/>
      </w:pPr>
      <w:r>
        <w:t>O poder de Deus manifestado em Jesus Cristo</w:t>
      </w:r>
    </w:p>
    <w:p>
      <w:r/>
      <w:r>
        <w:t>Os evangelhos e o livro de Atos frequentemente mostram o poder de Cristo. Seu poder é demonstrado em:</w:t>
      </w:r>
    </w:p>
    <w:p>
      <w:pPr>
        <w:pStyle w:val="ListBullet"/>
        <w:spacing w:line="240" w:lineRule="auto"/>
        <w:ind w:left="720"/>
      </w:pPr>
      <w:r/>
      <w:r>
        <w:t>milagres (</w:t>
      </w:r>
      <w:hyperlink r:id="rId5478">
        <w:r>
          <w:rPr>
            <w:color w:val="0000EE"/>
            <w:u w:val="single"/>
          </w:rPr>
          <w:t>Mt 11.20</w:t>
        </w:r>
      </w:hyperlink>
      <w:r>
        <w:t xml:space="preserve">; </w:t>
      </w:r>
      <w:hyperlink r:id="rId15098">
        <w:r>
          <w:rPr>
            <w:color w:val="0000EE"/>
            <w:u w:val="single"/>
          </w:rPr>
          <w:t>At 2.22</w:t>
        </w:r>
      </w:hyperlink>
      <w:r>
        <w:t>)</w:t>
      </w:r>
    </w:p>
    <w:p>
      <w:pPr>
        <w:pStyle w:val="ListBullet"/>
        <w:spacing w:line="240" w:lineRule="auto"/>
        <w:ind w:left="720"/>
      </w:pPr>
      <w:r/>
      <w:r>
        <w:t>curas</w:t>
      </w:r>
    </w:p>
    <w:p>
      <w:pPr>
        <w:pStyle w:val="ListBullet"/>
        <w:spacing w:line="240" w:lineRule="auto"/>
        <w:ind w:left="720"/>
      </w:pPr>
      <w:r/>
      <w:r>
        <w:t>exorcismos (</w:t>
      </w:r>
      <w:hyperlink r:id="rId17276">
        <w:r>
          <w:rPr>
            <w:color w:val="0000EE"/>
            <w:u w:val="single"/>
          </w:rPr>
          <w:t>Lc 4.36</w:t>
        </w:r>
      </w:hyperlink>
      <w:r>
        <w:t xml:space="preserve">; </w:t>
      </w:r>
      <w:hyperlink r:id="rId7499">
        <w:r>
          <w:rPr>
            <w:color w:val="0000EE"/>
            <w:u w:val="single"/>
          </w:rPr>
          <w:t>5.17</w:t>
        </w:r>
      </w:hyperlink>
      <w:r>
        <w:t xml:space="preserve">; </w:t>
      </w:r>
      <w:hyperlink r:id="rId17277">
        <w:r>
          <w:rPr>
            <w:color w:val="0000EE"/>
            <w:u w:val="single"/>
          </w:rPr>
          <w:t>6.19</w:t>
        </w:r>
      </w:hyperlink>
      <w:r>
        <w:t xml:space="preserve">; </w:t>
      </w:r>
      <w:hyperlink r:id="rId8399">
        <w:r>
          <w:rPr>
            <w:color w:val="0000EE"/>
            <w:u w:val="single"/>
          </w:rPr>
          <w:t>At 10.38</w:t>
        </w:r>
      </w:hyperlink>
      <w:r>
        <w:t>)</w:t>
      </w:r>
    </w:p>
    <w:p>
      <w:r/>
      <w:r>
        <w:t>Sua ressurreição demonstra Seu maior poder. Jesus falou sobre Sua capacidade de entregar Sua vida e retomá-la (</w:t>
      </w:r>
      <w:hyperlink r:id="rId17278">
        <w:r>
          <w:rPr>
            <w:color w:val="0000EE"/>
            <w:u w:val="single"/>
          </w:rPr>
          <w:t>Jo 10.18</w:t>
        </w:r>
      </w:hyperlink>
      <w:r>
        <w:t>), mas o Novo Testamento frequentemente menciona o poder de Deus Pai ao ressuscitar Seu Filho dos mortos (</w:t>
      </w:r>
      <w:hyperlink r:id="rId6103">
        <w:r>
          <w:rPr>
            <w:color w:val="0000EE"/>
            <w:u w:val="single"/>
          </w:rPr>
          <w:t>Rm 1.4</w:t>
        </w:r>
      </w:hyperlink>
      <w:r>
        <w:t xml:space="preserve">; </w:t>
      </w:r>
      <w:hyperlink r:id="rId6892">
        <w:r>
          <w:rPr>
            <w:color w:val="0000EE"/>
            <w:u w:val="single"/>
          </w:rPr>
          <w:t>Ef 1.19–20</w:t>
        </w:r>
      </w:hyperlink>
      <w:r>
        <w:t>). Eventualmente, Ele virá com poder e grande glória (</w:t>
      </w:r>
      <w:hyperlink r:id="rId3650">
        <w:r>
          <w:rPr>
            <w:color w:val="0000EE"/>
            <w:u w:val="single"/>
          </w:rPr>
          <w:t>Mt 24.30</w:t>
        </w:r>
      </w:hyperlink>
      <w:r>
        <w:t>). Durante Sua vida na terra, Ele realizou Suas obras poderosas através do Espírito Santo (</w:t>
      </w:r>
      <w:hyperlink r:id="rId17279">
        <w:r>
          <w:rPr>
            <w:color w:val="0000EE"/>
            <w:u w:val="single"/>
          </w:rPr>
          <w:t>Lc 4.14</w:t>
        </w:r>
      </w:hyperlink>
      <w:r>
        <w:t xml:space="preserve">; </w:t>
      </w:r>
      <w:hyperlink r:id="rId8399">
        <w:r>
          <w:rPr>
            <w:color w:val="0000EE"/>
            <w:u w:val="single"/>
          </w:rPr>
          <w:t>At 10.38</w:t>
        </w:r>
      </w:hyperlink>
      <w:r>
        <w:t>).</w:t>
      </w:r>
    </w:p>
    <w:p>
      <w:pPr>
        <w:pStyle w:val="Heading3"/>
      </w:pPr>
      <w:r>
        <w:t>O poder de Deus na vida do seu Povo</w:t>
      </w:r>
    </w:p>
    <w:p>
      <w:r/>
      <w:r>
        <w:t>No Antigo Testamento, Deus frequentemente torna os fracos fortes. Ele dá poder aos que são fracos (</w:t>
      </w:r>
      <w:hyperlink r:id="rId17280">
        <w:r>
          <w:rPr>
            <w:color w:val="0000EE"/>
            <w:u w:val="single"/>
          </w:rPr>
          <w:t>Is 40.29</w:t>
        </w:r>
      </w:hyperlink>
      <w:r>
        <w:t>) para que possam se fortalecer (</w:t>
      </w:r>
      <w:hyperlink r:id="rId17281">
        <w:r>
          <w:rPr>
            <w:color w:val="0000EE"/>
            <w:u w:val="single"/>
          </w:rPr>
          <w:t>Sl 84.7</w:t>
        </w:r>
      </w:hyperlink>
      <w:r>
        <w:t xml:space="preserve">; veja também </w:t>
      </w:r>
      <w:hyperlink r:id="rId17282">
        <w:r>
          <w:rPr>
            <w:color w:val="0000EE"/>
            <w:u w:val="single"/>
          </w:rPr>
          <w:t>Sl 68.35</w:t>
        </w:r>
      </w:hyperlink>
      <w:r>
        <w:t xml:space="preserve">; </w:t>
      </w:r>
      <w:hyperlink r:id="rId17283">
        <w:r>
          <w:rPr>
            <w:color w:val="0000EE"/>
            <w:u w:val="single"/>
          </w:rPr>
          <w:t>138.3</w:t>
        </w:r>
      </w:hyperlink>
      <w:r>
        <w:t>). Seu poder é dado aos profetas (</w:t>
      </w:r>
      <w:hyperlink r:id="rId17284">
        <w:r>
          <w:rPr>
            <w:color w:val="0000EE"/>
            <w:u w:val="single"/>
          </w:rPr>
          <w:t>Mq 3.8</w:t>
        </w:r>
      </w:hyperlink>
      <w:r>
        <w:t>) e reis (</w:t>
      </w:r>
      <w:hyperlink r:id="rId4749">
        <w:r>
          <w:rPr>
            <w:color w:val="0000EE"/>
            <w:u w:val="single"/>
          </w:rPr>
          <w:t>1Sm 2.10</w:t>
        </w:r>
      </w:hyperlink>
      <w:r>
        <w:t xml:space="preserve">; </w:t>
      </w:r>
      <w:hyperlink r:id="rId17285">
        <w:r>
          <w:rPr>
            <w:color w:val="0000EE"/>
            <w:u w:val="single"/>
          </w:rPr>
          <w:t>Sl 21.1</w:t>
        </w:r>
      </w:hyperlink>
      <w:r>
        <w:t>). Seu poder será dado de maneira especial ao Messias (</w:t>
      </w:r>
      <w:hyperlink r:id="rId5463">
        <w:r>
          <w:rPr>
            <w:color w:val="0000EE"/>
            <w:u w:val="single"/>
          </w:rPr>
          <w:t>Is 9.6</w:t>
        </w:r>
      </w:hyperlink>
      <w:r>
        <w:t xml:space="preserve">; </w:t>
      </w:r>
      <w:hyperlink r:id="rId8372">
        <w:r>
          <w:rPr>
            <w:color w:val="0000EE"/>
            <w:u w:val="single"/>
          </w:rPr>
          <w:t>11.2</w:t>
        </w:r>
      </w:hyperlink>
      <w:r>
        <w:t xml:space="preserve">; </w:t>
      </w:r>
      <w:hyperlink r:id="rId17286">
        <w:r>
          <w:rPr>
            <w:color w:val="0000EE"/>
            <w:u w:val="single"/>
          </w:rPr>
          <w:t>Mq 5.4</w:t>
        </w:r>
      </w:hyperlink>
      <w:r>
        <w:t>). Mas todo o povo de Deus recebe poder para viver e servi-Lo (</w:t>
      </w:r>
      <w:hyperlink r:id="rId17287">
        <w:r>
          <w:rPr>
            <w:color w:val="0000EE"/>
            <w:u w:val="single"/>
          </w:rPr>
          <w:t>Is 49.5</w:t>
        </w:r>
      </w:hyperlink>
      <w:r>
        <w:t>).</w:t>
      </w:r>
    </w:p>
    <w:p>
      <w:r/>
      <w:r>
        <w:t>No Novo Testamento, o evangelho é descrito como o poder de Deus para salvar todos os que creem (</w:t>
      </w:r>
      <w:hyperlink r:id="rId735">
        <w:r>
          <w:rPr>
            <w:color w:val="0000EE"/>
            <w:u w:val="single"/>
          </w:rPr>
          <w:t>Rm 1.16</w:t>
        </w:r>
      </w:hyperlink>
      <w:r>
        <w:t>). “Mas a todos quantos o receberam [Jesus Cristo], aos que creram em Seu nome, deu-lhes o direito de se tornarem filhos de Deus” (</w:t>
      </w:r>
      <w:hyperlink r:id="rId9129">
        <w:r>
          <w:rPr>
            <w:color w:val="0000EE"/>
            <w:u w:val="single"/>
          </w:rPr>
          <w:t>Jo 1.12</w:t>
        </w:r>
      </w:hyperlink>
      <w:r>
        <w:t>).</w:t>
      </w:r>
    </w:p>
    <w:p>
      <w:r/>
      <w:r>
        <w:t>Como filhos de Deus, eles recebem poder do Espírito Santo (</w:t>
      </w:r>
      <w:hyperlink r:id="rId7089">
        <w:r>
          <w:rPr>
            <w:color w:val="0000EE"/>
            <w:u w:val="single"/>
          </w:rPr>
          <w:t>At 6.8</w:t>
        </w:r>
      </w:hyperlink>
      <w:r>
        <w:t>):</w:t>
      </w:r>
    </w:p>
    <w:p>
      <w:pPr>
        <w:pStyle w:val="ListBullet"/>
        <w:spacing w:line="240" w:lineRule="auto"/>
        <w:ind w:left="720"/>
      </w:pPr>
      <w:r/>
      <w:r>
        <w:t>poder para viver em seu serviço (</w:t>
      </w:r>
      <w:hyperlink r:id="rId17288">
        <w:r>
          <w:rPr>
            <w:color w:val="0000EE"/>
            <w:u w:val="single"/>
          </w:rPr>
          <w:t>Ef 3.16</w:t>
        </w:r>
      </w:hyperlink>
      <w:r>
        <w:t>);</w:t>
      </w:r>
    </w:p>
    <w:p>
      <w:pPr>
        <w:pStyle w:val="ListBullet"/>
        <w:spacing w:line="240" w:lineRule="auto"/>
        <w:ind w:left="720"/>
      </w:pPr>
      <w:r/>
      <w:r>
        <w:t>poder para serem suas testemunhas (</w:t>
      </w:r>
      <w:hyperlink r:id="rId17289">
        <w:r>
          <w:rPr>
            <w:color w:val="0000EE"/>
            <w:u w:val="single"/>
          </w:rPr>
          <w:t>Lc 24.49</w:t>
        </w:r>
      </w:hyperlink>
      <w:r>
        <w:t xml:space="preserve">; </w:t>
      </w:r>
      <w:hyperlink r:id="rId2897">
        <w:r>
          <w:rPr>
            <w:color w:val="0000EE"/>
            <w:u w:val="single"/>
          </w:rPr>
          <w:t>At 1.8</w:t>
        </w:r>
      </w:hyperlink>
      <w:r>
        <w:t>);</w:t>
      </w:r>
    </w:p>
    <w:p>
      <w:pPr>
        <w:pStyle w:val="ListBullet"/>
        <w:spacing w:line="240" w:lineRule="auto"/>
        <w:ind w:left="720"/>
      </w:pPr>
      <w:r/>
      <w:r>
        <w:t>poder para suportar o sofrimento (</w:t>
      </w:r>
      <w:hyperlink r:id="rId17290">
        <w:r>
          <w:rPr>
            <w:color w:val="0000EE"/>
            <w:u w:val="single"/>
          </w:rPr>
          <w:t>2Tm 1.8</w:t>
        </w:r>
      </w:hyperlink>
      <w:r>
        <w:t>);</w:t>
      </w:r>
    </w:p>
    <w:p>
      <w:pPr>
        <w:pStyle w:val="ListBullet"/>
        <w:spacing w:line="240" w:lineRule="auto"/>
        <w:ind w:left="720"/>
      </w:pPr>
      <w:r/>
      <w:r>
        <w:t>poder para o ministério (</w:t>
      </w:r>
      <w:hyperlink r:id="rId17291">
        <w:r>
          <w:rPr>
            <w:color w:val="0000EE"/>
            <w:u w:val="single"/>
          </w:rPr>
          <w:t>Ef 3.7</w:t>
        </w:r>
      </w:hyperlink>
      <w:r>
        <w:t>);</w:t>
      </w:r>
    </w:p>
    <w:p>
      <w:pPr>
        <w:pStyle w:val="ListBullet"/>
        <w:spacing w:line="240" w:lineRule="auto"/>
        <w:ind w:left="720"/>
      </w:pPr>
      <w:r/>
      <w:r>
        <w:t>poder na face da fraqueza (</w:t>
      </w:r>
      <w:hyperlink r:id="rId17292">
        <w:r>
          <w:rPr>
            <w:color w:val="0000EE"/>
            <w:u w:val="single"/>
          </w:rPr>
          <w:t>2Co 12.9</w:t>
        </w:r>
      </w:hyperlink>
      <w:r>
        <w:t>);</w:t>
      </w:r>
    </w:p>
    <w:p>
      <w:pPr>
        <w:pStyle w:val="ListBullet"/>
        <w:spacing w:line="240" w:lineRule="auto"/>
        <w:ind w:left="720"/>
      </w:pPr>
      <w:r/>
      <w:r>
        <w:t>poder através da oração (</w:t>
      </w:r>
      <w:hyperlink r:id="rId17293">
        <w:r>
          <w:rPr>
            <w:color w:val="0000EE"/>
            <w:u w:val="single"/>
          </w:rPr>
          <w:t>Tg 5.16</w:t>
        </w:r>
      </w:hyperlink>
      <w:r>
        <w:t>);</w:t>
      </w:r>
    </w:p>
    <w:p>
      <w:pPr>
        <w:pStyle w:val="ListBullet"/>
        <w:spacing w:line="240" w:lineRule="auto"/>
        <w:ind w:left="720"/>
      </w:pPr>
      <w:r/>
      <w:r>
        <w:t>poder para ser guardado do mal (</w:t>
      </w:r>
      <w:hyperlink r:id="rId16743">
        <w:r>
          <w:rPr>
            <w:color w:val="0000EE"/>
            <w:u w:val="single"/>
          </w:rPr>
          <w:t>1Pe 1.5</w:t>
        </w:r>
      </w:hyperlink>
      <w:r>
        <w:t>).</w:t>
      </w:r>
    </w:p>
    <w:p>
      <w:r/>
      <w:r>
        <w:t>Aqueles que realizam grandes feitos por Cristo não o fazem por conta própria (</w:t>
      </w:r>
      <w:hyperlink r:id="rId17294">
        <w:r>
          <w:rPr>
            <w:color w:val="0000EE"/>
            <w:u w:val="single"/>
          </w:rPr>
          <w:t>At 3.12</w:t>
        </w:r>
      </w:hyperlink>
      <w:r>
        <w:t>). Eles partem sabendo que tudo está sob Seu controle e que Ele sempre estará com eles (</w:t>
      </w:r>
      <w:hyperlink r:id="rId8032">
        <w:r>
          <w:rPr>
            <w:color w:val="0000EE"/>
            <w:u w:val="single"/>
          </w:rPr>
          <w:t>Mt 28.18–20</w:t>
        </w:r>
      </w:hyperlink>
      <w:r>
        <w:t>).</w:t>
      </w:r>
    </w:p>
    <w:p>
      <w:r/>
      <w:r>
        <w:rPr>
          <w:i/>
        </w:rPr>
        <w:t>Veja também</w:t>
      </w:r>
      <w:r>
        <w:t xml:space="preserve"> </w:t>
      </w:r>
      <w:r>
        <w:t>Deus, Ser e seus atributos</w:t>
      </w:r>
      <w:r>
        <w:t xml:space="preserve">; </w:t>
      </w:r>
      <w:r>
        <w:t>Principados e potestades</w:t>
      </w:r>
      <w:r>
        <w:t>.</w:t>
      </w:r>
      <w:r/>
      <w:r/>
    </w:p>
    <w:p>
      <w:r/>
    </w:p>
    <w:p>
      <w:pPr>
        <w:pStyle w:val="Heading2"/>
      </w:pPr>
      <w:r>
        <w:t>Poesia, bíblica</w:t>
      </w:r>
      <w:r/>
    </w:p>
    <w:p>
      <w:r/>
      <w:r>
        <w:t>Linguagem poética nas Escrituras.</w:t>
      </w:r>
    </w:p>
    <w:p>
      <w:pPr>
        <w:pStyle w:val="Heading3"/>
      </w:pPr>
      <w:r>
        <w:t>No Antigo Testamento</w:t>
      </w:r>
    </w:p>
    <w:p>
      <w:r/>
      <w:r>
        <w:t>O AT contém tudo o que sabemos sobre a poesia de Israel, e o que temos ocupa um lugar importante nessa literatura. Presumivelmente, era bem conhecida em todo o antigo Oriente Próximo, pois sua fama havia se espalhado até Babilônia (</w:t>
      </w:r>
      <w:hyperlink r:id="rId14930">
        <w:r>
          <w:rPr>
            <w:color w:val="0000EE"/>
            <w:u w:val="single"/>
          </w:rPr>
          <w:t>Sl 137.3</w:t>
        </w:r>
      </w:hyperlink>
      <w:r>
        <w:t>). Grande parte do AT é poética em espírito e estrutura — uma característica dos escritos proféticos, bem como da literatura poética. Nos primeiros, encontram-se passagens de poesia elevada, pontilhadas com brilhantes gemas de imaginação. O movimento é rítmico, com métrica, paralelismo e arranjo estrófico, como nos livros de poesia.</w:t>
      </w:r>
    </w:p>
    <w:p>
      <w:r/>
      <w:r>
        <w:t>Algumas Bíblia como a NVI e a NAA apresentam a poesia do AT (não somente os salmos) em linhas paralelas. Quando isso não é feito na literatura profética, a qualidade poética desses livros fica obscurecida. Note que, além dos livros do AT reconhecidos como poesia — Salmos, Jó, Lamentações, Cântico dos Cânticos e Provérbios — Eclesiastes e os Profetas consistem em prosa e poesia. Os livros históricos também contêm bons exemplos de poesia.</w:t>
      </w:r>
    </w:p>
    <w:p>
      <w:r/>
      <w:r>
        <w:t>A língua hebraica era um instrumento ideal para expressar a fala poética. Sua simplicidade de forma combinava intensidade de sentimento e poder pictórico, permitindo um grande jogo de imaginação. Figuras, metáforas e hipérboles são extremamente comuns. Na sua poderosa expressão imaginária, o gênio da poesia hebraica encontra sua melhor expressão.</w:t>
      </w:r>
    </w:p>
    <w:p>
      <w:r/>
      <w:r>
        <w:t>A unidade normal do versículo hebraico é o conjunto de duas linhas paralelas. No entanto, este não é o único agrupamento de linhas na poesia hebraica. Existem unidades de três (</w:t>
      </w:r>
      <w:hyperlink r:id="rId17295">
        <w:r>
          <w:rPr>
            <w:color w:val="0000EE"/>
            <w:u w:val="single"/>
          </w:rPr>
          <w:t>Sl 1.1</w:t>
        </w:r>
      </w:hyperlink>
      <w:r>
        <w:t xml:space="preserve">; </w:t>
      </w:r>
      <w:hyperlink r:id="rId17296">
        <w:r>
          <w:rPr>
            <w:color w:val="0000EE"/>
            <w:u w:val="single"/>
          </w:rPr>
          <w:t>5.11</w:t>
        </w:r>
      </w:hyperlink>
      <w:r>
        <w:t xml:space="preserve">; </w:t>
      </w:r>
      <w:hyperlink r:id="rId17297">
        <w:r>
          <w:rPr>
            <w:color w:val="0000EE"/>
            <w:u w:val="single"/>
          </w:rPr>
          <w:t>45.1–2</w:t>
        </w:r>
      </w:hyperlink>
      <w:r>
        <w:t>), quatro (</w:t>
      </w:r>
      <w:hyperlink r:id="rId597">
        <w:r>
          <w:rPr>
            <w:color w:val="0000EE"/>
            <w:u w:val="single"/>
          </w:rPr>
          <w:t>Sl 1.3</w:t>
        </w:r>
      </w:hyperlink>
      <w:r>
        <w:t xml:space="preserve">; </w:t>
      </w:r>
      <w:hyperlink r:id="rId17298">
        <w:r>
          <w:rPr>
            <w:color w:val="0000EE"/>
            <w:u w:val="single"/>
          </w:rPr>
          <w:t>55.21</w:t>
        </w:r>
      </w:hyperlink>
      <w:r>
        <w:t xml:space="preserve">; </w:t>
      </w:r>
      <w:hyperlink r:id="rId17299">
        <w:r>
          <w:rPr>
            <w:color w:val="0000EE"/>
            <w:u w:val="single"/>
          </w:rPr>
          <w:t>Pv 27.15–16</w:t>
        </w:r>
      </w:hyperlink>
      <w:r>
        <w:t>), cinco (</w:t>
      </w:r>
      <w:hyperlink r:id="rId17300">
        <w:r>
          <w:rPr>
            <w:color w:val="0000EE"/>
            <w:u w:val="single"/>
          </w:rPr>
          <w:t>Sl 6.6–7</w:t>
        </w:r>
      </w:hyperlink>
      <w:r>
        <w:t xml:space="preserve">; </w:t>
      </w:r>
      <w:hyperlink r:id="rId17301">
        <w:r>
          <w:rPr>
            <w:color w:val="0000EE"/>
            <w:u w:val="single"/>
          </w:rPr>
          <w:t>Pv 24.23–25</w:t>
        </w:r>
      </w:hyperlink>
      <w:r>
        <w:t>), seis (</w:t>
      </w:r>
      <w:hyperlink r:id="rId17302">
        <w:r>
          <w:rPr>
            <w:color w:val="0000EE"/>
            <w:u w:val="single"/>
          </w:rPr>
          <w:t>Sl 99.1–3</w:t>
        </w:r>
      </w:hyperlink>
      <w:r>
        <w:t xml:space="preserve">; </w:t>
      </w:r>
      <w:hyperlink r:id="rId17303">
        <w:r>
          <w:rPr>
            <w:color w:val="0000EE"/>
            <w:u w:val="single"/>
          </w:rPr>
          <w:t>Pv 30.21–23</w:t>
        </w:r>
      </w:hyperlink>
      <w:r>
        <w:t>), e até mesmo combinações maiores de linhas paralelas.</w:t>
      </w:r>
    </w:p>
    <w:p>
      <w:r/>
      <w:r>
        <w:t>Até onde se pode determinar, a métrica está ausente na poesia bíblica. Certamente há pouca preocupação com a métrica cuidadosa que marca a poesia clássica grega e latina, assim como grande parte da poesia em português. A única exceção é encontrada em canções de lamento ou lamentações (</w:t>
      </w:r>
      <w:hyperlink r:id="rId17304">
        <w:r>
          <w:rPr>
            <w:color w:val="0000EE"/>
            <w:u w:val="single"/>
          </w:rPr>
          <w:t>Jr 9.18–20</w:t>
        </w:r>
      </w:hyperlink>
      <w:r>
        <w:t xml:space="preserve">; </w:t>
      </w:r>
      <w:hyperlink r:id="rId277">
        <w:r>
          <w:rPr>
            <w:color w:val="0000EE"/>
            <w:u w:val="single"/>
          </w:rPr>
          <w:t>Lm 1–4</w:t>
        </w:r>
      </w:hyperlink>
      <w:r>
        <w:t>). Isso é chamado de métrica de lamentação, onde o versículo está em duas partes. A rima também é tão rara que é quase inexistente.</w:t>
      </w:r>
    </w:p>
    <w:p>
      <w:r/>
      <w:r>
        <w:t>Por outro lado, a poesia hebraica é rítmica, uma de suas características distintivas. Seu ritmo se repete com sílabas tônicas e átonas em sucessão relativamente regular. Geralmente, há três ou quatro acentos ou batidas por linha, mas a unidade rítmica não é uniforme. O ritmo na poesia hebraica, no entanto, não se limita ao equilíbrio de acentos ou batidas em uma linha. O significado das palavras e sua posição na linha também são significativos, uma característica chamada paralelismo. Essa característica distintiva foi claramente reconhecida pela primeira vez pelo Dr. Robert Lowth, que em 1753 desenvolveu o princípio do paralelismo.</w:t>
      </w:r>
    </w:p>
    <w:p>
      <w:r/>
      <w:r>
        <w:t xml:space="preserve">Ele distinguiu três tipos. O primeiro é o </w:t>
      </w:r>
      <w:r>
        <w:rPr>
          <w:i/>
        </w:rPr>
        <w:t>paralelismo sinônimo,</w:t>
      </w:r>
      <w:r>
        <w:t xml:space="preserve"> onde o pensamento expresso na primeira parte do versículo é repetido na segunda parte, em termos diferentes mas equivalentes (</w:t>
      </w:r>
      <w:hyperlink r:id="rId17305">
        <w:r>
          <w:rPr>
            <w:color w:val="0000EE"/>
            <w:u w:val="single"/>
          </w:rPr>
          <w:t>Sl 2.4</w:t>
        </w:r>
      </w:hyperlink>
      <w:r>
        <w:t xml:space="preserve">; </w:t>
      </w:r>
      <w:hyperlink r:id="rId6896">
        <w:r>
          <w:rPr>
            <w:color w:val="0000EE"/>
            <w:u w:val="single"/>
          </w:rPr>
          <w:t>19.1</w:t>
        </w:r>
      </w:hyperlink>
      <w:r>
        <w:t xml:space="preserve">; </w:t>
      </w:r>
      <w:hyperlink r:id="rId17306">
        <w:r>
          <w:rPr>
            <w:color w:val="0000EE"/>
            <w:u w:val="single"/>
          </w:rPr>
          <w:t>36.1–2</w:t>
        </w:r>
      </w:hyperlink>
      <w:r>
        <w:t xml:space="preserve">; </w:t>
      </w:r>
      <w:hyperlink r:id="rId17307">
        <w:r>
          <w:rPr>
            <w:color w:val="0000EE"/>
            <w:u w:val="single"/>
          </w:rPr>
          <w:t>103.11–12</w:t>
        </w:r>
      </w:hyperlink>
      <w:r>
        <w:t xml:space="preserve">; </w:t>
      </w:r>
      <w:hyperlink r:id="rId8096">
        <w:r>
          <w:rPr>
            <w:color w:val="0000EE"/>
            <w:u w:val="single"/>
          </w:rPr>
          <w:t>Pv 3.13–18</w:t>
        </w:r>
      </w:hyperlink>
      <w:r>
        <w:t xml:space="preserve">). O segundo é o </w:t>
      </w:r>
      <w:r>
        <w:rPr>
          <w:i/>
        </w:rPr>
        <w:t>paralelismo antitético,</w:t>
      </w:r>
      <w:r>
        <w:t xml:space="preserve"> onde o pensamento na primeira parte do versículo é contrastado com seu oposto na segunda (</w:t>
      </w:r>
      <w:hyperlink r:id="rId17308">
        <w:r>
          <w:rPr>
            <w:color w:val="0000EE"/>
            <w:u w:val="single"/>
          </w:rPr>
          <w:t>Sl 1.6</w:t>
        </w:r>
      </w:hyperlink>
      <w:r>
        <w:t xml:space="preserve">; </w:t>
      </w:r>
      <w:hyperlink r:id="rId17309">
        <w:r>
          <w:rPr>
            <w:color w:val="0000EE"/>
            <w:u w:val="single"/>
          </w:rPr>
          <w:t>Pv 10.1–4,16–18</w:t>
        </w:r>
      </w:hyperlink>
      <w:r>
        <w:t xml:space="preserve">; </w:t>
      </w:r>
      <w:hyperlink r:id="rId12716">
        <w:r>
          <w:rPr>
            <w:color w:val="0000EE"/>
            <w:u w:val="single"/>
          </w:rPr>
          <w:t>13.9</w:t>
        </w:r>
      </w:hyperlink>
      <w:r>
        <w:t xml:space="preserve">). O terceiro é o </w:t>
      </w:r>
      <w:r>
        <w:rPr>
          <w:i/>
        </w:rPr>
        <w:t>paralelismo sintético,</w:t>
      </w:r>
      <w:r>
        <w:t xml:space="preserve"> onde a ideia expressa na primeira linha de um versículo é desenvolvida e completada nas linhas seguintes (</w:t>
      </w:r>
      <w:hyperlink r:id="rId17295">
        <w:r>
          <w:rPr>
            <w:color w:val="0000EE"/>
            <w:u w:val="single"/>
          </w:rPr>
          <w:t>Sl 1.1</w:t>
        </w:r>
      </w:hyperlink>
      <w:r>
        <w:t xml:space="preserve">; </w:t>
      </w:r>
      <w:hyperlink r:id="rId17310">
        <w:r>
          <w:rPr>
            <w:color w:val="0000EE"/>
            <w:u w:val="single"/>
          </w:rPr>
          <w:t>3.5–6</w:t>
        </w:r>
      </w:hyperlink>
      <w:r>
        <w:t xml:space="preserve">; </w:t>
      </w:r>
      <w:hyperlink r:id="rId17311">
        <w:r>
          <w:rPr>
            <w:color w:val="0000EE"/>
            <w:u w:val="single"/>
          </w:rPr>
          <w:t>18.8–10</w:t>
        </w:r>
      </w:hyperlink>
      <w:r>
        <w:t xml:space="preserve">; </w:t>
      </w:r>
      <w:hyperlink r:id="rId7241">
        <w:r>
          <w:rPr>
            <w:color w:val="0000EE"/>
            <w:u w:val="single"/>
          </w:rPr>
          <w:t>Pv 26.3</w:t>
        </w:r>
      </w:hyperlink>
      <w:r>
        <w:t>). Existem formas mais complicadas de paralelismo, mas essas três são as mais comuns.</w:t>
      </w:r>
    </w:p>
    <w:p>
      <w:r/>
      <w:r>
        <w:t>Outra característica da poesia bíblica é o uso das letras do alfabeto hebraico. Salmos em que os versos são ligados dessa forma são chamados de acrósticos. Hoje, um acróstico é formado ao se pegar um nome e iniciar as linhas sucessivas do poema curto com as letras que compõem o nome. Os hebreus usavam apenas o alfabeto e organizavam as linhas do poema de acordo com a sequência das letras.</w:t>
      </w:r>
    </w:p>
    <w:p>
      <w:r/>
      <w:r>
        <w:t xml:space="preserve">Cada linha de um salmo pode começar com uma letra diferente, como no </w:t>
      </w:r>
      <w:hyperlink r:id="rId269">
        <w:r>
          <w:rPr>
            <w:color w:val="0000EE"/>
            <w:u w:val="single"/>
          </w:rPr>
          <w:t>Salmo 25</w:t>
        </w:r>
      </w:hyperlink>
      <w:r>
        <w:t xml:space="preserve">. Ou cada uma das estrofes pode começar com a mesma letra até que todas as 22 letras do alfabeto sejam esgotadas, como no </w:t>
      </w:r>
      <w:hyperlink r:id="rId274">
        <w:r>
          <w:rPr>
            <w:color w:val="0000EE"/>
            <w:u w:val="single"/>
          </w:rPr>
          <w:t>Salmo 119</w:t>
        </w:r>
      </w:hyperlink>
      <w:r>
        <w:t xml:space="preserve">. No entanto, este salmo, que é o exemplo mais notável de um poema acróstico hebraico, é bastante complicado em sua disposição. Não apenas cada estrofe começa com uma letra, mas cada uma das oito linhas de cada estrofe começa com a mesma letra, de modo que oito arranjos alfabéticos percorrem o salmo em linhas paralelas. Outros acrósticos elaborados são os </w:t>
      </w:r>
      <w:hyperlink r:id="rId267">
        <w:r>
          <w:rPr>
            <w:color w:val="0000EE"/>
            <w:u w:val="single"/>
          </w:rPr>
          <w:t>Salmos 9</w:t>
        </w:r>
      </w:hyperlink>
      <w:r>
        <w:t xml:space="preserve">, </w:t>
      </w:r>
      <w:hyperlink r:id="rId268">
        <w:r>
          <w:rPr>
            <w:color w:val="0000EE"/>
            <w:u w:val="single"/>
          </w:rPr>
          <w:t>10</w:t>
        </w:r>
      </w:hyperlink>
      <w:r>
        <w:t xml:space="preserve">, </w:t>
      </w:r>
      <w:hyperlink r:id="rId270">
        <w:r>
          <w:rPr>
            <w:color w:val="0000EE"/>
            <w:u w:val="single"/>
          </w:rPr>
          <w:t>34</w:t>
        </w:r>
      </w:hyperlink>
      <w:r>
        <w:t xml:space="preserve">, </w:t>
      </w:r>
      <w:hyperlink r:id="rId271">
        <w:r>
          <w:rPr>
            <w:color w:val="0000EE"/>
            <w:u w:val="single"/>
          </w:rPr>
          <w:t>37</w:t>
        </w:r>
      </w:hyperlink>
      <w:r>
        <w:t xml:space="preserve">, </w:t>
      </w:r>
      <w:hyperlink r:id="rId272">
        <w:r>
          <w:rPr>
            <w:color w:val="0000EE"/>
            <w:u w:val="single"/>
          </w:rPr>
          <w:t>111</w:t>
        </w:r>
      </w:hyperlink>
      <w:r>
        <w:t xml:space="preserve">, </w:t>
      </w:r>
      <w:hyperlink r:id="rId273">
        <w:r>
          <w:rPr>
            <w:color w:val="0000EE"/>
            <w:u w:val="single"/>
          </w:rPr>
          <w:t>112</w:t>
        </w:r>
      </w:hyperlink>
      <w:r>
        <w:t xml:space="preserve"> e </w:t>
      </w:r>
      <w:hyperlink r:id="rId275">
        <w:r>
          <w:rPr>
            <w:color w:val="0000EE"/>
            <w:u w:val="single"/>
          </w:rPr>
          <w:t>145</w:t>
        </w:r>
      </w:hyperlink>
      <w:r>
        <w:t>.</w:t>
      </w:r>
    </w:p>
    <w:p>
      <w:r/>
      <w:r>
        <w:t xml:space="preserve">Os primeiros quatro capítulos de Lamentações também seguem um arranjo acróstico. Este exemplo de arranjo acróstico é menos perceptível para o leitor em português porque os nomes das letras hebraicas não marcam o início das estrofes. Em </w:t>
      </w:r>
      <w:hyperlink r:id="rId17312">
        <w:r>
          <w:rPr>
            <w:color w:val="0000EE"/>
            <w:u w:val="single"/>
          </w:rPr>
          <w:t>Lamentações 3</w:t>
        </w:r>
      </w:hyperlink>
      <w:r>
        <w:t xml:space="preserve">, cada letra do alfabeto inicia três linhas sucessivas numeradas como versículos. Outro acróstico ocorre em </w:t>
      </w:r>
      <w:hyperlink r:id="rId276">
        <w:r>
          <w:rPr>
            <w:color w:val="0000EE"/>
            <w:u w:val="single"/>
          </w:rPr>
          <w:t>Provérbios 31.10–31</w:t>
        </w:r>
      </w:hyperlink>
      <w:r>
        <w:t>. É uma descrição alfabética da mulher virtuosa.</w:t>
      </w:r>
    </w:p>
    <w:p>
      <w:r/>
      <w:r>
        <w:t xml:space="preserve">Outro recurso poético que dá unidade a um poema e marca suas divisões é o refrão. </w:t>
      </w:r>
      <w:hyperlink r:id="rId1160">
        <w:r>
          <w:rPr>
            <w:color w:val="0000EE"/>
            <w:u w:val="single"/>
          </w:rPr>
          <w:t>Salmo 136</w:t>
        </w:r>
      </w:hyperlink>
      <w:r>
        <w:t xml:space="preserve"> é um exemplo notável desse arranjo. O refrão é “Seu amor fiel dura para sempre” e é usado para concluir cada versículo.</w:t>
      </w:r>
    </w:p>
    <w:p>
      <w:r/>
      <w:r>
        <w:t>A metrica da poesia hebraica depende da acentuação; a unidade é um dístico (conjunto de duas linhas paralelas), no qual os membros podem ter comprimento igual ou variável. Os dísticos são frequentemente organizados em estrofes. A categoria fundamental da poesia hebraica é a canção ou lírica. A canção era acompanhada por música (</w:t>
      </w:r>
      <w:hyperlink r:id="rId14919">
        <w:r>
          <w:rPr>
            <w:color w:val="0000EE"/>
            <w:u w:val="single"/>
          </w:rPr>
          <w:t>Gn 31.27</w:t>
        </w:r>
      </w:hyperlink>
      <w:r>
        <w:t xml:space="preserve">; </w:t>
      </w:r>
      <w:hyperlink r:id="rId6637">
        <w:r>
          <w:rPr>
            <w:color w:val="0000EE"/>
            <w:u w:val="single"/>
          </w:rPr>
          <w:t>Êx 15.20</w:t>
        </w:r>
      </w:hyperlink>
      <w:r>
        <w:t xml:space="preserve">; </w:t>
      </w:r>
      <w:hyperlink r:id="rId17313">
        <w:r>
          <w:rPr>
            <w:color w:val="0000EE"/>
            <w:u w:val="single"/>
          </w:rPr>
          <w:t>1Cr 25.6</w:t>
        </w:r>
      </w:hyperlink>
      <w:r>
        <w:t xml:space="preserve">; </w:t>
      </w:r>
      <w:hyperlink r:id="rId17314">
        <w:r>
          <w:rPr>
            <w:color w:val="0000EE"/>
            <w:u w:val="single"/>
          </w:rPr>
          <w:t>Is 23.16</w:t>
        </w:r>
      </w:hyperlink>
      <w:r>
        <w:t xml:space="preserve">; </w:t>
      </w:r>
      <w:hyperlink r:id="rId5654">
        <w:r>
          <w:rPr>
            <w:color w:val="0000EE"/>
            <w:u w:val="single"/>
          </w:rPr>
          <w:t>30.29</w:t>
        </w:r>
      </w:hyperlink>
      <w:r>
        <w:t xml:space="preserve">; </w:t>
      </w:r>
      <w:hyperlink r:id="rId17315">
        <w:r>
          <w:rPr>
            <w:color w:val="0000EE"/>
            <w:u w:val="single"/>
          </w:rPr>
          <w:t>Am 6.5</w:t>
        </w:r>
      </w:hyperlink>
      <w:r>
        <w:t>) e podia ser associada à dança (</w:t>
      </w:r>
      <w:hyperlink r:id="rId14887">
        <w:r>
          <w:rPr>
            <w:color w:val="0000EE"/>
            <w:u w:val="single"/>
          </w:rPr>
          <w:t>Êx 15.20–21</w:t>
        </w:r>
      </w:hyperlink>
      <w:r>
        <w:t>).</w:t>
      </w:r>
    </w:p>
    <w:p>
      <w:r/>
      <w:r>
        <w:t>Alguns poemas completos no AT estão embutidos nos livros narrativos e representam vários tipos de poemas hebraicos. O primeiro poema registrado na Bíblia é uma canção de batalha (</w:t>
      </w:r>
      <w:hyperlink r:id="rId12699">
        <w:r>
          <w:rPr>
            <w:color w:val="0000EE"/>
            <w:u w:val="single"/>
          </w:rPr>
          <w:t>Gn 4.23–24</w:t>
        </w:r>
      </w:hyperlink>
      <w:r>
        <w:t>). Outros exemplos famosos desse tipo são o Cântico de Moisés (</w:t>
      </w:r>
      <w:hyperlink r:id="rId4185">
        <w:r>
          <w:rPr>
            <w:color w:val="0000EE"/>
            <w:u w:val="single"/>
          </w:rPr>
          <w:t>Êx 15.1–18</w:t>
        </w:r>
      </w:hyperlink>
      <w:r>
        <w:t>) e o Cântico de Débora (</w:t>
      </w:r>
      <w:hyperlink r:id="rId4184">
        <w:r>
          <w:rPr>
            <w:color w:val="0000EE"/>
            <w:u w:val="single"/>
          </w:rPr>
          <w:t>Jz 5.1–31</w:t>
        </w:r>
      </w:hyperlink>
      <w:r>
        <w:t>). Depois, há a Canção de Escárnio (</w:t>
      </w:r>
      <w:hyperlink r:id="rId1221">
        <w:r>
          <w:rPr>
            <w:color w:val="0000EE"/>
            <w:u w:val="single"/>
          </w:rPr>
          <w:t>Nm 21.27–30</w:t>
        </w:r>
      </w:hyperlink>
      <w:r>
        <w:t xml:space="preserve">), o Cântico do Poço (vv </w:t>
      </w:r>
      <w:hyperlink r:id="rId3298">
        <w:r>
          <w:rPr>
            <w:color w:val="0000EE"/>
            <w:u w:val="single"/>
          </w:rPr>
          <w:t>17–18</w:t>
        </w:r>
      </w:hyperlink>
      <w:r>
        <w:t>), e canções de bênção. Deste último tipo, exemplos bem conhecidos são a Bênção de Jacó (</w:t>
      </w:r>
      <w:hyperlink r:id="rId17316">
        <w:r>
          <w:rPr>
            <w:color w:val="0000EE"/>
            <w:u w:val="single"/>
          </w:rPr>
          <w:t>Gn 49.1–27</w:t>
        </w:r>
      </w:hyperlink>
      <w:r>
        <w:t>), a Bênção de Moisés (</w:t>
      </w:r>
      <w:hyperlink r:id="rId17317">
        <w:r>
          <w:rPr>
            <w:color w:val="0000EE"/>
            <w:u w:val="single"/>
          </w:rPr>
          <w:t>Dt 33.2–29</w:t>
        </w:r>
      </w:hyperlink>
      <w:r>
        <w:t>), e as quatro Bênçãos de Balaão (</w:t>
      </w:r>
      <w:hyperlink r:id="rId17318">
        <w:r>
          <w:rPr>
            <w:color w:val="0000EE"/>
            <w:u w:val="single"/>
          </w:rPr>
          <w:t>Nm 23.7–10</w:t>
        </w:r>
      </w:hyperlink>
      <w:r>
        <w:t xml:space="preserve">; </w:t>
      </w:r>
      <w:hyperlink r:id="rId17319">
        <w:r>
          <w:rPr>
            <w:color w:val="0000EE"/>
            <w:u w:val="single"/>
          </w:rPr>
          <w:t>23.18–24</w:t>
        </w:r>
      </w:hyperlink>
      <w:r>
        <w:t xml:space="preserve">; </w:t>
      </w:r>
      <w:hyperlink r:id="rId17320">
        <w:r>
          <w:rPr>
            <w:color w:val="0000EE"/>
            <w:u w:val="single"/>
          </w:rPr>
          <w:t>24.3–9</w:t>
        </w:r>
      </w:hyperlink>
      <w:r>
        <w:t xml:space="preserve">; </w:t>
      </w:r>
      <w:hyperlink r:id="rId17321">
        <w:r>
          <w:rPr>
            <w:color w:val="0000EE"/>
            <w:u w:val="single"/>
          </w:rPr>
          <w:t>24.15–24</w:t>
        </w:r>
      </w:hyperlink>
      <w:r>
        <w:t>). Há também lamentos pelos mortos (</w:t>
      </w:r>
      <w:hyperlink r:id="rId17322">
        <w:r>
          <w:rPr>
            <w:color w:val="0000EE"/>
            <w:u w:val="single"/>
          </w:rPr>
          <w:t>2Sm 1.19–27</w:t>
        </w:r>
      </w:hyperlink>
      <w:r>
        <w:t>) e poemas didáticos que alertam contra a imprudência (</w:t>
      </w:r>
      <w:hyperlink r:id="rId17323">
        <w:r>
          <w:rPr>
            <w:color w:val="0000EE"/>
            <w:u w:val="single"/>
          </w:rPr>
          <w:t>Pv 6.6–11</w:t>
        </w:r>
      </w:hyperlink>
      <w:r>
        <w:t>) e a embriaguez (</w:t>
      </w:r>
      <w:hyperlink r:id="rId17324">
        <w:r>
          <w:rPr>
            <w:color w:val="0000EE"/>
            <w:u w:val="single"/>
          </w:rPr>
          <w:t>23.29–35</w:t>
        </w:r>
      </w:hyperlink>
      <w:r>
        <w:t>). Comum em todos esses vários tipos de poemas é a emoção religiosa e o fervor. As canções de Moisés e Débora louvam a Deus como o doador da vitória.</w:t>
      </w:r>
    </w:p>
    <w:p>
      <w:r/>
      <w:r>
        <w:t>A maioria dos poemas de fervor religioso distintivo caracteriza a adoração no santuário. Os salmos são poemas religiosos cantados com acompanhamento musical. Muitos são orações privadas, enquanto outros foram compostos para o culto público, especialmente hinos de agradecimento cantados no tabernáculo ou templo. É no Saltério que o espírito elevado da poesia hebraica atinge um nível nunca alcançado pelos vizinhos pagãos de Israel; os hebreus adoravam a Deus em espírito e em verdade, e ao fazê-lo, expressavam uma experiência pessoal do Deus vivo em sua alma.</w:t>
      </w:r>
    </w:p>
    <w:p>
      <w:r/>
      <w:r>
        <w:t>As qualidades internas da poesia hebraica são em parte influenciadas pela época, condições sociais e ambiente em que os escritores viviam. Embora o AT seja de autoria divina, ele também se enquadra no âmbito da literatura e deve ser apreciado como tal. Mesmo que o Espírito Santo tenha inspirado a mensagem dos escritores hebraicos, seus estilos de escrita individuais permanecem claramente evidentes. Usando uma dicção simples e vívida, figuras de linguagem e recursos literários, cada poeta expressou uma riqueza de pensamento religioso, experiência e emoção; símile, metáfora, alegoria, hipérbole, personificação, ironia e jogos de palavras enriqueceram de várias formas o padrão de pensamento de cada escritor. A poesia hebraica é a expressão do espírito humano do poeta e é a literatura do Apocalipse — a Palavra de Deus para a humanidade.</w:t>
      </w:r>
    </w:p>
    <w:p>
      <w:pPr>
        <w:pStyle w:val="Heading3"/>
      </w:pPr>
      <w:r>
        <w:t>No Novo Testamento</w:t>
      </w:r>
    </w:p>
    <w:p>
      <w:r/>
      <w:r>
        <w:t>O NT tem um número limitado de passagens poéticas. Provavelmente o NT contém menos poesia do que o AT (relativamente falando) porque os primeiros cristãos consideravam o Saltério do AT (em hebraico e LXX) adequado para seus propósitos devocionais. Todos os escritores do NT eram judeus, exceto Lucas. Ele nos deu alguns poemas memoráveis: o Magnificat (</w:t>
      </w:r>
      <w:hyperlink r:id="rId11693">
        <w:r>
          <w:rPr>
            <w:color w:val="0000EE"/>
            <w:u w:val="single"/>
          </w:rPr>
          <w:t>Lc 1.46–55</w:t>
        </w:r>
      </w:hyperlink>
      <w:r>
        <w:t xml:space="preserve">), o Benedictus (vv </w:t>
      </w:r>
      <w:hyperlink r:id="rId14981">
        <w:r>
          <w:rPr>
            <w:color w:val="0000EE"/>
            <w:u w:val="single"/>
          </w:rPr>
          <w:t>68–79</w:t>
        </w:r>
      </w:hyperlink>
      <w:r>
        <w:t>) e o Nunc Dimittis (</w:t>
      </w:r>
      <w:hyperlink r:id="rId2880">
        <w:r>
          <w:rPr>
            <w:color w:val="0000EE"/>
            <w:u w:val="single"/>
          </w:rPr>
          <w:t>2.29–32</w:t>
        </w:r>
      </w:hyperlink>
      <w:r>
        <w:t>). Curiosamente, esses poemas são fortemente hebraicos em forma, caráter e conteúdo. Mateus nos deu as poéticas Bem-aventuranças (</w:t>
      </w:r>
      <w:hyperlink r:id="rId11719">
        <w:r>
          <w:rPr>
            <w:color w:val="0000EE"/>
            <w:u w:val="single"/>
          </w:rPr>
          <w:t>Mt 5.3–12</w:t>
        </w:r>
      </w:hyperlink>
      <w:r>
        <w:t xml:space="preserve">). Essas Bem-aventuranças têm o paralelismo que é comum na poesia do AT — especificamente, o paralelismo sintético (onde a segunda linha de cada versículo completa o significado da primeira linha). Há também uma qualidade rítmica definida em </w:t>
      </w:r>
      <w:hyperlink r:id="rId8703">
        <w:r>
          <w:rPr>
            <w:color w:val="0000EE"/>
            <w:u w:val="single"/>
          </w:rPr>
          <w:t>Mateus 11.28–30</w:t>
        </w:r>
      </w:hyperlink>
      <w:r>
        <w:t>. O Prólogo de João ao seu Evangelho de João (</w:t>
      </w:r>
      <w:hyperlink r:id="rId8034">
        <w:r>
          <w:rPr>
            <w:color w:val="0000EE"/>
            <w:u w:val="single"/>
          </w:rPr>
          <w:t>1.1–18</w:t>
        </w:r>
      </w:hyperlink>
      <w:r>
        <w:t>) é um excelente exemplo de poesia helenística.</w:t>
      </w:r>
    </w:p>
    <w:p>
      <w:r/>
      <w:r>
        <w:t xml:space="preserve">As Epístolas do NT contêm várias passagens poéticas, especialmente nas doxologias (veja, por exemplo, </w:t>
      </w:r>
      <w:hyperlink r:id="rId12389">
        <w:r>
          <w:rPr>
            <w:color w:val="0000EE"/>
            <w:u w:val="single"/>
          </w:rPr>
          <w:t>Rm 16.25–27</w:t>
        </w:r>
      </w:hyperlink>
      <w:r>
        <w:t xml:space="preserve">; </w:t>
      </w:r>
      <w:hyperlink r:id="rId10054">
        <w:r>
          <w:rPr>
            <w:color w:val="0000EE"/>
            <w:u w:val="single"/>
          </w:rPr>
          <w:t>Jd 1.24–25</w:t>
        </w:r>
      </w:hyperlink>
      <w:r>
        <w:t xml:space="preserve">). Outras seções são claramente poesia e/ou hinos cristãos primitivos. Estes incluem </w:t>
      </w:r>
      <w:hyperlink r:id="rId5124">
        <w:r>
          <w:rPr>
            <w:color w:val="0000EE"/>
            <w:u w:val="single"/>
          </w:rPr>
          <w:t>Filipenses 2.6–11</w:t>
        </w:r>
      </w:hyperlink>
      <w:r>
        <w:t xml:space="preserve"> (hino/poema “A Humildade de Cristo”); </w:t>
      </w:r>
      <w:hyperlink r:id="rId5122">
        <w:r>
          <w:rPr>
            <w:color w:val="0000EE"/>
            <w:u w:val="single"/>
          </w:rPr>
          <w:t>Colossenses 1.15–20</w:t>
        </w:r>
      </w:hyperlink>
      <w:r>
        <w:t xml:space="preserve"> (hino/poema “A Preeminência de Cristo”); e </w:t>
      </w:r>
      <w:hyperlink r:id="rId2672">
        <w:r>
          <w:rPr>
            <w:color w:val="0000EE"/>
            <w:u w:val="single"/>
          </w:rPr>
          <w:t>1 Timóteo 3.16</w:t>
        </w:r>
      </w:hyperlink>
      <w:r>
        <w:t xml:space="preserve"> (hino/poema “A Encarnação”). O escritor de Hebreus também produziu um prólogo poético notável (</w:t>
      </w:r>
      <w:hyperlink r:id="rId8049">
        <w:r>
          <w:rPr>
            <w:color w:val="0000EE"/>
            <w:u w:val="single"/>
          </w:rPr>
          <w:t>1.1–3</w:t>
        </w:r>
      </w:hyperlink>
      <w:r>
        <w:t xml:space="preserve">). Outras seções dos escritos de Paulo exibem linguagem poética, onde o ritmo e a dicção exaltada são proeminentes (veja, por exemplo, </w:t>
      </w:r>
      <w:hyperlink r:id="rId5833">
        <w:r>
          <w:rPr>
            <w:color w:val="0000EE"/>
            <w:u w:val="single"/>
          </w:rPr>
          <w:t>1Cor 13</w:t>
        </w:r>
      </w:hyperlink>
      <w:r>
        <w:t xml:space="preserve">; </w:t>
      </w:r>
      <w:hyperlink r:id="rId5855">
        <w:r>
          <w:rPr>
            <w:color w:val="0000EE"/>
            <w:u w:val="single"/>
          </w:rPr>
          <w:t>15.54–57</w:t>
        </w:r>
      </w:hyperlink>
      <w:r>
        <w:t>).</w:t>
      </w:r>
    </w:p>
    <w:p>
      <w:r/>
      <w:r>
        <w:t xml:space="preserve">O livro do Apocalipse também contém uma série de poemas de louvor, bem como hinos (veja </w:t>
      </w:r>
      <w:hyperlink r:id="rId17325">
        <w:r>
          <w:rPr>
            <w:color w:val="0000EE"/>
            <w:u w:val="single"/>
          </w:rPr>
          <w:t>Ap 5.9–10,12–13</w:t>
        </w:r>
      </w:hyperlink>
      <w:r>
        <w:t xml:space="preserve">; </w:t>
      </w:r>
      <w:hyperlink r:id="rId1079">
        <w:r>
          <w:rPr>
            <w:color w:val="0000EE"/>
            <w:u w:val="single"/>
          </w:rPr>
          <w:t>7.12</w:t>
        </w:r>
      </w:hyperlink>
      <w:r>
        <w:t xml:space="preserve">; </w:t>
      </w:r>
      <w:hyperlink r:id="rId17326">
        <w:r>
          <w:rPr>
            <w:color w:val="0000EE"/>
            <w:u w:val="single"/>
          </w:rPr>
          <w:t>11.17–18</w:t>
        </w:r>
      </w:hyperlink>
      <w:r>
        <w:t xml:space="preserve">; </w:t>
      </w:r>
      <w:hyperlink r:id="rId13112">
        <w:r>
          <w:rPr>
            <w:color w:val="0000EE"/>
            <w:u w:val="single"/>
          </w:rPr>
          <w:t>15.3–4</w:t>
        </w:r>
      </w:hyperlink>
      <w:r>
        <w:t>).</w:t>
      </w:r>
    </w:p>
    <w:p>
      <w:r/>
      <w:r>
        <w:rPr>
          <w:i/>
        </w:rPr>
        <w:t>Veja também</w:t>
      </w:r>
      <w:r>
        <w:t xml:space="preserve"> </w:t>
      </w:r>
      <w:r>
        <w:t>Eclesiastes, Livro de</w:t>
      </w:r>
      <w:r>
        <w:t xml:space="preserve">; </w:t>
      </w:r>
      <w:r>
        <w:t>Jó, Livro de</w:t>
      </w:r>
      <w:r>
        <w:t xml:space="preserve">; </w:t>
      </w:r>
      <w:r>
        <w:t>Lamentações, Livro de</w:t>
      </w:r>
      <w:r>
        <w:t xml:space="preserve">; </w:t>
      </w:r>
      <w:r>
        <w:t>Música</w:t>
      </w:r>
      <w:r>
        <w:t xml:space="preserve">; </w:t>
      </w:r>
      <w:r>
        <w:t>Provérbios, Livro de</w:t>
      </w:r>
      <w:r>
        <w:t xml:space="preserve">; </w:t>
      </w:r>
      <w:r>
        <w:t>Salmos, Livro dos</w:t>
      </w:r>
      <w:r>
        <w:t xml:space="preserve">; </w:t>
      </w:r>
      <w:r>
        <w:t>Cântico de Salomão</w:t>
      </w:r>
      <w:r>
        <w:t xml:space="preserve">; </w:t>
      </w:r>
      <w:r>
        <w:t>Sabedoria</w:t>
      </w:r>
      <w:r>
        <w:t xml:space="preserve">; </w:t>
      </w:r>
      <w:r>
        <w:t>Literatura de Sabedoria</w:t>
      </w:r>
      <w:r>
        <w:t>.</w:t>
      </w:r>
      <w:r/>
      <w:r/>
    </w:p>
    <w:p>
      <w:r/>
    </w:p>
    <w:p>
      <w:pPr>
        <w:pStyle w:val="Heading2"/>
      </w:pPr>
      <w:r>
        <w:t>Pólux</w:t>
      </w:r>
      <w:r/>
    </w:p>
    <w:p>
      <w:r/>
      <w:r>
        <w:t xml:space="preserve">Uma figura da mitologia grega que era filho de Zeus e irmão gêmeo de Castor. Juntos, eram conhecidos como os Dióscuros, que significa "filhos de Zeus". Os Dióscuros eram considerados protetores de marinheiros e navios. Em </w:t>
      </w:r>
      <w:hyperlink r:id="rId746">
        <w:r>
          <w:rPr>
            <w:color w:val="0000EE"/>
            <w:u w:val="single"/>
          </w:rPr>
          <w:t>Atos 28.11</w:t>
        </w:r>
      </w:hyperlink>
      <w:r>
        <w:t>, Paulo e seus companheiros navegaram de Malta para Alexandria. O navio tinha a figura de proa dos deuses gêmeos Castor e Pólux. Muitos navios antigos tinham figuras de proa esculpidas, frequentemente acreditadas para trazer boa sorte e proteção durante as viagens.</w:t>
      </w:r>
    </w:p>
    <w:p>
      <w:r/>
      <w:r>
        <w:rPr>
          <w:i/>
        </w:rPr>
        <w:t>Veja</w:t>
      </w:r>
      <w:r>
        <w:t xml:space="preserve"> </w:t>
      </w:r>
      <w:r>
        <w:t>Dióscuros</w:t>
      </w:r>
      <w:r>
        <w:t>.</w:t>
      </w:r>
      <w:r/>
      <w:r/>
    </w:p>
    <w:p>
      <w:r/>
    </w:p>
    <w:p>
      <w:pPr>
        <w:pStyle w:val="Heading2"/>
      </w:pPr>
      <w:r>
        <w:t>Pombo</w:t>
      </w:r>
      <w:r/>
    </w:p>
    <w:p>
      <w:r/>
      <w:r>
        <w:t>Um pombo ou uma pomba é uma ave da família dos pombos (</w:t>
      </w:r>
      <w:r>
        <w:rPr>
          <w:i/>
        </w:rPr>
        <w:t>Columbidae</w:t>
      </w:r>
      <w:r>
        <w:t>). As pessoas frequentemente usam os dois nomes de forma intercambiável. Por exemplo, o pombo comum da cidade vem da pomba-brava selvagem. Na Bíblia, traduções em português usam ambas as palavras para o mesmo termo hebraico. Um segundo termo hebraico é geralmente traduzido como "rola". Os antigos hebreus pareciam saber que havia diferentes tipos de pombas.</w:t>
      </w:r>
    </w:p>
    <w:p>
      <w:r/>
      <w:r>
        <w:t>Hoje, pelo menos seis tipos de pombos ou rolas vivem em Israel:</w:t>
      </w:r>
    </w:p>
    <w:p>
      <w:pPr>
        <w:pStyle w:val="ListBullet"/>
        <w:spacing w:line="240" w:lineRule="auto"/>
        <w:ind w:left="720"/>
      </w:pPr>
      <w:r/>
      <w:r>
        <w:t xml:space="preserve">os pombos-das-rochas, pombos-de-colar e pombo-bravo (gênero </w:t>
      </w:r>
      <w:r>
        <w:rPr>
          <w:i/>
        </w:rPr>
        <w:t>Columba</w:t>
      </w:r>
      <w:r>
        <w:t>), e</w:t>
      </w:r>
    </w:p>
    <w:p>
      <w:pPr>
        <w:pStyle w:val="ListBullet"/>
        <w:spacing w:line="240" w:lineRule="auto"/>
        <w:ind w:left="720"/>
      </w:pPr>
      <w:r/>
      <w:r>
        <w:t xml:space="preserve">as rolas, rolas-de-colar e rolas-do-Senegal (gênero </w:t>
      </w:r>
      <w:r>
        <w:rPr>
          <w:i/>
        </w:rPr>
        <w:t>Streptopelia</w:t>
      </w:r>
      <w:r>
        <w:t>).</w:t>
      </w:r>
    </w:p>
    <w:p>
      <w:r/>
      <w:r>
        <w:t>A pomba-brava (</w:t>
      </w:r>
      <w:r>
        <w:rPr>
          <w:i/>
        </w:rPr>
        <w:t>Columba livia</w:t>
      </w:r>
      <w:r>
        <w:t>) e a rola-europeia (</w:t>
      </w:r>
      <w:r>
        <w:rPr>
          <w:i/>
        </w:rPr>
        <w:t>Streptopelia turtur</w:t>
      </w:r>
      <w:r>
        <w:t>) são mencionadas com mais frequência na Bíblia.</w:t>
      </w:r>
    </w:p>
    <w:p>
      <w:r/>
      <w:r>
        <w:t>Pombos têm de 15 a 30 centímetros de comprimento. O pombo comum é o tipo mais colorido em Israel. Ele é frequentemente cinza prateado, com asas esverdeadas que brilham à luz (</w:t>
      </w:r>
      <w:hyperlink r:id="rId5556">
        <w:r>
          <w:rPr>
            <w:color w:val="0000EE"/>
            <w:u w:val="single"/>
          </w:rPr>
          <w:t>Sl 68.13</w:t>
        </w:r>
      </w:hyperlink>
      <w:r>
        <w:t>). As pombas menores são principalmente cinza ou marrom claro, com um meio colar escuro na parte de trás do pescoço. Pombos têm pescoços curtos, cabeças pequenas, corpos arredondados e asas curtas. Essas asas são fortes, permitindo que os pombos voem longas distâncias. As pombas menores têm caudas mais longas.</w:t>
      </w:r>
    </w:p>
    <w:p>
      <w:r/>
      <w:r>
        <w:t>As pombas selvagens vivem principalmente perto do Mar da Galileia e em ravinas próximas ao Mar Morto. Elas fazem seus ninhos em penhascos e rochas (</w:t>
      </w:r>
      <w:hyperlink r:id="rId16343">
        <w:r>
          <w:rPr>
            <w:color w:val="0000EE"/>
            <w:u w:val="single"/>
          </w:rPr>
          <w:t>Ct 2.14</w:t>
        </w:r>
      </w:hyperlink>
      <w:r>
        <w:t xml:space="preserve">; </w:t>
      </w:r>
      <w:hyperlink r:id="rId16344">
        <w:r>
          <w:rPr>
            <w:color w:val="0000EE"/>
            <w:u w:val="single"/>
          </w:rPr>
          <w:t>Jr 48.28</w:t>
        </w:r>
      </w:hyperlink>
      <w:r>
        <w:t>). Todas as pombas em Israel constroem ninhos frágeis com pequenos pedaços de plantas. Elas geralmente põem dois ovos, duas vezes por ano. Ambos os pais alimentam os filhotes. Elas se alimentam de sementes e ervas daninhas. Os pais produzem "leite de pombo" (um alimento macio, parcialmente digerido) em seus papos e o oferecem aos filhotes.</w:t>
      </w:r>
    </w:p>
    <w:p>
      <w:r/>
      <w:r>
        <w:t>Os pombos machos frequentemente competem por parceiras. O voo de cortejo da rola é muito bonito. Os pombos cuidam de seus parceiros e de seus filhotes. Por causa disso, as pessoas há muito tempo usam o pombo como um símbolo de amor e paz (</w:t>
      </w:r>
      <w:hyperlink r:id="rId16345">
        <w:r>
          <w:rPr>
            <w:color w:val="0000EE"/>
            <w:u w:val="single"/>
          </w:rPr>
          <w:t>Ct 1.15</w:t>
        </w:r>
      </w:hyperlink>
      <w:r>
        <w:t xml:space="preserve">; </w:t>
      </w:r>
      <w:hyperlink r:id="rId16343">
        <w:r>
          <w:rPr>
            <w:color w:val="0000EE"/>
            <w:u w:val="single"/>
          </w:rPr>
          <w:t>2.14</w:t>
        </w:r>
      </w:hyperlink>
      <w:r>
        <w:t xml:space="preserve">; </w:t>
      </w:r>
      <w:hyperlink r:id="rId1705">
        <w:r>
          <w:rPr>
            <w:color w:val="0000EE"/>
            <w:u w:val="single"/>
          </w:rPr>
          <w:t>4.1</w:t>
        </w:r>
      </w:hyperlink>
      <w:r>
        <w:t xml:space="preserve">; </w:t>
      </w:r>
      <w:hyperlink r:id="rId16346">
        <w:r>
          <w:rPr>
            <w:color w:val="0000EE"/>
            <w:u w:val="single"/>
          </w:rPr>
          <w:t>5.2</w:t>
        </w:r>
      </w:hyperlink>
      <w:r>
        <w:t>).</w:t>
      </w:r>
    </w:p>
    <w:p>
      <w:r/>
      <w:r>
        <w:t>Os escritores antigos sabiam que pombos e rolas eram diferentes. Pombos vivem em Israel o ano todo e são fáceis de domesticar. Rolas são selvagens e visitam apenas na primavera (</w:t>
      </w:r>
      <w:hyperlink r:id="rId16306">
        <w:r>
          <w:rPr>
            <w:color w:val="0000EE"/>
            <w:u w:val="single"/>
          </w:rPr>
          <w:t>Ct 2.12</w:t>
        </w:r>
      </w:hyperlink>
      <w:r>
        <w:t xml:space="preserve">; </w:t>
      </w:r>
      <w:hyperlink r:id="rId16316">
        <w:r>
          <w:rPr>
            <w:color w:val="0000EE"/>
            <w:u w:val="single"/>
          </w:rPr>
          <w:t>Jr 8.7</w:t>
        </w:r>
      </w:hyperlink>
      <w:r>
        <w:t>). As pessoas mantinham rolas em gaiolas como animais de estimação ou para sacrifícios. Os pombos podem ter sido as primeiras aves que os humanos mantiveram, possivelmente até no tempo de Noé (</w:t>
      </w:r>
      <w:hyperlink r:id="rId16347">
        <w:r>
          <w:rPr>
            <w:color w:val="0000EE"/>
            <w:u w:val="single"/>
          </w:rPr>
          <w:t>Gn 8.8–12</w:t>
        </w:r>
      </w:hyperlink>
      <w:r>
        <w:t>). Nos tempos do Novo Testamento, muitos pombais estavam perto do palácio de Herodes, o Grande, em Jerusalém.</w:t>
      </w:r>
    </w:p>
    <w:p>
      <w:pPr>
        <w:pStyle w:val="Heading3"/>
      </w:pPr>
      <w:r>
        <w:t>Pombos nos tempos da Bíblia</w:t>
      </w:r>
    </w:p>
    <w:p>
      <w:r/>
      <w:r>
        <w:t>As pessoas valorizavam pombas e pombos como aves gentis, como alimento e para sacrifícios. As rolas podem ter sido vistas como mais especiais para sacrifício porque eram mais difíceis de obter. A Bíblia frequentemente as menciona em ofertas (</w:t>
      </w:r>
      <w:hyperlink r:id="rId16349">
        <w:r>
          <w:rPr>
            <w:color w:val="0000EE"/>
            <w:u w:val="single"/>
          </w:rPr>
          <w:t>Gn 15.7–10</w:t>
        </w:r>
      </w:hyperlink>
      <w:r>
        <w:t xml:space="preserve">; </w:t>
      </w:r>
      <w:hyperlink r:id="rId16350">
        <w:r>
          <w:rPr>
            <w:color w:val="0000EE"/>
            <w:u w:val="single"/>
          </w:rPr>
          <w:t>Lv 1.14</w:t>
        </w:r>
      </w:hyperlink>
      <w:r>
        <w:t xml:space="preserve">; </w:t>
      </w:r>
      <w:hyperlink r:id="rId15670">
        <w:r>
          <w:rPr>
            <w:color w:val="0000EE"/>
            <w:u w:val="single"/>
          </w:rPr>
          <w:t>5.7</w:t>
        </w:r>
      </w:hyperlink>
      <w:r>
        <w:t xml:space="preserve">; </w:t>
      </w:r>
      <w:hyperlink r:id="rId16351">
        <w:r>
          <w:rPr>
            <w:color w:val="0000EE"/>
            <w:u w:val="single"/>
          </w:rPr>
          <w:t>12.6</w:t>
        </w:r>
      </w:hyperlink>
      <w:r>
        <w:t xml:space="preserve">; </w:t>
      </w:r>
      <w:hyperlink r:id="rId16287">
        <w:r>
          <w:rPr>
            <w:color w:val="0000EE"/>
            <w:u w:val="single"/>
          </w:rPr>
          <w:t>Nm 6.10</w:t>
        </w:r>
      </w:hyperlink>
      <w:r>
        <w:t xml:space="preserve">; </w:t>
      </w:r>
      <w:hyperlink r:id="rId16286">
        <w:r>
          <w:rPr>
            <w:color w:val="0000EE"/>
            <w:u w:val="single"/>
          </w:rPr>
          <w:t>Lc 2.24</w:t>
        </w:r>
      </w:hyperlink>
      <w:r>
        <w:t>). Outras passagens descrevem suas:</w:t>
      </w:r>
    </w:p>
    <w:p>
      <w:pPr>
        <w:pStyle w:val="ListBullet"/>
        <w:spacing w:line="240" w:lineRule="auto"/>
        <w:ind w:left="720"/>
      </w:pPr>
      <w:r/>
      <w:r>
        <w:t>som de gemido (</w:t>
      </w:r>
      <w:hyperlink r:id="rId16317">
        <w:r>
          <w:rPr>
            <w:color w:val="0000EE"/>
            <w:u w:val="single"/>
          </w:rPr>
          <w:t>Is 38.14</w:t>
        </w:r>
      </w:hyperlink>
      <w:r>
        <w:t xml:space="preserve">; </w:t>
      </w:r>
      <w:hyperlink r:id="rId16352">
        <w:r>
          <w:rPr>
            <w:color w:val="0000EE"/>
            <w:u w:val="single"/>
          </w:rPr>
          <w:t>59.11</w:t>
        </w:r>
      </w:hyperlink>
      <w:r>
        <w:t xml:space="preserve">; </w:t>
      </w:r>
      <w:hyperlink r:id="rId16353">
        <w:r>
          <w:rPr>
            <w:color w:val="0000EE"/>
            <w:u w:val="single"/>
          </w:rPr>
          <w:t>Ez 7.16</w:t>
        </w:r>
      </w:hyperlink>
      <w:r>
        <w:t xml:space="preserve">; </w:t>
      </w:r>
      <w:hyperlink r:id="rId16354">
        <w:r>
          <w:rPr>
            <w:color w:val="0000EE"/>
            <w:u w:val="single"/>
          </w:rPr>
          <w:t>Na 2.7</w:t>
        </w:r>
      </w:hyperlink>
      <w:r>
        <w:t>),</w:t>
      </w:r>
    </w:p>
    <w:p>
      <w:pPr>
        <w:pStyle w:val="ListBullet"/>
        <w:spacing w:line="240" w:lineRule="auto"/>
        <w:ind w:left="720"/>
      </w:pPr>
      <w:r/>
      <w:r>
        <w:t>voo (</w:t>
      </w:r>
      <w:hyperlink r:id="rId16355">
        <w:r>
          <w:rPr>
            <w:color w:val="0000EE"/>
            <w:u w:val="single"/>
          </w:rPr>
          <w:t>Sl 55.6</w:t>
        </w:r>
      </w:hyperlink>
      <w:r>
        <w:t>),</w:t>
      </w:r>
    </w:p>
    <w:p>
      <w:pPr>
        <w:pStyle w:val="ListBullet"/>
        <w:spacing w:line="240" w:lineRule="auto"/>
        <w:ind w:left="720"/>
      </w:pPr>
      <w:r/>
      <w:r>
        <w:t>beleza (</w:t>
      </w:r>
      <w:hyperlink r:id="rId16345">
        <w:r>
          <w:rPr>
            <w:color w:val="0000EE"/>
            <w:u w:val="single"/>
          </w:rPr>
          <w:t>Ct 1.15</w:t>
        </w:r>
      </w:hyperlink>
      <w:r>
        <w:t xml:space="preserve">; </w:t>
      </w:r>
      <w:hyperlink r:id="rId1705">
        <w:r>
          <w:rPr>
            <w:color w:val="0000EE"/>
            <w:u w:val="single"/>
          </w:rPr>
          <w:t>4.1</w:t>
        </w:r>
      </w:hyperlink>
      <w:r>
        <w:t xml:space="preserve">; </w:t>
      </w:r>
      <w:hyperlink r:id="rId16356">
        <w:r>
          <w:rPr>
            <w:color w:val="0000EE"/>
            <w:u w:val="single"/>
          </w:rPr>
          <w:t>5.12</w:t>
        </w:r>
      </w:hyperlink>
      <w:r>
        <w:t>),</w:t>
      </w:r>
    </w:p>
    <w:p>
      <w:pPr>
        <w:pStyle w:val="ListBullet"/>
        <w:spacing w:line="240" w:lineRule="auto"/>
        <w:ind w:left="720"/>
      </w:pPr>
      <w:r/>
      <w:r>
        <w:t>mansidão (</w:t>
      </w:r>
      <w:hyperlink r:id="rId1851">
        <w:r>
          <w:rPr>
            <w:color w:val="0000EE"/>
            <w:u w:val="single"/>
          </w:rPr>
          <w:t>Mt 10.16</w:t>
        </w:r>
      </w:hyperlink>
      <w:r>
        <w:t>), e</w:t>
      </w:r>
    </w:p>
    <w:p>
      <w:pPr>
        <w:pStyle w:val="ListBullet"/>
        <w:spacing w:line="240" w:lineRule="auto"/>
        <w:ind w:left="720"/>
      </w:pPr>
      <w:r/>
      <w:r>
        <w:t>lealdade (</w:t>
      </w:r>
      <w:hyperlink r:id="rId16357">
        <w:r>
          <w:rPr>
            <w:color w:val="0000EE"/>
            <w:u w:val="single"/>
          </w:rPr>
          <w:t>Ct 6.9</w:t>
        </w:r>
      </w:hyperlink>
      <w:r>
        <w:t>).</w:t>
      </w:r>
    </w:p>
    <w:p>
      <w:r/>
      <w:hyperlink r:id="rId15993">
        <w:r>
          <w:rPr>
            <w:color w:val="0000EE"/>
            <w:u w:val="single"/>
          </w:rPr>
          <w:t>Oseias 7.11</w:t>
        </w:r>
      </w:hyperlink>
      <w:r>
        <w:t xml:space="preserve"> usa a pomba como uma imagem de alguém excessivamente confiante.</w:t>
      </w:r>
    </w:p>
    <w:p>
      <w:r/>
      <w:r>
        <w:t>No batismo de Jesus, o Espírito Santo desceu como uma pomba (</w:t>
      </w:r>
      <w:hyperlink r:id="rId11702">
        <w:r>
          <w:rPr>
            <w:color w:val="0000EE"/>
            <w:u w:val="single"/>
          </w:rPr>
          <w:t>Mt 3.16</w:t>
        </w:r>
      </w:hyperlink>
      <w:r>
        <w:t>). Os primeiros cristãos associaram a pomba ao Espírito Santo e ao conforto que o Espírito proporciona. A pomba ainda é um símbolo comum do Espírito Santo hoje.</w:t>
      </w:r>
    </w:p>
    <w:p>
      <w:r/>
      <w:r>
        <w:rPr>
          <w:i/>
        </w:rPr>
        <w:t>Veja também</w:t>
      </w:r>
      <w:r>
        <w:t xml:space="preserve"> </w:t>
      </w:r>
      <w:r>
        <w:t>Aves</w:t>
      </w:r>
      <w:r>
        <w:t>.</w:t>
      </w:r>
      <w:r/>
      <w:r/>
    </w:p>
    <w:p>
      <w:r/>
    </w:p>
    <w:p>
      <w:pPr>
        <w:pStyle w:val="Heading2"/>
      </w:pPr>
      <w:r>
        <w:t>Ponto</w:t>
      </w:r>
      <w:r/>
    </w:p>
    <w:p>
      <w:r/>
      <w:r>
        <w:t>Província romana no nordeste da Ásia Menor, localizada ao longo da costa sul do Mar Negro. Galácia, Capadócia e Armênia faziam fronteira com o Ponto. Por volta de 1000 a.C., os primeiros gregos começaram a colonizar a costa sudeste do Mar Negro, fundando Sinope e Trebizonda. Foi aqui que Xenofonte e seus homens chegaram ao mar após sua grande aventura oriental. O famoso geógrafo Estrabão, responsável pelo conhecimento da história antiga do Ponto, nasceu na cidade interiorana de Amasia. Mitrídates Eupator, rei de Amasia, foi, segundo os romanos, o inimigo mais formidável que a república já enfrentou. Ele travou três guerras contra os romanos até sua derrota final por Pompeu por volta de 60 a.C.</w:t>
      </w:r>
    </w:p>
    <w:p>
      <w:r/>
      <w:r>
        <w:t>Áquila, o fabricante de tendas que, com sua esposa, Priscila, foi um colaborador útil do apóstolo Paulo, nasceu em Ponto. Ao contrário de Paulo, no entanto, ele não era cidadão romano; portanto, estava sujeito ao edito de Cláudio e foi expulso de Roma por ser judeu (</w:t>
      </w:r>
      <w:hyperlink r:id="rId3066">
        <w:r>
          <w:rPr>
            <w:color w:val="0000EE"/>
            <w:u w:val="single"/>
          </w:rPr>
          <w:t>At 18.2</w:t>
        </w:r>
      </w:hyperlink>
      <w:r>
        <w:t xml:space="preserve">; </w:t>
      </w:r>
      <w:hyperlink r:id="rId17327">
        <w:r>
          <w:rPr>
            <w:color w:val="0000EE"/>
            <w:u w:val="single"/>
          </w:rPr>
          <w:t>22.25–28</w:t>
        </w:r>
      </w:hyperlink>
      <w:r>
        <w:t>).</w:t>
      </w:r>
    </w:p>
    <w:p>
      <w:r/>
      <w:r>
        <w:t>Os cristãos que residiam lá nos dias de Pedro (</w:t>
      </w:r>
      <w:hyperlink r:id="rId2751">
        <w:r>
          <w:rPr>
            <w:color w:val="0000EE"/>
            <w:u w:val="single"/>
          </w:rPr>
          <w:t>1Pe 1.1</w:t>
        </w:r>
      </w:hyperlink>
      <w:r>
        <w:t>) provavelmente eram convertidos daqueles que retornaram de Jerusalém após o primeiro Pentecostes, quando Pedro falou (</w:t>
      </w:r>
      <w:hyperlink r:id="rId7767">
        <w:r>
          <w:rPr>
            <w:color w:val="0000EE"/>
            <w:u w:val="single"/>
          </w:rPr>
          <w:t>At 2.9</w:t>
        </w:r>
      </w:hyperlink>
      <w:r>
        <w:t>).</w:t>
      </w:r>
      <w:r/>
      <w:r/>
    </w:p>
    <w:p>
      <w:r/>
    </w:p>
    <w:p>
      <w:pPr>
        <w:pStyle w:val="Heading2"/>
      </w:pPr>
      <w:r>
        <w:t>Porta formosa</w:t>
      </w:r>
      <w:r/>
    </w:p>
    <w:p>
      <w:r/>
      <w:r>
        <w:t>Uma porta no templo de Herodes em Jerusalém.</w:t>
      </w:r>
    </w:p>
    <w:p>
      <w:r/>
      <w:r>
        <w:t>Um homem que não conseguia andar foi milagrosamente curado por Pedro e João na porta (</w:t>
      </w:r>
      <w:hyperlink r:id="rId17328">
        <w:r>
          <w:rPr>
            <w:color w:val="0000EE"/>
            <w:u w:val="single"/>
          </w:rPr>
          <w:t>At 3.2,10</w:t>
        </w:r>
      </w:hyperlink>
      <w:r>
        <w:t>). Não sabemos onde esta porta estava, mas provavelmente era a porta que levava do Pátio dos Gentios para o Pátio das Mulheres. Esta também era chamada de Portão Coríntio (por seu bronze coríntio) pelo historiador judeu Josefo. Segundo ele, media 22,9 metros de altura por 18,3 metros de largura. Uma inscrição funerária encontrada no Monte das Oliveiras diz que o portão foi construído por um judeu de Alexandria chamado Nicanor.</w:t>
      </w:r>
    </w:p>
    <w:p>
      <w:r/>
      <w:r>
        <w:rPr>
          <w:i/>
        </w:rPr>
        <w:t>Veja também</w:t>
      </w:r>
      <w:r>
        <w:t xml:space="preserve"> </w:t>
      </w:r>
      <w:r>
        <w:t>Templo</w:t>
      </w:r>
      <w:r>
        <w:t>.</w:t>
      </w:r>
      <w:r/>
      <w:r/>
    </w:p>
    <w:p>
      <w:r/>
    </w:p>
    <w:p>
      <w:pPr>
        <w:pStyle w:val="Heading2"/>
      </w:pPr>
      <w:r>
        <w:t>Pórtico</w:t>
      </w:r>
      <w:r/>
    </w:p>
    <w:p>
      <w:r/>
      <w:r>
        <w:t xml:space="preserve">Corte associada ao Templo ou palácio. Na ARA, é a tradução de várias palavras hebraicas. Em </w:t>
      </w:r>
      <w:hyperlink r:id="rId17329">
        <w:r>
          <w:rPr>
            <w:color w:val="0000EE"/>
            <w:u w:val="single"/>
          </w:rPr>
          <w:t>1Rs 7</w:t>
        </w:r>
      </w:hyperlink>
      <w:r>
        <w:t xml:space="preserve"> e </w:t>
      </w:r>
      <w:hyperlink r:id="rId17330">
        <w:r>
          <w:rPr>
            <w:color w:val="0000EE"/>
            <w:u w:val="single"/>
          </w:rPr>
          <w:t>Ezequiel 40</w:t>
        </w:r>
      </w:hyperlink>
      <w:r>
        <w:t xml:space="preserve">, a ARA menciona muitas vezes o pórtico como parte do Templo. O pórtico separava o Lugar Santo do restante do mundo. Por meio de vários degraus, entrava-se no pórtico, que estava elevado acima da área circundante. Tanto os degraus quanto a elevação enfatizavam a separação do Templo. Em ambos os lados da entrada do pórtico estavam as colunas de suporte, Jaquim e Boaz. No NT, a ARA usa "pórtico" para proaulion e estoa ("pórtico"). A estoa era um pórtico coberto sustentado por colunas. O pórtico de Salomão era o famoso pórtico colunado ao redor da área do Templo voltado para o Templo (cf. </w:t>
      </w:r>
      <w:hyperlink r:id="rId971">
        <w:r>
          <w:rPr>
            <w:color w:val="0000EE"/>
            <w:u w:val="single"/>
          </w:rPr>
          <w:t>Jo 10.23</w:t>
        </w:r>
      </w:hyperlink>
      <w:r>
        <w:t xml:space="preserve">; </w:t>
      </w:r>
      <w:hyperlink r:id="rId972">
        <w:r>
          <w:rPr>
            <w:color w:val="0000EE"/>
            <w:u w:val="single"/>
          </w:rPr>
          <w:t>At 3.11</w:t>
        </w:r>
      </w:hyperlink>
      <w:r>
        <w:t xml:space="preserve">; </w:t>
      </w:r>
      <w:hyperlink r:id="rId973">
        <w:r>
          <w:rPr>
            <w:color w:val="0000EE"/>
            <w:u w:val="single"/>
          </w:rPr>
          <w:t>5.12</w:t>
        </w:r>
      </w:hyperlink>
      <w:r>
        <w:t>).</w:t>
      </w:r>
    </w:p>
    <w:p>
      <w:r/>
      <w:r>
        <w:rPr>
          <w:i/>
        </w:rPr>
        <w:t>Veja também</w:t>
      </w:r>
      <w:r>
        <w:t xml:space="preserve"> </w:t>
      </w:r>
      <w:r>
        <w:t>Arquitetura</w:t>
      </w:r>
      <w:r>
        <w:t xml:space="preserve">; </w:t>
      </w:r>
      <w:r>
        <w:t>Tabernáculo</w:t>
      </w:r>
      <w:r>
        <w:t xml:space="preserve">; </w:t>
      </w:r>
      <w:r>
        <w:t>Templo</w:t>
      </w:r>
      <w:r>
        <w:t>.</w:t>
      </w:r>
      <w:r/>
      <w:r/>
    </w:p>
    <w:p>
      <w:r/>
    </w:p>
    <w:p>
      <w:pPr>
        <w:pStyle w:val="Heading2"/>
      </w:pPr>
      <w:r>
        <w:t>Possessão Demoníaca</w:t>
      </w:r>
      <w:r/>
    </w:p>
    <w:p>
      <w:r/>
      <w:r>
        <w:t xml:space="preserve">Ocupação demoníaca de um ser humano. O termo “possessão” é enganoso e não é a melhor tradução para a palavra grega </w:t>
      </w:r>
      <w:r>
        <w:rPr>
          <w:i/>
        </w:rPr>
        <w:t>daimonizomai</w:t>
      </w:r>
      <w:r>
        <w:t>, que literalmente significa ser “demonizado” e muitas vezes pode ser melhor traduzido como “ter um demônio”.</w:t>
      </w:r>
    </w:p>
    <w:p>
      <w:r/>
      <w:r>
        <w:t>Os demônios podem entrar no corpo de uma pessoa (</w:t>
      </w:r>
      <w:hyperlink r:id="rId12736">
        <w:r>
          <w:rPr>
            <w:color w:val="0000EE"/>
            <w:u w:val="single"/>
          </w:rPr>
          <w:t>Lc 8.30</w:t>
        </w:r>
      </w:hyperlink>
      <w:r>
        <w:t xml:space="preserve">; </w:t>
      </w:r>
      <w:hyperlink r:id="rId17331">
        <w:r>
          <w:rPr>
            <w:color w:val="0000EE"/>
            <w:u w:val="single"/>
          </w:rPr>
          <w:t>22.3</w:t>
        </w:r>
      </w:hyperlink>
      <w:r>
        <w:t>) a fim de controlar os pensamentos e ações do indivíduo. Às vezes, uma distinção é feita entre opressão demoníaca e possessão demoníaca; isso supostamente diferencia um ataque de fora e um controle interno. Embora possa ser dito de um não cristão estar “possuído” por um demônio, o cristão não pode ser possuído dessa maneira, pois ele pertence a Cristo e seu espírito humano foi selado pelo Espírito Santo (</w:t>
      </w:r>
      <w:hyperlink r:id="rId3216">
        <w:r>
          <w:rPr>
            <w:color w:val="0000EE"/>
            <w:u w:val="single"/>
          </w:rPr>
          <w:t>Ef 1.13</w:t>
        </w:r>
      </w:hyperlink>
      <w:r>
        <w:t>). Espíritos demoníacos de alguma forma conhecem e reconhecem este selo.</w:t>
      </w:r>
    </w:p>
    <w:p>
      <w:r/>
      <w:r>
        <w:t xml:space="preserve">Os demônios também podem entrar nos corpos de animais, como no caso dos porcos em </w:t>
      </w:r>
      <w:hyperlink r:id="rId17332">
        <w:r>
          <w:rPr>
            <w:color w:val="0000EE"/>
            <w:u w:val="single"/>
          </w:rPr>
          <w:t>Marcos 5.13</w:t>
        </w:r>
      </w:hyperlink>
      <w:r>
        <w:t>. Os demônios estão associados com livros de magia (</w:t>
      </w:r>
      <w:hyperlink r:id="rId17333">
        <w:r>
          <w:rPr>
            <w:color w:val="0000EE"/>
            <w:u w:val="single"/>
          </w:rPr>
          <w:t>Atos 19.19</w:t>
        </w:r>
      </w:hyperlink>
      <w:r>
        <w:t>), ídolos (</w:t>
      </w:r>
      <w:hyperlink r:id="rId10861">
        <w:r>
          <w:rPr>
            <w:color w:val="0000EE"/>
            <w:u w:val="single"/>
          </w:rPr>
          <w:t>1Co 10.19–21</w:t>
        </w:r>
      </w:hyperlink>
      <w:r>
        <w:t xml:space="preserve">) e fetiches. Os demônios muitas vezes causam doença ou incapacidade física; </w:t>
      </w:r>
      <w:hyperlink r:id="rId6669">
        <w:r>
          <w:rPr>
            <w:color w:val="0000EE"/>
            <w:u w:val="single"/>
          </w:rPr>
          <w:t>Lucas 13.11</w:t>
        </w:r>
      </w:hyperlink>
      <w:r>
        <w:t xml:space="preserve"> fala de uma mulher que havia sido "aleijada por um espírito maligno” por 18 anos, mas foi liberta e curada por Jesus. Uma vez que os espíritos malignos muitas vezes atacam a mente e as emoções, muitos sintomas de doença mental podem ser o resultado de sua atividade. O menino a quem Jesus libertou logo após a Transfiguração apresentava sintomas de epilepsia. A paranoia pode ser obra de um espírito de medo. Alguns indivíduos que sofrem de esquizofrenia (personalidade dividida ou múltipla) podem, na realidade, estar demonizados por vários espíritos. É possível que uma pessoa tenha muitos demônios. Jesus expulsou sete deles de Maria Madalena (</w:t>
      </w:r>
      <w:hyperlink r:id="rId12738">
        <w:r>
          <w:rPr>
            <w:color w:val="0000EE"/>
            <w:u w:val="single"/>
          </w:rPr>
          <w:t>Lc 8.2</w:t>
        </w:r>
      </w:hyperlink>
      <w:r>
        <w:t>). O espírito no endemoninhado geraseno deu seu nome como Legião, “porque somos muitos” (</w:t>
      </w:r>
      <w:hyperlink r:id="rId12735">
        <w:r>
          <w:rPr>
            <w:color w:val="0000EE"/>
            <w:u w:val="single"/>
          </w:rPr>
          <w:t>Mc 5.9</w:t>
        </w:r>
      </w:hyperlink>
      <w:r>
        <w:t xml:space="preserve">; </w:t>
      </w:r>
      <w:hyperlink r:id="rId12736">
        <w:r>
          <w:rPr>
            <w:color w:val="0000EE"/>
            <w:u w:val="single"/>
          </w:rPr>
          <w:t>Lc 8.30</w:t>
        </w:r>
      </w:hyperlink>
      <w:r>
        <w:t>). No tempo de Augusto, uma legião romana consistia em 6.000 soldados a pé, geralmente acompanhados por um número igual de tropas auxiliares.</w:t>
      </w:r>
    </w:p>
    <w:p>
      <w:r/>
      <w:r>
        <w:t>A demonização ocorre de várias maneiras. Algumas pessoas são demonizadas por uma maldição hereditária, que pode continuar até a terceira ou quarta geração (</w:t>
      </w:r>
      <w:hyperlink r:id="rId7441">
        <w:r>
          <w:rPr>
            <w:color w:val="0000EE"/>
            <w:u w:val="single"/>
          </w:rPr>
          <w:t>Êx 20.5</w:t>
        </w:r>
      </w:hyperlink>
      <w:r>
        <w:t>). A maldição contra a ilegitimidade era particularmente forte, pois um filho ilegítimo não poderia entrar na congregação de Israel até a décima geração (</w:t>
      </w:r>
      <w:hyperlink r:id="rId17334">
        <w:r>
          <w:rPr>
            <w:color w:val="0000EE"/>
            <w:u w:val="single"/>
          </w:rPr>
          <w:t>Dt 23.2</w:t>
        </w:r>
      </w:hyperlink>
      <w:r>
        <w:t xml:space="preserve">). Maldições também podem ser colocadas sobre alguém por feitiços, encantamentos ou práticas semelhantes, como vodu ou outras formas de bruxaria. </w:t>
      </w:r>
      <w:hyperlink r:id="rId6300">
        <w:r>
          <w:rPr>
            <w:color w:val="0000EE"/>
            <w:u w:val="single"/>
          </w:rPr>
          <w:t>Gálatas 3.13</w:t>
        </w:r>
      </w:hyperlink>
      <w:r>
        <w:t xml:space="preserve"> fala de redenção da maldição da lei através de Cristo, Jesus tendo “se tornado uma maldição” por nós. Geralmente os crentes não são afetados por maldições feitas contra eles, a menos que tenham dado motivos ao diabo (</w:t>
      </w:r>
      <w:hyperlink r:id="rId17335">
        <w:r>
          <w:rPr>
            <w:color w:val="0000EE"/>
            <w:u w:val="single"/>
          </w:rPr>
          <w:t>Ef 4.27</w:t>
        </w:r>
      </w:hyperlink>
      <w:r>
        <w:t>). Tais motivos podem ser fornecidos através de drogas, sexo ilícito, ocultismo ou qualquer outro caminho proibido na Bíblia. O envolvimento com cartas de tarô, horóscopos ou qualquer outra forma de adivinhação pode dar aos demônios oportunidade de entrar. Tais contatos podem parecer inofensivos, mas Satanás utiliza o menor ponto de apoio para obter vantagem sobre as pessoas.</w:t>
      </w:r>
    </w:p>
    <w:p>
      <w:pPr>
        <w:pStyle w:val="Heading3"/>
      </w:pPr>
      <w:r>
        <w:t>Manifestação</w:t>
      </w:r>
    </w:p>
    <w:p>
      <w:r/>
      <w:r>
        <w:t xml:space="preserve">Muitas vezes os demônios preferem se esconder em vez de tornar sua presença conhecida. Dessa forma, eles podem exercer controle sem restrição. Quando eles se manifestam, muitas vezes quando desafiados, todos os tipos de coisas estranhas e assustadoras podem ocorrer. Eles possuem poderes sobrenaturais (cf. </w:t>
      </w:r>
      <w:hyperlink r:id="rId7038">
        <w:r>
          <w:rPr>
            <w:color w:val="0000EE"/>
            <w:u w:val="single"/>
          </w:rPr>
          <w:t>Ap 16.14</w:t>
        </w:r>
      </w:hyperlink>
      <w:r>
        <w:t>), que eles exibem diretamente ou através de suas vítimas. O endemoninhado geraseno tinha força física sobre-humana, de modo que ele não poderia ser preso com grilhões ou correntes (</w:t>
      </w:r>
      <w:hyperlink r:id="rId17336">
        <w:r>
          <w:rPr>
            <w:color w:val="0000EE"/>
            <w:u w:val="single"/>
          </w:rPr>
          <w:t>Mc 5.4–5</w:t>
        </w:r>
      </w:hyperlink>
      <w:r>
        <w:t>); ele vivia em túmulos e gritava dia e noite. Ele também se machucava com pedras.</w:t>
      </w:r>
    </w:p>
    <w:p>
      <w:r/>
      <w:r>
        <w:t xml:space="preserve">O espírito no menino demonizado em </w:t>
      </w:r>
      <w:hyperlink r:id="rId17337">
        <w:r>
          <w:rPr>
            <w:color w:val="0000EE"/>
            <w:u w:val="single"/>
          </w:rPr>
          <w:t>Marcos 9</w:t>
        </w:r>
      </w:hyperlink>
      <w:r>
        <w:t>, fez dele mudo e surdo, jogava-o no chão e o fazia rolar e espumar pela boca (</w:t>
      </w:r>
      <w:hyperlink r:id="rId17338">
        <w:r>
          <w:rPr>
            <w:color w:val="0000EE"/>
            <w:u w:val="single"/>
          </w:rPr>
          <w:t>9.18–20</w:t>
        </w:r>
      </w:hyperlink>
      <w:r>
        <w:t xml:space="preserve">). O demônio o fazia ranger os dentes e tornar-se rígido; ele havia tentado matar o menino jogando-o no fogo e na água em várias ocasiões (vv. </w:t>
      </w:r>
      <w:hyperlink r:id="rId17339">
        <w:r>
          <w:rPr>
            <w:color w:val="0000EE"/>
            <w:u w:val="single"/>
          </w:rPr>
          <w:t>18–22</w:t>
        </w:r>
      </w:hyperlink>
      <w:r>
        <w:t xml:space="preserve">). Antes de sair ao comando de Jesus, o demônio clamou (cf. </w:t>
      </w:r>
      <w:hyperlink r:id="rId17340">
        <w:r>
          <w:rPr>
            <w:color w:val="0000EE"/>
            <w:u w:val="single"/>
          </w:rPr>
          <w:t>Mc 1.26</w:t>
        </w:r>
      </w:hyperlink>
      <w:r>
        <w:t>), sacudiu o menino terrivelmente e o deixou deitado como um cadáver. Jesus o tomou pela mão e o levantou (</w:t>
      </w:r>
      <w:hyperlink r:id="rId17341">
        <w:r>
          <w:rPr>
            <w:color w:val="0000EE"/>
            <w:u w:val="single"/>
          </w:rPr>
          <w:t>9:27</w:t>
        </w:r>
      </w:hyperlink>
      <w:r>
        <w:t>). Manifestações semelhantes ocorrem hoje.</w:t>
      </w:r>
    </w:p>
    <w:p>
      <w:pPr>
        <w:pStyle w:val="Heading3"/>
      </w:pPr>
      <w:r>
        <w:t>Exorcismo</w:t>
      </w:r>
    </w:p>
    <w:p>
      <w:r/>
      <w:r>
        <w:t>Expulsar demônios, ou exorcismo, era uma parte regular e frequente do ministério de Jesus, e ele ensinava e ordenava aos seus seguidores a fazer o mesmo. Este comando nunca foi anulado, e o ministério da libertação deveria ser ainda mais importante hoje, quando as forças do mal são tão prevalentes. Os seguintes princípios vêm da prática de Jesus, das Escrituras, e observação e envolvimento pessoal.</w:t>
      </w:r>
    </w:p>
    <w:p>
      <w:r/>
      <w:r>
        <w:t>1. Jesus falou com demônios e ordenou-lhes que saíssem (</w:t>
      </w:r>
      <w:hyperlink r:id="rId17342">
        <w:r>
          <w:rPr>
            <w:color w:val="0000EE"/>
            <w:u w:val="single"/>
          </w:rPr>
          <w:t>Mc 1.25</w:t>
        </w:r>
      </w:hyperlink>
      <w:r>
        <w:t xml:space="preserve">; </w:t>
      </w:r>
      <w:hyperlink r:id="rId6670">
        <w:r>
          <w:rPr>
            <w:color w:val="0000EE"/>
            <w:u w:val="single"/>
          </w:rPr>
          <w:t>9.25</w:t>
        </w:r>
      </w:hyperlink>
      <w:r>
        <w:t>). Ele os expulsou “com uma palavra” (</w:t>
      </w:r>
      <w:hyperlink r:id="rId6405">
        <w:r>
          <w:rPr>
            <w:color w:val="0000EE"/>
            <w:u w:val="single"/>
          </w:rPr>
          <w:t>Mt 8.16</w:t>
        </w:r>
      </w:hyperlink>
      <w:r>
        <w:t>). Jesus deu aos seus seguidores autoridade para usar seu nome a fim de expulsar os demônios e aplicou isso como um sinal do crente (</w:t>
      </w:r>
      <w:hyperlink r:id="rId17343">
        <w:r>
          <w:rPr>
            <w:color w:val="0000EE"/>
            <w:u w:val="single"/>
          </w:rPr>
          <w:t>Mc 16.17</w:t>
        </w:r>
      </w:hyperlink>
      <w:r>
        <w:t>). Seu nome não é uma fórmula mágica, e seu uso depende do relacionamento entre o Senhor e a pessoa que o usa. Os filhos de Ceva descobriram isso para seu horror (</w:t>
      </w:r>
      <w:hyperlink r:id="rId17344">
        <w:r>
          <w:rPr>
            <w:color w:val="0000EE"/>
            <w:u w:val="single"/>
          </w:rPr>
          <w:t>Atos 19.11–18</w:t>
        </w:r>
      </w:hyperlink>
      <w:r>
        <w:t>).</w:t>
      </w:r>
    </w:p>
    <w:p>
      <w:r/>
      <w:r>
        <w:t>2. Jesus expulsa demônios pelo Espírito de Deus (</w:t>
      </w:r>
      <w:hyperlink r:id="rId11825">
        <w:r>
          <w:rPr>
            <w:color w:val="0000EE"/>
            <w:u w:val="single"/>
          </w:rPr>
          <w:t>Mt 12.28</w:t>
        </w:r>
      </w:hyperlink>
      <w:r>
        <w:t>). Deus ungiu Jesus de Nazaré com o Espírito Santo e com poder para curar todos os que estavam oprimidos pelo diabo (</w:t>
      </w:r>
      <w:hyperlink r:id="rId8682">
        <w:r>
          <w:rPr>
            <w:color w:val="0000EE"/>
            <w:u w:val="single"/>
          </w:rPr>
          <w:t>Lc 4.18–19</w:t>
        </w:r>
      </w:hyperlink>
      <w:r>
        <w:t xml:space="preserve">; </w:t>
      </w:r>
      <w:hyperlink r:id="rId8399">
        <w:r>
          <w:rPr>
            <w:color w:val="0000EE"/>
            <w:u w:val="single"/>
          </w:rPr>
          <w:t>Atos 10.38</w:t>
        </w:r>
      </w:hyperlink>
      <w:r>
        <w:t>).</w:t>
      </w:r>
    </w:p>
    <w:p>
      <w:r/>
      <w:r>
        <w:t>3. O Senhor deu um ensino claro sobre “o amarrar do homem forte” na libertação (</w:t>
      </w:r>
      <w:hyperlink r:id="rId17345">
        <w:r>
          <w:rPr>
            <w:color w:val="0000EE"/>
            <w:u w:val="single"/>
          </w:rPr>
          <w:t>Mt 12.29</w:t>
        </w:r>
      </w:hyperlink>
      <w:r>
        <w:t xml:space="preserve">; </w:t>
      </w:r>
      <w:hyperlink r:id="rId17346">
        <w:r>
          <w:rPr>
            <w:color w:val="0000EE"/>
            <w:u w:val="single"/>
          </w:rPr>
          <w:t>Mc 3.27</w:t>
        </w:r>
      </w:hyperlink>
      <w:r>
        <w:t>) e sobre ligar e desligar (</w:t>
      </w:r>
      <w:hyperlink r:id="rId11860">
        <w:r>
          <w:rPr>
            <w:color w:val="0000EE"/>
            <w:u w:val="single"/>
          </w:rPr>
          <w:t>Mt 18.18</w:t>
        </w:r>
      </w:hyperlink>
      <w:r>
        <w:t>).</w:t>
      </w:r>
    </w:p>
    <w:p>
      <w:r/>
      <w:r>
        <w:t>4. A oração é uma arma importante na guerra espiritual. Quando os discípulos perguntaram (</w:t>
      </w:r>
      <w:hyperlink r:id="rId17347">
        <w:r>
          <w:rPr>
            <w:color w:val="0000EE"/>
            <w:u w:val="single"/>
          </w:rPr>
          <w:t>Mc 9.28</w:t>
        </w:r>
      </w:hyperlink>
      <w:r>
        <w:t>) por que eles não podiam expulsar um demônio, Jesus respondeu que este tipo sai apenas com oração.</w:t>
      </w:r>
    </w:p>
    <w:p>
      <w:r/>
      <w:r>
        <w:t xml:space="preserve">5. </w:t>
      </w:r>
      <w:hyperlink r:id="rId925">
        <w:r>
          <w:rPr>
            <w:color w:val="0000EE"/>
            <w:u w:val="single"/>
          </w:rPr>
          <w:t>Apocalipse 12.11</w:t>
        </w:r>
      </w:hyperlink>
      <w:r>
        <w:t xml:space="preserve"> testifica do poder do “sangue do Cordeiro” em vencer Satanás. Os demônios não gostam de ouvir sobre o sangue de Jesus e muitas vezes ficam agitados com a menção disto.</w:t>
      </w:r>
    </w:p>
    <w:p>
      <w:r/>
      <w:r>
        <w:t>6. Deus equipou o crente com armadura para defesa na batalha espiritual (</w:t>
      </w:r>
      <w:hyperlink r:id="rId17348">
        <w:r>
          <w:rPr>
            <w:color w:val="0000EE"/>
            <w:u w:val="single"/>
          </w:rPr>
          <w:t>Ef 6.10–17</w:t>
        </w:r>
      </w:hyperlink>
      <w:r>
        <w:t>).</w:t>
      </w:r>
    </w:p>
    <w:p>
      <w:r/>
      <w:r>
        <w:t>7. O Senhor respondeu a Satanás com textos corretamente aplicados da Bíblia. Nos foi dada a espada do Espírito, a Palavra de Deus (</w:t>
      </w:r>
      <w:hyperlink r:id="rId17349">
        <w:r>
          <w:rPr>
            <w:color w:val="0000EE"/>
            <w:u w:val="single"/>
          </w:rPr>
          <w:t>Ef 6.17</w:t>
        </w:r>
      </w:hyperlink>
      <w:r>
        <w:t xml:space="preserve">; </w:t>
      </w:r>
      <w:hyperlink r:id="rId942">
        <w:r>
          <w:rPr>
            <w:color w:val="0000EE"/>
            <w:u w:val="single"/>
          </w:rPr>
          <w:t>Hb 4.12</w:t>
        </w:r>
      </w:hyperlink>
      <w:r>
        <w:t>), como um meio de defesa e para ataque contra o inimigo.</w:t>
      </w:r>
    </w:p>
    <w:p>
      <w:r/>
      <w:r>
        <w:t>8. Devemos vir contra as hostes do inferno a partir de nossa posição nos lugares celestiais (</w:t>
      </w:r>
      <w:hyperlink r:id="rId4784">
        <w:r>
          <w:rPr>
            <w:color w:val="0000EE"/>
            <w:u w:val="single"/>
          </w:rPr>
          <w:t>Ef 2.6</w:t>
        </w:r>
      </w:hyperlink>
      <w:r>
        <w:t>), não de nossa posição terrena limitada.</w:t>
      </w:r>
    </w:p>
    <w:p>
      <w:r/>
      <w:r>
        <w:t>9. Devemos reconhecer que a vitória final já foi ganha por Jesus, que veio para destruir as obras do diabo (</w:t>
      </w:r>
      <w:hyperlink r:id="rId17350">
        <w:r>
          <w:rPr>
            <w:color w:val="0000EE"/>
            <w:u w:val="single"/>
          </w:rPr>
          <w:t>1Jo 3.8</w:t>
        </w:r>
      </w:hyperlink>
      <w:r>
        <w:t>) e destruir aquele que tem o poder da morte (</w:t>
      </w:r>
      <w:hyperlink r:id="rId17351">
        <w:r>
          <w:rPr>
            <w:color w:val="0000EE"/>
            <w:u w:val="single"/>
          </w:rPr>
          <w:t>Hb 2.14–16</w:t>
        </w:r>
      </w:hyperlink>
      <w:r>
        <w:t>). Quando Jesus clamou na cruz: “Está consumado”, ele quis dizer que a obra redentora estava completa; quando ele ressuscitou dos mortos, ele demonstrou seu poder sobre a morte. Ganhamos apenas quando participamos de sua vitória.</w:t>
      </w:r>
    </w:p>
    <w:p>
      <w:r/>
      <w:r>
        <w:rPr>
          <w:i/>
        </w:rPr>
        <w:t>Veja também</w:t>
      </w:r>
      <w:r>
        <w:t xml:space="preserve"> </w:t>
      </w:r>
      <w:r>
        <w:t>Demônio</w:t>
      </w:r>
      <w:r>
        <w:t>.</w:t>
      </w:r>
      <w:r/>
      <w:r/>
    </w:p>
    <w:p>
      <w:r/>
    </w:p>
    <w:p>
      <w:pPr>
        <w:pStyle w:val="Heading2"/>
      </w:pPr>
      <w:r>
        <w:t>Potifar</w:t>
      </w:r>
      <w:r/>
    </w:p>
    <w:p>
      <w:r/>
      <w:r>
        <w:t>O oficial que comprou José quando ele chegou ao Egito após ser vendido por seus irmãos aos ismaelitas ou midianitas (</w:t>
      </w:r>
      <w:hyperlink r:id="rId8158">
        <w:r>
          <w:rPr>
            <w:color w:val="0000EE"/>
            <w:u w:val="single"/>
          </w:rPr>
          <w:t>Gn 37.36</w:t>
        </w:r>
      </w:hyperlink>
      <w:r>
        <w:t xml:space="preserve">; </w:t>
      </w:r>
      <w:hyperlink r:id="rId8159">
        <w:r>
          <w:rPr>
            <w:color w:val="0000EE"/>
            <w:u w:val="single"/>
          </w:rPr>
          <w:t>39.1</w:t>
        </w:r>
      </w:hyperlink>
      <w:r>
        <w:t xml:space="preserve">). A palavra traduzida como “oficial” é derivada de uma palavra acádica para um oficial da corte. No primeiro milênio, o significado “eunuco” foi atribuído ao termo; portanto, a ARC, seguindo a tradição da Septuaginta, usa “eunuco” em </w:t>
      </w:r>
      <w:hyperlink r:id="rId8158">
        <w:r>
          <w:rPr>
            <w:color w:val="0000EE"/>
            <w:u w:val="single"/>
          </w:rPr>
          <w:t>Gênesis 37.36</w:t>
        </w:r>
      </w:hyperlink>
      <w:r>
        <w:t>. Mas a maioria das versões em português está correta ao traduzi-la como “oficial” ou “funcionário”. Pouco, se é que algo, se sabe sobre eunucos no Egito, e certamente eles não desempenhavam nenhum papel na corte do Faraó no segundo milênio a.C.</w:t>
      </w:r>
    </w:p>
    <w:p>
      <w:r/>
      <w:r>
        <w:t xml:space="preserve">Um segundo título mantido por Potifar era "capitão da guarda", que parece ser uma expressão semítica para um título egípcio, em vez de uma transliteração de uma frase egípcia. Este mesmo título é aplicado a Nebuzaradã, general de Nabucodonosor (veja </w:t>
      </w:r>
      <w:hyperlink r:id="rId17352">
        <w:r>
          <w:rPr>
            <w:color w:val="0000EE"/>
            <w:u w:val="single"/>
          </w:rPr>
          <w:t>2Rs 25.8,11,20</w:t>
        </w:r>
      </w:hyperlink>
      <w:r>
        <w:t xml:space="preserve">; </w:t>
      </w:r>
      <w:hyperlink r:id="rId17353">
        <w:r>
          <w:rPr>
            <w:color w:val="0000EE"/>
            <w:u w:val="single"/>
          </w:rPr>
          <w:t>Jeremias 39.9–11</w:t>
        </w:r>
      </w:hyperlink>
      <w:r>
        <w:t>). O equivalente egípcio a este título sugere que este oficial era um instrutor para os criados que estavam ligados ao rei. Os títulos indicam que Potifar era um homem de alguma importância e status. Sua compra de um escravo semita para servir em assuntos domésticos está de acordo com a prática dos egípcios a partir de 1800 a.C. em diante.</w:t>
      </w:r>
    </w:p>
    <w:p>
      <w:r/>
      <w:r>
        <w:t>O nome Potifar parece ser uma transliteração do nome egípcio, que significa "aquele a quem Rá [o deus sol] deu". Essa fórmula de nome é conhecida no Egito desde o século XIII a.C..</w:t>
      </w:r>
    </w:p>
    <w:p>
      <w:r/>
      <w:r>
        <w:t>Quando falsamente acusado de tentar seduzir a esposa de Potifar, José foi colocado na prisão (</w:t>
      </w:r>
      <w:hyperlink r:id="rId12033">
        <w:r>
          <w:rPr>
            <w:color w:val="0000EE"/>
            <w:u w:val="single"/>
          </w:rPr>
          <w:t>Gn 39.20</w:t>
        </w:r>
      </w:hyperlink>
      <w:r>
        <w:t xml:space="preserve">). Alguns acreditam que Potifar, como "capitão da guarda", poderia ter sido o carcereiro. Mas </w:t>
      </w:r>
      <w:hyperlink r:id="rId17354">
        <w:r>
          <w:rPr>
            <w:color w:val="0000EE"/>
            <w:u w:val="single"/>
          </w:rPr>
          <w:t>Gn 39.21</w:t>
        </w:r>
      </w:hyperlink>
      <w:r>
        <w:t xml:space="preserve"> nos informa que o "encarregado da prisão" ficou impressionado com as habilidades de José (algo que Potifar já havia percebido — cf. vv. </w:t>
      </w:r>
      <w:hyperlink r:id="rId17355">
        <w:r>
          <w:rPr>
            <w:color w:val="0000EE"/>
            <w:u w:val="single"/>
          </w:rPr>
          <w:t>2–6</w:t>
        </w:r>
      </w:hyperlink>
      <w:r>
        <w:t>), e assim lhe deu responsabilidades especiais. A descoberta dos talentos de José pelo encarregado enquanto estava na prisão sugere que ele era um homem diferente.</w:t>
      </w:r>
    </w:p>
    <w:p>
      <w:r/>
      <w:r>
        <w:rPr>
          <w:i/>
        </w:rPr>
        <w:t>Veja também</w:t>
      </w:r>
      <w:r>
        <w:t xml:space="preserve"> </w:t>
      </w:r>
      <w:r>
        <w:t>Egito, Egípcio</w:t>
      </w:r>
      <w:r>
        <w:t xml:space="preserve">; </w:t>
      </w:r>
      <w:r>
        <w:t>José #1</w:t>
      </w:r>
      <w:r>
        <w:t>.</w:t>
      </w:r>
      <w:r/>
      <w:r/>
    </w:p>
    <w:p>
      <w:r/>
    </w:p>
    <w:p>
      <w:pPr>
        <w:pStyle w:val="Heading2"/>
      </w:pPr>
      <w:r>
        <w:t>Potífera</w:t>
      </w:r>
      <w:r/>
    </w:p>
    <w:p>
      <w:r/>
      <w:r>
        <w:t>Sacerdote de Om, cuja filha, Asenate, foi dada a José como esposa pelo Faraó (</w:t>
      </w:r>
      <w:hyperlink r:id="rId7996">
        <w:r>
          <w:rPr>
            <w:color w:val="0000EE"/>
            <w:u w:val="single"/>
          </w:rPr>
          <w:t>Gn 41.45,50</w:t>
        </w:r>
      </w:hyperlink>
      <w:r>
        <w:t xml:space="preserve">; </w:t>
      </w:r>
      <w:hyperlink r:id="rId2938">
        <w:r>
          <w:rPr>
            <w:color w:val="0000EE"/>
            <w:u w:val="single"/>
          </w:rPr>
          <w:t>46.20</w:t>
        </w:r>
      </w:hyperlink>
      <w:r>
        <w:t>). Om (ou Heliópolis) era o centro do culto ao deus-sol, e Potífera provavelmente era um sacerdote de alto escalão nesse culto. Seu nome, que significa "aquele a quem Rá [o deus-sol] deu", não aparece nos registros egípcios até o décimo século a.C., um fato utilizado por aqueles que preferem uma data tardia para o livro de Gênesis. No entanto, o nome é conhecido desde o século 15 (a época de Moisés), e sua forma completa pode ser uma modernização de um nome comum na era de José (século 20 a.C.).</w:t>
      </w:r>
    </w:p>
    <w:p>
      <w:r/>
      <w:r>
        <w:rPr>
          <w:i/>
        </w:rPr>
        <w:t>Veja também</w:t>
      </w:r>
      <w:r>
        <w:t xml:space="preserve"> </w:t>
      </w:r>
      <w:r>
        <w:t>Egito, Egípcio</w:t>
      </w:r>
      <w:r>
        <w:t xml:space="preserve">; </w:t>
      </w:r>
      <w:r>
        <w:t>José #1</w:t>
      </w:r>
      <w:r>
        <w:t>.</w:t>
      </w:r>
      <w:r/>
      <w:r/>
    </w:p>
    <w:p>
      <w:r/>
    </w:p>
    <w:p>
      <w:pPr>
        <w:pStyle w:val="Heading2"/>
      </w:pPr>
      <w:r>
        <w:t>Poupa</w:t>
      </w:r>
      <w:r/>
    </w:p>
    <w:p>
      <w:r/>
      <w:r>
        <w:t>Qualquer um de vários pássaros cantores do Velho Mundo; considerados impuros (</w:t>
      </w:r>
      <w:hyperlink r:id="rId1477">
        <w:r>
          <w:rPr>
            <w:color w:val="0000EE"/>
            <w:u w:val="single"/>
          </w:rPr>
          <w:t>Lv 11.19</w:t>
        </w:r>
      </w:hyperlink>
      <w:r>
        <w:t xml:space="preserve">; </w:t>
      </w:r>
      <w:hyperlink r:id="rId1478">
        <w:r>
          <w:rPr>
            <w:color w:val="0000EE"/>
            <w:u w:val="single"/>
          </w:rPr>
          <w:t>Dt 14.18</w:t>
        </w:r>
      </w:hyperlink>
      <w:r>
        <w:t xml:space="preserve">). </w:t>
      </w:r>
      <w:r>
        <w:rPr>
          <w:i/>
        </w:rPr>
        <w:t>Veja</w:t>
      </w:r>
      <w:r>
        <w:t xml:space="preserve"> </w:t>
      </w:r>
      <w:r>
        <w:t>Aves</w:t>
      </w:r>
      <w:r>
        <w:t>.</w:t>
      </w:r>
      <w:r/>
      <w:r/>
    </w:p>
    <w:p>
      <w:r/>
    </w:p>
    <w:p>
      <w:pPr>
        <w:pStyle w:val="Heading2"/>
      </w:pPr>
      <w:r>
        <w:t>Povo de Deus</w:t>
      </w:r>
      <w:r/>
    </w:p>
    <w:p>
      <w:r/>
      <w:r>
        <w:t>O povo de Deus é um termo para o grupo de pessoas que acreditam em Deus. No Antigo Testamento, uma parte fundamental da fé de Israel era que eles se tornaram o povo de Deus porque Ele os escolheu para serem sua posse especial (</w:t>
      </w:r>
      <w:hyperlink r:id="rId2438">
        <w:r>
          <w:rPr>
            <w:color w:val="0000EE"/>
            <w:u w:val="single"/>
          </w:rPr>
          <w:t>Êx 6.6–7</w:t>
        </w:r>
      </w:hyperlink>
      <w:r>
        <w:t xml:space="preserve">; </w:t>
      </w:r>
      <w:hyperlink r:id="rId10585">
        <w:r>
          <w:rPr>
            <w:color w:val="0000EE"/>
            <w:u w:val="single"/>
          </w:rPr>
          <w:t>19.5</w:t>
        </w:r>
      </w:hyperlink>
      <w:r>
        <w:t xml:space="preserve">; </w:t>
      </w:r>
      <w:hyperlink r:id="rId10586">
        <w:r>
          <w:rPr>
            <w:color w:val="0000EE"/>
            <w:u w:val="single"/>
          </w:rPr>
          <w:t>Dt 7.6</w:t>
        </w:r>
      </w:hyperlink>
      <w:r>
        <w:t xml:space="preserve">; </w:t>
      </w:r>
      <w:hyperlink r:id="rId17356">
        <w:r>
          <w:rPr>
            <w:color w:val="0000EE"/>
            <w:u w:val="single"/>
          </w:rPr>
          <w:t>14.2</w:t>
        </w:r>
      </w:hyperlink>
      <w:r>
        <w:t xml:space="preserve">; </w:t>
      </w:r>
      <w:hyperlink r:id="rId17357">
        <w:r>
          <w:rPr>
            <w:color w:val="0000EE"/>
            <w:u w:val="single"/>
          </w:rPr>
          <w:t>26.18</w:t>
        </w:r>
      </w:hyperlink>
      <w:r>
        <w:t>). Esta ideia está conectada ao conceito da aliança entre Deus e Israel (</w:t>
      </w:r>
      <w:hyperlink r:id="rId17358">
        <w:r>
          <w:rPr>
            <w:color w:val="0000EE"/>
            <w:u w:val="single"/>
          </w:rPr>
          <w:t>Lv 26.9–12</w:t>
        </w:r>
      </w:hyperlink>
      <w:r>
        <w:t>). Quando a Bíblia fala sobre a aliança entre Deus e Israel, refere-se ao acordo onde Deus prometeu abençoar e proteger o povo de Israel, e eles prometeram seguir as leis de Deus e adorar somente a Ele.</w:t>
      </w:r>
    </w:p>
    <w:p>
      <w:r/>
      <w:r>
        <w:t>Quando os profetas pregavam sobre o julgamento de Deus que poderia levar à destruição completa, eles também compartilhavam visões de Deus reconstruindo e recriando seu povo (</w:t>
      </w:r>
      <w:hyperlink r:id="rId17359">
        <w:r>
          <w:rPr>
            <w:color w:val="0000EE"/>
            <w:u w:val="single"/>
          </w:rPr>
          <w:t>Jr 32.37</w:t>
        </w:r>
      </w:hyperlink>
      <w:r>
        <w:t xml:space="preserve">; </w:t>
      </w:r>
      <w:hyperlink r:id="rId17360">
        <w:r>
          <w:rPr>
            <w:color w:val="0000EE"/>
            <w:u w:val="single"/>
          </w:rPr>
          <w:t>Os 2.1,23</w:t>
        </w:r>
      </w:hyperlink>
      <w:r>
        <w:t xml:space="preserve">; </w:t>
      </w:r>
      <w:hyperlink r:id="rId9055">
        <w:r>
          <w:rPr>
            <w:color w:val="0000EE"/>
            <w:u w:val="single"/>
          </w:rPr>
          <w:t>Ez 11.20</w:t>
        </w:r>
      </w:hyperlink>
      <w:r>
        <w:t xml:space="preserve">; </w:t>
      </w:r>
      <w:hyperlink r:id="rId9057">
        <w:r>
          <w:rPr>
            <w:color w:val="0000EE"/>
            <w:u w:val="single"/>
          </w:rPr>
          <w:t>36.28</w:t>
        </w:r>
      </w:hyperlink>
      <w:r>
        <w:t>). Após o exílio, o judaísmo desenvolveu a ideia de que apenas o futuro Israel, a comunidade final liderada pelo Messias (o líder escolhido por Deus), seria verdadeiramente o “povo de Deus” no sentido mais pleno.</w:t>
      </w:r>
    </w:p>
    <w:p>
      <w:r/>
      <w:r>
        <w:t xml:space="preserve">O Novo Testamento mostra em várias passagens que a igreja primitiva se entendia como este futuro povo de Deus. O exemplo mais claro encontra-se em </w:t>
      </w:r>
      <w:hyperlink r:id="rId3643">
        <w:r>
          <w:rPr>
            <w:color w:val="0000EE"/>
            <w:u w:val="single"/>
          </w:rPr>
          <w:t>1 Pedro 2.9</w:t>
        </w:r>
      </w:hyperlink>
      <w:r>
        <w:t xml:space="preserve">: “Mas vocês são uma geração eleita, um sacerdócio real, uma nação santa, um povo.” As expressões “sacerdócio real” e “nação santa” vêm de </w:t>
      </w:r>
      <w:hyperlink r:id="rId806">
        <w:r>
          <w:rPr>
            <w:color w:val="0000EE"/>
            <w:u w:val="single"/>
          </w:rPr>
          <w:t>Êxodo 19.6.</w:t>
        </w:r>
      </w:hyperlink>
      <w:r>
        <w:t xml:space="preserve"> Este versículo descreve o papel de Israel como sacerdotes para o mundo, participando do reinado de Deus. O povo original de Deus deveria declarar Seus atos poderosos (</w:t>
      </w:r>
      <w:hyperlink r:id="rId17361">
        <w:r>
          <w:rPr>
            <w:color w:val="0000EE"/>
            <w:u w:val="single"/>
          </w:rPr>
          <w:t>Is 43.20–21</w:t>
        </w:r>
      </w:hyperlink>
      <w:r>
        <w:t>). O novo povo de Deus deve proclamar aquele que os tirou das trevas para a sua maravilhosa luz (</w:t>
      </w:r>
      <w:hyperlink r:id="rId3643">
        <w:r>
          <w:rPr>
            <w:color w:val="0000EE"/>
            <w:u w:val="single"/>
          </w:rPr>
          <w:t>1Pe 2.9</w:t>
        </w:r>
      </w:hyperlink>
      <w:r>
        <w:t>).</w:t>
      </w:r>
    </w:p>
    <w:p>
      <w:r/>
      <w:r>
        <w:rPr>
          <w:i/>
        </w:rPr>
        <w:t>Veja também</w:t>
      </w:r>
      <w:r>
        <w:t xml:space="preserve"> </w:t>
      </w:r>
      <w:r>
        <w:t>O Corpo de Cristo</w:t>
      </w:r>
      <w:r>
        <w:t>.</w:t>
      </w:r>
      <w:r/>
      <w:r/>
    </w:p>
    <w:p>
      <w:r/>
    </w:p>
    <w:p>
      <w:pPr>
        <w:pStyle w:val="Heading2"/>
      </w:pPr>
      <w:r>
        <w:t>Povos da Terra</w:t>
      </w:r>
      <w:r/>
    </w:p>
    <w:p>
      <w:r/>
      <w:r>
        <w:t xml:space="preserve">A expressão "povo da terra" origina-se do hebraico </w:t>
      </w:r>
      <w:r>
        <w:rPr>
          <w:i/>
        </w:rPr>
        <w:t>‘Am-Ha’arets.</w:t>
      </w:r>
      <w:r>
        <w:t xml:space="preserve"> Em um sentido genérico, </w:t>
      </w:r>
      <w:r>
        <w:rPr>
          <w:i/>
        </w:rPr>
        <w:t>'Am-Ha'arets</w:t>
      </w:r>
      <w:r>
        <w:t xml:space="preserve"> referia-se a um grupo político ou étnico de pessoas, como:</w:t>
      </w:r>
    </w:p>
    <w:p>
      <w:pPr>
        <w:pStyle w:val="ListBullet"/>
        <w:spacing w:line="240" w:lineRule="auto"/>
        <w:ind w:left="720"/>
      </w:pPr>
      <w:r/>
      <w:r>
        <w:t>Os heteus filhos de Hete (</w:t>
      </w:r>
      <w:hyperlink r:id="rId17362">
        <w:r>
          <w:rPr>
            <w:color w:val="0000EE"/>
            <w:u w:val="single"/>
          </w:rPr>
          <w:t>Gn 23.7</w:t>
        </w:r>
      </w:hyperlink>
      <w:r>
        <w:t>)</w:t>
      </w:r>
    </w:p>
    <w:p>
      <w:pPr>
        <w:pStyle w:val="ListBullet"/>
        <w:spacing w:line="240" w:lineRule="auto"/>
        <w:ind w:left="720"/>
      </w:pPr>
      <w:r/>
      <w:r>
        <w:t>Os egípcios (</w:t>
      </w:r>
      <w:hyperlink r:id="rId10084">
        <w:r>
          <w:rPr>
            <w:color w:val="0000EE"/>
            <w:u w:val="single"/>
          </w:rPr>
          <w:t>Gn 42.6</w:t>
        </w:r>
      </w:hyperlink>
      <w:r>
        <w:t>)</w:t>
      </w:r>
    </w:p>
    <w:p>
      <w:pPr>
        <w:pStyle w:val="ListBullet"/>
        <w:spacing w:line="240" w:lineRule="auto"/>
        <w:ind w:left="720"/>
      </w:pPr>
      <w:r/>
      <w:r>
        <w:t>Os israelitas (</w:t>
      </w:r>
      <w:hyperlink r:id="rId17363">
        <w:r>
          <w:rPr>
            <w:color w:val="0000EE"/>
            <w:u w:val="single"/>
          </w:rPr>
          <w:t>Êx 5.5</w:t>
        </w:r>
      </w:hyperlink>
      <w:r>
        <w:t>)</w:t>
      </w:r>
    </w:p>
    <w:p>
      <w:pPr>
        <w:pStyle w:val="ListBullet"/>
        <w:spacing w:line="240" w:lineRule="auto"/>
        <w:ind w:left="720"/>
      </w:pPr>
      <w:r/>
      <w:r>
        <w:t>As nações de Canaã (</w:t>
      </w:r>
      <w:hyperlink r:id="rId17364">
        <w:r>
          <w:rPr>
            <w:color w:val="0000EE"/>
            <w:u w:val="single"/>
          </w:rPr>
          <w:t>Nm 13.28</w:t>
        </w:r>
      </w:hyperlink>
      <w:r>
        <w:t xml:space="preserve">; </w:t>
      </w:r>
      <w:hyperlink r:id="rId17365">
        <w:r>
          <w:rPr>
            <w:color w:val="0000EE"/>
            <w:u w:val="single"/>
          </w:rPr>
          <w:t>Ne 9.24</w:t>
        </w:r>
      </w:hyperlink>
      <w:r>
        <w:t>)</w:t>
      </w:r>
    </w:p>
    <w:p>
      <w:pPr>
        <w:pStyle w:val="ListBullet"/>
        <w:spacing w:line="240" w:lineRule="auto"/>
        <w:ind w:left="720"/>
      </w:pPr>
      <w:r/>
      <w:r>
        <w:t>Os amonitas (</w:t>
      </w:r>
      <w:hyperlink r:id="rId17366">
        <w:r>
          <w:rPr>
            <w:color w:val="0000EE"/>
            <w:u w:val="single"/>
          </w:rPr>
          <w:t>Nm 21.34</w:t>
        </w:r>
      </w:hyperlink>
      <w:r>
        <w:t>)</w:t>
      </w:r>
    </w:p>
    <w:p>
      <w:r/>
      <w:r>
        <w:t>À medida que Israel se tornou uma nação, o significado mudou. O termo passou a significar o povo comum que não fazia parte da liderança religiosa ou política (</w:t>
      </w:r>
      <w:hyperlink r:id="rId17367">
        <w:r>
          <w:rPr>
            <w:color w:val="0000EE"/>
            <w:u w:val="single"/>
          </w:rPr>
          <w:t>2Rs 11.14–20</w:t>
        </w:r>
      </w:hyperlink>
      <w:r>
        <w:t xml:space="preserve">; </w:t>
      </w:r>
      <w:hyperlink r:id="rId9601">
        <w:r>
          <w:rPr>
            <w:color w:val="0000EE"/>
            <w:u w:val="single"/>
          </w:rPr>
          <w:t>25.3</w:t>
        </w:r>
      </w:hyperlink>
      <w:r>
        <w:t xml:space="preserve">; </w:t>
      </w:r>
      <w:hyperlink r:id="rId17368">
        <w:r>
          <w:rPr>
            <w:color w:val="0000EE"/>
            <w:u w:val="single"/>
          </w:rPr>
          <w:t>2Cr 33.25</w:t>
        </w:r>
      </w:hyperlink>
      <w:r>
        <w:t xml:space="preserve">; </w:t>
      </w:r>
      <w:hyperlink r:id="rId17369">
        <w:r>
          <w:rPr>
            <w:color w:val="0000EE"/>
            <w:u w:val="single"/>
          </w:rPr>
          <w:t>Jr 52.25</w:t>
        </w:r>
      </w:hyperlink>
      <w:r>
        <w:t>). Depois que muitos judeus retornaram do exílio na Babilônia, o termo adquiriu um novo significado. Descrevia judeus que haviam se casado com pessoas de outras nações. Esdras e seus seguidores geralmente evitavam essas famílias de casamentos mistos (</w:t>
      </w:r>
      <w:hyperlink r:id="rId17370">
        <w:r>
          <w:rPr>
            <w:color w:val="0000EE"/>
            <w:u w:val="single"/>
          </w:rPr>
          <w:t>Ed 4.4</w:t>
        </w:r>
      </w:hyperlink>
      <w:r>
        <w:t xml:space="preserve">; </w:t>
      </w:r>
      <w:hyperlink r:id="rId17371">
        <w:r>
          <w:rPr>
            <w:color w:val="0000EE"/>
            <w:u w:val="single"/>
          </w:rPr>
          <w:t>10.2,11</w:t>
        </w:r>
      </w:hyperlink>
      <w:r>
        <w:t xml:space="preserve">; </w:t>
      </w:r>
      <w:hyperlink r:id="rId17372">
        <w:r>
          <w:rPr>
            <w:color w:val="0000EE"/>
            <w:u w:val="single"/>
          </w:rPr>
          <w:t>Ne 10.28–31</w:t>
        </w:r>
      </w:hyperlink>
      <w:r>
        <w:t xml:space="preserve">). Mais tarde, o judaísmo rabínico chamava de </w:t>
      </w:r>
      <w:r>
        <w:rPr>
          <w:i/>
        </w:rPr>
        <w:t>'Am-Ha'arets</w:t>
      </w:r>
      <w:r>
        <w:t xml:space="preserve"> os judeus que não conseguiam seguir toda a lei.</w:t>
      </w:r>
      <w:r/>
      <w:r/>
    </w:p>
    <w:p>
      <w:r/>
    </w:p>
    <w:p>
      <w:pPr>
        <w:pStyle w:val="Heading2"/>
      </w:pPr>
      <w:r>
        <w:t>Povos do Oriente</w:t>
      </w:r>
      <w:r/>
    </w:p>
    <w:p>
      <w:r/>
      <w:r>
        <w:t xml:space="preserve">Tribos localizadas a leste e nordeste de Canaã, muitas delas abertamente hostis aos judeus. </w:t>
      </w:r>
      <w:hyperlink r:id="rId17373">
        <w:r>
          <w:rPr>
            <w:color w:val="0000EE"/>
            <w:u w:val="single"/>
          </w:rPr>
          <w:t>Gênesis 29.1</w:t>
        </w:r>
      </w:hyperlink>
      <w:r>
        <w:t xml:space="preserve"> fornece a primeira referência a esses povos. Jacó, a caminho de Harã, atravessou o território designado como "a terra do Oriente".</w:t>
      </w:r>
    </w:p>
    <w:p>
      <w:r/>
      <w:r>
        <w:t>A abrangência do termo é evidente na forma como é usado para se referir a nômades (</w:t>
      </w:r>
      <w:hyperlink r:id="rId17374">
        <w:r>
          <w:rPr>
            <w:color w:val="0000EE"/>
            <w:u w:val="single"/>
          </w:rPr>
          <w:t>Ez 25.10</w:t>
        </w:r>
      </w:hyperlink>
      <w:r>
        <w:t>) ou mesopotâmicos (</w:t>
      </w:r>
      <w:hyperlink r:id="rId3979">
        <w:r>
          <w:rPr>
            <w:color w:val="0000EE"/>
            <w:u w:val="single"/>
          </w:rPr>
          <w:t>1Rs 4.30</w:t>
        </w:r>
      </w:hyperlink>
      <w:r>
        <w:t>). O termo também ocorre em associação com tribos específicas, como os amalequitas (</w:t>
      </w:r>
      <w:hyperlink r:id="rId17375">
        <w:r>
          <w:rPr>
            <w:color w:val="0000EE"/>
            <w:u w:val="single"/>
          </w:rPr>
          <w:t>Jz 6.3</w:t>
        </w:r>
      </w:hyperlink>
      <w:r>
        <w:t>), amonitas (</w:t>
      </w:r>
      <w:hyperlink r:id="rId17376">
        <w:r>
          <w:rPr>
            <w:color w:val="0000EE"/>
            <w:u w:val="single"/>
          </w:rPr>
          <w:t>Ez 25.4</w:t>
        </w:r>
      </w:hyperlink>
      <w:r>
        <w:t>), edomitas (</w:t>
      </w:r>
      <w:hyperlink r:id="rId7572">
        <w:r>
          <w:rPr>
            <w:color w:val="0000EE"/>
            <w:u w:val="single"/>
          </w:rPr>
          <w:t>Is 11.14</w:t>
        </w:r>
      </w:hyperlink>
      <w:r>
        <w:t>), quedaritas (</w:t>
      </w:r>
      <w:hyperlink r:id="rId17377">
        <w:r>
          <w:rPr>
            <w:color w:val="0000EE"/>
            <w:u w:val="single"/>
          </w:rPr>
          <w:t>Jr 49.28</w:t>
        </w:r>
      </w:hyperlink>
      <w:r>
        <w:t>), midianitas (</w:t>
      </w:r>
      <w:hyperlink r:id="rId17378">
        <w:r>
          <w:rPr>
            <w:color w:val="0000EE"/>
            <w:u w:val="single"/>
          </w:rPr>
          <w:t>Jz 6.33</w:t>
        </w:r>
      </w:hyperlink>
      <w:r>
        <w:t>) e moabitas (</w:t>
      </w:r>
      <w:hyperlink r:id="rId17374">
        <w:r>
          <w:rPr>
            <w:color w:val="0000EE"/>
            <w:u w:val="single"/>
          </w:rPr>
          <w:t>Ez 25.10</w:t>
        </w:r>
      </w:hyperlink>
      <w:r>
        <w:t>).</w:t>
      </w:r>
    </w:p>
    <w:p>
      <w:r/>
      <w:r>
        <w:t>A personalidade mais distinta do AT ligada ao termo é o patriarca Jó, que é chamado de "o homem mais rico de todo o Oriente" (</w:t>
      </w:r>
      <w:hyperlink r:id="rId1505">
        <w:r>
          <w:rPr>
            <w:color w:val="0000EE"/>
            <w:u w:val="single"/>
          </w:rPr>
          <w:t>Jó 1.3</w:t>
        </w:r>
      </w:hyperlink>
      <w:r>
        <w:t>). A terra natal de Jó, a terra de Uz, provavelmente estava nas proximidades de Edom, a sudeste do Mar Morto.</w:t>
      </w:r>
      <w:r/>
      <w:r/>
    </w:p>
    <w:p>
      <w:r/>
    </w:p>
    <w:p>
      <w:pPr>
        <w:pStyle w:val="Heading2"/>
      </w:pPr>
      <w:r>
        <w:t>Praça de Ápio</w:t>
      </w:r>
      <w:r/>
    </w:p>
    <w:p>
      <w:r/>
      <w:r>
        <w:t xml:space="preserve">O mercado em </w:t>
      </w:r>
      <w:hyperlink r:id="rId6293">
        <w:r>
          <w:rPr>
            <w:color w:val="0000EE"/>
            <w:u w:val="single"/>
          </w:rPr>
          <w:t>Atos 28.15.</w:t>
        </w:r>
      </w:hyperlink>
      <w:r>
        <w:t xml:space="preserve"> Este foi o lugar onde os cristãos encontraram o apóstolo Paulo quando ele veio se apresentar diante de César. Foi aparentemente nomeado em homenagem a Ápio Cláudio, o construtor da Via Ápia. A Via Ápia era uma importante estrada no sudeste da Itália que seguia para o noroeste até Roma.</w:t>
      </w:r>
    </w:p>
    <w:p>
      <w:r/>
      <w:r>
        <w:t>Ao redor da praça, havia uma região de pântano e terrenos alagadiços. Era notória no mundo antigo por sua água de má qualidade, mosquitos, tavernas caras para viajantes, tráfego noturno barulhento de cargas e passageiros em barcaças puxadas por mulas ao longo de um canal que cortava a área. A Via Ápia passa pela Praça de Ápio, cerca de 64 quilômetros ao sul de Roma.</w:t>
      </w:r>
    </w:p>
    <w:p>
      <w:r/>
      <w:r>
        <w:rPr>
          <w:i/>
        </w:rPr>
        <w:t>Veja também</w:t>
      </w:r>
      <w:r>
        <w:t xml:space="preserve"> </w:t>
      </w:r>
      <w:r>
        <w:t>Via Ápia</w:t>
      </w:r>
      <w:r>
        <w:t xml:space="preserve">; </w:t>
      </w:r>
      <w:r>
        <w:t>Praça</w:t>
      </w:r>
      <w:r>
        <w:t>.</w:t>
      </w:r>
      <w:r/>
      <w:r/>
    </w:p>
    <w:p>
      <w:r/>
    </w:p>
    <w:p>
      <w:pPr>
        <w:pStyle w:val="Heading2"/>
      </w:pPr>
      <w:r>
        <w:t>Praga</w:t>
      </w:r>
      <w:r/>
    </w:p>
    <w:p>
      <w:r/>
      <w:r>
        <w:t>Uma palavra usada para se referir a uma doença, desastre ou pestilência (uma doença generalizada resultando em muitas mortes). "Praga" nas Escrituras não significa uma doença específica. Refere-se a múltiplas doenças (</w:t>
      </w:r>
      <w:hyperlink r:id="rId1507">
        <w:r>
          <w:rPr>
            <w:color w:val="0000EE"/>
            <w:u w:val="single"/>
          </w:rPr>
          <w:t>1Rs 8.37</w:t>
        </w:r>
      </w:hyperlink>
      <w:r>
        <w:t xml:space="preserve">; </w:t>
      </w:r>
      <w:hyperlink r:id="rId17379">
        <w:r>
          <w:rPr>
            <w:color w:val="0000EE"/>
            <w:u w:val="single"/>
          </w:rPr>
          <w:t>Lc 7.21</w:t>
        </w:r>
      </w:hyperlink>
      <w:r>
        <w:t>). "Praga" pode significar uma doença epidêmica ou desastre generalizado. Pode se referir às dez pragas do Egito (</w:t>
      </w:r>
      <w:hyperlink r:id="rId11413">
        <w:r>
          <w:rPr>
            <w:color w:val="0000EE"/>
            <w:u w:val="single"/>
          </w:rPr>
          <w:t>Êx 7–12</w:t>
        </w:r>
      </w:hyperlink>
      <w:r>
        <w:t>).</w:t>
      </w:r>
    </w:p>
    <w:p>
      <w:r/>
      <w:r>
        <w:t>Os hebreus acreditavam que as pragas faziam parte do julgamento de Deus sobre as pessoas. Deus ameaçou enviar pragas aos israelitas por seus pecados (</w:t>
      </w:r>
      <w:hyperlink r:id="rId17380">
        <w:r>
          <w:rPr>
            <w:color w:val="0000EE"/>
            <w:u w:val="single"/>
          </w:rPr>
          <w:t>Lv 26.21</w:t>
        </w:r>
      </w:hyperlink>
      <w:r>
        <w:t>) e assumiu total responsabilidade pelas pragas egípcias (</w:t>
      </w:r>
      <w:hyperlink r:id="rId17381">
        <w:r>
          <w:rPr>
            <w:color w:val="0000EE"/>
            <w:u w:val="single"/>
          </w:rPr>
          <w:t>Js 24.5</w:t>
        </w:r>
      </w:hyperlink>
      <w:r>
        <w:t>). As pragas do Antigo Testamento demonstraram o controle de Deus sobre os processos da natureza, assim como os milagres de Cristo no Novo Testamento.</w:t>
      </w:r>
    </w:p>
    <w:p>
      <w:r/>
      <w:r>
        <w:t>Em um ponto da história de Israel, os filisteus venceram uma batalha e capturaram a arca de Deus (</w:t>
      </w:r>
      <w:hyperlink r:id="rId17382">
        <w:r>
          <w:rPr>
            <w:color w:val="0000EE"/>
            <w:u w:val="single"/>
          </w:rPr>
          <w:t>1Sm 4.10–11</w:t>
        </w:r>
      </w:hyperlink>
      <w:r>
        <w:t>). Quando a arca foi mantida em Asdode, Deus mostrou seu poder. Uma doença fatal com inchaços ou tumores se espalhou (</w:t>
      </w:r>
      <w:hyperlink r:id="rId17383">
        <w:r>
          <w:rPr>
            <w:color w:val="0000EE"/>
            <w:u w:val="single"/>
          </w:rPr>
          <w:t>1Sm 5.6</w:t>
        </w:r>
      </w:hyperlink>
      <w:r>
        <w:t>). Os filisteus enviaram a arca para Gate, mas pessoas de todas as idades começaram a ter tumores na região da virilha (</w:t>
      </w:r>
      <w:hyperlink r:id="rId17384">
        <w:r>
          <w:rPr>
            <w:color w:val="0000EE"/>
            <w:u w:val="single"/>
          </w:rPr>
          <w:t>1Sm 5.9</w:t>
        </w:r>
      </w:hyperlink>
      <w:r>
        <w:t>). Um acontecimento semelhante na cidade seguinte, Ecrom, resultou em muitas mortes (</w:t>
      </w:r>
      <w:hyperlink r:id="rId17385">
        <w:r>
          <w:rPr>
            <w:color w:val="0000EE"/>
            <w:u w:val="single"/>
          </w:rPr>
          <w:t>1Sm 5.12</w:t>
        </w:r>
      </w:hyperlink>
      <w:r>
        <w:t>).</w:t>
      </w:r>
    </w:p>
    <w:p>
      <w:r/>
      <w:r>
        <w:t>Após sete meses, os filisteus decidiram devolver a arca de Deus a Israel. Eles incluíram uma oferta de culpa de cinco ratos de ouro e cinco tumores de ouro (</w:t>
      </w:r>
      <w:hyperlink r:id="rId17386">
        <w:r>
          <w:rPr>
            <w:color w:val="0000EE"/>
            <w:u w:val="single"/>
          </w:rPr>
          <w:t>1Sm 6.1–4</w:t>
        </w:r>
      </w:hyperlink>
      <w:r>
        <w:t>). Eles escolheram essa oferta incomum porque os profetas filisteus associaram a praga que os atingiu às infestações de roedores que assolavam a terra (</w:t>
      </w:r>
      <w:hyperlink r:id="rId1811">
        <w:r>
          <w:rPr>
            <w:color w:val="0000EE"/>
            <w:u w:val="single"/>
          </w:rPr>
          <w:t>1Sm 6.5</w:t>
        </w:r>
      </w:hyperlink>
      <w:r>
        <w:t>). A primeira aldeia israelita a receber a arca de Deus dos filisteus foi punida por olhar dentro dela. Eles contraíram a mesma doença (</w:t>
      </w:r>
      <w:hyperlink r:id="rId2440">
        <w:r>
          <w:rPr>
            <w:color w:val="0000EE"/>
            <w:u w:val="single"/>
          </w:rPr>
          <w:t>1Sm 6.19</w:t>
        </w:r>
      </w:hyperlink>
      <w:r>
        <w:t>). A enfermidade em Bete-Semes deixou 50.070 pessoas mortas.</w:t>
      </w:r>
    </w:p>
    <w:p>
      <w:r/>
      <w:r>
        <w:rPr>
          <w:i/>
        </w:rPr>
        <w:t>Veja também</w:t>
      </w:r>
      <w:r>
        <w:t xml:space="preserve"> </w:t>
      </w:r>
      <w:r>
        <w:t>Doença</w:t>
      </w:r>
      <w:r>
        <w:t xml:space="preserve">; </w:t>
      </w:r>
      <w:r>
        <w:t>Livro de Êxodo</w:t>
      </w:r>
      <w:r>
        <w:t xml:space="preserve">; </w:t>
      </w:r>
      <w:r>
        <w:t>Peste</w:t>
      </w:r>
      <w:r>
        <w:t xml:space="preserve">; </w:t>
      </w:r>
      <w:r>
        <w:t>Pragas sobre o Egito</w:t>
      </w:r>
      <w:r>
        <w:t>.</w:t>
      </w:r>
      <w:r/>
      <w:r/>
    </w:p>
    <w:p>
      <w:r/>
    </w:p>
    <w:p>
      <w:pPr>
        <w:pStyle w:val="Heading2"/>
      </w:pPr>
      <w:r>
        <w:t>Pragas sobre o Egito</w:t>
      </w:r>
      <w:r/>
    </w:p>
    <w:p>
      <w:r/>
      <w:r>
        <w:t>Uma série sem precedentes de desastres atingiu o Egito, provavelmente culminando na primavera ou no início do verão (c. 1400 a.C.). Eles afetaram particularmente o Delta do Nilo, embora aparentemente não tenham atingido a área chamada Gósen. Esses desastres foram de tal magnitude que os egípcios, desde os primeiros registros de sua história, não conseguiam se lembrar de nada semelhante (</w:t>
      </w:r>
      <w:hyperlink r:id="rId17387">
        <w:r>
          <w:rPr>
            <w:color w:val="0000EE"/>
            <w:u w:val="single"/>
          </w:rPr>
          <w:t>Êx 9.24</w:t>
        </w:r>
      </w:hyperlink>
      <w:r>
        <w:t>).</w:t>
      </w:r>
    </w:p>
    <w:p>
      <w:r/>
      <w:r>
        <w:t>Resumo</w:t>
      </w:r>
    </w:p>
    <w:p>
      <w:r/>
      <w:r>
        <w:t>• As pragas;</w:t>
      </w:r>
    </w:p>
    <w:p>
      <w:r/>
      <w:r>
        <w:t>• Faraó e as pragas;</w:t>
      </w:r>
    </w:p>
    <w:p>
      <w:r/>
      <w:r>
        <w:t>• A natureza das pragas.</w:t>
      </w:r>
    </w:p>
    <w:p>
      <w:pPr>
        <w:pStyle w:val="Heading3"/>
      </w:pPr>
      <w:r>
        <w:t>As pragas</w:t>
      </w:r>
    </w:p>
    <w:p>
      <w:r/>
      <w:r>
        <w:t xml:space="preserve">As pragas são descritas em </w:t>
      </w:r>
      <w:hyperlink r:id="rId17388">
        <w:r>
          <w:rPr>
            <w:color w:val="0000EE"/>
            <w:u w:val="single"/>
          </w:rPr>
          <w:t>Êxodo 7–11</w:t>
        </w:r>
      </w:hyperlink>
      <w:r>
        <w:t xml:space="preserve">. À primeira vista, pode-se imaginar que as pragas ocorreram em sucessão dentro de algumas semanas, mas notas casuais de tempo (veja </w:t>
      </w:r>
      <w:hyperlink r:id="rId17389">
        <w:r>
          <w:rPr>
            <w:color w:val="0000EE"/>
            <w:u w:val="single"/>
          </w:rPr>
          <w:t>7.25</w:t>
        </w:r>
      </w:hyperlink>
      <w:r>
        <w:t xml:space="preserve">; </w:t>
      </w:r>
      <w:hyperlink r:id="rId5207">
        <w:r>
          <w:rPr>
            <w:color w:val="0000EE"/>
            <w:u w:val="single"/>
          </w:rPr>
          <w:t>9.31–32</w:t>
        </w:r>
      </w:hyperlink>
      <w:r>
        <w:t>), assim como a natureza de algumas das pragas, sugerem que vários meses podem ter estado envolvidos. A primeira praga foi a transformação da água em sangue (</w:t>
      </w:r>
      <w:hyperlink r:id="rId17390">
        <w:r>
          <w:rPr>
            <w:color w:val="0000EE"/>
            <w:u w:val="single"/>
          </w:rPr>
          <w:t>7.20</w:t>
        </w:r>
      </w:hyperlink>
      <w:r>
        <w:t>), de modo que os peixes morreram e a água cheirava mal. Em seguida, veio uma praga de rãs (</w:t>
      </w:r>
      <w:hyperlink r:id="rId14407">
        <w:r>
          <w:rPr>
            <w:color w:val="0000EE"/>
            <w:u w:val="single"/>
          </w:rPr>
          <w:t>8.6</w:t>
        </w:r>
      </w:hyperlink>
      <w:r>
        <w:t xml:space="preserve">); mesmo após sua morte, a terra estava coberta de pilhas de seus corpos (v. </w:t>
      </w:r>
      <w:hyperlink r:id="rId17391">
        <w:r>
          <w:rPr>
            <w:color w:val="0000EE"/>
            <w:u w:val="single"/>
          </w:rPr>
          <w:t>14</w:t>
        </w:r>
      </w:hyperlink>
      <w:r>
        <w:t xml:space="preserve">). Depois veio uma praga de piolhos (v. </w:t>
      </w:r>
      <w:hyperlink r:id="rId17392">
        <w:r>
          <w:rPr>
            <w:color w:val="0000EE"/>
            <w:u w:val="single"/>
          </w:rPr>
          <w:t>17</w:t>
        </w:r>
      </w:hyperlink>
      <w:r>
        <w:t xml:space="preserve">), ou possivelmente mosquitos, mosquitos-palha ou pernilongos. O sentido exato da palavra não é claro, mas obviamente significa alguma pequena criatura irritante. Depois disso, vieram "enxames de moscas" (v. </w:t>
      </w:r>
      <w:hyperlink r:id="rId17393">
        <w:r>
          <w:rPr>
            <w:color w:val="0000EE"/>
            <w:u w:val="single"/>
          </w:rPr>
          <w:t>24</w:t>
        </w:r>
      </w:hyperlink>
      <w:r>
        <w:t>). Novamente, o significado não é muito claro. A tradição judaica posterior interpretou como enxames de feras selvagens, mas moscas é um sentido muito mais provável. Então, algum tipo de praga de gado atingiu (</w:t>
      </w:r>
      <w:hyperlink r:id="rId17394">
        <w:r>
          <w:rPr>
            <w:color w:val="0000EE"/>
            <w:u w:val="single"/>
          </w:rPr>
          <w:t>9.3</w:t>
        </w:r>
      </w:hyperlink>
      <w:r>
        <w:t xml:space="preserve">), afetando os animais domésticos. Depois disso, surgiram furúnculos nos humanos (v. </w:t>
      </w:r>
      <w:hyperlink r:id="rId17395">
        <w:r>
          <w:rPr>
            <w:color w:val="0000EE"/>
            <w:u w:val="single"/>
          </w:rPr>
          <w:t>9</w:t>
        </w:r>
      </w:hyperlink>
      <w:r>
        <w:t xml:space="preserve">), furúnculos que se transformaram em bolhas dolorosas e úlceras, aparentemente irritantes em vez de fatais. Seguiu-se granizo (v. </w:t>
      </w:r>
      <w:hyperlink r:id="rId17396">
        <w:r>
          <w:rPr>
            <w:color w:val="0000EE"/>
            <w:u w:val="single"/>
          </w:rPr>
          <w:t>18</w:t>
        </w:r>
      </w:hyperlink>
      <w:r>
        <w:t xml:space="preserve">), tão severo que nada parecido havia sido visto antes — granizo associado a trovões e relâmpagos (v. </w:t>
      </w:r>
      <w:hyperlink r:id="rId17387">
        <w:r>
          <w:rPr>
            <w:color w:val="0000EE"/>
            <w:u w:val="single"/>
          </w:rPr>
          <w:t>24</w:t>
        </w:r>
      </w:hyperlink>
      <w:r>
        <w:t xml:space="preserve">). Isso foi tão pesado que poderia ser fatal (v. </w:t>
      </w:r>
      <w:hyperlink r:id="rId17397">
        <w:r>
          <w:rPr>
            <w:color w:val="0000EE"/>
            <w:u w:val="single"/>
          </w:rPr>
          <w:t>19</w:t>
        </w:r>
      </w:hyperlink>
      <w:r>
        <w:t xml:space="preserve">), e naturalmente causou grande dano às colheitas do Egito (v. </w:t>
      </w:r>
      <w:hyperlink r:id="rId17398">
        <w:r>
          <w:rPr>
            <w:color w:val="0000EE"/>
            <w:u w:val="single"/>
          </w:rPr>
          <w:t>31</w:t>
        </w:r>
      </w:hyperlink>
      <w:r>
        <w:t>). Depois disso, vieram gafanhotos em vastas quantidades (</w:t>
      </w:r>
      <w:hyperlink r:id="rId8348">
        <w:r>
          <w:rPr>
            <w:color w:val="0000EE"/>
            <w:u w:val="single"/>
          </w:rPr>
          <w:t>10.13</w:t>
        </w:r>
      </w:hyperlink>
      <w:r>
        <w:t xml:space="preserve">) — novamente em uma escala sem precedentes. Então vieram três dias de escuridão completa (v. </w:t>
      </w:r>
      <w:hyperlink r:id="rId17399">
        <w:r>
          <w:rPr>
            <w:color w:val="0000EE"/>
            <w:u w:val="single"/>
          </w:rPr>
          <w:t>22</w:t>
        </w:r>
      </w:hyperlink>
      <w:r>
        <w:t>) que paralisaram a vida egípcia. Finalmente, todos os primogênitos dos egípcios morreram (</w:t>
      </w:r>
      <w:hyperlink r:id="rId17400">
        <w:r>
          <w:rPr>
            <w:color w:val="0000EE"/>
            <w:u w:val="single"/>
          </w:rPr>
          <w:t>12.29</w:t>
        </w:r>
      </w:hyperlink>
      <w:r>
        <w:t>) — desde a casa do Faraó até as casas mais humildes do país.</w:t>
      </w:r>
    </w:p>
    <w:p>
      <w:r/>
      <w:r>
        <w:t>Todas as pragas são vistas na Bíblia como julgamentos sucessivos de Deus. Normalmente, cada uma é precedida por um aviso de Moisés, que é ignorado por Faraó, e então cada uma é retirada como resultado de um arrependimento temporário por parte de Faraó. Também é claro que as pragas aumentam gradualmente em severidade e intensidade, até que o clímax chega com a morte dos primogênitos — com isso, até mesmo Faraó é quebrado. As primeiras pragas representam desconforto em vez de perigo para os egípcios; depois, seus animais e colheitas são atingidos; finalmente, a morte leva os primogênitos, a elite da nação.</w:t>
      </w:r>
    </w:p>
    <w:p>
      <w:r/>
      <w:r>
        <w:t>Existem certas características comuns que permeiam o relato das pragas. No início, os magos do Faraó tentam minimizar as pragas e os sinais que as precedem, produzindo efeitos semelhantes por conta própria (</w:t>
      </w:r>
      <w:hyperlink r:id="rId17401">
        <w:r>
          <w:rPr>
            <w:color w:val="0000EE"/>
            <w:u w:val="single"/>
          </w:rPr>
          <w:t>7.11–12</w:t>
        </w:r>
      </w:hyperlink>
      <w:r>
        <w:t xml:space="preserve">; </w:t>
      </w:r>
      <w:hyperlink r:id="rId17402">
        <w:r>
          <w:rPr>
            <w:color w:val="0000EE"/>
            <w:u w:val="single"/>
          </w:rPr>
          <w:t>8.7</w:t>
        </w:r>
      </w:hyperlink>
      <w:r>
        <w:t>). Este é um aviso interessante de que milagres podem ser produzidos a partir de várias fontes e que esse tipo de sinal, portanto, não é importante em si mesmo. Mas chega o momento em que os magos são derrotados e não conseguem mais competir (</w:t>
      </w:r>
      <w:hyperlink r:id="rId17403">
        <w:r>
          <w:rPr>
            <w:color w:val="0000EE"/>
            <w:u w:val="single"/>
          </w:rPr>
          <w:t>8.18</w:t>
        </w:r>
      </w:hyperlink>
      <w:r>
        <w:t xml:space="preserve">); até eles admitem que esta é a mão de Deus (v. </w:t>
      </w:r>
      <w:hyperlink r:id="rId2384">
        <w:r>
          <w:rPr>
            <w:color w:val="0000EE"/>
            <w:u w:val="single"/>
          </w:rPr>
          <w:t>19</w:t>
        </w:r>
      </w:hyperlink>
      <w:r>
        <w:t>). Quando a praga das úlceras chega, os magos não conseguem nem se apresentar diante do Faraó, tão ruim está a condição deles. Depois disso, os magos desaparecem da história.</w:t>
      </w:r>
    </w:p>
    <w:p>
      <w:r/>
      <w:r>
        <w:t>Outro motivo que se torna cada vez mais claro à medida que o relato das pragas continua é a ênfase crescente na maneira como o povo de Deus, vivendo em Gósen, foi poupado das pragas que afetaram os egípcios. Poderia ser assumido de qualquer forma que, como Gósen não estava no Nilo, a água que se transformou em sangue e a praga de rãs e mosquitos poderiam afetá-los menos. Mas no caso das posteriores nuvens de moscas (</w:t>
      </w:r>
      <w:hyperlink r:id="rId17404">
        <w:r>
          <w:rPr>
            <w:color w:val="0000EE"/>
            <w:u w:val="single"/>
          </w:rPr>
          <w:t>8.22</w:t>
        </w:r>
      </w:hyperlink>
      <w:r>
        <w:t>), a praga do gado (</w:t>
      </w:r>
      <w:hyperlink r:id="rId17405">
        <w:r>
          <w:rPr>
            <w:color w:val="0000EE"/>
            <w:u w:val="single"/>
          </w:rPr>
          <w:t>9.4</w:t>
        </w:r>
      </w:hyperlink>
      <w:r>
        <w:t xml:space="preserve">), o granizo (v. </w:t>
      </w:r>
      <w:hyperlink r:id="rId17406">
        <w:r>
          <w:rPr>
            <w:color w:val="0000EE"/>
            <w:u w:val="single"/>
          </w:rPr>
          <w:t>26</w:t>
        </w:r>
      </w:hyperlink>
      <w:r>
        <w:t>) e a escuridão (</w:t>
      </w:r>
      <w:hyperlink r:id="rId13468">
        <w:r>
          <w:rPr>
            <w:color w:val="0000EE"/>
            <w:u w:val="single"/>
          </w:rPr>
          <w:t>10.23</w:t>
        </w:r>
      </w:hyperlink>
      <w:r>
        <w:t>), somos especificamente informados de que Israel foi poupado; no caso da morte dos primogênitos, o Senhor “passou por cima” das casas israelitas.</w:t>
      </w:r>
    </w:p>
    <w:p>
      <w:r/>
      <w:r>
        <w:t>No início, parece que os corações de todos os egípcios são tão duros quanto o do Faraó (</w:t>
      </w:r>
      <w:hyperlink r:id="rId13123">
        <w:r>
          <w:rPr>
            <w:color w:val="0000EE"/>
            <w:u w:val="single"/>
          </w:rPr>
          <w:t>7.13</w:t>
        </w:r>
      </w:hyperlink>
      <w:r>
        <w:t>). No entanto, à medida que a história avança, seu próprio povo continua a instá-lo a ceder a Deus. Os magos admitem o papel de Deus na praga dos piolhos (</w:t>
      </w:r>
      <w:hyperlink r:id="rId2384">
        <w:r>
          <w:rPr>
            <w:color w:val="0000EE"/>
            <w:u w:val="single"/>
          </w:rPr>
          <w:t>8.19</w:t>
        </w:r>
      </w:hyperlink>
      <w:r>
        <w:t>). Os servos do Faraó que ouviram o aviso de Deus através de Moisés trouxeram seus servos e gado para dentro de casa antes das grandes tempestades de granizo, escapando assim da perda e da morte (</w:t>
      </w:r>
      <w:hyperlink r:id="rId17407">
        <w:r>
          <w:rPr>
            <w:color w:val="0000EE"/>
            <w:u w:val="single"/>
          </w:rPr>
          <w:t>9.20</w:t>
        </w:r>
      </w:hyperlink>
      <w:r>
        <w:t>). Somente os incrédulos sofreram. Finalmente, os próprios servos do Faraó o exortaram a deixar Israel ir, dizendo-lhe diretamente que a terra estava sendo arruinada por sua teimosia (</w:t>
      </w:r>
      <w:hyperlink r:id="rId17408">
        <w:r>
          <w:rPr>
            <w:color w:val="0000EE"/>
            <w:u w:val="single"/>
          </w:rPr>
          <w:t>10.7</w:t>
        </w:r>
      </w:hyperlink>
      <w:r>
        <w:t>).</w:t>
      </w:r>
    </w:p>
    <w:p>
      <w:pPr>
        <w:pStyle w:val="Heading3"/>
      </w:pPr>
      <w:r>
        <w:t>Faraó e as pragas</w:t>
      </w:r>
    </w:p>
    <w:p>
      <w:r/>
      <w:r>
        <w:t xml:space="preserve">A reação do Faraó à palavra de Deus é notável. As Escrituras descrevem a dureza do coração do Faraó de três maneiras. </w:t>
      </w:r>
      <w:hyperlink r:id="rId7508">
        <w:r>
          <w:rPr>
            <w:color w:val="0000EE"/>
            <w:u w:val="single"/>
          </w:rPr>
          <w:t>Êxodo 7.3</w:t>
        </w:r>
      </w:hyperlink>
      <w:r>
        <w:t xml:space="preserve"> fala de Deus endurecendo o coração do Faraó; </w:t>
      </w:r>
      <w:hyperlink r:id="rId17409">
        <w:r>
          <w:rPr>
            <w:color w:val="0000EE"/>
            <w:u w:val="single"/>
          </w:rPr>
          <w:t>7.14</w:t>
        </w:r>
      </w:hyperlink>
      <w:r>
        <w:t xml:space="preserve"> tem a declaração neutra de que o coração do Faraó estava endurecido; e </w:t>
      </w:r>
      <w:hyperlink r:id="rId7514">
        <w:r>
          <w:rPr>
            <w:color w:val="0000EE"/>
            <w:u w:val="single"/>
          </w:rPr>
          <w:t>8.15</w:t>
        </w:r>
      </w:hyperlink>
      <w:r>
        <w:t xml:space="preserve"> mostra o Faraó endurecendo seu próprio coração. Obviamente, todos esses se referem ao mesmo processo, que deve ser levado em conta em qualquer explicação. Além disso, deve-se permitir que Paulo tenha a última palavra sobre o assunto (</w:t>
      </w:r>
      <w:hyperlink r:id="rId17410">
        <w:r>
          <w:rPr>
            <w:color w:val="0000EE"/>
            <w:u w:val="single"/>
          </w:rPr>
          <w:t>Rm 9.18</w:t>
        </w:r>
      </w:hyperlink>
      <w:r>
        <w:t>).</w:t>
      </w:r>
    </w:p>
    <w:p>
      <w:r/>
      <w:r>
        <w:t>Mas, dentro deste contexto teológico, há bastante movimento, não apenas uma sucessão de arrependimentos superficiais destinados a garantir a remoção da praga, seguidos por uma renovada teimosia que invoca um novo julgamento. Há também uma típica sessão de barganha asiática entre Faraó e Moisés. Após as promessas quebradas de Faraó de deixar o povo ir (</w:t>
      </w:r>
      <w:hyperlink r:id="rId17411">
        <w:r>
          <w:rPr>
            <w:color w:val="0000EE"/>
            <w:u w:val="single"/>
          </w:rPr>
          <w:t>8.8</w:t>
        </w:r>
      </w:hyperlink>
      <w:r>
        <w:t xml:space="preserve">), ele tenta barganhar: o povo deveria sacrificar a Deus no Egito, sem realmente partir (v. </w:t>
      </w:r>
      <w:hyperlink r:id="rId17412">
        <w:r>
          <w:rPr>
            <w:color w:val="0000EE"/>
            <w:u w:val="single"/>
          </w:rPr>
          <w:t>25</w:t>
        </w:r>
      </w:hyperlink>
      <w:r>
        <w:t>); apenas os homens deveriam ir (</w:t>
      </w:r>
      <w:hyperlink r:id="rId17413">
        <w:r>
          <w:rPr>
            <w:color w:val="0000EE"/>
            <w:u w:val="single"/>
          </w:rPr>
          <w:t>10.11</w:t>
        </w:r>
      </w:hyperlink>
      <w:r>
        <w:t xml:space="preserve">); todos deveriam ir, mas deixar seus rebanhos e manadas como reféns (v. </w:t>
      </w:r>
      <w:hyperlink r:id="rId17414">
        <w:r>
          <w:rPr>
            <w:color w:val="0000EE"/>
            <w:u w:val="single"/>
          </w:rPr>
          <w:t>24</w:t>
        </w:r>
      </w:hyperlink>
      <w:r>
        <w:t>). Mas não pode haver barganha desse tipo em resposta ao chamado de Deus, como Faraó viria a aprender. Após a morte dos primogênitos, ele ficou contente em ver os israelitas partirem (</w:t>
      </w:r>
      <w:hyperlink r:id="rId17415">
        <w:r>
          <w:rPr>
            <w:color w:val="0000EE"/>
            <w:u w:val="single"/>
          </w:rPr>
          <w:t>12.31–33</w:t>
        </w:r>
      </w:hyperlink>
      <w:r>
        <w:t>).</w:t>
      </w:r>
    </w:p>
    <w:p>
      <w:r/>
      <w:r>
        <w:t>Nesse sentido, toda a história das pragas é uma luta. Às vezes, foi vista como a luta do tipo de profeta, Moisés (</w:t>
      </w:r>
      <w:hyperlink r:id="rId11897">
        <w:r>
          <w:rPr>
            <w:color w:val="0000EE"/>
            <w:u w:val="single"/>
          </w:rPr>
          <w:t>Dt 18.15</w:t>
        </w:r>
      </w:hyperlink>
      <w:r>
        <w:t>), contra o tipo de rei, Faraó; embora possa ser isso, é muito mais. É a luta de Moisés, o servo de Deus, contra os magos. É a luta de Moisés contra o poderoso Faraó, ou melhor, a confrontação de Faraó por Deus, na forma da palavra trazida por seu servo. No nível mais profundo, é uma vitória conquistada por Deus sobre os falsos deuses do Egito. Isso dá a muitas das histórias seu sabor peculiar. Pois o Nilo é o deus Hapi; Heket, o sapo, é um deus da fertilidade e do parto; Rá, o sol (indignado pela escuridão), é um deus; Hator tinha a forma de uma novilha, e Ápis a de um touro; o insetos voadores simbolizavam o Egito; e o próprio Faraó era um deus. No entanto, todos eram impotentes diante do Deus de Israel.</w:t>
      </w:r>
    </w:p>
    <w:p>
      <w:pPr>
        <w:pStyle w:val="Heading3"/>
      </w:pPr>
      <w:r>
        <w:t>A natureza das pragas</w:t>
      </w:r>
    </w:p>
    <w:p>
      <w:r/>
      <w:r>
        <w:t>Não se sabe como Deus mandou as pragas, e alguns podem achar desnecessário até mesmo perguntar, já que Deus é livre para usar os meios que lhe agradam. No entanto, a afirmação de que Deus fez recuar as águas do "Mar de Juncos" por um forte vento leste (</w:t>
      </w:r>
      <w:hyperlink r:id="rId8349">
        <w:r>
          <w:rPr>
            <w:color w:val="0000EE"/>
            <w:u w:val="single"/>
          </w:rPr>
          <w:t>Êx 14.21</w:t>
        </w:r>
      </w:hyperlink>
      <w:r>
        <w:t>) indica que Deus poderia usar meios naturais para realizar sua vontade. O conceito hebraico de "milagre" não era o mesmo que o moderno, que geralmente considera milagres como "sobrenaturais" e vê todo o resto como "natural" e, portanto, não milagroso. Os hebreus, no entanto, consideravam tudo na natureza como obra de Deus; era apenas que, em certas ocasiões, ele agia de maneira mais "maravilhosa" (talvez se diria mais "obviamente") do que em outras. Portanto, não há nada de racionalista em dizer que, nesta ocasião, Deus pode ter enviado uma série de desastres "naturais" (o tipo de desastres aos quais o Egito era geograficamente propenso), mas os intensificou tanto — e os enviou em sucessão tão rápida — que constituíram milagres.</w:t>
      </w:r>
    </w:p>
    <w:p>
      <w:r/>
      <w:r>
        <w:t>A maioria das explicações desse tipo assume um ano de condições climáticas incomuns e, em particular, uma variação na elevação anual do Nilo. Por exemplo, tanto uma elevação excepcionalmente baixa do Nilo (causando a água vermelha e lamacenta) quanto uma elevação excepcionalmente alta do Nilo (trazendo terra vermelha das terras altas da Etiópia) foram sugeridas como explicações para a primeira praga. Se alguém considerar que a descrição "transformado em sangue" seria satisfeita por água espessa de cor de sangue, então qualquer uma das situações seria satisfatória. Outra sugestão atraente é a multiplicação de plâncton vermelho na água. Esse fenômeno é bastante comum em todo o mundo, especialmente em áreas tropicais e subtropicais. Isso tornaria a semelhança com o sangue muito mais próxima. Em qualquer um desses casos, a morte de peixes em água poluída e a migração de sapos do rio seriam compreensíveis. Se o Nilo estivesse inundando mais amplamente do que o habitual, a praga de rãs seria ainda mais compreensível. Alguns viram a morte súbita dos sapos como resultado de algum tipo de antraz interno; e, com pilhas de corpos de rãs fedorentos nos campos, o caminho estava amplamente aberto tanto para os portadores das pragas (moscas, etc.) quanto para as pragas que se seguiram.</w:t>
      </w:r>
    </w:p>
    <w:p>
      <w:r/>
      <w:r>
        <w:t>A próxima praga, por exemplo, foi de mosquitos, mosquitos-palha ou possivelmente piolhos. Pelo menos o primeiro e o último são transmissores potentes de doenças, e todos causariam feridas irritantes por suas picadas. A inundação das águas estagnadas do Nilo proporcionaria condições perfeitas de reprodução para os mosquitos em particular.</w:t>
      </w:r>
    </w:p>
    <w:p>
      <w:r/>
      <w:r>
        <w:t>Se estivermos corretos ao supor que os enxames que se seguiram eram de moscas, então tudo se encaixaria em um padrão divino. Pilhas de rãs mortas, pilhas de lixo espalhadas pela terra pela enchente (incluindo, sem dúvida, esgoto não tratado), águas do Nilo sujas e lamacentas — este seria um local ideal para a reprodução de moscas. Além disso, intérpretes judeus sugerem que as moscas em questão eram moscas que picam ou ferroam. Talvez estas fossem as responsáveis pela doença do gado. Intérpretes modernos sugeriram um tipo específico de mosca, ainda conhecido na área, que se multiplica muito rapidamente em meio à vegetação em decomposição. As moscas e o pó (</w:t>
      </w:r>
      <w:hyperlink r:id="rId17395">
        <w:r>
          <w:rPr>
            <w:color w:val="0000EE"/>
            <w:u w:val="single"/>
          </w:rPr>
          <w:t>9.9</w:t>
        </w:r>
      </w:hyperlink>
      <w:r>
        <w:t>) entre eles poderiam ter produzido aquela temida praga tropical “brotoeja”, facilmente infecciosa.</w:t>
      </w:r>
    </w:p>
    <w:p>
      <w:r/>
      <w:r>
        <w:t>Novamente, na providência de Deus, se os israelitas não estivessem na área do Delta, nem realmente vivendo ao longo do próprio Nilo, mas concentrados no Wadi Tumilat a leste, eles seriam poupados dessas pragas — um fato que não passou despercebido ao Faraó (</w:t>
      </w:r>
      <w:hyperlink r:id="rId17416">
        <w:r>
          <w:rPr>
            <w:color w:val="0000EE"/>
            <w:u w:val="single"/>
          </w:rPr>
          <w:t>9.7</w:t>
        </w:r>
      </w:hyperlink>
      <w:r>
        <w:t>). O milagre, portanto, residia na providência soberana de Deus, usando seu mundo e suas condições geográficas e climáticas para realizar sua obra de julgamento sobre os de coração endurecido.</w:t>
      </w:r>
    </w:p>
    <w:p>
      <w:r/>
      <w:r>
        <w:t>Granizo, acompanhado por violentas tempestades (</w:t>
      </w:r>
      <w:hyperlink r:id="rId17387">
        <w:r>
          <w:rPr>
            <w:color w:val="0000EE"/>
            <w:u w:val="single"/>
          </w:rPr>
          <w:t>9.24</w:t>
        </w:r>
      </w:hyperlink>
      <w:r>
        <w:t>), seria facilmente explicável (embora raro no Egito), especialmente nas condições de "funil" do Vale do Nilo, cercado por deserto quente e seco de ambos os lados. Quanto à severidade do granizo (mais comum na Palestina), há paralelos bíblicos (</w:t>
      </w:r>
      <w:hyperlink r:id="rId4753">
        <w:r>
          <w:rPr>
            <w:color w:val="0000EE"/>
            <w:u w:val="single"/>
          </w:rPr>
          <w:t>Js 10.11</w:t>
        </w:r>
      </w:hyperlink>
      <w:r>
        <w:t>). Com esta praga, há uma valiosa nota de tempo, dada incidentalmente (</w:t>
      </w:r>
      <w:hyperlink r:id="rId5207">
        <w:r>
          <w:rPr>
            <w:color w:val="0000EE"/>
            <w:u w:val="single"/>
          </w:rPr>
          <w:t>Êx 9.31–32</w:t>
        </w:r>
      </w:hyperlink>
      <w:r>
        <w:t>) em conexão com as colheitas destruídas pelo granizo.</w:t>
      </w:r>
    </w:p>
    <w:p>
      <w:r/>
      <w:r>
        <w:t>No caso da praga de gafanhotos, o uso dos elementos da natureza por Deus é claramente mostrado no texto, onde um "vento leste" os traz e um "vento do mar" os leva embora (</w:t>
      </w:r>
      <w:hyperlink r:id="rId17417">
        <w:r>
          <w:rPr>
            <w:color w:val="0000EE"/>
            <w:u w:val="single"/>
          </w:rPr>
          <w:t>10.13,19</w:t>
        </w:r>
      </w:hyperlink>
      <w:r>
        <w:t xml:space="preserve">). A "praga" aqui é tanto o enorme número de gafanhotos (veja </w:t>
      </w:r>
      <w:hyperlink r:id="rId13154">
        <w:r>
          <w:rPr>
            <w:color w:val="0000EE"/>
            <w:u w:val="single"/>
          </w:rPr>
          <w:t>Jl 1.1–12</w:t>
        </w:r>
      </w:hyperlink>
      <w:r>
        <w:t xml:space="preserve"> para outra ilustração deste flagelo) quanto o momento de sua chegada. Há muitos outros lugares no AT onde a precisão do tempo de Deus é mostrada e onde, de fato, o elemento milagroso reside no momento do evento.</w:t>
      </w:r>
    </w:p>
    <w:p>
      <w:r/>
      <w:r>
        <w:t>Os gafanhotos podem ter escurecido a terra com seu número (</w:t>
      </w:r>
      <w:hyperlink r:id="rId9598">
        <w:r>
          <w:rPr>
            <w:color w:val="0000EE"/>
            <w:u w:val="single"/>
          </w:rPr>
          <w:t>Êx 10.15</w:t>
        </w:r>
      </w:hyperlink>
      <w:r>
        <w:t xml:space="preserve">), mas isso não foi nada comparado aos três dias de escuridão que se seguiram. A maioria dos comentaristas concorda que isso é o temido </w:t>
      </w:r>
      <w:r>
        <w:rPr>
          <w:i/>
        </w:rPr>
        <w:t>khamsin,</w:t>
      </w:r>
      <w:r>
        <w:t xml:space="preserve"> o vento quente do deserto que traz tempestades de poeira ou tempestades de areia que enchem o céu e podem durar dias sem trégua. Se a terra vermelha das terras altas da Etiópia tivesse sido trazida pelas águas da enchente do Nilo e depositada amplamente sobre a terra, alguns comentaristas sugeriram que ela foi levantada no ar por esse vento, criando assim um manto ainda mais escuro sobre a terra.</w:t>
      </w:r>
    </w:p>
    <w:p>
      <w:r/>
      <w:r>
        <w:t>No caso da última praga, a morte dos primogênitos, não temos indicação de qual doença específica, se alguma, foi usada por Deus. As Escrituras não nos dão pistas. O que pode ser dito é que os egípcios sofreram, mas os israelitas não. Após esta praga, eles estavam livres. Daí em diante, era de seu alegre conhecimento que nenhuma das “pragas do Egito” os atingiria como povo de Deus (</w:t>
      </w:r>
      <w:hyperlink r:id="rId7447">
        <w:r>
          <w:rPr>
            <w:color w:val="0000EE"/>
            <w:u w:val="single"/>
          </w:rPr>
          <w:t>15.26</w:t>
        </w:r>
      </w:hyperlink>
      <w:r>
        <w:t xml:space="preserve">). Era sua crença inabalável que essas pragas eram o julgamento de Deus, um castigo sobre o teimoso Faraó, mas o meio de sua salvação. Portanto, as pragas não são apenas um aviso para nós, mas também um encorajamento. </w:t>
      </w:r>
      <w:r>
        <w:rPr>
          <w:i/>
        </w:rPr>
        <w:t>Veja</w:t>
      </w:r>
      <w:r>
        <w:t xml:space="preserve"> </w:t>
      </w:r>
      <w:r>
        <w:t>Egito, Egípcio</w:t>
      </w:r>
      <w:r>
        <w:t xml:space="preserve">; </w:t>
      </w:r>
      <w:r>
        <w:t>Êxodo, Livro de</w:t>
      </w:r>
      <w:r>
        <w:t xml:space="preserve">; </w:t>
      </w:r>
      <w:r>
        <w:t>Moisés</w:t>
      </w:r>
      <w:r>
        <w:t xml:space="preserve">; </w:t>
      </w:r>
      <w:r>
        <w:t>Praga</w:t>
      </w:r>
      <w:r>
        <w:t>.</w:t>
      </w:r>
      <w:r/>
      <w:r/>
    </w:p>
    <w:p>
      <w:r/>
    </w:p>
    <w:p>
      <w:pPr>
        <w:pStyle w:val="Heading2"/>
      </w:pPr>
      <w:r>
        <w:t>Prato</w:t>
      </w:r>
      <w:r/>
    </w:p>
    <w:p>
      <w:r/>
      <w:r>
        <w:t>Um recipiente, geralmente feito de argila cozida ou metal, usado na vida cotidiana e em cerimônias religiosas. Pratos eram usados para servir ou preservar alimentos (</w:t>
      </w:r>
      <w:hyperlink r:id="rId17418">
        <w:r>
          <w:rPr>
            <w:color w:val="0000EE"/>
            <w:u w:val="single"/>
          </w:rPr>
          <w:t>Jz 5.25</w:t>
        </w:r>
      </w:hyperlink>
      <w:r>
        <w:t xml:space="preserve">; </w:t>
      </w:r>
      <w:hyperlink r:id="rId17419">
        <w:r>
          <w:rPr>
            <w:color w:val="0000EE"/>
            <w:u w:val="single"/>
          </w:rPr>
          <w:t>Mt 26.23</w:t>
        </w:r>
      </w:hyperlink>
      <w:r>
        <w:t xml:space="preserve">; </w:t>
      </w:r>
      <w:hyperlink r:id="rId17420">
        <w:r>
          <w:rPr>
            <w:color w:val="0000EE"/>
            <w:u w:val="single"/>
          </w:rPr>
          <w:t>Mc 14.20</w:t>
        </w:r>
      </w:hyperlink>
      <w:r>
        <w:t>). Eles precisavam ser limpos e deixados para secar (</w:t>
      </w:r>
      <w:hyperlink r:id="rId17421">
        <w:r>
          <w:rPr>
            <w:color w:val="0000EE"/>
            <w:u w:val="single"/>
          </w:rPr>
          <w:t>2Rs 21.13</w:t>
        </w:r>
      </w:hyperlink>
      <w:r>
        <w:t>). Mais tarde, os fariseus (um grupo religioso judeu ativo no período do Novo Testamento) adicionaram uma purificação ritual também (</w:t>
      </w:r>
      <w:hyperlink r:id="rId17422">
        <w:r>
          <w:rPr>
            <w:color w:val="0000EE"/>
            <w:u w:val="single"/>
          </w:rPr>
          <w:t>Mt 23.25,26</w:t>
        </w:r>
      </w:hyperlink>
      <w:r>
        <w:t xml:space="preserve">; </w:t>
      </w:r>
      <w:hyperlink r:id="rId10660">
        <w:r>
          <w:rPr>
            <w:color w:val="0000EE"/>
            <w:u w:val="single"/>
          </w:rPr>
          <w:t>Lc 11.39</w:t>
        </w:r>
      </w:hyperlink>
      <w:r>
        <w:t>). Pratos eram usados em conexão com a oferta de refeição (</w:t>
      </w:r>
      <w:hyperlink r:id="rId17423">
        <w:r>
          <w:rPr>
            <w:color w:val="0000EE"/>
            <w:u w:val="single"/>
          </w:rPr>
          <w:t>Nm 7.13</w:t>
        </w:r>
      </w:hyperlink>
      <w:r>
        <w:t>). Pratos também eram usados com a mesa dos pães da proposição para adoração no tabernáculo e templo do Antigo Testamento (</w:t>
      </w:r>
      <w:hyperlink r:id="rId17424">
        <w:r>
          <w:rPr>
            <w:color w:val="0000EE"/>
            <w:u w:val="single"/>
          </w:rPr>
          <w:t>Êx 25.29</w:t>
        </w:r>
      </w:hyperlink>
      <w:r>
        <w:t xml:space="preserve">; </w:t>
      </w:r>
      <w:hyperlink r:id="rId17425">
        <w:r>
          <w:rPr>
            <w:color w:val="0000EE"/>
            <w:u w:val="single"/>
          </w:rPr>
          <w:t>37.16</w:t>
        </w:r>
      </w:hyperlink>
      <w:r>
        <w:t xml:space="preserve">; </w:t>
      </w:r>
      <w:hyperlink r:id="rId17426">
        <w:r>
          <w:rPr>
            <w:color w:val="0000EE"/>
            <w:u w:val="single"/>
          </w:rPr>
          <w:t>Nm 4.7</w:t>
        </w:r>
      </w:hyperlink>
      <w:r>
        <w:t>).</w:t>
      </w:r>
      <w:r/>
      <w:r/>
    </w:p>
    <w:p>
      <w:r/>
    </w:p>
    <w:p>
      <w:pPr>
        <w:pStyle w:val="Heading2"/>
      </w:pPr>
      <w:r>
        <w:t>Precursor</w:t>
      </w:r>
      <w:r/>
    </w:p>
    <w:p>
      <w:r/>
      <w:r>
        <w:t>Batedor enviado à frente das tropas, ou um arauto que precede um alto oficial para anunciar sua chegada. O termo é usado para descrever o homem que correu à frente de José quando ele era vice-regente do Egito (</w:t>
      </w:r>
      <w:hyperlink r:id="rId669">
        <w:r>
          <w:rPr>
            <w:color w:val="0000EE"/>
            <w:u w:val="single"/>
          </w:rPr>
          <w:t>Gn 41.43</w:t>
        </w:r>
      </w:hyperlink>
      <w:r>
        <w:t>), e para se referir às primeiras uvas da temporada na terra de Canaã (</w:t>
      </w:r>
      <w:hyperlink r:id="rId15421">
        <w:r>
          <w:rPr>
            <w:color w:val="0000EE"/>
            <w:u w:val="single"/>
          </w:rPr>
          <w:t>Nm 13.20</w:t>
        </w:r>
      </w:hyperlink>
      <w:r>
        <w:t>). Nos Apócrifos, vespas são mencionadas como enviadas como precursoras do exército israelita, que trariam julgamento sobre o povo de Canaã (</w:t>
      </w:r>
      <w:hyperlink r:id="rId17427">
        <w:r>
          <w:rPr>
            <w:color w:val="0000EE"/>
            <w:u w:val="single"/>
          </w:rPr>
          <w:t>Sb 12.8</w:t>
        </w:r>
      </w:hyperlink>
      <w:r>
        <w:t>).</w:t>
      </w:r>
    </w:p>
    <w:p>
      <w:r/>
      <w:r>
        <w:t>Embora João Batista seja comumente visto como o precursor de Jesus Cristo, o termo não é usado na Bíblia em referência a ele. A palavra ocorre apenas uma vez no NT, onde o próprio Cristo é descrito como nosso precursor (</w:t>
      </w:r>
      <w:hyperlink r:id="rId2680">
        <w:r>
          <w:rPr>
            <w:color w:val="0000EE"/>
            <w:u w:val="single"/>
          </w:rPr>
          <w:t>Hb 6.20</w:t>
        </w:r>
      </w:hyperlink>
      <w:r>
        <w:t xml:space="preserve">). Sob o antigo pacto, o povo nunca acompanhava o sumo sacerdote ao lugar mais sagrado do templo. O livro de Hebreus, ao discutir o novo pacto, descreve Jesus como um sumo sacerdote que entrou no céu—o Lugar Santo—a frente daqueles que acreditam nele (cf. </w:t>
      </w:r>
      <w:hyperlink r:id="rId17428">
        <w:r>
          <w:rPr>
            <w:color w:val="0000EE"/>
            <w:u w:val="single"/>
          </w:rPr>
          <w:t>2.17; 3.2</w:t>
        </w:r>
      </w:hyperlink>
      <w:r>
        <w:t xml:space="preserve">; </w:t>
      </w:r>
      <w:hyperlink r:id="rId17429">
        <w:r>
          <w:rPr>
            <w:color w:val="0000EE"/>
            <w:u w:val="single"/>
          </w:rPr>
          <w:t>5.1–9</w:t>
        </w:r>
      </w:hyperlink>
      <w:r>
        <w:t>).</w:t>
      </w:r>
      <w:r/>
      <w:r/>
    </w:p>
    <w:p>
      <w:r/>
    </w:p>
    <w:p>
      <w:pPr>
        <w:pStyle w:val="Heading2"/>
      </w:pPr>
      <w:r>
        <w:t>Predestinação</w:t>
      </w:r>
      <w:r/>
    </w:p>
    <w:p>
      <w:pPr>
        <w:pStyle w:val="Heading3"/>
      </w:pPr>
      <w:r>
        <w:t>O que é predestinação?</w:t>
      </w:r>
    </w:p>
    <w:p>
      <w:r/>
      <w:r>
        <w:t>A atividade de Deus de decidir eventos e resultados antes que eles aconteçam. As pessoas frequentemente usam "preordenação" e "predestinação" para significar a mesma coisa. No entanto, "predestinação" e "eleição" referem-se especificamente ao destino das pessoas.</w:t>
      </w:r>
    </w:p>
    <w:p>
      <w:r/>
      <w:r>
        <w:t>Muitos dos primeiros pais da igreja escreveram sobre a predestinação. Agostinho de Hipona, que viveu de 354 a 430, enfatizou a predestinação em seus ensinamentos. Agostinho influenciou grandemente os Reformadores Protestantes, especialmente João Calvino. Teólogos reformados começam a estudar a predestinação olhando para o decreto eterno de Deus, como mostrado em declarações de fé como a Confissão de Fé de Westminster. O decreto de Deus é um, mas as pessoas geralmente falam sobre ele como "os decretos de Deus" para ajudar a explicá-lo. Martinho Lutero acreditava na predestinação, mas não a enfatizou tanto quanto Calvino. Os ensinamentos de Lutero não falam muito sobre predestinação, discutindo principalmente a eleição. O pensamento luterano moderno enfatiza a eleição condicional, em vez da eleição absoluta. Isso significa que eles acreditam que a eleição ou predestinação é baseada na fé que Deus prevê antecipadamente.</w:t>
      </w:r>
    </w:p>
    <w:p>
      <w:pPr>
        <w:pStyle w:val="Heading3"/>
      </w:pPr>
      <w:r>
        <w:t>Predestinação no plano de Deus</w:t>
      </w:r>
    </w:p>
    <w:p>
      <w:r/>
      <w:r>
        <w:t>Predestinação é a base de todo o plano de Deus: sua decisão de criar o universo, de cuidar dele (providência) e de determinar seu destino “pelo conselho de Sua vontade" (</w:t>
      </w:r>
      <w:hyperlink r:id="rId6827">
        <w:r>
          <w:rPr>
            <w:color w:val="0000EE"/>
            <w:u w:val="single"/>
          </w:rPr>
          <w:t>Ef 1.11</w:t>
        </w:r>
      </w:hyperlink>
      <w:r>
        <w:t>). O Breve Catecismo de Westminster explica assim: Deus decretou “seu propósito eterno de acordo com o conselho de sua vontade, pelo qual, para sua própria glória, ele predestinou tudo o que acontece.” Portanto, a predestinação está na base de todo o ensino cristão, porque trata da história e do destino de todo o mundo, do universo e de tudo o que nele existe.</w:t>
      </w:r>
    </w:p>
    <w:p>
      <w:r/>
      <w:r>
        <w:t>O apóstolo Paulo falou do plano de Deus para o cumprimento de toda a criação: “A criação aguarda com grande expectativa a revelação dos filhos de Deus. Pois a criação foi sujeita à futilidade, não por sua própria vontade, mas por causa daquele que a sujeitou, na esperança de que a própria criação será libertada de sua escravidão à decadência e trazida para a gloriosa liberdade dos filhos de Deus” (</w:t>
      </w:r>
      <w:hyperlink r:id="rId17430">
        <w:r>
          <w:rPr>
            <w:color w:val="0000EE"/>
            <w:u w:val="single"/>
          </w:rPr>
          <w:t>Rm 8.19–21</w:t>
        </w:r>
      </w:hyperlink>
      <w:r>
        <w:t>). As Escrituras descrevem brevemente a redenção da criação. Fala sobre "um novo céu e uma nova terra, onde habita a justiça" (</w:t>
      </w:r>
      <w:hyperlink r:id="rId6708">
        <w:r>
          <w:rPr>
            <w:color w:val="0000EE"/>
            <w:u w:val="single"/>
          </w:rPr>
          <w:t>2Pe 3.13</w:t>
        </w:r>
      </w:hyperlink>
      <w:r>
        <w:t>). As coisas que prejudicam a vida humana e vêm da pecaminosidade humana (isto é, depravação) acabarão. Deus fará “todas as coisas novas”, então Deus está no controle do destino de tudo (</w:t>
      </w:r>
      <w:hyperlink r:id="rId17431">
        <w:r>
          <w:rPr>
            <w:color w:val="0000EE"/>
            <w:u w:val="single"/>
          </w:rPr>
          <w:t>Ap 21.1–5</w:t>
        </w:r>
      </w:hyperlink>
      <w:r>
        <w:t>).</w:t>
      </w:r>
    </w:p>
    <w:p>
      <w:pPr>
        <w:pStyle w:val="Heading3"/>
      </w:pPr>
      <w:r>
        <w:t>Desafios e debates</w:t>
      </w:r>
    </w:p>
    <w:p>
      <w:r/>
      <w:r>
        <w:t>A predestinação cria problemas para a teologia e o pensamento comum. Isso é especialmente verdadeiro em relação à liberdade humana e à responsabilidade pela salvação. Como as pessoas podem ser responsabilizadas por suas ações e decisões se estas já estão predeterminadas? Alguns negam a predestinação de Deus em relação à liberdade humana para remover essa dificuldade. Quando Deus criou os humanos com livre-arbítrio (ou seja, a capacidade de fazer escolhas que não são determinadas por ninguém ou por qualquer outra coisa), alguns argumentam que Deus necessariamente limitou seu controle sobre eventos que "devem" acontecer. Caso contrário, a atividade humana livre e responsável não teria significado. O calvinismo rejeita esse argumento, insistindo que a atividade livre é possível mesmo que seja predestinada e conhecida antes de acontecer.</w:t>
      </w:r>
    </w:p>
    <w:p>
      <w:r/>
      <w:r>
        <w:t>Negar a predestinação implica que Deus não controla Sua criação. Se isso fosse verdade, a atividade humana seria determinada por algo acima ou além de Deus, ou por causas desconhecidas. A providência e o cuidado de Deus, revelados na Bíblia e na experiência humana, tornam essa visão difícil de defender. O pensamento cristão geralmente afirma que Deus predestina e controla Sua criação e que os humanos são capazes de agir livre e responsavelmente dentro desse controle maior. Isso parece contraditório porque a compreensão humana é limitada.</w:t>
      </w:r>
    </w:p>
    <w:p>
      <w:pPr>
        <w:pStyle w:val="Heading3"/>
      </w:pPr>
      <w:r>
        <w:t>Predestinação nas escrituras</w:t>
      </w:r>
    </w:p>
    <w:p>
      <w:r/>
      <w:r>
        <w:t>A Bíblia frequentemente menciona a preordenação (incluindo predestinação ou eleição) e a presciência. A preordenação é logicamente anterior à presciência, mas como ambas são eternas em Deus, essa prioridade não existe.</w:t>
      </w:r>
    </w:p>
    <w:p>
      <w:r/>
      <w:r>
        <w:t>Quando ele falou sobre o julgamento futuro de Babilônia, Deus disse: “Este é o plano traçado para toda a terra, e esta é a mão estendida sobre todas as nações. O Senhor dos Exércitos determinou, e quem pode impedi-Lo? Sua mão está estendida, então quem pode fazê-la recuar?” (</w:t>
      </w:r>
      <w:hyperlink r:id="rId17432">
        <w:r>
          <w:rPr>
            <w:color w:val="0000EE"/>
            <w:u w:val="single"/>
          </w:rPr>
          <w:t>Is 14.26,27</w:t>
        </w:r>
      </w:hyperlink>
      <w:r>
        <w:t>). Deus também declarou que já havia determinado o fim desde o início. “Meu propósito permanecerá, e todo o Meu bom prazer realizarei” (</w:t>
      </w:r>
      <w:hyperlink r:id="rId6825">
        <w:r>
          <w:rPr>
            <w:color w:val="0000EE"/>
            <w:u w:val="single"/>
          </w:rPr>
          <w:t>Is 46.10</w:t>
        </w:r>
      </w:hyperlink>
      <w:r>
        <w:t>). Paulo afirmou que Deus realiza seus propósitos “pelo conselho de Sua vontade” (</w:t>
      </w:r>
      <w:hyperlink r:id="rId6827">
        <w:r>
          <w:rPr>
            <w:color w:val="0000EE"/>
            <w:u w:val="single"/>
          </w:rPr>
          <w:t>Ef 1.11</w:t>
        </w:r>
      </w:hyperlink>
      <w:r>
        <w:t xml:space="preserve">; compare com </w:t>
      </w:r>
      <w:hyperlink r:id="rId17433">
        <w:r>
          <w:rPr>
            <w:color w:val="0000EE"/>
            <w:u w:val="single"/>
          </w:rPr>
          <w:t>Sl 119.89–91</w:t>
        </w:r>
      </w:hyperlink>
      <w:r>
        <w:t xml:space="preserve">; </w:t>
      </w:r>
      <w:hyperlink r:id="rId17434">
        <w:r>
          <w:rPr>
            <w:color w:val="0000EE"/>
            <w:u w:val="single"/>
          </w:rPr>
          <w:t>Dn 4.35</w:t>
        </w:r>
      </w:hyperlink>
      <w:r>
        <w:t>).</w:t>
      </w:r>
    </w:p>
    <w:p>
      <w:r/>
      <w:r>
        <w:t>A Bíblia também diz:</w:t>
      </w:r>
    </w:p>
    <w:p>
      <w:pPr>
        <w:pStyle w:val="ListBullet"/>
        <w:spacing w:line="240" w:lineRule="auto"/>
        <w:ind w:left="720"/>
      </w:pPr>
      <w:r/>
      <w:r>
        <w:t>a duração da vida de uma pessoa é determinada (</w:t>
      </w:r>
      <w:hyperlink r:id="rId17435">
        <w:r>
          <w:rPr>
            <w:color w:val="0000EE"/>
            <w:u w:val="single"/>
          </w:rPr>
          <w:t>Jó 14.5</w:t>
        </w:r>
      </w:hyperlink>
      <w:r>
        <w:t>);</w:t>
      </w:r>
    </w:p>
    <w:p>
      <w:pPr>
        <w:pStyle w:val="ListBullet"/>
        <w:spacing w:line="240" w:lineRule="auto"/>
        <w:ind w:left="720"/>
      </w:pPr>
      <w:r/>
      <w:r>
        <w:t>A preocupação de Deus se estende às suas criaturas (</w:t>
      </w:r>
      <w:hyperlink r:id="rId17436">
        <w:r>
          <w:rPr>
            <w:color w:val="0000EE"/>
            <w:u w:val="single"/>
          </w:rPr>
          <w:t>Sl 104.14–30</w:t>
        </w:r>
      </w:hyperlink>
      <w:r>
        <w:t xml:space="preserve">; </w:t>
      </w:r>
      <w:hyperlink r:id="rId11816">
        <w:r>
          <w:rPr>
            <w:color w:val="0000EE"/>
            <w:u w:val="single"/>
          </w:rPr>
          <w:t>Mt 10.29</w:t>
        </w:r>
      </w:hyperlink>
      <w:r>
        <w:t>);</w:t>
      </w:r>
    </w:p>
    <w:p>
      <w:pPr>
        <w:pStyle w:val="ListBullet"/>
        <w:spacing w:line="240" w:lineRule="auto"/>
        <w:ind w:left="720"/>
      </w:pPr>
      <w:r/>
      <w:r>
        <w:t>os cabelos da nossa cabeça estão contados (</w:t>
      </w:r>
      <w:hyperlink r:id="rId11844">
        <w:r>
          <w:rPr>
            <w:color w:val="0000EE"/>
            <w:u w:val="single"/>
          </w:rPr>
          <w:t>Mt 10.30</w:t>
        </w:r>
      </w:hyperlink>
      <w:r>
        <w:t>).</w:t>
      </w:r>
    </w:p>
    <w:p>
      <w:r/>
      <w:r>
        <w:t>Além disso, o plano de Deus se estende a povos e nações, pois “de um só homem Ele fez todas as nações dos homens, para que habitassem toda a terra; e Ele determinou os tempos designados e os limites de suas terras" (</w:t>
      </w:r>
      <w:hyperlink r:id="rId14993">
        <w:r>
          <w:rPr>
            <w:color w:val="0000EE"/>
            <w:u w:val="single"/>
          </w:rPr>
          <w:t>At 17.26</w:t>
        </w:r>
      </w:hyperlink>
      <w:r>
        <w:t>).</w:t>
      </w:r>
    </w:p>
    <w:p>
      <w:r/>
      <w:r>
        <w:t>Deus conhece e até utiliza os atos malignos das pessoas para seus propósitos. Os irmãos de José pecaram ao vendê-lo como escravo. Mais tarde, José disse: “Quanto a vocês, o que pretendiam contra mim para o mal, Deus o planejou para o bem, a fim de realizar um dia como este — para preservar a vida de muitas pessoas.” (</w:t>
      </w:r>
      <w:hyperlink r:id="rId6845">
        <w:r>
          <w:rPr>
            <w:color w:val="0000EE"/>
            <w:u w:val="single"/>
          </w:rPr>
          <w:t>Gn 50.20</w:t>
        </w:r>
      </w:hyperlink>
      <w:r>
        <w:t>).</w:t>
      </w:r>
    </w:p>
    <w:p>
      <w:r/>
      <w:r>
        <w:t>Outro exemplo é quando Judas Iscariotes traiu Jesus. Jesus disse: “O Filho do Homem vai como foi determinado, mas ai daquele homem que o trai” (</w:t>
      </w:r>
      <w:hyperlink r:id="rId17437">
        <w:r>
          <w:rPr>
            <w:color w:val="0000EE"/>
            <w:u w:val="single"/>
          </w:rPr>
          <w:t xml:space="preserve">Lc 22.22; </w:t>
        </w:r>
      </w:hyperlink>
      <w:r>
        <w:t>“Filho do Homem“ é um título que Jesus usava para se referir a si mesmo). No dia de Pentecostes, o apóstolo Pedro disse: “Ele [Jesus] foi entregue pelo plano determinado e presciência de Deus, e vocês, pelas mãos dos ímpios, O mataram pregando-O na cruz” (</w:t>
      </w:r>
      <w:hyperlink r:id="rId16739">
        <w:r>
          <w:rPr>
            <w:color w:val="0000EE"/>
            <w:u w:val="single"/>
          </w:rPr>
          <w:t>At 2.23</w:t>
        </w:r>
      </w:hyperlink>
      <w:r>
        <w:t xml:space="preserve">; compare com </w:t>
      </w:r>
      <w:hyperlink r:id="rId17438">
        <w:r>
          <w:rPr>
            <w:color w:val="0000EE"/>
            <w:u w:val="single"/>
          </w:rPr>
          <w:t>4.27,28</w:t>
        </w:r>
      </w:hyperlink>
      <w:r>
        <w:t>)</w:t>
      </w:r>
    </w:p>
    <w:p>
      <w:r/>
      <w:r>
        <w:t>Paulo refere-se à autoridade determinante de Deus sobre os atos do Faraó (</w:t>
      </w:r>
      <w:hyperlink r:id="rId17439">
        <w:r>
          <w:rPr>
            <w:color w:val="0000EE"/>
            <w:u w:val="single"/>
          </w:rPr>
          <w:t>Rm 9.17</w:t>
        </w:r>
      </w:hyperlink>
      <w:r>
        <w:t xml:space="preserve">). </w:t>
      </w:r>
      <w:hyperlink r:id="rId17440">
        <w:r>
          <w:rPr>
            <w:color w:val="0000EE"/>
            <w:u w:val="single"/>
          </w:rPr>
          <w:t>Apocalipse 17.17</w:t>
        </w:r>
      </w:hyperlink>
      <w:r>
        <w:t xml:space="preserve"> diz: “Deus colocou em seus corações realizar seu propósito”. Assim, Deus predestina a história, e até mesmo atos malignos cumprem seus propósitos.</w:t>
      </w:r>
    </w:p>
    <w:p>
      <w:r/>
      <w:r>
        <w:t>A eleição dos pecadores para a salvação através de Cristo está incluída na predestinação de Deus (</w:t>
      </w:r>
      <w:hyperlink r:id="rId17441">
        <w:r>
          <w:rPr>
            <w:color w:val="0000EE"/>
            <w:u w:val="single"/>
          </w:rPr>
          <w:t>Rm 8.28–39</w:t>
        </w:r>
      </w:hyperlink>
      <w:r>
        <w:t xml:space="preserve">; compare com </w:t>
      </w:r>
      <w:hyperlink r:id="rId17442">
        <w:r>
          <w:rPr>
            <w:color w:val="0000EE"/>
            <w:u w:val="single"/>
          </w:rPr>
          <w:t>At 13.48</w:t>
        </w:r>
      </w:hyperlink>
      <w:r>
        <w:t xml:space="preserve">; </w:t>
      </w:r>
      <w:hyperlink r:id="rId17443">
        <w:r>
          <w:rPr>
            <w:color w:val="0000EE"/>
            <w:u w:val="single"/>
          </w:rPr>
          <w:t>Fp 2.12–13</w:t>
        </w:r>
      </w:hyperlink>
      <w:r>
        <w:t xml:space="preserve">; </w:t>
      </w:r>
      <w:hyperlink r:id="rId3643">
        <w:r>
          <w:rPr>
            <w:color w:val="0000EE"/>
            <w:u w:val="single"/>
          </w:rPr>
          <w:t>1Pe 2.9</w:t>
        </w:r>
      </w:hyperlink>
      <w:r>
        <w:t>). O plano de salvação de Deus é baseado em seu amor eterno (</w:t>
      </w:r>
      <w:hyperlink r:id="rId17444">
        <w:r>
          <w:rPr>
            <w:color w:val="0000EE"/>
            <w:u w:val="single"/>
          </w:rPr>
          <w:t>Ef 1.3–14</w:t>
        </w:r>
      </w:hyperlink>
      <w:r>
        <w:t xml:space="preserve">; </w:t>
      </w:r>
      <w:hyperlink r:id="rId8753">
        <w:r>
          <w:rPr>
            <w:color w:val="0000EE"/>
            <w:u w:val="single"/>
          </w:rPr>
          <w:t>Rm 5.6–11</w:t>
        </w:r>
      </w:hyperlink>
      <w:r>
        <w:t>). Os cristãos recebem a graça de Deus ao conhecerem a Deus e serem conhecidos (ou seja, amados) por Deus (</w:t>
      </w:r>
      <w:hyperlink r:id="rId5487">
        <w:r>
          <w:rPr>
            <w:color w:val="0000EE"/>
            <w:u w:val="single"/>
          </w:rPr>
          <w:t>Gl 4.9</w:t>
        </w:r>
      </w:hyperlink>
      <w:r>
        <w:t>). Tanto a eleição quanto a fé dos crentes fazem parte do processo de salvação.</w:t>
      </w:r>
    </w:p>
    <w:p>
      <w:pPr>
        <w:pStyle w:val="Heading3"/>
      </w:pPr>
      <w:r>
        <w:t>Predestinação e providência</w:t>
      </w:r>
    </w:p>
    <w:p>
      <w:r/>
      <w:r>
        <w:t>A predestinação está implícita na providência ou no cuidado de Deus. A providência é a execução do plano de Deus para o mundo. O cuidado e o controle de Deus sobre a criação revelam seu plano de redenção para a humanidade feita à sua imagem. Deus controla a história, mas não é responsável pelo pecado. Ele criou os seres humanos com a capacidade de dizer "sim" ou "não" a Ele. No entanto, o plano de Deus não pode ser interrompido. Ele prossegue apesar da oposição. O plano final de Deus está se desenrolando ao longo de todos os eventos da história humana, tanto maus quanto bons. Contudo, sua soberania não é imposta sem razão ou justiça. Deus não é um tirano, mas sim santo, amoroso e justo. Seu plano é realizado de acordo com sua natureza, demonstrada no cuidado e preocupação com a criação e no amor constante pelos pecadores.</w:t>
      </w:r>
    </w:p>
    <w:p>
      <w:r/>
      <w:r>
        <w:rPr>
          <w:i/>
        </w:rPr>
        <w:t>Lei natural</w:t>
      </w:r>
      <w:r>
        <w:t xml:space="preserve"> é o conjunto de regras que Deus estabeleceu (predestinou) para controlar o universo. E quanto às forças destrutivas da natureza, como terremotos, tornados e furacões? Por que tais aparentes males são necessários em um mundo criado por um Deus amoroso? Isso não sugere que Deus seja incapaz de controlar a natureza. Se o significado completo da vida fosse encontrado no mundo terrestre e físico, isso poderia ser um problema. Mas o propósito final de Deus é mais do que apenas a vida presente e inclui a plenitude do reino redentor que ainda está por vir (</w:t>
      </w:r>
      <w:hyperlink r:id="rId17445">
        <w:r>
          <w:rPr>
            <w:color w:val="0000EE"/>
            <w:u w:val="single"/>
          </w:rPr>
          <w:t>Ap 11.15</w:t>
        </w:r>
      </w:hyperlink>
      <w:r>
        <w:t xml:space="preserve">; </w:t>
      </w:r>
      <w:hyperlink r:id="rId15298">
        <w:r>
          <w:rPr>
            <w:color w:val="0000EE"/>
            <w:u w:val="single"/>
          </w:rPr>
          <w:t>21.1–4</w:t>
        </w:r>
      </w:hyperlink>
      <w:r>
        <w:t>). A predestinação é um grande mistério, mas deve trazer alegria e conforto aos crentes cujo amoroso Senhor revelou seu grande plano a eles.</w:t>
      </w:r>
    </w:p>
    <w:p>
      <w:r/>
      <w:r>
        <w:rPr>
          <w:i/>
        </w:rPr>
        <w:t>Veja também</w:t>
      </w:r>
      <w:r>
        <w:t xml:space="preserve"> </w:t>
      </w:r>
      <w:r>
        <w:t>Eleger, eleição</w:t>
      </w:r>
      <w:r>
        <w:t xml:space="preserve">; </w:t>
      </w:r>
      <w:r>
        <w:t>Presciência</w:t>
      </w:r>
      <w:r>
        <w:t>.</w:t>
      </w:r>
      <w:r/>
      <w:r/>
    </w:p>
    <w:p>
      <w:r/>
    </w:p>
    <w:p>
      <w:pPr>
        <w:pStyle w:val="Heading2"/>
      </w:pPr>
      <w:r>
        <w:t>Presbítero*</w:t>
      </w:r>
      <w:r/>
    </w:p>
    <w:p>
      <w:r/>
      <w:r>
        <w:t>Termo do NT que se refere a um ancião na igreja. Seguindo o padrão do Antigo Testamento de sinagogas governadas por um conselho de anciãos, a igreja do NT tinha oficiais (</w:t>
      </w:r>
      <w:r>
        <w:rPr>
          <w:i/>
        </w:rPr>
        <w:t>presbuteroi</w:t>
      </w:r>
      <w:r>
        <w:t>, “pessoas mais velhas”) que tinham a tarefa de pastorear o rebanho de Deus que estava sob seus cuidados (</w:t>
      </w:r>
      <w:hyperlink r:id="rId1416">
        <w:r>
          <w:rPr>
            <w:color w:val="0000EE"/>
            <w:u w:val="single"/>
          </w:rPr>
          <w:t>1Pe 5.2</w:t>
        </w:r>
      </w:hyperlink>
      <w:r>
        <w:t>). Assim, eles foram chamados para trabalhar na pregação e ensino (</w:t>
      </w:r>
      <w:hyperlink r:id="rId1406">
        <w:r>
          <w:rPr>
            <w:color w:val="0000EE"/>
            <w:u w:val="single"/>
          </w:rPr>
          <w:t>1Tm 5.17</w:t>
        </w:r>
      </w:hyperlink>
      <w:r>
        <w:t>); visitar, orar e ungir os doentes (</w:t>
      </w:r>
      <w:hyperlink r:id="rId1414">
        <w:r>
          <w:rPr>
            <w:color w:val="0000EE"/>
            <w:u w:val="single"/>
          </w:rPr>
          <w:t>Tg 5.14</w:t>
        </w:r>
      </w:hyperlink>
      <w:r>
        <w:t>); prestar assistência ao faminto (</w:t>
      </w:r>
      <w:hyperlink r:id="rId4350">
        <w:r>
          <w:rPr>
            <w:color w:val="0000EE"/>
            <w:u w:val="single"/>
          </w:rPr>
          <w:t>Atos 11.29–30</w:t>
        </w:r>
      </w:hyperlink>
      <w:r>
        <w:t>); e supervisionar de maneira geral, os assuntos da igreja (</w:t>
      </w:r>
      <w:hyperlink r:id="rId1400">
        <w:r>
          <w:rPr>
            <w:color w:val="0000EE"/>
            <w:u w:val="single"/>
          </w:rPr>
          <w:t>15.4</w:t>
        </w:r>
      </w:hyperlink>
      <w:r>
        <w:t xml:space="preserve">; </w:t>
      </w:r>
      <w:hyperlink r:id="rId1404">
        <w:r>
          <w:rPr>
            <w:color w:val="0000EE"/>
            <w:u w:val="single"/>
          </w:rPr>
          <w:t>16.4</w:t>
        </w:r>
      </w:hyperlink>
      <w:r>
        <w:t>). Há evidências que sugerem que todos os anciãos eram de posição igual e que os termos “presbítero” e “bispo” eram usados inicialmente de forma intercambiável (</w:t>
      </w:r>
      <w:hyperlink r:id="rId1408">
        <w:r>
          <w:rPr>
            <w:color w:val="0000EE"/>
            <w:u w:val="single"/>
          </w:rPr>
          <w:t>At 20.17, 28</w:t>
        </w:r>
      </w:hyperlink>
      <w:r>
        <w:t xml:space="preserve">; </w:t>
      </w:r>
      <w:hyperlink r:id="rId1412">
        <w:r>
          <w:rPr>
            <w:color w:val="0000EE"/>
            <w:u w:val="single"/>
          </w:rPr>
          <w:t>Fp 1.1</w:t>
        </w:r>
      </w:hyperlink>
      <w:r>
        <w:t xml:space="preserve">; </w:t>
      </w:r>
      <w:hyperlink r:id="rId1419">
        <w:r>
          <w:rPr>
            <w:color w:val="0000EE"/>
            <w:u w:val="single"/>
          </w:rPr>
          <w:t>Tt 1.5–7</w:t>
        </w:r>
      </w:hyperlink>
      <w:r>
        <w:t>). No entanto, no segundo século, o presbítero que presidia gradualmente emergiu como uma figura distinta, com uma posição de preeminência e como a fonte da autoridade. Com o passar dos anos, a designação “presbítero” foi alterada para “sacerdote”, e nas igrejas de governo episcopal permanece assim até hoje. É significativo, no entanto, que o NT em lugar algum liga funções sacerdotais com o ofício de presbítero. Com a propagação e o desenvolvimento do cristianismo, o sacerdote se tornou uma figura poderosa. Com a teologia eucarística, aconteceram acréscimos não-bíblicos. Estes foram expostos e rejeitados quando os reformadores triunfaram no século XVI e enfatizaram o sacerdócio de todos os crentes. No protestantismo, os sacerdotes se tornaram ministros, pastores ou (nos tempos mais modernos) clérigos. Nas igrejas episcopais não-romanas, “sacerdote” é encontrado novamente hoje. Mesmo onde é interpretado de forma diferente do uso romano, a maioria dos anglicanos evangélicos se nega a usá-lo. Em igrejas presbiterianas e similares, os anciãos (sejam ensinando ou governando) ainda são oficialmente chamados de presbíteros, e todos são de posição igual.</w:t>
      </w:r>
    </w:p>
    <w:p>
      <w:r/>
      <w:r>
        <w:rPr>
          <w:i/>
        </w:rPr>
        <w:t>Ver também</w:t>
      </w:r>
      <w:r>
        <w:t xml:space="preserve"> </w:t>
      </w:r>
      <w:r>
        <w:t>Bispo</w:t>
      </w:r>
      <w:r>
        <w:t xml:space="preserve">; </w:t>
      </w:r>
      <w:r>
        <w:t>Diácono, Diaconisa</w:t>
      </w:r>
      <w:r>
        <w:t xml:space="preserve">; </w:t>
      </w:r>
      <w:r>
        <w:t>Ancião</w:t>
      </w:r>
      <w:r>
        <w:t xml:space="preserve">; </w:t>
      </w:r>
      <w:r>
        <w:t>Pastor</w:t>
      </w:r>
      <w:r>
        <w:t xml:space="preserve">; </w:t>
      </w:r>
      <w:r>
        <w:t>Dons Espirituais</w:t>
      </w:r>
      <w:r>
        <w:t>.</w:t>
      </w:r>
      <w:r/>
      <w:r/>
    </w:p>
    <w:p>
      <w:r/>
    </w:p>
    <w:p>
      <w:pPr>
        <w:pStyle w:val="Heading2"/>
      </w:pPr>
      <w:r>
        <w:t>Presciência</w:t>
      </w:r>
      <w:r/>
    </w:p>
    <w:p>
      <w:r/>
      <w:r>
        <w:t>O conhecimento sobre eventos ou coisas antes de acontecerem.</w:t>
      </w:r>
    </w:p>
    <w:p>
      <w:r/>
      <w:r>
        <w:t>No Novo Testamento, a palavra grega para "presciência" aparece apenas sete vezes. Ela descreve:</w:t>
      </w:r>
    </w:p>
    <w:p>
      <w:pPr>
        <w:pStyle w:val="ListNumber"/>
        <w:spacing w:line="240" w:lineRule="auto"/>
        <w:ind w:left="720"/>
      </w:pPr>
      <w:r/>
      <w:r>
        <w:t>Como os cristãos são advertidos sobre falsos mestres (</w:t>
      </w:r>
      <w:hyperlink r:id="rId17446">
        <w:r>
          <w:rPr>
            <w:color w:val="0000EE"/>
            <w:u w:val="single"/>
          </w:rPr>
          <w:t>2 Pedro 3.17</w:t>
        </w:r>
      </w:hyperlink>
      <w:r>
        <w:t>);</w:t>
      </w:r>
    </w:p>
    <w:p>
      <w:pPr>
        <w:pStyle w:val="ListNumber"/>
        <w:spacing w:line="240" w:lineRule="auto"/>
        <w:ind w:left="720"/>
      </w:pPr>
      <w:r/>
      <w:r>
        <w:t>O conhecimento prévio dos judeus sobre a vida inicial de Paulo (</w:t>
      </w:r>
      <w:hyperlink r:id="rId17447">
        <w:r>
          <w:rPr>
            <w:color w:val="0000EE"/>
            <w:u w:val="single"/>
          </w:rPr>
          <w:t>Atos 26.4–5</w:t>
        </w:r>
      </w:hyperlink>
      <w:r>
        <w:t>);</w:t>
      </w:r>
    </w:p>
    <w:p>
      <w:pPr>
        <w:pStyle w:val="ListNumber"/>
        <w:spacing w:line="240" w:lineRule="auto"/>
        <w:ind w:left="720"/>
      </w:pPr>
      <w:r/>
      <w:r>
        <w:t>A consciência de Deus sobre a morte de Cristo antes de acontecer (</w:t>
      </w:r>
      <w:hyperlink r:id="rId16739">
        <w:r>
          <w:rPr>
            <w:color w:val="0000EE"/>
            <w:u w:val="single"/>
          </w:rPr>
          <w:t>Atos 2.23</w:t>
        </w:r>
      </w:hyperlink>
      <w:r>
        <w:t xml:space="preserve">; </w:t>
      </w:r>
      <w:hyperlink r:id="rId17448">
        <w:r>
          <w:rPr>
            <w:color w:val="0000EE"/>
            <w:u w:val="single"/>
          </w:rPr>
          <w:t>1 Pedro 1.18–20</w:t>
        </w:r>
      </w:hyperlink>
      <w:r>
        <w:t>);</w:t>
      </w:r>
    </w:p>
    <w:p>
      <w:pPr>
        <w:pStyle w:val="ListNumber"/>
        <w:spacing w:line="240" w:lineRule="auto"/>
        <w:ind w:left="720"/>
      </w:pPr>
      <w:r/>
      <w:r>
        <w:t>O conhecimento de Deus sobre Seu povo (</w:t>
      </w:r>
      <w:hyperlink r:id="rId7911">
        <w:r>
          <w:rPr>
            <w:color w:val="0000EE"/>
            <w:u w:val="single"/>
          </w:rPr>
          <w:t>Romanos 11.2</w:t>
        </w:r>
      </w:hyperlink>
      <w:r>
        <w:t>);</w:t>
      </w:r>
    </w:p>
    <w:p>
      <w:pPr>
        <w:pStyle w:val="ListNumber"/>
        <w:spacing w:line="240" w:lineRule="auto"/>
        <w:ind w:left="720"/>
      </w:pPr>
      <w:r/>
      <w:r>
        <w:t>O conhecimento de Deus sobre Sua igreja (</w:t>
      </w:r>
      <w:hyperlink r:id="rId10067">
        <w:r>
          <w:rPr>
            <w:color w:val="0000EE"/>
            <w:u w:val="single"/>
          </w:rPr>
          <w:t>Romanos 8.28–30</w:t>
        </w:r>
      </w:hyperlink>
      <w:r>
        <w:t xml:space="preserve">; </w:t>
      </w:r>
      <w:hyperlink r:id="rId7843">
        <w:r>
          <w:rPr>
            <w:color w:val="0000EE"/>
            <w:u w:val="single"/>
          </w:rPr>
          <w:t>1 Pedro 1.1–2</w:t>
        </w:r>
      </w:hyperlink>
      <w:r>
        <w:t>).</w:t>
      </w:r>
    </w:p>
    <w:p>
      <w:r/>
      <w:r>
        <w:t>Embora o termo "presciência" não seja usado com frequência, a ideia está presente em toda a Bíblia. Primeiro, a Bíblia ensina claramente que Deus sabe tudo. Seu entendimento é ilimitado (</w:t>
      </w:r>
      <w:hyperlink r:id="rId17449">
        <w:r>
          <w:rPr>
            <w:color w:val="0000EE"/>
            <w:u w:val="single"/>
          </w:rPr>
          <w:t>Salmo 147.5</w:t>
        </w:r>
      </w:hyperlink>
      <w:r>
        <w:t xml:space="preserve">). Ele conhece cada coração e pensamento </w:t>
      </w:r>
      <w:hyperlink r:id="rId17450">
        <w:r>
          <w:rPr>
            <w:color w:val="0000EE"/>
            <w:u w:val="single"/>
          </w:rPr>
          <w:t>1 Crônicas 28.9</w:t>
        </w:r>
      </w:hyperlink>
      <w:r>
        <w:t xml:space="preserve">). O </w:t>
      </w:r>
      <w:hyperlink r:id="rId17451">
        <w:r>
          <w:rPr>
            <w:color w:val="0000EE"/>
            <w:u w:val="single"/>
          </w:rPr>
          <w:t>Salmo 139</w:t>
        </w:r>
      </w:hyperlink>
      <w:r>
        <w:t xml:space="preserve"> descreve o conhecimento de Deus sobre todos os pensamentos, palavras e ações humanas. Este conhecimento se estende até ao voo de um pardal e ao número de cabelos na cabeça de uma pessoa (</w:t>
      </w:r>
      <w:hyperlink r:id="rId17452">
        <w:r>
          <w:rPr>
            <w:color w:val="0000EE"/>
            <w:u w:val="single"/>
          </w:rPr>
          <w:t>Mateus 10.29–30</w:t>
        </w:r>
      </w:hyperlink>
      <w:r>
        <w:t>). A partir deste conhecimento ilimitado, podemos inferir que Deus também conhece eventos futuros na história humana.</w:t>
      </w:r>
    </w:p>
    <w:p>
      <w:r/>
      <w:r>
        <w:t>A Bíblia também afirma diretamente que Deus está ciente dos eventos antes que eles aconteçam. Este conhecimento o diferencia dos ídolos, que não podem prever o futuro (</w:t>
      </w:r>
      <w:hyperlink r:id="rId17453">
        <w:r>
          <w:rPr>
            <w:color w:val="0000EE"/>
            <w:u w:val="single"/>
          </w:rPr>
          <w:t>Isaías 44.6–8</w:t>
        </w:r>
      </w:hyperlink>
      <w:r>
        <w:t xml:space="preserve">; </w:t>
      </w:r>
      <w:hyperlink r:id="rId7435">
        <w:r>
          <w:rPr>
            <w:color w:val="0000EE"/>
            <w:u w:val="single"/>
          </w:rPr>
          <w:t>45.21</w:t>
        </w:r>
      </w:hyperlink>
      <w:r>
        <w:t>). A presciência de Deus é a base para as previsões dos profetas. Por exemplo:</w:t>
      </w:r>
    </w:p>
    <w:p>
      <w:pPr>
        <w:pStyle w:val="ListBullet"/>
        <w:spacing w:line="240" w:lineRule="auto"/>
        <w:ind w:left="720"/>
      </w:pPr>
      <w:r/>
      <w:r>
        <w:t>Deus disse a Adão e Eva que a descendência da mulher derrotaria a serpente e sua descendência (</w:t>
      </w:r>
      <w:hyperlink r:id="rId309">
        <w:r>
          <w:rPr>
            <w:color w:val="0000EE"/>
            <w:u w:val="single"/>
          </w:rPr>
          <w:t>Gênesis 3.15</w:t>
        </w:r>
      </w:hyperlink>
      <w:r>
        <w:t>);</w:t>
      </w:r>
    </w:p>
    <w:p>
      <w:pPr>
        <w:pStyle w:val="ListBullet"/>
        <w:spacing w:line="240" w:lineRule="auto"/>
        <w:ind w:left="720"/>
      </w:pPr>
      <w:r/>
      <w:r>
        <w:t>Ele prometeu bênçãos futuras a Abraão (</w:t>
      </w:r>
      <w:hyperlink r:id="rId799">
        <w:r>
          <w:rPr>
            <w:color w:val="0000EE"/>
            <w:u w:val="single"/>
          </w:rPr>
          <w:t>Gênesis 12.3</w:t>
        </w:r>
      </w:hyperlink>
      <w:r>
        <w:t>);</w:t>
      </w:r>
    </w:p>
    <w:p>
      <w:pPr>
        <w:pStyle w:val="ListBullet"/>
        <w:spacing w:line="240" w:lineRule="auto"/>
        <w:ind w:left="720"/>
      </w:pPr>
      <w:r/>
      <w:r>
        <w:t>Deus também disse a Moisés, "Eu sei que o rei do Egito não permitirá que você vá" (</w:t>
      </w:r>
      <w:hyperlink r:id="rId17454">
        <w:r>
          <w:rPr>
            <w:color w:val="0000EE"/>
            <w:u w:val="single"/>
          </w:rPr>
          <w:t>Êxodo3.19</w:t>
        </w:r>
      </w:hyperlink>
      <w:r>
        <w:t>).</w:t>
      </w:r>
    </w:p>
    <w:p>
      <w:r/>
      <w:r>
        <w:t>Os profetas do Antigo Testamento falaram sobre a vinda da glória do Messias (</w:t>
      </w:r>
      <w:hyperlink r:id="rId17455">
        <w:r>
          <w:rPr>
            <w:color w:val="0000EE"/>
            <w:u w:val="single"/>
          </w:rPr>
          <w:t>Isaías 9.1–7</w:t>
        </w:r>
      </w:hyperlink>
      <w:r>
        <w:t xml:space="preserve">; </w:t>
      </w:r>
      <w:hyperlink r:id="rId14299">
        <w:r>
          <w:rPr>
            <w:color w:val="0000EE"/>
            <w:u w:val="single"/>
          </w:rPr>
          <w:t>Jeremias 23.5–6</w:t>
        </w:r>
      </w:hyperlink>
      <w:r>
        <w:t xml:space="preserve">; </w:t>
      </w:r>
      <w:hyperlink r:id="rId17456">
        <w:r>
          <w:rPr>
            <w:color w:val="0000EE"/>
            <w:u w:val="single"/>
          </w:rPr>
          <w:t>Ezequiel 34.20–31</w:t>
        </w:r>
      </w:hyperlink>
      <w:r>
        <w:t xml:space="preserve">; </w:t>
      </w:r>
      <w:hyperlink r:id="rId16962">
        <w:r>
          <w:rPr>
            <w:color w:val="0000EE"/>
            <w:u w:val="single"/>
          </w:rPr>
          <w:t>Osías 3.4–5</w:t>
        </w:r>
      </w:hyperlink>
      <w:r>
        <w:t xml:space="preserve">). Em </w:t>
      </w:r>
      <w:hyperlink r:id="rId3470">
        <w:r>
          <w:rPr>
            <w:color w:val="0000EE"/>
            <w:u w:val="single"/>
          </w:rPr>
          <w:t>Daniel 7</w:t>
        </w:r>
      </w:hyperlink>
      <w:r>
        <w:t xml:space="preserve">, Deus revelou a ascensão e queda de futuros impérios mundiais e o estabelecimento de Seu reino (veja também </w:t>
      </w:r>
      <w:hyperlink r:id="rId2184">
        <w:r>
          <w:rPr>
            <w:color w:val="0000EE"/>
            <w:u w:val="single"/>
          </w:rPr>
          <w:t>Daniel 2.31–45</w:t>
        </w:r>
      </w:hyperlink>
      <w:r>
        <w:t>). O Novo Testamento frequentemente vê o ministério de Cristo e a igreja como cumprimento das profecias do Antigo Testamento (</w:t>
      </w:r>
      <w:hyperlink r:id="rId17457">
        <w:r>
          <w:rPr>
            <w:color w:val="0000EE"/>
            <w:u w:val="single"/>
          </w:rPr>
          <w:t>Mateus 1.22</w:t>
        </w:r>
      </w:hyperlink>
      <w:r>
        <w:t xml:space="preserve">; </w:t>
      </w:r>
      <w:hyperlink r:id="rId17458">
        <w:r>
          <w:rPr>
            <w:color w:val="0000EE"/>
            <w:u w:val="single"/>
          </w:rPr>
          <w:t>4.14</w:t>
        </w:r>
      </w:hyperlink>
      <w:r>
        <w:t xml:space="preserve">; </w:t>
      </w:r>
      <w:hyperlink r:id="rId6013">
        <w:r>
          <w:rPr>
            <w:color w:val="0000EE"/>
            <w:u w:val="single"/>
          </w:rPr>
          <w:t>8.17</w:t>
        </w:r>
      </w:hyperlink>
      <w:r>
        <w:t xml:space="preserve">; </w:t>
      </w:r>
      <w:hyperlink r:id="rId17459">
        <w:r>
          <w:rPr>
            <w:color w:val="0000EE"/>
            <w:u w:val="single"/>
          </w:rPr>
          <w:t>João 12.38–41</w:t>
        </w:r>
      </w:hyperlink>
      <w:r>
        <w:t xml:space="preserve">; </w:t>
      </w:r>
      <w:hyperlink r:id="rId3609">
        <w:r>
          <w:rPr>
            <w:color w:val="0000EE"/>
            <w:u w:val="single"/>
          </w:rPr>
          <w:t>Atos 2.17–21</w:t>
        </w:r>
      </w:hyperlink>
      <w:r>
        <w:t xml:space="preserve">; </w:t>
      </w:r>
      <w:hyperlink r:id="rId17460">
        <w:r>
          <w:rPr>
            <w:color w:val="0000EE"/>
            <w:u w:val="single"/>
          </w:rPr>
          <w:t>3.22–25</w:t>
        </w:r>
      </w:hyperlink>
      <w:r>
        <w:t xml:space="preserve">; </w:t>
      </w:r>
      <w:hyperlink r:id="rId8658">
        <w:r>
          <w:rPr>
            <w:color w:val="0000EE"/>
            <w:u w:val="single"/>
          </w:rPr>
          <w:t>Gálatas 3.8</w:t>
        </w:r>
      </w:hyperlink>
      <w:r>
        <w:t xml:space="preserve">; </w:t>
      </w:r>
      <w:hyperlink r:id="rId10420">
        <w:r>
          <w:rPr>
            <w:color w:val="0000EE"/>
            <w:u w:val="single"/>
          </w:rPr>
          <w:t>Hebreus 5.6</w:t>
        </w:r>
      </w:hyperlink>
      <w:r>
        <w:t xml:space="preserve">; </w:t>
      </w:r>
      <w:hyperlink r:id="rId10128">
        <w:r>
          <w:rPr>
            <w:color w:val="0000EE"/>
            <w:u w:val="single"/>
          </w:rPr>
          <w:t>1 Pedro 1.10–12</w:t>
        </w:r>
      </w:hyperlink>
      <w:r>
        <w:t>).</w:t>
      </w:r>
    </w:p>
    <w:p>
      <w:r/>
      <w:r>
        <w:t>Os primeiros filósofos gregos acreditavam que o destino controlava todos os eventos futuros. Isso incluía a história humana e os destinos dos deuses. Às vezes, os deuses podiam conhecer um evento futuro e revelá-lo às pessoas, mas tais eventos eram considerados imutáveis. Essa visão é muito diferente da visão bíblica de um Criador pessoal que conhece o futuro e guia a história de acordo com Seu próprio propósito.</w:t>
      </w:r>
    </w:p>
    <w:p>
      <w:r/>
      <w:r>
        <w:t>Por séculos, teólogos e filósofos debateram a presciência de Deus e a liberdade humana. Alguns argumentam que, se Deus sabe o que acontecerá no futuro, então isso deve acontecer, tornando as escolhas humanas irrelevantes.</w:t>
      </w:r>
    </w:p>
    <w:p>
      <w:r/>
      <w:r>
        <w:t xml:space="preserve">Teólogos da igreja primitiva negaram fortemente que a presciência significasse que os eventos eram predeterminados. Justino Mártir, por exemplo, afirmou: “O que dizemos sobre eventos futuros sendo preditos, não dizemos como se eles ocorressem por necessidade fatal”. Em outras palavras, só porque Deus sabe o que acontecerá não significa que Ele </w:t>
      </w:r>
      <w:r>
        <w:rPr>
          <w:i/>
        </w:rPr>
        <w:t>cause</w:t>
      </w:r>
      <w:r>
        <w:t xml:space="preserve"> isso a acontecer.</w:t>
      </w:r>
    </w:p>
    <w:p>
      <w:r/>
      <w:r>
        <w:t>Alguns teólogos se preocupam que a presciência possa acabar com a liberdade humana. Assim, argumentam que Deus não conhece eventos futuros com certeza. A teologia do processo moderno, por exemplo, vê Deus como se desenvolvendo junto com a natureza e a humanidade. Esta visão sugere que Deus só pode conhecer eventos passados. Deixa o futuro incerto tanto para Deus quanto para os humanos. Um teólogo mais antigo, Adam Clarke, sugeriu que, embora Deus possa conhecer todos os eventos futuros, Ele escolhe não conhecer alguns deles de antemão.</w:t>
      </w:r>
    </w:p>
    <w:p>
      <w:r/>
      <w:r>
        <w:t>Agostinho tinha uma perspectiva diferente. Ele argumentou que Deus vive na eternidade, onde todas as coisas estão presentes ao mesmo tempo. Para Deus, não há passado ou futuro. Assim, Ele não "saberia" das coisas antes de acontecerem. Ele vê todos os eventos de um "agora" eterno. No entanto, Agostinho não negou o conhecimento de Deus sobre todas as coisas, incluindo eventos futuros.</w:t>
      </w:r>
    </w:p>
    <w:p>
      <w:r/>
      <w:r>
        <w:t>Teólogos evangélicos, citando a Bíblia, acreditam que Deus conhece todos os eventos futuros. No entanto, há alguma discordância. Os seguidores de Calvino afirmam que Deus conhece todos os eventos. Ele determina o que acontecerá na história humana, até mesmo os menores detalhes. Nesta visão, a presciência está intimamente ligada à, ou até mesmo identificada com, a predestinação (assegurando que eventos futuros aconteçam). A maioria dos teólogos calvinistas diz que os humanos são responsáveis por suas escolhas. Eles não são vítimas de um destino cego. Eles também sustentam que Deus não é o autor do pecado. Em vez disso, o pecado vem da rebelião dos anjos e humanos contra um Deus santo e justo.</w:t>
      </w:r>
    </w:p>
    <w:p>
      <w:r/>
      <w:r>
        <w:t>Os evangélicos armênios separam a presciência da predestinação dos eventos. Eles argumentam que Deus predeterminou a história humana e a salvação do mundo. No entanto, as respostas individuais a Deus não são. Portanto, Deus pode prever um evento sem causá-lo diretamente.</w:t>
      </w:r>
    </w:p>
    <w:p>
      <w:r/>
      <w:r>
        <w:t>Os cristãos evangélicos podem discordar sobre como a presciência de Deus se relaciona com a história. Mas, a Bíblia ensina tanto a presciência de Deus sobre todas as coisas quanto a responsabilidade humana por suas escolhas.</w:t>
      </w:r>
    </w:p>
    <w:p>
      <w:r/>
      <w:r>
        <w:rPr>
          <w:i/>
        </w:rPr>
        <w:t>Veja também</w:t>
      </w:r>
      <w:r>
        <w:t xml:space="preserve"> </w:t>
      </w:r>
      <w:r>
        <w:t>Eleito, Eleição</w:t>
      </w:r>
      <w:r>
        <w:t xml:space="preserve">; </w:t>
      </w:r>
      <w:r>
        <w:t>Predestinação</w:t>
      </w:r>
      <w:r>
        <w:t>.</w:t>
      </w:r>
      <w:r/>
      <w:r/>
    </w:p>
    <w:p>
      <w:r/>
    </w:p>
    <w:p>
      <w:pPr>
        <w:pStyle w:val="Heading2"/>
      </w:pPr>
      <w:r>
        <w:t>Presença de Deus, A</w:t>
      </w:r>
      <w:r/>
    </w:p>
    <w:p>
      <w:r/>
      <w:r>
        <w:t>A expressão de Deus de seu ser espiritual. Deus se manifesta às pessoas de diferentes maneiras. Mesmo que Deus seja espírito e não possa ser visto, os crentes ainda podem sentir sua presença. Deus também se revela através da natureza. Às vezes, isso acontece por meio de eventos naturais poderosos, como fogo, relâmpagos e terremotos (</w:t>
      </w:r>
      <w:hyperlink r:id="rId17461">
        <w:r>
          <w:rPr>
            <w:color w:val="0000EE"/>
            <w:u w:val="single"/>
          </w:rPr>
          <w:t>1Rs 19.11–13</w:t>
        </w:r>
      </w:hyperlink>
      <w:r>
        <w:t>). Em outras ocasiões, Deus aparece na forma de um humano (</w:t>
      </w:r>
      <w:hyperlink r:id="rId171">
        <w:r>
          <w:rPr>
            <w:color w:val="0000EE"/>
            <w:u w:val="single"/>
          </w:rPr>
          <w:t>Gn 18</w:t>
        </w:r>
      </w:hyperlink>
      <w:r>
        <w:t xml:space="preserve">; </w:t>
      </w:r>
      <w:hyperlink r:id="rId17462">
        <w:r>
          <w:rPr>
            <w:color w:val="0000EE"/>
            <w:u w:val="single"/>
          </w:rPr>
          <w:t>32.22–32</w:t>
        </w:r>
      </w:hyperlink>
      <w:r>
        <w:t>). Dessa forma, Deus ajuda as pessoas a saberem que ele é real e está presente com elas.</w:t>
      </w:r>
    </w:p>
    <w:p>
      <w:pPr>
        <w:pStyle w:val="Heading3"/>
      </w:pPr>
      <w:r>
        <w:t>A presença de Deus no Antigo Testamento</w:t>
      </w:r>
    </w:p>
    <w:p>
      <w:pPr>
        <w:pStyle w:val="Heading4"/>
      </w:pPr>
      <w:r>
        <w:t>O Anjo do Senhor</w:t>
      </w:r>
    </w:p>
    <w:p>
      <w:r/>
      <w:r>
        <w:t>O anjo do Senhor era o mensageiro de Deus e protetor especial de Israel. A Bíblia menciona este anjo muitas vezes, embora possa não ser sempre o mesmo anjo (</w:t>
      </w:r>
      <w:hyperlink r:id="rId1919">
        <w:r>
          <w:rPr>
            <w:color w:val="0000EE"/>
            <w:u w:val="single"/>
          </w:rPr>
          <w:t>Êx 14.19</w:t>
        </w:r>
      </w:hyperlink>
      <w:r>
        <w:t xml:space="preserve">; </w:t>
      </w:r>
      <w:hyperlink r:id="rId3581">
        <w:r>
          <w:rPr>
            <w:color w:val="0000EE"/>
            <w:u w:val="single"/>
          </w:rPr>
          <w:t>23.20</w:t>
        </w:r>
      </w:hyperlink>
      <w:r>
        <w:t xml:space="preserve">; </w:t>
      </w:r>
      <w:hyperlink r:id="rId1212">
        <w:r>
          <w:rPr>
            <w:color w:val="0000EE"/>
            <w:u w:val="single"/>
          </w:rPr>
          <w:t>33.2</w:t>
        </w:r>
      </w:hyperlink>
      <w:r>
        <w:t>).</w:t>
      </w:r>
    </w:p>
    <w:p>
      <w:r/>
      <w:r>
        <w:t>Em várias histórias, este anjo parece ser o próprio Deus aparecendo na forma de um anjo. Quando o anjo desapareceu após falar com Agar, ela disse que tinha visto o próprio Deus (</w:t>
      </w:r>
      <w:hyperlink r:id="rId7744">
        <w:r>
          <w:rPr>
            <w:color w:val="0000EE"/>
            <w:u w:val="single"/>
          </w:rPr>
          <w:t>Gn 16.13</w:t>
        </w:r>
      </w:hyperlink>
      <w:r>
        <w:t>). Quando o anjo falou com Jacó, ele falou como se fosse Deus (</w:t>
      </w:r>
      <w:hyperlink r:id="rId17463">
        <w:r>
          <w:rPr>
            <w:color w:val="0000EE"/>
            <w:u w:val="single"/>
          </w:rPr>
          <w:t>31.11–13</w:t>
        </w:r>
      </w:hyperlink>
      <w:r>
        <w:t xml:space="preserve">). Em </w:t>
      </w:r>
      <w:hyperlink r:id="rId17464">
        <w:r>
          <w:rPr>
            <w:color w:val="0000EE"/>
            <w:u w:val="single"/>
          </w:rPr>
          <w:t>Gênesis 21.18</w:t>
        </w:r>
      </w:hyperlink>
      <w:r>
        <w:t xml:space="preserve">, </w:t>
      </w:r>
      <w:hyperlink r:id="rId183">
        <w:r>
          <w:rPr>
            <w:color w:val="0000EE"/>
            <w:u w:val="single"/>
          </w:rPr>
          <w:t>22.11</w:t>
        </w:r>
      </w:hyperlink>
      <w:r>
        <w:t xml:space="preserve">, </w:t>
      </w:r>
      <w:hyperlink r:id="rId17465">
        <w:r>
          <w:rPr>
            <w:color w:val="0000EE"/>
            <w:u w:val="single"/>
          </w:rPr>
          <w:t>Números 22.35</w:t>
        </w:r>
      </w:hyperlink>
      <w:r>
        <w:t>, o anjo usa "Eu" de uma forma que mostra a presença de Deus.</w:t>
      </w:r>
    </w:p>
    <w:p>
      <w:r/>
      <w:r>
        <w:t>Às vezes, as histórias mudam de Deus para um anjo e voltam para Deus (</w:t>
      </w:r>
      <w:hyperlink r:id="rId15506">
        <w:r>
          <w:rPr>
            <w:color w:val="0000EE"/>
            <w:u w:val="single"/>
          </w:rPr>
          <w:t>Êx 12.23</w:t>
        </w:r>
      </w:hyperlink>
      <w:r>
        <w:t xml:space="preserve">; </w:t>
      </w:r>
      <w:hyperlink r:id="rId17466">
        <w:r>
          <w:rPr>
            <w:color w:val="0000EE"/>
            <w:u w:val="single"/>
          </w:rPr>
          <w:t>Gn 48.15–16</w:t>
        </w:r>
      </w:hyperlink>
      <w:r>
        <w:t>). Nessas histórias, Deus escolheu aparecer como um anjo por um tempo. Isso ajudou a mostrar ao seu povo que Ele estava verdadeiramente presente com eles.</w:t>
      </w:r>
    </w:p>
    <w:p>
      <w:pPr>
        <w:pStyle w:val="Heading4"/>
      </w:pPr>
      <w:r>
        <w:t>A glória de Deus</w:t>
      </w:r>
    </w:p>
    <w:p>
      <w:r/>
      <w:r>
        <w:t>A glória é o que Deus possui por direito próprio. É uma extensão visível de sua natureza. Os céus são uma forma visível da presença de Deus, pois são sua glória (</w:t>
      </w:r>
      <w:hyperlink r:id="rId4745">
        <w:r>
          <w:rPr>
            <w:color w:val="0000EE"/>
            <w:u w:val="single"/>
          </w:rPr>
          <w:t>Sl 8</w:t>
        </w:r>
      </w:hyperlink>
      <w:r>
        <w:t xml:space="preserve">; </w:t>
      </w:r>
      <w:hyperlink r:id="rId3355">
        <w:r>
          <w:rPr>
            <w:color w:val="0000EE"/>
            <w:u w:val="single"/>
          </w:rPr>
          <w:t>19.1–6</w:t>
        </w:r>
      </w:hyperlink>
      <w:r>
        <w:t xml:space="preserve">; </w:t>
      </w:r>
      <w:hyperlink r:id="rId17467">
        <w:r>
          <w:rPr>
            <w:color w:val="0000EE"/>
            <w:u w:val="single"/>
          </w:rPr>
          <w:t>136.5</w:t>
        </w:r>
      </w:hyperlink>
      <w:r>
        <w:t>). A glória que apareceu a Israel como um fogo consumidor no Sinai também encheu o tabernáculo (</w:t>
      </w:r>
      <w:hyperlink r:id="rId17468">
        <w:r>
          <w:rPr>
            <w:color w:val="0000EE"/>
            <w:u w:val="single"/>
          </w:rPr>
          <w:t>Êx 29.43</w:t>
        </w:r>
      </w:hyperlink>
      <w:r>
        <w:t xml:space="preserve">; </w:t>
      </w:r>
      <w:hyperlink r:id="rId10024">
        <w:r>
          <w:rPr>
            <w:color w:val="0000EE"/>
            <w:u w:val="single"/>
          </w:rPr>
          <w:t>40.34–38</w:t>
        </w:r>
      </w:hyperlink>
      <w:r>
        <w:t xml:space="preserve">). Por meio dela, Deus separou o tabernáculo como o lugar de sua presença. Em </w:t>
      </w:r>
      <w:hyperlink r:id="rId1938">
        <w:r>
          <w:rPr>
            <w:color w:val="0000EE"/>
            <w:u w:val="single"/>
          </w:rPr>
          <w:t>Isaías 6</w:t>
        </w:r>
      </w:hyperlink>
      <w:r>
        <w:t>, a glória aparece como a expressão normal da presença divina. Em Ezequiel, a glória é idêntica a Deus (</w:t>
      </w:r>
      <w:hyperlink r:id="rId17469">
        <w:r>
          <w:rPr>
            <w:color w:val="0000EE"/>
            <w:u w:val="single"/>
          </w:rPr>
          <w:t>Ez 9.3–4</w:t>
        </w:r>
      </w:hyperlink>
      <w:r>
        <w:t>). Ao longo do Antigo Testamento, a glória de Deus é o Deus que está além da compreensão humana, tornando sua presença e proximidade visíveis ao seu próprio povo.</w:t>
      </w:r>
    </w:p>
    <w:p>
      <w:pPr>
        <w:pStyle w:val="Heading4"/>
      </w:pPr>
      <w:r>
        <w:t>A face de Deus</w:t>
      </w:r>
    </w:p>
    <w:p>
      <w:r/>
      <w:r>
        <w:t xml:space="preserve">No Antigo Testamento, "presença" é usada para representar a palavra hebraica para "rosto". Quando "rosto" é usado com uma preposição, significa "na presença de". Em </w:t>
      </w:r>
      <w:hyperlink r:id="rId11497">
        <w:r>
          <w:rPr>
            <w:color w:val="0000EE"/>
            <w:u w:val="single"/>
          </w:rPr>
          <w:t>Gênesis 32.30,</w:t>
        </w:r>
      </w:hyperlink>
      <w:r>
        <w:t xml:space="preserve"> Jacó viu Deus "face a face". A personalidade e o caráter de um ser humano são visíveis em seu rosto. Nesse sentido, o rosto de uma pessoa é a própria pessoa. Assim, "o Anjo da Sua Presença [rosto]" em </w:t>
      </w:r>
      <w:hyperlink r:id="rId14582">
        <w:r>
          <w:rPr>
            <w:color w:val="0000EE"/>
            <w:u w:val="single"/>
          </w:rPr>
          <w:t>Isaías 63.9</w:t>
        </w:r>
      </w:hyperlink>
      <w:r>
        <w:t xml:space="preserve"> pode significar "o anjo que é o seu rosto". O profeta Isaías pode ter pretendido essa identificação.</w:t>
      </w:r>
    </w:p>
    <w:p>
      <w:r/>
      <w:r>
        <w:t>A face de Deus é a manifestação de sua graça. Assim, quando ele "esconde seu rosto", está retendo sua graça. Mas quando ele faz seu rosto brilhar, há bênção (</w:t>
      </w:r>
      <w:hyperlink r:id="rId17470">
        <w:r>
          <w:rPr>
            <w:color w:val="0000EE"/>
            <w:u w:val="single"/>
          </w:rPr>
          <w:t>Sl 31.16</w:t>
        </w:r>
      </w:hyperlink>
      <w:r>
        <w:t>;</w:t>
      </w:r>
      <w:hyperlink r:id="rId13487">
        <w:r>
          <w:rPr>
            <w:color w:val="0000EE"/>
            <w:u w:val="single"/>
          </w:rPr>
          <w:t>44.3</w:t>
        </w:r>
      </w:hyperlink>
      <w:r>
        <w:t>). A face de Deus, então, é a presença de Deus (</w:t>
      </w:r>
      <w:hyperlink r:id="rId17471">
        <w:r>
          <w:rPr>
            <w:color w:val="0000EE"/>
            <w:u w:val="single"/>
          </w:rPr>
          <w:t>Êx 33.14</w:t>
        </w:r>
      </w:hyperlink>
      <w:r>
        <w:t>). Orar a Deus em um lugar sagrado era "buscar a face de Deus", ou seja, sua presença pessoal (</w:t>
      </w:r>
      <w:hyperlink r:id="rId17472">
        <w:r>
          <w:rPr>
            <w:color w:val="0000EE"/>
            <w:u w:val="single"/>
          </w:rPr>
          <w:t>Sl 24.6</w:t>
        </w:r>
      </w:hyperlink>
      <w:r>
        <w:t>). Isso descreve a adoração no templo e a oração privada em Israel (</w:t>
      </w:r>
      <w:hyperlink r:id="rId17473">
        <w:r>
          <w:rPr>
            <w:color w:val="0000EE"/>
            <w:u w:val="single"/>
          </w:rPr>
          <w:t>63.1–3</w:t>
        </w:r>
      </w:hyperlink>
      <w:r>
        <w:t xml:space="preserve">; </w:t>
      </w:r>
      <w:hyperlink r:id="rId17474">
        <w:r>
          <w:rPr>
            <w:color w:val="0000EE"/>
            <w:u w:val="single"/>
          </w:rPr>
          <w:t>100.2</w:t>
        </w:r>
      </w:hyperlink>
      <w:r>
        <w:t>). As pessoas eram abençoadas quando Deus lhes mostrava sua bondade, que a Bíblia descreve como o rosto de Deus brilhando sobre elas (</w:t>
      </w:r>
      <w:hyperlink r:id="rId17475">
        <w:r>
          <w:rPr>
            <w:color w:val="0000EE"/>
            <w:u w:val="single"/>
          </w:rPr>
          <w:t>Nm 6.25</w:t>
        </w:r>
      </w:hyperlink>
      <w:r>
        <w:t xml:space="preserve">; </w:t>
      </w:r>
      <w:hyperlink r:id="rId17476">
        <w:r>
          <w:rPr>
            <w:color w:val="0000EE"/>
            <w:u w:val="single"/>
          </w:rPr>
          <w:t>Sl 80.3,7,19</w:t>
        </w:r>
      </w:hyperlink>
      <w:r>
        <w:t>).</w:t>
      </w:r>
    </w:p>
    <w:p>
      <w:pPr>
        <w:pStyle w:val="Heading4"/>
      </w:pPr>
      <w:r>
        <w:t>O nome de Deus</w:t>
      </w:r>
    </w:p>
    <w:p>
      <w:r/>
      <w:r>
        <w:t>Entre as pessoas que falavam línguas semíticas, como hebraico e árabe, a associação entre o nome e a pessoa era uma ideia comum. O nome de Deus também era um termo intercambiável para o próprio Deus. Era um símbolo de sua atividade na revelação. Quando as pessoas adoravam usando o nome de Deus, elas experimentavam seu poder (</w:t>
      </w:r>
      <w:hyperlink r:id="rId17477">
        <w:r>
          <w:rPr>
            <w:color w:val="0000EE"/>
            <w:u w:val="single"/>
          </w:rPr>
          <w:t>Sl 44.5</w:t>
        </w:r>
      </w:hyperlink>
      <w:r>
        <w:t xml:space="preserve">; </w:t>
      </w:r>
      <w:hyperlink r:id="rId17478">
        <w:r>
          <w:rPr>
            <w:color w:val="0000EE"/>
            <w:u w:val="single"/>
          </w:rPr>
          <w:t>89.24</w:t>
        </w:r>
      </w:hyperlink>
      <w:r>
        <w:t xml:space="preserve">; </w:t>
      </w:r>
      <w:hyperlink r:id="rId17479">
        <w:r>
          <w:rPr>
            <w:color w:val="0000EE"/>
            <w:u w:val="single"/>
          </w:rPr>
          <w:t>Is 30.27</w:t>
        </w:r>
      </w:hyperlink>
      <w:r>
        <w:t>). Era uma forma de descrever o poder de Deus que espalha ajuda e energia para todos.</w:t>
      </w:r>
    </w:p>
    <w:p>
      <w:r/>
      <w:r>
        <w:t>Deus poderia agir em prol do seu nome. O anjo da autoridade e poder do Senhor operava porque o nome de Deus estava nele (</w:t>
      </w:r>
      <w:hyperlink r:id="rId17480">
        <w:r>
          <w:rPr>
            <w:color w:val="0000EE"/>
            <w:u w:val="single"/>
          </w:rPr>
          <w:t>Êx 23.20–21</w:t>
        </w:r>
      </w:hyperlink>
      <w:r>
        <w:t>). Como alguém que carregava o nome divino, o anjo tornava real a presença oculta de Deus. O templo era a morada do nome (</w:t>
      </w:r>
      <w:hyperlink r:id="rId17481">
        <w:r>
          <w:rPr>
            <w:color w:val="0000EE"/>
            <w:u w:val="single"/>
          </w:rPr>
          <w:t>1Rs 11.36</w:t>
        </w:r>
      </w:hyperlink>
      <w:r>
        <w:t>). As pessoas oravam a Deus no templo, mas era mais do que apenas um lugar de oração. Era onde Deus escolheu viver entre seu povo.</w:t>
      </w:r>
    </w:p>
    <w:p>
      <w:pPr>
        <w:pStyle w:val="Heading4"/>
      </w:pPr>
      <w:r>
        <w:t>O Espírito de Deus</w:t>
      </w:r>
    </w:p>
    <w:p>
      <w:r/>
      <w:r>
        <w:t>O Espírito Santo ajuda as pessoas a experimentarem a presença de Deus. Mesmo que Deus esteja além da compreensão humana, o Espírito Santo ajuda a aproximá-lo de seu povo. A presença de Deus torna-se real entre seu povo através do Espírito (</w:t>
      </w:r>
      <w:hyperlink r:id="rId17482">
        <w:r>
          <w:rPr>
            <w:color w:val="0000EE"/>
            <w:u w:val="single"/>
          </w:rPr>
          <w:t>Is 63.11–14</w:t>
        </w:r>
      </w:hyperlink>
      <w:r>
        <w:t xml:space="preserve">; </w:t>
      </w:r>
      <w:hyperlink r:id="rId8369">
        <w:r>
          <w:rPr>
            <w:color w:val="0000EE"/>
            <w:u w:val="single"/>
          </w:rPr>
          <w:t>Zc 7.12</w:t>
        </w:r>
      </w:hyperlink>
      <w:r>
        <w:t>). Pelo Espírito, os dons e poderes de Deus estão em ação entre seu povo (</w:t>
      </w:r>
      <w:hyperlink r:id="rId15253">
        <w:r>
          <w:rPr>
            <w:color w:val="0000EE"/>
            <w:u w:val="single"/>
          </w:rPr>
          <w:t>2Cr 15.1</w:t>
        </w:r>
      </w:hyperlink>
      <w:r>
        <w:t xml:space="preserve">; </w:t>
      </w:r>
      <w:hyperlink r:id="rId17483">
        <w:r>
          <w:rPr>
            <w:color w:val="0000EE"/>
            <w:u w:val="single"/>
          </w:rPr>
          <w:t>20.14</w:t>
        </w:r>
      </w:hyperlink>
      <w:r>
        <w:t xml:space="preserve">; </w:t>
      </w:r>
      <w:hyperlink r:id="rId6186">
        <w:r>
          <w:rPr>
            <w:color w:val="0000EE"/>
            <w:u w:val="single"/>
          </w:rPr>
          <w:t>24.20</w:t>
        </w:r>
      </w:hyperlink>
      <w:r>
        <w:t xml:space="preserve">; </w:t>
      </w:r>
      <w:hyperlink r:id="rId8368">
        <w:r>
          <w:rPr>
            <w:color w:val="0000EE"/>
            <w:u w:val="single"/>
          </w:rPr>
          <w:t>Zc 4.6</w:t>
        </w:r>
      </w:hyperlink>
      <w:r>
        <w:t xml:space="preserve">; </w:t>
      </w:r>
      <w:hyperlink r:id="rId1732">
        <w:r>
          <w:rPr>
            <w:color w:val="0000EE"/>
            <w:u w:val="single"/>
          </w:rPr>
          <w:t>6.1–8</w:t>
        </w:r>
      </w:hyperlink>
      <w:r>
        <w:t>).</w:t>
      </w:r>
    </w:p>
    <w:p>
      <w:r/>
      <w:r>
        <w:t>O Espírito era a presença e o poder de Deus com seu povo. O próprio Deus age por sua natureza. O pecador não pode estar na presença de Deus sem a ajuda do Espírito Santo de Deus. Estar sem o Espírito Santo é estar sem a presença de Deus (</w:t>
      </w:r>
      <w:hyperlink r:id="rId8361">
        <w:r>
          <w:rPr>
            <w:color w:val="0000EE"/>
            <w:u w:val="single"/>
          </w:rPr>
          <w:t>Sl 51.11</w:t>
        </w:r>
      </w:hyperlink>
      <w:r>
        <w:t>). Sem o Espírito, a comunhão entre Deus e os humanos não é possível.</w:t>
      </w:r>
    </w:p>
    <w:p>
      <w:pPr>
        <w:pStyle w:val="Heading3"/>
      </w:pPr>
      <w:r>
        <w:t>A presença de Deus no Novo Testamento</w:t>
      </w:r>
    </w:p>
    <w:p>
      <w:r/>
      <w:r>
        <w:t>No Novo Testamento, Deus se revelou às pessoas de uma nova maneira através de Jesus Cristo. Quando Jesus veio viver entre as pessoas, ele mostrou a elas como Deus era (</w:t>
      </w:r>
      <w:hyperlink r:id="rId3564">
        <w:r>
          <w:rPr>
            <w:color w:val="0000EE"/>
            <w:u w:val="single"/>
          </w:rPr>
          <w:t>Jo 1.14–18</w:t>
        </w:r>
      </w:hyperlink>
      <w:r>
        <w:t xml:space="preserve">; </w:t>
      </w:r>
      <w:hyperlink r:id="rId17484">
        <w:r>
          <w:rPr>
            <w:color w:val="0000EE"/>
            <w:u w:val="single"/>
          </w:rPr>
          <w:t>17.6,26</w:t>
        </w:r>
      </w:hyperlink>
      <w:r>
        <w:t>). A missão de Jesus era revelar Deus à humanidade. Ele fez isso através de toda a obra de sua vida e suas palavras.</w:t>
      </w:r>
    </w:p>
    <w:p>
      <w:r/>
      <w:r>
        <w:t>O nome "Jesus" era importante porque significa "O Senhor Salva". Este nome mostrava o que Deus faz: Ele salva as pessoas. Através de Jesus, as pessoas podiam compreender plenamente o significado do nome de Deus.</w:t>
      </w:r>
    </w:p>
    <w:p>
      <w:r/>
      <w:r>
        <w:t>Em tempos anteriores, as pessoas encontravam-se com Deus no templo. Agora, Jesus tornou-se como um novo templo onde as pessoas podiam encontrar-se com Deus (</w:t>
      </w:r>
      <w:hyperlink r:id="rId3743">
        <w:r>
          <w:rPr>
            <w:color w:val="0000EE"/>
            <w:u w:val="single"/>
          </w:rPr>
          <w:t>Jo 1.14</w:t>
        </w:r>
      </w:hyperlink>
      <w:r>
        <w:t xml:space="preserve">; </w:t>
      </w:r>
      <w:hyperlink r:id="rId9084">
        <w:r>
          <w:rPr>
            <w:color w:val="0000EE"/>
            <w:u w:val="single"/>
          </w:rPr>
          <w:t>2.21</w:t>
        </w:r>
      </w:hyperlink>
      <w:r>
        <w:t xml:space="preserve">; </w:t>
      </w:r>
      <w:hyperlink r:id="rId5143">
        <w:r>
          <w:rPr>
            <w:color w:val="0000EE"/>
            <w:u w:val="single"/>
          </w:rPr>
          <w:t>Cl 2.9</w:t>
        </w:r>
      </w:hyperlink>
      <w:r>
        <w:t>). Deus estava plenamente presente em Jesus. Isso foi apenas o começo de como Deus se revelaria às pessoas de novas maneiras.</w:t>
      </w:r>
    </w:p>
    <w:p>
      <w:r/>
      <w:r>
        <w:t>No Novo Testamento, a igreja se torna o templo de Deus de uma nova maneira. O cristianismo como religião trata de estar próximo de Deus e ter um relacionamento com Ele. O corpo de Cristo (ou seja, a igreja) é como um templo espiritual (</w:t>
      </w:r>
      <w:hyperlink r:id="rId417">
        <w:r>
          <w:rPr>
            <w:color w:val="0000EE"/>
            <w:u w:val="single"/>
          </w:rPr>
          <w:t>Ef 2.22</w:t>
        </w:r>
      </w:hyperlink>
      <w:r>
        <w:t>). É composto de “pedras vivas” (</w:t>
      </w:r>
      <w:hyperlink r:id="rId4509">
        <w:r>
          <w:rPr>
            <w:color w:val="0000EE"/>
            <w:u w:val="single"/>
          </w:rPr>
          <w:t>1Pe 2.5</w:t>
        </w:r>
      </w:hyperlink>
      <w:r>
        <w:t>). É a residência da presença do glorioso Deus.</w:t>
      </w:r>
    </w:p>
    <w:p>
      <w:r/>
      <w:r>
        <w:t>E agora, o cristão individual também é um templo de Deus (</w:t>
      </w:r>
      <w:hyperlink r:id="rId6020">
        <w:r>
          <w:rPr>
            <w:color w:val="0000EE"/>
            <w:u w:val="single"/>
          </w:rPr>
          <w:t>1Co 3.16–17</w:t>
        </w:r>
      </w:hyperlink>
      <w:r>
        <w:t xml:space="preserve">; </w:t>
      </w:r>
      <w:hyperlink r:id="rId4305">
        <w:r>
          <w:rPr>
            <w:color w:val="0000EE"/>
            <w:u w:val="single"/>
          </w:rPr>
          <w:t>6.19</w:t>
        </w:r>
      </w:hyperlink>
      <w:r>
        <w:t xml:space="preserve">; </w:t>
      </w:r>
      <w:hyperlink r:id="rId17485">
        <w:r>
          <w:rPr>
            <w:color w:val="0000EE"/>
            <w:u w:val="single"/>
          </w:rPr>
          <w:t>2Co 6.16</w:t>
        </w:r>
      </w:hyperlink>
      <w:r>
        <w:t xml:space="preserve">). Deus está especialmente presente no espírito do cristão. Lá, Deus reina, pois ali é o seu reino. Lá, Deus é adorado. No cristão individual, a glória e a presença de Deus consagram a pessoa interior em um templo (veja </w:t>
      </w:r>
      <w:hyperlink r:id="rId5293">
        <w:r>
          <w:rPr>
            <w:color w:val="0000EE"/>
            <w:u w:val="single"/>
          </w:rPr>
          <w:t>Jo 14.23</w:t>
        </w:r>
      </w:hyperlink>
      <w:r>
        <w:t>).</w:t>
      </w:r>
    </w:p>
    <w:p>
      <w:r/>
      <w:r>
        <w:rPr>
          <w:i/>
        </w:rPr>
        <w:t>Veja também</w:t>
      </w:r>
      <w:r>
        <w:t xml:space="preserve"> </w:t>
      </w:r>
      <w:r>
        <w:t>Deus, Ser e seus atributos</w:t>
      </w:r>
      <w:r>
        <w:t>.</w:t>
      </w:r>
      <w:r/>
      <w:r/>
    </w:p>
    <w:p>
      <w:r/>
    </w:p>
    <w:p>
      <w:pPr>
        <w:pStyle w:val="Heading2"/>
      </w:pPr>
      <w:r>
        <w:t>Presságio</w:t>
      </w:r>
      <w:r/>
    </w:p>
    <w:p>
      <w:r/>
      <w:r>
        <w:t>Sinal natural ou ocorrência que prefigura o resultado de um evento futuro. O augúrio foi listado entre as práticas pagãs abomináveis proibidas a Israel (</w:t>
      </w:r>
      <w:hyperlink r:id="rId9153">
        <w:r>
          <w:rPr>
            <w:color w:val="0000EE"/>
            <w:u w:val="single"/>
          </w:rPr>
          <w:t>Dt 18.10</w:t>
        </w:r>
      </w:hyperlink>
      <w:r>
        <w:t>). Balaão, ao perceber que o Senhor estava satisfeito com suas bênçãos sobre Israel, não procurou presságios como normalmente fazia (</w:t>
      </w:r>
      <w:hyperlink r:id="rId17486">
        <w:r>
          <w:rPr>
            <w:color w:val="0000EE"/>
            <w:u w:val="single"/>
          </w:rPr>
          <w:t>Nm 24.1</w:t>
        </w:r>
      </w:hyperlink>
      <w:r>
        <w:t>). Os homens da Síria procuraram um presságio para ver se o rei Acabe de Israel (874–853 a.C.) estaria disposto a libertar o rei sírio Ben-Hadade do cativeiro (</w:t>
      </w:r>
      <w:hyperlink r:id="rId17487">
        <w:r>
          <w:rPr>
            <w:color w:val="0000EE"/>
            <w:u w:val="single"/>
          </w:rPr>
          <w:t>1Rs 20.33</w:t>
        </w:r>
      </w:hyperlink>
      <w:r>
        <w:t xml:space="preserve">). Isaías revela o Senhor como aquele </w:t>
      </w:r>
      <w:r>
        <w:t>frustra "os sinais dos que profetizam mentiras e faço com que os adivinhos fiquem parecendo tolos</w:t>
      </w:r>
      <w:r>
        <w:t>” (</w:t>
      </w:r>
      <w:hyperlink r:id="rId17488">
        <w:r>
          <w:rPr>
            <w:color w:val="0000EE"/>
            <w:u w:val="single"/>
          </w:rPr>
          <w:t>Is 44.25</w:t>
        </w:r>
      </w:hyperlink>
      <w:r>
        <w:t>, NAA).</w:t>
      </w:r>
    </w:p>
    <w:p>
      <w:r/>
      <w:r>
        <w:rPr>
          <w:i/>
        </w:rPr>
        <w:t>Veja também</w:t>
      </w:r>
      <w:r>
        <w:t xml:space="preserve"> </w:t>
      </w:r>
      <w:r>
        <w:t>Magia</w:t>
      </w:r>
      <w:r>
        <w:t xml:space="preserve">; </w:t>
      </w:r>
      <w:r>
        <w:t>Feitiçaria</w:t>
      </w:r>
      <w:r>
        <w:t>.</w:t>
      </w:r>
      <w:r/>
      <w:r/>
    </w:p>
    <w:p>
      <w:r/>
    </w:p>
    <w:p>
      <w:pPr>
        <w:pStyle w:val="Heading2"/>
      </w:pPr>
      <w:r>
        <w:t>Pretório, Guarda Pretoriana</w:t>
      </w:r>
      <w:r/>
    </w:p>
    <w:p>
      <w:r/>
      <w:r>
        <w:t>Esses termos referem-se ao pessoal de segurança associado a um oficial, bem como aos alojamentos dos soldados. Esses locais também serviam a alguns propósitos militares, como manter e interrogar prisioneiros.</w:t>
      </w:r>
    </w:p>
    <w:p>
      <w:r/>
      <w:r>
        <w:t xml:space="preserve">A palavra aparece no Novo Testamento Grego em </w:t>
      </w:r>
      <w:hyperlink r:id="rId17489">
        <w:r>
          <w:rPr>
            <w:color w:val="0000EE"/>
            <w:u w:val="single"/>
          </w:rPr>
          <w:t>Marcos 15.16</w:t>
        </w:r>
      </w:hyperlink>
      <w:r>
        <w:t xml:space="preserve">; </w:t>
      </w:r>
      <w:hyperlink r:id="rId17490">
        <w:r>
          <w:rPr>
            <w:color w:val="0000EE"/>
            <w:u w:val="single"/>
          </w:rPr>
          <w:t>Mateus 27.27</w:t>
        </w:r>
      </w:hyperlink>
      <w:r>
        <w:t xml:space="preserve">; </w:t>
      </w:r>
      <w:hyperlink r:id="rId12600">
        <w:r>
          <w:rPr>
            <w:color w:val="0000EE"/>
            <w:u w:val="single"/>
          </w:rPr>
          <w:t>João 18.28,33</w:t>
        </w:r>
      </w:hyperlink>
      <w:r>
        <w:t xml:space="preserve">; </w:t>
      </w:r>
      <w:hyperlink r:id="rId12601">
        <w:r>
          <w:rPr>
            <w:color w:val="0000EE"/>
            <w:u w:val="single"/>
          </w:rPr>
          <w:t>19.9</w:t>
        </w:r>
      </w:hyperlink>
      <w:r>
        <w:t xml:space="preserve">; </w:t>
      </w:r>
      <w:hyperlink r:id="rId12602">
        <w:r>
          <w:rPr>
            <w:color w:val="0000EE"/>
            <w:u w:val="single"/>
          </w:rPr>
          <w:t>Atos 23.35</w:t>
        </w:r>
      </w:hyperlink>
      <w:r>
        <w:t xml:space="preserve">; e </w:t>
      </w:r>
      <w:hyperlink r:id="rId4495">
        <w:r>
          <w:rPr>
            <w:color w:val="0000EE"/>
            <w:u w:val="single"/>
          </w:rPr>
          <w:t>Filipenses 1.13</w:t>
        </w:r>
      </w:hyperlink>
      <w:r>
        <w:t xml:space="preserve">. É uma palavra latina emprestada dos romanos, que governavam o mundo mediterrâneo nos tempos do Novo Testamento. Era usada principalmente em assuntos militares e governamentais. Originalmente, Pretório ou Pretoriano significava a tenda do general </w:t>
      </w:r>
      <w:r>
        <w:rPr>
          <w:i/>
        </w:rPr>
        <w:t>(pretor)</w:t>
      </w:r>
      <w:r>
        <w:t xml:space="preserve"> em um acampamento militar. O significado foi ampliado para incluir a residência de um governador ou outro oficial romano. Por exemplo, Pôncio Pilatos, o procurador da Judeia, tinha guardas pretorianos. O uso casual também pode ter aplicado o nome aos alojamentos dos soldados dentro do palácio oficial.</w:t>
      </w:r>
    </w:p>
    <w:p>
      <w:r/>
      <w:r>
        <w:t>As traduções em português do Novo Testamento utilizam uma variedade de termos para traduzir a palavra. A referência geral à sede da liderança romana é clara, mas a palavra é usada em diferentes contextos. Os Evangelhos de Mateus e Marcos identificam o pretório como o local onde os soldados romanos zombaram de Jesus após seu encontro com Pilatos. Marcos também o chama de "palácio" (ARC) ou "pátio interno do Palácio" (NTLH). De acordo com o Evangelho de João, o "pretório" foi o local onde Pilatos examinou Jesus sobre as acusações feitas contra ele. Pilatos saiu do pretório para se encontrar com os acusadores que trouxeram as acusações.</w:t>
      </w:r>
    </w:p>
    <w:p>
      <w:r/>
      <w:r>
        <w:t>Dentro de Jerusalém, há dois locais possíveis para a sede de Pilatos. Um é a fortaleza conhecida como Torre de Antônia, localizada no canto noroeste da área do Templo. O outro é o antigo palácio de Herodes, o Grande, na parte ocidental da cidade. Qualquer um dos dois poderia ter servido como o pretório, mas as fontes dos Evangelhos não especificam nenhum deles por nome ou descrição.</w:t>
      </w:r>
    </w:p>
    <w:p>
      <w:r/>
      <w:hyperlink r:id="rId12602">
        <w:r>
          <w:rPr>
            <w:color w:val="0000EE"/>
            <w:u w:val="single"/>
          </w:rPr>
          <w:t>Atos 23.35</w:t>
        </w:r>
      </w:hyperlink>
      <w:r>
        <w:t xml:space="preserve"> registra que Paulo estava sendo mantido em um pretório em Cesareia enquanto aguardava a chegada de seus acusadores. Este é especificamente identificado como o "pretório de Herodes". Em algum momento, o procurador Félix ou seus predecessores assumiram o antigo palácio de Herodes como sua sede costeira.</w:t>
      </w:r>
    </w:p>
    <w:p>
      <w:r/>
      <w:r>
        <w:t>A localização do encarceramento de Paulo na época em que ele escreveu aos Filipenses não está clara. Sua menção ao "pretório" em Filipenses 1.13 sugere algum centro do governo romano. A expressão "todo o pretório", no entanto, parece referir-se a todos os guardas e oficiais, em vez de a um edifício ou lugar. Traduções recentes refletem esse significado:</w:t>
      </w:r>
    </w:p>
    <w:p>
      <w:pPr>
        <w:pStyle w:val="ListBullet"/>
        <w:spacing w:line="240" w:lineRule="auto"/>
        <w:ind w:left="720"/>
      </w:pPr>
      <w:r/>
      <w:r>
        <w:t>"toda a guarda pretoriana" (ARC)</w:t>
      </w:r>
    </w:p>
    <w:p>
      <w:pPr>
        <w:pStyle w:val="ListBullet"/>
        <w:spacing w:line="240" w:lineRule="auto"/>
        <w:ind w:left="720"/>
      </w:pPr>
      <w:r/>
      <w:r>
        <w:t>"toda a guarda do palácio" (NTLH)</w:t>
      </w:r>
      <w:r/>
      <w:r/>
    </w:p>
    <w:p>
      <w:r/>
    </w:p>
    <w:p>
      <w:pPr>
        <w:pStyle w:val="Heading2"/>
      </w:pPr>
      <w:r>
        <w:t>Primeira Revolta Judaica</w:t>
      </w:r>
      <w:r/>
    </w:p>
    <w:p>
      <w:r/>
      <w:r>
        <w:t xml:space="preserve">Uma revolta em 66–70 d.C ocorreu como resultado de uma série de governadores romanos ineficazes na Judeia. Após a morte do último rei judeu, Agripa I (o Herodes de </w:t>
      </w:r>
      <w:hyperlink r:id="rId2854">
        <w:r>
          <w:rPr>
            <w:color w:val="0000EE"/>
            <w:u w:val="single"/>
          </w:rPr>
          <w:t>Atos 12</w:t>
        </w:r>
      </w:hyperlink>
      <w:r>
        <w:t>), em 44 d.C, os 20 anos seguintes foram marcados por perseguição e humilhação para os judeus na Palestina. Para que a agitação se transformasse em revolta, apenas mais uma razão era necessária. A razão final foi fornecida por Floro, o governador romano nomeado em 64 d.C. Ele provocou os judeus a uma revolta no ano 66 ao exigir dinheiro do tesouro do Templo. Sob seu governo, soldados romanos massacraram e saquearam os judeus.</w:t>
      </w:r>
    </w:p>
    <w:p>
      <w:r/>
      <w:r>
        <w:t>A rebelião rapidamente se espalhou por toda a Palestina, acompanhada por uma luta generalizada entre judeus e pagãos em várias cidades do leste do Mediterrâneo. A revolta na Palestina foi liderada pelos Zelotes, um grupo judeu que há muito desejava a saída dos romanos da Palestina. Após uma vitória inicial dos judeus na passagem de Beth-horon, o Imperador Nero enviou seu general mais capaz, Vespasiano, para comandar a operação de punição dos rebeldes.</w:t>
      </w:r>
    </w:p>
    <w:p>
      <w:r/>
      <w:r>
        <w:t>No final de 67 d.C, toda a Galileia e outras terras do norte estavam novamente sob domínio romano. Em 67 e 68 d.C, operações adicionais em Samaria e Judeia deixaram apenas quatro fortalezas sob controle judaico. Neste ponto, a campanha romana desacelerou. Nero cometeu suicídio em 68 d.C. Após três imperadores de curta duração, o General Vespasiano assumiu o controle do império em 69 d.C. Seu filho Tito assumiu o comando das forças na Palestina e sitiou Jerusalém em 70 d.C.</w:t>
      </w:r>
    </w:p>
    <w:p>
      <w:r/>
      <w:r>
        <w:t>Os judeus na capital poderiam ter estado melhor preparados se tivessem aproveitado a turbulência em Roma para fortalecer sua própria posição e resolver disputas entre grupos judaicos em conflito. No entanto, a chegada de Tito com 80.000 soldados os obrigou a se unificar para uma última defesa da cidade.</w:t>
      </w:r>
    </w:p>
    <w:p>
      <w:r/>
      <w:r>
        <w:t>O cerco da cidade durou cinco meses. Jerusalém lutou heroicamente contra o avanço dos romanos, forçando uma conquista lenta da cidade. Um momento trágico na história judaica ocorreu no início de agosto de 70 d.C., quando pela primeira vez em séculos os sacrifícios matutinos e vespertinos não foram oferecidos no Templo. Por volta de 29 de agosto, em circunstâncias ainda não claras, o santuário foi incendiado e o Templo destruído. Isso cumpriu a profecia de Jesus (</w:t>
      </w:r>
      <w:hyperlink r:id="rId17491">
        <w:r>
          <w:rPr>
            <w:color w:val="0000EE"/>
            <w:u w:val="single"/>
          </w:rPr>
          <w:t>Mt 24.1–2</w:t>
        </w:r>
      </w:hyperlink>
      <w:r>
        <w:t xml:space="preserve">; </w:t>
      </w:r>
      <w:hyperlink r:id="rId17492">
        <w:r>
          <w:rPr>
            <w:color w:val="0000EE"/>
            <w:u w:val="single"/>
          </w:rPr>
          <w:t>Mc 13.1–2</w:t>
        </w:r>
      </w:hyperlink>
      <w:r>
        <w:t xml:space="preserve">; </w:t>
      </w:r>
      <w:hyperlink r:id="rId17493">
        <w:r>
          <w:rPr>
            <w:color w:val="0000EE"/>
            <w:u w:val="single"/>
          </w:rPr>
          <w:t>Lc 19.43–44</w:t>
        </w:r>
      </w:hyperlink>
      <w:r>
        <w:t xml:space="preserve">; </w:t>
      </w:r>
      <w:hyperlink r:id="rId17494">
        <w:r>
          <w:rPr>
            <w:color w:val="0000EE"/>
            <w:u w:val="single"/>
          </w:rPr>
          <w:t>21.5–7</w:t>
        </w:r>
      </w:hyperlink>
      <w:r>
        <w:t>). Por mais um mês, alguma resistência continuou, mas no final de setembro, o conflito terminou na cidade arruinada. Ao todo, talvez um milhão de judeus foram mortos e 900.000 capturados durante a revolta.</w:t>
      </w:r>
    </w:p>
    <w:p>
      <w:r/>
      <w:r>
        <w:rPr>
          <w:i/>
        </w:rPr>
        <w:t>Veja também</w:t>
      </w:r>
      <w:r>
        <w:t xml:space="preserve"> </w:t>
      </w:r>
      <w:r>
        <w:t>Israel, História de</w:t>
      </w:r>
      <w:r>
        <w:t xml:space="preserve">; </w:t>
      </w:r>
      <w:r>
        <w:t>Jerusalém</w:t>
      </w:r>
      <w:r>
        <w:t xml:space="preserve">; </w:t>
      </w:r>
      <w:r>
        <w:t>Judaísmo</w:t>
      </w:r>
      <w:r>
        <w:t>.</w:t>
      </w:r>
      <w:r/>
      <w:r/>
    </w:p>
    <w:p>
      <w:r/>
    </w:p>
    <w:p>
      <w:pPr>
        <w:pStyle w:val="Heading2"/>
      </w:pPr>
      <w:r>
        <w:t>Primícias</w:t>
      </w:r>
      <w:r/>
    </w:p>
    <w:p>
      <w:r/>
      <w:r>
        <w:t>Um primogênito, animal ou as primeiras partes de qualquer colheita eram considerados sagrados no pensamento hebraico e pertenciam a Deus. As primícias eram uma forma de agradecer a Deus por Sua bondade, oferecendo a primeira parte como um sinal de mais por vir.</w:t>
      </w:r>
    </w:p>
    <w:p>
      <w:pPr>
        <w:pStyle w:val="Heading3"/>
      </w:pPr>
      <w:r>
        <w:t>Primícias no Antigo Testamento</w:t>
      </w:r>
    </w:p>
    <w:p>
      <w:r/>
      <w:r>
        <w:t>As ofertas de primícias podiam ser colheitas ou produtos como massa, pão, vinho, azeite ou lã. O primogênito e os animais primogênitos também pertenciam a Deus. Para crianças e animais impuros, o primogênito precisava ser "resgatado." Isso significava que eles eram pagos com dinheiro. Vacas, ovelhas e cabras primogênitas eram sacrificadas a Deus (</w:t>
      </w:r>
      <w:hyperlink r:id="rId17495">
        <w:r>
          <w:rPr>
            <w:color w:val="0000EE"/>
            <w:u w:val="single"/>
          </w:rPr>
          <w:t>Nm 18.14–17</w:t>
        </w:r>
      </w:hyperlink>
      <w:r>
        <w:t>).</w:t>
      </w:r>
    </w:p>
    <w:p>
      <w:r/>
      <w:r>
        <w:t>Os primeiros frutos eram reservados para os sacerdotes. A Bíblia menciona “os primeiros dos primeiros frutos” pelo menos três vezes. Isso poderia significar os primeiros a amadurecer ou o melhor da colheita. Essas ofertas eram destinadas aos sacerdotes. Somente os ritualmente puros podiam comê-los (</w:t>
      </w:r>
      <w:hyperlink r:id="rId17496">
        <w:r>
          <w:rPr>
            <w:color w:val="0000EE"/>
            <w:u w:val="single"/>
          </w:rPr>
          <w:t>Nm 18.12–13</w:t>
        </w:r>
      </w:hyperlink>
      <w:r>
        <w:t xml:space="preserve">). Para outras referências aos primeiros frutos, veja </w:t>
      </w:r>
      <w:hyperlink r:id="rId17497">
        <w:r>
          <w:rPr>
            <w:color w:val="0000EE"/>
            <w:u w:val="single"/>
          </w:rPr>
          <w:t>Êxodo 23.15–19</w:t>
        </w:r>
      </w:hyperlink>
      <w:r>
        <w:t xml:space="preserve">; </w:t>
      </w:r>
      <w:hyperlink r:id="rId17498">
        <w:r>
          <w:rPr>
            <w:color w:val="0000EE"/>
            <w:u w:val="single"/>
          </w:rPr>
          <w:t>34.22,26</w:t>
        </w:r>
      </w:hyperlink>
      <w:r>
        <w:t xml:space="preserve">; </w:t>
      </w:r>
      <w:hyperlink r:id="rId15724">
        <w:r>
          <w:rPr>
            <w:color w:val="0000EE"/>
            <w:u w:val="single"/>
          </w:rPr>
          <w:t>Levítico 2.14</w:t>
        </w:r>
      </w:hyperlink>
      <w:r>
        <w:t xml:space="preserve">; </w:t>
      </w:r>
      <w:hyperlink r:id="rId17499">
        <w:r>
          <w:rPr>
            <w:color w:val="0000EE"/>
            <w:u w:val="single"/>
          </w:rPr>
          <w:t>23.10–17</w:t>
        </w:r>
      </w:hyperlink>
      <w:r>
        <w:t xml:space="preserve">; </w:t>
      </w:r>
      <w:hyperlink r:id="rId17500">
        <w:r>
          <w:rPr>
            <w:color w:val="0000EE"/>
            <w:u w:val="single"/>
          </w:rPr>
          <w:t>Números 15.20,21</w:t>
        </w:r>
      </w:hyperlink>
      <w:r>
        <w:t xml:space="preserve">; </w:t>
      </w:r>
      <w:hyperlink r:id="rId17501">
        <w:r>
          <w:rPr>
            <w:color w:val="0000EE"/>
            <w:u w:val="single"/>
          </w:rPr>
          <w:t>28.26–31</w:t>
        </w:r>
      </w:hyperlink>
      <w:r>
        <w:t xml:space="preserve">; e </w:t>
      </w:r>
      <w:hyperlink r:id="rId17502">
        <w:r>
          <w:rPr>
            <w:color w:val="0000EE"/>
            <w:u w:val="single"/>
          </w:rPr>
          <w:t>Deuteronômio 26.1–11</w:t>
        </w:r>
      </w:hyperlink>
      <w:r>
        <w:t>.</w:t>
      </w:r>
    </w:p>
    <w:p>
      <w:r/>
      <w:r>
        <w:t>Para apresentar as primícias, as pessoas levavam suas ofertas ao sacerdote no tabernáculo ou, mais tarde, no templo (</w:t>
      </w:r>
      <w:hyperlink r:id="rId12837">
        <w:r>
          <w:rPr>
            <w:color w:val="0000EE"/>
            <w:u w:val="single"/>
          </w:rPr>
          <w:t>Dt 26.2</w:t>
        </w:r>
      </w:hyperlink>
      <w:r>
        <w:t>). O sacerdote recebia a oferta e, no primeiro dia da semana, a agitava diante do Senhor com os braços estendidos. No mesmo dia, a pessoa oferecia um cordeiro macho, uma oferta de cereais de farinha misturada com azeite e uma oferta de vinho. Cinquenta dias depois, era feita uma oferta de cereais. Cada família dava dois pães ao Senhor, juntamente com ofertas de animais, cereais e bebidas (</w:t>
      </w:r>
      <w:hyperlink r:id="rId17503">
        <w:r>
          <w:rPr>
            <w:color w:val="0000EE"/>
            <w:u w:val="single"/>
          </w:rPr>
          <w:t>Lv 23.9–22</w:t>
        </w:r>
      </w:hyperlink>
      <w:r>
        <w:t>).</w:t>
      </w:r>
    </w:p>
    <w:p>
      <w:pPr>
        <w:pStyle w:val="Heading3"/>
      </w:pPr>
      <w:r>
        <w:t>Primícias no Novo Testamento</w:t>
      </w:r>
    </w:p>
    <w:p>
      <w:r/>
      <w:r>
        <w:t>No Novo Testamento, Paulo chamou a ressurreição de Jesus de as primícias da futura ressurreição dos crentes em seu retorno (</w:t>
      </w:r>
      <w:hyperlink r:id="rId17504">
        <w:r>
          <w:rPr>
            <w:color w:val="0000EE"/>
            <w:u w:val="single"/>
          </w:rPr>
          <w:t>1Co 15.20,23</w:t>
        </w:r>
      </w:hyperlink>
      <w:r>
        <w:t>). O Espírito Santo, que vive em todos os crentes (</w:t>
      </w:r>
      <w:hyperlink r:id="rId3276">
        <w:r>
          <w:rPr>
            <w:color w:val="0000EE"/>
            <w:u w:val="single"/>
          </w:rPr>
          <w:t>Rm 8.9</w:t>
        </w:r>
      </w:hyperlink>
      <w:r>
        <w:t>), também é chamado de as primícias da plena redenção que está por vir. "Primícias" também se referia aos primeiros crentes em uma região (</w:t>
      </w:r>
      <w:hyperlink r:id="rId2748">
        <w:r>
          <w:rPr>
            <w:color w:val="0000EE"/>
            <w:u w:val="single"/>
          </w:rPr>
          <w:t>Rm 16.5</w:t>
        </w:r>
      </w:hyperlink>
      <w:r>
        <w:t xml:space="preserve">; </w:t>
      </w:r>
      <w:hyperlink r:id="rId4342">
        <w:r>
          <w:rPr>
            <w:color w:val="0000EE"/>
            <w:u w:val="single"/>
          </w:rPr>
          <w:t>1Co 16.15</w:t>
        </w:r>
      </w:hyperlink>
      <w:r>
        <w:t>). Simbolizava uma promessa de uma colheita espiritual maior.</w:t>
      </w:r>
    </w:p>
    <w:p>
      <w:r/>
      <w:r>
        <w:t>Os crentes cristãos são as primícias. Eles são a posse única e santa de Deus (</w:t>
      </w:r>
      <w:hyperlink r:id="rId9309">
        <w:r>
          <w:rPr>
            <w:color w:val="0000EE"/>
            <w:u w:val="single"/>
          </w:rPr>
          <w:t>Tg 1.18</w:t>
        </w:r>
      </w:hyperlink>
      <w:r>
        <w:t>). Em Apocalipse, os 144.000 são descritos como as primícias do povo de Deus. Eles pertencem tanto a Deus quanto a Jesus Cristo, que é chamado de Cordeiro (</w:t>
      </w:r>
      <w:hyperlink r:id="rId17505">
        <w:r>
          <w:rPr>
            <w:color w:val="0000EE"/>
            <w:u w:val="single"/>
          </w:rPr>
          <w:t>Ap 14.4</w:t>
        </w:r>
      </w:hyperlink>
      <w:r>
        <w:t>).</w:t>
      </w:r>
    </w:p>
    <w:p>
      <w:r/>
      <w:r>
        <w:rPr>
          <w:i/>
        </w:rPr>
        <w:t>Veja também</w:t>
      </w:r>
      <w:r>
        <w:t xml:space="preserve"> </w:t>
      </w:r>
      <w:r>
        <w:t>Festas e festivais de Israel</w:t>
      </w:r>
      <w:r>
        <w:t xml:space="preserve">; </w:t>
      </w:r>
      <w:r>
        <w:t>Ofertas e sacrifícios</w:t>
      </w:r>
      <w:r>
        <w:t>.</w:t>
      </w:r>
      <w:r/>
      <w:r/>
    </w:p>
    <w:p>
      <w:r/>
    </w:p>
    <w:p>
      <w:pPr>
        <w:pStyle w:val="Heading2"/>
      </w:pPr>
      <w:r>
        <w:t>Primogênito</w:t>
      </w:r>
      <w:r/>
    </w:p>
    <w:p>
      <w:r/>
      <w:r>
        <w:t>O filho ou filha mais velho(a) em uma família (</w:t>
      </w:r>
      <w:hyperlink r:id="rId2312">
        <w:r>
          <w:rPr>
            <w:color w:val="0000EE"/>
            <w:u w:val="single"/>
          </w:rPr>
          <w:t>Gn 22.21</w:t>
        </w:r>
      </w:hyperlink>
      <w:r>
        <w:t xml:space="preserve">; </w:t>
      </w:r>
      <w:hyperlink r:id="rId4562">
        <w:r>
          <w:rPr>
            <w:color w:val="0000EE"/>
            <w:u w:val="single"/>
          </w:rPr>
          <w:t>29.26</w:t>
        </w:r>
      </w:hyperlink>
      <w:r>
        <w:t>).</w:t>
      </w:r>
    </w:p>
    <w:p>
      <w:r/>
      <w:r>
        <w:t>Israel foi chamado de primogênito de Deus devido ao início milagroso daquela nação e ao resgate especial do Egito (</w:t>
      </w:r>
      <w:hyperlink r:id="rId17506">
        <w:r>
          <w:rPr>
            <w:color w:val="0000EE"/>
            <w:u w:val="single"/>
          </w:rPr>
          <w:t>Gn 17.5,15</w:t>
        </w:r>
      </w:hyperlink>
      <w:hyperlink r:id="rId154">
        <w:r>
          <w:rPr>
            <w:color w:val="0000EE"/>
            <w:u w:val="single"/>
          </w:rPr>
          <w:t>-</w:t>
        </w:r>
      </w:hyperlink>
      <w:hyperlink r:id="rId17506">
        <w:r>
          <w:rPr>
            <w:color w:val="0000EE"/>
            <w:u w:val="single"/>
          </w:rPr>
          <w:t>16</w:t>
        </w:r>
      </w:hyperlink>
      <w:r>
        <w:t xml:space="preserve">; </w:t>
      </w:r>
      <w:hyperlink r:id="rId9380">
        <w:r>
          <w:rPr>
            <w:color w:val="0000EE"/>
            <w:u w:val="single"/>
          </w:rPr>
          <w:t>Êx 4.22</w:t>
        </w:r>
      </w:hyperlink>
      <w:r>
        <w:t>). Como primogênito de Deus, Israel tinha um status especial sobre todas as outras nações. Os gentios (pessoas não judaicas) eram “abençoados” apenas em relação à sua bondade para com Israel (</w:t>
      </w:r>
      <w:hyperlink r:id="rId799">
        <w:r>
          <w:rPr>
            <w:color w:val="0000EE"/>
            <w:u w:val="single"/>
          </w:rPr>
          <w:t>Gn 12.3</w:t>
        </w:r>
      </w:hyperlink>
      <w:r>
        <w:t xml:space="preserve">; </w:t>
      </w:r>
      <w:hyperlink r:id="rId806">
        <w:r>
          <w:rPr>
            <w:color w:val="0000EE"/>
            <w:u w:val="single"/>
          </w:rPr>
          <w:t>Êx 19.6</w:t>
        </w:r>
      </w:hyperlink>
      <w:r>
        <w:t xml:space="preserve">; </w:t>
      </w:r>
      <w:hyperlink r:id="rId12783">
        <w:r>
          <w:rPr>
            <w:color w:val="0000EE"/>
            <w:u w:val="single"/>
          </w:rPr>
          <w:t>Dt 4.5–8</w:t>
        </w:r>
      </w:hyperlink>
      <w:r>
        <w:t>). O profeta Isaías previu um dia em que Israel teria uma porção dobrada de herança (</w:t>
      </w:r>
      <w:hyperlink r:id="rId17507">
        <w:r>
          <w:rPr>
            <w:color w:val="0000EE"/>
            <w:u w:val="single"/>
          </w:rPr>
          <w:t>Is 61.7</w:t>
        </w:r>
      </w:hyperlink>
      <w:r>
        <w:t>). Assim, ser primogênito implica prioridade ou superioridade, bem como uma herança.</w:t>
      </w:r>
    </w:p>
    <w:p>
      <w:r/>
      <w:r>
        <w:t xml:space="preserve">A expressão “primogênito dos pobres” em </w:t>
      </w:r>
      <w:hyperlink r:id="rId17508">
        <w:r>
          <w:rPr>
            <w:color w:val="0000EE"/>
            <w:u w:val="single"/>
          </w:rPr>
          <w:t>Isaías 14.30</w:t>
        </w:r>
      </w:hyperlink>
      <w:r>
        <w:t xml:space="preserve"> significa alguém que é o mais pobre, o mais necessitado entre os pobres. A expressão “primogênito da morte” em </w:t>
      </w:r>
      <w:hyperlink r:id="rId17509">
        <w:r>
          <w:rPr>
            <w:color w:val="0000EE"/>
            <w:u w:val="single"/>
          </w:rPr>
          <w:t>Jó 18.13</w:t>
        </w:r>
      </w:hyperlink>
      <w:r>
        <w:t xml:space="preserve"> sugere que a doença de Jó o levaria à morte.</w:t>
      </w:r>
    </w:p>
    <w:p>
      <w:r/>
      <w:r>
        <w:t>Porque Deus salvou os primogênitos de Israel da morte no Egito, Ele esperava que todos os futuros primogênitos fossem separados para o Seu serviço (</w:t>
      </w:r>
      <w:hyperlink r:id="rId17510">
        <w:r>
          <w:rPr>
            <w:color w:val="0000EE"/>
            <w:u w:val="single"/>
          </w:rPr>
          <w:t>Êx 11.4–7</w:t>
        </w:r>
      </w:hyperlink>
      <w:r>
        <w:t xml:space="preserve">; </w:t>
      </w:r>
      <w:hyperlink r:id="rId1552">
        <w:r>
          <w:rPr>
            <w:color w:val="0000EE"/>
            <w:u w:val="single"/>
          </w:rPr>
          <w:t>13.12</w:t>
        </w:r>
      </w:hyperlink>
      <w:r>
        <w:t>). O primeiro filho homem era um representante de toda a descendência (</w:t>
      </w:r>
      <w:hyperlink r:id="rId17511">
        <w:r>
          <w:rPr>
            <w:color w:val="0000EE"/>
            <w:u w:val="single"/>
          </w:rPr>
          <w:t>Gn 49.3</w:t>
        </w:r>
      </w:hyperlink>
      <w:r>
        <w:t xml:space="preserve">; </w:t>
      </w:r>
      <w:hyperlink r:id="rId15811">
        <w:r>
          <w:rPr>
            <w:color w:val="0000EE"/>
            <w:u w:val="single"/>
          </w:rPr>
          <w:t>Êx 22.29</w:t>
        </w:r>
      </w:hyperlink>
      <w:r>
        <w:t xml:space="preserve">; </w:t>
      </w:r>
      <w:hyperlink r:id="rId3460">
        <w:r>
          <w:rPr>
            <w:color w:val="0000EE"/>
            <w:u w:val="single"/>
          </w:rPr>
          <w:t>Nm 3.13</w:t>
        </w:r>
      </w:hyperlink>
      <w:r>
        <w:t>). Deus ordenou que o primogênito de todos os animais usados para ofertas fosse separado para Ele (</w:t>
      </w:r>
      <w:hyperlink r:id="rId17512">
        <w:r>
          <w:rPr>
            <w:color w:val="0000EE"/>
            <w:u w:val="single"/>
          </w:rPr>
          <w:t>Êx 13.2,15</w:t>
        </w:r>
      </w:hyperlink>
      <w:r>
        <w:t>).</w:t>
      </w:r>
    </w:p>
    <w:p>
      <w:pPr>
        <w:pStyle w:val="Heading3"/>
      </w:pPr>
      <w:r>
        <w:t>Primogênito e redenção</w:t>
      </w:r>
    </w:p>
    <w:p>
      <w:r/>
      <w:r>
        <w:t>Cada tribo deveria resgatar seu primogênito, exceto a de Levi, pagando uma quantia que não excedesse cinco siclos (</w:t>
      </w:r>
      <w:hyperlink r:id="rId17513">
        <w:r>
          <w:rPr>
            <w:color w:val="0000EE"/>
            <w:u w:val="single"/>
          </w:rPr>
          <w:t>Nm 18.15–16</w:t>
        </w:r>
      </w:hyperlink>
      <w:r>
        <w:t>). O resgate implicava uma escravidão anterior. Era para lembrar Israel de sua libertação do Egito (</w:t>
      </w:r>
      <w:hyperlink r:id="rId17514">
        <w:r>
          <w:rPr>
            <w:color w:val="0000EE"/>
            <w:u w:val="single"/>
          </w:rPr>
          <w:t>Êx 13.2–8</w:t>
        </w:r>
      </w:hyperlink>
      <w:r>
        <w:t>).</w:t>
      </w:r>
    </w:p>
    <w:p>
      <w:r/>
      <w:r>
        <w:t>O primogênito dos animais ritualmente limpos era dedicado ao Senhor. Era levado ao Tabernáculo (ou mais tarde, ao Templo) dentro de um ano a partir do oitavo dia após o nascimento. Este animal era então sacrificado e seu sangue aspergido sobre o altar. A carne do animal sacrificado era destinada aos sacerdotes (</w:t>
      </w:r>
      <w:hyperlink r:id="rId17515">
        <w:r>
          <w:rPr>
            <w:color w:val="0000EE"/>
            <w:u w:val="single"/>
          </w:rPr>
          <w:t>Êx 13.13</w:t>
        </w:r>
      </w:hyperlink>
      <w:r>
        <w:t xml:space="preserve">; </w:t>
      </w:r>
      <w:hyperlink r:id="rId388">
        <w:r>
          <w:rPr>
            <w:color w:val="0000EE"/>
            <w:u w:val="single"/>
          </w:rPr>
          <w:t>22.30</w:t>
        </w:r>
      </w:hyperlink>
      <w:r>
        <w:t xml:space="preserve">; cp. </w:t>
      </w:r>
      <w:hyperlink r:id="rId1702">
        <w:r>
          <w:rPr>
            <w:color w:val="0000EE"/>
            <w:u w:val="single"/>
          </w:rPr>
          <w:t>Nm 18.17</w:t>
        </w:r>
      </w:hyperlink>
      <w:r>
        <w:t>). O primogênito dos animais impuros podia ser resgatado com um acréscimo de um quinto do valor determinado pelo sacerdote. Se não fosse resgatado, esses animais eram vendidos, trocados ou destruídos pelos sacerdotes (</w:t>
      </w:r>
      <w:hyperlink r:id="rId17516">
        <w:r>
          <w:rPr>
            <w:color w:val="0000EE"/>
            <w:u w:val="single"/>
          </w:rPr>
          <w:t>Lv 27.27</w:t>
        </w:r>
      </w:hyperlink>
      <w:r>
        <w:t>). O filhote de um jumento devia ser resgatado com um cordeiro (</w:t>
      </w:r>
      <w:hyperlink r:id="rId17515">
        <w:r>
          <w:rPr>
            <w:color w:val="0000EE"/>
            <w:u w:val="single"/>
          </w:rPr>
          <w:t>Êx 13.13</w:t>
        </w:r>
      </w:hyperlink>
      <w:r>
        <w:t>). Se não fosse resgatado, deveria ser morto. A carne de animais impuros não era consumida.</w:t>
      </w:r>
    </w:p>
    <w:p>
      <w:pPr>
        <w:pStyle w:val="Heading3"/>
      </w:pPr>
      <w:r>
        <w:t>Primogênito e direito de nascimento</w:t>
      </w:r>
    </w:p>
    <w:p>
      <w:r/>
      <w:r>
        <w:t>O primogênito atuava como sacerdote da família se o pai estivesse ausente ou morto. Esaú e Rúben são ambos exemplos (</w:t>
      </w:r>
      <w:hyperlink r:id="rId17517">
        <w:r>
          <w:rPr>
            <w:color w:val="0000EE"/>
            <w:u w:val="single"/>
          </w:rPr>
          <w:t>Gn 27.19,32</w:t>
        </w:r>
      </w:hyperlink>
      <w:r>
        <w:t xml:space="preserve">; </w:t>
      </w:r>
      <w:hyperlink r:id="rId7182">
        <w:r>
          <w:rPr>
            <w:color w:val="0000EE"/>
            <w:u w:val="single"/>
          </w:rPr>
          <w:t>1Cr 5.1–2</w:t>
        </w:r>
      </w:hyperlink>
      <w:r>
        <w:t>). Esta posição do primogênito terminou quando o sacerdócio foi confiado à tribo de Levi (</w:t>
      </w:r>
      <w:hyperlink r:id="rId17518">
        <w:r>
          <w:rPr>
            <w:color w:val="0000EE"/>
            <w:u w:val="single"/>
          </w:rPr>
          <w:t>Nm 3.12–13</w:t>
        </w:r>
      </w:hyperlink>
      <w:r>
        <w:t>). Todos os primogênitos das gerações posteriores tinham que ser resgatados. O dinheiro do resgate tornou-se parte da renda anual dos levitas (</w:t>
      </w:r>
      <w:hyperlink r:id="rId17519">
        <w:r>
          <w:rPr>
            <w:color w:val="0000EE"/>
            <w:u w:val="single"/>
          </w:rPr>
          <w:t>Nm 8.17</w:t>
        </w:r>
      </w:hyperlink>
      <w:r>
        <w:t xml:space="preserve">; </w:t>
      </w:r>
      <w:hyperlink r:id="rId17009">
        <w:r>
          <w:rPr>
            <w:color w:val="0000EE"/>
            <w:u w:val="single"/>
          </w:rPr>
          <w:t>18.16</w:t>
        </w:r>
      </w:hyperlink>
      <w:r>
        <w:t>).</w:t>
      </w:r>
    </w:p>
    <w:p>
      <w:r/>
      <w:r>
        <w:t>Uma porção dupla da herança familiar era o direito do primogênito. Isso protegia o primogênito quando um homem tinha mais de uma esposa. O filho de uma esposa favorita não podia tomar o lugar do primeiro filho nascido do lar (</w:t>
      </w:r>
      <w:hyperlink r:id="rId7904">
        <w:r>
          <w:rPr>
            <w:color w:val="0000EE"/>
            <w:u w:val="single"/>
          </w:rPr>
          <w:t>Dt 21.17</w:t>
        </w:r>
      </w:hyperlink>
      <w:r>
        <w:t>).</w:t>
      </w:r>
    </w:p>
    <w:p>
      <w:r/>
      <w:r>
        <w:t>O título "primogênito" é aplicado a Jesus (</w:t>
      </w:r>
      <w:hyperlink r:id="rId8509">
        <w:r>
          <w:rPr>
            <w:color w:val="0000EE"/>
            <w:u w:val="single"/>
          </w:rPr>
          <w:t>Lc 2.7</w:t>
        </w:r>
      </w:hyperlink>
      <w:r>
        <w:t xml:space="preserve">; </w:t>
      </w:r>
      <w:hyperlink r:id="rId368">
        <w:r>
          <w:rPr>
            <w:color w:val="0000EE"/>
            <w:u w:val="single"/>
          </w:rPr>
          <w:t>Rm 8.29</w:t>
        </w:r>
      </w:hyperlink>
      <w:r>
        <w:t xml:space="preserve">; </w:t>
      </w:r>
      <w:hyperlink r:id="rId17520">
        <w:r>
          <w:rPr>
            <w:color w:val="0000EE"/>
            <w:u w:val="single"/>
          </w:rPr>
          <w:t>Cl 1.15,18</w:t>
        </w:r>
      </w:hyperlink>
      <w:r>
        <w:t xml:space="preserve">; </w:t>
      </w:r>
      <w:hyperlink r:id="rId10407">
        <w:r>
          <w:rPr>
            <w:color w:val="0000EE"/>
            <w:u w:val="single"/>
          </w:rPr>
          <w:t>Hb 1.6</w:t>
        </w:r>
      </w:hyperlink>
      <w:r>
        <w:t xml:space="preserve">; </w:t>
      </w:r>
      <w:hyperlink r:id="rId9331">
        <w:r>
          <w:rPr>
            <w:color w:val="0000EE"/>
            <w:u w:val="single"/>
          </w:rPr>
          <w:t>Ap 1.5</w:t>
        </w:r>
      </w:hyperlink>
      <w:r>
        <w:t>). Isso enfatiza a supremacia de Jesus sobre todos, pois ele foi o primeiro a ressuscitar dos mortos. Como primogênito, Jesus é:</w:t>
      </w:r>
    </w:p>
    <w:p>
      <w:pPr>
        <w:pStyle w:val="ListBullet"/>
        <w:spacing w:line="240" w:lineRule="auto"/>
        <w:ind w:left="720"/>
      </w:pPr>
      <w:r/>
      <w:r>
        <w:t>Herdeiro de todas as coisas (</w:t>
      </w:r>
      <w:hyperlink r:id="rId8114">
        <w:r>
          <w:rPr>
            <w:color w:val="0000EE"/>
            <w:u w:val="single"/>
          </w:rPr>
          <w:t>Hb 1.2</w:t>
        </w:r>
      </w:hyperlink>
      <w:r>
        <w:t>)</w:t>
      </w:r>
    </w:p>
    <w:p>
      <w:pPr>
        <w:pStyle w:val="ListBullet"/>
        <w:spacing w:line="240" w:lineRule="auto"/>
        <w:ind w:left="720"/>
      </w:pPr>
      <w:r/>
      <w:r>
        <w:t>O cabeça da igreja (</w:t>
      </w:r>
      <w:hyperlink r:id="rId17521">
        <w:r>
          <w:rPr>
            <w:color w:val="0000EE"/>
            <w:u w:val="single"/>
          </w:rPr>
          <w:t>Ef 1.20–23</w:t>
        </w:r>
      </w:hyperlink>
      <w:r>
        <w:t xml:space="preserve">; </w:t>
      </w:r>
      <w:hyperlink r:id="rId5157">
        <w:r>
          <w:rPr>
            <w:color w:val="0000EE"/>
            <w:u w:val="single"/>
          </w:rPr>
          <w:t>Cl 1.18,24</w:t>
        </w:r>
      </w:hyperlink>
      <w:r>
        <w:t xml:space="preserve">; </w:t>
      </w:r>
      <w:hyperlink r:id="rId17522">
        <w:r>
          <w:rPr>
            <w:color w:val="0000EE"/>
            <w:u w:val="single"/>
          </w:rPr>
          <w:t>Hb 2.10–12</w:t>
        </w:r>
      </w:hyperlink>
      <w:r>
        <w:t>)</w:t>
      </w:r>
    </w:p>
    <w:p>
      <w:r/>
      <w:r>
        <w:rPr>
          <w:i/>
        </w:rPr>
        <w:t>Veja também</w:t>
      </w:r>
      <w:r>
        <w:t xml:space="preserve"> </w:t>
      </w:r>
      <w:r>
        <w:t>Direito de nascença</w:t>
      </w:r>
      <w:r>
        <w:t xml:space="preserve">; </w:t>
      </w:r>
      <w:r>
        <w:t>Herdeiro</w:t>
      </w:r>
      <w:r>
        <w:t xml:space="preserve">; </w:t>
      </w:r>
      <w:r>
        <w:t>Herança</w:t>
      </w:r>
      <w:r>
        <w:t xml:space="preserve">; </w:t>
      </w:r>
      <w:r>
        <w:t>Primogenitura</w:t>
      </w:r>
      <w:r>
        <w:t>.</w:t>
      </w:r>
      <w:r/>
      <w:r/>
    </w:p>
    <w:p>
      <w:r/>
    </w:p>
    <w:p>
      <w:pPr>
        <w:pStyle w:val="Heading2"/>
      </w:pPr>
      <w:r>
        <w:t>Primogenitura</w:t>
      </w:r>
      <w:r/>
    </w:p>
    <w:p>
      <w:r/>
      <w:r>
        <w:t>Uma palavra que vem da tradução grega da palavra hebraica para "primogênito". Não é encontrada na Bíblia. É um conceito que reflete o status especial e os direitos de herança concedidos ao filho primogênito.</w:t>
      </w:r>
    </w:p>
    <w:p>
      <w:r/>
      <w:r>
        <w:t xml:space="preserve">Se o primogênito morresse, o próximo homem mais velho vivo não recebia os direitos do primogênito. Uma mulher primogênita também não recebia esses direitos, assim como o primogênito se ele fosse filho de uma concubina ou de uma escrava (por exemplo, </w:t>
      </w:r>
      <w:hyperlink r:id="rId10591">
        <w:r>
          <w:rPr>
            <w:color w:val="0000EE"/>
            <w:u w:val="single"/>
          </w:rPr>
          <w:t>Gn21.10</w:t>
        </w:r>
      </w:hyperlink>
      <w:r>
        <w:t>).</w:t>
      </w:r>
    </w:p>
    <w:p>
      <w:r/>
      <w:r>
        <w:t>As Escrituras atribuem grande importância aos direitos do primogênito, como visto na distinção entre o primogênito e outros filhos (</w:t>
      </w:r>
      <w:hyperlink r:id="rId10632">
        <w:r>
          <w:rPr>
            <w:color w:val="0000EE"/>
            <w:u w:val="single"/>
          </w:rPr>
          <w:t>Gn 10.15</w:t>
        </w:r>
      </w:hyperlink>
      <w:r>
        <w:t xml:space="preserve">; </w:t>
      </w:r>
      <w:hyperlink r:id="rId14358">
        <w:r>
          <w:rPr>
            <w:color w:val="0000EE"/>
            <w:u w:val="single"/>
          </w:rPr>
          <w:t>25.13</w:t>
        </w:r>
      </w:hyperlink>
      <w:r>
        <w:t xml:space="preserve">; </w:t>
      </w:r>
      <w:hyperlink r:id="rId17523">
        <w:r>
          <w:rPr>
            <w:color w:val="0000EE"/>
            <w:u w:val="single"/>
          </w:rPr>
          <w:t>36.15</w:t>
        </w:r>
      </w:hyperlink>
      <w:r>
        <w:t>), a porção dobrada a ser dada ao primogênito (</w:t>
      </w:r>
      <w:hyperlink r:id="rId7904">
        <w:r>
          <w:rPr>
            <w:color w:val="0000EE"/>
            <w:u w:val="single"/>
          </w:rPr>
          <w:t>Dt 21.17</w:t>
        </w:r>
      </w:hyperlink>
      <w:r>
        <w:t>), bem como a bênção especial que seus pais lhes davam (</w:t>
      </w:r>
      <w:hyperlink r:id="rId17524">
        <w:r>
          <w:rPr>
            <w:color w:val="0000EE"/>
            <w:u w:val="single"/>
          </w:rPr>
          <w:t>Gn 21.1</w:t>
        </w:r>
      </w:hyperlink>
      <w:r>
        <w:t>–</w:t>
      </w:r>
      <w:hyperlink r:id="rId17524">
        <w:r>
          <w:rPr>
            <w:color w:val="0000EE"/>
            <w:u w:val="single"/>
          </w:rPr>
          <w:t>14</w:t>
        </w:r>
      </w:hyperlink>
      <w:r>
        <w:t xml:space="preserve">; </w:t>
      </w:r>
      <w:hyperlink r:id="rId17525">
        <w:r>
          <w:rPr>
            <w:color w:val="0000EE"/>
            <w:u w:val="single"/>
          </w:rPr>
          <w:t>27.1</w:t>
        </w:r>
      </w:hyperlink>
      <w:r>
        <w:t>–</w:t>
      </w:r>
      <w:hyperlink r:id="rId17525">
        <w:r>
          <w:rPr>
            <w:color w:val="0000EE"/>
            <w:u w:val="single"/>
          </w:rPr>
          <w:t>29</w:t>
        </w:r>
      </w:hyperlink>
      <w:r>
        <w:t xml:space="preserve">; </w:t>
      </w:r>
      <w:hyperlink r:id="rId17526">
        <w:r>
          <w:rPr>
            <w:color w:val="0000EE"/>
            <w:u w:val="single"/>
          </w:rPr>
          <w:t>48.18</w:t>
        </w:r>
      </w:hyperlink>
      <w:r>
        <w:t>).</w:t>
      </w:r>
    </w:p>
    <w:p>
      <w:r/>
      <w:r>
        <w:rPr>
          <w:i/>
        </w:rPr>
        <w:t>Veja também</w:t>
      </w:r>
      <w:r>
        <w:t xml:space="preserve"> </w:t>
      </w:r>
      <w:r>
        <w:t>Direito de Nascimento</w:t>
      </w:r>
      <w:r>
        <w:t xml:space="preserve">; </w:t>
      </w:r>
      <w:r>
        <w:t>Primogênito</w:t>
      </w:r>
      <w:r>
        <w:t>.</w:t>
      </w:r>
      <w:r/>
      <w:r/>
    </w:p>
    <w:p>
      <w:r/>
    </w:p>
    <w:p>
      <w:pPr>
        <w:pStyle w:val="Heading2"/>
      </w:pPr>
      <w:r>
        <w:t>Principados E Potestades*</w:t>
      </w:r>
      <w:r/>
    </w:p>
    <w:p>
      <w:r/>
      <w:r>
        <w:t xml:space="preserve">Frase familiarizada com a versão ARA, ocorrendo várias vezes nos escritos de Paulo, e expressa por meio de três sinônimos gregos. O conceito de principados é representado pelos termos </w:t>
      </w:r>
      <w:r>
        <w:rPr>
          <w:i/>
        </w:rPr>
        <w:t>exousia e archai</w:t>
      </w:r>
      <w:r>
        <w:t xml:space="preserve">, enquanto potestades é representado por </w:t>
      </w:r>
      <w:r>
        <w:rPr>
          <w:i/>
        </w:rPr>
        <w:t>dunamis</w:t>
      </w:r>
      <w:r>
        <w:t>. No NT, exousia descreve o poder inerente à autoridade como algo confirmado ou derivado de uma posição de proeminência. Não há nada de mal sobre este tipo de autoridade; pelo contrário, é essencialmente correta, tanto moralmente quanto espiritualmente (</w:t>
      </w:r>
      <w:hyperlink r:id="rId1387">
        <w:r>
          <w:rPr>
            <w:color w:val="0000EE"/>
            <w:u w:val="single"/>
          </w:rPr>
          <w:t>Mt 21.23</w:t>
        </w:r>
      </w:hyperlink>
      <w:r>
        <w:t>). Assim, se aplica mais apropriadamente à autoridade do Messias (</w:t>
      </w:r>
      <w:hyperlink r:id="rId9418">
        <w:r>
          <w:rPr>
            <w:color w:val="0000EE"/>
            <w:u w:val="single"/>
          </w:rPr>
          <w:t>Mt 9.6</w:t>
        </w:r>
      </w:hyperlink>
      <w:r>
        <w:t xml:space="preserve">; </w:t>
      </w:r>
      <w:hyperlink r:id="rId6398">
        <w:r>
          <w:rPr>
            <w:color w:val="0000EE"/>
            <w:u w:val="single"/>
          </w:rPr>
          <w:t>Mc 2.10</w:t>
        </w:r>
      </w:hyperlink>
      <w:r>
        <w:t>), dos apóstolos (</w:t>
      </w:r>
      <w:hyperlink r:id="rId17527">
        <w:r>
          <w:rPr>
            <w:color w:val="0000EE"/>
            <w:u w:val="single"/>
          </w:rPr>
          <w:t>2Cor 10.8</w:t>
        </w:r>
      </w:hyperlink>
      <w:r>
        <w:t xml:space="preserve">; </w:t>
      </w:r>
      <w:hyperlink r:id="rId17528">
        <w:r>
          <w:rPr>
            <w:color w:val="0000EE"/>
            <w:u w:val="single"/>
          </w:rPr>
          <w:t>13.10</w:t>
        </w:r>
      </w:hyperlink>
      <w:r>
        <w:t xml:space="preserve">) e do governo humano (cf. </w:t>
      </w:r>
      <w:hyperlink r:id="rId17529">
        <w:r>
          <w:rPr>
            <w:color w:val="0000EE"/>
            <w:u w:val="single"/>
          </w:rPr>
          <w:t>Mt 8.9</w:t>
        </w:r>
      </w:hyperlink>
      <w:r>
        <w:t xml:space="preserve">; </w:t>
      </w:r>
      <w:hyperlink r:id="rId17530">
        <w:r>
          <w:rPr>
            <w:color w:val="0000EE"/>
            <w:u w:val="single"/>
          </w:rPr>
          <w:t>Lc 20.20</w:t>
        </w:r>
      </w:hyperlink>
      <w:r>
        <w:t>). Archai tem vários significados, mas ocorre 12 vezes no sentido de “comando”, “governo” ou “soberania”, 9 das quais (</w:t>
      </w:r>
      <w:hyperlink r:id="rId17531">
        <w:r>
          <w:rPr>
            <w:color w:val="0000EE"/>
            <w:u w:val="single"/>
          </w:rPr>
          <w:t>Rm 8.38</w:t>
        </w:r>
      </w:hyperlink>
      <w:r>
        <w:t xml:space="preserve">; </w:t>
      </w:r>
      <w:hyperlink r:id="rId17532">
        <w:r>
          <w:rPr>
            <w:color w:val="0000EE"/>
            <w:u w:val="single"/>
          </w:rPr>
          <w:t>1Co 15.24</w:t>
        </w:r>
      </w:hyperlink>
      <w:r>
        <w:t xml:space="preserve">; </w:t>
      </w:r>
      <w:hyperlink r:id="rId15292">
        <w:r>
          <w:rPr>
            <w:color w:val="0000EE"/>
            <w:u w:val="single"/>
          </w:rPr>
          <w:t>Ef 1.21</w:t>
        </w:r>
      </w:hyperlink>
      <w:r>
        <w:t xml:space="preserve">; </w:t>
      </w:r>
      <w:hyperlink r:id="rId4785">
        <w:r>
          <w:rPr>
            <w:color w:val="0000EE"/>
            <w:u w:val="single"/>
          </w:rPr>
          <w:t>3.10</w:t>
        </w:r>
      </w:hyperlink>
      <w:r>
        <w:t xml:space="preserve">; </w:t>
      </w:r>
      <w:hyperlink r:id="rId4786">
        <w:r>
          <w:rPr>
            <w:color w:val="0000EE"/>
            <w:u w:val="single"/>
          </w:rPr>
          <w:t>6.12</w:t>
        </w:r>
      </w:hyperlink>
      <w:r>
        <w:t xml:space="preserve">; </w:t>
      </w:r>
      <w:hyperlink r:id="rId1940">
        <w:r>
          <w:rPr>
            <w:color w:val="0000EE"/>
            <w:u w:val="single"/>
          </w:rPr>
          <w:t>Cl 1.16</w:t>
        </w:r>
      </w:hyperlink>
      <w:r>
        <w:t xml:space="preserve">; </w:t>
      </w:r>
      <w:hyperlink r:id="rId3921">
        <w:r>
          <w:rPr>
            <w:color w:val="0000EE"/>
            <w:u w:val="single"/>
          </w:rPr>
          <w:t>2.10,15</w:t>
        </w:r>
      </w:hyperlink>
      <w:r>
        <w:t xml:space="preserve">; </w:t>
      </w:r>
      <w:hyperlink r:id="rId15557">
        <w:r>
          <w:rPr>
            <w:color w:val="0000EE"/>
            <w:u w:val="single"/>
          </w:rPr>
          <w:t>Tt 3.1</w:t>
        </w:r>
      </w:hyperlink>
      <w:r>
        <w:t xml:space="preserve">) aparecem nas cartas de Paulo. Finalmente </w:t>
      </w:r>
      <w:r>
        <w:rPr>
          <w:i/>
        </w:rPr>
        <w:t>dunamis</w:t>
      </w:r>
      <w:r>
        <w:t>, uma palavra comum para poder que denota a capacidade ou força para alcançar um objetivo impressionante (</w:t>
      </w:r>
      <w:hyperlink r:id="rId17533">
        <w:r>
          <w:rPr>
            <w:color w:val="0000EE"/>
            <w:u w:val="single"/>
          </w:rPr>
          <w:t>Mt 25.15</w:t>
        </w:r>
      </w:hyperlink>
      <w:r>
        <w:t xml:space="preserve">; </w:t>
      </w:r>
      <w:hyperlink r:id="rId17294">
        <w:r>
          <w:rPr>
            <w:color w:val="0000EE"/>
            <w:u w:val="single"/>
          </w:rPr>
          <w:t>At 3.12</w:t>
        </w:r>
      </w:hyperlink>
      <w:r>
        <w:t>).</w:t>
      </w:r>
    </w:p>
    <w:p>
      <w:r/>
      <w:r>
        <w:t>Ao usar a expressão “principados e potestades”, Paulo estava se referindo à hierarquia de entidades sobrenaturais, como seres angelicais, que adoram e servem ao Criador do universo. Alguns comentaristas dividiram esta hierarquia em cinco categorias, a saber, tronos, principados, potestades, autoridades e domínios. Esta categorização, no entanto, pode ser alcançada apenas por inferência geral, uma vez que não há nada nas Escrituras que aponte diretamente para tais grupos distintos. Ao usar a frase, Paulo provavelmente estava expressando o senhorio cósmico de Jesus da maneira mais colorida e dramática possível.</w:t>
      </w:r>
    </w:p>
    <w:p>
      <w:r/>
      <w:r>
        <w:t>Ao dar a Jesus um nome acima de todos os outros nomes, Paulo estava demonstrando o supremo senhorio de Cristo sobre todos os seres criados, sejam eles bons ou maus (</w:t>
      </w:r>
      <w:hyperlink r:id="rId671">
        <w:r>
          <w:rPr>
            <w:color w:val="0000EE"/>
            <w:u w:val="single"/>
          </w:rPr>
          <w:t>Rm 14.11</w:t>
        </w:r>
      </w:hyperlink>
      <w:r>
        <w:t xml:space="preserve">; </w:t>
      </w:r>
      <w:hyperlink r:id="rId672">
        <w:r>
          <w:rPr>
            <w:color w:val="0000EE"/>
            <w:u w:val="single"/>
          </w:rPr>
          <w:t>Fp 2.10</w:t>
        </w:r>
      </w:hyperlink>
      <w:r>
        <w:t>). Como seu criador, as hostes celestiais eram seus súditos, reconhecendo-o como Senhor do universo. Esta afirmação era importante para os colossenses, cuja teologia aparentemente haviam sido contaminada por especulações não-bíblicas (</w:t>
      </w:r>
      <w:hyperlink r:id="rId5135">
        <w:r>
          <w:rPr>
            <w:color w:val="0000EE"/>
            <w:u w:val="single"/>
          </w:rPr>
          <w:t>Cl 2.8</w:t>
        </w:r>
      </w:hyperlink>
      <w:r>
        <w:t>). A verdade é que em Jesus residia toda a plenitude de Deus, e isso é transmitido aos crentes através do Espírito do Senhor.</w:t>
      </w:r>
      <w:r/>
      <w:r/>
    </w:p>
    <w:p>
      <w:r/>
    </w:p>
    <w:p>
      <w:pPr>
        <w:pStyle w:val="Heading2"/>
      </w:pPr>
      <w:r>
        <w:t>Priscila e Áquila</w:t>
      </w:r>
      <w:r/>
    </w:p>
    <w:p>
      <w:pPr>
        <w:pStyle w:val="Heading3"/>
      </w:pPr>
      <w:r>
        <w:t>Quem foram Priscila e Áquila?</w:t>
      </w:r>
    </w:p>
    <w:p>
      <w:r/>
      <w:r>
        <w:t>Um casal cristão que eram amigos e possíveis convertidos do apóstolo Paulo. Lucas os menciona durante o ministério de Paulo em Corinto (</w:t>
      </w:r>
      <w:hyperlink r:id="rId17534">
        <w:r>
          <w:rPr>
            <w:color w:val="0000EE"/>
            <w:u w:val="single"/>
          </w:rPr>
          <w:t>At 18.1–3</w:t>
        </w:r>
      </w:hyperlink>
      <w:r>
        <w:t>). Eles são sempre listados juntos no Novo Testamento. O nome de Priscila vem antes de Áquila em quatro das seis referências (</w:t>
      </w:r>
      <w:hyperlink r:id="rId17535">
        <w:r>
          <w:rPr>
            <w:color w:val="0000EE"/>
            <w:u w:val="single"/>
          </w:rPr>
          <w:t>At 18.18</w:t>
        </w:r>
      </w:hyperlink>
      <w:r>
        <w:t xml:space="preserve">; </w:t>
      </w:r>
      <w:hyperlink r:id="rId7628">
        <w:r>
          <w:rPr>
            <w:color w:val="0000EE"/>
            <w:u w:val="single"/>
          </w:rPr>
          <w:t>At 18.26</w:t>
        </w:r>
      </w:hyperlink>
      <w:r>
        <w:t xml:space="preserve">; </w:t>
      </w:r>
      <w:hyperlink r:id="rId2219">
        <w:r>
          <w:rPr>
            <w:color w:val="0000EE"/>
            <w:u w:val="single"/>
          </w:rPr>
          <w:t>Rm 16.3</w:t>
        </w:r>
      </w:hyperlink>
      <w:r>
        <w:t xml:space="preserve">; </w:t>
      </w:r>
      <w:hyperlink r:id="rId2216">
        <w:r>
          <w:rPr>
            <w:color w:val="0000EE"/>
            <w:u w:val="single"/>
          </w:rPr>
          <w:t>2Tm 4.19</w:t>
        </w:r>
      </w:hyperlink>
      <w:r>
        <w:t>). Isso pode ser devido ao seu caráter pessoal ou ao seu papel de liderança na igreja.</w:t>
      </w:r>
    </w:p>
    <w:p>
      <w:r/>
      <w:r>
        <w:t>Áquila era um judeu natural de Ponto, na Ásia Menor. O edito do Imperador Cláudio de 49 d.C. o expulsou de Roma (</w:t>
      </w:r>
      <w:hyperlink r:id="rId3066">
        <w:r>
          <w:rPr>
            <w:color w:val="0000EE"/>
            <w:u w:val="single"/>
          </w:rPr>
          <w:t>At 18.2</w:t>
        </w:r>
      </w:hyperlink>
      <w:r>
        <w:t>). O historiador Suetônio refere-se a este edito: “Ele baniu de Roma todos os judeus, que estavam continuamente causando distúrbios por instigação de um certo Chrestus”.</w:t>
      </w:r>
    </w:p>
    <w:p>
      <w:pPr>
        <w:pStyle w:val="Heading3"/>
      </w:pPr>
      <w:r>
        <w:t>Amigos e colegas de trabalho de Paulo</w:t>
      </w:r>
    </w:p>
    <w:p>
      <w:r/>
      <w:r>
        <w:t xml:space="preserve">De Roma, Áquila e Priscila foram para Corinto. Lá, Paulo os encontrou. Isso aconteceu em sua segunda viagem missionária. Eles moraram juntos e trabalharam como fabricantes de tendas. A estreita associação com Paulo trouxe benefícios. Mais tarde, eles até instruíram o erudito professor judeu Apolo. Então ele "com argumentos fortes, derrotava os judeus nas discussões públicas, provando pelas Escrituras Sagradas que Jesus é o Messias" (vv. </w:t>
      </w:r>
      <w:hyperlink r:id="rId2864">
        <w:r>
          <w:rPr>
            <w:color w:val="0000EE"/>
            <w:u w:val="single"/>
          </w:rPr>
          <w:t>24–28</w:t>
        </w:r>
      </w:hyperlink>
      <w:r>
        <w:t>).</w:t>
      </w:r>
    </w:p>
    <w:p>
      <w:r/>
      <w:r>
        <w:t>Tanto Priscila quanto Áquila eram amigos leais e colegas de trabalho de Paulo (</w:t>
      </w:r>
      <w:hyperlink r:id="rId17536">
        <w:r>
          <w:rPr>
            <w:color w:val="0000EE"/>
            <w:u w:val="single"/>
          </w:rPr>
          <w:t>Rm 16.3–4</w:t>
        </w:r>
      </w:hyperlink>
      <w:r>
        <w:t>). Quando ele deixou Corinto, eles o acompanharam. Depois, permaneceram em Éfeso após ele retornar para a Síria (</w:t>
      </w:r>
      <w:hyperlink r:id="rId7676">
        <w:r>
          <w:rPr>
            <w:color w:val="0000EE"/>
            <w:u w:val="single"/>
          </w:rPr>
          <w:t>At 18.18–19</w:t>
        </w:r>
      </w:hyperlink>
      <w:r>
        <w:t>). Quando Paulo escreveu a Primeira Carta aos Coríntios, eles ainda estavam em Éfeso. A casa deles se tornou um local para os cristãos se reunirem (</w:t>
      </w:r>
      <w:hyperlink r:id="rId2303">
        <w:r>
          <w:rPr>
            <w:color w:val="0000EE"/>
            <w:u w:val="single"/>
          </w:rPr>
          <w:t>1Co 16.19</w:t>
        </w:r>
      </w:hyperlink>
      <w:r>
        <w:t>). Então o decreto de Cláudio terminou. Assim, Priscila e Áquila voltaram para Roma. Foi quando Paulo escreveu aos cristãos romanos (</w:t>
      </w:r>
      <w:hyperlink r:id="rId2219">
        <w:r>
          <w:rPr>
            <w:color w:val="0000EE"/>
            <w:u w:val="single"/>
          </w:rPr>
          <w:t>Rm 16.3</w:t>
        </w:r>
      </w:hyperlink>
      <w:r>
        <w:t>). Quando a Segunda Carta a Timóteo foi escrita, Priscila e Áquila estavam de volta em Éfeso (</w:t>
      </w:r>
      <w:hyperlink r:id="rId2216">
        <w:r>
          <w:rPr>
            <w:color w:val="0000EE"/>
            <w:u w:val="single"/>
          </w:rPr>
          <w:t>2Tm 4.19</w:t>
        </w:r>
      </w:hyperlink>
      <w:r>
        <w:t>).</w:t>
      </w:r>
      <w:r/>
      <w:r/>
    </w:p>
    <w:p>
      <w:r/>
    </w:p>
    <w:p>
      <w:pPr>
        <w:pStyle w:val="Heading2"/>
      </w:pPr>
      <w:r>
        <w:t>Procônsul</w:t>
      </w:r>
      <w:r/>
    </w:p>
    <w:p>
      <w:r/>
      <w:r>
        <w:t>Um procônsul era um governador escolhido pelo Senado de Roma para governar uma província. A partir da época do Imperador Augusto, o Senado romano escolhia governadores para administrar certas províncias senatoriais romanas. Eram províncias consideradas seguras o suficiente para que não precisassem de um exército estacionado nelas.</w:t>
      </w:r>
    </w:p>
    <w:p>
      <w:r/>
      <w:r>
        <w:t xml:space="preserve">Os procônsules serviam por um ano. Eles atuavam entre o período em que eram um </w:t>
      </w:r>
      <w:r>
        <w:rPr>
          <w:i/>
        </w:rPr>
        <w:t>pretor</w:t>
      </w:r>
      <w:r>
        <w:t xml:space="preserve"> (um oficial de governo de nível inferior) e quando se tornavam um cônsul de Roma (uma posição mais alta). Os procônsules eram diferentes dos procuradores, que eram escolhidos pelo Imperador para governar províncias imperiais por um período de tempo indefinido.</w:t>
      </w:r>
    </w:p>
    <w:p>
      <w:r/>
      <w:r>
        <w:t>Encontramos dois procônsules no livro de Atos:</w:t>
      </w:r>
    </w:p>
    <w:p>
      <w:pPr>
        <w:pStyle w:val="ListBullet"/>
        <w:spacing w:line="240" w:lineRule="auto"/>
        <w:ind w:left="720"/>
      </w:pPr>
      <w:r/>
      <w:r>
        <w:t>Sérgio Paulo de Chipre (</w:t>
      </w:r>
      <w:hyperlink r:id="rId2888">
        <w:r>
          <w:rPr>
            <w:color w:val="0000EE"/>
            <w:u w:val="single"/>
          </w:rPr>
          <w:t>At 13.7–12</w:t>
        </w:r>
      </w:hyperlink>
      <w:r>
        <w:t>), e</w:t>
      </w:r>
    </w:p>
    <w:p>
      <w:pPr>
        <w:pStyle w:val="ListBullet"/>
        <w:spacing w:line="240" w:lineRule="auto"/>
        <w:ind w:left="720"/>
      </w:pPr>
      <w:r/>
      <w:r>
        <w:t>Gálio da Acaia (</w:t>
      </w:r>
      <w:hyperlink r:id="rId2862">
        <w:r>
          <w:rPr>
            <w:color w:val="0000EE"/>
            <w:u w:val="single"/>
          </w:rPr>
          <w:t>18.12–17</w:t>
        </w:r>
      </w:hyperlink>
      <w:r>
        <w:t>).</w:t>
      </w:r>
    </w:p>
    <w:p>
      <w:r/>
      <w:r>
        <w:rPr>
          <w:i/>
        </w:rPr>
        <w:t>Veja também</w:t>
      </w:r>
      <w:r>
        <w:t xml:space="preserve"> </w:t>
      </w:r>
      <w:r>
        <w:t>Gálio</w:t>
      </w:r>
      <w:r>
        <w:t xml:space="preserve">; </w:t>
      </w:r>
      <w:r>
        <w:t>Inscrição de Gálio</w:t>
      </w:r>
      <w:r>
        <w:t xml:space="preserve">; </w:t>
      </w:r>
      <w:r>
        <w:t>Sérgio Paulo</w:t>
      </w:r>
      <w:r>
        <w:t>.</w:t>
      </w:r>
      <w:r/>
      <w:r/>
    </w:p>
    <w:p>
      <w:r/>
    </w:p>
    <w:p>
      <w:pPr>
        <w:pStyle w:val="Heading2"/>
      </w:pPr>
      <w:r>
        <w:t>Prócoro, Procorus</w:t>
      </w:r>
      <w:r/>
    </w:p>
    <w:p>
      <w:r/>
      <w:r>
        <w:t>Um dos sete homens escolhidos pela igreja primitiva em Jerusalém para servir às viúvas e gerenciar a distribuição diária de alimentos (</w:t>
      </w:r>
      <w:hyperlink r:id="rId1992">
        <w:r>
          <w:rPr>
            <w:color w:val="0000EE"/>
            <w:u w:val="single"/>
          </w:rPr>
          <w:t>At 6.5</w:t>
        </w:r>
      </w:hyperlink>
      <w:r>
        <w:t>). Esses sete homens foram selecionados porque estavam cheios do Espírito Santo e sabedoria. Os outros seis homens eram Estevão, Filipe, Nicanor, Timão, Pármenas e Nicolau.</w:t>
      </w:r>
    </w:p>
    <w:p>
      <w:r/>
      <w:r>
        <w:rPr>
          <w:i/>
        </w:rPr>
        <w:t>Veja também</w:t>
      </w:r>
      <w:r>
        <w:t xml:space="preserve"> </w:t>
      </w:r>
      <w:r>
        <w:t>Diácono, Diaconisa</w:t>
      </w:r>
      <w:r>
        <w:t>.</w:t>
      </w:r>
      <w:r/>
      <w:r/>
    </w:p>
    <w:p>
      <w:r/>
    </w:p>
    <w:p>
      <w:pPr>
        <w:pStyle w:val="Heading2"/>
      </w:pPr>
      <w:r>
        <w:t>Procurador</w:t>
      </w:r>
      <w:r/>
    </w:p>
    <w:p>
      <w:r/>
      <w:r>
        <w:t>Um procurador era um oficial financeiro de Roma. Muitas traduções modernas usam o termo "governador". Ele geralmente pertencia à ordem equestre (classe média alta da sociedade romana). As funções do procurador incluíam supervisionar e coletar impostos imperiais em uma província designada. Na Judeia e em outras províncias menores do Império Romano, o procurador às vezes atuava como governador daquela região.</w:t>
      </w:r>
    </w:p>
    <w:p>
      <w:r/>
      <w:r>
        <w:t>Um procurador não apenas gerenciava as finanças, mas também tinha autoridade judicial e militar. Sua principal responsabilidade era manter a paz em sua jurisdição. O Novo Testamento menciona três procuradores romanos:</w:t>
      </w:r>
    </w:p>
    <w:p>
      <w:pPr>
        <w:pStyle w:val="ListBullet"/>
        <w:spacing w:line="240" w:lineRule="auto"/>
        <w:ind w:left="720"/>
      </w:pPr>
      <w:r/>
      <w:r>
        <w:t xml:space="preserve">Pôncio Pilatos foi procurador de 26–36 d.C. (veja </w:t>
      </w:r>
      <w:hyperlink r:id="rId17537">
        <w:r>
          <w:rPr>
            <w:color w:val="0000EE"/>
            <w:u w:val="single"/>
          </w:rPr>
          <w:t>Mt 27</w:t>
        </w:r>
      </w:hyperlink>
      <w:r>
        <w:t xml:space="preserve">; </w:t>
      </w:r>
      <w:hyperlink r:id="rId16119">
        <w:r>
          <w:rPr>
            <w:color w:val="0000EE"/>
            <w:u w:val="single"/>
          </w:rPr>
          <w:t>Jo 18–19</w:t>
        </w:r>
      </w:hyperlink>
      <w:r>
        <w:t>).</w:t>
      </w:r>
    </w:p>
    <w:p>
      <w:pPr>
        <w:pStyle w:val="ListBullet"/>
        <w:spacing w:line="240" w:lineRule="auto"/>
        <w:ind w:left="720"/>
      </w:pPr>
      <w:r/>
      <w:r>
        <w:t xml:space="preserve">Antônio Félix foi procurador de 52–59 d.C. (veja </w:t>
      </w:r>
      <w:hyperlink r:id="rId17538">
        <w:r>
          <w:rPr>
            <w:color w:val="0000EE"/>
            <w:u w:val="single"/>
          </w:rPr>
          <w:t>At 23.24–25.14</w:t>
        </w:r>
      </w:hyperlink>
      <w:r>
        <w:t>).</w:t>
      </w:r>
    </w:p>
    <w:p>
      <w:pPr>
        <w:pStyle w:val="ListBullet"/>
        <w:spacing w:line="240" w:lineRule="auto"/>
        <w:ind w:left="720"/>
      </w:pPr>
      <w:r/>
      <w:r>
        <w:t xml:space="preserve">Pórcio Festo foi procurador de 59–62 d.C. (veja </w:t>
      </w:r>
      <w:hyperlink r:id="rId17539">
        <w:r>
          <w:rPr>
            <w:color w:val="0000EE"/>
            <w:u w:val="single"/>
          </w:rPr>
          <w:t>At 24.27–26.32</w:t>
        </w:r>
      </w:hyperlink>
      <w:r>
        <w:t>) .</w:t>
      </w:r>
    </w:p>
    <w:p>
      <w:r/>
      <w:r>
        <w:t>Esses administradores eram responsáveis e subordinados ao governador da Síria.</w:t>
      </w:r>
    </w:p>
    <w:p>
      <w:r/>
      <w:r>
        <w:rPr>
          <w:i/>
        </w:rPr>
        <w:t>Veja também</w:t>
      </w:r>
      <w:r>
        <w:t xml:space="preserve"> </w:t>
      </w:r>
      <w:r>
        <w:t>Félix, Antônio</w:t>
      </w:r>
      <w:r>
        <w:t xml:space="preserve">; </w:t>
      </w:r>
      <w:r>
        <w:t>Festo, Pórcio</w:t>
      </w:r>
      <w:r>
        <w:t xml:space="preserve">; </w:t>
      </w:r>
      <w:r>
        <w:t>Pilatos, Pôncio</w:t>
      </w:r>
      <w:r>
        <w:t>.</w:t>
      </w:r>
      <w:r/>
      <w:r/>
    </w:p>
    <w:p>
      <w:r/>
    </w:p>
    <w:p>
      <w:pPr>
        <w:pStyle w:val="Heading2"/>
      </w:pPr>
      <w:r>
        <w:t>Profecia</w:t>
      </w:r>
      <w:r/>
    </w:p>
    <w:p>
      <w:r/>
      <w:r>
        <w:t>Este termo, e o relacionado “profeta”, “profetizar”, “profetismo” e “profético”, são derivados de um grupo de palavras gregas que, no grego secular, significam “falar”, “proclamar”, “anunciar”. No grego bíblico, no entanto, esses termos sempre carregam a conotação de falar, proclamar ou anunciar algo sob a influência da inspiração espiritual.</w:t>
      </w:r>
    </w:p>
    <w:p>
      <w:pPr>
        <w:pStyle w:val="Heading3"/>
      </w:pPr>
      <w:r>
        <w:t>Resumo</w:t>
      </w:r>
    </w:p>
    <w:p>
      <w:pPr>
        <w:pStyle w:val="ListBullet"/>
        <w:spacing w:line="240" w:lineRule="auto"/>
        <w:ind w:left="720"/>
      </w:pPr>
      <w:r/>
      <w:r>
        <w:t>Profecia no Antigo Testamento</w:t>
      </w:r>
    </w:p>
    <w:p>
      <w:pPr>
        <w:pStyle w:val="ListBullet"/>
        <w:spacing w:line="240" w:lineRule="auto"/>
        <w:ind w:left="720"/>
      </w:pPr>
      <w:r/>
      <w:r>
        <w:t>Tipos de profetas do Antigo Testamento</w:t>
      </w:r>
    </w:p>
    <w:p>
      <w:pPr>
        <w:pStyle w:val="ListBullet"/>
        <w:spacing w:line="240" w:lineRule="auto"/>
        <w:ind w:left="720"/>
      </w:pPr>
      <w:r/>
      <w:r>
        <w:t>A mensagem dos profetas</w:t>
      </w:r>
    </w:p>
    <w:p>
      <w:pPr>
        <w:pStyle w:val="ListBullet"/>
        <w:spacing w:line="240" w:lineRule="auto"/>
        <w:ind w:left="720"/>
      </w:pPr>
      <w:r/>
      <w:r>
        <w:t>Profecia no Novo Testamento</w:t>
      </w:r>
    </w:p>
    <w:p>
      <w:pPr>
        <w:pStyle w:val="ListBullet"/>
        <w:spacing w:line="240" w:lineRule="auto"/>
        <w:ind w:left="720"/>
      </w:pPr>
      <w:r/>
      <w:r>
        <w:t>O papel do profeta cristão</w:t>
      </w:r>
    </w:p>
    <w:p>
      <w:pPr>
        <w:pStyle w:val="Heading3"/>
      </w:pPr>
      <w:r>
        <w:t>Profecia no Antigo Testamento</w:t>
      </w:r>
    </w:p>
    <w:p>
      <w:r/>
      <w:r>
        <w:t xml:space="preserve">Uma das declarações mais claras e significativas sobre a natureza da inspiração profética no Antigo Testamento é encontrada em </w:t>
      </w:r>
      <w:hyperlink r:id="rId15426">
        <w:r>
          <w:rPr>
            <w:color w:val="0000EE"/>
            <w:u w:val="single"/>
          </w:rPr>
          <w:t>Números 12.6–8</w:t>
        </w:r>
      </w:hyperlink>
      <w:r>
        <w:t>:</w:t>
      </w:r>
    </w:p>
    <w:p>
      <w:r/>
      <w:r>
        <w:t>Deus disse: “Ouçam agora minhas palavras: se houver um profeta entre vocês, eu, o SENHOR, revelar-me-ei a ele em uma visão; falarei com ele em um sonho. Mas não é assim com meu servo Moisés; ele é fiel em toda a minha casa. Eu falo com ele face a face, claramente e não em enigmas; ele vê a forma do SENHOR”.</w:t>
      </w:r>
    </w:p>
    <w:p>
      <w:r/>
      <w:r>
        <w:t>Vários insights importantes sobre a natureza da inspiração profética são encontrados nesta passagem:</w:t>
      </w:r>
    </w:p>
    <w:p>
      <w:pPr>
        <w:pStyle w:val="ListNumber"/>
        <w:spacing w:line="240" w:lineRule="auto"/>
        <w:ind w:left="720"/>
      </w:pPr>
      <w:r/>
      <w:r>
        <w:t>O dom profético de Moisés era único na medida em que ele, sozinho, recebia revelações diretamente de Deus.</w:t>
      </w:r>
    </w:p>
    <w:p>
      <w:pPr>
        <w:pStyle w:val="ListNumber"/>
        <w:spacing w:line="240" w:lineRule="auto"/>
        <w:ind w:left="720"/>
      </w:pPr>
      <w:r/>
      <w:r>
        <w:t>Normalmente, a revelação profética era recebida em um sonho ou uma visão.</w:t>
      </w:r>
    </w:p>
    <w:p>
      <w:pPr>
        <w:pStyle w:val="ListNumber"/>
        <w:spacing w:line="240" w:lineRule="auto"/>
        <w:ind w:left="720"/>
      </w:pPr>
      <w:r/>
      <w:r>
        <w:t>O significado da revelação profética nem sempre é completamente claro. A profecia às vezes é ambígua.</w:t>
      </w:r>
    </w:p>
    <w:p>
      <w:r/>
      <w:r>
        <w:t xml:space="preserve">Mais informações sobre a natureza da revelação profética são encontradas em </w:t>
      </w:r>
      <w:hyperlink r:id="rId14302">
        <w:r>
          <w:rPr>
            <w:color w:val="0000EE"/>
            <w:u w:val="single"/>
          </w:rPr>
          <w:t>Deuteronômio 18.18</w:t>
        </w:r>
      </w:hyperlink>
      <w:r>
        <w:t>: “Eu [Deus] levantarei para eles [israelitas] um profeta como vocês [Moisés] dentre seus irmãos. Eu colocarei Minhas palavras em sua boca, e ele lhes dirá tudo o que eu lhe ordenar”. Esta passagem é de interesse porque Jesus foi identificado como “o profeta como Moisés” que veio em cumprimento desta predição (</w:t>
      </w:r>
      <w:hyperlink r:id="rId14775">
        <w:r>
          <w:rPr>
            <w:color w:val="0000EE"/>
            <w:u w:val="single"/>
          </w:rPr>
          <w:t>Atos 3.22</w:t>
        </w:r>
      </w:hyperlink>
      <w:r>
        <w:t xml:space="preserve">; </w:t>
      </w:r>
      <w:hyperlink r:id="rId17540">
        <w:r>
          <w:rPr>
            <w:color w:val="0000EE"/>
            <w:u w:val="single"/>
          </w:rPr>
          <w:t>7.37</w:t>
        </w:r>
      </w:hyperlink>
      <w:r>
        <w:t xml:space="preserve">). Mas a referência histórica mais imediata é a sucessão de profetas que guiaram Israel de Josué até Malaquias. A frase “Eu porei minhas palavras em sua boca” refere-se ao processo de inspiração divina e lembra a fórmula profética comum do Antigo Testamento “a palavra do Senhor veio a [tal e tal profeta]” (para exemplos, veja </w:t>
      </w:r>
      <w:hyperlink r:id="rId17541">
        <w:r>
          <w:rPr>
            <w:color w:val="0000EE"/>
            <w:u w:val="single"/>
          </w:rPr>
          <w:t>1 Samuel 15.10</w:t>
        </w:r>
      </w:hyperlink>
      <w:r>
        <w:t xml:space="preserve">; </w:t>
      </w:r>
      <w:hyperlink r:id="rId17542">
        <w:r>
          <w:rPr>
            <w:color w:val="0000EE"/>
            <w:u w:val="single"/>
          </w:rPr>
          <w:t>2 Samuel 24.11</w:t>
        </w:r>
      </w:hyperlink>
      <w:r>
        <w:t xml:space="preserve">; </w:t>
      </w:r>
      <w:hyperlink r:id="rId17543">
        <w:r>
          <w:rPr>
            <w:color w:val="0000EE"/>
            <w:u w:val="single"/>
          </w:rPr>
          <w:t>1 Reis 19.9</w:t>
        </w:r>
      </w:hyperlink>
      <w:r>
        <w:t xml:space="preserve">; </w:t>
      </w:r>
      <w:hyperlink r:id="rId17544">
        <w:r>
          <w:rPr>
            <w:color w:val="0000EE"/>
            <w:u w:val="single"/>
          </w:rPr>
          <w:t>Jonas 1.1</w:t>
        </w:r>
      </w:hyperlink>
      <w:r>
        <w:t xml:space="preserve">; </w:t>
      </w:r>
      <w:hyperlink r:id="rId495">
        <w:r>
          <w:rPr>
            <w:color w:val="0000EE"/>
            <w:u w:val="single"/>
          </w:rPr>
          <w:t>Ageu 1.1</w:t>
        </w:r>
      </w:hyperlink>
      <w:r>
        <w:t xml:space="preserve">; </w:t>
      </w:r>
      <w:hyperlink r:id="rId525">
        <w:r>
          <w:rPr>
            <w:color w:val="0000EE"/>
            <w:u w:val="single"/>
          </w:rPr>
          <w:t>2.1,20</w:t>
        </w:r>
      </w:hyperlink>
      <w:r>
        <w:t xml:space="preserve">; </w:t>
      </w:r>
      <w:hyperlink r:id="rId4057">
        <w:r>
          <w:rPr>
            <w:color w:val="0000EE"/>
            <w:u w:val="single"/>
          </w:rPr>
          <w:t>Zacarias 7.1,8</w:t>
        </w:r>
      </w:hyperlink>
      <w:r>
        <w:t xml:space="preserve">; </w:t>
      </w:r>
      <w:hyperlink r:id="rId17545">
        <w:r>
          <w:rPr>
            <w:color w:val="0000EE"/>
            <w:u w:val="single"/>
          </w:rPr>
          <w:t>8.1</w:t>
        </w:r>
      </w:hyperlink>
      <w:r>
        <w:t>). Um verdadeiro profeta é aquele que fala (ou repete) tudo o que Deus lhe disse.</w:t>
      </w:r>
    </w:p>
    <w:p>
      <w:pPr>
        <w:pStyle w:val="Heading4"/>
      </w:pPr>
      <w:r>
        <w:t>Modos de inspiração profética</w:t>
      </w:r>
    </w:p>
    <w:p>
      <w:r/>
      <w:r>
        <w:t>Os sonhos eram um modo de inspiração comumente reconhecido em todo o mundo antigo. Mas eles eram mais altamente considerados na Grécia do que no antigo Israel. Os sonhos reveladores na Bíblia se dividem em duas categorias principais: (1) sonhos que têm significado autoevidente, e (2) sonhos simbólicos que geralmente exigem a experiência de um intérprete de sonhos. Ambos os tipos normalmente envolvem elementos visuais e auditivos. Nesses sonhos com um significado autoevidente, normalmente um ser sobrenatural (Deus ou um anjo) aparece para o sonhador e fala com ele de uma maneira direta.</w:t>
      </w:r>
    </w:p>
    <w:p>
      <w:r/>
      <w:r>
        <w:t>Com mais frequência, os sonhos reveladores têm elementos simbólicos que exigem interpretação. Os dois grandes intérpretes de sonhos do Antigo Testamento são José e Daniel. Este último, Daniel, é claramente um profeta. Os dois sonhos simbólicos que o próprio José sonhou (</w:t>
      </w:r>
      <w:hyperlink r:id="rId12028">
        <w:r>
          <w:rPr>
            <w:color w:val="0000EE"/>
            <w:u w:val="single"/>
          </w:rPr>
          <w:t>Gênesis 37.5–11</w:t>
        </w:r>
      </w:hyperlink>
      <w:r>
        <w:t>) tinham um significado suficientemente evidente para que seus irmãos e pai fossem capazes de interpretá-los imediatamente. Os sonhos do mordomo e padeiro, eram mais complexos (</w:t>
      </w:r>
      <w:hyperlink r:id="rId17546">
        <w:r>
          <w:rPr>
            <w:color w:val="0000EE"/>
            <w:u w:val="single"/>
          </w:rPr>
          <w:t>40.1–19</w:t>
        </w:r>
      </w:hyperlink>
      <w:r>
        <w:t>), bem como o sonho de Faraó (</w:t>
      </w:r>
      <w:hyperlink r:id="rId17547">
        <w:r>
          <w:rPr>
            <w:color w:val="0000EE"/>
            <w:u w:val="single"/>
          </w:rPr>
          <w:t>41.1–36</w:t>
        </w:r>
      </w:hyperlink>
      <w:r>
        <w:t>), que José foi capaz de interpretar com a ajuda de Deus. Da mesma forma, Daniel foi habilitado a interpretar os sonhos de Nabucodonosor (</w:t>
      </w:r>
      <w:hyperlink r:id="rId17548">
        <w:r>
          <w:rPr>
            <w:color w:val="0000EE"/>
            <w:u w:val="single"/>
          </w:rPr>
          <w:t>Daniel 2.25–45</w:t>
        </w:r>
      </w:hyperlink>
      <w:r>
        <w:t xml:space="preserve">; </w:t>
      </w:r>
      <w:hyperlink r:id="rId17549">
        <w:r>
          <w:rPr>
            <w:color w:val="0000EE"/>
            <w:u w:val="single"/>
          </w:rPr>
          <w:t>4.4–27</w:t>
        </w:r>
      </w:hyperlink>
      <w:r>
        <w:t>). Tanto José quanto Daniel atribuíram a habilidade em interpretar tais sonhos a Deus (</w:t>
      </w:r>
      <w:hyperlink r:id="rId11113">
        <w:r>
          <w:rPr>
            <w:color w:val="0000EE"/>
            <w:u w:val="single"/>
          </w:rPr>
          <w:t>Gênesis 40.8</w:t>
        </w:r>
      </w:hyperlink>
      <w:r>
        <w:t xml:space="preserve">; </w:t>
      </w:r>
      <w:hyperlink r:id="rId17550">
        <w:r>
          <w:rPr>
            <w:color w:val="0000EE"/>
            <w:u w:val="single"/>
          </w:rPr>
          <w:t>41.16,25</w:t>
        </w:r>
      </w:hyperlink>
      <w:r>
        <w:t xml:space="preserve">; </w:t>
      </w:r>
      <w:hyperlink r:id="rId17551">
        <w:r>
          <w:rPr>
            <w:color w:val="0000EE"/>
            <w:u w:val="single"/>
          </w:rPr>
          <w:t>Daniel 2.27–30</w:t>
        </w:r>
      </w:hyperlink>
      <w:r>
        <w:t xml:space="preserve">; compare </w:t>
      </w:r>
      <w:hyperlink r:id="rId17552">
        <w:r>
          <w:rPr>
            <w:color w:val="0000EE"/>
            <w:u w:val="single"/>
          </w:rPr>
          <w:t>4.9</w:t>
        </w:r>
      </w:hyperlink>
      <w:r>
        <w:t>). Os sonhos são usados quase de forma intercambiável com visões em se referindo aos modos de inspiração profética (</w:t>
      </w:r>
      <w:hyperlink r:id="rId4970">
        <w:r>
          <w:rPr>
            <w:color w:val="0000EE"/>
            <w:u w:val="single"/>
          </w:rPr>
          <w:t>Joel 2.28</w:t>
        </w:r>
      </w:hyperlink>
      <w:r>
        <w:t>). Mas os sonhos não ocupam uma parte significativa nas revelações proféticas de qualquer um dos profetas do Antigo Testamento, com a exceção de Daniel.</w:t>
      </w:r>
    </w:p>
    <w:p>
      <w:r/>
      <w:r>
        <w:t>Um dos modos mais característicos de inspiração profética era a visão (</w:t>
      </w:r>
      <w:hyperlink r:id="rId17553">
        <w:r>
          <w:rPr>
            <w:color w:val="0000EE"/>
            <w:u w:val="single"/>
          </w:rPr>
          <w:t>Números 12.6</w:t>
        </w:r>
      </w:hyperlink>
      <w:r>
        <w:t xml:space="preserve">; </w:t>
      </w:r>
      <w:hyperlink r:id="rId17554">
        <w:r>
          <w:rPr>
            <w:color w:val="0000EE"/>
            <w:u w:val="single"/>
          </w:rPr>
          <w:t>24.4,16</w:t>
        </w:r>
      </w:hyperlink>
      <w:r>
        <w:t xml:space="preserve">; </w:t>
      </w:r>
      <w:hyperlink r:id="rId17555">
        <w:r>
          <w:rPr>
            <w:color w:val="0000EE"/>
            <w:u w:val="single"/>
          </w:rPr>
          <w:t>Os 12.10</w:t>
        </w:r>
      </w:hyperlink>
      <w:r>
        <w:t xml:space="preserve">). As visões reveladoras experimentadas pelos profetas não estavam limitadas apenas aos fenômenos visuais, mas também incluíam a dimensão auditiva. Em </w:t>
      </w:r>
      <w:hyperlink r:id="rId17556">
        <w:r>
          <w:rPr>
            <w:color w:val="0000EE"/>
            <w:u w:val="single"/>
          </w:rPr>
          <w:t>Isaías 1.1</w:t>
        </w:r>
      </w:hyperlink>
      <w:r>
        <w:t xml:space="preserve">, o autor descreve todo o seu livro profético como uma “visão”: “Esta é a visão sobre Judá e Jerusalém que Isaías, filho de Amoz, viu durante os reinados de Uzias, Jotão, Acaz e Ezequias, reis de Judá”. No entanto, no próximo verso, Isaías diz: “Ouçam, ó céus, e dai ouvidos, ó terra, porque o Senhor falou”. Novamente, em </w:t>
      </w:r>
      <w:hyperlink r:id="rId1257">
        <w:r>
          <w:rPr>
            <w:color w:val="0000EE"/>
            <w:u w:val="single"/>
          </w:rPr>
          <w:t>Amós 1.1</w:t>
        </w:r>
      </w:hyperlink>
      <w:r>
        <w:t xml:space="preserve">: “Essas são as </w:t>
      </w:r>
      <w:r>
        <w:rPr>
          <w:i/>
        </w:rPr>
        <w:t>palavras</w:t>
      </w:r>
      <w:r>
        <w:t xml:space="preserve"> de Amós, que estava entre os pastores de Tecoa — o que ele </w:t>
      </w:r>
      <w:r>
        <w:rPr>
          <w:i/>
        </w:rPr>
        <w:t>viu</w:t>
      </w:r>
      <w:r>
        <w:t xml:space="preserve"> sobre Israel” (ênfase adicionada).</w:t>
      </w:r>
    </w:p>
    <w:p>
      <w:pPr>
        <w:pStyle w:val="Heading4"/>
      </w:pPr>
      <w:r>
        <w:t>Manifestações de inspiração profética</w:t>
      </w:r>
    </w:p>
    <w:p>
      <w:r/>
      <w:r>
        <w:t>Toda a profecia, seja bíblica ou não, presume que o profeta possuía ou estava incumbido de um poder pessoal sobrenatural. Os comportamentos expressos desta posse variam muito.</w:t>
      </w:r>
    </w:p>
    <w:p>
      <w:r/>
      <w:r>
        <w:t xml:space="preserve">O fenômeno geralmente chamado de profecia “extática” parece ter existido em Canaã antes da chegada das tribos hebraicas no século 13 a.C. A primeira referência à profecia extática em Israel ocorre em </w:t>
      </w:r>
      <w:hyperlink r:id="rId17557">
        <w:r>
          <w:rPr>
            <w:color w:val="0000EE"/>
            <w:u w:val="single"/>
          </w:rPr>
          <w:t>1 Samuel 10.5–13</w:t>
        </w:r>
      </w:hyperlink>
      <w:r>
        <w:t xml:space="preserve"> (séc. 11 a.C.), e persistiu pelo menos até o sexto século a.C. (</w:t>
      </w:r>
      <w:hyperlink r:id="rId17558">
        <w:r>
          <w:rPr>
            <w:color w:val="0000EE"/>
            <w:u w:val="single"/>
          </w:rPr>
          <w:t>Jeremias 29.26</w:t>
        </w:r>
      </w:hyperlink>
      <w:r>
        <w:t>).</w:t>
      </w:r>
    </w:p>
    <w:p>
      <w:r/>
      <w:r>
        <w:t>O profeta extático alcança um estado de transe por meios autoinduzidos. Os dispositivos mais comuns usados para alcançar um estado de êxtase eram instrumentos musicais, como a harpa, pandeiro, flauta e lira (</w:t>
      </w:r>
      <w:hyperlink r:id="rId9547">
        <w:r>
          <w:rPr>
            <w:color w:val="0000EE"/>
            <w:u w:val="single"/>
          </w:rPr>
          <w:t>1 Samuel 10.5</w:t>
        </w:r>
      </w:hyperlink>
      <w:r>
        <w:t>). Entre os profetas de Baal, a autoflagelação era outro meio de levar ao êxtase (</w:t>
      </w:r>
      <w:hyperlink r:id="rId17559">
        <w:r>
          <w:rPr>
            <w:color w:val="0000EE"/>
            <w:u w:val="single"/>
          </w:rPr>
          <w:t>1 Reis 18.28–29</w:t>
        </w:r>
      </w:hyperlink>
      <w:r>
        <w:t>).</w:t>
      </w:r>
    </w:p>
    <w:p>
      <w:r/>
      <w:r>
        <w:t>Este tipo de êxtase profético era geralmente praticado por grupos de profetas (</w:t>
      </w:r>
      <w:hyperlink r:id="rId9547">
        <w:r>
          <w:rPr>
            <w:color w:val="0000EE"/>
            <w:u w:val="single"/>
          </w:rPr>
          <w:t>1 Samuel 10.5</w:t>
        </w:r>
      </w:hyperlink>
      <w:r>
        <w:t xml:space="preserve">), e tal êxtase era contagioso. Quando Saul encontrou um grupo de tais profetas, o Espírito de Deus veio sobre ele, que também começou a profetizar (versos </w:t>
      </w:r>
      <w:hyperlink r:id="rId17560">
        <w:r>
          <w:rPr>
            <w:color w:val="0000EE"/>
            <w:u w:val="single"/>
          </w:rPr>
          <w:t>10–13</w:t>
        </w:r>
      </w:hyperlink>
      <w:r>
        <w:t>). Este fenômeno ocorreu repetidamente a vários mensageiros enviados por Saul em uma ocasião posterior (</w:t>
      </w:r>
      <w:hyperlink r:id="rId17561">
        <w:r>
          <w:rPr>
            <w:color w:val="0000EE"/>
            <w:u w:val="single"/>
          </w:rPr>
          <w:t>19.20–22</w:t>
        </w:r>
      </w:hyperlink>
      <w:r>
        <w:t xml:space="preserve">). Naquela época, Saul novamente profetizou, e seu comportamento extático é descrito em </w:t>
      </w:r>
      <w:hyperlink r:id="rId17562">
        <w:r>
          <w:rPr>
            <w:color w:val="0000EE"/>
            <w:u w:val="single"/>
          </w:rPr>
          <w:t>1 Samuel 19.24</w:t>
        </w:r>
      </w:hyperlink>
      <w:r>
        <w:t>. Quando Eliseu foi convidado a profetizar para o rei Jorão de Israel, ele primeiro pediu um músico. Enquanto o músico tocava, o poder do Senhor veio sobre ele (</w:t>
      </w:r>
      <w:hyperlink r:id="rId17563">
        <w:r>
          <w:rPr>
            <w:color w:val="0000EE"/>
            <w:u w:val="single"/>
          </w:rPr>
          <w:t>2 Reis 3.15</w:t>
        </w:r>
      </w:hyperlink>
      <w:r>
        <w:t>).</w:t>
      </w:r>
    </w:p>
    <w:p>
      <w:pPr>
        <w:pStyle w:val="Heading3"/>
      </w:pPr>
      <w:r>
        <w:t>Tipos de profetas do Antigo Testamento</w:t>
      </w:r>
    </w:p>
    <w:p>
      <w:r/>
      <w:r>
        <w:t xml:space="preserve">Há dois tipos básicos de comissão profética no Antigo Testamento. Um tipo é apresentado em narrativa de chamado de Deus para um indivíduo específico em que suas objeções ao chamado são gradualmente superadas em um diálogo entre ele mesmo e Deus. O exemplo clássico deste tipo de comissão profética é encontrado em </w:t>
      </w:r>
      <w:hyperlink r:id="rId17564">
        <w:r>
          <w:rPr>
            <w:color w:val="0000EE"/>
            <w:u w:val="single"/>
          </w:rPr>
          <w:t>Jeremias 1.4–8</w:t>
        </w:r>
      </w:hyperlink>
      <w:r>
        <w:t>:</w:t>
      </w:r>
    </w:p>
    <w:p>
      <w:r/>
      <w:r>
        <w:t xml:space="preserve">A palavra do SENHOR veio a mim, dizendo: “Antes que eu te formasse no ventre, eu já te conhecia, e antes de nascer, eu te consagrei e constituí profeta às nações”. </w:t>
      </w:r>
    </w:p>
    <w:p>
      <w:r/>
      <w:r>
        <w:t xml:space="preserve">“Ah, Senhor DEUS”, eu disse: “Eu certamente não sei falar, pois sou apenas uma criança!” </w:t>
      </w:r>
    </w:p>
    <w:p>
      <w:r/>
      <w:r>
        <w:t xml:space="preserve">Mas o SENHOR me disse: “Não digas: ‘Eu sou apenas uma criança’. Pois a todos que eu te enviar, deves ir, e tudo o que eu te ordenar, deves falar. Não tenhas medo deles, pois eu estou contigo para livrar-te”, declara o SENHOR. </w:t>
      </w:r>
    </w:p>
    <w:p>
      <w:r/>
      <w:r>
        <w:t>Comissões proféticas semelhantes, incluindo tais diálogos, estão associadas com os chamados de Moisés (</w:t>
      </w:r>
      <w:hyperlink r:id="rId17565">
        <w:r>
          <w:rPr>
            <w:color w:val="0000EE"/>
            <w:u w:val="single"/>
          </w:rPr>
          <w:t>Êxodo 3.1–4.17</w:t>
        </w:r>
      </w:hyperlink>
      <w:r>
        <w:t>) e Gideão (</w:t>
      </w:r>
      <w:hyperlink r:id="rId17566">
        <w:r>
          <w:rPr>
            <w:color w:val="0000EE"/>
            <w:u w:val="single"/>
          </w:rPr>
          <w:t>Juízes 6.11–17</w:t>
        </w:r>
      </w:hyperlink>
      <w:r>
        <w:t>).</w:t>
      </w:r>
    </w:p>
    <w:p>
      <w:r/>
      <w:r>
        <w:t xml:space="preserve">A segunda forma fundamental de comissão profética é a “visão do trono”. Um exemplo notável é </w:t>
      </w:r>
      <w:hyperlink r:id="rId17567">
        <w:r>
          <w:rPr>
            <w:color w:val="0000EE"/>
            <w:u w:val="single"/>
          </w:rPr>
          <w:t>Isaías 6.1–8</w:t>
        </w:r>
      </w:hyperlink>
      <w:r>
        <w:t>:</w:t>
      </w:r>
    </w:p>
    <w:p>
      <w:r/>
      <w:r>
        <w:t>No ano em que o rei Uzias morreu, vi o Senhor sentado em um trono, alto e exaltado; e as abas de suas vestes enchiam o templo...</w:t>
      </w:r>
    </w:p>
    <w:p>
      <w:r/>
      <w:r>
        <w:t xml:space="preserve">Então eu disse: “Ai de mim, pois estou arruinado, porque sou um homem de lábios impuros que habita entre um povo de lábios imundos; pois meus olhos viram o Rei, o SENHOR dos Exércitos”. </w:t>
      </w:r>
    </w:p>
    <w:p>
      <w:r/>
      <w:r>
        <w:t xml:space="preserve">Então um dos serafins voou até mim, e em sua mão estava uma brasa viva que ele havia tirado do altar com pinças. E com isso ele tocou minha boca e disse: “Agora que isso tocou seus lábios, sua iniquidade foi removida e seu pecado está expiado”. </w:t>
      </w:r>
    </w:p>
    <w:p>
      <w:r/>
      <w:r>
        <w:t xml:space="preserve">Então eu ouvi a voz do Senhor dizendo: “A quem enviarei? Quem irá por nós?” </w:t>
      </w:r>
    </w:p>
    <w:p>
      <w:r/>
      <w:r>
        <w:t xml:space="preserve">E eu disse: “Aqui estou eu. Envia-me!” </w:t>
      </w:r>
    </w:p>
    <w:p>
      <w:r/>
      <w:r>
        <w:t>Aqui temos um relato da presença visionária de um profeta no conselho celestial. Neste caso, no entanto, o profeta participa das deliberações e, assim, recebe uma comissão profética. Embora poucos profetas tenham deixado relatos de suas comissões divinas, a maioria deles parece ter estado consciente de ter sido “enviada” por Deus (</w:t>
      </w:r>
      <w:hyperlink r:id="rId17568">
        <w:r>
          <w:rPr>
            <w:color w:val="0000EE"/>
            <w:u w:val="single"/>
          </w:rPr>
          <w:t>Isaías 48.16</w:t>
        </w:r>
      </w:hyperlink>
      <w:r>
        <w:t xml:space="preserve">; </w:t>
      </w:r>
      <w:hyperlink r:id="rId5327">
        <w:r>
          <w:rPr>
            <w:color w:val="0000EE"/>
            <w:u w:val="single"/>
          </w:rPr>
          <w:t>Os 8.1</w:t>
        </w:r>
      </w:hyperlink>
      <w:r>
        <w:t xml:space="preserve">; </w:t>
      </w:r>
      <w:hyperlink r:id="rId17569">
        <w:r>
          <w:rPr>
            <w:color w:val="0000EE"/>
            <w:u w:val="single"/>
          </w:rPr>
          <w:t>Amós 7.14–15</w:t>
        </w:r>
      </w:hyperlink>
      <w:r>
        <w:t>). De acordo com Jeremias, os falsos profetas não receberam tais comissões divinas (</w:t>
      </w:r>
      <w:hyperlink r:id="rId17570">
        <w:r>
          <w:rPr>
            <w:color w:val="0000EE"/>
            <w:u w:val="single"/>
          </w:rPr>
          <w:t>Jeremias 23.21,32</w:t>
        </w:r>
      </w:hyperlink>
      <w:r>
        <w:t xml:space="preserve">; </w:t>
      </w:r>
      <w:hyperlink r:id="rId17571">
        <w:r>
          <w:rPr>
            <w:color w:val="0000EE"/>
            <w:u w:val="single"/>
          </w:rPr>
          <w:t>28.15</w:t>
        </w:r>
      </w:hyperlink>
      <w:r>
        <w:t>).</w:t>
      </w:r>
    </w:p>
    <w:p>
      <w:pPr>
        <w:pStyle w:val="Heading3"/>
      </w:pPr>
      <w:r>
        <w:t>A mensagem dos profetas</w:t>
      </w:r>
    </w:p>
    <w:p>
      <w:pPr>
        <w:pStyle w:val="Heading4"/>
      </w:pPr>
      <w:r>
        <w:t>A forma da mensagem</w:t>
      </w:r>
    </w:p>
    <w:p>
      <w:r/>
      <w:r>
        <w:t>A fórmula de abertura mais comum para oráculos proféticos no Antigo Testamento é a frase “Assim diz o Senhor”. Esta frase ocorre centenas de vezes em contextos proféticos. Esta fórmula implica claramente que a mensagem assim introduzida não é a palavra do profeta que fala o oráculo, mas do Deus de Israel que entregou sua palavra a seu profeta. O uso desta fórmula também reitera o sentido de comissão divina do profeta. Em oráculos introduzidos desta maneira, Deus fala na primeira pessoa. Na verdade, praticamente toda a expressão profética israelita é formulada como a fala direta do Deus de Israel.</w:t>
      </w:r>
    </w:p>
    <w:p>
      <w:r/>
      <w:r>
        <w:t xml:space="preserve">Os profetas usaram muitas formas literárias para expressar seus oráculos. Duas das formas mais amplamente usadas de fala profética são a fala de julgamento e o oráculo de salvação. A fala de julgamento é composta de pelo menos dois elementos centrais: a fala da repreensão ou injúria e o pronunciamento do julgamento (veja </w:t>
      </w:r>
      <w:hyperlink r:id="rId17572">
        <w:r>
          <w:rPr>
            <w:color w:val="0000EE"/>
            <w:u w:val="single"/>
          </w:rPr>
          <w:t>2Rs 1.3–4</w:t>
        </w:r>
      </w:hyperlink>
      <w:r>
        <w:t xml:space="preserve">). A segunda forma de fala profética comum é o oráculo de salvação (veja </w:t>
      </w:r>
      <w:hyperlink r:id="rId17573">
        <w:r>
          <w:rPr>
            <w:color w:val="0000EE"/>
            <w:u w:val="single"/>
          </w:rPr>
          <w:t>Isaías 41.8–13</w:t>
        </w:r>
      </w:hyperlink>
      <w:r>
        <w:t>). Outras formas fixas de fala profética incluem a profecia de salvação (</w:t>
      </w:r>
      <w:hyperlink r:id="rId17574">
        <w:r>
          <w:rPr>
            <w:color w:val="0000EE"/>
            <w:u w:val="single"/>
          </w:rPr>
          <w:t>43.14–21</w:t>
        </w:r>
      </w:hyperlink>
      <w:r>
        <w:t>), a proclamação de salvação (</w:t>
      </w:r>
      <w:hyperlink r:id="rId17575">
        <w:r>
          <w:rPr>
            <w:color w:val="0000EE"/>
            <w:u w:val="single"/>
          </w:rPr>
          <w:t>41.17–20</w:t>
        </w:r>
      </w:hyperlink>
      <w:r>
        <w:t xml:space="preserve">; </w:t>
      </w:r>
      <w:hyperlink r:id="rId17576">
        <w:r>
          <w:rPr>
            <w:color w:val="0000EE"/>
            <w:u w:val="single"/>
          </w:rPr>
          <w:t>42.14–17</w:t>
        </w:r>
      </w:hyperlink>
      <w:r>
        <w:t xml:space="preserve">; </w:t>
      </w:r>
      <w:hyperlink r:id="rId17577">
        <w:r>
          <w:rPr>
            <w:color w:val="0000EE"/>
            <w:u w:val="single"/>
          </w:rPr>
          <w:t>43.16–21</w:t>
        </w:r>
      </w:hyperlink>
      <w:r>
        <w:t xml:space="preserve">; </w:t>
      </w:r>
      <w:hyperlink r:id="rId17578">
        <w:r>
          <w:rPr>
            <w:color w:val="0000EE"/>
            <w:u w:val="single"/>
          </w:rPr>
          <w:t>49.7–12</w:t>
        </w:r>
      </w:hyperlink>
      <w:r>
        <w:t>) e o oráculo de lamento (</w:t>
      </w:r>
      <w:hyperlink r:id="rId17579">
        <w:r>
          <w:rPr>
            <w:color w:val="0000EE"/>
            <w:u w:val="single"/>
          </w:rPr>
          <w:t>Isaías 5.8–10</w:t>
        </w:r>
      </w:hyperlink>
      <w:r>
        <w:t xml:space="preserve">; </w:t>
      </w:r>
      <w:hyperlink r:id="rId17580">
        <w:r>
          <w:rPr>
            <w:color w:val="0000EE"/>
            <w:u w:val="single"/>
          </w:rPr>
          <w:t>10.1–4</w:t>
        </w:r>
      </w:hyperlink>
      <w:r>
        <w:t xml:space="preserve">; </w:t>
      </w:r>
      <w:hyperlink r:id="rId1309">
        <w:r>
          <w:rPr>
            <w:color w:val="0000EE"/>
            <w:u w:val="single"/>
          </w:rPr>
          <w:t>Am 5.18–24</w:t>
        </w:r>
      </w:hyperlink>
      <w:r>
        <w:t xml:space="preserve">; </w:t>
      </w:r>
      <w:hyperlink r:id="rId17581">
        <w:r>
          <w:rPr>
            <w:color w:val="0000EE"/>
            <w:u w:val="single"/>
          </w:rPr>
          <w:t>6.1–7</w:t>
        </w:r>
      </w:hyperlink>
      <w:r>
        <w:t xml:space="preserve">; </w:t>
      </w:r>
      <w:hyperlink r:id="rId17582">
        <w:r>
          <w:rPr>
            <w:color w:val="0000EE"/>
            <w:u w:val="single"/>
          </w:rPr>
          <w:t>Mq 2.1–5</w:t>
        </w:r>
      </w:hyperlink>
      <w:r>
        <w:t>).</w:t>
      </w:r>
    </w:p>
    <w:p>
      <w:pPr>
        <w:pStyle w:val="Heading4"/>
      </w:pPr>
      <w:r>
        <w:t>O conteúdo da mensagem</w:t>
      </w:r>
    </w:p>
    <w:p>
      <w:r/>
      <w:r>
        <w:t>Todos os profetas predizem o futuro. Tal predição, no entanto, não é baseada no interesse humano sobre o que o futuro trará, mas está enraizada nas consequências futuras de violações passadas ou presentes da aliança, ou em um ato futuro de libertação que fornecerá esperança para um povo desanimado. A maioria das falas proféticas que foram preservadas no Antigo Testamento, foram originalmente proferidas como proclamações públicas ou sermões. A maioria dessas proclamações proféticas foi causada pela iniquidade e apostasia de Israel. Oseias e Jeremias condenaram Israel porque havia quebrado a aliança (</w:t>
      </w:r>
      <w:hyperlink r:id="rId17583">
        <w:r>
          <w:rPr>
            <w:color w:val="0000EE"/>
            <w:u w:val="single"/>
          </w:rPr>
          <w:t>Jeremias 11.2–3</w:t>
        </w:r>
      </w:hyperlink>
      <w:r>
        <w:t xml:space="preserve">; </w:t>
      </w:r>
      <w:hyperlink r:id="rId5327">
        <w:r>
          <w:rPr>
            <w:color w:val="0000EE"/>
            <w:u w:val="single"/>
          </w:rPr>
          <w:t>Oseias 8.1</w:t>
        </w:r>
      </w:hyperlink>
      <w:r>
        <w:t>).</w:t>
      </w:r>
    </w:p>
    <w:p>
      <w:r/>
      <w:r>
        <w:t>Os profetas são frequentemente associados com justiça social e reforma social. Esses elementos eram inquestionavelmente uma dimensão importante de sua mensagem. Amós denunciou os ricos que afligiam os pobres (</w:t>
      </w:r>
      <w:hyperlink r:id="rId8340">
        <w:r>
          <w:rPr>
            <w:color w:val="0000EE"/>
            <w:u w:val="single"/>
          </w:rPr>
          <w:t>Amós 2.6–8</w:t>
        </w:r>
      </w:hyperlink>
      <w:r>
        <w:t xml:space="preserve">; </w:t>
      </w:r>
      <w:hyperlink r:id="rId1264">
        <w:r>
          <w:rPr>
            <w:color w:val="0000EE"/>
            <w:u w:val="single"/>
          </w:rPr>
          <w:t>4.1</w:t>
        </w:r>
      </w:hyperlink>
      <w:r>
        <w:t xml:space="preserve">; </w:t>
      </w:r>
      <w:hyperlink r:id="rId7372">
        <w:r>
          <w:rPr>
            <w:color w:val="0000EE"/>
            <w:u w:val="single"/>
          </w:rPr>
          <w:t>5.11</w:t>
        </w:r>
      </w:hyperlink>
      <w:r>
        <w:t xml:space="preserve">; </w:t>
      </w:r>
      <w:hyperlink r:id="rId17584">
        <w:r>
          <w:rPr>
            <w:color w:val="0000EE"/>
            <w:u w:val="single"/>
          </w:rPr>
          <w:t>8.4–6</w:t>
        </w:r>
      </w:hyperlink>
      <w:r>
        <w:t>). Ele protestou contra a imoralidade sexual (</w:t>
      </w:r>
      <w:hyperlink r:id="rId8340">
        <w:r>
          <w:rPr>
            <w:color w:val="0000EE"/>
            <w:u w:val="single"/>
          </w:rPr>
          <w:t>2.6–8</w:t>
        </w:r>
      </w:hyperlink>
      <w:r>
        <w:t>) e contra aqueles que aceitam subornos (</w:t>
      </w:r>
      <w:hyperlink r:id="rId17585">
        <w:r>
          <w:rPr>
            <w:color w:val="0000EE"/>
            <w:u w:val="single"/>
          </w:rPr>
          <w:t>5.12</w:t>
        </w:r>
      </w:hyperlink>
      <w:r>
        <w:t>). Oseias forneceu uma lista de vícios prevalentes, incluindo mentir, matar, roubar, adultério e idolatria (</w:t>
      </w:r>
      <w:hyperlink r:id="rId6373">
        <w:r>
          <w:rPr>
            <w:color w:val="0000EE"/>
            <w:u w:val="single"/>
          </w:rPr>
          <w:t>Oseias 4.2</w:t>
        </w:r>
      </w:hyperlink>
      <w:r>
        <w:t>). A idolatria era um alvo específico para suas denúncias (</w:t>
      </w:r>
      <w:hyperlink r:id="rId17586">
        <w:r>
          <w:rPr>
            <w:color w:val="0000EE"/>
            <w:u w:val="single"/>
          </w:rPr>
          <w:t>8.5</w:t>
        </w:r>
      </w:hyperlink>
      <w:r>
        <w:t xml:space="preserve">; </w:t>
      </w:r>
      <w:hyperlink r:id="rId6944">
        <w:r>
          <w:rPr>
            <w:color w:val="0000EE"/>
            <w:u w:val="single"/>
          </w:rPr>
          <w:t>11.2</w:t>
        </w:r>
      </w:hyperlink>
      <w:r>
        <w:t>). O pano de fundo para tais denúncias agudas do comportamento de Israel é o amor eterno de Deus por Israel (</w:t>
      </w:r>
      <w:hyperlink r:id="rId17587">
        <w:r>
          <w:rPr>
            <w:color w:val="0000EE"/>
            <w:u w:val="single"/>
          </w:rPr>
          <w:t>Isaías 43.4</w:t>
        </w:r>
      </w:hyperlink>
      <w:r>
        <w:t xml:space="preserve">; </w:t>
      </w:r>
      <w:hyperlink r:id="rId17588">
        <w:r>
          <w:rPr>
            <w:color w:val="0000EE"/>
            <w:u w:val="single"/>
          </w:rPr>
          <w:t>Jeremias 31.3</w:t>
        </w:r>
      </w:hyperlink>
      <w:r>
        <w:t xml:space="preserve">; </w:t>
      </w:r>
      <w:hyperlink r:id="rId820">
        <w:r>
          <w:rPr>
            <w:color w:val="0000EE"/>
            <w:u w:val="single"/>
          </w:rPr>
          <w:t>Oseias 3.1</w:t>
        </w:r>
      </w:hyperlink>
      <w:r>
        <w:t xml:space="preserve">; </w:t>
      </w:r>
      <w:hyperlink r:id="rId1161">
        <w:r>
          <w:rPr>
            <w:color w:val="0000EE"/>
            <w:u w:val="single"/>
          </w:rPr>
          <w:t>11.1–4</w:t>
        </w:r>
      </w:hyperlink>
      <w:r>
        <w:t xml:space="preserve">; </w:t>
      </w:r>
      <w:hyperlink r:id="rId5474">
        <w:r>
          <w:rPr>
            <w:color w:val="0000EE"/>
            <w:u w:val="single"/>
          </w:rPr>
          <w:t>14.4</w:t>
        </w:r>
      </w:hyperlink>
      <w:r>
        <w:t xml:space="preserve">; </w:t>
      </w:r>
      <w:hyperlink r:id="rId13583">
        <w:r>
          <w:rPr>
            <w:color w:val="0000EE"/>
            <w:u w:val="single"/>
          </w:rPr>
          <w:t>Malaquias 1.2</w:t>
        </w:r>
      </w:hyperlink>
      <w:r>
        <w:t>), que é inseparável de sua eleição de Israel (</w:t>
      </w:r>
      <w:hyperlink r:id="rId17589">
        <w:r>
          <w:rPr>
            <w:color w:val="0000EE"/>
            <w:u w:val="single"/>
          </w:rPr>
          <w:t>Isaías 43.1</w:t>
        </w:r>
      </w:hyperlink>
      <w:r>
        <w:t xml:space="preserve">; </w:t>
      </w:r>
      <w:hyperlink r:id="rId17590">
        <w:r>
          <w:rPr>
            <w:color w:val="0000EE"/>
            <w:u w:val="single"/>
          </w:rPr>
          <w:t>Jeremias 33.24</w:t>
        </w:r>
      </w:hyperlink>
      <w:r>
        <w:t xml:space="preserve">; </w:t>
      </w:r>
      <w:hyperlink r:id="rId17591">
        <w:r>
          <w:rPr>
            <w:color w:val="0000EE"/>
            <w:u w:val="single"/>
          </w:rPr>
          <w:t>Ezequiel 20.5</w:t>
        </w:r>
      </w:hyperlink>
      <w:r>
        <w:t xml:space="preserve">; </w:t>
      </w:r>
      <w:hyperlink r:id="rId470">
        <w:r>
          <w:rPr>
            <w:color w:val="0000EE"/>
            <w:u w:val="single"/>
          </w:rPr>
          <w:t>Oseias 3</w:t>
        </w:r>
      </w:hyperlink>
      <w:r>
        <w:t>).</w:t>
      </w:r>
    </w:p>
    <w:p>
      <w:r/>
      <w:r>
        <w:t>Os profetas estavam interessados não apenas nas transgressões de Israel e no julgamento histórico que inevitavelmente se seguiria, mas também na realização de um tempo futuro final de bem-aventurança. A mensagem de muitos dos profetas está completamente interessada com o fim dos tempos. Tal conceito de fim dos tempos é o do Dia do Senhor. O conceito de Dia do Senhor aparece pela primeira vez em Amós, onde a ênfase está no desastre que cairá sobre Israel naquele dia. Apesar da ênfase de Amós no desastre, o Dia do Senhor é uma concepção que tinha tanto conotações de salvação quanto de julgamento para Israel. O desastre que ocorrerá no Dia do Senhor pode ser visto em termos de um cumprimento histórico literal nos eventos trágicos de 722 a.C. (a queda de Samaria) e 586 a.C. (a queda de Judá). Mas há, no entanto, características dessas previsões que vão além do cumprimento histórico e alcançam o cumprimento do fim dos tempos.</w:t>
      </w:r>
    </w:p>
    <w:p>
      <w:r/>
      <w:r>
        <w:t xml:space="preserve">Uma vez que a concepção israelita de “salvação” era em grande parte temporal em suas dimensões, incluía bênçãos como, duração de vida, frutificação do útero e do campo, paz e vitória sobre os inimigos, a abundância de água, e assim por diante. Em harmonia com esta concepção de salvação, a era futura é concebida precisamente nesses termos, como em </w:t>
      </w:r>
      <w:hyperlink r:id="rId1328">
        <w:r>
          <w:rPr>
            <w:color w:val="0000EE"/>
            <w:u w:val="single"/>
          </w:rPr>
          <w:t>Amós 9.13–15</w:t>
        </w:r>
      </w:hyperlink>
      <w:r>
        <w:t>.</w:t>
      </w:r>
    </w:p>
    <w:p>
      <w:r/>
      <w:r>
        <w:t>Os profetas retrataram um tempo em que o próprio Davi, ou alguém muito parecido com ele, retornaria e inauguraria uma era dourada que lembra o grande período davídico e salomônico. A aliança de Deus com Davi não era uma aliança condicional, mas sim uma aliança que era absolutamente inviolável (</w:t>
      </w:r>
      <w:hyperlink r:id="rId548">
        <w:r>
          <w:rPr>
            <w:color w:val="0000EE"/>
            <w:u w:val="single"/>
          </w:rPr>
          <w:t>2 Samuel 7.4–17</w:t>
        </w:r>
      </w:hyperlink>
      <w:r>
        <w:t xml:space="preserve">; </w:t>
      </w:r>
      <w:hyperlink r:id="rId8600">
        <w:r>
          <w:rPr>
            <w:color w:val="0000EE"/>
            <w:u w:val="single"/>
          </w:rPr>
          <w:t>Salmo 89</w:t>
        </w:r>
      </w:hyperlink>
      <w:r>
        <w:t xml:space="preserve">; </w:t>
      </w:r>
      <w:hyperlink r:id="rId17592">
        <w:r>
          <w:rPr>
            <w:color w:val="0000EE"/>
            <w:u w:val="single"/>
          </w:rPr>
          <w:t>Jeremias 33.19–22</w:t>
        </w:r>
      </w:hyperlink>
      <w:r>
        <w:t>). Foi com este conhecimento que os profetas poderiam esperar com confiança uma restauração do trono de Davi (</w:t>
      </w:r>
      <w:hyperlink r:id="rId17593">
        <w:r>
          <w:rPr>
            <w:color w:val="0000EE"/>
            <w:u w:val="single"/>
          </w:rPr>
          <w:t>Jeremias 17.24–26</w:t>
        </w:r>
      </w:hyperlink>
      <w:r>
        <w:t xml:space="preserve">; </w:t>
      </w:r>
      <w:hyperlink r:id="rId14299">
        <w:r>
          <w:rPr>
            <w:color w:val="0000EE"/>
            <w:u w:val="single"/>
          </w:rPr>
          <w:t>23.5–6</w:t>
        </w:r>
      </w:hyperlink>
      <w:r>
        <w:t xml:space="preserve">; </w:t>
      </w:r>
      <w:hyperlink r:id="rId17594">
        <w:r>
          <w:rPr>
            <w:color w:val="0000EE"/>
            <w:u w:val="single"/>
          </w:rPr>
          <w:t>33.14–15</w:t>
        </w:r>
      </w:hyperlink>
      <w:r>
        <w:t>).</w:t>
      </w:r>
    </w:p>
    <w:p>
      <w:pPr>
        <w:pStyle w:val="Heading3"/>
      </w:pPr>
      <w:r>
        <w:t>Profecia no Novo Testamento</w:t>
      </w:r>
    </w:p>
    <w:p>
      <w:r/>
      <w:r>
        <w:t>Em contraste com os poucos profetas autodesignados do período entre o Antigo e o Novo Testamento, o cristianismo primitivo começou com um breve período intenso de atividade profética. Este período perdurou até o segundo século d.C. Jesus, seus discípulos e seguidores, e os primeiros cristãos estavam convencidos de que os tempos em que eles viveram eram tempos em que a profecia do Antigo Testamento estava sendo cumprida (</w:t>
      </w:r>
      <w:hyperlink r:id="rId13896">
        <w:r>
          <w:rPr>
            <w:color w:val="0000EE"/>
            <w:u w:val="single"/>
          </w:rPr>
          <w:t>Marcos 1.14–15</w:t>
        </w:r>
      </w:hyperlink>
      <w:r>
        <w:t xml:space="preserve">; </w:t>
      </w:r>
      <w:hyperlink r:id="rId7061">
        <w:r>
          <w:rPr>
            <w:color w:val="0000EE"/>
            <w:u w:val="single"/>
          </w:rPr>
          <w:t>Atos 2.16–21</w:t>
        </w:r>
      </w:hyperlink>
      <w:r>
        <w:t xml:space="preserve">; </w:t>
      </w:r>
      <w:hyperlink r:id="rId12389">
        <w:r>
          <w:rPr>
            <w:color w:val="0000EE"/>
            <w:u w:val="single"/>
          </w:rPr>
          <w:t>Romanos 16.25–27</w:t>
        </w:r>
      </w:hyperlink>
      <w:r>
        <w:t xml:space="preserve">; </w:t>
      </w:r>
      <w:hyperlink r:id="rId8111">
        <w:r>
          <w:rPr>
            <w:color w:val="0000EE"/>
            <w:u w:val="single"/>
          </w:rPr>
          <w:t>1 Coríntios 10.11</w:t>
        </w:r>
      </w:hyperlink>
      <w:r>
        <w:t>). No entanto, este período não era apenas de cumprimento, mas também de renovação do dom profético.</w:t>
      </w:r>
    </w:p>
    <w:p>
      <w:pPr>
        <w:pStyle w:val="Heading4"/>
      </w:pPr>
      <w:r>
        <w:t>João Batista</w:t>
      </w:r>
    </w:p>
    <w:p>
      <w:r/>
      <w:r>
        <w:t>João Batista é lembrado no Novo Testamento principalmente como o antecessor de Jesus, predito por Malaquias (</w:t>
      </w:r>
      <w:hyperlink r:id="rId7906">
        <w:r>
          <w:rPr>
            <w:color w:val="0000EE"/>
            <w:u w:val="single"/>
          </w:rPr>
          <w:t>Malaquias 4.5–6</w:t>
        </w:r>
      </w:hyperlink>
      <w:r>
        <w:t>). No entanto, em seu próprio direito, João proclamou o julgamento iminente de Deus com um senso de denúncia e repreensão que lembra os profetas do Antigo Testamento. As roupas de João, consistindo de um manto de pelos e um cinto de couro (</w:t>
      </w:r>
      <w:hyperlink r:id="rId1795">
        <w:r>
          <w:rPr>
            <w:color w:val="0000EE"/>
            <w:u w:val="single"/>
          </w:rPr>
          <w:t>Marcos 1.6</w:t>
        </w:r>
      </w:hyperlink>
      <w:r>
        <w:t>), lembravam as roupas típicas dos profetas do Antigo Testamento (</w:t>
      </w:r>
      <w:hyperlink r:id="rId12429">
        <w:r>
          <w:rPr>
            <w:color w:val="0000EE"/>
            <w:u w:val="single"/>
          </w:rPr>
          <w:t>1 Reis 19.19</w:t>
        </w:r>
      </w:hyperlink>
      <w:r>
        <w:t xml:space="preserve">; </w:t>
      </w:r>
      <w:hyperlink r:id="rId6049">
        <w:r>
          <w:rPr>
            <w:color w:val="0000EE"/>
            <w:u w:val="single"/>
          </w:rPr>
          <w:t>2 Reis 1.8</w:t>
        </w:r>
      </w:hyperlink>
      <w:r>
        <w:t xml:space="preserve">; </w:t>
      </w:r>
      <w:hyperlink r:id="rId17595">
        <w:r>
          <w:rPr>
            <w:color w:val="0000EE"/>
            <w:u w:val="single"/>
          </w:rPr>
          <w:t>2.13–14</w:t>
        </w:r>
      </w:hyperlink>
      <w:r>
        <w:t xml:space="preserve">; </w:t>
      </w:r>
      <w:hyperlink r:id="rId1498">
        <w:r>
          <w:rPr>
            <w:color w:val="0000EE"/>
            <w:u w:val="single"/>
          </w:rPr>
          <w:t>Zacarias 13.4</w:t>
        </w:r>
      </w:hyperlink>
      <w:r>
        <w:t>). João era considerado como um profeta por pessoas em todos os lugares (</w:t>
      </w:r>
      <w:hyperlink r:id="rId11898">
        <w:r>
          <w:rPr>
            <w:color w:val="0000EE"/>
            <w:u w:val="single"/>
          </w:rPr>
          <w:t>Mateus 14.5</w:t>
        </w:r>
      </w:hyperlink>
      <w:r>
        <w:t xml:space="preserve">; </w:t>
      </w:r>
      <w:hyperlink r:id="rId7909">
        <w:r>
          <w:rPr>
            <w:color w:val="0000EE"/>
            <w:u w:val="single"/>
          </w:rPr>
          <w:t>17.10–13</w:t>
        </w:r>
      </w:hyperlink>
      <w:r>
        <w:t xml:space="preserve">; </w:t>
      </w:r>
      <w:hyperlink r:id="rId17596">
        <w:r>
          <w:rPr>
            <w:color w:val="0000EE"/>
            <w:u w:val="single"/>
          </w:rPr>
          <w:t>Marcos 9.11–13</w:t>
        </w:r>
      </w:hyperlink>
      <w:r>
        <w:t xml:space="preserve">; </w:t>
      </w:r>
      <w:hyperlink r:id="rId11899">
        <w:r>
          <w:rPr>
            <w:color w:val="0000EE"/>
            <w:u w:val="single"/>
          </w:rPr>
          <w:t>11.32</w:t>
        </w:r>
      </w:hyperlink>
      <w:r>
        <w:t xml:space="preserve">; </w:t>
      </w:r>
      <w:hyperlink r:id="rId17597">
        <w:r>
          <w:rPr>
            <w:color w:val="0000EE"/>
            <w:u w:val="single"/>
          </w:rPr>
          <w:t>Lucas 1:76</w:t>
        </w:r>
      </w:hyperlink>
      <w:r>
        <w:t xml:space="preserve">; </w:t>
      </w:r>
      <w:hyperlink r:id="rId17598">
        <w:r>
          <w:rPr>
            <w:color w:val="0000EE"/>
            <w:u w:val="single"/>
          </w:rPr>
          <w:t>7.26</w:t>
        </w:r>
      </w:hyperlink>
      <w:r>
        <w:t>). Lucas relata, em um estilo semelhante às narrativas proféticas do Antigo Testamento, que “a palavra de Deus veio a João” (</w:t>
      </w:r>
      <w:hyperlink r:id="rId1361">
        <w:r>
          <w:rPr>
            <w:color w:val="0000EE"/>
            <w:u w:val="single"/>
          </w:rPr>
          <w:t>Lucas 3.2</w:t>
        </w:r>
      </w:hyperlink>
      <w:r>
        <w:t>).</w:t>
      </w:r>
    </w:p>
    <w:p>
      <w:r/>
      <w:r>
        <w:t xml:space="preserve">Duas breves falas proféticas foram preservadas em </w:t>
      </w:r>
      <w:hyperlink r:id="rId11913">
        <w:r>
          <w:rPr>
            <w:color w:val="0000EE"/>
            <w:u w:val="single"/>
          </w:rPr>
          <w:t>Mateus 3.7–10</w:t>
        </w:r>
      </w:hyperlink>
      <w:r>
        <w:t xml:space="preserve"> (compare </w:t>
      </w:r>
      <w:hyperlink r:id="rId8668">
        <w:r>
          <w:rPr>
            <w:color w:val="0000EE"/>
            <w:u w:val="single"/>
          </w:rPr>
          <w:t>Lucas 3:7–9</w:t>
        </w:r>
      </w:hyperlink>
      <w:r>
        <w:t xml:space="preserve">) e </w:t>
      </w:r>
      <w:hyperlink r:id="rId11916">
        <w:r>
          <w:rPr>
            <w:color w:val="0000EE"/>
            <w:u w:val="single"/>
          </w:rPr>
          <w:t>Marcos 1.7–8</w:t>
        </w:r>
      </w:hyperlink>
      <w:r>
        <w:t xml:space="preserve"> (compare </w:t>
      </w:r>
      <w:hyperlink r:id="rId3265">
        <w:r>
          <w:rPr>
            <w:color w:val="0000EE"/>
            <w:u w:val="single"/>
          </w:rPr>
          <w:t>Mateus 3.11–12</w:t>
        </w:r>
      </w:hyperlink>
      <w:r>
        <w:t xml:space="preserve">; </w:t>
      </w:r>
      <w:hyperlink r:id="rId11929">
        <w:r>
          <w:rPr>
            <w:color w:val="0000EE"/>
            <w:u w:val="single"/>
          </w:rPr>
          <w:t>Lucas 3:15–18</w:t>
        </w:r>
      </w:hyperlink>
      <w:r>
        <w:t>). Na primeira fala, João denunciou aqueles de sua geração que haviam transgredido a lei da aliança e os instou a mudar seu modo de vida. Na segunda fala, João predisse a vinda do Poderoso, Jesus (</w:t>
      </w:r>
      <w:hyperlink r:id="rId861">
        <w:r>
          <w:rPr>
            <w:color w:val="0000EE"/>
            <w:u w:val="single"/>
          </w:rPr>
          <w:t>Mateus 3.11</w:t>
        </w:r>
      </w:hyperlink>
      <w:r>
        <w:t xml:space="preserve">; </w:t>
      </w:r>
      <w:hyperlink r:id="rId11915">
        <w:r>
          <w:rPr>
            <w:color w:val="0000EE"/>
            <w:u w:val="single"/>
          </w:rPr>
          <w:t>Marcos 1.7</w:t>
        </w:r>
      </w:hyperlink>
      <w:r>
        <w:t xml:space="preserve">; </w:t>
      </w:r>
      <w:hyperlink r:id="rId863">
        <w:r>
          <w:rPr>
            <w:color w:val="0000EE"/>
            <w:u w:val="single"/>
          </w:rPr>
          <w:t>Lucas 3.16</w:t>
        </w:r>
      </w:hyperlink>
      <w:r>
        <w:t xml:space="preserve">; </w:t>
      </w:r>
      <w:hyperlink r:id="rId17599">
        <w:r>
          <w:rPr>
            <w:color w:val="0000EE"/>
            <w:u w:val="single"/>
          </w:rPr>
          <w:t>João 1.15,27,30</w:t>
        </w:r>
      </w:hyperlink>
      <w:r>
        <w:t xml:space="preserve">; </w:t>
      </w:r>
      <w:hyperlink r:id="rId17600">
        <w:r>
          <w:rPr>
            <w:color w:val="0000EE"/>
            <w:u w:val="single"/>
          </w:rPr>
          <w:t>Atos 13.25</w:t>
        </w:r>
      </w:hyperlink>
      <w:r>
        <w:t>). O estilo de João, no entanto, não era precisamente o dos profetas do Antigo Testamento. Suas declarações foram feitas em sua própria autoridade. Ele nunca usou fórmulas como “assim diz o Senhor”, ou apresentou suas declarações proféticas como se fossem falas feitas por Deus. No entanto, apesar dessas diferenças, João é apropriadamente considerado como o último representante da tradição profética do Antigo Testamento (</w:t>
      </w:r>
      <w:hyperlink r:id="rId17601">
        <w:r>
          <w:rPr>
            <w:color w:val="0000EE"/>
            <w:u w:val="single"/>
          </w:rPr>
          <w:t>Mateus 11.13</w:t>
        </w:r>
      </w:hyperlink>
      <w:r>
        <w:t xml:space="preserve">; </w:t>
      </w:r>
      <w:hyperlink r:id="rId8681">
        <w:r>
          <w:rPr>
            <w:color w:val="0000EE"/>
            <w:u w:val="single"/>
          </w:rPr>
          <w:t>Lucas 16.16</w:t>
        </w:r>
      </w:hyperlink>
      <w:r>
        <w:t>).</w:t>
      </w:r>
    </w:p>
    <w:p>
      <w:pPr>
        <w:pStyle w:val="Heading4"/>
      </w:pPr>
      <w:r>
        <w:t>Jesus de Nazaré</w:t>
      </w:r>
    </w:p>
    <w:p>
      <w:r/>
      <w:r>
        <w:t>Jesus era popularmente considerado como um profeta (</w:t>
      </w:r>
      <w:hyperlink r:id="rId17602">
        <w:r>
          <w:rPr>
            <w:color w:val="0000EE"/>
            <w:u w:val="single"/>
          </w:rPr>
          <w:t>Mateus 16.14</w:t>
        </w:r>
      </w:hyperlink>
      <w:r>
        <w:t xml:space="preserve">; </w:t>
      </w:r>
      <w:hyperlink r:id="rId17603">
        <w:r>
          <w:rPr>
            <w:color w:val="0000EE"/>
            <w:u w:val="single"/>
          </w:rPr>
          <w:t>21.10–11</w:t>
        </w:r>
      </w:hyperlink>
      <w:r>
        <w:t xml:space="preserve">; </w:t>
      </w:r>
      <w:hyperlink r:id="rId17604">
        <w:r>
          <w:rPr>
            <w:color w:val="0000EE"/>
            <w:u w:val="single"/>
          </w:rPr>
          <w:t>Marcos 6.14–15</w:t>
        </w:r>
      </w:hyperlink>
      <w:r>
        <w:t xml:space="preserve">; </w:t>
      </w:r>
      <w:hyperlink r:id="rId14122">
        <w:r>
          <w:rPr>
            <w:color w:val="0000EE"/>
            <w:u w:val="single"/>
          </w:rPr>
          <w:t>8.28</w:t>
        </w:r>
      </w:hyperlink>
      <w:r>
        <w:t xml:space="preserve">; </w:t>
      </w:r>
      <w:hyperlink r:id="rId6125">
        <w:r>
          <w:rPr>
            <w:color w:val="0000EE"/>
            <w:u w:val="single"/>
          </w:rPr>
          <w:t>Lucas 7.16,39</w:t>
        </w:r>
      </w:hyperlink>
      <w:r>
        <w:t xml:space="preserve">; </w:t>
      </w:r>
      <w:hyperlink r:id="rId17605">
        <w:r>
          <w:rPr>
            <w:color w:val="0000EE"/>
            <w:u w:val="single"/>
          </w:rPr>
          <w:t>9.8,19</w:t>
        </w:r>
      </w:hyperlink>
      <w:r>
        <w:t xml:space="preserve">; </w:t>
      </w:r>
      <w:hyperlink r:id="rId6117">
        <w:r>
          <w:rPr>
            <w:color w:val="0000EE"/>
            <w:u w:val="single"/>
          </w:rPr>
          <w:t>João 6.14</w:t>
        </w:r>
      </w:hyperlink>
      <w:r>
        <w:t xml:space="preserve">; </w:t>
      </w:r>
      <w:hyperlink r:id="rId17606">
        <w:r>
          <w:rPr>
            <w:color w:val="0000EE"/>
            <w:u w:val="single"/>
          </w:rPr>
          <w:t>7.40,52</w:t>
        </w:r>
      </w:hyperlink>
      <w:r>
        <w:t xml:space="preserve">). Esta análise era baseada tanto nos feitos poderosos que Jesus realizava quanto em suas falas e predições proféticas. Embora Jesus em lugar algum tenha reivindicado status profético diretamente, essa alegação está implícita em </w:t>
      </w:r>
      <w:hyperlink r:id="rId17607">
        <w:r>
          <w:rPr>
            <w:color w:val="0000EE"/>
            <w:u w:val="single"/>
          </w:rPr>
          <w:t>Marcos 6.4</w:t>
        </w:r>
      </w:hyperlink>
      <w:r>
        <w:t xml:space="preserve">: “Somente em sua cidade natal, entre seus parentes, e em sua própria casa, há um profeta sem honra” (compare </w:t>
      </w:r>
      <w:hyperlink r:id="rId11193">
        <w:r>
          <w:rPr>
            <w:color w:val="0000EE"/>
            <w:u w:val="single"/>
          </w:rPr>
          <w:t>Mateus 13.57</w:t>
        </w:r>
      </w:hyperlink>
      <w:r>
        <w:t xml:space="preserve">; </w:t>
      </w:r>
      <w:hyperlink r:id="rId13371">
        <w:r>
          <w:rPr>
            <w:color w:val="0000EE"/>
            <w:u w:val="single"/>
          </w:rPr>
          <w:t>Lucas 4.24</w:t>
        </w:r>
      </w:hyperlink>
      <w:r>
        <w:t xml:space="preserve">). Está implícito também em </w:t>
      </w:r>
      <w:hyperlink r:id="rId6307">
        <w:r>
          <w:rPr>
            <w:color w:val="0000EE"/>
            <w:u w:val="single"/>
          </w:rPr>
          <w:t>Lucas 13.33</w:t>
        </w:r>
      </w:hyperlink>
      <w:r>
        <w:t xml:space="preserve">: “No entanto, devo continuar hoje, amanhã e no dia seguinte, pois não é admissível que um profeta morra fora de Jerusalém”. Em Atos, Jesus é considerado como “o profeta como Moisés” predito em </w:t>
      </w:r>
      <w:hyperlink r:id="rId14302">
        <w:r>
          <w:rPr>
            <w:color w:val="0000EE"/>
            <w:u w:val="single"/>
          </w:rPr>
          <w:t>Deuteronômio 18.18</w:t>
        </w:r>
      </w:hyperlink>
      <w:r>
        <w:t xml:space="preserve"> (</w:t>
      </w:r>
      <w:hyperlink r:id="rId14775">
        <w:r>
          <w:rPr>
            <w:color w:val="0000EE"/>
            <w:u w:val="single"/>
          </w:rPr>
          <w:t>Atos 3.22</w:t>
        </w:r>
      </w:hyperlink>
      <w:r>
        <w:t xml:space="preserve">; </w:t>
      </w:r>
      <w:hyperlink r:id="rId17540">
        <w:r>
          <w:rPr>
            <w:color w:val="0000EE"/>
            <w:u w:val="single"/>
          </w:rPr>
          <w:t>7.37</w:t>
        </w:r>
      </w:hyperlink>
      <w:r>
        <w:t>). Mateus apresenta Jesus como o Novo Moisés, mas ele não enfatiza especialmente seu papel profético. João, no entanto, como Lucas, enfatiza o papel de Jesus como profeta (</w:t>
      </w:r>
      <w:hyperlink r:id="rId17608">
        <w:r>
          <w:rPr>
            <w:color w:val="0000EE"/>
            <w:u w:val="single"/>
          </w:rPr>
          <w:t>João 4.19</w:t>
        </w:r>
      </w:hyperlink>
      <w:r>
        <w:t xml:space="preserve">; </w:t>
      </w:r>
      <w:hyperlink r:id="rId17609">
        <w:r>
          <w:rPr>
            <w:color w:val="0000EE"/>
            <w:u w:val="single"/>
          </w:rPr>
          <w:t>6.14–15</w:t>
        </w:r>
      </w:hyperlink>
      <w:r>
        <w:t xml:space="preserve">; </w:t>
      </w:r>
      <w:hyperlink r:id="rId17606">
        <w:r>
          <w:rPr>
            <w:color w:val="0000EE"/>
            <w:u w:val="single"/>
          </w:rPr>
          <w:t>7.40</w:t>
        </w:r>
      </w:hyperlink>
      <w:r>
        <w:t>).</w:t>
      </w:r>
    </w:p>
    <w:p>
      <w:r/>
      <w:r>
        <w:t>Embora os evangelhos canônicos e Atos reflitam a noção de que Jesus era um profeta, eles também enfatizam o fato de que ele era muito mais do que um profeta. No entanto, o papel de profeta era importante o suficiente no judaísmo primitivo para que o reconhecimento de Jesus como profeta fosse muito significativo. Há 12 razões sólidas para considerar Jesus como um profeta na tradição do Antigo Testamento:</w:t>
      </w:r>
    </w:p>
    <w:p>
      <w:pPr>
        <w:pStyle w:val="ListNumber"/>
        <w:spacing w:line="240" w:lineRule="auto"/>
        <w:ind w:left="720"/>
      </w:pPr>
      <w:r/>
      <w:r>
        <w:t>A autoridade final do ensino de Jesus (</w:t>
      </w:r>
      <w:hyperlink r:id="rId17610">
        <w:r>
          <w:rPr>
            <w:color w:val="0000EE"/>
            <w:u w:val="single"/>
          </w:rPr>
          <w:t>Marcos 1.27</w:t>
        </w:r>
      </w:hyperlink>
      <w:r>
        <w:t>). Esta característica é sublinhada por seu uso da fórmula introdutória “(Amém) eu digo a vocês”, que lembra a fórmula “assim diz o Senhor” usada pelos profetas do Antigo Testamento.</w:t>
      </w:r>
    </w:p>
    <w:p>
      <w:pPr>
        <w:pStyle w:val="ListNumber"/>
        <w:spacing w:line="240" w:lineRule="auto"/>
        <w:ind w:left="720"/>
      </w:pPr>
      <w:r/>
      <w:r>
        <w:t>O caráter poético de muitos dos ditos de Jesus é diferente do ensino rabínico contemporâneo, mas é semelhante à retórica poética dos profetas do Antigo Testamento.</w:t>
      </w:r>
    </w:p>
    <w:p>
      <w:pPr>
        <w:pStyle w:val="ListNumber"/>
        <w:spacing w:line="240" w:lineRule="auto"/>
        <w:ind w:left="720"/>
      </w:pPr>
      <w:r/>
      <w:r>
        <w:t>Jesus experienciou visões (</w:t>
      </w:r>
      <w:hyperlink r:id="rId17611">
        <w:r>
          <w:rPr>
            <w:color w:val="0000EE"/>
            <w:u w:val="single"/>
          </w:rPr>
          <w:t>Lucas 10.18</w:t>
        </w:r>
      </w:hyperlink>
      <w:r>
        <w:t>) como os profetas antigos.</w:t>
      </w:r>
    </w:p>
    <w:p>
      <w:pPr>
        <w:pStyle w:val="ListNumber"/>
        <w:spacing w:line="240" w:lineRule="auto"/>
        <w:ind w:left="720"/>
      </w:pPr>
      <w:r/>
      <w:r>
        <w:t>Jesus, como os profetas, fez muitas predições (</w:t>
      </w:r>
      <w:hyperlink r:id="rId14082">
        <w:r>
          <w:rPr>
            <w:color w:val="0000EE"/>
            <w:u w:val="single"/>
          </w:rPr>
          <w:t>Mateus 23.38</w:t>
        </w:r>
      </w:hyperlink>
      <w:r>
        <w:t xml:space="preserve">; </w:t>
      </w:r>
      <w:hyperlink r:id="rId6295">
        <w:r>
          <w:rPr>
            <w:color w:val="0000EE"/>
            <w:u w:val="single"/>
          </w:rPr>
          <w:t>Marcos 13.2</w:t>
        </w:r>
      </w:hyperlink>
      <w:r>
        <w:t xml:space="preserve">; </w:t>
      </w:r>
      <w:hyperlink r:id="rId17612">
        <w:r>
          <w:rPr>
            <w:color w:val="0000EE"/>
            <w:u w:val="single"/>
          </w:rPr>
          <w:t>14.58</w:t>
        </w:r>
      </w:hyperlink>
      <w:r>
        <w:t xml:space="preserve">; </w:t>
      </w:r>
      <w:hyperlink r:id="rId17613">
        <w:r>
          <w:rPr>
            <w:color w:val="0000EE"/>
            <w:u w:val="single"/>
          </w:rPr>
          <w:t>Lucas 13.35</w:t>
        </w:r>
      </w:hyperlink>
      <w:r>
        <w:t>; e outros).</w:t>
      </w:r>
    </w:p>
    <w:p>
      <w:pPr>
        <w:pStyle w:val="ListNumber"/>
        <w:spacing w:line="240" w:lineRule="auto"/>
        <w:ind w:left="720"/>
      </w:pPr>
      <w:r/>
      <w:r>
        <w:t>Como os profetas do Antigo Testamento, Jesus realizou atos simbólicos (como a purificação do templo, a entrada em Jerusalém e a Última Ceia).</w:t>
      </w:r>
    </w:p>
    <w:p>
      <w:pPr>
        <w:pStyle w:val="ListNumber"/>
        <w:spacing w:line="240" w:lineRule="auto"/>
        <w:ind w:left="720"/>
      </w:pPr>
      <w:r/>
      <w:r>
        <w:t>Jesus, como os profetas, quando necessário, rejeitou a observância formal do ritual religioso e enfatizou as dimensões morais e espirituais da obediência a Deus.</w:t>
      </w:r>
    </w:p>
    <w:p>
      <w:pPr>
        <w:pStyle w:val="ListNumber"/>
        <w:spacing w:line="240" w:lineRule="auto"/>
        <w:ind w:left="720"/>
      </w:pPr>
      <w:r/>
      <w:r>
        <w:t>Jesus anunciou a chegada iminente do reino de Deus — uma proclamação do fim dos tempos semelhante às feitas pelos profetas.</w:t>
      </w:r>
    </w:p>
    <w:p>
      <w:pPr>
        <w:pStyle w:val="ListNumber"/>
        <w:spacing w:line="240" w:lineRule="auto"/>
        <w:ind w:left="720"/>
      </w:pPr>
      <w:r/>
      <w:r>
        <w:t>Como os profetas do Antigo Testamento, Jesus atuava como um pregador do arrependimento.</w:t>
      </w:r>
    </w:p>
    <w:p>
      <w:pPr>
        <w:pStyle w:val="ListNumber"/>
        <w:spacing w:line="240" w:lineRule="auto"/>
        <w:ind w:left="720"/>
      </w:pPr>
      <w:r/>
      <w:r>
        <w:t>Jesus, como muitos dos profetas, estava consciente de um chamado especial de Deus (</w:t>
      </w:r>
      <w:hyperlink r:id="rId8707">
        <w:r>
          <w:rPr>
            <w:color w:val="0000EE"/>
            <w:u w:val="single"/>
          </w:rPr>
          <w:t>Mateus 15.24</w:t>
        </w:r>
      </w:hyperlink>
      <w:r>
        <w:t xml:space="preserve">; </w:t>
      </w:r>
      <w:hyperlink r:id="rId6301">
        <w:r>
          <w:rPr>
            <w:color w:val="0000EE"/>
            <w:u w:val="single"/>
          </w:rPr>
          <w:t>Marcos 8.31</w:t>
        </w:r>
      </w:hyperlink>
      <w:r>
        <w:t xml:space="preserve">; </w:t>
      </w:r>
      <w:hyperlink r:id="rId17614">
        <w:r>
          <w:rPr>
            <w:color w:val="0000EE"/>
            <w:u w:val="single"/>
          </w:rPr>
          <w:t>9.37</w:t>
        </w:r>
      </w:hyperlink>
      <w:r>
        <w:t xml:space="preserve">; </w:t>
      </w:r>
      <w:hyperlink r:id="rId4099">
        <w:r>
          <w:rPr>
            <w:color w:val="0000EE"/>
            <w:u w:val="single"/>
          </w:rPr>
          <w:t>14.36</w:t>
        </w:r>
      </w:hyperlink>
      <w:r>
        <w:t xml:space="preserve">; </w:t>
      </w:r>
      <w:hyperlink r:id="rId17615">
        <w:r>
          <w:rPr>
            <w:color w:val="0000EE"/>
            <w:u w:val="single"/>
          </w:rPr>
          <w:t>Lucas 4.18–26</w:t>
        </w:r>
      </w:hyperlink>
      <w:r>
        <w:t>).</w:t>
      </w:r>
    </w:p>
    <w:p>
      <w:pPr>
        <w:pStyle w:val="ListNumber"/>
        <w:spacing w:line="240" w:lineRule="auto"/>
        <w:ind w:left="720"/>
      </w:pPr>
      <w:r/>
      <w:r>
        <w:t>Jesus, como os profetas, recebeu revelação divina através da comunhão íntima com Deus (</w:t>
      </w:r>
      <w:hyperlink r:id="rId11823">
        <w:r>
          <w:rPr>
            <w:color w:val="0000EE"/>
            <w:u w:val="single"/>
          </w:rPr>
          <w:t>Mateus 11.27</w:t>
        </w:r>
      </w:hyperlink>
      <w:r>
        <w:t xml:space="preserve">; </w:t>
      </w:r>
      <w:hyperlink r:id="rId11824">
        <w:r>
          <w:rPr>
            <w:color w:val="0000EE"/>
            <w:u w:val="single"/>
          </w:rPr>
          <w:t>Lucas 10.22</w:t>
        </w:r>
      </w:hyperlink>
      <w:r>
        <w:t>).</w:t>
      </w:r>
    </w:p>
    <w:p>
      <w:pPr>
        <w:pStyle w:val="ListNumber"/>
        <w:spacing w:line="240" w:lineRule="auto"/>
        <w:ind w:left="720"/>
      </w:pPr>
      <w:r/>
      <w:r>
        <w:t>Como os profetas, Jesus representava Deus. Obedecer a Jesus era obedecer a Deus, e rejeitá-lo era rejeitar a Deus (</w:t>
      </w:r>
      <w:hyperlink r:id="rId17614">
        <w:r>
          <w:rPr>
            <w:color w:val="0000EE"/>
            <w:u w:val="single"/>
          </w:rPr>
          <w:t>Marcos 9.37</w:t>
        </w:r>
      </w:hyperlink>
      <w:r>
        <w:t xml:space="preserve">; compare </w:t>
      </w:r>
      <w:hyperlink r:id="rId17616">
        <w:r>
          <w:rPr>
            <w:color w:val="0000EE"/>
            <w:u w:val="single"/>
          </w:rPr>
          <w:t>Ezequiel 33.30–33</w:t>
        </w:r>
      </w:hyperlink>
      <w:r>
        <w:t>).</w:t>
      </w:r>
    </w:p>
    <w:p>
      <w:pPr>
        <w:pStyle w:val="ListNumber"/>
        <w:spacing w:line="240" w:lineRule="auto"/>
        <w:ind w:left="720"/>
      </w:pPr>
      <w:r/>
      <w:r>
        <w:t>Como os profetas, Jesus estava consciente de uma missão a todo o Israel (</w:t>
      </w:r>
      <w:hyperlink r:id="rId8707">
        <w:r>
          <w:rPr>
            <w:color w:val="0000EE"/>
            <w:u w:val="single"/>
          </w:rPr>
          <w:t>Mateus 15.24</w:t>
        </w:r>
      </w:hyperlink>
      <w:r>
        <w:t xml:space="preserve">; </w:t>
      </w:r>
      <w:hyperlink r:id="rId9406">
        <w:r>
          <w:rPr>
            <w:color w:val="0000EE"/>
            <w:u w:val="single"/>
          </w:rPr>
          <w:t>19.28</w:t>
        </w:r>
      </w:hyperlink>
      <w:r>
        <w:t xml:space="preserve">; </w:t>
      </w:r>
      <w:hyperlink r:id="rId17617">
        <w:r>
          <w:rPr>
            <w:color w:val="0000EE"/>
            <w:u w:val="single"/>
          </w:rPr>
          <w:t>Lucas 22.30</w:t>
        </w:r>
      </w:hyperlink>
      <w:r>
        <w:t>).</w:t>
      </w:r>
    </w:p>
    <w:p>
      <w:r/>
      <w:r>
        <w:t>Entre as muitas predições proféticas de Jesus, estão as seguintes:</w:t>
      </w:r>
    </w:p>
    <w:p>
      <w:pPr>
        <w:pStyle w:val="ListNumber"/>
        <w:spacing w:line="240" w:lineRule="auto"/>
        <w:ind w:left="720"/>
      </w:pPr>
      <w:r/>
      <w:r>
        <w:t>Predições da chegada iminente do reino de Deus (</w:t>
      </w:r>
      <w:hyperlink r:id="rId17618">
        <w:r>
          <w:rPr>
            <w:color w:val="0000EE"/>
            <w:u w:val="single"/>
          </w:rPr>
          <w:t>Mateus 10.7–8,23</w:t>
        </w:r>
      </w:hyperlink>
      <w:r>
        <w:t xml:space="preserve">; </w:t>
      </w:r>
      <w:hyperlink r:id="rId17619">
        <w:r>
          <w:rPr>
            <w:color w:val="0000EE"/>
            <w:u w:val="single"/>
          </w:rPr>
          <w:t>23.39</w:t>
        </w:r>
      </w:hyperlink>
      <w:r>
        <w:t xml:space="preserve">; </w:t>
      </w:r>
      <w:hyperlink r:id="rId2608">
        <w:r>
          <w:rPr>
            <w:color w:val="0000EE"/>
            <w:u w:val="single"/>
          </w:rPr>
          <w:t>Marcos 1.15</w:t>
        </w:r>
      </w:hyperlink>
      <w:r>
        <w:t xml:space="preserve">; </w:t>
      </w:r>
      <w:hyperlink r:id="rId13916">
        <w:r>
          <w:rPr>
            <w:color w:val="0000EE"/>
            <w:u w:val="single"/>
          </w:rPr>
          <w:t>9.1</w:t>
        </w:r>
      </w:hyperlink>
      <w:r>
        <w:t xml:space="preserve">; </w:t>
      </w:r>
      <w:hyperlink r:id="rId17620">
        <w:r>
          <w:rPr>
            <w:color w:val="0000EE"/>
            <w:u w:val="single"/>
          </w:rPr>
          <w:t>13.28–29</w:t>
        </w:r>
      </w:hyperlink>
      <w:r>
        <w:t>)</w:t>
      </w:r>
    </w:p>
    <w:p>
      <w:pPr>
        <w:pStyle w:val="ListNumber"/>
        <w:spacing w:line="240" w:lineRule="auto"/>
        <w:ind w:left="720"/>
      </w:pPr>
      <w:r/>
      <w:r>
        <w:t>Predições da destruição de Jerusalém e do templo (</w:t>
      </w:r>
      <w:hyperlink r:id="rId17621">
        <w:r>
          <w:rPr>
            <w:color w:val="0000EE"/>
            <w:u w:val="single"/>
          </w:rPr>
          <w:t>Mateus 23.37–39</w:t>
        </w:r>
      </w:hyperlink>
      <w:r>
        <w:t xml:space="preserve">; </w:t>
      </w:r>
      <w:hyperlink r:id="rId17622">
        <w:r>
          <w:rPr>
            <w:color w:val="0000EE"/>
            <w:u w:val="single"/>
          </w:rPr>
          <w:t>24.2</w:t>
        </w:r>
      </w:hyperlink>
      <w:r>
        <w:t xml:space="preserve">; </w:t>
      </w:r>
      <w:hyperlink r:id="rId17623">
        <w:r>
          <w:rPr>
            <w:color w:val="0000EE"/>
            <w:u w:val="single"/>
          </w:rPr>
          <w:t>26.61</w:t>
        </w:r>
      </w:hyperlink>
      <w:r>
        <w:t xml:space="preserve">; </w:t>
      </w:r>
      <w:hyperlink r:id="rId17624">
        <w:r>
          <w:rPr>
            <w:color w:val="0000EE"/>
            <w:u w:val="single"/>
          </w:rPr>
          <w:t>27.40</w:t>
        </w:r>
      </w:hyperlink>
      <w:r>
        <w:t xml:space="preserve">; </w:t>
      </w:r>
      <w:hyperlink r:id="rId6295">
        <w:r>
          <w:rPr>
            <w:color w:val="0000EE"/>
            <w:u w:val="single"/>
          </w:rPr>
          <w:t>Marcos 13.2</w:t>
        </w:r>
      </w:hyperlink>
      <w:r>
        <w:t xml:space="preserve">; </w:t>
      </w:r>
      <w:hyperlink r:id="rId17612">
        <w:r>
          <w:rPr>
            <w:color w:val="0000EE"/>
            <w:u w:val="single"/>
          </w:rPr>
          <w:t>14.58</w:t>
        </w:r>
      </w:hyperlink>
      <w:r>
        <w:t xml:space="preserve">; </w:t>
      </w:r>
      <w:hyperlink r:id="rId17625">
        <w:r>
          <w:rPr>
            <w:color w:val="0000EE"/>
            <w:u w:val="single"/>
          </w:rPr>
          <w:t>15.29</w:t>
        </w:r>
      </w:hyperlink>
      <w:r>
        <w:t xml:space="preserve">; </w:t>
      </w:r>
      <w:hyperlink r:id="rId17626">
        <w:r>
          <w:rPr>
            <w:color w:val="0000EE"/>
            <w:u w:val="single"/>
          </w:rPr>
          <w:t>Lucas 13.34–35</w:t>
        </w:r>
      </w:hyperlink>
      <w:r>
        <w:t xml:space="preserve">; </w:t>
      </w:r>
      <w:hyperlink r:id="rId17627">
        <w:r>
          <w:rPr>
            <w:color w:val="0000EE"/>
            <w:u w:val="single"/>
          </w:rPr>
          <w:t>21.6</w:t>
        </w:r>
      </w:hyperlink>
      <w:r>
        <w:t xml:space="preserve">; </w:t>
      </w:r>
      <w:hyperlink r:id="rId17628">
        <w:r>
          <w:rPr>
            <w:color w:val="0000EE"/>
            <w:u w:val="single"/>
          </w:rPr>
          <w:t>João 2.19–21</w:t>
        </w:r>
      </w:hyperlink>
      <w:r>
        <w:t>)</w:t>
      </w:r>
    </w:p>
    <w:p>
      <w:pPr>
        <w:pStyle w:val="ListNumber"/>
        <w:spacing w:line="240" w:lineRule="auto"/>
        <w:ind w:left="720"/>
      </w:pPr>
      <w:r/>
      <w:r>
        <w:t>Predições da vinda do Filho do Homem (</w:t>
      </w:r>
      <w:hyperlink r:id="rId17629">
        <w:r>
          <w:rPr>
            <w:color w:val="0000EE"/>
            <w:u w:val="single"/>
          </w:rPr>
          <w:t>Mateus 10.23,32–33</w:t>
        </w:r>
      </w:hyperlink>
      <w:r>
        <w:t xml:space="preserve">; </w:t>
      </w:r>
      <w:hyperlink r:id="rId1881">
        <w:r>
          <w:rPr>
            <w:color w:val="0000EE"/>
            <w:u w:val="single"/>
          </w:rPr>
          <w:t>12.40</w:t>
        </w:r>
      </w:hyperlink>
      <w:r>
        <w:t xml:space="preserve">; </w:t>
      </w:r>
      <w:hyperlink r:id="rId17630">
        <w:r>
          <w:rPr>
            <w:color w:val="0000EE"/>
            <w:u w:val="single"/>
          </w:rPr>
          <w:t>13.40–41</w:t>
        </w:r>
      </w:hyperlink>
      <w:r>
        <w:t xml:space="preserve">; </w:t>
      </w:r>
      <w:hyperlink r:id="rId9405">
        <w:r>
          <w:rPr>
            <w:color w:val="0000EE"/>
            <w:u w:val="single"/>
          </w:rPr>
          <w:t>16.27</w:t>
        </w:r>
      </w:hyperlink>
      <w:r>
        <w:t xml:space="preserve">; </w:t>
      </w:r>
      <w:hyperlink r:id="rId9435">
        <w:r>
          <w:rPr>
            <w:color w:val="0000EE"/>
            <w:u w:val="single"/>
          </w:rPr>
          <w:t>24.27,37–39</w:t>
        </w:r>
      </w:hyperlink>
      <w:r>
        <w:t xml:space="preserve">; </w:t>
      </w:r>
      <w:hyperlink r:id="rId467">
        <w:r>
          <w:rPr>
            <w:color w:val="0000EE"/>
            <w:u w:val="single"/>
          </w:rPr>
          <w:t>Marcos 8:38</w:t>
        </w:r>
      </w:hyperlink>
      <w:r>
        <w:t xml:space="preserve">; </w:t>
      </w:r>
      <w:hyperlink r:id="rId11829">
        <w:r>
          <w:rPr>
            <w:color w:val="0000EE"/>
            <w:u w:val="single"/>
          </w:rPr>
          <w:t>13.26–27</w:t>
        </w:r>
      </w:hyperlink>
      <w:r>
        <w:t xml:space="preserve">; </w:t>
      </w:r>
      <w:hyperlink r:id="rId4778">
        <w:r>
          <w:rPr>
            <w:color w:val="0000EE"/>
            <w:u w:val="single"/>
          </w:rPr>
          <w:t>14.62</w:t>
        </w:r>
      </w:hyperlink>
      <w:r>
        <w:t xml:space="preserve">; </w:t>
      </w:r>
      <w:hyperlink r:id="rId9431">
        <w:r>
          <w:rPr>
            <w:color w:val="0000EE"/>
            <w:u w:val="single"/>
          </w:rPr>
          <w:t>Lucas 9.26</w:t>
        </w:r>
      </w:hyperlink>
      <w:r>
        <w:t xml:space="preserve">; </w:t>
      </w:r>
      <w:hyperlink r:id="rId9430">
        <w:r>
          <w:rPr>
            <w:color w:val="0000EE"/>
            <w:u w:val="single"/>
          </w:rPr>
          <w:t>11.30</w:t>
        </w:r>
      </w:hyperlink>
      <w:r>
        <w:t xml:space="preserve">; </w:t>
      </w:r>
      <w:hyperlink r:id="rId17631">
        <w:r>
          <w:rPr>
            <w:color w:val="0000EE"/>
            <w:u w:val="single"/>
          </w:rPr>
          <w:t>12.8–9</w:t>
        </w:r>
      </w:hyperlink>
      <w:r>
        <w:t xml:space="preserve">; </w:t>
      </w:r>
      <w:hyperlink r:id="rId9438">
        <w:r>
          <w:rPr>
            <w:color w:val="0000EE"/>
            <w:u w:val="single"/>
          </w:rPr>
          <w:t>17.24,26</w:t>
        </w:r>
      </w:hyperlink>
      <w:r>
        <w:t>)</w:t>
      </w:r>
    </w:p>
    <w:p>
      <w:pPr>
        <w:pStyle w:val="ListNumber"/>
        <w:spacing w:line="240" w:lineRule="auto"/>
        <w:ind w:left="720"/>
      </w:pPr>
      <w:r/>
      <w:r>
        <w:t xml:space="preserve">Predições do fim dos tempos. A seção profética mais longa nos evangelhos é o discurso de Jesus sobre o fim dos tempos em </w:t>
      </w:r>
      <w:hyperlink r:id="rId17632">
        <w:r>
          <w:rPr>
            <w:color w:val="0000EE"/>
            <w:u w:val="single"/>
          </w:rPr>
          <w:t>Marcos 13.1–32</w:t>
        </w:r>
      </w:hyperlink>
      <w:r>
        <w:t xml:space="preserve"> (compare </w:t>
      </w:r>
      <w:hyperlink r:id="rId17633">
        <w:r>
          <w:rPr>
            <w:color w:val="0000EE"/>
            <w:u w:val="single"/>
          </w:rPr>
          <w:t>Mateus 24.1–36</w:t>
        </w:r>
      </w:hyperlink>
      <w:r>
        <w:t xml:space="preserve">; </w:t>
      </w:r>
      <w:hyperlink r:id="rId2080">
        <w:r>
          <w:rPr>
            <w:color w:val="0000EE"/>
            <w:u w:val="single"/>
          </w:rPr>
          <w:t>Lucas 21.5–33</w:t>
        </w:r>
      </w:hyperlink>
      <w:r>
        <w:t>). Uma série de predições sobre a destruição de Jerusalém e o fim dos tempos são tecidas em um longo sermão aos discípulos.</w:t>
      </w:r>
    </w:p>
    <w:p>
      <w:pPr>
        <w:pStyle w:val="Heading4"/>
      </w:pPr>
      <w:r>
        <w:t>Profecia como uma dádiva para os crentes</w:t>
      </w:r>
    </w:p>
    <w:p>
      <w:r/>
      <w:r>
        <w:t>De acordo com Atos, o início da atividade profética no cristianismo primitivo coincidiu com o derramamento do Espírito Santo sobre os primeiros cristãos no Dia de Pentecostes (</w:t>
      </w:r>
      <w:hyperlink r:id="rId17634">
        <w:r>
          <w:rPr>
            <w:color w:val="0000EE"/>
            <w:u w:val="single"/>
          </w:rPr>
          <w:t>Atos 2.1–21</w:t>
        </w:r>
      </w:hyperlink>
      <w:r>
        <w:t>). O sermão de Pedro no Dia de Pentecostes indica que o derramamento do Espírito cumpriu a profecia de Joel (</w:t>
      </w:r>
      <w:hyperlink r:id="rId3269">
        <w:r>
          <w:rPr>
            <w:color w:val="0000EE"/>
            <w:u w:val="single"/>
          </w:rPr>
          <w:t>Atos 2.4,17–21</w:t>
        </w:r>
      </w:hyperlink>
      <w:r>
        <w:t xml:space="preserve">; compare </w:t>
      </w:r>
      <w:hyperlink r:id="rId845">
        <w:r>
          <w:rPr>
            <w:color w:val="0000EE"/>
            <w:u w:val="single"/>
          </w:rPr>
          <w:t>Joel 2.28–32</w:t>
        </w:r>
      </w:hyperlink>
      <w:r>
        <w:t>). Além disso, uma vez que o Espírito havia sido derramado sobre todos os primeiros cristãos (esse Espírito sendo um Espírito de profecia), todos são profetas reais ou potenciais.</w:t>
      </w:r>
    </w:p>
    <w:p>
      <w:r/>
      <w:r>
        <w:t xml:space="preserve">De acordo com </w:t>
      </w:r>
      <w:hyperlink r:id="rId2279">
        <w:r>
          <w:rPr>
            <w:color w:val="0000EE"/>
            <w:u w:val="single"/>
          </w:rPr>
          <w:t>1 Coríntios 12.28</w:t>
        </w:r>
      </w:hyperlink>
      <w:r>
        <w:t xml:space="preserve"> (veja também </w:t>
      </w:r>
      <w:hyperlink r:id="rId6024">
        <w:r>
          <w:rPr>
            <w:color w:val="0000EE"/>
            <w:u w:val="single"/>
          </w:rPr>
          <w:t>Romanos 12.6</w:t>
        </w:r>
      </w:hyperlink>
      <w:r>
        <w:t xml:space="preserve">; </w:t>
      </w:r>
      <w:hyperlink r:id="rId3778">
        <w:r>
          <w:rPr>
            <w:color w:val="0000EE"/>
            <w:u w:val="single"/>
          </w:rPr>
          <w:t>Efésios 4.11</w:t>
        </w:r>
      </w:hyperlink>
      <w:r>
        <w:t>), Deus nomeou na igreja, primeiro os apóstolos, segundo os profetas e terceiro os mestres. Os nomes de vários profetas cristãos primitivos foram preservados. Esses incluem Ágabo (</w:t>
      </w:r>
      <w:hyperlink r:id="rId481">
        <w:r>
          <w:rPr>
            <w:color w:val="0000EE"/>
            <w:u w:val="single"/>
          </w:rPr>
          <w:t>Atos 11.27–28</w:t>
        </w:r>
      </w:hyperlink>
      <w:r>
        <w:t xml:space="preserve">; </w:t>
      </w:r>
      <w:hyperlink r:id="rId482">
        <w:r>
          <w:rPr>
            <w:color w:val="0000EE"/>
            <w:u w:val="single"/>
          </w:rPr>
          <w:t>21.10–11</w:t>
        </w:r>
      </w:hyperlink>
      <w:r>
        <w:t>); Judas e Silas (</w:t>
      </w:r>
      <w:hyperlink r:id="rId17635">
        <w:r>
          <w:rPr>
            <w:color w:val="0000EE"/>
            <w:u w:val="single"/>
          </w:rPr>
          <w:t>15.32</w:t>
        </w:r>
      </w:hyperlink>
      <w:r>
        <w:t>); Barnabé, Simeão Níger, Lúcio de Cirene, Manaém e Paulo (</w:t>
      </w:r>
      <w:hyperlink r:id="rId4994">
        <w:r>
          <w:rPr>
            <w:color w:val="0000EE"/>
            <w:u w:val="single"/>
          </w:rPr>
          <w:t>13.1</w:t>
        </w:r>
      </w:hyperlink>
      <w:r>
        <w:t>); e as quatro filhas virgens de Filipe, o evangelista (</w:t>
      </w:r>
      <w:hyperlink r:id="rId9460">
        <w:r>
          <w:rPr>
            <w:color w:val="0000EE"/>
            <w:u w:val="single"/>
          </w:rPr>
          <w:t>21.8–9</w:t>
        </w:r>
      </w:hyperlink>
      <w:r>
        <w:t>). João, o autor de Apocalipse, certamente era um profeta (</w:t>
      </w:r>
      <w:hyperlink r:id="rId2021">
        <w:r>
          <w:rPr>
            <w:color w:val="0000EE"/>
            <w:u w:val="single"/>
          </w:rPr>
          <w:t>Apocalipse 1.3</w:t>
        </w:r>
      </w:hyperlink>
      <w:r>
        <w:t xml:space="preserve">; </w:t>
      </w:r>
      <w:hyperlink r:id="rId17636">
        <w:r>
          <w:rPr>
            <w:color w:val="0000EE"/>
            <w:u w:val="single"/>
          </w:rPr>
          <w:t>22.9,18</w:t>
        </w:r>
      </w:hyperlink>
      <w:r>
        <w:t>), embora ele nunca tenha assumido diretamente esse título.</w:t>
      </w:r>
    </w:p>
    <w:p>
      <w:pPr>
        <w:pStyle w:val="Heading3"/>
      </w:pPr>
      <w:r>
        <w:t>O papel do profeta cristão</w:t>
      </w:r>
    </w:p>
    <w:p>
      <w:r/>
      <w:r>
        <w:t>Os profetas cristãos eram líderes nas primeiras comunidades cristãs (</w:t>
      </w:r>
      <w:hyperlink r:id="rId2279">
        <w:r>
          <w:rPr>
            <w:color w:val="0000EE"/>
            <w:u w:val="single"/>
          </w:rPr>
          <w:t>1 Coríntios 12.28</w:t>
        </w:r>
      </w:hyperlink>
      <w:r>
        <w:t xml:space="preserve">; </w:t>
      </w:r>
      <w:hyperlink r:id="rId3778">
        <w:r>
          <w:rPr>
            <w:color w:val="0000EE"/>
            <w:u w:val="single"/>
          </w:rPr>
          <w:t>Efésios 4.11</w:t>
        </w:r>
      </w:hyperlink>
      <w:r>
        <w:t>), que exerciam seu dom [de profecia] nas reuniões da igreja (</w:t>
      </w:r>
      <w:hyperlink r:id="rId1417">
        <w:r>
          <w:rPr>
            <w:color w:val="0000EE"/>
            <w:u w:val="single"/>
          </w:rPr>
          <w:t>Atos 13.1–3</w:t>
        </w:r>
      </w:hyperlink>
      <w:r>
        <w:t xml:space="preserve">; </w:t>
      </w:r>
      <w:hyperlink r:id="rId481">
        <w:r>
          <w:rPr>
            <w:color w:val="0000EE"/>
            <w:u w:val="single"/>
          </w:rPr>
          <w:t>11.27–28</w:t>
        </w:r>
      </w:hyperlink>
      <w:r>
        <w:t xml:space="preserve">; </w:t>
      </w:r>
      <w:hyperlink r:id="rId5827">
        <w:r>
          <w:rPr>
            <w:color w:val="0000EE"/>
            <w:u w:val="single"/>
          </w:rPr>
          <w:t>1 Coríntios 12–14</w:t>
        </w:r>
      </w:hyperlink>
      <w:r>
        <w:t xml:space="preserve">; </w:t>
      </w:r>
      <w:hyperlink r:id="rId8439">
        <w:r>
          <w:rPr>
            <w:color w:val="0000EE"/>
            <w:u w:val="single"/>
          </w:rPr>
          <w:t>Apocalipse 1.10</w:t>
        </w:r>
      </w:hyperlink>
      <w:r>
        <w:t>). Uma vez que o Espírito de Deus era especialmente ativo na adoração cristã, a profecia era um importante meio pelo qual Deus se comunicava com seu povo. Profetas, como apóstolos e mestres, não tinham ofícios em comunidades locais como bispos, presbíteros e diáconos. Em vez disso, eles eram escolhidos, não por congregações individuais, mas por comissão divina. Por isso, eles eram honrados e aceitos em todas as comunidades locais.</w:t>
      </w:r>
    </w:p>
    <w:p>
      <w:r/>
      <w:r>
        <w:t>Os primeiros profetas cristãos eram ambos itinerantes e também estabelecidos em comunidades. Profetas itinerantes [que viajam de um lugar para outro] parecem ter sido mais prevalentes na Síria Palestina e Ásia Menor do que nas igrejas europeias.</w:t>
      </w:r>
    </w:p>
    <w:p>
      <w:pPr>
        <w:pStyle w:val="Heading4"/>
      </w:pPr>
      <w:r>
        <w:t>A função da profecia</w:t>
      </w:r>
    </w:p>
    <w:p>
      <w:r/>
      <w:r>
        <w:t xml:space="preserve">De acordo com Paulo, o propósito central da profecia (como de todos os outros dons espirituais) é o de fortalecer ou edificar a igreja. De acordo com </w:t>
      </w:r>
      <w:hyperlink r:id="rId8849">
        <w:r>
          <w:rPr>
            <w:color w:val="0000EE"/>
            <w:u w:val="single"/>
          </w:rPr>
          <w:t>1 Coríntios 14.3</w:t>
        </w:r>
      </w:hyperlink>
      <w:r>
        <w:t xml:space="preserve">, alguém “que profetiza fala aos homens para sua edificação, encorajamento e conforto”. Novamente, em </w:t>
      </w:r>
      <w:hyperlink r:id="rId17637">
        <w:r>
          <w:rPr>
            <w:color w:val="0000EE"/>
            <w:u w:val="single"/>
          </w:rPr>
          <w:t>1 Coríntios 14.4</w:t>
        </w:r>
      </w:hyperlink>
      <w:r>
        <w:t>, Paulo afirma que “aquele que falar em língua edifica a si mesmo, mas aquele que profetiza edifica a igreja”. Paulo abordou o assunto dos dons espirituais, especialmente profecia e falar em línguas, porque os coríntios haviam colocado uma ênfase excessiva no falar em línguas. Paulo não se opôs a falar em línguas (</w:t>
      </w:r>
      <w:hyperlink r:id="rId5839">
        <w:r>
          <w:rPr>
            <w:color w:val="0000EE"/>
            <w:u w:val="single"/>
          </w:rPr>
          <w:t>1 Coríntios 14.18,39</w:t>
        </w:r>
      </w:hyperlink>
      <w:r>
        <w:t>), mas ele apontou que a igreja não poderia ser edificada por isso, porque era geralmente incompreensível. A profecia, que consistia em uma fala compreensível inspirada pelo Espírito Santo, contribuía para a edificação, encorajamento e consolação mútua de todos presentes (</w:t>
      </w:r>
      <w:hyperlink r:id="rId17638">
        <w:r>
          <w:rPr>
            <w:color w:val="0000EE"/>
            <w:u w:val="single"/>
          </w:rPr>
          <w:t>1 Coríntios 14.20–25,39</w:t>
        </w:r>
      </w:hyperlink>
      <w:r>
        <w:t>).</w:t>
      </w:r>
    </w:p>
    <w:p>
      <w:pPr>
        <w:pStyle w:val="Heading4"/>
      </w:pPr>
      <w:r>
        <w:t>O conteúdo da profecia cristã</w:t>
      </w:r>
    </w:p>
    <w:p>
      <w:r/>
      <w:r>
        <w:t>Sabemos apenas um pouco sobre o conteúdo das profecias dadas na igreja do primeiro século. As profecias ocasionalmente forneciam orientação divina na tomada de decisões importantes no cristianismo primitivo. Através de uma mensagem profética, Paulo e Barnabé foram selecionados para uma missão específica (</w:t>
      </w:r>
      <w:hyperlink r:id="rId1417">
        <w:r>
          <w:rPr>
            <w:color w:val="0000EE"/>
            <w:u w:val="single"/>
          </w:rPr>
          <w:t>Atos 13.1–3</w:t>
        </w:r>
      </w:hyperlink>
      <w:r>
        <w:t xml:space="preserve">; compare </w:t>
      </w:r>
      <w:hyperlink r:id="rId15895">
        <w:r>
          <w:rPr>
            <w:color w:val="0000EE"/>
            <w:u w:val="single"/>
          </w:rPr>
          <w:t>1 Timóteo 1.18</w:t>
        </w:r>
      </w:hyperlink>
      <w:r>
        <w:t xml:space="preserve">; </w:t>
      </w:r>
      <w:hyperlink r:id="rId13794">
        <w:r>
          <w:rPr>
            <w:color w:val="0000EE"/>
            <w:u w:val="single"/>
          </w:rPr>
          <w:t>4.14</w:t>
        </w:r>
      </w:hyperlink>
      <w:r>
        <w:t>). Provavelmente, por uma profecia, Paulo e Timóteo foram proibidos de pregar o evangelho na Ásia (</w:t>
      </w:r>
      <w:hyperlink r:id="rId4336">
        <w:r>
          <w:rPr>
            <w:color w:val="0000EE"/>
            <w:u w:val="single"/>
          </w:rPr>
          <w:t>Atos 16.6</w:t>
        </w:r>
      </w:hyperlink>
      <w:r>
        <w:t xml:space="preserve">). Eles foram igualmente proibidos pelo Espírito de Jesus de entrar na Bitínia (verso </w:t>
      </w:r>
      <w:hyperlink r:id="rId3797">
        <w:r>
          <w:rPr>
            <w:color w:val="0000EE"/>
            <w:u w:val="single"/>
          </w:rPr>
          <w:t>7</w:t>
        </w:r>
      </w:hyperlink>
      <w:r>
        <w:t>).</w:t>
      </w:r>
    </w:p>
    <w:p>
      <w:r/>
      <w:r>
        <w:t>Talvez o uso mais frequente da profecia seja a predição do futuro. Ágabo predisse uma fome universal (</w:t>
      </w:r>
      <w:hyperlink r:id="rId2857">
        <w:r>
          <w:rPr>
            <w:color w:val="0000EE"/>
            <w:u w:val="single"/>
          </w:rPr>
          <w:t>11.28</w:t>
        </w:r>
      </w:hyperlink>
      <w:r>
        <w:t>) e a prisão iminente de Paulo (</w:t>
      </w:r>
      <w:hyperlink r:id="rId12414">
        <w:r>
          <w:rPr>
            <w:color w:val="0000EE"/>
            <w:u w:val="single"/>
          </w:rPr>
          <w:t>21.11</w:t>
        </w:r>
      </w:hyperlink>
      <w:r>
        <w:t>). Outros profetas também haviam predito sua prisão iminente (</w:t>
      </w:r>
      <w:hyperlink r:id="rId17639">
        <w:r>
          <w:rPr>
            <w:color w:val="0000EE"/>
            <w:u w:val="single"/>
          </w:rPr>
          <w:t>20.23</w:t>
        </w:r>
      </w:hyperlink>
      <w:r>
        <w:t>). As profecias contidas no Apocalipse de João são todas orientadas para os eventos futuros que se desenrolarão gradualmente nos últimos dias. No entanto, o propósito da profecia elaborada de João não é satisfazer a curiosidade de seu público, mas sim confortá-los e encorajá-los enquanto eles passam por perseguição.</w:t>
      </w:r>
    </w:p>
    <w:p>
      <w:pPr>
        <w:pStyle w:val="Heading4"/>
      </w:pPr>
      <w:r>
        <w:t>A forma de profecia cristã</w:t>
      </w:r>
    </w:p>
    <w:p>
      <w:r/>
      <w:r>
        <w:t>Ao contrário dos profetas do Antigo Testamento, os profetas cristãos nem sempre apresentavam sua mensagem na forma de uma fala direta de Deus ou Jesus. Há poucos, se houver, indicadores formais da presença de discurso profético na literatura cristã primitiva. O livro de Apocalipse é uma exceção notável.</w:t>
      </w:r>
    </w:p>
    <w:p>
      <w:r/>
      <w:r>
        <w:rPr>
          <w:i/>
        </w:rPr>
        <w:t>Veja também</w:t>
      </w:r>
      <w:r>
        <w:t xml:space="preserve"> </w:t>
      </w:r>
      <w:r>
        <w:t>Sonhos</w:t>
      </w:r>
      <w:r>
        <w:t xml:space="preserve">; </w:t>
      </w:r>
      <w:r>
        <w:t>Oráculo</w:t>
      </w:r>
      <w:r>
        <w:t xml:space="preserve">; </w:t>
      </w:r>
      <w:r>
        <w:t>Promessa</w:t>
      </w:r>
      <w:r>
        <w:t xml:space="preserve">; </w:t>
      </w:r>
      <w:r>
        <w:t>Profeta, Profetisa</w:t>
      </w:r>
      <w:r>
        <w:t xml:space="preserve">; </w:t>
      </w:r>
      <w:r>
        <w:t>Profetas, Falsos</w:t>
      </w:r>
      <w:r>
        <w:t xml:space="preserve">; </w:t>
      </w:r>
      <w:r>
        <w:t>Visões</w:t>
      </w:r>
      <w:r>
        <w:t>.</w:t>
      </w:r>
      <w:r/>
      <w:r/>
    </w:p>
    <w:p>
      <w:r/>
    </w:p>
    <w:p>
      <w:pPr>
        <w:pStyle w:val="Heading2"/>
      </w:pPr>
      <w:r>
        <w:t>Profeta, Profetisa</w:t>
      </w:r>
      <w:r/>
    </w:p>
    <w:p>
      <w:r/>
      <w:r>
        <w:t>Um homem ou mulher escolhido por Deus para falar por ele e predizer eventos no plano divino.</w:t>
      </w:r>
    </w:p>
    <w:p>
      <w:r/>
      <w:r>
        <w:t>Resumo</w:t>
      </w:r>
    </w:p>
    <w:p>
      <w:r/>
      <w:r>
        <w:t>• Introdução</w:t>
      </w:r>
    </w:p>
    <w:p>
      <w:r/>
      <w:r>
        <w:t>• Os títulos e história dos profetas</w:t>
      </w:r>
    </w:p>
    <w:p>
      <w:r/>
      <w:r>
        <w:t>• Inspiração</w:t>
      </w:r>
    </w:p>
    <w:p>
      <w:r/>
      <w:r>
        <w:t>• Verdadeiros e falsos profetas</w:t>
      </w:r>
    </w:p>
    <w:p>
      <w:r/>
      <w:r>
        <w:t>• A função do profeta</w:t>
      </w:r>
    </w:p>
    <w:p>
      <w:r/>
      <w:r>
        <w:t>• Métodos de comunicação</w:t>
      </w:r>
    </w:p>
    <w:p>
      <w:pPr>
        <w:pStyle w:val="Heading3"/>
      </w:pPr>
      <w:r>
        <w:t>Introdução</w:t>
      </w:r>
    </w:p>
    <w:p>
      <w:r/>
      <w:r>
        <w:t>Quando Jesus ressuscitou o filho da viúva dos mortos, os espectadores responderam dizendo: “Um grande profeta surgiu entre nós!” (</w:t>
      </w:r>
      <w:hyperlink r:id="rId6125">
        <w:r>
          <w:rPr>
            <w:color w:val="0000EE"/>
            <w:u w:val="single"/>
          </w:rPr>
          <w:t>Lc 7.16</w:t>
        </w:r>
      </w:hyperlink>
      <w:r>
        <w:t xml:space="preserve">; cf. </w:t>
      </w:r>
      <w:hyperlink r:id="rId14121">
        <w:r>
          <w:rPr>
            <w:color w:val="0000EE"/>
            <w:u w:val="single"/>
          </w:rPr>
          <w:t>Mc 6.15</w:t>
        </w:r>
      </w:hyperlink>
      <w:r>
        <w:t xml:space="preserve">; </w:t>
      </w:r>
      <w:hyperlink r:id="rId14122">
        <w:r>
          <w:rPr>
            <w:color w:val="0000EE"/>
            <w:u w:val="single"/>
          </w:rPr>
          <w:t>8.28</w:t>
        </w:r>
      </w:hyperlink>
      <w:r>
        <w:t>). No pensamento religioso judaico, os acontecimentos religiosos mais vívidos e formativos encontravam seu foco no chamado e ministério de um profeta, através de quem Deus comunicava sua palavra ao seu povo. Em sua avaliação de Jesus, as pessoas estavam de fato mais corretas do que sabiam, pois nele Deus os havia na realidade visitado e ele, embora muito mais do que um profeta, era de fato a coroa e o clímax da ordem profética preditos por Moisés (</w:t>
      </w:r>
      <w:hyperlink r:id="rId17640">
        <w:r>
          <w:rPr>
            <w:color w:val="0000EE"/>
            <w:u w:val="single"/>
          </w:rPr>
          <w:t>Dt 18.15–19</w:t>
        </w:r>
      </w:hyperlink>
      <w:r>
        <w:t>).</w:t>
      </w:r>
    </w:p>
    <w:p>
      <w:pPr>
        <w:pStyle w:val="Heading3"/>
      </w:pPr>
      <w:r>
        <w:t>Os títulos e história dos profetas</w:t>
      </w:r>
    </w:p>
    <w:p>
      <w:r/>
      <w:r>
        <w:t xml:space="preserve">As principais palavras usadas para descrever tais indivíduos no AT são “profeta” (veja </w:t>
      </w:r>
      <w:hyperlink r:id="rId12488">
        <w:r>
          <w:rPr>
            <w:color w:val="0000EE"/>
            <w:u w:val="single"/>
          </w:rPr>
          <w:t>Jz 6.8</w:t>
        </w:r>
      </w:hyperlink>
      <w:r>
        <w:t xml:space="preserve">), “homem de Deus” (veja </w:t>
      </w:r>
      <w:hyperlink r:id="rId17641">
        <w:r>
          <w:rPr>
            <w:color w:val="0000EE"/>
            <w:u w:val="single"/>
          </w:rPr>
          <w:t>2Rs 4.9</w:t>
        </w:r>
      </w:hyperlink>
      <w:r>
        <w:t xml:space="preserve">) e “vidente” (veja </w:t>
      </w:r>
      <w:hyperlink r:id="rId17642">
        <w:r>
          <w:rPr>
            <w:color w:val="0000EE"/>
            <w:u w:val="single"/>
          </w:rPr>
          <w:t>1Sm 9.9</w:t>
        </w:r>
      </w:hyperlink>
      <w:r>
        <w:t xml:space="preserve">; </w:t>
      </w:r>
      <w:hyperlink r:id="rId17542">
        <w:r>
          <w:rPr>
            <w:color w:val="0000EE"/>
            <w:u w:val="single"/>
          </w:rPr>
          <w:t>2Sm 24.11</w:t>
        </w:r>
      </w:hyperlink>
      <w:r>
        <w:t>).</w:t>
      </w:r>
    </w:p>
    <w:p>
      <w:r/>
      <w:r>
        <w:t xml:space="preserve">A palavra traduzida “profeta” parece ter a ideia de “chamado” como sua primeira ênfase: Deus toma a iniciativa, seleciona, convoca e envia o profeta (p. ex., </w:t>
      </w:r>
      <w:hyperlink r:id="rId17643">
        <w:r>
          <w:rPr>
            <w:color w:val="0000EE"/>
            <w:u w:val="single"/>
          </w:rPr>
          <w:t>Jr 1.4–5</w:t>
        </w:r>
      </w:hyperlink>
      <w:r>
        <w:t xml:space="preserve">; </w:t>
      </w:r>
      <w:hyperlink r:id="rId15887">
        <w:r>
          <w:rPr>
            <w:color w:val="0000EE"/>
            <w:u w:val="single"/>
          </w:rPr>
          <w:t>7.25</w:t>
        </w:r>
      </w:hyperlink>
      <w:r>
        <w:t xml:space="preserve">; </w:t>
      </w:r>
      <w:hyperlink r:id="rId5248">
        <w:r>
          <w:rPr>
            <w:color w:val="0000EE"/>
            <w:u w:val="single"/>
          </w:rPr>
          <w:t>Am 7.14</w:t>
        </w:r>
      </w:hyperlink>
      <w:r>
        <w:t>). “Homem de Deus” fala do relacionamento para o qual o profeta é trazido por seu chamado: ele é agora “o homem de Deus” e é reconhecido como pertencendo a ele (</w:t>
      </w:r>
      <w:hyperlink r:id="rId17641">
        <w:r>
          <w:rPr>
            <w:color w:val="0000EE"/>
            <w:u w:val="single"/>
          </w:rPr>
          <w:t>2Rs 4.9</w:t>
        </w:r>
      </w:hyperlink>
      <w:r>
        <w:t>). “Vidente” indica os novos e notáveis poderes de percepção concedidos ao profeta. Em hebraico, como em português, o verbo comum “ver” é usado também como compreensão (“Eu vejo o que você quer dizer”) e do poder da percepção sobre a natureza e o significado das coisas (“Ele vê as coisas muito claramente”). No caso dos profetas, seus poderes de “percepção” eram elevados muito acima do normal porque o Senhor os inspirava a se tornarem veículos de sua mensagem.</w:t>
      </w:r>
    </w:p>
    <w:p>
      <w:r/>
      <w:r>
        <w:t>A linhagem de grandes profetas sobre os ombros dos quais a história do AT avança começou com Moisés, que é reconhecido como o profeta por excelência (</w:t>
      </w:r>
      <w:hyperlink r:id="rId14773">
        <w:r>
          <w:rPr>
            <w:color w:val="0000EE"/>
            <w:u w:val="single"/>
          </w:rPr>
          <w:t>Dt 34.10</w:t>
        </w:r>
      </w:hyperlink>
      <w:r>
        <w:t>). Esta era uma percepção correta, pois todas as marcas distintivas de um profeta pertenciam a Moisés: o chamado (</w:t>
      </w:r>
      <w:hyperlink r:id="rId17565">
        <w:r>
          <w:rPr>
            <w:color w:val="0000EE"/>
            <w:u w:val="single"/>
          </w:rPr>
          <w:t>Êx 3.1–4.17</w:t>
        </w:r>
      </w:hyperlink>
      <w:r>
        <w:t xml:space="preserve">; cf. </w:t>
      </w:r>
      <w:hyperlink r:id="rId1938">
        <w:r>
          <w:rPr>
            <w:color w:val="0000EE"/>
            <w:u w:val="single"/>
          </w:rPr>
          <w:t>Is 6</w:t>
        </w:r>
      </w:hyperlink>
      <w:r>
        <w:t xml:space="preserve">; </w:t>
      </w:r>
      <w:hyperlink r:id="rId17644">
        <w:r>
          <w:rPr>
            <w:color w:val="0000EE"/>
            <w:u w:val="single"/>
          </w:rPr>
          <w:t>Jr 1.4–19</w:t>
        </w:r>
      </w:hyperlink>
      <w:r>
        <w:t xml:space="preserve">; </w:t>
      </w:r>
      <w:hyperlink r:id="rId17645">
        <w:r>
          <w:rPr>
            <w:color w:val="0000EE"/>
            <w:u w:val="single"/>
          </w:rPr>
          <w:t>Ez 1–3</w:t>
        </w:r>
      </w:hyperlink>
      <w:r>
        <w:t xml:space="preserve">; </w:t>
      </w:r>
      <w:hyperlink r:id="rId15999">
        <w:r>
          <w:rPr>
            <w:color w:val="0000EE"/>
            <w:u w:val="single"/>
          </w:rPr>
          <w:t>Os 1.2</w:t>
        </w:r>
      </w:hyperlink>
      <w:r>
        <w:t xml:space="preserve">; </w:t>
      </w:r>
      <w:hyperlink r:id="rId17569">
        <w:r>
          <w:rPr>
            <w:color w:val="0000EE"/>
            <w:u w:val="single"/>
          </w:rPr>
          <w:t>Am 7.14–15</w:t>
        </w:r>
      </w:hyperlink>
      <w:r>
        <w:t>), a consciência da importância dos eventos históricos como os atos de Deus nos quais ele confirmou sua palavra (</w:t>
      </w:r>
      <w:hyperlink r:id="rId13097">
        <w:r>
          <w:rPr>
            <w:color w:val="0000EE"/>
            <w:u w:val="single"/>
          </w:rPr>
          <w:t>Êx 3.12</w:t>
        </w:r>
      </w:hyperlink>
      <w:r>
        <w:t xml:space="preserve">; </w:t>
      </w:r>
      <w:hyperlink r:id="rId13105">
        <w:r>
          <w:rPr>
            <w:color w:val="0000EE"/>
            <w:u w:val="single"/>
          </w:rPr>
          <w:t>4.21–23</w:t>
        </w:r>
      </w:hyperlink>
      <w:r>
        <w:t>), interesse ético e social (</w:t>
      </w:r>
      <w:hyperlink r:id="rId17646">
        <w:r>
          <w:rPr>
            <w:color w:val="0000EE"/>
            <w:u w:val="single"/>
          </w:rPr>
          <w:t>2.11–13</w:t>
        </w:r>
      </w:hyperlink>
      <w:r>
        <w:t xml:space="preserve">) e representatividade dos indefesos (v. </w:t>
      </w:r>
      <w:hyperlink r:id="rId17647">
        <w:r>
          <w:rPr>
            <w:color w:val="0000EE"/>
            <w:u w:val="single"/>
          </w:rPr>
          <w:t>17</w:t>
        </w:r>
      </w:hyperlink>
      <w:r>
        <w:t>).</w:t>
      </w:r>
    </w:p>
    <w:p>
      <w:r/>
      <w:r>
        <w:t xml:space="preserve">Mas o comentário em </w:t>
      </w:r>
      <w:hyperlink r:id="rId14773">
        <w:r>
          <w:rPr>
            <w:color w:val="0000EE"/>
            <w:u w:val="single"/>
          </w:rPr>
          <w:t>Dt 34.10</w:t>
        </w:r>
      </w:hyperlink>
      <w:r>
        <w:t xml:space="preserve"> não apenas olha para trás para a grandeza de Moisés, mas também espera a vinda de um profeta como Moisés. Isso está de acordo com sua própria predição (</w:t>
      </w:r>
      <w:hyperlink r:id="rId17640">
        <w:r>
          <w:rPr>
            <w:color w:val="0000EE"/>
            <w:u w:val="single"/>
          </w:rPr>
          <w:t>Dt 18.15–19</w:t>
        </w:r>
      </w:hyperlink>
      <w:r>
        <w:t>), que, sem dúvida, antecipa um único e grande profeta individual. Moisés faz uma comparação impressionante consigo mesmo — o profeta que vem desempenhará exatamente um papel como Moisés desempenhou no Monte Sinai (</w:t>
      </w:r>
      <w:hyperlink r:id="rId17648">
        <w:r>
          <w:rPr>
            <w:color w:val="0000EE"/>
            <w:u w:val="single"/>
          </w:rPr>
          <w:t>Dt 18.16</w:t>
        </w:r>
      </w:hyperlink>
      <w:r>
        <w:t>). Nessa ocasião, Moisés agiu como o mediador profético da voz de Deus em um sentido único, pois no Sinai Deus moldou a antiga aliança em sua forma completa. Ao esperar um profeta feito neste molde, Moisés estava, portanto, ansiando por outro mediador da aliança, o próprio Jesus Cristo.</w:t>
      </w:r>
    </w:p>
    <w:p>
      <w:r/>
      <w:r>
        <w:t>A expectativa por este grande profeta foi mantida viva enquanto Deus continuava enviando profetas a seu povo. Em cada caso, tal profeta era conhecido por ser verdadeiro por sua semelhança com Moisés; em cada caso ele seria visto com emoção pelos crentes genuínos para ver se ele era o grande que viria finalmente. Nesta luz, podemos entender a emoção das pessoas que viram Jesus ressuscitar os mortos (</w:t>
      </w:r>
      <w:hyperlink r:id="rId6125">
        <w:r>
          <w:rPr>
            <w:color w:val="0000EE"/>
            <w:u w:val="single"/>
          </w:rPr>
          <w:t>Lc 7.16</w:t>
        </w:r>
      </w:hyperlink>
      <w:r>
        <w:t>).</w:t>
      </w:r>
    </w:p>
    <w:p>
      <w:r/>
      <w:r>
        <w:t>O AT menciona a existência de grupos proféticos, às vezes chamados de “escolas”. Eliseu claramente tinha tal grupo sob sua instrução (</w:t>
      </w:r>
      <w:hyperlink r:id="rId17649">
        <w:r>
          <w:rPr>
            <w:color w:val="0000EE"/>
            <w:u w:val="single"/>
          </w:rPr>
          <w:t>2Rs 6.1</w:t>
        </w:r>
      </w:hyperlink>
      <w:r>
        <w:t xml:space="preserve">), e “filhos dos profetas” (p. ex., </w:t>
      </w:r>
      <w:hyperlink r:id="rId17650">
        <w:r>
          <w:rPr>
            <w:color w:val="0000EE"/>
            <w:u w:val="single"/>
          </w:rPr>
          <w:t>2Rs 2.3,5</w:t>
        </w:r>
      </w:hyperlink>
      <w:r>
        <w:t xml:space="preserve">; </w:t>
      </w:r>
      <w:hyperlink r:id="rId5248">
        <w:r>
          <w:rPr>
            <w:color w:val="0000EE"/>
            <w:u w:val="single"/>
          </w:rPr>
          <w:t>Am 7.14</w:t>
        </w:r>
      </w:hyperlink>
      <w:r>
        <w:t xml:space="preserve">) provavelmente se refere a “profeta em treinamento” sob os cuidados de um profeta mestre. “Guildas” seria uma descrição melhor dos grupos em </w:t>
      </w:r>
      <w:hyperlink r:id="rId17651">
        <w:r>
          <w:rPr>
            <w:color w:val="0000EE"/>
            <w:u w:val="single"/>
          </w:rPr>
          <w:t>1Sm 10.5–11</w:t>
        </w:r>
      </w:hyperlink>
      <w:r>
        <w:t xml:space="preserve">. Tais grupos desfrutaram de uma adoração entusiasta e extática do Senhor, tocada com uma atividade marcante do Espírito de Deus. Mas no coração de sua devoção estava a “profecia” — isto é, uma declaração da verdade sobre o próprio Deus. Após este período inicial, os grupos proféticos parecem ter diminuído em significado (a julgar pelo desaparecimento de referências claras semelhantes às de 1Sm), e a mudança gradual de coisas de êxtase para um ministério mais direto da palavra poderia muito bem-estar por trás do comentário em </w:t>
      </w:r>
      <w:hyperlink r:id="rId17642">
        <w:r>
          <w:rPr>
            <w:color w:val="0000EE"/>
            <w:u w:val="single"/>
          </w:rPr>
          <w:t>1Sm 9: 9</w:t>
        </w:r>
      </w:hyperlink>
      <w:r>
        <w:t>.</w:t>
      </w:r>
    </w:p>
    <w:p>
      <w:pPr>
        <w:pStyle w:val="Heading3"/>
      </w:pPr>
      <w:r>
        <w:t>Inspiração</w:t>
      </w:r>
    </w:p>
    <w:p>
      <w:r/>
      <w:r>
        <w:t>O Espírito do Senhor cuja inspiração estava por trás das atividades dos grupos extáticos (</w:t>
      </w:r>
      <w:hyperlink r:id="rId15251">
        <w:r>
          <w:rPr>
            <w:color w:val="0000EE"/>
            <w:u w:val="single"/>
          </w:rPr>
          <w:t>1Sm 10.6,10</w:t>
        </w:r>
      </w:hyperlink>
      <w:r>
        <w:t xml:space="preserve">; </w:t>
      </w:r>
      <w:hyperlink r:id="rId17652">
        <w:r>
          <w:rPr>
            <w:color w:val="0000EE"/>
            <w:u w:val="single"/>
          </w:rPr>
          <w:t>19.20,23</w:t>
        </w:r>
      </w:hyperlink>
      <w:r>
        <w:t xml:space="preserve">) era ativo em todos os profetas, e a alegação de inspiração divina é claramente registrada de tempos em tempos (p. ex., </w:t>
      </w:r>
      <w:hyperlink r:id="rId17653">
        <w:r>
          <w:rPr>
            <w:color w:val="0000EE"/>
            <w:u w:val="single"/>
          </w:rPr>
          <w:t>1Rs 22.24</w:t>
        </w:r>
      </w:hyperlink>
      <w:r>
        <w:t xml:space="preserve">; </w:t>
      </w:r>
      <w:hyperlink r:id="rId17654">
        <w:r>
          <w:rPr>
            <w:color w:val="0000EE"/>
            <w:u w:val="single"/>
          </w:rPr>
          <w:t>Ne 9.30</w:t>
        </w:r>
      </w:hyperlink>
      <w:r>
        <w:t xml:space="preserve">; </w:t>
      </w:r>
      <w:hyperlink r:id="rId17655">
        <w:r>
          <w:rPr>
            <w:color w:val="0000EE"/>
            <w:u w:val="single"/>
          </w:rPr>
          <w:t>Os 9.7</w:t>
        </w:r>
      </w:hyperlink>
      <w:r>
        <w:t xml:space="preserve">; </w:t>
      </w:r>
      <w:hyperlink r:id="rId3272">
        <w:r>
          <w:rPr>
            <w:color w:val="0000EE"/>
            <w:u w:val="single"/>
          </w:rPr>
          <w:t>Jl 2.28–29</w:t>
        </w:r>
      </w:hyperlink>
      <w:r>
        <w:t xml:space="preserve">; </w:t>
      </w:r>
      <w:hyperlink r:id="rId17284">
        <w:r>
          <w:rPr>
            <w:color w:val="0000EE"/>
            <w:u w:val="single"/>
          </w:rPr>
          <w:t>Mq 3.8</w:t>
        </w:r>
      </w:hyperlink>
      <w:r>
        <w:t xml:space="preserve">; cf. </w:t>
      </w:r>
      <w:hyperlink r:id="rId17656">
        <w:r>
          <w:rPr>
            <w:color w:val="0000EE"/>
            <w:u w:val="single"/>
          </w:rPr>
          <w:t>1Cr 12.18</w:t>
        </w:r>
      </w:hyperlink>
      <w:r>
        <w:t xml:space="preserve">; </w:t>
      </w:r>
      <w:hyperlink r:id="rId15253">
        <w:r>
          <w:rPr>
            <w:color w:val="0000EE"/>
            <w:u w:val="single"/>
          </w:rPr>
          <w:t>2Cr 15.1</w:t>
        </w:r>
      </w:hyperlink>
      <w:r>
        <w:t xml:space="preserve">; </w:t>
      </w:r>
      <w:hyperlink r:id="rId17483">
        <w:r>
          <w:rPr>
            <w:color w:val="0000EE"/>
            <w:u w:val="single"/>
          </w:rPr>
          <w:t>20.14</w:t>
        </w:r>
      </w:hyperlink>
      <w:r>
        <w:t xml:space="preserve">; </w:t>
      </w:r>
      <w:hyperlink r:id="rId6186">
        <w:r>
          <w:rPr>
            <w:color w:val="0000EE"/>
            <w:u w:val="single"/>
          </w:rPr>
          <w:t>24.20</w:t>
        </w:r>
      </w:hyperlink>
      <w:r>
        <w:t xml:space="preserve">). O Espírito inspirou homens e mulheres a falar as próprias palavras de Deus (cf. </w:t>
      </w:r>
      <w:hyperlink r:id="rId8389">
        <w:r>
          <w:rPr>
            <w:color w:val="0000EE"/>
            <w:u w:val="single"/>
          </w:rPr>
          <w:t>2Pe 1.21</w:t>
        </w:r>
      </w:hyperlink>
      <w:r>
        <w:t>).</w:t>
      </w:r>
    </w:p>
    <w:p>
      <w:r/>
      <w:r>
        <w:t>Jeremias afirma que a mão de Deus foi colocada em sua boca, colocando as palavras de Deus em seus lábios (</w:t>
      </w:r>
      <w:hyperlink r:id="rId17657">
        <w:r>
          <w:rPr>
            <w:color w:val="0000EE"/>
            <w:u w:val="single"/>
          </w:rPr>
          <w:t>Jr 1.9</w:t>
        </w:r>
      </w:hyperlink>
      <w:r>
        <w:t>); Ezequiel registra como ele comeu um pergaminho, pelo qual ele recebeu as palavras que o Senhor havia escrito e foi, assim, habilitado a falar o que o Senhor chamou de “minhas palavras” (</w:t>
      </w:r>
      <w:hyperlink r:id="rId17658">
        <w:r>
          <w:rPr>
            <w:color w:val="0000EE"/>
            <w:u w:val="single"/>
          </w:rPr>
          <w:t>Ez 2.7–4.4</w:t>
        </w:r>
      </w:hyperlink>
      <w:r>
        <w:t>). O milagre é declarado em poucas palavras no início de Amós (</w:t>
      </w:r>
      <w:hyperlink r:id="rId1257">
        <w:r>
          <w:rPr>
            <w:color w:val="0000EE"/>
            <w:u w:val="single"/>
          </w:rPr>
          <w:t>1.1,3</w:t>
        </w:r>
      </w:hyperlink>
      <w:r>
        <w:t>): “As palavras de Amós.°.°. Assim diz o Senhor”. Embora as palavras fossem, na verdade, as palavras de Amós, as palavras também eram as do Senhor.</w:t>
      </w:r>
    </w:p>
    <w:p>
      <w:pPr>
        <w:pStyle w:val="Heading3"/>
      </w:pPr>
      <w:r>
        <w:t>Verdadeiros e falsos profetas</w:t>
      </w:r>
    </w:p>
    <w:p>
      <w:r/>
      <w:r>
        <w:t xml:space="preserve">Os falsos profetas deveriam ser separados dos verdadeiros profetas por meio de três testes. O primeiro teste era doutrinário. Em </w:t>
      </w:r>
      <w:hyperlink r:id="rId17659">
        <w:r>
          <w:rPr>
            <w:color w:val="0000EE"/>
            <w:u w:val="single"/>
          </w:rPr>
          <w:t>Dt 13</w:t>
        </w:r>
      </w:hyperlink>
      <w:r>
        <w:t>, o motivo do falso profeta era afastar as pessoas do Deus que havia se revelado no Êxodo (</w:t>
      </w:r>
      <w:hyperlink r:id="rId17660">
        <w:r>
          <w:rPr>
            <w:color w:val="0000EE"/>
            <w:u w:val="single"/>
          </w:rPr>
          <w:t>Dt 13.2,5–7,10</w:t>
        </w:r>
      </w:hyperlink>
      <w:r>
        <w:t xml:space="preserve">). Não obstante a palavra do falso profeta poder ser apoiada por sinais e maravilhas aparentes (vv. </w:t>
      </w:r>
      <w:hyperlink r:id="rId17661">
        <w:r>
          <w:rPr>
            <w:color w:val="0000EE"/>
            <w:u w:val="single"/>
          </w:rPr>
          <w:t>1–2</w:t>
        </w:r>
      </w:hyperlink>
      <w:r>
        <w:t xml:space="preserve">), deveria ser rejeitada — não simplesmente porque introduzia novidade (vv. </w:t>
      </w:r>
      <w:hyperlink r:id="rId17660">
        <w:r>
          <w:rPr>
            <w:color w:val="0000EE"/>
            <w:u w:val="single"/>
          </w:rPr>
          <w:t>2,6</w:t>
        </w:r>
      </w:hyperlink>
      <w:r>
        <w:t xml:space="preserve">), mas porque essa novidade contradiz a revelação do Senhor no Êxodo (vv. </w:t>
      </w:r>
      <w:hyperlink r:id="rId17662">
        <w:r>
          <w:rPr>
            <w:color w:val="0000EE"/>
            <w:u w:val="single"/>
          </w:rPr>
          <w:t>5,10</w:t>
        </w:r>
      </w:hyperlink>
      <w:r>
        <w:t>). O primeiro teste era assim doutrinário e exigia que o povo de Deus tivesse conhecimento da verdade pelo qual eles poderiam, em comparação, reconhecer o erro.</w:t>
      </w:r>
    </w:p>
    <w:p>
      <w:r/>
      <w:r>
        <w:t xml:space="preserve">O segundo teste era prático e exigia paciência. É declarado em </w:t>
      </w:r>
      <w:hyperlink r:id="rId17663">
        <w:r>
          <w:rPr>
            <w:color w:val="0000EE"/>
            <w:u w:val="single"/>
          </w:rPr>
          <w:t>Dt 18.21–22</w:t>
        </w:r>
      </w:hyperlink>
      <w:r>
        <w:t xml:space="preserve">: a palavra do Senhor sempre acontece. Isso requer paciência porque, como </w:t>
      </w:r>
      <w:hyperlink r:id="rId17661">
        <w:r>
          <w:rPr>
            <w:color w:val="0000EE"/>
            <w:u w:val="single"/>
          </w:rPr>
          <w:t>Dt 13.1–2</w:t>
        </w:r>
      </w:hyperlink>
      <w:r>
        <w:t xml:space="preserve"> indica, uma palavra falsa pode ser apoiada por uma aparente prova espiritual. O chamado de </w:t>
      </w:r>
      <w:hyperlink r:id="rId17663">
        <w:r>
          <w:rPr>
            <w:color w:val="0000EE"/>
            <w:u w:val="single"/>
          </w:rPr>
          <w:t>Dt 18.21–22</w:t>
        </w:r>
      </w:hyperlink>
      <w:r>
        <w:t xml:space="preserve"> é um chamado à paciência. Se houver qualquer dúvida real sobre se uma palavra profética é verdadeira ou falsa, espere pela confirmação dos eventos.</w:t>
      </w:r>
    </w:p>
    <w:p>
      <w:r/>
      <w:r>
        <w:t>O terceiro teste é moral e exige um discernimento vigilante. Jeremias, de todos os profetas, foi mais afligido em seu espírito pela presença dos falsos profetas e deu a consideração mais longa e mais sustentada ao problema (</w:t>
      </w:r>
      <w:hyperlink r:id="rId17664">
        <w:r>
          <w:rPr>
            <w:color w:val="0000EE"/>
            <w:u w:val="single"/>
          </w:rPr>
          <w:t>Jr 23.9–40</w:t>
        </w:r>
      </w:hyperlink>
      <w:r>
        <w:t xml:space="preserve">). Sua resposta é impressionante e desafiadora: o falso profeta será encontrado como um homem de vida profana (vv. </w:t>
      </w:r>
      <w:hyperlink r:id="rId448">
        <w:r>
          <w:rPr>
            <w:color w:val="0000EE"/>
            <w:u w:val="single"/>
          </w:rPr>
          <w:t>11–14</w:t>
        </w:r>
      </w:hyperlink>
      <w:r>
        <w:t xml:space="preserve">) cuja mensagem não tem nenhuma nota de repreensão moral, mas antes encoraja os homens em seu pecado (vv. </w:t>
      </w:r>
      <w:hyperlink r:id="rId17665">
        <w:r>
          <w:rPr>
            <w:color w:val="0000EE"/>
            <w:u w:val="single"/>
          </w:rPr>
          <w:t>16–22</w:t>
        </w:r>
      </w:hyperlink>
      <w:r>
        <w:t>).</w:t>
      </w:r>
    </w:p>
    <w:p>
      <w:pPr>
        <w:pStyle w:val="Heading3"/>
      </w:pPr>
      <w:r>
        <w:t>A função do profeta</w:t>
      </w:r>
    </w:p>
    <w:p>
      <w:r/>
      <w:r>
        <w:t xml:space="preserve">Às vezes é dito que os profetas não são “adivinhos”, mas “pré-anunciadores”. No que diz respeito ao AT, no entanto, os profetas são prenunciadores (declarando a verdade sobre Deus) sendo anunciadores (prevendo o que Deus fará). A predição não é uma atividade ocasional nem marginal no AT; é a maneira como o profeta seguia sua obra. </w:t>
      </w:r>
      <w:hyperlink r:id="rId17666">
        <w:r>
          <w:rPr>
            <w:color w:val="0000EE"/>
            <w:u w:val="single"/>
          </w:rPr>
          <w:t>Dt 18.9–15</w:t>
        </w:r>
      </w:hyperlink>
      <w:r>
        <w:t xml:space="preserve"> explica a função do profeta em Israel: as nações ao redor são reveladas como investigando o futuro por meio de uma variedade de técnicas de adivinhação (vv. </w:t>
      </w:r>
      <w:hyperlink r:id="rId2967">
        <w:r>
          <w:rPr>
            <w:color w:val="0000EE"/>
            <w:u w:val="single"/>
          </w:rPr>
          <w:t>10–11</w:t>
        </w:r>
      </w:hyperlink>
      <w:r>
        <w:t xml:space="preserve">); essas coisas são proibidas a Israel por serem abomináveis ao Senhor (v. </w:t>
      </w:r>
      <w:hyperlink r:id="rId134">
        <w:r>
          <w:rPr>
            <w:color w:val="0000EE"/>
            <w:u w:val="single"/>
          </w:rPr>
          <w:t>12</w:t>
        </w:r>
      </w:hyperlink>
      <w:r>
        <w:t xml:space="preserve">). A distinção de Israel é mantida na medida em que as nações investigam o futuro por adivinhadores, enquanto o Senhor dá a Israel um profeta (vv. </w:t>
      </w:r>
      <w:hyperlink r:id="rId17667">
        <w:r>
          <w:rPr>
            <w:color w:val="0000EE"/>
            <w:u w:val="single"/>
          </w:rPr>
          <w:t>13–15</w:t>
        </w:r>
      </w:hyperlink>
      <w:r>
        <w:t>). Eliseu (</w:t>
      </w:r>
      <w:hyperlink r:id="rId17668">
        <w:r>
          <w:rPr>
            <w:color w:val="0000EE"/>
            <w:u w:val="single"/>
          </w:rPr>
          <w:t>2Rs 4.27</w:t>
        </w:r>
      </w:hyperlink>
      <w:r>
        <w:t>) é surpreendido quando a presciência é negada a ele; Amós ensina que a presciência é o privilégio dos profetas em sua comunhão com Deus (</w:t>
      </w:r>
      <w:hyperlink r:id="rId17669">
        <w:r>
          <w:rPr>
            <w:color w:val="0000EE"/>
            <w:u w:val="single"/>
          </w:rPr>
          <w:t>Am 3.7</w:t>
        </w:r>
      </w:hyperlink>
      <w:r>
        <w:t>). Mas a predição em Israel era totalmente diferente da prognosticação entre as nações, pois de forma alguma foi motivada por uma mera coincidência sobre o futuro.</w:t>
      </w:r>
    </w:p>
    <w:p>
      <w:r/>
      <w:r>
        <w:t xml:space="preserve">Primeiro, a predição bíblica surgia das necessidades do presente. Em </w:t>
      </w:r>
      <w:hyperlink r:id="rId11321">
        <w:r>
          <w:rPr>
            <w:color w:val="0000EE"/>
            <w:u w:val="single"/>
          </w:rPr>
          <w:t>Is 39</w:t>
        </w:r>
      </w:hyperlink>
      <w:r>
        <w:t>, é o compromisso infiel de Ezequias de confiar para segurança em um entendimento militar com a Babilônia que leva Isaías a anunciar o futuro cativeiro babilônico. Isaías não pega o nome Babilônia do nada; é dado a ele dentro da situação em que ele foi chamado para ministrar.</w:t>
      </w:r>
    </w:p>
    <w:p>
      <w:r/>
      <w:r>
        <w:t xml:space="preserve">Segundo, a predição destinada a dar conhecimento do futuro deveria resultar em uma reforma moral no presente. As exortações morais dos profetas encontram sua explicação no que o Senhor está prestes a fazer (p. ex., </w:t>
      </w:r>
      <w:hyperlink r:id="rId17670">
        <w:r>
          <w:rPr>
            <w:color w:val="0000EE"/>
            <w:u w:val="single"/>
          </w:rPr>
          <w:t>Is 31.6–7</w:t>
        </w:r>
      </w:hyperlink>
      <w:r>
        <w:t xml:space="preserve">; </w:t>
      </w:r>
      <w:hyperlink r:id="rId17671">
        <w:r>
          <w:rPr>
            <w:color w:val="0000EE"/>
            <w:u w:val="single"/>
          </w:rPr>
          <w:t>Am 5.6</w:t>
        </w:r>
      </w:hyperlink>
      <w:r>
        <w:t>).</w:t>
      </w:r>
    </w:p>
    <w:p>
      <w:r/>
      <w:r>
        <w:t>Terceiro, a trajetória prevista dos eventos era destinada a estabilizar a fé do verdadeiro crente em tempos sombrios. Por exemplo, várias passagens em Isaías (</w:t>
      </w:r>
      <w:hyperlink r:id="rId17455">
        <w:r>
          <w:rPr>
            <w:color w:val="0000EE"/>
            <w:u w:val="single"/>
          </w:rPr>
          <w:t>Is 9.1–7</w:t>
        </w:r>
      </w:hyperlink>
      <w:r>
        <w:t xml:space="preserve">; </w:t>
      </w:r>
      <w:hyperlink r:id="rId11264">
        <w:r>
          <w:rPr>
            <w:color w:val="0000EE"/>
            <w:u w:val="single"/>
          </w:rPr>
          <w:t>11.1–16</w:t>
        </w:r>
      </w:hyperlink>
      <w:r>
        <w:t xml:space="preserve">; </w:t>
      </w:r>
      <w:hyperlink r:id="rId17672">
        <w:r>
          <w:rPr>
            <w:color w:val="0000EE"/>
            <w:u w:val="single"/>
          </w:rPr>
          <w:t>40.1–3</w:t>
        </w:r>
      </w:hyperlink>
      <w:r>
        <w:t>) têm o efeito de elevar os olhos da sombria tragédia imediatamente anterior para a glória que vem.</w:t>
      </w:r>
    </w:p>
    <w:p>
      <w:pPr>
        <w:pStyle w:val="Heading3"/>
      </w:pPr>
      <w:r>
        <w:t>Métodos de comunicação</w:t>
      </w:r>
    </w:p>
    <w:p>
      <w:r/>
      <w:r>
        <w:t xml:space="preserve">Na predição, os profetas estavam revelando — eles estavam proclamando as obras maravilhosas de Deus (cf. a definição de profecia em </w:t>
      </w:r>
      <w:hyperlink r:id="rId17673">
        <w:r>
          <w:rPr>
            <w:color w:val="0000EE"/>
            <w:u w:val="single"/>
          </w:rPr>
          <w:t>At 2.11,17</w:t>
        </w:r>
      </w:hyperlink>
      <w:r>
        <w:t>). Na maioria das vezes, esta proclamação era diretamente de boca em boca. Os profetas eram homens da palavra. Suas palavras eram como mensageiros enviados por Deus (</w:t>
      </w:r>
      <w:hyperlink r:id="rId16162">
        <w:r>
          <w:rPr>
            <w:color w:val="0000EE"/>
            <w:u w:val="single"/>
          </w:rPr>
          <w:t>Is 55.11</w:t>
        </w:r>
      </w:hyperlink>
      <w:r>
        <w:t xml:space="preserve">), dotados de toda a eficácia divina da palavra criativa de </w:t>
      </w:r>
      <w:hyperlink r:id="rId13034">
        <w:r>
          <w:rPr>
            <w:color w:val="0000EE"/>
            <w:u w:val="single"/>
          </w:rPr>
          <w:t>Gn 1.3</w:t>
        </w:r>
      </w:hyperlink>
      <w:r>
        <w:t xml:space="preserve"> (cf. </w:t>
      </w:r>
      <w:hyperlink r:id="rId10777">
        <w:r>
          <w:rPr>
            <w:color w:val="0000EE"/>
            <w:u w:val="single"/>
          </w:rPr>
          <w:t>Sl 33.6</w:t>
        </w:r>
      </w:hyperlink>
      <w:r>
        <w:t xml:space="preserve">). Às vezes, a eficácia da palavra era reforçada ao ser acompanhada por um sinal ou ação simbólica (p. ex., </w:t>
      </w:r>
      <w:hyperlink r:id="rId17674">
        <w:r>
          <w:rPr>
            <w:color w:val="0000EE"/>
            <w:u w:val="single"/>
          </w:rPr>
          <w:t>Jr 13.1–11</w:t>
        </w:r>
      </w:hyperlink>
      <w:r>
        <w:t xml:space="preserve">; </w:t>
      </w:r>
      <w:hyperlink r:id="rId17675">
        <w:r>
          <w:rPr>
            <w:color w:val="0000EE"/>
            <w:u w:val="single"/>
          </w:rPr>
          <w:t>19</w:t>
        </w:r>
      </w:hyperlink>
      <w:r>
        <w:t xml:space="preserve">; </w:t>
      </w:r>
      <w:hyperlink r:id="rId8928">
        <w:r>
          <w:rPr>
            <w:color w:val="0000EE"/>
            <w:u w:val="single"/>
          </w:rPr>
          <w:t>Ez 4.1–17</w:t>
        </w:r>
      </w:hyperlink>
      <w:r>
        <w:t xml:space="preserve">; </w:t>
      </w:r>
      <w:hyperlink r:id="rId17676">
        <w:r>
          <w:rPr>
            <w:color w:val="0000EE"/>
            <w:u w:val="single"/>
          </w:rPr>
          <w:t>24.15–24</w:t>
        </w:r>
      </w:hyperlink>
      <w:r>
        <w:t>), ou identificada intimamente com uma pessoa (</w:t>
      </w:r>
      <w:hyperlink r:id="rId15265">
        <w:r>
          <w:rPr>
            <w:color w:val="0000EE"/>
            <w:u w:val="single"/>
          </w:rPr>
          <w:t>Is 7.3</w:t>
        </w:r>
      </w:hyperlink>
      <w:r>
        <w:t xml:space="preserve">; cf. </w:t>
      </w:r>
      <w:hyperlink r:id="rId17677">
        <w:r>
          <w:rPr>
            <w:color w:val="0000EE"/>
            <w:u w:val="single"/>
          </w:rPr>
          <w:t>8.1–4</w:t>
        </w:r>
      </w:hyperlink>
      <w:r>
        <w:t xml:space="preserve">). Tais coisas eram como auxílios visuais, por meio dos quais a palavra seria tornada mais clara para os presentes. Mas parece que a intenção da ação simbólica (às vezes chamada de “oráculo realizado”) não era tanto para tornar a compreensão mais fácil, mas dar mais poder e efeito à palavra como foi enviada como um mensageiro para essa situação. Esta é a conclusão a ser tirada de </w:t>
      </w:r>
      <w:hyperlink r:id="rId7974">
        <w:r>
          <w:rPr>
            <w:color w:val="0000EE"/>
            <w:u w:val="single"/>
          </w:rPr>
          <w:t>2Rs 13.14–19</w:t>
        </w:r>
      </w:hyperlink>
      <w:r>
        <w:t>, onde a extensão em que o rei “incorporou” a palavra em ação determinou a extensão em que a palavra se provaria eficaz em trazer os eventos ao passado.</w:t>
      </w:r>
    </w:p>
    <w:p>
      <w:r/>
      <w:r>
        <w:t xml:space="preserve">A encarnação final das palavras dos profetas está nos livros que foram preservados. </w:t>
      </w:r>
      <w:hyperlink r:id="rId6057">
        <w:r>
          <w:rPr>
            <w:color w:val="0000EE"/>
            <w:u w:val="single"/>
          </w:rPr>
          <w:t>Jr 36</w:t>
        </w:r>
      </w:hyperlink>
      <w:r>
        <w:t xml:space="preserve"> pode ser tomado como uma lição objetiva no fato de que os profetas tomaram tempo e trabalho para registrar suas mensagens faladas por escrito: havia ênfase no ditado minucioso palavra por palavra (</w:t>
      </w:r>
      <w:hyperlink r:id="rId17678">
        <w:r>
          <w:rPr>
            <w:color w:val="0000EE"/>
            <w:u w:val="single"/>
          </w:rPr>
          <w:t>Jr 36.6,17–18</w:t>
        </w:r>
      </w:hyperlink>
      <w:r>
        <w:t>). Mas a própria forma literária das mensagens conta a mesma história. O que encontramos nos livros dos profetas não pode ser a forma pregada de suas palavras, mas sim a redação estudada na qual eles preservaram (e arquivaram) seus sermões. É lógico que os homens que estavam conscientes de comunicar as próprias palavras de Deus garantiriam que essas palavras não seriam perdidas. Podemos tomar como certo que cada profeta preservou um registro escrito de seu ministério. Se cada um dos profetas nomeados foi diretamente responsável pela forma final de seu livro, não somos informados e não temos como saber. A maneira cautelosa pela qual os livros de Isaías ou Amós, por exemplo, são organizados é mais adequada assumindo que o autor também era seu próprio editor.</w:t>
      </w:r>
    </w:p>
    <w:p>
      <w:r/>
      <w:r>
        <w:rPr>
          <w:i/>
        </w:rPr>
        <w:t>Veja também</w:t>
      </w:r>
      <w:r>
        <w:t xml:space="preserve"> </w:t>
      </w:r>
      <w:r>
        <w:t>Profecia</w:t>
      </w:r>
      <w:r>
        <w:t xml:space="preserve">; </w:t>
      </w:r>
      <w:r>
        <w:t>Profetas, Falsos</w:t>
      </w:r>
      <w:r>
        <w:t>.</w:t>
      </w:r>
      <w:r/>
      <w:r/>
    </w:p>
    <w:p>
      <w:r/>
    </w:p>
    <w:p>
      <w:pPr>
        <w:pStyle w:val="Heading2"/>
      </w:pPr>
      <w:r>
        <w:t>Profetas, Falsos</w:t>
      </w:r>
      <w:r/>
    </w:p>
    <w:p>
      <w:r/>
      <w:r>
        <w:t>Falsos profetas são porta-vozes, arautos ou mensageiros que erroneamente afirmam falar em nome de outra pessoa, muitas vezes Deus. Esses profetas geralmente são movidos por um desejo de popularidade em vez de lealdade a Deus. Esta foi a principal diferença entre o profeta Jeremias e seus contemporâneos. Enquanto Jeremias alertava sobre desastres (</w:t>
      </w:r>
      <w:hyperlink r:id="rId17679">
        <w:r>
          <w:rPr>
            <w:color w:val="0000EE"/>
            <w:u w:val="single"/>
          </w:rPr>
          <w:t>Jr 4.19</w:t>
        </w:r>
      </w:hyperlink>
      <w:r>
        <w:t>), os falsos profetas prometiam paz (</w:t>
      </w:r>
      <w:hyperlink r:id="rId15228">
        <w:r>
          <w:rPr>
            <w:color w:val="0000EE"/>
            <w:u w:val="single"/>
          </w:rPr>
          <w:t>Jr 6.14</w:t>
        </w:r>
      </w:hyperlink>
      <w:r>
        <w:t xml:space="preserve">; </w:t>
      </w:r>
      <w:hyperlink r:id="rId17680">
        <w:r>
          <w:rPr>
            <w:color w:val="0000EE"/>
            <w:u w:val="single"/>
          </w:rPr>
          <w:t>8.11</w:t>
        </w:r>
      </w:hyperlink>
      <w:r>
        <w:t>). O povo preferia as mentiras reconfortantes dos falsos profetas. Eles até diziam: “Não nos profetize a verdade! Fale-nos palavras agradáveis; profetize ilusões” (</w:t>
      </w:r>
      <w:hyperlink r:id="rId17681">
        <w:r>
          <w:rPr>
            <w:color w:val="0000EE"/>
            <w:u w:val="single"/>
          </w:rPr>
          <w:t>Is 30.10</w:t>
        </w:r>
      </w:hyperlink>
      <w:r>
        <w:t>).</w:t>
      </w:r>
    </w:p>
    <w:p>
      <w:r/>
      <w:r>
        <w:t>A mensagem de um falso profeta muitas vezes apelava ao orgulho nacional. Eles lembravam ao povo que Israel era a nação escolhida por Deus. Seu templo estava entre eles, então tudo ficaria bem (</w:t>
      </w:r>
      <w:hyperlink r:id="rId17682">
        <w:r>
          <w:rPr>
            <w:color w:val="0000EE"/>
            <w:u w:val="single"/>
          </w:rPr>
          <w:t>Jr 7.10</w:t>
        </w:r>
      </w:hyperlink>
      <w:r>
        <w:t>). Mas Jeremias os advertiu para não serem enganados, pensando que estavam seguros apenas por causa do templo (</w:t>
      </w:r>
      <w:hyperlink r:id="rId17683">
        <w:r>
          <w:rPr>
            <w:color w:val="0000EE"/>
            <w:u w:val="single"/>
          </w:rPr>
          <w:t>Jr 7.12–15</w:t>
        </w:r>
      </w:hyperlink>
      <w:r>
        <w:t>). Este conflito entre o verdadeiro profeta de Deus e a religião nacional é visto na história de Amós e Amazias, o sacerdote de Betel. Amazias acusou Amós de conspirar contra Israel (</w:t>
      </w:r>
      <w:hyperlink r:id="rId3486">
        <w:r>
          <w:rPr>
            <w:color w:val="0000EE"/>
            <w:u w:val="single"/>
          </w:rPr>
          <w:t>Am 7.10–13</w:t>
        </w:r>
      </w:hyperlink>
      <w:r>
        <w:t>). Mas Amós estava certo. Os assírios conquistaram o reino do norte em 722 a.C. e exilaram os israelitas.</w:t>
      </w:r>
    </w:p>
    <w:p>
      <w:r/>
      <w:r>
        <w:t>A mensagem do falso profeta visava agradar o povo e era movida por interesse próprio. Mesmo que o falso profeta não tivesse a intenção de mentir, sua mensagem frequentemente se tornava falsa, pois era baseada em motivos errados. Isso mostra que até mesmo um verdadeiro profeta poderia se tornar falso, e às vezes, um falso profeta poderia ser usado por Deus para um bom propósito. Por exemplo, Deus deu uma visão a Balaão, um não-israelita, que estava dividido entre agradar Balaque, que o contratou, e obedecer ao Deus de Israel, que falou com ele (</w:t>
      </w:r>
      <w:hyperlink r:id="rId17684">
        <w:r>
          <w:rPr>
            <w:color w:val="0000EE"/>
            <w:u w:val="single"/>
          </w:rPr>
          <w:t>Nm 22–23</w:t>
        </w:r>
      </w:hyperlink>
      <w:r>
        <w:t xml:space="preserve">). Uma história em </w:t>
      </w:r>
      <w:hyperlink r:id="rId17685">
        <w:r>
          <w:rPr>
            <w:color w:val="0000EE"/>
            <w:u w:val="single"/>
          </w:rPr>
          <w:t>1 Reis 13</w:t>
        </w:r>
      </w:hyperlink>
      <w:r>
        <w:t xml:space="preserve"> descreve dois profetas sem nome. Um é verdadeiro, o outro falso, e eles de repente trocam de papéis. O falso profeta fala a verdade, enquanto o verdadeiro profeta se torna falso devido à sua desobediência.</w:t>
      </w:r>
    </w:p>
    <w:p>
      <w:r/>
      <w:r>
        <w:t>Em outro exemplo, Jeremias confronta Hananias, filho de Azur, no templo. Os dois profetas entregam profecias conflitantes. Hananias, um homem de Gibeão, parecia ser um verdadeiro profeta. Ele profetizou o que o povo queria ouvir: que a Babilônia logo cairia. No entanto, eventos posteriores provaram que a profecia de Hananias era apenas um pensamento ilusório. Assim, podemos dizer que a falsa profecia é egocêntrica, enganosa e irrealista.</w:t>
      </w:r>
    </w:p>
    <w:p>
      <w:r/>
      <w:r>
        <w:t>O conceito do falso profeta continua no Novo Testamento. Jesus alerta sobre aqueles que parecem ovelhas inofensivas, mas são, na verdade, lobos prontos para destruir. Ele também advertiu seus discípulos que falsos messias surgiriam, tentando enganar até mesmo o povo escolhido de Deus (</w:t>
      </w:r>
      <w:hyperlink r:id="rId14397">
        <w:r>
          <w:rPr>
            <w:color w:val="0000EE"/>
            <w:u w:val="single"/>
          </w:rPr>
          <w:t>Mt 24.24</w:t>
        </w:r>
      </w:hyperlink>
      <w:r>
        <w:t xml:space="preserve">). A igreja primitiva deve ter enfrentado muitos desses falsos profetas, pois as cartas apostólicas também alertam contra eles (cp. </w:t>
      </w:r>
      <w:hyperlink r:id="rId10597">
        <w:r>
          <w:rPr>
            <w:color w:val="0000EE"/>
            <w:u w:val="single"/>
          </w:rPr>
          <w:t>2Pe 2.1</w:t>
        </w:r>
      </w:hyperlink>
      <w:r>
        <w:t xml:space="preserve">; </w:t>
      </w:r>
      <w:hyperlink r:id="rId17686">
        <w:r>
          <w:rPr>
            <w:color w:val="0000EE"/>
            <w:u w:val="single"/>
          </w:rPr>
          <w:t>1Jo 4.1</w:t>
        </w:r>
      </w:hyperlink>
      <w:r>
        <w:t xml:space="preserve">). Nessas cartas, "profetas" e "mestres" são frequentemente intercambiáveis. No entanto, o texto original os chama de "falsos profetas". Esses falsos mestres fingem ser cristãos, mas espalham ensinamentos enganosos. Eles podem até realizar milagres, mas seu poder vem de espíritos malignos, não do Espírito de Cristo (cp. </w:t>
      </w:r>
      <w:hyperlink r:id="rId17687">
        <w:r>
          <w:rPr>
            <w:color w:val="0000EE"/>
            <w:u w:val="single"/>
          </w:rPr>
          <w:t>Ap 13.11–15</w:t>
        </w:r>
      </w:hyperlink>
      <w:r>
        <w:t>).</w:t>
      </w:r>
    </w:p>
    <w:p>
      <w:r/>
      <w:r>
        <w:t xml:space="preserve">Falsos profetas, espíritos fraudulentos e ensinamentos errados são problemas contínuos na igreja. Os crentes devem sempre estar em alerta contra aqueles que distorcem habilmente a verdade (cp. </w:t>
      </w:r>
      <w:hyperlink r:id="rId17688">
        <w:r>
          <w:rPr>
            <w:color w:val="0000EE"/>
            <w:u w:val="single"/>
          </w:rPr>
          <w:t>Ef 4.14–16</w:t>
        </w:r>
      </w:hyperlink>
      <w:r>
        <w:t>). Eles devem testar os espíritos dos profetas para ver se são de Deus ou do maligno (</w:t>
      </w:r>
      <w:hyperlink r:id="rId17689">
        <w:r>
          <w:rPr>
            <w:color w:val="0000EE"/>
            <w:u w:val="single"/>
          </w:rPr>
          <w:t>1Co 12.10–11</w:t>
        </w:r>
      </w:hyperlink>
      <w:r>
        <w:t xml:space="preserve">). Não devemos acreditar em todos que afirmam ter uma mensagem de Deus. Devemos "testar" os espíritos. Precisamos ver se a mensagem deles vem do Espírito Santo. Ela deve estar alinhada com a verdade de que Jesus é o Filho de Deus em forma humana (cp. </w:t>
      </w:r>
      <w:hyperlink r:id="rId17690">
        <w:r>
          <w:rPr>
            <w:color w:val="0000EE"/>
            <w:u w:val="single"/>
          </w:rPr>
          <w:t>1Jo 4.1–3</w:t>
        </w:r>
      </w:hyperlink>
      <w:r>
        <w:t>).</w:t>
      </w:r>
    </w:p>
    <w:p>
      <w:r/>
      <w:r>
        <w:rPr>
          <w:i/>
        </w:rPr>
        <w:t>Veja também</w:t>
      </w:r>
      <w:r>
        <w:t xml:space="preserve"> </w:t>
      </w:r>
      <w:r>
        <w:t>Anticristo</w:t>
      </w:r>
      <w:r>
        <w:t xml:space="preserve">; </w:t>
      </w:r>
      <w:r>
        <w:t>Falsos cristos, Falsos messias</w:t>
      </w:r>
      <w:r>
        <w:t xml:space="preserve">; </w:t>
      </w:r>
      <w:r>
        <w:t>Profecia</w:t>
      </w:r>
      <w:r>
        <w:t xml:space="preserve">; </w:t>
      </w:r>
      <w:r>
        <w:t>Profeta, profetisa</w:t>
      </w:r>
      <w:r>
        <w:t>.</w:t>
      </w:r>
      <w:r/>
      <w:r/>
    </w:p>
    <w:p>
      <w:r/>
    </w:p>
    <w:p>
      <w:pPr>
        <w:pStyle w:val="Heading2"/>
      </w:pPr>
      <w:r>
        <w:t>Promessa</w:t>
      </w:r>
      <w:r/>
    </w:p>
    <w:p>
      <w:r/>
      <w:r>
        <w:t>Uma declaração de uma pessoa para outra de que algo será ou não será feito. Isso dá à outra pessoa o direito de esperar a ação prometida.</w:t>
      </w:r>
    </w:p>
    <w:p>
      <w:pPr>
        <w:pStyle w:val="Heading3"/>
      </w:pPr>
      <w:r>
        <w:t>Tipos de promessa</w:t>
      </w:r>
    </w:p>
    <w:p>
      <w:r/>
      <w:r>
        <w:t xml:space="preserve">Na Bíblia, há alguns exemplos de promessas que as pessoas fazem umas às outras (por exemplo, </w:t>
      </w:r>
      <w:hyperlink r:id="rId17691">
        <w:r>
          <w:rPr>
            <w:color w:val="0000EE"/>
            <w:u w:val="single"/>
          </w:rPr>
          <w:t>Números 22.17</w:t>
        </w:r>
      </w:hyperlink>
      <w:r>
        <w:t xml:space="preserve">; </w:t>
      </w:r>
      <w:hyperlink r:id="rId17692">
        <w:r>
          <w:rPr>
            <w:color w:val="0000EE"/>
            <w:u w:val="single"/>
          </w:rPr>
          <w:t>Ester 4.7</w:t>
        </w:r>
      </w:hyperlink>
      <w:r>
        <w:t xml:space="preserve">) e a Deus (por exemplo, </w:t>
      </w:r>
      <w:hyperlink r:id="rId17693">
        <w:r>
          <w:rPr>
            <w:color w:val="0000EE"/>
            <w:u w:val="single"/>
          </w:rPr>
          <w:t>Neemias 5.12</w:t>
        </w:r>
      </w:hyperlink>
      <w:r>
        <w:t>). Mas, as promessas de Deus ao homem são muito mais importantes. Essas promessas divinas são absolutamente confiáveis porque aquele que as faz é totalmente capaz de cumprir o que ele prometeu (</w:t>
      </w:r>
      <w:hyperlink r:id="rId17694">
        <w:r>
          <w:rPr>
            <w:color w:val="0000EE"/>
            <w:u w:val="single"/>
          </w:rPr>
          <w:t>Romanos 4.21</w:t>
        </w:r>
      </w:hyperlink>
      <w:r>
        <w:t>).</w:t>
      </w:r>
    </w:p>
    <w:p>
      <w:r/>
      <w:r>
        <w:t>As promessas de Deus nas Escrituras asseguram aos destinatários muitos benefícios. Estes incluem:</w:t>
      </w:r>
    </w:p>
    <w:p>
      <w:pPr>
        <w:pStyle w:val="ListBullet"/>
        <w:spacing w:line="240" w:lineRule="auto"/>
        <w:ind w:left="720"/>
      </w:pPr>
      <w:r/>
      <w:r>
        <w:t>Filiação (</w:t>
      </w:r>
      <w:hyperlink r:id="rId17695">
        <w:r>
          <w:rPr>
            <w:color w:val="0000EE"/>
            <w:u w:val="single"/>
          </w:rPr>
          <w:t>2 Coríntios 6.16–7.1</w:t>
        </w:r>
      </w:hyperlink>
      <w:r>
        <w:t>);</w:t>
      </w:r>
    </w:p>
    <w:p>
      <w:pPr>
        <w:pStyle w:val="ListBullet"/>
        <w:spacing w:line="240" w:lineRule="auto"/>
        <w:ind w:left="720"/>
      </w:pPr>
      <w:r/>
      <w:r>
        <w:t>Perdão dos pecados (</w:t>
      </w:r>
      <w:hyperlink r:id="rId5367">
        <w:r>
          <w:rPr>
            <w:color w:val="0000EE"/>
            <w:u w:val="single"/>
          </w:rPr>
          <w:t>1 João 1.9</w:t>
        </w:r>
      </w:hyperlink>
      <w:r>
        <w:t>);</w:t>
      </w:r>
    </w:p>
    <w:p>
      <w:pPr>
        <w:pStyle w:val="ListBullet"/>
        <w:spacing w:line="240" w:lineRule="auto"/>
        <w:ind w:left="720"/>
      </w:pPr>
      <w:r/>
      <w:r>
        <w:t>Respostas à oração (</w:t>
      </w:r>
      <w:hyperlink r:id="rId17696">
        <w:r>
          <w:rPr>
            <w:color w:val="0000EE"/>
            <w:u w:val="single"/>
          </w:rPr>
          <w:t>Lucas 11.9</w:t>
        </w:r>
      </w:hyperlink>
      <w:r>
        <w:t>);</w:t>
      </w:r>
    </w:p>
    <w:p>
      <w:pPr>
        <w:pStyle w:val="ListBullet"/>
        <w:spacing w:line="240" w:lineRule="auto"/>
        <w:ind w:left="720"/>
      </w:pPr>
      <w:r/>
      <w:r>
        <w:t>Libertação das tentações (</w:t>
      </w:r>
      <w:hyperlink r:id="rId5810">
        <w:r>
          <w:rPr>
            <w:color w:val="0000EE"/>
            <w:u w:val="single"/>
          </w:rPr>
          <w:t>1 Coríntios 10.13</w:t>
        </w:r>
      </w:hyperlink>
      <w:r>
        <w:t>);</w:t>
      </w:r>
    </w:p>
    <w:p>
      <w:pPr>
        <w:pStyle w:val="ListBullet"/>
        <w:spacing w:line="240" w:lineRule="auto"/>
        <w:ind w:left="720"/>
      </w:pPr>
      <w:r/>
      <w:r>
        <w:t>Graça em tempos difíceis (</w:t>
      </w:r>
      <w:hyperlink r:id="rId17292">
        <w:r>
          <w:rPr>
            <w:color w:val="0000EE"/>
            <w:u w:val="single"/>
          </w:rPr>
          <w:t>2 Coríntios 12.9</w:t>
        </w:r>
      </w:hyperlink>
      <w:r>
        <w:t>);</w:t>
      </w:r>
    </w:p>
    <w:p>
      <w:pPr>
        <w:pStyle w:val="ListBullet"/>
        <w:spacing w:line="240" w:lineRule="auto"/>
        <w:ind w:left="720"/>
      </w:pPr>
      <w:r/>
      <w:r>
        <w:t>Suprindo todas as necessidades (</w:t>
      </w:r>
      <w:hyperlink r:id="rId9522">
        <w:r>
          <w:rPr>
            <w:color w:val="0000EE"/>
            <w:u w:val="single"/>
          </w:rPr>
          <w:t>Filipenses 4.19</w:t>
        </w:r>
      </w:hyperlink>
      <w:r>
        <w:t>);</w:t>
      </w:r>
    </w:p>
    <w:p>
      <w:pPr>
        <w:pStyle w:val="ListBullet"/>
        <w:spacing w:line="240" w:lineRule="auto"/>
        <w:ind w:left="720"/>
      </w:pPr>
      <w:r/>
      <w:r>
        <w:t>Recompensas pela obediência (</w:t>
      </w:r>
      <w:hyperlink r:id="rId4801">
        <w:r>
          <w:rPr>
            <w:color w:val="0000EE"/>
            <w:u w:val="single"/>
          </w:rPr>
          <w:t>Tiago 1.12</w:t>
        </w:r>
      </w:hyperlink>
      <w:r>
        <w:t>);</w:t>
      </w:r>
    </w:p>
    <w:p>
      <w:pPr>
        <w:pStyle w:val="ListBullet"/>
        <w:spacing w:line="240" w:lineRule="auto"/>
        <w:ind w:left="720"/>
      </w:pPr>
      <w:r/>
      <w:r>
        <w:t>Vida eterna (</w:t>
      </w:r>
      <w:hyperlink r:id="rId17697">
        <w:r>
          <w:rPr>
            <w:color w:val="0000EE"/>
            <w:u w:val="single"/>
          </w:rPr>
          <w:t>Lucas 18.29–30</w:t>
        </w:r>
      </w:hyperlink>
      <w:r>
        <w:t xml:space="preserve">; </w:t>
      </w:r>
      <w:hyperlink r:id="rId1191">
        <w:r>
          <w:rPr>
            <w:color w:val="0000EE"/>
            <w:u w:val="single"/>
          </w:rPr>
          <w:t>João 3.16</w:t>
        </w:r>
      </w:hyperlink>
      <w:r>
        <w:t xml:space="preserve">; </w:t>
      </w:r>
      <w:hyperlink r:id="rId17698">
        <w:r>
          <w:rPr>
            <w:color w:val="0000EE"/>
            <w:u w:val="single"/>
          </w:rPr>
          <w:t>Romanos 6.22–23</w:t>
        </w:r>
      </w:hyperlink>
      <w:r>
        <w:t>).</w:t>
      </w:r>
    </w:p>
    <w:p>
      <w:r/>
      <w:r>
        <w:t>As promessas de Deus são certas e seguras. Mas, para compartilhar de suas bênçãos, devemos cumprir certas condições. As promessas divinas também não são sempre garantias de bênção. De fato, há promessas que anunciam a certeza do julgamento sobre aqueles que se recusam a obedecer ao evangelho do Senhor Jesus (</w:t>
      </w:r>
      <w:hyperlink r:id="rId17699">
        <w:r>
          <w:rPr>
            <w:color w:val="0000EE"/>
            <w:u w:val="single"/>
          </w:rPr>
          <w:t>2 Tessalonicenses 1.8–9</w:t>
        </w:r>
      </w:hyperlink>
      <w:r>
        <w:t>).</w:t>
      </w:r>
    </w:p>
    <w:p>
      <w:r/>
      <w:r>
        <w:t>Além das promessas de Deus, que se aplicam a muitos indivíduos em diferentes tempos e lugares, muitas dizem respeito ao desdobramento de seu plano redentor em uma grande sequência de eventos históricos. Essas promessas não têm aplicações repetidas nem naturezas condicionais. Nesses casos, promessa é quase sinônimo de profecia. Essas promessas e seu cumprimento estão entrelaçados na história redentora.</w:t>
      </w:r>
    </w:p>
    <w:p>
      <w:pPr>
        <w:pStyle w:val="Heading3"/>
      </w:pPr>
      <w:r>
        <w:t>Promessas no Antigo Testamento</w:t>
      </w:r>
    </w:p>
    <w:p>
      <w:r/>
      <w:r>
        <w:t>O tema da promessa do Antigo Testamento é melhor visto no primeiro anúncio do evangelho (chamado de protoevangelho). Ele é dado a Adão e Eva no Jardim do Éden após a queda deles no pecado (</w:t>
      </w:r>
      <w:hyperlink r:id="rId309">
        <w:r>
          <w:rPr>
            <w:color w:val="0000EE"/>
            <w:u w:val="single"/>
          </w:rPr>
          <w:t>Gênesis 3.15</w:t>
        </w:r>
      </w:hyperlink>
      <w:r>
        <w:t>). As promessas posteriores são:</w:t>
      </w:r>
    </w:p>
    <w:p>
      <w:pPr>
        <w:pStyle w:val="ListBullet"/>
        <w:spacing w:line="240" w:lineRule="auto"/>
        <w:ind w:left="720"/>
      </w:pPr>
      <w:r/>
      <w:r>
        <w:t>A aliança que Deus fez com Abraão (</w:t>
      </w:r>
      <w:hyperlink r:id="rId17700">
        <w:r>
          <w:rPr>
            <w:color w:val="0000EE"/>
            <w:u w:val="single"/>
          </w:rPr>
          <w:t>Gênesis 12,</w:t>
        </w:r>
      </w:hyperlink>
      <w:r>
        <w:t xml:space="preserve"> </w:t>
      </w:r>
      <w:hyperlink r:id="rId790">
        <w:r>
          <w:rPr>
            <w:color w:val="0000EE"/>
            <w:u w:val="single"/>
          </w:rPr>
          <w:t>15,</w:t>
        </w:r>
      </w:hyperlink>
      <w:r>
        <w:t xml:space="preserve"> </w:t>
      </w:r>
      <w:hyperlink r:id="rId168">
        <w:r>
          <w:rPr>
            <w:color w:val="0000EE"/>
            <w:u w:val="single"/>
          </w:rPr>
          <w:t>17</w:t>
        </w:r>
      </w:hyperlink>
      <w:r>
        <w:t>);</w:t>
      </w:r>
    </w:p>
    <w:p>
      <w:pPr>
        <w:pStyle w:val="ListBullet"/>
        <w:spacing w:line="240" w:lineRule="auto"/>
        <w:ind w:left="720"/>
      </w:pPr>
      <w:r/>
      <w:r>
        <w:t>A aliança que Deus fez com Davi (</w:t>
      </w:r>
      <w:hyperlink r:id="rId6589">
        <w:r>
          <w:rPr>
            <w:color w:val="0000EE"/>
            <w:u w:val="single"/>
          </w:rPr>
          <w:t>2 Samuel 7</w:t>
        </w:r>
      </w:hyperlink>
      <w:r>
        <w:t>);</w:t>
      </w:r>
    </w:p>
    <w:p>
      <w:pPr>
        <w:pStyle w:val="ListBullet"/>
        <w:spacing w:line="240" w:lineRule="auto"/>
        <w:ind w:left="720"/>
      </w:pPr>
      <w:r/>
      <w:r>
        <w:t>A promessa de uma nova aliança (</w:t>
      </w:r>
      <w:hyperlink r:id="rId11837">
        <w:r>
          <w:rPr>
            <w:color w:val="0000EE"/>
            <w:u w:val="single"/>
          </w:rPr>
          <w:t>Jeremias 31</w:t>
        </w:r>
      </w:hyperlink>
      <w:r>
        <w:t>).</w:t>
      </w:r>
    </w:p>
    <w:p>
      <w:pPr>
        <w:pStyle w:val="Heading4"/>
      </w:pPr>
      <w:r>
        <w:t>O protoevangelho</w:t>
      </w:r>
    </w:p>
    <w:p>
      <w:r/>
      <w:hyperlink r:id="rId309">
        <w:r>
          <w:rPr>
            <w:color w:val="0000EE"/>
            <w:u w:val="single"/>
          </w:rPr>
          <w:t>Gênesis 3.15b</w:t>
        </w:r>
      </w:hyperlink>
      <w:r>
        <w:t xml:space="preserve"> diz: “Porei inimizade entre você [Satanás] e a mulher [Eva], e entre a sua descendência e a descendência dela. Ele esmagará a sua cabeça, e você ferirá o calcanhar dele”. Esta declaração é uma promessa de que em algum momento futuro, a descendência da mulher esmagará Satanás. A descendência da mulher é individualizada no “ele” da última frase. “Ele” ferirá você [Satanás] na cabeça, embora Satanás infligirá uma ferida na descendência da mulher. Aqui está a promessa. Ela dá a Adão, Eva e seus descendentes esperança. Eles esperam que seu adversário, Satanás, seja destruído por sua descendência.</w:t>
      </w:r>
    </w:p>
    <w:p>
      <w:pPr>
        <w:pStyle w:val="Heading4"/>
      </w:pPr>
      <w:r>
        <w:t>A promessa a Abraão</w:t>
      </w:r>
    </w:p>
    <w:p>
      <w:r/>
      <w:r>
        <w:t xml:space="preserve">Em </w:t>
      </w:r>
      <w:hyperlink r:id="rId17701">
        <w:r>
          <w:rPr>
            <w:color w:val="0000EE"/>
            <w:u w:val="single"/>
          </w:rPr>
          <w:t>Gênesis 12.1–7,</w:t>
        </w:r>
      </w:hyperlink>
      <w:r>
        <w:t xml:space="preserve"> Abraão é instruído a deixar seu povo e país e ir para uma terra que o Senhor lhe mostraria. Deus, por sua vez, promete-lhe:</w:t>
      </w:r>
    </w:p>
    <w:p>
      <w:pPr>
        <w:pStyle w:val="ListNumber"/>
        <w:spacing w:line="240" w:lineRule="auto"/>
        <w:ind w:left="720"/>
      </w:pPr>
      <w:r/>
      <w:r>
        <w:t>Seus descendentes se tornariam uma grande nação;</w:t>
      </w:r>
    </w:p>
    <w:p>
      <w:pPr>
        <w:pStyle w:val="ListNumber"/>
        <w:spacing w:line="240" w:lineRule="auto"/>
        <w:ind w:left="720"/>
      </w:pPr>
      <w:r/>
      <w:r>
        <w:t>Ele seria abençoado, e seu nome se tornaria grande;</w:t>
      </w:r>
    </w:p>
    <w:p>
      <w:pPr>
        <w:pStyle w:val="ListNumber"/>
        <w:spacing w:line="240" w:lineRule="auto"/>
        <w:ind w:left="720"/>
      </w:pPr>
      <w:r/>
      <w:r>
        <w:t>Através dele, outras nações seriam abençoadas;</w:t>
      </w:r>
    </w:p>
    <w:p>
      <w:pPr>
        <w:pStyle w:val="ListNumber"/>
        <w:spacing w:line="240" w:lineRule="auto"/>
        <w:ind w:left="720"/>
      </w:pPr>
      <w:r/>
      <w:r>
        <w:t>A terra de Canaã seria dada aos seus descendentes.</w:t>
      </w:r>
    </w:p>
    <w:p>
      <w:r/>
      <w:r>
        <w:t>Entre essas promessas a Abraão, a mais importante é esta: Ele abençoará muitas nações através de sua descendência. Esta promessa aparece cinco vezes em Gênesis (</w:t>
      </w:r>
      <w:hyperlink r:id="rId799">
        <w:r>
          <w:rPr>
            <w:color w:val="0000EE"/>
            <w:u w:val="single"/>
          </w:rPr>
          <w:t>Gênesis 12.3</w:t>
        </w:r>
      </w:hyperlink>
      <w:r>
        <w:t xml:space="preserve">; </w:t>
      </w:r>
      <w:hyperlink r:id="rId17702">
        <w:r>
          <w:rPr>
            <w:color w:val="0000EE"/>
            <w:u w:val="single"/>
          </w:rPr>
          <w:t>18.18</w:t>
        </w:r>
      </w:hyperlink>
      <w:r>
        <w:t xml:space="preserve">; </w:t>
      </w:r>
      <w:hyperlink r:id="rId14285">
        <w:r>
          <w:rPr>
            <w:color w:val="0000EE"/>
            <w:u w:val="single"/>
          </w:rPr>
          <w:t>22.18</w:t>
        </w:r>
      </w:hyperlink>
      <w:r>
        <w:t xml:space="preserve">; </w:t>
      </w:r>
      <w:hyperlink r:id="rId5411">
        <w:r>
          <w:rPr>
            <w:color w:val="0000EE"/>
            <w:u w:val="single"/>
          </w:rPr>
          <w:t>26.4</w:t>
        </w:r>
      </w:hyperlink>
      <w:r>
        <w:t xml:space="preserve">; </w:t>
      </w:r>
      <w:hyperlink r:id="rId17703">
        <w:r>
          <w:rPr>
            <w:color w:val="0000EE"/>
            <w:u w:val="single"/>
          </w:rPr>
          <w:t>28.14</w:t>
        </w:r>
      </w:hyperlink>
      <w:r>
        <w:t xml:space="preserve">). Refere-se a </w:t>
      </w:r>
      <w:hyperlink r:id="rId309">
        <w:r>
          <w:rPr>
            <w:color w:val="0000EE"/>
            <w:u w:val="single"/>
          </w:rPr>
          <w:t>Gênesis 3.15</w:t>
        </w:r>
      </w:hyperlink>
      <w:r>
        <w:t xml:space="preserve"> e aponta para Cristo.</w:t>
      </w:r>
    </w:p>
    <w:p>
      <w:pPr>
        <w:pStyle w:val="Heading4"/>
      </w:pPr>
      <w:r>
        <w:t>A promessa a Davi</w:t>
      </w:r>
    </w:p>
    <w:p>
      <w:r/>
      <w:r>
        <w:t xml:space="preserve">Em </w:t>
      </w:r>
      <w:hyperlink r:id="rId6589">
        <w:r>
          <w:rPr>
            <w:color w:val="0000EE"/>
            <w:u w:val="single"/>
          </w:rPr>
          <w:t>2 Samuel 7</w:t>
        </w:r>
      </w:hyperlink>
      <w:r>
        <w:t>, Deus deu uma promessa ao Rei Davi de que sua dinastia duraria para sempre (</w:t>
      </w:r>
      <w:hyperlink r:id="rId12958">
        <w:r>
          <w:rPr>
            <w:color w:val="0000EE"/>
            <w:u w:val="single"/>
          </w:rPr>
          <w:t>2 Samuel 7.16</w:t>
        </w:r>
      </w:hyperlink>
      <w:r>
        <w:t xml:space="preserve">; </w:t>
      </w:r>
      <w:hyperlink r:id="rId17704">
        <w:r>
          <w:rPr>
            <w:color w:val="0000EE"/>
            <w:u w:val="single"/>
          </w:rPr>
          <w:t>Salmo 89.34–37</w:t>
        </w:r>
      </w:hyperlink>
      <w:r>
        <w:t>). Esta aliança davídica estreita a linha prometida para a linha real de Davi. Ela havia sido transmitida de Adão até Sete, Sem, Abraão, Isaque, Jacó e Judá. Davi seria o ancestral do Rei-Messias que viria (</w:t>
      </w:r>
      <w:hyperlink r:id="rId17705">
        <w:r>
          <w:rPr>
            <w:color w:val="0000EE"/>
            <w:u w:val="single"/>
          </w:rPr>
          <w:t>Salmo 89.3,27–37</w:t>
        </w:r>
      </w:hyperlink>
      <w:r>
        <w:t>). Davi, assim, tornou-se uma figura central na história do plano de Deus para redimir o mundo. Jesus Cristo é referido como o filho de Davi, o filho de Abraão (</w:t>
      </w:r>
      <w:hyperlink r:id="rId817">
        <w:r>
          <w:rPr>
            <w:color w:val="0000EE"/>
            <w:u w:val="single"/>
          </w:rPr>
          <w:t>Mateus 1.1</w:t>
        </w:r>
      </w:hyperlink>
      <w:r>
        <w:t>).</w:t>
      </w:r>
    </w:p>
    <w:p>
      <w:pPr>
        <w:pStyle w:val="Heading4"/>
      </w:pPr>
      <w:r>
        <w:t>A promessa de uma Nova Aliança</w:t>
      </w:r>
    </w:p>
    <w:p>
      <w:r/>
      <w:hyperlink r:id="rId2574">
        <w:r>
          <w:rPr>
            <w:color w:val="0000EE"/>
            <w:u w:val="single"/>
          </w:rPr>
          <w:t>Jeremias 31.31–37</w:t>
        </w:r>
      </w:hyperlink>
      <w:r>
        <w:t xml:space="preserve"> promete que, no futuro, o Senhor faria uma nova aliança com Israel e Judá. Esta nova aliança reafirma e estende a antiga: "Eu serei o seu Deus, e eles serão o meu povo... Eu perdoarei suas iniquidades e não me lembrarei mais de seus pecados”. (</w:t>
      </w:r>
      <w:hyperlink r:id="rId17706">
        <w:r>
          <w:rPr>
            <w:color w:val="0000EE"/>
            <w:u w:val="single"/>
          </w:rPr>
          <w:t>Jeremias 31.33–34</w:t>
        </w:r>
      </w:hyperlink>
      <w:r>
        <w:t>). A "nova aliança" de Jeremias é uma reafirmação das promessas nas alianças abraâmica e davídica.</w:t>
      </w:r>
    </w:p>
    <w:p>
      <w:r/>
      <w:r>
        <w:t>A nova aliança começou com o primeiro advento de Cristo. Agora, os crentes nele recebem suas bênçãos através do Espírito Santo (</w:t>
      </w:r>
      <w:hyperlink r:id="rId10445">
        <w:r>
          <w:rPr>
            <w:color w:val="0000EE"/>
            <w:u w:val="single"/>
          </w:rPr>
          <w:t>Hebreus 8.6–13</w:t>
        </w:r>
      </w:hyperlink>
      <w:r>
        <w:t>). Essas bênçãos serão plenamente realizadas no retorno de Cristo. Então, seu reino será plenamente estabelecido. Desfrutaremos da vida nos novos céus e nova terra. O povo de Deus vive em um tempo em que alguns benefícios da era vindoura são reais. Mas, a nova era ainda não chegou.</w:t>
      </w:r>
    </w:p>
    <w:p>
      <w:pPr>
        <w:pStyle w:val="Heading3"/>
      </w:pPr>
      <w:r>
        <w:t>O tema da promessa no Novo Testamento</w:t>
      </w:r>
    </w:p>
    <w:p>
      <w:r/>
      <w:r>
        <w:t xml:space="preserve">Os escritores do Novo Testamento referem-se às promessas do Antigo Testamento. Eles não viam essas promessas como afirmações separadas. Em vez disso, viam-nas como partes de uma única promessa, cumprida em Cristo (veja </w:t>
      </w:r>
      <w:hyperlink r:id="rId17707">
        <w:r>
          <w:rPr>
            <w:color w:val="0000EE"/>
            <w:u w:val="single"/>
          </w:rPr>
          <w:t>Lucas 1.54–55,69–73</w:t>
        </w:r>
      </w:hyperlink>
      <w:r>
        <w:t xml:space="preserve">; </w:t>
      </w:r>
      <w:hyperlink r:id="rId17708">
        <w:r>
          <w:rPr>
            <w:color w:val="0000EE"/>
            <w:u w:val="single"/>
          </w:rPr>
          <w:t>Atos 13.23,32–33</w:t>
        </w:r>
      </w:hyperlink>
      <w:r>
        <w:t xml:space="preserve">; </w:t>
      </w:r>
      <w:hyperlink r:id="rId17709">
        <w:r>
          <w:rPr>
            <w:color w:val="0000EE"/>
            <w:u w:val="single"/>
          </w:rPr>
          <w:t>26.6–7</w:t>
        </w:r>
      </w:hyperlink>
      <w:r>
        <w:t xml:space="preserve">; </w:t>
      </w:r>
      <w:hyperlink r:id="rId17710">
        <w:r>
          <w:rPr>
            <w:color w:val="0000EE"/>
            <w:u w:val="single"/>
          </w:rPr>
          <w:t>2 Coríntios 1.20</w:t>
        </w:r>
      </w:hyperlink>
      <w:r>
        <w:t>). Jesus cumpre as promessas feitas aos patriarcas e a Davi. Portanto, essas promessas devem ser vistas como focadas nele.</w:t>
      </w:r>
    </w:p>
    <w:p>
      <w:r/>
      <w:r>
        <w:t>Em Gálatas e Efésios, Paulo expande sobre isso. Ele diz aos cristãos gentios que eles são "co-herdeiros, co-membros do corpo e co-participantes da promessa em Cristo Jesus" (</w:t>
      </w:r>
      <w:hyperlink r:id="rId4412">
        <w:r>
          <w:rPr>
            <w:color w:val="0000EE"/>
            <w:u w:val="single"/>
          </w:rPr>
          <w:t>Efésios 3.6</w:t>
        </w:r>
      </w:hyperlink>
      <w:r>
        <w:t>). Paulo afirma que os gentios que confiam em Cristo são herdeiros da promessa. Eles agora fazem parte da descendência de Abraão (</w:t>
      </w:r>
      <w:hyperlink r:id="rId17711">
        <w:r>
          <w:rPr>
            <w:color w:val="0000EE"/>
            <w:u w:val="single"/>
          </w:rPr>
          <w:t>Gálatas 3.29</w:t>
        </w:r>
      </w:hyperlink>
      <w:r>
        <w:t>). Ele até equipara o evangelho à promessa dada a Abraão. Ele declara, "A Escritura previu que Deus justificaria os gentios pela fé e anunciou o evangelho a Abraão: 'Todas as nações serão abençoadas por seu intermédio'" (</w:t>
      </w:r>
      <w:hyperlink r:id="rId8658">
        <w:r>
          <w:rPr>
            <w:color w:val="0000EE"/>
            <w:u w:val="single"/>
          </w:rPr>
          <w:t>Gálatas 3.8</w:t>
        </w:r>
      </w:hyperlink>
      <w:r>
        <w:t>). Esses e outros textos do Novo Testamento estabelecem a estreita conexão entre a vinda de Cristo e o cumprimento da promessa. As promessas de Deus convergem em Cristo. Elas repousam em tudo o que ele alcançou e alcançará para seu povo.</w:t>
      </w:r>
    </w:p>
    <w:p>
      <w:r/>
      <w:r>
        <w:t>Um outro aspecto da promessa particularmente enfatizado no Novo Testamento diz respeito à vinda do Espírito Santo. Paulo chama os crentes de "selados com o prometido Espírito Santo" (</w:t>
      </w:r>
      <w:hyperlink r:id="rId3216">
        <w:r>
          <w:rPr>
            <w:color w:val="0000EE"/>
            <w:u w:val="single"/>
          </w:rPr>
          <w:t>Efésios 1.13</w:t>
        </w:r>
      </w:hyperlink>
      <w:r>
        <w:t>). Ele também diz que eles "recebem a promessa do Espírito" (</w:t>
      </w:r>
      <w:hyperlink r:id="rId10563">
        <w:r>
          <w:rPr>
            <w:color w:val="0000EE"/>
            <w:u w:val="single"/>
          </w:rPr>
          <w:t>Gálatas 3.14</w:t>
        </w:r>
      </w:hyperlink>
      <w:r>
        <w:t>). O dom do Espírito Santo cumpre uma promessa do Antigo Testamento (</w:t>
      </w:r>
      <w:hyperlink r:id="rId8370">
        <w:r>
          <w:rPr>
            <w:color w:val="0000EE"/>
            <w:u w:val="single"/>
          </w:rPr>
          <w:t>Isaías 32.15</w:t>
        </w:r>
      </w:hyperlink>
      <w:r>
        <w:t xml:space="preserve">; </w:t>
      </w:r>
      <w:hyperlink r:id="rId15532">
        <w:r>
          <w:rPr>
            <w:color w:val="0000EE"/>
            <w:u w:val="single"/>
          </w:rPr>
          <w:t>Ezequiel 36.27</w:t>
        </w:r>
      </w:hyperlink>
      <w:r>
        <w:t xml:space="preserve">; </w:t>
      </w:r>
      <w:hyperlink r:id="rId4970">
        <w:r>
          <w:rPr>
            <w:color w:val="0000EE"/>
            <w:u w:val="single"/>
          </w:rPr>
          <w:t>Joel 2.28</w:t>
        </w:r>
      </w:hyperlink>
      <w:r>
        <w:t>) e de Cristo (</w:t>
      </w:r>
      <w:hyperlink r:id="rId17289">
        <w:r>
          <w:rPr>
            <w:color w:val="0000EE"/>
            <w:u w:val="single"/>
          </w:rPr>
          <w:t>Lucas 24.49</w:t>
        </w:r>
      </w:hyperlink>
      <w:r>
        <w:t xml:space="preserve">; </w:t>
      </w:r>
      <w:hyperlink r:id="rId11109">
        <w:r>
          <w:rPr>
            <w:color w:val="0000EE"/>
            <w:u w:val="single"/>
          </w:rPr>
          <w:t>João 14.16,20</w:t>
        </w:r>
      </w:hyperlink>
      <w:r>
        <w:t xml:space="preserve">; </w:t>
      </w:r>
      <w:hyperlink r:id="rId17712">
        <w:r>
          <w:rPr>
            <w:color w:val="0000EE"/>
            <w:u w:val="single"/>
          </w:rPr>
          <w:t>Atos 1.4</w:t>
        </w:r>
      </w:hyperlink>
      <w:r>
        <w:t>). Mas, também é uma promessa de algo ainda futuro. Paulo fala da presença do Espírito Santo dentro do crente como uma garantia da nossa herança (</w:t>
      </w:r>
      <w:hyperlink r:id="rId887">
        <w:r>
          <w:rPr>
            <w:color w:val="0000EE"/>
            <w:u w:val="single"/>
          </w:rPr>
          <w:t>2 Coríntios 1.22</w:t>
        </w:r>
      </w:hyperlink>
      <w:r>
        <w:t xml:space="preserve">; </w:t>
      </w:r>
      <w:hyperlink r:id="rId888">
        <w:r>
          <w:rPr>
            <w:color w:val="0000EE"/>
            <w:u w:val="single"/>
          </w:rPr>
          <w:t>5.5</w:t>
        </w:r>
      </w:hyperlink>
      <w:r>
        <w:t xml:space="preserve">; </w:t>
      </w:r>
      <w:hyperlink r:id="rId10587">
        <w:r>
          <w:rPr>
            <w:color w:val="0000EE"/>
            <w:u w:val="single"/>
          </w:rPr>
          <w:t>Efésios 1.14</w:t>
        </w:r>
      </w:hyperlink>
      <w:r>
        <w:t>). O Espírito Santo é “as primícias” da glória futura (</w:t>
      </w:r>
      <w:hyperlink r:id="rId5974">
        <w:r>
          <w:rPr>
            <w:color w:val="0000EE"/>
            <w:u w:val="single"/>
          </w:rPr>
          <w:t>Romanos 8.23</w:t>
        </w:r>
      </w:hyperlink>
      <w:r>
        <w:t>).</w:t>
      </w:r>
    </w:p>
    <w:p>
      <w:r/>
      <w:r>
        <w:t xml:space="preserve">Um aspecto final do tema da promessa do Novo Testamento é a sua garantia da segunda vinda de Cristo e dos novos céus e nova terra (compare </w:t>
      </w:r>
      <w:hyperlink r:id="rId17713">
        <w:r>
          <w:rPr>
            <w:color w:val="0000EE"/>
            <w:u w:val="single"/>
          </w:rPr>
          <w:t>João 14.1–3</w:t>
        </w:r>
      </w:hyperlink>
      <w:r>
        <w:t xml:space="preserve">; </w:t>
      </w:r>
      <w:hyperlink r:id="rId17714">
        <w:r>
          <w:rPr>
            <w:color w:val="0000EE"/>
            <w:u w:val="single"/>
          </w:rPr>
          <w:t>2 Pedro 3.4,9,13</w:t>
        </w:r>
      </w:hyperlink>
      <w:r>
        <w:t>).</w:t>
      </w:r>
    </w:p>
    <w:p>
      <w:r/>
      <w:r>
        <w:rPr>
          <w:i/>
        </w:rPr>
        <w:t>Veja também</w:t>
      </w:r>
      <w:r>
        <w:t xml:space="preserve"> </w:t>
      </w:r>
      <w:r>
        <w:t>Aliança</w:t>
      </w:r>
      <w:r>
        <w:t xml:space="preserve">; </w:t>
      </w:r>
      <w:r>
        <w:t>Deus, Ser e Atributos de</w:t>
      </w:r>
      <w:r>
        <w:t xml:space="preserve">; </w:t>
      </w:r>
      <w:r>
        <w:t>Esperança</w:t>
      </w:r>
      <w:r>
        <w:t xml:space="preserve">; </w:t>
      </w:r>
      <w:r>
        <w:t>Profecia</w:t>
      </w:r>
      <w:r>
        <w:t xml:space="preserve">; </w:t>
      </w:r>
      <w:r>
        <w:t>Profeta, Profetisa</w:t>
      </w:r>
      <w:r>
        <w:t>.</w:t>
      </w:r>
      <w:r/>
      <w:r/>
    </w:p>
    <w:p>
      <w:r/>
    </w:p>
    <w:p>
      <w:pPr>
        <w:pStyle w:val="Heading2"/>
      </w:pPr>
      <w:r>
        <w:t>Prosélito</w:t>
      </w:r>
      <w:r/>
    </w:p>
    <w:p>
      <w:r/>
      <w:r>
        <w:t>Um gentio que se converteu ao Judaísmo por:</w:t>
      </w:r>
    </w:p>
    <w:p>
      <w:pPr>
        <w:pStyle w:val="ListNumber"/>
        <w:spacing w:line="240" w:lineRule="auto"/>
        <w:ind w:left="720"/>
      </w:pPr>
      <w:r/>
      <w:r>
        <w:t>Ser circuncidado;</w:t>
      </w:r>
    </w:p>
    <w:p>
      <w:pPr>
        <w:pStyle w:val="ListNumber"/>
        <w:spacing w:line="240" w:lineRule="auto"/>
        <w:ind w:left="720"/>
      </w:pPr>
      <w:r/>
      <w:r>
        <w:t>Ser batizado;</w:t>
      </w:r>
    </w:p>
    <w:p>
      <w:pPr>
        <w:pStyle w:val="ListNumber"/>
        <w:spacing w:line="240" w:lineRule="auto"/>
        <w:ind w:left="720"/>
      </w:pPr>
      <w:r/>
      <w:r>
        <w:t>Oferecer um sacrifício no templo.</w:t>
      </w:r>
    </w:p>
    <w:p>
      <w:r/>
      <w:r>
        <w:t>Nos tempos do Antigo Testamento, os estrangeiros na Palestina eram incentivados a aderir à religião de Israel. Eles precisavam ser circuncidados (</w:t>
      </w:r>
      <w:hyperlink r:id="rId10996">
        <w:r>
          <w:rPr>
            <w:color w:val="0000EE"/>
            <w:u w:val="single"/>
          </w:rPr>
          <w:t>Êx 12.48</w:t>
        </w:r>
      </w:hyperlink>
      <w:r>
        <w:t>).</w:t>
      </w:r>
    </w:p>
    <w:p>
      <w:r/>
      <w:r>
        <w:t xml:space="preserve">No entanto, o "proselitismo", ou a conversão de gentios dispostos, era mais comum em comunidades judaicas fora da Palestina. Os judeus viviam em muitas partes do mundo porque foram exilados ou devido a negócios ou serviço militar. Eles naturalmente levavam suas crenças e práticas religiosas com eles. O modo de vida judaico atraía muitos gentios. Eles estavam acostumados a adorar muitos deuses (politeísmo) e admiravam a crença do judaísmo em um único Deus (monoteísmo) e sua alta ética. Muitos gentios se conectavam com a fé judaica através da vida na sinagoga (veja </w:t>
      </w:r>
      <w:hyperlink r:id="rId11353">
        <w:r>
          <w:rPr>
            <w:color w:val="0000EE"/>
            <w:u w:val="single"/>
          </w:rPr>
          <w:t>Is 56.1–8</w:t>
        </w:r>
      </w:hyperlink>
      <w:r>
        <w:t xml:space="preserve">; </w:t>
      </w:r>
      <w:hyperlink r:id="rId10983">
        <w:r>
          <w:rPr>
            <w:color w:val="0000EE"/>
            <w:u w:val="single"/>
          </w:rPr>
          <w:t>Ml 1.11</w:t>
        </w:r>
      </w:hyperlink>
      <w:r>
        <w:t xml:space="preserve">). Os judeus buscavam converter gentios antes de Cristo e na era inicial do Novo Testamento. Tanto fontes judaicas não bíblicas, como Filo e Josefo, quanto escritores romanos, como Horácio, Sêneca e Tácito, confirmam isso. Isso continuou até a vida de Cristo (veja </w:t>
      </w:r>
      <w:hyperlink r:id="rId9805">
        <w:r>
          <w:rPr>
            <w:color w:val="0000EE"/>
            <w:u w:val="single"/>
          </w:rPr>
          <w:t>Mt 23.15</w:t>
        </w:r>
      </w:hyperlink>
      <w:r>
        <w:t>).</w:t>
      </w:r>
    </w:p>
    <w:p>
      <w:r/>
      <w:r>
        <w:t>Os buscadores mais dedicados do Judaísmo tornaram-se judeus completos através de um ritual de três etapas:</w:t>
      </w:r>
    </w:p>
    <w:p>
      <w:pPr>
        <w:pStyle w:val="ListNumber"/>
        <w:spacing w:line="240" w:lineRule="auto"/>
        <w:ind w:left="720"/>
      </w:pPr>
      <w:r/>
      <w:r>
        <w:rPr>
          <w:b/>
        </w:rPr>
        <w:t>Circuncisão</w:t>
      </w:r>
      <w:r>
        <w:t xml:space="preserve"> (para homens);</w:t>
      </w:r>
    </w:p>
    <w:p>
      <w:pPr>
        <w:pStyle w:val="ListNumber"/>
        <w:spacing w:line="240" w:lineRule="auto"/>
        <w:ind w:left="720"/>
      </w:pPr>
      <w:r/>
      <w:r>
        <w:rPr>
          <w:b/>
        </w:rPr>
        <w:t>Batismo</w:t>
      </w:r>
      <w:r>
        <w:t xml:space="preserve"> para romper com seu passado não judeu;</w:t>
      </w:r>
    </w:p>
    <w:p>
      <w:pPr>
        <w:pStyle w:val="ListNumber"/>
        <w:spacing w:line="240" w:lineRule="auto"/>
        <w:ind w:left="720"/>
      </w:pPr>
      <w:r/>
      <w:r>
        <w:rPr>
          <w:b/>
        </w:rPr>
        <w:t>Sacrifício</w:t>
      </w:r>
      <w:r>
        <w:t xml:space="preserve"> no templo de Jerusalém.</w:t>
      </w:r>
    </w:p>
    <w:p>
      <w:r/>
      <w:r>
        <w:t>Esses convertidos eram chamados de "prosélitos." Eles eram considerados verdadeiros judeus, totalmente obrigados a seguir todas as leis do Antigo Testamento.</w:t>
      </w:r>
    </w:p>
    <w:p>
      <w:r/>
      <w:r>
        <w:t xml:space="preserve">Alguns gentios admiravam o monoteísmo e a moral do judaísmo. Eles eram atraídos pela vida na sinagoga, mas não queriam ser circuncidados. Essas pessoas eram conhecidas como "tementes a Deus" (veja </w:t>
      </w:r>
      <w:hyperlink r:id="rId16449">
        <w:r>
          <w:rPr>
            <w:color w:val="0000EE"/>
            <w:u w:val="single"/>
          </w:rPr>
          <w:t>At 10.22</w:t>
        </w:r>
      </w:hyperlink>
      <w:r>
        <w:t xml:space="preserve">; </w:t>
      </w:r>
      <w:hyperlink r:id="rId17715">
        <w:r>
          <w:rPr>
            <w:color w:val="0000EE"/>
            <w:u w:val="single"/>
          </w:rPr>
          <w:t>13.16,26</w:t>
        </w:r>
      </w:hyperlink>
      <w:r>
        <w:t>) ou "devotos" (</w:t>
      </w:r>
      <w:hyperlink r:id="rId4400">
        <w:r>
          <w:rPr>
            <w:color w:val="0000EE"/>
            <w:u w:val="single"/>
          </w:rPr>
          <w:t>At 10.2</w:t>
        </w:r>
      </w:hyperlink>
      <w:r>
        <w:t xml:space="preserve">; </w:t>
      </w:r>
      <w:hyperlink r:id="rId7098">
        <w:r>
          <w:rPr>
            <w:color w:val="0000EE"/>
            <w:u w:val="single"/>
          </w:rPr>
          <w:t>17.4,17</w:t>
        </w:r>
      </w:hyperlink>
      <w:r>
        <w:t>). Alguns judeus os viam favoravelmente, mas outros os consideravam não melhores do que outros gentios.</w:t>
      </w:r>
    </w:p>
    <w:p>
      <w:r/>
      <w:r>
        <w:rPr>
          <w:i/>
        </w:rPr>
        <w:t>Veja também</w:t>
      </w:r>
      <w:r>
        <w:t xml:space="preserve"> </w:t>
      </w:r>
      <w:r>
        <w:t>Diáspora dos Judeus</w:t>
      </w:r>
      <w:r>
        <w:t xml:space="preserve">; </w:t>
      </w:r>
      <w:r>
        <w:t>Temente a Deus</w:t>
      </w:r>
      <w:r>
        <w:t xml:space="preserve">; </w:t>
      </w:r>
      <w:r>
        <w:t>Judeu</w:t>
      </w:r>
      <w:r>
        <w:t>.</w:t>
      </w:r>
      <w:r/>
      <w:r/>
    </w:p>
    <w:p>
      <w:r/>
    </w:p>
    <w:p>
      <w:pPr>
        <w:pStyle w:val="Heading2"/>
      </w:pPr>
      <w:r>
        <w:t>Prostituta, Prostituição</w:t>
      </w:r>
      <w:r/>
    </w:p>
    <w:p>
      <w:r/>
      <w:r>
        <w:t>Uma pessoa culpada de relações sexuais ilícitas ou proibidas. Uma prostituta é, às vezes, usada para representar alguém que adora um ídolo.</w:t>
      </w:r>
    </w:p>
    <w:p>
      <w:r/>
      <w:r>
        <w:t>Essa palavra traduz quatro palavras distintas com significados diferentes:</w:t>
      </w:r>
    </w:p>
    <w:p>
      <w:pPr>
        <w:pStyle w:val="ListNumber"/>
        <w:spacing w:line="240" w:lineRule="auto"/>
        <w:ind w:left="720"/>
      </w:pPr>
      <w:r/>
      <w:r>
        <w:t>O homem ou mulher, casado ou solteiro, que se envolveu em comportamento sexual ilícito (</w:t>
      </w:r>
      <w:hyperlink r:id="rId17716">
        <w:r>
          <w:rPr>
            <w:color w:val="0000EE"/>
            <w:u w:val="single"/>
          </w:rPr>
          <w:t>Gn 34.31</w:t>
        </w:r>
      </w:hyperlink>
      <w:r>
        <w:t xml:space="preserve">; </w:t>
      </w:r>
      <w:hyperlink r:id="rId17717">
        <w:r>
          <w:rPr>
            <w:color w:val="0000EE"/>
            <w:u w:val="single"/>
          </w:rPr>
          <w:t>Jz 19.2</w:t>
        </w:r>
      </w:hyperlink>
      <w:r>
        <w:t xml:space="preserve">; </w:t>
      </w:r>
      <w:hyperlink r:id="rId17718">
        <w:r>
          <w:rPr>
            <w:color w:val="0000EE"/>
            <w:u w:val="single"/>
          </w:rPr>
          <w:t>Pv 23.27</w:t>
        </w:r>
      </w:hyperlink>
      <w:r>
        <w:t>);</w:t>
      </w:r>
    </w:p>
    <w:p>
      <w:pPr>
        <w:pStyle w:val="ListNumber"/>
        <w:spacing w:line="240" w:lineRule="auto"/>
        <w:ind w:left="720"/>
      </w:pPr>
      <w:r/>
      <w:r>
        <w:t>A prostituta do templo de uma religião pagã que utilizava a prática sexual como parte do culto (</w:t>
      </w:r>
      <w:hyperlink r:id="rId17719">
        <w:r>
          <w:rPr>
            <w:color w:val="0000EE"/>
            <w:u w:val="single"/>
          </w:rPr>
          <w:t>Gn 38.21–22</w:t>
        </w:r>
      </w:hyperlink>
      <w:r>
        <w:t xml:space="preserve">; </w:t>
      </w:r>
      <w:hyperlink r:id="rId17720">
        <w:r>
          <w:rPr>
            <w:color w:val="0000EE"/>
            <w:u w:val="single"/>
          </w:rPr>
          <w:t>Dt 23.17</w:t>
        </w:r>
      </w:hyperlink>
      <w:r>
        <w:t xml:space="preserve">; </w:t>
      </w:r>
      <w:hyperlink r:id="rId17721">
        <w:r>
          <w:rPr>
            <w:color w:val="0000EE"/>
            <w:u w:val="single"/>
          </w:rPr>
          <w:t>Os 4.14</w:t>
        </w:r>
      </w:hyperlink>
      <w:r>
        <w:t>). A lei de Moisés proibia essa prática (</w:t>
      </w:r>
      <w:hyperlink r:id="rId17722">
        <w:r>
          <w:rPr>
            <w:color w:val="0000EE"/>
            <w:u w:val="single"/>
          </w:rPr>
          <w:t>Lv 19.29</w:t>
        </w:r>
      </w:hyperlink>
      <w:r>
        <w:t xml:space="preserve">; </w:t>
      </w:r>
      <w:hyperlink r:id="rId7260">
        <w:r>
          <w:rPr>
            <w:color w:val="0000EE"/>
            <w:u w:val="single"/>
          </w:rPr>
          <w:t>21.9</w:t>
        </w:r>
      </w:hyperlink>
      <w:r>
        <w:t>);</w:t>
      </w:r>
    </w:p>
    <w:p>
      <w:pPr>
        <w:pStyle w:val="ListNumber"/>
        <w:spacing w:line="240" w:lineRule="auto"/>
        <w:ind w:left="720"/>
      </w:pPr>
      <w:r/>
      <w:r>
        <w:t>A "mulher estranha" era outro tipo de prostituta (</w:t>
      </w:r>
      <w:hyperlink r:id="rId4568">
        <w:r>
          <w:rPr>
            <w:color w:val="0000EE"/>
            <w:u w:val="single"/>
          </w:rPr>
          <w:t>1Rs 11.1</w:t>
        </w:r>
      </w:hyperlink>
      <w:r>
        <w:t xml:space="preserve">; </w:t>
      </w:r>
      <w:hyperlink r:id="rId17723">
        <w:r>
          <w:rPr>
            <w:color w:val="0000EE"/>
            <w:u w:val="single"/>
          </w:rPr>
          <w:t>Pv 5.20</w:t>
        </w:r>
      </w:hyperlink>
      <w:r>
        <w:t xml:space="preserve">; </w:t>
      </w:r>
      <w:hyperlink r:id="rId17724">
        <w:r>
          <w:rPr>
            <w:color w:val="0000EE"/>
            <w:u w:val="single"/>
          </w:rPr>
          <w:t>6.24</w:t>
        </w:r>
      </w:hyperlink>
      <w:r>
        <w:t xml:space="preserve">; </w:t>
      </w:r>
      <w:hyperlink r:id="rId17725">
        <w:r>
          <w:rPr>
            <w:color w:val="0000EE"/>
            <w:u w:val="single"/>
          </w:rPr>
          <w:t>7.5</w:t>
        </w:r>
      </w:hyperlink>
      <w:r>
        <w:t xml:space="preserve">; </w:t>
      </w:r>
      <w:hyperlink r:id="rId17718">
        <w:r>
          <w:rPr>
            <w:color w:val="0000EE"/>
            <w:u w:val="single"/>
          </w:rPr>
          <w:t>23.27</w:t>
        </w:r>
      </w:hyperlink>
      <w:r>
        <w:t>). Existem diferentes opiniões sobre por que esse nome foi dado às prostitutas. Pode ter se referido a uma mulher que não era a própria esposa de alguém (</w:t>
      </w:r>
      <w:hyperlink r:id="rId17726">
        <w:r>
          <w:rPr>
            <w:color w:val="0000EE"/>
            <w:u w:val="single"/>
          </w:rPr>
          <w:t>Pv 5.17–20</w:t>
        </w:r>
      </w:hyperlink>
      <w:r>
        <w:t>) ou a uma mulher estrangeira (</w:t>
      </w:r>
      <w:hyperlink r:id="rId14390">
        <w:r>
          <w:rPr>
            <w:color w:val="0000EE"/>
            <w:u w:val="single"/>
          </w:rPr>
          <w:t>Nm 25.1</w:t>
        </w:r>
      </w:hyperlink>
      <w:r>
        <w:t xml:space="preserve">; </w:t>
      </w:r>
      <w:hyperlink r:id="rId5927">
        <w:r>
          <w:rPr>
            <w:color w:val="0000EE"/>
            <w:u w:val="single"/>
          </w:rPr>
          <w:t>Js 23.13</w:t>
        </w:r>
      </w:hyperlink>
      <w:r>
        <w:t>);</w:t>
      </w:r>
    </w:p>
    <w:p>
      <w:pPr>
        <w:pStyle w:val="ListNumber"/>
        <w:spacing w:line="240" w:lineRule="auto"/>
        <w:ind w:left="720"/>
      </w:pPr>
      <w:r/>
      <w:r>
        <w:t>Qualquer mulher, casada ou solteira, que se envolva em atividade sexual ilícita por luxúria ou dinheiro (</w:t>
      </w:r>
      <w:hyperlink r:id="rId17727">
        <w:r>
          <w:rPr>
            <w:color w:val="0000EE"/>
            <w:u w:val="single"/>
          </w:rPr>
          <w:t>Mt 21.31–32</w:t>
        </w:r>
      </w:hyperlink>
      <w:r>
        <w:t xml:space="preserve">; </w:t>
      </w:r>
      <w:hyperlink r:id="rId17728">
        <w:r>
          <w:rPr>
            <w:color w:val="0000EE"/>
            <w:u w:val="single"/>
          </w:rPr>
          <w:t>Lc 15.30</w:t>
        </w:r>
      </w:hyperlink>
      <w:r>
        <w:t xml:space="preserve">; </w:t>
      </w:r>
      <w:hyperlink r:id="rId17729">
        <w:r>
          <w:rPr>
            <w:color w:val="0000EE"/>
            <w:u w:val="single"/>
          </w:rPr>
          <w:t>1Co 6.15–16</w:t>
        </w:r>
      </w:hyperlink>
      <w:r>
        <w:t xml:space="preserve">; </w:t>
      </w:r>
      <w:hyperlink r:id="rId17730">
        <w:r>
          <w:rPr>
            <w:color w:val="0000EE"/>
            <w:u w:val="single"/>
          </w:rPr>
          <w:t>Hb 11.31</w:t>
        </w:r>
      </w:hyperlink>
      <w:r>
        <w:t xml:space="preserve">; </w:t>
      </w:r>
      <w:hyperlink r:id="rId17731">
        <w:r>
          <w:rPr>
            <w:color w:val="0000EE"/>
            <w:u w:val="single"/>
          </w:rPr>
          <w:t>Tg 2.25</w:t>
        </w:r>
      </w:hyperlink>
      <w:r>
        <w:t>).</w:t>
      </w:r>
    </w:p>
    <w:p>
      <w:r/>
      <w:r>
        <w:t>A prostituição surgiu cedo na história de Israel e continuou ao longo do período bíblico. A Bíblia geralmente condena a prostituição. E.g., a filha de um sacerdote que praticasse prostituição deveria ser queimada até a morte (</w:t>
      </w:r>
      <w:hyperlink r:id="rId7260">
        <w:r>
          <w:rPr>
            <w:color w:val="0000EE"/>
            <w:u w:val="single"/>
          </w:rPr>
          <w:t>Lv 21.9</w:t>
        </w:r>
      </w:hyperlink>
      <w:r>
        <w:t>). Sacerdotes não podiam se casar com prostitutas (</w:t>
      </w:r>
      <w:hyperlink r:id="rId17722">
        <w:r>
          <w:rPr>
            <w:color w:val="0000EE"/>
            <w:u w:val="single"/>
          </w:rPr>
          <w:t>Lv 19.29</w:t>
        </w:r>
      </w:hyperlink>
      <w:r>
        <w:t>), e os ganhos da prostituição não podiam ser usados no templo (</w:t>
      </w:r>
      <w:hyperlink r:id="rId4496">
        <w:r>
          <w:rPr>
            <w:color w:val="0000EE"/>
            <w:u w:val="single"/>
          </w:rPr>
          <w:t>Dt 23.18</w:t>
        </w:r>
      </w:hyperlink>
      <w:r>
        <w:t>). Essas regras mantinham o culto ao Senhor livre da prostituição cultual.</w:t>
      </w:r>
    </w:p>
    <w:p>
      <w:r/>
      <w:r>
        <w:t>Os filhos de Jacó mataram Hamor e Siquém, dizendo: “Ele deveria ter tratado nossa irmã como uma prostituta?” (</w:t>
      </w:r>
      <w:hyperlink r:id="rId17716">
        <w:r>
          <w:rPr>
            <w:color w:val="0000EE"/>
            <w:u w:val="single"/>
          </w:rPr>
          <w:t>Gn 34.31</w:t>
        </w:r>
      </w:hyperlink>
      <w:r>
        <w:t>). A esposa de Amazias foi punida tornando-se uma prostituta por seu mau tratamento ao profeta Amós (</w:t>
      </w:r>
      <w:hyperlink r:id="rId17732">
        <w:r>
          <w:rPr>
            <w:color w:val="0000EE"/>
            <w:u w:val="single"/>
          </w:rPr>
          <w:t>Am 7.17</w:t>
        </w:r>
      </w:hyperlink>
      <w:r>
        <w:t>).</w:t>
      </w:r>
    </w:p>
    <w:p>
      <w:r/>
      <w:r>
        <w:t>No primeiro século, prostitutas e cobradores de impostos eram ambos desprezados pelos judeus (</w:t>
      </w:r>
      <w:hyperlink r:id="rId17733">
        <w:r>
          <w:rPr>
            <w:color w:val="0000EE"/>
            <w:u w:val="single"/>
          </w:rPr>
          <w:t>Mt 21.32</w:t>
        </w:r>
      </w:hyperlink>
      <w:r>
        <w:t>). Paulo ensinou que o corpo de um cristão pertence a Cristo e não deve ser unido a uma prostituta (</w:t>
      </w:r>
      <w:hyperlink r:id="rId17729">
        <w:r>
          <w:rPr>
            <w:color w:val="0000EE"/>
            <w:u w:val="single"/>
          </w:rPr>
          <w:t>1Co 6.15–16</w:t>
        </w:r>
      </w:hyperlink>
      <w:r>
        <w:t>). Provérbios também adverte contra o envolvimento com prostitutas.</w:t>
      </w:r>
    </w:p>
    <w:p>
      <w:r/>
      <w:r>
        <w:t>No entanto, algumas histórias bíblicas retratam prostitutas de uma forma mais positiva. Tamar se disfarçou como uma prostituta para lembrar seu sogro de sua promessa (</w:t>
      </w:r>
      <w:hyperlink r:id="rId17734">
        <w:r>
          <w:rPr>
            <w:color w:val="0000EE"/>
            <w:u w:val="single"/>
          </w:rPr>
          <w:t>Gn 38.14–15</w:t>
        </w:r>
      </w:hyperlink>
      <w:r>
        <w:t>). Raabe, uma prostituta, desempenhou um papel significativo na história hebraica ao ajudar os espiões (</w:t>
      </w:r>
      <w:hyperlink r:id="rId17735">
        <w:r>
          <w:rPr>
            <w:color w:val="0000EE"/>
            <w:u w:val="single"/>
          </w:rPr>
          <w:t>Js 2.4–16</w:t>
        </w:r>
      </w:hyperlink>
      <w:r>
        <w:t xml:space="preserve">; </w:t>
      </w:r>
      <w:hyperlink r:id="rId17730">
        <w:r>
          <w:rPr>
            <w:color w:val="0000EE"/>
            <w:u w:val="single"/>
          </w:rPr>
          <w:t>Hb 11.31</w:t>
        </w:r>
      </w:hyperlink>
      <w:r>
        <w:t>).</w:t>
      </w:r>
    </w:p>
    <w:p>
      <w:r/>
      <w:r>
        <w:t>Figurativamente, “prostituta” e “prostituição” são usados para descrever idolatria, especialmente nos livros proféticos (</w:t>
      </w:r>
      <w:hyperlink r:id="rId5562">
        <w:r>
          <w:rPr>
            <w:color w:val="0000EE"/>
            <w:u w:val="single"/>
          </w:rPr>
          <w:t>Jr 2.20</w:t>
        </w:r>
      </w:hyperlink>
      <w:r>
        <w:t xml:space="preserve">; </w:t>
      </w:r>
      <w:hyperlink r:id="rId17736">
        <w:r>
          <w:rPr>
            <w:color w:val="0000EE"/>
            <w:u w:val="single"/>
          </w:rPr>
          <w:t>Ap 17.1,5,15</w:t>
        </w:r>
      </w:hyperlink>
      <w:hyperlink r:id="rId2130">
        <w:r>
          <w:rPr>
            <w:color w:val="0000EE"/>
            <w:u w:val="single"/>
          </w:rPr>
          <w:t>–</w:t>
        </w:r>
      </w:hyperlink>
      <w:hyperlink r:id="rId17736">
        <w:r>
          <w:rPr>
            <w:color w:val="0000EE"/>
            <w:u w:val="single"/>
          </w:rPr>
          <w:t>16</w:t>
        </w:r>
      </w:hyperlink>
      <w:r>
        <w:t xml:space="preserve">; </w:t>
      </w:r>
      <w:hyperlink r:id="rId9634">
        <w:r>
          <w:rPr>
            <w:color w:val="0000EE"/>
            <w:u w:val="single"/>
          </w:rPr>
          <w:t>19.2</w:t>
        </w:r>
      </w:hyperlink>
      <w:r>
        <w:t>). Esta metáfora é baseada na relação entre o Senhor e Seu povo (</w:t>
      </w:r>
      <w:hyperlink r:id="rId17737">
        <w:r>
          <w:rPr>
            <w:color w:val="0000EE"/>
            <w:u w:val="single"/>
          </w:rPr>
          <w:t>Jr 3.20</w:t>
        </w:r>
      </w:hyperlink>
      <w:r>
        <w:t>). Quando as pessoas adoravam outros deuses, eram vistas como infiéis ou "prostitutas" (</w:t>
      </w:r>
      <w:hyperlink r:id="rId17738">
        <w:r>
          <w:rPr>
            <w:color w:val="0000EE"/>
            <w:u w:val="single"/>
          </w:rPr>
          <w:t>Jz 8.33</w:t>
        </w:r>
      </w:hyperlink>
      <w:r>
        <w:t>). A mesma ideia é encontrada no Novo Testamento (</w:t>
      </w:r>
      <w:hyperlink r:id="rId2035">
        <w:r>
          <w:rPr>
            <w:color w:val="0000EE"/>
            <w:u w:val="single"/>
          </w:rPr>
          <w:t>Ap 17</w:t>
        </w:r>
      </w:hyperlink>
      <w:r>
        <w:t>).</w:t>
      </w:r>
      <w:r/>
      <w:r/>
    </w:p>
    <w:p>
      <w:r/>
    </w:p>
    <w:p>
      <w:pPr>
        <w:pStyle w:val="Heading2"/>
      </w:pPr>
      <w:r>
        <w:t>Protoevangelho</w:t>
      </w:r>
      <w:r/>
    </w:p>
    <w:p>
      <w:r/>
      <w:r>
        <w:t xml:space="preserve">Uma palavra que significa "primeiro evangelho". É uma combinação de duas palavras gregas: </w:t>
      </w:r>
      <w:r>
        <w:rPr>
          <w:i/>
        </w:rPr>
        <w:t xml:space="preserve">protos </w:t>
      </w:r>
      <w:r>
        <w:t xml:space="preserve">(significando "primeiro") e </w:t>
      </w:r>
      <w:r>
        <w:rPr>
          <w:i/>
        </w:rPr>
        <w:t xml:space="preserve">evangelion </w:t>
      </w:r>
      <w:r>
        <w:t>(significando "evangelho" ou "boas-novas")</w:t>
      </w:r>
      <w:r>
        <w:rPr>
          <w:i/>
        </w:rPr>
        <w:t>.</w:t>
      </w:r>
    </w:p>
    <w:p>
      <w:r/>
      <w:r>
        <w:t>Refere-se à primeira mensagem de redenção que Deus falou após a queda do homem (quando os humanos pecaram pela primeira vez). Falando a Satanás (encarnado em uma serpente), Deus disse: "E porei inimizade entre você e a mulher, e entre a sua descendência e a descendência dela. Ele esmagará a sua cabeça, e você ferirá o calcanhar dele" (</w:t>
      </w:r>
      <w:hyperlink r:id="rId309">
        <w:r>
          <w:rPr>
            <w:color w:val="0000EE"/>
            <w:u w:val="single"/>
          </w:rPr>
          <w:t>Gênesis 3.15</w:t>
        </w:r>
      </w:hyperlink>
      <w:r>
        <w:t>).</w:t>
      </w:r>
    </w:p>
    <w:p>
      <w:r/>
      <w:r>
        <w:t>Neste protevangelho (ou primeiro evangelho), temos a primeira revelação tanto da humanidade (sua descendência) quanto da divindade (esmagando a cabeça da serpente) do grande Libertador. Deus promete um Libertador que destruirá Satanás, mas sofrerá no processo. Isso se refere à morte de Jesus na cruz. Ao sofrer essa morte, Jesus derrotou o diabo que tinha o poder da morte (</w:t>
      </w:r>
      <w:hyperlink r:id="rId10412">
        <w:r>
          <w:rPr>
            <w:color w:val="0000EE"/>
            <w:u w:val="single"/>
          </w:rPr>
          <w:t>Hebreus 2.14</w:t>
        </w:r>
      </w:hyperlink>
      <w:r>
        <w:t>).</w:t>
      </w:r>
      <w:r/>
      <w:r/>
    </w:p>
    <w:p>
      <w:r/>
    </w:p>
    <w:p>
      <w:pPr>
        <w:pStyle w:val="Heading2"/>
      </w:pPr>
      <w:r>
        <w:t>Provação de Ciúmes</w:t>
      </w:r>
      <w:r/>
    </w:p>
    <w:p>
      <w:r/>
      <w:r>
        <w:t xml:space="preserve">A Provação de Ciúmes era uma cerimônia descrita em </w:t>
      </w:r>
      <w:hyperlink r:id="rId12620">
        <w:r>
          <w:rPr>
            <w:color w:val="0000EE"/>
            <w:u w:val="single"/>
          </w:rPr>
          <w:t>Números 5.11–28</w:t>
        </w:r>
      </w:hyperlink>
      <w:r>
        <w:t>. Esse procedimento era usado quando um marido suspeitava que sua esposa havia cometido adultério, mas não tinha prova. O processo funcionava assim:</w:t>
      </w:r>
    </w:p>
    <w:p>
      <w:r/>
      <w:r>
        <w:t>O marido levava sua esposa ao sacerdote juntamente com uma oferta de cereais. A esposa tinha que fazer um juramento diante de Deus. Em seguida, ela precisava beber uma água “amarga” misturada com pó retirado do chão do tabernáculo. Enquanto a mulher bebia essa água, o sacerdote oferecia a oferta de ciúmes a Deus.</w:t>
      </w:r>
    </w:p>
    <w:p>
      <w:r/>
      <w:r>
        <w:t>Se a mulher fosse culpada de adultério, seu corpo reagiria mal e “seu ventre incharia, sua coxa murcharia” (</w:t>
      </w:r>
      <w:hyperlink r:id="rId23">
        <w:r>
          <w:rPr>
            <w:color w:val="0000EE"/>
            <w:u w:val="single"/>
          </w:rPr>
          <w:t>Nm 5.27</w:t>
        </w:r>
      </w:hyperlink>
      <w:r>
        <w:t>). Ela também se tornaria amaldiçoada entre o povo. Se ela fosse inocente de adultério, nada de ruim aconteceria ao seu corpo.</w:t>
      </w:r>
    </w:p>
    <w:p>
      <w:r/>
      <w:r>
        <w:rPr>
          <w:i/>
        </w:rPr>
        <w:t xml:space="preserve">Veja </w:t>
      </w:r>
      <w:r>
        <w:t>Amargura ou ciúme, Água de</w:t>
      </w:r>
      <w:r>
        <w:t>.</w:t>
      </w:r>
      <w:r/>
      <w:r/>
    </w:p>
    <w:p>
      <w:r/>
    </w:p>
    <w:p>
      <w:pPr>
        <w:pStyle w:val="Heading2"/>
      </w:pPr>
      <w:r>
        <w:t>Provérbios, Livro de</w:t>
      </w:r>
      <w:r/>
    </w:p>
    <w:p>
      <w:r/>
      <w:r>
        <w:t>Terceiro livro poético no AT. Uma coleção de expressões marcantes e epigramáticas sobre sabedoria prática por meio de exemplos, advertências ou preceitos.</w:t>
      </w:r>
    </w:p>
    <w:p>
      <w:r/>
      <w:r>
        <w:t>Resumo</w:t>
      </w:r>
    </w:p>
    <w:p>
      <w:r/>
      <w:r>
        <w:t>• Autores</w:t>
      </w:r>
    </w:p>
    <w:p>
      <w:r/>
      <w:r>
        <w:t>• Data</w:t>
      </w:r>
    </w:p>
    <w:p>
      <w:r/>
      <w:r>
        <w:t>• Contexto</w:t>
      </w:r>
    </w:p>
    <w:p>
      <w:r/>
      <w:r>
        <w:t>• Propósito e teologia</w:t>
      </w:r>
    </w:p>
    <w:p>
      <w:r/>
      <w:r>
        <w:t>• Conteúdo</w:t>
      </w:r>
    </w:p>
    <w:p>
      <w:pPr>
        <w:pStyle w:val="Heading3"/>
      </w:pPr>
      <w:r>
        <w:t>Autores</w:t>
      </w:r>
    </w:p>
    <w:p>
      <w:r/>
      <w:r>
        <w:t>Embora exista uma unidade subjacente de pensamento no livro de Provérbios, não se presume uma unidade de autoria, já que os escritores das sete ou mais seções em que o livro está dividido são, na maioria dos casos, claramente mencionados.</w:t>
      </w:r>
    </w:p>
    <w:p>
      <w:pPr>
        <w:pStyle w:val="Heading4"/>
      </w:pPr>
      <w:hyperlink r:id="rId17739">
        <w:r>
          <w:rPr>
            <w:color w:val="0000EE"/>
            <w:u w:val="single"/>
          </w:rPr>
          <w:t>1.1–9.18</w:t>
        </w:r>
      </w:hyperlink>
    </w:p>
    <w:p>
      <w:r/>
      <w:r>
        <w:t>Há uma divisão de opiniões sobre se o versículo de abertura se refere à autoria salomônica desta seção ou se simplesmente destaca o nome do principal contribuinte de todo o livro. Argumenta-se que o homem que escreveu tão cuidadosamente sobre o perigo de relacionamentos promíscuos com mulheres imorais — um dos temas principais desta seção — provavelmente não é Salomão, que falhou significativamente na questão dos casamentos mistos (</w:t>
      </w:r>
      <w:hyperlink r:id="rId4513">
        <w:r>
          <w:rPr>
            <w:color w:val="0000EE"/>
            <w:u w:val="single"/>
          </w:rPr>
          <w:t>1Rs 11.1–8</w:t>
        </w:r>
      </w:hyperlink>
      <w:r>
        <w:t xml:space="preserve">). Há falhas nesse argumento. Alguém pode ser capaz de dar conselhos excelentes sem necessariamente ter a força de caráter para segui-los, e há uma distinção entre as prostitutas sedutoras ou adúlteras de </w:t>
      </w:r>
      <w:hyperlink r:id="rId17740">
        <w:r>
          <w:rPr>
            <w:color w:val="0000EE"/>
            <w:u w:val="single"/>
          </w:rPr>
          <w:t>Provérbios 5.1–21,6.20–35,7.1–27</w:t>
        </w:r>
      </w:hyperlink>
      <w:r>
        <w:t xml:space="preserve"> e os relacionamentos polígamos, mas respeitáveis, de Salomão. No entanto, a questão da autoria provavelmente deve ser deixada em aberto. Aqueles que questionam a origem salomônica desta seção consideram </w:t>
      </w:r>
      <w:hyperlink r:id="rId17741">
        <w:r>
          <w:rPr>
            <w:color w:val="0000EE"/>
            <w:u w:val="single"/>
          </w:rPr>
          <w:t>1.2–7</w:t>
        </w:r>
      </w:hyperlink>
      <w:r>
        <w:t xml:space="preserve"> como estabelecendo o propósito de todo o livro. </w:t>
      </w:r>
      <w:hyperlink r:id="rId17742">
        <w:r>
          <w:rPr>
            <w:color w:val="0000EE"/>
            <w:u w:val="single"/>
          </w:rPr>
          <w:t>Provérbios 1.8–9.18</w:t>
        </w:r>
      </w:hyperlink>
      <w:r>
        <w:t xml:space="preserve"> é uma série de 13 discursos práticos sobre sabedoria, dados amorosa e honestamente como por um pai a um filho. Isso fornece uma base indispensável para o ensino proverbial mais popular no restante do livro.</w:t>
      </w:r>
    </w:p>
    <w:p>
      <w:pPr>
        <w:pStyle w:val="Heading4"/>
      </w:pPr>
      <w:hyperlink r:id="rId17743">
        <w:r>
          <w:rPr>
            <w:color w:val="0000EE"/>
            <w:u w:val="single"/>
          </w:rPr>
          <w:t>10.1–22.16</w:t>
        </w:r>
      </w:hyperlink>
    </w:p>
    <w:p>
      <w:r/>
      <w:r>
        <w:t>Salomão é especificamente mencionado como o autor ou compilador desta seção principal de Provérbios. A probabilidade de que ele tenha desempenhado um papel importante na produção do livro de Provérbios encontra forte apoio nos livros históricos. Logo após sua coroação, ele foi dotado com o espírito de sabedoria — em resposta ao seu pedido (</w:t>
      </w:r>
      <w:hyperlink r:id="rId17744">
        <w:r>
          <w:rPr>
            <w:color w:val="0000EE"/>
            <w:u w:val="single"/>
          </w:rPr>
          <w:t>1Rs 3.5–14</w:t>
        </w:r>
      </w:hyperlink>
      <w:r>
        <w:t xml:space="preserve">). O incidente envolvendo as duas prostitutas (vv. </w:t>
      </w:r>
      <w:hyperlink r:id="rId17745">
        <w:r>
          <w:rPr>
            <w:color w:val="0000EE"/>
            <w:u w:val="single"/>
          </w:rPr>
          <w:t>16–28</w:t>
        </w:r>
      </w:hyperlink>
      <w:r>
        <w:t xml:space="preserve">) forneceu prova pública disso. Sua reputação universal, especialmente em relação à sabedoria proverbial, é atestada em </w:t>
      </w:r>
      <w:hyperlink r:id="rId17746">
        <w:r>
          <w:rPr>
            <w:color w:val="0000EE"/>
            <w:u w:val="single"/>
          </w:rPr>
          <w:t>1 Reis 4.29–34</w:t>
        </w:r>
      </w:hyperlink>
      <w:r>
        <w:t xml:space="preserve"> e na visita da Rainha de Sabá (</w:t>
      </w:r>
      <w:hyperlink r:id="rId17747">
        <w:r>
          <w:rPr>
            <w:color w:val="0000EE"/>
            <w:u w:val="single"/>
          </w:rPr>
          <w:t>10.1–13</w:t>
        </w:r>
      </w:hyperlink>
      <w:r>
        <w:t>).</w:t>
      </w:r>
    </w:p>
    <w:p>
      <w:pPr>
        <w:pStyle w:val="Heading4"/>
      </w:pPr>
      <w:hyperlink r:id="rId17748">
        <w:r>
          <w:rPr>
            <w:color w:val="0000EE"/>
            <w:u w:val="single"/>
          </w:rPr>
          <w:t>22.17–24.34</w:t>
        </w:r>
      </w:hyperlink>
    </w:p>
    <w:p>
      <w:r/>
      <w:r>
        <w:t>O título “o que os sábios disseram” (</w:t>
      </w:r>
      <w:hyperlink r:id="rId17749">
        <w:r>
          <w:rPr>
            <w:color w:val="0000EE"/>
            <w:u w:val="single"/>
          </w:rPr>
          <w:t>Pv 22.17</w:t>
        </w:r>
      </w:hyperlink>
      <w:r>
        <w:t>, NTLH) está incorporado no versículo de abertura desta seção. Há uma evidente diferença de estilo, substituindo o simples provérbio de um versículo por uma abordagem mais discursiva que trata de um assunto ao longo de vários versículos, e o título da próxima subseção “Estas coisas também foram ditas por homens sábios” (</w:t>
      </w:r>
      <w:hyperlink r:id="rId17750">
        <w:r>
          <w:rPr>
            <w:color w:val="0000EE"/>
            <w:u w:val="single"/>
          </w:rPr>
          <w:t>24.23</w:t>
        </w:r>
      </w:hyperlink>
      <w:r>
        <w:t xml:space="preserve">), sugerem fortemente a independência desta coleção. De grande interesse é o notavelmente próximo paralelo entre </w:t>
      </w:r>
      <w:hyperlink r:id="rId17751">
        <w:r>
          <w:rPr>
            <w:color w:val="0000EE"/>
            <w:u w:val="single"/>
          </w:rPr>
          <w:t>22.17–23.11</w:t>
        </w:r>
      </w:hyperlink>
      <w:r>
        <w:t xml:space="preserve"> e o livro egípcio de Amenemope, que foi datado de várias maneiras entre os séculos XIII e VII a.C. Os estudiosos detectaram até 30 conexões entre os dois. A maioria acredita que esta seção em Provérbios é uma adaptação de um original egípcio (tal seleção e modificação sendo inteiramente congruentes com a doutrina da inspiração). No entanto, uma minoria de estudiosos, incluindo vários egiptólogos proeminentes, argumenta de forma persuasiva com base na estrutura gramatical que Amenemope é derivado de um original hebraico.</w:t>
      </w:r>
    </w:p>
    <w:p>
      <w:pPr>
        <w:pStyle w:val="Heading4"/>
      </w:pPr>
      <w:hyperlink r:id="rId8885">
        <w:r>
          <w:rPr>
            <w:color w:val="0000EE"/>
            <w:u w:val="single"/>
          </w:rPr>
          <w:t>25.1–29.27</w:t>
        </w:r>
      </w:hyperlink>
    </w:p>
    <w:p>
      <w:r/>
      <w:r>
        <w:t>Algum material de Salomão foi editado e incorporado aqui pelos "homens de Ezequias, rei de Judá" (</w:t>
      </w:r>
      <w:hyperlink r:id="rId17752">
        <w:r>
          <w:rPr>
            <w:color w:val="0000EE"/>
            <w:u w:val="single"/>
          </w:rPr>
          <w:t>25.1</w:t>
        </w:r>
      </w:hyperlink>
      <w:r>
        <w:t xml:space="preserve">). Nesta seção, há uma tendência de agrupar provérbios que tratam de assuntos específicos — por exemplo, a relação entre um rei e seus súditos (vv. </w:t>
      </w:r>
      <w:hyperlink r:id="rId17753">
        <w:r>
          <w:rPr>
            <w:color w:val="0000EE"/>
            <w:u w:val="single"/>
          </w:rPr>
          <w:t>2–7</w:t>
        </w:r>
      </w:hyperlink>
      <w:r>
        <w:t>), o homem preguiçoso (</w:t>
      </w:r>
      <w:hyperlink r:id="rId17754">
        <w:r>
          <w:rPr>
            <w:color w:val="0000EE"/>
            <w:u w:val="single"/>
          </w:rPr>
          <w:t>26.13–16</w:t>
        </w:r>
      </w:hyperlink>
      <w:r>
        <w:t xml:space="preserve">) e o criador de confusão (vv. </w:t>
      </w:r>
      <w:hyperlink r:id="rId17755">
        <w:r>
          <w:rPr>
            <w:color w:val="0000EE"/>
            <w:u w:val="single"/>
          </w:rPr>
          <w:t>17–27</w:t>
        </w:r>
      </w:hyperlink>
      <w:r>
        <w:t xml:space="preserve">). Salomão e Ezequias eram frequentemente associados no pensamento judaico (e.g., </w:t>
      </w:r>
      <w:hyperlink r:id="rId17756">
        <w:r>
          <w:rPr>
            <w:color w:val="0000EE"/>
            <w:u w:val="single"/>
          </w:rPr>
          <w:t>2Cr 30.26</w:t>
        </w:r>
      </w:hyperlink>
      <w:r>
        <w:t>), e a tradição rabínica creditava a Ezequias a produção tanto de Provérbios quanto de Eclesiastes. O prestígio nacional durante os reinados de ambos os reis teria sido propício para atividades literárias.</w:t>
      </w:r>
    </w:p>
    <w:p>
      <w:pPr>
        <w:pStyle w:val="Heading4"/>
      </w:pPr>
      <w:hyperlink r:id="rId619">
        <w:r>
          <w:rPr>
            <w:color w:val="0000EE"/>
            <w:u w:val="single"/>
          </w:rPr>
          <w:t>30.1–33</w:t>
        </w:r>
      </w:hyperlink>
    </w:p>
    <w:p>
      <w:r/>
      <w:r>
        <w:t xml:space="preserve">Nada se sabe sobre Agur, seu pai Jaque de Massá, ou os outros dois personagens mencionados, Itiel e Ucal. De acordo com </w:t>
      </w:r>
      <w:hyperlink r:id="rId621">
        <w:r>
          <w:rPr>
            <w:color w:val="0000EE"/>
            <w:u w:val="single"/>
          </w:rPr>
          <w:t>Gênesis 25.14</w:t>
        </w:r>
      </w:hyperlink>
      <w:r>
        <w:t>, Massá era um dos 12 filhos de Ismael, e é provável que Agur tenha vindo do norte da Arábia, uma área tradicionalmente conhecida por sua sabedoria.</w:t>
      </w:r>
    </w:p>
    <w:p>
      <w:pPr>
        <w:pStyle w:val="Heading4"/>
      </w:pPr>
      <w:hyperlink r:id="rId12896">
        <w:r>
          <w:rPr>
            <w:color w:val="0000EE"/>
            <w:u w:val="single"/>
          </w:rPr>
          <w:t>31.1–9</w:t>
        </w:r>
      </w:hyperlink>
    </w:p>
    <w:p>
      <w:r/>
      <w:r>
        <w:t>Lemuel, o autor desta seção, também veio de Massá, mas além disso é desconhecido. A inclusão de ditados de sabedoria de fontes fora de Israel ilustra as conexões internacionais do movimento de sabedoria durante o período da monarquia.</w:t>
      </w:r>
    </w:p>
    <w:p>
      <w:pPr>
        <w:pStyle w:val="Heading4"/>
      </w:pPr>
      <w:hyperlink r:id="rId276">
        <w:r>
          <w:rPr>
            <w:color w:val="0000EE"/>
            <w:u w:val="single"/>
          </w:rPr>
          <w:t>31.10–31</w:t>
        </w:r>
      </w:hyperlink>
    </w:p>
    <w:p>
      <w:r/>
      <w:r>
        <w:t>É possível que a autoria de Lemuel inclua este excelente poema acróstico sobre a esposa ideal; sua inspiração pode ter vindo de sua mãe, assim como a seção anterior. No entanto, o padrão de vida descrito se encaixaria mais facilmente no contexto de uma próspera comunidade agrícola na Palestina, em vez de uma comunidade nômade ou seminômade árabe. Por essa razão, a maioria dos estudiosos considera o poema como anônimo.</w:t>
      </w:r>
    </w:p>
    <w:p>
      <w:pPr>
        <w:pStyle w:val="Heading3"/>
      </w:pPr>
      <w:r>
        <w:t>Data</w:t>
      </w:r>
    </w:p>
    <w:p>
      <w:r/>
      <w:r>
        <w:t>A maior parte do livro pode, com confiança, ser atribuída a Salomão (reinou c. 970–930 a.C.). No entanto, a considerável contribuição de Ezequias e seus homens descarta uma data para a conclusão do livro antes de 700 a.C. A inclusão de seções por não-israelitas, como Agur e Lemuel, é mais provável no período pré-exílico, com seus interesses internacionais mais amplos, do que na atmosfera mais particularista do judaísmo pós-exílico. Provavelmente, o sofisticado poema acróstico final foi a última seção a ser incluída, mas não há nada no livro que exija uma data posterior ao início do século VII a.C. Na tradição rabínica, Provérbios era invariavelmente agrupado com Salmos e Jó na terceira seção do cânon judaico, os Escritos ou Livros Sagrados. Embora o conteúdo dos Escritos não tenha sido finalizado de forma autoritativa até o final do primeiro século d.C., é provável que Provérbios tenha sido aceito como inspirado muito antes disso, como testemunhado por sua inclusão na Septuaginta, a principal tradução grega. A ordem em nossas versões em português pode ter sido influenciada pela tradição rabínica que vinculava os livros de Jó, Salmos e Provérbios a Moisés, Davi e Ezequias, respectivamente.</w:t>
      </w:r>
    </w:p>
    <w:p>
      <w:pPr>
        <w:pStyle w:val="Heading3"/>
      </w:pPr>
      <w:r>
        <w:t>Contexto</w:t>
      </w:r>
    </w:p>
    <w:p>
      <w:r/>
      <w:r>
        <w:t xml:space="preserve">O livro de Provérbios está incluído no corpus do AT conhecido como Literatura de Sabedoria. Este corpus também é representado nas Escrituras pelos livros de Jó e Eclesiastes e alguns dos Salmos (e.g., </w:t>
      </w:r>
      <w:hyperlink r:id="rId13051">
        <w:r>
          <w:rPr>
            <w:color w:val="0000EE"/>
            <w:u w:val="single"/>
          </w:rPr>
          <w:t>Salmos 1</w:t>
        </w:r>
      </w:hyperlink>
      <w:r>
        <w:t xml:space="preserve">, </w:t>
      </w:r>
      <w:hyperlink r:id="rId271">
        <w:r>
          <w:rPr>
            <w:color w:val="0000EE"/>
            <w:u w:val="single"/>
          </w:rPr>
          <w:t>37</w:t>
        </w:r>
      </w:hyperlink>
      <w:r>
        <w:t xml:space="preserve">, </w:t>
      </w:r>
      <w:hyperlink r:id="rId15836">
        <w:r>
          <w:rPr>
            <w:color w:val="0000EE"/>
            <w:u w:val="single"/>
          </w:rPr>
          <w:t>73</w:t>
        </w:r>
      </w:hyperlink>
      <w:r>
        <w:t xml:space="preserve">, </w:t>
      </w:r>
      <w:hyperlink r:id="rId274">
        <w:r>
          <w:rPr>
            <w:color w:val="0000EE"/>
            <w:u w:val="single"/>
          </w:rPr>
          <w:t>119</w:t>
        </w:r>
      </w:hyperlink>
      <w:r>
        <w:t>). Provérbios representa uma classe principal desta literatura. Provérbios individuais contêm aplicações práticas e incisivas de sabedoria que abrangem muitos aspectos da vida. Jó e Eclesiastes concentram-se em um problema principal, ou em um grupo de problemas inter-relacionados, em forma de monólogo ou diálogo.</w:t>
      </w:r>
    </w:p>
    <w:p>
      <w:r/>
      <w:r>
        <w:t>No antigo Oriente Próximo, a sabedoria estava originalmente ligada a todas as habilidades, tanto manuais quanto intelectuais, e era considerada um presente dos deuses. Gradualmente, adquiriu um significado predominantemente intelectual, especialmente em um contexto cultual, em artes mágicas ou semimágicas como o exorcismo. Uma ampla gama de literatura de sabedoria do Egito, Canaã e Mesopotâmia, dos dois tipos básicos mencionados no parágrafo anterior, sobreviveu, permitindo ver seu equivalente hebraico nesse contexto. No entanto, não há duplicação, e o espírito da Literatura de Sabedoria Hebraica é marcadamente superior a qualquer coisa comparável no mundo antigo. Isso se deve principalmente à forte base religiosa em Israel, onde o primeiro passo da sabedoria era confiar e reverenciar o Senhor (</w:t>
      </w:r>
      <w:hyperlink r:id="rId17757">
        <w:r>
          <w:rPr>
            <w:color w:val="0000EE"/>
            <w:u w:val="single"/>
          </w:rPr>
          <w:t>Pv 1.7</w:t>
        </w:r>
      </w:hyperlink>
      <w:r>
        <w:t>).</w:t>
      </w:r>
    </w:p>
    <w:p>
      <w:r/>
      <w:r>
        <w:t>Quando Israel surgiu como nação no período Mosaico, estava em um mundo onde indivíduos ou grupos "dos sábios" já existiam. Israel compartilhou essa herança, com a participação de homens e mulheres, como testemunhado pelas mulheres sábias de Tecoa e Abel em Bete-Maaca (</w:t>
      </w:r>
      <w:hyperlink r:id="rId13448">
        <w:r>
          <w:rPr>
            <w:color w:val="0000EE"/>
            <w:u w:val="single"/>
          </w:rPr>
          <w:t>2Sm 14.2</w:t>
        </w:r>
      </w:hyperlink>
      <w:r>
        <w:t xml:space="preserve">; </w:t>
      </w:r>
      <w:hyperlink r:id="rId17758">
        <w:r>
          <w:rPr>
            <w:color w:val="0000EE"/>
            <w:u w:val="single"/>
          </w:rPr>
          <w:t>20.16</w:t>
        </w:r>
      </w:hyperlink>
      <w:r>
        <w:t>) e pelos conselheiros profissionais militares ou de tribunais cívicos Aitofel e Husai (</w:t>
      </w:r>
      <w:hyperlink r:id="rId17759">
        <w:r>
          <w:rPr>
            <w:color w:val="0000EE"/>
            <w:u w:val="single"/>
          </w:rPr>
          <w:t>2Sm 15.1–2,31</w:t>
        </w:r>
      </w:hyperlink>
      <w:r>
        <w:t xml:space="preserve">; </w:t>
      </w:r>
      <w:hyperlink r:id="rId17760">
        <w:r>
          <w:rPr>
            <w:color w:val="0000EE"/>
            <w:u w:val="single"/>
          </w:rPr>
          <w:t>16.15–19</w:t>
        </w:r>
      </w:hyperlink>
      <w:r>
        <w:t>). Provérbios mostra este grupo "dos sábios" em seu melhor; a vida de retidão, diligência, honestidade e autocontrole que defende estabelece um padrão de moralidade que está de acordo com a lei na qual se baseava. Mas é provável que muitos provérbios sejam anteriores ao surgimento de uma classe de sábios. A maioria das comunidades desenvolve suas próprias coleções de ditados curtos e espirituosos que expressam sabedoria prática e formam um acervo de filosofia primitiva. A parte de Salomão em dar forma definitiva aos provérbios de Israel (</w:t>
      </w:r>
      <w:hyperlink r:id="rId17761">
        <w:r>
          <w:rPr>
            <w:color w:val="0000EE"/>
            <w:u w:val="single"/>
          </w:rPr>
          <w:t>1Rs 4.32</w:t>
        </w:r>
      </w:hyperlink>
      <w:r>
        <w:t xml:space="preserve">) já foi mencionada. A forma antitética da poesia hebraica, onde o paralelismo da segunda linha permite um contraste acentuado (como geralmente em </w:t>
      </w:r>
      <w:hyperlink r:id="rId17762">
        <w:r>
          <w:rPr>
            <w:color w:val="0000EE"/>
            <w:u w:val="single"/>
          </w:rPr>
          <w:t>Provérbios 10–15</w:t>
        </w:r>
      </w:hyperlink>
      <w:r>
        <w:t xml:space="preserve">) ou um suporte adicional (ou seja, paralelismo sinônimo, como nos caps. </w:t>
      </w:r>
      <w:hyperlink r:id="rId17763">
        <w:r>
          <w:rPr>
            <w:color w:val="0000EE"/>
            <w:u w:val="single"/>
          </w:rPr>
          <w:t>16–22</w:t>
        </w:r>
      </w:hyperlink>
      <w:r>
        <w:t>) é um meio ideal para o provérbio. Quando a classe "dos sábios" se desenvolveu, essa sabedoria popular tornou-se parte de sua proveniência.</w:t>
      </w:r>
    </w:p>
    <w:p>
      <w:pPr>
        <w:pStyle w:val="Heading3"/>
      </w:pPr>
      <w:r>
        <w:t>Propósito e teologia</w:t>
      </w:r>
    </w:p>
    <w:p>
      <w:pPr>
        <w:pStyle w:val="Heading4"/>
      </w:pPr>
      <w:r>
        <w:t>A relação íntima entre religião e vida cotidiana</w:t>
      </w:r>
    </w:p>
    <w:p>
      <w:r/>
      <w:r>
        <w:t>Embora o tom geral de Provérbios seja predominantemente racional, a importância de temer (mostrar reverência ao) o Senhor é enfatizada ao longo do livro (</w:t>
      </w:r>
      <w:hyperlink r:id="rId17757">
        <w:r>
          <w:rPr>
            <w:color w:val="0000EE"/>
            <w:u w:val="single"/>
          </w:rPr>
          <w:t>1.7</w:t>
        </w:r>
      </w:hyperlink>
      <w:r>
        <w:t xml:space="preserve">; </w:t>
      </w:r>
      <w:hyperlink r:id="rId17764">
        <w:r>
          <w:rPr>
            <w:color w:val="0000EE"/>
            <w:u w:val="single"/>
          </w:rPr>
          <w:t>2.5</w:t>
        </w:r>
      </w:hyperlink>
      <w:r>
        <w:t xml:space="preserve">; </w:t>
      </w:r>
      <w:hyperlink r:id="rId17765">
        <w:r>
          <w:rPr>
            <w:color w:val="0000EE"/>
            <w:u w:val="single"/>
          </w:rPr>
          <w:t>3.7</w:t>
        </w:r>
      </w:hyperlink>
      <w:r>
        <w:t xml:space="preserve">; </w:t>
      </w:r>
      <w:hyperlink r:id="rId17766">
        <w:r>
          <w:rPr>
            <w:color w:val="0000EE"/>
            <w:u w:val="single"/>
          </w:rPr>
          <w:t>8.13</w:t>
        </w:r>
      </w:hyperlink>
      <w:r>
        <w:t>; etc.). Este “temor do Senhor” é uma das principais definições de religião no AT, sendo a outra “o conhecimento de Deus”, enfatizado especialmente por Oseias e Jeremias (</w:t>
      </w:r>
      <w:hyperlink r:id="rId3634">
        <w:r>
          <w:rPr>
            <w:color w:val="0000EE"/>
            <w:u w:val="single"/>
          </w:rPr>
          <w:t>Jr 9.24</w:t>
        </w:r>
      </w:hyperlink>
      <w:r>
        <w:t xml:space="preserve">; </w:t>
      </w:r>
      <w:hyperlink r:id="rId847">
        <w:r>
          <w:rPr>
            <w:color w:val="0000EE"/>
            <w:u w:val="single"/>
          </w:rPr>
          <w:t>Os 4.1</w:t>
        </w:r>
      </w:hyperlink>
      <w:r>
        <w:t xml:space="preserve">). Ambos são encontrados em paralelo em </w:t>
      </w:r>
      <w:hyperlink r:id="rId17764">
        <w:r>
          <w:rPr>
            <w:color w:val="0000EE"/>
            <w:u w:val="single"/>
          </w:rPr>
          <w:t>Provérbios 2.5</w:t>
        </w:r>
      </w:hyperlink>
      <w:r>
        <w:t xml:space="preserve"> e </w:t>
      </w:r>
      <w:hyperlink r:id="rId6850">
        <w:r>
          <w:rPr>
            <w:color w:val="0000EE"/>
            <w:u w:val="single"/>
          </w:rPr>
          <w:t>9.10</w:t>
        </w:r>
      </w:hyperlink>
      <w:r>
        <w:t>. Longe de haver um abismo intransponível entre religião e o mundo secular, Provérbios mostra os resultados, em caráter nobre e lares harmoniosos e felizes, quando toda a vida é colocada sob o controle de Deus. Existe um perigo quando os elementos morais são tomados isoladamente da fundação religiosa que é assumida ao longo do texto. Então, a busca pela felicidade ou sucesso pode se tornar egoísta, introspectiva e, em última análise, autodestrutiva.</w:t>
      </w:r>
    </w:p>
    <w:p>
      <w:pPr>
        <w:pStyle w:val="Heading4"/>
      </w:pPr>
      <w:r>
        <w:t>Provérbios e o movimento profético</w:t>
      </w:r>
    </w:p>
    <w:p>
      <w:r/>
      <w:r>
        <w:t xml:space="preserve">Há muitas semelhanças entre Provérbios e os Profetas, incluindo um realismo prático; uma defesa dos pobres e grupos desfavorecidos (e.g., </w:t>
      </w:r>
      <w:hyperlink r:id="rId14612">
        <w:r>
          <w:rPr>
            <w:color w:val="0000EE"/>
            <w:u w:val="single"/>
          </w:rPr>
          <w:t>14.31</w:t>
        </w:r>
      </w:hyperlink>
      <w:r>
        <w:t>); uma percepção da ineficácia do sacrifício sem moralidade (</w:t>
      </w:r>
      <w:hyperlink r:id="rId17767">
        <w:r>
          <w:rPr>
            <w:color w:val="0000EE"/>
            <w:u w:val="single"/>
          </w:rPr>
          <w:t>15.8</w:t>
        </w:r>
      </w:hyperlink>
      <w:r>
        <w:t xml:space="preserve">; </w:t>
      </w:r>
      <w:hyperlink r:id="rId17768">
        <w:r>
          <w:rPr>
            <w:color w:val="0000EE"/>
            <w:u w:val="single"/>
          </w:rPr>
          <w:t>21.27</w:t>
        </w:r>
      </w:hyperlink>
      <w:r>
        <w:t>); e uma ênfase no indivíduo, que às vezes era negligenciada devido ao forte senso de identidade coletiva dentro da comunidade da aliança. Jeremias e Ezequiel, especialmente, reafirmaram fortemente o tema da responsabilidade individual (</w:t>
      </w:r>
      <w:hyperlink r:id="rId348">
        <w:r>
          <w:rPr>
            <w:color w:val="0000EE"/>
            <w:u w:val="single"/>
          </w:rPr>
          <w:t>Jr 31.29–30</w:t>
        </w:r>
      </w:hyperlink>
      <w:r>
        <w:t xml:space="preserve">; </w:t>
      </w:r>
      <w:hyperlink r:id="rId16591">
        <w:r>
          <w:rPr>
            <w:color w:val="0000EE"/>
            <w:u w:val="single"/>
          </w:rPr>
          <w:t>Ez 18</w:t>
        </w:r>
      </w:hyperlink>
      <w:r>
        <w:t>). Mas há uma diferença vital que Provérbios compartilha com o restante da Literatura de Sabedoria bíblica, a saber, a ausência de qualquer referência clara e histórica à eleição de Israel e à relação de aliança com Deus. Este era o ponto de apelo consistente dos grandes profetas pré-exílicos. Da mesma forma, Jerusalém e sua teologia do templo não são mencionadas, embora o movimento de sabedoria, especialmente como refletido em Provérbios, tenha florescido sob o patrocínio da monarquia davídica. Mesmo o nome Israel não ocorre. Isso deu força à visão de que Provérbios é o manual mais claro e abrangente de ética prática universal existente no mundo antigo. Um egípcio contemporâneo educado teria achado Provérbios facilmente compreensível e edificante, e embora esse não fosse seu propósito principal, o livro ainda tem um forte apelo ao moral não-cristão.</w:t>
      </w:r>
    </w:p>
    <w:p>
      <w:pPr>
        <w:pStyle w:val="Heading4"/>
      </w:pPr>
      <w:r>
        <w:t>Provérbios e Deuteronômio</w:t>
      </w:r>
    </w:p>
    <w:p>
      <w:r/>
      <w:r>
        <w:t>Provérbios compartilha muitas características com o livro de Deuteronômio, especialmente sua ênfase na retribuição e recompensa (</w:t>
      </w:r>
      <w:hyperlink r:id="rId17769">
        <w:r>
          <w:rPr>
            <w:color w:val="0000EE"/>
            <w:u w:val="single"/>
          </w:rPr>
          <w:t>Pr 2.22</w:t>
        </w:r>
      </w:hyperlink>
      <w:r>
        <w:t xml:space="preserve">; </w:t>
      </w:r>
      <w:hyperlink r:id="rId17770">
        <w:r>
          <w:rPr>
            <w:color w:val="0000EE"/>
            <w:u w:val="single"/>
          </w:rPr>
          <w:t>3.9–10</w:t>
        </w:r>
      </w:hyperlink>
      <w:r>
        <w:t xml:space="preserve">; </w:t>
      </w:r>
      <w:hyperlink r:id="rId17771">
        <w:r>
          <w:rPr>
            <w:color w:val="0000EE"/>
            <w:u w:val="single"/>
          </w:rPr>
          <w:t>10.27–30</w:t>
        </w:r>
      </w:hyperlink>
      <w:r>
        <w:t xml:space="preserve">; cf. </w:t>
      </w:r>
      <w:hyperlink r:id="rId6997">
        <w:r>
          <w:rPr>
            <w:color w:val="0000EE"/>
            <w:u w:val="single"/>
          </w:rPr>
          <w:t>Dt 28</w:t>
        </w:r>
      </w:hyperlink>
      <w:r>
        <w:t>). Esta doutrina poderia ser distorcida em uma equação invariável: os justos são sempre recompensados e os ímpios são sempre punidos. Essa é uma visão contra a qual Jó (</w:t>
      </w:r>
      <w:hyperlink r:id="rId17772">
        <w:r>
          <w:rPr>
            <w:color w:val="0000EE"/>
            <w:u w:val="single"/>
          </w:rPr>
          <w:t>Jó 21.7–34</w:t>
        </w:r>
      </w:hyperlink>
      <w:r>
        <w:t>) e Jeremias (</w:t>
      </w:r>
      <w:hyperlink r:id="rId15843">
        <w:r>
          <w:rPr>
            <w:color w:val="0000EE"/>
            <w:u w:val="single"/>
          </w:rPr>
          <w:t>Jr 12.1–4</w:t>
        </w:r>
      </w:hyperlink>
      <w:r>
        <w:t xml:space="preserve">) protestaram fortemente. Também poderia resultar em uma abordagem hipócrita e egoísta; eu quero as bênçãos prometidas (e.g., </w:t>
      </w:r>
      <w:hyperlink r:id="rId17770">
        <w:r>
          <w:rPr>
            <w:color w:val="0000EE"/>
            <w:u w:val="single"/>
          </w:rPr>
          <w:t>Pr 3.9–10</w:t>
        </w:r>
      </w:hyperlink>
      <w:r>
        <w:t>), portanto, vou "honrar" a Deus na questão dos dízimos. Esta substituição de uma demonstração externa pela dinâmica interna de amor, gratidão e fé foi muitas vezes a maldição da religião formalizada de Israel. No entanto, o princípio em si — de que aqueles que honram a Deus e vivem em cooperação com ele e suas leis são geralmente aqueles que são abençoados por Deus (não necessariamente em termos materiais) — é um princípio escriturístico, e os autores de Provérbios não devem ser culpados pelas distorções que surgiram posteriormente.</w:t>
      </w:r>
    </w:p>
    <w:p>
      <w:pPr>
        <w:pStyle w:val="Heading3"/>
      </w:pPr>
      <w:r>
        <w:t>Conteúdo</w:t>
      </w:r>
    </w:p>
    <w:p>
      <w:pPr>
        <w:pStyle w:val="Heading4"/>
      </w:pPr>
      <w:r>
        <w:t xml:space="preserve">Introdução: </w:t>
      </w:r>
      <w:hyperlink r:id="rId17773">
        <w:r>
          <w:rPr>
            <w:color w:val="0000EE"/>
            <w:u w:val="single"/>
          </w:rPr>
          <w:t>1.1–7</w:t>
        </w:r>
      </w:hyperlink>
    </w:p>
    <w:p>
      <w:r/>
      <w:hyperlink r:id="rId17773">
        <w:r>
          <w:rPr>
            <w:color w:val="0000EE"/>
            <w:u w:val="single"/>
          </w:rPr>
          <w:t>Provérbios 1.1–7</w:t>
        </w:r>
      </w:hyperlink>
      <w:r>
        <w:t xml:space="preserve"> estabelece o propósito do movimento de sabedoria em Israel. O subtítulo de todo o livro é encontrado no versículo </w:t>
      </w:r>
      <w:hyperlink r:id="rId17774">
        <w:r>
          <w:rPr>
            <w:color w:val="0000EE"/>
            <w:u w:val="single"/>
          </w:rPr>
          <w:t>2</w:t>
        </w:r>
      </w:hyperlink>
      <w:r>
        <w:t>: “Estes provérbios nos ajudam a dar valor à sabedoria e aos bons conselhos e a entender os pensamentos mais profundos” (NTLH). A questão da autoria desta seção já foi discutida, mas certamente não há nada incongruente sobre a autoria de Salomão. No início de seu reinado, Salomão demonstrou um profundo desejo pela sabedoria necessária para governar seu povo corretamente (</w:t>
      </w:r>
      <w:hyperlink r:id="rId17775">
        <w:r>
          <w:rPr>
            <w:color w:val="0000EE"/>
            <w:u w:val="single"/>
          </w:rPr>
          <w:t>1Rs 3.7–9</w:t>
        </w:r>
      </w:hyperlink>
      <w:r>
        <w:t xml:space="preserve">), e há aqui o desejo sincero de que seus súditos possam ter uma compreensão semelhante. Os versículos </w:t>
      </w:r>
      <w:hyperlink r:id="rId17776">
        <w:r>
          <w:rPr>
            <w:color w:val="0000EE"/>
            <w:u w:val="single"/>
          </w:rPr>
          <w:t>1–6</w:t>
        </w:r>
      </w:hyperlink>
      <w:r>
        <w:t xml:space="preserve"> formam uma sentença em hebraico e incluem nada menos que 11 aspectos diferentes de sabedoria. O primeiro deles, “sabedoria”, ocorre 37 vezes em Provérbios e indica um uso informado e habilidoso do conhecimento. É somente dando o primeiro passo de confiar no Senhor que uma pessoa pode entrar na sabedoria. A moralidade não é situacional, nem um absoluto em si mesma; ela requer um ponto de referência imutável que só pode ser encontrado em Deus.</w:t>
      </w:r>
    </w:p>
    <w:p>
      <w:pPr>
        <w:pStyle w:val="Heading4"/>
      </w:pPr>
      <w:r>
        <w:t xml:space="preserve">Lições sobre sabedoria: </w:t>
      </w:r>
      <w:hyperlink r:id="rId17742">
        <w:r>
          <w:rPr>
            <w:color w:val="0000EE"/>
            <w:u w:val="single"/>
          </w:rPr>
          <w:t>1.8–9.18</w:t>
        </w:r>
      </w:hyperlink>
    </w:p>
    <w:p>
      <w:r/>
      <w:r>
        <w:t>Esta seção é composta por 13 lições distintas sobre sabedoria, a maioria das quais é introduzida por "Meu filho" ou algo semelhante. A lição final (</w:t>
      </w:r>
      <w:hyperlink r:id="rId17777">
        <w:r>
          <w:rPr>
            <w:color w:val="0000EE"/>
            <w:u w:val="single"/>
          </w:rPr>
          <w:t>8.1–9.18</w:t>
        </w:r>
      </w:hyperlink>
      <w:r>
        <w:t>) é dada pela própria Sabedoria. Este método indica o relacionamento caloroso e pessoal entre o professor e seus alunos, que, no antigo Oriente Próximo, seriam exclusivamente do sexo masculino. Um estilo semelhante é encontrado tanto na literatura de sabedoria egípcia quanto mesopotâmica e pode muito bem ter sido adotado por Salomão, que, na humildade e preocupação temente a Deus pelo bem-estar nacional de seus primeiros anos, teria sido um professor por excelência.</w:t>
      </w:r>
    </w:p>
    <w:p>
      <w:r/>
      <w:r>
        <w:t>Lição 1: Evitando companheiros malignos (</w:t>
      </w:r>
      <w:hyperlink r:id="rId17778">
        <w:r>
          <w:rPr>
            <w:color w:val="0000EE"/>
            <w:u w:val="single"/>
          </w:rPr>
          <w:t>1.8–33</w:t>
        </w:r>
      </w:hyperlink>
      <w:r>
        <w:t>)</w:t>
      </w:r>
    </w:p>
    <w:p>
      <w:r/>
      <w:r>
        <w:t xml:space="preserve">Três vozes se levantam: (1) a voz enganosa daqueles que prometem ganhos rápidos pela violência (vv. </w:t>
      </w:r>
      <w:hyperlink r:id="rId17779">
        <w:r>
          <w:rPr>
            <w:color w:val="0000EE"/>
            <w:u w:val="single"/>
          </w:rPr>
          <w:t>10–14</w:t>
        </w:r>
      </w:hyperlink>
      <w:r>
        <w:t xml:space="preserve">); (2) o próprio homem sábio (vv. </w:t>
      </w:r>
      <w:hyperlink r:id="rId17780">
        <w:r>
          <w:rPr>
            <w:color w:val="0000EE"/>
            <w:u w:val="single"/>
          </w:rPr>
          <w:t>15–19</w:t>
        </w:r>
      </w:hyperlink>
      <w:r>
        <w:t xml:space="preserve">), que reforça o conselho pacientemente dado pelos pais ao longo dos anos (vv. </w:t>
      </w:r>
      <w:hyperlink r:id="rId17781">
        <w:r>
          <w:rPr>
            <w:color w:val="0000EE"/>
            <w:u w:val="single"/>
          </w:rPr>
          <w:t>8–9</w:t>
        </w:r>
      </w:hyperlink>
      <w:r>
        <w:t xml:space="preserve">) e defende um rompimento total com homens violentos condenados a um fim violento; e (3) a Sabedoria (vv. </w:t>
      </w:r>
      <w:hyperlink r:id="rId17782">
        <w:r>
          <w:rPr>
            <w:color w:val="0000EE"/>
            <w:u w:val="single"/>
          </w:rPr>
          <w:t>20–33</w:t>
        </w:r>
      </w:hyperlink>
      <w:r>
        <w:t xml:space="preserve">), cujo apelo não é furtivo, mas aberto, buscando dar aos outros seu próprio espírito de sabedoria (v. </w:t>
      </w:r>
      <w:hyperlink r:id="rId17783">
        <w:r>
          <w:rPr>
            <w:color w:val="0000EE"/>
            <w:u w:val="single"/>
          </w:rPr>
          <w:t>23</w:t>
        </w:r>
      </w:hyperlink>
      <w:r>
        <w:t xml:space="preserve">). Aqueles que desprezam a voz da sabedoria experimentarão o julgamento (vv. </w:t>
      </w:r>
      <w:hyperlink r:id="rId17784">
        <w:r>
          <w:rPr>
            <w:color w:val="0000EE"/>
            <w:u w:val="single"/>
          </w:rPr>
          <w:t>29–33</w:t>
        </w:r>
      </w:hyperlink>
      <w:r>
        <w:t>).</w:t>
      </w:r>
    </w:p>
    <w:p>
      <w:r/>
      <w:r>
        <w:t>Lição 2: As recompensas da sabedoria (</w:t>
      </w:r>
      <w:hyperlink r:id="rId17785">
        <w:r>
          <w:rPr>
            <w:color w:val="0000EE"/>
            <w:u w:val="single"/>
          </w:rPr>
          <w:t>2.1–22</w:t>
        </w:r>
      </w:hyperlink>
      <w:r>
        <w:t>)</w:t>
      </w:r>
    </w:p>
    <w:p>
      <w:r/>
      <w:r>
        <w:t xml:space="preserve">Embora a sabedoria seja, em última análise, um dom de Deus (v. </w:t>
      </w:r>
      <w:hyperlink r:id="rId17786">
        <w:r>
          <w:rPr>
            <w:color w:val="0000EE"/>
            <w:u w:val="single"/>
          </w:rPr>
          <w:t>6</w:t>
        </w:r>
      </w:hyperlink>
      <w:r>
        <w:t>), as pessoas devem buscá-la com uma intensidade de desejo que caracterizou o salmista (</w:t>
      </w:r>
      <w:hyperlink r:id="rId17787">
        <w:r>
          <w:rPr>
            <w:color w:val="0000EE"/>
            <w:u w:val="single"/>
          </w:rPr>
          <w:t>Pv 2.2–4</w:t>
        </w:r>
      </w:hyperlink>
      <w:r>
        <w:t xml:space="preserve">; cf. </w:t>
      </w:r>
      <w:hyperlink r:id="rId599">
        <w:r>
          <w:rPr>
            <w:color w:val="0000EE"/>
            <w:u w:val="single"/>
          </w:rPr>
          <w:t>Sl 63.1</w:t>
        </w:r>
      </w:hyperlink>
      <w:r>
        <w:t>). Não há contradição aqui, mas um paradoxo que destaca o fato de que os dons de Deus não são dados levianamente, mas são concedidos àqueles que, por sua atitude de coração e vontade, os merecem. Os benefícios da sabedoria delineados (</w:t>
      </w:r>
      <w:hyperlink r:id="rId17788">
        <w:r>
          <w:rPr>
            <w:color w:val="0000EE"/>
            <w:u w:val="single"/>
          </w:rPr>
          <w:t>Pv 2.7–22</w:t>
        </w:r>
      </w:hyperlink>
      <w:r>
        <w:t xml:space="preserve">) têm elementos tanto negativos quanto positivos, tanto materiais quanto espirituais. O perigo de se associar com mulheres imorais, que é mencionado com tanta frequência em Provérbios, é mencionado pela primeira vez (vv. </w:t>
      </w:r>
      <w:hyperlink r:id="rId17789">
        <w:r>
          <w:rPr>
            <w:color w:val="0000EE"/>
            <w:u w:val="single"/>
          </w:rPr>
          <w:t>16–19</w:t>
        </w:r>
      </w:hyperlink>
      <w:r>
        <w:t>).</w:t>
      </w:r>
    </w:p>
    <w:p>
      <w:r/>
      <w:r>
        <w:t>Lição 3: As recompensas da confiança plena em Deus (</w:t>
      </w:r>
      <w:hyperlink r:id="rId17790">
        <w:r>
          <w:rPr>
            <w:color w:val="0000EE"/>
            <w:u w:val="single"/>
          </w:rPr>
          <w:t>3.1–10</w:t>
        </w:r>
      </w:hyperlink>
      <w:r>
        <w:t>)</w:t>
      </w:r>
    </w:p>
    <w:p>
      <w:r/>
      <w:r>
        <w:t xml:space="preserve">Para o judeu, sempre houve a tentação de tentar garantir bênçãos por meio de uma demonstração externa de religião, e os versículos </w:t>
      </w:r>
      <w:hyperlink r:id="rId17770">
        <w:r>
          <w:rPr>
            <w:color w:val="0000EE"/>
            <w:u w:val="single"/>
          </w:rPr>
          <w:t>9–10</w:t>
        </w:r>
      </w:hyperlink>
      <w:r>
        <w:t xml:space="preserve"> poderiam ser mal interpretados. Mas o contexto enfatiza a exigência de lealdade do coração e obediência (vv. </w:t>
      </w:r>
      <w:hyperlink r:id="rId17791">
        <w:r>
          <w:rPr>
            <w:color w:val="0000EE"/>
            <w:u w:val="single"/>
          </w:rPr>
          <w:t>1–8</w:t>
        </w:r>
      </w:hyperlink>
      <w:r>
        <w:t xml:space="preserve">). "Deus em primeiro lugar" (v. </w:t>
      </w:r>
      <w:hyperlink r:id="rId17792">
        <w:r>
          <w:rPr>
            <w:color w:val="0000EE"/>
            <w:u w:val="single"/>
          </w:rPr>
          <w:t>6</w:t>
        </w:r>
      </w:hyperlink>
      <w:r>
        <w:t xml:space="preserve">) é a necessidade fundamental; sem isso, um indivíduo ou uma nação é empobrecido (cf. </w:t>
      </w:r>
      <w:hyperlink r:id="rId17793">
        <w:r>
          <w:rPr>
            <w:color w:val="0000EE"/>
            <w:u w:val="single"/>
          </w:rPr>
          <w:t>Ag 1.1–11</w:t>
        </w:r>
      </w:hyperlink>
      <w:r>
        <w:t>).</w:t>
      </w:r>
    </w:p>
    <w:p>
      <w:r/>
      <w:r>
        <w:t>Lição 4: A necessidade de disciplina (</w:t>
      </w:r>
      <w:hyperlink r:id="rId17794">
        <w:r>
          <w:rPr>
            <w:color w:val="0000EE"/>
            <w:u w:val="single"/>
          </w:rPr>
          <w:t>3.11–20</w:t>
        </w:r>
      </w:hyperlink>
      <w:r>
        <w:t>)</w:t>
      </w:r>
    </w:p>
    <w:p>
      <w:r/>
      <w:r>
        <w:t>Um dos principais temas em Provérbios é a disciplina, especialmente a de um pai que corrige seu filho (</w:t>
      </w:r>
      <w:hyperlink r:id="rId7300">
        <w:r>
          <w:rPr>
            <w:color w:val="0000EE"/>
            <w:u w:val="single"/>
          </w:rPr>
          <w:t>Pv 3.11–12</w:t>
        </w:r>
      </w:hyperlink>
      <w:r>
        <w:t xml:space="preserve">; cf. </w:t>
      </w:r>
      <w:hyperlink r:id="rId7287">
        <w:r>
          <w:rPr>
            <w:color w:val="0000EE"/>
            <w:u w:val="single"/>
          </w:rPr>
          <w:t>Hb 12.5–11</w:t>
        </w:r>
      </w:hyperlink>
      <w:r>
        <w:t>). O outro tema aqui é o louvor à sabedoria e os benefícios que ela oferece.</w:t>
      </w:r>
    </w:p>
    <w:p>
      <w:r/>
      <w:r>
        <w:t>Lição 5: Sabedoria e bom senso (</w:t>
      </w:r>
      <w:hyperlink r:id="rId17795">
        <w:r>
          <w:rPr>
            <w:color w:val="0000EE"/>
            <w:u w:val="single"/>
          </w:rPr>
          <w:t>3.21–35</w:t>
        </w:r>
      </w:hyperlink>
      <w:r>
        <w:t>)</w:t>
      </w:r>
    </w:p>
    <w:p>
      <w:r/>
      <w:r>
        <w:t xml:space="preserve">A sabedoria e o bom senso resultarão em segurança (vv. </w:t>
      </w:r>
      <w:hyperlink r:id="rId17796">
        <w:r>
          <w:rPr>
            <w:color w:val="0000EE"/>
            <w:u w:val="single"/>
          </w:rPr>
          <w:t>23–26</w:t>
        </w:r>
      </w:hyperlink>
      <w:r>
        <w:t xml:space="preserve">) e protegerão contra atos imprudentes (vv. </w:t>
      </w:r>
      <w:hyperlink r:id="rId17797">
        <w:r>
          <w:rPr>
            <w:color w:val="0000EE"/>
            <w:u w:val="single"/>
          </w:rPr>
          <w:t>27–32</w:t>
        </w:r>
      </w:hyperlink>
      <w:r>
        <w:t xml:space="preserve">). Mas a segurança fundamental é encontrada no versículo </w:t>
      </w:r>
      <w:hyperlink r:id="rId17798">
        <w:r>
          <w:rPr>
            <w:color w:val="0000EE"/>
            <w:u w:val="single"/>
          </w:rPr>
          <w:t>26</w:t>
        </w:r>
      </w:hyperlink>
      <w:r>
        <w:t>: “O Senhor é a sua segurança”.</w:t>
      </w:r>
    </w:p>
    <w:p>
      <w:r/>
      <w:r>
        <w:t>Lição 6: Determinação (</w:t>
      </w:r>
      <w:hyperlink r:id="rId17799">
        <w:r>
          <w:rPr>
            <w:color w:val="0000EE"/>
            <w:u w:val="single"/>
          </w:rPr>
          <w:t>4.1–9</w:t>
        </w:r>
      </w:hyperlink>
      <w:r>
        <w:t>)</w:t>
      </w:r>
    </w:p>
    <w:p>
      <w:r/>
      <w:r>
        <w:t xml:space="preserve">Aqui, o mestre compartilha seu próprio testemunho e demonstra que está se baseando na sabedoria acumulada de uma geração anterior (vv. </w:t>
      </w:r>
      <w:hyperlink r:id="rId17800">
        <w:r>
          <w:rPr>
            <w:color w:val="0000EE"/>
            <w:u w:val="single"/>
          </w:rPr>
          <w:t>1–6</w:t>
        </w:r>
      </w:hyperlink>
      <w:r>
        <w:t xml:space="preserve">). Há uma ênfase na determinação, com a vontade firmemente decidida a adquirir sabedoria, como mostram os verbos nos versículos </w:t>
      </w:r>
      <w:hyperlink r:id="rId17801">
        <w:r>
          <w:rPr>
            <w:color w:val="0000EE"/>
            <w:u w:val="single"/>
          </w:rPr>
          <w:t>5–9</w:t>
        </w:r>
      </w:hyperlink>
      <w:r>
        <w:t>.</w:t>
      </w:r>
    </w:p>
    <w:p>
      <w:r/>
      <w:r>
        <w:t>Lição 7: O caminho reto (</w:t>
      </w:r>
      <w:hyperlink r:id="rId17802">
        <w:r>
          <w:rPr>
            <w:color w:val="0000EE"/>
            <w:u w:val="single"/>
          </w:rPr>
          <w:t>4.10–19</w:t>
        </w:r>
      </w:hyperlink>
      <w:r>
        <w:t>)</w:t>
      </w:r>
    </w:p>
    <w:p>
      <w:r/>
      <w:r>
        <w:t xml:space="preserve">É necessária uma determinação igual para manter-se afastado dos homens maus e de seus caminhos (vv. </w:t>
      </w:r>
      <w:hyperlink r:id="rId17803">
        <w:r>
          <w:rPr>
            <w:color w:val="0000EE"/>
            <w:u w:val="single"/>
          </w:rPr>
          <w:t>14–17</w:t>
        </w:r>
      </w:hyperlink>
      <w:r>
        <w:t xml:space="preserve">). Note a descrição vívida, tanto bela quanto assustadora, dos dois caminhos (vv. </w:t>
      </w:r>
      <w:hyperlink r:id="rId17804">
        <w:r>
          <w:rPr>
            <w:color w:val="0000EE"/>
            <w:u w:val="single"/>
          </w:rPr>
          <w:t>18–19</w:t>
        </w:r>
      </w:hyperlink>
      <w:r>
        <w:t>).</w:t>
      </w:r>
    </w:p>
    <w:p>
      <w:r/>
      <w:r>
        <w:t>Lição 8: Buscando a retidão e evitando o mal (</w:t>
      </w:r>
      <w:hyperlink r:id="rId17805">
        <w:r>
          <w:rPr>
            <w:color w:val="0000EE"/>
            <w:u w:val="single"/>
          </w:rPr>
          <w:t>4.20–27</w:t>
        </w:r>
      </w:hyperlink>
      <w:r>
        <w:t>)</w:t>
      </w:r>
    </w:p>
    <w:p>
      <w:r/>
      <w:r>
        <w:t xml:space="preserve">A busca obstinada pela retidão e seu corolário, o evitar de todo tipo de mal (cf. </w:t>
      </w:r>
      <w:hyperlink r:id="rId17806">
        <w:r>
          <w:rPr>
            <w:color w:val="0000EE"/>
            <w:u w:val="single"/>
          </w:rPr>
          <w:t>1Ts 5.22</w:t>
        </w:r>
      </w:hyperlink>
      <w:r>
        <w:t>), envolve nossa audição (</w:t>
      </w:r>
      <w:hyperlink r:id="rId17807">
        <w:r>
          <w:rPr>
            <w:color w:val="0000EE"/>
            <w:u w:val="single"/>
          </w:rPr>
          <w:t>Pv 4.20</w:t>
        </w:r>
      </w:hyperlink>
      <w:r>
        <w:t xml:space="preserve">), memórias (v. </w:t>
      </w:r>
      <w:hyperlink r:id="rId17808">
        <w:r>
          <w:rPr>
            <w:color w:val="0000EE"/>
            <w:u w:val="single"/>
          </w:rPr>
          <w:t>21</w:t>
        </w:r>
      </w:hyperlink>
      <w:r>
        <w:t xml:space="preserve">), corações (vv. </w:t>
      </w:r>
      <w:hyperlink r:id="rId17809">
        <w:r>
          <w:rPr>
            <w:color w:val="0000EE"/>
            <w:u w:val="single"/>
          </w:rPr>
          <w:t>21,23</w:t>
        </w:r>
      </w:hyperlink>
      <w:r>
        <w:t xml:space="preserve">), visão (v. </w:t>
      </w:r>
      <w:hyperlink r:id="rId17810">
        <w:r>
          <w:rPr>
            <w:color w:val="0000EE"/>
            <w:u w:val="single"/>
          </w:rPr>
          <w:t>25</w:t>
        </w:r>
      </w:hyperlink>
      <w:r>
        <w:t xml:space="preserve">) e vontades (vv. </w:t>
      </w:r>
      <w:hyperlink r:id="rId17811">
        <w:r>
          <w:rPr>
            <w:color w:val="0000EE"/>
            <w:u w:val="single"/>
          </w:rPr>
          <w:t>26–27</w:t>
        </w:r>
      </w:hyperlink>
      <w:r>
        <w:t>). Significa compromisso total com Deus.</w:t>
      </w:r>
    </w:p>
    <w:p>
      <w:r/>
      <w:r>
        <w:t>Lição 9: Pureza sexual (</w:t>
      </w:r>
      <w:hyperlink r:id="rId17812">
        <w:r>
          <w:rPr>
            <w:color w:val="0000EE"/>
            <w:u w:val="single"/>
          </w:rPr>
          <w:t>5.1–23</w:t>
        </w:r>
      </w:hyperlink>
      <w:r>
        <w:t>)</w:t>
      </w:r>
    </w:p>
    <w:p>
      <w:r/>
      <w:r>
        <w:t xml:space="preserve">Em linguagem clara que não pode ser mal interpretada, os perigos da prostituição sexual e a sabedoria da fidelidade dentro do casamento são destacados. Nos relacionamentos sexuais, não pode haver uma moralidade puramente privada; outros estão necessariamente envolvidos, e Deus é mais do que um espectador preocupado (v. </w:t>
      </w:r>
      <w:hyperlink r:id="rId17813">
        <w:r>
          <w:rPr>
            <w:color w:val="0000EE"/>
            <w:u w:val="single"/>
          </w:rPr>
          <w:t>21</w:t>
        </w:r>
      </w:hyperlink>
      <w:r>
        <w:t>).</w:t>
      </w:r>
    </w:p>
    <w:p>
      <w:r/>
      <w:r>
        <w:t>Lição 10: As coisas que Deus odeia (</w:t>
      </w:r>
      <w:hyperlink r:id="rId17814">
        <w:r>
          <w:rPr>
            <w:color w:val="0000EE"/>
            <w:u w:val="single"/>
          </w:rPr>
          <w:t>6.1–19</w:t>
        </w:r>
      </w:hyperlink>
      <w:r>
        <w:t>)</w:t>
      </w:r>
    </w:p>
    <w:p>
      <w:r/>
      <w:r>
        <w:t xml:space="preserve">Primeiro (vv. </w:t>
      </w:r>
      <w:hyperlink r:id="rId17815">
        <w:r>
          <w:rPr>
            <w:color w:val="0000EE"/>
            <w:u w:val="single"/>
          </w:rPr>
          <w:t>1–5</w:t>
        </w:r>
      </w:hyperlink>
      <w:r>
        <w:t xml:space="preserve">), há um conselho direto sobre a necessidade de evitar promessas precipitadas. Se alguém for tolo o suficiente para já estar envolvido, o mais sensato é engolir o orgulho e se livrar da situação o mais rápido possível. A segunda lição — imitar as formigas em sua diligente preparação para necessidades futuras (vv. </w:t>
      </w:r>
      <w:hyperlink r:id="rId17323">
        <w:r>
          <w:rPr>
            <w:color w:val="0000EE"/>
            <w:u w:val="single"/>
          </w:rPr>
          <w:t>6–11</w:t>
        </w:r>
      </w:hyperlink>
      <w:r>
        <w:t>) — antecipa a atenção contrastante dada mais tarde ao preguiçoso (</w:t>
      </w:r>
      <w:hyperlink r:id="rId17816">
        <w:r>
          <w:rPr>
            <w:color w:val="0000EE"/>
            <w:u w:val="single"/>
          </w:rPr>
          <w:t>22.13</w:t>
        </w:r>
      </w:hyperlink>
      <w:r>
        <w:t xml:space="preserve">; </w:t>
      </w:r>
      <w:hyperlink r:id="rId17754">
        <w:r>
          <w:rPr>
            <w:color w:val="0000EE"/>
            <w:u w:val="single"/>
          </w:rPr>
          <w:t>26.13–16</w:t>
        </w:r>
      </w:hyperlink>
      <w:r>
        <w:t>). A terceira lição descreve em detalhes o "trapaceiro" liso e enganador (</w:t>
      </w:r>
      <w:hyperlink r:id="rId17817">
        <w:r>
          <w:rPr>
            <w:color w:val="0000EE"/>
            <w:u w:val="single"/>
          </w:rPr>
          <w:t>6.12–19</w:t>
        </w:r>
      </w:hyperlink>
      <w:r>
        <w:t>). Ele deve ser evitado.</w:t>
      </w:r>
    </w:p>
    <w:p>
      <w:r/>
      <w:r>
        <w:t>Lição 11: Relações sexuais ilícitas (</w:t>
      </w:r>
      <w:hyperlink r:id="rId17818">
        <w:r>
          <w:rPr>
            <w:color w:val="0000EE"/>
            <w:u w:val="single"/>
          </w:rPr>
          <w:t>6.20–35</w:t>
        </w:r>
      </w:hyperlink>
      <w:r>
        <w:t>)</w:t>
      </w:r>
    </w:p>
    <w:p>
      <w:r/>
      <w:r>
        <w:t xml:space="preserve">Esta seção continua com o tema dos relacionamentos sexuais ilícitos, mostrando a atitude de Deus em relação a essa forma particular de pecado. O marido traído se mostrará um adversário formidável, caso descubra a infidelidade (vv. </w:t>
      </w:r>
      <w:hyperlink r:id="rId17819">
        <w:r>
          <w:rPr>
            <w:color w:val="0000EE"/>
            <w:u w:val="single"/>
          </w:rPr>
          <w:t>33–35</w:t>
        </w:r>
      </w:hyperlink>
      <w:r>
        <w:t xml:space="preserve">), e o efeito sobre o próprio adúltero será completamente desastroso (vv. </w:t>
      </w:r>
      <w:hyperlink r:id="rId17820">
        <w:r>
          <w:rPr>
            <w:color w:val="0000EE"/>
            <w:u w:val="single"/>
          </w:rPr>
          <w:t>26–32</w:t>
        </w:r>
      </w:hyperlink>
      <w:r>
        <w:t>).</w:t>
      </w:r>
    </w:p>
    <w:p>
      <w:r/>
      <w:r>
        <w:t>Lição 12: As artimanhas da prostituta (</w:t>
      </w:r>
      <w:hyperlink r:id="rId17821">
        <w:r>
          <w:rPr>
            <w:color w:val="0000EE"/>
            <w:u w:val="single"/>
          </w:rPr>
          <w:t>7.1–27</w:t>
        </w:r>
      </w:hyperlink>
      <w:r>
        <w:t>)</w:t>
      </w:r>
    </w:p>
    <w:p>
      <w:r/>
      <w:r>
        <w:t xml:space="preserve">Este capítulo oferece uma ilustração vívida das artimanhas de uma prostituta. Os prazeres que ela oferece parecem sedutores, intensificados pelo elemento de risco, mas, na verdade, a aventura da noite invariavelmente se revela como o caminho para o inferno (v. </w:t>
      </w:r>
      <w:hyperlink r:id="rId10287">
        <w:r>
          <w:rPr>
            <w:color w:val="0000EE"/>
            <w:u w:val="single"/>
          </w:rPr>
          <w:t>27</w:t>
        </w:r>
      </w:hyperlink>
      <w:r>
        <w:t>).</w:t>
      </w:r>
    </w:p>
    <w:p>
      <w:r/>
      <w:r>
        <w:t>Lição 13: Apelo direto da sabedoria (</w:t>
      </w:r>
      <w:hyperlink r:id="rId17777">
        <w:r>
          <w:rPr>
            <w:color w:val="0000EE"/>
            <w:u w:val="single"/>
          </w:rPr>
          <w:t>8.1–9.18</w:t>
        </w:r>
      </w:hyperlink>
      <w:r>
        <w:t>)</w:t>
      </w:r>
    </w:p>
    <w:p>
      <w:r/>
      <w:r>
        <w:t xml:space="preserve">Em contraste com a sedutora mortal de língua suave do capítulo </w:t>
      </w:r>
      <w:hyperlink r:id="rId17821">
        <w:r>
          <w:rPr>
            <w:color w:val="0000EE"/>
            <w:u w:val="single"/>
          </w:rPr>
          <w:t>7</w:t>
        </w:r>
      </w:hyperlink>
      <w:r>
        <w:t xml:space="preserve"> e a prostituta descarada e de boca alta de </w:t>
      </w:r>
      <w:hyperlink r:id="rId17822">
        <w:r>
          <w:rPr>
            <w:color w:val="0000EE"/>
            <w:u w:val="single"/>
          </w:rPr>
          <w:t>9.13–18</w:t>
        </w:r>
      </w:hyperlink>
      <w:r>
        <w:t xml:space="preserve">, há duas imagens complementares da Sabedoria. A primeira, em </w:t>
      </w:r>
      <w:hyperlink r:id="rId9446">
        <w:r>
          <w:rPr>
            <w:color w:val="0000EE"/>
            <w:u w:val="single"/>
          </w:rPr>
          <w:t>8.1–36</w:t>
        </w:r>
      </w:hyperlink>
      <w:r>
        <w:t xml:space="preserve">, é um dos exemplos mais notáveis de personificação no AT. A Sabedoria não busca a ruína de alguém, mas o bem-estar de todos (vv. </w:t>
      </w:r>
      <w:hyperlink r:id="rId17823">
        <w:r>
          <w:rPr>
            <w:color w:val="0000EE"/>
            <w:u w:val="single"/>
          </w:rPr>
          <w:t>1–5</w:t>
        </w:r>
      </w:hyperlink>
      <w:r>
        <w:t xml:space="preserve">). Sabedoria e integridade, conduta justa e franqueza são retratadas como entidades inseparáveis (vv. </w:t>
      </w:r>
      <w:hyperlink r:id="rId17824">
        <w:r>
          <w:rPr>
            <w:color w:val="0000EE"/>
            <w:u w:val="single"/>
          </w:rPr>
          <w:t>6–13</w:t>
        </w:r>
      </w:hyperlink>
      <w:r>
        <w:t xml:space="preserve">). Contudo, permanece uma ênfase nas bênçãos que resultam da busca pela sabedoria (vv. </w:t>
      </w:r>
      <w:hyperlink r:id="rId17825">
        <w:r>
          <w:rPr>
            <w:color w:val="0000EE"/>
            <w:u w:val="single"/>
          </w:rPr>
          <w:t>14–21</w:t>
        </w:r>
      </w:hyperlink>
      <w:r>
        <w:t xml:space="preserve">). Reis, juízes e governantes dependem dela, e o sucesso do tipo mais desejável é seu presente para seus seguidores. Os versículos </w:t>
      </w:r>
      <w:hyperlink r:id="rId17826">
        <w:r>
          <w:rPr>
            <w:color w:val="0000EE"/>
            <w:u w:val="single"/>
          </w:rPr>
          <w:t>22–31</w:t>
        </w:r>
      </w:hyperlink>
      <w:r>
        <w:t xml:space="preserve"> são praticamente uma explicação teológica para a preeminência da Sabedoria, mostrando sua estreita associação com a atividade criativa de Deus.</w:t>
      </w:r>
    </w:p>
    <w:p>
      <w:r/>
      <w:r>
        <w:t xml:space="preserve">Compreensivelmente, muitos cristãos veem nestes versículos uma antecipação do próprio Cristo. O NT vê Cristo como a resposta para duas das questões religiosas mais vitais: como Deus se aproxima da humanidade e como Ele criou o mundo? Aqui está a resposta — pela Sabedoria. A conexão pode ser levada para a próxima seção (vv. </w:t>
      </w:r>
      <w:hyperlink r:id="rId17827">
        <w:r>
          <w:rPr>
            <w:color w:val="0000EE"/>
            <w:u w:val="single"/>
          </w:rPr>
          <w:t>33–36</w:t>
        </w:r>
      </w:hyperlink>
      <w:r>
        <w:t>), onde a Sabedoria, assim como Cristo no NT, é vista como absolutamente essencial e desejável.</w:t>
      </w:r>
    </w:p>
    <w:p>
      <w:r/>
      <w:r>
        <w:t>No segundo quadro da Sabedoria (</w:t>
      </w:r>
      <w:hyperlink r:id="rId17828">
        <w:r>
          <w:rPr>
            <w:color w:val="0000EE"/>
            <w:u w:val="single"/>
          </w:rPr>
          <w:t>9.1–6</w:t>
        </w:r>
      </w:hyperlink>
      <w:r>
        <w:t xml:space="preserve">), ela é vista como uma anfitriã graciosa e generosa, oferecendo um banquete que resulta em vida (cf. a parábola de Jesus em </w:t>
      </w:r>
      <w:hyperlink r:id="rId3103">
        <w:r>
          <w:rPr>
            <w:color w:val="0000EE"/>
            <w:u w:val="single"/>
          </w:rPr>
          <w:t>Lc 14.15–24</w:t>
        </w:r>
      </w:hyperlink>
      <w:r>
        <w:t xml:space="preserve">). Um contraste adicional com a mulher imoral em </w:t>
      </w:r>
      <w:hyperlink r:id="rId17822">
        <w:r>
          <w:rPr>
            <w:color w:val="0000EE"/>
            <w:u w:val="single"/>
          </w:rPr>
          <w:t>Provérbios 9.13–18</w:t>
        </w:r>
      </w:hyperlink>
      <w:r>
        <w:t xml:space="preserve"> observa, de forma incisiva, que os convidados desta última acabam no inferno. Uma série de provérbios sobre o contraste entre o sábio e o tolo (vv. </w:t>
      </w:r>
      <w:hyperlink r:id="rId17829">
        <w:r>
          <w:rPr>
            <w:color w:val="0000EE"/>
            <w:u w:val="single"/>
          </w:rPr>
          <w:t>7–12</w:t>
        </w:r>
      </w:hyperlink>
      <w:r>
        <w:t xml:space="preserve">) aparece entre os dois quadros. Eles mostram como o homem sábio é ensinável, em contraste com o tolo. Mais uma vez, o verdadeiro fundamento da vida é claramente definido (v. </w:t>
      </w:r>
      <w:hyperlink r:id="rId6850">
        <w:r>
          <w:rPr>
            <w:color w:val="0000EE"/>
            <w:u w:val="single"/>
          </w:rPr>
          <w:t>10</w:t>
        </w:r>
      </w:hyperlink>
      <w:r>
        <w:t>).</w:t>
      </w:r>
    </w:p>
    <w:p>
      <w:pPr>
        <w:pStyle w:val="Heading4"/>
      </w:pPr>
      <w:r>
        <w:t xml:space="preserve">Os provérbios selecionados de Salomão: </w:t>
      </w:r>
      <w:hyperlink r:id="rId17743">
        <w:r>
          <w:rPr>
            <w:color w:val="0000EE"/>
            <w:u w:val="single"/>
          </w:rPr>
          <w:t>10.1–22.16</w:t>
        </w:r>
      </w:hyperlink>
    </w:p>
    <w:p>
      <w:r/>
      <w:r>
        <w:t>Os 375 provérbios nesta seção foram provavelmente selecionados dos 3.000 pelos quais Salomão é creditado (</w:t>
      </w:r>
      <w:hyperlink r:id="rId17761">
        <w:r>
          <w:rPr>
            <w:color w:val="0000EE"/>
            <w:u w:val="single"/>
          </w:rPr>
          <w:t>1Rs 4.32</w:t>
        </w:r>
      </w:hyperlink>
      <w:r>
        <w:t xml:space="preserve">). Cada versículo é uma unidade, com um contraste ou uma comparação entre suas duas linhas. Há repetições compreensíveis (e.g., </w:t>
      </w:r>
      <w:hyperlink r:id="rId17830">
        <w:r>
          <w:rPr>
            <w:color w:val="0000EE"/>
            <w:u w:val="single"/>
          </w:rPr>
          <w:t>Provérbios 14.12</w:t>
        </w:r>
      </w:hyperlink>
      <w:r>
        <w:t xml:space="preserve">; </w:t>
      </w:r>
      <w:hyperlink r:id="rId17831">
        <w:r>
          <w:rPr>
            <w:color w:val="0000EE"/>
            <w:u w:val="single"/>
          </w:rPr>
          <w:t>16.25</w:t>
        </w:r>
      </w:hyperlink>
      <w:r>
        <w:t xml:space="preserve">), quase inevitáveis em uma coleção grande deste tipo. O senso comum dos ditados proverbiais, cada um dos quais foi comprovado na experiência, é evidente, mas deve-se permitir níveis variados; alguns parecem bastante mundanos e próximos da sabedoria terrena. No entanto, tomados como um todo, eles fornecem um guia prático, sancionado por Deus, para a vida cotidiana. Novamente, deve-se enfatizar que a vida religiosa, baseada na lei e no relacionamento de aliança, é pressuposta. Deus está profundamente preocupado com os mínimos detalhes da vida, e questões religiosas não são totalmente ignoradas (e.g., </w:t>
      </w:r>
      <w:hyperlink r:id="rId17832">
        <w:r>
          <w:rPr>
            <w:color w:val="0000EE"/>
            <w:u w:val="single"/>
          </w:rPr>
          <w:t>10.27–29</w:t>
        </w:r>
      </w:hyperlink>
      <w:r>
        <w:t xml:space="preserve">; </w:t>
      </w:r>
      <w:hyperlink r:id="rId14166">
        <w:r>
          <w:rPr>
            <w:color w:val="0000EE"/>
            <w:u w:val="single"/>
          </w:rPr>
          <w:t>14.27</w:t>
        </w:r>
      </w:hyperlink>
      <w:r>
        <w:t xml:space="preserve">; </w:t>
      </w:r>
      <w:hyperlink r:id="rId17833">
        <w:r>
          <w:rPr>
            <w:color w:val="0000EE"/>
            <w:u w:val="single"/>
          </w:rPr>
          <w:t>15.16,33</w:t>
        </w:r>
      </w:hyperlink>
      <w:r>
        <w:t xml:space="preserve">; </w:t>
      </w:r>
      <w:hyperlink r:id="rId17834">
        <w:r>
          <w:rPr>
            <w:color w:val="0000EE"/>
            <w:u w:val="single"/>
          </w:rPr>
          <w:t>18.10</w:t>
        </w:r>
      </w:hyperlink>
      <w:r>
        <w:t>). Esta seção em Provérbios não pode ser lida rapidamente; cada versículo exige uma pausa para permitir que seu ponto penetre na mente. Como não há uma organização sistemática dos provérbios, a maneira mais útil de abordar esta seção pode ser através de uma consideração dos temas principais. Seria um estudo valioso colacionar as referências a cada assunto:</w:t>
      </w:r>
    </w:p>
    <w:p>
      <w:r/>
      <w:r>
        <w:t>1. As recompensas dos justos e o fim dos ímpios (</w:t>
      </w:r>
      <w:hyperlink r:id="rId17835">
        <w:r>
          <w:rPr>
            <w:color w:val="0000EE"/>
            <w:u w:val="single"/>
          </w:rPr>
          <w:t>10.2,7,16,27–30</w:t>
        </w:r>
      </w:hyperlink>
      <w:r>
        <w:t xml:space="preserve">; </w:t>
      </w:r>
      <w:hyperlink r:id="rId17836">
        <w:r>
          <w:rPr>
            <w:color w:val="0000EE"/>
            <w:u w:val="single"/>
          </w:rPr>
          <w:t>11.3–9</w:t>
        </w:r>
      </w:hyperlink>
      <w:r>
        <w:t>).</w:t>
      </w:r>
    </w:p>
    <w:p>
      <w:r/>
      <w:r>
        <w:t>2. O tolo. As três palavras hebraicas traduzidas como "tolo" podem significar tanto rebeldia teimosa quanto falta de intelecto, por isso "rebelde" muitas vezes é uma tradução adequada. O tolo causa desgosto aos seus pais e é uma ameaça à sociedade. Sua mente está completamente fechada à razão e suas palavras desenfreadas causam danos incalculáveis. No caso dele, a correção é inútil; ele está além da esperança.</w:t>
      </w:r>
    </w:p>
    <w:p>
      <w:r/>
      <w:r>
        <w:t>3. O simples. A referência aqui é ao grande grupo que não é comprometido, nem tolo nem sábio, mas está aberto à persuasão gentil de professores de sabedoria preocupados. O principal apelo desta seção é para este grupo, em vez de para os sábios e prudentes, que já "se formaram".</w:t>
      </w:r>
    </w:p>
    <w:p>
      <w:r/>
      <w:r>
        <w:t xml:space="preserve">4. O preguiçoso. Esta pessoa é frequentemente contrastada com o diligente (e.g., </w:t>
      </w:r>
      <w:hyperlink r:id="rId17837">
        <w:r>
          <w:rPr>
            <w:color w:val="0000EE"/>
            <w:u w:val="single"/>
          </w:rPr>
          <w:t>10.4–5</w:t>
        </w:r>
      </w:hyperlink>
      <w:r>
        <w:t>) e é satirizada impiedosamente por sua apatia e desculpas fracas.</w:t>
      </w:r>
    </w:p>
    <w:p>
      <w:r/>
      <w:r>
        <w:t>5. O poder das palavras. Elas podem ferir ou curar (</w:t>
      </w:r>
      <w:hyperlink r:id="rId17838">
        <w:r>
          <w:rPr>
            <w:color w:val="0000EE"/>
            <w:u w:val="single"/>
          </w:rPr>
          <w:t>12.18</w:t>
        </w:r>
      </w:hyperlink>
      <w:r>
        <w:t xml:space="preserve">). A ênfase na fala honesta, em contraste com palavras enganosas e impensadas, é bem ilustrada no mesmo capítulo (e.g., </w:t>
      </w:r>
      <w:hyperlink r:id="rId17839">
        <w:r>
          <w:rPr>
            <w:color w:val="0000EE"/>
            <w:u w:val="single"/>
          </w:rPr>
          <w:t>12.6,13–14,17–19,22</w:t>
        </w:r>
      </w:hyperlink>
      <w:r>
        <w:t>).</w:t>
      </w:r>
    </w:p>
    <w:p>
      <w:r/>
      <w:r>
        <w:t xml:space="preserve">6. Sabedoria. O capítulo </w:t>
      </w:r>
      <w:hyperlink r:id="rId17840">
        <w:r>
          <w:rPr>
            <w:color w:val="0000EE"/>
            <w:u w:val="single"/>
          </w:rPr>
          <w:t>13</w:t>
        </w:r>
      </w:hyperlink>
      <w:r>
        <w:t xml:space="preserve"> mostra como ela pode ser adquirida dos pais (v. </w:t>
      </w:r>
      <w:hyperlink r:id="rId17841">
        <w:r>
          <w:rPr>
            <w:color w:val="0000EE"/>
            <w:u w:val="single"/>
          </w:rPr>
          <w:t>1</w:t>
        </w:r>
      </w:hyperlink>
      <w:r>
        <w:t xml:space="preserve">), das Escrituras (v. </w:t>
      </w:r>
      <w:hyperlink r:id="rId17842">
        <w:r>
          <w:rPr>
            <w:color w:val="0000EE"/>
            <w:u w:val="single"/>
          </w:rPr>
          <w:t>13</w:t>
        </w:r>
      </w:hyperlink>
      <w:r>
        <w:t xml:space="preserve">), da classe dos sábios (v. </w:t>
      </w:r>
      <w:hyperlink r:id="rId17843">
        <w:r>
          <w:rPr>
            <w:color w:val="0000EE"/>
            <w:u w:val="single"/>
          </w:rPr>
          <w:t>14</w:t>
        </w:r>
      </w:hyperlink>
      <w:r>
        <w:t xml:space="preserve">) e de boa companhia (v. </w:t>
      </w:r>
      <w:hyperlink r:id="rId17844">
        <w:r>
          <w:rPr>
            <w:color w:val="0000EE"/>
            <w:u w:val="single"/>
          </w:rPr>
          <w:t>20</w:t>
        </w:r>
      </w:hyperlink>
      <w:r>
        <w:t>).</w:t>
      </w:r>
    </w:p>
    <w:p>
      <w:r/>
      <w:r>
        <w:t>7. Justiça. A ênfase nisso ecoa os grandes profetas. Em particular, o suborno é condenado (</w:t>
      </w:r>
      <w:hyperlink r:id="rId17845">
        <w:r>
          <w:rPr>
            <w:color w:val="0000EE"/>
            <w:u w:val="single"/>
          </w:rPr>
          <w:t>17.8,23</w:t>
        </w:r>
      </w:hyperlink>
      <w:r>
        <w:t xml:space="preserve">; </w:t>
      </w:r>
      <w:hyperlink r:id="rId17846">
        <w:r>
          <w:rPr>
            <w:color w:val="0000EE"/>
            <w:u w:val="single"/>
          </w:rPr>
          <w:t>18.16</w:t>
        </w:r>
      </w:hyperlink>
      <w:r>
        <w:t>), assim como as falsas testemunhas (</w:t>
      </w:r>
      <w:hyperlink r:id="rId17847">
        <w:r>
          <w:rPr>
            <w:color w:val="0000EE"/>
            <w:u w:val="single"/>
          </w:rPr>
          <w:t>19.5,9,28</w:t>
        </w:r>
      </w:hyperlink>
      <w:r>
        <w:t>), enquanto a mente aberta é elogiada (</w:t>
      </w:r>
      <w:hyperlink r:id="rId17848">
        <w:r>
          <w:rPr>
            <w:color w:val="0000EE"/>
            <w:u w:val="single"/>
          </w:rPr>
          <w:t>18.17</w:t>
        </w:r>
      </w:hyperlink>
      <w:r>
        <w:t>).</w:t>
      </w:r>
    </w:p>
    <w:p>
      <w:r/>
      <w:r>
        <w:t xml:space="preserve">8. Vizinhança. "Amigos" de ocasião são frequentemente mencionados (e.g., </w:t>
      </w:r>
      <w:hyperlink r:id="rId17849">
        <w:r>
          <w:rPr>
            <w:color w:val="0000EE"/>
            <w:u w:val="single"/>
          </w:rPr>
          <w:t>19.4–7</w:t>
        </w:r>
      </w:hyperlink>
      <w:r>
        <w:t>) e contrastados com o verdadeiro amigo (</w:t>
      </w:r>
      <w:hyperlink r:id="rId11165">
        <w:r>
          <w:rPr>
            <w:color w:val="0000EE"/>
            <w:u w:val="single"/>
          </w:rPr>
          <w:t>17.17</w:t>
        </w:r>
      </w:hyperlink>
      <w:r>
        <w:t xml:space="preserve">; </w:t>
      </w:r>
      <w:hyperlink r:id="rId17850">
        <w:r>
          <w:rPr>
            <w:color w:val="0000EE"/>
            <w:u w:val="single"/>
          </w:rPr>
          <w:t>18.24</w:t>
        </w:r>
      </w:hyperlink>
      <w:r>
        <w:t>).</w:t>
      </w:r>
    </w:p>
    <w:p>
      <w:r/>
      <w:r>
        <w:t xml:space="preserve">9. Riqueza e pobreza. Essas condições são abordadas de várias maneiras, mas sempre com ênfase na prosperidade moral e espiritual, em vez de meramente material (e.g., </w:t>
      </w:r>
      <w:hyperlink r:id="rId17851">
        <w:r>
          <w:rPr>
            <w:color w:val="0000EE"/>
            <w:u w:val="single"/>
          </w:rPr>
          <w:t>21.6</w:t>
        </w:r>
      </w:hyperlink>
      <w:r>
        <w:t xml:space="preserve">; </w:t>
      </w:r>
      <w:hyperlink r:id="rId17852">
        <w:r>
          <w:rPr>
            <w:color w:val="0000EE"/>
            <w:u w:val="single"/>
          </w:rPr>
          <w:t>22.1,4</w:t>
        </w:r>
      </w:hyperlink>
      <w:r>
        <w:t>). O cuidado com os pobres é frequentemente exigido (</w:t>
      </w:r>
      <w:hyperlink r:id="rId17853">
        <w:r>
          <w:rPr>
            <w:color w:val="0000EE"/>
            <w:u w:val="single"/>
          </w:rPr>
          <w:t>21.13</w:t>
        </w:r>
      </w:hyperlink>
      <w:r>
        <w:t>) — devendo ser acompanhado dos mais altos motivos (</w:t>
      </w:r>
      <w:hyperlink r:id="rId17854">
        <w:r>
          <w:rPr>
            <w:color w:val="0000EE"/>
            <w:u w:val="single"/>
          </w:rPr>
          <w:t>22.2</w:t>
        </w:r>
      </w:hyperlink>
      <w:r>
        <w:t>).</w:t>
      </w:r>
    </w:p>
    <w:p>
      <w:r/>
      <w:r>
        <w:t>10. Vida familiar. Há uma imagem atraente de uma família ideal, com um marido trabalhador, uma esposa compreensiva que é uma bênção para ele (</w:t>
      </w:r>
      <w:hyperlink r:id="rId17855">
        <w:r>
          <w:rPr>
            <w:color w:val="0000EE"/>
            <w:u w:val="single"/>
          </w:rPr>
          <w:t>12.4</w:t>
        </w:r>
      </w:hyperlink>
      <w:r>
        <w:t xml:space="preserve">; </w:t>
      </w:r>
      <w:hyperlink r:id="rId17856">
        <w:r>
          <w:rPr>
            <w:color w:val="0000EE"/>
            <w:u w:val="single"/>
          </w:rPr>
          <w:t>14.1</w:t>
        </w:r>
      </w:hyperlink>
      <w:r>
        <w:t xml:space="preserve">; </w:t>
      </w:r>
      <w:hyperlink r:id="rId782">
        <w:r>
          <w:rPr>
            <w:color w:val="0000EE"/>
            <w:u w:val="single"/>
          </w:rPr>
          <w:t>18.22</w:t>
        </w:r>
      </w:hyperlink>
      <w:r>
        <w:t xml:space="preserve">; </w:t>
      </w:r>
      <w:hyperlink r:id="rId17857">
        <w:r>
          <w:rPr>
            <w:color w:val="0000EE"/>
            <w:u w:val="single"/>
          </w:rPr>
          <w:t>19.14</w:t>
        </w:r>
      </w:hyperlink>
      <w:r>
        <w:t>), e filhos obedientes, disciplinados quando necessário por meio de punição (</w:t>
      </w:r>
      <w:hyperlink r:id="rId7240">
        <w:r>
          <w:rPr>
            <w:color w:val="0000EE"/>
            <w:u w:val="single"/>
          </w:rPr>
          <w:t>13.24</w:t>
        </w:r>
      </w:hyperlink>
      <w:r>
        <w:t xml:space="preserve">; </w:t>
      </w:r>
      <w:hyperlink r:id="rId7288">
        <w:r>
          <w:rPr>
            <w:color w:val="0000EE"/>
            <w:u w:val="single"/>
          </w:rPr>
          <w:t>19.18</w:t>
        </w:r>
      </w:hyperlink>
      <w:r>
        <w:t xml:space="preserve">; </w:t>
      </w:r>
      <w:hyperlink r:id="rId17858">
        <w:r>
          <w:rPr>
            <w:color w:val="0000EE"/>
            <w:u w:val="single"/>
          </w:rPr>
          <w:t>23.13–14</w:t>
        </w:r>
      </w:hyperlink>
      <w:r>
        <w:t>).</w:t>
      </w:r>
    </w:p>
    <w:p>
      <w:pPr>
        <w:pStyle w:val="Heading4"/>
      </w:pPr>
      <w:r>
        <w:t xml:space="preserve">A seção final — mais conselhos sábios: </w:t>
      </w:r>
      <w:hyperlink r:id="rId17859">
        <w:r>
          <w:rPr>
            <w:color w:val="0000EE"/>
            <w:u w:val="single"/>
          </w:rPr>
          <w:t>22.17–31.31</w:t>
        </w:r>
      </w:hyperlink>
    </w:p>
    <w:p>
      <w:r/>
      <w:r>
        <w:t>Embora os temas considerados e a perspectiva geral permaneçam inalterados, os provérbios nesta seção são geralmente mais longos e há uma tentativa evidente de agrupar provérbios que tratam de assuntos específicos — por exemplo, os perigos da bebida forte (</w:t>
      </w:r>
      <w:hyperlink r:id="rId17324">
        <w:r>
          <w:rPr>
            <w:color w:val="0000EE"/>
            <w:u w:val="single"/>
          </w:rPr>
          <w:t>23.29–35</w:t>
        </w:r>
      </w:hyperlink>
      <w:r>
        <w:t>). O motivo religioso do editor desta seção é evidente; ele escreve que as pessoas devem confiar no Senhor (</w:t>
      </w:r>
      <w:hyperlink r:id="rId17860">
        <w:r>
          <w:rPr>
            <w:color w:val="0000EE"/>
            <w:u w:val="single"/>
          </w:rPr>
          <w:t>22.19</w:t>
        </w:r>
      </w:hyperlink>
      <w:r>
        <w:t>).</w:t>
      </w:r>
    </w:p>
    <w:p>
      <w:r/>
      <w:r>
        <w:t xml:space="preserve">Provérbios adicionais: </w:t>
      </w:r>
      <w:hyperlink r:id="rId17748">
        <w:r>
          <w:rPr>
            <w:color w:val="0000EE"/>
            <w:u w:val="single"/>
          </w:rPr>
          <w:t>22.17–24.34</w:t>
        </w:r>
      </w:hyperlink>
    </w:p>
    <w:p>
      <w:r/>
      <w:r>
        <w:t>Isso pode ser visto como um complemento à seção anterior, abordando mais profundamente os temas de justiça, política empresarial sábia, calúnia e preguiça. O provérbio humorístico, mas incisivo, sobre o campo do homem preguiçoso é o mais longo do livro.</w:t>
      </w:r>
    </w:p>
    <w:p>
      <w:r/>
      <w:r>
        <w:t xml:space="preserve">Provérbios salomônicos adicionais: </w:t>
      </w:r>
      <w:hyperlink r:id="rId8885">
        <w:r>
          <w:rPr>
            <w:color w:val="0000EE"/>
            <w:u w:val="single"/>
          </w:rPr>
          <w:t>25.1–29.27</w:t>
        </w:r>
      </w:hyperlink>
    </w:p>
    <w:p>
      <w:r/>
      <w:r>
        <w:t>Dos muitos provérbios salomônicos não incluídos na coleção principal (</w:t>
      </w:r>
      <w:hyperlink r:id="rId17743">
        <w:r>
          <w:rPr>
            <w:color w:val="0000EE"/>
            <w:u w:val="single"/>
          </w:rPr>
          <w:t>10.1–22.16</w:t>
        </w:r>
      </w:hyperlink>
      <w:r>
        <w:t>), os assessores de Ezequias selecionaram e editaram um grupo adicional de provérbios de Salomão. Novamente, há evidências de um esforço para agrupar provérbios relacionados — por exemplo, o lugar dos reis (</w:t>
      </w:r>
      <w:hyperlink r:id="rId17753">
        <w:r>
          <w:rPr>
            <w:color w:val="0000EE"/>
            <w:u w:val="single"/>
          </w:rPr>
          <w:t>25.2–7</w:t>
        </w:r>
      </w:hyperlink>
      <w:r>
        <w:t xml:space="preserve">); litígios imprudentes (vv. </w:t>
      </w:r>
      <w:hyperlink r:id="rId17861">
        <w:r>
          <w:rPr>
            <w:color w:val="0000EE"/>
            <w:u w:val="single"/>
          </w:rPr>
          <w:t>8–10</w:t>
        </w:r>
      </w:hyperlink>
      <w:r>
        <w:t>); o tolo (</w:t>
      </w:r>
      <w:hyperlink r:id="rId17862">
        <w:r>
          <w:rPr>
            <w:color w:val="0000EE"/>
            <w:u w:val="single"/>
          </w:rPr>
          <w:t>26.1–12</w:t>
        </w:r>
      </w:hyperlink>
      <w:r>
        <w:t xml:space="preserve">); preguiça (vv. </w:t>
      </w:r>
      <w:hyperlink r:id="rId17754">
        <w:r>
          <w:rPr>
            <w:color w:val="0000EE"/>
            <w:u w:val="single"/>
          </w:rPr>
          <w:t>13–16</w:t>
        </w:r>
      </w:hyperlink>
      <w:r>
        <w:t xml:space="preserve">); e o encrenqueiro (vv. </w:t>
      </w:r>
      <w:hyperlink r:id="rId17755">
        <w:r>
          <w:rPr>
            <w:color w:val="0000EE"/>
            <w:u w:val="single"/>
          </w:rPr>
          <w:t>17–27</w:t>
        </w:r>
      </w:hyperlink>
      <w:r>
        <w:t>).</w:t>
      </w:r>
    </w:p>
    <w:p>
      <w:r/>
      <w:r>
        <w:t xml:space="preserve">A sabedoria de Agur: </w:t>
      </w:r>
      <w:hyperlink r:id="rId619">
        <w:r>
          <w:rPr>
            <w:color w:val="0000EE"/>
            <w:u w:val="single"/>
          </w:rPr>
          <w:t>30.1–33</w:t>
        </w:r>
      </w:hyperlink>
    </w:p>
    <w:p>
      <w:r/>
      <w:r>
        <w:t xml:space="preserve">A humildade do homem sábio na presença de um Deus todo-sábio emerge claramente na introdução de Agur (vv. </w:t>
      </w:r>
      <w:hyperlink r:id="rId17863">
        <w:r>
          <w:rPr>
            <w:color w:val="0000EE"/>
            <w:u w:val="single"/>
          </w:rPr>
          <w:t>1–4</w:t>
        </w:r>
      </w:hyperlink>
      <w:r>
        <w:t xml:space="preserve">), uma passagem paralela em </w:t>
      </w:r>
      <w:hyperlink r:id="rId17864">
        <w:r>
          <w:rPr>
            <w:color w:val="0000EE"/>
            <w:u w:val="single"/>
          </w:rPr>
          <w:t>Jó 38–39</w:t>
        </w:r>
      </w:hyperlink>
      <w:r>
        <w:t>. Seu método de ensino aparentemente era confrontar seus alunos com uma série de exemplos sobre um ponto em discussão, o método “dois... três... quatro”, indicando que o catálogo não estava completo e incentivando-os a adicionar mais ilustrações de suas próprias experiências. Agur estava evidentemente em contato próximo e perceptivo com a vida em todos os níveis.</w:t>
      </w:r>
    </w:p>
    <w:p>
      <w:r/>
      <w:r>
        <w:t xml:space="preserve">A sabedoria de Lemuel: </w:t>
      </w:r>
      <w:hyperlink r:id="rId12896">
        <w:r>
          <w:rPr>
            <w:color w:val="0000EE"/>
            <w:u w:val="single"/>
          </w:rPr>
          <w:t>31.1–9</w:t>
        </w:r>
      </w:hyperlink>
    </w:p>
    <w:p>
      <w:r/>
      <w:r>
        <w:t>Esta seção, inspirada por sua mãe, aborda novamente os relacionamentos sexuais, os perigos da intoxicação e a necessidade de defender os pobres e oprimidos. O nome de Lemuel, que significa "pertencente a Deus", provavelmente nos revela ainda mais sobre sua mãe.</w:t>
      </w:r>
    </w:p>
    <w:p>
      <w:r/>
      <w:r>
        <w:t xml:space="preserve">A esposa ideal: </w:t>
      </w:r>
      <w:hyperlink r:id="rId276">
        <w:r>
          <w:rPr>
            <w:color w:val="0000EE"/>
            <w:u w:val="single"/>
          </w:rPr>
          <w:t>31.10–31</w:t>
        </w:r>
      </w:hyperlink>
    </w:p>
    <w:p>
      <w:r/>
      <w:r>
        <w:t xml:space="preserve">Cada versículo deste poema, possivelmente anônimo, começa com uma letra sucessiva do alfabeto hebraico, um recurso que muitas vezes simboliza completude. Aparecendo no final de Provérbios (um livro que aborda diretamente o tema da mulher imoral), ele oferece, em contraste, uma imagem revigorante de uma dona de casa e mãe culta e próspera. Ao mesmo tempo, proporciona uma visão esclarecedora sobre várias facetas da vida contemporânea. Como em outras partes do livro, seu relacionamento subjacente com Deus (v. </w:t>
      </w:r>
      <w:hyperlink r:id="rId17865">
        <w:r>
          <w:rPr>
            <w:color w:val="0000EE"/>
            <w:u w:val="single"/>
          </w:rPr>
          <w:t>30</w:t>
        </w:r>
      </w:hyperlink>
      <w:r>
        <w:t xml:space="preserve">) resulta em virtudes desejáveis que incluem confiabilidade (v. </w:t>
      </w:r>
      <w:hyperlink r:id="rId17866">
        <w:r>
          <w:rPr>
            <w:color w:val="0000EE"/>
            <w:u w:val="single"/>
          </w:rPr>
          <w:t>11</w:t>
        </w:r>
      </w:hyperlink>
      <w:r>
        <w:t xml:space="preserve">), imensa dedicação (vv. </w:t>
      </w:r>
      <w:hyperlink r:id="rId17867">
        <w:r>
          <w:rPr>
            <w:color w:val="0000EE"/>
            <w:u w:val="single"/>
          </w:rPr>
          <w:t>13–19,24,27</w:t>
        </w:r>
      </w:hyperlink>
      <w:r>
        <w:t xml:space="preserve">), caridade (vv. </w:t>
      </w:r>
      <w:hyperlink r:id="rId17868">
        <w:r>
          <w:rPr>
            <w:color w:val="0000EE"/>
            <w:u w:val="single"/>
          </w:rPr>
          <w:t>19–20</w:t>
        </w:r>
      </w:hyperlink>
      <w:r>
        <w:t xml:space="preserve">), previsão (vv. </w:t>
      </w:r>
      <w:hyperlink r:id="rId17869">
        <w:r>
          <w:rPr>
            <w:color w:val="0000EE"/>
            <w:u w:val="single"/>
          </w:rPr>
          <w:t>21,25</w:t>
        </w:r>
      </w:hyperlink>
      <w:r>
        <w:t xml:space="preserve">), sabedoria e bondade (v. </w:t>
      </w:r>
      <w:hyperlink r:id="rId17870">
        <w:r>
          <w:rPr>
            <w:color w:val="0000EE"/>
            <w:u w:val="single"/>
          </w:rPr>
          <w:t>26</w:t>
        </w:r>
      </w:hyperlink>
      <w:r>
        <w:t>).</w:t>
      </w:r>
    </w:p>
    <w:p>
      <w:r/>
      <w:r>
        <w:rPr>
          <w:i/>
        </w:rPr>
        <w:t>Veja também</w:t>
      </w:r>
      <w:r>
        <w:t xml:space="preserve"> </w:t>
      </w:r>
      <w:r>
        <w:t>Poesia bíblica</w:t>
      </w:r>
      <w:r>
        <w:t xml:space="preserve">; </w:t>
      </w:r>
      <w:r>
        <w:t>Salomão (Pessoa)</w:t>
      </w:r>
      <w:r>
        <w:t xml:space="preserve">; </w:t>
      </w:r>
      <w:r>
        <w:t>Sabedoria</w:t>
      </w:r>
      <w:r>
        <w:t xml:space="preserve">; </w:t>
      </w:r>
      <w:r>
        <w:t>Literatura de sabedoria</w:t>
      </w:r>
      <w:r>
        <w:t>.</w:t>
      </w:r>
      <w:r/>
      <w:r/>
    </w:p>
    <w:p>
      <w:r/>
    </w:p>
    <w:p>
      <w:pPr>
        <w:pStyle w:val="Heading2"/>
      </w:pPr>
      <w:r>
        <w:t>Providência</w:t>
      </w:r>
      <w:r/>
    </w:p>
    <w:p>
      <w:r/>
      <w:r>
        <w:t>A forma como Deus auxilia os seres humanos ao longo da história, especialmente aqueles que acreditam nele.</w:t>
      </w:r>
    </w:p>
    <w:p>
      <w:pPr>
        <w:pStyle w:val="Heading3"/>
      </w:pPr>
      <w:r>
        <w:t>Significado de providência</w:t>
      </w:r>
    </w:p>
    <w:p>
      <w:r/>
      <w:r>
        <w:t>Ao longo da história, muitas pessoas encontraram conforto no cuidado de Deus. Deus não deixa a Terra sozinha no universo nem esquece dos humanos por um momento. Deus visita, comunica, controla e intervém em nossas vidas, atendendo às nossas necessidades. A providência é uma razão para sermos gratos.</w:t>
      </w:r>
    </w:p>
    <w:p>
      <w:pPr>
        <w:pStyle w:val="Heading3"/>
      </w:pPr>
      <w:r>
        <w:t>Concepções errôneas sobre a providência</w:t>
      </w:r>
    </w:p>
    <w:p>
      <w:r/>
      <w:r>
        <w:t>Existem muitas ideias equivocadas sobre a providência, o que demonstra ser uma questão importante. Os erros surgem quando as ideias sobre a providência não se baseiam nos ensinamentos da Bíblia e as pessoas negam a personalidade de Deus. O que resta é uma força hostil que nos domina e controla tudo. Existem muitas contradições nessas ideias equivocadas, incluindo:</w:t>
      </w:r>
    </w:p>
    <w:p>
      <w:pPr>
        <w:pStyle w:val="ListNumber"/>
        <w:spacing w:line="240" w:lineRule="auto"/>
        <w:ind w:left="720"/>
      </w:pPr>
      <w:r/>
      <w:r>
        <w:rPr>
          <w:b/>
        </w:rPr>
        <w:t>Destino</w:t>
      </w:r>
      <w:r>
        <w:t>: Algumas pessoas acreditam que a vida é controlada por um destino que não pode ser previsto, dizendo coisas como "Foi o que o destino quis".</w:t>
      </w:r>
    </w:p>
    <w:p>
      <w:pPr>
        <w:pStyle w:val="ListNumber"/>
        <w:spacing w:line="240" w:lineRule="auto"/>
        <w:ind w:left="720"/>
      </w:pPr>
      <w:r/>
      <w:r>
        <w:rPr>
          <w:b/>
        </w:rPr>
        <w:t>Sorte</w:t>
      </w:r>
      <w:r>
        <w:t>: Alguns falam sobre "fortuna" ou "sorte". Como a sorte não é uma pessoa, os adivinhos tentam compreendê-la, e alguns criam conceitos como "dama da sorte" (a ideia de sorte como uma mulher mágica que controla os eventos).</w:t>
      </w:r>
    </w:p>
    <w:p>
      <w:pPr>
        <w:pStyle w:val="ListNumber"/>
        <w:spacing w:line="240" w:lineRule="auto"/>
        <w:ind w:left="720"/>
      </w:pPr>
      <w:r/>
      <w:r>
        <w:rPr>
          <w:b/>
        </w:rPr>
        <w:t>Serendipidade (descobrir algo agradável ou valioso por acaso)</w:t>
      </w:r>
      <w:r>
        <w:t>: Assumir o crédito por descobrir acidentalmente coisas boas ignora o papel de Deus e não expressa gratidão.</w:t>
      </w:r>
    </w:p>
    <w:p>
      <w:pPr>
        <w:pStyle w:val="ListNumber"/>
        <w:spacing w:line="240" w:lineRule="auto"/>
        <w:ind w:left="720"/>
      </w:pPr>
      <w:r/>
      <w:r>
        <w:rPr>
          <w:b/>
        </w:rPr>
        <w:t>História</w:t>
      </w:r>
      <w:r>
        <w:t>: Alguns grupos acreditam que a história apoia suas ideias. Por exemplo:</w:t>
      </w:r>
    </w:p>
    <w:p>
      <w:pPr>
        <w:pStyle w:val="ListBullet"/>
        <w:spacing w:line="240" w:lineRule="auto"/>
        <w:ind w:left="1440"/>
      </w:pPr>
      <w:r/>
      <w:r>
        <w:t>Apoiadores do Marxismo (seguidores das ideias de Karl Marx) afirmaram: "A história está do nosso lado". Eles acreditavam que eventos futuros inevitavelmente conduziriam a um mundo governado pelo Comunismo.</w:t>
      </w:r>
    </w:p>
    <w:p>
      <w:pPr>
        <w:pStyle w:val="ListBullet"/>
        <w:spacing w:line="240" w:lineRule="auto"/>
        <w:ind w:left="1440"/>
      </w:pPr>
      <w:r/>
      <w:r>
        <w:t>Alguns líderes americanos acreditavam no "Destino Manifesto". Essa ideia sustentava que os Estados Unidos estavam destinados a se tornar o país mais poderoso em sua região ou até mesmo no mundo.</w:t>
      </w:r>
    </w:p>
    <w:p>
      <w:pPr>
        <w:pStyle w:val="ListNumber"/>
        <w:spacing w:line="240" w:lineRule="auto"/>
        <w:ind w:left="720"/>
      </w:pPr>
      <w:r/>
      <w:r>
        <w:rPr>
          <w:b/>
        </w:rPr>
        <w:t>Progresso</w:t>
      </w:r>
      <w:r>
        <w:t>: Avanços na ciência, tecnologia, educação e sociedade levam alguns a acreditar no progresso como uma grande força. De certa forma, isso vê a providência como progresso, mas retira a glória de Deus.</w:t>
      </w:r>
    </w:p>
    <w:p>
      <w:pPr>
        <w:pStyle w:val="ListNumber"/>
        <w:spacing w:line="240" w:lineRule="auto"/>
        <w:ind w:left="720"/>
      </w:pPr>
      <w:r/>
      <w:r>
        <w:rPr>
          <w:b/>
        </w:rPr>
        <w:t>Natureza</w:t>
      </w:r>
      <w:r>
        <w:t>: Certas figuras, como Ralph Waldo Emerson e Henry David Thoreau, atribuíram providência à natureza. No entanto, a natureza é indiferente.</w:t>
      </w:r>
    </w:p>
    <w:p>
      <w:pPr>
        <w:pStyle w:val="ListNumber"/>
        <w:spacing w:line="240" w:lineRule="auto"/>
        <w:ind w:left="720"/>
      </w:pPr>
      <w:r/>
      <w:r>
        <w:rPr>
          <w:b/>
        </w:rPr>
        <w:t>Seleção natural</w:t>
      </w:r>
      <w:r>
        <w:t xml:space="preserve">: O clássico de Charles Darwin sobre a evolução biológica, </w:t>
      </w:r>
      <w:r>
        <w:rPr>
          <w:i/>
        </w:rPr>
        <w:t>A Origem das Espécies,</w:t>
      </w:r>
      <w:r>
        <w:t xml:space="preserve"> popularizou a seleção natural. Para muitos, a força por trás da “seleção natural” tornou-se mais importante do que a providência divina. A ideia de que “os mais aptos sobrevivem” faz com que a providência pareça desnecessária.</w:t>
      </w:r>
    </w:p>
    <w:p>
      <w:r/>
      <w:r>
        <w:t>Essas visões não podem ser todas verdadeiras. Elas também não satisfazem as pessoas que buscam uma providência que atenda às suas necessidades únicas. Apenas a doutrina cristã da providência oferece isso.</w:t>
      </w:r>
    </w:p>
    <w:p>
      <w:pPr>
        <w:pStyle w:val="Heading3"/>
      </w:pPr>
      <w:r>
        <w:t>Significado bíblico de providência</w:t>
      </w:r>
    </w:p>
    <w:p>
      <w:r/>
      <w:r>
        <w:t>Providência é a assistência que Deus oferece para as necessidades das pessoas.</w:t>
      </w:r>
    </w:p>
    <w:p>
      <w:r/>
      <w:r>
        <w:t>O teste de fé de Abraão é um exemplo clássico. Deus lhe disse para sacrificar seu filho — um presente que ele não podia perder. Abraão lutou com essa decisão, não querendo perder nem seu filho nem a amizade de Deus. Quando Isaque perguntou sobre o sacrifício, Abraão respondeu: “Deus dará o que for preciso; ele vai arranjar um carneirinho para o sacrifício, meu filho” (</w:t>
      </w:r>
      <w:hyperlink r:id="rId17871">
        <w:r>
          <w:rPr>
            <w:color w:val="0000EE"/>
            <w:u w:val="single"/>
          </w:rPr>
          <w:t>Gn 22.8</w:t>
        </w:r>
      </w:hyperlink>
      <w:r>
        <w:t>). Deus realmente providenciou um sacrifício adequado, “um carneiro preso pelos chifres, no meio de uma moita” (</w:t>
      </w:r>
      <w:hyperlink r:id="rId17872">
        <w:r>
          <w:rPr>
            <w:color w:val="0000EE"/>
            <w:u w:val="single"/>
          </w:rPr>
          <w:t>Gn 22.13</w:t>
        </w:r>
      </w:hyperlink>
      <w:r>
        <w:t>).</w:t>
      </w:r>
    </w:p>
    <w:p>
      <w:r/>
      <w:r>
        <w:t>A palavra "providência" significa "ver antecipadamente" e agir em relação à situação. Para Abraão, estava claro que Deus colocou o carneiro no local do sacrifício para seu uso. "Provisão" e "providência" estão relacionadas à palavra "prover". No entanto, providência passou a significar a provisão de Deus.</w:t>
      </w:r>
    </w:p>
    <w:p>
      <w:r/>
      <w:r>
        <w:t>No Novo Testamento, Paulo elogiou o apoio dos filipenses ao seu trabalho missionário. Ele estava confiante de que a providência de Deus os sustentaria: “E o meu Deus, de acordo com as gloriosas riquezas que ele tem para oferecer por meio de Cristo Jesus, lhes dará tudo o que vocês precisam” (</w:t>
      </w:r>
      <w:hyperlink r:id="rId9522">
        <w:r>
          <w:rPr>
            <w:color w:val="0000EE"/>
            <w:u w:val="single"/>
          </w:rPr>
          <w:t>Fp 4.19</w:t>
        </w:r>
      </w:hyperlink>
      <w:r>
        <w:t>). O sacrifício de Jesus confirma a providência de Deus. Deus pediu o filho de Abraão, mas não aceitou o sacrifício. Dois mil anos depois, ele deu seu próprio filho como sacrifício. É da natureza de Deus prever as necessidades humanas e provê-las.</w:t>
      </w:r>
    </w:p>
    <w:p>
      <w:pPr>
        <w:pStyle w:val="Heading3"/>
      </w:pPr>
      <w:r>
        <w:t>Providência e a natureza de Deus</w:t>
      </w:r>
    </w:p>
    <w:p>
      <w:r/>
      <w:r>
        <w:t xml:space="preserve">Seguindo suas palavras aos filipenses (“as gloriosas riquezas que ele tem para oferecer” — </w:t>
      </w:r>
      <w:hyperlink r:id="rId9522">
        <w:r>
          <w:rPr>
            <w:color w:val="0000EE"/>
            <w:u w:val="single"/>
          </w:rPr>
          <w:t>Fp 4.19</w:t>
        </w:r>
      </w:hyperlink>
      <w:r>
        <w:t xml:space="preserve">), Paulo escreveu uma doxologia a “ao Deus e Pai” (versículo </w:t>
      </w:r>
      <w:hyperlink r:id="rId14910">
        <w:r>
          <w:rPr>
            <w:color w:val="0000EE"/>
            <w:u w:val="single"/>
          </w:rPr>
          <w:t>20</w:t>
        </w:r>
      </w:hyperlink>
      <w:r>
        <w:t>). A providência é como um pai que provê e guia. Deus é nosso Pai, e sua providência é a expressão disso. Pais oferecem oportunidades aos seus filhos sem tirar sua liberdade. Eles guiam seus filhos cuidando deles. A providência flui naturalmente da natureza paternal de Deus.</w:t>
      </w:r>
    </w:p>
    <w:p>
      <w:r/>
      <w:r>
        <w:rPr>
          <w:i/>
        </w:rPr>
        <w:t>Veja também</w:t>
      </w:r>
      <w:r>
        <w:t xml:space="preserve"> </w:t>
      </w:r>
      <w:r>
        <w:t>Predestinação</w:t>
      </w:r>
      <w:r>
        <w:t xml:space="preserve">; </w:t>
      </w:r>
      <w:r>
        <w:t>Deus, Ser e Atributos</w:t>
      </w:r>
      <w:r>
        <w:t>.</w:t>
      </w:r>
      <w:r/>
      <w:r/>
    </w:p>
    <w:p>
      <w:r/>
    </w:p>
    <w:p>
      <w:pPr>
        <w:pStyle w:val="Heading2"/>
      </w:pPr>
      <w:r>
        <w:t>Próximo</w:t>
      </w:r>
      <w:r/>
    </w:p>
    <w:p>
      <w:r/>
      <w:r>
        <w:t>O conceito, aparentemente limitado no período do Antigo Testamento e no judaísmo tardio ao compatriota israelita ou membro da aliança, foi ampliado por Jesus para incluir qualquer pessoa encontrada na vida.</w:t>
      </w:r>
    </w:p>
    <w:p>
      <w:pPr>
        <w:pStyle w:val="Heading3"/>
      </w:pPr>
      <w:r>
        <w:t>No Antigo Testamento</w:t>
      </w:r>
    </w:p>
    <w:p>
      <w:r/>
      <w:r>
        <w:t xml:space="preserve">Embora nunca seja explicitamente limitado como tal, a conotação predominante de “próximo” no AT é a de um membro da comunidade da aliança; isto é, outro israelita (veja </w:t>
      </w:r>
      <w:hyperlink r:id="rId17873">
        <w:r>
          <w:rPr>
            <w:color w:val="0000EE"/>
            <w:u w:val="single"/>
          </w:rPr>
          <w:t>Lv 6.1–7</w:t>
        </w:r>
      </w:hyperlink>
      <w:r>
        <w:t xml:space="preserve">; </w:t>
      </w:r>
      <w:hyperlink r:id="rId12828">
        <w:r>
          <w:rPr>
            <w:color w:val="0000EE"/>
            <w:u w:val="single"/>
          </w:rPr>
          <w:t>19</w:t>
        </w:r>
      </w:hyperlink>
      <w:r>
        <w:t xml:space="preserve">; </w:t>
      </w:r>
      <w:hyperlink r:id="rId17874">
        <w:r>
          <w:rPr>
            <w:color w:val="0000EE"/>
            <w:u w:val="single"/>
          </w:rPr>
          <w:t>Dt 15.2–3</w:t>
        </w:r>
      </w:hyperlink>
      <w:r>
        <w:t xml:space="preserve">). Em </w:t>
      </w:r>
      <w:hyperlink r:id="rId1166">
        <w:r>
          <w:rPr>
            <w:color w:val="0000EE"/>
            <w:u w:val="single"/>
          </w:rPr>
          <w:t>Levítico 19.18</w:t>
        </w:r>
      </w:hyperlink>
      <w:r>
        <w:t xml:space="preserve">, uma passagem frequentemente citada no NT, o israelita é ordenado a “amar o seu próximo como a si mesmo.” Em </w:t>
      </w:r>
      <w:hyperlink r:id="rId8580">
        <w:r>
          <w:rPr>
            <w:color w:val="0000EE"/>
            <w:u w:val="single"/>
          </w:rPr>
          <w:t>19.34</w:t>
        </w:r>
      </w:hyperlink>
      <w:r>
        <w:t xml:space="preserve">, é explicitamente declarado que tal amor também deve ser demonstrado ao estrangeiro (ou “peregrino”) que passa pela terra. Se “próximo” (v </w:t>
      </w:r>
      <w:hyperlink r:id="rId1166">
        <w:r>
          <w:rPr>
            <w:color w:val="0000EE"/>
            <w:u w:val="single"/>
          </w:rPr>
          <w:t>18</w:t>
        </w:r>
      </w:hyperlink>
      <w:r>
        <w:t xml:space="preserve">) implicasse uma noção mais abrangente, como “humanidade” ou “semelhante”, presumivelmente não haveria necessidade de incluir a estipulação adicional no versículo </w:t>
      </w:r>
      <w:hyperlink r:id="rId8580">
        <w:r>
          <w:rPr>
            <w:color w:val="0000EE"/>
            <w:u w:val="single"/>
          </w:rPr>
          <w:t>34</w:t>
        </w:r>
      </w:hyperlink>
      <w:r>
        <w:t>. “Próximo” foi, portanto, provavelmente entendido como o próximo imediato, o companheiro israelita.</w:t>
      </w:r>
    </w:p>
    <w:p>
      <w:r/>
      <w:r>
        <w:t>Dentro da comunidade da aliança, o amor ao próximo envolvia certas responsabilidades claramente estabelecidas na lei. O próximo devia ser tratado de forma justa (</w:t>
      </w:r>
      <w:hyperlink r:id="rId17875">
        <w:r>
          <w:rPr>
            <w:color w:val="0000EE"/>
            <w:u w:val="single"/>
          </w:rPr>
          <w:t>Êx 22.5–15</w:t>
        </w:r>
      </w:hyperlink>
      <w:r>
        <w:t xml:space="preserve">; </w:t>
      </w:r>
      <w:hyperlink r:id="rId7218">
        <w:r>
          <w:rPr>
            <w:color w:val="0000EE"/>
            <w:u w:val="single"/>
          </w:rPr>
          <w:t>Lv 6.2–7</w:t>
        </w:r>
      </w:hyperlink>
      <w:r>
        <w:t xml:space="preserve">; </w:t>
      </w:r>
      <w:hyperlink r:id="rId6988">
        <w:r>
          <w:rPr>
            <w:color w:val="0000EE"/>
            <w:u w:val="single"/>
          </w:rPr>
          <w:t>19.9–18</w:t>
        </w:r>
      </w:hyperlink>
      <w:r>
        <w:t>) e respeitado (</w:t>
      </w:r>
      <w:hyperlink r:id="rId13743">
        <w:r>
          <w:rPr>
            <w:color w:val="0000EE"/>
            <w:u w:val="single"/>
          </w:rPr>
          <w:t>Êx 20.16</w:t>
        </w:r>
      </w:hyperlink>
      <w:r>
        <w:t>), assim como seus pertences (</w:t>
      </w:r>
      <w:hyperlink r:id="rId1569">
        <w:r>
          <w:rPr>
            <w:color w:val="0000EE"/>
            <w:u w:val="single"/>
          </w:rPr>
          <w:t>Êx 20.17</w:t>
        </w:r>
      </w:hyperlink>
      <w:r>
        <w:t>). Para promover tais relações justas e misericordiosas dentro da comunidade da aliança, o próximo devia ser considerado como um “irmão” (</w:t>
      </w:r>
      <w:hyperlink r:id="rId17876">
        <w:r>
          <w:rPr>
            <w:color w:val="0000EE"/>
            <w:u w:val="single"/>
          </w:rPr>
          <w:t>Lv 25.25</w:t>
        </w:r>
      </w:hyperlink>
      <w:r>
        <w:t xml:space="preserve">; </w:t>
      </w:r>
      <w:hyperlink r:id="rId17877">
        <w:r>
          <w:rPr>
            <w:color w:val="0000EE"/>
            <w:u w:val="single"/>
          </w:rPr>
          <w:t>Dt 22.1–4</w:t>
        </w:r>
      </w:hyperlink>
      <w:r>
        <w:t>). O que se fazia ao próximo devia ser retribuído da mesma forma (</w:t>
      </w:r>
      <w:hyperlink r:id="rId17878">
        <w:r>
          <w:rPr>
            <w:color w:val="0000EE"/>
            <w:u w:val="single"/>
          </w:rPr>
          <w:t>Lv 24.19–23</w:t>
        </w:r>
      </w:hyperlink>
      <w:r>
        <w:t xml:space="preserve">; </w:t>
      </w:r>
      <w:hyperlink r:id="rId17879">
        <w:r>
          <w:rPr>
            <w:color w:val="0000EE"/>
            <w:u w:val="single"/>
          </w:rPr>
          <w:t>Dt 19.11–19</w:t>
        </w:r>
      </w:hyperlink>
      <w:r>
        <w:t>).</w:t>
      </w:r>
    </w:p>
    <w:p>
      <w:r/>
      <w:r>
        <w:t>A importância significativa atribuída ao tratamento do próximo é compreensível quando vista como parte do relacionamento mais amplo com Deus e era considerada algo que poderia afetar significativamente o relacionamento divino-humano (</w:t>
      </w:r>
      <w:hyperlink r:id="rId17873">
        <w:r>
          <w:rPr>
            <w:color w:val="0000EE"/>
            <w:u w:val="single"/>
          </w:rPr>
          <w:t>Lv 6.1–7</w:t>
        </w:r>
      </w:hyperlink>
      <w:r>
        <w:t xml:space="preserve">; </w:t>
      </w:r>
      <w:hyperlink r:id="rId12828">
        <w:r>
          <w:rPr>
            <w:color w:val="0000EE"/>
            <w:u w:val="single"/>
          </w:rPr>
          <w:t>19</w:t>
        </w:r>
      </w:hyperlink>
      <w:r>
        <w:t xml:space="preserve">; </w:t>
      </w:r>
      <w:hyperlink r:id="rId17880">
        <w:r>
          <w:rPr>
            <w:color w:val="0000EE"/>
            <w:u w:val="single"/>
          </w:rPr>
          <w:t>25.17</w:t>
        </w:r>
      </w:hyperlink>
      <w:r>
        <w:t xml:space="preserve">; </w:t>
      </w:r>
      <w:hyperlink r:id="rId7374">
        <w:r>
          <w:rPr>
            <w:color w:val="0000EE"/>
            <w:u w:val="single"/>
          </w:rPr>
          <w:t>Dt 24.10–13</w:t>
        </w:r>
      </w:hyperlink>
      <w:r>
        <w:t xml:space="preserve">; </w:t>
      </w:r>
      <w:hyperlink r:id="rId14967">
        <w:r>
          <w:rPr>
            <w:color w:val="0000EE"/>
            <w:u w:val="single"/>
          </w:rPr>
          <w:t>Sl 12</w:t>
        </w:r>
      </w:hyperlink>
      <w:r>
        <w:t>). Os israelitas deviam tratar seus próximos da mesma maneira amorosa com que eles próprios haviam sido tratados por Deus (</w:t>
      </w:r>
      <w:hyperlink r:id="rId8579">
        <w:r>
          <w:rPr>
            <w:color w:val="0000EE"/>
            <w:u w:val="single"/>
          </w:rPr>
          <w:t>Êx 22.21</w:t>
        </w:r>
      </w:hyperlink>
      <w:r>
        <w:t xml:space="preserve">; </w:t>
      </w:r>
      <w:hyperlink r:id="rId1959">
        <w:r>
          <w:rPr>
            <w:color w:val="0000EE"/>
            <w:u w:val="single"/>
          </w:rPr>
          <w:t>Lv 25.35–38</w:t>
        </w:r>
      </w:hyperlink>
      <w:r>
        <w:t>).</w:t>
      </w:r>
    </w:p>
    <w:p>
      <w:r/>
      <w:r>
        <w:t>A importância da relação de vizinhança dentro da comunidade da aliança é demonstrada pelo fato de que, quando essas responsabilidades eram ignoradas, ocorria uma ruptura social ou turbulência nacional (</w:t>
      </w:r>
      <w:hyperlink r:id="rId2209">
        <w:r>
          <w:rPr>
            <w:color w:val="0000EE"/>
            <w:u w:val="single"/>
          </w:rPr>
          <w:t>Dt 28.15–68</w:t>
        </w:r>
      </w:hyperlink>
      <w:r>
        <w:t xml:space="preserve">; </w:t>
      </w:r>
      <w:hyperlink r:id="rId17881">
        <w:r>
          <w:rPr>
            <w:color w:val="0000EE"/>
            <w:u w:val="single"/>
          </w:rPr>
          <w:t>Os 4.1–3</w:t>
        </w:r>
      </w:hyperlink>
      <w:r>
        <w:t xml:space="preserve">; </w:t>
      </w:r>
      <w:hyperlink r:id="rId17882">
        <w:r>
          <w:rPr>
            <w:color w:val="0000EE"/>
            <w:u w:val="single"/>
          </w:rPr>
          <w:t>Am 2.6–7</w:t>
        </w:r>
      </w:hyperlink>
      <w:r>
        <w:t>). O fato de que os israelitas frequentemente negligenciavam o amor pelo próximo, especialmente o próximo necessitado, contribuiu para o castigo divino do exílio (</w:t>
      </w:r>
      <w:hyperlink r:id="rId17883">
        <w:r>
          <w:rPr>
            <w:color w:val="0000EE"/>
            <w:u w:val="single"/>
          </w:rPr>
          <w:t>Jr 5.7–9</w:t>
        </w:r>
      </w:hyperlink>
      <w:r>
        <w:t xml:space="preserve">; </w:t>
      </w:r>
      <w:hyperlink r:id="rId17884">
        <w:r>
          <w:rPr>
            <w:color w:val="0000EE"/>
            <w:u w:val="single"/>
          </w:rPr>
          <w:t>7.1–15</w:t>
        </w:r>
      </w:hyperlink>
      <w:r>
        <w:t xml:space="preserve">; </w:t>
      </w:r>
      <w:hyperlink r:id="rId17885">
        <w:r>
          <w:rPr>
            <w:color w:val="0000EE"/>
            <w:u w:val="single"/>
          </w:rPr>
          <w:t>9.2–9</w:t>
        </w:r>
      </w:hyperlink>
      <w:r>
        <w:t xml:space="preserve">; </w:t>
      </w:r>
      <w:hyperlink r:id="rId17881">
        <w:r>
          <w:rPr>
            <w:color w:val="0000EE"/>
            <w:u w:val="single"/>
          </w:rPr>
          <w:t>Os 4.1–3</w:t>
        </w:r>
      </w:hyperlink>
      <w:r>
        <w:t xml:space="preserve">; </w:t>
      </w:r>
      <w:hyperlink r:id="rId17882">
        <w:r>
          <w:rPr>
            <w:color w:val="0000EE"/>
            <w:u w:val="single"/>
          </w:rPr>
          <w:t>Am 2.6–7</w:t>
        </w:r>
      </w:hyperlink>
      <w:r>
        <w:t xml:space="preserve">; </w:t>
      </w:r>
      <w:hyperlink r:id="rId1306">
        <w:r>
          <w:rPr>
            <w:color w:val="0000EE"/>
            <w:u w:val="single"/>
          </w:rPr>
          <w:t>5.10–13</w:t>
        </w:r>
      </w:hyperlink>
      <w:r>
        <w:t xml:space="preserve">; </w:t>
      </w:r>
      <w:hyperlink r:id="rId17584">
        <w:r>
          <w:rPr>
            <w:color w:val="0000EE"/>
            <w:u w:val="single"/>
          </w:rPr>
          <w:t>8.4–6</w:t>
        </w:r>
      </w:hyperlink>
      <w:r>
        <w:t>). O fato de que o amor adequado ao próximo também fazia parte da esperança de Israel para a era messiânica vindoura (</w:t>
      </w:r>
      <w:hyperlink r:id="rId823">
        <w:r>
          <w:rPr>
            <w:color w:val="0000EE"/>
            <w:u w:val="single"/>
          </w:rPr>
          <w:t>Jr 31.34</w:t>
        </w:r>
      </w:hyperlink>
      <w:r>
        <w:t xml:space="preserve">; </w:t>
      </w:r>
      <w:hyperlink r:id="rId17104">
        <w:r>
          <w:rPr>
            <w:color w:val="0000EE"/>
            <w:u w:val="single"/>
          </w:rPr>
          <w:t>Zc 3.10</w:t>
        </w:r>
      </w:hyperlink>
      <w:r>
        <w:t>) destaca sua negligência comum dentro da comunidade da aliança no AT.</w:t>
      </w:r>
    </w:p>
    <w:p>
      <w:pPr>
        <w:pStyle w:val="Heading3"/>
      </w:pPr>
      <w:r>
        <w:t>No judaísmo tardio</w:t>
      </w:r>
    </w:p>
    <w:p>
      <w:r/>
      <w:r>
        <w:t>A partir da experiência do exílio, Israel reconheceu que a bênção divina era, em certa medida, condicionada à justiça e ao amor exercidos uns para com os outros (</w:t>
      </w:r>
      <w:hyperlink r:id="rId17886">
        <w:r>
          <w:rPr>
            <w:color w:val="0000EE"/>
            <w:u w:val="single"/>
          </w:rPr>
          <w:t>Zc 8.14–17</w:t>
        </w:r>
      </w:hyperlink>
      <w:r>
        <w:t>). No entanto, a identidade do “próximo” era debatida. Vários fatores sugerem que o “próximo” era limitado, nesse período, ao compatriota israelita e ao prosélito (gentio convertido ao judaísmo). Evidências de material rabínico excluem samaritanos e gentios que viviam na terra de serem considerados “próximos” e, portanto, dignos de amor. Dentro da comunidade judaica essênia em Qumran, o “próximo” a ser respeitado e tratado com justiça era restrito aos membros da própria comunidade. Finalmente, quando Jesus recorda, “Vocês ouviram o que foi dito: ‘Ame o seu próximo e odeie o seu inimigo’” (</w:t>
      </w:r>
      <w:hyperlink r:id="rId17887">
        <w:r>
          <w:rPr>
            <w:color w:val="0000EE"/>
            <w:u w:val="single"/>
          </w:rPr>
          <w:t>Mt 5.43</w:t>
        </w:r>
      </w:hyperlink>
      <w:r>
        <w:t>), ele está citando apenas parcialmente o AT (</w:t>
      </w:r>
      <w:hyperlink r:id="rId1166">
        <w:r>
          <w:rPr>
            <w:color w:val="0000EE"/>
            <w:u w:val="single"/>
          </w:rPr>
          <w:t>Lv 19.18</w:t>
        </w:r>
      </w:hyperlink>
      <w:r>
        <w:t>—“Ame o seu próximo”). A última frase (“e odeie o seu inimigo”) reflete o sentimento judaico contemporâneo em relação aos de fora; ou seja, Deus não exigia amor para com aqueles considerados “inimigos”, mas apenas para com os compatriotas.</w:t>
      </w:r>
    </w:p>
    <w:p>
      <w:pPr>
        <w:pStyle w:val="Heading3"/>
      </w:pPr>
      <w:r>
        <w:t>No Novo Testamento</w:t>
      </w:r>
    </w:p>
    <w:p>
      <w:r/>
      <w:r>
        <w:t>Jesus se diferenciava dramaticamente de seus contemporâneos judeus ao eliminar as limitações sobre quem deveria ser amado. Em contraste com aqueles que restringiam o amor aos compatriotas, Jesus defendia estender a obrigação de amar o próximo também ao inimigo (</w:t>
      </w:r>
      <w:hyperlink r:id="rId17888">
        <w:r>
          <w:rPr>
            <w:color w:val="0000EE"/>
            <w:u w:val="single"/>
          </w:rPr>
          <w:t>Mt 5.43–48</w:t>
        </w:r>
      </w:hyperlink>
      <w:r>
        <w:t>), e ao fazer isso, ele eliminou completamente a distinção entre próximo e inimigo.</w:t>
      </w:r>
    </w:p>
    <w:p>
      <w:r/>
      <w:r>
        <w:t>Em outra ocasião, um escriba perguntou a Jesus qual era o maior mandamento dado por Deus (</w:t>
      </w:r>
      <w:hyperlink r:id="rId17889">
        <w:r>
          <w:rPr>
            <w:color w:val="0000EE"/>
            <w:u w:val="single"/>
          </w:rPr>
          <w:t>Mc 12.28–31</w:t>
        </w:r>
      </w:hyperlink>
      <w:r>
        <w:t xml:space="preserve">). Em resposta, Jesus citou </w:t>
      </w:r>
      <w:hyperlink r:id="rId947">
        <w:r>
          <w:rPr>
            <w:color w:val="0000EE"/>
            <w:u w:val="single"/>
          </w:rPr>
          <w:t>Deuteronômio 6.5</w:t>
        </w:r>
      </w:hyperlink>
      <w:r>
        <w:t xml:space="preserve"> sobre a natureza de Deus e a obrigação do homem de amar a Deus com todo o seu ser: coração, alma e mente. É significativo que Jesus não parou por aí, mas vinculou a isso um segundo mandamento de “amar o próximo como a si mesmo” (</w:t>
      </w:r>
      <w:hyperlink r:id="rId1166">
        <w:r>
          <w:rPr>
            <w:color w:val="0000EE"/>
            <w:u w:val="single"/>
          </w:rPr>
          <w:t>Lv 19.18</w:t>
        </w:r>
      </w:hyperlink>
      <w:r>
        <w:t xml:space="preserve">). Alguns estudiosos sugerem que essa associação dramática e próxima do amor a Deus e ao próximo teve origem com Jesus. Se Jesus foi o primeiro a unir esses mandamentos (ver </w:t>
      </w:r>
      <w:hyperlink r:id="rId945">
        <w:r>
          <w:rPr>
            <w:color w:val="0000EE"/>
            <w:u w:val="single"/>
          </w:rPr>
          <w:t>Mt 22.37</w:t>
        </w:r>
      </w:hyperlink>
      <w:r>
        <w:t xml:space="preserve">; </w:t>
      </w:r>
      <w:hyperlink r:id="rId6990">
        <w:r>
          <w:rPr>
            <w:color w:val="0000EE"/>
            <w:u w:val="single"/>
          </w:rPr>
          <w:t>Mc 12.29–31</w:t>
        </w:r>
      </w:hyperlink>
      <w:r>
        <w:t>), isso revela a própria compreensão de nosso Senhor sobre a relação dessas duas obrigações; o amor adequado ao próximo deriva do amor a Deus e, inversamente, o amor a Deus é inseparável de atender às necessidades de um próximo com amor.</w:t>
      </w:r>
    </w:p>
    <w:p>
      <w:r/>
      <w:r>
        <w:t>O debate no tempo de Jesus não era sobre como tratar adequadamente o próximo, mas quem, de fato, era o próximo. Jesus é questionado sobre isso por um especialista da lei (</w:t>
      </w:r>
      <w:hyperlink r:id="rId17890">
        <w:r>
          <w:rPr>
            <w:color w:val="0000EE"/>
            <w:u w:val="single"/>
          </w:rPr>
          <w:t>Lc 10.29</w:t>
        </w:r>
      </w:hyperlink>
      <w:r>
        <w:t xml:space="preserve">). Jesus havia elogiado o mestre da lei por seu claro entendimento do que era necessário para herdar a vida eterna, ou seja, amor a Deus e amor ao próximo. Lucas sugere que o mestre da lei fez a pergunta adicional para “justificar-se”, isto é, justificar seu comportamento real de amor limitado para com seu semelhante. Jesus escolheu não responder diretamente, mas através do uso de uma parábola, neste caso, a conhecida parábola do bom samaritano (vv. </w:t>
      </w:r>
      <w:hyperlink r:id="rId16258">
        <w:r>
          <w:rPr>
            <w:color w:val="0000EE"/>
            <w:u w:val="single"/>
          </w:rPr>
          <w:t>30–35</w:t>
        </w:r>
      </w:hyperlink>
      <w:r>
        <w:t>).</w:t>
      </w:r>
    </w:p>
    <w:p>
      <w:r/>
      <w:r>
        <w:t>Para abrir os olhos do mestre da lei para a trágica miopia de sua pergunta, Jesus contou uma história cotidiana de um homem viajando pela perigosa estrada de Jerusalém até Jericó, uma estrada particularmente infestada por ladrões. O viajante é roubado, despido, espancado e deixado quase morto. Até esse ponto, o mestre poderia ter assumido que Jesus estava oferecendo um exemplo de quem constitui um “próximo” — um companheiro judeu necessitado. Jesus prossegue, no entanto, introduzindo duas figuras, um sacerdote e um levita que, em uma discussão acadêmica, poderiam ter argumentado muito bem sobre quem é o próximo que Deus chama para amar. O mestre da lei sem dúvida teria antecipado que tais especialistas na lei agiriam corretamente em relação à vítima. Em contraste, o sacerdote e o levita, ao verem o homem necessitado, respondem “passando pelo outro lado”. Incapazes de determinar se a vítima estava morta ou quase viva, e possivelmente não querendo arriscar impureza, os especialistas da lei passam, violando assim o maior dos mandamentos recém-identificados pelo mestre da lei (</w:t>
      </w:r>
      <w:hyperlink r:id="rId6972">
        <w:r>
          <w:rPr>
            <w:color w:val="0000EE"/>
            <w:u w:val="single"/>
          </w:rPr>
          <w:t>10.25–28</w:t>
        </w:r>
      </w:hyperlink>
      <w:r>
        <w:t>).</w:t>
      </w:r>
    </w:p>
    <w:p>
      <w:r/>
      <w:r>
        <w:t xml:space="preserve">Entra um samaritano — uma figura especialmente desprezada pelos judeus. Vistos como hereges pelas autoridades religiosas judaicas, os samaritanos eram desqualificados nos círculos rabínicos de serem considerados um "próximo" e, portanto, dignos de amor. De fato, séculos anteriores testemunharam o massacre de muitos samaritanos por governantes judeus, e a animosidade claramente existia entre os dois povos (veja </w:t>
      </w:r>
      <w:hyperlink r:id="rId12406">
        <w:r>
          <w:rPr>
            <w:color w:val="0000EE"/>
            <w:u w:val="single"/>
          </w:rPr>
          <w:t>Jó 4.9</w:t>
        </w:r>
      </w:hyperlink>
      <w:r>
        <w:t xml:space="preserve">). Enquanto o mestre ouvindo a parábola esperaria que o sacerdote e o levita agissem com justiça em relação à vítima, ele deve ter ficado surpreso que um samaritano odiado mostrasse compaixão e, assim, cumprisse o maior mandamento. Jesus intencionalmente detalhou a extensão da compaixão do samaritano (cuidados imediatos ao tratar feridas, transporte para a hospedaria, cuidado com a vítima lá e cuidado prolongado ao pagar por cuidados de outros enquanto ele está ausente, </w:t>
      </w:r>
      <w:hyperlink r:id="rId8508">
        <w:r>
          <w:rPr>
            <w:color w:val="0000EE"/>
            <w:u w:val="single"/>
          </w:rPr>
          <w:t>Lc 10.34–35</w:t>
        </w:r>
      </w:hyperlink>
      <w:r>
        <w:t xml:space="preserve">) a tal ponto que o mestre da lei não teria dúvidas quanto à genuinidade do amor do samaritano. A ironia da história é que alguém não considerado digno de ser chamado "próximo" pelos judeus foi precisamente aquele que se mostrou "próximo" da vítima (vv. </w:t>
      </w:r>
      <w:hyperlink r:id="rId14621">
        <w:r>
          <w:rPr>
            <w:color w:val="0000EE"/>
            <w:u w:val="single"/>
          </w:rPr>
          <w:t>36–37</w:t>
        </w:r>
      </w:hyperlink>
      <w:r>
        <w:t>).</w:t>
      </w:r>
    </w:p>
    <w:p>
      <w:r/>
      <w:r>
        <w:t xml:space="preserve">A parábola, assim como a declaração em </w:t>
      </w:r>
      <w:hyperlink r:id="rId17888">
        <w:r>
          <w:rPr>
            <w:color w:val="0000EE"/>
            <w:u w:val="single"/>
          </w:rPr>
          <w:t>Mateus 5.43–48</w:t>
        </w:r>
      </w:hyperlink>
      <w:r>
        <w:t>, revela o próprio entendimento de Jesus sobre "próximo" e o que o "amor ao próximo" exige. Jesus não estabelece nenhuma limitação sobre quem se qualifica como o próximo que Deus ordena que seja amado.</w:t>
      </w:r>
    </w:p>
    <w:p>
      <w:r/>
      <w:r>
        <w:t>A força e o poder dos ensinamentos de Jesus sobre o amor ao próximo e sua relação com o amor a Deus são demonstrados por uma ênfase semelhante dentro da igreja primitiva. Paulo, em duas ocasiões, chamou o amor ao próximo de cumprimento de toda a lei (</w:t>
      </w:r>
      <w:hyperlink r:id="rId1173">
        <w:r>
          <w:rPr>
            <w:color w:val="0000EE"/>
            <w:u w:val="single"/>
          </w:rPr>
          <w:t>Rm 13.8–10</w:t>
        </w:r>
      </w:hyperlink>
      <w:r>
        <w:t xml:space="preserve">; </w:t>
      </w:r>
      <w:hyperlink r:id="rId1175">
        <w:r>
          <w:rPr>
            <w:color w:val="0000EE"/>
            <w:u w:val="single"/>
          </w:rPr>
          <w:t>Gl 5.14</w:t>
        </w:r>
      </w:hyperlink>
      <w:r>
        <w:t>), enquanto Tiago se referiu ao mesmo mandamento como “a lei do Reino” (</w:t>
      </w:r>
      <w:hyperlink r:id="rId15526">
        <w:r>
          <w:rPr>
            <w:color w:val="0000EE"/>
            <w:u w:val="single"/>
          </w:rPr>
          <w:t>Tg 2.8</w:t>
        </w:r>
      </w:hyperlink>
      <w:r>
        <w:t>).</w:t>
      </w:r>
      <w:r/>
      <w:r/>
    </w:p>
    <w:p>
      <w:r/>
    </w:p>
    <w:p>
      <w:pPr>
        <w:pStyle w:val="Heading2"/>
      </w:pPr>
      <w:r>
        <w:t>Ptolemaida</w:t>
      </w:r>
      <w:r/>
    </w:p>
    <w:p>
      <w:r/>
      <w:r>
        <w:t>Outro nome para Aco, uma cidade no norte da Palestina (</w:t>
      </w:r>
      <w:hyperlink r:id="rId260">
        <w:r>
          <w:rPr>
            <w:color w:val="0000EE"/>
            <w:u w:val="single"/>
          </w:rPr>
          <w:t>At 21.7</w:t>
        </w:r>
      </w:hyperlink>
      <w:r>
        <w:t>).</w:t>
      </w:r>
    </w:p>
    <w:p>
      <w:r/>
      <w:r>
        <w:rPr>
          <w:i/>
        </w:rPr>
        <w:t>Veja</w:t>
      </w:r>
      <w:r>
        <w:t xml:space="preserve"> </w:t>
      </w:r>
      <w:r>
        <w:t>Aco</w:t>
      </w:r>
      <w:r>
        <w:t>.</w:t>
      </w:r>
      <w:r/>
      <w:r/>
    </w:p>
    <w:p>
      <w:r/>
    </w:p>
    <w:p>
      <w:pPr>
        <w:pStyle w:val="Heading2"/>
      </w:pPr>
      <w:r>
        <w:t>Puá</w:t>
      </w:r>
      <w:r/>
    </w:p>
    <w:p>
      <w:pPr>
        <w:pStyle w:val="ListNumber"/>
        <w:spacing w:line="240" w:lineRule="auto"/>
        <w:ind w:left="720"/>
      </w:pPr>
      <w:r/>
      <w:r>
        <w:t>Uma das duas parteiras hebreias ordenadas pelo Faraó a matar os meninos hebreus ao nascer. No entanto, ela temia a Deus e não seguiu a ordem (</w:t>
      </w:r>
      <w:hyperlink r:id="rId10648">
        <w:r>
          <w:rPr>
            <w:color w:val="0000EE"/>
            <w:u w:val="single"/>
          </w:rPr>
          <w:t>Êx 1.15</w:t>
        </w:r>
      </w:hyperlink>
      <w:r>
        <w:t>);</w:t>
      </w:r>
    </w:p>
    <w:p>
      <w:pPr>
        <w:pStyle w:val="ListNumber"/>
        <w:spacing w:line="240" w:lineRule="auto"/>
        <w:ind w:left="720"/>
      </w:pPr>
      <w:r/>
      <w:r>
        <w:t>O pai de Tola, um juiz de Israel (</w:t>
      </w:r>
      <w:hyperlink r:id="rId17891">
        <w:r>
          <w:rPr>
            <w:color w:val="0000EE"/>
            <w:u w:val="single"/>
          </w:rPr>
          <w:t>Jz 10.1</w:t>
        </w:r>
      </w:hyperlink>
      <w:r>
        <w:t>).</w:t>
      </w:r>
      <w:r/>
      <w:r/>
    </w:p>
    <w:p>
      <w:r/>
    </w:p>
    <w:p>
      <w:pPr>
        <w:pStyle w:val="Heading2"/>
      </w:pPr>
      <w:r>
        <w:t>Puá</w:t>
      </w:r>
      <w:r/>
    </w:p>
    <w:p>
      <w:r/>
      <w:r>
        <w:t>A forma da NVT de Puva, filho de Issacar (</w:t>
      </w:r>
      <w:hyperlink r:id="rId17892">
        <w:r>
          <w:rPr>
            <w:color w:val="0000EE"/>
            <w:u w:val="single"/>
          </w:rPr>
          <w:t>Nm 26.23</w:t>
        </w:r>
      </w:hyperlink>
      <w:r>
        <w:t>).</w:t>
      </w:r>
    </w:p>
    <w:p>
      <w:r/>
      <w:r>
        <w:rPr>
          <w:i/>
        </w:rPr>
        <w:t>Veja</w:t>
      </w:r>
      <w:r>
        <w:t xml:space="preserve"> </w:t>
      </w:r>
      <w:r>
        <w:t>Puva</w:t>
      </w:r>
      <w:r>
        <w:t>.</w:t>
      </w:r>
      <w:r/>
      <w:r/>
    </w:p>
    <w:p>
      <w:r/>
    </w:p>
    <w:p>
      <w:pPr>
        <w:pStyle w:val="Heading2"/>
      </w:pPr>
      <w:r>
        <w:t>Públio</w:t>
      </w:r>
      <w:r/>
    </w:p>
    <w:p>
      <w:r/>
      <w:r>
        <w:t xml:space="preserve">Públio era um importante oficial que vivia na ilha de Malta. A Bíblia o menciona em </w:t>
      </w:r>
      <w:hyperlink r:id="rId17893">
        <w:r>
          <w:rPr>
            <w:color w:val="0000EE"/>
            <w:u w:val="single"/>
          </w:rPr>
          <w:t>Atos 28.7–8</w:t>
        </w:r>
      </w:hyperlink>
      <w:r>
        <w:t>. Paulo e seus companheiros naufragaram em Malta durante sua viagem a Roma. Públio os acolheu e lhes ofereceu um lugar para ficar por um curto período. Públio tinha um pai que estava muito doente. Durante a visita de Paulo, ele curou o pai de Públio.</w:t>
      </w:r>
      <w:r/>
      <w:r/>
    </w:p>
    <w:p>
      <w:r/>
    </w:p>
    <w:p>
      <w:pPr>
        <w:pStyle w:val="Heading2"/>
      </w:pPr>
      <w:r>
        <w:t>Punição</w:t>
      </w:r>
      <w:r/>
    </w:p>
    <w:p>
      <w:r/>
      <w:r>
        <w:t>Punição é quando alguém com autoridade causa dor ou perda a outra pessoa que fez algo errado. Isso pode incluir a retirada de sua liberdade ou dinheiro. Para que haja punição, duas coisas devem existir:</w:t>
      </w:r>
    </w:p>
    <w:p>
      <w:pPr>
        <w:pStyle w:val="ListBullet"/>
        <w:spacing w:line="240" w:lineRule="auto"/>
        <w:ind w:left="720"/>
      </w:pPr>
      <w:r/>
      <w:r>
        <w:t>alguém com autoridade para aplicar a punição</w:t>
      </w:r>
    </w:p>
    <w:p>
      <w:pPr>
        <w:pStyle w:val="ListBullet"/>
        <w:spacing w:line="240" w:lineRule="auto"/>
        <w:ind w:left="720"/>
      </w:pPr>
      <w:r/>
      <w:r>
        <w:t>alguém que cometeu um erro</w:t>
      </w:r>
    </w:p>
    <w:p>
      <w:pPr>
        <w:pStyle w:val="Heading3"/>
      </w:pPr>
      <w:r>
        <w:t>Punição como prevenção</w:t>
      </w:r>
    </w:p>
    <w:p>
      <w:r/>
      <w:r>
        <w:t>Algumas pessoas dizem que a punição é correta se impede as pessoas de cometerem erros novamente. Elas acreditam que a punição deve:</w:t>
      </w:r>
    </w:p>
    <w:p>
      <w:pPr>
        <w:pStyle w:val="ListBullet"/>
        <w:spacing w:line="240" w:lineRule="auto"/>
        <w:ind w:left="720"/>
      </w:pPr>
      <w:r/>
      <w:r>
        <w:t>Ajude a pessoa que errou a aprender a ser melhor (reformar).</w:t>
      </w:r>
    </w:p>
    <w:p>
      <w:pPr>
        <w:pStyle w:val="ListBullet"/>
        <w:spacing w:line="240" w:lineRule="auto"/>
        <w:ind w:left="720"/>
      </w:pPr>
      <w:r/>
      <w:r>
        <w:t>evitar que essa pessoa e outras cometam erros no futuro (dissuadir)</w:t>
      </w:r>
    </w:p>
    <w:p>
      <w:r/>
      <w:r>
        <w:t>Essas pessoas acreditam que, se a punição não ajuda alguém a melhorar ou a parar um comportamento ruim, então não deve ser utilizada.</w:t>
      </w:r>
    </w:p>
    <w:p>
      <w:pPr>
        <w:pStyle w:val="Heading3"/>
      </w:pPr>
      <w:r>
        <w:t>Punição como retribuição</w:t>
      </w:r>
    </w:p>
    <w:p>
      <w:r/>
      <w:r>
        <w:t>Outros afirmam que as pessoas que cometem o mal devem ser punidas simplesmente porque fizeram algo errado. Essa visão é chamada de "retribuição" (dar a alguém o que merece). Ela se baseia na lei moral de Deus e em conceitos fundamentais de justiça.</w:t>
      </w:r>
    </w:p>
    <w:p>
      <w:r/>
      <w:r>
        <w:t>Essa visão é diferente de vingança ou do desejo de machucar alguém por raiva. Trata-se de garantir que as transgressões tenham consequências justas. A favor da visão de que a punição deve ser retributiva, os seguintes argumentos foram apresentados:</w:t>
      </w:r>
    </w:p>
    <w:p>
      <w:pPr>
        <w:pStyle w:val="ListNumber"/>
        <w:spacing w:line="240" w:lineRule="auto"/>
        <w:ind w:left="720"/>
      </w:pPr>
      <w:r/>
      <w:r>
        <w:t>A Bíblia fornece instruções claras sobre punir alguém com a morte (</w:t>
      </w:r>
      <w:hyperlink r:id="rId17894">
        <w:r>
          <w:rPr>
            <w:color w:val="0000EE"/>
            <w:u w:val="single"/>
          </w:rPr>
          <w:t>Gn 9.5–6</w:t>
        </w:r>
      </w:hyperlink>
      <w:r>
        <w:t xml:space="preserve">). Estas não estão entre as leis morais e cerimoniais que os cristãos acreditam terem sido abolidas por meio de Jesus. O Novo Testamento também afirma que os governos têm o direito de punir o malfeito ("carregar a espada", </w:t>
      </w:r>
      <w:hyperlink r:id="rId17895">
        <w:r>
          <w:rPr>
            <w:color w:val="0000EE"/>
            <w:u w:val="single"/>
          </w:rPr>
          <w:t>Rm 13.1</w:t>
        </w:r>
      </w:hyperlink>
      <w:hyperlink r:id="rId17894">
        <w:r>
          <w:rPr>
            <w:color w:val="0000EE"/>
            <w:u w:val="single"/>
          </w:rPr>
          <w:t>–</w:t>
        </w:r>
      </w:hyperlink>
      <w:hyperlink r:id="rId17895">
        <w:r>
          <w:rPr>
            <w:color w:val="0000EE"/>
            <w:u w:val="single"/>
          </w:rPr>
          <w:t>5</w:t>
        </w:r>
      </w:hyperlink>
      <w:r>
        <w:t>).</w:t>
      </w:r>
    </w:p>
    <w:p>
      <w:pPr>
        <w:pStyle w:val="ListNumber"/>
        <w:spacing w:line="240" w:lineRule="auto"/>
        <w:ind w:left="720"/>
      </w:pPr>
      <w:r/>
      <w:r>
        <w:t xml:space="preserve">Além dos argumentos da Bíblia, podemos também considerar os princípios básicos de equidade e justiça. Um princípio importante é que a punição deve ser proporcional ao crime. Isso ajuda a proteger as pessoas do poder injusto do governo, estabelecendo limites claros sobre como o governo pode punir alguém que infringe a lei. </w:t>
        <w:br/>
        <w:br/>
      </w:r>
      <w:r>
        <w:t>Por exemplo, um governo justo e equitativo não pode manter alguém na prisão para sempre apenas para "tratamento". Também não pode responder a crimes com punições extremas e ilimitadas.</w:t>
      </w:r>
    </w:p>
    <w:p>
      <w:r/>
      <w:r>
        <w:t>Essa abordagem de punição trata cada pessoa como responsável por suas próprias ações. Também assume que as pessoas são livres até cometerem um crime. Isso ajuda todos a saberem o que esperar da lei. Algumas pessoas dizem que executar criminosos é errado porque adiciona outra morte à inicial. No entanto, esse mesmo argumento poderia ser usado contra todos os tipos de punição.</w:t>
      </w:r>
    </w:p>
    <w:p>
      <w:pPr>
        <w:pStyle w:val="Heading3"/>
      </w:pPr>
      <w:r>
        <w:t>O problema de quanto punir</w:t>
      </w:r>
    </w:p>
    <w:p>
      <w:r/>
      <w:r>
        <w:t>Ambas as visões enfrentam o mesmo problema de determinar qual castigo é adequado para cada ação errada. Pequenos erros poderiam ser interrompidos por punições muito severas, mas isso pode não ser justo. Além disso, uma punição raramente corresponde exatamente ao erro cometido.</w:t>
      </w:r>
    </w:p>
    <w:p>
      <w:pPr>
        <w:pStyle w:val="Heading3"/>
      </w:pPr>
      <w:r>
        <w:t>Punição apenas quando beneficia a sociedade</w:t>
      </w:r>
    </w:p>
    <w:p>
      <w:r/>
      <w:r>
        <w:t>Algumas pessoas discordam da punição que visa equilibrar o erro. Elas acreditam que a punição só deve ser usada quando resultar em melhores resultados do que não punir alguém. Essa visão se concentra no que é mais eficaz para a sociedade, em vez de responder à ação errada em si. Outro argumento contra a punição afirma que todos os humanos fazem parte de uma única família, então nenhuma pessoa ou grupo deveria ter o direito de punir os outros.</w:t>
      </w:r>
    </w:p>
    <w:p>
      <w:r/>
      <w:r>
        <w:t>No entanto, ambas as visões apresentam problemas. A primeira visão poderia permitir punições muito severas se alguém acreditasse que os resultados seriam benéficos para a sociedade. A segunda visão tornaria impossível estabelecer qualquer tipo de governo sobre pessoas que, às vezes, cometem erros.</w:t>
      </w:r>
    </w:p>
    <w:p>
      <w:pPr>
        <w:pStyle w:val="Heading3"/>
      </w:pPr>
      <w:r>
        <w:t>Diferentes perspectivas sobre a morte de Jesus</w:t>
      </w:r>
    </w:p>
    <w:p>
      <w:r/>
      <w:r>
        <w:t>A morte de Jesus é compreendida por muitos cristãos como uma oferta sacrificial. Frequentemente, é vista como vicária e penal, onde ele assumiu a penalidade pelo pecado em nome da humanidade para satisfazer a justiça divina. Essa perspectiva enfatiza que sua morte remove a culpa do pecado e restaura o relacionamento entre a humanidade e Deus (</w:t>
      </w:r>
      <w:hyperlink r:id="rId1182">
        <w:r>
          <w:rPr>
            <w:color w:val="0000EE"/>
            <w:u w:val="single"/>
          </w:rPr>
          <w:t>Rm 5.8</w:t>
        </w:r>
      </w:hyperlink>
      <w:r>
        <w:t xml:space="preserve">; </w:t>
      </w:r>
      <w:hyperlink r:id="rId6300">
        <w:r>
          <w:rPr>
            <w:color w:val="0000EE"/>
            <w:u w:val="single"/>
          </w:rPr>
          <w:t>Gl 3.13</w:t>
        </w:r>
      </w:hyperlink>
      <w:r>
        <w:t>).</w:t>
      </w:r>
    </w:p>
    <w:p>
      <w:r/>
      <w:r>
        <w:t>No entanto, outra visão foca mais na morte e ressurreição de Jesus como uma vitória sobre a morte e o pecado, enfatizando seu papel na cura, restauração da humanidade e reconciliação das pessoas com Deus. Esta visão coloca menos ênfase no sofrimento como punição em lugar dos pecadores.</w:t>
      </w:r>
    </w:p>
    <w:p>
      <w:r/>
      <w:r>
        <w:t>Enquanto algumas tradições cristãs enfatizam os aspectos retributivos da justiça, outras se concentram no aspecto restaurativo da justiça, demonstrado na obra de cura, vitória e reconciliação de Jesus. O debate continua sobre como a justiça retributiva deve ser entendida ou aplicada em contextos modernos.</w:t>
      </w:r>
    </w:p>
    <w:p>
      <w:pPr>
        <w:pStyle w:val="Heading3"/>
      </w:pPr>
      <w:r>
        <w:t>Ideias contemporâneas sobre punição</w:t>
      </w:r>
    </w:p>
    <w:p>
      <w:r/>
      <w:r>
        <w:t>Outra questão importante é quais tipos de punição devem ser permitidos em um sistema de justiça. Em séculos anteriores, muitos infratores sofreram punições cruéis, como enforcamento, amputação de partes do corpo ou morte de maneiras dolorosas (mesmo por pequenos crimes). Hoje, a maioria das pessoas considera que essas punições eram cruéis e violavam a dignidade humana.</w:t>
      </w:r>
    </w:p>
    <w:p>
      <w:r/>
      <w:r>
        <w:t>O que as pessoas consideram como punição certa ou errada pode mudar ao longo do tempo. Por exemplo, alguns argumentam que certos tipos de punição física podem ser menos prejudiciais do que colocar pessoas em prisões insalubres com outros criminosos.</w:t>
      </w:r>
    </w:p>
    <w:p>
      <w:r/>
      <w:r>
        <w:t>A Bíblia ensina que, após a morte, Deus julgará todas as pessoas de forma justa. Devido ao que a Bíblia diz sobre a sabedoria perfeita de Deus, justiça e misericórdia, podemos confiar que esse julgamento será equitativo e justo.</w:t>
      </w:r>
    </w:p>
    <w:p>
      <w:r/>
      <w:r>
        <w:rPr>
          <w:i/>
        </w:rPr>
        <w:t>Consulte também</w:t>
      </w:r>
      <w:r>
        <w:t xml:space="preserve"> </w:t>
      </w:r>
      <w:r>
        <w:t>Direito penal e punição</w:t>
      </w:r>
      <w:r>
        <w:t>.</w:t>
      </w:r>
      <w:r/>
      <w:r/>
    </w:p>
    <w:p>
      <w:r/>
    </w:p>
    <w:p>
      <w:pPr>
        <w:pStyle w:val="Heading2"/>
      </w:pPr>
      <w:r>
        <w:t>Punom</w:t>
      </w:r>
      <w:r/>
    </w:p>
    <w:p>
      <w:r/>
      <w:r>
        <w:t>Punom foi um dos locais onde os israelitas acamparam durante suas peregrinações pelo deserto. Os estudiosos a identificam com a moderna Feinan. Punom foi construída ao longo da estrada que conectava Edom, através do Neguebe, ao Egito. A cidade tinha abundância de água e recursos de cobre, tornando-se um importante centro de fundição de cobre por volta de 2000 a.C. As pessoas extraíam o cobre nas proximidades ou o traziam para Punom de outros lugares.</w:t>
      </w:r>
    </w:p>
    <w:p>
      <w:r/>
      <w:r>
        <w:t>Os israelitas passaram por Punom a caminho da Transjordânia (a região Leste do rio Jordão) (</w:t>
      </w:r>
      <w:hyperlink r:id="rId17896">
        <w:r>
          <w:rPr>
            <w:color w:val="0000EE"/>
            <w:u w:val="single"/>
          </w:rPr>
          <w:t>Nm 33.42–43</w:t>
        </w:r>
      </w:hyperlink>
      <w:r>
        <w:t>). Naquela época, a atividade industrial da cidade estava em declínio. Grandes pilhas de escória (material residual da fusão de metal) ainda podem ser encontradas na área hoje.</w:t>
      </w:r>
    </w:p>
    <w:p>
      <w:r/>
      <w:r>
        <w:t>Evidências arqueológicas indicam que Punom foi um grande assentamento durante o tempo dos patriarcas (Idade do Bronze Médio). Após cerca de 500 anos desabitado, os colonizadores retornaram por volta de 1300 a.C. As operações de mineração e fusão de cobre continuaram até 700 a.C. Essas atividades foram retomadas durante a época dos nabateus.</w:t>
      </w:r>
    </w:p>
    <w:p>
      <w:r/>
      <w:r>
        <w:t>Eusébio, um dos primeiros historiadores da igreja, relata que cristãos trabalhavam nas minas de Punom ao lado de criminosos. Durante o período bizantino, cristãos construíram uma igreja (basílica) e um mosteiro nesse local. Pesquisadores encontraram uma inscrição com o nome do bispo Teodoro (por volta de 587 d.C.) nas ruínas do mosteiro.</w:t>
      </w:r>
      <w:r/>
      <w:r/>
    </w:p>
    <w:p>
      <w:r/>
    </w:p>
    <w:p>
      <w:pPr>
        <w:pStyle w:val="Heading2"/>
      </w:pPr>
      <w:r>
        <w:t>Purificação E Impureza, Regulamentos Sobre</w:t>
      </w:r>
      <w:r/>
    </w:p>
    <w:p>
      <w:r/>
      <w:r>
        <w:t>Aspecto da religião hebraica tendo significado físico, cerimonial, moral e espiritual. Embora esses sentidos de puro e impuro possam ser distinguidos com referência a seus contextos, eles também se fundem e ilustram uns aos outros; os contextos físico e cerimonial apontam para um estado moral do adorador e para um relacionamento espiritual entre Deus e seu povo.</w:t>
      </w:r>
    </w:p>
    <w:p>
      <w:r/>
      <w:r>
        <w:t>A visão do AT de um relacionamento de um povo com Deus é ao longo de linhas morais e pessoais — a natureza pessoal de Deus sendo expressa em sua entrega da lei a Moisés. O caráter pessoal e unicamente consistente do Senhor de Israel o fazia moralmente um ser completamente diferente dos muitos deuses das civilizações pagãs. Ao contrário do Senhor, os Baais dos cananeus eram inconstantes e perversos; ninguém esperava que eles fossem eticamente consistentes. O Senhor de Israel, por outro lado, poderia ser confiável em manter sua palavra (uma comunicação verbal através de seus profetas escolhidos). Ninguém, nem mesmo o sumo sacerdote ou o rei, estava acima da lei, que expressava não apenas o caráter de Deus, mas também sua vontade soberana para o indivíduo e a nação. Sua consistência moral transbordou em suas intervenções milagrosas na história para proteger seu povo, julgá-los e julgar a seus inimigos e redimir a própria humanidade.</w:t>
      </w:r>
    </w:p>
    <w:p>
      <w:r/>
      <w:r>
        <w:t>A pureza como definida no livro de Levítico, portanto, sempre foi condicionada pela presença do Deus pessoal que deu a lei. Enquanto as pessoas tentavam se aproximar do Senhor, elas necessariamente o faziam em seus termos e, portanto, dentro da estrutura das cerimônias que ele havia prescrito. Os detalhes das cerimônias do livro de Levítico foram projetados para ilustrar as implicações morais da abordagem do pecador a Deus e da provisão de Deus para que seu povo se tornasse moralmente puro à sua vista.</w:t>
      </w:r>
    </w:p>
    <w:p>
      <w:r/>
      <w:r>
        <w:t>O significado do sistema levítico foi declarado claramente nas palavras do salmista: “Quem subirá ao monte do Senhor? Quem há de permanecer no seu santo lugar? O que é limpo de mãos e puro de coração, que não entrega sua alma à falsidade, nem jura dolosamente.” (</w:t>
      </w:r>
      <w:hyperlink r:id="rId17897">
        <w:r>
          <w:rPr>
            <w:color w:val="0000EE"/>
            <w:u w:val="single"/>
          </w:rPr>
          <w:t>Sl 24.3–4</w:t>
        </w:r>
      </w:hyperlink>
      <w:r>
        <w:t>, ARA). O estado de pureza depende não apenas de ações externas, mas também de um relacionamento interno com Deus. Como resultado, a incapacidade do pecador de satisfazer as demandas morais de um Deus santo leva à sua completa dependência de Deus e da provisão de Deus para satisfazer suas próprias demandas. Essa provisão foi detalhada na lei.</w:t>
      </w:r>
    </w:p>
    <w:p>
      <w:r/>
      <w:r>
        <w:t>Resumo</w:t>
      </w:r>
    </w:p>
    <w:p>
      <w:r/>
      <w:r>
        <w:t>• História antiga</w:t>
      </w:r>
    </w:p>
    <w:p>
      <w:r/>
      <w:r>
        <w:t>• Prescrições levíticas</w:t>
      </w:r>
    </w:p>
    <w:p>
      <w:r/>
      <w:r>
        <w:t>• Ritos de purificação</w:t>
      </w:r>
    </w:p>
    <w:p>
      <w:r/>
      <w:r>
        <w:t>• Perspectiva do Novo Testamento</w:t>
      </w:r>
    </w:p>
    <w:p>
      <w:pPr>
        <w:pStyle w:val="Heading3"/>
      </w:pPr>
      <w:r>
        <w:t>História antiga</w:t>
      </w:r>
    </w:p>
    <w:p>
      <w:pPr>
        <w:pStyle w:val="Heading4"/>
      </w:pPr>
      <w:r>
        <w:t>Contexto religioso gentio</w:t>
      </w:r>
    </w:p>
    <w:p>
      <w:r/>
      <w:r>
        <w:t>A consciência gentia era, sem dúvida, uma forte influência no desenvolvimento de noções étnicas de puro e impuro. O sentido subjetivo de impureza do pecado é universalmente encontrado de uma forma ou de outra na literatura de todas as grandes religiões, seja qual for a explicação dada para isso. Muitas religiões têm ritos de purificação baseados em água e lavagens. A evitação ritual dos hebreus de certos objetos, alguns por causa de sua santidade e outros por causa de sua falta de santidade, encontra uma analogia nos tabus de muitas religiões primitivas, incluindo algumas daquelas com os quais os primeiros hebreus entraram em contato.</w:t>
      </w:r>
    </w:p>
    <w:p>
      <w:r/>
      <w:r>
        <w:t>As semelhanças entre a religião hebraica e outras religiões antigas são facilmente estabelecidas por comparação superficial. Seria surpreendente se não houvesse nenhuma. Essas diferenças que dão à religião bíblica seu caráter distintivo, no entanto, devem ser consideradas.</w:t>
      </w:r>
    </w:p>
    <w:p>
      <w:pPr>
        <w:pStyle w:val="Heading3"/>
      </w:pPr>
      <w:r>
        <w:t>Prescrições levíticas</w:t>
      </w:r>
    </w:p>
    <w:p>
      <w:pPr>
        <w:pStyle w:val="Heading4"/>
      </w:pPr>
      <w:r>
        <w:t>Lei cerimonial e moral</w:t>
      </w:r>
    </w:p>
    <w:p>
      <w:r/>
      <w:r>
        <w:t xml:space="preserve">A relação entre os detalhes cerimoniais externos da lei mosaica e os requisitos morais internamente dirigidos de partes como os Dez Mandamentos é uma das questões fundamentais da teologia do AT. É possível demonstrar que, em todo o AT, a impureza e o pecado são virtualmente sinônimos. Em muitas passagens, o pecado é descrito como impureza (p. ex., </w:t>
      </w:r>
      <w:hyperlink r:id="rId17898">
        <w:r>
          <w:rPr>
            <w:color w:val="0000EE"/>
            <w:u w:val="single"/>
          </w:rPr>
          <w:t>Lv 16.16, 30</w:t>
        </w:r>
      </w:hyperlink>
      <w:r>
        <w:t xml:space="preserve">; a provação da água amarga em </w:t>
      </w:r>
      <w:hyperlink r:id="rId12620">
        <w:r>
          <w:rPr>
            <w:color w:val="0000EE"/>
            <w:u w:val="single"/>
          </w:rPr>
          <w:t>Nm 5.11–28</w:t>
        </w:r>
      </w:hyperlink>
      <w:r>
        <w:t xml:space="preserve">; </w:t>
      </w:r>
      <w:hyperlink r:id="rId11912">
        <w:r>
          <w:rPr>
            <w:color w:val="0000EE"/>
            <w:u w:val="single"/>
          </w:rPr>
          <w:t>Zc 13.1</w:t>
        </w:r>
      </w:hyperlink>
      <w:r>
        <w:t>).</w:t>
      </w:r>
    </w:p>
    <w:p>
      <w:r/>
      <w:r>
        <w:t>A relação entre pureza cerimonial e moral pode ser ilustrada a partir de passagens que mencionam mãos limpas, de um lado, (</w:t>
      </w:r>
      <w:hyperlink r:id="rId17899">
        <w:r>
          <w:rPr>
            <w:color w:val="0000EE"/>
            <w:u w:val="single"/>
          </w:rPr>
          <w:t>2Sm 22.21</w:t>
        </w:r>
      </w:hyperlink>
      <w:r>
        <w:t xml:space="preserve">; </w:t>
      </w:r>
      <w:hyperlink r:id="rId17900">
        <w:r>
          <w:rPr>
            <w:color w:val="0000EE"/>
            <w:u w:val="single"/>
          </w:rPr>
          <w:t>Jó 17.9</w:t>
        </w:r>
      </w:hyperlink>
      <w:r>
        <w:t xml:space="preserve">; </w:t>
      </w:r>
      <w:hyperlink r:id="rId17901">
        <w:r>
          <w:rPr>
            <w:color w:val="0000EE"/>
            <w:u w:val="single"/>
          </w:rPr>
          <w:t>22.30</w:t>
        </w:r>
      </w:hyperlink>
      <w:r>
        <w:t>) e um coração puro do outro (</w:t>
      </w:r>
      <w:hyperlink r:id="rId17902">
        <w:r>
          <w:rPr>
            <w:color w:val="0000EE"/>
            <w:u w:val="single"/>
          </w:rPr>
          <w:t>Sl 24.4</w:t>
        </w:r>
      </w:hyperlink>
      <w:r>
        <w:t xml:space="preserve">; </w:t>
      </w:r>
      <w:hyperlink r:id="rId5725">
        <w:r>
          <w:rPr>
            <w:color w:val="0000EE"/>
            <w:u w:val="single"/>
          </w:rPr>
          <w:t>51.10</w:t>
        </w:r>
      </w:hyperlink>
      <w:r>
        <w:t xml:space="preserve">; </w:t>
      </w:r>
      <w:hyperlink r:id="rId17903">
        <w:r>
          <w:rPr>
            <w:color w:val="0000EE"/>
            <w:u w:val="single"/>
          </w:rPr>
          <w:t>73.13</w:t>
        </w:r>
      </w:hyperlink>
      <w:r>
        <w:t xml:space="preserve">; </w:t>
      </w:r>
      <w:hyperlink r:id="rId17904">
        <w:r>
          <w:rPr>
            <w:color w:val="0000EE"/>
            <w:u w:val="single"/>
          </w:rPr>
          <w:t>Pv 20.9</w:t>
        </w:r>
      </w:hyperlink>
      <w:r>
        <w:t>). O profeta Isaías se sentiu convicto de “lábios impuros” quando ele estava na presença de Deus; uma brasa purificadora, talvez representando perdão e expiação, o purificou (</w:t>
      </w:r>
      <w:hyperlink r:id="rId17905">
        <w:r>
          <w:rPr>
            <w:color w:val="0000EE"/>
            <w:u w:val="single"/>
          </w:rPr>
          <w:t>Is 6.5–7</w:t>
        </w:r>
      </w:hyperlink>
      <w:r>
        <w:t>). Em muitas passagens, a pureza representa a inocência diante de Deus (</w:t>
      </w:r>
      <w:hyperlink r:id="rId17906">
        <w:r>
          <w:rPr>
            <w:color w:val="0000EE"/>
            <w:u w:val="single"/>
          </w:rPr>
          <w:t>Jó 11.4</w:t>
        </w:r>
      </w:hyperlink>
      <w:r>
        <w:t xml:space="preserve">; </w:t>
      </w:r>
      <w:hyperlink r:id="rId17907">
        <w:r>
          <w:rPr>
            <w:color w:val="0000EE"/>
            <w:u w:val="single"/>
          </w:rPr>
          <w:t>33.9</w:t>
        </w:r>
      </w:hyperlink>
      <w:r>
        <w:t xml:space="preserve">; </w:t>
      </w:r>
      <w:hyperlink r:id="rId17908">
        <w:r>
          <w:rPr>
            <w:color w:val="0000EE"/>
            <w:u w:val="single"/>
          </w:rPr>
          <w:t>Sl 51.7–10</w:t>
        </w:r>
      </w:hyperlink>
      <w:r>
        <w:t xml:space="preserve">; </w:t>
      </w:r>
      <w:hyperlink r:id="rId17904">
        <w:r>
          <w:rPr>
            <w:color w:val="0000EE"/>
            <w:u w:val="single"/>
          </w:rPr>
          <w:t>Pv 20.9</w:t>
        </w:r>
      </w:hyperlink>
      <w:r>
        <w:t>), e a impureza é tida como proveniente do pecado (</w:t>
      </w:r>
      <w:hyperlink r:id="rId3042">
        <w:r>
          <w:rPr>
            <w:color w:val="0000EE"/>
            <w:u w:val="single"/>
          </w:rPr>
          <w:t>Sl 51.2</w:t>
        </w:r>
      </w:hyperlink>
      <w:r>
        <w:t xml:space="preserve">; </w:t>
      </w:r>
      <w:hyperlink r:id="rId3043">
        <w:r>
          <w:rPr>
            <w:color w:val="0000EE"/>
            <w:u w:val="single"/>
          </w:rPr>
          <w:t>Is 1.16</w:t>
        </w:r>
      </w:hyperlink>
      <w:r>
        <w:t xml:space="preserve">; </w:t>
      </w:r>
      <w:hyperlink r:id="rId10945">
        <w:r>
          <w:rPr>
            <w:color w:val="0000EE"/>
            <w:u w:val="single"/>
          </w:rPr>
          <w:t>64.6</w:t>
        </w:r>
      </w:hyperlink>
      <w:r>
        <w:t>).</w:t>
      </w:r>
    </w:p>
    <w:p>
      <w:pPr>
        <w:pStyle w:val="Heading4"/>
      </w:pPr>
      <w:r>
        <w:t>Causas de Impureza</w:t>
      </w:r>
    </w:p>
    <w:p>
      <w:r/>
      <w:r>
        <w:t>A partir da lei mosaica, uma série de causas de impureza pode ser derivada.</w:t>
      </w:r>
    </w:p>
    <w:p>
      <w:r/>
      <w:r>
        <w:t>1. Alguns alimentos não deveriam ser comidos. Várias leis relativas aos animais apresentam uma “diferença entre o imundo e o limpo e entre os animais que se podem comer e os animais que se não podem comer. ” (</w:t>
      </w:r>
      <w:hyperlink r:id="rId17909">
        <w:r>
          <w:rPr>
            <w:color w:val="0000EE"/>
            <w:u w:val="single"/>
          </w:rPr>
          <w:t>Lv 11.47</w:t>
        </w:r>
      </w:hyperlink>
      <w:r>
        <w:t xml:space="preserve">, ARA). Comida permitida era o que era aceitável para Deus (veja também </w:t>
      </w:r>
      <w:hyperlink r:id="rId12863">
        <w:r>
          <w:rPr>
            <w:color w:val="0000EE"/>
            <w:u w:val="single"/>
          </w:rPr>
          <w:t>Dt 14.3–21</w:t>
        </w:r>
      </w:hyperlink>
      <w:r>
        <w:t xml:space="preserve">; </w:t>
      </w:r>
      <w:hyperlink r:id="rId17910">
        <w:r>
          <w:rPr>
            <w:color w:val="0000EE"/>
            <w:u w:val="single"/>
          </w:rPr>
          <w:t>Atos 15.28–29</w:t>
        </w:r>
      </w:hyperlink>
      <w:r>
        <w:t>).</w:t>
      </w:r>
    </w:p>
    <w:p>
      <w:r/>
      <w:r>
        <w:t>2. Doenças, especialmente lepra, produziam um estado impuro (</w:t>
      </w:r>
      <w:hyperlink r:id="rId12939">
        <w:r>
          <w:rPr>
            <w:color w:val="0000EE"/>
            <w:u w:val="single"/>
          </w:rPr>
          <w:t>Lv 13–14</w:t>
        </w:r>
      </w:hyperlink>
      <w:r>
        <w:t>). A história de Naamã se refere à contaminação leprosa (</w:t>
      </w:r>
      <w:hyperlink r:id="rId17911">
        <w:r>
          <w:rPr>
            <w:color w:val="0000EE"/>
            <w:u w:val="single"/>
          </w:rPr>
          <w:t>2Rs 5.1–14</w:t>
        </w:r>
      </w:hyperlink>
      <w:r>
        <w:t xml:space="preserve">). Os Evangelhos se referem frequentemente aos leprosos (p. ex., </w:t>
      </w:r>
      <w:hyperlink r:id="rId17912">
        <w:r>
          <w:rPr>
            <w:color w:val="0000EE"/>
            <w:u w:val="single"/>
          </w:rPr>
          <w:t>Mt 8.1–4</w:t>
        </w:r>
      </w:hyperlink>
      <w:r>
        <w:t xml:space="preserve">; </w:t>
      </w:r>
      <w:hyperlink r:id="rId17913">
        <w:r>
          <w:rPr>
            <w:color w:val="0000EE"/>
            <w:u w:val="single"/>
          </w:rPr>
          <w:t>10.8</w:t>
        </w:r>
      </w:hyperlink>
      <w:r>
        <w:t xml:space="preserve">; </w:t>
      </w:r>
      <w:hyperlink r:id="rId4641">
        <w:r>
          <w:rPr>
            <w:color w:val="0000EE"/>
            <w:u w:val="single"/>
          </w:rPr>
          <w:t>11.5</w:t>
        </w:r>
      </w:hyperlink>
      <w:r>
        <w:t xml:space="preserve">; </w:t>
      </w:r>
      <w:hyperlink r:id="rId7977">
        <w:r>
          <w:rPr>
            <w:color w:val="0000EE"/>
            <w:u w:val="single"/>
          </w:rPr>
          <w:t>Lc 4.27</w:t>
        </w:r>
      </w:hyperlink>
      <w:r>
        <w:t>). Muitos inchaços, feridas e erupções estavam incluídas sob esse título, incluindo a Hanseníase (lepra moderna). A contaminação da doença incluía todas as coisas tocadas por uma pessoa doente (</w:t>
      </w:r>
      <w:hyperlink r:id="rId17914">
        <w:r>
          <w:rPr>
            <w:color w:val="0000EE"/>
            <w:u w:val="single"/>
          </w:rPr>
          <w:t>Lv 14.33–57</w:t>
        </w:r>
      </w:hyperlink>
      <w:r>
        <w:t>).</w:t>
      </w:r>
    </w:p>
    <w:p>
      <w:r/>
      <w:r>
        <w:t>3. As descargas corporais eram impuras, e o contato com elas contaminava uma pessoa por vários períodos de tempo. A emissão do sêmen produzia impureza até a noite, seja no intercurso (</w:t>
      </w:r>
      <w:hyperlink r:id="rId17915">
        <w:r>
          <w:rPr>
            <w:color w:val="0000EE"/>
            <w:u w:val="single"/>
          </w:rPr>
          <w:t>Lv 15.16–18</w:t>
        </w:r>
      </w:hyperlink>
      <w:r>
        <w:t>) ou inadvertidamente durante a noite (</w:t>
      </w:r>
      <w:hyperlink r:id="rId17916">
        <w:r>
          <w:rPr>
            <w:color w:val="0000EE"/>
            <w:u w:val="single"/>
          </w:rPr>
          <w:t>Dt 23.10</w:t>
        </w:r>
      </w:hyperlink>
      <w:r>
        <w:t>). Uma descarga não natural, uma vez que geralmente indicava uma doença, tornava uma pessoa impura por sete dias após ter cessado (</w:t>
      </w:r>
      <w:hyperlink r:id="rId17917">
        <w:r>
          <w:rPr>
            <w:color w:val="0000EE"/>
            <w:u w:val="single"/>
          </w:rPr>
          <w:t>Lv 15.1–15</w:t>
        </w:r>
      </w:hyperlink>
      <w:r>
        <w:t>). A menstruação também produzia impureza que durava sete dias após ter cessado (</w:t>
      </w:r>
      <w:hyperlink r:id="rId17918">
        <w:r>
          <w:rPr>
            <w:color w:val="0000EE"/>
            <w:u w:val="single"/>
          </w:rPr>
          <w:t>Lv 15.19–24</w:t>
        </w:r>
      </w:hyperlink>
      <w:r>
        <w:t xml:space="preserve">; </w:t>
      </w:r>
      <w:hyperlink r:id="rId17919">
        <w:r>
          <w:rPr>
            <w:color w:val="0000EE"/>
            <w:u w:val="single"/>
          </w:rPr>
          <w:t>2Sm 11.4</w:t>
        </w:r>
      </w:hyperlink>
      <w:r>
        <w:t>). O intercurso sexual durante esse tempo tornava ambos os parceiros impuros (</w:t>
      </w:r>
      <w:hyperlink r:id="rId17918">
        <w:r>
          <w:rPr>
            <w:color w:val="0000EE"/>
            <w:u w:val="single"/>
          </w:rPr>
          <w:t>Lv 15.19–24</w:t>
        </w:r>
      </w:hyperlink>
      <w:r>
        <w:t xml:space="preserve">; </w:t>
      </w:r>
      <w:hyperlink r:id="rId17920">
        <w:r>
          <w:rPr>
            <w:color w:val="0000EE"/>
            <w:u w:val="single"/>
          </w:rPr>
          <w:t>20.18</w:t>
        </w:r>
      </w:hyperlink>
      <w:r>
        <w:t>). O contato com a saliva de uma pessoa impura, produzia impureza por um dia (</w:t>
      </w:r>
      <w:hyperlink r:id="rId17921">
        <w:r>
          <w:rPr>
            <w:color w:val="0000EE"/>
            <w:u w:val="single"/>
          </w:rPr>
          <w:t>15.8</w:t>
        </w:r>
      </w:hyperlink>
      <w:r>
        <w:t>).</w:t>
      </w:r>
    </w:p>
    <w:p>
      <w:r/>
      <w:r>
        <w:t>4. Os cadáveres, ou até partes deles, como ossos, causavam impureza (</w:t>
      </w:r>
      <w:hyperlink r:id="rId17922">
        <w:r>
          <w:rPr>
            <w:color w:val="0000EE"/>
            <w:u w:val="single"/>
          </w:rPr>
          <w:t>Nm 19.16</w:t>
        </w:r>
      </w:hyperlink>
      <w:r>
        <w:t>). As pessoas que tocavam um cadáver ficavam impuras por um mês, e apenas após esse período poderiam celebrar sua própria Páscoa se tivessem perdido (</w:t>
      </w:r>
      <w:hyperlink r:id="rId17923">
        <w:r>
          <w:rPr>
            <w:color w:val="0000EE"/>
            <w:u w:val="single"/>
          </w:rPr>
          <w:t>9.6–11</w:t>
        </w:r>
      </w:hyperlink>
      <w:r>
        <w:t>). O sumo sacerdote não poderia sequer enterrar seus próprios pais por causa de suas responsabilidades rituais especiais (</w:t>
      </w:r>
      <w:hyperlink r:id="rId17924">
        <w:r>
          <w:rPr>
            <w:color w:val="0000EE"/>
            <w:u w:val="single"/>
          </w:rPr>
          <w:t>Lv 21.10–11</w:t>
        </w:r>
      </w:hyperlink>
      <w:r>
        <w:t xml:space="preserve">; cf. </w:t>
      </w:r>
      <w:hyperlink r:id="rId17925">
        <w:r>
          <w:rPr>
            <w:color w:val="0000EE"/>
            <w:u w:val="single"/>
          </w:rPr>
          <w:t>Nm 6.6–7</w:t>
        </w:r>
      </w:hyperlink>
      <w:r>
        <w:t xml:space="preserve">; </w:t>
      </w:r>
      <w:hyperlink r:id="rId542">
        <w:r>
          <w:rPr>
            <w:color w:val="0000EE"/>
            <w:u w:val="single"/>
          </w:rPr>
          <w:t>Ag 2.13</w:t>
        </w:r>
      </w:hyperlink>
      <w:r>
        <w:t xml:space="preserve">; </w:t>
      </w:r>
      <w:hyperlink r:id="rId17926">
        <w:r>
          <w:rPr>
            <w:color w:val="0000EE"/>
            <w:u w:val="single"/>
          </w:rPr>
          <w:t>Mt 23.27</w:t>
        </w:r>
      </w:hyperlink>
      <w:r>
        <w:t>).</w:t>
      </w:r>
    </w:p>
    <w:p>
      <w:r/>
      <w:r>
        <w:t>5. A idolatria era a maior fonte de contaminação espiritual. Toda a nação de Israel foi contaminada por causa disso (</w:t>
      </w:r>
      <w:hyperlink r:id="rId17927">
        <w:r>
          <w:rPr>
            <w:color w:val="0000EE"/>
            <w:u w:val="single"/>
          </w:rPr>
          <w:t>Sl 106.38</w:t>
        </w:r>
      </w:hyperlink>
      <w:r>
        <w:t xml:space="preserve">; </w:t>
      </w:r>
      <w:hyperlink r:id="rId14486">
        <w:r>
          <w:rPr>
            <w:color w:val="0000EE"/>
            <w:u w:val="single"/>
          </w:rPr>
          <w:t>Is 30.22</w:t>
        </w:r>
      </w:hyperlink>
      <w:r>
        <w:t xml:space="preserve">; </w:t>
      </w:r>
      <w:hyperlink r:id="rId11911">
        <w:r>
          <w:rPr>
            <w:color w:val="0000EE"/>
            <w:u w:val="single"/>
          </w:rPr>
          <w:t>Ez 36.25</w:t>
        </w:r>
      </w:hyperlink>
      <w:r>
        <w:t>), assim como os gentios (</w:t>
      </w:r>
      <w:hyperlink r:id="rId17928">
        <w:r>
          <w:rPr>
            <w:color w:val="0000EE"/>
            <w:u w:val="single"/>
          </w:rPr>
          <w:t>Jr 43.12</w:t>
        </w:r>
      </w:hyperlink>
      <w:r>
        <w:t xml:space="preserve">). Consequentemente, o contato com gentios era tido como fonte de contaminação. O apelo universal do evangelho confrontou essa convicção (p. ex., </w:t>
      </w:r>
      <w:hyperlink r:id="rId12406">
        <w:r>
          <w:rPr>
            <w:color w:val="0000EE"/>
            <w:u w:val="single"/>
          </w:rPr>
          <w:t>Jo 4.9</w:t>
        </w:r>
      </w:hyperlink>
      <w:r>
        <w:t xml:space="preserve">; </w:t>
      </w:r>
      <w:hyperlink r:id="rId16469">
        <w:r>
          <w:rPr>
            <w:color w:val="0000EE"/>
            <w:u w:val="single"/>
          </w:rPr>
          <w:t>Atos 10.28</w:t>
        </w:r>
      </w:hyperlink>
      <w:r>
        <w:t xml:space="preserve">; cf. </w:t>
      </w:r>
      <w:hyperlink r:id="rId4353">
        <w:r>
          <w:rPr>
            <w:color w:val="0000EE"/>
            <w:u w:val="single"/>
          </w:rPr>
          <w:t>Gl 2.11–14</w:t>
        </w:r>
      </w:hyperlink>
      <w:r>
        <w:t>). Intimamente relacionada com a contaminação da idolatria estava a contaminação causada por espíritos impuros (</w:t>
      </w:r>
      <w:hyperlink r:id="rId17929">
        <w:r>
          <w:rPr>
            <w:color w:val="0000EE"/>
            <w:u w:val="single"/>
          </w:rPr>
          <w:t>Zc 13.2</w:t>
        </w:r>
      </w:hyperlink>
      <w:r>
        <w:t xml:space="preserve">; cf. </w:t>
      </w:r>
      <w:hyperlink r:id="rId6667">
        <w:r>
          <w:rPr>
            <w:color w:val="0000EE"/>
            <w:u w:val="single"/>
          </w:rPr>
          <w:t>Mt 10.1</w:t>
        </w:r>
      </w:hyperlink>
      <w:r>
        <w:t xml:space="preserve">; </w:t>
      </w:r>
      <w:hyperlink r:id="rId17930">
        <w:r>
          <w:rPr>
            <w:color w:val="0000EE"/>
            <w:u w:val="single"/>
          </w:rPr>
          <w:t>Mc 1.23–27</w:t>
        </w:r>
      </w:hyperlink>
      <w:r>
        <w:t>).</w:t>
      </w:r>
    </w:p>
    <w:p>
      <w:pPr>
        <w:pStyle w:val="Heading4"/>
      </w:pPr>
      <w:r>
        <w:t>Leis sobre Objetos</w:t>
      </w:r>
    </w:p>
    <w:p>
      <w:r/>
      <w:r>
        <w:t>Certas leis ilustram o princípio de que a impureza era transmitida de forma semelhante a um contágio. Os cadáveres contaminavam o que tocavam, assim como os insetos mortos e certas coisas rastejantes (</w:t>
      </w:r>
      <w:hyperlink r:id="rId17931">
        <w:r>
          <w:rPr>
            <w:color w:val="0000EE"/>
            <w:u w:val="single"/>
          </w:rPr>
          <w:t>Lv 11.29–38</w:t>
        </w:r>
      </w:hyperlink>
      <w:r>
        <w:t>). É interessante que grãos secos, água de nascente corrente e água em uma cisterna foram expressamente excluídos dessa lei de contaminação; talvez de outra forma, a fome teria sido a consequência, insetos mortos e camundongos eram encontrados em grãos e água todos os dias em uma comunidade agrícola. A cerâmica impura, porém, tinha que ser quebrada, mas os vasos de madeira meramente exigiam lavagem (</w:t>
      </w:r>
      <w:hyperlink r:id="rId17932">
        <w:r>
          <w:rPr>
            <w:color w:val="0000EE"/>
            <w:u w:val="single"/>
          </w:rPr>
          <w:t>Lv 15.12</w:t>
        </w:r>
      </w:hyperlink>
      <w:r>
        <w:t>). Até mesmo vasos descobertos em uma casa onde uma pessoa havia morrido se tornavam impuros (</w:t>
      </w:r>
      <w:hyperlink r:id="rId17933">
        <w:r>
          <w:rPr>
            <w:color w:val="0000EE"/>
            <w:u w:val="single"/>
          </w:rPr>
          <w:t>Nm 19.15</w:t>
        </w:r>
      </w:hyperlink>
      <w:r>
        <w:t>); todos os que entravam na casa ficavam impuros.</w:t>
      </w:r>
    </w:p>
    <w:p>
      <w:r/>
      <w:r>
        <w:t>Por causa de suas associações idólatras, os bens dos pagãos eram impuros; portanto, o saque tomado na guerra tinha que ser purificado pelo fogo ou por lavagem (</w:t>
      </w:r>
      <w:hyperlink r:id="rId17934">
        <w:r>
          <w:rPr>
            <w:color w:val="0000EE"/>
            <w:u w:val="single"/>
          </w:rPr>
          <w:t>Nm 31.21–24</w:t>
        </w:r>
      </w:hyperlink>
      <w:r>
        <w:t>). Roupas de lã, linho ou couro poderiam contrair a “lepra” impura de pessoas doentes e tinham que ser testadas. Se os pontos de lepra (manchas esverdeadas ou avermelhadas) se espalhassem após um período de teste, as roupas tinham que ser queimadas (</w:t>
      </w:r>
      <w:hyperlink r:id="rId12645">
        <w:r>
          <w:rPr>
            <w:color w:val="0000EE"/>
            <w:u w:val="single"/>
          </w:rPr>
          <w:t>Lv 13.47–59</w:t>
        </w:r>
      </w:hyperlink>
      <w:r>
        <w:t xml:space="preserve">; </w:t>
      </w:r>
      <w:hyperlink r:id="rId17935">
        <w:r>
          <w:rPr>
            <w:color w:val="0000EE"/>
            <w:u w:val="single"/>
          </w:rPr>
          <w:t>14.33–53</w:t>
        </w:r>
      </w:hyperlink>
      <w:r>
        <w:t>).</w:t>
      </w:r>
    </w:p>
    <w:p>
      <w:pPr>
        <w:pStyle w:val="Heading4"/>
      </w:pPr>
      <w:r>
        <w:t>Leis sobre Lugares</w:t>
      </w:r>
    </w:p>
    <w:p>
      <w:r/>
      <w:r>
        <w:t>A terra e o povo de Israel eram santos; eles poderiam ser contaminados pela impureza da opressão econômica ou idolatria (</w:t>
      </w:r>
      <w:hyperlink r:id="rId17936">
        <w:r>
          <w:rPr>
            <w:color w:val="0000EE"/>
            <w:u w:val="single"/>
          </w:rPr>
          <w:t>Js 22.17–19</w:t>
        </w:r>
      </w:hyperlink>
      <w:r>
        <w:t xml:space="preserve">; </w:t>
      </w:r>
      <w:hyperlink r:id="rId17937">
        <w:r>
          <w:rPr>
            <w:color w:val="0000EE"/>
            <w:u w:val="single"/>
          </w:rPr>
          <w:t>Jr 13.27</w:t>
        </w:r>
      </w:hyperlink>
      <w:r>
        <w:t>). Jerusalém era uma cidade santa, mas poderia ser contaminada pelos pecados de seu povo (</w:t>
      </w:r>
      <w:hyperlink r:id="rId17938">
        <w:r>
          <w:rPr>
            <w:color w:val="0000EE"/>
            <w:u w:val="single"/>
          </w:rPr>
          <w:t>Ez 22.2–4</w:t>
        </w:r>
      </w:hyperlink>
      <w:r>
        <w:t xml:space="preserve">; </w:t>
      </w:r>
      <w:hyperlink r:id="rId12679">
        <w:r>
          <w:rPr>
            <w:color w:val="0000EE"/>
            <w:u w:val="single"/>
          </w:rPr>
          <w:t>Lm 1.8</w:t>
        </w:r>
      </w:hyperlink>
      <w:r>
        <w:t>) ou pelo sangue de seus habitantes abatidos (</w:t>
      </w:r>
      <w:hyperlink r:id="rId17939">
        <w:r>
          <w:rPr>
            <w:color w:val="0000EE"/>
            <w:u w:val="single"/>
          </w:rPr>
          <w:t>Lm 4.15</w:t>
        </w:r>
      </w:hyperlink>
      <w:r>
        <w:t>).</w:t>
      </w:r>
    </w:p>
    <w:p>
      <w:r/>
      <w:r>
        <w:t>O templo poderia ser contaminado por pessoas impuras. Foi necessário que Ezequias purificasse o templo após a adoração idólatra de Acaz (</w:t>
      </w:r>
      <w:hyperlink r:id="rId17940">
        <w:r>
          <w:rPr>
            <w:color w:val="0000EE"/>
            <w:u w:val="single"/>
          </w:rPr>
          <w:t>2Cr 29.15–19</w:t>
        </w:r>
      </w:hyperlink>
      <w:r>
        <w:t>); Neemias teve que purificar os quartos em que Tobias estava vivendo (</w:t>
      </w:r>
      <w:hyperlink r:id="rId17118">
        <w:r>
          <w:rPr>
            <w:color w:val="0000EE"/>
            <w:u w:val="single"/>
          </w:rPr>
          <w:t>Ne 13.9</w:t>
        </w:r>
      </w:hyperlink>
      <w:r>
        <w:t>). Uma das funções do Dia da Expiação era a remoção de impurezas transferidas para o templo pelos pecados dos israelitas durante o ano passado (</w:t>
      </w:r>
      <w:hyperlink r:id="rId17941">
        <w:r>
          <w:rPr>
            <w:color w:val="0000EE"/>
            <w:u w:val="single"/>
          </w:rPr>
          <w:t>Lv 16.16–19</w:t>
        </w:r>
      </w:hyperlink>
      <w:r>
        <w:t xml:space="preserve">; </w:t>
      </w:r>
      <w:hyperlink r:id="rId17942">
        <w:r>
          <w:rPr>
            <w:color w:val="0000EE"/>
            <w:u w:val="single"/>
          </w:rPr>
          <w:t>31–33</w:t>
        </w:r>
      </w:hyperlink>
      <w:r>
        <w:t>).</w:t>
      </w:r>
    </w:p>
    <w:p>
      <w:r/>
      <w:r>
        <w:t>Um lugar impuro recebia os pedaços de uma casa leprosa após sua demolição (</w:t>
      </w:r>
      <w:hyperlink r:id="rId17943">
        <w:r>
          <w:rPr>
            <w:color w:val="0000EE"/>
            <w:u w:val="single"/>
          </w:rPr>
          <w:t>Lv 14.45</w:t>
        </w:r>
      </w:hyperlink>
      <w:r>
        <w:t>). O vale de Hinom se tornou o depósito de lixo de Jerusalém nos anos posteriores, dando origem às visões de “Geena” como um lugar de punição eterna na escatologia do NT. Uma vez que o acampamento israelita era um lugar santo, tomava-se o cuidado de enterrar o excremento humano fora de seus limites (</w:t>
      </w:r>
      <w:hyperlink r:id="rId17944">
        <w:r>
          <w:rPr>
            <w:color w:val="0000EE"/>
            <w:u w:val="single"/>
          </w:rPr>
          <w:t>Dt 23.12–14</w:t>
        </w:r>
      </w:hyperlink>
      <w:r>
        <w:t>). O valor dessa simples tarefa em prevenir doenças durante viagens militares dificilmente pode ser exagerada, uma vez que as pragas eram um grande flagelo dos exércitos antigos.</w:t>
      </w:r>
    </w:p>
    <w:p>
      <w:pPr>
        <w:pStyle w:val="Heading4"/>
      </w:pPr>
      <w:r>
        <w:t>Leis sobre Comida</w:t>
      </w:r>
    </w:p>
    <w:p>
      <w:r/>
      <w:r>
        <w:t>Certos tipos de animais eram impuros e, portanto, não poderiam ser comidos (</w:t>
      </w:r>
      <w:hyperlink r:id="rId1455">
        <w:r>
          <w:rPr>
            <w:color w:val="0000EE"/>
            <w:u w:val="single"/>
          </w:rPr>
          <w:t>Lv 11</w:t>
        </w:r>
      </w:hyperlink>
      <w:r>
        <w:t xml:space="preserve">; </w:t>
      </w:r>
      <w:hyperlink r:id="rId12863">
        <w:r>
          <w:rPr>
            <w:color w:val="0000EE"/>
            <w:u w:val="single"/>
          </w:rPr>
          <w:t>Dt 14.3–21</w:t>
        </w:r>
      </w:hyperlink>
      <w:r>
        <w:t>). Os animais que morriam de velhice, doença ou lesão, ou haviam sido feridos por predadores, eram impuros. Os animais que não ruminavam e tinham um casco fendido eram impuros, uma definição que incluía porcos, camelos, texugos e coelhos entre outros. Os israelitas poderiam comer apenas peixes que tinham barbatanas e escamas. Aves de rapina e necrófagos eram impuros. Todos os insetos que voavam eram impuros, exceto insetos saltitantes (gafanhotos e grilos). Uma grande classificação de “coisas rastejantes” era proibida, incluindo vermes, lagartos, cobras, doninhas e ratos. Além de todos esses fatos, havia a antiga proibição contra o consumo de sangue (</w:t>
      </w:r>
      <w:hyperlink r:id="rId12861">
        <w:r>
          <w:rPr>
            <w:color w:val="0000EE"/>
            <w:u w:val="single"/>
          </w:rPr>
          <w:t>Gn 9.4</w:t>
        </w:r>
      </w:hyperlink>
      <w:r>
        <w:t xml:space="preserve">; </w:t>
      </w:r>
      <w:hyperlink r:id="rId17945">
        <w:r>
          <w:rPr>
            <w:color w:val="0000EE"/>
            <w:u w:val="single"/>
          </w:rPr>
          <w:t>Lv 17.14–15</w:t>
        </w:r>
      </w:hyperlink>
      <w:r>
        <w:t xml:space="preserve">; </w:t>
      </w:r>
      <w:hyperlink r:id="rId17946">
        <w:r>
          <w:rPr>
            <w:color w:val="0000EE"/>
            <w:u w:val="single"/>
          </w:rPr>
          <w:t>Dt 12.16–23</w:t>
        </w:r>
      </w:hyperlink>
      <w:r>
        <w:t xml:space="preserve">; </w:t>
      </w:r>
      <w:hyperlink r:id="rId17910">
        <w:r>
          <w:rPr>
            <w:color w:val="0000EE"/>
            <w:u w:val="single"/>
          </w:rPr>
          <w:t>Atos 15.28–29</w:t>
        </w:r>
      </w:hyperlink>
      <w:r>
        <w:t>).</w:t>
      </w:r>
    </w:p>
    <w:p>
      <w:pPr>
        <w:pStyle w:val="Heading3"/>
      </w:pPr>
      <w:r>
        <w:t>Ritos de purificação</w:t>
      </w:r>
    </w:p>
    <w:p>
      <w:pPr>
        <w:pStyle w:val="Heading4"/>
      </w:pPr>
      <w:r>
        <w:t>Purificação por Tempo Decorrido</w:t>
      </w:r>
    </w:p>
    <w:p>
      <w:r/>
      <w:r>
        <w:t>A contaminação poderia muitas vezes ser cancelada simplesmente esperando até a noite (</w:t>
      </w:r>
      <w:hyperlink r:id="rId17947">
        <w:r>
          <w:rPr>
            <w:color w:val="0000EE"/>
            <w:u w:val="single"/>
          </w:rPr>
          <w:t>Lv 11.24</w:t>
        </w:r>
      </w:hyperlink>
      <w:r>
        <w:t>) ou por 7, 14, 40 ou 80 dias. Os corpos mortos contaminavam o que tocavam por 7 dias (</w:t>
      </w:r>
      <w:hyperlink r:id="rId544">
        <w:r>
          <w:rPr>
            <w:color w:val="0000EE"/>
            <w:u w:val="single"/>
          </w:rPr>
          <w:t>Nm 19.11</w:t>
        </w:r>
      </w:hyperlink>
      <w:r>
        <w:t>), assim como a menstruação (</w:t>
      </w:r>
      <w:hyperlink r:id="rId17948">
        <w:r>
          <w:rPr>
            <w:color w:val="0000EE"/>
            <w:u w:val="single"/>
          </w:rPr>
          <w:t>Lv 15.19</w:t>
        </w:r>
      </w:hyperlink>
      <w:r>
        <w:t>). Quando uma criança nascia, a condição impura da mãe durava 7 dias para um menino e 14 dias para uma menina. Eram necessários 33 dias adicionais para um filho homem e 66 dias para uma mulher antes que a mãe pudesse tocar qualquer coisa sagrada.</w:t>
      </w:r>
    </w:p>
    <w:p>
      <w:pPr>
        <w:pStyle w:val="Heading4"/>
      </w:pPr>
      <w:r>
        <w:t>Purificação por Água</w:t>
      </w:r>
    </w:p>
    <w:p>
      <w:r/>
      <w:r>
        <w:t>O contato com coisas impuras, como descargas corporais, muitas vezes exigia lavar as mãos e roupas, geralmente acompanhado do período de um dia (</w:t>
      </w:r>
      <w:hyperlink r:id="rId17949">
        <w:r>
          <w:rPr>
            <w:color w:val="0000EE"/>
            <w:u w:val="single"/>
          </w:rPr>
          <w:t>Lv 15.5–11</w:t>
        </w:r>
      </w:hyperlink>
      <w:r>
        <w:t>).</w:t>
      </w:r>
    </w:p>
    <w:p>
      <w:pPr>
        <w:pStyle w:val="Heading4"/>
      </w:pPr>
      <w:r>
        <w:t>Purificação por Substâncias Cerimoniais</w:t>
      </w:r>
    </w:p>
    <w:p>
      <w:r/>
      <w:r>
        <w:t>As substâncias cerimoniais usadas nos ritos de purificação incluíam as cinzas de uma novilha vermelha misturada com água (</w:t>
      </w:r>
      <w:hyperlink r:id="rId17950">
        <w:r>
          <w:rPr>
            <w:color w:val="0000EE"/>
            <w:u w:val="single"/>
          </w:rPr>
          <w:t>Nm 19.1–10</w:t>
        </w:r>
      </w:hyperlink>
      <w:r>
        <w:t>) e (nos casos de lepra) madeira de cedro, lã tingida de vermelho, hissopo e sangue (</w:t>
      </w:r>
      <w:hyperlink r:id="rId17951">
        <w:r>
          <w:rPr>
            <w:color w:val="0000EE"/>
            <w:u w:val="single"/>
          </w:rPr>
          <w:t>Lv 14.2–9</w:t>
        </w:r>
      </w:hyperlink>
      <w:r>
        <w:t>). Quando o altar era usado em uma cerimônia de purificação, apenas o sangue era adequado, uma vez que o altar era o lugar de sacrifício pelo pecado (</w:t>
      </w:r>
      <w:hyperlink r:id="rId17952">
        <w:r>
          <w:rPr>
            <w:color w:val="0000EE"/>
            <w:u w:val="single"/>
          </w:rPr>
          <w:t>Lv 16.18–19</w:t>
        </w:r>
      </w:hyperlink>
      <w:r>
        <w:t xml:space="preserve">; </w:t>
      </w:r>
      <w:hyperlink r:id="rId16845">
        <w:r>
          <w:rPr>
            <w:color w:val="0000EE"/>
            <w:u w:val="single"/>
          </w:rPr>
          <w:t>Ez 43.20</w:t>
        </w:r>
      </w:hyperlink>
      <w:r>
        <w:t>).</w:t>
      </w:r>
    </w:p>
    <w:p>
      <w:pPr>
        <w:pStyle w:val="Heading4"/>
      </w:pPr>
      <w:r>
        <w:t>Purificação por Sacrifício</w:t>
      </w:r>
    </w:p>
    <w:p>
      <w:r/>
      <w:r>
        <w:t>O sacrifício era a fonte final de purificação ritual e moral. Todas as descargas corporais, exceto as sexuais, eram purificadas por ofertas de pombas e pombos (</w:t>
      </w:r>
      <w:hyperlink r:id="rId15717">
        <w:r>
          <w:rPr>
            <w:color w:val="0000EE"/>
            <w:u w:val="single"/>
          </w:rPr>
          <w:t>Lv 15.14–15, 29–30</w:t>
        </w:r>
      </w:hyperlink>
      <w:r>
        <w:t>). O parto exigia um cordeiro e um pássaro (</w:t>
      </w:r>
      <w:hyperlink r:id="rId16351">
        <w:r>
          <w:rPr>
            <w:color w:val="0000EE"/>
            <w:u w:val="single"/>
          </w:rPr>
          <w:t>12.6</w:t>
        </w:r>
      </w:hyperlink>
      <w:r>
        <w:t>). As pessoas pobres poderiam oferecer pássaros no lugar de um animal (</w:t>
      </w:r>
      <w:hyperlink r:id="rId16289">
        <w:r>
          <w:rPr>
            <w:color w:val="0000EE"/>
            <w:u w:val="single"/>
          </w:rPr>
          <w:t>Lv 12.8</w:t>
        </w:r>
      </w:hyperlink>
      <w:r>
        <w:t xml:space="preserve">; </w:t>
      </w:r>
      <w:hyperlink r:id="rId17953">
        <w:r>
          <w:rPr>
            <w:color w:val="0000EE"/>
            <w:u w:val="single"/>
          </w:rPr>
          <w:t>14.21–32</w:t>
        </w:r>
      </w:hyperlink>
      <w:r>
        <w:t xml:space="preserve">; </w:t>
      </w:r>
      <w:hyperlink r:id="rId16286">
        <w:r>
          <w:rPr>
            <w:color w:val="0000EE"/>
            <w:u w:val="single"/>
          </w:rPr>
          <w:t>Lc 2.24</w:t>
        </w:r>
      </w:hyperlink>
      <w:r>
        <w:t>).</w:t>
      </w:r>
    </w:p>
    <w:p>
      <w:r/>
      <w:r>
        <w:t>Em sacrifícios, o sangue era simbólico de uma vida dada e, portanto, uma morte experimentada; a impureza da doença ou pecado era considerada como sendo transferida para a vítima, removendo assim a impureza (</w:t>
      </w:r>
      <w:hyperlink r:id="rId17954">
        <w:r>
          <w:rPr>
            <w:color w:val="0000EE"/>
            <w:u w:val="single"/>
          </w:rPr>
          <w:t>Lv 14.7</w:t>
        </w:r>
      </w:hyperlink>
      <w:r>
        <w:t>). A morte sacrificial, portanto, sempre teve um elemento substitutivo. Apenas o sacrifício de sangue poderia fornecer a purificação moral necessária para o próprio pecado; tal sacrifício era, portanto, a base de toda purificação, incluindo a de uma doença.</w:t>
      </w:r>
    </w:p>
    <w:p>
      <w:pPr>
        <w:pStyle w:val="Heading4"/>
      </w:pPr>
      <w:r>
        <w:t>Purificação pelo Fogo</w:t>
      </w:r>
    </w:p>
    <w:p>
      <w:r/>
      <w:r>
        <w:t>Certas contaminações poderiam ser removidas apenas pelo fogo, como a contaminação de vasos de metal (</w:t>
      </w:r>
      <w:hyperlink r:id="rId17955">
        <w:r>
          <w:rPr>
            <w:color w:val="0000EE"/>
            <w:u w:val="single"/>
          </w:rPr>
          <w:t>Nm 31.22–23</w:t>
        </w:r>
      </w:hyperlink>
      <w:r>
        <w:t>). Incesto era punível não apenas com a morte, mas também com a queima dos corpos (</w:t>
      </w:r>
      <w:hyperlink r:id="rId7259">
        <w:r>
          <w:rPr>
            <w:color w:val="0000EE"/>
            <w:u w:val="single"/>
          </w:rPr>
          <w:t>Lv 20.14</w:t>
        </w:r>
      </w:hyperlink>
      <w:r>
        <w:t>). A idolatria tinha que ser posta de lado pela destruição total dos objetos e pela queima (</w:t>
      </w:r>
      <w:hyperlink r:id="rId17956">
        <w:r>
          <w:rPr>
            <w:color w:val="0000EE"/>
            <w:u w:val="single"/>
          </w:rPr>
          <w:t>Êx 32.20</w:t>
        </w:r>
      </w:hyperlink>
      <w:r>
        <w:t>). Cidades consagradas às divindades pagãs deveriam ser queimadas.</w:t>
      </w:r>
    </w:p>
    <w:p>
      <w:pPr>
        <w:pStyle w:val="Heading3"/>
      </w:pPr>
      <w:r>
        <w:t>Perspectiva do Novo Testamento</w:t>
      </w:r>
    </w:p>
    <w:p>
      <w:r/>
      <w:r>
        <w:t>O NT não rejeitou o conceito do AT de puro e impuro, mas o reinterpretou em um novo contexto. Enfatizou em especial o sentido moral do conceito, bem como a identificação da impureza com o pecado.</w:t>
      </w:r>
    </w:p>
    <w:p>
      <w:r/>
      <w:r>
        <w:t>Os Evangelhos foram escritos no contexto da lei do AT e seus acréscimos farisaicos e saduceus. Jesus obedeceu à lei, mas muitas vezes estava em conflito com a casuística prática (sistema) que havia crescido em torno dela. Jesus ensinou que a verdadeira contaminação vem do coração do pecador e não da contaminação externa (</w:t>
      </w:r>
      <w:hyperlink r:id="rId13910">
        <w:r>
          <w:rPr>
            <w:color w:val="0000EE"/>
            <w:u w:val="single"/>
          </w:rPr>
          <w:t>Mc 7.14–23</w:t>
        </w:r>
      </w:hyperlink>
      <w:r>
        <w:t xml:space="preserve">; </w:t>
      </w:r>
      <w:hyperlink r:id="rId8237">
        <w:r>
          <w:rPr>
            <w:color w:val="0000EE"/>
            <w:u w:val="single"/>
          </w:rPr>
          <w:t>Lc 11.39–41</w:t>
        </w:r>
      </w:hyperlink>
      <w:r>
        <w:t>). Um elemento central em seu ensino era seu ataque ao externalismo cerimonial dos fariseus. Assim, foi dito que Jesus “internalizou” a lei. Seria mais correto dizer que ele forçou a atenção às demandas da lei na vida interior das pessoas.</w:t>
      </w:r>
    </w:p>
    <w:p>
      <w:r/>
      <w:r>
        <w:t>A maldade intrínseca dos demônios é ressaltada pelo uso do termo “espírito impuro” em todos os Evangelhos. Na verdade, a palavra “impuro” sempre aparece nos Evangelhos no contexto do espírito, um detalhe que ilustra a mudança de ênfase do NT da impureza ritual para o pecado e sua culpa.</w:t>
      </w:r>
    </w:p>
    <w:p>
      <w:r/>
      <w:r>
        <w:t xml:space="preserve">Um episódio importante na vida da igreja primitiva veio em </w:t>
      </w:r>
      <w:hyperlink r:id="rId2882">
        <w:r>
          <w:rPr>
            <w:color w:val="0000EE"/>
            <w:u w:val="single"/>
          </w:rPr>
          <w:t>Atos 10</w:t>
        </w:r>
      </w:hyperlink>
      <w:r>
        <w:t>, quando Deus ensinou o apóstolo Pedro que os gentios não eram impuros em si mesmos e que Pedro era obrigado a recebê-los. O resultado foi a conversão de Cornélio.</w:t>
      </w:r>
    </w:p>
    <w:p>
      <w:r/>
      <w:r>
        <w:t>A afirmação de Jesus de que a impureza se origina no coração deu fruto na doutrina do apóstolo Paulo da liberdade cristã. Paulo, um fariseu que poderia dizer de si mesmo que ele nunca havia quebrado uma lei externa, veio a perceber que nada é impuro em si mesmo (</w:t>
      </w:r>
      <w:hyperlink r:id="rId17957">
        <w:r>
          <w:rPr>
            <w:color w:val="0000EE"/>
            <w:u w:val="single"/>
          </w:rPr>
          <w:t>Rm 14.14–20</w:t>
        </w:r>
      </w:hyperlink>
      <w:r>
        <w:t xml:space="preserve">). Ao longo de suas epístolas, a pureza é o resultado da obediência do coração que flui da regeneração; é baseada no poder purificador da Expiação (veja </w:t>
      </w:r>
      <w:hyperlink r:id="rId17958">
        <w:r>
          <w:rPr>
            <w:color w:val="0000EE"/>
            <w:u w:val="single"/>
          </w:rPr>
          <w:t>Rm 6.19</w:t>
        </w:r>
      </w:hyperlink>
      <w:r>
        <w:t xml:space="preserve">; </w:t>
      </w:r>
      <w:hyperlink r:id="rId17959">
        <w:r>
          <w:rPr>
            <w:color w:val="0000EE"/>
            <w:u w:val="single"/>
          </w:rPr>
          <w:t>1Ts 2.3–4</w:t>
        </w:r>
      </w:hyperlink>
      <w:r>
        <w:t>, onde a impureza é estritamente moral).</w:t>
      </w:r>
    </w:p>
    <w:p>
      <w:r/>
      <w:r>
        <w:t>A expiação de Cristo era o agente purificador final para o pecado e seus resultados morais (</w:t>
      </w:r>
      <w:hyperlink r:id="rId883">
        <w:r>
          <w:rPr>
            <w:color w:val="0000EE"/>
            <w:u w:val="single"/>
          </w:rPr>
          <w:t>Hb 9.14, 22</w:t>
        </w:r>
      </w:hyperlink>
      <w:r>
        <w:t xml:space="preserve">; </w:t>
      </w:r>
      <w:hyperlink r:id="rId5313">
        <w:r>
          <w:rPr>
            <w:color w:val="0000EE"/>
            <w:u w:val="single"/>
          </w:rPr>
          <w:t>1Jo 1:7</w:t>
        </w:r>
      </w:hyperlink>
      <w:r>
        <w:t>), fazendo na realidade o que o sangue de touros e cabras apenas tipificava. Assim, aqueles que são lavados no sangue do Cordeiro (</w:t>
      </w:r>
      <w:hyperlink r:id="rId2629">
        <w:r>
          <w:rPr>
            <w:color w:val="0000EE"/>
            <w:u w:val="single"/>
          </w:rPr>
          <w:t>Ap 7:14</w:t>
        </w:r>
      </w:hyperlink>
      <w:r>
        <w:t>) são vistos usando vestes brancas limpas (</w:t>
      </w:r>
      <w:hyperlink r:id="rId17111">
        <w:r>
          <w:rPr>
            <w:color w:val="0000EE"/>
            <w:u w:val="single"/>
          </w:rPr>
          <w:t>15:6</w:t>
        </w:r>
      </w:hyperlink>
      <w:r>
        <w:t xml:space="preserve">; </w:t>
      </w:r>
      <w:hyperlink r:id="rId17960">
        <w:r>
          <w:rPr>
            <w:color w:val="0000EE"/>
            <w:u w:val="single"/>
          </w:rPr>
          <w:t>19:8–14</w:t>
        </w:r>
      </w:hyperlink>
      <w:r>
        <w:t>). Seu sangue, simbolizando a vida dada e a morte do Filho a mando do Pai, satisfaz os atributos de justiça pessoal do Deus trino. Porque o caráter pessoal de um Pai justo foi vindicado, o perdão pessoal dos pecadores é moralmente possível. Deus pode ser na história apenas o que ele é eternamente: ele é tanto justo quanto o justificador dos que creem em Cristo (</w:t>
      </w:r>
      <w:hyperlink r:id="rId17961">
        <w:r>
          <w:rPr>
            <w:color w:val="0000EE"/>
            <w:u w:val="single"/>
          </w:rPr>
          <w:t>Rm 3.24–26</w:t>
        </w:r>
      </w:hyperlink>
      <w:r>
        <w:t>).</w:t>
      </w:r>
    </w:p>
    <w:p>
      <w:r/>
      <w:r>
        <w:rPr>
          <w:i/>
        </w:rPr>
        <w:t>Veja também</w:t>
      </w:r>
      <w:r>
        <w:t xml:space="preserve"> </w:t>
      </w:r>
      <w:r>
        <w:t>Batismo</w:t>
      </w:r>
      <w:r>
        <w:t xml:space="preserve">; </w:t>
      </w:r>
      <w:r>
        <w:t>Circuncisão</w:t>
      </w:r>
      <w:r>
        <w:t xml:space="preserve">; </w:t>
      </w:r>
      <w:r>
        <w:t>Incircuncisão</w:t>
      </w:r>
      <w:r>
        <w:t xml:space="preserve">; </w:t>
      </w:r>
      <w:r>
        <w:t>Ofertas e Sacrifícios</w:t>
      </w:r>
      <w:r>
        <w:t xml:space="preserve">; </w:t>
      </w:r>
      <w:r>
        <w:t>Lei, Conceito Bíblico de</w:t>
      </w:r>
      <w:r>
        <w:t xml:space="preserve">; </w:t>
      </w:r>
      <w:r>
        <w:t>Leis Dietéticas</w:t>
      </w:r>
      <w:r>
        <w:t>.</w:t>
      </w:r>
      <w:r/>
      <w:r/>
    </w:p>
    <w:p>
      <w:r/>
    </w:p>
    <w:p>
      <w:pPr>
        <w:pStyle w:val="Heading2"/>
      </w:pPr>
      <w:r>
        <w:t>Púrpura</w:t>
      </w:r>
      <w:r/>
    </w:p>
    <w:p>
      <w:r/>
      <w:r>
        <w:t>Um corante altamente valorizado extraído de caracóis marinhos. A púrpura era usado para tingir tecidos para o tabernáculo e também para as roupas dos ricos (</w:t>
      </w:r>
      <w:hyperlink r:id="rId1858">
        <w:r>
          <w:rPr>
            <w:color w:val="0000EE"/>
            <w:u w:val="single"/>
          </w:rPr>
          <w:t>Êx 25.4</w:t>
        </w:r>
      </w:hyperlink>
      <w:r>
        <w:t xml:space="preserve">; </w:t>
      </w:r>
      <w:hyperlink r:id="rId5567">
        <w:r>
          <w:rPr>
            <w:color w:val="0000EE"/>
            <w:u w:val="single"/>
          </w:rPr>
          <w:t>Jz 8.26</w:t>
        </w:r>
      </w:hyperlink>
      <w:r>
        <w:t>).</w:t>
      </w:r>
    </w:p>
    <w:p>
      <w:r/>
      <w:r>
        <w:rPr>
          <w:i/>
        </w:rPr>
        <w:t>Veja também</w:t>
      </w:r>
      <w:r>
        <w:t xml:space="preserve"> </w:t>
      </w:r>
      <w:r>
        <w:t>Animais (Caracol)</w:t>
      </w:r>
      <w:r>
        <w:t xml:space="preserve">; </w:t>
      </w:r>
      <w:r>
        <w:t>Cor</w:t>
      </w:r>
      <w:r>
        <w:t>.</w:t>
      </w:r>
      <w:r/>
      <w:r/>
    </w:p>
    <w:p>
      <w:r/>
    </w:p>
    <w:p>
      <w:pPr>
        <w:pStyle w:val="Heading2"/>
      </w:pPr>
      <w:r>
        <w:t>Pute (Lugar)</w:t>
      </w:r>
      <w:r/>
    </w:p>
    <w:p>
      <w:r/>
      <w:r>
        <w:t>Pute era uma região no antigo norte da África, provavelmente na área da atual Líbia. Alguns estudiosos acreditam que Pute pode ter sido a terra de Punt, uma região mencionada nos registros antigos egípcios. Punt estava provavelmente ao longo da costa nordeste da África, possivelmente na atual Somália.</w:t>
      </w:r>
    </w:p>
    <w:p>
      <w:r/>
      <w:r>
        <w:t>O povo de Pute tinha conexões com o Egito, Cuxe (outro nome para o antigo nordeste da África) e Canaã. No entanto, a forma como o nome "Pute" é usado no Antigo Testamento sugere que estava na Líbia. O povo líbio no Antigo Testamento é chamado de "Lubim", que está sempre na forma plural.</w:t>
      </w:r>
    </w:p>
    <w:p>
      <w:r/>
      <w:r>
        <w:t>Pute começou como o nome de uma pessoa e, mais tarde, tornou-se o nome da nação que surgiu de sua família.</w:t>
      </w:r>
    </w:p>
    <w:p>
      <w:pPr>
        <w:pStyle w:val="Heading3"/>
      </w:pPr>
      <w:r>
        <w:t>Antiga Líbia</w:t>
      </w:r>
    </w:p>
    <w:p>
      <w:r/>
      <w:r>
        <w:t>A antiga Líbia localizava-se a oeste do Egito, ao longo do Mar Mediterrâneo, na região que hoje é a Líbia. Registros egípcios mencionam três principais grupos de líbios:</w:t>
      </w:r>
    </w:p>
    <w:p>
      <w:pPr>
        <w:pStyle w:val="ListBullet"/>
        <w:spacing w:line="240" w:lineRule="auto"/>
        <w:ind w:left="720"/>
      </w:pPr>
      <w:r/>
      <w:r>
        <w:t>Tjehenu: Essas pessoas viviam ao longo da costa e eram principalmente pastores. Na arte egípcia, eram representados como tendo cabelo comprido e usavam apenas um cinto e uma cobertura de tecido. Eles foram listados entre os Nove Arcos, um termo que os egípcios usavam para se referir aos seus principais inimigos.</w:t>
      </w:r>
    </w:p>
    <w:p>
      <w:pPr>
        <w:pStyle w:val="ListBullet"/>
        <w:spacing w:line="240" w:lineRule="auto"/>
        <w:ind w:left="720"/>
      </w:pPr>
      <w:r/>
      <w:r>
        <w:t>Tjemehu: Essas pessoas eram nômades que se deslocavam de um lugar para outro. Eles tinham cabelo claro e olhos azuis, o que os tornava diferentes de outros grupos africanos. Eles interagiram com o Egito desde a época do Antigo Reino (cerca de 2700–2200 a.C.). Às vezes, tentavam se estabelecer no território egípcio.</w:t>
      </w:r>
    </w:p>
    <w:p>
      <w:pPr>
        <w:pStyle w:val="ListBullet"/>
        <w:spacing w:line="240" w:lineRule="auto"/>
        <w:ind w:left="720"/>
      </w:pPr>
      <w:r/>
      <w:r>
        <w:t>Libu: Este grupo deu o nome à Líbia. Eles e a tribo Meshwesh foram descritos como de pele clara, tatuados e vestindo roupas de couro.</w:t>
      </w:r>
    </w:p>
    <w:p>
      <w:r/>
      <w:r>
        <w:t>Egito e Líbia tiveram muitas interações ao longo de sua história, tanto no comércio quanto na guerra. O povo líbio frequentemente tentou se mover para o Egito a partir do noroeste. Do Reino Médio, há a história de Sinuhe (c. 2000 a.C.), que começa com a morte de Amenemés I enquanto seu filho, Senusert (Sesóstris), estava lutando contra os líbios no Delta ocidental.</w:t>
      </w:r>
    </w:p>
    <w:p>
      <w:r/>
      <w:r>
        <w:t>Com o tempo, o povo líbio gradualmente se mudou para a área do Delta do Nilo. Dois reis egípcios, Seti I e Ramsés II, lutaram para manter o controle dessa região. Mais tarde, o Rei Merneptá registrou uma vitória sobre os líbios em um grande monumento de pedra chamado Estela de Merneptá (cerca de 1224 – 1214 a.C.). Outro rei egípcio, Ramsés III, posteriormente lutou contra os líbios e os expulsou da região ocidental do Delta. Isso ocorreu durante um período em que o Egito também estava enfrentando um grupo chamado Povos do Mar, tanto em terra quanto no mar.</w:t>
      </w:r>
    </w:p>
    <w:p>
      <w:r/>
      <w:r>
        <w:t>Mais tarde, os líbios se tornaram mais poderosos e eventualmente tomaram o controle do próprio Egito. Eles governaram o Egito através de duas famílias reais (ou dinastias). A primeira foi chamada de dinastia Bubastita (cerca de 946 – 720 a.C.), e a segunda foi a dinastia Tanita (cerca de 792 – 720 a.C.). Esses reis líbios tinham nomes diferentes dos nomes egípcios tradicionais, como Sheshonk, Osorkon e Takelot. Um desses reis, Sheshonk, é mencionado no Antigo Testamento sob o nome de Sisaque (</w:t>
      </w:r>
      <w:hyperlink r:id="rId10831">
        <w:r>
          <w:rPr>
            <w:color w:val="0000EE"/>
            <w:u w:val="single"/>
          </w:rPr>
          <w:t>1Rs 11.40</w:t>
        </w:r>
      </w:hyperlink>
      <w:r>
        <w:t xml:space="preserve">; </w:t>
      </w:r>
      <w:hyperlink r:id="rId17962">
        <w:r>
          <w:rPr>
            <w:color w:val="0000EE"/>
            <w:u w:val="single"/>
          </w:rPr>
          <w:t>14.25</w:t>
        </w:r>
      </w:hyperlink>
      <w:r>
        <w:t xml:space="preserve">; </w:t>
      </w:r>
      <w:hyperlink r:id="rId17963">
        <w:r>
          <w:rPr>
            <w:color w:val="0000EE"/>
            <w:u w:val="single"/>
          </w:rPr>
          <w:t>2Cr 12.2–9</w:t>
        </w:r>
      </w:hyperlink>
      <w:r>
        <w:t>).</w:t>
      </w:r>
    </w:p>
    <w:p>
      <w:pPr>
        <w:pStyle w:val="Heading3"/>
      </w:pPr>
      <w:r>
        <w:t>Pute na Bíblia</w:t>
      </w:r>
    </w:p>
    <w:p>
      <w:r/>
      <w:r>
        <w:t>A Bíblia menciona Pute pela primeira vez na tabela das nações (</w:t>
      </w:r>
      <w:hyperlink r:id="rId7547">
        <w:r>
          <w:rPr>
            <w:color w:val="0000EE"/>
            <w:u w:val="single"/>
          </w:rPr>
          <w:t>Gn 10</w:t>
        </w:r>
      </w:hyperlink>
      <w:r>
        <w:t>). Pute é listado como um filho de Cam, junto com Cuxe (Núbia, Etiópia), Egito e Canaã (</w:t>
      </w:r>
      <w:hyperlink r:id="rId4120">
        <w:r>
          <w:rPr>
            <w:color w:val="0000EE"/>
            <w:u w:val="single"/>
          </w:rPr>
          <w:t>Gn 10.6</w:t>
        </w:r>
      </w:hyperlink>
      <w:r>
        <w:t xml:space="preserve">; compare </w:t>
      </w:r>
      <w:hyperlink r:id="rId4121">
        <w:r>
          <w:rPr>
            <w:color w:val="0000EE"/>
            <w:u w:val="single"/>
          </w:rPr>
          <w:t>1Cr 1.8</w:t>
        </w:r>
      </w:hyperlink>
      <w:r>
        <w:t>).</w:t>
      </w:r>
    </w:p>
    <w:p>
      <w:r/>
      <w:r>
        <w:t>O profeta Jeremias descreve soldados de Pute e Cuxe (antiga Etiópia) como guerreiros habilidosos que carregavam escudos no exército do Egito na batalha de Carquemis (</w:t>
      </w:r>
      <w:hyperlink r:id="rId13399">
        <w:r>
          <w:rPr>
            <w:color w:val="0000EE"/>
            <w:u w:val="single"/>
          </w:rPr>
          <w:t>Jr 46.9</w:t>
        </w:r>
      </w:hyperlink>
      <w:r>
        <w:t>). O profeta Ezequiel nos conta que os soldados de Pute também serviram no exército da cidade de Tiro, junto com guerreiros da Pérsia e Lude (</w:t>
      </w:r>
      <w:hyperlink r:id="rId9653">
        <w:r>
          <w:rPr>
            <w:color w:val="0000EE"/>
            <w:u w:val="single"/>
          </w:rPr>
          <w:t>Ez 27.10</w:t>
        </w:r>
      </w:hyperlink>
      <w:r>
        <w:t>). Em outro relato, o profeta Naum menciona que Pute e os Líbios eram aliados da cidade egípcia de Tebas, mas não conseguiram protegê-la de ser conquistada pelo exército assírio (</w:t>
      </w:r>
      <w:hyperlink r:id="rId12725">
        <w:r>
          <w:rPr>
            <w:color w:val="0000EE"/>
            <w:u w:val="single"/>
          </w:rPr>
          <w:t>Na 3.9</w:t>
        </w:r>
      </w:hyperlink>
      <w:r>
        <w:t>). O livro de Daniel inclui uma profecia que diz que um futuro governante poderoso ganhará controle sobre a Líbia, Egito, Cuxe e outras terras (</w:t>
      </w:r>
      <w:hyperlink r:id="rId12724">
        <w:r>
          <w:rPr>
            <w:color w:val="0000EE"/>
            <w:u w:val="single"/>
          </w:rPr>
          <w:t>Dn 11.43</w:t>
        </w:r>
      </w:hyperlink>
      <w:r>
        <w:t>).</w:t>
      </w:r>
    </w:p>
    <w:p>
      <w:r/>
      <w:r>
        <w:t>O livro de Isaías menciona um lugar chamado "Pul" no texto hebraico, mas a tradução grega do Antigo Testamento usa "Pute" em vez disso (</w:t>
      </w:r>
      <w:hyperlink r:id="rId10191">
        <w:r>
          <w:rPr>
            <w:color w:val="0000EE"/>
            <w:u w:val="single"/>
          </w:rPr>
          <w:t>Is 66.19</w:t>
        </w:r>
      </w:hyperlink>
      <w:r>
        <w:t>). A maioria das traduções em português segue o texto hebraico. Nesta passagem, Pute aparece em uma lista de nações entre Társis e Lude. Essas nações ouvirão sobre a glória de Deus.</w:t>
      </w:r>
    </w:p>
    <w:p>
      <w:r/>
      <w:r>
        <w:t>No livro de Ezequiel, os estudiosos têm opiniões diferentes sobre os nomes que se referem à Líbia. Alguns acham que a palavra "Pute" significa Líbia (</w:t>
      </w:r>
      <w:hyperlink r:id="rId13003">
        <w:r>
          <w:rPr>
            <w:color w:val="0000EE"/>
            <w:u w:val="single"/>
          </w:rPr>
          <w:t>Ez 30.5</w:t>
        </w:r>
      </w:hyperlink>
      <w:r>
        <w:t>). Outros acreditam que outra palavra no mesmo versículo, "Cub", se refere à Líbia.</w:t>
      </w:r>
    </w:p>
    <w:p>
      <w:pPr>
        <w:pStyle w:val="Heading3"/>
      </w:pPr>
      <w:r>
        <w:t>Outros registros históricos</w:t>
      </w:r>
    </w:p>
    <w:p>
      <w:r/>
      <w:r>
        <w:t>Registros históricos fora da Bíblia também mencionam a Líbia. Documentos do Rei Xerxes da Pérsia, que governou de 485 a 465 a.C., listam a Líbia como uma das nações sob seu controle.</w:t>
      </w:r>
      <w:r/>
      <w:r/>
    </w:p>
    <w:p>
      <w:r/>
    </w:p>
    <w:p>
      <w:pPr>
        <w:pStyle w:val="Heading2"/>
      </w:pPr>
      <w:r>
        <w:t>Pute (Pessoa)</w:t>
      </w:r>
      <w:r/>
    </w:p>
    <w:p>
      <w:r/>
      <w:r>
        <w:t>Terceiro dos quatro filhos de Cam, que provavelmente se estabeleceu no norte da África e é possivelmente o antepassado dos povos do Egito e da Líbia (</w:t>
      </w:r>
      <w:hyperlink r:id="rId4120">
        <w:r>
          <w:rPr>
            <w:color w:val="0000EE"/>
            <w:u w:val="single"/>
          </w:rPr>
          <w:t>Gn 10.6</w:t>
        </w:r>
      </w:hyperlink>
      <w:r>
        <w:t xml:space="preserve">; </w:t>
      </w:r>
      <w:hyperlink r:id="rId4121">
        <w:r>
          <w:rPr>
            <w:color w:val="0000EE"/>
            <w:u w:val="single"/>
          </w:rPr>
          <w:t>1Cr 1.8</w:t>
        </w:r>
      </w:hyperlink>
      <w:r>
        <w:t>).</w:t>
      </w:r>
    </w:p>
    <w:p>
      <w:r/>
      <w:r>
        <w:rPr>
          <w:i/>
        </w:rPr>
        <w:t>Veja também</w:t>
      </w:r>
      <w:r>
        <w:t xml:space="preserve"> </w:t>
      </w:r>
      <w:r>
        <w:t>Pute (Lugar)</w:t>
      </w:r>
      <w:r>
        <w:t>.</w:t>
      </w:r>
      <w:r/>
      <w:r/>
    </w:p>
    <w:p>
      <w:r/>
    </w:p>
    <w:p>
      <w:pPr>
        <w:pStyle w:val="Heading2"/>
      </w:pPr>
      <w:r>
        <w:t>Putéoli</w:t>
      </w:r>
      <w:r/>
    </w:p>
    <w:p>
      <w:r/>
      <w:r>
        <w:t>Uma cidade portuária italiana na golfo de Nápoles. Era uma parada comum para pessoas viajando pelo mar e para cargas indo para Roma. Depois que o apóstolo Paulo desembarcou em Régio, ele ficou com cristãos em Putéoli. Ele esteve lá por sete dias antes de ser levado para Roma (</w:t>
      </w:r>
      <w:hyperlink r:id="rId17964">
        <w:r>
          <w:rPr>
            <w:color w:val="0000EE"/>
            <w:u w:val="single"/>
          </w:rPr>
          <w:t>At 28.13</w:t>
        </w:r>
      </w:hyperlink>
      <w:r>
        <w:t>). A cidade moderna é chamada Pozuoli.</w:t>
      </w:r>
      <w:r/>
      <w:r/>
    </w:p>
    <w:p>
      <w:r/>
    </w:p>
    <w:p>
      <w:pPr>
        <w:pStyle w:val="Heading2"/>
      </w:pPr>
      <w:r>
        <w:t>Putiel</w:t>
      </w:r>
      <w:r/>
    </w:p>
    <w:p>
      <w:r/>
      <w:r>
        <w:t>O pai da esposa de Eleazar e o avô de Fineias (</w:t>
      </w:r>
      <w:hyperlink r:id="rId9564">
        <w:r>
          <w:rPr>
            <w:color w:val="0000EE"/>
            <w:u w:val="single"/>
          </w:rPr>
          <w:t>Êx 6.25</w:t>
        </w:r>
      </w:hyperlink>
      <w:r>
        <w:t>).</w:t>
      </w:r>
      <w:r/>
      <w:r/>
    </w:p>
    <w:p>
      <w:r/>
    </w:p>
    <w:p>
      <w:pPr>
        <w:pStyle w:val="Heading2"/>
      </w:pPr>
      <w:r>
        <w:t>Puva</w:t>
      </w:r>
      <w:r/>
    </w:p>
    <w:p>
      <w:r/>
      <w:r>
        <w:t>O filho de Issacar, que foi com Jacó e sua família para o Egito, onde buscaram refúgio da severa fome na Palestina (</w:t>
      </w:r>
      <w:hyperlink r:id="rId11448">
        <w:r>
          <w:rPr>
            <w:color w:val="0000EE"/>
            <w:u w:val="single"/>
          </w:rPr>
          <w:t>Gn 46.13</w:t>
        </w:r>
      </w:hyperlink>
      <w:r>
        <w:t>; NTLH “Pua”). Puva fundou a família Punita (</w:t>
      </w:r>
      <w:hyperlink r:id="rId17892">
        <w:r>
          <w:rPr>
            <w:color w:val="0000EE"/>
            <w:u w:val="single"/>
          </w:rPr>
          <w:t>Nm 26.23</w:t>
        </w:r>
      </w:hyperlink>
      <w:r>
        <w:t xml:space="preserve">) e é alternativamente chamado de Pua em </w:t>
      </w:r>
      <w:hyperlink r:id="rId11545">
        <w:r>
          <w:rPr>
            <w:color w:val="0000EE"/>
            <w:u w:val="single"/>
          </w:rPr>
          <w:t>1 Crônicas 7.1</w:t>
        </w:r>
      </w:hyperlink>
      <w:r>
        <w:t>.</w:t>
      </w:r>
      <w:r/>
      <w:r/>
    </w:p>
    <w:p>
      <w:r/>
    </w:p>
    <w:p>
      <w:pPr>
        <w:pStyle w:val="Heading2"/>
      </w:pPr>
      <w:r>
        <w:t>Puvita</w:t>
      </w:r>
      <w:r/>
    </w:p>
    <w:p>
      <w:r/>
      <w:r>
        <w:t>Um puvita era membro de um grupo familiar na tribo de Issacar. Esta família era liderada por uma pessoa chamada Puva (</w:t>
      </w:r>
      <w:hyperlink r:id="rId17892">
        <w:r>
          <w:rPr>
            <w:color w:val="0000EE"/>
            <w:u w:val="single"/>
          </w:rPr>
          <w:t>Nm 26.23</w:t>
        </w:r>
      </w:hyperlink>
      <w:r>
        <w:t>). A Bíblia NVI usa "punita", como membro da família de Puá.</w:t>
      </w:r>
    </w:p>
    <w:p>
      <w:r/>
      <w:r>
        <w:rPr>
          <w:i/>
        </w:rPr>
        <w:t>Veja</w:t>
      </w:r>
      <w:r>
        <w:t xml:space="preserve"> </w:t>
      </w:r>
      <w:r>
        <w:t>Puva</w:t>
      </w:r>
      <w:r>
        <w:t>.</w:t>
      </w:r>
      <w:r/>
      <w:r/>
    </w:p>
    <w:p>
      <w:r/>
    </w:p>
    <w:p>
      <w:pPr>
        <w:pStyle w:val="Heading2"/>
      </w:pPr>
      <w:r>
        <w:t>Quaterno</w:t>
      </w:r>
      <w:r/>
    </w:p>
    <w:p>
      <w:r/>
      <w:r>
        <w:t xml:space="preserve">A tradução da ARC para um grupo de soldados, com quatro em cada grupo, conforme </w:t>
      </w:r>
      <w:hyperlink r:id="rId17965">
        <w:r>
          <w:rPr>
            <w:color w:val="0000EE"/>
            <w:u w:val="single"/>
          </w:rPr>
          <w:t>Atos 12.4</w:t>
        </w:r>
      </w:hyperlink>
      <w:r>
        <w:t>.</w:t>
      </w:r>
    </w:p>
    <w:p>
      <w:r/>
      <w:r>
        <w:rPr>
          <w:i/>
        </w:rPr>
        <w:t>Veja</w:t>
      </w:r>
      <w:r>
        <w:t xml:space="preserve"> </w:t>
      </w:r>
      <w:r>
        <w:t>Guerra</w:t>
      </w:r>
      <w:r>
        <w:t>.</w:t>
      </w:r>
      <w:r/>
      <w:r/>
    </w:p>
    <w:p>
      <w:r/>
    </w:p>
    <w:p>
      <w:pPr>
        <w:pStyle w:val="Heading2"/>
      </w:pPr>
      <w:r>
        <w:t>Quebrantosso</w:t>
      </w:r>
      <w:r/>
    </w:p>
    <w:p>
      <w:r/>
      <w:r>
        <w:t>O maior da família dos abutres, também conhecido como abutre barbudo, é considerado cerimonialmente impuro (</w:t>
      </w:r>
      <w:hyperlink r:id="rId611">
        <w:r>
          <w:rPr>
            <w:color w:val="0000EE"/>
            <w:u w:val="single"/>
          </w:rPr>
          <w:t>Lv 11.13</w:t>
        </w:r>
      </w:hyperlink>
      <w:r>
        <w:t xml:space="preserve">; </w:t>
      </w:r>
      <w:hyperlink r:id="rId612">
        <w:r>
          <w:rPr>
            <w:color w:val="0000EE"/>
            <w:u w:val="single"/>
          </w:rPr>
          <w:t>Dt 14.12</w:t>
        </w:r>
      </w:hyperlink>
      <w:r>
        <w:t xml:space="preserve">, ARC). </w:t>
      </w:r>
      <w:r>
        <w:rPr>
          <w:i/>
        </w:rPr>
        <w:t>Veja</w:t>
      </w:r>
      <w:r>
        <w:t xml:space="preserve"> </w:t>
      </w:r>
      <w:r>
        <w:t>Aves (Abutre)</w:t>
      </w:r>
      <w:r>
        <w:t>.</w:t>
      </w:r>
      <w:r/>
      <w:r/>
    </w:p>
    <w:p>
      <w:r/>
    </w:p>
    <w:p>
      <w:pPr>
        <w:pStyle w:val="Heading2"/>
      </w:pPr>
      <w:r>
        <w:t>Queda do homem</w:t>
      </w:r>
      <w:r/>
    </w:p>
    <w:p>
      <w:r/>
      <w:r>
        <w:t>Transição de uma condição de inocência moral e favor com Deus para uma condição de condenação à morte, que ocorreu na história da humanidade com o ato de Adão de comer o fruto proibido.</w:t>
      </w:r>
    </w:p>
    <w:p>
      <w:pPr>
        <w:pStyle w:val="Heading3"/>
      </w:pPr>
      <w:r>
        <w:t>Evidência bíblica</w:t>
      </w:r>
    </w:p>
    <w:p>
      <w:r/>
      <w:r>
        <w:t xml:space="preserve">O relato da Criação em </w:t>
      </w:r>
      <w:hyperlink r:id="rId1452">
        <w:r>
          <w:rPr>
            <w:color w:val="0000EE"/>
            <w:u w:val="single"/>
          </w:rPr>
          <w:t>Gênesis 1</w:t>
        </w:r>
      </w:hyperlink>
      <w:r>
        <w:t xml:space="preserve"> e </w:t>
      </w:r>
      <w:hyperlink r:id="rId10694">
        <w:r>
          <w:rPr>
            <w:color w:val="0000EE"/>
            <w:u w:val="single"/>
          </w:rPr>
          <w:t>2</w:t>
        </w:r>
      </w:hyperlink>
      <w:r>
        <w:t xml:space="preserve"> afirma a distinção tanto da natureza quanto da tarefa do homem. Homem (usado neste artigo como um termo genérico para seres humanos masculinos e femininos) foi criado à imagem de Deus com o propósito de comunhão e associação com Deus. Como representante de Deus, ele recebeu domínio sobre a terra para cultivar e usar seus recursos para a glória de Deus.</w:t>
      </w:r>
    </w:p>
    <w:p>
      <w:r/>
      <w:r>
        <w:t>Além do mandato cultural, o homem também recebeu um comando específico. Ele foi autorizado a usar a vegetação do Jardim do Éden para alimento, mas foi expressamente proibido de comer da árvore do conhecimento do bem e do mal. O propósito deste comando era introduzir na consciência humana a antítese radical entre o bem e o mal e confirmar o homem no serviço ao Criador. Como um servo fiel e leal, o homem deveria desfrutar de todas as bênçãos concedidas por seu Pai no céu e, por fim, ser conduzido à plenitude da vida eterna com Deus.</w:t>
      </w:r>
    </w:p>
    <w:p>
      <w:r/>
      <w:r>
        <w:t>O homem foi feito uma criatura viva, assim como os animais, mas o núcleo de sua vida deveria ser a união e comunhão com Deus. A comunhão com Deus deveria se tornar a posse consciente de Adão, em contraste com os animais que não conhecem nem a possibilidade do pecado nem a comunhão consciente com Deus. Com plena consciência do mal da alternativa, o homem deveria servir a Deus de forma voluntária e amorosa. Sua vida diante de Deus deveria, portanto, ser religiosa em vez de instintiva.</w:t>
      </w:r>
    </w:p>
    <w:p>
      <w:r/>
      <w:r>
        <w:t>O propósito de Deus ao dar o comando para não comer o fruto do conhecimento do bem e do mal era estabelecer os humanos nos caminhos da retidão e da fé, mas Satanás usou o comando como uma ocasião para tentar o homem a se rebelar contra Deus. Embora não houvesse mal para o homem em ser tentado, era mal para Satanás tentar o homem a pecar. Isso significa que havia mal no universo antes da queda do homem. Era o propósito aparente de Satanás sujeitar o homem a si mesmo e, através do homem, estender seu reino de trevas sobre a terra. A queda do homem e o subsequente programa de redenção devem ser entendidos no contexto do conflito cósmico entre Deus e Satanás, no qual o triunfo final de Deus está assegurado. Satanás abordou Adão por meio de Eva, usando a serpente como seu instrumento para atraí-los a comer da árvore do conhecimento do bem e do mal.</w:t>
      </w:r>
    </w:p>
    <w:p>
      <w:r/>
      <w:r>
        <w:t>A diferença entre o bem e o mal não foi ocultada do homem antes da queda, embora o conhecimento experiencial do homem fosse apenas do bem. Adão deveria receber instrução somente de Deus, sobre a natureza dessa distinção e as consequências de comer ou não comer. Assim como ele havia recebido vida no início de seu Criador, agora ele deveria viver em obediência a cada palavra que procedesse da boca de Deus. O propósito da tentação era incitar a independência de Deus. Satanás questionou a verdade de Deus e desafiou sua autoridade. Ele levou o homem a pensar que poderia determinar por si mesmo a diferença entre o bem e o mal e que poderia controlar as consequências para sua própria vantagem. Foi a tentação para o homem ser um deus para si mesmo.</w:t>
      </w:r>
    </w:p>
    <w:p>
      <w:r/>
      <w:r>
        <w:t>Adão caiu quando cedeu à tentação de Satanás e, junto com sua esposa, comeu do fruto proibido. O ato de rebelião foi um ato de desobediência, deslealdade, infidelidade e incredulidade. Assim como o comando de não comer resumiu e trouxe à tona tudo o que estava envolvido na justiça diante de Deus, a transgressão epitomizou a apostasia radical de Deus. A obediência completa a Deus deu lugar à rebelião total e à revolta completa: a autoridade de Deus foi repudiada; a bondade de Deus foi duvidada; a sabedoria de Deus foi contestada; e a verdade de Deus foi contradita. Um novo complexo de afeições e emoções tomou posse do coração e da mente do homem.</w:t>
      </w:r>
    </w:p>
    <w:p>
      <w:pPr>
        <w:pStyle w:val="Heading3"/>
      </w:pPr>
      <w:r>
        <w:t>Efeitos da queda</w:t>
      </w:r>
    </w:p>
    <w:p>
      <w:r/>
      <w:r>
        <w:t>Os efeitos imediatos da queda são visíveis na perda de ousadia e alegria na presença de Deus e no surgimento do medo e da vergonha. Eles também são visíveis na alienação de Adão e Eva de Deus. Isso é exemplificado na maldição em relação ao homem, mas mais acentuadamente na expulsão de Adão e Eva do Jardim. O Jardim era o lugar de habitação da justiça, a esfera de união e comunhão entre o homem e Deus. A expulsão era inevitável uma vez que a comunhão foi rompida pela injustiça. Como Deus havia avisado, a consequência do pecado era a morte. Como a morte intervém em todo ponto onde há vida, ela também se manifesta na dissolução do corpo no túmulo.</w:t>
      </w:r>
    </w:p>
    <w:p>
      <w:r/>
      <w:r>
        <w:t>As consequências da queda não se limitam a Adão e Eva, mas se estendem a todos os que descendem do primeiro casal por geração natural, porque existe uma relação única de solidariedade entre Adão e o restante da raça. Alguns teólogos acentuam a conexão genérica entre Adão e seus descendentes, enquanto outros focam na relação de aliança de Adão como cabeça e representante de sua posteridade. As consequências da transgressão de Adão para a raça humana são a imputação de seu pecado a todos os seus descendentes, sua consequente responsabilidade pela morte e sua herança de uma natureza depravada.</w:t>
      </w:r>
    </w:p>
    <w:p>
      <w:r/>
      <w:r>
        <w:t>Os resultados da queda também se manifestam no cosmos à medida que a maldição se desenvolve na resistência oferecida ao cumprimento do mandato cultural original. Somente com a dor e o perigo associados ao parto é que o mundo é povoado, e somente com trabalho árduo e penoso são fornecidos os alimentos, roupas e abrigo necessários para sustentar a vida.</w:t>
      </w:r>
    </w:p>
    <w:p>
      <w:r/>
      <w:r>
        <w:t xml:space="preserve">No entanto, o fato de que a morte não desce </w:t>
      </w:r>
      <w:r>
        <w:rPr>
          <w:i/>
        </w:rPr>
        <w:t>imediatamente</w:t>
      </w:r>
      <w:r>
        <w:t xml:space="preserve"> sobre o homem após a queda como julgamento </w:t>
      </w:r>
      <w:r>
        <w:rPr>
          <w:i/>
        </w:rPr>
        <w:t>final</w:t>
      </w:r>
      <w:r>
        <w:t xml:space="preserve"> é indicativo do propósito salvador de Deus para o homem. Adão não ouve a maldição da morte pronunciada até que ele ouça a promessa de um Salvador (</w:t>
      </w:r>
      <w:hyperlink r:id="rId309">
        <w:r>
          <w:rPr>
            <w:color w:val="0000EE"/>
            <w:u w:val="single"/>
          </w:rPr>
          <w:t>Gênesis 3.15</w:t>
        </w:r>
      </w:hyperlink>
      <w:r>
        <w:t>).</w:t>
      </w:r>
    </w:p>
    <w:p>
      <w:r/>
      <w:r>
        <w:t xml:space="preserve">Após </w:t>
      </w:r>
      <w:hyperlink r:id="rId2628">
        <w:r>
          <w:rPr>
            <w:color w:val="0000EE"/>
            <w:u w:val="single"/>
          </w:rPr>
          <w:t>Gênesis 3</w:t>
        </w:r>
      </w:hyperlink>
      <w:r>
        <w:t>, a Bíblia raramente se refere à queda do homem, mas este evento histórico é a pressuposição indispensável de tudo o que se segue. O foco da Bíblia é voltado para o futuro — os efeitos crescentes do pecado e o desdobramento do remédio de Deus.</w:t>
      </w:r>
    </w:p>
    <w:p>
      <w:r/>
      <w:r>
        <w:rPr>
          <w:i/>
        </w:rPr>
        <w:t>Veja também</w:t>
      </w:r>
      <w:r>
        <w:t xml:space="preserve"> </w:t>
      </w:r>
      <w:r>
        <w:t>Adão (Pessoa)</w:t>
      </w:r>
      <w:r>
        <w:t xml:space="preserve">; </w:t>
      </w:r>
      <w:r>
        <w:t>Morte</w:t>
      </w:r>
      <w:r>
        <w:t xml:space="preserve">; </w:t>
      </w:r>
      <w:r>
        <w:t>Pecado</w:t>
      </w:r>
      <w:r>
        <w:t>.</w:t>
      </w:r>
      <w:r/>
      <w:r/>
    </w:p>
    <w:p>
      <w:r/>
    </w:p>
    <w:p>
      <w:pPr>
        <w:pStyle w:val="Heading2"/>
      </w:pPr>
      <w:r>
        <w:t>Quedar</w:t>
      </w:r>
      <w:r/>
    </w:p>
    <w:p>
      <w:pPr>
        <w:pStyle w:val="ListNumber"/>
        <w:spacing w:line="240" w:lineRule="auto"/>
        <w:ind w:left="720"/>
      </w:pPr>
      <w:r/>
      <w:r>
        <w:t>O segundo filho de Ismael, filho de Abraão (</w:t>
      </w:r>
      <w:hyperlink r:id="rId14358">
        <w:r>
          <w:rPr>
            <w:color w:val="0000EE"/>
            <w:u w:val="single"/>
          </w:rPr>
          <w:t>Gn 25.13</w:t>
        </w:r>
      </w:hyperlink>
      <w:r>
        <w:t xml:space="preserve">; </w:t>
      </w:r>
      <w:hyperlink r:id="rId2477">
        <w:r>
          <w:rPr>
            <w:color w:val="0000EE"/>
            <w:u w:val="single"/>
          </w:rPr>
          <w:t>1Cr 1.29</w:t>
        </w:r>
      </w:hyperlink>
      <w:r>
        <w:t>).</w:t>
      </w:r>
    </w:p>
    <w:p>
      <w:pPr>
        <w:pStyle w:val="ListNumber"/>
        <w:spacing w:line="240" w:lineRule="auto"/>
        <w:ind w:left="720"/>
      </w:pPr>
      <w:r/>
      <w:r>
        <w:t>Uma tribo ou área que aparece principalmente nos escritos proféticos de Salomão até o exílio. Na profecia de Isaías contra a Arábia, Quedar é mencionada duas vezes (</w:t>
      </w:r>
      <w:hyperlink r:id="rId2342">
        <w:r>
          <w:rPr>
            <w:color w:val="0000EE"/>
            <w:u w:val="single"/>
          </w:rPr>
          <w:t>Is 21.13–17</w:t>
        </w:r>
      </w:hyperlink>
      <w:r>
        <w:t xml:space="preserve">). Juntamente com Arábia, Dedã e Tema, os quedaritas são ameaçados de destruição. </w:t>
      </w:r>
      <w:hyperlink r:id="rId17966">
        <w:r>
          <w:rPr>
            <w:color w:val="0000EE"/>
            <w:u w:val="single"/>
          </w:rPr>
          <w:t>Isaías 21.16</w:t>
        </w:r>
      </w:hyperlink>
      <w:r>
        <w:t xml:space="preserve"> menciona sua "pompa", sugerindo alguma riqueza (veja também </w:t>
      </w:r>
      <w:hyperlink r:id="rId17967">
        <w:r>
          <w:rPr>
            <w:color w:val="0000EE"/>
            <w:u w:val="single"/>
          </w:rPr>
          <w:t>Ez 27.21</w:t>
        </w:r>
      </w:hyperlink>
      <w:r>
        <w:t xml:space="preserve">). O tom militarista em </w:t>
      </w:r>
      <w:hyperlink r:id="rId2570">
        <w:r>
          <w:rPr>
            <w:color w:val="0000EE"/>
            <w:u w:val="single"/>
          </w:rPr>
          <w:t>Isaías 21.17</w:t>
        </w:r>
      </w:hyperlink>
      <w:r>
        <w:t xml:space="preserve"> sugere que eram um povo guerreiro. Em </w:t>
      </w:r>
      <w:hyperlink r:id="rId17377">
        <w:r>
          <w:rPr>
            <w:color w:val="0000EE"/>
            <w:u w:val="single"/>
          </w:rPr>
          <w:t>Jeremias 49.28</w:t>
        </w:r>
      </w:hyperlink>
      <w:r>
        <w:t>, Quedar é ligada a Hazor como vítimas das conquistas de Nabucodonosor. Não há registro fora da Bíblia da marcha de Nabucodonosor sobre Quedar. No entanto, Assurbanípal, o rei da Assíria, menciona a conquista de Quedar. Isso teria ocorrido por volta de 650 a.C., ou meio século antes da conquista babilônica.</w:t>
      </w:r>
    </w:p>
    <w:p>
      <w:r/>
      <w:r>
        <w:t>Além do relato de Assurbanípal, a única outra referência antiga fora da Bíblia a Quedar está em uma tigela de prata. Ela foi oferecida à deusa árabe Han-’ilat no Delta do Egito. A inscrição na tigela diz: “Caim, filho de Gesém, rei de Quedar”, e é datada do quinto século a.C. Este Gesém era muito provavelmente o inimigo de Neemias (</w:t>
      </w:r>
      <w:hyperlink r:id="rId2340">
        <w:r>
          <w:rPr>
            <w:color w:val="0000EE"/>
            <w:u w:val="single"/>
          </w:rPr>
          <w:t>Ne 2.19</w:t>
        </w:r>
      </w:hyperlink>
      <w:r>
        <w:t xml:space="preserve">; </w:t>
      </w:r>
      <w:hyperlink r:id="rId17968">
        <w:r>
          <w:rPr>
            <w:color w:val="0000EE"/>
            <w:u w:val="single"/>
          </w:rPr>
          <w:t>6.1–6</w:t>
        </w:r>
      </w:hyperlink>
      <w:r>
        <w:t>).</w:t>
      </w:r>
    </w:p>
    <w:p>
      <w:r/>
      <w:r>
        <w:t xml:space="preserve">A imagem que a Bíblia apresenta de Quedar é a de um povo que vive no deserto, descendente de Ismael. Inicialmente, eles não acreditavam em Yahweh, mas estão incluídos na profecia de Isaías sobre o futuro reino de Deus (compare </w:t>
      </w:r>
      <w:hyperlink r:id="rId17969">
        <w:r>
          <w:rPr>
            <w:color w:val="0000EE"/>
            <w:u w:val="single"/>
          </w:rPr>
          <w:t>Is 42.11</w:t>
        </w:r>
      </w:hyperlink>
      <w:r>
        <w:t xml:space="preserve">; </w:t>
      </w:r>
      <w:hyperlink r:id="rId2343">
        <w:r>
          <w:rPr>
            <w:color w:val="0000EE"/>
            <w:u w:val="single"/>
          </w:rPr>
          <w:t>60.7</w:t>
        </w:r>
      </w:hyperlink>
      <w:r>
        <w:t xml:space="preserve">). O ambiente desértico limitava seu trabalho à criação de ovelhas e ao comércio. A água imprevisível no deserto os forçava a se mover. Uma vida em tendas era preferível a casas permanentes (compare </w:t>
      </w:r>
      <w:hyperlink r:id="rId14273">
        <w:r>
          <w:rPr>
            <w:color w:val="0000EE"/>
            <w:u w:val="single"/>
          </w:rPr>
          <w:t>Sl 120.5</w:t>
        </w:r>
      </w:hyperlink>
      <w:r>
        <w:t xml:space="preserve">; </w:t>
      </w:r>
      <w:hyperlink r:id="rId17970">
        <w:r>
          <w:rPr>
            <w:color w:val="0000EE"/>
            <w:u w:val="single"/>
          </w:rPr>
          <w:t>Ct Sl 1.5</w:t>
        </w:r>
      </w:hyperlink>
      <w:r>
        <w:t>). Por essa razão, os arqueólogos não encontraram nenhum local chamado Quedar. Quedar ficava a leste e ligeiramente ao sul de Israel, no sul da Jordânia. Presumivelmente, o povo de Quedar desapareceu ou foi absorvido por nações vizinhas.</w:t>
      </w:r>
      <w:r/>
      <w:r/>
    </w:p>
    <w:p>
      <w:r/>
    </w:p>
    <w:p>
      <w:pPr>
        <w:pStyle w:val="Heading2"/>
      </w:pPr>
      <w:r>
        <w:t>Quedemá</w:t>
      </w:r>
      <w:r/>
    </w:p>
    <w:p>
      <w:r/>
      <w:r>
        <w:t xml:space="preserve">Um filho de Ismael mencionado em </w:t>
      </w:r>
      <w:hyperlink r:id="rId10279">
        <w:r>
          <w:rPr>
            <w:color w:val="0000EE"/>
            <w:u w:val="single"/>
          </w:rPr>
          <w:t>Gênesis 25.15</w:t>
        </w:r>
      </w:hyperlink>
      <w:r>
        <w:t>. Mais tarde, seus descendentes foram conhecidos pelo seu nome (</w:t>
      </w:r>
      <w:hyperlink r:id="rId11878">
        <w:r>
          <w:rPr>
            <w:color w:val="0000EE"/>
            <w:u w:val="single"/>
          </w:rPr>
          <w:t>1Cr 1.31</w:t>
        </w:r>
      </w:hyperlink>
      <w:r>
        <w:t>).</w:t>
      </w:r>
      <w:r/>
      <w:r/>
    </w:p>
    <w:p>
      <w:r/>
    </w:p>
    <w:p>
      <w:pPr>
        <w:pStyle w:val="Heading2"/>
      </w:pPr>
      <w:r>
        <w:t>Quedemote</w:t>
      </w:r>
      <w:r/>
    </w:p>
    <w:p>
      <w:r/>
      <w:r>
        <w:t>Cidade a leste do Jordão, provavelmente localizada no curso superior do rio Arnom. Do deserto de Quedemote, Moisés enviou mensageiros a Seom, rei de Hesbom, pedindo permissão para passar pacificamente por sua terra (</w:t>
      </w:r>
      <w:hyperlink r:id="rId16543">
        <w:r>
          <w:rPr>
            <w:color w:val="0000EE"/>
            <w:u w:val="single"/>
          </w:rPr>
          <w:t>Dt 2.26</w:t>
        </w:r>
      </w:hyperlink>
      <w:r>
        <w:t>). Na divisão da terra, Quedemote foi dada à tribo de Rúben (</w:t>
      </w:r>
      <w:hyperlink r:id="rId11554">
        <w:r>
          <w:rPr>
            <w:color w:val="0000EE"/>
            <w:u w:val="single"/>
          </w:rPr>
          <w:t>Js 13.18</w:t>
        </w:r>
      </w:hyperlink>
      <w:r>
        <w:t>) e depois reservada como uma das cidades levíticas para os meraritas (</w:t>
      </w:r>
      <w:hyperlink r:id="rId17971">
        <w:r>
          <w:rPr>
            <w:color w:val="0000EE"/>
            <w:u w:val="single"/>
          </w:rPr>
          <w:t>Js 21.37</w:t>
        </w:r>
      </w:hyperlink>
      <w:r>
        <w:t xml:space="preserve">; </w:t>
      </w:r>
      <w:hyperlink r:id="rId17972">
        <w:r>
          <w:rPr>
            <w:color w:val="0000EE"/>
            <w:u w:val="single"/>
          </w:rPr>
          <w:t>1Cr 6.79</w:t>
        </w:r>
      </w:hyperlink>
      <w:r>
        <w:t>).</w:t>
      </w:r>
    </w:p>
    <w:p>
      <w:r/>
      <w:r>
        <w:rPr>
          <w:i/>
        </w:rPr>
        <w:t>Veja também</w:t>
      </w:r>
      <w:r>
        <w:t xml:space="preserve"> </w:t>
      </w:r>
      <w:r>
        <w:t>Cidades dos levitas</w:t>
      </w:r>
      <w:r>
        <w:t>.</w:t>
      </w:r>
      <w:r/>
      <w:r/>
    </w:p>
    <w:p>
      <w:r/>
    </w:p>
    <w:p>
      <w:pPr>
        <w:pStyle w:val="Heading2"/>
      </w:pPr>
      <w:r>
        <w:t>Quedorlaomer</w:t>
      </w:r>
      <w:r/>
    </w:p>
    <w:p>
      <w:r/>
      <w:r>
        <w:t>Rei de Elão que participou com outros três reis em uma campanha contra cinco cidades perto do extremo sul da planície do Mar Morto (</w:t>
      </w:r>
      <w:hyperlink r:id="rId1116">
        <w:r>
          <w:rPr>
            <w:color w:val="0000EE"/>
            <w:u w:val="single"/>
          </w:rPr>
          <w:t>Gn 14</w:t>
        </w:r>
      </w:hyperlink>
      <w:r>
        <w:t xml:space="preserve">). Embora Quedorlaomer seja inicialmente o terceiro na lista (v. </w:t>
      </w:r>
      <w:hyperlink r:id="rId6217">
        <w:r>
          <w:rPr>
            <w:color w:val="0000EE"/>
            <w:u w:val="single"/>
          </w:rPr>
          <w:t>1</w:t>
        </w:r>
      </w:hyperlink>
      <w:r>
        <w:t>), ele era evidentemente o líder dos quatro reis. Em outras partes do capítulo, seu nome vem primeiro ou aparece sozinho.</w:t>
      </w:r>
    </w:p>
    <w:p>
      <w:r/>
      <w:r>
        <w:t>Por 12 anos, as cinco cidades da planície foram vassalas de Quedorlaomer. No 13º ano, as cidades se rebelaram, e no ano seguinte Quedorlaomer recrutou aliados para reafirmar seu domínio. Os reis vitoriosos saquearam as cidades e fizeram prisioneiros. Como Ló, sobrinho do patriarca Abrão, estava entre os cativos, Abrão reuniu seus servos e aliados e perseguiu Quedorlaomer até Damasco. Quedorlaomer foi derrotado, e o saque e os prisioneiros capturados foram resgatados.</w:t>
      </w:r>
    </w:p>
    <w:p>
      <w:r/>
      <w:r>
        <w:t>A primeira metade do nome Quedorlaomer é uma palavra comum em elamita que significa "servo". A segunda metade é provavelmente o nome de uma divindade elamita. Embora ambos os elementos do nome sejam conhecidos fora da Bíblia, a combinação não é. No entanto, ela se alinha com uma data do início do segundo milênio a.C. para o evento, coincidindo com o relato bíblico.</w:t>
      </w:r>
      <w:r/>
      <w:r/>
    </w:p>
    <w:p>
      <w:r/>
    </w:p>
    <w:p>
      <w:pPr>
        <w:pStyle w:val="Heading2"/>
      </w:pPr>
      <w:r>
        <w:t>Queelata</w:t>
      </w:r>
      <w:r/>
    </w:p>
    <w:p>
      <w:r/>
      <w:r>
        <w:t>Um dos lugares onde os israelitas acamparam durante sua jornada do Egito ao Monte Sinai. Estava localizado em algum lugar entre Rissa e Monte Sefer. (</w:t>
      </w:r>
      <w:hyperlink r:id="rId17973">
        <w:r>
          <w:rPr>
            <w:color w:val="0000EE"/>
            <w:u w:val="single"/>
          </w:rPr>
          <w:t>Nm 33.22,23</w:t>
        </w:r>
      </w:hyperlink>
      <w:r>
        <w:t>).</w:t>
      </w:r>
      <w:r/>
      <w:r/>
    </w:p>
    <w:p>
      <w:r/>
    </w:p>
    <w:p>
      <w:pPr>
        <w:pStyle w:val="Heading2"/>
      </w:pPr>
      <w:r>
        <w:t>Quemos</w:t>
      </w:r>
      <w:r/>
    </w:p>
    <w:p>
      <w:r/>
      <w:r>
        <w:t>Quemos era o nome do principal Deus que o povo moabita adorava (</w:t>
      </w:r>
      <w:hyperlink r:id="rId14685">
        <w:r>
          <w:rPr>
            <w:color w:val="0000EE"/>
            <w:u w:val="single"/>
          </w:rPr>
          <w:t>Nm 21.29</w:t>
        </w:r>
      </w:hyperlink>
      <w:r>
        <w:t>). A Bíblia também menciona que o povo amonita estava ligado a este falso deus (</w:t>
      </w:r>
      <w:hyperlink r:id="rId14788">
        <w:r>
          <w:rPr>
            <w:color w:val="0000EE"/>
            <w:u w:val="single"/>
          </w:rPr>
          <w:t>Jz 11.24</w:t>
        </w:r>
      </w:hyperlink>
      <w:r>
        <w:t>).</w:t>
      </w:r>
    </w:p>
    <w:p>
      <w:r/>
      <w:r>
        <w:rPr>
          <w:i/>
        </w:rPr>
        <w:t>Veja</w:t>
      </w:r>
      <w:r>
        <w:t xml:space="preserve"> </w:t>
      </w:r>
      <w:r>
        <w:t>Deidades e religião cananeia</w:t>
      </w:r>
      <w:r>
        <w:t xml:space="preserve">; </w:t>
      </w:r>
      <w:r>
        <w:t>Moabe, Moabitas</w:t>
      </w:r>
      <w:r>
        <w:t>.</w:t>
      </w:r>
      <w:r/>
      <w:r/>
    </w:p>
    <w:p>
      <w:r/>
    </w:p>
    <w:p>
      <w:pPr>
        <w:pStyle w:val="Heading2"/>
      </w:pPr>
      <w:r>
        <w:t>Quemuel</w:t>
      </w:r>
      <w:r/>
    </w:p>
    <w:p>
      <w:pPr>
        <w:pStyle w:val="ListNumber"/>
        <w:spacing w:line="240" w:lineRule="auto"/>
        <w:ind w:left="720"/>
      </w:pPr>
      <w:r/>
      <w:r>
        <w:t>O terceiro filho de Naor (o irmão do patriarca Abraão). Ele foi o pai de Arã (</w:t>
      </w:r>
      <w:hyperlink r:id="rId2312">
        <w:r>
          <w:rPr>
            <w:color w:val="0000EE"/>
            <w:u w:val="single"/>
          </w:rPr>
          <w:t>Gn 22.21</w:t>
        </w:r>
      </w:hyperlink>
      <w:r>
        <w:t>).</w:t>
      </w:r>
    </w:p>
    <w:p>
      <w:pPr>
        <w:pStyle w:val="ListNumber"/>
        <w:spacing w:line="240" w:lineRule="auto"/>
        <w:ind w:left="720"/>
      </w:pPr>
      <w:r/>
      <w:r>
        <w:t>Um filho de Siftã da tribo de Efraim. Ele foi um dos 12 homens escolhidos para dividir a terra entre as tribos israelitas (</w:t>
      </w:r>
      <w:hyperlink r:id="rId17974">
        <w:r>
          <w:rPr>
            <w:color w:val="0000EE"/>
            <w:u w:val="single"/>
          </w:rPr>
          <w:t>Nm 34.24</w:t>
        </w:r>
      </w:hyperlink>
      <w:r>
        <w:t>).</w:t>
      </w:r>
    </w:p>
    <w:p>
      <w:pPr>
        <w:pStyle w:val="ListNumber"/>
        <w:spacing w:line="240" w:lineRule="auto"/>
        <w:ind w:left="720"/>
      </w:pPr>
      <w:r/>
      <w:r>
        <w:t>O pai de Hasabias foi um governante dos levitas durante o reinado do Rei Davi (</w:t>
      </w:r>
      <w:hyperlink r:id="rId2544">
        <w:r>
          <w:rPr>
            <w:color w:val="0000EE"/>
            <w:u w:val="single"/>
          </w:rPr>
          <w:t>1Cr 27.17</w:t>
        </w:r>
      </w:hyperlink>
      <w:r>
        <w:t>).</w:t>
      </w:r>
      <w:r/>
      <w:r/>
    </w:p>
    <w:p>
      <w:r/>
    </w:p>
    <w:p>
      <w:pPr>
        <w:pStyle w:val="Heading2"/>
      </w:pPr>
      <w:r>
        <w:t>Quenate</w:t>
      </w:r>
      <w:r/>
    </w:p>
    <w:p>
      <w:r/>
      <w:r>
        <w:t>Quenate era uma cidade na região de Haurã. Foi capturada por um homem chamado Noba (</w:t>
      </w:r>
      <w:hyperlink r:id="rId12644">
        <w:r>
          <w:rPr>
            <w:color w:val="0000EE"/>
            <w:u w:val="single"/>
          </w:rPr>
          <w:t>Nm 32.42</w:t>
        </w:r>
      </w:hyperlink>
      <w:r>
        <w:t>). Posteriormente, foi capturada por Gesur e Arã (</w:t>
      </w:r>
      <w:hyperlink r:id="rId9933">
        <w:r>
          <w:rPr>
            <w:color w:val="0000EE"/>
            <w:u w:val="single"/>
          </w:rPr>
          <w:t>1Cr 2.23</w:t>
        </w:r>
      </w:hyperlink>
      <w:r>
        <w:t>).</w:t>
      </w:r>
    </w:p>
    <w:p>
      <w:r/>
      <w:r>
        <w:t>Quenate era uma cidade cananeia. Ela aparece em textos de maldição egípcios dos séculos XIX e XVIII a.C. A cidade também foi conquistada pelo faraó egípcio Tutemés III e é mencionada nas cartas de Amarna (antiga correspondência diplomática).</w:t>
      </w:r>
    </w:p>
    <w:p>
      <w:r/>
      <w:r>
        <w:t>Durante o período helenístico (após Alexandre, o Grande), Quenate tornou-se uma das cidades da Decápolis (um grupo de 10 cidades). Judeus que retornaram do exílio na Babilônia se estabeleceram lá. Os professores religiosos judeus (rabinos) a consideravam uma cidade fronteiriça da terra prometida. Quenate também era chamada de Kanatha.</w:t>
      </w:r>
    </w:p>
    <w:p>
      <w:r/>
      <w:r>
        <w:rPr>
          <w:i/>
        </w:rPr>
        <w:t>Veja também</w:t>
      </w:r>
      <w:r>
        <w:t xml:space="preserve"> </w:t>
      </w:r>
      <w:r>
        <w:t>Kanata</w:t>
      </w:r>
      <w:r>
        <w:t>.</w:t>
      </w:r>
      <w:r/>
      <w:r/>
    </w:p>
    <w:p>
      <w:r/>
    </w:p>
    <w:p>
      <w:pPr>
        <w:pStyle w:val="Heading2"/>
      </w:pPr>
      <w:r>
        <w:t>Quenaz</w:t>
      </w:r>
      <w:r/>
    </w:p>
    <w:p>
      <w:r/>
      <w:r>
        <w:t>A forma singular do nome da tribo dos quenezeus. Deus prometeu sua terra aos descendentes de Abraão (</w:t>
      </w:r>
      <w:hyperlink r:id="rId3976">
        <w:r>
          <w:rPr>
            <w:color w:val="0000EE"/>
            <w:u w:val="single"/>
          </w:rPr>
          <w:t>Gn 15.19</w:t>
        </w:r>
      </w:hyperlink>
      <w:r>
        <w:t>). O Antigo Testamento menciona três homens diferentes com este nome. Isso pode ser porque os quenezeus se mudaram tanto para Edom (uma terra ao sul) quanto para o sul de Judá (parte do que se tornaria Israel). Isso aconteceu antes de os israelitas conquistarem a terra.</w:t>
      </w:r>
    </w:p>
    <w:p>
      <w:pPr>
        <w:pStyle w:val="ListNumber"/>
        <w:spacing w:line="240" w:lineRule="auto"/>
        <w:ind w:left="720"/>
      </w:pPr>
      <w:r/>
      <w:r>
        <w:t>Um neto de Esaú e um líder de clã de Edom (</w:t>
      </w:r>
      <w:hyperlink r:id="rId17975">
        <w:r>
          <w:rPr>
            <w:color w:val="0000EE"/>
            <w:u w:val="single"/>
          </w:rPr>
          <w:t>Gn 36.11,15,42</w:t>
        </w:r>
      </w:hyperlink>
      <w:r>
        <w:t xml:space="preserve">; </w:t>
      </w:r>
      <w:hyperlink r:id="rId17976">
        <w:r>
          <w:rPr>
            <w:color w:val="0000EE"/>
            <w:u w:val="single"/>
          </w:rPr>
          <w:t>1Cr 1.36,53</w:t>
        </w:r>
      </w:hyperlink>
      <w:r>
        <w:t>).</w:t>
      </w:r>
    </w:p>
    <w:p>
      <w:pPr>
        <w:pStyle w:val="ListNumber"/>
        <w:spacing w:line="240" w:lineRule="auto"/>
        <w:ind w:left="720"/>
      </w:pPr>
      <w:r/>
      <w:r>
        <w:t>O pai de Otoniel e Seraías (</w:t>
      </w:r>
      <w:hyperlink r:id="rId17977">
        <w:r>
          <w:rPr>
            <w:color w:val="0000EE"/>
            <w:u w:val="single"/>
          </w:rPr>
          <w:t>Js 15.17</w:t>
        </w:r>
      </w:hyperlink>
      <w:r>
        <w:t xml:space="preserve">; </w:t>
      </w:r>
      <w:hyperlink r:id="rId4041">
        <w:r>
          <w:rPr>
            <w:color w:val="0000EE"/>
            <w:u w:val="single"/>
          </w:rPr>
          <w:t>Jz 1.13</w:t>
        </w:r>
      </w:hyperlink>
      <w:r>
        <w:t xml:space="preserve">; </w:t>
      </w:r>
      <w:hyperlink r:id="rId17978">
        <w:r>
          <w:rPr>
            <w:color w:val="0000EE"/>
            <w:u w:val="single"/>
          </w:rPr>
          <w:t>3.9–11</w:t>
        </w:r>
      </w:hyperlink>
      <w:r>
        <w:t xml:space="preserve">; </w:t>
      </w:r>
      <w:hyperlink r:id="rId17979">
        <w:r>
          <w:rPr>
            <w:color w:val="0000EE"/>
            <w:u w:val="single"/>
          </w:rPr>
          <w:t>1Cr 4.13</w:t>
        </w:r>
      </w:hyperlink>
      <w:r>
        <w:t>).</w:t>
      </w:r>
    </w:p>
    <w:p>
      <w:pPr>
        <w:pStyle w:val="ListNumber"/>
        <w:spacing w:line="240" w:lineRule="auto"/>
        <w:ind w:left="720"/>
      </w:pPr>
      <w:r/>
      <w:r>
        <w:t>Um descendente de Calebe (</w:t>
      </w:r>
      <w:hyperlink r:id="rId7753">
        <w:r>
          <w:rPr>
            <w:color w:val="0000EE"/>
            <w:u w:val="single"/>
          </w:rPr>
          <w:t>1Cr 4.15</w:t>
        </w:r>
      </w:hyperlink>
      <w:r>
        <w:t xml:space="preserve">). </w:t>
      </w:r>
    </w:p>
    <w:p>
      <w:r/>
      <w:r>
        <w:rPr>
          <w:i/>
        </w:rPr>
        <w:t>Veja</w:t>
      </w:r>
      <w:r>
        <w:t xml:space="preserve"> </w:t>
      </w:r>
      <w:r>
        <w:t>Quenezeus</w:t>
      </w:r>
      <w:r>
        <w:t>.</w:t>
      </w:r>
      <w:r/>
      <w:r/>
    </w:p>
    <w:p>
      <w:r/>
    </w:p>
    <w:p>
      <w:pPr>
        <w:pStyle w:val="Heading2"/>
      </w:pPr>
      <w:r>
        <w:t>Queneus</w:t>
      </w:r>
      <w:r/>
    </w:p>
    <w:p>
      <w:r/>
      <w:r>
        <w:t>Uma das 10 tribos que viviam em Canaã durante o tempo de Abraão (</w:t>
      </w:r>
      <w:hyperlink r:id="rId3976">
        <w:r>
          <w:rPr>
            <w:color w:val="0000EE"/>
            <w:u w:val="single"/>
          </w:rPr>
          <w:t>Gn 15.19</w:t>
        </w:r>
      </w:hyperlink>
      <w:r>
        <w:t>). Os queneus, no entanto, não estão incluídos na declaração paralela do tempo de Moisés (</w:t>
      </w:r>
      <w:hyperlink r:id="rId13120">
        <w:r>
          <w:rPr>
            <w:color w:val="0000EE"/>
            <w:u w:val="single"/>
          </w:rPr>
          <w:t>Êx 3.17</w:t>
        </w:r>
      </w:hyperlink>
      <w:r>
        <w:t xml:space="preserve">). A razão aparente para isso é uma relação mais favorável com Israel naquela época. Que Israel continuou a conceder tratamento especial aos queneus é claro em </w:t>
      </w:r>
      <w:hyperlink r:id="rId3840">
        <w:r>
          <w:rPr>
            <w:color w:val="0000EE"/>
            <w:u w:val="single"/>
          </w:rPr>
          <w:t>1 Samuel 15.6</w:t>
        </w:r>
      </w:hyperlink>
      <w:r>
        <w:t>. Quando Saul mobilizou seu exército contra os amalequitas, ele deu um aviso antes do ataque. Essa gentileza parece refletir a ajuda dada por Hobabe, filho de Reuel, que foi seu guia no deserto (</w:t>
      </w:r>
      <w:hyperlink r:id="rId17980">
        <w:r>
          <w:rPr>
            <w:color w:val="0000EE"/>
            <w:u w:val="single"/>
          </w:rPr>
          <w:t>Nm 10.29–31</w:t>
        </w:r>
      </w:hyperlink>
      <w:r>
        <w:t>).</w:t>
      </w:r>
    </w:p>
    <w:p>
      <w:r/>
      <w:r>
        <w:t xml:space="preserve">Na época de Baraque, o juiz, e Débora, a profetisa, havia um ramo dos queneus na Galileia. </w:t>
      </w:r>
      <w:hyperlink r:id="rId4012">
        <w:r>
          <w:rPr>
            <w:color w:val="0000EE"/>
            <w:u w:val="single"/>
          </w:rPr>
          <w:t>Juízes 4.11</w:t>
        </w:r>
      </w:hyperlink>
      <w:r>
        <w:t xml:space="preserve"> diz: “Acontece que Héber, o queneu, havia se separado dos outros queneus, os descendentes de Hobabe, cunhado de Moisés. Ele havia armado as suas barracas perto do carvalho de Zaananim, que não ficava longe de Quedes” (NTLH). Este Quedes estava na Galileia e não era o Cades-Barneia do deserto do Sinai.</w:t>
      </w:r>
    </w:p>
    <w:p>
      <w:r/>
      <w:r>
        <w:t>Como o nome Queneu está intimamente relacionado à palavra para ferreiro (cobre) tanto em árabe quanto em aramaico, é possível que essa tribo fosse semelhante a uma associação de comércio de ferreiros nômades que ofereciam suas habilidades onde necessário. Tribos nômades de trabalhadores de metal eram conhecidas por se moverem no antigo Oriente Próximo desde o início do segundo milênio a.C. Tais artesãos são encontrados entre o grupo de asiáticos retratados na tumba de Beni-Hasan no Egito, datando do século XIX a.C. Nos tempos modernos, pelo menos uma tribo árabe de ferreiros ou funileiros itinerantes, semelhantes a ciganos, seguiu as rotas comerciais em busca de emprego.</w:t>
      </w:r>
    </w:p>
    <w:p>
      <w:r/>
      <w:r>
        <w:t>À luz das informações bíblicas sobre os queneus, a grande questão é a influência que essa tribo aparentemente onipresente teve na vida e cultura dos hebreus. A sugestão menos provável é que Moisés dependia de seu sogro queneu/midianita, Jetro, para fazer a serpente de bronze (</w:t>
      </w:r>
      <w:hyperlink r:id="rId5084">
        <w:r>
          <w:rPr>
            <w:color w:val="0000EE"/>
            <w:u w:val="single"/>
          </w:rPr>
          <w:t>Nm 21.4–9</w:t>
        </w:r>
      </w:hyperlink>
      <w:r>
        <w:t>). No entanto, é provável que os queneus, se de fato eram especialistas em metalurgia, possam ter ensinado essa tecnologia ao povo da aliança de Deus para ajudá-los a alcançar a condição de nação estabelecida. Mais séria é a sugestão de que Jetro (também chamado Reuel), "sacerdote de Midiã", foi a fonte da teologia de Moisés — a religião monoteísta de Jeová (ou Yahweh). Essa sugestão pode ser contestada de dois ângulos — um bíblico e o outro histórico.</w:t>
      </w:r>
    </w:p>
    <w:p>
      <w:r/>
      <w:r>
        <w:t xml:space="preserve">A referência bíblica que afirma especificamente que Jeová era o Deus pessoal conhecido pelos homens piedosos desde as primeiras gerações é </w:t>
      </w:r>
      <w:hyperlink r:id="rId8087">
        <w:r>
          <w:rPr>
            <w:color w:val="0000EE"/>
            <w:u w:val="single"/>
          </w:rPr>
          <w:t>Gênesis 4.26</w:t>
        </w:r>
      </w:hyperlink>
      <w:r>
        <w:t>: “Sete foi pai de um filho e o chamou de Enos. Foi nesse tempo que o nome * SENHOR começou a ser usado no culto de adoração a Deus” (NTLH). Igualmente significativo é o fato de que a mãe de Moisés (ou ancestral, como alguns concluiriam) tinha o nome Joquebede, “Jeová é glória”. Obviamente, então, Moisés não ouviu falar de Jeová pela primeira vez de seu sogro durante seu exílio no deserto de Midiã. As evidências históricas indicam que não havia locais de culto (centros de adoração) além do tabernáculo móvel localizados no Sinai ou em qualquer lugar ao sul de Berseba. Foi ao sul dessa cidade que o Deus que anteriormente se revelou aos patriarcas em várias localidades no norte anunciou a Moisés que ele era ninguém menos que o Deus de Abraão, de Isaque e de Jacó (</w:t>
      </w:r>
      <w:hyperlink r:id="rId906">
        <w:r>
          <w:rPr>
            <w:color w:val="0000EE"/>
            <w:u w:val="single"/>
          </w:rPr>
          <w:t>Êx 3.6</w:t>
        </w:r>
      </w:hyperlink>
      <w:r>
        <w:t>). Os israelitas nunca retornaram ao Sinai para adoração, embora Deus tenha se revelado a eles lá pela primeira vez.</w:t>
      </w:r>
    </w:p>
    <w:p>
      <w:r/>
      <w:r>
        <w:t>Jetro claramente aprendeu sobre Jeová através de Moisés, e não o contrário. Aqueles queneus que se tornaram parte da família do povo de Deus o fizeram por adoção, sendo introduzidos através do testemunho de Israel na relação de aliança com o Deus de Jacó.</w:t>
      </w:r>
    </w:p>
    <w:p>
      <w:r/>
      <w:r>
        <w:t xml:space="preserve">Curiosamente, </w:t>
      </w:r>
      <w:hyperlink r:id="rId8203">
        <w:r>
          <w:rPr>
            <w:color w:val="0000EE"/>
            <w:u w:val="single"/>
          </w:rPr>
          <w:t>1 Crônicas 2.55</w:t>
        </w:r>
      </w:hyperlink>
      <w:r>
        <w:t xml:space="preserve"> inclui o queneu Hamate, pai dos recabitas, dentro da genealogia da tribo de Judá, na qual eles foram assimilados. Davi também associa os queneus a outros habitantes do sul de Judá (</w:t>
      </w:r>
      <w:hyperlink r:id="rId15128">
        <w:r>
          <w:rPr>
            <w:color w:val="0000EE"/>
            <w:u w:val="single"/>
          </w:rPr>
          <w:t>1Sm 27.10</w:t>
        </w:r>
      </w:hyperlink>
      <w:r>
        <w:t xml:space="preserve">). </w:t>
      </w:r>
      <w:hyperlink r:id="rId17981">
        <w:r>
          <w:rPr>
            <w:color w:val="0000EE"/>
            <w:u w:val="single"/>
          </w:rPr>
          <w:t>Jeremias 35</w:t>
        </w:r>
      </w:hyperlink>
      <w:r>
        <w:t xml:space="preserve"> afirma que os recabitas preservaram o simples estilo de vida nômade de seus ancestrais até o tempo do cativeiro babilônico. Isso também está de acordo com o que se sabe sobre a natureza dos queneus.</w:t>
      </w:r>
      <w:r/>
      <w:r/>
    </w:p>
    <w:p>
      <w:r/>
    </w:p>
    <w:p>
      <w:pPr>
        <w:pStyle w:val="Heading2"/>
      </w:pPr>
      <w:r>
        <w:t>Quenezeus</w:t>
      </w:r>
      <w:r/>
    </w:p>
    <w:p>
      <w:r/>
      <w:r>
        <w:t>Um povo relacionado a Quenaz, neto de Esaú (</w:t>
      </w:r>
      <w:hyperlink r:id="rId15823">
        <w:r>
          <w:rPr>
            <w:color w:val="0000EE"/>
            <w:u w:val="single"/>
          </w:rPr>
          <w:t>Gn 36.11,15</w:t>
        </w:r>
      </w:hyperlink>
      <w:r>
        <w:t>). Os quenezeus eram de origem edomita e residiam ao sudeste de Judá, nas proximidades dos queneus. Acredita-se que pertenciam à população pré-israelita de Canaã (</w:t>
      </w:r>
      <w:hyperlink r:id="rId3976">
        <w:r>
          <w:rPr>
            <w:color w:val="0000EE"/>
            <w:u w:val="single"/>
          </w:rPr>
          <w:t>Gn 15.19</w:t>
        </w:r>
      </w:hyperlink>
      <w:r>
        <w:t xml:space="preserve">). Seu território deveria ser dado aos israelitas juntamente com o dos queneus, amorreus e cananeus (vv. </w:t>
      </w:r>
      <w:hyperlink r:id="rId17982">
        <w:r>
          <w:rPr>
            <w:color w:val="0000EE"/>
            <w:u w:val="single"/>
          </w:rPr>
          <w:t>19–21</w:t>
        </w:r>
      </w:hyperlink>
      <w:r>
        <w:t>).</w:t>
      </w:r>
    </w:p>
    <w:p>
      <w:r/>
      <w:r>
        <w:t>Em Números e Josué, Calebe, o espião fiel, é considerado como pertencente aos quenezeus (</w:t>
      </w:r>
      <w:hyperlink r:id="rId4039">
        <w:r>
          <w:rPr>
            <w:color w:val="0000EE"/>
            <w:u w:val="single"/>
          </w:rPr>
          <w:t>Nm 32.12</w:t>
        </w:r>
      </w:hyperlink>
      <w:r>
        <w:t xml:space="preserve">; </w:t>
      </w:r>
      <w:hyperlink r:id="rId17983">
        <w:r>
          <w:rPr>
            <w:color w:val="0000EE"/>
            <w:u w:val="single"/>
          </w:rPr>
          <w:t>Js 14.6,14</w:t>
        </w:r>
      </w:hyperlink>
      <w:r>
        <w:t xml:space="preserve">). De acordo com </w:t>
      </w:r>
      <w:hyperlink r:id="rId7753">
        <w:r>
          <w:rPr>
            <w:color w:val="0000EE"/>
            <w:u w:val="single"/>
          </w:rPr>
          <w:t>1 Crônicas 4.15</w:t>
        </w:r>
      </w:hyperlink>
      <w:r>
        <w:t>, a genealogia de Calebe é traçada até Judá (</w:t>
      </w:r>
      <w:hyperlink r:id="rId4264">
        <w:r>
          <w:rPr>
            <w:color w:val="0000EE"/>
            <w:u w:val="single"/>
          </w:rPr>
          <w:t>1Cr 4.1</w:t>
        </w:r>
      </w:hyperlink>
      <w:r>
        <w:t>). A relação de Calebe com os quenezeus não é muito clara. Calebe estabeleceu seu patrimônio em Quiriate-Sefer (</w:t>
      </w:r>
      <w:hyperlink r:id="rId17984">
        <w:r>
          <w:rPr>
            <w:color w:val="0000EE"/>
            <w:u w:val="single"/>
          </w:rPr>
          <w:t>Jz 1.11–13</w:t>
        </w:r>
      </w:hyperlink>
      <w:r>
        <w:t>), que está em Judá, mas também está situada perto do território dos quenezeus. A opinião crítica vê os quenezeus como não israelitas que ocuparam Hebrom, Debir e a região montanhosa mais ao sul do Neguebe e que foram politicamente incorporados a Judá.</w:t>
      </w:r>
      <w:r/>
      <w:r/>
    </w:p>
    <w:p>
      <w:r/>
    </w:p>
    <w:p>
      <w:pPr>
        <w:pStyle w:val="Heading2"/>
      </w:pPr>
      <w:r>
        <w:t>Queriote</w:t>
      </w:r>
      <w:r/>
    </w:p>
    <w:p>
      <w:pPr>
        <w:pStyle w:val="ListNumber"/>
        <w:spacing w:line="240" w:lineRule="auto"/>
        <w:ind w:left="720"/>
      </w:pPr>
      <w:r/>
      <w:r>
        <w:t>Uma cidade no Neguebe de Judá chamada Queriote-Hezrom (</w:t>
      </w:r>
      <w:hyperlink r:id="rId12355">
        <w:r>
          <w:rPr>
            <w:color w:val="0000EE"/>
            <w:u w:val="single"/>
          </w:rPr>
          <w:t>Js 15.25</w:t>
        </w:r>
      </w:hyperlink>
      <w:r>
        <w:t xml:space="preserve">). No texto hebraico, Queriote e Hezrom são entendidas como cidades separadas. Hezrom é provavelmente o mesmo lugar que Hazor mencionado anteriormente na lista (v. </w:t>
      </w:r>
      <w:hyperlink r:id="rId17985">
        <w:r>
          <w:rPr>
            <w:color w:val="0000EE"/>
            <w:u w:val="single"/>
          </w:rPr>
          <w:t>23</w:t>
        </w:r>
      </w:hyperlink>
      <w:r>
        <w:t>).</w:t>
      </w:r>
    </w:p>
    <w:p>
      <w:pPr>
        <w:pStyle w:val="ListNumber"/>
        <w:spacing w:line="240" w:lineRule="auto"/>
        <w:ind w:left="720"/>
      </w:pPr>
      <w:r/>
      <w:r>
        <w:t>Uma cidade em Moabe (</w:t>
      </w:r>
      <w:hyperlink r:id="rId17986">
        <w:r>
          <w:rPr>
            <w:color w:val="0000EE"/>
            <w:u w:val="single"/>
          </w:rPr>
          <w:t>Jr 48.24,41</w:t>
        </w:r>
      </w:hyperlink>
      <w:r>
        <w:t xml:space="preserve">; </w:t>
      </w:r>
      <w:hyperlink r:id="rId12354">
        <w:r>
          <w:rPr>
            <w:color w:val="0000EE"/>
            <w:u w:val="single"/>
          </w:rPr>
          <w:t>Am 2.2</w:t>
        </w:r>
      </w:hyperlink>
      <w:r>
        <w:t>). A partir de informações na Pedra Moabita (uma antiga pedra com inscrições), podemos localizar esta cidade no planalto sudoeste de Moabe, em frente a Atarote. Queriote não está na lista de cidades pertencentes às tribos de Rúben e Gade (</w:t>
      </w:r>
      <w:hyperlink r:id="rId7360">
        <w:r>
          <w:rPr>
            <w:color w:val="0000EE"/>
            <w:u w:val="single"/>
          </w:rPr>
          <w:t>Nm 34</w:t>
        </w:r>
      </w:hyperlink>
      <w:r>
        <w:t xml:space="preserve">; </w:t>
      </w:r>
      <w:hyperlink r:id="rId17987">
        <w:r>
          <w:rPr>
            <w:color w:val="0000EE"/>
            <w:u w:val="single"/>
          </w:rPr>
          <w:t>Js 13</w:t>
        </w:r>
      </w:hyperlink>
      <w:r>
        <w:t>). Em outras listas, Queriote não é mencionada, mas um lugar chamado Ar é (</w:t>
      </w:r>
      <w:hyperlink r:id="rId14680">
        <w:r>
          <w:rPr>
            <w:color w:val="0000EE"/>
            <w:u w:val="single"/>
          </w:rPr>
          <w:t>Is 15–16</w:t>
        </w:r>
      </w:hyperlink>
      <w:r>
        <w:t>). Isso levou estudiosos a acreditar que Ar e Queriote podem ser o mesmo lugar.</w:t>
      </w:r>
      <w:r/>
      <w:r/>
    </w:p>
    <w:p>
      <w:r/>
    </w:p>
    <w:p>
      <w:pPr>
        <w:pStyle w:val="Heading2"/>
      </w:pPr>
      <w:r>
        <w:t>Querubim, querubins</w:t>
      </w:r>
      <w:r/>
    </w:p>
    <w:p>
      <w:r/>
      <w:r>
        <w:t xml:space="preserve">Criaturas aladas mencionadas ocasionalmente nas Escrituras ("querubins" é a forma plural do hebraico "Querube"). Os querubins pertencem a uma ordem sobrenatural criada junto com os serafins e anjos. Alguns estudiosos argumentaram que o termo "Querube" teve sua origem no </w:t>
      </w:r>
      <w:r>
        <w:rPr>
          <w:i/>
        </w:rPr>
        <w:t>karibu</w:t>
      </w:r>
      <w:r>
        <w:t xml:space="preserve"> ("intercessor") dos textos mitológicos acadianos, comumente representado na arte mesopotâmica como um grifo (uma criatura metade leão e metade águia) ou como um humano alado. A esfinge também parece remontar a esse conceito. A evidência bíblica, no entanto, não parece apoiar essa identificação.</w:t>
      </w:r>
    </w:p>
    <w:p>
      <w:r/>
      <w:r>
        <w:t>O profeta Ezequiel descreveu quatro “criaturas viventes”, cada uma com quatro rostos e quatro asas (</w:t>
      </w:r>
      <w:hyperlink r:id="rId17988">
        <w:r>
          <w:rPr>
            <w:color w:val="0000EE"/>
            <w:u w:val="single"/>
          </w:rPr>
          <w:t>Ezequiel 1.5–24</w:t>
        </w:r>
      </w:hyperlink>
      <w:r>
        <w:t>); essas criaturas correspondiam aos querubins (</w:t>
      </w:r>
      <w:hyperlink r:id="rId17989">
        <w:r>
          <w:rPr>
            <w:color w:val="0000EE"/>
            <w:u w:val="single"/>
          </w:rPr>
          <w:t>10.2–22</w:t>
        </w:r>
      </w:hyperlink>
      <w:r>
        <w:t>). O esplendor da visão de Ezequiel foi recapturado de forma mais modesta em sua descrição do rei de Tiro, que no meio de sua própria prosperidade parecia estar desempenhando o papel de um querubim imponente ou guardião antes de ser despojado (</w:t>
      </w:r>
      <w:hyperlink r:id="rId17990">
        <w:r>
          <w:rPr>
            <w:color w:val="0000EE"/>
            <w:u w:val="single"/>
          </w:rPr>
          <w:t>28.13–16</w:t>
        </w:r>
      </w:hyperlink>
      <w:r>
        <w:t>). Essa passagem foi interpretada por alguns como uma descrição da “queda da graça” de Satanás depois de ele ter estado a serviço de Deus como um membro de alta patente de uma ordem celestial elevada.</w:t>
      </w:r>
    </w:p>
    <w:p>
      <w:r/>
      <w:r>
        <w:t xml:space="preserve">Apesar das descrições visionárias elaboradas de Ezequiel, é difícil ter certeza sobre a forma em que os querubins apareciam. Assim, em </w:t>
      </w:r>
      <w:hyperlink r:id="rId17991">
        <w:r>
          <w:rPr>
            <w:color w:val="0000EE"/>
            <w:u w:val="single"/>
          </w:rPr>
          <w:t>Ezequiel 41.18</w:t>
        </w:r>
      </w:hyperlink>
      <w:r>
        <w:t xml:space="preserve">, os querubins que deveriam decorar o templo ideal de Ezequiel tinham apenas duas faces, a de um homem e a de um leão jovem, em contraste com as criaturas de quatro faces das visões anteriores. As quatro faces de </w:t>
      </w:r>
      <w:hyperlink r:id="rId12732">
        <w:r>
          <w:rPr>
            <w:color w:val="0000EE"/>
            <w:u w:val="single"/>
          </w:rPr>
          <w:t>Ezequiel 1.10</w:t>
        </w:r>
      </w:hyperlink>
      <w:r>
        <w:t xml:space="preserve"> eram as de um homem, um leão, um boi e uma águia, enquanto em </w:t>
      </w:r>
      <w:hyperlink r:id="rId17992">
        <w:r>
          <w:rPr>
            <w:color w:val="0000EE"/>
            <w:u w:val="single"/>
          </w:rPr>
          <w:t>Ezequiel 10.14</w:t>
        </w:r>
      </w:hyperlink>
      <w:r>
        <w:t xml:space="preserve"> o querubim tinha sua própria face (“a face do querubim”), junto com as faces de um homem, um leão e uma águia. Se a face do querubim correspondia à de um boi, isso poderia explicar o fato de que querubins na arte do Oriente Próximo eram representados como criaturas de quatro patas, embora frequentemente diferentes dos querubins bíblicos. Além de suas asas, os querubins da visão de Ezequiel tinham pernas retas e pés com cascos como os de um bezerro (</w:t>
      </w:r>
      <w:hyperlink r:id="rId17993">
        <w:r>
          <w:rPr>
            <w:color w:val="0000EE"/>
            <w:u w:val="single"/>
          </w:rPr>
          <w:t>Ezequiel 1.7</w:t>
        </w:r>
      </w:hyperlink>
      <w:r>
        <w:t>).</w:t>
      </w:r>
    </w:p>
    <w:p>
      <w:r/>
      <w:r>
        <w:t>Essa descrição complexa levou estudiosos a tentar identificar querubins nas estátuas e esculturas de povos não-israelitas. O trono de Airão, rei de Biblos, era ladeado por esfinges, que alguns julgaram ser querubins. A esfinge, no entanto, parece ter sido um motivo decorativo popular, como evidenciado por uma caixa de marfim de Megido e marfins de Samaria, Nimrud e outros lugares. Outras criaturas decorativas têm várias combinações de corpos humanos e animais, com asas geralmente proeminentes. Nenhuma delas representa adequadamente as descrições dos querubins no AT.</w:t>
      </w:r>
    </w:p>
    <w:p>
      <w:r/>
      <w:r>
        <w:t>Os quatro seres viventes do livro de Apocalipse eram semelhantes aos querubins de Ezequiel, mas não tinham suas rodas giratórias (</w:t>
      </w:r>
      <w:hyperlink r:id="rId17994">
        <w:r>
          <w:rPr>
            <w:color w:val="0000EE"/>
            <w:u w:val="single"/>
          </w:rPr>
          <w:t>Apocalipse 4.6–9</w:t>
        </w:r>
      </w:hyperlink>
      <w:r>
        <w:t>). Referências subsequentes aos seres em Apocalipse (</w:t>
      </w:r>
      <w:hyperlink r:id="rId17995">
        <w:r>
          <w:rPr>
            <w:color w:val="0000EE"/>
            <w:u w:val="single"/>
          </w:rPr>
          <w:t>5.6–14</w:t>
        </w:r>
      </w:hyperlink>
      <w:r>
        <w:t xml:space="preserve">; </w:t>
      </w:r>
      <w:hyperlink r:id="rId17996">
        <w:r>
          <w:rPr>
            <w:color w:val="0000EE"/>
            <w:u w:val="single"/>
          </w:rPr>
          <w:t>6.1–8</w:t>
        </w:r>
      </w:hyperlink>
      <w:r>
        <w:t xml:space="preserve">; </w:t>
      </w:r>
      <w:hyperlink r:id="rId17997">
        <w:r>
          <w:rPr>
            <w:color w:val="0000EE"/>
            <w:u w:val="single"/>
          </w:rPr>
          <w:t>7.1–11</w:t>
        </w:r>
      </w:hyperlink>
      <w:r>
        <w:t xml:space="preserve">; </w:t>
      </w:r>
      <w:hyperlink r:id="rId17998">
        <w:r>
          <w:rPr>
            <w:color w:val="0000EE"/>
            <w:u w:val="single"/>
          </w:rPr>
          <w:t>14.3</w:t>
        </w:r>
      </w:hyperlink>
      <w:r>
        <w:t xml:space="preserve">; </w:t>
      </w:r>
      <w:hyperlink r:id="rId17999">
        <w:r>
          <w:rPr>
            <w:color w:val="0000EE"/>
            <w:u w:val="single"/>
          </w:rPr>
          <w:t>15.7</w:t>
        </w:r>
      </w:hyperlink>
      <w:r>
        <w:t xml:space="preserve">; </w:t>
      </w:r>
      <w:hyperlink r:id="rId18000">
        <w:r>
          <w:rPr>
            <w:color w:val="0000EE"/>
            <w:u w:val="single"/>
          </w:rPr>
          <w:t>19.4</w:t>
        </w:r>
      </w:hyperlink>
      <w:r>
        <w:t>) não acrescentam nada à descrição inicial.</w:t>
      </w:r>
    </w:p>
    <w:p>
      <w:r/>
      <w:r>
        <w:t xml:space="preserve">Os querubins de </w:t>
      </w:r>
      <w:hyperlink r:id="rId1902">
        <w:r>
          <w:rPr>
            <w:color w:val="0000EE"/>
            <w:u w:val="single"/>
          </w:rPr>
          <w:t>Gênesis 3.24</w:t>
        </w:r>
      </w:hyperlink>
      <w:r>
        <w:t xml:space="preserve"> atuavam como guardiões ou custodios. Guardiões sobrenaturais parecem ter sido comuns no pensamento do Oriente Próximo. Em </w:t>
      </w:r>
      <w:hyperlink r:id="rId8948">
        <w:r>
          <w:rPr>
            <w:color w:val="0000EE"/>
            <w:u w:val="single"/>
          </w:rPr>
          <w:t>Ezequiel 10</w:t>
        </w:r>
      </w:hyperlink>
      <w:r>
        <w:t>, os querubins também eram executores do julgamento divino, espalhando brasas sobre uma cidade (</w:t>
      </w:r>
      <w:hyperlink r:id="rId18001">
        <w:r>
          <w:rPr>
            <w:color w:val="0000EE"/>
            <w:u w:val="single"/>
          </w:rPr>
          <w:t>Ezequiel 10.2,7</w:t>
        </w:r>
      </w:hyperlink>
      <w:r>
        <w:t>).</w:t>
      </w:r>
    </w:p>
    <w:p>
      <w:r/>
      <w:r>
        <w:t>No pensamento israelita inicial, os querubins estendiam suas asas e forneciam a Deus um trono (</w:t>
      </w:r>
      <w:hyperlink r:id="rId2765">
        <w:r>
          <w:rPr>
            <w:color w:val="0000EE"/>
            <w:u w:val="single"/>
          </w:rPr>
          <w:t>1 Samuel 4.4</w:t>
        </w:r>
      </w:hyperlink>
      <w:r>
        <w:t xml:space="preserve">; </w:t>
      </w:r>
      <w:hyperlink r:id="rId2766">
        <w:r>
          <w:rPr>
            <w:color w:val="0000EE"/>
            <w:u w:val="single"/>
          </w:rPr>
          <w:t>2 Samuel 6.2</w:t>
        </w:r>
      </w:hyperlink>
      <w:r>
        <w:t>; etc.). Deus falou a Moisés de tal trono sobre a tampa da Arca da Aliança (</w:t>
      </w:r>
      <w:hyperlink r:id="rId2764">
        <w:r>
          <w:rPr>
            <w:color w:val="0000EE"/>
            <w:u w:val="single"/>
          </w:rPr>
          <w:t>Êxodo 25.22</w:t>
        </w:r>
      </w:hyperlink>
      <w:r>
        <w:t>). Na visão de Ezequiel (</w:t>
      </w:r>
      <w:hyperlink r:id="rId16653">
        <w:r>
          <w:rPr>
            <w:color w:val="0000EE"/>
            <w:u w:val="single"/>
          </w:rPr>
          <w:t>Ezequiel 1.26</w:t>
        </w:r>
      </w:hyperlink>
      <w:r>
        <w:t xml:space="preserve">; </w:t>
      </w:r>
      <w:hyperlink r:id="rId9583">
        <w:r>
          <w:rPr>
            <w:color w:val="0000EE"/>
            <w:u w:val="single"/>
          </w:rPr>
          <w:t>10.1</w:t>
        </w:r>
      </w:hyperlink>
      <w:r>
        <w:t>), Deus estava sentado em um carro de quatro rodas movido pelos querubins e elevado por suas asas. Na poesia hebraica, Deus era retratado como usando nuvens para seu carro (</w:t>
      </w:r>
      <w:hyperlink r:id="rId18002">
        <w:r>
          <w:rPr>
            <w:color w:val="0000EE"/>
            <w:u w:val="single"/>
          </w:rPr>
          <w:t>Salmo 104.3</w:t>
        </w:r>
      </w:hyperlink>
      <w:r>
        <w:t xml:space="preserve">; cf. </w:t>
      </w:r>
      <w:hyperlink r:id="rId15866">
        <w:r>
          <w:rPr>
            <w:color w:val="0000EE"/>
            <w:u w:val="single"/>
          </w:rPr>
          <w:t>Isaías 19.1</w:t>
        </w:r>
      </w:hyperlink>
      <w:r>
        <w:t>) ou cavalgando em umquerubim em voo (</w:t>
      </w:r>
      <w:hyperlink r:id="rId18003">
        <w:r>
          <w:rPr>
            <w:color w:val="0000EE"/>
            <w:u w:val="single"/>
          </w:rPr>
          <w:t>2 Samuel 22.11</w:t>
        </w:r>
      </w:hyperlink>
      <w:r>
        <w:t xml:space="preserve">; </w:t>
      </w:r>
      <w:hyperlink r:id="rId18004">
        <w:r>
          <w:rPr>
            <w:color w:val="0000EE"/>
            <w:u w:val="single"/>
          </w:rPr>
          <w:t>Salmo 18.10</w:t>
        </w:r>
      </w:hyperlink>
      <w:r>
        <w:t>). A ideia de querubins fornecendo um assento ou plataforma para a divindade invisível encontrou expressão na arte do Oriente Próximo, onde os deuses pagãos estavam sobre as costas de animais.</w:t>
      </w:r>
    </w:p>
    <w:p>
      <w:r/>
      <w:r>
        <w:t>Em Israel, querubins foram esculpidos na arca da aliança (</w:t>
      </w:r>
      <w:hyperlink r:id="rId18005">
        <w:r>
          <w:rPr>
            <w:color w:val="0000EE"/>
            <w:u w:val="single"/>
          </w:rPr>
          <w:t>Êxodo 25.18–20</w:t>
        </w:r>
      </w:hyperlink>
      <w:r>
        <w:t xml:space="preserve">; </w:t>
      </w:r>
      <w:hyperlink r:id="rId18006">
        <w:r>
          <w:rPr>
            <w:color w:val="0000EE"/>
            <w:u w:val="single"/>
          </w:rPr>
          <w:t>37.7–9</w:t>
        </w:r>
      </w:hyperlink>
      <w:r>
        <w:t>), e representações deles também foram bordadas nas cortinas do tabernáculo e no véu que protegia o santuário mais interno onde a arca repousava.</w:t>
      </w:r>
    </w:p>
    <w:p>
      <w:r/>
      <w:r>
        <w:t>O Lugar Santíssimo do templo de Salomão foi adornado por duas grandes representações de querubins, feitas de madeira de oliveira e cobertas com folha de ouro. Quando colocadas lado a lado com asas estendidas, elas abrangiam toda a largura do santuário interno. Querubins menores e palmeiras foram esculpidos nos painéis de madeira do templo e em algumas das portas, e também foram representados nos lados dos suportes da bacia (</w:t>
      </w:r>
      <w:hyperlink r:id="rId18007">
        <w:r>
          <w:rPr>
            <w:color w:val="0000EE"/>
            <w:u w:val="single"/>
          </w:rPr>
          <w:t>1 Reis 7.29,36</w:t>
        </w:r>
      </w:hyperlink>
      <w:r>
        <w:t>). Querubins alternando com palmeiras faziam parte da decoração do templo visionário de Ezequiel (</w:t>
      </w:r>
      <w:hyperlink r:id="rId18008">
        <w:r>
          <w:rPr>
            <w:color w:val="0000EE"/>
            <w:u w:val="single"/>
          </w:rPr>
          <w:t>Ezequiel 41.17–20</w:t>
        </w:r>
      </w:hyperlink>
      <w:r>
        <w:t>).</w:t>
      </w:r>
    </w:p>
    <w:p>
      <w:r/>
      <w:r>
        <w:rPr>
          <w:i/>
        </w:rPr>
        <w:t>Veja também</w:t>
      </w:r>
      <w:r>
        <w:t xml:space="preserve"> </w:t>
      </w:r>
      <w:r>
        <w:t>Anjo</w:t>
      </w:r>
      <w:r>
        <w:t xml:space="preserve">; </w:t>
      </w:r>
      <w:r>
        <w:t>Serafim, Serafins</w:t>
      </w:r>
      <w:r>
        <w:t>.</w:t>
      </w:r>
      <w:r/>
      <w:r/>
    </w:p>
    <w:p>
      <w:r/>
    </w:p>
    <w:p>
      <w:pPr>
        <w:pStyle w:val="Heading2"/>
      </w:pPr>
      <w:r>
        <w:t>Quesede</w:t>
      </w:r>
      <w:r/>
    </w:p>
    <w:p>
      <w:r/>
      <w:r>
        <w:t>Um filho de Milca e Naor (</w:t>
      </w:r>
      <w:hyperlink r:id="rId10370">
        <w:r>
          <w:rPr>
            <w:color w:val="0000EE"/>
            <w:u w:val="single"/>
          </w:rPr>
          <w:t>Gn 22.22</w:t>
        </w:r>
      </w:hyperlink>
      <w:r>
        <w:t>). Naor era irmão do patriarca Abraão.</w:t>
      </w:r>
      <w:r/>
      <w:r/>
    </w:p>
    <w:p>
      <w:r/>
    </w:p>
    <w:p>
      <w:pPr>
        <w:pStyle w:val="Heading2"/>
      </w:pPr>
      <w:r>
        <w:t>Quesitá</w:t>
      </w:r>
      <w:r/>
    </w:p>
    <w:p>
      <w:r/>
      <w:r>
        <w:t>Peso de valor desconhecido (</w:t>
      </w:r>
      <w:hyperlink r:id="rId7167">
        <w:r>
          <w:rPr>
            <w:color w:val="0000EE"/>
            <w:u w:val="single"/>
          </w:rPr>
          <w:t>Gn 33.19</w:t>
        </w:r>
      </w:hyperlink>
      <w:r>
        <w:t xml:space="preserve">; </w:t>
      </w:r>
      <w:hyperlink r:id="rId7168">
        <w:r>
          <w:rPr>
            <w:color w:val="0000EE"/>
            <w:u w:val="single"/>
          </w:rPr>
          <w:t>Js 24.32</w:t>
        </w:r>
      </w:hyperlink>
      <w:r>
        <w:t xml:space="preserve">; </w:t>
      </w:r>
      <w:hyperlink r:id="rId7169">
        <w:r>
          <w:rPr>
            <w:color w:val="0000EE"/>
            <w:u w:val="single"/>
          </w:rPr>
          <w:t>Jó 42.11</w:t>
        </w:r>
      </w:hyperlink>
      <w:r>
        <w:t xml:space="preserve">, NTLH). </w:t>
      </w:r>
      <w:r>
        <w:rPr>
          <w:i/>
        </w:rPr>
        <w:t>Veja</w:t>
      </w:r>
      <w:r>
        <w:t xml:space="preserve"> </w:t>
      </w:r>
      <w:r>
        <w:t>Dinheiro</w:t>
      </w:r>
      <w:r>
        <w:t>.</w:t>
      </w:r>
      <w:r/>
      <w:r/>
    </w:p>
    <w:p>
      <w:r/>
    </w:p>
    <w:p>
      <w:pPr>
        <w:pStyle w:val="Heading2"/>
      </w:pPr>
      <w:r>
        <w:t>Quetura</w:t>
      </w:r>
      <w:r/>
    </w:p>
    <w:p>
      <w:r/>
      <w:r>
        <w:t>Segunda esposa de Abraão. Não está claro se ele se casou com ela antes ou depois da morte de Sara (</w:t>
      </w:r>
      <w:hyperlink r:id="rId18009">
        <w:r>
          <w:rPr>
            <w:color w:val="0000EE"/>
            <w:u w:val="single"/>
          </w:rPr>
          <w:t>Gn 25.1</w:t>
        </w:r>
      </w:hyperlink>
      <w:r>
        <w:t xml:space="preserve">). Ele teve seis filhos com ela: Zinrã, Jocsã, Medã, Midiã, Isbaque e Sua (v. </w:t>
      </w:r>
      <w:hyperlink r:id="rId11386">
        <w:r>
          <w:rPr>
            <w:color w:val="0000EE"/>
            <w:u w:val="single"/>
          </w:rPr>
          <w:t>2</w:t>
        </w:r>
      </w:hyperlink>
      <w:r>
        <w:t>). O status de Quetura não era o mesmo que o de Sara. Ela é chamada de concubina (</w:t>
      </w:r>
      <w:hyperlink r:id="rId3977">
        <w:r>
          <w:rPr>
            <w:color w:val="0000EE"/>
            <w:u w:val="single"/>
          </w:rPr>
          <w:t>Gn 25.6</w:t>
        </w:r>
      </w:hyperlink>
      <w:r>
        <w:t xml:space="preserve">, cf. </w:t>
      </w:r>
      <w:hyperlink r:id="rId5351">
        <w:r>
          <w:rPr>
            <w:color w:val="0000EE"/>
            <w:u w:val="single"/>
          </w:rPr>
          <w:t>1Cr 1.32</w:t>
        </w:r>
      </w:hyperlink>
      <w:r>
        <w:t>), e seus filhos receberam presentes em vez de uma parte na herança. Os filhos de Quetura foram os ancestrais de tribos com as quais Israel entrou em contato após a Conquista, especialmente os filhos de Midiã e Jocsã, Seba e Dedã (</w:t>
      </w:r>
      <w:hyperlink r:id="rId2792">
        <w:r>
          <w:rPr>
            <w:color w:val="0000EE"/>
            <w:u w:val="single"/>
          </w:rPr>
          <w:t>Gn 25.3</w:t>
        </w:r>
      </w:hyperlink>
      <w:r>
        <w:t xml:space="preserve">). Pelo que se pode determinar, as tribos se estabeleceram nas regiões norte e central do norte do Eufrates, até as seções centrais do Deserto Arábico. Eles eram comerciantes (cap. </w:t>
      </w:r>
      <w:hyperlink r:id="rId7497">
        <w:r>
          <w:rPr>
            <w:color w:val="0000EE"/>
            <w:u w:val="single"/>
          </w:rPr>
          <w:t>37</w:t>
        </w:r>
      </w:hyperlink>
      <w:r>
        <w:t>) e pastores (</w:t>
      </w:r>
      <w:hyperlink r:id="rId11874">
        <w:r>
          <w:rPr>
            <w:color w:val="0000EE"/>
            <w:u w:val="single"/>
          </w:rPr>
          <w:t>Êx 2.16</w:t>
        </w:r>
      </w:hyperlink>
      <w:r>
        <w:t>). Estavam envolvidos no comércio internacional (</w:t>
      </w:r>
      <w:hyperlink r:id="rId7614">
        <w:r>
          <w:rPr>
            <w:color w:val="0000EE"/>
            <w:u w:val="single"/>
          </w:rPr>
          <w:t>Is 60.6</w:t>
        </w:r>
      </w:hyperlink>
      <w:r>
        <w:t>). Por exemplo, a Rainha de Sabá, uma descendente de Jocsã (</w:t>
      </w:r>
      <w:hyperlink r:id="rId2792">
        <w:r>
          <w:rPr>
            <w:color w:val="0000EE"/>
            <w:u w:val="single"/>
          </w:rPr>
          <w:t>Gn 25.3</w:t>
        </w:r>
      </w:hyperlink>
      <w:r>
        <w:t>), veio a Salomão para iniciar relações comerciais (</w:t>
      </w:r>
      <w:hyperlink r:id="rId4255">
        <w:r>
          <w:rPr>
            <w:color w:val="0000EE"/>
            <w:u w:val="single"/>
          </w:rPr>
          <w:t>1Rs 10.2</w:t>
        </w:r>
      </w:hyperlink>
      <w:r>
        <w:t>).</w:t>
      </w:r>
    </w:p>
    <w:p>
      <w:r/>
      <w:r>
        <w:rPr>
          <w:i/>
        </w:rPr>
        <w:t>Veja também</w:t>
      </w:r>
      <w:r>
        <w:t xml:space="preserve"> </w:t>
      </w:r>
      <w:r>
        <w:t>Abraão</w:t>
      </w:r>
      <w:r>
        <w:t>.</w:t>
      </w:r>
      <w:r/>
      <w:r/>
    </w:p>
    <w:p>
      <w:r/>
    </w:p>
    <w:p>
      <w:pPr>
        <w:pStyle w:val="Heading2"/>
      </w:pPr>
      <w:r>
        <w:t>Quezibe</w:t>
      </w:r>
      <w:r/>
    </w:p>
    <w:p>
      <w:r/>
      <w:r>
        <w:t>Uma cidade no território de Judá (</w:t>
      </w:r>
      <w:hyperlink r:id="rId285">
        <w:r>
          <w:rPr>
            <w:color w:val="0000EE"/>
            <w:u w:val="single"/>
          </w:rPr>
          <w:t>Gênesis 38.5</w:t>
        </w:r>
      </w:hyperlink>
      <w:r>
        <w:t>).</w:t>
      </w:r>
    </w:p>
    <w:p>
      <w:r/>
      <w:r/>
      <w:r/>
    </w:p>
    <w:p>
      <w:r/>
    </w:p>
    <w:p>
      <w:pPr>
        <w:pStyle w:val="Heading2"/>
      </w:pPr>
      <w:r>
        <w:t>Quibrote-Hataavá</w:t>
      </w:r>
      <w:r/>
    </w:p>
    <w:p>
      <w:r/>
      <w:r>
        <w:t>Local no deserto onde os israelitas que morreram pela praga por desejarem carne do Egito foram enterrados (</w:t>
      </w:r>
      <w:hyperlink r:id="rId18010">
        <w:r>
          <w:rPr>
            <w:color w:val="0000EE"/>
            <w:u w:val="single"/>
          </w:rPr>
          <w:t>Nm 11.34–35</w:t>
        </w:r>
      </w:hyperlink>
      <w:r>
        <w:t xml:space="preserve">; </w:t>
      </w:r>
      <w:hyperlink r:id="rId18011">
        <w:r>
          <w:rPr>
            <w:color w:val="0000EE"/>
            <w:u w:val="single"/>
          </w:rPr>
          <w:t>33.16–17</w:t>
        </w:r>
      </w:hyperlink>
      <w:r>
        <w:t xml:space="preserve">; </w:t>
      </w:r>
      <w:hyperlink r:id="rId13973">
        <w:r>
          <w:rPr>
            <w:color w:val="0000EE"/>
            <w:u w:val="single"/>
          </w:rPr>
          <w:t>Dt 9.22</w:t>
        </w:r>
      </w:hyperlink>
      <w:r>
        <w:t>). Estava situada entre o Monte Sinai e Hazerote, mas sua localização exata é desconhecida. O nome, que significa "túmulos do desejo", está de acordo com o relato das codornizes.</w:t>
      </w:r>
    </w:p>
    <w:p>
      <w:r/>
      <w:r>
        <w:rPr>
          <w:i/>
        </w:rPr>
        <w:t>Veja também</w:t>
      </w:r>
      <w:r>
        <w:t xml:space="preserve"> </w:t>
      </w:r>
      <w:r>
        <w:t>Peregrinações no deserto</w:t>
      </w:r>
      <w:r>
        <w:t>.</w:t>
      </w:r>
      <w:r/>
      <w:r/>
    </w:p>
    <w:p>
      <w:r/>
    </w:p>
    <w:p>
      <w:pPr>
        <w:pStyle w:val="Heading2"/>
      </w:pPr>
      <w:r>
        <w:t>Quinerete</w:t>
      </w:r>
      <w:r/>
    </w:p>
    <w:p>
      <w:pPr>
        <w:pStyle w:val="ListNumber"/>
        <w:spacing w:line="240" w:lineRule="auto"/>
        <w:ind w:left="720"/>
      </w:pPr>
      <w:r/>
      <w:r>
        <w:t>Uma cidade fortificada no território dado à tribo de Naftali (</w:t>
      </w:r>
      <w:hyperlink r:id="rId4854">
        <w:r>
          <w:rPr>
            <w:color w:val="0000EE"/>
            <w:u w:val="single"/>
          </w:rPr>
          <w:t>Js 19.35</w:t>
        </w:r>
      </w:hyperlink>
      <w:r>
        <w:t>). Também é mencionada em uma lista egípcia de cidades conquistadas por Tutemés III no século XV a.C. O local foi identificado como Tell el-’Oreimeh na margem noroeste do mar da Galileia. Evidências arqueológicas sugerem que o local foi habitado de 2000 a 900 a.C.</w:t>
      </w:r>
    </w:p>
    <w:p>
      <w:pPr>
        <w:pStyle w:val="ListNumber"/>
        <w:spacing w:line="240" w:lineRule="auto"/>
        <w:ind w:left="720"/>
      </w:pPr>
      <w:r/>
      <w:r>
        <w:t>Um distrito no território de Naftali que incluía o #1 acima. Ben-Hadade, rei da Síria, conquistou-o no início do século IX a.C., durante o reinado de Baasa, rei do norte de Israel (</w:t>
      </w:r>
      <w:hyperlink r:id="rId9727">
        <w:r>
          <w:rPr>
            <w:color w:val="0000EE"/>
            <w:u w:val="single"/>
          </w:rPr>
          <w:t>1Rs 15.20</w:t>
        </w:r>
      </w:hyperlink>
      <w:r>
        <w:t>).</w:t>
      </w:r>
    </w:p>
    <w:p>
      <w:pPr>
        <w:pStyle w:val="ListNumber"/>
        <w:spacing w:line="240" w:lineRule="auto"/>
        <w:ind w:left="720"/>
      </w:pPr>
      <w:r/>
      <w:r>
        <w:t>Um nome antigo para o mar da Galileia (</w:t>
      </w:r>
      <w:hyperlink r:id="rId639">
        <w:r>
          <w:rPr>
            <w:color w:val="0000EE"/>
            <w:u w:val="single"/>
          </w:rPr>
          <w:t>Nm 34.11</w:t>
        </w:r>
      </w:hyperlink>
      <w:r>
        <w:t xml:space="preserve">; </w:t>
      </w:r>
      <w:hyperlink r:id="rId2316">
        <w:r>
          <w:rPr>
            <w:color w:val="0000EE"/>
            <w:u w:val="single"/>
          </w:rPr>
          <w:t>Dt 3.17</w:t>
        </w:r>
      </w:hyperlink>
      <w:r>
        <w:t xml:space="preserve">; </w:t>
      </w:r>
      <w:hyperlink r:id="rId2318">
        <w:r>
          <w:rPr>
            <w:color w:val="0000EE"/>
            <w:u w:val="single"/>
          </w:rPr>
          <w:t>Js 11.2</w:t>
        </w:r>
      </w:hyperlink>
      <w:r>
        <w:t xml:space="preserve">; </w:t>
      </w:r>
      <w:hyperlink r:id="rId2705">
        <w:r>
          <w:rPr>
            <w:color w:val="0000EE"/>
            <w:u w:val="single"/>
          </w:rPr>
          <w:t>12.3</w:t>
        </w:r>
      </w:hyperlink>
      <w:r>
        <w:t xml:space="preserve">; </w:t>
      </w:r>
      <w:hyperlink r:id="rId3474">
        <w:r>
          <w:rPr>
            <w:color w:val="0000EE"/>
            <w:u w:val="single"/>
          </w:rPr>
          <w:t>13.27</w:t>
        </w:r>
      </w:hyperlink>
      <w:r>
        <w:t>). É difícil dizer se a cidade (veja #1 acima) foi nomeada após o mar ou vice-versa. O nome significa "liras". Pode se referir ao mar da Galileia. O mar tem uma forma um pouco semelhante a uma lira (um instrumento musical semelhante a uma harpa). Nos tempos do Novo Testamento, foi acidentalmente alterado para Genesaré (</w:t>
      </w:r>
      <w:hyperlink r:id="rId9888">
        <w:r>
          <w:rPr>
            <w:color w:val="0000EE"/>
            <w:u w:val="single"/>
          </w:rPr>
          <w:t>Lc 5.1</w:t>
        </w:r>
      </w:hyperlink>
      <w:r>
        <w:t>).</w:t>
      </w:r>
    </w:p>
    <w:p>
      <w:r/>
      <w:r>
        <w:rPr>
          <w:i/>
        </w:rPr>
        <w:t>Veja</w:t>
      </w:r>
      <w:r>
        <w:t xml:space="preserve"> </w:t>
      </w:r>
      <w:r>
        <w:t>O mar da Galileia</w:t>
      </w:r>
      <w:r>
        <w:t>.</w:t>
      </w:r>
      <w:r/>
      <w:r/>
    </w:p>
    <w:p>
      <w:r/>
    </w:p>
    <w:p>
      <w:pPr>
        <w:pStyle w:val="Heading2"/>
      </w:pPr>
      <w:r>
        <w:t>Quiriataim</w:t>
      </w:r>
      <w:r/>
    </w:p>
    <w:p>
      <w:r/>
      <w:r>
        <w:t>1. Cidade no planalto moabita, mencionada na marcha dos quatro reis contra os cinco (</w:t>
      </w:r>
      <w:hyperlink r:id="rId1114">
        <w:r>
          <w:rPr>
            <w:color w:val="0000EE"/>
            <w:u w:val="single"/>
          </w:rPr>
          <w:t>Gn 14.5</w:t>
        </w:r>
      </w:hyperlink>
      <w:r>
        <w:t>), onde os habitantes locais emins foram atacados. Foi tomada pelos israelitas de Seom (</w:t>
      </w:r>
      <w:hyperlink r:id="rId10625">
        <w:r>
          <w:rPr>
            <w:color w:val="0000EE"/>
            <w:u w:val="single"/>
          </w:rPr>
          <w:t>Nm 32.37</w:t>
        </w:r>
      </w:hyperlink>
      <w:r>
        <w:t>) e incluída na herança de Rúben (</w:t>
      </w:r>
      <w:hyperlink r:id="rId18012">
        <w:r>
          <w:rPr>
            <w:color w:val="0000EE"/>
            <w:u w:val="single"/>
          </w:rPr>
          <w:t>Js 13.19</w:t>
        </w:r>
      </w:hyperlink>
      <w:r>
        <w:t>). A Pedra Moabita registra que Seom fortificou o local após ganhar o controle do planalto; no século VII a.C., ainda estava sob controle moabita (</w:t>
      </w:r>
      <w:hyperlink r:id="rId18013">
        <w:r>
          <w:rPr>
            <w:color w:val="0000EE"/>
            <w:u w:val="single"/>
          </w:rPr>
          <w:t>Jr 48.1,23</w:t>
        </w:r>
      </w:hyperlink>
      <w:r>
        <w:t xml:space="preserve">; </w:t>
      </w:r>
      <w:hyperlink r:id="rId2948">
        <w:r>
          <w:rPr>
            <w:color w:val="0000EE"/>
            <w:u w:val="single"/>
          </w:rPr>
          <w:t>Ez 25.9</w:t>
        </w:r>
      </w:hyperlink>
      <w:r>
        <w:t>). Eusébio a colocou a 14,8 quilômetros a oeste de Medeba. Duas identificações foram propostas — ou Khirbet el-Qureiyeh ou Qaryat el-Mukhaiyet, 9,7 quilômetros a noroeste e 4,8 quilômetros a noroeste de Medeba, respectivamente.</w:t>
      </w:r>
    </w:p>
    <w:p>
      <w:r/>
      <w:r>
        <w:t>2. Cidade levítica no território de Naftali (</w:t>
      </w:r>
      <w:hyperlink r:id="rId9718">
        <w:r>
          <w:rPr>
            <w:color w:val="0000EE"/>
            <w:u w:val="single"/>
          </w:rPr>
          <w:t>1Cr 6.76</w:t>
        </w:r>
      </w:hyperlink>
      <w:r>
        <w:t xml:space="preserve">), chamada Cartã em </w:t>
      </w:r>
      <w:hyperlink r:id="rId9717">
        <w:r>
          <w:rPr>
            <w:color w:val="0000EE"/>
            <w:u w:val="single"/>
          </w:rPr>
          <w:t>Josué 21.32</w:t>
        </w:r>
      </w:hyperlink>
      <w:r>
        <w:t>; este último é provavelmente uma variante dialetal. A identificação sugerida é com Khirbet el-Qurieyeh, a nordeste de ‘Ain Ibl no sul do Líbano.</w:t>
      </w:r>
    </w:p>
    <w:p>
      <w:r/>
      <w:r>
        <w:rPr>
          <w:i/>
        </w:rPr>
        <w:t>Veja também</w:t>
      </w:r>
      <w:r>
        <w:t xml:space="preserve"> </w:t>
      </w:r>
      <w:r>
        <w:t>Cidades levíticas</w:t>
      </w:r>
      <w:r>
        <w:t>.</w:t>
      </w:r>
      <w:r/>
      <w:r/>
    </w:p>
    <w:p>
      <w:r/>
    </w:p>
    <w:p>
      <w:pPr>
        <w:pStyle w:val="Heading2"/>
      </w:pPr>
      <w:r>
        <w:t>Quiriate-Arba</w:t>
      </w:r>
      <w:r/>
    </w:p>
    <w:p>
      <w:r/>
      <w:r>
        <w:t>Um antigo nome de Hebrom. Estava perto da caverna de Macpela, o local de sepultamento dos patriarcas (</w:t>
      </w:r>
      <w:hyperlink r:id="rId10478">
        <w:r>
          <w:rPr>
            <w:color w:val="0000EE"/>
            <w:u w:val="single"/>
          </w:rPr>
          <w:t>Gn 23.2</w:t>
        </w:r>
      </w:hyperlink>
      <w:r>
        <w:t xml:space="preserve">; </w:t>
      </w:r>
      <w:hyperlink r:id="rId321">
        <w:r>
          <w:rPr>
            <w:color w:val="0000EE"/>
            <w:u w:val="single"/>
          </w:rPr>
          <w:t>Js 14.15</w:t>
        </w:r>
      </w:hyperlink>
      <w:r>
        <w:t xml:space="preserve">; </w:t>
      </w:r>
      <w:hyperlink r:id="rId646">
        <w:r>
          <w:rPr>
            <w:color w:val="0000EE"/>
            <w:u w:val="single"/>
          </w:rPr>
          <w:t>Jz 1.10</w:t>
        </w:r>
      </w:hyperlink>
      <w:r>
        <w:t>).</w:t>
      </w:r>
    </w:p>
    <w:p>
      <w:r/>
      <w:r>
        <w:rPr>
          <w:i/>
        </w:rPr>
        <w:t>Veja</w:t>
      </w:r>
      <w:r>
        <w:t xml:space="preserve"> </w:t>
      </w:r>
      <w:r>
        <w:t>Hebrom (Lugar) #1</w:t>
      </w:r>
      <w:r>
        <w:t>.</w:t>
      </w:r>
      <w:r/>
      <w:r/>
    </w:p>
    <w:p>
      <w:r/>
    </w:p>
    <w:p>
      <w:pPr>
        <w:pStyle w:val="Heading2"/>
      </w:pPr>
      <w:r>
        <w:t>Quiriate-Huzote</w:t>
      </w:r>
      <w:r/>
    </w:p>
    <w:p>
      <w:r/>
      <w:r>
        <w:t>Uma cidade em Moabe. Balaque e Balaão foram lá antes de irem para Bamote-Baal (</w:t>
      </w:r>
      <w:hyperlink r:id="rId10824">
        <w:r>
          <w:rPr>
            <w:color w:val="0000EE"/>
            <w:u w:val="single"/>
          </w:rPr>
          <w:t>Nm 22.39</w:t>
        </w:r>
      </w:hyperlink>
      <w:r>
        <w:t>).</w:t>
      </w:r>
      <w:r/>
      <w:r/>
    </w:p>
    <w:p>
      <w:r/>
    </w:p>
    <w:p>
      <w:pPr>
        <w:pStyle w:val="Heading2"/>
      </w:pPr>
      <w:r>
        <w:t>Quirino</w:t>
      </w:r>
      <w:r/>
    </w:p>
    <w:p>
      <w:r/>
      <w:r>
        <w:t>Governador romano da Síria na época do nascimento de Jesus (</w:t>
      </w:r>
      <w:hyperlink r:id="rId4711">
        <w:r>
          <w:rPr>
            <w:color w:val="0000EE"/>
            <w:u w:val="single"/>
          </w:rPr>
          <w:t>Lc 2.2</w:t>
        </w:r>
      </w:hyperlink>
      <w:r>
        <w:t>). De acordo com o historiador romano Tácito (</w:t>
      </w:r>
      <w:r>
        <w:rPr>
          <w:i/>
        </w:rPr>
        <w:t>Anais</w:t>
      </w:r>
      <w:r>
        <w:t xml:space="preserve"> 3.48), Públio Sulpício Quirino foi eleito cônsul da Síria em 12 a.C. Ele foi nomeado por volta de 7 a.C., junto com Varo, legatus (ou governador) da Síria. Suas funções eram em assuntos militares e estrangeiros, enquanto Varo lidava com questões civis. O primeiro mandato de Quirino como governador durou vários anos. Ele liderou uma expedição bem-sucedida contra os homonadenses, um grupo rebelde de montanheses na província cilícia da Ásia Menor. Ele também supervisionou um censo em todo o império ordenado por César Augusto. Lucas registra que o nascimento de Jesus ocorreu na época desse primeiro recenseamento “enquanto Quirino era governador da Síria” (</w:t>
      </w:r>
      <w:hyperlink r:id="rId4711">
        <w:r>
          <w:rPr>
            <w:color w:val="0000EE"/>
            <w:u w:val="single"/>
          </w:rPr>
          <w:t>Lc 2.2</w:t>
        </w:r>
      </w:hyperlink>
      <w:r>
        <w:t>). Mateus diz que foi durante o reinado do rei Herodes, o Grande (</w:t>
      </w:r>
      <w:hyperlink r:id="rId6243">
        <w:r>
          <w:rPr>
            <w:color w:val="0000EE"/>
            <w:u w:val="single"/>
          </w:rPr>
          <w:t>Mt 2.1</w:t>
        </w:r>
      </w:hyperlink>
      <w:r>
        <w:t>), presumivelmente em 4 a.C.</w:t>
      </w:r>
    </w:p>
    <w:p>
      <w:r/>
      <w:r>
        <w:t>Quirino tornou-se reitor de Gaio César em 1 a.C. Ele se casou com Emília Lépida em 2 d.C., mas depois se divorciou dela. Em 6 d.C., ele foi nomeado novamente governador da Síria, talvez servindo nesta posição por alguns anos. Nesta segunda administração, Quirino supervisionou novamente um censo da Judeia. O segundo censo não foi realizado de acordo com o costume judaico, como foi o primeiro. O segundo censo tributou os judeus como um povo subserviente a Roma. Isso causou oposição e rebelião judaica contra Roma. Este é provavelmente o censo referido pelo historiador judeu Josefo (</w:t>
      </w:r>
      <w:r>
        <w:rPr>
          <w:i/>
        </w:rPr>
        <w:t>Antiguidades</w:t>
      </w:r>
      <w:r>
        <w:t xml:space="preserve"> 17.13.5) e Gamaliel (</w:t>
      </w:r>
      <w:hyperlink r:id="rId4712">
        <w:r>
          <w:rPr>
            <w:color w:val="0000EE"/>
            <w:u w:val="single"/>
          </w:rPr>
          <w:t>At 5.37</w:t>
        </w:r>
      </w:hyperlink>
      <w:r>
        <w:t>).</w:t>
      </w:r>
    </w:p>
    <w:p>
      <w:r/>
      <w:r>
        <w:t>O restante da carreira de Quirino foi provavelmente passado em Roma, onde ele morreu em idade avançada no ano 21 d.C.</w:t>
      </w:r>
    </w:p>
    <w:p>
      <w:r/>
      <w:r>
        <w:rPr>
          <w:i/>
        </w:rPr>
        <w:t>Veja também</w:t>
      </w:r>
      <w:r>
        <w:t xml:space="preserve"> </w:t>
      </w:r>
      <w:r>
        <w:t>Censo</w:t>
      </w:r>
      <w:r>
        <w:t xml:space="preserve">; </w:t>
      </w:r>
      <w:r>
        <w:t>Cronologia da Bíblia (Novo Testamento)</w:t>
      </w:r>
      <w:r>
        <w:t>.</w:t>
      </w:r>
      <w:r/>
      <w:r/>
    </w:p>
    <w:p>
      <w:r/>
    </w:p>
    <w:p>
      <w:pPr>
        <w:pStyle w:val="Heading2"/>
      </w:pPr>
      <w:r>
        <w:t>Quis</w:t>
      </w:r>
      <w:r/>
    </w:p>
    <w:p>
      <w:pPr>
        <w:pStyle w:val="ListNumber"/>
        <w:spacing w:line="240" w:lineRule="auto"/>
        <w:ind w:left="720"/>
      </w:pPr>
      <w:r/>
      <w:r>
        <w:t>Um benjamita de Gibeá, pai do Rei Saul e um homem de importância em sua cidade (</w:t>
      </w:r>
      <w:hyperlink r:id="rId18014">
        <w:r>
          <w:rPr>
            <w:color w:val="0000EE"/>
            <w:u w:val="single"/>
          </w:rPr>
          <w:t>1Sm 9.1</w:t>
        </w:r>
      </w:hyperlink>
      <w:r>
        <w:t>). Sua ascendência é traçada por quatro gerações. Assim é a de Elcana, o pai de Samuel, que ungiria Saul como rei (</w:t>
      </w:r>
      <w:hyperlink r:id="rId7702">
        <w:r>
          <w:rPr>
            <w:color w:val="0000EE"/>
            <w:u w:val="single"/>
          </w:rPr>
          <w:t>1Sm 1.1</w:t>
        </w:r>
      </w:hyperlink>
      <w:r>
        <w:t>).</w:t>
      </w:r>
    </w:p>
    <w:p>
      <w:r/>
      <w:r>
        <w:t xml:space="preserve">Os detalhes da família de Quis são um tanto obscuros. O nome de seu pai é listado como Abiel em </w:t>
      </w:r>
      <w:hyperlink r:id="rId18014">
        <w:r>
          <w:rPr>
            <w:color w:val="0000EE"/>
            <w:u w:val="single"/>
          </w:rPr>
          <w:t>1 Samuel 9.1</w:t>
        </w:r>
      </w:hyperlink>
      <w:r>
        <w:t xml:space="preserve">. Se o Quis mencionado em </w:t>
      </w:r>
      <w:hyperlink r:id="rId15023">
        <w:r>
          <w:rPr>
            <w:color w:val="0000EE"/>
            <w:u w:val="single"/>
          </w:rPr>
          <w:t>1 Crônicas 8.30</w:t>
        </w:r>
      </w:hyperlink>
      <w:r>
        <w:t xml:space="preserve"> for a mesma pessoa, então Abiel também era conhecido como Jeiel. Mas pode ser que este segundo Quis fosse tio do pai de Saul. Em </w:t>
      </w:r>
      <w:hyperlink r:id="rId18015">
        <w:r>
          <w:rPr>
            <w:color w:val="0000EE"/>
            <w:u w:val="single"/>
          </w:rPr>
          <w:t>1 Crônicas 8.33</w:t>
        </w:r>
      </w:hyperlink>
      <w:r>
        <w:t xml:space="preserve"> e </w:t>
      </w:r>
      <w:hyperlink r:id="rId18016">
        <w:r>
          <w:rPr>
            <w:color w:val="0000EE"/>
            <w:u w:val="single"/>
          </w:rPr>
          <w:t>9.39</w:t>
        </w:r>
      </w:hyperlink>
      <w:r>
        <w:t xml:space="preserve">, Ner, não Abiel, é dito ser o pai de Quis. No entanto, em </w:t>
      </w:r>
      <w:hyperlink r:id="rId18017">
        <w:r>
          <w:rPr>
            <w:color w:val="0000EE"/>
            <w:u w:val="single"/>
          </w:rPr>
          <w:t>1 Samuel 14.51</w:t>
        </w:r>
      </w:hyperlink>
      <w:r>
        <w:t>, Abiel é dito ser o pai de dois filhos cujos nomes eram Ner e Quis. A solução é que o Ner em Crônicas era um ancestral anterior, provavelmente pai ou avô de Abiel. Se for assim, então, a relação pai-filho entre Ner e Quis deve ser entendida em um sentido ampliado, como em outros lugares no Antigo Testamento. Não há outros detalhes disponíveis sobre a vida de Quis. Seu túmulo estava em Zela de Benjamim (</w:t>
      </w:r>
      <w:hyperlink r:id="rId18018">
        <w:r>
          <w:rPr>
            <w:color w:val="0000EE"/>
            <w:u w:val="single"/>
          </w:rPr>
          <w:t>2Sm 21.14</w:t>
        </w:r>
      </w:hyperlink>
      <w:r>
        <w:t>);</w:t>
      </w:r>
    </w:p>
    <w:p>
      <w:pPr>
        <w:pStyle w:val="ListNumber"/>
        <w:spacing w:line="240" w:lineRule="auto"/>
        <w:ind w:left="720"/>
      </w:pPr>
      <w:r/>
      <w:r>
        <w:t>Um levita, neto de Merari, filho de Mali e pai de Jerameel (</w:t>
      </w:r>
      <w:hyperlink r:id="rId7826">
        <w:r>
          <w:rPr>
            <w:color w:val="0000EE"/>
            <w:u w:val="single"/>
          </w:rPr>
          <w:t>1Cr 23.21,22</w:t>
        </w:r>
      </w:hyperlink>
      <w:r>
        <w:t xml:space="preserve">; </w:t>
      </w:r>
      <w:hyperlink r:id="rId18019">
        <w:r>
          <w:rPr>
            <w:color w:val="0000EE"/>
            <w:u w:val="single"/>
          </w:rPr>
          <w:t>24.29</w:t>
        </w:r>
      </w:hyperlink>
      <w:r>
        <w:t>);</w:t>
      </w:r>
    </w:p>
    <w:p>
      <w:pPr>
        <w:pStyle w:val="ListNumber"/>
        <w:spacing w:line="240" w:lineRule="auto"/>
        <w:ind w:left="720"/>
      </w:pPr>
      <w:r/>
      <w:r>
        <w:t>Filho de Abdi, outro levita da família de Merari. Ele foi um dos levitas que ajudou Ezequias a purificar o templo (</w:t>
      </w:r>
      <w:hyperlink r:id="rId5025">
        <w:r>
          <w:rPr>
            <w:color w:val="0000EE"/>
            <w:u w:val="single"/>
          </w:rPr>
          <w:t>2Cr 29.12</w:t>
        </w:r>
      </w:hyperlink>
      <w:r>
        <w:t>);</w:t>
      </w:r>
    </w:p>
    <w:p>
      <w:pPr>
        <w:pStyle w:val="ListNumber"/>
        <w:spacing w:line="240" w:lineRule="auto"/>
        <w:ind w:left="720"/>
      </w:pPr>
      <w:r/>
      <w:r>
        <w:t>Um benjamita e bisavô de Mardoqueu. Mardoqueu foi levado ao exílio por Nabucodonosor em 597 a.C. (</w:t>
      </w:r>
      <w:hyperlink r:id="rId3429">
        <w:r>
          <w:rPr>
            <w:color w:val="0000EE"/>
            <w:u w:val="single"/>
          </w:rPr>
          <w:t>Et 2.5</w:t>
        </w:r>
      </w:hyperlink>
      <w:r>
        <w:t>), junto com o rei Jeoaquim e o profeta Ezequiel.</w:t>
      </w:r>
      <w:r/>
      <w:r/>
    </w:p>
    <w:p>
      <w:r/>
    </w:p>
    <w:p>
      <w:pPr>
        <w:pStyle w:val="Heading2"/>
      </w:pPr>
      <w:r>
        <w:t>Quisom</w:t>
      </w:r>
      <w:r/>
    </w:p>
    <w:p>
      <w:r/>
      <w:r>
        <w:t>Rio que drena o Vale de Jezreel. Tem apenas 40 quilômetros de comprimento, mas reúne numerosos pequenos riachos que se originam nas colinas ao sul e ao norte ao longo de seu curso. Nasce no norte das terras altas samaritanas, onde a divisória de águas direciona algumas águas para o norte e outras para o oeste, descendo a planície de Dotã. Numerosos e pequenos uádis desaguam no curso principal à medida que ele se move para noroeste, descendo as encostas das colinas samaritanas do norte até a planície de Esdrelão. Essas partes superiores são secas no verão, mas no inverno (a estação chuvosa) podem se tornar torrenciais. De Jenin até a estreita passagem em Tell el-Qassis (o “monte do sacerdote”), a queda é de cerca de 76 metros. O curso do rio segue a cordilheira do monte Carmelo, e numerosos riachos se juntam ao curso principal das cadeias do Carmelo ao sul e das colinas da Galileia ao norte. Como esta região tem uma precipitação muito melhor do que a área das partes superiores do rio, o Quisom torna-se um riacho perene na última parte de seu curso. Flui pelos últimos 10 quilômetros de seu comprimento ao lado do monte Carmelo e deságua no mar Mediterrâneo a cerca de três quilômetros ao norte de Haifa. Pouco antes de chegar ao mar, atinge uma largura de 20 metros.</w:t>
      </w:r>
    </w:p>
    <w:p>
      <w:r/>
      <w:r>
        <w:t>O forte escoamento das colinas, especialmente na época das chuvas de primavera, combinado com o terreno plano da planície de Esdrelão, produzia condições pantanosas ao longo de seu curso e representava um sério obstáculo para o transporte nos tempos antigos. Nos últimos anos, seu curso médio foi amplamente drenado.</w:t>
      </w:r>
    </w:p>
    <w:p>
      <w:r/>
      <w:r>
        <w:t>Dois importantes eventos bíblicos ocorreram na região do rio Quisom. A derrota de Sísera por Baraque e Débora aconteceu aqui. Os carros dos cananeus ficaram presos nos pântanos do Quisom e foram superados pelo ataque israelita (</w:t>
      </w:r>
      <w:hyperlink r:id="rId6636">
        <w:r>
          <w:rPr>
            <w:color w:val="0000EE"/>
            <w:u w:val="single"/>
          </w:rPr>
          <w:t>Jz 4–5</w:t>
        </w:r>
      </w:hyperlink>
      <w:r>
        <w:t>). O rio foi louvado no cântico de Débora (</w:t>
      </w:r>
      <w:hyperlink r:id="rId18020">
        <w:r>
          <w:rPr>
            <w:color w:val="0000EE"/>
            <w:u w:val="single"/>
          </w:rPr>
          <w:t>5.21</w:t>
        </w:r>
      </w:hyperlink>
      <w:r>
        <w:t xml:space="preserve">), e o evento foi relembrado no </w:t>
      </w:r>
      <w:hyperlink r:id="rId11472">
        <w:r>
          <w:rPr>
            <w:color w:val="0000EE"/>
            <w:u w:val="single"/>
          </w:rPr>
          <w:t>Salmo 83.9</w:t>
        </w:r>
      </w:hyperlink>
      <w:r>
        <w:t xml:space="preserve"> (onde é chamado de Quisom). Mais tarde, os profetas de Baal, humilhados por Elias no monte Carmelo, foram mortos ao longo das margens do Quisom (</w:t>
      </w:r>
      <w:hyperlink r:id="rId16180">
        <w:r>
          <w:rPr>
            <w:color w:val="0000EE"/>
            <w:u w:val="single"/>
          </w:rPr>
          <w:t>1Rs 18.40</w:t>
        </w:r>
      </w:hyperlink>
      <w:r>
        <w:t>). O rio é mencionado pelo historiador romano Plínio, por escritores árabes e pelos Cruzados. Nos últimos anos, a última parte do rio foi aprofundada e alargada para que um canal de 300 metros de comprimento, 50 metros de largura e 4 metros de profundidade forneça um porto auxiliar para Haifa, especialmente para embarcações de pesca.</w:t>
      </w:r>
      <w:r/>
      <w:r/>
    </w:p>
    <w:p>
      <w:r/>
    </w:p>
    <w:p>
      <w:pPr>
        <w:pStyle w:val="Heading2"/>
      </w:pPr>
      <w:r>
        <w:t>Quitim</w:t>
      </w:r>
      <w:r/>
    </w:p>
    <w:p>
      <w:r/>
      <w:r>
        <w:t>Nome hebraico antigo para a ilha de Chipre (</w:t>
      </w:r>
      <w:hyperlink r:id="rId7426">
        <w:r>
          <w:rPr>
            <w:color w:val="0000EE"/>
            <w:u w:val="single"/>
          </w:rPr>
          <w:t>Gn 10.4</w:t>
        </w:r>
      </w:hyperlink>
      <w:r>
        <w:t xml:space="preserve">; </w:t>
      </w:r>
      <w:hyperlink r:id="rId3760">
        <w:r>
          <w:rPr>
            <w:color w:val="0000EE"/>
            <w:u w:val="single"/>
          </w:rPr>
          <w:t>Dn 11.30</w:t>
        </w:r>
      </w:hyperlink>
      <w:r>
        <w:t xml:space="preserve">). </w:t>
      </w:r>
      <w:r>
        <w:rPr>
          <w:i/>
        </w:rPr>
        <w:t>Veja</w:t>
      </w:r>
      <w:r>
        <w:t xml:space="preserve"> </w:t>
      </w:r>
      <w:r>
        <w:t>Chipre</w:t>
      </w:r>
      <w:r>
        <w:t>.</w:t>
      </w:r>
      <w:r/>
      <w:r/>
    </w:p>
    <w:p>
      <w:r/>
    </w:p>
    <w:p>
      <w:pPr>
        <w:pStyle w:val="Heading2"/>
      </w:pPr>
      <w:r>
        <w:t>Qumran</w:t>
      </w:r>
      <w:r/>
    </w:p>
    <w:p>
      <w:r/>
      <w:r>
        <w:t>Uma antiga comunidade religiosa judaica que vivia perto do local onde os Rolos do Mar Morto foram descobertos em 1947.</w:t>
      </w:r>
    </w:p>
    <w:p>
      <w:r/>
      <w:r>
        <w:t>Este mosteiro judaico, chamado Khirbet Qumran, está localizado no lado norte do Wadi Qumran. Fica a cerca de 1,6 quilômetros ao sul da Caverna I. Viajantes notaram as ruínas por anos.</w:t>
      </w:r>
    </w:p>
    <w:p>
      <w:pPr>
        <w:pStyle w:val="Heading3"/>
      </w:pPr>
      <w:r>
        <w:t>Escavações em Khirbet Qumran</w:t>
      </w:r>
    </w:p>
    <w:p>
      <w:r/>
      <w:r>
        <w:t>As primeiras investigações de Khirbet Qumran foram realizadas em 1949 por Harding e de Vaux. O Museu Arqueológico da Jordânia e a École Biblique iniciaram escavações rotineiras a partir de 1951. Eles encontraram o edifício principal no complexo e descobriram que ele estava no centro de uma comunidade bem organizada. Estima-se que 200–400 pessoas viveram em Qumran ao mesmo tempo, a maioria delas em tendas fora dos edifícios ou em cavernas próximas. Havia também um grande cemitério a leste em direção ao Mar Morto. Roland de Vaux concluiu que Khirbet Qumran era a sede de uma seita judaica chamada os Essênios.</w:t>
      </w:r>
    </w:p>
    <w:p>
      <w:pPr>
        <w:pStyle w:val="Heading4"/>
      </w:pPr>
      <w:r>
        <w:t>História de Khirbet Qumran</w:t>
      </w:r>
    </w:p>
    <w:p>
      <w:r/>
      <w:r>
        <w:t xml:space="preserve">O local foi ocupado em várias épocas da história. A ocupação mais antiga foi nos séculos 8 e 7 a.C., possivelmente durante o reinado do rei Uzias (cp. </w:t>
      </w:r>
      <w:hyperlink r:id="rId4997">
        <w:r>
          <w:rPr>
            <w:color w:val="0000EE"/>
            <w:u w:val="single"/>
          </w:rPr>
          <w:t>2Cr 26.10</w:t>
        </w:r>
      </w:hyperlink>
      <w:r>
        <w:t>). Há muitas evidências de ocupação no período greco-romano (de 332 a.C.–395 d.C.). O principal assentamento começou por volta de 100 a.C., provavelmente durante o tempo de Hircano I (o primeiro sacerdote da dinastia hasmoneia, de 134–104 a.C.). Este assentamento terminou com um terremoto em 31 a.C. O local foi reocupado por volta da época da morte de Herodes, o Grande, em 4 a.C. O local foi abandonado quando foi capturado pelos romanos em 68 d.C. Os romanos permaneceram lá até cerca de 90 d.C. Mais tarde, rebeldes judeus usaram o local em 132–135 d.C. durante a segunda revolta contra os romanos sob Bar-Kochba.</w:t>
      </w:r>
    </w:p>
    <w:p>
      <w:pPr>
        <w:pStyle w:val="Heading4"/>
      </w:pPr>
      <w:r>
        <w:t>Características de Khirbet Qumran</w:t>
      </w:r>
    </w:p>
    <w:p>
      <w:r/>
      <w:r>
        <w:t>O maior edifício era o salão principal de assembleias, com muitas salas adjacentes. Foram encontrados muitos artefatos de cerâmica, tanto para uso na cozinha quanto para proteger pergaminhos que eram copiados na sala de escrita ou scriptorium. Nenhum manuscrito foi encontrado nas ruínas de Khirbet Qumran. No entanto, a cerâmica era a mesma das encontradas na Caverna I, que continha os Rolos do Mar Morto. Isso estabelece uma ligação entre as ruínas e os manuscritos. O scriptorium continha mesas de gesso romanas, bancos e tinteiros.</w:t>
      </w:r>
    </w:p>
    <w:p>
      <w:r/>
      <w:r>
        <w:t>O local possuía um elaborado sistema de água. Muitas cisternas redondas e retangulares coletavam água das montanhas a oeste. As cisternas eram provavelmente usadas para purificações rituais e batismos. Centenas de moedas do período greco-romano foram encontradas, o que ajudou a datar as várias camadas de ocupação. Cerca de 3 quilômetros ao sul, há uma fonte conhecida como 'Ain Feshka. Parece ter sido um posto agrícola de Khirbet Qumran.</w:t>
      </w:r>
    </w:p>
    <w:p>
      <w:pPr>
        <w:pStyle w:val="Heading3"/>
      </w:pPr>
      <w:r>
        <w:t>Identidade da seita de Qumran</w:t>
      </w:r>
    </w:p>
    <w:p>
      <w:r/>
      <w:r>
        <w:t>A comunidade de Qumran era uma seita judaica formada no segundo século a.C. Provavelmente, a seita cresceu após a cultura grega ser imposta aos judeus pelos governantes selêucidas. A comunidade rejeitou o templo de Jerusalém e se mudou para o deserto. Eles provavelmente chamavam sua comunidade de "Damasco". Acreditavam que eram obedientes à vontade de Deus e estavam mantendo sua aliança.</w:t>
      </w:r>
    </w:p>
    <w:p>
      <w:r/>
      <w:r>
        <w:t>A seita foi identificada com vários grupos, mas a melhor correspondência parece ser com os Essênios. Escritores do primeiro século d.C., como Josefo, Filo e Plínio, o Velho, mencionaram os Essênios. Esses escritores descreveram os Essênios como um grupo ascético (comprometido com a autodisciplina e a rejeição do prazer). Eles viviam ao longo da costa oeste do Mar Morto. A seita compartilhava muitas crenças e práticas com os Essênios:</w:t>
      </w:r>
    </w:p>
    <w:p>
      <w:pPr>
        <w:pStyle w:val="ListBullet"/>
        <w:spacing w:line="240" w:lineRule="auto"/>
        <w:ind w:left="720"/>
      </w:pPr>
      <w:r/>
      <w:r>
        <w:t>Período de prova de dois anos para membros;</w:t>
      </w:r>
    </w:p>
    <w:p>
      <w:pPr>
        <w:pStyle w:val="ListBullet"/>
        <w:spacing w:line="240" w:lineRule="auto"/>
        <w:ind w:left="720"/>
      </w:pPr>
      <w:r/>
      <w:r>
        <w:t>Membros classificados;</w:t>
      </w:r>
    </w:p>
    <w:p>
      <w:pPr>
        <w:pStyle w:val="ListBullet"/>
        <w:spacing w:line="240" w:lineRule="auto"/>
        <w:ind w:left="720"/>
      </w:pPr>
      <w:r/>
      <w:r>
        <w:t>Riqueza compartilhada na comunidade;</w:t>
      </w:r>
    </w:p>
    <w:p>
      <w:pPr>
        <w:pStyle w:val="ListBullet"/>
        <w:spacing w:line="240" w:lineRule="auto"/>
        <w:ind w:left="720"/>
      </w:pPr>
      <w:r/>
      <w:r>
        <w:t>Praticavam refeições comunitárias;</w:t>
      </w:r>
    </w:p>
    <w:p>
      <w:pPr>
        <w:pStyle w:val="ListBullet"/>
        <w:spacing w:line="240" w:lineRule="auto"/>
        <w:ind w:left="720"/>
      </w:pPr>
      <w:r/>
      <w:r>
        <w:t>Praticavam o batismo e a purificação ritual;</w:t>
      </w:r>
    </w:p>
    <w:p>
      <w:pPr>
        <w:pStyle w:val="ListBullet"/>
        <w:spacing w:line="240" w:lineRule="auto"/>
        <w:ind w:left="720"/>
      </w:pPr>
      <w:r/>
      <w:r>
        <w:t>Disciplina estrita.</w:t>
      </w:r>
    </w:p>
    <w:p>
      <w:r/>
      <w:r>
        <w:t>A seita de Qumran incluía tanto sacerdotes quanto leigos. A liderança da comunidade era composta por 15 homens: 3 sacerdotes e 12 leigos. O líder do grupo era um superintendente ou examinador. Havia algumas diferenças entre a seita de Qumran e os Essênios. Ao contrário dos Essênios, os da seita em Qumran:</w:t>
      </w:r>
    </w:p>
    <w:p>
      <w:pPr>
        <w:pStyle w:val="ListBullet"/>
        <w:spacing w:line="240" w:lineRule="auto"/>
        <w:ind w:left="720"/>
      </w:pPr>
      <w:r/>
      <w:r>
        <w:t>foram autorizados a se casar,</w:t>
      </w:r>
    </w:p>
    <w:p>
      <w:pPr>
        <w:pStyle w:val="ListBullet"/>
        <w:spacing w:line="240" w:lineRule="auto"/>
        <w:ind w:left="720"/>
      </w:pPr>
      <w:r/>
      <w:r>
        <w:t>permitiram que mulheres se tornassem membros, e</w:t>
      </w:r>
    </w:p>
    <w:p>
      <w:pPr>
        <w:pStyle w:val="ListBullet"/>
        <w:spacing w:line="240" w:lineRule="auto"/>
        <w:ind w:left="720"/>
      </w:pPr>
      <w:r/>
      <w:r>
        <w:t>não eram pacifistas.</w:t>
      </w:r>
    </w:p>
    <w:p>
      <w:pPr>
        <w:pStyle w:val="Heading3"/>
      </w:pPr>
      <w:r>
        <w:t>Crenças da seita de Qumran</w:t>
      </w:r>
    </w:p>
    <w:p>
      <w:r/>
      <w:r>
        <w:t>A seita de Qumran tinha as Escrituras em alta estima. Eles se consideravam o povo da aliança de Deus. Assim, separaram-se da vida judaica convencional para estudar a lei de Deus e se preparar para a vinda do Senhor. Como judeus, acreditavam no Deus do Antigo Testamento. Eles acreditavam que Deus era:</w:t>
      </w:r>
    </w:p>
    <w:p>
      <w:pPr>
        <w:pStyle w:val="ListBullet"/>
        <w:spacing w:line="240" w:lineRule="auto"/>
        <w:ind w:left="720"/>
      </w:pPr>
      <w:r/>
      <w:r>
        <w:t>O Senhor da criação;</w:t>
      </w:r>
    </w:p>
    <w:p>
      <w:pPr>
        <w:pStyle w:val="ListBullet"/>
        <w:spacing w:line="240" w:lineRule="auto"/>
        <w:ind w:left="720"/>
      </w:pPr>
      <w:r/>
      <w:r>
        <w:t>Soberano sobre todas as coisas;</w:t>
      </w:r>
    </w:p>
    <w:p>
      <w:pPr>
        <w:pStyle w:val="ListBullet"/>
        <w:spacing w:line="240" w:lineRule="auto"/>
        <w:ind w:left="720"/>
      </w:pPr>
      <w:r/>
      <w:r>
        <w:t>Seres humanos predestinados à salvação ou condenação.</w:t>
      </w:r>
    </w:p>
    <w:p>
      <w:r/>
      <w:r>
        <w:t>Os anjos eram importantes para sua teologia. Anjos eram criaturas espirituais que lutariam ao lado dos "eleitos" na guerra contra o mal. Eles acreditavam em um monoteísmo estrito (a visão de que há apenas um Deus), então acreditavam que Deus era o autor tanto do bem quanto do mal.</w:t>
      </w:r>
    </w:p>
    <w:p>
      <w:r/>
      <w:r>
        <w:t>Os ensinamentos de Qumran retratavam os humanos como pecadores e necessitados da graça de Deus. A purificação só ocorria ao obedecer às leis de Deus e aos ensinamentos da comunidade. Seus ensinamentos provinham de um anônimo Mestre da Justiça, descrito no “Comentário de Habacuque” e em outros pergaminhos. O Mestre não era o fundador da seita, mas foi enviado por Deus para ensinar a comunidade. Ele foi informado sobre os planos de Deus, que seriam realizados nos tempos finais. Ele era um sacerdote e foi instruído por Deus a interpretar as palavras dos profetas. Ele não era o Messias (líder escolhido por Deus). O Mestre foi perseguido por um “Sacerdote Perverso”. As tentativas de identificar essas figuras com pessoas históricas específicas são especulativas.</w:t>
      </w:r>
    </w:p>
    <w:p>
      <w:r/>
      <w:r>
        <w:t xml:space="preserve">A seita de Qumran tinha uma forte esperança messiânica. Eles acreditavam que estavam vivendo nos últimos dias antes da chegada do Messias e da batalha final contra o mal. O “Documento de Damasco” mencionava “os ungidos [messias] de Arão e Israel”. Isso pode se referir a dois messias: um messias sacerdotal de Arão e um messias real de Israel. Alguns estudiosos sugerem três figuras messiânicas: um rei de Davi, um sacerdote de Arão e um profeta semelhante a Moisés (cp. </w:t>
      </w:r>
      <w:hyperlink r:id="rId14302">
        <w:r>
          <w:rPr>
            <w:color w:val="0000EE"/>
            <w:u w:val="single"/>
          </w:rPr>
          <w:t>Dt 18.18</w:t>
        </w:r>
      </w:hyperlink>
      <w:r>
        <w:t>). O Mestre da Justiça pode ter sido o profeta antecipado. Os membros da comunidade acreditavam na ressurreição dos mortos e na imortalidade dos justos. Eles ensinavam que os ímpios seriam punidos e destruídos pelo fogo.</w:t>
      </w:r>
      <w:r/>
      <w:r/>
    </w:p>
    <w:p>
      <w:r/>
    </w:p>
    <w:p>
      <w:pPr>
        <w:pStyle w:val="Heading2"/>
      </w:pPr>
      <w:r>
        <w:t>Raabe (Monstro)</w:t>
      </w:r>
      <w:r/>
    </w:p>
    <w:p>
      <w:r/>
      <w:r>
        <w:t>Um monstro marinho mitológico que simbolizava o Egito (</w:t>
      </w:r>
      <w:hyperlink r:id="rId8620">
        <w:r>
          <w:rPr>
            <w:color w:val="0000EE"/>
            <w:u w:val="single"/>
          </w:rPr>
          <w:t>Sl 87.4</w:t>
        </w:r>
      </w:hyperlink>
      <w:r>
        <w:t>). “Pois a ajuda do Egito não vale nada. Por isso, estou pondo no Egito o apelido de 'O Dragão Manso'” (</w:t>
      </w:r>
      <w:hyperlink r:id="rId18021">
        <w:r>
          <w:rPr>
            <w:color w:val="0000EE"/>
            <w:u w:val="single"/>
          </w:rPr>
          <w:t>Is 30.7</w:t>
        </w:r>
      </w:hyperlink>
      <w:r>
        <w:t xml:space="preserve">). Os escritores da Bíblia descreveram como Deus ajudou o povo de Israel a atravessar o Mar Vermelho enquanto o exército egípcio se afogava ali (cp. </w:t>
      </w:r>
      <w:hyperlink r:id="rId18022">
        <w:r>
          <w:rPr>
            <w:color w:val="0000EE"/>
            <w:u w:val="single"/>
          </w:rPr>
          <w:t>Is 51.10</w:t>
        </w:r>
      </w:hyperlink>
      <w:r>
        <w:t>). Eles usaram a imagem de Deus lutando e derrotando um monstro poderoso para contar essa história (</w:t>
      </w:r>
      <w:hyperlink r:id="rId18023">
        <w:r>
          <w:rPr>
            <w:color w:val="0000EE"/>
            <w:u w:val="single"/>
          </w:rPr>
          <w:t>Jó 26.12</w:t>
        </w:r>
      </w:hyperlink>
      <w:r>
        <w:t xml:space="preserve">; </w:t>
      </w:r>
      <w:hyperlink r:id="rId18024">
        <w:r>
          <w:rPr>
            <w:color w:val="0000EE"/>
            <w:u w:val="single"/>
          </w:rPr>
          <w:t>Sl 89.10</w:t>
        </w:r>
      </w:hyperlink>
      <w:r>
        <w:t xml:space="preserve">; </w:t>
      </w:r>
      <w:hyperlink r:id="rId1643">
        <w:r>
          <w:rPr>
            <w:color w:val="0000EE"/>
            <w:u w:val="single"/>
          </w:rPr>
          <w:t>Is 51.9</w:t>
        </w:r>
      </w:hyperlink>
      <w:r>
        <w:t>).</w:t>
      </w:r>
    </w:p>
    <w:p>
      <w:r/>
      <w:r>
        <w:rPr>
          <w:i/>
        </w:rPr>
        <w:t>Veja também</w:t>
      </w:r>
      <w:r>
        <w:t xml:space="preserve"> </w:t>
      </w:r>
      <w:r>
        <w:t>Egito, Egípcio</w:t>
      </w:r>
      <w:r>
        <w:t>.</w:t>
      </w:r>
      <w:r/>
      <w:r/>
    </w:p>
    <w:p>
      <w:r/>
    </w:p>
    <w:p>
      <w:pPr>
        <w:pStyle w:val="Heading2"/>
      </w:pPr>
      <w:r>
        <w:t>Raamá, Raama</w:t>
      </w:r>
      <w:r/>
    </w:p>
    <w:p>
      <w:r/>
      <w:r>
        <w:t>Um dos cinco filhos de Cuxe e um descendente da linha de Cam. Ele foi o pai de Sebá e Dedã (</w:t>
      </w:r>
      <w:hyperlink r:id="rId6646">
        <w:r>
          <w:rPr>
            <w:color w:val="0000EE"/>
            <w:u w:val="single"/>
          </w:rPr>
          <w:t>Gn 10.7</w:t>
        </w:r>
      </w:hyperlink>
      <w:r>
        <w:t xml:space="preserve">; </w:t>
      </w:r>
      <w:hyperlink r:id="rId6647">
        <w:r>
          <w:rPr>
            <w:color w:val="0000EE"/>
            <w:u w:val="single"/>
          </w:rPr>
          <w:t>1Cr 1.9</w:t>
        </w:r>
      </w:hyperlink>
      <w:r>
        <w:t xml:space="preserve">). </w:t>
      </w:r>
      <w:hyperlink r:id="rId8535">
        <w:r>
          <w:rPr>
            <w:color w:val="0000EE"/>
            <w:u w:val="single"/>
          </w:rPr>
          <w:t>Ezequiel 27.22</w:t>
        </w:r>
      </w:hyperlink>
      <w:r>
        <w:t xml:space="preserve"> menciona o povo de Sebá e Raamá negociando especiarias e pedras preciosas com os mercadores de Tiro. O nome de Raamá foi posteriormente dado a uma cidade talvez identificável com Ma'in no sudoeste da Arábia.</w:t>
      </w:r>
      <w:r/>
      <w:r/>
    </w:p>
    <w:p>
      <w:r/>
    </w:p>
    <w:p>
      <w:pPr>
        <w:pStyle w:val="Heading2"/>
      </w:pPr>
      <w:r>
        <w:t>Rabá dos amonitas</w:t>
      </w:r>
      <w:r/>
    </w:p>
    <w:p>
      <w:r/>
      <w:r>
        <w:t>A capital do antigo reino amonita. Localizada perto das nascentes do rio Jaboque, ficava a cerca de 40 quilômetros a leste do Jordão e situava-se ao longo da principal rota de caravanas que ia de Damasco, ao sul, ao longo do planalto transjordano. Esta estrada também era conhecida como a Estrada Real (</w:t>
      </w:r>
      <w:hyperlink r:id="rId8531">
        <w:r>
          <w:rPr>
            <w:color w:val="0000EE"/>
            <w:u w:val="single"/>
          </w:rPr>
          <w:t>Nm 20.17</w:t>
        </w:r>
      </w:hyperlink>
      <w:r>
        <w:t xml:space="preserve">; </w:t>
      </w:r>
      <w:hyperlink r:id="rId7546">
        <w:r>
          <w:rPr>
            <w:color w:val="0000EE"/>
            <w:u w:val="single"/>
          </w:rPr>
          <w:t>21.22</w:t>
        </w:r>
      </w:hyperlink>
      <w:r>
        <w:t>). A moderna Amã, a capital da Jordânia, cobre a antiga cidade. Durante o terceiro século a.C., Ptolemeu II Filadelfo do Egito reconstruiu a cidade e a renomeou Filadélfia. Após os romanos tomarem a Palestina em 63 a.C., a cidade tornou-se parte da Decápolis, e após 106 d.C. fez parte da província romana da Arábia.</w:t>
      </w:r>
    </w:p>
    <w:p>
      <w:r/>
      <w:r>
        <w:t>Rabá aparece pela primeira vez nas Escrituras como o lugar onde a grande cama de ferro de Ogue, rei de Basã, foi mantida (</w:t>
      </w:r>
      <w:hyperlink r:id="rId1117">
        <w:r>
          <w:rPr>
            <w:color w:val="0000EE"/>
            <w:u w:val="single"/>
          </w:rPr>
          <w:t>Dt 3.11</w:t>
        </w:r>
      </w:hyperlink>
      <w:r>
        <w:t>; ARC “em Rabá dos filhos de Amom”). Quando a Transjordânia foi dividida entre as tribos de Gade, Rúben e a meia tribo de Manassés, o território de Gade se estendia até a proximidade de Rabá, mas não a incluía (</w:t>
      </w:r>
      <w:hyperlink r:id="rId2536">
        <w:r>
          <w:rPr>
            <w:color w:val="0000EE"/>
            <w:u w:val="single"/>
          </w:rPr>
          <w:t>Js 13.25</w:t>
        </w:r>
      </w:hyperlink>
      <w:r>
        <w:t>).</w:t>
      </w:r>
    </w:p>
    <w:p>
      <w:r/>
      <w:r>
        <w:t>Rabá teve destaque significativo nas Escrituras durante o reinado de Davi. Naquela época, Joabe sitiou a cidade e, durante a batalha, Urias, o heteu, perdeu a vida por ordem específica do rei (</w:t>
      </w:r>
      <w:hyperlink r:id="rId1137">
        <w:r>
          <w:rPr>
            <w:color w:val="0000EE"/>
            <w:u w:val="single"/>
          </w:rPr>
          <w:t>2Sm 11.1</w:t>
        </w:r>
      </w:hyperlink>
      <w:r>
        <w:t xml:space="preserve">; </w:t>
      </w:r>
      <w:hyperlink r:id="rId1139">
        <w:r>
          <w:rPr>
            <w:color w:val="0000EE"/>
            <w:u w:val="single"/>
          </w:rPr>
          <w:t>12.26–29</w:t>
        </w:r>
      </w:hyperlink>
      <w:r>
        <w:t>). A cidade foi construída em duas partes — a cidade alta e a cidade baixa, chamada de “cidade das águas” (</w:t>
      </w:r>
      <w:hyperlink r:id="rId18025">
        <w:r>
          <w:rPr>
            <w:color w:val="0000EE"/>
            <w:u w:val="single"/>
          </w:rPr>
          <w:t>12.27</w:t>
        </w:r>
      </w:hyperlink>
      <w:r>
        <w:t xml:space="preserve">). Joabe tomou a cidade baixa e talvez tenha conseguido controlar o abastecimento de água, e então esperou que Davi viesse completar a conquista (vv. </w:t>
      </w:r>
      <w:hyperlink r:id="rId18026">
        <w:r>
          <w:rPr>
            <w:color w:val="0000EE"/>
            <w:u w:val="single"/>
          </w:rPr>
          <w:t>27–28</w:t>
        </w:r>
      </w:hyperlink>
      <w:r>
        <w:t>). Após um saque completo de Rabá, Davi não estacionou tropas na cidade, mas a deixou sob o controle dos amonitas, que se tornaram vassalos de Israel.</w:t>
      </w:r>
    </w:p>
    <w:p>
      <w:r/>
      <w:r>
        <w:t>Cerca de 250 anos depois, Amós pronunciou julgamento sobre a então próspera cidade (</w:t>
      </w:r>
      <w:hyperlink r:id="rId18027">
        <w:r>
          <w:rPr>
            <w:color w:val="0000EE"/>
            <w:u w:val="single"/>
          </w:rPr>
          <w:t>Am 1.13–14</w:t>
        </w:r>
      </w:hyperlink>
      <w:r>
        <w:t>). Quando Nabucodonosor parou em Rabá durante sua invasão da Transjordânia, era um lugar significativo (</w:t>
      </w:r>
      <w:hyperlink r:id="rId18028">
        <w:r>
          <w:rPr>
            <w:color w:val="0000EE"/>
            <w:u w:val="single"/>
          </w:rPr>
          <w:t>Ez 21.20</w:t>
        </w:r>
      </w:hyperlink>
      <w:r>
        <w:t>). Foi em Rabá que Baalis, rei dos amonitas, mais tarde planejou o ataque que resultou na morte de Gedalias (</w:t>
      </w:r>
      <w:hyperlink r:id="rId11398">
        <w:r>
          <w:rPr>
            <w:color w:val="0000EE"/>
            <w:u w:val="single"/>
          </w:rPr>
          <w:t>Jr 40.14</w:t>
        </w:r>
      </w:hyperlink>
      <w:r>
        <w:t xml:space="preserve"> e seguintes), o governador babilônico da Judeia, e no exílio de Jeremias para o Egito. A profecia de Jeremias contra Rabá está registrada em </w:t>
      </w:r>
      <w:hyperlink r:id="rId18029">
        <w:r>
          <w:rPr>
            <w:color w:val="0000EE"/>
            <w:u w:val="single"/>
          </w:rPr>
          <w:t>Jeremias 49.2–3</w:t>
        </w:r>
      </w:hyperlink>
      <w:r>
        <w:t>.</w:t>
      </w:r>
    </w:p>
    <w:p>
      <w:r/>
      <w:r>
        <w:t>Como a moderna Amã cobre a antiga Rabá, não é possível realizar escavações na cidade antiga. O teatro romano está localizado no centro da cidade e tem capacidade para 6.000 pessoas. Próximos a ele, encontram-se restos dilapidados de um odeão, ou sala de música, e uma fonte, ambos do período romano. Tudo visível na antiga cidadela é romano, bizantino ou árabe, exceto no canto nordeste, onde parte da muralha da cidade da Idade do Ferro ainda está exposta. O templo romano no canto sudoeste da cidadela foi dedicado a Hércules.</w:t>
      </w:r>
    </w:p>
    <w:p>
      <w:r/>
      <w:r>
        <w:rPr>
          <w:i/>
        </w:rPr>
        <w:t>Veja também</w:t>
      </w:r>
      <w:r>
        <w:t xml:space="preserve"> </w:t>
      </w:r>
      <w:r>
        <w:t>Decápolis</w:t>
      </w:r>
      <w:r>
        <w:t xml:space="preserve">; </w:t>
      </w:r>
      <w:r>
        <w:t>Filadélfia #1</w:t>
      </w:r>
      <w:r>
        <w:t>.</w:t>
      </w:r>
      <w:r/>
      <w:r/>
    </w:p>
    <w:p>
      <w:r/>
    </w:p>
    <w:p>
      <w:pPr>
        <w:pStyle w:val="Heading2"/>
      </w:pPr>
      <w:r>
        <w:t>Rabino</w:t>
      </w:r>
      <w:r/>
    </w:p>
    <w:p>
      <w:r/>
      <w:r>
        <w:t>Título de respeito, que significa “meu grande” ou “meu superior”, usado nos dias de Jesus para mestres religiosos judeus.</w:t>
      </w:r>
    </w:p>
    <w:p>
      <w:r/>
      <w:r>
        <w:t xml:space="preserve">De acordo com </w:t>
      </w:r>
      <w:hyperlink r:id="rId8210">
        <w:r>
          <w:rPr>
            <w:color w:val="0000EE"/>
            <w:u w:val="single"/>
          </w:rPr>
          <w:t>Mt 23.7</w:t>
        </w:r>
      </w:hyperlink>
      <w:r>
        <w:t>, “rabino” foi evidentemente usado como um título comum de tratamento para os escribas judeus e fariseus. No entanto, no NT, é mais comumente usado como um título de abordagem respeitosa quando outros estavam falando com Jesus. Foi usado por Natanael (</w:t>
      </w:r>
      <w:hyperlink r:id="rId11706">
        <w:r>
          <w:rPr>
            <w:color w:val="0000EE"/>
            <w:u w:val="single"/>
          </w:rPr>
          <w:t>Jo 1.49</w:t>
        </w:r>
      </w:hyperlink>
      <w:r>
        <w:t xml:space="preserve">), por Pedro e André (v. </w:t>
      </w:r>
      <w:hyperlink r:id="rId18030">
        <w:r>
          <w:rPr>
            <w:color w:val="0000EE"/>
            <w:u w:val="single"/>
          </w:rPr>
          <w:t>38</w:t>
        </w:r>
      </w:hyperlink>
      <w:r>
        <w:t>), por Nicodemos (</w:t>
      </w:r>
      <w:hyperlink r:id="rId15182">
        <w:r>
          <w:rPr>
            <w:color w:val="0000EE"/>
            <w:u w:val="single"/>
          </w:rPr>
          <w:t>3.2</w:t>
        </w:r>
      </w:hyperlink>
      <w:r>
        <w:t>), pelos discípulos como um grupo (</w:t>
      </w:r>
      <w:hyperlink r:id="rId7446">
        <w:r>
          <w:rPr>
            <w:color w:val="0000EE"/>
            <w:u w:val="single"/>
          </w:rPr>
          <w:t>9.2</w:t>
        </w:r>
      </w:hyperlink>
      <w:r>
        <w:t xml:space="preserve">; </w:t>
      </w:r>
      <w:hyperlink r:id="rId12418">
        <w:r>
          <w:rPr>
            <w:color w:val="0000EE"/>
            <w:u w:val="single"/>
          </w:rPr>
          <w:t>11.8</w:t>
        </w:r>
      </w:hyperlink>
      <w:r>
        <w:t>) e por uma multidão em geral (</w:t>
      </w:r>
      <w:hyperlink r:id="rId18031">
        <w:r>
          <w:rPr>
            <w:color w:val="0000EE"/>
            <w:u w:val="single"/>
          </w:rPr>
          <w:t>6.25</w:t>
        </w:r>
      </w:hyperlink>
      <w:r>
        <w:t>). Maria Madalena (</w:t>
      </w:r>
      <w:hyperlink r:id="rId18032">
        <w:r>
          <w:rPr>
            <w:color w:val="0000EE"/>
            <w:u w:val="single"/>
          </w:rPr>
          <w:t>Mc 10.51</w:t>
        </w:r>
      </w:hyperlink>
      <w:r>
        <w:t>) e o cego Bartimeu (</w:t>
      </w:r>
      <w:hyperlink r:id="rId2358">
        <w:r>
          <w:rPr>
            <w:color w:val="0000EE"/>
            <w:u w:val="single"/>
          </w:rPr>
          <w:t>Jo 20.16</w:t>
        </w:r>
      </w:hyperlink>
      <w:r>
        <w:t xml:space="preserve">) usam a forma mais longa, “rabboni”, para se dirigir a Jesus diretamente, indicando assim um respeito ainda mais profundo do que o uso do título menor “rabino”. Na época da escrita do Evangelho de João, o título “rabino” significava “mestre”; João afirma explicitamente isso em </w:t>
      </w:r>
      <w:hyperlink r:id="rId18030">
        <w:r>
          <w:rPr>
            <w:color w:val="0000EE"/>
            <w:u w:val="single"/>
          </w:rPr>
          <w:t>1.38</w:t>
        </w:r>
      </w:hyperlink>
      <w:r>
        <w:t xml:space="preserve"> e implicitamente diz isso em </w:t>
      </w:r>
      <w:hyperlink r:id="rId15182">
        <w:r>
          <w:rPr>
            <w:color w:val="0000EE"/>
            <w:u w:val="single"/>
          </w:rPr>
          <w:t>3.2</w:t>
        </w:r>
      </w:hyperlink>
      <w:r>
        <w:t>.</w:t>
      </w:r>
    </w:p>
    <w:p>
      <w:r/>
      <w:r>
        <w:t>Jesus condena os escribas e os fariseus por seu orgulho evidente exibido em seu amor de ser saudado nos mercados e sua insistência em ter as pessoas os chamando de “rabino” (</w:t>
      </w:r>
      <w:hyperlink r:id="rId18033">
        <w:r>
          <w:rPr>
            <w:color w:val="0000EE"/>
            <w:u w:val="single"/>
          </w:rPr>
          <w:t>Mt 23.7–8</w:t>
        </w:r>
      </w:hyperlink>
      <w:r>
        <w:t>). Jesus proibiu o uso do título para seus próprios discípulos, dizendo: “Você não deve ser chamado de rabino”. No entanto, a proibição de Jesus era mais contra buscar ser chamado assim e insistir nisso do que a posse legítima do título em si. Na verdade, quando as pessoas usaram o título de Jesus de uma maneira reverente, elas não foram de nenhuma maneira repreendidas.</w:t>
      </w:r>
      <w:r/>
      <w:r/>
    </w:p>
    <w:p>
      <w:r/>
    </w:p>
    <w:p>
      <w:pPr>
        <w:pStyle w:val="Heading2"/>
      </w:pPr>
      <w:r>
        <w:t>Rabôni*</w:t>
      </w:r>
      <w:r/>
    </w:p>
    <w:p>
      <w:r/>
      <w:r>
        <w:t xml:space="preserve">Variante de rabino em </w:t>
      </w:r>
      <w:hyperlink r:id="rId18032">
        <w:r>
          <w:rPr>
            <w:color w:val="0000EE"/>
            <w:u w:val="single"/>
          </w:rPr>
          <w:t>Mc 10.51</w:t>
        </w:r>
      </w:hyperlink>
      <w:r>
        <w:t xml:space="preserve"> e </w:t>
      </w:r>
      <w:hyperlink r:id="rId2358">
        <w:r>
          <w:rPr>
            <w:color w:val="0000EE"/>
            <w:u w:val="single"/>
          </w:rPr>
          <w:t>Jo 20.16</w:t>
        </w:r>
      </w:hyperlink>
      <w:r>
        <w:t xml:space="preserve">. </w:t>
      </w:r>
      <w:r>
        <w:rPr>
          <w:i/>
        </w:rPr>
        <w:t>Veja</w:t>
      </w:r>
      <w:r>
        <w:t xml:space="preserve"> </w:t>
      </w:r>
      <w:r>
        <w:t>Rabino</w:t>
      </w:r>
      <w:r>
        <w:t>.</w:t>
      </w:r>
      <w:r/>
      <w:r/>
    </w:p>
    <w:p>
      <w:r/>
    </w:p>
    <w:p>
      <w:pPr>
        <w:pStyle w:val="Heading2"/>
      </w:pPr>
      <w:r>
        <w:t>Raca</w:t>
      </w:r>
      <w:r/>
    </w:p>
    <w:p>
      <w:r/>
      <w:r>
        <w:t xml:space="preserve">Uma expressão depreciativa usada pelos judeus do primeiro século d.C. para demonstrar desprezo aberto por outra pessoa. </w:t>
      </w:r>
      <w:r>
        <w:rPr>
          <w:i/>
        </w:rPr>
        <w:t>Raca</w:t>
      </w:r>
      <w:r>
        <w:t xml:space="preserve"> é derivado de um termo aramaico e hebraico que significa "vazio" ou "sem valor". Raca significa "cabeça vazia". Provavelmente insulta o intelecto de alguém, não a moral.</w:t>
      </w:r>
    </w:p>
    <w:p>
      <w:r/>
      <w:r>
        <w:t>No Antigo Testamento, é comparável a:</w:t>
      </w:r>
    </w:p>
    <w:p>
      <w:pPr>
        <w:pStyle w:val="ListBullet"/>
        <w:spacing w:line="240" w:lineRule="auto"/>
        <w:ind w:left="720"/>
      </w:pPr>
      <w:r/>
      <w:r>
        <w:t>O bando inútil que Abimeleque contratou para segui-lo (</w:t>
      </w:r>
      <w:hyperlink r:id="rId4501">
        <w:r>
          <w:rPr>
            <w:color w:val="0000EE"/>
            <w:u w:val="single"/>
          </w:rPr>
          <w:t>Jz 9.4</w:t>
        </w:r>
      </w:hyperlink>
      <w:r>
        <w:t>);</w:t>
      </w:r>
    </w:p>
    <w:p>
      <w:pPr>
        <w:pStyle w:val="ListBullet"/>
        <w:spacing w:line="240" w:lineRule="auto"/>
        <w:ind w:left="720"/>
      </w:pPr>
      <w:r/>
      <w:r>
        <w:t>Os homens vadios que se reuniram ao redor de Jefté (</w:t>
      </w:r>
      <w:hyperlink r:id="rId18034">
        <w:r>
          <w:rPr>
            <w:color w:val="0000EE"/>
            <w:u w:val="single"/>
          </w:rPr>
          <w:t>Jz 11.3</w:t>
        </w:r>
      </w:hyperlink>
      <w:r>
        <w:t>);</w:t>
      </w:r>
    </w:p>
    <w:p>
      <w:pPr>
        <w:pStyle w:val="ListBullet"/>
        <w:spacing w:line="240" w:lineRule="auto"/>
        <w:ind w:left="720"/>
      </w:pPr>
      <w:r/>
      <w:r>
        <w:t>Os canalhas que se juntaram a Jeroboão (</w:t>
      </w:r>
      <w:hyperlink r:id="rId5672">
        <w:r>
          <w:rPr>
            <w:color w:val="0000EE"/>
            <w:u w:val="single"/>
          </w:rPr>
          <w:t>2Cr 13.7</w:t>
        </w:r>
      </w:hyperlink>
      <w:r>
        <w:t>).</w:t>
      </w:r>
    </w:p>
    <w:p>
      <w:r/>
      <w:r>
        <w:t>Mical acusou Davi de agir como um sujeito vulgar [</w:t>
      </w:r>
      <w:r>
        <w:rPr>
          <w:i/>
        </w:rPr>
        <w:t>raca</w:t>
      </w:r>
      <w:r>
        <w:t>] que se expôs descaradamente (</w:t>
      </w:r>
      <w:hyperlink r:id="rId18035">
        <w:r>
          <w:rPr>
            <w:color w:val="0000EE"/>
            <w:u w:val="single"/>
          </w:rPr>
          <w:t>2 Sm 6.20</w:t>
        </w:r>
      </w:hyperlink>
      <w:r>
        <w:t>). A literatura rabínica usava esse termo para descrever uma pessoa imoral e sem educação.</w:t>
      </w:r>
    </w:p>
    <w:p>
      <w:r/>
      <w:r>
        <w:t xml:space="preserve">Jesus advertiu contra chamar um irmão de </w:t>
      </w:r>
      <w:r>
        <w:rPr>
          <w:i/>
        </w:rPr>
        <w:t>“Raca!”</w:t>
      </w:r>
      <w:r>
        <w:t xml:space="preserve"> (</w:t>
      </w:r>
      <w:hyperlink r:id="rId9801">
        <w:r>
          <w:rPr>
            <w:color w:val="0000EE"/>
            <w:u w:val="single"/>
          </w:rPr>
          <w:t>Mt 5.22</w:t>
        </w:r>
      </w:hyperlink>
      <w:r>
        <w:t>). Jesus disse para julgar o insultador e puni-lo com a pena mais severa. O mandamento contra o assassinato (</w:t>
      </w:r>
      <w:hyperlink r:id="rId7203">
        <w:r>
          <w:rPr>
            <w:color w:val="0000EE"/>
            <w:u w:val="single"/>
          </w:rPr>
          <w:t>Êx 20.13</w:t>
        </w:r>
      </w:hyperlink>
      <w:r>
        <w:t>) proibia o ato, bem como pensamentos de raiva e desprezo.</w:t>
      </w:r>
      <w:r/>
      <w:r/>
    </w:p>
    <w:p>
      <w:r/>
    </w:p>
    <w:p>
      <w:pPr>
        <w:pStyle w:val="Heading2"/>
      </w:pPr>
      <w:r>
        <w:t>Rafa</w:t>
      </w:r>
      <w:r/>
    </w:p>
    <w:p>
      <w:r/>
      <w:r>
        <w:t>Quinto filho de Benjamim (</w:t>
      </w:r>
      <w:hyperlink r:id="rId18036">
        <w:r>
          <w:rPr>
            <w:color w:val="0000EE"/>
            <w:u w:val="single"/>
          </w:rPr>
          <w:t>1Cr 8.2</w:t>
        </w:r>
      </w:hyperlink>
      <w:r>
        <w:t xml:space="preserve">). Seu nome é omitido na lista anterior de </w:t>
      </w:r>
      <w:hyperlink r:id="rId661">
        <w:r>
          <w:rPr>
            <w:color w:val="0000EE"/>
            <w:u w:val="single"/>
          </w:rPr>
          <w:t>Gênesis 46.21</w:t>
        </w:r>
      </w:hyperlink>
      <w:r>
        <w:t>.</w:t>
      </w:r>
    </w:p>
    <w:p>
      <w:r/>
      <w:r/>
      <w:r/>
    </w:p>
    <w:p>
      <w:r/>
    </w:p>
    <w:p>
      <w:pPr>
        <w:pStyle w:val="Heading2"/>
      </w:pPr>
      <w:r>
        <w:t>Rafu</w:t>
      </w:r>
      <w:r/>
    </w:p>
    <w:p>
      <w:r/>
      <w:r>
        <w:t>Um benjamita e pai de Palti. Palti foi um dos 12 espiões que Moisés enviou para explorar a terra de Canaã (</w:t>
      </w:r>
      <w:hyperlink r:id="rId16194">
        <w:r>
          <w:rPr>
            <w:color w:val="0000EE"/>
            <w:u w:val="single"/>
          </w:rPr>
          <w:t>Nm 13.9</w:t>
        </w:r>
      </w:hyperlink>
      <w:r>
        <w:t>).</w:t>
      </w:r>
      <w:r/>
      <w:r/>
    </w:p>
    <w:p>
      <w:r/>
    </w:p>
    <w:p>
      <w:pPr>
        <w:pStyle w:val="Heading2"/>
      </w:pPr>
      <w:r>
        <w:t>Rainha</w:t>
      </w:r>
      <w:r/>
    </w:p>
    <w:p>
      <w:r/>
      <w:r>
        <w:t>Uma palavra usada para descrever uma monarca reinante, uma rainha consorte ou uma rainha-mãe.</w:t>
      </w:r>
    </w:p>
    <w:p>
      <w:r/>
      <w:r>
        <w:t>A Rainha de Sabá foi a mulher mais rica do mundo. Ela se tornou assim após visitar a luxuosa corte do Rei Salomão (</w:t>
      </w:r>
      <w:hyperlink r:id="rId18037">
        <w:r>
          <w:rPr>
            <w:color w:val="0000EE"/>
            <w:u w:val="single"/>
          </w:rPr>
          <w:t>1Rs 10.1</w:t>
        </w:r>
      </w:hyperlink>
      <w:r>
        <w:t xml:space="preserve">; </w:t>
      </w:r>
      <w:hyperlink r:id="rId3626">
        <w:r>
          <w:rPr>
            <w:color w:val="0000EE"/>
            <w:u w:val="single"/>
          </w:rPr>
          <w:t>Mt 12.42</w:t>
        </w:r>
      </w:hyperlink>
      <w:r>
        <w:t xml:space="preserve">; </w:t>
      </w:r>
      <w:hyperlink r:id="rId13383">
        <w:r>
          <w:rPr>
            <w:color w:val="0000EE"/>
            <w:u w:val="single"/>
          </w:rPr>
          <w:t>Lc 11.31</w:t>
        </w:r>
      </w:hyperlink>
      <w:r>
        <w:t xml:space="preserve">). Ela chegou com um grande séquito e camelos carregando ouro, joias e especiarias. Candace, rainha da Etiópia, é mencionada em </w:t>
      </w:r>
      <w:hyperlink r:id="rId4183">
        <w:r>
          <w:rPr>
            <w:color w:val="0000EE"/>
            <w:u w:val="single"/>
          </w:rPr>
          <w:t>At 8.27</w:t>
        </w:r>
      </w:hyperlink>
      <w:r>
        <w:t>. Um eunuco, um ministro sênior em sua corte, foi convertido por Filipe enquanto visitava Jerusalém.</w:t>
      </w:r>
    </w:p>
    <w:p>
      <w:r/>
      <w:r>
        <w:t>Na história judaica, Atalia reinou por seis anos. Ela pensou que havia matado todos os pretendentes rivais ao trono na família real (</w:t>
      </w:r>
      <w:hyperlink r:id="rId18038">
        <w:r>
          <w:rPr>
            <w:color w:val="0000EE"/>
            <w:u w:val="single"/>
          </w:rPr>
          <w:t>2Rs 11.3</w:t>
        </w:r>
      </w:hyperlink>
      <w:r>
        <w:t>). Além disso, Salomé Alexandra sucedeu seu marido, Alexandre Janneus, como governante de 76 a 67 a.C. Uma rainha consorte geralmente desempenhava um papel menor. Duas exceções são Bate-Seba (</w:t>
      </w:r>
      <w:hyperlink r:id="rId18039">
        <w:r>
          <w:rPr>
            <w:color w:val="0000EE"/>
            <w:u w:val="single"/>
          </w:rPr>
          <w:t>1Rs 1.15–31</w:t>
        </w:r>
      </w:hyperlink>
      <w:r>
        <w:t>) e Jezabel (</w:t>
      </w:r>
      <w:hyperlink r:id="rId2577">
        <w:r>
          <w:rPr>
            <w:color w:val="0000EE"/>
            <w:u w:val="single"/>
          </w:rPr>
          <w:t>1Rs 21.1–29</w:t>
        </w:r>
      </w:hyperlink>
      <w:r>
        <w:t>). Bate-Seba queria que seu filho sucedesse ao trono. Jezabel tramou uma falsa acusação que levou à morte de Nabote.</w:t>
      </w:r>
    </w:p>
    <w:p>
      <w:r/>
      <w:r>
        <w:t xml:space="preserve">A rainha-mãe desempenhava um papel poderoso. Ela não apenas governava a casa real, mas também era respeitada tanto pela corte quanto pelo monarca (cp. </w:t>
      </w:r>
      <w:hyperlink r:id="rId5750">
        <w:r>
          <w:rPr>
            <w:color w:val="0000EE"/>
            <w:u w:val="single"/>
          </w:rPr>
          <w:t>Êx 20.12</w:t>
        </w:r>
      </w:hyperlink>
      <w:r>
        <w:t>). Seus pedidos dificilmente eram negados (</w:t>
      </w:r>
      <w:hyperlink r:id="rId18040">
        <w:r>
          <w:rPr>
            <w:color w:val="0000EE"/>
            <w:u w:val="single"/>
          </w:rPr>
          <w:t>1Rs 2.20</w:t>
        </w:r>
      </w:hyperlink>
      <w:r>
        <w:t>). Como mãe do rei, ela era única. As esposas dele compartilhavam sua posição com outras. Maaca, rainha-mãe de Abias, até manteve sua autoridade durante grande parte do reinado de seu neto (</w:t>
      </w:r>
      <w:hyperlink r:id="rId18041">
        <w:r>
          <w:rPr>
            <w:color w:val="0000EE"/>
            <w:u w:val="single"/>
          </w:rPr>
          <w:t>1Rs 15.2,10,13</w:t>
        </w:r>
      </w:hyperlink>
      <w:r>
        <w:t xml:space="preserve">; </w:t>
      </w:r>
      <w:hyperlink r:id="rId13518">
        <w:r>
          <w:rPr>
            <w:color w:val="0000EE"/>
            <w:u w:val="single"/>
          </w:rPr>
          <w:t>2Cr 15.16</w:t>
        </w:r>
      </w:hyperlink>
      <w:r>
        <w:t>). A rainha-mãe foi coroada (</w:t>
      </w:r>
      <w:hyperlink r:id="rId18042">
        <w:r>
          <w:rPr>
            <w:color w:val="0000EE"/>
            <w:u w:val="single"/>
          </w:rPr>
          <w:t>Jr 13.18</w:t>
        </w:r>
      </w:hyperlink>
      <w:r>
        <w:t>). Bate-Seba, agora rainha, era poderosa o suficiente para sentar-se à direita do Rei Salomão (</w:t>
      </w:r>
      <w:hyperlink r:id="rId8821">
        <w:r>
          <w:rPr>
            <w:color w:val="0000EE"/>
            <w:u w:val="single"/>
          </w:rPr>
          <w:t>1Rs 2.19</w:t>
        </w:r>
      </w:hyperlink>
      <w:r>
        <w:t>).</w:t>
      </w:r>
      <w:r/>
      <w:r/>
    </w:p>
    <w:p>
      <w:r/>
    </w:p>
    <w:p>
      <w:pPr>
        <w:pStyle w:val="Heading2"/>
      </w:pPr>
      <w:r>
        <w:t>Raiva</w:t>
      </w:r>
      <w:r/>
    </w:p>
    <w:p>
      <w:r/>
      <w:r>
        <w:t xml:space="preserve">Palavra normalmente usada na Bíblia para se referir a raiva, fúria e indignação. Na maioria dos casos, a raiva é considerada errada. </w:t>
      </w:r>
      <w:hyperlink r:id="rId18043">
        <w:r>
          <w:rPr>
            <w:color w:val="0000EE"/>
            <w:u w:val="single"/>
          </w:rPr>
          <w:t>O Salmo 37.8</w:t>
        </w:r>
      </w:hyperlink>
      <w:r>
        <w:t xml:space="preserve"> (NTLH), por exemplo, ordena. “Não fique com raiva não fique furioso.” Jesus fez paralelo da raiva com um assassinato quando disse: “Mas eu lhes digo que qualquer um que ficar com raiva do seu irmão será julgado”. (</w:t>
      </w:r>
      <w:hyperlink r:id="rId9801">
        <w:r>
          <w:rPr>
            <w:color w:val="0000EE"/>
            <w:u w:val="single"/>
          </w:rPr>
          <w:t>Mt 5.22</w:t>
        </w:r>
      </w:hyperlink>
      <w:r>
        <w:t xml:space="preserve">, NTLH) — como se a pessoa tivesse realmente cometido o assassinato que ela sentiu em seu coração irado. </w:t>
      </w:r>
      <w:hyperlink r:id="rId3808">
        <w:r>
          <w:rPr>
            <w:color w:val="0000EE"/>
            <w:u w:val="single"/>
          </w:rPr>
          <w:t>Efésios 4.31</w:t>
        </w:r>
      </w:hyperlink>
      <w:r>
        <w:t xml:space="preserve"> e </w:t>
      </w:r>
      <w:hyperlink r:id="rId18044">
        <w:r>
          <w:rPr>
            <w:color w:val="0000EE"/>
            <w:u w:val="single"/>
          </w:rPr>
          <w:t>Colossenses 3.8</w:t>
        </w:r>
      </w:hyperlink>
      <w:r>
        <w:t xml:space="preserve"> ambos listam raiva, juntamente com amargura, ira, malícia e calúnia, como atitudes das quais os cristãos devem se livrar de uma vez por todas. Em sua lista de atributos para um bispo ou pastor de uma igreja, o apóstolo Paulo disse que um líder cristão não deve estar propenso à raiva, isto é, facilmente provocado (</w:t>
      </w:r>
      <w:hyperlink r:id="rId1420">
        <w:r>
          <w:rPr>
            <w:color w:val="0000EE"/>
            <w:u w:val="single"/>
          </w:rPr>
          <w:t>Tt 1.7</w:t>
        </w:r>
      </w:hyperlink>
      <w:r>
        <w:t>).</w:t>
      </w:r>
    </w:p>
    <w:p>
      <w:r/>
      <w:r>
        <w:t>A Bíblia reconhece que os seres humanos ficam zangados; não condena a raiva em si mesma, mas o que muitas vezes acontece como resultado disso. Os seres humanos têm o hábito de deixar sua raiva tirar o melhor deles, fazendo-os pecar. É por isso que o apóstolo Paulo disse. “Se vocês ficarem com raiva, não deixem que isso faça com que pequem” (</w:t>
      </w:r>
      <w:hyperlink r:id="rId3773">
        <w:r>
          <w:rPr>
            <w:color w:val="0000EE"/>
            <w:u w:val="single"/>
          </w:rPr>
          <w:t>Ef 4.26</w:t>
        </w:r>
      </w:hyperlink>
      <w:r>
        <w:t xml:space="preserve">, NTLH). Quanto mais tempo uma pessoa permitir que a raiva continue, maior o perigo de que ela desenvolva qualidades pecaminosas, abrindo espaço para Satanás (ver </w:t>
      </w:r>
      <w:hyperlink r:id="rId17335">
        <w:r>
          <w:rPr>
            <w:color w:val="0000EE"/>
            <w:u w:val="single"/>
          </w:rPr>
          <w:t>Ef 4.27</w:t>
        </w:r>
      </w:hyperlink>
      <w:r>
        <w:t>).</w:t>
      </w:r>
    </w:p>
    <w:p>
      <w:r/>
      <w:r>
        <w:t>Um tipo positivo de raiva também é mencionada na Bíblia. “Indignação justa” se refere ao extremo desprazer de um coração santo incapaz de tolerar qualquer tipo de pecado. A ira de Deus contém este elemento. o homem deveria ser bom, mas ele peca — e Deus está irado “porque este povo quebrou a aliança que o SENHOR, o Deus dos seus antepassados, fez com eles quando os tirou do Egito. Eles se ajoelharam diante de outros deuses e os adoraram, deuses cujo amor eles não haviam sentido, deuses que Deus não havia indicado para serem adorados pelo seu povo” (</w:t>
      </w:r>
      <w:hyperlink r:id="rId18045">
        <w:r>
          <w:rPr>
            <w:color w:val="0000EE"/>
            <w:u w:val="single"/>
          </w:rPr>
          <w:t>Deuteronômio 29.25–26</w:t>
        </w:r>
      </w:hyperlink>
      <w:r>
        <w:t>). Foi nesse sentido também que a raiva de Moisés ardeu no Monte Sinai e o fez despedaçar as tábuas da aliança no chão quando viu o bezerro de ouro e a idolatria de Israel (</w:t>
      </w:r>
      <w:hyperlink r:id="rId18046">
        <w:r>
          <w:rPr>
            <w:color w:val="0000EE"/>
            <w:u w:val="single"/>
          </w:rPr>
          <w:t>Êx 32.19</w:t>
        </w:r>
      </w:hyperlink>
      <w:r>
        <w:t>).</w:t>
      </w:r>
    </w:p>
    <w:p>
      <w:r/>
      <w:r>
        <w:t>No NT, Marcos diz que Jesus olhou com raiva para os fariseus, que estavam esperando pegá-lo quebrando a lei deles (</w:t>
      </w:r>
      <w:hyperlink r:id="rId5664">
        <w:r>
          <w:rPr>
            <w:color w:val="0000EE"/>
            <w:u w:val="single"/>
          </w:rPr>
          <w:t>Mc 3.5</w:t>
        </w:r>
      </w:hyperlink>
      <w:r>
        <w:t>). A raiva de Jesus também foi demonstrada em sua purificação do templo (</w:t>
      </w:r>
      <w:hyperlink r:id="rId4140">
        <w:r>
          <w:rPr>
            <w:color w:val="0000EE"/>
            <w:u w:val="single"/>
          </w:rPr>
          <w:t>Jo 2.13–22</w:t>
        </w:r>
      </w:hyperlink>
      <w:r>
        <w:t>); que deveria ter sido um lugar de oração, mas estava sendo usado como um local de negócios. Então Jesus “entrou no Templo e começou a expulsar os mercadores e seus clientes. Ele derrubou as mesas dos cambistas e as cadeiras daqueles que vendiam pombas” (</w:t>
      </w:r>
      <w:hyperlink r:id="rId3070">
        <w:r>
          <w:rPr>
            <w:color w:val="0000EE"/>
            <w:u w:val="single"/>
          </w:rPr>
          <w:t>Mt 21.12</w:t>
        </w:r>
      </w:hyperlink>
      <w:r>
        <w:t>, NTLH). Sua santa indignação não era nem uma fraqueza, nem um pecado. Tal raiva é uma resposta apropriada à iniquidade e injustiça, especialmente quando elas estão aparentemente impunes.</w:t>
      </w:r>
      <w:r/>
      <w:r/>
    </w:p>
    <w:p>
      <w:r/>
    </w:p>
    <w:p>
      <w:pPr>
        <w:pStyle w:val="Heading2"/>
      </w:pPr>
      <w:r>
        <w:t>Ramá</w:t>
      </w:r>
      <w:r/>
    </w:p>
    <w:p>
      <w:pPr>
        <w:pStyle w:val="ListNumber"/>
        <w:spacing w:line="240" w:lineRule="auto"/>
        <w:ind w:left="720"/>
      </w:pPr>
      <w:r/>
      <w:r>
        <w:t>Uma das cidades localizadas no território dado à tribo de Benjamim como herança, listada entre Gibeão e Beerote (</w:t>
      </w:r>
      <w:hyperlink r:id="rId18047">
        <w:r>
          <w:rPr>
            <w:color w:val="0000EE"/>
            <w:u w:val="single"/>
          </w:rPr>
          <w:t>Js 18.25</w:t>
        </w:r>
      </w:hyperlink>
      <w:r>
        <w:t>). Raquel, esposa de Jacó, foi enterrada perto desta cidade (</w:t>
      </w:r>
      <w:hyperlink r:id="rId3570">
        <w:r>
          <w:rPr>
            <w:color w:val="0000EE"/>
            <w:u w:val="single"/>
          </w:rPr>
          <w:t>Mt 2.18</w:t>
        </w:r>
      </w:hyperlink>
      <w:r>
        <w:t xml:space="preserve">; cp. </w:t>
      </w:r>
      <w:hyperlink r:id="rId18048">
        <w:r>
          <w:rPr>
            <w:color w:val="0000EE"/>
            <w:u w:val="single"/>
          </w:rPr>
          <w:t>Gn 35.16–21</w:t>
        </w:r>
      </w:hyperlink>
      <w:r>
        <w:t xml:space="preserve">; </w:t>
      </w:r>
      <w:hyperlink r:id="rId3571">
        <w:r>
          <w:rPr>
            <w:color w:val="0000EE"/>
            <w:u w:val="single"/>
          </w:rPr>
          <w:t>Jr 31.15</w:t>
        </w:r>
      </w:hyperlink>
      <w:r>
        <w:t>). Ramá, que ficava perto de Betel, foi o lugar onde Débora julgou Israel (</w:t>
      </w:r>
      <w:hyperlink r:id="rId5249">
        <w:r>
          <w:rPr>
            <w:color w:val="0000EE"/>
            <w:u w:val="single"/>
          </w:rPr>
          <w:t>Jz 4.5</w:t>
        </w:r>
      </w:hyperlink>
      <w:r>
        <w:t>). Esta cidade foi um local de descanso temporário para um levita e sua concubina viajando para o norte de Belém (</w:t>
      </w:r>
      <w:hyperlink r:id="rId18049">
        <w:r>
          <w:rPr>
            <w:color w:val="0000EE"/>
            <w:u w:val="single"/>
          </w:rPr>
          <w:t>Jz 19.13</w:t>
        </w:r>
      </w:hyperlink>
      <w:r>
        <w:t>).</w:t>
      </w:r>
    </w:p>
    <w:p>
      <w:r/>
      <w:r>
        <w:t>Durante o período do reino dividido, de 930 a 722 a.C., o Rei Baasa de Israel fortaleceu Ramá. De Ramá, Baasa conseguiu impedir uma invasão do exército judaico do Rei Asa. Mais tarde, Baasa deixou a cidade e apressou seu exército para o norte para lutar contra um ataque sírio liderado pelo Rei Ben-Hadade I por volta de 885 a.C. Asa destruiu as defesas militares de Ramá e usou o material para construir as cidades de Geba e Mispa (</w:t>
      </w:r>
      <w:hyperlink r:id="rId18050">
        <w:r>
          <w:rPr>
            <w:color w:val="0000EE"/>
            <w:u w:val="single"/>
          </w:rPr>
          <w:t>1Rs 15.17–22</w:t>
        </w:r>
      </w:hyperlink>
      <w:r>
        <w:t xml:space="preserve">; </w:t>
      </w:r>
      <w:hyperlink r:id="rId18051">
        <w:r>
          <w:rPr>
            <w:color w:val="0000EE"/>
            <w:u w:val="single"/>
          </w:rPr>
          <w:t>2 Cr 16.1–6</w:t>
        </w:r>
      </w:hyperlink>
      <w:r>
        <w:t>).</w:t>
      </w:r>
    </w:p>
    <w:p>
      <w:r/>
      <w:r>
        <w:t>O exército assírio, liderado por Senaqueribe, invadiu Judá através das cidades de Geba, Ramá e Gibeá em 701 a.C. contra o Rei Ezequias e Jerusalém (</w:t>
      </w:r>
      <w:hyperlink r:id="rId18052">
        <w:r>
          <w:rPr>
            <w:color w:val="0000EE"/>
            <w:u w:val="single"/>
          </w:rPr>
          <w:t>Is 10.29</w:t>
        </w:r>
      </w:hyperlink>
      <w:r>
        <w:t>). Mais tarde, o Rei Nabucodonosor usou Ramá para deter os judeus que estavam sendo deportados para a Babilônia. Aqui Nebuzaradã, o capitão da guarda, libertou Jeremias de entre os cativos (</w:t>
      </w:r>
      <w:hyperlink r:id="rId18053">
        <w:r>
          <w:rPr>
            <w:color w:val="0000EE"/>
            <w:u w:val="single"/>
          </w:rPr>
          <w:t>Jr 40.1</w:t>
        </w:r>
      </w:hyperlink>
      <w:r>
        <w:t>).</w:t>
      </w:r>
    </w:p>
    <w:p>
      <w:r/>
      <w:r>
        <w:t>Após o cativeiro babilônico, o povo que vivia em Ramá retornou com Zorobabel para a Palestina e reconstruiu a cidade (</w:t>
      </w:r>
      <w:hyperlink r:id="rId18054">
        <w:r>
          <w:rPr>
            <w:color w:val="0000EE"/>
            <w:u w:val="single"/>
          </w:rPr>
          <w:t>Ed 2.26</w:t>
        </w:r>
      </w:hyperlink>
      <w:r>
        <w:t xml:space="preserve">; </w:t>
      </w:r>
      <w:hyperlink r:id="rId18055">
        <w:r>
          <w:rPr>
            <w:color w:val="0000EE"/>
            <w:u w:val="single"/>
          </w:rPr>
          <w:t>Ne 7.30</w:t>
        </w:r>
      </w:hyperlink>
      <w:r>
        <w:t>). Alguns sugerem que, após o exílio na Babilônia, Ramá era outra cidade benjaminita localizada mais a oeste, perto da planície costeira (</w:t>
      </w:r>
      <w:hyperlink r:id="rId18056">
        <w:r>
          <w:rPr>
            <w:color w:val="0000EE"/>
            <w:u w:val="single"/>
          </w:rPr>
          <w:t>Ne 11.33</w:t>
        </w:r>
      </w:hyperlink>
      <w:r>
        <w:t>). O local de Ramá é identificado com a moderna vila de Er-Ram, 8 quilômetros ao norte de Jerusalém.</w:t>
      </w:r>
    </w:p>
    <w:p>
      <w:pPr>
        <w:pStyle w:val="ListNumber"/>
        <w:spacing w:line="240" w:lineRule="auto"/>
        <w:ind w:left="720"/>
      </w:pPr>
      <w:r/>
      <w:r>
        <w:t>Uma cidade no Neguebe marcando a fronteira sul da tribo de Simeão dentro da terra de Judá (</w:t>
      </w:r>
      <w:hyperlink r:id="rId18057">
        <w:r>
          <w:rPr>
            <w:color w:val="0000EE"/>
            <w:u w:val="single"/>
          </w:rPr>
          <w:t>Js 19.8</w:t>
        </w:r>
      </w:hyperlink>
      <w:r>
        <w:t>). Também é chamada de Ramote do Neguebe (</w:t>
      </w:r>
      <w:hyperlink r:id="rId3490">
        <w:r>
          <w:rPr>
            <w:color w:val="0000EE"/>
            <w:u w:val="single"/>
          </w:rPr>
          <w:t>1Sm 30.27</w:t>
        </w:r>
      </w:hyperlink>
      <w:r>
        <w:t>) e Baalate-Beer (</w:t>
      </w:r>
      <w:hyperlink r:id="rId18057">
        <w:r>
          <w:rPr>
            <w:color w:val="0000EE"/>
            <w:u w:val="single"/>
          </w:rPr>
          <w:t>Js 19.8</w:t>
        </w:r>
      </w:hyperlink>
      <w:r>
        <w:t xml:space="preserve">; cp. </w:t>
      </w:r>
      <w:hyperlink r:id="rId18058">
        <w:r>
          <w:rPr>
            <w:color w:val="0000EE"/>
            <w:u w:val="single"/>
          </w:rPr>
          <w:t>1Cr 4.33</w:t>
        </w:r>
      </w:hyperlink>
      <w:r>
        <w:t>).</w:t>
      </w:r>
    </w:p>
    <w:p>
      <w:r/>
      <w:r>
        <w:rPr>
          <w:i/>
        </w:rPr>
        <w:t>Veja</w:t>
      </w:r>
      <w:r>
        <w:t xml:space="preserve"> </w:t>
      </w:r>
      <w:r>
        <w:t>Baalate-Beer</w:t>
      </w:r>
      <w:r>
        <w:t>.</w:t>
      </w:r>
    </w:p>
    <w:p>
      <w:pPr>
        <w:pStyle w:val="ListNumber"/>
        <w:spacing w:line="240" w:lineRule="auto"/>
        <w:ind w:left="720"/>
      </w:pPr>
      <w:r/>
      <w:r>
        <w:t>Uma cidade na fronteira da tribo de Aser. É mencionada como estando entre Sidom e Tiro (</w:t>
      </w:r>
      <w:hyperlink r:id="rId287">
        <w:r>
          <w:rPr>
            <w:color w:val="0000EE"/>
            <w:u w:val="single"/>
          </w:rPr>
          <w:t>Js 19.29</w:t>
        </w:r>
      </w:hyperlink>
      <w:r>
        <w:t>).</w:t>
      </w:r>
    </w:p>
    <w:p>
      <w:pPr>
        <w:pStyle w:val="ListNumber"/>
        <w:spacing w:line="240" w:lineRule="auto"/>
        <w:ind w:left="720"/>
      </w:pPr>
      <w:r/>
      <w:r>
        <w:t>Uma das 19 cidades fortificadas dadas à tribo de Naftali. É mencionada como estando entre Adama e Hazor (</w:t>
      </w:r>
      <w:hyperlink r:id="rId18059">
        <w:r>
          <w:rPr>
            <w:color w:val="0000EE"/>
            <w:u w:val="single"/>
          </w:rPr>
          <w:t>Js 19.36</w:t>
        </w:r>
      </w:hyperlink>
      <w:r>
        <w:t>). É a cidade moderna de Er-Ramé, cerca de 17,7 quilômetros a noroeste do Mar da Galileia.</w:t>
      </w:r>
    </w:p>
    <w:p>
      <w:pPr>
        <w:pStyle w:val="ListNumber"/>
        <w:spacing w:line="240" w:lineRule="auto"/>
        <w:ind w:left="720"/>
      </w:pPr>
      <w:r/>
      <w:r>
        <w:t>A casa dos pais de Samuel, Elcana e Ana, é o local de nascimento de Samuel (</w:t>
      </w:r>
      <w:hyperlink r:id="rId7783">
        <w:r>
          <w:rPr>
            <w:color w:val="0000EE"/>
            <w:u w:val="single"/>
          </w:rPr>
          <w:t>1Sm 1.19</w:t>
        </w:r>
      </w:hyperlink>
      <w:r>
        <w:t xml:space="preserve">; </w:t>
      </w:r>
      <w:hyperlink r:id="rId18060">
        <w:r>
          <w:rPr>
            <w:color w:val="0000EE"/>
            <w:u w:val="single"/>
          </w:rPr>
          <w:t>2.11</w:t>
        </w:r>
      </w:hyperlink>
      <w:r>
        <w:t>). Tornou-se sua casa mais tarde (</w:t>
      </w:r>
      <w:hyperlink r:id="rId18061">
        <w:r>
          <w:rPr>
            <w:color w:val="0000EE"/>
            <w:u w:val="single"/>
          </w:rPr>
          <w:t>1Sm 7.17</w:t>
        </w:r>
      </w:hyperlink>
      <w:r>
        <w:t xml:space="preserve">; </w:t>
      </w:r>
      <w:hyperlink r:id="rId18062">
        <w:r>
          <w:rPr>
            <w:color w:val="0000EE"/>
            <w:u w:val="single"/>
          </w:rPr>
          <w:t>16.13</w:t>
        </w:r>
      </w:hyperlink>
      <w:r>
        <w:t>). Samuel julgou Israel em Ramá, Betel, Gilgal e Mispa (</w:t>
      </w:r>
      <w:hyperlink r:id="rId18061">
        <w:r>
          <w:rPr>
            <w:color w:val="0000EE"/>
            <w:u w:val="single"/>
          </w:rPr>
          <w:t>1Sm 7.17</w:t>
        </w:r>
      </w:hyperlink>
      <w:r>
        <w:t>). Saul encontrou Samuel pela primeira vez nesta cidade (</w:t>
      </w:r>
      <w:hyperlink r:id="rId18063">
        <w:r>
          <w:rPr>
            <w:color w:val="0000EE"/>
            <w:u w:val="single"/>
          </w:rPr>
          <w:t>1Sm 9.6–10</w:t>
        </w:r>
      </w:hyperlink>
      <w:r>
        <w:t>). Aqui, os anciãos de Israel pediram a Samuel que nomeasse um rei para eles (</w:t>
      </w:r>
      <w:hyperlink r:id="rId18064">
        <w:r>
          <w:rPr>
            <w:color w:val="0000EE"/>
            <w:u w:val="single"/>
          </w:rPr>
          <w:t>1Sm 8.4</w:t>
        </w:r>
      </w:hyperlink>
      <w:r>
        <w:t>). Mais tarde, Davi refugiou-se aqui do Rei Saul (</w:t>
      </w:r>
      <w:hyperlink r:id="rId18065">
        <w:r>
          <w:rPr>
            <w:color w:val="0000EE"/>
            <w:u w:val="single"/>
          </w:rPr>
          <w:t>1Sm 19.18–20.1</w:t>
        </w:r>
      </w:hyperlink>
      <w:r>
        <w:t>). Samuel foi enterrado em Ramá (</w:t>
      </w:r>
      <w:hyperlink r:id="rId4608">
        <w:r>
          <w:rPr>
            <w:color w:val="0000EE"/>
            <w:u w:val="single"/>
          </w:rPr>
          <w:t>1Sm 25.1</w:t>
        </w:r>
      </w:hyperlink>
      <w:r>
        <w:t xml:space="preserve">; </w:t>
      </w:r>
      <w:hyperlink r:id="rId18066">
        <w:r>
          <w:rPr>
            <w:color w:val="0000EE"/>
            <w:u w:val="single"/>
          </w:rPr>
          <w:t>28.3</w:t>
        </w:r>
      </w:hyperlink>
      <w:r>
        <w:t xml:space="preserve">). Ramá é alternadamente chamada de Ramataim-Zofim em </w:t>
      </w:r>
      <w:hyperlink r:id="rId7702">
        <w:r>
          <w:rPr>
            <w:color w:val="0000EE"/>
            <w:u w:val="single"/>
          </w:rPr>
          <w:t>1 Samuel 1.1</w:t>
        </w:r>
      </w:hyperlink>
      <w:r>
        <w:t>.</w:t>
      </w:r>
    </w:p>
    <w:p>
      <w:pPr>
        <w:pStyle w:val="ListNumber"/>
        <w:spacing w:line="240" w:lineRule="auto"/>
        <w:ind w:left="720"/>
      </w:pPr>
      <w:r/>
      <w:r>
        <w:t>Um nome abreviado para Ramote-Gileade (</w:t>
      </w:r>
      <w:hyperlink r:id="rId18067">
        <w:r>
          <w:rPr>
            <w:color w:val="0000EE"/>
            <w:u w:val="single"/>
          </w:rPr>
          <w:t>2Rs 8.29</w:t>
        </w:r>
      </w:hyperlink>
      <w:r>
        <w:t xml:space="preserve">; </w:t>
      </w:r>
      <w:hyperlink r:id="rId18068">
        <w:r>
          <w:rPr>
            <w:color w:val="0000EE"/>
            <w:u w:val="single"/>
          </w:rPr>
          <w:t>2 Cr 22.6</w:t>
        </w:r>
      </w:hyperlink>
      <w:r>
        <w:t>).</w:t>
      </w:r>
    </w:p>
    <w:p>
      <w:r/>
      <w:r>
        <w:rPr>
          <w:i/>
        </w:rPr>
        <w:t>Veja</w:t>
      </w:r>
      <w:r>
        <w:t xml:space="preserve"> </w:t>
      </w:r>
      <w:r>
        <w:t>Ramote-Gileade</w:t>
      </w:r>
      <w:r>
        <w:t>.</w:t>
      </w:r>
      <w:r/>
      <w:r/>
    </w:p>
    <w:p>
      <w:r/>
    </w:p>
    <w:p>
      <w:pPr>
        <w:pStyle w:val="Heading2"/>
      </w:pPr>
      <w:r>
        <w:t>Ramessés (Lugar)</w:t>
      </w:r>
      <w:r/>
    </w:p>
    <w:p>
      <w:r/>
      <w:r>
        <w:t xml:space="preserve">Um lugar (também chamado de Ra'amses ou Ramsés) mencionado com Pitom em </w:t>
      </w:r>
      <w:hyperlink r:id="rId4245">
        <w:r>
          <w:rPr>
            <w:color w:val="0000EE"/>
            <w:u w:val="single"/>
          </w:rPr>
          <w:t>Êxodo 1.11</w:t>
        </w:r>
      </w:hyperlink>
      <w:r>
        <w:t>. É um dos locais onde os hebreus foram forçados a trabalhar em projetos de construção para o Faraó. Aqui, eles sofreram sob pesados fardos impostos pelos oficiais do Faraó. Mais tarde, eles escaparam dessa opressão e começaram sua jornada para a terra Prometida (</w:t>
      </w:r>
      <w:hyperlink r:id="rId8830">
        <w:r>
          <w:rPr>
            <w:color w:val="0000EE"/>
            <w:u w:val="single"/>
          </w:rPr>
          <w:t>Êx 12.37</w:t>
        </w:r>
      </w:hyperlink>
      <w:r>
        <w:t xml:space="preserve">; </w:t>
      </w:r>
      <w:hyperlink r:id="rId18069">
        <w:r>
          <w:rPr>
            <w:color w:val="0000EE"/>
            <w:u w:val="single"/>
          </w:rPr>
          <w:t>Nm 33.3</w:t>
        </w:r>
      </w:hyperlink>
      <w:r>
        <w:t>). A localização exata deste lugar é importante para determinar quando o Êxodo do Egito aconteceu.</w:t>
      </w:r>
    </w:p>
    <w:p>
      <w:r/>
      <w:r>
        <w:t>O poderoso rei Ramessés II (que governou de 1290 a 1224 a.C.) construiu muitos edifícios na região do Delta Leste. O ambicioso faraó desejava criar um novo centro para seu reino. Ele escolheu Avaris, a antiga residência de sua família, como ponto de partida. Seu pai já havia construído um palácio de verão lá. No lado norte de Avaris, Ramessés II construiu um magnífico palácio que ele chamou de Pi-Ramessés.</w:t>
      </w:r>
    </w:p>
    <w:p>
      <w:r/>
      <w:r>
        <w:t>Especialistas debateram onde este local estava realmente situado. Alguns sugeriram que era em Pelusim (no Mar Mediterrâneo) ou em Tanis (também chamada de Zoã). A sugestão de Tanis agora é rejeitada porque a alvenaria lá era feita de material reutilizado de outros lugares e não de construção original.</w:t>
      </w:r>
    </w:p>
    <w:p>
      <w:r/>
      <w:r>
        <w:t>No entanto, 30,6 quilômetros ao sul de Tânis, perto da cidade de Qantir, arqueólogos encontraram restos significativos. Estes incluem:</w:t>
      </w:r>
    </w:p>
    <w:p>
      <w:pPr>
        <w:pStyle w:val="ListBullet"/>
        <w:spacing w:line="240" w:lineRule="auto"/>
        <w:ind w:left="720"/>
      </w:pPr>
      <w:r/>
      <w:r>
        <w:t>um palácio iniciado por Seti I (pai de Ramessés II);</w:t>
      </w:r>
    </w:p>
    <w:p>
      <w:pPr>
        <w:pStyle w:val="ListBullet"/>
        <w:spacing w:line="240" w:lineRule="auto"/>
        <w:ind w:left="720"/>
      </w:pPr>
      <w:r/>
      <w:r>
        <w:t>uma fábrica de vidros próxima;</w:t>
      </w:r>
    </w:p>
    <w:p>
      <w:pPr>
        <w:pStyle w:val="ListBullet"/>
        <w:spacing w:line="240" w:lineRule="auto"/>
        <w:ind w:left="720"/>
      </w:pPr>
      <w:r/>
      <w:r>
        <w:t>casas de príncipes e altos funcionários;</w:t>
      </w:r>
    </w:p>
    <w:p>
      <w:pPr>
        <w:pStyle w:val="ListBullet"/>
        <w:spacing w:line="240" w:lineRule="auto"/>
        <w:ind w:left="720"/>
      </w:pPr>
      <w:r/>
      <w:r>
        <w:t>vestígios de um templo e salões de reuniões públicas.</w:t>
      </w:r>
    </w:p>
    <w:p>
      <w:r/>
      <w:r>
        <w:t>Essas descobertas são agora reconhecidas como o local de Ra'amses (Pi-Ramessés). O centro original, construído pelos hicsos (um grupo de governantes estrangeiros), foi destruído quando esses estrangeiros foram expulsos do Egito no início da 18ª dinastia (por volta de 1552–1306 a.C.). O local foi abandonado por um tempo, mas mais tarde foi reconstruído durante a 19ª dinastia. Ramessés II decorou extensivamente o palácio de seu pai e estabeleceu áreas próximas para suas forças militares:</w:t>
      </w:r>
    </w:p>
    <w:p>
      <w:pPr>
        <w:pStyle w:val="ListBullet"/>
        <w:spacing w:line="240" w:lineRule="auto"/>
        <w:ind w:left="720"/>
      </w:pPr>
      <w:r/>
      <w:r>
        <w:t>um local de encontro para seus carros de guerra;</w:t>
      </w:r>
    </w:p>
    <w:p>
      <w:pPr>
        <w:pStyle w:val="ListBullet"/>
        <w:spacing w:line="240" w:lineRule="auto"/>
        <w:ind w:left="720"/>
      </w:pPr>
      <w:r/>
      <w:r>
        <w:t>um campo de treinamento para sua infantaria, e;</w:t>
      </w:r>
    </w:p>
    <w:p>
      <w:pPr>
        <w:pStyle w:val="ListBullet"/>
        <w:spacing w:line="240" w:lineRule="auto"/>
        <w:ind w:left="720"/>
      </w:pPr>
      <w:r/>
      <w:r>
        <w:t>uma área de atracação para os seus navios.</w:t>
      </w:r>
    </w:p>
    <w:p>
      <w:r/>
      <w:r>
        <w:rPr>
          <w:i/>
        </w:rPr>
        <w:t>Veja também</w:t>
      </w:r>
      <w:r>
        <w:t xml:space="preserve"> </w:t>
      </w:r>
      <w:r>
        <w:t>Egito, Egípcio</w:t>
      </w:r>
      <w:r>
        <w:t xml:space="preserve">; </w:t>
      </w:r>
      <w:r>
        <w:t>Pitom</w:t>
      </w:r>
      <w:r>
        <w:t>.</w:t>
      </w:r>
      <w:r/>
      <w:r/>
    </w:p>
    <w:p>
      <w:r/>
    </w:p>
    <w:p>
      <w:pPr>
        <w:pStyle w:val="Heading2"/>
      </w:pPr>
      <w:r>
        <w:t>Ramessés (Pessoa)</w:t>
      </w:r>
      <w:r/>
    </w:p>
    <w:p>
      <w:r/>
      <w:r>
        <w:t>O nome de 11 reis que governaram o Egito durante as dinastias egípcias 19 e 20 (também escrito Ramessés).</w:t>
      </w:r>
    </w:p>
    <w:p>
      <w:pPr>
        <w:pStyle w:val="Heading3"/>
      </w:pPr>
      <w:r>
        <w:t>Ramessés II</w:t>
      </w:r>
    </w:p>
    <w:p>
      <w:r/>
      <w:r>
        <w:t>Ramessés II governou por cerca de 67 anos (de aproximadamente 1290 a 1224 a.C.). Ele era conhecido como Ramessés, o Grande, principalmente por ter construído muitas estruturas importantes. Estas incluíam:</w:t>
      </w:r>
    </w:p>
    <w:p>
      <w:pPr>
        <w:pStyle w:val="ListBullet"/>
        <w:spacing w:line="240" w:lineRule="auto"/>
        <w:ind w:left="720"/>
      </w:pPr>
      <w:r/>
      <w:r>
        <w:t>seu templo funerário em Tebas (conhecido como Ramesseum);</w:t>
      </w:r>
    </w:p>
    <w:p>
      <w:pPr>
        <w:pStyle w:val="ListBullet"/>
        <w:spacing w:line="240" w:lineRule="auto"/>
        <w:ind w:left="720"/>
      </w:pPr>
      <w:r/>
      <w:r>
        <w:t>o templo esculpido na rocha em Abu Simbel, na Núbia, e;</w:t>
      </w:r>
    </w:p>
    <w:p>
      <w:pPr>
        <w:pStyle w:val="ListBullet"/>
        <w:spacing w:line="240" w:lineRule="auto"/>
        <w:ind w:left="720"/>
      </w:pPr>
      <w:r/>
      <w:r>
        <w:t>acréscimos aos templos de Karnak e Luxor.</w:t>
      </w:r>
    </w:p>
    <w:p>
      <w:r/>
      <w:r>
        <w:t>As imagens nas paredes de seu templo o mostram como um grande líder militar. Ele lutou contra os hititas em Kadesh, no rio Orontes. Durante essa batalha, ele cometeu um erro sério que quase lhe custou a vida. A batalha terminou sem um vencedor claro, mas Ramessés a retratou como uma vitória egípcia em seus templos no Ramasseum e em Abu Simbel. Seu acordo de paz com os hititas é o tratado de paz internacional mais antigo conhecido. Algumas pessoas sugeriram que ele foi o faraó que oprimiu os israelitas, mas isso não é provável (</w:t>
      </w:r>
      <w:hyperlink r:id="rId18070">
        <w:r>
          <w:rPr>
            <w:color w:val="0000EE"/>
            <w:u w:val="single"/>
          </w:rPr>
          <w:t>Êx 1.8–11</w:t>
        </w:r>
      </w:hyperlink>
      <w:r>
        <w:t>).</w:t>
      </w:r>
    </w:p>
    <w:p>
      <w:pPr>
        <w:pStyle w:val="Heading3"/>
      </w:pPr>
      <w:r>
        <w:t>Ramessés III</w:t>
      </w:r>
    </w:p>
    <w:p>
      <w:r/>
      <w:r>
        <w:t>Ramessés III, que governou de 1195 a 1124 a.C., fazia parte da 20ª dinastia. Ele protegeu o Egito de uma invasão dos Povos do Mar em uma batalha que ocorreu tanto em terra quanto no mar no Delta do Nilo. Ele construiu um grande complexo de templo funerário e uma residência real na área de Tebas, em um lugar chamado Medinet Habu.</w:t>
      </w:r>
    </w:p>
    <w:p>
      <w:r/>
      <w:r>
        <w:t>Na parede externa norte da área do templo, estão as primeiras imagens conhecidas de uma batalha naval. Entre os inimigos capturados estão os Peleset, que muitos acreditam serem os filisteus. As paredes externas também exibem cenas esculpidas excelentes de caçadas de leões e touros selvagens.</w:t>
      </w:r>
    </w:p>
    <w:p>
      <w:r/>
      <w:r>
        <w:t>No final do reinado de Ramessés III, surge o famoso Papiro Harris, que lista todos os presentes que o rei deu ao deus Amon. Durante esse período, trabalhadores nos cemitérios reais entraram em greve porque não foram pagos. Greves semelhantes ocorreram durante os tempos de Ramessés IX e Ramessés X. Registros do final do reinado de Ramessés III mencionam um julgamento por conspiração nos aposentos das mulheres reais, que aparentemente resultou na morte de Ramessés III.</w:t>
      </w:r>
    </w:p>
    <w:p>
      <w:pPr>
        <w:pStyle w:val="Heading3"/>
      </w:pPr>
      <w:r>
        <w:t>Outros Reis Ramessés</w:t>
      </w:r>
    </w:p>
    <w:p>
      <w:r/>
      <w:r>
        <w:t>Os outros reis chamados Ramessés foram governantes menores que não desempenharam papéis importantes na história. A instabilidade do Egito durante esse período é demonstrada pelo roubo generalizado de tumbas reais. Uma investigação complexa e questionável desses roubos foi conduzida durante o reinado de Ramessés IX.</w:t>
      </w:r>
    </w:p>
    <w:p>
      <w:r/>
      <w:r>
        <w:rPr>
          <w:i/>
        </w:rPr>
        <w:t>Veja também</w:t>
      </w:r>
      <w:r>
        <w:t xml:space="preserve"> </w:t>
      </w:r>
      <w:r>
        <w:t>Egito, Egípcio</w:t>
      </w:r>
      <w:r>
        <w:t>.</w:t>
      </w:r>
      <w:r/>
      <w:r/>
    </w:p>
    <w:p>
      <w:r/>
    </w:p>
    <w:p>
      <w:pPr>
        <w:pStyle w:val="Heading2"/>
      </w:pPr>
      <w:r>
        <w:t>Ramo</w:t>
      </w:r>
      <w:r/>
    </w:p>
    <w:p>
      <w:r/>
      <w:r>
        <w:t>Um ramo é um broto ou rebento que cresce de uma árvore ou arbusto. Na Bíblia, essa palavra possui significados tanto literais quanto simbólicos.</w:t>
      </w:r>
    </w:p>
    <w:p>
      <w:r/>
      <w:r>
        <w:t xml:space="preserve">No sentido literal, "ramo" refere-se aos três conjuntos de braços que se estendem do eixo principal do candelabro dourado no tabernáculo (p. ex., </w:t>
      </w:r>
      <w:hyperlink r:id="rId18071">
        <w:r>
          <w:rPr>
            <w:color w:val="0000EE"/>
            <w:u w:val="single"/>
          </w:rPr>
          <w:t>Êx 25.31–36</w:t>
        </w:r>
      </w:hyperlink>
      <w:r>
        <w:t>). A palavra também é usada para os ramos de palmeira que as pessoas usavam para construir abrigos temporários durante a antiga festa judaica dos Tabernáculos (</w:t>
      </w:r>
      <w:hyperlink r:id="rId18072">
        <w:r>
          <w:rPr>
            <w:color w:val="0000EE"/>
            <w:u w:val="single"/>
          </w:rPr>
          <w:t>Lv 23.40–43</w:t>
        </w:r>
      </w:hyperlink>
      <w:r>
        <w:t>).</w:t>
      </w:r>
    </w:p>
    <w:p>
      <w:r/>
      <w:r>
        <w:t>No sentido figurado, "ramo" é utilizado como símbolo em profecias sobre o Messias (o escolhido de Deus) e em outros ensinamentos espirituais. Na Bíblia, os usos metafóricos de "ramo" aparecem em várias passagens. Israel é descrito como diferentes tipos de plantas com ramos:</w:t>
      </w:r>
    </w:p>
    <w:p>
      <w:pPr>
        <w:pStyle w:val="ListBullet"/>
        <w:spacing w:line="240" w:lineRule="auto"/>
        <w:ind w:left="720"/>
      </w:pPr>
      <w:r/>
      <w:r>
        <w:t>uma oliveira (</w:t>
      </w:r>
      <w:hyperlink r:id="rId18073">
        <w:r>
          <w:rPr>
            <w:color w:val="0000EE"/>
            <w:u w:val="single"/>
          </w:rPr>
          <w:t>Os 14.6</w:t>
        </w:r>
      </w:hyperlink>
      <w:r>
        <w:t>),</w:t>
      </w:r>
    </w:p>
    <w:p>
      <w:pPr>
        <w:pStyle w:val="ListBullet"/>
        <w:spacing w:line="240" w:lineRule="auto"/>
        <w:ind w:left="720"/>
      </w:pPr>
      <w:r/>
      <w:r>
        <w:t>um cedro (</w:t>
      </w:r>
      <w:hyperlink r:id="rId18074">
        <w:r>
          <w:rPr>
            <w:color w:val="0000EE"/>
            <w:u w:val="single"/>
          </w:rPr>
          <w:t>Ez 17.23</w:t>
        </w:r>
      </w:hyperlink>
      <w:r>
        <w:t>), e</w:t>
      </w:r>
    </w:p>
    <w:p>
      <w:pPr>
        <w:pStyle w:val="ListBullet"/>
        <w:spacing w:line="240" w:lineRule="auto"/>
        <w:ind w:left="720"/>
      </w:pPr>
      <w:r/>
      <w:r>
        <w:t>uma videira (</w:t>
      </w:r>
      <w:hyperlink r:id="rId18075">
        <w:r>
          <w:rPr>
            <w:color w:val="0000EE"/>
            <w:u w:val="single"/>
          </w:rPr>
          <w:t>Ez 17.6</w:t>
        </w:r>
      </w:hyperlink>
      <w:r>
        <w:t xml:space="preserve">; compare </w:t>
      </w:r>
      <w:hyperlink r:id="rId18076">
        <w:r>
          <w:rPr>
            <w:color w:val="0000EE"/>
            <w:u w:val="single"/>
          </w:rPr>
          <w:t>Sl 80.8–11</w:t>
        </w:r>
      </w:hyperlink>
      <w:r>
        <w:t>).</w:t>
      </w:r>
    </w:p>
    <w:p>
      <w:r/>
      <w:r>
        <w:t>A imagem de um "ramo" com seu novo crescimento muitas vezes representa prosperidade e bênção na Bíblia (</w:t>
      </w:r>
      <w:hyperlink r:id="rId18077">
        <w:r>
          <w:rPr>
            <w:color w:val="0000EE"/>
            <w:u w:val="single"/>
          </w:rPr>
          <w:t>Gn 49.22</w:t>
        </w:r>
      </w:hyperlink>
      <w:r>
        <w:t xml:space="preserve">; </w:t>
      </w:r>
      <w:hyperlink r:id="rId18078">
        <w:r>
          <w:rPr>
            <w:color w:val="0000EE"/>
            <w:u w:val="single"/>
          </w:rPr>
          <w:t>Jó 8.16</w:t>
        </w:r>
      </w:hyperlink>
      <w:r>
        <w:t xml:space="preserve">; </w:t>
      </w:r>
      <w:hyperlink r:id="rId18076">
        <w:r>
          <w:rPr>
            <w:color w:val="0000EE"/>
            <w:u w:val="single"/>
          </w:rPr>
          <w:t>Sl 80.8–11</w:t>
        </w:r>
      </w:hyperlink>
      <w:r>
        <w:t xml:space="preserve">; </w:t>
      </w:r>
      <w:hyperlink r:id="rId18079">
        <w:r>
          <w:rPr>
            <w:color w:val="0000EE"/>
            <w:u w:val="single"/>
          </w:rPr>
          <w:t>Ez 36.8</w:t>
        </w:r>
      </w:hyperlink>
      <w:r>
        <w:t>).</w:t>
      </w:r>
    </w:p>
    <w:p>
      <w:r/>
      <w:r>
        <w:t>Ramos também podem simbolizar julgamento quando são descritos como sendo cortados, quebrados, murchos ou queimados (</w:t>
      </w:r>
      <w:hyperlink r:id="rId18080">
        <w:r>
          <w:rPr>
            <w:color w:val="0000EE"/>
            <w:u w:val="single"/>
          </w:rPr>
          <w:t>Jó 18.16</w:t>
        </w:r>
      </w:hyperlink>
      <w:r>
        <w:t xml:space="preserve">; </w:t>
      </w:r>
      <w:hyperlink r:id="rId17167">
        <w:r>
          <w:rPr>
            <w:color w:val="0000EE"/>
            <w:u w:val="single"/>
          </w:rPr>
          <w:t>Is 9.14</w:t>
        </w:r>
      </w:hyperlink>
      <w:r>
        <w:t xml:space="preserve">; </w:t>
      </w:r>
      <w:hyperlink r:id="rId5551">
        <w:r>
          <w:rPr>
            <w:color w:val="0000EE"/>
            <w:u w:val="single"/>
          </w:rPr>
          <w:t>Jr 11.16</w:t>
        </w:r>
      </w:hyperlink>
      <w:r>
        <w:t>). Jesus combinou três dessas ideias (murchar, ser cortado ou ser queimado) em uma metáfora (</w:t>
      </w:r>
      <w:hyperlink r:id="rId18081">
        <w:r>
          <w:rPr>
            <w:color w:val="0000EE"/>
            <w:u w:val="single"/>
          </w:rPr>
          <w:t>Jo 15.6</w:t>
        </w:r>
      </w:hyperlink>
      <w:r>
        <w:t>). De maneira semelhante, o apóstolo Paulo escreveu que os judeus que não acreditavam seriam quebrados como ramos (</w:t>
      </w:r>
      <w:hyperlink r:id="rId18082">
        <w:r>
          <w:rPr>
            <w:color w:val="0000EE"/>
            <w:u w:val="single"/>
          </w:rPr>
          <w:t>Rm 11.19–21</w:t>
        </w:r>
      </w:hyperlink>
      <w:r>
        <w:t>).</w:t>
      </w:r>
    </w:p>
    <w:p>
      <w:r/>
      <w:r>
        <w:t>O uso mais importante do simbolismo do ramo na Bíblia refere-se ao Messias prometido da linhagem da família do rei Davi. Embora esse simbolismo tenha se tornado comum durante o tempo dos profetas, suas origens remontam a muito antes na Bíblia. O conceito de um "ramo" foi usado para descrever pessoas importantes como:</w:t>
      </w:r>
    </w:p>
    <w:p>
      <w:pPr>
        <w:pStyle w:val="ListBullet"/>
        <w:spacing w:line="240" w:lineRule="auto"/>
        <w:ind w:left="720"/>
      </w:pPr>
      <w:r/>
      <w:r>
        <w:t>um servo pessoal do rei (</w:t>
      </w:r>
      <w:hyperlink r:id="rId5257">
        <w:r>
          <w:rPr>
            <w:color w:val="0000EE"/>
            <w:u w:val="single"/>
          </w:rPr>
          <w:t>Gn 40.9–13</w:t>
        </w:r>
      </w:hyperlink>
      <w:r>
        <w:t>),</w:t>
      </w:r>
    </w:p>
    <w:p>
      <w:pPr>
        <w:pStyle w:val="ListBullet"/>
        <w:spacing w:line="240" w:lineRule="auto"/>
        <w:ind w:left="720"/>
      </w:pPr>
      <w:r/>
      <w:r>
        <w:t>o patriarca José (</w:t>
      </w:r>
      <w:hyperlink r:id="rId18077">
        <w:r>
          <w:rPr>
            <w:color w:val="0000EE"/>
            <w:u w:val="single"/>
          </w:rPr>
          <w:t>Gn 49.22</w:t>
        </w:r>
      </w:hyperlink>
      <w:r>
        <w:t>),</w:t>
      </w:r>
    </w:p>
    <w:p>
      <w:pPr>
        <w:pStyle w:val="ListBullet"/>
        <w:spacing w:line="240" w:lineRule="auto"/>
        <w:ind w:left="720"/>
      </w:pPr>
      <w:r/>
      <w:r>
        <w:t>Jó (</w:t>
      </w:r>
      <w:hyperlink r:id="rId15965">
        <w:r>
          <w:rPr>
            <w:color w:val="0000EE"/>
            <w:u w:val="single"/>
          </w:rPr>
          <w:t>Jó 29.19</w:t>
        </w:r>
      </w:hyperlink>
      <w:r>
        <w:t>), ou</w:t>
      </w:r>
    </w:p>
    <w:p>
      <w:pPr>
        <w:pStyle w:val="ListBullet"/>
        <w:spacing w:line="240" w:lineRule="auto"/>
        <w:ind w:left="720"/>
      </w:pPr>
      <w:r/>
      <w:r>
        <w:t>Nabucodonosor, o rei da Assíria (</w:t>
      </w:r>
      <w:hyperlink r:id="rId16299">
        <w:r>
          <w:rPr>
            <w:color w:val="0000EE"/>
            <w:u w:val="single"/>
          </w:rPr>
          <w:t>Dn 4.12</w:t>
        </w:r>
      </w:hyperlink>
      <w:r>
        <w:t>).</w:t>
      </w:r>
    </w:p>
    <w:p>
      <w:r/>
      <w:r>
        <w:t xml:space="preserve">Passagens como </w:t>
      </w:r>
      <w:hyperlink r:id="rId18083">
        <w:r>
          <w:rPr>
            <w:color w:val="0000EE"/>
            <w:u w:val="single"/>
          </w:rPr>
          <w:t>2 Samuel 23.4</w:t>
        </w:r>
      </w:hyperlink>
      <w:r>
        <w:t xml:space="preserve"> e </w:t>
      </w:r>
      <w:hyperlink r:id="rId4818">
        <w:r>
          <w:rPr>
            <w:color w:val="0000EE"/>
            <w:u w:val="single"/>
          </w:rPr>
          <w:t>Salmo 132.17</w:t>
        </w:r>
      </w:hyperlink>
      <w:r>
        <w:t xml:space="preserve"> falam da linhagem davídica como "crescendo" ou "brotando" (que é o significado literal dos verbos hebraicos usados nesses versículos). Finalmente, imagens de uma colheita abundante foram usadas para descrever as bênçãos que viriam quando o Messias viesse e governasse (compare </w:t>
      </w:r>
      <w:hyperlink r:id="rId12830">
        <w:r>
          <w:rPr>
            <w:color w:val="0000EE"/>
            <w:u w:val="single"/>
          </w:rPr>
          <w:t>Lv 26</w:t>
        </w:r>
      </w:hyperlink>
      <w:r>
        <w:t xml:space="preserve"> com as passagens proféticas mencionadas anteriormente). A partir desses usos anteriores, faz sentido que o termo "ramo" por fim se tornasse um título especial para o Messias em profecias posteriores.</w:t>
      </w:r>
      <w:r/>
      <w:r/>
    </w:p>
    <w:p>
      <w:r/>
    </w:p>
    <w:p>
      <w:pPr>
        <w:pStyle w:val="Heading2"/>
      </w:pPr>
      <w:r>
        <w:t>Ramote-Gileade</w:t>
      </w:r>
      <w:r/>
    </w:p>
    <w:p>
      <w:r/>
      <w:r>
        <w:t>Cidade situada na área de Transjordânia de Gileade e provavelmente identificável com Tell Ramith, embora o local de Tell el-Husn também tenha sido sugerido. Inicialmente, referências bíblicas dizem respeito a Ramote em Gileade (</w:t>
      </w:r>
      <w:hyperlink r:id="rId3525">
        <w:r>
          <w:rPr>
            <w:color w:val="0000EE"/>
            <w:u w:val="single"/>
          </w:rPr>
          <w:t>Dt 4.43</w:t>
        </w:r>
      </w:hyperlink>
      <w:r>
        <w:t xml:space="preserve">; </w:t>
      </w:r>
      <w:hyperlink r:id="rId3526">
        <w:r>
          <w:rPr>
            <w:color w:val="0000EE"/>
            <w:u w:val="single"/>
          </w:rPr>
          <w:t>Js 20.8</w:t>
        </w:r>
      </w:hyperlink>
      <w:r>
        <w:t xml:space="preserve">; </w:t>
      </w:r>
      <w:hyperlink r:id="rId13533">
        <w:r>
          <w:rPr>
            <w:color w:val="0000EE"/>
            <w:u w:val="single"/>
          </w:rPr>
          <w:t>21.38</w:t>
        </w:r>
      </w:hyperlink>
      <w:r>
        <w:t>), enquanto mais tarde é chamada de Ramote-Gileade. Nomes combinados foram usados para evitar confusão com cidades do mesmo nome em outras localidades.</w:t>
      </w:r>
    </w:p>
    <w:p>
      <w:r/>
      <w:r>
        <w:t>Ramote-Gileade, uma possessão da tribo de Gade, aparece pela primeira vez na narrativa bíblica como uma das três cidades de refúgio da Transjordânia (</w:t>
      </w:r>
      <w:hyperlink r:id="rId3525">
        <w:r>
          <w:rPr>
            <w:color w:val="0000EE"/>
            <w:u w:val="single"/>
          </w:rPr>
          <w:t>Dt 4.43</w:t>
        </w:r>
      </w:hyperlink>
      <w:r>
        <w:t>), posteriormente incluída nas seis cidades de refúgio para todo Israel (</w:t>
      </w:r>
      <w:hyperlink r:id="rId3526">
        <w:r>
          <w:rPr>
            <w:color w:val="0000EE"/>
            <w:u w:val="single"/>
          </w:rPr>
          <w:t>Js 20.8</w:t>
        </w:r>
      </w:hyperlink>
      <w:r>
        <w:t>). Foi atribuída aos meraritas como uma das 48 cidades levíticas (</w:t>
      </w:r>
      <w:hyperlink r:id="rId13533">
        <w:r>
          <w:rPr>
            <w:color w:val="0000EE"/>
            <w:u w:val="single"/>
          </w:rPr>
          <w:t>21.38</w:t>
        </w:r>
      </w:hyperlink>
      <w:r>
        <w:t>) e provavelmente estava localizada ao longo da Estrada Real, que atravessava essa área.</w:t>
      </w:r>
    </w:p>
    <w:p>
      <w:r/>
      <w:r>
        <w:t>Durante o tempo de Salomão, Ramote-Gileade era uma cidade central de destaque no sexto distrito administrativo e a residência de Ben-Geber, o oficial-chefe desse distrito (</w:t>
      </w:r>
      <w:hyperlink r:id="rId2493">
        <w:r>
          <w:rPr>
            <w:color w:val="0000EE"/>
            <w:u w:val="single"/>
          </w:rPr>
          <w:t>1Rs 4.13</w:t>
        </w:r>
      </w:hyperlink>
      <w:r>
        <w:t>). Após a divisão do reino, esta cidade fronteiriça foi tomada pelos arameus e tornou-se um local de disputa entre Israel e Arã. A batalha final do rei Acabe começou com seu desejo de retomar Ramote-Gileade. Ao tentar convencer seu aliado Josafá, rei de Judá, a apoiá-lo nessa manobra, ele trouxe muitos profetas que falaram palavras favoráveis e vitoriosas ao rei (</w:t>
      </w:r>
      <w:hyperlink r:id="rId18084">
        <w:r>
          <w:rPr>
            <w:color w:val="0000EE"/>
            <w:u w:val="single"/>
          </w:rPr>
          <w:t>1Rs 22</w:t>
        </w:r>
      </w:hyperlink>
      <w:r>
        <w:t xml:space="preserve">; </w:t>
      </w:r>
      <w:hyperlink r:id="rId18085">
        <w:r>
          <w:rPr>
            <w:color w:val="0000EE"/>
            <w:u w:val="single"/>
          </w:rPr>
          <w:t>2Cr 18</w:t>
        </w:r>
      </w:hyperlink>
      <w:r>
        <w:t>). Não convencido, Josafá consultou a palavra do Senhor através de Micaías, um profeta do Senhor, que alertou sobre o desastre iminente. A mensagem foi ignorada e Acabe foi morto em Ramote-Gileade. O filho de Acabe, Jorão, também lutou contra Arã aqui e foi ferido em batalha (</w:t>
      </w:r>
      <w:hyperlink r:id="rId18067">
        <w:r>
          <w:rPr>
            <w:color w:val="0000EE"/>
            <w:u w:val="single"/>
          </w:rPr>
          <w:t>2Rs 8.29</w:t>
        </w:r>
      </w:hyperlink>
      <w:r>
        <w:t xml:space="preserve">; </w:t>
      </w:r>
      <w:hyperlink r:id="rId18068">
        <w:r>
          <w:rPr>
            <w:color w:val="0000EE"/>
            <w:u w:val="single"/>
          </w:rPr>
          <w:t>2Cr 22.6</w:t>
        </w:r>
      </w:hyperlink>
      <w:r>
        <w:t>; também chamada de Ramá). Pouco depois, Eliseu enviou um dos filhos dos profetas a Ramote-Gileade, onde ungiu Jeú para ser rei sobre Israel (</w:t>
      </w:r>
      <w:hyperlink r:id="rId18086">
        <w:r>
          <w:rPr>
            <w:color w:val="0000EE"/>
            <w:u w:val="single"/>
          </w:rPr>
          <w:t>2Rs 9.1–14</w:t>
        </w:r>
      </w:hyperlink>
      <w:r>
        <w:t>).</w:t>
      </w:r>
    </w:p>
    <w:p>
      <w:r/>
      <w:r>
        <w:rPr>
          <w:i/>
        </w:rPr>
        <w:t xml:space="preserve"> Veja também</w:t>
      </w:r>
      <w:r>
        <w:t xml:space="preserve"> </w:t>
      </w:r>
      <w:r>
        <w:t>Cidades de refúgio</w:t>
      </w:r>
      <w:r>
        <w:t xml:space="preserve">; </w:t>
      </w:r>
      <w:r>
        <w:t>Cidades levíticas</w:t>
      </w:r>
      <w:r>
        <w:t>.</w:t>
      </w:r>
      <w:r/>
      <w:r/>
    </w:p>
    <w:p>
      <w:r/>
    </w:p>
    <w:p>
      <w:pPr>
        <w:pStyle w:val="Heading2"/>
      </w:pPr>
      <w:r>
        <w:t>RÁPIDO, Jejum</w:t>
      </w:r>
      <w:r/>
    </w:p>
    <w:p>
      <w:r/>
      <w:r>
        <w:t>Comer com moderação ou abster-se de alimentos por completo, seja por necessidade ou desejo. Em termos médicos, jejum é a desintoxicação do corpo por meio da restrição de alimentos.</w:t>
      </w:r>
    </w:p>
    <w:p>
      <w:r/>
      <w:r>
        <w:t>O jejum espiritual envolve deixar de lado atividades, além de reduzir a ingestão de alimentos, substituindo essas atividades pelo exercício da oração e pela dedicação a questões espirituais. A palavra do NT traduzida como “jejum” significa literalmente alguém que não comeu, alguém que está vazio.</w:t>
      </w:r>
    </w:p>
    <w:p>
      <w:r/>
      <w:r>
        <w:t xml:space="preserve">Três tipos de jejum são geralmente reconhecidos: </w:t>
      </w:r>
      <w:r>
        <w:rPr>
          <w:i/>
        </w:rPr>
        <w:t>normal,</w:t>
      </w:r>
      <w:r>
        <w:t xml:space="preserve"> no qual não há ingestão de alimentos por um período de tempo determinado, embora possa haver consumo de líquidos; </w:t>
      </w:r>
      <w:r>
        <w:rPr>
          <w:i/>
        </w:rPr>
        <w:t>parcial,</w:t>
      </w:r>
      <w:r>
        <w:t xml:space="preserve"> no qual a dieta é restrita, embora algum alimento seja permitido; e </w:t>
      </w:r>
      <w:r>
        <w:rPr>
          <w:i/>
        </w:rPr>
        <w:t>absoluto,</w:t>
      </w:r>
      <w:r>
        <w:t xml:space="preserve"> no qual há uma abstinência total de alimentos e líquidos em todas as formas.</w:t>
      </w:r>
    </w:p>
    <w:p>
      <w:r/>
      <w:r>
        <w:t>No Antigo Testamento, o jejum era visto como um ato de renúncia pessoal destinado a aplacar a ira de Deus e movê-lo a agir com graça. Em tempos de emergência, o povo jejuava para persuadir Deus a poupá-los de calamidades iminentes (</w:t>
      </w:r>
      <w:hyperlink r:id="rId18087">
        <w:r>
          <w:rPr>
            <w:color w:val="0000EE"/>
            <w:u w:val="single"/>
          </w:rPr>
          <w:t>Jz 20.26</w:t>
        </w:r>
      </w:hyperlink>
      <w:r>
        <w:t xml:space="preserve">; </w:t>
      </w:r>
      <w:hyperlink r:id="rId18088">
        <w:r>
          <w:rPr>
            <w:color w:val="0000EE"/>
            <w:u w:val="single"/>
          </w:rPr>
          <w:t>1Sm 7.6</w:t>
        </w:r>
      </w:hyperlink>
      <w:r>
        <w:t xml:space="preserve">; </w:t>
      </w:r>
      <w:hyperlink r:id="rId18089">
        <w:r>
          <w:rPr>
            <w:color w:val="0000EE"/>
            <w:u w:val="single"/>
          </w:rPr>
          <w:t>1Rs 21.9</w:t>
        </w:r>
      </w:hyperlink>
      <w:r>
        <w:t xml:space="preserve">; </w:t>
      </w:r>
      <w:hyperlink r:id="rId18090">
        <w:r>
          <w:rPr>
            <w:color w:val="0000EE"/>
            <w:u w:val="single"/>
          </w:rPr>
          <w:t>2Cr 20.3</w:t>
        </w:r>
      </w:hyperlink>
      <w:r>
        <w:t xml:space="preserve">; </w:t>
      </w:r>
      <w:hyperlink r:id="rId18091">
        <w:r>
          <w:rPr>
            <w:color w:val="0000EE"/>
            <w:u w:val="single"/>
          </w:rPr>
          <w:t>Jr 36.6,9</w:t>
        </w:r>
      </w:hyperlink>
      <w:r>
        <w:t>). Indivíduos jejuavam na esperança de que Deus os libertasse de problemas (</w:t>
      </w:r>
      <w:hyperlink r:id="rId18092">
        <w:r>
          <w:rPr>
            <w:color w:val="0000EE"/>
            <w:u w:val="single"/>
          </w:rPr>
          <w:t>2Sm 12.16–20</w:t>
        </w:r>
      </w:hyperlink>
      <w:r>
        <w:t xml:space="preserve">; </w:t>
      </w:r>
      <w:hyperlink r:id="rId16205">
        <w:r>
          <w:rPr>
            <w:color w:val="0000EE"/>
            <w:u w:val="single"/>
          </w:rPr>
          <w:t>1Rs 21.27</w:t>
        </w:r>
      </w:hyperlink>
      <w:r>
        <w:t xml:space="preserve">; </w:t>
      </w:r>
      <w:hyperlink r:id="rId7047">
        <w:r>
          <w:rPr>
            <w:color w:val="0000EE"/>
            <w:u w:val="single"/>
          </w:rPr>
          <w:t>Sl 35.13</w:t>
        </w:r>
      </w:hyperlink>
      <w:r>
        <w:t xml:space="preserve">; </w:t>
      </w:r>
      <w:hyperlink r:id="rId18093">
        <w:r>
          <w:rPr>
            <w:color w:val="0000EE"/>
            <w:u w:val="single"/>
          </w:rPr>
          <w:t>69.10</w:t>
        </w:r>
      </w:hyperlink>
      <w:r>
        <w:t>). O jejum era acompanhado por oração (</w:t>
      </w:r>
      <w:hyperlink r:id="rId18094">
        <w:r>
          <w:rPr>
            <w:color w:val="0000EE"/>
            <w:u w:val="single"/>
          </w:rPr>
          <w:t>Ed 8.21</w:t>
        </w:r>
      </w:hyperlink>
      <w:r>
        <w:t xml:space="preserve">; </w:t>
      </w:r>
      <w:hyperlink r:id="rId18095">
        <w:r>
          <w:rPr>
            <w:color w:val="0000EE"/>
            <w:u w:val="single"/>
          </w:rPr>
          <w:t>Ne 1.4</w:t>
        </w:r>
      </w:hyperlink>
      <w:r>
        <w:t xml:space="preserve">; </w:t>
      </w:r>
      <w:hyperlink r:id="rId9603">
        <w:r>
          <w:rPr>
            <w:color w:val="0000EE"/>
            <w:u w:val="single"/>
          </w:rPr>
          <w:t>Jr 14.12</w:t>
        </w:r>
      </w:hyperlink>
      <w:r>
        <w:t>).</w:t>
      </w:r>
    </w:p>
    <w:p>
      <w:r/>
      <w:r>
        <w:t>Os jejuns regulares geralmente duravam um dia, da manhã à noite, com comida permitida à noite (</w:t>
      </w:r>
      <w:hyperlink r:id="rId18087">
        <w:r>
          <w:rPr>
            <w:color w:val="0000EE"/>
            <w:u w:val="single"/>
          </w:rPr>
          <w:t>Jz 20.26</w:t>
        </w:r>
      </w:hyperlink>
      <w:r>
        <w:t xml:space="preserve">; </w:t>
      </w:r>
      <w:hyperlink r:id="rId18096">
        <w:r>
          <w:rPr>
            <w:color w:val="0000EE"/>
            <w:u w:val="single"/>
          </w:rPr>
          <w:t>1Sm 14.24</w:t>
        </w:r>
      </w:hyperlink>
      <w:r>
        <w:t xml:space="preserve">; </w:t>
      </w:r>
      <w:hyperlink r:id="rId13450">
        <w:r>
          <w:rPr>
            <w:color w:val="0000EE"/>
            <w:u w:val="single"/>
          </w:rPr>
          <w:t>2Sm 1.12</w:t>
        </w:r>
      </w:hyperlink>
      <w:r>
        <w:t>), embora haja relatos de jejuns mais longos, como o chamado de Mordecai para um jejum de três dias (especificado como noite e dia—</w:t>
      </w:r>
      <w:hyperlink r:id="rId18097">
        <w:r>
          <w:rPr>
            <w:color w:val="0000EE"/>
            <w:u w:val="single"/>
          </w:rPr>
          <w:t>Ed 4.16</w:t>
        </w:r>
      </w:hyperlink>
      <w:r>
        <w:t>) e o jejum de sete dias na morte de Saul (</w:t>
      </w:r>
      <w:hyperlink r:id="rId13449">
        <w:r>
          <w:rPr>
            <w:color w:val="0000EE"/>
            <w:u w:val="single"/>
          </w:rPr>
          <w:t>1Sm 31.13</w:t>
        </w:r>
      </w:hyperlink>
      <w:r>
        <w:t xml:space="preserve">; </w:t>
      </w:r>
      <w:hyperlink r:id="rId18098">
        <w:r>
          <w:rPr>
            <w:color w:val="0000EE"/>
            <w:u w:val="single"/>
          </w:rPr>
          <w:t>2Sm 3.35</w:t>
        </w:r>
      </w:hyperlink>
      <w:r>
        <w:t>). Entre os jejuns especiais estavam os 40 dias de Moisés no Monte Sinai (</w:t>
      </w:r>
      <w:hyperlink r:id="rId12754">
        <w:r>
          <w:rPr>
            <w:color w:val="0000EE"/>
            <w:u w:val="single"/>
          </w:rPr>
          <w:t>Êx 34.28</w:t>
        </w:r>
      </w:hyperlink>
      <w:r>
        <w:t>) e o jejum de três semanas de Daniel antes de receber visões (</w:t>
      </w:r>
      <w:hyperlink r:id="rId4917">
        <w:r>
          <w:rPr>
            <w:color w:val="0000EE"/>
            <w:u w:val="single"/>
          </w:rPr>
          <w:t>Dn 9.3</w:t>
        </w:r>
      </w:hyperlink>
      <w:r>
        <w:t xml:space="preserve">; </w:t>
      </w:r>
      <w:hyperlink r:id="rId18099">
        <w:r>
          <w:rPr>
            <w:color w:val="0000EE"/>
            <w:u w:val="single"/>
          </w:rPr>
          <w:t>10.3,12</w:t>
        </w:r>
      </w:hyperlink>
      <w:r>
        <w:t>).</w:t>
      </w:r>
    </w:p>
    <w:p>
      <w:r/>
      <w:r>
        <w:t>Em geral, no AT, o jejum era abusado. Em vez de ser um ato sincero de renúncia própria e submissão a Deus, o jejum tornou-se um ritual vazio, onde uma pretensão de piedade era apresentada como uma imagem pública. Assim, os profetas clamam contra a insensibilidade de tal hipocrisia. Jeremias registra o Senhor dizendo: “Mesmo que jejuem e orem, eu não os ouvirei” (</w:t>
      </w:r>
      <w:hyperlink r:id="rId9603">
        <w:r>
          <w:rPr>
            <w:color w:val="0000EE"/>
            <w:u w:val="single"/>
          </w:rPr>
          <w:t>Jr 14.12</w:t>
        </w:r>
      </w:hyperlink>
      <w:r>
        <w:t xml:space="preserve">, NTLH; veja </w:t>
      </w:r>
      <w:hyperlink r:id="rId18100">
        <w:r>
          <w:rPr>
            <w:color w:val="0000EE"/>
            <w:u w:val="single"/>
          </w:rPr>
          <w:t>Is 58.1–10</w:t>
        </w:r>
      </w:hyperlink>
      <w:r>
        <w:t>).</w:t>
      </w:r>
    </w:p>
    <w:p>
      <w:r/>
      <w:r>
        <w:t>O cenário para a compreensão do NT sobre o jejum está no desenvolvimento da tradição rabínica que surgiu no período entre os Testamentos, durante o qual o jejum se tornou o marco distintivo do judeu piedoso, embora ainda fosse em grande parte ritualístico. Votos eram confirmados pelo jejum (</w:t>
      </w:r>
      <w:hyperlink r:id="rId4580">
        <w:r>
          <w:rPr>
            <w:color w:val="0000EE"/>
            <w:u w:val="single"/>
          </w:rPr>
          <w:t>Tb 7.12</w:t>
        </w:r>
      </w:hyperlink>
      <w:r>
        <w:t>), remorso e penitência eram acompanhados pelo jejum (</w:t>
      </w:r>
      <w:hyperlink r:id="rId18101">
        <w:r>
          <w:rPr>
            <w:color w:val="0000EE"/>
            <w:u w:val="single"/>
          </w:rPr>
          <w:t>2Ed 10.4</w:t>
        </w:r>
      </w:hyperlink>
      <w:r>
        <w:t>), e a oração era apoiada pelo jejum (</w:t>
      </w:r>
      <w:hyperlink r:id="rId18102">
        <w:r>
          <w:rPr>
            <w:color w:val="0000EE"/>
            <w:u w:val="single"/>
          </w:rPr>
          <w:t>1Mc 3.47</w:t>
        </w:r>
      </w:hyperlink>
      <w:r>
        <w:t>). Dias de jejum especiais eram observados, alguns impostos voluntariamente (</w:t>
      </w:r>
      <w:hyperlink r:id="rId18103">
        <w:r>
          <w:rPr>
            <w:color w:val="0000EE"/>
            <w:u w:val="single"/>
          </w:rPr>
          <w:t>2Mc 13.12</w:t>
        </w:r>
      </w:hyperlink>
      <w:r>
        <w:t xml:space="preserve">; </w:t>
      </w:r>
      <w:hyperlink r:id="rId18104">
        <w:r>
          <w:rPr>
            <w:color w:val="0000EE"/>
            <w:u w:val="single"/>
          </w:rPr>
          <w:t>2Ed 5.13</w:t>
        </w:r>
      </w:hyperlink>
      <w:r>
        <w:t>).</w:t>
      </w:r>
    </w:p>
    <w:p>
      <w:r/>
      <w:r>
        <w:t>Isso se desenvolveu em uma tradição rabínica na qual o jejum era visto como meritório e, portanto, tornou-se o principal ato de demonstração de piedade. No entanto, era uma falsa piedade que consistia principalmente nos aspectos externos da observância meticulosa dos dias de jejum, tanto públicos quanto privados. Com exceção de grupos ascéticos como os discípulos de João Batista, o sentimento predominante em relação ao jejum quando Jesus apareceu na cena era de tristeza lamentosa, uma necessidade obrigatória, um requisito autoimposto para promover a disciplina da abnegação.</w:t>
      </w:r>
    </w:p>
    <w:p>
      <w:r/>
      <w:r>
        <w:t>A compreensão de Jesus sobre o jejum é significativa, pois representa uma mudança no papel do jejum. Sua atitude inicial, sem dúvida, refletia o fato de que ele cresceu participando dos jejuns regulares e, portanto, compartilhava os ensinamentos predominantes de sua época. No entanto, seu ensino maduro sobre o jejum rompe com a tradição rabínica. Dois relatos relacionados a Jesus e o jejum são importantes: seu jejum como parte de sua tentação no deserto (</w:t>
      </w:r>
      <w:hyperlink r:id="rId15328">
        <w:r>
          <w:rPr>
            <w:color w:val="0000EE"/>
            <w:u w:val="single"/>
          </w:rPr>
          <w:t>Mt 4.2</w:t>
        </w:r>
      </w:hyperlink>
      <w:r>
        <w:t xml:space="preserve">; </w:t>
      </w:r>
      <w:hyperlink r:id="rId13362">
        <w:r>
          <w:rPr>
            <w:color w:val="0000EE"/>
            <w:u w:val="single"/>
          </w:rPr>
          <w:t>Lc 4.2</w:t>
        </w:r>
      </w:hyperlink>
      <w:r>
        <w:t>), e seu ensino sobre o jejum no Sermão da Montanha (</w:t>
      </w:r>
      <w:hyperlink r:id="rId18105">
        <w:r>
          <w:rPr>
            <w:color w:val="0000EE"/>
            <w:u w:val="single"/>
          </w:rPr>
          <w:t>Mt 6.16–18</w:t>
        </w:r>
      </w:hyperlink>
      <w:r>
        <w:t>).</w:t>
      </w:r>
    </w:p>
    <w:p>
      <w:r/>
      <w:r>
        <w:t>A tentação dele surgiu no contexto de luta. Imediatamente após seu batismo, ele foi levado ao deserto pelo Espírito para enfrentar a tentação de Satanás. Durante sua tentação, ele jejuou e orou, demonstrando assim sua dependência de Deus.</w:t>
      </w:r>
    </w:p>
    <w:p>
      <w:r/>
      <w:r>
        <w:t>As palavras de Jesus sobre o jejum no Sermão da Montanha apresentam uma abordagem radicalmente diferente do jejum voluntário. Ao condenar o tipo de jejum que busca favor com os homens por meio de uma exibição ostensiva de piedade exterior, Jesus ensinou, em vez disso, uma fé robusta que busca a genuinidade da relação com Deus através de um coração puro. Jesus não condena o jejum em si, nem o proíbe. Ele, no entanto, dá-lhe um novo significado. O jejum é serviço a Deus.</w:t>
      </w:r>
    </w:p>
    <w:p>
      <w:r/>
      <w:r>
        <w:t>Este novo entendimento do jejum está situado no contexto do início do tempo da salvação. O Noivo está aqui. É um tempo de alegria, não de tristeza. Consequentemente, o tom predominante do jejum como expressão de luto e piedade fingida é inconsistente com o espírito da nova era que começou.</w:t>
      </w:r>
    </w:p>
    <w:p>
      <w:r/>
      <w:r>
        <w:t>Os ensinamentos de Jesus podem ser resumidos assim: o jejum é transcendido pelo início dos tempos escatológicos. O reinado do Messias quebrou o poder da era do mal. O jejum parece não ser mais consistente com o espírito de gratidão e alegria que marca a estrutura da nova era, já que a vida cristã não deve ser dominada pela tragédia, mas pela alegria e felicidade. No entanto, o reino não está totalmente realizado. Há um lugar para o jejum, devidamente compreendido. O jejum deve ser feito dentro do contexto da alegre gratidão da nova vida em Cristo. O contexto do jejum é a oração. Deve conformar-se às mesmas condições da oração: quietude discreta diante de Deus, surgindo da gratidão, expressando agradecimento, fundamentada na fé, como um meio de crescimento espiritual.</w:t>
      </w:r>
    </w:p>
    <w:p>
      <w:r/>
      <w:r>
        <w:rPr>
          <w:i/>
        </w:rPr>
        <w:t>Veja também</w:t>
      </w:r>
      <w:r>
        <w:t xml:space="preserve"> </w:t>
      </w:r>
      <w:r>
        <w:t>Oração</w:t>
      </w:r>
      <w:r>
        <w:t>.</w:t>
      </w:r>
      <w:r/>
      <w:r/>
    </w:p>
    <w:p>
      <w:r/>
    </w:p>
    <w:p>
      <w:pPr>
        <w:pStyle w:val="Heading2"/>
      </w:pPr>
      <w:r>
        <w:t>Raquel</w:t>
      </w:r>
      <w:r/>
    </w:p>
    <w:p>
      <w:r/>
      <w:r>
        <w:t>Linda filha mais nova de Labão; ela era a esposa favorita de Jacó. Ele a conheceu pela primeira vez quando chegou a Harã em Padã-Arã. Lá, ele a ajudou cuidando das ovelhas de seu pai. Ele removeu uma pedra de um poço para dar-lhes água (</w:t>
      </w:r>
      <w:hyperlink r:id="rId18106">
        <w:r>
          <w:rPr>
            <w:color w:val="0000EE"/>
            <w:u w:val="single"/>
          </w:rPr>
          <w:t>Gn 29.10</w:t>
        </w:r>
      </w:hyperlink>
      <w:r>
        <w:t>). Jacó amava profundamente Raquel. Ele concordou em trabalhar sete anos para Labão pela mão dela em casamento. Seus sete anos de serviço pareceram apenas alguns dias por causa de seu grande amor por ela. Labão, enganador, quebrou seu acordo. Ele fez Jacó se casar com Lia, sua filha mais velha e menos atraente, antes de lhe dar Raquel. Ao contrário de Lia, Raquel era estéril nos primeiros anos de seu casamento com Jacó (</w:t>
      </w:r>
      <w:hyperlink r:id="rId8515">
        <w:r>
          <w:rPr>
            <w:color w:val="0000EE"/>
            <w:u w:val="single"/>
          </w:rPr>
          <w:t>Gn 30.1</w:t>
        </w:r>
      </w:hyperlink>
      <w:r>
        <w:t>). Então, ela deu sua serva, Bila, a Jacó para ter filhos. Assim, através deste costume antigo comumente aceito, Dã e Naftali nasceram. Com o tempo, a própria Raquel concebeu e deu à luz José (</w:t>
      </w:r>
      <w:hyperlink r:id="rId18107">
        <w:r>
          <w:rPr>
            <w:color w:val="0000EE"/>
            <w:u w:val="single"/>
          </w:rPr>
          <w:t>Gn 30.22–25</w:t>
        </w:r>
      </w:hyperlink>
      <w:r>
        <w:t>). Depois disso, Jacó levou suas esposas, filhos e posses para longe de Harã.</w:t>
      </w:r>
    </w:p>
    <w:p>
      <w:r/>
      <w:r>
        <w:t>Em algum lugar entre Betel e Belém, Raquel morreu ao dar à luz Benjamim (</w:t>
      </w:r>
      <w:hyperlink r:id="rId3334">
        <w:r>
          <w:rPr>
            <w:color w:val="0000EE"/>
            <w:u w:val="single"/>
          </w:rPr>
          <w:t>Gn 35.16,19</w:t>
        </w:r>
      </w:hyperlink>
      <w:r>
        <w:t>). Jacó ergueu uma coluna sobre seu túmulo ali, um marco conhecido até nos dias de Saul (</w:t>
      </w:r>
      <w:hyperlink r:id="rId18108">
        <w:r>
          <w:rPr>
            <w:color w:val="0000EE"/>
            <w:u w:val="single"/>
          </w:rPr>
          <w:t>1Sm 10.2</w:t>
        </w:r>
      </w:hyperlink>
      <w:r>
        <w:t>). Raquel e Lia são altamente consideradas como aquelas que edificaram a casa de Israel (</w:t>
      </w:r>
      <w:hyperlink r:id="rId7731">
        <w:r>
          <w:rPr>
            <w:color w:val="0000EE"/>
            <w:u w:val="single"/>
          </w:rPr>
          <w:t>Rt 4.11</w:t>
        </w:r>
      </w:hyperlink>
      <w:r>
        <w:t xml:space="preserve">). Em </w:t>
      </w:r>
      <w:hyperlink r:id="rId3571">
        <w:r>
          <w:rPr>
            <w:color w:val="0000EE"/>
            <w:u w:val="single"/>
          </w:rPr>
          <w:t>Jeremias 31.15</w:t>
        </w:r>
      </w:hyperlink>
      <w:r>
        <w:t>, Raquel é retratada chorando por seus filhos sendo levados para o cativeiro. Mais tarde, Mateus relembra as palavras de Jeremias no massacre dos infantes do sexo masculino por Herodes (</w:t>
      </w:r>
      <w:hyperlink r:id="rId3570">
        <w:r>
          <w:rPr>
            <w:color w:val="0000EE"/>
            <w:u w:val="single"/>
          </w:rPr>
          <w:t>Mt 2.18</w:t>
        </w:r>
      </w:hyperlink>
      <w:r>
        <w:t>).</w:t>
      </w:r>
    </w:p>
    <w:p>
      <w:r/>
      <w:r>
        <w:rPr>
          <w:i/>
        </w:rPr>
        <w:t>Veja também</w:t>
      </w:r>
      <w:r>
        <w:t xml:space="preserve"> </w:t>
      </w:r>
      <w:r>
        <w:t>Jacó #1</w:t>
      </w:r>
      <w:r>
        <w:t>.</w:t>
      </w:r>
      <w:r/>
      <w:r/>
    </w:p>
    <w:p>
      <w:r/>
    </w:p>
    <w:p>
      <w:pPr>
        <w:pStyle w:val="Heading2"/>
      </w:pPr>
      <w:r>
        <w:t>Rato</w:t>
      </w:r>
      <w:r/>
    </w:p>
    <w:p>
      <w:r/>
      <w:r>
        <w:t>Um rato é um pequeno animal com uma longa cauda e pernas curtas.</w:t>
      </w:r>
      <w:r>
        <w:rPr>
          <w:i/>
        </w:rPr>
        <w:t xml:space="preserve"> </w:t>
      </w:r>
      <w:r>
        <w:t>De acordo com a Bíblia, os ratos eram considerados animais cerimonialmente impuros porque rastejam perto do chão (</w:t>
      </w:r>
      <w:hyperlink r:id="rId1808">
        <w:r>
          <w:rPr>
            <w:color w:val="0000EE"/>
            <w:u w:val="single"/>
          </w:rPr>
          <w:t>Lv 11.29</w:t>
        </w:r>
      </w:hyperlink>
      <w:r>
        <w:t>).</w:t>
      </w:r>
    </w:p>
    <w:p>
      <w:r/>
      <w:r>
        <w:t>Os camundongos que vivem com humanos (chamados de "camundongos comensais" pelos cientistas) geralmente têm caudas mais longas e pelagem mais escura do que os camundongos selvagens. Os camundongos selvagens são mais ativos à noite. Todos os camundongos conseguem escalar e nadar bem. Os camundongos selvagens comem muitos tipos diferentes de plantas, como sementes, raízes macias, folhas e caules. Eles também guardam e armazenam alimentos para comer mais tarde.</w:t>
      </w:r>
    </w:p>
    <w:p>
      <w:r/>
      <w:r>
        <w:t>A palavra hebraica para "camundongo" provavelmente se refere a vários ratos e camundongos (</w:t>
      </w:r>
      <w:hyperlink r:id="rId1808">
        <w:r>
          <w:rPr>
            <w:color w:val="0000EE"/>
            <w:u w:val="single"/>
          </w:rPr>
          <w:t>Lv 11.29</w:t>
        </w:r>
      </w:hyperlink>
      <w:r>
        <w:t xml:space="preserve">; </w:t>
      </w:r>
      <w:hyperlink r:id="rId1809">
        <w:r>
          <w:rPr>
            <w:color w:val="0000EE"/>
            <w:u w:val="single"/>
          </w:rPr>
          <w:t>1Sm 6.4–5</w:t>
        </w:r>
      </w:hyperlink>
      <w:r>
        <w:t xml:space="preserve">; </w:t>
      </w:r>
      <w:hyperlink r:id="rId1810">
        <w:r>
          <w:rPr>
            <w:color w:val="0000EE"/>
            <w:u w:val="single"/>
          </w:rPr>
          <w:t>Is 66.17</w:t>
        </w:r>
      </w:hyperlink>
      <w:r>
        <w:t>). A palavra vem de uma expressão que significa "destruidor de grãos", pois esses animais danificavam as colheitas dos agricultores. Na região da Palestina, existem pelo menos 23 tipos de roedores semelhantes a camundongos. Eles estragam alimentos, danificam propriedades e carregam pulgas. Essas pulgas espalham doenças como tifo, febre maculosa e peste bubônica. É possível que bactérias da peste tenham causado tumores ou inchaços nos filisteus (</w:t>
      </w:r>
      <w:hyperlink r:id="rId1811">
        <w:r>
          <w:rPr>
            <w:color w:val="0000EE"/>
            <w:u w:val="single"/>
          </w:rPr>
          <w:t>1Sm 6.5</w:t>
        </w:r>
      </w:hyperlink>
      <w:r>
        <w:t>).</w:t>
      </w:r>
    </w:p>
    <w:p>
      <w:r/>
      <w:r>
        <w:t xml:space="preserve">Em </w:t>
      </w:r>
      <w:hyperlink r:id="rId1810">
        <w:r>
          <w:rPr>
            <w:color w:val="0000EE"/>
            <w:u w:val="single"/>
          </w:rPr>
          <w:t>Isaías 66.17</w:t>
        </w:r>
      </w:hyperlink>
      <w:r>
        <w:t>, há uma referência a pessoas comendo ratos como parte das práticas religiosas dos antigos cananeus. Isso pode estar se referindo a hamsters em vez de ratos. Mesmo hoje, algumas pessoas no Oriente Médio comem certos tipos desses pequenos animais (e.g., muitos consideram os gerbos uma iguaria especial).</w:t>
      </w:r>
    </w:p>
    <w:p>
      <w:r/>
      <w:r>
        <w:rPr>
          <w:i/>
        </w:rPr>
        <w:t>Veja</w:t>
      </w:r>
      <w:r>
        <w:t xml:space="preserve"> </w:t>
      </w:r>
      <w:r>
        <w:t>Toupeira</w:t>
      </w:r>
      <w:r>
        <w:t>.</w:t>
      </w:r>
      <w:r/>
      <w:r/>
    </w:p>
    <w:p>
      <w:r/>
    </w:p>
    <w:p>
      <w:pPr>
        <w:pStyle w:val="Heading2"/>
      </w:pPr>
      <w:r>
        <w:t>Reba</w:t>
      </w:r>
      <w:r/>
    </w:p>
    <w:p>
      <w:r/>
      <w:r>
        <w:t>Reba foi um dos cinco reis de Midiã. Moisés ordenou a morte desses reis por ordem de Deus, pois eles haviam levado os israelitas a adorar falsos deuses (</w:t>
      </w:r>
      <w:hyperlink r:id="rId2977">
        <w:r>
          <w:rPr>
            <w:color w:val="0000EE"/>
            <w:u w:val="single"/>
          </w:rPr>
          <w:t>Nm 31.8</w:t>
        </w:r>
      </w:hyperlink>
      <w:r>
        <w:t xml:space="preserve">; </w:t>
      </w:r>
      <w:hyperlink r:id="rId8797">
        <w:r>
          <w:rPr>
            <w:color w:val="0000EE"/>
            <w:u w:val="single"/>
          </w:rPr>
          <w:t>Js 13.21</w:t>
        </w:r>
      </w:hyperlink>
      <w:r>
        <w:t>).</w:t>
      </w:r>
      <w:r/>
      <w:r/>
    </w:p>
    <w:p>
      <w:r/>
    </w:p>
    <w:p>
      <w:pPr>
        <w:pStyle w:val="Heading2"/>
      </w:pPr>
      <w:r>
        <w:t>Rebeca</w:t>
      </w:r>
      <w:r/>
    </w:p>
    <w:p>
      <w:r/>
      <w:r>
        <w:t xml:space="preserve">Filha de Betuel e esposa do patriarca Isaque. Seu nome, que significa "bem alimentada" ou "escolhida", aparece 31 vezes em Gênesis (principalmente nos caps </w:t>
      </w:r>
      <w:hyperlink r:id="rId18109">
        <w:r>
          <w:rPr>
            <w:color w:val="0000EE"/>
            <w:u w:val="single"/>
          </w:rPr>
          <w:t>24–27</w:t>
        </w:r>
      </w:hyperlink>
      <w:r>
        <w:t xml:space="preserve">) e uma vez em </w:t>
      </w:r>
      <w:hyperlink r:id="rId18110">
        <w:r>
          <w:rPr>
            <w:color w:val="0000EE"/>
            <w:u w:val="single"/>
          </w:rPr>
          <w:t>Romanos 9.10</w:t>
        </w:r>
      </w:hyperlink>
      <w:r>
        <w:t>.</w:t>
      </w:r>
    </w:p>
    <w:p>
      <w:r/>
      <w:r>
        <w:t>O pai de Rebeca era Betuel, que por sua vez era filho de Milca e Naor, irmão de Abraão (</w:t>
      </w:r>
      <w:hyperlink r:id="rId14459">
        <w:r>
          <w:rPr>
            <w:color w:val="0000EE"/>
            <w:u w:val="single"/>
          </w:rPr>
          <w:t>Gn 22.20–23</w:t>
        </w:r>
      </w:hyperlink>
      <w:r>
        <w:t>). Abraão era seu tio-avô e, eventualmente, também seu sogro. Labão, o pai de Lia e Raquel, era seu irmão. Assim, seu filho Jacó casou-se com suas duas primas, que eram irmãs.</w:t>
      </w:r>
    </w:p>
    <w:p>
      <w:r/>
      <w:hyperlink r:id="rId11374">
        <w:r>
          <w:rPr>
            <w:color w:val="0000EE"/>
            <w:u w:val="single"/>
          </w:rPr>
          <w:t>Gênesis 24</w:t>
        </w:r>
      </w:hyperlink>
      <w:r>
        <w:t xml:space="preserve"> é o relato da busca bem-sucedida do servo de Abraão por uma esposa para Isaque. Ele foi a Arã-Naharaim (noroeste da Mesopotâmia) em obediência a Abraão, que não queria que seu filho se casasse com uma cananeia local. Em resposta à oração do servo, Rebeca não apenas deu de beber ao homem, mas também deu água aos seus camelos. Após uma certa quantidade de hospitalidade ser oferecida e o pagamento ser feito, Rebeca foi de bom grado encontrar seu novo marido.</w:t>
      </w:r>
    </w:p>
    <w:p>
      <w:r/>
      <w:r>
        <w:t>Rebeca deu à luz gêmeos, Esaú e Jacó (</w:t>
      </w:r>
      <w:hyperlink r:id="rId18111">
        <w:r>
          <w:rPr>
            <w:color w:val="0000EE"/>
            <w:u w:val="single"/>
          </w:rPr>
          <w:t>25.20–27</w:t>
        </w:r>
      </w:hyperlink>
      <w:r>
        <w:t>). Ela preferia Jacó, o mais novo, a Esaú e participou do engano contra seu marido para garantir o direito de nascimento para Jacó. Disfarçar Jacó para que ele se sentisse, parecesse e cheirasse como Esaú, o homem do campo, foi ideia dela. Ela também preparou o prato favorito de Isaque para facilitar o evento (</w:t>
      </w:r>
      <w:hyperlink r:id="rId18112">
        <w:r>
          <w:rPr>
            <w:color w:val="0000EE"/>
            <w:u w:val="single"/>
          </w:rPr>
          <w:t>27.5–17</w:t>
        </w:r>
      </w:hyperlink>
      <w:r>
        <w:t>).</w:t>
      </w:r>
    </w:p>
    <w:p>
      <w:r/>
      <w:r>
        <w:t>As Escrituras registram pouco mais sobre a vida dela, mas relatam que ela foi sepultada ao lado de seu marido na caverna de Macpela, perto de Manre (</w:t>
      </w:r>
      <w:hyperlink r:id="rId18113">
        <w:r>
          <w:rPr>
            <w:color w:val="0000EE"/>
            <w:u w:val="single"/>
          </w:rPr>
          <w:t>49.31</w:t>
        </w:r>
      </w:hyperlink>
      <w:r>
        <w:t>).</w:t>
      </w:r>
    </w:p>
    <w:p>
      <w:r/>
      <w:r>
        <w:rPr>
          <w:i/>
        </w:rPr>
        <w:t>Veja também</w:t>
      </w:r>
      <w:r>
        <w:t xml:space="preserve"> </w:t>
      </w:r>
      <w:r>
        <w:t>Isaque</w:t>
      </w:r>
      <w:r>
        <w:t>.</w:t>
      </w:r>
      <w:r/>
      <w:r/>
    </w:p>
    <w:p>
      <w:r/>
    </w:p>
    <w:p>
      <w:pPr>
        <w:pStyle w:val="Heading2"/>
      </w:pPr>
      <w:r>
        <w:t>Recolher, Recolhimento</w:t>
      </w:r>
      <w:r/>
    </w:p>
    <w:p>
      <w:r/>
      <w:r>
        <w:t xml:space="preserve">Prática de permitir que os pobres sigam os ceifeiros em um campo para recolher espigas de grãos que foram deixadas para trás (cp. </w:t>
      </w:r>
      <w:hyperlink r:id="rId8331">
        <w:r>
          <w:rPr>
            <w:color w:val="0000EE"/>
            <w:u w:val="single"/>
          </w:rPr>
          <w:t>Lv 19.9</w:t>
        </w:r>
      </w:hyperlink>
      <w:r>
        <w:t xml:space="preserve">; </w:t>
      </w:r>
      <w:hyperlink r:id="rId5110">
        <w:r>
          <w:rPr>
            <w:color w:val="0000EE"/>
            <w:u w:val="single"/>
          </w:rPr>
          <w:t>23.22</w:t>
        </w:r>
      </w:hyperlink>
      <w:r>
        <w:t xml:space="preserve">; </w:t>
      </w:r>
      <w:hyperlink r:id="rId18114">
        <w:r>
          <w:rPr>
            <w:color w:val="0000EE"/>
            <w:u w:val="single"/>
          </w:rPr>
          <w:t>Dt 24.19</w:t>
        </w:r>
      </w:hyperlink>
      <w:r>
        <w:t xml:space="preserve">; </w:t>
      </w:r>
      <w:hyperlink r:id="rId18115">
        <w:r>
          <w:rPr>
            <w:color w:val="0000EE"/>
            <w:u w:val="single"/>
          </w:rPr>
          <w:t>Rt 2.2–23</w:t>
        </w:r>
      </w:hyperlink>
      <w:r>
        <w:t>). Vinhedos, assim como campos de grãos, deveriam estar disponíveis para respigar (</w:t>
      </w:r>
      <w:hyperlink r:id="rId8332">
        <w:r>
          <w:rPr>
            <w:color w:val="0000EE"/>
            <w:u w:val="single"/>
          </w:rPr>
          <w:t>Lv 19.10</w:t>
        </w:r>
      </w:hyperlink>
      <w:r>
        <w:t xml:space="preserve">; </w:t>
      </w:r>
      <w:hyperlink r:id="rId8333">
        <w:r>
          <w:rPr>
            <w:color w:val="0000EE"/>
            <w:u w:val="single"/>
          </w:rPr>
          <w:t>Dt 24.20–21</w:t>
        </w:r>
      </w:hyperlink>
      <w:r>
        <w:t xml:space="preserve">). Oliveiras, no entanto, não deveriam ser revisitadas uma segunda vez (cp. </w:t>
      </w:r>
      <w:hyperlink r:id="rId18116">
        <w:r>
          <w:rPr>
            <w:color w:val="0000EE"/>
            <w:u w:val="single"/>
          </w:rPr>
          <w:t>Jz 8.2</w:t>
        </w:r>
      </w:hyperlink>
      <w:r>
        <w:t xml:space="preserve">; </w:t>
      </w:r>
      <w:hyperlink r:id="rId15237">
        <w:r>
          <w:rPr>
            <w:color w:val="0000EE"/>
            <w:u w:val="single"/>
          </w:rPr>
          <w:t>Is 17.6</w:t>
        </w:r>
      </w:hyperlink>
      <w:r>
        <w:t xml:space="preserve">; </w:t>
      </w:r>
      <w:hyperlink r:id="rId18117">
        <w:r>
          <w:rPr>
            <w:color w:val="0000EE"/>
            <w:u w:val="single"/>
          </w:rPr>
          <w:t>24.13</w:t>
        </w:r>
      </w:hyperlink>
      <w:r>
        <w:t xml:space="preserve">; </w:t>
      </w:r>
      <w:hyperlink r:id="rId18118">
        <w:r>
          <w:rPr>
            <w:color w:val="0000EE"/>
            <w:u w:val="single"/>
          </w:rPr>
          <w:t>Jr 6.9</w:t>
        </w:r>
      </w:hyperlink>
      <w:r>
        <w:t xml:space="preserve">; </w:t>
      </w:r>
      <w:hyperlink r:id="rId5242">
        <w:r>
          <w:rPr>
            <w:color w:val="0000EE"/>
            <w:u w:val="single"/>
          </w:rPr>
          <w:t>Mq 7.1</w:t>
        </w:r>
      </w:hyperlink>
      <w:r>
        <w:t xml:space="preserve">). </w:t>
      </w:r>
      <w:r/>
      <w:r/>
    </w:p>
    <w:p>
      <w:r/>
    </w:p>
    <w:p>
      <w:pPr>
        <w:pStyle w:val="Heading2"/>
      </w:pPr>
      <w:r>
        <w:t>Recompensa</w:t>
      </w:r>
      <w:r/>
    </w:p>
    <w:p>
      <w:r/>
      <w:r>
        <w:t>O pagamento ou compensação por ações boas ou más. Muitas vezes, refere-se aos benefícios ou consequências resultantes das ações de alguém. Este conceito envolve responsabilidade ética e prestação de contas. Termos relacionados a esta ideia incluem:</w:t>
      </w:r>
    </w:p>
    <w:p>
      <w:pPr>
        <w:pStyle w:val="ListBullet"/>
        <w:spacing w:line="240" w:lineRule="auto"/>
        <w:ind w:left="720"/>
      </w:pPr>
      <w:r/>
      <w:r>
        <w:t>Salários;</w:t>
      </w:r>
    </w:p>
    <w:p>
      <w:pPr>
        <w:pStyle w:val="ListBullet"/>
        <w:spacing w:line="240" w:lineRule="auto"/>
        <w:ind w:left="720"/>
      </w:pPr>
      <w:r/>
      <w:r>
        <w:t>Contratação;</w:t>
      </w:r>
    </w:p>
    <w:p>
      <w:pPr>
        <w:pStyle w:val="ListBullet"/>
        <w:spacing w:line="240" w:lineRule="auto"/>
        <w:ind w:left="720"/>
      </w:pPr>
      <w:r/>
      <w:r>
        <w:t>Premiação;</w:t>
      </w:r>
    </w:p>
    <w:p>
      <w:pPr>
        <w:pStyle w:val="ListBullet"/>
        <w:spacing w:line="240" w:lineRule="auto"/>
        <w:ind w:left="720"/>
      </w:pPr>
      <w:r/>
      <w:r>
        <w:t>Retribuição.</w:t>
      </w:r>
    </w:p>
    <w:p>
      <w:r/>
      <w:r>
        <w:t>Esses termos abrangem todas as recompensas, incluindo interações cotidianas e a resposta de Deus ao comportamento humano. Eles se aplicam tanto a esta vida quanto à próxima.</w:t>
      </w:r>
    </w:p>
    <w:p>
      <w:r/>
      <w:r>
        <w:t>Para os gregos e hebreus, a ideia de recompensa estava ligada à ideia de completar uma ação. Assim como um trabalhador recebe pagamento pelo seu trabalho, acredita-se que uma ação traga certos resultados, seja uma recompensa ou um castigo. Este conceito é refletido na linguagem comercial, como quando Paulo diz: "O salário do pecado é a morte" (</w:t>
      </w:r>
      <w:hyperlink r:id="rId5369">
        <w:r>
          <w:rPr>
            <w:color w:val="0000EE"/>
            <w:u w:val="single"/>
          </w:rPr>
          <w:t>Rm 6.23</w:t>
        </w:r>
      </w:hyperlink>
      <w:r>
        <w:t>). Isso significa que se espera que as ações tenham consequências equivalentes.</w:t>
      </w:r>
    </w:p>
    <w:p>
      <w:r/>
      <w:r>
        <w:t xml:space="preserve">As visões bíblicas sobre recompensa são tanto éticas quanto religiosas. A aliança de Deus com Israel era um sinal de seu favor e das bênçãos prometidas para a obediência aos seus mandamentos. A desobediência, no entanto, levaria a desastres e morte. </w:t>
      </w:r>
      <w:hyperlink r:id="rId6997">
        <w:r>
          <w:rPr>
            <w:color w:val="0000EE"/>
            <w:u w:val="single"/>
          </w:rPr>
          <w:t>Deuteronômio 28</w:t>
        </w:r>
      </w:hyperlink>
      <w:r>
        <w:t xml:space="preserve"> detalha as bênçãos para a obediência e as maldições por não fazer o que era certo e bom aos olhos do Senhor (veja também </w:t>
      </w:r>
      <w:hyperlink r:id="rId12830">
        <w:r>
          <w:rPr>
            <w:color w:val="0000EE"/>
            <w:u w:val="single"/>
          </w:rPr>
          <w:t>Lv 26</w:t>
        </w:r>
      </w:hyperlink>
      <w:r>
        <w:t>). Durante a peregrinação no deserto, a desobediência levou ao sofrimento e à morte. A história do tempo dos juízes e reis mostra que a fidelidade trouxe bênçãos, e o pecado trouxe punição. A vitória e a prosperidade nacional estavam ligadas a seguir os mandamentos de Deus (</w:t>
      </w:r>
      <w:hyperlink r:id="rId14151">
        <w:r>
          <w:rPr>
            <w:color w:val="0000EE"/>
            <w:u w:val="single"/>
          </w:rPr>
          <w:t>Js 1.7–9</w:t>
        </w:r>
      </w:hyperlink>
      <w:r>
        <w:t xml:space="preserve">; cp. </w:t>
      </w:r>
      <w:hyperlink r:id="rId18119">
        <w:r>
          <w:rPr>
            <w:color w:val="0000EE"/>
            <w:u w:val="single"/>
          </w:rPr>
          <w:t>Jz 2</w:t>
        </w:r>
      </w:hyperlink>
      <w:r>
        <w:t>).</w:t>
      </w:r>
    </w:p>
    <w:p>
      <w:r/>
      <w:r>
        <w:t>Às vezes, esse padrão de recompensa e punição não parecia fazer sentido. A crença judaica era que Deus é misericordioso e perdoador. O perdão envolve remover a punição pelo pecado. Como está escrito: “Ele não nos tratou segundo os nossos pecados, nem nos retribuiu segundo as nossas iniquidades” (</w:t>
      </w:r>
      <w:hyperlink r:id="rId18120">
        <w:r>
          <w:rPr>
            <w:color w:val="0000EE"/>
            <w:u w:val="single"/>
          </w:rPr>
          <w:t>Sl 103.10</w:t>
        </w:r>
      </w:hyperlink>
      <w:r>
        <w:t>).</w:t>
      </w:r>
    </w:p>
    <w:p>
      <w:r/>
      <w:r>
        <w:t>Em Eclesiastes, o escritor observou que a vida nem sempre segue o princípio da retribuição. Ele apontou uma visão um tanto cínica quando os justos sofrem e os ímpios prosperam. Os amigos de Jó acreditavam que seu sofrimento era devido a um pecado oculto, mas Jó manteve sua integridade. No final, Jó foi recompensado por sua fidelidade.</w:t>
      </w:r>
    </w:p>
    <w:p>
      <w:r/>
      <w:r>
        <w:t>Na época de Jesus, o judaísmo havia evoluído significativamente. A lei romana havia substituído o antigo sistema legal. No entanto, o judaísmo ainda valorizava as boas obras e encorajava as pessoas a acumularem mérito para a bênção de Deus (</w:t>
      </w:r>
      <w:hyperlink r:id="rId18121">
        <w:r>
          <w:rPr>
            <w:color w:val="0000EE"/>
            <w:u w:val="single"/>
          </w:rPr>
          <w:t>Tb 4.7–10</w:t>
        </w:r>
      </w:hyperlink>
      <w:r>
        <w:t xml:space="preserve">; </w:t>
      </w:r>
      <w:hyperlink r:id="rId18122">
        <w:r>
          <w:rPr>
            <w:color w:val="0000EE"/>
            <w:u w:val="single"/>
          </w:rPr>
          <w:t>Eclo 51.30</w:t>
        </w:r>
      </w:hyperlink>
      <w:r>
        <w:t>). Os fariseus acreditavam que a observância cuidadosa da lei conquistaria o favor de Deus. Eles pensavam que as boas ações seriam recompensadas e os pecados seriam punidos, se não nesta vida, então no futuro.</w:t>
      </w:r>
    </w:p>
    <w:p>
      <w:r/>
      <w:r>
        <w:t>Jesus também ensinou sobre recompensa, especialmente no Sermão da Montanha (</w:t>
      </w:r>
      <w:hyperlink r:id="rId6404">
        <w:r>
          <w:rPr>
            <w:color w:val="0000EE"/>
            <w:u w:val="single"/>
          </w:rPr>
          <w:t>Mt 5–7</w:t>
        </w:r>
      </w:hyperlink>
      <w:r>
        <w:t>). Ele disse que Deus abençoaria aqueles que demonstram certas qualidades morais (</w:t>
      </w:r>
      <w:hyperlink r:id="rId18123">
        <w:r>
          <w:rPr>
            <w:color w:val="0000EE"/>
            <w:u w:val="single"/>
          </w:rPr>
          <w:t>Mt 5.1–12</w:t>
        </w:r>
      </w:hyperlink>
      <w:r>
        <w:t>). Pessoas que agem para serem elogiadas por outros receberão apenas esse elogio, mas aqueles que buscam agradar a Deus serão recompensados por ele (</w:t>
      </w:r>
      <w:hyperlink r:id="rId18124">
        <w:r>
          <w:rPr>
            <w:color w:val="0000EE"/>
            <w:u w:val="single"/>
          </w:rPr>
          <w:t>Mt 6.1,4,6,18</w:t>
        </w:r>
      </w:hyperlink>
      <w:r>
        <w:t>). Jesus desafiou a ideia de recompensa com a parábola dos trabalhadores (</w:t>
      </w:r>
      <w:hyperlink r:id="rId8698">
        <w:r>
          <w:rPr>
            <w:color w:val="0000EE"/>
            <w:u w:val="single"/>
          </w:rPr>
          <w:t>Mt 20.1–16</w:t>
        </w:r>
      </w:hyperlink>
      <w:r>
        <w:t>). Nela, todos receberam o mesmo salário, independentemente de quanto tempo trabalharam. Ele ensinou que devemos trabalhar por motivos além de apenas receber recompensas. Na parábola do bom pastor, Jesus contrasta o mercenário, que trabalha apenas por salário, com o pastor, que morrerá pelas ovelhas (</w:t>
      </w:r>
      <w:hyperlink r:id="rId18125">
        <w:r>
          <w:rPr>
            <w:color w:val="0000EE"/>
            <w:u w:val="single"/>
          </w:rPr>
          <w:t>Jo 10.11–14</w:t>
        </w:r>
      </w:hyperlink>
      <w:r>
        <w:t>). Um servo que apenas cumpre seu dever não merece recompensa especial (</w:t>
      </w:r>
      <w:hyperlink r:id="rId18126">
        <w:r>
          <w:rPr>
            <w:color w:val="0000EE"/>
            <w:u w:val="single"/>
          </w:rPr>
          <w:t>Lc 17.9–10</w:t>
        </w:r>
      </w:hyperlink>
      <w:r>
        <w:t>).</w:t>
      </w:r>
    </w:p>
    <w:p>
      <w:r/>
      <w:r>
        <w:t>Paulo introduziu uma nova perspectiva sobre recompensa, especialmente em relação à salvação. A salvação não é mais vista como o resultado de fazer mais o bem do que o mal. É um presente do favor divino que não pode ser conquistado (</w:t>
      </w:r>
      <w:hyperlink r:id="rId18127">
        <w:r>
          <w:rPr>
            <w:color w:val="0000EE"/>
            <w:u w:val="single"/>
          </w:rPr>
          <w:t>Rm 4.4–5</w:t>
        </w:r>
      </w:hyperlink>
      <w:r>
        <w:t xml:space="preserve">). A salvação não é conquistada, mas dada por um Deus amoroso. No entanto, recompensas ainda são dadas por boas ações após a salvação ter sido concedida. O livro de </w:t>
      </w:r>
      <w:hyperlink r:id="rId18128">
        <w:r>
          <w:rPr>
            <w:color w:val="0000EE"/>
            <w:u w:val="single"/>
          </w:rPr>
          <w:t>1 Coríntios 3.8–14</w:t>
        </w:r>
      </w:hyperlink>
      <w:r>
        <w:t xml:space="preserve"> ensina que a qualidade das obras de uma pessoa será avaliada e recompensada, mas a salvação em si não é baseada em obras. No entanto, as obras importam para o destino eterno de alguém (</w:t>
      </w:r>
      <w:hyperlink r:id="rId18129">
        <w:r>
          <w:rPr>
            <w:color w:val="0000EE"/>
            <w:u w:val="single"/>
          </w:rPr>
          <w:t>Cl 3.24</w:t>
        </w:r>
      </w:hyperlink>
      <w:r>
        <w:t xml:space="preserve">; </w:t>
      </w:r>
      <w:hyperlink r:id="rId6705">
        <w:r>
          <w:rPr>
            <w:color w:val="0000EE"/>
            <w:u w:val="single"/>
          </w:rPr>
          <w:t>Ap 14.13</w:t>
        </w:r>
      </w:hyperlink>
      <w:r>
        <w:t>).</w:t>
      </w:r>
    </w:p>
    <w:p>
      <w:r/>
      <w:r>
        <w:rPr>
          <w:i/>
        </w:rPr>
        <w:t>Veja também</w:t>
      </w:r>
      <w:r>
        <w:t xml:space="preserve"> </w:t>
      </w:r>
      <w:r>
        <w:t>Coroa</w:t>
      </w:r>
      <w:r>
        <w:t xml:space="preserve">; </w:t>
      </w:r>
      <w:r>
        <w:t>Julgamento</w:t>
      </w:r>
      <w:r>
        <w:t>.</w:t>
      </w:r>
      <w:r/>
      <w:r/>
    </w:p>
    <w:p>
      <w:r/>
    </w:p>
    <w:p>
      <w:pPr>
        <w:pStyle w:val="Heading2"/>
      </w:pPr>
      <w:r>
        <w:t>Redemoinho</w:t>
      </w:r>
      <w:r/>
    </w:p>
    <w:p>
      <w:r/>
      <w:r>
        <w:t>Qualquer vento forte e potencialmente destrutivo (</w:t>
      </w:r>
      <w:hyperlink r:id="rId18130">
        <w:r>
          <w:rPr>
            <w:color w:val="0000EE"/>
            <w:u w:val="single"/>
          </w:rPr>
          <w:t>Jó 27.20</w:t>
        </w:r>
      </w:hyperlink>
      <w:r>
        <w:t xml:space="preserve">; </w:t>
      </w:r>
      <w:hyperlink r:id="rId18131">
        <w:r>
          <w:rPr>
            <w:color w:val="0000EE"/>
            <w:u w:val="single"/>
          </w:rPr>
          <w:t>Sl 77.18</w:t>
        </w:r>
      </w:hyperlink>
      <w:r>
        <w:t xml:space="preserve">; </w:t>
      </w:r>
      <w:hyperlink r:id="rId18132">
        <w:r>
          <w:rPr>
            <w:color w:val="0000EE"/>
            <w:u w:val="single"/>
          </w:rPr>
          <w:t>Dn 11.40</w:t>
        </w:r>
      </w:hyperlink>
      <w:r>
        <w:t xml:space="preserve">). Redemoinho, por vezes, são chamados de redemoinhos de poeira (ou, demônios de poeira em algumas culturas). Embora redemoinhos sejam comuns nas regiões áridas do Oriente Médio, a aparente fúria e destrutividade dos "redemoinhos" bíblicos torna improvável que os relativamente inofensivos redemoinhos de poeira sejam o que se quer dizer (compare </w:t>
      </w:r>
      <w:hyperlink r:id="rId18133">
        <w:r>
          <w:rPr>
            <w:color w:val="0000EE"/>
            <w:u w:val="single"/>
          </w:rPr>
          <w:t>Am 1.14</w:t>
        </w:r>
      </w:hyperlink>
      <w:r>
        <w:t xml:space="preserve">; </w:t>
      </w:r>
      <w:hyperlink r:id="rId18134">
        <w:r>
          <w:rPr>
            <w:color w:val="0000EE"/>
            <w:u w:val="single"/>
          </w:rPr>
          <w:t>Hc 3.14</w:t>
        </w:r>
      </w:hyperlink>
      <w:r>
        <w:t>). Ventos sirocos dos desertos orientais às vezes têm forma ciclônica, mas os ventos nas Escrituras podem não ser redemoinhos no sentido técnico.</w:t>
      </w:r>
    </w:p>
    <w:p>
      <w:r/>
      <w:r>
        <w:t>Redemoinhos bíblicas eram frequentemente associados à atividade divina. Elias foi levado ao céu por um redemoinho (</w:t>
      </w:r>
      <w:hyperlink r:id="rId18135">
        <w:r>
          <w:rPr>
            <w:color w:val="0000EE"/>
            <w:u w:val="single"/>
          </w:rPr>
          <w:t>2Rs 2.1,11</w:t>
        </w:r>
      </w:hyperlink>
      <w:r>
        <w:t>). Deus frequentemente falava do meio da tempestade (</w:t>
      </w:r>
      <w:hyperlink r:id="rId18136">
        <w:r>
          <w:rPr>
            <w:color w:val="0000EE"/>
            <w:u w:val="single"/>
          </w:rPr>
          <w:t>Jó 38.1</w:t>
        </w:r>
      </w:hyperlink>
      <w:r>
        <w:t xml:space="preserve">; </w:t>
      </w:r>
      <w:hyperlink r:id="rId18137">
        <w:r>
          <w:rPr>
            <w:color w:val="0000EE"/>
            <w:u w:val="single"/>
          </w:rPr>
          <w:t>40.6</w:t>
        </w:r>
      </w:hyperlink>
      <w:r>
        <w:t xml:space="preserve">; </w:t>
      </w:r>
      <w:hyperlink r:id="rId18131">
        <w:r>
          <w:rPr>
            <w:color w:val="0000EE"/>
            <w:u w:val="single"/>
          </w:rPr>
          <w:t>Sl 77.18</w:t>
        </w:r>
      </w:hyperlink>
      <w:r>
        <w:t>). A descrição da destruição súbita do julgamento divino era frequentemente associada a tempestades, tormentas e redemoinhos (</w:t>
      </w:r>
      <w:hyperlink r:id="rId16038">
        <w:r>
          <w:rPr>
            <w:color w:val="0000EE"/>
            <w:u w:val="single"/>
          </w:rPr>
          <w:t>Os 8.7</w:t>
        </w:r>
      </w:hyperlink>
      <w:r>
        <w:t xml:space="preserve">; </w:t>
      </w:r>
      <w:hyperlink r:id="rId18133">
        <w:r>
          <w:rPr>
            <w:color w:val="0000EE"/>
            <w:u w:val="single"/>
          </w:rPr>
          <w:t>Am 1.14</w:t>
        </w:r>
      </w:hyperlink>
      <w:r>
        <w:t xml:space="preserve">; </w:t>
      </w:r>
      <w:hyperlink r:id="rId15067">
        <w:r>
          <w:rPr>
            <w:color w:val="0000EE"/>
            <w:u w:val="single"/>
          </w:rPr>
          <w:t>Na 1.3</w:t>
        </w:r>
      </w:hyperlink>
      <w:r>
        <w:t xml:space="preserve">; </w:t>
      </w:r>
      <w:hyperlink r:id="rId18134">
        <w:r>
          <w:rPr>
            <w:color w:val="0000EE"/>
            <w:u w:val="single"/>
          </w:rPr>
          <w:t>Hc 3.14</w:t>
        </w:r>
      </w:hyperlink>
      <w:r>
        <w:t>).</w:t>
      </w:r>
      <w:r/>
      <w:r/>
    </w:p>
    <w:p>
      <w:r/>
    </w:p>
    <w:p>
      <w:pPr>
        <w:pStyle w:val="Heading2"/>
      </w:pPr>
      <w:r>
        <w:t>Redentor, Redenção</w:t>
      </w:r>
      <w:r/>
    </w:p>
    <w:p>
      <w:r/>
      <w:r>
        <w:t>Palavras em inglês derivadas de uma raiz latina que significa “comprar de volta”, assim seu significado é a libertação de qualquer posse, objeto ou pessoa, geralmente pelo pagamento de um resgate. Em grego, a palavra raiz significa "resgatar"ou “soltar”, ou seja, libertar. O termo é usado para libertar de correntes, escravidão ou prisão.</w:t>
      </w:r>
    </w:p>
    <w:p>
      <w:pPr>
        <w:pStyle w:val="Heading3"/>
      </w:pPr>
      <w:r>
        <w:t>Palavras do Antigo Testamento e do Novo Testamento</w:t>
      </w:r>
    </w:p>
    <w:p>
      <w:r/>
      <w:r>
        <w:t>Para uma compreensão completa do conceito de redenção, é necessário olhar para o AT. Há três palavras diferentes usadas em hebraico, dependendo da situação específica, que transmitem a ideia de redenção. O significado desses termos redentores repousa nos costumes legais, sociais e religiosos que são estranhos para a cultura moderna. Uma compreensão da cultura é necessária para uma compreensão da terminologia e seu uso.</w:t>
      </w:r>
    </w:p>
    <w:p>
      <w:r/>
      <w:r>
        <w:t xml:space="preserve">O primeiro termo usado para redenção tem um contexto legal. O verbo </w:t>
      </w:r>
      <w:r>
        <w:rPr>
          <w:i/>
        </w:rPr>
        <w:t>padah</w:t>
      </w:r>
      <w:r>
        <w:t xml:space="preserve"> é usado quando um animal substitui (ou redime) uma pessoa ou outro animal. O substantivo derivado da raiz significa "o resgate" ou o "preço pago". Quando um ser vivo, pessoa ou animal, requer redenção, a substituição deve ser feita, ou o preço pago. Caso contrário, o animal deve ser morto (</w:t>
      </w:r>
      <w:hyperlink r:id="rId17515">
        <w:r>
          <w:rPr>
            <w:color w:val="0000EE"/>
            <w:u w:val="single"/>
          </w:rPr>
          <w:t>Êx 13.13</w:t>
        </w:r>
      </w:hyperlink>
      <w:r>
        <w:t xml:space="preserve">; </w:t>
      </w:r>
      <w:hyperlink r:id="rId15777">
        <w:r>
          <w:rPr>
            <w:color w:val="0000EE"/>
            <w:u w:val="single"/>
          </w:rPr>
          <w:t>34.20</w:t>
        </w:r>
      </w:hyperlink>
      <w:r>
        <w:t>). No entanto, a lei nunca permitiu que uma pessoa fosse morta nesses casos. Uma pessoa tinha que ser redimida sem exceção.</w:t>
      </w:r>
    </w:p>
    <w:p>
      <w:r/>
      <w:r>
        <w:t xml:space="preserve">A palavra </w:t>
      </w:r>
      <w:r>
        <w:rPr>
          <w:i/>
        </w:rPr>
        <w:t>padah</w:t>
      </w:r>
      <w:r>
        <w:t xml:space="preserve"> também é usada para outros tipos de resgate ou resgate. Por exemplo, pode descrever quando alguém paga o preço para libertar um escravo israelita. Também pode significar pagar um resgate para salvar uma pessoa em perigo (</w:t>
      </w:r>
      <w:hyperlink r:id="rId18138">
        <w:r>
          <w:rPr>
            <w:color w:val="0000EE"/>
            <w:u w:val="single"/>
          </w:rPr>
          <w:t>Êx 21.8</w:t>
        </w:r>
      </w:hyperlink>
      <w:r>
        <w:t xml:space="preserve">; </w:t>
      </w:r>
      <w:hyperlink r:id="rId18139">
        <w:r>
          <w:rPr>
            <w:color w:val="0000EE"/>
            <w:u w:val="single"/>
          </w:rPr>
          <w:t>Jó 6.23</w:t>
        </w:r>
      </w:hyperlink>
      <w:r>
        <w:t>).</w:t>
      </w:r>
    </w:p>
    <w:p>
      <w:r/>
      <w:r>
        <w:t>O conceito de redenção tinha um significado especial para os primogênitos. O macho primogênito, tanto homem quanto animal, pertencia a Deus. Em teoria, o primogênito foi sacrificado a ele. Isso foi feito no caso de muitos animais, mas o primogênito humano e alguns animais foram redimidos (</w:t>
      </w:r>
      <w:hyperlink r:id="rId17515">
        <w:r>
          <w:rPr>
            <w:color w:val="0000EE"/>
            <w:u w:val="single"/>
          </w:rPr>
          <w:t>Êx 13.13</w:t>
        </w:r>
      </w:hyperlink>
      <w:r>
        <w:t xml:space="preserve">; </w:t>
      </w:r>
      <w:hyperlink r:id="rId15777">
        <w:r>
          <w:rPr>
            <w:color w:val="0000EE"/>
            <w:u w:val="single"/>
          </w:rPr>
          <w:t>34.20</w:t>
        </w:r>
      </w:hyperlink>
      <w:r>
        <w:t xml:space="preserve">; </w:t>
      </w:r>
      <w:hyperlink r:id="rId17513">
        <w:r>
          <w:rPr>
            <w:color w:val="0000EE"/>
            <w:u w:val="single"/>
          </w:rPr>
          <w:t>Nm 18.15–16</w:t>
        </w:r>
      </w:hyperlink>
      <w:r>
        <w:t>). Na redenção do filho primogênito, um animal foi substituído, embora mais tarde uma quantia de dinheiro tenha sido paga (</w:t>
      </w:r>
      <w:hyperlink r:id="rId17009">
        <w:r>
          <w:rPr>
            <w:color w:val="0000EE"/>
            <w:u w:val="single"/>
          </w:rPr>
          <w:t>Nm 18.16</w:t>
        </w:r>
      </w:hyperlink>
      <w:r>
        <w:t>).</w:t>
      </w:r>
    </w:p>
    <w:p>
      <w:r/>
      <w:r>
        <w:t xml:space="preserve">O segundo termo envolvido é a raiz hebraica </w:t>
      </w:r>
      <w:r>
        <w:rPr>
          <w:i/>
        </w:rPr>
        <w:t>ga’al</w:t>
      </w:r>
      <w:r>
        <w:t>, que é usada principalmente em relação às regras e obrigações familiares, as leis que governam os direitos e deveres de propriedade da família. Por exemplo, se uma parte da propriedade fosse perdida por um membro da família, o parente próximo tinha tanto o direito quanto a obrigação de redimir esta propriedade. Este direito de redenção protegia a herança da família. O substantivo derivado desta raiz é equivalente à raiz português “redenção”, e a pessoa que compra de volta a propriedade é o go’el ou o redentor.</w:t>
      </w:r>
    </w:p>
    <w:p>
      <w:r/>
      <w:r>
        <w:t>Um israelita que foi forçado a se vender como escravo para pagar suas dívidas poderia ser redimido por um parente próximo ou até por si (</w:t>
      </w:r>
      <w:hyperlink r:id="rId16279">
        <w:r>
          <w:rPr>
            <w:color w:val="0000EE"/>
            <w:u w:val="single"/>
          </w:rPr>
          <w:t>Lv 25.47–49</w:t>
        </w:r>
      </w:hyperlink>
      <w:r>
        <w:t>). A terra também pode ser redimida da mesma maneira (</w:t>
      </w:r>
      <w:hyperlink r:id="rId10515">
        <w:r>
          <w:rPr>
            <w:color w:val="0000EE"/>
            <w:u w:val="single"/>
          </w:rPr>
          <w:t>25.25–28</w:t>
        </w:r>
      </w:hyperlink>
      <w:r>
        <w:t xml:space="preserve">; </w:t>
      </w:r>
      <w:hyperlink r:id="rId3587">
        <w:r>
          <w:rPr>
            <w:color w:val="0000EE"/>
            <w:u w:val="single"/>
          </w:rPr>
          <w:t>Jr 32.6–9</w:t>
        </w:r>
      </w:hyperlink>
      <w:r>
        <w:t>).</w:t>
      </w:r>
    </w:p>
    <w:p>
      <w:r/>
      <w:r>
        <w:t>O direito de redenção se estendia também às pessoas em circunstâncias especiais. A obrigação de um homem de se casar com a viúva de seu irmão é bem conhecida. No livro de Rute, o direito de redenção é estendido a um parente distante. Nesta história, Boaz redimiu não apenas a propriedade, mas também Rute, e ela se tornou sua esposa (</w:t>
      </w:r>
      <w:hyperlink r:id="rId18140">
        <w:r>
          <w:rPr>
            <w:color w:val="0000EE"/>
            <w:u w:val="single"/>
          </w:rPr>
          <w:t>Rt 3.13</w:t>
        </w:r>
      </w:hyperlink>
      <w:r>
        <w:t xml:space="preserve">; </w:t>
      </w:r>
      <w:hyperlink r:id="rId18141">
        <w:r>
          <w:rPr>
            <w:color w:val="0000EE"/>
            <w:u w:val="single"/>
          </w:rPr>
          <w:t>4.1–6</w:t>
        </w:r>
      </w:hyperlink>
      <w:r>
        <w:t>).</w:t>
      </w:r>
    </w:p>
    <w:p>
      <w:r/>
      <w:r>
        <w:t xml:space="preserve">O terceiro termo usado em hebraico é o verbo raiz </w:t>
      </w:r>
      <w:r>
        <w:rPr>
          <w:i/>
        </w:rPr>
        <w:t>kaphar</w:t>
      </w:r>
      <w:r>
        <w:t xml:space="preserve">, que significa “cobrir”. Desta raiz vêm os termos que significam cobrir o pecado ou expiar. O substantivo derivado, </w:t>
      </w:r>
      <w:r>
        <w:rPr>
          <w:i/>
        </w:rPr>
        <w:t>kopher</w:t>
      </w:r>
      <w:r>
        <w:t>, significa o preço pago para cobrir o pecado, quando o termo é usado no sentido religioso.</w:t>
      </w:r>
    </w:p>
    <w:p>
      <w:r/>
      <w:r>
        <w:t>O termo é usado para significar o pagamento feito por qualquer vida que deveria ser sacrificada. Uma boa ilustração é o preço pago pelo proprietário de um boi que havia chifrado uma pessoa até a morte. Sob a lei, a vida do proprietário foi comprometida, mas ele poderia se redimir pagando o resgate necessário (</w:t>
      </w:r>
      <w:hyperlink r:id="rId7209">
        <w:r>
          <w:rPr>
            <w:color w:val="0000EE"/>
            <w:u w:val="single"/>
          </w:rPr>
          <w:t>Êx 21.28–32</w:t>
        </w:r>
      </w:hyperlink>
      <w:r>
        <w:t>).</w:t>
      </w:r>
    </w:p>
    <w:p>
      <w:r/>
      <w:r>
        <w:t>Os três termos hebraicos são traduzidos para diferentes palavras gregas na Septuaginta. As raízes</w:t>
      </w:r>
      <w:r>
        <w:rPr>
          <w:i/>
        </w:rPr>
        <w:t xml:space="preserve"> padah </w:t>
      </w:r>
      <w:r>
        <w:t xml:space="preserve">e </w:t>
      </w:r>
      <w:r>
        <w:rPr>
          <w:i/>
        </w:rPr>
        <w:t>gaʾal</w:t>
      </w:r>
      <w:r>
        <w:t xml:space="preserve"> são frequentemente traduzidas por </w:t>
      </w:r>
      <w:r>
        <w:rPr>
          <w:i/>
        </w:rPr>
        <w:t>lutroō</w:t>
      </w:r>
      <w:r>
        <w:t xml:space="preserve"> (“redimir, libertar, resgatar”) e seu substantivo relacionado </w:t>
      </w:r>
      <w:r>
        <w:rPr>
          <w:i/>
        </w:rPr>
        <w:t>lutron</w:t>
      </w:r>
      <w:r>
        <w:t xml:space="preserve"> (“resgate”). A raiz </w:t>
      </w:r>
      <w:r>
        <w:rPr>
          <w:i/>
        </w:rPr>
        <w:t>kaphar</w:t>
      </w:r>
      <w:r>
        <w:t xml:space="preserve"> é geralmente traduzida por palavras que significam “fazer expiação”, como </w:t>
      </w:r>
      <w:r>
        <w:rPr>
          <w:i/>
        </w:rPr>
        <w:t>exilaskomai</w:t>
      </w:r>
      <w:r>
        <w:t>. Embora as palavras hebraicas sejam distintas, o grego destaca seu foco comum: redenção sempre envolve um preço sendo pago, um resgate ocorrendo ou alguém sendo libertado.</w:t>
      </w:r>
    </w:p>
    <w:p>
      <w:pPr>
        <w:pStyle w:val="Heading3"/>
      </w:pPr>
      <w:r>
        <w:t>Deus como Redentor</w:t>
      </w:r>
    </w:p>
    <w:p>
      <w:r/>
      <w:r>
        <w:t>No AT, o objeto da redenção de Deus é geralmente as pessoas como um todo, ou a nação, em vez de indivíduos. O início deste conceito de redenção nacional é visto na libertação de Deus do povo da escravidão no Egito. Embora eles estivessem em escravidão, seu Deus os resgatou (</w:t>
      </w:r>
      <w:hyperlink r:id="rId1958">
        <w:r>
          <w:rPr>
            <w:color w:val="0000EE"/>
            <w:u w:val="single"/>
          </w:rPr>
          <w:t>Êx 6.6</w:t>
        </w:r>
      </w:hyperlink>
      <w:r>
        <w:t xml:space="preserve">; </w:t>
      </w:r>
      <w:hyperlink r:id="rId18142">
        <w:r>
          <w:rPr>
            <w:color w:val="0000EE"/>
            <w:u w:val="single"/>
          </w:rPr>
          <w:t>Dt 15.15</w:t>
        </w:r>
      </w:hyperlink>
      <w:r>
        <w:t>).</w:t>
      </w:r>
    </w:p>
    <w:p>
      <w:r/>
      <w:r>
        <w:t>Conforme indicado pelos termos usados para redimir ou resgatar, o pagamento de um preço estabelecido ou a substituição de outra vida estavam envolvidos. Quando o conceito redentor é aplicado a Deus como o sujeito, ele liberta — sem o pagamento de um preço — pela sua própria força ou poder: “Eu sou o Senhor, e te libertarei de sua escravidão no Egito. Eu os resgaterei com meu braço poderoso e com grandes atos de julgamento” (</w:t>
      </w:r>
      <w:hyperlink r:id="rId1958">
        <w:r>
          <w:rPr>
            <w:color w:val="0000EE"/>
            <w:u w:val="single"/>
          </w:rPr>
          <w:t>Êx 6.6</w:t>
        </w:r>
      </w:hyperlink>
      <w:r>
        <w:t xml:space="preserve">, NVT; cf. </w:t>
      </w:r>
      <w:hyperlink r:id="rId18142">
        <w:r>
          <w:rPr>
            <w:color w:val="0000EE"/>
            <w:u w:val="single"/>
          </w:rPr>
          <w:t>Dt 15.15</w:t>
        </w:r>
      </w:hyperlink>
      <w:r>
        <w:t xml:space="preserve">). O mesmo pensamento é levado adiante em outros tempos de necessidade e libertação, como o tempo do exílio. Deus é o libertador nacional (por exemplo, </w:t>
      </w:r>
      <w:hyperlink r:id="rId18143">
        <w:r>
          <w:rPr>
            <w:color w:val="0000EE"/>
            <w:u w:val="single"/>
          </w:rPr>
          <w:t>Is 29.22</w:t>
        </w:r>
      </w:hyperlink>
      <w:r>
        <w:t xml:space="preserve">; </w:t>
      </w:r>
      <w:hyperlink r:id="rId18144">
        <w:r>
          <w:rPr>
            <w:color w:val="0000EE"/>
            <w:u w:val="single"/>
          </w:rPr>
          <w:t>35.10</w:t>
        </w:r>
      </w:hyperlink>
      <w:r>
        <w:t xml:space="preserve">; </w:t>
      </w:r>
      <w:hyperlink r:id="rId17589">
        <w:r>
          <w:rPr>
            <w:color w:val="0000EE"/>
            <w:u w:val="single"/>
          </w:rPr>
          <w:t>43.1</w:t>
        </w:r>
      </w:hyperlink>
      <w:r>
        <w:t xml:space="preserve">; </w:t>
      </w:r>
      <w:hyperlink r:id="rId16852">
        <w:r>
          <w:rPr>
            <w:color w:val="0000EE"/>
            <w:u w:val="single"/>
          </w:rPr>
          <w:t>44.22</w:t>
        </w:r>
      </w:hyperlink>
      <w:r>
        <w:t xml:space="preserve">; </w:t>
      </w:r>
      <w:hyperlink r:id="rId18145">
        <w:r>
          <w:rPr>
            <w:color w:val="0000EE"/>
            <w:u w:val="single"/>
          </w:rPr>
          <w:t>Jr 31.11</w:t>
        </w:r>
      </w:hyperlink>
      <w:r>
        <w:t>).</w:t>
      </w:r>
    </w:p>
    <w:p>
      <w:r/>
      <w:r>
        <w:t>Novamente, não há sugestão de que Deus pagou um preço para libertar seu povo. Deus redime pelo seu próprio poder. “Pois assim diz o Senhor: ‘Quando eu a vendi ao exílio, não recebi pagamento algum. Agora a resgatarei sem ter de pagar por você’ " (</w:t>
      </w:r>
      <w:hyperlink r:id="rId18146">
        <w:r>
          <w:rPr>
            <w:color w:val="0000EE"/>
            <w:u w:val="single"/>
          </w:rPr>
          <w:t>Is 52.3</w:t>
        </w:r>
      </w:hyperlink>
      <w:r>
        <w:t>, NVT). Quando Ciro deixou o povo livre, foi novamente sem o pagamento de um preço (</w:t>
      </w:r>
      <w:hyperlink r:id="rId18147">
        <w:r>
          <w:rPr>
            <w:color w:val="0000EE"/>
            <w:u w:val="single"/>
          </w:rPr>
          <w:t>45.13</w:t>
        </w:r>
      </w:hyperlink>
      <w:r>
        <w:t>).</w:t>
      </w:r>
    </w:p>
    <w:p>
      <w:r/>
      <w:r>
        <w:t>Na comunidade cristã, especialmente nos primeiros séculos da igreja, surgiu a ideia de que um preço de resgate era necessário para pagar pelos pecados. Na verdade, muitas vezes se ensinava que o pecador estava, de fato, cativo por Satanás. A morte de Cristo foi o preço do resgate pago por Deus a Satanás para libertar pessoas pecadoras. Este ensino não é apoiado pelas Escrituras. A morte de Cristo é uma expiação feita pelo pecado, mas isso não significa que sua morte era um preço pago a Satanás. Deus não é retratado em qualquer lugar nas Escrituras como entrando em tal transação de comércio com Satanás. A obra redentora da cruz deve sempre estar dentro do reino do mistério divino.</w:t>
      </w:r>
    </w:p>
    <w:p>
      <w:pPr>
        <w:pStyle w:val="Heading3"/>
      </w:pPr>
      <w:r>
        <w:t>Redenção e o Messias</w:t>
      </w:r>
    </w:p>
    <w:p>
      <w:r/>
      <w:r>
        <w:t>No AT, a redenção está intimamente ligada com a esperança messiânica. Desde o tempo do êxodo, Deus é revelado como libertador. A esperança de redenção é muito forte durante o Cativeiro. Os profetas constantemente falam de Deus como redentor ou libertador. Esta esperança deveria ser cumprida através do ungido de Deus, ou Messias, que seria da linhagem de Davi (</w:t>
      </w:r>
      <w:hyperlink r:id="rId18148">
        <w:r>
          <w:rPr>
            <w:color w:val="0000EE"/>
            <w:u w:val="single"/>
          </w:rPr>
          <w:t>Is 9.1–6</w:t>
        </w:r>
      </w:hyperlink>
      <w:r>
        <w:t xml:space="preserve">; </w:t>
      </w:r>
      <w:hyperlink r:id="rId18149">
        <w:r>
          <w:rPr>
            <w:color w:val="0000EE"/>
            <w:u w:val="single"/>
          </w:rPr>
          <w:t>11.1–9</w:t>
        </w:r>
      </w:hyperlink>
      <w:r>
        <w:t xml:space="preserve">; </w:t>
      </w:r>
      <w:hyperlink r:id="rId14299">
        <w:r>
          <w:rPr>
            <w:color w:val="0000EE"/>
            <w:u w:val="single"/>
          </w:rPr>
          <w:t>Jr 23.5–6</w:t>
        </w:r>
      </w:hyperlink>
      <w:r>
        <w:t>).</w:t>
      </w:r>
    </w:p>
    <w:p>
      <w:r/>
      <w:r>
        <w:t>A esperança messiânica cresceu mais durante os períodos de exílio e perseguição. Na verdade, durante os longos séculos de perseguição, esta esperança de um libertador messiânico foi mais forte do que nunca. Este período, geralmente chamado de período intertestamentário, durou cerca de quatro séculos e se estendeu desde o último dos profetas até o tempo de João Batista e Jesus.</w:t>
      </w:r>
    </w:p>
    <w:p>
      <w:r/>
      <w:r>
        <w:t>Os cristãos acreditam que em Jesus, o Cristo (ou Jesus, o Messias), vemos o cumprimento do conceito redentor do AT. A imagem redentora é muito evidente nos Evangelhos. João Batista retratou Jesus de Nazaré como o cumprimento do reino redentor de Deus (</w:t>
      </w:r>
      <w:hyperlink r:id="rId3192">
        <w:r>
          <w:rPr>
            <w:color w:val="0000EE"/>
            <w:u w:val="single"/>
          </w:rPr>
          <w:t>Mt 3.12</w:t>
        </w:r>
      </w:hyperlink>
      <w:r>
        <w:t>) e, portanto, o Messias de Israel. Jesus, o Filho do Homem, veio para dar a si mesmo como um resgate por muitos (</w:t>
      </w:r>
      <w:hyperlink r:id="rId920">
        <w:r>
          <w:rPr>
            <w:color w:val="0000EE"/>
            <w:u w:val="single"/>
          </w:rPr>
          <w:t>Mt 20.28</w:t>
        </w:r>
      </w:hyperlink>
      <w:r>
        <w:t xml:space="preserve">; </w:t>
      </w:r>
      <w:hyperlink r:id="rId921">
        <w:r>
          <w:rPr>
            <w:color w:val="0000EE"/>
            <w:u w:val="single"/>
          </w:rPr>
          <w:t>Mc 10.45</w:t>
        </w:r>
      </w:hyperlink>
      <w:r>
        <w:t>). A obra do Messias foi vicária e substitutiva.</w:t>
      </w:r>
    </w:p>
    <w:p>
      <w:r/>
      <w:r>
        <w:t>O mesmo pensamento ocorre especialmente nos escritos de Paulo. Cristo é a oferta pelo pecado ao Pai (</w:t>
      </w:r>
      <w:hyperlink r:id="rId2767">
        <w:r>
          <w:rPr>
            <w:color w:val="0000EE"/>
            <w:u w:val="single"/>
          </w:rPr>
          <w:t>Rm 3.25</w:t>
        </w:r>
      </w:hyperlink>
      <w:r>
        <w:t>). A redenção é pela entrega de sua vida (</w:t>
      </w:r>
      <w:hyperlink r:id="rId1409">
        <w:r>
          <w:rPr>
            <w:color w:val="0000EE"/>
            <w:u w:val="single"/>
          </w:rPr>
          <w:t>Atos 20.28</w:t>
        </w:r>
      </w:hyperlink>
      <w:r>
        <w:t>) por um povo comprado (</w:t>
      </w:r>
      <w:hyperlink r:id="rId3643">
        <w:r>
          <w:rPr>
            <w:color w:val="0000EE"/>
            <w:u w:val="single"/>
          </w:rPr>
          <w:t>1Pe 2.9</w:t>
        </w:r>
      </w:hyperlink>
      <w:r>
        <w:t xml:space="preserve">; veja também </w:t>
      </w:r>
      <w:hyperlink r:id="rId18150">
        <w:r>
          <w:rPr>
            <w:color w:val="0000EE"/>
            <w:u w:val="single"/>
          </w:rPr>
          <w:t>1Co 7.22–24</w:t>
        </w:r>
      </w:hyperlink>
      <w:r>
        <w:t xml:space="preserve">; </w:t>
      </w:r>
      <w:hyperlink r:id="rId6350">
        <w:r>
          <w:rPr>
            <w:color w:val="0000EE"/>
            <w:u w:val="single"/>
          </w:rPr>
          <w:t>2Co 5.14–17</w:t>
        </w:r>
      </w:hyperlink>
      <w:r>
        <w:t>). Essas são todas as palavras ou expressões usadas para apresentar a ideia central de redenção ou expiação. Jesus Cristo é aquele que em si mesmo cumpriu o conceito de redenção das Escrituras e, por seu sacrifício, providenciou a redenção dos pecadores.</w:t>
      </w:r>
    </w:p>
    <w:p>
      <w:r/>
      <w:r>
        <w:t>O conceito de redenção tem um significado profundo para o povo de Deus. No AT, ilustra a verdade de que Deus é o Salvador de seu povo da aliança. Embora Israel tenha caído em pecado negando a lei de Deus, Ele não os destruiu, mas os restaurou ao favor mediante o arrependimento.</w:t>
      </w:r>
    </w:p>
    <w:p>
      <w:r/>
      <w:r>
        <w:t>Nos profetas, especialmente, a obra redentora de Deus deveria ser concluída através do Messias e seu sacrifício redentor. Os seguidores de Jesus acreditavam que ele era o Messias que forneceria redenção para o mundo inteiro. Juntamente com a ideia de redenção, está a força motivadora do amor divino como a base para a restauração (</w:t>
      </w:r>
      <w:hyperlink r:id="rId1191">
        <w:r>
          <w:rPr>
            <w:color w:val="0000EE"/>
            <w:u w:val="single"/>
          </w:rPr>
          <w:t>Jo 3.16</w:t>
        </w:r>
      </w:hyperlink>
      <w:r>
        <w:t>). Aquele que crê será liberto da escravidão do pecado e encontrará favor novamente com seu Deus redentor.</w:t>
      </w:r>
    </w:p>
    <w:p>
      <w:r/>
      <w:r>
        <w:rPr>
          <w:i/>
        </w:rPr>
        <w:t>Veja também</w:t>
      </w:r>
      <w:r>
        <w:t xml:space="preserve"> </w:t>
      </w:r>
      <w:r>
        <w:t>Expiação</w:t>
      </w:r>
      <w:r>
        <w:t xml:space="preserve">; </w:t>
      </w:r>
      <w:r>
        <w:t>Resgate</w:t>
      </w:r>
      <w:r>
        <w:t xml:space="preserve">; </w:t>
      </w:r>
      <w:r>
        <w:t>Salvação</w:t>
      </w:r>
      <w:r>
        <w:t>.</w:t>
      </w:r>
      <w:r/>
      <w:r/>
    </w:p>
    <w:p>
      <w:r/>
    </w:p>
    <w:p>
      <w:pPr>
        <w:pStyle w:val="Heading2"/>
      </w:pPr>
      <w:r>
        <w:t>Refaim</w:t>
      </w:r>
      <w:r/>
    </w:p>
    <w:p>
      <w:r/>
      <w:r>
        <w:t>1. Uma palavra hebraica que se refere a sombras ou espíritos desencarnados, cujo local de habitação era a morada de Sheol (</w:t>
      </w:r>
      <w:hyperlink r:id="rId18151">
        <w:r>
          <w:rPr>
            <w:color w:val="0000EE"/>
            <w:u w:val="single"/>
          </w:rPr>
          <w:t>Pv 2.18</w:t>
        </w:r>
      </w:hyperlink>
      <w:r>
        <w:t xml:space="preserve">; </w:t>
      </w:r>
      <w:hyperlink r:id="rId11023">
        <w:r>
          <w:rPr>
            <w:color w:val="0000EE"/>
            <w:u w:val="single"/>
          </w:rPr>
          <w:t>9.18</w:t>
        </w:r>
      </w:hyperlink>
      <w:r>
        <w:t xml:space="preserve">; </w:t>
      </w:r>
      <w:hyperlink r:id="rId18152">
        <w:r>
          <w:rPr>
            <w:color w:val="0000EE"/>
            <w:u w:val="single"/>
          </w:rPr>
          <w:t>21.16</w:t>
        </w:r>
      </w:hyperlink>
      <w:r>
        <w:t>). Os refains do submundo sofriam angústia (</w:t>
      </w:r>
      <w:hyperlink r:id="rId18153">
        <w:r>
          <w:rPr>
            <w:color w:val="0000EE"/>
            <w:u w:val="single"/>
          </w:rPr>
          <w:t>Jó 26.5</w:t>
        </w:r>
      </w:hyperlink>
      <w:r>
        <w:t>) e estavam separados de Deus (</w:t>
      </w:r>
      <w:hyperlink r:id="rId18154">
        <w:r>
          <w:rPr>
            <w:color w:val="0000EE"/>
            <w:u w:val="single"/>
          </w:rPr>
          <w:t>Sl 88.10–12</w:t>
        </w:r>
      </w:hyperlink>
      <w:r>
        <w:t>) e de todas as pessoas vivas (</w:t>
      </w:r>
      <w:hyperlink r:id="rId18155">
        <w:r>
          <w:rPr>
            <w:color w:val="0000EE"/>
            <w:u w:val="single"/>
          </w:rPr>
          <w:t>Is 26.14</w:t>
        </w:r>
      </w:hyperlink>
      <w:r>
        <w:t>). Seu ser imaterial tinha uma semelhança enfraquecida e sombria com sua antiga corporeidade (</w:t>
      </w:r>
      <w:hyperlink r:id="rId10289">
        <w:r>
          <w:rPr>
            <w:color w:val="0000EE"/>
            <w:u w:val="single"/>
          </w:rPr>
          <w:t>Is 14.9</w:t>
        </w:r>
      </w:hyperlink>
      <w:r>
        <w:t>).</w:t>
      </w:r>
    </w:p>
    <w:p>
      <w:r/>
      <w:r>
        <w:t>2. Um povo poderoso e de alta estatura vivia na Palestina durante os dias de Abraão. Os refains, junto com os zuzins, emins e horeus, foram derrotados por Quedorlaomer e seus exércitos aliados (</w:t>
      </w:r>
      <w:hyperlink r:id="rId1114">
        <w:r>
          <w:rPr>
            <w:color w:val="0000EE"/>
            <w:u w:val="single"/>
          </w:rPr>
          <w:t>Gn 14.5</w:t>
        </w:r>
      </w:hyperlink>
      <w:r>
        <w:t>). Eles eram uma das nove nações que habitavam na Palestina na época em que o Senhor prometeu dar a terra aos descendentes de Abraão (</w:t>
      </w:r>
      <w:hyperlink r:id="rId9176">
        <w:r>
          <w:rPr>
            <w:color w:val="0000EE"/>
            <w:u w:val="single"/>
          </w:rPr>
          <w:t>15.20</w:t>
        </w:r>
      </w:hyperlink>
      <w:r>
        <w:t>). Os antigos refains eram chamados de emins pelos moabitas e de zanzumins pelos amonitas; eles eram comparáveis em tamanho e número aos gigantes anaquins (</w:t>
      </w:r>
      <w:hyperlink r:id="rId18156">
        <w:r>
          <w:rPr>
            <w:color w:val="0000EE"/>
            <w:u w:val="single"/>
          </w:rPr>
          <w:t>Dt 2.11,20</w:t>
        </w:r>
      </w:hyperlink>
      <w:r>
        <w:t>). Ogue, rei de Basã, era o último dos refains. Ele foi posteriormente morto e seu reino despojado pelos israelitas sob Moisés (</w:t>
      </w:r>
      <w:hyperlink r:id="rId1117">
        <w:r>
          <w:rPr>
            <w:color w:val="0000EE"/>
            <w:u w:val="single"/>
          </w:rPr>
          <w:t>Dt 3.11</w:t>
        </w:r>
      </w:hyperlink>
      <w:r>
        <w:t xml:space="preserve">; </w:t>
      </w:r>
      <w:hyperlink r:id="rId2795">
        <w:r>
          <w:rPr>
            <w:color w:val="0000EE"/>
            <w:u w:val="single"/>
          </w:rPr>
          <w:t>Js 12.4</w:t>
        </w:r>
      </w:hyperlink>
      <w:r>
        <w:t xml:space="preserve">; </w:t>
      </w:r>
      <w:hyperlink r:id="rId7578">
        <w:r>
          <w:rPr>
            <w:color w:val="0000EE"/>
            <w:u w:val="single"/>
          </w:rPr>
          <w:t>13.12</w:t>
        </w:r>
      </w:hyperlink>
      <w:r>
        <w:t>). Talvez os gigantes entre os filisteus fossem descendentes dos refains (</w:t>
      </w:r>
      <w:hyperlink r:id="rId18157">
        <w:r>
          <w:rPr>
            <w:color w:val="0000EE"/>
            <w:u w:val="single"/>
          </w:rPr>
          <w:t>2Sm 21</w:t>
        </w:r>
      </w:hyperlink>
      <w:r>
        <w:t xml:space="preserve">; </w:t>
      </w:r>
      <w:hyperlink r:id="rId18158">
        <w:r>
          <w:rPr>
            <w:color w:val="0000EE"/>
            <w:u w:val="single"/>
          </w:rPr>
          <w:t>1Cr 20</w:t>
        </w:r>
      </w:hyperlink>
      <w:r>
        <w:t>).</w:t>
      </w:r>
    </w:p>
    <w:p>
      <w:r/>
      <w:r>
        <w:rPr>
          <w:i/>
        </w:rPr>
        <w:t>Veja também</w:t>
      </w:r>
      <w:r>
        <w:t xml:space="preserve"> </w:t>
      </w:r>
      <w:r>
        <w:t>Gigantes</w:t>
      </w:r>
      <w:r>
        <w:t>.</w:t>
      </w:r>
      <w:r/>
      <w:r/>
    </w:p>
    <w:p>
      <w:r/>
    </w:p>
    <w:p>
      <w:pPr>
        <w:pStyle w:val="Heading2"/>
      </w:pPr>
      <w:r>
        <w:t>Refeições, Significado de</w:t>
      </w:r>
      <w:r/>
    </w:p>
    <w:p>
      <w:r/>
      <w:r>
        <w:t>As refeições eram importantes na vida familiar, social e religiosa. A refeição noturna era quando todos os membros da família se reuniam, sendo essencial para o vínculo. Fornecer comida para viajantes era um dever social e religioso. Amigos visitavam para comer com a família e discutir seus problemas diários. As refeições ainda são importantes tanto no Judaísmo, com a refeição da Páscoa, quanto no Cristianismo, com a celebração da ceia do Senhor.</w:t>
      </w:r>
    </w:p>
    <w:p>
      <w:pPr>
        <w:pStyle w:val="Heading4"/>
      </w:pPr>
      <w:r>
        <w:t>Tipos de refeição</w:t>
      </w:r>
    </w:p>
    <w:p>
      <w:r/>
      <w:r>
        <w:t>No antigo Oriente Próximo, as pessoas faziam duas refeições por dia. A primeira era ao meio-dia, consumida no campo pelos trabalhadores. Consistia em pequenos bolos, pães achatados, figos, azeitonas e possivelmente queijo de cabra ou coalhada. Esta era uma refeição leve, feita para uma pausa do calor e do trabalho (</w:t>
      </w:r>
      <w:hyperlink r:id="rId5216">
        <w:r>
          <w:rPr>
            <w:color w:val="0000EE"/>
            <w:u w:val="single"/>
          </w:rPr>
          <w:t>Rt 2.14</w:t>
        </w:r>
      </w:hyperlink>
      <w:r>
        <w:t>). Nos tempos bíblicos não costumavam tomar café da manhã. A Bíblia menciona apenas refeições matinais umas poucas vezes (</w:t>
      </w:r>
      <w:hyperlink r:id="rId5641">
        <w:r>
          <w:rPr>
            <w:color w:val="0000EE"/>
            <w:u w:val="single"/>
          </w:rPr>
          <w:t>Jz 19.5</w:t>
        </w:r>
      </w:hyperlink>
      <w:r>
        <w:t xml:space="preserve">; </w:t>
      </w:r>
      <w:hyperlink r:id="rId18159">
        <w:r>
          <w:rPr>
            <w:color w:val="0000EE"/>
            <w:u w:val="single"/>
          </w:rPr>
          <w:t>Jo 21.12</w:t>
        </w:r>
      </w:hyperlink>
      <w:r>
        <w:t>).</w:t>
      </w:r>
    </w:p>
    <w:p>
      <w:r/>
      <w:r>
        <w:t>Em Israel, a refeição da noite era o evento social mais importante do dia. Os trabalhadores voltavam para casa para relaxar e desfrutar da refeição com a família. Esta refeição ocorria ao pôr do sol, quando estava escuro demais para trabalhar.</w:t>
      </w:r>
    </w:p>
    <w:p>
      <w:pPr>
        <w:pStyle w:val="Heading4"/>
      </w:pPr>
      <w:r>
        <w:t>O que as pessoas consumiam</w:t>
      </w:r>
    </w:p>
    <w:p>
      <w:r/>
      <w:r>
        <w:t>Uma refeição típica incluía pães ou bolos feitos de grãos moídos à mão, queijo de cabra ou coalhada, e vegetais como feijões, lentilhas, alho-poró, ervilhas, figos, azeitonas, passas e tâmaras. A carne estava disponível, mas era um luxo para a maioria das pessoas. A comida era cozida em azeite de oliva e adoçada com mel.</w:t>
      </w:r>
    </w:p>
    <w:p>
      <w:pPr>
        <w:pStyle w:val="Heading4"/>
      </w:pPr>
      <w:r>
        <w:t>Como as pessoas se alimentavam</w:t>
      </w:r>
    </w:p>
    <w:p>
      <w:r/>
      <w:r>
        <w:t>As famílias comiam juntas, geralmente sentadas no chão com um tapete como mesa (</w:t>
      </w:r>
      <w:hyperlink r:id="rId1495">
        <w:r>
          <w:rPr>
            <w:color w:val="0000EE"/>
            <w:u w:val="single"/>
          </w:rPr>
          <w:t>Gn 37.25</w:t>
        </w:r>
      </w:hyperlink>
      <w:r>
        <w:t>). Mais tarde, adotaram costumes cananeus e usaram cadeiras e pequenas mesas (</w:t>
      </w:r>
      <w:hyperlink r:id="rId18160">
        <w:r>
          <w:rPr>
            <w:color w:val="0000EE"/>
            <w:u w:val="single"/>
          </w:rPr>
          <w:t>1Rs 13.20</w:t>
        </w:r>
      </w:hyperlink>
      <w:r>
        <w:t xml:space="preserve">; </w:t>
      </w:r>
      <w:hyperlink r:id="rId4094">
        <w:r>
          <w:rPr>
            <w:color w:val="0000EE"/>
            <w:u w:val="single"/>
          </w:rPr>
          <w:t>Sl 23.5</w:t>
        </w:r>
      </w:hyperlink>
      <w:r>
        <w:t xml:space="preserve">; </w:t>
      </w:r>
      <w:hyperlink r:id="rId3024">
        <w:r>
          <w:rPr>
            <w:color w:val="0000EE"/>
            <w:u w:val="single"/>
          </w:rPr>
          <w:t>Ez 23.41</w:t>
        </w:r>
      </w:hyperlink>
      <w:r>
        <w:t>). O costume egípcio de comer em posição reclinada tornou-se popular até o período romano. Em ocasiões especiais, música, dança e enigmas eram oferecidos para a família e convidados.</w:t>
      </w:r>
    </w:p>
    <w:p>
      <w:r/>
      <w:r>
        <w:t xml:space="preserve">Nos tempos do Novo Testamento, as salas de jantar às vezes ficavam em um cômodo separado no andar de cima. Os convidados reclinavam-se sobre o cotovelo esquerdo para comer e conversar facilmente. Em refeições importantes, as pessoas sentavam-se em uma ordem definida, da pessoa mais importante para a menos importante (compare </w:t>
      </w:r>
      <w:hyperlink r:id="rId12044">
        <w:r>
          <w:rPr>
            <w:color w:val="0000EE"/>
            <w:u w:val="single"/>
          </w:rPr>
          <w:t>Gn 43.33</w:t>
        </w:r>
      </w:hyperlink>
      <w:r>
        <w:t xml:space="preserve">; </w:t>
      </w:r>
      <w:hyperlink r:id="rId18161">
        <w:r>
          <w:rPr>
            <w:color w:val="0000EE"/>
            <w:u w:val="single"/>
          </w:rPr>
          <w:t>1Sm 9.22</w:t>
        </w:r>
      </w:hyperlink>
      <w:r>
        <w:t xml:space="preserve">; </w:t>
      </w:r>
      <w:hyperlink r:id="rId9306">
        <w:r>
          <w:rPr>
            <w:color w:val="0000EE"/>
            <w:u w:val="single"/>
          </w:rPr>
          <w:t>Mt 23.6</w:t>
        </w:r>
      </w:hyperlink>
      <w:r>
        <w:t xml:space="preserve">; </w:t>
      </w:r>
      <w:hyperlink r:id="rId8212">
        <w:r>
          <w:rPr>
            <w:color w:val="0000EE"/>
            <w:u w:val="single"/>
          </w:rPr>
          <w:t>Mc 12.39</w:t>
        </w:r>
      </w:hyperlink>
      <w:r>
        <w:t xml:space="preserve">; </w:t>
      </w:r>
      <w:hyperlink r:id="rId18162">
        <w:r>
          <w:rPr>
            <w:color w:val="0000EE"/>
            <w:u w:val="single"/>
          </w:rPr>
          <w:t>Lc 14.8</w:t>
        </w:r>
      </w:hyperlink>
      <w:r>
        <w:t>). O lugar de honra ficava à direita do servo ao entrar na sala. O lugar menos importante ficava à esquerda do servo.</w:t>
      </w:r>
    </w:p>
    <w:p>
      <w:r/>
      <w:r>
        <w:t>Os convidados lavavam as mãos antes e depois das refeições. Eles comiam ensopado de uma tigela comum. O ensopado podia conter carne, vegetais ou ambos. Pedaços de pão eram usados para pegar o ensopado da tigela. Normalmente, havia apenas um prato principal, então o cozinheiro podia comer com os convidados em uma refeição comunitária.</w:t>
      </w:r>
    </w:p>
    <w:p>
      <w:pPr>
        <w:pStyle w:val="Heading4"/>
      </w:pPr>
      <w:r>
        <w:t>Refeições no Novo Testamento</w:t>
      </w:r>
    </w:p>
    <w:p>
      <w:r/>
      <w:r>
        <w:t>Jesus frequentemente compartilhava refeições com seus discípulos e amigos. Ele e seus seguidores foram convidados para o banquete de casamento realizado em Caná da Galileia (</w:t>
      </w:r>
      <w:hyperlink r:id="rId11707">
        <w:r>
          <w:rPr>
            <w:color w:val="0000EE"/>
            <w:u w:val="single"/>
          </w:rPr>
          <w:t>Jo 2.1–10</w:t>
        </w:r>
      </w:hyperlink>
      <w:r>
        <w:t>), e também para um jantar oferecido por Mateus (</w:t>
      </w:r>
      <w:hyperlink r:id="rId3106">
        <w:r>
          <w:rPr>
            <w:color w:val="0000EE"/>
            <w:u w:val="single"/>
          </w:rPr>
          <w:t>Mt 9.10</w:t>
        </w:r>
      </w:hyperlink>
      <w:r>
        <w:t>). Eles também foram convidados para outro jantar oferecido por Simão, o fariseu (</w:t>
      </w:r>
      <w:hyperlink r:id="rId11739">
        <w:r>
          <w:rPr>
            <w:color w:val="0000EE"/>
            <w:u w:val="single"/>
          </w:rPr>
          <w:t>Lc 7.36–50</w:t>
        </w:r>
      </w:hyperlink>
      <w:r>
        <w:t>). Jesus foi recebido para jantar de forma um tanto inesperada por Zaqueu (</w:t>
      </w:r>
      <w:hyperlink r:id="rId18163">
        <w:r>
          <w:rPr>
            <w:color w:val="0000EE"/>
            <w:u w:val="single"/>
          </w:rPr>
          <w:t>19.6–7</w:t>
        </w:r>
      </w:hyperlink>
      <w:r>
        <w:t>). Em várias ocasiões, Jesus foi convidado para uma reunião de família realizada na casa de Marta, Maria e Lázaro em Betânia (</w:t>
      </w:r>
      <w:hyperlink r:id="rId13953">
        <w:r>
          <w:rPr>
            <w:color w:val="0000EE"/>
            <w:u w:val="single"/>
          </w:rPr>
          <w:t>Lc 10.38–42</w:t>
        </w:r>
      </w:hyperlink>
      <w:r>
        <w:t xml:space="preserve">; </w:t>
      </w:r>
      <w:hyperlink r:id="rId18164">
        <w:r>
          <w:rPr>
            <w:color w:val="0000EE"/>
            <w:u w:val="single"/>
          </w:rPr>
          <w:t>Jo 12.2</w:t>
        </w:r>
      </w:hyperlink>
      <w:r>
        <w:t>). Seguindo os costumes de cidades e vilarejos menores, pessoas que passavam pela casa podiam muito bem ter entrado para cumprimentar Jesus e talvez conversar com outros convidados.</w:t>
      </w:r>
    </w:p>
    <w:p>
      <w:pPr>
        <w:pStyle w:val="Heading4"/>
      </w:pPr>
      <w:r>
        <w:t>Refeições religiosas importantes</w:t>
      </w:r>
    </w:p>
    <w:p>
      <w:r/>
      <w:r>
        <w:t>Existem duas refeições importantes descritas nas Escrituras. Uma envolve a antiga aliança e a outra a nova aliança (alianças são promessas entre Deus e seu povo). Ambas as refeições tinham um significado redentor para o povo de Deus. A primeira foi a instituição da Páscoa na época da saída de Israel do Egito sob Moisés (</w:t>
      </w:r>
      <w:hyperlink r:id="rId401">
        <w:r>
          <w:rPr>
            <w:color w:val="0000EE"/>
            <w:u w:val="single"/>
          </w:rPr>
          <w:t>Êx 12</w:t>
        </w:r>
      </w:hyperlink>
      <w:r>
        <w:t>). A segunda foi a instituição da ceia do Senhor. Ambas são discutidas em detalhes em artigos separados.</w:t>
      </w:r>
    </w:p>
    <w:p>
      <w:r/>
      <w:r>
        <w:t>Havia outras refeições importantes na Bíblia. Por exemplo, os israelitas frequentemente faziam refeições para celebrar a Deus quando traziam seus sacrifícios (</w:t>
      </w:r>
      <w:hyperlink r:id="rId18165">
        <w:r>
          <w:rPr>
            <w:color w:val="0000EE"/>
            <w:u w:val="single"/>
          </w:rPr>
          <w:t>Dt 14:24–26</w:t>
        </w:r>
      </w:hyperlink>
      <w:r>
        <w:t>). A Bíblia também fala de um dia em que haverá uma grande festa no reino de Deus (</w:t>
      </w:r>
      <w:hyperlink r:id="rId3114">
        <w:r>
          <w:rPr>
            <w:color w:val="0000EE"/>
            <w:u w:val="single"/>
          </w:rPr>
          <w:t>Is 25:6</w:t>
        </w:r>
      </w:hyperlink>
      <w:r>
        <w:t xml:space="preserve">; </w:t>
      </w:r>
      <w:hyperlink r:id="rId18166">
        <w:r>
          <w:rPr>
            <w:color w:val="0000EE"/>
            <w:u w:val="single"/>
          </w:rPr>
          <w:t>Lc 14:25</w:t>
        </w:r>
      </w:hyperlink>
      <w:r>
        <w:t xml:space="preserve">; </w:t>
      </w:r>
      <w:hyperlink r:id="rId18167">
        <w:r>
          <w:rPr>
            <w:color w:val="0000EE"/>
            <w:u w:val="single"/>
          </w:rPr>
          <w:t>Ap 19:9</w:t>
        </w:r>
      </w:hyperlink>
      <w:r>
        <w:t>).</w:t>
      </w:r>
    </w:p>
    <w:p>
      <w:r/>
      <w:r>
        <w:rPr>
          <w:i/>
        </w:rPr>
        <w:t>Veja também</w:t>
      </w:r>
      <w:r>
        <w:t xml:space="preserve"> </w:t>
      </w:r>
      <w:r>
        <w:t>Alimentos e preparação de alimentos</w:t>
      </w:r>
      <w:r>
        <w:t xml:space="preserve">; </w:t>
      </w:r>
      <w:r>
        <w:t>Festas e festivais de Israel</w:t>
      </w:r>
      <w:r>
        <w:t xml:space="preserve">; </w:t>
      </w:r>
      <w:r>
        <w:t>A ceia do Senhor</w:t>
      </w:r>
      <w:r>
        <w:t xml:space="preserve">; </w:t>
      </w:r>
      <w:r>
        <w:t>Páscoa</w:t>
      </w:r>
      <w:r>
        <w:t>.</w:t>
      </w:r>
      <w:r/>
      <w:r/>
    </w:p>
    <w:p>
      <w:r/>
    </w:p>
    <w:p>
      <w:pPr>
        <w:pStyle w:val="Heading2"/>
      </w:pPr>
      <w:r>
        <w:t>Refidim</w:t>
      </w:r>
      <w:r/>
    </w:p>
    <w:p>
      <w:r/>
      <w:r>
        <w:t xml:space="preserve">Um lugar onde os israelitas acamparam durante sua jornada pelo deserto após saírem do Egito. </w:t>
      </w:r>
      <w:hyperlink r:id="rId3575">
        <w:r>
          <w:rPr>
            <w:color w:val="0000EE"/>
            <w:u w:val="single"/>
          </w:rPr>
          <w:t>Êxodo 17.1</w:t>
        </w:r>
      </w:hyperlink>
      <w:r>
        <w:t xml:space="preserve"> nos informa que Refidim foi onde os israelitas pararam após viajar pelo Deserto de Sim. </w:t>
      </w:r>
      <w:hyperlink r:id="rId18168">
        <w:r>
          <w:rPr>
            <w:color w:val="0000EE"/>
            <w:u w:val="single"/>
          </w:rPr>
          <w:t>Números 33.12–15</w:t>
        </w:r>
      </w:hyperlink>
      <w:r>
        <w:t xml:space="preserve"> fornece mais detalhes, dizendo que após o Deserto de Sim, eles primeiro acamparam em Dofca, depois em Alus, depois em Refidim, antes de continuarem para o deserto do Sinai.</w:t>
      </w:r>
    </w:p>
    <w:p>
      <w:r/>
      <w:r>
        <w:t>Vários eventos ocorreram em Refidim durante as viagens pelo deserto de Israel. Ao chegarem em Refidim, os israelitas descobriram que não havia água para beber. Seguindo as instruções de Deus, Moisés golpeou uma rocha em Horebe com seu cajado, e água jorrou para todos beberem. No entanto, Moisés renomeou Refidim como "Massá" (que significa "teste") e "Meribá" (que significa "contenda") porque os israelitas duvidaram que Deus estava com eles e proveria para eles (</w:t>
      </w:r>
      <w:hyperlink r:id="rId13128">
        <w:r>
          <w:rPr>
            <w:color w:val="0000EE"/>
            <w:u w:val="single"/>
          </w:rPr>
          <w:t>Êx 17.1–7</w:t>
        </w:r>
      </w:hyperlink>
      <w:r>
        <w:t>).</w:t>
      </w:r>
    </w:p>
    <w:p>
      <w:r/>
      <w:r>
        <w:t>Refidim também foi o local onde os israelitas enfrentaram os amalequitas em batalha. Josué liderou os combatentes israelitas, e Deus prometeu dar a vitória a Israel enquanto Moisés mantivesse suas mãos levantadas. Arão e Hur ajudaram Moisés a manter suas mãos erguidas durante todo o dia, e os israelitas venceram a batalha contra os amalequitas.</w:t>
      </w:r>
    </w:p>
    <w:p>
      <w:r/>
      <w:r>
        <w:t>A localização de Refidim é incerta. Alguns estudiosos sugerem que estava no Uádi-Refayid, no sudoeste do Sinai. Outros acreditam que pode ter sido perto do moderno Jebel Musa, em Úadi-Feirã, ou em Úadi es-Sheykh.</w:t>
      </w:r>
    </w:p>
    <w:p>
      <w:r/>
      <w:r>
        <w:rPr>
          <w:i/>
        </w:rPr>
        <w:t>Veja também</w:t>
      </w:r>
      <w:r>
        <w:t xml:space="preserve"> </w:t>
      </w:r>
      <w:r>
        <w:t>Peregrinações no deserto</w:t>
      </w:r>
      <w:r>
        <w:t>.</w:t>
      </w:r>
      <w:r/>
      <w:r/>
    </w:p>
    <w:p>
      <w:r/>
    </w:p>
    <w:p>
      <w:pPr>
        <w:pStyle w:val="Heading2"/>
      </w:pPr>
      <w:r>
        <w:t>Regeneração*</w:t>
      </w:r>
      <w:r/>
    </w:p>
    <w:p>
      <w:r/>
      <w:r>
        <w:t>Renascimento espiritual que produz um novo começo. Descreve a nova vida do crente em Cristo (</w:t>
      </w:r>
      <w:hyperlink r:id="rId605">
        <w:r>
          <w:rPr>
            <w:color w:val="0000EE"/>
            <w:u w:val="single"/>
          </w:rPr>
          <w:t>Tt 3.5</w:t>
        </w:r>
      </w:hyperlink>
      <w:r>
        <w:t>) e a nova ordem que começará com o retorno de Cristo (</w:t>
      </w:r>
      <w:hyperlink r:id="rId9406">
        <w:r>
          <w:rPr>
            <w:color w:val="0000EE"/>
            <w:u w:val="single"/>
          </w:rPr>
          <w:t>Mt 19.28</w:t>
        </w:r>
      </w:hyperlink>
      <w:r>
        <w:t>). Ocorre na maioria das versões em português apenas nesses dois textos. Isso não significa, no entanto, que o conceito não seja importante. Uma variedade de outras palavras e figuras é usada com frequência pelos escritores bíblicos para descrever a mesma renovação interior do coração.</w:t>
      </w:r>
    </w:p>
    <w:p>
      <w:r/>
      <w:r>
        <w:t>Escritores seculares também falam de regeneração. Para os filósofos estoicos, significava um retorno a um antigo estado de existência. Eles se referiam ao ciclo anual das estações como uma regeneração. Para os escritores bíblicos, no entanto, regeneração significa uma renovação em um nível superior. É um começo radicalmente novo, em vez de uma mera restauração das condições anteriores. Esta renovação envolve uma mudança poderosa na pessoa. É uma obra do Espírito Santo, quebrando o domínio do pecado e implantando atitudes e desejos adequados. A pessoa regenerada faz a vontade de Deus de maneira livre e alegre. O objetivo final da regeneração é a criação de um novo céu e nova terra que serão totalmente justos e sem pecado (</w:t>
      </w:r>
      <w:hyperlink r:id="rId6708">
        <w:r>
          <w:rPr>
            <w:color w:val="0000EE"/>
            <w:u w:val="single"/>
          </w:rPr>
          <w:t>2Pe 3.13</w:t>
        </w:r>
      </w:hyperlink>
      <w:r>
        <w:t>). O presente trabalho do Espírito Santo no crente é um prelúdio desta futura regeneração cósmica (</w:t>
      </w:r>
      <w:hyperlink r:id="rId889">
        <w:r>
          <w:rPr>
            <w:color w:val="0000EE"/>
            <w:u w:val="single"/>
          </w:rPr>
          <w:t>Ef 1.13–14</w:t>
        </w:r>
      </w:hyperlink>
      <w:r>
        <w:t>). Os novos céus e a nova terra ainda são futuros. Mas a renovação do povo de Deus, prevista pelos profetas do AT, já é uma realidade (</w:t>
      </w:r>
      <w:hyperlink r:id="rId14246">
        <w:r>
          <w:rPr>
            <w:color w:val="0000EE"/>
            <w:u w:val="single"/>
          </w:rPr>
          <w:t>Is 65.17</w:t>
        </w:r>
      </w:hyperlink>
      <w:r>
        <w:t xml:space="preserve">; </w:t>
      </w:r>
      <w:hyperlink r:id="rId15282">
        <w:r>
          <w:rPr>
            <w:color w:val="0000EE"/>
            <w:u w:val="single"/>
          </w:rPr>
          <w:t>66.22</w:t>
        </w:r>
      </w:hyperlink>
      <w:r>
        <w:t xml:space="preserve">; </w:t>
      </w:r>
      <w:hyperlink r:id="rId6708">
        <w:r>
          <w:rPr>
            <w:color w:val="0000EE"/>
            <w:u w:val="single"/>
          </w:rPr>
          <w:t>2Pe 3.13</w:t>
        </w:r>
      </w:hyperlink>
      <w:r>
        <w:t xml:space="preserve">; </w:t>
      </w:r>
      <w:hyperlink r:id="rId2161">
        <w:r>
          <w:rPr>
            <w:color w:val="0000EE"/>
            <w:u w:val="single"/>
          </w:rPr>
          <w:t>Ap 21.1</w:t>
        </w:r>
      </w:hyperlink>
      <w:r>
        <w:t>).</w:t>
      </w:r>
    </w:p>
    <w:p>
      <w:r/>
      <w:r>
        <w:t>O crente agora possui uma nova vida de Deus por meio do processo de nascimento espiritual. Os cristãos nascem de Deus (</w:t>
      </w:r>
      <w:hyperlink r:id="rId18169">
        <w:r>
          <w:rPr>
            <w:color w:val="0000EE"/>
            <w:u w:val="single"/>
          </w:rPr>
          <w:t>Jo 1.12–13</w:t>
        </w:r>
      </w:hyperlink>
      <w:r>
        <w:t>). E é apenas através deste nascimento espiritual que alguém pode participar do reino de Deus e receber seu Espírito. Os nascidos na família de Deus refletem seu caráter justo (</w:t>
      </w:r>
      <w:hyperlink r:id="rId18170">
        <w:r>
          <w:rPr>
            <w:color w:val="0000EE"/>
            <w:u w:val="single"/>
          </w:rPr>
          <w:t>1Jo 2.29</w:t>
        </w:r>
      </w:hyperlink>
      <w:r>
        <w:t>). Eles estão libertos do pecado habitual (</w:t>
      </w:r>
      <w:hyperlink r:id="rId8427">
        <w:r>
          <w:rPr>
            <w:color w:val="0000EE"/>
            <w:u w:val="single"/>
          </w:rPr>
          <w:t>3.9</w:t>
        </w:r>
      </w:hyperlink>
      <w:r>
        <w:t xml:space="preserve">; </w:t>
      </w:r>
      <w:hyperlink r:id="rId18171">
        <w:r>
          <w:rPr>
            <w:color w:val="0000EE"/>
            <w:u w:val="single"/>
          </w:rPr>
          <w:t>5.18</w:t>
        </w:r>
      </w:hyperlink>
      <w:r>
        <w:t xml:space="preserve">). Em </w:t>
      </w:r>
      <w:hyperlink r:id="rId9309">
        <w:r>
          <w:rPr>
            <w:color w:val="0000EE"/>
            <w:u w:val="single"/>
          </w:rPr>
          <w:t>Tiago 1.18</w:t>
        </w:r>
      </w:hyperlink>
      <w:r>
        <w:t>, este processo de nascimento é atribuído ao poder da Palavra de Deus.</w:t>
      </w:r>
    </w:p>
    <w:p>
      <w:r/>
      <w:r>
        <w:t>Estendendo esta metáfora para a regeneração, Jesus ensinou Nicodemos sobre a necessidade absoluta de nascer de novo, ou nascer de cima, como um pré-requisito para entrar no reino de Deus. Aqueles que assim renascem, possuem uma esperança viva (</w:t>
      </w:r>
      <w:hyperlink r:id="rId8811">
        <w:r>
          <w:rPr>
            <w:color w:val="0000EE"/>
            <w:u w:val="single"/>
          </w:rPr>
          <w:t>1Pe 1.3</w:t>
        </w:r>
      </w:hyperlink>
      <w:r>
        <w:t xml:space="preserve">). Novamente, este novo nascimento é trazido através do poder da Palavra de Deus (v. </w:t>
      </w:r>
      <w:hyperlink r:id="rId16729">
        <w:r>
          <w:rPr>
            <w:color w:val="0000EE"/>
            <w:u w:val="single"/>
          </w:rPr>
          <w:t>23</w:t>
        </w:r>
      </w:hyperlink>
      <w:r>
        <w:t>).</w:t>
      </w:r>
    </w:p>
    <w:p>
      <w:r/>
      <w:r>
        <w:t>A experiência inicial de regeneração é seguida por uma renovação contínua na vida do cristão. Os recém-nascidos devem desejar o leite espiritual puro da Palavra de Deus para crescer (</w:t>
      </w:r>
      <w:hyperlink r:id="rId18172">
        <w:r>
          <w:rPr>
            <w:color w:val="0000EE"/>
            <w:u w:val="single"/>
          </w:rPr>
          <w:t>1Pe 2.2</w:t>
        </w:r>
      </w:hyperlink>
      <w:r>
        <w:t>). Paulo exorta a uma transformação contínua pela renovação da mente (</w:t>
      </w:r>
      <w:hyperlink r:id="rId7317">
        <w:r>
          <w:rPr>
            <w:color w:val="0000EE"/>
            <w:u w:val="single"/>
          </w:rPr>
          <w:t>Rm 12.2</w:t>
        </w:r>
      </w:hyperlink>
      <w:r>
        <w:t xml:space="preserve">; </w:t>
      </w:r>
      <w:hyperlink r:id="rId14250">
        <w:r>
          <w:rPr>
            <w:color w:val="0000EE"/>
            <w:u w:val="single"/>
          </w:rPr>
          <w:t>Ef 4.23</w:t>
        </w:r>
      </w:hyperlink>
      <w:r>
        <w:t>). A nova pessoa permanece em um processo de renovação constante (</w:t>
      </w:r>
      <w:hyperlink r:id="rId6842">
        <w:r>
          <w:rPr>
            <w:color w:val="0000EE"/>
            <w:u w:val="single"/>
          </w:rPr>
          <w:t>Cl 3.10</w:t>
        </w:r>
      </w:hyperlink>
      <w:r>
        <w:t>), e o seu interior é renovado diariamente (</w:t>
      </w:r>
      <w:hyperlink r:id="rId15296">
        <w:r>
          <w:rPr>
            <w:color w:val="0000EE"/>
            <w:u w:val="single"/>
          </w:rPr>
          <w:t>2Co 4.16</w:t>
        </w:r>
      </w:hyperlink>
      <w:r>
        <w:t>).</w:t>
      </w:r>
    </w:p>
    <w:p>
      <w:r/>
      <w:r>
        <w:t>O resultado presente do novo nascimento é uma nova pessoa ou criação para quem as coisas velhas são substituídas por novas (</w:t>
      </w:r>
      <w:hyperlink r:id="rId374">
        <w:r>
          <w:rPr>
            <w:color w:val="0000EE"/>
            <w:u w:val="single"/>
          </w:rPr>
          <w:t>2Co 5.17</w:t>
        </w:r>
      </w:hyperlink>
      <w:r>
        <w:t>). O objetivo da vida cristã é essa nova criação, em vez de uma participação superficial em práticas religiosas (</w:t>
      </w:r>
      <w:hyperlink r:id="rId375">
        <w:r>
          <w:rPr>
            <w:color w:val="0000EE"/>
            <w:u w:val="single"/>
          </w:rPr>
          <w:t>Gl 6.15</w:t>
        </w:r>
      </w:hyperlink>
      <w:r>
        <w:t>). Envolve deixar de lado a velha natureza (</w:t>
      </w:r>
      <w:hyperlink r:id="rId18173">
        <w:r>
          <w:rPr>
            <w:color w:val="0000EE"/>
            <w:u w:val="single"/>
          </w:rPr>
          <w:t>Ef 4.22</w:t>
        </w:r>
      </w:hyperlink>
      <w:r>
        <w:t xml:space="preserve">) e revestir-se da nova natureza (v. </w:t>
      </w:r>
      <w:hyperlink r:id="rId372">
        <w:r>
          <w:rPr>
            <w:color w:val="0000EE"/>
            <w:u w:val="single"/>
          </w:rPr>
          <w:t>24</w:t>
        </w:r>
      </w:hyperlink>
      <w:r>
        <w:t>). Em última análise, no entanto, isso nunca é o resultado do esforço humano sozinho. Somos criação de Deus (</w:t>
      </w:r>
      <w:hyperlink r:id="rId15295">
        <w:r>
          <w:rPr>
            <w:color w:val="0000EE"/>
            <w:u w:val="single"/>
          </w:rPr>
          <w:t>2.10</w:t>
        </w:r>
      </w:hyperlink>
      <w:r>
        <w:t>).</w:t>
      </w:r>
    </w:p>
    <w:p>
      <w:r/>
      <w:r>
        <w:rPr>
          <w:i/>
        </w:rPr>
        <w:t>Ver também</w:t>
      </w:r>
      <w:r>
        <w:t xml:space="preserve"> </w:t>
      </w:r>
      <w:r>
        <w:t>Expiação</w:t>
      </w:r>
      <w:r>
        <w:t xml:space="preserve">; </w:t>
      </w:r>
      <w:r>
        <w:t>Conversão</w:t>
      </w:r>
      <w:r>
        <w:t xml:space="preserve">; </w:t>
      </w:r>
      <w:r>
        <w:t>Redentor, Redenção</w:t>
      </w:r>
      <w:r>
        <w:t xml:space="preserve">; </w:t>
      </w:r>
      <w:r>
        <w:t>Arrependimento</w:t>
      </w:r>
      <w:r>
        <w:t xml:space="preserve">; </w:t>
      </w:r>
      <w:r>
        <w:t>Salvação</w:t>
      </w:r>
      <w:r>
        <w:t>.</w:t>
      </w:r>
      <w:r/>
      <w:r/>
    </w:p>
    <w:p>
      <w:r/>
    </w:p>
    <w:p>
      <w:pPr>
        <w:pStyle w:val="Heading2"/>
      </w:pPr>
      <w:r>
        <w:t>Região Selvagem</w:t>
      </w:r>
      <w:r/>
    </w:p>
    <w:p>
      <w:r/>
      <w:r>
        <w:t>Terra que é basicamente selvagem e pouco habitada ou imprópria para o assentamento humano permanente. (Na maioria das Bíblias em português a região selvagem é traduzida apenas como "deserto" - Nota do tradutor). Pode ser deserto, montanhas, floresta ou pântano.</w:t>
      </w:r>
    </w:p>
    <w:p>
      <w:r/>
      <w:r>
        <w:t>No Oriente Próximo, a região selvagem é caracteristicamente seco, desolado e principalmente rocha e areia. É acidentado, irregular e entrelaçado com correntes d’água secos. A região selvagem não é completamente improdutivo, mas fornece pasto sazonal para rebanhos, dependendo da chuva.</w:t>
      </w:r>
    </w:p>
    <w:p>
      <w:r/>
      <w:hyperlink r:id="rId5548">
        <w:r>
          <w:rPr>
            <w:color w:val="0000EE"/>
            <w:u w:val="single"/>
          </w:rPr>
          <w:t>Joel 2.22</w:t>
        </w:r>
      </w:hyperlink>
      <w:r>
        <w:t xml:space="preserve"> declara que “os pastos da região selvagem são verdes”, e o </w:t>
      </w:r>
      <w:hyperlink r:id="rId6725">
        <w:r>
          <w:rPr>
            <w:color w:val="0000EE"/>
            <w:u w:val="single"/>
          </w:rPr>
          <w:t>Salmo 65.12</w:t>
        </w:r>
      </w:hyperlink>
      <w:r>
        <w:t xml:space="preserve"> afirma que os pastos do deserto pingam de riqueza. Mas Jeremias diz que “os pastos do deserto estão secos” (</w:t>
      </w:r>
      <w:hyperlink r:id="rId6726">
        <w:r>
          <w:rPr>
            <w:color w:val="0000EE"/>
            <w:u w:val="single"/>
          </w:rPr>
          <w:t>Jr 23.10</w:t>
        </w:r>
      </w:hyperlink>
      <w:r>
        <w:t xml:space="preserve">; cf. </w:t>
      </w:r>
      <w:hyperlink r:id="rId18174">
        <w:r>
          <w:rPr>
            <w:color w:val="0000EE"/>
            <w:u w:val="single"/>
          </w:rPr>
          <w:t>Jl 1.20</w:t>
        </w:r>
      </w:hyperlink>
      <w:r>
        <w:t>). E Jó se refere ao deserto como uma terra onde nenhum humano pode viver (</w:t>
      </w:r>
      <w:hyperlink r:id="rId6733">
        <w:r>
          <w:rPr>
            <w:color w:val="0000EE"/>
            <w:u w:val="single"/>
          </w:rPr>
          <w:t>Jó 38.26</w:t>
        </w:r>
      </w:hyperlink>
      <w:r>
        <w:t>); é um lugar para vários animais e pássaros, como aves selvagens, chacais, abutres e corujas (</w:t>
      </w:r>
      <w:hyperlink r:id="rId6032">
        <w:r>
          <w:rPr>
            <w:color w:val="0000EE"/>
            <w:u w:val="single"/>
          </w:rPr>
          <w:t>Sl 102.6</w:t>
        </w:r>
      </w:hyperlink>
      <w:r>
        <w:t xml:space="preserve">; </w:t>
      </w:r>
      <w:hyperlink r:id="rId1629">
        <w:r>
          <w:rPr>
            <w:color w:val="0000EE"/>
            <w:u w:val="single"/>
          </w:rPr>
          <w:t>Jr 2.24</w:t>
        </w:r>
      </w:hyperlink>
      <w:r>
        <w:t xml:space="preserve">; </w:t>
      </w:r>
      <w:hyperlink r:id="rId1634">
        <w:r>
          <w:rPr>
            <w:color w:val="0000EE"/>
            <w:u w:val="single"/>
          </w:rPr>
          <w:t>Is 13.22</w:t>
        </w:r>
      </w:hyperlink>
      <w:r>
        <w:t xml:space="preserve">; </w:t>
      </w:r>
      <w:hyperlink r:id="rId18175">
        <w:r>
          <w:rPr>
            <w:color w:val="0000EE"/>
            <w:u w:val="single"/>
          </w:rPr>
          <w:t>34.13–15</w:t>
        </w:r>
      </w:hyperlink>
      <w:r>
        <w:t>).</w:t>
      </w:r>
    </w:p>
    <w:p>
      <w:r/>
      <w:r>
        <w:t>Certos setores selvagens são identificados pelo nome e estão relacionados com cidades, pessoas ou eventos definidos. Agar vagou na região selvagem de Berseba (</w:t>
      </w:r>
      <w:hyperlink r:id="rId1700">
        <w:r>
          <w:rPr>
            <w:color w:val="0000EE"/>
            <w:u w:val="single"/>
          </w:rPr>
          <w:t>Gn 21.14</w:t>
        </w:r>
      </w:hyperlink>
      <w:r>
        <w:t>). No Êxodo do Egito, os israelitas atravessaram os seguintes desertos: Sur, (</w:t>
      </w:r>
      <w:hyperlink r:id="rId8598">
        <w:r>
          <w:rPr>
            <w:color w:val="0000EE"/>
            <w:u w:val="single"/>
          </w:rPr>
          <w:t>Êx 15.22</w:t>
        </w:r>
      </w:hyperlink>
      <w:r>
        <w:t>), Etã (</w:t>
      </w:r>
      <w:hyperlink r:id="rId8835">
        <w:r>
          <w:rPr>
            <w:color w:val="0000EE"/>
            <w:u w:val="single"/>
          </w:rPr>
          <w:t>Nm 33.8</w:t>
        </w:r>
      </w:hyperlink>
      <w:r>
        <w:t>), Sim (</w:t>
      </w:r>
      <w:hyperlink r:id="rId6778">
        <w:r>
          <w:rPr>
            <w:color w:val="0000EE"/>
            <w:u w:val="single"/>
          </w:rPr>
          <w:t>Êx 16.1</w:t>
        </w:r>
      </w:hyperlink>
      <w:r>
        <w:t>), Sinai (</w:t>
      </w:r>
      <w:hyperlink r:id="rId18176">
        <w:r>
          <w:rPr>
            <w:color w:val="0000EE"/>
            <w:u w:val="single"/>
          </w:rPr>
          <w:t>19.1–2</w:t>
        </w:r>
      </w:hyperlink>
      <w:r>
        <w:t>), Zim (</w:t>
      </w:r>
      <w:hyperlink r:id="rId3497">
        <w:r>
          <w:rPr>
            <w:color w:val="0000EE"/>
            <w:u w:val="single"/>
          </w:rPr>
          <w:t>Nm 13.21</w:t>
        </w:r>
      </w:hyperlink>
      <w:r>
        <w:t xml:space="preserve">; </w:t>
      </w:r>
      <w:hyperlink r:id="rId3971">
        <w:r>
          <w:rPr>
            <w:color w:val="0000EE"/>
            <w:u w:val="single"/>
          </w:rPr>
          <w:t>20.1</w:t>
        </w:r>
      </w:hyperlink>
      <w:r>
        <w:t>), Parã (</w:t>
      </w:r>
      <w:hyperlink r:id="rId564">
        <w:r>
          <w:rPr>
            <w:color w:val="0000EE"/>
            <w:u w:val="single"/>
          </w:rPr>
          <w:t>13.26</w:t>
        </w:r>
      </w:hyperlink>
      <w:r>
        <w:t xml:space="preserve">), Cades, </w:t>
      </w:r>
      <w:hyperlink r:id="rId18177">
        <w:r>
          <w:rPr>
            <w:color w:val="0000EE"/>
            <w:u w:val="single"/>
          </w:rPr>
          <w:t>Sl 29.8</w:t>
        </w:r>
      </w:hyperlink>
      <w:r>
        <w:t>), Moabe (</w:t>
      </w:r>
      <w:hyperlink r:id="rId2315">
        <w:r>
          <w:rPr>
            <w:color w:val="0000EE"/>
            <w:u w:val="single"/>
          </w:rPr>
          <w:t>Dt 2.8</w:t>
        </w:r>
      </w:hyperlink>
      <w:r>
        <w:t xml:space="preserve">) e Quedemote (v. </w:t>
      </w:r>
      <w:hyperlink r:id="rId16543">
        <w:r>
          <w:rPr>
            <w:color w:val="0000EE"/>
            <w:u w:val="single"/>
          </w:rPr>
          <w:t>26</w:t>
        </w:r>
      </w:hyperlink>
      <w:r>
        <w:t>). Quando Davi estava fugindo de Saul, Davi se escondeu na região montanhosa do deserto de Zife (</w:t>
      </w:r>
      <w:hyperlink r:id="rId18178">
        <w:r>
          <w:rPr>
            <w:color w:val="0000EE"/>
            <w:u w:val="single"/>
          </w:rPr>
          <w:t>1Sm 23.14–15</w:t>
        </w:r>
      </w:hyperlink>
      <w:r>
        <w:t xml:space="preserve">), no deserto de Maom (vv. </w:t>
      </w:r>
      <w:hyperlink r:id="rId18179">
        <w:r>
          <w:rPr>
            <w:color w:val="0000EE"/>
            <w:u w:val="single"/>
          </w:rPr>
          <w:t>24–25</w:t>
        </w:r>
      </w:hyperlink>
      <w:r>
        <w:t>) e no deserto de En-Gedi (</w:t>
      </w:r>
      <w:hyperlink r:id="rId18180">
        <w:r>
          <w:rPr>
            <w:color w:val="0000EE"/>
            <w:u w:val="single"/>
          </w:rPr>
          <w:t>24.1</w:t>
        </w:r>
      </w:hyperlink>
      <w:r>
        <w:t>).</w:t>
      </w:r>
    </w:p>
    <w:p>
      <w:r/>
      <w:r>
        <w:t xml:space="preserve">Apesar da desolação comparativa do deserto, aldeias ou cidades às vezes são associadas com um cenário desértico. </w:t>
      </w:r>
      <w:hyperlink r:id="rId12246">
        <w:r>
          <w:rPr>
            <w:color w:val="0000EE"/>
            <w:u w:val="single"/>
          </w:rPr>
          <w:t>Josué 15.61–62</w:t>
        </w:r>
      </w:hyperlink>
      <w:r>
        <w:t xml:space="preserve"> lista os nomes de seis cidades e suas aldeias “no deserto”. A alegria futura das cidades do deserto é proclamada por Isaías (</w:t>
      </w:r>
      <w:hyperlink r:id="rId17969">
        <w:r>
          <w:rPr>
            <w:color w:val="0000EE"/>
            <w:u w:val="single"/>
          </w:rPr>
          <w:t>Is 42.11</w:t>
        </w:r>
      </w:hyperlink>
      <w:r>
        <w:t>).</w:t>
      </w:r>
    </w:p>
    <w:p>
      <w:r/>
      <w:r>
        <w:t>O deserto está associado tanto com austeridade quanto com tentação. Elias, por seu modo de vida e sua roupa, é muitas vezes pensado em conexão com o deserto. Seu sucessor, Eliseu, teve a ocasião de ministrar no deserto de Edom (</w:t>
      </w:r>
      <w:hyperlink r:id="rId7562">
        <w:r>
          <w:rPr>
            <w:color w:val="0000EE"/>
            <w:u w:val="single"/>
          </w:rPr>
          <w:t>2Rs 3.4–27</w:t>
        </w:r>
      </w:hyperlink>
      <w:r>
        <w:t>).</w:t>
      </w:r>
    </w:p>
    <w:p>
      <w:r/>
      <w:r>
        <w:t>Isaías profetizou sobre a mensagem de João Batista, que pregou no deserto da Judeia (</w:t>
      </w:r>
      <w:hyperlink r:id="rId3583">
        <w:r>
          <w:rPr>
            <w:color w:val="0000EE"/>
            <w:u w:val="single"/>
          </w:rPr>
          <w:t>Is 40.3</w:t>
        </w:r>
      </w:hyperlink>
      <w:r>
        <w:t xml:space="preserve">; </w:t>
      </w:r>
      <w:hyperlink r:id="rId18181">
        <w:r>
          <w:rPr>
            <w:color w:val="0000EE"/>
            <w:u w:val="single"/>
          </w:rPr>
          <w:t>Mt 3.1–3</w:t>
        </w:r>
      </w:hyperlink>
      <w:r>
        <w:t xml:space="preserve">; </w:t>
      </w:r>
      <w:hyperlink r:id="rId18182">
        <w:r>
          <w:rPr>
            <w:color w:val="0000EE"/>
            <w:u w:val="single"/>
          </w:rPr>
          <w:t>Mc 1.2–4</w:t>
        </w:r>
      </w:hyperlink>
      <w:r>
        <w:t xml:space="preserve">; </w:t>
      </w:r>
      <w:hyperlink r:id="rId18183">
        <w:r>
          <w:rPr>
            <w:color w:val="0000EE"/>
            <w:u w:val="single"/>
          </w:rPr>
          <w:t>Lc 3.1–6</w:t>
        </w:r>
      </w:hyperlink>
      <w:r>
        <w:t xml:space="preserve">; </w:t>
      </w:r>
      <w:hyperlink r:id="rId18184">
        <w:r>
          <w:rPr>
            <w:color w:val="0000EE"/>
            <w:u w:val="single"/>
          </w:rPr>
          <w:t>Jo 1.23</w:t>
        </w:r>
      </w:hyperlink>
      <w:r>
        <w:t xml:space="preserve">). Jesus, cheio do Espírito Santo, foi levado pelo Espírito para o deserto por 40 dias. Lá, ele foi tentado pelo diabo (cf. </w:t>
      </w:r>
      <w:hyperlink r:id="rId11703">
        <w:r>
          <w:rPr>
            <w:color w:val="0000EE"/>
            <w:u w:val="single"/>
          </w:rPr>
          <w:t>Lc 4.1–2</w:t>
        </w:r>
      </w:hyperlink>
      <w:r>
        <w:t>), mas ali também os anjos o serviram (</w:t>
      </w:r>
      <w:hyperlink r:id="rId6730">
        <w:r>
          <w:rPr>
            <w:color w:val="0000EE"/>
            <w:u w:val="single"/>
          </w:rPr>
          <w:t>Mc 1.13</w:t>
        </w:r>
      </w:hyperlink>
      <w:r>
        <w:t>). Os anacoretas (eremitas) do Egito e a comunidade de Qumran perto do Mar Morto usaram o deserto como uma fuga dos males da vida urbana. Jesus, no entanto, usou o deserto como um lugar de oração e comunhão com o Pai (</w:t>
      </w:r>
      <w:hyperlink r:id="rId6767">
        <w:r>
          <w:rPr>
            <w:color w:val="0000EE"/>
            <w:u w:val="single"/>
          </w:rPr>
          <w:t>Lc 5.16</w:t>
        </w:r>
      </w:hyperlink>
      <w:r>
        <w:t>).</w:t>
      </w:r>
    </w:p>
    <w:p>
      <w:r/>
      <w:r>
        <w:rPr>
          <w:i/>
        </w:rPr>
        <w:t>Ver</w:t>
      </w:r>
      <w:r>
        <w:t xml:space="preserve"> </w:t>
      </w:r>
      <w:r>
        <w:t>Deserto</w:t>
      </w:r>
      <w:r>
        <w:t xml:space="preserve">; </w:t>
      </w:r>
      <w:r>
        <w:t>Peregrinações pelo Deserto</w:t>
      </w:r>
      <w:r>
        <w:t>.</w:t>
      </w:r>
      <w:r/>
      <w:r/>
    </w:p>
    <w:p>
      <w:r/>
    </w:p>
    <w:p>
      <w:pPr>
        <w:pStyle w:val="Heading2"/>
      </w:pPr>
      <w:r>
        <w:t>Regimento Italiano, Batalhão Italiano, Coorte Italiana</w:t>
      </w:r>
      <w:r/>
    </w:p>
    <w:p>
      <w:r/>
      <w:r>
        <w:t>O Regimento Italiano era uma unidade militar romana. Algumas versões da Bíblia o chamam de "Coorte Italiana" ou "Banda Italiana". Esta foi a unidade à qual Cornélio, o centurião, pertencia. O Regimento Italiano aparece uma vez na Bíblia (</w:t>
      </w:r>
      <w:hyperlink r:id="rId18185">
        <w:r>
          <w:rPr>
            <w:color w:val="0000EE"/>
            <w:u w:val="single"/>
          </w:rPr>
          <w:t>At 10.1</w:t>
        </w:r>
      </w:hyperlink>
      <w:r>
        <w:t>). A Almeida Revista e Corrigida usa a expressão "coorte". A versão Nova Tradução na Linguagem de Hoje usa "batalhão".</w:t>
      </w:r>
    </w:p>
    <w:p>
      <w:r/>
      <w:r>
        <w:t xml:space="preserve">O exército romano possuía unidades militares adicionais chamadas de </w:t>
      </w:r>
      <w:r>
        <w:rPr>
          <w:i/>
        </w:rPr>
        <w:t>regimentos auxiliares</w:t>
      </w:r>
      <w:r>
        <w:t>. Esses grupos eram geralmente compostos por homens de diferentes partes do império. Os homens judeus geralmente não eram obrigados a servir nessas unidades. Alguns regimentos tinham nomes especiais, como "Italiano" ou "Augustiniano" (o que significa que serviam ao Imperador) (</w:t>
      </w:r>
      <w:hyperlink r:id="rId2833">
        <w:r>
          <w:rPr>
            <w:color w:val="0000EE"/>
            <w:u w:val="single"/>
          </w:rPr>
          <w:t>At 27.1</w:t>
        </w:r>
      </w:hyperlink>
      <w:r>
        <w:t xml:space="preserve">). Parece que a maior parte do Regimento Italiano era composta por cidadãos romanos nascidos em Roma. Cada regimento tinha seis unidades menores chamadas de </w:t>
      </w:r>
      <w:r>
        <w:rPr>
          <w:i/>
        </w:rPr>
        <w:t>centúrias</w:t>
      </w:r>
      <w:r>
        <w:t>. Cada centúria tinha cerca de 100 homens e era liderada por um centurião. Cornélio era o centurião de uma dessas centúrias. Dez regimentos juntos formavam uma Legião, que tinha cerca de 6.000 homens.</w:t>
      </w:r>
    </w:p>
    <w:p>
      <w:r/>
      <w:r>
        <w:t>Inscrições mostram que um Regimento Italiano esteve na Síria entre 69–157 d.C. Pode ter estado lá antes, mas não temos registros militares desse período.</w:t>
      </w:r>
      <w:r/>
      <w:r/>
    </w:p>
    <w:p>
      <w:r/>
    </w:p>
    <w:p>
      <w:pPr>
        <w:pStyle w:val="Heading2"/>
      </w:pPr>
      <w:r>
        <w:t>Régio</w:t>
      </w:r>
      <w:r/>
    </w:p>
    <w:p>
      <w:r/>
      <w:r>
        <w:t>Régio era um importante porto no sul da Itália. O apóstolo Paulo parou lá a caminho de Roma (</w:t>
      </w:r>
      <w:hyperlink r:id="rId17964">
        <w:r>
          <w:rPr>
            <w:color w:val="0000EE"/>
            <w:u w:val="single"/>
          </w:rPr>
          <w:t>At 28.13</w:t>
        </w:r>
      </w:hyperlink>
      <w:r>
        <w:t>).</w:t>
      </w:r>
    </w:p>
    <w:p>
      <w:r/>
      <w:r>
        <w:t>O navio de Paulo veio de Malta e parou primeiro em Siracusa, a principal cidade da Sicília. Quando o vento não vinha do sul, o navio pode ter navegado com cautela pelo Estreito de Messina. Lá, os marinheiros encontraram um bom porto em Régio.</w:t>
      </w:r>
    </w:p>
    <w:p>
      <w:r/>
      <w:r>
        <w:t>Mais tarde, um vento sul começou a soprar. Esse vento ajudou a levar o navio de Régio a Putéoli. Putéoli era um importante porto no golfo de Nápoles. Muitos navios de grãos de Alexandria chegavam ali.</w:t>
      </w:r>
    </w:p>
    <w:p>
      <w:r/>
      <w:r>
        <w:t>O Estreito de Messina era bem conhecido pelos marinheiros romanos. Os navios precisavam passar por ele para chegar à costa oeste da Itália. No entanto, tratava-se de uma passagem muito estreita e perigosa, com muitos lugares rasos e outros obstáculos. Por causa disso, os navios frequentemente tinham que esperar em Régio até que um forte vento sul soprasse.</w:t>
      </w:r>
    </w:p>
    <w:p>
      <w:r/>
      <w:r>
        <w:t xml:space="preserve">O nome </w:t>
      </w:r>
      <w:r>
        <w:rPr>
          <w:i/>
        </w:rPr>
        <w:t>Régio</w:t>
      </w:r>
      <w:r>
        <w:t xml:space="preserve"> (agora chamado Reggio ou Reggio di Calabria) pode derivar de uma palavra grega que significa "rasgar". As pessoas diziam que a Sicília parecia ter sido arrancada do continente. Régio era o porto mais próximo do lado italiano.</w:t>
      </w:r>
      <w:r/>
      <w:r/>
    </w:p>
    <w:p>
      <w:r/>
    </w:p>
    <w:p>
      <w:pPr>
        <w:pStyle w:val="Heading2"/>
      </w:pPr>
      <w:r>
        <w:t>Rei</w:t>
      </w:r>
      <w:r/>
    </w:p>
    <w:p>
      <w:r/>
      <w:r>
        <w:t>A palavra melek (rei) ocorre mais de 2.000 vezes no Antigo Testamento hebraico. Pode referir-se a Deus (</w:t>
      </w:r>
      <w:hyperlink r:id="rId6931">
        <w:r>
          <w:rPr>
            <w:color w:val="0000EE"/>
            <w:u w:val="single"/>
          </w:rPr>
          <w:t>Sl 95.3</w:t>
        </w:r>
      </w:hyperlink>
      <w:r>
        <w:t xml:space="preserve">) ou a governantes humanos. Geralmente, designa alguém investido com autoridade e poder supremos sobre seus súditos. No Antigo Testamento, a palavra melek designa o governante de uma tribo (“os reis de Midiã,” </w:t>
      </w:r>
      <w:hyperlink r:id="rId2977">
        <w:r>
          <w:rPr>
            <w:color w:val="0000EE"/>
            <w:u w:val="single"/>
          </w:rPr>
          <w:t>Nm 31.8</w:t>
        </w:r>
      </w:hyperlink>
      <w:r>
        <w:t xml:space="preserve">), uma cidade (Jericó, Ai; cf. </w:t>
      </w:r>
      <w:hyperlink r:id="rId18186">
        <w:r>
          <w:rPr>
            <w:color w:val="0000EE"/>
            <w:u w:val="single"/>
          </w:rPr>
          <w:t>Js 12.9–24</w:t>
        </w:r>
      </w:hyperlink>
      <w:r>
        <w:t>, onde são listados 31 reis de cidades-estado conquistadas pelos israelitas), uma nação (Israel, Judá, Amom, Moabe, Aram) ou uma potência internacional (como Egito, Assíria, Babilônia ou Pérsia). Outras palavras também podem referir-se à realeza. Os filisteus introduziram o título seren (Senhor) no vocabulário hebraico. As cinco cidades filisteias eram governadas por cinco senhores. Outra palavra para um rei israelita é nagid (governante). Tanto Saul quanto Davi foram ungidos como nagid sobre Israel (</w:t>
      </w:r>
      <w:hyperlink r:id="rId3319">
        <w:r>
          <w:rPr>
            <w:color w:val="0000EE"/>
            <w:u w:val="single"/>
          </w:rPr>
          <w:t>1Sm 10.1</w:t>
        </w:r>
      </w:hyperlink>
      <w:r>
        <w:t xml:space="preserve">; </w:t>
      </w:r>
      <w:hyperlink r:id="rId18062">
        <w:r>
          <w:rPr>
            <w:color w:val="0000EE"/>
            <w:u w:val="single"/>
          </w:rPr>
          <w:t>16.13</w:t>
        </w:r>
      </w:hyperlink>
      <w:r>
        <w:t>). No Novo Testamento e na Septuaginta, a versão grega do Antigo Testamento, a palavra grega basileus tem um significado semelhante ao hebraico melek</w:t>
      </w:r>
      <w:r>
        <w:rPr>
          <w:i/>
        </w:rPr>
        <w:t>.</w:t>
      </w:r>
      <w:r>
        <w:t xml:space="preserve"> O basileus do Novo Testamento refere-se a governantes seculares que viveram no primeiro século, reis de Israel, governantes do passado e ao Rei divino, Jesus Cristo.</w:t>
      </w:r>
    </w:p>
    <w:p>
      <w:r/>
      <w:r>
        <w:t>A expressão “Rei dos reis”, atribuída a Jesus (</w:t>
      </w:r>
      <w:hyperlink r:id="rId6883">
        <w:r>
          <w:rPr>
            <w:color w:val="0000EE"/>
            <w:u w:val="single"/>
          </w:rPr>
          <w:t>1Tm 6.15</w:t>
        </w:r>
      </w:hyperlink>
      <w:r>
        <w:t>), é uma expressão hebraica que significa rei supremo ou maior rei. Por exemplo, na previsão de Ezequiel sobre a queda de Tiro, Nabucodonosor é chamado de “rei dos reis” (</w:t>
      </w:r>
      <w:hyperlink r:id="rId18187">
        <w:r>
          <w:rPr>
            <w:color w:val="0000EE"/>
            <w:u w:val="single"/>
          </w:rPr>
          <w:t>Ez 26.7</w:t>
        </w:r>
      </w:hyperlink>
      <w:r>
        <w:t xml:space="preserve">). Os grandes governantes da Assíria e Babilônia introduziram este título. Antes de seu tempo, os governantes eram chamados de “rei” ou “Grande rei”, como em </w:t>
      </w:r>
      <w:hyperlink r:id="rId18188">
        <w:r>
          <w:rPr>
            <w:color w:val="0000EE"/>
            <w:u w:val="single"/>
          </w:rPr>
          <w:t>2 Reis 18.28</w:t>
        </w:r>
      </w:hyperlink>
      <w:r>
        <w:t>: “Escutem o que o grande rei, o rei da Assíria, está dizendo a vocês!” (NTLH). Governantes posteriores tiveram seus títulos ajustados para acompanhar a expansão de seus impérios.</w:t>
      </w:r>
    </w:p>
    <w:p>
      <w:pPr>
        <w:pStyle w:val="Heading3"/>
      </w:pPr>
      <w:r>
        <w:t>Realeza em Israel</w:t>
      </w:r>
    </w:p>
    <w:p>
      <w:r/>
      <w:r>
        <w:t>Deus escolheu Abraão como o pai das nações; através dele e de seus descendentes, o governo messiânico seria estabelecido na terra. Em suas promessas a Abraão, Deus repetidamente assegurou-lhe que ele se tornaria o pai de uma nação poderosa, a quem Deus daria a terra de Canaã, e que reis surgiriam de seus descendentes (</w:t>
      </w:r>
      <w:hyperlink r:id="rId18189">
        <w:r>
          <w:rPr>
            <w:color w:val="0000EE"/>
            <w:u w:val="single"/>
          </w:rPr>
          <w:t>Gn 17.6</w:t>
        </w:r>
      </w:hyperlink>
      <w:r>
        <w:t xml:space="preserve">). Abraão mostrou sua aceitação do governo de Deus sobre sua família ao obedecer ao comando de Deus para ser circuncidado, o que separou o clã de Abraão para o serviço de Deus (vv. </w:t>
      </w:r>
      <w:hyperlink r:id="rId11371">
        <w:r>
          <w:rPr>
            <w:color w:val="0000EE"/>
            <w:u w:val="single"/>
          </w:rPr>
          <w:t>10–14</w:t>
        </w:r>
      </w:hyperlink>
      <w:r>
        <w:t xml:space="preserve">). O propósito final da relação de Deus com Abraão e seus descendentes era que Deus seria Rei sobre Israel e que seu povo demonstraria sua aceitação de seu governo por meio de sua obediência fiel a ele (v. </w:t>
      </w:r>
      <w:hyperlink r:id="rId18190">
        <w:r>
          <w:rPr>
            <w:color w:val="0000EE"/>
            <w:u w:val="single"/>
          </w:rPr>
          <w:t>9</w:t>
        </w:r>
      </w:hyperlink>
      <w:r>
        <w:t>).</w:t>
      </w:r>
    </w:p>
    <w:p>
      <w:r/>
      <w:r>
        <w:t>No coração da aliança estava a expectativa de Deus de lealdade ao seu governo. Abraão e seus descendentes deveriam exercer seu “domínio” dado por Deus sobre as nações, vivendo em comunhão com o Grande Rei. Assim, o Senhor restabeleceu seu domínio sobre a humanidade. Através de Abraão e seus descendentes, ele levantaria uma “nação real” à qual os plenos privilégios de domínio sobre sua criação seriam restaurados.</w:t>
      </w:r>
    </w:p>
    <w:p>
      <w:r/>
      <w:r>
        <w:t>O Senhor também fez uma aliança com Israel. Esta aliança foi uma administração soberana de graça e promessa pela qual o Senhor consagrou o povo a si mesmo pelas sanções da lei divina e por sua própria presença. A nação, ao testemunhar o cuidado de Deus por eles, precisava aprender que, por meio da sua obediência às expectativas de Deus, o reino teocrático poderia se tornar uma realidade na terra. Na aliança sinaítica, a teocracia (o governo de Deus) foi estabelecida. Israel foi incumbido dos mandamentos, para que pudesse mostrar-se como uma nação teocrática, como Deus revelou a Moisés: “Agora, se me obedecerem e cumprirem a minha aliança vocês serão o meu povo. O mundo inteiro é meu, mas vocês serão o meu povo, escolhido por mim. Vocês são um povo separado somente para mim e me servirão como sacerdotes” (</w:t>
      </w:r>
      <w:hyperlink r:id="rId6781">
        <w:r>
          <w:rPr>
            <w:color w:val="0000EE"/>
            <w:u w:val="single"/>
          </w:rPr>
          <w:t>Ex 19.5–6</w:t>
        </w:r>
      </w:hyperlink>
      <w:r>
        <w:t>, NTLH). Eles eram os eleitos de Deus por causa das nações; através da obediência sacerdotal e intercessão de Israel, toda a terra poderia conhecer o Criador-Redentor.</w:t>
      </w:r>
    </w:p>
    <w:p>
      <w:r/>
      <w:r>
        <w:t>As qualidades da realeza de Deus incluíam poder, glória, fidelidade, sabedoria, preocupação, serviço, delegação de poder ao homem, bênção e proteção, governo justo, julgamento, vindicação e libertação. A realeza de Israel deveria refletir a de Deus. Suas leis variadas e, por vezes, complexas ensinavam Israel a distinguir entre o sagrado e o comum, o limpo e o impuro, os caminhos de Deus e os das nações. Os caminhos de Deus promoviam amor, fidelidade, justiça, paz, harmonia, serviço, preocupação com os outros, vida sábia, defesa dos necessitados e julgamento dos culpados. Em contraste, os caminhos dos reinos do mundo frequentemente promoviam egoísmo, anarquia, despotismo e desrespeito pela justiça.</w:t>
      </w:r>
    </w:p>
    <w:p>
      <w:r/>
      <w:r>
        <w:t>O Senhor também instituiu uma estrutura organizacional projetada para promover seus propósitos teocráticos. No deserto, Moisés e os líderes escolhidos de Israel (</w:t>
      </w:r>
      <w:hyperlink r:id="rId18191">
        <w:r>
          <w:rPr>
            <w:color w:val="0000EE"/>
            <w:u w:val="single"/>
          </w:rPr>
          <w:t>Êx 18.19–26</w:t>
        </w:r>
      </w:hyperlink>
      <w:r>
        <w:t xml:space="preserve">; </w:t>
      </w:r>
      <w:hyperlink r:id="rId18192">
        <w:r>
          <w:rPr>
            <w:color w:val="0000EE"/>
            <w:u w:val="single"/>
          </w:rPr>
          <w:t>Nm 11.24–25</w:t>
        </w:r>
      </w:hyperlink>
      <w:r>
        <w:t xml:space="preserve">; cf. </w:t>
      </w:r>
      <w:hyperlink r:id="rId18193">
        <w:r>
          <w:rPr>
            <w:color w:val="0000EE"/>
            <w:u w:val="single"/>
          </w:rPr>
          <w:t>Dt 1.15–18</w:t>
        </w:r>
      </w:hyperlink>
      <w:r>
        <w:t>) foram instrumentos de Deus para sustentar sua realeza em Israel. Após a morte de Moisés, Josué assumiu o governo teocrático. O Senhor estava com ele assim como estivera com Moisés, e todo Israel reconheceu a continuidade do governo de Deus na liderança de Josué (</w:t>
      </w:r>
      <w:hyperlink r:id="rId12135">
        <w:r>
          <w:rPr>
            <w:color w:val="0000EE"/>
            <w:u w:val="single"/>
          </w:rPr>
          <w:t>Dt 34.9</w:t>
        </w:r>
      </w:hyperlink>
      <w:r>
        <w:t xml:space="preserve">; </w:t>
      </w:r>
      <w:hyperlink r:id="rId18194">
        <w:r>
          <w:rPr>
            <w:color w:val="0000EE"/>
            <w:u w:val="single"/>
          </w:rPr>
          <w:t>Js 3.7</w:t>
        </w:r>
      </w:hyperlink>
      <w:r>
        <w:t xml:space="preserve">; </w:t>
      </w:r>
      <w:hyperlink r:id="rId12149">
        <w:r>
          <w:rPr>
            <w:color w:val="0000EE"/>
            <w:u w:val="single"/>
          </w:rPr>
          <w:t>4.14</w:t>
        </w:r>
      </w:hyperlink>
      <w:r>
        <w:t>). Assim como Moisés antes de sua morte, Josué encarregou a liderança e Israel de perseverar na relação de aliança graciosa (</w:t>
      </w:r>
      <w:hyperlink r:id="rId2225">
        <w:r>
          <w:rPr>
            <w:color w:val="0000EE"/>
            <w:u w:val="single"/>
          </w:rPr>
          <w:t>Js 23–24</w:t>
        </w:r>
      </w:hyperlink>
      <w:r>
        <w:t>). No entanto, Israel pereceu por causa de sua ganância, imoralidade, contenda e idolatria. Durante o período dos juízes, cada um fazia o que parecia certo aos seus próprios olhos (</w:t>
      </w:r>
      <w:hyperlink r:id="rId12459">
        <w:r>
          <w:rPr>
            <w:color w:val="0000EE"/>
            <w:u w:val="single"/>
          </w:rPr>
          <w:t>Jz 17.6</w:t>
        </w:r>
      </w:hyperlink>
      <w:r>
        <w:t xml:space="preserve">; </w:t>
      </w:r>
      <w:hyperlink r:id="rId12460">
        <w:r>
          <w:rPr>
            <w:color w:val="0000EE"/>
            <w:u w:val="single"/>
          </w:rPr>
          <w:t>18.1</w:t>
        </w:r>
      </w:hyperlink>
      <w:r>
        <w:t xml:space="preserve">; </w:t>
      </w:r>
      <w:hyperlink r:id="rId12461">
        <w:r>
          <w:rPr>
            <w:color w:val="0000EE"/>
            <w:u w:val="single"/>
          </w:rPr>
          <w:t>19.1</w:t>
        </w:r>
      </w:hyperlink>
      <w:r>
        <w:t xml:space="preserve">; </w:t>
      </w:r>
      <w:hyperlink r:id="rId12462">
        <w:r>
          <w:rPr>
            <w:color w:val="0000EE"/>
            <w:u w:val="single"/>
          </w:rPr>
          <w:t>21.25</w:t>
        </w:r>
      </w:hyperlink>
      <w:r>
        <w:t>). Não havia rei na terra naqueles dias. Os juízes eram líderes militares que o Senhor levantava para libertar seu povo de seus opressores estrangeiros. Mas Deus permaneceu Rei, independentemente do fato de que Israel vivia como se ele não fosse. O período dos juízes demonstrou que Israel apóstata, desobediente ao seu Rei, não teve sucesso em lidar com as nações ao redor.</w:t>
      </w:r>
    </w:p>
    <w:p>
      <w:r/>
      <w:r>
        <w:t>A liderança teocrática foi restaurada a Israel através do ministério de Samuel. Ele nasceu em uma família levítica e serviu ao Senhor no tabernáculo de Siló. Ele foi chamado para ser um profeta — um cargo que não havia sido ocupado desde a morte de Moisés (</w:t>
      </w:r>
      <w:hyperlink r:id="rId18195">
        <w:r>
          <w:rPr>
            <w:color w:val="0000EE"/>
            <w:u w:val="single"/>
          </w:rPr>
          <w:t>1Sm 3.20–21</w:t>
        </w:r>
      </w:hyperlink>
      <w:r>
        <w:t>). Ele foi reconhecido como juiz em Israel (</w:t>
      </w:r>
      <w:hyperlink r:id="rId18196">
        <w:r>
          <w:rPr>
            <w:color w:val="0000EE"/>
            <w:u w:val="single"/>
          </w:rPr>
          <w:t>7.15</w:t>
        </w:r>
      </w:hyperlink>
      <w:r>
        <w:t>). Em Samuel, os cargos de sacerdote, profeta e rei foram combinados. Ele nunca é chamado de rei, pois seu estilo de vida era o de um profeta em vez de um governante. O pedido cuidadosamente calculado do povo por um rei foi uma rejeição ao ministério de Samuel. O povo não estava satisfeito com a liderança espiritual e carismática de Samuel. Em sua busca por um líder mais dinâmico, encontraram nos reis das nações vizinhas elementos atraentes: poder, manifestação de glória e estabilidade. Até então, as tribos haviam experimentado várias guerras civis que colocavam em risco a unidade de Israel. Pensava-se que um rei remediaria todos os problemas sociais e políticos. Embora Deus tivesse previsto os dias da monarquia na lei (</w:t>
      </w:r>
      <w:hyperlink r:id="rId11427">
        <w:r>
          <w:rPr>
            <w:color w:val="0000EE"/>
            <w:u w:val="single"/>
          </w:rPr>
          <w:t>Dt 17.14–20</w:t>
        </w:r>
      </w:hyperlink>
      <w:r>
        <w:t>), o povo estava motivado a introduzir a realeza por razões seculares em vez de religiosas: “Dê-nos um rei como todas as outras nações têm” (</w:t>
      </w:r>
      <w:hyperlink r:id="rId18197">
        <w:r>
          <w:rPr>
            <w:color w:val="0000EE"/>
            <w:u w:val="single"/>
          </w:rPr>
          <w:t>1Sm 8.5</w:t>
        </w:r>
      </w:hyperlink>
      <w:r>
        <w:t xml:space="preserve">); “Queremos ser como as outras nações: queremos ter um rei para nos governar, para nos dirigir na guerra e lutar em nossas batalhas” (v. </w:t>
      </w:r>
      <w:hyperlink r:id="rId18198">
        <w:r>
          <w:rPr>
            <w:color w:val="0000EE"/>
            <w:u w:val="single"/>
          </w:rPr>
          <w:t>20</w:t>
        </w:r>
      </w:hyperlink>
      <w:r>
        <w:t>, NTLH). Samuel nunca aceitou a ideia de realeza; era algo estranho ao ideal teocrático.</w:t>
      </w:r>
    </w:p>
    <w:p>
      <w:r/>
      <w:r>
        <w:t>A diferença crucial entre a realeza em Israel e a realeza nas terras vizinhas estava no fato de que Deus dotou o rei de Israel com seu Espírito para estabelecer seu governo na terra. Deus governava por meio de seu povo, e seu povo se beneficiava de seu governo; ele era seu provedor, protetor e guerreiro divino.</w:t>
      </w:r>
    </w:p>
    <w:p>
      <w:r/>
      <w:r>
        <w:t>Samuel foi fundamental na unção de Saul (um triste exemplo de reinado) e Davi (um bom exemplo de governo real sob Deus). O reinado de Saul revelou uma atitude despótica, indiferente e de autoengrandecimento. Ele estava determinado a estabelecer sua dinastia, sem se importar o suficiente com o povo de Deus. Portanto, o Senhor rejeitou seu reinado (</w:t>
      </w:r>
      <w:hyperlink r:id="rId6718">
        <w:r>
          <w:rPr>
            <w:color w:val="0000EE"/>
            <w:u w:val="single"/>
          </w:rPr>
          <w:t>1Sm 15.23</w:t>
        </w:r>
      </w:hyperlink>
      <w:r>
        <w:t>).</w:t>
      </w:r>
    </w:p>
    <w:p>
      <w:r/>
      <w:r>
        <w:t>A realeza de Davi, em contraste com a de Saul, estava alinhada com a de Deus porque refletia a glória da realeza de Yahweh. A vida e o governo de Davi são abordados nos dois livros de Samuel como um comentário sobre os prós e contras da realeza. Positivamente, Davi era um homem segundo o coração de Deus, que buscava a vontade de Deus, se arrependia de seus pecados e buscava a glória de Deus. Negativamente, Davi falhou em sua vida pessoal e familiar em manter os altos padrões da lei de Deus. No entanto, Deus ficou satisfeito em escolher a dinastia de Davi como a linhagem através da qual Jesus Cristo viria. O profeta Natã assegurou a Davi que sua dinastia duraria: “Você sempre terá descendentes, e eu farei com que o seu reino dure para sempre. E a sua descendência real nunca terminará” (</w:t>
      </w:r>
      <w:hyperlink r:id="rId12958">
        <w:r>
          <w:rPr>
            <w:color w:val="0000EE"/>
            <w:u w:val="single"/>
          </w:rPr>
          <w:t>2Sm 7.16</w:t>
        </w:r>
      </w:hyperlink>
      <w:r>
        <w:t>, NTLH). Mas Deus não prometeu que estaria imune a processos ou banimentos.</w:t>
      </w:r>
    </w:p>
    <w:p>
      <w:r/>
      <w:r>
        <w:t xml:space="preserve">As qualidades excepcionais do reinado de Davi e de seu filho Salomão refletem a verdadeira intenção teocrática: preocupação com o Senhor, um coração de sabedoria e integridade, e o bem-estar do povo de Deus. A preocupação com o Senhor se expressou na preparação e construção efetiva do templo (cf. </w:t>
      </w:r>
      <w:hyperlink r:id="rId2460">
        <w:r>
          <w:rPr>
            <w:color w:val="0000EE"/>
            <w:u w:val="single"/>
          </w:rPr>
          <w:t>Sl 132</w:t>
        </w:r>
      </w:hyperlink>
      <w:r>
        <w:t>). A preocupação com a integridade e sabedoria é claramente evidente, especialmente na resposta de Davi à repreensão de Natã (</w:t>
      </w:r>
      <w:hyperlink r:id="rId18199">
        <w:r>
          <w:rPr>
            <w:color w:val="0000EE"/>
            <w:u w:val="single"/>
          </w:rPr>
          <w:t>2Sm 12</w:t>
        </w:r>
      </w:hyperlink>
      <w:r>
        <w:t>) e no pedido de Salomão por um coração de sabedoria (</w:t>
      </w:r>
      <w:hyperlink r:id="rId18200">
        <w:r>
          <w:rPr>
            <w:color w:val="0000EE"/>
            <w:u w:val="single"/>
          </w:rPr>
          <w:t>1Rs 3</w:t>
        </w:r>
      </w:hyperlink>
      <w:r>
        <w:t>). A preocupação com o povo se manifesta na garantia das fronteiras contra inimigos, na obtenção da unificação nacional e na criação de oportunidades para o crescimento econômico. A era de Davi e Salomão representou um verdadeiro reflexo da realeza de Deus na terra.</w:t>
      </w:r>
    </w:p>
    <w:p>
      <w:r/>
      <w:r>
        <w:t>Os relatos em Reis e Crônicas desdobram a história subsequente da realeza em Israel e Judá. Os bons reis seguiram os exemplos de Davi e Salomão ao proteger Jerusalém contra invasores estrangeiros, ao suprir as necessidades do templo, ao instruir o povo de Deus na palavra de Deus e ao modelar seu governo segundo a lei de Moisés. Um bom rei davídico amava o Senhor, o templo, a lei e o povo de Deus. Ele os servia como um Bom Pastor. Reis maus eram aqueles que rejeitavam esse modelo de realeza em favor dos modelos pagãos. Assim, Onri e Acabe introduziram a cultura fenícia com seu baalismo, desconsiderando completamente a herança de Israel.</w:t>
      </w:r>
    </w:p>
    <w:p>
      <w:r/>
      <w:r>
        <w:t xml:space="preserve">O rei davídico era tratado como membro da casa de Deus, sendo um "filho" do Grande Rei (cf. </w:t>
      </w:r>
      <w:hyperlink r:id="rId18201">
        <w:r>
          <w:rPr>
            <w:color w:val="0000EE"/>
            <w:u w:val="single"/>
          </w:rPr>
          <w:t>2Sm 7.14–16</w:t>
        </w:r>
      </w:hyperlink>
      <w:r>
        <w:t xml:space="preserve">; </w:t>
      </w:r>
      <w:hyperlink r:id="rId18202">
        <w:r>
          <w:rPr>
            <w:color w:val="0000EE"/>
            <w:u w:val="single"/>
          </w:rPr>
          <w:t>Sl 2.6–7</w:t>
        </w:r>
      </w:hyperlink>
      <w:r>
        <w:t>). O rei davídico deveria ser leal ao Grande Rei, Yahweh. Ele, assim como Moisés e Josué, recebia suas ordens diretamente do Senhor; mas, ao contrário de Moisés, a palavra do Senhor era mediada através dos profetas. Assim como Moisés e Josué, esperava-se que ele servisse a seu Deus e a seu povo.</w:t>
      </w:r>
    </w:p>
    <w:p>
      <w:pPr>
        <w:pStyle w:val="Heading3"/>
      </w:pPr>
      <w:r>
        <w:t>O Rei Messias</w:t>
      </w:r>
    </w:p>
    <w:p>
      <w:r/>
      <w:r>
        <w:t>Os descendentes de Davi não conseguiram manter e expandir a teocracia. Nos séculos VIII e VII a.C., ficou claro que mesmo os maiores reis eram ofuscados pela estatura de Davi e Salomão. Os profetas (</w:t>
      </w:r>
      <w:hyperlink r:id="rId18203">
        <w:r>
          <w:rPr>
            <w:color w:val="0000EE"/>
            <w:u w:val="single"/>
          </w:rPr>
          <w:t>Is 9.2–7</w:t>
        </w:r>
      </w:hyperlink>
      <w:r>
        <w:t xml:space="preserve">; </w:t>
      </w:r>
      <w:hyperlink r:id="rId18149">
        <w:r>
          <w:rPr>
            <w:color w:val="0000EE"/>
            <w:u w:val="single"/>
          </w:rPr>
          <w:t>11.1–9</w:t>
        </w:r>
      </w:hyperlink>
      <w:r>
        <w:t xml:space="preserve">; </w:t>
      </w:r>
      <w:hyperlink r:id="rId14317">
        <w:r>
          <w:rPr>
            <w:color w:val="0000EE"/>
            <w:u w:val="single"/>
          </w:rPr>
          <w:t>Jer 33.14–16</w:t>
        </w:r>
      </w:hyperlink>
      <w:r>
        <w:t xml:space="preserve">; </w:t>
      </w:r>
      <w:hyperlink r:id="rId18204">
        <w:r>
          <w:rPr>
            <w:color w:val="0000EE"/>
            <w:u w:val="single"/>
          </w:rPr>
          <w:t>Ez 34.22–31</w:t>
        </w:r>
      </w:hyperlink>
      <w:r>
        <w:t xml:space="preserve">; </w:t>
      </w:r>
      <w:hyperlink r:id="rId18205">
        <w:r>
          <w:rPr>
            <w:color w:val="0000EE"/>
            <w:u w:val="single"/>
          </w:rPr>
          <w:t>Mi 5.2–5</w:t>
        </w:r>
      </w:hyperlink>
      <w:r>
        <w:t>) falaram de outro rei, o Messias, um descendente de Davi que governaria permanentemente e cujo governo estenderia o reinado de Deus até os confins da terra. Ele derrubaria toda oposição ao governo de Deus, removeria todos os inimigos e traria uma era de paz e justiça universais. O Rei-Messias revelaria as perfeições do governo divino, pois o Espírito de Deus estaria sobre ele. Seu reinado seria marcado pelo serviço ao povo de Deus, de modo que eles seriam um rebanho bem cuidado; ele os serviria como seu pastor.</w:t>
      </w:r>
    </w:p>
    <w:p>
      <w:r/>
      <w:r>
        <w:t>Na vinda de Jesus, o reino messiânico é mais claramente revelado. Ele é o Rei de quem os anjos disseram: “Hoje mesmo, na cidade de Davi, nasceu o Salvador de vocês — o Messias, o Senhor!” (</w:t>
      </w:r>
      <w:hyperlink r:id="rId8033">
        <w:r>
          <w:rPr>
            <w:color w:val="0000EE"/>
            <w:u w:val="single"/>
          </w:rPr>
          <w:t>Lc 2.11</w:t>
        </w:r>
      </w:hyperlink>
      <w:r>
        <w:t>, NTLH). Estas palavras magníficas mostram continuidade com a palavra profética. Jesus é o Salvador, cujo papel inclui a libertação do pecado, mas também a libertação de todas as causas de adversidade, mal e os efeitos da maldição. Sua missão diz respeito tanto ao perdão quanto ao estabelecimento da paz na terra (</w:t>
      </w:r>
      <w:hyperlink r:id="rId18206">
        <w:r>
          <w:rPr>
            <w:color w:val="0000EE"/>
            <w:u w:val="single"/>
          </w:rPr>
          <w:t>1.77–79</w:t>
        </w:r>
      </w:hyperlink>
      <w:r>
        <w:t>). À luz disso, devemos olhar para o ministério de Jesus de cura, alimentação, oposição às forças do mal, sofrimento e ensino como o estabelecimento do reino de Deus na terra. Ele é o Rei que serve, luta contra os poderes demoníacos e vence. A ressurreição marca sua vitória, e ele é coroado com glória ao ser assentado à direita do Pai (</w:t>
      </w:r>
      <w:hyperlink r:id="rId2668">
        <w:r>
          <w:rPr>
            <w:color w:val="0000EE"/>
            <w:u w:val="single"/>
          </w:rPr>
          <w:t>At 2.33–36</w:t>
        </w:r>
      </w:hyperlink>
      <w:r>
        <w:t xml:space="preserve">; cf. </w:t>
      </w:r>
      <w:hyperlink r:id="rId5125">
        <w:r>
          <w:rPr>
            <w:color w:val="0000EE"/>
            <w:u w:val="single"/>
          </w:rPr>
          <w:t>1Co 15.25</w:t>
        </w:r>
      </w:hyperlink>
      <w:r>
        <w:t>). Sendo o Salvador, ele não é outro senão Cristo o Senhor. A pregação apostólica inicial proclamava que Jesus é o Messias de Deus e o Senhor. A soberania de Jesus é um corolário de ser o Messias. Para aqueles que o invocam, ele é o Salvador-Messias-Senhor (</w:t>
      </w:r>
      <w:hyperlink r:id="rId18207">
        <w:r>
          <w:rPr>
            <w:color w:val="0000EE"/>
            <w:u w:val="single"/>
          </w:rPr>
          <w:t>Rm 10.9–15</w:t>
        </w:r>
      </w:hyperlink>
      <w:r>
        <w:t xml:space="preserve">), mas para aqueles que o rejeitam, ele é o guerreiro divino, diante de quem todos os joelhos se dobrarão e que trará a era do julgamento do Pai (cf. </w:t>
      </w:r>
      <w:hyperlink r:id="rId2052">
        <w:r>
          <w:rPr>
            <w:color w:val="0000EE"/>
            <w:u w:val="single"/>
          </w:rPr>
          <w:t>Ap 1.12–16</w:t>
        </w:r>
      </w:hyperlink>
      <w:r>
        <w:t xml:space="preserve">; </w:t>
      </w:r>
      <w:hyperlink r:id="rId2106">
        <w:r>
          <w:rPr>
            <w:color w:val="0000EE"/>
            <w:u w:val="single"/>
          </w:rPr>
          <w:t>19.11–21</w:t>
        </w:r>
      </w:hyperlink>
      <w:r>
        <w:t>).</w:t>
      </w:r>
    </w:p>
    <w:p>
      <w:r/>
      <w:r>
        <w:t>Jesus ensinou aos seus discípulos que, em sua vinda em glória, ele se sentaria em seu trono e toda a humanidade lhe prestaria homenagem. Os inimigos de Deus serão expulsos de sua presença, e o povo de Deus herdará plenamente o reino (</w:t>
      </w:r>
      <w:hyperlink r:id="rId1172">
        <w:r>
          <w:rPr>
            <w:color w:val="0000EE"/>
            <w:u w:val="single"/>
          </w:rPr>
          <w:t>Mt 25.31–46</w:t>
        </w:r>
      </w:hyperlink>
      <w:r>
        <w:t>). De acordo com o ensinamento de Jesus, espera-se que os membros de seu corpo, a igreja, realizem o ideal teocrático em suas vidas, para que, por suas obras e fé, possam glorificar o Pai e mostrar que são dele (</w:t>
      </w:r>
      <w:hyperlink r:id="rId18208">
        <w:r>
          <w:rPr>
            <w:color w:val="0000EE"/>
            <w:u w:val="single"/>
          </w:rPr>
          <w:t>Jo 17.20–26</w:t>
        </w:r>
      </w:hyperlink>
      <w:r>
        <w:t xml:space="preserve">; cf. </w:t>
      </w:r>
      <w:hyperlink r:id="rId18209">
        <w:r>
          <w:rPr>
            <w:color w:val="0000EE"/>
            <w:u w:val="single"/>
          </w:rPr>
          <w:t>Mt 25.33–40</w:t>
        </w:r>
      </w:hyperlink>
      <w:r>
        <w:t>). Este é o modo bíblico de testemunho que Israel falhou em dar e que a igreja tem o privilégio de dar; como Paulo escreveu a Timóteo:</w:t>
      </w:r>
    </w:p>
    <w:p>
      <w:r/>
      <w:r>
        <w:t>Agora, diante de Deus, que dá vida a todas as criaturas, e diante de Cristo Jesus, que deu o seu belo testemunho de fé em frente de Pôncio Pilatos, eu ordeno a você o seguinte: Cumpra a sua missão com fidelidade, para que ninguém possa culpá-lo de nada, e continue assim até o dia em que o nosso Senhor Jesus Cristo aparecer. Quando chegar o tempo certo, Deus fará com que isso aconteça, o mesmo Deus que é o bendito e único Rei, o Rei dos reis e o Senhor dos senhores, o único que é imortal. Ele vive na luz, e ninguém pode chegar perto dela. Ninguém nunca o viu, nem poderá ver. A ele pertence a honra e o poder eterno! Amém! (</w:t>
      </w:r>
      <w:hyperlink r:id="rId18210">
        <w:r>
          <w:rPr>
            <w:color w:val="0000EE"/>
            <w:u w:val="single"/>
          </w:rPr>
          <w:t>1Tm 6.13–16</w:t>
        </w:r>
      </w:hyperlink>
      <w:r>
        <w:t>, NTLH)</w:t>
      </w:r>
    </w:p>
    <w:p>
      <w:r/>
      <w:r>
        <w:t>Então, Paulo dá várias instruções sobre como o povo de Deus deve demonstrar sua lealdade a Jesus. Ao longo do livro de Apocalipse, Jesus é visto como Rei sobre a igreja (</w:t>
      </w:r>
      <w:hyperlink r:id="rId18211">
        <w:r>
          <w:rPr>
            <w:color w:val="0000EE"/>
            <w:u w:val="single"/>
          </w:rPr>
          <w:t>Ap 4.2,9–11</w:t>
        </w:r>
      </w:hyperlink>
      <w:r>
        <w:t xml:space="preserve">; </w:t>
      </w:r>
      <w:hyperlink r:id="rId18212">
        <w:r>
          <w:rPr>
            <w:color w:val="0000EE"/>
            <w:u w:val="single"/>
          </w:rPr>
          <w:t>5.1,9–13</w:t>
        </w:r>
      </w:hyperlink>
      <w:r>
        <w:t>). Em seu retorno, sua realeza será estabelecida. Nesse momento, os inimigos da cruz verão aquele que rejeitaram e se curvarão diante do Rei messiânico (</w:t>
      </w:r>
      <w:hyperlink r:id="rId18213">
        <w:r>
          <w:rPr>
            <w:color w:val="0000EE"/>
            <w:u w:val="single"/>
          </w:rPr>
          <w:t>1Co 15.25–28</w:t>
        </w:r>
      </w:hyperlink>
      <w:r>
        <w:t xml:space="preserve">). “e então virá o fim. Cristo destruirá todos os governos espirituais, todas as autoridades e poderes e entregará o Reino a Deus, o Pai” (v. </w:t>
      </w:r>
      <w:hyperlink r:id="rId17532">
        <w:r>
          <w:rPr>
            <w:color w:val="0000EE"/>
            <w:u w:val="single"/>
          </w:rPr>
          <w:t>24</w:t>
        </w:r>
      </w:hyperlink>
      <w:r>
        <w:t>, NTLH).</w:t>
      </w:r>
    </w:p>
    <w:p>
      <w:r/>
      <w:r>
        <w:rPr>
          <w:i/>
        </w:rPr>
        <w:t>Veja também</w:t>
      </w:r>
      <w:r>
        <w:t xml:space="preserve"> </w:t>
      </w:r>
      <w:r>
        <w:t>Israel, História de</w:t>
      </w:r>
      <w:r>
        <w:t xml:space="preserve">; </w:t>
      </w:r>
      <w:r>
        <w:t>Reino de Deus, Reino dos céus</w:t>
      </w:r>
      <w:r>
        <w:t>.</w:t>
      </w:r>
      <w:r/>
      <w:r/>
    </w:p>
    <w:p>
      <w:r/>
    </w:p>
    <w:p>
      <w:pPr>
        <w:pStyle w:val="Heading2"/>
      </w:pPr>
      <w:r>
        <w:t>Reino De Deus, Reino Do Céu</w:t>
      </w:r>
      <w:r/>
    </w:p>
    <w:p>
      <w:r/>
      <w:r>
        <w:t>O governo soberano de Deus, iniciado pelo ministério terreno de Cristo e consumado quando o reino do mundo se torna o reino de nosso Senhor e de seu Cristo (</w:t>
      </w:r>
      <w:hyperlink r:id="rId17445">
        <w:r>
          <w:rPr>
            <w:color w:val="0000EE"/>
            <w:u w:val="single"/>
          </w:rPr>
          <w:t>Ap 11.15</w:t>
        </w:r>
      </w:hyperlink>
      <w:r>
        <w:t>).</w:t>
      </w:r>
    </w:p>
    <w:p>
      <w:r/>
      <w:r>
        <w:t>Resumo</w:t>
      </w:r>
    </w:p>
    <w:p>
      <w:r/>
      <w:r>
        <w:t>• Introdução</w:t>
      </w:r>
    </w:p>
    <w:p>
      <w:r/>
      <w:r>
        <w:t>• Contexto do Antigo Testamento</w:t>
      </w:r>
    </w:p>
    <w:p>
      <w:r/>
      <w:r>
        <w:t>• No Novo Testamento</w:t>
      </w:r>
    </w:p>
    <w:p>
      <w:pPr>
        <w:pStyle w:val="Heading3"/>
      </w:pPr>
      <w:r>
        <w:t>Introdução</w:t>
      </w:r>
    </w:p>
    <w:p>
      <w:r/>
      <w:r>
        <w:t>De acordo com o testemunho dos primeiros três Evangelhos, a proclamação do reino de Deus era a mensagem central de Jesus. Mateus resume o ministério galileu com as palavras “Jesus andou por toda a Galiléia, ensinando nas sinagogas, anunciando a boa notícia do Reino” (</w:t>
      </w:r>
      <w:hyperlink r:id="rId8672">
        <w:r>
          <w:rPr>
            <w:color w:val="0000EE"/>
            <w:u w:val="single"/>
          </w:rPr>
          <w:t>Mt 4.23</w:t>
        </w:r>
      </w:hyperlink>
      <w:r>
        <w:t>, NTLH). O Sermão do Monte diz respeito a justiça que qualifica as pessoas a entrar no reino de Deus (</w:t>
      </w:r>
      <w:hyperlink r:id="rId4605">
        <w:r>
          <w:rPr>
            <w:color w:val="0000EE"/>
            <w:u w:val="single"/>
          </w:rPr>
          <w:t>5.20</w:t>
        </w:r>
      </w:hyperlink>
      <w:r>
        <w:t xml:space="preserve">). A coleção de parábolas em </w:t>
      </w:r>
      <w:hyperlink r:id="rId11744">
        <w:r>
          <w:rPr>
            <w:color w:val="0000EE"/>
            <w:u w:val="single"/>
          </w:rPr>
          <w:t>Mateus 13</w:t>
        </w:r>
      </w:hyperlink>
      <w:r>
        <w:t xml:space="preserve"> e </w:t>
      </w:r>
      <w:hyperlink r:id="rId13903">
        <w:r>
          <w:rPr>
            <w:color w:val="0000EE"/>
            <w:u w:val="single"/>
          </w:rPr>
          <w:t>Marcos 4</w:t>
        </w:r>
      </w:hyperlink>
      <w:r>
        <w:t xml:space="preserve"> ilustra o “mistério” do reino de Deus (</w:t>
      </w:r>
      <w:hyperlink r:id="rId7643">
        <w:r>
          <w:rPr>
            <w:color w:val="0000EE"/>
            <w:u w:val="single"/>
          </w:rPr>
          <w:t>Mt 13.11</w:t>
        </w:r>
      </w:hyperlink>
      <w:r>
        <w:t xml:space="preserve">; </w:t>
      </w:r>
      <w:hyperlink r:id="rId14639">
        <w:r>
          <w:rPr>
            <w:color w:val="0000EE"/>
            <w:u w:val="single"/>
          </w:rPr>
          <w:t>Mc 4.11</w:t>
        </w:r>
      </w:hyperlink>
      <w:r>
        <w:t>). O estabelecimento da Ceia do Senhor espera ansiosamente o estabelecimento do reino de Deus (</w:t>
      </w:r>
      <w:hyperlink r:id="rId4686">
        <w:r>
          <w:rPr>
            <w:color w:val="0000EE"/>
            <w:u w:val="single"/>
          </w:rPr>
          <w:t>Mt 26.29</w:t>
        </w:r>
      </w:hyperlink>
      <w:r>
        <w:t xml:space="preserve">; </w:t>
      </w:r>
      <w:hyperlink r:id="rId4685">
        <w:r>
          <w:rPr>
            <w:color w:val="0000EE"/>
            <w:u w:val="single"/>
          </w:rPr>
          <w:t>Mc 14.25</w:t>
        </w:r>
      </w:hyperlink>
      <w:r>
        <w:t>).</w:t>
      </w:r>
    </w:p>
    <w:p>
      <w:r/>
      <w:r>
        <w:t>O NT relata duas formas diferentes da expressão: “o reino de Deus” e “o reino dos céus”. O último é encontrado apenas em Mateus, mas Mateus também tem a expressão “o reino de Deus” quatro vezes (</w:t>
      </w:r>
      <w:hyperlink r:id="rId11825">
        <w:r>
          <w:rPr>
            <w:color w:val="0000EE"/>
            <w:u w:val="single"/>
          </w:rPr>
          <w:t>Mt 12.28</w:t>
        </w:r>
      </w:hyperlink>
      <w:r>
        <w:t xml:space="preserve">; </w:t>
      </w:r>
      <w:hyperlink r:id="rId613">
        <w:r>
          <w:rPr>
            <w:color w:val="0000EE"/>
            <w:u w:val="single"/>
          </w:rPr>
          <w:t>19.24</w:t>
        </w:r>
      </w:hyperlink>
      <w:r>
        <w:t xml:space="preserve">; </w:t>
      </w:r>
      <w:hyperlink r:id="rId18214">
        <w:r>
          <w:rPr>
            <w:color w:val="0000EE"/>
            <w:u w:val="single"/>
          </w:rPr>
          <w:t>21.31,43</w:t>
        </w:r>
      </w:hyperlink>
      <w:r>
        <w:t>). “O reino do céu” é uma frase semítica que teria sido significativa para os judeus, mas não para os gregos. Os judeus, em reverência a Deus, evitaram proferir o nome divino, e a literatura contemporânea dá exemplos de substitutos da palavra “céu” para Deus (</w:t>
      </w:r>
      <w:hyperlink r:id="rId18215">
        <w:r>
          <w:rPr>
            <w:color w:val="0000EE"/>
            <w:u w:val="single"/>
          </w:rPr>
          <w:t>1Mc 3.18,50</w:t>
        </w:r>
      </w:hyperlink>
      <w:r>
        <w:t xml:space="preserve">; </w:t>
      </w:r>
      <w:hyperlink r:id="rId18216">
        <w:r>
          <w:rPr>
            <w:color w:val="0000EE"/>
            <w:u w:val="single"/>
          </w:rPr>
          <w:t>4.10</w:t>
        </w:r>
      </w:hyperlink>
      <w:r>
        <w:t xml:space="preserve">; veja </w:t>
      </w:r>
      <w:hyperlink r:id="rId4773">
        <w:r>
          <w:rPr>
            <w:color w:val="0000EE"/>
            <w:u w:val="single"/>
          </w:rPr>
          <w:t>Lc 15.18</w:t>
        </w:r>
      </w:hyperlink>
      <w:r>
        <w:t>).</w:t>
      </w:r>
    </w:p>
    <w:p>
      <w:r/>
      <w:r>
        <w:t xml:space="preserve">A chave para uma compreensão do reino de Deus é que o significado básico da palavra grega </w:t>
      </w:r>
      <w:r>
        <w:rPr>
          <w:i/>
        </w:rPr>
        <w:t>basileia</w:t>
      </w:r>
      <w:r>
        <w:t xml:space="preserve">, como também do hebraico </w:t>
      </w:r>
      <w:r>
        <w:rPr>
          <w:i/>
        </w:rPr>
        <w:t>malkut</w:t>
      </w:r>
      <w:r>
        <w:t xml:space="preserve">, é governo, reinado, domínio. Muitas vezes encontramos no AT a expressão “no ano do reinado de . . . ”, que significa no ano do reinado de um determinado rei (p. ex., </w:t>
      </w:r>
      <w:hyperlink r:id="rId11561">
        <w:r>
          <w:rPr>
            <w:color w:val="0000EE"/>
            <w:u w:val="single"/>
          </w:rPr>
          <w:t>1Cr 26.31</w:t>
        </w:r>
      </w:hyperlink>
      <w:r>
        <w:t xml:space="preserve">; </w:t>
      </w:r>
      <w:hyperlink r:id="rId18217">
        <w:r>
          <w:rPr>
            <w:color w:val="0000EE"/>
            <w:u w:val="single"/>
          </w:rPr>
          <w:t>2Cr 3.2</w:t>
        </w:r>
      </w:hyperlink>
      <w:r>
        <w:t xml:space="preserve">; </w:t>
      </w:r>
      <w:hyperlink r:id="rId18218">
        <w:r>
          <w:rPr>
            <w:color w:val="0000EE"/>
            <w:u w:val="single"/>
          </w:rPr>
          <w:t>15.10</w:t>
        </w:r>
      </w:hyperlink>
      <w:r>
        <w:t xml:space="preserve">; </w:t>
      </w:r>
      <w:hyperlink r:id="rId18219">
        <w:r>
          <w:rPr>
            <w:color w:val="0000EE"/>
            <w:u w:val="single"/>
          </w:rPr>
          <w:t>Ed 7.1</w:t>
        </w:r>
      </w:hyperlink>
      <w:r>
        <w:t xml:space="preserve">; </w:t>
      </w:r>
      <w:hyperlink r:id="rId18220">
        <w:r>
          <w:rPr>
            <w:color w:val="0000EE"/>
            <w:u w:val="single"/>
          </w:rPr>
          <w:t>8.1</w:t>
        </w:r>
      </w:hyperlink>
      <w:r>
        <w:t xml:space="preserve">; </w:t>
      </w:r>
      <w:hyperlink r:id="rId4058">
        <w:r>
          <w:rPr>
            <w:color w:val="0000EE"/>
            <w:u w:val="single"/>
          </w:rPr>
          <w:t>Et 2.16</w:t>
        </w:r>
      </w:hyperlink>
      <w:r>
        <w:t xml:space="preserve">; </w:t>
      </w:r>
      <w:hyperlink r:id="rId18221">
        <w:r>
          <w:rPr>
            <w:color w:val="0000EE"/>
            <w:u w:val="single"/>
          </w:rPr>
          <w:t>Jr 10.7</w:t>
        </w:r>
      </w:hyperlink>
      <w:r>
        <w:t xml:space="preserve">; </w:t>
      </w:r>
      <w:hyperlink r:id="rId4036">
        <w:r>
          <w:rPr>
            <w:color w:val="0000EE"/>
            <w:u w:val="single"/>
          </w:rPr>
          <w:t>52.31</w:t>
        </w:r>
      </w:hyperlink>
      <w:r>
        <w:t>). Quando lemos que o reino de Salomão se fortaleceu muito (</w:t>
      </w:r>
      <w:hyperlink r:id="rId18222">
        <w:r>
          <w:rPr>
            <w:color w:val="0000EE"/>
            <w:u w:val="single"/>
          </w:rPr>
          <w:t>1Rs 2.12</w:t>
        </w:r>
      </w:hyperlink>
      <w:r>
        <w:t>), devemos entender que sua autoridade para reinar foi estabelecida. “Transferir o reino de Saul a [Davi]” (</w:t>
      </w:r>
      <w:hyperlink r:id="rId18223">
        <w:r>
          <w:rPr>
            <w:color w:val="0000EE"/>
            <w:u w:val="single"/>
          </w:rPr>
          <w:t>1Cr 12.23</w:t>
        </w:r>
      </w:hyperlink>
      <w:r>
        <w:t>, ARC) indica que a autoridade que havia sido de Saul foi dada a Davi. Como resultado de ter recebido autoridade legal, Davi se tornou rei. Esta ideia abstrata de malkut fica evidente quando é encontrada em paralelismos com ideias como poder, força, glória e domínio (</w:t>
      </w:r>
      <w:hyperlink r:id="rId18224">
        <w:r>
          <w:rPr>
            <w:color w:val="0000EE"/>
            <w:u w:val="single"/>
          </w:rPr>
          <w:t>Dn 4.34</w:t>
        </w:r>
      </w:hyperlink>
      <w:r>
        <w:t xml:space="preserve">; </w:t>
      </w:r>
      <w:hyperlink r:id="rId18225">
        <w:r>
          <w:rPr>
            <w:color w:val="0000EE"/>
            <w:u w:val="single"/>
          </w:rPr>
          <w:t>7.14</w:t>
        </w:r>
      </w:hyperlink>
      <w:r>
        <w:t>).</w:t>
      </w:r>
    </w:p>
    <w:p>
      <w:r/>
      <w:r>
        <w:t>Quando malkut é usado por Deus, quase sempre se refere à sua autoridade ou ao seu governo como o Rei celestial. “Eles falarão juntos sobre a glória de seu reino; eles celebrarão exemplos de seu poder. . . . Porque seu reino é um reino eterno. Tu governas de geração em geração” (</w:t>
      </w:r>
      <w:hyperlink r:id="rId18226">
        <w:r>
          <w:rPr>
            <w:color w:val="0000EE"/>
            <w:u w:val="single"/>
          </w:rPr>
          <w:t>Sl 145.11,13</w:t>
        </w:r>
      </w:hyperlink>
      <w:r>
        <w:t>, NTLH).</w:t>
      </w:r>
    </w:p>
    <w:p>
      <w:r/>
      <w:r>
        <w:t xml:space="preserve">Além disso, se um rei governa, deve haver um domínio ou esfera sobre a qual ele reina. Isso também é chamado de </w:t>
      </w:r>
      <w:r>
        <w:rPr>
          <w:i/>
        </w:rPr>
        <w:t>malkut</w:t>
      </w:r>
      <w:r>
        <w:t>. “Então o reino de Josafá estava quieto, pois seu Deus lhe deu descanso por todos os lados” (</w:t>
      </w:r>
      <w:hyperlink r:id="rId18227">
        <w:r>
          <w:rPr>
            <w:color w:val="0000EE"/>
            <w:u w:val="single"/>
          </w:rPr>
          <w:t>2Cr 20.30</w:t>
        </w:r>
      </w:hyperlink>
      <w:r>
        <w:t xml:space="preserve">, ARA; veja </w:t>
      </w:r>
      <w:hyperlink r:id="rId18228">
        <w:r>
          <w:rPr>
            <w:color w:val="0000EE"/>
            <w:u w:val="single"/>
          </w:rPr>
          <w:t>Et 3.6</w:t>
        </w:r>
      </w:hyperlink>
      <w:r>
        <w:t xml:space="preserve">; </w:t>
      </w:r>
      <w:hyperlink r:id="rId18221">
        <w:r>
          <w:rPr>
            <w:color w:val="0000EE"/>
            <w:u w:val="single"/>
          </w:rPr>
          <w:t>Jr 10.7</w:t>
        </w:r>
      </w:hyperlink>
      <w:r>
        <w:t xml:space="preserve">; </w:t>
      </w:r>
      <w:hyperlink r:id="rId14175">
        <w:r>
          <w:rPr>
            <w:color w:val="0000EE"/>
            <w:u w:val="single"/>
          </w:rPr>
          <w:t>Dn 9.1</w:t>
        </w:r>
      </w:hyperlink>
      <w:r>
        <w:t xml:space="preserve">; </w:t>
      </w:r>
      <w:hyperlink r:id="rId18229">
        <w:r>
          <w:rPr>
            <w:color w:val="0000EE"/>
            <w:u w:val="single"/>
          </w:rPr>
          <w:t>11.9</w:t>
        </w:r>
      </w:hyperlink>
      <w:r>
        <w:t>).</w:t>
      </w:r>
    </w:p>
    <w:p>
      <w:r/>
      <w:r>
        <w:t xml:space="preserve">Este mesmo uso duplo de basileia é encontrado no NT. Na verdade, basileia poderia ser traduzida pela expressão “poder real” em </w:t>
      </w:r>
      <w:hyperlink r:id="rId18230">
        <w:r>
          <w:rPr>
            <w:color w:val="0000EE"/>
            <w:u w:val="single"/>
          </w:rPr>
          <w:t>Lucas 23.42</w:t>
        </w:r>
      </w:hyperlink>
      <w:r>
        <w:t xml:space="preserve"> (NTLH) e por “realeza” em </w:t>
      </w:r>
      <w:hyperlink r:id="rId12419">
        <w:r>
          <w:rPr>
            <w:color w:val="0000EE"/>
            <w:u w:val="single"/>
          </w:rPr>
          <w:t>João 18.36</w:t>
        </w:r>
      </w:hyperlink>
      <w:r>
        <w:t>. Quando um nobre foi a um país distante para obter um “reino” (</w:t>
      </w:r>
      <w:hyperlink r:id="rId18231">
        <w:r>
          <w:rPr>
            <w:color w:val="0000EE"/>
            <w:u w:val="single"/>
          </w:rPr>
          <w:t>Lucas 19.12</w:t>
        </w:r>
      </w:hyperlink>
      <w:r>
        <w:t>), ele foi até a autoridade governante para obter uma nomeação como rei. Quando Jesus disse: “Meu reino não é deste mundo” (</w:t>
      </w:r>
      <w:hyperlink r:id="rId12419">
        <w:r>
          <w:rPr>
            <w:color w:val="0000EE"/>
            <w:u w:val="single"/>
          </w:rPr>
          <w:t>Jo 18.36</w:t>
        </w:r>
      </w:hyperlink>
      <w:r>
        <w:t>, NTLH), ele não quis dizer que seu governo não tem nada a ver com o mundo, mas sim que seu reinado — seu domínio — não vem do homem, mas de Deus. Portanto, ele rejeita o uso da briga mundana para ganhar seus fins.</w:t>
      </w:r>
    </w:p>
    <w:p>
      <w:r/>
      <w:r>
        <w:t>Este significado central de basileia facilita entender muitos ditos nos Evangelhos. Na Oração do Senhor, a petição “Venha o teu reino” (</w:t>
      </w:r>
      <w:hyperlink r:id="rId18232">
        <w:r>
          <w:rPr>
            <w:color w:val="0000EE"/>
            <w:u w:val="single"/>
          </w:rPr>
          <w:t>Mt 6.10</w:t>
        </w:r>
      </w:hyperlink>
      <w:r>
        <w:t>) é uma oração para Deus manifestar seu reinado, para que sua vontade possa ser feita na terra como é no céu. Quando lemos que devemos “receber o reino de Deus como uma criança” (</w:t>
      </w:r>
      <w:hyperlink r:id="rId8710">
        <w:r>
          <w:rPr>
            <w:color w:val="0000EE"/>
            <w:u w:val="single"/>
          </w:rPr>
          <w:t>Mc 10.15</w:t>
        </w:r>
      </w:hyperlink>
      <w:r>
        <w:t>, NTLH), devemos abrir nossos corações e vidas ao governo de Deus.</w:t>
      </w:r>
    </w:p>
    <w:p>
      <w:r/>
      <w:r>
        <w:t xml:space="preserve">Também no NT há ditos sobre estar </w:t>
      </w:r>
      <w:r>
        <w:rPr>
          <w:i/>
        </w:rPr>
        <w:t>no</w:t>
      </w:r>
      <w:r>
        <w:t xml:space="preserve"> reino ou de </w:t>
      </w:r>
      <w:r>
        <w:rPr>
          <w:i/>
        </w:rPr>
        <w:t>entrar</w:t>
      </w:r>
      <w:r>
        <w:t xml:space="preserve"> no reino (</w:t>
      </w:r>
      <w:hyperlink r:id="rId15291">
        <w:r>
          <w:rPr>
            <w:color w:val="0000EE"/>
            <w:u w:val="single"/>
          </w:rPr>
          <w:t>Mt 8.11</w:t>
        </w:r>
      </w:hyperlink>
      <w:r>
        <w:t xml:space="preserve">; </w:t>
      </w:r>
      <w:hyperlink r:id="rId18233">
        <w:r>
          <w:rPr>
            <w:color w:val="0000EE"/>
            <w:u w:val="single"/>
          </w:rPr>
          <w:t>Mc 9.47</w:t>
        </w:r>
      </w:hyperlink>
      <w:r>
        <w:t xml:space="preserve">; </w:t>
      </w:r>
      <w:hyperlink r:id="rId18234">
        <w:r>
          <w:rPr>
            <w:color w:val="0000EE"/>
            <w:u w:val="single"/>
          </w:rPr>
          <w:t>10.23–25</w:t>
        </w:r>
      </w:hyperlink>
      <w:r>
        <w:t xml:space="preserve">; </w:t>
      </w:r>
      <w:hyperlink r:id="rId18235">
        <w:r>
          <w:rPr>
            <w:color w:val="0000EE"/>
            <w:u w:val="single"/>
          </w:rPr>
          <w:t>Lc 13.28</w:t>
        </w:r>
      </w:hyperlink>
      <w:r>
        <w:t>). Não há objeção filológica ou teológica para entender “o reino de Deus” primeiro como o reino ou governo divino e segundo como a esfera de bênção na qual esse reino é experimentado.</w:t>
      </w:r>
    </w:p>
    <w:p>
      <w:pPr>
        <w:pStyle w:val="Heading3"/>
      </w:pPr>
      <w:r>
        <w:t>Contexto do Antigo Testamento</w:t>
      </w:r>
    </w:p>
    <w:p>
      <w:r/>
      <w:r>
        <w:t>A expressão “o reino de Deus” não é encontrada no AT, mas a ideia aparece em todos os profetas. Deus é frequentemente o Rei, tanto de Israel (</w:t>
      </w:r>
      <w:hyperlink r:id="rId18236">
        <w:r>
          <w:rPr>
            <w:color w:val="0000EE"/>
            <w:u w:val="single"/>
          </w:rPr>
          <w:t>Êx 15.18</w:t>
        </w:r>
      </w:hyperlink>
      <w:r>
        <w:t xml:space="preserve">; </w:t>
      </w:r>
      <w:hyperlink r:id="rId18237">
        <w:r>
          <w:rPr>
            <w:color w:val="0000EE"/>
            <w:u w:val="single"/>
          </w:rPr>
          <w:t>Nm 23.21</w:t>
        </w:r>
      </w:hyperlink>
      <w:r>
        <w:t xml:space="preserve">; </w:t>
      </w:r>
      <w:hyperlink r:id="rId11683">
        <w:r>
          <w:rPr>
            <w:color w:val="0000EE"/>
            <w:u w:val="single"/>
          </w:rPr>
          <w:t>Dt 33.5</w:t>
        </w:r>
      </w:hyperlink>
      <w:r>
        <w:t xml:space="preserve">; </w:t>
      </w:r>
      <w:hyperlink r:id="rId18238">
        <w:r>
          <w:rPr>
            <w:color w:val="0000EE"/>
            <w:u w:val="single"/>
          </w:rPr>
          <w:t>Is 43.15</w:t>
        </w:r>
      </w:hyperlink>
      <w:r>
        <w:t>) quanto de toda a terra (</w:t>
      </w:r>
      <w:hyperlink r:id="rId18239">
        <w:r>
          <w:rPr>
            <w:color w:val="0000EE"/>
            <w:u w:val="single"/>
          </w:rPr>
          <w:t>2Rs 19:15</w:t>
        </w:r>
      </w:hyperlink>
      <w:r>
        <w:t xml:space="preserve">; </w:t>
      </w:r>
      <w:hyperlink r:id="rId18240">
        <w:r>
          <w:rPr>
            <w:color w:val="0000EE"/>
            <w:u w:val="single"/>
          </w:rPr>
          <w:t>Sl 29.10</w:t>
        </w:r>
      </w:hyperlink>
      <w:r>
        <w:t xml:space="preserve">; </w:t>
      </w:r>
      <w:hyperlink r:id="rId14191">
        <w:r>
          <w:rPr>
            <w:color w:val="0000EE"/>
            <w:u w:val="single"/>
          </w:rPr>
          <w:t>47.2</w:t>
        </w:r>
      </w:hyperlink>
      <w:r>
        <w:t xml:space="preserve">; </w:t>
      </w:r>
      <w:hyperlink r:id="rId18241">
        <w:r>
          <w:rPr>
            <w:color w:val="0000EE"/>
            <w:u w:val="single"/>
          </w:rPr>
          <w:t>93.1–2</w:t>
        </w:r>
      </w:hyperlink>
      <w:r>
        <w:t xml:space="preserve">; </w:t>
      </w:r>
      <w:hyperlink r:id="rId18242">
        <w:r>
          <w:rPr>
            <w:color w:val="0000EE"/>
            <w:u w:val="single"/>
          </w:rPr>
          <w:t>96.10</w:t>
        </w:r>
      </w:hyperlink>
      <w:r>
        <w:t xml:space="preserve">; </w:t>
      </w:r>
      <w:hyperlink r:id="rId18243">
        <w:r>
          <w:rPr>
            <w:color w:val="0000EE"/>
            <w:u w:val="single"/>
          </w:rPr>
          <w:t>97.1–9</w:t>
        </w:r>
      </w:hyperlink>
      <w:r>
        <w:t xml:space="preserve">; </w:t>
      </w:r>
      <w:hyperlink r:id="rId18244">
        <w:r>
          <w:rPr>
            <w:color w:val="0000EE"/>
            <w:u w:val="single"/>
          </w:rPr>
          <w:t>99.1–4</w:t>
        </w:r>
      </w:hyperlink>
      <w:r>
        <w:t xml:space="preserve">; </w:t>
      </w:r>
      <w:hyperlink r:id="rId18245">
        <w:r>
          <w:rPr>
            <w:color w:val="0000EE"/>
            <w:u w:val="single"/>
          </w:rPr>
          <w:t>145.11–13</w:t>
        </w:r>
      </w:hyperlink>
      <w:r>
        <w:t xml:space="preserve">; </w:t>
      </w:r>
      <w:hyperlink r:id="rId10801">
        <w:r>
          <w:rPr>
            <w:color w:val="0000EE"/>
            <w:u w:val="single"/>
          </w:rPr>
          <w:t>Is 6.5</w:t>
        </w:r>
      </w:hyperlink>
      <w:r>
        <w:t xml:space="preserve">; </w:t>
      </w:r>
      <w:hyperlink r:id="rId18246">
        <w:r>
          <w:rPr>
            <w:color w:val="0000EE"/>
            <w:u w:val="single"/>
          </w:rPr>
          <w:t>Jr 46.18</w:t>
        </w:r>
      </w:hyperlink>
      <w:r>
        <w:t>). Embora Deus não seja o Rei terreno de Israel, outras referências falam de um dia em que Deus se tornará Rei e governará seu povo (</w:t>
      </w:r>
      <w:hyperlink r:id="rId3109">
        <w:r>
          <w:rPr>
            <w:color w:val="0000EE"/>
            <w:u w:val="single"/>
          </w:rPr>
          <w:t>Is 24.23</w:t>
        </w:r>
      </w:hyperlink>
      <w:r>
        <w:t xml:space="preserve">; </w:t>
      </w:r>
      <w:hyperlink r:id="rId18247">
        <w:r>
          <w:rPr>
            <w:color w:val="0000EE"/>
            <w:u w:val="single"/>
          </w:rPr>
          <w:t>33.22</w:t>
        </w:r>
      </w:hyperlink>
      <w:r>
        <w:t xml:space="preserve">; </w:t>
      </w:r>
      <w:hyperlink r:id="rId16566">
        <w:r>
          <w:rPr>
            <w:color w:val="0000EE"/>
            <w:u w:val="single"/>
          </w:rPr>
          <w:t>52:7</w:t>
        </w:r>
      </w:hyperlink>
      <w:r>
        <w:t xml:space="preserve">; </w:t>
      </w:r>
      <w:hyperlink r:id="rId18248">
        <w:r>
          <w:rPr>
            <w:color w:val="0000EE"/>
            <w:u w:val="single"/>
          </w:rPr>
          <w:t>Ob 1.21</w:t>
        </w:r>
      </w:hyperlink>
      <w:r>
        <w:t xml:space="preserve">; </w:t>
      </w:r>
      <w:hyperlink r:id="rId18249">
        <w:r>
          <w:rPr>
            <w:color w:val="0000EE"/>
            <w:u w:val="single"/>
          </w:rPr>
          <w:t>Sf 3.15</w:t>
        </w:r>
      </w:hyperlink>
      <w:r>
        <w:t xml:space="preserve">; </w:t>
      </w:r>
      <w:hyperlink r:id="rId18250">
        <w:r>
          <w:rPr>
            <w:color w:val="0000EE"/>
            <w:u w:val="single"/>
          </w:rPr>
          <w:t>Zc 14.9–11</w:t>
        </w:r>
      </w:hyperlink>
      <w:r>
        <w:t>).</w:t>
      </w:r>
    </w:p>
    <w:p>
      <w:r/>
      <w:r>
        <w:t>Este breve resumo da realeza de Deus fornece o esboço para todo o conceito do AT. Enquanto Deus é Rei sobre toda a terra, ele é de uma maneira especial, rei sobre seu povo, Israel. O governo de Deus é, portanto, algo percebido na história de Israel. No entanto, é apenas parcial e imperfeitamente realizado. Israel de novo e de novo se rebelou contra a soberania divina. Além disso, Israel era constantemente atormentado por guerras com seus vizinhos pagãos, nas quais nem sempre era vitorioso. Novamente, há males na natureza e no mundo físico que muitas vezes trazem sofrimento para o povo de Deus. Portanto, os profetas esperam um dia em que o governo de Deus será totalmente experimentado, não apenas por Israel, mas por todo o mundo. A principal ênfase dos profetas está na esperança, o estabelecimento do governo perfeito de Deus no mundo.</w:t>
      </w:r>
    </w:p>
    <w:p>
      <w:r/>
      <w:r>
        <w:t>Os profetas descrevem o estabelecimento final do reino de Deus em termos de uma teofania — uma visitação divina (</w:t>
      </w:r>
      <w:hyperlink r:id="rId18251">
        <w:r>
          <w:rPr>
            <w:color w:val="0000EE"/>
            <w:u w:val="single"/>
          </w:rPr>
          <w:t>Mq 1.3–4</w:t>
        </w:r>
      </w:hyperlink>
      <w:r>
        <w:t>). Zacarias prevê um “Dia do Senhor” quando todas as nações serão reunidas na batalha contra Jerusalém, quando o Senhor sair e lutar contra essas nações (</w:t>
      </w:r>
      <w:hyperlink r:id="rId18252">
        <w:r>
          <w:rPr>
            <w:color w:val="0000EE"/>
            <w:u w:val="single"/>
          </w:rPr>
          <w:t>Zc 14.3,5</w:t>
        </w:r>
      </w:hyperlink>
      <w:r>
        <w:t>). Israel será visitado pelo Senhor (</w:t>
      </w:r>
      <w:hyperlink r:id="rId18253">
        <w:r>
          <w:rPr>
            <w:color w:val="0000EE"/>
            <w:u w:val="single"/>
          </w:rPr>
          <w:t>Is 29.6</w:t>
        </w:r>
      </w:hyperlink>
      <w:r>
        <w:t>) e liberto de seus inimigos (</w:t>
      </w:r>
      <w:hyperlink r:id="rId18254">
        <w:r>
          <w:rPr>
            <w:color w:val="0000EE"/>
            <w:u w:val="single"/>
          </w:rPr>
          <w:t>35.4</w:t>
        </w:r>
      </w:hyperlink>
      <w:r>
        <w:t xml:space="preserve">; </w:t>
      </w:r>
      <w:hyperlink r:id="rId13002">
        <w:r>
          <w:rPr>
            <w:color w:val="0000EE"/>
            <w:u w:val="single"/>
          </w:rPr>
          <w:t>59.20</w:t>
        </w:r>
      </w:hyperlink>
      <w:r>
        <w:t>). A vinda de Deus também significará julgamento (</w:t>
      </w:r>
      <w:hyperlink r:id="rId18255">
        <w:r>
          <w:rPr>
            <w:color w:val="0000EE"/>
            <w:u w:val="single"/>
          </w:rPr>
          <w:t>2.21</w:t>
        </w:r>
      </w:hyperlink>
      <w:r>
        <w:t xml:space="preserve">; </w:t>
      </w:r>
      <w:hyperlink r:id="rId6378">
        <w:r>
          <w:rPr>
            <w:color w:val="0000EE"/>
            <w:u w:val="single"/>
          </w:rPr>
          <w:t>26.21</w:t>
        </w:r>
      </w:hyperlink>
      <w:r>
        <w:t>). Esta vinda final de Deus significará a salvação dos gentios, bem como de Israel (</w:t>
      </w:r>
      <w:hyperlink r:id="rId18256">
        <w:r>
          <w:rPr>
            <w:color w:val="0000EE"/>
            <w:u w:val="single"/>
          </w:rPr>
          <w:t>Zc 2.10–11</w:t>
        </w:r>
      </w:hyperlink>
      <w:r>
        <w:t xml:space="preserve">; cf. </w:t>
      </w:r>
      <w:hyperlink r:id="rId18257">
        <w:r>
          <w:rPr>
            <w:color w:val="0000EE"/>
            <w:u w:val="single"/>
          </w:rPr>
          <w:t>Is 66.18–24</w:t>
        </w:r>
      </w:hyperlink>
      <w:r>
        <w:t>).</w:t>
      </w:r>
    </w:p>
    <w:p>
      <w:r/>
      <w:r>
        <w:t>Por trás desta linguagem está uma teologia distinta do “Deus que vem”. É um fato amplamente reconhecido na teologia contemporânea do AT que o Deus do AT não é um deus da natureza, como os deuses de outros povos, mas um Deus da história — um Deus que visita seu povo para abençoá-los ou julgá-los. Deus visitou Israel no Egito para livrá-los da escravidão e para constituí-los como seu povo. O resgate do Egito não era meramente um ato de libertação; era um ato através do qual Deus se fez conhecido e através do qual Israel deveria conhecê-lo e servi-lo.</w:t>
      </w:r>
    </w:p>
    <w:p>
      <w:r/>
      <w:r>
        <w:t>Porque Deus visitou seu povo repetidas vezes em sua história, ele deve finalmente vir a eles no futuro para julgar a maldade e estabelecer seu reino. A esperança de Israel está assim enraizada na história, ou melhor, no Deus que trabalha na história. Deus finalmente entrará na história em uma teofania gloriosa para estabelecer seu governo em toda a terra. A fonte do reino não é a própria história, mas o próprio Deus.</w:t>
      </w:r>
    </w:p>
    <w:p>
      <w:r/>
      <w:r>
        <w:t>Enquanto os profetas visualizam o reino como vindo de Deus, o reino está sempre na terra. A incursão divina na ordem natural não se destina a realizar sua destruição, mas a abrir caminho para uma ordem nova e perfeita que surge da antiga e imperfeita. Os profetas não apresentam uma única imagem consistente da nova ordem. Às vezes, a nova ordem é muito descrita em termos deste mundo. "as parreiras produzirão uvas mais depressa do que se poderá fazer vinho" (</w:t>
      </w:r>
      <w:hyperlink r:id="rId18258">
        <w:r>
          <w:rPr>
            <w:color w:val="0000EE"/>
            <w:u w:val="single"/>
          </w:rPr>
          <w:t>Am 9.13</w:t>
        </w:r>
      </w:hyperlink>
      <w:r>
        <w:t>, NTLH). Por outro lado, Deus criará novos céus e uma nova terra (</w:t>
      </w:r>
      <w:hyperlink r:id="rId14246">
        <w:r>
          <w:rPr>
            <w:color w:val="0000EE"/>
            <w:u w:val="single"/>
          </w:rPr>
          <w:t>Is 65.17</w:t>
        </w:r>
      </w:hyperlink>
      <w:r>
        <w:t xml:space="preserve">; </w:t>
      </w:r>
      <w:hyperlink r:id="rId15282">
        <w:r>
          <w:rPr>
            <w:color w:val="0000EE"/>
            <w:u w:val="single"/>
          </w:rPr>
          <w:t>66.22</w:t>
        </w:r>
      </w:hyperlink>
      <w:r>
        <w:t>), onde haverá alegria imperturbável, prosperidade, paz e justiça. A visitação final de Deus significará a redenção do mundo, pois uma terra redimida é a cena do reino de Deus. Os profetas anseiam repetidas vezes pela libertação da criação "da servidão à decadência." A descrição é muitas vezes expressa em termos físicos simples. O deserto se tornará frutífero (</w:t>
      </w:r>
      <w:hyperlink r:id="rId8370">
        <w:r>
          <w:rPr>
            <w:color w:val="0000EE"/>
            <w:u w:val="single"/>
          </w:rPr>
          <w:t>32.15</w:t>
        </w:r>
      </w:hyperlink>
      <w:r>
        <w:t>); o deserto florescerá (</w:t>
      </w:r>
      <w:hyperlink r:id="rId12973">
        <w:r>
          <w:rPr>
            <w:color w:val="0000EE"/>
            <w:u w:val="single"/>
          </w:rPr>
          <w:t>35.2</w:t>
        </w:r>
      </w:hyperlink>
      <w:r>
        <w:t xml:space="preserve">); a tristeza e o suspiro fugirão (v. </w:t>
      </w:r>
      <w:hyperlink r:id="rId18144">
        <w:r>
          <w:rPr>
            <w:color w:val="0000EE"/>
            <w:u w:val="single"/>
          </w:rPr>
          <w:t>10</w:t>
        </w:r>
      </w:hyperlink>
      <w:r>
        <w:t xml:space="preserve">). As areias ardentes serão resfriadas e os lugares secos se tornarão fontes de água (v. </w:t>
      </w:r>
      <w:hyperlink r:id="rId1741">
        <w:r>
          <w:rPr>
            <w:color w:val="0000EE"/>
            <w:u w:val="single"/>
          </w:rPr>
          <w:t>7</w:t>
        </w:r>
      </w:hyperlink>
      <w:r>
        <w:t>); a paz retornará para o mundo animal para que toda ferida e destruição sejam eliminadas (</w:t>
      </w:r>
      <w:hyperlink r:id="rId1545">
        <w:r>
          <w:rPr>
            <w:color w:val="0000EE"/>
            <w:u w:val="single"/>
          </w:rPr>
          <w:t>11.6</w:t>
        </w:r>
      </w:hyperlink>
      <w:r>
        <w:t xml:space="preserve">). Tudo isso acontece porque a terra se torna cheia do conhecimento de Deus (v. </w:t>
      </w:r>
      <w:hyperlink r:id="rId11156">
        <w:r>
          <w:rPr>
            <w:color w:val="0000EE"/>
            <w:u w:val="single"/>
          </w:rPr>
          <w:t>9</w:t>
        </w:r>
      </w:hyperlink>
      <w:r>
        <w:t>).</w:t>
      </w:r>
    </w:p>
    <w:p>
      <w:r/>
      <w:r>
        <w:t>Tal linguagem não é mera poesia, mas reflete uma profunda teologia da criação. Os seres humanos como criaturas foram feitos para habitar na terra, e a terra compartilha do destino humano. O ponto principal é que a criação como tal é boa e não um obstáculo à verdadeira espiritualidade, como muitas vezes era considerado como sendo a verdade no pensamento grego. A redenção sempre inclui a redenção da terra, que então se torna o ambiente abençoado que Deus pretendia que fosse. "A salvação não significa ser liberado da condição de criatura, pois esta não é uma coisa má, mas sim um elemento essencial e permanente da verdadeira existência humana. A salvação não significa escapar da existência corporal, como no pensamento grego. Pelo contrário, a redenção final significará a redenção da pessoa por completo. O surgimento da doutrina da ressurreição corporal é um reflexo desta teologia da condição da criatura. O resultado disso é que a criação em sua totalidade deve compartilhar a bênção da redenção.</w:t>
      </w:r>
    </w:p>
    <w:p>
      <w:r/>
      <w:r>
        <w:t>Um elemento distintivo na escatologia profética é a tensão entre história e escatologia. Ou seja, enquanto os profetas olhavam para o futuro, eles viram um julgamento histórico imediato, bem como uma visitação escatológica mais remota. Para Amós, o Dia do Senhor é tanto o julgamento imediato de Israel pelos Assírios quanto uma salvação escatológica final. Joel vê uma visitação histórica iminente de seca e gafanhotos, mas, além disso, ele vê o Dia escatológico do Senhor. Sofonias vê um Dia iminente do Senhor em alguma visitação histórica não designada (</w:t>
      </w:r>
      <w:hyperlink r:id="rId18259">
        <w:r>
          <w:rPr>
            <w:color w:val="0000EE"/>
            <w:u w:val="single"/>
          </w:rPr>
          <w:t>Sf 1.2–18</w:t>
        </w:r>
      </w:hyperlink>
      <w:r>
        <w:t>), mas, além disso, ele vê a salvação dos gentios (</w:t>
      </w:r>
      <w:hyperlink r:id="rId14994">
        <w:r>
          <w:rPr>
            <w:color w:val="0000EE"/>
            <w:u w:val="single"/>
          </w:rPr>
          <w:t>3.9</w:t>
        </w:r>
      </w:hyperlink>
      <w:r>
        <w:t>). O mesmo Deus que age na história para abençoar e julgar seu povo agirá no final da história em um ato escatológico de julgamento e salvação. Os profetas não distinguem nitidamente entre esses dois dias, pois é um e o mesmo Deus que está preocupado em julgar e salvar seu povo.</w:t>
      </w:r>
    </w:p>
    <w:p>
      <w:r/>
      <w:r>
        <w:t>A esperança escatológica dos profetas é sempre uma esperança ética. Isso quer dizer, os profetas não estão interessados no futuro por si só, mas pelo impacto do futuro no presente. As previsões proféticas foram dadas de que, à luz do julgamento futuro e salvação, Israel poderia ser confrontado no presente pela vontade de Deus. “preparem-se para se encontrar com o seu Deus, povo de Israel” (</w:t>
      </w:r>
      <w:hyperlink r:id="rId18260">
        <w:r>
          <w:rPr>
            <w:color w:val="0000EE"/>
            <w:u w:val="single"/>
          </w:rPr>
          <w:t>Am 4.12</w:t>
        </w:r>
      </w:hyperlink>
      <w:r>
        <w:t>, NTLH) pode muito bem ser tomada como a tônica de todos os profetas.</w:t>
      </w:r>
    </w:p>
    <w:p>
      <w:pPr>
        <w:pStyle w:val="Heading3"/>
      </w:pPr>
      <w:r>
        <w:t>No Novo Testamento</w:t>
      </w:r>
    </w:p>
    <w:p>
      <w:pPr>
        <w:pStyle w:val="Heading4"/>
      </w:pPr>
      <w:r>
        <w:t>Os Evangelhos Sinópticos</w:t>
      </w:r>
    </w:p>
    <w:p>
      <w:r/>
      <w:r>
        <w:t>Os ensinamentos de Jesus sobre o reino de Deus incorporavam o mesmo contraste entre a ordem presente e a era futura que a dos profetas, e ele o expressou no idioma “esta era e a era por vir”. Este fato está ofuscado na versão original, que traduz a palavra para “era” por “mundo”. Esses são, no entanto, dois conceitos diferentes. Um homem rico perguntou a Jesus o que ele deveria fazer para herdar a vida eterna (</w:t>
      </w:r>
      <w:hyperlink r:id="rId18261">
        <w:r>
          <w:rPr>
            <w:color w:val="0000EE"/>
            <w:u w:val="single"/>
          </w:rPr>
          <w:t>Mc 10.17</w:t>
        </w:r>
      </w:hyperlink>
      <w:r>
        <w:t>). O contexto deixa claro que ele estava perguntando sobre a vida escatológica — a vida da ressurreição (</w:t>
      </w:r>
      <w:hyperlink r:id="rId913">
        <w:r>
          <w:rPr>
            <w:color w:val="0000EE"/>
            <w:u w:val="single"/>
          </w:rPr>
          <w:t>Dn 12.2</w:t>
        </w:r>
      </w:hyperlink>
      <w:r>
        <w:t xml:space="preserve">). Jesus fala da dificuldade de entrar no reino de Deus. (A passagem paralela em </w:t>
      </w:r>
      <w:hyperlink r:id="rId18262">
        <w:r>
          <w:rPr>
            <w:color w:val="0000EE"/>
            <w:u w:val="single"/>
          </w:rPr>
          <w:t>Mateus 19.23–24</w:t>
        </w:r>
      </w:hyperlink>
      <w:r>
        <w:t xml:space="preserve"> tem tanto “reino de Deus” quanto “reino do céu”, provando que eles são termos intercambiáveis). Em sua reação, os discípulos perguntam: “Então, quem pode ser salvo?” A resposta de Jesus contrasta a sorte de seus discípulos “neste tempo” com a “era por vir” (</w:t>
      </w:r>
      <w:hyperlink r:id="rId16946">
        <w:r>
          <w:rPr>
            <w:color w:val="0000EE"/>
            <w:u w:val="single"/>
          </w:rPr>
          <w:t>Mc 10.29–30</w:t>
        </w:r>
      </w:hyperlink>
      <w:r>
        <w:t>), quando eles herdariam a vida eterna. Fica claro a partir desta passagem que, em algum sentido, o reino de Deus, o reino do céu, salvação e vida eterna pertencem à era por vir. No que diz respeito a este ditado, o povo de Deus não experimentará a vida eterna até que o faça na nova era.</w:t>
      </w:r>
    </w:p>
    <w:p>
      <w:r/>
      <w:r>
        <w:t>Somente Mateus registra a expressão “o fim dos tempos”. Esta era será encerrada pela vinda do Filho do Homem (</w:t>
      </w:r>
      <w:hyperlink r:id="rId18263">
        <w:r>
          <w:rPr>
            <w:color w:val="0000EE"/>
            <w:u w:val="single"/>
          </w:rPr>
          <w:t>Mt 24.3</w:t>
        </w:r>
      </w:hyperlink>
      <w:r>
        <w:t>) e pelo julgamento da humanidade (</w:t>
      </w:r>
      <w:hyperlink r:id="rId18264">
        <w:r>
          <w:rPr>
            <w:color w:val="0000EE"/>
            <w:u w:val="single"/>
          </w:rPr>
          <w:t>13.39–42</w:t>
        </w:r>
      </w:hyperlink>
      <w:r>
        <w:t xml:space="preserve">). Então os justos serão separados dos ímpios (v. </w:t>
      </w:r>
      <w:hyperlink r:id="rId18265">
        <w:r>
          <w:rPr>
            <w:color w:val="0000EE"/>
            <w:u w:val="single"/>
          </w:rPr>
          <w:t>49</w:t>
        </w:r>
      </w:hyperlink>
      <w:r>
        <w:t>). A mesma expressão ocorre na promessa de Jesus ressuscitado assegurando aos seus discípulos a sua presença até a consumação dos tempos (</w:t>
      </w:r>
      <w:hyperlink r:id="rId2676">
        <w:r>
          <w:rPr>
            <w:color w:val="0000EE"/>
            <w:u w:val="single"/>
          </w:rPr>
          <w:t>28.20</w:t>
        </w:r>
      </w:hyperlink>
      <w:r>
        <w:t>). Segue-se que se esta era deve chegar à sua consumação, deve ser seguida por outra era — a era por vir.</w:t>
      </w:r>
    </w:p>
    <w:p>
      <w:r/>
      <w:r>
        <w:t>O reino escatológico será inaugurado por um evento apocalíptico — a vinda gloriosa do Filho do Homem. Isso é deixado claro por duas das parábolas sobre o reino de Deus. Na parábola do joio, “o Filho do Homem enviará seus anjos, e eles colherão do seu reino todas as causas do pecado e todos os malfeitores, e as lançarão na fornalha de fogo” (</w:t>
      </w:r>
      <w:hyperlink r:id="rId18266">
        <w:r>
          <w:rPr>
            <w:color w:val="0000EE"/>
            <w:u w:val="single"/>
          </w:rPr>
          <w:t>Mt 13.41–42</w:t>
        </w:r>
      </w:hyperlink>
      <w:r>
        <w:t>, NTLH). A parábola das ovelhas e cabras reflete a mesma escatologia. Quando o Filho do Homem vier em sua glória, ele se sentará em seu trono glorioso para julgar as nações, separando as ovelhas dos bodes. Os justos — as ovelhas — devem “herdar o reino preparado para vocês desde a fundação do mundo”; e a entrada no reino é sinônimo de entrada para a vida (</w:t>
      </w:r>
      <w:hyperlink r:id="rId1172">
        <w:r>
          <w:rPr>
            <w:color w:val="0000EE"/>
            <w:u w:val="single"/>
          </w:rPr>
          <w:t>25.31–46</w:t>
        </w:r>
      </w:hyperlink>
      <w:r>
        <w:t>, NTLH).</w:t>
      </w:r>
    </w:p>
    <w:p>
      <w:r/>
      <w:r>
        <w:t xml:space="preserve">O caráter escatológico do reino de Deus também é visto nas outras duas parábolas de </w:t>
      </w:r>
      <w:hyperlink r:id="rId18267">
        <w:r>
          <w:rPr>
            <w:color w:val="0000EE"/>
            <w:u w:val="single"/>
          </w:rPr>
          <w:t>Mateus 25</w:t>
        </w:r>
      </w:hyperlink>
      <w:r>
        <w:t xml:space="preserve">. “O reino do céu será comparado com dez moças que tomaram suas lâmpadas e foram ao encontro do noivo” (v. </w:t>
      </w:r>
      <w:hyperlink r:id="rId14722">
        <w:r>
          <w:rPr>
            <w:color w:val="0000EE"/>
            <w:u w:val="single"/>
          </w:rPr>
          <w:t>1</w:t>
        </w:r>
      </w:hyperlink>
      <w:r>
        <w:t xml:space="preserve">, NTLH). No entanto, cinco delas eram tolas e não forneceram um suprimento adequado de óleo para suas lâmpadas. Assim, elas estavam atrasadas para o casamento e foram excluídas da festa de casamento — um símbolo do reino escatológico — enquanto aquelas devidamente preparadas entraram no reino. Da mesma maneira, os dois servos fiéis que haviam sido “fiéis no pouco” receberam a permissão de “entrar na alegria de seu mestre” (vv. </w:t>
      </w:r>
      <w:hyperlink r:id="rId18268">
        <w:r>
          <w:rPr>
            <w:color w:val="0000EE"/>
            <w:u w:val="single"/>
          </w:rPr>
          <w:t>21,23</w:t>
        </w:r>
      </w:hyperlink>
      <w:r>
        <w:t>), enquanto o servo infiel foi excluído do reino e lançado na escuridão.</w:t>
      </w:r>
    </w:p>
    <w:p>
      <w:r/>
      <w:r>
        <w:t>Jesus quase nunca mostrou qualquer interesse nas descrições do reino escatológico, mas está claro que sua vinda estava constantemente em seus pensamentos. Os puros de coração verão a Deus (</w:t>
      </w:r>
      <w:hyperlink r:id="rId5714">
        <w:r>
          <w:rPr>
            <w:color w:val="0000EE"/>
            <w:u w:val="single"/>
          </w:rPr>
          <w:t>Mt 5.8</w:t>
        </w:r>
      </w:hyperlink>
      <w:r>
        <w:t>). A colheita ocorrerá e o trigo será reunido no celeiro (</w:t>
      </w:r>
      <w:hyperlink r:id="rId18269">
        <w:r>
          <w:rPr>
            <w:color w:val="0000EE"/>
            <w:u w:val="single"/>
          </w:rPr>
          <w:t>13.30,39</w:t>
        </w:r>
      </w:hyperlink>
      <w:r>
        <w:t xml:space="preserve">; </w:t>
      </w:r>
      <w:hyperlink r:id="rId18270">
        <w:r>
          <w:rPr>
            <w:color w:val="0000EE"/>
            <w:u w:val="single"/>
          </w:rPr>
          <w:t>Mc 4.29</w:t>
        </w:r>
      </w:hyperlink>
      <w:r>
        <w:t>). Jesus frequentemente usava a metáfora de um banquete ou comunhão à mesa para descrever a vida no reino escatológico. Ele beberá vinho novamente com seus discípulos no reino de Deus. Eles comerão e beberão à mesa de Jesus no reino (</w:t>
      </w:r>
      <w:hyperlink r:id="rId17617">
        <w:r>
          <w:rPr>
            <w:color w:val="0000EE"/>
            <w:u w:val="single"/>
          </w:rPr>
          <w:t>Lc 22.30</w:t>
        </w:r>
      </w:hyperlink>
      <w:r>
        <w:t>). As pessoas serão reunidas de todos os cantos da terra para se sentar a uma mesa com os santos do AT (</w:t>
      </w:r>
      <w:hyperlink r:id="rId18271">
        <w:r>
          <w:rPr>
            <w:color w:val="0000EE"/>
            <w:u w:val="single"/>
          </w:rPr>
          <w:t>Mt 8.11–12</w:t>
        </w:r>
      </w:hyperlink>
      <w:r>
        <w:t xml:space="preserve">; </w:t>
      </w:r>
      <w:hyperlink r:id="rId3111">
        <w:r>
          <w:rPr>
            <w:color w:val="0000EE"/>
            <w:u w:val="single"/>
          </w:rPr>
          <w:t>Lc 13.29</w:t>
        </w:r>
      </w:hyperlink>
      <w:r>
        <w:t>). A consumação é comparada a uma festa de casamento (</w:t>
      </w:r>
      <w:hyperlink r:id="rId3102">
        <w:r>
          <w:rPr>
            <w:color w:val="0000EE"/>
            <w:u w:val="single"/>
          </w:rPr>
          <w:t>Mt 22.1–14</w:t>
        </w:r>
      </w:hyperlink>
      <w:r>
        <w:t>) e um banquete (</w:t>
      </w:r>
      <w:hyperlink r:id="rId8709">
        <w:r>
          <w:rPr>
            <w:color w:val="0000EE"/>
            <w:u w:val="single"/>
          </w:rPr>
          <w:t>Lc 14.16–24</w:t>
        </w:r>
      </w:hyperlink>
      <w:r>
        <w:t>). Todas essas metáforas retratam a restauração da comunhão entre Deus e as pessoas, uma união que havia sido quebrada pelo pecado.</w:t>
      </w:r>
    </w:p>
    <w:p>
      <w:r/>
      <w:r>
        <w:t>Na maioria dos ditos citados para ilustrar o caráter futuro do reino, “reino” se refere à ordem escatológica — o escaton, a era por vir. No entanto, quando Jesus ensinou seus discípulos a orar “Venha o teu reino” (</w:t>
      </w:r>
      <w:hyperlink r:id="rId18232">
        <w:r>
          <w:rPr>
            <w:color w:val="0000EE"/>
            <w:u w:val="single"/>
          </w:rPr>
          <w:t>Mt 6.10</w:t>
        </w:r>
      </w:hyperlink>
      <w:r>
        <w:t>), não estava se referindo à nova ordem escatológica; Ele estava se referindo ao reino como o governo real de Deus, seu reinado. É uma oração para que Deus estabeleça efetivamente seu governo soberano no mundo.</w:t>
      </w:r>
    </w:p>
    <w:p>
      <w:r/>
      <w:r>
        <w:t>Em seu ensino sobre o reino de Deus como a consumação apocalíptica, Jesus não difere essencialmente dos profetas do AT. O elemento mais distintivo no ensino de Jesus — na verdade, o fato que caracteriza toda sua missão e mensagem — é o fato de que, em algum sentido real da palavra, o reino de Deus entrou na história de uma maneira totalmente inesperada. Isto diferencia o ensinamento de Jesus de todos os ensinos judaicos contemporâneos.</w:t>
      </w:r>
    </w:p>
    <w:p>
      <w:r/>
      <w:r>
        <w:t>Isso é visto em primeiro lugar em seu ensino repetido de que sua missão é um cumprimento dos profetas messiânicos do AT. Marcos resume a mensagem de Jesus com as palavras “O Reino de Deus está próximo! Arrependam-se de seus pecados e creiam nas Boas Novas!” (</w:t>
      </w:r>
      <w:hyperlink r:id="rId2608">
        <w:r>
          <w:rPr>
            <w:color w:val="0000EE"/>
            <w:u w:val="single"/>
          </w:rPr>
          <w:t>Mc 1.15</w:t>
        </w:r>
      </w:hyperlink>
      <w:r>
        <w:t>). Esta declaração pode ter um de dois significados. Pode se referir à vinda iminente do reino apocalíptico. Mateus resume a mensagem de João Batista quase com as mesmas palavras: “Arrependam-se dos seus pecados e voltem-se para Deus, porque o Reino dos Céus está próximo” (</w:t>
      </w:r>
      <w:hyperlink r:id="rId2606">
        <w:r>
          <w:rPr>
            <w:color w:val="0000EE"/>
            <w:u w:val="single"/>
          </w:rPr>
          <w:t>Mt 3.2</w:t>
        </w:r>
      </w:hyperlink>
      <w:r>
        <w:t xml:space="preserve">, NTLH). O Batista expõe o que ele quer dizer com a aproximação do reino de Deus: “Ele está pronto para separar o joio do trigo com sua forquilha de debulha. Então ele limpará a área da debulha, armazenando o trigo em seu celeiro, mas queimando o joio com a chama que não se apaga” (v. </w:t>
      </w:r>
      <w:hyperlink r:id="rId3192">
        <w:r>
          <w:rPr>
            <w:color w:val="0000EE"/>
            <w:u w:val="single"/>
          </w:rPr>
          <w:t>12</w:t>
        </w:r>
      </w:hyperlink>
      <w:r>
        <w:t>, NTLH). João proclamou um ato apocalíptico; “fogo inextinguível” pode significar não um evento estritamente histórico, mas apenas um julgamento apocalíptico. João esperava que Jesus fosse aquele em quem o evento cósmico esperado pelos profetas seria realizado.</w:t>
      </w:r>
    </w:p>
    <w:p>
      <w:r/>
      <w:r>
        <w:t>É possível que este também fosse o significado dado por Jesus. No entanto, é possível outra interpretação que é melhor apoiada pelo próprio curso da sua missão: “O tempo está cumprido." As promessas messiânicas dos profetas não estavam apenas prestes a serem cumpridas; elas estavam realmente em processo de se cumprirem em sua missão. Em Jesus, Deus estava visitando seu povo. A esperança dos profetas em algum sentido real estava sendo realizada.</w:t>
      </w:r>
    </w:p>
    <w:p>
      <w:r/>
      <w:r>
        <w:t>O significado disso pode ser visto na introdução do ministério de Jesus por Lucas. Lucas seleciona um evento que ocorreu em Nazaré mais tarde no ministério de Jesus (</w:t>
      </w:r>
      <w:hyperlink r:id="rId3253">
        <w:r>
          <w:rPr>
            <w:color w:val="0000EE"/>
            <w:u w:val="single"/>
          </w:rPr>
          <w:t>Lc 4.16–21</w:t>
        </w:r>
      </w:hyperlink>
      <w:r>
        <w:t>) e o coloca no início de seu Evangelho para destacar essa nota de cumprimento. Jesus leu de Isaías uma promessa que esperava pela salvação messiânica: “O Espírito do Senhor está sobre mim, pois ele me nomeou para pregar Boas Novas aos pobres. Ele me enviou para proclamar que os cativos serão libertos que os cegos verão, que os oprimidos serão libertos de seus opressores e que o tempo do favor do Senhor chegou” (vv. 18–1</w:t>
      </w:r>
      <w:hyperlink r:id="rId8682">
        <w:r>
          <w:rPr>
            <w:color w:val="0000EE"/>
            <w:u w:val="single"/>
          </w:rPr>
          <w:t xml:space="preserve">9). </w:t>
        </w:r>
      </w:hyperlink>
      <w:r>
        <w:t xml:space="preserve">Então Jesus surpreendeu seu público com a frase “Hoje se cumpriu o trecho das Escrituras Sagradas que vocês acabam de ouvir!” (v. </w:t>
      </w:r>
      <w:hyperlink r:id="rId8683">
        <w:r>
          <w:rPr>
            <w:color w:val="0000EE"/>
            <w:u w:val="single"/>
          </w:rPr>
          <w:t>21</w:t>
        </w:r>
      </w:hyperlink>
      <w:r>
        <w:t>, NTLH).</w:t>
      </w:r>
    </w:p>
    <w:p>
      <w:r/>
      <w:r>
        <w:t>Aqui estava uma alegação incrível. João Batista havia anunciado uma visitação apocalíptica de Deus que significaria o cumprimento da esperança escatológica e a consumação da era messiânica. Jesus proclamou que a promessa messiânica estava sendo realmente realizada em sua pessoa. Este não é um reino apocalíptico, mas uma salvação presente. Nessas palavras, Jesus não proclamou a iminência do reino apocalíptico. Em vez disso, ele anunciou ousadamente que o reino de Deus havia chegado. A presença do reino era um acontecimento, um evento, a ação graciosa de Deus. Esta não era uma nova teologia, ou nova ideia, ou nova promessa; era um evento novo na história.</w:t>
      </w:r>
    </w:p>
    <w:p>
      <w:r/>
      <w:r>
        <w:t>A indicação de cumprimento é novamente tocada na resposta de Jesus à pergunta sobre o jejum. “Os convidados do casamento jejuam enquanto celebram com o noivo? Claro que não. Eles não podem jejuar enquanto estão com o noivo” (</w:t>
      </w:r>
      <w:hyperlink r:id="rId18272">
        <w:r>
          <w:rPr>
            <w:color w:val="0000EE"/>
            <w:u w:val="single"/>
          </w:rPr>
          <w:t>Mc 2.19</w:t>
        </w:r>
      </w:hyperlink>
      <w:r>
        <w:t>, NTLH). A festa de casamento havia se tornado uma metáfora no judaísmo para a consumação messiânica. Nessas palavras, Jesus anunciou a presença do tempo messiânico da salvação. Seria uma contradição em termos que os discípulos jejuassem quando estavam desfrutando das bênçãos da era messiânica. O tempo do cumprimento havia chegado.</w:t>
      </w:r>
    </w:p>
    <w:p>
      <w:r/>
      <w:r>
        <w:t>Uma declaração encontrada em diferentes contextos em Mateus e Lucas toca esta nota central do cumprimento na história da esperança do AT: “Bem-aventurados os olhos que veem o que vês! Pois eu digo a vocês que muitos profetas e reis desejaram ver o que vocês veem, e não viram, e ouvir o que vocês ouvem e não ouviram” (</w:t>
      </w:r>
      <w:hyperlink r:id="rId18273">
        <w:r>
          <w:rPr>
            <w:color w:val="0000EE"/>
            <w:u w:val="single"/>
          </w:rPr>
          <w:t>Lc 10:23–24</w:t>
        </w:r>
      </w:hyperlink>
      <w:r>
        <w:t xml:space="preserve">, ARC; cf. </w:t>
      </w:r>
      <w:hyperlink r:id="rId8391">
        <w:r>
          <w:rPr>
            <w:color w:val="0000EE"/>
            <w:u w:val="single"/>
          </w:rPr>
          <w:t>Mt 13.16–17</w:t>
        </w:r>
      </w:hyperlink>
      <w:r>
        <w:t>). Tanto Mateus quanto Lucas associam esta declaração com o reino de Deus, e ambos concordam que a esperança das gerações anteriores se tornou um objeto de experiência. Muitos profetas e reis aguardaram por algo, mas em vão, pois isso não se concretizou para eles. O que eles ansiavam agora chegou, e isso pode ser nada menos do que a salvação messiânica prometida.</w:t>
      </w:r>
    </w:p>
    <w:p>
      <w:r/>
      <w:r>
        <w:t>O cumprimento na história é novamente afirmado na resposta de Jesus à pergunta de João sobre aquele que está por vir (</w:t>
      </w:r>
      <w:hyperlink r:id="rId13810">
        <w:r>
          <w:rPr>
            <w:color w:val="0000EE"/>
            <w:u w:val="single"/>
          </w:rPr>
          <w:t>Mt 11.2–3</w:t>
        </w:r>
      </w:hyperlink>
      <w:r>
        <w:t xml:space="preserve">). “As obras de Cristo” (Messias) não foram as obras que João havia anunciado. Governantes ímpios como Herodes não estavam sendo julgados em fogo. Em vez disso, Jesus estava ajudando as pessoas, não trazendo um reino apocalíptico. Jesus respondeu em palavras que ecoam a promessa da salvação messiânica em </w:t>
      </w:r>
      <w:hyperlink r:id="rId11923">
        <w:r>
          <w:rPr>
            <w:color w:val="0000EE"/>
            <w:u w:val="single"/>
          </w:rPr>
          <w:t>Isaías 35.5–6</w:t>
        </w:r>
      </w:hyperlink>
      <w:r>
        <w:t>: “Ide e anunciai a João o que estais ouvindo e vendo: Os cegos veem, os coxos andam, os leprosos são purificados, os surdos ouvem, os mortos são ressuscitados, e aos pobres está sendo pregado o evangelho.” (</w:t>
      </w:r>
      <w:hyperlink r:id="rId18274">
        <w:r>
          <w:rPr>
            <w:color w:val="0000EE"/>
            <w:u w:val="single"/>
          </w:rPr>
          <w:t>Mt 11.4–5</w:t>
        </w:r>
      </w:hyperlink>
      <w:r>
        <w:t xml:space="preserve">, ARA). Nessas palavras, Jesus afirmou que as bênçãos da salvação messiânica estão presentes. Havia de fato uma razão para a perplexidade de João, pois o cumprimento não estava ocorrendo ao longo das diretrizes esperadas. A consumação apocalíptica não parecia estar no horizonte. O ponto da resposta de Jesus era que o cumprimento estava ocorrendo sem a consumação escatológica. Portanto, Jesus pronunciou uma bênção especial sobre aqueles que não foram ofendidos pelo caráter da realização messiânica (v. </w:t>
      </w:r>
      <w:hyperlink r:id="rId8716">
        <w:r>
          <w:rPr>
            <w:color w:val="0000EE"/>
            <w:u w:val="single"/>
          </w:rPr>
          <w:t>6</w:t>
        </w:r>
      </w:hyperlink>
      <w:r>
        <w:t>). O cumprimento de fato estava ocorrendo, mas não a consumação apocalíptica.</w:t>
      </w:r>
    </w:p>
    <w:p>
      <w:r/>
      <w:r>
        <w:t>A declaração mais inequívoca da presença do reino é encontrada nas palavras sobre a prisão de Satanás. Um dos atos mais característicos de Jesus era o exorcismo de demônios — libertação do poder satânico. Os fariseus admitiram seu poder, mas o atribuíram a Satanás. Jesus respondeu: “Se Satanás expulsar Satanás, ele está dividido contra si mesmo; como, então, seu reino subsistirá? . . . Mas se é pelo Espírito de Deus que eu expulso demônios, então o reino de Deus veio sobre vocês” (</w:t>
      </w:r>
      <w:hyperlink r:id="rId18275">
        <w:r>
          <w:rPr>
            <w:color w:val="0000EE"/>
            <w:u w:val="single"/>
          </w:rPr>
          <w:t>Mt 12.26,28</w:t>
        </w:r>
      </w:hyperlink>
      <w:r>
        <w:t xml:space="preserve">, NTLH). Aqui o verbo tem o significado claro “vir, chegar” (cf. </w:t>
      </w:r>
      <w:hyperlink r:id="rId18276">
        <w:r>
          <w:rPr>
            <w:color w:val="0000EE"/>
            <w:u w:val="single"/>
          </w:rPr>
          <w:t>Rm 9.30</w:t>
        </w:r>
      </w:hyperlink>
      <w:r>
        <w:t xml:space="preserve">; </w:t>
      </w:r>
      <w:hyperlink r:id="rId18277">
        <w:r>
          <w:rPr>
            <w:color w:val="0000EE"/>
            <w:u w:val="single"/>
          </w:rPr>
          <w:t>2Co 10.14</w:t>
        </w:r>
      </w:hyperlink>
      <w:r>
        <w:t xml:space="preserve">; </w:t>
      </w:r>
      <w:hyperlink r:id="rId18278">
        <w:r>
          <w:rPr>
            <w:color w:val="0000EE"/>
            <w:u w:val="single"/>
          </w:rPr>
          <w:t>Fp 3.16</w:t>
        </w:r>
      </w:hyperlink>
      <w:r>
        <w:t>). Aqui está uma afirmação clara de que o reino de Deus veio entre homens.</w:t>
      </w:r>
    </w:p>
    <w:p>
      <w:r/>
      <w:r>
        <w:t>Na explicação, Jesus disse: “Ou como alguém pode entrar na casa de um homem forte e saquear seus bens, a menos que ele primeiro amarre o homem forte? Então, de fato, ele pode saquear sua casa” (</w:t>
      </w:r>
      <w:hyperlink r:id="rId17345">
        <w:r>
          <w:rPr>
            <w:color w:val="0000EE"/>
            <w:u w:val="single"/>
          </w:rPr>
          <w:t>Mt 12.29</w:t>
        </w:r>
      </w:hyperlink>
      <w:r>
        <w:t>, NTLH). O homem forte é Satanás; esta “era maligna presente” (</w:t>
      </w:r>
      <w:hyperlink r:id="rId8109">
        <w:r>
          <w:rPr>
            <w:color w:val="0000EE"/>
            <w:u w:val="single"/>
          </w:rPr>
          <w:t>Gl 1.4</w:t>
        </w:r>
      </w:hyperlink>
      <w:r>
        <w:t>) é sua “casa”; seus “bens” são homens e mulheres possuídos por demônios. Jesus invadiu a casa do homem forte para libertar homens e mulheres que ele tem sob seu poder, e este é o trabalho do reino de Deus. O reinado real de Deus entrou na história na pessoa de Jesus antes da consumação apocalíptica, quando Satanás será destruído, para dar a Satanás uma derrota preliminar. Jesus já “amarrou” Satanás (isto é, reprimiu seu poder). Isso foi realizado pela presença do reino de Deus na missão de Jesus.</w:t>
      </w:r>
    </w:p>
    <w:p>
      <w:r/>
      <w:r>
        <w:t xml:space="preserve">Uma declaração semelhante é encontrada em </w:t>
      </w:r>
      <w:hyperlink r:id="rId17611">
        <w:r>
          <w:rPr>
            <w:color w:val="0000EE"/>
            <w:u w:val="single"/>
          </w:rPr>
          <w:t>Lucas 10.18</w:t>
        </w:r>
      </w:hyperlink>
      <w:r>
        <w:t>. Jesus havia enviado um grupo de seus discípulos em uma missão de pregação. Como Jesus, eles deveriam proclamar a proximidade do reino de Deus (</w:t>
      </w:r>
      <w:hyperlink r:id="rId18279">
        <w:r>
          <w:rPr>
            <w:color w:val="0000EE"/>
            <w:u w:val="single"/>
          </w:rPr>
          <w:t>Lc 10.9</w:t>
        </w:r>
      </w:hyperlink>
      <w:r>
        <w:t xml:space="preserve">). Eles também deveriam exorcizar demônios. Quando eles voltaram para Jesus para relatar seu sucesso, Jesus disse: “Eu vi Satanás cair como um relâmpago do céu” (v. </w:t>
      </w:r>
      <w:hyperlink r:id="rId17611">
        <w:r>
          <w:rPr>
            <w:color w:val="0000EE"/>
            <w:u w:val="single"/>
          </w:rPr>
          <w:t>18</w:t>
        </w:r>
      </w:hyperlink>
      <w:r>
        <w:t>, NTLH). Esta novamente é a linguagem metafórica que afirma que na missão dos discípulos de Jesus, bem como no próprio Jesus, Satanás caiu de seu lugar de poder. Tanto “amarrar” quanto “cair” são metáforas que descrevem a mesma verdade: a vitória do reino de Deus sobre Satanás.</w:t>
      </w:r>
    </w:p>
    <w:p>
      <w:r/>
      <w:r>
        <w:t>Aqui está o elemento que diferencia Jesus do AT e de todo o judaísmo contemporâneo. Os profetas conceberam o reino sendo estabelecido por um ser sobrenatural celestial (</w:t>
      </w:r>
      <w:hyperlink r:id="rId3470">
        <w:r>
          <w:rPr>
            <w:color w:val="0000EE"/>
            <w:u w:val="single"/>
          </w:rPr>
          <w:t>Dn 7</w:t>
        </w:r>
      </w:hyperlink>
      <w:r>
        <w:t>) ou governado por um poderoso rei messiânico davídico (</w:t>
      </w:r>
      <w:hyperlink r:id="rId18280">
        <w:r>
          <w:rPr>
            <w:color w:val="0000EE"/>
            <w:u w:val="single"/>
          </w:rPr>
          <w:t>Is 9</w:t>
        </w:r>
      </w:hyperlink>
      <w:r>
        <w:t xml:space="preserve">, </w:t>
      </w:r>
      <w:hyperlink r:id="rId11264">
        <w:r>
          <w:rPr>
            <w:color w:val="0000EE"/>
            <w:u w:val="single"/>
          </w:rPr>
          <w:t>11</w:t>
        </w:r>
      </w:hyperlink>
      <w:r>
        <w:t>). O cumprimento da esperança messiânica está em todos os lugares nos profetas, uma esperança escatológica. O mesmo ocorre com os escritores judeus que perderam a fé na história e depositaram toda a esperança no futuro.</w:t>
      </w:r>
    </w:p>
    <w:p>
      <w:r/>
      <w:r>
        <w:t>Em contraste com tudo o que havia acontecido antes dele, Jesus proclamou o reino de Deus como um evento que ocorre em sua própria pessoa e missão. Deus havia assumido novamente a iniciativa; Deus estava agindo. Nenhum judeu do primeiro século tinha qualquer ideia do reino de Deus entrando na história na pessoa de um homem comum — um mestre que era manso e humilde.</w:t>
      </w:r>
    </w:p>
    <w:p>
      <w:r/>
      <w:r>
        <w:t>A presença do reino é vista mais no fato de que o governo de Deus, presente em Jesus, é um presente a ser recebido. Isso também é verdade para o reino em sua consumação escatológica, onde o reino é livremente herdado pelos justos (</w:t>
      </w:r>
      <w:hyperlink r:id="rId10546">
        <w:r>
          <w:rPr>
            <w:color w:val="0000EE"/>
            <w:u w:val="single"/>
          </w:rPr>
          <w:t>Mt 25.34</w:t>
        </w:r>
      </w:hyperlink>
      <w:r>
        <w:t>). Em resposta à pergunta do jovem sobre herdar a vida eterna (</w:t>
      </w:r>
      <w:hyperlink r:id="rId18261">
        <w:r>
          <w:rPr>
            <w:color w:val="0000EE"/>
            <w:u w:val="single"/>
          </w:rPr>
          <w:t>Mc 10.17</w:t>
        </w:r>
      </w:hyperlink>
      <w:r>
        <w:t xml:space="preserve">), Jesus falou de entrar no reino (vv. </w:t>
      </w:r>
      <w:hyperlink r:id="rId18281">
        <w:r>
          <w:rPr>
            <w:color w:val="0000EE"/>
            <w:u w:val="single"/>
          </w:rPr>
          <w:t>23–24</w:t>
        </w:r>
      </w:hyperlink>
      <w:r>
        <w:t xml:space="preserve">) e receber o presente da vida eterna (v. </w:t>
      </w:r>
      <w:hyperlink r:id="rId8110">
        <w:r>
          <w:rPr>
            <w:color w:val="0000EE"/>
            <w:u w:val="single"/>
          </w:rPr>
          <w:t>30</w:t>
        </w:r>
      </w:hyperlink>
      <w:r>
        <w:t>) como se eles fossem sinônimos. O reino é um presente que o Pai tem prazer em conceder ao pequeno rebanho dos discípulos de Jesus (</w:t>
      </w:r>
      <w:hyperlink r:id="rId8696">
        <w:r>
          <w:rPr>
            <w:color w:val="0000EE"/>
            <w:u w:val="single"/>
          </w:rPr>
          <w:t>Lc 12.32</w:t>
        </w:r>
      </w:hyperlink>
      <w:r>
        <w:t>).</w:t>
      </w:r>
    </w:p>
    <w:p>
      <w:r/>
      <w:r>
        <w:t>Se o governo escatológico de Deus traz para o seu povo as bênçãos daquele reino, e se o reino de Deus é o seu governo invadindo a história antes da consumação escatológica, então podemos esperar que o governo de Deus no presente traga uma bênção preliminar para o seu povo. Este fato é refletido em numerosas declarações. O reino é algo a ser buscado aqui e agora (</w:t>
      </w:r>
      <w:hyperlink r:id="rId6722">
        <w:r>
          <w:rPr>
            <w:color w:val="0000EE"/>
            <w:u w:val="single"/>
          </w:rPr>
          <w:t>Mt 6.33</w:t>
        </w:r>
      </w:hyperlink>
      <w:r>
        <w:t>) e para ser recebido como crianças recebem um presente (</w:t>
      </w:r>
      <w:hyperlink r:id="rId8710">
        <w:r>
          <w:rPr>
            <w:color w:val="0000EE"/>
            <w:u w:val="single"/>
          </w:rPr>
          <w:t>Mc 10.15</w:t>
        </w:r>
      </w:hyperlink>
      <w:r>
        <w:t xml:space="preserve">; </w:t>
      </w:r>
      <w:hyperlink r:id="rId18282">
        <w:r>
          <w:rPr>
            <w:color w:val="0000EE"/>
            <w:u w:val="single"/>
          </w:rPr>
          <w:t>Lc 18.16–17</w:t>
        </w:r>
      </w:hyperlink>
      <w:r>
        <w:t>). Embora esteja presente de uma forma inesperada, o reino de Deus na pessoa de Jesus é como um tesouro escondido ou uma pérola de grande valor que supera todos os outros bens (</w:t>
      </w:r>
      <w:hyperlink r:id="rId8711">
        <w:r>
          <w:rPr>
            <w:color w:val="0000EE"/>
            <w:u w:val="single"/>
          </w:rPr>
          <w:t>Mt 13.44–46</w:t>
        </w:r>
      </w:hyperlink>
      <w:r>
        <w:t>). O presente do reino também é visto em que os surdos ouvem, os cegos veem, os leprosos são purificados e os pobres têm as boas novas pregadas para eles (</w:t>
      </w:r>
      <w:hyperlink r:id="rId4641">
        <w:r>
          <w:rPr>
            <w:color w:val="0000EE"/>
            <w:u w:val="single"/>
          </w:rPr>
          <w:t>11.5</w:t>
        </w:r>
      </w:hyperlink>
      <w:r>
        <w:t>).</w:t>
      </w:r>
    </w:p>
    <w:p>
      <w:pPr>
        <w:pStyle w:val="Heading4"/>
      </w:pPr>
      <w:r>
        <w:t>O Evangelho de João</w:t>
      </w:r>
    </w:p>
    <w:p>
      <w:r/>
      <w:r>
        <w:t>No Evangelho de João, o conceito de vida eterna toma o lugar do reino de Deus no ensino de Jesus. O reino de Deus é mencionado duas vezes (</w:t>
      </w:r>
      <w:hyperlink r:id="rId15302">
        <w:r>
          <w:rPr>
            <w:color w:val="0000EE"/>
            <w:u w:val="single"/>
          </w:rPr>
          <w:t>Jo 3.3,5</w:t>
        </w:r>
      </w:hyperlink>
      <w:r>
        <w:t>), e é colocado em conexão com a vida eterna. O reino de Deus é aqui, o reino escatológico, e a vida eterna é a vida do reino. Assim, como o reino de Deus nos Evangelhos sinópticos é futuro e presente, da mesma forma a vida eterna é tanto a vida da era por vir (</w:t>
      </w:r>
      <w:hyperlink r:id="rId14894">
        <w:r>
          <w:rPr>
            <w:color w:val="0000EE"/>
            <w:u w:val="single"/>
          </w:rPr>
          <w:t>12.25</w:t>
        </w:r>
      </w:hyperlink>
      <w:r>
        <w:t>) quanto também uma bênção presente (</w:t>
      </w:r>
      <w:hyperlink r:id="rId1191">
        <w:r>
          <w:rPr>
            <w:color w:val="0000EE"/>
            <w:u w:val="single"/>
          </w:rPr>
          <w:t>3.16</w:t>
        </w:r>
      </w:hyperlink>
      <w:r>
        <w:t>, etc).</w:t>
      </w:r>
    </w:p>
    <w:p>
      <w:pPr>
        <w:pStyle w:val="Heading4"/>
      </w:pPr>
      <w:r>
        <w:t>Atos</w:t>
      </w:r>
    </w:p>
    <w:p>
      <w:r/>
      <w:r>
        <w:t>Em Atos, parece que os primeiros discípulos geralmente falhavam em entender a mensagem de Jesus sobre o reino de Deus como uma bênção espiritual presente. Eles se reuniram para aguardar a vinda do reino escatológico para Israel (</w:t>
      </w:r>
      <w:hyperlink r:id="rId14283">
        <w:r>
          <w:rPr>
            <w:color w:val="0000EE"/>
            <w:u w:val="single"/>
          </w:rPr>
          <w:t>Atos 1.6</w:t>
        </w:r>
      </w:hyperlink>
      <w:r>
        <w:t>). Atos relata que os discípulos continuaram a pregar o reino de Deus, mas geralmente é uma bênção escatológica (</w:t>
      </w:r>
      <w:hyperlink r:id="rId7090">
        <w:r>
          <w:rPr>
            <w:color w:val="0000EE"/>
            <w:u w:val="single"/>
          </w:rPr>
          <w:t>8.12</w:t>
        </w:r>
      </w:hyperlink>
      <w:r>
        <w:t xml:space="preserve">; </w:t>
      </w:r>
      <w:hyperlink r:id="rId16781">
        <w:r>
          <w:rPr>
            <w:color w:val="0000EE"/>
            <w:u w:val="single"/>
          </w:rPr>
          <w:t>14.22</w:t>
        </w:r>
      </w:hyperlink>
      <w:r>
        <w:t xml:space="preserve">; </w:t>
      </w:r>
      <w:hyperlink r:id="rId15516">
        <w:r>
          <w:rPr>
            <w:color w:val="0000EE"/>
            <w:u w:val="single"/>
          </w:rPr>
          <w:t>19.8</w:t>
        </w:r>
      </w:hyperlink>
      <w:r>
        <w:t xml:space="preserve">; </w:t>
      </w:r>
      <w:hyperlink r:id="rId18283">
        <w:r>
          <w:rPr>
            <w:color w:val="0000EE"/>
            <w:u w:val="single"/>
          </w:rPr>
          <w:t>20.25</w:t>
        </w:r>
      </w:hyperlink>
      <w:r>
        <w:t xml:space="preserve">; </w:t>
      </w:r>
      <w:hyperlink r:id="rId6122">
        <w:r>
          <w:rPr>
            <w:color w:val="0000EE"/>
            <w:u w:val="single"/>
          </w:rPr>
          <w:t>28.23,31</w:t>
        </w:r>
      </w:hyperlink>
      <w:r>
        <w:t>). No entanto, as duas últimas referências fazem o reino de Deus sinônimo do evangelho sobre Jesus Cristo.</w:t>
      </w:r>
    </w:p>
    <w:p>
      <w:r/>
      <w:r>
        <w:t xml:space="preserve">Um tema importante em Atos está ligado ao do reino de Deus. No Dia de Pentecostes, Pedro anuncia que Deus assentou Jesus à sua direita no cumprimento do </w:t>
      </w:r>
      <w:hyperlink r:id="rId2667">
        <w:r>
          <w:rPr>
            <w:color w:val="0000EE"/>
            <w:u w:val="single"/>
          </w:rPr>
          <w:t>Salmo 110.1</w:t>
        </w:r>
      </w:hyperlink>
      <w:r>
        <w:t xml:space="preserve"> (</w:t>
      </w:r>
      <w:hyperlink r:id="rId18284">
        <w:r>
          <w:rPr>
            <w:color w:val="0000EE"/>
            <w:u w:val="single"/>
          </w:rPr>
          <w:t>Atos 2.33–35</w:t>
        </w:r>
      </w:hyperlink>
      <w:r>
        <w:t>). Nos Salmos, esta é uma profecia da entronização do rei davídico em Jerusalém. Pedro afirma que esta profecia agora está cumprida no reinado celestial de Jesus. Portanto, ele foi feito Senhor e Cristo (Messias). Esses são termos intercambiáveis, “Senhor” que significa soberano absoluto, “Cristo” que significa o rei messiânico.</w:t>
      </w:r>
    </w:p>
    <w:p>
      <w:pPr>
        <w:pStyle w:val="Heading4"/>
      </w:pPr>
      <w:r>
        <w:t>Os escritos de Paulo</w:t>
      </w:r>
    </w:p>
    <w:p>
      <w:r/>
      <w:r>
        <w:t>Paulo levou além este tema do governo celestial de Cristo, o Rei ungido. O reino é tanto uma herança escatológica (</w:t>
      </w:r>
      <w:hyperlink r:id="rId453">
        <w:r>
          <w:rPr>
            <w:color w:val="0000EE"/>
            <w:u w:val="single"/>
          </w:rPr>
          <w:t>1Co 6.9</w:t>
        </w:r>
      </w:hyperlink>
      <w:r>
        <w:t xml:space="preserve">; </w:t>
      </w:r>
      <w:hyperlink r:id="rId4279">
        <w:r>
          <w:rPr>
            <w:color w:val="0000EE"/>
            <w:u w:val="single"/>
          </w:rPr>
          <w:t>15.50</w:t>
        </w:r>
      </w:hyperlink>
      <w:r>
        <w:t xml:space="preserve">; </w:t>
      </w:r>
      <w:hyperlink r:id="rId10549">
        <w:r>
          <w:rPr>
            <w:color w:val="0000EE"/>
            <w:u w:val="single"/>
          </w:rPr>
          <w:t>Gl 5.21</w:t>
        </w:r>
      </w:hyperlink>
      <w:r>
        <w:t xml:space="preserve">; </w:t>
      </w:r>
      <w:hyperlink r:id="rId10550">
        <w:r>
          <w:rPr>
            <w:color w:val="0000EE"/>
            <w:u w:val="single"/>
          </w:rPr>
          <w:t>Ef 5.5</w:t>
        </w:r>
      </w:hyperlink>
      <w:r>
        <w:t xml:space="preserve">; </w:t>
      </w:r>
      <w:hyperlink r:id="rId18285">
        <w:r>
          <w:rPr>
            <w:color w:val="0000EE"/>
            <w:u w:val="single"/>
          </w:rPr>
          <w:t>1Ts 2.12</w:t>
        </w:r>
      </w:hyperlink>
      <w:r>
        <w:t xml:space="preserve">; </w:t>
      </w:r>
      <w:hyperlink r:id="rId18286">
        <w:r>
          <w:rPr>
            <w:color w:val="0000EE"/>
            <w:u w:val="single"/>
          </w:rPr>
          <w:t>2Ts 1.5</w:t>
        </w:r>
      </w:hyperlink>
      <w:r>
        <w:t xml:space="preserve">; </w:t>
      </w:r>
      <w:hyperlink r:id="rId14864">
        <w:r>
          <w:rPr>
            <w:color w:val="0000EE"/>
            <w:u w:val="single"/>
          </w:rPr>
          <w:t>2Tm 4.1,18</w:t>
        </w:r>
      </w:hyperlink>
      <w:r>
        <w:t>) quanto uma bênção presente na qual os crentes agora entram (</w:t>
      </w:r>
      <w:hyperlink r:id="rId18287">
        <w:r>
          <w:rPr>
            <w:color w:val="0000EE"/>
            <w:u w:val="single"/>
          </w:rPr>
          <w:t>Rm 14.17</w:t>
        </w:r>
      </w:hyperlink>
      <w:r>
        <w:t xml:space="preserve">; </w:t>
      </w:r>
      <w:hyperlink r:id="rId5159">
        <w:r>
          <w:rPr>
            <w:color w:val="0000EE"/>
            <w:u w:val="single"/>
          </w:rPr>
          <w:t>Cl 1.13</w:t>
        </w:r>
      </w:hyperlink>
      <w:r>
        <w:t>). A chave para isso é o caráter intercambiável de senhorio e realeza messiânica. Jesus está agora exaltado como Senhor sobre todos (</w:t>
      </w:r>
      <w:hyperlink r:id="rId6897">
        <w:r>
          <w:rPr>
            <w:color w:val="0000EE"/>
            <w:u w:val="single"/>
          </w:rPr>
          <w:t>Fp 2.11</w:t>
        </w:r>
      </w:hyperlink>
      <w:r>
        <w:t>), e mesmo que o seu senhorio seja invisível, ele se tornará manifesto a todos na sua segunda vinda. Da mesma maneira, Ele foi entronizado como Rei messiânico em virtude de sua ressurreição e sessão celestial, e ele deve reinar como Rei até que tenha colocado todos os seus inimigos sob Seus pés (</w:t>
      </w:r>
      <w:hyperlink r:id="rId5125">
        <w:r>
          <w:rPr>
            <w:color w:val="0000EE"/>
            <w:u w:val="single"/>
          </w:rPr>
          <w:t>1Co 15.25</w:t>
        </w:r>
      </w:hyperlink>
      <w:r>
        <w:t xml:space="preserve">; </w:t>
      </w:r>
      <w:hyperlink r:id="rId7641">
        <w:r>
          <w:rPr>
            <w:color w:val="0000EE"/>
            <w:u w:val="single"/>
          </w:rPr>
          <w:t>Ef 1.22</w:t>
        </w:r>
      </w:hyperlink>
      <w:r>
        <w:t>). O último inimigo a ser destruído é a morte.</w:t>
      </w:r>
    </w:p>
    <w:p>
      <w:pPr>
        <w:pStyle w:val="Heading4"/>
      </w:pPr>
      <w:r>
        <w:t>Apocalipse</w:t>
      </w:r>
    </w:p>
    <w:p>
      <w:r/>
      <w:r>
        <w:t>A mensagem central do Apocalipse a João é a consumação do propósito redentor de Deus, quando o reino deste mundo se torna o reino de nosso Senhor e de seu Cristo (</w:t>
      </w:r>
      <w:hyperlink r:id="rId17445">
        <w:r>
          <w:rPr>
            <w:color w:val="0000EE"/>
            <w:u w:val="single"/>
          </w:rPr>
          <w:t>Ap 11.15</w:t>
        </w:r>
      </w:hyperlink>
      <w:r>
        <w:t>). Apocalipse retrata a situação de uma igreja perseguida em um mundo hostil, mas assegura a igreja que Cristo já obteve uma vitória sobre os poderes do mal (</w:t>
      </w:r>
      <w:hyperlink r:id="rId1781">
        <w:r>
          <w:rPr>
            <w:color w:val="0000EE"/>
            <w:u w:val="single"/>
          </w:rPr>
          <w:t>5.5</w:t>
        </w:r>
      </w:hyperlink>
      <w:r>
        <w:t>), em virtude da qual Ele pode finalmente destruí-los (</w:t>
      </w:r>
      <w:hyperlink r:id="rId18288">
        <w:r>
          <w:rPr>
            <w:color w:val="0000EE"/>
            <w:u w:val="single"/>
          </w:rPr>
          <w:t>19.11–20.14</w:t>
        </w:r>
      </w:hyperlink>
      <w:r>
        <w:t>). Novamente, o último inimigo a ser destruído é a morte (</w:t>
      </w:r>
      <w:hyperlink r:id="rId10305">
        <w:r>
          <w:rPr>
            <w:color w:val="0000EE"/>
            <w:u w:val="single"/>
          </w:rPr>
          <w:t>20.13–14</w:t>
        </w:r>
      </w:hyperlink>
      <w:r>
        <w:t xml:space="preserve">). Apocalipse se encerra com uma imagem altamente simbólica do reino de Deus (cap. </w:t>
      </w:r>
      <w:hyperlink r:id="rId2046">
        <w:r>
          <w:rPr>
            <w:color w:val="0000EE"/>
            <w:u w:val="single"/>
          </w:rPr>
          <w:t>21–22</w:t>
        </w:r>
      </w:hyperlink>
      <w:r>
        <w:t>) quando Deus vier para habitar no meio do seu povo, e “eles verão a sua face” (</w:t>
      </w:r>
      <w:hyperlink r:id="rId18289">
        <w:r>
          <w:rPr>
            <w:color w:val="0000EE"/>
            <w:u w:val="single"/>
          </w:rPr>
          <w:t>22.4</w:t>
        </w:r>
      </w:hyperlink>
      <w:r>
        <w:t>). Assim o NT termina: a ordem divina é restaurada para um mundo desordenado. Este é o reino de Deus.</w:t>
      </w:r>
    </w:p>
    <w:p>
      <w:r/>
      <w:r>
        <w:rPr>
          <w:i/>
        </w:rPr>
        <w:t>Veja também</w:t>
      </w:r>
      <w:r>
        <w:t xml:space="preserve"> </w:t>
      </w:r>
      <w:r>
        <w:t>Jesus Cristo, Ensinamentos de</w:t>
      </w:r>
      <w:r>
        <w:t xml:space="preserve">; </w:t>
      </w:r>
      <w:r>
        <w:t>Rei</w:t>
      </w:r>
      <w:r>
        <w:t xml:space="preserve">; </w:t>
      </w:r>
      <w:r>
        <w:t>Parábola</w:t>
      </w:r>
      <w:r>
        <w:t>.</w:t>
      </w:r>
      <w:r/>
      <w:r/>
    </w:p>
    <w:p>
      <w:r/>
    </w:p>
    <w:p>
      <w:pPr>
        <w:pStyle w:val="Heading2"/>
      </w:pPr>
      <w:r>
        <w:t>REIS, livros de Primeiro e Segundo</w:t>
      </w:r>
      <w:r/>
    </w:p>
    <w:p>
      <w:r/>
      <w:r>
        <w:t>Livros que continuam a história do povo da aliança conforme registrado em Josué, Juízes e nos livros de Samuel. O registro em Reis começa com os eventos no final do reinado de Davi (</w:t>
      </w:r>
      <w:hyperlink r:id="rId18290">
        <w:r>
          <w:rPr>
            <w:color w:val="0000EE"/>
            <w:u w:val="single"/>
          </w:rPr>
          <w:t>1Rs 1–2</w:t>
        </w:r>
      </w:hyperlink>
      <w:r>
        <w:t xml:space="preserve">). Continua através do reinado de Salomão (caps. </w:t>
      </w:r>
      <w:hyperlink r:id="rId18291">
        <w:r>
          <w:rPr>
            <w:color w:val="0000EE"/>
            <w:u w:val="single"/>
          </w:rPr>
          <w:t>3–11</w:t>
        </w:r>
      </w:hyperlink>
      <w:r>
        <w:t>); as histórias dos reinos divididos (</w:t>
      </w:r>
      <w:hyperlink r:id="rId18292">
        <w:r>
          <w:rPr>
            <w:color w:val="0000EE"/>
            <w:u w:val="single"/>
          </w:rPr>
          <w:t>1Rs 12—2Rs 17</w:t>
        </w:r>
      </w:hyperlink>
      <w:r>
        <w:t>); e a história do reino sobrevivente no sul, até sua queda em 586 a.C. e a subsequente bondade mostrada a Jeoaquim por Evil-Merodaque, rei da Babilônia, por volta de 561 a.C. (</w:t>
      </w:r>
      <w:hyperlink r:id="rId18293">
        <w:r>
          <w:rPr>
            <w:color w:val="0000EE"/>
            <w:u w:val="single"/>
          </w:rPr>
          <w:t>2Rs 18–25</w:t>
        </w:r>
      </w:hyperlink>
      <w:r>
        <w:t>).</w:t>
      </w:r>
    </w:p>
    <w:p>
      <w:r/>
      <w:r>
        <w:t>Prévia</w:t>
      </w:r>
    </w:p>
    <w:p>
      <w:r/>
      <w:r>
        <w:t>• Autor e data</w:t>
      </w:r>
    </w:p>
    <w:p>
      <w:r/>
      <w:r>
        <w:t>• Referências</w:t>
      </w:r>
    </w:p>
    <w:p>
      <w:r/>
      <w:r>
        <w:t>• Teologia e propósito</w:t>
      </w:r>
    </w:p>
    <w:p>
      <w:r/>
      <w:r>
        <w:t>• Conteúdo</w:t>
      </w:r>
    </w:p>
    <w:p>
      <w:pPr>
        <w:pStyle w:val="Heading3"/>
      </w:pPr>
      <w:r>
        <w:t>Autor e data</w:t>
      </w:r>
    </w:p>
    <w:p>
      <w:r/>
      <w:r>
        <w:t>Reis foi originalmente considerado um único livro no cânon hebraico; a divisão em dois livros de aproximadamente igual extensão apareceu primeiro na Septuaginta e finalmente entrou na Bíblia Hebraica no século XV d.C.</w:t>
      </w:r>
    </w:p>
    <w:p>
      <w:r/>
      <w:r>
        <w:t>O livro em si é anônimo, e informações sobre seu autor só podem ser deduzidas examinando as preocupações e perspectivas da obra. O Talmude Babilônico (</w:t>
      </w:r>
      <w:r>
        <w:rPr>
          <w:i/>
        </w:rPr>
        <w:t>Baba Bathra</w:t>
      </w:r>
      <w:r>
        <w:t xml:space="preserve"> 15a) atribui Reis a Jeremias. Embora essa identificação possa ter surgido da tendência da tradição judaica posterior de atribuir livros bíblicos a autores proféticos, a teoria de origem em círculos proféticos se encaixa bem nas evidências. Porções substanciais são dedicadas às vidas dos profetas; 16 dos 47 capítulos são dedicados às vidas de Elias e Eliseu (</w:t>
      </w:r>
      <w:hyperlink r:id="rId18294">
        <w:r>
          <w:rPr>
            <w:color w:val="0000EE"/>
            <w:u w:val="single"/>
          </w:rPr>
          <w:t>1Rs 17—2Rs 10</w:t>
        </w:r>
      </w:hyperlink>
      <w:r>
        <w:t>), e há um interesse considerável em outras figuras proféticas, como Aías (</w:t>
      </w:r>
      <w:hyperlink r:id="rId18295">
        <w:r>
          <w:rPr>
            <w:color w:val="0000EE"/>
            <w:u w:val="single"/>
          </w:rPr>
          <w:t>1Rs 11.29–39</w:t>
        </w:r>
      </w:hyperlink>
      <w:r>
        <w:t xml:space="preserve">; </w:t>
      </w:r>
      <w:hyperlink r:id="rId18296">
        <w:r>
          <w:rPr>
            <w:color w:val="0000EE"/>
            <w:u w:val="single"/>
          </w:rPr>
          <w:t>14.1–16</w:t>
        </w:r>
      </w:hyperlink>
      <w:r>
        <w:t>), um homem de Deus não nomeado (</w:t>
      </w:r>
      <w:hyperlink r:id="rId18297">
        <w:r>
          <w:rPr>
            <w:color w:val="0000EE"/>
            <w:u w:val="single"/>
          </w:rPr>
          <w:t>13.1–10</w:t>
        </w:r>
      </w:hyperlink>
      <w:r>
        <w:t>), e Micaías (</w:t>
      </w:r>
      <w:hyperlink r:id="rId18298">
        <w:r>
          <w:rPr>
            <w:color w:val="0000EE"/>
            <w:u w:val="single"/>
          </w:rPr>
          <w:t>22.13–28</w:t>
        </w:r>
      </w:hyperlink>
      <w:r>
        <w:t>). A possível dependência de Isaías (</w:t>
      </w:r>
      <w:hyperlink r:id="rId8865">
        <w:r>
          <w:rPr>
            <w:color w:val="0000EE"/>
            <w:u w:val="single"/>
          </w:rPr>
          <w:t>2Rs 18–20</w:t>
        </w:r>
      </w:hyperlink>
      <w:r>
        <w:t xml:space="preserve">; cf. </w:t>
      </w:r>
      <w:hyperlink r:id="rId8867">
        <w:r>
          <w:rPr>
            <w:color w:val="0000EE"/>
            <w:u w:val="single"/>
          </w:rPr>
          <w:t>Is 36–39</w:t>
        </w:r>
      </w:hyperlink>
      <w:r>
        <w:t>) e Jeremias (</w:t>
      </w:r>
      <w:hyperlink r:id="rId18299">
        <w:r>
          <w:rPr>
            <w:color w:val="0000EE"/>
            <w:u w:val="single"/>
          </w:rPr>
          <w:t>2Rs 24–25</w:t>
        </w:r>
      </w:hyperlink>
      <w:r>
        <w:t xml:space="preserve">; cf. </w:t>
      </w:r>
      <w:hyperlink r:id="rId18300">
        <w:r>
          <w:rPr>
            <w:color w:val="0000EE"/>
            <w:u w:val="single"/>
          </w:rPr>
          <w:t>Jr 52</w:t>
        </w:r>
      </w:hyperlink>
      <w:r>
        <w:t>) também sugere origem profética. O autor-compilador também demonstra uma preocupação intensa com a eficácia da palavra profética, frequentemente chamando a atenção para o cumprimento das palavras proferidas anteriormente pelos profetas.</w:t>
      </w:r>
    </w:p>
    <w:p>
      <w:r/>
      <w:r>
        <w:t>Inicialmente, pode-se pensar que tal história seria improvável para um profeta, mas as evidências apontam o contrário. Os profetas eram os guardiões da relação de aliança e são conhecidos por terem produzido relatos usados como fontes por outros historiadores bíblicos. As seguintes são algumas dessas fontes: os atos de Samuel, o vidente, os atos de Natã, o profeta, os atos de Gade, o vidente (</w:t>
      </w:r>
      <w:hyperlink r:id="rId6145">
        <w:r>
          <w:rPr>
            <w:color w:val="0000EE"/>
            <w:u w:val="single"/>
          </w:rPr>
          <w:t>1Cr 29.29</w:t>
        </w:r>
      </w:hyperlink>
      <w:r>
        <w:t>); os atos de Natã, o profeta, a profecia de Aías, o silonita, as visões de Ido, o vidente (</w:t>
      </w:r>
      <w:hyperlink r:id="rId6146">
        <w:r>
          <w:rPr>
            <w:color w:val="0000EE"/>
            <w:u w:val="single"/>
          </w:rPr>
          <w:t>2Cr 9.29</w:t>
        </w:r>
      </w:hyperlink>
      <w:r>
        <w:t>); as crônicas de Semaías, o profeta, e de Ido, o vidente (</w:t>
      </w:r>
      <w:hyperlink r:id="rId6147">
        <w:r>
          <w:rPr>
            <w:color w:val="0000EE"/>
            <w:u w:val="single"/>
          </w:rPr>
          <w:t>12.15</w:t>
        </w:r>
      </w:hyperlink>
      <w:r>
        <w:t>); as anotações do profeta Ido (</w:t>
      </w:r>
      <w:hyperlink r:id="rId6148">
        <w:r>
          <w:rPr>
            <w:color w:val="0000EE"/>
            <w:u w:val="single"/>
          </w:rPr>
          <w:t>13.22</w:t>
        </w:r>
      </w:hyperlink>
      <w:r>
        <w:t>); e os atos de Uzias por Isaías, o profeta (</w:t>
      </w:r>
      <w:hyperlink r:id="rId6149">
        <w:r>
          <w:rPr>
            <w:color w:val="0000EE"/>
            <w:u w:val="single"/>
          </w:rPr>
          <w:t>26.22</w:t>
        </w:r>
      </w:hyperlink>
      <w:r>
        <w:t>). Some-se a isso o fato de que Reis está posicionado no cânon hebraico nos Profetas Anteriores (Josué a 2 Reis), e surge um quadro consistente de origem profética.</w:t>
      </w:r>
    </w:p>
    <w:p>
      <w:r/>
      <w:r>
        <w:t>A data da parte final do livro deve ser posterior aos últimos eventos registrados. A bondade de Evil-Merodaque para com Jeoaquim (c 561 a.C.) marca o término do livro e, portanto, estabelece a data mais antiga. Como a obra não demonstra conhecimento do período de restauração, é provável que a data seja anterior a 539 a.C. A seleção dos dados pelo autor para responder às questões teológicas urgentes da comunidade exílica também sugere uma data entre 561 e 539 a.C.</w:t>
      </w:r>
    </w:p>
    <w:p>
      <w:pPr>
        <w:pStyle w:val="Heading3"/>
      </w:pPr>
      <w:r>
        <w:t>Fontes</w:t>
      </w:r>
    </w:p>
    <w:p>
      <w:r/>
      <w:r>
        <w:t>O compilador de Reis menciona especificamente três das fontes que utilizou em seu trabalho, e estudiosos bíblicos sugeriram a presença de várias outras fontes que podem ter sido citadas. Claro, as fontes não mencionadas especificamente pelo compilador são apenas especulações daqueles que estudaram seu trabalho e podem ter diferentes graus de probabilidade. As fontes tanto especificadas quanto alegadas são as seguintes.</w:t>
      </w:r>
    </w:p>
    <w:p>
      <w:pPr>
        <w:pStyle w:val="Heading4"/>
      </w:pPr>
      <w:r>
        <w:t>O livro dos Atos de Salomão</w:t>
      </w:r>
    </w:p>
    <w:p>
      <w:r/>
      <w:r>
        <w:t xml:space="preserve">Como </w:t>
      </w:r>
      <w:hyperlink r:id="rId13060">
        <w:r>
          <w:rPr>
            <w:color w:val="0000EE"/>
            <w:u w:val="single"/>
          </w:rPr>
          <w:t>1 Reis 11.41</w:t>
        </w:r>
      </w:hyperlink>
      <w:r>
        <w:t xml:space="preserve"> diz: “O restante dos eventos no reinado de Salomão, incluindo sua sabedoria, está registrado em </w:t>
      </w:r>
      <w:r>
        <w:rPr>
          <w:i/>
        </w:rPr>
        <w:t>O Livro dos Atos de Salomão”</w:t>
      </w:r>
      <w:r>
        <w:t>. Presumivelmente, materiais adicionais de natureza biográfica foram incluídos, especificamente relatos semelhantes ao julgamento entre as duas mães (</w:t>
      </w:r>
      <w:hyperlink r:id="rId17745">
        <w:r>
          <w:rPr>
            <w:color w:val="0000EE"/>
            <w:u w:val="single"/>
          </w:rPr>
          <w:t>3.16–28</w:t>
        </w:r>
      </w:hyperlink>
      <w:r>
        <w:t>) ou a visita da Rainha de Sabá (</w:t>
      </w:r>
      <w:hyperlink r:id="rId18301">
        <w:r>
          <w:rPr>
            <w:color w:val="0000EE"/>
            <w:u w:val="single"/>
          </w:rPr>
          <w:t>10.1–10</w:t>
        </w:r>
      </w:hyperlink>
      <w:r>
        <w:t xml:space="preserve">). Houve debate sobre se esses materiais eram registros oficiais do tribunal ou documentos não oficiais. Alguns estudiosos tentaram isolar mais materiais dentro desta seção, identificando descrições dos edifícios como provenientes dos arquivos do templo (caps. </w:t>
      </w:r>
      <w:hyperlink r:id="rId18302">
        <w:r>
          <w:rPr>
            <w:color w:val="0000EE"/>
            <w:u w:val="single"/>
          </w:rPr>
          <w:t>6–7</w:t>
        </w:r>
      </w:hyperlink>
      <w:r>
        <w:t xml:space="preserve">) e listas de administradores como provenientes de documentos administrativos (caps. </w:t>
      </w:r>
      <w:hyperlink r:id="rId18303">
        <w:r>
          <w:rPr>
            <w:color w:val="0000EE"/>
            <w:u w:val="single"/>
          </w:rPr>
          <w:t>4–5</w:t>
        </w:r>
      </w:hyperlink>
      <w:r>
        <w:t>), mas isso deve permanecer especulativo.</w:t>
      </w:r>
    </w:p>
    <w:p>
      <w:pPr>
        <w:pStyle w:val="Heading4"/>
      </w:pPr>
      <w:r>
        <w:t>O livro da história dos reis de Israel</w:t>
      </w:r>
    </w:p>
    <w:p>
      <w:r/>
      <w:r>
        <w:t xml:space="preserve">Esta fonte é mencionada 17 vezes em Reis, geralmente nas fórmulas de encerramento ao final do relato do reinado de um rei do norte. Alguma ideia da natureza dessas crônicas pode ser derivada ao olhar para o tipo de informação à qual o compilador se refere aos seus leitores (veja </w:t>
      </w:r>
      <w:hyperlink r:id="rId18304">
        <w:r>
          <w:rPr>
            <w:color w:val="0000EE"/>
            <w:u w:val="single"/>
          </w:rPr>
          <w:t>1Rs 14.19</w:t>
        </w:r>
      </w:hyperlink>
      <w:r>
        <w:t xml:space="preserve">; </w:t>
      </w:r>
      <w:hyperlink r:id="rId18305">
        <w:r>
          <w:rPr>
            <w:color w:val="0000EE"/>
            <w:u w:val="single"/>
          </w:rPr>
          <w:t>16.27</w:t>
        </w:r>
      </w:hyperlink>
      <w:r>
        <w:t xml:space="preserve">; </w:t>
      </w:r>
      <w:hyperlink r:id="rId220">
        <w:r>
          <w:rPr>
            <w:color w:val="0000EE"/>
            <w:u w:val="single"/>
          </w:rPr>
          <w:t>22.39</w:t>
        </w:r>
      </w:hyperlink>
      <w:r>
        <w:t xml:space="preserve">; </w:t>
      </w:r>
      <w:hyperlink r:id="rId18306">
        <w:r>
          <w:rPr>
            <w:color w:val="0000EE"/>
            <w:u w:val="single"/>
          </w:rPr>
          <w:t>2Rs 13.12</w:t>
        </w:r>
      </w:hyperlink>
      <w:r>
        <w:t xml:space="preserve">; </w:t>
      </w:r>
      <w:hyperlink r:id="rId6502">
        <w:r>
          <w:rPr>
            <w:color w:val="0000EE"/>
            <w:u w:val="single"/>
          </w:rPr>
          <w:t>14.28</w:t>
        </w:r>
      </w:hyperlink>
      <w:r>
        <w:t>). Essas passagens sugerem que esta fonte eram os anais oficiais cobrindo os reinados dos reis.</w:t>
      </w:r>
    </w:p>
    <w:p>
      <w:pPr>
        <w:pStyle w:val="Heading4"/>
      </w:pPr>
      <w:r>
        <w:t>O livro da história dos reis de Judá</w:t>
      </w:r>
    </w:p>
    <w:p>
      <w:r/>
      <w:r>
        <w:t xml:space="preserve">Esta fonte é mencionada em 15 passagens e, assim como ocorre com os reis de Israel, é encontrada nas fórmulas de conclusão dos relatos dos reinados. Esta fonte deveria ser consultada para detalhes adicionais sobre os reinados dos indivíduos (veja </w:t>
      </w:r>
      <w:hyperlink r:id="rId18307">
        <w:r>
          <w:rPr>
            <w:color w:val="0000EE"/>
            <w:u w:val="single"/>
          </w:rPr>
          <w:t>1Rs 15.23</w:t>
        </w:r>
      </w:hyperlink>
      <w:r>
        <w:t xml:space="preserve">; </w:t>
      </w:r>
      <w:hyperlink r:id="rId18308">
        <w:r>
          <w:rPr>
            <w:color w:val="0000EE"/>
            <w:u w:val="single"/>
          </w:rPr>
          <w:t>22.45</w:t>
        </w:r>
      </w:hyperlink>
      <w:r>
        <w:t xml:space="preserve">; </w:t>
      </w:r>
      <w:hyperlink r:id="rId2782">
        <w:r>
          <w:rPr>
            <w:color w:val="0000EE"/>
            <w:u w:val="single"/>
          </w:rPr>
          <w:t>2Rs 20.20</w:t>
        </w:r>
      </w:hyperlink>
      <w:r>
        <w:t xml:space="preserve">; </w:t>
      </w:r>
      <w:hyperlink r:id="rId18309">
        <w:r>
          <w:rPr>
            <w:color w:val="0000EE"/>
            <w:u w:val="single"/>
          </w:rPr>
          <w:t>21.17</w:t>
        </w:r>
      </w:hyperlink>
      <w:r>
        <w:t>). Essas fontes para as histórias dos dois reinos eram provavelmente semelhantes aos anais conhecidos das culturas circundantes, particularmente dos reinados dos reis assírios. Elas eram provavelmente histórias oficiais da corte mantidas em Samaria e Jerusalém.</w:t>
      </w:r>
    </w:p>
    <w:p>
      <w:r/>
      <w:r>
        <w:t>Além dessas fontes mencionadas explicitamente, estudiosos sugerem que o compilador utilizou outras fontes que ele não nomeia.</w:t>
      </w:r>
    </w:p>
    <w:p>
      <w:pPr>
        <w:pStyle w:val="Heading4"/>
      </w:pPr>
      <w:r>
        <w:t>História da corte de Davi</w:t>
      </w:r>
    </w:p>
    <w:p>
      <w:r/>
      <w:hyperlink r:id="rId18310">
        <w:r>
          <w:rPr>
            <w:color w:val="0000EE"/>
            <w:u w:val="single"/>
          </w:rPr>
          <w:t>Segundo Samuel 9–20</w:t>
        </w:r>
      </w:hyperlink>
      <w:r>
        <w:t xml:space="preserve"> é frequentemente identificado como uma unidade de material na composição dos livros de Samuel; é chamado de várias formas, como "a história da corte" ou "a narrativa da sucessão". Por causa do vocabulário e da perspectiva semelhantes, </w:t>
      </w:r>
      <w:hyperlink r:id="rId18290">
        <w:r>
          <w:rPr>
            <w:color w:val="0000EE"/>
            <w:u w:val="single"/>
          </w:rPr>
          <w:t>1Rs 1–2</w:t>
        </w:r>
      </w:hyperlink>
      <w:r>
        <w:t xml:space="preserve"> é frequentemente associado a este material de Samuel. A declaração de </w:t>
      </w:r>
      <w:hyperlink r:id="rId18311">
        <w:r>
          <w:rPr>
            <w:color w:val="0000EE"/>
            <w:u w:val="single"/>
          </w:rPr>
          <w:t>1Rs 2.46</w:t>
        </w:r>
      </w:hyperlink>
      <w:r>
        <w:t>, "assim o reino estava agora firmemente nas mãos de Salomão", é considerada o fim deste registro.</w:t>
      </w:r>
    </w:p>
    <w:p>
      <w:pPr>
        <w:pStyle w:val="Heading4"/>
      </w:pPr>
      <w:r>
        <w:t>Fontes para a casa de Acabe</w:t>
      </w:r>
    </w:p>
    <w:p>
      <w:r/>
      <w:r>
        <w:t>Os reinados de reis individuais são geralmente mencionados apenas brevemente; p. ex. o pai de Acabe, Onri, recebe oito versos, mesmo que, ao ser julgado por sua importância política e econômica, ele estivesse entre os maiores dos reis do norte (</w:t>
      </w:r>
      <w:hyperlink r:id="rId18312">
        <w:r>
          <w:rPr>
            <w:color w:val="0000EE"/>
            <w:u w:val="single"/>
          </w:rPr>
          <w:t>1Rs 16.21–28</w:t>
        </w:r>
      </w:hyperlink>
      <w:r>
        <w:t>). No entanto, começando com o reinado de Acabe, o registro se torna bastante expansivo, e uma cobertura extensa é dada à dinastia de Acabe até o golpe de Jeú (</w:t>
      </w:r>
      <w:hyperlink r:id="rId18313">
        <w:r>
          <w:rPr>
            <w:color w:val="0000EE"/>
            <w:u w:val="single"/>
          </w:rPr>
          <w:t>1Rs 16—2Rs 12</w:t>
        </w:r>
      </w:hyperlink>
      <w:r>
        <w:t>). O uso das fórmulas estereotipadas para os reinados é suspenso neste material, e a existência de outra literatura usada pelo compilador é provável. Este material é comumente subdividido em fontes adicionais para as vidas de Elias e Eliseu e o reinado de Acabe.</w:t>
      </w:r>
    </w:p>
    <w:p>
      <w:r/>
      <w:r>
        <w:t xml:space="preserve">A seção de Elias abrange o material nos seguintes capítulos: </w:t>
      </w:r>
      <w:hyperlink r:id="rId18314">
        <w:r>
          <w:rPr>
            <w:color w:val="0000EE"/>
            <w:u w:val="single"/>
          </w:rPr>
          <w:t>1Rs 17–19</w:t>
        </w:r>
      </w:hyperlink>
      <w:r>
        <w:t xml:space="preserve">, incluindo a alimentação pelos corvos, os incidentes com a viúva de Sarepta, a seca, o fogo no Carmelo e a revelação de Deus no Sinai; </w:t>
      </w:r>
      <w:hyperlink r:id="rId2577">
        <w:r>
          <w:rPr>
            <w:color w:val="0000EE"/>
            <w:u w:val="single"/>
          </w:rPr>
          <w:t>1Rs 21</w:t>
        </w:r>
      </w:hyperlink>
      <w:r>
        <w:t xml:space="preserve">, o caso da vinha de Nabote; e </w:t>
      </w:r>
      <w:hyperlink r:id="rId18315">
        <w:r>
          <w:rPr>
            <w:color w:val="0000EE"/>
            <w:u w:val="single"/>
          </w:rPr>
          <w:t>2Rs 1</w:t>
        </w:r>
      </w:hyperlink>
      <w:r>
        <w:t>, a morte dos mensageiros de Acazias. O reinado de Acabe, que recebe tanta atenção em Reis, é principalmente um pano de fundo para os relatos sobre Elias.</w:t>
      </w:r>
    </w:p>
    <w:p>
      <w:r/>
      <w:r>
        <w:t xml:space="preserve">O material de Eliseu encontrado em </w:t>
      </w:r>
      <w:hyperlink r:id="rId18316">
        <w:r>
          <w:rPr>
            <w:color w:val="0000EE"/>
            <w:u w:val="single"/>
          </w:rPr>
          <w:t>2Rs 2–13</w:t>
        </w:r>
      </w:hyperlink>
      <w:r>
        <w:t xml:space="preserve"> pode ter se desenvolvido literariamente de forma independente dos relatos de Elias. Inclui o seguinte: capítulo </w:t>
      </w:r>
      <w:hyperlink r:id="rId7895">
        <w:r>
          <w:rPr>
            <w:color w:val="0000EE"/>
            <w:u w:val="single"/>
          </w:rPr>
          <w:t>2</w:t>
        </w:r>
      </w:hyperlink>
      <w:r>
        <w:t xml:space="preserve"> (a sucessão de Eliseu ao ofício profético, a purificação de uma fonte, a morte de crianças zombeteiras); capítulo 3 (sobre a campanha contra Moabe); capítulo 4 (o óleo da viúva, a mulher sunamita); capítulo 5 (a lepra de Naamã); capítulo 6 (a tentativa arameia de capturar Eliseu); capítulo 7 (a fome em Samaria); capítulo 8 (a propriedade da sunamita, o golpe de Hazael); capítulo 9 (a unção de Jeú); e capítulo 13 (a morte de Eliseu). Nenhuma outra parte do AT tem o puro deleite no miraculoso que é visto nas narrativas de Eliseu.</w:t>
      </w:r>
    </w:p>
    <w:p>
      <w:r/>
      <w:r>
        <w:t xml:space="preserve">Em </w:t>
      </w:r>
      <w:hyperlink r:id="rId18317">
        <w:r>
          <w:rPr>
            <w:color w:val="0000EE"/>
            <w:u w:val="single"/>
          </w:rPr>
          <w:t>1 Reis 16</w:t>
        </w:r>
      </w:hyperlink>
      <w:r>
        <w:t xml:space="preserve"> a </w:t>
      </w:r>
      <w:hyperlink r:id="rId18318">
        <w:r>
          <w:rPr>
            <w:color w:val="0000EE"/>
            <w:u w:val="single"/>
          </w:rPr>
          <w:t>2 Reis 13</w:t>
        </w:r>
      </w:hyperlink>
      <w:r>
        <w:t xml:space="preserve"> há incidentes adicionais não diretamente relacionados às biografias de Elias e Eliseu; relatos como as campanhas militares de </w:t>
      </w:r>
      <w:hyperlink r:id="rId18319">
        <w:r>
          <w:rPr>
            <w:color w:val="0000EE"/>
            <w:u w:val="single"/>
          </w:rPr>
          <w:t>1Rs 20.1–34</w:t>
        </w:r>
      </w:hyperlink>
      <w:r>
        <w:t xml:space="preserve"> e mais detalhes do golpe de Jeú (</w:t>
      </w:r>
      <w:hyperlink r:id="rId18320">
        <w:r>
          <w:rPr>
            <w:color w:val="0000EE"/>
            <w:u w:val="single"/>
          </w:rPr>
          <w:t>2Rs 9.11–10.36</w:t>
        </w:r>
      </w:hyperlink>
      <w:r>
        <w:t>) são frequentemente atribuídos a uma terceira fonte contendo relatos da dinastia de Acabe e seus sucessores. Em todas essas três possíveis fontes, a orientação é voltada para os assuntos no reino do norte.</w:t>
      </w:r>
    </w:p>
    <w:p>
      <w:pPr>
        <w:pStyle w:val="Heading4"/>
      </w:pPr>
      <w:r>
        <w:t>Fonte de Isaías</w:t>
      </w:r>
    </w:p>
    <w:p>
      <w:r/>
      <w:r>
        <w:t>O relato do reinado de Ezequias contém uma seção (</w:t>
      </w:r>
      <w:hyperlink r:id="rId18321">
        <w:r>
          <w:rPr>
            <w:color w:val="0000EE"/>
            <w:u w:val="single"/>
          </w:rPr>
          <w:t>2Rs 18.13–20.19</w:t>
        </w:r>
      </w:hyperlink>
      <w:r>
        <w:t>) que é quase uma citação literal de material também encontrado em Isaías (</w:t>
      </w:r>
      <w:hyperlink r:id="rId8867">
        <w:r>
          <w:rPr>
            <w:color w:val="0000EE"/>
            <w:u w:val="single"/>
          </w:rPr>
          <w:t>Is 36.1–39.8</w:t>
        </w:r>
      </w:hyperlink>
      <w:r>
        <w:t>). A seção registra a invasão de Senaqueribe, a missão do Rabsaqué, a oração de Ezequias, a profecia de Isaías, a doença de Ezequias, a regressão do sol e os enviados de Merodaque-Baladã. O material deve ser considerado como baseado no livro de Isaías ou em alguma outra fonte usada tanto em Isaías quanto em Reis.</w:t>
      </w:r>
    </w:p>
    <w:p>
      <w:pPr>
        <w:pStyle w:val="Heading4"/>
      </w:pPr>
      <w:r>
        <w:t>Uma fonte profética</w:t>
      </w:r>
    </w:p>
    <w:p>
      <w:r/>
      <w:r>
        <w:t>Como Reis mostra grande interesse nos profetas e seus ministérios, vários estudiosos sugeriram que outra fonte foi usada pelo compilador; esta seria uma unidade literária independente contendo relatos dos profetas. Esta fonte conteria os registros para o material sobre o Aías (</w:t>
      </w:r>
      <w:hyperlink r:id="rId18295">
        <w:r>
          <w:rPr>
            <w:color w:val="0000EE"/>
            <w:u w:val="single"/>
          </w:rPr>
          <w:t>1Rs 11.29–39</w:t>
        </w:r>
      </w:hyperlink>
      <w:r>
        <w:t xml:space="preserve">; </w:t>
      </w:r>
      <w:hyperlink r:id="rId18296">
        <w:r>
          <w:rPr>
            <w:color w:val="0000EE"/>
            <w:u w:val="single"/>
          </w:rPr>
          <w:t>14.1–16</w:t>
        </w:r>
      </w:hyperlink>
      <w:r>
        <w:t xml:space="preserve">), profetas sem nome (cap. </w:t>
      </w:r>
      <w:hyperlink r:id="rId12328">
        <w:r>
          <w:rPr>
            <w:color w:val="0000EE"/>
            <w:u w:val="single"/>
          </w:rPr>
          <w:t>12</w:t>
        </w:r>
      </w:hyperlink>
      <w:r>
        <w:t xml:space="preserve">; </w:t>
      </w:r>
      <w:hyperlink r:id="rId241">
        <w:r>
          <w:rPr>
            <w:color w:val="0000EE"/>
            <w:u w:val="single"/>
          </w:rPr>
          <w:t>20.35–43</w:t>
        </w:r>
      </w:hyperlink>
      <w:r>
        <w:t>), Micaías (</w:t>
      </w:r>
      <w:hyperlink r:id="rId18298">
        <w:r>
          <w:rPr>
            <w:color w:val="0000EE"/>
            <w:u w:val="single"/>
          </w:rPr>
          <w:t>22.13–28</w:t>
        </w:r>
      </w:hyperlink>
      <w:r>
        <w:t>) e outras referências.</w:t>
      </w:r>
    </w:p>
    <w:p>
      <w:r/>
      <w:r>
        <w:t>Além das fontes explicitamente mencionadas e das inferências sobre seu caráter, as demais fontes sugeridas apresentam apenas graus variados de probabilidade. Considerável esforço acadêmico foi dedicado a identificar e caracterizar essas fontes, mas isso permanece especulativo. Ao considerar as fontes que o compilador pode ter usado, é importante manter uma precaução em mente. Mesmo que tais fontes tenham existido, não se pode ter confiança em uma reconstrução da história composicional. Quais fontes já haviam sido integradas em uma composição maior antes de serem usadas pelo compilador de Reis? Não podemos ter certeza de que a situação de vida da qual essas outras fontes surgiram foi corretamente identificada, nem podemos saber se o próprio compilador estava ciente da história passada de suas fontes. A pesquisa bíblica tem investido considerável energia tentando delinear a história passada do livro de Reis, mas muitas vezes isso tem sido em detrimento da unidade de perspectiva que é o produto do(s) compilador(es) final(is) em cujas mãos o livro recebeu sua forma canônica.</w:t>
      </w:r>
    </w:p>
    <w:p>
      <w:r/>
      <w:r>
        <w:t>O que é importante para entender o livro não é a perspectiva de suas várias fontes (das quais o compilador pode não ter tido consciência), mas a perspectiva do livro como um todo sobre a história dos reinos. É o esboço que o compilador impôs às fontes que estabelece o ensinamento do livro; suas fontes são usadas de acordo com seus próprios propósitos, um fato que torna os propósitos para os quais as fontes foram preparadas em grande parte irrelevantes para o ensinamento do livro em sua forma atual. Explorar possíveis fontes, embora valioso em si mesmo, não deve ofuscar a mensagem do livro como um todo. Isso não quer dizer que os livros dos Reis sejam simplesmente uma compilação de fontes inalteradas. O(s) escritor(es) sem dúvida exerceu(ram) uma medida de seletividade e habilidade literária ao compor a narrativa histórica.</w:t>
      </w:r>
    </w:p>
    <w:p>
      <w:r/>
      <w:r>
        <w:t>Uma técnica composicional do compilador é bastante proeminente nas histórias dos reinos divididos: é o uso de introduções e conclusões formulaicas para os vários reinados. As fórmulas para ambos os reinos são bastante semelhantes, diferindo apenas em detalhes menores. Para os reis de Judá, a fórmula introdutória completa é a seguinte: (1) ano de ascensão sincronizado com o ano de reinado do rei do norte; (2) idade do rei em sua ascensão; (3) duração de seu reinado; (4) nome de sua mãe; (5) julgamento sobre o caráter do reinado. O relato do reinado de um rei de Judá é concluído da seguinte forma: (1) uma referência às crônicas dos reis de Judá para mais informações; (2) uma declaração sobre a morte do rei, incluindo o local de sepultamento; (3) sucessor: “E seu filho reinou em seu lugar”. A fórmula completa para um rei de Judá pode ser vista p. ex. no reinado de Roboão (</w:t>
      </w:r>
      <w:hyperlink r:id="rId18322">
        <w:r>
          <w:rPr>
            <w:color w:val="0000EE"/>
            <w:u w:val="single"/>
          </w:rPr>
          <w:t>1Rs 14.21–22,29–31</w:t>
        </w:r>
      </w:hyperlink>
      <w:r>
        <w:t>).</w:t>
      </w:r>
    </w:p>
    <w:p>
      <w:r/>
      <w:r>
        <w:t>As fórmulas diferem ligeiramente para os reis de Israel; a introdução é a seguinte: (1) ano de sucessão sincronizado com o ano de reinado do rei do sul; (2) duração do seu reinado; (3) localização da residência real; (4) condenação por idolatria; (5) nome do pai do rei. O relato do reinado de um rei israelita termina da seguinte forma: (1) uma referência às crônicas dos reis de Israel para mais informações; (2) uma declaração sobre sua morte; (3) uma declaração sobre a sucessão de seu filho, a menos que um usurpador o suceda. A fórmula completa para um rei israelita pode ser vista, p. ex. no reinado de Baasa (</w:t>
      </w:r>
      <w:hyperlink r:id="rId18323">
        <w:r>
          <w:rPr>
            <w:color w:val="0000EE"/>
            <w:u w:val="single"/>
          </w:rPr>
          <w:t>1Rs 15.33–34</w:t>
        </w:r>
      </w:hyperlink>
      <w:r>
        <w:t xml:space="preserve">; </w:t>
      </w:r>
      <w:hyperlink r:id="rId18324">
        <w:r>
          <w:rPr>
            <w:color w:val="0000EE"/>
            <w:u w:val="single"/>
          </w:rPr>
          <w:t>16.5–6</w:t>
        </w:r>
      </w:hyperlink>
      <w:r>
        <w:t>).</w:t>
      </w:r>
    </w:p>
    <w:p>
      <w:r/>
      <w:r>
        <w:t>Há alguma variação no uso desses padrões, mas, no geral, eles são seguidos de forma consistente e fornecem a estrutura básica para a história do reino dividido. Os sincronismos dos reinados fornecem dados para a construção da cronologia do período. As variações nas fórmulas podem refletir as características das fontes que o compilador estava usando ou seus próprios interesses. O nome da mãe de um rei de Judá é registrado, mas não de um rei israelita, talvez refletindo uma preocupação com um registro mais exato e completo da sucessão davídica. Presume-se que a residência real seja Jerusalém para os reis do sul (embora possa ser mencionada), mas é sempre registrada para os reis do norte, já que se mudou várias vezes, de Siquém para Penuel, para Tirza, para Samaria. A menção do pai do rei para um governante do norte também reflete a mudança frequente de dinastias ali, em oposição à estabilidade dinástica de Judá, que é reforçada pela menção do sepultamento de quase todos os seus reis na cidade de Davi.</w:t>
      </w:r>
    </w:p>
    <w:p>
      <w:pPr>
        <w:pStyle w:val="Heading3"/>
      </w:pPr>
      <w:r>
        <w:t>Teologia e propósito</w:t>
      </w:r>
    </w:p>
    <w:p>
      <w:r/>
      <w:r>
        <w:t>Os livros dos Reis registram a história do povo da aliança desde o fim do reinado de Davi (961 a.C.) até a queda do reino do sul (586 a.C.). No entanto, não é uma história escrita de acordo com as expectativas modernas para livros didáticos de história. Em vez de se concentrar em temas econômicos, políticos e militares que moldaram a história do período, o compilador de Reis é motivado por preocupações teológicas.</w:t>
      </w:r>
    </w:p>
    <w:p>
      <w:r/>
      <w:r>
        <w:t>A avaliação da teologia e do propósito dos livros dos Reis é facilitada pelo fato de haver uma história paralela para grande parte dos Reis encontrada nos livros das Crônicas. Ao comparar os dois relatos, especialmente onde o cronista posterior adiciona ou remove material encontrado em Reis, os interesses de ambas as histórias ficam mais evidentes.</w:t>
      </w:r>
    </w:p>
    <w:p>
      <w:r/>
      <w:r>
        <w:t>Os livros dos Reis foram compostos durante o exílio, provavelmente entre 560 e 539 a.C. Jerusalém havia sido transformada em escombros, e não havia mais um trono de Davi. Esses dois pilares da teologia popular — a inviolabilidade do templo e o trono de Davi (</w:t>
      </w:r>
      <w:hyperlink r:id="rId18325">
        <w:r>
          <w:rPr>
            <w:color w:val="0000EE"/>
            <w:u w:val="single"/>
          </w:rPr>
          <w:t>Jr 7.4</w:t>
        </w:r>
      </w:hyperlink>
      <w:r>
        <w:t xml:space="preserve">; </w:t>
      </w:r>
      <w:hyperlink r:id="rId18326">
        <w:r>
          <w:rPr>
            <w:color w:val="0000EE"/>
            <w:u w:val="single"/>
          </w:rPr>
          <w:t>13.13–14</w:t>
        </w:r>
      </w:hyperlink>
      <w:r>
        <w:t xml:space="preserve">; </w:t>
      </w:r>
      <w:hyperlink r:id="rId18327">
        <w:r>
          <w:rPr>
            <w:color w:val="0000EE"/>
            <w:u w:val="single"/>
          </w:rPr>
          <w:t>22.1–9</w:t>
        </w:r>
      </w:hyperlink>
      <w:r>
        <w:t xml:space="preserve">; veja </w:t>
      </w:r>
      <w:hyperlink r:id="rId18328">
        <w:r>
          <w:rPr>
            <w:color w:val="0000EE"/>
            <w:u w:val="single"/>
          </w:rPr>
          <w:t xml:space="preserve">1Rs 8.16,29 </w:t>
        </w:r>
      </w:hyperlink>
      <w:r>
        <w:t>)— haviam desmoronado. Para que a fé de Israel sobrevivesse, as perguntas urgentes que precisavam ser respondidas eram: “Como tudo isso aconteceu? Deus não pode cumprir suas promessas a Davi e a Sião? As promessas falharam?”. O autor de Reis visa lidar com a perplexidade do povo escolhido em resposta aos desastres de 722 a.C. (queda de Samaria) e 586 a.C. (queda de Jerusalém). Reis, assim como o livro de Jó, é uma teodiceia, uma justificativa dos caminhos de Deus para os homens.</w:t>
      </w:r>
    </w:p>
    <w:p>
      <w:r/>
      <w:r>
        <w:t>Para responder à pergunta "Como isso aconteceu?" o compilador adota o procedimento de recontar a história do povo da aliança à luz dos padrões estabelecidos na Lei. Por essa razão, Reis poderia ser chamado de história pentateucal, ou ainda mais especificamente, história deuteronômica, pois padrões estabelecidos apenas no livro de Deuteronômio no Pentateuco são usados pelo compilador para avaliar os reinos. Entre os temas proeminentes selecionados de Deuteronômio e aplicados aos reinos estão a centralização do culto, a instituição da monarquia, a eficácia da palavra profética e a manifestação das maldições da aliança sobre a desobediência.</w:t>
      </w:r>
    </w:p>
    <w:p>
      <w:pPr>
        <w:pStyle w:val="Heading4"/>
      </w:pPr>
      <w:r>
        <w:t>Centralização do culto</w:t>
      </w:r>
    </w:p>
    <w:p>
      <w:r/>
      <w:r>
        <w:t xml:space="preserve">A principal preocupação do escritor é a pureza da adoração ao Senhor. Seu principal critério para medir essa pureza é a atitude dos reis em relação à centralização da adoração no templo de Jerusalém, em oposição à adoração ao Senhor em outros lugares e à continuidade dos cultos cananeus misturados com o Yahwismo nos lugares altos. A centralização da adoração no santuário central é solicitada em </w:t>
      </w:r>
      <w:hyperlink r:id="rId18329">
        <w:r>
          <w:rPr>
            <w:color w:val="0000EE"/>
            <w:u w:val="single"/>
          </w:rPr>
          <w:t>Dt 12</w:t>
        </w:r>
      </w:hyperlink>
      <w:r>
        <w:t xml:space="preserve">. Talvez "centralização da adoração" seja um termo inadequado, pois a adoração sempre foi centrada em torno do tabernáculo nos períodos anteriores ao templo; a mudança prevista em Deuteronômio não é a centralização da adoração, mas sim o fato de que o santuário não seria mais móvel, mas estacionário. Para os reis do reino do norte, esse critério se torna virtualmente uma fórmula estereotipada de que "ele fez o que era mau aos olhos do Senhor e andou no caminho de Jeroboão, filho de Nebate, que pecou e fez todo o Israel pecar junto com ele" (veja </w:t>
      </w:r>
      <w:hyperlink r:id="rId18330">
        <w:r>
          <w:rPr>
            <w:color w:val="0000EE"/>
            <w:u w:val="single"/>
          </w:rPr>
          <w:t>1Rs 14.16</w:t>
        </w:r>
      </w:hyperlink>
      <w:r>
        <w:t xml:space="preserve">; </w:t>
      </w:r>
      <w:hyperlink r:id="rId18331">
        <w:r>
          <w:rPr>
            <w:color w:val="0000EE"/>
            <w:u w:val="single"/>
          </w:rPr>
          <w:t>15.30</w:t>
        </w:r>
      </w:hyperlink>
      <w:r>
        <w:t xml:space="preserve">; </w:t>
      </w:r>
      <w:hyperlink r:id="rId4569">
        <w:r>
          <w:rPr>
            <w:color w:val="0000EE"/>
            <w:u w:val="single"/>
          </w:rPr>
          <w:t>16.31</w:t>
        </w:r>
      </w:hyperlink>
      <w:r>
        <w:t xml:space="preserve">; </w:t>
      </w:r>
      <w:hyperlink r:id="rId10832">
        <w:r>
          <w:rPr>
            <w:color w:val="0000EE"/>
            <w:u w:val="single"/>
          </w:rPr>
          <w:t>2Rs 3.3</w:t>
        </w:r>
      </w:hyperlink>
      <w:r>
        <w:t xml:space="preserve">; </w:t>
      </w:r>
      <w:hyperlink r:id="rId7107">
        <w:r>
          <w:rPr>
            <w:color w:val="0000EE"/>
            <w:u w:val="single"/>
          </w:rPr>
          <w:t>10.31</w:t>
        </w:r>
      </w:hyperlink>
      <w:r>
        <w:t xml:space="preserve">; </w:t>
      </w:r>
      <w:hyperlink r:id="rId18332">
        <w:r>
          <w:rPr>
            <w:color w:val="0000EE"/>
            <w:u w:val="single"/>
          </w:rPr>
          <w:t>13.2,11</w:t>
        </w:r>
      </w:hyperlink>
      <w:r>
        <w:t xml:space="preserve">; </w:t>
      </w:r>
      <w:hyperlink r:id="rId7109">
        <w:r>
          <w:rPr>
            <w:color w:val="0000EE"/>
            <w:u w:val="single"/>
          </w:rPr>
          <w:t>14.24</w:t>
        </w:r>
      </w:hyperlink>
      <w:r>
        <w:t xml:space="preserve">; </w:t>
      </w:r>
      <w:hyperlink r:id="rId7110">
        <w:r>
          <w:rPr>
            <w:color w:val="0000EE"/>
            <w:u w:val="single"/>
          </w:rPr>
          <w:t>15.9,18,24,28</w:t>
        </w:r>
      </w:hyperlink>
      <w:r>
        <w:t xml:space="preserve">; </w:t>
      </w:r>
      <w:hyperlink r:id="rId18333">
        <w:r>
          <w:rPr>
            <w:color w:val="0000EE"/>
            <w:u w:val="single"/>
          </w:rPr>
          <w:t>17.22</w:t>
        </w:r>
      </w:hyperlink>
      <w:r>
        <w:t>). O compilador de Reis vê os altares rivais com os bezerros de ouro em Dã e Betel como o grande pecado do qual os reis do norte nunca se arrependeram (</w:t>
      </w:r>
      <w:hyperlink r:id="rId18334">
        <w:r>
          <w:rPr>
            <w:color w:val="0000EE"/>
            <w:u w:val="single"/>
          </w:rPr>
          <w:t>1Rs 12.25–13.34</w:t>
        </w:r>
      </w:hyperlink>
      <w:r>
        <w:t>). Rejeitando a primazia de Jerusalém, esses altares se tornaram a vara com a qual os reis do norte seriam medidos. Todos os reis de Israel são condenados por esse padrão (exceto Salum, que reinou apenas um mês, e Oséias, o último dos reis do norte) — até mesmo Zinri, o assassino de Elá, que governou apenas uma semana antes de cometer suicídio nas chamas de seu próprio palácio (</w:t>
      </w:r>
      <w:hyperlink r:id="rId18335">
        <w:r>
          <w:rPr>
            <w:color w:val="0000EE"/>
            <w:u w:val="single"/>
          </w:rPr>
          <w:t>16.9–20</w:t>
        </w:r>
      </w:hyperlink>
      <w:r>
        <w:t>). Para os reis de Judá, um padrão diferente é usado: qual era sua atitude em relação aos altos onde a adoração heterodoxa era permitida a florescer nos arredores de Jerusalém. Apenas Ezequias e Josias recebem a aprovação incondicional do compilador por seguirem os caminhos de Davi (</w:t>
      </w:r>
      <w:hyperlink r:id="rId18336">
        <w:r>
          <w:rPr>
            <w:color w:val="0000EE"/>
            <w:u w:val="single"/>
          </w:rPr>
          <w:t>2Rs 18.3</w:t>
        </w:r>
      </w:hyperlink>
      <w:r>
        <w:t xml:space="preserve">; </w:t>
      </w:r>
      <w:hyperlink r:id="rId18337">
        <w:r>
          <w:rPr>
            <w:color w:val="0000EE"/>
            <w:u w:val="single"/>
          </w:rPr>
          <w:t>22.2</w:t>
        </w:r>
      </w:hyperlink>
      <w:r>
        <w:t xml:space="preserve">). Outros seis são elogiados por seu zelo em suprimir a idolatria, embora não tenham removido os altos (Asa, </w:t>
      </w:r>
      <w:hyperlink r:id="rId18338">
        <w:r>
          <w:rPr>
            <w:color w:val="0000EE"/>
            <w:u w:val="single"/>
          </w:rPr>
          <w:t>1Rs 15.9–15</w:t>
        </w:r>
      </w:hyperlink>
      <w:r>
        <w:t xml:space="preserve">; Josafá, </w:t>
      </w:r>
      <w:hyperlink r:id="rId10981">
        <w:r>
          <w:rPr>
            <w:color w:val="0000EE"/>
            <w:u w:val="single"/>
          </w:rPr>
          <w:t>22.43</w:t>
        </w:r>
      </w:hyperlink>
      <w:r>
        <w:t xml:space="preserve">; Joás, </w:t>
      </w:r>
      <w:hyperlink r:id="rId18339">
        <w:r>
          <w:rPr>
            <w:color w:val="0000EE"/>
            <w:u w:val="single"/>
          </w:rPr>
          <w:t>2Rs 12.2–3</w:t>
        </w:r>
      </w:hyperlink>
      <w:r>
        <w:t xml:space="preserve">; Amazias, </w:t>
      </w:r>
      <w:hyperlink r:id="rId18340">
        <w:r>
          <w:rPr>
            <w:color w:val="0000EE"/>
            <w:u w:val="single"/>
          </w:rPr>
          <w:t>14.3–4</w:t>
        </w:r>
      </w:hyperlink>
      <w:r>
        <w:t xml:space="preserve">; Azarias, </w:t>
      </w:r>
      <w:hyperlink r:id="rId13417">
        <w:r>
          <w:rPr>
            <w:color w:val="0000EE"/>
            <w:u w:val="single"/>
          </w:rPr>
          <w:t>15.3–4</w:t>
        </w:r>
      </w:hyperlink>
      <w:r>
        <w:t xml:space="preserve">; Jotão, </w:t>
      </w:r>
      <w:hyperlink r:id="rId18341">
        <w:r>
          <w:rPr>
            <w:color w:val="0000EE"/>
            <w:u w:val="single"/>
          </w:rPr>
          <w:t>15.34–35</w:t>
        </w:r>
      </w:hyperlink>
      <w:r>
        <w:t>). O restante dos reis de Judá é condenado por sua participação nos cultos pagãos nos lugares altos e sua profanação do próprio templo. Este tema é o motivo preeminente no livro.</w:t>
      </w:r>
    </w:p>
    <w:p>
      <w:pPr>
        <w:pStyle w:val="Heading4"/>
      </w:pPr>
      <w:r>
        <w:t>História da Monarquia</w:t>
      </w:r>
    </w:p>
    <w:p>
      <w:r/>
      <w:r>
        <w:t xml:space="preserve">Um segundo interesse proeminente para o compilador era traçar a história da monarquia. </w:t>
      </w:r>
      <w:hyperlink r:id="rId11427">
        <w:r>
          <w:rPr>
            <w:color w:val="0000EE"/>
            <w:u w:val="single"/>
          </w:rPr>
          <w:t>Dt 17.14–20</w:t>
        </w:r>
      </w:hyperlink>
      <w:r>
        <w:t xml:space="preserve"> prevê o dia em que Israel pediria por um rei e atribui a esse rei a responsabilidade religiosa básica pelo povo. Esta provisão para um rei, novamente uma característica encontrada apenas em Deuteronômio, torna-se a base para o intenso interesse do compilador na história da monarquia, e particularmente na fidelidade religiosa dos reis. Davi torna-se o modelo do rei ideal, aquele por quem os outros são medidos, aquele cujos filhos “continuam por muito tempo em seu reino no meio de Israel” (</w:t>
      </w:r>
      <w:hyperlink r:id="rId18342">
        <w:r>
          <w:rPr>
            <w:color w:val="0000EE"/>
            <w:u w:val="single"/>
          </w:rPr>
          <w:t>17.20</w:t>
        </w:r>
      </w:hyperlink>
      <w:r>
        <w:t xml:space="preserve">; veja também </w:t>
      </w:r>
      <w:hyperlink r:id="rId18343">
        <w:r>
          <w:rPr>
            <w:color w:val="0000EE"/>
            <w:u w:val="single"/>
          </w:rPr>
          <w:t>1Rs 15.11</w:t>
        </w:r>
      </w:hyperlink>
      <w:r>
        <w:t xml:space="preserve">; </w:t>
      </w:r>
      <w:hyperlink r:id="rId18336">
        <w:r>
          <w:rPr>
            <w:color w:val="0000EE"/>
            <w:u w:val="single"/>
          </w:rPr>
          <w:t>2Rs 18.3</w:t>
        </w:r>
      </w:hyperlink>
      <w:r>
        <w:t xml:space="preserve">; </w:t>
      </w:r>
      <w:hyperlink r:id="rId18337">
        <w:r>
          <w:rPr>
            <w:color w:val="0000EE"/>
            <w:u w:val="single"/>
          </w:rPr>
          <w:t>22.2</w:t>
        </w:r>
      </w:hyperlink>
      <w:r>
        <w:t xml:space="preserve"> por seguir os caminhos de Davi, e </w:t>
      </w:r>
      <w:hyperlink r:id="rId18344">
        <w:r>
          <w:rPr>
            <w:color w:val="0000EE"/>
            <w:u w:val="single"/>
          </w:rPr>
          <w:t>1Rs 14.8</w:t>
        </w:r>
      </w:hyperlink>
      <w:r>
        <w:t xml:space="preserve">; </w:t>
      </w:r>
      <w:hyperlink r:id="rId18345">
        <w:r>
          <w:rPr>
            <w:color w:val="0000EE"/>
            <w:u w:val="single"/>
          </w:rPr>
          <w:t>15.3–5</w:t>
        </w:r>
      </w:hyperlink>
      <w:r>
        <w:t xml:space="preserve">; </w:t>
      </w:r>
      <w:hyperlink r:id="rId18346">
        <w:r>
          <w:rPr>
            <w:color w:val="0000EE"/>
            <w:u w:val="single"/>
          </w:rPr>
          <w:t>2Rs 14.3</w:t>
        </w:r>
      </w:hyperlink>
      <w:r>
        <w:t xml:space="preserve">; </w:t>
      </w:r>
      <w:hyperlink r:id="rId18347">
        <w:r>
          <w:rPr>
            <w:color w:val="0000EE"/>
            <w:u w:val="single"/>
          </w:rPr>
          <w:t>16.2</w:t>
        </w:r>
      </w:hyperlink>
      <w:r>
        <w:t xml:space="preserve"> pelo contrário). O compilador queria mostrar que Deus tinha sido fiel a Davi, mesmo que os filhos de Davi não fossem fiéis. Embora ambos os reinos tivessem aproximadamente o mesmo número de reis, o reino do norte é marcado por repetidas mudanças dinásticas e regicídios ao longo de seus 200 anos, enquanto a dinastia de Davi é mantida como uma lâmpada no sul por 350 anos (</w:t>
      </w:r>
      <w:hyperlink r:id="rId18348">
        <w:r>
          <w:rPr>
            <w:color w:val="0000EE"/>
            <w:u w:val="single"/>
          </w:rPr>
          <w:t>1Rs 11.13,32,36</w:t>
        </w:r>
      </w:hyperlink>
      <w:r>
        <w:t xml:space="preserve">; </w:t>
      </w:r>
      <w:hyperlink r:id="rId18349">
        <w:r>
          <w:rPr>
            <w:color w:val="0000EE"/>
            <w:u w:val="single"/>
          </w:rPr>
          <w:t>15.4–5</w:t>
        </w:r>
      </w:hyperlink>
      <w:r>
        <w:t xml:space="preserve">; </w:t>
      </w:r>
      <w:hyperlink r:id="rId18350">
        <w:r>
          <w:rPr>
            <w:color w:val="0000EE"/>
            <w:u w:val="single"/>
          </w:rPr>
          <w:t>2Rs 8.19</w:t>
        </w:r>
      </w:hyperlink>
      <w:r>
        <w:t xml:space="preserve">; </w:t>
      </w:r>
      <w:hyperlink r:id="rId18351">
        <w:r>
          <w:rPr>
            <w:color w:val="0000EE"/>
            <w:u w:val="single"/>
          </w:rPr>
          <w:t>19.34</w:t>
        </w:r>
      </w:hyperlink>
      <w:r>
        <w:t xml:space="preserve">; </w:t>
      </w:r>
      <w:hyperlink r:id="rId18352">
        <w:r>
          <w:rPr>
            <w:color w:val="0000EE"/>
            <w:u w:val="single"/>
          </w:rPr>
          <w:t>20.6</w:t>
        </w:r>
      </w:hyperlink>
      <w:r>
        <w:t>). É o desastre que se abateu sobre a casa de Davi, e as consequentes dúvidas sobre as promessas de Deus, que levaram o compilador a escrever.</w:t>
      </w:r>
    </w:p>
    <w:p>
      <w:pPr>
        <w:pStyle w:val="Heading4"/>
      </w:pPr>
      <w:r>
        <w:t>Eficácia da palavra profética</w:t>
      </w:r>
    </w:p>
    <w:p>
      <w:r/>
      <w:r>
        <w:t xml:space="preserve">Outra razão pela qual Reis pode ser chamado de história deuteronômica é sua preocupação com a eficácia da palavra profética. Existem três passagens no Pentateuco que tratam da instituição da ordem profética: </w:t>
      </w:r>
      <w:hyperlink r:id="rId18353">
        <w:r>
          <w:rPr>
            <w:color w:val="0000EE"/>
            <w:u w:val="single"/>
          </w:rPr>
          <w:t>Nm 12.1–8</w:t>
        </w:r>
      </w:hyperlink>
      <w:r>
        <w:t xml:space="preserve">; </w:t>
      </w:r>
      <w:hyperlink r:id="rId8363">
        <w:r>
          <w:rPr>
            <w:color w:val="0000EE"/>
            <w:u w:val="single"/>
          </w:rPr>
          <w:t>Dt 13.1–5</w:t>
        </w:r>
      </w:hyperlink>
      <w:r>
        <w:t xml:space="preserve">; e </w:t>
      </w:r>
      <w:hyperlink r:id="rId18354">
        <w:r>
          <w:rPr>
            <w:color w:val="0000EE"/>
            <w:u w:val="single"/>
          </w:rPr>
          <w:t>Dt 18.14–22</w:t>
        </w:r>
      </w:hyperlink>
      <w:r>
        <w:t xml:space="preserve">. É apenas em </w:t>
      </w:r>
      <w:hyperlink r:id="rId18355">
        <w:r>
          <w:rPr>
            <w:color w:val="0000EE"/>
            <w:u w:val="single"/>
          </w:rPr>
          <w:t>Dt 18</w:t>
        </w:r>
      </w:hyperlink>
      <w:r>
        <w:t xml:space="preserve"> que o teste de um verdadeiro profeta é dado: que o que ele falou se concretize, que suas palavras se cumpram. Observe o número de instâncias em que o escritor chama a atenção para o cumprimento das palavras dos profetas: </w:t>
      </w:r>
      <w:hyperlink r:id="rId12322">
        <w:r>
          <w:rPr>
            <w:color w:val="0000EE"/>
            <w:u w:val="single"/>
          </w:rPr>
          <w:t>2Sm 7.13</w:t>
        </w:r>
      </w:hyperlink>
      <w:r>
        <w:t xml:space="preserve"> em </w:t>
      </w:r>
      <w:hyperlink r:id="rId18356">
        <w:r>
          <w:rPr>
            <w:color w:val="0000EE"/>
            <w:u w:val="single"/>
          </w:rPr>
          <w:t>1Rs 8.20</w:t>
        </w:r>
      </w:hyperlink>
      <w:r>
        <w:t xml:space="preserve">; </w:t>
      </w:r>
      <w:hyperlink r:id="rId18357">
        <w:r>
          <w:rPr>
            <w:color w:val="0000EE"/>
            <w:u w:val="single"/>
          </w:rPr>
          <w:t>1Rs 11.29–36</w:t>
        </w:r>
      </w:hyperlink>
      <w:r>
        <w:t xml:space="preserve"> em </w:t>
      </w:r>
      <w:hyperlink r:id="rId18358">
        <w:r>
          <w:rPr>
            <w:color w:val="0000EE"/>
            <w:u w:val="single"/>
          </w:rPr>
          <w:t>12.15</w:t>
        </w:r>
      </w:hyperlink>
      <w:r>
        <w:t xml:space="preserve">; </w:t>
      </w:r>
      <w:hyperlink r:id="rId18359">
        <w:r>
          <w:rPr>
            <w:color w:val="0000EE"/>
            <w:u w:val="single"/>
          </w:rPr>
          <w:t>1Rs 13.1–3</w:t>
        </w:r>
      </w:hyperlink>
      <w:r>
        <w:t xml:space="preserve"> em </w:t>
      </w:r>
      <w:hyperlink r:id="rId18360">
        <w:r>
          <w:rPr>
            <w:color w:val="0000EE"/>
            <w:u w:val="single"/>
          </w:rPr>
          <w:t>2Rs 23.16–18</w:t>
        </w:r>
      </w:hyperlink>
      <w:r>
        <w:t xml:space="preserve">; </w:t>
      </w:r>
      <w:hyperlink r:id="rId18361">
        <w:r>
          <w:rPr>
            <w:color w:val="0000EE"/>
            <w:u w:val="single"/>
          </w:rPr>
          <w:t>1Rs 14.6–12</w:t>
        </w:r>
      </w:hyperlink>
      <w:r>
        <w:t xml:space="preserve"> em </w:t>
      </w:r>
      <w:hyperlink r:id="rId18362">
        <w:r>
          <w:rPr>
            <w:color w:val="0000EE"/>
            <w:u w:val="single"/>
          </w:rPr>
          <w:t>14.17–18</w:t>
        </w:r>
      </w:hyperlink>
      <w:r>
        <w:t xml:space="preserve"> e </w:t>
      </w:r>
      <w:hyperlink r:id="rId15021">
        <w:r>
          <w:rPr>
            <w:color w:val="0000EE"/>
            <w:u w:val="single"/>
          </w:rPr>
          <w:t>15.29</w:t>
        </w:r>
      </w:hyperlink>
      <w:r>
        <w:t xml:space="preserve">; </w:t>
      </w:r>
      <w:hyperlink r:id="rId18363">
        <w:r>
          <w:rPr>
            <w:color w:val="0000EE"/>
            <w:u w:val="single"/>
          </w:rPr>
          <w:t>1Rs 16.1–4</w:t>
        </w:r>
      </w:hyperlink>
      <w:r>
        <w:t xml:space="preserve"> em </w:t>
      </w:r>
      <w:hyperlink r:id="rId18364">
        <w:r>
          <w:rPr>
            <w:color w:val="0000EE"/>
            <w:u w:val="single"/>
          </w:rPr>
          <w:t>16.7,11–12</w:t>
        </w:r>
      </w:hyperlink>
      <w:r>
        <w:t xml:space="preserve">; </w:t>
      </w:r>
      <w:hyperlink r:id="rId104">
        <w:r>
          <w:rPr>
            <w:color w:val="0000EE"/>
            <w:u w:val="single"/>
          </w:rPr>
          <w:t>Js 6.26</w:t>
        </w:r>
      </w:hyperlink>
      <w:r>
        <w:t xml:space="preserve"> em </w:t>
      </w:r>
      <w:hyperlink r:id="rId103">
        <w:r>
          <w:rPr>
            <w:color w:val="0000EE"/>
            <w:u w:val="single"/>
          </w:rPr>
          <w:t>1Rs 16.34</w:t>
        </w:r>
      </w:hyperlink>
      <w:r>
        <w:t xml:space="preserve">; </w:t>
      </w:r>
      <w:hyperlink r:id="rId16386">
        <w:r>
          <w:rPr>
            <w:color w:val="0000EE"/>
            <w:u w:val="single"/>
          </w:rPr>
          <w:t>1Rs 22.17</w:t>
        </w:r>
      </w:hyperlink>
      <w:r>
        <w:t xml:space="preserve"> em </w:t>
      </w:r>
      <w:hyperlink r:id="rId18365">
        <w:r>
          <w:rPr>
            <w:color w:val="0000EE"/>
            <w:u w:val="single"/>
          </w:rPr>
          <w:t>22.35–38</w:t>
        </w:r>
      </w:hyperlink>
      <w:r>
        <w:t xml:space="preserve">; </w:t>
      </w:r>
      <w:hyperlink r:id="rId18366">
        <w:r>
          <w:rPr>
            <w:color w:val="0000EE"/>
            <w:u w:val="single"/>
          </w:rPr>
          <w:t>1Rs 21.21–29</w:t>
        </w:r>
      </w:hyperlink>
      <w:r>
        <w:t xml:space="preserve"> em </w:t>
      </w:r>
      <w:hyperlink r:id="rId18367">
        <w:r>
          <w:rPr>
            <w:color w:val="0000EE"/>
            <w:u w:val="single"/>
          </w:rPr>
          <w:t>2Rs 9.7–10,30–37</w:t>
        </w:r>
      </w:hyperlink>
      <w:r>
        <w:t xml:space="preserve"> e </w:t>
      </w:r>
      <w:hyperlink r:id="rId18368">
        <w:r>
          <w:rPr>
            <w:color w:val="0000EE"/>
            <w:u w:val="single"/>
          </w:rPr>
          <w:t>10.10–11,30</w:t>
        </w:r>
      </w:hyperlink>
      <w:r>
        <w:t xml:space="preserve">; </w:t>
      </w:r>
      <w:hyperlink r:id="rId18369">
        <w:r>
          <w:rPr>
            <w:color w:val="0000EE"/>
            <w:u w:val="single"/>
          </w:rPr>
          <w:t>2Rs 1.6</w:t>
        </w:r>
      </w:hyperlink>
      <w:r>
        <w:t xml:space="preserve"> em </w:t>
      </w:r>
      <w:hyperlink r:id="rId18370">
        <w:r>
          <w:rPr>
            <w:color w:val="0000EE"/>
            <w:u w:val="single"/>
          </w:rPr>
          <w:t>1.17</w:t>
        </w:r>
      </w:hyperlink>
      <w:r>
        <w:t xml:space="preserve">; </w:t>
      </w:r>
      <w:hyperlink r:id="rId8897">
        <w:r>
          <w:rPr>
            <w:color w:val="0000EE"/>
            <w:u w:val="single"/>
          </w:rPr>
          <w:t>2Rs 21.10–15</w:t>
        </w:r>
      </w:hyperlink>
      <w:r>
        <w:t xml:space="preserve"> em </w:t>
      </w:r>
      <w:hyperlink r:id="rId14679">
        <w:r>
          <w:rPr>
            <w:color w:val="0000EE"/>
            <w:u w:val="single"/>
          </w:rPr>
          <w:t>24.2</w:t>
        </w:r>
      </w:hyperlink>
      <w:r>
        <w:t xml:space="preserve">; </w:t>
      </w:r>
      <w:hyperlink r:id="rId18371">
        <w:r>
          <w:rPr>
            <w:color w:val="0000EE"/>
            <w:u w:val="single"/>
          </w:rPr>
          <w:t>2Rs 22.15–20</w:t>
        </w:r>
      </w:hyperlink>
      <w:r>
        <w:t xml:space="preserve"> em </w:t>
      </w:r>
      <w:hyperlink r:id="rId18372">
        <w:r>
          <w:rPr>
            <w:color w:val="0000EE"/>
            <w:u w:val="single"/>
          </w:rPr>
          <w:t>23.30</w:t>
        </w:r>
      </w:hyperlink>
      <w:r>
        <w:t>. O escritor está preocupado em mostrar que as palavras dos profetas eram eficazes e poderosas. Sua preocupação com a ordem profética também é vista no material dedicado a Elias e Eliseu e a outras figuras proféticas.</w:t>
      </w:r>
    </w:p>
    <w:p>
      <w:pPr>
        <w:pStyle w:val="Heading4"/>
      </w:pPr>
      <w:r>
        <w:t>Cumprimento das maldições</w:t>
      </w:r>
    </w:p>
    <w:p>
      <w:r/>
      <w:r>
        <w:t xml:space="preserve">Outro aspecto do interesse do compilador em Deuteronômio é visto em sua preocupação em rastrear o cumprimento das maldições da aliança sobre a desobediência. A aliança de Deus com Israel resultaria em maldições ou bênçãos dependendo da obediência do povo; o compilador de Reis observa as maldições infligidas aos dois reinos por causa de sua falha em cumprir as exigências da aliança. Ele se preocupa em mostrar que a maioria das maldições de </w:t>
      </w:r>
      <w:hyperlink r:id="rId2209">
        <w:r>
          <w:rPr>
            <w:color w:val="0000EE"/>
            <w:u w:val="single"/>
          </w:rPr>
          <w:t>Dt 28.15–68</w:t>
        </w:r>
      </w:hyperlink>
      <w:r>
        <w:t xml:space="preserve"> teve alguma realização histórica na vida do povo. Moisés havia alertado que a desobediência traria “uma nação contra você de longe, desde os confins da terra, como a águia desce” (</w:t>
      </w:r>
      <w:hyperlink r:id="rId16323">
        <w:r>
          <w:rPr>
            <w:color w:val="0000EE"/>
            <w:u w:val="single"/>
          </w:rPr>
          <w:t>Dt 28.49</w:t>
        </w:r>
      </w:hyperlink>
      <w:r>
        <w:t>), e os assírios vieram a Samaria e os babilônios a Jerusalém (</w:t>
      </w:r>
      <w:hyperlink r:id="rId18373">
        <w:r>
          <w:rPr>
            <w:color w:val="0000EE"/>
            <w:u w:val="single"/>
          </w:rPr>
          <w:t>28.52</w:t>
        </w:r>
      </w:hyperlink>
      <w:r>
        <w:t>). O cerco de Samaria durou de 724 a 722 a.C., e o cerco de Jerusalém de 588 a 586 a.C.. As condições terríveis do cerco levariam o povo a devorar seus próprios filhos; mulheres se alimentariam de seus próprios partos. Isso aconteceu com Israel no cerco de Ben-Hadade (</w:t>
      </w:r>
      <w:hyperlink r:id="rId18374">
        <w:r>
          <w:rPr>
            <w:color w:val="0000EE"/>
            <w:u w:val="single"/>
          </w:rPr>
          <w:t>2Rs 6.24–30</w:t>
        </w:r>
      </w:hyperlink>
      <w:r>
        <w:t>). Assim como o Senhor havia se deleitado em prosperar e multiplicar seu povo, ele não se absteria de destruí-los e dispersá-los entre os povos da terra (</w:t>
      </w:r>
      <w:hyperlink r:id="rId18375">
        <w:r>
          <w:rPr>
            <w:color w:val="0000EE"/>
            <w:u w:val="single"/>
          </w:rPr>
          <w:t>Dt 28.63–67</w:t>
        </w:r>
      </w:hyperlink>
      <w:r>
        <w:t>).</w:t>
      </w:r>
    </w:p>
    <w:p>
      <w:r/>
      <w:r>
        <w:t>Dessas e de outras maneiras, o autor de Reis se propôs a escrever a história de Israel e Judá para resolver um dilema teológico. Como reconciliar o exílio com as promessas de Deus à nação e a Davi? Sua resposta é dupla: (1) o problema não estava em Deus, mas na desobediência do povo — Deus permanece justo; (2) o fim do estado não equivale ao fim do povo ou da casa de Davi. Aqui, o final do livro é instrutivo: Evil-Merodaque liberta Jeoaquim da prisão, eleva-o acima dos outros reis e fornece suas rações (</w:t>
      </w:r>
      <w:hyperlink r:id="rId18376">
        <w:r>
          <w:rPr>
            <w:color w:val="0000EE"/>
            <w:u w:val="single"/>
          </w:rPr>
          <w:t>2Rs 25.27–30</w:t>
        </w:r>
      </w:hyperlink>
      <w:r>
        <w:t>). Mesmo durante o exílio, embora reduzida a quase nada, a casa de Davi ainda desfruta do favor e da bênção de Deus. Deus não abandonou suas promessas; o povo deve manter a esperança.</w:t>
      </w:r>
    </w:p>
    <w:p>
      <w:r/>
      <w:r>
        <w:t xml:space="preserve">Outros temas em Reis também mostram as motivações teológicas subjacentes à seleção e arranjo dos dados pelo compilador, particularmente seu uso de Deuteronômio como uma estrutura para examinar a história do povo. Compare as leis que regem a observância da Páscoa em </w:t>
      </w:r>
      <w:hyperlink r:id="rId18377">
        <w:r>
          <w:rPr>
            <w:color w:val="0000EE"/>
            <w:u w:val="single"/>
          </w:rPr>
          <w:t>Êx 12.1–20</w:t>
        </w:r>
      </w:hyperlink>
      <w:r>
        <w:t xml:space="preserve"> e </w:t>
      </w:r>
      <w:hyperlink r:id="rId18378">
        <w:r>
          <w:rPr>
            <w:color w:val="0000EE"/>
            <w:u w:val="single"/>
          </w:rPr>
          <w:t>Dt 16.1–8</w:t>
        </w:r>
      </w:hyperlink>
      <w:r>
        <w:t>: enquanto a Páscoa é centrada na família em Êxodo, ela é celebrada no santuário em Deuteronômio. O escritor de Reis é cuidadoso em mostrar que a Páscoa durante o reinado de Josias foi celebrada de acordo com os requisitos de Deuteronômio (</w:t>
      </w:r>
      <w:hyperlink r:id="rId9274">
        <w:r>
          <w:rPr>
            <w:color w:val="0000EE"/>
            <w:u w:val="single"/>
          </w:rPr>
          <w:t>2Rs 23.21–23</w:t>
        </w:r>
      </w:hyperlink>
      <w:r>
        <w:t>). Uma passagem em Deuteronômio é explicitamente citada com referência à observância da lei por Amazias (</w:t>
      </w:r>
      <w:hyperlink r:id="rId18379">
        <w:r>
          <w:rPr>
            <w:color w:val="0000EE"/>
            <w:u w:val="single"/>
          </w:rPr>
          <w:t>Dt 24.16</w:t>
        </w:r>
      </w:hyperlink>
      <w:r>
        <w:t xml:space="preserve"> em </w:t>
      </w:r>
      <w:hyperlink r:id="rId18380">
        <w:r>
          <w:rPr>
            <w:color w:val="0000EE"/>
            <w:u w:val="single"/>
          </w:rPr>
          <w:t>2Rs 14.6</w:t>
        </w:r>
      </w:hyperlink>
      <w:r>
        <w:t>).</w:t>
      </w:r>
    </w:p>
    <w:p>
      <w:pPr>
        <w:pStyle w:val="Heading4"/>
      </w:pPr>
      <w:r>
        <w:t>Contraste com Crônicas</w:t>
      </w:r>
    </w:p>
    <w:p>
      <w:r/>
      <w:r>
        <w:t>Os interesses de Reis são ainda mais destacados quando comparados com os relatos paralelos em Crônicas. Enquanto o escritor de Reis trabalhou no rescaldo da destruição de Jerusalém e teve que responder às perguntas “como?” e “por quê?”, o Cronista faz parte da comunidade de restauração. Aqui, as questões teológicas urgentes não eram “como?” e “por quê?”, mas sim “Que continuidade temos com Davi? Deus ainda está interessado em nós?”. A necessidade não é explicar o exílio, mas sim relacionar o pós-exílio com o pré-exílio. A construção do Segundo templo e a organização do culto ali aparecem com mais detalhes em Crônicas do que em qualquer questão relacionada ao antigo templo. Crônicas é uma história de Judá e da linha davídica, refletindo o fato de que ela sozinha sobrevive após o exílio. Interessante também são as coisas omitidas pelo Cronista. Como ele não está construindo um caso para uma acusação, como foi feito em Samuel e Reis, ele é livre para omitir referências ao pecado de Davi com Bate-Seba (</w:t>
      </w:r>
      <w:hyperlink r:id="rId2576">
        <w:r>
          <w:rPr>
            <w:color w:val="0000EE"/>
            <w:u w:val="single"/>
          </w:rPr>
          <w:t>2Sm 11</w:t>
        </w:r>
      </w:hyperlink>
      <w:r>
        <w:t>) ou às dificuldades de Salomão em conquistar o trono (</w:t>
      </w:r>
      <w:hyperlink r:id="rId18290">
        <w:r>
          <w:rPr>
            <w:color w:val="0000EE"/>
            <w:u w:val="single"/>
          </w:rPr>
          <w:t>1Rs 1–2</w:t>
        </w:r>
      </w:hyperlink>
      <w:r>
        <w:t xml:space="preserve">). Como em seu tempo o reino do norte não havia sobrevivido, o Cronista não entrou em detalhes sobre os pecados de Jeroboão (caps </w:t>
      </w:r>
      <w:hyperlink r:id="rId18381">
        <w:r>
          <w:rPr>
            <w:color w:val="0000EE"/>
            <w:u w:val="single"/>
          </w:rPr>
          <w:t>13–14</w:t>
        </w:r>
      </w:hyperlink>
      <w:r>
        <w:t>). Crônicas está mais interessado nos assuntos do templo e não mostra o interesse marcante em questões proféticas encontrado em Reis, de modo que as vidas de Elias e Eliseu são omitidas (</w:t>
      </w:r>
      <w:hyperlink r:id="rId18382">
        <w:r>
          <w:rPr>
            <w:color w:val="0000EE"/>
            <w:u w:val="single"/>
          </w:rPr>
          <w:t>1Rs 16—2Rs 10</w:t>
        </w:r>
      </w:hyperlink>
      <w:r>
        <w:t>). Tampouco o Cronista recita os pecados que levaram à queda do reino do norte (</w:t>
      </w:r>
      <w:hyperlink r:id="rId18383">
        <w:r>
          <w:rPr>
            <w:color w:val="0000EE"/>
            <w:u w:val="single"/>
          </w:rPr>
          <w:t>2Rs 17.1–18.12</w:t>
        </w:r>
      </w:hyperlink>
      <w:r>
        <w:t>). Em todos esses exemplos, pode-se ver a interação do momento histórico e das preocupações teológicas do povo e dos compiladores. Cada compilador selecionou e organizou os dados de acordo com as preocupações e necessidades da comunidade da qual fazia parte; comparar os dois relatos destaca os interesses de cada um de forma clara.</w:t>
      </w:r>
    </w:p>
    <w:p>
      <w:pPr>
        <w:pStyle w:val="Heading3"/>
      </w:pPr>
      <w:r>
        <w:t>Conteúdo</w:t>
      </w:r>
    </w:p>
    <w:p>
      <w:r/>
      <w:r>
        <w:t>Os livros dos Reis se dividem em três partes: (1) o reinado de Salomão (</w:t>
      </w:r>
      <w:hyperlink r:id="rId18384">
        <w:r>
          <w:rPr>
            <w:color w:val="0000EE"/>
            <w:u w:val="single"/>
          </w:rPr>
          <w:t>1Rs 1–11</w:t>
        </w:r>
      </w:hyperlink>
      <w:r>
        <w:t>); (2) a história do reino dividido (</w:t>
      </w:r>
      <w:hyperlink r:id="rId18385">
        <w:r>
          <w:rPr>
            <w:color w:val="0000EE"/>
            <w:u w:val="single"/>
          </w:rPr>
          <w:t>1Rs 12 – 2</w:t>
        </w:r>
      </w:hyperlink>
      <w:r>
        <w:t>Rs 17); (3) a história do reino remanescente em Judá (</w:t>
      </w:r>
      <w:hyperlink r:id="rId18293">
        <w:r>
          <w:rPr>
            <w:color w:val="0000EE"/>
            <w:u w:val="single"/>
          </w:rPr>
          <w:t>2Rs 18–25</w:t>
        </w:r>
      </w:hyperlink>
      <w:r>
        <w:t>).</w:t>
      </w:r>
    </w:p>
    <w:p>
      <w:pPr>
        <w:pStyle w:val="Heading4"/>
      </w:pPr>
      <w:r>
        <w:t>O reinado de Salomão (</w:t>
      </w:r>
      <w:hyperlink r:id="rId18384">
        <w:r>
          <w:rPr>
            <w:color w:val="0000EE"/>
            <w:u w:val="single"/>
          </w:rPr>
          <w:t>1Rs 1–11</w:t>
        </w:r>
      </w:hyperlink>
      <w:r>
        <w:t>)</w:t>
      </w:r>
    </w:p>
    <w:p>
      <w:r/>
      <w:r>
        <w:t xml:space="preserve">O registro começa com um relato da intriga da corte em torno da ascensão de Salomão ao trono, ambientado no contexto do golpe fracassado de Adonias (cap </w:t>
      </w:r>
      <w:hyperlink r:id="rId3188">
        <w:r>
          <w:rPr>
            <w:color w:val="0000EE"/>
            <w:u w:val="single"/>
          </w:rPr>
          <w:t>1</w:t>
        </w:r>
      </w:hyperlink>
      <w:r>
        <w:t>). O moribundo Davi encarrega Salomão de obedecer aos mandamentos de Deus (</w:t>
      </w:r>
      <w:hyperlink r:id="rId18386">
        <w:r>
          <w:rPr>
            <w:color w:val="0000EE"/>
            <w:u w:val="single"/>
          </w:rPr>
          <w:t>2.1–4</w:t>
        </w:r>
      </w:hyperlink>
      <w:r>
        <w:t xml:space="preserve">) e também de se vingar de seus inimigos (vv. </w:t>
      </w:r>
      <w:hyperlink r:id="rId18387">
        <w:r>
          <w:rPr>
            <w:color w:val="0000EE"/>
            <w:u w:val="single"/>
          </w:rPr>
          <w:t>5–9</w:t>
        </w:r>
      </w:hyperlink>
      <w:r>
        <w:t xml:space="preserve">). Após a morte de Davi, Salomão ordena a morte de Adonias, Joabe e Simei, e o banimento de Abiatar, o sacerdote que havia apoiado Adonias em sua tentativa pelo trono (vv. </w:t>
      </w:r>
      <w:hyperlink r:id="rId18388">
        <w:r>
          <w:rPr>
            <w:color w:val="0000EE"/>
            <w:u w:val="single"/>
          </w:rPr>
          <w:t>13–46</w:t>
        </w:r>
      </w:hyperlink>
      <w:r>
        <w:t xml:space="preserve">). Com os inimigos eliminados, o reino foi firmemente estabelecido por Salomão (v. </w:t>
      </w:r>
      <w:hyperlink r:id="rId18311">
        <w:r>
          <w:rPr>
            <w:color w:val="0000EE"/>
            <w:u w:val="single"/>
          </w:rPr>
          <w:t>46</w:t>
        </w:r>
      </w:hyperlink>
      <w:r>
        <w:t>).</w:t>
      </w:r>
    </w:p>
    <w:p>
      <w:r/>
      <w:r>
        <w:t xml:space="preserve">O restante do reinado de Salomão é dividido em duas partes: Salomão o bom, que segue os caminhos de seu pai, Davi (caps. </w:t>
      </w:r>
      <w:hyperlink r:id="rId18389">
        <w:r>
          <w:rPr>
            <w:color w:val="0000EE"/>
            <w:u w:val="single"/>
          </w:rPr>
          <w:t>3–10</w:t>
        </w:r>
      </w:hyperlink>
      <w:r>
        <w:t xml:space="preserve">); e Salomão o mau, cujo coração é desviado (cap. </w:t>
      </w:r>
      <w:hyperlink r:id="rId18390">
        <w:r>
          <w:rPr>
            <w:color w:val="0000EE"/>
            <w:u w:val="single"/>
          </w:rPr>
          <w:t>11</w:t>
        </w:r>
      </w:hyperlink>
      <w:r>
        <w:t xml:space="preserve">). Enquanto sacrificava em Gibeão, Salomão pede a Deus que lhe conceda o dom da sabedoria para governar — sabedoria prontamente demonstrada na disputa de duas prostitutas sobre uma criança (cap 3). É dado um relato da organização administrativa do reino e da sabedoria incomparável de Salomão (cap. 4). O compilador de Reis dá ampla cobertura aos preparativos (cap. 5), construção (caps. </w:t>
      </w:r>
      <w:hyperlink r:id="rId18302">
        <w:r>
          <w:rPr>
            <w:color w:val="0000EE"/>
            <w:u w:val="single"/>
          </w:rPr>
          <w:t>6–7</w:t>
        </w:r>
      </w:hyperlink>
      <w:r>
        <w:t>) e dedicação (cap. 8) do templo. Deus apareceu a Salomão uma segunda vez, lembrando-o de guardar seus mandamentos como Davi havia feito (</w:t>
      </w:r>
      <w:hyperlink r:id="rId18391">
        <w:r>
          <w:rPr>
            <w:color w:val="0000EE"/>
            <w:u w:val="single"/>
          </w:rPr>
          <w:t>9.1–9</w:t>
        </w:r>
      </w:hyperlink>
      <w:r>
        <w:t xml:space="preserve">). São dados detalhes das atividades de construção e comerciais do rei (vv. </w:t>
      </w:r>
      <w:hyperlink r:id="rId18392">
        <w:r>
          <w:rPr>
            <w:color w:val="0000EE"/>
            <w:u w:val="single"/>
          </w:rPr>
          <w:t>10–27</w:t>
        </w:r>
      </w:hyperlink>
      <w:r>
        <w:t>). O relato da visita da Rainha de Sabá é seguido pela descrição do esplendor de Salomão (cap. 10). Mas Salomão não guardou os mandamentos de Deus; seduzido à adoração pagã por suas esposas estrangeiras, ele não foi totalmente devotado ao Senhor como Davi havia sido (</w:t>
      </w:r>
      <w:hyperlink r:id="rId4554">
        <w:r>
          <w:rPr>
            <w:color w:val="0000EE"/>
            <w:u w:val="single"/>
          </w:rPr>
          <w:t>11.4</w:t>
        </w:r>
      </w:hyperlink>
      <w:r>
        <w:t xml:space="preserve">), e Deus determinou tirar as tribos do norte do governo de seu filho (vv. </w:t>
      </w:r>
      <w:hyperlink r:id="rId18393">
        <w:r>
          <w:rPr>
            <w:color w:val="0000EE"/>
            <w:u w:val="single"/>
          </w:rPr>
          <w:t>11–13</w:t>
        </w:r>
      </w:hyperlink>
      <w:r>
        <w:t xml:space="preserve">). Como punição da mão de Deus, Salomão enfrentou rebelião entre os povos conquistados (vv </w:t>
      </w:r>
      <w:hyperlink r:id="rId10284">
        <w:r>
          <w:rPr>
            <w:color w:val="0000EE"/>
            <w:u w:val="single"/>
          </w:rPr>
          <w:t>14–25</w:t>
        </w:r>
      </w:hyperlink>
      <w:r>
        <w:t xml:space="preserve">) e dentro de Israel na pessoa de Jeroboão (vv. </w:t>
      </w:r>
      <w:hyperlink r:id="rId7728">
        <w:r>
          <w:rPr>
            <w:color w:val="0000EE"/>
            <w:u w:val="single"/>
          </w:rPr>
          <w:t>26–40</w:t>
        </w:r>
      </w:hyperlink>
      <w:r>
        <w:t>).</w:t>
      </w:r>
    </w:p>
    <w:p>
      <w:pPr>
        <w:pStyle w:val="Heading4"/>
      </w:pPr>
      <w:r>
        <w:t>História do reino dividido (</w:t>
      </w:r>
      <w:hyperlink r:id="rId18292">
        <w:r>
          <w:rPr>
            <w:color w:val="0000EE"/>
            <w:u w:val="single"/>
          </w:rPr>
          <w:t>1Rs 12—2Rs 17</w:t>
        </w:r>
      </w:hyperlink>
      <w:r>
        <w:t>)</w:t>
      </w:r>
    </w:p>
    <w:p>
      <w:r/>
      <w:r>
        <w:t>A monarquia unida se desfez após a morte de Salomão. O reino do norte (Israel) existiria por cerca de dois séculos, seria governado por 20 reis de nove dinastias diferentes e apresentaria uma história de fraqueza interna repleta de regicídios e usurpações. Em contraste, o reino do sul duraria três séculos e meio e seria governado por 19 reis de descendência davídica (exceto por um curto período sob a usurpadora dinástica Atalia).</w:t>
      </w:r>
    </w:p>
    <w:p>
      <w:r/>
      <w:r>
        <w:t>Havia uma longa história de ação independente e até mesmo de guerra entre as tribos do norte e do sul antes de Davi e Salomão, então não é surpresa que a divisão ocorresse nas linhas que ocorreu. A causa imediata, no entanto, foi a severidade imprudente com que Roboão respondeu aos representantes das tribos do norte enquanto negociava pela realeza. Jeroboão, o herói popular da insurreição anterior contra Salomão, tornou-se rei no norte. Ele imediatamente ergueu os santuários rivais em Dã e Betel (</w:t>
      </w:r>
      <w:hyperlink r:id="rId12328">
        <w:r>
          <w:rPr>
            <w:color w:val="0000EE"/>
            <w:u w:val="single"/>
          </w:rPr>
          <w:t>1Rs 12</w:t>
        </w:r>
      </w:hyperlink>
      <w:r>
        <w:t>); esses altares rivais tornaram-se a medida pela qual os reis de Israel foram condenados por seguir os pecados de Jeroboão.</w:t>
      </w:r>
    </w:p>
    <w:p>
      <w:r/>
      <w:r>
        <w:t>Por duas gerações, haveria guerra entre Israel e Judá sobre as áreas de fronteira em Benjamim, reivindicadas por ambos os lados. Cinquenta anos de combates esporádicos em sua fronteira mútua, entrelaçados com invasões dos arameus no norte ou dos egípcios no sul, consumiriam os reinados de Jeroboão, Nadabe, Baasa, Elá e Zinri em Israel e de Roboão, Abijam e Asa em Judá (</w:t>
      </w:r>
      <w:hyperlink r:id="rId18394">
        <w:r>
          <w:rPr>
            <w:color w:val="0000EE"/>
            <w:u w:val="single"/>
          </w:rPr>
          <w:t>1Rs 13.1–16.20</w:t>
        </w:r>
      </w:hyperlink>
      <w:r>
        <w:t>).</w:t>
      </w:r>
    </w:p>
    <w:p>
      <w:r/>
      <w:r>
        <w:t>A ascensão de Onri em Israel introduziu uma dinastia que duraria um total de quatro gerações e encerraria a instabilidade dinástica do reino do norte. Embora o livro de Reis dedique a Onri apenas oito versículos (</w:t>
      </w:r>
      <w:hyperlink r:id="rId18312">
        <w:r>
          <w:rPr>
            <w:color w:val="0000EE"/>
            <w:u w:val="single"/>
          </w:rPr>
          <w:t>1Rs 16.21–28</w:t>
        </w:r>
      </w:hyperlink>
      <w:r>
        <w:t>), ele foi um dos maiores reis do norte, forjando alianças com os fenícios e Judá; por mais de um século, os assírios chamariam Israel de “a casa de Onri”.</w:t>
      </w:r>
    </w:p>
    <w:p>
      <w:r/>
      <w:r>
        <w:t>Os reinados dos sucessores de Onri, Acabe, Acazias e Jeorão, são tratados com uma extensão desproporcional, ocupando quase um terço do livro total, 16 de 47 capítulos (</w:t>
      </w:r>
      <w:hyperlink r:id="rId18294">
        <w:r>
          <w:rPr>
            <w:color w:val="0000EE"/>
            <w:u w:val="single"/>
          </w:rPr>
          <w:t>1Rs 17—2Rs 10</w:t>
        </w:r>
      </w:hyperlink>
      <w:r>
        <w:t xml:space="preserve">). Isso ocorre porque o compilador de Reis incorporou uma cobertura extensa das vidas de Elias e Eliseu, criando um contraste entre o bem e o mal ao fazer um paralelo entre a dinastia de Onri e esses profetas. Acabe e Jezabel foram usados como contrapontos para o relato de Elias, de modo que Acabe se tornou um paradigma do rei mau (e.g., </w:t>
      </w:r>
      <w:hyperlink r:id="rId13351">
        <w:r>
          <w:rPr>
            <w:color w:val="0000EE"/>
            <w:u w:val="single"/>
          </w:rPr>
          <w:t>2Rs 21.3</w:t>
        </w:r>
      </w:hyperlink>
      <w:r>
        <w:t>).</w:t>
      </w:r>
    </w:p>
    <w:p>
      <w:r/>
      <w:r>
        <w:t xml:space="preserve">Devido à preocupação com a dinastia de Onri e as vidas de Elias e Eliseu, o período correspondente em Judá não recebe uma cobertura tão extensa. Durante esse tempo, o reino do norte parece ter exercido alguma hegemonia sobre Judá, como evidenciado pelo casamento de uma omrida (Atalia, </w:t>
      </w:r>
      <w:hyperlink r:id="rId18395">
        <w:r>
          <w:rPr>
            <w:color w:val="0000EE"/>
            <w:u w:val="single"/>
          </w:rPr>
          <w:t>2Rs 8.18,26</w:t>
        </w:r>
      </w:hyperlink>
      <w:r>
        <w:t>) com Jeorão de Judá e o papel subserviente de Josafá a Acabe na batalha de Ramote-Gileade (</w:t>
      </w:r>
      <w:hyperlink r:id="rId18084">
        <w:r>
          <w:rPr>
            <w:color w:val="0000EE"/>
            <w:u w:val="single"/>
          </w:rPr>
          <w:t>1Rs 22</w:t>
        </w:r>
      </w:hyperlink>
      <w:r>
        <w:t>). A sorte de Judá declinou nesse período quando Edom se revoltou contra Jeorão (</w:t>
      </w:r>
      <w:hyperlink r:id="rId7563">
        <w:r>
          <w:rPr>
            <w:color w:val="0000EE"/>
            <w:u w:val="single"/>
          </w:rPr>
          <w:t>2Rs 8.20–22</w:t>
        </w:r>
      </w:hyperlink>
      <w:r>
        <w:t>), custando a Judá o controle sobre o porto em Eziom-Geber e resultando em perdas econômicas.</w:t>
      </w:r>
    </w:p>
    <w:p>
      <w:r/>
      <w:r>
        <w:t>Em 842 a.C., Jeú, após ser ungido rei por um profeta (</w:t>
      </w:r>
      <w:hyperlink r:id="rId18396">
        <w:r>
          <w:rPr>
            <w:color w:val="0000EE"/>
            <w:u w:val="single"/>
          </w:rPr>
          <w:t>2Rs 9.1–13</w:t>
        </w:r>
      </w:hyperlink>
      <w:r>
        <w:t xml:space="preserve">), liderou um golpe que acabou com a casa de Onri e também matou Acazias de Judá (vv </w:t>
      </w:r>
      <w:hyperlink r:id="rId18397">
        <w:r>
          <w:rPr>
            <w:color w:val="0000EE"/>
            <w:u w:val="single"/>
          </w:rPr>
          <w:t>14–29</w:t>
        </w:r>
      </w:hyperlink>
      <w:r>
        <w:t>). O levante de Jeú também resultou na morte de Jezabel, da família de Acabe, membros da família de Acazias e dos ministros de Baal (</w:t>
      </w:r>
      <w:hyperlink r:id="rId18398">
        <w:r>
          <w:rPr>
            <w:color w:val="0000EE"/>
            <w:u w:val="single"/>
          </w:rPr>
          <w:t>9.30–10.36</w:t>
        </w:r>
      </w:hyperlink>
      <w:r>
        <w:t>). As consequências foram politicamente severas: o assassinato da princesa fenícia Jezabel e do rei de Judá custou a Israel seus aliados ao norte e ao sul.</w:t>
      </w:r>
    </w:p>
    <w:p>
      <w:r/>
      <w:r>
        <w:t xml:space="preserve">A dinastia de Jeú teve a sucessão mais longa de qualquer outra em Israel, incluindo Jeoás, Joás, Jeroboão II e Zacarias, em um período que abrangeu 90 anos. O assassinato de Acazias de Judá por Jeú preparou o cenário para a única ameaça à continuidade da dinastia davídica. A rainha Atalia, ela mesma uma Omrida, tomou o trono e tentou realizar uma eliminação dos pretendentes davídicos. Ela governou por seis anos, até que o fiel sacerdote Jeoiada organizou um contragolpe para colocar a criança Joás no trono de Davi (cap. </w:t>
      </w:r>
      <w:hyperlink r:id="rId18399">
        <w:r>
          <w:rPr>
            <w:color w:val="0000EE"/>
            <w:u w:val="single"/>
          </w:rPr>
          <w:t>11</w:t>
        </w:r>
      </w:hyperlink>
      <w:r>
        <w:t>).</w:t>
      </w:r>
    </w:p>
    <w:p>
      <w:r/>
      <w:r>
        <w:t>Israel suportou meio século de fraqueza como resultado do golpe de Jeú, durante o qual os arameus tiveram liberdade para reduzir as forças do filho de Jeú, Jeoás, a um pequeno exército e guarda-costas (</w:t>
      </w:r>
      <w:hyperlink r:id="rId18400">
        <w:r>
          <w:rPr>
            <w:color w:val="0000EE"/>
            <w:u w:val="single"/>
          </w:rPr>
          <w:t>2Rs 13.1–7</w:t>
        </w:r>
      </w:hyperlink>
      <w:r>
        <w:t>).</w:t>
      </w:r>
    </w:p>
    <w:p>
      <w:r/>
      <w:r>
        <w:t>O ressurgimento da Assíria no início do século IX a.C. trouxe alívio para Israel e Judá. Os exércitos assírios conquistaram os arameus; com essa ameaça removida, Israel e Judá desfrutaram de um ressurgimento dramático. Joás de Israel, neto de Jeú, reconquistou cidades perdidas para os arameus (</w:t>
      </w:r>
      <w:hyperlink r:id="rId1266">
        <w:r>
          <w:rPr>
            <w:color w:val="0000EE"/>
            <w:u w:val="single"/>
          </w:rPr>
          <w:t>2Rs 13.25</w:t>
        </w:r>
      </w:hyperlink>
      <w:r>
        <w:t xml:space="preserve">); Eliseu morreu durante seu reinado (v. </w:t>
      </w:r>
      <w:hyperlink r:id="rId14678">
        <w:r>
          <w:rPr>
            <w:color w:val="0000EE"/>
            <w:u w:val="single"/>
          </w:rPr>
          <w:t>20</w:t>
        </w:r>
      </w:hyperlink>
      <w:r>
        <w:t>). No sul, Amazias reconquistou os edomitas (</w:t>
      </w:r>
      <w:hyperlink r:id="rId7564">
        <w:r>
          <w:rPr>
            <w:color w:val="0000EE"/>
            <w:u w:val="single"/>
          </w:rPr>
          <w:t>14.7</w:t>
        </w:r>
      </w:hyperlink>
      <w:r>
        <w:t xml:space="preserve">). Amazias e Joás renovaram a guerra entre os reinos, com o norte novamente vitorioso (vv. </w:t>
      </w:r>
      <w:hyperlink r:id="rId11628">
        <w:r>
          <w:rPr>
            <w:color w:val="0000EE"/>
            <w:u w:val="single"/>
          </w:rPr>
          <w:t>8–14</w:t>
        </w:r>
      </w:hyperlink>
      <w:r>
        <w:t>).</w:t>
      </w:r>
    </w:p>
    <w:p>
      <w:r/>
      <w:r>
        <w:t>Durante o reinado de Jeroboão II, Israel desfrutou de um período de prosperidade quando as fronteiras do reino alcançaram a mesma extensão que tinham sob Salomão (</w:t>
      </w:r>
      <w:hyperlink r:id="rId18401">
        <w:r>
          <w:rPr>
            <w:color w:val="0000EE"/>
            <w:u w:val="single"/>
          </w:rPr>
          <w:t>2Rs 14.23–28</w:t>
        </w:r>
      </w:hyperlink>
      <w:r>
        <w:t>). Uzias (Azarias), seu contemporâneo em Judá, também fortificou Jerusalém e empreendeu um programa de operações ofensivas, estendendo a influência de Judá para o sul (</w:t>
      </w:r>
      <w:hyperlink r:id="rId18402">
        <w:r>
          <w:rPr>
            <w:color w:val="0000EE"/>
            <w:u w:val="single"/>
          </w:rPr>
          <w:t>14.21–22</w:t>
        </w:r>
      </w:hyperlink>
      <w:r>
        <w:t xml:space="preserve">; </w:t>
      </w:r>
      <w:hyperlink r:id="rId18403">
        <w:r>
          <w:rPr>
            <w:color w:val="0000EE"/>
            <w:u w:val="single"/>
          </w:rPr>
          <w:t>15.1–7</w:t>
        </w:r>
      </w:hyperlink>
      <w:r>
        <w:t>).</w:t>
      </w:r>
    </w:p>
    <w:p>
      <w:r/>
      <w:r>
        <w:t>No entanto, esse ressurgimento foi apenas um pôr do sol brilhante na história dos dois reinos. Após a morte de Jeroboão II, a história é de desastres sucessivos, culminando na queda de Israel e na subjugação de Judá ao poder da Assíria. Nos próximos 30 anos em Israel, haveria quatro dinastias, três representadas por apenas um rei, e repetidos regicídios enquanto o reino do norte se apressava para sua ruína. Um período de guerra civil e anarquia veria cinco reis em pouco mais de dez anos (</w:t>
      </w:r>
      <w:hyperlink r:id="rId18404">
        <w:r>
          <w:rPr>
            <w:color w:val="0000EE"/>
            <w:u w:val="single"/>
          </w:rPr>
          <w:t>2Rs 15</w:t>
        </w:r>
      </w:hyperlink>
      <w:r>
        <w:t>). Pesados tributos foram pagos a Tiglate-Pileser III tanto no norte quanto no sul (</w:t>
      </w:r>
      <w:hyperlink r:id="rId2776">
        <w:r>
          <w:rPr>
            <w:color w:val="0000EE"/>
            <w:u w:val="single"/>
          </w:rPr>
          <w:t>15.19–20</w:t>
        </w:r>
      </w:hyperlink>
      <w:r>
        <w:t xml:space="preserve">; </w:t>
      </w:r>
      <w:hyperlink r:id="rId18405">
        <w:r>
          <w:rPr>
            <w:color w:val="0000EE"/>
            <w:u w:val="single"/>
          </w:rPr>
          <w:t>16.7–10</w:t>
        </w:r>
      </w:hyperlink>
      <w:r>
        <w:t>). Israel e os arameus formaram uma coalizão para repelir os assírios e buscaram pressionar Acaz de Judá a entrar na luta; Acaz apelou a Tiglate-Pileser III por ajuda. A coalizão foi destruída, e Israel e Judá tornaram-se vassalos. Oséias desertou assim que se sentiu seguro, buscando ajuda no Egito, mas isso foi suicídio para o reino do norte. Salmanaser V retaliou, e a história política do estado de Israel chegou ao fim (</w:t>
      </w:r>
      <w:hyperlink r:id="rId6486">
        <w:r>
          <w:rPr>
            <w:color w:val="0000EE"/>
            <w:u w:val="single"/>
          </w:rPr>
          <w:t>17.1–23</w:t>
        </w:r>
      </w:hyperlink>
      <w:r>
        <w:t xml:space="preserve">). A área foi repovoada com outras populações deslocadas (vv. </w:t>
      </w:r>
      <w:hyperlink r:id="rId13732">
        <w:r>
          <w:rPr>
            <w:color w:val="0000EE"/>
            <w:u w:val="single"/>
          </w:rPr>
          <w:t>24–41</w:t>
        </w:r>
      </w:hyperlink>
      <w:r>
        <w:t>).</w:t>
      </w:r>
    </w:p>
    <w:p>
      <w:r/>
      <w:r>
        <w:t>Israel enfrentou os arameus e sobreviveu, apenas para cair diante da Assíria. Agora, de forma semelhante, Judá resistiria à Assíria, apenas para cair diante da Babilônia.</w:t>
      </w:r>
    </w:p>
    <w:p>
      <w:pPr>
        <w:pStyle w:val="Heading4"/>
      </w:pPr>
      <w:r>
        <w:t>História do reino remanescente de Judá (</w:t>
      </w:r>
      <w:hyperlink r:id="rId18293">
        <w:r>
          <w:rPr>
            <w:color w:val="0000EE"/>
            <w:u w:val="single"/>
          </w:rPr>
          <w:t>2Rs 18–25</w:t>
        </w:r>
      </w:hyperlink>
      <w:r>
        <w:t>)</w:t>
      </w:r>
    </w:p>
    <w:p>
      <w:r/>
      <w:r>
        <w:t>O pedido de Acaz por ajuda assíria custou-lhe a liberdade, e Judá tornou-se um vassalo do Império Assírio. A adoração ilegítima floresceu sob seu governo (</w:t>
      </w:r>
      <w:hyperlink r:id="rId18406">
        <w:r>
          <w:rPr>
            <w:color w:val="0000EE"/>
            <w:u w:val="single"/>
          </w:rPr>
          <w:t>2Rs 16.1–19</w:t>
        </w:r>
      </w:hyperlink>
      <w:r>
        <w:t>). Acaz foi sucedido pelo primeiro dos notáveis reis reformistas de Judá: Ezequias. Grande parte do relato de seu reinado é dedicada à sua rebelião contra Senaqueribe da Assíria: a rebelião, os enviados e ameaças assírios, as garantias de libertação de Isaías e a destruição dos exércitos assírios (</w:t>
      </w:r>
      <w:hyperlink r:id="rId18407">
        <w:r>
          <w:rPr>
            <w:color w:val="0000EE"/>
            <w:u w:val="single"/>
          </w:rPr>
          <w:t>18.9–19.37</w:t>
        </w:r>
      </w:hyperlink>
      <w:r>
        <w:t>). A doença de Ezequias foi evitada após um sinal e um oráculo de Isaías (</w:t>
      </w:r>
      <w:hyperlink r:id="rId8884">
        <w:r>
          <w:rPr>
            <w:color w:val="0000EE"/>
            <w:u w:val="single"/>
          </w:rPr>
          <w:t>20.1–11</w:t>
        </w:r>
      </w:hyperlink>
      <w:r>
        <w:t xml:space="preserve">). Como parte do que parece ser negociações para uma aliança anti-assíria, Ezequias também recebeu enviados da Babilônia, uma decisão que o profeta anunciou que seria custosa (vv. </w:t>
      </w:r>
      <w:hyperlink r:id="rId18408">
        <w:r>
          <w:rPr>
            <w:color w:val="0000EE"/>
            <w:u w:val="single"/>
          </w:rPr>
          <w:t>12–21</w:t>
        </w:r>
      </w:hyperlink>
      <w:r>
        <w:t>).</w:t>
      </w:r>
    </w:p>
    <w:p>
      <w:r/>
      <w:r>
        <w:t>Ezequias foi sucedido por Manassés, que governou por mais tempo do que qualquer outro rei de Judá (um total de 55 anos). Seu reinado foi marcado por grande apostasia — apostasia tão severa que o compilador de Reis considerou seu reinado como razão suficiente para o exílio que era inevitável (</w:t>
      </w:r>
      <w:hyperlink r:id="rId18409">
        <w:r>
          <w:rPr>
            <w:color w:val="0000EE"/>
            <w:u w:val="single"/>
          </w:rPr>
          <w:t>2Rs 21.1–18</w:t>
        </w:r>
      </w:hyperlink>
      <w:r>
        <w:t xml:space="preserve">; cf. </w:t>
      </w:r>
      <w:hyperlink r:id="rId18410">
        <w:r>
          <w:rPr>
            <w:color w:val="0000EE"/>
            <w:u w:val="single"/>
          </w:rPr>
          <w:t>23.26</w:t>
        </w:r>
      </w:hyperlink>
      <w:r>
        <w:t xml:space="preserve">; </w:t>
      </w:r>
      <w:hyperlink r:id="rId18411">
        <w:r>
          <w:rPr>
            <w:color w:val="0000EE"/>
            <w:u w:val="single"/>
          </w:rPr>
          <w:t>24.3–4</w:t>
        </w:r>
      </w:hyperlink>
      <w:r>
        <w:t xml:space="preserve">; </w:t>
      </w:r>
      <w:hyperlink r:id="rId18412">
        <w:r>
          <w:rPr>
            <w:color w:val="0000EE"/>
            <w:u w:val="single"/>
          </w:rPr>
          <w:t>Jr 15.1–4</w:t>
        </w:r>
      </w:hyperlink>
      <w:r>
        <w:t>). Manassés foi sucedido por seu filho Amom, uma cópia de seu pai, que governou apenas dois anos antes de ser deposto pelo povo (</w:t>
      </w:r>
      <w:hyperlink r:id="rId18413">
        <w:r>
          <w:rPr>
            <w:color w:val="0000EE"/>
            <w:u w:val="single"/>
          </w:rPr>
          <w:t>2Rs 21.19–26</w:t>
        </w:r>
      </w:hyperlink>
      <w:r>
        <w:t>).</w:t>
      </w:r>
    </w:p>
    <w:p>
      <w:r/>
      <w:r>
        <w:t>O segundo grande rei reformador de Judá, Josias, seguiu. Durante seu reinado, o Livro da Lei foi encontrado enquanto o templo estava sendo reformado; ele liderou o povo em uma renovação da aliança e suprimiu o culto ilegítimo (</w:t>
      </w:r>
      <w:hyperlink r:id="rId18414">
        <w:r>
          <w:rPr>
            <w:color w:val="0000EE"/>
            <w:u w:val="single"/>
          </w:rPr>
          <w:t>2Rs 22.1–23.14</w:t>
        </w:r>
      </w:hyperlink>
      <w:r>
        <w:t>). O Império Assírio estava em rápido declínio, então Josias estendeu suas fronteiras para o norte, destruindo o altar em Betel e os altos lugares por toda Samaria (</w:t>
      </w:r>
      <w:hyperlink r:id="rId3488">
        <w:r>
          <w:rPr>
            <w:color w:val="0000EE"/>
            <w:u w:val="single"/>
          </w:rPr>
          <w:t>23.15–20</w:t>
        </w:r>
      </w:hyperlink>
      <w:r>
        <w:t xml:space="preserve">). Uma grande celebração da Páscoa foi convocada em Jerusalém, e outras medidas foram tomadas para retificar o culto (vv. </w:t>
      </w:r>
      <w:hyperlink r:id="rId18415">
        <w:r>
          <w:rPr>
            <w:color w:val="0000EE"/>
            <w:u w:val="single"/>
          </w:rPr>
          <w:t>21–25</w:t>
        </w:r>
      </w:hyperlink>
      <w:r>
        <w:t xml:space="preserve">). Josias tentou bloquear a investida do Faraó Neco para ajudar a Assíria, e perdeu sua vida em Megido (vv. </w:t>
      </w:r>
      <w:hyperlink r:id="rId18416">
        <w:r>
          <w:rPr>
            <w:color w:val="0000EE"/>
            <w:u w:val="single"/>
          </w:rPr>
          <w:t>26–30</w:t>
        </w:r>
      </w:hyperlink>
      <w:r>
        <w:t>).</w:t>
      </w:r>
    </w:p>
    <w:p>
      <w:r/>
      <w:r>
        <w:t>Josias foi o único rei de Judá a ter três de seus filhos sucedendo-o. Após sua morte, o povo colocou Jeoás no trono, mas Neco o removeu três meses depois e o levou para o Egito em correntes (</w:t>
      </w:r>
      <w:hyperlink r:id="rId18417">
        <w:r>
          <w:rPr>
            <w:color w:val="0000EE"/>
            <w:u w:val="single"/>
          </w:rPr>
          <w:t>2Rs 23.31–33</w:t>
        </w:r>
      </w:hyperlink>
      <w:r>
        <w:t xml:space="preserve">), substituindo-o por outro filho de Josias, Eliaquim, cujo nome foi mudado para Jeoaquim (vv </w:t>
      </w:r>
      <w:hyperlink r:id="rId18418">
        <w:r>
          <w:rPr>
            <w:color w:val="0000EE"/>
            <w:u w:val="single"/>
          </w:rPr>
          <w:t>34–37</w:t>
        </w:r>
      </w:hyperlink>
      <w:r>
        <w:t>). Durante seu reinado, Nabucodonosor conquistou Judá, e Jeoaquim tornou-se seu vassalo. No final de sua vida, Jeoaquim se rebelou contra Nabucodonosor. Jeoaquim morreu, deixando seu filho Jeoaquim para enfrentar a retaliação da Babilônia (</w:t>
      </w:r>
      <w:hyperlink r:id="rId18419">
        <w:r>
          <w:rPr>
            <w:color w:val="0000EE"/>
            <w:u w:val="single"/>
          </w:rPr>
          <w:t>24.1–10</w:t>
        </w:r>
      </w:hyperlink>
      <w:r>
        <w:t xml:space="preserve">). Nabucodonosor sitiou Jerusalém; quando a cidade caiu, Jeoaquim, a rainha-mãe, o exército e os líderes da terra foram levados cativos. Nabucodonosor colocou Matanias (tio de Jeoaquim e terceiro filho de Josias) no trono, mudando seu nome para Zedequias (vv. </w:t>
      </w:r>
      <w:hyperlink r:id="rId18420">
        <w:r>
          <w:rPr>
            <w:color w:val="0000EE"/>
            <w:u w:val="single"/>
          </w:rPr>
          <w:t>11–17</w:t>
        </w:r>
      </w:hyperlink>
      <w:r>
        <w:t>). Nove anos depois, Zedequias também se rebelaria contra a Babilônia. Nabucodonosor sitiou a cidade por dois anos e, quando ela caiu, a destruiu completamente. Os filhos de Zedequias foram mortos diante de seus olhos, e então seus próprios olhos foram arrancados, e ele foi levado para a Babilônia (</w:t>
      </w:r>
      <w:hyperlink r:id="rId18421">
        <w:r>
          <w:rPr>
            <w:color w:val="0000EE"/>
            <w:u w:val="single"/>
          </w:rPr>
          <w:t>24.18–25.21</w:t>
        </w:r>
      </w:hyperlink>
      <w:r>
        <w:t>). Nabucodonosor nomeou Gedalias para governar como governador de Mispa, nas proximidades; ele foi assassinado, e os conspiradores fugiram para o Egito (</w:t>
      </w:r>
      <w:hyperlink r:id="rId18422">
        <w:r>
          <w:rPr>
            <w:color w:val="0000EE"/>
            <w:u w:val="single"/>
          </w:rPr>
          <w:t>25.22–26</w:t>
        </w:r>
      </w:hyperlink>
      <w:r>
        <w:t>).</w:t>
      </w:r>
    </w:p>
    <w:p>
      <w:r/>
      <w:r>
        <w:t>O livro conclui mostrando que Deus não havia esquecido sua promessa a Davi, mencionando que, no cativeiro, Jeoaquim desfrutou de favor da parte de Evil-Merodaque, sucessor de Nabucodonozor (</w:t>
      </w:r>
      <w:hyperlink r:id="rId18376">
        <w:r>
          <w:rPr>
            <w:color w:val="0000EE"/>
            <w:u w:val="single"/>
          </w:rPr>
          <w:t>2Rs 25.27–30</w:t>
        </w:r>
      </w:hyperlink>
      <w:r>
        <w:t>).</w:t>
      </w:r>
    </w:p>
    <w:p>
      <w:r/>
      <w:r>
        <w:rPr>
          <w:i/>
        </w:rPr>
        <w:t>Veja também</w:t>
      </w:r>
      <w:r>
        <w:t xml:space="preserve"> </w:t>
      </w:r>
      <w:r>
        <w:t>1Cr e 2Cr</w:t>
      </w:r>
      <w:r>
        <w:t>.</w:t>
      </w:r>
      <w:r/>
      <w:r/>
    </w:p>
    <w:p>
      <w:r/>
    </w:p>
    <w:p>
      <w:pPr>
        <w:pStyle w:val="Heading2"/>
      </w:pPr>
      <w:r>
        <w:t>Relâmpago</w:t>
      </w:r>
      <w:r/>
    </w:p>
    <w:p>
      <w:r/>
      <w:r>
        <w:t>O brilho da luz. Relâmpagos na Bíblia frequentemente indicam a presença de Deus. Eles aparecem em momentos importantes, como:</w:t>
      </w:r>
    </w:p>
    <w:p>
      <w:pPr>
        <w:pStyle w:val="ListBullet"/>
        <w:spacing w:line="240" w:lineRule="auto"/>
        <w:ind w:left="720"/>
      </w:pPr>
      <w:r/>
      <w:r>
        <w:t>Quando Deus vem ao monte Sinai para dar a Moisés os Dez Mandamentos (</w:t>
      </w:r>
      <w:hyperlink r:id="rId18423">
        <w:r>
          <w:rPr>
            <w:color w:val="0000EE"/>
            <w:u w:val="single"/>
          </w:rPr>
          <w:t>Êx 19.16</w:t>
        </w:r>
      </w:hyperlink>
      <w:r>
        <w:t>);</w:t>
      </w:r>
    </w:p>
    <w:p>
      <w:pPr>
        <w:pStyle w:val="ListBullet"/>
        <w:spacing w:line="240" w:lineRule="auto"/>
        <w:ind w:left="720"/>
      </w:pPr>
      <w:r/>
      <w:r>
        <w:t>Ao descrever o retorno de Jesus (</w:t>
      </w:r>
      <w:hyperlink r:id="rId9435">
        <w:r>
          <w:rPr>
            <w:color w:val="0000EE"/>
            <w:u w:val="single"/>
          </w:rPr>
          <w:t>Mt 24.27</w:t>
        </w:r>
      </w:hyperlink>
      <w:r>
        <w:t>);</w:t>
      </w:r>
    </w:p>
    <w:p>
      <w:pPr>
        <w:pStyle w:val="ListBullet"/>
        <w:spacing w:line="240" w:lineRule="auto"/>
        <w:ind w:left="720"/>
      </w:pPr>
      <w:r/>
      <w:r>
        <w:t>Em visões de Deus (</w:t>
      </w:r>
      <w:hyperlink r:id="rId18424">
        <w:r>
          <w:rPr>
            <w:color w:val="0000EE"/>
            <w:u w:val="single"/>
          </w:rPr>
          <w:t>Ez 1.14</w:t>
        </w:r>
      </w:hyperlink>
      <w:r>
        <w:t xml:space="preserve">; </w:t>
      </w:r>
      <w:hyperlink r:id="rId5507">
        <w:r>
          <w:rPr>
            <w:color w:val="0000EE"/>
            <w:u w:val="single"/>
          </w:rPr>
          <w:t>Dn 10.6</w:t>
        </w:r>
      </w:hyperlink>
      <w:r>
        <w:t>).</w:t>
      </w:r>
    </w:p>
    <w:p>
      <w:r/>
      <w:r>
        <w:t>O livro de Apocalipse frequentemente utiliza relâmpagos como símbolo. Este livro tem como principal objetivo oferecer uma visão de Deus (</w:t>
      </w:r>
      <w:hyperlink r:id="rId18425">
        <w:r>
          <w:rPr>
            <w:color w:val="0000EE"/>
            <w:u w:val="single"/>
          </w:rPr>
          <w:t>Ap 4.5</w:t>
        </w:r>
      </w:hyperlink>
      <w:r>
        <w:t xml:space="preserve">; </w:t>
      </w:r>
      <w:hyperlink r:id="rId1007">
        <w:r>
          <w:rPr>
            <w:color w:val="0000EE"/>
            <w:u w:val="single"/>
          </w:rPr>
          <w:t>8.5</w:t>
        </w:r>
      </w:hyperlink>
      <w:r>
        <w:t xml:space="preserve">; </w:t>
      </w:r>
      <w:hyperlink r:id="rId18426">
        <w:r>
          <w:rPr>
            <w:color w:val="0000EE"/>
            <w:u w:val="single"/>
          </w:rPr>
          <w:t>16.18</w:t>
        </w:r>
      </w:hyperlink>
      <w:r>
        <w:t>).</w:t>
      </w:r>
    </w:p>
    <w:p>
      <w:r/>
      <w:r>
        <w:t>O relâmpago pode representar diferentes aspectos de Deus:</w:t>
      </w:r>
    </w:p>
    <w:p>
      <w:pPr>
        <w:pStyle w:val="ListNumber"/>
        <w:spacing w:line="240" w:lineRule="auto"/>
        <w:ind w:left="720"/>
      </w:pPr>
      <w:r/>
      <w:r>
        <w:t>O julgamento de Deus contra os inimigos (</w:t>
      </w:r>
      <w:hyperlink r:id="rId18427">
        <w:r>
          <w:rPr>
            <w:color w:val="0000EE"/>
            <w:u w:val="single"/>
          </w:rPr>
          <w:t>2Sm 22.15</w:t>
        </w:r>
      </w:hyperlink>
      <w:r>
        <w:t xml:space="preserve">; </w:t>
      </w:r>
      <w:hyperlink r:id="rId18426">
        <w:r>
          <w:rPr>
            <w:color w:val="0000EE"/>
            <w:u w:val="single"/>
          </w:rPr>
          <w:t>Ap 16.18</w:t>
        </w:r>
      </w:hyperlink>
      <w:r>
        <w:t>);</w:t>
      </w:r>
    </w:p>
    <w:p>
      <w:pPr>
        <w:pStyle w:val="ListNumber"/>
        <w:spacing w:line="240" w:lineRule="auto"/>
        <w:ind w:left="720"/>
      </w:pPr>
      <w:r/>
      <w:r>
        <w:t>Poder e domínio de Deus sobre toda a criação (</w:t>
      </w:r>
      <w:hyperlink r:id="rId18428">
        <w:r>
          <w:rPr>
            <w:color w:val="0000EE"/>
            <w:u w:val="single"/>
          </w:rPr>
          <w:t>Sl 135.7</w:t>
        </w:r>
      </w:hyperlink>
      <w:r>
        <w:t>).</w:t>
      </w:r>
    </w:p>
    <w:p>
      <w:r/>
      <w:r>
        <w:t>No livro de Jó, Deus menciona relâmpagos para mostrar a Jó quão grandiosa é a criação. Isso ajuda Jó a entender quão pequeno ele é em comparação com Deus e a criação (</w:t>
      </w:r>
      <w:hyperlink r:id="rId18429">
        <w:r>
          <w:rPr>
            <w:color w:val="0000EE"/>
            <w:u w:val="single"/>
          </w:rPr>
          <w:t>Jó 38.35</w:t>
        </w:r>
      </w:hyperlink>
      <w:r>
        <w:t xml:space="preserve">; compare com </w:t>
      </w:r>
      <w:hyperlink r:id="rId18430">
        <w:r>
          <w:rPr>
            <w:color w:val="0000EE"/>
            <w:u w:val="single"/>
          </w:rPr>
          <w:t>Sl 77.16–18</w:t>
        </w:r>
      </w:hyperlink>
      <w:r>
        <w:t>).</w:t>
      </w:r>
      <w:r/>
      <w:r/>
    </w:p>
    <w:p>
      <w:r/>
    </w:p>
    <w:p>
      <w:pPr>
        <w:pStyle w:val="Heading2"/>
      </w:pPr>
      <w:r>
        <w:t>Remanescente</w:t>
      </w:r>
      <w:r/>
    </w:p>
    <w:p>
      <w:r/>
      <w:r>
        <w:t>Grupo de pessoas que sobrevivem a uma catástrofe provocada por Deus, geralmente em julgamento pelo pecado. Este grupo torna-se o núcleo para a continuação da humanidade ou do povo de Deus; a futura existência do grupo maior depende deste remanescente purificado e santo que passou e sobreviveu ao julgamento de Deus. O conceito de remanescente é encontrado em todos os períodos da história redentora, onde a catástrofe — seja desastre natural, doença, guerra ou outros instrumentos — ameaça a continuidade dos propósitos de Deus. Desde o relato da Criação até o final do AT, o conceito é progressivamente aprimorado.</w:t>
      </w:r>
    </w:p>
    <w:p>
      <w:pPr>
        <w:pStyle w:val="Heading3"/>
      </w:pPr>
      <w:r>
        <w:t>O problema</w:t>
      </w:r>
    </w:p>
    <w:p>
      <w:r/>
      <w:r>
        <w:t>O problema teológico que o conceito de remanescente aborda é a tensão entre a graça e as promessas de Deus em contraste com sua santidade e julgamento justo do pecado. Essa tensão entre a graça de Deus e seu julgamento apresenta uma distinção entre o verdadeiro e o falso povo de Deus e entre o povo de Deus presente e futuro. O povo santo, puro e verdadeiro de Deus sobreviverá ao seu julgamento sobre o pecado como um remanescente fiel e se tornará o núcleo de um povo escolhido e renovado. Os propósitos de Deus não são frustrados, mas realizados entre esse povo verdadeiro e renovado.</w:t>
      </w:r>
    </w:p>
    <w:p>
      <w:r/>
      <w:r>
        <w:t>O conceito é um que corta em duas direções. Por um lado, dependendo da expectativa iminente do autor bíblico, pode enfatizar o julgamento, que Deus está prestes a destruir seu povo por causa de seu pecado; o próprio remanescente pode até ser ameaçado porque o julgamento contemplado é tão severo. Por outro lado, o fato de um remanescente sobreviver enfatiza tanto a graça de Deus (seu favor mostrado àqueles que ele manteve seguros) quanto o surgimento de uma nova era e uma nova comunidade, que herda as promessas de Deus ao surgir desse remanescente.</w:t>
      </w:r>
    </w:p>
    <w:p>
      <w:pPr>
        <w:pStyle w:val="Heading3"/>
      </w:pPr>
      <w:r>
        <w:t>No Antigo Testamento</w:t>
      </w:r>
    </w:p>
    <w:p>
      <w:pPr>
        <w:pStyle w:val="Heading4"/>
      </w:pPr>
      <w:r>
        <w:t>Antes do período patriarcal</w:t>
      </w:r>
    </w:p>
    <w:p>
      <w:r/>
      <w:r>
        <w:t>A primeira passagem que exibe o conceito de remanescente é o relato da queda do homem. Embora não haja perda imediata de vida ou redução numérica, o julgamento de Deus ameaça a existência contínua da humanidade (</w:t>
      </w:r>
      <w:hyperlink r:id="rId18431">
        <w:r>
          <w:rPr>
            <w:color w:val="0000EE"/>
            <w:u w:val="single"/>
          </w:rPr>
          <w:t>Gn 3.15–19</w:t>
        </w:r>
      </w:hyperlink>
      <w:r>
        <w:t>). O julgamento é evitado pela graça de Deus, e Adão e Eva tornam-se o núcleo da humanidade; as esperanças do futuro estão focadas em sua descendência (</w:t>
      </w:r>
      <w:hyperlink r:id="rId18432">
        <w:r>
          <w:rPr>
            <w:color w:val="0000EE"/>
            <w:u w:val="single"/>
          </w:rPr>
          <w:t>3.16,20</w:t>
        </w:r>
      </w:hyperlink>
      <w:r>
        <w:t xml:space="preserve">; </w:t>
      </w:r>
      <w:hyperlink r:id="rId4525">
        <w:r>
          <w:rPr>
            <w:color w:val="0000EE"/>
            <w:u w:val="single"/>
          </w:rPr>
          <w:t>4.1</w:t>
        </w:r>
      </w:hyperlink>
      <w:r>
        <w:t>). Os propósitos de Deus para a humanidade serão realizados através da semente da mulher.</w:t>
      </w:r>
    </w:p>
    <w:p>
      <w:r/>
      <w:r>
        <w:t>A narrativa do Dilúvio é mais específica. Por causa da maldade da humanidade, Deus decidiu exterminar toda a vida. No entanto, um homem justo que era irrepreensível diante de Deus, junto com sua família, recebeu o favor de Deus (</w:t>
      </w:r>
      <w:hyperlink r:id="rId13253">
        <w:r>
          <w:rPr>
            <w:color w:val="0000EE"/>
            <w:u w:val="single"/>
          </w:rPr>
          <w:t>Gn 6.8–9</w:t>
        </w:r>
      </w:hyperlink>
      <w:r>
        <w:t xml:space="preserve">; </w:t>
      </w:r>
      <w:hyperlink r:id="rId7147">
        <w:r>
          <w:rPr>
            <w:color w:val="0000EE"/>
            <w:u w:val="single"/>
          </w:rPr>
          <w:t>Hb 11.7</w:t>
        </w:r>
      </w:hyperlink>
      <w:r>
        <w:t>). Somente Noé e aqueles com ele na arca sobreviveram ao julgamento de Deus (</w:t>
      </w:r>
      <w:hyperlink r:id="rId1514">
        <w:r>
          <w:rPr>
            <w:color w:val="0000EE"/>
            <w:u w:val="single"/>
          </w:rPr>
          <w:t>Gn 7.23</w:t>
        </w:r>
      </w:hyperlink>
      <w:r>
        <w:t>). A existência contínua da humanidade se concentra na fertilidade e aumento dos seus filhos (</w:t>
      </w:r>
      <w:hyperlink r:id="rId8512">
        <w:r>
          <w:rPr>
            <w:color w:val="0000EE"/>
            <w:u w:val="single"/>
          </w:rPr>
          <w:t>9.1</w:t>
        </w:r>
      </w:hyperlink>
      <w:r>
        <w:t xml:space="preserve">), introduzindo uma nova era e uma nova aliança (v. </w:t>
      </w:r>
      <w:hyperlink r:id="rId2464">
        <w:r>
          <w:rPr>
            <w:color w:val="0000EE"/>
            <w:u w:val="single"/>
          </w:rPr>
          <w:t>8–17</w:t>
        </w:r>
      </w:hyperlink>
      <w:r>
        <w:t>). Os propósitos de Deus para a humanidade serão realizados na semente de Noé.</w:t>
      </w:r>
    </w:p>
    <w:p>
      <w:pPr>
        <w:pStyle w:val="Heading4"/>
      </w:pPr>
      <w:r>
        <w:t>Do período patriarcal à monarquia</w:t>
      </w:r>
    </w:p>
    <w:p>
      <w:r/>
      <w:r>
        <w:t>Nem todas as passagens que contribuem para o desenvolvimento do motivo do remanescente envolvem a ameaça de julgamento universal. Os pecados das cidades gêmeas de Sodoma e Gomorra eram tão graves que Deus decidiu destruí-las. Por causa de seu servo Abraão (</w:t>
      </w:r>
      <w:hyperlink r:id="rId18433">
        <w:r>
          <w:rPr>
            <w:color w:val="0000EE"/>
            <w:u w:val="single"/>
          </w:rPr>
          <w:t>Gn 18.16–19</w:t>
        </w:r>
      </w:hyperlink>
      <w:r>
        <w:t xml:space="preserve">; </w:t>
      </w:r>
      <w:hyperlink r:id="rId18434">
        <w:r>
          <w:rPr>
            <w:color w:val="0000EE"/>
            <w:u w:val="single"/>
          </w:rPr>
          <w:t>19.29</w:t>
        </w:r>
      </w:hyperlink>
      <w:r>
        <w:t>) e por causa da justiça de Ló (</w:t>
      </w:r>
      <w:hyperlink r:id="rId18435">
        <w:r>
          <w:rPr>
            <w:color w:val="0000EE"/>
            <w:u w:val="single"/>
          </w:rPr>
          <w:t>2Pe 2.8</w:t>
        </w:r>
      </w:hyperlink>
      <w:r>
        <w:t>), Deus poupou Ló e suas duas filhas. As negociações de Abraão com Deus para poupar toda a cidade se 50, e finalmente até mesmo 10, pessoas justas pudessem ser encontradas lá (</w:t>
      </w:r>
      <w:hyperlink r:id="rId4866">
        <w:r>
          <w:rPr>
            <w:color w:val="0000EE"/>
            <w:u w:val="single"/>
          </w:rPr>
          <w:t>Gn 18.22–33</w:t>
        </w:r>
      </w:hyperlink>
      <w:r>
        <w:t>) enfatizam novamente que os justos escapam do julgamento. Deus não destruirá os justos com os ímpios; mesmo quando hesitaram, ele foi misericordioso e os conduziu para fora da cidade (</w:t>
      </w:r>
      <w:hyperlink r:id="rId18436">
        <w:r>
          <w:rPr>
            <w:color w:val="0000EE"/>
            <w:u w:val="single"/>
          </w:rPr>
          <w:t>19.16,29</w:t>
        </w:r>
      </w:hyperlink>
      <w:r>
        <w:t>).</w:t>
      </w:r>
    </w:p>
    <w:p>
      <w:r/>
      <w:r>
        <w:t>A história de José é a ponte literária dos filhos de Jacó, uma família em Canaã (</w:t>
      </w:r>
      <w:hyperlink r:id="rId18437">
        <w:r>
          <w:rPr>
            <w:color w:val="0000EE"/>
            <w:u w:val="single"/>
          </w:rPr>
          <w:t>Gn 46.26–27</w:t>
        </w:r>
      </w:hyperlink>
      <w:r>
        <w:t>), para os milhares de filhos de Israel na época do Êxodo. O tema teológico dominante na história é a preservação da família do patriarca diante da ameaça mortal da fome. Deus enviou José ao Egito para salvar vidas e preservar para sua família um remanescente (</w:t>
      </w:r>
      <w:hyperlink r:id="rId18438">
        <w:r>
          <w:rPr>
            <w:color w:val="0000EE"/>
            <w:u w:val="single"/>
          </w:rPr>
          <w:t>45.6–7</w:t>
        </w:r>
      </w:hyperlink>
      <w:r>
        <w:t>). Os irmãos de José pretendiam fazer mal, mas Deus transformou isso em bem — para salvar muitas vidas (</w:t>
      </w:r>
      <w:hyperlink r:id="rId18439">
        <w:r>
          <w:rPr>
            <w:color w:val="0000EE"/>
            <w:u w:val="single"/>
          </w:rPr>
          <w:t>50.19–20</w:t>
        </w:r>
      </w:hyperlink>
      <w:r>
        <w:t>). Mais uma vez, os propósitos de Deus não são frustrados, mas serão realizados nesses sobreviventes da ameaça de extinção.</w:t>
      </w:r>
    </w:p>
    <w:p>
      <w:r/>
      <w:r>
        <w:t>A obediência aos mandamentos de Deus e a confiança em suas promessas estão em questão quando os espiões retornam de reconhecer Canaã (</w:t>
      </w:r>
      <w:hyperlink r:id="rId18440">
        <w:r>
          <w:rPr>
            <w:color w:val="0000EE"/>
            <w:u w:val="single"/>
          </w:rPr>
          <w:t>Nm 13–14</w:t>
        </w:r>
      </w:hyperlink>
      <w:r>
        <w:t>). Representantes de todas as tribos haviam explorado a terra. Apesar de concordarem sobre sua excelência, todos, exceto dois dos espiões, relataram que a terra não poderia ser tomada. Por causa de suas murmurações, Deus anunciou sua intenção de destruí-los todos e recriar uma nação maior a partir de seu servo fiel Moisés. Depois que Moisés intercedeu em favor do povo, o Senhor cedeu. Em vez de destruição para todos, apenas Josué e Calebe entrariam na herança Prometida por causa de seu relatório fiel. O povo permaneceria no deserto por 40 anos até que todos morressem, exceto esses dois. Os transgressores morreriam, mas o remanescente fiel receberia a promessa.</w:t>
      </w:r>
    </w:p>
    <w:p>
      <w:r/>
      <w:r>
        <w:t>A lei também estipula que a fidelidade é necessária para manter a posse da terra. A desobediência traria doença, derrota na guerra, seca, falha nas colheitas, ataque por animais selvagens, morte pela espada e fome, canibalismo, destruição de cidades e exílio em terras inimigas (</w:t>
      </w:r>
      <w:hyperlink r:id="rId18441">
        <w:r>
          <w:rPr>
            <w:color w:val="0000EE"/>
            <w:u w:val="single"/>
          </w:rPr>
          <w:t>Lv 26.1–39</w:t>
        </w:r>
      </w:hyperlink>
      <w:r>
        <w:t>). Mas para aqueles que restaram, aqueles que confessaram seus pecados e se arrependeram — o remanescente — Deus manteria sua aliança com eles, os restauraria à sua terra e realizaria seu propósito através deles.</w:t>
      </w:r>
    </w:p>
    <w:p>
      <w:pPr>
        <w:pStyle w:val="Heading4"/>
      </w:pPr>
      <w:r>
        <w:t>Da monarquia ao exílio</w:t>
      </w:r>
    </w:p>
    <w:p>
      <w:r/>
      <w:r>
        <w:t>Mesmo no reino do norte apóstata, o Senhor manteve seu remanescente fiel. No final de uma seca de três anos como punição pelos pecados no reino do norte (</w:t>
      </w:r>
      <w:hyperlink r:id="rId221">
        <w:r>
          <w:rPr>
            <w:color w:val="0000EE"/>
            <w:u w:val="single"/>
          </w:rPr>
          <w:t>1Rs 17.1</w:t>
        </w:r>
      </w:hyperlink>
      <w:r>
        <w:t xml:space="preserve">; </w:t>
      </w:r>
      <w:hyperlink r:id="rId222">
        <w:r>
          <w:rPr>
            <w:color w:val="0000EE"/>
            <w:u w:val="single"/>
          </w:rPr>
          <w:t>18.1</w:t>
        </w:r>
      </w:hyperlink>
      <w:r>
        <w:t xml:space="preserve">) e após a vitória sobre os sacerdotes de Baal no Monte Carmelo, Elias foi para o Monte Sinai, fugindo para salvar sua vida de Jezabel (cap </w:t>
      </w:r>
      <w:hyperlink r:id="rId11892">
        <w:r>
          <w:rPr>
            <w:color w:val="0000EE"/>
            <w:u w:val="single"/>
          </w:rPr>
          <w:t>19</w:t>
        </w:r>
      </w:hyperlink>
      <w:r>
        <w:t>). Lá, ele lamentou que Israel se entregara totalmente à adoração falsa e que ele era o único restante dos fiéis. Deus respondeu instruindo-o a ungir Jeú como rei e Eliseu como seu sucessor profético. Jeú e Eliseu destruiriam o apóstata, enquanto Deus preservava para si os 7.000 que não haviam se ajoelhado diante de Baal. O remanescente fiel seria poupado da destruição.</w:t>
      </w:r>
    </w:p>
    <w:p>
      <w:r/>
      <w:r>
        <w:t>Os profetas pré-exílicos enfatizaram a pequenez do remanescente que sobreviveria à destruição sob Assíria e Babilônia. Amós alertou sobre o grande julgamento que ameaçaria até mesmo o próprio remanescente. Deus destruiria o reino pecaminoso, embora não totalmente. Isaías também fala da pequenez do remanescente. Israel é deixado como um abrigo em uma vinha, uma cabana em um campo de melões, apenas evitando por pouco o destino de Sodoma e Gomorra (</w:t>
      </w:r>
      <w:hyperlink r:id="rId18442">
        <w:r>
          <w:rPr>
            <w:color w:val="0000EE"/>
            <w:u w:val="single"/>
          </w:rPr>
          <w:t>Is 1.8–9</w:t>
        </w:r>
      </w:hyperlink>
      <w:r>
        <w:t>). É deixado como um poste no topo de uma colina (</w:t>
      </w:r>
      <w:hyperlink r:id="rId15338">
        <w:r>
          <w:rPr>
            <w:color w:val="0000EE"/>
            <w:u w:val="single"/>
          </w:rPr>
          <w:t>30.17</w:t>
        </w:r>
      </w:hyperlink>
      <w:r>
        <w:t>), como o toco de uma árvore derrubada (</w:t>
      </w:r>
      <w:hyperlink r:id="rId11674">
        <w:r>
          <w:rPr>
            <w:color w:val="0000EE"/>
            <w:u w:val="single"/>
          </w:rPr>
          <w:t>6.13</w:t>
        </w:r>
      </w:hyperlink>
      <w:r>
        <w:t>). Quando o ceifeiro colhe sua colheita, Israel são os restos que ficam, as poucas azeitonas que permanecem no topo da árvore (</w:t>
      </w:r>
      <w:hyperlink r:id="rId18443">
        <w:r>
          <w:rPr>
            <w:color w:val="0000EE"/>
            <w:u w:val="single"/>
          </w:rPr>
          <w:t>17.4–6</w:t>
        </w:r>
      </w:hyperlink>
      <w:r>
        <w:t>). Mas do toco dessa árvore derrubada surgirá nova vida (</w:t>
      </w:r>
      <w:hyperlink r:id="rId18444">
        <w:r>
          <w:rPr>
            <w:color w:val="0000EE"/>
            <w:u w:val="single"/>
          </w:rPr>
          <w:t>6.11–13</w:t>
        </w:r>
      </w:hyperlink>
      <w:r>
        <w:t>). Aqueles que sobreviverem em Jerusalém serão santos, e o Senhor trará um novo broto do toco de Jessé, um servo justo (o Ramo) que trará o remanescente do povo de Deus de muitas nações (</w:t>
      </w:r>
      <w:hyperlink r:id="rId18445">
        <w:r>
          <w:rPr>
            <w:color w:val="0000EE"/>
            <w:u w:val="single"/>
          </w:rPr>
          <w:t>4.2–3</w:t>
        </w:r>
      </w:hyperlink>
      <w:r>
        <w:t xml:space="preserve">; </w:t>
      </w:r>
      <w:hyperlink r:id="rId11264">
        <w:r>
          <w:rPr>
            <w:color w:val="0000EE"/>
            <w:u w:val="single"/>
          </w:rPr>
          <w:t>11.1–16</w:t>
        </w:r>
      </w:hyperlink>
      <w:r>
        <w:t>). Depois que Deus purgar a iniquidade do povo, Jerusalém será conhecida como a cidade da justiça (</w:t>
      </w:r>
      <w:hyperlink r:id="rId18446">
        <w:r>
          <w:rPr>
            <w:color w:val="0000EE"/>
            <w:u w:val="single"/>
          </w:rPr>
          <w:t>1.21–26</w:t>
        </w:r>
      </w:hyperlink>
      <w:r>
        <w:t>).</w:t>
      </w:r>
    </w:p>
    <w:p>
      <w:pPr>
        <w:pStyle w:val="Heading4"/>
      </w:pPr>
      <w:r>
        <w:t>Durante o exílio</w:t>
      </w:r>
    </w:p>
    <w:p>
      <w:r/>
      <w:r>
        <w:t>Do seu ponto de vista entre os exilados junto ao rio Quebar (</w:t>
      </w:r>
      <w:hyperlink r:id="rId8896">
        <w:r>
          <w:rPr>
            <w:color w:val="0000EE"/>
            <w:u w:val="single"/>
          </w:rPr>
          <w:t>Ezl 1.1</w:t>
        </w:r>
      </w:hyperlink>
      <w:r>
        <w:t xml:space="preserve">), Ezequiel estava preocupado com o futuro remanescente e as promessas de restauração. Em uma visão (cap </w:t>
      </w:r>
      <w:hyperlink r:id="rId18447">
        <w:r>
          <w:rPr>
            <w:color w:val="0000EE"/>
            <w:u w:val="single"/>
          </w:rPr>
          <w:t>9</w:t>
        </w:r>
      </w:hyperlink>
      <w:r>
        <w:t xml:space="preserve">), ele viu um escriba passar pela cidade de Jerusalém colocando uma marca nas testas de todos que lamentavam os pecados cometidos na cidade. Atrás do escriba vinha um grupo de guerreiros matando todos que não tinham a marca nas testas. Temendo a destruição de todo o povo, Ezequiel clamou: “Ó Senhor, destruirás todo o remanescente de Israel?” Imediatamente depois, ele viu a nuvem de glória — a presença visível de Deus no meio do seu povo — se levantar e partir do templo (cap. </w:t>
      </w:r>
      <w:hyperlink r:id="rId8948">
        <w:r>
          <w:rPr>
            <w:color w:val="0000EE"/>
            <w:u w:val="single"/>
          </w:rPr>
          <w:t>10</w:t>
        </w:r>
      </w:hyperlink>
      <w:r>
        <w:t>). Ezequiel profetizou julgamento sobre os líderes de Israel, e Pelatias (cujo nome significa “escape”) morreu, levando Ezequiel a perguntar novamente: “Ó Senhor, destruirás todo o remanescente de Israel?” (</w:t>
      </w:r>
      <w:hyperlink r:id="rId18448">
        <w:r>
          <w:rPr>
            <w:color w:val="0000EE"/>
            <w:u w:val="single"/>
          </w:rPr>
          <w:t>11.13</w:t>
        </w:r>
      </w:hyperlink>
      <w:r>
        <w:t xml:space="preserve">). O Senhor reunirá seu povo e os restaurará à sua terra como um povo puro, livre de idolatria. Embora seus pecados fossem grandes, ainda haveria misericórdia e restauração para uma nação purificada. A nuvem de glória que Ezequiel viu partindo do templo retornará a um novo templo (cap. </w:t>
      </w:r>
      <w:hyperlink r:id="rId17065">
        <w:r>
          <w:rPr>
            <w:color w:val="0000EE"/>
            <w:u w:val="single"/>
          </w:rPr>
          <w:t>43</w:t>
        </w:r>
      </w:hyperlink>
      <w:r>
        <w:t>). O povo não se desviará mais de Deus (</w:t>
      </w:r>
      <w:hyperlink r:id="rId18449">
        <w:r>
          <w:rPr>
            <w:color w:val="0000EE"/>
            <w:u w:val="single"/>
          </w:rPr>
          <w:t>14.11</w:t>
        </w:r>
      </w:hyperlink>
      <w:r>
        <w:t>), mas desfrutará de uma nova e eterna aliança (</w:t>
      </w:r>
      <w:hyperlink r:id="rId18450">
        <w:r>
          <w:rPr>
            <w:color w:val="0000EE"/>
            <w:u w:val="single"/>
          </w:rPr>
          <w:t>16.60–62</w:t>
        </w:r>
      </w:hyperlink>
      <w:r>
        <w:t>). Ezequiel lembrou o motivo do remanescente como se aplicava à comunidade do deserto após o Êxodo: muitos deixarão a terra da escravidão, e os rebeldes morrerão ao longo do caminho, não entrando em Israel (</w:t>
      </w:r>
      <w:hyperlink r:id="rId18451">
        <w:r>
          <w:rPr>
            <w:color w:val="0000EE"/>
            <w:u w:val="single"/>
          </w:rPr>
          <w:t>20.35–38</w:t>
        </w:r>
      </w:hyperlink>
      <w:r>
        <w:t>). Deus reunirá seu rebanho, e eles terão “um pastor, meu servo Davi” (</w:t>
      </w:r>
      <w:hyperlink r:id="rId18452">
        <w:r>
          <w:rPr>
            <w:color w:val="0000EE"/>
            <w:u w:val="single"/>
          </w:rPr>
          <w:t>34.20–24</w:t>
        </w:r>
      </w:hyperlink>
      <w:r>
        <w:t>). Deus removerá seus corações de pedra, dará a eles corações de carne e colocará seu Espírito neles (</w:t>
      </w:r>
      <w:hyperlink r:id="rId18453">
        <w:r>
          <w:rPr>
            <w:color w:val="0000EE"/>
            <w:u w:val="single"/>
          </w:rPr>
          <w:t>36.24–27</w:t>
        </w:r>
      </w:hyperlink>
      <w:r>
        <w:t>). Embora Israel pareça morto e incapaz de viver novamente, Deus falará a esses ossos secos e os trará à vida (</w:t>
      </w:r>
      <w:hyperlink r:id="rId16027">
        <w:r>
          <w:rPr>
            <w:color w:val="0000EE"/>
            <w:u w:val="single"/>
          </w:rPr>
          <w:t>37.1–14</w:t>
        </w:r>
      </w:hyperlink>
      <w:r>
        <w:t>).</w:t>
      </w:r>
      <w:r/>
      <w:r/>
    </w:p>
    <w:p>
      <w:r/>
    </w:p>
    <w:p>
      <w:pPr>
        <w:pStyle w:val="Heading2"/>
      </w:pPr>
      <w:r>
        <w:t>Remissão De Pecados*</w:t>
      </w:r>
      <w:r/>
    </w:p>
    <w:p>
      <w:r/>
      <w:r>
        <w:t xml:space="preserve">Frase da ARA sinônimo de “perdão de pecados”. O NT usa uma variedade de termos para descrever uma verdade única. Com o conceito de perdão de pecados, há uma série de expressões empregadas (“passar por cima”, </w:t>
      </w:r>
      <w:hyperlink r:id="rId2767">
        <w:r>
          <w:rPr>
            <w:color w:val="0000EE"/>
            <w:u w:val="single"/>
          </w:rPr>
          <w:t>Rm 3.25</w:t>
        </w:r>
      </w:hyperlink>
      <w:r>
        <w:t xml:space="preserve">; “coberto”, </w:t>
      </w:r>
      <w:hyperlink r:id="rId18454">
        <w:r>
          <w:rPr>
            <w:color w:val="0000EE"/>
            <w:u w:val="single"/>
          </w:rPr>
          <w:t>Rm 4.7</w:t>
        </w:r>
      </w:hyperlink>
      <w:r>
        <w:t xml:space="preserve">; “não imputado”, </w:t>
      </w:r>
      <w:hyperlink r:id="rId18455">
        <w:r>
          <w:rPr>
            <w:color w:val="0000EE"/>
            <w:u w:val="single"/>
          </w:rPr>
          <w:t>Rm 4.8</w:t>
        </w:r>
      </w:hyperlink>
      <w:r>
        <w:t xml:space="preserve">; “não mais lembrado”, </w:t>
      </w:r>
      <w:hyperlink r:id="rId18456">
        <w:r>
          <w:rPr>
            <w:color w:val="0000EE"/>
            <w:u w:val="single"/>
          </w:rPr>
          <w:t>Hb 10.17</w:t>
        </w:r>
      </w:hyperlink>
      <w:r>
        <w:t>). Um dos mais significativos é a palavra traduzida “remissão” (</w:t>
      </w:r>
      <w:hyperlink r:id="rId856">
        <w:r>
          <w:rPr>
            <w:color w:val="0000EE"/>
            <w:u w:val="single"/>
          </w:rPr>
          <w:t>Mt 26.28</w:t>
        </w:r>
      </w:hyperlink>
      <w:r>
        <w:t xml:space="preserve">; </w:t>
      </w:r>
      <w:hyperlink r:id="rId2607">
        <w:r>
          <w:rPr>
            <w:color w:val="0000EE"/>
            <w:u w:val="single"/>
          </w:rPr>
          <w:t>Mc 1.4</w:t>
        </w:r>
      </w:hyperlink>
      <w:r>
        <w:t xml:space="preserve">; </w:t>
      </w:r>
      <w:hyperlink r:id="rId8706">
        <w:r>
          <w:rPr>
            <w:color w:val="0000EE"/>
            <w:u w:val="single"/>
          </w:rPr>
          <w:t>Lc 1.77</w:t>
        </w:r>
      </w:hyperlink>
      <w:r>
        <w:t xml:space="preserve">; </w:t>
      </w:r>
      <w:hyperlink r:id="rId3191">
        <w:r>
          <w:rPr>
            <w:color w:val="0000EE"/>
            <w:u w:val="single"/>
          </w:rPr>
          <w:t>3.3</w:t>
        </w:r>
      </w:hyperlink>
      <w:r>
        <w:t xml:space="preserve">; </w:t>
      </w:r>
      <w:hyperlink r:id="rId13353">
        <w:r>
          <w:rPr>
            <w:color w:val="0000EE"/>
            <w:u w:val="single"/>
          </w:rPr>
          <w:t>24.47</w:t>
        </w:r>
      </w:hyperlink>
      <w:r>
        <w:t xml:space="preserve">; </w:t>
      </w:r>
      <w:hyperlink r:id="rId3200">
        <w:r>
          <w:rPr>
            <w:color w:val="0000EE"/>
            <w:u w:val="single"/>
          </w:rPr>
          <w:t>Atos 2.38</w:t>
        </w:r>
      </w:hyperlink>
      <w:r>
        <w:t xml:space="preserve">; </w:t>
      </w:r>
      <w:hyperlink r:id="rId3205">
        <w:r>
          <w:rPr>
            <w:color w:val="0000EE"/>
            <w:u w:val="single"/>
          </w:rPr>
          <w:t>10.43</w:t>
        </w:r>
      </w:hyperlink>
      <w:r>
        <w:t xml:space="preserve">; </w:t>
      </w:r>
      <w:hyperlink r:id="rId8860">
        <w:r>
          <w:rPr>
            <w:color w:val="0000EE"/>
            <w:u w:val="single"/>
          </w:rPr>
          <w:t>Hb 9.22</w:t>
        </w:r>
      </w:hyperlink>
      <w:r>
        <w:t xml:space="preserve">; </w:t>
      </w:r>
      <w:hyperlink r:id="rId10462">
        <w:r>
          <w:rPr>
            <w:color w:val="0000EE"/>
            <w:u w:val="single"/>
          </w:rPr>
          <w:t>10.18</w:t>
        </w:r>
      </w:hyperlink>
      <w:r>
        <w:t>).</w:t>
      </w:r>
    </w:p>
    <w:p>
      <w:r/>
      <w:r>
        <w:t>A palavra tem uma tradução interessante na língua grega. No sentido legal, era usada para denotar dispensa do ofício, liberação da obrigação, pagamento de dívida ou punição. Com o tempo, também se referia à anistia ou isenção de impostos. No uso do NT, o verbo significa “deixar ir”, “deixar para trás” ou “mandar embora”. Assim, o substantivo pode ser (e frequentemente é) traduzido como “perdão”, bem como “remissão” (</w:t>
      </w:r>
      <w:hyperlink r:id="rId3204">
        <w:r>
          <w:rPr>
            <w:color w:val="0000EE"/>
            <w:u w:val="single"/>
          </w:rPr>
          <w:t>Atos 5.31</w:t>
        </w:r>
      </w:hyperlink>
      <w:r>
        <w:t xml:space="preserve">; </w:t>
      </w:r>
      <w:hyperlink r:id="rId3206">
        <w:r>
          <w:rPr>
            <w:color w:val="0000EE"/>
            <w:u w:val="single"/>
          </w:rPr>
          <w:t>13.38</w:t>
        </w:r>
      </w:hyperlink>
      <w:r>
        <w:t xml:space="preserve">; </w:t>
      </w:r>
      <w:hyperlink r:id="rId3207">
        <w:r>
          <w:rPr>
            <w:color w:val="0000EE"/>
            <w:u w:val="single"/>
          </w:rPr>
          <w:t>26.18</w:t>
        </w:r>
      </w:hyperlink>
      <w:r>
        <w:t xml:space="preserve">; </w:t>
      </w:r>
      <w:hyperlink r:id="rId6340">
        <w:r>
          <w:rPr>
            <w:color w:val="0000EE"/>
            <w:u w:val="single"/>
          </w:rPr>
          <w:t>Ef 1.7</w:t>
        </w:r>
      </w:hyperlink>
      <w:r>
        <w:t xml:space="preserve">; </w:t>
      </w:r>
      <w:hyperlink r:id="rId16858">
        <w:r>
          <w:rPr>
            <w:color w:val="0000EE"/>
            <w:u w:val="single"/>
          </w:rPr>
          <w:t>Cl 1.14</w:t>
        </w:r>
      </w:hyperlink>
      <w:r>
        <w:t>). Embora o perdão possa ser exercido tanto nos níveis humano quanto divino, o perdão indicado pela palavra “remissão” é quase sempre o de Deus (</w:t>
      </w:r>
      <w:hyperlink r:id="rId856">
        <w:r>
          <w:rPr>
            <w:color w:val="0000EE"/>
            <w:u w:val="single"/>
          </w:rPr>
          <w:t>Mt 26.28</w:t>
        </w:r>
      </w:hyperlink>
      <w:r>
        <w:t xml:space="preserve">; </w:t>
      </w:r>
      <w:hyperlink r:id="rId3205">
        <w:r>
          <w:rPr>
            <w:color w:val="0000EE"/>
            <w:u w:val="single"/>
          </w:rPr>
          <w:t>Atos 10.43</w:t>
        </w:r>
      </w:hyperlink>
      <w:r>
        <w:t>).</w:t>
      </w:r>
    </w:p>
    <w:p>
      <w:r/>
      <w:r>
        <w:rPr>
          <w:i/>
        </w:rPr>
        <w:t>Veja também</w:t>
      </w:r>
      <w:r>
        <w:t xml:space="preserve"> </w:t>
      </w:r>
      <w:r>
        <w:t>Perdão</w:t>
      </w:r>
      <w:r>
        <w:t>.</w:t>
      </w:r>
      <w:r/>
      <w:r/>
    </w:p>
    <w:p>
      <w:r/>
    </w:p>
    <w:p>
      <w:pPr>
        <w:pStyle w:val="Heading2"/>
      </w:pPr>
      <w:r>
        <w:t>Renfã</w:t>
      </w:r>
      <w:r/>
    </w:p>
    <w:p>
      <w:r/>
      <w:r>
        <w:t xml:space="preserve">Uma divindade pagã mencionada por Estevão em </w:t>
      </w:r>
      <w:hyperlink r:id="rId6906">
        <w:r>
          <w:rPr>
            <w:color w:val="0000EE"/>
            <w:u w:val="single"/>
          </w:rPr>
          <w:t>Atos 7.43</w:t>
        </w:r>
      </w:hyperlink>
      <w:r>
        <w:t xml:space="preserve">. Estevão citou o texto de </w:t>
      </w:r>
      <w:hyperlink r:id="rId6904">
        <w:r>
          <w:rPr>
            <w:color w:val="0000EE"/>
            <w:u w:val="single"/>
          </w:rPr>
          <w:t>Amós 5.26</w:t>
        </w:r>
      </w:hyperlink>
      <w:r>
        <w:t xml:space="preserve"> para mostrar como os israelitas adoravam falsos deuses durante seu tempo no deserto.</w:t>
      </w:r>
    </w:p>
    <w:p>
      <w:r/>
      <w:r>
        <w:t xml:space="preserve">Estevão estava citando a Septuaginta (a tradução grega do Antigo Testamento). Os tradutores da Septuaginta entenderam que a palavra hebraica </w:t>
      </w:r>
      <w:r>
        <w:rPr>
          <w:i/>
        </w:rPr>
        <w:t>kaiwan</w:t>
      </w:r>
      <w:r>
        <w:t xml:space="preserve"> se referia ao deus assírio de Saturno, ou possivelmente ao deus egípcio de Saturno, Repa.</w:t>
      </w:r>
    </w:p>
    <w:p>
      <w:r/>
      <w:r>
        <w:t xml:space="preserve">Alguns estudiosos argumentam que </w:t>
      </w:r>
      <w:hyperlink r:id="rId6904">
        <w:r>
          <w:rPr>
            <w:color w:val="0000EE"/>
            <w:u w:val="single"/>
          </w:rPr>
          <w:t>Amós 5.26</w:t>
        </w:r>
      </w:hyperlink>
      <w:r>
        <w:t xml:space="preserve"> não menciona deuses antigos específicos, mas está simplesmente fazendo uma referência geral à adoração falsa praticada pelos israelitas no deserto.</w:t>
      </w:r>
      <w:r/>
      <w:r/>
    </w:p>
    <w:p>
      <w:r/>
    </w:p>
    <w:p>
      <w:pPr>
        <w:pStyle w:val="Heading2"/>
      </w:pPr>
      <w:r>
        <w:t>Reobe (Lugar)</w:t>
      </w:r>
      <w:r/>
    </w:p>
    <w:p>
      <w:pPr>
        <w:pStyle w:val="ListNumber"/>
        <w:spacing w:line="240" w:lineRule="auto"/>
        <w:ind w:left="720"/>
      </w:pPr>
      <w:r/>
      <w:r>
        <w:t>A área mais ao norte explorada pelos espiões israelitas antes de entrarem em Canaã (</w:t>
      </w:r>
      <w:hyperlink r:id="rId3497">
        <w:r>
          <w:rPr>
            <w:color w:val="0000EE"/>
            <w:u w:val="single"/>
          </w:rPr>
          <w:t>Nm 13.21</w:t>
        </w:r>
      </w:hyperlink>
      <w:r>
        <w:t>). Este lugar corresponde à localização de Bete-Reobe (</w:t>
      </w:r>
      <w:hyperlink r:id="rId3495">
        <w:r>
          <w:rPr>
            <w:color w:val="0000EE"/>
            <w:u w:val="single"/>
          </w:rPr>
          <w:t>Jz 18.28</w:t>
        </w:r>
      </w:hyperlink>
      <w:r>
        <w:t>). Reobe também é mencionada junto com Zobá e Maacá como inimigos que lutaram contra o rei Davi durante a guerra com os amonitas (</w:t>
      </w:r>
      <w:hyperlink r:id="rId18457">
        <w:r>
          <w:rPr>
            <w:color w:val="0000EE"/>
            <w:u w:val="single"/>
          </w:rPr>
          <w:t>2Sm 10.6–8</w:t>
        </w:r>
      </w:hyperlink>
      <w:r>
        <w:t>).</w:t>
      </w:r>
    </w:p>
    <w:p>
      <w:pPr>
        <w:pStyle w:val="ListNumber"/>
        <w:spacing w:line="240" w:lineRule="auto"/>
        <w:ind w:left="720"/>
      </w:pPr>
      <w:r/>
      <w:r>
        <w:t>Duas cidades pertenciam à tribo de Aser (</w:t>
      </w:r>
      <w:hyperlink r:id="rId18458">
        <w:r>
          <w:rPr>
            <w:color w:val="0000EE"/>
            <w:u w:val="single"/>
          </w:rPr>
          <w:t>Js 19.28–30</w:t>
        </w:r>
      </w:hyperlink>
      <w:r>
        <w:t>). Uma dessas cidades foi dada aos levitas da família de Gérson (</w:t>
      </w:r>
      <w:hyperlink r:id="rId18459">
        <w:r>
          <w:rPr>
            <w:color w:val="0000EE"/>
            <w:u w:val="single"/>
          </w:rPr>
          <w:t>Js 21.31</w:t>
        </w:r>
      </w:hyperlink>
      <w:r>
        <w:t>) e tornou-se uma cidade de refúgio (</w:t>
      </w:r>
      <w:hyperlink r:id="rId18460">
        <w:r>
          <w:rPr>
            <w:color w:val="0000EE"/>
            <w:u w:val="single"/>
          </w:rPr>
          <w:t>1Cr 6.75</w:t>
        </w:r>
      </w:hyperlink>
      <w:r>
        <w:t>). A outra cidade permaneceu sob o controle dos cananeus (</w:t>
      </w:r>
      <w:hyperlink r:id="rId258">
        <w:r>
          <w:rPr>
            <w:color w:val="0000EE"/>
            <w:u w:val="single"/>
          </w:rPr>
          <w:t>Jz 1.31</w:t>
        </w:r>
      </w:hyperlink>
      <w:r>
        <w:t>). Alguns estudiosos acreditam que essas referências podem, na verdade, referir-se à mesma cidade.</w:t>
      </w:r>
    </w:p>
    <w:p>
      <w:r/>
      <w:r>
        <w:rPr>
          <w:i/>
        </w:rPr>
        <w:t>Veja também</w:t>
      </w:r>
      <w:r>
        <w:t xml:space="preserve"> </w:t>
      </w:r>
      <w:r>
        <w:t>Cidades de refúgio</w:t>
      </w:r>
      <w:r>
        <w:t xml:space="preserve">; </w:t>
      </w:r>
      <w:r>
        <w:t>Cidades levíticas</w:t>
      </w:r>
      <w:r>
        <w:t>.</w:t>
      </w:r>
      <w:r/>
      <w:r/>
    </w:p>
    <w:p>
      <w:r/>
    </w:p>
    <w:p>
      <w:pPr>
        <w:pStyle w:val="Heading2"/>
      </w:pPr>
      <w:r>
        <w:t>Reobote</w:t>
      </w:r>
      <w:r/>
    </w:p>
    <w:p>
      <w:r/>
      <w:r>
        <w:t xml:space="preserve">1. Nome base usado para Reobote-Ir, uma cidade construída por Ninrode, em </w:t>
      </w:r>
      <w:hyperlink r:id="rId2788">
        <w:r>
          <w:rPr>
            <w:color w:val="0000EE"/>
            <w:u w:val="single"/>
          </w:rPr>
          <w:t>Gênesis 10.11</w:t>
        </w:r>
      </w:hyperlink>
      <w:r>
        <w:t xml:space="preserve">. </w:t>
      </w:r>
      <w:r>
        <w:rPr>
          <w:i/>
        </w:rPr>
        <w:t>Veja</w:t>
      </w:r>
      <w:r>
        <w:t xml:space="preserve"> </w:t>
      </w:r>
      <w:r>
        <w:t>Reobote-Ir</w:t>
      </w:r>
      <w:r>
        <w:t>.</w:t>
      </w:r>
    </w:p>
    <w:p>
      <w:r/>
      <w:r>
        <w:t>2. Local do terceiro poço cavado por Isaque (</w:t>
      </w:r>
      <w:hyperlink r:id="rId18461">
        <w:r>
          <w:rPr>
            <w:color w:val="0000EE"/>
            <w:u w:val="single"/>
          </w:rPr>
          <w:t>Gn 26.22</w:t>
        </w:r>
      </w:hyperlink>
      <w:r>
        <w:t>). Desta vez, Abimeleque e os pastores de Gerar não reivindicaram o poço, e Isaque o chamou de "lugares amplos" ou "espaço". O poço estava localizado cerca de 32 quilômetros a sudoeste de Berseba.</w:t>
      </w:r>
    </w:p>
    <w:p>
      <w:r/>
      <w:r>
        <w:t>3. Lar de Saul, um governante edomita (</w:t>
      </w:r>
      <w:hyperlink r:id="rId18462">
        <w:r>
          <w:rPr>
            <w:color w:val="0000EE"/>
            <w:u w:val="single"/>
          </w:rPr>
          <w:t>Gn 36.37</w:t>
        </w:r>
      </w:hyperlink>
      <w:r>
        <w:t xml:space="preserve">; </w:t>
      </w:r>
      <w:hyperlink r:id="rId18463">
        <w:r>
          <w:rPr>
            <w:color w:val="0000EE"/>
            <w:u w:val="single"/>
          </w:rPr>
          <w:t>1Cr 1.48</w:t>
        </w:r>
      </w:hyperlink>
      <w:r>
        <w:t>). O lugar é identificado como "no rio", uma referência bíblica frequente ao Eufrates. Assim, versões como a ARC, ARA, NVI inserem "Eufrates" no texto.</w:t>
      </w:r>
      <w:r/>
      <w:r/>
    </w:p>
    <w:p>
      <w:r/>
    </w:p>
    <w:p>
      <w:pPr>
        <w:pStyle w:val="Heading2"/>
      </w:pPr>
      <w:r>
        <w:t>Reobote-Ir</w:t>
      </w:r>
      <w:r/>
    </w:p>
    <w:p>
      <w:r/>
      <w:r>
        <w:t>Nome que significa "lugares amplos da cidade". Foi a segunda cidade construída por Ninrode, o caçador na Assíria (</w:t>
      </w:r>
      <w:hyperlink r:id="rId2788">
        <w:r>
          <w:rPr>
            <w:color w:val="0000EE"/>
            <w:u w:val="single"/>
          </w:rPr>
          <w:t>Gn 10.11</w:t>
        </w:r>
      </w:hyperlink>
      <w:r>
        <w:t>). A opinião diverge quanto a se era um município distinto (um subúrbio de Nínive) ou, já que o nome da cidade não é mencionado na literatura assíria, praças abertas ou ruas largas dentro da própria Nínive.</w:t>
      </w:r>
      <w:r/>
      <w:r/>
    </w:p>
    <w:p>
      <w:r/>
    </w:p>
    <w:p>
      <w:pPr>
        <w:pStyle w:val="Heading2"/>
      </w:pPr>
      <w:r>
        <w:t>Requém (Pessoa)</w:t>
      </w:r>
      <w:r/>
    </w:p>
    <w:p>
      <w:pPr>
        <w:pStyle w:val="ListNumber"/>
        <w:spacing w:line="240" w:lineRule="auto"/>
        <w:ind w:left="720"/>
      </w:pPr>
      <w:r/>
      <w:r>
        <w:t>O príncipe ou rei de Midiã que foi morto com seus quatro parceiros em uma batalha liderada por Moisés sob o comando do Senhor (</w:t>
      </w:r>
      <w:hyperlink r:id="rId2977">
        <w:r>
          <w:rPr>
            <w:color w:val="0000EE"/>
            <w:u w:val="single"/>
          </w:rPr>
          <w:t>Nm 31.8</w:t>
        </w:r>
      </w:hyperlink>
      <w:r>
        <w:t xml:space="preserve">, </w:t>
      </w:r>
      <w:hyperlink r:id="rId8797">
        <w:r>
          <w:rPr>
            <w:color w:val="0000EE"/>
            <w:u w:val="single"/>
          </w:rPr>
          <w:t>Js 13.21</w:t>
        </w:r>
      </w:hyperlink>
      <w:r>
        <w:t>). Os israelitas que viviam perto da área governada por Requém foram levados a adorar o falso deus chamado Baal-Peor.</w:t>
      </w:r>
    </w:p>
    <w:p>
      <w:pPr>
        <w:pStyle w:val="ListNumber"/>
        <w:spacing w:line="240" w:lineRule="auto"/>
        <w:ind w:left="720"/>
      </w:pPr>
      <w:r/>
      <w:r>
        <w:t>O filho de Hebrom, que era descendente de Calebe. Requém foi o pai de Samai (</w:t>
      </w:r>
      <w:hyperlink r:id="rId18464">
        <w:r>
          <w:rPr>
            <w:color w:val="0000EE"/>
            <w:u w:val="single"/>
          </w:rPr>
          <w:t>1Cr 2.43–44</w:t>
        </w:r>
      </w:hyperlink>
      <w:r>
        <w:t>).</w:t>
      </w:r>
      <w:r/>
      <w:r/>
    </w:p>
    <w:p>
      <w:r/>
    </w:p>
    <w:p>
      <w:pPr>
        <w:pStyle w:val="Heading2"/>
      </w:pPr>
      <w:r>
        <w:t>Resém</w:t>
      </w:r>
      <w:r/>
    </w:p>
    <w:p>
      <w:r/>
      <w:r>
        <w:t>Cidade construída por Ninrode entre Nínive e Calá (</w:t>
      </w:r>
      <w:hyperlink r:id="rId18465">
        <w:r>
          <w:rPr>
            <w:color w:val="0000EE"/>
            <w:u w:val="single"/>
          </w:rPr>
          <w:t>Gn 10.12</w:t>
        </w:r>
      </w:hyperlink>
      <w:r>
        <w:t>). Fazia parte do complexo conhecido como “a Grande cidade” e poderia ter sido um subúrbio de Nínive. Alguns intérpretes sugerem que era uma obra hidráulica entre Nínive e Calá.</w:t>
      </w:r>
      <w:r/>
      <w:r/>
    </w:p>
    <w:p>
      <w:r/>
    </w:p>
    <w:p>
      <w:pPr>
        <w:pStyle w:val="Heading2"/>
      </w:pPr>
      <w:r>
        <w:t>Resgate</w:t>
      </w:r>
      <w:r/>
    </w:p>
    <w:p>
      <w:r/>
      <w:r>
        <w:t>Preço para redimir ou libertar escravos, cativos, propriedade ou a vida. Jesus descreveu todo o seu ministério como um serviço, ao dar sua vida como resgate por muitos (</w:t>
      </w:r>
      <w:hyperlink r:id="rId920">
        <w:r>
          <w:rPr>
            <w:color w:val="0000EE"/>
            <w:u w:val="single"/>
          </w:rPr>
          <w:t>Mt 20.28</w:t>
        </w:r>
      </w:hyperlink>
      <w:r>
        <w:t xml:space="preserve">; </w:t>
      </w:r>
      <w:hyperlink r:id="rId921">
        <w:r>
          <w:rPr>
            <w:color w:val="0000EE"/>
            <w:u w:val="single"/>
          </w:rPr>
          <w:t>Mc 10.45</w:t>
        </w:r>
      </w:hyperlink>
      <w:r>
        <w:t>). Assim, “resgate” está intimamente ligado a termos como “redenção” e “salvação”, referindo-se à satisfação cumprida por Cristo em expiação pelo pecado.</w:t>
      </w:r>
    </w:p>
    <w:p>
      <w:pPr>
        <w:pStyle w:val="Heading3"/>
      </w:pPr>
      <w:r>
        <w:t>No Antigo Testamento</w:t>
      </w:r>
    </w:p>
    <w:p>
      <w:r/>
      <w:r>
        <w:t xml:space="preserve">No AT, Deus proveu vários regulamentos para seu povo da aliança, pelos quais a vida e a propriedade poderiam ser “redimidas”, “compradas de volta” ou “libertadas” pelo pagamento de resgate (cf. </w:t>
      </w:r>
      <w:hyperlink r:id="rId18466">
        <w:r>
          <w:rPr>
            <w:color w:val="0000EE"/>
            <w:u w:val="single"/>
          </w:rPr>
          <w:t>Lv 25–27</w:t>
        </w:r>
      </w:hyperlink>
      <w:r>
        <w:t>). O resgate envolvia um preço pago como substituto pelo que foi redimido ou libertado.</w:t>
      </w:r>
    </w:p>
    <w:p>
      <w:r/>
      <w:r>
        <w:t>O AT usa três palavras hebraicas diferentes para resgate ou redenção. Apenas quando há uma indicação clara do pagamento de um preço esses termos são traduzidos por “resgate”. Mas mesmo quando outro termo, como “redenção”, é usado na tradução para o português, o "preço de resgate" geralmente está implícito.</w:t>
      </w:r>
    </w:p>
    <w:p>
      <w:r/>
      <w:r>
        <w:t>Um dos termos hebraicos (kopher) significa uma “coberta” ou uma “cobertura”. Era um pagamento de substituição feito em troca de punição. Um resgate poderia ser pago para redimir a vida do proprietário de um boi que tivesse chifrado alguém até a morte (</w:t>
      </w:r>
      <w:hyperlink r:id="rId18467">
        <w:r>
          <w:rPr>
            <w:color w:val="0000EE"/>
            <w:u w:val="single"/>
          </w:rPr>
          <w:t>Êx 21.30</w:t>
        </w:r>
      </w:hyperlink>
      <w:r>
        <w:t>). Um preço de resgate de meio shekel era exigido por Deus para cada israelita no censo para evitar uma praga (</w:t>
      </w:r>
      <w:hyperlink r:id="rId18468">
        <w:r>
          <w:rPr>
            <w:color w:val="0000EE"/>
            <w:u w:val="single"/>
          </w:rPr>
          <w:t>30.12</w:t>
        </w:r>
      </w:hyperlink>
      <w:r>
        <w:t>), e este “dinheiro da expiação” era uma oferta ao Senhor para uso no serviço do tabernáculo. Um assassino não poderia ser resgatado, e qualquer um que encontrasse segurança numa cidade de refúgio não poderia ser levado de volta por resgate (</w:t>
      </w:r>
      <w:hyperlink r:id="rId18469">
        <w:r>
          <w:rPr>
            <w:color w:val="0000EE"/>
            <w:u w:val="single"/>
          </w:rPr>
          <w:t>Nm 35.31–32</w:t>
        </w:r>
      </w:hyperlink>
      <w:r>
        <w:t>). Era impossível evitar a morte pagando um resgate (</w:t>
      </w:r>
      <w:hyperlink r:id="rId18470">
        <w:r>
          <w:rPr>
            <w:color w:val="0000EE"/>
            <w:u w:val="single"/>
          </w:rPr>
          <w:t>Sl 49.7–9</w:t>
        </w:r>
      </w:hyperlink>
      <w:r>
        <w:t>). Mas em alguns casos, o termo assume o significado de um “suborno” ou “propina” (</w:t>
      </w:r>
      <w:hyperlink r:id="rId18471">
        <w:r>
          <w:rPr>
            <w:color w:val="0000EE"/>
            <w:u w:val="single"/>
          </w:rPr>
          <w:t>1Sm 12.3</w:t>
        </w:r>
      </w:hyperlink>
      <w:r>
        <w:t xml:space="preserve">; </w:t>
      </w:r>
      <w:hyperlink r:id="rId18472">
        <w:r>
          <w:rPr>
            <w:color w:val="0000EE"/>
            <w:u w:val="single"/>
          </w:rPr>
          <w:t>Pv 6.35</w:t>
        </w:r>
      </w:hyperlink>
      <w:r>
        <w:t xml:space="preserve">; </w:t>
      </w:r>
      <w:hyperlink r:id="rId17585">
        <w:r>
          <w:rPr>
            <w:color w:val="0000EE"/>
            <w:u w:val="single"/>
          </w:rPr>
          <w:t>Am 5.12</w:t>
        </w:r>
      </w:hyperlink>
      <w:r>
        <w:t>).</w:t>
      </w:r>
    </w:p>
    <w:p>
      <w:r/>
      <w:r>
        <w:t xml:space="preserve">Uma segunda família de palavras hebraicas para “resgate” e “redenção” está relacionada a </w:t>
      </w:r>
      <w:r>
        <w:rPr>
          <w:i/>
        </w:rPr>
        <w:t>go’el</w:t>
      </w:r>
      <w:r>
        <w:t xml:space="preserve">. </w:t>
      </w:r>
      <w:r>
        <w:rPr>
          <w:i/>
        </w:rPr>
        <w:t>Go’el</w:t>
      </w:r>
      <w:r>
        <w:t>, que significa “resgatador” ou “redentor”, deriva do significado do termo hebraico “restaurar, reparar, livrar, resgatar”. O termo se refere aos regulamentos de Deus para leis de família que colocam várias obrigações a um parente ou familiar próximo (</w:t>
      </w:r>
      <w:hyperlink r:id="rId18473">
        <w:r>
          <w:rPr>
            <w:color w:val="0000EE"/>
            <w:u w:val="single"/>
          </w:rPr>
          <w:t>Lv 25.25–55</w:t>
        </w:r>
      </w:hyperlink>
      <w:r>
        <w:t>). O parente tinha o direito e o dever de exercer o resgate à qualquer propriedade familiar que uma pessoa fosse obrigada a vender (</w:t>
      </w:r>
      <w:hyperlink r:id="rId18474">
        <w:r>
          <w:rPr>
            <w:color w:val="0000EE"/>
            <w:u w:val="single"/>
          </w:rPr>
          <w:t>Lv 25.25–34</w:t>
        </w:r>
      </w:hyperlink>
      <w:r>
        <w:t xml:space="preserve">; </w:t>
      </w:r>
      <w:hyperlink r:id="rId18475">
        <w:r>
          <w:rPr>
            <w:color w:val="0000EE"/>
            <w:u w:val="single"/>
          </w:rPr>
          <w:t>Rt 4.4–6</w:t>
        </w:r>
      </w:hyperlink>
      <w:r>
        <w:t>); de resgatar um parente compelido pela pobreza a se vender como escravo a um estranho ou peregrino (</w:t>
      </w:r>
      <w:hyperlink r:id="rId1961">
        <w:r>
          <w:rPr>
            <w:color w:val="0000EE"/>
            <w:u w:val="single"/>
          </w:rPr>
          <w:t>Lv 25.47–55</w:t>
        </w:r>
      </w:hyperlink>
      <w:r>
        <w:t>); e também tinha o papel de agir como vingador do sangue de um parente morto, garantindo assim a reivindicação por satisfação pelo derramamento de seu sangue (</w:t>
      </w:r>
      <w:hyperlink r:id="rId18476">
        <w:r>
          <w:rPr>
            <w:color w:val="0000EE"/>
            <w:u w:val="single"/>
          </w:rPr>
          <w:t>Nm 35.19–27</w:t>
        </w:r>
      </w:hyperlink>
      <w:r>
        <w:t xml:space="preserve">; </w:t>
      </w:r>
      <w:hyperlink r:id="rId18477">
        <w:r>
          <w:rPr>
            <w:color w:val="0000EE"/>
            <w:u w:val="single"/>
          </w:rPr>
          <w:t>Js 20.3–5</w:t>
        </w:r>
      </w:hyperlink>
      <w:r>
        <w:t>). O parente também era obrigado a se casar com a esposa de um irmão morto que havia morrido sem deixar filhos, para que ele pudesse gerar descendência e o nome do irmão não fosse esquecido em Israel (</w:t>
      </w:r>
      <w:hyperlink r:id="rId18478">
        <w:r>
          <w:rPr>
            <w:color w:val="0000EE"/>
            <w:u w:val="single"/>
          </w:rPr>
          <w:t>Rt 3.9–13</w:t>
        </w:r>
      </w:hyperlink>
      <w:r>
        <w:t xml:space="preserve">; </w:t>
      </w:r>
      <w:hyperlink r:id="rId1377">
        <w:r>
          <w:rPr>
            <w:color w:val="0000EE"/>
            <w:u w:val="single"/>
          </w:rPr>
          <w:t>4.1–12</w:t>
        </w:r>
      </w:hyperlink>
      <w:r>
        <w:t>). Num sentido geral, o go’el era um “defensor” ou “redentor”; um exemplo familiar é o clamor de Jó para Deus vindicá-lo (</w:t>
      </w:r>
      <w:hyperlink r:id="rId8488">
        <w:r>
          <w:rPr>
            <w:color w:val="0000EE"/>
            <w:u w:val="single"/>
          </w:rPr>
          <w:t>Jó 19.25</w:t>
        </w:r>
      </w:hyperlink>
      <w:r>
        <w:t>). Num sentido mais pleno, Deus é o parente e go’el de Israel, redimindo-os da escravidão do Egito (</w:t>
      </w:r>
      <w:hyperlink r:id="rId18479">
        <w:r>
          <w:rPr>
            <w:color w:val="0000EE"/>
            <w:u w:val="single"/>
          </w:rPr>
          <w:t>Êx 6.5–7</w:t>
        </w:r>
      </w:hyperlink>
      <w:r>
        <w:t xml:space="preserve">), do cativeiro na Babilônia e da aflição em geral (go’el ocorre 13 vezes em </w:t>
      </w:r>
      <w:hyperlink r:id="rId18480">
        <w:r>
          <w:rPr>
            <w:color w:val="0000EE"/>
            <w:u w:val="single"/>
          </w:rPr>
          <w:t>Is 40–46</w:t>
        </w:r>
      </w:hyperlink>
      <w:r>
        <w:t>). Assim, Israel é chamado de “os resgatados do Senhor” (</w:t>
      </w:r>
      <w:hyperlink r:id="rId18144">
        <w:r>
          <w:rPr>
            <w:color w:val="0000EE"/>
            <w:u w:val="single"/>
          </w:rPr>
          <w:t>Is 35.10</w:t>
        </w:r>
      </w:hyperlink>
      <w:r>
        <w:t>), tendo sido “redimidos sem dinheiro” (</w:t>
      </w:r>
      <w:hyperlink r:id="rId18146">
        <w:r>
          <w:rPr>
            <w:color w:val="0000EE"/>
            <w:u w:val="single"/>
          </w:rPr>
          <w:t>52.3</w:t>
        </w:r>
      </w:hyperlink>
      <w:r>
        <w:t>). Em tais contextos, no entanto, o preço é indicado em termos de autoridade e poder de Deus.</w:t>
      </w:r>
    </w:p>
    <w:p>
      <w:r/>
      <w:r>
        <w:t>O AT usa uma terceira palavra hebraica (pidyon) relacionada a área da lei comercial para resgate ou pagamento. Uma vez que Deus poupou o primogênito em Israel na época da Páscoa, o primogênito de cada ventre pertencia a Deus, e o filho mais velho era redimido por resgate (</w:t>
      </w:r>
      <w:hyperlink r:id="rId18481">
        <w:r>
          <w:rPr>
            <w:color w:val="0000EE"/>
            <w:u w:val="single"/>
          </w:rPr>
          <w:t>Êx 13.12–15</w:t>
        </w:r>
      </w:hyperlink>
      <w:r>
        <w:t xml:space="preserve">; </w:t>
      </w:r>
      <w:hyperlink r:id="rId15777">
        <w:r>
          <w:rPr>
            <w:color w:val="0000EE"/>
            <w:u w:val="single"/>
          </w:rPr>
          <w:t>34.20</w:t>
        </w:r>
      </w:hyperlink>
      <w:r>
        <w:t xml:space="preserve">; </w:t>
      </w:r>
      <w:hyperlink r:id="rId17516">
        <w:r>
          <w:rPr>
            <w:color w:val="0000EE"/>
            <w:u w:val="single"/>
          </w:rPr>
          <w:t>Lv 27.27</w:t>
        </w:r>
      </w:hyperlink>
      <w:r>
        <w:t xml:space="preserve">; </w:t>
      </w:r>
      <w:hyperlink r:id="rId18482">
        <w:r>
          <w:rPr>
            <w:color w:val="0000EE"/>
            <w:u w:val="single"/>
          </w:rPr>
          <w:t>Nm 18.15–17</w:t>
        </w:r>
      </w:hyperlink>
      <w:r>
        <w:t>). Mais tarde, toda a tribo de Levi foi separada para servir como substitutos sacerdotais para os primogênitos. Uma vez que havia 273 mais primogênitos do que os levitas, um pagamento de cinco shekels era pago em resgate para cada um (</w:t>
      </w:r>
      <w:hyperlink r:id="rId15397">
        <w:r>
          <w:rPr>
            <w:color w:val="0000EE"/>
            <w:u w:val="single"/>
          </w:rPr>
          <w:t>Nm 3.40–46</w:t>
        </w:r>
      </w:hyperlink>
      <w:r>
        <w:t>). Este termo também era usado para o preço pago para resgatar um escravo da escravidão (</w:t>
      </w:r>
      <w:hyperlink r:id="rId18142">
        <w:r>
          <w:rPr>
            <w:color w:val="0000EE"/>
            <w:u w:val="single"/>
          </w:rPr>
          <w:t>Dt 15.15</w:t>
        </w:r>
      </w:hyperlink>
      <w:r>
        <w:t xml:space="preserve">; </w:t>
      </w:r>
      <w:hyperlink r:id="rId18483">
        <w:r>
          <w:rPr>
            <w:color w:val="0000EE"/>
            <w:u w:val="single"/>
          </w:rPr>
          <w:t>24.18</w:t>
        </w:r>
      </w:hyperlink>
      <w:r>
        <w:t>); uma escrava também poderia ser resgatado (</w:t>
      </w:r>
      <w:hyperlink r:id="rId18484">
        <w:r>
          <w:rPr>
            <w:color w:val="0000EE"/>
            <w:u w:val="single"/>
          </w:rPr>
          <w:t>Êx 21.8–11</w:t>
        </w:r>
      </w:hyperlink>
      <w:r>
        <w:t xml:space="preserve">; </w:t>
      </w:r>
      <w:hyperlink r:id="rId18485">
        <w:r>
          <w:rPr>
            <w:color w:val="0000EE"/>
            <w:u w:val="single"/>
          </w:rPr>
          <w:t>Lv 19.20</w:t>
        </w:r>
      </w:hyperlink>
      <w:r>
        <w:t>). Deus motiva essas provisões por meio de seu próprio resgate de Israel da escravidão no Egito (</w:t>
      </w:r>
      <w:hyperlink r:id="rId18142">
        <w:r>
          <w:rPr>
            <w:color w:val="0000EE"/>
            <w:u w:val="single"/>
          </w:rPr>
          <w:t>Dt 15.15</w:t>
        </w:r>
      </w:hyperlink>
      <w:r>
        <w:t xml:space="preserve">; </w:t>
      </w:r>
      <w:hyperlink r:id="rId18483">
        <w:r>
          <w:rPr>
            <w:color w:val="0000EE"/>
            <w:u w:val="single"/>
          </w:rPr>
          <w:t>24.18</w:t>
        </w:r>
      </w:hyperlink>
      <w:r>
        <w:t>). Este termo hebraico também é aplicado a libertação de Deus de Israel do Egito (</w:t>
      </w:r>
      <w:hyperlink r:id="rId1105">
        <w:r>
          <w:rPr>
            <w:color w:val="0000EE"/>
            <w:u w:val="single"/>
          </w:rPr>
          <w:t>Dt 7.8</w:t>
        </w:r>
      </w:hyperlink>
      <w:r>
        <w:t xml:space="preserve">; </w:t>
      </w:r>
      <w:hyperlink r:id="rId18486">
        <w:r>
          <w:rPr>
            <w:color w:val="0000EE"/>
            <w:u w:val="single"/>
          </w:rPr>
          <w:t>9.26</w:t>
        </w:r>
      </w:hyperlink>
      <w:r>
        <w:t xml:space="preserve">; </w:t>
      </w:r>
      <w:hyperlink r:id="rId17662">
        <w:r>
          <w:rPr>
            <w:color w:val="0000EE"/>
            <w:u w:val="single"/>
          </w:rPr>
          <w:t>13.5</w:t>
        </w:r>
      </w:hyperlink>
      <w:r>
        <w:t xml:space="preserve">; </w:t>
      </w:r>
      <w:hyperlink r:id="rId18487">
        <w:r>
          <w:rPr>
            <w:color w:val="0000EE"/>
            <w:u w:val="single"/>
          </w:rPr>
          <w:t>2Sm 7.23</w:t>
        </w:r>
      </w:hyperlink>
      <w:r>
        <w:t xml:space="preserve">; </w:t>
      </w:r>
      <w:hyperlink r:id="rId6171">
        <w:r>
          <w:rPr>
            <w:color w:val="0000EE"/>
            <w:u w:val="single"/>
          </w:rPr>
          <w:t>1Cr 17.21</w:t>
        </w:r>
      </w:hyperlink>
      <w:r>
        <w:t xml:space="preserve">; </w:t>
      </w:r>
      <w:hyperlink r:id="rId18488">
        <w:r>
          <w:rPr>
            <w:color w:val="0000EE"/>
            <w:u w:val="single"/>
          </w:rPr>
          <w:t>Sl 78.42</w:t>
        </w:r>
      </w:hyperlink>
      <w:r>
        <w:t>) e do cativeiro babilônico (</w:t>
      </w:r>
      <w:hyperlink r:id="rId18144">
        <w:r>
          <w:rPr>
            <w:color w:val="0000EE"/>
            <w:u w:val="single"/>
          </w:rPr>
          <w:t>Is 35.10</w:t>
        </w:r>
      </w:hyperlink>
      <w:r>
        <w:t xml:space="preserve">; </w:t>
      </w:r>
      <w:hyperlink r:id="rId18489">
        <w:r>
          <w:rPr>
            <w:color w:val="0000EE"/>
            <w:u w:val="single"/>
          </w:rPr>
          <w:t>51.11</w:t>
        </w:r>
      </w:hyperlink>
      <w:r>
        <w:t>). Às vezes, Deus resgata sem fazer referência a uma ocasião específica (</w:t>
      </w:r>
      <w:hyperlink r:id="rId18490">
        <w:r>
          <w:rPr>
            <w:color w:val="0000EE"/>
            <w:u w:val="single"/>
          </w:rPr>
          <w:t>Os 7.13</w:t>
        </w:r>
      </w:hyperlink>
      <w:r>
        <w:t xml:space="preserve">; cf. </w:t>
      </w:r>
      <w:hyperlink r:id="rId16844">
        <w:r>
          <w:rPr>
            <w:color w:val="0000EE"/>
            <w:u w:val="single"/>
          </w:rPr>
          <w:t>Dt 21.8</w:t>
        </w:r>
      </w:hyperlink>
      <w:r>
        <w:t xml:space="preserve">; </w:t>
      </w:r>
      <w:hyperlink r:id="rId18491">
        <w:r>
          <w:rPr>
            <w:color w:val="0000EE"/>
            <w:u w:val="single"/>
          </w:rPr>
          <w:t>Ne 1.10</w:t>
        </w:r>
      </w:hyperlink>
      <w:r>
        <w:t xml:space="preserve">; </w:t>
      </w:r>
      <w:hyperlink r:id="rId18492">
        <w:r>
          <w:rPr>
            <w:color w:val="0000EE"/>
            <w:u w:val="single"/>
          </w:rPr>
          <w:t>Is 1.27</w:t>
        </w:r>
      </w:hyperlink>
      <w:r>
        <w:t xml:space="preserve">; </w:t>
      </w:r>
      <w:hyperlink r:id="rId18145">
        <w:r>
          <w:rPr>
            <w:color w:val="0000EE"/>
            <w:u w:val="single"/>
          </w:rPr>
          <w:t>Jr 31.11</w:t>
        </w:r>
      </w:hyperlink>
      <w:r>
        <w:t>). Deus também resgata do túmulo (</w:t>
      </w:r>
      <w:hyperlink r:id="rId915">
        <w:r>
          <w:rPr>
            <w:color w:val="0000EE"/>
            <w:u w:val="single"/>
          </w:rPr>
          <w:t>Os 13.14</w:t>
        </w:r>
      </w:hyperlink>
      <w:r>
        <w:t>), das iniquidades (</w:t>
      </w:r>
      <w:hyperlink r:id="rId18493">
        <w:r>
          <w:rPr>
            <w:color w:val="0000EE"/>
            <w:u w:val="single"/>
          </w:rPr>
          <w:t>Sl 130.8</w:t>
        </w:r>
      </w:hyperlink>
      <w:r>
        <w:t>) e dos problemas (</w:t>
      </w:r>
      <w:hyperlink r:id="rId18494">
        <w:r>
          <w:rPr>
            <w:color w:val="0000EE"/>
            <w:u w:val="single"/>
          </w:rPr>
          <w:t>25.22</w:t>
        </w:r>
      </w:hyperlink>
      <w:r>
        <w:t>). Esta libertação sempre implica algum tipo de pagamento ou preço, como “o grande poder” ou “mão forte” de Deus necessário para a redenção.</w:t>
      </w:r>
    </w:p>
    <w:p>
      <w:pPr>
        <w:pStyle w:val="Heading3"/>
      </w:pPr>
      <w:r>
        <w:t>No Novo Testamento</w:t>
      </w:r>
    </w:p>
    <w:p>
      <w:r/>
      <w:r>
        <w:t>No NT há apenas uma família de palavras usadas para resgate. O termo basicamente significa “soltar” ou “libertar”. Denota libertar, redimir ou libertar mediante o pagamento do preço do resgate. A tradução “resgate” é restrita a aproximadamente oito casos em que há uma referência clara ao pagamento de algum tipo de preço. Os tradutores da Septuaginta restringiram o uso dessa palavra grega àqueles casos em que os três termos hebraicos claramente significavam o pagamento de resgate.</w:t>
      </w:r>
    </w:p>
    <w:p>
      <w:r/>
      <w:r>
        <w:t>A ocorrência mais importante no NT é a descrição de Jesus de sua morte “como um resgate por muitos” (</w:t>
      </w:r>
      <w:hyperlink r:id="rId920">
        <w:r>
          <w:rPr>
            <w:color w:val="0000EE"/>
            <w:u w:val="single"/>
          </w:rPr>
          <w:t>Mt 20.28</w:t>
        </w:r>
      </w:hyperlink>
      <w:r>
        <w:t xml:space="preserve">; </w:t>
      </w:r>
      <w:hyperlink r:id="rId921">
        <w:r>
          <w:rPr>
            <w:color w:val="0000EE"/>
            <w:u w:val="single"/>
          </w:rPr>
          <w:t>Mc 10.45</w:t>
        </w:r>
      </w:hyperlink>
      <w:r>
        <w:t>). Três características se destacam nas palavras de Jesus: seu serviço é de resgate; seu autossacrifício é o preço do resgate; e seu resgate é de caráter substitutivo. “Ele deu sua vida para comprar a liberdade para todos” (</w:t>
      </w:r>
      <w:hyperlink r:id="rId18495">
        <w:r>
          <w:rPr>
            <w:color w:val="0000EE"/>
            <w:u w:val="single"/>
          </w:rPr>
          <w:t>1Tm 2.6</w:t>
        </w:r>
      </w:hyperlink>
      <w:r>
        <w:t>). Jesus Cristo “deu sua vida para nos livrar de todo tipo de pecado” (</w:t>
      </w:r>
      <w:hyperlink r:id="rId6337">
        <w:r>
          <w:rPr>
            <w:color w:val="0000EE"/>
            <w:u w:val="single"/>
          </w:rPr>
          <w:t>Tt 2.14</w:t>
        </w:r>
      </w:hyperlink>
      <w:r>
        <w:t>). O preço do resgate era “o precioso sangue de Cristo”, que era um cordeiro puro (</w:t>
      </w:r>
      <w:hyperlink r:id="rId8758">
        <w:r>
          <w:rPr>
            <w:color w:val="0000EE"/>
            <w:u w:val="single"/>
          </w:rPr>
          <w:t>1Pe 1.18–19</w:t>
        </w:r>
      </w:hyperlink>
      <w:r>
        <w:t>), vinculando assim o sacrifício de Cristo aos sacrifícios do AT que apontavam para ele. O sangue de bodes e bezerros não era capaz de salvar, mas uma redenção eterna foi obtida pelo sangue de Cristo (</w:t>
      </w:r>
      <w:hyperlink r:id="rId2682">
        <w:r>
          <w:rPr>
            <w:color w:val="0000EE"/>
            <w:u w:val="single"/>
          </w:rPr>
          <w:t>Hb 9.12</w:t>
        </w:r>
      </w:hyperlink>
      <w:r>
        <w:t>). No céu, os redimidos cantam o novo cântico ao Cordeiro cujo sangue os resgatou (</w:t>
      </w:r>
      <w:hyperlink r:id="rId16138">
        <w:r>
          <w:rPr>
            <w:color w:val="0000EE"/>
            <w:u w:val="single"/>
          </w:rPr>
          <w:t>Ap 5.9</w:t>
        </w:r>
      </w:hyperlink>
      <w:r>
        <w:t xml:space="preserve">; cf. </w:t>
      </w:r>
      <w:hyperlink r:id="rId18496">
        <w:r>
          <w:rPr>
            <w:color w:val="0000EE"/>
            <w:u w:val="single"/>
          </w:rPr>
          <w:t>14.3–4</w:t>
        </w:r>
      </w:hyperlink>
      <w:r>
        <w:t>).</w:t>
      </w:r>
    </w:p>
    <w:p>
      <w:r/>
      <w:r>
        <w:rPr>
          <w:i/>
        </w:rPr>
        <w:t>Veja também</w:t>
      </w:r>
      <w:r>
        <w:t xml:space="preserve"> </w:t>
      </w:r>
      <w:r>
        <w:t>Expiação</w:t>
      </w:r>
      <w:r>
        <w:t xml:space="preserve">; </w:t>
      </w:r>
      <w:r>
        <w:t>Redentor, Redenção</w:t>
      </w:r>
      <w:r>
        <w:t>.</w:t>
      </w:r>
      <w:r/>
      <w:r/>
    </w:p>
    <w:p>
      <w:r/>
    </w:p>
    <w:p>
      <w:pPr>
        <w:pStyle w:val="Heading2"/>
      </w:pPr>
      <w:r>
        <w:t>Ressurreição</w:t>
      </w:r>
      <w:r/>
    </w:p>
    <w:p>
      <w:r/>
      <w:r>
        <w:t>Ato de ser ressuscitado dos mortos, usado na Bíblia em três contextos diferentes: (1) Se refere à ressurreição milagrosa dos mortos de volta à vida terrena, como quando Elias ressuscitou um menino (</w:t>
      </w:r>
      <w:hyperlink r:id="rId18497">
        <w:r>
          <w:rPr>
            <w:color w:val="0000EE"/>
            <w:u w:val="single"/>
          </w:rPr>
          <w:t>1Rs 17.8–24</w:t>
        </w:r>
      </w:hyperlink>
      <w:r>
        <w:t>), Eliseu ressuscitou o filho de Sunamita (</w:t>
      </w:r>
      <w:hyperlink r:id="rId7965">
        <w:r>
          <w:rPr>
            <w:color w:val="0000EE"/>
            <w:u w:val="single"/>
          </w:rPr>
          <w:t>2Rs 4.18–37</w:t>
        </w:r>
      </w:hyperlink>
      <w:r>
        <w:t>), Jesus ressuscitou a filha de Jairo (</w:t>
      </w:r>
      <w:hyperlink r:id="rId18498">
        <w:r>
          <w:rPr>
            <w:color w:val="0000EE"/>
            <w:u w:val="single"/>
          </w:rPr>
          <w:t>Mc 5.35–43</w:t>
        </w:r>
      </w:hyperlink>
      <w:r>
        <w:t>) e Lázaro (</w:t>
      </w:r>
      <w:hyperlink r:id="rId15819">
        <w:r>
          <w:rPr>
            <w:color w:val="0000EE"/>
            <w:u w:val="single"/>
          </w:rPr>
          <w:t>Jo 11.17–44</w:t>
        </w:r>
      </w:hyperlink>
      <w:r>
        <w:t>), Pedro ressuscitou Dorcas (</w:t>
      </w:r>
      <w:hyperlink r:id="rId18499">
        <w:r>
          <w:rPr>
            <w:color w:val="0000EE"/>
            <w:u w:val="single"/>
          </w:rPr>
          <w:t>Atos 9.36–42</w:t>
        </w:r>
      </w:hyperlink>
      <w:r>
        <w:t>), e Paulo ressuscitou Êutico (</w:t>
      </w:r>
      <w:hyperlink r:id="rId18500">
        <w:r>
          <w:rPr>
            <w:color w:val="0000EE"/>
            <w:u w:val="single"/>
          </w:rPr>
          <w:t>20.9–12</w:t>
        </w:r>
      </w:hyperlink>
      <w:r>
        <w:t>). Não há nenhuma pista de que essas ressuscitações impediriam a morte futura. (2) Se refere com mais frequência à ressurreição de Jesus Cristo. (3) Também se refere à ressurreição escatológica da humanidade no final dos tempos para punição ou recompensa (</w:t>
      </w:r>
      <w:hyperlink r:id="rId8494">
        <w:r>
          <w:rPr>
            <w:color w:val="0000EE"/>
            <w:u w:val="single"/>
          </w:rPr>
          <w:t>Jo 5.29</w:t>
        </w:r>
      </w:hyperlink>
      <w:r>
        <w:t xml:space="preserve">; cf. </w:t>
      </w:r>
      <w:hyperlink r:id="rId18501">
        <w:r>
          <w:rPr>
            <w:color w:val="0000EE"/>
            <w:u w:val="single"/>
          </w:rPr>
          <w:t>Ap 20.5–6</w:t>
        </w:r>
      </w:hyperlink>
      <w:r>
        <w:t>).</w:t>
      </w:r>
    </w:p>
    <w:p>
      <w:r/>
      <w:r>
        <w:t>Resumo</w:t>
      </w:r>
    </w:p>
    <w:p>
      <w:r/>
      <w:r>
        <w:t>• Ressurreição no Antigo Testamento e no judaísmo</w:t>
      </w:r>
    </w:p>
    <w:p>
      <w:r/>
      <w:r>
        <w:t>• A ressurreição de Jesus Cristo</w:t>
      </w:r>
    </w:p>
    <w:p>
      <w:r/>
      <w:r>
        <w:t>• Os relatos da ressurreição</w:t>
      </w:r>
    </w:p>
    <w:p>
      <w:r/>
      <w:r>
        <w:t>• O significado da ressurreição de Cristo</w:t>
      </w:r>
    </w:p>
    <w:p>
      <w:r/>
      <w:r>
        <w:t>• Ressurreição em geral</w:t>
      </w:r>
    </w:p>
    <w:p>
      <w:r/>
      <w:r>
        <w:t>• Ressurreição e gnosticismo</w:t>
      </w:r>
    </w:p>
    <w:p>
      <w:pPr>
        <w:pStyle w:val="Heading3"/>
      </w:pPr>
      <w:r>
        <w:t>Ressurreição no Antigo Testamento e no judaísmo</w:t>
      </w:r>
    </w:p>
    <w:p>
      <w:r/>
      <w:r>
        <w:t xml:space="preserve">O conceito de ressurreição para a vida eterna se desenvolveu lentamente em Israel. Vida e morte estavam limitadas à existência física neste mundo. A morte significava deixar este mundo e entrar em uma existência sombria conhecida como Sheol, o lugar dos </w:t>
      </w:r>
      <w:r>
        <w:rPr>
          <w:i/>
        </w:rPr>
        <w:t>refaim</w:t>
      </w:r>
      <w:r>
        <w:t>, ou sombras (</w:t>
      </w:r>
      <w:hyperlink r:id="rId10289">
        <w:r>
          <w:rPr>
            <w:color w:val="0000EE"/>
            <w:u w:val="single"/>
          </w:rPr>
          <w:t>Is 14.9</w:t>
        </w:r>
      </w:hyperlink>
      <w:r>
        <w:t>), um lugar de desesperança (</w:t>
      </w:r>
      <w:hyperlink r:id="rId18502">
        <w:r>
          <w:rPr>
            <w:color w:val="0000EE"/>
            <w:u w:val="single"/>
          </w:rPr>
          <w:t>2Sm 12.23</w:t>
        </w:r>
      </w:hyperlink>
      <w:r>
        <w:t xml:space="preserve">; </w:t>
      </w:r>
      <w:hyperlink r:id="rId18503">
        <w:r>
          <w:rPr>
            <w:color w:val="0000EE"/>
            <w:u w:val="single"/>
          </w:rPr>
          <w:t>Jó 7.9–10</w:t>
        </w:r>
      </w:hyperlink>
      <w:r>
        <w:t>). A tragédia do Sheol era que uma pessoa foi cortada da comunhão com Deus. Naquela fase do pensamento de Israel, parecia haver pouca esperança para a ressurreição (</w:t>
      </w:r>
      <w:hyperlink r:id="rId18504">
        <w:r>
          <w:rPr>
            <w:color w:val="0000EE"/>
            <w:u w:val="single"/>
          </w:rPr>
          <w:t>Sl 6.4–5</w:t>
        </w:r>
      </w:hyperlink>
      <w:r>
        <w:t xml:space="preserve">; </w:t>
      </w:r>
      <w:hyperlink r:id="rId18154">
        <w:r>
          <w:rPr>
            <w:color w:val="0000EE"/>
            <w:u w:val="single"/>
          </w:rPr>
          <w:t>88.10–12</w:t>
        </w:r>
      </w:hyperlink>
      <w:r>
        <w:t>).</w:t>
      </w:r>
    </w:p>
    <w:p>
      <w:r/>
      <w:r>
        <w:t>Mas no meio da desesperança sobre um futuro pessoal, Israel desenvolveu um senso de fidelidade a Deus. Apesar do fato de que o futuro não era claro, Jó clamou impotente: “Se um homem morrer, ele viverá novamente?” (</w:t>
      </w:r>
      <w:hyperlink r:id="rId18505">
        <w:r>
          <w:rPr>
            <w:color w:val="0000EE"/>
            <w:u w:val="single"/>
          </w:rPr>
          <w:t>Jó 14.14</w:t>
        </w:r>
      </w:hyperlink>
      <w:r>
        <w:t xml:space="preserve">). Como Jó buscava o aparentemente impossível, a difícil passagem em </w:t>
      </w:r>
      <w:hyperlink r:id="rId908">
        <w:r>
          <w:rPr>
            <w:color w:val="0000EE"/>
            <w:u w:val="single"/>
          </w:rPr>
          <w:t>Jó 19.25–26</w:t>
        </w:r>
      </w:hyperlink>
      <w:r>
        <w:t xml:space="preserve"> sugere a realidade da ressurreição por um redentor vivo (go’el).</w:t>
      </w:r>
    </w:p>
    <w:p>
      <w:r/>
      <w:r>
        <w:t xml:space="preserve">Enquanto alguns argumentariam que </w:t>
      </w:r>
      <w:hyperlink r:id="rId914">
        <w:r>
          <w:rPr>
            <w:color w:val="0000EE"/>
            <w:u w:val="single"/>
          </w:rPr>
          <w:t>Os 6.1–3</w:t>
        </w:r>
      </w:hyperlink>
      <w:r>
        <w:t xml:space="preserve"> sugere uma ressurreição, é provável que Israel o considerasse uma promessa do cuidado continuo de Deus, mesmo quando experimentou a derrota nas mãos de seus inimigos. Se Paulo viu na declaração do terceiro dia de Oseias uma referência a Jesus, é difícil de avaliar (</w:t>
      </w:r>
      <w:hyperlink r:id="rId6250">
        <w:r>
          <w:rPr>
            <w:color w:val="0000EE"/>
            <w:u w:val="single"/>
          </w:rPr>
          <w:t>1 Coríntios 15:4</w:t>
        </w:r>
      </w:hyperlink>
      <w:r>
        <w:t xml:space="preserve">). Esta passagem, juntamente com textos como os ossos secos de Ezequiel (cap. </w:t>
      </w:r>
      <w:hyperlink r:id="rId6047">
        <w:r>
          <w:rPr>
            <w:color w:val="0000EE"/>
            <w:u w:val="single"/>
          </w:rPr>
          <w:t>37</w:t>
        </w:r>
      </w:hyperlink>
      <w:r>
        <w:t>), se concentra principalmente em dar esperança a Israel, apesar da derrota. Mas eles podem ter se tornado parte de um senso em desenvolvimento em Israel de que após a morte, deveria haver algo mais.</w:t>
      </w:r>
    </w:p>
    <w:p>
      <w:r/>
      <w:r>
        <w:t xml:space="preserve">Em </w:t>
      </w:r>
      <w:hyperlink r:id="rId913">
        <w:r>
          <w:rPr>
            <w:color w:val="0000EE"/>
            <w:u w:val="single"/>
          </w:rPr>
          <w:t>Dn 12.2</w:t>
        </w:r>
      </w:hyperlink>
      <w:r>
        <w:t>, no entanto, há uma referência certa à ressurreição dos mortos. De fato, o texto anunciou uma ressurreição dupla de judeus: alguns para a vida eterna e alguns para o desprezo eterno. Mas não havia ressurreição geral de todas as pessoas sugeridas por este texto.</w:t>
      </w:r>
    </w:p>
    <w:p>
      <w:r/>
      <w:r>
        <w:t>No período intertestamentário, as visões começaram a solidificar. Os saduceus teologicamente conservadores não teriam nada a ver com as novas ideias de ressurreição e a vida após a morte. Eles continuaram a argumentar que não havia menção de ressurreição nos escritos de Moisés, que a vida pertencia a este reino terreno, e que a esperança futura foi experimentada através dos filhos (</w:t>
      </w:r>
      <w:hyperlink r:id="rId18506">
        <w:r>
          <w:rPr>
            <w:color w:val="0000EE"/>
            <w:u w:val="single"/>
          </w:rPr>
          <w:t>Ec 46.12</w:t>
        </w:r>
      </w:hyperlink>
      <w:r>
        <w:t>). O Sheol, o lugar dos mortos, era desprovido de relacionamento com Deus e era um lugar de existência infeliz. A opinião dos saduceus da ressurreição é geralmente bem conhecida dos cristãos por causa do encontro entre Jesus e os saduceus quando eles tentaram enganá-lo sobre a esposa de sete irmãos. Jesus rejeitou suas visões da ressurreição, de Deus e das Escrituras (</w:t>
      </w:r>
      <w:hyperlink r:id="rId10518">
        <w:r>
          <w:rPr>
            <w:color w:val="0000EE"/>
            <w:u w:val="single"/>
          </w:rPr>
          <w:t>Mc 12.18–27</w:t>
        </w:r>
      </w:hyperlink>
      <w:r>
        <w:t>).</w:t>
      </w:r>
    </w:p>
    <w:p>
      <w:r/>
      <w:r>
        <w:t xml:space="preserve">Os fariseus, juntamente com os essênios e aqueles em Qumran, acreditavam na ressurreição. Um padrão duplo de ressurreição foi sugerido pelas famosas passagens escatológicas de 2 Esdras 7 e o Apocalipse de Baruque 50–51. Ambos os textos podem ser tão tardios quanto o primeiro século d.C. Nas Semelhanças de 1 Enoque, os judeus justos geralmente poderiam esperar a ressurreição, mas não os ímpios (1 Enoque 1.46,51,62). Mas em outro lugar em Enoque, há uma dica de que alguns ímpios podem ser ressuscitados para julgamento (vv. 22,67,90). A ressurreição dos justos nesses textos estaria geralmente ligada a um tipo espiritual de corpo, mas em </w:t>
      </w:r>
      <w:hyperlink r:id="rId18507">
        <w:r>
          <w:rPr>
            <w:color w:val="0000EE"/>
            <w:u w:val="single"/>
          </w:rPr>
          <w:t>2 Macabeus 7.14ss.</w:t>
        </w:r>
      </w:hyperlink>
      <w:r>
        <w:t>, a visão parece menos desenvolvida e mais física. Os ascetas em Qumran esperavam uma ressurreição no grande Dia do Senhor.</w:t>
      </w:r>
    </w:p>
    <w:p>
      <w:r/>
      <w:r>
        <w:t>Enquanto no judaísmo havia um senso crescente de um dia escatológico de ressurreição e acerto de contas, não havia nenhuma pista em qualquer lugar de uma ressurreição do Messias. Tal ideia tinha que esperar a realidade histórica de Jesus.</w:t>
      </w:r>
    </w:p>
    <w:p>
      <w:pPr>
        <w:pStyle w:val="Heading3"/>
      </w:pPr>
      <w:r>
        <w:t>A ressurreição de Jesus Cristo</w:t>
      </w:r>
    </w:p>
    <w:p>
      <w:r/>
      <w:r>
        <w:t>A ressurreição de Cristo é o ponto central do cristianismo. Tão importante era a ressurreição para Paulo que ele articulava tanto a pregação quanto a fé sobre sua validade. Ele considerou que um cristianismo sem a ressurreição seria vazio e sem significado (</w:t>
      </w:r>
      <w:hyperlink r:id="rId5849">
        <w:r>
          <w:rPr>
            <w:color w:val="0000EE"/>
            <w:u w:val="single"/>
          </w:rPr>
          <w:t>1Co 15.12–19</w:t>
        </w:r>
      </w:hyperlink>
      <w:r>
        <w:t>). De fato, a ressurreição para ele era a revelação do poder de Deus em Jesus (</w:t>
      </w:r>
      <w:hyperlink r:id="rId6103">
        <w:r>
          <w:rPr>
            <w:color w:val="0000EE"/>
            <w:u w:val="single"/>
          </w:rPr>
          <w:t>Rm 1.4</w:t>
        </w:r>
      </w:hyperlink>
      <w:r>
        <w:t>).</w:t>
      </w:r>
    </w:p>
    <w:p>
      <w:r/>
      <w:r>
        <w:t>A ressurreição de Cristo é a pressuposição por trás de outros textos do NT também. O renascimento para uma esperança viva é baseado na ressurreição (</w:t>
      </w:r>
      <w:hyperlink r:id="rId8811">
        <w:r>
          <w:rPr>
            <w:color w:val="0000EE"/>
            <w:u w:val="single"/>
          </w:rPr>
          <w:t>1Pe 1.3</w:t>
        </w:r>
      </w:hyperlink>
      <w:r>
        <w:t>). É o fundamento para testemunho e comunhão com Deus, porque o Senhor vivo foi visto e tocado (</w:t>
      </w:r>
      <w:hyperlink r:id="rId3747">
        <w:r>
          <w:rPr>
            <w:color w:val="0000EE"/>
            <w:u w:val="single"/>
          </w:rPr>
          <w:t>1Jo 1.1–4</w:t>
        </w:r>
      </w:hyperlink>
      <w:r>
        <w:t>). É a tese alicerce para ministério e apostolado (</w:t>
      </w:r>
      <w:hyperlink r:id="rId18508">
        <w:r>
          <w:rPr>
            <w:color w:val="0000EE"/>
            <w:u w:val="single"/>
          </w:rPr>
          <w:t>At 1.21–25</w:t>
        </w:r>
      </w:hyperlink>
      <w:r>
        <w:t>). Os Evangelhos também teriam dificilmente sido boas novas se eles não concluíssem com a ressurreição de Cristo. A ressurreição de Cristo é o protótipo para todos os crentes, que experimentarão a ressurreição quando Cristo voltar.</w:t>
      </w:r>
    </w:p>
    <w:p>
      <w:pPr>
        <w:pStyle w:val="Heading3"/>
      </w:pPr>
      <w:r>
        <w:t>Os relatos da ressurreição</w:t>
      </w:r>
    </w:p>
    <w:p>
      <w:r/>
      <w:r>
        <w:t xml:space="preserve">Embora a ressurreição de Jesus Cristo seja a própria essência do cristianismo, tem sido o assunto de debate considerável. Os estudiosos observaram frequentemente as variações que estão presentes nos relatos. Quantas e quem eram as mulheres no túmulo? Havia um (Mt; Mc) ou havia dois anjos (Lc; Jo) no túmulo? As mulheres vieram para ungir o corpo (Mc; Lc) ou para ver o túmulo (Mt)? As mulheres não disseram nada a ninguém por causa de medo (Mc), ou elas se relataram aos discípulos (Mt)? Qual era a ordem das aparições, e elas ocorreram em Jerusalém (Lc; </w:t>
      </w:r>
      <w:hyperlink r:id="rId18509">
        <w:r>
          <w:rPr>
            <w:color w:val="0000EE"/>
            <w:u w:val="single"/>
          </w:rPr>
          <w:t>Jo 20</w:t>
        </w:r>
      </w:hyperlink>
      <w:r>
        <w:t xml:space="preserve">) ou na Galileia (Mt; </w:t>
      </w:r>
      <w:hyperlink r:id="rId11969">
        <w:r>
          <w:rPr>
            <w:color w:val="0000EE"/>
            <w:u w:val="single"/>
          </w:rPr>
          <w:t>Jo 21</w:t>
        </w:r>
      </w:hyperlink>
      <w:r>
        <w:t>) ou em ambos os lugares? As aparições podem ser harmonizadas? Que tipo de corpo Jesus possuía? Essas e muitas outras perguntas foram o divisor de águas para uma grande quantidade de debate acadêmico contemporâneo.</w:t>
      </w:r>
    </w:p>
    <w:p>
      <w:r/>
      <w:r>
        <w:t xml:space="preserve">Muitas dessas perguntas não foram descobertas por estudiosos recentes. Taciano no segundo século tentou remover as perguntas compondo seu </w:t>
      </w:r>
      <w:r>
        <w:rPr>
          <w:i/>
        </w:rPr>
        <w:t>Diatessaron</w:t>
      </w:r>
      <w:r>
        <w:t xml:space="preserve"> (harmonia), na esperança de que os cristãos aceitassem seu trabalho como um substituto livre de variantes para os Evangelhos. Embora os cristãos tenham gostado da harmonia, eles continuaram a transmitir fielmente os Evangelhos, porque eles acreditavam que neles, por inspiração divina, Deus havia fornecido um testemunho poderoso sobre seu Filho. Muitos hoje ainda tentam o caminho da harmonização em um esforço para lidar com as minúcias das perguntas históricas, mas eles geralmente perdem a singularidade de cada testemunho. Outros enfatizam as diferenças e especulam as construções do Evangelho, mas o fato da ressurreição geralmente se perde nos detalhes dessas construções humanas. Ambas são tentativas de proteger a essência da fé e da razão de maneiras diferentes.</w:t>
      </w:r>
    </w:p>
    <w:p>
      <w:pPr>
        <w:pStyle w:val="Heading4"/>
      </w:pPr>
      <w:r>
        <w:t>O túmulo vazio</w:t>
      </w:r>
    </w:p>
    <w:p>
      <w:r/>
      <w:r>
        <w:t xml:space="preserve">Muitas explicações foram dadas sobre o túmulo vazio. Alguns disseram que o corpo foi roubado pelos discípulos (já sugerido por </w:t>
      </w:r>
      <w:hyperlink r:id="rId18510">
        <w:r>
          <w:rPr>
            <w:color w:val="0000EE"/>
            <w:u w:val="single"/>
          </w:rPr>
          <w:t>Mt 28.13</w:t>
        </w:r>
      </w:hyperlink>
      <w:r>
        <w:t>), mas então é preciso explicar a igreja com base na fraude. Outros disseram que os judeus poderiam ter roubado o corpo, ou os discípulos poderiam ter confundido o túmulo, mas então o corpo logo teria sido apresentado pelos inimigos. Outros disseram que Jesus poderia ter desmaiado, acordado mais tarde no túmulo frio, mas então o resultado teria dificilmente inspirado o poder da igreja cristã. Essas explicações são todas tentativas racionalistas baseadas em um preconceito de que uma ressurreição real de Jesus não poderia ter acontecido.</w:t>
      </w:r>
    </w:p>
    <w:p>
      <w:r/>
      <w:r>
        <w:t xml:space="preserve">Apesar das diferenças materiais, e enquanto os escritores dos Evangelhos usaram uma grande quantidade de material comum em suas histórias de túmulo, eles mesmos se absterem de empregar o túmulo como uma base para a fé da ressurreição. Com a exceção de </w:t>
      </w:r>
      <w:hyperlink r:id="rId11971">
        <w:r>
          <w:rPr>
            <w:color w:val="0000EE"/>
            <w:u w:val="single"/>
          </w:rPr>
          <w:t>Jo 20.8</w:t>
        </w:r>
      </w:hyperlink>
      <w:r>
        <w:t>, o túmulo vazio gerou surpresa e medo. De fato, parecia ser uma história sem sentido (</w:t>
      </w:r>
      <w:hyperlink r:id="rId18511">
        <w:r>
          <w:rPr>
            <w:color w:val="0000EE"/>
            <w:u w:val="single"/>
          </w:rPr>
          <w:t>Lc 24.11</w:t>
        </w:r>
      </w:hyperlink>
      <w:r>
        <w:t>). Não são as histórias do túmulo, mas as aparições de Jesus após sua ressurreição que deram origem à fé.</w:t>
      </w:r>
    </w:p>
    <w:p>
      <w:pPr>
        <w:pStyle w:val="Heading4"/>
      </w:pPr>
      <w:r>
        <w:t>As aparições</w:t>
      </w:r>
    </w:p>
    <w:p>
      <w:r/>
      <w:r>
        <w:t>Ao contrário das histórias do túmulo, há pouca semelhança de material nas aparições. No entanto, as aparições são a base para a fé de que o inacreditável aconteceu. Um inimigo como Paulo foi convertido em um apóstolo zeloso (</w:t>
      </w:r>
      <w:hyperlink r:id="rId18512">
        <w:r>
          <w:rPr>
            <w:color w:val="0000EE"/>
            <w:u w:val="single"/>
          </w:rPr>
          <w:t>At 9.1–22</w:t>
        </w:r>
      </w:hyperlink>
      <w:r>
        <w:t xml:space="preserve">; </w:t>
      </w:r>
      <w:hyperlink r:id="rId153">
        <w:r>
          <w:rPr>
            <w:color w:val="0000EE"/>
            <w:u w:val="single"/>
          </w:rPr>
          <w:t>1Co 15.8</w:t>
        </w:r>
      </w:hyperlink>
      <w:r>
        <w:t>). Um pescador temeroso como Pedro abandonou suas redes (</w:t>
      </w:r>
      <w:hyperlink r:id="rId11969">
        <w:r>
          <w:rPr>
            <w:color w:val="0000EE"/>
            <w:u w:val="single"/>
          </w:rPr>
          <w:t>Jo 21</w:t>
        </w:r>
      </w:hyperlink>
      <w:r>
        <w:t>). Um cético como Tomé proferiu a maior confissão do cristianismo primitivo, chamando Jesus de “meu Senhor e meu Deus” (</w:t>
      </w:r>
      <w:hyperlink r:id="rId18513">
        <w:r>
          <w:rPr>
            <w:color w:val="0000EE"/>
            <w:u w:val="single"/>
          </w:rPr>
          <w:t>20.24–28</w:t>
        </w:r>
      </w:hyperlink>
      <w:r>
        <w:t>). E dois viajantes cansados para Emaús encontraram novo zelo para voltar rapidamente para Jerusalém e compartilhar as notícias sobre seu encontro com Jesus ressuscitado (</w:t>
      </w:r>
      <w:hyperlink r:id="rId18514">
        <w:r>
          <w:rPr>
            <w:color w:val="0000EE"/>
            <w:u w:val="single"/>
          </w:rPr>
          <w:t>Lc 24.13–35</w:t>
        </w:r>
      </w:hyperlink>
      <w:r>
        <w:t>).</w:t>
      </w:r>
    </w:p>
    <w:p>
      <w:r/>
      <w:r>
        <w:t>Os estudiosos debateram a natureza dessas aparições. Começando pela lista de aparições de Paulo (</w:t>
      </w:r>
      <w:hyperlink r:id="rId18515">
        <w:r>
          <w:rPr>
            <w:color w:val="0000EE"/>
            <w:u w:val="single"/>
          </w:rPr>
          <w:t>1Co 15.5–8</w:t>
        </w:r>
      </w:hyperlink>
      <w:r>
        <w:t>), alguns argumentaram que todas as aparições são da mesma natureza, e uma vez que a aparição na estrada de Damasco a Paulo registrada em Atos parece ter sido de natureza espiritual (</w:t>
      </w:r>
      <w:hyperlink r:id="rId4649">
        <w:r>
          <w:rPr>
            <w:color w:val="0000EE"/>
            <w:u w:val="single"/>
          </w:rPr>
          <w:t>At 9.1–9</w:t>
        </w:r>
      </w:hyperlink>
      <w:r>
        <w:t xml:space="preserve">; cf. </w:t>
      </w:r>
      <w:hyperlink r:id="rId10889">
        <w:r>
          <w:rPr>
            <w:color w:val="0000EE"/>
            <w:u w:val="single"/>
          </w:rPr>
          <w:t>22.6–11</w:t>
        </w:r>
      </w:hyperlink>
      <w:r>
        <w:t xml:space="preserve">; </w:t>
      </w:r>
      <w:hyperlink r:id="rId18516">
        <w:r>
          <w:rPr>
            <w:color w:val="0000EE"/>
            <w:u w:val="single"/>
          </w:rPr>
          <w:t>26.12–19</w:t>
        </w:r>
      </w:hyperlink>
      <w:r>
        <w:t>), então todas as aparições devem ter sido semelhantes. As declarações de que Jesus ressuscitado era tocável (</w:t>
      </w:r>
      <w:hyperlink r:id="rId18517">
        <w:r>
          <w:rPr>
            <w:color w:val="0000EE"/>
            <w:u w:val="single"/>
          </w:rPr>
          <w:t>Lc 24.41–43</w:t>
        </w:r>
      </w:hyperlink>
      <w:r>
        <w:t>) são rejeitadas como acréscimos posteriores a uma tradição anterior do tipo de visão. Este tipo de argumento é baseado em pressuposições da impossibilidade de uma ressurreição corporal.</w:t>
      </w:r>
    </w:p>
    <w:p>
      <w:r/>
      <w:r>
        <w:t>Outra teoria foi baseada na divisão entre o Jesus da história e o Cristo da fé. De acordo com esta visão, a ressurreição não deveria ser considerada como um fato da história, mas como uma experiência da fé dos discípulos. A questão, no entanto, é que as testemunhas oculares da ressurreição de Jesus proclamaram o evento como uma realidade histórica e palpável.</w:t>
      </w:r>
    </w:p>
    <w:p>
      <w:pPr>
        <w:pStyle w:val="Heading3"/>
      </w:pPr>
      <w:r>
        <w:t>O significado da ressurreição de Cristo</w:t>
      </w:r>
    </w:p>
    <w:p>
      <w:r/>
      <w:r>
        <w:t>Várias pessoas foram ressuscitadas dos mortos, como registrado na Bíblia. O filho de uma viúva foi ressuscitado por Elias, o filho de outra viúva foi ressuscitado por Jesus, e Lázaro foi ressuscitado por Jesus. No entanto, sua revitalização (ou ressuscitação) não é a mesma que a ressurreição de Cristo. Eles se levantaram apenas para morrer novamente; ele se levantou para viver para sempre. Eles se levantaram ainda condenados pela corruptibilidade; ele se levantou incorruptível. Eles se levantaram sem nenhuma mudança em sua constituição; ele se levantou de uma forma significativamente diferente.</w:t>
      </w:r>
    </w:p>
    <w:p>
      <w:r/>
      <w:r>
        <w:t xml:space="preserve">Quando o Senhor se levantou, três coisas significativas aconteceram com ele. Ele foi glorificado, ele foi transfigurado, e ele se tornou espírito. Todos os três aconteceram simultaneamente. Quando ele foi ressuscitado, ele foi glorificado (veja </w:t>
      </w:r>
      <w:hyperlink r:id="rId8800">
        <w:r>
          <w:rPr>
            <w:color w:val="0000EE"/>
            <w:u w:val="single"/>
          </w:rPr>
          <w:t>Lc 24.26</w:t>
        </w:r>
      </w:hyperlink>
      <w:r>
        <w:t>). Ao mesmo tempo, seu corpo foi transfigurado em um glorioso (</w:t>
      </w:r>
      <w:hyperlink r:id="rId5975">
        <w:r>
          <w:rPr>
            <w:color w:val="0000EE"/>
            <w:u w:val="single"/>
          </w:rPr>
          <w:t>Fp 3.21</w:t>
        </w:r>
      </w:hyperlink>
      <w:r>
        <w:t>). Da mesma forma — e de forma bastante misteriosa — ele se tornou espírito vivificador (</w:t>
      </w:r>
      <w:hyperlink r:id="rId8423">
        <w:r>
          <w:rPr>
            <w:color w:val="0000EE"/>
            <w:u w:val="single"/>
          </w:rPr>
          <w:t>1Co 15.45</w:t>
        </w:r>
      </w:hyperlink>
      <w:r>
        <w:t>).</w:t>
      </w:r>
    </w:p>
    <w:p>
      <w:r/>
      <w:r>
        <w:t>Antes da crucificação e ressurreição do Senhor, ele declarou: “A hora chegou em que o Filho do Homem será glorificado. Em verdade, em verdade, eu digo a vocês, a menos que um grão de trigo caia na terra e morra, ele permanece sozinho; mas se morrer, produz muitos grãos” (</w:t>
      </w:r>
      <w:hyperlink r:id="rId18518">
        <w:r>
          <w:rPr>
            <w:color w:val="0000EE"/>
            <w:u w:val="single"/>
          </w:rPr>
          <w:t>Jo 12.23–24</w:t>
        </w:r>
      </w:hyperlink>
      <w:r>
        <w:t>). Esta declaração fornece a melhor imagem de ressurreição. Paulo também usou esta ilustração. Ele comparou a glória da ressurreição a um grão que está sendo semeado na morte e então surgindo em vida. Na verdade, Paulo usou esta ilustração ao responder duas perguntas que os coríntios colocaram sobre a ressurreição: (1) Como os mortos são ressuscitados? e (2) Com que tipo de corpo eles vêm? (</w:t>
      </w:r>
      <w:hyperlink r:id="rId18519">
        <w:r>
          <w:rPr>
            <w:color w:val="0000EE"/>
            <w:u w:val="single"/>
          </w:rPr>
          <w:t>1Co 15.35</w:t>
        </w:r>
      </w:hyperlink>
      <w:r>
        <w:t>).</w:t>
      </w:r>
    </w:p>
    <w:p>
      <w:r/>
      <w:r>
        <w:t>À primeira pergunta, Paulo respondeu: “Homem tolo, o que você semeia não é tornado vivo a menos que morra” (</w:t>
      </w:r>
      <w:hyperlink r:id="rId18520">
        <w:r>
          <w:rPr>
            <w:color w:val="0000EE"/>
            <w:u w:val="single"/>
          </w:rPr>
          <w:t>1Co 15.36</w:t>
        </w:r>
      </w:hyperlink>
      <w:r>
        <w:t xml:space="preserve">). Isso segue perfeitamente o dito do Senhor em </w:t>
      </w:r>
      <w:hyperlink r:id="rId18521">
        <w:r>
          <w:rPr>
            <w:color w:val="0000EE"/>
            <w:u w:val="single"/>
          </w:rPr>
          <w:t>Jo 12.24</w:t>
        </w:r>
      </w:hyperlink>
      <w:r>
        <w:t>, e os dois se explicam um ao outro. Os grãos devem morrer antes de poder ser despertados. Paulo dedica mais explicações à segunda pergunta; e o Espírito inspirou sua declaração sublime para revelar este mistério. Usando o mesmo exemplo natural do grão de trigo, Paulo revelou que o corpo que surge na ressurreição é totalmente diferente em forma do que havia sido semeado. Através de um processo orgânico, o único grão nu é transformado em um talo de trigo. Em essência, o grão e o talo são um e o mesmo — este último simplesmente sendo o crescimento vivo e a expansão expressa do primeiro. Em resumo, o talo é a glória do grão, ou o grão glorificado. Esta ilustração mostra que o corpo ressuscitado de Jesus era completamente diferente do que foi enterrado. Na morte, ele havia sido semeado em corrupção, desonra e fraqueza; na ressurreição, ele surgiu em incorrupção, glória e poder. O corpo natural que Jesus possuía como homem se tornou um corpo espiritual, e, ao mesmo tempo, Cristo se tornou “espírito vivificante”.</w:t>
      </w:r>
    </w:p>
    <w:p>
      <w:r/>
      <w:r>
        <w:t>Com esta nova existência espiritual, Cristo, como espírito e através do Espírito Santo, poderia habitar milhões de crentes simultaneamente. Antes da ressurreição, Jesus foi limitado por seu corpo mortal; após sua ressurreição, Jesus poderia ser experimentado ilimitadamente por todos os seus crentes. Antes de sua ressurreição, Cristo poderia habitar apenas entre seus crentes; após sua ressurreição, ele poderia habitar em seus crentes. Porque Cristo se tornou espírito através da ressurreição, ele pode ser experimentado por aqueles em que ele habita. O Espírito de Cristo agora torna Cristo muito real e experiencial para nós.</w:t>
      </w:r>
    </w:p>
    <w:p>
      <w:r/>
      <w:r>
        <w:t>O Senhor Jesus entrou em um novo tipo de existência quando ele foi ressuscitado dos mortos porque ele foi glorificado e simultaneamente se tornou espírito — ou, para inventar um termo, ele foi “pneumaficado” (da palavra grega para “espírito”, pneuma). Parece que quando ele se levantou, o Espírito habitante penetrou e saturou seu corpo para constituir todo o seu ser com espírito. Estudos recentes na área da pneumatologia (o estudo do Espírito) apontam que o Cristo ressuscitado e o Espírito estavam unidos através da ressurreição de Cristo.</w:t>
      </w:r>
    </w:p>
    <w:p>
      <w:r/>
      <w:r>
        <w:t xml:space="preserve">William Milligan, o autor do melhor clássico inglês sobre o assunto da ressurreição, disse que o Cristo ressuscitado é espírito. Nesse clássico, chamado </w:t>
      </w:r>
      <w:r>
        <w:rPr>
          <w:i/>
        </w:rPr>
        <w:t>A Ressurreição de Nosso Senhor</w:t>
      </w:r>
      <w:r>
        <w:t>, ele escreveu o seguinte:</w:t>
      </w:r>
    </w:p>
    <w:p>
      <w:r/>
      <w:r>
        <w:t xml:space="preserve">A condição de nosso Senhor após Sua Ressurreição foi vista pelos escritores sagrados como essencialmente um estado de pneuma (espírito). Na verdade, não que nosso Senhor não tivesse então nenhum corpo, pois é a lição constante das Escrituras de que um corpo era possuído por ele; mas que o mais profundo, a característica fundamental de Seu estado, interpenetrando até mesmo o corpo, e moldando-o em uma adaptação completa e harmonia com Seu espírito, era </w:t>
      </w:r>
      <w:r>
        <w:rPr>
          <w:i/>
        </w:rPr>
        <w:t>pneuma</w:t>
      </w:r>
      <w:r>
        <w:t>. Em outras palavras, é proposto perguntar se a palavra pneuma no Novo Testamento não é usada como uma breve descrição do que nosso Senhor era após Sua ressurreição, em contraste com o que Ele era durante os dias de Sua humilhação na terra.</w:t>
      </w:r>
    </w:p>
    <w:p>
      <w:r/>
      <w:r>
        <w:t xml:space="preserve">Milligan continuou a partir daí para mostrar que várias partes das Escrituras afirmam que o Cristo ressuscitado é espírito. Ele citou </w:t>
      </w:r>
      <w:hyperlink r:id="rId8468">
        <w:r>
          <w:rPr>
            <w:color w:val="0000EE"/>
            <w:u w:val="single"/>
          </w:rPr>
          <w:t>1Co 6.17</w:t>
        </w:r>
      </w:hyperlink>
      <w:r>
        <w:t xml:space="preserve"> para mostrar que o crente que está unido com o Senhor ressuscitado deve ser unido a ele como espírito, porque aquele que está unido com o Senhor é dito ser “um espírito” com ele. Ele usou </w:t>
      </w:r>
      <w:hyperlink r:id="rId8047">
        <w:r>
          <w:rPr>
            <w:color w:val="0000EE"/>
            <w:u w:val="single"/>
          </w:rPr>
          <w:t>2Co 3.17–18</w:t>
        </w:r>
      </w:hyperlink>
      <w:r>
        <w:t xml:space="preserve"> para demonstrar que o Senhor que é o Espírito não é outro senão o Cristo ressuscitado. Ele também empregou </w:t>
      </w:r>
      <w:hyperlink r:id="rId2672">
        <w:r>
          <w:rPr>
            <w:color w:val="0000EE"/>
            <w:u w:val="single"/>
          </w:rPr>
          <w:t>1Tm 3.16</w:t>
        </w:r>
      </w:hyperlink>
      <w:r>
        <w:t xml:space="preserve">, </w:t>
      </w:r>
      <w:hyperlink r:id="rId8048">
        <w:r>
          <w:rPr>
            <w:color w:val="0000EE"/>
            <w:u w:val="single"/>
          </w:rPr>
          <w:t>Rm 1.3–4</w:t>
        </w:r>
      </w:hyperlink>
      <w:r>
        <w:t xml:space="preserve">, e </w:t>
      </w:r>
      <w:hyperlink r:id="rId883">
        <w:r>
          <w:rPr>
            <w:color w:val="0000EE"/>
            <w:u w:val="single"/>
          </w:rPr>
          <w:t>Hb 9.14</w:t>
        </w:r>
      </w:hyperlink>
      <w:r>
        <w:t xml:space="preserve"> para provar que o Senhor ressuscitado é espírito.</w:t>
      </w:r>
    </w:p>
    <w:p>
      <w:r/>
      <w:r>
        <w:t>Quando lemos os últimos capítulos dos Evangelhos, percebemos que uma grande mudança havia ocorrido em nosso Senhor após a ressurreição. Ao entrar na glória, ele havia entrado em uma nova esfera de existência. Em um momento, ele era visível; em outro, ele se tornou invisível (</w:t>
      </w:r>
      <w:hyperlink r:id="rId18522">
        <w:r>
          <w:rPr>
            <w:color w:val="0000EE"/>
            <w:u w:val="single"/>
          </w:rPr>
          <w:t>Lc 24.31</w:t>
        </w:r>
      </w:hyperlink>
      <w:r>
        <w:t>). Ele estava desafiando as limitações do espaço e talvez até o tempo. No início da manhã do dia da ressurreição, ele apareceu a Maria Madalena no jardim (</w:t>
      </w:r>
      <w:hyperlink r:id="rId3655">
        <w:r>
          <w:rPr>
            <w:color w:val="0000EE"/>
            <w:u w:val="single"/>
          </w:rPr>
          <w:t>Jo 20.11–17</w:t>
        </w:r>
      </w:hyperlink>
      <w:r>
        <w:t>), então a algumas das outras mulheres (</w:t>
      </w:r>
      <w:hyperlink r:id="rId6000">
        <w:r>
          <w:rPr>
            <w:color w:val="0000EE"/>
            <w:u w:val="single"/>
          </w:rPr>
          <w:t>Mt 28.9</w:t>
        </w:r>
      </w:hyperlink>
      <w:r>
        <w:t>). Depois disso, ele ascendeu a seu Pai (</w:t>
      </w:r>
      <w:hyperlink r:id="rId2663">
        <w:r>
          <w:rPr>
            <w:color w:val="0000EE"/>
            <w:u w:val="single"/>
          </w:rPr>
          <w:t>Jo 20.17</w:t>
        </w:r>
      </w:hyperlink>
      <w:r>
        <w:t>). Então ele voltou para aparecer a Pedro, que havia ido para casa (</w:t>
      </w:r>
      <w:hyperlink r:id="rId18523">
        <w:r>
          <w:rPr>
            <w:color w:val="0000EE"/>
            <w:u w:val="single"/>
          </w:rPr>
          <w:t>Jo 20.10</w:t>
        </w:r>
      </w:hyperlink>
      <w:r>
        <w:t xml:space="preserve">; </w:t>
      </w:r>
      <w:hyperlink r:id="rId16686">
        <w:r>
          <w:rPr>
            <w:color w:val="0000EE"/>
            <w:u w:val="single"/>
          </w:rPr>
          <w:t>Lc 24.34</w:t>
        </w:r>
      </w:hyperlink>
      <w:r>
        <w:t>). No mesmo dia, no final da tarde, ele caminhou cerca de 11,3 quilômetros com dois discípulos em seu caminho para Emaús (</w:t>
      </w:r>
      <w:hyperlink r:id="rId18524">
        <w:r>
          <w:rPr>
            <w:color w:val="0000EE"/>
            <w:u w:val="single"/>
          </w:rPr>
          <w:t>Lc 24.13–33</w:t>
        </w:r>
      </w:hyperlink>
      <w:r>
        <w:t>), após o que ele apareceu aos discípulos enquanto eles estavam reunidos em uma sala fechada em algum lugar em Jerusalém (</w:t>
      </w:r>
      <w:hyperlink r:id="rId18525">
        <w:r>
          <w:rPr>
            <w:color w:val="0000EE"/>
            <w:u w:val="single"/>
          </w:rPr>
          <w:t>Lc 24.33–48</w:t>
        </w:r>
      </w:hyperlink>
      <w:r>
        <w:t xml:space="preserve">; </w:t>
      </w:r>
      <w:hyperlink r:id="rId18526">
        <w:r>
          <w:rPr>
            <w:color w:val="0000EE"/>
            <w:u w:val="single"/>
          </w:rPr>
          <w:t>Jo 20.19–23</w:t>
        </w:r>
      </w:hyperlink>
      <w:r>
        <w:t>). É quase impossível seguir uma ordem sequencial e cronológica de todos esses acontecimentos. O que Jesus fez foi humanamente impossível. Como ele poderia fazer todas essas aparições no mesmo dia? Tudo o que podemos dizer é que a ressurreição mudou muito sua esfera de existência. Como espírito, e ainda com um corpo — um corpo glorificado — ele não estava mais limitado pelo tempo e pelo espaço.</w:t>
      </w:r>
    </w:p>
    <w:p>
      <w:r/>
      <w:r>
        <w:t xml:space="preserve">Através da ressurreição, Jesus havia adquirido uma forma diferente (veja </w:t>
      </w:r>
      <w:hyperlink r:id="rId18527">
        <w:r>
          <w:rPr>
            <w:color w:val="0000EE"/>
            <w:u w:val="single"/>
          </w:rPr>
          <w:t>Mc 16.12</w:t>
        </w:r>
      </w:hyperlink>
      <w:r>
        <w:t>). Quanto à sua pessoa, ele ainda era o mesmo; o Jesus que andou na Galileia e foi crucificado no Calvário é o mesmo Jesus que se levantou. Sua pessoa não havia mudado, nem nunca será; é imutável. Mas sua forma mudou; ele é agora espírito vivificante. Como tal, Cristo é capaz de habitar todos os seus crentes.</w:t>
      </w:r>
    </w:p>
    <w:p>
      <w:r/>
      <w:r>
        <w:t>A ressurreição e a regeneração estão intimamente ligadas nas Escrituras — da mesma maneira que a crucificação e a redenção formam uma unidade inseparável. Como a redenção não era possível sem a crucificação de Cristo, assim a regeneração não é possível sem a ressurreição de Cristo. As Escrituras dizem claramente que nascemos de novo através da ressurreição de Cristo (</w:t>
      </w:r>
      <w:hyperlink r:id="rId8811">
        <w:r>
          <w:rPr>
            <w:color w:val="0000EE"/>
            <w:u w:val="single"/>
          </w:rPr>
          <w:t>1Pe 1.3</w:t>
        </w:r>
      </w:hyperlink>
      <w:r>
        <w:t>).</w:t>
      </w:r>
    </w:p>
    <w:p>
      <w:r/>
      <w:r>
        <w:t>Depois que Cristo foi ressuscitado dos mortos, ele chamou os discípulos de seus irmãos (</w:t>
      </w:r>
      <w:hyperlink r:id="rId11170">
        <w:r>
          <w:rPr>
            <w:color w:val="0000EE"/>
            <w:u w:val="single"/>
          </w:rPr>
          <w:t>Mt 28.10</w:t>
        </w:r>
      </w:hyperlink>
      <w:r>
        <w:t xml:space="preserve">; </w:t>
      </w:r>
      <w:hyperlink r:id="rId16570">
        <w:r>
          <w:rPr>
            <w:color w:val="0000EE"/>
            <w:u w:val="single"/>
          </w:rPr>
          <w:t>Jo 20.19</w:t>
        </w:r>
      </w:hyperlink>
      <w:r>
        <w:t>), e ele declarou que seu Deus era agora o Deus deles, e seu Pai o Pai deles. Através da ressurreição, os discípulos haviam se tornado os irmãos de Jesus, possuindo a mesma vida divina e o mesmo Pai. Como o primogênito de entre os mortos (</w:t>
      </w:r>
      <w:hyperlink r:id="rId367">
        <w:r>
          <w:rPr>
            <w:color w:val="0000EE"/>
            <w:u w:val="single"/>
          </w:rPr>
          <w:t>Cl 1.18</w:t>
        </w:r>
      </w:hyperlink>
      <w:r>
        <w:t xml:space="preserve">; </w:t>
      </w:r>
      <w:hyperlink r:id="rId10304">
        <w:r>
          <w:rPr>
            <w:color w:val="0000EE"/>
            <w:u w:val="single"/>
          </w:rPr>
          <w:t>Ap 1.18</w:t>
        </w:r>
      </w:hyperlink>
      <w:r>
        <w:t>), Jesus Cristo se tornou o primogênito entre muitos irmãos (</w:t>
      </w:r>
      <w:hyperlink r:id="rId368">
        <w:r>
          <w:rPr>
            <w:color w:val="0000EE"/>
            <w:u w:val="single"/>
          </w:rPr>
          <w:t>Rm 8.29</w:t>
        </w:r>
      </w:hyperlink>
      <w:r>
        <w:t>).</w:t>
      </w:r>
    </w:p>
    <w:p>
      <w:pPr>
        <w:pStyle w:val="Heading3"/>
      </w:pPr>
      <w:r>
        <w:t>Ressurreição em geral</w:t>
      </w:r>
    </w:p>
    <w:p>
      <w:r/>
      <w:r>
        <w:t>Paulo olhou para o Dia do Senhor quando os mortos em Cristo seriam ressuscitados e aqueles que ainda estavam vivos se juntariam aos mortos na vitória final (</w:t>
      </w:r>
      <w:hyperlink r:id="rId16488">
        <w:r>
          <w:rPr>
            <w:color w:val="0000EE"/>
            <w:u w:val="single"/>
          </w:rPr>
          <w:t>1Ts 4.15–18</w:t>
        </w:r>
      </w:hyperlink>
      <w:r>
        <w:t>). Não havia dúvida em sua mente de que esta ressurreição era uma expectativa gloriosa, que envolvia algum tipo de um corpo personalizado, e que este corpo não seria físico, mas espiritual (</w:t>
      </w:r>
      <w:hyperlink r:id="rId18528">
        <w:r>
          <w:rPr>
            <w:color w:val="0000EE"/>
            <w:u w:val="single"/>
          </w:rPr>
          <w:t>1Co 15.35–44</w:t>
        </w:r>
      </w:hyperlink>
      <w:r>
        <w:t xml:space="preserve">). Paulo não falou de duas ressurreições, assim como os textos de João (p. ex., </w:t>
      </w:r>
      <w:hyperlink r:id="rId8494">
        <w:r>
          <w:rPr>
            <w:color w:val="0000EE"/>
            <w:u w:val="single"/>
          </w:rPr>
          <w:t>Jo 5.29</w:t>
        </w:r>
      </w:hyperlink>
      <w:r>
        <w:t>), mas meramente da ressurreição para a vida. Talvez o Apocalipse de João forneça a melhor pista para entender o pensamento do NT sobre esta questão porque se refere à bênção de fazer parte da primeira ressurreição (</w:t>
      </w:r>
      <w:hyperlink r:id="rId18501">
        <w:r>
          <w:rPr>
            <w:color w:val="0000EE"/>
            <w:u w:val="single"/>
          </w:rPr>
          <w:t>Ap 20.5–6</w:t>
        </w:r>
      </w:hyperlink>
      <w:r>
        <w:t>). Embora em Apocalipse o termo “ressurreição” não seja usado em conexão com o julgamento, a aparição no tribunal e o veredicto da segunda morte no lago de fogo indicam que uma ressurreição para julgamento dificilmente será da mesma essência que a ressurreição para a vida.</w:t>
      </w:r>
    </w:p>
    <w:p>
      <w:pPr>
        <w:pStyle w:val="Heading3"/>
      </w:pPr>
      <w:r>
        <w:t>Ressurreição e gnosticismo</w:t>
      </w:r>
    </w:p>
    <w:p>
      <w:r/>
      <w:r>
        <w:t xml:space="preserve">A escatologia gnóstica está endividada com a visão grega da imortalidade e envolve o derramamento da casca corporal na ascensão espiritual do devoto ao Pleroma, ou céu gnóstico. Por causa da maneira como os gnósticos usavam palavras, o Evangelho de Filipe é uma janela útil para entender a distorção gnóstica das ideias. Lá, é argumentado que “aqueles que dizem que o Senhor morreu primeiro e [então] se levantou estão errados; porque ele primeiro se levantou e [então] morreu. Se alguém não alcançar a ressurreição primeiro, ele não morrerá?” (Filipe 56.15–19). O conceito de ressurreição é tirado da compreensão escatológica e definido não em termos de uma expectativa verdadeiramente futura de ressurreição, mas em termos de um despertar espiritual realizado neste mundo. O Evangelho de Filipe também é útil em perceber por que em </w:t>
      </w:r>
      <w:hyperlink r:id="rId18529">
        <w:r>
          <w:rPr>
            <w:color w:val="0000EE"/>
            <w:u w:val="single"/>
          </w:rPr>
          <w:t>2Tm 2.17–19</w:t>
        </w:r>
      </w:hyperlink>
      <w:r>
        <w:t xml:space="preserve"> a crítica era tão severa contra Himeneu e Fileto por sustentar que a ressurreição havia passado. Claramente, a escatologia percebida foi rejeitada na comunidade paulina e pela igreja quando apareceu no gnosticismo. E deve continuar a ser rejeitada pela igreja nos dias atuais.</w:t>
      </w:r>
    </w:p>
    <w:p>
      <w:r/>
      <w:r>
        <w:rPr>
          <w:i/>
        </w:rPr>
        <w:t>Veja também</w:t>
      </w:r>
      <w:r>
        <w:t xml:space="preserve"> </w:t>
      </w:r>
      <w:r>
        <w:t>Mortos, Lugar dos</w:t>
      </w:r>
      <w:r>
        <w:t xml:space="preserve">; </w:t>
      </w:r>
      <w:r>
        <w:t>Escatologia</w:t>
      </w:r>
      <w:r>
        <w:t xml:space="preserve">; </w:t>
      </w:r>
      <w:r>
        <w:t>Segunda Vinda de Cristo</w:t>
      </w:r>
      <w:r>
        <w:t xml:space="preserve">; </w:t>
      </w:r>
      <w:r>
        <w:t>Espírito</w:t>
      </w:r>
      <w:r>
        <w:t>.</w:t>
      </w:r>
      <w:r/>
      <w:r/>
    </w:p>
    <w:p>
      <w:r/>
    </w:p>
    <w:p>
      <w:pPr>
        <w:pStyle w:val="Heading2"/>
      </w:pPr>
      <w:r>
        <w:t>Retidão</w:t>
      </w:r>
      <w:r/>
    </w:p>
    <w:p>
      <w:r/>
      <w:r>
        <w:t>Manter um relacionamento adequado, especialmente com Deus e também com os outros.</w:t>
      </w:r>
    </w:p>
    <w:p>
      <w:r/>
      <w:r>
        <w:t xml:space="preserve">Atender apenas às expectativas em qualquer relacionamento, como entre cônjuges, pais e filhos, cidadãos, trabalhadores e empregadores, comerciantes e clientes, governantes e cidadãos, e Deus e as pessoas, é chamado de retidão. Quando alguém cumpre essas expectativas, suas ações e palavras são consideradas justas. O oposto de justo ou reto é "mal", "perverso" ou "errado" (compare </w:t>
      </w:r>
      <w:hyperlink r:id="rId17308">
        <w:r>
          <w:rPr>
            <w:color w:val="0000EE"/>
            <w:u w:val="single"/>
          </w:rPr>
          <w:t>Sl 1.6</w:t>
        </w:r>
      </w:hyperlink>
      <w:r>
        <w:t xml:space="preserve">; </w:t>
      </w:r>
      <w:hyperlink r:id="rId18530">
        <w:r>
          <w:rPr>
            <w:color w:val="0000EE"/>
            <w:u w:val="single"/>
          </w:rPr>
          <w:t>Sf 3.5</w:t>
        </w:r>
      </w:hyperlink>
      <w:r>
        <w:t>).</w:t>
      </w:r>
    </w:p>
    <w:p>
      <w:pPr>
        <w:pStyle w:val="Heading3"/>
      </w:pPr>
      <w:r>
        <w:t>Retidão no Antigo Testamento</w:t>
      </w:r>
    </w:p>
    <w:p>
      <w:r/>
      <w:r>
        <w:t>Em Israel, a retidão influenciava todos os aspectos da vida, tanto religiosos quanto seculares (não religiosos). Israel foi chamado para ser uma nação especial, destinada a mostrar ao mundo o governo, a natureza e as expectativas de Deus. Eles precisavam da revelação de Deus para entender Sua vontade e manter um relacionamento com Ele. O relacionamento de uma pessoa com Deus estava diretamente ligado ao seu relacionamento com os outros.</w:t>
      </w:r>
    </w:p>
    <w:p>
      <w:pPr>
        <w:pStyle w:val="Heading4"/>
      </w:pPr>
      <w:r>
        <w:t>A retidão divina e a retidão humana</w:t>
      </w:r>
    </w:p>
    <w:p>
      <w:r/>
      <w:r>
        <w:t>Deus é justo (</w:t>
      </w:r>
      <w:hyperlink r:id="rId6184">
        <w:r>
          <w:rPr>
            <w:color w:val="0000EE"/>
            <w:u w:val="single"/>
          </w:rPr>
          <w:t>2Cr 12.6</w:t>
        </w:r>
      </w:hyperlink>
      <w:r>
        <w:t xml:space="preserve">; </w:t>
      </w:r>
      <w:hyperlink r:id="rId18531">
        <w:r>
          <w:rPr>
            <w:color w:val="0000EE"/>
            <w:u w:val="single"/>
          </w:rPr>
          <w:t>Sl 7.9</w:t>
        </w:r>
      </w:hyperlink>
      <w:r>
        <w:t xml:space="preserve">; </w:t>
      </w:r>
      <w:hyperlink r:id="rId18532">
        <w:r>
          <w:rPr>
            <w:color w:val="0000EE"/>
            <w:u w:val="single"/>
          </w:rPr>
          <w:t>103.17</w:t>
        </w:r>
      </w:hyperlink>
      <w:r>
        <w:t xml:space="preserve">; </w:t>
      </w:r>
      <w:hyperlink r:id="rId18530">
        <w:r>
          <w:rPr>
            <w:color w:val="0000EE"/>
            <w:u w:val="single"/>
          </w:rPr>
          <w:t>Sf 3.5</w:t>
        </w:r>
      </w:hyperlink>
      <w:r>
        <w:t xml:space="preserve">; </w:t>
      </w:r>
      <w:hyperlink r:id="rId18533">
        <w:r>
          <w:rPr>
            <w:color w:val="0000EE"/>
            <w:u w:val="single"/>
          </w:rPr>
          <w:t>Zc 8.8</w:t>
        </w:r>
      </w:hyperlink>
      <w:r>
        <w:t xml:space="preserve">). Sua justiça (ou retidão) se manifesta em suas ações para com seu povo e em seu relacionamento com eles. Todos os atos de Deus são justos (compare </w:t>
      </w:r>
      <w:hyperlink r:id="rId10162">
        <w:r>
          <w:rPr>
            <w:color w:val="0000EE"/>
            <w:u w:val="single"/>
          </w:rPr>
          <w:t>Dt 32.4</w:t>
        </w:r>
      </w:hyperlink>
      <w:r>
        <w:t xml:space="preserve">; </w:t>
      </w:r>
      <w:hyperlink r:id="rId18534">
        <w:r>
          <w:rPr>
            <w:color w:val="0000EE"/>
            <w:u w:val="single"/>
          </w:rPr>
          <w:t>Jz 5.11</w:t>
        </w:r>
      </w:hyperlink>
      <w:r>
        <w:t xml:space="preserve">; </w:t>
      </w:r>
      <w:hyperlink r:id="rId18535">
        <w:r>
          <w:rPr>
            <w:color w:val="0000EE"/>
            <w:u w:val="single"/>
          </w:rPr>
          <w:t>Sl 103.6</w:t>
        </w:r>
      </w:hyperlink>
      <w:r>
        <w:t>). O povo de Deus se alegrava em seus atos justos (</w:t>
      </w:r>
      <w:hyperlink r:id="rId18536">
        <w:r>
          <w:rPr>
            <w:color w:val="0000EE"/>
            <w:u w:val="single"/>
          </w:rPr>
          <w:t>Sl 89.16</w:t>
        </w:r>
      </w:hyperlink>
      <w:r>
        <w:t>). Porque Deus é justo, ele espera justiça (retidão) dos outros, refletindo sua natureza. Justiça significa seguir a regra e a vontade de Deus.</w:t>
      </w:r>
    </w:p>
    <w:p>
      <w:r/>
      <w:r>
        <w:t>Noé é chamado de "justo" porque andava com Deus e demonstrava integridade em comparação com os outros (</w:t>
      </w:r>
      <w:hyperlink r:id="rId5287">
        <w:r>
          <w:rPr>
            <w:color w:val="0000EE"/>
            <w:u w:val="single"/>
          </w:rPr>
          <w:t>Gn 6.9</w:t>
        </w:r>
      </w:hyperlink>
      <w:r>
        <w:t>). Após a queda da humanidade — quando as pessoas desobedeceram a Deus e trouxeram o pecado ao mundo, levando ao dilúvio e à dispersão em Babel — Deus renovou Seu relacionamento com as pessoas através de Abraão e seus descendentes. Abraão foi justo porque viveu de acordo com a vontade revelada de Deus (</w:t>
      </w:r>
      <w:hyperlink r:id="rId793">
        <w:r>
          <w:rPr>
            <w:color w:val="0000EE"/>
            <w:u w:val="single"/>
          </w:rPr>
          <w:t>Gn 15.6</w:t>
        </w:r>
      </w:hyperlink>
      <w:r>
        <w:t xml:space="preserve">; compare </w:t>
      </w:r>
      <w:hyperlink r:id="rId795">
        <w:r>
          <w:rPr>
            <w:color w:val="0000EE"/>
            <w:u w:val="single"/>
          </w:rPr>
          <w:t>17.1</w:t>
        </w:r>
      </w:hyperlink>
      <w:r>
        <w:t xml:space="preserve">; </w:t>
      </w:r>
      <w:hyperlink r:id="rId12746">
        <w:r>
          <w:rPr>
            <w:color w:val="0000EE"/>
            <w:u w:val="single"/>
          </w:rPr>
          <w:t>18.19</w:t>
        </w:r>
      </w:hyperlink>
      <w:r>
        <w:t xml:space="preserve">; </w:t>
      </w:r>
      <w:hyperlink r:id="rId12747">
        <w:r>
          <w:rPr>
            <w:color w:val="0000EE"/>
            <w:u w:val="single"/>
          </w:rPr>
          <w:t>26.5</w:t>
        </w:r>
      </w:hyperlink>
      <w:r>
        <w:t>).</w:t>
      </w:r>
    </w:p>
    <w:p>
      <w:pPr>
        <w:pStyle w:val="Heading4"/>
      </w:pPr>
      <w:r>
        <w:t>A Lei e a retidão</w:t>
      </w:r>
    </w:p>
    <w:p>
      <w:r/>
      <w:r>
        <w:t xml:space="preserve">Deus revelou a Israel como eles deveriam se relacionar com Ele e uns com os outros. A lei ajudou o povo a viver de acordo com a vontade de Deus e a ser justo. Uma pessoa dedicada ao serviço de Deus era chamada de justa (compare </w:t>
      </w:r>
      <w:hyperlink r:id="rId18537">
        <w:r>
          <w:rPr>
            <w:color w:val="0000EE"/>
            <w:u w:val="single"/>
          </w:rPr>
          <w:t>Ml 3.18</w:t>
        </w:r>
      </w:hyperlink>
      <w:r>
        <w:t>). Portanto, retidão significa viver corretamente diante de Deus e dos outros, demonstrado através do que fazemos e dizemos.</w:t>
      </w:r>
    </w:p>
    <w:p>
      <w:r/>
      <w:r>
        <w:t>Os profetas falaram sobre um futuro tempo de retidão. Esse seria quando o rei especial escolhido por Deus (o Messias) governaria. Também seria quando o reino de Deus viria à terra. O profeta Isaías escreveu sobre isso (</w:t>
      </w:r>
      <w:hyperlink r:id="rId18149">
        <w:r>
          <w:rPr>
            <w:color w:val="0000EE"/>
            <w:u w:val="single"/>
          </w:rPr>
          <w:t>Is 11.1–9</w:t>
        </w:r>
      </w:hyperlink>
      <w:r>
        <w:t xml:space="preserve">). Ele disse que esse governo se espalharia por todas as nações (vv. </w:t>
      </w:r>
      <w:hyperlink r:id="rId18538">
        <w:r>
          <w:rPr>
            <w:color w:val="0000EE"/>
            <w:u w:val="single"/>
          </w:rPr>
          <w:t>10–16</w:t>
        </w:r>
      </w:hyperlink>
      <w:r>
        <w:t>). Isaías também disse que duraria para sempre (</w:t>
      </w:r>
      <w:hyperlink r:id="rId6610">
        <w:r>
          <w:rPr>
            <w:color w:val="0000EE"/>
            <w:u w:val="single"/>
          </w:rPr>
          <w:t>Is 9.7</w:t>
        </w:r>
      </w:hyperlink>
      <w:r>
        <w:t>). Isaías descreveu a entrada gloriosa do reino de Deus, onde seus inimigos são subjugados, seu povo é reunido e eles vivem em paz.</w:t>
      </w:r>
    </w:p>
    <w:p>
      <w:r/>
      <w:r>
        <w:t>Os atos de restauração, desde o retorno de Israel do exílio até a vinda final do reino, demonstram os atos justos de Deus. Ele perdoa, restaura, permanece fiel, ama, elege e envia seu Espírito para renovar seu povo. Ele lhes concede os benefícios da relação de aliança renovada (um acordo especial entre Deus e seu povo). Tanto judeus quanto gentios recebem os atos justos de Deus (</w:t>
      </w:r>
      <w:hyperlink r:id="rId18539">
        <w:r>
          <w:rPr>
            <w:color w:val="0000EE"/>
            <w:u w:val="single"/>
          </w:rPr>
          <w:t>Is 45.8,23</w:t>
        </w:r>
      </w:hyperlink>
      <w:r>
        <w:t xml:space="preserve">; </w:t>
      </w:r>
      <w:hyperlink r:id="rId18540">
        <w:r>
          <w:rPr>
            <w:color w:val="0000EE"/>
            <w:u w:val="single"/>
          </w:rPr>
          <w:t>46.13,48.18</w:t>
        </w:r>
      </w:hyperlink>
      <w:r>
        <w:t xml:space="preserve">; </w:t>
      </w:r>
      <w:hyperlink r:id="rId18541">
        <w:r>
          <w:rPr>
            <w:color w:val="0000EE"/>
            <w:u w:val="single"/>
          </w:rPr>
          <w:t>51.5,8,16</w:t>
        </w:r>
      </w:hyperlink>
      <w:r>
        <w:t xml:space="preserve">; </w:t>
      </w:r>
      <w:hyperlink r:id="rId18542">
        <w:r>
          <w:rPr>
            <w:color w:val="0000EE"/>
            <w:u w:val="single"/>
          </w:rPr>
          <w:t>56.1</w:t>
        </w:r>
      </w:hyperlink>
      <w:r>
        <w:t xml:space="preserve">; </w:t>
      </w:r>
      <w:hyperlink r:id="rId16817">
        <w:r>
          <w:rPr>
            <w:color w:val="0000EE"/>
            <w:u w:val="single"/>
          </w:rPr>
          <w:t>59.17</w:t>
        </w:r>
      </w:hyperlink>
      <w:r>
        <w:t xml:space="preserve">; </w:t>
      </w:r>
      <w:hyperlink r:id="rId16567">
        <w:r>
          <w:rPr>
            <w:color w:val="0000EE"/>
            <w:u w:val="single"/>
          </w:rPr>
          <w:t>60.17</w:t>
        </w:r>
      </w:hyperlink>
      <w:r>
        <w:t xml:space="preserve">; </w:t>
      </w:r>
      <w:hyperlink r:id="rId18543">
        <w:r>
          <w:rPr>
            <w:color w:val="0000EE"/>
            <w:u w:val="single"/>
          </w:rPr>
          <w:t>61.10–11</w:t>
        </w:r>
      </w:hyperlink>
      <w:r>
        <w:t>).</w:t>
      </w:r>
    </w:p>
    <w:p>
      <w:pPr>
        <w:pStyle w:val="Heading3"/>
      </w:pPr>
      <w:r>
        <w:t>Retidão no Novo Testamento</w:t>
      </w:r>
    </w:p>
    <w:p>
      <w:r/>
      <w:r>
        <w:t>Deus estava preocupado com a salvação do seu povo e seu reino eterno. Assim, Deus revelou sua retidão enviando seu Filho. A vinda de Cristo marca a renovação do relacionamento de Deus com as pessoas, a aliança, e seu reino na terra. A antiga aliança, mediada por Moisés, foi renovada pelo Filho de Deus, que veio “para cumprir toda a justiça” (</w:t>
      </w:r>
      <w:hyperlink r:id="rId3245">
        <w:r>
          <w:rPr>
            <w:color w:val="0000EE"/>
            <w:u w:val="single"/>
          </w:rPr>
          <w:t>Mt 3.15</w:t>
        </w:r>
      </w:hyperlink>
      <w:r>
        <w:t>). A mensagem de Jesus alinha-se com o Antigo Testamento ao identificar o reino de Deus com sua retidão (</w:t>
      </w:r>
      <w:hyperlink r:id="rId6722">
        <w:r>
          <w:rPr>
            <w:color w:val="0000EE"/>
            <w:u w:val="single"/>
          </w:rPr>
          <w:t>Mt 6.33</w:t>
        </w:r>
      </w:hyperlink>
      <w:r>
        <w:t xml:space="preserve">; </w:t>
      </w:r>
      <w:hyperlink r:id="rId8927">
        <w:r>
          <w:rPr>
            <w:color w:val="0000EE"/>
            <w:u w:val="single"/>
          </w:rPr>
          <w:t>13.43</w:t>
        </w:r>
      </w:hyperlink>
      <w:r>
        <w:t>). Jesus ensinou que Deus espera que todos vivam em harmonia com sua vontade (</w:t>
      </w:r>
      <w:hyperlink r:id="rId18544">
        <w:r>
          <w:rPr>
            <w:color w:val="0000EE"/>
            <w:u w:val="single"/>
          </w:rPr>
          <w:t>Mt 7.21</w:t>
        </w:r>
      </w:hyperlink>
      <w:r>
        <w:t>). Jesus é a revelação final de Deus sobre o que ele exige para que as pessoas entrem no reino e vivam de forma justa.</w:t>
      </w:r>
    </w:p>
    <w:p>
      <w:pPr>
        <w:pStyle w:val="Heading4"/>
      </w:pPr>
      <w:r>
        <w:t>Justificação e retidão</w:t>
      </w:r>
    </w:p>
    <w:p>
      <w:r/>
      <w:r>
        <w:t>Os indivíduos não podem alcançar essa justiça por seus próprios esforços; é um presente de Deus (</w:t>
      </w:r>
      <w:hyperlink r:id="rId10949">
        <w:r>
          <w:rPr>
            <w:color w:val="0000EE"/>
            <w:u w:val="single"/>
          </w:rPr>
          <w:t>Rm 3.21–5.21</w:t>
        </w:r>
      </w:hyperlink>
      <w:r>
        <w:t>). Não há justiça à parte de Jesus Cristo. O evangelho de Jesus revela que “O justo viverá pela fé” (</w:t>
      </w:r>
      <w:hyperlink r:id="rId3247">
        <w:r>
          <w:rPr>
            <w:color w:val="0000EE"/>
            <w:u w:val="single"/>
          </w:rPr>
          <w:t>Rm1.17</w:t>
        </w:r>
      </w:hyperlink>
      <w:r>
        <w:t xml:space="preserve">; compare </w:t>
      </w:r>
      <w:hyperlink r:id="rId3605">
        <w:r>
          <w:rPr>
            <w:color w:val="0000EE"/>
            <w:u w:val="single"/>
          </w:rPr>
          <w:t>Hb 2.4</w:t>
        </w:r>
      </w:hyperlink>
      <w:r>
        <w:t>). Portanto, o Pai requer a aceitação de seu Filho como meio de justificação (</w:t>
      </w:r>
      <w:hyperlink r:id="rId8771">
        <w:r>
          <w:rPr>
            <w:color w:val="0000EE"/>
            <w:u w:val="single"/>
          </w:rPr>
          <w:t>Rm 3.25–26</w:t>
        </w:r>
      </w:hyperlink>
      <w:r>
        <w:t xml:space="preserve">; </w:t>
      </w:r>
      <w:hyperlink r:id="rId4440">
        <w:r>
          <w:rPr>
            <w:color w:val="0000EE"/>
            <w:u w:val="single"/>
          </w:rPr>
          <w:t>5.9</w:t>
        </w:r>
      </w:hyperlink>
      <w:r>
        <w:t>). A justificação ocorre quando Deus declara as pessoas justas ao confiarem em seu Filho (</w:t>
      </w:r>
      <w:hyperlink r:id="rId18545">
        <w:r>
          <w:rPr>
            <w:color w:val="0000EE"/>
            <w:u w:val="single"/>
          </w:rPr>
          <w:t>Rm 8.33–34</w:t>
        </w:r>
      </w:hyperlink>
      <w:r>
        <w:t xml:space="preserve">; </w:t>
      </w:r>
      <w:hyperlink r:id="rId370">
        <w:r>
          <w:rPr>
            <w:color w:val="0000EE"/>
            <w:u w:val="single"/>
          </w:rPr>
          <w:t>2Co 3.18</w:t>
        </w:r>
      </w:hyperlink>
      <w:r>
        <w:t xml:space="preserve">; </w:t>
      </w:r>
      <w:hyperlink r:id="rId7078">
        <w:r>
          <w:rPr>
            <w:color w:val="0000EE"/>
            <w:u w:val="single"/>
          </w:rPr>
          <w:t>11.15</w:t>
        </w:r>
      </w:hyperlink>
      <w:r>
        <w:t>). Deus perdoa pecados, reconcilia-se com os pecadores e lhes concede paz (</w:t>
      </w:r>
      <w:hyperlink r:id="rId18546">
        <w:r>
          <w:rPr>
            <w:color w:val="0000EE"/>
            <w:u w:val="single"/>
          </w:rPr>
          <w:t>Rm 5.1,9</w:t>
        </w:r>
      </w:hyperlink>
      <w:hyperlink r:id="rId376">
        <w:r>
          <w:rPr>
            <w:color w:val="0000EE"/>
            <w:u w:val="single"/>
          </w:rPr>
          <w:t>–</w:t>
        </w:r>
      </w:hyperlink>
      <w:hyperlink r:id="rId18546">
        <w:r>
          <w:rPr>
            <w:color w:val="0000EE"/>
            <w:u w:val="single"/>
          </w:rPr>
          <w:t>11</w:t>
        </w:r>
      </w:hyperlink>
      <w:r>
        <w:t xml:space="preserve">; </w:t>
      </w:r>
      <w:hyperlink r:id="rId7655">
        <w:r>
          <w:rPr>
            <w:color w:val="0000EE"/>
            <w:u w:val="single"/>
          </w:rPr>
          <w:t>Ef 2.14–17</w:t>
        </w:r>
      </w:hyperlink>
      <w:r>
        <w:t>). Aqueles declarados justos desfrutam de um novo relacionamento como "filhos de Deus" por adoção. O Pai se relaciona de forma justa com seus filhos e espera que eles se relacionem de forma justa com ele.</w:t>
      </w:r>
    </w:p>
    <w:p>
      <w:pPr>
        <w:pStyle w:val="Heading4"/>
      </w:pPr>
      <w:r>
        <w:t>Futuro cumprimento da retidão</w:t>
      </w:r>
    </w:p>
    <w:p>
      <w:r/>
      <w:r>
        <w:t>Quando Jesus retornar, veremos a verdadeira retidão (justiça) em sua plenitude. Naquele momento, todos aqueles que Deus tornou justos consigo também serão glorificados (</w:t>
      </w:r>
      <w:hyperlink r:id="rId10055">
        <w:r>
          <w:rPr>
            <w:color w:val="0000EE"/>
            <w:u w:val="single"/>
          </w:rPr>
          <w:t>Rm 8.30</w:t>
        </w:r>
      </w:hyperlink>
      <w:r>
        <w:t>). O plano de Deus para salvar as pessoas está avançando em direção a um objetivo final. Este objetivo é quando o reino de Deus aparecerá plenamente. Naquele momento, Deus renovará toda a criação em "justiça" — isto é, toda a criação estará em harmonia com Deus (</w:t>
      </w:r>
      <w:hyperlink r:id="rId6708">
        <w:r>
          <w:rPr>
            <w:color w:val="0000EE"/>
            <w:u w:val="single"/>
          </w:rPr>
          <w:t>2Pe 3.13</w:t>
        </w:r>
      </w:hyperlink>
      <w:r>
        <w:t>).</w:t>
      </w:r>
    </w:p>
    <w:p>
      <w:r/>
      <w:r>
        <w:rPr>
          <w:i/>
        </w:rPr>
        <w:t>Veja também</w:t>
      </w:r>
      <w:r>
        <w:t xml:space="preserve"> </w:t>
      </w:r>
      <w:r>
        <w:t>Deus, ser e atributos de</w:t>
      </w:r>
      <w:r>
        <w:t xml:space="preserve">; </w:t>
      </w:r>
      <w:r>
        <w:t>Justificação, Justificado</w:t>
      </w:r>
      <w:r>
        <w:t xml:space="preserve">; </w:t>
      </w:r>
      <w:r>
        <w:t>Lei, Conceito Bíblico de</w:t>
      </w:r>
      <w:r>
        <w:t>.</w:t>
      </w:r>
      <w:r/>
      <w:r/>
    </w:p>
    <w:p>
      <w:r/>
    </w:p>
    <w:p>
      <w:pPr>
        <w:pStyle w:val="Heading2"/>
      </w:pPr>
      <w:r>
        <w:t>Retrocesso</w:t>
      </w:r>
      <w:r/>
    </w:p>
    <w:p>
      <w:r/>
      <w:r>
        <w:t>Perder o compromisso com a religião, tornar-se menos devoto ou menos moral.</w:t>
      </w:r>
    </w:p>
    <w:p>
      <w:r/>
      <w:r>
        <w:t>A principal palavra hebraica para retroceder significa "voltar" ou "afastar-se". Os israelitas frequentemente se afastavam de Deus e seguiam as práticas pecaminosas e os ídolos de seus vizinhos. No Antigo Testamento:</w:t>
      </w:r>
    </w:p>
    <w:p>
      <w:pPr>
        <w:pStyle w:val="ListBullet"/>
        <w:spacing w:line="240" w:lineRule="auto"/>
        <w:ind w:left="720"/>
      </w:pPr>
      <w:r/>
      <w:r>
        <w:t>Israel é descrito como desejando coisas perversas e abandonando Deus e seus mandamentos (</w:t>
      </w:r>
      <w:hyperlink r:id="rId18547">
        <w:r>
          <w:rPr>
            <w:color w:val="0000EE"/>
            <w:u w:val="single"/>
          </w:rPr>
          <w:t>Ed 9.10</w:t>
        </w:r>
      </w:hyperlink>
      <w:r>
        <w:t xml:space="preserve">; </w:t>
      </w:r>
      <w:hyperlink r:id="rId11233">
        <w:r>
          <w:rPr>
            <w:color w:val="0000EE"/>
            <w:u w:val="single"/>
          </w:rPr>
          <w:t>Is 1.4</w:t>
        </w:r>
      </w:hyperlink>
      <w:r>
        <w:t xml:space="preserve">; </w:t>
      </w:r>
      <w:hyperlink r:id="rId18548">
        <w:r>
          <w:rPr>
            <w:color w:val="0000EE"/>
            <w:u w:val="single"/>
          </w:rPr>
          <w:t>Ez 11.21</w:t>
        </w:r>
      </w:hyperlink>
      <w:r>
        <w:t>).</w:t>
      </w:r>
    </w:p>
    <w:p>
      <w:pPr>
        <w:pStyle w:val="ListBullet"/>
        <w:spacing w:line="240" w:lineRule="auto"/>
        <w:ind w:left="720"/>
      </w:pPr>
      <w:r/>
      <w:r>
        <w:t>Eles quebraram sua aliança com Deus ao adorar ídolos e agir com infidelidade (</w:t>
      </w:r>
      <w:hyperlink r:id="rId18549">
        <w:r>
          <w:rPr>
            <w:color w:val="0000EE"/>
            <w:u w:val="single"/>
          </w:rPr>
          <w:t>Sl 78.10</w:t>
        </w:r>
      </w:hyperlink>
      <w:r>
        <w:t xml:space="preserve">; </w:t>
      </w:r>
      <w:hyperlink r:id="rId6920">
        <w:r>
          <w:rPr>
            <w:color w:val="0000EE"/>
            <w:u w:val="single"/>
          </w:rPr>
          <w:t>Jr 2.11</w:t>
        </w:r>
      </w:hyperlink>
      <w:r>
        <w:t xml:space="preserve">; </w:t>
      </w:r>
      <w:hyperlink r:id="rId18550">
        <w:r>
          <w:rPr>
            <w:color w:val="0000EE"/>
            <w:u w:val="single"/>
          </w:rPr>
          <w:t>Os 4.10</w:t>
        </w:r>
      </w:hyperlink>
      <w:r>
        <w:t>). A aliança é uma promessa ou acordo especial entre Deus e seu povo.</w:t>
      </w:r>
    </w:p>
    <w:p>
      <w:pPr>
        <w:pStyle w:val="ListBullet"/>
        <w:spacing w:line="240" w:lineRule="auto"/>
        <w:ind w:left="720"/>
      </w:pPr>
      <w:r/>
      <w:r>
        <w:t>Esqueceram-se das grandes obras de Deus, ignoraram seus conselhos e rejeitaram seus ensinamentos (</w:t>
      </w:r>
      <w:hyperlink r:id="rId18551">
        <w:r>
          <w:rPr>
            <w:color w:val="0000EE"/>
            <w:u w:val="single"/>
          </w:rPr>
          <w:t>Sl 78.11</w:t>
        </w:r>
      </w:hyperlink>
      <w:r>
        <w:t xml:space="preserve">; </w:t>
      </w:r>
      <w:hyperlink r:id="rId18552">
        <w:r>
          <w:rPr>
            <w:color w:val="0000EE"/>
            <w:u w:val="single"/>
          </w:rPr>
          <w:t>107.11</w:t>
        </w:r>
      </w:hyperlink>
      <w:r>
        <w:t xml:space="preserve">; </w:t>
      </w:r>
      <w:hyperlink r:id="rId18553">
        <w:r>
          <w:rPr>
            <w:color w:val="0000EE"/>
            <w:u w:val="single"/>
          </w:rPr>
          <w:t>Is 30.9</w:t>
        </w:r>
      </w:hyperlink>
      <w:r>
        <w:t>).</w:t>
      </w:r>
    </w:p>
    <w:p>
      <w:pPr>
        <w:pStyle w:val="ListBullet"/>
        <w:spacing w:line="240" w:lineRule="auto"/>
        <w:ind w:left="720"/>
      </w:pPr>
      <w:r/>
      <w:r>
        <w:t>Eles se tornaram teimosos e se entregaram a todos os tipos de comportamentos imorais (</w:t>
      </w:r>
      <w:hyperlink r:id="rId18554">
        <w:r>
          <w:rPr>
            <w:color w:val="0000EE"/>
            <w:u w:val="single"/>
          </w:rPr>
          <w:t>Jr 3.21</w:t>
        </w:r>
      </w:hyperlink>
      <w:r>
        <w:t>).</w:t>
      </w:r>
    </w:p>
    <w:p>
      <w:pPr>
        <w:pStyle w:val="ListBullet"/>
        <w:spacing w:line="240" w:lineRule="auto"/>
        <w:ind w:left="720"/>
      </w:pPr>
      <w:r/>
      <w:r>
        <w:t>Líderes religiosos que deveriam ter guiado o povo estavam levando-os ao erro (</w:t>
      </w:r>
      <w:hyperlink r:id="rId18555">
        <w:r>
          <w:rPr>
            <w:color w:val="0000EE"/>
            <w:u w:val="single"/>
          </w:rPr>
          <w:t>Is 9.16</w:t>
        </w:r>
      </w:hyperlink>
      <w:r>
        <w:t>).</w:t>
      </w:r>
    </w:p>
    <w:p>
      <w:pPr>
        <w:pStyle w:val="ListBullet"/>
        <w:spacing w:line="240" w:lineRule="auto"/>
        <w:ind w:left="720"/>
      </w:pPr>
      <w:r/>
      <w:r>
        <w:t>Os sacerdotes foram infiéis (</w:t>
      </w:r>
      <w:hyperlink r:id="rId18556">
        <w:r>
          <w:rPr>
            <w:color w:val="0000EE"/>
            <w:u w:val="single"/>
          </w:rPr>
          <w:t>Jr 50.6</w:t>
        </w:r>
      </w:hyperlink>
      <w:r>
        <w:t>).</w:t>
      </w:r>
    </w:p>
    <w:p>
      <w:r/>
      <w:r>
        <w:t xml:space="preserve">Deus ficou profundamente entristecido com o fracasso espiritual de seu povo e disse que “Israel infiel cometeu adultério” (adultério é usado como uma metáfora para a infidelidade a Deus; </w:t>
      </w:r>
      <w:hyperlink r:id="rId7416">
        <w:r>
          <w:rPr>
            <w:color w:val="0000EE"/>
            <w:u w:val="single"/>
          </w:rPr>
          <w:t>Jr 3.8</w:t>
        </w:r>
      </w:hyperlink>
      <w:r>
        <w:t>). Através de Oséias, o Senhor lamentou o fato de que “Israel é tão obstinado quanto uma novilha teimosa” (</w:t>
      </w:r>
      <w:hyperlink r:id="rId18557">
        <w:r>
          <w:rPr>
            <w:color w:val="0000EE"/>
            <w:u w:val="single"/>
          </w:rPr>
          <w:t>Os 4.16</w:t>
        </w:r>
      </w:hyperlink>
      <w:r>
        <w:t>). Jeremias confessou: “De fato, nossas rebeliões são muitas; pecamos contra ti” (</w:t>
      </w:r>
      <w:hyperlink r:id="rId18558">
        <w:r>
          <w:rPr>
            <w:color w:val="0000EE"/>
            <w:u w:val="single"/>
          </w:rPr>
          <w:t>Jr 14.7</w:t>
        </w:r>
      </w:hyperlink>
      <w:r>
        <w:t>).</w:t>
      </w:r>
      <w:r/>
      <w:r/>
    </w:p>
    <w:p>
      <w:r/>
    </w:p>
    <w:p>
      <w:pPr>
        <w:pStyle w:val="Heading2"/>
      </w:pPr>
      <w:r>
        <w:t>Reú</w:t>
      </w:r>
      <w:r/>
    </w:p>
    <w:p>
      <w:r/>
      <w:r>
        <w:t>Filho de Pelegue, pai de Serugue. Ele era um descendente de Sem (</w:t>
      </w:r>
      <w:hyperlink r:id="rId18559">
        <w:r>
          <w:rPr>
            <w:color w:val="0000EE"/>
            <w:u w:val="single"/>
          </w:rPr>
          <w:t>Gn 11.18–21</w:t>
        </w:r>
      </w:hyperlink>
      <w:r>
        <w:t xml:space="preserve">; </w:t>
      </w:r>
      <w:hyperlink r:id="rId18560">
        <w:r>
          <w:rPr>
            <w:color w:val="0000EE"/>
            <w:u w:val="single"/>
          </w:rPr>
          <w:t>1Cr 1.25</w:t>
        </w:r>
      </w:hyperlink>
      <w:r>
        <w:t xml:space="preserve">). Ele é listado como um dos descendentes de Jesus em </w:t>
      </w:r>
      <w:hyperlink r:id="rId7530">
        <w:r>
          <w:rPr>
            <w:color w:val="0000EE"/>
            <w:u w:val="single"/>
          </w:rPr>
          <w:t>Lucas 3.35</w:t>
        </w:r>
      </w:hyperlink>
      <w:r>
        <w:t>.</w:t>
      </w:r>
    </w:p>
    <w:p>
      <w:r/>
      <w:r>
        <w:rPr>
          <w:i/>
        </w:rPr>
        <w:t>Veja</w:t>
      </w:r>
      <w:r>
        <w:t xml:space="preserve"> </w:t>
      </w:r>
      <w:r>
        <w:t>Ancestralidade de Jesus Cristo</w:t>
      </w:r>
      <w:r>
        <w:t>.</w:t>
      </w:r>
      <w:r/>
      <w:r/>
    </w:p>
    <w:p>
      <w:r/>
    </w:p>
    <w:p>
      <w:pPr>
        <w:pStyle w:val="Heading2"/>
      </w:pPr>
      <w:r>
        <w:t>Reuel</w:t>
      </w:r>
      <w:r/>
    </w:p>
    <w:p>
      <w:pPr>
        <w:pStyle w:val="ListNumber"/>
        <w:spacing w:line="240" w:lineRule="auto"/>
        <w:ind w:left="720"/>
      </w:pPr>
      <w:r/>
      <w:r>
        <w:t>Reuel era outro nome para Jetro, o sogro de Moisés (</w:t>
      </w:r>
      <w:hyperlink r:id="rId10680">
        <w:r>
          <w:rPr>
            <w:color w:val="0000EE"/>
            <w:u w:val="single"/>
          </w:rPr>
          <w:t>Nm 10.29</w:t>
        </w:r>
      </w:hyperlink>
      <w:r>
        <w:t>).</w:t>
      </w:r>
    </w:p>
    <w:p>
      <w:r/>
      <w:r>
        <w:rPr>
          <w:i/>
        </w:rPr>
        <w:t>Veja</w:t>
      </w:r>
      <w:r>
        <w:t xml:space="preserve"> </w:t>
      </w:r>
      <w:r>
        <w:t>Jetro</w:t>
      </w:r>
      <w:r>
        <w:t>.</w:t>
      </w:r>
    </w:p>
    <w:p>
      <w:pPr>
        <w:pStyle w:val="ListNumber"/>
        <w:spacing w:line="240" w:lineRule="auto"/>
        <w:ind w:left="720"/>
      </w:pPr>
      <w:r/>
      <w:r>
        <w:t xml:space="preserve">Um membro da tribo de Naftali que vivia em Ecbatana. De acordo com </w:t>
      </w:r>
      <w:hyperlink r:id="rId18561">
        <w:r>
          <w:rPr>
            <w:color w:val="0000EE"/>
            <w:u w:val="single"/>
          </w:rPr>
          <w:t>Tobias 3.7</w:t>
        </w:r>
      </w:hyperlink>
      <w:r>
        <w:t>, Reuel era o pai de Sara, que em breve se tornaria a esposa de Tobias. Isso ocorreu devido à intervenção do anjo Rafael.</w:t>
      </w:r>
      <w:r/>
      <w:r/>
    </w:p>
    <w:p>
      <w:r/>
    </w:p>
    <w:p>
      <w:pPr>
        <w:pStyle w:val="Heading2"/>
      </w:pPr>
      <w:r>
        <w:t>Reuel</w:t>
      </w:r>
      <w:r/>
    </w:p>
    <w:p>
      <w:pPr>
        <w:pStyle w:val="ListNumber"/>
        <w:spacing w:line="240" w:lineRule="auto"/>
        <w:ind w:left="720"/>
      </w:pPr>
      <w:r/>
      <w:r>
        <w:t>O filho de Esaú com sua esposa Basemate, e pai de quatro filhos: Naate, Zerá, Samá e Mizá (</w:t>
      </w:r>
      <w:hyperlink r:id="rId18562">
        <w:r>
          <w:rPr>
            <w:color w:val="0000EE"/>
            <w:u w:val="single"/>
          </w:rPr>
          <w:t>Gn 36.4,10–17</w:t>
        </w:r>
      </w:hyperlink>
      <w:r>
        <w:t>).</w:t>
      </w:r>
    </w:p>
    <w:p>
      <w:pPr>
        <w:pStyle w:val="ListNumber"/>
        <w:spacing w:line="240" w:lineRule="auto"/>
        <w:ind w:left="720"/>
      </w:pPr>
      <w:r/>
      <w:r>
        <w:t>Um sacerdote de Midiã que deu sua filha a Moisés como esposa. Ele é possivelmente a mesma pessoa mencionada acima como #1, e idêntico a Jetro (</w:t>
      </w:r>
      <w:hyperlink r:id="rId10683">
        <w:r>
          <w:rPr>
            <w:color w:val="0000EE"/>
            <w:u w:val="single"/>
          </w:rPr>
          <w:t>Êx 2.18</w:t>
        </w:r>
      </w:hyperlink>
      <w:r>
        <w:t xml:space="preserve">; compare </w:t>
      </w:r>
      <w:hyperlink r:id="rId6724">
        <w:r>
          <w:rPr>
            <w:color w:val="0000EE"/>
            <w:u w:val="single"/>
          </w:rPr>
          <w:t>Êx 3.1</w:t>
        </w:r>
      </w:hyperlink>
      <w:r>
        <w:t xml:space="preserve">). </w:t>
      </w:r>
      <w:r>
        <w:rPr>
          <w:i/>
        </w:rPr>
        <w:t>Veja</w:t>
      </w:r>
      <w:r>
        <w:t xml:space="preserve"> </w:t>
      </w:r>
      <w:r>
        <w:t>Jetro</w:t>
      </w:r>
      <w:r>
        <w:t>.</w:t>
      </w:r>
    </w:p>
    <w:p>
      <w:pPr>
        <w:pStyle w:val="ListNumber"/>
        <w:spacing w:line="240" w:lineRule="auto"/>
        <w:ind w:left="720"/>
      </w:pPr>
      <w:r/>
      <w:r>
        <w:t xml:space="preserve">Uma grafia alternativa de Deuel, pai de Eliasafe, em </w:t>
      </w:r>
      <w:hyperlink r:id="rId6787">
        <w:r>
          <w:rPr>
            <w:color w:val="0000EE"/>
            <w:u w:val="single"/>
          </w:rPr>
          <w:t>Números 2.14</w:t>
        </w:r>
      </w:hyperlink>
      <w:r>
        <w:t xml:space="preserve">. </w:t>
      </w:r>
      <w:r>
        <w:rPr>
          <w:i/>
        </w:rPr>
        <w:t>Veja</w:t>
      </w:r>
      <w:r>
        <w:t xml:space="preserve"> </w:t>
      </w:r>
      <w:r>
        <w:t>Deuel</w:t>
      </w:r>
      <w:r>
        <w:t>.</w:t>
      </w:r>
    </w:p>
    <w:p>
      <w:pPr>
        <w:pStyle w:val="ListNumber"/>
        <w:spacing w:line="240" w:lineRule="auto"/>
        <w:ind w:left="720"/>
      </w:pPr>
      <w:r/>
      <w:r>
        <w:t>Um ancestral de Mesulão na tribo de Benjamim (</w:t>
      </w:r>
      <w:hyperlink r:id="rId7754">
        <w:r>
          <w:rPr>
            <w:color w:val="0000EE"/>
            <w:u w:val="single"/>
          </w:rPr>
          <w:t>1Cr 9.8</w:t>
        </w:r>
      </w:hyperlink>
      <w:r>
        <w:t>).</w:t>
      </w:r>
      <w:r/>
      <w:r/>
    </w:p>
    <w:p>
      <w:r/>
    </w:p>
    <w:p>
      <w:pPr>
        <w:pStyle w:val="Heading2"/>
      </w:pPr>
      <w:r>
        <w:t>Reumá</w:t>
      </w:r>
      <w:r/>
    </w:p>
    <w:p>
      <w:r/>
      <w:r>
        <w:t>A concubina de Naor (</w:t>
      </w:r>
      <w:hyperlink r:id="rId5348">
        <w:r>
          <w:rPr>
            <w:color w:val="0000EE"/>
            <w:u w:val="single"/>
          </w:rPr>
          <w:t>Gn 22.24</w:t>
        </w:r>
      </w:hyperlink>
      <w:r>
        <w:t>). Seus quatro filhos se tornaram os ancestrais das tribos arameias que viviam ao norte de Damasco.</w:t>
      </w:r>
      <w:r/>
      <w:r/>
    </w:p>
    <w:p>
      <w:r/>
    </w:p>
    <w:p>
      <w:pPr>
        <w:pStyle w:val="Heading2"/>
      </w:pPr>
      <w:r>
        <w:t>Reuniões Da Igreja</w:t>
      </w:r>
      <w:r/>
    </w:p>
    <w:p>
      <w:r/>
      <w:r>
        <w:t>A assembleia dos crentes. No NT, a palavra grega ekklesia (geralmente traduzida como “igreja”) é usada principalmente de duas maneiras: (1) para descrever uma reunião ou uma assembleia, e (2) para designar as pessoas que fazem parte dessa assembleia — estejam elas de fato reunidas ou não. O NT contém alguns lugares que falam de uma assembleia secular grega (</w:t>
      </w:r>
      <w:hyperlink r:id="rId18563">
        <w:r>
          <w:rPr>
            <w:color w:val="0000EE"/>
            <w:u w:val="single"/>
          </w:rPr>
          <w:t>Atos 19.32,41</w:t>
        </w:r>
      </w:hyperlink>
      <w:r>
        <w:t xml:space="preserve">); nos demais casos, fala de uma assembleia cristã. Às vezes, a palavra ekklesia é usada para designar a reunião efetiva de cristãos. Isso certamente é o que ele pretendia em </w:t>
      </w:r>
      <w:hyperlink r:id="rId18564">
        <w:r>
          <w:rPr>
            <w:color w:val="0000EE"/>
            <w:u w:val="single"/>
          </w:rPr>
          <w:t>1 Coríntios 14.19,28</w:t>
        </w:r>
      </w:hyperlink>
      <w:r>
        <w:t xml:space="preserve">, e </w:t>
      </w:r>
      <w:hyperlink r:id="rId18565">
        <w:r>
          <w:rPr>
            <w:color w:val="0000EE"/>
            <w:u w:val="single"/>
          </w:rPr>
          <w:t>35</w:t>
        </w:r>
      </w:hyperlink>
      <w:r>
        <w:t>, na medida em que a expressão en ekklesia deve significar “em uma reunião” e não “na igreja”. Traduzir esta frase “na igreja” (como é feito na maioria das versões modernas em português) é enganoso, pois, a maioria dos leitores pensará que significa “no edifício da igreja”. O NT, nem uma vez, nomeia o lugar da assembleia como “igreja”. Além dos poucos casos em que a palavra significa claramente a reunião efetiva dos crentes, ekklesia na maioria das vezes é usada como um descritor para os crentes que constituem uma igreja local (como a igreja em Corinto, a igreja em Filipos, e a igreja em Colossos) ou todos os crentes (passado, presente e futuro) que constituem a igreja universal, o corpo completo de Cristo.</w:t>
      </w:r>
    </w:p>
    <w:p>
      <w:r/>
      <w:r>
        <w:t>Ao ler o NT, os cristãos precisam estar cientes das várias maneiras pelas quais a palavra ekklesia (“igreja”) é usada. No nível mais básico, a ekklesia é qualquer reunião de crentes. Em outro nível, a ekklesia é uma entidade local organizada — composta por todos os crentes em qualquer localidade, sob um presbiterato plural. Em outro nível, a ekklesia é a igreja universal que tem todos os seus constituintes crentes que já existiram, estão agora existindo, e sempre existirão. A palavra ekklesia era usada pelos escritores do NT com esses vários aspectos de significado, embora, às vezes, não seja possível diferenciar um do outro. No entanto, os estudantes do NT poderiam evitar algumas confusões se usassem de discriminação em sua exegese do texto. Alguns intérpretes ensinaram que a menor unidade da igreja é a igreja local, mas os escritores do NT às vezes usavam a palavra “igreja” para indicar uma pequena reunião em casa. Outros intérpretes confundem a igreja local com a igreja universal. Mas alguns aspectos no NT são aplicados a uma igreja local que não necessariamente se aplica a toda a igreja, e alguns grandes aspectos são ditos sobre a igreja universal que nunca poderiam ser alcançados por qualquer grupo local específico. As coisas que Paulo disse sobre a igreja na Epístola aos Efésios (que foi escrita como uma encíclica para várias igrejas e não apenas para a igreja em Éfeso) nunca poderiam ser alcançadas por uma igreja local. Por exemplo, que igreja local poderia alcançar a plenitude da estatura de Cristo?</w:t>
      </w:r>
    </w:p>
    <w:p>
      <w:r/>
      <w:r>
        <w:t>Há muito a ser dito sobre como os intérpretes confundiram a igreja local com a igreja universal, mas este artigo é dedicado a esclarecer a confusão sobre o que constitui a menor unidade da igreja — a igreja local, ou o que poderia ser chamado de igreja ou reunião doméstica.</w:t>
      </w:r>
    </w:p>
    <w:p>
      <w:r/>
      <w:r>
        <w:t>O NT parece apresentar o fato de que uma determinada igreja local (ou seja, uma igreja que compreende todos os crentes em uma determinada localidade sob um presbiterato) poderia ter várias ekklesiai — “reuniões” ou “assembleias” (conduzidas nas casas dos cristãos locais). Assim, a menor unidade a compor uma “igreja” era uma dessas reuniões nas casas. No entanto, não há nenhuma indicação no NT de que cada uma dessas reuniões domésticas tinha seu próprio presbítero ou era uma entidade distinta separada das outras reuniões (</w:t>
      </w:r>
      <w:r>
        <w:rPr>
          <w:i/>
        </w:rPr>
        <w:t>ekklesiai</w:t>
      </w:r>
      <w:r>
        <w:t xml:space="preserve">) na mesma </w:t>
      </w:r>
      <w:r>
        <w:rPr>
          <w:i/>
        </w:rPr>
        <w:t>localidade</w:t>
      </w:r>
      <w:r>
        <w:t xml:space="preserve">. De acordo com </w:t>
      </w:r>
      <w:hyperlink r:id="rId1398">
        <w:r>
          <w:rPr>
            <w:color w:val="0000EE"/>
            <w:u w:val="single"/>
          </w:rPr>
          <w:t>Atos 14.23</w:t>
        </w:r>
      </w:hyperlink>
      <w:r>
        <w:t xml:space="preserve"> e </w:t>
      </w:r>
      <w:hyperlink r:id="rId1407">
        <w:r>
          <w:rPr>
            <w:color w:val="0000EE"/>
            <w:u w:val="single"/>
          </w:rPr>
          <w:t>Tito 1.5</w:t>
        </w:r>
      </w:hyperlink>
      <w:r>
        <w:t>, os presbíteros eram nomeados para cada igreja local (compare as expressões “nomeados presbíteros em cada igreja” e “nomear presbíteros em cada cidade”) — não para cada igreja doméstica. No entanto, parece que todas as igrejas locais de certo tamanho tinham várias dessas ekklesiai (“reuniões”) acontecendo dentro daquela localidade.</w:t>
      </w:r>
    </w:p>
    <w:p>
      <w:r/>
      <w:r>
        <w:t xml:space="preserve">A igreja em Jerusalém deve ter tido várias reuniões nas casas (veja </w:t>
      </w:r>
      <w:hyperlink r:id="rId4689">
        <w:r>
          <w:rPr>
            <w:color w:val="0000EE"/>
            <w:u w:val="single"/>
          </w:rPr>
          <w:t>Atos 2.46</w:t>
        </w:r>
      </w:hyperlink>
      <w:r>
        <w:t xml:space="preserve">; </w:t>
      </w:r>
      <w:hyperlink r:id="rId8728">
        <w:r>
          <w:rPr>
            <w:color w:val="0000EE"/>
            <w:u w:val="single"/>
          </w:rPr>
          <w:t>5.42</w:t>
        </w:r>
      </w:hyperlink>
      <w:r>
        <w:t xml:space="preserve">; </w:t>
      </w:r>
      <w:hyperlink r:id="rId18566">
        <w:r>
          <w:rPr>
            <w:color w:val="0000EE"/>
            <w:u w:val="single"/>
          </w:rPr>
          <w:t>8.3</w:t>
        </w:r>
      </w:hyperlink>
      <w:r>
        <w:t xml:space="preserve">; </w:t>
      </w:r>
      <w:hyperlink r:id="rId18567">
        <w:r>
          <w:rPr>
            <w:color w:val="0000EE"/>
            <w:u w:val="single"/>
          </w:rPr>
          <w:t>12.5,12</w:t>
        </w:r>
      </w:hyperlink>
      <w:r>
        <w:t xml:space="preserve">), assim como a igreja em Roma (veja </w:t>
      </w:r>
      <w:hyperlink r:id="rId18568">
        <w:r>
          <w:rPr>
            <w:color w:val="0000EE"/>
            <w:u w:val="single"/>
          </w:rPr>
          <w:t>Rm 16.3–5,14,15</w:t>
        </w:r>
      </w:hyperlink>
      <w:r>
        <w:t xml:space="preserve"> e comentários abaixo). Uma pequena igreja local pode ter tido apenas uma reunião doméstica — como provavelmente foi o caso da igreja em Colossos (veja </w:t>
      </w:r>
      <w:hyperlink r:id="rId9341">
        <w:r>
          <w:rPr>
            <w:color w:val="0000EE"/>
            <w:u w:val="single"/>
          </w:rPr>
          <w:t>Fm 1.2</w:t>
        </w:r>
      </w:hyperlink>
      <w:r>
        <w:t xml:space="preserve"> e comentários abaixo), mas isso teria sido impossível para grandes igrejas locais como as de Jerusalém, Roma e Éfeso, nas quais deve ter havido várias “igrejas domésticas” (veja </w:t>
      </w:r>
      <w:hyperlink r:id="rId18569">
        <w:r>
          <w:rPr>
            <w:color w:val="0000EE"/>
            <w:u w:val="single"/>
          </w:rPr>
          <w:t>1Co 16.19–20</w:t>
        </w:r>
      </w:hyperlink>
      <w:r>
        <w:t xml:space="preserve"> [1Co foi escrito de Éfeso] e comentários abaixo). Um exame das passagens que lidam com a questão da “igreja doméstica” deve afirmar isso. Essas passagens são </w:t>
      </w:r>
      <w:hyperlink r:id="rId18568">
        <w:r>
          <w:rPr>
            <w:color w:val="0000EE"/>
            <w:u w:val="single"/>
          </w:rPr>
          <w:t>Romanos 16.3–5,14–15</w:t>
        </w:r>
      </w:hyperlink>
      <w:r>
        <w:t xml:space="preserve">; </w:t>
      </w:r>
      <w:hyperlink r:id="rId18569">
        <w:r>
          <w:rPr>
            <w:color w:val="0000EE"/>
            <w:u w:val="single"/>
          </w:rPr>
          <w:t>1 Coríntios 16.19–20</w:t>
        </w:r>
      </w:hyperlink>
      <w:r>
        <w:t xml:space="preserve">; </w:t>
      </w:r>
      <w:hyperlink r:id="rId18570">
        <w:r>
          <w:rPr>
            <w:color w:val="0000EE"/>
            <w:u w:val="single"/>
          </w:rPr>
          <w:t>Colossenses 4.15–16</w:t>
        </w:r>
      </w:hyperlink>
      <w:r>
        <w:t xml:space="preserve">; e </w:t>
      </w:r>
      <w:hyperlink r:id="rId9349">
        <w:r>
          <w:rPr>
            <w:color w:val="0000EE"/>
            <w:u w:val="single"/>
          </w:rPr>
          <w:t>Filemom 1.1–2</w:t>
        </w:r>
      </w:hyperlink>
      <w:r>
        <w:t>.</w:t>
      </w:r>
    </w:p>
    <w:p>
      <w:pPr>
        <w:pStyle w:val="Heading3"/>
      </w:pPr>
      <w:r>
        <w:t>Romanos 16.3–5,14–15</w:t>
      </w:r>
    </w:p>
    <w:p>
      <w:r/>
      <w:r>
        <w:t>No último capítulo de Romanos, Paulo pediu aos crentes em Roma, a quem ele havia escrito esta epístola, para saudar Priscila e Áquila e a igreja que se encontrava na casa deles (</w:t>
      </w:r>
      <w:hyperlink r:id="rId18568">
        <w:r>
          <w:rPr>
            <w:color w:val="0000EE"/>
            <w:u w:val="single"/>
          </w:rPr>
          <w:t>16.3–5</w:t>
        </w:r>
      </w:hyperlink>
      <w:r>
        <w:t>). Toda a igreja em Roma não poderia ter se encontrado na casa de Priscila e Áquila, pois a igreja era grande demais para ter se reunido em uma única casa. Em vez disso, a igreja na casa de Priscila e Áquila deve ter sido uma entre várias dessas “igrejas domésticas” em Roma. A seguinte reflexão deve fundamentar esta posição.</w:t>
      </w:r>
    </w:p>
    <w:p>
      <w:r/>
      <w:r>
        <w:t>A Epístola de Paulo aos Romanos foi dirigida a “todos os amados de Deus em Roma” (</w:t>
      </w:r>
      <w:hyperlink r:id="rId4380">
        <w:r>
          <w:rPr>
            <w:color w:val="0000EE"/>
            <w:u w:val="single"/>
          </w:rPr>
          <w:t>1.7</w:t>
        </w:r>
      </w:hyperlink>
      <w:r>
        <w:t>), não à “igreja em Roma”. No momento em que escrevia, Paul não havia ido a Roma — nem o tinha qualquer outro apóstolo. A igreja provavelmente foi iniciada lá pelos romanos judeus que haviam sido convertidos durante sua visita a Jerusalém na ocasião do Pentecostes (</w:t>
      </w:r>
      <w:hyperlink r:id="rId4397">
        <w:r>
          <w:rPr>
            <w:color w:val="0000EE"/>
            <w:u w:val="single"/>
          </w:rPr>
          <w:t>Atos 2.10</w:t>
        </w:r>
      </w:hyperlink>
      <w:r>
        <w:t xml:space="preserve">) e depois voltaram para Roma. Uma vez que a igreja não havia sido iniciada por um apóstolo, poderia ter sido que não havia presbíteros “ordenados” na igreja em Roma e que havia várias reuniões de crentes em diversas partes de Roma e seus subúrbios. Paul conhecia alguns dos santos em Roma (a quem ele se dirigiu pelo nome no último capítulo) e, assim, dirigiu uma epístola a todos os santos naquela localidade, em vez de à igreja naquela localidade — que era sua prática usual (veja </w:t>
      </w:r>
      <w:hyperlink r:id="rId2270">
        <w:r>
          <w:rPr>
            <w:color w:val="0000EE"/>
            <w:u w:val="single"/>
          </w:rPr>
          <w:t>1Co 1.1</w:t>
        </w:r>
      </w:hyperlink>
      <w:r>
        <w:t xml:space="preserve">; </w:t>
      </w:r>
      <w:hyperlink r:id="rId2271">
        <w:r>
          <w:rPr>
            <w:color w:val="0000EE"/>
            <w:u w:val="single"/>
          </w:rPr>
          <w:t>2Co 1.1</w:t>
        </w:r>
      </w:hyperlink>
      <w:r>
        <w:t xml:space="preserve">; </w:t>
      </w:r>
      <w:hyperlink r:id="rId3688">
        <w:r>
          <w:rPr>
            <w:color w:val="0000EE"/>
            <w:u w:val="single"/>
          </w:rPr>
          <w:t>1Ts 1.1</w:t>
        </w:r>
      </w:hyperlink>
      <w:r>
        <w:t xml:space="preserve">; </w:t>
      </w:r>
      <w:hyperlink r:id="rId16790">
        <w:r>
          <w:rPr>
            <w:color w:val="0000EE"/>
            <w:u w:val="single"/>
          </w:rPr>
          <w:t>2Ts 1.1</w:t>
        </w:r>
      </w:hyperlink>
      <w:r>
        <w:t xml:space="preserve">). No entanto, “todos os santos em Roma” compreenderiam “a igreja em Roma” (cf. </w:t>
      </w:r>
      <w:hyperlink r:id="rId1412">
        <w:r>
          <w:rPr>
            <w:color w:val="0000EE"/>
            <w:u w:val="single"/>
          </w:rPr>
          <w:t>Fp 1.1</w:t>
        </w:r>
      </w:hyperlink>
      <w:r>
        <w:t>, na qual Paul dirigiu sua epístola a todos os santos em Filipos).</w:t>
      </w:r>
    </w:p>
    <w:p>
      <w:r/>
      <w:r>
        <w:t>No capítulo final de Romanos, Paulo pede a todos os crentes em Roma (o que equivale à igreja “local” em Roma) para saudar a igreja na casa de Priscila e Áquila. Mais tarde no capítulo, Paulo pede à igreja para saudar Asíncrito, Flegonte, Hermas, Pátrobas, Hermes e os irmãos com eles; e então novamente ele pede à igreja para saudar Filólogo, Júlia, Nereu e sua irmã, Olimpas e todos os santos com eles (</w:t>
      </w:r>
      <w:hyperlink r:id="rId18571">
        <w:r>
          <w:rPr>
            <w:color w:val="0000EE"/>
            <w:u w:val="single"/>
          </w:rPr>
          <w:t>16.14–15</w:t>
        </w:r>
      </w:hyperlink>
      <w:r>
        <w:t xml:space="preserve">). Evidentemente, ele estava identificando dois outros grupos de crentes que devem ter se encontrado. (E talvez ele estivesse se referindo a mais dois grupos em </w:t>
      </w:r>
      <w:hyperlink r:id="rId18572">
        <w:r>
          <w:rPr>
            <w:color w:val="0000EE"/>
            <w:u w:val="single"/>
          </w:rPr>
          <w:t>16.10–11</w:t>
        </w:r>
      </w:hyperlink>
      <w:r>
        <w:t xml:space="preserve">, o que em grego poderia significar os das </w:t>
      </w:r>
      <w:r>
        <w:rPr>
          <w:i/>
        </w:rPr>
        <w:t>famílias</w:t>
      </w:r>
      <w:r>
        <w:t xml:space="preserve"> de Aristóbulo e Narciso ou os de suas </w:t>
      </w:r>
      <w:r>
        <w:rPr>
          <w:i/>
        </w:rPr>
        <w:t>comunidades</w:t>
      </w:r>
      <w:r>
        <w:t>). Parece que a igreja em Roma, como a igreja em Jerusalém e Éfeso, tinha várias ekklesiai (reuniões) domésticas.</w:t>
      </w:r>
    </w:p>
    <w:p>
      <w:r/>
      <w:r>
        <w:t>A Epístola aos romanos foi escrita por volta de 58 d.C. A perseguição Neroniana começou por volta de 64 d.C. Historiadores seculares como Tácito nos dizem que uma vasta multidão (</w:t>
      </w:r>
      <w:r>
        <w:rPr>
          <w:i/>
        </w:rPr>
        <w:t>ingens multitudo</w:t>
      </w:r>
      <w:r>
        <w:t>) de cristãos foi torturada e morta durante esta perseguição (</w:t>
      </w:r>
      <w:r>
        <w:rPr>
          <w:i/>
        </w:rPr>
        <w:t>Anais 15.44</w:t>
      </w:r>
      <w:r>
        <w:t xml:space="preserve">). Seutônio (em seu livro </w:t>
      </w:r>
      <w:r>
        <w:rPr>
          <w:i/>
        </w:rPr>
        <w:t>Nero</w:t>
      </w:r>
      <w:r>
        <w:t>, cap. 16) disse que o rápido aumento dos cristãos em Roma os tornara impopulares. De fato, na época em que Paulo escreveu a Epístola aos Romanos, ele disse que sua fé era conhecida em todo o mundo (</w:t>
      </w:r>
      <w:hyperlink r:id="rId11103">
        <w:r>
          <w:rPr>
            <w:color w:val="0000EE"/>
            <w:u w:val="single"/>
          </w:rPr>
          <w:t>1.8</w:t>
        </w:r>
      </w:hyperlink>
      <w:r>
        <w:t xml:space="preserve">), o que indica que a igreja em Roma já havia causado um impacto no mundo mediterrâneo. Quando Paulo veio a Roma três anos depois (61 d.C.), ele chegou a uma cidade que já tinha uma grande igreja lá. De </w:t>
      </w:r>
      <w:hyperlink r:id="rId18573">
        <w:r>
          <w:rPr>
            <w:color w:val="0000EE"/>
            <w:u w:val="single"/>
          </w:rPr>
          <w:t>Romanos 15.23</w:t>
        </w:r>
      </w:hyperlink>
      <w:r>
        <w:t xml:space="preserve">, sabemos que a igreja já existia há muitos anos, mesmo antes de Paulo escrever sua epístola para eles. Em suma, a igreja em Roma era uma grande igreja na época em que Paulo escreveu sua epístola para eles. A igreja inteira não poderia ter se encontrado na casa de Áquila e Priscila, que teriam apenas uma residência de tamanho modesto (pois eles eram fabricantes de tendas). Além disso, Paulo saudou mais de 25 indivíduos pelo nome no capítulo </w:t>
      </w:r>
      <w:hyperlink r:id="rId4409">
        <w:r>
          <w:rPr>
            <w:color w:val="0000EE"/>
            <w:u w:val="single"/>
          </w:rPr>
          <w:t>16</w:t>
        </w:r>
      </w:hyperlink>
      <w:r>
        <w:t xml:space="preserve"> — e ele ainda não havia estado em Roma!</w:t>
      </w:r>
    </w:p>
    <w:p>
      <w:r/>
      <w:r>
        <w:t xml:space="preserve">Deve ter havido várias ekklesiai em Roma, ou seja, várias igrejas domésticas, todas unificadas como a única igreja local em Roma. Por exemplo, os cristãos em Roma aparentemente cultuavam em várias casas, como na de Priscila e Áquila. Outras igrejas nas casas são mencionadas em </w:t>
      </w:r>
      <w:hyperlink r:id="rId18574">
        <w:r>
          <w:rPr>
            <w:color w:val="0000EE"/>
            <w:u w:val="single"/>
          </w:rPr>
          <w:t>Colossenses 4.15</w:t>
        </w:r>
      </w:hyperlink>
      <w:r>
        <w:t xml:space="preserve"> e </w:t>
      </w:r>
      <w:hyperlink r:id="rId9341">
        <w:r>
          <w:rPr>
            <w:color w:val="0000EE"/>
            <w:u w:val="single"/>
          </w:rPr>
          <w:t>Filemom 1.2</w:t>
        </w:r>
      </w:hyperlink>
      <w:r>
        <w:t xml:space="preserve">. Grupos de cristãos se reuniam em casas de crentes proeminentes ou em outros ambientes disponíveis (cf. </w:t>
      </w:r>
      <w:hyperlink r:id="rId18575">
        <w:r>
          <w:rPr>
            <w:color w:val="0000EE"/>
            <w:u w:val="single"/>
          </w:rPr>
          <w:t>Mt 26.16</w:t>
        </w:r>
      </w:hyperlink>
      <w:r>
        <w:t xml:space="preserve">; </w:t>
      </w:r>
      <w:hyperlink r:id="rId11940">
        <w:r>
          <w:rPr>
            <w:color w:val="0000EE"/>
            <w:u w:val="single"/>
          </w:rPr>
          <w:t>Atos 12.12</w:t>
        </w:r>
      </w:hyperlink>
      <w:r>
        <w:t xml:space="preserve">; </w:t>
      </w:r>
      <w:hyperlink r:id="rId2303">
        <w:r>
          <w:rPr>
            <w:color w:val="0000EE"/>
            <w:u w:val="single"/>
          </w:rPr>
          <w:t>1Co 16.19</w:t>
        </w:r>
      </w:hyperlink>
      <w:r>
        <w:t xml:space="preserve">; </w:t>
      </w:r>
      <w:hyperlink r:id="rId18574">
        <w:r>
          <w:rPr>
            <w:color w:val="0000EE"/>
            <w:u w:val="single"/>
          </w:rPr>
          <w:t>Cl 4.15</w:t>
        </w:r>
      </w:hyperlink>
      <w:r>
        <w:t xml:space="preserve">; </w:t>
      </w:r>
      <w:hyperlink r:id="rId9341">
        <w:r>
          <w:rPr>
            <w:color w:val="0000EE"/>
            <w:u w:val="single"/>
          </w:rPr>
          <w:t>Fm 1.2</w:t>
        </w:r>
      </w:hyperlink>
      <w:r>
        <w:t xml:space="preserve">). A igreja na casa de Priscila e Áquila é o primeiro de cinco grupos de crentes na lista de Paulo, mas o único que definitivamente se refere como igreja (veja </w:t>
      </w:r>
      <w:hyperlink r:id="rId2748">
        <w:r>
          <w:rPr>
            <w:color w:val="0000EE"/>
            <w:u w:val="single"/>
          </w:rPr>
          <w:t>Rm 16.5, 10–11, 14–15</w:t>
        </w:r>
      </w:hyperlink>
      <w:r>
        <w:t xml:space="preserve">). Priscila e Áquila abriram sua casa para as reuniões cristãs. Obviamente, a igreja mencionada havia apenas uma parte do número total de cristãos em Roma. Os versos </w:t>
      </w:r>
      <w:hyperlink r:id="rId18572">
        <w:r>
          <w:rPr>
            <w:color w:val="0000EE"/>
            <w:u w:val="single"/>
          </w:rPr>
          <w:t>10–11</w:t>
        </w:r>
      </w:hyperlink>
      <w:r>
        <w:t xml:space="preserve"> e </w:t>
      </w:r>
      <w:hyperlink r:id="rId18571">
        <w:r>
          <w:rPr>
            <w:color w:val="0000EE"/>
            <w:u w:val="single"/>
          </w:rPr>
          <w:t>14–15</w:t>
        </w:r>
      </w:hyperlink>
      <w:r>
        <w:t xml:space="preserve"> parecem se referir a duas outras igrejas domésticas em Roma. Aparentemente, havia pelo menos três igrejas lá, e provavelmente mais. Cada igreja doméstica não poderia ter sido uma entidade separada com um governo de igreja independente; em vez disso, cada igreja doméstica deve ter sido simplesmente uma reunião doméstica de alguns dos santos na única igreja local em Roma.</w:t>
      </w:r>
    </w:p>
    <w:p>
      <w:pPr>
        <w:pStyle w:val="Heading3"/>
      </w:pPr>
      <w:r>
        <w:t>1 Coríntios 16.19–20</w:t>
      </w:r>
    </w:p>
    <w:p>
      <w:r/>
      <w:r>
        <w:t xml:space="preserve">Nesta passagem, vemos novamente Áquila e Priscila e, novamente descobrimos que uma igreja se encontrou na casa deles. De acordo com Romanos, essa igreja doméstica estava, é claro, em Roma. De acordo com 1 Coríntios (escrita de Éfeso), a igreja doméstica deles estava em Éfeso. Muitos estudiosos pensam que Áquila e Priscila deixaram Roma por volta de 49 d.C., na época do édito de Cláudio, expulsando os judeus de Roma. Eles muito bem já poderiam ter se tornado cristãos neste momento. De acordo com </w:t>
      </w:r>
      <w:hyperlink r:id="rId5935">
        <w:r>
          <w:rPr>
            <w:color w:val="0000EE"/>
            <w:u w:val="single"/>
          </w:rPr>
          <w:t>Atos 18</w:t>
        </w:r>
      </w:hyperlink>
      <w:r>
        <w:t xml:space="preserve">, eles se juntaram a Paulo em Corinto (onde todos trabalhavam juntos em seu ofício de fazer tendas) e depois foram com ele para Éfeso, durante aquele tempo (por volta de 51 d.C.) a igreja em Éfeso foi estabelecida pela primeira vez. Ele continuou com sua segunda jornada missionária, enquanto Áquila e Priscila permaneceram em Éfeso. Sem dúvida, a igreja primitiva se encontrou lá na casa deles primeiro. Paulo voltou para Éfeso alguns anos depois e permaneceu lá por dois anos (por volta de 53–54 d.C.). Durante este tempo, a proclamação do evangelho por Paulo saiu de Éfeso (como um centro) para toda a Ásia Menor (veja </w:t>
      </w:r>
      <w:hyperlink r:id="rId9344">
        <w:r>
          <w:rPr>
            <w:color w:val="0000EE"/>
            <w:u w:val="single"/>
          </w:rPr>
          <w:t>Atos 19.8–10</w:t>
        </w:r>
      </w:hyperlink>
      <w:r>
        <w:t xml:space="preserve">). Enquanto isso estava acontecendo, a igreja em Éfeso cresceu (veja vv. </w:t>
      </w:r>
      <w:hyperlink r:id="rId18576">
        <w:r>
          <w:rPr>
            <w:color w:val="0000EE"/>
            <w:u w:val="single"/>
          </w:rPr>
          <w:t>18–20</w:t>
        </w:r>
      </w:hyperlink>
      <w:r>
        <w:t>).</w:t>
      </w:r>
    </w:p>
    <w:p>
      <w:r/>
      <w:r>
        <w:t>Foi durante esses anos que Paulo escreveu aos Coríntios, no qual ele enviou saudações das igrejas na Ásia, de Áquila e Priscila — e da igreja na casa deles e de todos os irmãos (</w:t>
      </w:r>
      <w:hyperlink r:id="rId18569">
        <w:r>
          <w:rPr>
            <w:color w:val="0000EE"/>
            <w:u w:val="single"/>
          </w:rPr>
          <w:t>1Co 16.19–20</w:t>
        </w:r>
      </w:hyperlink>
      <w:r>
        <w:t xml:space="preserve">). Ao dar este tipo de saudação, parece que ele estava enviando saudações de (1) todas as igrejas na Ásia Menor, (2) a igreja em Éfeso (equivalente a “todos os irmãos”) e (3) aqueles crentes que se reuniam com Áquila e Priscila na casa deles. Seria difícil imaginar que todos os santos em Éfeso se encontravam na casa de Áquila e Priscila. A igreja provavelmente começou assim, mas à medida que crescia, o número de reuniões domésticas também crescia. De outras partes do NT (especificamente 1 Timóteo, que foi escrito por volta de 64 d.C. por Paulo a Timóteo, enquanto Timóteo estava liderando a igreja em Éfeso), descobrimos que devem ter havido várias reuniões domésticas em Éfeso, pois havia muitos santos lá (veja </w:t>
      </w:r>
      <w:hyperlink r:id="rId18577">
        <w:r>
          <w:rPr>
            <w:color w:val="0000EE"/>
            <w:u w:val="single"/>
          </w:rPr>
          <w:t>1 Timóteo 5–6</w:t>
        </w:r>
      </w:hyperlink>
      <w:r>
        <w:t xml:space="preserve">, demonstrando que deve ter havido um grande número de santos em Éfeso — homens e mulheres jovens, homens mais velhos, viúvas, e assim por diante). De qualquer forma, vários santos devem ter realizado uma </w:t>
      </w:r>
      <w:r>
        <w:rPr>
          <w:i/>
        </w:rPr>
        <w:t>ekklesia</w:t>
      </w:r>
      <w:r>
        <w:t>, uma reunião em sua casa. (Áquila e Priscila deixaram Éfeso por volta de 56/57 d.C. e voltaram para Roma, onde novamente eles hospedaram uma igreja em sua casa. Outros em Éfeso teriam aberto suas casas). Mas cada uma dessas ekklesia não tinha seu próprio presbíterato; em vez disso, toda a igreja em Éfeso estava sob um presbiterato — presidido por Timóteo, companheiro de Paulo no trabalho.</w:t>
      </w:r>
    </w:p>
    <w:p>
      <w:pPr>
        <w:pStyle w:val="Heading3"/>
      </w:pPr>
      <w:r>
        <w:t>Colossenses 4.15–16</w:t>
      </w:r>
    </w:p>
    <w:p>
      <w:r/>
      <w:r>
        <w:t xml:space="preserve">Nesta seção, lemos novamente sobre uma igreja existente na casa de alguém chamado Ninfas. Em seus comentários finais à igreja em Colossos, Paulo pediu aos santos em Colossos para enviar suas saudações aos (1) os irmãos que estão em Laodiceia, (2) Nínfas em especial, e (3) a igreja na casa de Ninfas. De acordo com a estrutura de </w:t>
      </w:r>
      <w:hyperlink r:id="rId18574">
        <w:r>
          <w:rPr>
            <w:color w:val="0000EE"/>
            <w:u w:val="single"/>
          </w:rPr>
          <w:t>Colossenses 4.15</w:t>
        </w:r>
      </w:hyperlink>
      <w:r>
        <w:t xml:space="preserve">, parece evidente que a primeira saudação incluía todos os crentes em Laodiceia (uma igreja vizinha de Colossos), que compunham toda a igreja em Laodiceia (chamada “a igreja dos laodicenses” em </w:t>
      </w:r>
      <w:hyperlink r:id="rId3771">
        <w:r>
          <w:rPr>
            <w:color w:val="0000EE"/>
            <w:u w:val="single"/>
          </w:rPr>
          <w:t>Cl 4.16</w:t>
        </w:r>
      </w:hyperlink>
      <w:r>
        <w:t>), e que a segunda e terceira saudações eram a um indivíduo específico (Ninfas) na igreja em Laodiceia e uma reunião da igreja na casa de Ninfas. Esta reunião da igreja na casa de Ninfas provavelmente seria uma das várias reuniões domésticas — todas pertencentes à igreja local em Laodiceia.</w:t>
      </w:r>
    </w:p>
    <w:p>
      <w:r/>
      <w:r>
        <w:t>Há um problema textual nesta passagem que poderia ter algum efeito na interpretação da mesma. Alguns manuscritos leem “casa dele”; outros leem “casa dela”; ainda outros leem “casa deles”. Como não pode ser determinado pelo texto grego se Ninfas era homem ou mulher, vários escribas usaram pronomes diferentes após “casa”. Entre as leituras “dela” e “dele”, é muito mais provável que o pronome “dela” tenha sido alterado para “dele” do que vice-versa. Alguns estudiosos dizem que “deles” se refere aos “irmãos” em Laodiceia. Mas isso não faz sentido se entendermos que “os irmãos em Laodiceia” é equivalente à igreja em Laodiceia. Como a igreja em Laodiceia poderia ter a igreja na casa deles? Outros estudiosos indicam que a palavra grega para “deles” (</w:t>
      </w:r>
      <w:r>
        <w:rPr>
          <w:i/>
        </w:rPr>
        <w:t>auton</w:t>
      </w:r>
      <w:r>
        <w:t xml:space="preserve">) se refere aos com </w:t>
      </w:r>
      <w:r>
        <w:rPr>
          <w:i/>
        </w:rPr>
        <w:t>Ninfas</w:t>
      </w:r>
      <w:r>
        <w:t xml:space="preserve"> — isto é, os membros de sua casa. Se a leitura fosse “casa dela” ou “casa deles”, um grupo específico de crentes dentro da igreja de Laodiceia se reunia lá. Essa reunião poderia legitimamente ser chamado de ekklesia — um ajuntamento.</w:t>
      </w:r>
    </w:p>
    <w:p>
      <w:pPr>
        <w:pStyle w:val="Heading3"/>
      </w:pPr>
      <w:r>
        <w:t>Filemom 1.1–2</w:t>
      </w:r>
    </w:p>
    <w:p>
      <w:r/>
      <w:r>
        <w:t xml:space="preserve">Esta é a última vez no NT que lemos sobre uma igreja em uma casa específica. Paul escreveu uma pequena epístola a Filemom, um ancião da igreja em Colossos, em nome de Onésimo, o escravo fugitivo de Filemom convertido por Paulo a Cristo. Em sua introdução a esta pequena epístola, Paulo envia suas saudações a Filemom, Áfia, Arquipo e a igreja na casa de Filemom. É importante notar que Paulo não enviou saudações a todos os santos em Colossos e depois à igreja na casa de Filemom (como é o padrão em </w:t>
      </w:r>
      <w:hyperlink r:id="rId18569">
        <w:r>
          <w:rPr>
            <w:color w:val="0000EE"/>
            <w:u w:val="single"/>
          </w:rPr>
          <w:t>1Co 16.19–20</w:t>
        </w:r>
      </w:hyperlink>
      <w:r>
        <w:t xml:space="preserve"> e </w:t>
      </w:r>
      <w:hyperlink r:id="rId18574">
        <w:r>
          <w:rPr>
            <w:color w:val="0000EE"/>
            <w:u w:val="single"/>
          </w:rPr>
          <w:t>Cl 4.15</w:t>
        </w:r>
      </w:hyperlink>
      <w:r>
        <w:t>); em vez disso, ele apenas enviou saudações a Filemom e à igreja em sua casa. Portanto, podemos concluir que toda a igreja em Colossos deve ter se reunido na casa de Filemom.</w:t>
      </w:r>
    </w:p>
    <w:p>
      <w:pPr>
        <w:pStyle w:val="Heading3"/>
      </w:pPr>
      <w:r>
        <w:t>Adoração nas reuniões domésticas e reuniões da igreja</w:t>
      </w:r>
    </w:p>
    <w:p>
      <w:r/>
      <w:r>
        <w:t xml:space="preserve">Quando a igreja começou em Jerusalém, os crentes se reuniam em casas para comunhão e adoração. </w:t>
      </w:r>
      <w:hyperlink r:id="rId18578">
        <w:r>
          <w:rPr>
            <w:color w:val="0000EE"/>
            <w:u w:val="single"/>
          </w:rPr>
          <w:t>Atos 2.42–47</w:t>
        </w:r>
      </w:hyperlink>
      <w:r>
        <w:t xml:space="preserve"> nos diz que os primeiros cristãos se reuniam em casas para ouvir os ensinamentos dos apóstolos e celebrar a Comunhão (que é chamada de “partir o pão”). Durante essas reuniões, os cristãos muitas vezes compartilhavam refeições uns com os outros no que era chamado de festa de fraternidade (</w:t>
      </w:r>
      <w:hyperlink r:id="rId16804">
        <w:r>
          <w:rPr>
            <w:color w:val="0000EE"/>
            <w:u w:val="single"/>
          </w:rPr>
          <w:t>2Pe 2.13</w:t>
        </w:r>
      </w:hyperlink>
      <w:r>
        <w:t xml:space="preserve">; </w:t>
      </w:r>
      <w:hyperlink r:id="rId4691">
        <w:r>
          <w:rPr>
            <w:color w:val="0000EE"/>
            <w:u w:val="single"/>
          </w:rPr>
          <w:t>Judas 1.12</w:t>
        </w:r>
      </w:hyperlink>
      <w:r>
        <w:t xml:space="preserve">). Nessas reuniões, os cristãos recitavam as Escrituras, cantavam hinos e salmos, e louvavam com alegria o Senhor (veja </w:t>
      </w:r>
      <w:hyperlink r:id="rId18579">
        <w:r>
          <w:rPr>
            <w:color w:val="0000EE"/>
            <w:u w:val="single"/>
          </w:rPr>
          <w:t>Ef 5.18–20</w:t>
        </w:r>
      </w:hyperlink>
      <w:r>
        <w:t xml:space="preserve">; </w:t>
      </w:r>
      <w:hyperlink r:id="rId18580">
        <w:r>
          <w:rPr>
            <w:color w:val="0000EE"/>
            <w:u w:val="single"/>
          </w:rPr>
          <w:t>Cl 3.16–17</w:t>
        </w:r>
      </w:hyperlink>
      <w:r>
        <w:t>). Os cristãos também se juntavam em casas para orar (</w:t>
      </w:r>
      <w:hyperlink r:id="rId11940">
        <w:r>
          <w:rPr>
            <w:color w:val="0000EE"/>
            <w:u w:val="single"/>
          </w:rPr>
          <w:t>Atos 12.12</w:t>
        </w:r>
      </w:hyperlink>
      <w:r>
        <w:t>) e ler a Palavra.</w:t>
      </w:r>
    </w:p>
    <w:p>
      <w:r/>
      <w:r>
        <w:t xml:space="preserve">Pequenos grupos de crentes se reuniam em casas para adoração com bastante regularidade; em uma cidade onde havia várias </w:t>
      </w:r>
      <w:r>
        <w:rPr>
          <w:i/>
        </w:rPr>
        <w:t>ekklesiai</w:t>
      </w:r>
      <w:r>
        <w:t xml:space="preserve">, todos os crentes se reuniam para ocasiões especiais. As Escrituras nos dizem que todos os crentes se reuniam para ouvir da epístola dos apóstolos, lida em voz alta (veja </w:t>
      </w:r>
      <w:hyperlink r:id="rId18581">
        <w:r>
          <w:rPr>
            <w:color w:val="0000EE"/>
            <w:u w:val="single"/>
          </w:rPr>
          <w:t>Atos 15.30</w:t>
        </w:r>
      </w:hyperlink>
      <w:r>
        <w:t xml:space="preserve">; </w:t>
      </w:r>
      <w:hyperlink r:id="rId3771">
        <w:r>
          <w:rPr>
            <w:color w:val="0000EE"/>
            <w:u w:val="single"/>
          </w:rPr>
          <w:t>Cl 4.16</w:t>
        </w:r>
      </w:hyperlink>
      <w:r>
        <w:t xml:space="preserve">), e podemos supor a partir do registro do NT, que todos os cristãos em uma cidade se reuniam uma vez por semana no domingo, que era chamado de Dia do Senhor. Primeiro Coríntios fornece várias ideias sobre como os primeiros cristãos adoravam juntos quando todos os crentes em uma cidade se reuniam. Sabemos que 1 Coríntios pertence a esta reunião maior porque em </w:t>
      </w:r>
      <w:hyperlink r:id="rId4651">
        <w:r>
          <w:rPr>
            <w:color w:val="0000EE"/>
            <w:u w:val="single"/>
          </w:rPr>
          <w:t>11.20</w:t>
        </w:r>
      </w:hyperlink>
      <w:r>
        <w:t xml:space="preserve"> Paulo falou de todos os crentes se reunindo em um lugar e em </w:t>
      </w:r>
      <w:hyperlink r:id="rId18582">
        <w:r>
          <w:rPr>
            <w:color w:val="0000EE"/>
            <w:u w:val="single"/>
          </w:rPr>
          <w:t>14.23</w:t>
        </w:r>
      </w:hyperlink>
      <w:r>
        <w:t xml:space="preserve"> ele falou de toda a igreja se reunindo em um lugar.</w:t>
      </w:r>
    </w:p>
    <w:p>
      <w:r/>
      <w:r>
        <w:t>Ele usou esta epístola para corrigir o comportamento dos Coríntios na celebração da Ceia do Senhor (</w:t>
      </w:r>
      <w:hyperlink r:id="rId5822">
        <w:r>
          <w:rPr>
            <w:color w:val="0000EE"/>
            <w:u w:val="single"/>
          </w:rPr>
          <w:t>1Co 11.17–34</w:t>
        </w:r>
      </w:hyperlink>
      <w:r>
        <w:t xml:space="preserve">) e no exercício dos dons espirituais durante as reuniões da igreja (capítulo </w:t>
      </w:r>
      <w:hyperlink r:id="rId18583">
        <w:r>
          <w:rPr>
            <w:color w:val="0000EE"/>
            <w:u w:val="single"/>
          </w:rPr>
          <w:t>14</w:t>
        </w:r>
      </w:hyperlink>
      <w:r>
        <w:t>). As instruções de Paulo revelam suas percepções de um modelo de reunião cristã, que, provavelmente, foram desenvolvidas a partir da real experiência em outras reuniões da igreja. Ele exortou os coríntios a celebrarem a Ceia do Senhor juntos de uma maneira que refletisse a instituição de Jesus sobre aquela refeição. Eles deviam se lembrar do Senhor e sua morte por eles, e partilhar do pão e do vinho com toda a seriedade. Ao mesmo tempo, eles deveriam estar conscientes do fato de que eles eram membros do mesmo corpo de Cristo — unidos uns aos outros, e também a Cristo.</w:t>
      </w:r>
    </w:p>
    <w:p>
      <w:r/>
      <w:r>
        <w:t xml:space="preserve">De acordo com a apresentação de Paulo no capítulo </w:t>
      </w:r>
      <w:hyperlink r:id="rId18583">
        <w:r>
          <w:rPr>
            <w:color w:val="0000EE"/>
            <w:u w:val="single"/>
          </w:rPr>
          <w:t>14</w:t>
        </w:r>
      </w:hyperlink>
      <w:r>
        <w:t>, esta “consciência do corpo” deveria ser evidente na maneira como os crentes adoravam juntos. A experiência pessoal e a liberdade não devem impedir a coordenação do corpo ao adorar a Deus corporativamente. Assim, quando os crentes exerciam seus dons espirituais — seja profetizando, falando em línguas, fornecendo interpretações das línguas ou ensinando — isso deveria ser feito em boa ordem e para a edificação da congregação, não edificação pessoal. Quando toda a igreja se reunia para adorar a Deus, deveria ser uma manifestação de unidade espiritual.</w:t>
      </w:r>
    </w:p>
    <w:p>
      <w:r/>
      <w:r>
        <w:rPr>
          <w:i/>
        </w:rPr>
        <w:t>Veja também</w:t>
      </w:r>
      <w:r>
        <w:t xml:space="preserve"> </w:t>
      </w:r>
      <w:r>
        <w:t>Igreja</w:t>
      </w:r>
      <w:r>
        <w:t>.</w:t>
      </w:r>
      <w:r/>
      <w:r/>
    </w:p>
    <w:p>
      <w:r/>
    </w:p>
    <w:p>
      <w:pPr>
        <w:pStyle w:val="Heading2"/>
      </w:pPr>
      <w:r>
        <w:t>Revelação</w:t>
      </w:r>
      <w:r/>
    </w:p>
    <w:p>
      <w:r/>
      <w:r>
        <w:t>Revelação é quando algo oculto se torna conhecido ou é revelado a outros.</w:t>
      </w:r>
    </w:p>
    <w:p>
      <w:pPr>
        <w:pStyle w:val="Heading3"/>
      </w:pPr>
      <w:r>
        <w:t>Qual é o significado de "revelação"?</w:t>
      </w:r>
    </w:p>
    <w:p>
      <w:r/>
      <w:r>
        <w:t xml:space="preserve">A palavra vem do latim </w:t>
      </w:r>
      <w:r>
        <w:rPr>
          <w:i/>
        </w:rPr>
        <w:t>revelatio.</w:t>
      </w:r>
      <w:r>
        <w:t xml:space="preserve"> Possui dois significados principais:</w:t>
      </w:r>
    </w:p>
    <w:p>
      <w:pPr>
        <w:pStyle w:val="ListNumber"/>
        <w:spacing w:line="240" w:lineRule="auto"/>
        <w:ind w:left="720"/>
      </w:pPr>
      <w:r/>
      <w:r>
        <w:t>O ato de revelar para tornar algo conhecido.</w:t>
      </w:r>
    </w:p>
    <w:p>
      <w:pPr>
        <w:pStyle w:val="ListNumber"/>
        <w:spacing w:line="240" w:lineRule="auto"/>
        <w:ind w:left="720"/>
      </w:pPr>
      <w:r/>
      <w:r>
        <w:t>A coisa que é revelada.</w:t>
      </w:r>
    </w:p>
    <w:p>
      <w:r/>
      <w:r>
        <w:t>Na teologia, revelação se refere à maneira como Deus se faz conhecer pelas pessoas. Isso pode ocorrer de duas maneiras:</w:t>
      </w:r>
    </w:p>
    <w:p>
      <w:pPr>
        <w:pStyle w:val="ListBullet"/>
        <w:spacing w:line="240" w:lineRule="auto"/>
        <w:ind w:left="720"/>
      </w:pPr>
      <w:r/>
      <w:r>
        <w:t>Deus se revelando diretamente;</w:t>
      </w:r>
    </w:p>
    <w:p>
      <w:pPr>
        <w:pStyle w:val="ListBullet"/>
        <w:spacing w:line="240" w:lineRule="auto"/>
        <w:ind w:left="720"/>
      </w:pPr>
      <w:r/>
      <w:r>
        <w:t>A mensagem de Deus sendo compartilhada por meio da fala ou da escrita.</w:t>
      </w:r>
    </w:p>
    <w:p>
      <w:r/>
      <w:r>
        <w:t>No Novo Testamento, a palavra grega para revelação (</w:t>
      </w:r>
      <w:r>
        <w:rPr>
          <w:i/>
        </w:rPr>
        <w:t>apokalupsis</w:t>
      </w:r>
      <w:r>
        <w:t xml:space="preserve">) significa "revelar" ou "tornar conhecido". Outra palavra grega, </w:t>
      </w:r>
      <w:r>
        <w:rPr>
          <w:i/>
        </w:rPr>
        <w:t>phanerosis</w:t>
      </w:r>
      <w:r>
        <w:t>, tem um significado semelhante, mas enfatiza que algo é mostrado claramente e é fácil de entender.</w:t>
      </w:r>
    </w:p>
    <w:p>
      <w:pPr>
        <w:pStyle w:val="Heading3"/>
      </w:pPr>
      <w:r>
        <w:t>Diferentes perspectivas sobre como aprendemos a respeito de Deus</w:t>
      </w:r>
    </w:p>
    <w:p>
      <w:r/>
      <w:r>
        <w:t>A filosofia racionalista, ensinada por pensadores como René Descartes e Emanuel Kant, sustenta que a razão humana é a única fonte verdadeira de conhecimento sobre Deus. Essa visão aceita apenas a religião natural — crenças que vêm da razão humana — e nega qualquer revelação sobrenatural real de Deus. Os racionalistas podem, às vezes, considerar a ideia de uma religião sobrenatural, mas não acreditam que Deus possa intervir diretamente no mundo.</w:t>
      </w:r>
    </w:p>
    <w:p>
      <w:r/>
      <w:r>
        <w:t>A teologia cristã ensina que a fonte do verdadeiro conhecimento é a palavra de Deus, especificamente as Escrituras. No entanto, a teologia crítica moderna, às vezes chamada de "teologia científica", questionou se as Escrituras podem realmente ser confiáveis como uma base sólida para entender Deus. Muitos estudiosos agora argumentam que a ciência natural oferece um conhecimento mais confiável e que eventos sobrenaturais são improváveis. Como resultado, as Escrituras não são mais vistas como a autoridade final.</w:t>
      </w:r>
    </w:p>
    <w:p>
      <w:r/>
      <w:r>
        <w:t>De acordo com essa visão, a Bíblia não registra o que realmente aconteceu ou o que Deus verdadeiramente disse ou fez. Em vez disso, reflete as crenças da igreja primitiva sobre o que eles pensavam que havia acontecido. Portanto, a Bíblia é vista não como uma mensagem divina de Deus, mas como um produto único das ideias e experiências religiosas iniciais.</w:t>
      </w:r>
    </w:p>
    <w:p>
      <w:r/>
      <w:r>
        <w:t>A teologia cristã ensina que a revelação divina — a mensagem de Deus para a humanidade — é a única fonte verdadeira para compreender Deus. As pessoas conhecem Deus porque ele escolhe se revelar. Deus age primeiro e é o autor da revelação, enquanto as pessoas o recebem. Através desta revelação, Deus mostra coisas que de outra forma permaneceriam ocultas (</w:t>
      </w:r>
      <w:hyperlink r:id="rId18584">
        <w:r>
          <w:rPr>
            <w:color w:val="0000EE"/>
            <w:u w:val="single"/>
          </w:rPr>
          <w:t>Dt 29.29</w:t>
        </w:r>
      </w:hyperlink>
      <w:r>
        <w:t xml:space="preserve">; </w:t>
      </w:r>
      <w:hyperlink r:id="rId2281">
        <w:r>
          <w:rPr>
            <w:color w:val="0000EE"/>
            <w:u w:val="single"/>
          </w:rPr>
          <w:t>Gl 1.12</w:t>
        </w:r>
      </w:hyperlink>
      <w:r>
        <w:t xml:space="preserve">; </w:t>
      </w:r>
      <w:hyperlink r:id="rId16429">
        <w:r>
          <w:rPr>
            <w:color w:val="0000EE"/>
            <w:u w:val="single"/>
          </w:rPr>
          <w:t>Ef 3.3</w:t>
        </w:r>
      </w:hyperlink>
      <w:r>
        <w:t>).</w:t>
      </w:r>
    </w:p>
    <w:p>
      <w:pPr>
        <w:pStyle w:val="Heading3"/>
      </w:pPr>
      <w:r>
        <w:t>Revelação geral</w:t>
      </w:r>
    </w:p>
    <w:p>
      <w:r/>
      <w:r>
        <w:t xml:space="preserve">Deus se revela à humanidade de duas maneiras principais. Primeiro, há o que é conhecido como "revelação geral". Através da revelação geral, Deus se faz conhecido na natureza, na história e nas pessoas, que são feitas à sua imagem. Esta ideia — de que as pessoas têm um senso interno da existência de Deus através do mundo natural — é encontrada ao longo da Bíblia, tanto no Antigo Testamento (como em </w:t>
      </w:r>
      <w:hyperlink r:id="rId18585">
        <w:r>
          <w:rPr>
            <w:color w:val="0000EE"/>
            <w:u w:val="single"/>
          </w:rPr>
          <w:t>Sl 10.11</w:t>
        </w:r>
      </w:hyperlink>
      <w:r>
        <w:t xml:space="preserve">; </w:t>
      </w:r>
      <w:hyperlink r:id="rId18586">
        <w:r>
          <w:rPr>
            <w:color w:val="0000EE"/>
            <w:u w:val="single"/>
          </w:rPr>
          <w:t>14.1</w:t>
        </w:r>
      </w:hyperlink>
      <w:r>
        <w:t xml:space="preserve">; </w:t>
      </w:r>
      <w:hyperlink r:id="rId18586">
        <w:r>
          <w:rPr>
            <w:color w:val="0000EE"/>
            <w:u w:val="single"/>
          </w:rPr>
          <w:t>19.1</w:t>
        </w:r>
      </w:hyperlink>
      <w:r>
        <w:t xml:space="preserve">) quanto no Novo Testamento (como em </w:t>
      </w:r>
      <w:hyperlink r:id="rId5643">
        <w:r>
          <w:rPr>
            <w:color w:val="0000EE"/>
            <w:u w:val="single"/>
          </w:rPr>
          <w:t>At 14.17</w:t>
        </w:r>
      </w:hyperlink>
      <w:r>
        <w:t xml:space="preserve">; </w:t>
      </w:r>
      <w:hyperlink r:id="rId18587">
        <w:r>
          <w:rPr>
            <w:color w:val="0000EE"/>
            <w:u w:val="single"/>
          </w:rPr>
          <w:t>17.22–29</w:t>
        </w:r>
      </w:hyperlink>
      <w:r>
        <w:t xml:space="preserve">; </w:t>
      </w:r>
      <w:hyperlink r:id="rId18588">
        <w:r>
          <w:rPr>
            <w:color w:val="0000EE"/>
            <w:u w:val="single"/>
          </w:rPr>
          <w:t>Rm 1.19–21</w:t>
        </w:r>
      </w:hyperlink>
      <w:r>
        <w:t>).</w:t>
      </w:r>
    </w:p>
    <w:p>
      <w:r/>
      <w:r>
        <w:t>As pessoas podem reconhecer que Deus existe, que ele é o Criador com grande poder e que governa com justiça. Por essa razão, mesmo quando as pessoas negam a existência de Deus, como fazem os ateus, elas estão lutando contra uma consciência interior sobre Deus. Quando Paulo falou aos atenienses, ele os lembrou de que é em Deus — o único Deus verdadeiro — por quem todas as pessoas vivem, se movem e existem (</w:t>
      </w:r>
      <w:hyperlink r:id="rId2411">
        <w:r>
          <w:rPr>
            <w:color w:val="0000EE"/>
            <w:u w:val="single"/>
          </w:rPr>
          <w:t>At 17.28</w:t>
        </w:r>
      </w:hyperlink>
      <w:r>
        <w:t>). No entanto, conhecer Deus através da natureza não é o fim da revelação. A revelação completa acontece quando as pessoas encontram Deus pessoalmente.</w:t>
      </w:r>
    </w:p>
    <w:p>
      <w:pPr>
        <w:pStyle w:val="Heading3"/>
      </w:pPr>
      <w:r>
        <w:t>Revelação especial</w:t>
      </w:r>
    </w:p>
    <w:p>
      <w:r/>
      <w:r>
        <w:t>Conhecer Deus apenas através da natureza não revela seu propósito amoroso de salvar todas as pessoas. O coração de Deus é gracioso e deseja a salvação de todos. É por isso que Deus escolheu se revelar de uma maneira especial, para que as pessoas pudessem conhecer seus planos. Sem essa revelação especial, as pessoas não entenderiam o plano de Deus para a salvação através de Cristo. Na Bíblia, Deus guiou profetas e apóstolos, enchendo seus corações e mentes para que pudessem transmitir sua mensagem (</w:t>
      </w:r>
      <w:hyperlink r:id="rId17644">
        <w:r>
          <w:rPr>
            <w:color w:val="0000EE"/>
            <w:u w:val="single"/>
          </w:rPr>
          <w:t>Jr 1.4–19</w:t>
        </w:r>
      </w:hyperlink>
      <w:r>
        <w:t xml:space="preserve">; </w:t>
      </w:r>
      <w:hyperlink r:id="rId3779">
        <w:r>
          <w:rPr>
            <w:color w:val="0000EE"/>
            <w:u w:val="single"/>
          </w:rPr>
          <w:t>1Co 2.13</w:t>
        </w:r>
      </w:hyperlink>
      <w:r>
        <w:t xml:space="preserve">; </w:t>
      </w:r>
      <w:hyperlink r:id="rId3559">
        <w:r>
          <w:rPr>
            <w:color w:val="0000EE"/>
            <w:u w:val="single"/>
          </w:rPr>
          <w:t>1Ts 2.13</w:t>
        </w:r>
      </w:hyperlink>
      <w:r>
        <w:t xml:space="preserve">; </w:t>
      </w:r>
      <w:hyperlink r:id="rId18589">
        <w:r>
          <w:rPr>
            <w:color w:val="0000EE"/>
            <w:u w:val="single"/>
          </w:rPr>
          <w:t>2Pe 1.16–21</w:t>
        </w:r>
      </w:hyperlink>
      <w:r>
        <w:t>).</w:t>
      </w:r>
    </w:p>
    <w:p>
      <w:r/>
      <w:r>
        <w:t>O ponto mais alto da revelação de Deus foi quando seu Filho, Jesus Cristo, veio em forma humana (</w:t>
      </w:r>
      <w:hyperlink r:id="rId3564">
        <w:r>
          <w:rPr>
            <w:color w:val="0000EE"/>
            <w:u w:val="single"/>
          </w:rPr>
          <w:t>Jo 1.14–18</w:t>
        </w:r>
      </w:hyperlink>
      <w:r>
        <w:t xml:space="preserve">; </w:t>
      </w:r>
      <w:hyperlink r:id="rId8043">
        <w:r>
          <w:rPr>
            <w:color w:val="0000EE"/>
            <w:u w:val="single"/>
          </w:rPr>
          <w:t>Gl 4.4–5</w:t>
        </w:r>
      </w:hyperlink>
      <w:r>
        <w:t xml:space="preserve">; </w:t>
      </w:r>
      <w:hyperlink r:id="rId18590">
        <w:r>
          <w:rPr>
            <w:color w:val="0000EE"/>
            <w:u w:val="single"/>
          </w:rPr>
          <w:t>Hb 1.1–2</w:t>
        </w:r>
      </w:hyperlink>
      <w:r>
        <w:t>). Jesus revelou Deus, o Pai, de maneira direta e completa, mostrando a vontade amorosa de Deus para todas as pessoas (</w:t>
      </w:r>
      <w:hyperlink r:id="rId18591">
        <w:r>
          <w:rPr>
            <w:color w:val="0000EE"/>
            <w:u w:val="single"/>
          </w:rPr>
          <w:t>Jo 14</w:t>
        </w:r>
      </w:hyperlink>
      <w:r>
        <w:t>).</w:t>
      </w:r>
    </w:p>
    <w:p>
      <w:r/>
      <w:r>
        <w:t>Deus não apenas guiou os corações e mentes de seus profetas e apóstolos para falarem sua palavra; ele também os inspirou a escrever as mensagens, promessas e ensinamentos que queria preservar para sempre. Esses escritos sagrados, reunidos na Bíblia, formam um todo unificado que revela os pensamentos e planos de Deus para a humanidade. Através das Escrituras, os profetas e apóstolos compartilharam não apenas eventos históricos, mas também verdades específicas que Deus queria que as pessoas soubessem. O principal propósito da Bíblia é revelar Cristo, e todas as Escrituras apontam para ele (</w:t>
      </w:r>
      <w:hyperlink r:id="rId14313">
        <w:r>
          <w:rPr>
            <w:color w:val="0000EE"/>
            <w:u w:val="single"/>
          </w:rPr>
          <w:t>Jo 5.39</w:t>
        </w:r>
      </w:hyperlink>
      <w:r>
        <w:t xml:space="preserve">; </w:t>
      </w:r>
      <w:hyperlink r:id="rId3738">
        <w:r>
          <w:rPr>
            <w:color w:val="0000EE"/>
            <w:u w:val="single"/>
          </w:rPr>
          <w:t>10.35</w:t>
        </w:r>
      </w:hyperlink>
      <w:r>
        <w:t xml:space="preserve">; </w:t>
      </w:r>
      <w:hyperlink r:id="rId3205">
        <w:r>
          <w:rPr>
            <w:color w:val="0000EE"/>
            <w:u w:val="single"/>
          </w:rPr>
          <w:t>At 10.43</w:t>
        </w:r>
      </w:hyperlink>
      <w:r>
        <w:t xml:space="preserve">; </w:t>
      </w:r>
      <w:hyperlink r:id="rId18592">
        <w:r>
          <w:rPr>
            <w:color w:val="0000EE"/>
            <w:u w:val="single"/>
          </w:rPr>
          <w:t>18.28</w:t>
        </w:r>
      </w:hyperlink>
      <w:r>
        <w:t xml:space="preserve">; </w:t>
      </w:r>
      <w:hyperlink r:id="rId7276">
        <w:r>
          <w:rPr>
            <w:color w:val="0000EE"/>
            <w:u w:val="single"/>
          </w:rPr>
          <w:t>1Co 15.3</w:t>
        </w:r>
      </w:hyperlink>
      <w:r>
        <w:t>).</w:t>
      </w:r>
    </w:p>
    <w:p>
      <w:r/>
      <w:r>
        <w:rPr>
          <w:i/>
        </w:rPr>
        <w:t>Veja também</w:t>
      </w:r>
      <w:r>
        <w:t xml:space="preserve"> </w:t>
      </w:r>
      <w:r>
        <w:t>Bíblia, Inspiração da</w:t>
      </w:r>
      <w:r>
        <w:t>.</w:t>
      </w:r>
      <w:r/>
      <w:r/>
    </w:p>
    <w:p>
      <w:r/>
    </w:p>
    <w:p>
      <w:pPr>
        <w:pStyle w:val="Heading2"/>
      </w:pPr>
      <w:r>
        <w:t>Riacho do Arabá</w:t>
      </w:r>
      <w:r/>
    </w:p>
    <w:p>
      <w:r/>
      <w:r>
        <w:t>Um riacho (corrente de água) que deságua no Arabá (</w:t>
      </w:r>
      <w:hyperlink r:id="rId10330">
        <w:r>
          <w:rPr>
            <w:color w:val="0000EE"/>
            <w:u w:val="single"/>
          </w:rPr>
          <w:t>Am 6.14</w:t>
        </w:r>
      </w:hyperlink>
      <w:r>
        <w:t>). A localização exata deste riacho não é conhecida.</w:t>
      </w:r>
    </w:p>
    <w:p>
      <w:r/>
      <w:r>
        <w:t>O Arabá é um extenso vale de terra desértica que se estende do Mar da Galileia até o Leste da África. Há um wadi (leito de rio seco que se enche de água durante as chuvas) chamado Arabá ao sul do Mar Morto.</w:t>
      </w:r>
    </w:p>
    <w:p>
      <w:r/>
      <w:r>
        <w:t>Na Bíblia, a palavra Arabá significa "deserto" ou "selvagem". Pode se referir a partes do vale do Jordão (</w:t>
      </w:r>
      <w:hyperlink r:id="rId18593">
        <w:r>
          <w:rPr>
            <w:color w:val="0000EE"/>
            <w:u w:val="single"/>
          </w:rPr>
          <w:t>Dt 4.48–49</w:t>
        </w:r>
      </w:hyperlink>
      <w:r>
        <w:t xml:space="preserve">; </w:t>
      </w:r>
      <w:hyperlink r:id="rId18594">
        <w:r>
          <w:rPr>
            <w:color w:val="0000EE"/>
            <w:u w:val="single"/>
          </w:rPr>
          <w:t>Js 8.14</w:t>
        </w:r>
      </w:hyperlink>
      <w:r>
        <w:t xml:space="preserve">; </w:t>
      </w:r>
      <w:hyperlink r:id="rId2323">
        <w:r>
          <w:rPr>
            <w:color w:val="0000EE"/>
            <w:u w:val="single"/>
          </w:rPr>
          <w:t>2Rs 25.4</w:t>
        </w:r>
      </w:hyperlink>
      <w:r>
        <w:t>). Também pode se referir a partes do mar Morto (</w:t>
      </w:r>
      <w:hyperlink r:id="rId2316">
        <w:r>
          <w:rPr>
            <w:color w:val="0000EE"/>
            <w:u w:val="single"/>
          </w:rPr>
          <w:t>Dt 3.17</w:t>
        </w:r>
      </w:hyperlink>
      <w:r>
        <w:t>).</w:t>
      </w:r>
    </w:p>
    <w:p>
      <w:r/>
      <w:r>
        <w:t>No leito do Arabá, a água flui para o mar Morto a partir de várias nascentes e ribeiros que se formam durante as chuvas.</w:t>
      </w:r>
    </w:p>
    <w:p>
      <w:r/>
      <w:r>
        <w:rPr>
          <w:i/>
        </w:rPr>
        <w:t>Veja também</w:t>
      </w:r>
      <w:r>
        <w:t xml:space="preserve"> </w:t>
      </w:r>
      <w:r>
        <w:t>Arabá</w:t>
      </w:r>
      <w:r>
        <w:t>.</w:t>
      </w:r>
      <w:r/>
      <w:r/>
    </w:p>
    <w:p>
      <w:r/>
    </w:p>
    <w:p>
      <w:pPr>
        <w:pStyle w:val="Heading2"/>
      </w:pPr>
      <w:r>
        <w:t>Ribeirão do Egito</w:t>
      </w:r>
      <w:r/>
    </w:p>
    <w:p>
      <w:r/>
      <w:r>
        <w:t>Fronteira natural entre a área do Deserto de Neguebe em Israel e a Península do Sinai, cerca de 80 quilômetros a sudoeste de Gaza. O Ribeirão do Egito, moderno Wadi el-Arish, flui apenas durante a estação chuvosa (</w:t>
      </w:r>
      <w:hyperlink r:id="rId18595">
        <w:r>
          <w:rPr>
            <w:color w:val="0000EE"/>
            <w:u w:val="single"/>
          </w:rPr>
          <w:t>Nm 34.5</w:t>
        </w:r>
      </w:hyperlink>
      <w:r>
        <w:t xml:space="preserve">; </w:t>
      </w:r>
      <w:hyperlink r:id="rId18596">
        <w:r>
          <w:rPr>
            <w:color w:val="0000EE"/>
            <w:u w:val="single"/>
          </w:rPr>
          <w:t>Js 15.4,47</w:t>
        </w:r>
      </w:hyperlink>
      <w:r>
        <w:t xml:space="preserve">; </w:t>
      </w:r>
      <w:hyperlink r:id="rId9232">
        <w:r>
          <w:rPr>
            <w:color w:val="0000EE"/>
            <w:u w:val="single"/>
          </w:rPr>
          <w:t>1Rs 8.65</w:t>
        </w:r>
      </w:hyperlink>
      <w:r>
        <w:t xml:space="preserve">; </w:t>
      </w:r>
      <w:hyperlink r:id="rId4027">
        <w:r>
          <w:rPr>
            <w:color w:val="0000EE"/>
            <w:u w:val="single"/>
          </w:rPr>
          <w:t>2Rs 24.7</w:t>
        </w:r>
      </w:hyperlink>
      <w:r>
        <w:t xml:space="preserve">; </w:t>
      </w:r>
      <w:hyperlink r:id="rId10329">
        <w:r>
          <w:rPr>
            <w:color w:val="0000EE"/>
            <w:u w:val="single"/>
          </w:rPr>
          <w:t>2Cr 7.8</w:t>
        </w:r>
      </w:hyperlink>
      <w:r>
        <w:t xml:space="preserve">; </w:t>
      </w:r>
      <w:hyperlink r:id="rId18597">
        <w:r>
          <w:rPr>
            <w:color w:val="0000EE"/>
            <w:u w:val="single"/>
          </w:rPr>
          <w:t>Is 27.12</w:t>
        </w:r>
      </w:hyperlink>
      <w:r>
        <w:t xml:space="preserve">; </w:t>
      </w:r>
      <w:hyperlink r:id="rId3967">
        <w:r>
          <w:rPr>
            <w:color w:val="0000EE"/>
            <w:u w:val="single"/>
          </w:rPr>
          <w:t>Ez 47.19</w:t>
        </w:r>
      </w:hyperlink>
      <w:r>
        <w:t xml:space="preserve">; </w:t>
      </w:r>
      <w:hyperlink r:id="rId3968">
        <w:r>
          <w:rPr>
            <w:color w:val="0000EE"/>
            <w:u w:val="single"/>
          </w:rPr>
          <w:t>48.28</w:t>
        </w:r>
      </w:hyperlink>
      <w:r>
        <w:t xml:space="preserve">). Uma palavra hebraica diferente, significando um rio sempre fluente, aparece em </w:t>
      </w:r>
      <w:hyperlink r:id="rId794">
        <w:r>
          <w:rPr>
            <w:color w:val="0000EE"/>
            <w:u w:val="single"/>
          </w:rPr>
          <w:t>Gênesis 15.18</w:t>
        </w:r>
      </w:hyperlink>
      <w:r>
        <w:t>, onde Deus delineou as fronteiras da Terra Prometida ao patriarca Abraão. Essa referência pode ser ao ramo mais oriental do Nilo (o Pelusiac), que deságua no Mar Mediterrâneo perto do moderno Porto Said, e à linha de fortificações antigas que marcam a fronteira do Egito.</w:t>
      </w:r>
      <w:r/>
      <w:r/>
    </w:p>
    <w:p>
      <w:r/>
    </w:p>
    <w:p>
      <w:pPr>
        <w:pStyle w:val="Heading2"/>
      </w:pPr>
      <w:r>
        <w:t>Ribla</w:t>
      </w:r>
      <w:r/>
    </w:p>
    <w:p>
      <w:r/>
      <w:r>
        <w:t>1. Cidade ao longo do Rio Orontes, localizada a cerca de 56 quilômetros a nordeste de Baalbek, identificada com a moderna Ribleh, na Síria. Ribla estava bem situada topograficamente para operações militares, especialmente quando as grandes potências do Egito e da Mesopotâmia cruzavam a parte norte do Crescente Fértil. Os egípcios são mencionados nas Escrituras como o primeiro povo a perturbar esta cidade. Após a morte do rei Josias em sua batalha com o faraó egípcio Neco, Joacaz foi feito rei. Neco não aprovou a eleição. Assim, o faraó prendeu Joacaz em Ribla e fez Eliaquim (Jeoaquim), irmão de Joacaz, rei de Judá (</w:t>
      </w:r>
      <w:hyperlink r:id="rId10925">
        <w:r>
          <w:rPr>
            <w:color w:val="0000EE"/>
            <w:u w:val="single"/>
          </w:rPr>
          <w:t>2Rs 23.33</w:t>
        </w:r>
      </w:hyperlink>
      <w:r>
        <w:t>).</w:t>
      </w:r>
    </w:p>
    <w:p>
      <w:r/>
      <w:r>
        <w:t>Após a derrota de Neco em Carquemis em 605 a.C., Nabucodonosor da Babilônia assumiu o controle da área, estabelecendo Ribla como seu quartel-general para seus domínios no sul da Síria e Palestina. Quando Zedequias, rei de Judá, se opôs a Nabucodonosor, os babilônios o capturaram e o prenderam em Ribla (</w:t>
      </w:r>
      <w:hyperlink r:id="rId18598">
        <w:r>
          <w:rPr>
            <w:color w:val="0000EE"/>
            <w:u w:val="single"/>
          </w:rPr>
          <w:t>2Rs 25.6</w:t>
        </w:r>
      </w:hyperlink>
      <w:r>
        <w:t xml:space="preserve">; </w:t>
      </w:r>
      <w:hyperlink r:id="rId18599">
        <w:r>
          <w:rPr>
            <w:color w:val="0000EE"/>
            <w:u w:val="single"/>
          </w:rPr>
          <w:t>Jr 39.5–6</w:t>
        </w:r>
      </w:hyperlink>
      <w:r>
        <w:t xml:space="preserve">; </w:t>
      </w:r>
      <w:hyperlink r:id="rId18600">
        <w:r>
          <w:rPr>
            <w:color w:val="0000EE"/>
            <w:u w:val="single"/>
          </w:rPr>
          <w:t>52.9–10</w:t>
        </w:r>
      </w:hyperlink>
      <w:r>
        <w:t>). Consequentemente, muitos dos filhos de Zedequias foram mortos em Ribla, e Zedequias foi amarrado e levado para Babilônia (</w:t>
      </w:r>
      <w:hyperlink r:id="rId18601">
        <w:r>
          <w:rPr>
            <w:color w:val="0000EE"/>
            <w:u w:val="single"/>
          </w:rPr>
          <w:t>2Rs 25.20–21</w:t>
        </w:r>
      </w:hyperlink>
      <w:r>
        <w:t xml:space="preserve">; </w:t>
      </w:r>
      <w:hyperlink r:id="rId18602">
        <w:r>
          <w:rPr>
            <w:color w:val="0000EE"/>
            <w:u w:val="single"/>
          </w:rPr>
          <w:t>Jr 52.26–27</w:t>
        </w:r>
      </w:hyperlink>
      <w:r>
        <w:t>).</w:t>
      </w:r>
    </w:p>
    <w:p>
      <w:r/>
      <w:r>
        <w:t xml:space="preserve">Em </w:t>
      </w:r>
      <w:hyperlink r:id="rId7130">
        <w:r>
          <w:rPr>
            <w:color w:val="0000EE"/>
            <w:u w:val="single"/>
          </w:rPr>
          <w:t>Ezequiel 6.14</w:t>
        </w:r>
      </w:hyperlink>
      <w:r>
        <w:t>, Ribla também é chamada de Dibla nas versões ACF, NVI e BKJ.</w:t>
      </w:r>
    </w:p>
    <w:p>
      <w:r/>
      <w:r>
        <w:t>2. Parte da cidade que define a fronteira oriental de Israel, localizada a leste de Aim (</w:t>
      </w:r>
      <w:hyperlink r:id="rId639">
        <w:r>
          <w:rPr>
            <w:color w:val="0000EE"/>
            <w:u w:val="single"/>
          </w:rPr>
          <w:t>Nm 34.11</w:t>
        </w:r>
      </w:hyperlink>
      <w:r>
        <w:t>). Sua localização exata é desconhecida, embora provavelmente não seja identificável com a mencionada no item 1 acima.</w:t>
      </w:r>
      <w:r/>
      <w:r/>
    </w:p>
    <w:p>
      <w:r/>
    </w:p>
    <w:p>
      <w:pPr>
        <w:pStyle w:val="Heading2"/>
      </w:pPr>
      <w:r>
        <w:t>Rifate</w:t>
      </w:r>
      <w:r/>
    </w:p>
    <w:p>
      <w:r/>
      <w:r>
        <w:t>Filho de Gômer e irmão de Asquenaz e Togarma, descendentes não semitas de Noé através da linhagem de Jafé (</w:t>
      </w:r>
      <w:hyperlink r:id="rId10075">
        <w:r>
          <w:rPr>
            <w:color w:val="0000EE"/>
            <w:u w:val="single"/>
          </w:rPr>
          <w:t>Gn 10.3</w:t>
        </w:r>
      </w:hyperlink>
      <w:r>
        <w:t xml:space="preserve">). </w:t>
      </w:r>
      <w:hyperlink r:id="rId2758">
        <w:r>
          <w:rPr>
            <w:color w:val="0000EE"/>
            <w:u w:val="single"/>
          </w:rPr>
          <w:t>1 Crônicas 1.6</w:t>
        </w:r>
      </w:hyperlink>
      <w:r>
        <w:t>, uma passagem paralela, menciona "Difate" em vez de Rifate, sem dúvida um erro de cópia posterior que nunca foi corrigido.</w:t>
      </w:r>
      <w:r/>
      <w:r/>
    </w:p>
    <w:p>
      <w:r/>
    </w:p>
    <w:p>
      <w:pPr>
        <w:pStyle w:val="Heading2"/>
      </w:pPr>
      <w:r>
        <w:t>Rim</w:t>
      </w:r>
      <w:r/>
    </w:p>
    <w:p>
      <w:r/>
      <w:r>
        <w:t>Um rim é um órgão interno do corpo. Na Bíblia, os rins possuíam tanto um significado físico quanto espiritual.</w:t>
      </w:r>
    </w:p>
    <w:p>
      <w:r/>
      <w:r>
        <w:t>Na antiga Israel, Deus ordenou que os rins dos animais sacrificiais, junto com sua gordura, fossem queimados como ofertas no altar (</w:t>
      </w:r>
      <w:hyperlink r:id="rId18603">
        <w:r>
          <w:rPr>
            <w:color w:val="0000EE"/>
            <w:u w:val="single"/>
          </w:rPr>
          <w:t>Êx 29.13</w:t>
        </w:r>
      </w:hyperlink>
      <w:r>
        <w:t xml:space="preserve">; </w:t>
      </w:r>
      <w:hyperlink r:id="rId18604">
        <w:r>
          <w:rPr>
            <w:color w:val="0000EE"/>
            <w:u w:val="single"/>
          </w:rPr>
          <w:t>Lv 3.4–15</w:t>
        </w:r>
      </w:hyperlink>
      <w:r>
        <w:t>). Isso fazia parte das instruções de Deus sobre quais partes dos animais podiam e não podiam ser consumidas. Os israelitas não tinham permissão para comer sangue, e os rins simbolizavam essa restrição.</w:t>
      </w:r>
    </w:p>
    <w:p>
      <w:r/>
      <w:r>
        <w:t>A Bíblia também usa os rins como um símbolo para os pensamentos e sentimentos mais profundos de uma pessoa. Os escritores hebreus frequentemente mencionavam os rins junto com o coração e a alma para descrever o eu interior ou o verdadeiro caráter de alguém (</w:t>
      </w:r>
      <w:hyperlink r:id="rId18605">
        <w:r>
          <w:rPr>
            <w:color w:val="0000EE"/>
            <w:u w:val="single"/>
          </w:rPr>
          <w:t>Sl 73.21</w:t>
        </w:r>
      </w:hyperlink>
      <w:r>
        <w:t>). Eles acreditavam que os rins eram o lugar onde as pessoas faziam escolhas morais e refletiam profundamente sobre a vida (</w:t>
      </w:r>
      <w:hyperlink r:id="rId18606">
        <w:r>
          <w:rPr>
            <w:color w:val="0000EE"/>
            <w:u w:val="single"/>
          </w:rPr>
          <w:t>Sl 16.7</w:t>
        </w:r>
      </w:hyperlink>
      <w:r>
        <w:t xml:space="preserve">; </w:t>
      </w:r>
      <w:hyperlink r:id="rId18607">
        <w:r>
          <w:rPr>
            <w:color w:val="0000EE"/>
            <w:u w:val="single"/>
          </w:rPr>
          <w:t>Jr 12.2</w:t>
        </w:r>
      </w:hyperlink>
      <w:r>
        <w:t>). A palavra hebraica para rins é frequentemente traduzida como "coração".</w:t>
      </w:r>
    </w:p>
    <w:p>
      <w:r/>
      <w:r>
        <w:t xml:space="preserve">No Antigo Testamento, Deus conhece os pensamentos mais profundos de todos (p. ex. </w:t>
      </w:r>
      <w:hyperlink r:id="rId18531">
        <w:r>
          <w:rPr>
            <w:color w:val="0000EE"/>
            <w:u w:val="single"/>
          </w:rPr>
          <w:t>Sl 7.9</w:t>
        </w:r>
      </w:hyperlink>
      <w:r>
        <w:t xml:space="preserve">; </w:t>
      </w:r>
      <w:hyperlink r:id="rId18608">
        <w:r>
          <w:rPr>
            <w:color w:val="0000EE"/>
            <w:u w:val="single"/>
          </w:rPr>
          <w:t>26.2</w:t>
        </w:r>
      </w:hyperlink>
      <w:r>
        <w:t xml:space="preserve">; </w:t>
      </w:r>
      <w:hyperlink r:id="rId18609">
        <w:r>
          <w:rPr>
            <w:color w:val="0000EE"/>
            <w:u w:val="single"/>
          </w:rPr>
          <w:t>Jr 20.12</w:t>
        </w:r>
      </w:hyperlink>
      <w:r>
        <w:t>). Assim, Jesus foi identificado no livro de Apocalipse como "Aquele que sonda mentes e corações" (</w:t>
      </w:r>
      <w:hyperlink r:id="rId2057">
        <w:r>
          <w:rPr>
            <w:color w:val="0000EE"/>
            <w:u w:val="single"/>
          </w:rPr>
          <w:t>Ap 2.23</w:t>
        </w:r>
      </w:hyperlink>
      <w:r>
        <w:t>). Isso identifica Jesus indiretamente, mas claramente, com Deus. Esta é a única referência aos rins no Novo Testamento.</w:t>
      </w:r>
      <w:r/>
      <w:r/>
    </w:p>
    <w:p>
      <w:r/>
    </w:p>
    <w:p>
      <w:pPr>
        <w:pStyle w:val="Heading2"/>
      </w:pPr>
      <w:r>
        <w:t>Rimom-Perez</w:t>
      </w:r>
      <w:r/>
    </w:p>
    <w:p>
      <w:r/>
      <w:r>
        <w:t>Um local de acampamento temporário dos israelitas durante suas peregrinações no deserto. Ficava entre Ritma e Libna (</w:t>
      </w:r>
      <w:hyperlink r:id="rId18610">
        <w:r>
          <w:rPr>
            <w:color w:val="0000EE"/>
            <w:u w:val="single"/>
          </w:rPr>
          <w:t>Nm 33.19–20</w:t>
        </w:r>
      </w:hyperlink>
      <w:r>
        <w:t>).</w:t>
      </w:r>
    </w:p>
    <w:p>
      <w:r/>
      <w:r>
        <w:rPr>
          <w:i/>
        </w:rPr>
        <w:t>Veja</w:t>
      </w:r>
      <w:r>
        <w:t xml:space="preserve"> </w:t>
      </w:r>
      <w:r>
        <w:t>Peregrinações no deserto</w:t>
      </w:r>
      <w:r>
        <w:t>.</w:t>
      </w:r>
      <w:r/>
      <w:r/>
    </w:p>
    <w:p>
      <w:r/>
    </w:p>
    <w:p>
      <w:pPr>
        <w:pStyle w:val="Heading2"/>
      </w:pPr>
      <w:r>
        <w:t>Rio do Egito</w:t>
      </w:r>
      <w:r/>
    </w:p>
    <w:p>
      <w:r/>
      <w:r>
        <w:t xml:space="preserve">1. Nome alternativo para a fronteira do Egito (possivelmente o Rio Nilo) em </w:t>
      </w:r>
      <w:hyperlink r:id="rId794">
        <w:r>
          <w:rPr>
            <w:color w:val="0000EE"/>
            <w:u w:val="single"/>
          </w:rPr>
          <w:t>Gênesis 15.18</w:t>
        </w:r>
      </w:hyperlink>
      <w:r>
        <w:t>.</w:t>
      </w:r>
    </w:p>
    <w:p>
      <w:r/>
      <w:r>
        <w:t xml:space="preserve">2. Nome alternativo para o ribeiro do Egito. </w:t>
      </w:r>
      <w:r>
        <w:rPr>
          <w:i/>
        </w:rPr>
        <w:t>Veja</w:t>
      </w:r>
      <w:r>
        <w:t xml:space="preserve"> </w:t>
      </w:r>
      <w:r>
        <w:t>Ribeiro do Egito</w:t>
      </w:r>
      <w:r>
        <w:t>.</w:t>
      </w:r>
      <w:r/>
      <w:r/>
    </w:p>
    <w:p>
      <w:r/>
    </w:p>
    <w:p>
      <w:pPr>
        <w:pStyle w:val="Heading2"/>
      </w:pPr>
      <w:r>
        <w:t>RIO EUFRATES</w:t>
      </w:r>
      <w:r/>
    </w:p>
    <w:p>
      <w:r/>
      <w:r>
        <w:t>Maior rio da Ásia ocidental, formado pela união de dois rios na Ásia Menor, o Kara-Su e o Murat-Suyu. Sua nascente está no centro da Armênia. O rio flui geralmente em direção sudeste por cerca de 1.800 milhas (2.896,2 quilômetros) até alcançar o Golfo Pérsico. Em Korna, cerca de 100 milhas (160,9 quilômetros) do golfo, junta-se com o Rio Tigre. O Eufrates é raso até se combinar com o Tigre e pode ser navegado por cerca de 1.200 milhas (1.930,8 quilômetros) apenas por pequenos barcos. Após a união do Tigre e Eufrates, navios oceânicos podem prosseguir até Basra. O derretimento das neves na nascente faz o rio subir de cerca de meados de março até cerca de junho. O controle e armazenamento de água nos Canais de inundação durante o transbordamento do rio possibilitaram colheitas abundantes que sustentaram grandes populações na antiguidade.</w:t>
      </w:r>
    </w:p>
    <w:p>
      <w:r/>
      <w:r>
        <w:t>O Eufrates era um dos quatro ramos que saíam do rio que regava o Jardim do Éden (</w:t>
      </w:r>
      <w:hyperlink r:id="rId2772">
        <w:r>
          <w:rPr>
            <w:color w:val="0000EE"/>
            <w:u w:val="single"/>
          </w:rPr>
          <w:t>Gênesis 2.14</w:t>
        </w:r>
      </w:hyperlink>
      <w:r>
        <w:t>). Nas promessas feitas a Abraão, o limite norte da terra de Israel seria a divisão superior do rio (</w:t>
      </w:r>
      <w:hyperlink r:id="rId794">
        <w:r>
          <w:rPr>
            <w:color w:val="0000EE"/>
            <w:u w:val="single"/>
          </w:rPr>
          <w:t>Gênesis 15.18</w:t>
        </w:r>
      </w:hyperlink>
      <w:r>
        <w:t xml:space="preserve">; </w:t>
      </w:r>
      <w:hyperlink r:id="rId1216">
        <w:r>
          <w:rPr>
            <w:color w:val="0000EE"/>
            <w:u w:val="single"/>
          </w:rPr>
          <w:t>Deuteronômio 1.7</w:t>
        </w:r>
      </w:hyperlink>
      <w:r>
        <w:t xml:space="preserve">; </w:t>
      </w:r>
      <w:hyperlink r:id="rId18611">
        <w:r>
          <w:rPr>
            <w:color w:val="0000EE"/>
            <w:u w:val="single"/>
          </w:rPr>
          <w:t>11.24</w:t>
        </w:r>
      </w:hyperlink>
      <w:r>
        <w:t>). Esses limites foram aproximadamente alcançados durante o período dos reis Davi e Salomão (</w:t>
      </w:r>
      <w:hyperlink r:id="rId2420">
        <w:r>
          <w:rPr>
            <w:color w:val="0000EE"/>
            <w:u w:val="single"/>
          </w:rPr>
          <w:t>2 Samul 8.3</w:t>
        </w:r>
      </w:hyperlink>
      <w:r>
        <w:t xml:space="preserve">; </w:t>
      </w:r>
      <w:hyperlink r:id="rId15226">
        <w:r>
          <w:rPr>
            <w:color w:val="0000EE"/>
            <w:u w:val="single"/>
          </w:rPr>
          <w:t>10.16</w:t>
        </w:r>
      </w:hyperlink>
      <w:r>
        <w:t xml:space="preserve">; </w:t>
      </w:r>
      <w:hyperlink r:id="rId9778">
        <w:r>
          <w:rPr>
            <w:color w:val="0000EE"/>
            <w:u w:val="single"/>
          </w:rPr>
          <w:t>1 Reis 4.24</w:t>
        </w:r>
      </w:hyperlink>
      <w:r>
        <w:t>). O Eufrates é chamado de “o rio” (</w:t>
      </w:r>
      <w:hyperlink r:id="rId1059">
        <w:r>
          <w:rPr>
            <w:color w:val="0000EE"/>
            <w:u w:val="single"/>
          </w:rPr>
          <w:t>Números 22.5</w:t>
        </w:r>
      </w:hyperlink>
      <w:r>
        <w:t xml:space="preserve">; </w:t>
      </w:r>
      <w:hyperlink r:id="rId18611">
        <w:r>
          <w:rPr>
            <w:color w:val="0000EE"/>
            <w:u w:val="single"/>
          </w:rPr>
          <w:t>Deuteronômio 11.24</w:t>
        </w:r>
      </w:hyperlink>
      <w:r>
        <w:t xml:space="preserve">; </w:t>
      </w:r>
      <w:hyperlink r:id="rId18612">
        <w:r>
          <w:rPr>
            <w:color w:val="0000EE"/>
            <w:u w:val="single"/>
          </w:rPr>
          <w:t>Josué 24.3,14</w:t>
        </w:r>
      </w:hyperlink>
      <w:r>
        <w:t>) ou “o Grande rio” (</w:t>
      </w:r>
      <w:hyperlink r:id="rId12137">
        <w:r>
          <w:rPr>
            <w:color w:val="0000EE"/>
            <w:u w:val="single"/>
          </w:rPr>
          <w:t>Josué 1.4</w:t>
        </w:r>
      </w:hyperlink>
      <w:r>
        <w:t>). As pessoas que viviam a leste do Eufrates referiam-se a Israel e seus territórios circundantes a oeste como “além do rio” (</w:t>
      </w:r>
      <w:hyperlink r:id="rId18613">
        <w:r>
          <w:rPr>
            <w:color w:val="0000EE"/>
            <w:u w:val="single"/>
          </w:rPr>
          <w:t>Esdras 4.10</w:t>
        </w:r>
      </w:hyperlink>
      <w:r>
        <w:t xml:space="preserve">; </w:t>
      </w:r>
      <w:hyperlink r:id="rId18614">
        <w:r>
          <w:rPr>
            <w:color w:val="0000EE"/>
            <w:u w:val="single"/>
          </w:rPr>
          <w:t>Neemias 2.7–9</w:t>
        </w:r>
      </w:hyperlink>
      <w:r>
        <w:t>). Foi a este rio que Jeremias enviou Seraías com um livro de profecias relacionadas à destruição de Babilônia. Após lê-las, Seraías foi instruído a jogar o livro no Eufrates como um símbolo de como Babilônia afundaria para não mais se levantar (</w:t>
      </w:r>
      <w:hyperlink r:id="rId18615">
        <w:r>
          <w:rPr>
            <w:color w:val="0000EE"/>
            <w:u w:val="single"/>
          </w:rPr>
          <w:t>Jeremias 51.63</w:t>
        </w:r>
      </w:hyperlink>
      <w:r>
        <w:t>).</w:t>
      </w:r>
    </w:p>
    <w:p>
      <w:r/>
      <w:r>
        <w:t>Duas referências no NT ao Eufrates aparecem no livro de Apocalipse (</w:t>
      </w:r>
      <w:hyperlink r:id="rId18616">
        <w:r>
          <w:rPr>
            <w:color w:val="0000EE"/>
            <w:u w:val="single"/>
          </w:rPr>
          <w:t>Apocalipse 9.14</w:t>
        </w:r>
      </w:hyperlink>
      <w:r>
        <w:t xml:space="preserve">; </w:t>
      </w:r>
      <w:hyperlink r:id="rId18617">
        <w:r>
          <w:rPr>
            <w:color w:val="0000EE"/>
            <w:u w:val="single"/>
          </w:rPr>
          <w:t>16.12</w:t>
        </w:r>
      </w:hyperlink>
      <w:r>
        <w:t>).</w:t>
      </w:r>
    </w:p>
    <w:p>
      <w:r/>
      <w:r>
        <w:rPr>
          <w:i/>
        </w:rPr>
        <w:t>Veja também</w:t>
      </w:r>
      <w:r>
        <w:t xml:space="preserve"> </w:t>
      </w:r>
      <w:r>
        <w:t>Babilônia, Babilônia</w:t>
      </w:r>
      <w:r>
        <w:t xml:space="preserve">; </w:t>
      </w:r>
      <w:r>
        <w:t>Mesopotâmia</w:t>
      </w:r>
      <w:r>
        <w:t>.</w:t>
      </w:r>
      <w:r/>
      <w:r/>
    </w:p>
    <w:p>
      <w:r/>
    </w:p>
    <w:p>
      <w:pPr>
        <w:pStyle w:val="Heading2"/>
      </w:pPr>
      <w:r>
        <w:t>Rio Nilo</w:t>
      </w:r>
      <w:r/>
    </w:p>
    <w:p>
      <w:r/>
      <w:r>
        <w:t>Rio que dá vida ao Egito no nordeste da África. Talvez nenhum outro rio tenha sido tão vital para a história da nação por onde ele flui. Com um comprimento estimado em cerca de 6.693,4 quilômetros, o Nilo é o rio mais longo do mundo, embora seu sistema de drenagem seja classificado em terceiro lugar (outras fontes dizem sexto lugar) em área (quase 3,4 milhões de quilômetros quadrados).</w:t>
      </w:r>
    </w:p>
    <w:p>
      <w:r/>
      <w:r>
        <w:t>A origem e o significado do nome "Nilo" são desconhecidos. Para os antigos egípcios, o Nilo era simplesmente "o rio". Os egípcios achavam difícil conceber qualquer rio diferente do Nilo, então, quando chegaram ao Eufrates, assumiram que ele corria ao contrário, já que fluía para o sul, enquanto o Nilo flui para o norte.</w:t>
      </w:r>
    </w:p>
    <w:p>
      <w:pPr>
        <w:pStyle w:val="Heading3"/>
      </w:pPr>
      <w:r>
        <w:t>Características inusitadas</w:t>
      </w:r>
    </w:p>
    <w:p>
      <w:r/>
      <w:r>
        <w:t>Entre as características que distinguem o Nilo estão suas seis cataratas, áreas onde o rio não conseguiu erodir um canal claro através de duras formações rochosas. Elas são numeradas de norte a sul, na ordem de sua descoberta por exploradores modernos. A primeira catarata está em Aswan, no Egito, perto das famosas ilhas de Elefantina e Philae. As outras cinco cataratas estão no Sudão, com a segunda logo acima da cidade de Wadi Halfa.</w:t>
      </w:r>
    </w:p>
    <w:p>
      <w:r/>
      <w:r>
        <w:t>Outra característica distintiva do Nilo é que ele flui de sul para norte. Isso era importante para o transporte fluvial egípcio, pois as embarcações à vela podiam aproveitar o vento norte predominante para subir o rio, enquanto a corrente impulsionava os viajantes rio abaixo.</w:t>
      </w:r>
    </w:p>
    <w:p>
      <w:r/>
      <w:r>
        <w:t>O Rio Nilo determinava as três estações de aproximadamente quatro meses cada: (1) inundação (meados de julho a meados de novembro); (2) inverno (meados de novembro a meados de março); (3) verão (meados de março a meados de julho).</w:t>
      </w:r>
    </w:p>
    <w:p>
      <w:r/>
      <w:r>
        <w:t>A inundação atingia seu pico no final de outubro, amolecendo o solo das terras agrícolas para o plantio.</w:t>
      </w:r>
    </w:p>
    <w:p>
      <w:pPr>
        <w:pStyle w:val="Heading3"/>
      </w:pPr>
      <w:r>
        <w:t>Curso e afluentes</w:t>
      </w:r>
    </w:p>
    <w:p>
      <w:r/>
      <w:r>
        <w:t>O Nilo tem dois principais afluentes, nomeados por suas respectivas cores: o Nilo Branco e o Nilo Azul. Esses afluentes existem devido às chuvas anuais na África equatorial.</w:t>
      </w:r>
    </w:p>
    <w:p>
      <w:r/>
      <w:r>
        <w:t>O Nilo Branco tem sua origem na região dos lagos. O lago Vitória é geralmente considerado sua fonte, mas alguns geógrafos identificam a fonte como um pequeno riacho que deságua no lago. A única saída do lago Vitória é o Nilo Vitória, localizado a nordeste do lago, nas cataratas de Ripon.</w:t>
      </w:r>
    </w:p>
    <w:p>
      <w:r/>
      <w:r>
        <w:t>A confluência mais importante do rio é em Cartum, onde o Nilo Azul e o Nilo Branco se encontram. Neste ponto, muitas vezes é possível ver claramente a diferença de cor nas águas dos dois rios.</w:t>
      </w:r>
    </w:p>
    <w:p>
      <w:r/>
      <w:r>
        <w:t>O Nilo Azul, com cerca de 1.367,7 quilômetros de comprimento, origina-se no lago Tana, nas terras altas da Etiópia. Com um curso de água muito mais íngreme do que o Nilo Branco, ele também depende da estação chuvosa nas terras altas. O Nilo Branco começa sua inundação primeiro, mas quando a torrente do Nilo Azul começa, ele contém as águas do Nilo Branco. Durante a estação das cheias, o Nilo Azul tem o dobro do volume do Nilo Branco e fornece a maior parte do aluvião que formou o solo do Egito.</w:t>
      </w:r>
    </w:p>
    <w:p>
      <w:r/>
      <w:r>
        <w:t>Ao norte de Cartum está a sexta catarata, a primeira das barreiras naturais. O Atbara, o último afluente do Nilo, entra pelo leste. Na quarta catarata, perto de Napata, há um grupo de cemitérios e ruínas associados à dinastia etíope ou cuxita (25ª) do Egito. Mais abaixo está o importante sítio arqueológico de Kerma, onde os egípcios mantinham um posto comercial durante o Médio Império.</w:t>
      </w:r>
    </w:p>
    <w:p>
      <w:r/>
      <w:r>
        <w:t>A jusante da segunda catarata está o célebre templo de Abu Simbel, obra de Ramsés II, com o menor templo em homenagem a Nefertari, sua esposa. Esses templos foram movidos para o penhasco acima de sua posição original antes que o Lago Nasser inundasse o local.</w:t>
      </w:r>
    </w:p>
    <w:p>
      <w:r/>
      <w:r>
        <w:t>Logo acima de Aswan e da primeira catarata está a nova Grande Barragem e a antiga barragem de Aswan. Entre as duas barragens está a ilha de Philae, com seus templos bem conhecidos. A uma curta distância acima do delta fica Cairo e as pirâmides de Gizé, e mais ao sul estão as ruínas de Mênfis, a primeira capital do Egito.</w:t>
      </w:r>
    </w:p>
    <w:p>
      <w:r/>
      <w:r>
        <w:t>O delta mede cerca de 201,1 por 185,0 quilômetros. Sete antigos cursos do Nilo chegavam ao mar, mas atualmente há apenas dois: o Rosetta a oeste, que deu nome à pedra de Rosetta, e o Damietta a leste.</w:t>
      </w:r>
    </w:p>
    <w:p>
      <w:pPr>
        <w:pStyle w:val="Heading3"/>
      </w:pPr>
      <w:r>
        <w:t>Importância para o Egito</w:t>
      </w:r>
    </w:p>
    <w:p>
      <w:r/>
      <w:r>
        <w:t>Sem a água do rio, a vida seria impossível no nordeste da África, e as civilizações do Egito não poderiam ter surgido. Os escritores gregos, primeiro Hecateu e depois Heródoto, comentaram que o Egito é um presente do Nilo. O solo fértil do Egito, que produziu colheitas tão abundantes por tanto tempo, é o aluvião depositado pelo rio ao longo dos séculos. O rio não era apenas a fonte do próprio solo, mas com a inundação anual, o Nilo fertilizava a terra trazendo novo aluvião e depositando materiais orgânicos. Ao mesmo tempo, a inundação encharcava completamente o solo, permitindo produzir boas colheitas com um mínimo de esforço na irrigação.</w:t>
      </w:r>
    </w:p>
    <w:p>
      <w:r/>
      <w:r>
        <w:t xml:space="preserve">O Nilo também atendia a muitas necessidades pessoais das pessoas, fornecendo água potável e um local para lavar tanto as pessoas quanto suas roupas. Nos tempos antigos, até mesmo membros da família real vinham ao rio para se banhar (veja </w:t>
      </w:r>
      <w:hyperlink r:id="rId3016">
        <w:r>
          <w:rPr>
            <w:color w:val="0000EE"/>
            <w:u w:val="single"/>
          </w:rPr>
          <w:t>Êx 2.5</w:t>
        </w:r>
      </w:hyperlink>
      <w:r>
        <w:t xml:space="preserve">; </w:t>
      </w:r>
      <w:hyperlink r:id="rId18618">
        <w:r>
          <w:rPr>
            <w:color w:val="0000EE"/>
            <w:u w:val="single"/>
          </w:rPr>
          <w:t>8.20</w:t>
        </w:r>
      </w:hyperlink>
      <w:r>
        <w:t>).</w:t>
      </w:r>
    </w:p>
    <w:p>
      <w:r/>
      <w:r>
        <w:t>O Nilo estava repleto de peixes e aves aquáticas, e a pesca esportiva (principalmente a pesca com lança) e a caça de aves aquáticas eram passatempos tradicionais das classes altas. Peixes e aves também eram alimentos comuns, especialmente para os ricos. Um esporte mais perigoso, no qual os nobres tradicionalmente se envolviam, era a caça de hipopótamos com arpões em embarcações de junco.</w:t>
      </w:r>
    </w:p>
    <w:p>
      <w:r/>
      <w:r>
        <w:t>O Nilo era o principal meio de comunicação, com barcos navegando para cima e para baixo em seus canais. Barcos fluviais de grande porte transportavam mercadorias de uma extremidade à outra. A construção de templos, palácios e tumbas por toda a terra exigia o transporte de granito por centenas de milhas ao longo do rio.</w:t>
      </w:r>
    </w:p>
    <w:p>
      <w:r/>
      <w:r>
        <w:t>O rio também era uma característica da vida religiosa dos egípcios. O rio foi deificado na forma do deus Hapi, um homem que é representado nas várias formas de arte como tendo seios pendentes e um corpo um tanto corpulento, provavelmente para simbolizar uma abundância luxuriante, juntamente com os peixes e a vegetação do rio.</w:t>
      </w:r>
    </w:p>
    <w:p>
      <w:pPr>
        <w:pStyle w:val="Heading3"/>
      </w:pPr>
      <w:r>
        <w:t>O Nilo e a Bíblia</w:t>
      </w:r>
    </w:p>
    <w:p>
      <w:r/>
      <w:r>
        <w:t>As referências bíblicas ao rio Nilo são naturalmente encontradas nas partes da Bíblia que se relacionam diretamente com o Egito, o que significa que muitas ocorrem na narrativa de José na última parte de Gênesis e no relato da escravidão israelita no Egito e no subsequente êxodo nos primeiros capítulos de Êxodo.</w:t>
      </w:r>
    </w:p>
    <w:p>
      <w:r/>
      <w:r>
        <w:t>A primeira referência ao Nilo aparece no sonho misterioso do Faraó (</w:t>
      </w:r>
      <w:hyperlink r:id="rId14812">
        <w:r>
          <w:rPr>
            <w:color w:val="0000EE"/>
            <w:u w:val="single"/>
          </w:rPr>
          <w:t>Gn 41</w:t>
        </w:r>
      </w:hyperlink>
      <w:r>
        <w:t xml:space="preserve">). Em seu sonho, o rei estava na margem do rio e viu sete vacas bem alimentadas, seguidas por sete vacas magras, que saíram do rio e devoraram o gado gordo (cf. </w:t>
      </w:r>
      <w:hyperlink r:id="rId18619">
        <w:r>
          <w:rPr>
            <w:color w:val="0000EE"/>
            <w:u w:val="single"/>
          </w:rPr>
          <w:t>41.1–4,17–21</w:t>
        </w:r>
      </w:hyperlink>
      <w:r>
        <w:t>). Isso está de acordo com as práticas de pastoreio do antigo Egito e coincide com a representação de gado nos monumentos funerários.</w:t>
      </w:r>
    </w:p>
    <w:p>
      <w:r/>
      <w:r>
        <w:t>Durante a estadia no Egito, quando os israelitas se multiplicaram e se tornaram uma possível ameaça à segurança egípcia, o Faraó decretou que todo menino israelita deveria ser lançado no rio ao nascer (</w:t>
      </w:r>
      <w:hyperlink r:id="rId14566">
        <w:r>
          <w:rPr>
            <w:color w:val="0000EE"/>
            <w:u w:val="single"/>
          </w:rPr>
          <w:t>Êx 1.22</w:t>
        </w:r>
      </w:hyperlink>
      <w:r>
        <w:t>). Isso levou aos eventos que marcaram a vida inicial de Moisés.</w:t>
      </w:r>
    </w:p>
    <w:p>
      <w:r/>
      <w:r>
        <w:t>Moisés declarou os julgamentos do Senhor no rio (</w:t>
      </w:r>
      <w:hyperlink r:id="rId18620">
        <w:r>
          <w:rPr>
            <w:color w:val="0000EE"/>
            <w:u w:val="single"/>
          </w:rPr>
          <w:t>7.15</w:t>
        </w:r>
      </w:hyperlink>
      <w:r>
        <w:t xml:space="preserve">; </w:t>
      </w:r>
      <w:hyperlink r:id="rId18618">
        <w:r>
          <w:rPr>
            <w:color w:val="0000EE"/>
            <w:u w:val="single"/>
          </w:rPr>
          <w:t>8.20</w:t>
        </w:r>
      </w:hyperlink>
      <w:r>
        <w:t>). A primeira praga, a transformação da água em sangue (</w:t>
      </w:r>
      <w:hyperlink r:id="rId18621">
        <w:r>
          <w:rPr>
            <w:color w:val="0000EE"/>
            <w:u w:val="single"/>
          </w:rPr>
          <w:t>7.15–24</w:t>
        </w:r>
      </w:hyperlink>
      <w:r>
        <w:t xml:space="preserve">; </w:t>
      </w:r>
      <w:hyperlink r:id="rId18622">
        <w:r>
          <w:rPr>
            <w:color w:val="0000EE"/>
            <w:u w:val="single"/>
          </w:rPr>
          <w:t>17.5</w:t>
        </w:r>
      </w:hyperlink>
      <w:r>
        <w:t xml:space="preserve">; </w:t>
      </w:r>
      <w:hyperlink r:id="rId18623">
        <w:r>
          <w:rPr>
            <w:color w:val="0000EE"/>
            <w:u w:val="single"/>
          </w:rPr>
          <w:t>Sl 78.44</w:t>
        </w:r>
      </w:hyperlink>
      <w:r>
        <w:t>), foi dirigida contra o rio e contra o deus do Nilo, Hapi. A segunda praga (rãs) também estava associada ao rio (</w:t>
      </w:r>
      <w:hyperlink r:id="rId18624">
        <w:r>
          <w:rPr>
            <w:color w:val="0000EE"/>
            <w:u w:val="single"/>
          </w:rPr>
          <w:t>8.3,5,9,11</w:t>
        </w:r>
      </w:hyperlink>
      <w:r>
        <w:t xml:space="preserve">), pois as numerosas rãs saíram do rio e cobriram a terra (cf. </w:t>
      </w:r>
      <w:hyperlink r:id="rId1663">
        <w:r>
          <w:rPr>
            <w:color w:val="0000EE"/>
            <w:u w:val="single"/>
          </w:rPr>
          <w:t>Sl 78.45</w:t>
        </w:r>
      </w:hyperlink>
      <w:r>
        <w:t>), desacreditando a deusa com cabeça de rã, Heket.</w:t>
      </w:r>
    </w:p>
    <w:p>
      <w:r/>
      <w:r>
        <w:t xml:space="preserve">Há inúmeras referências ao Nilo nos livros de profecia. Isaías frequentemente menciona o Nilo, mas nem sempre no mesmo contexto. Em </w:t>
      </w:r>
      <w:hyperlink r:id="rId1490">
        <w:r>
          <w:rPr>
            <w:color w:val="0000EE"/>
            <w:u w:val="single"/>
          </w:rPr>
          <w:t>7.18</w:t>
        </w:r>
      </w:hyperlink>
      <w:r>
        <w:t>, Isaías escreve que Israel seria invadido e humilhado por exércitos do Nilo. No “oráculo sobre o Egito” (</w:t>
      </w:r>
      <w:hyperlink r:id="rId11272">
        <w:r>
          <w:rPr>
            <w:color w:val="0000EE"/>
            <w:u w:val="single"/>
          </w:rPr>
          <w:t>Is 19</w:t>
        </w:r>
      </w:hyperlink>
      <w:r>
        <w:t>), o profeta prevê tanto o mal quanto o bem para a terra do Nilo. A vegetação natural e as colheitas ao longo do rio serão destruídas, enquanto os pescadores lamentarão. Essas perspectivas sombrias são compensadas pela previsão de uma bênção final para o Egito.</w:t>
      </w:r>
    </w:p>
    <w:p>
      <w:r/>
      <w:r>
        <w:t>Na mensagem contra Tiro (</w:t>
      </w:r>
      <w:hyperlink r:id="rId9171">
        <w:r>
          <w:rPr>
            <w:color w:val="0000EE"/>
            <w:u w:val="single"/>
          </w:rPr>
          <w:t>Is 23</w:t>
        </w:r>
      </w:hyperlink>
      <w:r>
        <w:t xml:space="preserve">), a renda dos mercadores sidônios era "a colheita do Nilo" (v </w:t>
      </w:r>
      <w:hyperlink r:id="rId18625">
        <w:r>
          <w:rPr>
            <w:color w:val="0000EE"/>
            <w:u w:val="single"/>
          </w:rPr>
          <w:t>3</w:t>
        </w:r>
      </w:hyperlink>
      <w:r>
        <w:t xml:space="preserve">), indicando a importância dos produtos agrícolas no vale do Nilo. No versículo </w:t>
      </w:r>
      <w:hyperlink r:id="rId18626">
        <w:r>
          <w:rPr>
            <w:color w:val="0000EE"/>
            <w:u w:val="single"/>
          </w:rPr>
          <w:t>10</w:t>
        </w:r>
      </w:hyperlink>
      <w:r>
        <w:t>, Tiro se descontrola e é instruída a transbordar a terra como o Nilo, pois o Senhor está trazendo o orgulho de Tiro ao fim. Jeremias também previu uma derrota severa para o Egito e fala do Egito se levantando como o Nilo, como rios cujas águas sobem (</w:t>
      </w:r>
      <w:hyperlink r:id="rId18627">
        <w:r>
          <w:rPr>
            <w:color w:val="0000EE"/>
            <w:u w:val="single"/>
          </w:rPr>
          <w:t>Jr 46.7–8</w:t>
        </w:r>
      </w:hyperlink>
      <w:r>
        <w:t>).</w:t>
      </w:r>
    </w:p>
    <w:p>
      <w:r/>
      <w:r>
        <w:t>A profecia de Ezequiel sobre o Egito (</w:t>
      </w:r>
      <w:hyperlink r:id="rId18628">
        <w:r>
          <w:rPr>
            <w:color w:val="0000EE"/>
            <w:u w:val="single"/>
          </w:rPr>
          <w:t>Ez 29</w:t>
        </w:r>
      </w:hyperlink>
      <w:r>
        <w:t>) destaca o Faraó, rei do Egito, e o descreve usando figuras de linguagem tiradas do Nilo. Ele é descrito como o Grande dragão que jaz no meio de seus rios — uma referência ao poderoso crocodilo. O Faraó se gaba: “Meu Nilo é meu”, mas o Senhor disse que colocaria anzóis nos queixos do rei e o puxaria para fora da água de seus rios com todos os peixes grudados em suas escamas. O rei e os peixes dos rios perecerão no deserto. Por causa das vanglórias do rei, o Senhor declara que está contra ele e seus rios e que o Egito se tornará uma desolação e um deserto.</w:t>
      </w:r>
    </w:p>
    <w:p>
      <w:r/>
      <w:r>
        <w:t>Amós descreveu o reino do norte de Israel como sendo agitado e afundando novamente, como o Nilo do Egito (</w:t>
      </w:r>
      <w:hyperlink r:id="rId18629">
        <w:r>
          <w:rPr>
            <w:color w:val="0000EE"/>
            <w:u w:val="single"/>
          </w:rPr>
          <w:t>Am 8.8</w:t>
        </w:r>
      </w:hyperlink>
      <w:r>
        <w:t xml:space="preserve">; </w:t>
      </w:r>
      <w:hyperlink r:id="rId18630">
        <w:r>
          <w:rPr>
            <w:color w:val="0000EE"/>
            <w:u w:val="single"/>
          </w:rPr>
          <w:t>9.5</w:t>
        </w:r>
      </w:hyperlink>
      <w:r>
        <w:t>). Finalmente, Zacarias falou de uma reunião de Israel pelo Senhor e comentou que, nesse processo, o Nilo secaria (</w:t>
      </w:r>
      <w:hyperlink r:id="rId4737">
        <w:r>
          <w:rPr>
            <w:color w:val="0000EE"/>
            <w:u w:val="single"/>
          </w:rPr>
          <w:t>Zc 10.11</w:t>
        </w:r>
      </w:hyperlink>
      <w:r>
        <w:t>).</w:t>
      </w:r>
    </w:p>
    <w:p>
      <w:r/>
      <w:r>
        <w:t>Embora as referências proféticas ao Nilo tratem principalmente de julgamentos severos, os profetas esperavam um tempo além do julgamento para uma eventual bênção para esta terra do Nilo.</w:t>
      </w:r>
    </w:p>
    <w:p>
      <w:r/>
      <w:r>
        <w:rPr>
          <w:i/>
        </w:rPr>
        <w:t>Veja também</w:t>
      </w:r>
      <w:r>
        <w:t xml:space="preserve"> </w:t>
      </w:r>
      <w:r>
        <w:t>Egito, egípcio</w:t>
      </w:r>
      <w:r>
        <w:t>.</w:t>
      </w:r>
      <w:r/>
      <w:r/>
    </w:p>
    <w:p>
      <w:r/>
    </w:p>
    <w:p>
      <w:pPr>
        <w:pStyle w:val="Heading2"/>
      </w:pPr>
      <w:r>
        <w:t>Rio Tigre</w:t>
      </w:r>
      <w:r/>
    </w:p>
    <w:p>
      <w:r/>
      <w:r>
        <w:t>Um dos dois principais rios que drenam a planície mesopotâmica. Ao contrário do Eufrates, é raramente mencionado na Bíblia. Na descrição do Jardim do Éden, é listado como o terceiro dos quatro rios que fluíam do rio que regava o Jardim (</w:t>
      </w:r>
      <w:hyperlink r:id="rId2772">
        <w:r>
          <w:rPr>
            <w:color w:val="0000EE"/>
            <w:u w:val="single"/>
          </w:rPr>
          <w:t>Gn 2.14</w:t>
        </w:r>
      </w:hyperlink>
      <w:r>
        <w:t xml:space="preserve">). Infelizmente, esta referência fornece pouca ajuda sobre a localização do Éden. O rio não é mencionado novamente até </w:t>
      </w:r>
      <w:hyperlink r:id="rId10650">
        <w:r>
          <w:rPr>
            <w:color w:val="0000EE"/>
            <w:u w:val="single"/>
          </w:rPr>
          <w:t>Daniel 10.4</w:t>
        </w:r>
      </w:hyperlink>
      <w:r>
        <w:t>, onde Daniel se referiu a ele como o “Grande rio” (NTLH). Naum provavelmente estava se referindo ao Tigre quando descreveu a abertura das portas do rio de Nínive durante o cerco babilônico (</w:t>
      </w:r>
      <w:hyperlink r:id="rId18631">
        <w:r>
          <w:rPr>
            <w:color w:val="0000EE"/>
            <w:u w:val="single"/>
          </w:rPr>
          <w:t>Na 2.6</w:t>
        </w:r>
      </w:hyperlink>
      <w:r>
        <w:t>).</w:t>
      </w:r>
    </w:p>
    <w:p>
      <w:r/>
      <w:r>
        <w:t>Quando seus dois principais afluentes são incluídos, o comprimento do Tigre é de 1.843 quilômetros. Sua fonte principal, um lago montanhoso chamado Golenjik, está a apenas uns 3,2–4,8 quilômetros do canal do Eufrates. Como é o caso da maioria dos rios da região, o fluxo do Tigre varia consideravelmente durante o ano. A temporada de cheias começa no início de março, com seu pico no início a meados de maio. Embora o rio seja geralmente navegável, registros históricos sugerem que o rio nunca teve grande importância comercial. No entanto, ganhou importância política durante o período de domínio assírio. Nínive, Assur e Calá estavam todas localizadas nas margens do Tigre. Infelizmente para os assírios, o Tigre nunca se mostrou uma barreira natural formidável e, portanto, não conseguiu proteger o império de seus inimigos.</w:t>
      </w:r>
      <w:r/>
      <w:r/>
    </w:p>
    <w:p>
      <w:r/>
    </w:p>
    <w:p>
      <w:pPr>
        <w:pStyle w:val="Heading2"/>
      </w:pPr>
      <w:r>
        <w:t>Riqueza</w:t>
      </w:r>
      <w:r/>
    </w:p>
    <w:p>
      <w:r/>
      <w:r>
        <w:t>Abundância, geralmente de dinheiro ou bens materiais, com valor normalmente expresso em termos de alguma unidade entendida, como uma moeda nacional. É virtualmente sinônimo de fartura, e ambos podem se referir à família, amigos ou até mesmo qualidades morais.</w:t>
      </w:r>
    </w:p>
    <w:p>
      <w:r/>
      <w:r>
        <w:t>No AT, as riquezas são uma marca de favor de Deus (</w:t>
      </w:r>
      <w:hyperlink r:id="rId17222">
        <w:r>
          <w:rPr>
            <w:color w:val="0000EE"/>
            <w:u w:val="single"/>
          </w:rPr>
          <w:t>Sl 112.3</w:t>
        </w:r>
      </w:hyperlink>
      <w:r>
        <w:t>), e ele dá poder para adquirir riqueza (</w:t>
      </w:r>
      <w:hyperlink r:id="rId18632">
        <w:r>
          <w:rPr>
            <w:color w:val="0000EE"/>
            <w:u w:val="single"/>
          </w:rPr>
          <w:t>Dt 8.18</w:t>
        </w:r>
      </w:hyperlink>
      <w:r>
        <w:t>). Tanto a piedade quanto a riqueza de Jó são bem conhecidas (</w:t>
      </w:r>
      <w:hyperlink r:id="rId18633">
        <w:r>
          <w:rPr>
            <w:color w:val="0000EE"/>
            <w:u w:val="single"/>
          </w:rPr>
          <w:t>Jó 1.1–3</w:t>
        </w:r>
      </w:hyperlink>
      <w:r>
        <w:t>). Salomão foi talvez o homem mais rico que já viveu; Deus lhe concedeu “riquezas, bens e honra” porque Salomão havia pedido sabedoria e discernimento em vez de coisas materiais (</w:t>
      </w:r>
      <w:hyperlink r:id="rId18634">
        <w:r>
          <w:rPr>
            <w:color w:val="0000EE"/>
            <w:u w:val="single"/>
          </w:rPr>
          <w:t>1Rs 3.10–13</w:t>
        </w:r>
      </w:hyperlink>
      <w:r>
        <w:t xml:space="preserve">; </w:t>
      </w:r>
      <w:hyperlink r:id="rId18635">
        <w:r>
          <w:rPr>
            <w:color w:val="0000EE"/>
            <w:u w:val="single"/>
          </w:rPr>
          <w:t>2Cr 1.11–12</w:t>
        </w:r>
      </w:hyperlink>
      <w:r>
        <w:t>). Mas a Bíblia deixa claro que a vida de uma pessoa não consiste na abundância de seus bens (</w:t>
      </w:r>
      <w:hyperlink r:id="rId5071">
        <w:r>
          <w:rPr>
            <w:color w:val="0000EE"/>
            <w:u w:val="single"/>
          </w:rPr>
          <w:t>Lc 12.15</w:t>
        </w:r>
      </w:hyperlink>
      <w:r>
        <w:t>).</w:t>
      </w:r>
    </w:p>
    <w:p>
      <w:r/>
      <w:r>
        <w:t>No NT, os homens ricos são muitas vezes vistos como ímpios — por exemplo, o fazendeiro rico (</w:t>
      </w:r>
      <w:hyperlink r:id="rId16600">
        <w:r>
          <w:rPr>
            <w:color w:val="0000EE"/>
            <w:u w:val="single"/>
          </w:rPr>
          <w:t>Lc 12.16–21</w:t>
        </w:r>
      </w:hyperlink>
      <w:r>
        <w:t>) e o homem rico que negligenciou o mendigo Lázaro (</w:t>
      </w:r>
      <w:hyperlink r:id="rId8493">
        <w:r>
          <w:rPr>
            <w:color w:val="0000EE"/>
            <w:u w:val="single"/>
          </w:rPr>
          <w:t>16.19–31</w:t>
        </w:r>
      </w:hyperlink>
      <w:r>
        <w:t>). Os ricos são condenados pela opressão e ganância (</w:t>
      </w:r>
      <w:hyperlink r:id="rId18636">
        <w:r>
          <w:rPr>
            <w:color w:val="0000EE"/>
            <w:u w:val="single"/>
          </w:rPr>
          <w:t>Tg 5.1–6</w:t>
        </w:r>
      </w:hyperlink>
      <w:r>
        <w:t xml:space="preserve">). </w:t>
      </w:r>
      <w:hyperlink r:id="rId18637">
        <w:r>
          <w:rPr>
            <w:color w:val="0000EE"/>
            <w:u w:val="single"/>
          </w:rPr>
          <w:t>Lucas 6.24</w:t>
        </w:r>
      </w:hyperlink>
      <w:r>
        <w:t xml:space="preserve"> pronuncia ai dos ricos, e todos os três Evangelhos sinóticos falam dos perigos das riquezas (</w:t>
      </w:r>
      <w:hyperlink r:id="rId18638">
        <w:r>
          <w:rPr>
            <w:color w:val="0000EE"/>
            <w:u w:val="single"/>
          </w:rPr>
          <w:t>Mt 13.22</w:t>
        </w:r>
      </w:hyperlink>
      <w:r>
        <w:t xml:space="preserve">; </w:t>
      </w:r>
      <w:hyperlink r:id="rId6690">
        <w:r>
          <w:rPr>
            <w:color w:val="0000EE"/>
            <w:u w:val="single"/>
          </w:rPr>
          <w:t>Mc 4.19</w:t>
        </w:r>
      </w:hyperlink>
      <w:r>
        <w:t xml:space="preserve">; </w:t>
      </w:r>
      <w:hyperlink r:id="rId18639">
        <w:r>
          <w:rPr>
            <w:color w:val="0000EE"/>
            <w:u w:val="single"/>
          </w:rPr>
          <w:t>Lc 8.14</w:t>
        </w:r>
      </w:hyperlink>
      <w:r>
        <w:t>). Mas nem todos os homens ricos eram maus. Jesus foi enterrado no túmulo de um homem rico de Arimateia, chamado José (</w:t>
      </w:r>
      <w:hyperlink r:id="rId18640">
        <w:r>
          <w:rPr>
            <w:color w:val="0000EE"/>
            <w:u w:val="single"/>
          </w:rPr>
          <w:t>Mt 27.57</w:t>
        </w:r>
      </w:hyperlink>
      <w:r>
        <w:t>). Nicodemos, que proveu abundantemente o sepultamento de Jesus (</w:t>
      </w:r>
      <w:hyperlink r:id="rId11809">
        <w:r>
          <w:rPr>
            <w:color w:val="0000EE"/>
            <w:u w:val="single"/>
          </w:rPr>
          <w:t>Jo 19.39</w:t>
        </w:r>
      </w:hyperlink>
      <w:r>
        <w:t>), era “um governante dos judeus” (</w:t>
      </w:r>
      <w:hyperlink r:id="rId10114">
        <w:r>
          <w:rPr>
            <w:color w:val="0000EE"/>
            <w:u w:val="single"/>
          </w:rPr>
          <w:t>3.1</w:t>
        </w:r>
      </w:hyperlink>
      <w:r>
        <w:t>) e provavelmente um homem de riqueza.</w:t>
      </w:r>
    </w:p>
    <w:p>
      <w:r/>
      <w:r>
        <w:rPr>
          <w:i/>
        </w:rPr>
        <w:t>Ver também</w:t>
      </w:r>
      <w:r>
        <w:t xml:space="preserve"> </w:t>
      </w:r>
      <w:r>
        <w:t>Mamom</w:t>
      </w:r>
      <w:r>
        <w:t xml:space="preserve">; </w:t>
      </w:r>
      <w:r>
        <w:t>Dinheiro</w:t>
      </w:r>
      <w:r>
        <w:t xml:space="preserve">; </w:t>
      </w:r>
      <w:r>
        <w:t>Pobre, O</w:t>
      </w:r>
      <w:r>
        <w:t xml:space="preserve">; </w:t>
      </w:r>
      <w:r>
        <w:t>Riquezas</w:t>
      </w:r>
      <w:r>
        <w:t xml:space="preserve">; </w:t>
      </w:r>
      <w:r>
        <w:t>Salários</w:t>
      </w:r>
      <w:r>
        <w:t>.</w:t>
      </w:r>
      <w:r/>
      <w:r/>
    </w:p>
    <w:p>
      <w:r/>
    </w:p>
    <w:p>
      <w:pPr>
        <w:pStyle w:val="Heading2"/>
      </w:pPr>
      <w:r>
        <w:t>Riquezas</w:t>
      </w:r>
      <w:r/>
    </w:p>
    <w:p>
      <w:r/>
      <w:r>
        <w:t>A riqueza medida pelo dinheiro ou pela quantidade de propriedades possuídas, sejam terras e edifícios (</w:t>
      </w:r>
      <w:hyperlink r:id="rId17579">
        <w:r>
          <w:rPr>
            <w:color w:val="0000EE"/>
            <w:u w:val="single"/>
          </w:rPr>
          <w:t>Is 5.8–10</w:t>
        </w:r>
      </w:hyperlink>
      <w:r>
        <w:t>), gado (</w:t>
      </w:r>
      <w:hyperlink r:id="rId18641">
        <w:r>
          <w:rPr>
            <w:color w:val="0000EE"/>
            <w:u w:val="single"/>
          </w:rPr>
          <w:t>1Sm 25.2–3</w:t>
        </w:r>
      </w:hyperlink>
      <w:r>
        <w:t>), ou escravos (</w:t>
      </w:r>
      <w:hyperlink r:id="rId18642">
        <w:r>
          <w:rPr>
            <w:color w:val="0000EE"/>
            <w:u w:val="single"/>
          </w:rPr>
          <w:t>8.11–18</w:t>
        </w:r>
      </w:hyperlink>
      <w:r>
        <w:t>). Grandes riquezas traziam grande influência e poder, como a palavra hebraica para riqueza implica.</w:t>
      </w:r>
    </w:p>
    <w:p>
      <w:r/>
      <w:r>
        <w:t xml:space="preserve">A Bíblia parece falar de forma ambígua sobre o assunto das riquezas, às vezes descrevendo a riqueza material como um sinal da bênção e aprovação de Deus (p. ex., </w:t>
      </w:r>
      <w:hyperlink r:id="rId1612">
        <w:r>
          <w:rPr>
            <w:color w:val="0000EE"/>
            <w:u w:val="single"/>
          </w:rPr>
          <w:t>Gn 24.35</w:t>
        </w:r>
      </w:hyperlink>
      <w:r>
        <w:t xml:space="preserve">), em outros momentos identificando os ricos com os ímpios (p. ex., </w:t>
      </w:r>
      <w:hyperlink r:id="rId18643">
        <w:r>
          <w:rPr>
            <w:color w:val="0000EE"/>
            <w:u w:val="single"/>
          </w:rPr>
          <w:t>Sl 37.7,16</w:t>
        </w:r>
      </w:hyperlink>
      <w:r>
        <w:t>).</w:t>
      </w:r>
    </w:p>
    <w:p>
      <w:r/>
      <w:r>
        <w:t>Deus fez todas as coisas para as pessoas desfrutarem (</w:t>
      </w:r>
      <w:hyperlink r:id="rId18644">
        <w:r>
          <w:rPr>
            <w:color w:val="0000EE"/>
            <w:u w:val="single"/>
          </w:rPr>
          <w:t>1Tm 6.17</w:t>
        </w:r>
      </w:hyperlink>
      <w:r>
        <w:t>). Pessoas ricas devem agradecer a Deus, não se orgulhar nem confiar em suas riquezas. Tudo no mundo pertence a Deus, o Criador (</w:t>
      </w:r>
      <w:hyperlink r:id="rId17201">
        <w:r>
          <w:rPr>
            <w:color w:val="0000EE"/>
            <w:u w:val="single"/>
          </w:rPr>
          <w:t>Sl 24.1</w:t>
        </w:r>
      </w:hyperlink>
      <w:r>
        <w:t>). Mas a Bíblia também alerta que algumas riquezas vêm da injustiça e não são uma bênção de Deus (</w:t>
      </w:r>
      <w:hyperlink r:id="rId18645">
        <w:r>
          <w:rPr>
            <w:color w:val="0000EE"/>
            <w:u w:val="single"/>
          </w:rPr>
          <w:t>Hb 2.9–11</w:t>
        </w:r>
      </w:hyperlink>
      <w:r>
        <w:t xml:space="preserve">; </w:t>
      </w:r>
      <w:hyperlink r:id="rId17584">
        <w:r>
          <w:rPr>
            <w:color w:val="0000EE"/>
            <w:u w:val="single"/>
          </w:rPr>
          <w:t>Am 8.4–6</w:t>
        </w:r>
      </w:hyperlink>
      <w:r>
        <w:t xml:space="preserve">; </w:t>
      </w:r>
      <w:hyperlink r:id="rId18646">
        <w:r>
          <w:rPr>
            <w:color w:val="0000EE"/>
            <w:u w:val="single"/>
          </w:rPr>
          <w:t>Jr 22:13</w:t>
        </w:r>
      </w:hyperlink>
      <w:r>
        <w:t>).</w:t>
      </w:r>
    </w:p>
    <w:p>
      <w:r/>
      <w:r>
        <w:t>Quando a riqueza é adquirida da maneira correta, ela pode ser vista como um presente de Deus. O Rei Davi demonstrou isso quando orou: “Tanto riquezas como honra vêm de ti” (</w:t>
      </w:r>
      <w:hyperlink r:id="rId18647">
        <w:r>
          <w:rPr>
            <w:color w:val="0000EE"/>
            <w:u w:val="single"/>
          </w:rPr>
          <w:t>1Cr 29.12</w:t>
        </w:r>
      </w:hyperlink>
      <w:r>
        <w:t>). Mesmo quando a riqueza é conquistada com trabalho árduo, a Bíblia ensina que Deus nos dá tanto nossos talentos quanto recursos. Jesus ensinou essa verdade nas parábolas dos 10 talentos (</w:t>
      </w:r>
      <w:hyperlink r:id="rId3085">
        <w:r>
          <w:rPr>
            <w:color w:val="0000EE"/>
            <w:u w:val="single"/>
          </w:rPr>
          <w:t>Mt 25.14–30</w:t>
        </w:r>
      </w:hyperlink>
      <w:r>
        <w:t>) e das 10 minas (</w:t>
      </w:r>
      <w:hyperlink r:id="rId18648">
        <w:r>
          <w:rPr>
            <w:color w:val="0000EE"/>
            <w:u w:val="single"/>
          </w:rPr>
          <w:t>Lc 19.11–26</w:t>
        </w:r>
      </w:hyperlink>
      <w:r>
        <w:t>).</w:t>
      </w:r>
    </w:p>
    <w:p>
      <w:r/>
      <w:r>
        <w:t>Em nenhum lugar, então, a Bíblia diz que ter posses e tornar-se rico são erros em si. Não haveria sentido na proibição dos Dez Mandamentos contra roubar e invejar se fosse errado para o povo de Deus possuir qualquer coisa. O próprio Jesus nunca ensinou que era pecado ser rico.</w:t>
      </w:r>
    </w:p>
    <w:p>
      <w:r/>
      <w:r>
        <w:t>No entanto, Jesus advertiu que as riquezas poderiam manter uma pessoa fora do reino: “Como é difícil os ricos entrarem no reino de Deus!” (</w:t>
      </w:r>
      <w:hyperlink r:id="rId17241">
        <w:r>
          <w:rPr>
            <w:color w:val="0000EE"/>
            <w:u w:val="single"/>
          </w:rPr>
          <w:t>Mc 10.23</w:t>
        </w:r>
      </w:hyperlink>
      <w:r>
        <w:t>, NVT). A riqueza, ele ensinou, pode destruir a paz (</w:t>
      </w:r>
      <w:hyperlink r:id="rId18649">
        <w:r>
          <w:rPr>
            <w:color w:val="0000EE"/>
            <w:u w:val="single"/>
          </w:rPr>
          <w:t>Mt 6.24–34</w:t>
        </w:r>
      </w:hyperlink>
      <w:r>
        <w:t>), cegar as pessoas para as necessidades dos outros (</w:t>
      </w:r>
      <w:hyperlink r:id="rId8493">
        <w:r>
          <w:rPr>
            <w:color w:val="0000EE"/>
            <w:u w:val="single"/>
          </w:rPr>
          <w:t>Lc 16.19–31</w:t>
        </w:r>
      </w:hyperlink>
      <w:r>
        <w:t>), se interpor entre os indivíduos e o caminho para a vida eterna (</w:t>
      </w:r>
      <w:hyperlink r:id="rId18650">
        <w:r>
          <w:rPr>
            <w:color w:val="0000EE"/>
            <w:u w:val="single"/>
          </w:rPr>
          <w:t>Mc 10.17–27</w:t>
        </w:r>
      </w:hyperlink>
      <w:r>
        <w:t>), e até trazer o julgamento de Deus (</w:t>
      </w:r>
      <w:hyperlink r:id="rId16600">
        <w:r>
          <w:rPr>
            <w:color w:val="0000EE"/>
            <w:u w:val="single"/>
          </w:rPr>
          <w:t>Lc 12.16–21</w:t>
        </w:r>
      </w:hyperlink>
      <w:r>
        <w:t>). Ele disse aos seus discípulos para não acumularem riquezas pessoais (</w:t>
      </w:r>
      <w:hyperlink r:id="rId18651">
        <w:r>
          <w:rPr>
            <w:color w:val="0000EE"/>
            <w:u w:val="single"/>
          </w:rPr>
          <w:t>Mt 6.19</w:t>
        </w:r>
      </w:hyperlink>
      <w:r>
        <w:t>), e ele elogiou aqueles que renunciaram seus bens (</w:t>
      </w:r>
      <w:hyperlink r:id="rId10545">
        <w:r>
          <w:rPr>
            <w:color w:val="0000EE"/>
            <w:u w:val="single"/>
          </w:rPr>
          <w:t>19.29</w:t>
        </w:r>
      </w:hyperlink>
      <w:r>
        <w:t>).</w:t>
      </w:r>
    </w:p>
    <w:p>
      <w:r/>
      <w:r>
        <w:t>Os avisos de Jesus contra a riqueza não são, de fato, dirigidos contra as riquezas em si. O que ele condena são as atitudes erradas que muitas pessoas têm para adquirir riqueza, e as maneiras erradas pelas quais elas a usam. Ansiar por riquezas, não tê-las, sufoca a vida espiritual como ervas daninhas em um campo de grãos (</w:t>
      </w:r>
      <w:hyperlink r:id="rId18638">
        <w:r>
          <w:rPr>
            <w:color w:val="0000EE"/>
            <w:u w:val="single"/>
          </w:rPr>
          <w:t>Mt 13.22</w:t>
        </w:r>
      </w:hyperlink>
      <w:r>
        <w:t>). O desejo ganancioso de ter mais riqueza condenou o servo impiedoso (</w:t>
      </w:r>
      <w:hyperlink r:id="rId7384">
        <w:r>
          <w:rPr>
            <w:color w:val="0000EE"/>
            <w:u w:val="single"/>
          </w:rPr>
          <w:t>18.23–35</w:t>
        </w:r>
      </w:hyperlink>
      <w:r>
        <w:t>). E o egoísmo do homem rico, não sua riqueza, selou seu destino (</w:t>
      </w:r>
      <w:hyperlink r:id="rId18652">
        <w:r>
          <w:rPr>
            <w:color w:val="0000EE"/>
            <w:u w:val="single"/>
          </w:rPr>
          <w:t>Lc 16.19–26</w:t>
        </w:r>
      </w:hyperlink>
      <w:r>
        <w:t xml:space="preserve">). Paulo captou o tema principal nessas parábolas quando disse: “O </w:t>
      </w:r>
      <w:r>
        <w:rPr>
          <w:i/>
        </w:rPr>
        <w:t>amor</w:t>
      </w:r>
      <w:r>
        <w:t xml:space="preserve"> ao dinheiro é a raiz de todos os tipos de mal” (</w:t>
      </w:r>
      <w:hyperlink r:id="rId18653">
        <w:r>
          <w:rPr>
            <w:color w:val="0000EE"/>
            <w:u w:val="single"/>
          </w:rPr>
          <w:t>1Tm 6.10</w:t>
        </w:r>
      </w:hyperlink>
      <w:r>
        <w:t>, NVT, ênfase adicionada).</w:t>
      </w:r>
    </w:p>
    <w:p>
      <w:r/>
      <w:r>
        <w:t xml:space="preserve">O maior perigo é quando a riqueza controla a vida de uma pessoa. A Bíblia alerta contra fazer das coisas materiais um ídolo (por exemplo, </w:t>
      </w:r>
      <w:hyperlink r:id="rId18654">
        <w:r>
          <w:rPr>
            <w:color w:val="0000EE"/>
            <w:u w:val="single"/>
          </w:rPr>
          <w:t>Dt 8.17–18</w:t>
        </w:r>
      </w:hyperlink>
      <w:r>
        <w:t xml:space="preserve">; </w:t>
      </w:r>
      <w:hyperlink r:id="rId3103">
        <w:r>
          <w:rPr>
            <w:color w:val="0000EE"/>
            <w:u w:val="single"/>
          </w:rPr>
          <w:t>Lc 14.15–24</w:t>
        </w:r>
      </w:hyperlink>
      <w:r>
        <w:t>). Satanás tentou Jesus a escolher riqueza e poder em vez de obedecer a Deus (</w:t>
      </w:r>
      <w:hyperlink r:id="rId18655">
        <w:r>
          <w:rPr>
            <w:color w:val="0000EE"/>
            <w:u w:val="single"/>
          </w:rPr>
          <w:t>Mt 4.8–9</w:t>
        </w:r>
      </w:hyperlink>
      <w:r>
        <w:t>). Mas Jesus alertou contra servir ao dinheiro como a um senhor (</w:t>
      </w:r>
      <w:hyperlink r:id="rId14333">
        <w:r>
          <w:rPr>
            <w:color w:val="0000EE"/>
            <w:u w:val="single"/>
          </w:rPr>
          <w:t>Mt 6.24</w:t>
        </w:r>
      </w:hyperlink>
      <w:r>
        <w:t>). Jesus disse a um jovem rico para vender tudo (</w:t>
      </w:r>
      <w:hyperlink r:id="rId13923">
        <w:r>
          <w:rPr>
            <w:color w:val="0000EE"/>
            <w:u w:val="single"/>
          </w:rPr>
          <w:t>Mc 10.17–22</w:t>
        </w:r>
      </w:hyperlink>
      <w:r>
        <w:t>). O homem rico havia permitido que suas posses o dominassem. Jesus queria que ele percebesse que suas riquezas o estavam controlando, para que pudesse se desapegar e seguir a Deus. Mas o homem escolheu manter suas riquezas e se afastou. Isso mostra o quão forte o desejo por riqueza pode ser.</w:t>
      </w:r>
    </w:p>
    <w:p>
      <w:r/>
      <w:r>
        <w:t>Esses avisos diretos são o aspecto mais marcante do ensino de Jesus sobre a riqueza. Mas além de expor as atitudes erradas, ele foi cauteloso em delinear as atitudes corretas. Aqueles que reconhecem que são administradores de Deus (e não proprietários) de suas posses, ele ensinou, encontrarão muitas formas valiosas de usar suas riquezas no serviço ao Senhor (</w:t>
      </w:r>
      <w:hyperlink r:id="rId18656">
        <w:r>
          <w:rPr>
            <w:color w:val="0000EE"/>
            <w:u w:val="single"/>
          </w:rPr>
          <w:t>Lc 12.42–44</w:t>
        </w:r>
      </w:hyperlink>
      <w:r>
        <w:t>). Em vez de torná-los avarentos, suas riquezas devem permitir que eles expressem amor de muitas maneiras práticas (</w:t>
      </w:r>
      <w:hyperlink r:id="rId18657">
        <w:r>
          <w:rPr>
            <w:color w:val="0000EE"/>
            <w:u w:val="single"/>
          </w:rPr>
          <w:t>2Co 8.2</w:t>
        </w:r>
      </w:hyperlink>
      <w:r>
        <w:t>). Suas riquezas devem levá-los a confiar em Deus em vez de ficarem ansiosos (</w:t>
      </w:r>
      <w:hyperlink r:id="rId18658">
        <w:r>
          <w:rPr>
            <w:color w:val="0000EE"/>
            <w:u w:val="single"/>
          </w:rPr>
          <w:t>Lc 12.29–31</w:t>
        </w:r>
      </w:hyperlink>
      <w:r>
        <w:t xml:space="preserve">; </w:t>
      </w:r>
      <w:hyperlink r:id="rId18644">
        <w:r>
          <w:rPr>
            <w:color w:val="0000EE"/>
            <w:u w:val="single"/>
          </w:rPr>
          <w:t>1Tm 6.17</w:t>
        </w:r>
      </w:hyperlink>
      <w:r>
        <w:t>).</w:t>
      </w:r>
    </w:p>
    <w:p>
      <w:r/>
      <w:r>
        <w:t>De acordo com a Bíblia, então, a moralidade das riquezas depende inteiramente de atitudes pessoais. E em nenhum lugar isso se manifesta mais do que nas comparações frequentes que as Escrituras fazem entre riqueza material e riqueza espiritual. Aqueles que fazem das riquezas materiais seu objetivo na vida têm valores errados. Por mais ricos que eles possam parecer, são pobres aos olhos de Deus (</w:t>
      </w:r>
      <w:hyperlink r:id="rId11845">
        <w:r>
          <w:rPr>
            <w:color w:val="0000EE"/>
            <w:u w:val="single"/>
          </w:rPr>
          <w:t>Mt 16.26</w:t>
        </w:r>
      </w:hyperlink>
      <w:r>
        <w:t xml:space="preserve">; </w:t>
      </w:r>
      <w:hyperlink r:id="rId18659">
        <w:r>
          <w:rPr>
            <w:color w:val="0000EE"/>
            <w:u w:val="single"/>
          </w:rPr>
          <w:t>Ap 3.17</w:t>
        </w:r>
      </w:hyperlink>
      <w:r>
        <w:t>). Em sua visão, os ricos de verdade são aqueles que têm como principal objetivo na vida servi-lo como Rei (</w:t>
      </w:r>
      <w:hyperlink r:id="rId8711">
        <w:r>
          <w:rPr>
            <w:color w:val="0000EE"/>
            <w:u w:val="single"/>
          </w:rPr>
          <w:t>Mt 13.44–46</w:t>
        </w:r>
      </w:hyperlink>
      <w:r>
        <w:t>). Sua riqueza está na moeda da fé e boas obras (</w:t>
      </w:r>
      <w:hyperlink r:id="rId18660">
        <w:r>
          <w:rPr>
            <w:color w:val="0000EE"/>
            <w:u w:val="single"/>
          </w:rPr>
          <w:t>1Tm 6.18</w:t>
        </w:r>
      </w:hyperlink>
      <w:r>
        <w:t xml:space="preserve">; </w:t>
      </w:r>
      <w:hyperlink r:id="rId10551">
        <w:r>
          <w:rPr>
            <w:color w:val="0000EE"/>
            <w:u w:val="single"/>
          </w:rPr>
          <w:t>Tg 2.5</w:t>
        </w:r>
      </w:hyperlink>
      <w:r>
        <w:t>) — um saldo bancário celestial que ninguém pode roubar e nada pode corroer: “Onde seu tesouro estiver, ali também estará seu coração” (</w:t>
      </w:r>
      <w:hyperlink r:id="rId5680">
        <w:r>
          <w:rPr>
            <w:color w:val="0000EE"/>
            <w:u w:val="single"/>
          </w:rPr>
          <w:t>Mt 6.21</w:t>
        </w:r>
      </w:hyperlink>
      <w:r>
        <w:t>, NVT).</w:t>
      </w:r>
    </w:p>
    <w:p>
      <w:r/>
      <w:r>
        <w:rPr>
          <w:i/>
        </w:rPr>
        <w:t>Veja também</w:t>
      </w:r>
      <w:r>
        <w:t xml:space="preserve"> </w:t>
      </w:r>
      <w:r>
        <w:t>Dinheiro</w:t>
      </w:r>
      <w:r>
        <w:t xml:space="preserve">; </w:t>
      </w:r>
      <w:r>
        <w:t>Pobres, Os</w:t>
      </w:r>
      <w:r>
        <w:t xml:space="preserve">; </w:t>
      </w:r>
      <w:r>
        <w:t>Salários</w:t>
      </w:r>
      <w:r>
        <w:t xml:space="preserve">; </w:t>
      </w:r>
      <w:r>
        <w:t>Riqueza</w:t>
      </w:r>
      <w:r>
        <w:t>.</w:t>
      </w:r>
      <w:r/>
      <w:r/>
    </w:p>
    <w:p>
      <w:r/>
    </w:p>
    <w:p>
      <w:pPr>
        <w:pStyle w:val="Heading2"/>
      </w:pPr>
      <w:r>
        <w:t>Riso</w:t>
      </w:r>
      <w:r/>
    </w:p>
    <w:p>
      <w:r/>
      <w:r>
        <w:t>Expressão de uma variedade de emoções. O riso pode expressar uma felicidade extrema quando as circunstâncias melhoram, como para os judeus ao retornarem do exílio (</w:t>
      </w:r>
      <w:hyperlink r:id="rId18661">
        <w:r>
          <w:rPr>
            <w:color w:val="0000EE"/>
            <w:u w:val="single"/>
          </w:rPr>
          <w:t>Sl 126.2</w:t>
        </w:r>
      </w:hyperlink>
      <w:r>
        <w:t>). Tal alegria é apresentada a Jó com aparente sinceridade, mas de maneira simplista, por um de seus consoladores (</w:t>
      </w:r>
      <w:hyperlink r:id="rId18662">
        <w:r>
          <w:rPr>
            <w:color w:val="0000EE"/>
            <w:u w:val="single"/>
          </w:rPr>
          <w:t>Jó 8.21</w:t>
        </w:r>
      </w:hyperlink>
      <w:r>
        <w:t>). O riso pode ser bem-humorado e amigável, para encorajar os outros (</w:t>
      </w:r>
      <w:hyperlink r:id="rId13490">
        <w:r>
          <w:rPr>
            <w:color w:val="0000EE"/>
            <w:u w:val="single"/>
          </w:rPr>
          <w:t>29.24</w:t>
        </w:r>
      </w:hyperlink>
      <w:r>
        <w:t>). Há “um tempo para chorar e um tempo para rir” (</w:t>
      </w:r>
      <w:hyperlink r:id="rId18663">
        <w:r>
          <w:rPr>
            <w:color w:val="0000EE"/>
            <w:u w:val="single"/>
          </w:rPr>
          <w:t>Ec 3.4</w:t>
        </w:r>
      </w:hyperlink>
      <w:r>
        <w:t>), mas o Pregador tinha suas dúvidas: a vida não é motivo de riso, e a tristeza pode ser uma professora melhor (</w:t>
      </w:r>
      <w:hyperlink r:id="rId18664">
        <w:r>
          <w:rPr>
            <w:color w:val="0000EE"/>
            <w:u w:val="single"/>
          </w:rPr>
          <w:t>2.2</w:t>
        </w:r>
      </w:hyperlink>
      <w:r>
        <w:t xml:space="preserve">; </w:t>
      </w:r>
      <w:hyperlink r:id="rId18665">
        <w:r>
          <w:rPr>
            <w:color w:val="0000EE"/>
            <w:u w:val="single"/>
          </w:rPr>
          <w:t>7.3</w:t>
        </w:r>
      </w:hyperlink>
      <w:r>
        <w:t>). No entanto, é bom ser capaz de não levar certas coisas a sério. A dona de casa bem preparada “ri sem medo do futuro” (</w:t>
      </w:r>
      <w:hyperlink r:id="rId18666">
        <w:r>
          <w:rPr>
            <w:color w:val="0000EE"/>
            <w:u w:val="single"/>
          </w:rPr>
          <w:t>Pv 31.25</w:t>
        </w:r>
      </w:hyperlink>
      <w:r>
        <w:t>). A Jó é prometido que guerra e fome não seriam motivo de preocupação (</w:t>
      </w:r>
      <w:hyperlink r:id="rId18667">
        <w:r>
          <w:rPr>
            <w:color w:val="0000EE"/>
            <w:u w:val="single"/>
          </w:rPr>
          <w:t>Jó 5.22</w:t>
        </w:r>
      </w:hyperlink>
      <w:r>
        <w:t xml:space="preserve">; cf. </w:t>
      </w:r>
      <w:hyperlink r:id="rId18668">
        <w:r>
          <w:rPr>
            <w:color w:val="0000EE"/>
            <w:u w:val="single"/>
          </w:rPr>
          <w:t>Hb 1.9</w:t>
        </w:r>
      </w:hyperlink>
      <w:r>
        <w:t>).</w:t>
      </w:r>
    </w:p>
    <w:p>
      <w:r/>
      <w:r>
        <w:t>O riso pode ser algo negativo e zombeteiro. Podemos rir das pessoas e zombar delas. Este elemento aparece muito no AT. Jó e Jeremias reclamam de serem motivo de riso (</w:t>
      </w:r>
      <w:hyperlink r:id="rId18669">
        <w:r>
          <w:rPr>
            <w:color w:val="0000EE"/>
            <w:u w:val="single"/>
          </w:rPr>
          <w:t>Jó 12.4</w:t>
        </w:r>
      </w:hyperlink>
      <w:r>
        <w:t xml:space="preserve">; </w:t>
      </w:r>
      <w:hyperlink r:id="rId18670">
        <w:r>
          <w:rPr>
            <w:color w:val="0000EE"/>
            <w:u w:val="single"/>
          </w:rPr>
          <w:t>Jr 20.7</w:t>
        </w:r>
      </w:hyperlink>
      <w:r>
        <w:t>). A nação reclama que seus inimigos riem de sua aflição (</w:t>
      </w:r>
      <w:hyperlink r:id="rId18671">
        <w:r>
          <w:rPr>
            <w:color w:val="0000EE"/>
            <w:u w:val="single"/>
          </w:rPr>
          <w:t>Sl 80.6</w:t>
        </w:r>
      </w:hyperlink>
      <w:r>
        <w:t xml:space="preserve">; cf. </w:t>
      </w:r>
      <w:hyperlink r:id="rId18672">
        <w:r>
          <w:rPr>
            <w:color w:val="0000EE"/>
            <w:u w:val="single"/>
          </w:rPr>
          <w:t>2Cr 30.10</w:t>
        </w:r>
      </w:hyperlink>
      <w:r>
        <w:t xml:space="preserve">). Às vezes, há toda justificativa. No </w:t>
      </w:r>
      <w:hyperlink r:id="rId18673">
        <w:r>
          <w:rPr>
            <w:color w:val="0000EE"/>
            <w:u w:val="single"/>
          </w:rPr>
          <w:t>Salmo 52.6</w:t>
        </w:r>
      </w:hyperlink>
      <w:r>
        <w:t xml:space="preserve">, os justos têm a promessa de dar a última risada, às custas do ímpio descrente que pensa que pode deixar Deus fora de sua vida. Em </w:t>
      </w:r>
      <w:hyperlink r:id="rId18674">
        <w:r>
          <w:rPr>
            <w:color w:val="0000EE"/>
            <w:u w:val="single"/>
          </w:rPr>
          <w:t>Provérbios 1.26</w:t>
        </w:r>
      </w:hyperlink>
      <w:r>
        <w:t>, a Sabedoria personificada avisa que rirá da calamidade daqueles que se recusam a seguir seu conselho: bem feito para eles. Nesse sentido, o riso é atribuído a Deus três vezes no Saltério. Ele ri das nações que conspiram contra seu Rei ungido (</w:t>
      </w:r>
      <w:hyperlink r:id="rId17305">
        <w:r>
          <w:rPr>
            <w:color w:val="0000EE"/>
            <w:u w:val="single"/>
          </w:rPr>
          <w:t>Sl 2.4</w:t>
        </w:r>
      </w:hyperlink>
      <w:r>
        <w:t>). Ele ri dos ímpios, sabendo que estão caminhando para o desastre (</w:t>
      </w:r>
      <w:hyperlink r:id="rId18675">
        <w:r>
          <w:rPr>
            <w:color w:val="0000EE"/>
            <w:u w:val="single"/>
          </w:rPr>
          <w:t>37.13</w:t>
        </w:r>
      </w:hyperlink>
      <w:r>
        <w:t>). Ele é convidado a rir dos inimigos do salmista (</w:t>
      </w:r>
      <w:hyperlink r:id="rId18676">
        <w:r>
          <w:rPr>
            <w:color w:val="0000EE"/>
            <w:u w:val="single"/>
          </w:rPr>
          <w:t>59.8</w:t>
        </w:r>
      </w:hyperlink>
      <w:r>
        <w:t>). Este riso divino é uma forma de expressar que a verdade prevalecerá finalmente.</w:t>
      </w:r>
    </w:p>
    <w:p>
      <w:r/>
      <w:r>
        <w:t xml:space="preserve">O riso tem um lugar especial nas narrativas de Abraão. Ele é usado em conexão com o nome de seu filho Isaque, que significa "ele ri" ou "Que [Deus] sorria [para ele]". As histórias hebraicas gostam de destacar o significado das palavras, e assim a reação humana ao nascimento de Isaque, o canal das promessas patriarcais de Deus, é descrita em termos de riso. Isso é teologicamente importante porque tende a ser contrastado com a fé. Em </w:t>
      </w:r>
      <w:hyperlink r:id="rId157">
        <w:r>
          <w:rPr>
            <w:color w:val="0000EE"/>
            <w:u w:val="single"/>
          </w:rPr>
          <w:t>Gênesis 17.17</w:t>
        </w:r>
      </w:hyperlink>
      <w:r>
        <w:t xml:space="preserve">, o riso é a resposta incrédula de Abraão à promessa irrealista de Deus sobre um filho, considerando a idade avançada de Sara. Em </w:t>
      </w:r>
      <w:hyperlink r:id="rId11370">
        <w:r>
          <w:rPr>
            <w:color w:val="0000EE"/>
            <w:u w:val="single"/>
          </w:rPr>
          <w:t>Gênesis 18.12</w:t>
        </w:r>
      </w:hyperlink>
      <w:r>
        <w:t xml:space="preserve">, Sara não consegue conter seu riso enquanto escuta às escondidas — parece tão absurdo que ela ficará grávida aos 90 anos. Mas finalmente em </w:t>
      </w:r>
      <w:hyperlink r:id="rId181">
        <w:r>
          <w:rPr>
            <w:color w:val="0000EE"/>
            <w:u w:val="single"/>
          </w:rPr>
          <w:t>Gênesis 21.6</w:t>
        </w:r>
      </w:hyperlink>
      <w:r>
        <w:t>, quando o impossível se torna realidade, o riso de Sara é um marco de alegria dada por Deus.</w:t>
      </w:r>
      <w:r/>
      <w:r/>
    </w:p>
    <w:p>
      <w:r/>
    </w:p>
    <w:p>
      <w:pPr>
        <w:pStyle w:val="Heading2"/>
      </w:pPr>
      <w:r>
        <w:t>Rissa</w:t>
      </w:r>
      <w:r/>
    </w:p>
    <w:p>
      <w:r/>
      <w:r>
        <w:t>Um lugar onde os israelitas pararam durante sua jornada pelo deserto. Estava localizado entre Libna e Queelata (</w:t>
      </w:r>
      <w:hyperlink r:id="rId18677">
        <w:r>
          <w:rPr>
            <w:color w:val="0000EE"/>
            <w:u w:val="single"/>
          </w:rPr>
          <w:t>Nm 33.21–22</w:t>
        </w:r>
      </w:hyperlink>
      <w:r>
        <w:t>).</w:t>
      </w:r>
    </w:p>
    <w:p>
      <w:r/>
      <w:r>
        <w:rPr>
          <w:i/>
        </w:rPr>
        <w:t>Veja</w:t>
      </w:r>
      <w:r>
        <w:t xml:space="preserve"> </w:t>
      </w:r>
      <w:r>
        <w:t>Peregrinações no deserto</w:t>
      </w:r>
      <w:r>
        <w:t>.</w:t>
      </w:r>
      <w:r/>
      <w:r/>
    </w:p>
    <w:p>
      <w:r/>
    </w:p>
    <w:p>
      <w:pPr>
        <w:pStyle w:val="Heading2"/>
      </w:pPr>
      <w:r>
        <w:t>Ritma</w:t>
      </w:r>
      <w:r/>
    </w:p>
    <w:p>
      <w:r/>
      <w:r>
        <w:t>Um lugar onde os israelitas pararam durante sua jornada pelo deserto. Estava localizado entre Hazerote e Rimom-Perez (</w:t>
      </w:r>
      <w:hyperlink r:id="rId18678">
        <w:r>
          <w:rPr>
            <w:color w:val="0000EE"/>
            <w:u w:val="single"/>
          </w:rPr>
          <w:t>Nm 33.18–19</w:t>
        </w:r>
      </w:hyperlink>
      <w:r>
        <w:t>).</w:t>
      </w:r>
    </w:p>
    <w:p>
      <w:r/>
      <w:r>
        <w:rPr>
          <w:i/>
        </w:rPr>
        <w:t>Veja</w:t>
      </w:r>
      <w:r>
        <w:t xml:space="preserve"> </w:t>
      </w:r>
      <w:r>
        <w:t>Peregrinações na deserto</w:t>
      </w:r>
      <w:r>
        <w:t>.</w:t>
      </w:r>
      <w:r/>
      <w:r/>
    </w:p>
    <w:p>
      <w:r/>
    </w:p>
    <w:p>
      <w:pPr>
        <w:pStyle w:val="Heading2"/>
      </w:pPr>
      <w:r>
        <w:t>Roda</w:t>
      </w:r>
      <w:r/>
    </w:p>
    <w:p>
      <w:r/>
      <w:r>
        <w:t>Uma roda é um dispositivo redondo e plano usado para mover objetos. Foi criada pela primeira vez na Mesopotâmia (atual Iraque), por volta de 3500 a.C. A forma mais antiga conhecida é o carro de duas rodas da Suméria. As primeiras rodas eram provavelmente discos simples cortados de árvores. Posteriormente, as rodas foram feitas juntando três tábuas de madeira moldadas com grampos de cobre que percorriam todo o comprimento da roda. Após 2000 a.C., rodas com raios começaram a aparecer no norte da Mesopotâmia.</w:t>
      </w:r>
    </w:p>
    <w:p>
      <w:r/>
      <w:r>
        <w:t>Na Bíblia, quatro palavras hebraicas são usadas para diferentes tipos de rodas. Estas incluem:</w:t>
      </w:r>
    </w:p>
    <w:p>
      <w:pPr>
        <w:pStyle w:val="ListBullet"/>
        <w:spacing w:line="240" w:lineRule="auto"/>
        <w:ind w:left="720"/>
      </w:pPr>
      <w:r/>
      <w:r>
        <w:t>a roda do oleiro (</w:t>
      </w:r>
      <w:hyperlink r:id="rId18679">
        <w:r>
          <w:rPr>
            <w:color w:val="0000EE"/>
            <w:u w:val="single"/>
          </w:rPr>
          <w:t>Jr 18.3</w:t>
        </w:r>
      </w:hyperlink>
      <w:r>
        <w:t>);</w:t>
      </w:r>
    </w:p>
    <w:p>
      <w:pPr>
        <w:pStyle w:val="ListBullet"/>
        <w:spacing w:line="240" w:lineRule="auto"/>
        <w:ind w:left="720"/>
      </w:pPr>
      <w:r/>
      <w:r>
        <w:t>rodas de carruagem (</w:t>
      </w:r>
      <w:hyperlink r:id="rId18680">
        <w:r>
          <w:rPr>
            <w:color w:val="0000EE"/>
            <w:u w:val="single"/>
          </w:rPr>
          <w:t>Êx 14.25</w:t>
        </w:r>
      </w:hyperlink>
      <w:r>
        <w:t>), e;</w:t>
      </w:r>
    </w:p>
    <w:p>
      <w:pPr>
        <w:pStyle w:val="ListBullet"/>
        <w:spacing w:line="240" w:lineRule="auto"/>
        <w:ind w:left="720"/>
      </w:pPr>
      <w:r/>
      <w:r>
        <w:t>rodas para moer grãos (</w:t>
      </w:r>
      <w:hyperlink r:id="rId18681">
        <w:r>
          <w:rPr>
            <w:color w:val="0000EE"/>
            <w:u w:val="single"/>
          </w:rPr>
          <w:t>Is 28.28</w:t>
        </w:r>
      </w:hyperlink>
      <w:r>
        <w:t>).</w:t>
      </w:r>
    </w:p>
    <w:p>
      <w:r/>
      <w:r>
        <w:t>O uso mais importante de "roda" na Bíblia está na visão do carro de Deus por Ezequiel (</w:t>
      </w:r>
      <w:hyperlink r:id="rId9080">
        <w:r>
          <w:rPr>
            <w:color w:val="0000EE"/>
            <w:u w:val="single"/>
          </w:rPr>
          <w:t>Ez 1</w:t>
        </w:r>
      </w:hyperlink>
      <w:r>
        <w:t xml:space="preserve">, </w:t>
      </w:r>
      <w:hyperlink r:id="rId8948">
        <w:r>
          <w:rPr>
            <w:color w:val="0000EE"/>
            <w:u w:val="single"/>
          </w:rPr>
          <w:t>10</w:t>
        </w:r>
      </w:hyperlink>
      <w:r>
        <w:t>). Nesta visão, rodas aparecem junto com uma nuvem em um vento tempestuoso (</w:t>
      </w:r>
      <w:hyperlink r:id="rId5504">
        <w:r>
          <w:rPr>
            <w:color w:val="0000EE"/>
            <w:u w:val="single"/>
          </w:rPr>
          <w:t>Ez 1.4</w:t>
        </w:r>
      </w:hyperlink>
      <w:r>
        <w:t>), fogo e criaturas estranhas. Ezequiel chama a atenção do leitor para cada um desses eventos. As rodas se movem em qualquer direção que as criaturas vão.</w:t>
      </w:r>
    </w:p>
    <w:p>
      <w:r/>
      <w:r>
        <w:t>O que torna essas rodas especiais é a sua forma. Ezequiel descreve cada uma como "uma roda dentro de outra roda." Isso não significa duas rodas no mesmo eixo. Em vez disso, descreve uma roda colocada dentro de outra em um ângulo de 90 graus. Essa disposição permite que a roda se mova em qualquer direção. Ela pode rolar de leste a oeste e de norte a sul. Onde quer que as criaturas vivas vão, as rodas seguem. Isso representa o julgamento universal de Deus, do qual ninguém pode escapar.</w:t>
      </w:r>
    </w:p>
    <w:p>
      <w:r/>
      <w:r>
        <w:rPr>
          <w:i/>
        </w:rPr>
        <w:t>Veja também</w:t>
      </w:r>
      <w:r>
        <w:t xml:space="preserve"> </w:t>
      </w:r>
      <w:r>
        <w:t>EZEQUIEL, Livro de</w:t>
      </w:r>
      <w:r>
        <w:t>.</w:t>
      </w:r>
      <w:r/>
      <w:r/>
    </w:p>
    <w:p>
      <w:r/>
    </w:p>
    <w:p>
      <w:pPr>
        <w:pStyle w:val="Heading2"/>
      </w:pPr>
      <w:r>
        <w:t>Rodanim</w:t>
      </w:r>
      <w:r/>
    </w:p>
    <w:p>
      <w:r/>
      <w:r>
        <w:t>Quarto filho de Javã e um descendente de Noé através da linhagem de Jafé (</w:t>
      </w:r>
      <w:hyperlink r:id="rId7427">
        <w:r>
          <w:rPr>
            <w:color w:val="0000EE"/>
            <w:u w:val="single"/>
          </w:rPr>
          <w:t>1Cr 1.7</w:t>
        </w:r>
      </w:hyperlink>
      <w:r>
        <w:t xml:space="preserve">). Uma grafia alternativa em </w:t>
      </w:r>
      <w:hyperlink r:id="rId7426">
        <w:r>
          <w:rPr>
            <w:color w:val="0000EE"/>
            <w:u w:val="single"/>
          </w:rPr>
          <w:t>Gênesis 10.4</w:t>
        </w:r>
      </w:hyperlink>
      <w:r>
        <w:t xml:space="preserve"> é Dodanim, possivelmente um erro de copista. Ambas as palavras provavelmente se referem aos povos gregos de Rodes e suas ilhas vizinhas no Mar Egeu.</w:t>
      </w:r>
      <w:r/>
      <w:r/>
    </w:p>
    <w:p>
      <w:r/>
    </w:p>
    <w:p>
      <w:pPr>
        <w:pStyle w:val="Heading2"/>
      </w:pPr>
      <w:r>
        <w:t>Rode</w:t>
      </w:r>
      <w:r/>
    </w:p>
    <w:p>
      <w:r/>
      <w:r>
        <w:t>Uma serva na casa de Maria, a mãe de João Marcos, em Jerusalém. Rode informou aos que estavam na casa que Pedro estava parado do lado de fora da porta. Como eles não estavam cientes de sua libertação da prisão, os outros inicialmente não acreditaram em seu relato (</w:t>
      </w:r>
      <w:hyperlink r:id="rId18682">
        <w:r>
          <w:rPr>
            <w:color w:val="0000EE"/>
            <w:u w:val="single"/>
          </w:rPr>
          <w:t>At 12.13–15</w:t>
        </w:r>
      </w:hyperlink>
      <w:r>
        <w:t>).</w:t>
      </w:r>
      <w:r/>
      <w:r/>
    </w:p>
    <w:p>
      <w:r/>
    </w:p>
    <w:p>
      <w:pPr>
        <w:pStyle w:val="Heading2"/>
      </w:pPr>
      <w:r>
        <w:t>Rodes</w:t>
      </w:r>
      <w:r/>
    </w:p>
    <w:p>
      <w:r/>
      <w:r>
        <w:t>Porto de escala na viagem de retorno de Paulo a Jerusalém durante sua terceira jornada missionária (</w:t>
      </w:r>
      <w:hyperlink r:id="rId6036">
        <w:r>
          <w:rPr>
            <w:color w:val="0000EE"/>
            <w:u w:val="single"/>
          </w:rPr>
          <w:t>At 21.1</w:t>
        </w:r>
      </w:hyperlink>
      <w:r>
        <w:t xml:space="preserve">). A menção de Rodes em </w:t>
      </w:r>
      <w:hyperlink r:id="rId7426">
        <w:r>
          <w:rPr>
            <w:color w:val="0000EE"/>
            <w:u w:val="single"/>
          </w:rPr>
          <w:t>Gênesis 10.4</w:t>
        </w:r>
      </w:hyperlink>
      <w:r>
        <w:t xml:space="preserve">, </w:t>
      </w:r>
      <w:hyperlink r:id="rId11003">
        <w:r>
          <w:rPr>
            <w:color w:val="0000EE"/>
            <w:u w:val="single"/>
          </w:rPr>
          <w:t>Ezequiel 27.15</w:t>
        </w:r>
      </w:hyperlink>
      <w:r>
        <w:t xml:space="preserve">, e </w:t>
      </w:r>
      <w:hyperlink r:id="rId7427">
        <w:r>
          <w:rPr>
            <w:color w:val="0000EE"/>
            <w:u w:val="single"/>
          </w:rPr>
          <w:t>1 Crônicas 1.7</w:t>
        </w:r>
      </w:hyperlink>
      <w:r>
        <w:t xml:space="preserve"> não se baseia no texto hebraico do AT, mas em sua tradução grega. A ilha de Rodes, com uma área de mais de 1.290 quilômetros quadrados, está situada perto da costa sudeste da Turquia moderna.</w:t>
      </w:r>
    </w:p>
    <w:p>
      <w:r/>
      <w:r>
        <w:t>Na época de Paulo, a ilha já era há muito tempo um importante centro da cultura grega dórica, com várias cidades. Rodes, a capital, estava situada na rota marítima antiga mais movimentada entre os portos da Itália e a província da Ásia a oeste, e os da Síria e Egito a leste. Destacava-se por seu porto natural e obras públicas. Rodes era um centro proeminente para negócios e fornecia a maioria dos precedentes para o direito marítimo romano. O segundo século a.C. marcou o auge de seu poder político, que incluía o controle da maior parte de Cária e Lícia no continente da Ásia Menor. O poder romano primeiro privou Rodes de sua dominação comercial, e durante as guerras civis romanas do primeiro século a.C., foi reduzida politicamente a pouco mais do que uma cidade provincial no Império Romano.</w:t>
      </w:r>
    </w:p>
    <w:p>
      <w:r/>
      <w:r>
        <w:t>Para celebrar uma vitória militar em 280 a.C., a cidade de Rodes ergueu uma imensa estátua de bronze do deus grego do sol, com 37 metros de altura — aproximadamente a altura da Estátua da Liberdade. A construção levou 12 anos, e logo após sua conclusão, um terremoto a quebrou nos joelhos (224 a.C.). No entanto, as ruínas fragmentadas permaneceram como uma curiosidade até a ocupação árabe da ilha no século VII. Este Colosso de Rodes foi incluído em algumas listas antigas das maravilhas do mundo.</w:t>
      </w:r>
      <w:r/>
      <w:r/>
    </w:p>
    <w:p>
      <w:r/>
    </w:p>
    <w:p>
      <w:pPr>
        <w:pStyle w:val="Heading2"/>
      </w:pPr>
      <w:r>
        <w:t>Roma, Cidade de</w:t>
      </w:r>
      <w:r/>
    </w:p>
    <w:p>
      <w:r/>
      <w:r>
        <w:t>Cidade na Itália fundada, segundo a tradição, em 753 a.C. sobre sete colinas a cerca de 24 quilômetros da foz do rio Tibre. Não tinha interesse bíblico até os tempos do NT. Há nove referências explícitas à cidade no NT (</w:t>
      </w:r>
      <w:hyperlink r:id="rId4397">
        <w:r>
          <w:rPr>
            <w:color w:val="0000EE"/>
            <w:u w:val="single"/>
          </w:rPr>
          <w:t>At 2.10</w:t>
        </w:r>
      </w:hyperlink>
      <w:r>
        <w:t xml:space="preserve">; </w:t>
      </w:r>
      <w:hyperlink r:id="rId3066">
        <w:r>
          <w:rPr>
            <w:color w:val="0000EE"/>
            <w:u w:val="single"/>
          </w:rPr>
          <w:t>18.2</w:t>
        </w:r>
      </w:hyperlink>
      <w:r>
        <w:t xml:space="preserve">; </w:t>
      </w:r>
      <w:hyperlink r:id="rId16505">
        <w:r>
          <w:rPr>
            <w:color w:val="0000EE"/>
            <w:u w:val="single"/>
          </w:rPr>
          <w:t>19.21</w:t>
        </w:r>
      </w:hyperlink>
      <w:r>
        <w:t xml:space="preserve">; </w:t>
      </w:r>
      <w:hyperlink r:id="rId18683">
        <w:r>
          <w:rPr>
            <w:color w:val="0000EE"/>
            <w:u w:val="single"/>
          </w:rPr>
          <w:t>23.11</w:t>
        </w:r>
      </w:hyperlink>
      <w:r>
        <w:t xml:space="preserve">; </w:t>
      </w:r>
      <w:hyperlink r:id="rId18684">
        <w:r>
          <w:rPr>
            <w:color w:val="0000EE"/>
            <w:u w:val="single"/>
          </w:rPr>
          <w:t>28.14,16</w:t>
        </w:r>
      </w:hyperlink>
      <w:r>
        <w:t xml:space="preserve">; </w:t>
      </w:r>
      <w:hyperlink r:id="rId18685">
        <w:r>
          <w:rPr>
            <w:color w:val="0000EE"/>
            <w:u w:val="single"/>
          </w:rPr>
          <w:t>Rm 1.7,15</w:t>
        </w:r>
      </w:hyperlink>
      <w:r>
        <w:t xml:space="preserve">; </w:t>
      </w:r>
      <w:hyperlink r:id="rId18686">
        <w:r>
          <w:rPr>
            <w:color w:val="0000EE"/>
            <w:u w:val="single"/>
          </w:rPr>
          <w:t>2Tm 1.17</w:t>
        </w:r>
      </w:hyperlink>
      <w:r>
        <w:t>), mas a estadia de Paulo lá e sua carta aos cristãos romanos, provavelmente escrita de Corinto por volta de 57 e 58 d.C., tornam a cidade imperial de considerável interesse para os leitores da Bíblia.</w:t>
      </w:r>
    </w:p>
    <w:p>
      <w:pPr>
        <w:pStyle w:val="Heading3"/>
      </w:pPr>
      <w:r>
        <w:t>História</w:t>
      </w:r>
    </w:p>
    <w:p>
      <w:r/>
      <w:r>
        <w:t>No segundo milênio a.C., migrantes indo-europeus se deslocaram para a Europa e se estabeleceram na península italiana. Um grupo se fixou ao redor da foz do rio Tibre. Um grupo vigoroso e mais culto, os etruscos da Ásia Menor, ocuparam a Itália central. Na época do surgimento de Roma, no século oitavo a.C., a população da península italiana era mista. O enclave de língua latina, que se estabeleceu em direção à foz do Tibre, era composto por agricultores. Os grupos dispersos formaram ligas e comunidades para se defenderem contra invasores. Eles construíram estacadas nas colinas para proteger famílias e rebanhos enquanto lutavam contra os invasores. A partir de tais começos, Roma emergiu como um centro dominante com seu ponto focal na área das sete colinas (o Palatino, o Capitólio, o Aventino, o Célio, o Esquilino, o Viminal e o Quirinal). Tradicionalmente, essas colinas eram consideradas sete em número; na verdade, há mais de sete, embora algumas sejam simplesmente esporões planos. O rio Tibre serpenteia em uma grande curva em S entre as colinas. Em um ponto, ele se dividia para formar uma ilha onde era raso o suficiente para atravessar. A cidade que cresceu ali foi ligada por estradas, ao norte dos etruscos, ao sul às cidades comerciais gregas, a oeste à costa e para o interior às áreas tribais nas terras altas. O conhecimento sobre a Roma antiga é baseado em grande parte em evidências arqueológicas dos restos de fortes simples e numerosos locais de sepultamento na área.</w:t>
      </w:r>
    </w:p>
    <w:p>
      <w:r/>
      <w:r>
        <w:t>Roma desenvolveu-se politicamente de maneira notável ao longo dos próximos 1.000 anos. A associação frouxa dos chefes originais, que compunham o primeiro "senado", deu lugar à dominação por reis etruscos que parecem ter treinado o povo em disciplina e obediência. Eles construíram inúmeras obras, drenaram a área do fórum e a transformaram em um centro social, comercial, industrial e político. Construíram um templo para Júpiter, Juno e Minerva no Monte Capitólio como um santuário comum para todo o povo. Quando os reis se tornaram autocráticos, a população latina se rebelou e os expulsou.</w:t>
      </w:r>
    </w:p>
    <w:p>
      <w:r/>
      <w:r>
        <w:t>A república foi estabelecida em 510 a.C. Esse estabelecimento marcou o início da notável expansão de Roma para as dimensões de um império mundial. A população, que agora estava espalhada pelas colinas e vales, apesar de suas diferenças tribais, uniu-se e resolveu problemas políticos sem derramamento de sangue. Estritamente falando, o termo “republicano” não deve ser entendido em qualquer sentido moderno como indicando um tipo de democracia. Em vez disso, as famílias antigas (patrícios) dominavam o senado e constituíam uma oligarquia. Esse arranjo foi útil para Roma naquela época. A pequena cidade-estado logo rompeu sua área confinada, superou os etruscos e dominou as cidades gregas ao sul. Os romanos então olharam mais longe. Em 273 a.C., fizeram um tratado com os ptolomeus do Egito. Em pouco tempo, expandiram-se para o norte da África, superaram os cartagineses, avançaram para a Espanha e desenvolveram ambições de ocupar o Oriente Médio também. As muitas conquistas de Roma trouxeram enorme riqueza.</w:t>
      </w:r>
    </w:p>
    <w:p>
      <w:r/>
      <w:r>
        <w:t>Com a expansão geográfica, ocorreram mudanças sociais na Itália. Durante o segundo século a.C., grandes proprietários de terras compraram as propriedades dos pequenos agricultores independentes, que posteriormente migraram para Roma, ficando sem terra e desempregados. Surgiram enormes e superlotadas casas de cortiço, que formavam favelas em crescimento. Junto a essa miséria, havia evidências da vasta riqueza das conquistas de Roma em terras distantes. Na capital, muitos edifícios magníficos foram construídos. Pompeu, que subjugou e organizou o Leste, fez muito para adornar a grande capital.</w:t>
      </w:r>
    </w:p>
    <w:p>
      <w:r/>
      <w:r>
        <w:t>A próxima etapa no desenvolvimento político de Roma ocorreu quando o senado, o órgão governante da república, se mostrou incapaz de controlar seus membros mais radicais e violentos. À medida que suas ambições políticas aumentavam, líderes aspirantes buscavam ganhar apoio popular concedendo privilégios ao povo sem a concordância do senado. Conflitos civis irromperam e assolaram o último século da república. Vitórias militares além de Roma deram poder aos generais. Nas guerras civis que se seguiram, questões constitucionais foram decididas pelo poder da espada. Mário, Sula, Pompeu, Crasso, Júlio César, Antônio e Otaviano foram as verdadeiras forças políticas no país.</w:t>
      </w:r>
    </w:p>
    <w:p>
      <w:r/>
      <w:r>
        <w:t>Por volta de 27 a.C., Otaviano emergiu como o líder supremo e recebeu o título de Augusto. Teoricamente, existia um governo dual entre o senado e Augusto (o imperador), mas um senado fraco permitiu que o Imperador se tornasse o governante de fato. Como resultado, a paz romana (</w:t>
      </w:r>
      <w:r>
        <w:rPr>
          <w:i/>
        </w:rPr>
        <w:t>pax Romana</w:t>
      </w:r>
      <w:r>
        <w:t>) prevaleceu em casa e no exterior até bem no segundo século d.C. Os imperadores do primeiro século d.C. abrangem o período da vida de Jesus e da igreja emergente, e vários são mencionados no NT: Augusto (</w:t>
      </w:r>
      <w:hyperlink r:id="rId4850">
        <w:r>
          <w:rPr>
            <w:color w:val="0000EE"/>
            <w:u w:val="single"/>
          </w:rPr>
          <w:t>Lc 2.1</w:t>
        </w:r>
      </w:hyperlink>
      <w:r>
        <w:t>), Tibério (</w:t>
      </w:r>
      <w:hyperlink r:id="rId9463">
        <w:r>
          <w:rPr>
            <w:color w:val="0000EE"/>
            <w:u w:val="single"/>
          </w:rPr>
          <w:t>Lc 3.1</w:t>
        </w:r>
      </w:hyperlink>
      <w:r>
        <w:t>), Cláudio (</w:t>
      </w:r>
      <w:hyperlink r:id="rId2857">
        <w:r>
          <w:rPr>
            <w:color w:val="0000EE"/>
            <w:u w:val="single"/>
          </w:rPr>
          <w:t>At 11.28</w:t>
        </w:r>
      </w:hyperlink>
      <w:r>
        <w:t xml:space="preserve">; </w:t>
      </w:r>
      <w:hyperlink r:id="rId3066">
        <w:r>
          <w:rPr>
            <w:color w:val="0000EE"/>
            <w:u w:val="single"/>
          </w:rPr>
          <w:t>18.2</w:t>
        </w:r>
      </w:hyperlink>
      <w:r>
        <w:t>), e Nero, que é referido sem ser explicitamente nomeado (</w:t>
      </w:r>
      <w:hyperlink r:id="rId2873">
        <w:r>
          <w:rPr>
            <w:color w:val="0000EE"/>
            <w:u w:val="single"/>
          </w:rPr>
          <w:t>At 25.10–12</w:t>
        </w:r>
      </w:hyperlink>
      <w:r>
        <w:t xml:space="preserve">; </w:t>
      </w:r>
      <w:hyperlink r:id="rId15972">
        <w:r>
          <w:rPr>
            <w:color w:val="0000EE"/>
            <w:u w:val="single"/>
          </w:rPr>
          <w:t>27.24</w:t>
        </w:r>
      </w:hyperlink>
      <w:r>
        <w:t xml:space="preserve">; </w:t>
      </w:r>
      <w:hyperlink r:id="rId18687">
        <w:r>
          <w:rPr>
            <w:color w:val="0000EE"/>
            <w:u w:val="single"/>
          </w:rPr>
          <w:t>2Tm 4.16–17</w:t>
        </w:r>
      </w:hyperlink>
      <w:r>
        <w:t>).</w:t>
      </w:r>
    </w:p>
    <w:p>
      <w:r/>
      <w:r>
        <w:t>A cidade de Roma era a capital do império e a residência do imperador, senadores, administradores, militares e sacerdotes. Augusto, o primeiro dos imperadores, cuja liderança e esforços diplomáticos trouxeram paz a Roma após duas guerras civis e um século de conflitos, dedicou-se à restauração e ornamentação da cidade. Ele se orgulhava de ter encontrado Roma construída de tijolos e deixado-a construída de mármore. Seus esforços para restaurar as antigas religiões de Roma levaram à construção de muitos templos. No monte Palatino, Augusto uniu várias casas já existentes em um palácio para sua própria residência. Um novo e suntuoso templo de Apolo, cercado por colunatas nas quais o imperador abrigou uma grande biblioteca, foi erguido perto do palácio. O próprio palácio tinha vista para um impressionante conjunto de novos edifícios de mármore no vale abaixo: uma basílica, uma casa do senado, um templo do “divino Júlio”, uma tribuna de mármore, dois novos fóruns impressionantes, o fórum de César e o fórum de Augusto. Imperadores posteriores acrescentaram a este esplendor. Além da área central do fórum, foram construídos os palácios de Tibério e Calígula, vários termas, arcos e teatros, o Circo Máximo e o Circo de Nero. Todo o conjunto foi cercado por uma muralha construída fora do antigo muro de Sérvio. Vários aquedutos traziam água para a cidade, e estradas significativas do norte, sul, leste e oeste convergiam para a área central da cidade.</w:t>
      </w:r>
    </w:p>
    <w:p>
      <w:pPr>
        <w:pStyle w:val="Heading3"/>
      </w:pPr>
      <w:r>
        <w:t>Presença militar de Roma na Palestina</w:t>
      </w:r>
    </w:p>
    <w:p>
      <w:r/>
      <w:r>
        <w:t>Com a intervenção militar de Pompeu nos assuntos internos da Judeia em 63 a.C., Roma estabeleceu sua presença na Palestina. O censo ordenado por Augusto César, afetando as províncias orientais assim como o restante do mundo romano (</w:t>
      </w:r>
      <w:hyperlink r:id="rId6244">
        <w:r>
          <w:rPr>
            <w:color w:val="0000EE"/>
            <w:u w:val="single"/>
          </w:rPr>
          <w:t>Lc 2.1–2</w:t>
        </w:r>
      </w:hyperlink>
      <w:r>
        <w:t xml:space="preserve">), foi um lembrete vívido. A presença militar romana é amplamente refletida nas páginas dos Evangelhos e Atos (e.g., </w:t>
      </w:r>
      <w:hyperlink r:id="rId17489">
        <w:r>
          <w:rPr>
            <w:color w:val="0000EE"/>
            <w:u w:val="single"/>
          </w:rPr>
          <w:t>Mc 15.16</w:t>
        </w:r>
      </w:hyperlink>
      <w:r>
        <w:t xml:space="preserve">; </w:t>
      </w:r>
      <w:hyperlink r:id="rId11903">
        <w:r>
          <w:rPr>
            <w:color w:val="0000EE"/>
            <w:u w:val="single"/>
          </w:rPr>
          <w:t>Lc 3.14</w:t>
        </w:r>
      </w:hyperlink>
      <w:r>
        <w:t xml:space="preserve">; </w:t>
      </w:r>
      <w:hyperlink r:id="rId18688">
        <w:r>
          <w:rPr>
            <w:color w:val="0000EE"/>
            <w:u w:val="single"/>
          </w:rPr>
          <w:t>7.1–8</w:t>
        </w:r>
      </w:hyperlink>
      <w:r>
        <w:t xml:space="preserve">; </w:t>
      </w:r>
      <w:hyperlink r:id="rId4712">
        <w:r>
          <w:rPr>
            <w:color w:val="0000EE"/>
            <w:u w:val="single"/>
          </w:rPr>
          <w:t>At 5.37</w:t>
        </w:r>
      </w:hyperlink>
      <w:r>
        <w:t>).</w:t>
      </w:r>
    </w:p>
    <w:p>
      <w:r/>
      <w:r>
        <w:t>No período do NT, o serviço nas legiões estava aberto a todos os cidadãos romanos. Um exército profissional de voluntários havia substituído uma milícia recrutada. O exército permanente era composto por legiões recrutadas entre os cidadãos. As legiões eram comandadas por oficiais experientes com a patente de cônsul. As forças auxiliares eram recrutadas fora da Itália, e o incentivo para o alistamento era a cidadania romana para um soldado e seus descendentes após 25 anos de serviço.</w:t>
      </w:r>
    </w:p>
    <w:p>
      <w:r/>
      <w:r>
        <w:t xml:space="preserve">Nas províncias, o comando militar supremo estava com o governador ou prefeito provincial. Na Judeia, na época do ministério público de Jesus, Pôncio Pilatos foi designado "prefeito da Judeia" em uma inscrição latina encontrada em Cesareia em 1961. No centro oficial de administração da Judeia, Cesareia Marítima, uma ou mais legiões à disposição do governador seriam guarnecidas. Em ocasiões especiais, particularmente nos grandes festivais judaicos, quando tumultos e desordens poderiam ser antecipados, o governador provincial residiria em Jerusalém, a cerca de 96 quilômetros ao sul, acompanhado por um contingente substancial de tropas (cf. </w:t>
      </w:r>
      <w:hyperlink r:id="rId10615">
        <w:r>
          <w:rPr>
            <w:color w:val="0000EE"/>
            <w:u w:val="single"/>
          </w:rPr>
          <w:t>Lc 13.1</w:t>
        </w:r>
      </w:hyperlink>
      <w:r>
        <w:t>).</w:t>
      </w:r>
    </w:p>
    <w:p>
      <w:r/>
      <w:r>
        <w:t>Augusto estabeleceu um exército permanente grande o suficiente para defender e pacificar o império. Em 15 a.C., havia 28 legiões, cada uma composta por cerca de 5.000 soldados de infantaria, além de uma guarda montada de 128 homens. Após três legiões serem destruídas em revoltas por tribos germânicas ferozes em 9 d.C., o número permaneceu em 25 por algum tempo. Isso sugere um exército permanente de cerca de 125.000 legionários no primeiro século.</w:t>
      </w:r>
    </w:p>
    <w:p>
      <w:r/>
      <w:r>
        <w:t>Augusto também foi responsável por estabelecer um exército auxiliar permanente, quase do mesmo tamanho que o exército legionário. As forças auxiliares, recrutadas de provinciais que ainda não haviam recebido a cidadania romana, incluíam tanto cavalaria quanto infantaria. A cavalaria era organizada em esquadrões, a infantaria em coortes de 1.000 sob o comando de um tribuno militar (</w:t>
      </w:r>
      <w:hyperlink r:id="rId18689">
        <w:r>
          <w:rPr>
            <w:color w:val="0000EE"/>
            <w:u w:val="single"/>
          </w:rPr>
          <w:t>At 21.31–33</w:t>
        </w:r>
      </w:hyperlink>
      <w:r>
        <w:t>). Quando o apóstolo Paulo estava em Jerusalém, o tribuno era Cláudio Lísias, um homem de nascimento grego cuja cidadania romana comprada possibilitou sua elevação a comandante de uma coorte auxiliar (</w:t>
      </w:r>
      <w:hyperlink r:id="rId4780">
        <w:r>
          <w:rPr>
            <w:color w:val="0000EE"/>
            <w:u w:val="single"/>
          </w:rPr>
          <w:t>22.28</w:t>
        </w:r>
      </w:hyperlink>
      <w:r>
        <w:t xml:space="preserve">; </w:t>
      </w:r>
      <w:hyperlink r:id="rId2838">
        <w:r>
          <w:rPr>
            <w:color w:val="0000EE"/>
            <w:u w:val="single"/>
          </w:rPr>
          <w:t>23.26</w:t>
        </w:r>
      </w:hyperlink>
      <w:r>
        <w:t>). Para enviar Paulo de Jerusalém para Cesareia, Cláudio poderia delegar uma escolta militar de 200 soldados comandados por dois centuriões, além de 70 guardas montados (</w:t>
      </w:r>
      <w:hyperlink r:id="rId18690">
        <w:r>
          <w:rPr>
            <w:color w:val="0000EE"/>
            <w:u w:val="single"/>
          </w:rPr>
          <w:t>23.23</w:t>
        </w:r>
      </w:hyperlink>
      <w:r>
        <w:t>), sem enfraquecer perigosamente a força da guarnição da fortaleza.</w:t>
      </w:r>
    </w:p>
    <w:p>
      <w:r/>
      <w:r>
        <w:t>Uma coorte era composta por dez ou cinco "centúrias", unidades consistindo de 100 homens sob o comando de um centurião cujas funções se assemelhavam às de um capitão do exército moderno. Cornélio (</w:t>
      </w:r>
      <w:hyperlink r:id="rId18185">
        <w:r>
          <w:rPr>
            <w:color w:val="0000EE"/>
            <w:u w:val="single"/>
          </w:rPr>
          <w:t>At 10.1</w:t>
        </w:r>
      </w:hyperlink>
      <w:r>
        <w:t>) era um centurião romano designado para uma das coortes auxiliares na Judeia. Há evidências inscricionais da presença de sua unidade, "a Segunda Coorte Italiana de Cidadãos Romanos", na Síria por volta de 69 d.C. Paulo foi enviado a Roma sob a custódia de outro centurião, Júlio, que pertencia à coorte Augusta ou imperial (</w:t>
      </w:r>
      <w:hyperlink r:id="rId2833">
        <w:r>
          <w:rPr>
            <w:color w:val="0000EE"/>
            <w:u w:val="single"/>
          </w:rPr>
          <w:t>27.1</w:t>
        </w:r>
      </w:hyperlink>
      <w:r>
        <w:t xml:space="preserve">). O termo Augusta era um título de honra às vezes concedido a tropas auxiliares. Júlio era evidentemente um centurião legionário designado ao corpo de oficiais mensageiros que mantinham um serviço de comunicação entre o imperador e seus exércitos provinciais. Ele tinha um destacamento de soldados sob seu comando na viagem a Roma (v. </w:t>
      </w:r>
      <w:hyperlink r:id="rId12603">
        <w:r>
          <w:rPr>
            <w:color w:val="0000EE"/>
            <w:u w:val="single"/>
          </w:rPr>
          <w:t>3</w:t>
        </w:r>
      </w:hyperlink>
      <w:r>
        <w:t>) e, ao chegar, entregou seus prisioneiros ao comandante do corpo de mensageiros (</w:t>
      </w:r>
      <w:hyperlink r:id="rId12606">
        <w:r>
          <w:rPr>
            <w:color w:val="0000EE"/>
            <w:u w:val="single"/>
          </w:rPr>
          <w:t>28.16</w:t>
        </w:r>
      </w:hyperlink>
      <w:r>
        <w:t>). Provavelmente todos os centuriões romanos mencionados nos Evangelhos ou Atos (</w:t>
      </w:r>
      <w:hyperlink r:id="rId3981">
        <w:r>
          <w:rPr>
            <w:color w:val="0000EE"/>
            <w:u w:val="single"/>
          </w:rPr>
          <w:t>Mt 8.5</w:t>
        </w:r>
      </w:hyperlink>
      <w:r>
        <w:t xml:space="preserve">; </w:t>
      </w:r>
      <w:hyperlink r:id="rId4719">
        <w:r>
          <w:rPr>
            <w:color w:val="0000EE"/>
            <w:u w:val="single"/>
          </w:rPr>
          <w:t>Mc 15.39</w:t>
        </w:r>
      </w:hyperlink>
      <w:r>
        <w:t xml:space="preserve">; </w:t>
      </w:r>
      <w:hyperlink r:id="rId3982">
        <w:r>
          <w:rPr>
            <w:color w:val="0000EE"/>
            <w:u w:val="single"/>
          </w:rPr>
          <w:t>Lc 7.2</w:t>
        </w:r>
      </w:hyperlink>
      <w:r>
        <w:t>) eram oficiais designados para uma coorte auxiliar.</w:t>
      </w:r>
    </w:p>
    <w:p>
      <w:pPr>
        <w:pStyle w:val="Heading3"/>
      </w:pPr>
      <w:r>
        <w:t>Cristãos em Roma</w:t>
      </w:r>
    </w:p>
    <w:p>
      <w:r/>
      <w:r>
        <w:t>Foi para esta magnífica cidade que Paulo veio sob escolta em março de 59 d.C. Ele descobriu que a igreja cristã já havia sido estabelecida ali. De fato, ele já havia se comunicado com os cristãos em sua carta aos Romanos no início de 57. Havia uma considerável colônia judaica em Roma no primeiro século d.C., descendente do grande número de escravos judeus trazidos para a cidade por Pompeu após a captura de Jerusalém em 63 a.C. O imperador Cláudio expulsou os judeus de Roma em 49 d.C., possivelmente quando Jesus foi proclamado como Messias na sinagoga. Quem eram os pregadores não se sabe, mas provavelmente eram viajantes e comerciantes cristãos. A Carta de Paulo aos Romanos foi sua exposição às igrejas gentias que surgiram independentemente dele. Seu primeiro contato conhecido com o povo de Roma foi quando ele conheceu Áquila e Priscila em Corinto (</w:t>
      </w:r>
      <w:hyperlink r:id="rId3066">
        <w:r>
          <w:rPr>
            <w:color w:val="0000EE"/>
            <w:u w:val="single"/>
          </w:rPr>
          <w:t>At 18.2</w:t>
        </w:r>
      </w:hyperlink>
      <w:r>
        <w:t>). Este casal foi expulso de Roma na época de Cláudio. Mais tarde, Paulo esperava visitar Roma (</w:t>
      </w:r>
      <w:hyperlink r:id="rId16505">
        <w:r>
          <w:rPr>
            <w:color w:val="0000EE"/>
            <w:u w:val="single"/>
          </w:rPr>
          <w:t>At 19.21</w:t>
        </w:r>
      </w:hyperlink>
      <w:r>
        <w:t>) em seu caminho para a Espanha (</w:t>
      </w:r>
      <w:hyperlink r:id="rId18691">
        <w:r>
          <w:rPr>
            <w:color w:val="0000EE"/>
            <w:u w:val="single"/>
          </w:rPr>
          <w:t>Rm 15.24</w:t>
        </w:r>
      </w:hyperlink>
      <w:r>
        <w:t xml:space="preserve">). Em sua saudação, ele mencionou um considerável círculo de cristãos em Roma (cap. </w:t>
      </w:r>
      <w:hyperlink r:id="rId4409">
        <w:r>
          <w:rPr>
            <w:color w:val="0000EE"/>
            <w:u w:val="single"/>
          </w:rPr>
          <w:t>16</w:t>
        </w:r>
      </w:hyperlink>
      <w:r>
        <w:t xml:space="preserve">). As referências a famílias em vários lugares (vv. </w:t>
      </w:r>
      <w:hyperlink r:id="rId18692">
        <w:r>
          <w:rPr>
            <w:color w:val="0000EE"/>
            <w:u w:val="single"/>
          </w:rPr>
          <w:t>5,10,11,14,15</w:t>
        </w:r>
      </w:hyperlink>
      <w:r>
        <w:t>) sugerem que estas eram igrejas domésticas da igreja cristã romana. Durante seu cativeiro, Paulo foi prisioneiro das autoridades romanas, mas conseguiu se encontrar com os líderes locais dos judeus, explicar suas experiências a eles e expor o evangelho pessoalmente (</w:t>
      </w:r>
      <w:hyperlink r:id="rId2847">
        <w:r>
          <w:rPr>
            <w:color w:val="0000EE"/>
            <w:u w:val="single"/>
          </w:rPr>
          <w:t>At 28.16–31</w:t>
        </w:r>
      </w:hyperlink>
      <w:r>
        <w:t>).</w:t>
      </w:r>
    </w:p>
    <w:p>
      <w:r/>
      <w:r>
        <w:t>No livro do Apocalipse, Roma adquire um significado sinistro. No final do primeiro século d.C., Roma já havia bebido o “sangue dos mártires de Jesus” (</w:t>
      </w:r>
      <w:hyperlink r:id="rId18693">
        <w:r>
          <w:rPr>
            <w:color w:val="0000EE"/>
            <w:u w:val="single"/>
          </w:rPr>
          <w:t>Ap 17.6</w:t>
        </w:r>
      </w:hyperlink>
      <w:r>
        <w:t>), uma referência aos primeiros mártires.</w:t>
      </w:r>
    </w:p>
    <w:p>
      <w:r/>
      <w:r>
        <w:rPr>
          <w:i/>
        </w:rPr>
        <w:t>Veja também</w:t>
      </w:r>
      <w:r>
        <w:t xml:space="preserve"> </w:t>
      </w:r>
      <w:r>
        <w:t>Césares, Os</w:t>
      </w:r>
      <w:r>
        <w:t xml:space="preserve">; </w:t>
      </w:r>
      <w:r>
        <w:t>Romanos, Carta aos</w:t>
      </w:r>
      <w:r>
        <w:t>.</w:t>
      </w:r>
      <w:r/>
      <w:r/>
    </w:p>
    <w:p>
      <w:r/>
    </w:p>
    <w:p>
      <w:pPr>
        <w:pStyle w:val="Heading2"/>
      </w:pPr>
      <w:r>
        <w:t>Rôs</w:t>
      </w:r>
      <w:r/>
    </w:p>
    <w:p>
      <w:r/>
      <w:r>
        <w:t>Sétimo dos dez filhos de Benjamim (</w:t>
      </w:r>
      <w:hyperlink r:id="rId661">
        <w:r>
          <w:rPr>
            <w:color w:val="0000EE"/>
            <w:u w:val="single"/>
          </w:rPr>
          <w:t>Gn 46.21</w:t>
        </w:r>
      </w:hyperlink>
      <w:r>
        <w:t>).</w:t>
      </w:r>
      <w:r/>
      <w:r/>
    </w:p>
    <w:p>
      <w:r/>
    </w:p>
    <w:p>
      <w:pPr>
        <w:pStyle w:val="Heading2"/>
      </w:pPr>
      <w:r>
        <w:t>Roupas</w:t>
      </w:r>
      <w:r/>
    </w:p>
    <w:p>
      <w:r/>
      <w:r>
        <w:t>As roupas mencionadas na Bíblia são geralmente referidas em termos gerais como “roupa íntima”, “roupa exterior” ou “túnica”. Poucas descrições dão detalhes específicos de trajes ou roupas, e é, portanto, necessário confiar em pinturas, cerâmica, decorações, estátuas e baixos-relevos para mostrar os estilos de roupas do período.</w:t>
      </w:r>
    </w:p>
    <w:p>
      <w:r/>
      <w:r>
        <w:t>Muitos povos antigos do Oriente Próximo (incluindo os israelitas) criavam rebanhos de ovelhas antes da descoberta da fiação e tecelagem e usavam o couro de suas peles para roupas. Mais tarde, a lã retirada das ovelhas e dos ramos nos quais o velo havia ficado acumulado enquanto os animais passavam e esbarravam eram transformados em um tecido que lembrava o feltro. A lã permaneceu um dos tecidos mais importantes para roupas ao longo do período bíblico.</w:t>
      </w:r>
    </w:p>
    <w:p>
      <w:r/>
      <w:r>
        <w:t>À medida que as tribos israelitas seminômades se tornaram mais sedentárias por natureza, o linho foi cultivado. Este era tecido em linho, que se tornou um tecido comumente usado. No início da Idade do Bronze médio (ca. 2000 a.C.), as sedas finas começaram a ser importadas da China, e a seda selvagem era produzida em algumas áreas do Oriente Próximo. O algodão era conhecido no Egito, mas não parece ter sido produzido em qualquer lugar na Palestina no período bíblico.</w:t>
      </w:r>
    </w:p>
    <w:p>
      <w:pPr>
        <w:pStyle w:val="Heading3"/>
      </w:pPr>
      <w:r>
        <w:t>Roupas masculinas</w:t>
      </w:r>
    </w:p>
    <w:p>
      <w:r/>
      <w:r>
        <w:t>No início dos tempos bíblicos, a tanga era um item importante de roupa masculina que era usada por todos os níveis da sociedade. Antes de 2000 a.C., um tipo de tanga também era a peça de roupa costumeira para todos os egípcios, do trabalhador mais humilde ao faraó. Em um período posterior, no entanto, apareceu apenas como parte da vestimenta militar (</w:t>
      </w:r>
      <w:hyperlink r:id="rId18694">
        <w:r>
          <w:rPr>
            <w:color w:val="0000EE"/>
            <w:u w:val="single"/>
          </w:rPr>
          <w:t>Ez 23.15</w:t>
        </w:r>
      </w:hyperlink>
      <w:r>
        <w:t>). A roupa íntima (uma túnica ou camisa) era feita de lã ou linho. Tinha aberturas para o pescoço e braços, e parece ter tido mangas compridas, embora alguns estilos tivessem mangas mais curtas. Era usada próxima à pele e se estendia até os joelhos ou, mais frequentemente, até os tornozelos, sendo frequentemente amarrada na cintura. O quíton grego (“capa”) e a túnica romana teriam sido roupas íntimas de um caráter semelhante. Um homem que não usava nada além desta roupa de baixo era considerado “nu”. O jovem que seguiu Jesus no Getsêmani em sua prisão estava provavelmente vestido desta maneira (</w:t>
      </w:r>
      <w:hyperlink r:id="rId18695">
        <w:r>
          <w:rPr>
            <w:color w:val="0000EE"/>
            <w:u w:val="single"/>
          </w:rPr>
          <w:t>Mc 14.51–52</w:t>
        </w:r>
      </w:hyperlink>
      <w:r>
        <w:t>).</w:t>
      </w:r>
    </w:p>
    <w:p>
      <w:r/>
      <w:r>
        <w:t>De um modo geral, a roupa externa, formada de um pedaço de pano em forma quadrada, era referida como um manto ou capa. Tinha aberturas para os braços e era ficava sobre um ou ambos os ombros.</w:t>
      </w:r>
    </w:p>
    <w:p>
      <w:r/>
      <w:r>
        <w:t>Um homem hebreu era considerado impropriamente vestido sem seu manto, e era proibido de exigir o manto de outro como um empréstimo ou penhor. À noite, quando os outros itens de roupa eram removidos, o manto, que muitas vezes era feito de pele de animal ou lã, era usado como um cobertor (</w:t>
      </w:r>
      <w:hyperlink r:id="rId1288">
        <w:r>
          <w:rPr>
            <w:color w:val="0000EE"/>
            <w:u w:val="single"/>
          </w:rPr>
          <w:t>Êx 22.26–27</w:t>
        </w:r>
      </w:hyperlink>
      <w:r>
        <w:t xml:space="preserve">; </w:t>
      </w:r>
      <w:hyperlink r:id="rId18696">
        <w:r>
          <w:rPr>
            <w:color w:val="0000EE"/>
            <w:u w:val="single"/>
          </w:rPr>
          <w:t>Dt 24.13</w:t>
        </w:r>
      </w:hyperlink>
      <w:r>
        <w:t>). Mantos feitos de pelos de cabra ou pelos de camelo, como o que João Batista usava (</w:t>
      </w:r>
      <w:hyperlink r:id="rId1497">
        <w:r>
          <w:rPr>
            <w:color w:val="0000EE"/>
            <w:u w:val="single"/>
          </w:rPr>
          <w:t>Mt 3.4</w:t>
        </w:r>
      </w:hyperlink>
      <w:r>
        <w:t xml:space="preserve">; </w:t>
      </w:r>
      <w:hyperlink r:id="rId1795">
        <w:r>
          <w:rPr>
            <w:color w:val="0000EE"/>
            <w:u w:val="single"/>
          </w:rPr>
          <w:t>Mc 1.6</w:t>
        </w:r>
      </w:hyperlink>
      <w:r>
        <w:t>), teriam sido especialmente quentes à noite.</w:t>
      </w:r>
    </w:p>
    <w:p>
      <w:r/>
      <w:r>
        <w:t>A capa de muitas cores que Jacó deu a José era provavelmente uma camisa listrada ou túnica feita de couro, ouu feltro de lã. A roupa toda poderia ter sido amarrada com uma borda de lã (</w:t>
      </w:r>
      <w:hyperlink r:id="rId5514">
        <w:r>
          <w:rPr>
            <w:color w:val="0000EE"/>
            <w:u w:val="single"/>
          </w:rPr>
          <w:t>Gn 37.3</w:t>
        </w:r>
      </w:hyperlink>
      <w:r>
        <w:t>). A roupa que Ana fazia todos os anos para o jovem Samuel era provavelmente uma capa ou manto (</w:t>
      </w:r>
      <w:hyperlink r:id="rId18697">
        <w:r>
          <w:rPr>
            <w:color w:val="0000EE"/>
            <w:u w:val="single"/>
          </w:rPr>
          <w:t>1Sm 2.19</w:t>
        </w:r>
      </w:hyperlink>
      <w:r>
        <w:t>).</w:t>
      </w:r>
    </w:p>
    <w:p>
      <w:r/>
      <w:r>
        <w:t>Os mantos eram geralmente feitos com uma barra; foi isso que a mulher tocou quando ela veio a Jesus para ser curada (</w:t>
      </w:r>
      <w:hyperlink r:id="rId7998">
        <w:r>
          <w:rPr>
            <w:color w:val="0000EE"/>
            <w:u w:val="single"/>
          </w:rPr>
          <w:t>Mt 9.20</w:t>
        </w:r>
      </w:hyperlink>
      <w:r>
        <w:t>). O manto que os soldados romanos colocaram ironicamente sobre Jesus para simbolizar sua realeza era provavelmente um manto militar púrpura, como os que os oficiais romanos comumente usavam (</w:t>
      </w:r>
      <w:hyperlink r:id="rId18698">
        <w:r>
          <w:rPr>
            <w:color w:val="0000EE"/>
            <w:u w:val="single"/>
          </w:rPr>
          <w:t>Mt 27.28–31</w:t>
        </w:r>
      </w:hyperlink>
      <w:r>
        <w:t xml:space="preserve">; </w:t>
      </w:r>
      <w:hyperlink r:id="rId5573">
        <w:r>
          <w:rPr>
            <w:color w:val="0000EE"/>
            <w:u w:val="single"/>
          </w:rPr>
          <w:t>Mc 15.17</w:t>
        </w:r>
      </w:hyperlink>
      <w:r>
        <w:t xml:space="preserve">; </w:t>
      </w:r>
      <w:hyperlink r:id="rId5574">
        <w:r>
          <w:rPr>
            <w:color w:val="0000EE"/>
            <w:u w:val="single"/>
          </w:rPr>
          <w:t>Jo 19.2</w:t>
        </w:r>
      </w:hyperlink>
      <w:r>
        <w:t>).</w:t>
      </w:r>
    </w:p>
    <w:p>
      <w:r/>
      <w:r>
        <w:t>Os gregos usavam o termo himation para uma roupa externa, semelhante ao manto que foi colocado no filho pródigo (</w:t>
      </w:r>
      <w:hyperlink r:id="rId18699">
        <w:r>
          <w:rPr>
            <w:color w:val="0000EE"/>
            <w:u w:val="single"/>
          </w:rPr>
          <w:t>Lc 15.22</w:t>
        </w:r>
      </w:hyperlink>
      <w:r>
        <w:t>) quando seu pai celebrou o retorno do filho com sua melhor comida, roupas e joias. O manto que Paulo usava (</w:t>
      </w:r>
      <w:hyperlink r:id="rId16533">
        <w:r>
          <w:rPr>
            <w:color w:val="0000EE"/>
            <w:u w:val="single"/>
          </w:rPr>
          <w:t>2Tm 4.13</w:t>
        </w:r>
      </w:hyperlink>
      <w:r>
        <w:t>) pode muito bem ter sido um estilo circular de capa que era popular no primeiro século d.C.</w:t>
      </w:r>
    </w:p>
    <w:p>
      <w:r/>
      <w:r>
        <w:t>As roupas eram de diferentes qualidades e caracterizavam uma posição ou ofício (</w:t>
      </w:r>
      <w:hyperlink r:id="rId18700">
        <w:r>
          <w:rPr>
            <w:color w:val="0000EE"/>
            <w:u w:val="single"/>
          </w:rPr>
          <w:t>Is 3.6</w:t>
        </w:r>
      </w:hyperlink>
      <w:r>
        <w:t>). Os escribas e profetas usavam mantos especiais simbólicos de suas profissões. Elias usava o manto de um profeta (</w:t>
      </w:r>
      <w:hyperlink r:id="rId6050">
        <w:r>
          <w:rPr>
            <w:color w:val="0000EE"/>
            <w:u w:val="single"/>
          </w:rPr>
          <w:t>1Rs 19.13, 19</w:t>
        </w:r>
      </w:hyperlink>
      <w:r>
        <w:t xml:space="preserve">; </w:t>
      </w:r>
      <w:hyperlink r:id="rId6051">
        <w:r>
          <w:rPr>
            <w:color w:val="0000EE"/>
            <w:u w:val="single"/>
          </w:rPr>
          <w:t>2Rs 2.8, 13–14</w:t>
        </w:r>
      </w:hyperlink>
      <w:r>
        <w:t>). Nos tempos do NT, os escribas usavam vestes especiais (</w:t>
      </w:r>
      <w:hyperlink r:id="rId8208">
        <w:r>
          <w:rPr>
            <w:color w:val="0000EE"/>
            <w:u w:val="single"/>
          </w:rPr>
          <w:t>Mc 12.38</w:t>
        </w:r>
      </w:hyperlink>
      <w:r>
        <w:t xml:space="preserve">; </w:t>
      </w:r>
      <w:hyperlink r:id="rId8213">
        <w:r>
          <w:rPr>
            <w:color w:val="0000EE"/>
            <w:u w:val="single"/>
          </w:rPr>
          <w:t>Lc 20.46</w:t>
        </w:r>
      </w:hyperlink>
      <w:r>
        <w:t>).</w:t>
      </w:r>
    </w:p>
    <w:p>
      <w:r/>
      <w:r>
        <w:t>Cristo e seus discípulos provavelmente usavam túnicas e sandálias, e carregavam bolsas e cajados (</w:t>
      </w:r>
      <w:hyperlink r:id="rId18701">
        <w:r>
          <w:rPr>
            <w:color w:val="0000EE"/>
            <w:u w:val="single"/>
          </w:rPr>
          <w:t>Mt 10.9–10</w:t>
        </w:r>
      </w:hyperlink>
      <w:r>
        <w:t xml:space="preserve">; </w:t>
      </w:r>
      <w:hyperlink r:id="rId3835">
        <w:r>
          <w:rPr>
            <w:color w:val="0000EE"/>
            <w:u w:val="single"/>
          </w:rPr>
          <w:t>Mc 6.8</w:t>
        </w:r>
      </w:hyperlink>
      <w:r>
        <w:t xml:space="preserve">; </w:t>
      </w:r>
      <w:hyperlink r:id="rId18702">
        <w:r>
          <w:rPr>
            <w:color w:val="0000EE"/>
            <w:u w:val="single"/>
          </w:rPr>
          <w:t>Lc 9.3</w:t>
        </w:r>
      </w:hyperlink>
      <w:r>
        <w:t xml:space="preserve">; </w:t>
      </w:r>
      <w:hyperlink r:id="rId3832">
        <w:r>
          <w:rPr>
            <w:color w:val="0000EE"/>
            <w:u w:val="single"/>
          </w:rPr>
          <w:t>10.4</w:t>
        </w:r>
      </w:hyperlink>
      <w:r>
        <w:t>). Quando os soldados romanos dividiram as roupas de Jesus após a Crucificação (</w:t>
      </w:r>
      <w:hyperlink r:id="rId11804">
        <w:r>
          <w:rPr>
            <w:color w:val="0000EE"/>
            <w:u w:val="single"/>
          </w:rPr>
          <w:t>Jo 19.23–24</w:t>
        </w:r>
      </w:hyperlink>
      <w:r>
        <w:t>), eles lançaram sortes pela roupa íntima, tecida sem costuras e provavelmente feita de lã. Este era o mais valioso dos itens de roupa de Jesus.</w:t>
      </w:r>
    </w:p>
    <w:p>
      <w:pPr>
        <w:pStyle w:val="Heading3"/>
      </w:pPr>
      <w:r>
        <w:t>Calçados</w:t>
      </w:r>
    </w:p>
    <w:p>
      <w:r/>
      <w:r>
        <w:t>Nos tempos bíblicos, o calçado consistia em sapatos e sandálias, que eram uma parte essencial do guarda-roupa de uma pessoa (</w:t>
      </w:r>
      <w:hyperlink r:id="rId11582">
        <w:r>
          <w:rPr>
            <w:color w:val="0000EE"/>
            <w:u w:val="single"/>
          </w:rPr>
          <w:t>2Cr 28.15</w:t>
        </w:r>
      </w:hyperlink>
      <w:r>
        <w:t xml:space="preserve">; </w:t>
      </w:r>
      <w:hyperlink r:id="rId18703">
        <w:r>
          <w:rPr>
            <w:color w:val="0000EE"/>
            <w:u w:val="single"/>
          </w:rPr>
          <w:t>Atos 12.8</w:t>
        </w:r>
      </w:hyperlink>
      <w:r>
        <w:t>). Ocasionalmente sandálias tinham solas de madeira, mas geralmente elas eram de couro. Às vezes, elas tinham uma frente superior fechada e a parte de trás aberta. A parte superior era tipicamente feita de tiras de couro, e às vezes a sandália simplesmente consistia em uma sola com correias amarradas ao redor da perna ou tornozelo. As sandálias de uma mulher eram consideradas uma parte atraente e elegante de seu guarda-roupa (</w:t>
      </w:r>
      <w:hyperlink r:id="rId18704">
        <w:r>
          <w:rPr>
            <w:color w:val="0000EE"/>
            <w:u w:val="single"/>
          </w:rPr>
          <w:t>Jt 10.4</w:t>
        </w:r>
      </w:hyperlink>
      <w:r>
        <w:t xml:space="preserve">; </w:t>
      </w:r>
      <w:hyperlink r:id="rId18705">
        <w:r>
          <w:rPr>
            <w:color w:val="0000EE"/>
            <w:u w:val="single"/>
          </w:rPr>
          <w:t>16.9</w:t>
        </w:r>
      </w:hyperlink>
      <w:r>
        <w:t>).</w:t>
      </w:r>
    </w:p>
    <w:p>
      <w:r/>
      <w:r>
        <w:t>Em uma longa jornada pelo país, as sandálias poderiam ser carregadas e guardadas para a chegada na próxima cidade, para que não fossem desgastadas. (Estar descalço em uma cidade ou vilarejo era um sinal de pobreza miserável). Uma vez que as sandálias tinham um design tão aberto, pode-se facilmente entender a necessidade da lavagem ritual dos pés de um convidado.</w:t>
      </w:r>
    </w:p>
    <w:p>
      <w:r/>
      <w:r>
        <w:t>Os sapatos não eram usados no templo ou em qualquer terra santa (</w:t>
      </w:r>
      <w:hyperlink r:id="rId18706">
        <w:r>
          <w:rPr>
            <w:color w:val="0000EE"/>
            <w:u w:val="single"/>
          </w:rPr>
          <w:t>Êx 3.5</w:t>
        </w:r>
      </w:hyperlink>
      <w:r>
        <w:t xml:space="preserve">; </w:t>
      </w:r>
      <w:hyperlink r:id="rId18707">
        <w:r>
          <w:rPr>
            <w:color w:val="0000EE"/>
            <w:u w:val="single"/>
          </w:rPr>
          <w:t>Js 5.15</w:t>
        </w:r>
      </w:hyperlink>
      <w:r>
        <w:t>) e também eram tirados quando uma pessoa estava em uma casa. Era costume remover as sandálias em um momento de luto. Os sapatos que os israelitas usavam em suas caminhadas no deserto não se desgastaram. (</w:t>
      </w:r>
      <w:hyperlink r:id="rId18708">
        <w:r>
          <w:rPr>
            <w:color w:val="0000EE"/>
            <w:u w:val="single"/>
          </w:rPr>
          <w:t>Dt 29.5</w:t>
        </w:r>
      </w:hyperlink>
      <w:r>
        <w:t>).</w:t>
      </w:r>
    </w:p>
    <w:p>
      <w:r/>
      <w:r>
        <w:rPr>
          <w:i/>
        </w:rPr>
        <w:t>Veja também</w:t>
      </w:r>
      <w:r>
        <w:t xml:space="preserve"> </w:t>
      </w:r>
      <w:r>
        <w:t>Pano e Fabricação de Pano</w:t>
      </w:r>
      <w:r>
        <w:t>.</w:t>
      </w:r>
      <w:r/>
      <w:r/>
    </w:p>
    <w:p>
      <w:r/>
    </w:p>
    <w:p>
      <w:pPr>
        <w:pStyle w:val="Heading2"/>
      </w:pPr>
      <w:r>
        <w:t>Rua Direita</w:t>
      </w:r>
      <w:r/>
    </w:p>
    <w:p>
      <w:r/>
      <w:r>
        <w:t>Rua Direita é uma rua em Damasco onde o apóstolo Paulo ficou após seu primeiro encontro com Jesus ressuscitado. Na casa de Judas nesta rua, Ananias batizou Paulo e a visão de Paulo foi restaurada (</w:t>
      </w:r>
      <w:hyperlink r:id="rId4621">
        <w:r>
          <w:rPr>
            <w:color w:val="0000EE"/>
            <w:u w:val="single"/>
          </w:rPr>
          <w:t>At 9.11</w:t>
        </w:r>
      </w:hyperlink>
      <w:r>
        <w:t>). As pessoas chamavam a rua de “Direita” porque, ao contrário de muitas outras ruas da cidade, esta realmente seguia em linha reta.</w:t>
      </w:r>
    </w:p>
    <w:p>
      <w:r/>
      <w:r>
        <w:t>A rua ainda existe hoje e continua reta, embora a rua atual esteja cerca de 4,6 metros (15 pés) mais alta do que o trajeto original. As pessoas ainda chamam a rua pelo mesmo nome (o nome francês é Rue Droite). Ela se estende de leste a oeste na fronteira sul da seção cristã da cidade. A "casa de Judas" não está mais lá. Mas em uma viela no extremo leste da Rua Direita está a "casa de Ananias".</w:t>
      </w:r>
    </w:p>
    <w:p>
      <w:r/>
      <w:r>
        <w:rPr>
          <w:i/>
        </w:rPr>
        <w:t>Veja também</w:t>
      </w:r>
      <w:r>
        <w:t xml:space="preserve"> </w:t>
      </w:r>
      <w:r>
        <w:t>Damasco</w:t>
      </w:r>
      <w:r>
        <w:t>.</w:t>
      </w:r>
      <w:r/>
      <w:r/>
    </w:p>
    <w:p>
      <w:r/>
    </w:p>
    <w:p>
      <w:pPr>
        <w:pStyle w:val="Heading2"/>
      </w:pPr>
      <w:r>
        <w:t>Rúben (Lugar)</w:t>
      </w:r>
      <w:r/>
    </w:p>
    <w:p>
      <w:r/>
      <w:r>
        <w:t>O território de Rúben era uma área de terra a leste do Rio Jordão. Esta terra foi dada à tribo de Rúben com a condição de que eles ajudassem as outras tribos israelitas a capturar a terra de Canaã a oeste do Rio Jordão (</w:t>
      </w:r>
      <w:hyperlink r:id="rId1125">
        <w:r>
          <w:rPr>
            <w:color w:val="0000EE"/>
            <w:u w:val="single"/>
          </w:rPr>
          <w:t>Nm 32</w:t>
        </w:r>
      </w:hyperlink>
      <w:r>
        <w:t>). Moisés concordou com o pedido dos rubenitas, que queriam esta terra porque era boa para a criação de gado.</w:t>
      </w:r>
    </w:p>
    <w:p>
      <w:r/>
      <w:r>
        <w:t>O Rio Arnom delimitava a fronteira sul do território de Rúben. O riacho de Hesbom e o reino de Amom delimitavam as fronteiras norte e leste. O Rio Jordão e o Mar Morto delimitavam a fronteira oeste.</w:t>
      </w:r>
    </w:p>
    <w:p>
      <w:r/>
      <w:r>
        <w:t>O povo de Rúben viveu neste território até por volta de 732 a.C., quando foi levado para o cativeiro (forçado a deixar sua terra natal) por Tiglate-Pileser III, que era o rei da Assíria.</w:t>
      </w:r>
    </w:p>
    <w:p>
      <w:r/>
      <w:r>
        <w:rPr>
          <w:i/>
        </w:rPr>
        <w:t>Veja também</w:t>
      </w:r>
      <w:r>
        <w:t xml:space="preserve"> </w:t>
      </w:r>
      <w:r>
        <w:t>Rúben (Pessoa)</w:t>
      </w:r>
      <w:r>
        <w:t xml:space="preserve">; </w:t>
      </w:r>
      <w:r>
        <w:t>Rúben, Tribo de</w:t>
      </w:r>
      <w:r>
        <w:t>.</w:t>
      </w:r>
      <w:r/>
      <w:r/>
    </w:p>
    <w:p>
      <w:r/>
    </w:p>
    <w:p>
      <w:pPr>
        <w:pStyle w:val="Heading2"/>
      </w:pPr>
      <w:r>
        <w:t>Rúben (Pessoa)</w:t>
      </w:r>
      <w:r/>
    </w:p>
    <w:p>
      <w:r/>
      <w:r>
        <w:t>Filho mais velho de Jacó e Lia (</w:t>
      </w:r>
      <w:hyperlink r:id="rId18709">
        <w:r>
          <w:rPr>
            <w:color w:val="0000EE"/>
            <w:u w:val="single"/>
          </w:rPr>
          <w:t>Gn 29.32</w:t>
        </w:r>
      </w:hyperlink>
      <w:r>
        <w:t xml:space="preserve">; </w:t>
      </w:r>
      <w:hyperlink r:id="rId18710">
        <w:r>
          <w:rPr>
            <w:color w:val="0000EE"/>
            <w:u w:val="single"/>
          </w:rPr>
          <w:t>46.8</w:t>
        </w:r>
      </w:hyperlink>
      <w:r>
        <w:t>) e antepassado de uma das 12 tribos de Israel. Rúben esteve envolvido no incidente das mandrágoras (</w:t>
      </w:r>
      <w:hyperlink r:id="rId14130">
        <w:r>
          <w:rPr>
            <w:color w:val="0000EE"/>
            <w:u w:val="single"/>
          </w:rPr>
          <w:t>30.14</w:t>
        </w:r>
      </w:hyperlink>
      <w:r>
        <w:t>) e teve relações sexuais com Bila, a concubina de seu pai (</w:t>
      </w:r>
      <w:hyperlink r:id="rId3785">
        <w:r>
          <w:rPr>
            <w:color w:val="0000EE"/>
            <w:u w:val="single"/>
          </w:rPr>
          <w:t>35.22</w:t>
        </w:r>
      </w:hyperlink>
      <w:r>
        <w:t>). No entanto, ele se destaca na idade adulta como um dos mais honrados dos filhos de Jacó. Rúben se opôs ao plano de matar José e planejou resgatá-lo do poço (</w:t>
      </w:r>
      <w:hyperlink r:id="rId18711">
        <w:r>
          <w:rPr>
            <w:color w:val="0000EE"/>
            <w:u w:val="single"/>
          </w:rPr>
          <w:t>37.22–35</w:t>
        </w:r>
      </w:hyperlink>
      <w:r>
        <w:t>). Ele refletiu sobre a prisão dos irmãos no Egito (</w:t>
      </w:r>
      <w:hyperlink r:id="rId18712">
        <w:r>
          <w:rPr>
            <w:color w:val="0000EE"/>
            <w:u w:val="single"/>
          </w:rPr>
          <w:t>42.22</w:t>
        </w:r>
      </w:hyperlink>
      <w:r>
        <w:t>) e garantiu a segurança de Benjamim com grande risco para sua própria família. No entanto, na declaração de bênção de Jacó, Rúben é considerado instável e seu direito de nascimento é perdido (</w:t>
      </w:r>
      <w:hyperlink r:id="rId10511">
        <w:r>
          <w:rPr>
            <w:color w:val="0000EE"/>
            <w:u w:val="single"/>
          </w:rPr>
          <w:t>49.3–4</w:t>
        </w:r>
      </w:hyperlink>
      <w:r>
        <w:t>). Ele foi pai de quatro filhos (</w:t>
      </w:r>
      <w:hyperlink r:id="rId4260">
        <w:r>
          <w:rPr>
            <w:color w:val="0000EE"/>
            <w:u w:val="single"/>
          </w:rPr>
          <w:t>1Cr 5.3</w:t>
        </w:r>
      </w:hyperlink>
      <w:r>
        <w:t>).</w:t>
      </w:r>
    </w:p>
    <w:p>
      <w:r/>
      <w:r>
        <w:rPr>
          <w:i/>
        </w:rPr>
        <w:t>Veja também</w:t>
      </w:r>
      <w:r>
        <w:t xml:space="preserve"> </w:t>
      </w:r>
      <w:r>
        <w:t>Rúben (Lugar)</w:t>
      </w:r>
      <w:r>
        <w:t xml:space="preserve">; </w:t>
      </w:r>
      <w:r>
        <w:t>Rúben, Tribo de</w:t>
      </w:r>
      <w:r>
        <w:t>.</w:t>
      </w:r>
      <w:r/>
      <w:r/>
    </w:p>
    <w:p>
      <w:r/>
    </w:p>
    <w:p>
      <w:pPr>
        <w:pStyle w:val="Heading2"/>
      </w:pPr>
      <w:r>
        <w:t>Rúben, Tribo de</w:t>
      </w:r>
      <w:r/>
    </w:p>
    <w:p>
      <w:pPr>
        <w:pStyle w:val="Heading3"/>
      </w:pPr>
      <w:r>
        <w:t>O início da tribo de Rúben</w:t>
      </w:r>
    </w:p>
    <w:p>
      <w:r/>
      <w:r>
        <w:t>A tribo que descendeu de Rúben, o filho mais velho de Jacó (</w:t>
      </w:r>
      <w:hyperlink r:id="rId18709">
        <w:r>
          <w:rPr>
            <w:color w:val="0000EE"/>
            <w:u w:val="single"/>
          </w:rPr>
          <w:t>Gn 29.32</w:t>
        </w:r>
      </w:hyperlink>
      <w:r>
        <w:t>). Como primogênito, a tribo de Rúben era frequentemente listada primeiro entre as tribos de Israel (</w:t>
      </w:r>
      <w:hyperlink r:id="rId18713">
        <w:r>
          <w:rPr>
            <w:color w:val="0000EE"/>
            <w:u w:val="single"/>
          </w:rPr>
          <w:t>Nm 13.4</w:t>
        </w:r>
      </w:hyperlink>
      <w:r>
        <w:t>). A tribo de Rúben também foi nomeada primeiro entre as duas tribos e meia que se estabeleceram a leste do Rio Jordão (</w:t>
      </w:r>
      <w:hyperlink r:id="rId18714">
        <w:r>
          <w:rPr>
            <w:color w:val="0000EE"/>
            <w:u w:val="single"/>
          </w:rPr>
          <w:t>Js 1.12</w:t>
        </w:r>
      </w:hyperlink>
      <w:r>
        <w:t>). No entanto, apesar de sua posição de honra, a tribo de Rúben gradualmente perdeu sua proeminência. Isso ocorreu em parte devido ao pecado de Rúben (</w:t>
      </w:r>
      <w:hyperlink r:id="rId3785">
        <w:r>
          <w:rPr>
            <w:color w:val="0000EE"/>
            <w:u w:val="single"/>
          </w:rPr>
          <w:t>Gn 35.22</w:t>
        </w:r>
      </w:hyperlink>
      <w:r>
        <w:t>), que levou seu pai, Jacó, a profetizar que Rúben perderia sua liderança entre as tribos (</w:t>
      </w:r>
      <w:hyperlink r:id="rId18715">
        <w:r>
          <w:rPr>
            <w:color w:val="0000EE"/>
            <w:u w:val="single"/>
          </w:rPr>
          <w:t>49.4</w:t>
        </w:r>
      </w:hyperlink>
      <w:r>
        <w:t xml:space="preserve">). Embora </w:t>
      </w:r>
      <w:hyperlink r:id="rId18716">
        <w:r>
          <w:rPr>
            <w:color w:val="0000EE"/>
            <w:u w:val="single"/>
          </w:rPr>
          <w:t>Deuteronômio 33.6</w:t>
        </w:r>
      </w:hyperlink>
      <w:r>
        <w:t xml:space="preserve"> contenha uma oração pela sobrevivência de Rúben, a tribo de fato declinou.</w:t>
      </w:r>
    </w:p>
    <w:p>
      <w:pPr>
        <w:pStyle w:val="Heading3"/>
      </w:pPr>
      <w:r>
        <w:t>Papel histórico e conflitos</w:t>
      </w:r>
    </w:p>
    <w:p>
      <w:r/>
      <w:r>
        <w:t>Durante o tempo de Israel no deserto, Rúben teve um papel semelhante ao das outras tribos, enviando um líder e um espião para explorar a terra de Canaã (</w:t>
      </w:r>
      <w:hyperlink r:id="rId7978">
        <w:r>
          <w:rPr>
            <w:color w:val="0000EE"/>
            <w:u w:val="single"/>
          </w:rPr>
          <w:t>Nm 1.5</w:t>
        </w:r>
      </w:hyperlink>
      <w:r>
        <w:t xml:space="preserve">; </w:t>
      </w:r>
      <w:hyperlink r:id="rId18713">
        <w:r>
          <w:rPr>
            <w:color w:val="0000EE"/>
            <w:u w:val="single"/>
          </w:rPr>
          <w:t>13.4</w:t>
        </w:r>
      </w:hyperlink>
      <w:r>
        <w:t>). No entanto, apenas os espiões de Efraim (Josué) e Judá (Calebe) foram fiéis. As outras tribos falharam em confiar em Deus, e Rúben não foi nem melhor nem pior que as outras (</w:t>
      </w:r>
      <w:hyperlink r:id="rId11578">
        <w:r>
          <w:rPr>
            <w:color w:val="0000EE"/>
            <w:u w:val="single"/>
          </w:rPr>
          <w:t>Nm 14.6</w:t>
        </w:r>
      </w:hyperlink>
      <w:r>
        <w:t>).</w:t>
      </w:r>
    </w:p>
    <w:p>
      <w:r/>
      <w:r>
        <w:t>A história de Rúben inclui a revolta de dois rubenitas, Datã e Abirão, contra a autoridade de Moisés (</w:t>
      </w:r>
      <w:hyperlink r:id="rId5630">
        <w:r>
          <w:rPr>
            <w:color w:val="0000EE"/>
            <w:u w:val="single"/>
          </w:rPr>
          <w:t>Nm 16.1</w:t>
        </w:r>
      </w:hyperlink>
      <w:r>
        <w:t>). Isso pode ter sido uma tentativa de restaurar Rúben à sua posição de liderança entre as tribos. Essa rebelião falhou, resultando em um julgamento severo de Deus (</w:t>
      </w:r>
      <w:hyperlink r:id="rId18717">
        <w:r>
          <w:rPr>
            <w:color w:val="0000EE"/>
            <w:u w:val="single"/>
          </w:rPr>
          <w:t>Nm 16.33</w:t>
        </w:r>
      </w:hyperlink>
      <w:r>
        <w:t>).</w:t>
      </w:r>
    </w:p>
    <w:p>
      <w:pPr>
        <w:pStyle w:val="Heading3"/>
      </w:pPr>
      <w:r>
        <w:t>Riqueza e acordos de terras</w:t>
      </w:r>
    </w:p>
    <w:p>
      <w:r/>
      <w:r>
        <w:t>A tribo de Rúben era conhecida por sua riqueza em gado (</w:t>
      </w:r>
      <w:hyperlink r:id="rId560">
        <w:r>
          <w:rPr>
            <w:color w:val="0000EE"/>
            <w:u w:val="single"/>
          </w:rPr>
          <w:t>Nm 32.1</w:t>
        </w:r>
      </w:hyperlink>
      <w:r>
        <w:t>). A tribo inicialmente buscou permanecer no lado leste do Jordão, em terras tomadas dos reis amorreus Seom e Ogue. Embora Moisés os tenha repreendido por esse pedido, os rubenitas e seus aliados, Gade e metade de Manassés, concordaram em ajudar a lutar por seus companheiros israelitas do outro lado do Jordão. Moisés atendeu ao pedido deles (</w:t>
      </w:r>
      <w:hyperlink r:id="rId9695">
        <w:r>
          <w:rPr>
            <w:color w:val="0000EE"/>
            <w:u w:val="single"/>
          </w:rPr>
          <w:t>Nm 32.20–22</w:t>
        </w:r>
      </w:hyperlink>
      <w:r>
        <w:t>). Eles lutaram bem e foram autorizados a voltar para casa após a campanha (</w:t>
      </w:r>
      <w:hyperlink r:id="rId18718">
        <w:r>
          <w:rPr>
            <w:color w:val="0000EE"/>
            <w:u w:val="single"/>
          </w:rPr>
          <w:t>Js 22.1–6</w:t>
        </w:r>
      </w:hyperlink>
      <w:r>
        <w:t>). Embora separados pelo Rio Jordão, eles construíram um altar memorial para mostrar que ainda se viam como parte de Israel (</w:t>
      </w:r>
      <w:hyperlink r:id="rId18719">
        <w:r>
          <w:rPr>
            <w:color w:val="0000EE"/>
            <w:u w:val="single"/>
          </w:rPr>
          <w:t>Js 22.10</w:t>
        </w:r>
      </w:hyperlink>
      <w:r>
        <w:t>).</w:t>
      </w:r>
    </w:p>
    <w:p>
      <w:pPr>
        <w:pStyle w:val="Heading3"/>
      </w:pPr>
      <w:r>
        <w:t>Declínio e história posterior</w:t>
      </w:r>
    </w:p>
    <w:p>
      <w:r/>
      <w:r>
        <w:t>A tribo de Rúben não apareceu novamente até a época da profetisa Débora. Quando Israel se reuniu para lutar contra Sísera, Rúben não respondeu ao chamado. A tribo parecia valorizar mais a riqueza material do que participar da batalha. Por exemplo, eles escolheram as terras férteis de Transjordânia (</w:t>
      </w:r>
      <w:hyperlink r:id="rId18720">
        <w:r>
          <w:rPr>
            <w:color w:val="0000EE"/>
            <w:u w:val="single"/>
          </w:rPr>
          <w:t>Nm 32.5</w:t>
        </w:r>
      </w:hyperlink>
      <w:r>
        <w:t>). A vida como pastores provavelmente era mais atraente do que uma vida de guerra (</w:t>
      </w:r>
      <w:hyperlink r:id="rId18721">
        <w:r>
          <w:rPr>
            <w:color w:val="0000EE"/>
            <w:u w:val="single"/>
          </w:rPr>
          <w:t>Jz 5.16</w:t>
        </w:r>
      </w:hyperlink>
      <w:r>
        <w:t>). O comportamento de Rúben refletia a profecia de que eles seriam "instáveis como a água" (</w:t>
      </w:r>
      <w:hyperlink r:id="rId18715">
        <w:r>
          <w:rPr>
            <w:color w:val="0000EE"/>
            <w:u w:val="single"/>
          </w:rPr>
          <w:t>Gn 49.4</w:t>
        </w:r>
      </w:hyperlink>
      <w:r>
        <w:t>).</w:t>
      </w:r>
    </w:p>
    <w:p>
      <w:r/>
      <w:r>
        <w:t>Mais tarde, as terras de Rúben foram provavelmente tomadas pelos moabitas. A área tornou-se um campo de batalha entre Israel e outras nações, como Aram (</w:t>
      </w:r>
      <w:hyperlink r:id="rId18722">
        <w:r>
          <w:rPr>
            <w:color w:val="0000EE"/>
            <w:u w:val="single"/>
          </w:rPr>
          <w:t>1Rs 22.3</w:t>
        </w:r>
      </w:hyperlink>
      <w:r>
        <w:t>). A tribo foi uma das primeiras a ser devastada pelos assírios (</w:t>
      </w:r>
      <w:hyperlink r:id="rId3165">
        <w:r>
          <w:rPr>
            <w:color w:val="0000EE"/>
            <w:u w:val="single"/>
          </w:rPr>
          <w:t>2Rs 15.29</w:t>
        </w:r>
      </w:hyperlink>
      <w:r>
        <w:t>). Embora a visão de Ezequiel mencione uma pequena porção de terra para Rúben (</w:t>
      </w:r>
      <w:hyperlink r:id="rId18723">
        <w:r>
          <w:rPr>
            <w:color w:val="0000EE"/>
            <w:u w:val="single"/>
          </w:rPr>
          <w:t>Ez 48.6</w:t>
        </w:r>
      </w:hyperlink>
      <w:r>
        <w:t>), a tribo parece ter desaparecido em grande parte após o exílio. Rúben é listado entre os redimidos no livro de Apocalipse (</w:t>
      </w:r>
      <w:hyperlink r:id="rId9707">
        <w:r>
          <w:rPr>
            <w:color w:val="0000EE"/>
            <w:u w:val="single"/>
          </w:rPr>
          <w:t>Ap 7.5</w:t>
        </w:r>
      </w:hyperlink>
      <w:r>
        <w:t>), mas nenhum indivíduo da tribo é mencionado no Novo Testamento.</w:t>
      </w:r>
      <w:r/>
      <w:r/>
    </w:p>
    <w:p>
      <w:r/>
    </w:p>
    <w:p>
      <w:pPr>
        <w:pStyle w:val="Heading2"/>
      </w:pPr>
      <w:r>
        <w:t>Rubenita</w:t>
      </w:r>
      <w:r/>
    </w:p>
    <w:p>
      <w:r/>
      <w:r>
        <w:t>Qualquer descendente de Rúben, filho do patriarca Jacó (</w:t>
      </w:r>
      <w:hyperlink r:id="rId18724">
        <w:r>
          <w:rPr>
            <w:color w:val="0000EE"/>
            <w:u w:val="single"/>
          </w:rPr>
          <w:t>Nm 26.7</w:t>
        </w:r>
      </w:hyperlink>
      <w:r>
        <w:t xml:space="preserve">; </w:t>
      </w:r>
      <w:hyperlink r:id="rId18714">
        <w:r>
          <w:rPr>
            <w:color w:val="0000EE"/>
            <w:u w:val="single"/>
          </w:rPr>
          <w:t>Js 1.12</w:t>
        </w:r>
      </w:hyperlink>
      <w:r>
        <w:t>).</w:t>
      </w:r>
    </w:p>
    <w:p>
      <w:r/>
      <w:r>
        <w:rPr>
          <w:i/>
        </w:rPr>
        <w:t>Veja</w:t>
      </w:r>
      <w:r>
        <w:t xml:space="preserve"> </w:t>
      </w:r>
      <w:r>
        <w:t>Rúben, Tribo de</w:t>
      </w:r>
      <w:r>
        <w:t>.</w:t>
      </w:r>
      <w:r/>
      <w:r/>
    </w:p>
    <w:p>
      <w:r/>
    </w:p>
    <w:p>
      <w:pPr>
        <w:pStyle w:val="Heading2"/>
      </w:pPr>
      <w:r>
        <w:t>Rute, Livro de</w:t>
      </w:r>
      <w:r/>
    </w:p>
    <w:p>
      <w:r/>
      <w:r>
        <w:t>Resumo:</w:t>
      </w:r>
    </w:p>
    <w:p>
      <w:r/>
      <w:r>
        <w:t>• Autor e data</w:t>
      </w:r>
    </w:p>
    <w:p>
      <w:r/>
      <w:r>
        <w:t>• Propósito</w:t>
      </w:r>
    </w:p>
    <w:p>
      <w:r/>
      <w:r>
        <w:t>• Conteúdo</w:t>
      </w:r>
    </w:p>
    <w:p>
      <w:r/>
      <w:r>
        <w:t>• Mensagem</w:t>
      </w:r>
    </w:p>
    <w:p>
      <w:pPr>
        <w:pStyle w:val="Heading3"/>
      </w:pPr>
      <w:r>
        <w:t>Autor e data</w:t>
      </w:r>
    </w:p>
    <w:p>
      <w:r/>
      <w:r>
        <w:t xml:space="preserve">O autor do livro é desconhecido. A questão da autoria tem particular conexão com a data de escrita, e algumas pistas fornecem pelo menos um palpite. O livro deve ter sido escrito em algum momento após o início do reinado de Davi. As informações em </w:t>
      </w:r>
      <w:hyperlink r:id="rId1092">
        <w:r>
          <w:rPr>
            <w:color w:val="0000EE"/>
            <w:u w:val="single"/>
          </w:rPr>
          <w:t>Rute 4.18–22</w:t>
        </w:r>
      </w:hyperlink>
      <w:r>
        <w:t xml:space="preserve">, que dizem respeito à importância histórica de Rute como bisavó de Davi, confirmam isso. Como casamentos estrangeiros não foram aprovados no livro de Rute, dificilmente poderia ter sido escrito durante o período em que Salomão iniciou sua política de casamentos estrangeiros. Além disso, a amizade próxima de Davi com Moabe pode ter levado alguém em seu reino a escrever o livro, apresentando assim uma justificativa objetiva para as ações de Davi (veja </w:t>
      </w:r>
      <w:hyperlink r:id="rId18725">
        <w:r>
          <w:rPr>
            <w:color w:val="0000EE"/>
            <w:u w:val="single"/>
          </w:rPr>
          <w:t>1Sm 22.3–5</w:t>
        </w:r>
      </w:hyperlink>
      <w:r>
        <w:t>). Consequentemente, o autor pode ter sido alguém próximo a Davi, possivelmente Samuel, Natã ou Abiatar.</w:t>
      </w:r>
    </w:p>
    <w:p>
      <w:r/>
      <w:r>
        <w:t xml:space="preserve">O tempo da narrativa é indicado pela declaração de abertura: “Nos dias em que os juízes governavam...” As datas dos juízes provavelmente compreendem um período de cerca de 300 anos, começando com o juizado de Otniel e concluindo com o de Sansão, embora Samuel também tenha servido como juiz. Se a informação genealógica estiver completa em </w:t>
      </w:r>
      <w:hyperlink r:id="rId1092">
        <w:r>
          <w:rPr>
            <w:color w:val="0000EE"/>
            <w:u w:val="single"/>
          </w:rPr>
          <w:t>Rute 4.18–22</w:t>
        </w:r>
      </w:hyperlink>
      <w:r>
        <w:t>, os eventos ocorreram durante a vida do bisavô de Davi e marcaram o nascimento de seu avô. Considerando um intervalo de geração de 35 anos, os eventos teriam ocorrido por volta da virada do século 11 a.C., ou cerca de 100 anos antes do nascimento de Davi.</w:t>
      </w:r>
    </w:p>
    <w:p>
      <w:pPr>
        <w:pStyle w:val="Heading3"/>
      </w:pPr>
      <w:r>
        <w:t>Propósito</w:t>
      </w:r>
    </w:p>
    <w:p>
      <w:r/>
      <w:r>
        <w:t>O propósito do livro está intimamente relacionado à sua data de composição. Assumindo uma data antiga, ou seja, próxima à época de Davi, seu principal objetivo deve ser a autenticação da linhagem davídica. O livro pode ser considerado uma justificativa para incluir a piedosa moabita na nação de Israel.</w:t>
      </w:r>
    </w:p>
    <w:p>
      <w:pPr>
        <w:pStyle w:val="Heading3"/>
      </w:pPr>
      <w:r>
        <w:t>Conteúdo</w:t>
      </w:r>
    </w:p>
    <w:p>
      <w:pPr>
        <w:pStyle w:val="Heading4"/>
      </w:pPr>
      <w:r>
        <w:t>Introdução (</w:t>
      </w:r>
      <w:hyperlink r:id="rId18726">
        <w:r>
          <w:rPr>
            <w:color w:val="0000EE"/>
            <w:u w:val="single"/>
          </w:rPr>
          <w:t>1.1–5</w:t>
        </w:r>
      </w:hyperlink>
      <w:r>
        <w:t>)</w:t>
      </w:r>
    </w:p>
    <w:p>
      <w:r/>
      <w:r>
        <w:t>Impulsionado pela fome, Elimeleque, com sua esposa, Noemi, e seus dois filhos, Malom e Quiliom, atravessam o Jordão para ficar por um período em Moabe, onde há provisão suficiente. Os dois filhos, após se casarem com mulheres moabitas, morrem, e o pai deles também morre. Noemi fica viúva, com duas noras estrangeiras.</w:t>
      </w:r>
    </w:p>
    <w:p>
      <w:pPr>
        <w:pStyle w:val="Heading4"/>
      </w:pPr>
      <w:r>
        <w:t>Retorno a Belém (</w:t>
      </w:r>
      <w:hyperlink r:id="rId18727">
        <w:r>
          <w:rPr>
            <w:color w:val="0000EE"/>
            <w:u w:val="single"/>
          </w:rPr>
          <w:t>1.6–22</w:t>
        </w:r>
      </w:hyperlink>
      <w:r>
        <w:t>)</w:t>
      </w:r>
    </w:p>
    <w:p>
      <w:r/>
      <w:r>
        <w:t>Ouvindo relatos de que a fome terminou em Belém, Noemi se prepara para retornar. Ambas as suas noras, Orfa e Rute, a acompanham por pelo menos uma parte da jornada. Provavelmente pensando nos problemas que poderiam encontrar como estrangeiras em Judá, Noemi insiste fortemente para que as meninas fiquem em sua própria terra. Ambas as jovens viúvas recusam, mas Noemi apresenta os fatos. Primeiro, ela não está grávida, então a chance de um irmão mais novo cumprir a responsabilidade do levirato não é iminente. Segundo, ela não tem perspectivas de novo casamento e, consequentemente, nenhuma perspectiva de ter mais filhos. Então ela também observa que, mesmo que as duas primeiras condições fossem atendidas imediatamente, a possibilidade de elas esperarem era impossível. Orfa é convencida e beija sua sogra para se despedir.</w:t>
      </w:r>
    </w:p>
    <w:p>
      <w:r/>
      <w:r>
        <w:t>Mas Rute “apegou-se a ela” (</w:t>
      </w:r>
      <w:hyperlink r:id="rId18728">
        <w:r>
          <w:rPr>
            <w:color w:val="0000EE"/>
            <w:u w:val="single"/>
          </w:rPr>
          <w:t>1.18</w:t>
        </w:r>
      </w:hyperlink>
      <w:r>
        <w:t>). O verbo, que tem a conotação de estar colado a algo, é o mesmo verbo usado para casamento (</w:t>
      </w:r>
      <w:hyperlink r:id="rId3603">
        <w:r>
          <w:rPr>
            <w:color w:val="0000EE"/>
            <w:u w:val="single"/>
          </w:rPr>
          <w:t>Gn 2.24</w:t>
        </w:r>
      </w:hyperlink>
      <w:r>
        <w:t>). Rute demonstrou suas intenções sérias ao fazer cinco compromissos (</w:t>
      </w:r>
      <w:hyperlink r:id="rId18729">
        <w:r>
          <w:rPr>
            <w:color w:val="0000EE"/>
            <w:u w:val="single"/>
          </w:rPr>
          <w:t>Rt 1.16–17</w:t>
        </w:r>
      </w:hyperlink>
      <w:r>
        <w:t>). Em essência, Rute renunciou à sua vida anterior para ganhar uma vida que considerava de maior valor. Ela decidiu seguir o Deus de Israel e suas leis. O apelo de Rute ao Deus de Israel foi mais do que igual aos apelos de Noemi, e as duas retornaram juntas.</w:t>
      </w:r>
    </w:p>
    <w:p>
      <w:r/>
      <w:r>
        <w:t>A chegada delas em Belém foi traumática para Noemi. Tendo deixado Belém com um marido e dois filhos, ela voltou vazia. Ela disse às amigas para chamá-la de "Mara" (amarga). Mas ela voltou em um momento propício, o início da temporada de colheita.</w:t>
      </w:r>
    </w:p>
    <w:p>
      <w:pPr>
        <w:pStyle w:val="Heading4"/>
      </w:pPr>
      <w:r>
        <w:t>Colhendo nos campos de Boaz (</w:t>
      </w:r>
      <w:hyperlink r:id="rId18730">
        <w:r>
          <w:rPr>
            <w:color w:val="0000EE"/>
            <w:u w:val="single"/>
          </w:rPr>
          <w:t>2.1–23</w:t>
        </w:r>
      </w:hyperlink>
      <w:r>
        <w:t>)</w:t>
      </w:r>
    </w:p>
    <w:p>
      <w:r/>
      <w:r>
        <w:t>O primeiro versículo do capítulo fornece o cenário para a narrativa que se segue, introduzindo Boaz, um parente rico de Elimeleque.</w:t>
      </w:r>
    </w:p>
    <w:p>
      <w:r/>
      <w:r>
        <w:t>No segundo versículo, Rute se ofereceu para respigar os campos seguindo os ceifeiros e recolhendo as pequenas quantidades deixadas para trás. Os respigadores também tinham permissão para colher o grão nos cantos dos campos — uma provisão para os pobres contida na lei (</w:t>
      </w:r>
      <w:hyperlink r:id="rId5109">
        <w:r>
          <w:rPr>
            <w:color w:val="0000EE"/>
            <w:u w:val="single"/>
          </w:rPr>
          <w:t>Lv 19.9–10</w:t>
        </w:r>
      </w:hyperlink>
      <w:r>
        <w:t>).</w:t>
      </w:r>
    </w:p>
    <w:p>
      <w:r/>
      <w:r>
        <w:t>Rute acabou chegando ao campo de Boaz. Quando ele visitou este campo, notou Rute, perguntou sobre ela e descobriu sua identidade. Seu supervisor relatou que ela havia trabalhado arduamente nos campos desde cedo até aquele momento. Boaz, atraído por ela devido à sua lealdade e preocupação com Noemi, graciosamente fez provisões adicionais para ela. Ela recebeu uma posição privilegiada na colheita, logo atrás do grupo principal de ceifeiros. Além disso, ela receberia água que havia sido tirada para ela pelos jovens — um arranjo não convencional.</w:t>
      </w:r>
    </w:p>
    <w:p>
      <w:r/>
      <w:r>
        <w:t>Rute, caindo diante de Boaz em um gesto de grande humildade e respeito, perguntou por que ela — como estrangeira — deveria receber tal favor. Boaz deu duas razões: sua bondade para com sua sogra e sua percepção espiritual, que a levou a buscar o Deus de Israel, “sob cujas asas você veio buscar refúgio” (</w:t>
      </w:r>
      <w:hyperlink r:id="rId18731">
        <w:r>
          <w:rPr>
            <w:color w:val="0000EE"/>
            <w:u w:val="single"/>
          </w:rPr>
          <w:t>Rt 2.12</w:t>
        </w:r>
      </w:hyperlink>
      <w:r>
        <w:t>).</w:t>
      </w:r>
    </w:p>
    <w:p>
      <w:r/>
      <w:r>
        <w:t>Ela também recebeu um lugar à mesa dos ceifeiros e, por ordem de Boaz, voltou aos campos, desta vez para colher do grão não colhido. No final do dia, ela voltou para casa de Noemi e contou-lhe os acontecimentos do dia. Noemi informou Rute que Boaz tinha o direito de redenção (veja a discussão abaixo). Rute voltou aos campos dele até o final da temporada de colheita.</w:t>
      </w:r>
    </w:p>
    <w:p>
      <w:pPr>
        <w:pStyle w:val="Heading4"/>
      </w:pPr>
      <w:r>
        <w:t>Confiando no parente (</w:t>
      </w:r>
      <w:hyperlink r:id="rId18732">
        <w:r>
          <w:rPr>
            <w:color w:val="0000EE"/>
            <w:u w:val="single"/>
          </w:rPr>
          <w:t>3.1–18</w:t>
        </w:r>
      </w:hyperlink>
      <w:r>
        <w:t>)</w:t>
      </w:r>
    </w:p>
    <w:p>
      <w:r/>
      <w:r>
        <w:t>Noemi aconselhou Rute a se aproximar de Boaz como um go’el</w:t>
      </w:r>
      <w:r>
        <w:rPr>
          <w:i/>
        </w:rPr>
        <w:t>,</w:t>
      </w:r>
      <w:r>
        <w:t xml:space="preserve"> ou parente resgatador. O plano sugerido por Noemi parece peculiar, mas alguns pensamentos podem dar uma certa coloração a ele. (1) Noemi parece ter acreditado que Boaz era o parente mais próximo, desconhecendo o outro mais próximo (</w:t>
      </w:r>
      <w:hyperlink r:id="rId18733">
        <w:r>
          <w:rPr>
            <w:color w:val="0000EE"/>
            <w:u w:val="single"/>
          </w:rPr>
          <w:t>3.12</w:t>
        </w:r>
      </w:hyperlink>
      <w:r>
        <w:t>). Consequentemente, de acordo com a lei israelita (</w:t>
      </w:r>
      <w:hyperlink r:id="rId18734">
        <w:r>
          <w:rPr>
            <w:color w:val="0000EE"/>
            <w:u w:val="single"/>
          </w:rPr>
          <w:t>Dt 25.5ff</w:t>
        </w:r>
      </w:hyperlink>
      <w:r>
        <w:t>.), seria dever de Boaz casar-se com Rute para gerar descendência, já que seu marido morreu. (2) A apresentação geral do caráter de Noemi neste livro é a de uma mulher temente a Deus. É certo que, por mais curioso que seja em sua forma externa, não pode haver nada aconselhado aqui que seja repugnante à lei de Deus ou chocante para um homem virtuoso como Boaz. Caso contrário, Noemi estaria frustrando seu próprio propósito.</w:t>
      </w:r>
    </w:p>
    <w:p>
      <w:r/>
      <w:r>
        <w:t>A resposta de Boaz às ações de Rute demonstrou suas preocupações por ela como de um homem cavalheiro. Ele explicou a ela que não era o parente mais próximo, mas prometeu que cuidaria dos procedimentos necessários no dia seguinte. Protegendo a reputação dela, Boaz a enviou para casa antes do amanhecer. Noemi previu que Boaz resolveria a questão naquele mesmo dia.</w:t>
      </w:r>
    </w:p>
    <w:p>
      <w:pPr>
        <w:pStyle w:val="Heading4"/>
      </w:pPr>
      <w:r>
        <w:t>Redimindo a herança (</w:t>
      </w:r>
      <w:hyperlink r:id="rId18735">
        <w:r>
          <w:rPr>
            <w:color w:val="0000EE"/>
            <w:u w:val="single"/>
          </w:rPr>
          <w:t>4.1–22</w:t>
        </w:r>
      </w:hyperlink>
      <w:r>
        <w:t>)</w:t>
      </w:r>
    </w:p>
    <w:p>
      <w:r/>
      <w:r>
        <w:t>Boaz foi ao local de negócios, o portão da cidade. A área do portão da cidade compreendia o fórum onde os assuntos públicos da cidade eram discutidos. Boaz indicou que desejava discutir um assunto de negócios com o parente mais próximo. Dez dos anciãos da cidade atuaram como testemunhas. A primeira questão a ser tratada era o problema da propriedade. Boaz perguntou a este parente mais próximo se ele estava disposto a adquirir a propriedade para Noemi. Isso é declarado na estipulação tradicional: “Se você comprar as terras de Noemi, também terá de casar com Rute, a viúva moabita” (</w:t>
      </w:r>
      <w:hyperlink r:id="rId10513">
        <w:r>
          <w:rPr>
            <w:color w:val="0000EE"/>
            <w:u w:val="single"/>
          </w:rPr>
          <w:t>4.5</w:t>
        </w:r>
      </w:hyperlink>
      <w:r>
        <w:t>, NTLH). O parente mais próximo não estava disposto a se casar com Rute porque isso inevitavelmente lhe custaria alguma perda financeira, já que ele teria que dividir sua própria propriedade com qualquer filho seu nascido de Rute. Assim, ele renunciou aos seus direitos pelo costume de tirar o sapato. (O sapato era simbólico dos direitos de terra que pertenciam à herança). Assim, Boaz assumiu o papel de resgatador. O casamento de Boaz e Rute produziu um filho que, segundo as leis de Israel, era considerado como filho e herdeiro de Noemi.</w:t>
      </w:r>
    </w:p>
    <w:p>
      <w:pPr>
        <w:pStyle w:val="Heading3"/>
      </w:pPr>
      <w:r>
        <w:t>Mensagem</w:t>
      </w:r>
    </w:p>
    <w:p>
      <w:r/>
      <w:r>
        <w:t xml:space="preserve">Primeiro, o livro de Rute traça a linhagem de Rute até Davi. A conclusão dessa linhagem está em </w:t>
      </w:r>
      <w:hyperlink r:id="rId9822">
        <w:r>
          <w:rPr>
            <w:color w:val="0000EE"/>
            <w:u w:val="single"/>
          </w:rPr>
          <w:t>Mateus 1</w:t>
        </w:r>
      </w:hyperlink>
      <w:r>
        <w:t xml:space="preserve"> e encontra seu cumprimento em Jesus.</w:t>
      </w:r>
    </w:p>
    <w:p>
      <w:r/>
      <w:r>
        <w:t>Um segundo ensinamento é a beleza da graça de Deus. Uma estrangeira, até mesmo uma moabita, pode estar ligada à bênção de Israel.</w:t>
      </w:r>
    </w:p>
    <w:p>
      <w:r/>
      <w:r>
        <w:t>Teologicamente, o conceito de resgatador como um tipo de Messias é claramente evidente. Ele deve ser um parente de sangue, ter a capacidade de comprar, estar disposto a adquirir a herança e estar disposto a casar-se com a viúva do parente falecido.</w:t>
      </w:r>
    </w:p>
    <w:p>
      <w:r/>
      <w:r>
        <w:t>E, finalmente, o amor que Rute mostrou a Noemi fornece um padrão de devoção. As mulheres de Belém disseram a Noemi: “A sua nora... a ama; e ela vale para você mais do que sete filhos” (</w:t>
      </w:r>
      <w:hyperlink r:id="rId18736">
        <w:r>
          <w:rPr>
            <w:color w:val="0000EE"/>
            <w:u w:val="single"/>
          </w:rPr>
          <w:t>4.15</w:t>
        </w:r>
      </w:hyperlink>
      <w:r>
        <w:t>, NTLH).</w:t>
      </w:r>
      <w:r/>
      <w:r/>
    </w:p>
    <w:p>
      <w:r/>
    </w:p>
    <w:p>
      <w:pPr>
        <w:pStyle w:val="Heading2"/>
      </w:pPr>
      <w:r>
        <w:t>Sábado</w:t>
      </w:r>
      <w:r/>
    </w:p>
    <w:p>
      <w:r/>
      <w:r>
        <w:t>Derivação de uma palavra hebraica que significa “cessar” ou “parar”. O sábado era um dia (no tempo de Jesus, início da noite de sexta-feira até ao início da noite de sábado) em que todo o trabalho comum parava. As Escrituras relatam que Deus deu ao seu povo o sábado como uma oportunidade de servi-lo e como um lembrete de duas grandes verdades na Bíblia — criação e redenção.</w:t>
      </w:r>
    </w:p>
    <w:p>
      <w:pPr>
        <w:pStyle w:val="Heading3"/>
      </w:pPr>
      <w:r>
        <w:t>No Antigo Testamento</w:t>
      </w:r>
    </w:p>
    <w:p>
      <w:r/>
      <w:r>
        <w:t xml:space="preserve">A relação entre a Criação e o sábado é expressa primeiro em </w:t>
      </w:r>
      <w:hyperlink r:id="rId18737">
        <w:r>
          <w:rPr>
            <w:color w:val="0000EE"/>
            <w:u w:val="single"/>
          </w:rPr>
          <w:t>Gênesis 2.2–3</w:t>
        </w:r>
      </w:hyperlink>
      <w:r>
        <w:t>. Deus “cessou” sua obra na Criação depois de seis dias e então “abençoou” o sétimo dia e “o declarou santo”. No quarto mandamento (</w:t>
      </w:r>
      <w:hyperlink r:id="rId802">
        <w:r>
          <w:rPr>
            <w:color w:val="0000EE"/>
            <w:u w:val="single"/>
          </w:rPr>
          <w:t>Êx 20.8–11</w:t>
        </w:r>
      </w:hyperlink>
      <w:r>
        <w:t>), a “bênção” e o “separar” de Deus do sétimo dia após a Criação (as palavras usadas são as mesmas que as de Gênesis) formam a base de sua demanda de que as pessoas observem o sétimo dia como um dia de descanso no sábado.</w:t>
      </w:r>
    </w:p>
    <w:p>
      <w:r/>
      <w:r>
        <w:t xml:space="preserve">A ideia de Deus descansando de sua obra é surpreendente. Aparece ainda mais vividamente em </w:t>
      </w:r>
      <w:hyperlink r:id="rId9239">
        <w:r>
          <w:rPr>
            <w:color w:val="0000EE"/>
            <w:u w:val="single"/>
          </w:rPr>
          <w:t>Êxodo 31.17</w:t>
        </w:r>
      </w:hyperlink>
      <w:r>
        <w:t>, onde o Senhor diz a Moisés como ele foi revigorado por seu dia de descanso. Esta imagem do Criador como um trabalhador manual é uma que a Bíblia muitas vezes pinta. Sem dúvida, é apresentado em termos vividamente humanos em Êxodo para reforçar a lição fundamental do sábado que as pessoas devem seguir o padrão que seu Criador estabeleceu para elas. O descanso de um dia dentre sete é uma necessidade para indivíduos, famílias, lares e até animais (</w:t>
      </w:r>
      <w:hyperlink r:id="rId8567">
        <w:r>
          <w:rPr>
            <w:color w:val="0000EE"/>
            <w:u w:val="single"/>
          </w:rPr>
          <w:t>Êx 20.10</w:t>
        </w:r>
      </w:hyperlink>
      <w:r>
        <w:t>).</w:t>
      </w:r>
    </w:p>
    <w:p>
      <w:r/>
      <w:r>
        <w:t>O estabelecimento do sábado no relato bíblico da Criação implica que é um desses padrões do AT que são destinados para todas as pessoas e não apenas para Israel. A inclusão da lei do sábado nos Dez Mandamentos sublinha esta importante verdade. O Decálogo ocupava um lugar especial na lei do AT. De todas as instruções de Deus, foi proferido por sua voz audível (</w:t>
      </w:r>
      <w:hyperlink r:id="rId6949">
        <w:r>
          <w:rPr>
            <w:color w:val="0000EE"/>
            <w:u w:val="single"/>
          </w:rPr>
          <w:t>Êx 20.1</w:t>
        </w:r>
      </w:hyperlink>
      <w:r>
        <w:t>), escrito por seu dedo (</w:t>
      </w:r>
      <w:hyperlink r:id="rId835">
        <w:r>
          <w:rPr>
            <w:color w:val="0000EE"/>
            <w:u w:val="single"/>
          </w:rPr>
          <w:t>31.18</w:t>
        </w:r>
      </w:hyperlink>
      <w:r>
        <w:t>), e colocado na arca do tabernáculo no coração da adoração de Israel (</w:t>
      </w:r>
      <w:hyperlink r:id="rId2427">
        <w:r>
          <w:rPr>
            <w:color w:val="0000EE"/>
            <w:u w:val="single"/>
          </w:rPr>
          <w:t>25.16</w:t>
        </w:r>
      </w:hyperlink>
      <w:r>
        <w:t>). O NT, também, confirma a forte impressão de que o Decálogo como um todo incorpora princípios que são permanentemente válidos para todas as pessoas, em todos os lugares, todos os tempos. Quer o domingo seja ou não reconhecido como o sábado cristão, alguém é obrigado a aceitar o princípio central deste ensino bíblico no que diz respeito ao sábado. As instruções de Deus exigem que as pessoas observem um intervalo semanal regular do trabalho.</w:t>
      </w:r>
    </w:p>
    <w:p>
      <w:r/>
      <w:r>
        <w:t xml:space="preserve">Significativamente, a segunda principal vertente do ensino do sábado da Bíblia — o da redenção — também aparece em uma lista dos Dez Mandamentos. A lei do sábado (já observada em </w:t>
      </w:r>
      <w:hyperlink r:id="rId802">
        <w:r>
          <w:rPr>
            <w:color w:val="0000EE"/>
            <w:u w:val="single"/>
          </w:rPr>
          <w:t>Êx 20.8–11</w:t>
        </w:r>
      </w:hyperlink>
      <w:r>
        <w:t xml:space="preserve">) reaparece em </w:t>
      </w:r>
      <w:hyperlink r:id="rId803">
        <w:r>
          <w:rPr>
            <w:color w:val="0000EE"/>
            <w:u w:val="single"/>
          </w:rPr>
          <w:t>Deuteronômio 5.12–15</w:t>
        </w:r>
      </w:hyperlink>
      <w:r>
        <w:t xml:space="preserve">, mas aqui uma razão diferente está ligada à sua observância: “Lembre que você foi escravo no Egito e que eu, o SENHOR, seu Deus, o tirei de lá com a minha força e com o meu poder. É por isso que eu mando que você guarde o sábado”. (v. </w:t>
      </w:r>
      <w:hyperlink r:id="rId13737">
        <w:r>
          <w:rPr>
            <w:color w:val="0000EE"/>
            <w:u w:val="single"/>
          </w:rPr>
          <w:t>15</w:t>
        </w:r>
      </w:hyperlink>
      <w:r>
        <w:t>).</w:t>
      </w:r>
    </w:p>
    <w:p>
      <w:r/>
      <w:r>
        <w:t>As diferenças entre esses dois relatos do quarto mandamento são importantes. O primeiro (</w:t>
      </w:r>
      <w:hyperlink r:id="rId805">
        <w:r>
          <w:rPr>
            <w:color w:val="0000EE"/>
            <w:u w:val="single"/>
          </w:rPr>
          <w:t>Êx 20</w:t>
        </w:r>
      </w:hyperlink>
      <w:r>
        <w:t xml:space="preserve">) é endereçado, </w:t>
      </w:r>
      <w:r>
        <w:rPr>
          <w:i/>
        </w:rPr>
        <w:t>através</w:t>
      </w:r>
      <w:r>
        <w:t xml:space="preserve"> de Israel, a todas as pessoas como seres criados. O segundo (</w:t>
      </w:r>
      <w:hyperlink r:id="rId18738">
        <w:r>
          <w:rPr>
            <w:color w:val="0000EE"/>
            <w:u w:val="single"/>
          </w:rPr>
          <w:t>Dt 5</w:t>
        </w:r>
      </w:hyperlink>
      <w:r>
        <w:t xml:space="preserve">) é direcionado </w:t>
      </w:r>
      <w:r>
        <w:rPr>
          <w:i/>
        </w:rPr>
        <w:t>a</w:t>
      </w:r>
      <w:r>
        <w:t xml:space="preserve"> Israel como o povo redimido de Deus. Por isso o sábado é o sinal de Deus, apontando não apenas para sua bondade à todas as pessoas como seu Criador, mas também para sua misericórdia para com seu povo escolhido como seu Redentor.</w:t>
      </w:r>
    </w:p>
    <w:p>
      <w:r/>
      <w:r>
        <w:t>Há um outro ponto significativo na versão de Deuteronômio do mandamento do sábado que não deve ser esquecido. A proibição de todo o trabalho no dia de sábado é seguida por uma nota explicativa — “Não faça nenhum trabalho nesse dia. nem você, nem os seus filhos, nem as suas filhas, nem os seus escravos, nem as suas escravas, nem os seus animais, nem os estrangeiros que vivem na terra de você. Assim como você descansa, os seus escravos também devem descansar.” (</w:t>
      </w:r>
      <w:hyperlink r:id="rId1614">
        <w:r>
          <w:rPr>
            <w:color w:val="0000EE"/>
            <w:u w:val="single"/>
          </w:rPr>
          <w:t>Dt 5.14</w:t>
        </w:r>
      </w:hyperlink>
      <w:r>
        <w:t xml:space="preserve">). O interesse prático pelos outros é uma característica de todo o ensino da aliança do AT. Por isso o interesse amoroso de Deus por Israel em sua escravidão egípcia deve ser igualado pelo interesse amoroso da família israelita por aqueles que os serviam. O sábado oferecia uma saída ideal para a expressão prática desse interesse. Jesus estava especialmente interessado em resgatar este lado humanitário da observância ao sábado da maioria dos regulamentos insensíveis que ameaçavam sufocá-lo em seus dias (veja, p. ex., </w:t>
      </w:r>
      <w:hyperlink r:id="rId9290">
        <w:r>
          <w:rPr>
            <w:color w:val="0000EE"/>
            <w:u w:val="single"/>
          </w:rPr>
          <w:t>Mc 3.1–5</w:t>
        </w:r>
      </w:hyperlink>
      <w:r>
        <w:t>).</w:t>
      </w:r>
    </w:p>
    <w:p>
      <w:r/>
      <w:r>
        <w:t xml:space="preserve">A provisão do AT para um “ano sabático” desenvolve ainda mais esta questão humanitário (veja </w:t>
      </w:r>
      <w:hyperlink r:id="rId18739">
        <w:r>
          <w:rPr>
            <w:color w:val="0000EE"/>
            <w:u w:val="single"/>
          </w:rPr>
          <w:t>Êx 23.10–12</w:t>
        </w:r>
      </w:hyperlink>
      <w:r>
        <w:t xml:space="preserve">; </w:t>
      </w:r>
      <w:hyperlink r:id="rId1951">
        <w:r>
          <w:rPr>
            <w:color w:val="0000EE"/>
            <w:u w:val="single"/>
          </w:rPr>
          <w:t>Lv 25.1–7</w:t>
        </w:r>
      </w:hyperlink>
      <w:r>
        <w:t xml:space="preserve">; </w:t>
      </w:r>
      <w:hyperlink r:id="rId18740">
        <w:r>
          <w:rPr>
            <w:color w:val="0000EE"/>
            <w:u w:val="single"/>
          </w:rPr>
          <w:t>Dt 15.1–11</w:t>
        </w:r>
      </w:hyperlink>
      <w:r>
        <w:t xml:space="preserve">; bem como os regulamentos para o “ano do jubileu” em </w:t>
      </w:r>
      <w:hyperlink r:id="rId9263">
        <w:r>
          <w:rPr>
            <w:color w:val="0000EE"/>
            <w:u w:val="single"/>
          </w:rPr>
          <w:t>Lv 25.8–55</w:t>
        </w:r>
      </w:hyperlink>
      <w:r>
        <w:t>). A cada sétimo ano, a terra deveria ficar em repouso e não ser cultivada (</w:t>
      </w:r>
      <w:hyperlink r:id="rId1953">
        <w:r>
          <w:rPr>
            <w:color w:val="0000EE"/>
            <w:u w:val="single"/>
          </w:rPr>
          <w:t>Lv 25.4</w:t>
        </w:r>
      </w:hyperlink>
      <w:r>
        <w:t xml:space="preserve">). Precisava de um descanso regular, tanto quanto as pessoas que ela sustentava. O propósito principal desta lei era benevolente: “Os campos não serão semeados, mas mesmo assim produzirão o bastante para alimentar todos os israelitas, os seus escravos e as suas escravas, os seus empregados, os estrangeiros que vivem no meio do povo. e também os animais domésticos e os animais selvagens. Tudo o que a terra produzir servirá de alimento” (vv. </w:t>
      </w:r>
      <w:hyperlink r:id="rId18741">
        <w:r>
          <w:rPr>
            <w:color w:val="0000EE"/>
            <w:u w:val="single"/>
          </w:rPr>
          <w:t>6–7</w:t>
        </w:r>
      </w:hyperlink>
      <w:r>
        <w:t xml:space="preserve">). </w:t>
      </w:r>
      <w:hyperlink r:id="rId18740">
        <w:r>
          <w:rPr>
            <w:color w:val="0000EE"/>
            <w:u w:val="single"/>
          </w:rPr>
          <w:t>Deuteronômio 15.1–11</w:t>
        </w:r>
      </w:hyperlink>
      <w:r>
        <w:t xml:space="preserve"> estende o mesmo princípio humanitário ao mundo do comércio. O ano sabático deve observar o cancelamento de todas as dívidas dentro da comunidade redimida de Deus. Para os avarentos que poderiam ser tentados a negar um empréstimo caso o ano sabático estivesse iminente, a lei acrescentou um aviso e uma promessa: “Se isso acontecer quando estiver perto o sétimo ano, o ano em que as dívidas são perdoadas, talvez você pense em não ajudar o necessitado. Afaste esse mau pensamento e ajude o seu patrício israelita; se não, ele gritará a Deus contra você, e você será culpado de pecado. Não dê com tristeza no coração, mas seja generoso com ele; assim o SENHOR, nosso Deus, abençoará tudo o que você planejar e tudo o que fizer”. (</w:t>
      </w:r>
      <w:hyperlink r:id="rId18742">
        <w:r>
          <w:rPr>
            <w:color w:val="0000EE"/>
            <w:u w:val="single"/>
          </w:rPr>
          <w:t>Dt 15.9–10</w:t>
        </w:r>
      </w:hyperlink>
      <w:r>
        <w:t>).</w:t>
      </w:r>
    </w:p>
    <w:p>
      <w:r/>
      <w:r>
        <w:t>Observar o ano sabático era obviamente um grande teste da obediência do povo a Deus e de sua disposição de depender dele para seu sustento. Às vezes, a tentação de ignorar esta ordem era muito forte. Mas a história testifica a coragem de Israel em observar a letra desta lei em muitas ocasiões, apesar das ameaças de invasão e fome. Tanto Alexandre, o Grande, quanto os romanos, dispensaram os judeus de pagarem impostos a cada sétimo ano em reconhecimento da profundidade de suas convicções religiosas.</w:t>
      </w:r>
    </w:p>
    <w:p>
      <w:r/>
      <w:r>
        <w:t>Voltando do sétimo ano para o sétimo dia, os códigos da lei do AT explicam de forma extensa para reforçar a proibição do trabalho no sábado, definindo o que pode e não pode ser feito pelo povo de Deus no dia de sábado. As proibições não eram destinadas a descartar atividade de qualquer tipo. Seu objetivo era interromper o trabalho regular e diário, porque se Deus tinha separado o sábado (</w:t>
      </w:r>
      <w:hyperlink r:id="rId13736">
        <w:r>
          <w:rPr>
            <w:color w:val="0000EE"/>
            <w:u w:val="single"/>
          </w:rPr>
          <w:t>Êx 20.11</w:t>
        </w:r>
      </w:hyperlink>
      <w:r>
        <w:t>), a maneira mais óbvia de profaná-lo seria tratá-lo como qualquer outro dia. As regras eram descritas em termos específicos que o agricultor (</w:t>
      </w:r>
      <w:hyperlink r:id="rId18743">
        <w:r>
          <w:rPr>
            <w:color w:val="0000EE"/>
            <w:u w:val="single"/>
          </w:rPr>
          <w:t>34.21</w:t>
        </w:r>
      </w:hyperlink>
      <w:r>
        <w:t>), o vendedor (</w:t>
      </w:r>
      <w:hyperlink r:id="rId18744">
        <w:r>
          <w:rPr>
            <w:color w:val="0000EE"/>
            <w:u w:val="single"/>
          </w:rPr>
          <w:t>Jr 17.27</w:t>
        </w:r>
      </w:hyperlink>
      <w:r>
        <w:t>) e até mesmo a dona de casa (</w:t>
      </w:r>
      <w:hyperlink r:id="rId18745">
        <w:r>
          <w:rPr>
            <w:color w:val="0000EE"/>
            <w:u w:val="single"/>
          </w:rPr>
          <w:t>Êx 35.2–3</w:t>
        </w:r>
      </w:hyperlink>
      <w:r>
        <w:t>) entenderiam.</w:t>
      </w:r>
    </w:p>
    <w:p>
      <w:r/>
      <w:r>
        <w:t>Os detalhes podem parecer triviais, mas a obediência à lei do sábado era vista como o principal teste da fidelidade do povo ao Senhor. Ficou bastante claro que a desobediência intencional era uma ofensa capital (</w:t>
      </w:r>
      <w:hyperlink r:id="rId18746">
        <w:r>
          <w:rPr>
            <w:color w:val="0000EE"/>
            <w:u w:val="single"/>
          </w:rPr>
          <w:t>Êx 35.2</w:t>
        </w:r>
      </w:hyperlink>
      <w:r>
        <w:t>), e o destino da pessoa encontrada recolhendo madeira, desafiando os regulamentos do sábado, demonstrou que esta não era uma ameaça vazia (</w:t>
      </w:r>
      <w:hyperlink r:id="rId7199">
        <w:r>
          <w:rPr>
            <w:color w:val="0000EE"/>
            <w:u w:val="single"/>
          </w:rPr>
          <w:t>Nm 15.32–36</w:t>
        </w:r>
      </w:hyperlink>
      <w:r>
        <w:t>).</w:t>
      </w:r>
    </w:p>
    <w:p>
      <w:r/>
      <w:r>
        <w:t>Cercado por tantas regras e regulamentos (e com a pena de morte sobreposta em tudo), o sábado facilmente poderia ter se tornado um dia de medo — um dia em que as pessoas estivessem mais com medo de cometer uma ofensa do que adorar o Senhor e desfrutar de um descanso semanal. Mas o sábado tinha a intenção de ser uma bênção, não um fardo. Acima de tudo o mais, era um sinal semanal de que o Senhor amava seu povo e queria atraí-los para um relacionamento cada vez mais íntimo consigo mesmo. Aqueles que valorizavam esse relacionamento, desfrutavam do sábado, considerando-o prazeroso (</w:t>
      </w:r>
      <w:hyperlink r:id="rId9244">
        <w:r>
          <w:rPr>
            <w:color w:val="0000EE"/>
            <w:u w:val="single"/>
          </w:rPr>
          <w:t>Is 58:13–14</w:t>
        </w:r>
      </w:hyperlink>
      <w:r>
        <w:t xml:space="preserve">). Em lugar algum o AT expressa sua alegria na adoração do sábado de forma mais exuberante do que no </w:t>
      </w:r>
      <w:hyperlink r:id="rId14939">
        <w:r>
          <w:rPr>
            <w:color w:val="0000EE"/>
            <w:u w:val="single"/>
          </w:rPr>
          <w:t>Salmo 92</w:t>
        </w:r>
      </w:hyperlink>
      <w:r>
        <w:t>, que tem o título “Um cântico para o sábado”.</w:t>
      </w:r>
    </w:p>
    <w:p>
      <w:r/>
      <w:r>
        <w:t>Os profetas posteriores, no entanto, estavam longe de serem cegos para o lado mais sombrio da natureza humana. Eles sabiam que uma grande parte da observância do sábado era uma farsa. Muitas pessoas tratavam o dia de sábado mais como feriado do que dia santo, uma oportunidade de autoindulgência em vez de se deleitar no Senhor (</w:t>
      </w:r>
      <w:hyperlink r:id="rId18747">
        <w:r>
          <w:rPr>
            <w:color w:val="0000EE"/>
            <w:u w:val="single"/>
          </w:rPr>
          <w:t>Is 58.13</w:t>
        </w:r>
      </w:hyperlink>
      <w:r>
        <w:t>). Alguns negociantes gananciosos acharam suas restrições irritantes (</w:t>
      </w:r>
      <w:hyperlink r:id="rId2985">
        <w:r>
          <w:rPr>
            <w:color w:val="0000EE"/>
            <w:u w:val="single"/>
          </w:rPr>
          <w:t>Am 8.5</w:t>
        </w:r>
      </w:hyperlink>
      <w:r>
        <w:t>).</w:t>
      </w:r>
    </w:p>
    <w:p>
      <w:r/>
      <w:r>
        <w:t>Como porta-vozes de Deus, os profetas não se esquivaram de expor tal negligência e abuso (</w:t>
      </w:r>
      <w:hyperlink r:id="rId18748">
        <w:r>
          <w:rPr>
            <w:color w:val="0000EE"/>
            <w:u w:val="single"/>
          </w:rPr>
          <w:t>Ez 22.26</w:t>
        </w:r>
      </w:hyperlink>
      <w:r>
        <w:t>). Aqueles que cumprem os rituais de adoração no sábado com corações impenitentes causam repulsa ao Senhor, Isaías disse (</w:t>
      </w:r>
      <w:hyperlink r:id="rId18749">
        <w:r>
          <w:rPr>
            <w:color w:val="0000EE"/>
            <w:u w:val="single"/>
          </w:rPr>
          <w:t>Is 1.10–15</w:t>
        </w:r>
      </w:hyperlink>
      <w:r>
        <w:t>). Como um sintoma de rebelião contra Deus, a quebra do sábado em Jerusalém trará destruição à cidade, exclama Jeremias (</w:t>
      </w:r>
      <w:hyperlink r:id="rId18744">
        <w:r>
          <w:rPr>
            <w:color w:val="0000EE"/>
            <w:u w:val="single"/>
          </w:rPr>
          <w:t>Jr 17.27</w:t>
        </w:r>
      </w:hyperlink>
      <w:r>
        <w:t>). O Senhor tem sido muito tolerante com seu povo, advertiu Ezequiel, mas a negligência prolongada de seu sábado torna o julgamento uma certeza (</w:t>
      </w:r>
      <w:hyperlink r:id="rId18750">
        <w:r>
          <w:rPr>
            <w:color w:val="0000EE"/>
            <w:u w:val="single"/>
          </w:rPr>
          <w:t>Ez 20.12–24</w:t>
        </w:r>
      </w:hyperlink>
      <w:r>
        <w:t>).</w:t>
      </w:r>
    </w:p>
    <w:p>
      <w:r/>
      <w:r>
        <w:t>Quando o machado do julgamento caiu (no exílio para a Babilônia, 586 a.C.), o remanescente sobrevivente da nação entendeu o aviso. Guardar o sábado era uma das poucas marcas distintivas que os judeus fiéis poderiam reter em uma terra estrangeira, por isso assumia um significado extra. Por inspiração de profetas como Ezequiel, que estabeleceram regras para a adoração de sábado no templo reconstruído em Jerusalém (</w:t>
      </w:r>
      <w:hyperlink r:id="rId18751">
        <w:r>
          <w:rPr>
            <w:color w:val="0000EE"/>
            <w:u w:val="single"/>
          </w:rPr>
          <w:t>Ez 44.24</w:t>
        </w:r>
      </w:hyperlink>
      <w:r>
        <w:t xml:space="preserve">; </w:t>
      </w:r>
      <w:hyperlink r:id="rId9251">
        <w:r>
          <w:rPr>
            <w:color w:val="0000EE"/>
            <w:u w:val="single"/>
          </w:rPr>
          <w:t>45.17</w:t>
        </w:r>
      </w:hyperlink>
      <w:r>
        <w:t xml:space="preserve">; </w:t>
      </w:r>
      <w:hyperlink r:id="rId18752">
        <w:r>
          <w:rPr>
            <w:color w:val="0000EE"/>
            <w:u w:val="single"/>
          </w:rPr>
          <w:t>46.3</w:t>
        </w:r>
      </w:hyperlink>
      <w:r>
        <w:t>), e sob a liderança de homens como Neemias, os que retornaram do exílio foram mais cautelosos do que seus antecessores ao observar o dia de sábado (</w:t>
      </w:r>
      <w:hyperlink r:id="rId9261">
        <w:r>
          <w:rPr>
            <w:color w:val="0000EE"/>
            <w:u w:val="single"/>
          </w:rPr>
          <w:t>Ne 10.31</w:t>
        </w:r>
      </w:hyperlink>
      <w:r>
        <w:t xml:space="preserve">; </w:t>
      </w:r>
      <w:hyperlink r:id="rId18753">
        <w:r>
          <w:rPr>
            <w:color w:val="0000EE"/>
            <w:u w:val="single"/>
          </w:rPr>
          <w:t>13.15–22</w:t>
        </w:r>
      </w:hyperlink>
      <w:r>
        <w:t>).</w:t>
      </w:r>
    </w:p>
    <w:p>
      <w:pPr>
        <w:pStyle w:val="Heading3"/>
      </w:pPr>
      <w:r>
        <w:t>No Novo Testamento</w:t>
      </w:r>
    </w:p>
    <w:p>
      <w:r/>
      <w:r>
        <w:t>Antes do primeiro século, alguns judeus na Palestina desenvolveram várias regras para promover a observância do sábado. Dois tratados da Mishná são dedicados exclusivamente a essas regras e regulamentos do sábado. Seu principal propósito é definir o trabalho (um tratado que faz isso sob 39 seções) em uma tentativa de mostrar a cada israelita o que é e não é permitido no sábado. Infelizmente, isso levou a tais complexidades e evasões que os defensores eclesiásticos muitas vezes diferiam entre si em suas interpretações, com o resultado inevitável de que o principal propósito do sábado se perdeu sob um mastro de detalhes legalistas. Os próprios rabinos estavam cientes de quanto eles estavam adicionando ao ensino claro do AT. Como um deles colocou: “As regras sobre o sábado… são como montanhas penduradas por um cabelo, pois as Escrituras são escassas e as regras são muitas”.</w:t>
      </w:r>
    </w:p>
    <w:p>
      <w:r/>
      <w:r>
        <w:t>Jesus teve muitos confrontos com os líderes religiosos judeus sobre as observâncias do sábado. Da perspectiva deles, Jesus era um violador do sábado e, portanto, um infrator da lei. Jesus, no entanto, nunca se viu como um violador do sábado. Ele ia para a sinagoga regularmente no dia de sábado (</w:t>
      </w:r>
      <w:hyperlink r:id="rId9287">
        <w:r>
          <w:rPr>
            <w:color w:val="0000EE"/>
            <w:u w:val="single"/>
          </w:rPr>
          <w:t>Lc 4:16</w:t>
        </w:r>
      </w:hyperlink>
      <w:r>
        <w:t>). Ele lia o conteúdo, pregava e ensinava (</w:t>
      </w:r>
      <w:hyperlink r:id="rId14344">
        <w:r>
          <w:rPr>
            <w:color w:val="0000EE"/>
            <w:u w:val="single"/>
          </w:rPr>
          <w:t>Mc 1.21</w:t>
        </w:r>
      </w:hyperlink>
      <w:r>
        <w:t xml:space="preserve">; </w:t>
      </w:r>
      <w:hyperlink r:id="rId18754">
        <w:r>
          <w:rPr>
            <w:color w:val="0000EE"/>
            <w:u w:val="single"/>
          </w:rPr>
          <w:t>Lc 13.10</w:t>
        </w:r>
      </w:hyperlink>
      <w:r>
        <w:t>). Ele claramente aceitou o princípio de que o sábado era um dia apropriado para adoração.</w:t>
      </w:r>
    </w:p>
    <w:p>
      <w:r/>
      <w:r>
        <w:t xml:space="preserve">Seu ponto de colisão com os fariseus foi que a tradição deles se afastou do ensino bíblico. Ele deixou isso claro quando defendeu seus discípulos apelando para as Escrituras, depois que eles haviam sido acusados de quebrar a tradição do sábado, andando pelos campos de trigo e arrancando espigas (que se enquadravam na categoria de “colheita”, de acordo com os fariseus; </w:t>
      </w:r>
      <w:hyperlink r:id="rId18755">
        <w:r>
          <w:rPr>
            <w:color w:val="0000EE"/>
            <w:u w:val="single"/>
          </w:rPr>
          <w:t>Mc 2.23–26</w:t>
        </w:r>
      </w:hyperlink>
      <w:r>
        <w:t>). Ele aplicou isso com uma declaração que levou seus ouvintes diretamente de volta ao propósito da Criação de Deus para o sábado: “O sábado foi feito para servir as pessoas, e não as pessoas para servirem o sábado” (</w:t>
      </w:r>
      <w:hyperlink r:id="rId18756">
        <w:r>
          <w:rPr>
            <w:color w:val="0000EE"/>
            <w:u w:val="single"/>
          </w:rPr>
          <w:t>Mc 2.27</w:t>
        </w:r>
      </w:hyperlink>
      <w:r>
        <w:t>).</w:t>
      </w:r>
    </w:p>
    <w:p>
      <w:r/>
      <w:r>
        <w:t>A tradição rabínica havia exaltado a instituição acima do povo a quem ela deveria servir. Ao torná-lo um fim em si mesmo, os fariseus haviam efetivamente privado o sábado de um de seus principais propósitos. As palavras de Jesus devem ter soado desconfortavelmente familiar aos ouvidos de seus oponentes. Um rabino famoso havia dito uma vez: “O sábado é dado a vocês, mas vocês não estão sujeitos ao sábado”.</w:t>
      </w:r>
    </w:p>
    <w:p>
      <w:r/>
      <w:r>
        <w:t>Mais do que qualquer outra coisa, as curas de Jesus no sábado colocam-no em uma rota de colisão com restrições rabínicas. O AT não proíbe curas no dia de sábado, mas os rabinos rotularam toda a cura como trabalho, que deve sempre ser evitada no sábado, a menos que a vida estivesse em risco. Jesus expôs corajosamente as inconsistências insensíveis e absurdas às quais esta atitude levou. Ele questionou, como, pois, seria correto circuncidar um bebê ou levar um animal para beber água no dia de sábado (que a tradição permitia), mas errado sarar uma mulher cronicamente deficiente e um homem aleijado, mesmo que suas vidas não estivessem em perigo imediato (</w:t>
      </w:r>
      <w:hyperlink r:id="rId9291">
        <w:r>
          <w:rPr>
            <w:color w:val="0000EE"/>
            <w:u w:val="single"/>
          </w:rPr>
          <w:t>Lc 13.10–17</w:t>
        </w:r>
      </w:hyperlink>
      <w:r>
        <w:t xml:space="preserve">; </w:t>
      </w:r>
      <w:hyperlink r:id="rId18757">
        <w:r>
          <w:rPr>
            <w:color w:val="0000EE"/>
            <w:u w:val="single"/>
          </w:rPr>
          <w:t>Jo 7.21–24</w:t>
        </w:r>
      </w:hyperlink>
      <w:r>
        <w:t>)? O sábado, ele ensinou, era um dia especialmente apropriado para atos de misericórdia (</w:t>
      </w:r>
      <w:hyperlink r:id="rId18758">
        <w:r>
          <w:rPr>
            <w:color w:val="0000EE"/>
            <w:u w:val="single"/>
          </w:rPr>
          <w:t>Mc 3.4–5</w:t>
        </w:r>
      </w:hyperlink>
      <w:r>
        <w:t>).</w:t>
      </w:r>
    </w:p>
    <w:p>
      <w:r/>
      <w:r>
        <w:t>Jesus, o homem que veio do céu, afirmou que ele era Senhor do sábado (</w:t>
      </w:r>
      <w:hyperlink r:id="rId9416">
        <w:r>
          <w:rPr>
            <w:color w:val="0000EE"/>
            <w:u w:val="single"/>
          </w:rPr>
          <w:t>Mc 2.28</w:t>
        </w:r>
      </w:hyperlink>
      <w:r>
        <w:t xml:space="preserve">; cf. </w:t>
      </w:r>
      <w:hyperlink r:id="rId18759">
        <w:r>
          <w:rPr>
            <w:color w:val="0000EE"/>
            <w:u w:val="single"/>
          </w:rPr>
          <w:t>Mt 12.5–8</w:t>
        </w:r>
      </w:hyperlink>
      <w:r>
        <w:t>). Assim como Deus continuou trabalhando, apesar de seu descanso na Criação, para sustentar o mundo em sua misericórdia, assim Jesus continuaria a ensinar e a curar no dia de sábado (</w:t>
      </w:r>
      <w:hyperlink r:id="rId18760">
        <w:r>
          <w:rPr>
            <w:color w:val="0000EE"/>
            <w:u w:val="single"/>
          </w:rPr>
          <w:t>Jo 5.2–17</w:t>
        </w:r>
      </w:hyperlink>
      <w:r>
        <w:t>). Mas um dia sua obra redentora seria completa, e então o propósito do sábado como um sinal de redenção se cumpriria.</w:t>
      </w:r>
    </w:p>
    <w:p>
      <w:r/>
      <w:r>
        <w:t xml:space="preserve">Vivendo do outro lado após a morte e ressurreição de Jesus, Paulo foi rápido em entender o significado de ambos para a observância do sábado Ele não foi tão longe a ponto de proibir toda a observância do sábado judaico. De fato, ele participou de muitos serviços na sinagoga do sábado em suas viagens evangelísticas (veja, p. ex., </w:t>
      </w:r>
      <w:hyperlink r:id="rId18761">
        <w:r>
          <w:rPr>
            <w:color w:val="0000EE"/>
            <w:u w:val="single"/>
          </w:rPr>
          <w:t>Atos 13.14–16</w:t>
        </w:r>
      </w:hyperlink>
      <w:r>
        <w:t>). Os cristãos judeus que insistiram em manter suas práticas de sábado eram livres para fazê-las, desde que respeitassem as opiniões daqueles que diferiam (</w:t>
      </w:r>
      <w:hyperlink r:id="rId18762">
        <w:r>
          <w:rPr>
            <w:color w:val="0000EE"/>
            <w:u w:val="single"/>
          </w:rPr>
          <w:t>Rm 14.5–6, 13</w:t>
        </w:r>
      </w:hyperlink>
      <w:r>
        <w:t>). Mas qualquer sugestão de que observar o calendário judaico era necessário para a salvação deveria ser resistida (</w:t>
      </w:r>
      <w:hyperlink r:id="rId18763">
        <w:r>
          <w:rPr>
            <w:color w:val="0000EE"/>
            <w:u w:val="single"/>
          </w:rPr>
          <w:t>Gl 4.8–11</w:t>
        </w:r>
      </w:hyperlink>
      <w:r>
        <w:t>). Pois Paulo considerava o sábado como uma sombra, enquanto o próprio Cristo é a realidade dessa sombra (</w:t>
      </w:r>
      <w:hyperlink r:id="rId18764">
        <w:r>
          <w:rPr>
            <w:color w:val="0000EE"/>
            <w:u w:val="single"/>
          </w:rPr>
          <w:t>Cl 2.17</w:t>
        </w:r>
      </w:hyperlink>
      <w:r>
        <w:t>).</w:t>
      </w:r>
    </w:p>
    <w:p>
      <w:r/>
      <w:r>
        <w:t>Finalmente, é o escritor da Carta aos Hebreus que explica como os dois “temas do sábado” na Bíblia: criação e redenção, encontram sua realização conjunta em Cristo. Ele fez isso ligando as ideias do descanso de Deus após a Criação e seu ato redentor em trazer Israel para seu “descanso” em Canaã, e mostrando como ambos se relacionam com o descanso presente e futuro que os cristãos podem e de fato desfrutam em Jesus (</w:t>
      </w:r>
      <w:hyperlink r:id="rId18765">
        <w:r>
          <w:rPr>
            <w:color w:val="0000EE"/>
            <w:u w:val="single"/>
          </w:rPr>
          <w:t>Hb 4.1–11</w:t>
        </w:r>
      </w:hyperlink>
      <w:r>
        <w:t>).</w:t>
      </w:r>
    </w:p>
    <w:p>
      <w:r/>
      <w:r>
        <w:t>Deus tenciona que todo o seu povo compartilhe de seu descanso — isto é, sua promessa (</w:t>
      </w:r>
      <w:hyperlink r:id="rId10379">
        <w:r>
          <w:rPr>
            <w:color w:val="0000EE"/>
            <w:u w:val="single"/>
          </w:rPr>
          <w:t>Hb 4.1</w:t>
        </w:r>
      </w:hyperlink>
      <w:r>
        <w:t xml:space="preserve">). Ele mostrou esta intenção claramente quando trouxe Israel para a Terra Prometida, mas isso não marcou a realização completa de sua promessa. O descanso pleno e completo ainda está aguardando pelo povo de Deus no céu. Cristo já adentrou lá. Ele está descansando de seu trabalho, assim como Deus fez após a Criação. E por causa de sua obra redentora, ele convida, agora, a todos aqueles que creem nele para partilhar do mesmo “descanso sabático” (v. </w:t>
      </w:r>
      <w:hyperlink r:id="rId10418">
        <w:r>
          <w:rPr>
            <w:color w:val="0000EE"/>
            <w:u w:val="single"/>
          </w:rPr>
          <w:t>9</w:t>
        </w:r>
      </w:hyperlink>
      <w:r>
        <w:t>).</w:t>
      </w:r>
    </w:p>
    <w:p>
      <w:r/>
      <w:r>
        <w:rPr>
          <w:i/>
        </w:rPr>
        <w:t>Veja também</w:t>
      </w:r>
      <w:r>
        <w:t xml:space="preserve"> </w:t>
      </w:r>
      <w:r>
        <w:t>Dia do Senhor, O</w:t>
      </w:r>
      <w:r>
        <w:t xml:space="preserve">; </w:t>
      </w:r>
      <w:r>
        <w:t>Jornada do Dia de Sábado</w:t>
      </w:r>
      <w:r>
        <w:t xml:space="preserve">; </w:t>
      </w:r>
      <w:r>
        <w:t>Mandamentos, Os Dez</w:t>
      </w:r>
      <w:r>
        <w:t>.</w:t>
      </w:r>
      <w:r/>
      <w:r/>
    </w:p>
    <w:p>
      <w:r/>
    </w:p>
    <w:p>
      <w:pPr>
        <w:pStyle w:val="Heading2"/>
      </w:pPr>
      <w:r>
        <w:t>Sabedoria</w:t>
      </w:r>
      <w:r/>
    </w:p>
    <w:p>
      <w:r/>
      <w:r>
        <w:t>A capacidade de direcionar a mente para uma compreensão completa da vida humana e seu cumprimento moral é essencial. A sabedoria é, portanto, uma habilidade especial, necessária para uma vida humana plena. Ela pode ser adquirida por meio da educação e da aplicação mental.</w:t>
      </w:r>
    </w:p>
    <w:p>
      <w:pPr>
        <w:pStyle w:val="Heading3"/>
      </w:pPr>
      <w:r>
        <w:t>Sabedoria divina.</w:t>
      </w:r>
    </w:p>
    <w:p>
      <w:r/>
      <w:r>
        <w:t>Embora o termo "sabedoria" seja usado principalmente no Antigo Testamento com referência aos seres humanos, toda sabedoria, em última análise, vem de Deus. A sabedoria é uma parte central de quem Deus é. Com sabedoria, Deus criou o universo (</w:t>
      </w:r>
      <w:hyperlink r:id="rId6844">
        <w:r>
          <w:rPr>
            <w:color w:val="0000EE"/>
            <w:u w:val="single"/>
          </w:rPr>
          <w:t>Pv 3.19</w:t>
        </w:r>
      </w:hyperlink>
      <w:r>
        <w:t>) e os seres humanos (</w:t>
      </w:r>
      <w:hyperlink r:id="rId6843">
        <w:r>
          <w:rPr>
            <w:color w:val="0000EE"/>
            <w:u w:val="single"/>
          </w:rPr>
          <w:t>Sl 104.24</w:t>
        </w:r>
      </w:hyperlink>
      <w:r>
        <w:t>). Assim, a sabedoria, em suas conotações positivas, é algo inerente a Deus, refletido na criação e parte da razão para a existência humana.</w:t>
      </w:r>
    </w:p>
    <w:p>
      <w:r/>
      <w:r>
        <w:t>A sabedoria na criação é refletida na forma e ordem que emergiram do caos primordial. A sabedoria de Deus expressa na criação da humanidade significa que a vida humana também pode ser caracterizada por forma e ordem, e que o significado na vida pode ser encontrado no mundo criado, que contém marcas da sabedoria divina. A sabedoria de Deus é criativa, intencional e boa; não é meramente a atividade intelectual de Deus. O potencial para a sabedoria humana está enraizado na criação da humanidade. Criados pela sabedoria divina, os seres humanos têm dentro de si a capacidade dada por Deus para a sabedoria. Assim, é impossível entender a sabedoria humana sem primeiro compreender a sabedoria divina.</w:t>
      </w:r>
    </w:p>
    <w:p>
      <w:pPr>
        <w:pStyle w:val="Heading3"/>
      </w:pPr>
      <w:r>
        <w:t>Sabedoria humana.</w:t>
      </w:r>
    </w:p>
    <w:p>
      <w:r/>
      <w:r>
        <w:t>A palavra "sabedoria", em relação aos seres humanos, é utilizada de diferentes maneiras no Antigo Testamento. Frequentemente, é usada como sinônimo de "conhecimento". No entanto, em seu uso geral, comumente indica conhecimento aplicado, habilidade ou até mesmo astúcia. Sabedoria pode ser definida como "capacidade mental superior" ou "habilidade superior". Assim, sabedoria é usada para descrever tanto a astúcia do Rei Salomão (</w:t>
      </w:r>
      <w:hyperlink r:id="rId18766">
        <w:r>
          <w:rPr>
            <w:color w:val="0000EE"/>
            <w:u w:val="single"/>
          </w:rPr>
          <w:t>1Rs 2.1–6</w:t>
        </w:r>
      </w:hyperlink>
      <w:r>
        <w:t>) quanto a habilidade do artesão Bezalel (</w:t>
      </w:r>
      <w:hyperlink r:id="rId18767">
        <w:r>
          <w:rPr>
            <w:color w:val="0000EE"/>
            <w:u w:val="single"/>
          </w:rPr>
          <w:t>Êx 35.33</w:t>
        </w:r>
      </w:hyperlink>
      <w:r>
        <w:t>). Mas também era usada para descrever capacidades mentais e habilidades que tinham um componente moral — a capacidade de entender e fazer o bem. Assim, quando Moisés delegou parte de sua autoridade a juízes recém nomeados, ele escolheu homens que eram sábios, compreensivos e experientes (</w:t>
      </w:r>
      <w:hyperlink r:id="rId18768">
        <w:r>
          <w:rPr>
            <w:color w:val="0000EE"/>
            <w:u w:val="single"/>
          </w:rPr>
          <w:t>Dt 1.13</w:t>
        </w:r>
      </w:hyperlink>
      <w:r>
        <w:t>). Tais homens eram considerados os sábios na antiga Israel. A sabedoria humana, nesse sentido especial, não era meramente um dom de Deus, inerente ao nascimento. Ela precisava ser desenvolvida conscientemente durante uma vida vivida em relacionamento com Deus.</w:t>
      </w:r>
    </w:p>
    <w:p>
      <w:r/>
      <w:r>
        <w:t>Assim, esse tipo positivo e especial de sabedoria nos seres humanos não pode ser compreendido à parte de Deus. Um tema frequente da literatura de sabedoria no Antigo Testamento é que o “temor do Senhor é o princípio da sabedoria” (</w:t>
      </w:r>
      <w:hyperlink r:id="rId6850">
        <w:r>
          <w:rPr>
            <w:color w:val="0000EE"/>
            <w:u w:val="single"/>
          </w:rPr>
          <w:t>Pv 9.10</w:t>
        </w:r>
      </w:hyperlink>
      <w:r>
        <w:t xml:space="preserve">; veja também </w:t>
      </w:r>
      <w:hyperlink r:id="rId6848">
        <w:r>
          <w:rPr>
            <w:color w:val="0000EE"/>
            <w:u w:val="single"/>
          </w:rPr>
          <w:t>Jó 28.28</w:t>
        </w:r>
      </w:hyperlink>
      <w:r>
        <w:t xml:space="preserve">; </w:t>
      </w:r>
      <w:hyperlink r:id="rId6849">
        <w:r>
          <w:rPr>
            <w:color w:val="0000EE"/>
            <w:u w:val="single"/>
          </w:rPr>
          <w:t>Sl 111.10</w:t>
        </w:r>
      </w:hyperlink>
      <w:r>
        <w:t xml:space="preserve">; </w:t>
      </w:r>
      <w:hyperlink r:id="rId17757">
        <w:r>
          <w:rPr>
            <w:color w:val="0000EE"/>
            <w:u w:val="single"/>
          </w:rPr>
          <w:t>Pv 1.7</w:t>
        </w:r>
      </w:hyperlink>
      <w:r>
        <w:t xml:space="preserve">; </w:t>
      </w:r>
      <w:hyperlink r:id="rId18769">
        <w:r>
          <w:rPr>
            <w:color w:val="0000EE"/>
            <w:u w:val="single"/>
          </w:rPr>
          <w:t>15.33</w:t>
        </w:r>
      </w:hyperlink>
      <w:r>
        <w:t>). De várias maneiras, esse tema estabelece uma perspectiva para entender a verdadeira sabedoria humana.</w:t>
      </w:r>
    </w:p>
    <w:p>
      <w:r/>
      <w:r>
        <w:t>Primeiro, a sabedoria humana é possível apenas por causa da sabedoria divina presente na criação. O potencial para a sabedoria existe porque Deus a criou. Segundo, para que a sabedoria se desenvolva em um ser humano, deve começar com Deus — especificamente, deve-se reverenciar ou temer a Deus. Este conceito hebraico de sabedoria é notavelmente diferente do conceito grego. Os filósofos gregos, com notável habilidade, desenvolveram um sistema de pensamento que não pressupunha a existência de uma divindade. Eles tentaram desenvolver a sabedoria apenas através da razão humana. Mas a sabedoria hebraica, embora buscasse desenvolver tanto a razão quanto o intelecto como fizeram os gregos, só poderia começar com Deus. A mente e suas capacidades eram dádivas de Deus. Assim, por mais secular que a sabedoria dos hebreus pudesse parecer, tinha Deus como ponto de partida. A reverência a Deus — ou seja, o reconhecimento de que Deus existia, criou e era importante na vida humana — estava por trás de todos os desenvolvimentos da sabedoria hebraica.</w:t>
      </w:r>
    </w:p>
    <w:p>
      <w:r/>
      <w:r>
        <w:t>Na concepção hebraica, a sabedoria humana envolve desenvolver a mente, expandir o conhecimento e compreender o significado da vida, bem como como essa vida deve ser vivida. É totalmente intelectual, mas tem um poderoso resultado moral. A sabedoria não era buscada por si só, mas sempre para sua aplicação ao significado da vida, porque a vida—assim como a sabedoria—era um presente de Deus. Essa ênfase na sabedoria hebraica significava que as virtudes do homem ou mulher sábios nunca eram descritas apenas em termos intelectuais. Os sábios não eram a elite educada da sociedade israelita. Mas, como o livro de Provérbios deixa claro, eram aqueles cujas vidas eram caracterizadas por compreensão, paciência, diligência, confiabilidade, autocontrole, modéstia e virtudes semelhantes. Em uma palavra, o homem sábio era o homem temente a Deus. Sua sabedoria não residia apenas em uma atitude estática de reverência, mas sim no desenvolvimento consciente da mente em direção à sabedoria no contexto de uma vida piedosa.</w:t>
      </w:r>
    </w:p>
    <w:p>
      <w:r/>
      <w:r>
        <w:t>A partir dessa concepção geral de sabedoria, surgiu no antigo Israel uma categoria especial de homens: os sábios. Embora a sabedoria não fosse exclusiva deles, eram responsáveis pelo desenvolvimento e disseminação da sabedoria em Israel. Os sábios formavam uma das três classes de líderes religiosos. Primeiro, havia os sacerdotes e levitas, cujas responsabilidades estavam principalmente no contexto da religião estabelecida. Eles eram os servos do templo e os líderes do culto, além de terem certas responsabilidades na área da educação religiosa. Segundo, havia os profetas, os porta-vozes de Deus para o povo de Deus. Terceiro, havia os sábios. De certa perspectiva, eles tinham a tarefa mais secular entre os três grupos. Estavam envolvidos em uma variedade de tarefas, desde a administração governamental até a educação moral e secular. Como educadores morais, instruíam os jovens de sua época, não em como ganhar a vida, mas em como viver. Parte de seu currículo sobreviveu no livro de Provérbios. Os livros de Jó e Eclesiastes também refletem o pensamento dos sábios.</w:t>
      </w:r>
    </w:p>
    <w:p>
      <w:pPr>
        <w:pStyle w:val="Heading3"/>
      </w:pPr>
      <w:r>
        <w:t>A sabedoria no Novo Testamento.</w:t>
      </w:r>
    </w:p>
    <w:p>
      <w:r/>
      <w:r>
        <w:t>A palavra “sabedoria” é usada no Novo Testamento tanto para a sabedoria de Deus quanto para a sabedoria dos humanos. A tradição de sabedoria do Antigo Testamento continua no uso da palavra [sabedoria] no Novo Testamento em associação com Deus e nas conotações positivas da palavra em relação aos seres humanos. Mas o Novo Testamento também fala negativamente da sabedoria humana. Assim, Paulo descreveu sua mensagem “não foram dados com a linguagem da sabedoria humana, mas com provas firmes do poder do Espírito de Deus” (</w:t>
      </w:r>
      <w:hyperlink r:id="rId5762">
        <w:r>
          <w:rPr>
            <w:color w:val="0000EE"/>
            <w:u w:val="single"/>
          </w:rPr>
          <w:t>1Co 2.4</w:t>
        </w:r>
      </w:hyperlink>
      <w:r>
        <w:t>). A sabedoria puramente humana não tem mérito final por si só, e Paulo cita o Antigo Testamento para demonstrar que Deus destruiria a sabedoria humana (</w:t>
      </w:r>
      <w:hyperlink r:id="rId18770">
        <w:r>
          <w:rPr>
            <w:color w:val="0000EE"/>
            <w:u w:val="single"/>
          </w:rPr>
          <w:t>1Co 1.19</w:t>
        </w:r>
      </w:hyperlink>
      <w:r>
        <w:t xml:space="preserve">; compare </w:t>
      </w:r>
      <w:hyperlink r:id="rId18771">
        <w:r>
          <w:rPr>
            <w:color w:val="0000EE"/>
            <w:u w:val="single"/>
          </w:rPr>
          <w:t>Is 29.14</w:t>
        </w:r>
      </w:hyperlink>
      <w:r>
        <w:t>). Uma distinção clara entre sabedoria boa e má é fornecida na carta de Tiago (</w:t>
      </w:r>
      <w:hyperlink r:id="rId18772">
        <w:r>
          <w:rPr>
            <w:color w:val="0000EE"/>
            <w:u w:val="single"/>
          </w:rPr>
          <w:t>Tg 3.13–18</w:t>
        </w:r>
      </w:hyperlink>
      <w:r>
        <w:t xml:space="preserve">). Uma pessoa cuja vida reflete inveja e ambição egoísta não possui a verdadeira sabedoria de Deus, mas é terrena [preocupada com questões materiais ou mundanas] e não espiritual. Mas a verdadeira sabedoria é dada por Deus. Esta sabedoria é “antes de tudo pura; e é também pacífica, bondosa e amigável. Ela é cheia de misericórdia, produz uma colheita de boas ações, não trata os outros pela sua aparência e é livre de fingimento” (versículo </w:t>
      </w:r>
      <w:hyperlink r:id="rId14619">
        <w:r>
          <w:rPr>
            <w:color w:val="0000EE"/>
            <w:u w:val="single"/>
          </w:rPr>
          <w:t>17</w:t>
        </w:r>
      </w:hyperlink>
      <w:r>
        <w:t>).</w:t>
      </w:r>
    </w:p>
    <w:p>
      <w:r/>
      <w:r>
        <w:t>Assim como a sabedoria era a principal posse de Deus, ela também se refletia na vida e no ministério de Jesus. Durante os anos de seu crescimento, Jesus demonstrou um aumento de sabedoria em sua vida (</w:t>
      </w:r>
      <w:hyperlink r:id="rId18773">
        <w:r>
          <w:rPr>
            <w:color w:val="0000EE"/>
            <w:u w:val="single"/>
          </w:rPr>
          <w:t>Lc 2.40,52</w:t>
        </w:r>
      </w:hyperlink>
      <w:r>
        <w:t>). Tanto seus oponentes quanto seus amigos reconheceram a sabedoria em seu ensino (</w:t>
      </w:r>
      <w:hyperlink r:id="rId15112">
        <w:r>
          <w:rPr>
            <w:color w:val="0000EE"/>
            <w:u w:val="single"/>
          </w:rPr>
          <w:t>Mt 13.54</w:t>
        </w:r>
      </w:hyperlink>
      <w:r>
        <w:t>).</w:t>
      </w:r>
    </w:p>
    <w:p>
      <w:r/>
      <w:r>
        <w:t>Como a sabedoria está enraizada e fundamentada em Deus, a verdadeira sabedoria espiritual é um dom de Deus. Ela pode ser vista na vida e nas palavras dos servos de Deus, como Estevão (</w:t>
      </w:r>
      <w:hyperlink r:id="rId16418">
        <w:r>
          <w:rPr>
            <w:color w:val="0000EE"/>
            <w:u w:val="single"/>
          </w:rPr>
          <w:t>At 6.10</w:t>
        </w:r>
      </w:hyperlink>
      <w:r>
        <w:t>) e Paulo (</w:t>
      </w:r>
      <w:hyperlink r:id="rId16794">
        <w:r>
          <w:rPr>
            <w:color w:val="0000EE"/>
            <w:u w:val="single"/>
          </w:rPr>
          <w:t>2Pe 3.15</w:t>
        </w:r>
      </w:hyperlink>
      <w:r>
        <w:t>). A sabedoria espiritual, que proporciona o conhecimento que permite a uma pessoa viver plenamente a vida dada por Deus, deve ser desejada para si mesmo e pedida em oração pelos outros (</w:t>
      </w:r>
      <w:hyperlink r:id="rId18774">
        <w:r>
          <w:rPr>
            <w:color w:val="0000EE"/>
            <w:u w:val="single"/>
          </w:rPr>
          <w:t>Cl 1.9</w:t>
        </w:r>
      </w:hyperlink>
      <w:r>
        <w:t>).</w:t>
      </w:r>
    </w:p>
    <w:p>
      <w:r/>
      <w:r>
        <w:t>O aspecto mais central da sabedoria no Novo Testamento está no evangelho do Cristo crucificado. Em sua primeira carta à igreja de Corinto, Paulo contrastou vividamente os sentidos positivo e negativo da sabedoria ao proclamar a morte de Jesus Cristo. O mundo não conheceu Deus por sua própria sabedoria (</w:t>
      </w:r>
      <w:hyperlink r:id="rId10704">
        <w:r>
          <w:rPr>
            <w:color w:val="0000EE"/>
            <w:u w:val="single"/>
          </w:rPr>
          <w:t>1Co 1.21</w:t>
        </w:r>
      </w:hyperlink>
      <w:r>
        <w:t>). Ou seja, o verdadeiro Apocalipse de Deus e sua redenção da humanidade não foram revelados àqueles que buscaram tal verdade apenas através da sabedoria, ou seja, através da abordagem grega da sabedoria e filosofia. O evangelho foi declarado na pregação. Isso era, de uma perspectiva estritamente filosófica ou de sabedoria, uma espécie de tolice. E ainda assim, o evangelho de Jesus Cristo era tanto o poder de Deus quanto a sabedoria de Deus (</w:t>
      </w:r>
      <w:hyperlink r:id="rId6846">
        <w:r>
          <w:rPr>
            <w:color w:val="0000EE"/>
            <w:u w:val="single"/>
          </w:rPr>
          <w:t>1 Co 1.24</w:t>
        </w:r>
      </w:hyperlink>
      <w:r>
        <w:t>). Jesus, para aqueles que acreditavam, tornou-se a fonte suprema daquela sabedoria que poderia vir somente de Deus (</w:t>
      </w:r>
      <w:hyperlink r:id="rId8776">
        <w:r>
          <w:rPr>
            <w:color w:val="0000EE"/>
            <w:u w:val="single"/>
          </w:rPr>
          <w:t>1 Co 1.30</w:t>
        </w:r>
      </w:hyperlink>
      <w:r>
        <w:t>).</w:t>
      </w:r>
    </w:p>
    <w:p>
      <w:r/>
      <w:r>
        <w:rPr>
          <w:i/>
        </w:rPr>
        <w:t>Veja também</w:t>
      </w:r>
      <w:r>
        <w:t xml:space="preserve"> </w:t>
      </w:r>
      <w:r>
        <w:t>Literatura Sapiencial</w:t>
      </w:r>
      <w:r>
        <w:t>.</w:t>
      </w:r>
      <w:r/>
      <w:r/>
    </w:p>
    <w:p>
      <w:r/>
    </w:p>
    <w:p>
      <w:pPr>
        <w:pStyle w:val="Heading2"/>
      </w:pPr>
      <w:r>
        <w:t>Sabtá, Sabtah</w:t>
      </w:r>
      <w:r/>
    </w:p>
    <w:p>
      <w:r/>
      <w:r>
        <w:t>Um dos cinco filhos de Cuxe e um descendente de Noé através da linhagem de Cam (</w:t>
      </w:r>
      <w:hyperlink r:id="rId6646">
        <w:r>
          <w:rPr>
            <w:color w:val="0000EE"/>
            <w:u w:val="single"/>
          </w:rPr>
          <w:t>Gn 10.7</w:t>
        </w:r>
      </w:hyperlink>
      <w:r>
        <w:t xml:space="preserve">; </w:t>
      </w:r>
      <w:hyperlink r:id="rId6647">
        <w:r>
          <w:rPr>
            <w:color w:val="0000EE"/>
            <w:u w:val="single"/>
          </w:rPr>
          <w:t>1Cr 1.9</w:t>
        </w:r>
      </w:hyperlink>
      <w:r>
        <w:t>). Sabtá presumivelmente se estabeleceu ao longo da costa sul da Arábia, onde várias cidades levam seu nome.</w:t>
      </w:r>
      <w:r/>
      <w:r/>
    </w:p>
    <w:p>
      <w:r/>
    </w:p>
    <w:p>
      <w:pPr>
        <w:pStyle w:val="Heading2"/>
      </w:pPr>
      <w:r>
        <w:t>Sabtecá</w:t>
      </w:r>
      <w:r/>
    </w:p>
    <w:p>
      <w:r/>
      <w:r>
        <w:t>Um dos cinco filhos de Cuxe e um descendente de Noé através da linhagem de Cam (</w:t>
      </w:r>
      <w:hyperlink r:id="rId6646">
        <w:r>
          <w:rPr>
            <w:color w:val="0000EE"/>
            <w:u w:val="single"/>
          </w:rPr>
          <w:t>Gn 10.7</w:t>
        </w:r>
      </w:hyperlink>
      <w:r>
        <w:t xml:space="preserve">; </w:t>
      </w:r>
      <w:hyperlink r:id="rId6647">
        <w:r>
          <w:rPr>
            <w:color w:val="0000EE"/>
            <w:u w:val="single"/>
          </w:rPr>
          <w:t>1Cr 1.9</w:t>
        </w:r>
      </w:hyperlink>
      <w:r>
        <w:t>). Sabtecá se estabeleceu na Arábia.</w:t>
      </w:r>
      <w:r/>
      <w:r/>
    </w:p>
    <w:p>
      <w:r/>
    </w:p>
    <w:p>
      <w:pPr>
        <w:pStyle w:val="Heading2"/>
      </w:pPr>
      <w:r>
        <w:t>Sacerdócio</w:t>
      </w:r>
      <w:r/>
    </w:p>
    <w:p>
      <w:r/>
      <w:r>
        <w:t>Um sacerdote é uma pessoa que atua como líder religioso e realiza deveres sagrados. A palavra "sacerdócio" refere-se tanto ao papel de ser um sacerdote quanto ao grupo de pessoas que servem como sacerdotes.</w:t>
      </w:r>
    </w:p>
    <w:p>
      <w:r/>
      <w:r>
        <w:t xml:space="preserve">A palavra moderna “padre”, que possui a ideia de sacerdote em alguns idiomas, vem do francês </w:t>
      </w:r>
      <w:r>
        <w:rPr>
          <w:i/>
        </w:rPr>
        <w:t>prêtre</w:t>
      </w:r>
      <w:r>
        <w:t xml:space="preserve"> e do alemão </w:t>
      </w:r>
      <w:r>
        <w:rPr>
          <w:i/>
        </w:rPr>
        <w:t>priester.</w:t>
      </w:r>
      <w:r>
        <w:t xml:space="preserve"> Em igrejas com bispos, este termo descreve clérigos (Ortodoxos, Católicos Romanos e Anglicanos). Também é usado na descrição de toda a igreja como “um sacerdócio real” (</w:t>
      </w:r>
      <w:hyperlink r:id="rId3643">
        <w:r>
          <w:rPr>
            <w:color w:val="0000EE"/>
            <w:u w:val="single"/>
          </w:rPr>
          <w:t>1Pe 2.9</w:t>
        </w:r>
      </w:hyperlink>
      <w:r>
        <w:t>).</w:t>
      </w:r>
    </w:p>
    <w:p>
      <w:r/>
      <w:r>
        <w:t>Para entender completamente o que significa sacerdócio, precisamos observar como a Bíblia fala sobre sacerdotes e sacerdócio. Também é necessário analisar como professores e escritores cristãos explicaram o sacerdócio ao longo do tempo.</w:t>
      </w:r>
    </w:p>
    <w:p>
      <w:pPr>
        <w:pStyle w:val="Heading3"/>
      </w:pPr>
      <w:r>
        <w:t>Sacerdócio no Antigo Testamento</w:t>
      </w:r>
    </w:p>
    <w:p>
      <w:r/>
      <w:r>
        <w:t>Quando Deus fez um acordo (aliança) com o povo de Israel, Ele os chamou para serem um “reino de sacerdotes”. Assim, eles eram um povo separado para Deus (</w:t>
      </w:r>
      <w:hyperlink r:id="rId806">
        <w:r>
          <w:rPr>
            <w:color w:val="0000EE"/>
            <w:u w:val="single"/>
          </w:rPr>
          <w:t>Êx 19.6</w:t>
        </w:r>
      </w:hyperlink>
      <w:r>
        <w:t>). Havia três ordens para as atividades sacerdotais — sumo sacerdote, sacerdote e levita. Os “sumos sacerdotes” e “sacerdotes” eram descendentes masculinos de Arão, que era um levita (</w:t>
      </w:r>
      <w:hyperlink r:id="rId18775">
        <w:r>
          <w:rPr>
            <w:color w:val="0000EE"/>
            <w:u w:val="single"/>
          </w:rPr>
          <w:t>Nm 3.10</w:t>
        </w:r>
      </w:hyperlink>
      <w:r>
        <w:t>). Os “levitas” eram outros membros masculinos da tribo de Levi.</w:t>
      </w:r>
    </w:p>
    <w:p>
      <w:r/>
      <w:r>
        <w:t>As principais funções do sacerdócio ocorriam no templo. Os sacerdotes gerenciavam os itens cerimoniais e realizavam os sacrifícios. Eles usavam vestimentas especiais e simbólicas enquanto desempenhavam suas funções. Também atuavam como professores, transmitindo as tradições sagradas da nação. Além disso, instruíam o povo em questões como informações médicas (</w:t>
      </w:r>
      <w:hyperlink r:id="rId396">
        <w:r>
          <w:rPr>
            <w:color w:val="0000EE"/>
            <w:u w:val="single"/>
          </w:rPr>
          <w:t>Lv 13–15</w:t>
        </w:r>
      </w:hyperlink>
      <w:r>
        <w:t>).</w:t>
      </w:r>
    </w:p>
    <w:p>
      <w:r/>
      <w:r>
        <w:t>O sumo sacerdote era o líder espiritual de Israel e tinha funções especiais. Estas incluíam entrar no Lugar Santíssimo (também chamado de Santo dos Santos) no Dia da Expiação (</w:t>
      </w:r>
      <w:hyperlink r:id="rId403">
        <w:r>
          <w:rPr>
            <w:color w:val="0000EE"/>
            <w:u w:val="single"/>
          </w:rPr>
          <w:t>Lv 16</w:t>
        </w:r>
      </w:hyperlink>
      <w:r>
        <w:t>). Os levitas auxiliavam os sacerdotes e serviam a congregação no templo. Eles cantavam os salmos e mantinham os pátios do templo limpos. Ajudavam a preparar certos sacrifícios e ofertas, além de atuarem como professores.</w:t>
      </w:r>
    </w:p>
    <w:p>
      <w:r/>
      <w:r>
        <w:t>Através desses três grupos, os sacerdotes ajudavam todo o povo de Israel a adorar a Deus. Eles também oravam a Deus por si mesmos e pelos outros, e aprendiam a vontade de Deus. Esse sistema era semelhante a como o líder de uma família conduziria a adoração em casa, mas em uma escala maior e com cerimônias mais formais no templo.</w:t>
      </w:r>
    </w:p>
    <w:p>
      <w:pPr>
        <w:pStyle w:val="Heading3"/>
      </w:pPr>
      <w:r>
        <w:t>Sacerdócio no Novo Testamento</w:t>
      </w:r>
    </w:p>
    <w:p>
      <w:r/>
      <w:r>
        <w:t>É notável o uso do termo "sacerdote" para descrever líderes na igreja primitiva. A palavra "sacerdote" só aparece quando se fala de sacerdotes judeus ou pagãos (</w:t>
      </w:r>
      <w:hyperlink r:id="rId18776">
        <w:r>
          <w:rPr>
            <w:color w:val="0000EE"/>
            <w:u w:val="single"/>
          </w:rPr>
          <w:t>At 4.1,6</w:t>
        </w:r>
      </w:hyperlink>
      <w:r>
        <w:t xml:space="preserve">; </w:t>
      </w:r>
      <w:hyperlink r:id="rId13050">
        <w:r>
          <w:rPr>
            <w:color w:val="0000EE"/>
            <w:u w:val="single"/>
          </w:rPr>
          <w:t>14.13</w:t>
        </w:r>
      </w:hyperlink>
      <w:r>
        <w:t>). O livro de Hebreus explica que Jesus Cristo cumpre perfeitamente o papel do sacerdócio do Antigo Testamento de três maneiras importantes:</w:t>
      </w:r>
    </w:p>
    <w:p>
      <w:pPr>
        <w:pStyle w:val="ListNumber"/>
        <w:spacing w:line="240" w:lineRule="auto"/>
        <w:ind w:left="720"/>
      </w:pPr>
      <w:r/>
      <w:r>
        <w:t>O próprio Deus escolheu Jesus para ser sumo sacerdote (</w:t>
      </w:r>
      <w:hyperlink r:id="rId18777">
        <w:r>
          <w:rPr>
            <w:color w:val="0000EE"/>
            <w:u w:val="single"/>
          </w:rPr>
          <w:t>Hb 5.4–6</w:t>
        </w:r>
      </w:hyperlink>
      <w:r>
        <w:t xml:space="preserve">). O sacerdócio de Jesus é maior que o sacerdócio de Arão (capítulo </w:t>
      </w:r>
      <w:hyperlink r:id="rId7424">
        <w:r>
          <w:rPr>
            <w:color w:val="0000EE"/>
            <w:u w:val="single"/>
          </w:rPr>
          <w:t>7</w:t>
        </w:r>
      </w:hyperlink>
      <w:r>
        <w:t>);</w:t>
      </w:r>
    </w:p>
    <w:p>
      <w:pPr>
        <w:pStyle w:val="ListNumber"/>
        <w:spacing w:line="240" w:lineRule="auto"/>
        <w:ind w:left="720"/>
      </w:pPr>
      <w:r/>
      <w:r>
        <w:t>Jesus pode simpatizar com as fraquezas das pessoas pecadoras. Ele "foi tentado em todas as coisas" como elas, mas sem pecado (</w:t>
      </w:r>
      <w:hyperlink r:id="rId3240">
        <w:r>
          <w:rPr>
            <w:color w:val="0000EE"/>
            <w:u w:val="single"/>
          </w:rPr>
          <w:t>4.15</w:t>
        </w:r>
      </w:hyperlink>
      <w:r>
        <w:t xml:space="preserve">; </w:t>
      </w:r>
      <w:hyperlink r:id="rId6869">
        <w:r>
          <w:rPr>
            <w:color w:val="0000EE"/>
            <w:u w:val="single"/>
          </w:rPr>
          <w:t>7.26</w:t>
        </w:r>
      </w:hyperlink>
      <w:r>
        <w:t>);</w:t>
      </w:r>
    </w:p>
    <w:p>
      <w:pPr>
        <w:pStyle w:val="ListNumber"/>
        <w:spacing w:line="240" w:lineRule="auto"/>
        <w:ind w:left="720"/>
      </w:pPr>
      <w:r/>
      <w:r>
        <w:t>Em vez de oferecer sacrifícios de animais para remover o pecado, ele oferece a si mesmo. Ele é o sacrifício sem pecado que remove o pecado. Este sacrifício precisava acontecer apenas uma vez (</w:t>
      </w:r>
      <w:hyperlink r:id="rId872">
        <w:r>
          <w:rPr>
            <w:color w:val="0000EE"/>
            <w:u w:val="single"/>
          </w:rPr>
          <w:t>7.27</w:t>
        </w:r>
      </w:hyperlink>
      <w:r>
        <w:t xml:space="preserve">; </w:t>
      </w:r>
      <w:hyperlink r:id="rId10455">
        <w:r>
          <w:rPr>
            <w:color w:val="0000EE"/>
            <w:u w:val="single"/>
          </w:rPr>
          <w:t>9.24–28</w:t>
        </w:r>
      </w:hyperlink>
      <w:r>
        <w:t xml:space="preserve">; </w:t>
      </w:r>
      <w:hyperlink r:id="rId18778">
        <w:r>
          <w:rPr>
            <w:color w:val="0000EE"/>
            <w:u w:val="single"/>
          </w:rPr>
          <w:t>10.10–19</w:t>
        </w:r>
      </w:hyperlink>
      <w:r>
        <w:t>).</w:t>
      </w:r>
    </w:p>
    <w:p>
      <w:r/>
      <w:r>
        <w:t>Jesus cumpre o sistema sacrificial do Antigo Testamento. O sacrifício único, irrepetível e ilimitado de Jesus também o completa. Tendo ressuscitado dos mortos, ele é sacerdote para sempre (</w:t>
      </w:r>
      <w:hyperlink r:id="rId18779">
        <w:r>
          <w:rPr>
            <w:color w:val="0000EE"/>
            <w:u w:val="single"/>
          </w:rPr>
          <w:t>Hb 7.17</w:t>
        </w:r>
      </w:hyperlink>
      <w:r>
        <w:t>). Ele permanece o mesmo ontem, hoje e para sempre (</w:t>
      </w:r>
      <w:hyperlink r:id="rId10473">
        <w:r>
          <w:rPr>
            <w:color w:val="0000EE"/>
            <w:u w:val="single"/>
          </w:rPr>
          <w:t>13.8</w:t>
        </w:r>
      </w:hyperlink>
      <w:r>
        <w:t>). Parte de seu sumo sacerdócio é interceder por seu povo (</w:t>
      </w:r>
      <w:hyperlink r:id="rId4777">
        <w:r>
          <w:rPr>
            <w:color w:val="0000EE"/>
            <w:u w:val="single"/>
          </w:rPr>
          <w:t>7.25</w:t>
        </w:r>
      </w:hyperlink>
      <w:r>
        <w:t>). Ele traz as pessoas a Deus como mediador através de uma nova e melhor aliança (</w:t>
      </w:r>
      <w:hyperlink r:id="rId7395">
        <w:r>
          <w:rPr>
            <w:color w:val="0000EE"/>
            <w:u w:val="single"/>
          </w:rPr>
          <w:t>7.22</w:t>
        </w:r>
      </w:hyperlink>
      <w:r>
        <w:t xml:space="preserve">; </w:t>
      </w:r>
      <w:hyperlink r:id="rId878">
        <w:r>
          <w:rPr>
            <w:color w:val="0000EE"/>
            <w:u w:val="single"/>
          </w:rPr>
          <w:t>8.6</w:t>
        </w:r>
      </w:hyperlink>
      <w:r>
        <w:t xml:space="preserve">; </w:t>
      </w:r>
      <w:hyperlink r:id="rId854">
        <w:r>
          <w:rPr>
            <w:color w:val="0000EE"/>
            <w:u w:val="single"/>
          </w:rPr>
          <w:t>9.15</w:t>
        </w:r>
      </w:hyperlink>
      <w:r>
        <w:t>). Somente através de Jesus os seres humanos pecadores podem entrar na presença santa de Deus. Somente através de Jesus eles são aceitos como filhos de Deus (</w:t>
      </w:r>
      <w:hyperlink r:id="rId408">
        <w:r>
          <w:rPr>
            <w:color w:val="0000EE"/>
            <w:u w:val="single"/>
          </w:rPr>
          <w:t>Jo 14.6</w:t>
        </w:r>
      </w:hyperlink>
      <w:r>
        <w:t xml:space="preserve">; </w:t>
      </w:r>
      <w:hyperlink r:id="rId18780">
        <w:r>
          <w:rPr>
            <w:color w:val="0000EE"/>
            <w:u w:val="single"/>
          </w:rPr>
          <w:t>2Co 5.18–20</w:t>
        </w:r>
      </w:hyperlink>
      <w:r>
        <w:t xml:space="preserve">; </w:t>
      </w:r>
      <w:hyperlink r:id="rId14123">
        <w:r>
          <w:rPr>
            <w:color w:val="0000EE"/>
            <w:u w:val="single"/>
          </w:rPr>
          <w:t>1 Tm 2.5</w:t>
        </w:r>
      </w:hyperlink>
      <w:r>
        <w:t>). Assim, os cristãos têm um sacerdócio. No entanto, é somente em e através de Jesus Cristo, seu sumo sacerdote e Mediador.</w:t>
      </w:r>
    </w:p>
    <w:p>
      <w:pPr>
        <w:pStyle w:val="Heading4"/>
      </w:pPr>
      <w:r>
        <w:t>O Sacerdócio dos Fiéis</w:t>
      </w:r>
    </w:p>
    <w:p>
      <w:r/>
      <w:r>
        <w:t>O Novo Testamento descreve aqueles que acreditam e seguem Jesus como “sendo edificados... para serem um sacerdócio santo, oferecendo sacrifícios espirituais aceitáveis a Deus por meio de Jesus Cristo” (</w:t>
      </w:r>
      <w:hyperlink r:id="rId4509">
        <w:r>
          <w:rPr>
            <w:color w:val="0000EE"/>
            <w:u w:val="single"/>
          </w:rPr>
          <w:t>1Pe 2.5</w:t>
        </w:r>
      </w:hyperlink>
      <w:r>
        <w:t>). Eles são “sacerdotes para seu Deus e Pai” (</w:t>
      </w:r>
      <w:hyperlink r:id="rId18781">
        <w:r>
          <w:rPr>
            <w:color w:val="0000EE"/>
            <w:u w:val="single"/>
          </w:rPr>
          <w:t>Ap 1.6</w:t>
        </w:r>
      </w:hyperlink>
      <w:r>
        <w:t>). Eles são “um reino e sacerdotes para servir ao nosso Deus” (</w:t>
      </w:r>
      <w:hyperlink r:id="rId18782">
        <w:r>
          <w:rPr>
            <w:color w:val="0000EE"/>
            <w:u w:val="single"/>
          </w:rPr>
          <w:t>5.10</w:t>
        </w:r>
      </w:hyperlink>
      <w:r>
        <w:t>). Eles “serão sacerdotes de Deus e de Cristo, e reinarão com Ele por mil anos” (</w:t>
      </w:r>
      <w:hyperlink r:id="rId14843">
        <w:r>
          <w:rPr>
            <w:color w:val="0000EE"/>
            <w:u w:val="single"/>
          </w:rPr>
          <w:t>20.4–6</w:t>
        </w:r>
      </w:hyperlink>
      <w:r>
        <w:t>).</w:t>
      </w:r>
    </w:p>
    <w:p>
      <w:r/>
      <w:r>
        <w:t>Então, o que significa o "sacerdócio dos crentes" no Novo Testamento? Podemos definir o sumo sacerdócio de Jesus de duas maneiras:</w:t>
      </w:r>
    </w:p>
    <w:p>
      <w:pPr>
        <w:pStyle w:val="ListNumber"/>
        <w:spacing w:line="240" w:lineRule="auto"/>
        <w:ind w:left="720"/>
      </w:pPr>
      <w:r/>
      <w:r>
        <w:t>Jesus demonstra total dedicação e obediência a Deus, seu Pai;</w:t>
      </w:r>
    </w:p>
    <w:p>
      <w:pPr>
        <w:pStyle w:val="ListNumber"/>
        <w:spacing w:line="240" w:lineRule="auto"/>
        <w:ind w:left="720"/>
      </w:pPr>
      <w:r/>
      <w:r>
        <w:t>Jesus tem compaixão infinita por seus semelhantes.</w:t>
      </w:r>
    </w:p>
    <w:p>
      <w:r/>
      <w:r>
        <w:t>Sua morte sacrificial na cruz é o centro de seu sacerdócio. O sacerdócio dos crentes tem sua base em sua morte sacrificial e na união com ele. Este sacerdócio é caracterizado por sua obediência sacrificial a Deus. Envolve adoração espiritual e amor a Deus, além de compaixão e oração pelos seus semelhantes.</w:t>
      </w:r>
    </w:p>
    <w:p>
      <w:r/>
      <w:r>
        <w:t>Paulo escreveu: “ofereçam seus corpos como sacrifícios vivos, santos e agradáveis a Deus, que é o seu serviço espiritual de adoração” (</w:t>
      </w:r>
      <w:hyperlink r:id="rId4468">
        <w:r>
          <w:rPr>
            <w:color w:val="0000EE"/>
            <w:u w:val="single"/>
          </w:rPr>
          <w:t>Rm 12.1</w:t>
        </w:r>
      </w:hyperlink>
      <w:r>
        <w:t>). Os cristãos oferecem seus corpos inteiros a Jesus. Cada igreja local se oferece completamente a Jesus. Jesus oferece seu corpo inteiro (a igreja) a Deus Pai. Assim, Jesus nos mostra tanto o que significa ser um sacerdote quanto como servir como sacerdotes sob ele como nosso sumo sacerdote. O Espírito Santo ajuda os crentes a servirem como sacerdotes por:</w:t>
      </w:r>
    </w:p>
    <w:p>
      <w:pPr>
        <w:pStyle w:val="ListBullet"/>
        <w:spacing w:line="240" w:lineRule="auto"/>
        <w:ind w:left="720"/>
      </w:pPr>
      <w:r/>
      <w:r>
        <w:t>vivendo em seus corações;</w:t>
      </w:r>
    </w:p>
    <w:p>
      <w:pPr>
        <w:pStyle w:val="ListBullet"/>
        <w:spacing w:line="240" w:lineRule="auto"/>
        <w:ind w:left="720"/>
      </w:pPr>
      <w:r/>
      <w:r>
        <w:t>dando-lhes poder para servir a Deus de maneiras que O agradam, e;</w:t>
      </w:r>
    </w:p>
    <w:p>
      <w:pPr>
        <w:pStyle w:val="ListBullet"/>
        <w:spacing w:line="240" w:lineRule="auto"/>
        <w:ind w:left="720"/>
      </w:pPr>
      <w:r/>
      <w:r>
        <w:t>ajudando-os a adorar a Deus de maneira adequada.</w:t>
      </w:r>
    </w:p>
    <w:p>
      <w:r/>
      <w:r>
        <w:rPr>
          <w:i/>
        </w:rPr>
        <w:t>Veja também</w:t>
      </w:r>
      <w:r>
        <w:t xml:space="preserve"> </w:t>
      </w:r>
      <w:r>
        <w:t>Ofertas e Sacrifícios</w:t>
      </w:r>
      <w:r>
        <w:t xml:space="preserve">; </w:t>
      </w:r>
      <w:r>
        <w:t>Sacerdotes e Levitas</w:t>
      </w:r>
      <w:r>
        <w:t xml:space="preserve">; </w:t>
      </w:r>
      <w:r>
        <w:t>Tabernáculo</w:t>
      </w:r>
      <w:r>
        <w:t xml:space="preserve">; </w:t>
      </w:r>
      <w:r>
        <w:t>Templo</w:t>
      </w:r>
      <w:r>
        <w:t xml:space="preserve">; </w:t>
      </w:r>
      <w:r>
        <w:t>Adoração</w:t>
      </w:r>
      <w:r>
        <w:t>.</w:t>
      </w:r>
      <w:r/>
      <w:r/>
    </w:p>
    <w:p>
      <w:r/>
    </w:p>
    <w:p>
      <w:pPr>
        <w:pStyle w:val="Heading2"/>
      </w:pPr>
      <w:r>
        <w:t>Sacerdotes E Levitas</w:t>
      </w:r>
      <w:r/>
    </w:p>
    <w:p>
      <w:r/>
      <w:r>
        <w:t>Servos de Deus no AT. Havia três classes básicas de grupo religioso no antigo Israel: profetas, homens sábios, sacerdotes e levitas. Os profetas clássicos cumpriam uma vocação, mas não eram profissionais; eles não eram pagos por sua tarefa e serviam apenas em resposta ao chamado específico de Deus. Os homens sábios estavam envolvidos no governo e na educação; alguns de seus deveres eram laicos, embora eles também estivessem envolvidos na educação moral. Os sacerdotes e levitas realizavam uma variedade de deveres essencialmente religiosos e eram aproximadamente equivalentes ao clero nos tempos modernos. Eles eram homens especializados e eram sustentados por seu serviço religioso em tempo integral.</w:t>
      </w:r>
    </w:p>
    <w:p>
      <w:r/>
      <w:r>
        <w:t>O papel do sacerdócio pode ser visto mais claramente no contexto da religião israelita como um todo. No coração da religião estava um relacionamento com Deus; ser um israelita ou um judeu era conhecer e manter um relacionamento contínuo com o Deus vivo. Este relacionamento encontrou sua expressão externa em uma variedade de contextos: a aliança, o templo, adoração e todas as facetas da vida diária. Assim, a religião, entendida como um relacionamento, tinha duas perspectivas: o relacionamento com Deus e com outros seres humanos. Tinha uma dimensão pessoal e uma dimensão comunitária. Os sacerdotes eram os guardiões e servos desta vida de relacionamento, que estava no coração da religião do AT; todas as suas funções podem ser melhor entendidas dentro do contexto de um relacionamento entre Deus e Israel. Os profetas, também, eram servos do relacionamento da aliança. Enquanto os sacerdotes atuavam como os servos habituais da religião, o papel dos profetas era mais o de chamar um povo delinquente de volta para o relacionamento com Deus em tempos de crise.</w:t>
      </w:r>
    </w:p>
    <w:p>
      <w:r/>
      <w:r>
        <w:t xml:space="preserve">No AT, há referências frequentes a sacerdotes e levitas; em vários textos bíblicos, no entanto, a distinção não é clara (veja, p. ex., </w:t>
      </w:r>
      <w:hyperlink r:id="rId18783">
        <w:r>
          <w:rPr>
            <w:color w:val="0000EE"/>
            <w:u w:val="single"/>
          </w:rPr>
          <w:t>Dt 18.1–8</w:t>
        </w:r>
      </w:hyperlink>
      <w:r>
        <w:t xml:space="preserve">). Do ponto de vista acadêmico, a relação exata entre sacerdotes e levitas é um problema contínuo que ainda não foi totalmente resolvido. Em termos gerais, apenas os filhos de Arão deveriam assumir o papel de sacerdotes; todos os outros levitas teriam funções religiosas, embora tecnicamente eles não fossem sacerdotes. Embora esta distinção seja clara na maioria dos textos bíblicos, em outros, há falta de certeza e clareza. Está claro, no entanto, que </w:t>
      </w:r>
      <w:r>
        <w:rPr>
          <w:i/>
        </w:rPr>
        <w:t>sacerdotes</w:t>
      </w:r>
      <w:r>
        <w:t xml:space="preserve"> (levitas descendente de Arão) e </w:t>
      </w:r>
      <w:r>
        <w:rPr>
          <w:i/>
        </w:rPr>
        <w:t>levitas</w:t>
      </w:r>
      <w:r>
        <w:t xml:space="preserve"> (além dos descendentes de Arão) tinham deveres religiosos especializados a desempenhar. A natureza exata desses deveres variava de tempos em tempos no decorrer da história de Israel.</w:t>
      </w:r>
    </w:p>
    <w:p>
      <w:r/>
      <w:r>
        <w:t>Resumo</w:t>
      </w:r>
    </w:p>
    <w:p>
      <w:r/>
      <w:r>
        <w:t>• As origens do sacerdócio</w:t>
      </w:r>
    </w:p>
    <w:p>
      <w:r/>
      <w:r>
        <w:t>• O sumo sacerdote</w:t>
      </w:r>
    </w:p>
    <w:p>
      <w:r/>
      <w:r>
        <w:t>• Os sacerdotes</w:t>
      </w:r>
    </w:p>
    <w:p>
      <w:r/>
      <w:r>
        <w:t>• Os levitas</w:t>
      </w:r>
    </w:p>
    <w:p>
      <w:r/>
      <w:r>
        <w:t>• A história da Instituição</w:t>
      </w:r>
    </w:p>
    <w:p>
      <w:r/>
      <w:r>
        <w:t>• O sacerdócio nos tempos do Novo Testamento</w:t>
      </w:r>
    </w:p>
    <w:p>
      <w:pPr>
        <w:pStyle w:val="Heading3"/>
      </w:pPr>
      <w:r>
        <w:t>As origens do sacerdócio</w:t>
      </w:r>
    </w:p>
    <w:p>
      <w:r/>
      <w:r>
        <w:t>O sacerdócio em Israel começou durante o tempo de Moisés e Arão. O Êxodo do Egito não era apenas a libertação de um grupo de escravos hebreus, mas também o nascimento da nação de Israel. A nação que nasceu no Êxodo recebeu sua constituição na aliança do Sinai. A lei desta aliança estabeleceu os fundamentos e origens do sacerdócio israelita. Fornece informações sobre as três categorias básicas a serem consideradas: o sumo sacerdote, os sacerdotes e os levitas.</w:t>
      </w:r>
    </w:p>
    <w:p>
      <w:pPr>
        <w:pStyle w:val="Heading3"/>
      </w:pPr>
      <w:r>
        <w:t>O sumo sacerdote</w:t>
      </w:r>
    </w:p>
    <w:p>
      <w:r/>
      <w:r>
        <w:t>Qualquer organização grande e complexa requer um cabeça ou líder, e isso também era verdade sobre o sacerdócio hebraico (embora em seus primeiros dias fosse uma organização pequena). A aliança foi estabelecida através de Moisés, o profeta, por meio de quem Deus forneceu a proposta e a substância do relacionamento da aliança; a vida religiosa dentro da aliança seria a responsabilidade principal de Arão, que era o primeiro e sacerdote principal.</w:t>
      </w:r>
    </w:p>
    <w:p>
      <w:r/>
      <w:r>
        <w:t>Nos primeiros dias do sacerdócio de Israel, é provável que o ofício do sumo sacerdote fosse relativamente informal; ele era cabeça ou líder entre seus companheiros sacerdotes. Contudo, o ofício era significativo, e envolvia um ritual especial de posse, roupas especiais e certas responsabilidades especiais. Embora os deveres do sumo sacerdote fossem semelhantes em princípio aos de outros sacerdotes, ele tinha certas responsabilidades exclusivas. Em certa medida, seus deveres eram administrativos, relativos a todos os sacerdotes sobre os quais ele estava encarregado. Mas sua posição era mais profunda do que a de um administrador; assim como todos os sacerdotes eram servos e guardiões do relacionamento da aliança, o sumo sacerdote era servo e guardião principal. Em suas mãos repousava a responsabilidade espiritual por todo o povo de Deus, e nisso estava a verdadeira honra e gravidade de sua posição.</w:t>
      </w:r>
    </w:p>
    <w:p>
      <w:r/>
      <w:r>
        <w:t>Este senhorio espiritual do sumo sacerdote é visto mais claramente em certas tarefas que ele realizava dentro da vida de adoração de Israel. O exemplo mais claro pode ser visto na observância anual do Dia da Expiação (Yom Kippur). Somente naquele dia, o sumo sacerdote entrava no Santo dos Santos e, de pé diante do “propiciatório”, ele buscava o perdão e misericórdia de Deus para toda a nação de Israel (</w:t>
      </w:r>
      <w:hyperlink r:id="rId18784">
        <w:r>
          <w:rPr>
            <w:color w:val="0000EE"/>
            <w:u w:val="single"/>
          </w:rPr>
          <w:t>Lv 16.1–19</w:t>
        </w:r>
      </w:hyperlink>
      <w:r>
        <w:t>). É nessa cerimônia que a fé da aliança de Israel é vista mais claramente. A religião de Israel era de relacionamento com um Deus santo, e o mal humano rompia com esse relacionamento. Embora toda a adoração e sacrifícios ao longo do ano estavam relacionados com a continuação do relacionamento, o Dia da Expiação era o dia mais solene do ano, em que a atenção de todas as pessoas se concentrava no significado da existência delas. A vida tinha significado apenas se o relacionamento com Deus pudesse ser mantido; o sumo sacerdote tinha a grande honra e o pesado fardo de buscar a misericórdia de Deus para todo o Israel.</w:t>
      </w:r>
    </w:p>
    <w:p>
      <w:r/>
      <w:r>
        <w:t>A roupa especial usada pelo sumo sacerdote era simbólica da natureza e importância de seu ofício; embora todo o simbolismo não possa ser determinado, parte disto é deixado claro no texto bíblico. Há três temas específicos no simbolismo. O primeiro é a beleza. O senso de beleza emerge da qualidade e design de todos os itens de roupas, juntamente com o uso de cores e pedras preciosas. Mas a beleza é dominante no peitoral; a palavra hebraica traduzida aproximadamente como “peitoral” tem como sentido básico “beleza” ou “excelência”. A roupa simboliza a beleza, enquanto a beleza descreve o ofício; os dois outros temas associados com o simbolismo trazem a excelência do ofício.</w:t>
      </w:r>
    </w:p>
    <w:p>
      <w:r/>
      <w:r>
        <w:t xml:space="preserve">O segundo tema é o papel do sacerdote como representante de Israel diante de Deus. Esta dimensão essencial do ofício do sumo sacerdote é explicitamente identificada nos nomes das tribos de Israel, nas duas pedras de ônix no éfode, e nas 12 pedras preciosas anexadas ao peitoral. O sumo sacerdote entrava na presença de Deus para buscar libertação do julgamento de Deus (o peitoral é identificado com julgamento; </w:t>
      </w:r>
      <w:hyperlink r:id="rId18785">
        <w:r>
          <w:rPr>
            <w:color w:val="0000EE"/>
            <w:u w:val="single"/>
          </w:rPr>
          <w:t>Êx 28.15</w:t>
        </w:r>
      </w:hyperlink>
      <w:r>
        <w:t xml:space="preserve">) para seu povo e a fim de manter as pessoas constantemente na lembrança de Deus (v. </w:t>
      </w:r>
      <w:hyperlink r:id="rId18786">
        <w:r>
          <w:rPr>
            <w:color w:val="0000EE"/>
            <w:u w:val="single"/>
          </w:rPr>
          <w:t>12</w:t>
        </w:r>
      </w:hyperlink>
      <w:r>
        <w:t>), como simbolizado pelas duas pedras de ônix. O terceiro tema é o papel do sumo sacerdote como o representante de Deus para Israel. Esta dimensão do ofício é vista no Urim e Tumim, mantidos no peitoral, por meio dos quais Deus revelava sua vontade a Israel. O sumo sacerdote, Arão, inteiramente paramentado, era uma figura esplêndida, e o esplendor de seus trajes indicava a magnificência do ofício com o qual ele havia sido confiado.</w:t>
      </w:r>
    </w:p>
    <w:p>
      <w:r/>
      <w:r>
        <w:t>O sumo sacerdócio deveria ser passado de geração em geração na família (pois o sumo sacerdote deveria ser um homem casado), embora na história posterior a prática nem sempre fosse respeitada. Com a morte de Arão, o ofício passou para Eleazar, um de seus quatro filhos.</w:t>
      </w:r>
    </w:p>
    <w:p>
      <w:pPr>
        <w:pStyle w:val="Heading3"/>
      </w:pPr>
      <w:r>
        <w:t>Os sacerdotes</w:t>
      </w:r>
    </w:p>
    <w:p>
      <w:r/>
      <w:r>
        <w:t>Os sacerdotes receberam o ofício não como resultado de uma vocação específica, mas em virtude da descendência sacerdotal. Assim, os primeiros sacerdotes eram os quatro filhos de Arão: Nadabe, Abiú, Eleazar e Itamar. Esses quatro foram ordenados ao mesmo tempo, em que Arão foi ordenado sumo sacerdote (</w:t>
      </w:r>
      <w:hyperlink r:id="rId128">
        <w:r>
          <w:rPr>
            <w:color w:val="0000EE"/>
            <w:u w:val="single"/>
          </w:rPr>
          <w:t>Êx 28.1</w:t>
        </w:r>
      </w:hyperlink>
      <w:r>
        <w:t>). Como Arão, eles tinham roupas especiais, que eram basicamente semelhantes, embora não tivessem peças distintas do sumo sacerdote (o éfode especial, o peitoral e a coroa). O sacerdócio seria passado através de seus filhos.</w:t>
      </w:r>
    </w:p>
    <w:p>
      <w:r/>
      <w:r>
        <w:t>A santidade do ofício sacerdotal era tal que foi preservada da degeneração através de leis específicas. Um homem deve ser um descendente de Arão para ser um sacerdote, mas ele também era obrigado a atender a uma variedade de outras qualificações. Ele não se casaria com uma divorciada ou uma ex-prostituta (</w:t>
      </w:r>
      <w:hyperlink r:id="rId18787">
        <w:r>
          <w:rPr>
            <w:color w:val="0000EE"/>
            <w:u w:val="single"/>
          </w:rPr>
          <w:t>Lv 21.7</w:t>
        </w:r>
      </w:hyperlink>
      <w:r>
        <w:t xml:space="preserve">). Se fosse afligido por certos tipos de doenças ou defeitos congênitos, ele seria impedido de exercer o ofício sacerdotal (p. ex., cegueira, claudicação, mutilação, ser um anão; vv. </w:t>
      </w:r>
      <w:hyperlink r:id="rId18788">
        <w:r>
          <w:rPr>
            <w:color w:val="0000EE"/>
            <w:u w:val="single"/>
          </w:rPr>
          <w:t>16–23</w:t>
        </w:r>
      </w:hyperlink>
      <w:r>
        <w:t>). O princípio envolvido era semelhante ao que se aplicava aos animais usados em sacrifício — apenas aqueles livres de defeito ou mancha eram adequados para o serviço divino.</w:t>
      </w:r>
    </w:p>
    <w:p>
      <w:r/>
      <w:r>
        <w:t>Nos primeiros dias do sacerdócio, há algumas informações fornecidas no texto bíblico sobre os deveres específicos dos sacerdotes. Eleazar tinha a responsabilidade geral pelo tabernáculo e suas ofertas (</w:t>
      </w:r>
      <w:hyperlink r:id="rId7801">
        <w:r>
          <w:rPr>
            <w:color w:val="0000EE"/>
            <w:u w:val="single"/>
          </w:rPr>
          <w:t>Nm 4.16</w:t>
        </w:r>
      </w:hyperlink>
      <w:r>
        <w:t>); assistia a Moisés em uma série de deveres, como numerar o povo e dividir a terra (</w:t>
      </w:r>
      <w:hyperlink r:id="rId18789">
        <w:r>
          <w:rPr>
            <w:color w:val="0000EE"/>
            <w:u w:val="single"/>
          </w:rPr>
          <w:t>26.1–2</w:t>
        </w:r>
      </w:hyperlink>
      <w:r>
        <w:t xml:space="preserve">; </w:t>
      </w:r>
      <w:hyperlink r:id="rId18790">
        <w:r>
          <w:rPr>
            <w:color w:val="0000EE"/>
            <w:u w:val="single"/>
          </w:rPr>
          <w:t>32.2</w:t>
        </w:r>
      </w:hyperlink>
      <w:r>
        <w:t>); e mais tarde serviu como conselheiro de Josué. Itamar foi responsável pela construção do tabernáculo (</w:t>
      </w:r>
      <w:hyperlink r:id="rId18791">
        <w:r>
          <w:rPr>
            <w:color w:val="0000EE"/>
            <w:u w:val="single"/>
          </w:rPr>
          <w:t>Êx 38.21</w:t>
        </w:r>
      </w:hyperlink>
      <w:r>
        <w:t>) e supervisionou as famílias dos gersonitas e meraritas (</w:t>
      </w:r>
      <w:hyperlink r:id="rId18792">
        <w:r>
          <w:rPr>
            <w:color w:val="0000EE"/>
            <w:u w:val="single"/>
          </w:rPr>
          <w:t>Nm 4.28–33</w:t>
        </w:r>
      </w:hyperlink>
      <w:r>
        <w:t>). Nadabe e Abiú, no entanto, morreram logo após sua ordenação como resultado de um ato pecaminoso em seus deveres sacerdotais (</w:t>
      </w:r>
      <w:hyperlink r:id="rId7798">
        <w:r>
          <w:rPr>
            <w:color w:val="0000EE"/>
            <w:u w:val="single"/>
          </w:rPr>
          <w:t>Lv 10.1–7</w:t>
        </w:r>
      </w:hyperlink>
      <w:r>
        <w:t xml:space="preserve">), que pode ter sido relacionado, em parte, com a embriaguez (vv. </w:t>
      </w:r>
      <w:hyperlink r:id="rId18793">
        <w:r>
          <w:rPr>
            <w:color w:val="0000EE"/>
            <w:u w:val="single"/>
          </w:rPr>
          <w:t>8–9</w:t>
        </w:r>
      </w:hyperlink>
      <w:r>
        <w:t>).</w:t>
      </w:r>
    </w:p>
    <w:p>
      <w:r/>
      <w:r>
        <w:t>Os deveres sacerdotais, em geral, caíam em três áreas (</w:t>
      </w:r>
      <w:hyperlink r:id="rId14114">
        <w:r>
          <w:rPr>
            <w:color w:val="0000EE"/>
            <w:u w:val="single"/>
          </w:rPr>
          <w:t>Dt 33.8–10</w:t>
        </w:r>
      </w:hyperlink>
      <w:r>
        <w:t xml:space="preserve">). Primeiro, os sacerdotes eram responsáveis, em conjunto com o sumo sacerdote, por declarar a vontade de Deus ao povo. Segundo, eles tinham responsabilidades na educação religiosa; deveriam ensinar a Israel as ordenanças e a lei de Deus (v. </w:t>
      </w:r>
      <w:hyperlink r:id="rId7592">
        <w:r>
          <w:rPr>
            <w:color w:val="0000EE"/>
            <w:u w:val="single"/>
          </w:rPr>
          <w:t>10</w:t>
        </w:r>
      </w:hyperlink>
      <w:r>
        <w:t>). Terceiro, eles deveriam ser os servidores do tabernáculo, participando dos sacrifícios e adoração de Israel. Havia uma série de outros deveres que podem ter recaído sobre eles, os quais eles teriam compartilhado com os levitas em geral.</w:t>
      </w:r>
    </w:p>
    <w:p>
      <w:r/>
      <w:r>
        <w:t>Os sacerdotes, com todos os outros levitas, não possuíam nenhuma terra, como as outras tribos israelitas possuíam. Sua tarefa era estar inteiramente no serviço direto a Deus. A ausência de terra, no entanto, significava que eles não poderiam sustentar-se e alimentar-se como outros homens e mulheres. Consequentemente, a lei especificava que eles poderiam ser sustentados por seus serviços pelas pessoas como um todo. Eles deveriam receber, dos adoradores, porções de animais que eram trazidos para o tabernáculo, bem como milho, vinho, óleo e lã.</w:t>
      </w:r>
    </w:p>
    <w:p>
      <w:pPr>
        <w:pStyle w:val="Heading3"/>
      </w:pPr>
      <w:r>
        <w:t>Os levitas</w:t>
      </w:r>
    </w:p>
    <w:p>
      <w:r/>
      <w:r>
        <w:t>Este termo inclui os sacerdotes, em um sentido amplo, pois os filhos de Arão pertenciam à tribo de Levi. Por motivos práticos, no entanto, os levitas eram aqueles da tribo que não eram os sacerdotes. Os levitas também atuavam no serviço do tabernáculo, embora eles tivessem uma posição subordinada. Eles também eram homens especializados e eram recompensados por seus serviços com dinheiro e bens. Embora eles não herdassem seu próprio território tribal, havia várias cidades separadas para seu uso (</w:t>
      </w:r>
      <w:hyperlink r:id="rId12233">
        <w:r>
          <w:rPr>
            <w:color w:val="0000EE"/>
            <w:u w:val="single"/>
          </w:rPr>
          <w:t>Nm 35.1–8</w:t>
        </w:r>
      </w:hyperlink>
      <w:r>
        <w:t>), e pastagens fora dessas cidades foram designadas para seu rebanho.</w:t>
      </w:r>
    </w:p>
    <w:p>
      <w:r/>
      <w:r>
        <w:t>Os levitas foram divididos em três famílias principais, os descendentes de Coate, Gérson e Merari (</w:t>
      </w:r>
      <w:hyperlink r:id="rId2446">
        <w:r>
          <w:rPr>
            <w:color w:val="0000EE"/>
            <w:u w:val="single"/>
          </w:rPr>
          <w:t>Nm 4</w:t>
        </w:r>
      </w:hyperlink>
      <w:r>
        <w:t>). Cada uma dessas famílias tinha responsabilidades específicas em relação ao manuseio e transporte do tabernáculo. Os filhos de Coate carregavam a mobília do tabernáculo (depois que ela havia sido coberta pelos sacerdotes), os filhos de Gérson cuidavam das coberturas e cortinas, e os filhos de Merari carregavam e erguiam a estrutura do tabernáculo. Os sacerdotes, em contraste, eram responsáveis pelo transporte da arca da aliança. O papel de cada levita, como servidor do tabernáculo, era restrito; ele assumia seus deveres especializados entre as idades de 25 e 50 anos (</w:t>
      </w:r>
      <w:hyperlink r:id="rId18794">
        <w:r>
          <w:rPr>
            <w:color w:val="0000EE"/>
            <w:u w:val="single"/>
          </w:rPr>
          <w:t>8.24–26</w:t>
        </w:r>
      </w:hyperlink>
      <w:r>
        <w:t>).</w:t>
      </w:r>
    </w:p>
    <w:p>
      <w:r/>
      <w:r>
        <w:t>Embora muitos dos deveres dos levitas fossem de natureza comum, eles também tinham um papel religioso muito significativo. A lei exigia que todos os primogênitos, incluindo os filhos, fossem dados a Deus, rememorando a morte dos primogênitos no Êxodo do Egito. O papel dos levitas na religião era o de ser aceito por Deus no lugar dos filhos primogênitos de Israel (</w:t>
      </w:r>
      <w:hyperlink r:id="rId18795">
        <w:r>
          <w:rPr>
            <w:color w:val="0000EE"/>
            <w:u w:val="single"/>
          </w:rPr>
          <w:t>Nm 3.11–13</w:t>
        </w:r>
      </w:hyperlink>
      <w:r>
        <w:t xml:space="preserve">); seu gado, também, era aceito no lugar do gado primogênito dos israelitas. No censo feito no tempo de Moisés, os israelitas primogênitos excederam o número dos levitas, e uma taxa de redenção de cinco siclos tinha que ser depositada nos cofres sacerdotais para cada pessoa em excesso (vv. </w:t>
      </w:r>
      <w:hyperlink r:id="rId18796">
        <w:r>
          <w:rPr>
            <w:color w:val="0000EE"/>
            <w:u w:val="single"/>
          </w:rPr>
          <w:t>40–51</w:t>
        </w:r>
      </w:hyperlink>
      <w:r>
        <w:t>). A natureza representativa e substitutiva dos levitas pode ser vista na religião israelita. Como os sacerdotes, eles desempenharam um papel na grande atividade de mediação entre Deus e Israel.</w:t>
      </w:r>
    </w:p>
    <w:p>
      <w:r/>
      <w:r>
        <w:t>A lei de Deuteronômio especifica uma série de deveres que podem ter recaído sobre sacerdotes e levitas (embora os textos sejam ambíguos). Esses deveres incluíam participação na atividade dos tribunais da lei como juízes, talvez com referência especial aos crimes religiosos (</w:t>
      </w:r>
      <w:hyperlink r:id="rId18797">
        <w:r>
          <w:rPr>
            <w:color w:val="0000EE"/>
            <w:u w:val="single"/>
          </w:rPr>
          <w:t>Dt 17.8–9</w:t>
        </w:r>
      </w:hyperlink>
      <w:r>
        <w:t xml:space="preserve">), cuidando do Livro da Lei (v. </w:t>
      </w:r>
      <w:hyperlink r:id="rId12194">
        <w:r>
          <w:rPr>
            <w:color w:val="0000EE"/>
            <w:u w:val="single"/>
          </w:rPr>
          <w:t>18</w:t>
        </w:r>
      </w:hyperlink>
      <w:r>
        <w:t>), examinando as vidas e a saúde dos leprosos (</w:t>
      </w:r>
      <w:hyperlink r:id="rId14336">
        <w:r>
          <w:rPr>
            <w:color w:val="0000EE"/>
            <w:u w:val="single"/>
          </w:rPr>
          <w:t>24.8</w:t>
        </w:r>
      </w:hyperlink>
      <w:r>
        <w:t>) e participando diretamente na condução das cerimônias de renovação da aliança (</w:t>
      </w:r>
      <w:hyperlink r:id="rId18798">
        <w:r>
          <w:rPr>
            <w:color w:val="0000EE"/>
            <w:u w:val="single"/>
          </w:rPr>
          <w:t>27.9</w:t>
        </w:r>
      </w:hyperlink>
      <w:r>
        <w:t>).</w:t>
      </w:r>
    </w:p>
    <w:p>
      <w:pPr>
        <w:pStyle w:val="Heading3"/>
      </w:pPr>
      <w:r>
        <w:t>A história da Instituição</w:t>
      </w:r>
    </w:p>
    <w:p>
      <w:r/>
      <w:r>
        <w:t>Em teoria, a lei da aliança de Moisés determinava a natureza e a conduta dos ofícios de sacerdotes e levitas para a futura história de Israel. Na prática, no entanto, as circunstâncias históricas em mudança e as transformações na religião e cultura de Israel alteraram a forma do sacerdócio e o papel dos levitas de tempos em tempos. E ainda mais significativamente, as pessoas que ocupavam os ofícios os moldavam e determinavam sua eficácia através de sua fidelidade ou infidelidade.</w:t>
      </w:r>
    </w:p>
    <w:p>
      <w:pPr>
        <w:pStyle w:val="Heading4"/>
      </w:pPr>
      <w:r>
        <w:t>O sacerdócio antes da monarquia</w:t>
      </w:r>
    </w:p>
    <w:p>
      <w:r/>
      <w:r>
        <w:t xml:space="preserve">No tempo de Josué, os sacerdotes continuaram a realizar sua importante tarefa de carregar a arca da aliança. Os levitas ajudaram na divisão e distribuição das terras recém-conquistadas entre as tribos israelitas. Em </w:t>
      </w:r>
      <w:hyperlink r:id="rId4886">
        <w:r>
          <w:rPr>
            <w:color w:val="0000EE"/>
            <w:u w:val="single"/>
          </w:rPr>
          <w:t>Josué 21</w:t>
        </w:r>
      </w:hyperlink>
      <w:r>
        <w:t>, há uma lista detalhada da distribuição de cidades tanto para sacerdotes quanto para levitas, em conformidade com a legislação anterior. Nos dias do assentamento, depois da conquista, há algumas evidências de que os levitas assumiram o dever sacerdotal de transportar a arca (</w:t>
      </w:r>
      <w:hyperlink r:id="rId18799">
        <w:r>
          <w:rPr>
            <w:color w:val="0000EE"/>
            <w:u w:val="single"/>
          </w:rPr>
          <w:t>1Sm 6.15</w:t>
        </w:r>
      </w:hyperlink>
      <w:r>
        <w:t xml:space="preserve">; </w:t>
      </w:r>
      <w:hyperlink r:id="rId18800">
        <w:r>
          <w:rPr>
            <w:color w:val="0000EE"/>
            <w:u w:val="single"/>
          </w:rPr>
          <w:t>2Sm 15.24</w:t>
        </w:r>
      </w:hyperlink>
      <w:r>
        <w:t>).</w:t>
      </w:r>
    </w:p>
    <w:p>
      <w:r/>
      <w:r>
        <w:t>O escritor do livro de Juízes registrou duas histórias que ilustram as vidas de determinados levitas. A primeira, a história de Mica (</w:t>
      </w:r>
      <w:hyperlink r:id="rId10841">
        <w:r>
          <w:rPr>
            <w:color w:val="0000EE"/>
            <w:u w:val="single"/>
          </w:rPr>
          <w:t>Jz 17–18</w:t>
        </w:r>
      </w:hyperlink>
      <w:r>
        <w:t>), descreve o estabelecimento de um santuário local no qual o filho de Mica foi nomeado sacerdote (embora ele não fosse de descendência levita ou araônica). Mais tarde, Mica contratou um levita itinerante para servir como sacerdote em seu santuário, embora posteriormente esse levita tenha sido persuadido a servir à tribo de Dã como sacerdote. É difícil encaixar os detalhes desta história no modelo teórico de sacerdotes e levitas, embora a história possa ilustrar o estado confuso da religião de Israel na época. O que é especialmente significativo é que o papel do sacerdote levita era primariamente oracular (</w:t>
      </w:r>
      <w:hyperlink r:id="rId18801">
        <w:r>
          <w:rPr>
            <w:color w:val="0000EE"/>
            <w:u w:val="single"/>
          </w:rPr>
          <w:t>18.5–6</w:t>
        </w:r>
      </w:hyperlink>
      <w:r>
        <w:t xml:space="preserve">). A segunda história em Juízes é o relato muito terrível de um levita e sua concubina (cap. </w:t>
      </w:r>
      <w:hyperlink r:id="rId5356">
        <w:r>
          <w:rPr>
            <w:color w:val="0000EE"/>
            <w:u w:val="single"/>
          </w:rPr>
          <w:t>19</w:t>
        </w:r>
      </w:hyperlink>
      <w:r>
        <w:t>). A história ilustra o declínio moral e a falta de lei e ordem em Israel na época, mas lança pouca luz sobre o papel dos levitas.</w:t>
      </w:r>
    </w:p>
    <w:p>
      <w:r/>
      <w:r>
        <w:t>Mais informações são fornecidas sobre o sacerdócio durante o século XI a.C., imediatamente antes do estabelecimento da monarquia. O tabernáculo (até então, provavelmente uma estrutura semipermanente) e a arca da aliança estavam localizados em Siló. O sacerdote encarregado do santuário em Siló era Eli, que pode ter sido um descendente de Itamar, filho de Arão. Seus dois filhos, Hofni e Fineias, também serviram como sacerdotes, indicando que o princípio de descendência familiar ainda estava ativo em relação ao sacerdócio. Mas embora Eli fosse um sacerdote fiel, seus dois filhos abusaram do ofício.</w:t>
      </w:r>
    </w:p>
    <w:p>
      <w:r/>
      <w:r>
        <w:t xml:space="preserve">O papel exato de Samuel neste período não é claro. Ele era primariamente um juiz e um profeta, mas é difícil determinar se ele também era um sacerdote. Na narrativa histórica, ele não é chamado de sacerdote, embora o </w:t>
      </w:r>
      <w:hyperlink r:id="rId18802">
        <w:r>
          <w:rPr>
            <w:color w:val="0000EE"/>
            <w:u w:val="single"/>
          </w:rPr>
          <w:t>Salmo 99.6</w:t>
        </w:r>
      </w:hyperlink>
      <w:r>
        <w:t xml:space="preserve"> possa ser interpretado como indicando seu ofício sacerdotal. Há uma série de passagens, no entanto, que indicam que ele agiu como um sacerdote. Por exemplo, ele ofereceu sacrifícios (</w:t>
      </w:r>
      <w:hyperlink r:id="rId18803">
        <w:r>
          <w:rPr>
            <w:color w:val="0000EE"/>
            <w:u w:val="single"/>
          </w:rPr>
          <w:t>1Sm 7.9–10);</w:t>
        </w:r>
      </w:hyperlink>
      <w:r>
        <w:t xml:space="preserve"> quando jovem, ele serviu no santuário de Siló e usava um éfode (cap. </w:t>
      </w:r>
      <w:hyperlink r:id="rId18804">
        <w:r>
          <w:rPr>
            <w:color w:val="0000EE"/>
            <w:u w:val="single"/>
          </w:rPr>
          <w:t>2</w:t>
        </w:r>
      </w:hyperlink>
      <w:r>
        <w:t>). Além disso, uma das genealogias bíblicas implica descendência sacerdotal (</w:t>
      </w:r>
      <w:hyperlink r:id="rId18805">
        <w:r>
          <w:rPr>
            <w:color w:val="0000EE"/>
            <w:u w:val="single"/>
          </w:rPr>
          <w:t>1Cr 6.23–30</w:t>
        </w:r>
      </w:hyperlink>
      <w:r>
        <w:t>). No entanto, ele normalmente não é identificado como um sacerdote e a introdução de sua história se refere a ele como um efraimita, por descendência de seu pai (</w:t>
      </w:r>
      <w:hyperlink r:id="rId7702">
        <w:r>
          <w:rPr>
            <w:color w:val="0000EE"/>
            <w:u w:val="single"/>
          </w:rPr>
          <w:t>1Sm 1.1</w:t>
        </w:r>
      </w:hyperlink>
      <w:r>
        <w:t xml:space="preserve">), não um levita. Se o sacerdote for identificado como um servo permanente do santuário, como era Eli, então está claro que Samuel não era um sacerdote. Mas o papel sacerdotal de Samuel talvez esteja relacionado ao fato de que sua mãe o “dedicou” a Deus (v. </w:t>
      </w:r>
      <w:hyperlink r:id="rId18806">
        <w:r>
          <w:rPr>
            <w:color w:val="0000EE"/>
            <w:u w:val="single"/>
          </w:rPr>
          <w:t>28</w:t>
        </w:r>
      </w:hyperlink>
      <w:r>
        <w:t>) enquanto ele ainda era um menino.</w:t>
      </w:r>
    </w:p>
    <w:p>
      <w:pPr>
        <w:pStyle w:val="Heading4"/>
      </w:pPr>
      <w:r>
        <w:t>O sacerdócio durante o tempo de Davi e Salomão</w:t>
      </w:r>
    </w:p>
    <w:p>
      <w:r/>
      <w:r>
        <w:t>Várias mudanças radicais ocorreram durante o reinado de Davi e Salomão. Essas eram um resultado, principalmente, do estabelecimento de um templo permanente em Jerusalém e a inserção da arca da aliança lá. Durante o tempo de Saul, o primeiro rei de Israel, a estrutura social era essencialmente a mesma que havia sido no tempo dos juízes. Saul, como rei, era um líder militar, mas seu relacionamento com a religião e o sacerdócio não era claramente determinado.</w:t>
      </w:r>
    </w:p>
    <w:p>
      <w:r/>
      <w:r>
        <w:t>Davi mudou a situação em muitos aspectos importantes. Após sua conquista da cidade de Jerusalém, ele fez daquele lugar a capital política e religiosa de sua nação. A centralidade religiosa de Jerusalém foi assegurada ao transportar a arca da aliança para lá, juntamente com o tabernáculo. Jerusalém agora se tornou o local permanente da arca, e, portanto, o centro permanente da religião; ao mesmo tempo, os vários santuários regionais, que haviam se desenvolvido no período pré-monárquico, foram gradualmente eliminados.</w:t>
      </w:r>
    </w:p>
    <w:p>
      <w:r/>
      <w:r>
        <w:t>Essas mudanças tiveram numerosas implicações para o sacerdócio e os levitas. Durante o reinado de Davi, havia dois principais sacerdotes, Abiatar e Zadoque. Abiatar, um ex-sacerdote de Nobe, havia se juntado a Davi antes de sua ascensão ao poder; ele parece ter sido um descendente de Eli, e por sua vez, de Itamar, um dos filhos de Arão. A origem de Zadoque é menos clara, embora sua linhagem pareça retornar ao outro filho de Arão, Eleazar. Esses dois sacerdotes são sempre nomeados juntos nos textos que descrevem o reinado de Davi, e Zadoque é sempre mencionado antes de Abiatar. Embora nenhum dos dois seja explicitamente identificado como sumo sacerdote nos textos antigos, há algumas evidências que sugerem que Abiatar atuava como sumo sacerdote (</w:t>
      </w:r>
      <w:hyperlink r:id="rId18807">
        <w:r>
          <w:rPr>
            <w:color w:val="0000EE"/>
            <w:u w:val="single"/>
          </w:rPr>
          <w:t>1Rs 2.35</w:t>
        </w:r>
      </w:hyperlink>
      <w:r>
        <w:t>); nos tempos do NT, ele é identificado como tal (</w:t>
      </w:r>
      <w:hyperlink r:id="rId73">
        <w:r>
          <w:rPr>
            <w:color w:val="0000EE"/>
            <w:u w:val="single"/>
          </w:rPr>
          <w:t>Mc 2.26</w:t>
        </w:r>
      </w:hyperlink>
      <w:r>
        <w:t>). Zadoque, durante o reinado de Davi, pode ter sido responsável especialmente pelo cuidado para com a arca da aliança (</w:t>
      </w:r>
      <w:hyperlink r:id="rId18808">
        <w:r>
          <w:rPr>
            <w:color w:val="0000EE"/>
            <w:u w:val="single"/>
          </w:rPr>
          <w:t>2Sm 15.24–25</w:t>
        </w:r>
      </w:hyperlink>
      <w:r>
        <w:t>). Esses dois sacerdotes tinham uma posição significativa no estabelecimento real de Davi; eles também podem ter compartilhado a responsabilidade geral para com os sacerdotes, que agora estavam centrados no templo de Jerusalém.</w:t>
      </w:r>
    </w:p>
    <w:p>
      <w:r/>
      <w:r>
        <w:t>Grande parte do tempo de Davi estava focada nos preparativos para a construção de um templo permanente para Deus. Na preparação do templo, e em sua conclusão durante o reinado do rei Salomão, as novas atividades dos levitas podem ser vistas. (A construção de um templo permanente removeu automaticamente suas antigas responsabilidades relacionadas com o manuseio e o transporte do tabernáculo). Grande número de levitas foi empregado como trabalhadores na construção vigente do templo. Outros encontraram novas tarefas na adoração de Deus no tabernáculo durante o reinado de Davi e no templo após sua conclusão. Aos levitas, e especialmente a Hemã, Asafe, e Etã, foi dada a responsabilidade principal pela música de adoração; isso envolvia não apenas cantar, mas também a reprodução de uma variedade de instrumentos na orquestra ou banda do templo. Os levitas também tinham uma variedade de outras tarefas; eles trabalhavam como porteiros no santuário, assistiam aos sacerdotes na preparação dos sacrifícios, mantinham o santuário limpo e atuavam como oficiais administrativos e legais gerais (</w:t>
      </w:r>
      <w:hyperlink r:id="rId14263">
        <w:r>
          <w:rPr>
            <w:color w:val="0000EE"/>
            <w:u w:val="single"/>
          </w:rPr>
          <w:t>1Cr 23.1–32</w:t>
        </w:r>
      </w:hyperlink>
      <w:r>
        <w:t>). Outros levitas atuavam como banqueiros, com responsabilidade primária pelos tesouros do templo (</w:t>
      </w:r>
      <w:hyperlink r:id="rId18809">
        <w:r>
          <w:rPr>
            <w:color w:val="0000EE"/>
            <w:u w:val="single"/>
          </w:rPr>
          <w:t>26.20–28</w:t>
        </w:r>
      </w:hyperlink>
      <w:r>
        <w:t>).</w:t>
      </w:r>
    </w:p>
    <w:p>
      <w:r/>
      <w:r>
        <w:t>Após a morte de Davi, houve um conflito sobre a sucessão real, da qual Salomão emergiu como o novo rei. Durante seu reinado, o templo foi concluído e a adoração regular da nação passou a ser conduzida ali. Na questão da sucessão, no entanto, Abiatar havia apoiado um candidato derrotado, e quando Salomão foi feito rei, ele perdeu seu importante ofício na corte real. Durante o reinado de Salomão, o controle do sacerdócio passou para as mãos de Zadoque.</w:t>
      </w:r>
    </w:p>
    <w:p>
      <w:pPr>
        <w:pStyle w:val="Heading4"/>
      </w:pPr>
      <w:r>
        <w:t>O sacerdócio durante a monarquia dividida</w:t>
      </w:r>
    </w:p>
    <w:p>
      <w:r/>
      <w:r>
        <w:t>O grande império, que havia sido construído por Davi e mantido por Salomão, entrou em colapso após a morte de Salomão. Das ruínas, dois estados novos e relativamente insignificantes emergiram. O reino do sul, Judá, manteve Jerusalém como sua capital e o templo como seu centro de adoração. O reino do norte, Israel, localizou sua primeira capital em Siquém, de onde foi mais tarde transferida para Tirza.</w:t>
      </w:r>
    </w:p>
    <w:p>
      <w:r/>
      <w:r>
        <w:t>No estado de Judá, os sacerdotes e levitas continuaram a servir normalmente dentro do templo de Jerusalém. O ofício de sumo sacerdote continuou a ser exercido por descendência dentro da família de Zadoque, que havia exercido ofício no reinado de Salomão. A continuidade do ofício nesta família seria mantida até o tempo do segundo templo, quando a sucessão zadoquita foi interrompida por volta de 171 a.C. No entanto, apesar de toda a continuidade da religião em Jerusalém, nem tudo estava bem com a religião em Judá, nem durante o reinado de seu primeiro rei, Roboão, nem durante os reinados de seus sucessores. Durante o reinado de Roboão, houve um declínio na religião e também no sacerdócio, quando formas populares de religião foram introduzidas como resultado da influência estrangeira (</w:t>
      </w:r>
      <w:hyperlink r:id="rId2243">
        <w:r>
          <w:rPr>
            <w:color w:val="0000EE"/>
            <w:u w:val="single"/>
          </w:rPr>
          <w:t>1Rs 14.22–24</w:t>
        </w:r>
      </w:hyperlink>
      <w:r>
        <w:t xml:space="preserve">). A história do reino do sul foi marcada por períodos de declínio religioso seguidos por reforma, muitas vezes como resultado das atividades dos profetas. O papel do sacerdócio era muito raramente de liderança espiritual, e os próprios sacerdotes eram muitas vezes objeto de críticas pelos profetas (p. ex., </w:t>
      </w:r>
      <w:hyperlink r:id="rId18810">
        <w:r>
          <w:rPr>
            <w:color w:val="0000EE"/>
            <w:u w:val="single"/>
          </w:rPr>
          <w:t>Jr 2.8,26</w:t>
        </w:r>
      </w:hyperlink>
      <w:r>
        <w:t>).</w:t>
      </w:r>
    </w:p>
    <w:p>
      <w:r/>
      <w:r>
        <w:t>O reino do norte, que teve seu primeiro rei, Jeroboão I, inevitavelmente teve que introduzir algumas mudanças radicais na religião. Jeroboão não poderia reconhecer o templo de Jerusalém, em parte porque estava fora de seu estado e em parte porque estava intimamente associado com a linhagem real de Davi. Jeroboão estabeleceu dois santuários principais em seu reino, os quais deveriam reter importância durante a vida relativamente breve do reino do norte (200 anos). O primeiro foi em Betel, na parte sul de seu reino, perto da fronteira de Judá (estava apenas a cerca de 12 milhas, ou 19,3 quilômetros, ao norte de Jerusalém). O segundo templo, ou santuário, estava em Dã, na parte distante ao norte de seu reino.</w:t>
      </w:r>
    </w:p>
    <w:p>
      <w:r/>
      <w:r>
        <w:t>Ambos os santuários tinham associações antigas com as tradições hebraicas. Betel é referida tão cedo quanto o tempo de Abrão (</w:t>
      </w:r>
      <w:hyperlink r:id="rId164">
        <w:r>
          <w:rPr>
            <w:color w:val="0000EE"/>
            <w:u w:val="single"/>
          </w:rPr>
          <w:t>Gn 12.8</w:t>
        </w:r>
      </w:hyperlink>
      <w:r>
        <w:t>), e o santuário em Dã é conhecido da história dos juízes (</w:t>
      </w:r>
      <w:hyperlink r:id="rId6472">
        <w:r>
          <w:rPr>
            <w:color w:val="0000EE"/>
            <w:u w:val="single"/>
          </w:rPr>
          <w:t>Jz 18</w:t>
        </w:r>
      </w:hyperlink>
      <w:r>
        <w:t>). Pode de fato ainda ter havido sacerdotes e levitas residindo nesses dois lugares, descendentes dos antigos servidores dos santuários. Mas Jeroboão estabeleceu um sacerdócio não levítico para servir nesses santuários e em vários templos menores ou “lugares altos”, cortando assim ainda mais radicalmente a tradição religiosa do estado do norte em relação à de Judá. O santuário real em Betel, tão perto do templo de Jerusalém, pode ter sido criado em competição deliberada com o santuário da Judeia.</w:t>
      </w:r>
    </w:p>
    <w:p>
      <w:r/>
      <w:r>
        <w:t>A história do sacerdócio no reino do norte não é mais impressionante do que a de Judá. Muitos dos profetas, incluindo Amós, Oseias e Jeremias, condenaram os santuários do norte e seus sacerdotes. Oseias foi enérgico em sua condenação: “Assim como os assaltantes ficam de emboscada à espera de um homem, o mesmo acontece com os grupos de sacerdotes; eles matam na estrada para Siquém, cometendo crimes horrorosos” (</w:t>
      </w:r>
      <w:hyperlink r:id="rId16029">
        <w:r>
          <w:rPr>
            <w:color w:val="0000EE"/>
            <w:u w:val="single"/>
          </w:rPr>
          <w:t>Os 6.9</w:t>
        </w:r>
      </w:hyperlink>
      <w:r>
        <w:t>). Apenas raramente aqueles a quem as vidas espirituais do povo escolhido haviam sido confiadas viviam à altura de suas responsabilidades.</w:t>
      </w:r>
    </w:p>
    <w:p>
      <w:pPr>
        <w:pStyle w:val="Heading4"/>
      </w:pPr>
      <w:r>
        <w:t>Sacerdotes e levitas durante e após o Exílio</w:t>
      </w:r>
    </w:p>
    <w:p>
      <w:r/>
      <w:r>
        <w:t>O reino do norte chegou ao fim em 722 a.C., derrotado pelos exércitos da Assíria, mas a vida religiosa continuou em Judá por mais algum tempo. Eventualmente, o fim do estado do sul veio por volta de 586 a.C.; a derrota do estado pelos babilônios foi acompanhada pela destruição de Jerusalém e seu templo (</w:t>
      </w:r>
      <w:hyperlink r:id="rId18811">
        <w:r>
          <w:rPr>
            <w:color w:val="0000EE"/>
            <w:u w:val="single"/>
          </w:rPr>
          <w:t>Lm 2.20</w:t>
        </w:r>
      </w:hyperlink>
      <w:r>
        <w:t>). O comandante babilônico levou Seraías, o sumo sacerdote, e Sofonias, seu assistente, para Ribla, onde, com outros oficiais, eles foram mortos (</w:t>
      </w:r>
      <w:hyperlink r:id="rId18812">
        <w:r>
          <w:rPr>
            <w:color w:val="0000EE"/>
            <w:u w:val="single"/>
          </w:rPr>
          <w:t>2Rs 25.18–21</w:t>
        </w:r>
      </w:hyperlink>
      <w:r>
        <w:t>). Então uma política de exílio foi estabelecida pelos babilônios; o povo mais importante e influente de Judá foi deportado para a Babilônia, enquanto os menos significativos foram autorizados a permanecer, pois era improvável que causassem problemas. Dos exilados de Judá, muitos podem ter sido sacerdotes (</w:t>
      </w:r>
      <w:hyperlink r:id="rId18813">
        <w:r>
          <w:rPr>
            <w:color w:val="0000EE"/>
            <w:u w:val="single"/>
          </w:rPr>
          <w:t>Jr 29.1</w:t>
        </w:r>
      </w:hyperlink>
      <w:r>
        <w:t>), pois eles eram homens de influência. Em contraste, parece provável que um número muito menor de levitas foi exilado, refletindo talvez sua posição social inferior.</w:t>
      </w:r>
    </w:p>
    <w:p>
      <w:r/>
      <w:r>
        <w:t>Na cidade de Jerusalém, havia pouca vida religiosa regular durante os anos do exílio; o altar havia sido destruído e não foi restaurado até após o exílio. Sem dúvida, continuava algum tipo de atividade, mas era uma forma empobrecida de religião. A maioria dos sacerdotes estava no exílio na Babilônia, porém não podiam atuar, pois não havia templo ou santuário. Ezequiel dá a entender que o próprio Deus era o único “santuário” para os exilados (</w:t>
      </w:r>
      <w:hyperlink r:id="rId18814">
        <w:r>
          <w:rPr>
            <w:color w:val="0000EE"/>
            <w:u w:val="single"/>
          </w:rPr>
          <w:t>Ez 11.16</w:t>
        </w:r>
      </w:hyperlink>
      <w:r>
        <w:t>). Somente após o retorno do exílio, a restauração de Jerusalém e seu templo é que as funções normais de sacerdotes e levitas puderam ser retomadas.</w:t>
      </w:r>
    </w:p>
    <w:p>
      <w:r/>
      <w:r>
        <w:t>Quando o Império Babilônico foi derrotado, os novos conquistadores persas instituíram uma política pela qual os exilados hebreus poderiam voltar para sua terra natal. Dos que retornam, 4.289 são designados sacerdotes e membros de famílias sacerdotais, enquanto apenas 341 eram levitas (</w:t>
      </w:r>
      <w:hyperlink r:id="rId18815">
        <w:r>
          <w:rPr>
            <w:color w:val="0000EE"/>
            <w:u w:val="single"/>
          </w:rPr>
          <w:t>Ed 2.36–42</w:t>
        </w:r>
      </w:hyperlink>
      <w:r>
        <w:t>); o desequilíbrio provavelmente reflete a desproporção no número de exilados inicialmente. Sob Josué (Jeshua), o sacerdote e Zorobabel, o trabalho na restauração começou. Os sacerdotes desempenharam um papel significativo no primeiro ano do retorno, na restauração do altar em Jerusalém, para que o sacrifício e a adoração a Deus pudessem retomar. Uma vez que o altar havia sido restaurado, o trabalho começou no próprio templo, no segundo ano do retorno. Neste trabalho, tanto os sacerdotes quanto os levitas estavam envolvidos, e começou o estabelecimento de novas fundações para o templo. Quando a fundação havia sido estabelecida, tanto os sacerdotes, em suas vestimentas, quanto os levitas, em seu papel de cantores e músicos, participaram da cerimônia de dedicação (</w:t>
      </w:r>
      <w:hyperlink r:id="rId18816">
        <w:r>
          <w:rPr>
            <w:color w:val="0000EE"/>
            <w:u w:val="single"/>
          </w:rPr>
          <w:t>3.8–13</w:t>
        </w:r>
      </w:hyperlink>
      <w:r>
        <w:t>). Novamente, quando o templo havia sido reconstruído, sacerdotes e levitas participaram da cerimônia de dedicação (</w:t>
      </w:r>
      <w:hyperlink r:id="rId18817">
        <w:r>
          <w:rPr>
            <w:color w:val="0000EE"/>
            <w:u w:val="single"/>
          </w:rPr>
          <w:t>6.16–18</w:t>
        </w:r>
      </w:hyperlink>
      <w:r>
        <w:t>). A restauração, no entanto, envolvia mais do que apenas edifícios; também incluía um componente moral e religioso. Embora os sacerdotes e levitas ajudaram nesta tarefa, eles também foram afetados por isso. Muitos, por exemplo, haviam se casado com esposas estrangeiras (</w:t>
      </w:r>
      <w:hyperlink r:id="rId9187">
        <w:r>
          <w:rPr>
            <w:color w:val="0000EE"/>
            <w:u w:val="single"/>
          </w:rPr>
          <w:t>9.1</w:t>
        </w:r>
      </w:hyperlink>
      <w:r>
        <w:t>), e assim tinham que se conformar com as leis de reforma por Esdras.</w:t>
      </w:r>
    </w:p>
    <w:p>
      <w:r/>
      <w:r>
        <w:t>Em certa medida, os sacerdotes e levitas retomaram seus deveres regulares na adoração do período pós-exílico. Os sacerdotes estavam engajados na condução da adoração no templo. Os levitas assistiam como servos do templo (</w:t>
      </w:r>
      <w:hyperlink r:id="rId18818">
        <w:r>
          <w:rPr>
            <w:color w:val="0000EE"/>
            <w:u w:val="single"/>
          </w:rPr>
          <w:t>Ne 11.3</w:t>
        </w:r>
      </w:hyperlink>
      <w:r>
        <w:t>), como tesoureiros e coletores de dízimos (</w:t>
      </w:r>
      <w:hyperlink r:id="rId13615">
        <w:r>
          <w:rPr>
            <w:color w:val="0000EE"/>
            <w:u w:val="single"/>
          </w:rPr>
          <w:t>10.37–39</w:t>
        </w:r>
      </w:hyperlink>
      <w:r>
        <w:t>) e como instrutores ou mestres da lei de Deus (</w:t>
      </w:r>
      <w:hyperlink r:id="rId18819">
        <w:r>
          <w:rPr>
            <w:color w:val="0000EE"/>
            <w:u w:val="single"/>
          </w:rPr>
          <w:t>8.7–9</w:t>
        </w:r>
      </w:hyperlink>
      <w:r>
        <w:t>). No entanto, a história do sacerdócio após o exílio não está livre de mácula. A condenação dos abusos do ofício sacerdotal foi proferida pelo profeta Malaquias (</w:t>
      </w:r>
      <w:hyperlink r:id="rId18820">
        <w:r>
          <w:rPr>
            <w:color w:val="0000EE"/>
            <w:u w:val="single"/>
          </w:rPr>
          <w:t>Ml 1.6–2.9</w:t>
        </w:r>
      </w:hyperlink>
      <w:r>
        <w:t>). Malaquias catalogou uma lista de males sacerdotais que lembram os sacerdotes malignos que viveram durante o tempo da monarquia.</w:t>
      </w:r>
    </w:p>
    <w:p>
      <w:r/>
      <w:r>
        <w:t>O ofício de sumo sacerdote continuou após o exílio entre os descendentes de Zadoque, sendo mantido inicialmente por Josué (</w:t>
      </w:r>
      <w:hyperlink r:id="rId495">
        <w:r>
          <w:rPr>
            <w:color w:val="0000EE"/>
            <w:u w:val="single"/>
          </w:rPr>
          <w:t>Ag 1.1</w:t>
        </w:r>
      </w:hyperlink>
      <w:r>
        <w:t>). As diferentes circunstâncias políticas, no entanto, mudaram a natureza do ofício de sumo sacerdócio. Considerando que nos dias da monarquia o sumo sacerdote era subserviente ao rei, não havia um rei, no sentido propriamente dito, após o exílio. De uma perspectiva política, os judeus eram membros de uma província ou colônia; para propósitos práticos, eles eram uma comunidade baseada em uma religião comum. O sumo sacerdote não estava mais sujeito à autoridade laica de um rei judeu, mas sua autoridade religiosa era considerável, e de algumas maneiras suas funções eram semelhantes às de um rei nos tempos pré-exílicos.</w:t>
      </w:r>
    </w:p>
    <w:p>
      <w:pPr>
        <w:pStyle w:val="Heading4"/>
      </w:pPr>
      <w:r>
        <w:t>O sacerdócio no período dos Macabeus</w:t>
      </w:r>
    </w:p>
    <w:p>
      <w:r/>
      <w:r>
        <w:t>Durante o segundo século a.C., algumas mudanças ocorreram no sacerdócio, especialmente no que diz respeito ao ofício de sumo sacerdote, que marcou o fim da era do AT e definiu o pano de fundo para o período do NT. A Judeia, no segundo século, era governada pelos reis selêucidas, que haviam herdado uma parte do massivo Império Grego estabelecido por Alexandre, o Grande. A província da Judeia era controlada internamente sob o sumo sacerdócio, que teve a autoridade recebida dos reis selêucidas.</w:t>
      </w:r>
    </w:p>
    <w:p>
      <w:r/>
      <w:r>
        <w:t>Nas primeiras três décadas do segundo século a.C., o alto sacerdócio permaneceu com a linhagem zadoquita. Os sumos sacerdotes eram membros da família (zadoquita) de Oniadas: primeiro, Onias III (198–174 a.C.); depois, Jasão, irmão de Onias III (174–171 a.C.). Foi no período de Jasão que começou uma série de eventos que terminariam a tradição zadoquita.</w:t>
      </w:r>
    </w:p>
    <w:p>
      <w:r/>
      <w:r>
        <w:t>Onias III havia se oposto à política de helenização de Antíoco IV (Epifânio), que ameaçava minar a fé judaica. Antíoco substituiu Onias por Jasão, que na verdade comprou o alto sacerdócio do rei selêucida. Ao comprar o ofício sacerdotal, Jasão havia estabelecido um precedente perigoso; embora ele fosse de descendência zadoquita, seu ato implicava que o ofício poderia ser comprado e essa descendência não ser vital. Os oponentes de Jasão, os Tobíadas, foram capazes de removê-lo do ofício e ter seu próprio candidato, Menelau (que não era um zadoquita), nomeado em seu lugar. Este ato resultou em uma guerra civil entre aqueles que apoiavam Jasão e aqueles que apoiavam Menelau, e a guerra, por sua vez, culminou em medidas repressivas severas de Antíoco Epifânio; houve massacres em Jerusalém, e o templo foi profanado (167 a.C.). A profanação do templo levou à revolta dos Macabeus, como resultado da qual os judeus reconquistaram sua independência por um curto período. Menelau manteve o ofício de sumo sacerdote até 161 a.C. e foi sucedido por Alcimo (161–159 a.C.).</w:t>
      </w:r>
    </w:p>
    <w:p>
      <w:r/>
      <w:r>
        <w:t>Então, seguiu-se um período durante o qual não houve sumo sacerdote por sete anos. O clima político, no entanto, era tal que se tornava improvável que a linhagem zadoquita algum dia voltasse a conquistar o alto sacerdócio, que havia sido estabelecido no tempo do rei Salomão. O macabeu Jônatas obteve o controle de Jerusalém, e em 152 a.C., com a aprovação do rei selêucida, ele foi formalmente investido das vestes de sumo sacerdote. Ele foi sucedido como sumo sacerdote e governante por seu irmão Simão em 143 a.C., que também exercia o ofício com a aprovação dos selêucidas (Demétrio II). Mas no terceiro ano de seu reinado (140 a.C.), o sumo sacerdócio de Simão recebeu aprovação pública em uma grande assembleia religiosa, e a família de Simão tornou-se “sumo sacerdote para sempre” (</w:t>
      </w:r>
      <w:hyperlink r:id="rId18821">
        <w:r>
          <w:rPr>
            <w:color w:val="0000EE"/>
            <w:u w:val="single"/>
          </w:rPr>
          <w:t>1Mc 14.41–47</w:t>
        </w:r>
      </w:hyperlink>
      <w:r>
        <w:t>). Esse evento marcou o término efetivo da tradição zadoquita e a base da linhagem dos Asmoneus.</w:t>
      </w:r>
    </w:p>
    <w:p>
      <w:r/>
      <w:r>
        <w:t>O estabelecimento do ofício de sumo sacerdotal fora da linhagem zadoquita não ocorreu sem contestação. É provável que uma seita dentro do judaísmo, agora conhecida como os essênios, tenha nascido em reação ao sumo sacerdócio de Simão. Os essênios (mais conhecidos pelos Manuscritos do Mar Morto) parecem ter sido fundados por um sacerdote zadoquita que rejeitou a autenticidade e autoridade de Simão. Assim, em um sentido limitado, os sacerdotes zadoquitas continuaram a subsistir.</w:t>
      </w:r>
    </w:p>
    <w:p>
      <w:pPr>
        <w:pStyle w:val="Heading3"/>
      </w:pPr>
      <w:r>
        <w:t>O sacerdócio nos tempos do Novo Testamento</w:t>
      </w:r>
    </w:p>
    <w:p>
      <w:r/>
      <w:r>
        <w:t>No início do período do NT, tanto os sacerdotes quanto os levitas continuaram a servir dentro da religião judaica. Zacarias, pai de João Batista, era um sacerdote que pertencia à divisão de Abias (</w:t>
      </w:r>
      <w:hyperlink r:id="rId4069">
        <w:r>
          <w:rPr>
            <w:color w:val="0000EE"/>
            <w:u w:val="single"/>
          </w:rPr>
          <w:t>Lc 1.5</w:t>
        </w:r>
      </w:hyperlink>
      <w:r>
        <w:t xml:space="preserve">), e sua esposa também era de descendência sacerdotal. Quando Zacarias foi visitado por um anjo, na época, ele estava envolvido com deveres sacerdotais no templo de Jerusalém — várias divisões de sacerdotes assumiam a responsabilidade pelos serviços do templo por um período e depois voltavam para suas casas (v. </w:t>
      </w:r>
      <w:hyperlink r:id="rId7025">
        <w:r>
          <w:rPr>
            <w:color w:val="0000EE"/>
            <w:u w:val="single"/>
          </w:rPr>
          <w:t>23</w:t>
        </w:r>
      </w:hyperlink>
      <w:r>
        <w:t>), quando outra divisão assumia. A distinção entre sacerdotes e levitas também é mantida no NT (</w:t>
      </w:r>
      <w:hyperlink r:id="rId18822">
        <w:r>
          <w:rPr>
            <w:color w:val="0000EE"/>
            <w:u w:val="single"/>
          </w:rPr>
          <w:t>Jo 1.19</w:t>
        </w:r>
      </w:hyperlink>
      <w:r>
        <w:t>) e aparece na parábola de Jesus sobre o bom samaritano (</w:t>
      </w:r>
      <w:hyperlink r:id="rId18823">
        <w:r>
          <w:rPr>
            <w:color w:val="0000EE"/>
            <w:u w:val="single"/>
          </w:rPr>
          <w:t>Lc 10.31–32</w:t>
        </w:r>
      </w:hyperlink>
      <w:r>
        <w:t>). Tanto sacerdotes quanto levitas estavam entre os primeiros convertidos ao cristianismo; Barnabé era um levita de Chipre (</w:t>
      </w:r>
      <w:hyperlink r:id="rId4832">
        <w:r>
          <w:rPr>
            <w:color w:val="0000EE"/>
            <w:u w:val="single"/>
          </w:rPr>
          <w:t>Atos 4.36</w:t>
        </w:r>
      </w:hyperlink>
      <w:r>
        <w:t>), e vários sacerdotes responderam à proclamação do evangelho (</w:t>
      </w:r>
      <w:hyperlink r:id="rId18824">
        <w:r>
          <w:rPr>
            <w:color w:val="0000EE"/>
            <w:u w:val="single"/>
          </w:rPr>
          <w:t>6.7</w:t>
        </w:r>
      </w:hyperlink>
      <w:r>
        <w:t>).</w:t>
      </w:r>
    </w:p>
    <w:p>
      <w:r/>
      <w:r>
        <w:t>O ofício de sumo sacerdote é frequentemente referido no NT. Vários sumos sacerdotes são mencionados, e a pluralidade de ocupantes atuais e anteriores do ofício reflete a natureza da posição como um compromisso essencialmente político (distinto de sua definição mais antiga, a de um ofício que passa de pai para filho após a morte do pai). Os dois sumos sacerdotes mais significativos no NT são aqueles que exerceram ofício durante a vida de Jesus. Anás era sumo sacerdote por volta de 6 a 15 d.C., mas mesmo depois que ele deixou de exercer o ofício formalmente, ele continuou a exercer influência considerável através de seu genro, o sumo sacerdote Caifás (c. 18–36 d.C.). Ambos foram figuras significativas no julgamento de Jesus. Em uma data posterior, Ananias, filho de Nebedeus, era sumo sacerdote (c. 47–58 d.C.) e presidente do Sinédrio durante o tempo em que Paulo foi levado a julgamento.</w:t>
      </w:r>
    </w:p>
    <w:p>
      <w:r/>
      <w:r>
        <w:t>O sacerdócio possuía autoridade considerável nos tempos do NT. A maioria dos assuntos internos e religiosos na província romana da Judeia estava dentro da autoridade do Sinédrio, que funcionava como uma espécie de governo provincial, embora seus poderes fossem limitados em certos assuntos por Roma. Sua associação incluía os sumos sacerdotes que estavam no poder e ex-sumo sacerdotes, e um grande número de saduceus, muitos dos quais pertenciam a famílias sacerdotais influentes. Esta influência sacerdotal no Sinédrio era indicativo do importante papel do templo na vida judaica durante o primeiro século d.C.</w:t>
      </w:r>
    </w:p>
    <w:p>
      <w:r/>
      <w:r>
        <w:t>Em 70 d.C., após a destruição do templo em Jerusalém, uma mudança radical ocorreu em relação ao significado do sacerdócio no judaísmo. O fim do templo removeu em efeito o propósito para a existência do sacerdócio. Embora o sacerdócio tenha continuado de certa forma até a rebelião de Bar Kochba em 135 d.C., seu fim estava próximo após 70 d.C. Desde o final do primeiro século d.C., o judaísmo se desenvolveu sem sacerdotes, e sua trajetória até o presente século foi traçada pelos rabinos, os descendentes espirituais dos fariseus.</w:t>
      </w:r>
    </w:p>
    <w:p>
      <w:r/>
      <w:r>
        <w:rPr>
          <w:i/>
        </w:rPr>
        <w:t>Veja também</w:t>
      </w:r>
      <w:r>
        <w:t xml:space="preserve"> </w:t>
      </w:r>
      <w:r>
        <w:t>Sacerdócio</w:t>
      </w:r>
      <w:r>
        <w:t>.</w:t>
      </w:r>
      <w:r/>
      <w:r/>
    </w:p>
    <w:p>
      <w:r/>
    </w:p>
    <w:p>
      <w:pPr>
        <w:pStyle w:val="Heading2"/>
      </w:pPr>
      <w:r>
        <w:t>Sadraque, Mesaque e Abede-Nego</w:t>
      </w:r>
      <w:r/>
    </w:p>
    <w:p>
      <w:r/>
      <w:r>
        <w:t>Os nomes babilônicos de três jovens hebreus levados para Babilônia como prisioneiros pelo rei Nabucodonosor em 605 a.C. (</w:t>
      </w:r>
      <w:hyperlink r:id="rId4028">
        <w:r>
          <w:rPr>
            <w:color w:val="0000EE"/>
            <w:u w:val="single"/>
          </w:rPr>
          <w:t>2Rs 24.1</w:t>
        </w:r>
      </w:hyperlink>
      <w:r>
        <w:t xml:space="preserve">; </w:t>
      </w:r>
      <w:hyperlink r:id="rId4030">
        <w:r>
          <w:rPr>
            <w:color w:val="0000EE"/>
            <w:u w:val="single"/>
          </w:rPr>
          <w:t>Dn 1.1</w:t>
        </w:r>
      </w:hyperlink>
      <w:r>
        <w:t>–</w:t>
      </w:r>
      <w:hyperlink r:id="rId4030">
        <w:r>
          <w:rPr>
            <w:color w:val="0000EE"/>
            <w:u w:val="single"/>
          </w:rPr>
          <w:t>4</w:t>
        </w:r>
      </w:hyperlink>
      <w:r>
        <w:t>). Eles podem ter sido de uma família real (</w:t>
      </w:r>
      <w:hyperlink r:id="rId18825">
        <w:r>
          <w:rPr>
            <w:color w:val="0000EE"/>
            <w:u w:val="single"/>
          </w:rPr>
          <w:t>2Rs 20.18</w:t>
        </w:r>
      </w:hyperlink>
      <w:r>
        <w:t xml:space="preserve">; </w:t>
      </w:r>
      <w:hyperlink r:id="rId18826">
        <w:r>
          <w:rPr>
            <w:color w:val="0000EE"/>
            <w:u w:val="single"/>
          </w:rPr>
          <w:t>Is 39.7</w:t>
        </w:r>
      </w:hyperlink>
      <w:r>
        <w:t>). Os babilônios acreditavam que tê-los como reféns faria o rei de Judá, Jeoaquim, se comportar.</w:t>
      </w:r>
    </w:p>
    <w:p>
      <w:r/>
      <w:r>
        <w:t>Nabucodonosor desejava encher sua corte com homens inteligentes e bonitos que se tornariam súditos úteis para seu reino. Ele decidiu que alguns dos reféns judeus seriam treinados. Daniel e seus três amigos foram escolhidos.</w:t>
      </w:r>
    </w:p>
    <w:p>
      <w:r/>
      <w:r>
        <w:t>Seus nomes hebraicos originais exaltavam Javé, mas foram alterados para nomes babilônicos que poderiam ter honrado um deus babilônico.</w:t>
      </w:r>
    </w:p>
    <w:p>
      <w:r/>
      <w:r>
        <w:t>Seus nomes originais em hebraico eram:</w:t>
      </w:r>
    </w:p>
    <w:p>
      <w:pPr>
        <w:pStyle w:val="ListBullet"/>
        <w:spacing w:line="240" w:lineRule="auto"/>
        <w:ind w:left="720"/>
      </w:pPr>
      <w:r/>
      <w:r>
        <w:t>Hananias, que significa "O Senhor é gracioso";</w:t>
      </w:r>
    </w:p>
    <w:p>
      <w:pPr>
        <w:pStyle w:val="ListBullet"/>
        <w:spacing w:line="240" w:lineRule="auto"/>
        <w:ind w:left="720"/>
      </w:pPr>
      <w:r/>
      <w:r>
        <w:t>Misael, que significa "Quem é como Deus";</w:t>
      </w:r>
    </w:p>
    <w:p>
      <w:pPr>
        <w:pStyle w:val="ListBullet"/>
        <w:spacing w:line="240" w:lineRule="auto"/>
        <w:ind w:left="720"/>
      </w:pPr>
      <w:r/>
      <w:r>
        <w:t>Azarias, que significa "O Senhor ajudou".</w:t>
      </w:r>
    </w:p>
    <w:p>
      <w:r/>
      <w:r>
        <w:t>Nabucodonosor mudou seus nomes para nomes babilônicos:</w:t>
      </w:r>
    </w:p>
    <w:p>
      <w:pPr>
        <w:pStyle w:val="ListBullet"/>
        <w:spacing w:line="240" w:lineRule="auto"/>
        <w:ind w:left="720"/>
      </w:pPr>
      <w:r/>
      <w:r>
        <w:t>Sadraque, que poderia significar "Comando de Aku" (Aku era o deus da lua sumério);</w:t>
      </w:r>
    </w:p>
    <w:p>
      <w:pPr>
        <w:pStyle w:val="ListBullet"/>
        <w:spacing w:line="240" w:lineRule="auto"/>
        <w:ind w:left="720"/>
      </w:pPr>
      <w:r/>
      <w:r>
        <w:t>Mesaque, que pode significar "Quem é como Aku";</w:t>
      </w:r>
    </w:p>
    <w:p>
      <w:pPr>
        <w:pStyle w:val="ListBullet"/>
        <w:spacing w:line="240" w:lineRule="auto"/>
        <w:ind w:left="720"/>
      </w:pPr>
      <w:r/>
      <w:r>
        <w:t>Abede-nego, que pode significar "Servo de Nabu" (Nabu era o deus babilônico da sabedoria).</w:t>
      </w:r>
    </w:p>
    <w:p>
      <w:r/>
      <w:r>
        <w:t>O nome do amigo deles, Daniel, também foi mudado de "Meu juiz é Deus" para Beltessazar. Beltessazar significa "Bel protege" (Bel era o principal deus babilônico).</w:t>
      </w:r>
    </w:p>
    <w:p>
      <w:r/>
      <w:r>
        <w:t>Nabucodonosor escolheu esses jovens para aprender a língua e o conhecimento babilônico. Eles estudaram por três anos, aprendendo:</w:t>
      </w:r>
    </w:p>
    <w:p>
      <w:pPr>
        <w:pStyle w:val="ListBullet"/>
        <w:spacing w:line="240" w:lineRule="auto"/>
        <w:ind w:left="720"/>
      </w:pPr>
      <w:r/>
      <w:r>
        <w:t>Línguas aramaica, acádia e suméria;</w:t>
      </w:r>
    </w:p>
    <w:p>
      <w:pPr>
        <w:pStyle w:val="ListBullet"/>
        <w:spacing w:line="240" w:lineRule="auto"/>
        <w:ind w:left="720"/>
      </w:pPr>
      <w:r/>
      <w:r>
        <w:t>Escrita cuneiforme (escrita utilizando marcas em forma de cunha);</w:t>
      </w:r>
    </w:p>
    <w:p>
      <w:pPr>
        <w:pStyle w:val="ListBullet"/>
        <w:spacing w:line="240" w:lineRule="auto"/>
        <w:ind w:left="720"/>
      </w:pPr>
      <w:r/>
      <w:r>
        <w:t>Possivelmente, astronomia, matemática, história e agricultura.</w:t>
      </w:r>
    </w:p>
    <w:p>
      <w:r/>
      <w:r>
        <w:t xml:space="preserve">O rei forneceu comida para os estudantes. Mas Sadraque, Mesaque, Abede-Nego e Daniel se recusaram a comê-la. Eles achavam que a comida havia sido oferecida a falsos deuses, então não era apropriado para os judeus comerem (cp. </w:t>
      </w:r>
      <w:hyperlink r:id="rId6943">
        <w:r>
          <w:rPr>
            <w:color w:val="0000EE"/>
            <w:u w:val="single"/>
          </w:rPr>
          <w:t>Êx 34.15</w:t>
        </w:r>
      </w:hyperlink>
      <w:r>
        <w:t xml:space="preserve">; </w:t>
      </w:r>
      <w:hyperlink r:id="rId18827">
        <w:r>
          <w:rPr>
            <w:color w:val="0000EE"/>
            <w:u w:val="single"/>
          </w:rPr>
          <w:t>Lv 17.10</w:t>
        </w:r>
      </w:hyperlink>
      <w:r>
        <w:t>–</w:t>
      </w:r>
      <w:hyperlink r:id="rId18827">
        <w:r>
          <w:rPr>
            <w:color w:val="0000EE"/>
            <w:u w:val="single"/>
          </w:rPr>
          <w:t>14</w:t>
        </w:r>
      </w:hyperlink>
      <w:r>
        <w:t>). O chefe dos eunucos estava preocupado que o rei ficasse chateado se os rapazes parecessem mal alimentados, então ele falou com Daniel. Eles pediram para comer apenas vegetais por dez dias. Após dez dias, eles pareciam mais saudáveis do que os outros estudantes, então foi permitido que continuassem com sua dieta de vegetais.</w:t>
      </w:r>
    </w:p>
    <w:p>
      <w:r/>
      <w:r>
        <w:t>Ao concluírem seus estudos, esses quatro jovens eram mais inteligentes e capazes do que todos os outros estudantes. A Bíblia afirma que Deus lhes concedeu esse conhecimento e habilidade.</w:t>
      </w:r>
    </w:p>
    <w:p>
      <w:r/>
      <w:r>
        <w:t>Mais tarde, eles se tornaram parte dos "sábios da Babilônia" (</w:t>
      </w:r>
      <w:hyperlink r:id="rId18828">
        <w:r>
          <w:rPr>
            <w:color w:val="0000EE"/>
            <w:u w:val="single"/>
          </w:rPr>
          <w:t>Dn 2.12</w:t>
        </w:r>
      </w:hyperlink>
      <w:r>
        <w:t>–</w:t>
      </w:r>
      <w:hyperlink r:id="rId18828">
        <w:r>
          <w:rPr>
            <w:color w:val="0000EE"/>
            <w:u w:val="single"/>
          </w:rPr>
          <w:t>49</w:t>
        </w:r>
      </w:hyperlink>
      <w:r>
        <w:t>). Quando outros sábios não puderam explicar o sonho do rei, Nabucodonosor quis matar todos os sábios. Daniel pediu tempo ao rei, e Deus revelou a Daniel o sonho e seu significado em uma visão. Isso salvou suas vidas.</w:t>
      </w:r>
    </w:p>
    <w:p>
      <w:r/>
      <w:r>
        <w:t>Mais uma vez, Nabucodonosor fez uma enorme estátua de ouro e ordenou que todos se curvassem diante dela (</w:t>
      </w:r>
      <w:hyperlink r:id="rId6539">
        <w:r>
          <w:rPr>
            <w:color w:val="0000EE"/>
            <w:u w:val="single"/>
          </w:rPr>
          <w:t>Dn 3</w:t>
        </w:r>
      </w:hyperlink>
      <w:r>
        <w:t>). Sadraque, Mesaque e Abednego recusaram. Eles disseram que confiavam em Deus, mesmo que isso significasse serem lançados em uma fornalha ardente. O rei fez a fornalha ficar extremamente quente e os lançou lá dentro. Mas Deus os protegeu. Ele enviou um anjo para mantê-los seguros no fogo.</w:t>
      </w:r>
    </w:p>
    <w:p>
      <w:r/>
      <w:r>
        <w:t>Quando Nabucodonosor viu esse milagre, ele teve que admitir que o Deus de Sadraque, Mesaque e Abede-Nego era mais poderoso que seu próprio reino e poder.</w:t>
      </w:r>
    </w:p>
    <w:p>
      <w:r/>
      <w:r>
        <w:rPr>
          <w:i/>
        </w:rPr>
        <w:t>Veja também</w:t>
      </w:r>
      <w:r>
        <w:t xml:space="preserve"> </w:t>
      </w:r>
      <w:r>
        <w:t>DANIEL, Livro de</w:t>
      </w:r>
      <w:r>
        <w:t xml:space="preserve">; </w:t>
      </w:r>
      <w:r>
        <w:t>Daniel, Adições a (Oração de Azarias e o Cântico dos Três Jovens)</w:t>
      </w:r>
      <w:r>
        <w:t>.</w:t>
      </w:r>
      <w:r/>
      <w:r/>
    </w:p>
    <w:p>
      <w:r/>
    </w:p>
    <w:p>
      <w:pPr>
        <w:pStyle w:val="Heading2"/>
      </w:pPr>
      <w:r>
        <w:t>Saduceus</w:t>
      </w:r>
      <w:r/>
    </w:p>
    <w:p>
      <w:r/>
      <w:r>
        <w:t>Os saduceus eram um grupo religioso judeu mencionado 14 vezes no Novo Testamento. Eles não são mencionados no Antigo Testamento.</w:t>
      </w:r>
    </w:p>
    <w:p>
      <w:pPr>
        <w:pStyle w:val="Heading3"/>
      </w:pPr>
      <w:r>
        <w:t>A história dos saduceus</w:t>
      </w:r>
    </w:p>
    <w:p>
      <w:r/>
      <w:r>
        <w:t>Estudiosos sugeriram várias explicações diferentes para como os saduceus receberam seu nome:</w:t>
      </w:r>
    </w:p>
    <w:p>
      <w:pPr>
        <w:pStyle w:val="ListNumber"/>
        <w:spacing w:line="240" w:lineRule="auto"/>
        <w:ind w:left="720"/>
      </w:pPr>
      <w:r/>
      <w:r>
        <w:t>Alguns o associam à palavra hebraica para "justo" (</w:t>
      </w:r>
      <w:r>
        <w:rPr>
          <w:i/>
        </w:rPr>
        <w:t>saddik</w:t>
      </w:r>
      <w:r>
        <w:t xml:space="preserve">). Isso é improvável porque a palavra teria mudado de </w:t>
      </w:r>
      <w:r>
        <w:rPr>
          <w:i/>
        </w:rPr>
        <w:t>i</w:t>
      </w:r>
      <w:r>
        <w:t xml:space="preserve"> para </w:t>
      </w:r>
      <w:r>
        <w:rPr>
          <w:i/>
        </w:rPr>
        <w:t>u</w:t>
      </w:r>
      <w:r>
        <w:t>. Também não há evidências de que eles se autodenominavam "justos".</w:t>
      </w:r>
    </w:p>
    <w:p>
      <w:pPr>
        <w:pStyle w:val="ListNumber"/>
        <w:spacing w:line="240" w:lineRule="auto"/>
        <w:ind w:left="720"/>
      </w:pPr>
      <w:r/>
      <w:r>
        <w:t xml:space="preserve">O nome está associado a Zadoque (às vezes escrito </w:t>
      </w:r>
      <w:r>
        <w:rPr>
          <w:i/>
        </w:rPr>
        <w:t>Saddouk</w:t>
      </w:r>
      <w:r>
        <w:t xml:space="preserve"> em grego), um sacerdote durante o tempo de Davi (</w:t>
      </w:r>
      <w:hyperlink r:id="rId70">
        <w:r>
          <w:rPr>
            <w:color w:val="0000EE"/>
            <w:u w:val="single"/>
          </w:rPr>
          <w:t>2Sm 8.17</w:t>
        </w:r>
      </w:hyperlink>
      <w:r>
        <w:t xml:space="preserve">; </w:t>
      </w:r>
      <w:hyperlink r:id="rId18829">
        <w:r>
          <w:rPr>
            <w:color w:val="0000EE"/>
            <w:u w:val="single"/>
          </w:rPr>
          <w:t>15.24–29</w:t>
        </w:r>
      </w:hyperlink>
      <w:r>
        <w:t>). Zadoque ungiu Salomão (</w:t>
      </w:r>
      <w:hyperlink r:id="rId18830">
        <w:r>
          <w:rPr>
            <w:color w:val="0000EE"/>
            <w:u w:val="single"/>
          </w:rPr>
          <w:t>1Rs 1.32–39</w:t>
        </w:r>
      </w:hyperlink>
      <w:r>
        <w:t>). Ele se tornou sumo sacerdote durante o reinado de Salomão (</w:t>
      </w:r>
      <w:hyperlink r:id="rId18807">
        <w:r>
          <w:rPr>
            <w:color w:val="0000EE"/>
            <w:u w:val="single"/>
          </w:rPr>
          <w:t>2.35</w:t>
        </w:r>
      </w:hyperlink>
      <w:r>
        <w:t>). Diz-se que ele era descendente de Eleazar, filho de Arão (</w:t>
      </w:r>
      <w:hyperlink r:id="rId6219">
        <w:r>
          <w:rPr>
            <w:color w:val="0000EE"/>
            <w:u w:val="single"/>
          </w:rPr>
          <w:t>1Cr 6.3–8</w:t>
        </w:r>
      </w:hyperlink>
      <w:r>
        <w:t>). Os sacerdotes zadoquitas (sacerdotes da linhagem de Zadoque) gerenciavam as funções do templo até que os babilônios os exilaram para Babilônia. O profeta Ezequiel descreve uma visão de um templo restaurado e um sistema de adoração (</w:t>
      </w:r>
      <w:hyperlink r:id="rId2164">
        <w:r>
          <w:rPr>
            <w:color w:val="0000EE"/>
            <w:u w:val="single"/>
          </w:rPr>
          <w:t>Ez 40–48</w:t>
        </w:r>
      </w:hyperlink>
      <w:r>
        <w:t>). Os sacerdotes zadoquitas foram novamente escolhidos como "sacerdotes levíticos" neste templo restaurado (</w:t>
      </w:r>
      <w:hyperlink r:id="rId18831">
        <w:r>
          <w:rPr>
            <w:color w:val="0000EE"/>
            <w:u w:val="single"/>
          </w:rPr>
          <w:t>44.15–16</w:t>
        </w:r>
      </w:hyperlink>
      <w:r>
        <w:t xml:space="preserve">; </w:t>
      </w:r>
      <w:hyperlink r:id="rId18832">
        <w:r>
          <w:rPr>
            <w:color w:val="0000EE"/>
            <w:u w:val="single"/>
          </w:rPr>
          <w:t>48.11–12</w:t>
        </w:r>
      </w:hyperlink>
      <w:r>
        <w:t xml:space="preserve">). </w:t>
        <w:br/>
        <w:br/>
      </w:r>
      <w:r>
        <w:t>Após o exílio para Babilônia, Josué (Jeshua), filho de Jozadaque, serviu como sumo sacerdote (</w:t>
      </w:r>
      <w:hyperlink r:id="rId495">
        <w:r>
          <w:rPr>
            <w:color w:val="0000EE"/>
            <w:u w:val="single"/>
          </w:rPr>
          <w:t>Ag 1.1</w:t>
        </w:r>
      </w:hyperlink>
      <w:r>
        <w:t>). Josué era da linhagem de Zadoque através de Jozadaque (</w:t>
      </w:r>
      <w:hyperlink r:id="rId18833">
        <w:r>
          <w:rPr>
            <w:color w:val="0000EE"/>
            <w:u w:val="single"/>
          </w:rPr>
          <w:t>1Cr 6.8–15</w:t>
        </w:r>
      </w:hyperlink>
      <w:r>
        <w:t xml:space="preserve">). A importância do sacerdócio zadoquita é enfatizada nos escritos do início do segundo século a.C. No entanto, não sabemos se os saduceus apoiavam o sacerdócio zadoquita. Além disso, o duplo </w:t>
      </w:r>
      <w:r>
        <w:rPr>
          <w:i/>
        </w:rPr>
        <w:t>d</w:t>
      </w:r>
      <w:r>
        <w:t xml:space="preserve"> na palavra não é facilmente explicado por esta teoria das origens dos saduceus.</w:t>
      </w:r>
    </w:p>
    <w:p>
      <w:pPr>
        <w:pStyle w:val="ListNumber"/>
        <w:spacing w:line="240" w:lineRule="auto"/>
        <w:ind w:left="720"/>
      </w:pPr>
      <w:r/>
      <w:r>
        <w:t>Uma tradição rabínica posterior sugere que os saduceus receberam seu nome de outro Zadoque que viveu no segundo século a.C. Essa visão tem pouco apoio.</w:t>
      </w:r>
    </w:p>
    <w:p>
      <w:pPr>
        <w:pStyle w:val="ListNumber"/>
        <w:spacing w:line="240" w:lineRule="auto"/>
        <w:ind w:left="720"/>
      </w:pPr>
      <w:r/>
      <w:r>
        <w:t xml:space="preserve">O estudioso britânico do Novo Testamento T. W. Manson sugeriu que o nome deles está relacionado com a palavra grega </w:t>
      </w:r>
      <w:r>
        <w:rPr>
          <w:i/>
        </w:rPr>
        <w:t>sundikoi</w:t>
      </w:r>
      <w:r>
        <w:t>, que significa "membros do conselho". Este termo designa os saduceus como conselheiros sob os governantes hasmoneus.</w:t>
      </w:r>
    </w:p>
    <w:p>
      <w:r/>
      <w:r>
        <w:t xml:space="preserve">A primeira menção histórica dos saduceus ocorre durante o tempo de Jônatas Macabeu, que liderou a luta judaica contra os selêucidas de 160 a 143 a.C. Josefo, em sua obra </w:t>
      </w:r>
      <w:r>
        <w:rPr>
          <w:i/>
        </w:rPr>
        <w:t>Antiguidades</w:t>
      </w:r>
      <w:r>
        <w:t xml:space="preserve"> (13.5.9), observou que eles eram um grupo nessa época. Quando João Hircano liderou o estado judaico de 135 a 104 a.C., houve conflito entre os fariseus e os saduceus (</w:t>
      </w:r>
      <w:r>
        <w:rPr>
          <w:i/>
        </w:rPr>
        <w:t>Antiguidades</w:t>
      </w:r>
      <w:r>
        <w:t xml:space="preserve"> 13.10.6). É possível que os saduceus apoiassem o sacerdócio zadoquita ou alegassem que o sacerdócio de Jerusalém de seu tempo era de origem zadoquita, mas isso não é claro.</w:t>
      </w:r>
    </w:p>
    <w:p>
      <w:r/>
      <w:r>
        <w:t>Josefo afirma que os saduceus tinham o apoio dos ricos, enquanto os fariseus eram populares entre o povo comum. Durante o reinado de Salomé Alexandra, de 76 a 67 a.C., os fariseus ganharam poder. No entanto, quando a Judeia se tornou uma província romana e os governadores romanos começaram a mudar os sumos sacerdotes, estes passaram a vir de famílias nobres saduceias. Essas famílias, capazes de cooperar com os romanos, detinham poder e influência. À medida que as tensões aumentavam entre os judeus e os romanos, a influência dos saduceus diminuiu. Após os romanos capturarem Jerusalém em 70 d.C., os saduceus desapareceram da história.</w:t>
      </w:r>
    </w:p>
    <w:p>
      <w:pPr>
        <w:pStyle w:val="Heading3"/>
      </w:pPr>
      <w:r>
        <w:t>Os saduceus no Novo Testamento</w:t>
      </w:r>
    </w:p>
    <w:p>
      <w:r/>
      <w:r>
        <w:t>No relato do Evangelho, eles apareceram primeiro com os fariseus no batismo de João. Ele os chamou de "raça de víboras" e os instou a mostrar arrependimento em suas ações (</w:t>
      </w:r>
      <w:hyperlink r:id="rId11913">
        <w:r>
          <w:rPr>
            <w:color w:val="0000EE"/>
            <w:u w:val="single"/>
          </w:rPr>
          <w:t>Mt 3.7–10</w:t>
        </w:r>
      </w:hyperlink>
      <w:r>
        <w:t>). Mais tarde, os saduceus se juntaram a alguns fariseus para testar Jesus pedindo um sinal do céu (</w:t>
      </w:r>
      <w:hyperlink r:id="rId18834">
        <w:r>
          <w:rPr>
            <w:color w:val="0000EE"/>
            <w:u w:val="single"/>
          </w:rPr>
          <w:t>Mt 16.1</w:t>
        </w:r>
      </w:hyperlink>
      <w:r>
        <w:t>). Jesus advertiu seus discípulos a serem cautelosos com os saduceus (</w:t>
      </w:r>
      <w:hyperlink r:id="rId18835">
        <w:r>
          <w:rPr>
            <w:color w:val="0000EE"/>
            <w:u w:val="single"/>
          </w:rPr>
          <w:t>Mt 16.6,11–12</w:t>
        </w:r>
      </w:hyperlink>
      <w:r>
        <w:t>).</w:t>
      </w:r>
    </w:p>
    <w:p>
      <w:r/>
      <w:r>
        <w:t xml:space="preserve">Uma diferença significativa aparece entre os fariseus e saduceus em </w:t>
      </w:r>
      <w:hyperlink r:id="rId10517">
        <w:r>
          <w:rPr>
            <w:color w:val="0000EE"/>
            <w:u w:val="single"/>
          </w:rPr>
          <w:t>Mateus 22.23–33</w:t>
        </w:r>
      </w:hyperlink>
      <w:r>
        <w:t xml:space="preserve"> (veja também </w:t>
      </w:r>
      <w:hyperlink r:id="rId10518">
        <w:r>
          <w:rPr>
            <w:color w:val="0000EE"/>
            <w:u w:val="single"/>
          </w:rPr>
          <w:t>Mc 12.18–27</w:t>
        </w:r>
      </w:hyperlink>
      <w:r>
        <w:t xml:space="preserve">; </w:t>
      </w:r>
      <w:hyperlink r:id="rId4790">
        <w:r>
          <w:rPr>
            <w:color w:val="0000EE"/>
            <w:u w:val="single"/>
          </w:rPr>
          <w:t>Lc 20.27–38</w:t>
        </w:r>
      </w:hyperlink>
      <w:r>
        <w:t>). Os saduceus, como outros, queriam embaraçar Jesus com suas perguntas. Eles fizeram uma pergunta destinada a prender ou confundir Jesus para expressar suas dúvidas sobre a ressurreição dos mortos (pessoas sendo trazidas de volta à vida após morrerem).</w:t>
      </w:r>
    </w:p>
    <w:p>
      <w:r/>
      <w:r>
        <w:t>Os saduceus são descritos como aqueles que afirmam que não há ressurreição após a morte. Eles mencionaram uma mulher que teve sete irmãos como maridos, um após o outro. Eles perguntaram, “de qual dos sete ela será esposa?”. Eles insinuaram que tal problema tornava a ressurreição impossível. Jesus respondeu apontando o erro em sua visão, causado pela ignorância das Escrituras e do poder de Deus.</w:t>
      </w:r>
    </w:p>
    <w:p>
      <w:r/>
      <w:r>
        <w:t>Nos primeiros dias da igreja em Jerusalém, os sacerdotes, o capitão da guarda do templo e os saduceus ficaram perturbados porque os discípulos estavam falando sobre a ressurreição dos mortos (</w:t>
      </w:r>
      <w:hyperlink r:id="rId18836">
        <w:r>
          <w:rPr>
            <w:color w:val="0000EE"/>
            <w:u w:val="single"/>
          </w:rPr>
          <w:t>At 4.1–2</w:t>
        </w:r>
      </w:hyperlink>
      <w:r>
        <w:t>). Os saduceus pareciam liderar a oposição contra os apóstolos e seus ensinamentos.</w:t>
      </w:r>
    </w:p>
    <w:p>
      <w:r/>
      <w:r>
        <w:t>Mais tarde, o sumo sacerdote e os saduceus decidiram prender os apóstolos e colocá-los na prisão (</w:t>
      </w:r>
      <w:hyperlink r:id="rId8483">
        <w:r>
          <w:rPr>
            <w:color w:val="0000EE"/>
            <w:u w:val="single"/>
          </w:rPr>
          <w:t>At 5.17</w:t>
        </w:r>
      </w:hyperlink>
      <w:r>
        <w:t xml:space="preserve">). A única outra menção deles no Novo Testamento está em </w:t>
      </w:r>
      <w:hyperlink r:id="rId18837">
        <w:r>
          <w:rPr>
            <w:color w:val="0000EE"/>
            <w:u w:val="single"/>
          </w:rPr>
          <w:t>Atos 23.6–8</w:t>
        </w:r>
      </w:hyperlink>
      <w:r>
        <w:t>, durante o julgamento de Paulo perante o Sinédrio (o conselho judaico). Nessa ocasião, Paulo falou intencionalmente sobre sua crença na ressurreição para criar uma divisão entre os fariseus e os saduceus, que não acreditavam na ressurreição.</w:t>
      </w:r>
    </w:p>
    <w:p>
      <w:r/>
      <w:r>
        <w:t>Essas passagens do Novo Testamento revelam as principais crenças dos saduceus, sua importância entre as famílias de sumos sacerdotes e suas diferenças em relação aos fariseus.</w:t>
      </w:r>
    </w:p>
    <w:p>
      <w:pPr>
        <w:pStyle w:val="Heading3"/>
      </w:pPr>
      <w:r>
        <w:t>Os saduceus em outros escritos</w:t>
      </w:r>
    </w:p>
    <w:p>
      <w:r/>
      <w:r>
        <w:t>Josefo, um historiador judeu do final do primeiro século d.C., fornece percepções adicionais sobre os saduceus além do que está no Novo Testamento. Ele observou que, ao contrário dos fariseus e essênios, os saduceus não acreditavam no controle de Deus sobre os eventos. Eles acreditavam que nossas ações, sejam boas ou más, determinam o que nos acontece (</w:t>
      </w:r>
      <w:r>
        <w:rPr>
          <w:i/>
        </w:rPr>
        <w:t>Antiguidades</w:t>
      </w:r>
      <w:r>
        <w:t xml:space="preserve"> 13.5.9; </w:t>
      </w:r>
      <w:r>
        <w:rPr>
          <w:i/>
        </w:rPr>
        <w:t>Guerra</w:t>
      </w:r>
      <w:r>
        <w:t xml:space="preserve"> 2.8.14). Josefo também mencionou que os saduceus rejeitavam a ideia de que a alma vive para sempre e o conceito de recompensas e punições na vida após a morte (</w:t>
      </w:r>
      <w:r>
        <w:rPr>
          <w:i/>
        </w:rPr>
        <w:t>Guerra</w:t>
      </w:r>
      <w:r>
        <w:t xml:space="preserve"> 2.8.14). Eles acreditavam que "as almas morrem com os corpos" (</w:t>
      </w:r>
      <w:r>
        <w:rPr>
          <w:i/>
        </w:rPr>
        <w:t>Antiguidades</w:t>
      </w:r>
      <w:r>
        <w:t xml:space="preserve"> 18.1.4).</w:t>
      </w:r>
    </w:p>
    <w:p>
      <w:r/>
      <w:r>
        <w:t>Escritores cristãos primitivos como Hipólito, Orígenes e Jerônimo afirmaram que os saduceus aceitavam apenas o Pentateuco e não outros livros do Antigo Testamento. No entanto, parece que eles não eram totalmente contra outros livros do Antigo Testamento. Provavelmente, eles se opunham às regras legais adicionais introduzidas pelos fariseus, insistindo que apenas a lei do Antigo Testamento era obrigatória. Em suas opiniões sobre anjos e vida após a morte, viam os fariseus como pessoas que introduziam novas ideias e a si mesmos como aqueles que preferiam os modos antigos.</w:t>
      </w:r>
    </w:p>
    <w:p>
      <w:r/>
      <w:r>
        <w:t>A Mishná, uma coleção de ensinamentos rabínicos escrita no segundo século d.C., é outra fonte principal de conhecimento sobre os saduceus. Os saduceus se opunham a muitas regras detalhadas que os fariseus queriam impor ao povo (</w:t>
      </w:r>
      <w:r>
        <w:rPr>
          <w:i/>
        </w:rPr>
        <w:t>Parah</w:t>
      </w:r>
      <w:r>
        <w:t xml:space="preserve"> 3.3,7). A Mishná também mostra que os Saduceus eram mais propensos a se comprometer com costumes não judaicos do que outros grupos judaicos (</w:t>
      </w:r>
      <w:r>
        <w:rPr>
          <w:i/>
        </w:rPr>
        <w:t>Niddah</w:t>
      </w:r>
      <w:r>
        <w:t xml:space="preserve"> 4.2).</w:t>
      </w:r>
    </w:p>
    <w:p>
      <w:r/>
      <w:r>
        <w:rPr>
          <w:i/>
        </w:rPr>
        <w:t>Veja</w:t>
      </w:r>
      <w:r>
        <w:t xml:space="preserve"> </w:t>
      </w:r>
      <w:r>
        <w:t>Essênios</w:t>
      </w:r>
      <w:r>
        <w:t xml:space="preserve">; </w:t>
      </w:r>
      <w:r>
        <w:t>Judaísmo</w:t>
      </w:r>
      <w:r>
        <w:t xml:space="preserve">; </w:t>
      </w:r>
      <w:r>
        <w:t>Fariseus</w:t>
      </w:r>
      <w:r>
        <w:t>.</w:t>
      </w:r>
      <w:r/>
      <w:r/>
    </w:p>
    <w:p>
      <w:r/>
    </w:p>
    <w:p>
      <w:pPr>
        <w:pStyle w:val="Heading2"/>
      </w:pPr>
      <w:r>
        <w:t>Safate</w:t>
      </w:r>
      <w:r/>
    </w:p>
    <w:p>
      <w:pPr>
        <w:pStyle w:val="ListNumber"/>
        <w:spacing w:line="240" w:lineRule="auto"/>
        <w:ind w:left="720"/>
      </w:pPr>
      <w:r/>
      <w:r>
        <w:t>Um simeonita e filho de Hori. Um dos 12 espiões enviados por Moisés para explorar a terra de Canaã (</w:t>
      </w:r>
      <w:hyperlink r:id="rId10744">
        <w:r>
          <w:rPr>
            <w:color w:val="0000EE"/>
            <w:u w:val="single"/>
          </w:rPr>
          <w:t>Nm 13.5</w:t>
        </w:r>
      </w:hyperlink>
      <w:r>
        <w:t>);</w:t>
      </w:r>
    </w:p>
    <w:p>
      <w:pPr>
        <w:pStyle w:val="ListNumber"/>
        <w:spacing w:line="240" w:lineRule="auto"/>
        <w:ind w:left="720"/>
      </w:pPr>
      <w:r/>
      <w:r>
        <w:t>O pai do profeta Eliseu da cidade de Abel-Meolá (</w:t>
      </w:r>
      <w:hyperlink r:id="rId18838">
        <w:r>
          <w:rPr>
            <w:color w:val="0000EE"/>
            <w:u w:val="single"/>
          </w:rPr>
          <w:t>1Rs 19.16,19</w:t>
        </w:r>
      </w:hyperlink>
      <w:r>
        <w:t xml:space="preserve">; </w:t>
      </w:r>
      <w:hyperlink r:id="rId18839">
        <w:r>
          <w:rPr>
            <w:color w:val="0000EE"/>
            <w:u w:val="single"/>
          </w:rPr>
          <w:t>2Rs 3.11</w:t>
        </w:r>
      </w:hyperlink>
      <w:r>
        <w:t xml:space="preserve">; </w:t>
      </w:r>
      <w:hyperlink r:id="rId18840">
        <w:r>
          <w:rPr>
            <w:color w:val="0000EE"/>
            <w:u w:val="single"/>
          </w:rPr>
          <w:t>6.31</w:t>
        </w:r>
      </w:hyperlink>
      <w:r>
        <w:t>);</w:t>
      </w:r>
    </w:p>
    <w:p>
      <w:pPr>
        <w:pStyle w:val="ListNumber"/>
        <w:spacing w:line="240" w:lineRule="auto"/>
        <w:ind w:left="720"/>
      </w:pPr>
      <w:r/>
      <w:r>
        <w:t>O mais jovem dos seis filhos de Semaías da tribo de Judá e um descendente do Rei Davi (</w:t>
      </w:r>
      <w:hyperlink r:id="rId10870">
        <w:r>
          <w:rPr>
            <w:color w:val="0000EE"/>
            <w:u w:val="single"/>
          </w:rPr>
          <w:t>1Cr 3.22</w:t>
        </w:r>
      </w:hyperlink>
      <w:r>
        <w:t>);</w:t>
      </w:r>
    </w:p>
    <w:p>
      <w:pPr>
        <w:pStyle w:val="ListNumber"/>
        <w:spacing w:line="240" w:lineRule="auto"/>
        <w:ind w:left="720"/>
      </w:pPr>
      <w:r/>
      <w:r>
        <w:t>Um chefe gadita em Basã, uma região a oeste do rio Jordão (</w:t>
      </w:r>
      <w:hyperlink r:id="rId11992">
        <w:r>
          <w:rPr>
            <w:color w:val="0000EE"/>
            <w:u w:val="single"/>
          </w:rPr>
          <w:t>1Cr 5.12</w:t>
        </w:r>
      </w:hyperlink>
      <w:r>
        <w:t>);</w:t>
      </w:r>
    </w:p>
    <w:p>
      <w:pPr>
        <w:pStyle w:val="ListNumber"/>
        <w:spacing w:line="240" w:lineRule="auto"/>
        <w:ind w:left="720"/>
      </w:pPr>
      <w:r/>
      <w:r>
        <w:t>Um filho de Adlai e membro da equipe do Rei Davi. Safate era responsável pelo gado de Davi nos vales (</w:t>
      </w:r>
      <w:hyperlink r:id="rId18841">
        <w:r>
          <w:rPr>
            <w:color w:val="0000EE"/>
            <w:u w:val="single"/>
          </w:rPr>
          <w:t>1Cr 27.29</w:t>
        </w:r>
      </w:hyperlink>
      <w:r>
        <w:t>).</w:t>
      </w:r>
      <w:r/>
      <w:r/>
    </w:p>
    <w:p>
      <w:r/>
    </w:p>
    <w:p>
      <w:pPr>
        <w:pStyle w:val="Heading2"/>
      </w:pPr>
      <w:r>
        <w:t>Safira</w:t>
      </w:r>
      <w:r/>
    </w:p>
    <w:p>
      <w:r/>
      <w:r>
        <w:t>Uma membra da igreja de Jerusalém e esposa de Ananias (</w:t>
      </w:r>
      <w:hyperlink r:id="rId18842">
        <w:r>
          <w:rPr>
            <w:color w:val="0000EE"/>
            <w:u w:val="single"/>
          </w:rPr>
          <w:t>At 5.1</w:t>
        </w:r>
      </w:hyperlink>
      <w:r>
        <w:t>).</w:t>
      </w:r>
    </w:p>
    <w:p>
      <w:r/>
      <w:r>
        <w:rPr>
          <w:i/>
        </w:rPr>
        <w:t>Veja</w:t>
      </w:r>
      <w:r>
        <w:t xml:space="preserve"> </w:t>
      </w:r>
      <w:r>
        <w:t>Ananias #1</w:t>
      </w:r>
      <w:r>
        <w:t>.</w:t>
      </w:r>
      <w:r/>
      <w:r/>
    </w:p>
    <w:p>
      <w:r/>
    </w:p>
    <w:p>
      <w:pPr>
        <w:pStyle w:val="Heading2"/>
      </w:pPr>
      <w:r>
        <w:t>Salá</w:t>
      </w:r>
      <w:r/>
    </w:p>
    <w:p>
      <w:r/>
      <w:r>
        <w:t xml:space="preserve">Em algumas Bíblias é traduzido como Selá, pai de Éber, em </w:t>
      </w:r>
      <w:hyperlink r:id="rId2790">
        <w:r>
          <w:rPr>
            <w:color w:val="0000EE"/>
            <w:u w:val="single"/>
          </w:rPr>
          <w:t>Gênesis 10.24</w:t>
        </w:r>
      </w:hyperlink>
      <w:r>
        <w:t xml:space="preserve"> e </w:t>
      </w:r>
      <w:hyperlink r:id="rId18843">
        <w:r>
          <w:rPr>
            <w:color w:val="0000EE"/>
            <w:u w:val="single"/>
          </w:rPr>
          <w:t>11.12–15</w:t>
        </w:r>
      </w:hyperlink>
      <w:r>
        <w:t xml:space="preserve">. </w:t>
      </w:r>
      <w:r>
        <w:rPr>
          <w:i/>
        </w:rPr>
        <w:t>Veja</w:t>
      </w:r>
      <w:r>
        <w:t xml:space="preserve"> </w:t>
      </w:r>
      <w:r>
        <w:t>Selá #1</w:t>
      </w:r>
      <w:r>
        <w:t>.</w:t>
      </w:r>
      <w:r/>
      <w:r/>
    </w:p>
    <w:p>
      <w:r/>
    </w:p>
    <w:p>
      <w:pPr>
        <w:pStyle w:val="Heading2"/>
      </w:pPr>
      <w:r>
        <w:t>Sala superior</w:t>
      </w:r>
      <w:r/>
    </w:p>
    <w:p>
      <w:r/>
      <w:r>
        <w:t>O quarto no segundo andar de uma casa hebraica ou grega era frequentemente como uma torre construída no telhado plano de uma casa hebraica. A localização proporcionava privacidade, conforto durante a estação quente ou servia para o entretenimento de convidados.</w:t>
      </w:r>
    </w:p>
    <w:p>
      <w:r/>
      <w:r>
        <w:t>Alguns quartos superiores podiam acomodar grandes reuniões de pessoas. Em pelo menos um exemplo, o quarto estava no terceiro andar (</w:t>
      </w:r>
      <w:hyperlink r:id="rId18844">
        <w:r>
          <w:rPr>
            <w:color w:val="0000EE"/>
            <w:u w:val="single"/>
          </w:rPr>
          <w:t>At 20.8</w:t>
        </w:r>
      </w:hyperlink>
      <w:r>
        <w:t>). Êutico, sentado na janela, adormeceu e caiu três andares até a rua abaixo (vv.</w:t>
      </w:r>
      <w:hyperlink r:id="rId6430">
        <w:r>
          <w:rPr>
            <w:color w:val="0000EE"/>
            <w:u w:val="single"/>
          </w:rPr>
          <w:t>9–10</w:t>
        </w:r>
      </w:hyperlink>
      <w:r>
        <w:t>). Pode ter sido um tipo de acidente semelhante que causou a lesão fatal de Acazias quando ele caiu através da treliça de seu quarto superior (</w:t>
      </w:r>
      <w:hyperlink r:id="rId1671">
        <w:r>
          <w:rPr>
            <w:color w:val="0000EE"/>
            <w:u w:val="single"/>
          </w:rPr>
          <w:t>2Rs 1.2</w:t>
        </w:r>
      </w:hyperlink>
      <w:r>
        <w:t>).</w:t>
      </w:r>
    </w:p>
    <w:p>
      <w:r/>
      <w:r>
        <w:t>Elias levou o filho morto da viúva de Sarepta para um quarto superior onde ele estava hospedado e o ressuscitou (</w:t>
      </w:r>
      <w:hyperlink r:id="rId18845">
        <w:r>
          <w:rPr>
            <w:color w:val="0000EE"/>
            <w:u w:val="single"/>
          </w:rPr>
          <w:t>1Rs 17.19–23</w:t>
        </w:r>
      </w:hyperlink>
      <w:r>
        <w:t>). Davi foi para um quarto superior para ter privacidade ao lamentar a morte de Absalão (</w:t>
      </w:r>
      <w:hyperlink r:id="rId201">
        <w:r>
          <w:rPr>
            <w:color w:val="0000EE"/>
            <w:u w:val="single"/>
          </w:rPr>
          <w:t>2Sm 18.33</w:t>
        </w:r>
      </w:hyperlink>
      <w:r>
        <w:t>). Os reis de Judá construíram altares estranhos perto do quarto superior de Acaz, que Josias derrubou como parte de seu programa de reforma (</w:t>
      </w:r>
      <w:hyperlink r:id="rId18846">
        <w:r>
          <w:rPr>
            <w:color w:val="0000EE"/>
            <w:u w:val="single"/>
          </w:rPr>
          <w:t>2Rs 23.12</w:t>
        </w:r>
      </w:hyperlink>
      <w:r>
        <w:t>).</w:t>
      </w:r>
    </w:p>
    <w:p>
      <w:r/>
      <w:r>
        <w:t>Jesus comeu a ceia da Páscoa em um cenáculo, uma sala superior, com seus discípulos (</w:t>
      </w:r>
      <w:hyperlink r:id="rId18847">
        <w:r>
          <w:rPr>
            <w:color w:val="0000EE"/>
            <w:u w:val="single"/>
          </w:rPr>
          <w:t>Mc 14.15</w:t>
        </w:r>
      </w:hyperlink>
      <w:r>
        <w:t xml:space="preserve">; </w:t>
      </w:r>
      <w:hyperlink r:id="rId18848">
        <w:r>
          <w:rPr>
            <w:color w:val="0000EE"/>
            <w:u w:val="single"/>
          </w:rPr>
          <w:t>Lc 22.12</w:t>
        </w:r>
      </w:hyperlink>
      <w:r>
        <w:t>). Após a ascensão de Jesus, os discípulos foram para o cenáculo onde todos haviam ficado antes. Esta referência novamente mostra o tamanho potencialmente grande de alguns cenáculos. A congregação que participou da reunião em Trôade também não era pequena (</w:t>
      </w:r>
      <w:hyperlink r:id="rId18844">
        <w:r>
          <w:rPr>
            <w:color w:val="0000EE"/>
            <w:u w:val="single"/>
          </w:rPr>
          <w:t>At 20.8</w:t>
        </w:r>
      </w:hyperlink>
      <w:r>
        <w:t>). Dorcas foi colocada em um cenáculo após sua morte. Mais tarde, Pedro foi levado ao mesmo quarto para orar por sua restauração à vida (</w:t>
      </w:r>
      <w:hyperlink r:id="rId7467">
        <w:r>
          <w:rPr>
            <w:color w:val="0000EE"/>
            <w:u w:val="single"/>
          </w:rPr>
          <w:t>At 9.36–41</w:t>
        </w:r>
      </w:hyperlink>
      <w:r>
        <w:t>).</w:t>
      </w:r>
    </w:p>
    <w:p>
      <w:r/>
      <w:r>
        <w:rPr>
          <w:i/>
        </w:rPr>
        <w:t>Veja também</w:t>
      </w:r>
      <w:r>
        <w:t xml:space="preserve"> </w:t>
      </w:r>
      <w:r>
        <w:t>Arquitetura</w:t>
      </w:r>
      <w:r>
        <w:t xml:space="preserve">; </w:t>
      </w:r>
      <w:r>
        <w:t>Casas e habitações</w:t>
      </w:r>
      <w:r>
        <w:t>.</w:t>
      </w:r>
      <w:r/>
      <w:r/>
    </w:p>
    <w:p>
      <w:r/>
    </w:p>
    <w:p>
      <w:pPr>
        <w:pStyle w:val="Heading2"/>
      </w:pPr>
      <w:r>
        <w:t>Salamina</w:t>
      </w:r>
      <w:r/>
    </w:p>
    <w:p>
      <w:r/>
      <w:r>
        <w:t>Porto na costa leste de Chipre onde Barnabé e Saulo desembarcaram no início de sua primeira viagem missionária. Eles proclamaram a palavra de Deus nas sinagogas dos judeus nesta cidade (</w:t>
      </w:r>
      <w:hyperlink r:id="rId11943">
        <w:r>
          <w:rPr>
            <w:color w:val="0000EE"/>
            <w:u w:val="single"/>
          </w:rPr>
          <w:t>At 13.5</w:t>
        </w:r>
      </w:hyperlink>
      <w:r>
        <w:t>). A tradição afirma que a cidade tinha 1.000 anos quando os missionários chegaram, tendo sido fundada por Teucro após seu retorno da guerra de Troia.</w:t>
      </w:r>
    </w:p>
    <w:p>
      <w:r/>
      <w:r>
        <w:t>Por séculos, foi um importante porto marítimo, exportando cobre, madeira, cerâmica e produtos agrícolas para a Europa, África e Ásia. Os ptolomeus incentivaram os judeus a se estabelecerem lá, razão pela qual Barnabé e Saul encontraram sinagogas judaicas ali. O túmulo de Barnabé localiza-se nas proximidades, no Mosteiro de Ali Barnaba (descoberto em 477 d.C.).</w:t>
      </w:r>
    </w:p>
    <w:p>
      <w:r/>
      <w:r>
        <w:t>Após a destruição parcial da cidade por Adriano em 116 d.C. e mais danos causados por terremotos em 332 e 342 d.C., ela foi reconstruída pelo imperador bizantino Constâncio II (336–361 d.C.). Antes de 332 d.C., Salamina tinha a maior comunidade judaica da ilha. Depois, aparentemente, abrigou a maior comunidade cristã, tornando-se a sede metropolitana da ilha.</w:t>
      </w:r>
    </w:p>
    <w:p>
      <w:r/>
      <w:r>
        <w:t>Após a destruição da cidade pelos sarracenos em 647 d.C., o porto assoreou e o local foi abandonado. Durante os séculos de domínio otomano, o porto foi substituído pelo de Famagusta.</w:t>
      </w:r>
      <w:r/>
      <w:r/>
    </w:p>
    <w:p>
      <w:r/>
    </w:p>
    <w:p>
      <w:pPr>
        <w:pStyle w:val="Heading2"/>
      </w:pPr>
      <w:r>
        <w:t>Salários</w:t>
      </w:r>
      <w:r/>
    </w:p>
    <w:p>
      <w:r/>
      <w:r>
        <w:t>Um pagamento recebido por um trabalhador em troca de seu trabalho. Os salários geralmente são em um meio de troca, como dinheiro. No entanto, eles podem ser pagos por quaisquer bens ou serviços.</w:t>
      </w:r>
    </w:p>
    <w:p>
      <w:r/>
      <w:r>
        <w:t>Jacó trabalhou sete anos pela filha mais nova de Labão, Raquel (</w:t>
      </w:r>
      <w:hyperlink r:id="rId18849">
        <w:r>
          <w:rPr>
            <w:color w:val="0000EE"/>
            <w:u w:val="single"/>
          </w:rPr>
          <w:t>Gn 29.18–20</w:t>
        </w:r>
      </w:hyperlink>
      <w:r>
        <w:t>). Ele então teve que trabalhar mais sete anos quando Labão não honrou o acordo deles. Mais tarde, o salário de Jacó foi em ovelhas e cabras (</w:t>
      </w:r>
      <w:hyperlink r:id="rId18850">
        <w:r>
          <w:rPr>
            <w:color w:val="0000EE"/>
            <w:u w:val="single"/>
          </w:rPr>
          <w:t>Gn 30.31–32</w:t>
        </w:r>
      </w:hyperlink>
      <w:r>
        <w:t xml:space="preserve">; </w:t>
      </w:r>
      <w:hyperlink r:id="rId1521">
        <w:r>
          <w:rPr>
            <w:color w:val="0000EE"/>
            <w:u w:val="single"/>
          </w:rPr>
          <w:t>31.8</w:t>
        </w:r>
      </w:hyperlink>
      <w:r>
        <w:t>). Nabucodonosor recebeu o país do Egito como pagamento por seu trabalho em capturar a cidade de Tiro (</w:t>
      </w:r>
      <w:hyperlink r:id="rId18851">
        <w:r>
          <w:rPr>
            <w:color w:val="0000EE"/>
            <w:u w:val="single"/>
          </w:rPr>
          <w:t>Ez 29.18–20</w:t>
        </w:r>
      </w:hyperlink>
      <w:r>
        <w:t>).</w:t>
      </w:r>
    </w:p>
    <w:p>
      <w:r/>
      <w:r>
        <w:t>Os salários eram geralmente acordados entre empregador e empregado (</w:t>
      </w:r>
      <w:hyperlink r:id="rId18852">
        <w:r>
          <w:rPr>
            <w:color w:val="0000EE"/>
            <w:u w:val="single"/>
          </w:rPr>
          <w:t>Gn 29.15–19</w:t>
        </w:r>
      </w:hyperlink>
      <w:r>
        <w:t xml:space="preserve">; </w:t>
      </w:r>
      <w:hyperlink r:id="rId14731">
        <w:r>
          <w:rPr>
            <w:color w:val="0000EE"/>
            <w:u w:val="single"/>
          </w:rPr>
          <w:t>Mt 20.2</w:t>
        </w:r>
      </w:hyperlink>
      <w:r>
        <w:t>). Às vezes, o empregador decidia o pagamento (</w:t>
      </w:r>
      <w:hyperlink r:id="rId18853">
        <w:r>
          <w:rPr>
            <w:color w:val="0000EE"/>
            <w:u w:val="single"/>
          </w:rPr>
          <w:t>Mt 20.4</w:t>
        </w:r>
      </w:hyperlink>
      <w:r>
        <w:t>). Um salário justo por um trabalho honesto é um princípio bíblico (</w:t>
      </w:r>
      <w:hyperlink r:id="rId3554">
        <w:r>
          <w:rPr>
            <w:color w:val="0000EE"/>
            <w:u w:val="single"/>
          </w:rPr>
          <w:t>Lc 10.7</w:t>
        </w:r>
      </w:hyperlink>
      <w:r>
        <w:t xml:space="preserve">; </w:t>
      </w:r>
      <w:hyperlink r:id="rId3553">
        <w:r>
          <w:rPr>
            <w:color w:val="0000EE"/>
            <w:u w:val="single"/>
          </w:rPr>
          <w:t>1Tm 5.18</w:t>
        </w:r>
      </w:hyperlink>
      <w:r>
        <w:t>). O Senhor estabeleceu leis para cobrir esse princípio e julgou aqueles que o violaram. Os salários deviam ser pagos prontamente (</w:t>
      </w:r>
      <w:hyperlink r:id="rId12942">
        <w:r>
          <w:rPr>
            <w:color w:val="0000EE"/>
            <w:u w:val="single"/>
          </w:rPr>
          <w:t>Lv 19.13</w:t>
        </w:r>
      </w:hyperlink>
      <w:r>
        <w:t>). A retenção de salários é condenada nas Escrituras (</w:t>
      </w:r>
      <w:hyperlink r:id="rId450">
        <w:r>
          <w:rPr>
            <w:color w:val="0000EE"/>
            <w:u w:val="single"/>
          </w:rPr>
          <w:t>Ml 3.5</w:t>
        </w:r>
      </w:hyperlink>
      <w:r>
        <w:t xml:space="preserve">; </w:t>
      </w:r>
      <w:hyperlink r:id="rId18636">
        <w:r>
          <w:rPr>
            <w:color w:val="0000EE"/>
            <w:u w:val="single"/>
          </w:rPr>
          <w:t>Tg 5.1–6</w:t>
        </w:r>
      </w:hyperlink>
      <w:r>
        <w:t>).</w:t>
      </w:r>
    </w:p>
    <w:p>
      <w:r/>
      <w:r>
        <w:t>Os salários eram frequentemente uma fonte de descontentamento e disputa entre empregadores e empregados. Quando os soldados foram a João Batista para serem batizados, perguntaram sobre sua conduta futura. Ele os exortou a se contentarem com seus salários (</w:t>
      </w:r>
      <w:hyperlink r:id="rId11903">
        <w:r>
          <w:rPr>
            <w:color w:val="0000EE"/>
            <w:u w:val="single"/>
          </w:rPr>
          <w:t>Lc 3.14</w:t>
        </w:r>
      </w:hyperlink>
      <w:r>
        <w:t>). Jacó e Labão discordaram sobre os salários. Duas vezes, Jacó reclamou: “ele me tem enganado e já mudou o meu salário umas dez vezes” (</w:t>
      </w:r>
      <w:hyperlink r:id="rId12657">
        <w:r>
          <w:rPr>
            <w:color w:val="0000EE"/>
            <w:u w:val="single"/>
          </w:rPr>
          <w:t>Gn 31.7,41</w:t>
        </w:r>
      </w:hyperlink>
      <w:r>
        <w:t>).</w:t>
      </w:r>
    </w:p>
    <w:p>
      <w:r/>
      <w:r>
        <w:t>A Bíblia também menciona salários adquiridos de forma inadequada. Os salários de uma prostituta não poderiam ser levados para ao Templo do SENHOR (</w:t>
      </w:r>
      <w:hyperlink r:id="rId4496">
        <w:r>
          <w:rPr>
            <w:color w:val="0000EE"/>
            <w:u w:val="single"/>
          </w:rPr>
          <w:t>Dt 23.18</w:t>
        </w:r>
      </w:hyperlink>
      <w:r>
        <w:t>). As pessoas são advertidas contra o erro de Balaão. Ele corrompeu Israel porque “que cobiçou o dinheiro que ia receber fazendo o mal” (</w:t>
      </w:r>
      <w:hyperlink r:id="rId3435">
        <w:r>
          <w:rPr>
            <w:color w:val="0000EE"/>
            <w:u w:val="single"/>
          </w:rPr>
          <w:t>2Pe 2.15</w:t>
        </w:r>
      </w:hyperlink>
      <w:r>
        <w:t>).</w:t>
      </w:r>
    </w:p>
    <w:p>
      <w:r/>
      <w:r>
        <w:rPr>
          <w:i/>
        </w:rPr>
        <w:t>Veja também</w:t>
      </w:r>
      <w:r>
        <w:t xml:space="preserve"> </w:t>
      </w:r>
      <w:r>
        <w:t>Dinheiro</w:t>
      </w:r>
      <w:r>
        <w:t xml:space="preserve">; </w:t>
      </w:r>
      <w:r>
        <w:t>Banqueiro, Bancos</w:t>
      </w:r>
      <w:r>
        <w:t xml:space="preserve">; </w:t>
      </w:r>
      <w:r>
        <w:t>Os Pobres</w:t>
      </w:r>
      <w:r>
        <w:t xml:space="preserve">; </w:t>
      </w:r>
      <w:r>
        <w:t>Riquezas</w:t>
      </w:r>
      <w:r>
        <w:t xml:space="preserve">; </w:t>
      </w:r>
      <w:r>
        <w:t>Trabalho</w:t>
      </w:r>
      <w:r>
        <w:t>.</w:t>
      </w:r>
      <w:r/>
      <w:r/>
    </w:p>
    <w:p>
      <w:r/>
    </w:p>
    <w:p>
      <w:pPr>
        <w:pStyle w:val="Heading2"/>
      </w:pPr>
      <w:r>
        <w:t>Salca</w:t>
      </w:r>
      <w:r/>
    </w:p>
    <w:p>
      <w:r/>
      <w:r>
        <w:t>Cidade ou distrito que formava a extremidade nordeste do reino amorita de Ogue em Basã, a leste do Rio Jordão. Salca estava localizada perto da cidade de Edrei (</w:t>
      </w:r>
      <w:hyperlink r:id="rId13525">
        <w:r>
          <w:rPr>
            <w:color w:val="0000EE"/>
            <w:u w:val="single"/>
          </w:rPr>
          <w:t>Js 12.5</w:t>
        </w:r>
      </w:hyperlink>
      <w:r>
        <w:t>). Os israelitas tomaram posse desta cidade quando derrotaram Ogue (</w:t>
      </w:r>
      <w:hyperlink r:id="rId7577">
        <w:r>
          <w:rPr>
            <w:color w:val="0000EE"/>
            <w:u w:val="single"/>
          </w:rPr>
          <w:t>Dt 3.10</w:t>
        </w:r>
      </w:hyperlink>
      <w:r>
        <w:t>). Mais tarde, Salca foi incluída na terra recebida pela tribo de Gade como herança (</w:t>
      </w:r>
      <w:hyperlink r:id="rId9931">
        <w:r>
          <w:rPr>
            <w:color w:val="0000EE"/>
            <w:u w:val="single"/>
          </w:rPr>
          <w:t>Jss 13.11</w:t>
        </w:r>
      </w:hyperlink>
      <w:r>
        <w:t xml:space="preserve">; </w:t>
      </w:r>
      <w:hyperlink r:id="rId18854">
        <w:r>
          <w:rPr>
            <w:color w:val="0000EE"/>
            <w:u w:val="single"/>
          </w:rPr>
          <w:t>1Cr 5.11</w:t>
        </w:r>
      </w:hyperlink>
      <w:r>
        <w:t>). A cidade é identificável com a moderna cidade de Salkhad.</w:t>
      </w:r>
      <w:r/>
      <w:r/>
    </w:p>
    <w:p>
      <w:r/>
    </w:p>
    <w:p>
      <w:pPr>
        <w:pStyle w:val="Heading2"/>
      </w:pPr>
      <w:r>
        <w:t>Salém</w:t>
      </w:r>
      <w:r/>
    </w:p>
    <w:p>
      <w:r/>
      <w:r>
        <w:t>Cidade de onde veio o sacerdote-rei Melquisedeque (</w:t>
      </w:r>
      <w:hyperlink r:id="rId7858">
        <w:r>
          <w:rPr>
            <w:color w:val="0000EE"/>
            <w:u w:val="single"/>
          </w:rPr>
          <w:t>Gn 14.18</w:t>
        </w:r>
      </w:hyperlink>
      <w:r>
        <w:t xml:space="preserve">; </w:t>
      </w:r>
      <w:hyperlink r:id="rId14189">
        <w:r>
          <w:rPr>
            <w:color w:val="0000EE"/>
            <w:u w:val="single"/>
          </w:rPr>
          <w:t>Sl 76.2</w:t>
        </w:r>
      </w:hyperlink>
      <w:r>
        <w:t xml:space="preserve">; </w:t>
      </w:r>
      <w:hyperlink r:id="rId14196">
        <w:r>
          <w:rPr>
            <w:color w:val="0000EE"/>
            <w:u w:val="single"/>
          </w:rPr>
          <w:t>Hb 7.1–2</w:t>
        </w:r>
      </w:hyperlink>
      <w:r>
        <w:t xml:space="preserve">). Acredita-se que Salém seja um nome antigo de Jerusalém. </w:t>
      </w:r>
    </w:p>
    <w:p>
      <w:r/>
      <w:r>
        <w:rPr>
          <w:i/>
        </w:rPr>
        <w:t>Veja</w:t>
      </w:r>
      <w:r>
        <w:t xml:space="preserve"> </w:t>
      </w:r>
      <w:r>
        <w:t>Jerusalém</w:t>
      </w:r>
      <w:r>
        <w:t>.</w:t>
      </w:r>
      <w:r/>
      <w:r/>
    </w:p>
    <w:p>
      <w:r/>
    </w:p>
    <w:p>
      <w:pPr>
        <w:pStyle w:val="Heading2"/>
      </w:pPr>
      <w:r>
        <w:t>Salmom (Lugar)</w:t>
      </w:r>
      <w:r/>
    </w:p>
    <w:p>
      <w:r/>
      <w:r>
        <w:t xml:space="preserve">Ortografia NTLH de Zalmom, uma montanha em Basã, no </w:t>
      </w:r>
      <w:hyperlink r:id="rId7746">
        <w:r>
          <w:rPr>
            <w:color w:val="0000EE"/>
            <w:u w:val="single"/>
          </w:rPr>
          <w:t>Salmo 68.14</w:t>
        </w:r>
      </w:hyperlink>
      <w:r>
        <w:t xml:space="preserve">. </w:t>
      </w:r>
    </w:p>
    <w:p>
      <w:r/>
      <w:r>
        <w:rPr>
          <w:i/>
        </w:rPr>
        <w:t>Veja</w:t>
      </w:r>
      <w:r>
        <w:t xml:space="preserve"> </w:t>
      </w:r>
      <w:r>
        <w:t>Zalmom (Lugar)</w:t>
      </w:r>
      <w:r>
        <w:t>.</w:t>
      </w:r>
      <w:r/>
      <w:r/>
    </w:p>
    <w:p>
      <w:r/>
    </w:p>
    <w:p>
      <w:pPr>
        <w:pStyle w:val="Heading2"/>
      </w:pPr>
      <w:r>
        <w:t>Salmona</w:t>
      </w:r>
      <w:r/>
    </w:p>
    <w:p>
      <w:r/>
      <w:r>
        <w:t>Um lugar onde os israelitas acamparam durante sua jornada. Eles chegaram a este lugar depois de saírem do Monte Hor (</w:t>
      </w:r>
      <w:hyperlink r:id="rId18855">
        <w:r>
          <w:rPr>
            <w:color w:val="0000EE"/>
            <w:u w:val="single"/>
          </w:rPr>
          <w:t>Nm 33.41–42</w:t>
        </w:r>
      </w:hyperlink>
      <w:r>
        <w:t>). O nome "Salmona" sugere que pode ter sido um vale escuro ou sombrio. Este vale provavelmente levava até a terra plana e alta de Edom.</w:t>
      </w:r>
      <w:r/>
      <w:r/>
    </w:p>
    <w:p>
      <w:r/>
    </w:p>
    <w:p>
      <w:pPr>
        <w:pStyle w:val="Heading2"/>
      </w:pPr>
      <w:r>
        <w:t>Salmona</w:t>
      </w:r>
      <w:r/>
    </w:p>
    <w:p>
      <w:r/>
      <w:r>
        <w:t>Um promontório (um ponto elevado de terra que se estende para o mar) no lado leste de Creta. O navio do apóstolo Paulo navegou perto deste local durante sua viagem a Roma (</w:t>
      </w:r>
      <w:hyperlink r:id="rId5013">
        <w:r>
          <w:rPr>
            <w:color w:val="0000EE"/>
            <w:u w:val="single"/>
          </w:rPr>
          <w:t>At 27.7</w:t>
        </w:r>
      </w:hyperlink>
      <w:r>
        <w:t>).</w:t>
      </w:r>
      <w:r/>
      <w:r/>
    </w:p>
    <w:p>
      <w:r/>
    </w:p>
    <w:p>
      <w:pPr>
        <w:pStyle w:val="Heading2"/>
      </w:pPr>
      <w:r>
        <w:t>Salmos Imprecatórios</w:t>
      </w:r>
      <w:r/>
    </w:p>
    <w:p>
      <w:r/>
      <w:r>
        <w:t>Os salmos que contêm maldições ou desejos de coisas ruins para seus inimigos aparecem em 18 salmos:</w:t>
      </w:r>
    </w:p>
    <w:p>
      <w:pPr>
        <w:pStyle w:val="ListBullet"/>
        <w:spacing w:line="240" w:lineRule="auto"/>
        <w:ind w:left="720"/>
      </w:pPr>
      <w:r/>
      <w:hyperlink r:id="rId14958">
        <w:r>
          <w:rPr>
            <w:color w:val="0000EE"/>
            <w:u w:val="single"/>
          </w:rPr>
          <w:t>Salmo 5</w:t>
        </w:r>
      </w:hyperlink>
    </w:p>
    <w:p>
      <w:pPr>
        <w:pStyle w:val="ListBullet"/>
        <w:spacing w:line="240" w:lineRule="auto"/>
        <w:ind w:left="720"/>
      </w:pPr>
      <w:r/>
      <w:hyperlink r:id="rId14970">
        <w:r>
          <w:rPr>
            <w:color w:val="0000EE"/>
            <w:u w:val="single"/>
          </w:rPr>
          <w:t>Salmo 17</w:t>
        </w:r>
      </w:hyperlink>
    </w:p>
    <w:p>
      <w:pPr>
        <w:pStyle w:val="ListBullet"/>
        <w:spacing w:line="240" w:lineRule="auto"/>
        <w:ind w:left="720"/>
      </w:pPr>
      <w:r/>
      <w:hyperlink r:id="rId18856">
        <w:r>
          <w:rPr>
            <w:color w:val="0000EE"/>
            <w:u w:val="single"/>
          </w:rPr>
          <w:t>Salmo 28</w:t>
        </w:r>
      </w:hyperlink>
    </w:p>
    <w:p>
      <w:pPr>
        <w:pStyle w:val="ListBullet"/>
        <w:spacing w:line="240" w:lineRule="auto"/>
        <w:ind w:left="720"/>
      </w:pPr>
      <w:r/>
      <w:hyperlink r:id="rId18857">
        <w:r>
          <w:rPr>
            <w:color w:val="0000EE"/>
            <w:u w:val="single"/>
          </w:rPr>
          <w:t>Salmo 35</w:t>
        </w:r>
      </w:hyperlink>
    </w:p>
    <w:p>
      <w:pPr>
        <w:pStyle w:val="ListBullet"/>
        <w:spacing w:line="240" w:lineRule="auto"/>
        <w:ind w:left="720"/>
      </w:pPr>
      <w:r/>
      <w:hyperlink r:id="rId5291">
        <w:r>
          <w:rPr>
            <w:color w:val="0000EE"/>
            <w:u w:val="single"/>
          </w:rPr>
          <w:t>Salmo 40</w:t>
        </w:r>
      </w:hyperlink>
    </w:p>
    <w:p>
      <w:pPr>
        <w:pStyle w:val="ListBullet"/>
        <w:spacing w:line="240" w:lineRule="auto"/>
        <w:ind w:left="720"/>
      </w:pPr>
      <w:r/>
      <w:hyperlink r:id="rId18858">
        <w:r>
          <w:rPr>
            <w:color w:val="0000EE"/>
            <w:u w:val="single"/>
          </w:rPr>
          <w:t>Salmo 55</w:t>
        </w:r>
      </w:hyperlink>
    </w:p>
    <w:p>
      <w:pPr>
        <w:pStyle w:val="ListBullet"/>
        <w:spacing w:line="240" w:lineRule="auto"/>
        <w:ind w:left="720"/>
      </w:pPr>
      <w:r/>
      <w:hyperlink r:id="rId1010">
        <w:r>
          <w:rPr>
            <w:color w:val="0000EE"/>
            <w:u w:val="single"/>
          </w:rPr>
          <w:t>Salmo 59</w:t>
        </w:r>
      </w:hyperlink>
    </w:p>
    <w:p>
      <w:pPr>
        <w:pStyle w:val="ListBullet"/>
        <w:spacing w:line="240" w:lineRule="auto"/>
        <w:ind w:left="720"/>
      </w:pPr>
      <w:r/>
      <w:hyperlink r:id="rId14968">
        <w:r>
          <w:rPr>
            <w:color w:val="0000EE"/>
            <w:u w:val="single"/>
          </w:rPr>
          <w:t>Salmo 70</w:t>
        </w:r>
      </w:hyperlink>
    </w:p>
    <w:p>
      <w:pPr>
        <w:pStyle w:val="ListBullet"/>
        <w:spacing w:line="240" w:lineRule="auto"/>
        <w:ind w:left="720"/>
      </w:pPr>
      <w:r/>
      <w:hyperlink r:id="rId18859">
        <w:r>
          <w:rPr>
            <w:color w:val="0000EE"/>
            <w:u w:val="single"/>
          </w:rPr>
          <w:t>Salmo 71</w:t>
        </w:r>
      </w:hyperlink>
    </w:p>
    <w:p>
      <w:pPr>
        <w:pStyle w:val="ListBullet"/>
        <w:spacing w:line="240" w:lineRule="auto"/>
        <w:ind w:left="720"/>
      </w:pPr>
      <w:r/>
      <w:hyperlink r:id="rId14951">
        <w:r>
          <w:rPr>
            <w:color w:val="0000EE"/>
            <w:u w:val="single"/>
          </w:rPr>
          <w:t>Salmo 74</w:t>
        </w:r>
      </w:hyperlink>
    </w:p>
    <w:p>
      <w:pPr>
        <w:pStyle w:val="ListBullet"/>
        <w:spacing w:line="240" w:lineRule="auto"/>
        <w:ind w:left="720"/>
      </w:pPr>
      <w:r/>
      <w:hyperlink r:id="rId14600">
        <w:r>
          <w:rPr>
            <w:color w:val="0000EE"/>
            <w:u w:val="single"/>
          </w:rPr>
          <w:t>Salmo 79</w:t>
        </w:r>
      </w:hyperlink>
    </w:p>
    <w:p>
      <w:pPr>
        <w:pStyle w:val="ListBullet"/>
        <w:spacing w:line="240" w:lineRule="auto"/>
        <w:ind w:left="720"/>
      </w:pPr>
      <w:r/>
      <w:hyperlink r:id="rId14947">
        <w:r>
          <w:rPr>
            <w:color w:val="0000EE"/>
            <w:u w:val="single"/>
          </w:rPr>
          <w:t>Salmo 80</w:t>
        </w:r>
      </w:hyperlink>
    </w:p>
    <w:p>
      <w:pPr>
        <w:pStyle w:val="ListBullet"/>
        <w:spacing w:line="240" w:lineRule="auto"/>
        <w:ind w:left="720"/>
      </w:pPr>
      <w:r/>
      <w:hyperlink r:id="rId14937">
        <w:r>
          <w:rPr>
            <w:color w:val="0000EE"/>
            <w:u w:val="single"/>
          </w:rPr>
          <w:t>Salmo 94</w:t>
        </w:r>
      </w:hyperlink>
    </w:p>
    <w:p>
      <w:pPr>
        <w:pStyle w:val="ListBullet"/>
        <w:spacing w:line="240" w:lineRule="auto"/>
        <w:ind w:left="720"/>
      </w:pPr>
      <w:r/>
      <w:hyperlink r:id="rId13649">
        <w:r>
          <w:rPr>
            <w:color w:val="0000EE"/>
            <w:u w:val="single"/>
          </w:rPr>
          <w:t>Salmo 109</w:t>
        </w:r>
      </w:hyperlink>
    </w:p>
    <w:p>
      <w:pPr>
        <w:pStyle w:val="ListBullet"/>
        <w:spacing w:line="240" w:lineRule="auto"/>
        <w:ind w:left="720"/>
      </w:pPr>
      <w:r/>
      <w:hyperlink r:id="rId18860">
        <w:r>
          <w:rPr>
            <w:color w:val="0000EE"/>
            <w:u w:val="single"/>
          </w:rPr>
          <w:t>Salmo 129</w:t>
        </w:r>
      </w:hyperlink>
    </w:p>
    <w:p>
      <w:pPr>
        <w:pStyle w:val="ListBullet"/>
        <w:spacing w:line="240" w:lineRule="auto"/>
        <w:ind w:left="720"/>
      </w:pPr>
      <w:r/>
      <w:hyperlink r:id="rId14935">
        <w:r>
          <w:rPr>
            <w:color w:val="0000EE"/>
            <w:u w:val="single"/>
          </w:rPr>
          <w:t>Salmo 137</w:t>
        </w:r>
      </w:hyperlink>
    </w:p>
    <w:p>
      <w:pPr>
        <w:pStyle w:val="ListBullet"/>
        <w:spacing w:line="240" w:lineRule="auto"/>
        <w:ind w:left="720"/>
      </w:pPr>
      <w:r/>
      <w:hyperlink r:id="rId17451">
        <w:r>
          <w:rPr>
            <w:color w:val="0000EE"/>
            <w:u w:val="single"/>
          </w:rPr>
          <w:t>Salmo 139</w:t>
        </w:r>
      </w:hyperlink>
    </w:p>
    <w:p>
      <w:pPr>
        <w:pStyle w:val="ListBullet"/>
        <w:spacing w:line="240" w:lineRule="auto"/>
        <w:ind w:left="720"/>
      </w:pPr>
      <w:r/>
      <w:hyperlink r:id="rId16937">
        <w:r>
          <w:rPr>
            <w:color w:val="0000EE"/>
            <w:u w:val="single"/>
          </w:rPr>
          <w:t>Salmo 140</w:t>
        </w:r>
      </w:hyperlink>
    </w:p>
    <w:p>
      <w:r/>
      <w:r>
        <w:t>Esses elementos geralmente são expressos como uma oração ou desejo para que o julgamento ocorra sobre seus inimigos.</w:t>
      </w:r>
    </w:p>
    <w:p>
      <w:r/>
      <w:r>
        <w:t xml:space="preserve">Para o leitor casual, esses desejos podem parecer contradizer o restante das Escrituras, especialmente com o ensinamento de Jesus. </w:t>
      </w:r>
      <w:hyperlink r:id="rId15572">
        <w:r>
          <w:rPr>
            <w:color w:val="0000EE"/>
            <w:u w:val="single"/>
          </w:rPr>
          <w:t>Levítico 19.17–18</w:t>
        </w:r>
      </w:hyperlink>
      <w:r>
        <w:t xml:space="preserve"> diz: “Não guarde ódio no coração contra outro israelita, mas corrija-o com franqueza para que você não acabe cometendo um pecado por causa dele. Não se vingue, nem guarde ódio de alguém do seu povo, mas ame os outros como você ama a você mesmo. Eu sou o SENHOR”.</w:t>
      </w:r>
    </w:p>
    <w:p>
      <w:r/>
      <w:r>
        <w:t>Jesus argumenta que "próximo" inclui todos (</w:t>
      </w:r>
      <w:hyperlink r:id="rId11763">
        <w:r>
          <w:rPr>
            <w:color w:val="0000EE"/>
            <w:u w:val="single"/>
          </w:rPr>
          <w:t>Lc 10.29–37</w:t>
        </w:r>
      </w:hyperlink>
      <w:r>
        <w:t>). No Sermão da Montanha, Jesus disse: “amem os seus inimigos e orem pelos que perseguem vocês” (</w:t>
      </w:r>
      <w:hyperlink r:id="rId3914">
        <w:r>
          <w:rPr>
            <w:color w:val="0000EE"/>
            <w:u w:val="single"/>
          </w:rPr>
          <w:t>Mt 5.44</w:t>
        </w:r>
      </w:hyperlink>
      <w:r>
        <w:t xml:space="preserve">; compare com os versículos </w:t>
      </w:r>
      <w:hyperlink r:id="rId18861">
        <w:r>
          <w:rPr>
            <w:color w:val="0000EE"/>
            <w:u w:val="single"/>
          </w:rPr>
          <w:t>38–48</w:t>
        </w:r>
      </w:hyperlink>
      <w:r>
        <w:t>). Esta ideia concorda com o Antigo Testamento, que nos ensina a ajudar nossos inimigos (</w:t>
      </w:r>
      <w:hyperlink r:id="rId18862">
        <w:r>
          <w:rPr>
            <w:color w:val="0000EE"/>
            <w:u w:val="single"/>
          </w:rPr>
          <w:t>Pv 25.21–22</w:t>
        </w:r>
      </w:hyperlink>
      <w:r>
        <w:t xml:space="preserve">; compare </w:t>
      </w:r>
      <w:hyperlink r:id="rId3913">
        <w:r>
          <w:rPr>
            <w:color w:val="0000EE"/>
            <w:u w:val="single"/>
          </w:rPr>
          <w:t>Rm 12.20</w:t>
        </w:r>
      </w:hyperlink>
      <w:r>
        <w:t>).</w:t>
      </w:r>
    </w:p>
    <w:p>
      <w:r/>
      <w:hyperlink r:id="rId13649">
        <w:r>
          <w:rPr>
            <w:color w:val="0000EE"/>
            <w:u w:val="single"/>
          </w:rPr>
          <w:t>Salmo 109</w:t>
        </w:r>
      </w:hyperlink>
      <w:r>
        <w:t xml:space="preserve"> parece contradizer os ensinamentos de Jesus porque contém muitas maldições, algumas das mais severas. Algumas pessoas acham que este salmo é muito severo para a Bíblia. No entanto, este salmo tem sido visto como tanto profético quanto messiânico por estudiosos como Crisóstomo, Jerônimo, Agostinho e outros.</w:t>
      </w:r>
    </w:p>
    <w:p>
      <w:r/>
      <w:r>
        <w:t xml:space="preserve">Tomé Horne transforma os tempos passados deste salmo em tempos futuros, tornando-o um texto profético. Sua inspiração foi a citação de Pedro do </w:t>
      </w:r>
      <w:hyperlink r:id="rId18863">
        <w:r>
          <w:rPr>
            <w:color w:val="0000EE"/>
            <w:u w:val="single"/>
          </w:rPr>
          <w:t>Salmo 109.8</w:t>
        </w:r>
      </w:hyperlink>
      <w:r>
        <w:t xml:space="preserve"> ao escolher um sucessor para Judas (</w:t>
      </w:r>
      <w:hyperlink r:id="rId18864">
        <w:r>
          <w:rPr>
            <w:color w:val="0000EE"/>
            <w:u w:val="single"/>
          </w:rPr>
          <w:t>At 1.20</w:t>
        </w:r>
      </w:hyperlink>
      <w:r>
        <w:t>). O salmo fala sobre as provações de Jesus, o que o torna preditivo de Cristo em vez de imprecatório.</w:t>
      </w:r>
    </w:p>
    <w:p>
      <w:r/>
      <w:r>
        <w:t xml:space="preserve">Outro trecho preocupante é </w:t>
      </w:r>
      <w:hyperlink r:id="rId18865">
        <w:r>
          <w:rPr>
            <w:color w:val="0000EE"/>
            <w:u w:val="single"/>
          </w:rPr>
          <w:t>Salmo 137.8–9</w:t>
        </w:r>
      </w:hyperlink>
      <w:r>
        <w:t>, que fala alegremente sobre a morte violenta de crianças babilônicas. Horne acreditava que isso era uma previsão da invasão de Babilônia em 539 a.C.</w:t>
      </w:r>
    </w:p>
    <w:p>
      <w:r/>
      <w:r>
        <w:t>Esses salmos que clamam por justiça não estão em desacordo com o restante da Bíblia. Jeremias orou por vingança (</w:t>
      </w:r>
      <w:hyperlink r:id="rId13653">
        <w:r>
          <w:rPr>
            <w:color w:val="0000EE"/>
            <w:u w:val="single"/>
          </w:rPr>
          <w:t>Jr 11.20</w:t>
        </w:r>
      </w:hyperlink>
      <w:r>
        <w:t xml:space="preserve">). Ele foi respondido pelo Senhor (versículos </w:t>
      </w:r>
      <w:hyperlink r:id="rId18866">
        <w:r>
          <w:rPr>
            <w:color w:val="0000EE"/>
            <w:u w:val="single"/>
          </w:rPr>
          <w:t>21–23</w:t>
        </w:r>
      </w:hyperlink>
      <w:r>
        <w:t>). Os justos que buscam justiça serão atendidos (</w:t>
      </w:r>
      <w:hyperlink r:id="rId15849">
        <w:r>
          <w:rPr>
            <w:color w:val="0000EE"/>
            <w:u w:val="single"/>
          </w:rPr>
          <w:t>Lc 18.1–8</w:t>
        </w:r>
      </w:hyperlink>
      <w:r>
        <w:t>). Em Apocalipse, os mártires clamam: “Até quando, ó Senhor, santo e verdadeiro, não julgas e vingas o nosso sangue dos que habitam sobre a terra?” (</w:t>
      </w:r>
      <w:hyperlink r:id="rId2087">
        <w:r>
          <w:rPr>
            <w:color w:val="0000EE"/>
            <w:u w:val="single"/>
          </w:rPr>
          <w:t>Ap 6.10</w:t>
        </w:r>
      </w:hyperlink>
      <w:r>
        <w:t>). Seus clamores são atendidos. Davi derrotou seus inimigos, e ele via seus inimigos como inimigos de Deus. Os inimigos do salmista devem receber julgamento. Os desejos do escritor estavam alinhados com o julgamento de Deus.</w:t>
      </w:r>
    </w:p>
    <w:p>
      <w:r/>
      <w:r>
        <w:rPr>
          <w:i/>
        </w:rPr>
        <w:t>Veja também</w:t>
      </w:r>
      <w:r>
        <w:t xml:space="preserve"> </w:t>
      </w:r>
      <w:r>
        <w:t>Julgamento</w:t>
      </w:r>
      <w:r>
        <w:t xml:space="preserve">; </w:t>
      </w:r>
      <w:r>
        <w:t>Salmos, Livro dos</w:t>
      </w:r>
      <w:r>
        <w:t xml:space="preserve">; </w:t>
      </w:r>
      <w:r>
        <w:t>Ira de Deus</w:t>
      </w:r>
      <w:r>
        <w:t>.</w:t>
      </w:r>
      <w:r/>
      <w:r/>
    </w:p>
    <w:p>
      <w:r/>
    </w:p>
    <w:p>
      <w:pPr>
        <w:pStyle w:val="Heading2"/>
      </w:pPr>
      <w:r>
        <w:t>Salmos, Livro de</w:t>
      </w:r>
      <w:r/>
    </w:p>
    <w:p>
      <w:r/>
      <w:r>
        <w:t>Poemas cantados com acompanhamento musical, originalmente com harpa. O título alternativo, o Saltério, refere-se a uma coleção de canções cantadas com acompanhamento de harpa. O título em português, portanto, define amplamente a forma empregada, enquanto o título hebraico do livro, "Louvores" ou "Livro de Louvores", sugere o conteúdo.</w:t>
      </w:r>
    </w:p>
    <w:p>
      <w:r/>
      <w:r>
        <w:t>Resumo</w:t>
      </w:r>
    </w:p>
    <w:p>
      <w:r/>
      <w:r>
        <w:t>• Autores</w:t>
      </w:r>
    </w:p>
    <w:p>
      <w:r/>
      <w:r>
        <w:t>• Data</w:t>
      </w:r>
    </w:p>
    <w:p>
      <w:r/>
      <w:r>
        <w:t>• Histórico</w:t>
      </w:r>
    </w:p>
    <w:p>
      <w:r/>
      <w:r>
        <w:t>• Estrutura</w:t>
      </w:r>
    </w:p>
    <w:p>
      <w:r/>
      <w:r>
        <w:t>• Canonicidade</w:t>
      </w:r>
    </w:p>
    <w:p>
      <w:r/>
      <w:r>
        <w:t>• Propósito e teologia</w:t>
      </w:r>
    </w:p>
    <w:p>
      <w:r/>
      <w:r>
        <w:t>• Conteúdo</w:t>
      </w:r>
    </w:p>
    <w:p>
      <w:pPr>
        <w:pStyle w:val="Heading3"/>
      </w:pPr>
      <w:r>
        <w:t>Autores</w:t>
      </w:r>
    </w:p>
    <w:p>
      <w:pPr>
        <w:pStyle w:val="Heading4"/>
      </w:pPr>
      <w:r>
        <w:t>A evidência dos títulos</w:t>
      </w:r>
    </w:p>
    <w:p>
      <w:r/>
      <w:r>
        <w:t xml:space="preserve">A Bíblia Hebraica atribui a Davi 73 salmos, em comparação com 84 na Septuaginta e 85 na Vulgata Latina. Corá e Asafe, os líderes dos grupos de canto levíticos, estão associados a 11 e 12 salmos, respectivamente (embora </w:t>
      </w:r>
      <w:hyperlink r:id="rId18867">
        <w:r>
          <w:rPr>
            <w:color w:val="0000EE"/>
            <w:u w:val="single"/>
          </w:rPr>
          <w:t>Sl 43</w:t>
        </w:r>
      </w:hyperlink>
      <w:r>
        <w:t xml:space="preserve"> quase certamente deva ser atribuído a Corá também). Dois salmos são atribuídos a Salomão (</w:t>
      </w:r>
      <w:hyperlink r:id="rId18867">
        <w:r>
          <w:rPr>
            <w:color w:val="0000EE"/>
            <w:u w:val="single"/>
          </w:rPr>
          <w:t>Sl</w:t>
        </w:r>
      </w:hyperlink>
      <w:hyperlink r:id="rId18868">
        <w:r>
          <w:rPr>
            <w:color w:val="0000EE"/>
            <w:u w:val="single"/>
          </w:rPr>
          <w:t xml:space="preserve"> 72</w:t>
        </w:r>
      </w:hyperlink>
      <w:r>
        <w:t xml:space="preserve">; </w:t>
      </w:r>
      <w:hyperlink r:id="rId18869">
        <w:r>
          <w:rPr>
            <w:color w:val="0000EE"/>
            <w:u w:val="single"/>
          </w:rPr>
          <w:t>127</w:t>
        </w:r>
      </w:hyperlink>
      <w:r>
        <w:t>), um a Moisés (</w:t>
      </w:r>
      <w:hyperlink r:id="rId18867">
        <w:r>
          <w:rPr>
            <w:color w:val="0000EE"/>
            <w:u w:val="single"/>
          </w:rPr>
          <w:t>Sl</w:t>
        </w:r>
      </w:hyperlink>
      <w:hyperlink r:id="rId4077">
        <w:r>
          <w:rPr>
            <w:color w:val="0000EE"/>
            <w:u w:val="single"/>
          </w:rPr>
          <w:t xml:space="preserve"> 90</w:t>
        </w:r>
      </w:hyperlink>
      <w:r>
        <w:t>) e um a Etã (</w:t>
      </w:r>
      <w:hyperlink r:id="rId18867">
        <w:r>
          <w:rPr>
            <w:color w:val="0000EE"/>
            <w:u w:val="single"/>
          </w:rPr>
          <w:t>Sl</w:t>
        </w:r>
      </w:hyperlink>
      <w:hyperlink r:id="rId8600">
        <w:r>
          <w:rPr>
            <w:color w:val="0000EE"/>
            <w:u w:val="single"/>
          </w:rPr>
          <w:t xml:space="preserve"> 89</w:t>
        </w:r>
      </w:hyperlink>
      <w:r>
        <w:t>), enquanto Hemã compartilha o crédito por um salmo com os filhos de Corá (</w:t>
      </w:r>
      <w:hyperlink r:id="rId10688">
        <w:r>
          <w:rPr>
            <w:color w:val="0000EE"/>
            <w:u w:val="single"/>
          </w:rPr>
          <w:t>Salmo 88</w:t>
        </w:r>
      </w:hyperlink>
      <w:r>
        <w:t>). Os restantes são às vezes chamados de “salmos órfãos” devido à sua anonimidade.</w:t>
      </w:r>
    </w:p>
    <w:p>
      <w:r/>
      <w:r>
        <w:t>A preposição “de” encontrada nos títulos (e.g., “Um Salmo de Davi”) geralmente indica autoria. No entanto, no caso de grupos como os filhos de Asafe ou Corá, pode simplesmente indicar que os salmos foram incluídos em seu repertório. Menos plausível é a ideia de que também possa ser traduzida como “para o uso de”. Por exemplo, alguns dos “Salmos de Davi” podem ser “para o uso de” um rei davídico em alguma ocasião.</w:t>
      </w:r>
    </w:p>
    <w:p>
      <w:pPr>
        <w:pStyle w:val="Heading4"/>
      </w:pPr>
      <w:r>
        <w:t>Referências históricas nos títulos</w:t>
      </w:r>
    </w:p>
    <w:p>
      <w:r/>
      <w:r>
        <w:t xml:space="preserve">Muitos dos títulos referem-se a eventos específicos na vida de Davi (por exemplo, </w:t>
      </w:r>
      <w:hyperlink r:id="rId198">
        <w:r>
          <w:rPr>
            <w:color w:val="0000EE"/>
            <w:u w:val="single"/>
          </w:rPr>
          <w:t>Sl 3</w:t>
        </w:r>
      </w:hyperlink>
      <w:r>
        <w:t xml:space="preserve">; </w:t>
      </w:r>
      <w:hyperlink r:id="rId3426">
        <w:r>
          <w:rPr>
            <w:color w:val="0000EE"/>
            <w:u w:val="single"/>
          </w:rPr>
          <w:t>7</w:t>
        </w:r>
      </w:hyperlink>
      <w:r>
        <w:t xml:space="preserve">; </w:t>
      </w:r>
      <w:hyperlink r:id="rId6595">
        <w:r>
          <w:rPr>
            <w:color w:val="0000EE"/>
            <w:u w:val="single"/>
          </w:rPr>
          <w:t>18</w:t>
        </w:r>
      </w:hyperlink>
      <w:r>
        <w:t xml:space="preserve">; </w:t>
      </w:r>
      <w:hyperlink r:id="rId5382">
        <w:r>
          <w:rPr>
            <w:color w:val="0000EE"/>
            <w:u w:val="single"/>
          </w:rPr>
          <w:t>30</w:t>
        </w:r>
      </w:hyperlink>
      <w:r>
        <w:t xml:space="preserve">; </w:t>
      </w:r>
      <w:hyperlink r:id="rId270">
        <w:r>
          <w:rPr>
            <w:color w:val="0000EE"/>
            <w:u w:val="single"/>
          </w:rPr>
          <w:t>34</w:t>
        </w:r>
      </w:hyperlink>
      <w:r>
        <w:t xml:space="preserve">; </w:t>
      </w:r>
      <w:hyperlink r:id="rId2603">
        <w:r>
          <w:rPr>
            <w:color w:val="0000EE"/>
            <w:u w:val="single"/>
          </w:rPr>
          <w:t>51</w:t>
        </w:r>
      </w:hyperlink>
      <w:r>
        <w:t xml:space="preserve">). Há evidências de que os títulos foram adicionados em uma data antiga. Quando os salmos foram traduzidos para o grego, parece ter havido alguma dificuldade em traduzir os títulos, possivelmente devido à sua antiguidade. Se as referências históricas foram adicionadas em uma data posterior, não há razão para que contextos plausíveis não pudessem ter sido fornecidos para todos os salmos davídicos, em vez de apenas alguns. Além disso, a aparente disparidade entre o título e o conteúdo real de alguns salmos (e.g., </w:t>
      </w:r>
      <w:hyperlink r:id="rId5382">
        <w:r>
          <w:rPr>
            <w:color w:val="0000EE"/>
            <w:u w:val="single"/>
          </w:rPr>
          <w:t>Sl 30</w:t>
        </w:r>
      </w:hyperlink>
      <w:r>
        <w:t xml:space="preserve">) indica que os títulos foram fornecidos por aqueles que conheciam uma conexão desconhecida por um editor posterior. Admitidamente, há pequenas discrepâncias entre os títulos e as referências nos livros históricos. Por exemplo, no </w:t>
      </w:r>
      <w:hyperlink r:id="rId270">
        <w:r>
          <w:rPr>
            <w:color w:val="0000EE"/>
            <w:u w:val="single"/>
          </w:rPr>
          <w:t>Salmo 34</w:t>
        </w:r>
      </w:hyperlink>
      <w:r>
        <w:t xml:space="preserve"> Davi age como um louco diante de Abimeleque, enquanto em 1 Samuel é diante de Aquis. Mas provavelmente Abimeleque era o nome geral (como Faraó para os reis do Egito) para todos os reis filisteus (e.g., </w:t>
      </w:r>
      <w:hyperlink r:id="rId18870">
        <w:r>
          <w:rPr>
            <w:color w:val="0000EE"/>
            <w:u w:val="single"/>
          </w:rPr>
          <w:t>Gn 21.32</w:t>
        </w:r>
      </w:hyperlink>
      <w:r>
        <w:t xml:space="preserve">; </w:t>
      </w:r>
      <w:hyperlink r:id="rId2919">
        <w:r>
          <w:rPr>
            <w:color w:val="0000EE"/>
            <w:u w:val="single"/>
          </w:rPr>
          <w:t>26.26</w:t>
        </w:r>
      </w:hyperlink>
      <w:r>
        <w:t>).</w:t>
      </w:r>
    </w:p>
    <w:p>
      <w:r/>
      <w:r>
        <w:t>Evidências de autoria e contexto histórico nos títulos podem ser consideradas um guia razoavelmente confiável. No entanto, as dificuldades internas, juntamente com a liberdade exercida por sucessivos tradutores para o grego, siríaco e latim, indicam que eles não eram considerados inspirados.</w:t>
      </w:r>
    </w:p>
    <w:p>
      <w:pPr>
        <w:pStyle w:val="Heading4"/>
      </w:pPr>
      <w:r>
        <w:t>O argumento para a autoria de Davi</w:t>
      </w:r>
    </w:p>
    <w:p>
      <w:r/>
      <w:r>
        <w:t>Cinco pontos podem ser apresentados para apoiar a autoria de Davi em vários salmos:</w:t>
      </w:r>
    </w:p>
    <w:p>
      <w:r/>
      <w:r>
        <w:t>1. A autenticidade do lamento de Davi sobre Saul e Jônatas (</w:t>
      </w:r>
      <w:hyperlink r:id="rId17322">
        <w:r>
          <w:rPr>
            <w:color w:val="0000EE"/>
            <w:u w:val="single"/>
          </w:rPr>
          <w:t>2Sm 1.19–27</w:t>
        </w:r>
      </w:hyperlink>
      <w:r>
        <w:t>) é geralmente aceita. Isso indica um espírito profundamente poético e um temperamento generoso que nos prepara para aceitar aqueles salmos atribuídos a Davi que evidenciam características semelhantes. “As últimas palavras de Davi” é outro poema davídico nos livros históricos (</w:t>
      </w:r>
      <w:hyperlink r:id="rId18871">
        <w:r>
          <w:rPr>
            <w:color w:val="0000EE"/>
            <w:u w:val="single"/>
          </w:rPr>
          <w:t>2Sm 23.1–7</w:t>
        </w:r>
      </w:hyperlink>
      <w:r>
        <w:t>).</w:t>
      </w:r>
    </w:p>
    <w:p>
      <w:r/>
      <w:r>
        <w:t>2. Davi era conhecido como um músico habilidoso na corte de Saul (</w:t>
      </w:r>
      <w:hyperlink r:id="rId18872">
        <w:r>
          <w:rPr>
            <w:color w:val="0000EE"/>
            <w:u w:val="single"/>
          </w:rPr>
          <w:t>1Sm 16.16–18</w:t>
        </w:r>
      </w:hyperlink>
      <w:r>
        <w:t>). Amós comenta sobre sua criatividade como músico (</w:t>
      </w:r>
      <w:hyperlink r:id="rId17315">
        <w:r>
          <w:rPr>
            <w:color w:val="0000EE"/>
            <w:u w:val="single"/>
          </w:rPr>
          <w:t>Am 6.5</w:t>
        </w:r>
      </w:hyperlink>
      <w:r>
        <w:t xml:space="preserve">), enquanto o Cronista enfatiza repetidamente sua contribuição para o aspecto musical do culto no templo (e.g., </w:t>
      </w:r>
      <w:hyperlink r:id="rId5042">
        <w:r>
          <w:rPr>
            <w:color w:val="0000EE"/>
            <w:u w:val="single"/>
          </w:rPr>
          <w:t>1Cr 6.31</w:t>
        </w:r>
      </w:hyperlink>
      <w:r>
        <w:t xml:space="preserve">; </w:t>
      </w:r>
      <w:hyperlink r:id="rId18873">
        <w:r>
          <w:rPr>
            <w:color w:val="0000EE"/>
            <w:u w:val="single"/>
          </w:rPr>
          <w:t>16.7</w:t>
        </w:r>
      </w:hyperlink>
      <w:r>
        <w:t xml:space="preserve">; </w:t>
      </w:r>
      <w:hyperlink r:id="rId4906">
        <w:r>
          <w:rPr>
            <w:color w:val="0000EE"/>
            <w:u w:val="single"/>
          </w:rPr>
          <w:t>Ed 3.10</w:t>
        </w:r>
      </w:hyperlink>
      <w:r>
        <w:t>). O historiador judeu Josefo afirmou que Davi compôs cânticos e hinos a Deus com métricas variadas. É provável que Davi, além de acumular materiais e preparar os planos para o templo de Salomão, também tenha se dedicado ao culto no templo. Este é o seu lugar na tradição judaica.</w:t>
      </w:r>
    </w:p>
    <w:p>
      <w:r/>
      <w:r>
        <w:t>3. A monarquia inicial, com uma independência recém-conquistada, prestígio nacional e uma nova prosperidade, provavelmente foi uma época de criatividade artística. Davi estava no centro desse movimento.</w:t>
      </w:r>
    </w:p>
    <w:p>
      <w:r/>
      <w:r>
        <w:t>4. Há uma estreita correspondência entre a vida de Davi, conforme descrita nos livros históricos, e certos salmos, por exemplo, seu pecado relacionado a Bate-Seba e Urias (</w:t>
      </w:r>
      <w:hyperlink r:id="rId18874">
        <w:r>
          <w:rPr>
            <w:color w:val="0000EE"/>
            <w:u w:val="single"/>
          </w:rPr>
          <w:t>2Sm 11.2–12.25</w:t>
        </w:r>
      </w:hyperlink>
      <w:r>
        <w:t xml:space="preserve">) e </w:t>
      </w:r>
      <w:hyperlink r:id="rId2603">
        <w:r>
          <w:rPr>
            <w:color w:val="0000EE"/>
            <w:u w:val="single"/>
          </w:rPr>
          <w:t>Salmo 51</w:t>
        </w:r>
      </w:hyperlink>
      <w:r>
        <w:t>, como indicado no título. As falhas de Davi e seu arrependimento genuíno, assim como os variados aspectos de sua carreira — pastor, fugitivo, guerreiro, e assim por diante — encontram expressão em muitos dos salmos atribuídos a ele. A correspondência entre o Davi dos salmos e o Davi dos livros históricos é estreita, especialmente na demonstração de forte fé em Deus.</w:t>
      </w:r>
    </w:p>
    <w:p>
      <w:r/>
      <w:r>
        <w:t xml:space="preserve">5. Embora alguns estudiosos acreditem que quando "Davi" é mencionado no NT, seja simplesmente uma referência ao livro dos Salmos e não uma atribuição de autoria, uma interpretação direta do texto do NT fortalece o argumento para a autoria davídica. Davi é especificamente nomeado como o autor de vários salmos em </w:t>
      </w:r>
      <w:hyperlink r:id="rId6626">
        <w:r>
          <w:rPr>
            <w:color w:val="0000EE"/>
            <w:u w:val="single"/>
          </w:rPr>
          <w:t>Mateus 22.41–45</w:t>
        </w:r>
      </w:hyperlink>
      <w:r>
        <w:t xml:space="preserve">; </w:t>
      </w:r>
      <w:hyperlink r:id="rId6629">
        <w:r>
          <w:rPr>
            <w:color w:val="0000EE"/>
            <w:u w:val="single"/>
          </w:rPr>
          <w:t>Atos 1.16</w:t>
        </w:r>
      </w:hyperlink>
      <w:r>
        <w:t xml:space="preserve">; </w:t>
      </w:r>
      <w:hyperlink r:id="rId18875">
        <w:r>
          <w:rPr>
            <w:color w:val="0000EE"/>
            <w:u w:val="single"/>
          </w:rPr>
          <w:t>2.25,34</w:t>
        </w:r>
      </w:hyperlink>
      <w:r>
        <w:t xml:space="preserve">; </w:t>
      </w:r>
      <w:hyperlink r:id="rId10950">
        <w:r>
          <w:rPr>
            <w:color w:val="0000EE"/>
            <w:u w:val="single"/>
          </w:rPr>
          <w:t>Romanos 4.6</w:t>
        </w:r>
      </w:hyperlink>
      <w:r>
        <w:t xml:space="preserve">; </w:t>
      </w:r>
      <w:hyperlink r:id="rId18876">
        <w:r>
          <w:rPr>
            <w:color w:val="0000EE"/>
            <w:u w:val="single"/>
          </w:rPr>
          <w:t>11.9</w:t>
        </w:r>
      </w:hyperlink>
      <w:r>
        <w:t>.</w:t>
      </w:r>
    </w:p>
    <w:p>
      <w:r/>
      <w:r>
        <w:t>Em conclusão, há um forte apoio para a visão de que o núcleo substancial do Saltério é davídico. Além disso, é provável que alguns dos salmos anônimos sejam obra do “doce salmista de Israel” (</w:t>
      </w:r>
      <w:hyperlink r:id="rId18877">
        <w:r>
          <w:rPr>
            <w:color w:val="0000EE"/>
            <w:u w:val="single"/>
          </w:rPr>
          <w:t>2Sm 23.1</w:t>
        </w:r>
      </w:hyperlink>
      <w:r>
        <w:t xml:space="preserve">). </w:t>
      </w:r>
      <w:hyperlink r:id="rId6702">
        <w:r>
          <w:rPr>
            <w:color w:val="0000EE"/>
            <w:u w:val="single"/>
          </w:rPr>
          <w:t>Hebreus 4.7</w:t>
        </w:r>
      </w:hyperlink>
      <w:r>
        <w:t xml:space="preserve"> refere-se a um desses, </w:t>
      </w:r>
      <w:hyperlink r:id="rId18878">
        <w:r>
          <w:rPr>
            <w:color w:val="0000EE"/>
            <w:u w:val="single"/>
          </w:rPr>
          <w:t>Salmo 95</w:t>
        </w:r>
      </w:hyperlink>
      <w:r>
        <w:t xml:space="preserve">, a Davi (veja também </w:t>
      </w:r>
      <w:hyperlink r:id="rId6631">
        <w:r>
          <w:rPr>
            <w:color w:val="0000EE"/>
            <w:u w:val="single"/>
          </w:rPr>
          <w:t>At 4.25</w:t>
        </w:r>
      </w:hyperlink>
      <w:r>
        <w:t xml:space="preserve"> e </w:t>
      </w:r>
      <w:hyperlink r:id="rId7066">
        <w:r>
          <w:rPr>
            <w:color w:val="0000EE"/>
            <w:u w:val="single"/>
          </w:rPr>
          <w:t>Sl 2</w:t>
        </w:r>
      </w:hyperlink>
      <w:r>
        <w:t>).</w:t>
      </w:r>
    </w:p>
    <w:p>
      <w:pPr>
        <w:pStyle w:val="Heading3"/>
      </w:pPr>
      <w:r>
        <w:t>Data</w:t>
      </w:r>
    </w:p>
    <w:p>
      <w:r/>
      <w:r>
        <w:t xml:space="preserve">Uma vez estabelecida a autoria de Davi em vários salmos, deve-se concluir que esses salmos foram datados durante a vida de Davi. Assim, a maioria dos salmos formou o hinário de Israel no período da monarquia. Outros salmos foram escritos posteriormente. Por exemplo, </w:t>
      </w:r>
      <w:hyperlink r:id="rId14935">
        <w:r>
          <w:rPr>
            <w:color w:val="0000EE"/>
            <w:u w:val="single"/>
          </w:rPr>
          <w:t>o Salmo 137</w:t>
        </w:r>
      </w:hyperlink>
      <w:r>
        <w:t xml:space="preserve"> é claramente exílico, e </w:t>
      </w:r>
      <w:hyperlink r:id="rId18879">
        <w:r>
          <w:rPr>
            <w:color w:val="0000EE"/>
            <w:u w:val="single"/>
          </w:rPr>
          <w:t>os Salmos 107.2–3</w:t>
        </w:r>
      </w:hyperlink>
      <w:r>
        <w:t xml:space="preserve"> e </w:t>
      </w:r>
      <w:hyperlink r:id="rId18880">
        <w:r>
          <w:rPr>
            <w:color w:val="0000EE"/>
            <w:u w:val="single"/>
          </w:rPr>
          <w:t>126.1</w:t>
        </w:r>
      </w:hyperlink>
      <w:r>
        <w:t xml:space="preserve"> aludem ao retorno do cativeiro. </w:t>
      </w:r>
      <w:hyperlink r:id="rId18881">
        <w:r>
          <w:rPr>
            <w:color w:val="0000EE"/>
            <w:u w:val="single"/>
          </w:rPr>
          <w:t>Os Salmos 44</w:t>
        </w:r>
      </w:hyperlink>
      <w:r>
        <w:t xml:space="preserve"> e </w:t>
      </w:r>
      <w:hyperlink r:id="rId14600">
        <w:r>
          <w:rPr>
            <w:color w:val="0000EE"/>
            <w:u w:val="single"/>
          </w:rPr>
          <w:t>79</w:t>
        </w:r>
      </w:hyperlink>
      <w:r>
        <w:t xml:space="preserve"> são provavelmente, mas não conclusivamente, pós-exílicos.</w:t>
      </w:r>
    </w:p>
    <w:p>
      <w:r/>
      <w:r>
        <w:t>O livro dos Salmos provavelmente resultou de um longo período de desenvolvimento. A presença de salmos davídicos na primeira seção sugere que foi concluído cedo, possivelmente no final do reinado de Davi. O restante do processo de compilação é difícil de reconstruir, mas o fato de que os títulos, com suas alusões a autores, eventos e direções musicais, se tornam menos frequentes nas duas coleções finais (</w:t>
      </w:r>
      <w:hyperlink r:id="rId18882">
        <w:r>
          <w:rPr>
            <w:color w:val="0000EE"/>
            <w:u w:val="single"/>
          </w:rPr>
          <w:t>Sl 90–150</w:t>
        </w:r>
      </w:hyperlink>
      <w:r>
        <w:t xml:space="preserve">) apoia a probabilidade de que as coleções foram combinadas cronologicamente na sequência em que são encontradas hoje. Esdras é tradicionalmente creditado com a organização e edição final dos salmos, uma hipótese que parece razoável à luz de sua contribuição vital para a reformulação sistemática da vida religiosa nacional. Em qualquer caso, o processo foi concluído antes da tradução do Saltério para o grego (a Septuaginta) no final do terceiro século a.C., já que a ordem tradicional é encontrada lá. Apoio geral, mas não completo, também vem das evidências dos Manuscritos do Mar Morto. Em algum momento, ocorreram pequenas deslocalizações. </w:t>
      </w:r>
      <w:hyperlink r:id="rId267">
        <w:r>
          <w:rPr>
            <w:color w:val="0000EE"/>
            <w:u w:val="single"/>
          </w:rPr>
          <w:t>Salmos 9</w:t>
        </w:r>
      </w:hyperlink>
      <w:r>
        <w:t xml:space="preserve"> e </w:t>
      </w:r>
      <w:hyperlink r:id="rId268">
        <w:r>
          <w:rPr>
            <w:color w:val="0000EE"/>
            <w:u w:val="single"/>
          </w:rPr>
          <w:t>10</w:t>
        </w:r>
      </w:hyperlink>
      <w:r>
        <w:t xml:space="preserve"> podem ter originalmente formado um único salmo (como na Septuaginta), e há um forte argumento para combinar </w:t>
      </w:r>
      <w:hyperlink r:id="rId5739">
        <w:r>
          <w:rPr>
            <w:color w:val="0000EE"/>
            <w:u w:val="single"/>
          </w:rPr>
          <w:t>Salmos 42</w:t>
        </w:r>
      </w:hyperlink>
      <w:r>
        <w:t xml:space="preserve"> e </w:t>
      </w:r>
      <w:hyperlink r:id="rId18867">
        <w:r>
          <w:rPr>
            <w:color w:val="0000EE"/>
            <w:u w:val="single"/>
          </w:rPr>
          <w:t>43</w:t>
        </w:r>
      </w:hyperlink>
      <w:r>
        <w:t>.</w:t>
      </w:r>
    </w:p>
    <w:p>
      <w:pPr>
        <w:pStyle w:val="Heading3"/>
      </w:pPr>
      <w:r>
        <w:t>Contexto</w:t>
      </w:r>
    </w:p>
    <w:p>
      <w:r/>
      <w:r>
        <w:t>À medida que o livro dos Salmos se apresenta diante de nós, sua conexão com o culto no templo é evidente. Cinquenta e cinco salmos são dirigidos ao mestre do coro e, como já notamos, 23 ou 24 estão ligados às duas principais guildas de cantores levíticos, Asafe e Corá. Os instrumentos musicais, como instrumentos de cordas (</w:t>
      </w:r>
      <w:hyperlink r:id="rId18883">
        <w:r>
          <w:rPr>
            <w:color w:val="0000EE"/>
            <w:u w:val="single"/>
          </w:rPr>
          <w:t>título do Sl 55</w:t>
        </w:r>
      </w:hyperlink>
      <w:r>
        <w:t>) e flautas (</w:t>
      </w:r>
      <w:hyperlink r:id="rId18884">
        <w:r>
          <w:rPr>
            <w:color w:val="0000EE"/>
            <w:u w:val="single"/>
          </w:rPr>
          <w:t>título do Sl 5</w:t>
        </w:r>
      </w:hyperlink>
      <w:r>
        <w:t>) são mencionados. Provavelmente outros termos dizem respeito a direções musicais: Selá</w:t>
      </w:r>
      <w:r>
        <w:rPr>
          <w:i/>
        </w:rPr>
        <w:t>,</w:t>
      </w:r>
      <w:r>
        <w:t xml:space="preserve"> que ocorre 71 vezes, pode indicar uma pausa ou crescendo; Higaiom (</w:t>
      </w:r>
      <w:hyperlink r:id="rId10653">
        <w:r>
          <w:rPr>
            <w:color w:val="0000EE"/>
            <w:u w:val="single"/>
          </w:rPr>
          <w:t>Salmo 9.16</w:t>
        </w:r>
      </w:hyperlink>
      <w:r>
        <w:t>) pode recomendar uma atitude meditativa. Referências aparentemente obscuras como “A corça da alvorada” (</w:t>
      </w:r>
      <w:hyperlink r:id="rId7871">
        <w:r>
          <w:rPr>
            <w:color w:val="0000EE"/>
            <w:u w:val="single"/>
          </w:rPr>
          <w:t xml:space="preserve">título do </w:t>
        </w:r>
      </w:hyperlink>
      <w:hyperlink r:id="rId18867">
        <w:r>
          <w:rPr>
            <w:color w:val="0000EE"/>
            <w:u w:val="single"/>
          </w:rPr>
          <w:t>Sl</w:t>
        </w:r>
      </w:hyperlink>
      <w:hyperlink r:id="rId7871">
        <w:r>
          <w:rPr>
            <w:color w:val="0000EE"/>
            <w:u w:val="single"/>
          </w:rPr>
          <w:t xml:space="preserve"> 22</w:t>
        </w:r>
      </w:hyperlink>
      <w:r>
        <w:t>), “Lírios” (</w:t>
      </w:r>
      <w:hyperlink r:id="rId4216">
        <w:r>
          <w:rPr>
            <w:color w:val="0000EE"/>
            <w:u w:val="single"/>
          </w:rPr>
          <w:t xml:space="preserve">título do </w:t>
        </w:r>
      </w:hyperlink>
      <w:hyperlink r:id="rId18867">
        <w:r>
          <w:rPr>
            <w:color w:val="0000EE"/>
            <w:u w:val="single"/>
          </w:rPr>
          <w:t>Sl</w:t>
        </w:r>
      </w:hyperlink>
      <w:hyperlink r:id="rId4216">
        <w:r>
          <w:rPr>
            <w:color w:val="0000EE"/>
            <w:u w:val="single"/>
          </w:rPr>
          <w:t xml:space="preserve"> 45</w:t>
        </w:r>
      </w:hyperlink>
      <w:r>
        <w:t>; título do 80) e “A pomba nos terebintos distantes” (</w:t>
      </w:r>
      <w:hyperlink r:id="rId18885">
        <w:r>
          <w:rPr>
            <w:color w:val="0000EE"/>
            <w:u w:val="single"/>
          </w:rPr>
          <w:t>título do Sl 56</w:t>
        </w:r>
      </w:hyperlink>
      <w:r>
        <w:t>) podem indicar as melodias para as quais os salmos deveriam ser cantados. O significado preciso de outros termos, como Shigaion (</w:t>
      </w:r>
      <w:hyperlink r:id="rId18886">
        <w:r>
          <w:rPr>
            <w:color w:val="0000EE"/>
            <w:u w:val="single"/>
          </w:rPr>
          <w:t xml:space="preserve">título do </w:t>
        </w:r>
      </w:hyperlink>
      <w:hyperlink r:id="rId18867">
        <w:r>
          <w:rPr>
            <w:color w:val="0000EE"/>
            <w:u w:val="single"/>
          </w:rPr>
          <w:t>Sl</w:t>
        </w:r>
      </w:hyperlink>
      <w:hyperlink r:id="rId18886">
        <w:r>
          <w:rPr>
            <w:color w:val="0000EE"/>
            <w:u w:val="single"/>
          </w:rPr>
          <w:t xml:space="preserve"> 7</w:t>
        </w:r>
      </w:hyperlink>
      <w:r>
        <w:t xml:space="preserve">) ou Alamote (conjecturalmente um coro de senhoras, </w:t>
      </w:r>
      <w:hyperlink r:id="rId18887">
        <w:r>
          <w:rPr>
            <w:color w:val="0000EE"/>
            <w:u w:val="single"/>
          </w:rPr>
          <w:t xml:space="preserve">título do </w:t>
        </w:r>
      </w:hyperlink>
      <w:hyperlink r:id="rId18867">
        <w:r>
          <w:rPr>
            <w:color w:val="0000EE"/>
            <w:u w:val="single"/>
          </w:rPr>
          <w:t>Sl</w:t>
        </w:r>
      </w:hyperlink>
      <w:hyperlink r:id="rId18887">
        <w:r>
          <w:rPr>
            <w:color w:val="0000EE"/>
            <w:u w:val="single"/>
          </w:rPr>
          <w:t xml:space="preserve"> 46</w:t>
        </w:r>
      </w:hyperlink>
      <w:r>
        <w:t>), também pode estar no domínio das direções musicais.</w:t>
      </w:r>
    </w:p>
    <w:p>
      <w:pPr>
        <w:pStyle w:val="Heading3"/>
      </w:pPr>
      <w:r>
        <w:t>Estrutura</w:t>
      </w:r>
    </w:p>
    <w:p>
      <w:r/>
      <w:r>
        <w:t>O Saltério, possivelmente em imitação consciente dos cinco livros de Moisés na Lei, é dividido em cinco seções (</w:t>
      </w:r>
      <w:hyperlink r:id="rId6603">
        <w:r>
          <w:rPr>
            <w:color w:val="0000EE"/>
            <w:u w:val="single"/>
          </w:rPr>
          <w:t>Sl 1–41</w:t>
        </w:r>
      </w:hyperlink>
      <w:r>
        <w:t xml:space="preserve">; </w:t>
      </w:r>
      <w:hyperlink r:id="rId6606">
        <w:r>
          <w:rPr>
            <w:color w:val="0000EE"/>
            <w:u w:val="single"/>
          </w:rPr>
          <w:t>42–72</w:t>
        </w:r>
      </w:hyperlink>
      <w:r>
        <w:t xml:space="preserve">; </w:t>
      </w:r>
      <w:hyperlink r:id="rId18888">
        <w:r>
          <w:rPr>
            <w:color w:val="0000EE"/>
            <w:u w:val="single"/>
          </w:rPr>
          <w:t>73–89</w:t>
        </w:r>
      </w:hyperlink>
      <w:r>
        <w:t xml:space="preserve">; </w:t>
      </w:r>
      <w:hyperlink r:id="rId6604">
        <w:r>
          <w:rPr>
            <w:color w:val="0000EE"/>
            <w:u w:val="single"/>
          </w:rPr>
          <w:t>90–106</w:t>
        </w:r>
      </w:hyperlink>
      <w:r>
        <w:t xml:space="preserve">; </w:t>
      </w:r>
      <w:hyperlink r:id="rId14954">
        <w:r>
          <w:rPr>
            <w:color w:val="0000EE"/>
            <w:u w:val="single"/>
          </w:rPr>
          <w:t>107–150</w:t>
        </w:r>
      </w:hyperlink>
      <w:r>
        <w:t>), separadas por quatro doxologias (</w:t>
      </w:r>
      <w:hyperlink r:id="rId1070">
        <w:r>
          <w:rPr>
            <w:color w:val="0000EE"/>
            <w:u w:val="single"/>
          </w:rPr>
          <w:t>41.13</w:t>
        </w:r>
      </w:hyperlink>
      <w:r>
        <w:t xml:space="preserve">; </w:t>
      </w:r>
      <w:hyperlink r:id="rId10006">
        <w:r>
          <w:rPr>
            <w:color w:val="0000EE"/>
            <w:u w:val="single"/>
          </w:rPr>
          <w:t>72.18–19</w:t>
        </w:r>
      </w:hyperlink>
      <w:r>
        <w:t xml:space="preserve">; </w:t>
      </w:r>
      <w:hyperlink r:id="rId1072">
        <w:r>
          <w:rPr>
            <w:color w:val="0000EE"/>
            <w:u w:val="single"/>
          </w:rPr>
          <w:t>89.52</w:t>
        </w:r>
      </w:hyperlink>
      <w:r>
        <w:t xml:space="preserve">; </w:t>
      </w:r>
      <w:hyperlink r:id="rId1073">
        <w:r>
          <w:rPr>
            <w:color w:val="0000EE"/>
            <w:u w:val="single"/>
          </w:rPr>
          <w:t>106.48</w:t>
        </w:r>
      </w:hyperlink>
      <w:r>
        <w:t xml:space="preserve">). Embora o comentário editorial em </w:t>
      </w:r>
      <w:hyperlink r:id="rId18889">
        <w:r>
          <w:rPr>
            <w:color w:val="0000EE"/>
            <w:u w:val="single"/>
          </w:rPr>
          <w:t>Salmo 72.20</w:t>
        </w:r>
      </w:hyperlink>
      <w:r>
        <w:t xml:space="preserve"> observe que os salmos de Davi foram encerrados, salmos davídicos são encontrados mais tarde no livro (</w:t>
      </w:r>
      <w:hyperlink r:id="rId14601">
        <w:r>
          <w:rPr>
            <w:color w:val="0000EE"/>
            <w:u w:val="single"/>
          </w:rPr>
          <w:t>Sl 86</w:t>
        </w:r>
      </w:hyperlink>
      <w:r>
        <w:t xml:space="preserve">; </w:t>
      </w:r>
      <w:hyperlink r:id="rId18890">
        <w:r>
          <w:rPr>
            <w:color w:val="0000EE"/>
            <w:u w:val="single"/>
          </w:rPr>
          <w:t>101</w:t>
        </w:r>
      </w:hyperlink>
      <w:r>
        <w:t xml:space="preserve">; </w:t>
      </w:r>
      <w:hyperlink r:id="rId18891">
        <w:r>
          <w:rPr>
            <w:color w:val="0000EE"/>
            <w:u w:val="single"/>
          </w:rPr>
          <w:t>103</w:t>
        </w:r>
      </w:hyperlink>
      <w:r>
        <w:t xml:space="preserve">), sugerindo que pelo menos algumas dessas seções circularam de forma independente até sua inclusão na coleção final. Essa independência é ainda indicada pelas duplicações nas várias seções (e.g., </w:t>
      </w:r>
      <w:hyperlink r:id="rId18892">
        <w:r>
          <w:rPr>
            <w:color w:val="0000EE"/>
            <w:u w:val="single"/>
          </w:rPr>
          <w:t>Sl 14</w:t>
        </w:r>
      </w:hyperlink>
      <w:r>
        <w:t xml:space="preserve"> e </w:t>
      </w:r>
      <w:hyperlink r:id="rId13529">
        <w:r>
          <w:rPr>
            <w:color w:val="0000EE"/>
            <w:u w:val="single"/>
          </w:rPr>
          <w:t>53</w:t>
        </w:r>
      </w:hyperlink>
      <w:r>
        <w:t xml:space="preserve">; </w:t>
      </w:r>
      <w:hyperlink r:id="rId18893">
        <w:r>
          <w:rPr>
            <w:color w:val="0000EE"/>
            <w:u w:val="single"/>
          </w:rPr>
          <w:t>40.13–17</w:t>
        </w:r>
      </w:hyperlink>
      <w:r>
        <w:t xml:space="preserve"> e </w:t>
      </w:r>
      <w:hyperlink r:id="rId14968">
        <w:r>
          <w:rPr>
            <w:color w:val="0000EE"/>
            <w:u w:val="single"/>
          </w:rPr>
          <w:t>70</w:t>
        </w:r>
      </w:hyperlink>
      <w:r>
        <w:t>) e pelo uso de diferentes nomes para Deus, que geralmente é referido como “Senhor” na primeira coleção e como “Deus” na segunda.</w:t>
      </w:r>
    </w:p>
    <w:p>
      <w:pPr>
        <w:pStyle w:val="Heading3"/>
      </w:pPr>
      <w:r>
        <w:t>Canonicidade</w:t>
      </w:r>
    </w:p>
    <w:p>
      <w:r/>
      <w:r>
        <w:t xml:space="preserve">Nas várias recensões da terceira seção do cânon hebraico, os Escritos ou Livros Sagrados, o livro dos Salmos é quase sempre colocado em primeiro lugar. Foi claramente considerado o livro mais importante nesta seção, e em </w:t>
      </w:r>
      <w:hyperlink r:id="rId3762">
        <w:r>
          <w:rPr>
            <w:color w:val="0000EE"/>
            <w:u w:val="single"/>
          </w:rPr>
          <w:t>Lucas 24.44</w:t>
        </w:r>
      </w:hyperlink>
      <w:r>
        <w:t>, "Salmos" é sinônimo de "Escritos" como seu título. Embora a canonicidade de todo o conteúdo dos Escritos não tenha sido finalizada até o final do primeiro século d.C., é provável que o livro dos Salmos tenha sido aceito como inspirado muito antes disso, provavelmente por volta de 300 a.C.</w:t>
      </w:r>
    </w:p>
    <w:p>
      <w:r/>
      <w:r>
        <w:t>Não se deve inferir que todos os salmos tiveram origem na vida cultual da comunidade, mas o santuário era o ponto focal da adoração de Israel durante a maior parte do período do Antigo Testamento. A oração era possível em outros lugares, mas sempre que possível, era costume o adorador apresentar suas petições no santuário principal. E a ação de graças na antiga Israel estava quase sempre ligada a uma oferta de gratidão, oferta de voto ou oferta voluntária. Os salmos poderiam ter sido compostos por indivíduos, como Davi, que tinham a habilidade técnica necessária. Deve-se apreciar que a poesia, um meio desconhecido para a maioria das civilizações ocidentais, era a maneira natural para o antigo oriental expressar suas emoções. Ou o indivíduo poderia ter contratado um membro das guildas levíticas de músicos para formular sua súplica ou sua ação de graças. Gradualmente, uma coleção abrangente de salmos estaria disponível para o uso de indivíduos, da congregação e até mesmo de toda a nação em qualquer situação concebível. Uma vez finalizada, essa coleção serviu não apenas às necessidades subsequentes de Israel, mas também aos requisitos devocionais de gerações sucessivas de cristãos. Qualquer que seja a origem de um salmo individual, cada um foi finalmente incorporado em um contexto cultual, e pode-se supor que o melhor da salmodia de Israel foi assim preservado.</w:t>
      </w:r>
    </w:p>
    <w:p>
      <w:pPr>
        <w:pStyle w:val="Heading3"/>
      </w:pPr>
      <w:r>
        <w:t>Propósito e teologia</w:t>
      </w:r>
    </w:p>
    <w:p>
      <w:pPr>
        <w:pStyle w:val="Heading4"/>
      </w:pPr>
      <w:r>
        <w:t>A doutrina de Deus</w:t>
      </w:r>
    </w:p>
    <w:p>
      <w:r/>
      <w:r>
        <w:t>Tanto na adversidade quanto na prosperidade, os salmistas demonstram uma forte fé em Deus e uma clara compreensão de seus atributos. Compreensivelmente, antropomorfismos (atribuição de características humanas a coisas não humanas) são abundantes, com referências à voz, palavras, ouvidos, olhos, rosto, mãos e dedos de Deus. Não há necessidade de exceção a isso. Antropomorfismos desse tipo são, de fato, amplamente usados pelos cristãos de hoje. Seu grande valor é que tornam Deus real para o adorador. Como mais os humanos poderiam descrever Deus, exceto em termos de sua própria compreensão?</w:t>
      </w:r>
    </w:p>
    <w:p>
      <w:r/>
      <w:r>
        <w:t xml:space="preserve">O monoteísmo dos salmos emerge claramente em </w:t>
      </w:r>
      <w:hyperlink r:id="rId18894">
        <w:r>
          <w:rPr>
            <w:color w:val="0000EE"/>
            <w:u w:val="single"/>
          </w:rPr>
          <w:t>Salmos 115.3–8</w:t>
        </w:r>
      </w:hyperlink>
      <w:r>
        <w:t xml:space="preserve">; </w:t>
      </w:r>
      <w:hyperlink r:id="rId10855">
        <w:r>
          <w:rPr>
            <w:color w:val="0000EE"/>
            <w:u w:val="single"/>
          </w:rPr>
          <w:t>135.15–18</w:t>
        </w:r>
      </w:hyperlink>
      <w:r>
        <w:t xml:space="preserve">; </w:t>
      </w:r>
      <w:hyperlink r:id="rId17451">
        <w:r>
          <w:rPr>
            <w:color w:val="0000EE"/>
            <w:u w:val="single"/>
          </w:rPr>
          <w:t>139</w:t>
        </w:r>
      </w:hyperlink>
      <w:r>
        <w:t>. Deus é visto como o Criador (</w:t>
      </w:r>
      <w:hyperlink r:id="rId18867">
        <w:r>
          <w:rPr>
            <w:color w:val="0000EE"/>
            <w:u w:val="single"/>
          </w:rPr>
          <w:t>Sl</w:t>
        </w:r>
      </w:hyperlink>
      <w:hyperlink r:id="rId13328">
        <w:r>
          <w:rPr>
            <w:color w:val="0000EE"/>
            <w:u w:val="single"/>
          </w:rPr>
          <w:t xml:space="preserve"> 8.3</w:t>
        </w:r>
      </w:hyperlink>
      <w:r>
        <w:t xml:space="preserve">; </w:t>
      </w:r>
      <w:hyperlink r:id="rId17203">
        <w:r>
          <w:rPr>
            <w:color w:val="0000EE"/>
            <w:u w:val="single"/>
          </w:rPr>
          <w:t>89.11</w:t>
        </w:r>
      </w:hyperlink>
      <w:r>
        <w:t xml:space="preserve">; </w:t>
      </w:r>
      <w:hyperlink r:id="rId18895">
        <w:r>
          <w:rPr>
            <w:color w:val="0000EE"/>
            <w:u w:val="single"/>
          </w:rPr>
          <w:t>95.3–5</w:t>
        </w:r>
      </w:hyperlink>
      <w:r>
        <w:t xml:space="preserve">), com referências à mitologia da criação das nações circundantes (e.g., </w:t>
      </w:r>
      <w:hyperlink r:id="rId18867">
        <w:r>
          <w:rPr>
            <w:color w:val="0000EE"/>
            <w:u w:val="single"/>
          </w:rPr>
          <w:t>Sl</w:t>
        </w:r>
      </w:hyperlink>
      <w:hyperlink r:id="rId18024">
        <w:r>
          <w:rPr>
            <w:color w:val="0000EE"/>
            <w:u w:val="single"/>
          </w:rPr>
          <w:t xml:space="preserve"> 89.10</w:t>
        </w:r>
      </w:hyperlink>
      <w:r>
        <w:t>) servindo meramente como ilustrações de seu Todo-poderoso poder criativo. Ele é proclamado como o Senhor da história (</w:t>
      </w:r>
      <w:hyperlink r:id="rId18867">
        <w:r>
          <w:rPr>
            <w:color w:val="0000EE"/>
            <w:u w:val="single"/>
          </w:rPr>
          <w:t>Sl</w:t>
        </w:r>
      </w:hyperlink>
      <w:hyperlink r:id="rId18881">
        <w:r>
          <w:rPr>
            <w:color w:val="0000EE"/>
            <w:u w:val="single"/>
          </w:rPr>
          <w:t xml:space="preserve"> 44</w:t>
        </w:r>
      </w:hyperlink>
      <w:r>
        <w:t xml:space="preserve">, </w:t>
      </w:r>
      <w:hyperlink r:id="rId4206">
        <w:r>
          <w:rPr>
            <w:color w:val="0000EE"/>
            <w:u w:val="single"/>
          </w:rPr>
          <w:t>78</w:t>
        </w:r>
      </w:hyperlink>
      <w:r>
        <w:t xml:space="preserve">, </w:t>
      </w:r>
      <w:hyperlink r:id="rId14947">
        <w:r>
          <w:rPr>
            <w:color w:val="0000EE"/>
            <w:u w:val="single"/>
          </w:rPr>
          <w:t>80</w:t>
        </w:r>
      </w:hyperlink>
      <w:r>
        <w:t xml:space="preserve">, </w:t>
      </w:r>
      <w:hyperlink r:id="rId9995">
        <w:r>
          <w:rPr>
            <w:color w:val="0000EE"/>
            <w:u w:val="single"/>
          </w:rPr>
          <w:t>81</w:t>
        </w:r>
      </w:hyperlink>
      <w:r>
        <w:t xml:space="preserve">, </w:t>
      </w:r>
      <w:hyperlink r:id="rId8840">
        <w:r>
          <w:rPr>
            <w:color w:val="0000EE"/>
            <w:u w:val="single"/>
          </w:rPr>
          <w:t>105</w:t>
        </w:r>
      </w:hyperlink>
      <w:r>
        <w:t xml:space="preserve">, </w:t>
      </w:r>
      <w:hyperlink r:id="rId8841">
        <w:r>
          <w:rPr>
            <w:color w:val="0000EE"/>
            <w:u w:val="single"/>
          </w:rPr>
          <w:t>106</w:t>
        </w:r>
      </w:hyperlink>
      <w:r>
        <w:t>) e como o soberano controlador da natureza (</w:t>
      </w:r>
      <w:hyperlink r:id="rId18867">
        <w:r>
          <w:rPr>
            <w:color w:val="0000EE"/>
            <w:u w:val="single"/>
          </w:rPr>
          <w:t>Sl</w:t>
        </w:r>
      </w:hyperlink>
      <w:hyperlink r:id="rId18896">
        <w:r>
          <w:rPr>
            <w:color w:val="0000EE"/>
            <w:u w:val="single"/>
          </w:rPr>
          <w:t xml:space="preserve"> 18.7</w:t>
        </w:r>
      </w:hyperlink>
      <w:r>
        <w:t xml:space="preserve">; </w:t>
      </w:r>
      <w:hyperlink r:id="rId3355">
        <w:r>
          <w:rPr>
            <w:color w:val="0000EE"/>
            <w:u w:val="single"/>
          </w:rPr>
          <w:t>19.1–6</w:t>
        </w:r>
      </w:hyperlink>
      <w:r>
        <w:t xml:space="preserve">; </w:t>
      </w:r>
      <w:hyperlink r:id="rId18897">
        <w:r>
          <w:rPr>
            <w:color w:val="0000EE"/>
            <w:u w:val="single"/>
          </w:rPr>
          <w:t>65.8–13</w:t>
        </w:r>
      </w:hyperlink>
      <w:r>
        <w:t xml:space="preserve">; </w:t>
      </w:r>
      <w:hyperlink r:id="rId18898">
        <w:r>
          <w:rPr>
            <w:color w:val="0000EE"/>
            <w:u w:val="single"/>
          </w:rPr>
          <w:t>105.26–42</w:t>
        </w:r>
      </w:hyperlink>
      <w:r>
        <w:t xml:space="preserve">; </w:t>
      </w:r>
      <w:hyperlink r:id="rId18899">
        <w:r>
          <w:rPr>
            <w:color w:val="0000EE"/>
            <w:u w:val="single"/>
          </w:rPr>
          <w:t>135.5–7</w:t>
        </w:r>
      </w:hyperlink>
      <w:r>
        <w:t>). Os salmistas nunca se cansaram de celebrar a grandeza absoluta de Deus.</w:t>
      </w:r>
    </w:p>
    <w:p>
      <w:pPr>
        <w:pStyle w:val="Heading4"/>
      </w:pPr>
      <w:r>
        <w:t>A perspectiva humana</w:t>
      </w:r>
    </w:p>
    <w:p>
      <w:r/>
      <w:r>
        <w:t>O Saltério é um livro centrado em Deus, mas a humanidade tem um lugar digno, apesar do vasto abismo entre eles e seu Criador (</w:t>
      </w:r>
      <w:hyperlink r:id="rId18900">
        <w:r>
          <w:rPr>
            <w:color w:val="0000EE"/>
            <w:u w:val="single"/>
          </w:rPr>
          <w:t>Sl 8.3–4</w:t>
        </w:r>
      </w:hyperlink>
      <w:r>
        <w:t xml:space="preserve">; </w:t>
      </w:r>
      <w:hyperlink r:id="rId18901">
        <w:r>
          <w:rPr>
            <w:color w:val="0000EE"/>
            <w:u w:val="single"/>
          </w:rPr>
          <w:t>145.3–4</w:t>
        </w:r>
      </w:hyperlink>
      <w:r>
        <w:t>) e das limitações de sua vida terrena (</w:t>
      </w:r>
      <w:hyperlink r:id="rId18902">
        <w:r>
          <w:rPr>
            <w:color w:val="0000EE"/>
            <w:u w:val="single"/>
          </w:rPr>
          <w:t>Sl 90.9–10</w:t>
        </w:r>
      </w:hyperlink>
      <w:r>
        <w:t>). Pela vontade de Deus, os humanos ocupam uma posição responsável e mediadora entre Deus e todos os outros seres criados (</w:t>
      </w:r>
      <w:hyperlink r:id="rId18903">
        <w:r>
          <w:rPr>
            <w:color w:val="0000EE"/>
            <w:u w:val="single"/>
          </w:rPr>
          <w:t>Sl 8.5–8</w:t>
        </w:r>
      </w:hyperlink>
      <w:r>
        <w:t>). O relacionamento com um Deus justo é ameaçado pelo pecado (</w:t>
      </w:r>
      <w:hyperlink r:id="rId8841">
        <w:r>
          <w:rPr>
            <w:color w:val="0000EE"/>
            <w:u w:val="single"/>
          </w:rPr>
          <w:t>Sl 106</w:t>
        </w:r>
      </w:hyperlink>
      <w:r>
        <w:t>), mas Deus é gracioso e longânimo (</w:t>
      </w:r>
      <w:hyperlink r:id="rId18891">
        <w:r>
          <w:rPr>
            <w:color w:val="0000EE"/>
            <w:u w:val="single"/>
          </w:rPr>
          <w:t>Sl 103</w:t>
        </w:r>
      </w:hyperlink>
      <w:r>
        <w:t>), fiel e perdoador (</w:t>
      </w:r>
      <w:hyperlink r:id="rId14598">
        <w:r>
          <w:rPr>
            <w:color w:val="0000EE"/>
            <w:u w:val="single"/>
          </w:rPr>
          <w:t>Sl 130</w:t>
        </w:r>
      </w:hyperlink>
      <w:r>
        <w:t>). Embora não faltem referências ao sistema sacrificial (</w:t>
      </w:r>
      <w:hyperlink r:id="rId18904">
        <w:r>
          <w:rPr>
            <w:color w:val="0000EE"/>
            <w:u w:val="single"/>
          </w:rPr>
          <w:t>Sl 20.3</w:t>
        </w:r>
      </w:hyperlink>
      <w:r>
        <w:t xml:space="preserve">; </w:t>
      </w:r>
      <w:hyperlink r:id="rId18905">
        <w:r>
          <w:rPr>
            <w:color w:val="0000EE"/>
            <w:u w:val="single"/>
          </w:rPr>
          <w:t>50.8–9</w:t>
        </w:r>
      </w:hyperlink>
      <w:r>
        <w:t>), a ênfase está em uma piedade pessoal que exige obediência e um coração rendido (</w:t>
      </w:r>
      <w:hyperlink r:id="rId10459">
        <w:r>
          <w:rPr>
            <w:color w:val="0000EE"/>
            <w:u w:val="single"/>
          </w:rPr>
          <w:t>Sl 40.6–8</w:t>
        </w:r>
      </w:hyperlink>
      <w:r>
        <w:t xml:space="preserve">). </w:t>
      </w:r>
      <w:hyperlink r:id="rId2603">
        <w:r>
          <w:rPr>
            <w:color w:val="0000EE"/>
            <w:u w:val="single"/>
          </w:rPr>
          <w:t>O Salmo 51</w:t>
        </w:r>
      </w:hyperlink>
      <w:r>
        <w:t xml:space="preserve"> indica uma profundidade de pecado com a qual o sistema sacrificial era totalmente inadequado para lidar; o salmista só podia lançar-se, em total penitência, sobre a misericórdia de Deus. As obrigações morais do homem (</w:t>
      </w:r>
      <w:hyperlink r:id="rId18906">
        <w:r>
          <w:rPr>
            <w:color w:val="0000EE"/>
            <w:u w:val="single"/>
          </w:rPr>
          <w:t>Sl 15</w:t>
        </w:r>
      </w:hyperlink>
      <w:r>
        <w:t xml:space="preserve">; </w:t>
      </w:r>
      <w:hyperlink r:id="rId18907">
        <w:r>
          <w:rPr>
            <w:color w:val="0000EE"/>
            <w:u w:val="single"/>
          </w:rPr>
          <w:t>24.3–5</w:t>
        </w:r>
      </w:hyperlink>
      <w:r>
        <w:t>) e a lealdade à lei (</w:t>
      </w:r>
      <w:hyperlink r:id="rId18908">
        <w:r>
          <w:rPr>
            <w:color w:val="0000EE"/>
            <w:u w:val="single"/>
          </w:rPr>
          <w:t>Sl 19.7–11</w:t>
        </w:r>
      </w:hyperlink>
      <w:r>
        <w:t xml:space="preserve">; </w:t>
      </w:r>
      <w:hyperlink r:id="rId274">
        <w:r>
          <w:rPr>
            <w:color w:val="0000EE"/>
            <w:u w:val="single"/>
          </w:rPr>
          <w:t>119</w:t>
        </w:r>
      </w:hyperlink>
      <w:r>
        <w:t>) são plenamente aceitas. Ao longo de tudo, há a revelação de um forte relacionamento pessoal que encoraja a oração e o louvor e convida à confiança.</w:t>
      </w:r>
    </w:p>
    <w:p>
      <w:pPr>
        <w:pStyle w:val="Heading4"/>
      </w:pPr>
      <w:r>
        <w:t>A vida depois da morte</w:t>
      </w:r>
    </w:p>
    <w:p>
      <w:r/>
      <w:r>
        <w:t>Os Salmos mantêm a visão hebraica tradicional de Sheol como a morada dos falecidos, sem distinção entre bons e maus, onde tudo, exceto a mera existência, perecia. A principal queixa do homem devoto era que, em Sheol, todo relacionamento significativo com Deus cessava (</w:t>
      </w:r>
      <w:hyperlink r:id="rId11021">
        <w:r>
          <w:rPr>
            <w:color w:val="0000EE"/>
            <w:u w:val="single"/>
          </w:rPr>
          <w:t>Sl 6.5</w:t>
        </w:r>
      </w:hyperlink>
      <w:r>
        <w:t xml:space="preserve">; </w:t>
      </w:r>
      <w:hyperlink r:id="rId18154">
        <w:r>
          <w:rPr>
            <w:color w:val="0000EE"/>
            <w:u w:val="single"/>
          </w:rPr>
          <w:t>88.10–12</w:t>
        </w:r>
      </w:hyperlink>
      <w:r>
        <w:t>). No entanto, reconhecia-se que, já que Deus era Todo-poderoso, nem mesmo Sheol estava isento de seu alcance (</w:t>
      </w:r>
      <w:hyperlink r:id="rId14816">
        <w:r>
          <w:rPr>
            <w:color w:val="0000EE"/>
            <w:u w:val="single"/>
          </w:rPr>
          <w:t>Sl 139.8</w:t>
        </w:r>
      </w:hyperlink>
      <w:r>
        <w:t xml:space="preserve">). A isso se somava a preciosidade e a força da comunhão com Deus, que não poderia ser terminada nem mesmo pela morte. </w:t>
      </w:r>
      <w:hyperlink r:id="rId6045">
        <w:r>
          <w:rPr>
            <w:color w:val="0000EE"/>
            <w:u w:val="single"/>
          </w:rPr>
          <w:t>Salmos 16.9–11</w:t>
        </w:r>
      </w:hyperlink>
      <w:r>
        <w:t xml:space="preserve">, </w:t>
      </w:r>
      <w:hyperlink r:id="rId904">
        <w:r>
          <w:rPr>
            <w:color w:val="0000EE"/>
            <w:u w:val="single"/>
          </w:rPr>
          <w:t>49.15</w:t>
        </w:r>
      </w:hyperlink>
      <w:r>
        <w:t xml:space="preserve"> e </w:t>
      </w:r>
      <w:hyperlink r:id="rId18909">
        <w:r>
          <w:rPr>
            <w:color w:val="0000EE"/>
            <w:u w:val="single"/>
          </w:rPr>
          <w:t>73.23–26</w:t>
        </w:r>
      </w:hyperlink>
      <w:r>
        <w:t xml:space="preserve"> ilustram bem essa percepção. O Saltério, portanto, testemunha uma fase de transição importante na crença de Israel.</w:t>
      </w:r>
    </w:p>
    <w:p>
      <w:pPr>
        <w:pStyle w:val="Heading4"/>
      </w:pPr>
      <w:r>
        <w:t>Reconhecimento universal de Deus</w:t>
      </w:r>
    </w:p>
    <w:p>
      <w:r/>
      <w:r>
        <w:t xml:space="preserve">Passagens como </w:t>
      </w:r>
      <w:hyperlink r:id="rId18910">
        <w:r>
          <w:rPr>
            <w:color w:val="0000EE"/>
            <w:u w:val="single"/>
          </w:rPr>
          <w:t>Salmos 9.11</w:t>
        </w:r>
      </w:hyperlink>
      <w:r>
        <w:t xml:space="preserve">; </w:t>
      </w:r>
      <w:hyperlink r:id="rId18911">
        <w:r>
          <w:rPr>
            <w:color w:val="0000EE"/>
            <w:u w:val="single"/>
          </w:rPr>
          <w:t>47.1–2,7–9</w:t>
        </w:r>
      </w:hyperlink>
      <w:r>
        <w:t xml:space="preserve">; </w:t>
      </w:r>
      <w:hyperlink r:id="rId18912">
        <w:r>
          <w:rPr>
            <w:color w:val="0000EE"/>
            <w:u w:val="single"/>
          </w:rPr>
          <w:t>66.8</w:t>
        </w:r>
      </w:hyperlink>
      <w:r>
        <w:t xml:space="preserve">; </w:t>
      </w:r>
      <w:hyperlink r:id="rId14962">
        <w:r>
          <w:rPr>
            <w:color w:val="0000EE"/>
            <w:u w:val="single"/>
          </w:rPr>
          <w:t>67</w:t>
        </w:r>
      </w:hyperlink>
      <w:r>
        <w:t xml:space="preserve">; e </w:t>
      </w:r>
      <w:hyperlink r:id="rId18913">
        <w:r>
          <w:rPr>
            <w:color w:val="0000EE"/>
            <w:u w:val="single"/>
          </w:rPr>
          <w:t>117.1</w:t>
        </w:r>
      </w:hyperlink>
      <w:r>
        <w:t xml:space="preserve"> convocam todas as nações a reconhecer e louvar a Deus, mostrando uma consciência de sua soberania sobre todas as nações. No entanto, esse universalismo não parece incluir qualquer desejo de converter as nações pagãs e, de fato, é equilibrado por fortes elementos particularistas. O relacionamento de aliança de Deus com seu povo e seus feitos poderosos em favor deles são os principais motivos pelos quais o louvor de todas as nações é convocado (</w:t>
      </w:r>
      <w:hyperlink r:id="rId18914">
        <w:r>
          <w:rPr>
            <w:color w:val="0000EE"/>
            <w:u w:val="single"/>
          </w:rPr>
          <w:t>Sl 47.3–4</w:t>
        </w:r>
      </w:hyperlink>
      <w:r>
        <w:t xml:space="preserve">; </w:t>
      </w:r>
      <w:hyperlink r:id="rId18915">
        <w:r>
          <w:rPr>
            <w:color w:val="0000EE"/>
            <w:u w:val="single"/>
          </w:rPr>
          <w:t>66.8–9</w:t>
        </w:r>
      </w:hyperlink>
      <w:r>
        <w:t xml:space="preserve">; </w:t>
      </w:r>
      <w:hyperlink r:id="rId18661">
        <w:r>
          <w:rPr>
            <w:color w:val="0000EE"/>
            <w:u w:val="single"/>
          </w:rPr>
          <w:t>126.2</w:t>
        </w:r>
      </w:hyperlink>
      <w:r>
        <w:t>). Como em outras partes do AT, o papel de Israel é passivo; sua existência contínua testemunha a fidelidade de Deus e traz glória a ele.</w:t>
      </w:r>
    </w:p>
    <w:p>
      <w:pPr>
        <w:pStyle w:val="Heading4"/>
      </w:pPr>
      <w:r>
        <w:t>Valor duradouro</w:t>
      </w:r>
    </w:p>
    <w:p>
      <w:r/>
      <w:r>
        <w:t>Independentemente da emoção dos salmistas, seja uma queixa amarga, um lamento angustiado ou uma exultação jubilosa, todos os salmos refletem um ou outro dos muitos aspectos da comunhão com Deus. O leitor pode olhar "dentro do coração de todos os santos" (como disse Lutero) enquanto enfrentavam as experiências da vida, conscientes de um Deus onisciente, onipresente e onipotente. A força desse relacionamento pessoal com Deus, que caracterizava a adoração no Antigo Testamento em seu melhor, é exemplificada aqui, e os muitos ecos dos salmos em outras partes da literatura de Israel mostram a poderosa influência desses testemunhos sobre os fiéis. O fato de que, quase invariavelmente, poucos detalhes específicos são dados sobre as condições reais dos salmistas facilitou para que o Saltério se tornasse o hinário universal e tesouro devocional do povo de Deus, tanto no culto público quanto no privado, até os dias atuais. A vida moderna, materialmente, é vastamente diferente da de Israel antigo, mas Deus permanece inalterado, assim como as necessidades básicas do coração humano. O Espírito Santo, portanto, ainda pode usar esse tesouro espiritual como um meio de revelação e comunicação entre Deus e o homem. Poucos livros na Bíblia exerceram uma influência tão profunda ou foram tão amplamente utilizados.</w:t>
      </w:r>
    </w:p>
    <w:p>
      <w:pPr>
        <w:pStyle w:val="Heading3"/>
      </w:pPr>
      <w:r>
        <w:t>Conteúdo</w:t>
      </w:r>
    </w:p>
    <w:p>
      <w:pPr>
        <w:pStyle w:val="Heading4"/>
      </w:pPr>
      <w:r>
        <w:t>Introdução</w:t>
      </w:r>
    </w:p>
    <w:p>
      <w:r/>
      <w:r>
        <w:t>É mais útil descrever os salmos em categorias do que explicá-los um por um em ordem canônica. Os salmos podem ser categorizados da seguinte maneira:</w:t>
      </w:r>
    </w:p>
    <w:p>
      <w:r/>
      <w:r>
        <w:t>Salmos de louvor</w:t>
      </w:r>
    </w:p>
    <w:p>
      <w:r/>
      <w:r>
        <w:t>Salmos reais e messiânicos</w:t>
      </w:r>
    </w:p>
    <w:p>
      <w:r/>
      <w:r>
        <w:t>Salmos de paixão (messiânica)</w:t>
      </w:r>
    </w:p>
    <w:p>
      <w:r/>
      <w:r>
        <w:t>Salmos sobre Sião</w:t>
      </w:r>
    </w:p>
    <w:p>
      <w:r/>
      <w:r>
        <w:t>Lamentações</w:t>
      </w:r>
    </w:p>
    <w:p>
      <w:r/>
      <w:r>
        <w:t>Salmos imprecatórios</w:t>
      </w:r>
    </w:p>
    <w:p>
      <w:r/>
      <w:r>
        <w:t>Salmos de arrependimento</w:t>
      </w:r>
    </w:p>
    <w:p>
      <w:r/>
      <w:r>
        <w:t>Salmos de sabedoria e salmos históricos</w:t>
      </w:r>
    </w:p>
    <w:p>
      <w:r/>
      <w:r>
        <w:t>Salmos de confiança</w:t>
      </w:r>
    </w:p>
    <w:p>
      <w:pPr>
        <w:pStyle w:val="Heading4"/>
      </w:pPr>
      <w:r>
        <w:t>Salmos de louvor</w:t>
      </w:r>
    </w:p>
    <w:p>
      <w:r/>
      <w:r>
        <w:t xml:space="preserve">O título hebraico, "Louvores", define com precisão grande parte do conteúdo do livro. Cada uma das quatro primeiras seções conclui com uma doxologia, enquanto a quinta seção termina com cinco salmos, cada um dos quais começa e termina com um ou dois "Aleluia". O último deles, </w:t>
      </w:r>
      <w:hyperlink r:id="rId727">
        <w:r>
          <w:rPr>
            <w:color w:val="0000EE"/>
            <w:u w:val="single"/>
          </w:rPr>
          <w:t>Salmo 150</w:t>
        </w:r>
      </w:hyperlink>
      <w:r>
        <w:t>, faz um chamado ao louvor total. Deus deve ser louvado por seu ser, por seus grandes atos na criação, na natureza e na história, tanto no nível individual quanto no comunitário.</w:t>
      </w:r>
    </w:p>
    <w:p>
      <w:r/>
      <w:r>
        <w:t xml:space="preserve">1. Louvor individual. Em comparação com o número de lamentos individuais, há relativamente poucos salmos nesta categoria. Os normalmente incluídos são </w:t>
      </w:r>
      <w:hyperlink r:id="rId267">
        <w:r>
          <w:rPr>
            <w:color w:val="0000EE"/>
            <w:u w:val="single"/>
          </w:rPr>
          <w:t>Salmos 9</w:t>
        </w:r>
      </w:hyperlink>
      <w:r>
        <w:t xml:space="preserve">, </w:t>
      </w:r>
      <w:hyperlink r:id="rId6595">
        <w:r>
          <w:rPr>
            <w:color w:val="0000EE"/>
            <w:u w:val="single"/>
          </w:rPr>
          <w:t>18</w:t>
        </w:r>
      </w:hyperlink>
      <w:r>
        <w:t xml:space="preserve">, </w:t>
      </w:r>
      <w:hyperlink r:id="rId5383">
        <w:r>
          <w:rPr>
            <w:color w:val="0000EE"/>
            <w:u w:val="single"/>
          </w:rPr>
          <w:t>32</w:t>
        </w:r>
      </w:hyperlink>
      <w:r>
        <w:t xml:space="preserve">, </w:t>
      </w:r>
      <w:hyperlink r:id="rId270">
        <w:r>
          <w:rPr>
            <w:color w:val="0000EE"/>
            <w:u w:val="single"/>
          </w:rPr>
          <w:t>34</w:t>
        </w:r>
      </w:hyperlink>
      <w:r>
        <w:t xml:space="preserve">, </w:t>
      </w:r>
      <w:hyperlink r:id="rId5384">
        <w:r>
          <w:rPr>
            <w:color w:val="0000EE"/>
            <w:u w:val="single"/>
          </w:rPr>
          <w:t>116</w:t>
        </w:r>
      </w:hyperlink>
      <w:r>
        <w:t xml:space="preserve"> e </w:t>
      </w:r>
      <w:hyperlink r:id="rId18916">
        <w:r>
          <w:rPr>
            <w:color w:val="0000EE"/>
            <w:u w:val="single"/>
          </w:rPr>
          <w:t>138</w:t>
        </w:r>
      </w:hyperlink>
      <w:r>
        <w:t xml:space="preserve">. Isso pode, em parte, ser devido à tendência universal de reclamar em vez de expressar gratidão. No entanto, vários dos lamentos, de fato, incluem uma nota de agradecimento pela libertação antecipada, e o ciclo normal de agradecimento congregacional permitiria que o indivíduo expressasse seu louvor pessoal. Era costume na adoração no templo dar um ato verbal de agradecimento diante de toda a assembleia sempre que uma oferta de voto ou uma oferta de agradecimento era feita. Tal testemunho público, e a refeição comunitária associada a esse tipo de sacrifício, são indicados nos </w:t>
      </w:r>
      <w:hyperlink r:id="rId18917">
        <w:r>
          <w:rPr>
            <w:color w:val="0000EE"/>
            <w:u w:val="single"/>
          </w:rPr>
          <w:t>Salmos 22.22–26</w:t>
        </w:r>
      </w:hyperlink>
      <w:r>
        <w:t xml:space="preserve">; </w:t>
      </w:r>
      <w:hyperlink r:id="rId18918">
        <w:r>
          <w:rPr>
            <w:color w:val="0000EE"/>
            <w:u w:val="single"/>
          </w:rPr>
          <w:t>66.13–20</w:t>
        </w:r>
      </w:hyperlink>
      <w:r>
        <w:t xml:space="preserve">; </w:t>
      </w:r>
      <w:hyperlink r:id="rId18919">
        <w:r>
          <w:rPr>
            <w:color w:val="0000EE"/>
            <w:u w:val="single"/>
          </w:rPr>
          <w:t>116.17–19</w:t>
        </w:r>
      </w:hyperlink>
      <w:r>
        <w:t>. A inclusão de tais oportunidades para louvor pessoal e testemunho deve ter acrescentado calor e significado à adoração. Cada ato de libertação e cada experiência da misericórdia de Deus tornava-se parte da história da salvação, que era um conceito cumulativo e contínuo, não simplesmente um relato dos feitos de Deus em séculos anteriores.</w:t>
      </w:r>
    </w:p>
    <w:p>
      <w:r/>
      <w:r>
        <w:t xml:space="preserve">2. Louvor comunitário geral. Isso às vezes é intitulado "hinos" ou "louvor descritivo", sendo sua principal característica ligada a um ato particular de libertação. Deus geralmente é referido na terceira pessoa, não diretamente. </w:t>
      </w:r>
      <w:hyperlink r:id="rId18891">
        <w:r>
          <w:rPr>
            <w:color w:val="0000EE"/>
            <w:u w:val="single"/>
          </w:rPr>
          <w:t>Salmo 103</w:t>
        </w:r>
      </w:hyperlink>
      <w:r>
        <w:t xml:space="preserve"> pode ser considerado representativo deste grupo. Ele começa e termina com referências individuais (vv. </w:t>
      </w:r>
      <w:hyperlink r:id="rId18920">
        <w:r>
          <w:rPr>
            <w:color w:val="0000EE"/>
            <w:u w:val="single"/>
          </w:rPr>
          <w:t>1–5,22b</w:t>
        </w:r>
      </w:hyperlink>
      <w:r>
        <w:t xml:space="preserve">), mas a seção central (esp. vv. </w:t>
      </w:r>
      <w:hyperlink r:id="rId18921">
        <w:r>
          <w:rPr>
            <w:color w:val="0000EE"/>
            <w:u w:val="single"/>
          </w:rPr>
          <w:t>6–14</w:t>
        </w:r>
      </w:hyperlink>
      <w:r>
        <w:t xml:space="preserve">) mostra que o salmista fazia parte de uma comunidade de adoração. Primeiro, há o chamado imperativo para louvar a Deus por toda a extensão de sua misericórdia a cada indivíduo, incluindo a libertação física e espiritual e sua graça sustentadora e satisfatória. Em seguida, o foco muda para suas grandes obras na história (vv. </w:t>
      </w:r>
      <w:hyperlink r:id="rId18922">
        <w:r>
          <w:rPr>
            <w:color w:val="0000EE"/>
            <w:u w:val="single"/>
          </w:rPr>
          <w:t>6–7</w:t>
        </w:r>
      </w:hyperlink>
      <w:r>
        <w:t xml:space="preserve">). Isso forma uma base natural para o relato dessas qualidades graciosas reveladas de forma tão consistente ao longo da história nacional, especialmente seu cuidado terno e paternal (vv. </w:t>
      </w:r>
      <w:hyperlink r:id="rId16594">
        <w:r>
          <w:rPr>
            <w:color w:val="0000EE"/>
            <w:u w:val="single"/>
          </w:rPr>
          <w:t>8–14</w:t>
        </w:r>
      </w:hyperlink>
      <w:r>
        <w:t xml:space="preserve">). A fragilidade da humanidade contrasta com a constância de Deus (vv. </w:t>
      </w:r>
      <w:hyperlink r:id="rId18923">
        <w:r>
          <w:rPr>
            <w:color w:val="0000EE"/>
            <w:u w:val="single"/>
          </w:rPr>
          <w:t>15–18</w:t>
        </w:r>
      </w:hyperlink>
      <w:r>
        <w:t xml:space="preserve">), e seu governo, sendo universal e absoluto (v. </w:t>
      </w:r>
      <w:hyperlink r:id="rId18924">
        <w:r>
          <w:rPr>
            <w:color w:val="0000EE"/>
            <w:u w:val="single"/>
          </w:rPr>
          <w:t>19</w:t>
        </w:r>
      </w:hyperlink>
      <w:r>
        <w:t xml:space="preserve">), merece o louvor de todas as coisas, vivas e inanimadas, no céu e na terra (vv. </w:t>
      </w:r>
      <w:hyperlink r:id="rId18925">
        <w:r>
          <w:rPr>
            <w:color w:val="0000EE"/>
            <w:u w:val="single"/>
          </w:rPr>
          <w:t>19–22</w:t>
        </w:r>
      </w:hyperlink>
      <w:r>
        <w:t xml:space="preserve">). No entanto, há um grande número de variações possíveis na maneira como Deus é celebrado, como </w:t>
      </w:r>
      <w:hyperlink r:id="rId723">
        <w:r>
          <w:rPr>
            <w:color w:val="0000EE"/>
            <w:u w:val="single"/>
          </w:rPr>
          <w:t>Salmos 113</w:t>
        </w:r>
      </w:hyperlink>
      <w:r>
        <w:t xml:space="preserve"> e </w:t>
      </w:r>
      <w:hyperlink r:id="rId1160">
        <w:r>
          <w:rPr>
            <w:color w:val="0000EE"/>
            <w:u w:val="single"/>
          </w:rPr>
          <w:t>136</w:t>
        </w:r>
      </w:hyperlink>
      <w:r>
        <w:t>, que se enquadram nesta classe, ilustram.</w:t>
      </w:r>
    </w:p>
    <w:p>
      <w:r/>
      <w:r>
        <w:t xml:space="preserve">3. Louvor comunitário específico. Ocasionalmente chamado de “louvor declarativo”, este tipo de salmo está relacionado a uma evidência particular e notável da misericórdia de Deus e seguiria naturalmente logo após o evento em si. A libertação de um inimigo fornece a ocasião para a maioria dos salmos nesta categoria (e.g., </w:t>
      </w:r>
      <w:hyperlink r:id="rId18926">
        <w:r>
          <w:rPr>
            <w:color w:val="0000EE"/>
            <w:u w:val="single"/>
          </w:rPr>
          <w:t>Sl 124</w:t>
        </w:r>
      </w:hyperlink>
      <w:r>
        <w:t xml:space="preserve">, </w:t>
      </w:r>
      <w:hyperlink r:id="rId18860">
        <w:r>
          <w:rPr>
            <w:color w:val="0000EE"/>
            <w:u w:val="single"/>
          </w:rPr>
          <w:t>129</w:t>
        </w:r>
      </w:hyperlink>
      <w:r>
        <w:t xml:space="preserve">). </w:t>
      </w:r>
      <w:hyperlink r:id="rId18927">
        <w:r>
          <w:rPr>
            <w:color w:val="0000EE"/>
            <w:u w:val="single"/>
          </w:rPr>
          <w:t>Salmo 66.8–12</w:t>
        </w:r>
      </w:hyperlink>
      <w:r>
        <w:t xml:space="preserve">, agora o núcleo de um recital expandido da bondade de Deus, possivelmente já foi completo em si mesmo. </w:t>
      </w:r>
      <w:hyperlink r:id="rId18928">
        <w:r>
          <w:rPr>
            <w:color w:val="0000EE"/>
            <w:u w:val="single"/>
          </w:rPr>
          <w:t>Salmos 46–48</w:t>
        </w:r>
      </w:hyperlink>
      <w:r>
        <w:t xml:space="preserve"> podem formar uma trilogia conectada com a notável libertação de Jerusalém dos assírios de Senaqueribe em 701 a.C. (</w:t>
      </w:r>
      <w:hyperlink r:id="rId8880">
        <w:r>
          <w:rPr>
            <w:color w:val="0000EE"/>
            <w:u w:val="single"/>
          </w:rPr>
          <w:t>2Rs 18.17–19.37</w:t>
        </w:r>
      </w:hyperlink>
      <w:r>
        <w:t xml:space="preserve">). </w:t>
      </w:r>
      <w:hyperlink r:id="rId14962">
        <w:r>
          <w:rPr>
            <w:color w:val="0000EE"/>
            <w:u w:val="single"/>
          </w:rPr>
          <w:t>Salmo 67</w:t>
        </w:r>
      </w:hyperlink>
      <w:r>
        <w:t xml:space="preserve"> provavelmente foi composto em gratidão por uma colheita específica. É fácil ver como salmos deste tipo poderiam, com o passar do tempo, adquirir um uso mais geral.</w:t>
      </w:r>
    </w:p>
    <w:p>
      <w:r/>
      <w:r>
        <w:t xml:space="preserve">4. Louvor ao Deus da natureza. A primeira parte do </w:t>
      </w:r>
      <w:hyperlink r:id="rId6085">
        <w:r>
          <w:rPr>
            <w:color w:val="0000EE"/>
            <w:u w:val="single"/>
          </w:rPr>
          <w:t>Salmo 19</w:t>
        </w:r>
      </w:hyperlink>
      <w:r>
        <w:t xml:space="preserve"> retrata o louvor a Deus ressoando dos céus; o </w:t>
      </w:r>
      <w:hyperlink r:id="rId13816">
        <w:r>
          <w:rPr>
            <w:color w:val="0000EE"/>
            <w:u w:val="single"/>
          </w:rPr>
          <w:t>Salmo 29</w:t>
        </w:r>
      </w:hyperlink>
      <w:r>
        <w:t xml:space="preserve"> celebra-o como o Deus da tempestade, que, varrendo do Mediterrâneo perto do Líbano, segue seu caminho impressionante para o sul, no deserto de Cades, com o resultado de que “em seu templo” (o mundo criado?) todos estão louvando, “Glória, glória ao Senhor” (v. </w:t>
      </w:r>
      <w:hyperlink r:id="rId1586">
        <w:r>
          <w:rPr>
            <w:color w:val="0000EE"/>
            <w:u w:val="single"/>
          </w:rPr>
          <w:t>9</w:t>
        </w:r>
      </w:hyperlink>
      <w:r>
        <w:t xml:space="preserve">). Sua soberania e autossuficiência neste mundo são celebradas no </w:t>
      </w:r>
      <w:hyperlink r:id="rId18929">
        <w:r>
          <w:rPr>
            <w:color w:val="0000EE"/>
            <w:u w:val="single"/>
          </w:rPr>
          <w:t>Salmo 50.10–12</w:t>
        </w:r>
      </w:hyperlink>
      <w:r>
        <w:t>; ele é o Deus do crescimento e da colheita (</w:t>
      </w:r>
      <w:hyperlink r:id="rId18930">
        <w:r>
          <w:rPr>
            <w:color w:val="0000EE"/>
            <w:u w:val="single"/>
          </w:rPr>
          <w:t>Sl 65.9–13</w:t>
        </w:r>
      </w:hyperlink>
      <w:r>
        <w:t xml:space="preserve">); no </w:t>
      </w:r>
      <w:hyperlink r:id="rId15273">
        <w:r>
          <w:rPr>
            <w:color w:val="0000EE"/>
            <w:u w:val="single"/>
          </w:rPr>
          <w:t>Salmo 104</w:t>
        </w:r>
      </w:hyperlink>
      <w:r>
        <w:t xml:space="preserve">, muitas vezes chamado de “Hino da Criação”, ele sustenta e fornece tudo na terra e nos mares e é o absoluto Senhor de toda a vida (vv. </w:t>
      </w:r>
      <w:hyperlink r:id="rId8352">
        <w:r>
          <w:rPr>
            <w:color w:val="0000EE"/>
            <w:u w:val="single"/>
          </w:rPr>
          <w:t>29–30</w:t>
        </w:r>
      </w:hyperlink>
      <w:r>
        <w:t>). Não há confusão entre Deus e sua criação; até mesmo o céu e a terra aparentemente permanentes perecerão, mas “tu continuas para sempre” (</w:t>
      </w:r>
      <w:hyperlink r:id="rId18931">
        <w:r>
          <w:rPr>
            <w:color w:val="0000EE"/>
            <w:u w:val="single"/>
          </w:rPr>
          <w:t>Sl 102.25–27</w:t>
        </w:r>
      </w:hyperlink>
      <w:r>
        <w:t>). O papel da natureza é proclamar a glória de Deus (</w:t>
      </w:r>
      <w:hyperlink r:id="rId6896">
        <w:r>
          <w:rPr>
            <w:color w:val="0000EE"/>
            <w:u w:val="single"/>
          </w:rPr>
          <w:t>Sl 19.1</w:t>
        </w:r>
      </w:hyperlink>
      <w:r>
        <w:t>) e louvá-lo (</w:t>
      </w:r>
      <w:hyperlink r:id="rId6524">
        <w:r>
          <w:rPr>
            <w:color w:val="0000EE"/>
            <w:u w:val="single"/>
          </w:rPr>
          <w:t>Sl 148</w:t>
        </w:r>
      </w:hyperlink>
      <w:r>
        <w:t>). As pessoas se veem como insignificantes quando comparadas a essas forças da natureza, que são elas mesmas ofuscadas por Deus — daí a consciência do abismo imensurável entre Deus e as pessoas que Deus preencheu por sua graça (</w:t>
      </w:r>
      <w:hyperlink r:id="rId4745">
        <w:r>
          <w:rPr>
            <w:color w:val="0000EE"/>
            <w:u w:val="single"/>
          </w:rPr>
          <w:t>Sl 8</w:t>
        </w:r>
      </w:hyperlink>
      <w:r>
        <w:t>).</w:t>
      </w:r>
    </w:p>
    <w:p>
      <w:r/>
      <w:r>
        <w:t>5. Louvor pela realeza de Deus. Um grupo relativamente pequeno de salmos (</w:t>
      </w:r>
      <w:hyperlink r:id="rId18932">
        <w:r>
          <w:rPr>
            <w:color w:val="0000EE"/>
            <w:u w:val="single"/>
          </w:rPr>
          <w:t>Sl 47</w:t>
        </w:r>
      </w:hyperlink>
      <w:r>
        <w:t xml:space="preserve">, </w:t>
      </w:r>
      <w:hyperlink r:id="rId14938">
        <w:r>
          <w:rPr>
            <w:color w:val="0000EE"/>
            <w:u w:val="single"/>
          </w:rPr>
          <w:t>93</w:t>
        </w:r>
      </w:hyperlink>
      <w:r>
        <w:t xml:space="preserve">, </w:t>
      </w:r>
      <w:hyperlink r:id="rId18933">
        <w:r>
          <w:rPr>
            <w:color w:val="0000EE"/>
            <w:u w:val="single"/>
          </w:rPr>
          <w:t>96–99</w:t>
        </w:r>
      </w:hyperlink>
      <w:r>
        <w:t>) celebra a realeza de Deus de uma maneira que vai além do louvor observado nos grupos anteriores. Eles são marcados por aclamação, tanto por gritos quanto por aplausos quando Deus "ascende" (sobe). Presumivelmente, a referência é ao seu trono (</w:t>
      </w:r>
      <w:hyperlink r:id="rId18934">
        <w:r>
          <w:rPr>
            <w:color w:val="0000EE"/>
            <w:u w:val="single"/>
          </w:rPr>
          <w:t>Sl 47.1–5</w:t>
        </w:r>
      </w:hyperlink>
      <w:r>
        <w:t xml:space="preserve">; cf. </w:t>
      </w:r>
      <w:hyperlink r:id="rId18935">
        <w:r>
          <w:rPr>
            <w:color w:val="0000EE"/>
            <w:u w:val="single"/>
          </w:rPr>
          <w:t>99.1–2</w:t>
        </w:r>
      </w:hyperlink>
      <w:r>
        <w:t>). "O Senhor reina" (</w:t>
      </w:r>
      <w:hyperlink r:id="rId2135">
        <w:r>
          <w:rPr>
            <w:color w:val="0000EE"/>
            <w:u w:val="single"/>
          </w:rPr>
          <w:t>Sl 93.1</w:t>
        </w:r>
      </w:hyperlink>
      <w:r>
        <w:t xml:space="preserve">; </w:t>
      </w:r>
      <w:hyperlink r:id="rId2136">
        <w:r>
          <w:rPr>
            <w:color w:val="0000EE"/>
            <w:u w:val="single"/>
          </w:rPr>
          <w:t>97.1</w:t>
        </w:r>
      </w:hyperlink>
      <w:r>
        <w:t xml:space="preserve">; </w:t>
      </w:r>
      <w:hyperlink r:id="rId2137">
        <w:r>
          <w:rPr>
            <w:color w:val="0000EE"/>
            <w:u w:val="single"/>
          </w:rPr>
          <w:t>99.1</w:t>
        </w:r>
      </w:hyperlink>
      <w:r>
        <w:t>) é o grito frequente, e a natureza de seu reinado é exaltada (</w:t>
      </w:r>
      <w:hyperlink r:id="rId18936">
        <w:r>
          <w:rPr>
            <w:color w:val="0000EE"/>
            <w:u w:val="single"/>
          </w:rPr>
          <w:t>Sl 99.4–5</w:t>
        </w:r>
      </w:hyperlink>
      <w:r>
        <w:t>).</w:t>
      </w:r>
    </w:p>
    <w:p>
      <w:pPr>
        <w:pStyle w:val="Heading4"/>
      </w:pPr>
      <w:r>
        <w:t>Salmos reais e messiânicos</w:t>
      </w:r>
    </w:p>
    <w:p>
      <w:r/>
      <w:hyperlink r:id="rId7066">
        <w:r>
          <w:rPr>
            <w:color w:val="0000EE"/>
            <w:u w:val="single"/>
          </w:rPr>
          <w:t>Salmos 2</w:t>
        </w:r>
      </w:hyperlink>
      <w:r>
        <w:t xml:space="preserve">, </w:t>
      </w:r>
      <w:hyperlink r:id="rId6595">
        <w:r>
          <w:rPr>
            <w:color w:val="0000EE"/>
            <w:u w:val="single"/>
          </w:rPr>
          <w:t>18</w:t>
        </w:r>
      </w:hyperlink>
      <w:r>
        <w:t xml:space="preserve">, </w:t>
      </w:r>
      <w:hyperlink r:id="rId18937">
        <w:r>
          <w:rPr>
            <w:color w:val="0000EE"/>
            <w:u w:val="single"/>
          </w:rPr>
          <w:t>20</w:t>
        </w:r>
      </w:hyperlink>
      <w:r>
        <w:t xml:space="preserve">, </w:t>
      </w:r>
      <w:hyperlink r:id="rId18938">
        <w:r>
          <w:rPr>
            <w:color w:val="0000EE"/>
            <w:u w:val="single"/>
          </w:rPr>
          <w:t>21</w:t>
        </w:r>
      </w:hyperlink>
      <w:r>
        <w:t xml:space="preserve">, </w:t>
      </w:r>
      <w:hyperlink r:id="rId4216">
        <w:r>
          <w:rPr>
            <w:color w:val="0000EE"/>
            <w:u w:val="single"/>
          </w:rPr>
          <w:t>45</w:t>
        </w:r>
      </w:hyperlink>
      <w:r>
        <w:t xml:space="preserve">, </w:t>
      </w:r>
      <w:hyperlink r:id="rId14961">
        <w:r>
          <w:rPr>
            <w:color w:val="0000EE"/>
            <w:u w:val="single"/>
          </w:rPr>
          <w:t>61</w:t>
        </w:r>
      </w:hyperlink>
      <w:r>
        <w:t xml:space="preserve">, </w:t>
      </w:r>
      <w:hyperlink r:id="rId18868">
        <w:r>
          <w:rPr>
            <w:color w:val="0000EE"/>
            <w:u w:val="single"/>
          </w:rPr>
          <w:t>72</w:t>
        </w:r>
      </w:hyperlink>
      <w:r>
        <w:t xml:space="preserve">, </w:t>
      </w:r>
      <w:hyperlink r:id="rId8600">
        <w:r>
          <w:rPr>
            <w:color w:val="0000EE"/>
            <w:u w:val="single"/>
          </w:rPr>
          <w:t>89</w:t>
        </w:r>
      </w:hyperlink>
      <w:r>
        <w:t xml:space="preserve">, </w:t>
      </w:r>
      <w:hyperlink r:id="rId18890">
        <w:r>
          <w:rPr>
            <w:color w:val="0000EE"/>
            <w:u w:val="single"/>
          </w:rPr>
          <w:t>101</w:t>
        </w:r>
      </w:hyperlink>
      <w:r>
        <w:t xml:space="preserve">, </w:t>
      </w:r>
      <w:hyperlink r:id="rId10273">
        <w:r>
          <w:rPr>
            <w:color w:val="0000EE"/>
            <w:u w:val="single"/>
          </w:rPr>
          <w:t>110</w:t>
        </w:r>
      </w:hyperlink>
      <w:r>
        <w:t xml:space="preserve">, </w:t>
      </w:r>
      <w:hyperlink r:id="rId2460">
        <w:r>
          <w:rPr>
            <w:color w:val="0000EE"/>
            <w:u w:val="single"/>
          </w:rPr>
          <w:t>132</w:t>
        </w:r>
      </w:hyperlink>
      <w:r>
        <w:t xml:space="preserve"> e </w:t>
      </w:r>
      <w:hyperlink r:id="rId18939">
        <w:r>
          <w:rPr>
            <w:color w:val="0000EE"/>
            <w:u w:val="single"/>
          </w:rPr>
          <w:t>144</w:t>
        </w:r>
      </w:hyperlink>
      <w:r>
        <w:t xml:space="preserve"> são geralmente incluídos como os salmos reais. Eles não formam uma categoria literária, já que salmos de vários tipos estão incluídos, mas todos têm alguma referência ao rei, à natureza de seu governo e à sua relação com Deus. Uma vez que a monarquia davídica foi encerrada em 586 a.C., esses salmos, quase certamente, foram compostos antes dessa data. A linguagem nesses salmos frequentemente mostra o rei como vice-regente de Deus. Por exemplo, </w:t>
      </w:r>
      <w:hyperlink r:id="rId4216">
        <w:r>
          <w:rPr>
            <w:color w:val="0000EE"/>
            <w:u w:val="single"/>
          </w:rPr>
          <w:t>Salmo 45</w:t>
        </w:r>
      </w:hyperlink>
      <w:r>
        <w:t>, um salmo de casamento real, contém a afirmação “Teu trono, ó Deus, dura para todo o sempre” (</w:t>
      </w:r>
      <w:hyperlink r:id="rId4734">
        <w:r>
          <w:rPr>
            <w:color w:val="0000EE"/>
            <w:u w:val="single"/>
          </w:rPr>
          <w:t>45.6</w:t>
        </w:r>
      </w:hyperlink>
      <w:r>
        <w:t xml:space="preserve">). Mas isso é melhor entendido em termos de o trono ser considerado como do Senhor, ocupado pelo rei como seu representante. Da mesma forma, a formulação em </w:t>
      </w:r>
      <w:hyperlink r:id="rId2667">
        <w:r>
          <w:rPr>
            <w:color w:val="0000EE"/>
            <w:u w:val="single"/>
          </w:rPr>
          <w:t>Salmo 110.1</w:t>
        </w:r>
      </w:hyperlink>
      <w:r>
        <w:t>, “Senta-te à minha direita”, indica os privilégios e prerrogativas que o rei desfruta como vice-regente de Deus. O equilíbrio das evidências do AT sobre o rei mostra que a monarquia em Israel foi qualificada pela natureza do relacionamento de aliança de Deus com seu povo; o rei não desfrutava do absolutismo reivindicado pela maioria dos governantes dos reinos circundantes.</w:t>
      </w:r>
    </w:p>
    <w:p>
      <w:r/>
      <w:r>
        <w:t>A maioria dos salmos reais também pode ser chamada de salmos messiânicos. Eles foram interpretados dessa forma na igreja cristã primitiva, como testemunhado na declaração geral de Jesus Cristo de que os salmistas escreveram sobre ele (</w:t>
      </w:r>
      <w:hyperlink r:id="rId3762">
        <w:r>
          <w:rPr>
            <w:color w:val="0000EE"/>
            <w:u w:val="single"/>
          </w:rPr>
          <w:t>Lc 24.44</w:t>
        </w:r>
      </w:hyperlink>
      <w:r>
        <w:t>) e por citações específicas do NT. Os principais salmos envolvidos e as referências do NT são os seguintes:</w:t>
      </w:r>
    </w:p>
    <w:p>
      <w:r/>
      <w:r>
        <w:t xml:space="preserve">1. </w:t>
      </w:r>
      <w:hyperlink r:id="rId7066">
        <w:r>
          <w:rPr>
            <w:color w:val="0000EE"/>
            <w:u w:val="single"/>
          </w:rPr>
          <w:t>Salmo 2</w:t>
        </w:r>
      </w:hyperlink>
      <w:r>
        <w:t xml:space="preserve"> (</w:t>
      </w:r>
      <w:hyperlink r:id="rId6128">
        <w:r>
          <w:rPr>
            <w:color w:val="0000EE"/>
            <w:u w:val="single"/>
          </w:rPr>
          <w:t>At 13.33</w:t>
        </w:r>
      </w:hyperlink>
      <w:r>
        <w:t xml:space="preserve">; </w:t>
      </w:r>
      <w:hyperlink r:id="rId9383">
        <w:r>
          <w:rPr>
            <w:color w:val="0000EE"/>
            <w:u w:val="single"/>
          </w:rPr>
          <w:t>Hb 1.5</w:t>
        </w:r>
      </w:hyperlink>
      <w:r>
        <w:t xml:space="preserve">; </w:t>
      </w:r>
      <w:hyperlink r:id="rId6109">
        <w:r>
          <w:rPr>
            <w:color w:val="0000EE"/>
            <w:u w:val="single"/>
          </w:rPr>
          <w:t>5.5</w:t>
        </w:r>
      </w:hyperlink>
      <w:r>
        <w:t>), embora relacionado ao rei davídico, fala de uma vindicação e governo universais, que transcendem muito o governo de Davi. Além disso, a imagem do rei davídico, ungido para governar na terra como representante de Deus, que está entronizado no céu, sugere fortemente o ministério mediador e encarnado de Cristo.</w:t>
      </w:r>
    </w:p>
    <w:p>
      <w:r/>
      <w:r>
        <w:t xml:space="preserve">2. </w:t>
      </w:r>
      <w:hyperlink r:id="rId4216">
        <w:r>
          <w:rPr>
            <w:color w:val="0000EE"/>
            <w:u w:val="single"/>
          </w:rPr>
          <w:t>Salmo 45</w:t>
        </w:r>
      </w:hyperlink>
      <w:r>
        <w:t xml:space="preserve"> (</w:t>
      </w:r>
      <w:hyperlink r:id="rId14301">
        <w:r>
          <w:rPr>
            <w:color w:val="0000EE"/>
            <w:u w:val="single"/>
          </w:rPr>
          <w:t>Hb 1.8–9</w:t>
        </w:r>
      </w:hyperlink>
      <w:r>
        <w:t xml:space="preserve">), um salmo de casamento para um dos reis davídicos, possivelmente Salomão, fala não apenas de amor e casamento, mas também de permanência e qualidade de governo. Na tradução mais óbvia do versículo </w:t>
      </w:r>
      <w:hyperlink r:id="rId4734">
        <w:r>
          <w:rPr>
            <w:color w:val="0000EE"/>
            <w:u w:val="single"/>
          </w:rPr>
          <w:t>6</w:t>
        </w:r>
      </w:hyperlink>
      <w:r>
        <w:t>, o escritor se dirige a Deus: “Teu trono divino dura para todo o sempre”. O autor de Hebreus claramente aceitou essa interpretação (</w:t>
      </w:r>
      <w:hyperlink r:id="rId14301">
        <w:r>
          <w:rPr>
            <w:color w:val="0000EE"/>
            <w:u w:val="single"/>
          </w:rPr>
          <w:t>Hb 1.8–9</w:t>
        </w:r>
      </w:hyperlink>
      <w:r>
        <w:t>) e a usou em contraste com o status exaltado até mesmo dos anjos, reforçando-a com outras duas citações dos salmos que originalmente se aplicavam a Deus (</w:t>
      </w:r>
      <w:hyperlink r:id="rId10852">
        <w:r>
          <w:rPr>
            <w:color w:val="0000EE"/>
            <w:u w:val="single"/>
          </w:rPr>
          <w:t>Sl 97.7</w:t>
        </w:r>
      </w:hyperlink>
      <w:r>
        <w:t xml:space="preserve">; </w:t>
      </w:r>
      <w:hyperlink r:id="rId18931">
        <w:r>
          <w:rPr>
            <w:color w:val="0000EE"/>
            <w:u w:val="single"/>
          </w:rPr>
          <w:t>102.25–27</w:t>
        </w:r>
      </w:hyperlink>
      <w:r>
        <w:t xml:space="preserve">; cf. </w:t>
      </w:r>
      <w:hyperlink r:id="rId18940">
        <w:r>
          <w:rPr>
            <w:color w:val="0000EE"/>
            <w:u w:val="single"/>
          </w:rPr>
          <w:t>Hb 1.6,10–12</w:t>
        </w:r>
      </w:hyperlink>
      <w:r>
        <w:t>).</w:t>
      </w:r>
    </w:p>
    <w:p>
      <w:r/>
      <w:r>
        <w:t xml:space="preserve">3. </w:t>
      </w:r>
      <w:hyperlink r:id="rId10273">
        <w:r>
          <w:rPr>
            <w:color w:val="0000EE"/>
            <w:u w:val="single"/>
          </w:rPr>
          <w:t>Salmo 110</w:t>
        </w:r>
      </w:hyperlink>
      <w:r>
        <w:t xml:space="preserve"> é o salmo messiânico mais frequentemente citado (</w:t>
      </w:r>
      <w:hyperlink r:id="rId18941">
        <w:r>
          <w:rPr>
            <w:color w:val="0000EE"/>
            <w:u w:val="single"/>
          </w:rPr>
          <w:t>Mt 22.43–45</w:t>
        </w:r>
      </w:hyperlink>
      <w:r>
        <w:t xml:space="preserve">; </w:t>
      </w:r>
      <w:hyperlink r:id="rId18942">
        <w:r>
          <w:rPr>
            <w:color w:val="0000EE"/>
            <w:u w:val="single"/>
          </w:rPr>
          <w:t>At 2.34–35</w:t>
        </w:r>
      </w:hyperlink>
      <w:r>
        <w:t xml:space="preserve">; </w:t>
      </w:r>
      <w:hyperlink r:id="rId8545">
        <w:r>
          <w:rPr>
            <w:color w:val="0000EE"/>
            <w:u w:val="single"/>
          </w:rPr>
          <w:t>Hb 1.13</w:t>
        </w:r>
      </w:hyperlink>
      <w:r>
        <w:t xml:space="preserve">; </w:t>
      </w:r>
      <w:hyperlink r:id="rId18943">
        <w:r>
          <w:rPr>
            <w:color w:val="0000EE"/>
            <w:u w:val="single"/>
          </w:rPr>
          <w:t>5.5–10</w:t>
        </w:r>
      </w:hyperlink>
      <w:r>
        <w:t xml:space="preserve">; </w:t>
      </w:r>
      <w:hyperlink r:id="rId2680">
        <w:r>
          <w:rPr>
            <w:color w:val="0000EE"/>
            <w:u w:val="single"/>
          </w:rPr>
          <w:t>6.20</w:t>
        </w:r>
      </w:hyperlink>
      <w:r>
        <w:t xml:space="preserve">; </w:t>
      </w:r>
      <w:hyperlink r:id="rId14325">
        <w:r>
          <w:rPr>
            <w:color w:val="0000EE"/>
            <w:u w:val="single"/>
          </w:rPr>
          <w:t>7.21</w:t>
        </w:r>
      </w:hyperlink>
      <w:r>
        <w:t>). A linguagem, que fala dos privilégios, vitória universal e sacerdócio contínuo de Davi e seus sucessores, seria considerada hiperbólica e possivelmente enganosa, exceto por seu cumprimento no "Grande Filho maior de Davi". Em contraste com os anjos, que têm o privilégio de estar na presença de Deus (</w:t>
      </w:r>
      <w:hyperlink r:id="rId8663">
        <w:r>
          <w:rPr>
            <w:color w:val="0000EE"/>
            <w:u w:val="single"/>
          </w:rPr>
          <w:t>Lc 1.19</w:t>
        </w:r>
      </w:hyperlink>
      <w:r>
        <w:t>), Cristo, o Filho, senta-se no lugar de poder e autoridade (</w:t>
      </w:r>
      <w:hyperlink r:id="rId8545">
        <w:r>
          <w:rPr>
            <w:color w:val="0000EE"/>
            <w:u w:val="single"/>
          </w:rPr>
          <w:t>Hb 1.13</w:t>
        </w:r>
      </w:hyperlink>
      <w:r>
        <w:t>).</w:t>
      </w:r>
    </w:p>
    <w:p>
      <w:r/>
      <w:r>
        <w:t xml:space="preserve">Outros salmos que também poderiam ser designados como messiânicos, mas não estão especificamente incluídos entre os salmos reais, são </w:t>
      </w:r>
      <w:hyperlink r:id="rId4745">
        <w:r>
          <w:rPr>
            <w:color w:val="0000EE"/>
            <w:u w:val="single"/>
          </w:rPr>
          <w:t>Salmo 8</w:t>
        </w:r>
      </w:hyperlink>
      <w:r>
        <w:t xml:space="preserve"> (</w:t>
      </w:r>
      <w:hyperlink r:id="rId18944">
        <w:r>
          <w:rPr>
            <w:color w:val="0000EE"/>
            <w:u w:val="single"/>
          </w:rPr>
          <w:t>1Co 15.27</w:t>
        </w:r>
      </w:hyperlink>
      <w:r>
        <w:t xml:space="preserve">); </w:t>
      </w:r>
      <w:hyperlink r:id="rId5291">
        <w:r>
          <w:rPr>
            <w:color w:val="0000EE"/>
            <w:u w:val="single"/>
          </w:rPr>
          <w:t>Salmo 40</w:t>
        </w:r>
      </w:hyperlink>
      <w:r>
        <w:t xml:space="preserve"> (</w:t>
      </w:r>
      <w:hyperlink r:id="rId10460">
        <w:r>
          <w:rPr>
            <w:color w:val="0000EE"/>
            <w:u w:val="single"/>
          </w:rPr>
          <w:t>Hb 10.5–10</w:t>
        </w:r>
      </w:hyperlink>
      <w:r>
        <w:t xml:space="preserve">); </w:t>
      </w:r>
      <w:hyperlink r:id="rId18868">
        <w:r>
          <w:rPr>
            <w:color w:val="0000EE"/>
            <w:u w:val="single"/>
          </w:rPr>
          <w:t>Salmo 72</w:t>
        </w:r>
      </w:hyperlink>
      <w:r>
        <w:t xml:space="preserve">, com sua imagem idealizada da natureza, consequências e extensão do governo do representante de Deus; </w:t>
      </w:r>
      <w:hyperlink r:id="rId16624">
        <w:r>
          <w:rPr>
            <w:color w:val="0000EE"/>
            <w:u w:val="single"/>
          </w:rPr>
          <w:t>Salmo 118.22–23</w:t>
        </w:r>
      </w:hyperlink>
      <w:r>
        <w:t xml:space="preserve">; e </w:t>
      </w:r>
      <w:hyperlink r:id="rId2460">
        <w:r>
          <w:rPr>
            <w:color w:val="0000EE"/>
            <w:u w:val="single"/>
          </w:rPr>
          <w:t>Salmo 132</w:t>
        </w:r>
      </w:hyperlink>
      <w:r>
        <w:t xml:space="preserve"> (</w:t>
      </w:r>
      <w:hyperlink r:id="rId18945">
        <w:r>
          <w:rPr>
            <w:color w:val="0000EE"/>
            <w:u w:val="single"/>
          </w:rPr>
          <w:t>At 2.30</w:t>
        </w:r>
      </w:hyperlink>
      <w:r>
        <w:t>).</w:t>
      </w:r>
    </w:p>
    <w:p>
      <w:pPr>
        <w:pStyle w:val="Heading4"/>
      </w:pPr>
      <w:r>
        <w:t>Salmos de paixão (messiânica)</w:t>
      </w:r>
    </w:p>
    <w:p>
      <w:r/>
      <w:r>
        <w:t>Os quatro salmos neste grupo (</w:t>
      </w:r>
      <w:hyperlink r:id="rId5290">
        <w:r>
          <w:rPr>
            <w:color w:val="0000EE"/>
            <w:u w:val="single"/>
          </w:rPr>
          <w:t>Sl 16</w:t>
        </w:r>
      </w:hyperlink>
      <w:r>
        <w:t xml:space="preserve">; </w:t>
      </w:r>
      <w:hyperlink r:id="rId638">
        <w:r>
          <w:rPr>
            <w:color w:val="0000EE"/>
            <w:u w:val="single"/>
          </w:rPr>
          <w:t>22</w:t>
        </w:r>
      </w:hyperlink>
      <w:r>
        <w:t xml:space="preserve">; </w:t>
      </w:r>
      <w:hyperlink r:id="rId5291">
        <w:r>
          <w:rPr>
            <w:color w:val="0000EE"/>
            <w:u w:val="single"/>
          </w:rPr>
          <w:t>40</w:t>
        </w:r>
      </w:hyperlink>
      <w:r>
        <w:t xml:space="preserve">; </w:t>
      </w:r>
      <w:hyperlink r:id="rId14972">
        <w:r>
          <w:rPr>
            <w:color w:val="0000EE"/>
            <w:u w:val="single"/>
          </w:rPr>
          <w:t>69</w:t>
        </w:r>
      </w:hyperlink>
      <w:r>
        <w:t xml:space="preserve">; alguns estudiosos também incluiriam </w:t>
      </w:r>
      <w:hyperlink r:id="rId14597">
        <w:r>
          <w:rPr>
            <w:color w:val="0000EE"/>
            <w:u w:val="single"/>
          </w:rPr>
          <w:t>Sl 102</w:t>
        </w:r>
      </w:hyperlink>
      <w:r>
        <w:t xml:space="preserve">; </w:t>
      </w:r>
      <w:hyperlink r:id="rId13649">
        <w:r>
          <w:rPr>
            <w:color w:val="0000EE"/>
            <w:u w:val="single"/>
          </w:rPr>
          <w:t>109</w:t>
        </w:r>
      </w:hyperlink>
      <w:r>
        <w:t xml:space="preserve">) podem ser considerados messiânicos. Eles se conectam com a linha de profecia do AT que interpreta o ministério do Messias em termos do Servo Sofredor, que aparece proeminentemente em Isaías (e.g., </w:t>
      </w:r>
      <w:hyperlink r:id="rId18946">
        <w:r>
          <w:rPr>
            <w:color w:val="0000EE"/>
            <w:u w:val="single"/>
          </w:rPr>
          <w:t>Is 42.1–9</w:t>
        </w:r>
      </w:hyperlink>
      <w:r>
        <w:t xml:space="preserve">; </w:t>
      </w:r>
      <w:hyperlink r:id="rId3610">
        <w:r>
          <w:rPr>
            <w:color w:val="0000EE"/>
            <w:u w:val="single"/>
          </w:rPr>
          <w:t>52.13–53.12</w:t>
        </w:r>
      </w:hyperlink>
      <w:r>
        <w:t xml:space="preserve">). Destes quatro, o </w:t>
      </w:r>
      <w:hyperlink r:id="rId638">
        <w:r>
          <w:rPr>
            <w:color w:val="0000EE"/>
            <w:u w:val="single"/>
          </w:rPr>
          <w:t>Salmo 22</w:t>
        </w:r>
      </w:hyperlink>
      <w:r>
        <w:t xml:space="preserve"> é o mais notável. Jesus recitou parte dele quando estava na cruz (</w:t>
      </w:r>
      <w:hyperlink r:id="rId7871">
        <w:r>
          <w:rPr>
            <w:color w:val="0000EE"/>
            <w:u w:val="single"/>
          </w:rPr>
          <w:t>Sl 22.1</w:t>
        </w:r>
      </w:hyperlink>
      <w:r>
        <w:t xml:space="preserve">; cf. </w:t>
      </w:r>
      <w:hyperlink r:id="rId7869">
        <w:r>
          <w:rPr>
            <w:color w:val="0000EE"/>
            <w:u w:val="single"/>
          </w:rPr>
          <w:t>Mt 27.46</w:t>
        </w:r>
      </w:hyperlink>
      <w:r>
        <w:t xml:space="preserve">), e outras conexões com a cena da crucificação são dignas de nota (e.g., </w:t>
      </w:r>
      <w:hyperlink r:id="rId18947">
        <w:r>
          <w:rPr>
            <w:color w:val="0000EE"/>
            <w:u w:val="single"/>
          </w:rPr>
          <w:t>Sl 22.6–8,14–18</w:t>
        </w:r>
      </w:hyperlink>
      <w:r>
        <w:t>). Algumas considerações adicionais são ainda mais significativas: não há sugestão de qualquer consciência de pecado; o sofrimento do salmista parece completamente injustificado; não há elemento imprecatório, mesmo diante de perseguição amarga. Isso se conecta com o Cristo sem pecado (</w:t>
      </w:r>
      <w:hyperlink r:id="rId3239">
        <w:r>
          <w:rPr>
            <w:color w:val="0000EE"/>
            <w:u w:val="single"/>
          </w:rPr>
          <w:t>2Co 5.21</w:t>
        </w:r>
      </w:hyperlink>
      <w:r>
        <w:t>), que poderia até orar por seus executores (</w:t>
      </w:r>
      <w:hyperlink r:id="rId11096">
        <w:r>
          <w:rPr>
            <w:color w:val="0000EE"/>
            <w:u w:val="single"/>
          </w:rPr>
          <w:t>Lc 23.34</w:t>
        </w:r>
      </w:hyperlink>
      <w:r>
        <w:t xml:space="preserve">). </w:t>
      </w:r>
      <w:hyperlink r:id="rId903">
        <w:r>
          <w:rPr>
            <w:color w:val="0000EE"/>
            <w:u w:val="single"/>
          </w:rPr>
          <w:t>Salmo 16.10</w:t>
        </w:r>
      </w:hyperlink>
      <w:r>
        <w:t xml:space="preserve"> antecipa o triunfo do Cristo incorruptível sobre o túmulo (cf. </w:t>
      </w:r>
      <w:hyperlink r:id="rId18948">
        <w:r>
          <w:rPr>
            <w:color w:val="0000EE"/>
            <w:u w:val="single"/>
          </w:rPr>
          <w:t>At 2.24–31</w:t>
        </w:r>
      </w:hyperlink>
      <w:r>
        <w:t xml:space="preserve">). </w:t>
      </w:r>
      <w:hyperlink r:id="rId10459">
        <w:r>
          <w:rPr>
            <w:color w:val="0000EE"/>
            <w:u w:val="single"/>
          </w:rPr>
          <w:t>Salmo 40.6–8</w:t>
        </w:r>
      </w:hyperlink>
      <w:r>
        <w:t xml:space="preserve"> prenuncia a Encarnação e a obra redentora de autodoação de Cristo (</w:t>
      </w:r>
      <w:hyperlink r:id="rId10460">
        <w:r>
          <w:rPr>
            <w:color w:val="0000EE"/>
            <w:u w:val="single"/>
          </w:rPr>
          <w:t>Hb 10.5–10</w:t>
        </w:r>
      </w:hyperlink>
      <w:r>
        <w:t xml:space="preserve">). </w:t>
      </w:r>
      <w:hyperlink r:id="rId14972">
        <w:r>
          <w:rPr>
            <w:color w:val="0000EE"/>
            <w:u w:val="single"/>
          </w:rPr>
          <w:t>Salmo 69</w:t>
        </w:r>
      </w:hyperlink>
      <w:r>
        <w:t xml:space="preserve"> refere-se ao isolamento resultante de um compromisso com a causa de Deus (</w:t>
      </w:r>
      <w:hyperlink r:id="rId18949">
        <w:r>
          <w:rPr>
            <w:color w:val="0000EE"/>
            <w:u w:val="single"/>
          </w:rPr>
          <w:t>Sl 69.8–9</w:t>
        </w:r>
      </w:hyperlink>
      <w:r>
        <w:t>) e antecipa o papel desempenhado por Judas no que foi fundamentalmente a obra de Deus em Cristo (</w:t>
      </w:r>
      <w:hyperlink r:id="rId18950">
        <w:r>
          <w:rPr>
            <w:color w:val="0000EE"/>
            <w:u w:val="single"/>
          </w:rPr>
          <w:t>Sl 69.25–26</w:t>
        </w:r>
      </w:hyperlink>
      <w:r>
        <w:t xml:space="preserve">; cf. </w:t>
      </w:r>
      <w:hyperlink r:id="rId18863">
        <w:r>
          <w:rPr>
            <w:color w:val="0000EE"/>
            <w:u w:val="single"/>
          </w:rPr>
          <w:t>Sl 109.8</w:t>
        </w:r>
      </w:hyperlink>
      <w:r>
        <w:t xml:space="preserve">; </w:t>
      </w:r>
      <w:hyperlink r:id="rId4682">
        <w:r>
          <w:rPr>
            <w:color w:val="0000EE"/>
            <w:u w:val="single"/>
          </w:rPr>
          <w:t>Is 53.10</w:t>
        </w:r>
      </w:hyperlink>
      <w:r>
        <w:t xml:space="preserve">; </w:t>
      </w:r>
      <w:hyperlink r:id="rId18864">
        <w:r>
          <w:rPr>
            <w:color w:val="0000EE"/>
            <w:u w:val="single"/>
          </w:rPr>
          <w:t>At 1.20</w:t>
        </w:r>
      </w:hyperlink>
      <w:r>
        <w:t>).</w:t>
      </w:r>
    </w:p>
    <w:p>
      <w:pPr>
        <w:pStyle w:val="Heading4"/>
      </w:pPr>
      <w:r>
        <w:t>Salmos sobre Sião</w:t>
      </w:r>
    </w:p>
    <w:p>
      <w:r/>
      <w:r>
        <w:t>Este grupo poderia ter sido classificado como uma subseção de louvor comunitário, mas devido à estreita conexão histórica entre a escolha de Deus da casa de Davi e Jerusalém (</w:t>
      </w:r>
      <w:hyperlink r:id="rId18867">
        <w:r>
          <w:rPr>
            <w:color w:val="0000EE"/>
            <w:u w:val="single"/>
          </w:rPr>
          <w:t>Sl</w:t>
        </w:r>
      </w:hyperlink>
      <w:hyperlink r:id="rId18951">
        <w:r>
          <w:rPr>
            <w:color w:val="0000EE"/>
            <w:u w:val="single"/>
          </w:rPr>
          <w:t xml:space="preserve"> 78.68–72</w:t>
        </w:r>
      </w:hyperlink>
      <w:r>
        <w:t xml:space="preserve">; </w:t>
      </w:r>
      <w:hyperlink r:id="rId18952">
        <w:r>
          <w:rPr>
            <w:color w:val="0000EE"/>
            <w:u w:val="single"/>
          </w:rPr>
          <w:t>132.11–13</w:t>
        </w:r>
      </w:hyperlink>
      <w:r>
        <w:t>), e seus subsequentes eventos inter-relacionados, nós os consideramos neste ponto. Havia uma sátira mordaz no pedido dos babilônios aos refugiados de uma cidade devastada para “Cantem para nós as canções de Sião” (</w:t>
      </w:r>
      <w:hyperlink r:id="rId18867">
        <w:r>
          <w:rPr>
            <w:color w:val="0000EE"/>
            <w:u w:val="single"/>
          </w:rPr>
          <w:t>Sl</w:t>
        </w:r>
      </w:hyperlink>
      <w:hyperlink r:id="rId14930">
        <w:r>
          <w:rPr>
            <w:color w:val="0000EE"/>
            <w:u w:val="single"/>
          </w:rPr>
          <w:t xml:space="preserve"> 137.3</w:t>
        </w:r>
      </w:hyperlink>
      <w:r>
        <w:t>, NTLH), mas isso testemunha a existência de tal coleção. O louvor de Sião era, de fato, quase sinônimo do louvor ao Senhor que habitava lá. A sobrevivência contínua de Jerusalém, apesar de suas dificuldades, era uma demonstração ampla da grandeza duradoura de Deus (</w:t>
      </w:r>
      <w:hyperlink r:id="rId18867">
        <w:r>
          <w:rPr>
            <w:color w:val="0000EE"/>
            <w:u w:val="single"/>
          </w:rPr>
          <w:t>Sl</w:t>
        </w:r>
      </w:hyperlink>
      <w:hyperlink r:id="rId18953">
        <w:r>
          <w:rPr>
            <w:color w:val="0000EE"/>
            <w:u w:val="single"/>
          </w:rPr>
          <w:t xml:space="preserve"> 48.11–14</w:t>
        </w:r>
      </w:hyperlink>
      <w:r>
        <w:t>) e do afeto peculiar pela cidade que abrigava seu templo (</w:t>
      </w:r>
      <w:hyperlink r:id="rId18867">
        <w:r>
          <w:rPr>
            <w:color w:val="0000EE"/>
            <w:u w:val="single"/>
          </w:rPr>
          <w:t>Sl</w:t>
        </w:r>
      </w:hyperlink>
      <w:hyperlink r:id="rId18954">
        <w:r>
          <w:rPr>
            <w:color w:val="0000EE"/>
            <w:u w:val="single"/>
          </w:rPr>
          <w:t xml:space="preserve"> 87.1–3</w:t>
        </w:r>
      </w:hyperlink>
      <w:r>
        <w:t xml:space="preserve">). </w:t>
      </w:r>
      <w:hyperlink r:id="rId14936">
        <w:r>
          <w:rPr>
            <w:color w:val="0000EE"/>
            <w:u w:val="single"/>
          </w:rPr>
          <w:t>Salmos 48</w:t>
        </w:r>
      </w:hyperlink>
      <w:r>
        <w:t xml:space="preserve">, </w:t>
      </w:r>
      <w:hyperlink r:id="rId14963">
        <w:r>
          <w:rPr>
            <w:color w:val="0000EE"/>
            <w:u w:val="single"/>
          </w:rPr>
          <w:t>76</w:t>
        </w:r>
      </w:hyperlink>
      <w:r>
        <w:t xml:space="preserve">, </w:t>
      </w:r>
      <w:hyperlink r:id="rId2961">
        <w:r>
          <w:rPr>
            <w:color w:val="0000EE"/>
            <w:u w:val="single"/>
          </w:rPr>
          <w:t>84</w:t>
        </w:r>
      </w:hyperlink>
      <w:r>
        <w:t xml:space="preserve">, </w:t>
      </w:r>
      <w:hyperlink r:id="rId18955">
        <w:r>
          <w:rPr>
            <w:color w:val="0000EE"/>
            <w:u w:val="single"/>
          </w:rPr>
          <w:t>87</w:t>
        </w:r>
      </w:hyperlink>
      <w:r>
        <w:t xml:space="preserve"> e </w:t>
      </w:r>
      <w:hyperlink r:id="rId18956">
        <w:r>
          <w:rPr>
            <w:color w:val="0000EE"/>
            <w:u w:val="single"/>
          </w:rPr>
          <w:t>122</w:t>
        </w:r>
      </w:hyperlink>
      <w:r>
        <w:t xml:space="preserve"> são os principais salmos nesta categoria, mas o tema em si aparece amplamente ao longo dos salmos (e.g., </w:t>
      </w:r>
      <w:hyperlink r:id="rId18957">
        <w:r>
          <w:rPr>
            <w:color w:val="0000EE"/>
            <w:u w:val="single"/>
          </w:rPr>
          <w:t>102.16</w:t>
        </w:r>
      </w:hyperlink>
      <w:r>
        <w:t xml:space="preserve">; </w:t>
      </w:r>
      <w:hyperlink r:id="rId18958">
        <w:r>
          <w:rPr>
            <w:color w:val="0000EE"/>
            <w:u w:val="single"/>
          </w:rPr>
          <w:t>125.1</w:t>
        </w:r>
      </w:hyperlink>
      <w:r>
        <w:t xml:space="preserve">; </w:t>
      </w:r>
      <w:hyperlink r:id="rId18959">
        <w:r>
          <w:rPr>
            <w:color w:val="0000EE"/>
            <w:u w:val="single"/>
          </w:rPr>
          <w:t>126.1–3</w:t>
        </w:r>
      </w:hyperlink>
      <w:r>
        <w:t xml:space="preserve">; </w:t>
      </w:r>
      <w:hyperlink r:id="rId10604">
        <w:r>
          <w:rPr>
            <w:color w:val="0000EE"/>
            <w:u w:val="single"/>
          </w:rPr>
          <w:t>133.3</w:t>
        </w:r>
      </w:hyperlink>
      <w:r>
        <w:t xml:space="preserve">; </w:t>
      </w:r>
      <w:hyperlink r:id="rId8825">
        <w:r>
          <w:rPr>
            <w:color w:val="0000EE"/>
            <w:u w:val="single"/>
          </w:rPr>
          <w:t>147.2</w:t>
        </w:r>
      </w:hyperlink>
      <w:r>
        <w:t xml:space="preserve">). A base do conceito do NT de uma Jerusalém celestial, o lar espiritual dos regenerados de todas as nações, encontra sua origem neste conceito, especialmente no </w:t>
      </w:r>
      <w:hyperlink r:id="rId18955">
        <w:r>
          <w:rPr>
            <w:color w:val="0000EE"/>
            <w:u w:val="single"/>
          </w:rPr>
          <w:t>Salmo 87</w:t>
        </w:r>
      </w:hyperlink>
      <w:r>
        <w:t>.</w:t>
      </w:r>
    </w:p>
    <w:p>
      <w:pPr>
        <w:pStyle w:val="Heading4"/>
      </w:pPr>
      <w:r>
        <w:t>Lamentações</w:t>
      </w:r>
    </w:p>
    <w:p>
      <w:r/>
      <w:r>
        <w:t>Estes estão associados a ocasiões específicas de angústia e são de dois tipos:</w:t>
      </w:r>
    </w:p>
    <w:p>
      <w:r/>
      <w:r>
        <w:t xml:space="preserve">1. Nacional. Os livros proféticos e históricos oferecem vários exemplos de ocasiões, como seca, infestação de gafanhotos ou ataque inimigo, que poderiam motivar lamentos nacionais, além das atitudes internas e externas que os acompanhavam (por exemplo, </w:t>
      </w:r>
      <w:hyperlink r:id="rId18960">
        <w:r>
          <w:rPr>
            <w:color w:val="0000EE"/>
            <w:u w:val="single"/>
          </w:rPr>
          <w:t>Jz 20.23,26</w:t>
        </w:r>
      </w:hyperlink>
      <w:r>
        <w:t xml:space="preserve">; </w:t>
      </w:r>
      <w:hyperlink r:id="rId18961">
        <w:r>
          <w:rPr>
            <w:color w:val="0000EE"/>
            <w:u w:val="single"/>
          </w:rPr>
          <w:t>Jr 14.1–12</w:t>
        </w:r>
      </w:hyperlink>
      <w:r>
        <w:t xml:space="preserve">; </w:t>
      </w:r>
      <w:hyperlink r:id="rId18962">
        <w:r>
          <w:rPr>
            <w:color w:val="0000EE"/>
            <w:u w:val="single"/>
          </w:rPr>
          <w:t>36.9</w:t>
        </w:r>
      </w:hyperlink>
      <w:r>
        <w:t xml:space="preserve">; </w:t>
      </w:r>
      <w:hyperlink r:id="rId18963">
        <w:r>
          <w:rPr>
            <w:color w:val="0000EE"/>
            <w:u w:val="single"/>
          </w:rPr>
          <w:t>Jl 1.13–14</w:t>
        </w:r>
      </w:hyperlink>
      <w:r>
        <w:t xml:space="preserve">; </w:t>
      </w:r>
      <w:hyperlink r:id="rId1790">
        <w:r>
          <w:rPr>
            <w:color w:val="0000EE"/>
            <w:u w:val="single"/>
          </w:rPr>
          <w:t>2.12–17</w:t>
        </w:r>
      </w:hyperlink>
      <w:r>
        <w:t xml:space="preserve">; </w:t>
      </w:r>
      <w:hyperlink r:id="rId13186">
        <w:r>
          <w:rPr>
            <w:color w:val="0000EE"/>
            <w:u w:val="single"/>
          </w:rPr>
          <w:t>Jn 3.5</w:t>
        </w:r>
      </w:hyperlink>
      <w:r>
        <w:t xml:space="preserve">). Há uma estrutura regular nos salmos dessa classe: a situação angustiante é primeiramente descrita; Deus é solicitado a vir em auxílio do seu povo, muitas vezes com a lembrança de suas misericórdias passadas para Israel; finalmente, há frequentemente uma expressão de confiança de que Deus atenderia ao seu clamor. Os adversários de Israel estão claramente em mente em </w:t>
      </w:r>
      <w:hyperlink r:id="rId18892">
        <w:r>
          <w:rPr>
            <w:color w:val="0000EE"/>
            <w:u w:val="single"/>
          </w:rPr>
          <w:t>Salmos 14</w:t>
        </w:r>
      </w:hyperlink>
      <w:r>
        <w:t xml:space="preserve">, </w:t>
      </w:r>
      <w:hyperlink r:id="rId18881">
        <w:r>
          <w:rPr>
            <w:color w:val="0000EE"/>
            <w:u w:val="single"/>
          </w:rPr>
          <w:t>44</w:t>
        </w:r>
      </w:hyperlink>
      <w:r>
        <w:t xml:space="preserve">, </w:t>
      </w:r>
      <w:hyperlink r:id="rId2421">
        <w:r>
          <w:rPr>
            <w:color w:val="0000EE"/>
            <w:u w:val="single"/>
          </w:rPr>
          <w:t>60</w:t>
        </w:r>
      </w:hyperlink>
      <w:r>
        <w:t xml:space="preserve">, </w:t>
      </w:r>
      <w:hyperlink r:id="rId14951">
        <w:r>
          <w:rPr>
            <w:color w:val="0000EE"/>
            <w:u w:val="single"/>
          </w:rPr>
          <w:t>74</w:t>
        </w:r>
      </w:hyperlink>
      <w:r>
        <w:t xml:space="preserve">, </w:t>
      </w:r>
      <w:hyperlink r:id="rId14947">
        <w:r>
          <w:rPr>
            <w:color w:val="0000EE"/>
            <w:u w:val="single"/>
          </w:rPr>
          <w:t>80</w:t>
        </w:r>
      </w:hyperlink>
      <w:r>
        <w:t xml:space="preserve"> e </w:t>
      </w:r>
      <w:hyperlink r:id="rId18964">
        <w:r>
          <w:rPr>
            <w:color w:val="0000EE"/>
            <w:u w:val="single"/>
          </w:rPr>
          <w:t>83</w:t>
        </w:r>
      </w:hyperlink>
      <w:r>
        <w:t xml:space="preserve">, enquanto </w:t>
      </w:r>
      <w:hyperlink r:id="rId1009">
        <w:r>
          <w:rPr>
            <w:color w:val="0000EE"/>
            <w:u w:val="single"/>
          </w:rPr>
          <w:t>Salmos 58</w:t>
        </w:r>
      </w:hyperlink>
      <w:r>
        <w:t xml:space="preserve">, </w:t>
      </w:r>
      <w:hyperlink r:id="rId8841">
        <w:r>
          <w:rPr>
            <w:color w:val="0000EE"/>
            <w:u w:val="single"/>
          </w:rPr>
          <w:t>106</w:t>
        </w:r>
      </w:hyperlink>
      <w:r>
        <w:t xml:space="preserve"> e </w:t>
      </w:r>
      <w:hyperlink r:id="rId18965">
        <w:r>
          <w:rPr>
            <w:color w:val="0000EE"/>
            <w:u w:val="single"/>
          </w:rPr>
          <w:t>125</w:t>
        </w:r>
      </w:hyperlink>
      <w:r>
        <w:t xml:space="preserve"> refletem situações menos críticas.</w:t>
      </w:r>
    </w:p>
    <w:p>
      <w:r/>
      <w:r>
        <w:t xml:space="preserve">2. Individual. Existem tantos deste tipo (aproximadamente 50) que frequentemente são descritos como a espinha dorsal do Saltério. Suas características mais evidentes são a nitidez da queixa e a amargura do ataque contra os responsáveis. Como nos lamentos nacionais, muitas vezes há queixa contra Deus, especialmente por sua falta de atenção ou demora em intervir. Os componentes básicos deste tipo são quase idênticos aos lamentos nacionais, exceto que frequentemente concluem com a declaração de louvor a Deus em antecipação à libertação (e.g., </w:t>
      </w:r>
      <w:hyperlink r:id="rId18966">
        <w:r>
          <w:rPr>
            <w:color w:val="0000EE"/>
            <w:u w:val="single"/>
          </w:rPr>
          <w:t>Sl 13.5–6</w:t>
        </w:r>
      </w:hyperlink>
      <w:r>
        <w:t xml:space="preserve">). Frequentemente, o lamento é acompanhado por agradecimento pela libertação buscada e experimentada, como ilustrado nas duas seções de </w:t>
      </w:r>
      <w:hyperlink r:id="rId18967">
        <w:r>
          <w:rPr>
            <w:color w:val="0000EE"/>
            <w:u w:val="single"/>
          </w:rPr>
          <w:t>Salmos 22.1–21</w:t>
        </w:r>
      </w:hyperlink>
      <w:r>
        <w:t xml:space="preserve"> e </w:t>
      </w:r>
      <w:hyperlink r:id="rId18856">
        <w:r>
          <w:rPr>
            <w:color w:val="0000EE"/>
            <w:u w:val="single"/>
          </w:rPr>
          <w:t>28.1–9</w:t>
        </w:r>
      </w:hyperlink>
      <w:r>
        <w:t>.</w:t>
      </w:r>
    </w:p>
    <w:p>
      <w:pPr>
        <w:pStyle w:val="Heading4"/>
      </w:pPr>
      <w:r>
        <w:t>Salmos imprecatórios</w:t>
      </w:r>
    </w:p>
    <w:p>
      <w:r/>
      <w:r>
        <w:t>Aproximadamente 20 salmos contêm súplicas fervorosas pela queda dos ímpios, em uma linguagem que muitas vezes é chocante. Qualquer condenação imediata dessa atitude deve, no entanto, ser moderada por certas considerações relevantes:</w:t>
      </w:r>
    </w:p>
    <w:p>
      <w:r/>
      <w:r>
        <w:t xml:space="preserve">O clamor por vingança não era puramente pessoal; acreditava-se firmemente que a honra de Deus estava em jogo (por exemplo, </w:t>
      </w:r>
      <w:hyperlink r:id="rId18968">
        <w:r>
          <w:rPr>
            <w:color w:val="0000EE"/>
            <w:u w:val="single"/>
          </w:rPr>
          <w:t>Sl 109.21</w:t>
        </w:r>
      </w:hyperlink>
      <w:r>
        <w:t xml:space="preserve">). Em uma época em que havia uma visão menos desenvolvida de uma vida após a morte, era axiomático que as recompensas e punições resultantes da obediência ou desobediência a Deus deviam ser observáveis nesta vida. Sempre que isso não era aparente, parecia que não existia um Deus justo, e o nome de Deus era desonrado (e.g., </w:t>
      </w:r>
      <w:hyperlink r:id="rId18969">
        <w:r>
          <w:rPr>
            <w:color w:val="0000EE"/>
            <w:u w:val="single"/>
          </w:rPr>
          <w:t>Sl 74.10</w:t>
        </w:r>
      </w:hyperlink>
      <w:r>
        <w:t>). Esse desejo ardente pela erradicação do mal e dos homens maus surgia de uma consciência de um Deus moral e praticamente exigia o triunfo da verdade.</w:t>
      </w:r>
    </w:p>
    <w:p>
      <w:r/>
      <w:r>
        <w:t xml:space="preserve">A linguagem poética também é propensa à hipérbole — uma característica não confinada aos salmos (e.g., </w:t>
      </w:r>
      <w:hyperlink r:id="rId18970">
        <w:r>
          <w:rPr>
            <w:color w:val="0000EE"/>
            <w:u w:val="single"/>
          </w:rPr>
          <w:t>Ne 4.4–5</w:t>
        </w:r>
      </w:hyperlink>
      <w:r>
        <w:t xml:space="preserve">; </w:t>
      </w:r>
      <w:hyperlink r:id="rId18971">
        <w:r>
          <w:rPr>
            <w:color w:val="0000EE"/>
            <w:u w:val="single"/>
          </w:rPr>
          <w:t>Jr 20.14–18</w:t>
        </w:r>
      </w:hyperlink>
      <w:r>
        <w:t xml:space="preserve">; </w:t>
      </w:r>
      <w:hyperlink r:id="rId17732">
        <w:r>
          <w:rPr>
            <w:color w:val="0000EE"/>
            <w:u w:val="single"/>
          </w:rPr>
          <w:t>Am 7.17</w:t>
        </w:r>
      </w:hyperlink>
      <w:r>
        <w:t>). Tal linguagem é surpreendente; de fato, parte de sua função provavelmente era surpreender — expressar e promover um sentimento de indignação.</w:t>
      </w:r>
    </w:p>
    <w:p>
      <w:r/>
      <w:r>
        <w:t>No período pré-cristão, portanto, tais afirmações explosivas não eram completamente injustificáveis. Mas à luz da revelação mais completa no NT, tal atitude não pode ser tolerada. O cristão deve amar como Cristo amou (</w:t>
      </w:r>
      <w:hyperlink r:id="rId1197">
        <w:r>
          <w:rPr>
            <w:color w:val="0000EE"/>
            <w:u w:val="single"/>
          </w:rPr>
          <w:t>Jo 13.34</w:t>
        </w:r>
      </w:hyperlink>
      <w:r>
        <w:t>), orar por seus inimigos e perdoá-los (</w:t>
      </w:r>
      <w:hyperlink r:id="rId18861">
        <w:r>
          <w:rPr>
            <w:color w:val="0000EE"/>
            <w:u w:val="single"/>
          </w:rPr>
          <w:t>Mt 5.38–48</w:t>
        </w:r>
      </w:hyperlink>
      <w:r>
        <w:t xml:space="preserve">; </w:t>
      </w:r>
      <w:hyperlink r:id="rId16863">
        <w:r>
          <w:rPr>
            <w:color w:val="0000EE"/>
            <w:u w:val="single"/>
          </w:rPr>
          <w:t>Cl 3.13</w:t>
        </w:r>
      </w:hyperlink>
      <w:r>
        <w:t>). O tema do julgamento continua no NT e é de fato intensificado lá, já que a vinda de Cristo deixou as pessoas sem desculpa para viver no pecado (</w:t>
      </w:r>
      <w:hyperlink r:id="rId18972">
        <w:r>
          <w:rPr>
            <w:color w:val="0000EE"/>
            <w:u w:val="single"/>
          </w:rPr>
          <w:t>Jo 16.8–11</w:t>
        </w:r>
      </w:hyperlink>
      <w:r>
        <w:t>), mas não pode haver lugar para vingança puramente privada.</w:t>
      </w:r>
    </w:p>
    <w:p>
      <w:pPr>
        <w:pStyle w:val="Heading4"/>
      </w:pPr>
      <w:r>
        <w:t>Salmos de arrependimento</w:t>
      </w:r>
    </w:p>
    <w:p>
      <w:r/>
      <w:hyperlink r:id="rId5383">
        <w:r>
          <w:rPr>
            <w:color w:val="0000EE"/>
            <w:u w:val="single"/>
          </w:rPr>
          <w:t>Salmos 32</w:t>
        </w:r>
      </w:hyperlink>
      <w:r>
        <w:t xml:space="preserve">, </w:t>
      </w:r>
      <w:hyperlink r:id="rId14596">
        <w:r>
          <w:rPr>
            <w:color w:val="0000EE"/>
            <w:u w:val="single"/>
          </w:rPr>
          <w:t>38</w:t>
        </w:r>
      </w:hyperlink>
      <w:r>
        <w:t xml:space="preserve">, </w:t>
      </w:r>
      <w:hyperlink r:id="rId2603">
        <w:r>
          <w:rPr>
            <w:color w:val="0000EE"/>
            <w:u w:val="single"/>
          </w:rPr>
          <w:t>51</w:t>
        </w:r>
      </w:hyperlink>
      <w:r>
        <w:t xml:space="preserve"> e </w:t>
      </w:r>
      <w:hyperlink r:id="rId14598">
        <w:r>
          <w:rPr>
            <w:color w:val="0000EE"/>
            <w:u w:val="single"/>
          </w:rPr>
          <w:t>130</w:t>
        </w:r>
      </w:hyperlink>
      <w:r>
        <w:t xml:space="preserve"> são os exemplos mais claros de salmos penitenciais, embora tradicionalmente a igreja também tenha incluído </w:t>
      </w:r>
      <w:hyperlink r:id="rId14595">
        <w:r>
          <w:rPr>
            <w:color w:val="0000EE"/>
            <w:u w:val="single"/>
          </w:rPr>
          <w:t>Salmos 6</w:t>
        </w:r>
      </w:hyperlink>
      <w:r>
        <w:t xml:space="preserve">, </w:t>
      </w:r>
      <w:hyperlink r:id="rId14597">
        <w:r>
          <w:rPr>
            <w:color w:val="0000EE"/>
            <w:u w:val="single"/>
          </w:rPr>
          <w:t>102</w:t>
        </w:r>
      </w:hyperlink>
      <w:r>
        <w:t xml:space="preserve">, </w:t>
      </w:r>
      <w:hyperlink r:id="rId14599">
        <w:r>
          <w:rPr>
            <w:color w:val="0000EE"/>
            <w:u w:val="single"/>
          </w:rPr>
          <w:t>143</w:t>
        </w:r>
      </w:hyperlink>
      <w:r>
        <w:t xml:space="preserve">, onde não há confissão explícita de pecado. Em uma época em que a adversidade em suas várias formas era vista como o julgamento de Deus por transgressões, a admissão de angústia equivalia a uma confissão de culpa. Nos quatro principais exemplos, há uma intensidade de sentimento e um profundo senso da enormidade do pecado aos olhos de Deus, embora, como em outros lugares, não haja indicação de pecado específico, mesmo no </w:t>
      </w:r>
      <w:hyperlink r:id="rId2603">
        <w:r>
          <w:rPr>
            <w:color w:val="0000EE"/>
            <w:u w:val="single"/>
          </w:rPr>
          <w:t>Salmo 51</w:t>
        </w:r>
      </w:hyperlink>
      <w:r>
        <w:t>, que certamente está relacionado ao pecado de Davi contra Bate-Seba (</w:t>
      </w:r>
      <w:hyperlink r:id="rId10677">
        <w:r>
          <w:rPr>
            <w:color w:val="0000EE"/>
            <w:u w:val="single"/>
          </w:rPr>
          <w:t>2Sm 11–12</w:t>
        </w:r>
      </w:hyperlink>
      <w:r>
        <w:t>). Significativamente, Davi ignora o sistema sacrificial, que era totalmente ineficaz em seu caso, lançando-se inteiramente na misericórdia de Deus (</w:t>
      </w:r>
      <w:hyperlink r:id="rId18973">
        <w:r>
          <w:rPr>
            <w:color w:val="0000EE"/>
            <w:u w:val="single"/>
          </w:rPr>
          <w:t>Sl 51.1,16</w:t>
        </w:r>
      </w:hyperlink>
      <w:r>
        <w:t xml:space="preserve">). O peso do pecado não confessado é claramente revelado no </w:t>
      </w:r>
      <w:hyperlink r:id="rId5383">
        <w:r>
          <w:rPr>
            <w:color w:val="0000EE"/>
            <w:u w:val="single"/>
          </w:rPr>
          <w:t>Salmo 32</w:t>
        </w:r>
      </w:hyperlink>
      <w:r>
        <w:t xml:space="preserve">, e o efeito abrasador e corruptor do pecado no </w:t>
      </w:r>
      <w:hyperlink r:id="rId14596">
        <w:r>
          <w:rPr>
            <w:color w:val="0000EE"/>
            <w:u w:val="single"/>
          </w:rPr>
          <w:t>Salmo 38</w:t>
        </w:r>
      </w:hyperlink>
      <w:r>
        <w:t>.</w:t>
      </w:r>
    </w:p>
    <w:p>
      <w:pPr>
        <w:pStyle w:val="Heading4"/>
      </w:pPr>
      <w:r>
        <w:t>Salmos de sabedoria e salmos históricos</w:t>
      </w:r>
    </w:p>
    <w:p>
      <w:r/>
      <w:r>
        <w:t>Embora seja aceito que profetas, sacerdotes e sábios atuavam nos principais santuários, é de se esperar alguma sobreposição em seus modos de expressão. Formas proverbiais não são raramente encontradas nos salmos (</w:t>
      </w:r>
      <w:hyperlink r:id="rId18974">
        <w:r>
          <w:rPr>
            <w:color w:val="0000EE"/>
            <w:u w:val="single"/>
          </w:rPr>
          <w:t>Sl 37.5,8,16,21–22</w:t>
        </w:r>
      </w:hyperlink>
      <w:r>
        <w:t xml:space="preserve">; </w:t>
      </w:r>
      <w:hyperlink r:id="rId6849">
        <w:r>
          <w:rPr>
            <w:color w:val="0000EE"/>
            <w:u w:val="single"/>
          </w:rPr>
          <w:t>111.10</w:t>
        </w:r>
      </w:hyperlink>
      <w:r>
        <w:t xml:space="preserve">; </w:t>
      </w:r>
      <w:hyperlink r:id="rId18869">
        <w:r>
          <w:rPr>
            <w:color w:val="0000EE"/>
            <w:u w:val="single"/>
          </w:rPr>
          <w:t>127.1–5</w:t>
        </w:r>
      </w:hyperlink>
      <w:r>
        <w:t xml:space="preserve">). </w:t>
      </w:r>
      <w:hyperlink r:id="rId13051">
        <w:r>
          <w:rPr>
            <w:color w:val="0000EE"/>
            <w:u w:val="single"/>
          </w:rPr>
          <w:t>O Salmo 1</w:t>
        </w:r>
      </w:hyperlink>
      <w:r>
        <w:t xml:space="preserve">, provavelmente uma introdução a todo o Saltério, contrasta os caminhos divergentes dos justos e dos ímpios (cf. </w:t>
      </w:r>
      <w:hyperlink r:id="rId273">
        <w:r>
          <w:rPr>
            <w:color w:val="0000EE"/>
            <w:u w:val="single"/>
          </w:rPr>
          <w:t>Sl 112</w:t>
        </w:r>
      </w:hyperlink>
      <w:r>
        <w:t xml:space="preserve">), enquanto </w:t>
      </w:r>
      <w:hyperlink r:id="rId18869">
        <w:r>
          <w:rPr>
            <w:color w:val="0000EE"/>
            <w:u w:val="single"/>
          </w:rPr>
          <w:t>os Salmos 127</w:t>
        </w:r>
      </w:hyperlink>
      <w:r>
        <w:t xml:space="preserve"> e </w:t>
      </w:r>
      <w:hyperlink r:id="rId781">
        <w:r>
          <w:rPr>
            <w:color w:val="0000EE"/>
            <w:u w:val="single"/>
          </w:rPr>
          <w:t>128</w:t>
        </w:r>
      </w:hyperlink>
      <w:r>
        <w:t xml:space="preserve"> se concentram nas bênçãos dadas aos piedosos. </w:t>
      </w:r>
      <w:hyperlink r:id="rId16904">
        <w:r>
          <w:rPr>
            <w:color w:val="0000EE"/>
            <w:u w:val="single"/>
          </w:rPr>
          <w:t>O Salmo 133</w:t>
        </w:r>
      </w:hyperlink>
      <w:r>
        <w:t xml:space="preserve"> é escrito em louvor à unidade. O problema de explicar os sofrimentos de uma pessoa justa e a aparente prosperidade dos ímpios, tratado na Literatura de Sabedoria no livro de Jó e também nos profetas (e.g., </w:t>
      </w:r>
      <w:hyperlink r:id="rId15843">
        <w:r>
          <w:rPr>
            <w:color w:val="0000EE"/>
            <w:u w:val="single"/>
          </w:rPr>
          <w:t>Jr 12.1–4</w:t>
        </w:r>
      </w:hyperlink>
      <w:r>
        <w:t xml:space="preserve">), é abordado em </w:t>
      </w:r>
      <w:hyperlink r:id="rId271">
        <w:r>
          <w:rPr>
            <w:color w:val="0000EE"/>
            <w:u w:val="single"/>
          </w:rPr>
          <w:t>Salmos 37</w:t>
        </w:r>
      </w:hyperlink>
      <w:r>
        <w:t xml:space="preserve">, </w:t>
      </w:r>
      <w:hyperlink r:id="rId17231">
        <w:r>
          <w:rPr>
            <w:color w:val="0000EE"/>
            <w:u w:val="single"/>
          </w:rPr>
          <w:t>49</w:t>
        </w:r>
      </w:hyperlink>
      <w:r>
        <w:t xml:space="preserve"> e </w:t>
      </w:r>
      <w:hyperlink r:id="rId15836">
        <w:r>
          <w:rPr>
            <w:color w:val="0000EE"/>
            <w:u w:val="single"/>
          </w:rPr>
          <w:t>73</w:t>
        </w:r>
      </w:hyperlink>
      <w:r>
        <w:t>.</w:t>
      </w:r>
    </w:p>
    <w:p>
      <w:r/>
      <w:r>
        <w:t xml:space="preserve">Os salmos históricos devem ser incluídos nesta categoria, pois destacam as lições decorrentes da experiência muitas vezes amarga da nação favorecida. É evidente que Israel se deleitava na recitação da história da salvação. Os principais salmos e os períodos cobertos são </w:t>
      </w:r>
      <w:hyperlink r:id="rId4206">
        <w:r>
          <w:rPr>
            <w:color w:val="0000EE"/>
            <w:u w:val="single"/>
          </w:rPr>
          <w:t>Salmo 78</w:t>
        </w:r>
      </w:hyperlink>
      <w:r>
        <w:t xml:space="preserve">, do Êxodo ao estabelecimento da monarquia davídica (observe a intenção declarada de ensinar nos vv. </w:t>
      </w:r>
      <w:hyperlink r:id="rId18975">
        <w:r>
          <w:rPr>
            <w:color w:val="0000EE"/>
            <w:u w:val="single"/>
          </w:rPr>
          <w:t>1–4</w:t>
        </w:r>
      </w:hyperlink>
      <w:r>
        <w:t xml:space="preserve">); </w:t>
      </w:r>
      <w:hyperlink r:id="rId8840">
        <w:r>
          <w:rPr>
            <w:color w:val="0000EE"/>
            <w:u w:val="single"/>
          </w:rPr>
          <w:t>Salmo 105</w:t>
        </w:r>
      </w:hyperlink>
      <w:r>
        <w:t xml:space="preserve">, de Abraão à conquista de Canaã; </w:t>
      </w:r>
      <w:hyperlink r:id="rId8841">
        <w:r>
          <w:rPr>
            <w:color w:val="0000EE"/>
            <w:u w:val="single"/>
          </w:rPr>
          <w:t>Salmo 106</w:t>
        </w:r>
      </w:hyperlink>
      <w:r>
        <w:t xml:space="preserve">, do Egito aos juízes; e </w:t>
      </w:r>
      <w:hyperlink r:id="rId1160">
        <w:r>
          <w:rPr>
            <w:color w:val="0000EE"/>
            <w:u w:val="single"/>
          </w:rPr>
          <w:t>Salmo 136</w:t>
        </w:r>
      </w:hyperlink>
      <w:r>
        <w:t>, da Criação à Terra Prometida.</w:t>
      </w:r>
    </w:p>
    <w:p>
      <w:pPr>
        <w:pStyle w:val="Heading4"/>
      </w:pPr>
      <w:r>
        <w:t>Salmos de confiança</w:t>
      </w:r>
    </w:p>
    <w:p>
      <w:r/>
      <w:r>
        <w:t xml:space="preserve">Embora alguns destes também possam ser classificados como lamentos, a característica dominante deste grupo é a revelada confiança serena em Deus, o que os torna particularmente adequados para uso devocional. Muitos desses salmos começam com uma afirmação de gratidão e afeição por Deus. </w:t>
      </w:r>
      <w:hyperlink r:id="rId9047">
        <w:r>
          <w:rPr>
            <w:color w:val="0000EE"/>
            <w:u w:val="single"/>
          </w:rPr>
          <w:t>Salmos 23</w:t>
        </w:r>
      </w:hyperlink>
      <w:r>
        <w:t xml:space="preserve"> e </w:t>
      </w:r>
      <w:hyperlink r:id="rId18976">
        <w:r>
          <w:rPr>
            <w:color w:val="0000EE"/>
            <w:u w:val="single"/>
          </w:rPr>
          <w:t>27</w:t>
        </w:r>
      </w:hyperlink>
      <w:r>
        <w:t xml:space="preserve"> são exemplos notáveis deste tipo, que também poderiam incluir </w:t>
      </w:r>
      <w:hyperlink r:id="rId18977">
        <w:r>
          <w:rPr>
            <w:color w:val="0000EE"/>
            <w:u w:val="single"/>
          </w:rPr>
          <w:t>Salmos 11</w:t>
        </w:r>
      </w:hyperlink>
      <w:r>
        <w:t xml:space="preserve">, </w:t>
      </w:r>
      <w:hyperlink r:id="rId5290">
        <w:r>
          <w:rPr>
            <w:color w:val="0000EE"/>
            <w:u w:val="single"/>
          </w:rPr>
          <w:t>16</w:t>
        </w:r>
      </w:hyperlink>
      <w:r>
        <w:t xml:space="preserve">, </w:t>
      </w:r>
      <w:hyperlink r:id="rId11572">
        <w:r>
          <w:rPr>
            <w:color w:val="0000EE"/>
            <w:u w:val="single"/>
          </w:rPr>
          <w:t>62</w:t>
        </w:r>
      </w:hyperlink>
      <w:r>
        <w:t xml:space="preserve">, </w:t>
      </w:r>
      <w:hyperlink r:id="rId5384">
        <w:r>
          <w:rPr>
            <w:color w:val="0000EE"/>
            <w:u w:val="single"/>
          </w:rPr>
          <w:t>116</w:t>
        </w:r>
      </w:hyperlink>
      <w:r>
        <w:t xml:space="preserve">, </w:t>
      </w:r>
      <w:hyperlink r:id="rId18978">
        <w:r>
          <w:rPr>
            <w:color w:val="0000EE"/>
            <w:u w:val="single"/>
          </w:rPr>
          <w:t>131</w:t>
        </w:r>
      </w:hyperlink>
      <w:r>
        <w:t xml:space="preserve"> e </w:t>
      </w:r>
      <w:hyperlink r:id="rId18916">
        <w:r>
          <w:rPr>
            <w:color w:val="0000EE"/>
            <w:u w:val="single"/>
          </w:rPr>
          <w:t>138</w:t>
        </w:r>
      </w:hyperlink>
      <w:r>
        <w:t>.</w:t>
      </w:r>
    </w:p>
    <w:p>
      <w:pPr>
        <w:pStyle w:val="Heading3"/>
      </w:pPr>
      <w:r>
        <w:t>Conclusão</w:t>
      </w:r>
    </w:p>
    <w:p>
      <w:r/>
      <w:r>
        <w:t>As dificuldades em qualquer categorização precisa dos salmos são evidentes; muitos não se encaixam perfeitamente em um grupo — daí a ocasional sobreposição. O que é claramente evidente é uma vida devocional vibrante e vital que encontrou sua expressão mais clara no livro dos Salmos. Dizer que expressa a adoração e devoção da pessoa comum é uma simplificação; reis e sacerdotes, sábios e profetas, todos contribuíram para esta notável coleção. No entanto, permanece a verdade de que, aos olhos de Deus, todas as pessoas, independentemente de realizações ou privilégios humanos, são "comuns", pois todos são pecadores necessitados da graça e bondade de Deus. Assim, a comunidade adoradora do antigo Israel, e os santos de cada geração subsequente, na vastidão de sua diversidade, encontraram a expressão da condição, desejos e devoção de seus próprios corações neste tesouro único — os Salmos.</w:t>
      </w:r>
    </w:p>
    <w:p>
      <w:r/>
      <w:r>
        <w:rPr>
          <w:i/>
        </w:rPr>
        <w:t>Consulte também</w:t>
      </w:r>
      <w:r>
        <w:t xml:space="preserve"> </w:t>
      </w:r>
      <w:r>
        <w:t>Davi</w:t>
      </w:r>
      <w:r>
        <w:t xml:space="preserve">; </w:t>
      </w:r>
      <w:r>
        <w:t>Messias</w:t>
      </w:r>
      <w:r>
        <w:t xml:space="preserve">; </w:t>
      </w:r>
      <w:r>
        <w:t>Música</w:t>
      </w:r>
      <w:r>
        <w:t xml:space="preserve">; </w:t>
      </w:r>
      <w:r>
        <w:t>Poesia bíblica</w:t>
      </w:r>
      <w:r>
        <w:t xml:space="preserve">; </w:t>
      </w:r>
      <w:r>
        <w:t>Cantores no Templo</w:t>
      </w:r>
      <w:r>
        <w:t xml:space="preserve">; </w:t>
      </w:r>
      <w:r>
        <w:t>Tabernáculo</w:t>
      </w:r>
      <w:r>
        <w:t xml:space="preserve">; </w:t>
      </w:r>
      <w:r>
        <w:t>Templo</w:t>
      </w:r>
      <w:r>
        <w:t xml:space="preserve">; </w:t>
      </w:r>
      <w:r>
        <w:t>Sabedoria</w:t>
      </w:r>
      <w:r>
        <w:t xml:space="preserve">; </w:t>
      </w:r>
      <w:r>
        <w:t>Literatura de sabedoria</w:t>
      </w:r>
      <w:r>
        <w:t xml:space="preserve">. </w:t>
      </w:r>
      <w:r/>
      <w:r/>
    </w:p>
    <w:p>
      <w:r/>
    </w:p>
    <w:p>
      <w:pPr>
        <w:pStyle w:val="Heading2"/>
      </w:pPr>
      <w:r>
        <w:t>Salomão (pessoa)</w:t>
      </w:r>
      <w:r/>
    </w:p>
    <w:p>
      <w:r/>
      <w:r>
        <w:t>Terceiro rei de Israel, o segundo filho de Davi e Bate-Seba, que reinou por 40 anos (970–930 a.C.). Seu nome alternativo era Jedidias, que significa “amado do Senhor”.</w:t>
      </w:r>
    </w:p>
    <w:p>
      <w:pPr>
        <w:pStyle w:val="Heading3"/>
      </w:pPr>
      <w:r>
        <w:t>Nomeado para o trono</w:t>
      </w:r>
    </w:p>
    <w:p>
      <w:r/>
      <w:r>
        <w:t>Como Amnom e Absalão não estavam mais competindo pelo trono, os dois candidatos mais prováveis restantes eram Salomão e Adonias, embora a realeza tivesse sido assegurada ao primeiro (</w:t>
      </w:r>
      <w:hyperlink r:id="rId18979">
        <w:r>
          <w:rPr>
            <w:color w:val="0000EE"/>
            <w:u w:val="single"/>
          </w:rPr>
          <w:t>1Cr 22.9,10</w:t>
        </w:r>
      </w:hyperlink>
      <w:r>
        <w:t>). Perto do fim da vida de Davi, Adonias contestou a escolha de Salomão e tomou medidas para se tornar rei. Com a ajuda de Joabe, general do exército, e Abiatar, o sacerdote, ele foi proclamado monarca. Salomão não foi convidado, nem Natã, o profeta, ou Benaia. Natã trouxe a notícia desse complô para Bate-Seba, que por sua vez questionou Davi sobre suas intenções. Davi então ordenou que Salomão fosse proclamado rei sobre Israel; ele foi ungido por Zadoque em meio ao toque das trombetas e ao clamor do povo: “Viva o rei Salomão!” (</w:t>
      </w:r>
      <w:hyperlink r:id="rId11080">
        <w:r>
          <w:rPr>
            <w:color w:val="0000EE"/>
            <w:u w:val="single"/>
          </w:rPr>
          <w:t>1Rs 1.34</w:t>
        </w:r>
      </w:hyperlink>
      <w:r>
        <w:t>). Adonias percebeu que sua reivindicação havia colapsado e pediu misericórdia, prometendo ser fiel ao novo rei.</w:t>
      </w:r>
    </w:p>
    <w:p>
      <w:r/>
      <w:r>
        <w:t>Salomão agiu rapidamente para estabelecer seu controle sobre o governo (</w:t>
      </w:r>
      <w:hyperlink r:id="rId18290">
        <w:r>
          <w:rPr>
            <w:color w:val="0000EE"/>
            <w:u w:val="single"/>
          </w:rPr>
          <w:t>1Rs 1,2</w:t>
        </w:r>
      </w:hyperlink>
      <w:r>
        <w:t>). Quando Adonias pediu para se casar com Abisague, companheira de Davi em sua velhice (</w:t>
      </w:r>
      <w:hyperlink r:id="rId18980">
        <w:r>
          <w:rPr>
            <w:color w:val="0000EE"/>
            <w:u w:val="single"/>
          </w:rPr>
          <w:t>1.1–4</w:t>
        </w:r>
      </w:hyperlink>
      <w:r>
        <w:t>), Salomão recusou e ordenou sua morte devido a possíveis reivindicações ao trono (</w:t>
      </w:r>
      <w:hyperlink r:id="rId18981">
        <w:r>
          <w:rPr>
            <w:color w:val="0000EE"/>
            <w:u w:val="single"/>
          </w:rPr>
          <w:t>2.22–25</w:t>
        </w:r>
      </w:hyperlink>
      <w:r>
        <w:t>). Além disso, porque Abiatar havia se aliado a Adonias, ele foi removido de seu serviço como sacerdote e enviado de volta para Anatote. Joabe fugiu para o altar e lá segurou-se aos seus chifres e se recusou a soltar. O rei ordenou sua morte pelas mãos de Benaia, que então se tornou comandante-chefe dos exércitos. Outro pretendente, Simei, da casa de Saul, também foi executado.</w:t>
      </w:r>
    </w:p>
    <w:p>
      <w:r/>
      <w:r>
        <w:t>Um dos primeiros atos registrados de Salomão como rei foi ir ao alto lugar em Gibeão e sacrificar 1.000 holocaustos. Na noite seguinte, o Senhor apareceu ao rei em um sonho, perguntando qual era seu desejo mais profundo. Salomão pediu sabedoria para julgar Israel, e Deus ficou satisfeito com o pedido (</w:t>
      </w:r>
      <w:hyperlink r:id="rId18200">
        <w:r>
          <w:rPr>
            <w:color w:val="0000EE"/>
            <w:u w:val="single"/>
          </w:rPr>
          <w:t>1Rs 3</w:t>
        </w:r>
      </w:hyperlink>
      <w:r>
        <w:t>). O rei de Israel recebeu seu desejo, junto com os dons de longevidade, riquezas e fama.</w:t>
      </w:r>
    </w:p>
    <w:p>
      <w:pPr>
        <w:pStyle w:val="Heading3"/>
      </w:pPr>
      <w:r>
        <w:t>Conquistas de Salomão</w:t>
      </w:r>
    </w:p>
    <w:p>
      <w:pPr>
        <w:pStyle w:val="Heading4"/>
      </w:pPr>
      <w:r>
        <w:t>Seu governo</w:t>
      </w:r>
    </w:p>
    <w:p>
      <w:r/>
      <w:r>
        <w:t>Os esforços de Davi promoveram a união das 12 tribos, mas Salomão estabeleceu um estado organizado com muitos oficiais para auxiliá-lo (</w:t>
      </w:r>
      <w:hyperlink r:id="rId18982">
        <w:r>
          <w:rPr>
            <w:color w:val="0000EE"/>
            <w:u w:val="single"/>
          </w:rPr>
          <w:t>1Rs 4</w:t>
        </w:r>
      </w:hyperlink>
      <w:r>
        <w:t>). Todo o país foi dividido em 12 grandes distritos; cada distrito era responsável por garantir as provisões para a corte do rei durante um mês a cada ano. O sistema era equitativo e projetado para distribuir a carga tributária por todo o país.</w:t>
      </w:r>
    </w:p>
    <w:p>
      <w:pPr>
        <w:pStyle w:val="Heading4"/>
      </w:pPr>
      <w:r>
        <w:t>Seus prédios</w:t>
      </w:r>
    </w:p>
    <w:p>
      <w:r/>
      <w:r>
        <w:t>Uma das primeiras iniciativas de Salomão foi a construção do templo. Davi desejava construir o templo, mas essa tarefa foi deixada para Salomão, o homem de paz. Hirão, rei de Tiro, forneceu cedros do Monte Líbano para o templo (</w:t>
      </w:r>
      <w:hyperlink r:id="rId18983">
        <w:r>
          <w:rPr>
            <w:color w:val="0000EE"/>
            <w:u w:val="single"/>
          </w:rPr>
          <w:t>1Rs 5.1–12</w:t>
        </w:r>
      </w:hyperlink>
      <w:r>
        <w:t>), e em troca recebeu uma quantidade adequada de alimentos. Para fornecer a mão de obra necessária para esses projetos de construção, os cananeus foram feitos escravos (</w:t>
      </w:r>
      <w:hyperlink r:id="rId10641">
        <w:r>
          <w:rPr>
            <w:color w:val="0000EE"/>
            <w:u w:val="single"/>
          </w:rPr>
          <w:t>9.20,21</w:t>
        </w:r>
      </w:hyperlink>
      <w:r>
        <w:t>). Da mesma forma, os israelitas foram obrigados a trabalhar em grupos de 10.000, a cada terceiro mês (</w:t>
      </w:r>
      <w:hyperlink r:id="rId8170">
        <w:r>
          <w:rPr>
            <w:color w:val="0000EE"/>
            <w:u w:val="single"/>
          </w:rPr>
          <w:t>5.13–18</w:t>
        </w:r>
      </w:hyperlink>
      <w:r>
        <w:t xml:space="preserve">; </w:t>
      </w:r>
      <w:hyperlink r:id="rId18984">
        <w:r>
          <w:rPr>
            <w:color w:val="0000EE"/>
            <w:u w:val="single"/>
          </w:rPr>
          <w:t>2Cr 2.17,18</w:t>
        </w:r>
      </w:hyperlink>
      <w:r>
        <w:t>). Os trabalhadores para o templo incluíam 80.000 cortadores de pedra, 70.000 trabalhadores comuns e 3.600 capatazes.</w:t>
      </w:r>
    </w:p>
    <w:p>
      <w:r/>
      <w:r>
        <w:t>Levou sete anos para terminar o templo, que, pelos padrões modernos, era um edifício relativamente pequeno: 27 metros de comprimento, 9 metros de largura e 14 metros de altura. No entanto, a cobertura de ouro nas paredes e móveis o tornava bastante caro.</w:t>
      </w:r>
    </w:p>
    <w:p>
      <w:r/>
      <w:r>
        <w:t>No 11º ano do reinado de Salomão, a dedicação do templo foi celebrada em uma grande convocação (</w:t>
      </w:r>
      <w:hyperlink r:id="rId4068">
        <w:r>
          <w:rPr>
            <w:color w:val="0000EE"/>
            <w:u w:val="single"/>
          </w:rPr>
          <w:t>1Rs 6.38</w:t>
        </w:r>
      </w:hyperlink>
      <w:r>
        <w:t xml:space="preserve">; </w:t>
      </w:r>
      <w:hyperlink r:id="rId18985">
        <w:r>
          <w:rPr>
            <w:color w:val="0000EE"/>
            <w:u w:val="single"/>
          </w:rPr>
          <w:t>8.1–5</w:t>
        </w:r>
      </w:hyperlink>
      <w:r>
        <w:t>). A presença do Senhor encheu o templo, e Salomão então ofereceu sua grande oração dedicatória (</w:t>
      </w:r>
      <w:hyperlink r:id="rId18986">
        <w:r>
          <w:rPr>
            <w:color w:val="0000EE"/>
            <w:u w:val="single"/>
          </w:rPr>
          <w:t>8.23–53</w:t>
        </w:r>
      </w:hyperlink>
      <w:r>
        <w:t>), marcando-a como um dos grandes momentos de sua devoção ao Senhor. Depois, ele ofereceu 22.000 bois e 120.000 ovelhas, além de outras ofertas. O povo estava cheio de alegria porque Davi tinha um sucessor tão notável.</w:t>
      </w:r>
    </w:p>
    <w:p>
      <w:r/>
      <w:r>
        <w:t>Salomão construiu outros edifícios: a Casa da Floresta do Líbano, o Salão das Colunas, um salão para seu trono e uma casa para a filha do Faraó (</w:t>
      </w:r>
      <w:hyperlink r:id="rId18987">
        <w:r>
          <w:rPr>
            <w:color w:val="0000EE"/>
            <w:u w:val="single"/>
          </w:rPr>
          <w:t>1Rs 7.2–8</w:t>
        </w:r>
      </w:hyperlink>
      <w:r>
        <w:t>). Foram necessários treze anos para a construção de sua própria casa, grande o suficiente para acomodar suas esposas e concubinas, bem como os servos. Uma grande fortaleza também foi construída, Milo, que foi usada para proteger o templo (</w:t>
      </w:r>
      <w:hyperlink r:id="rId9374">
        <w:r>
          <w:rPr>
            <w:color w:val="0000EE"/>
            <w:u w:val="single"/>
          </w:rPr>
          <w:t>9.24</w:t>
        </w:r>
      </w:hyperlink>
      <w:r>
        <w:t>), assim como outras cidades armazéns e fortificadas.</w:t>
      </w:r>
    </w:p>
    <w:p>
      <w:pPr>
        <w:pStyle w:val="Heading4"/>
      </w:pPr>
      <w:r>
        <w:t>Seu comércio com outras nações</w:t>
      </w:r>
    </w:p>
    <w:p>
      <w:r/>
      <w:r>
        <w:t>O rei tinha um acordo com Hirão, rei de Tiro, para pagar anualmente por cedros, cortadores de pedra e outras construções; por 125.000 alqueires (4,4 milhões de litros) de trigo; e por 115.000 galões (435.275 litros) de azeite (</w:t>
      </w:r>
      <w:hyperlink r:id="rId7163">
        <w:r>
          <w:rPr>
            <w:color w:val="0000EE"/>
            <w:u w:val="single"/>
          </w:rPr>
          <w:t>1Rs 5.11</w:t>
        </w:r>
      </w:hyperlink>
      <w:r>
        <w:t>). Além disso, Hirão recebeu 20 cidades na Galileia para cobrir todas as dívidas. Contrariando a instrução de não negociar cavalos (</w:t>
      </w:r>
      <w:hyperlink r:id="rId1714">
        <w:r>
          <w:rPr>
            <w:color w:val="0000EE"/>
            <w:u w:val="single"/>
          </w:rPr>
          <w:t>Dt 17.16</w:t>
        </w:r>
      </w:hyperlink>
      <w:r>
        <w:t>), Salomão comprou cavalos e carros dos egípcios, e alguns destes, por sua vez, foram vendidos aos hititas e arameus com lucro (</w:t>
      </w:r>
      <w:hyperlink r:id="rId1719">
        <w:r>
          <w:rPr>
            <w:color w:val="0000EE"/>
            <w:u w:val="single"/>
          </w:rPr>
          <w:t>1Rs 10.28,29</w:t>
        </w:r>
      </w:hyperlink>
      <w:r>
        <w:t>).</w:t>
      </w:r>
    </w:p>
    <w:p>
      <w:r/>
      <w:r>
        <w:t>Além disso, Salomão se envolveu no comércio marítimo. Navios construídos nos estaleiros de Eziom-Geber navegavam para portos no Mar Vermelho e no Oceano Índico. Os marinheiros coletavam ouro, marfim e pavões. De Ofir, os comerciantes trouxeram de volta 420 talentos de ouro, uma fortuna considerável.</w:t>
      </w:r>
    </w:p>
    <w:p>
      <w:pPr>
        <w:pStyle w:val="Heading3"/>
      </w:pPr>
      <w:r>
        <w:t>Sua sabedoria</w:t>
      </w:r>
    </w:p>
    <w:p>
      <w:r/>
      <w:r>
        <w:t>Salomão escreveu 3.000 provérbios e 1.005 cânticos (</w:t>
      </w:r>
      <w:hyperlink r:id="rId17761">
        <w:r>
          <w:rPr>
            <w:color w:val="0000EE"/>
            <w:u w:val="single"/>
          </w:rPr>
          <w:t>1Rs 4.32</w:t>
        </w:r>
      </w:hyperlink>
      <w:r>
        <w:t>). A maior parte do livro de Provérbios é atribuída a ele (</w:t>
      </w:r>
      <w:hyperlink r:id="rId17752">
        <w:r>
          <w:rPr>
            <w:color w:val="0000EE"/>
            <w:u w:val="single"/>
          </w:rPr>
          <w:t>Pv 25.1</w:t>
        </w:r>
      </w:hyperlink>
      <w:r>
        <w:t xml:space="preserve">), assim como Eclesiastes, Cântico dos Cânticos e </w:t>
      </w:r>
      <w:hyperlink r:id="rId18868">
        <w:r>
          <w:rPr>
            <w:color w:val="0000EE"/>
            <w:u w:val="single"/>
          </w:rPr>
          <w:t>Salmos 72</w:t>
        </w:r>
      </w:hyperlink>
      <w:r>
        <w:t xml:space="preserve"> e </w:t>
      </w:r>
      <w:hyperlink r:id="rId18869">
        <w:r>
          <w:rPr>
            <w:color w:val="0000EE"/>
            <w:u w:val="single"/>
          </w:rPr>
          <w:t>127</w:t>
        </w:r>
      </w:hyperlink>
      <w:r>
        <w:t>. Seu obituário menciona suas realizações literárias no livro dos atos de Salomão (</w:t>
      </w:r>
      <w:hyperlink r:id="rId13060">
        <w:r>
          <w:rPr>
            <w:color w:val="0000EE"/>
            <w:u w:val="single"/>
          </w:rPr>
          <w:t>1Rs 11.41</w:t>
        </w:r>
      </w:hyperlink>
      <w:r>
        <w:t>).</w:t>
      </w:r>
    </w:p>
    <w:p>
      <w:r/>
      <w:r>
        <w:t>A rainha de Sabá veio verificar se os relatos sobre a fama e sabedoria de Salomão eram corretos. Após ver tudo o que ele possuía em Jerusalém e ouvir sua sabedoria, sua resposta final foi abençoar o Senhor Deus de Israel, que levantou uma pessoa tão sábia para ocupar um trono tão magnífico (</w:t>
      </w:r>
      <w:hyperlink r:id="rId11652">
        <w:r>
          <w:rPr>
            <w:color w:val="0000EE"/>
            <w:u w:val="single"/>
          </w:rPr>
          <w:t>1Rs 10</w:t>
        </w:r>
      </w:hyperlink>
      <w:r>
        <w:t>).</w:t>
      </w:r>
    </w:p>
    <w:p>
      <w:pPr>
        <w:pStyle w:val="Heading3"/>
      </w:pPr>
      <w:r>
        <w:t>Sua queda</w:t>
      </w:r>
    </w:p>
    <w:p>
      <w:r/>
      <w:r>
        <w:t>Salomão cometeu muitos erros de julgamento durante seu reinado, e um deles foi a tributação excessiva sobre o povo. Seu pior erro foi adicionar mais e mais esposas ao seu harém, acomodando suas preferências religiosas com santuários pagãos (</w:t>
      </w:r>
      <w:hyperlink r:id="rId4513">
        <w:r>
          <w:rPr>
            <w:color w:val="0000EE"/>
            <w:u w:val="single"/>
          </w:rPr>
          <w:t>1Rs 11.1–8</w:t>
        </w:r>
      </w:hyperlink>
      <w:r>
        <w:t>). O Senhor afligiu Salomão, permitindo que Israel fosse atacado por todos os lados. Embora o reino não tenha sido danificado durante o tempo de Salomão, seu filho experimentou sua divisão. Não há registro de que Salomão tenha se arrependido, mas é bem possível que o livro de Eclesiastes revele sua percepção de suas decisões erradas.</w:t>
      </w:r>
    </w:p>
    <w:p>
      <w:r/>
      <w:r>
        <w:rPr>
          <w:i/>
        </w:rPr>
        <w:t xml:space="preserve">Veja </w:t>
      </w:r>
      <w:r>
        <w:t>Cronologia da Bíblia (Antigo Testamento)</w:t>
      </w:r>
      <w:r>
        <w:t xml:space="preserve">; </w:t>
      </w:r>
      <w:r>
        <w:t>Livro de Eclesiastes</w:t>
      </w:r>
      <w:r>
        <w:t xml:space="preserve">; </w:t>
      </w:r>
      <w:r>
        <w:t>História de Israel</w:t>
      </w:r>
      <w:r>
        <w:t xml:space="preserve">; </w:t>
      </w:r>
      <w:r>
        <w:t>Rei, realeza</w:t>
      </w:r>
      <w:r>
        <w:t xml:space="preserve">; </w:t>
      </w:r>
      <w:r>
        <w:t>Livro de Provérbios</w:t>
      </w:r>
      <w:r>
        <w:t xml:space="preserve">; </w:t>
      </w:r>
      <w:r>
        <w:t>Cântico de Salomão</w:t>
      </w:r>
      <w:r>
        <w:t xml:space="preserve">; </w:t>
      </w:r>
      <w:r>
        <w:t>Sabedoria</w:t>
      </w:r>
      <w:r>
        <w:t xml:space="preserve">; </w:t>
      </w:r>
      <w:r>
        <w:t>Literatura de sabedoria</w:t>
      </w:r>
      <w:r>
        <w:t>.</w:t>
      </w:r>
      <w:r/>
      <w:r/>
    </w:p>
    <w:p>
      <w:r/>
    </w:p>
    <w:p>
      <w:pPr>
        <w:pStyle w:val="Heading2"/>
      </w:pPr>
      <w:r>
        <w:t>Salomé</w:t>
      </w:r>
      <w:r/>
    </w:p>
    <w:p>
      <w:r/>
      <w:r>
        <w:t>Nome derivado da saudação hebraica shalom (paz), com uma letra adicional sendo um sufixo grego.</w:t>
      </w:r>
    </w:p>
    <w:p>
      <w:r/>
      <w:r>
        <w:t xml:space="preserve">1. Mulher que seguiu Jesus e era talvez a irmã de Maria e a mãe de Tiago e João. Em </w:t>
      </w:r>
      <w:hyperlink r:id="rId5012">
        <w:r>
          <w:rPr>
            <w:color w:val="0000EE"/>
            <w:u w:val="single"/>
          </w:rPr>
          <w:t>Marcos 15.40</w:t>
        </w:r>
      </w:hyperlink>
      <w:r>
        <w:t>, o evangelista descreve as mulheres que estavam ao pé da cruz, e nomeia três delas: Maria Madalena, Maria, mãe de Tiago, o menor, e de José, e Salomé. Da mesma forma, ao descrever as mulheres que chegaram ao túmulo ao amanhecer, Marcos narra que Maria Madalena, Maria, a mãe de Tiago, e Salomé haviam trazido especiarias para ungir o corpo (</w:t>
      </w:r>
      <w:hyperlink r:id="rId6249">
        <w:r>
          <w:rPr>
            <w:color w:val="0000EE"/>
            <w:u w:val="single"/>
          </w:rPr>
          <w:t>Mc 16.1</w:t>
        </w:r>
      </w:hyperlink>
      <w:r>
        <w:t>). Mateus fala de duas mulheres chamadas Maria, e a mãe dos filhos de Zebedeu, que poderiam ter sido Salomé (</w:t>
      </w:r>
      <w:hyperlink r:id="rId5011">
        <w:r>
          <w:rPr>
            <w:color w:val="0000EE"/>
            <w:u w:val="single"/>
          </w:rPr>
          <w:t>Mt 27.56</w:t>
        </w:r>
      </w:hyperlink>
      <w:r>
        <w:t>). João fala de quatro mulheres: (1) Maria, a mãe de Jesus; (2) Maria, a esposa de Cléopas; (3) Maria Madalena; e (4) a irmã de Maria — sem nome (</w:t>
      </w:r>
      <w:hyperlink r:id="rId751">
        <w:r>
          <w:rPr>
            <w:color w:val="0000EE"/>
            <w:u w:val="single"/>
          </w:rPr>
          <w:t>Jo 19.25</w:t>
        </w:r>
      </w:hyperlink>
      <w:r>
        <w:t>). Se a irmã de Maria fosse Salomé, e ela e a mãe dos filhos de Zebedeu fossem a mesma, então Tiago e João, os filhos de Zebedeu, eram primos de Jesus.</w:t>
      </w:r>
    </w:p>
    <w:p>
      <w:r/>
      <w:r>
        <w:t xml:space="preserve">2. Filha de Herodias, de seu primeiro casamento com Herodes Filipe. Embora não seja especificamente nomeada em </w:t>
      </w:r>
      <w:hyperlink r:id="rId18988">
        <w:r>
          <w:rPr>
            <w:color w:val="0000EE"/>
            <w:u w:val="single"/>
          </w:rPr>
          <w:t>Mateus 14.6</w:t>
        </w:r>
      </w:hyperlink>
      <w:r>
        <w:t xml:space="preserve"> ou </w:t>
      </w:r>
      <w:hyperlink r:id="rId18989">
        <w:r>
          <w:rPr>
            <w:color w:val="0000EE"/>
            <w:u w:val="single"/>
          </w:rPr>
          <w:t>Marcos 6.22</w:t>
        </w:r>
      </w:hyperlink>
      <w:r>
        <w:t>, a menina cuja dança agradou tanto a Herodes que ele prometeu sob juramento qualquer coisa que ela pedisse, até metade de seu reino. Instigada por sua mãe, ela pediu a cabeça de João Batista.</w:t>
      </w:r>
      <w:r/>
      <w:r/>
    </w:p>
    <w:p>
      <w:r/>
    </w:p>
    <w:p>
      <w:pPr>
        <w:pStyle w:val="Heading2"/>
      </w:pPr>
      <w:r>
        <w:t>Salu</w:t>
      </w:r>
      <w:r/>
    </w:p>
    <w:p>
      <w:r/>
      <w:r>
        <w:t>Um homem da tribo de Simeão e pai de Zinri. Seu filho Zinri era o chefe da casa de seu pai. Zinri foi morto por Fineias (</w:t>
      </w:r>
      <w:hyperlink r:id="rId18990">
        <w:r>
          <w:rPr>
            <w:color w:val="0000EE"/>
            <w:u w:val="single"/>
          </w:rPr>
          <w:t>Nm 25.14</w:t>
        </w:r>
      </w:hyperlink>
      <w:r>
        <w:t>).</w:t>
      </w:r>
      <w:r/>
      <w:r/>
    </w:p>
    <w:p>
      <w:r/>
    </w:p>
    <w:p>
      <w:pPr>
        <w:pStyle w:val="Heading2"/>
      </w:pPr>
      <w:r>
        <w:t>Salvação</w:t>
      </w:r>
      <w:r/>
    </w:p>
    <w:p>
      <w:r/>
      <w:r>
        <w:t>A maneira de Deus fornecer às pessoas a libertação do pecado e da morte. As Escrituras revelam Deus, mas também revelam seu plano para salvar a raça humana. Nesse sentido, a salvação é um tema importante tanto no AT quanto no NT.</w:t>
      </w:r>
    </w:p>
    <w:p>
      <w:pPr>
        <w:pStyle w:val="Heading3"/>
      </w:pPr>
      <w:r>
        <w:t>No Antigo Testamento</w:t>
      </w:r>
    </w:p>
    <w:p>
      <w:r/>
      <w:r>
        <w:t>O conceito de salvação é representado por vários termos e situações em ambos os Testamentos. Entre várias palavras em hebraico que significam “libertar” ou “salvar”, o verbo hebraico yasha‘ e seus derivados são mais frequentemente traduzidos pelas versões em português como “salvar” ou “salvação”. A frequência na Bíblia em português depende da versão considerada. Por exemplo, no AT, “salvação” é encontrada 34 vezes na NTLH, 62 vezes na NVT, 69 vezes na NVI, 104 vezes na ARA e 120 vezes na ARC. Salvação não é usada como um termo técnico no AT e é atribuída tanto a indivíduos quanto a Deus. Líderes como Sansão (</w:t>
      </w:r>
      <w:hyperlink r:id="rId6493">
        <w:r>
          <w:rPr>
            <w:color w:val="0000EE"/>
            <w:u w:val="single"/>
          </w:rPr>
          <w:t>Jz 13.5</w:t>
        </w:r>
      </w:hyperlink>
      <w:r>
        <w:t>) ou Davi (</w:t>
      </w:r>
      <w:hyperlink r:id="rId18991">
        <w:r>
          <w:rPr>
            <w:color w:val="0000EE"/>
            <w:u w:val="single"/>
          </w:rPr>
          <w:t>2Sm 8.6</w:t>
        </w:r>
      </w:hyperlink>
      <w:r>
        <w:t>) são usados pelo Senhor para trazer libertação ao povo de Deus.</w:t>
      </w:r>
    </w:p>
    <w:p>
      <w:r/>
      <w:r>
        <w:t>O conceito de salvação de Israel estava enraizado na experiência histórica do Êxodo. Este momento importante era uma oportunidade de testemunhar em primeira mão a salvação do Senhor (</w:t>
      </w:r>
      <w:hyperlink r:id="rId18992">
        <w:r>
          <w:rPr>
            <w:color w:val="0000EE"/>
            <w:u w:val="single"/>
          </w:rPr>
          <w:t>Êx 14.13</w:t>
        </w:r>
      </w:hyperlink>
      <w:r>
        <w:t>). Poetas (</w:t>
      </w:r>
      <w:hyperlink r:id="rId18993">
        <w:r>
          <w:rPr>
            <w:color w:val="0000EE"/>
            <w:u w:val="single"/>
          </w:rPr>
          <w:t>Sl 106.8</w:t>
        </w:r>
      </w:hyperlink>
      <w:r>
        <w:t>) e profetas (</w:t>
      </w:r>
      <w:hyperlink r:id="rId18994">
        <w:r>
          <w:rPr>
            <w:color w:val="0000EE"/>
            <w:u w:val="single"/>
          </w:rPr>
          <w:t>Is 43.3</w:t>
        </w:r>
      </w:hyperlink>
      <w:r>
        <w:t xml:space="preserve">; </w:t>
      </w:r>
      <w:hyperlink r:id="rId18995">
        <w:r>
          <w:rPr>
            <w:color w:val="0000EE"/>
            <w:u w:val="single"/>
          </w:rPr>
          <w:t>Os 13.4</w:t>
        </w:r>
      </w:hyperlink>
      <w:r>
        <w:t>) mais tarde reiteraram a salvação de Deus ao recordar a experiência do Êxodo. A compreensão de Israel sobre a salvação foi sendo trabalhada em casos históricos como o ataque de Senaqueribe a Jerusalém em 701 a.C., quando o Senhor declarou que ele salvaria a cidade por causa de seu nome (</w:t>
      </w:r>
      <w:hyperlink r:id="rId18351">
        <w:r>
          <w:rPr>
            <w:color w:val="0000EE"/>
            <w:u w:val="single"/>
          </w:rPr>
          <w:t>2Rs 19.34</w:t>
        </w:r>
      </w:hyperlink>
      <w:r>
        <w:t xml:space="preserve">; cf. </w:t>
      </w:r>
      <w:hyperlink r:id="rId18996">
        <w:r>
          <w:rPr>
            <w:color w:val="0000EE"/>
            <w:u w:val="single"/>
          </w:rPr>
          <w:t>18.30,35</w:t>
        </w:r>
      </w:hyperlink>
      <w:r>
        <w:t>). A oportunidade de Israel ver a salvação de Deus por meio de vários líderes e situações corroborou para esta compreensão de Deus como o Deus da salvação.</w:t>
      </w:r>
    </w:p>
    <w:p>
      <w:r/>
      <w:r>
        <w:t>A resposta de Israel à libertação de Deus era principalmente de louvor, como evidenciado tantas vezes nos salmos (</w:t>
      </w:r>
      <w:hyperlink r:id="rId13207">
        <w:r>
          <w:rPr>
            <w:color w:val="0000EE"/>
            <w:u w:val="single"/>
          </w:rPr>
          <w:t>Sl 3.8</w:t>
        </w:r>
      </w:hyperlink>
      <w:r>
        <w:t xml:space="preserve">; </w:t>
      </w:r>
      <w:hyperlink r:id="rId18997">
        <w:r>
          <w:rPr>
            <w:color w:val="0000EE"/>
            <w:u w:val="single"/>
          </w:rPr>
          <w:t>9.14</w:t>
        </w:r>
      </w:hyperlink>
      <w:r>
        <w:t xml:space="preserve">; </w:t>
      </w:r>
      <w:hyperlink r:id="rId17285">
        <w:r>
          <w:rPr>
            <w:color w:val="0000EE"/>
            <w:u w:val="single"/>
          </w:rPr>
          <w:t>21.1</w:t>
        </w:r>
      </w:hyperlink>
      <w:r>
        <w:t>) e passagens poéticas anteriores (</w:t>
      </w:r>
      <w:hyperlink r:id="rId13094">
        <w:r>
          <w:rPr>
            <w:color w:val="0000EE"/>
            <w:u w:val="single"/>
          </w:rPr>
          <w:t>Êx 15.2</w:t>
        </w:r>
      </w:hyperlink>
      <w:r>
        <w:t xml:space="preserve">; </w:t>
      </w:r>
      <w:hyperlink r:id="rId708">
        <w:r>
          <w:rPr>
            <w:color w:val="0000EE"/>
            <w:u w:val="single"/>
          </w:rPr>
          <w:t>1Sm 2.1</w:t>
        </w:r>
      </w:hyperlink>
      <w:r>
        <w:t>). Além disso, eles dirigiram petições e pedidos de ajuda ao Senhor para sua salvação — seja dos inimigos (</w:t>
      </w:r>
      <w:hyperlink r:id="rId18998">
        <w:r>
          <w:rPr>
            <w:color w:val="0000EE"/>
            <w:u w:val="single"/>
          </w:rPr>
          <w:t>Sl 35.3</w:t>
        </w:r>
      </w:hyperlink>
      <w:r>
        <w:t xml:space="preserve">; </w:t>
      </w:r>
      <w:hyperlink r:id="rId18999">
        <w:r>
          <w:rPr>
            <w:color w:val="0000EE"/>
            <w:u w:val="single"/>
          </w:rPr>
          <w:t>38.22</w:t>
        </w:r>
      </w:hyperlink>
      <w:r>
        <w:t>), doença (</w:t>
      </w:r>
      <w:hyperlink r:id="rId19000">
        <w:r>
          <w:rPr>
            <w:color w:val="0000EE"/>
            <w:u w:val="single"/>
          </w:rPr>
          <w:t>69.29</w:t>
        </w:r>
      </w:hyperlink>
      <w:r>
        <w:t>) ou batalha (</w:t>
      </w:r>
      <w:hyperlink r:id="rId19001">
        <w:r>
          <w:rPr>
            <w:color w:val="0000EE"/>
            <w:u w:val="single"/>
          </w:rPr>
          <w:t>140.7</w:t>
        </w:r>
      </w:hyperlink>
      <w:r>
        <w:t xml:space="preserve">; </w:t>
      </w:r>
      <w:hyperlink r:id="rId19002">
        <w:r>
          <w:rPr>
            <w:color w:val="0000EE"/>
            <w:u w:val="single"/>
          </w:rPr>
          <w:t>144.10–11</w:t>
        </w:r>
      </w:hyperlink>
      <w:r>
        <w:t>) — e com fé esperavam seu livramento (</w:t>
      </w:r>
      <w:hyperlink r:id="rId19003">
        <w:r>
          <w:rPr>
            <w:color w:val="0000EE"/>
            <w:u w:val="single"/>
          </w:rPr>
          <w:t>35.9</w:t>
        </w:r>
      </w:hyperlink>
      <w:r>
        <w:t xml:space="preserve">; </w:t>
      </w:r>
      <w:hyperlink r:id="rId19004">
        <w:r>
          <w:rPr>
            <w:color w:val="0000EE"/>
            <w:u w:val="single"/>
          </w:rPr>
          <w:t>65.5</w:t>
        </w:r>
      </w:hyperlink>
      <w:r>
        <w:t>).</w:t>
      </w:r>
    </w:p>
    <w:p>
      <w:r/>
      <w:r>
        <w:t>Os profetas enfatizaram o aspecto escatológico (do fim dos tempos) da salvação. A capacidade de Deus de salvar foi revelada por suas grandes obras no passado, o que assim promoveu a antecipação de sua obra de libertação no futuro. Esta esperança futura era para a nação de Israel (</w:t>
      </w:r>
      <w:hyperlink r:id="rId19005">
        <w:r>
          <w:rPr>
            <w:color w:val="0000EE"/>
            <w:u w:val="single"/>
          </w:rPr>
          <w:t>Is 45.17</w:t>
        </w:r>
      </w:hyperlink>
      <w:r>
        <w:t>), mas antecipava a libertação universal (</w:t>
      </w:r>
      <w:hyperlink r:id="rId10883">
        <w:r>
          <w:rPr>
            <w:color w:val="0000EE"/>
            <w:u w:val="single"/>
          </w:rPr>
          <w:t>49.6</w:t>
        </w:r>
      </w:hyperlink>
      <w:r>
        <w:t>). Os profetas aguardavam libertação e retorno do exílio na Babilônia (</w:t>
      </w:r>
      <w:hyperlink r:id="rId19006">
        <w:r>
          <w:rPr>
            <w:color w:val="0000EE"/>
            <w:u w:val="single"/>
          </w:rPr>
          <w:t>Is 49.25–26</w:t>
        </w:r>
      </w:hyperlink>
      <w:r>
        <w:t xml:space="preserve">; </w:t>
      </w:r>
      <w:hyperlink r:id="rId19007">
        <w:r>
          <w:rPr>
            <w:color w:val="0000EE"/>
            <w:u w:val="single"/>
          </w:rPr>
          <w:t>Jr 46.27</w:t>
        </w:r>
      </w:hyperlink>
      <w:r>
        <w:t>), mas eles também falavam de uma salvação futura permanente (</w:t>
      </w:r>
      <w:hyperlink r:id="rId19005">
        <w:r>
          <w:rPr>
            <w:color w:val="0000EE"/>
            <w:u w:val="single"/>
          </w:rPr>
          <w:t>Is 45.17</w:t>
        </w:r>
      </w:hyperlink>
      <w:r>
        <w:t xml:space="preserve">; </w:t>
      </w:r>
      <w:hyperlink r:id="rId19008">
        <w:r>
          <w:rPr>
            <w:color w:val="0000EE"/>
            <w:u w:val="single"/>
          </w:rPr>
          <w:t>51.6–8</w:t>
        </w:r>
      </w:hyperlink>
      <w:r>
        <w:t>). A esperança messiânica é indicada em passagens que falam de um indivíduo que trará a salvação de Deus. Isaías fala do Servo que traz a salvação até os confins da terra (</w:t>
      </w:r>
      <w:hyperlink r:id="rId10883">
        <w:r>
          <w:rPr>
            <w:color w:val="0000EE"/>
            <w:u w:val="single"/>
          </w:rPr>
          <w:t>49.6</w:t>
        </w:r>
      </w:hyperlink>
      <w:r>
        <w:t>), enquanto Jeremias escreve sobre libertação pelo Renovo justo de Deus (</w:t>
      </w:r>
      <w:hyperlink r:id="rId14299">
        <w:r>
          <w:rPr>
            <w:color w:val="0000EE"/>
            <w:u w:val="single"/>
          </w:rPr>
          <w:t>Jr 23.5–6</w:t>
        </w:r>
      </w:hyperlink>
      <w:r>
        <w:t xml:space="preserve">). A menção do rei que traz a salvação em </w:t>
      </w:r>
      <w:hyperlink r:id="rId10335">
        <w:r>
          <w:rPr>
            <w:color w:val="0000EE"/>
            <w:u w:val="single"/>
          </w:rPr>
          <w:t>Zacarias 9.9</w:t>
        </w:r>
      </w:hyperlink>
      <w:r>
        <w:t xml:space="preserve"> reflete este tema messiânico e aplica-se a Jesus Cristo em </w:t>
      </w:r>
      <w:hyperlink r:id="rId10802">
        <w:r>
          <w:rPr>
            <w:color w:val="0000EE"/>
            <w:u w:val="single"/>
          </w:rPr>
          <w:t>Mateus 21.4–5</w:t>
        </w:r>
      </w:hyperlink>
      <w:r>
        <w:t>.</w:t>
      </w:r>
    </w:p>
    <w:p>
      <w:pPr>
        <w:pStyle w:val="Heading3"/>
      </w:pPr>
      <w:r>
        <w:t>No Novo Testamento</w:t>
      </w:r>
    </w:p>
    <w:p>
      <w:r/>
      <w:r>
        <w:t>No grego clásico, o verbo sozo (“salvar”) e o substantivo soteria (“salvação”) são usados para o conceito de “resgate”, “libertação” ou “salvação” e até mesmo “bem-estar” ou “saúde”. A Septuaginta usa mais frequentemente o termo "sozo" para traduzir o hebraico yasha‘ ("salvar"), e o NT emprega principalmente "sozo" e seus derivados para expressar a ideia de salvação.</w:t>
      </w:r>
    </w:p>
    <w:p>
      <w:r/>
      <w:r>
        <w:t xml:space="preserve">Esses termos gregos são geralmente usados teologicamente no NT, mas ocorrem exemplos de uso não teológico. Em </w:t>
      </w:r>
      <w:hyperlink r:id="rId4729">
        <w:r>
          <w:rPr>
            <w:color w:val="0000EE"/>
            <w:u w:val="single"/>
          </w:rPr>
          <w:t>Atos 27</w:t>
        </w:r>
      </w:hyperlink>
      <w:r>
        <w:t xml:space="preserve">, essas palavras se referem à ameaça e libertação dos soldados, marinheiros e prisioneiros do naufrágio (vv. </w:t>
      </w:r>
      <w:hyperlink r:id="rId19009">
        <w:r>
          <w:rPr>
            <w:color w:val="0000EE"/>
            <w:u w:val="single"/>
          </w:rPr>
          <w:t>20,31</w:t>
        </w:r>
      </w:hyperlink>
      <w:r>
        <w:t xml:space="preserve">), bem como seu bem-estar (v. </w:t>
      </w:r>
      <w:hyperlink r:id="rId19010">
        <w:r>
          <w:rPr>
            <w:color w:val="0000EE"/>
            <w:u w:val="single"/>
          </w:rPr>
          <w:t>34</w:t>
        </w:r>
      </w:hyperlink>
      <w:r>
        <w:t>).</w:t>
      </w:r>
    </w:p>
    <w:p>
      <w:r/>
      <w:r>
        <w:t>Nos Evangelhos, “salvação” está claramente conectada com o conceito de salvação do AT; Ela é aplicada à vinda de Cristo na profecia de Zacarias (</w:t>
      </w:r>
      <w:hyperlink r:id="rId19011">
        <w:r>
          <w:rPr>
            <w:color w:val="0000EE"/>
            <w:u w:val="single"/>
          </w:rPr>
          <w:t>Lc 1.69,71</w:t>
        </w:r>
      </w:hyperlink>
      <w:r>
        <w:t xml:space="preserve">; cf. </w:t>
      </w:r>
      <w:hyperlink r:id="rId19012">
        <w:r>
          <w:rPr>
            <w:color w:val="0000EE"/>
            <w:u w:val="single"/>
          </w:rPr>
          <w:t>Sl 106.10</w:t>
        </w:r>
      </w:hyperlink>
      <w:r>
        <w:t xml:space="preserve">; </w:t>
      </w:r>
      <w:hyperlink r:id="rId4818">
        <w:r>
          <w:rPr>
            <w:color w:val="0000EE"/>
            <w:u w:val="single"/>
          </w:rPr>
          <w:t>132.17</w:t>
        </w:r>
      </w:hyperlink>
      <w:r>
        <w:t>) e no cântico de louvor de Simeão (</w:t>
      </w:r>
      <w:hyperlink r:id="rId19013">
        <w:r>
          <w:rPr>
            <w:color w:val="0000EE"/>
            <w:u w:val="single"/>
          </w:rPr>
          <w:t>Lc 2.30</w:t>
        </w:r>
      </w:hyperlink>
      <w:r>
        <w:t>). Embora soteria não ocorra com frequência nos Evangelhos, o conceito de salvação está implícito na declaração de Jesus sobre a entrada no reino de Deus (</w:t>
      </w:r>
      <w:hyperlink r:id="rId19014">
        <w:r>
          <w:rPr>
            <w:color w:val="0000EE"/>
            <w:u w:val="single"/>
          </w:rPr>
          <w:t>Mt 19.24–26</w:t>
        </w:r>
      </w:hyperlink>
      <w:r>
        <w:t>) e seus milagres de cura (</w:t>
      </w:r>
      <w:hyperlink r:id="rId19015">
        <w:r>
          <w:rPr>
            <w:color w:val="0000EE"/>
            <w:u w:val="single"/>
          </w:rPr>
          <w:t>Lc 17.19</w:t>
        </w:r>
      </w:hyperlink>
      <w:r>
        <w:t xml:space="preserve">; </w:t>
      </w:r>
      <w:hyperlink r:id="rId19016">
        <w:r>
          <w:rPr>
            <w:color w:val="0000EE"/>
            <w:u w:val="single"/>
          </w:rPr>
          <w:t>18.42</w:t>
        </w:r>
      </w:hyperlink>
      <w:r>
        <w:t>).</w:t>
      </w:r>
    </w:p>
    <w:p>
      <w:r/>
      <w:r>
        <w:t>O NT ensina que a salvação tem sua fonte em Jesus Cristo (</w:t>
      </w:r>
      <w:hyperlink r:id="rId7841">
        <w:r>
          <w:rPr>
            <w:color w:val="0000EE"/>
            <w:u w:val="single"/>
          </w:rPr>
          <w:t>2Tm 2.10</w:t>
        </w:r>
      </w:hyperlink>
      <w:r>
        <w:t xml:space="preserve">; </w:t>
      </w:r>
      <w:hyperlink r:id="rId8054">
        <w:r>
          <w:rPr>
            <w:color w:val="0000EE"/>
            <w:u w:val="single"/>
          </w:rPr>
          <w:t>Hb 5.9</w:t>
        </w:r>
      </w:hyperlink>
      <w:r>
        <w:t>), que é o “autor” e mediador da salvação (</w:t>
      </w:r>
      <w:hyperlink r:id="rId10411">
        <w:r>
          <w:rPr>
            <w:color w:val="0000EE"/>
            <w:u w:val="single"/>
          </w:rPr>
          <w:t>Hb 2.10</w:t>
        </w:r>
      </w:hyperlink>
      <w:r>
        <w:t xml:space="preserve">; </w:t>
      </w:r>
      <w:hyperlink r:id="rId4777">
        <w:r>
          <w:rPr>
            <w:color w:val="0000EE"/>
            <w:u w:val="single"/>
          </w:rPr>
          <w:t>7.25</w:t>
        </w:r>
      </w:hyperlink>
      <w:r>
        <w:t>). A salvação é obra de Deus (</w:t>
      </w:r>
      <w:hyperlink r:id="rId7074">
        <w:r>
          <w:rPr>
            <w:color w:val="0000EE"/>
            <w:u w:val="single"/>
          </w:rPr>
          <w:t>1Ts 5.9</w:t>
        </w:r>
      </w:hyperlink>
      <w:r>
        <w:t>) e é oferecida por sua graça (</w:t>
      </w:r>
      <w:hyperlink r:id="rId19017">
        <w:r>
          <w:rPr>
            <w:color w:val="0000EE"/>
            <w:u w:val="single"/>
          </w:rPr>
          <w:t>Ef 2.8–9</w:t>
        </w:r>
      </w:hyperlink>
      <w:r>
        <w:t>). A mensagem da salvação está contida nas Escrituras (</w:t>
      </w:r>
      <w:hyperlink r:id="rId8625">
        <w:r>
          <w:rPr>
            <w:color w:val="0000EE"/>
            <w:u w:val="single"/>
          </w:rPr>
          <w:t>2Tm 3.15</w:t>
        </w:r>
      </w:hyperlink>
      <w:r>
        <w:t>) e é levada por aqueles que proclamam a palavra da verdade (</w:t>
      </w:r>
      <w:hyperlink r:id="rId3216">
        <w:r>
          <w:rPr>
            <w:color w:val="0000EE"/>
            <w:u w:val="single"/>
          </w:rPr>
          <w:t>Ef 1.13</w:t>
        </w:r>
      </w:hyperlink>
      <w:r>
        <w:t>). A resposta apropriada é arrependimento (</w:t>
      </w:r>
      <w:hyperlink r:id="rId5494">
        <w:r>
          <w:rPr>
            <w:color w:val="0000EE"/>
            <w:u w:val="single"/>
          </w:rPr>
          <w:t>2Co 7.10</w:t>
        </w:r>
      </w:hyperlink>
      <w:r>
        <w:t>) e fé (</w:t>
      </w:r>
      <w:hyperlink r:id="rId8625">
        <w:r>
          <w:rPr>
            <w:color w:val="0000EE"/>
            <w:u w:val="single"/>
          </w:rPr>
          <w:t>2Tm 3.15</w:t>
        </w:r>
      </w:hyperlink>
      <w:r>
        <w:t xml:space="preserve">; </w:t>
      </w:r>
      <w:hyperlink r:id="rId961">
        <w:r>
          <w:rPr>
            <w:color w:val="0000EE"/>
            <w:u w:val="single"/>
          </w:rPr>
          <w:t>1Pe 1.9</w:t>
        </w:r>
      </w:hyperlink>
      <w:r>
        <w:t>). Esta era a pregação da igreja primitiva quando proclamava o Salvador Jesus (</w:t>
      </w:r>
      <w:hyperlink r:id="rId19018">
        <w:r>
          <w:rPr>
            <w:color w:val="0000EE"/>
            <w:u w:val="single"/>
          </w:rPr>
          <w:t>Atos 4.12</w:t>
        </w:r>
      </w:hyperlink>
      <w:r>
        <w:t xml:space="preserve">; </w:t>
      </w:r>
      <w:hyperlink r:id="rId19019">
        <w:r>
          <w:rPr>
            <w:color w:val="0000EE"/>
            <w:u w:val="single"/>
          </w:rPr>
          <w:t>13.23–26</w:t>
        </w:r>
      </w:hyperlink>
      <w:r>
        <w:t xml:space="preserve">; </w:t>
      </w:r>
      <w:hyperlink r:id="rId19020">
        <w:r>
          <w:rPr>
            <w:color w:val="0000EE"/>
            <w:u w:val="single"/>
          </w:rPr>
          <w:t>16.30–31</w:t>
        </w:r>
      </w:hyperlink>
      <w:r>
        <w:t>). Paulo, especialmente, proclamou a universalidade da oferta de salvação de Deus (</w:t>
      </w:r>
      <w:hyperlink r:id="rId735">
        <w:r>
          <w:rPr>
            <w:color w:val="0000EE"/>
            <w:u w:val="single"/>
          </w:rPr>
          <w:t>Rm 1.16</w:t>
        </w:r>
      </w:hyperlink>
      <w:r>
        <w:t xml:space="preserve">; </w:t>
      </w:r>
      <w:hyperlink r:id="rId19021">
        <w:r>
          <w:rPr>
            <w:color w:val="0000EE"/>
            <w:u w:val="single"/>
          </w:rPr>
          <w:t>Tt 2.11</w:t>
        </w:r>
      </w:hyperlink>
      <w:r>
        <w:t>). Seu desejo era que os judeus fossem salvos (</w:t>
      </w:r>
      <w:hyperlink r:id="rId5668">
        <w:r>
          <w:rPr>
            <w:color w:val="0000EE"/>
            <w:u w:val="single"/>
          </w:rPr>
          <w:t>Rm 10.1</w:t>
        </w:r>
      </w:hyperlink>
      <w:r>
        <w:t>), embora ele pregasse principalmente a mensagem de salvação aos gentios (</w:t>
      </w:r>
      <w:hyperlink r:id="rId19022">
        <w:r>
          <w:rPr>
            <w:color w:val="0000EE"/>
            <w:u w:val="single"/>
          </w:rPr>
          <w:t>11.11–13</w:t>
        </w:r>
      </w:hyperlink>
      <w:r>
        <w:t>).</w:t>
      </w:r>
    </w:p>
    <w:p>
      <w:r/>
      <w:r>
        <w:t xml:space="preserve">Dentro das Escrituras, há muitos outros termos associados com o conceito de salvação. O novo nascimento fala de ser vivificado em Cristo (“nascer de novo”, </w:t>
      </w:r>
      <w:hyperlink r:id="rId15302">
        <w:r>
          <w:rPr>
            <w:color w:val="0000EE"/>
            <w:u w:val="single"/>
          </w:rPr>
          <w:t>Jo 3.3</w:t>
        </w:r>
      </w:hyperlink>
      <w:r>
        <w:t>). A justificação prevê a posição legal diante de Deus, enquanto a redenção fala mais sobre os meios de salvação — o pagamento de um preço para trazer alguém de volta a Deus. A reconciliação fala de uma mudança no relacionamento e propiciação, evocando o sistema sacrificial do AT e aponta para o afastamento da ira de Deus. Esses termos e outros compartilham um terreno em comum com o conceito bíblico de salvação, mas todos apontam para a pessoa e a obra de Jesus Cristo, o Salvador.</w:t>
      </w:r>
    </w:p>
    <w:p>
      <w:r/>
      <w:r>
        <w:rPr>
          <w:i/>
        </w:rPr>
        <w:t>Ver também</w:t>
      </w:r>
      <w:r>
        <w:t xml:space="preserve"> </w:t>
      </w:r>
      <w:r>
        <w:t>Justificação, Justificado</w:t>
      </w:r>
      <w:r>
        <w:t xml:space="preserve">; </w:t>
      </w:r>
      <w:r>
        <w:t>Reconciliação</w:t>
      </w:r>
      <w:r>
        <w:t xml:space="preserve">; </w:t>
      </w:r>
      <w:r>
        <w:t>Redentor, Redenção</w:t>
      </w:r>
      <w:r>
        <w:t xml:space="preserve">; </w:t>
      </w:r>
      <w:r>
        <w:t>Salvador</w:t>
      </w:r>
      <w:r>
        <w:t>.</w:t>
      </w:r>
      <w:r/>
      <w:r/>
    </w:p>
    <w:p>
      <w:r/>
    </w:p>
    <w:p>
      <w:pPr>
        <w:pStyle w:val="Heading2"/>
      </w:pPr>
      <w:r>
        <w:t>Salvador</w:t>
      </w:r>
      <w:r/>
    </w:p>
    <w:p>
      <w:r/>
      <w:r>
        <w:t xml:space="preserve">Aquele que livra ou resgata. O termo “salvador” é mais frequentemente aplicado a Deus e Jesus Cristo na Bíblia. A compreensão de Jesus como salvador é uma verdade chave na apropriação da mensagem bíblica. As versões da Bíblia em português usam “salvador” no AT para traduzir várias formas do hebraico </w:t>
      </w:r>
      <w:r>
        <w:rPr>
          <w:i/>
        </w:rPr>
        <w:t>yasha‘</w:t>
      </w:r>
      <w:r>
        <w:t xml:space="preserve">, que significa “salvar”, “livrar” ou “resgatar”. Na maioria das vezes, é usada para traduzir o particípio do verbo, </w:t>
      </w:r>
      <w:r>
        <w:rPr>
          <w:i/>
        </w:rPr>
        <w:t>moshia’</w:t>
      </w:r>
      <w:r>
        <w:t>, que significa “aquele que salva”. Usado desta maneira, “salvador” é encontrado entre 13 a 14 vezes no AT, dependendo da versão.</w:t>
      </w:r>
    </w:p>
    <w:p>
      <w:r/>
      <w:r>
        <w:t xml:space="preserve">A compreensão básica do termo “salvador” como aquele que livra ou resgata é ilustrada em </w:t>
      </w:r>
      <w:hyperlink r:id="rId19023">
        <w:r>
          <w:rPr>
            <w:color w:val="0000EE"/>
            <w:u w:val="single"/>
          </w:rPr>
          <w:t>Deuteronômio 22.27</w:t>
        </w:r>
      </w:hyperlink>
      <w:r>
        <w:t>, onde a lei antecipava uma situação em que nenhum libertador estava por perto em tempo de necessidade. Moshia’ também é usado para indivíduos, pois tanto Otoniel quanto Eúde são chamados de “libertadores” (</w:t>
      </w:r>
      <w:hyperlink r:id="rId19024">
        <w:r>
          <w:rPr>
            <w:color w:val="0000EE"/>
            <w:u w:val="single"/>
          </w:rPr>
          <w:t>Jz 3.9,15</w:t>
        </w:r>
      </w:hyperlink>
      <w:r>
        <w:t xml:space="preserve">) e </w:t>
      </w:r>
      <w:hyperlink r:id="rId19025">
        <w:r>
          <w:rPr>
            <w:color w:val="0000EE"/>
            <w:u w:val="single"/>
          </w:rPr>
          <w:t>Neemias 9.27</w:t>
        </w:r>
      </w:hyperlink>
      <w:r>
        <w:t xml:space="preserve"> fala dos juízes coletivamente como libertadores enviados por Deus. </w:t>
      </w:r>
      <w:hyperlink r:id="rId19026">
        <w:r>
          <w:rPr>
            <w:color w:val="0000EE"/>
            <w:u w:val="single"/>
          </w:rPr>
          <w:t>2 Reis 13.5</w:t>
        </w:r>
      </w:hyperlink>
      <w:r>
        <w:t xml:space="preserve"> relata que o Senhor deu a Israel um salvador em referência à sua libertação dos arameus. Alguns identificaram este libertador com o rei Jeroboão II de Judá; outros com um rei estrangeiro, muitas vezes Zaquir de Hamate. Mas o texto não indica claramente quem poderia ter sido este salvador. O ponto do texto é que Deus enviou este libertador para seu povo. A maioria das referências no AT se refere a Deus mesmo como o salvador de Israel, e mesmo quando outras pessoas são chamadas assim, é claramente afirmado que Deus as enviou ou as levantou. Israel entendeu que Deus era seu salvador e declarou isso em cânticos de louvor (</w:t>
      </w:r>
      <w:hyperlink r:id="rId19027">
        <w:r>
          <w:rPr>
            <w:color w:val="0000EE"/>
            <w:u w:val="single"/>
          </w:rPr>
          <w:t>Sl 17.7</w:t>
        </w:r>
      </w:hyperlink>
      <w:r>
        <w:t xml:space="preserve">; </w:t>
      </w:r>
      <w:hyperlink r:id="rId19028">
        <w:r>
          <w:rPr>
            <w:color w:val="0000EE"/>
            <w:u w:val="single"/>
          </w:rPr>
          <w:t>106.1–12</w:t>
        </w:r>
      </w:hyperlink>
      <w:r>
        <w:t>) e clama por ajuda (</w:t>
      </w:r>
      <w:hyperlink r:id="rId19029">
        <w:r>
          <w:rPr>
            <w:color w:val="0000EE"/>
            <w:u w:val="single"/>
          </w:rPr>
          <w:t>Jr 14.8</w:t>
        </w:r>
      </w:hyperlink>
      <w:r>
        <w:t>). Davi disse isso sobre Deus: “ele é o meu abrigo, e com ele estou seguro. Deus é o meu Salvador” (</w:t>
      </w:r>
      <w:hyperlink r:id="rId4816">
        <w:r>
          <w:rPr>
            <w:color w:val="0000EE"/>
            <w:u w:val="single"/>
          </w:rPr>
          <w:t>2Sm 22.3</w:t>
        </w:r>
      </w:hyperlink>
      <w:r>
        <w:t>). Com frequência, os salmistas se referem ao Senhor como sua “ajuda” ou “salvação” (</w:t>
      </w:r>
      <w:hyperlink r:id="rId19030">
        <w:r>
          <w:rPr>
            <w:color w:val="0000EE"/>
            <w:u w:val="single"/>
          </w:rPr>
          <w:t>Sl 27.9</w:t>
        </w:r>
      </w:hyperlink>
      <w:r>
        <w:t xml:space="preserve">; </w:t>
      </w:r>
      <w:hyperlink r:id="rId18999">
        <w:r>
          <w:rPr>
            <w:color w:val="0000EE"/>
            <w:u w:val="single"/>
          </w:rPr>
          <w:t>38.22</w:t>
        </w:r>
      </w:hyperlink>
      <w:r>
        <w:t xml:space="preserve">; </w:t>
      </w:r>
      <w:hyperlink r:id="rId19031">
        <w:r>
          <w:rPr>
            <w:color w:val="0000EE"/>
            <w:u w:val="single"/>
          </w:rPr>
          <w:t>42.5,11</w:t>
        </w:r>
      </w:hyperlink>
      <w:r>
        <w:t xml:space="preserve">; </w:t>
      </w:r>
      <w:hyperlink r:id="rId19004">
        <w:r>
          <w:rPr>
            <w:color w:val="0000EE"/>
            <w:u w:val="single"/>
          </w:rPr>
          <w:t>65.5</w:t>
        </w:r>
      </w:hyperlink>
      <w:r>
        <w:t xml:space="preserve">; </w:t>
      </w:r>
      <w:hyperlink r:id="rId19032">
        <w:r>
          <w:rPr>
            <w:color w:val="0000EE"/>
            <w:u w:val="single"/>
          </w:rPr>
          <w:t>68.19</w:t>
        </w:r>
      </w:hyperlink>
      <w:r>
        <w:t xml:space="preserve">; </w:t>
      </w:r>
      <w:hyperlink r:id="rId10002">
        <w:r>
          <w:rPr>
            <w:color w:val="0000EE"/>
            <w:u w:val="single"/>
          </w:rPr>
          <w:t>79.9</w:t>
        </w:r>
      </w:hyperlink>
      <w:r>
        <w:t xml:space="preserve">; </w:t>
      </w:r>
      <w:hyperlink r:id="rId19033">
        <w:r>
          <w:rPr>
            <w:color w:val="0000EE"/>
            <w:u w:val="single"/>
          </w:rPr>
          <w:t>85.4</w:t>
        </w:r>
      </w:hyperlink>
      <w:r>
        <w:t xml:space="preserve">; </w:t>
      </w:r>
      <w:hyperlink r:id="rId15244">
        <w:r>
          <w:rPr>
            <w:color w:val="0000EE"/>
            <w:u w:val="single"/>
          </w:rPr>
          <w:t>89.26</w:t>
        </w:r>
      </w:hyperlink>
      <w:r>
        <w:t>; todos traduzidos “Salvador” pela NVI). O Êxodo era, sem dúvida, o maior exemplo de libertação para Israel e sustentava seu entendimento de Deus como o salvador. O salmista, em memória do pecado de Israel quando fizeram um bezerro de ouro, proclama: “Eles se esqueceram de Deus, o seu Salvador, que havia feito coisas maravilhosas no Egito” (</w:t>
      </w:r>
      <w:hyperlink r:id="rId19034">
        <w:r>
          <w:rPr>
            <w:color w:val="0000EE"/>
            <w:u w:val="single"/>
          </w:rPr>
          <w:t>Sl 106.21</w:t>
        </w:r>
      </w:hyperlink>
      <w:r>
        <w:t xml:space="preserve">; cf. </w:t>
      </w:r>
      <w:hyperlink r:id="rId19035">
        <w:r>
          <w:rPr>
            <w:color w:val="0000EE"/>
            <w:u w:val="single"/>
          </w:rPr>
          <w:t>Is 63.11</w:t>
        </w:r>
      </w:hyperlink>
      <w:r>
        <w:t xml:space="preserve">; </w:t>
      </w:r>
      <w:hyperlink r:id="rId19036">
        <w:r>
          <w:rPr>
            <w:color w:val="0000EE"/>
            <w:u w:val="single"/>
          </w:rPr>
          <w:t>Os 13.4–6</w:t>
        </w:r>
      </w:hyperlink>
      <w:r>
        <w:t>). Em Isaías, onde “salvador” é um título frequente para Deus, o termo é usado para enfatizar sua singularidade. Só Deus é visto como salvador, em contraste com os deuses e ídolos estrangeiros: “Eu, só eu, sou o SENHOR, somente eu posso salvar vocês. Fui eu quem prometeu salvá-los e, de fato, foi isso que fiz. E vocês são testemunhas de que não foi outro deus que fez isso” (</w:t>
      </w:r>
      <w:hyperlink r:id="rId19037">
        <w:r>
          <w:rPr>
            <w:color w:val="0000EE"/>
            <w:u w:val="single"/>
          </w:rPr>
          <w:t>Is 43.11–12</w:t>
        </w:r>
      </w:hyperlink>
      <w:r>
        <w:t>). Isaías afirma ainda que Deus se mostraria como salvador pela futura bênção e restauração de Israel (</w:t>
      </w:r>
      <w:hyperlink r:id="rId15241">
        <w:r>
          <w:rPr>
            <w:color w:val="0000EE"/>
            <w:u w:val="single"/>
          </w:rPr>
          <w:t>49.26</w:t>
        </w:r>
      </w:hyperlink>
      <w:r>
        <w:t xml:space="preserve">; </w:t>
      </w:r>
      <w:hyperlink r:id="rId19038">
        <w:r>
          <w:rPr>
            <w:color w:val="0000EE"/>
            <w:u w:val="single"/>
          </w:rPr>
          <w:t>60.16</w:t>
        </w:r>
      </w:hyperlink>
      <w:r>
        <w:t xml:space="preserve">). A designação “salvador” não é diretamente aplicada ao Messias no AT, mas uma passagem como </w:t>
      </w:r>
      <w:hyperlink r:id="rId10335">
        <w:r>
          <w:rPr>
            <w:color w:val="0000EE"/>
            <w:u w:val="single"/>
          </w:rPr>
          <w:t>Zacarias 9.9</w:t>
        </w:r>
      </w:hyperlink>
      <w:r>
        <w:t xml:space="preserve"> indica que O Ungido de Deus seria um libertador. Vários livros apócrifos usam o termo “salvador” para Deus, alguns em títulos elevados como “Salvador eterno” (</w:t>
      </w:r>
      <w:hyperlink r:id="rId19039">
        <w:r>
          <w:rPr>
            <w:color w:val="0000EE"/>
            <w:u w:val="single"/>
          </w:rPr>
          <w:t>Br 4.22</w:t>
        </w:r>
      </w:hyperlink>
      <w:r>
        <w:t>) ou “o eterno Salvador de Israel” (</w:t>
      </w:r>
      <w:hyperlink r:id="rId19040">
        <w:r>
          <w:rPr>
            <w:color w:val="0000EE"/>
            <w:u w:val="single"/>
          </w:rPr>
          <w:t>3Mc 7.16</w:t>
        </w:r>
      </w:hyperlink>
      <w:r>
        <w:t>). Este uso posterior também ilustra a ideia de Deus como aquele que é capaz de salvar Israel.</w:t>
      </w:r>
    </w:p>
    <w:p>
      <w:r/>
      <w:r>
        <w:t>A literatura grega usa soter (“salvador”, “libertador” do verbo sozo “salvar”, “resgatar”) para deuses e humanos. Por exemplo, em um ponto Heródoto se refere aos atenienses como os “salvadores” da Grécia (</w:t>
      </w:r>
      <w:r>
        <w:rPr>
          <w:i/>
        </w:rPr>
        <w:t>Guerras Persas</w:t>
      </w:r>
      <w:r>
        <w:t xml:space="preserve"> 7.139.5). Na Septuaginta soter (“salvador”) é usado para traduzir várias formas do hebraico yasha‘ (“salvar”). Soter ocorre 24 vezes no NT e é exclusivamente aplicado a Deus e Jesus Cristo (8 vezes a Deus e 16 vezes a Cristo). Das 24 ocorrências do NT de </w:t>
      </w:r>
      <w:r>
        <w:rPr>
          <w:i/>
        </w:rPr>
        <w:t>soter</w:t>
      </w:r>
      <w:r>
        <w:t xml:space="preserve">, dez estão nas cartas e cinco na segunda carta de Pedro. A dependência do AT pode ser vista em </w:t>
      </w:r>
      <w:hyperlink r:id="rId19041">
        <w:r>
          <w:rPr>
            <w:color w:val="0000EE"/>
            <w:u w:val="single"/>
          </w:rPr>
          <w:t>Lucas 1.47</w:t>
        </w:r>
      </w:hyperlink>
      <w:r>
        <w:t>, onde Maria louva a Deus como Salvador em seu cântico de louvor. O nome de Jesus (grego para Josué) significa “o Senhor é salvação” e foi dado em antecipação de sua função como o Salvador (</w:t>
      </w:r>
      <w:hyperlink r:id="rId8705">
        <w:r>
          <w:rPr>
            <w:color w:val="0000EE"/>
            <w:u w:val="single"/>
          </w:rPr>
          <w:t>Mt 1.21</w:t>
        </w:r>
      </w:hyperlink>
      <w:r>
        <w:t>). Como salvador, Jesus completa o plano de Deus como libertador prometido (</w:t>
      </w:r>
      <w:hyperlink r:id="rId17708">
        <w:r>
          <w:rPr>
            <w:color w:val="0000EE"/>
            <w:u w:val="single"/>
          </w:rPr>
          <w:t>At 13.23</w:t>
        </w:r>
      </w:hyperlink>
      <w:r>
        <w:t xml:space="preserve">; </w:t>
      </w:r>
      <w:hyperlink r:id="rId3850">
        <w:r>
          <w:rPr>
            <w:color w:val="0000EE"/>
            <w:u w:val="single"/>
          </w:rPr>
          <w:t>Tt 3.4</w:t>
        </w:r>
      </w:hyperlink>
      <w:r>
        <w:t>), fornece redenção para a humanidade (</w:t>
      </w:r>
      <w:hyperlink r:id="rId19042">
        <w:r>
          <w:rPr>
            <w:color w:val="0000EE"/>
            <w:u w:val="single"/>
          </w:rPr>
          <w:t>Tt 2.13–14</w:t>
        </w:r>
      </w:hyperlink>
      <w:r>
        <w:t>) e é a esperança do crente (</w:t>
      </w:r>
      <w:hyperlink r:id="rId4779">
        <w:r>
          <w:rPr>
            <w:color w:val="0000EE"/>
            <w:u w:val="single"/>
          </w:rPr>
          <w:t>Fp 3.20–21</w:t>
        </w:r>
      </w:hyperlink>
      <w:r>
        <w:t>). Inerente ao termo “salvador” é o conceito de alguém que salva ou livra do perigo para uma posição de segurança. Jesus libertou o crente do pecado e da morte para a imortalidade e vida (</w:t>
      </w:r>
      <w:hyperlink r:id="rId19043">
        <w:r>
          <w:rPr>
            <w:color w:val="0000EE"/>
            <w:u w:val="single"/>
          </w:rPr>
          <w:t>2Tm 1.10</w:t>
        </w:r>
      </w:hyperlink>
      <w:r>
        <w:t>). Embora Jesus nunca se refere a si mesmo como Salvador (soter), ele é anunciado como tal pelos anjos em seu nascimento (</w:t>
      </w:r>
      <w:hyperlink r:id="rId8033">
        <w:r>
          <w:rPr>
            <w:color w:val="0000EE"/>
            <w:u w:val="single"/>
          </w:rPr>
          <w:t>Lc 2.11</w:t>
        </w:r>
      </w:hyperlink>
      <w:r>
        <w:t>), confessado como tal por aqueles que ouviram suas palavras (</w:t>
      </w:r>
      <w:hyperlink r:id="rId11712">
        <w:r>
          <w:rPr>
            <w:color w:val="0000EE"/>
            <w:u w:val="single"/>
          </w:rPr>
          <w:t>Jo 4.42</w:t>
        </w:r>
      </w:hyperlink>
      <w:r>
        <w:t>) e proclamado como Salvador pela igreja primitiva (</w:t>
      </w:r>
      <w:hyperlink r:id="rId3204">
        <w:r>
          <w:rPr>
            <w:color w:val="0000EE"/>
            <w:u w:val="single"/>
          </w:rPr>
          <w:t>At 5.31</w:t>
        </w:r>
      </w:hyperlink>
      <w:r>
        <w:t xml:space="preserve">; </w:t>
      </w:r>
      <w:hyperlink r:id="rId17708">
        <w:r>
          <w:rPr>
            <w:color w:val="0000EE"/>
            <w:u w:val="single"/>
          </w:rPr>
          <w:t>13.23</w:t>
        </w:r>
      </w:hyperlink>
      <w:r>
        <w:t>). A salvação é central para a missão de Jesus (</w:t>
      </w:r>
      <w:hyperlink r:id="rId8695">
        <w:r>
          <w:rPr>
            <w:color w:val="0000EE"/>
            <w:u w:val="single"/>
          </w:rPr>
          <w:t>Lc 19.10</w:t>
        </w:r>
      </w:hyperlink>
      <w:r>
        <w:t>). Paulo ensina que Cristo é o Salvador da igreja no presente (</w:t>
      </w:r>
      <w:hyperlink r:id="rId3919">
        <w:r>
          <w:rPr>
            <w:color w:val="0000EE"/>
            <w:u w:val="single"/>
          </w:rPr>
          <w:t>Ef 5.23</w:t>
        </w:r>
      </w:hyperlink>
      <w:r>
        <w:t>) e no futuro (</w:t>
      </w:r>
      <w:hyperlink r:id="rId9473">
        <w:r>
          <w:rPr>
            <w:color w:val="0000EE"/>
            <w:u w:val="single"/>
          </w:rPr>
          <w:t>Fp 3.20</w:t>
        </w:r>
      </w:hyperlink>
      <w:r>
        <w:t>).</w:t>
      </w:r>
    </w:p>
    <w:p>
      <w:r/>
      <w:r>
        <w:t>Salvador, como um título, é aplicado a Deus nas Epístolas Pastorais e claramente representa Deus como Salvador de todas as pessoas (</w:t>
      </w:r>
      <w:hyperlink r:id="rId19044">
        <w:r>
          <w:rPr>
            <w:color w:val="0000EE"/>
            <w:u w:val="single"/>
          </w:rPr>
          <w:t>1Tm 2.3</w:t>
        </w:r>
      </w:hyperlink>
      <w:r>
        <w:t xml:space="preserve">; </w:t>
      </w:r>
      <w:hyperlink r:id="rId19045">
        <w:r>
          <w:rPr>
            <w:color w:val="0000EE"/>
            <w:u w:val="single"/>
          </w:rPr>
          <w:t>4.10</w:t>
        </w:r>
      </w:hyperlink>
      <w:r>
        <w:t>). As Epístolas Pastorais também designam claramente Jesus como Salvador (</w:t>
      </w:r>
      <w:hyperlink r:id="rId19043">
        <w:r>
          <w:rPr>
            <w:color w:val="0000EE"/>
            <w:u w:val="single"/>
          </w:rPr>
          <w:t>2Tm 1.10</w:t>
        </w:r>
      </w:hyperlink>
      <w:r>
        <w:t xml:space="preserve">; </w:t>
      </w:r>
      <w:hyperlink r:id="rId19046">
        <w:r>
          <w:rPr>
            <w:color w:val="0000EE"/>
            <w:u w:val="single"/>
          </w:rPr>
          <w:t>Tt 3.6</w:t>
        </w:r>
      </w:hyperlink>
      <w:r>
        <w:t>), em alguns casos também declarando que ele é Deus, o Salvador (</w:t>
      </w:r>
      <w:hyperlink r:id="rId19047">
        <w:r>
          <w:rPr>
            <w:color w:val="0000EE"/>
            <w:u w:val="single"/>
          </w:rPr>
          <w:t>Tt 2.13</w:t>
        </w:r>
      </w:hyperlink>
      <w:r>
        <w:t xml:space="preserve">; </w:t>
      </w:r>
      <w:hyperlink r:id="rId19048">
        <w:r>
          <w:rPr>
            <w:color w:val="0000EE"/>
            <w:u w:val="single"/>
          </w:rPr>
          <w:t>3.4–6</w:t>
        </w:r>
      </w:hyperlink>
      <w:r>
        <w:t xml:space="preserve">). Salvador é usado como um título para Jesus Cristo ao longo de 2 Pedro (por exemplo, </w:t>
      </w:r>
      <w:hyperlink r:id="rId19049">
        <w:r>
          <w:rPr>
            <w:color w:val="0000EE"/>
            <w:u w:val="single"/>
          </w:rPr>
          <w:t>2Pe 2.20</w:t>
        </w:r>
      </w:hyperlink>
      <w:r>
        <w:t>). João, em sua primeira carta, usa-o para descrever Jesus como o Salvador enviado pelo Pai para salvar o mundo (</w:t>
      </w:r>
      <w:hyperlink r:id="rId1203">
        <w:r>
          <w:rPr>
            <w:color w:val="0000EE"/>
            <w:u w:val="single"/>
          </w:rPr>
          <w:t>1Jo 4.14</w:t>
        </w:r>
      </w:hyperlink>
      <w:r>
        <w:t>).</w:t>
      </w:r>
    </w:p>
    <w:p>
      <w:r/>
      <w:r>
        <w:rPr>
          <w:i/>
        </w:rPr>
        <w:t>Ver também</w:t>
      </w:r>
      <w:r>
        <w:t xml:space="preserve"> </w:t>
      </w:r>
      <w:r>
        <w:t>Salvação</w:t>
      </w:r>
      <w:r>
        <w:t>.</w:t>
      </w:r>
      <w:r/>
      <w:r/>
    </w:p>
    <w:p>
      <w:r/>
    </w:p>
    <w:p>
      <w:pPr>
        <w:pStyle w:val="Heading2"/>
      </w:pPr>
      <w:r>
        <w:t>Sálvia</w:t>
      </w:r>
      <w:r/>
    </w:p>
    <w:p>
      <w:r/>
      <w:r>
        <w:t>Planta que cresce 0,9 metro de altura e que cresce naturalmente na Palestina. Quando pressionadas, as flores da planta fornecem o padrão para o candelabro de sete braços dos judeus (</w:t>
      </w:r>
      <w:hyperlink r:id="rId17169">
        <w:r>
          <w:rPr>
            <w:color w:val="0000EE"/>
            <w:u w:val="single"/>
          </w:rPr>
          <w:t>Êx 37.17–18</w:t>
        </w:r>
      </w:hyperlink>
      <w:r>
        <w:t>).</w:t>
      </w:r>
    </w:p>
    <w:p>
      <w:r/>
      <w:r>
        <w:rPr>
          <w:i/>
        </w:rPr>
        <w:t>Veja</w:t>
      </w:r>
      <w:r>
        <w:t xml:space="preserve"> </w:t>
      </w:r>
      <w:r>
        <w:t>Plantas</w:t>
      </w:r>
      <w:r>
        <w:t>.</w:t>
      </w:r>
      <w:r/>
      <w:r/>
    </w:p>
    <w:p>
      <w:r/>
    </w:p>
    <w:p>
      <w:pPr>
        <w:pStyle w:val="Heading2"/>
      </w:pPr>
      <w:r>
        <w:t>Samá</w:t>
      </w:r>
      <w:r/>
    </w:p>
    <w:p>
      <w:r/>
      <w:r>
        <w:t>1. Um dos quatro filhos de Reuel, neto de Esaú e chefe na terra de Edom (</w:t>
      </w:r>
      <w:hyperlink r:id="rId14669">
        <w:r>
          <w:rPr>
            <w:color w:val="0000EE"/>
            <w:u w:val="single"/>
          </w:rPr>
          <w:t>Gn 36.13,17</w:t>
        </w:r>
      </w:hyperlink>
      <w:r>
        <w:t xml:space="preserve">; </w:t>
      </w:r>
      <w:hyperlink r:id="rId14670">
        <w:r>
          <w:rPr>
            <w:color w:val="0000EE"/>
            <w:u w:val="single"/>
          </w:rPr>
          <w:t>1Cr 1.37</w:t>
        </w:r>
      </w:hyperlink>
      <w:r>
        <w:t>).</w:t>
      </w:r>
    </w:p>
    <w:p>
      <w:r/>
      <w:r>
        <w:t>2. Terceiro dos oito filhos de Jessé, irmão de Davi (</w:t>
      </w:r>
      <w:hyperlink r:id="rId19050">
        <w:r>
          <w:rPr>
            <w:color w:val="0000EE"/>
            <w:u w:val="single"/>
          </w:rPr>
          <w:t>1Sm 16.9</w:t>
        </w:r>
      </w:hyperlink>
      <w:r>
        <w:t xml:space="preserve">; </w:t>
      </w:r>
      <w:hyperlink r:id="rId19051">
        <w:r>
          <w:rPr>
            <w:color w:val="0000EE"/>
            <w:u w:val="single"/>
          </w:rPr>
          <w:t>17.13</w:t>
        </w:r>
      </w:hyperlink>
      <w:r>
        <w:t>) e pai de Jônatas (</w:t>
      </w:r>
      <w:hyperlink r:id="rId19052">
        <w:r>
          <w:rPr>
            <w:color w:val="0000EE"/>
            <w:u w:val="single"/>
          </w:rPr>
          <w:t>2Sm 21.20–21</w:t>
        </w:r>
      </w:hyperlink>
      <w:r>
        <w:t>) e Jonadabe (</w:t>
      </w:r>
      <w:hyperlink r:id="rId19053">
        <w:r>
          <w:rPr>
            <w:color w:val="0000EE"/>
            <w:u w:val="single"/>
          </w:rPr>
          <w:t>2Sm 13.3ss</w:t>
        </w:r>
      </w:hyperlink>
      <w:r>
        <w:t xml:space="preserve">.). Samá é alternadamente chamado de Simeia em </w:t>
      </w:r>
      <w:hyperlink r:id="rId7887">
        <w:r>
          <w:rPr>
            <w:color w:val="0000EE"/>
            <w:u w:val="single"/>
          </w:rPr>
          <w:t>1 Crônicas 2.13,</w:t>
        </w:r>
      </w:hyperlink>
      <w:r>
        <w:t xml:space="preserve"> </w:t>
      </w:r>
      <w:hyperlink r:id="rId19054">
        <w:r>
          <w:rPr>
            <w:color w:val="0000EE"/>
            <w:u w:val="single"/>
          </w:rPr>
          <w:t xml:space="preserve">20.7 </w:t>
        </w:r>
      </w:hyperlink>
      <w:r>
        <w:t xml:space="preserve">e </w:t>
      </w:r>
      <w:hyperlink r:id="rId19055">
        <w:r>
          <w:rPr>
            <w:color w:val="0000EE"/>
            <w:u w:val="single"/>
          </w:rPr>
          <w:t>2 Samuel 13.3</w:t>
        </w:r>
      </w:hyperlink>
      <w:r>
        <w:t xml:space="preserve">, e Simei em </w:t>
      </w:r>
      <w:hyperlink r:id="rId19056">
        <w:r>
          <w:rPr>
            <w:color w:val="0000EE"/>
            <w:u w:val="single"/>
          </w:rPr>
          <w:t>21.21</w:t>
        </w:r>
      </w:hyperlink>
      <w:r>
        <w:t>.</w:t>
      </w:r>
    </w:p>
    <w:p>
      <w:r/>
      <w:r>
        <w:t>3. Filho de Agé, o Hararita, e um dos membros da elite entre os valentes de Davi. Ele era renomado por sua posição corajosa contra os filisteus em Leí (</w:t>
      </w:r>
      <w:hyperlink r:id="rId19057">
        <w:r>
          <w:rPr>
            <w:color w:val="0000EE"/>
            <w:u w:val="single"/>
          </w:rPr>
          <w:t>2Sm 23.11–12</w:t>
        </w:r>
      </w:hyperlink>
      <w:r>
        <w:t>).</w:t>
      </w:r>
    </w:p>
    <w:p>
      <w:r/>
      <w:r>
        <w:t>4. Harodita é um dos 30 valentes de Davi. Ele foi listado entre Elanã e Elica (</w:t>
      </w:r>
      <w:hyperlink r:id="rId19058">
        <w:r>
          <w:rPr>
            <w:color w:val="0000EE"/>
            <w:u w:val="single"/>
          </w:rPr>
          <w:t>2Sm 23.24–25</w:t>
        </w:r>
      </w:hyperlink>
      <w:r>
        <w:t xml:space="preserve">). A passagem paralela de </w:t>
      </w:r>
      <w:hyperlink r:id="rId19059">
        <w:r>
          <w:rPr>
            <w:color w:val="0000EE"/>
            <w:u w:val="single"/>
          </w:rPr>
          <w:t>1 Crônicas 11.27</w:t>
        </w:r>
      </w:hyperlink>
      <w:r>
        <w:t xml:space="preserve"> menciona Samote, a forma plural de Samá. Em </w:t>
      </w:r>
      <w:hyperlink r:id="rId19060">
        <w:r>
          <w:rPr>
            <w:color w:val="0000EE"/>
            <w:u w:val="single"/>
          </w:rPr>
          <w:t>27.8</w:t>
        </w:r>
      </w:hyperlink>
      <w:r>
        <w:t>, Samute, o Iraíta, o comandante de uma divisão dos soldados de Davi, é sem dúvida o mesmo homem.</w:t>
      </w:r>
    </w:p>
    <w:p>
      <w:r/>
      <w:r>
        <w:t>5. Hararita é um dos valentes de Davi, listado entre Jônatas e Aião (</w:t>
      </w:r>
      <w:hyperlink r:id="rId19061">
        <w:r>
          <w:rPr>
            <w:color w:val="0000EE"/>
            <w:u w:val="single"/>
          </w:rPr>
          <w:t>2Sm 23.33</w:t>
        </w:r>
      </w:hyperlink>
      <w:r>
        <w:t>).</w:t>
      </w:r>
      <w:r/>
      <w:r/>
    </w:p>
    <w:p>
      <w:r/>
    </w:p>
    <w:p>
      <w:pPr>
        <w:pStyle w:val="Heading2"/>
      </w:pPr>
      <w:r>
        <w:t>Samaritanos</w:t>
      </w:r>
      <w:r/>
    </w:p>
    <w:p>
      <w:r/>
      <w:r>
        <w:t>Grupo que viviam em conflito com os judeus. O grupo residia ao norte da Judeia e ao sul da Galileia, em tensão hostil com seus vizinhos judeus. A atitude de Jesus em relação a este grupo desprezado contrastava radicalmente com o sentimento da época.</w:t>
      </w:r>
    </w:p>
    <w:p>
      <w:r/>
      <w:r>
        <w:t>Resumo</w:t>
      </w:r>
    </w:p>
    <w:p>
      <w:r/>
      <w:r>
        <w:t>• Origens da seita</w:t>
      </w:r>
    </w:p>
    <w:p>
      <w:r/>
      <w:r>
        <w:t>• Relações entre os samaritanos e os judeus</w:t>
      </w:r>
    </w:p>
    <w:p>
      <w:r/>
      <w:r>
        <w:t>• Crenças dos samaritanos</w:t>
      </w:r>
    </w:p>
    <w:p>
      <w:r/>
      <w:r>
        <w:t>• Jesus e os samaritanos</w:t>
      </w:r>
    </w:p>
    <w:p>
      <w:r/>
      <w:r>
        <w:t>• Samaria na missão da Igreja Primitiva</w:t>
      </w:r>
    </w:p>
    <w:p>
      <w:pPr>
        <w:pStyle w:val="Heading3"/>
      </w:pPr>
      <w:r>
        <w:t>Origens da seita</w:t>
      </w:r>
    </w:p>
    <w:p>
      <w:r/>
      <w:r>
        <w:t xml:space="preserve">É difícil determinar precisamente quando a seita samaritana surgiu e quando ocorreu a ruptura final com o judaísmo. A concepção do AT sobre a origem da seita samaritana é que eles se originaram de povos estrangeiros repovoados, cuja adoração a Deus era apenas uma fachada para a idolatria subjacente. De acordo com </w:t>
      </w:r>
      <w:hyperlink r:id="rId19062">
        <w:r>
          <w:rPr>
            <w:color w:val="0000EE"/>
            <w:u w:val="single"/>
          </w:rPr>
          <w:t>2 Reis 17</w:t>
        </w:r>
      </w:hyperlink>
      <w:r>
        <w:t>, a seita samaritana surgiu da troca de povos após a derrota de Israel pela Assíria em 722 a.C. Ao remover os israelitas da terra, o rei da Assíria repovoou a área com povos conquistados da Babilônia, Cuta e várias outras nações.</w:t>
      </w:r>
    </w:p>
    <w:p>
      <w:r/>
      <w:r>
        <w:t xml:space="preserve">Os samaritanos oferecem uma interpretação muito diferente de sua origem. Eles afirmam descender das tribos judaicas de Efraim e Manassés (veja </w:t>
      </w:r>
      <w:hyperlink r:id="rId19063">
        <w:r>
          <w:rPr>
            <w:color w:val="0000EE"/>
            <w:u w:val="single"/>
          </w:rPr>
          <w:t>Jo 4.12</w:t>
        </w:r>
      </w:hyperlink>
      <w:r>
        <w:t>) e sustentam que o exílio dos israelitas em 722 a.C. pela Assíria não foi nem em grande escala nem permanente. Para explicar a hostilidade mútua que se desenvolveu entre seu grupo e os judeus, a versão samaritana sustenta que os judeus foram culpados de apostasia, estabelecendo santuários heréticos durante o tempo de Eli, em vez de permanecerem com o único lugar sagrado no Monte Gerizim. Portanto, os samaritanos se consideravam verdadeiros israelitas em descendência e adoração.</w:t>
      </w:r>
    </w:p>
    <w:p>
      <w:r/>
      <w:r>
        <w:t xml:space="preserve">De registros assírios deste período, uma troca de população é de fato afirmada para o reino do norte, mas aparentemente uma deportação total não foi realizada (veja </w:t>
      </w:r>
      <w:hyperlink r:id="rId19064">
        <w:r>
          <w:rPr>
            <w:color w:val="0000EE"/>
            <w:u w:val="single"/>
          </w:rPr>
          <w:t>2Cr 34.9</w:t>
        </w:r>
      </w:hyperlink>
      <w:r>
        <w:t>). Isso sugere que havia dois elementos na terra: primeiro, o remanescente israelita nativo não exilado; e segundo, os exilados estrangeiros que foram gradualmente convertidos à fé dos residentes nativos, embora o sincretismo sem dúvida existisse durante o período inicial de assimilação.</w:t>
      </w:r>
    </w:p>
    <w:p>
      <w:pPr>
        <w:pStyle w:val="Heading3"/>
      </w:pPr>
      <w:r>
        <w:t>Relações entre os samaritanos e os judeus</w:t>
      </w:r>
    </w:p>
    <w:p>
      <w:r/>
      <w:r>
        <w:t>A história das relações entre os samaritanos — localizados ao norte, em torno do Monte Gerizim (seu monte sagrado), Siquém e Samaria — e as populações judaicas na Judeia e depois na Galileia é marcada por tensões variáveis. A antiga tensão entre os reinos do norte e do sul foi revivida com o retorno dos exilados a Jerusalém sob o edito do governante persa Ciro (c. 538 a.C.). Toda a área sul estava na época sendo governada a partir de Samaria, no norte, por Sambalate, um governante nativo da Palestina sob autoridade persa. O retorno dos exilados a Jerusalém, especialmente com suas intenções de reconstruir o templo de Jerusalém, representava uma ameaça política evidente à sua liderança no norte (</w:t>
      </w:r>
      <w:hyperlink r:id="rId19065">
        <w:r>
          <w:rPr>
            <w:color w:val="0000EE"/>
            <w:u w:val="single"/>
          </w:rPr>
          <w:t>Ed 4.7–24</w:t>
        </w:r>
      </w:hyperlink>
      <w:r>
        <w:t xml:space="preserve">; </w:t>
      </w:r>
      <w:hyperlink r:id="rId19066">
        <w:r>
          <w:rPr>
            <w:color w:val="0000EE"/>
            <w:u w:val="single"/>
          </w:rPr>
          <w:t>Ne 4.1–9</w:t>
        </w:r>
      </w:hyperlink>
      <w:r>
        <w:t>).</w:t>
      </w:r>
    </w:p>
    <w:p>
      <w:r/>
      <w:r>
        <w:t xml:space="preserve">A oposição foi inicialmente motivada politicamente, mas tornou-se religiosa quando, algum tempo depois, possivelmente no século V a.C., um templo rival foi erguido no Monte Gerizim. Um exemplo da hostilidade judaica em relação aos samaritanos dessa época vem de </w:t>
      </w:r>
      <w:hyperlink r:id="rId19067">
        <w:r>
          <w:rPr>
            <w:color w:val="0000EE"/>
            <w:u w:val="single"/>
          </w:rPr>
          <w:t>Eclesiástico 50.25–26</w:t>
        </w:r>
      </w:hyperlink>
      <w:r>
        <w:t xml:space="preserve"> (escrito aproximadamente em 200 a.C.), onde os samaritanos são colocados abaixo dos edomitas e filisteus em estima e são chamados de “povo tolo” (cf. Test. Levi 7.2).</w:t>
      </w:r>
    </w:p>
    <w:p>
      <w:r/>
      <w:r>
        <w:t>O desdém dos judeus pelos samaritanos aumentou devido à falta de resistência dos samaritanos à campanha de Antíoco Epifânio (c. 167 a.C.) para promover o culto helenístico na área. Enquanto parte da comunidade judaica resistiu à transformação do templo de Jerusalém em um templo para Zeus (</w:t>
      </w:r>
      <w:hyperlink r:id="rId19068">
        <w:r>
          <w:rPr>
            <w:color w:val="0000EE"/>
            <w:u w:val="single"/>
          </w:rPr>
          <w:t>1Mc 1.62–64</w:t>
        </w:r>
      </w:hyperlink>
      <w:r>
        <w:t>) e eventualmente seguiu os Macabeus na revolta (</w:t>
      </w:r>
      <w:hyperlink r:id="rId19069">
        <w:r>
          <w:rPr>
            <w:color w:val="0000EE"/>
            <w:u w:val="single"/>
          </w:rPr>
          <w:t>1Mc 2.42–43</w:t>
        </w:r>
      </w:hyperlink>
      <w:r>
        <w:t xml:space="preserve">), fontes sugerem que os samaritanos não o fizeram (veja </w:t>
      </w:r>
      <w:hyperlink r:id="rId19070">
        <w:r>
          <w:rPr>
            <w:color w:val="0000EE"/>
            <w:u w:val="single"/>
          </w:rPr>
          <w:t>1Mc 6.2</w:t>
        </w:r>
      </w:hyperlink>
      <w:r>
        <w:t>).</w:t>
      </w:r>
    </w:p>
    <w:p>
      <w:r/>
      <w:r>
        <w:t>As relações ruins atingiram o clímax durante o breve período de independência judaica sob os hasmoneus, quando o governante judeu, João Hircano, marchou contra Siquém, conquistando e destruindo o templo samaritano no Monte Gerizim (c. 128 a.C.).</w:t>
      </w:r>
    </w:p>
    <w:p>
      <w:r/>
      <w:r>
        <w:t>Durante o reinado de Herodes, o Grande, a situação de Samaria melhorou, embora a animosidade ainda persistisse entre os samaritanos e os judeus na Judeia e na Galileia. Considerando o templo de Jerusalém um falso centro de culto e sendo excluídos dos pátios internos pelas autoridades de Jerusalém, um grupo de samaritanos profanou o templo de Jerusalém por volta do ano 6 d.C., espalhando ossos humanos nos pórticos e no santuário do templo durante a Páscoa. A hostilidade em relação aos judeus galileus que viajavam por Samaria a caminho de Jerusalém para várias festas também não era incomum (</w:t>
      </w:r>
      <w:hyperlink r:id="rId19071">
        <w:r>
          <w:rPr>
            <w:color w:val="0000EE"/>
            <w:u w:val="single"/>
          </w:rPr>
          <w:t>Lc 9.51–53</w:t>
        </w:r>
      </w:hyperlink>
      <w:r>
        <w:t>).</w:t>
      </w:r>
    </w:p>
    <w:p>
      <w:r/>
      <w:r>
        <w:t>Essa animosidade continuou nos dias de Jesus. Ambos os grupos excluíam o outro de seus respectivos centros de culto, o templo de Jerusalém e o templo samaritano no Monte Gerizim. Os samaritanos, por exemplo, eram proibidos de acessar os pátios internos do templo, e qualquer oferta que fizessem era considerada como se fosse de um gentio. Assim, embora provavelmente mais precisamente definidos como "cismáticos", parece que os samaritanos eram, na prática, tratados como gentios. Todo casamento entre os grupos era, portanto, proibido, e as relações sociais eram muito restritas (</w:t>
      </w:r>
      <w:hyperlink r:id="rId12406">
        <w:r>
          <w:rPr>
            <w:color w:val="0000EE"/>
            <w:u w:val="single"/>
          </w:rPr>
          <w:t>Jo 4.9</w:t>
        </w:r>
      </w:hyperlink>
      <w:r>
        <w:t>). Com tal separação prescrita, não é surpreendente que qualquer interação entre os dois grupos fosse tensa. O mero termo samaritano era um de desprezo nos lábios dos judeus (</w:t>
      </w:r>
      <w:hyperlink r:id="rId11742">
        <w:r>
          <w:rPr>
            <w:color w:val="0000EE"/>
            <w:u w:val="single"/>
          </w:rPr>
          <w:t>8.48</w:t>
        </w:r>
      </w:hyperlink>
      <w:r>
        <w:t xml:space="preserve">), e entre alguns escribas possivelmente nem mesmo seria pronunciado (veja a aparente circunlocução em </w:t>
      </w:r>
      <w:hyperlink r:id="rId14618">
        <w:r>
          <w:rPr>
            <w:color w:val="0000EE"/>
            <w:u w:val="single"/>
          </w:rPr>
          <w:t>Lc 10.37</w:t>
        </w:r>
      </w:hyperlink>
      <w:r>
        <w:t>). A reação dos discípulos à recusa samaritana de hospedagem (</w:t>
      </w:r>
      <w:hyperlink r:id="rId19072">
        <w:r>
          <w:rPr>
            <w:color w:val="0000EE"/>
            <w:u w:val="single"/>
          </w:rPr>
          <w:t>9.51–55</w:t>
        </w:r>
      </w:hyperlink>
      <w:r>
        <w:t>) é um bom exemplo da animosidade sentida pelos judeus em relação aos samaritanos na época.</w:t>
      </w:r>
    </w:p>
    <w:p>
      <w:r/>
      <w:r>
        <w:t xml:space="preserve">Embora haja menos evidências de atitudes semelhantes do lado samaritano, podemos supor que elas existiam. É razoável especular, portanto, que a rejeição samaritana à hospitalidade em </w:t>
      </w:r>
      <w:hyperlink r:id="rId19072">
        <w:r>
          <w:rPr>
            <w:color w:val="0000EE"/>
            <w:u w:val="single"/>
          </w:rPr>
          <w:t>Lucas 9.51–55</w:t>
        </w:r>
      </w:hyperlink>
      <w:r>
        <w:t xml:space="preserve"> não era incomum em relação a outros judeus cujo “rosto estava voltado para Jerusalém”.</w:t>
      </w:r>
    </w:p>
    <w:p>
      <w:pPr>
        <w:pStyle w:val="Heading3"/>
      </w:pPr>
      <w:r>
        <w:t>Crenças dos samaritanos</w:t>
      </w:r>
    </w:p>
    <w:p>
      <w:r/>
      <w:r>
        <w:t>As principais crenças dos samaritanos demonstram tanto as afinidades próximas quanto as divergências óbvias do judaísmo tradicional. Eles compartilhavam com o judaísmo uma forte fé monoteísta no Deus de Abraão, Isaque e Jacó. Em contraste, no entanto, havia uma elevação do Monte Gerizim no norte como o único lugar sagrado para sacrifício, com base em várias passagens divergentes em Deuteronômio e Êxodo no texto samaritano. O Monte Gerizim passou a ser identificado com o local do primeiro altar de Abel (</w:t>
      </w:r>
      <w:hyperlink r:id="rId19073">
        <w:r>
          <w:rPr>
            <w:color w:val="0000EE"/>
            <w:u w:val="single"/>
          </w:rPr>
          <w:t>Gn 4.4</w:t>
        </w:r>
      </w:hyperlink>
      <w:r>
        <w:t>), o local do sacrifício de Noé após o Dilúvio (</w:t>
      </w:r>
      <w:hyperlink r:id="rId975">
        <w:r>
          <w:rPr>
            <w:color w:val="0000EE"/>
            <w:u w:val="single"/>
          </w:rPr>
          <w:t>8.20</w:t>
        </w:r>
      </w:hyperlink>
      <w:r>
        <w:t>), o local de encontro de Abraão e Melquisedeque (</w:t>
      </w:r>
      <w:hyperlink r:id="rId7858">
        <w:r>
          <w:rPr>
            <w:color w:val="0000EE"/>
            <w:u w:val="single"/>
          </w:rPr>
          <w:t>14.18</w:t>
        </w:r>
      </w:hyperlink>
      <w:r>
        <w:t xml:space="preserve">), o local do sacrifício pretendido de Isaque (cap. </w:t>
      </w:r>
      <w:hyperlink r:id="rId182">
        <w:r>
          <w:rPr>
            <w:color w:val="0000EE"/>
            <w:u w:val="single"/>
          </w:rPr>
          <w:t>22</w:t>
        </w:r>
      </w:hyperlink>
      <w:r>
        <w:t>), e muitas outras associações.</w:t>
      </w:r>
    </w:p>
    <w:p>
      <w:r/>
      <w:r>
        <w:t xml:space="preserve">Os samaritanos consideravam apenas os primeiros cinco livros bíblicos (Pentateuco) como inspirados e baseavam seu dogma e prática exclusivamente nesses livros. Um cânon tão restrito não apenas determinou a direção da teologia samaritana, mas também os separou ainda mais do pensamento judaico contemporâneo. Moisés, por exemplo, era mais exaltado pelos samaritanos do que pelos judeus. Ele era considerado não apenas o principal profeta, mas também, em pensamentos posteriores, descrito como o mais escolhido dos homens, preexistente desde a Criação, intercedendo com Deus por Israel e sendo para o homem “a luz do mundo”. A esperança messiânica da teologia samaritana também reflete esse cânon restrito. Um Messias da casa de Davi não poderia ser esperado, pois não havia evidência para tal no Pentateuco. Em vez disso, os samaritanos aguardavam um “profeta como Moisés” baseado em </w:t>
      </w:r>
      <w:hyperlink r:id="rId19074">
        <w:r>
          <w:rPr>
            <w:color w:val="0000EE"/>
            <w:u w:val="single"/>
          </w:rPr>
          <w:t>Deuteronômio 18.15–18</w:t>
        </w:r>
      </w:hyperlink>
      <w:r>
        <w:t>. Este profeta esperado também era designado como o “Taheb”, o Restaurador, pois ele, nos últimos dias, restauraria o culto adequado no Monte Gerizim e traria a adoração dos pagãos para aquele local.</w:t>
      </w:r>
    </w:p>
    <w:p>
      <w:r/>
      <w:r>
        <w:t>É claro, portanto, que foi principalmente a reivindicação de supremacia para o Monte Gerizim que separou este grupo teológica e culturalmente de seus vizinhos judeus.</w:t>
      </w:r>
    </w:p>
    <w:p>
      <w:pPr>
        <w:pStyle w:val="Heading3"/>
      </w:pPr>
      <w:r>
        <w:t>Jesus e os samaritanos</w:t>
      </w:r>
    </w:p>
    <w:p>
      <w:r/>
      <w:r>
        <w:t>A perspectiva comum judaica sobre os samaritanos como sendo quase gentios era evidentemente mantida, em certa medida, por Jesus também. Jesus se refere ao leproso samaritano como "este estrangeiro" (</w:t>
      </w:r>
      <w:hyperlink r:id="rId19075">
        <w:r>
          <w:rPr>
            <w:color w:val="0000EE"/>
            <w:u w:val="single"/>
          </w:rPr>
          <w:t>Lc 17.18</w:t>
        </w:r>
      </w:hyperlink>
      <w:r>
        <w:t>) e proíbe seus discípulos, durante sua missão, de levar a mensagem do reino tanto aos samaritanos quanto aos gentios (</w:t>
      </w:r>
      <w:hyperlink r:id="rId19076">
        <w:r>
          <w:rPr>
            <w:color w:val="0000EE"/>
            <w:u w:val="single"/>
          </w:rPr>
          <w:t>Mt 10.5</w:t>
        </w:r>
      </w:hyperlink>
      <w:r>
        <w:t>).</w:t>
      </w:r>
    </w:p>
    <w:p>
      <w:r/>
      <w:r>
        <w:t>No entanto, a evidência esmagadora nos Evangelhos é que a atitude de Jesus em relação aos samaritanos diferia radicalmente da de seus contemporâneos judeus. Quando seus discípulos exibem a habitual animosidade judaica ao pedir que o “fogo do julgamento” caia sobre os samaritanos inóspitos, Jesus “os repreendeu” (</w:t>
      </w:r>
      <w:hyperlink r:id="rId19077">
        <w:r>
          <w:rPr>
            <w:color w:val="0000EE"/>
            <w:u w:val="single"/>
          </w:rPr>
          <w:t>Lc 9.55</w:t>
        </w:r>
      </w:hyperlink>
      <w:r>
        <w:t>). Além disso, ele não se recusou a curar o leproso samaritano, mas o honrou como o único dos dez que se lembrou de dar glória a Deus (</w:t>
      </w:r>
      <w:hyperlink r:id="rId13382">
        <w:r>
          <w:rPr>
            <w:color w:val="0000EE"/>
            <w:u w:val="single"/>
          </w:rPr>
          <w:t>17.11–19</w:t>
        </w:r>
      </w:hyperlink>
      <w:r>
        <w:t>). Da mesma forma, na parábola do Bom Samaritano (</w:t>
      </w:r>
      <w:hyperlink r:id="rId11600">
        <w:r>
          <w:rPr>
            <w:color w:val="0000EE"/>
            <w:u w:val="single"/>
          </w:rPr>
          <w:t>10.30–37</w:t>
        </w:r>
      </w:hyperlink>
      <w:r>
        <w:t>), Jesus claramente rompe com os preconceitos tradicionais ao retratar o desprezado samaritano, e não o respeitado sacerdote ou levita judeu, como o verdadeiro vizinho do homem necessitado. Aqui, como em outros lugares, Jesus, ao confrontar seu público com a exigência de Deus, rompe com as definições tradicionais de “justo” e “excluído”.</w:t>
      </w:r>
    </w:p>
    <w:p>
      <w:r/>
      <w:hyperlink r:id="rId19078">
        <w:r>
          <w:rPr>
            <w:color w:val="0000EE"/>
            <w:u w:val="single"/>
          </w:rPr>
          <w:t>João 4.4–43</w:t>
        </w:r>
      </w:hyperlink>
      <w:r>
        <w:t xml:space="preserve"> registra não apenas a fascinante troca entre Jesus e a mulher samaritana, mas também a estadia subsequente de dois dias de Jesus na cidade de Sicar, uma cidade samaritana. Aqui vemos Jesus não apenas arriscando a impureza ritual pelo contato com a mulher samaritana no poço (vv </w:t>
      </w:r>
      <w:hyperlink r:id="rId19079">
        <w:r>
          <w:rPr>
            <w:color w:val="0000EE"/>
            <w:u w:val="single"/>
          </w:rPr>
          <w:t>7–9</w:t>
        </w:r>
      </w:hyperlink>
      <w:r>
        <w:t xml:space="preserve">), mas também oferecendo o dom da salvação a ela (v </w:t>
      </w:r>
      <w:hyperlink r:id="rId8429">
        <w:r>
          <w:rPr>
            <w:color w:val="0000EE"/>
            <w:u w:val="single"/>
          </w:rPr>
          <w:t>10</w:t>
        </w:r>
      </w:hyperlink>
      <w:r>
        <w:t xml:space="preserve">) e a toda a cidade samaritana (vv </w:t>
      </w:r>
      <w:hyperlink r:id="rId19080">
        <w:r>
          <w:rPr>
            <w:color w:val="0000EE"/>
            <w:u w:val="single"/>
          </w:rPr>
          <w:t>39–41</w:t>
        </w:r>
      </w:hyperlink>
      <w:r>
        <w:t xml:space="preserve">). Através do conhecimento de Jesus sobre a vida conjugal dela (vv </w:t>
      </w:r>
      <w:hyperlink r:id="rId19081">
        <w:r>
          <w:rPr>
            <w:color w:val="0000EE"/>
            <w:u w:val="single"/>
          </w:rPr>
          <w:t>16–18</w:t>
        </w:r>
      </w:hyperlink>
      <w:r>
        <w:t xml:space="preserve">), a mulher conclui que ele deve ser um “profeta”. Lembrando que os samaritanos esperavam um “profeta como Moisés” nos últimos dias, é possível que a mulher estivesse se perguntando se Jesus era o Messias profético há tanto esperado por eles (vv. </w:t>
      </w:r>
      <w:hyperlink r:id="rId19082">
        <w:r>
          <w:rPr>
            <w:color w:val="0000EE"/>
            <w:u w:val="single"/>
          </w:rPr>
          <w:t>19,25–26</w:t>
        </w:r>
      </w:hyperlink>
      <w:r>
        <w:t xml:space="preserve">). Jesus não apenas rompe a rígida animosidade dos judeus em relação aos samaritanos ao fazer o impensável ao ficar com esse povo desprezado, mas também aceita a fé deles nele como “Messias” (v. </w:t>
      </w:r>
      <w:hyperlink r:id="rId19083">
        <w:r>
          <w:rPr>
            <w:color w:val="0000EE"/>
            <w:u w:val="single"/>
          </w:rPr>
          <w:t>26</w:t>
        </w:r>
      </w:hyperlink>
      <w:r>
        <w:t xml:space="preserve">) e “Salvador do mundo” (v. </w:t>
      </w:r>
      <w:hyperlink r:id="rId11712">
        <w:r>
          <w:rPr>
            <w:color w:val="0000EE"/>
            <w:u w:val="single"/>
          </w:rPr>
          <w:t>42</w:t>
        </w:r>
      </w:hyperlink>
      <w:r>
        <w:t>). Aqui, assim como em sua associação com os marginalizados da sociedade judaica, Jesus redefine a justiça não de acordo com a descendência ou prática religiosa, mas de acordo com a fé nele mesmo. Ao fazer isso, ele quebra as distinções raciais e culturais de sua época e lança as bases para a subsequente disseminação do evangelho para todo o mundo gentio.</w:t>
      </w:r>
    </w:p>
    <w:p>
      <w:pPr>
        <w:pStyle w:val="Heading3"/>
      </w:pPr>
      <w:r>
        <w:t>Samaria na missão da Igreja Primitiva</w:t>
      </w:r>
    </w:p>
    <w:p>
      <w:r/>
      <w:r>
        <w:t>Na Grande Comissão dada antes de sua ascensão, Jesus instruiu seus discípulos a levarem o evangelho a Samaria (</w:t>
      </w:r>
      <w:hyperlink r:id="rId2897">
        <w:r>
          <w:rPr>
            <w:color w:val="0000EE"/>
            <w:u w:val="single"/>
          </w:rPr>
          <w:t>At 1.8</w:t>
        </w:r>
      </w:hyperlink>
      <w:r>
        <w:t>). A atividade missionária da igreja primitiva realmente incluiu essa região. Após o martírio de Estevão, muitos cristãos foram forçados a deixar Jerusalém (</w:t>
      </w:r>
      <w:hyperlink r:id="rId10880">
        <w:r>
          <w:rPr>
            <w:color w:val="0000EE"/>
            <w:u w:val="single"/>
          </w:rPr>
          <w:t>8.1</w:t>
        </w:r>
      </w:hyperlink>
      <w:r>
        <w:t xml:space="preserve">), e um desses cristãos, Filipe, espalhou o evangelho na cidade de Samaria (v </w:t>
      </w:r>
      <w:hyperlink r:id="rId6423">
        <w:r>
          <w:rPr>
            <w:color w:val="0000EE"/>
            <w:u w:val="single"/>
          </w:rPr>
          <w:t>5</w:t>
        </w:r>
      </w:hyperlink>
      <w:r>
        <w:t>). A resposta aos milagres realizados foi tão grande que Pedro e João (representando os apóstolos em Jerusalém) foram enviados para investigar e confirmar a presença do Espírito Santo entre eles. Evidências do segundo século d.C. sugerem, no entanto, que o cristianismo não estabeleceu uma base forte entre os samaritanos. Em grande parte, os samaritanos mantiveram sua própria religião. Um pequeno remanescente da seita samaritana continua a existir até hoje, vivendo perto do Monte Gerizim (Siquém) e em várias cidades em Israel.</w:t>
      </w:r>
    </w:p>
    <w:p>
      <w:r/>
      <w:r>
        <w:rPr>
          <w:i/>
        </w:rPr>
        <w:t>Veja também</w:t>
      </w:r>
      <w:r>
        <w:t xml:space="preserve"> </w:t>
      </w:r>
      <w:r>
        <w:t>Bíblia, Manuscritos e Texto do Antigo Testamento</w:t>
      </w:r>
      <w:r>
        <w:t xml:space="preserve">; </w:t>
      </w:r>
      <w:r>
        <w:t>Samaria</w:t>
      </w:r>
      <w:r>
        <w:t>.</w:t>
      </w:r>
      <w:r/>
      <w:r/>
    </w:p>
    <w:p>
      <w:r/>
    </w:p>
    <w:p>
      <w:pPr>
        <w:pStyle w:val="Heading2"/>
      </w:pPr>
      <w:r>
        <w:t>Samlá</w:t>
      </w:r>
      <w:r/>
    </w:p>
    <w:p>
      <w:r/>
      <w:r>
        <w:t>Rei dos edomitas da cidade de Masreca. Samlá chegou ao poder antes de qualquer rei governar em Israel (</w:t>
      </w:r>
      <w:hyperlink r:id="rId19084">
        <w:r>
          <w:rPr>
            <w:color w:val="0000EE"/>
            <w:u w:val="single"/>
          </w:rPr>
          <w:t>Gn 36.36–37</w:t>
        </w:r>
      </w:hyperlink>
      <w:r>
        <w:t xml:space="preserve">; </w:t>
      </w:r>
      <w:hyperlink r:id="rId19085">
        <w:r>
          <w:rPr>
            <w:color w:val="0000EE"/>
            <w:u w:val="single"/>
          </w:rPr>
          <w:t>1Cr 1.47–48</w:t>
        </w:r>
      </w:hyperlink>
      <w:r>
        <w:t>).</w:t>
      </w:r>
      <w:r/>
      <w:r/>
    </w:p>
    <w:p>
      <w:r/>
    </w:p>
    <w:p>
      <w:pPr>
        <w:pStyle w:val="Heading2"/>
      </w:pPr>
      <w:r>
        <w:t>Samos</w:t>
      </w:r>
      <w:r/>
    </w:p>
    <w:p>
      <w:r/>
      <w:r>
        <w:t>Samos é uma pequena ilha grega no Mar Egeu, situada perto da costa da Ásia Menor (atual Turquia), próxima a uma porção de terra chamada Trogílio. A ilha está a sudoeste da cidade de Éfeso e a noroeste da cidade de Mileto. Durante o período em que o apóstolo Paulo viveu, Samos era um próspero centro comercial. O Império Romano permitiu que Samos se autogovernasse em vez de controlá-la diretamente.</w:t>
      </w:r>
    </w:p>
    <w:p>
      <w:r/>
      <w:r>
        <w:t>Quando Paulo quis evitar ir a Éfeso, ele parou seu navio perto de Samos durante sua jornada para Jerusalém, no final de sua terceira viagem missionária. A Bíblia menciona a parada de Paulo em Samos entre suas visitas a Quios e Mileto (</w:t>
      </w:r>
      <w:hyperlink r:id="rId19086">
        <w:r>
          <w:rPr>
            <w:color w:val="0000EE"/>
            <w:u w:val="single"/>
          </w:rPr>
          <w:t>At 20.15</w:t>
        </w:r>
      </w:hyperlink>
      <w:r>
        <w:t>).</w:t>
      </w:r>
      <w:r/>
      <w:r/>
    </w:p>
    <w:p>
      <w:r/>
    </w:p>
    <w:p>
      <w:pPr>
        <w:pStyle w:val="Heading2"/>
      </w:pPr>
      <w:r>
        <w:t>Samotrácia</w:t>
      </w:r>
      <w:r/>
    </w:p>
    <w:p>
      <w:r/>
      <w:r>
        <w:t xml:space="preserve">Ilha na parte nordeste do Mar Egeu, ao largo da costa da província romana da Trácia. Foi nomeada Samotrácia, ou "Samos da Trácia", para distingui-la da outra Samos (cf. </w:t>
      </w:r>
      <w:hyperlink r:id="rId19086">
        <w:r>
          <w:rPr>
            <w:color w:val="0000EE"/>
            <w:u w:val="single"/>
          </w:rPr>
          <w:t>At 20.15</w:t>
        </w:r>
      </w:hyperlink>
      <w:r>
        <w:t>), que também estava no Mar Egeu, mas um pouco a sudoeste de Éfeso. Samotrácia estava aproximadamente a meio caminho entre Trôade e Neápolis, o porto marítimo de Filipos.</w:t>
      </w:r>
    </w:p>
    <w:p>
      <w:r/>
      <w:r>
        <w:t>Esta ilha foi o local de parada para o apóstolo Paulo em sua viagem de Troas para Neápolis em sua segunda jornada missionária (</w:t>
      </w:r>
      <w:hyperlink r:id="rId15119">
        <w:r>
          <w:rPr>
            <w:color w:val="0000EE"/>
            <w:u w:val="single"/>
          </w:rPr>
          <w:t>At 16.11</w:t>
        </w:r>
      </w:hyperlink>
      <w:r>
        <w:t xml:space="preserve">). Não está claro se Paulo desembarcou na ilha ou se seu barco apenas ancorou ao largo de sua costa antes de partir para Neápolis no dia seguinte. O ancoradouro usual era no lado norte da ilha, já que os barcos eram assim protegidos do vento sudeste. Aparentemente, a viagem de Paulo de Troas para Neápolis via Samotrácia foi feita com um vento favorável atrás do barco, pois levou dois dias. Na volta, levou cinco dias (veja </w:t>
      </w:r>
      <w:hyperlink r:id="rId9527">
        <w:r>
          <w:rPr>
            <w:color w:val="0000EE"/>
            <w:u w:val="single"/>
          </w:rPr>
          <w:t>20.6</w:t>
        </w:r>
      </w:hyperlink>
      <w:r>
        <w:t>).</w:t>
      </w:r>
    </w:p>
    <w:p>
      <w:r/>
      <w:r>
        <w:t>Samotrácia é uma ilha montanhosa, com seu pico central sendo o ponto mais alto na parte norte do Egeu, sendo superado em altura apenas pelo monte Atos, localizado no continente. A ilha sempre foi, em dias claros, um antigo marco para os marinheiros navegando entre Troas e Neápolis. Tem cerca de 32 quilômetros de circunferência.</w:t>
      </w:r>
      <w:r/>
      <w:r/>
    </w:p>
    <w:p>
      <w:r/>
    </w:p>
    <w:p>
      <w:pPr>
        <w:pStyle w:val="Heading2"/>
      </w:pPr>
      <w:r>
        <w:t>Samua</w:t>
      </w:r>
      <w:r/>
    </w:p>
    <w:p>
      <w:pPr>
        <w:pStyle w:val="ListNumber"/>
        <w:spacing w:line="240" w:lineRule="auto"/>
        <w:ind w:left="720"/>
      </w:pPr>
      <w:r/>
      <w:r>
        <w:t>Um homem da tribo de Rúben. Ele era filho de Zacur e um dos 12 espiões que Moisés enviou para explorar a terra de Canaã (</w:t>
      </w:r>
      <w:hyperlink r:id="rId18713">
        <w:r>
          <w:rPr>
            <w:color w:val="0000EE"/>
            <w:u w:val="single"/>
          </w:rPr>
          <w:t>Nm 13.4</w:t>
        </w:r>
      </w:hyperlink>
      <w:r>
        <w:t>);</w:t>
      </w:r>
    </w:p>
    <w:p>
      <w:pPr>
        <w:pStyle w:val="ListNumber"/>
        <w:spacing w:line="240" w:lineRule="auto"/>
        <w:ind w:left="720"/>
      </w:pPr>
      <w:r/>
      <w:r>
        <w:t>Um líder de uma família que retornou a Jerusalém com Zorobabel. Isso ocorreu depois que o povo de Israel foi levado para Babilônia e mais tarde recebeu permissão para voltar para casa (</w:t>
      </w:r>
      <w:hyperlink r:id="rId19087">
        <w:r>
          <w:rPr>
            <w:color w:val="0000EE"/>
            <w:u w:val="single"/>
          </w:rPr>
          <w:t>Ne 12.18</w:t>
        </w:r>
      </w:hyperlink>
      <w:r>
        <w:t>).</w:t>
      </w:r>
      <w:r/>
      <w:r/>
    </w:p>
    <w:p>
      <w:r/>
    </w:p>
    <w:p>
      <w:pPr>
        <w:pStyle w:val="Heading2"/>
      </w:pPr>
      <w:r>
        <w:t>Samuel (Pessoa)</w:t>
      </w:r>
      <w:r/>
    </w:p>
    <w:p>
      <w:r/>
      <w:r>
        <w:t xml:space="preserve">Último dos juízes, seu nome significa "nome de Deus" ou "seu nome é El" (El é o nome do Deus de força e poder). O jogo de palavras em </w:t>
      </w:r>
      <w:hyperlink r:id="rId4527">
        <w:r>
          <w:rPr>
            <w:color w:val="0000EE"/>
            <w:u w:val="single"/>
          </w:rPr>
          <w:t>1 Samuel 1.20</w:t>
        </w:r>
      </w:hyperlink>
      <w:r>
        <w:t xml:space="preserve"> (cf. </w:t>
      </w:r>
      <w:hyperlink r:id="rId14738">
        <w:r>
          <w:rPr>
            <w:color w:val="0000EE"/>
            <w:u w:val="single"/>
          </w:rPr>
          <w:t>Êx 2.10</w:t>
        </w:r>
      </w:hyperlink>
      <w:r>
        <w:t>) não pretende ser uma explicação do significado do nome de Samuel; as palavras de Ana apenas recordam sua oração e as circunstâncias que cercaram o nascimento de seu filho.</w:t>
      </w:r>
    </w:p>
    <w:p>
      <w:pPr>
        <w:pStyle w:val="Heading3"/>
      </w:pPr>
      <w:r>
        <w:t>História pessoal</w:t>
      </w:r>
    </w:p>
    <w:p>
      <w:r/>
      <w:r>
        <w:t>Os pais de Samuel eram um casal devoto que ia anualmente ao santuário em Siló (</w:t>
      </w:r>
      <w:hyperlink r:id="rId399">
        <w:r>
          <w:rPr>
            <w:color w:val="0000EE"/>
            <w:u w:val="single"/>
          </w:rPr>
          <w:t>1Sm 1.3</w:t>
        </w:r>
      </w:hyperlink>
      <w:r>
        <w:t>). Seu pai, Elcana, era um levita (</w:t>
      </w:r>
      <w:hyperlink r:id="rId14986">
        <w:r>
          <w:rPr>
            <w:color w:val="0000EE"/>
            <w:u w:val="single"/>
          </w:rPr>
          <w:t>1Cr 6.26</w:t>
        </w:r>
      </w:hyperlink>
      <w:r>
        <w:t>) e residente em Ramá, no território de Efraim. Sua mãe, Ana, não conseguia ter filhos no início do casamento. Elcana tinha uma segunda esposa, Penina.</w:t>
      </w:r>
    </w:p>
    <w:p>
      <w:r/>
      <w:r>
        <w:t>Em uma visita a Siló, Ana orou no santuário (</w:t>
      </w:r>
      <w:hyperlink r:id="rId19088">
        <w:r>
          <w:rPr>
            <w:color w:val="0000EE"/>
            <w:u w:val="single"/>
          </w:rPr>
          <w:t>1Sm 1.6–11</w:t>
        </w:r>
      </w:hyperlink>
      <w:r>
        <w:t>), prometendo que, se o Senhor lhe desse um filho, ela o dedicaria como nazireu (</w:t>
      </w:r>
      <w:hyperlink r:id="rId12561">
        <w:r>
          <w:rPr>
            <w:color w:val="0000EE"/>
            <w:u w:val="single"/>
          </w:rPr>
          <w:t>Nm 6.1–21</w:t>
        </w:r>
      </w:hyperlink>
      <w:r>
        <w:t>) ao serviço de Deus por toda a vida. O Senhor ouviu a oração de Ana e atendeu ao seu pedido. Ela não teve outros filhos até depois da dedicação de Samuel.</w:t>
      </w:r>
    </w:p>
    <w:p>
      <w:r/>
      <w:r>
        <w:t>Quando Samuel foi apresentado a Eli e começou seu serviço no santuário, ele se curvou diante do Senhor e “adorou o Senhor ali” (</w:t>
      </w:r>
      <w:hyperlink r:id="rId18806">
        <w:r>
          <w:rPr>
            <w:color w:val="0000EE"/>
            <w:u w:val="single"/>
          </w:rPr>
          <w:t>1Sm 1.28</w:t>
        </w:r>
      </w:hyperlink>
      <w:r>
        <w:t xml:space="preserve">). Três elementos — um sentimento de valor, o conhecimento do amor de seus pais (cf. </w:t>
      </w:r>
      <w:hyperlink r:id="rId18697">
        <w:r>
          <w:rPr>
            <w:color w:val="0000EE"/>
            <w:u w:val="single"/>
          </w:rPr>
          <w:t>2.19</w:t>
        </w:r>
      </w:hyperlink>
      <w:r>
        <w:t>) e um senso de propósito — lançaram a base de sua personalidade e de suas futuras realizações.</w:t>
      </w:r>
    </w:p>
    <w:p>
      <w:r/>
      <w:r>
        <w:t xml:space="preserve">Mais uma prova do valioso treinamento inicial de Samuel é evidenciada em </w:t>
      </w:r>
      <w:hyperlink r:id="rId18804">
        <w:r>
          <w:rPr>
            <w:color w:val="0000EE"/>
            <w:u w:val="single"/>
          </w:rPr>
          <w:t>1 Samuel 2</w:t>
        </w:r>
      </w:hyperlink>
      <w:r>
        <w:t>. Os filhos de Eli haviam seguido as práticas licenciosas das religiões pagãs ao seu redor. Eli era velho, indulgente e incapaz de contê-los. Samuel não desenvolveu irreverência por Eli nem seguiu seus filhos no caminho do mal. Deus decidiu julgar Eli e sua casa por seus pecados. Quando Deus anunciou seu propósito a Samuel, ele respondeu com reverência e respeito. Seu crescimento pessoal e espiritual indicava que ele havia sido marcado como um futuro profeta do Senhor.</w:t>
      </w:r>
    </w:p>
    <w:p>
      <w:r/>
      <w:r>
        <w:t xml:space="preserve">Quando todos faziam o que parecia certo aos seus próprios olhos (cf. </w:t>
      </w:r>
      <w:hyperlink r:id="rId12459">
        <w:r>
          <w:rPr>
            <w:color w:val="0000EE"/>
            <w:u w:val="single"/>
          </w:rPr>
          <w:t>Jz 17.6</w:t>
        </w:r>
      </w:hyperlink>
      <w:r>
        <w:t xml:space="preserve">; </w:t>
      </w:r>
      <w:hyperlink r:id="rId12462">
        <w:r>
          <w:rPr>
            <w:color w:val="0000EE"/>
            <w:u w:val="single"/>
          </w:rPr>
          <w:t>21.25</w:t>
        </w:r>
      </w:hyperlink>
      <w:r>
        <w:t>), Deus permitiu que uma nação vizinha servisse como seu instrumento para castigar seu povo, até que surgisse um juiz para libertá-los. Quando os filisteus invadiram novamente a terra (</w:t>
      </w:r>
      <w:hyperlink r:id="rId19089">
        <w:r>
          <w:rPr>
            <w:color w:val="0000EE"/>
            <w:u w:val="single"/>
          </w:rPr>
          <w:t>1Sm 4–6</w:t>
        </w:r>
      </w:hyperlink>
      <w:r>
        <w:t>), os israelitas reuniram seu exército em Ebenezer, apenas para serem derrotados. Acreditando que a Arca da Aliança garantiria o sucesso, enviaram a Siló para buscá-la. No dia seguinte, os israelitas foram novamente derrotados e a arca foi capturada. Quando essa notícia chegou a Eli, ele caiu de seu assento e morreu.</w:t>
      </w:r>
    </w:p>
    <w:p>
      <w:r/>
      <w:r>
        <w:t>Vinte anos se passaram antes que o nome de Samuel fosse mencionado novamente (</w:t>
      </w:r>
      <w:hyperlink r:id="rId19090">
        <w:r>
          <w:rPr>
            <w:color w:val="0000EE"/>
            <w:u w:val="single"/>
          </w:rPr>
          <w:t>1Sm 7.2–3</w:t>
        </w:r>
      </w:hyperlink>
      <w:r>
        <w:t xml:space="preserve">). Evidentemente, após a destruição de Siló (cf. </w:t>
      </w:r>
      <w:hyperlink r:id="rId19091">
        <w:r>
          <w:rPr>
            <w:color w:val="0000EE"/>
            <w:u w:val="single"/>
          </w:rPr>
          <w:t>Jr 7.12–14</w:t>
        </w:r>
      </w:hyperlink>
      <w:r>
        <w:t xml:space="preserve">; </w:t>
      </w:r>
      <w:hyperlink r:id="rId19092">
        <w:r>
          <w:rPr>
            <w:color w:val="0000EE"/>
            <w:u w:val="single"/>
          </w:rPr>
          <w:t>26.6,9</w:t>
        </w:r>
      </w:hyperlink>
      <w:r>
        <w:t xml:space="preserve">; </w:t>
      </w:r>
      <w:hyperlink r:id="rId19093">
        <w:r>
          <w:rPr>
            <w:color w:val="0000EE"/>
            <w:u w:val="single"/>
          </w:rPr>
          <w:t>Sl 78.60</w:t>
        </w:r>
      </w:hyperlink>
      <w:r>
        <w:t xml:space="preserve">), ele viveu em Ramá e realizava missões anuais de pregação que incluíam Betel, Gilgal e Mispa, “julgando” o povo nesses lugares (cf. </w:t>
      </w:r>
      <w:hyperlink r:id="rId19094">
        <w:r>
          <w:rPr>
            <w:color w:val="0000EE"/>
            <w:u w:val="single"/>
          </w:rPr>
          <w:t>Dt 16.18–22</w:t>
        </w:r>
      </w:hyperlink>
      <w:r>
        <w:t xml:space="preserve">; </w:t>
      </w:r>
      <w:hyperlink r:id="rId12819">
        <w:r>
          <w:rPr>
            <w:color w:val="0000EE"/>
            <w:u w:val="single"/>
          </w:rPr>
          <w:t>17.8–13</w:t>
        </w:r>
      </w:hyperlink>
      <w:r>
        <w:t>). Samuel provavelmente também fundou “escolas de profetas” durante este período. Escolas foram estabelecidas em Betel (</w:t>
      </w:r>
      <w:hyperlink r:id="rId9547">
        <w:r>
          <w:rPr>
            <w:color w:val="0000EE"/>
            <w:u w:val="single"/>
          </w:rPr>
          <w:t>1Sm 10.5</w:t>
        </w:r>
      </w:hyperlink>
      <w:r>
        <w:t xml:space="preserve">; </w:t>
      </w:r>
      <w:hyperlink r:id="rId17650">
        <w:r>
          <w:rPr>
            <w:color w:val="0000EE"/>
            <w:u w:val="single"/>
          </w:rPr>
          <w:t>2Rs 2.3</w:t>
        </w:r>
      </w:hyperlink>
      <w:r>
        <w:t>), Gilgal (</w:t>
      </w:r>
      <w:hyperlink r:id="rId5197">
        <w:r>
          <w:rPr>
            <w:color w:val="0000EE"/>
            <w:u w:val="single"/>
          </w:rPr>
          <w:t>2Rs 4.38</w:t>
        </w:r>
      </w:hyperlink>
      <w:r>
        <w:t>), Ramá (</w:t>
      </w:r>
      <w:hyperlink r:id="rId17652">
        <w:r>
          <w:rPr>
            <w:color w:val="0000EE"/>
            <w:u w:val="single"/>
          </w:rPr>
          <w:t>1Sm 19.20</w:t>
        </w:r>
      </w:hyperlink>
      <w:r>
        <w:t>) e em outros lugares (</w:t>
      </w:r>
      <w:hyperlink r:id="rId11590">
        <w:r>
          <w:rPr>
            <w:color w:val="0000EE"/>
            <w:u w:val="single"/>
          </w:rPr>
          <w:t>2Rs 2.5</w:t>
        </w:r>
      </w:hyperlink>
      <w:r>
        <w:t>), talvez como um desdobramento natural do ministério de Samuel.</w:t>
      </w:r>
    </w:p>
    <w:p>
      <w:r/>
      <w:r>
        <w:t>Após um ministério de 20 anos, Samuel considerou oportuno avançar em direção à unificação espiritual e nacional. Ele convocou uma reunião em Mispa (</w:t>
      </w:r>
      <w:hyperlink r:id="rId19095">
        <w:r>
          <w:rPr>
            <w:color w:val="0000EE"/>
            <w:u w:val="single"/>
          </w:rPr>
          <w:t>1Sm 7</w:t>
        </w:r>
      </w:hyperlink>
      <w:r>
        <w:t>). Lá, com um rito simbólico expressivo de profunda humilhação e em consonância com as libações de um tratado, os israelitas derramaram água no chão, jejuaram e oraram.</w:t>
      </w:r>
    </w:p>
    <w:p>
      <w:r/>
      <w:r>
        <w:t>Os filisteus interpretaram mal a natureza da convocação e decidiram atacar os adoradores indefesos, que imploraram a Samuel que orasse por eles. Ele ofereceu um sacrifício e o Senhor enviou uma violenta tempestade, fazendo com que os invasores fugissem em pânico. Os israelitas perseguidores conquistaram uma vitória significativa em Ebenezer (</w:t>
      </w:r>
      <w:hyperlink r:id="rId9546">
        <w:r>
          <w:rPr>
            <w:color w:val="0000EE"/>
            <w:u w:val="single"/>
          </w:rPr>
          <w:t>1Sm 7.12</w:t>
        </w:r>
      </w:hyperlink>
      <w:r>
        <w:t>).</w:t>
      </w:r>
    </w:p>
    <w:p>
      <w:r/>
      <w:r>
        <w:t>Nos anos de declínio de Samuel, os anciãos rejeitaram sua liderança em favor de um rei (</w:t>
      </w:r>
      <w:hyperlink r:id="rId19096">
        <w:r>
          <w:rPr>
            <w:color w:val="0000EE"/>
            <w:u w:val="single"/>
          </w:rPr>
          <w:t>1Sm 8</w:t>
        </w:r>
      </w:hyperlink>
      <w:r>
        <w:t>). Após uma oração sincera, ele recebeu nova direção do Senhor, atendeu ao pedido deles e mais tarde ungiu Saul como príncipe sobre o povo de Deus. Samuel então convocou os israelitas a Mispa, onde a escolha de Deus foi oficializada, e Saul foi aclamado como rei. Após a vitória de Saul sobre Naás (cap.</w:t>
      </w:r>
      <w:hyperlink r:id="rId19097">
        <w:r>
          <w:rPr>
            <w:color w:val="0000EE"/>
            <w:u w:val="single"/>
          </w:rPr>
          <w:t>11</w:t>
        </w:r>
      </w:hyperlink>
      <w:r>
        <w:t>), Samuel em Gilgal confirmou a realeza de Saul. Depois disso, Samuel se retirou para Ramá para treinar homens para continuar seu ministério.</w:t>
      </w:r>
    </w:p>
    <w:p>
      <w:r/>
      <w:r>
        <w:t>Samuel teve que repreender Saul duas vezes, primeiro por impaciência e desobediência (</w:t>
      </w:r>
      <w:hyperlink r:id="rId19098">
        <w:r>
          <w:rPr>
            <w:color w:val="0000EE"/>
            <w:u w:val="single"/>
          </w:rPr>
          <w:t>1Sm 13.5–14</w:t>
        </w:r>
      </w:hyperlink>
      <w:r>
        <w:t>), e depois por desobedecer à ordem expressa do Senhor (</w:t>
      </w:r>
      <w:hyperlink r:id="rId19099">
        <w:r>
          <w:rPr>
            <w:color w:val="0000EE"/>
            <w:u w:val="single"/>
          </w:rPr>
          <w:t>15.20–23</w:t>
        </w:r>
      </w:hyperlink>
      <w:r>
        <w:t>), que o rejeitou como rei. Samuel foi então enviado à casa de Jessé em Belém, onde ungiu Davi como o escolhido do Senhor (</w:t>
      </w:r>
      <w:hyperlink r:id="rId6563">
        <w:r>
          <w:rPr>
            <w:color w:val="0000EE"/>
            <w:u w:val="single"/>
          </w:rPr>
          <w:t>16.1–13</w:t>
        </w:r>
      </w:hyperlink>
      <w:r>
        <w:t>).</w:t>
      </w:r>
    </w:p>
    <w:p>
      <w:r/>
      <w:r>
        <w:t xml:space="preserve">Em </w:t>
      </w:r>
      <w:hyperlink r:id="rId4608">
        <w:r>
          <w:rPr>
            <w:color w:val="0000EE"/>
            <w:u w:val="single"/>
          </w:rPr>
          <w:t>1 Samuel 25.1</w:t>
        </w:r>
      </w:hyperlink>
      <w:r>
        <w:t xml:space="preserve">, há um breve relato do falecimento de Samuel, quando todo Israel se reuniu e lamentou por ele. Ele foi sepultado em Ramá. A única menção subsequente de Samuel está em </w:t>
      </w:r>
      <w:hyperlink r:id="rId19100">
        <w:r>
          <w:rPr>
            <w:color w:val="0000EE"/>
            <w:u w:val="single"/>
          </w:rPr>
          <w:t>1 Samuel 28</w:t>
        </w:r>
      </w:hyperlink>
      <w:r>
        <w:t xml:space="preserve">. Convocado pela feiticeira de En-Dor a pedido de Saul, Samuel anunciou que no dia seguinte Saul e seus filhos morreriam em batalha (vv. </w:t>
      </w:r>
      <w:hyperlink r:id="rId19101">
        <w:r>
          <w:rPr>
            <w:color w:val="0000EE"/>
            <w:u w:val="single"/>
          </w:rPr>
          <w:t>4–19</w:t>
        </w:r>
      </w:hyperlink>
      <w:r>
        <w:t>).</w:t>
      </w:r>
    </w:p>
    <w:p>
      <w:pPr>
        <w:pStyle w:val="Heading3"/>
      </w:pPr>
      <w:r>
        <w:t>Personagem</w:t>
      </w:r>
    </w:p>
    <w:p>
      <w:r/>
      <w:r>
        <w:t>Samuel superou muitos problemas através da piedade, perseverança e dedicação ao serviço do Senhor. Sua principal preocupação era o bem de seu povo. Sábio e corajoso, ele repreendeu ousadamente o rei, os anciãos e o povo quando necessário, sempre com base na vontade revelada de Deus.</w:t>
      </w:r>
    </w:p>
    <w:p>
      <w:r/>
      <w:r>
        <w:t>Enquanto Samuel servia como juiz e sacerdote, ele era principalmente um profeta. Através de seu ministério, a vida espiritual dos israelitas melhorou. Ao inaugurar a monarquia, ele conduziu o povo da desunião tribal à solidariedade nacional. Ele nomeou porteiros para a tenda do encontro (</w:t>
      </w:r>
      <w:hyperlink r:id="rId19102">
        <w:r>
          <w:rPr>
            <w:color w:val="0000EE"/>
            <w:u w:val="single"/>
          </w:rPr>
          <w:t>1Cr 9.17–26</w:t>
        </w:r>
      </w:hyperlink>
      <w:r>
        <w:t>), organizou a observância da Páscoa de forma tão memorável que ainda era mencionada nos dias de Josias (</w:t>
      </w:r>
      <w:hyperlink r:id="rId19103">
        <w:r>
          <w:rPr>
            <w:color w:val="0000EE"/>
            <w:u w:val="single"/>
          </w:rPr>
          <w:t>2Cr 35.18</w:t>
        </w:r>
      </w:hyperlink>
      <w:r>
        <w:t>), colocou por escrito como um rei e seu reino deveriam ser (</w:t>
      </w:r>
      <w:hyperlink r:id="rId19104">
        <w:r>
          <w:rPr>
            <w:color w:val="0000EE"/>
            <w:u w:val="single"/>
          </w:rPr>
          <w:t>1Sm 10.25</w:t>
        </w:r>
      </w:hyperlink>
      <w:r>
        <w:t>), e escreveu "As Crônicas de Samuel, o Vidente" (</w:t>
      </w:r>
      <w:hyperlink r:id="rId6145">
        <w:r>
          <w:rPr>
            <w:color w:val="0000EE"/>
            <w:u w:val="single"/>
          </w:rPr>
          <w:t>1Cr 29.29</w:t>
        </w:r>
      </w:hyperlink>
      <w:r>
        <w:t>).</w:t>
      </w:r>
    </w:p>
    <w:p>
      <w:r/>
      <w:r>
        <w:t>Samuel merece um lugar entre os grandes homens de fé (</w:t>
      </w:r>
      <w:hyperlink r:id="rId19105">
        <w:r>
          <w:rPr>
            <w:color w:val="0000EE"/>
            <w:u w:val="single"/>
          </w:rPr>
          <w:t>Hb 11.32</w:t>
        </w:r>
      </w:hyperlink>
      <w:r>
        <w:t>). Ele foi o último dos juízes (</w:t>
      </w:r>
      <w:hyperlink r:id="rId19106">
        <w:r>
          <w:rPr>
            <w:color w:val="0000EE"/>
            <w:u w:val="single"/>
          </w:rPr>
          <w:t>1Sm 7.6,15–17</w:t>
        </w:r>
      </w:hyperlink>
      <w:r>
        <w:t>) e o primeiro dos profetas (</w:t>
      </w:r>
      <w:hyperlink r:id="rId19107">
        <w:r>
          <w:rPr>
            <w:color w:val="0000EE"/>
            <w:u w:val="single"/>
          </w:rPr>
          <w:t>1Sm 3.20</w:t>
        </w:r>
      </w:hyperlink>
      <w:r>
        <w:t xml:space="preserve">; </w:t>
      </w:r>
      <w:hyperlink r:id="rId19108">
        <w:r>
          <w:rPr>
            <w:color w:val="0000EE"/>
            <w:u w:val="single"/>
          </w:rPr>
          <w:t>At 3.24</w:t>
        </w:r>
      </w:hyperlink>
      <w:r>
        <w:t xml:space="preserve">; </w:t>
      </w:r>
      <w:hyperlink r:id="rId5416">
        <w:r>
          <w:rPr>
            <w:color w:val="0000EE"/>
            <w:u w:val="single"/>
          </w:rPr>
          <w:t>13.20</w:t>
        </w:r>
      </w:hyperlink>
      <w:r>
        <w:t>).</w:t>
      </w:r>
    </w:p>
    <w:p>
      <w:r/>
      <w:r>
        <w:rPr>
          <w:i/>
        </w:rPr>
        <w:t>Veja também</w:t>
      </w:r>
      <w:r>
        <w:t xml:space="preserve"> </w:t>
      </w:r>
      <w:r>
        <w:t>SAMUEL, Livros de Primeiro e Segundo</w:t>
      </w:r>
      <w:r>
        <w:t>.</w:t>
      </w:r>
      <w:r/>
      <w:r/>
    </w:p>
    <w:p>
      <w:r/>
    </w:p>
    <w:p>
      <w:pPr>
        <w:pStyle w:val="Heading2"/>
      </w:pPr>
      <w:r>
        <w:t>SAMUEL, Livros de Primeiro e Segundo</w:t>
      </w:r>
      <w:r/>
    </w:p>
    <w:p>
      <w:r/>
      <w:r>
        <w:t>Resumo</w:t>
      </w:r>
    </w:p>
    <w:p>
      <w:r/>
      <w:r>
        <w:t>• Nome;</w:t>
      </w:r>
    </w:p>
    <w:p>
      <w:r/>
      <w:r>
        <w:t>• Autor e Data;</w:t>
      </w:r>
    </w:p>
    <w:p>
      <w:r/>
      <w:r>
        <w:t>• Propósito e Ensino teológico;</w:t>
      </w:r>
    </w:p>
    <w:p>
      <w:r/>
      <w:r>
        <w:t>• Conteúdo.</w:t>
      </w:r>
    </w:p>
    <w:p>
      <w:pPr>
        <w:pStyle w:val="Heading3"/>
      </w:pPr>
      <w:r>
        <w:t>Nome</w:t>
      </w:r>
    </w:p>
    <w:p>
      <w:r/>
      <w:r>
        <w:t>Primeiro e Segundo Samuel derivam seus nomes do indivíduo que Deus usou para estabelecer a realeza em Israel. Samuel é a figura mais proeminente nas narrativas iniciais de 1 Samuel. Seu papel fundamental em liderar a nação de Israel durante a transição do período dos juízes para o da monarquia justifica o uso de seu nome como título do livro.</w:t>
      </w:r>
    </w:p>
    <w:p>
      <w:r/>
      <w:r>
        <w:t>Esses livros, no entanto, nem sempre foram designados assim, e o material não foi originalmente dividido em dois livros. Pelo que se sabe, os tradutores da Septuaginta (a tradução grega do Antigo Testamento datada do terceiro século a.C.) foram os primeiros a separar o material de Samuel em dois livros (eles fizeram uma divisão semelhante no material de Reis). O original hebraico desses livros foi escrito, como é característico do hebraico, apenas com símbolos para consoantes e nenhum para vogais. Ao ser traduzido para o grego, foi necessário usar símbolos tanto para vogais quanto para consoantes, o que aumentou consideravelmente o comprimento do manuscrito. É provável que a consideração prática do comprimento do rolo foi a causa para dividir o material de Samuel e Reis em dois livros (rolos) em vez de manter apenas um. Os tradutores da Septuaginta, reconhecendo a continuidade de conteúdo e ênfase em Samuel e Reis, designaram o que agora é conhecido como 1 e 2 Samuel como “O Primeiro e Segundo Livros dos Reinos” e depois designaram o que agora é conhecido como 1 e 2 Reis como “O Terceiro e Quarto Livros dos Reinos.” A Vulgata Latina (a tradução latina da Bíblia preparada por Jerônimo no final do século 4 d.C.) modificou sutilmente os títulos da Septuaginta para “Primeiro, Segundo, Terceiro e Quarto Reis.” Esses títulos foram utilizados durante toda a Idade Média e foram modificados para nossos títulos atuais pelos Reformadores Protestantes no século 16 d.C., em concordância com a tradição rabínica judaica. Os Reformadores, no entanto, mantiveram a divisão em dois livros, e isso foi seguido nas versões modernas em inglês.</w:t>
      </w:r>
    </w:p>
    <w:p>
      <w:pPr>
        <w:pStyle w:val="Heading3"/>
      </w:pPr>
      <w:r>
        <w:t>Autor e Data</w:t>
      </w:r>
    </w:p>
    <w:p>
      <w:r/>
      <w:r>
        <w:t xml:space="preserve">Embora Samuel seja proeminente na primeira parte do livro e o livro leve seu nome em nossas versões em inglês, é evidente que ele não é o autor de toda a obra de 1 e 2 Samuel. A morte de Samuel é registrada em </w:t>
      </w:r>
      <w:hyperlink r:id="rId4608">
        <w:r>
          <w:rPr>
            <w:color w:val="0000EE"/>
            <w:u w:val="single"/>
          </w:rPr>
          <w:t>1 Samuel 25.1</w:t>
        </w:r>
      </w:hyperlink>
      <w:r>
        <w:t xml:space="preserve">, antes da ascensão de Davi ao trono no lugar de Saul. Quem escreveu o material de 1 e 2 Samuel, se não foi Samuel? Com base na declaração em </w:t>
      </w:r>
      <w:hyperlink r:id="rId6145">
        <w:r>
          <w:rPr>
            <w:color w:val="0000EE"/>
            <w:u w:val="single"/>
          </w:rPr>
          <w:t>1 Cr 29.29</w:t>
        </w:r>
      </w:hyperlink>
      <w:r>
        <w:t>, alguns sugeriram que Samuel compôs as narrativas iniciais do livro e que seu trabalho foi posteriormente complementado pelos escritos dos profetas Natã e Gade. Outros sugeriram um dos contemporâneos de Davi, como Aimaás (</w:t>
      </w:r>
      <w:hyperlink r:id="rId19109">
        <w:r>
          <w:rPr>
            <w:color w:val="0000EE"/>
            <w:u w:val="single"/>
          </w:rPr>
          <w:t>2Sm 15.27,36</w:t>
        </w:r>
      </w:hyperlink>
      <w:r>
        <w:t xml:space="preserve">; </w:t>
      </w:r>
      <w:hyperlink r:id="rId19110">
        <w:r>
          <w:rPr>
            <w:color w:val="0000EE"/>
            <w:u w:val="single"/>
          </w:rPr>
          <w:t>17.17</w:t>
        </w:r>
      </w:hyperlink>
      <w:r>
        <w:t>), Husai (</w:t>
      </w:r>
      <w:hyperlink r:id="rId15169">
        <w:r>
          <w:rPr>
            <w:color w:val="0000EE"/>
            <w:u w:val="single"/>
          </w:rPr>
          <w:t>2Sm 15.32</w:t>
        </w:r>
      </w:hyperlink>
      <w:r>
        <w:t xml:space="preserve">; </w:t>
      </w:r>
      <w:hyperlink r:id="rId19111">
        <w:r>
          <w:rPr>
            <w:color w:val="0000EE"/>
            <w:u w:val="single"/>
          </w:rPr>
          <w:t>16.16</w:t>
        </w:r>
      </w:hyperlink>
      <w:r>
        <w:t>), ou Zabude (</w:t>
      </w:r>
      <w:hyperlink r:id="rId19112">
        <w:r>
          <w:rPr>
            <w:color w:val="0000EE"/>
            <w:u w:val="single"/>
          </w:rPr>
          <w:t>1Rs 4.5</w:t>
        </w:r>
      </w:hyperlink>
      <w:r>
        <w:t xml:space="preserve">). Se presume que esses homens teriam tido acesso aos escritos de Samuel, Natã e Gade, bem como a outras fontes (veja </w:t>
      </w:r>
      <w:hyperlink r:id="rId12207">
        <w:r>
          <w:rPr>
            <w:color w:val="0000EE"/>
            <w:u w:val="single"/>
          </w:rPr>
          <w:t>2Sm 1.18</w:t>
        </w:r>
      </w:hyperlink>
      <w:r>
        <w:t xml:space="preserve">) relacionadas à vida e aos reinados de Saul e Davi. Quem foi o verdadeiro autor, no entanto, não pode ser determinado a partir das evidências disponíveis. Quem quer que tenha sido, é claro que viveu após a morte de Salomão e a divisão do reino em 930 a.C. (veja referências a “Israel em Judá” em </w:t>
      </w:r>
      <w:hyperlink r:id="rId19113">
        <w:r>
          <w:rPr>
            <w:color w:val="0000EE"/>
            <w:u w:val="single"/>
          </w:rPr>
          <w:t>1Sm 11.8</w:t>
        </w:r>
      </w:hyperlink>
      <w:r>
        <w:t xml:space="preserve">; </w:t>
      </w:r>
      <w:hyperlink r:id="rId19114">
        <w:r>
          <w:rPr>
            <w:color w:val="0000EE"/>
            <w:u w:val="single"/>
          </w:rPr>
          <w:t>17.52</w:t>
        </w:r>
      </w:hyperlink>
      <w:r>
        <w:t xml:space="preserve">; </w:t>
      </w:r>
      <w:hyperlink r:id="rId19115">
        <w:r>
          <w:rPr>
            <w:color w:val="0000EE"/>
            <w:u w:val="single"/>
          </w:rPr>
          <w:t>18.16</w:t>
        </w:r>
      </w:hyperlink>
      <w:r>
        <w:t xml:space="preserve">; </w:t>
      </w:r>
      <w:hyperlink r:id="rId11428">
        <w:r>
          <w:rPr>
            <w:color w:val="0000EE"/>
            <w:u w:val="single"/>
          </w:rPr>
          <w:t>2Sm 5.5</w:t>
        </w:r>
      </w:hyperlink>
      <w:r>
        <w:t xml:space="preserve">; </w:t>
      </w:r>
      <w:hyperlink r:id="rId19116">
        <w:r>
          <w:rPr>
            <w:color w:val="0000EE"/>
            <w:u w:val="single"/>
          </w:rPr>
          <w:t>24.1–9</w:t>
        </w:r>
      </w:hyperlink>
      <w:r>
        <w:t xml:space="preserve">; e “reis de Judá” em </w:t>
      </w:r>
      <w:hyperlink r:id="rId19117">
        <w:r>
          <w:rPr>
            <w:color w:val="0000EE"/>
            <w:u w:val="single"/>
          </w:rPr>
          <w:t>1Sm 27.6</w:t>
        </w:r>
      </w:hyperlink>
      <w:r>
        <w:t>). Assim, 1 e 2 Samuel foram publicados em sua forma final em algum momento após 930 a.C.</w:t>
      </w:r>
    </w:p>
    <w:p>
      <w:pPr>
        <w:pStyle w:val="Heading3"/>
      </w:pPr>
      <w:r>
        <w:t>Propósito e Ensino Teológico</w:t>
      </w:r>
    </w:p>
    <w:p>
      <w:r/>
      <w:r>
        <w:t>O tema que une as narrativas de 1 e 2 Samuel diz respeito à relação entre a realeza e a aliança. A realeza, conforme solicitada pelo povo, era uma negação da aliança; a realeza, conforme instituída por Samuel, era compatível com a aliança; a realeza, conforme praticada por Saul, não correspondia à ideia da aliança; e a realeza, conforme praticada por Davi, era uma representação imperfeita, mas verdadeira, do ideal do rei da aliança.</w:t>
      </w:r>
    </w:p>
    <w:p>
      <w:r/>
      <w:r>
        <w:t>Frequentemente se destaca a ambivalência na descrição do estabelecimento da realeza em Israel (</w:t>
      </w:r>
      <w:hyperlink r:id="rId19118">
        <w:r>
          <w:rPr>
            <w:color w:val="0000EE"/>
            <w:u w:val="single"/>
          </w:rPr>
          <w:t>1Sm 8–12</w:t>
        </w:r>
      </w:hyperlink>
      <w:r>
        <w:t xml:space="preserve">), pois em alguns trechos parece ser sugerido que a realeza é imprópria para Israel, enquanto em outros parece ser a vontade de Deus para seu povo. A resolução dessa tensão é apresentada em </w:t>
      </w:r>
      <w:hyperlink r:id="rId19119">
        <w:r>
          <w:rPr>
            <w:color w:val="0000EE"/>
            <w:u w:val="single"/>
          </w:rPr>
          <w:t>1 Samuel 12</w:t>
        </w:r>
      </w:hyperlink>
      <w:r>
        <w:t>, quando Samuel inaugura Saul como o primeiro rei de Israel durante uma cerimônia de renovação da aliança, na qual Israel reafirma sua lealdade ao Senhor. Fica claro que a realeza em si não era errada para Israel; Deus desejava que Israel tivesse um rei. No entanto, a realeza do tipo que Israel desejava (“como as outras nações”) e pelas razões pelas quais queria um rei (para obter segurança nacional e liderar em batalhas) implicava uma negação do Senhor como seu soberano supremo. Samuel definiu o papel do rei em Israel e apresentou Saul ao povo em uma cerimônia onde renovaram sua lealdade ao Senhor. A monarquia em Israel foi inicialmente estabelecida de forma compatível com a aliança. O rei em Israel, assim como todos os outros cidadãos da nação, deveria estar sujeito à lei do Senhor e à palavra do profeta. Sob essa perspectiva, o autor retrata o reinado de Saul como não atendendo aos requisitos da aliança, enquanto o reinado de Davi, embora imperfeito, refletia o ideal da aliança.</w:t>
      </w:r>
    </w:p>
    <w:p>
      <w:r/>
      <w:r>
        <w:t>Existem pelo menos dois outros temas importantes registrados em 1 e 2 Samuel. O primeiro deles é que Davi conquista e adquire a terra prometida a Abraão. É na época de Davi que as fronteiras de Israel são estendidas do Egito ao Eufrates, conforme havia sido prometido. Um segundo evento de grande importância para o restante da Bíblia é a escolha de Davi de Jerusalém para ser o centro político e religioso de Israel.</w:t>
      </w:r>
    </w:p>
    <w:p>
      <w:pPr>
        <w:pStyle w:val="Heading3"/>
      </w:pPr>
      <w:r>
        <w:t>Conteúdo</w:t>
      </w:r>
    </w:p>
    <w:p>
      <w:pPr>
        <w:pStyle w:val="Heading4"/>
      </w:pPr>
      <w:r>
        <w:t>Samuel (</w:t>
      </w:r>
      <w:hyperlink r:id="rId19120">
        <w:r>
          <w:rPr>
            <w:color w:val="0000EE"/>
            <w:u w:val="single"/>
          </w:rPr>
          <w:t>1Sm 1–7</w:t>
        </w:r>
      </w:hyperlink>
      <w:r>
        <w:t>)</w:t>
      </w:r>
    </w:p>
    <w:p>
      <w:r/>
      <w:r>
        <w:t>A Juventude de Samuel (</w:t>
      </w:r>
      <w:hyperlink r:id="rId9570">
        <w:r>
          <w:rPr>
            <w:color w:val="0000EE"/>
            <w:u w:val="single"/>
          </w:rPr>
          <w:t>1Sm 1–3</w:t>
        </w:r>
      </w:hyperlink>
      <w:r>
        <w:t>).</w:t>
      </w:r>
    </w:p>
    <w:p>
      <w:r/>
      <w:r>
        <w:t>Deus atendeu ao pedido de Ana por um filho após um longo período de esterilidade. Ela nomeou seu filho Samuel (um trocadilho com a expressão hebraica “ouvido por Deus”) e o dedicou ao serviço do Senhor — com Eli, o sacerdote, no tabernáculo em Siló. O belo cântico de louvor de Ana a Deus, que ouve e responde às orações (</w:t>
      </w:r>
      <w:hyperlink r:id="rId19121">
        <w:r>
          <w:rPr>
            <w:color w:val="0000EE"/>
            <w:u w:val="single"/>
          </w:rPr>
          <w:t>2.1–10</w:t>
        </w:r>
      </w:hyperlink>
      <w:r>
        <w:t>), exalta a soberania de Deus e antecipa profeticamente não apenas o estabelecimento da realeza em Israel, mas, em última análise, o cumprimento máximo do ofício real em Cristo mesmo (v.</w:t>
      </w:r>
      <w:hyperlink r:id="rId4749">
        <w:r>
          <w:rPr>
            <w:color w:val="0000EE"/>
            <w:u w:val="single"/>
          </w:rPr>
          <w:t>10</w:t>
        </w:r>
      </w:hyperlink>
      <w:r>
        <w:t xml:space="preserve">). As práticas malignas dos filhos do sacerdote Eli são descritas nos versículos </w:t>
      </w:r>
      <w:hyperlink r:id="rId19122">
        <w:r>
          <w:rPr>
            <w:color w:val="0000EE"/>
            <w:u w:val="single"/>
          </w:rPr>
          <w:t>11–26</w:t>
        </w:r>
      </w:hyperlink>
      <w:r>
        <w:t>. Esses homens não apenas usaram seu cargo para ganho pessoal (vv.</w:t>
      </w:r>
      <w:hyperlink r:id="rId9577">
        <w:r>
          <w:rPr>
            <w:color w:val="0000EE"/>
            <w:u w:val="single"/>
          </w:rPr>
          <w:t>12–17</w:t>
        </w:r>
      </w:hyperlink>
      <w:r>
        <w:t>), mas também cometeram atos imorais com as mulheres que serviam na entrada do tabernáculo (v.</w:t>
      </w:r>
      <w:hyperlink r:id="rId4180">
        <w:r>
          <w:rPr>
            <w:color w:val="0000EE"/>
            <w:u w:val="single"/>
          </w:rPr>
          <w:t>22</w:t>
        </w:r>
      </w:hyperlink>
      <w:r>
        <w:t>). Embora Eli tenha repreendido seus filhos (vv.</w:t>
      </w:r>
      <w:hyperlink r:id="rId19123">
        <w:r>
          <w:rPr>
            <w:color w:val="0000EE"/>
            <w:u w:val="single"/>
          </w:rPr>
          <w:t>22–25</w:t>
        </w:r>
      </w:hyperlink>
      <w:r>
        <w:t>), suas advertências foram insuficientes e tardias. Foi nesse ambiente de negligência que Samuel cresceu (vv.</w:t>
      </w:r>
      <w:hyperlink r:id="rId19124">
        <w:r>
          <w:rPr>
            <w:color w:val="0000EE"/>
            <w:u w:val="single"/>
          </w:rPr>
          <w:t>18–21,26</w:t>
        </w:r>
      </w:hyperlink>
      <w:r>
        <w:t>).</w:t>
      </w:r>
    </w:p>
    <w:p>
      <w:r/>
      <w:r>
        <w:t xml:space="preserve">Em </w:t>
      </w:r>
      <w:hyperlink r:id="rId19125">
        <w:r>
          <w:rPr>
            <w:color w:val="0000EE"/>
            <w:u w:val="single"/>
          </w:rPr>
          <w:t>1 Samuel 2.27–36</w:t>
        </w:r>
      </w:hyperlink>
      <w:r>
        <w:t>, um profeta sem nome pronunciou julgamento sobre Eli e sua linhagem sacerdotal. A previsão da morte iminente de Hofni e Fineias, filhos de Eli, foi cumprida quando os filisteus tomaram a arca e destruíram o tabernáculo em Siló (</w:t>
      </w:r>
      <w:hyperlink r:id="rId2454">
        <w:r>
          <w:rPr>
            <w:color w:val="0000EE"/>
            <w:u w:val="single"/>
          </w:rPr>
          <w:t>4.11</w:t>
        </w:r>
      </w:hyperlink>
      <w:r>
        <w:t xml:space="preserve">; </w:t>
      </w:r>
      <w:hyperlink r:id="rId19126">
        <w:r>
          <w:rPr>
            <w:color w:val="0000EE"/>
            <w:u w:val="single"/>
          </w:rPr>
          <w:t>Jr 7.14</w:t>
        </w:r>
      </w:hyperlink>
      <w:r>
        <w:t xml:space="preserve">). Em </w:t>
      </w:r>
      <w:hyperlink r:id="rId19127">
        <w:r>
          <w:rPr>
            <w:color w:val="0000EE"/>
            <w:u w:val="single"/>
          </w:rPr>
          <w:t>1 Samuel 3.1–4.1</w:t>
        </w:r>
      </w:hyperlink>
      <w:r>
        <w:t>, Samuel é chamado para ser um profeta, e ele também recebe uma mensagem de julgamento para a casa de Eli (</w:t>
      </w:r>
      <w:hyperlink r:id="rId19128">
        <w:r>
          <w:rPr>
            <w:color w:val="0000EE"/>
            <w:u w:val="single"/>
          </w:rPr>
          <w:t>3.11–14</w:t>
        </w:r>
      </w:hyperlink>
      <w:r>
        <w:t>). À medida que a confiabilidade das palavras de Samuel é atestada, o povo reconhece que ele era um verdadeiro profeta do Senhor (</w:t>
      </w:r>
      <w:hyperlink r:id="rId19129">
        <w:r>
          <w:rPr>
            <w:color w:val="0000EE"/>
            <w:u w:val="single"/>
          </w:rPr>
          <w:t>3.19–4.1</w:t>
        </w:r>
      </w:hyperlink>
      <w:r>
        <w:t>).</w:t>
      </w:r>
    </w:p>
    <w:p>
      <w:r/>
      <w:r>
        <w:t>A Perda e o Retorno da Arca (</w:t>
      </w:r>
      <w:hyperlink r:id="rId19089">
        <w:r>
          <w:rPr>
            <w:color w:val="0000EE"/>
            <w:u w:val="single"/>
          </w:rPr>
          <w:t>1Sm 4–6</w:t>
        </w:r>
      </w:hyperlink>
      <w:r>
        <w:t>).</w:t>
      </w:r>
    </w:p>
    <w:p>
      <w:r/>
      <w:r>
        <w:t xml:space="preserve">Em uma batalha com os filisteus, a profecia de </w:t>
      </w:r>
      <w:hyperlink r:id="rId19125">
        <w:r>
          <w:rPr>
            <w:color w:val="0000EE"/>
            <w:u w:val="single"/>
          </w:rPr>
          <w:t>2.27–36</w:t>
        </w:r>
      </w:hyperlink>
      <w:r>
        <w:t xml:space="preserve"> e </w:t>
      </w:r>
      <w:hyperlink r:id="rId19128">
        <w:r>
          <w:rPr>
            <w:color w:val="0000EE"/>
            <w:u w:val="single"/>
          </w:rPr>
          <w:t>3.11–14</w:t>
        </w:r>
      </w:hyperlink>
      <w:r>
        <w:t xml:space="preserve"> foi parcialmente cumprida. Os israelitas foram derrotados, a arca foi tomada, e Hofni e Fineias foram mortos. Ao ouvir o relato dessas calamidades, Eli também morreu (</w:t>
      </w:r>
      <w:hyperlink r:id="rId19130">
        <w:r>
          <w:rPr>
            <w:color w:val="0000EE"/>
            <w:u w:val="single"/>
          </w:rPr>
          <w:t>4.17–18</w:t>
        </w:r>
      </w:hyperlink>
      <w:r>
        <w:t>). Os filisteus colocaram a arca do Senhor no templo de seu deus Dagom em Asdode (</w:t>
      </w:r>
      <w:hyperlink r:id="rId19131">
        <w:r>
          <w:rPr>
            <w:color w:val="0000EE"/>
            <w:u w:val="single"/>
          </w:rPr>
          <w:t>5.1–2</w:t>
        </w:r>
      </w:hyperlink>
      <w:r>
        <w:t>). No entanto, quando o ídolo de Dagom se quebrou em pedaços e caiu diante da arca e uma praga surgiu em Asdode, a arca foi movida para Gate. Quando a praga surgiu em Gate, ela foi movida para Ecrom. Quando a praga irrompeu em Ecrom, os filisteus foram compelidos a devolver a arca a Israel — como um teste, ela foi colocada em um carro puxado por duas vacas leiteiras. Essas vacas, indo contra seus instintos maternais, deixaram seus bezerros presos e se dirigiram para a fronteira israelita e a cidade de Bete-Semes (</w:t>
      </w:r>
      <w:hyperlink r:id="rId19132">
        <w:r>
          <w:rPr>
            <w:color w:val="0000EE"/>
            <w:u w:val="single"/>
          </w:rPr>
          <w:t>6.1–21</w:t>
        </w:r>
      </w:hyperlink>
      <w:r>
        <w:t>). Com isso, o Senhor demonstrou que a vitória sobre os israelitas e a captura da arca não poderiam ser atribuídas ao deus Dagom dos filisteus.</w:t>
      </w:r>
    </w:p>
    <w:p>
      <w:r/>
      <w:r>
        <w:t>A Derrota dos Filisteus (</w:t>
      </w:r>
      <w:hyperlink r:id="rId19095">
        <w:r>
          <w:rPr>
            <w:color w:val="0000EE"/>
            <w:u w:val="single"/>
          </w:rPr>
          <w:t>1Sm 7</w:t>
        </w:r>
      </w:hyperlink>
      <w:r>
        <w:t>).</w:t>
      </w:r>
    </w:p>
    <w:p>
      <w:r/>
      <w:r>
        <w:t xml:space="preserve">Vinte anos se passaram. Samuel garantiu ao povo a libertação da opressão dos filisteus se eles confessassem seu pecado e se afastassem da adoração aos Baalins e Astarotes. Ele convocou uma assembleia nacional em Mispa para renovar a lealdade ao Senhor. Enquanto os israelitas estavam reunidos, os filisteus atacaram e o Senhor deu aos israelitas uma vitória milagrosa, demonstrando assim que a obediência às obrigações da aliança garantiria a segurança nacional (veja </w:t>
      </w:r>
      <w:hyperlink r:id="rId13138">
        <w:r>
          <w:rPr>
            <w:color w:val="0000EE"/>
            <w:u w:val="single"/>
          </w:rPr>
          <w:t>Êx 23.22</w:t>
        </w:r>
      </w:hyperlink>
      <w:r>
        <w:t xml:space="preserve">; </w:t>
      </w:r>
      <w:hyperlink r:id="rId19133">
        <w:r>
          <w:rPr>
            <w:color w:val="0000EE"/>
            <w:u w:val="single"/>
          </w:rPr>
          <w:t>Dt 20.1–4</w:t>
        </w:r>
      </w:hyperlink>
      <w:r>
        <w:t>).</w:t>
      </w:r>
    </w:p>
    <w:p>
      <w:pPr>
        <w:pStyle w:val="Heading4"/>
      </w:pPr>
      <w:r>
        <w:t>Estabelecimento da Realeza em Israel (</w:t>
      </w:r>
      <w:hyperlink r:id="rId19118">
        <w:r>
          <w:rPr>
            <w:color w:val="0000EE"/>
            <w:u w:val="single"/>
          </w:rPr>
          <w:t>1Sm 8–12</w:t>
        </w:r>
      </w:hyperlink>
      <w:r>
        <w:t>)</w:t>
      </w:r>
    </w:p>
    <w:p>
      <w:r/>
      <w:r>
        <w:t>O Povo Pede um Rei (</w:t>
      </w:r>
      <w:hyperlink r:id="rId19096">
        <w:r>
          <w:rPr>
            <w:color w:val="0000EE"/>
            <w:u w:val="single"/>
          </w:rPr>
          <w:t>1Sm 8.1–22</w:t>
        </w:r>
      </w:hyperlink>
      <w:r>
        <w:t>).</w:t>
      </w:r>
    </w:p>
    <w:p>
      <w:r/>
      <w:r>
        <w:t>Quando Samuel já era idoso, os anciãos da nação se aproximaram dele e pediram que ele lhes desse um rei. Samuel imediatamente percebeu que o pedido deles equivalia a uma rejeição do Senhor, que era o seu Rei, pois o povo desejava um rei “como as outras nações” — como um símbolo de unidade nacional e segurança militar. No entanto, o Senhor disse a Samuel para dar ao povo um rei. Ao mesmo tempo, Ele instruiu Samuel a avisar o povo sobre o que significaria ter um rei “como as nações”. O aviso, que descrevia as práticas dos reis Cananeus contemporâneos, caiu em ouvidos surdos; o povo persistiu em seu desejo por um rei.</w:t>
      </w:r>
    </w:p>
    <w:p>
      <w:r/>
      <w:r>
        <w:t>Samuel unge Saul em segredo (</w:t>
      </w:r>
      <w:hyperlink r:id="rId19134">
        <w:r>
          <w:rPr>
            <w:color w:val="0000EE"/>
            <w:u w:val="single"/>
          </w:rPr>
          <w:t>1Sm 9.1–10.16</w:t>
        </w:r>
      </w:hyperlink>
      <w:r>
        <w:t>).</w:t>
      </w:r>
    </w:p>
    <w:p>
      <w:r/>
      <w:r>
        <w:t>A narrativa da busca de Saul pelos jumentos perdidos de seu pai e seu encontro com Samuel durante essa busca é apresentada para explicar como Samuel e Saul se conheceram pela primeira vez, e como o Senhor indicou a Samuel quem era a pessoa que ele deveria ungir como o primeiro rei de Israel (</w:t>
      </w:r>
      <w:hyperlink r:id="rId19135">
        <w:r>
          <w:rPr>
            <w:color w:val="0000EE"/>
            <w:u w:val="single"/>
          </w:rPr>
          <w:t>9.16–17</w:t>
        </w:r>
      </w:hyperlink>
      <w:r>
        <w:t>). Após Samuel ungir Saul em particular (</w:t>
      </w:r>
      <w:hyperlink r:id="rId3319">
        <w:r>
          <w:rPr>
            <w:color w:val="0000EE"/>
            <w:u w:val="single"/>
          </w:rPr>
          <w:t>10.1</w:t>
        </w:r>
      </w:hyperlink>
      <w:r>
        <w:t>), ele recebeu três sinais para confirmar que sua nova vocação vinha do Senhor.</w:t>
      </w:r>
    </w:p>
    <w:p>
      <w:r/>
      <w:r>
        <w:t>Saul publicamente escolhido por sorteio em Mispa (</w:t>
      </w:r>
      <w:hyperlink r:id="rId19136">
        <w:r>
          <w:rPr>
            <w:color w:val="0000EE"/>
            <w:u w:val="single"/>
          </w:rPr>
          <w:t>1Sm 10.17–27</w:t>
        </w:r>
      </w:hyperlink>
      <w:r>
        <w:t>).</w:t>
      </w:r>
    </w:p>
    <w:p>
      <w:r/>
      <w:r>
        <w:t>Após a designação privada e unção de Saul como rei (</w:t>
      </w:r>
      <w:hyperlink r:id="rId19134">
        <w:r>
          <w:rPr>
            <w:color w:val="0000EE"/>
            <w:u w:val="single"/>
          </w:rPr>
          <w:t>9.1–10.16</w:t>
        </w:r>
      </w:hyperlink>
      <w:r>
        <w:t>), Samuel convocou uma assembleia nacional em Mispa para informar ao povo sobre a escolha do Senhor (</w:t>
      </w:r>
      <w:hyperlink r:id="rId19137">
        <w:r>
          <w:rPr>
            <w:color w:val="0000EE"/>
            <w:u w:val="single"/>
          </w:rPr>
          <w:t>10.20–24</w:t>
        </w:r>
      </w:hyperlink>
      <w:r>
        <w:t>) e para definir a tarefa do rei (v.</w:t>
      </w:r>
      <w:hyperlink r:id="rId19104">
        <w:r>
          <w:rPr>
            <w:color w:val="0000EE"/>
            <w:u w:val="single"/>
          </w:rPr>
          <w:t>25</w:t>
        </w:r>
      </w:hyperlink>
      <w:r>
        <w:t xml:space="preserve">). Novamente, nesta assembleia, Samuel enfatizou que o povo havia rejeitado o Senhor ao pedir um rei, pois buscavam um rei pelas razões erradas e não reconheceram a fidelidade passada do Senhor em livrá-los de seus inimigos. Mas ficou claro que o tempo para a realeza em Israel havia chegado e era o desejo do Senhor dar ao povo um rei. A explicação de Samuel sobre os “regulamentos da realeza” foi um passo importante para resolver a tensão existente entre o pecado de Israel ao desejar um rei e a intenção do Senhor de conceder-lhes um. Este documento, que foi preservado no tabernáculo, provavelmente continha uma versão ampliada da “lei do rei” em </w:t>
      </w:r>
      <w:hyperlink r:id="rId11427">
        <w:r>
          <w:rPr>
            <w:color w:val="0000EE"/>
            <w:u w:val="single"/>
          </w:rPr>
          <w:t>Deuteronômio 17.14–20</w:t>
        </w:r>
      </w:hyperlink>
      <w:r>
        <w:t xml:space="preserve"> e detalhava as regulamentações que regiam o papel do rei em Israel para o benefício tanto do rei quanto do povo. Este documento, sem dúvida, distinguia a realeza israelita daquela dos reis das nações circundantes.</w:t>
      </w:r>
    </w:p>
    <w:p>
      <w:r/>
      <w:r>
        <w:t>Saul conduz Israel à vitória sobre os Amonitas (</w:t>
      </w:r>
      <w:hyperlink r:id="rId19138">
        <w:r>
          <w:rPr>
            <w:color w:val="0000EE"/>
            <w:u w:val="single"/>
          </w:rPr>
          <w:t>1Sm 11.1–13</w:t>
        </w:r>
      </w:hyperlink>
      <w:r>
        <w:t>).</w:t>
      </w:r>
    </w:p>
    <w:p>
      <w:r/>
      <w:r>
        <w:t>Quando Naás, rei dos amonitas, atacou Jabes-Gileade, uma cidade a leste do Jordão no território de Manassés, Saul deixou seu trabalho agrícola para liderar um exército voluntário em apoio aos habitantes de Jabes-Gileade. A vitória sobre os amonitas sob a liderança de Saul foi mais uma confirmação divina de sua escolha como rei. Saul atribuiu a vitória ao Senhor, em vez de às suas próprias estratégias militares.</w:t>
      </w:r>
    </w:p>
    <w:p>
      <w:r/>
      <w:r>
        <w:t>Saul é Inaugurado como Rei (</w:t>
      </w:r>
      <w:hyperlink r:id="rId19139">
        <w:r>
          <w:rPr>
            <w:color w:val="0000EE"/>
            <w:u w:val="single"/>
          </w:rPr>
          <w:t>1Sm 11.14–12.25</w:t>
        </w:r>
      </w:hyperlink>
      <w:r>
        <w:t>).</w:t>
      </w:r>
    </w:p>
    <w:p>
      <w:r/>
      <w:r>
        <w:t>A vitória em Jabes-Gileade levou Samuel a convocar uma assembleia nacional em Gilgal para renovar o reino e fazer de Saul rei (</w:t>
      </w:r>
      <w:hyperlink r:id="rId9982">
        <w:r>
          <w:rPr>
            <w:color w:val="0000EE"/>
            <w:u w:val="single"/>
          </w:rPr>
          <w:t>11.14–15</w:t>
        </w:r>
      </w:hyperlink>
      <w:r>
        <w:t>). Na assembleia de Gilgal, Samuel liderou o povo na confissão do pecado de terem pedido inicialmente por um rei e na renovação de sua lealdade ao Senhor. No contexto desta cerimônia de renovação da aliança, Saul foi formalmente inaugurado em seu cargo como rei. Ao inaugurar Saul desta maneira, Samuel efetivamente proporcionou continuidade da aliança na transição do período dos juízes para o da monarquia.</w:t>
      </w:r>
    </w:p>
    <w:p>
      <w:pPr>
        <w:pStyle w:val="Heading4"/>
      </w:pPr>
      <w:r>
        <w:t>Saul rejeitado como rei (</w:t>
      </w:r>
      <w:hyperlink r:id="rId19140">
        <w:r>
          <w:rPr>
            <w:color w:val="0000EE"/>
            <w:u w:val="single"/>
          </w:rPr>
          <w:t>1Sm 13–15</w:t>
        </w:r>
      </w:hyperlink>
      <w:r>
        <w:t>)</w:t>
      </w:r>
    </w:p>
    <w:p>
      <w:r/>
      <w:r>
        <w:t>A desobediência de Saul (</w:t>
      </w:r>
      <w:hyperlink r:id="rId19141">
        <w:r>
          <w:rPr>
            <w:color w:val="0000EE"/>
            <w:u w:val="single"/>
          </w:rPr>
          <w:t>1Sm 13.1–22</w:t>
        </w:r>
      </w:hyperlink>
      <w:r>
        <w:t>).</w:t>
      </w:r>
    </w:p>
    <w:p>
      <w:r/>
      <w:r>
        <w:t>Quando Saul foi ameaçado por um ataque iminente dos filisteus, ele reuniu tropas em Gilgal e aguardou Samuel, conforme havia sido instruído (</w:t>
      </w:r>
      <w:hyperlink r:id="rId9979">
        <w:r>
          <w:rPr>
            <w:color w:val="0000EE"/>
            <w:u w:val="single"/>
          </w:rPr>
          <w:t>10.8</w:t>
        </w:r>
      </w:hyperlink>
      <w:r>
        <w:t xml:space="preserve">; </w:t>
      </w:r>
      <w:hyperlink r:id="rId19142">
        <w:r>
          <w:rPr>
            <w:color w:val="0000EE"/>
            <w:u w:val="single"/>
          </w:rPr>
          <w:t>13.8</w:t>
        </w:r>
      </w:hyperlink>
      <w:r>
        <w:t>). Quando parecia que Samuel não chegaria no tempo pré-estabelecido, Saul ficou impaciente e ofereceu um sacrifício ele mesmo (</w:t>
      </w:r>
      <w:hyperlink r:id="rId19143">
        <w:r>
          <w:rPr>
            <w:color w:val="0000EE"/>
            <w:u w:val="single"/>
          </w:rPr>
          <w:t>13.9</w:t>
        </w:r>
      </w:hyperlink>
      <w:r>
        <w:t>). Assim que o sacrifício foi concluído, Samuel apareceu e repreendeu Saul por não ter obedecido ao mandamento do Senhor. Ao desobedecer às instruções anteriores de Samuel, Saul violou um requisito fundamental de seu cargo. Ele estava seriamente enganado ao pensar que poderia fortalecer a mão de Israel contra os filisteus por meio de um sacrifício ao Senhor quando isso foi feito em violação ao comando específico do Senhor. Samuel disse a Saul que, por causa de sua desobediência, sua dinastia não perduraria (v.</w:t>
      </w:r>
      <w:hyperlink r:id="rId5735">
        <w:r>
          <w:rPr>
            <w:color w:val="0000EE"/>
            <w:u w:val="single"/>
          </w:rPr>
          <w:t>14</w:t>
        </w:r>
      </w:hyperlink>
      <w:r>
        <w:t>).</w:t>
      </w:r>
    </w:p>
    <w:p>
      <w:r/>
      <w:r>
        <w:t>A vitória de Jônatas (</w:t>
      </w:r>
      <w:hyperlink r:id="rId19144">
        <w:r>
          <w:rPr>
            <w:color w:val="0000EE"/>
            <w:u w:val="single"/>
          </w:rPr>
          <w:t>1Sm 13.23–14.52</w:t>
        </w:r>
      </w:hyperlink>
      <w:r>
        <w:t>).</w:t>
      </w:r>
    </w:p>
    <w:p>
      <w:r/>
      <w:r>
        <w:t>O filho de Saul, Jônatas, e o escudeiro de Jônatas atacaram de maneira habilidosa e corajosa um posto avançado dos filisteus, matando cerca de 20 homens (</w:t>
      </w:r>
      <w:hyperlink r:id="rId19145">
        <w:r>
          <w:rPr>
            <w:color w:val="0000EE"/>
            <w:u w:val="single"/>
          </w:rPr>
          <w:t>14.8–14</w:t>
        </w:r>
      </w:hyperlink>
      <w:r>
        <w:t>). O Senhor usou essa derrota, juntamente com um terremoto, para trazer pânico a toda a força filisteia. Enquanto isso, Saul buscou orientação divina sobre se deveria ou não entrar na batalha com suas próprias forças. Quando a resposta do Senhor não veio imediatamente, Saul concluiu que esperar pela palavra do Senhor poderia comprometer sua vantagem militar. Mais uma vez, ele demonstrou que confiava mais em sua própria percepção do que em esperar pelo Senhor. Saul prejudicou ainda mais sua própria posição aos olhos de suas tropas ao pronunciar uma maldição tola sobre qualquer um que comesse antes que a batalha fosse vencida. Isso quase custou a vida de Jônatas; ele foi poupado apenas por causa da intervenção das tropas em sua defesa.</w:t>
      </w:r>
    </w:p>
    <w:p>
      <w:r/>
      <w:r>
        <w:t>Saul rejeitado como rei (</w:t>
      </w:r>
      <w:hyperlink r:id="rId484">
        <w:r>
          <w:rPr>
            <w:color w:val="0000EE"/>
            <w:u w:val="single"/>
          </w:rPr>
          <w:t>1Sm 15.1–35</w:t>
        </w:r>
      </w:hyperlink>
      <w:r>
        <w:t>).</w:t>
      </w:r>
    </w:p>
    <w:p>
      <w:r/>
      <w:r>
        <w:t>Saul foi ordenado pelo Senhor, através de Samuel, a atacar os amalequitas e destruí-los completamente, não poupando vidas humanas nem animais. Os amalequitas haviam anteriormente tentado destruir Israel logo após o êxodo do Egito, enquanto viajavam para o Sinai (</w:t>
      </w:r>
      <w:hyperlink r:id="rId1032">
        <w:r>
          <w:rPr>
            <w:color w:val="0000EE"/>
            <w:u w:val="single"/>
          </w:rPr>
          <w:t>Êx 17.8–16</w:t>
        </w:r>
      </w:hyperlink>
      <w:r>
        <w:t>). Saul desobedeceu ao Senhor ao poupar o melhor dos animais para sacrifício e ao poupar Agague, o rei amalequita. O Senhor enviou Samuel novamente para repreender Saul por sua desobediência. Samuel acusou Saul de rebelião contra o Senhor e disse-lhe que, porque ele havia rejeitado a palavra do Senhor, o Senhor o havia rejeitado como rei.</w:t>
      </w:r>
    </w:p>
    <w:p>
      <w:pPr>
        <w:pStyle w:val="Heading4"/>
      </w:pPr>
      <w:r>
        <w:t>Saul e Davi (</w:t>
      </w:r>
      <w:hyperlink r:id="rId19146">
        <w:r>
          <w:rPr>
            <w:color w:val="0000EE"/>
            <w:u w:val="single"/>
          </w:rPr>
          <w:t>1Sm 16.1—2Sm 1.27</w:t>
        </w:r>
      </w:hyperlink>
      <w:r>
        <w:t>)</w:t>
      </w:r>
    </w:p>
    <w:p>
      <w:r/>
      <w:r>
        <w:t>Samuel unge Davi (</w:t>
      </w:r>
      <w:hyperlink r:id="rId6563">
        <w:r>
          <w:rPr>
            <w:color w:val="0000EE"/>
            <w:u w:val="single"/>
          </w:rPr>
          <w:t>1Sm 16.1–13</w:t>
        </w:r>
      </w:hyperlink>
      <w:r>
        <w:t>).</w:t>
      </w:r>
    </w:p>
    <w:p>
      <w:r/>
      <w:r>
        <w:t>O Senhor instruiu Samuel a ir à casa de Jessé em Belém para ungir um dos seus filhos como rei no lugar de Saul. Por orientação divina, o filho mais novo de Jessé, Davi, foi revelado como aquele que o Senhor havia escolhido. Quando Samuel o ungiu como rei, o Espírito do Senhor veio sobre ele com poder.</w:t>
      </w:r>
    </w:p>
    <w:p>
      <w:r/>
      <w:r>
        <w:t>Davi a serviço de Saul (</w:t>
      </w:r>
      <w:hyperlink r:id="rId19147">
        <w:r>
          <w:rPr>
            <w:color w:val="0000EE"/>
            <w:u w:val="single"/>
          </w:rPr>
          <w:t>1Sm 16.14–17.58</w:t>
        </w:r>
      </w:hyperlink>
      <w:r>
        <w:t>).</w:t>
      </w:r>
    </w:p>
    <w:p>
      <w:r/>
      <w:r>
        <w:t>Quando Saul foi atormentado por um espírito maligno, seus assistentes procuraram um harpista cuja música o acalmasse. Davi foi o escolhido para esse propósito. A posição na corte, no entanto, não era permanente, e Davi dividia seu tempo entre a corte e suas obrigações em casa. Com o tempo, os filisteus, liderados pelo gigante Golias, acamparam contra os israelitas. Golias desafiou qualquer israelita que ousasse enfrentá-lo em combate individual. Nenhum israelita se aventurou a aceitar seu desafio até que Davi, que estava visitando o acampamento das forças israelitas para levar comida a seus irmãos, ouviu o desafio e respondeu na força e poder do Senhor. O Senhor deu a Davi uma grande vitória porque ele reconheceu que “do Senhor é a guerra” (</w:t>
      </w:r>
      <w:hyperlink r:id="rId10255">
        <w:r>
          <w:rPr>
            <w:color w:val="0000EE"/>
            <w:u w:val="single"/>
          </w:rPr>
          <w:t>17.47</w:t>
        </w:r>
      </w:hyperlink>
      <w:r>
        <w:t>, ARC).</w:t>
      </w:r>
    </w:p>
    <w:p>
      <w:r/>
      <w:r>
        <w:t>O Ódio de Saul por Davi (</w:t>
      </w:r>
      <w:hyperlink r:id="rId19148">
        <w:r>
          <w:rPr>
            <w:color w:val="0000EE"/>
            <w:u w:val="single"/>
          </w:rPr>
          <w:t>1Sm 18.1–19.24</w:t>
        </w:r>
      </w:hyperlink>
      <w:r>
        <w:t>).</w:t>
      </w:r>
    </w:p>
    <w:p>
      <w:r/>
      <w:r>
        <w:t>Após a vitória de Davi sobre Golias, o filho de Saul, Jônatas, prometeu lealdade a Davi em uma aliança de amizade. À medida que Davi alcançava mais sucessos liderando os exércitos de Israel e sua aclamação pública crescia, Saul começou a temer que Davi fosse uma ameaça ao seu trono (</w:t>
      </w:r>
      <w:hyperlink r:id="rId19149">
        <w:r>
          <w:rPr>
            <w:color w:val="0000EE"/>
            <w:u w:val="single"/>
          </w:rPr>
          <w:t>18.14–16,28–30</w:t>
        </w:r>
      </w:hyperlink>
      <w:r>
        <w:t>). Saul, odiando Davi, teve várias tentativas de matá-lo (</w:t>
      </w:r>
      <w:hyperlink r:id="rId19150">
        <w:r>
          <w:rPr>
            <w:color w:val="0000EE"/>
            <w:u w:val="single"/>
          </w:rPr>
          <w:t>18.17,25</w:t>
        </w:r>
      </w:hyperlink>
      <w:r>
        <w:t xml:space="preserve">; </w:t>
      </w:r>
      <w:hyperlink r:id="rId19151">
        <w:r>
          <w:rPr>
            <w:color w:val="0000EE"/>
            <w:u w:val="single"/>
          </w:rPr>
          <w:t>19.1,10</w:t>
        </w:r>
      </w:hyperlink>
      <w:r>
        <w:t>). Davi foi finalmente forçado a fugir e buscou refúgio com Samuel em Ramá. Quando Saul e três de seus mensageiros foram a Ramá para prender Davi, eles foram tão dominados pelo Espírito de Deus que foram incapazes de cumprir sua missão.</w:t>
      </w:r>
    </w:p>
    <w:p>
      <w:r/>
      <w:r>
        <w:t>Davi e Jônatas (</w:t>
      </w:r>
      <w:hyperlink r:id="rId6567">
        <w:r>
          <w:rPr>
            <w:color w:val="0000EE"/>
            <w:u w:val="single"/>
          </w:rPr>
          <w:t>1Sm 20.1–42</w:t>
        </w:r>
      </w:hyperlink>
      <w:r>
        <w:t>).</w:t>
      </w:r>
    </w:p>
    <w:p>
      <w:r/>
      <w:r>
        <w:t>A ausência de Davi na mesa real durante o festival da lua nova levou Saul a ameaçar novamente a vida de Davi. Jônatas encontrou-se com Davi em um local previamente combinado para informá-lo do perigo e se despedir. Jônatas e Davi renovaram seu compromisso de lealdade e bondade mútuas. No encontro, ficou claro que ambos sabiam que Davi, e não Jônatas, seria o sucessor de Saul no trono de Israel.</w:t>
      </w:r>
    </w:p>
    <w:p>
      <w:r/>
      <w:r>
        <w:t>Davi em Nobe (</w:t>
      </w:r>
      <w:hyperlink r:id="rId648">
        <w:r>
          <w:rPr>
            <w:color w:val="0000EE"/>
            <w:u w:val="single"/>
          </w:rPr>
          <w:t>1Sm 21.1–9</w:t>
        </w:r>
      </w:hyperlink>
      <w:r>
        <w:t>).</w:t>
      </w:r>
    </w:p>
    <w:p>
      <w:r/>
      <w:r>
        <w:t>Davi foi até o sacerdote Aimeleque em Nobe e, afirmando que estava em uma missão secreta para Saul, pediu pão e a espada de Golias, ambos foram entregues a ele. Um dos servos de Saul, Doegue, o edomita, que estava em Nobe, observou a transação.</w:t>
      </w:r>
    </w:p>
    <w:p>
      <w:r/>
      <w:r>
        <w:t>Davi em Gate (</w:t>
      </w:r>
      <w:hyperlink r:id="rId101">
        <w:r>
          <w:rPr>
            <w:color w:val="0000EE"/>
            <w:u w:val="single"/>
          </w:rPr>
          <w:t>1Sm 21.10–15</w:t>
        </w:r>
      </w:hyperlink>
      <w:r>
        <w:t>).</w:t>
      </w:r>
    </w:p>
    <w:p>
      <w:r/>
      <w:r>
        <w:t>Então, Davi entrou no território dos filisteus, indo até o rei Aquis em Gate. Quando sua identidade foi descoberta, ele fingiu estar louco para escapar.</w:t>
      </w:r>
    </w:p>
    <w:p>
      <w:r/>
      <w:r>
        <w:t>Davi em Adulão (</w:t>
      </w:r>
      <w:hyperlink r:id="rId6569">
        <w:r>
          <w:rPr>
            <w:color w:val="0000EE"/>
            <w:u w:val="single"/>
          </w:rPr>
          <w:t>1Sm 22.1–5</w:t>
        </w:r>
      </w:hyperlink>
      <w:r>
        <w:t>).</w:t>
      </w:r>
    </w:p>
    <w:p>
      <w:r/>
      <w:r>
        <w:t>De Gate, Davi foi para a caverna de Adulão, onde se juntaram a ele cerca de 400 apoiadores. Ele levou seus pais para Moabe para protegê-los e depois voltou para a Floresta de Herete em Judá.</w:t>
      </w:r>
    </w:p>
    <w:p>
      <w:r/>
      <w:r>
        <w:t>Saul mata os sacerdotes em Nobe (</w:t>
      </w:r>
      <w:hyperlink r:id="rId6570">
        <w:r>
          <w:rPr>
            <w:color w:val="0000EE"/>
            <w:u w:val="single"/>
          </w:rPr>
          <w:t>1Sm 22.6–23</w:t>
        </w:r>
      </w:hyperlink>
      <w:r>
        <w:t>).</w:t>
      </w:r>
    </w:p>
    <w:p>
      <w:r/>
      <w:r>
        <w:t>Doegue, o edomita, informou a Saul que Aimeleque, o sacerdote, havia ajudado Davi. Sob o comando de Saul, Doegue massacrou todos os sacerdotes em Nobe, exceto Abiatar, que escapou com o Éfode e se juntou a Davi.</w:t>
      </w:r>
    </w:p>
    <w:p>
      <w:r/>
      <w:r>
        <w:t>Davi em Queila (</w:t>
      </w:r>
      <w:hyperlink r:id="rId19152">
        <w:r>
          <w:rPr>
            <w:color w:val="0000EE"/>
            <w:u w:val="single"/>
          </w:rPr>
          <w:t>1Sm 23.1–13</w:t>
        </w:r>
      </w:hyperlink>
      <w:r>
        <w:t>).</w:t>
      </w:r>
    </w:p>
    <w:p>
      <w:r/>
      <w:r>
        <w:t>Davi e seus homens libertaram os cidadãos de Queila dos invasores filisteus, mas foram forçados a deixar a cidade quando ficou evidente que seus ingratos habitantes estavam prontos para entregar Davi a Saul.</w:t>
      </w:r>
    </w:p>
    <w:p>
      <w:r/>
      <w:r>
        <w:t>Davi no deserto de Zife (</w:t>
      </w:r>
      <w:hyperlink r:id="rId19153">
        <w:r>
          <w:rPr>
            <w:color w:val="0000EE"/>
            <w:u w:val="single"/>
          </w:rPr>
          <w:t>1Sm 23.14–29</w:t>
        </w:r>
      </w:hyperlink>
      <w:r>
        <w:t>).</w:t>
      </w:r>
    </w:p>
    <w:p>
      <w:r/>
      <w:r>
        <w:t>Enquanto Davi estava no deserto de Zife, ele foi encorajado por uma visita de Jônatas, que novamente prometeu sua lealdade a ele. Embora os zifeus tenham prometido ajudar Saul a capturar Davi, um ataque dos filisteus forçou Saul a abandonar sua tentativa de capturá-lo.</w:t>
      </w:r>
    </w:p>
    <w:p>
      <w:r/>
      <w:r>
        <w:t>Davi poupa a vida de Saul (</w:t>
      </w:r>
      <w:hyperlink r:id="rId6572">
        <w:r>
          <w:rPr>
            <w:color w:val="0000EE"/>
            <w:u w:val="single"/>
          </w:rPr>
          <w:t>1Sm 24.1–22</w:t>
        </w:r>
      </w:hyperlink>
      <w:r>
        <w:t>).</w:t>
      </w:r>
    </w:p>
    <w:p>
      <w:r/>
      <w:r>
        <w:t>Enquanto se escondia em uma caverna em En-Gedi, Davi teve inesperadamente a oportunidade de tirar a vida de Saul quando Saul se aliviou na entrada da caverna. No entanto, porque Saul era "o ungido do Senhor", Davi poupou sua vida e o levou a confessar sua própria maldade. Davi fez isso mostrando a Saul um pedaço de sua túnica que ele havia cortado enquanto Saul estava na entrada da caverna.</w:t>
      </w:r>
    </w:p>
    <w:p>
      <w:r/>
      <w:r>
        <w:t>Davi, Nabal e Abigail (</w:t>
      </w:r>
      <w:hyperlink r:id="rId6573">
        <w:r>
          <w:rPr>
            <w:color w:val="0000EE"/>
            <w:u w:val="single"/>
          </w:rPr>
          <w:t>1Sm 25.1–44</w:t>
        </w:r>
      </w:hyperlink>
      <w:r>
        <w:t>).</w:t>
      </w:r>
    </w:p>
    <w:p>
      <w:r/>
      <w:r>
        <w:t>Davi foi maltratado por um pastor de ovelhas chamado Nabal. No entanto, Davi foi impedido de tirar a vida do homem de forma imprudente pelas palavras perspicazes da esposa de Nabal, Abigail. Pouco depois desse incidente, Nabal morreu, e Davi tomou Abigail como sua esposa.</w:t>
      </w:r>
    </w:p>
    <w:p>
      <w:r/>
      <w:r>
        <w:t>Davi poupa a vida de Saul pela segunda vez (</w:t>
      </w:r>
      <w:hyperlink r:id="rId6574">
        <w:r>
          <w:rPr>
            <w:color w:val="0000EE"/>
            <w:u w:val="single"/>
          </w:rPr>
          <w:t>1Sm 26.1–25</w:t>
        </w:r>
      </w:hyperlink>
      <w:r>
        <w:t>).</w:t>
      </w:r>
    </w:p>
    <w:p>
      <w:r/>
      <w:r>
        <w:t>Pela segunda vez, os zifeus se uniram a Saul na tentativa de capturar Davi. Enquanto Saul e seus homens dormiam, Davi e Abisai se esgueiraram para dentro do acampamento e pegaram a lança e o jarro de água de Saul. No dia seguinte, Davi conseguiu mais uma vez demonstrar a Saul que não desejava tomar o reinado de suas mãos.</w:t>
      </w:r>
    </w:p>
    <w:p>
      <w:r/>
      <w:r>
        <w:t>Davi entre os filisteus (</w:t>
      </w:r>
      <w:hyperlink r:id="rId6575">
        <w:r>
          <w:rPr>
            <w:color w:val="0000EE"/>
            <w:u w:val="single"/>
          </w:rPr>
          <w:t>1Sm 27.1–12</w:t>
        </w:r>
      </w:hyperlink>
      <w:r>
        <w:t>).</w:t>
      </w:r>
    </w:p>
    <w:p>
      <w:r/>
      <w:r>
        <w:t>Davi eventualmente se cansou de se esconder de Saul em território israelita. Em um momento de desânimo, ele foi novamente para a Filisteia para buscar refúgio além do alcance de Saul. Conquistando a simpatia de Aquis, um governante filisteu, ele recebeu a cidade de Ziclague como um lugar para ele e seus homens residirem. De Ziclague, Davi atacou várias tribos que habitavam a área ao sul da Filisteia, mas enganou Aquis, fazendo-o pensar que estava atacando o território de Judá.</w:t>
      </w:r>
    </w:p>
    <w:p>
      <w:r/>
      <w:r>
        <w:t>Saul e a Médium de En-Dor (</w:t>
      </w:r>
      <w:hyperlink r:id="rId19100">
        <w:r>
          <w:rPr>
            <w:color w:val="0000EE"/>
            <w:u w:val="single"/>
          </w:rPr>
          <w:t>1Sm 28.1–25</w:t>
        </w:r>
      </w:hyperlink>
      <w:r>
        <w:t>).</w:t>
      </w:r>
    </w:p>
    <w:p>
      <w:r/>
      <w:r>
        <w:t>Os filisteus novamente reuniram um exército para lutar contra Israel, e Saul, apavorado e aparentemente antecipando uma derrota iminente, procurou em vão alguma palavra do Senhor sobre o resultado da batalha. Quando isso lhe foi negado, ele foi disfarçado a uma médium em En-Dor e pediu a ela que trouxesse para ele o espírito de Samuel. Saul foi informado por esse espírito que Israel seria derrotado e que ele e seus filhos morreriam na batalha que se aproximava.</w:t>
      </w:r>
    </w:p>
    <w:p>
      <w:r/>
      <w:r>
        <w:t>Os filisteus desconfiam de Davi (</w:t>
      </w:r>
      <w:hyperlink r:id="rId9538">
        <w:r>
          <w:rPr>
            <w:color w:val="0000EE"/>
            <w:u w:val="single"/>
          </w:rPr>
          <w:t>1Sm 29.1–11</w:t>
        </w:r>
      </w:hyperlink>
      <w:r>
        <w:t>).</w:t>
      </w:r>
    </w:p>
    <w:p>
      <w:r/>
      <w:r>
        <w:t>Embora Aquis desejasse que Davi se juntasse ao exército filisteu em sua batalha contra Israel, os outros comandantes filisteus desconfiaram dele e forçaram Aquis a enviar Davi e seus homens de volta a Ziclague. Essa reviravolta salvou Davi de um sério dilema criado por sua aparente amizade com Aquis.</w:t>
      </w:r>
    </w:p>
    <w:p>
      <w:r/>
      <w:r>
        <w:t>Davi derrota os Amalequitas (</w:t>
      </w:r>
      <w:hyperlink r:id="rId10748">
        <w:r>
          <w:rPr>
            <w:color w:val="0000EE"/>
            <w:u w:val="single"/>
          </w:rPr>
          <w:t>1Sm 30.1–31</w:t>
        </w:r>
      </w:hyperlink>
      <w:r>
        <w:t>).</w:t>
      </w:r>
    </w:p>
    <w:p>
      <w:r/>
      <w:r>
        <w:t>Ao retornar a Ziclague, Davi descobriu que, em sua ausência, a cidade havia sido saqueada e incendiada pelos amalequitas, e que suas esposas, filhos e gado haviam sido levados cativos. Após consultar o Senhor através de Abiatar, o sacerdote, Davi e seus homens perseguiram os amalequitas e recuperaram tudo o que eles haviam tomado e mais. Ele dividiu o saque entre suas tropas e enviou presentes para várias cidades em Judá.</w:t>
      </w:r>
    </w:p>
    <w:p>
      <w:r/>
      <w:r>
        <w:t>A morte de Saul e seus filhos (</w:t>
      </w:r>
      <w:hyperlink r:id="rId19154">
        <w:r>
          <w:rPr>
            <w:color w:val="0000EE"/>
            <w:u w:val="single"/>
          </w:rPr>
          <w:t>1Sm 31.1—2Sm 1.27</w:t>
        </w:r>
      </w:hyperlink>
      <w:r>
        <w:t>).</w:t>
      </w:r>
    </w:p>
    <w:p>
      <w:r/>
      <w:r>
        <w:t xml:space="preserve">Como havia sido previsto, a batalha com os filisteus terminou em uma derrota desastrosa para Israel, na qual Saul tirou a própria vida após ser gravemente ferido. Jônatas e outros dois filhos de Saul foram mortos. Davi lamentou por Saul e Jônatas e exaltou a memória deles em sua homenagem registrada em </w:t>
      </w:r>
      <w:hyperlink r:id="rId17322">
        <w:r>
          <w:rPr>
            <w:color w:val="0000EE"/>
            <w:u w:val="single"/>
          </w:rPr>
          <w:t>2 Samuel 1.19–27</w:t>
        </w:r>
      </w:hyperlink>
      <w:r>
        <w:t>.</w:t>
      </w:r>
    </w:p>
    <w:p>
      <w:pPr>
        <w:pStyle w:val="Heading4"/>
      </w:pPr>
      <w:r>
        <w:t>Davi (</w:t>
      </w:r>
      <w:hyperlink r:id="rId19155">
        <w:r>
          <w:rPr>
            <w:color w:val="0000EE"/>
            <w:u w:val="single"/>
          </w:rPr>
          <w:t>2Sm 2–24</w:t>
        </w:r>
      </w:hyperlink>
      <w:r>
        <w:t>)</w:t>
      </w:r>
    </w:p>
    <w:p>
      <w:r/>
      <w:r>
        <w:t>Davi ungido rei sobre Judá (</w:t>
      </w:r>
      <w:hyperlink r:id="rId9956">
        <w:r>
          <w:rPr>
            <w:color w:val="0000EE"/>
            <w:u w:val="single"/>
          </w:rPr>
          <w:t>2Sm 2.1–7</w:t>
        </w:r>
      </w:hyperlink>
      <w:r>
        <w:t>).</w:t>
      </w:r>
    </w:p>
    <w:p>
      <w:r/>
      <w:r>
        <w:t>Após a morte de Saul, o Senhor instruiu Davi a ir para Hebrom, onde a tribo de Judá o ungiu como rei.</w:t>
      </w:r>
    </w:p>
    <w:p>
      <w:r/>
      <w:r>
        <w:t>Davi, Isbosete e Abner (</w:t>
      </w:r>
      <w:hyperlink r:id="rId19156">
        <w:r>
          <w:rPr>
            <w:color w:val="0000EE"/>
            <w:u w:val="single"/>
          </w:rPr>
          <w:t>2Sm 2.8–4.12</w:t>
        </w:r>
      </w:hyperlink>
      <w:r>
        <w:t>).</w:t>
      </w:r>
    </w:p>
    <w:p>
      <w:r/>
      <w:r>
        <w:t>Embora Davi tenha se tornado rei sobre Judá, as tribos restantes — sob a influência de Abner, comandante do exército de Saul — reconheceram Isbosete como sucessor de Saul (</w:t>
      </w:r>
      <w:hyperlink r:id="rId19157">
        <w:r>
          <w:rPr>
            <w:color w:val="0000EE"/>
            <w:u w:val="single"/>
          </w:rPr>
          <w:t>2.8–10</w:t>
        </w:r>
      </w:hyperlink>
      <w:r>
        <w:t>). Isbosete era um filho de Saul que havia sobrevivido à batalha com os filisteus. O conflito rapidamente eclodiu entre os homens de Davi, liderados por Joabe, e os homens de Isbosete, liderados por Abner. Nesse conflito, Asael, irmão de Joabe, foi morto por Abner. À medida que Davi se fortalecia e Isbosete enfraquecia, Abner mudou sua lealdade de Isbosete para Davi (</w:t>
      </w:r>
      <w:hyperlink r:id="rId19158">
        <w:r>
          <w:rPr>
            <w:color w:val="0000EE"/>
            <w:u w:val="single"/>
          </w:rPr>
          <w:t>3.1–21</w:t>
        </w:r>
      </w:hyperlink>
      <w:r>
        <w:t xml:space="preserve">). Joabe, no entanto, vingou o sangue de seu irmão Asael assassinando Abner sob o pretexto de negociar com ele. Embora Davi detestasse esse ato, lamentasse por Abner e amaldiçoasse Joabe, o crime não foi punido até o início do reinado de Salomão (veja </w:t>
      </w:r>
      <w:hyperlink r:id="rId19159">
        <w:r>
          <w:rPr>
            <w:color w:val="0000EE"/>
            <w:u w:val="single"/>
          </w:rPr>
          <w:t>1Rs 2.5–6,29–34</w:t>
        </w:r>
      </w:hyperlink>
      <w:r>
        <w:t>). Pouco depois, Isbosete foi morto por dois soldados, que trouxeram sua cabeça a Davi em Hebrom, esperando ser recompensados (</w:t>
      </w:r>
      <w:hyperlink r:id="rId19160">
        <w:r>
          <w:rPr>
            <w:color w:val="0000EE"/>
            <w:u w:val="single"/>
          </w:rPr>
          <w:t>2Sm 4.1–8</w:t>
        </w:r>
      </w:hyperlink>
      <w:r>
        <w:t>). Davi, no entanto, mandou executá-los. O único sobrevivente masculino da linhagem de Saul era o filho aleijado de Jônatas chamado Mefibosete.</w:t>
      </w:r>
    </w:p>
    <w:p>
      <w:r/>
      <w:r>
        <w:t>Davi é rei sobre todo o Israel (</w:t>
      </w:r>
      <w:hyperlink r:id="rId6581">
        <w:r>
          <w:rPr>
            <w:color w:val="0000EE"/>
            <w:u w:val="single"/>
          </w:rPr>
          <w:t>2Sm 5</w:t>
        </w:r>
      </w:hyperlink>
      <w:r>
        <w:t>).</w:t>
      </w:r>
    </w:p>
    <w:p>
      <w:r/>
      <w:r>
        <w:t>Após a morte de Isbosete, Davi foi proclamado rei sobre todas as tribos em Hebrom. Um dos primeiros atos de Davi como rei foi capturar a fortaleza de Sião dos jebuseus. Davi estabeleceu Sião como sua capital e construiu um palácio lá para sua residência.</w:t>
      </w:r>
    </w:p>
    <w:p>
      <w:r/>
      <w:r>
        <w:t>A arca é levada para Jerusalém (</w:t>
      </w:r>
      <w:hyperlink r:id="rId6587">
        <w:r>
          <w:rPr>
            <w:color w:val="0000EE"/>
            <w:u w:val="single"/>
          </w:rPr>
          <w:t>2Sm 6</w:t>
        </w:r>
      </w:hyperlink>
      <w:r>
        <w:t>).</w:t>
      </w:r>
    </w:p>
    <w:p>
      <w:r/>
      <w:r>
        <w:t>Reconhecendo a importância da arca como um símbolo da presença de Deus com seu povo, Davi decidiu que ela deveria ser trazida para Jerusalém, saindo da obscuridade da casa de Abinadabe em Quiriate-Jearim, onde permaneceu durante todo o reinado de Saul. A violação das prescrições para manusear a arca resultou na morte de Uzá, um dos filhos de Abinadabe, e atrasou o transporte da arca para Jerusalém por três meses. Em uma segunda tentativa, Davi liderou uma alegre procissão até a cidade de Jerusalém, onde a arca foi colocada em uma tenda que havia sido preparada para ela.</w:t>
      </w:r>
    </w:p>
    <w:p>
      <w:r/>
      <w:r>
        <w:t>Davi, Natã e o Templo (</w:t>
      </w:r>
      <w:hyperlink r:id="rId6589">
        <w:r>
          <w:rPr>
            <w:color w:val="0000EE"/>
            <w:u w:val="single"/>
          </w:rPr>
          <w:t>2Sm 7</w:t>
        </w:r>
      </w:hyperlink>
      <w:r>
        <w:t>).</w:t>
      </w:r>
    </w:p>
    <w:p>
      <w:r/>
      <w:r>
        <w:t xml:space="preserve">Logo, Davi desejou construir um templo para abrigar a arca e fornecer um centro para a adoração de Israel ao Senhor. O Senhor disse a Davi, através de Natã, o profeta, que ele não deveria construir uma casa (templo) para o Senhor, mas que o Senhor construiria para ele uma casa (uma dinastia) que duraria para sempre. Aqui, a linha da semente prometida é estreitada para a casa de Davi dentro da tribo de Judá. Esta promessa encontra seu cumprimento no nascimento de Jesus, que foi o “filho de Davi, filho de Abraão” (veja </w:t>
      </w:r>
      <w:hyperlink r:id="rId817">
        <w:r>
          <w:rPr>
            <w:color w:val="0000EE"/>
            <w:u w:val="single"/>
          </w:rPr>
          <w:t>Mt 1.1</w:t>
        </w:r>
      </w:hyperlink>
      <w:r>
        <w:t>). Seria a tarefa de Salomão, filho de Davi, construir o templo (</w:t>
      </w:r>
      <w:hyperlink r:id="rId12322">
        <w:r>
          <w:rPr>
            <w:color w:val="0000EE"/>
            <w:u w:val="single"/>
          </w:rPr>
          <w:t>2Sm 7.13</w:t>
        </w:r>
      </w:hyperlink>
      <w:r>
        <w:t>).</w:t>
      </w:r>
    </w:p>
    <w:p>
      <w:r/>
      <w:r>
        <w:t>Vitórias de Davi (</w:t>
      </w:r>
      <w:hyperlink r:id="rId19161">
        <w:r>
          <w:rPr>
            <w:color w:val="0000EE"/>
            <w:u w:val="single"/>
          </w:rPr>
          <w:t>2Sm 8</w:t>
        </w:r>
      </w:hyperlink>
      <w:r>
        <w:t>).</w:t>
      </w:r>
    </w:p>
    <w:p>
      <w:r/>
      <w:r>
        <w:t>Davi conseguiu derrotar muitos povos ao redor, expandir as fronteiras de Israel e estabelecer um período de prosperidade e descanso para a nação.</w:t>
      </w:r>
    </w:p>
    <w:p>
      <w:r/>
      <w:r>
        <w:t>Davi e Mefibosete (</w:t>
      </w:r>
      <w:hyperlink r:id="rId19162">
        <w:r>
          <w:rPr>
            <w:color w:val="0000EE"/>
            <w:u w:val="single"/>
          </w:rPr>
          <w:t>2Sm 9</w:t>
        </w:r>
      </w:hyperlink>
      <w:r>
        <w:t>).</w:t>
      </w:r>
    </w:p>
    <w:p>
      <w:r/>
      <w:r>
        <w:t xml:space="preserve">Lembrando de sua aliança com Jônatas (veja </w:t>
      </w:r>
      <w:hyperlink r:id="rId19163">
        <w:r>
          <w:rPr>
            <w:color w:val="0000EE"/>
            <w:u w:val="single"/>
          </w:rPr>
          <w:t>1Sm 18.1–3</w:t>
        </w:r>
      </w:hyperlink>
      <w:r>
        <w:t xml:space="preserve">; </w:t>
      </w:r>
      <w:hyperlink r:id="rId19164">
        <w:r>
          <w:rPr>
            <w:color w:val="0000EE"/>
            <w:u w:val="single"/>
          </w:rPr>
          <w:t>20.13–16,42</w:t>
        </w:r>
      </w:hyperlink>
      <w:r>
        <w:t>), Davi perguntou sobre sobreviventes da casa de Saul a quem ele pudesse mostrar bondade. Quando Mefibosete foi encontrado, Davi o trouxe para a corte para desfrutar da honra de comer à mesa do rei.</w:t>
      </w:r>
    </w:p>
    <w:p>
      <w:r/>
      <w:r>
        <w:t>Davi e Bate-Seba (</w:t>
      </w:r>
      <w:hyperlink r:id="rId19165">
        <w:r>
          <w:rPr>
            <w:color w:val="0000EE"/>
            <w:u w:val="single"/>
          </w:rPr>
          <w:t>2Sm 10–12</w:t>
        </w:r>
      </w:hyperlink>
      <w:r>
        <w:t>).</w:t>
      </w:r>
    </w:p>
    <w:p>
      <w:r/>
      <w:r>
        <w:t>Durante uma guerra com os amonitas, Davi cometeu adultério com a esposa de um de seus soldados, Urias, o hitita. Quando Bate-Seba ficou grávida, Davi tentou fazer com que Urias dormisse com ela. Quando isso falhou, Davi planejou a morte certa de Urias na batalha. Esses atos pecaminosos provocaram a ira de Deus (</w:t>
      </w:r>
      <w:hyperlink r:id="rId19166">
        <w:r>
          <w:rPr>
            <w:color w:val="0000EE"/>
            <w:u w:val="single"/>
          </w:rPr>
          <w:t>2Sm 12.10–12</w:t>
        </w:r>
      </w:hyperlink>
      <w:r>
        <w:t>) e Davi experimentou os frutos amargos de sua má conduta durante o restante de sua vida.</w:t>
      </w:r>
    </w:p>
    <w:p>
      <w:r/>
      <w:r>
        <w:t>Amnom, Absalão e Tamar (</w:t>
      </w:r>
      <w:hyperlink r:id="rId19167">
        <w:r>
          <w:rPr>
            <w:color w:val="0000EE"/>
            <w:u w:val="single"/>
          </w:rPr>
          <w:t>2Sm 13</w:t>
        </w:r>
      </w:hyperlink>
      <w:r>
        <w:t>).</w:t>
      </w:r>
    </w:p>
    <w:p>
      <w:r/>
      <w:r>
        <w:t>O filho mais velho de Davi, Amnom, fingiu estar doente para que sua meia-irmã, Tamar, cuidasse dele. Quando Tamar recusou as investidas sexuais de Amnom, ele a estuprou. Este incidente enfureceu o irmão de sangue de Tamar, Absalão, que decidiu vingar sua irmã matando Amnom. Absalão esperou dois anos e então planejou o assassinato de Amnom durante as festividades da época de tosquia de ovelhas. Ele então fugiu para Gesur, uma pequena cidade-estado na Síria, onde seu avô materno era rei.</w:t>
      </w:r>
    </w:p>
    <w:p>
      <w:r/>
      <w:r>
        <w:t>Davi e Absalão (</w:t>
      </w:r>
      <w:hyperlink r:id="rId19168">
        <w:r>
          <w:rPr>
            <w:color w:val="0000EE"/>
            <w:u w:val="single"/>
          </w:rPr>
          <w:t>2Sm 14–19</w:t>
        </w:r>
      </w:hyperlink>
      <w:r>
        <w:t>).</w:t>
      </w:r>
    </w:p>
    <w:p>
      <w:r/>
      <w:r>
        <w:t>Absalão permaneceu no exílio por três anos até que Joabe arranjou seu retorno, garantindo uma renúncia à vingança de sangue de Davi (</w:t>
      </w:r>
      <w:hyperlink r:id="rId19169">
        <w:r>
          <w:rPr>
            <w:color w:val="0000EE"/>
            <w:u w:val="single"/>
          </w:rPr>
          <w:t>14.1–27</w:t>
        </w:r>
      </w:hyperlink>
      <w:r>
        <w:t xml:space="preserve">). No entanto, após o retorno de Absalão, Davi se recusou a vê-lo por dois anos, até que finalmente se reconciliaram. Durante todo esse episódio, Davi evitou as questões de arrependimento e justiça e não tomou nenhuma ação disciplinar efetiva. Enquanto isso, Absalão conspirou para tomar o trono de Davi, seu pai, tentando desacreditar sua administração da justiça e buscando ganhar o favor do povo e dos membros da corte de Davi. Após quatro anos, Absalão se proclamou rei em Hebrom e reuniu força militar suficiente para forçar seu pai a fugir de Jerusalém (cap. </w:t>
      </w:r>
      <w:hyperlink r:id="rId197">
        <w:r>
          <w:rPr>
            <w:color w:val="0000EE"/>
            <w:u w:val="single"/>
          </w:rPr>
          <w:t>15</w:t>
        </w:r>
      </w:hyperlink>
      <w:r>
        <w:t>). A falha em perseguir Davi imediatamente levou à derrota das forças de Absalão e à própria morte de Absalão pelas mãos de Joabe, o comandante de Davi. Davi lamentou por seu filho Absalão (</w:t>
      </w:r>
      <w:hyperlink r:id="rId202">
        <w:r>
          <w:rPr>
            <w:color w:val="0000EE"/>
            <w:u w:val="single"/>
          </w:rPr>
          <w:t>19.1–8</w:t>
        </w:r>
      </w:hyperlink>
      <w:r>
        <w:t>), mas conseguiu retornar a Jerusalém e restabelecer seu governo. Davi disciplinou Joabe por matar Absalão, substituindo-o como comandante de suas tropas por Amasa.</w:t>
      </w:r>
    </w:p>
    <w:p>
      <w:r/>
      <w:r>
        <w:t>Rebelião de Seba (</w:t>
      </w:r>
      <w:hyperlink r:id="rId19170">
        <w:r>
          <w:rPr>
            <w:color w:val="0000EE"/>
            <w:u w:val="single"/>
          </w:rPr>
          <w:t>2Sm 20</w:t>
        </w:r>
      </w:hyperlink>
      <w:r>
        <w:t>).</w:t>
      </w:r>
    </w:p>
    <w:p>
      <w:r/>
      <w:r>
        <w:t>Nas condições instáveis imediatamente após o retorno de Davi a Jerusalém, outra revolta sem êxito foi tentada por Seba da tribo de Benjamim. Joabe, desafiando a ação disciplinar de Davi, matou Amasa, perseguiu Seba e acabou com a revolta.</w:t>
      </w:r>
    </w:p>
    <w:p>
      <w:r/>
      <w:r>
        <w:t>Davi e os gibeonitas (</w:t>
      </w:r>
      <w:hyperlink r:id="rId19171">
        <w:r>
          <w:rPr>
            <w:color w:val="0000EE"/>
            <w:u w:val="single"/>
          </w:rPr>
          <w:t>2Sm 21.1–14</w:t>
        </w:r>
      </w:hyperlink>
      <w:r>
        <w:t>).</w:t>
      </w:r>
    </w:p>
    <w:p>
      <w:r/>
      <w:r>
        <w:t xml:space="preserve">Em algum momento não especificado durante o reinado de Davi, a terra sofreu uma fome de três anos. Foi revelado a Davi pelo Senhor que a fome era devido à violação por Saul de um tratado israelita com os gibeonitas (veja </w:t>
      </w:r>
      <w:hyperlink r:id="rId19172">
        <w:r>
          <w:rPr>
            <w:color w:val="0000EE"/>
            <w:u w:val="single"/>
          </w:rPr>
          <w:t>Js 9.15,18–27</w:t>
        </w:r>
      </w:hyperlink>
      <w:r>
        <w:t>). Esta ofensa foi expiada entregando sete descendentes de Saul aos gibeonitas para execução.</w:t>
      </w:r>
    </w:p>
    <w:p>
      <w:r/>
      <w:r>
        <w:t>Davi e os filisteus (</w:t>
      </w:r>
      <w:hyperlink r:id="rId19173">
        <w:r>
          <w:rPr>
            <w:color w:val="0000EE"/>
            <w:u w:val="single"/>
          </w:rPr>
          <w:t>2Sm 21.15–22</w:t>
        </w:r>
      </w:hyperlink>
      <w:r>
        <w:t>).</w:t>
      </w:r>
    </w:p>
    <w:p>
      <w:r/>
      <w:r>
        <w:t>Nesta passagem, são narrados quatro episódios de feitos heroicos dos valentes de Davi contra os filisteus.</w:t>
      </w:r>
    </w:p>
    <w:p>
      <w:r/>
      <w:r>
        <w:t>Cântico de louvor de Davi (</w:t>
      </w:r>
      <w:hyperlink r:id="rId6594">
        <w:r>
          <w:rPr>
            <w:color w:val="0000EE"/>
            <w:u w:val="single"/>
          </w:rPr>
          <w:t>2Sm 22</w:t>
        </w:r>
      </w:hyperlink>
      <w:r>
        <w:t>).</w:t>
      </w:r>
    </w:p>
    <w:p>
      <w:r/>
      <w:r>
        <w:t xml:space="preserve">Em uma bela canção de louvor, Davi descreveu sua libertação de seus inimigos e a ajuda com a qual o Senhor o sustentou. A mesma canção aparece com pequenas variações no </w:t>
      </w:r>
      <w:hyperlink r:id="rId6595">
        <w:r>
          <w:rPr>
            <w:color w:val="0000EE"/>
            <w:u w:val="single"/>
          </w:rPr>
          <w:t>Salmo 18</w:t>
        </w:r>
      </w:hyperlink>
      <w:r>
        <w:t>.</w:t>
      </w:r>
    </w:p>
    <w:p>
      <w:r/>
      <w:r>
        <w:t>As últimas palavras de Davi (</w:t>
      </w:r>
      <w:hyperlink r:id="rId18871">
        <w:r>
          <w:rPr>
            <w:color w:val="0000EE"/>
            <w:u w:val="single"/>
          </w:rPr>
          <w:t>2Sm 23.1–7</w:t>
        </w:r>
      </w:hyperlink>
      <w:r>
        <w:t>).</w:t>
      </w:r>
    </w:p>
    <w:p>
      <w:r/>
      <w:r>
        <w:t>Em uma breve declaração, Davi reconhece o trabalho do Espírito de Deus ao capacitá-lo a falar a palavra de Deus e proclama sua confiança no cumprimento da promessa do Senhor para ele e sua dinastia.</w:t>
      </w:r>
    </w:p>
    <w:p>
      <w:r/>
      <w:r>
        <w:t>Os valentes de Davi (</w:t>
      </w:r>
      <w:hyperlink r:id="rId9853">
        <w:r>
          <w:rPr>
            <w:color w:val="0000EE"/>
            <w:u w:val="single"/>
          </w:rPr>
          <w:t>2Sm 23.8–39</w:t>
        </w:r>
      </w:hyperlink>
      <w:r>
        <w:t>).</w:t>
      </w:r>
    </w:p>
    <w:p>
      <w:r/>
      <w:r>
        <w:t>Esta perícope contém uma lista de 37 guerreiros de Davi e uma descrição de algumas de suas conquistas.</w:t>
      </w:r>
    </w:p>
    <w:p>
      <w:r/>
      <w:r>
        <w:t>O censo e o castigo de Davi (</w:t>
      </w:r>
      <w:hyperlink r:id="rId6599">
        <w:r>
          <w:rPr>
            <w:color w:val="0000EE"/>
            <w:u w:val="single"/>
          </w:rPr>
          <w:t>2Sm 24.1–25</w:t>
        </w:r>
      </w:hyperlink>
      <w:r>
        <w:t>).</w:t>
      </w:r>
    </w:p>
    <w:p>
      <w:r/>
      <w:r>
        <w:t xml:space="preserve">A decisão de Davi de realizar um censo de seus homens de combate refletiu uma confiança inadequada na organização e no poder militar-político. O Senhor o julgou enviando uma praga sobre a terra que matou muitas pessoas. Pela palavra do Senhor através de Gade, o profeta, Davi construiu um altar na eira de Araúna, que mais tarde se tornaria o local do templo (veja </w:t>
      </w:r>
      <w:hyperlink r:id="rId2418">
        <w:r>
          <w:rPr>
            <w:color w:val="0000EE"/>
            <w:u w:val="single"/>
          </w:rPr>
          <w:t>2Cr 3.1</w:t>
        </w:r>
      </w:hyperlink>
      <w:r>
        <w:t>). O Senhor respondeu aos sacrifícios e orações de Davi em favor do povo; a praga foi interrompida.</w:t>
      </w:r>
    </w:p>
    <w:p>
      <w:r/>
      <w:r>
        <w:rPr>
          <w:i/>
        </w:rPr>
        <w:t>Veja também</w:t>
      </w:r>
      <w:r>
        <w:t xml:space="preserve"> </w:t>
      </w:r>
      <w:r>
        <w:t>Davi</w:t>
      </w:r>
      <w:r>
        <w:t xml:space="preserve">; </w:t>
      </w:r>
      <w:r>
        <w:t>Samuel (Pessoa)</w:t>
      </w:r>
      <w:r>
        <w:t xml:space="preserve">; </w:t>
      </w:r>
      <w:r>
        <w:t>Saul #2</w:t>
      </w:r>
      <w:r>
        <w:t>.</w:t>
      </w:r>
      <w:r/>
      <w:r/>
    </w:p>
    <w:p>
      <w:r/>
    </w:p>
    <w:p>
      <w:pPr>
        <w:pStyle w:val="Heading2"/>
      </w:pPr>
      <w:r>
        <w:t>Sândalo</w:t>
      </w:r>
      <w:r/>
    </w:p>
    <w:p>
      <w:r/>
      <w:r>
        <w:t xml:space="preserve">A tradução de algumas Bíblias em português para "aloés" em </w:t>
      </w:r>
      <w:hyperlink r:id="rId19174">
        <w:r>
          <w:rPr>
            <w:color w:val="0000EE"/>
            <w:u w:val="single"/>
          </w:rPr>
          <w:t>Números 24.6</w:t>
        </w:r>
      </w:hyperlink>
      <w:r>
        <w:t>.</w:t>
      </w:r>
    </w:p>
    <w:p>
      <w:r/>
      <w:r>
        <w:rPr>
          <w:i/>
        </w:rPr>
        <w:t xml:space="preserve">Veja </w:t>
      </w:r>
      <w:r>
        <w:t>Plantas (aloés)</w:t>
      </w:r>
      <w:r>
        <w:t>.</w:t>
      </w:r>
      <w:r/>
      <w:r/>
    </w:p>
    <w:p>
      <w:r/>
    </w:p>
    <w:p>
      <w:pPr>
        <w:pStyle w:val="Heading2"/>
      </w:pPr>
      <w:r>
        <w:t>Sangue</w:t>
      </w:r>
      <w:r/>
    </w:p>
    <w:p>
      <w:r/>
      <w:r>
        <w:t>O sangue é o fluido vermelho que circula nos corpos de pessoas e animais.</w:t>
      </w:r>
    </w:p>
    <w:p>
      <w:r/>
      <w:r>
        <w:t>Na Bíblia, a palavra "sangue" possui vários significados além de sua definição física. Às vezes, descreve a cor vermelha: “O sol se converterá em trevas, e a lua em sangue” (</w:t>
      </w:r>
      <w:hyperlink r:id="rId19175">
        <w:r>
          <w:rPr>
            <w:color w:val="0000EE"/>
            <w:u w:val="single"/>
          </w:rPr>
          <w:t>At 2.20</w:t>
        </w:r>
      </w:hyperlink>
      <w:r>
        <w:t xml:space="preserve">). Também pode significar vinho, como em </w:t>
      </w:r>
      <w:hyperlink r:id="rId3160">
        <w:r>
          <w:rPr>
            <w:color w:val="0000EE"/>
            <w:u w:val="single"/>
          </w:rPr>
          <w:t>Deuteronômio 32.14</w:t>
        </w:r>
      </w:hyperlink>
      <w:r>
        <w:t xml:space="preserve"> ("vinho" aqui é literalmente "o sangue das uvas" no hebraico original).</w:t>
      </w:r>
    </w:p>
    <w:p>
      <w:r/>
      <w:r>
        <w:t>Quando a Bíblia usa a frase "carne e sangue", ela se refere a seres humanos comuns. Por exemplo, quando Jesus disse a Pedro que "isso não foi revelado a você por carne e sangue, mas por Meu Pai no céu", ele quis dizer que nenhuma pessoa comum contou a Pedro (</w:t>
      </w:r>
      <w:hyperlink r:id="rId1435">
        <w:r>
          <w:rPr>
            <w:color w:val="0000EE"/>
            <w:u w:val="single"/>
          </w:rPr>
          <w:t>Mt 16.17</w:t>
        </w:r>
      </w:hyperlink>
      <w:r>
        <w:t xml:space="preserve">; veja também </w:t>
      </w:r>
      <w:hyperlink r:id="rId4279">
        <w:r>
          <w:rPr>
            <w:color w:val="0000EE"/>
            <w:u w:val="single"/>
          </w:rPr>
          <w:t>1Co 15.50</w:t>
        </w:r>
      </w:hyperlink>
      <w:r>
        <w:t xml:space="preserve">; </w:t>
      </w:r>
      <w:hyperlink r:id="rId8734">
        <w:r>
          <w:rPr>
            <w:color w:val="0000EE"/>
            <w:u w:val="single"/>
          </w:rPr>
          <w:t>Gl 1.16</w:t>
        </w:r>
      </w:hyperlink>
      <w:r>
        <w:t xml:space="preserve">; </w:t>
      </w:r>
      <w:hyperlink r:id="rId4786">
        <w:r>
          <w:rPr>
            <w:color w:val="0000EE"/>
            <w:u w:val="single"/>
          </w:rPr>
          <w:t>Ef 6.12</w:t>
        </w:r>
      </w:hyperlink>
      <w:r>
        <w:t>). Isso veio de Deus. Após trair Jesus, Judas reconheceu que havia "pecado ao trair sangue inocente" (</w:t>
      </w:r>
      <w:hyperlink r:id="rId10912">
        <w:r>
          <w:rPr>
            <w:color w:val="0000EE"/>
            <w:u w:val="single"/>
          </w:rPr>
          <w:t>Mt 27.4</w:t>
        </w:r>
      </w:hyperlink>
      <w:r>
        <w:t>). Nessas passagens, "sangue" significa uma vida natural em vez de uma vida espiritual ou divina.</w:t>
      </w:r>
    </w:p>
    <w:p>
      <w:pPr>
        <w:pStyle w:val="Heading3"/>
      </w:pPr>
      <w:r>
        <w:t>A Conexão entre sangue e vida</w:t>
      </w:r>
    </w:p>
    <w:p>
      <w:r/>
      <w:r>
        <w:t xml:space="preserve">“Sangue” também é usado no sentido de derramamento de sangue, como em assassinato. </w:t>
      </w:r>
      <w:hyperlink r:id="rId19176">
        <w:r>
          <w:rPr>
            <w:color w:val="0000EE"/>
            <w:u w:val="single"/>
          </w:rPr>
          <w:t>Salmo 9.12</w:t>
        </w:r>
      </w:hyperlink>
      <w:r>
        <w:t xml:space="preserve"> fala de um “Vingador do derramamento de sangue”. </w:t>
      </w:r>
      <w:hyperlink r:id="rId19177">
        <w:r>
          <w:rPr>
            <w:color w:val="0000EE"/>
            <w:u w:val="single"/>
          </w:rPr>
          <w:t>Gênesis 37.26</w:t>
        </w:r>
      </w:hyperlink>
      <w:r>
        <w:t xml:space="preserve"> refere-se aos irmãos que encobrem o sangue de José, querendo dizer assassiná-lo. Estar “sobrecarregado pela culpa de sangue” significa ser culpado de assassinato (</w:t>
      </w:r>
      <w:hyperlink r:id="rId19178">
        <w:r>
          <w:rPr>
            <w:color w:val="0000EE"/>
            <w:u w:val="single"/>
          </w:rPr>
          <w:t>Pv 28.17</w:t>
        </w:r>
      </w:hyperlink>
      <w:r>
        <w:t>). Antes de Jesus ser crucificado, Pilatos disse: “Estou inocente do sangue deste homem" (</w:t>
      </w:r>
      <w:hyperlink r:id="rId17071">
        <w:r>
          <w:rPr>
            <w:color w:val="0000EE"/>
            <w:u w:val="single"/>
          </w:rPr>
          <w:t>Mt 27.24–25</w:t>
        </w:r>
      </w:hyperlink>
      <w:r>
        <w:t>). Assim, a ideia de morte violenta está regularmente conectada com sangue.</w:t>
      </w:r>
    </w:p>
    <w:p>
      <w:r/>
      <w:r>
        <w:t>Essa lógica faz sentido porque sangue e vida estão conectados. Três passagens no Antigo Testamento mostram uma conexão entre sangue e vida:</w:t>
      </w:r>
    </w:p>
    <w:p>
      <w:pPr>
        <w:pStyle w:val="ListBullet"/>
        <w:spacing w:line="240" w:lineRule="auto"/>
        <w:ind w:left="720"/>
      </w:pPr>
      <w:r/>
      <w:r>
        <w:t>“Mas você não deve comer carne com seu sangue vital ainda nela” (</w:t>
      </w:r>
      <w:hyperlink r:id="rId12861">
        <w:r>
          <w:rPr>
            <w:color w:val="0000EE"/>
            <w:u w:val="single"/>
          </w:rPr>
          <w:t>Gn 9.4</w:t>
        </w:r>
      </w:hyperlink>
      <w:r>
        <w:t>)</w:t>
      </w:r>
    </w:p>
    <w:p>
      <w:pPr>
        <w:pStyle w:val="ListBullet"/>
        <w:spacing w:line="240" w:lineRule="auto"/>
        <w:ind w:left="720"/>
      </w:pPr>
      <w:r/>
      <w:r>
        <w:t>“Pois a vida da carne está no sangue" (</w:t>
      </w:r>
      <w:hyperlink r:id="rId5222">
        <w:r>
          <w:rPr>
            <w:color w:val="0000EE"/>
            <w:u w:val="single"/>
          </w:rPr>
          <w:t>Lv 17.11</w:t>
        </w:r>
      </w:hyperlink>
      <w:r>
        <w:t>)</w:t>
      </w:r>
    </w:p>
    <w:p>
      <w:pPr>
        <w:pStyle w:val="ListBullet"/>
        <w:spacing w:line="240" w:lineRule="auto"/>
        <w:ind w:left="720"/>
      </w:pPr>
      <w:r/>
      <w:r>
        <w:t>“Apenas certifique-se de não comer o sangue, porque o sangue é a vida” (</w:t>
      </w:r>
      <w:hyperlink r:id="rId12890">
        <w:r>
          <w:rPr>
            <w:color w:val="0000EE"/>
            <w:u w:val="single"/>
          </w:rPr>
          <w:t>Dt 12.23</w:t>
        </w:r>
      </w:hyperlink>
      <w:r>
        <w:t>).</w:t>
      </w:r>
    </w:p>
    <w:p>
      <w:r/>
      <w:r>
        <w:t xml:space="preserve">Deus cria toda a vida, então derramar sangue é algo sério. O sangue é sagrado, por isso é proibido comer (veja </w:t>
      </w:r>
      <w:hyperlink r:id="rId4351">
        <w:r>
          <w:rPr>
            <w:color w:val="0000EE"/>
            <w:u w:val="single"/>
          </w:rPr>
          <w:t>At 15.20</w:t>
        </w:r>
      </w:hyperlink>
      <w:r>
        <w:t>). O sangue simboliza a vida que Deus nos dá.</w:t>
      </w:r>
    </w:p>
    <w:p>
      <w:pPr>
        <w:pStyle w:val="Heading3"/>
      </w:pPr>
      <w:r>
        <w:t>Sangue nos sacrifícios</w:t>
      </w:r>
    </w:p>
    <w:p>
      <w:r/>
      <w:r>
        <w:t>O sangue era muito importante nos sacrifícios religiosos porque representava a vida. No Dia da Expiação, os sacerdotes aspergiam sangue de touro e cabra no altar (</w:t>
      </w:r>
      <w:hyperlink r:id="rId403">
        <w:r>
          <w:rPr>
            <w:color w:val="0000EE"/>
            <w:u w:val="single"/>
          </w:rPr>
          <w:t>Lv 16</w:t>
        </w:r>
      </w:hyperlink>
      <w:r>
        <w:t>). O sangue (vida) era derramado na morte. A vida do animal era entregue pela vida do povo. O pecado do povo era transferido para o animal através do sacrifício, permitindo que o julgamento completo e as reparações fossem feitas. Essa ideia de transferência também é mostrada pelo bode expiatório na mesma cerimônia (</w:t>
      </w:r>
      <w:hyperlink r:id="rId19179">
        <w:r>
          <w:rPr>
            <w:color w:val="0000EE"/>
            <w:u w:val="single"/>
          </w:rPr>
          <w:t>Lv 16.20–22</w:t>
        </w:r>
      </w:hyperlink>
      <w:r>
        <w:t>). Na primeira Páscoa, o sangue tinha o mesmo significado (</w:t>
      </w:r>
      <w:hyperlink r:id="rId19180">
        <w:r>
          <w:rPr>
            <w:color w:val="0000EE"/>
            <w:u w:val="single"/>
          </w:rPr>
          <w:t>Êx 12.1–13</w:t>
        </w:r>
      </w:hyperlink>
      <w:r>
        <w:t>). O sangue do animal na porta significava que uma morte já havia ocorrido, permitindo que o anjo da morte passasse por cima.</w:t>
      </w:r>
    </w:p>
    <w:p>
      <w:r/>
      <w:r>
        <w:t xml:space="preserve">O sangue também se torna a melhor oferta para Deus. Em </w:t>
      </w:r>
      <w:hyperlink r:id="rId5289">
        <w:r>
          <w:rPr>
            <w:color w:val="0000EE"/>
            <w:u w:val="single"/>
          </w:rPr>
          <w:t>Êxodo 24</w:t>
        </w:r>
      </w:hyperlink>
      <w:r>
        <w:t>, depois que o povo concordou com a aliança (ou acordo), Moisés derramou metade do sangue sacrificial no altar e o restante sobre eles. Ele fez isso enquanto dizia: “Este é o sangue da aliança que o Senhor fez com vocês de acordo com todas estas palavras” (</w:t>
      </w:r>
      <w:hyperlink r:id="rId19181">
        <w:r>
          <w:rPr>
            <w:color w:val="0000EE"/>
            <w:u w:val="single"/>
          </w:rPr>
          <w:t>Êx 24.8</w:t>
        </w:r>
      </w:hyperlink>
      <w:r>
        <w:t>). Quando o sangue foi aspergido tanto no altar quanto no povo, mostrou que Deus e os israelitas fizeram um acordo juntos (isso é chamado de "relação de aliança").</w:t>
      </w:r>
    </w:p>
    <w:p>
      <w:r/>
      <w:r>
        <w:t>Nas cerimônias religiosas de Israel, o sangue tinha vários significados. Ele poderia representar:</w:t>
      </w:r>
    </w:p>
    <w:p>
      <w:pPr>
        <w:pStyle w:val="ListBullet"/>
        <w:spacing w:line="240" w:lineRule="auto"/>
        <w:ind w:left="720"/>
      </w:pPr>
      <w:r/>
      <w:r>
        <w:t>Morte (o término da vida natural)</w:t>
      </w:r>
    </w:p>
    <w:p>
      <w:pPr>
        <w:pStyle w:val="ListBullet"/>
        <w:spacing w:line="240" w:lineRule="auto"/>
        <w:ind w:left="720"/>
      </w:pPr>
      <w:r/>
      <w:r>
        <w:t>Julgamento (quando Deus decide se alguém agiu corretamente ou incorretamente)</w:t>
      </w:r>
    </w:p>
    <w:p>
      <w:pPr>
        <w:pStyle w:val="ListBullet"/>
        <w:spacing w:line="240" w:lineRule="auto"/>
        <w:ind w:left="720"/>
      </w:pPr>
      <w:r/>
      <w:r>
        <w:t>Sacrifício (oferecendo um presente a Deus)</w:t>
      </w:r>
    </w:p>
    <w:p>
      <w:pPr>
        <w:pStyle w:val="ListBullet"/>
        <w:spacing w:line="240" w:lineRule="auto"/>
        <w:ind w:left="720"/>
      </w:pPr>
      <w:r/>
      <w:r>
        <w:t>Substituição (uma vida entregue para salvar outra)</w:t>
      </w:r>
    </w:p>
    <w:p>
      <w:pPr>
        <w:pStyle w:val="ListBullet"/>
        <w:spacing w:line="240" w:lineRule="auto"/>
        <w:ind w:left="720"/>
      </w:pPr>
      <w:r/>
      <w:r>
        <w:t>Redenção (ser liberto do pecado)</w:t>
      </w:r>
    </w:p>
    <w:p>
      <w:r/>
      <w:r>
        <w:t>A vida com Deus foi possibilitada pelo sangue de Cristo.</w:t>
      </w:r>
    </w:p>
    <w:p>
      <w:pPr>
        <w:pStyle w:val="Heading3"/>
      </w:pPr>
      <w:r>
        <w:t>O sangue de Cristo</w:t>
      </w:r>
    </w:p>
    <w:p>
      <w:r/>
      <w:r>
        <w:t xml:space="preserve">No Novo Testamento, além das referências a questões médicas (por exemplo, </w:t>
      </w:r>
      <w:hyperlink r:id="rId7998">
        <w:r>
          <w:rPr>
            <w:color w:val="0000EE"/>
            <w:u w:val="single"/>
          </w:rPr>
          <w:t>Mt 9.20</w:t>
        </w:r>
      </w:hyperlink>
      <w:r>
        <w:t xml:space="preserve">) e assassinato (por exemplo, </w:t>
      </w:r>
      <w:hyperlink r:id="rId19182">
        <w:r>
          <w:rPr>
            <w:color w:val="0000EE"/>
            <w:u w:val="single"/>
          </w:rPr>
          <w:t>At 22.20</w:t>
        </w:r>
      </w:hyperlink>
      <w:r>
        <w:t>), o foco está no sangue de Cristo. Esta é uma referência às ideias do Antigo Testamento. Os Evangelhos sinóticos (Mateus, Marcos e Lucas) dizem que na Santa Ceia, Jesus falou sobre seu sangue como uma nova aliança (</w:t>
      </w:r>
      <w:hyperlink r:id="rId856">
        <w:r>
          <w:rPr>
            <w:color w:val="0000EE"/>
            <w:u w:val="single"/>
          </w:rPr>
          <w:t>Mt 26.28</w:t>
        </w:r>
      </w:hyperlink>
      <w:r>
        <w:t xml:space="preserve">; </w:t>
      </w:r>
      <w:hyperlink r:id="rId857">
        <w:r>
          <w:rPr>
            <w:color w:val="0000EE"/>
            <w:u w:val="single"/>
          </w:rPr>
          <w:t>Mc 14.24</w:t>
        </w:r>
      </w:hyperlink>
      <w:r>
        <w:t xml:space="preserve">; </w:t>
      </w:r>
      <w:hyperlink r:id="rId824">
        <w:r>
          <w:rPr>
            <w:color w:val="0000EE"/>
            <w:u w:val="single"/>
          </w:rPr>
          <w:t>Lc 22.20</w:t>
        </w:r>
      </w:hyperlink>
      <w:r>
        <w:t>). Isso mostra que sua morte foi um sacrifício. Jesus demonstra que sua morte teve um significado redentor. O Evangelho de João compartilha essa ideia, mas a descreve em termos diferentes: “Se não comerdes a carne e não beberdes o sangue do Filho do Homem, não tendes vida em vós” (</w:t>
      </w:r>
      <w:hyperlink r:id="rId19183">
        <w:r>
          <w:rPr>
            <w:color w:val="0000EE"/>
            <w:u w:val="single"/>
          </w:rPr>
          <w:t>Jo 6.53</w:t>
        </w:r>
      </w:hyperlink>
      <w:r>
        <w:t xml:space="preserve">). Os crentes participam da morte e ressurreição de Jesus através da fé (veja também </w:t>
      </w:r>
      <w:hyperlink r:id="rId4102">
        <w:r>
          <w:rPr>
            <w:color w:val="0000EE"/>
            <w:u w:val="single"/>
          </w:rPr>
          <w:t>1Co 10.16</w:t>
        </w:r>
      </w:hyperlink>
      <w:r>
        <w:t>).</w:t>
      </w:r>
    </w:p>
    <w:p>
      <w:r/>
      <w:r>
        <w:t>As cartas de Paulo também conectam o sangue com a morte de Cristo. Quando ele usava as palavras "sangue" ou "cruz", ele estava se referindo à morte de Jesus e como ela salva as pessoas. Por exemplo, ele escreveu que o "sangue na cruz" de Jesus trouxe paz (</w:t>
      </w:r>
      <w:hyperlink r:id="rId5154">
        <w:r>
          <w:rPr>
            <w:color w:val="0000EE"/>
            <w:u w:val="single"/>
          </w:rPr>
          <w:t>Cl 1.20</w:t>
        </w:r>
      </w:hyperlink>
      <w:r>
        <w:t>). Ele também escreveu que as pessoas que antes estavam longe de Deus "foram aproximadas pelo sangue de Jesus Cristo" (</w:t>
      </w:r>
      <w:hyperlink r:id="rId6341">
        <w:r>
          <w:rPr>
            <w:color w:val="0000EE"/>
            <w:u w:val="single"/>
          </w:rPr>
          <w:t>Ef 2.13</w:t>
        </w:r>
      </w:hyperlink>
      <w:r>
        <w:t>). Isso significava que tanto judeus quanto não judeus agora poderiam ter um relacionamento com Deus através da morte de Jesus.</w:t>
      </w:r>
    </w:p>
    <w:p>
      <w:r/>
      <w:r>
        <w:t>Paulo estava refletindo sobre o sacrifício do Dia da Expiação quando afirmou que Deus fez de Cristo um sacrifício expiatório (reconciliando as pessoas com Deus) por meio de seu sangue (</w:t>
      </w:r>
      <w:hyperlink r:id="rId2767">
        <w:r>
          <w:rPr>
            <w:color w:val="0000EE"/>
            <w:u w:val="single"/>
          </w:rPr>
          <w:t>Rm 3.25</w:t>
        </w:r>
      </w:hyperlink>
      <w:r>
        <w:t xml:space="preserve">). Ele utiliza a linguagem de </w:t>
      </w:r>
      <w:hyperlink r:id="rId403">
        <w:r>
          <w:rPr>
            <w:color w:val="0000EE"/>
            <w:u w:val="single"/>
          </w:rPr>
          <w:t>Levítico 16</w:t>
        </w:r>
      </w:hyperlink>
      <w:r>
        <w:t>, que descreve o sacrifício judaico mais importante.</w:t>
      </w:r>
    </w:p>
    <w:p>
      <w:r/>
      <w:r>
        <w:t xml:space="preserve">Pedro também menciona o "sangue da aliança" (uma referência a </w:t>
      </w:r>
      <w:hyperlink r:id="rId5289">
        <w:r>
          <w:rPr>
            <w:color w:val="0000EE"/>
            <w:u w:val="single"/>
          </w:rPr>
          <w:t>Êx 24</w:t>
        </w:r>
      </w:hyperlink>
      <w:r>
        <w:t>) ao escrever sobre os cristãos sendo aspergidos com o sangue de Cristo (</w:t>
      </w:r>
      <w:hyperlink r:id="rId16584">
        <w:r>
          <w:rPr>
            <w:color w:val="0000EE"/>
            <w:u w:val="single"/>
          </w:rPr>
          <w:t>1Pe 1.2</w:t>
        </w:r>
      </w:hyperlink>
      <w:r>
        <w:t>). Ele afirma que os cristãos são redimidos pelo sangue de Jesus (</w:t>
      </w:r>
      <w:hyperlink r:id="rId19184">
        <w:r>
          <w:rPr>
            <w:color w:val="0000EE"/>
            <w:u w:val="single"/>
          </w:rPr>
          <w:t>1Pe 1.9</w:t>
        </w:r>
      </w:hyperlink>
      <w:r>
        <w:t xml:space="preserve">). Ele descreve Cristo como "um cordeiro sem defeito ou mancha", provavelmente referindo-se ao servo em </w:t>
      </w:r>
      <w:hyperlink r:id="rId3618">
        <w:r>
          <w:rPr>
            <w:color w:val="0000EE"/>
            <w:u w:val="single"/>
          </w:rPr>
          <w:t>Isaías 53</w:t>
        </w:r>
      </w:hyperlink>
      <w:r>
        <w:t xml:space="preserve"> ou ao cordeiro da Páscoa. Ambos esses textos têm significado redentor. O autor de Hebreus afirma que Cristo cumpriu o sistema de sacrifícios do Antigo Testamento, pois sua morte foi o maior sacrifício (</w:t>
      </w:r>
      <w:hyperlink r:id="rId19185">
        <w:r>
          <w:rPr>
            <w:color w:val="0000EE"/>
            <w:u w:val="single"/>
          </w:rPr>
          <w:t>Hb 9.7–28</w:t>
        </w:r>
      </w:hyperlink>
      <w:r>
        <w:t xml:space="preserve">; </w:t>
      </w:r>
      <w:hyperlink r:id="rId19186">
        <w:r>
          <w:rPr>
            <w:color w:val="0000EE"/>
            <w:u w:val="single"/>
          </w:rPr>
          <w:t>13.11–12</w:t>
        </w:r>
      </w:hyperlink>
      <w:r>
        <w:t>).</w:t>
      </w:r>
    </w:p>
    <w:p>
      <w:r/>
      <w:r>
        <w:t>As referências do Novo Testamento ao sangue de Cristo mostram a redenção completa que Deus alcançou na morte de seu Filho (</w:t>
      </w:r>
      <w:hyperlink r:id="rId19187">
        <w:r>
          <w:rPr>
            <w:color w:val="0000EE"/>
            <w:u w:val="single"/>
          </w:rPr>
          <w:t>Hb 10.20</w:t>
        </w:r>
      </w:hyperlink>
      <w:r>
        <w:t>). Justiça e justificação (ser feito justo com Deus) foram ambas realizadas (</w:t>
      </w:r>
      <w:hyperlink r:id="rId8770">
        <w:r>
          <w:rPr>
            <w:color w:val="0000EE"/>
            <w:u w:val="single"/>
          </w:rPr>
          <w:t>Rm 3.26</w:t>
        </w:r>
      </w:hyperlink>
      <w:r>
        <w:t>). O sangue de Cristo é o meio de redenção “uma vez por todas” (</w:t>
      </w:r>
      <w:hyperlink r:id="rId8056">
        <w:r>
          <w:rPr>
            <w:color w:val="0000EE"/>
            <w:u w:val="single"/>
          </w:rPr>
          <w:t>Hb 9.26</w:t>
        </w:r>
      </w:hyperlink>
      <w:r>
        <w:t>).</w:t>
      </w:r>
    </w:p>
    <w:p>
      <w:r/>
      <w:r>
        <w:rPr>
          <w:i/>
        </w:rPr>
        <w:t>Veja</w:t>
      </w:r>
      <w:r>
        <w:t xml:space="preserve"> </w:t>
      </w:r>
      <w:r>
        <w:t>Expiação</w:t>
      </w:r>
      <w:r>
        <w:t xml:space="preserve">; </w:t>
      </w:r>
      <w:r>
        <w:t>Ofertas e sacrifícios</w:t>
      </w:r>
      <w:r>
        <w:t>.</w:t>
      </w:r>
      <w:r/>
      <w:r/>
    </w:p>
    <w:p>
      <w:r/>
    </w:p>
    <w:p>
      <w:pPr>
        <w:pStyle w:val="Heading2"/>
      </w:pPr>
      <w:r>
        <w:t>Sangue, Campo de</w:t>
      </w:r>
      <w:r/>
    </w:p>
    <w:p>
      <w:r/>
      <w:r>
        <w:t>O nome dado ao campo que foi comprado com o “dinheiro de sangue” que Judas aceitou para trair Jesus (</w:t>
      </w:r>
      <w:hyperlink r:id="rId19188">
        <w:r>
          <w:rPr>
            <w:color w:val="0000EE"/>
            <w:u w:val="single"/>
          </w:rPr>
          <w:t>Mt 27.8</w:t>
        </w:r>
      </w:hyperlink>
      <w:r>
        <w:t xml:space="preserve">; </w:t>
      </w:r>
      <w:hyperlink r:id="rId257">
        <w:r>
          <w:rPr>
            <w:color w:val="0000EE"/>
            <w:u w:val="single"/>
          </w:rPr>
          <w:t>At 1.19</w:t>
        </w:r>
      </w:hyperlink>
      <w:r>
        <w:t xml:space="preserve">). Os principais sacerdotes compraram o campo como um cemitério para estrangeiros (anteriormente, era chamado de campo do oleiro). Judas se enforcou, e seus intestinos se espalharam ali. Este relato usa a expressão aramaica </w:t>
      </w:r>
      <w:r>
        <w:rPr>
          <w:i/>
        </w:rPr>
        <w:t>Akeldama</w:t>
      </w:r>
      <w:r>
        <w:t xml:space="preserve"> (“Aceldama” na NTLH), traduzida como “campo de sangue”. O Akeldama está na encosta sul do vale de Hinom, perto do Vale do Cedrom.</w:t>
      </w:r>
      <w:r/>
      <w:r/>
    </w:p>
    <w:p>
      <w:r/>
    </w:p>
    <w:p>
      <w:pPr>
        <w:pStyle w:val="Heading2"/>
      </w:pPr>
      <w:r>
        <w:t>Sanguessuga</w:t>
      </w:r>
      <w:r/>
    </w:p>
    <w:p>
      <w:r/>
      <w:r>
        <w:t xml:space="preserve">Verme segmentado e sugador de sangue, mencionado apenas em </w:t>
      </w:r>
      <w:hyperlink r:id="rId1745">
        <w:r>
          <w:rPr>
            <w:color w:val="0000EE"/>
            <w:u w:val="single"/>
          </w:rPr>
          <w:t>Provérbios 30.15</w:t>
        </w:r>
      </w:hyperlink>
      <w:r>
        <w:t xml:space="preserve">. </w:t>
      </w:r>
      <w:r>
        <w:rPr>
          <w:i/>
        </w:rPr>
        <w:t>Veja</w:t>
      </w:r>
      <w:r>
        <w:t xml:space="preserve"> </w:t>
      </w:r>
      <w:r>
        <w:t>Animais</w:t>
      </w:r>
      <w:r>
        <w:t>.</w:t>
      </w:r>
      <w:r/>
      <w:r/>
    </w:p>
    <w:p>
      <w:r/>
    </w:p>
    <w:p>
      <w:pPr>
        <w:pStyle w:val="Heading2"/>
      </w:pPr>
      <w:r>
        <w:t>Sansão</w:t>
      </w:r>
      <w:r/>
    </w:p>
    <w:p>
      <w:r/>
      <w:r>
        <w:t>O filho de Manoá, da tribo de Dã. O nome da mãe de Sansão não é mencionado na Bíblia. Ela não podia ter filhos, mas o anjo do Senhor anunciou a ela que teria um filho. Ele deveria ser dedicado como um nazireu por toda a sua vida. Isso significava que ele não deveria beber vinho ou bebida forte, não deveria comer nada cerimonialmente impuro e não deveria permitir que uma navalha tocasse sua cabeça (</w:t>
      </w:r>
      <w:hyperlink r:id="rId19189">
        <w:r>
          <w:rPr>
            <w:color w:val="0000EE"/>
            <w:u w:val="single"/>
          </w:rPr>
          <w:t>Nm 6.1–6</w:t>
        </w:r>
      </w:hyperlink>
      <w:r>
        <w:t>). Também foi dito a ela que ele começaria a libertar Israel dos filisteus, que haviam dominado Israel por 40 anos (</w:t>
      </w:r>
      <w:hyperlink r:id="rId19190">
        <w:r>
          <w:rPr>
            <w:color w:val="0000EE"/>
            <w:u w:val="single"/>
          </w:rPr>
          <w:t>Jz 13.1–5</w:t>
        </w:r>
      </w:hyperlink>
      <w:r>
        <w:t>).</w:t>
      </w:r>
    </w:p>
    <w:p>
      <w:pPr>
        <w:pStyle w:val="Heading3"/>
      </w:pPr>
      <w:r>
        <w:t>Nascimento e primeiros anos de Sansão.</w:t>
      </w:r>
    </w:p>
    <w:p>
      <w:r/>
      <w:r>
        <w:t xml:space="preserve">Ela contou isso ao seu marido, Manoá, e Manoá orou sobre essa visita angelical (versículo </w:t>
      </w:r>
      <w:hyperlink r:id="rId19191">
        <w:r>
          <w:rPr>
            <w:color w:val="0000EE"/>
            <w:u w:val="single"/>
          </w:rPr>
          <w:t>8</w:t>
        </w:r>
      </w:hyperlink>
      <w:r>
        <w:t xml:space="preserve">). O anjo do Senhor apareceu novamente e deu instruções sobre a criança que iria nascer. Manoá fez uma oferta queimada, e o anjo do Senhor subiu ao céu na fumaça. Manoá temeu que eles morreriam, pois agora percebeu que tinham visto Deus (versículo </w:t>
      </w:r>
      <w:hyperlink r:id="rId19192">
        <w:r>
          <w:rPr>
            <w:color w:val="0000EE"/>
            <w:u w:val="single"/>
          </w:rPr>
          <w:t>22</w:t>
        </w:r>
      </w:hyperlink>
      <w:r>
        <w:t xml:space="preserve">). A criança nasceu e o Senhor o abençoou enquanto ele crescia. O Espírito do Senhor agiu sobre ele no campo de Dã (versículo </w:t>
      </w:r>
      <w:hyperlink r:id="rId6474">
        <w:r>
          <w:rPr>
            <w:color w:val="0000EE"/>
            <w:u w:val="single"/>
          </w:rPr>
          <w:t>25</w:t>
        </w:r>
      </w:hyperlink>
      <w:r>
        <w:t>).</w:t>
      </w:r>
    </w:p>
    <w:p>
      <w:pPr>
        <w:pStyle w:val="Heading3"/>
      </w:pPr>
      <w:r>
        <w:t>O casamento de Sansão</w:t>
      </w:r>
    </w:p>
    <w:p>
      <w:r/>
      <w:r>
        <w:t>Sansão foi a Timna e viu uma mulher filisteia com quem desejava se casar. O Senhor estava buscando uma oportunidade contra os filisteus. No caso de Sansão, essas ocasiões surgiram através de mulheres filisteias. Quando Sansão e seus pais foram a Timna para arranjar o casamento, um leão saiu das vinhas. Sansão, sobre quem o Espírito do Senhor veio poderosamente, rasgou o leão ao meio. Mais tarde, ele descobriu que um enxame de abelhas havia feito mel na carcaça do leão (</w:t>
      </w:r>
      <w:hyperlink r:id="rId19193">
        <w:r>
          <w:rPr>
            <w:color w:val="0000EE"/>
            <w:u w:val="single"/>
          </w:rPr>
          <w:t>Jz 14.2–9</w:t>
        </w:r>
      </w:hyperlink>
      <w:r>
        <w:t>).</w:t>
      </w:r>
    </w:p>
    <w:p>
      <w:r/>
      <w:r>
        <w:t>Sansão fez uma festa em Timna, como era costume. Ele contou aos homens filisteus um enigma que envolvia o leão e o mel. Eles fizeram uma aposta sobre o enigma, e os filisteus convenceram a nova esposa de Sansão a descobrir a resposta e compartilhar a informação com eles. Quando eles descobriram a resposta, Sansão soube o que havia acontecido. Ele saiu e matou 30 homens filisteus para pagar sua aposta (</w:t>
      </w:r>
      <w:hyperlink r:id="rId12564">
        <w:r>
          <w:rPr>
            <w:color w:val="0000EE"/>
            <w:u w:val="single"/>
          </w:rPr>
          <w:t>Jz 14.19</w:t>
        </w:r>
      </w:hyperlink>
      <w:r>
        <w:t>). Sansão foi para casa, e seu sogro deu a esposa de Sansão ao padrinho de Sansão.</w:t>
      </w:r>
    </w:p>
    <w:p>
      <w:r/>
      <w:r>
        <w:t>Quando Sansão voltou para ver sua esposa, ele não foi autorizado a visitá-la. Em vingança, Sansão pegou 300 raposas e as amarrou em pares, cauda com cauda. Ele fixou uma tocha em cada par e as soltou nos campos de grãos dos filisteus, de modo que os feixes de grãos colhidos e as colheitas em crescimento foram queimados. Consequentemente, os filisteus vieram e queimaram sua esposa e seu pai. Em retaliação, Sansão saiu e matou muitos deles (</w:t>
      </w:r>
      <w:hyperlink r:id="rId19194">
        <w:r>
          <w:rPr>
            <w:color w:val="0000EE"/>
            <w:u w:val="single"/>
          </w:rPr>
          <w:t>Jz 15.1–8</w:t>
        </w:r>
      </w:hyperlink>
      <w:r>
        <w:t>).</w:t>
      </w:r>
    </w:p>
    <w:p>
      <w:pPr>
        <w:pStyle w:val="Heading3"/>
      </w:pPr>
      <w:r>
        <w:t>Mais conflitos com os filisteus</w:t>
      </w:r>
    </w:p>
    <w:p>
      <w:r/>
      <w:r>
        <w:t>Os filisteus então vieram contra Judá. O povo de Judá amarrou Sansão com cordas novas para entregá-lo aos filisteus. Quando chegaram a Leí, onde os filisteus estavam acampados, o Espírito do Senhor veio poderosamente sobre ele. Sansão arrebentou as cordas, pegou a queixada de um jumento e matou 1.000 filisteus. Estando muito sedento, ele clamou ao Senhor, então Deus abriu uma fonte de água em Leí (</w:t>
      </w:r>
      <w:hyperlink r:id="rId19195">
        <w:r>
          <w:rPr>
            <w:color w:val="0000EE"/>
            <w:u w:val="single"/>
          </w:rPr>
          <w:t>Jz 15.9–20</w:t>
        </w:r>
      </w:hyperlink>
      <w:r>
        <w:t>).</w:t>
      </w:r>
    </w:p>
    <w:p>
      <w:r/>
      <w:r>
        <w:t>A fraqueza de Sansão por mulheres filisteias continuou a causar problemas tanto para ele quanto para os filisteus. Ele foi até Gaza, onde se envolveu com uma prostituta (</w:t>
      </w:r>
      <w:hyperlink r:id="rId9777">
        <w:r>
          <w:rPr>
            <w:color w:val="0000EE"/>
            <w:u w:val="single"/>
          </w:rPr>
          <w:t>Jz 16.1</w:t>
        </w:r>
      </w:hyperlink>
      <w:r>
        <w:t>). Os homens da cidade souberam que ele estava lá e planejaram matá-lo ao amanhecer. Sansão levantou-se à meia-noite e saiu com as portas, postes e barra do portão da cidade e os colocou no topo da colina diante de Hebrom.</w:t>
      </w:r>
    </w:p>
    <w:p>
      <w:pPr>
        <w:pStyle w:val="Heading3"/>
      </w:pPr>
      <w:r>
        <w:t>Sansão e Dalila</w:t>
      </w:r>
    </w:p>
    <w:p>
      <w:r/>
      <w:r>
        <w:t>Então ele encontrou Dalila, do vale de Soreque. Os filisteus a subornaram para descobrir a fonte de sua força (</w:t>
      </w:r>
      <w:hyperlink r:id="rId19196">
        <w:r>
          <w:rPr>
            <w:color w:val="0000EE"/>
            <w:u w:val="single"/>
          </w:rPr>
          <w:t>Jz 16.4–5</w:t>
        </w:r>
      </w:hyperlink>
      <w:r>
        <w:t>). Ela continuou a importuná-lo, então ele lhe disse que se o amarrassem com sete cordas de arco novas, ele seria tão fraco quanto os outros homens. Ela o amarrou e gritou: "Os filisteus estão sobre você". Ele facilmente quebrou as cordas do arco.</w:t>
      </w:r>
    </w:p>
    <w:p>
      <w:r/>
      <w:r>
        <w:t xml:space="preserve">Em resposta às suas perguntas constantes, ele continuou mentindo para ela sobre o segredo de sua força. Em sequência, ela o amarrou com novas cordas e sete tranças de seu cabelo tecidas juntas e presas a um tear. Finalmente, ela o cansou e ele contou a verdade. Se alguém raspasse sua cabeça e quebrasse seu voto de nazireu, sua força desapareceria. Enquanto Sansão dormia com a cabeça em seus joelhos, ela chamou um barbeiro, que raspou seu cabelo. Desta vez, quando ela gritou: "Os filisteus estão sobre você", os filisteus o agarraram, arrancaram seus olhos e o levaram para Gaza (versículo </w:t>
      </w:r>
      <w:hyperlink r:id="rId4634">
        <w:r>
          <w:rPr>
            <w:color w:val="0000EE"/>
            <w:u w:val="single"/>
          </w:rPr>
          <w:t>21</w:t>
        </w:r>
      </w:hyperlink>
      <w:r>
        <w:t>).</w:t>
      </w:r>
    </w:p>
    <w:p>
      <w:r/>
      <w:r>
        <w:t>Em Gaza, Sansão foi amarrado com correntes de bronze e forçado a trabalhar em um moinho, durante o qual seu cabelo começou a crescer novamente. Os filisteus celebraram um grande festival no templo de seu deus, Dagom. Eles comemoraram sua vitória sobre Sansão e pediram que ele fosse trazido para que pudessem zombar dele. Cerca de 3.000 pessoas assistiram enquanto Sansão os entretinha. A pedido dele, Sansão foi colocado entre as duas colunas que sustentavam o templo. Ele pediu força ao Senhor e empurrou as colunas para que todo o edifício desabasse. Sansão morreu com os filisteus como havia pedido, mas matou mais filisteus nesse ato final do que antes (</w:t>
      </w:r>
      <w:hyperlink r:id="rId19197">
        <w:r>
          <w:rPr>
            <w:color w:val="0000EE"/>
            <w:u w:val="single"/>
          </w:rPr>
          <w:t>Jz 16.1–30</w:t>
        </w:r>
      </w:hyperlink>
      <w:r>
        <w:t>).</w:t>
      </w:r>
    </w:p>
    <w:p>
      <w:r/>
      <w:r>
        <w:t>A família de Sansão veio buscar seu corpo e o sepultou entre Zorá e Estaol, no túmulo de seu pai, Manoá. Ele serviu como "juiz", ou líder, de Israel por 20 anos (</w:t>
      </w:r>
      <w:hyperlink r:id="rId12570">
        <w:r>
          <w:rPr>
            <w:color w:val="0000EE"/>
            <w:u w:val="single"/>
          </w:rPr>
          <w:t>Jz 16.31</w:t>
        </w:r>
      </w:hyperlink>
      <w:r>
        <w:t>).</w:t>
      </w:r>
    </w:p>
    <w:p>
      <w:r/>
      <w:r>
        <w:rPr>
          <w:i/>
        </w:rPr>
        <w:t>Veja também</w:t>
      </w:r>
      <w:r>
        <w:t xml:space="preserve"> </w:t>
      </w:r>
      <w:r>
        <w:t>Israel, História de</w:t>
      </w:r>
      <w:r>
        <w:t xml:space="preserve">; </w:t>
      </w:r>
      <w:r>
        <w:t>Juízes, Livro de</w:t>
      </w:r>
      <w:r>
        <w:t>.</w:t>
      </w:r>
      <w:r/>
      <w:r/>
    </w:p>
    <w:p>
      <w:r/>
    </w:p>
    <w:p>
      <w:pPr>
        <w:pStyle w:val="Heading2"/>
      </w:pPr>
      <w:r>
        <w:t>Santidade</w:t>
      </w:r>
      <w:r/>
    </w:p>
    <w:p>
      <w:r/>
      <w:r>
        <w:t>Atributo supremo de Deus e uma qualidade a ser desenvolvida em seu povo. “Santidade” e o adjetivo “santo” ocorrem mais de 900 vezes na Bíblia. A palavra primária do Antigo Testamento para santidade significa “cortar” ou “separar”. Fundamentalmente, a santidade é um corte ou separação do que é impuro e uma consagração ao que é puro.</w:t>
      </w:r>
    </w:p>
    <w:p>
      <w:r/>
      <w:r>
        <w:t>No Antigo Testamento, santidade aplicada a Deus significa sua transcendência sobre a criação e a perfeição moral de seu caráter. Deus é santo na medida em que ele é totalmente distinto de sua criação e exerce soberana majestade e poder sobre ela. Sua santidade é especialmente proeminente nos Salmos (</w:t>
      </w:r>
      <w:hyperlink r:id="rId8820">
        <w:r>
          <w:rPr>
            <w:color w:val="0000EE"/>
            <w:u w:val="single"/>
          </w:rPr>
          <w:t>47.8</w:t>
        </w:r>
      </w:hyperlink>
      <w:r>
        <w:t>) e nos Profetas (</w:t>
      </w:r>
      <w:hyperlink r:id="rId19198">
        <w:r>
          <w:rPr>
            <w:color w:val="0000EE"/>
            <w:u w:val="single"/>
          </w:rPr>
          <w:t>Ezequiel 39.7</w:t>
        </w:r>
      </w:hyperlink>
      <w:r>
        <w:t>), onde “santidade” emerge como um sinônimo para o Deus de Israel. Assim, as Escrituras atribuem a Deus o título “Santo” (</w:t>
      </w:r>
      <w:hyperlink r:id="rId5733">
        <w:r>
          <w:rPr>
            <w:color w:val="0000EE"/>
            <w:u w:val="single"/>
          </w:rPr>
          <w:t>Isaías 57.15</w:t>
        </w:r>
      </w:hyperlink>
      <w:r>
        <w:t>), “Santo Deus” (</w:t>
      </w:r>
      <w:hyperlink r:id="rId19199">
        <w:r>
          <w:rPr>
            <w:color w:val="0000EE"/>
            <w:u w:val="single"/>
          </w:rPr>
          <w:t>Jó 6.10</w:t>
        </w:r>
      </w:hyperlink>
      <w:r>
        <w:t xml:space="preserve">; </w:t>
      </w:r>
      <w:hyperlink r:id="rId18238">
        <w:r>
          <w:rPr>
            <w:color w:val="0000EE"/>
            <w:u w:val="single"/>
          </w:rPr>
          <w:t>Isaías 43.15</w:t>
        </w:r>
      </w:hyperlink>
      <w:r>
        <w:t>), e “Santo de Israel” (</w:t>
      </w:r>
      <w:hyperlink r:id="rId6871">
        <w:r>
          <w:rPr>
            <w:color w:val="0000EE"/>
            <w:u w:val="single"/>
          </w:rPr>
          <w:t>Salmos 89.18</w:t>
        </w:r>
      </w:hyperlink>
      <w:r>
        <w:t xml:space="preserve">; </w:t>
      </w:r>
      <w:hyperlink r:id="rId19200">
        <w:r>
          <w:rPr>
            <w:color w:val="0000EE"/>
            <w:u w:val="single"/>
          </w:rPr>
          <w:t>Isaías 60.14</w:t>
        </w:r>
      </w:hyperlink>
      <w:r>
        <w:t xml:space="preserve">; </w:t>
      </w:r>
      <w:hyperlink r:id="rId19201">
        <w:r>
          <w:rPr>
            <w:color w:val="0000EE"/>
            <w:u w:val="single"/>
          </w:rPr>
          <w:t>Jeremias 50.29</w:t>
        </w:r>
      </w:hyperlink>
      <w:r>
        <w:t>).</w:t>
      </w:r>
    </w:p>
    <w:p>
      <w:r/>
      <w:r>
        <w:t xml:space="preserve">No Antigo Testamento, a santidade de Deus denota que o Senhor está separado de tudo o que é maligno e contaminado (compare </w:t>
      </w:r>
      <w:hyperlink r:id="rId19202">
        <w:r>
          <w:rPr>
            <w:color w:val="0000EE"/>
            <w:u w:val="single"/>
          </w:rPr>
          <w:t>Jó 34.10</w:t>
        </w:r>
      </w:hyperlink>
      <w:r>
        <w:t>). Seu caráter santo é o padrão de perfeição moral absoluta (</w:t>
      </w:r>
      <w:hyperlink r:id="rId19203">
        <w:r>
          <w:rPr>
            <w:color w:val="0000EE"/>
            <w:u w:val="single"/>
          </w:rPr>
          <w:t>Isaías 5.16</w:t>
        </w:r>
      </w:hyperlink>
      <w:r>
        <w:t xml:space="preserve">). A santidade de Deus — sua majestade transcendente e a pureza de seu caráter — são habilmente equilibradas no </w:t>
      </w:r>
      <w:hyperlink r:id="rId19204">
        <w:r>
          <w:rPr>
            <w:color w:val="0000EE"/>
            <w:u w:val="single"/>
          </w:rPr>
          <w:t>Salmo 99</w:t>
        </w:r>
      </w:hyperlink>
      <w:r>
        <w:t xml:space="preserve">. Os versos </w:t>
      </w:r>
      <w:hyperlink r:id="rId17302">
        <w:r>
          <w:rPr>
            <w:color w:val="0000EE"/>
            <w:u w:val="single"/>
          </w:rPr>
          <w:t>1 a 3</w:t>
        </w:r>
      </w:hyperlink>
      <w:r>
        <w:t xml:space="preserve"> retratam a distância de Deus do que é finito e ligado à terra, enquanto os versos </w:t>
      </w:r>
      <w:hyperlink r:id="rId10163">
        <w:r>
          <w:rPr>
            <w:color w:val="0000EE"/>
            <w:u w:val="single"/>
          </w:rPr>
          <w:t>4</w:t>
        </w:r>
      </w:hyperlink>
      <w:r>
        <w:t xml:space="preserve"> e </w:t>
      </w:r>
      <w:hyperlink r:id="rId8539">
        <w:r>
          <w:rPr>
            <w:color w:val="0000EE"/>
            <w:u w:val="single"/>
          </w:rPr>
          <w:t>5</w:t>
        </w:r>
      </w:hyperlink>
      <w:r>
        <w:t xml:space="preserve"> enfatizam sua separação do pecado e do mal.</w:t>
      </w:r>
    </w:p>
    <w:p>
      <w:r/>
      <w:r>
        <w:t>No Antigo Testamento, Deus exigiu santidade nas vidas de seu povo. Através de Moisés, Deus disse à congregação de Israel: “Sejam santos porque eu, o SENHOR seu Deus, sou santo”. (</w:t>
      </w:r>
      <w:hyperlink r:id="rId5370">
        <w:r>
          <w:rPr>
            <w:color w:val="0000EE"/>
            <w:u w:val="single"/>
          </w:rPr>
          <w:t>Levítico 19.2</w:t>
        </w:r>
      </w:hyperlink>
      <w:r>
        <w:t>, NTLH). A santidade ordenada pelo Antigo Testamento era dupla: (1) externa, ou cerimonial; e (2) interna, ou moral e espiritual. A santidade cerimonial do Antigo Testamento, prescrita no Pentateuco (os cinco primeiros livros do Antigo Testamento) incluía consagração ritual ao serviço de Deus. Assim, sacerdotes e levitas eram santificados por um processo complexo de consagração ritual (</w:t>
      </w:r>
      <w:hyperlink r:id="rId15879">
        <w:r>
          <w:rPr>
            <w:color w:val="0000EE"/>
            <w:u w:val="single"/>
          </w:rPr>
          <w:t>Êxodo 29</w:t>
        </w:r>
      </w:hyperlink>
      <w:r>
        <w:t>), assim como os nazireus hebreus, que significa “separados” (</w:t>
      </w:r>
      <w:hyperlink r:id="rId12561">
        <w:r>
          <w:rPr>
            <w:color w:val="0000EE"/>
            <w:u w:val="single"/>
          </w:rPr>
          <w:t>Números 6.1–21</w:t>
        </w:r>
      </w:hyperlink>
      <w:r>
        <w:t>). Profetas como Eliseu (</w:t>
      </w:r>
      <w:hyperlink r:id="rId17641">
        <w:r>
          <w:rPr>
            <w:color w:val="0000EE"/>
            <w:u w:val="single"/>
          </w:rPr>
          <w:t>2 Reis 4.9</w:t>
        </w:r>
      </w:hyperlink>
      <w:r>
        <w:t>) e Jeremias (</w:t>
      </w:r>
      <w:hyperlink r:id="rId11888">
        <w:r>
          <w:rPr>
            <w:color w:val="0000EE"/>
            <w:u w:val="single"/>
          </w:rPr>
          <w:t>Jeremias 1.5</w:t>
        </w:r>
      </w:hyperlink>
      <w:r>
        <w:t>) também foram santificados para um ministério profético especial em Israel.</w:t>
      </w:r>
    </w:p>
    <w:p>
      <w:r/>
      <w:r>
        <w:t>Mas o Antigo Testamento também chama a atenção para os aspectos internos, morais e espirituais da santidade. Homens e mulheres, criados à imagem de Deus, são chamados para cultivar a santidade do próprio caráter de Deus em suas vidas (</w:t>
      </w:r>
      <w:hyperlink r:id="rId5370">
        <w:r>
          <w:rPr>
            <w:color w:val="0000EE"/>
            <w:u w:val="single"/>
          </w:rPr>
          <w:t>Levítico 19.2</w:t>
        </w:r>
      </w:hyperlink>
      <w:r>
        <w:t xml:space="preserve">; </w:t>
      </w:r>
      <w:hyperlink r:id="rId19205">
        <w:r>
          <w:rPr>
            <w:color w:val="0000EE"/>
            <w:u w:val="single"/>
          </w:rPr>
          <w:t>Números 15.40</w:t>
        </w:r>
      </w:hyperlink>
      <w:r>
        <w:t>). No Novo Testamento, a santidade cerimonial proeminente no Pentateuco recai sobre o pano de fundo. Considerando que grande parte do judaísmo no tempo de Jesus buscou uma santidade cerimonial pelas obras (</w:t>
      </w:r>
      <w:hyperlink r:id="rId19206">
        <w:r>
          <w:rPr>
            <w:color w:val="0000EE"/>
            <w:u w:val="single"/>
          </w:rPr>
          <w:t>Marcos 7.1–5</w:t>
        </w:r>
      </w:hyperlink>
      <w:r>
        <w:t xml:space="preserve">), o Novo Testamento enfatiza a dimensão ética em vez da dimensão formal de santidade (versículos </w:t>
      </w:r>
      <w:hyperlink r:id="rId19207">
        <w:r>
          <w:rPr>
            <w:color w:val="0000EE"/>
            <w:u w:val="single"/>
          </w:rPr>
          <w:t>6–12</w:t>
        </w:r>
      </w:hyperlink>
      <w:r>
        <w:t>). Com a vinda do Espírito Santo, a igreja primitiva percebeu que a santidade da vida era uma profunda realidade interna que deveria governar o pensamento e atitudes de um indivíduo em relação às pessoas e objetos no mundo externo.</w:t>
      </w:r>
    </w:p>
    <w:p>
      <w:r/>
      <w:r>
        <w:t>O equivalente grego do Novo Testamento da palavra hebraica comum para santidade significa um estado interior de liberdade da falha moral e uma harmonia relativa com a perfeição moral de Deus. A palavra “semelhança com Deus” ou “piedade” captura o sentido da palavra grega primária para santidade. Outra palavra grega aproxima-se do conceito dominante do Antigo Testamento de santidade como separação externa do profano e dedicação ao serviço do Senhor.</w:t>
      </w:r>
    </w:p>
    <w:p>
      <w:r/>
      <w:r>
        <w:t>Já que os escritores do Novo Testamento assumiram o retrato da divindade do Antigo Testamento, a santidade é atribuída a Deus em relativamente poucos textos apostólicos. Jesus afirmou a natureza ética de Deus quando ele ordenou aos seus discípulos a orar para que o nome do Pai pudesse ser valorizado pelo que é: “santificado seja o teu nome” (</w:t>
      </w:r>
      <w:hyperlink r:id="rId4765">
        <w:r>
          <w:rPr>
            <w:color w:val="0000EE"/>
            <w:u w:val="single"/>
          </w:rPr>
          <w:t>Mateus 6.9</w:t>
        </w:r>
      </w:hyperlink>
      <w:r>
        <w:t>). No livro de Apocalipse, a perfeição moral do Pai é exaltada com a atribuição tríplice de santidade emprestada de Isaías: “Santo, Santo, Santo, é o Senhor Deus Todo-Poderoso, que era, que é e há de vir!” (</w:t>
      </w:r>
      <w:hyperlink r:id="rId6878">
        <w:r>
          <w:rPr>
            <w:color w:val="0000EE"/>
            <w:u w:val="single"/>
          </w:rPr>
          <w:t>Apocalipse 4.8</w:t>
        </w:r>
      </w:hyperlink>
      <w:r>
        <w:t xml:space="preserve">; compare </w:t>
      </w:r>
      <w:hyperlink r:id="rId6877">
        <w:r>
          <w:rPr>
            <w:color w:val="0000EE"/>
            <w:u w:val="single"/>
          </w:rPr>
          <w:t>Isaías 6.3</w:t>
        </w:r>
      </w:hyperlink>
      <w:r>
        <w:t>). Lucas, no entanto, contemplou a santidade de Deus em termos do conceito dominante do Antigo Testamento de sua transcendência e majestade (</w:t>
      </w:r>
      <w:hyperlink r:id="rId19208">
        <w:r>
          <w:rPr>
            <w:color w:val="0000EE"/>
            <w:u w:val="single"/>
          </w:rPr>
          <w:t>Lucas 1.49</w:t>
        </w:r>
      </w:hyperlink>
      <w:r>
        <w:t>).</w:t>
      </w:r>
    </w:p>
    <w:p>
      <w:r/>
      <w:r>
        <w:t>Da mesma forma, a santidade de Jesus Cristo é declarada no Novo Testamento. Lucas (</w:t>
      </w:r>
      <w:hyperlink r:id="rId2011">
        <w:r>
          <w:rPr>
            <w:color w:val="0000EE"/>
            <w:u w:val="single"/>
          </w:rPr>
          <w:t>Lucas 1.35</w:t>
        </w:r>
      </w:hyperlink>
      <w:r>
        <w:t xml:space="preserve">; </w:t>
      </w:r>
      <w:hyperlink r:id="rId15103">
        <w:r>
          <w:rPr>
            <w:color w:val="0000EE"/>
            <w:u w:val="single"/>
          </w:rPr>
          <w:t>4.34</w:t>
        </w:r>
      </w:hyperlink>
      <w:r>
        <w:t>), Pedro (</w:t>
      </w:r>
      <w:hyperlink r:id="rId3145">
        <w:r>
          <w:rPr>
            <w:color w:val="0000EE"/>
            <w:u w:val="single"/>
          </w:rPr>
          <w:t>Atos 3.14</w:t>
        </w:r>
      </w:hyperlink>
      <w:r>
        <w:t xml:space="preserve">; </w:t>
      </w:r>
      <w:hyperlink r:id="rId19209">
        <w:r>
          <w:rPr>
            <w:color w:val="0000EE"/>
            <w:u w:val="single"/>
          </w:rPr>
          <w:t>4.27–30</w:t>
        </w:r>
      </w:hyperlink>
      <w:r>
        <w:t>), o escritor de Hebreus (</w:t>
      </w:r>
      <w:hyperlink r:id="rId6869">
        <w:r>
          <w:rPr>
            <w:color w:val="0000EE"/>
            <w:u w:val="single"/>
          </w:rPr>
          <w:t>Hebreus 7.26</w:t>
        </w:r>
      </w:hyperlink>
      <w:r>
        <w:t>) e João (</w:t>
      </w:r>
      <w:hyperlink r:id="rId6633">
        <w:r>
          <w:rPr>
            <w:color w:val="0000EE"/>
            <w:u w:val="single"/>
          </w:rPr>
          <w:t>Apocalipse 3.7</w:t>
        </w:r>
      </w:hyperlink>
      <w:r>
        <w:t>) atribuem santidade tanto ao Pai quanto ao Filho.</w:t>
      </w:r>
    </w:p>
    <w:p>
      <w:r/>
      <w:r>
        <w:t>Uma vez que o Espírito vem de Deus, revela seu caráter santo, e é o instrumento dos propósitos santos de Deus no mundo, ele também é absolutamente santo (</w:t>
      </w:r>
      <w:hyperlink r:id="rId4576">
        <w:r>
          <w:rPr>
            <w:color w:val="0000EE"/>
            <w:u w:val="single"/>
          </w:rPr>
          <w:t>Mateus 1.18</w:t>
        </w:r>
      </w:hyperlink>
      <w:r>
        <w:t xml:space="preserve">; </w:t>
      </w:r>
      <w:hyperlink r:id="rId11702">
        <w:r>
          <w:rPr>
            <w:color w:val="0000EE"/>
            <w:u w:val="single"/>
          </w:rPr>
          <w:t>3.16</w:t>
        </w:r>
      </w:hyperlink>
      <w:r>
        <w:t xml:space="preserve">; </w:t>
      </w:r>
      <w:hyperlink r:id="rId3199">
        <w:r>
          <w:rPr>
            <w:color w:val="0000EE"/>
            <w:u w:val="single"/>
          </w:rPr>
          <w:t>28.19</w:t>
        </w:r>
      </w:hyperlink>
      <w:r>
        <w:t xml:space="preserve">; </w:t>
      </w:r>
      <w:hyperlink r:id="rId2004">
        <w:r>
          <w:rPr>
            <w:color w:val="0000EE"/>
            <w:u w:val="single"/>
          </w:rPr>
          <w:t>Lucas 1.15</w:t>
        </w:r>
      </w:hyperlink>
      <w:r>
        <w:t xml:space="preserve">; </w:t>
      </w:r>
      <w:hyperlink r:id="rId17279">
        <w:r>
          <w:rPr>
            <w:color w:val="0000EE"/>
            <w:u w:val="single"/>
          </w:rPr>
          <w:t>4.14</w:t>
        </w:r>
      </w:hyperlink>
      <w:r>
        <w:t>). A designação comum “Espírito Santo” ressalta a perfeição ética da terceira pessoa da Divindade (</w:t>
      </w:r>
      <w:hyperlink r:id="rId19210">
        <w:r>
          <w:rPr>
            <w:color w:val="0000EE"/>
            <w:u w:val="single"/>
          </w:rPr>
          <w:t>João 3.5–8</w:t>
        </w:r>
      </w:hyperlink>
      <w:r>
        <w:t xml:space="preserve">; </w:t>
      </w:r>
      <w:hyperlink r:id="rId5464">
        <w:r>
          <w:rPr>
            <w:color w:val="0000EE"/>
            <w:u w:val="single"/>
          </w:rPr>
          <w:t>14.16–17,26</w:t>
        </w:r>
      </w:hyperlink>
      <w:r>
        <w:t>).</w:t>
      </w:r>
    </w:p>
    <w:p>
      <w:r/>
      <w:r>
        <w:t>No Novo Testamento, a santidade também caracteriza a igreja de Cristo. O apóstolo Paulo ensinou que Cristo amou a igreja e morreu por ela “para santificá-la, purificando-a pela lavagem com água através da palavra, (</w:t>
      </w:r>
      <w:hyperlink r:id="rId604">
        <w:r>
          <w:rPr>
            <w:color w:val="0000EE"/>
            <w:u w:val="single"/>
          </w:rPr>
          <w:t>Efésios 5.26</w:t>
        </w:r>
      </w:hyperlink>
      <w:r>
        <w:t>). Pedro se dirigiu à igreja como um povo santo, empregando uma linguagem retirada do Antigo Testamento. Separada das nações incrédulas e consagrada ao Senhor, a igreja é “uma nação santa” (</w:t>
      </w:r>
      <w:hyperlink r:id="rId3643">
        <w:r>
          <w:rPr>
            <w:color w:val="0000EE"/>
            <w:u w:val="single"/>
          </w:rPr>
          <w:t>1 Pedro 2.9</w:t>
        </w:r>
      </w:hyperlink>
      <w:r>
        <w:t xml:space="preserve">; compare </w:t>
      </w:r>
      <w:hyperlink r:id="rId806">
        <w:r>
          <w:rPr>
            <w:color w:val="0000EE"/>
            <w:u w:val="single"/>
          </w:rPr>
          <w:t>Êxodo 19.6</w:t>
        </w:r>
      </w:hyperlink>
      <w:r>
        <w:t>).</w:t>
      </w:r>
    </w:p>
    <w:p>
      <w:r/>
      <w:r>
        <w:t>Mas o Novo Testamento mais frequentemente aborda a santidade em relação aos cristãos individuais. Os crentes em Cristo são frequentemente designados como “santos”, literalmente significando “pessoas santas”, uma vez que através da fé Deus justifica pecadores, declarando-os “santos” aos seus olhos. Um pecador justificado não é de forma alguma moralmente perfeito, mas Deus declara os crentes como inocentes. Assim, embora os cristãos em Corinto, por exemplo, tenham sido atormentados com numerosos pecados, Paulo poderia se dirigir a seus amigos errantes como aqueles que foram “santificados em Cristo Jesus e chamados para ser santos” (</w:t>
      </w:r>
      <w:hyperlink r:id="rId10881">
        <w:r>
          <w:rPr>
            <w:color w:val="0000EE"/>
            <w:u w:val="single"/>
          </w:rPr>
          <w:t>1 Coríntios 1.2</w:t>
        </w:r>
      </w:hyperlink>
      <w:r>
        <w:t>). Apesar de seus problemas, os crentes de Corinto eram “santos” em Cristo.</w:t>
      </w:r>
    </w:p>
    <w:p>
      <w:r/>
      <w:r>
        <w:t>O Novo Testamento, no entanto, coloca grande ênfase sobre a realidade da santidade prática na experiência diária do cristão. O Deus que livremente declara uma pessoa justa através da fé em Cristo ordena que o crente progrida em santidade de vida. No plano de Deus, um crescimento em santidade deve acompanhar a crença. Deus graciosamente fornece os meios espirituais para permitir que os cristãos sejam “participantes da natureza divina” (</w:t>
      </w:r>
      <w:hyperlink r:id="rId19211">
        <w:r>
          <w:rPr>
            <w:color w:val="0000EE"/>
            <w:u w:val="single"/>
          </w:rPr>
          <w:t>2 Pedro 1.4</w:t>
        </w:r>
      </w:hyperlink>
      <w:r>
        <w:t>).</w:t>
      </w:r>
    </w:p>
    <w:p>
      <w:r/>
      <w:r>
        <w:rPr>
          <w:i/>
        </w:rPr>
        <w:t>Veja também</w:t>
      </w:r>
      <w:r>
        <w:t xml:space="preserve"> </w:t>
      </w:r>
      <w:r>
        <w:t>Deus, Ser e Atributos de</w:t>
      </w:r>
      <w:r>
        <w:t>.</w:t>
      </w:r>
      <w:r/>
      <w:r/>
    </w:p>
    <w:p>
      <w:r/>
    </w:p>
    <w:p>
      <w:pPr>
        <w:pStyle w:val="Heading2"/>
      </w:pPr>
      <w:r>
        <w:t>Santificação</w:t>
      </w:r>
      <w:r/>
    </w:p>
    <w:p>
      <w:r/>
      <w:r>
        <w:t>Santificação significa "ser feito santo ou purificado". Descreve como os cristãos se tornam mais semelhantes a Deus ao longo de suas vidas. A maioria dos teólogos prefere usá-lo em um sentido restrito para distingui-lo de termos relacionados, como "regeneração", "justificação" e "glorificação".</w:t>
      </w:r>
    </w:p>
    <w:p>
      <w:pPr>
        <w:pStyle w:val="Heading3"/>
      </w:pPr>
      <w:r>
        <w:t>O que é a Santificação?</w:t>
      </w:r>
    </w:p>
    <w:p>
      <w:r/>
      <w:r>
        <w:t>A confissão batista de New Hampshire (1833) explica a santificação da seguinte forma:</w:t>
      </w:r>
    </w:p>
    <w:p>
      <w:r/>
      <w:r>
        <w:t>"Cremos que a santificação é o processo pelo qual, de acordo com a vontade de Deus, somos feitos participantes de sua santidade; que é uma obra progressiva; que começa na regeneração; que é realizada nos corações dos crentes pela presença e poder do Espírito Santo, o Selador e Consolador, no uso contínuo dos meios designados — especialmente a Palavra de Deus, autoexame, abnegação, vigilância e oração" (Artigo X).</w:t>
      </w:r>
    </w:p>
    <w:p>
      <w:r/>
      <w:r>
        <w:t>Essa definição esclarece a diferença entre santificação, regeneração e glorificação:</w:t>
      </w:r>
    </w:p>
    <w:p>
      <w:pPr>
        <w:pStyle w:val="ListBullet"/>
        <w:spacing w:line="240" w:lineRule="auto"/>
        <w:ind w:left="720"/>
      </w:pPr>
      <w:r/>
      <w:r>
        <w:t>Regeneração é quando alguém se torna cristão pela primeira vez. Refere-se ao início da salvação;</w:t>
      </w:r>
    </w:p>
    <w:p>
      <w:pPr>
        <w:pStyle w:val="ListBullet"/>
        <w:spacing w:line="240" w:lineRule="auto"/>
        <w:ind w:left="720"/>
      </w:pPr>
      <w:r/>
      <w:r>
        <w:t>A santificação é o processo pelo qual Deus ajuda os cristãos a se tornarem mais semelhantes a Jesus. A santificação refere-se ao processo da salvação;</w:t>
      </w:r>
    </w:p>
    <w:p>
      <w:pPr>
        <w:pStyle w:val="ListBullet"/>
        <w:spacing w:line="240" w:lineRule="auto"/>
        <w:ind w:left="720"/>
      </w:pPr>
      <w:r/>
      <w:r>
        <w:t>Glorificação é quando Deus completa Sua obra nos cristãos. Glorificação refere-se ao término da salvação.</w:t>
      </w:r>
    </w:p>
    <w:p>
      <w:pPr>
        <w:pStyle w:val="Heading3"/>
      </w:pPr>
      <w:r>
        <w:t>Diferenças entre santificação e justificação</w:t>
      </w:r>
    </w:p>
    <w:p>
      <w:r/>
      <w:r>
        <w:t>A diferença entre santificação e justificação é importante, mas pode ser difícil de entender. Aqui estão as principais diferenças:</w:t>
      </w:r>
    </w:p>
    <w:p>
      <w:pPr>
        <w:pStyle w:val="ListNumber"/>
        <w:spacing w:line="240" w:lineRule="auto"/>
        <w:ind w:left="720"/>
      </w:pPr>
      <w:r/>
      <w:r>
        <w:t>“Justificação”, assim como “regeneração”, refere-se principalmente ao início da experiência cristã. A santificação enfatiza o progresso no processo de salvação;</w:t>
      </w:r>
    </w:p>
    <w:p>
      <w:pPr>
        <w:pStyle w:val="ListNumber"/>
        <w:spacing w:line="240" w:lineRule="auto"/>
        <w:ind w:left="720"/>
      </w:pPr>
      <w:r/>
      <w:r>
        <w:t>Justificação refere-se a Deus atuando como juiz. Deus remove toda a culpa dos crentes de uma vez e os considera legalmente justos. A santificação, assim como a regeneração e a glorificação, enfatiza o poder transformador do Espírito Santo sobre o caráter dos filhos de Deus.</w:t>
      </w:r>
    </w:p>
    <w:p>
      <w:r/>
      <w:r>
        <w:t>A diferença entre justificação e santificação tornou-se muito importante durante a Reforma (um período de grandes mudanças na igreja cristã que começou em 1517 d.C.). Na opinião dos Reformadores, a Igreja Católica Romana confundiu justificação e santificação. A Igreja Católica Romana insistia que a justificação “não é apenas a remissão [ou perdão] dos pecados, mas também a santificação e renovação do homem interior” (Decretos do Concílio de Trento, Sexta Sessão, 1547, cap. VII). Em contraste, os Reformadores enfatizavam que justificação e santificação não podiam ser separadas, mas deviam ser distinguidas.</w:t>
      </w:r>
    </w:p>
    <w:p>
      <w:r/>
      <w:r>
        <w:t>Calvino argumentou que esses dois elementos do ato salvador de Deus não podem ser divididos em partes, assim como Cristo não pode ser dividido. Calvino disse: “Quem Deus recebe em graça, a esses ele ao mesmo tempo concede o espírito de adoção, pelo qual os refaz à sua própria imagem. Mas se o brilho do sol não pode ser separado do seu calor, diremos então que a terra é aquecida pela sua luz, ou iluminada pelo seu calor?” (</w:t>
      </w:r>
      <w:r>
        <w:rPr>
          <w:i/>
        </w:rPr>
        <w:t>Institutas da Religião Cristã,</w:t>
      </w:r>
      <w:r>
        <w:t xml:space="preserve"> 3.11.6). A justificação é uma declaração única de Deus como Juiz. A santificação é um processo de mudança no caráter da pessoa justificada.</w:t>
      </w:r>
    </w:p>
    <w:p>
      <w:r/>
      <w:r>
        <w:t>A confissão batista de New Hampshire afirma que, na santificação, "nós somos feitos participantes de sua santidade". O que isso significa? Um estudo detalhado sobre o que a Bíblia diz sobre santificação não é possível aqui, já que praticamente toda a Escritura aborda essa questão de uma forma ou de outra. No entanto, um tema central nesse ensinamento deve ser enfatizado: “Sejam santos, porque eu sou santo” (</w:t>
      </w:r>
      <w:hyperlink r:id="rId19212">
        <w:r>
          <w:rPr>
            <w:color w:val="0000EE"/>
            <w:u w:val="single"/>
          </w:rPr>
          <w:t>Lv 11.45</w:t>
        </w:r>
      </w:hyperlink>
      <w:r>
        <w:t xml:space="preserve">; </w:t>
      </w:r>
      <w:hyperlink r:id="rId19213">
        <w:r>
          <w:rPr>
            <w:color w:val="0000EE"/>
            <w:u w:val="single"/>
          </w:rPr>
          <w:t>1Pe 1.16</w:t>
        </w:r>
      </w:hyperlink>
      <w:r>
        <w:t xml:space="preserve">; compare </w:t>
      </w:r>
      <w:hyperlink r:id="rId5371">
        <w:r>
          <w:rPr>
            <w:color w:val="0000EE"/>
            <w:u w:val="single"/>
          </w:rPr>
          <w:t>Mt 5.48</w:t>
        </w:r>
      </w:hyperlink>
      <w:r>
        <w:t>).</w:t>
      </w:r>
    </w:p>
    <w:p>
      <w:r/>
      <w:r>
        <w:t xml:space="preserve">De acordo com o breve catecismo de Westminster, escrito em 1647, pela santificação, “somos renovados em todo o homem à imagem de Deus” (Questão 34; veja </w:t>
      </w:r>
      <w:hyperlink r:id="rId6842">
        <w:r>
          <w:rPr>
            <w:color w:val="0000EE"/>
            <w:u w:val="single"/>
          </w:rPr>
          <w:t>Cl 3.10</w:t>
        </w:r>
      </w:hyperlink>
      <w:r>
        <w:t>). Nada pode ser mais importante para nossa visão de santificação do que esta verdade. O padrão de santidade é a obediência completa à imagem de Cristo (</w:t>
      </w:r>
      <w:hyperlink r:id="rId368">
        <w:r>
          <w:rPr>
            <w:color w:val="0000EE"/>
            <w:u w:val="single"/>
          </w:rPr>
          <w:t>Rm 8.29</w:t>
        </w:r>
      </w:hyperlink>
      <w:r>
        <w:t xml:space="preserve">). Qualquer coisa menos que isso é uma diminuição do padrão bíblico e, assim, um enfraquecimento da crença. A definição acima sugere que Cristo é mais do que nosso modelo. Ele fornece sua santidade para aqueles unidos a ele — ele </w:t>
      </w:r>
      <w:r>
        <w:rPr>
          <w:i/>
        </w:rPr>
        <w:t>é</w:t>
      </w:r>
      <w:r>
        <w:t xml:space="preserve"> nossa santificação (</w:t>
      </w:r>
      <w:hyperlink r:id="rId8776">
        <w:r>
          <w:rPr>
            <w:color w:val="0000EE"/>
            <w:u w:val="single"/>
          </w:rPr>
          <w:t>1Co 1.30</w:t>
        </w:r>
      </w:hyperlink>
      <w:r>
        <w:t>).</w:t>
      </w:r>
    </w:p>
    <w:p>
      <w:pPr>
        <w:pStyle w:val="Heading3"/>
      </w:pPr>
      <w:r>
        <w:t>Santificação inicial</w:t>
      </w:r>
    </w:p>
    <w:p>
      <w:r/>
      <w:r>
        <w:t>A Bíblia mostra que a santificação ocorre gradualmente ao longo do tempo. O apóstolo Paulo diz que os cristãos que “refletem a glória do Senhor, estão sendo transformados à Sua imagem com glória intensificada” (</w:t>
      </w:r>
      <w:hyperlink r:id="rId370">
        <w:r>
          <w:rPr>
            <w:color w:val="0000EE"/>
            <w:u w:val="single"/>
          </w:rPr>
          <w:t>2Co 3.18</w:t>
        </w:r>
      </w:hyperlink>
      <w:r>
        <w:t xml:space="preserve">; veja também </w:t>
      </w:r>
      <w:hyperlink r:id="rId5433">
        <w:r>
          <w:rPr>
            <w:color w:val="0000EE"/>
            <w:u w:val="single"/>
          </w:rPr>
          <w:t>Rm 12.1–2</w:t>
        </w:r>
      </w:hyperlink>
      <w:r>
        <w:t xml:space="preserve">; </w:t>
      </w:r>
      <w:hyperlink r:id="rId19214">
        <w:r>
          <w:rPr>
            <w:color w:val="0000EE"/>
            <w:u w:val="single"/>
          </w:rPr>
          <w:t>Fp 3.14</w:t>
        </w:r>
      </w:hyperlink>
      <w:r>
        <w:t xml:space="preserve">; </w:t>
      </w:r>
      <w:hyperlink r:id="rId19215">
        <w:r>
          <w:rPr>
            <w:color w:val="0000EE"/>
            <w:u w:val="single"/>
          </w:rPr>
          <w:t>Hb 6.1</w:t>
        </w:r>
      </w:hyperlink>
      <w:r>
        <w:t xml:space="preserve">; </w:t>
      </w:r>
      <w:hyperlink r:id="rId7039">
        <w:r>
          <w:rPr>
            <w:color w:val="0000EE"/>
            <w:u w:val="single"/>
          </w:rPr>
          <w:t>2Pe 3.18</w:t>
        </w:r>
      </w:hyperlink>
      <w:r>
        <w:t>). Além disso, os muitos mandamentos encontrados nas Escrituras implicam que o cristão experimenta crescimento.</w:t>
      </w:r>
    </w:p>
    <w:p>
      <w:r/>
      <w:r>
        <w:t xml:space="preserve">Ao mesmo tempo, várias passagens nas Escrituras mostram que a santificação é concedida ao crente simultaneamente à regeneração. Por exemplo, Paulo frequentemente se refere aos cristãos como “santos” ou “santificados”, como em </w:t>
      </w:r>
      <w:hyperlink r:id="rId4380">
        <w:r>
          <w:rPr>
            <w:color w:val="0000EE"/>
            <w:u w:val="single"/>
          </w:rPr>
          <w:t xml:space="preserve">Romanos 1.7 </w:t>
        </w:r>
      </w:hyperlink>
      <w:r>
        <w:t>e</w:t>
      </w:r>
      <w:hyperlink r:id="rId4380">
        <w:r>
          <w:rPr>
            <w:color w:val="0000EE"/>
            <w:u w:val="single"/>
          </w:rPr>
          <w:t xml:space="preserve"> </w:t>
        </w:r>
      </w:hyperlink>
      <w:hyperlink r:id="rId2274">
        <w:r>
          <w:rPr>
            <w:color w:val="0000EE"/>
            <w:u w:val="single"/>
          </w:rPr>
          <w:t>Efésios 1.1</w:t>
        </w:r>
      </w:hyperlink>
      <w:r>
        <w:t>. Esta linguagem sugere que a santificação já é algo que os crentes possuem. Paulo afirma especificamente que os cristãos na igreja em Corinto são “santificados em Cristo” (</w:t>
      </w:r>
      <w:hyperlink r:id="rId10881">
        <w:r>
          <w:rPr>
            <w:color w:val="0000EE"/>
            <w:u w:val="single"/>
          </w:rPr>
          <w:t>1Co 1.2</w:t>
        </w:r>
      </w:hyperlink>
      <w:r>
        <w:t>). Ele até conecta a santificação com a lavagem (que poderia representar a regeneração) e com a justificação (</w:t>
      </w:r>
      <w:hyperlink r:id="rId3047">
        <w:r>
          <w:rPr>
            <w:color w:val="0000EE"/>
            <w:u w:val="single"/>
          </w:rPr>
          <w:t>6.11</w:t>
        </w:r>
      </w:hyperlink>
      <w:r>
        <w:t>). É como se todos os três elementos ocorressem simultaneamente. Paulo diz que os cristãos morreram para o pecado (</w:t>
      </w:r>
      <w:hyperlink r:id="rId19216">
        <w:r>
          <w:rPr>
            <w:color w:val="0000EE"/>
            <w:u w:val="single"/>
          </w:rPr>
          <w:t>Rm 6.2</w:t>
        </w:r>
      </w:hyperlink>
      <w:r>
        <w:t>). Ele usa a morte como uma imagem para explicar que:</w:t>
      </w:r>
    </w:p>
    <w:p>
      <w:pPr>
        <w:pStyle w:val="ListBullet"/>
        <w:spacing w:line="240" w:lineRule="auto"/>
        <w:ind w:left="720"/>
      </w:pPr>
      <w:r/>
      <w:r>
        <w:t>A morte é definitiva;</w:t>
      </w:r>
    </w:p>
    <w:p>
      <w:pPr>
        <w:pStyle w:val="ListBullet"/>
        <w:spacing w:line="240" w:lineRule="auto"/>
        <w:ind w:left="720"/>
      </w:pPr>
      <w:r/>
      <w:r>
        <w:t>A morte não pode ser revertida;</w:t>
      </w:r>
    </w:p>
    <w:p>
      <w:pPr>
        <w:pStyle w:val="ListBullet"/>
        <w:spacing w:line="240" w:lineRule="auto"/>
        <w:ind w:left="720"/>
      </w:pPr>
      <w:r/>
      <w:r>
        <w:t>Quando algo morre, é completamente transformado.</w:t>
      </w:r>
    </w:p>
    <w:p>
      <w:r/>
      <w:r>
        <w:t>Ao usar essa imagem da morte, Paulo ensina que:</w:t>
      </w:r>
    </w:p>
    <w:p>
      <w:pPr>
        <w:pStyle w:val="ListBullet"/>
        <w:spacing w:line="240" w:lineRule="auto"/>
        <w:ind w:left="720"/>
      </w:pPr>
      <w:r/>
      <w:r>
        <w:t>Deus quebra o poder do pecado sobre os cristãos;</w:t>
      </w:r>
    </w:p>
    <w:p>
      <w:pPr>
        <w:pStyle w:val="ListBullet"/>
        <w:spacing w:line="240" w:lineRule="auto"/>
        <w:ind w:left="720"/>
      </w:pPr>
      <w:r/>
      <w:r>
        <w:t>Essa ruptura com o pecado ocorre quando alguém se torna cristão;</w:t>
      </w:r>
    </w:p>
    <w:p>
      <w:pPr>
        <w:pStyle w:val="ListBullet"/>
        <w:spacing w:line="240" w:lineRule="auto"/>
        <w:ind w:left="720"/>
      </w:pPr>
      <w:r/>
      <w:r>
        <w:t>Esta mudança é total e permanente.</w:t>
      </w:r>
    </w:p>
    <w:p>
      <w:r/>
      <w:r>
        <w:t>Essas passagens não ensinam obediência perfeita para todo cristão após a conversão. Tal interpretação nos colocaria em conflito com o ensino claro das Escrituras como um todo. Além disso, deve-se notar que os "santos" de Corinto eram espiritualmente imaturos (</w:t>
      </w:r>
      <w:hyperlink r:id="rId19217">
        <w:r>
          <w:rPr>
            <w:color w:val="0000EE"/>
            <w:u w:val="single"/>
          </w:rPr>
          <w:t>1Co 3.1–3</w:t>
        </w:r>
      </w:hyperlink>
      <w:r>
        <w:t xml:space="preserve">; </w:t>
      </w:r>
      <w:hyperlink r:id="rId19218">
        <w:r>
          <w:rPr>
            <w:color w:val="0000EE"/>
            <w:u w:val="single"/>
          </w:rPr>
          <w:t>6.8</w:t>
        </w:r>
      </w:hyperlink>
      <w:r>
        <w:t xml:space="preserve">; </w:t>
      </w:r>
      <w:hyperlink r:id="rId19219">
        <w:r>
          <w:rPr>
            <w:color w:val="0000EE"/>
            <w:u w:val="single"/>
          </w:rPr>
          <w:t>11.17–22</w:t>
        </w:r>
      </w:hyperlink>
      <w:r>
        <w:t>).</w:t>
      </w:r>
    </w:p>
    <w:p>
      <w:r/>
      <w:r>
        <w:t>Como essas passagens devem ser interpretadas? Alguns escritores sugeriram que Paulo está falando de uma santificação "potencial". Ele está dizendo que, embora nosso relacionamento com o pecado não tenha sido realmente destruído, Deus nos deu o que é necessário para que isso aconteça. Há verdade nessa explicação, porém ela não expressa plenamente a força com que Paulo declara a libertação dos cristãos do poder do pecado.</w:t>
      </w:r>
    </w:p>
    <w:p>
      <w:r/>
      <w:r>
        <w:t xml:space="preserve">Outra maneira de entender essas passagens é chamada de santificação "posicional". De acordo com essa visão, Paulo está falando em termos judiciais sobre nosso status diante de Deus. Podemos ver essa ideia jurídica em </w:t>
      </w:r>
      <w:hyperlink r:id="rId19220">
        <w:r>
          <w:rPr>
            <w:color w:val="0000EE"/>
            <w:u w:val="single"/>
          </w:rPr>
          <w:t>Romanos 6.7</w:t>
        </w:r>
      </w:hyperlink>
      <w:r>
        <w:t xml:space="preserve">, onde Paulo usa a palavra "libertado" no sentido de ser "justificado". Se isso é tudo o que é dito, então sugere que </w:t>
      </w:r>
      <w:hyperlink r:id="rId4417">
        <w:r>
          <w:rPr>
            <w:color w:val="0000EE"/>
            <w:u w:val="single"/>
          </w:rPr>
          <w:t>Romanos 6</w:t>
        </w:r>
      </w:hyperlink>
      <w:r>
        <w:t xml:space="preserve"> simplesmente reafirma a doutrina da justificação. Isso é questionável. Uma visão melhor é que o ensino de Paulo contém a relação de juiz e uma referência à experiência.</w:t>
      </w:r>
    </w:p>
    <w:p>
      <w:pPr>
        <w:pStyle w:val="Heading3"/>
      </w:pPr>
      <w:r>
        <w:t>Santificação progressiva</w:t>
      </w:r>
    </w:p>
    <w:p>
      <w:pPr>
        <w:pStyle w:val="Heading4"/>
      </w:pPr>
      <w:r>
        <w:t>Como os cristãos compreenderam a santificação ao longo da história.</w:t>
      </w:r>
    </w:p>
    <w:p>
      <w:r/>
      <w:r>
        <w:t>Todos os grupos cristãos reconhecem a necessidade de serem transformados pela renovação da mente (</w:t>
      </w:r>
      <w:hyperlink r:id="rId7317">
        <w:r>
          <w:rPr>
            <w:color w:val="0000EE"/>
            <w:u w:val="single"/>
          </w:rPr>
          <w:t>Rm 12.2</w:t>
        </w:r>
      </w:hyperlink>
      <w:r>
        <w:t>). No entanto, os cristãos discordam sobre como essa mudança ocorre. Os Reformadores Protestantes, de modo geral, aderiram ao que alguns chamam de visão “pessimista” ou "duvidosa" da santificação pessoal. Essa perspectiva é descrita na confissão de fé de Westminster (1647). Ela afirma que a santificação “é imperfeita nesta vida; ainda permanecem alguns resquícios de corrupção em cada parte, de onde surge uma guerra contínua e irreconciliável” dentro do crente (XIII.ii). Embora a declaração enfatize o poder de superação do Espírito, alguns cristãos acreditam que sua ideia básica confunde a necessidade e a possibilidade de uma vitória espiritual.</w:t>
      </w:r>
    </w:p>
    <w:p>
      <w:r/>
      <w:r>
        <w:t>João Wesley, que viveu de 1703 a 1791, é frequentemente visto como alguém que respondeu às perspectivas calvinistas e luteranas tradicionais sobre a santificação. Influenciado pelo movimento pietista de sua época, Wesley enfatizou os aspectos experienciais do cristianismo e desenvolveu a ideia de que a "santificação total" pode ser alcançada nesta vida, embora nem sempre tenha sido consistente em seus ensinamentos.</w:t>
      </w:r>
    </w:p>
    <w:p>
      <w:r/>
      <w:r>
        <w:t>No século 19, muitos cristãos se interessaram pela ideia de perfeição, embora não em um sentido absoluto. Alguns acreditavam que a perfeição vinha da remoção completa do pecado, enquanto outros pensavam que se tratava de alcançar a vitória espiritual sobre o pecado que ainda existe no coração de um crente. Esta última visão é central para o movimento da Vida Vitoriosa (também chamado de movimento da Vida Superior, ou Keswickianismo). Este movimento começou no início dos anos 1900. O teólogo Benjamin B. Warfield, que viveu de 1851 a 1921, criticou esses vários grupos perfeccionistas. Embora o debate tenha continuado, não é tão intenso quanto já foi.</w:t>
      </w:r>
    </w:p>
    <w:p>
      <w:pPr>
        <w:pStyle w:val="Heading4"/>
      </w:pPr>
      <w:r>
        <w:rPr>
          <w:b/>
        </w:rPr>
        <w:t>O equilíbrio entre a graça divina e o esforço humano no crescimento espiritual</w:t>
      </w:r>
    </w:p>
    <w:p>
      <w:r/>
      <w:r>
        <w:t>Grande parte da controvérsia em torno da santificação centra-se no papel humano no processo. Embora todos os cristãos concordem que a santidade é impossível sem a ajuda de Deus, definir como essa verdade influencia a ação individual é desafiador. Na tradição católica romana, há uma ênfase significativa no poder purificador do batismo e no mérito das boas obras, o que levanta questões sobre se a importância da graça divina é negligenciada. No outro extremo do espectro estão alguns defensores do movimento da Vida Vitoriosa, que enfatizam a ideia de “deixe ir e deixe Deus agir”. Embora este slogan possa ser valioso quando usado adequadamente, às vezes pode implicar que os crentes devem ser completamente passivos em sua santificação.</w:t>
      </w:r>
    </w:p>
    <w:p>
      <w:r/>
      <w:hyperlink r:id="rId17443">
        <w:r>
          <w:rPr>
            <w:color w:val="0000EE"/>
            <w:u w:val="single"/>
          </w:rPr>
          <w:t xml:space="preserve">Filipenses 2.12–13 </w:t>
        </w:r>
      </w:hyperlink>
      <w:r>
        <w:t>é o versículo mais importante sobre este tema. Paulo contrasta o comando de desenvolver a própria salvação com a declaração de que é Deus quem fornece a força espiritual necessária para essa tarefa. Pode ser tentador focar apenas na primeira parte dessa declaração, ignorando a importância da segunda. Em vez disso, alguém pode focar na ênfase de Paulo na graça divina, onde a responsabilidade pessoal é negligenciada. No entanto, o apóstolo parece ter mantido intencionalmente um equilíbrio cuidadoso entre essas duas verdades.</w:t>
      </w:r>
    </w:p>
    <w:p>
      <w:r/>
      <w:r>
        <w:t>A santificação requer disciplina, concentração e esforço. Isso é evidente pelos muitos mandamentos das Escrituras. Alguns mandamentos importantes são aqueles onde a vida cristã é descrita com ideias como correr e lutar (</w:t>
      </w:r>
      <w:hyperlink r:id="rId5807">
        <w:r>
          <w:rPr>
            <w:color w:val="0000EE"/>
            <w:u w:val="single"/>
          </w:rPr>
          <w:t>1Co 9.24–27</w:t>
        </w:r>
      </w:hyperlink>
      <w:r>
        <w:t xml:space="preserve">; </w:t>
      </w:r>
      <w:hyperlink r:id="rId17348">
        <w:r>
          <w:rPr>
            <w:color w:val="0000EE"/>
            <w:u w:val="single"/>
          </w:rPr>
          <w:t>Ef 6.10–17</w:t>
        </w:r>
      </w:hyperlink>
      <w:r>
        <w:t>).</w:t>
      </w:r>
    </w:p>
    <w:p>
      <w:r/>
      <w:r>
        <w:t>No entanto, os cristãos devem sempre resistir à tentação de pensar que podem se santificar, acreditando que o poder espiritual vem de dentro e que podem contar apenas com sua própria força. Isso cria uma tensão desafiadora, muito semelhante ao paradoxo da oração: “Por que orar quando Deus, que conhece nossas necessidades e que é todo sábio e poderoso, sempre fará o que é melhor de qualquer maneira?”.</w:t>
      </w:r>
    </w:p>
    <w:p>
      <w:r/>
      <w:r>
        <w:t>Talvez o verdadeiro "segredo" da santidade esteja em aprender a manter esse equilíbrio: confiar plenamente em Deus como o verdadeiro agente na santificação, enquanto também cumpre fielmente a responsabilidade pessoal.</w:t>
      </w:r>
    </w:p>
    <w:p>
      <w:r/>
      <w:r>
        <w:rPr>
          <w:i/>
        </w:rPr>
        <w:t>Veja também</w:t>
      </w:r>
      <w:r>
        <w:t xml:space="preserve"> </w:t>
      </w:r>
      <w:r>
        <w:t>Santidade</w:t>
      </w:r>
      <w:r>
        <w:t xml:space="preserve">; </w:t>
      </w:r>
      <w:r>
        <w:t>Justificação, Justificado</w:t>
      </w:r>
      <w:r>
        <w:t>.</w:t>
      </w:r>
      <w:r/>
      <w:r/>
    </w:p>
    <w:p>
      <w:r/>
    </w:p>
    <w:p>
      <w:pPr>
        <w:pStyle w:val="Heading2"/>
      </w:pPr>
      <w:r>
        <w:t>Santos</w:t>
      </w:r>
      <w:r/>
    </w:p>
    <w:p>
      <w:r/>
      <w:r>
        <w:t>Um santo é uma pessoa que acredita em Jesus e pertence a Deus. A palavra "santo" significa "alguém separado para Deus".</w:t>
      </w:r>
    </w:p>
    <w:p>
      <w:r/>
      <w:r>
        <w:t>Os crentes do Antigo Testamento foram chamados para serem “santos”, ou separados para Deus (</w:t>
      </w:r>
      <w:hyperlink r:id="rId1595">
        <w:r>
          <w:rPr>
            <w:color w:val="0000EE"/>
            <w:u w:val="single"/>
          </w:rPr>
          <w:t>Êx 22.31</w:t>
        </w:r>
      </w:hyperlink>
      <w:r>
        <w:t xml:space="preserve">; </w:t>
      </w:r>
      <w:hyperlink r:id="rId12858">
        <w:r>
          <w:rPr>
            <w:color w:val="0000EE"/>
            <w:u w:val="single"/>
          </w:rPr>
          <w:t>Lv 11.44</w:t>
        </w:r>
      </w:hyperlink>
      <w:r>
        <w:t>). No Novo Testamento, “santos” tornou-se o nome favorito do apóstolo Paulo para os cristãos (</w:t>
      </w:r>
      <w:hyperlink r:id="rId4380">
        <w:r>
          <w:rPr>
            <w:color w:val="0000EE"/>
            <w:u w:val="single"/>
          </w:rPr>
          <w:t>Rm 1.7</w:t>
        </w:r>
      </w:hyperlink>
      <w:r>
        <w:t xml:space="preserve">; </w:t>
      </w:r>
      <w:hyperlink r:id="rId5712">
        <w:r>
          <w:rPr>
            <w:color w:val="0000EE"/>
            <w:u w:val="single"/>
          </w:rPr>
          <w:t>8.27</w:t>
        </w:r>
      </w:hyperlink>
      <w:r>
        <w:t xml:space="preserve">; </w:t>
      </w:r>
      <w:hyperlink r:id="rId19221">
        <w:r>
          <w:rPr>
            <w:color w:val="0000EE"/>
            <w:u w:val="single"/>
          </w:rPr>
          <w:t>12.13</w:t>
        </w:r>
      </w:hyperlink>
      <w:r>
        <w:t xml:space="preserve">; </w:t>
      </w:r>
      <w:hyperlink r:id="rId19222">
        <w:r>
          <w:rPr>
            <w:color w:val="0000EE"/>
            <w:u w:val="single"/>
          </w:rPr>
          <w:t>15.25–26,31</w:t>
        </w:r>
      </w:hyperlink>
      <w:r>
        <w:t xml:space="preserve">; </w:t>
      </w:r>
      <w:hyperlink r:id="rId19223">
        <w:r>
          <w:rPr>
            <w:color w:val="0000EE"/>
            <w:u w:val="single"/>
          </w:rPr>
          <w:t>16.2,15</w:t>
        </w:r>
      </w:hyperlink>
      <w:r>
        <w:t>; além de 31 outros lugares nas cartas de Paulo). O nome também é usado 14 vezes no livro de Apocalipse. Outros escritores do Novo Testamento o usaram ocasionalmente (</w:t>
      </w:r>
      <w:hyperlink r:id="rId10384">
        <w:r>
          <w:rPr>
            <w:color w:val="0000EE"/>
            <w:u w:val="single"/>
          </w:rPr>
          <w:t>Hb 6.10</w:t>
        </w:r>
      </w:hyperlink>
      <w:r>
        <w:t xml:space="preserve">; </w:t>
      </w:r>
      <w:hyperlink r:id="rId10395">
        <w:r>
          <w:rPr>
            <w:color w:val="0000EE"/>
            <w:u w:val="single"/>
          </w:rPr>
          <w:t>13.24</w:t>
        </w:r>
      </w:hyperlink>
      <w:r>
        <w:t xml:space="preserve">; </w:t>
      </w:r>
      <w:hyperlink r:id="rId12368">
        <w:r>
          <w:rPr>
            <w:color w:val="0000EE"/>
            <w:u w:val="single"/>
          </w:rPr>
          <w:t>Jd 1.3</w:t>
        </w:r>
      </w:hyperlink>
      <w:r>
        <w:t>).</w:t>
      </w:r>
    </w:p>
    <w:p>
      <w:r/>
      <w:r>
        <w:t>Ser chamado de santo significa que os cristãos devem viver vidas santas (</w:t>
      </w:r>
      <w:hyperlink r:id="rId6881">
        <w:r>
          <w:rPr>
            <w:color w:val="0000EE"/>
            <w:u w:val="single"/>
          </w:rPr>
          <w:t>Hb 12.10</w:t>
        </w:r>
      </w:hyperlink>
      <w:r>
        <w:t xml:space="preserve">; </w:t>
      </w:r>
      <w:hyperlink r:id="rId11042">
        <w:r>
          <w:rPr>
            <w:color w:val="0000EE"/>
            <w:u w:val="single"/>
          </w:rPr>
          <w:t>Ap 22.11</w:t>
        </w:r>
      </w:hyperlink>
      <w:r>
        <w:t>). Deus os escolheu para serem seu povo especial, como sacerdotes que o servem. Eles devem viver de maneira diferente das pessoas que não seguem a Deus (</w:t>
      </w:r>
      <w:hyperlink r:id="rId16747">
        <w:r>
          <w:rPr>
            <w:color w:val="0000EE"/>
            <w:u w:val="single"/>
          </w:rPr>
          <w:t>1Pe 1.15–16</w:t>
        </w:r>
      </w:hyperlink>
      <w:r>
        <w:t xml:space="preserve">; </w:t>
      </w:r>
      <w:hyperlink r:id="rId19224">
        <w:r>
          <w:rPr>
            <w:color w:val="0000EE"/>
            <w:u w:val="single"/>
          </w:rPr>
          <w:t>2.5,9</w:t>
        </w:r>
      </w:hyperlink>
      <w:r>
        <w:t>). Além disso, eles são o povo da era vindoura, que governará com Deus sobre a terra e os anjos.</w:t>
      </w:r>
      <w:r/>
      <w:r/>
    </w:p>
    <w:p>
      <w:r/>
    </w:p>
    <w:p>
      <w:pPr>
        <w:pStyle w:val="Heading2"/>
      </w:pPr>
      <w:r>
        <w:t>Santuário</w:t>
      </w:r>
      <w:r/>
    </w:p>
    <w:p>
      <w:r/>
      <w:r>
        <w:t>Tradução de duas palavras hebraicas, kodesh e midkosh</w:t>
      </w:r>
      <w:r>
        <w:rPr>
          <w:i/>
        </w:rPr>
        <w:t>,</w:t>
      </w:r>
      <w:r>
        <w:t xml:space="preserve"> ambas derivadas do verbo "ser limpo" e/ou "ser santo". Aparecem aproximadamente 60 vezes em Êxodo, Levítico e Números, onde a construção, movimentação e uso inicial da Tenda Sagrada (Tabernáculo) são relatados. Lugares de revelação, sacrifício e adoração são mencionados em Deuteronômio, mas não pelo termo "santuário". O termo aparece mais de 60 vezes em Ezequiel, Daniel e escritos pós-exílicos devido à importância que o santuário teve na vida de Israel durante e após o exílio.</w:t>
      </w:r>
    </w:p>
    <w:p>
      <w:r/>
      <w:r>
        <w:t>“Santuário” refere-se ao lugar onde Deus apareceu e/ou habitou, conforme indicado pela presença da arca. A Palavra de Deus era guardada e emanava de lá. Ali, o povo de Deus se reunia para o sacrifício, para ouvir a palavra da aliança, para adoração e oração, e para a celebração das principais festas.</w:t>
      </w:r>
    </w:p>
    <w:p>
      <w:r/>
      <w:r>
        <w:t>Os patriarcas tinham locais de adoração (</w:t>
      </w:r>
      <w:hyperlink r:id="rId19225">
        <w:r>
          <w:rPr>
            <w:color w:val="0000EE"/>
            <w:u w:val="single"/>
          </w:rPr>
          <w:t>Gn 26.24–25</w:t>
        </w:r>
      </w:hyperlink>
      <w:r>
        <w:t xml:space="preserve">; </w:t>
      </w:r>
      <w:hyperlink r:id="rId19226">
        <w:r>
          <w:rPr>
            <w:color w:val="0000EE"/>
            <w:u w:val="single"/>
          </w:rPr>
          <w:t>28.16–22</w:t>
        </w:r>
      </w:hyperlink>
      <w:r>
        <w:t>), mas não um santuário propriamente dito. A primeira referência a um santuário (</w:t>
      </w:r>
      <w:hyperlink r:id="rId10522">
        <w:r>
          <w:rPr>
            <w:color w:val="0000EE"/>
            <w:u w:val="single"/>
          </w:rPr>
          <w:t>Êx 15.17</w:t>
        </w:r>
      </w:hyperlink>
      <w:r>
        <w:t>) fala dele como um símbolo da habitação de Deus entre seu povo e de seu governo sobre eles a partir de dentro dele. A Tenda Sagrada, movida de lugar em lugar, foi o santuário central até o momento em que Salomão construiu o Templo em Jerusalém. Deve-se enfatizar que o povo de Deus deveria ter um santuário central (</w:t>
      </w:r>
      <w:hyperlink r:id="rId19227">
        <w:r>
          <w:rPr>
            <w:color w:val="0000EE"/>
            <w:u w:val="single"/>
          </w:rPr>
          <w:t>Dt 12.4–7</w:t>
        </w:r>
      </w:hyperlink>
      <w:r>
        <w:t xml:space="preserve">; </w:t>
      </w:r>
      <w:hyperlink r:id="rId19228">
        <w:r>
          <w:rPr>
            <w:color w:val="0000EE"/>
            <w:u w:val="single"/>
          </w:rPr>
          <w:t>16.5–8</w:t>
        </w:r>
      </w:hyperlink>
      <w:r>
        <w:t>).</w:t>
      </w:r>
    </w:p>
    <w:p>
      <w:r/>
      <w:r>
        <w:t>O NT refere-se ao santuário do AT como um tipo de prenúncio da habitação eterna de Deus com e entre seu povo (</w:t>
      </w:r>
      <w:hyperlink r:id="rId19229">
        <w:r>
          <w:rPr>
            <w:color w:val="0000EE"/>
            <w:u w:val="single"/>
          </w:rPr>
          <w:t>Hb 8.5–6</w:t>
        </w:r>
      </w:hyperlink>
      <w:r>
        <w:t xml:space="preserve">; </w:t>
      </w:r>
      <w:hyperlink r:id="rId19230">
        <w:r>
          <w:rPr>
            <w:color w:val="0000EE"/>
            <w:u w:val="single"/>
          </w:rPr>
          <w:t>9.1–14</w:t>
        </w:r>
      </w:hyperlink>
      <w:r>
        <w:t>).</w:t>
      </w:r>
    </w:p>
    <w:p>
      <w:r/>
      <w:r>
        <w:rPr>
          <w:i/>
        </w:rPr>
        <w:t>Veja também</w:t>
      </w:r>
      <w:r>
        <w:t xml:space="preserve"> </w:t>
      </w:r>
      <w:r>
        <w:t>Tabernáculo</w:t>
      </w:r>
      <w:r>
        <w:t xml:space="preserve">; </w:t>
      </w:r>
      <w:r>
        <w:t>Templo</w:t>
      </w:r>
      <w:r>
        <w:t>.</w:t>
      </w:r>
      <w:r/>
      <w:r/>
    </w:p>
    <w:p>
      <w:r/>
    </w:p>
    <w:p>
      <w:pPr>
        <w:pStyle w:val="Heading2"/>
      </w:pPr>
      <w:r>
        <w:t>Sapo</w:t>
      </w:r>
      <w:r/>
    </w:p>
    <w:p>
      <w:r/>
      <w:r>
        <w:t>Um sapo é um animal que vive tanto na água quanto na terra. Ele tem pele lisa e não tem cauda. Na Bíblia, os sapos fizeram parte da segunda praga que Deus enviou ao Egito (</w:t>
      </w:r>
      <w:hyperlink r:id="rId1691">
        <w:r>
          <w:rPr>
            <w:color w:val="0000EE"/>
            <w:u w:val="single"/>
          </w:rPr>
          <w:t>Êx 8</w:t>
        </w:r>
      </w:hyperlink>
      <w:r>
        <w:t xml:space="preserve">; </w:t>
      </w:r>
      <w:hyperlink r:id="rId1663">
        <w:r>
          <w:rPr>
            <w:color w:val="0000EE"/>
            <w:u w:val="single"/>
          </w:rPr>
          <w:t>Sl 78.45</w:t>
        </w:r>
      </w:hyperlink>
      <w:r>
        <w:t xml:space="preserve">; </w:t>
      </w:r>
      <w:hyperlink r:id="rId1681">
        <w:r>
          <w:rPr>
            <w:color w:val="0000EE"/>
            <w:u w:val="single"/>
          </w:rPr>
          <w:t>105.30</w:t>
        </w:r>
      </w:hyperlink>
      <w:r>
        <w:t xml:space="preserve">; </w:t>
      </w:r>
      <w:hyperlink r:id="rId1648">
        <w:r>
          <w:rPr>
            <w:color w:val="0000EE"/>
            <w:u w:val="single"/>
          </w:rPr>
          <w:t>Ap 16.13</w:t>
        </w:r>
      </w:hyperlink>
      <w:r>
        <w:t>).</w:t>
      </w:r>
    </w:p>
    <w:p>
      <w:r/>
      <w:r>
        <w:t xml:space="preserve">Sapos e rãs têm pele lisa, sem pelos, e não possuem caudas quando adultos. Suas patas traseiras são mais longas e fortes do que as dianteiras, o que os torna capazes de pular longas distâncias. A Bíblia provavelmente se refere à rã comestível </w:t>
      </w:r>
      <w:r>
        <w:rPr>
          <w:i/>
        </w:rPr>
        <w:t>(Rana ridibunda)</w:t>
      </w:r>
      <w:r>
        <w:t xml:space="preserve"> encontrada no Egito e na Palestina.</w:t>
      </w:r>
    </w:p>
    <w:p>
      <w:r/>
      <w:r>
        <w:t>As rãs fêmeas põem ovos na água, que eclodem em girinos em uma semana. Os girinos então desenvolvem braços e pernas e perdem suas caudas. As rãs precisam de pele úmida para respirar, por isso permanecem perto da água. Elas se alimentam de insetos e vermes.</w:t>
      </w:r>
    </w:p>
    <w:p>
      <w:r/>
      <w:r>
        <w:t>Rãs são comuns nas planícies da Palestina. Você pode ouvi-las coaxando nas noites de primavera e verão. Os israelitas achavam que as rãs eram viscosas e sujas. Elas eram agrupadas com outras criaturas rastejantes e enxameantes, que normalmente eram consideradas impuras (</w:t>
      </w:r>
      <w:hyperlink r:id="rId1679">
        <w:r>
          <w:rPr>
            <w:color w:val="0000EE"/>
            <w:u w:val="single"/>
          </w:rPr>
          <w:t>Lv 11.29–31</w:t>
        </w:r>
      </w:hyperlink>
      <w:r>
        <w:t>). Como a rã não estava listada, os rabinos não a consideravam um animal que tornava os humanos impuros através do contato.</w:t>
      </w:r>
    </w:p>
    <w:p>
      <w:r/>
      <w:r>
        <w:t xml:space="preserve">Em </w:t>
      </w:r>
      <w:hyperlink r:id="rId1648">
        <w:r>
          <w:rPr>
            <w:color w:val="0000EE"/>
            <w:u w:val="single"/>
          </w:rPr>
          <w:t>Apocalipse 16.13</w:t>
        </w:r>
      </w:hyperlink>
      <w:r>
        <w:t>, alguns espíritos malignos pareciam sapos. No antigo Egito, as pessoas consideravam os sapos especiais e os associavam com nova vida e o nascimento de bebês. Eles adoravam um deus chamado Heqet, que acreditavam ajudar no parto. A arte egípcia retratava Heqet como uma pessoa com cabeça de sapo.</w:t>
      </w:r>
    </w:p>
    <w:p>
      <w:r/>
      <w:r>
        <w:t>Quando Deus enviou a praga de rãs ao Egito (</w:t>
      </w:r>
      <w:hyperlink r:id="rId1680">
        <w:r>
          <w:rPr>
            <w:color w:val="0000EE"/>
            <w:u w:val="single"/>
          </w:rPr>
          <w:t>Êx 8.1–14</w:t>
        </w:r>
      </w:hyperlink>
      <w:r>
        <w:t xml:space="preserve">; </w:t>
      </w:r>
      <w:hyperlink r:id="rId1663">
        <w:r>
          <w:rPr>
            <w:color w:val="0000EE"/>
            <w:u w:val="single"/>
          </w:rPr>
          <w:t>Sl 78.45</w:t>
        </w:r>
      </w:hyperlink>
      <w:r>
        <w:t xml:space="preserve">; </w:t>
      </w:r>
      <w:hyperlink r:id="rId1681">
        <w:r>
          <w:rPr>
            <w:color w:val="0000EE"/>
            <w:u w:val="single"/>
          </w:rPr>
          <w:t>105.30</w:t>
        </w:r>
      </w:hyperlink>
      <w:r>
        <w:t xml:space="preserve">), mostrou que Heqet não tinha poder real. Deus usou o próprio animal que os egípcios adoravam para causar-lhes problemas. As rãs no Egito durante esse tempo eram provavelmente de um tipo comum que tinha manchas na pele </w:t>
      </w:r>
      <w:r>
        <w:rPr>
          <w:i/>
        </w:rPr>
        <w:t>(Rana punctata</w:t>
      </w:r>
      <w:r>
        <w:t xml:space="preserve"> ou </w:t>
      </w:r>
      <w:r>
        <w:rPr>
          <w:i/>
        </w:rPr>
        <w:t>Rana ridibunda).</w:t>
      </w:r>
    </w:p>
    <w:p>
      <w:r/>
      <w:r>
        <w:rPr>
          <w:i/>
        </w:rPr>
        <w:t>Veja também</w:t>
      </w:r>
      <w:r>
        <w:t xml:space="preserve"> </w:t>
      </w:r>
      <w:r>
        <w:t>As pragas sobre o Egito</w:t>
      </w:r>
      <w:r>
        <w:t>.</w:t>
      </w:r>
      <w:r/>
      <w:r/>
    </w:p>
    <w:p>
      <w:r/>
    </w:p>
    <w:p>
      <w:pPr>
        <w:pStyle w:val="Heading2"/>
      </w:pPr>
      <w:r>
        <w:t>Sara</w:t>
      </w:r>
      <w:r/>
    </w:p>
    <w:p>
      <w:pPr>
        <w:pStyle w:val="ListNumber"/>
        <w:spacing w:line="240" w:lineRule="auto"/>
        <w:ind w:left="720"/>
      </w:pPr>
      <w:r/>
      <w:r>
        <w:t>A esposa de Abraão. O nome de Sara era originalmente Sarai (</w:t>
      </w:r>
      <w:hyperlink r:id="rId9820">
        <w:r>
          <w:rPr>
            <w:color w:val="0000EE"/>
            <w:u w:val="single"/>
          </w:rPr>
          <w:t>Gn 11.29</w:t>
        </w:r>
      </w:hyperlink>
      <w:r>
        <w:t>). Deus mudou seu nome para Sara (que significa "princesa") quando prometeu que ela teria um filho e se tornaria a mãe de nações e reis (</w:t>
      </w:r>
      <w:hyperlink r:id="rId19231">
        <w:r>
          <w:rPr>
            <w:color w:val="0000EE"/>
            <w:u w:val="single"/>
          </w:rPr>
          <w:t>17.15–16</w:t>
        </w:r>
      </w:hyperlink>
      <w:r>
        <w:t>). Sara era tanto a esposa quanto a meia-irmã de Abraão (</w:t>
      </w:r>
      <w:hyperlink r:id="rId4543">
        <w:r>
          <w:rPr>
            <w:color w:val="0000EE"/>
            <w:u w:val="single"/>
          </w:rPr>
          <w:t>20.12</w:t>
        </w:r>
      </w:hyperlink>
      <w:r>
        <w:t>).</w:t>
      </w:r>
    </w:p>
    <w:p>
      <w:r/>
      <w:r>
        <w:t>Sara acompanhou Abraão em sua jornada de Ur dos Caldeus para Harã e, eventualmente, para a terra de Canaã (</w:t>
      </w:r>
      <w:hyperlink r:id="rId160">
        <w:r>
          <w:rPr>
            <w:color w:val="0000EE"/>
            <w:u w:val="single"/>
          </w:rPr>
          <w:t>Gn 11.31</w:t>
        </w:r>
      </w:hyperlink>
      <w:r>
        <w:t xml:space="preserve">; </w:t>
      </w:r>
      <w:hyperlink r:id="rId19232">
        <w:r>
          <w:rPr>
            <w:color w:val="0000EE"/>
            <w:u w:val="single"/>
          </w:rPr>
          <w:t>12.5</w:t>
        </w:r>
      </w:hyperlink>
      <w:r>
        <w:t>). Por muitos anos, ela não pôde ter filhos. Quando Deus prometeu a Abraão que faria dele uma grande nação (</w:t>
      </w:r>
      <w:hyperlink r:id="rId791">
        <w:r>
          <w:rPr>
            <w:color w:val="0000EE"/>
            <w:u w:val="single"/>
          </w:rPr>
          <w:t>12.2</w:t>
        </w:r>
      </w:hyperlink>
      <w:r>
        <w:t xml:space="preserve">) e que a terra de Canaã seria dada à sua descendência (v. </w:t>
      </w:r>
      <w:hyperlink r:id="rId163">
        <w:r>
          <w:rPr>
            <w:color w:val="0000EE"/>
            <w:u w:val="single"/>
          </w:rPr>
          <w:t>7</w:t>
        </w:r>
      </w:hyperlink>
      <w:r>
        <w:t>), Sara continuou incapaz de ter filhos.</w:t>
      </w:r>
    </w:p>
    <w:p>
      <w:r/>
      <w:r>
        <w:t xml:space="preserve">Após 10 anos, Sara ainda não tinha filhos (cp. </w:t>
      </w:r>
      <w:hyperlink r:id="rId6209">
        <w:r>
          <w:rPr>
            <w:color w:val="0000EE"/>
            <w:u w:val="single"/>
          </w:rPr>
          <w:t>Gn 12.4</w:t>
        </w:r>
      </w:hyperlink>
      <w:r>
        <w:t xml:space="preserve">; </w:t>
      </w:r>
      <w:hyperlink r:id="rId11388">
        <w:r>
          <w:rPr>
            <w:color w:val="0000EE"/>
            <w:u w:val="single"/>
          </w:rPr>
          <w:t>16.16</w:t>
        </w:r>
      </w:hyperlink>
      <w:r>
        <w:t>). Então, ela deu sua escrava egípcia, Agar, a Abraão como concubina. Agar teve um filho chamado Ismael (</w:t>
      </w:r>
      <w:hyperlink r:id="rId19233">
        <w:r>
          <w:rPr>
            <w:color w:val="0000EE"/>
            <w:u w:val="single"/>
          </w:rPr>
          <w:t>16.3–4</w:t>
        </w:r>
      </w:hyperlink>
      <w:r>
        <w:t>). Deus prometeu que uma nação viria de Ismael (</w:t>
      </w:r>
      <w:hyperlink r:id="rId4926">
        <w:r>
          <w:rPr>
            <w:color w:val="0000EE"/>
            <w:u w:val="single"/>
          </w:rPr>
          <w:t>17.20</w:t>
        </w:r>
      </w:hyperlink>
      <w:r>
        <w:t>). Mas Deus disse que Ismael não era o filho que Ele havia prometido. A própria Sara seria a mãe desse filho, mesmo que ela tenha rido quando o nascimento foi predito. O cumprimento dessa predição ocorreu com o nascimento de Isaque (</w:t>
      </w:r>
      <w:hyperlink r:id="rId19234">
        <w:r>
          <w:rPr>
            <w:color w:val="0000EE"/>
            <w:u w:val="single"/>
          </w:rPr>
          <w:t>21.2–3</w:t>
        </w:r>
      </w:hyperlink>
      <w:r>
        <w:t>). Sara tinha 90 anos, 25 anos depois de Deus ter prometido pela primeira vez que Abraão teria filhos (</w:t>
      </w:r>
      <w:hyperlink r:id="rId157">
        <w:r>
          <w:rPr>
            <w:color w:val="0000EE"/>
            <w:u w:val="single"/>
          </w:rPr>
          <w:t>17.17</w:t>
        </w:r>
      </w:hyperlink>
      <w:r>
        <w:t xml:space="preserve">; </w:t>
      </w:r>
      <w:hyperlink r:id="rId6210">
        <w:r>
          <w:rPr>
            <w:color w:val="0000EE"/>
            <w:u w:val="single"/>
          </w:rPr>
          <w:t>21.5</w:t>
        </w:r>
      </w:hyperlink>
      <w:r>
        <w:t>).</w:t>
      </w:r>
    </w:p>
    <w:p>
      <w:r/>
      <w:r>
        <w:t>Quando Abraão e Sara chegaram pela primeira vez em Canaã, tiveram que viajar para o Egito porque não havia comida suficiente em Canaã. Abraão disse aos egípcios que Sara era apenas sua irmã, não sua esposa. Como Sara era muito bonita, o Faraó (o rei do Egito) a levou para seu palácio (</w:t>
      </w:r>
      <w:hyperlink r:id="rId19235">
        <w:r>
          <w:rPr>
            <w:color w:val="0000EE"/>
            <w:u w:val="single"/>
          </w:rPr>
          <w:t>Gn 12.11–15</w:t>
        </w:r>
      </w:hyperlink>
      <w:r>
        <w:t>). Os egípcios trataram bem Abraão em vez de matá-lo. Deus protegeu o casamento de Sara e Abraão enviando pragas à casa do Faraó até que ele libertasse Sara.</w:t>
      </w:r>
    </w:p>
    <w:p>
      <w:r/>
      <w:r>
        <w:t xml:space="preserve">Um evento semelhante ocorreu em Gerar, onde o rei Abimeleque levou Sara para sua casa (cap. </w:t>
      </w:r>
      <w:hyperlink r:id="rId91">
        <w:r>
          <w:rPr>
            <w:color w:val="0000EE"/>
            <w:u w:val="single"/>
          </w:rPr>
          <w:t>20</w:t>
        </w:r>
      </w:hyperlink>
      <w:r>
        <w:t>). Novamente, Deus protegeu Sara e a manteve como a mãe do filho prometido. Deus garantiu que não haveria dúvida de que Isaque era filho de Abraão e Sara. Isaque nasceu logo após esse evento (</w:t>
      </w:r>
      <w:hyperlink r:id="rId19236">
        <w:r>
          <w:rPr>
            <w:color w:val="0000EE"/>
            <w:u w:val="single"/>
          </w:rPr>
          <w:t>21.1–5</w:t>
        </w:r>
      </w:hyperlink>
      <w:r>
        <w:t>). Isso foi cerca de um ano depois de Deus ter prometido seu nascimento (</w:t>
      </w:r>
      <w:hyperlink r:id="rId19237">
        <w:r>
          <w:rPr>
            <w:color w:val="0000EE"/>
            <w:u w:val="single"/>
          </w:rPr>
          <w:t>17.21</w:t>
        </w:r>
      </w:hyperlink>
      <w:r>
        <w:t xml:space="preserve">; </w:t>
      </w:r>
      <w:hyperlink r:id="rId2010">
        <w:r>
          <w:rPr>
            <w:color w:val="0000EE"/>
            <w:u w:val="single"/>
          </w:rPr>
          <w:t>18.10–14</w:t>
        </w:r>
      </w:hyperlink>
      <w:r>
        <w:t xml:space="preserve">). Sara morreu aos 127 anos. Ela foi enterrada na caverna de Macpela, que Abraão havia comprado de Efrom, o hitita (cap. </w:t>
      </w:r>
      <w:hyperlink r:id="rId179">
        <w:r>
          <w:rPr>
            <w:color w:val="0000EE"/>
            <w:u w:val="single"/>
          </w:rPr>
          <w:t>23</w:t>
        </w:r>
      </w:hyperlink>
      <w:r>
        <w:t>).</w:t>
      </w:r>
    </w:p>
    <w:p>
      <w:r/>
      <w:r>
        <w:t xml:space="preserve">Além do livro de Gênesis, Sara é mencionada no Antigo Testamento apenas em </w:t>
      </w:r>
      <w:hyperlink r:id="rId19238">
        <w:r>
          <w:rPr>
            <w:color w:val="0000EE"/>
            <w:u w:val="single"/>
          </w:rPr>
          <w:t>Isaías 51.2</w:t>
        </w:r>
      </w:hyperlink>
      <w:r>
        <w:t xml:space="preserve">. O Novo Testamento a menciona em </w:t>
      </w:r>
      <w:hyperlink r:id="rId792">
        <w:r>
          <w:rPr>
            <w:color w:val="0000EE"/>
            <w:u w:val="single"/>
          </w:rPr>
          <w:t>Romanos 4.19</w:t>
        </w:r>
      </w:hyperlink>
      <w:r>
        <w:t xml:space="preserve">, </w:t>
      </w:r>
      <w:hyperlink r:id="rId19239">
        <w:r>
          <w:rPr>
            <w:color w:val="0000EE"/>
            <w:u w:val="single"/>
          </w:rPr>
          <w:t>9.9</w:t>
        </w:r>
      </w:hyperlink>
      <w:r>
        <w:t xml:space="preserve">, </w:t>
      </w:r>
      <w:hyperlink r:id="rId19240">
        <w:r>
          <w:rPr>
            <w:color w:val="0000EE"/>
            <w:u w:val="single"/>
          </w:rPr>
          <w:t>Hebreus 11.11</w:t>
        </w:r>
      </w:hyperlink>
      <w:r>
        <w:t xml:space="preserve">, </w:t>
      </w:r>
      <w:hyperlink r:id="rId16761">
        <w:r>
          <w:rPr>
            <w:color w:val="0000EE"/>
            <w:u w:val="single"/>
          </w:rPr>
          <w:t>1 Pedro 3.6</w:t>
        </w:r>
      </w:hyperlink>
      <w:r>
        <w:t xml:space="preserve"> e </w:t>
      </w:r>
      <w:hyperlink r:id="rId4371">
        <w:r>
          <w:rPr>
            <w:color w:val="0000EE"/>
            <w:u w:val="single"/>
          </w:rPr>
          <w:t>Gálatas 4.21–31</w:t>
        </w:r>
      </w:hyperlink>
      <w:r>
        <w:t>, embora no texto de Gálatas ela não seja mencionada pelo nome.</w:t>
      </w:r>
    </w:p>
    <w:p>
      <w:r/>
      <w:r>
        <w:rPr>
          <w:i/>
        </w:rPr>
        <w:t>Veja também</w:t>
      </w:r>
      <w:r>
        <w:t xml:space="preserve"> </w:t>
      </w:r>
      <w:r>
        <w:t>Abraão</w:t>
      </w:r>
      <w:r>
        <w:t xml:space="preserve">; </w:t>
      </w:r>
      <w:r>
        <w:t>Esterilidade</w:t>
      </w:r>
      <w:r>
        <w:t>.</w:t>
      </w:r>
    </w:p>
    <w:p>
      <w:pPr>
        <w:pStyle w:val="ListNumber"/>
        <w:spacing w:line="240" w:lineRule="auto"/>
        <w:ind w:left="720"/>
      </w:pPr>
      <w:r/>
      <w:r>
        <w:t>A heroína (personagem feminina principal) do livro de Tobias. A oração angustiada de Sara foi ouvida por Deus, que enviou o anjo Rafael como casamenteiro para arranjar seu casamento com Tobias (</w:t>
      </w:r>
      <w:hyperlink r:id="rId19241">
        <w:r>
          <w:rPr>
            <w:color w:val="0000EE"/>
            <w:u w:val="single"/>
          </w:rPr>
          <w:t>Tb 6.9 ss.</w:t>
        </w:r>
      </w:hyperlink>
      <w:r>
        <w:t>). Sara havia sido atormentada por um demônio, que causou a morte de seus sete maridos anteriores. Tobias exorcizou o demônio usando uma receita de coração e fígado de peixe que foi dada a ele pelo anjo Rafael (</w:t>
      </w:r>
      <w:hyperlink r:id="rId19242">
        <w:r>
          <w:rPr>
            <w:color w:val="0000EE"/>
            <w:u w:val="single"/>
          </w:rPr>
          <w:t>8.2</w:t>
        </w:r>
      </w:hyperlink>
      <w:r>
        <w:t>). Tobias e sua esposa, Ana, morreram em Nínive. Após isso, Tobias e Sara, junto com seus filhos, retornaram para a família de Sara em Ecbátana (</w:t>
      </w:r>
      <w:hyperlink r:id="rId19243">
        <w:r>
          <w:rPr>
            <w:color w:val="0000EE"/>
            <w:u w:val="single"/>
          </w:rPr>
          <w:t>14.12 ss.</w:t>
        </w:r>
      </w:hyperlink>
      <w:r>
        <w:t>).</w:t>
      </w:r>
      <w:r/>
      <w:r/>
    </w:p>
    <w:p>
      <w:r/>
    </w:p>
    <w:p>
      <w:pPr>
        <w:pStyle w:val="Heading2"/>
      </w:pPr>
      <w:r>
        <w:t>Sarai</w:t>
      </w:r>
      <w:r/>
    </w:p>
    <w:p>
      <w:r/>
      <w:r>
        <w:t>Nome original de Sara, esposa de Abraão (</w:t>
      </w:r>
      <w:hyperlink r:id="rId9820">
        <w:r>
          <w:rPr>
            <w:color w:val="0000EE"/>
            <w:u w:val="single"/>
          </w:rPr>
          <w:t>Gn 11.29</w:t>
        </w:r>
      </w:hyperlink>
      <w:r>
        <w:t xml:space="preserve">). </w:t>
      </w:r>
      <w:r>
        <w:rPr>
          <w:i/>
        </w:rPr>
        <w:t>Veja</w:t>
      </w:r>
      <w:r>
        <w:t xml:space="preserve"> </w:t>
      </w:r>
      <w:r>
        <w:t>Sara #1</w:t>
      </w:r>
      <w:r>
        <w:t>.</w:t>
      </w:r>
      <w:r/>
      <w:r/>
    </w:p>
    <w:p>
      <w:r/>
    </w:p>
    <w:p>
      <w:pPr>
        <w:pStyle w:val="Heading2"/>
      </w:pPr>
      <w:r>
        <w:t>Sarça ardente</w:t>
      </w:r>
      <w:r/>
    </w:p>
    <w:p>
      <w:r/>
      <w:r>
        <w:t>A sarça ardente no Monte Horebe, onde Moisés encontrou Deus e foi enviado para liderar Israel para fora do Egito (</w:t>
      </w:r>
      <w:hyperlink r:id="rId19244">
        <w:r>
          <w:rPr>
            <w:color w:val="0000EE"/>
            <w:u w:val="single"/>
          </w:rPr>
          <w:t>Êx 3.1</w:t>
        </w:r>
      </w:hyperlink>
      <w:r>
        <w:t>–</w:t>
      </w:r>
      <w:hyperlink r:id="rId19244">
        <w:r>
          <w:rPr>
            <w:color w:val="0000EE"/>
            <w:u w:val="single"/>
          </w:rPr>
          <w:t>15</w:t>
        </w:r>
      </w:hyperlink>
      <w:r>
        <w:t xml:space="preserve">; </w:t>
      </w:r>
      <w:hyperlink r:id="rId3767">
        <w:r>
          <w:rPr>
            <w:color w:val="0000EE"/>
            <w:u w:val="single"/>
          </w:rPr>
          <w:t>Mc 12.26</w:t>
        </w:r>
      </w:hyperlink>
      <w:r>
        <w:t xml:space="preserve">; </w:t>
      </w:r>
      <w:hyperlink r:id="rId13236">
        <w:r>
          <w:rPr>
            <w:color w:val="0000EE"/>
            <w:u w:val="single"/>
          </w:rPr>
          <w:t>Lc 20.37</w:t>
        </w:r>
      </w:hyperlink>
      <w:r>
        <w:t xml:space="preserve">; </w:t>
      </w:r>
      <w:hyperlink r:id="rId19245">
        <w:r>
          <w:rPr>
            <w:color w:val="0000EE"/>
            <w:u w:val="single"/>
          </w:rPr>
          <w:t>At 7.30</w:t>
        </w:r>
      </w:hyperlink>
      <w:r>
        <w:t>–</w:t>
      </w:r>
      <w:hyperlink r:id="rId19245">
        <w:r>
          <w:rPr>
            <w:color w:val="0000EE"/>
            <w:u w:val="single"/>
          </w:rPr>
          <w:t>34</w:t>
        </w:r>
      </w:hyperlink>
      <w:r>
        <w:t xml:space="preserve">). O mistério de uma planta queimando sem ser destruída permitiu que Deus revelasse seu nome, “Eu Sou Quem Eu Sou”. A sarça ardente foi uma teofania, um sinal visível da presença de Deus. Na Bíblia, a glória de Deus está associada a nuvens, fogo e fumaça (veja </w:t>
      </w:r>
      <w:hyperlink r:id="rId13469">
        <w:r>
          <w:rPr>
            <w:color w:val="0000EE"/>
            <w:u w:val="single"/>
          </w:rPr>
          <w:t>Êx 13.21</w:t>
        </w:r>
      </w:hyperlink>
      <w:r>
        <w:t xml:space="preserve">; </w:t>
      </w:r>
      <w:hyperlink r:id="rId9614">
        <w:r>
          <w:rPr>
            <w:color w:val="0000EE"/>
            <w:u w:val="single"/>
          </w:rPr>
          <w:t>19.18</w:t>
        </w:r>
      </w:hyperlink>
      <w:r>
        <w:t xml:space="preserve">; </w:t>
      </w:r>
      <w:hyperlink r:id="rId8911">
        <w:r>
          <w:rPr>
            <w:color w:val="0000EE"/>
            <w:u w:val="single"/>
          </w:rPr>
          <w:t>1Rs 8.10</w:t>
        </w:r>
      </w:hyperlink>
      <w:r>
        <w:t>–</w:t>
      </w:r>
      <w:hyperlink r:id="rId8911">
        <w:r>
          <w:rPr>
            <w:color w:val="0000EE"/>
            <w:u w:val="single"/>
          </w:rPr>
          <w:t>11</w:t>
        </w:r>
      </w:hyperlink>
      <w:r>
        <w:t xml:space="preserve">; </w:t>
      </w:r>
      <w:hyperlink r:id="rId19246">
        <w:r>
          <w:rPr>
            <w:color w:val="0000EE"/>
            <w:u w:val="single"/>
          </w:rPr>
          <w:t>2Rs 1.12</w:t>
        </w:r>
      </w:hyperlink>
      <w:r>
        <w:t xml:space="preserve">; </w:t>
      </w:r>
      <w:hyperlink r:id="rId4793">
        <w:r>
          <w:rPr>
            <w:color w:val="0000EE"/>
            <w:u w:val="single"/>
          </w:rPr>
          <w:t>2.11</w:t>
        </w:r>
      </w:hyperlink>
      <w:r>
        <w:t xml:space="preserve">; </w:t>
      </w:r>
      <w:hyperlink r:id="rId19247">
        <w:r>
          <w:rPr>
            <w:color w:val="0000EE"/>
            <w:u w:val="single"/>
          </w:rPr>
          <w:t>Is 6.1</w:t>
        </w:r>
      </w:hyperlink>
      <w:r>
        <w:t>–</w:t>
      </w:r>
      <w:hyperlink r:id="rId19247">
        <w:r>
          <w:rPr>
            <w:color w:val="0000EE"/>
            <w:u w:val="single"/>
          </w:rPr>
          <w:t>6</w:t>
        </w:r>
      </w:hyperlink>
      <w:r>
        <w:t xml:space="preserve">; </w:t>
      </w:r>
      <w:hyperlink r:id="rId19248">
        <w:r>
          <w:rPr>
            <w:color w:val="0000EE"/>
            <w:u w:val="single"/>
          </w:rPr>
          <w:t>2Ts 1.7</w:t>
        </w:r>
      </w:hyperlink>
      <w:r>
        <w:t xml:space="preserve">; </w:t>
      </w:r>
      <w:hyperlink r:id="rId1845">
        <w:r>
          <w:rPr>
            <w:color w:val="0000EE"/>
            <w:u w:val="single"/>
          </w:rPr>
          <w:t>Ap 1.14</w:t>
        </w:r>
      </w:hyperlink>
      <w:r>
        <w:t xml:space="preserve">; </w:t>
      </w:r>
      <w:hyperlink r:id="rId5961">
        <w:r>
          <w:rPr>
            <w:color w:val="0000EE"/>
            <w:u w:val="single"/>
          </w:rPr>
          <w:t>19.12</w:t>
        </w:r>
      </w:hyperlink>
      <w:r>
        <w:t>).</w:t>
      </w:r>
    </w:p>
    <w:p>
      <w:r/>
      <w:r>
        <w:t>A sarça ardente simboliza a santidade de Deus. Moisés foi instruído a tirar os sapatos porque estava pisando em solo sagrado (</w:t>
      </w:r>
      <w:hyperlink r:id="rId18706">
        <w:r>
          <w:rPr>
            <w:color w:val="0000EE"/>
            <w:u w:val="single"/>
          </w:rPr>
          <w:t>Êx 3.5</w:t>
        </w:r>
      </w:hyperlink>
      <w:r>
        <w:t>). Os deuses do Egito eram frequentemente considerados como vivendo em escuridão sombria, mas o Deus de Israel vive em luz inacessível (</w:t>
      </w:r>
      <w:hyperlink r:id="rId13497">
        <w:r>
          <w:rPr>
            <w:color w:val="0000EE"/>
            <w:u w:val="single"/>
          </w:rPr>
          <w:t>1Tm 6.16</w:t>
        </w:r>
      </w:hyperlink>
      <w:r>
        <w:t>). A sarça ardente simbolizava sua intenção de não destruir seu povo, mas de salvá-lo e conduzi-lo para fora da escravidão no Egito e para a Terra Prometida.</w:t>
      </w:r>
    </w:p>
    <w:p>
      <w:r/>
      <w:r>
        <w:rPr>
          <w:i/>
        </w:rPr>
        <w:t>Veja também</w:t>
      </w:r>
      <w:r>
        <w:t xml:space="preserve"> </w:t>
      </w:r>
      <w:r>
        <w:t>Êxodo, Livro de</w:t>
      </w:r>
      <w:r>
        <w:t xml:space="preserve">; </w:t>
      </w:r>
      <w:r>
        <w:t>Moisés</w:t>
      </w:r>
      <w:r>
        <w:t xml:space="preserve">; </w:t>
      </w:r>
      <w:r>
        <w:t>Teofania</w:t>
      </w:r>
      <w:r>
        <w:t xml:space="preserve">; </w:t>
      </w:r>
      <w:r>
        <w:t>Deus, Nomes de</w:t>
      </w:r>
      <w:r>
        <w:t>.</w:t>
      </w:r>
      <w:r/>
      <w:r/>
    </w:p>
    <w:p>
      <w:r/>
    </w:p>
    <w:p>
      <w:pPr>
        <w:pStyle w:val="Heading2"/>
      </w:pPr>
      <w:r>
        <w:t>Sarom</w:t>
      </w:r>
      <w:r/>
    </w:p>
    <w:p>
      <w:r/>
      <w:r>
        <w:t>Grande planície costeira no norte da Palestina (</w:t>
      </w:r>
      <w:hyperlink r:id="rId5483">
        <w:r>
          <w:rPr>
            <w:color w:val="0000EE"/>
            <w:u w:val="single"/>
          </w:rPr>
          <w:t>At 9.35</w:t>
        </w:r>
      </w:hyperlink>
      <w:r>
        <w:t>).</w:t>
      </w:r>
    </w:p>
    <w:p>
      <w:r/>
      <w:r>
        <w:rPr>
          <w:i/>
        </w:rPr>
        <w:t>Veja</w:t>
      </w:r>
      <w:r>
        <w:t xml:space="preserve"> </w:t>
      </w:r>
      <w:r>
        <w:t>Sarom #1</w:t>
      </w:r>
      <w:r>
        <w:t>.</w:t>
      </w:r>
      <w:r/>
      <w:r/>
    </w:p>
    <w:p>
      <w:r/>
    </w:p>
    <w:p>
      <w:pPr>
        <w:pStyle w:val="Heading2"/>
      </w:pPr>
      <w:r>
        <w:t>Satanás</w:t>
      </w:r>
      <w:r/>
    </w:p>
    <w:p>
      <w:r/>
      <w:r>
        <w:t>Ser espiritual que se opõe a Deus e busca frustrar seus planos e levar seu povo à rebelião.</w:t>
      </w:r>
    </w:p>
    <w:p>
      <w:r/>
      <w:r>
        <w:t>Satanás é raramente mencionado no AT. Ele é retratado como um anjo que atua como o promotor celestial (</w:t>
      </w:r>
      <w:hyperlink r:id="rId2182">
        <w:r>
          <w:rPr>
            <w:color w:val="0000EE"/>
            <w:u w:val="single"/>
          </w:rPr>
          <w:t>Jó 1.6–12</w:t>
        </w:r>
      </w:hyperlink>
      <w:r>
        <w:t xml:space="preserve">; </w:t>
      </w:r>
      <w:hyperlink r:id="rId19249">
        <w:r>
          <w:rPr>
            <w:color w:val="0000EE"/>
            <w:u w:val="single"/>
          </w:rPr>
          <w:t>2.1–7</w:t>
        </w:r>
      </w:hyperlink>
      <w:r>
        <w:t xml:space="preserve">; </w:t>
      </w:r>
      <w:hyperlink r:id="rId19250">
        <w:r>
          <w:rPr>
            <w:color w:val="0000EE"/>
            <w:u w:val="single"/>
          </w:rPr>
          <w:t>Zc 3.1–2</w:t>
        </w:r>
      </w:hyperlink>
      <w:r>
        <w:t xml:space="preserve">). Como tal, ele é chamado de “satanás” ou “o acusador”, e não há nada no contexto que indique que este anjo é maligno. Apenas no período tardio do AT é que Satanás aparece como um tentador: em </w:t>
      </w:r>
      <w:hyperlink r:id="rId4702">
        <w:r>
          <w:rPr>
            <w:color w:val="0000EE"/>
            <w:u w:val="single"/>
          </w:rPr>
          <w:t>1 Crônicas 21.1</w:t>
        </w:r>
      </w:hyperlink>
      <w:r>
        <w:t xml:space="preserve">, a história de </w:t>
      </w:r>
      <w:hyperlink r:id="rId7437">
        <w:r>
          <w:rPr>
            <w:color w:val="0000EE"/>
            <w:u w:val="single"/>
          </w:rPr>
          <w:t>2 Samuel 24.1</w:t>
        </w:r>
      </w:hyperlink>
      <w:r>
        <w:t xml:space="preserve"> é recontada com Satanás (usado pela primeira vez como um nome próprio) substituído por Deus e retratado como uma figura maligna. O AT, então, não tem doutrina desenvolvida de Satanás, mas contém o material base do qual a doutrina posterior veio. (Algumas pessoas enxergam Lúcifer de </w:t>
      </w:r>
      <w:hyperlink r:id="rId19251">
        <w:r>
          <w:rPr>
            <w:color w:val="0000EE"/>
            <w:u w:val="single"/>
          </w:rPr>
          <w:t>Is 14.12</w:t>
        </w:r>
      </w:hyperlink>
      <w:r>
        <w:t xml:space="preserve"> como uma referência a Satanás, mas o contexto está claramente se referindo ao rei da Babilônia; portanto, é improvável que qualquer referência a Satanás tenha sido intencionada).</w:t>
      </w:r>
    </w:p>
    <w:p>
      <w:r/>
      <w:r>
        <w:t>Os judeus desenvolveram ainda mais a ideia de Satanás durante o período intertestamentário, chamando-o também de Belial, Mastema e Samael. Três concepções diferentes aparecem. Primeiro, o Satanás do AT reaparece nos papéis de tentar as pessoas, de acusá-las no céu diante de Deus e de impedir o plano salvador de Deus (Jubileus 11.5;17.16; Ascensão de Moisés 17; 1 Enoque 40.7). Segundo, os Manuscritos do Mar Morto apresentam Satanás (Belial) como o líder das forças do mal e agressor dos justos. Este desenvolvimento foi provavelmente influenciado pelo deus maligno da religião Zoroastra. Mas ao contrário da ideia Zoroastra, os pergaminhos nunca apresentam dois deuses, mas sim um Deus que criou tanto Belial quanto o Príncipe da Luz (que é certo que vencerá no final, pois Deus está com ele). Terceiro, nesta literatura Satanás é muitas vezes identificado com as histórias do AT das quais seu nome estava originalmente ausente: ele invejou Eva e, portanto, causou a queda (</w:t>
      </w:r>
      <w:hyperlink r:id="rId19252">
        <w:r>
          <w:rPr>
            <w:color w:val="0000EE"/>
            <w:u w:val="single"/>
          </w:rPr>
          <w:t>Sabedoria de Salomão 2.24</w:t>
        </w:r>
      </w:hyperlink>
      <w:r>
        <w:t xml:space="preserve">), ele controla os anjos que caíram em </w:t>
      </w:r>
      <w:hyperlink r:id="rId8478">
        <w:r>
          <w:rPr>
            <w:color w:val="0000EE"/>
            <w:u w:val="single"/>
          </w:rPr>
          <w:t>Gênesis 6.1–4</w:t>
        </w:r>
      </w:hyperlink>
      <w:r>
        <w:t xml:space="preserve"> (Jubileus 10.5–8; 19.28), ou ele mesmo é um anjo caído (2 Enoque 29.4).</w:t>
      </w:r>
    </w:p>
    <w:p>
      <w:r/>
      <w:r>
        <w:t>O NT tem um retrato desenvolvido de Satanás, e ele vem com toda uma lista de nomes: Satanás (hebraico para “acusador”), diabo (a tradução grega de Satanás), Belial, Belzebu, o Adversário, o Dragão, o Inimigo, a Serpente, o Tentador e o Maligno. Satanás é retratado como o governante de uma hoste de anjos (</w:t>
      </w:r>
      <w:hyperlink r:id="rId6692">
        <w:r>
          <w:rPr>
            <w:color w:val="0000EE"/>
            <w:u w:val="single"/>
          </w:rPr>
          <w:t>Mt 25.41</w:t>
        </w:r>
      </w:hyperlink>
      <w:r>
        <w:t>) e o controlador do mundo (</w:t>
      </w:r>
      <w:hyperlink r:id="rId19253">
        <w:r>
          <w:rPr>
            <w:color w:val="0000EE"/>
            <w:u w:val="single"/>
          </w:rPr>
          <w:t>Lc 4.6</w:t>
        </w:r>
      </w:hyperlink>
      <w:r>
        <w:t xml:space="preserve">; </w:t>
      </w:r>
      <w:hyperlink r:id="rId3207">
        <w:r>
          <w:rPr>
            <w:color w:val="0000EE"/>
            <w:u w:val="single"/>
          </w:rPr>
          <w:t>Atos 26.18</w:t>
        </w:r>
      </w:hyperlink>
      <w:r>
        <w:t xml:space="preserve">; </w:t>
      </w:r>
      <w:hyperlink r:id="rId2186">
        <w:r>
          <w:rPr>
            <w:color w:val="0000EE"/>
            <w:u w:val="single"/>
          </w:rPr>
          <w:t>2Co 4.4</w:t>
        </w:r>
      </w:hyperlink>
      <w:r>
        <w:t>), que governa especialmente todos os que não são cristãos (</w:t>
      </w:r>
      <w:hyperlink r:id="rId6688">
        <w:r>
          <w:rPr>
            <w:color w:val="0000EE"/>
            <w:u w:val="single"/>
          </w:rPr>
          <w:t>Mc 4.15</w:t>
        </w:r>
      </w:hyperlink>
      <w:r>
        <w:t xml:space="preserve">; </w:t>
      </w:r>
      <w:hyperlink r:id="rId5081">
        <w:r>
          <w:rPr>
            <w:color w:val="0000EE"/>
            <w:u w:val="single"/>
          </w:rPr>
          <w:t>Jo 8.44</w:t>
        </w:r>
      </w:hyperlink>
      <w:r>
        <w:t xml:space="preserve">; </w:t>
      </w:r>
      <w:hyperlink r:id="rId19254">
        <w:r>
          <w:rPr>
            <w:color w:val="0000EE"/>
            <w:u w:val="single"/>
          </w:rPr>
          <w:t>Atos 13.10</w:t>
        </w:r>
      </w:hyperlink>
      <w:r>
        <w:t xml:space="preserve">; </w:t>
      </w:r>
      <w:hyperlink r:id="rId5159">
        <w:r>
          <w:rPr>
            <w:color w:val="0000EE"/>
            <w:u w:val="single"/>
          </w:rPr>
          <w:t>Cl 1.13</w:t>
        </w:r>
      </w:hyperlink>
      <w:r>
        <w:t>). Ele se opõe a Deus e busca alienar todas as pessoas de Deus; portanto, ele é um inimigo especialmente perigoso dos cristãos (</w:t>
      </w:r>
      <w:hyperlink r:id="rId19255">
        <w:r>
          <w:rPr>
            <w:color w:val="0000EE"/>
            <w:u w:val="single"/>
          </w:rPr>
          <w:t>Lc 8.33</w:t>
        </w:r>
      </w:hyperlink>
      <w:r>
        <w:t xml:space="preserve">; </w:t>
      </w:r>
      <w:hyperlink r:id="rId5784">
        <w:r>
          <w:rPr>
            <w:color w:val="0000EE"/>
            <w:u w:val="single"/>
          </w:rPr>
          <w:t>1Co 7.5</w:t>
        </w:r>
      </w:hyperlink>
      <w:r>
        <w:t xml:space="preserve">; </w:t>
      </w:r>
      <w:hyperlink r:id="rId1766">
        <w:r>
          <w:rPr>
            <w:color w:val="0000EE"/>
            <w:u w:val="single"/>
          </w:rPr>
          <w:t>1Pe 5.8</w:t>
        </w:r>
      </w:hyperlink>
      <w:r>
        <w:t>), que devem resistir firmemente a ele e discernir sua astúcia (</w:t>
      </w:r>
      <w:hyperlink r:id="rId6664">
        <w:r>
          <w:rPr>
            <w:color w:val="0000EE"/>
            <w:u w:val="single"/>
          </w:rPr>
          <w:t>2Co 2.11</w:t>
        </w:r>
      </w:hyperlink>
      <w:r>
        <w:t xml:space="preserve">; </w:t>
      </w:r>
      <w:hyperlink r:id="rId19256">
        <w:r>
          <w:rPr>
            <w:color w:val="0000EE"/>
            <w:u w:val="single"/>
          </w:rPr>
          <w:t>Ef 6.11</w:t>
        </w:r>
      </w:hyperlink>
      <w:r>
        <w:t xml:space="preserve">; </w:t>
      </w:r>
      <w:hyperlink r:id="rId19257">
        <w:r>
          <w:rPr>
            <w:color w:val="0000EE"/>
            <w:u w:val="single"/>
          </w:rPr>
          <w:t>Tg 4.7</w:t>
        </w:r>
      </w:hyperlink>
      <w:r>
        <w:t>). Satanás emprega sua vontade maligna ao tentar pessoas (</w:t>
      </w:r>
      <w:hyperlink r:id="rId19258">
        <w:r>
          <w:rPr>
            <w:color w:val="0000EE"/>
            <w:u w:val="single"/>
          </w:rPr>
          <w:t>Jo 13.2</w:t>
        </w:r>
      </w:hyperlink>
      <w:r>
        <w:t xml:space="preserve">; </w:t>
      </w:r>
      <w:hyperlink r:id="rId19259">
        <w:r>
          <w:rPr>
            <w:color w:val="0000EE"/>
            <w:u w:val="single"/>
          </w:rPr>
          <w:t>Atos 5.3</w:t>
        </w:r>
      </w:hyperlink>
      <w:r>
        <w:t>), impedindo os obreiros de Deus (</w:t>
      </w:r>
      <w:hyperlink r:id="rId19260">
        <w:r>
          <w:rPr>
            <w:color w:val="0000EE"/>
            <w:u w:val="single"/>
          </w:rPr>
          <w:t>1Ts 2.18</w:t>
        </w:r>
      </w:hyperlink>
      <w:r>
        <w:t>), acusando os cristãos diante de Deus (</w:t>
      </w:r>
      <w:hyperlink r:id="rId11108">
        <w:r>
          <w:rPr>
            <w:color w:val="0000EE"/>
            <w:u w:val="single"/>
          </w:rPr>
          <w:t>Ap 12.10</w:t>
        </w:r>
      </w:hyperlink>
      <w:r>
        <w:t>) e controlando as pessoas ímpias que resistem ao evangelho (</w:t>
      </w:r>
      <w:hyperlink r:id="rId14400">
        <w:r>
          <w:rPr>
            <w:color w:val="0000EE"/>
            <w:u w:val="single"/>
          </w:rPr>
          <w:t>2Ts 2.9</w:t>
        </w:r>
      </w:hyperlink>
      <w:r>
        <w:t xml:space="preserve">; </w:t>
      </w:r>
      <w:hyperlink r:id="rId12409">
        <w:r>
          <w:rPr>
            <w:color w:val="0000EE"/>
            <w:u w:val="single"/>
          </w:rPr>
          <w:t>Ap 2.9,13</w:t>
        </w:r>
      </w:hyperlink>
      <w:r>
        <w:t xml:space="preserve">; </w:t>
      </w:r>
      <w:hyperlink r:id="rId1647">
        <w:r>
          <w:rPr>
            <w:color w:val="0000EE"/>
            <w:u w:val="single"/>
          </w:rPr>
          <w:t>13.2</w:t>
        </w:r>
      </w:hyperlink>
      <w:r>
        <w:t>).</w:t>
      </w:r>
    </w:p>
    <w:p>
      <w:r/>
      <w:r>
        <w:t>Mais importante, no entanto, o NT nos ensina que este ser, que era mau desde o princípio (</w:t>
      </w:r>
      <w:hyperlink r:id="rId17350">
        <w:r>
          <w:rPr>
            <w:color w:val="0000EE"/>
            <w:u w:val="single"/>
          </w:rPr>
          <w:t>1Jo 3.8</w:t>
        </w:r>
      </w:hyperlink>
      <w:r>
        <w:t>), agora foi amarrado e expulso do céu através do ministério de Jesus (</w:t>
      </w:r>
      <w:hyperlink r:id="rId17611">
        <w:r>
          <w:rPr>
            <w:color w:val="0000EE"/>
            <w:u w:val="single"/>
          </w:rPr>
          <w:t>Lc 10.18</w:t>
        </w:r>
      </w:hyperlink>
      <w:r>
        <w:t xml:space="preserve">; </w:t>
      </w:r>
      <w:hyperlink r:id="rId2102">
        <w:r>
          <w:rPr>
            <w:color w:val="0000EE"/>
            <w:u w:val="single"/>
          </w:rPr>
          <w:t>Ap 12</w:t>
        </w:r>
      </w:hyperlink>
      <w:r>
        <w:t>). Embora Satanás ainda seja um inimigo perigoso, o próprio Jesus intercede por nós e nos tem dado as armas poderosas de oração, fé e a eficácia de seu sangue. Satanás ainda pode causar doenças físicas quando permitido por Deus (</w:t>
      </w:r>
      <w:hyperlink r:id="rId4277">
        <w:r>
          <w:rPr>
            <w:color w:val="0000EE"/>
            <w:u w:val="single"/>
          </w:rPr>
          <w:t>2Co 12.7</w:t>
        </w:r>
      </w:hyperlink>
      <w:r>
        <w:t>), e as pessoas podem ser entregues a ele para punição (</w:t>
      </w:r>
      <w:hyperlink r:id="rId7033">
        <w:r>
          <w:rPr>
            <w:color w:val="0000EE"/>
            <w:u w:val="single"/>
          </w:rPr>
          <w:t>1Co 5.5</w:t>
        </w:r>
      </w:hyperlink>
      <w:r>
        <w:t xml:space="preserve">; </w:t>
      </w:r>
      <w:hyperlink r:id="rId741">
        <w:r>
          <w:rPr>
            <w:color w:val="0000EE"/>
            <w:u w:val="single"/>
          </w:rPr>
          <w:t>1Tm 1.20</w:t>
        </w:r>
      </w:hyperlink>
      <w:r>
        <w:t>). Satanás sempre estará sob o controle de Deus, que finalmente o destruirá (</w:t>
      </w:r>
      <w:hyperlink r:id="rId310">
        <w:r>
          <w:rPr>
            <w:color w:val="0000EE"/>
            <w:u w:val="single"/>
          </w:rPr>
          <w:t>Rm 16.20</w:t>
        </w:r>
      </w:hyperlink>
      <w:r>
        <w:t xml:space="preserve">; </w:t>
      </w:r>
      <w:hyperlink r:id="rId6693">
        <w:r>
          <w:rPr>
            <w:color w:val="0000EE"/>
            <w:u w:val="single"/>
          </w:rPr>
          <w:t>Ap 20.10</w:t>
        </w:r>
      </w:hyperlink>
      <w:r>
        <w:t>).</w:t>
      </w:r>
    </w:p>
    <w:p>
      <w:r/>
      <w:r>
        <w:rPr>
          <w:i/>
        </w:rPr>
        <w:t>Veja também</w:t>
      </w:r>
      <w:r>
        <w:t xml:space="preserve"> </w:t>
      </w:r>
      <w:r>
        <w:t>Anjo</w:t>
      </w:r>
      <w:r>
        <w:t xml:space="preserve">; </w:t>
      </w:r>
      <w:r>
        <w:t>Demônio</w:t>
      </w:r>
      <w:r>
        <w:t xml:space="preserve">; </w:t>
      </w:r>
      <w:r>
        <w:t>Possessão demoníaca</w:t>
      </w:r>
      <w:r>
        <w:t xml:space="preserve">; </w:t>
      </w:r>
      <w:r>
        <w:t>Lúcifer</w:t>
      </w:r>
      <w:r>
        <w:t>.</w:t>
      </w:r>
      <w:r/>
      <w:r/>
    </w:p>
    <w:p>
      <w:r/>
    </w:p>
    <w:p>
      <w:pPr>
        <w:pStyle w:val="Heading2"/>
      </w:pPr>
      <w:r>
        <w:t>Saul</w:t>
      </w:r>
      <w:r/>
    </w:p>
    <w:p>
      <w:r/>
      <w:r>
        <w:t xml:space="preserve">Nome que significa "pedido", com a implicação de "pedido </w:t>
      </w:r>
      <w:r>
        <w:rPr>
          <w:i/>
        </w:rPr>
        <w:t>a Deus".</w:t>
      </w:r>
      <w:r>
        <w:t xml:space="preserve"> Um nome cujo uso se estende muito antes dos tempos bíblicos, é atestado em textos do terceiro milênio de Tell Mardikh na Síria (antiga Ebla) e também parece ter sido usado no segundo milênio na cidade de Ugarite, na costa da Síria.</w:t>
      </w:r>
    </w:p>
    <w:p>
      <w:r/>
      <w:r>
        <w:t>Além do Rei Saul, o portador mais famoso do nome, outra pessoa chamada Saul é mencionada no AT, embora pouco se saiba sobre ele (</w:t>
      </w:r>
      <w:r>
        <w:rPr>
          <w:i/>
        </w:rPr>
        <w:t>ver</w:t>
      </w:r>
      <w:r>
        <w:t xml:space="preserve"> Saul).</w:t>
      </w:r>
    </w:p>
    <w:p>
      <w:r/>
      <w:r>
        <w:t>1. Saul, rei de Edom, é mencionado em uma lista antiga de reis que governaram Edom (em Transjordânia) em tempos pré-israelitas (</w:t>
      </w:r>
      <w:hyperlink r:id="rId19261">
        <w:r>
          <w:rPr>
            <w:color w:val="0000EE"/>
            <w:u w:val="single"/>
          </w:rPr>
          <w:t>Gn 36.37–38</w:t>
        </w:r>
      </w:hyperlink>
      <w:r>
        <w:t xml:space="preserve">; </w:t>
      </w:r>
      <w:hyperlink r:id="rId19262">
        <w:r>
          <w:rPr>
            <w:color w:val="0000EE"/>
            <w:u w:val="single"/>
          </w:rPr>
          <w:t>1Cr 1.48–49</w:t>
        </w:r>
      </w:hyperlink>
      <w:r>
        <w:t>). Ele é descrito como vindo de “Reobote no rio”, sendo que o “rio” talvez se refira a um pequeno rio nas proximidades de Edom.</w:t>
      </w:r>
    </w:p>
    <w:p>
      <w:r/>
      <w:r>
        <w:t>2. Saul, o primeiro rei de Israel, é a pessoa mais conhecida e documentada com esse nome no AT. Ele era membro da tribo de Benjamim, uma das menores tribos israelitas, cujo território estava localizado ao norte da cidade cananeia de Jerusalém. Seu pai era Quis, filho de Abiel. Saul nasceu em Gibeá, uma pequena cidade a poucos quilômetros ao norte de Jerusalém, na região montanhosa, e, além de suas viagens e expedições militares, Gibeá foi a cidade natal de Saul por toda a sua vida. Ele era casado com Ainoã e tinha cinco filhos — três filhos e duas filhas (</w:t>
      </w:r>
      <w:hyperlink r:id="rId19263">
        <w:r>
          <w:rPr>
            <w:color w:val="0000EE"/>
            <w:u w:val="single"/>
          </w:rPr>
          <w:t>1Sm 14.49–50</w:t>
        </w:r>
      </w:hyperlink>
      <w:r>
        <w:t>). Seu filho mais conhecido, Jônatas, mais tarde o serviu em uma capacidade militar sênior; três dos filhos de Saul morreram com ele em batalha (</w:t>
      </w:r>
      <w:hyperlink r:id="rId19264">
        <w:r>
          <w:rPr>
            <w:color w:val="0000EE"/>
            <w:u w:val="single"/>
          </w:rPr>
          <w:t>31.2</w:t>
        </w:r>
      </w:hyperlink>
      <w:r>
        <w:t>). Das suas duas filhas, a mais conhecida é Mical, a filha mais nova, que se casou com Davi.</w:t>
      </w:r>
    </w:p>
    <w:p>
      <w:r/>
      <w:r>
        <w:t>Saul, o Soldado.</w:t>
      </w:r>
    </w:p>
    <w:p>
      <w:r/>
      <w:r>
        <w:t>Saul viveu durante um período crítico na história das tribos israelitas. Embora as datas não possam ser determinadas com certeza, ele viveu durante a segunda metade do século 9 a.C. e provavelmente governou como rei de cerca de 1020 a 1000 a.C. Antes de se tornar rei, as tribos israelitas estavam à beira do colapso militar. Os filisteus, um povo militar poderoso, haviam se estabelecido ao longo da costa mediterrânea; eles estavam bem estabelecidos na costa e planejavam se mover para o leste e tomar o controle de toda a Palestina. Para fazer isso, primeiro precisavam eliminar os israelitas, que estavam assentados na região montanhosa a oeste do Jordão e também em Transjordânia. A ausência de qualquer autoridade militar forte e permanente entre os israelitas significava que os filisteus eram uma grave ameaça militar à existência contínua de Israel.</w:t>
      </w:r>
    </w:p>
    <w:p>
      <w:r/>
      <w:r>
        <w:t>A crise imediata que contribuiu para a ascensão de Saul ao poder foi uma derrota esmagadora do exército israelita pelos filisteus em Ebenezer, nas proximidades de Afeca (</w:t>
      </w:r>
      <w:hyperlink r:id="rId7703">
        <w:r>
          <w:rPr>
            <w:color w:val="0000EE"/>
            <w:u w:val="single"/>
          </w:rPr>
          <w:t>1Sm 4.1ff</w:t>
        </w:r>
      </w:hyperlink>
      <w:r>
        <w:t>). A vitória deu aos filisteus controle quase completo dos territórios israelitas situados a oeste do Jordão; eles tentaram manter esse controle estabelecendo guarnições militares por todo o país que haviam capturado. Israel, enfraquecido pela derrota para os filisteus, tornou-se vulnerável a inimigos em outras fronteiras. A nação de Amom, situada a leste das terras dos israelitas em Transjordânia, atacou e cercou a cidade de Jabes (</w:t>
      </w:r>
      <w:hyperlink r:id="rId19265">
        <w:r>
          <w:rPr>
            <w:color w:val="0000EE"/>
            <w:u w:val="single"/>
          </w:rPr>
          <w:t>11.1</w:t>
        </w:r>
      </w:hyperlink>
      <w:r>
        <w:t>). Saul, convocando um exército de voluntários, libertou os habitantes de Jabes e derrotou os amonitas (v.</w:t>
      </w:r>
      <w:hyperlink r:id="rId7007">
        <w:r>
          <w:rPr>
            <w:color w:val="0000EE"/>
            <w:u w:val="single"/>
          </w:rPr>
          <w:t>11</w:t>
        </w:r>
      </w:hyperlink>
      <w:r>
        <w:t>). Foi após este evento que Saul se tornou rei. Ele já havia sido ungido príncipe ou líder entre o povo por Samuel; após seu sucesso militar em Jabes, ele assumiu formalmente o cargo no santuário em Gilgal (v.</w:t>
      </w:r>
      <w:hyperlink r:id="rId15767">
        <w:r>
          <w:rPr>
            <w:color w:val="0000EE"/>
            <w:u w:val="single"/>
          </w:rPr>
          <w:t>15</w:t>
        </w:r>
      </w:hyperlink>
      <w:r>
        <w:t>).</w:t>
      </w:r>
    </w:p>
    <w:p>
      <w:r/>
      <w:r>
        <w:t>A derrota dos amonitas proporcionou um impulso significativo ao moral dos israelitas, mas não alterou a crise militar e a ameaça representada pelos filisteus. De fato, a localização da nomeação de Saul para a realeza é significativa. Gilgal, no Vale do Jordão, perto de Jericó, foi escolhida em parte porque o antigo santuário de Siló estava sob controle dos filisteus. Gilgal estava em uma das poucas áreas restantes fora do controle filisteu. Portanto, se a realeza de Saul significasse algo, ele precisava enfrentar o problema filisteu imediatamente; caso contrário, não haveria Israel para governar.</w:t>
      </w:r>
    </w:p>
    <w:p>
      <w:r/>
      <w:r>
        <w:t>Saul agiu prontamente. Embora os detalhes históricos precisos sejam difíceis de reconstruir, o texto bíblico fornece uma visão geral da campanha anti-filisteu de Saul. Ele atacou guarnições em Gibeá e, mais tarde, em Micmás, cerca de 6,4 quilômetros a nordeste de Gibeá (</w:t>
      </w:r>
      <w:hyperlink r:id="rId19266">
        <w:r>
          <w:rPr>
            <w:color w:val="0000EE"/>
            <w:u w:val="single"/>
          </w:rPr>
          <w:t>1Sm 13.16ff</w:t>
        </w:r>
      </w:hyperlink>
      <w:r>
        <w:t>.). Ele teve grande sucesso em Micmás, graças em parte à ajuda militar de seu filho Jônatas. Os filisteus foram derrotados e recuaram daquela parte da região montanhosa (</w:t>
      </w:r>
      <w:hyperlink r:id="rId19267">
        <w:r>
          <w:rPr>
            <w:color w:val="0000EE"/>
            <w:u w:val="single"/>
          </w:rPr>
          <w:t>14.15–23</w:t>
        </w:r>
      </w:hyperlink>
      <w:r>
        <w:t>). Saul estabeleceu sua base militar em sua cidade natal, Gibeá, e construiu uma cidadela lá.</w:t>
      </w:r>
    </w:p>
    <w:p>
      <w:r/>
      <w:r>
        <w:t>Nos anos que se seguiram a esta campanha inicial contra os filisteus, Saul esteve constantemente envolvido em outras atividades militares. Ele continuou a lutar com inimigos em suas fronteiras orientais, particularmente Amom e Moabe, a leste do Mar Morto (</w:t>
      </w:r>
      <w:hyperlink r:id="rId6499">
        <w:r>
          <w:rPr>
            <w:color w:val="0000EE"/>
            <w:u w:val="single"/>
          </w:rPr>
          <w:t>1Sm 14.47</w:t>
        </w:r>
      </w:hyperlink>
      <w:r>
        <w:t>). Ele se envolveu em uma grande campanha na fronteira sul com os antigos inimigos dos israelitas, os amalequitas (</w:t>
      </w:r>
      <w:hyperlink r:id="rId10352">
        <w:r>
          <w:rPr>
            <w:color w:val="0000EE"/>
            <w:u w:val="single"/>
          </w:rPr>
          <w:t>15.7</w:t>
        </w:r>
      </w:hyperlink>
      <w:r>
        <w:t>); nesta também, ele foi bem-sucedido. E durante todo esse tempo, ele teve que manter vigilância constante sobre as ações dos filisteus em sua fronteira ocidental.</w:t>
      </w:r>
    </w:p>
    <w:p>
      <w:r/>
      <w:r>
        <w:t>Saul enfrentou uma tarefa extraordinariamente difícil como comandante militar. Sua terra natal tinha a vantagem de ser razoavelmente fácil de proteger, pois a maior parte era uma região montanhosa. No entanto, ele estava cercado por inimigos de todos os lados que desejavam sua terra, possuía armas inadequadas (os filisteus controlavam o suprimento de ferro), não tinha um grande exército permanente, contava com sistemas de comunicação inadequados e não tinha o apoio total de todos os israelitas. Por vários anos, ele foi relativamente bem-sucedido contra probabilidades quase impossíveis, mas eventualmente seu gênio militar falhou.</w:t>
      </w:r>
    </w:p>
    <w:p>
      <w:r/>
      <w:r>
        <w:t>Os filisteus reuniram um grande exército nas proximidades de Afeca (</w:t>
      </w:r>
      <w:hyperlink r:id="rId475">
        <w:r>
          <w:rPr>
            <w:color w:val="0000EE"/>
            <w:u w:val="single"/>
          </w:rPr>
          <w:t>1Sm 29.1</w:t>
        </w:r>
      </w:hyperlink>
      <w:r>
        <w:t>), mas em vez de atacar diretamente o território montanhoso de Saul, o exército moveu-se para o norte e começou a penetrar no território israelita por um ponto fraco nas proximidades de Jizreel (v.</w:t>
      </w:r>
      <w:hyperlink r:id="rId19268">
        <w:r>
          <w:rPr>
            <w:color w:val="0000EE"/>
            <w:u w:val="single"/>
          </w:rPr>
          <w:t>11</w:t>
        </w:r>
      </w:hyperlink>
      <w:r>
        <w:t>). Saul tentou reunir uma força militar adequada para enfrentar a ameaça filisteia, mas não conseguiu. Com preparação inadequada e forças insuficientes, ele se preparou para a batalha no Monte Gilboa (</w:t>
      </w:r>
      <w:hyperlink r:id="rId19269">
        <w:r>
          <w:rPr>
            <w:color w:val="0000EE"/>
            <w:u w:val="single"/>
          </w:rPr>
          <w:t>31.1</w:t>
        </w:r>
      </w:hyperlink>
      <w:r>
        <w:t>); ele nunca deveria ter entrado naquela batalha, pois não poderia ter sido vencida. Seus filhos foram mortos no campo de batalha, e Saul, em vez de cair nas mãos dos filisteus, cometeu suicídio (vv.</w:t>
      </w:r>
      <w:hyperlink r:id="rId19270">
        <w:r>
          <w:rPr>
            <w:color w:val="0000EE"/>
            <w:u w:val="single"/>
          </w:rPr>
          <w:t>2–6</w:t>
        </w:r>
      </w:hyperlink>
      <w:r>
        <w:t>).</w:t>
      </w:r>
    </w:p>
    <w:p>
      <w:r/>
      <w:r>
        <w:t>De uma perspectiva militar, Saul tornou-se rei em um momento de crise; ele evitou um desastre e trouxe algum alívio para seu país. No entanto, a batalha na qual ele morreu foi um desastre para Israel; o país que ele deixou após sua morte estava em piores condições do que quando ele assumiu o poder.</w:t>
      </w:r>
    </w:p>
    <w:p>
      <w:r/>
      <w:r>
        <w:t>Saul, o Rei.</w:t>
      </w:r>
    </w:p>
    <w:p>
      <w:r/>
      <w:r>
        <w:t>Se Saul tinha uma tarefa difícil como comandante militar de Israel, ele tinha uma tarefa ainda mais difícil como rei de Israel. Antes do tempo de Saul, não havia rei em Israel. A ausência de qualquer forma de monarquia em Israel era em grande parte uma questão religiosa. Deus era o único e verdadeiro Rei de Israel; ele era quem reinava (</w:t>
      </w:r>
      <w:hyperlink r:id="rId18236">
        <w:r>
          <w:rPr>
            <w:color w:val="0000EE"/>
            <w:u w:val="single"/>
          </w:rPr>
          <w:t>Êx 15.18</w:t>
        </w:r>
      </w:hyperlink>
      <w:r>
        <w:t>). Consequentemente, embora houvesse governantes únicos e poderosos na história anterior de Israel (Moisés, Josué e certos juízes), ninguém havia assumido o título ou cargo de rei, pois se pensava que isso minaria a posição central de Deus como Rei. No entanto, havia uma provisão para o surgimento da realeza na lei (</w:t>
      </w:r>
      <w:hyperlink r:id="rId19271">
        <w:r>
          <w:rPr>
            <w:color w:val="0000EE"/>
            <w:u w:val="single"/>
          </w:rPr>
          <w:t>Dt 19.14–20</w:t>
        </w:r>
      </w:hyperlink>
      <w:r>
        <w:t xml:space="preserve">); para mais sobre a realeza em Israel, </w:t>
      </w:r>
      <w:r>
        <w:rPr>
          <w:i/>
        </w:rPr>
        <w:t>veja</w:t>
      </w:r>
      <w:r>
        <w:t xml:space="preserve"> Rei, Realeza.</w:t>
      </w:r>
    </w:p>
    <w:p>
      <w:r/>
      <w:r>
        <w:t>Foi a pura necessidade que trouxe uma monarquia para Israel, uma necessidade criada pela constante ameaça militar dos filisteus. Uma ameaça externa breve poderia ter sido enfrentada por um governante temporário, um juiz. Mas uma ameaça permanente e séria à existência de Israel não poderia ser evitada por medidas temporárias. Se Israel quisesse sobreviver como nação (e quase não sobreviveu), precisava de um governo militar central com autoridade reconhecida sobre as várias tribos que constituíam a nação de Israel. Assim, o reino foi estabelecido e Saul se tornou o primeiro rei, enfrentando dificuldades incríveis.</w:t>
      </w:r>
    </w:p>
    <w:p>
      <w:r/>
      <w:r>
        <w:t>Como nunca havia existido um reino antes em Israel, não havia precedentes. Quais eram suas responsabilidades? Principalmente, eram militares, pois foi por isso que a monarquia foi estabelecida. Nesta área, Saul foi bem-sucedido nos primeiros anos de seu reinado. Mas, além de suas responsabilidades militares, o Rei Saul enfrentou uma tarefa enormemente difícil. Dada a natureza da teologia hebraica, era inevitável que muitos israelitas se opusessem à ideia de realeza desde o início. De fato, Samuel, que foi fundamental na unção inicial de Saul e depois na coroação formal, parece ter sido ambíguo em suas atitudes em relação à realeza (</w:t>
      </w:r>
      <w:hyperlink r:id="rId15259">
        <w:r>
          <w:rPr>
            <w:color w:val="0000EE"/>
            <w:u w:val="single"/>
          </w:rPr>
          <w:t>1Sm 8.6</w:t>
        </w:r>
      </w:hyperlink>
      <w:r>
        <w:t>), e mais tarde em relação ao próprio Saul (</w:t>
      </w:r>
      <w:hyperlink r:id="rId6718">
        <w:r>
          <w:rPr>
            <w:color w:val="0000EE"/>
            <w:u w:val="single"/>
          </w:rPr>
          <w:t>15.23</w:t>
        </w:r>
      </w:hyperlink>
      <w:r>
        <w:t>). Além disso, ninguém havia especificado precisamente o que o líder poderia fazer. Ele era um soldado — isso era claro. Mas ele também tinha responsabilidades religiosas? Embora o julgamento da história sobre Saul seja frequentemente severo, é sábio lembrar a dificuldade da tarefa que ele empreendeu. Os problemas militares sozinhos teriam sido mais do que suficientes para a maioria dos grandes homens; Saul também teve que moldar o novo papel como rei. Em questões práticas, a liderança de Saul foi modesta e digna de elogios. Ele não buscou a pompa e o esplendor de muitos reis orientais. Ele tinha uma pequena corte, localizada em sua fortaleza militar de Gibeá; há poucas evidências de que fosse caracterizada por grande riqueza. Para fins práticos, ele não tinha um exército permanente; ele tinha apenas alguns homens próximos a ele, em particular seu filho Jônatas e seu general Abner. Ele também buscou jovens promissores, como Davi. A corte de Saul era rústica e feudal em comparação com o esplendor posterior de Davi e Salomão. Mas Saul, como líder nacional, encontrou dificuldades com Samuel, que o havia nomeado e influenciado Israel antes de sua realeza. Embora a responsabilidade pelo problema possa recair principalmente sobre Saul, o próprio Samuel não parece ter sido particularmente solidário e prestativo. Em uma ocasião, Saul foi severamente criticado e condenado por Samuel por assumir o papel sacerdotal de oferecer sacrifícios na ausência de Samuel em Gilgal (</w:t>
      </w:r>
      <w:hyperlink r:id="rId19272">
        <w:r>
          <w:rPr>
            <w:color w:val="0000EE"/>
            <w:u w:val="single"/>
          </w:rPr>
          <w:t>1Sm 13.8–15</w:t>
        </w:r>
      </w:hyperlink>
      <w:r>
        <w:t>). O julgamento foi sem dúvida merecido, embora se possa perceber o dilema de Saul. O rei tinha ou não um papel sacerdotal? Essa questão não havia sido esclarecida. Além disso, Saul estava na época em estado de crise; ele havia esperado sete dias para Samuel aparecer, e à medida que cada dia passava, seu exército era reduzido por desertores. Então Saul agiu. Talvez ele não possa ser desculpado, mas suas ações podem ser facilmente compreendidas, e o incidente em si é indicativo da dificuldade de ser o primeiro rei de uma nação. Novamente, após a guerra contra os amalequitas, Saul foi sujeito a condenação divina através de Samuel.</w:t>
      </w:r>
    </w:p>
    <w:p>
      <w:r/>
      <w:r>
        <w:t>Saul foi o primeiro rei de Israel, mas não o maior. No entanto, nenhuma crítica à liderança de Saul deve ser tão severa a ponto de ignorar suas qualidades. Ele enfrentou dificuldades extraordinárias e, por um tempo, foi bem-sucedido. Raros são os homens que teriam conseguido fazer o que ele fez.. No final, ele morreu em fracasso, mas suas conquistas poderiam ter sido melhor lembradas se ele tivesse sido sucedido por qualquer outro líder que não fosse Davi. Os talentos e a competência de Davi foram tão magníficos e incomuns que as realizações modestas de Saul empalideceram e apenas seus fracassos são lembrados.</w:t>
      </w:r>
    </w:p>
    <w:p>
      <w:r/>
      <w:r>
        <w:t>Saul, o Homem.</w:t>
      </w:r>
    </w:p>
    <w:p>
      <w:r/>
      <w:r>
        <w:t>Os escritores do AT apresentaram a história de Saul de uma maneira fascinante. Enquanto alguns personagens do AT permanecem figuras obscuras, Saul se destaca, com todas as suas forças e fraquezas, como uma figura totalmente humana. Ele foi, de muitas maneiras, um grande homem, mas também havia falhas em sua personalidade que emergiram cada vez mais nos últimos anos de sua vida. Nascido de um pai rico, Saul é descrito como sendo alto e bonito (</w:t>
      </w:r>
      <w:hyperlink r:id="rId19273">
        <w:r>
          <w:rPr>
            <w:color w:val="0000EE"/>
            <w:u w:val="single"/>
          </w:rPr>
          <w:t>1Sm 9.1–2</w:t>
        </w:r>
      </w:hyperlink>
      <w:r>
        <w:t>). Ele era um homem de imensa coragem, e parte de seu sucesso militar estava enraizado em sua destemor. Em seus primeiros anos como rei, Saul é retratado como um homem cujos instintos básicos eram generosos; ele era gentil e leal aos seus amigos e não guardava facilmente rancor ou ódio contra aqueles que se opunham a ele (</w:t>
      </w:r>
      <w:hyperlink r:id="rId19274">
        <w:r>
          <w:rPr>
            <w:color w:val="0000EE"/>
            <w:u w:val="single"/>
          </w:rPr>
          <w:t>11.12–13</w:t>
        </w:r>
      </w:hyperlink>
      <w:r>
        <w:t>). Mas a verdadeira força de Saul, em seus primeiros dias, estava em seu relacionamento com Deus. Por todos os seus dons e habilidades naturais, Saul se tornou rei como resultado de uma nomeação divina (</w:t>
      </w:r>
      <w:hyperlink r:id="rId3319">
        <w:r>
          <w:rPr>
            <w:color w:val="0000EE"/>
            <w:u w:val="single"/>
          </w:rPr>
          <w:t>10.1</w:t>
        </w:r>
      </w:hyperlink>
      <w:r>
        <w:t>) e porque o “Espírito do Senhor” veio sobre ele (v.</w:t>
      </w:r>
      <w:hyperlink r:id="rId15251">
        <w:r>
          <w:rPr>
            <w:color w:val="0000EE"/>
            <w:u w:val="single"/>
          </w:rPr>
          <w:t>6</w:t>
        </w:r>
      </w:hyperlink>
      <w:r>
        <w:t>).</w:t>
      </w:r>
    </w:p>
    <w:p>
      <w:r/>
      <w:r>
        <w:t>Em sua vida posterior, uma mudança ocorreu em Saul que o transformou em uma pessoa trágica e digna de pena. Os muitos incidentes no relacionamento de Saul com o jovem Davi fornecem uma visão sobre essa transformação. Antes um amigo, depois percebido como inimigo, Davi se tornou o objeto das suspeitas infundadas e do ciúme irracional de Saul. Os períodos de sanidade de Saul foram pontuados por períodos de depressão e paranoia. A paranoia afetou seu pensamento racional. Em vez de guerrear contra os invasores filisteus, sua energia foi desviada para a perseguição de Davi. Os escritores bíblicos descrevem essa mudança como "a partida do Espírito de Deus de Saul" e "um espírito maligno do Senhor o atormentando" (</w:t>
      </w:r>
      <w:hyperlink r:id="rId19275">
        <w:r>
          <w:rPr>
            <w:color w:val="0000EE"/>
            <w:u w:val="single"/>
          </w:rPr>
          <w:t>1Sm 16.14</w:t>
        </w:r>
      </w:hyperlink>
      <w:r>
        <w:t>). Muitos escritores modernos interpretaram isso como o início de uma forma de doença mental, talvez transtorno bipolar, a alternância entre períodos ativos e lúcidos, seguidos por intensa depressão e paranoia. Mas há um certo perigo em "psicanalisar" as figuras da história antiga, principalmente porque as fontes literárias raramente são adequadas para a tarefa. Os escritores bíblicos indicaram uma base teológica para a mudança em Saul: o Espírito de Deus havia se afastado dele. De uma perspectiva puramente humana, o homem não estava à altura da enormidade da tarefa diante dele. Dominado por sua complexidade e deficiente na fé daquele que o nomeou para tal responsabilidade impressionante, Saul terminou seus dias em tragédia.</w:t>
      </w:r>
    </w:p>
    <w:p>
      <w:r/>
      <w:r>
        <w:rPr>
          <w:i/>
        </w:rPr>
        <w:t>Veja também</w:t>
      </w:r>
      <w:r>
        <w:t xml:space="preserve"> </w:t>
      </w:r>
      <w:r>
        <w:t>Davi</w:t>
      </w:r>
      <w:r>
        <w:t>.</w:t>
      </w:r>
      <w:r/>
      <w:r/>
    </w:p>
    <w:p>
      <w:r/>
    </w:p>
    <w:p>
      <w:pPr>
        <w:pStyle w:val="Heading2"/>
      </w:pPr>
      <w:r>
        <w:t>Saul</w:t>
      </w:r>
      <w:r/>
    </w:p>
    <w:p>
      <w:pPr>
        <w:pStyle w:val="ListNumber"/>
        <w:spacing w:line="240" w:lineRule="auto"/>
        <w:ind w:left="720"/>
      </w:pPr>
      <w:r/>
      <w:r>
        <w:t xml:space="preserve">Um nome alternativo para Saul, um rei edomita, em </w:t>
      </w:r>
      <w:hyperlink r:id="rId19261">
        <w:r>
          <w:rPr>
            <w:color w:val="0000EE"/>
            <w:u w:val="single"/>
          </w:rPr>
          <w:t>Gênesis 36.37–38</w:t>
        </w:r>
      </w:hyperlink>
      <w:r>
        <w:t xml:space="preserve"> e </w:t>
      </w:r>
      <w:hyperlink r:id="rId19262">
        <w:r>
          <w:rPr>
            <w:color w:val="0000EE"/>
            <w:u w:val="single"/>
          </w:rPr>
          <w:t>1 Crônicas 1.48–49</w:t>
        </w:r>
      </w:hyperlink>
      <w:r>
        <w:t xml:space="preserve">. </w:t>
      </w:r>
      <w:r>
        <w:rPr>
          <w:i/>
        </w:rPr>
        <w:t>Veja</w:t>
      </w:r>
      <w:r>
        <w:t xml:space="preserve"> </w:t>
      </w:r>
      <w:r>
        <w:t>Saul #1</w:t>
      </w:r>
      <w:r>
        <w:t>.</w:t>
      </w:r>
    </w:p>
    <w:p>
      <w:pPr>
        <w:pStyle w:val="ListNumber"/>
        <w:spacing w:line="240" w:lineRule="auto"/>
        <w:ind w:left="720"/>
      </w:pPr>
      <w:r/>
      <w:r>
        <w:t>O filho de Simeão com uma mulher cananeia (</w:t>
      </w:r>
      <w:hyperlink r:id="rId11526">
        <w:r>
          <w:rPr>
            <w:color w:val="0000EE"/>
            <w:u w:val="single"/>
          </w:rPr>
          <w:t>Gn 46.10</w:t>
        </w:r>
      </w:hyperlink>
      <w:r>
        <w:t xml:space="preserve">; </w:t>
      </w:r>
      <w:hyperlink r:id="rId11527">
        <w:r>
          <w:rPr>
            <w:color w:val="0000EE"/>
            <w:u w:val="single"/>
          </w:rPr>
          <w:t>Êx 6.15</w:t>
        </w:r>
      </w:hyperlink>
      <w:r>
        <w:t xml:space="preserve">; </w:t>
      </w:r>
      <w:hyperlink r:id="rId11528">
        <w:r>
          <w:rPr>
            <w:color w:val="0000EE"/>
            <w:u w:val="single"/>
          </w:rPr>
          <w:t>1 Cr 4.24</w:t>
        </w:r>
      </w:hyperlink>
      <w:r>
        <w:t>). Ele foi o líder da família Saulita (</w:t>
      </w:r>
      <w:hyperlink r:id="rId19276">
        <w:r>
          <w:rPr>
            <w:color w:val="0000EE"/>
            <w:u w:val="single"/>
          </w:rPr>
          <w:t>Nm 26.13</w:t>
        </w:r>
      </w:hyperlink>
      <w:r>
        <w:t>).</w:t>
      </w:r>
    </w:p>
    <w:p>
      <w:pPr>
        <w:pStyle w:val="ListNumber"/>
        <w:spacing w:line="240" w:lineRule="auto"/>
        <w:ind w:left="720"/>
      </w:pPr>
      <w:r/>
      <w:r>
        <w:t>Filho de Uzias (</w:t>
      </w:r>
      <w:hyperlink r:id="rId19277">
        <w:r>
          <w:rPr>
            <w:color w:val="0000EE"/>
            <w:u w:val="single"/>
          </w:rPr>
          <w:t>1Cr 6.24</w:t>
        </w:r>
      </w:hyperlink>
      <w:r>
        <w:t>). Ele era um coatita da tribo de Levi.</w:t>
      </w:r>
      <w:r/>
      <w:r/>
    </w:p>
    <w:p>
      <w:r/>
    </w:p>
    <w:p>
      <w:pPr>
        <w:pStyle w:val="Heading2"/>
      </w:pPr>
      <w:r>
        <w:t>Saulita</w:t>
      </w:r>
      <w:r/>
    </w:p>
    <w:p>
      <w:r/>
      <w:r>
        <w:t>Qualquer descendente de Saul da tribo de Simeão (</w:t>
      </w:r>
      <w:hyperlink r:id="rId19276">
        <w:r>
          <w:rPr>
            <w:color w:val="0000EE"/>
            <w:u w:val="single"/>
          </w:rPr>
          <w:t>Números 26.13</w:t>
        </w:r>
      </w:hyperlink>
      <w:r>
        <w:t>, ARC).</w:t>
      </w:r>
    </w:p>
    <w:p>
      <w:r/>
      <w:r>
        <w:rPr>
          <w:i/>
        </w:rPr>
        <w:t>Veja também</w:t>
      </w:r>
      <w:r>
        <w:t xml:space="preserve"> </w:t>
      </w:r>
      <w:r>
        <w:t>Saul #2</w:t>
      </w:r>
      <w:r>
        <w:t>.</w:t>
      </w:r>
      <w:r/>
      <w:r/>
    </w:p>
    <w:p>
      <w:r/>
    </w:p>
    <w:p>
      <w:pPr>
        <w:pStyle w:val="Heading2"/>
      </w:pPr>
      <w:r>
        <w:t>Savé, Vale de</w:t>
      </w:r>
      <w:r/>
    </w:p>
    <w:p>
      <w:r/>
      <w:r>
        <w:t xml:space="preserve">Nome alternativo para o vale do Rei perto de Jerusalém em </w:t>
      </w:r>
      <w:hyperlink r:id="rId19278">
        <w:r>
          <w:rPr>
            <w:color w:val="0000EE"/>
            <w:u w:val="single"/>
          </w:rPr>
          <w:t>Gênesis 14.17</w:t>
        </w:r>
      </w:hyperlink>
      <w:r>
        <w:t xml:space="preserve">. </w:t>
      </w:r>
      <w:r>
        <w:rPr>
          <w:i/>
        </w:rPr>
        <w:t>Veja</w:t>
      </w:r>
      <w:r>
        <w:t xml:space="preserve"> </w:t>
      </w:r>
      <w:r>
        <w:t>Vale do Rei</w:t>
      </w:r>
      <w:r>
        <w:t>.</w:t>
      </w:r>
      <w:r/>
      <w:r/>
    </w:p>
    <w:p>
      <w:r/>
    </w:p>
    <w:p>
      <w:pPr>
        <w:pStyle w:val="Heading2"/>
      </w:pPr>
      <w:r>
        <w:t>Savé-Quiriataim</w:t>
      </w:r>
      <w:r/>
    </w:p>
    <w:p>
      <w:r/>
      <w:r>
        <w:t xml:space="preserve">Planície Leste do Mar Morto, perto da cidade de Quiriataim, ocupada pelo povo de Emim. Os emins em </w:t>
      </w:r>
      <w:r>
        <w:t>Savé-Quiriataim</w:t>
      </w:r>
      <w:r>
        <w:t xml:space="preserve"> são listados junto com uma série de outras tribos e nações que o rei Quedorlaomer e seus aliados derrotaram (</w:t>
      </w:r>
      <w:hyperlink r:id="rId1114">
        <w:r>
          <w:rPr>
            <w:color w:val="0000EE"/>
            <w:u w:val="single"/>
          </w:rPr>
          <w:t>Gn 14.5</w:t>
        </w:r>
      </w:hyperlink>
      <w:r>
        <w:t>). Esta planície foi posteriormente herdada pelos filhos de Rúben.</w:t>
      </w:r>
      <w:r/>
      <w:r/>
    </w:p>
    <w:p>
      <w:r/>
    </w:p>
    <w:p>
      <w:pPr>
        <w:pStyle w:val="Heading2"/>
      </w:pPr>
      <w:r>
        <w:t>Seá</w:t>
      </w:r>
      <w:r/>
    </w:p>
    <w:p>
      <w:r/>
      <w:r>
        <w:t>Uma unidade de medida seca mencionada duas vezes na Bíblia (</w:t>
      </w:r>
      <w:hyperlink r:id="rId5208">
        <w:r>
          <w:rPr>
            <w:color w:val="0000EE"/>
            <w:u w:val="single"/>
          </w:rPr>
          <w:t>Gn 18.6</w:t>
        </w:r>
      </w:hyperlink>
      <w:r>
        <w:t xml:space="preserve">; </w:t>
      </w:r>
      <w:hyperlink r:id="rId19279">
        <w:r>
          <w:rPr>
            <w:color w:val="0000EE"/>
            <w:u w:val="single"/>
          </w:rPr>
          <w:t>1Rs 18.32</w:t>
        </w:r>
      </w:hyperlink>
      <w:r>
        <w:t>).</w:t>
      </w:r>
    </w:p>
    <w:p>
      <w:r/>
      <w:r>
        <w:rPr>
          <w:i/>
        </w:rPr>
        <w:t>Veja</w:t>
      </w:r>
      <w:r>
        <w:t xml:space="preserve"> </w:t>
      </w:r>
      <w:r>
        <w:t>Pesos e medidas</w:t>
      </w:r>
      <w:r>
        <w:t>.</w:t>
      </w:r>
      <w:r/>
      <w:r/>
    </w:p>
    <w:p>
      <w:r/>
    </w:p>
    <w:p>
      <w:pPr>
        <w:pStyle w:val="Heading2"/>
      </w:pPr>
      <w:r>
        <w:t>Seba</w:t>
      </w:r>
      <w:r/>
    </w:p>
    <w:p>
      <w:r/>
      <w:r>
        <w:t xml:space="preserve">Um poço perto de Berseba, em </w:t>
      </w:r>
      <w:hyperlink r:id="rId9542">
        <w:r>
          <w:rPr>
            <w:color w:val="0000EE"/>
            <w:u w:val="single"/>
          </w:rPr>
          <w:t>Gênesis 26.33</w:t>
        </w:r>
      </w:hyperlink>
      <w:r>
        <w:t>.</w:t>
      </w:r>
      <w:r/>
      <w:r/>
    </w:p>
    <w:p>
      <w:r/>
    </w:p>
    <w:p>
      <w:pPr>
        <w:pStyle w:val="Heading2"/>
      </w:pPr>
      <w:r>
        <w:t>Seba</w:t>
      </w:r>
      <w:r/>
    </w:p>
    <w:p>
      <w:r/>
      <w:r>
        <w:t>Nome do quarto poço cavado pelos servos de Isaque, assim chamado pela aliança feita entre Isaque e Abimeleque, rei de Gerar. A cidade no local do poço foi chamada Berseba (</w:t>
      </w:r>
      <w:hyperlink r:id="rId9542">
        <w:r>
          <w:rPr>
            <w:color w:val="0000EE"/>
            <w:u w:val="single"/>
          </w:rPr>
          <w:t>Gn 26.33</w:t>
        </w:r>
      </w:hyperlink>
      <w:r>
        <w:t>, NTLH).</w:t>
      </w:r>
      <w:r/>
      <w:r/>
    </w:p>
    <w:p>
      <w:r/>
    </w:p>
    <w:p>
      <w:pPr>
        <w:pStyle w:val="Heading2"/>
      </w:pPr>
      <w:r>
        <w:t>Sebá</w:t>
      </w:r>
      <w:r/>
    </w:p>
    <w:p>
      <w:r/>
      <w:r>
        <w:t>Um povo semita descendente de Cuxe (</w:t>
      </w:r>
      <w:hyperlink r:id="rId6646">
        <w:r>
          <w:rPr>
            <w:color w:val="0000EE"/>
            <w:u w:val="single"/>
          </w:rPr>
          <w:t>Gn 10.7</w:t>
        </w:r>
      </w:hyperlink>
      <w:r>
        <w:t xml:space="preserve">; </w:t>
      </w:r>
      <w:hyperlink r:id="rId6647">
        <w:r>
          <w:rPr>
            <w:color w:val="0000EE"/>
            <w:u w:val="single"/>
          </w:rPr>
          <w:t>1Cr 1.9</w:t>
        </w:r>
      </w:hyperlink>
      <w:r>
        <w:t xml:space="preserve">; </w:t>
      </w:r>
      <w:hyperlink r:id="rId18994">
        <w:r>
          <w:rPr>
            <w:color w:val="0000EE"/>
            <w:u w:val="single"/>
          </w:rPr>
          <w:t>Is 43.3</w:t>
        </w:r>
      </w:hyperlink>
      <w:r>
        <w:t>). Os povos semitas são grupos antigos do Oriente Médio e do Norte da África, conhecidos por suas línguas compartilhadas (como hebraico, aramaico ou árabe) e tradições culturais. É possível que Sebá seja o mesmo que o povo de Seba.</w:t>
      </w:r>
    </w:p>
    <w:p>
      <w:r/>
      <w:r>
        <w:rPr>
          <w:i/>
        </w:rPr>
        <w:t>Veja</w:t>
      </w:r>
      <w:r>
        <w:t xml:space="preserve"> </w:t>
      </w:r>
      <w:r>
        <w:t>Seba (Pessoa) #2</w:t>
      </w:r>
      <w:r>
        <w:t>.</w:t>
      </w:r>
      <w:r/>
      <w:r/>
    </w:p>
    <w:p>
      <w:r/>
    </w:p>
    <w:p>
      <w:pPr>
        <w:pStyle w:val="Heading2"/>
      </w:pPr>
      <w:r>
        <w:t>Sebã</w:t>
      </w:r>
      <w:r/>
    </w:p>
    <w:p>
      <w:r/>
      <w:r>
        <w:t>Outra versão da grafia de Sibma, uma cidade no território de Rúben (</w:t>
      </w:r>
      <w:hyperlink r:id="rId2947">
        <w:r>
          <w:rPr>
            <w:color w:val="0000EE"/>
            <w:u w:val="single"/>
          </w:rPr>
          <w:t>Números 32.3</w:t>
        </w:r>
      </w:hyperlink>
      <w:r>
        <w:t>).</w:t>
      </w:r>
    </w:p>
    <w:p>
      <w:r/>
      <w:r>
        <w:rPr>
          <w:i/>
        </w:rPr>
        <w:t>Veja também</w:t>
      </w:r>
      <w:r>
        <w:t xml:space="preserve"> </w:t>
      </w:r>
      <w:r>
        <w:t>Sibma</w:t>
      </w:r>
      <w:r>
        <w:t>.</w:t>
      </w:r>
      <w:r/>
      <w:r/>
    </w:p>
    <w:p>
      <w:r/>
    </w:p>
    <w:p>
      <w:pPr>
        <w:pStyle w:val="Heading2"/>
      </w:pPr>
      <w:r>
        <w:t>Seba (Lugar)</w:t>
      </w:r>
      <w:r/>
    </w:p>
    <w:p>
      <w:r/>
      <w:r>
        <w:t xml:space="preserve">1. Uma das 14 cidades listadas em </w:t>
      </w:r>
      <w:hyperlink r:id="rId19280">
        <w:r>
          <w:rPr>
            <w:color w:val="0000EE"/>
            <w:u w:val="single"/>
          </w:rPr>
          <w:t>Josué 19.2</w:t>
        </w:r>
      </w:hyperlink>
      <w:r>
        <w:t xml:space="preserve"> que foram atribuídas à tribo de Simeão na porção sul da herança de Judá. Como o versículo menciona 13 cidades, não 14, é possível que "Seba" tenha sido repetido na lista como uma forma abreviada de "Berseba", como muitas traduções indicam. A LXX, no entanto, nomeia esta cidade como Sema (cf. </w:t>
      </w:r>
      <w:hyperlink r:id="rId19281">
        <w:r>
          <w:rPr>
            <w:color w:val="0000EE"/>
            <w:u w:val="single"/>
          </w:rPr>
          <w:t>Js 15.26</w:t>
        </w:r>
      </w:hyperlink>
      <w:r>
        <w:t>).</w:t>
      </w:r>
    </w:p>
    <w:p>
      <w:r/>
      <w:r>
        <w:t>2. Território localizado no sudoeste da Arábia, também conhecido como o reino de Sabá (em hebraico Seba'). Os sabeus eram de descendência semítica e eram governados por um sacerdote-rei na cidade real de Ma'rib.</w:t>
      </w:r>
    </w:p>
    <w:p>
      <w:r/>
      <w:r>
        <w:t>Eles eram um povo mercador que mantinha relações comerciais com Israel e outros países, chegando até a Índia. Ricos em especiarias, pedras preciosas e produtos agrícolas, o povo de Seba (Sabá) estabeleceu uma rede de rotas terrestres e marítimas para comercializar suas mercadorias (</w:t>
      </w:r>
      <w:hyperlink r:id="rId19282">
        <w:r>
          <w:rPr>
            <w:color w:val="0000EE"/>
            <w:u w:val="single"/>
          </w:rPr>
          <w:t>Sl 72.10,15</w:t>
        </w:r>
      </w:hyperlink>
      <w:r>
        <w:t xml:space="preserve">; </w:t>
      </w:r>
      <w:hyperlink r:id="rId7614">
        <w:r>
          <w:rPr>
            <w:color w:val="0000EE"/>
            <w:u w:val="single"/>
          </w:rPr>
          <w:t>Is 60.6</w:t>
        </w:r>
      </w:hyperlink>
      <w:r>
        <w:t xml:space="preserve">; </w:t>
      </w:r>
      <w:hyperlink r:id="rId10957">
        <w:r>
          <w:rPr>
            <w:color w:val="0000EE"/>
            <w:u w:val="single"/>
          </w:rPr>
          <w:t>Jr 6.20</w:t>
        </w:r>
      </w:hyperlink>
      <w:r>
        <w:t xml:space="preserve">; </w:t>
      </w:r>
      <w:hyperlink r:id="rId19283">
        <w:r>
          <w:rPr>
            <w:color w:val="0000EE"/>
            <w:u w:val="single"/>
          </w:rPr>
          <w:t>Ez 27.22–23</w:t>
        </w:r>
      </w:hyperlink>
      <w:r>
        <w:t>). Numerosas inscrições foram encontradas, atestando a civilização sabeia no sul da Arábia e suas viagens.</w:t>
      </w:r>
    </w:p>
    <w:p>
      <w:r/>
      <w:r>
        <w:t>Durante a era salomônica (970–930 a.C.), a Rainha de Sabá viajou para Jerusalém para ver as riquezas de Salomão e testar sua sabedoria com enigmas. Salomão superou suas expectativas em ambos os aspectos (</w:t>
      </w:r>
      <w:hyperlink r:id="rId17747">
        <w:r>
          <w:rPr>
            <w:color w:val="0000EE"/>
            <w:u w:val="single"/>
          </w:rPr>
          <w:t>1Rs 10.1–13</w:t>
        </w:r>
      </w:hyperlink>
      <w:r>
        <w:t xml:space="preserve">; </w:t>
      </w:r>
      <w:hyperlink r:id="rId19284">
        <w:r>
          <w:rPr>
            <w:color w:val="0000EE"/>
            <w:u w:val="single"/>
          </w:rPr>
          <w:t>2Cr 9.1–12</w:t>
        </w:r>
      </w:hyperlink>
      <w:r>
        <w:t>).</w:t>
      </w:r>
      <w:r/>
      <w:r/>
    </w:p>
    <w:p>
      <w:r/>
    </w:p>
    <w:p>
      <w:pPr>
        <w:pStyle w:val="Heading2"/>
      </w:pPr>
      <w:r>
        <w:t>Sebá (Pessoa)</w:t>
      </w:r>
      <w:r/>
    </w:p>
    <w:p>
      <w:r/>
      <w:r>
        <w:t>1. Filho de Raamá, irmão de Dedã e descendente de Noé pela linhagem de Cam (</w:t>
      </w:r>
      <w:hyperlink r:id="rId6646">
        <w:r>
          <w:rPr>
            <w:color w:val="0000EE"/>
            <w:u w:val="single"/>
          </w:rPr>
          <w:t>Gn 10.7</w:t>
        </w:r>
      </w:hyperlink>
      <w:r>
        <w:t xml:space="preserve">; </w:t>
      </w:r>
      <w:hyperlink r:id="rId6647">
        <w:r>
          <w:rPr>
            <w:color w:val="0000EE"/>
            <w:u w:val="single"/>
          </w:rPr>
          <w:t>1Cr 1.9</w:t>
        </w:r>
      </w:hyperlink>
      <w:r>
        <w:t>).</w:t>
      </w:r>
    </w:p>
    <w:p>
      <w:r/>
      <w:r>
        <w:t>2. Um dos 13 filhos de Joctã e um descendente de Noé através da linhagem de Sem (</w:t>
      </w:r>
      <w:hyperlink r:id="rId89">
        <w:r>
          <w:rPr>
            <w:color w:val="0000EE"/>
            <w:u w:val="single"/>
          </w:rPr>
          <w:t>Gn 10.28</w:t>
        </w:r>
      </w:hyperlink>
      <w:r>
        <w:t xml:space="preserve">; </w:t>
      </w:r>
      <w:hyperlink r:id="rId90">
        <w:r>
          <w:rPr>
            <w:color w:val="0000EE"/>
            <w:u w:val="single"/>
          </w:rPr>
          <w:t>1Cr 1.22</w:t>
        </w:r>
      </w:hyperlink>
      <w:r>
        <w:t>).</w:t>
      </w:r>
    </w:p>
    <w:p>
      <w:r/>
      <w:r>
        <w:t>3. Filho de Jocsã, irmão de Dedã e neto de Abraão e Quetura (</w:t>
      </w:r>
      <w:hyperlink r:id="rId2792">
        <w:r>
          <w:rPr>
            <w:color w:val="0000EE"/>
            <w:u w:val="single"/>
          </w:rPr>
          <w:t>Gn 25.3</w:t>
        </w:r>
      </w:hyperlink>
      <w:r>
        <w:t xml:space="preserve">; </w:t>
      </w:r>
      <w:hyperlink r:id="rId5351">
        <w:r>
          <w:rPr>
            <w:color w:val="0000EE"/>
            <w:u w:val="single"/>
          </w:rPr>
          <w:t>1Cr 1.32</w:t>
        </w:r>
      </w:hyperlink>
      <w:r>
        <w:t>).</w:t>
      </w:r>
    </w:p>
    <w:p>
      <w:r/>
      <w:r>
        <w:t>4. Benjamita e filho de Bicri. Após a morte de Absalão, Sebá incitou Israel a se rebelar contra Davi. Sob o comando de Joabe, a revolta foi subjugada e Sebá foi decapitado em Abel-Bete-Maaca (</w:t>
      </w:r>
      <w:hyperlink r:id="rId19285">
        <w:r>
          <w:rPr>
            <w:color w:val="0000EE"/>
            <w:u w:val="single"/>
          </w:rPr>
          <w:t>2Sm 20.1–22</w:t>
        </w:r>
      </w:hyperlink>
      <w:r>
        <w:t>).</w:t>
      </w:r>
    </w:p>
    <w:p>
      <w:r/>
      <w:r>
        <w:t xml:space="preserve">5. Um dos líderes gaditas governou em Basã, registrado durante os reinados de Jotão, rei de Judá (750–732 a.C.) e Jeroboão II, rei de Israel (793–753 a.C.); </w:t>
      </w:r>
      <w:r>
        <w:rPr>
          <w:i/>
        </w:rPr>
        <w:t>veja</w:t>
      </w:r>
      <w:r>
        <w:t xml:space="preserve"> </w:t>
      </w:r>
      <w:hyperlink r:id="rId19286">
        <w:r>
          <w:rPr>
            <w:color w:val="0000EE"/>
            <w:u w:val="single"/>
          </w:rPr>
          <w:t>1 Cr 5.13,16–17</w:t>
        </w:r>
      </w:hyperlink>
      <w:r>
        <w:t>.</w:t>
      </w:r>
      <w:r/>
      <w:r/>
    </w:p>
    <w:p>
      <w:r/>
    </w:p>
    <w:p>
      <w:pPr>
        <w:pStyle w:val="Heading2"/>
      </w:pPr>
      <w:r>
        <w:t>Sedeur</w:t>
      </w:r>
      <w:r/>
    </w:p>
    <w:p>
      <w:r/>
      <w:r>
        <w:t>O pai de Elizur. Elizur era um líder importante da tribo de Rúben. Moisés pediu a Elizur que ajudasse a contar todos os homens que poderiam servir no exército (</w:t>
      </w:r>
      <w:hyperlink r:id="rId7978">
        <w:r>
          <w:rPr>
            <w:color w:val="0000EE"/>
            <w:u w:val="single"/>
          </w:rPr>
          <w:t>Nm 1.5</w:t>
        </w:r>
      </w:hyperlink>
      <w:r>
        <w:t xml:space="preserve">; </w:t>
      </w:r>
      <w:hyperlink r:id="rId7979">
        <w:r>
          <w:rPr>
            <w:color w:val="0000EE"/>
            <w:u w:val="single"/>
          </w:rPr>
          <w:t>2.10</w:t>
        </w:r>
      </w:hyperlink>
      <w:r>
        <w:t xml:space="preserve">; </w:t>
      </w:r>
      <w:hyperlink r:id="rId7981">
        <w:r>
          <w:rPr>
            <w:color w:val="0000EE"/>
            <w:u w:val="single"/>
          </w:rPr>
          <w:t>10.18</w:t>
        </w:r>
      </w:hyperlink>
      <w:r>
        <w:t>). Elizur também representou sua tribo durante a cerimônia especial para dedicar o altar (</w:t>
      </w:r>
      <w:hyperlink r:id="rId7980">
        <w:r>
          <w:rPr>
            <w:color w:val="0000EE"/>
            <w:u w:val="single"/>
          </w:rPr>
          <w:t>7.30–35</w:t>
        </w:r>
      </w:hyperlink>
      <w:r>
        <w:t>).</w:t>
      </w:r>
      <w:r/>
      <w:r/>
    </w:p>
    <w:p>
      <w:r/>
    </w:p>
    <w:p>
      <w:pPr>
        <w:pStyle w:val="Heading2"/>
      </w:pPr>
      <w:r>
        <w:t>Sedimentos</w:t>
      </w:r>
      <w:r/>
    </w:p>
    <w:p>
      <w:r/>
      <w:r>
        <w:t>Substância espessa, ou resíduos, que se forma no fundo de um recipiente de vinho durante a fermentação, também é chamado de "borra".</w:t>
      </w:r>
    </w:p>
    <w:p>
      <w:r/>
      <w:r>
        <w:t xml:space="preserve">O termo aparece em três situações diferentes no AT, cada uma aparentemente representando uma fase particular da fermentação. </w:t>
      </w:r>
      <w:hyperlink r:id="rId3114">
        <w:r>
          <w:rPr>
            <w:color w:val="0000EE"/>
            <w:u w:val="single"/>
          </w:rPr>
          <w:t>Isaías 25.6</w:t>
        </w:r>
      </w:hyperlink>
      <w:r>
        <w:t xml:space="preserve"> refere-se ao vinho em seu melhor estado (“mais finos”, NTLH) após uma fermentação adequada: forte, claro e filtrado. </w:t>
      </w:r>
      <w:hyperlink r:id="rId19287">
        <w:r>
          <w:rPr>
            <w:color w:val="0000EE"/>
            <w:u w:val="single"/>
          </w:rPr>
          <w:t>Jeremias 48.11</w:t>
        </w:r>
      </w:hyperlink>
      <w:r>
        <w:t xml:space="preserve"> e </w:t>
      </w:r>
      <w:hyperlink r:id="rId19288">
        <w:r>
          <w:rPr>
            <w:color w:val="0000EE"/>
            <w:u w:val="single"/>
          </w:rPr>
          <w:t>Sofonias 1.12</w:t>
        </w:r>
      </w:hyperlink>
      <w:r>
        <w:t xml:space="preserve"> referem-se ao vinho que está super fermentado, tendo se tornado xaroposo na aparência e fraco e insosso no sabor. Figurativamente, o termo aplica-se aos judeus e moabitas prestes a receber um julgamento iminente por terem se permitido levar a um estilo de vida ímpio, indolente e indiferente. </w:t>
      </w:r>
      <w:hyperlink r:id="rId4087">
        <w:r>
          <w:rPr>
            <w:color w:val="0000EE"/>
            <w:u w:val="single"/>
          </w:rPr>
          <w:t>Salmo 75.8</w:t>
        </w:r>
      </w:hyperlink>
      <w:r>
        <w:t xml:space="preserve"> usa “resíduos” para se referir aos sedimentos amargos e resíduos deixados após o vinho ter sido derramado, que os ímpios serão forçados a consumir.</w:t>
      </w:r>
      <w:r/>
      <w:r/>
    </w:p>
    <w:p>
      <w:r/>
    </w:p>
    <w:p>
      <w:pPr>
        <w:pStyle w:val="Heading2"/>
      </w:pPr>
      <w:r>
        <w:t>Sefã</w:t>
      </w:r>
      <w:r/>
    </w:p>
    <w:p>
      <w:r/>
      <w:r>
        <w:t>Um dos locais usados por Moisés para estabelecer a fronteira oriental da Terra Prometida. Estava localizado entre Hazar-Enã, que marcava o canto nordeste da terra, e Ribla (</w:t>
      </w:r>
      <w:hyperlink r:id="rId19289">
        <w:r>
          <w:rPr>
            <w:color w:val="0000EE"/>
            <w:u w:val="single"/>
          </w:rPr>
          <w:t>Nm 34.10–11)</w:t>
        </w:r>
      </w:hyperlink>
      <w:r>
        <w:t>.</w:t>
      </w:r>
      <w:r/>
      <w:r/>
    </w:p>
    <w:p>
      <w:r/>
    </w:p>
    <w:p>
      <w:pPr>
        <w:pStyle w:val="Heading2"/>
      </w:pPr>
      <w:r>
        <w:t>Sefar</w:t>
      </w:r>
      <w:r/>
    </w:p>
    <w:p>
      <w:r/>
      <w:r>
        <w:t>Um marco geográfico. Define uma das fronteiras do território colonizado pelos filhos de Joctã (</w:t>
      </w:r>
      <w:hyperlink r:id="rId10362">
        <w:r>
          <w:rPr>
            <w:color w:val="0000EE"/>
            <w:u w:val="single"/>
          </w:rPr>
          <w:t>G 10.30</w:t>
        </w:r>
      </w:hyperlink>
      <w:r>
        <w:t>). Não há dúvida de que está no sul da Arábia. Sefar é frequentemente identificado com uma das duas cidades que têm o nome árabe Zafar. Uma é a cidade portuária na província de Hadramaut, no centro do Iêmen. A outra é o local no sul do Iêmen, que já foi a capital dos Himyaritas.</w:t>
      </w:r>
      <w:r/>
      <w:r/>
    </w:p>
    <w:p>
      <w:r/>
    </w:p>
    <w:p>
      <w:pPr>
        <w:pStyle w:val="Heading2"/>
      </w:pPr>
      <w:r>
        <w:t>Sefer</w:t>
      </w:r>
      <w:r/>
    </w:p>
    <w:p>
      <w:r/>
      <w:r>
        <w:t xml:space="preserve">Sefer (ou, Séfer) é o nome de uma montanha incerta em </w:t>
      </w:r>
      <w:hyperlink r:id="rId14804">
        <w:r>
          <w:rPr>
            <w:color w:val="0000EE"/>
            <w:u w:val="single"/>
          </w:rPr>
          <w:t>Números 33.23–24</w:t>
        </w:r>
      </w:hyperlink>
      <w:r>
        <w:t>.</w:t>
      </w:r>
    </w:p>
    <w:p>
      <w:r/>
      <w:r>
        <w:rPr>
          <w:i/>
        </w:rPr>
        <w:t>Veja também</w:t>
      </w:r>
      <w:r>
        <w:t xml:space="preserve"> </w:t>
      </w:r>
      <w:r>
        <w:t>Monte Sefer</w:t>
      </w:r>
      <w:r>
        <w:t>.</w:t>
      </w:r>
      <w:r/>
      <w:r/>
    </w:p>
    <w:p>
      <w:r/>
    </w:p>
    <w:p>
      <w:pPr>
        <w:pStyle w:val="Heading2"/>
      </w:pPr>
      <w:r>
        <w:t>Sefi, Sefô</w:t>
      </w:r>
      <w:r/>
    </w:p>
    <w:p>
      <w:r/>
      <w:r>
        <w:t>Um dos cinco filhos de Sobal e um descendente de Seir, o horita. Sefô é listado na genealogia de Abraão através do contato de Esaú com a nação (</w:t>
      </w:r>
      <w:hyperlink r:id="rId1016">
        <w:r>
          <w:rPr>
            <w:color w:val="0000EE"/>
            <w:u w:val="single"/>
          </w:rPr>
          <w:t>Gn 36.23</w:t>
        </w:r>
      </w:hyperlink>
      <w:r>
        <w:t>); seu nome é alternativamente escrito como Sefi (</w:t>
      </w:r>
      <w:hyperlink r:id="rId1017">
        <w:r>
          <w:rPr>
            <w:color w:val="0000EE"/>
            <w:u w:val="single"/>
          </w:rPr>
          <w:t>1Cr 1.40</w:t>
        </w:r>
      </w:hyperlink>
      <w:r>
        <w:t>; veja ACF).</w:t>
      </w:r>
      <w:r/>
      <w:r/>
    </w:p>
    <w:p>
      <w:r/>
    </w:p>
    <w:p>
      <w:pPr>
        <w:pStyle w:val="Heading2"/>
      </w:pPr>
      <w:r>
        <w:t>Seguidores do Caminho</w:t>
      </w:r>
      <w:r/>
    </w:p>
    <w:p>
      <w:r/>
      <w:r>
        <w:t>Um nome usado para cristãos no livro de Atos (</w:t>
      </w:r>
      <w:hyperlink r:id="rId15502">
        <w:r>
          <w:rPr>
            <w:color w:val="0000EE"/>
            <w:u w:val="single"/>
          </w:rPr>
          <w:t>At 9.2</w:t>
        </w:r>
      </w:hyperlink>
      <w:r>
        <w:t xml:space="preserve">; </w:t>
      </w:r>
      <w:hyperlink r:id="rId15503">
        <w:r>
          <w:rPr>
            <w:color w:val="0000EE"/>
            <w:u w:val="single"/>
          </w:rPr>
          <w:t>19.9,23</w:t>
        </w:r>
      </w:hyperlink>
      <w:r>
        <w:t xml:space="preserve">; </w:t>
      </w:r>
      <w:hyperlink r:id="rId15504">
        <w:r>
          <w:rPr>
            <w:color w:val="0000EE"/>
            <w:u w:val="single"/>
          </w:rPr>
          <w:t>22.4</w:t>
        </w:r>
      </w:hyperlink>
      <w:r>
        <w:t xml:space="preserve">; </w:t>
      </w:r>
      <w:hyperlink r:id="rId19290">
        <w:r>
          <w:rPr>
            <w:color w:val="0000EE"/>
            <w:u w:val="single"/>
          </w:rPr>
          <w:t>24.22</w:t>
        </w:r>
      </w:hyperlink>
      <w:r>
        <w:t>). Nos seus primeiros anos, o cristianismo era chamado de "o Caminho".</w:t>
      </w:r>
    </w:p>
    <w:p>
      <w:r/>
      <w:r>
        <w:rPr>
          <w:i/>
        </w:rPr>
        <w:t>Veja</w:t>
      </w:r>
      <w:r>
        <w:t xml:space="preserve"> </w:t>
      </w:r>
      <w:r>
        <w:t>O Caminho</w:t>
      </w:r>
      <w:r>
        <w:t>.</w:t>
      </w:r>
      <w:r/>
      <w:r/>
    </w:p>
    <w:p>
      <w:r/>
    </w:p>
    <w:p>
      <w:pPr>
        <w:pStyle w:val="Heading2"/>
      </w:pPr>
      <w:r>
        <w:t>Segunda revolta judaica</w:t>
      </w:r>
      <w:r/>
    </w:p>
    <w:p>
      <w:r/>
      <w:r>
        <w:t>Uma rebelião judaica nomeada em homenagem ao seu líder, Simão Barcoquebas. Durou de 131 a 135 d.C. Houve duas razões para a revolta:</w:t>
      </w:r>
    </w:p>
    <w:p>
      <w:pPr>
        <w:pStyle w:val="ListNumber"/>
        <w:spacing w:line="240" w:lineRule="auto"/>
        <w:ind w:left="720"/>
      </w:pPr>
      <w:r/>
      <w:r>
        <w:t>O Imperador Adriano transformou a circuncisão em um crime punível com a morte;</w:t>
      </w:r>
    </w:p>
    <w:p>
      <w:pPr>
        <w:pStyle w:val="ListNumber"/>
        <w:spacing w:line="240" w:lineRule="auto"/>
        <w:ind w:left="720"/>
      </w:pPr>
      <w:r/>
      <w:r>
        <w:t>Ele decidiu reconstruir Jerusalém e erguer um santuário a Zeus nas ruínas do local do templo, o que enfureceu o povo judeu.</w:t>
      </w:r>
    </w:p>
    <w:p>
      <w:r/>
      <w:r>
        <w:t>O nome de Simão Barcoquebas significa "filho de uma estrela". Acreditava-se que ele era a “estrela [que] surgirá de Jacó” (</w:t>
      </w:r>
      <w:hyperlink r:id="rId2807">
        <w:r>
          <w:rPr>
            <w:color w:val="0000EE"/>
            <w:u w:val="single"/>
          </w:rPr>
          <w:t>Nm 24.17</w:t>
        </w:r>
      </w:hyperlink>
      <w:r>
        <w:t>). Muitos judeus proclamaram Simão Barcoquebas como o Messias (um salvador ou líder escolhido que muitos judeus estavam esperando). Simão Barcoquebas usou ataques surpresa para lutar contra os romanos. Esse tipo de luta levou a grandes perdas tanto para os judeus quanto para os romanos. Um general romano chamado Júlio Severo finalmente derrotou a resistência judaica.</w:t>
      </w:r>
    </w:p>
    <w:p>
      <w:r/>
      <w:r>
        <w:t>Adriano reconstruiu Jerusalém e a renomeou para Colonia Aelia Capitolina. Ele a repovoou com gentios e proibiu os judeus de entrarem, sob pena de morte.</w:t>
      </w:r>
    </w:p>
    <w:p>
      <w:r/>
      <w:r>
        <w:rPr>
          <w:i/>
        </w:rPr>
        <w:t>Veja também</w:t>
      </w:r>
      <w:r>
        <w:t xml:space="preserve"> </w:t>
      </w:r>
      <w:r>
        <w:t>Bar-Kochba, Bar-Kokba</w:t>
      </w:r>
      <w:r>
        <w:t>.</w:t>
      </w:r>
      <w:r/>
      <w:r/>
    </w:p>
    <w:p>
      <w:r/>
    </w:p>
    <w:p>
      <w:pPr>
        <w:pStyle w:val="Heading2"/>
      </w:pPr>
      <w:r>
        <w:t>Segunda Vinda De Cristo*</w:t>
      </w:r>
      <w:r/>
    </w:p>
    <w:p>
      <w:r/>
      <w:r>
        <w:t>O retorno de Jesus Cristo à terra para completar a obra da salvação.</w:t>
      </w:r>
    </w:p>
    <w:p>
      <w:pPr>
        <w:pStyle w:val="Heading3"/>
      </w:pPr>
      <w:r>
        <w:t>Termos usados</w:t>
      </w:r>
    </w:p>
    <w:p>
      <w:r/>
      <w:r>
        <w:t xml:space="preserve">A doutrina é expressa por verbos como “vem”, “desce”, “aparece” e “é revelado” com Cristo como o assunto (por exemplo: “Eu virei novamente”, </w:t>
      </w:r>
      <w:hyperlink r:id="rId19291">
        <w:r>
          <w:rPr>
            <w:color w:val="0000EE"/>
            <w:u w:val="single"/>
          </w:rPr>
          <w:t>Jo 14.3</w:t>
        </w:r>
      </w:hyperlink>
      <w:r>
        <w:t xml:space="preserve">; “o próprio Senhor descerá”, </w:t>
      </w:r>
      <w:hyperlink r:id="rId14370">
        <w:r>
          <w:rPr>
            <w:color w:val="0000EE"/>
            <w:u w:val="single"/>
          </w:rPr>
          <w:t>1Ts 4.16</w:t>
        </w:r>
      </w:hyperlink>
      <w:r>
        <w:t xml:space="preserve">; “quando ele aparecer”, </w:t>
      </w:r>
      <w:hyperlink r:id="rId16978">
        <w:r>
          <w:rPr>
            <w:color w:val="0000EE"/>
            <w:u w:val="single"/>
          </w:rPr>
          <w:t>1Jo 2.28</w:t>
        </w:r>
      </w:hyperlink>
      <w:r>
        <w:t xml:space="preserve">; </w:t>
      </w:r>
      <w:hyperlink r:id="rId6706">
        <w:r>
          <w:rPr>
            <w:color w:val="0000EE"/>
            <w:u w:val="single"/>
          </w:rPr>
          <w:t>3.2</w:t>
        </w:r>
      </w:hyperlink>
      <w:r>
        <w:t xml:space="preserve">; “o dia em que o Filho do Homem for revelado”, </w:t>
      </w:r>
      <w:hyperlink r:id="rId7031">
        <w:r>
          <w:rPr>
            <w:color w:val="0000EE"/>
            <w:u w:val="single"/>
          </w:rPr>
          <w:t>Lc 17.30</w:t>
        </w:r>
      </w:hyperlink>
      <w:r>
        <w:t xml:space="preserve">; “quando o Senhor Jesus for revelado do céu”, </w:t>
      </w:r>
      <w:hyperlink r:id="rId19248">
        <w:r>
          <w:rPr>
            <w:color w:val="0000EE"/>
            <w:u w:val="single"/>
          </w:rPr>
          <w:t>2Ts 1.7</w:t>
        </w:r>
      </w:hyperlink>
      <w:r>
        <w:t xml:space="preserve">). É expressa também por uma variedade de substantivos, principalmente por “vinda” (que é a tradução regular da palavra grega </w:t>
      </w:r>
      <w:r>
        <w:rPr>
          <w:i/>
        </w:rPr>
        <w:t>parousia</w:t>
      </w:r>
      <w:r>
        <w:t xml:space="preserve">, que significa “presença”, “visita”, “chegada”, “advento”, especialmente de uma pessoa da realeza ou alguém importante), mas também por “aparecimento” (como em </w:t>
      </w:r>
      <w:hyperlink r:id="rId4800">
        <w:r>
          <w:rPr>
            <w:color w:val="0000EE"/>
            <w:u w:val="single"/>
          </w:rPr>
          <w:t>2Tm 4.8</w:t>
        </w:r>
      </w:hyperlink>
      <w:r>
        <w:t xml:space="preserve">; </w:t>
      </w:r>
      <w:hyperlink r:id="rId19047">
        <w:r>
          <w:rPr>
            <w:color w:val="0000EE"/>
            <w:u w:val="single"/>
          </w:rPr>
          <w:t>Tt 2.13</w:t>
        </w:r>
      </w:hyperlink>
      <w:r>
        <w:t>), “revelar” ou “revelação” (</w:t>
      </w:r>
      <w:hyperlink r:id="rId19292">
        <w:r>
          <w:rPr>
            <w:color w:val="0000EE"/>
            <w:u w:val="single"/>
          </w:rPr>
          <w:t>1Co 1.7</w:t>
        </w:r>
      </w:hyperlink>
      <w:r>
        <w:t xml:space="preserve">). Esses diferentes verbos e substantivos apontam para o mesmo evento, mas destacam diferentes aspectos dele, especialmente a manifestação da glória de Deus em Cristo quando ele vier. O tempo deste evento é repetidamente referido como “o Dia”, às vezes absolutamente (como em </w:t>
      </w:r>
      <w:hyperlink r:id="rId15190">
        <w:r>
          <w:rPr>
            <w:color w:val="0000EE"/>
            <w:u w:val="single"/>
          </w:rPr>
          <w:t>Rm 13.12</w:t>
        </w:r>
      </w:hyperlink>
      <w:r>
        <w:t xml:space="preserve">; </w:t>
      </w:r>
      <w:hyperlink r:id="rId19293">
        <w:r>
          <w:rPr>
            <w:color w:val="0000EE"/>
            <w:u w:val="single"/>
          </w:rPr>
          <w:t>1Co 3.13</w:t>
        </w:r>
      </w:hyperlink>
      <w:r>
        <w:t xml:space="preserve">; </w:t>
      </w:r>
      <w:hyperlink r:id="rId10387">
        <w:r>
          <w:rPr>
            <w:color w:val="0000EE"/>
            <w:u w:val="single"/>
          </w:rPr>
          <w:t>Hb 10.25</w:t>
        </w:r>
      </w:hyperlink>
      <w:r>
        <w:t>), mais frequentemente com uma qualificação, tal qual “o dia de Cristo” (</w:t>
      </w:r>
      <w:hyperlink r:id="rId7072">
        <w:r>
          <w:rPr>
            <w:color w:val="0000EE"/>
            <w:u w:val="single"/>
          </w:rPr>
          <w:t>Fp 1.10</w:t>
        </w:r>
      </w:hyperlink>
      <w:r>
        <w:t xml:space="preserve">; </w:t>
      </w:r>
      <w:hyperlink r:id="rId7073">
        <w:r>
          <w:rPr>
            <w:color w:val="0000EE"/>
            <w:u w:val="single"/>
          </w:rPr>
          <w:t>2.16</w:t>
        </w:r>
      </w:hyperlink>
      <w:r>
        <w:t>), “o dia do Senhor” (</w:t>
      </w:r>
      <w:hyperlink r:id="rId7034">
        <w:r>
          <w:rPr>
            <w:color w:val="0000EE"/>
            <w:u w:val="single"/>
          </w:rPr>
          <w:t>1Ts 5.2</w:t>
        </w:r>
      </w:hyperlink>
      <w:r>
        <w:t xml:space="preserve">; </w:t>
      </w:r>
      <w:hyperlink r:id="rId19294">
        <w:r>
          <w:rPr>
            <w:color w:val="0000EE"/>
            <w:u w:val="single"/>
          </w:rPr>
          <w:t>2Ts 2.2</w:t>
        </w:r>
      </w:hyperlink>
      <w:r>
        <w:t>), “o dia do Senhor Jesus” (</w:t>
      </w:r>
      <w:hyperlink r:id="rId7033">
        <w:r>
          <w:rPr>
            <w:color w:val="0000EE"/>
            <w:u w:val="single"/>
          </w:rPr>
          <w:t>1Co 5.5</w:t>
        </w:r>
      </w:hyperlink>
      <w:r>
        <w:t xml:space="preserve">; </w:t>
      </w:r>
      <w:hyperlink r:id="rId7071">
        <w:r>
          <w:rPr>
            <w:color w:val="0000EE"/>
            <w:u w:val="single"/>
          </w:rPr>
          <w:t>2Co 1.14</w:t>
        </w:r>
      </w:hyperlink>
      <w:r>
        <w:t>), “o dia de Jesus Cristo” (</w:t>
      </w:r>
      <w:hyperlink r:id="rId7024">
        <w:r>
          <w:rPr>
            <w:color w:val="0000EE"/>
            <w:u w:val="single"/>
          </w:rPr>
          <w:t>Fp 1.6</w:t>
        </w:r>
      </w:hyperlink>
      <w:r>
        <w:t>), e “o dia de nosso Senhor Jesus Cristo” (</w:t>
      </w:r>
      <w:hyperlink r:id="rId7070">
        <w:r>
          <w:rPr>
            <w:color w:val="0000EE"/>
            <w:u w:val="single"/>
          </w:rPr>
          <w:t>1Co 1.8</w:t>
        </w:r>
      </w:hyperlink>
      <w:r>
        <w:t>). Quando tais expressões são utilizadas, muitas vezes há alguma referência ao julgamento que acontecerá na vinda de Cristo: seu dia é “o dia do julgamento” (</w:t>
      </w:r>
      <w:hyperlink r:id="rId7037">
        <w:r>
          <w:rPr>
            <w:color w:val="0000EE"/>
            <w:u w:val="single"/>
          </w:rPr>
          <w:t>1Jo 4:17</w:t>
        </w:r>
      </w:hyperlink>
      <w:r>
        <w:t>) ou “o dia da ira” (</w:t>
      </w:r>
      <w:hyperlink r:id="rId5694">
        <w:r>
          <w:rPr>
            <w:color w:val="0000EE"/>
            <w:u w:val="single"/>
          </w:rPr>
          <w:t>Rm 2.5</w:t>
        </w:r>
      </w:hyperlink>
      <w:r>
        <w:t>). Para o povo de Deus, no entanto, é “o dia da redenção” (</w:t>
      </w:r>
      <w:hyperlink r:id="rId3217">
        <w:r>
          <w:rPr>
            <w:color w:val="0000EE"/>
            <w:u w:val="single"/>
          </w:rPr>
          <w:t>Ef 4.30</w:t>
        </w:r>
      </w:hyperlink>
      <w:r>
        <w:t>).</w:t>
      </w:r>
    </w:p>
    <w:p>
      <w:pPr>
        <w:pStyle w:val="Heading3"/>
      </w:pPr>
      <w:r>
        <w:t>A proclamação do Novo Testamento</w:t>
      </w:r>
    </w:p>
    <w:p>
      <w:r/>
      <w:r>
        <w:t>Que a segunda vinda de Cristo era um elemento essencial no evangelho, conforme pregado na era apostólica, está claro através de muitos escritos do NT (citados abaixo, retirados da versão ARA).</w:t>
      </w:r>
    </w:p>
    <w:p>
      <w:r/>
      <w:r>
        <w:t>A origem da Segunda Vinda é encontrada nos ensinamentos de Jesus antes de sua morte. Falando de si mesmo como o Filho do Homem, Jesus disse: “No dia em que o Filho do homem for revelado” (</w:t>
      </w:r>
      <w:hyperlink r:id="rId7031">
        <w:r>
          <w:rPr>
            <w:color w:val="0000EE"/>
            <w:u w:val="single"/>
          </w:rPr>
          <w:t>Lc 17.30</w:t>
        </w:r>
      </w:hyperlink>
      <w:r>
        <w:t>), ele virá “nas nuvens com grande poder e glória” (</w:t>
      </w:r>
      <w:hyperlink r:id="rId9433">
        <w:r>
          <w:rPr>
            <w:color w:val="0000EE"/>
            <w:u w:val="single"/>
          </w:rPr>
          <w:t>Mc 13.26</w:t>
        </w:r>
      </w:hyperlink>
      <w:r>
        <w:t>). Esta linguagem é derivada do AT, especialmente da visão de Daniel na qual “alguém como um filho do homem” é trazido “com as nuvens do céu” para receber o domínio eterno do Ancião de Dias (</w:t>
      </w:r>
      <w:hyperlink r:id="rId3649">
        <w:r>
          <w:rPr>
            <w:color w:val="0000EE"/>
            <w:u w:val="single"/>
          </w:rPr>
          <w:t>Dn 7.13–14</w:t>
        </w:r>
      </w:hyperlink>
      <w:r>
        <w:t xml:space="preserve">). Uma nuvem ou nuvens regularmente envolvia a glória divina no AT (como em </w:t>
      </w:r>
      <w:hyperlink r:id="rId19295">
        <w:r>
          <w:rPr>
            <w:color w:val="0000EE"/>
            <w:u w:val="single"/>
          </w:rPr>
          <w:t>Êx 40.34</w:t>
        </w:r>
      </w:hyperlink>
      <w:r>
        <w:t xml:space="preserve">; </w:t>
      </w:r>
      <w:hyperlink r:id="rId8911">
        <w:r>
          <w:rPr>
            <w:color w:val="0000EE"/>
            <w:u w:val="single"/>
          </w:rPr>
          <w:t>1Rs 8.10–11</w:t>
        </w:r>
      </w:hyperlink>
      <w:r>
        <w:t>); sua menção em conexão com a vinda do Filho do Homem indica que, quando ele vier, a glória de Deus será manifesta nele. A última referência de Jesus à sua segunda vinda veio em seu julgamento perante as autoridades judaicas quando, tendo sido questionado pelo sumo sacerdote se ele era ou não “o Cristo, o Filho do Bendito”, ele respondeu: “Eu sou; e vocês verão o Filho do homem sentado à destra do Poderoso, e vindo com as nuvens do céu” (</w:t>
      </w:r>
      <w:hyperlink r:id="rId8029">
        <w:r>
          <w:rPr>
            <w:color w:val="0000EE"/>
            <w:u w:val="single"/>
          </w:rPr>
          <w:t>Mc 14.61–62</w:t>
        </w:r>
      </w:hyperlink>
      <w:r>
        <w:t>).</w:t>
      </w:r>
    </w:p>
    <w:p>
      <w:r/>
      <w:r>
        <w:t>Após os Evangelhos, o resto do NT afirma a eventualidade da segunda vinda de Cristo. O registro de Atos começa com a afirmação dos anjos na ascensão de Cristo de que “este Jesus, que foi levado de vocês para o céu, virá da mesma maneira que vocês o viram ir para o céu” (</w:t>
      </w:r>
      <w:hyperlink r:id="rId8138">
        <w:r>
          <w:rPr>
            <w:color w:val="0000EE"/>
            <w:u w:val="single"/>
          </w:rPr>
          <w:t>Atos 1.11</w:t>
        </w:r>
      </w:hyperlink>
      <w:r>
        <w:t>). Os resumos das exposições apostólicas que o livro contém fazem repetidas referências a Jesus como “aquele que foi ordenado por Deus para ser juiz dos vivos e dos mortos” (</w:t>
      </w:r>
      <w:hyperlink r:id="rId12582">
        <w:r>
          <w:rPr>
            <w:color w:val="0000EE"/>
            <w:u w:val="single"/>
          </w:rPr>
          <w:t>10.42</w:t>
        </w:r>
      </w:hyperlink>
      <w:r>
        <w:t xml:space="preserve">; cf. </w:t>
      </w:r>
      <w:hyperlink r:id="rId9441">
        <w:r>
          <w:rPr>
            <w:color w:val="0000EE"/>
            <w:u w:val="single"/>
          </w:rPr>
          <w:t>17.31</w:t>
        </w:r>
      </w:hyperlink>
      <w:r>
        <w:t>).</w:t>
      </w:r>
    </w:p>
    <w:p>
      <w:r/>
      <w:r>
        <w:t>Escrevendo aos convertidos em Tessalônica (51 d.C.) algumas semanas após eles terem ouvido e crido no evangelho, Paul os lembra como eles haviam “se voltado para Deus dos ídolos, para servir a um Deus vivo e verdadeiro, e esperar seu Filho dos céus, a quem ele ressuscitou dos mortos, Jesus, aquele que nos livra da ira vindoura” (</w:t>
      </w:r>
      <w:hyperlink r:id="rId19296">
        <w:r>
          <w:rPr>
            <w:color w:val="0000EE"/>
            <w:u w:val="single"/>
          </w:rPr>
          <w:t>1Ts 1.9–10</w:t>
        </w:r>
      </w:hyperlink>
      <w:r>
        <w:t xml:space="preserve">). Aqui a libertação esperada que Jesus fará a seu povo do julgamento do fim dos tempos é colocada no mesmo plano que sua ressurreição histórica; o estilo de vida cristão abrange tanto servir a Deus quanto esperar por Cristo. Esta nota sobre a espera por Cristo é repetida e amplificada várias vezes nesta pequena carta. Alguns anos depois, Paulo usa uma linguagem semelhante ao escrever para os convertidos em Corinto (cf. </w:t>
      </w:r>
      <w:hyperlink r:id="rId19297">
        <w:r>
          <w:rPr>
            <w:color w:val="0000EE"/>
            <w:u w:val="single"/>
          </w:rPr>
          <w:t>Atos 18.1–18</w:t>
        </w:r>
      </w:hyperlink>
      <w:r>
        <w:t>): “Não faltam a vocês nenhum dom espiritual, enquanto esperam pela revelação de nosso Senhor Jesus Cristo” (</w:t>
      </w:r>
      <w:hyperlink r:id="rId19292">
        <w:r>
          <w:rPr>
            <w:color w:val="0000EE"/>
            <w:u w:val="single"/>
          </w:rPr>
          <w:t>1Co 1.7</w:t>
        </w:r>
      </w:hyperlink>
      <w:r>
        <w:t>). E naquela que pode ter sido sua última carta, Paulo fala da “coroa da justiça” que o Senhor o concederá “naquele Dia, e não apenas a mim”, ele acrescenta: “mas também a todos os que amam a sua vinda” (</w:t>
      </w:r>
      <w:hyperlink r:id="rId4800">
        <w:r>
          <w:rPr>
            <w:color w:val="0000EE"/>
            <w:u w:val="single"/>
          </w:rPr>
          <w:t>2Tm 4.8</w:t>
        </w:r>
      </w:hyperlink>
      <w:r>
        <w:t>). Amar sua vinda e esperar por ele são duas maneiras diferentes de expressar a mesma atitude.</w:t>
      </w:r>
    </w:p>
    <w:p>
      <w:r/>
      <w:r>
        <w:t>O escritor aos hebreus encoraja seus leitores com a certeza de que logo “aquele que vem virá e não tardará” (</w:t>
      </w:r>
      <w:hyperlink r:id="rId19298">
        <w:r>
          <w:rPr>
            <w:color w:val="0000EE"/>
            <w:u w:val="single"/>
          </w:rPr>
          <w:t>Hb 10.37</w:t>
        </w:r>
      </w:hyperlink>
      <w:r>
        <w:t>). Tiago diz que “a vinda do Senhor está próxima” (</w:t>
      </w:r>
      <w:hyperlink r:id="rId19299">
        <w:r>
          <w:rPr>
            <w:color w:val="0000EE"/>
            <w:u w:val="single"/>
          </w:rPr>
          <w:t>Tg 5.8</w:t>
        </w:r>
      </w:hyperlink>
      <w:r>
        <w:t>). Pedro fala do tempo “em que o sumo Pastor se manifestará” (</w:t>
      </w:r>
      <w:hyperlink r:id="rId4803">
        <w:r>
          <w:rPr>
            <w:color w:val="0000EE"/>
            <w:u w:val="single"/>
          </w:rPr>
          <w:t>1Pe 5.4</w:t>
        </w:r>
      </w:hyperlink>
      <w:r>
        <w:t>). O Apocalipse de João termina com a promessa do Senhor ressurreto: “Certamente estou vindo em breve”, e a resposta da igreja: “Amém. Vem, Senhor Jesus!” (</w:t>
      </w:r>
      <w:hyperlink r:id="rId2171">
        <w:r>
          <w:rPr>
            <w:color w:val="0000EE"/>
            <w:u w:val="single"/>
          </w:rPr>
          <w:t>Ap 22.20</w:t>
        </w:r>
      </w:hyperlink>
      <w:r>
        <w:t>).</w:t>
      </w:r>
    </w:p>
    <w:p>
      <w:pPr>
        <w:pStyle w:val="Heading3"/>
      </w:pPr>
      <w:r>
        <w:t>A segunda vinda e a ressurreição</w:t>
      </w:r>
    </w:p>
    <w:p>
      <w:r/>
      <w:r>
        <w:t>Em 1 Tessalonicenses, escrito não mais de 20 anos após a morte e ressurreição de Cristo, sua segundo vinda é apresentada como um meio de conforto e encorajamento àqueles cujos amigos haviam morrido. Paulo foi obrigado a deixar Tessalônica antes de ter tempo de dar aos convertidos tanto ensino quanto lhes era preciso, e quando alguns dos membros da igreja morreram, pouco após a partida de Paulo, os amigos destes começaram a questionar se eles sofreriam alguma desvantagem séria na Segunda Vinda, em contraste àqueles que ainda estariam vivos para saudar o Senhor em seu retorno. Não, diz Paulo: “aqueles que dormem” não sofrerão desvantagem. Pelo contrário, a primeira coisa que acontecerá quando “o Senhor descer do céu” é que “os mortos em Cristo ressuscitarão”. Somente depois disso aqueles que sobrevivem até então serão levados para se juntar a eles e estar para sempre “com o Senhor” (</w:t>
      </w:r>
      <w:hyperlink r:id="rId19300">
        <w:r>
          <w:rPr>
            <w:color w:val="0000EE"/>
            <w:u w:val="single"/>
          </w:rPr>
          <w:t>1Ts 4.15–17</w:t>
        </w:r>
      </w:hyperlink>
      <w:r>
        <w:t>). Informações mais completas sobre o mesmo assunto são fornecidas em 1 Coríntios, escrito cerca de cinco anos mais tarde. Lá a ressurreição dos crentes é a colheita completa que foi inaugurada pela ressurreição de Cristo: “Cristo, as primícias, e depois, na sua vinda, os que pertencem a Cristo” (</w:t>
      </w:r>
      <w:hyperlink r:id="rId8495">
        <w:r>
          <w:rPr>
            <w:color w:val="0000EE"/>
            <w:u w:val="single"/>
          </w:rPr>
          <w:t>1Co 15.23</w:t>
        </w:r>
      </w:hyperlink>
      <w:r>
        <w:t xml:space="preserve">). Uma revelação adicional é transmitida: não apenas cada crente que morreu será ressuscitado em um “corpo espiritual” (v. </w:t>
      </w:r>
      <w:hyperlink r:id="rId5977">
        <w:r>
          <w:rPr>
            <w:color w:val="0000EE"/>
            <w:u w:val="single"/>
          </w:rPr>
          <w:t>44</w:t>
        </w:r>
      </w:hyperlink>
      <w:r>
        <w:t xml:space="preserve">), mas também aqueles que ainda estão vivos serão “transformados” para ter corpos apropriados para a vida na ressurreição. Para os crentes mortos e vivos, Paulo proclamou que “assim como carregamos a imagem do homem do pó [isto é, Adão; cf. </w:t>
      </w:r>
      <w:hyperlink r:id="rId292">
        <w:r>
          <w:rPr>
            <w:color w:val="0000EE"/>
            <w:u w:val="single"/>
          </w:rPr>
          <w:t>Gn 2.7</w:t>
        </w:r>
      </w:hyperlink>
      <w:r>
        <w:t>], também teremos a imagem do homem do céu [isto é, o Cristo ressurreto]” (</w:t>
      </w:r>
      <w:hyperlink r:id="rId369">
        <w:r>
          <w:rPr>
            <w:color w:val="0000EE"/>
            <w:u w:val="single"/>
          </w:rPr>
          <w:t>1Co 15.49</w:t>
        </w:r>
      </w:hyperlink>
      <w:r>
        <w:t xml:space="preserve">). No mesmo sentido, Paulo escreve (alguns anos mais tarde) em </w:t>
      </w:r>
      <w:hyperlink r:id="rId4779">
        <w:r>
          <w:rPr>
            <w:color w:val="0000EE"/>
            <w:u w:val="single"/>
          </w:rPr>
          <w:t>Filipenses 3.20–21</w:t>
        </w:r>
      </w:hyperlink>
      <w:r>
        <w:t xml:space="preserve"> que do céu “aguardamos um Salvador, o Senhor Jesus Cristo, que transformará nosso corpo inferior para ser como seu corpo glorioso”. Uma revelação mais profunda do que isso envolverá é feita em </w:t>
      </w:r>
      <w:hyperlink r:id="rId19301">
        <w:r>
          <w:rPr>
            <w:color w:val="0000EE"/>
            <w:u w:val="single"/>
          </w:rPr>
          <w:t>Romanos 8.18–23</w:t>
        </w:r>
      </w:hyperlink>
      <w:r>
        <w:t>, onde a ressurreição do povo de Cristo é o catalisador para a libertação e a renovação gloriosa de toda a criação.</w:t>
      </w:r>
    </w:p>
    <w:p>
      <w:pPr>
        <w:pStyle w:val="Heading4"/>
      </w:pPr>
      <w:r>
        <w:t>A segunda vinda e julgamento</w:t>
      </w:r>
    </w:p>
    <w:p>
      <w:r/>
      <w:r>
        <w:t>A associação do julgamento com a Segunda Vinda surge no ensino de Jesus nos Evangelhos. A associação é igualmente clara nas epístolas do NT. Paulo, em especial, colocou o assunto em um nível pessoal. Ele proibiu o julgamento prematuro dos companheiros cristãos: “Não pronunciem julgamento antes do tempo, antes que o Senhor venha” (</w:t>
      </w:r>
      <w:hyperlink r:id="rId5673">
        <w:r>
          <w:rPr>
            <w:color w:val="0000EE"/>
            <w:u w:val="single"/>
          </w:rPr>
          <w:t>1Co 4.5</w:t>
        </w:r>
      </w:hyperlink>
      <w:r>
        <w:t>). O Senhor conduzirá uma investigação que trará à luz os motivos escondidos do coração. Paulo sabia que seu próprio trabalho apostólico seria avaliado no “dia de Cristo” (</w:t>
      </w:r>
      <w:hyperlink r:id="rId7073">
        <w:r>
          <w:rPr>
            <w:color w:val="0000EE"/>
            <w:u w:val="single"/>
          </w:rPr>
          <w:t>Fp 2.16</w:t>
        </w:r>
      </w:hyperlink>
      <w:r>
        <w:t xml:space="preserve">; </w:t>
      </w:r>
      <w:hyperlink r:id="rId5958">
        <w:r>
          <w:rPr>
            <w:color w:val="0000EE"/>
            <w:u w:val="single"/>
          </w:rPr>
          <w:t>1Ts 2.19</w:t>
        </w:r>
      </w:hyperlink>
      <w:r>
        <w:t xml:space="preserve">). Em outro lugar, Paulo exorta os convertidos a terem em mente que eles, assim como o próprio Paulo, deverão comparecer perante o tribunal divino, variadamente chamado de “o tribunal de Deus” (onde “cada um de nós dará conta de si mesmo”, </w:t>
      </w:r>
      <w:hyperlink r:id="rId19302">
        <w:r>
          <w:rPr>
            <w:color w:val="0000EE"/>
            <w:u w:val="single"/>
          </w:rPr>
          <w:t>Rm 14.10–12</w:t>
        </w:r>
      </w:hyperlink>
      <w:r>
        <w:t xml:space="preserve">) ou “o tribunal de Cristo” (onde cada um “receberá o bem ou o mal, de acordo com o que fez no corpo”, </w:t>
      </w:r>
      <w:hyperlink r:id="rId3395">
        <w:r>
          <w:rPr>
            <w:color w:val="0000EE"/>
            <w:u w:val="single"/>
          </w:rPr>
          <w:t>2Co 5.10</w:t>
        </w:r>
      </w:hyperlink>
      <w:r>
        <w:t>). Parece claro que este julgamento deve ocorrer na segunda vinda de Cristo, que então “julgará os vivos e os mortos” (</w:t>
      </w:r>
      <w:hyperlink r:id="rId14864">
        <w:r>
          <w:rPr>
            <w:color w:val="0000EE"/>
            <w:u w:val="single"/>
          </w:rPr>
          <w:t>2Tm 4.1</w:t>
        </w:r>
      </w:hyperlink>
      <w:r>
        <w:t>). Considerando que Paulo estava escrevendo para cristãos, ele tendia a se concentrar no julgamento ou avaliação que os crentes experimentariam no retorno do Senhor. Mas ele também deixou claro que a mesma vinda traria julgamento àqueles que se opuseram à fé cristã (</w:t>
      </w:r>
      <w:hyperlink r:id="rId19303">
        <w:r>
          <w:rPr>
            <w:color w:val="0000EE"/>
            <w:u w:val="single"/>
          </w:rPr>
          <w:t>2Ts 1.6–10</w:t>
        </w:r>
      </w:hyperlink>
      <w:r>
        <w:t xml:space="preserve">). Isso é esclarecido em </w:t>
      </w:r>
      <w:hyperlink r:id="rId9441">
        <w:r>
          <w:rPr>
            <w:color w:val="0000EE"/>
            <w:u w:val="single"/>
          </w:rPr>
          <w:t>Atos 17.31</w:t>
        </w:r>
      </w:hyperlink>
      <w:r>
        <w:t>, onde Paulo disse aos atenienses que Deus “fixou um dia em que ele julgará o mundo com justiça, através de um homem que ele mesmo escolheu”.</w:t>
      </w:r>
    </w:p>
    <w:p>
      <w:r/>
      <w:r>
        <w:rPr>
          <w:i/>
        </w:rPr>
        <w:t>Veja também</w:t>
      </w:r>
      <w:r>
        <w:t xml:space="preserve"> </w:t>
      </w:r>
      <w:r>
        <w:t>Dia do Senhor</w:t>
      </w:r>
      <w:r>
        <w:t xml:space="preserve">; </w:t>
      </w:r>
      <w:r>
        <w:t>Escatologia</w:t>
      </w:r>
      <w:r>
        <w:t xml:space="preserve">; </w:t>
      </w:r>
      <w:r>
        <w:t>Julgamento</w:t>
      </w:r>
      <w:r>
        <w:t xml:space="preserve">; </w:t>
      </w:r>
      <w:r>
        <w:t>Assento do Julgamento</w:t>
      </w:r>
      <w:r>
        <w:t xml:space="preserve">; </w:t>
      </w:r>
      <w:r>
        <w:t>Últimos Dias</w:t>
      </w:r>
      <w:r>
        <w:t xml:space="preserve">; </w:t>
      </w:r>
      <w:r>
        <w:t>Arrebatamento</w:t>
      </w:r>
      <w:r>
        <w:t xml:space="preserve">; </w:t>
      </w:r>
      <w:r>
        <w:t>Ressurreição</w:t>
      </w:r>
      <w:r>
        <w:t xml:space="preserve">; </w:t>
      </w:r>
      <w:r>
        <w:t>Apocalipse, Livro de</w:t>
      </w:r>
      <w:r>
        <w:t xml:space="preserve">; </w:t>
      </w:r>
      <w:r>
        <w:t>Tribulação</w:t>
      </w:r>
      <w:r>
        <w:t>.</w:t>
      </w:r>
      <w:r/>
      <w:r/>
    </w:p>
    <w:p>
      <w:r/>
    </w:p>
    <w:p>
      <w:pPr>
        <w:pStyle w:val="Heading2"/>
      </w:pPr>
      <w:r>
        <w:t>Segundo</w:t>
      </w:r>
      <w:r/>
    </w:p>
    <w:p>
      <w:r/>
      <w:r>
        <w:t>Um cristão de Tessalônica. Ele foi companheiro de viagem de Aristarco. Segundo acompanhou Paulo em sua terceira viagem missionária pela Macedônia e Grécia. Depois, ele esperou por Paulo em Trôade, na Ásia Menor (</w:t>
      </w:r>
      <w:hyperlink r:id="rId2497">
        <w:r>
          <w:rPr>
            <w:color w:val="0000EE"/>
            <w:u w:val="single"/>
          </w:rPr>
          <w:t>At 20.4–6</w:t>
        </w:r>
      </w:hyperlink>
      <w:r>
        <w:t>). Não se sabe se Segundo permaneceu em Trôade ou se foi com Paulo em sua viagem final a Jerusalém.</w:t>
      </w:r>
      <w:r/>
      <w:r/>
    </w:p>
    <w:p>
      <w:r/>
    </w:p>
    <w:p>
      <w:pPr>
        <w:pStyle w:val="Heading2"/>
      </w:pPr>
      <w:r>
        <w:t>Seir (Local)</w:t>
      </w:r>
      <w:r/>
    </w:p>
    <w:p>
      <w:r/>
      <w:r>
        <w:t>1. Cadeia montanhosa de Edom que se estende do Mar Morto ao sul até o Golfo de Áqaba. O Monte Seir era delimitado pelo grande vale de Arabá a oeste e pelo deserto a leste. Seir é o moderno Jebel esh-Shera.</w:t>
      </w:r>
    </w:p>
    <w:p>
      <w:r/>
      <w:r>
        <w:t xml:space="preserve">Seir foi anteriormente habitada pelos horeus, cuja derrota para o rei Quedorlaomer é registrada em </w:t>
      </w:r>
      <w:hyperlink r:id="rId19304">
        <w:r>
          <w:rPr>
            <w:color w:val="0000EE"/>
            <w:u w:val="single"/>
          </w:rPr>
          <w:t>Gênesis 14.4–6</w:t>
        </w:r>
      </w:hyperlink>
      <w:r>
        <w:t>. Os horeus foram posteriormente despojados desta região por Esaú (</w:t>
      </w:r>
      <w:hyperlink r:id="rId7279">
        <w:r>
          <w:rPr>
            <w:color w:val="0000EE"/>
            <w:u w:val="single"/>
          </w:rPr>
          <w:t>Dt 2.12</w:t>
        </w:r>
      </w:hyperlink>
      <w:r>
        <w:t>); no entanto, um remanescente de chefes horeus foi listado entre os descendentes de Esaú que viviam em Seir (</w:t>
      </w:r>
      <w:hyperlink r:id="rId10740">
        <w:r>
          <w:rPr>
            <w:color w:val="0000EE"/>
            <w:u w:val="single"/>
          </w:rPr>
          <w:t>Gn 36.20–30</w:t>
        </w:r>
      </w:hyperlink>
      <w:r>
        <w:t>). Como esta área foi dada pelo Senhor como herança a Esaú (</w:t>
      </w:r>
      <w:hyperlink r:id="rId19305">
        <w:r>
          <w:rPr>
            <w:color w:val="0000EE"/>
            <w:u w:val="single"/>
          </w:rPr>
          <w:t>Js 24.4</w:t>
        </w:r>
      </w:hyperlink>
      <w:r>
        <w:t>), os israelitas foram advertidos a não provocar os filhos de Esaú à guerra enquanto passavam por Seir em suas viagens pelo deserto (</w:t>
      </w:r>
      <w:hyperlink r:id="rId19306">
        <w:r>
          <w:rPr>
            <w:color w:val="0000EE"/>
            <w:u w:val="single"/>
          </w:rPr>
          <w:t>Dt 2.1–8</w:t>
        </w:r>
      </w:hyperlink>
      <w:r>
        <w:t>). Durante a ocupação de Israel na Palestina, eles se envolveram em várias batalhas contra o povo de Seir. Um grupo de simeonitas destruiu os amalequitas que habitavam em Seir e reassentou o local com seu próprio povo (</w:t>
      </w:r>
      <w:hyperlink r:id="rId19307">
        <w:r>
          <w:rPr>
            <w:color w:val="0000EE"/>
            <w:u w:val="single"/>
          </w:rPr>
          <w:t>1Cr 4.42</w:t>
        </w:r>
      </w:hyperlink>
      <w:r>
        <w:t>). Josafá, rei de Judá (872–848 a.C.), obteve uma vitória incrível sobre os exércitos aliados de Amom, Moabe e Seir (</w:t>
      </w:r>
      <w:hyperlink r:id="rId19308">
        <w:r>
          <w:rPr>
            <w:color w:val="0000EE"/>
            <w:u w:val="single"/>
          </w:rPr>
          <w:t>2Cr 20.10–23</w:t>
        </w:r>
      </w:hyperlink>
      <w:r>
        <w:t>). O rei Amazias de Judá (796–767 a.C.) derrotou um exército de Seir no Vale do Sal (</w:t>
      </w:r>
      <w:hyperlink r:id="rId19309">
        <w:r>
          <w:rPr>
            <w:color w:val="0000EE"/>
            <w:u w:val="single"/>
          </w:rPr>
          <w:t>25.11–14</w:t>
        </w:r>
      </w:hyperlink>
      <w:r>
        <w:t>). E, finalmente, o profeta Ezequiel pronunciou uma maldição de destruição sobre os habitantes de Seir por seu antagonismo contra Israel (</w:t>
      </w:r>
      <w:hyperlink r:id="rId7571">
        <w:r>
          <w:rPr>
            <w:color w:val="0000EE"/>
            <w:u w:val="single"/>
          </w:rPr>
          <w:t>Ez 35.1–15</w:t>
        </w:r>
      </w:hyperlink>
      <w:r>
        <w:t>).</w:t>
      </w:r>
    </w:p>
    <w:p>
      <w:r/>
      <w:r>
        <w:rPr>
          <w:i/>
        </w:rPr>
        <w:t>Veja também</w:t>
      </w:r>
      <w:r>
        <w:t xml:space="preserve"> </w:t>
      </w:r>
      <w:r>
        <w:t>Edom, edomitas</w:t>
      </w:r>
      <w:r>
        <w:t>.</w:t>
      </w:r>
    </w:p>
    <w:p>
      <w:r/>
      <w:r>
        <w:t>2. Local que define parte da fronteira norte da terra atribuída à tribo de Judá (</w:t>
      </w:r>
      <w:hyperlink r:id="rId19310">
        <w:r>
          <w:rPr>
            <w:color w:val="0000EE"/>
            <w:u w:val="single"/>
          </w:rPr>
          <w:t>Js 15.10</w:t>
        </w:r>
      </w:hyperlink>
      <w:r>
        <w:t>). Estava localizado a oeste de Quiriate-Jearim e a nordeste de Bete-Semes. O Monte Seir é possivelmente a crista sobre a qual a moderna cidade de Saris está construída.</w:t>
      </w:r>
      <w:r/>
      <w:r/>
    </w:p>
    <w:p>
      <w:r/>
    </w:p>
    <w:p>
      <w:pPr>
        <w:pStyle w:val="Heading2"/>
      </w:pPr>
      <w:r>
        <w:t>Seir (Pessoa)</w:t>
      </w:r>
      <w:r/>
    </w:p>
    <w:p>
      <w:r/>
      <w:r>
        <w:t>Pai de sete filhos e descendente de Abraão pela linhagem familiar de Esaú. Primeiro, Seir era uma tribo horita que vivia na terra de Edom. A nação que descendeu de Seir foi inicialmente expulsa pelos descendentes de Esaú, mas mais tarde, eles se casaram entre si. Isso pode explicar por que a ancestralidade de Abraão inclui Seir e seus descendentes (</w:t>
      </w:r>
      <w:hyperlink r:id="rId15496">
        <w:r>
          <w:rPr>
            <w:color w:val="0000EE"/>
            <w:u w:val="single"/>
          </w:rPr>
          <w:t>Gn 36.20–21</w:t>
        </w:r>
      </w:hyperlink>
      <w:r>
        <w:t xml:space="preserve">; </w:t>
      </w:r>
      <w:hyperlink r:id="rId7278">
        <w:r>
          <w:rPr>
            <w:color w:val="0000EE"/>
            <w:u w:val="single"/>
          </w:rPr>
          <w:t>1Cr 1.38</w:t>
        </w:r>
      </w:hyperlink>
      <w:r>
        <w:t>).</w:t>
      </w:r>
      <w:r/>
      <w:r/>
    </w:p>
    <w:p>
      <w:r/>
    </w:p>
    <w:p>
      <w:pPr>
        <w:pStyle w:val="Heading2"/>
      </w:pPr>
      <w:r>
        <w:t>Selá</w:t>
      </w:r>
      <w:r/>
    </w:p>
    <w:p>
      <w:pPr>
        <w:pStyle w:val="ListNumber"/>
        <w:spacing w:line="240" w:lineRule="auto"/>
        <w:ind w:left="720"/>
      </w:pPr>
      <w:r/>
      <w:r>
        <w:t>Filho de Arfaxade e pai de Éber (</w:t>
      </w:r>
      <w:hyperlink r:id="rId2790">
        <w:r>
          <w:rPr>
            <w:color w:val="0000EE"/>
            <w:u w:val="single"/>
          </w:rPr>
          <w:t>Gn 10.24</w:t>
        </w:r>
      </w:hyperlink>
      <w:r>
        <w:t xml:space="preserve">; </w:t>
      </w:r>
      <w:hyperlink r:id="rId18843">
        <w:r>
          <w:rPr>
            <w:color w:val="0000EE"/>
            <w:u w:val="single"/>
          </w:rPr>
          <w:t>11.12–15</w:t>
        </w:r>
      </w:hyperlink>
      <w:r>
        <w:t xml:space="preserve">; </w:t>
      </w:r>
      <w:hyperlink r:id="rId19311">
        <w:r>
          <w:rPr>
            <w:color w:val="0000EE"/>
            <w:u w:val="single"/>
          </w:rPr>
          <w:t>1Cr 1.18</w:t>
        </w:r>
      </w:hyperlink>
      <w:r>
        <w:t>). Selá é mencionado na genealogia de Jesus em Lucas como filho de Cainã, filho de Arfaxade (</w:t>
      </w:r>
      <w:hyperlink r:id="rId7530">
        <w:r>
          <w:rPr>
            <w:color w:val="0000EE"/>
            <w:u w:val="single"/>
          </w:rPr>
          <w:t>Lc 3.35</w:t>
        </w:r>
      </w:hyperlink>
      <w:r>
        <w:t>).</w:t>
      </w:r>
    </w:p>
    <w:p>
      <w:r/>
      <w:r>
        <w:rPr>
          <w:i/>
        </w:rPr>
        <w:t>Veja</w:t>
      </w:r>
      <w:r>
        <w:t xml:space="preserve"> </w:t>
      </w:r>
      <w:r>
        <w:t>Ancestralidade de Jesus Cristo</w:t>
      </w:r>
      <w:r>
        <w:t>.</w:t>
      </w:r>
    </w:p>
    <w:p>
      <w:pPr>
        <w:pStyle w:val="ListNumber"/>
        <w:spacing w:line="240" w:lineRule="auto"/>
        <w:ind w:left="720"/>
      </w:pPr>
      <w:r/>
      <w:r>
        <w:t>Terceiro filho de Judá com Bate-Sua, uma mulher cananeia. Ele nasceu em Quezibe, uma pequena cidade em Judá (</w:t>
      </w:r>
      <w:hyperlink r:id="rId285">
        <w:r>
          <w:rPr>
            <w:color w:val="0000EE"/>
            <w:u w:val="single"/>
          </w:rPr>
          <w:t>Gn 38.5</w:t>
        </w:r>
      </w:hyperlink>
      <w:r>
        <w:t xml:space="preserve">; </w:t>
      </w:r>
      <w:hyperlink r:id="rId3190">
        <w:r>
          <w:rPr>
            <w:color w:val="0000EE"/>
            <w:u w:val="single"/>
          </w:rPr>
          <w:t>1Cr 2.3</w:t>
        </w:r>
      </w:hyperlink>
      <w:r>
        <w:t>). Selá fundou a família Selanita (</w:t>
      </w:r>
      <w:hyperlink r:id="rId19312">
        <w:r>
          <w:rPr>
            <w:color w:val="0000EE"/>
            <w:u w:val="single"/>
          </w:rPr>
          <w:t>Nm 26.20</w:t>
        </w:r>
      </w:hyperlink>
      <w:r>
        <w:t xml:space="preserve">). "Selanita" possivelmente deveria ser lido em vez de "Silhonita" em </w:t>
      </w:r>
      <w:hyperlink r:id="rId19313">
        <w:r>
          <w:rPr>
            <w:color w:val="0000EE"/>
            <w:u w:val="single"/>
          </w:rPr>
          <w:t>Neemias 11.5</w:t>
        </w:r>
      </w:hyperlink>
      <w:r>
        <w:t xml:space="preserve">; </w:t>
      </w:r>
      <w:hyperlink r:id="rId19314">
        <w:r>
          <w:rPr>
            <w:color w:val="0000EE"/>
            <w:u w:val="single"/>
          </w:rPr>
          <w:t>1 Crônicas 9.5</w:t>
        </w:r>
      </w:hyperlink>
      <w:r>
        <w:t>.</w:t>
      </w:r>
      <w:r/>
      <w:r/>
    </w:p>
    <w:p>
      <w:r/>
    </w:p>
    <w:p>
      <w:pPr>
        <w:pStyle w:val="Heading2"/>
      </w:pPr>
      <w:r>
        <w:t>Selaíta</w:t>
      </w:r>
      <w:r/>
    </w:p>
    <w:p>
      <w:r/>
      <w:r>
        <w:t>Qualquer descendente de Selá, filho de Judá (</w:t>
      </w:r>
      <w:hyperlink r:id="rId19312">
        <w:r>
          <w:rPr>
            <w:color w:val="0000EE"/>
            <w:u w:val="single"/>
          </w:rPr>
          <w:t>Nm 26.20</w:t>
        </w:r>
      </w:hyperlink>
      <w:r>
        <w:t>).</w:t>
      </w:r>
    </w:p>
    <w:p>
      <w:r/>
      <w:r>
        <w:rPr>
          <w:i/>
        </w:rPr>
        <w:t>Veja também</w:t>
      </w:r>
      <w:r>
        <w:t xml:space="preserve"> </w:t>
      </w:r>
      <w:r>
        <w:t>Selá #2</w:t>
      </w:r>
      <w:r>
        <w:t>.</w:t>
      </w:r>
      <w:r/>
      <w:r/>
    </w:p>
    <w:p>
      <w:r/>
    </w:p>
    <w:p>
      <w:pPr>
        <w:pStyle w:val="Heading2"/>
      </w:pPr>
      <w:r>
        <w:t>Selefe</w:t>
      </w:r>
      <w:r/>
    </w:p>
    <w:p>
      <w:r/>
      <w:r>
        <w:t>Filho de Joctã e fundador de uma tribo árabe que vive no Iêmen (</w:t>
      </w:r>
      <w:hyperlink r:id="rId966">
        <w:r>
          <w:rPr>
            <w:color w:val="0000EE"/>
            <w:u w:val="single"/>
          </w:rPr>
          <w:t>Gn 10.26</w:t>
        </w:r>
      </w:hyperlink>
      <w:r>
        <w:t xml:space="preserve">; </w:t>
      </w:r>
      <w:hyperlink r:id="rId967">
        <w:r>
          <w:rPr>
            <w:color w:val="0000EE"/>
            <w:u w:val="single"/>
          </w:rPr>
          <w:t>1Cr 1.20</w:t>
        </w:r>
      </w:hyperlink>
      <w:r>
        <w:t>).</w:t>
      </w:r>
      <w:r/>
      <w:r/>
    </w:p>
    <w:p>
      <w:r/>
    </w:p>
    <w:p>
      <w:pPr>
        <w:pStyle w:val="Heading2"/>
      </w:pPr>
      <w:r>
        <w:t>Selêucia</w:t>
      </w:r>
      <w:r/>
    </w:p>
    <w:p>
      <w:r/>
      <w:r>
        <w:t>Um nome dado a várias cidades antigas no Oriente Próximo. Todas essas cidades foram fundadas por Seleuco I Nicátor, que governou de 312 a 281 a.C.</w:t>
      </w:r>
    </w:p>
    <w:p>
      <w:r/>
      <w:r>
        <w:t>A Selêucia mais importante está na Síria. Esta Selêucia serviu como a cidade portuária de Antioquia, localizada no canto nordeste do Mediterrâneo. Ela fica a oito quilômetros ao norte da foz do rio Orontes e a 24 quilômetros de Antioquia.</w:t>
      </w:r>
    </w:p>
    <w:p>
      <w:r/>
      <w:r>
        <w:t>Seleuco I construiu esta cidade em 301 a.C. e a fortaleceu com muralhas e defesas para proteger sua capital de ataques do oeste. Com o tempo, diferentes governantes lutaram pelo controle de Selêucia. Os governantes selêucidas da Síria e os ptolomeus do Egito travaram muitas batalhas para controlar a cidade (</w:t>
      </w:r>
      <w:hyperlink r:id="rId19315">
        <w:r>
          <w:rPr>
            <w:color w:val="0000EE"/>
            <w:u w:val="single"/>
          </w:rPr>
          <w:t>Dn 11.7–9</w:t>
        </w:r>
      </w:hyperlink>
      <w:r>
        <w:t xml:space="preserve">; </w:t>
      </w:r>
      <w:hyperlink r:id="rId19316">
        <w:r>
          <w:rPr>
            <w:color w:val="0000EE"/>
            <w:u w:val="single"/>
          </w:rPr>
          <w:t>1Mc 11.8–19</w:t>
        </w:r>
      </w:hyperlink>
      <w:r>
        <w:t>). Em 109 a.C., após os governantes selêucidas se libertarem do controle egípcio, eles tornaram Selêucia uma cidade independente com o direito de cunhar sua própria moeda.</w:t>
      </w:r>
    </w:p>
    <w:p>
      <w:r/>
      <w:r>
        <w:t>Quando os romanos chegaram a esta região, seu líder Pompeu declarou Selêucia uma "cidade livre". No entanto, ele encerrou o poder dos governantes selêucidas e criou a província romana da Síria. Selêucia tornou-se um importante porto de entrada para as regiões orientais. Os romanos melhoraram tanto o porto natural quanto as defesas da cidade.</w:t>
      </w:r>
    </w:p>
    <w:p>
      <w:r/>
      <w:r>
        <w:t>Nos tempos do Novo Testamento, Selêucia permaneceu uma cidade livre. Era a casa dos navios da marinha de Roma na Síria. Barnabé, Saulo e João Marcos partiram daqui em sua primeira viagem missionária e retornaram a Antioquia via Selêucia (</w:t>
      </w:r>
      <w:hyperlink r:id="rId19317">
        <w:r>
          <w:rPr>
            <w:color w:val="0000EE"/>
            <w:u w:val="single"/>
          </w:rPr>
          <w:t>At 13.4–5</w:t>
        </w:r>
      </w:hyperlink>
      <w:r>
        <w:t xml:space="preserve">; </w:t>
      </w:r>
      <w:hyperlink r:id="rId19318">
        <w:r>
          <w:rPr>
            <w:color w:val="0000EE"/>
            <w:u w:val="single"/>
          </w:rPr>
          <w:t>14.26</w:t>
        </w:r>
      </w:hyperlink>
      <w:r>
        <w:t>). Mais tarde, na segunda viagem missionária de Paulo, Paulo e seus companheiros novamente partiram de Selêucia (</w:t>
      </w:r>
      <w:hyperlink r:id="rId11947">
        <w:r>
          <w:rPr>
            <w:color w:val="0000EE"/>
            <w:u w:val="single"/>
          </w:rPr>
          <w:t>15.39–41</w:t>
        </w:r>
      </w:hyperlink>
      <w:r>
        <w:t>). A cidade era bonita, com muitos edifícios públicos. Tinha um templo e um anfiteatro (um teatro ao ar livre) que foi esculpido na lateral de um penhasco.</w:t>
      </w:r>
      <w:r/>
      <w:r/>
    </w:p>
    <w:p>
      <w:r/>
    </w:p>
    <w:p>
      <w:pPr>
        <w:pStyle w:val="Heading2"/>
      </w:pPr>
      <w:r>
        <w:t>Selo</w:t>
      </w:r>
      <w:r/>
    </w:p>
    <w:p>
      <w:r/>
      <w:r>
        <w:t>Pequeno objeto gravado amplamente utilizado no antigo Oriente Próximo para criar uma imagem em argila macia.</w:t>
      </w:r>
    </w:p>
    <w:p>
      <w:pPr>
        <w:pStyle w:val="Heading3"/>
      </w:pPr>
      <w:r>
        <w:t>Origem</w:t>
      </w:r>
    </w:p>
    <w:p>
      <w:r/>
      <w:r>
        <w:t>A origem exata dos selos não pode ser determinada. O primeiro selo provavelmente se desenvolveu a partir do amuleto, cujo propósito era proteger seu portador ou afastar o mal. Em determinado momento, acreditava-se que um selo possuía algum tipo de poder mágico protetor que traria uma maldição ou dano à pessoa não autorizada que ousasse quebrá-lo para acessar o conteúdo que ele protegia. Selos primitivos eram pouco mais do que pequenos carretéis de argila arranhados com galhos para produzir desenhos ou figuras simples. A arte glíptica (o nome técnico para gravação ou entalhe de selos em gemas) floresceu no antigo Oriente Próximo desde o quarto milênio a.C. até o final do período persa no quarto século a.C.</w:t>
      </w:r>
    </w:p>
    <w:p>
      <w:pPr>
        <w:pStyle w:val="Heading3"/>
      </w:pPr>
      <w:r>
        <w:t>Tipos de selos</w:t>
      </w:r>
    </w:p>
    <w:p>
      <w:pPr>
        <w:pStyle w:val="Heading4"/>
      </w:pPr>
      <w:r>
        <w:t>Selos de carimbo</w:t>
      </w:r>
    </w:p>
    <w:p>
      <w:r/>
      <w:r>
        <w:t>Selos foram produzidos em diversas formas e tamanhos, sendo o mais antigo o selo de carimbo, uma gema ou peça gravada plana que produzia uma cópia de si mesma quando pressionada contra argila macia. Foi substituído por volta de 3000 a.C. na Mesopotâmia pelo selo cilíndrico e voltou a ser usado apenas no final do século 8 a.C.; na época helenística, havia substituído completamente o selo cilíndrico.</w:t>
      </w:r>
    </w:p>
    <w:p>
      <w:pPr>
        <w:pStyle w:val="Heading4"/>
      </w:pPr>
      <w:r>
        <w:t>Selos cilíndricos</w:t>
      </w:r>
    </w:p>
    <w:p>
      <w:r/>
      <w:r>
        <w:t>O selo cilíndrico surgiu pela primeira vez na Mesopotâmia antes de 3000 a.C. e tornou-se o tipo de selo mais amplamente utilizado até o meio do primeiro milênio a.C. Seu uso no Egito é uma evidência da influência cultural mesopotâmica precoce sobre o Egito; no entanto, logo foi substituído lá pelo selo escaravelho (em forma de besouro), que era mais adequado para selar documentos de papiro. Símbolos ou desenhos eram esculpidos na parte externa do cilindro, que deixava sua marca quando o selo era rolado sobre a argila úmida. Alguns dos primeiros símbolos usados eram desenhos geométricos ou representações de algum símbolo mágico. Selos posteriores retratavam tudo, desde mitologia (divindades sentadas conversando entre si, recebendo adoradores em audiência, navegando em um barco ou carruagem, ou lutando contra um inimigo) até cenas da vida cotidiana (caçando, casando, banqueteando, alimentando animais, lutando contra feras selvagens, oferecendo sacrifícios à divindade, guerreando, levando prisioneiros) e representações de animais, flores e pássaros. A escrita (e.g., o nome do proprietário ou uma declaração de lealdade a um deus ou rei) começou a aparecer nos selos no terceiro milênio a.C. Devido ao grande número e variedade de selos que foram encontrados, eles são inestimáveis pelo que revelam sobre os povos antigos — como se vestiam, seus penteados, móveis, utensílios e crenças religiosas.</w:t>
      </w:r>
    </w:p>
    <w:p>
      <w:r/>
      <w:r>
        <w:t xml:space="preserve">Os selos foram tão amplamente utilizados e desenterrados em tal quantidade no antigo Oriente Próximo que podem ser datados dentro de um século ou dois de sua origem, embora às vezes seja difícil determinar o período exato ou o país de origem. Heródoto observou que todo cavalheiro babilônico “carrega um selo e uma bengala” (Livro I, 195). O selo era suspenso por um cordão ao redor do pescoço ou do pulso ou preso a alguma parte da roupa do proprietário (cf. </w:t>
      </w:r>
      <w:hyperlink r:id="rId19319">
        <w:r>
          <w:rPr>
            <w:color w:val="0000EE"/>
            <w:u w:val="single"/>
          </w:rPr>
          <w:t>Gn 38.18</w:t>
        </w:r>
      </w:hyperlink>
      <w:r>
        <w:t xml:space="preserve">; </w:t>
      </w:r>
      <w:hyperlink r:id="rId555">
        <w:r>
          <w:rPr>
            <w:color w:val="0000EE"/>
            <w:u w:val="single"/>
          </w:rPr>
          <w:t>41.42</w:t>
        </w:r>
      </w:hyperlink>
      <w:r>
        <w:t xml:space="preserve">; </w:t>
      </w:r>
      <w:hyperlink r:id="rId4209">
        <w:r>
          <w:rPr>
            <w:color w:val="0000EE"/>
            <w:u w:val="single"/>
          </w:rPr>
          <w:t>Ct 8.6</w:t>
        </w:r>
      </w:hyperlink>
      <w:r>
        <w:t xml:space="preserve">; </w:t>
      </w:r>
      <w:hyperlink r:id="rId19320">
        <w:r>
          <w:rPr>
            <w:color w:val="0000EE"/>
            <w:u w:val="single"/>
          </w:rPr>
          <w:t>Jr 22.24</w:t>
        </w:r>
      </w:hyperlink>
      <w:r>
        <w:t>). Foram encontrados túmulos com cilindros amarrados aos pulsos dos esqueletos.</w:t>
      </w:r>
    </w:p>
    <w:p>
      <w:r/>
      <w:r>
        <w:t>Outro tipo de selo era o selo de alça de jarro. Um pano era colocado sobre o gargalo de uma garrafa, argila macia era espalhada sobre o cordão de amarração e, em seguida, o selo era pressionado na argila úmida. O selo intacto indicava que a mercadoria não havia sido aberta antes da entrega. Na Judeia, o selo era impresso nas alças dos jarros como prova de propriedade. Alguns selos de alça de jarro eram provavelmente marcas registradas de fábricas de cerâmica; alguns trazem nomes privados (talvez do proprietário da fábrica). Os chamados selos de alça de jarro reais contêm um símbolo de quatro asas ou duas asas e uma inscrição curta composta por duas linhas. A linha acima diz "pertencente ao rei", e a linha inferior contém o nome de uma cidade, provavelmente onde o jarro foi feito.</w:t>
      </w:r>
    </w:p>
    <w:p>
      <w:pPr>
        <w:pStyle w:val="Heading3"/>
      </w:pPr>
      <w:r>
        <w:t>Usos</w:t>
      </w:r>
    </w:p>
    <w:p>
      <w:pPr>
        <w:pStyle w:val="Heading4"/>
      </w:pPr>
      <w:r>
        <w:t>Usos funcionais</w:t>
      </w:r>
    </w:p>
    <w:p>
      <w:r/>
      <w:r>
        <w:t>Desde sua criação inicial como amuletos, os selos continuaram a servir como sinais de proteção. Um selo intacto provava que o conteúdo não havia sido adulterado, seja em um documento, uma porta de celeiro ou um jarro de vinho. A cova dos leões na qual Daniel foi lançado foi selada com o sinete do rei e dos seus nobres (</w:t>
      </w:r>
      <w:hyperlink r:id="rId19321">
        <w:r>
          <w:rPr>
            <w:color w:val="0000EE"/>
            <w:u w:val="single"/>
          </w:rPr>
          <w:t>Dn 6.17</w:t>
        </w:r>
      </w:hyperlink>
      <w:r>
        <w:t>). O túmulo de Jesus foi selado com uma pedra (</w:t>
      </w:r>
      <w:hyperlink r:id="rId19322">
        <w:r>
          <w:rPr>
            <w:color w:val="0000EE"/>
            <w:u w:val="single"/>
          </w:rPr>
          <w:t>Mt 27.66</w:t>
        </w:r>
      </w:hyperlink>
      <w:r>
        <w:t>). O selo também servia como um marco de propriedade ou como uma marca registrada (e.g., colocado em cerâmica antes da queima). Também era usado para validar documentos (cartas, notas de venda, documentos governamentais, etc.). Jezabel escreveu cartas em nome de seu marido e as selou com o selo dele, provocando assim a morte de Nabote (</w:t>
      </w:r>
      <w:hyperlink r:id="rId19323">
        <w:r>
          <w:rPr>
            <w:color w:val="0000EE"/>
            <w:u w:val="single"/>
          </w:rPr>
          <w:t>1Rs 21.8–13</w:t>
        </w:r>
      </w:hyperlink>
      <w:r>
        <w:t>). Jeremias selou uma escritura de compra quando comprou a terra de um parente (</w:t>
      </w:r>
      <w:hyperlink r:id="rId19324">
        <w:r>
          <w:rPr>
            <w:color w:val="0000EE"/>
            <w:u w:val="single"/>
          </w:rPr>
          <w:t>Jr 32.10–14</w:t>
        </w:r>
      </w:hyperlink>
      <w:r>
        <w:t>). Um edito com o selo do rei persa não podia ser revogado (</w:t>
      </w:r>
      <w:hyperlink r:id="rId19325">
        <w:r>
          <w:rPr>
            <w:color w:val="0000EE"/>
            <w:u w:val="single"/>
          </w:rPr>
          <w:t>Et 8.8</w:t>
        </w:r>
      </w:hyperlink>
      <w:r>
        <w:t>).</w:t>
      </w:r>
    </w:p>
    <w:p>
      <w:pPr>
        <w:pStyle w:val="Heading4"/>
      </w:pPr>
      <w:r>
        <w:t>Uso simbólico</w:t>
      </w:r>
    </w:p>
    <w:p>
      <w:r/>
      <w:r>
        <w:t>O uso simbólico do selo é encontrado tanto na literatura não bíblica quanto na bíblica. Uma oração babilônica diz: “Como um selo, que meus pecados sejam arrancados”. O AT diz: “Sela a lei entre os meus discípulos” (</w:t>
      </w:r>
      <w:hyperlink r:id="rId7326">
        <w:r>
          <w:rPr>
            <w:color w:val="0000EE"/>
            <w:u w:val="single"/>
          </w:rPr>
          <w:t>Is 8.16</w:t>
        </w:r>
      </w:hyperlink>
      <w:r>
        <w:t>, ARC). Zorobabel foi informado de que se tornaria o anel de sinete de Deus (</w:t>
      </w:r>
      <w:hyperlink r:id="rId552">
        <w:r>
          <w:rPr>
            <w:color w:val="0000EE"/>
            <w:u w:val="single"/>
          </w:rPr>
          <w:t>Ag 2.23</w:t>
        </w:r>
      </w:hyperlink>
      <w:r>
        <w:t>). A terra tomou forma como argila pressionada por um anel de sinete (</w:t>
      </w:r>
      <w:hyperlink r:id="rId19326">
        <w:r>
          <w:rPr>
            <w:color w:val="0000EE"/>
            <w:u w:val="single"/>
          </w:rPr>
          <w:t>Jó 38.14</w:t>
        </w:r>
      </w:hyperlink>
      <w:r>
        <w:t>).</w:t>
      </w:r>
    </w:p>
    <w:p>
      <w:r/>
      <w:r>
        <w:t>A palavra é usada simbolicamente no NT para designar a posse pessoal de Deus. E.g., as Escrituras dizem que o selo de Deus está em Jesus, seu Filho (</w:t>
      </w:r>
      <w:hyperlink r:id="rId19327">
        <w:r>
          <w:rPr>
            <w:color w:val="0000EE"/>
            <w:u w:val="single"/>
          </w:rPr>
          <w:t>Jo 3.33</w:t>
        </w:r>
      </w:hyperlink>
      <w:r>
        <w:t xml:space="preserve">; </w:t>
      </w:r>
      <w:hyperlink r:id="rId19328">
        <w:r>
          <w:rPr>
            <w:color w:val="0000EE"/>
            <w:u w:val="single"/>
          </w:rPr>
          <w:t>6.27</w:t>
        </w:r>
      </w:hyperlink>
      <w:r>
        <w:t>). Isso significa que Jesus carrega o nome pessoal de Deus; Jesus é a expressão pessoal de Deus. As Escrituras também dizem que o Espírito Santo sela os crentes (</w:t>
      </w:r>
      <w:hyperlink r:id="rId887">
        <w:r>
          <w:rPr>
            <w:color w:val="0000EE"/>
            <w:u w:val="single"/>
          </w:rPr>
          <w:t>2Co 1.22</w:t>
        </w:r>
      </w:hyperlink>
      <w:r>
        <w:t xml:space="preserve">; </w:t>
      </w:r>
      <w:hyperlink r:id="rId3216">
        <w:r>
          <w:rPr>
            <w:color w:val="0000EE"/>
            <w:u w:val="single"/>
          </w:rPr>
          <w:t>Ef 1.13</w:t>
        </w:r>
      </w:hyperlink>
      <w:r>
        <w:t xml:space="preserve">; </w:t>
      </w:r>
      <w:hyperlink r:id="rId3217">
        <w:r>
          <w:rPr>
            <w:color w:val="0000EE"/>
            <w:u w:val="single"/>
          </w:rPr>
          <w:t>4.30</w:t>
        </w:r>
      </w:hyperlink>
      <w:r>
        <w:t>). Isso significa que o Espírito é a marca de posse de Deus nos crentes e que o Espírito protege e preserva os crentes ao longo de suas vidas.</w:t>
      </w:r>
    </w:p>
    <w:p>
      <w:r/>
      <w:r>
        <w:rPr>
          <w:i/>
        </w:rPr>
        <w:t>Veja também</w:t>
      </w:r>
      <w:r>
        <w:t xml:space="preserve"> </w:t>
      </w:r>
      <w:r>
        <w:t>Arqueologia e a Bíblia</w:t>
      </w:r>
      <w:r>
        <w:t xml:space="preserve">; </w:t>
      </w:r>
      <w:r>
        <w:t>Inscrições</w:t>
      </w:r>
      <w:r>
        <w:t>.</w:t>
      </w:r>
      <w:r/>
      <w:r/>
    </w:p>
    <w:p>
      <w:r/>
    </w:p>
    <w:p>
      <w:pPr>
        <w:pStyle w:val="Heading2"/>
      </w:pPr>
      <w:r>
        <w:t>Selomi</w:t>
      </w:r>
      <w:r/>
    </w:p>
    <w:p>
      <w:r/>
      <w:r>
        <w:t>O pai de Aiude. Aiude representou a tribo de Aser quando a terra de Canaã estava sendo dividida entre as dez tribos de Israel que viviam a oeste do Rio Jordão (</w:t>
      </w:r>
      <w:hyperlink r:id="rId19329">
        <w:r>
          <w:rPr>
            <w:color w:val="0000EE"/>
            <w:u w:val="single"/>
          </w:rPr>
          <w:t>Nm 34.27</w:t>
        </w:r>
      </w:hyperlink>
      <w:r>
        <w:t>).</w:t>
      </w:r>
      <w:r/>
      <w:r/>
    </w:p>
    <w:p>
      <w:r/>
    </w:p>
    <w:p>
      <w:pPr>
        <w:pStyle w:val="Heading2"/>
      </w:pPr>
      <w:r>
        <w:t>Selomite</w:t>
      </w:r>
      <w:r/>
    </w:p>
    <w:p>
      <w:pPr>
        <w:pStyle w:val="ListNumber"/>
        <w:spacing w:line="240" w:lineRule="auto"/>
        <w:ind w:left="720"/>
      </w:pPr>
      <w:r/>
      <w:r>
        <w:t>A filha e a mãe de um homem da tribo de Dã blasfemaram (falaram contra) o nome do Senhor. Então, os israelitas o apedrejaram até a morte (</w:t>
      </w:r>
      <w:hyperlink r:id="rId7196">
        <w:r>
          <w:rPr>
            <w:color w:val="0000EE"/>
            <w:u w:val="single"/>
          </w:rPr>
          <w:t>Lv 24.11–16</w:t>
        </w:r>
      </w:hyperlink>
      <w:r>
        <w:t>);</w:t>
      </w:r>
    </w:p>
    <w:p>
      <w:pPr>
        <w:pStyle w:val="ListNumber"/>
        <w:spacing w:line="240" w:lineRule="auto"/>
        <w:ind w:left="720"/>
      </w:pPr>
      <w:r/>
      <w:r>
        <w:t>Uma irmã de Mesulão e Hananias. Todos eles eram descendentes do Rei Davi (</w:t>
      </w:r>
      <w:hyperlink r:id="rId19330">
        <w:r>
          <w:rPr>
            <w:color w:val="0000EE"/>
            <w:u w:val="single"/>
          </w:rPr>
          <w:t>1Cr 3.19</w:t>
        </w:r>
      </w:hyperlink>
      <w:r>
        <w:t>);</w:t>
      </w:r>
    </w:p>
    <w:p>
      <w:pPr>
        <w:pStyle w:val="ListNumber"/>
        <w:spacing w:line="240" w:lineRule="auto"/>
        <w:ind w:left="720"/>
      </w:pPr>
      <w:r/>
      <w:r>
        <w:t>Um filho de Roboão e Maacá (</w:t>
      </w:r>
      <w:hyperlink r:id="rId19331">
        <w:r>
          <w:rPr>
            <w:color w:val="0000EE"/>
            <w:u w:val="single"/>
          </w:rPr>
          <w:t>2Cr 11.20</w:t>
        </w:r>
      </w:hyperlink>
      <w:r>
        <w:t>);</w:t>
      </w:r>
    </w:p>
    <w:p>
      <w:pPr>
        <w:pStyle w:val="ListNumber"/>
        <w:spacing w:line="240" w:lineRule="auto"/>
        <w:ind w:left="720"/>
      </w:pPr>
      <w:r/>
      <w:r>
        <w:t>Um dos companheiros de Esdras (</w:t>
      </w:r>
      <w:hyperlink r:id="rId19332">
        <w:r>
          <w:rPr>
            <w:color w:val="0000EE"/>
            <w:u w:val="single"/>
          </w:rPr>
          <w:t>Ed 8.10</w:t>
        </w:r>
      </w:hyperlink>
      <w:r>
        <w:t>).</w:t>
      </w:r>
      <w:r/>
      <w:r/>
    </w:p>
    <w:p>
      <w:r/>
    </w:p>
    <w:p>
      <w:pPr>
        <w:pStyle w:val="Heading2"/>
      </w:pPr>
      <w:r>
        <w:t>Selumiel</w:t>
      </w:r>
      <w:r/>
    </w:p>
    <w:p>
      <w:r/>
      <w:r>
        <w:t>Selumiel era um simeonita (uma pessoa da tribo de Simeão). Ele era filho de Zurisadai e um dos líderes que ajudou Moisés a contar o povo de Israel no deserto (</w:t>
      </w:r>
      <w:hyperlink r:id="rId19333">
        <w:r>
          <w:rPr>
            <w:color w:val="0000EE"/>
            <w:u w:val="single"/>
          </w:rPr>
          <w:t>Nm 1.6</w:t>
        </w:r>
      </w:hyperlink>
      <w:r>
        <w:t xml:space="preserve">; </w:t>
      </w:r>
      <w:hyperlink r:id="rId19334">
        <w:r>
          <w:rPr>
            <w:color w:val="0000EE"/>
            <w:u w:val="single"/>
          </w:rPr>
          <w:t>2.12</w:t>
        </w:r>
      </w:hyperlink>
      <w:r>
        <w:t xml:space="preserve">; </w:t>
      </w:r>
      <w:hyperlink r:id="rId19335">
        <w:r>
          <w:rPr>
            <w:color w:val="0000EE"/>
            <w:u w:val="single"/>
          </w:rPr>
          <w:t>7.36,41</w:t>
        </w:r>
      </w:hyperlink>
      <w:r>
        <w:t xml:space="preserve">; </w:t>
      </w:r>
      <w:hyperlink r:id="rId19336">
        <w:r>
          <w:rPr>
            <w:color w:val="0000EE"/>
            <w:u w:val="single"/>
          </w:rPr>
          <w:t>10.19</w:t>
        </w:r>
      </w:hyperlink>
      <w:r>
        <w:t>). De acordo com o livro de Judite, que não está na Bíblia Hebraica mas é aceito por alguns grupos cristãos, Selumiel é um ancestral de Judite (</w:t>
      </w:r>
      <w:hyperlink r:id="rId19337">
        <w:r>
          <w:rPr>
            <w:color w:val="0000EE"/>
            <w:u w:val="single"/>
          </w:rPr>
          <w:t>Jt 8.1</w:t>
        </w:r>
      </w:hyperlink>
      <w:r>
        <w:t>, onde seu nome é escrito Salamiel e o nome de seu pai é escrito Surisadai).</w:t>
      </w:r>
      <w:r/>
      <w:r/>
    </w:p>
    <w:p>
      <w:r/>
    </w:p>
    <w:p>
      <w:pPr>
        <w:pStyle w:val="Heading2"/>
      </w:pPr>
      <w:r>
        <w:t>Sem</w:t>
      </w:r>
      <w:r/>
    </w:p>
    <w:p>
      <w:r/>
      <w:r>
        <w:t>O filho mais velho de Noé (</w:t>
      </w:r>
      <w:hyperlink r:id="rId4115">
        <w:r>
          <w:rPr>
            <w:color w:val="0000EE"/>
            <w:u w:val="single"/>
          </w:rPr>
          <w:t>Gênesis 5.32</w:t>
        </w:r>
      </w:hyperlink>
      <w:r>
        <w:t xml:space="preserve">; </w:t>
      </w:r>
      <w:hyperlink r:id="rId4116">
        <w:r>
          <w:rPr>
            <w:color w:val="0000EE"/>
            <w:u w:val="single"/>
          </w:rPr>
          <w:t>6.10</w:t>
        </w:r>
      </w:hyperlink>
      <w:r>
        <w:t xml:space="preserve">; </w:t>
      </w:r>
      <w:hyperlink r:id="rId4117">
        <w:r>
          <w:rPr>
            <w:color w:val="0000EE"/>
            <w:u w:val="single"/>
          </w:rPr>
          <w:t>7.13</w:t>
        </w:r>
      </w:hyperlink>
      <w:r>
        <w:t xml:space="preserve">; </w:t>
      </w:r>
      <w:hyperlink r:id="rId19338">
        <w:r>
          <w:rPr>
            <w:color w:val="0000EE"/>
            <w:u w:val="single"/>
          </w:rPr>
          <w:t>9.18,23,26</w:t>
        </w:r>
      </w:hyperlink>
      <w:hyperlink r:id="rId4124">
        <w:r>
          <w:rPr>
            <w:color w:val="0000EE"/>
            <w:u w:val="single"/>
          </w:rPr>
          <w:t>–</w:t>
        </w:r>
      </w:hyperlink>
      <w:hyperlink r:id="rId19338">
        <w:r>
          <w:rPr>
            <w:color w:val="0000EE"/>
            <w:u w:val="single"/>
          </w:rPr>
          <w:t>27</w:t>
        </w:r>
      </w:hyperlink>
      <w:r>
        <w:t xml:space="preserve">; </w:t>
      </w:r>
      <w:hyperlink r:id="rId2486">
        <w:r>
          <w:rPr>
            <w:color w:val="0000EE"/>
            <w:u w:val="single"/>
          </w:rPr>
          <w:t>11.10</w:t>
        </w:r>
      </w:hyperlink>
      <w:r>
        <w:t xml:space="preserve">; </w:t>
      </w:r>
      <w:hyperlink r:id="rId19339">
        <w:r>
          <w:rPr>
            <w:color w:val="0000EE"/>
            <w:u w:val="single"/>
          </w:rPr>
          <w:t>1 Crônicas 1.4,17</w:t>
        </w:r>
      </w:hyperlink>
      <w:hyperlink r:id="rId19340">
        <w:r>
          <w:rPr>
            <w:color w:val="0000EE"/>
            <w:u w:val="single"/>
          </w:rPr>
          <w:t>–</w:t>
        </w:r>
      </w:hyperlink>
      <w:hyperlink r:id="rId19339">
        <w:r>
          <w:rPr>
            <w:color w:val="0000EE"/>
            <w:u w:val="single"/>
          </w:rPr>
          <w:t>27</w:t>
        </w:r>
      </w:hyperlink>
      <w:r>
        <w:t xml:space="preserve">; </w:t>
      </w:r>
      <w:hyperlink r:id="rId2485">
        <w:r>
          <w:rPr>
            <w:color w:val="0000EE"/>
            <w:u w:val="single"/>
          </w:rPr>
          <w:t>Lucas 3.36</w:t>
        </w:r>
      </w:hyperlink>
      <w:r>
        <w:t>) e o ancestral dos povos semitas (</w:t>
      </w:r>
      <w:hyperlink r:id="rId19341">
        <w:r>
          <w:rPr>
            <w:color w:val="0000EE"/>
            <w:u w:val="single"/>
          </w:rPr>
          <w:t>Gênesis 10.1,21</w:t>
        </w:r>
      </w:hyperlink>
      <w:hyperlink r:id="rId4125">
        <w:r>
          <w:rPr>
            <w:color w:val="0000EE"/>
            <w:u w:val="single"/>
          </w:rPr>
          <w:t>–</w:t>
        </w:r>
      </w:hyperlink>
      <w:hyperlink r:id="rId19341">
        <w:r>
          <w:rPr>
            <w:color w:val="0000EE"/>
            <w:u w:val="single"/>
          </w:rPr>
          <w:t>31</w:t>
        </w:r>
      </w:hyperlink>
      <w:r>
        <w:t>). Sem viveu 600 anos (</w:t>
      </w:r>
      <w:hyperlink r:id="rId19342">
        <w:r>
          <w:rPr>
            <w:color w:val="0000EE"/>
            <w:u w:val="single"/>
          </w:rPr>
          <w:t>Gênesis 11.10–11</w:t>
        </w:r>
      </w:hyperlink>
      <w:r>
        <w:t>). Seu nome em hebraico significa "nome", possivelmente sugerindo que Noé acreditava que o nome de Sem se tornaria significativo.</w:t>
      </w:r>
    </w:p>
    <w:p>
      <w:r/>
      <w:r>
        <w:t>Após o grande Dilúvio, Sem e seu irmão Jafé encontraram seu pai, Noé, embriagado. Seu outro irmão, Cam, havia desonrado ele. Sem e Jafé agiram respeitosamente em relação a Noé (</w:t>
      </w:r>
      <w:hyperlink r:id="rId19343">
        <w:r>
          <w:rPr>
            <w:color w:val="0000EE"/>
            <w:u w:val="single"/>
          </w:rPr>
          <w:t>Gênesis 9.20–29</w:t>
        </w:r>
      </w:hyperlink>
      <w:r>
        <w:t>). Por causa de suas ações, Noé mais tarde amaldiçoou Canaã, filho de Cam, e abençoou tanto Sem quanto Jafé.</w:t>
      </w:r>
    </w:p>
    <w:p>
      <w:r/>
      <w:hyperlink r:id="rId19344">
        <w:r>
          <w:rPr>
            <w:color w:val="0000EE"/>
            <w:u w:val="single"/>
          </w:rPr>
          <w:t>Gênesis 11.10–27</w:t>
        </w:r>
      </w:hyperlink>
      <w:r>
        <w:t xml:space="preserve"> mostra a linha familiar da semente prometida (descendente). Este descendente foi predito em </w:t>
      </w:r>
      <w:hyperlink r:id="rId309">
        <w:r>
          <w:rPr>
            <w:color w:val="0000EE"/>
            <w:u w:val="single"/>
          </w:rPr>
          <w:t>Gênesis 3.15</w:t>
        </w:r>
      </w:hyperlink>
      <w:r>
        <w:t xml:space="preserve"> e </w:t>
      </w:r>
      <w:hyperlink r:id="rId6203">
        <w:r>
          <w:rPr>
            <w:color w:val="0000EE"/>
            <w:u w:val="single"/>
          </w:rPr>
          <w:t>5.1–32</w:t>
        </w:r>
      </w:hyperlink>
      <w:r>
        <w:t xml:space="preserve"> para esmagar Satanás. Passa por Sem até Abraão, depois por Judá e Davi até Cristo (compare </w:t>
      </w:r>
      <w:hyperlink r:id="rId2485">
        <w:r>
          <w:rPr>
            <w:color w:val="0000EE"/>
            <w:u w:val="single"/>
          </w:rPr>
          <w:t>Lucas 3.36</w:t>
        </w:r>
      </w:hyperlink>
      <w:r>
        <w:t xml:space="preserve">). A bênção que Noé deu a Sem mostra que sua linhagem carregaria a promessa da semente de </w:t>
      </w:r>
      <w:hyperlink r:id="rId309">
        <w:r>
          <w:rPr>
            <w:color w:val="0000EE"/>
            <w:u w:val="single"/>
          </w:rPr>
          <w:t>Gênesis 3.15</w:t>
        </w:r>
      </w:hyperlink>
      <w:r>
        <w:t xml:space="preserve">. Esta é a primeira vez na Bíblia que Deus é chamado de Deus de uma pessoa ou grupo específico. Noé havia dito que o povo de Canaã serviria ao povo de Sem. Isso se concretizou quando os israelitas, que eram descendentes de Sem, tomaram o controle da terra de Canaã (compare </w:t>
      </w:r>
      <w:hyperlink r:id="rId10641">
        <w:r>
          <w:rPr>
            <w:color w:val="0000EE"/>
            <w:u w:val="single"/>
          </w:rPr>
          <w:t>1 Reis 9.20–21</w:t>
        </w:r>
      </w:hyperlink>
      <w:r>
        <w:t>).</w:t>
      </w:r>
    </w:p>
    <w:p>
      <w:r/>
      <w:r>
        <w:t>Noé também disse que os descendentes de Jafé cresceriam em número e viveriam entre o povo de Sem (</w:t>
      </w:r>
      <w:hyperlink r:id="rId19345">
        <w:r>
          <w:rPr>
            <w:color w:val="0000EE"/>
            <w:u w:val="single"/>
          </w:rPr>
          <w:t>Gênesis 9.27</w:t>
        </w:r>
      </w:hyperlink>
      <w:r>
        <w:t>). Isso provavelmente significa que os descendentes de Jafé cresceriam em número. Com o tempo, eles se beneficiariam das bênçãos de Sem. Alguns estudiosos acreditam que essa profecia se cumpriu quando, no Novo Testamento, os gentios foram convidados a compartilhar das bênçãos do evangelho e da fundação da igreja.</w:t>
      </w:r>
    </w:p>
    <w:p>
      <w:r/>
      <w:r>
        <w:t xml:space="preserve">Na "tabela das nações" registrada em </w:t>
      </w:r>
      <w:hyperlink r:id="rId7547">
        <w:r>
          <w:rPr>
            <w:color w:val="0000EE"/>
            <w:u w:val="single"/>
          </w:rPr>
          <w:t>Gênesis 10</w:t>
        </w:r>
      </w:hyperlink>
      <w:r>
        <w:t>, cinco descendentes de Sem são listados:</w:t>
      </w:r>
    </w:p>
    <w:p>
      <w:pPr>
        <w:pStyle w:val="ListNumber"/>
        <w:spacing w:line="240" w:lineRule="auto"/>
        <w:ind w:left="720"/>
      </w:pPr>
      <w:r/>
      <w:r>
        <w:t>Elão;</w:t>
      </w:r>
    </w:p>
    <w:p>
      <w:pPr>
        <w:pStyle w:val="ListNumber"/>
        <w:spacing w:line="240" w:lineRule="auto"/>
        <w:ind w:left="720"/>
      </w:pPr>
      <w:r/>
      <w:r>
        <w:t>Assur;</w:t>
      </w:r>
    </w:p>
    <w:p>
      <w:pPr>
        <w:pStyle w:val="ListNumber"/>
        <w:spacing w:line="240" w:lineRule="auto"/>
        <w:ind w:left="720"/>
      </w:pPr>
      <w:r/>
      <w:r>
        <w:t>Arfaxade;</w:t>
      </w:r>
    </w:p>
    <w:p>
      <w:pPr>
        <w:pStyle w:val="ListNumber"/>
        <w:spacing w:line="240" w:lineRule="auto"/>
        <w:ind w:left="720"/>
      </w:pPr>
      <w:r/>
      <w:r>
        <w:t>Lude;</w:t>
      </w:r>
    </w:p>
    <w:p>
      <w:pPr>
        <w:pStyle w:val="ListNumber"/>
        <w:spacing w:line="240" w:lineRule="auto"/>
        <w:ind w:left="720"/>
      </w:pPr>
      <w:r/>
      <w:r>
        <w:t>Arã.</w:t>
      </w:r>
    </w:p>
    <w:p>
      <w:r/>
      <w:r>
        <w:t xml:space="preserve">Recebendo ênfase particular entre esses descendentes está Éber da linhagem de Arfaxade, cuja linhagem é traçada até Abraão em </w:t>
      </w:r>
      <w:hyperlink r:id="rId19346">
        <w:r>
          <w:rPr>
            <w:color w:val="0000EE"/>
            <w:u w:val="single"/>
          </w:rPr>
          <w:t>Gênesis 11.16–27</w:t>
        </w:r>
      </w:hyperlink>
      <w:r>
        <w:t>.</w:t>
      </w:r>
    </w:p>
    <w:p>
      <w:r/>
      <w:r>
        <w:rPr>
          <w:i/>
        </w:rPr>
        <w:t>Veja também</w:t>
      </w:r>
      <w:r>
        <w:t xml:space="preserve"> </w:t>
      </w:r>
      <w:r>
        <w:t>Abraão</w:t>
      </w:r>
      <w:r>
        <w:t xml:space="preserve">; </w:t>
      </w:r>
      <w:r>
        <w:t>Ancestralidade de Jesus Cristo</w:t>
      </w:r>
      <w:r>
        <w:t xml:space="preserve">; </w:t>
      </w:r>
      <w:r>
        <w:t>Nações</w:t>
      </w:r>
      <w:r>
        <w:t xml:space="preserve">; </w:t>
      </w:r>
      <w:r>
        <w:t>Noé #1</w:t>
      </w:r>
      <w:r>
        <w:t>.</w:t>
      </w:r>
      <w:r/>
      <w:r/>
    </w:p>
    <w:p>
      <w:r/>
    </w:p>
    <w:p>
      <w:pPr>
        <w:pStyle w:val="Heading2"/>
      </w:pPr>
      <w:r>
        <w:t>Semanas, Festa das</w:t>
      </w:r>
      <w:r/>
    </w:p>
    <w:p>
      <w:r/>
      <w:r>
        <w:t>Uma celebração do início da colheita do trigo (</w:t>
      </w:r>
      <w:hyperlink r:id="rId9266">
        <w:r>
          <w:rPr>
            <w:color w:val="0000EE"/>
            <w:u w:val="single"/>
          </w:rPr>
          <w:t>Êx 23.14–17</w:t>
        </w:r>
      </w:hyperlink>
      <w:r>
        <w:t xml:space="preserve">; </w:t>
      </w:r>
      <w:hyperlink r:id="rId398">
        <w:r>
          <w:rPr>
            <w:color w:val="0000EE"/>
            <w:u w:val="single"/>
          </w:rPr>
          <w:t>Dt 16.16</w:t>
        </w:r>
      </w:hyperlink>
      <w:r>
        <w:t>). Ocorre sete semanas após a Páscoa, no sexto dia do mês de Sivã (junho). Também é conhecida como a Festa de Pentecostes.</w:t>
      </w:r>
    </w:p>
    <w:p>
      <w:r/>
      <w:r>
        <w:rPr>
          <w:i/>
        </w:rPr>
        <w:t>Veja</w:t>
      </w:r>
      <w:r>
        <w:t xml:space="preserve"> </w:t>
      </w:r>
      <w:r>
        <w:t>Festas e Festivais de Israel</w:t>
      </w:r>
      <w:r>
        <w:t>.</w:t>
      </w:r>
      <w:r/>
      <w:r/>
    </w:p>
    <w:p>
      <w:r/>
    </w:p>
    <w:p>
      <w:pPr>
        <w:pStyle w:val="Heading2"/>
      </w:pPr>
      <w:r>
        <w:t>Semeber</w:t>
      </w:r>
      <w:r/>
    </w:p>
    <w:p>
      <w:r/>
      <w:r>
        <w:t>Rei de Zeboim, que se juntou a uma confederação com outros quatro reis em rebelião contra Quedorlaomer e seus aliados. Abraão resgatou Ló do cativeiro depois que Semeber, junto com Sodoma e Gomorra, foi derrotado (</w:t>
      </w:r>
      <w:hyperlink r:id="rId3328">
        <w:r>
          <w:rPr>
            <w:color w:val="0000EE"/>
            <w:u w:val="single"/>
          </w:rPr>
          <w:t>Gn 14.2</w:t>
        </w:r>
      </w:hyperlink>
      <w:r>
        <w:t>).</w:t>
      </w:r>
      <w:r/>
      <w:r/>
    </w:p>
    <w:p>
      <w:r/>
    </w:p>
    <w:p>
      <w:pPr>
        <w:pStyle w:val="Heading2"/>
      </w:pPr>
      <w:r>
        <w:t>Semida</w:t>
      </w:r>
      <w:r/>
    </w:p>
    <w:p>
      <w:r/>
      <w:r>
        <w:t>Semida era o pai do grupo familiar chamado os semidaítas (</w:t>
      </w:r>
      <w:hyperlink r:id="rId10496">
        <w:r>
          <w:rPr>
            <w:color w:val="0000EE"/>
            <w:u w:val="single"/>
          </w:rPr>
          <w:t>Nm 26.32</w:t>
        </w:r>
      </w:hyperlink>
      <w:r>
        <w:t>). Este clã fazia parte da tribo de Manassés (</w:t>
      </w:r>
      <w:hyperlink r:id="rId2761">
        <w:r>
          <w:rPr>
            <w:color w:val="0000EE"/>
            <w:u w:val="single"/>
          </w:rPr>
          <w:t>Js 17.2</w:t>
        </w:r>
      </w:hyperlink>
      <w:r>
        <w:t xml:space="preserve">; </w:t>
      </w:r>
      <w:hyperlink r:id="rId19347">
        <w:r>
          <w:rPr>
            <w:color w:val="0000EE"/>
            <w:u w:val="single"/>
          </w:rPr>
          <w:t>1Cr 7.19</w:t>
        </w:r>
      </w:hyperlink>
      <w:r>
        <w:t>).</w:t>
      </w:r>
      <w:r/>
      <w:r/>
    </w:p>
    <w:p>
      <w:r/>
    </w:p>
    <w:p>
      <w:pPr>
        <w:pStyle w:val="Heading2"/>
      </w:pPr>
      <w:r>
        <w:t>Seminite</w:t>
      </w:r>
      <w:r/>
    </w:p>
    <w:p>
      <w:r/>
      <w:r>
        <w:t xml:space="preserve">Termo hebraico obscuro, significando “a oitava”, em </w:t>
      </w:r>
      <w:hyperlink r:id="rId14957">
        <w:r>
          <w:rPr>
            <w:color w:val="0000EE"/>
            <w:u w:val="single"/>
          </w:rPr>
          <w:t>1 Crônicas 15.21</w:t>
        </w:r>
      </w:hyperlink>
      <w:r>
        <w:t xml:space="preserve"> e nas superscrições de </w:t>
      </w:r>
      <w:hyperlink r:id="rId14595">
        <w:r>
          <w:rPr>
            <w:color w:val="0000EE"/>
            <w:u w:val="single"/>
          </w:rPr>
          <w:t>Salmos 6</w:t>
        </w:r>
      </w:hyperlink>
      <w:r>
        <w:t xml:space="preserve"> e </w:t>
      </w:r>
      <w:hyperlink r:id="rId14967">
        <w:r>
          <w:rPr>
            <w:color w:val="0000EE"/>
            <w:u w:val="single"/>
          </w:rPr>
          <w:t>12</w:t>
        </w:r>
      </w:hyperlink>
      <w:r>
        <w:t xml:space="preserve">, cuja função como indicação musical ou instrumento é incerta. </w:t>
      </w:r>
    </w:p>
    <w:p>
      <w:r/>
      <w:r>
        <w:rPr>
          <w:i/>
        </w:rPr>
        <w:t>Veja</w:t>
      </w:r>
      <w:r>
        <w:t xml:space="preserve"> </w:t>
      </w:r>
      <w:r>
        <w:t>Música</w:t>
      </w:r>
      <w:r>
        <w:t>.</w:t>
      </w:r>
      <w:r/>
      <w:r/>
    </w:p>
    <w:p>
      <w:r/>
    </w:p>
    <w:p>
      <w:pPr>
        <w:pStyle w:val="Heading2"/>
      </w:pPr>
      <w:r>
        <w:t>Senhor</w:t>
      </w:r>
      <w:r/>
    </w:p>
    <w:p>
      <w:r/>
      <w:r>
        <w:t xml:space="preserve">“Senhor” em português é usado para traduzir a palavra hebraica </w:t>
      </w:r>
      <w:r>
        <w:rPr>
          <w:i/>
        </w:rPr>
        <w:t xml:space="preserve">‘adonai </w:t>
      </w:r>
      <w:r>
        <w:t xml:space="preserve">ou do grego </w:t>
      </w:r>
      <w:r>
        <w:rPr>
          <w:i/>
        </w:rPr>
        <w:t>kurios.</w:t>
      </w:r>
      <w:r>
        <w:t xml:space="preserve"> O hebraico YHWH é geralmente traduzido como “Senhor”. </w:t>
      </w:r>
      <w:r>
        <w:rPr>
          <w:i/>
        </w:rPr>
        <w:t>Veja</w:t>
      </w:r>
      <w:r>
        <w:t xml:space="preserve"> </w:t>
      </w:r>
      <w:r>
        <w:t>Yahweh (YHWH)</w:t>
      </w:r>
      <w:r>
        <w:t>.</w:t>
      </w:r>
    </w:p>
    <w:p>
      <w:r/>
      <w:r>
        <w:t>A regra e a autoridade de Deus como Senhor baseiam-se em Sua criação e posse de tudo e todos (</w:t>
      </w:r>
      <w:hyperlink r:id="rId19348">
        <w:r>
          <w:rPr>
            <w:color w:val="0000EE"/>
            <w:u w:val="single"/>
          </w:rPr>
          <w:t>Sl 24.1–2</w:t>
        </w:r>
      </w:hyperlink>
      <w:r>
        <w:t>). A Bíblia enfatiza o poder completo de Deus sobre a natureza ao chamá-lo de Senhor sobre:</w:t>
      </w:r>
    </w:p>
    <w:p>
      <w:pPr>
        <w:pStyle w:val="ListBullet"/>
        <w:spacing w:line="240" w:lineRule="auto"/>
        <w:ind w:left="720"/>
      </w:pPr>
      <w:r/>
      <w:r>
        <w:t>terremotos, vento, fogo (</w:t>
      </w:r>
      <w:hyperlink r:id="rId19349">
        <w:r>
          <w:rPr>
            <w:color w:val="0000EE"/>
            <w:u w:val="single"/>
          </w:rPr>
          <w:t>1Rs 19.10–14</w:t>
        </w:r>
      </w:hyperlink>
      <w:r>
        <w:t>);</w:t>
      </w:r>
    </w:p>
    <w:p>
      <w:pPr>
        <w:pStyle w:val="ListBullet"/>
        <w:spacing w:line="240" w:lineRule="auto"/>
        <w:ind w:left="720"/>
      </w:pPr>
      <w:r/>
      <w:r>
        <w:t>estrelas (</w:t>
      </w:r>
      <w:hyperlink r:id="rId10779">
        <w:r>
          <w:rPr>
            <w:color w:val="0000EE"/>
            <w:u w:val="single"/>
          </w:rPr>
          <w:t>Is 40.26</w:t>
        </w:r>
      </w:hyperlink>
      <w:r>
        <w:t>);</w:t>
      </w:r>
    </w:p>
    <w:p>
      <w:pPr>
        <w:pStyle w:val="ListBullet"/>
        <w:spacing w:line="240" w:lineRule="auto"/>
        <w:ind w:left="720"/>
      </w:pPr>
      <w:r/>
      <w:r>
        <w:t>bestas e monstros marinhos (</w:t>
      </w:r>
      <w:hyperlink r:id="rId19350">
        <w:r>
          <w:rPr>
            <w:color w:val="0000EE"/>
            <w:u w:val="single"/>
          </w:rPr>
          <w:t>Jó 40–41</w:t>
        </w:r>
      </w:hyperlink>
      <w:r>
        <w:t>); e</w:t>
      </w:r>
    </w:p>
    <w:p>
      <w:pPr>
        <w:pStyle w:val="ListBullet"/>
        <w:spacing w:line="240" w:lineRule="auto"/>
        <w:ind w:left="720"/>
      </w:pPr>
      <w:r/>
      <w:r>
        <w:t>caos primordial (</w:t>
      </w:r>
      <w:hyperlink r:id="rId19351">
        <w:r>
          <w:rPr>
            <w:color w:val="0000EE"/>
            <w:u w:val="single"/>
          </w:rPr>
          <w:t>Sl 74.12–14</w:t>
        </w:r>
      </w:hyperlink>
      <w:r>
        <w:t xml:space="preserve">; </w:t>
      </w:r>
      <w:hyperlink r:id="rId19352">
        <w:r>
          <w:rPr>
            <w:color w:val="0000EE"/>
            <w:u w:val="single"/>
          </w:rPr>
          <w:t>89.8–10</w:t>
        </w:r>
      </w:hyperlink>
      <w:r>
        <w:t>).</w:t>
      </w:r>
    </w:p>
    <w:p>
      <w:r/>
      <w:r>
        <w:t>Os profetas posteriores ensinaram que Deus é Senhor ou Rei da história porque Ele guia as ações das pessoas e das nações (</w:t>
      </w:r>
      <w:hyperlink r:id="rId19353">
        <w:r>
          <w:rPr>
            <w:color w:val="0000EE"/>
            <w:u w:val="single"/>
          </w:rPr>
          <w:t>1Rs 19.15–18</w:t>
        </w:r>
      </w:hyperlink>
      <w:r>
        <w:t xml:space="preserve">; </w:t>
      </w:r>
      <w:hyperlink r:id="rId19354">
        <w:r>
          <w:rPr>
            <w:color w:val="0000EE"/>
            <w:u w:val="single"/>
          </w:rPr>
          <w:t>Is 10.5–9</w:t>
        </w:r>
      </w:hyperlink>
      <w:r>
        <w:t xml:space="preserve">; </w:t>
      </w:r>
      <w:hyperlink r:id="rId1278">
        <w:r>
          <w:rPr>
            <w:color w:val="0000EE"/>
            <w:u w:val="single"/>
          </w:rPr>
          <w:t>Am 9.7</w:t>
        </w:r>
      </w:hyperlink>
      <w:r>
        <w:t>). Eles também disseram que Ele é o Senhor da moralidade universal (</w:t>
      </w:r>
      <w:hyperlink r:id="rId8907">
        <w:r>
          <w:rPr>
            <w:color w:val="0000EE"/>
            <w:u w:val="single"/>
          </w:rPr>
          <w:t>Ez 25–32</w:t>
        </w:r>
      </w:hyperlink>
      <w:r>
        <w:t xml:space="preserve">; </w:t>
      </w:r>
      <w:hyperlink r:id="rId19355">
        <w:r>
          <w:rPr>
            <w:color w:val="0000EE"/>
            <w:u w:val="single"/>
          </w:rPr>
          <w:t>Am 1.3–2.16</w:t>
        </w:r>
      </w:hyperlink>
      <w:r>
        <w:t>). Mas Ele é especialmente o Senhor de Israel. Sua vontade expressa é a lei civil e religiosa deles e requer obediência completa (</w:t>
      </w:r>
      <w:hyperlink r:id="rId6951">
        <w:r>
          <w:rPr>
            <w:color w:val="0000EE"/>
            <w:u w:val="single"/>
          </w:rPr>
          <w:t>Êx 20.2</w:t>
        </w:r>
      </w:hyperlink>
      <w:r>
        <w:t>).</w:t>
      </w:r>
    </w:p>
    <w:p>
      <w:r/>
      <w:r>
        <w:t>Para Israel, o poder de Deus era um conforto quando eles estavam oprimidos. Também lhes dava esperança para o futuro. Eles acreditavam em um Dia do Senhor triunfante que corrigiria seus erros, puniria aqueles que os oprimiam e restauraria sua glória (</w:t>
      </w:r>
      <w:hyperlink r:id="rId19356">
        <w:r>
          <w:rPr>
            <w:color w:val="0000EE"/>
            <w:u w:val="single"/>
          </w:rPr>
          <w:t>Is 2.2–4,11–12</w:t>
        </w:r>
      </w:hyperlink>
      <w:r>
        <w:t xml:space="preserve">; </w:t>
      </w:r>
      <w:hyperlink r:id="rId19357">
        <w:r>
          <w:rPr>
            <w:color w:val="0000EE"/>
            <w:u w:val="single"/>
          </w:rPr>
          <w:t>34.8</w:t>
        </w:r>
      </w:hyperlink>
      <w:r>
        <w:t xml:space="preserve">; </w:t>
      </w:r>
      <w:hyperlink r:id="rId19358">
        <w:r>
          <w:rPr>
            <w:color w:val="0000EE"/>
            <w:u w:val="single"/>
          </w:rPr>
          <w:t>Ez 30.1–5</w:t>
        </w:r>
      </w:hyperlink>
      <w:r>
        <w:t xml:space="preserve">; </w:t>
      </w:r>
      <w:hyperlink r:id="rId19359">
        <w:r>
          <w:rPr>
            <w:color w:val="0000EE"/>
            <w:u w:val="single"/>
          </w:rPr>
          <w:t>Jl 2.31–3.1</w:t>
        </w:r>
      </w:hyperlink>
      <w:r>
        <w:t>).</w:t>
      </w:r>
    </w:p>
    <w:p>
      <w:r/>
      <w:r>
        <w:t xml:space="preserve">Na Septuaginta (a antiga tradução grega do Antigo Testamento), a palavra comum para "Senhor/senhor/mestre" é </w:t>
      </w:r>
      <w:r>
        <w:rPr>
          <w:i/>
        </w:rPr>
        <w:t>kurios</w:t>
      </w:r>
      <w:r>
        <w:t xml:space="preserve">. No Novo Testamento grego, </w:t>
      </w:r>
      <w:r>
        <w:rPr>
          <w:i/>
        </w:rPr>
        <w:t>kurios</w:t>
      </w:r>
      <w:r>
        <w:t xml:space="preserve"> também é usado para:</w:t>
      </w:r>
    </w:p>
    <w:p>
      <w:pPr>
        <w:pStyle w:val="ListBullet"/>
        <w:spacing w:line="240" w:lineRule="auto"/>
        <w:ind w:left="720"/>
      </w:pPr>
      <w:r/>
      <w:r>
        <w:t>mestres, maridos e governantes (</w:t>
      </w:r>
      <w:hyperlink r:id="rId19360">
        <w:r>
          <w:rPr>
            <w:color w:val="0000EE"/>
            <w:u w:val="single"/>
          </w:rPr>
          <w:t>Mt 25.11</w:t>
        </w:r>
      </w:hyperlink>
      <w:r>
        <w:t xml:space="preserve">; </w:t>
      </w:r>
      <w:hyperlink r:id="rId14332">
        <w:r>
          <w:rPr>
            <w:color w:val="0000EE"/>
            <w:u w:val="single"/>
          </w:rPr>
          <w:t>Lc 14.21</w:t>
        </w:r>
      </w:hyperlink>
      <w:r>
        <w:t xml:space="preserve">; </w:t>
      </w:r>
      <w:hyperlink r:id="rId14334">
        <w:r>
          <w:rPr>
            <w:color w:val="0000EE"/>
            <w:u w:val="single"/>
          </w:rPr>
          <w:t>At 25.26</w:t>
        </w:r>
      </w:hyperlink>
      <w:r>
        <w:t xml:space="preserve">; </w:t>
      </w:r>
      <w:hyperlink r:id="rId16761">
        <w:r>
          <w:rPr>
            <w:color w:val="0000EE"/>
            <w:u w:val="single"/>
          </w:rPr>
          <w:t>1Pe 3.6</w:t>
        </w:r>
      </w:hyperlink>
      <w:r>
        <w:t>);</w:t>
      </w:r>
    </w:p>
    <w:p>
      <w:pPr>
        <w:pStyle w:val="ListBullet"/>
        <w:spacing w:line="240" w:lineRule="auto"/>
        <w:ind w:left="720"/>
      </w:pPr>
      <w:r/>
      <w:r>
        <w:t>Deus (</w:t>
      </w:r>
      <w:hyperlink r:id="rId19361">
        <w:r>
          <w:rPr>
            <w:color w:val="0000EE"/>
            <w:u w:val="single"/>
          </w:rPr>
          <w:t>Mt 11.25</w:t>
        </w:r>
      </w:hyperlink>
      <w:r>
        <w:t xml:space="preserve">; </w:t>
      </w:r>
      <w:hyperlink r:id="rId19362">
        <w:r>
          <w:rPr>
            <w:color w:val="0000EE"/>
            <w:u w:val="single"/>
          </w:rPr>
          <w:t>Hb 8.2</w:t>
        </w:r>
      </w:hyperlink>
      <w:r>
        <w:t xml:space="preserve">); </w:t>
      </w:r>
    </w:p>
    <w:p>
      <w:pPr>
        <w:pStyle w:val="ListBullet"/>
        <w:spacing w:line="240" w:lineRule="auto"/>
        <w:ind w:left="720"/>
      </w:pPr>
      <w:r/>
      <w:r>
        <w:t>deuses pagãos (</w:t>
      </w:r>
      <w:hyperlink r:id="rId19363">
        <w:r>
          <w:rPr>
            <w:color w:val="0000EE"/>
            <w:u w:val="single"/>
          </w:rPr>
          <w:t>1Co 8.5</w:t>
        </w:r>
      </w:hyperlink>
      <w:r>
        <w:t>).</w:t>
      </w:r>
    </w:p>
    <w:p>
      <w:r/>
      <w:r>
        <w:t xml:space="preserve">Quando usado para Jesus, </w:t>
      </w:r>
      <w:r>
        <w:rPr>
          <w:i/>
        </w:rPr>
        <w:t>kurios</w:t>
      </w:r>
      <w:r>
        <w:t xml:space="preserve"> pode significar:</w:t>
      </w:r>
    </w:p>
    <w:p>
      <w:pPr>
        <w:pStyle w:val="ListBullet"/>
        <w:spacing w:line="240" w:lineRule="auto"/>
        <w:ind w:left="720"/>
      </w:pPr>
      <w:r/>
      <w:r>
        <w:t xml:space="preserve">um título comum de respeito (como "senhor", </w:t>
      </w:r>
      <w:hyperlink r:id="rId19364">
        <w:r>
          <w:rPr>
            <w:color w:val="0000EE"/>
            <w:u w:val="single"/>
          </w:rPr>
          <w:t>Mt 8.2</w:t>
        </w:r>
      </w:hyperlink>
      <w:r>
        <w:t xml:space="preserve">; </w:t>
      </w:r>
      <w:hyperlink r:id="rId19365">
        <w:r>
          <w:rPr>
            <w:color w:val="0000EE"/>
            <w:u w:val="single"/>
          </w:rPr>
          <w:t>15.25</w:t>
        </w:r>
      </w:hyperlink>
      <w:r>
        <w:t>);</w:t>
      </w:r>
    </w:p>
    <w:p>
      <w:pPr>
        <w:pStyle w:val="ListBullet"/>
        <w:spacing w:line="240" w:lineRule="auto"/>
        <w:ind w:left="1440"/>
      </w:pPr>
      <w:r/>
      <w:r>
        <w:t>um título expressando fé, reverência e adoração (</w:t>
      </w:r>
      <w:hyperlink r:id="rId3621">
        <w:r>
          <w:rPr>
            <w:color w:val="0000EE"/>
            <w:u w:val="single"/>
          </w:rPr>
          <w:t>Mt 3.3</w:t>
        </w:r>
      </w:hyperlink>
      <w:r>
        <w:t xml:space="preserve">; </w:t>
      </w:r>
      <w:hyperlink r:id="rId13461">
        <w:r>
          <w:rPr>
            <w:color w:val="0000EE"/>
            <w:u w:val="single"/>
          </w:rPr>
          <w:t>Lc 7.13</w:t>
        </w:r>
      </w:hyperlink>
      <w:r>
        <w:t xml:space="preserve">; </w:t>
      </w:r>
      <w:hyperlink r:id="rId6068">
        <w:r>
          <w:rPr>
            <w:color w:val="0000EE"/>
            <w:u w:val="single"/>
          </w:rPr>
          <w:t>At 5.14</w:t>
        </w:r>
      </w:hyperlink>
      <w:r>
        <w:t xml:space="preserve">; </w:t>
      </w:r>
      <w:hyperlink r:id="rId19366">
        <w:r>
          <w:rPr>
            <w:color w:val="0000EE"/>
            <w:u w:val="single"/>
          </w:rPr>
          <w:t>9.10</w:t>
        </w:r>
      </w:hyperlink>
      <w:r>
        <w:t xml:space="preserve">; </w:t>
      </w:r>
      <w:hyperlink r:id="rId5779">
        <w:r>
          <w:rPr>
            <w:color w:val="0000EE"/>
            <w:u w:val="single"/>
          </w:rPr>
          <w:t>1Co 6.13–14</w:t>
        </w:r>
      </w:hyperlink>
      <w:r>
        <w:t xml:space="preserve">; </w:t>
      </w:r>
      <w:hyperlink r:id="rId10380">
        <w:r>
          <w:rPr>
            <w:color w:val="0000EE"/>
            <w:u w:val="single"/>
          </w:rPr>
          <w:t>Hb 2.3</w:t>
        </w:r>
      </w:hyperlink>
      <w:r>
        <w:t xml:space="preserve">; </w:t>
      </w:r>
      <w:hyperlink r:id="rId4840">
        <w:r>
          <w:rPr>
            <w:color w:val="0000EE"/>
            <w:u w:val="single"/>
          </w:rPr>
          <w:t>Tg 5.7</w:t>
        </w:r>
      </w:hyperlink>
      <w:r>
        <w:t>)</w:t>
      </w:r>
    </w:p>
    <w:p>
      <w:r/>
      <w:r>
        <w:t>Ele aparece em frases como:</w:t>
      </w:r>
    </w:p>
    <w:p>
      <w:pPr>
        <w:pStyle w:val="ListBullet"/>
        <w:spacing w:line="240" w:lineRule="auto"/>
        <w:ind w:left="720"/>
      </w:pPr>
      <w:r/>
      <w:r>
        <w:t>"o Senhor Jesus";</w:t>
      </w:r>
    </w:p>
    <w:p>
      <w:pPr>
        <w:pStyle w:val="ListBullet"/>
        <w:spacing w:line="240" w:lineRule="auto"/>
        <w:ind w:left="720"/>
      </w:pPr>
      <w:r/>
      <w:r>
        <w:t>“o Dia do Senhor”;</w:t>
      </w:r>
    </w:p>
    <w:p>
      <w:pPr>
        <w:pStyle w:val="ListBullet"/>
        <w:spacing w:line="240" w:lineRule="auto"/>
        <w:ind w:left="720"/>
      </w:pPr>
      <w:r/>
      <w:r>
        <w:t>“a mesa do Senhor”;</w:t>
      </w:r>
    </w:p>
    <w:p>
      <w:pPr>
        <w:pStyle w:val="ListBullet"/>
        <w:spacing w:line="240" w:lineRule="auto"/>
        <w:ind w:left="720"/>
      </w:pPr>
      <w:r/>
      <w:r>
        <w:t xml:space="preserve">“o Espírito do Senhor” (que também é “Senhor,” </w:t>
      </w:r>
      <w:hyperlink r:id="rId8432">
        <w:r>
          <w:rPr>
            <w:color w:val="0000EE"/>
            <w:u w:val="single"/>
          </w:rPr>
          <w:t>2Co 3.17</w:t>
        </w:r>
      </w:hyperlink>
      <w:r>
        <w:t>);</w:t>
      </w:r>
    </w:p>
    <w:p>
      <w:pPr>
        <w:pStyle w:val="ListBullet"/>
        <w:spacing w:line="240" w:lineRule="auto"/>
        <w:ind w:left="720"/>
      </w:pPr>
      <w:r/>
      <w:r>
        <w:t>"no Senhor";</w:t>
      </w:r>
    </w:p>
    <w:p>
      <w:pPr>
        <w:pStyle w:val="ListBullet"/>
        <w:spacing w:line="240" w:lineRule="auto"/>
        <w:ind w:left="720"/>
      </w:pPr>
      <w:r/>
      <w:r>
        <w:t>"do Senhor";</w:t>
      </w:r>
    </w:p>
    <w:p>
      <w:pPr>
        <w:pStyle w:val="ListBullet"/>
        <w:spacing w:line="240" w:lineRule="auto"/>
        <w:ind w:left="720"/>
      </w:pPr>
      <w:r/>
      <w:r>
        <w:t>“luz no Senhor”;</w:t>
      </w:r>
    </w:p>
    <w:p>
      <w:pPr>
        <w:pStyle w:val="ListBullet"/>
        <w:spacing w:line="240" w:lineRule="auto"/>
        <w:ind w:left="720"/>
      </w:pPr>
      <w:r/>
      <w:r>
        <w:t>“gloriar-se no Senhor”.</w:t>
      </w:r>
    </w:p>
    <w:p>
      <w:r/>
      <w:r>
        <w:t>Às vezes, não está claro se Deus ou Cristo é mencionado (</w:t>
      </w:r>
      <w:hyperlink r:id="rId10872">
        <w:r>
          <w:rPr>
            <w:color w:val="0000EE"/>
            <w:u w:val="single"/>
          </w:rPr>
          <w:t>At 9.31</w:t>
        </w:r>
      </w:hyperlink>
      <w:r>
        <w:t xml:space="preserve">; </w:t>
      </w:r>
      <w:hyperlink r:id="rId19367">
        <w:r>
          <w:rPr>
            <w:color w:val="0000EE"/>
            <w:u w:val="single"/>
          </w:rPr>
          <w:t>2Co 8.21</w:t>
        </w:r>
      </w:hyperlink>
      <w:r>
        <w:t xml:space="preserve">). O título é atribuído ao próprio Jesus em </w:t>
      </w:r>
      <w:hyperlink r:id="rId16270">
        <w:r>
          <w:rPr>
            <w:color w:val="0000EE"/>
            <w:u w:val="single"/>
          </w:rPr>
          <w:t>João 13.13–14.</w:t>
        </w:r>
      </w:hyperlink>
      <w:r>
        <w:t xml:space="preserve"> Em </w:t>
      </w:r>
      <w:hyperlink r:id="rId19368">
        <w:r>
          <w:rPr>
            <w:color w:val="0000EE"/>
            <w:u w:val="single"/>
          </w:rPr>
          <w:t>João 20.28,</w:t>
        </w:r>
      </w:hyperlink>
      <w:r>
        <w:t xml:space="preserve"> Jesus aceita o título “Meu Senhor e meu Deus!”.</w:t>
      </w:r>
    </w:p>
    <w:p>
      <w:r/>
      <w:r>
        <w:t>No primeiro sermão cristão, Pedro torna a soberania de Jesus central para a salvação (</w:t>
      </w:r>
      <w:hyperlink r:id="rId19369">
        <w:r>
          <w:rPr>
            <w:color w:val="0000EE"/>
            <w:u w:val="single"/>
          </w:rPr>
          <w:t>At 2.21</w:t>
        </w:r>
      </w:hyperlink>
      <w:r>
        <w:t>). Parece que dizer publicamente "Jesus é Senhor" era a principal forma de expressar a fé cristã. Também era a base para a adesão à igreja primitiva (</w:t>
      </w:r>
      <w:hyperlink r:id="rId19370">
        <w:r>
          <w:rPr>
            <w:color w:val="0000EE"/>
            <w:u w:val="single"/>
          </w:rPr>
          <w:t>At 16.31</w:t>
        </w:r>
      </w:hyperlink>
      <w:r>
        <w:t xml:space="preserve">; </w:t>
      </w:r>
      <w:hyperlink r:id="rId5730">
        <w:r>
          <w:rPr>
            <w:color w:val="0000EE"/>
            <w:u w:val="single"/>
          </w:rPr>
          <w:t>Rm 10.9</w:t>
        </w:r>
      </w:hyperlink>
      <w:r>
        <w:t xml:space="preserve">; </w:t>
      </w:r>
      <w:hyperlink r:id="rId8464">
        <w:r>
          <w:rPr>
            <w:color w:val="0000EE"/>
            <w:u w:val="single"/>
          </w:rPr>
          <w:t>1Co 12.3</w:t>
        </w:r>
      </w:hyperlink>
      <w:r>
        <w:t xml:space="preserve">; </w:t>
      </w:r>
      <w:hyperlink r:id="rId6897">
        <w:r>
          <w:rPr>
            <w:color w:val="0000EE"/>
            <w:u w:val="single"/>
          </w:rPr>
          <w:t>Fp 2.11</w:t>
        </w:r>
      </w:hyperlink>
      <w:r>
        <w:t xml:space="preserve">). No entanto, isso poderia se tornar apenas uma declaração formal em vez de uma crença sincera. Por isso, há advertências em </w:t>
      </w:r>
      <w:hyperlink r:id="rId18544">
        <w:r>
          <w:rPr>
            <w:color w:val="0000EE"/>
            <w:u w:val="single"/>
          </w:rPr>
          <w:t>Mateus 7.21</w:t>
        </w:r>
      </w:hyperlink>
      <w:r>
        <w:t xml:space="preserve"> e </w:t>
      </w:r>
      <w:hyperlink r:id="rId19371">
        <w:r>
          <w:rPr>
            <w:color w:val="0000EE"/>
            <w:u w:val="single"/>
          </w:rPr>
          <w:t>Lucas 6.46</w:t>
        </w:r>
      </w:hyperlink>
      <w:r>
        <w:t>.</w:t>
      </w:r>
    </w:p>
    <w:p>
      <w:r/>
      <w:r>
        <w:t>Desde o início, chamar Jesus de "Senhor" tinha um significado profundo:</w:t>
      </w:r>
    </w:p>
    <w:p>
      <w:pPr>
        <w:pStyle w:val="ListNumber"/>
        <w:spacing w:line="240" w:lineRule="auto"/>
        <w:ind w:left="720"/>
      </w:pPr>
      <w:r/>
      <w:r>
        <w:t>No uso comum, "Senhor" refletia o sistema escravista e implicava o poder absoluto exercido pelo mestre sobre o escravo comprado. Assim, Paulo explica com confiança as implicações morais da redenção cristã (</w:t>
      </w:r>
      <w:hyperlink r:id="rId19372">
        <w:r>
          <w:rPr>
            <w:color w:val="0000EE"/>
            <w:u w:val="single"/>
          </w:rPr>
          <w:t>1Co 6.19–20</w:t>
        </w:r>
      </w:hyperlink>
      <w:r>
        <w:t xml:space="preserve">; </w:t>
      </w:r>
      <w:hyperlink r:id="rId19373">
        <w:r>
          <w:rPr>
            <w:color w:val="0000EE"/>
            <w:u w:val="single"/>
          </w:rPr>
          <w:t>7.22–23</w:t>
        </w:r>
      </w:hyperlink>
      <w:r>
        <w:t>).</w:t>
      </w:r>
    </w:p>
    <w:p>
      <w:pPr>
        <w:pStyle w:val="ListNumber"/>
        <w:spacing w:line="240" w:lineRule="auto"/>
        <w:ind w:left="720"/>
      </w:pPr>
      <w:r/>
      <w:r>
        <w:t>Para as mentes judaicas, o título tinha significados reais e autoritativos relacionados ao Messias (</w:t>
      </w:r>
      <w:hyperlink r:id="rId6628">
        <w:r>
          <w:rPr>
            <w:color w:val="0000EE"/>
            <w:u w:val="single"/>
          </w:rPr>
          <w:t>Lc 20.41–44</w:t>
        </w:r>
      </w:hyperlink>
      <w:r>
        <w:t>). Isso ofenderia tanto judeus quanto romanos.</w:t>
      </w:r>
    </w:p>
    <w:p>
      <w:pPr>
        <w:pStyle w:val="ListNumber"/>
        <w:spacing w:line="240" w:lineRule="auto"/>
        <w:ind w:left="720"/>
      </w:pPr>
      <w:r/>
      <w:r>
        <w:t>Politicamente, "Senhor" era um título reivindicado por César. Portanto, é significativo que Jesus seja chamado de "Rei dos reis e Senhor dos senhores" durante o tempo de Domiciano, quando a adoração a César era exigida (</w:t>
      </w:r>
      <w:hyperlink r:id="rId7845">
        <w:r>
          <w:rPr>
            <w:color w:val="0000EE"/>
            <w:u w:val="single"/>
          </w:rPr>
          <w:t>Ap 17.14</w:t>
        </w:r>
      </w:hyperlink>
      <w:r>
        <w:t xml:space="preserve">; </w:t>
      </w:r>
      <w:hyperlink r:id="rId6127">
        <w:r>
          <w:rPr>
            <w:color w:val="0000EE"/>
            <w:u w:val="single"/>
          </w:rPr>
          <w:t>19.16</w:t>
        </w:r>
      </w:hyperlink>
      <w:r>
        <w:t>).</w:t>
      </w:r>
    </w:p>
    <w:p>
      <w:r/>
      <w:r>
        <w:t>Para os judeus de língua grega que viviam fora de Israel e estavam familiarizados com a Septuaginta, e para os gentios que usavam o título “Senhor” para seus muitos deuses, chamar Jesus de “Senhor” era visto como blasfêmia. Isso era especialmente ofensivo quando estava ligado a títulos como “Filho de Deus”, bem como a atos de oração, louvor, devoção completa e esperança (</w:t>
      </w:r>
      <w:hyperlink r:id="rId19374">
        <w:r>
          <w:rPr>
            <w:color w:val="0000EE"/>
            <w:u w:val="single"/>
          </w:rPr>
          <w:t>1Co 8.5–6</w:t>
        </w:r>
      </w:hyperlink>
      <w:r>
        <w:t xml:space="preserve">; </w:t>
      </w:r>
      <w:hyperlink r:id="rId2670">
        <w:r>
          <w:rPr>
            <w:color w:val="0000EE"/>
            <w:u w:val="single"/>
          </w:rPr>
          <w:t>Fp 2.9–11</w:t>
        </w:r>
      </w:hyperlink>
      <w:r>
        <w:t xml:space="preserve">; </w:t>
      </w:r>
      <w:hyperlink r:id="rId19375">
        <w:r>
          <w:rPr>
            <w:color w:val="0000EE"/>
            <w:u w:val="single"/>
          </w:rPr>
          <w:t>1Ts 4.14–17</w:t>
        </w:r>
      </w:hyperlink>
      <w:r>
        <w:t>). Por todas essas razões, mostrar profundo respeito a Jesus não era apenas espiritualmente importante, mas também trazia perigo sério e imediato.</w:t>
      </w:r>
    </w:p>
    <w:p>
      <w:r/>
      <w:r>
        <w:rPr>
          <w:i/>
        </w:rPr>
        <w:t>Veja também</w:t>
      </w:r>
      <w:r>
        <w:t xml:space="preserve"> </w:t>
      </w:r>
      <w:r>
        <w:t>Cristologia</w:t>
      </w:r>
      <w:r>
        <w:t xml:space="preserve">; </w:t>
      </w:r>
      <w:r>
        <w:t>Deus, Ser e atributos</w:t>
      </w:r>
      <w:r>
        <w:t xml:space="preserve">; </w:t>
      </w:r>
      <w:r>
        <w:t>Deus, Nomes</w:t>
      </w:r>
      <w:r>
        <w:t>.</w:t>
      </w:r>
      <w:r/>
      <w:r/>
    </w:p>
    <w:p>
      <w:r/>
    </w:p>
    <w:p>
      <w:pPr>
        <w:pStyle w:val="Heading2"/>
      </w:pPr>
      <w:r>
        <w:t>Senir</w:t>
      </w:r>
      <w:r/>
    </w:p>
    <w:p>
      <w:r/>
      <w:r>
        <w:t xml:space="preserve">Um nome amorreu para o Monte Hermom em </w:t>
      </w:r>
      <w:hyperlink r:id="rId1981">
        <w:r>
          <w:rPr>
            <w:color w:val="0000EE"/>
            <w:u w:val="single"/>
          </w:rPr>
          <w:t>Deuteronômio 3.9</w:t>
        </w:r>
      </w:hyperlink>
      <w:r>
        <w:t xml:space="preserve"> e </w:t>
      </w:r>
      <w:hyperlink r:id="rId1746">
        <w:r>
          <w:rPr>
            <w:color w:val="0000EE"/>
            <w:u w:val="single"/>
          </w:rPr>
          <w:t>Cântico dos Cânticos 4.8</w:t>
        </w:r>
      </w:hyperlink>
      <w:r>
        <w:t>.</w:t>
      </w:r>
    </w:p>
    <w:p>
      <w:r/>
      <w:r>
        <w:rPr>
          <w:i/>
        </w:rPr>
        <w:t>Veja também</w:t>
      </w:r>
      <w:r>
        <w:t xml:space="preserve"> </w:t>
      </w:r>
      <w:r>
        <w:t>Monte Hermon</w:t>
      </w:r>
      <w:r>
        <w:t>.</w:t>
      </w:r>
      <w:r/>
      <w:r/>
    </w:p>
    <w:p>
      <w:r/>
    </w:p>
    <w:p>
      <w:pPr>
        <w:pStyle w:val="Heading2"/>
      </w:pPr>
      <w:r>
        <w:t>Seom</w:t>
      </w:r>
      <w:r/>
    </w:p>
    <w:p>
      <w:r/>
      <w:r>
        <w:t>Rei dos amorreus que governava em Hesbom, cerca de 22 quilômetros a leste do extremo norte do Mar Morto. Sua derrota por Israel sob Moisés, juntamente com a de Ogue, rei de Basã, é frequentemente mencionada na prosa e poesia do AT, em narrativa e canção (</w:t>
      </w:r>
      <w:hyperlink r:id="rId2793">
        <w:r>
          <w:rPr>
            <w:color w:val="0000EE"/>
            <w:u w:val="single"/>
          </w:rPr>
          <w:t>Dt 1.4</w:t>
        </w:r>
      </w:hyperlink>
      <w:r>
        <w:t xml:space="preserve">; </w:t>
      </w:r>
      <w:hyperlink r:id="rId19376">
        <w:r>
          <w:rPr>
            <w:color w:val="0000EE"/>
            <w:u w:val="single"/>
          </w:rPr>
          <w:t>2.26–37</w:t>
        </w:r>
      </w:hyperlink>
      <w:r>
        <w:t xml:space="preserve">; </w:t>
      </w:r>
      <w:hyperlink r:id="rId3492">
        <w:r>
          <w:rPr>
            <w:color w:val="0000EE"/>
            <w:u w:val="single"/>
          </w:rPr>
          <w:t>4.46</w:t>
        </w:r>
      </w:hyperlink>
      <w:r>
        <w:t xml:space="preserve">; </w:t>
      </w:r>
      <w:hyperlink r:id="rId3162">
        <w:r>
          <w:rPr>
            <w:color w:val="0000EE"/>
            <w:u w:val="single"/>
          </w:rPr>
          <w:t>29.7</w:t>
        </w:r>
      </w:hyperlink>
      <w:r>
        <w:t xml:space="preserve">; </w:t>
      </w:r>
      <w:hyperlink r:id="rId19377">
        <w:r>
          <w:rPr>
            <w:color w:val="0000EE"/>
            <w:u w:val="single"/>
          </w:rPr>
          <w:t>31.4</w:t>
        </w:r>
      </w:hyperlink>
      <w:r>
        <w:t xml:space="preserve">; </w:t>
      </w:r>
      <w:hyperlink r:id="rId19378">
        <w:r>
          <w:rPr>
            <w:color w:val="0000EE"/>
            <w:u w:val="single"/>
          </w:rPr>
          <w:t>Js 2.10</w:t>
        </w:r>
      </w:hyperlink>
      <w:r>
        <w:t xml:space="preserve">; </w:t>
      </w:r>
      <w:hyperlink r:id="rId2794">
        <w:r>
          <w:rPr>
            <w:color w:val="0000EE"/>
            <w:u w:val="single"/>
          </w:rPr>
          <w:t>9.10</w:t>
        </w:r>
      </w:hyperlink>
      <w:r>
        <w:t xml:space="preserve">; </w:t>
      </w:r>
      <w:hyperlink r:id="rId11475">
        <w:r>
          <w:rPr>
            <w:color w:val="0000EE"/>
            <w:u w:val="single"/>
          </w:rPr>
          <w:t>12.2–6</w:t>
        </w:r>
      </w:hyperlink>
      <w:r>
        <w:t xml:space="preserve">; </w:t>
      </w:r>
      <w:hyperlink r:id="rId19379">
        <w:r>
          <w:rPr>
            <w:color w:val="0000EE"/>
            <w:u w:val="single"/>
          </w:rPr>
          <w:t>13.10–12</w:t>
        </w:r>
      </w:hyperlink>
      <w:r>
        <w:t>). Aos olhos dos escritores sagrados, essa dupla derrota é tão significativa que pode ser comparada ao Êxodo como uma das manifestações singulares da intervenção salvadora de Deus em favor de seu povo (</w:t>
      </w:r>
      <w:hyperlink r:id="rId19380">
        <w:r>
          <w:rPr>
            <w:color w:val="0000EE"/>
            <w:u w:val="single"/>
          </w:rPr>
          <w:t>Sl 135.11</w:t>
        </w:r>
      </w:hyperlink>
      <w:r>
        <w:t xml:space="preserve">; </w:t>
      </w:r>
      <w:hyperlink r:id="rId19381">
        <w:r>
          <w:rPr>
            <w:color w:val="0000EE"/>
            <w:u w:val="single"/>
          </w:rPr>
          <w:t>136.19–20</w:t>
        </w:r>
      </w:hyperlink>
      <w:r>
        <w:t>), e como evidência de seu amor eterno por eles. No período pós-exílico, este evento é lembrado em oração como um fundamento de súplica pela contínua misericórdia de Deus para com os exilados que retornaram (</w:t>
      </w:r>
      <w:hyperlink r:id="rId19382">
        <w:r>
          <w:rPr>
            <w:color w:val="0000EE"/>
            <w:u w:val="single"/>
          </w:rPr>
          <w:t>Ne 9.22</w:t>
        </w:r>
      </w:hyperlink>
      <w:r>
        <w:t>).</w:t>
      </w:r>
    </w:p>
    <w:p>
      <w:r/>
      <w:r>
        <w:t>Antes da chegada de Israel na Transjordânia, Seom havia conquistado o território de Moabe até o sul, no rio Arnom (</w:t>
      </w:r>
      <w:hyperlink r:id="rId19383">
        <w:r>
          <w:rPr>
            <w:color w:val="0000EE"/>
            <w:u w:val="single"/>
          </w:rPr>
          <w:t>Nm 21.26</w:t>
        </w:r>
      </w:hyperlink>
      <w:r>
        <w:t xml:space="preserve">). Esta conquista dá origem a um trecho de poesia antiga que é incorporado nas Escrituras sagradas (vv. </w:t>
      </w:r>
      <w:hyperlink r:id="rId1221">
        <w:r>
          <w:rPr>
            <w:color w:val="0000EE"/>
            <w:u w:val="single"/>
          </w:rPr>
          <w:t>27–30</w:t>
        </w:r>
      </w:hyperlink>
      <w:r>
        <w:t>). O reino de Seom se estende do Arnom ao sul até o Jaboque ao norte, com o Jordão como seu limite ocidental. Também inclui o Vale do Jordão até o Mar de Quinerete (</w:t>
      </w:r>
      <w:hyperlink r:id="rId19384">
        <w:r>
          <w:rPr>
            <w:color w:val="0000EE"/>
            <w:u w:val="single"/>
          </w:rPr>
          <w:t>Js 12.2–3</w:t>
        </w:r>
      </w:hyperlink>
      <w:r>
        <w:t>), compreendendo parte da região conhecida como Gileade. No leste, estende-se em direção ao deserto e toca a terra dos amonitas.</w:t>
      </w:r>
    </w:p>
    <w:p>
      <w:r/>
      <w:r>
        <w:t xml:space="preserve">A recusa de Seom em conceder passagem a Israel através de seu território é semelhante à de Edom (cf. </w:t>
      </w:r>
      <w:hyperlink r:id="rId11551">
        <w:r>
          <w:rPr>
            <w:color w:val="0000EE"/>
            <w:u w:val="single"/>
          </w:rPr>
          <w:t>Nm 21.23</w:t>
        </w:r>
      </w:hyperlink>
      <w:r>
        <w:t xml:space="preserve"> com </w:t>
      </w:r>
      <w:hyperlink r:id="rId19385">
        <w:r>
          <w:rPr>
            <w:color w:val="0000EE"/>
            <w:u w:val="single"/>
          </w:rPr>
          <w:t>20.20</w:t>
        </w:r>
      </w:hyperlink>
      <w:r>
        <w:t xml:space="preserve">). No entanto, Seom demonstra hostilidade aberta em relação a Israel. Seom foi derrotado e morto em Jaza; seu território foi ocupado por Israel. Posteriormente, foi distribuído às tribos de Gade e Rúben (cf. </w:t>
      </w:r>
      <w:hyperlink r:id="rId19386">
        <w:r>
          <w:rPr>
            <w:color w:val="0000EE"/>
            <w:u w:val="single"/>
          </w:rPr>
          <w:t>Nm 32.33–38</w:t>
        </w:r>
      </w:hyperlink>
      <w:r>
        <w:t xml:space="preserve">; </w:t>
      </w:r>
      <w:hyperlink r:id="rId19387">
        <w:r>
          <w:rPr>
            <w:color w:val="0000EE"/>
            <w:u w:val="single"/>
          </w:rPr>
          <w:t>Js 13.10</w:t>
        </w:r>
      </w:hyperlink>
      <w:r>
        <w:t>).</w:t>
      </w:r>
      <w:r/>
      <w:r/>
    </w:p>
    <w:p>
      <w:r/>
    </w:p>
    <w:p>
      <w:pPr>
        <w:pStyle w:val="Heading2"/>
      </w:pPr>
      <w:r>
        <w:t>Sepultamento, Costumes de sepultamento</w:t>
      </w:r>
      <w:r/>
    </w:p>
    <w:p>
      <w:r/>
      <w:r>
        <w:t>A Bíblia frequentemente faz referência às práticas de sepultamento. Os costumes funerários de uma sociedade refletem suas visões sobre a morte e a vida após a morte. Os antigos egípcios, por exemplo, viam a vida após a morte como uma continuação das atividades físicas em outro reino, como evidenciado por seus túmulos ricamente mobiliados. Os antigos hebreus enfatizavam um conceito mais espiritual de união ou comunhão dos falecidos com as gerações que já se foram.</w:t>
      </w:r>
    </w:p>
    <w:p>
      <w:pPr>
        <w:pStyle w:val="Heading3"/>
      </w:pPr>
      <w:r>
        <w:t>Túmulos e sepulturas</w:t>
      </w:r>
    </w:p>
    <w:p>
      <w:r/>
      <w:r>
        <w:t>Entre os hebreus, a localização das sepulturas geralmente era determinada com base na família. O AT contém muitas referências ao desejo de um israelita de ser enterrado no local de sepultamento da família, descrevendo sua morte como “indo para seus pais” (</w:t>
      </w:r>
      <w:hyperlink r:id="rId19388">
        <w:r>
          <w:rPr>
            <w:color w:val="0000EE"/>
            <w:u w:val="single"/>
          </w:rPr>
          <w:t>Gn 15.15</w:t>
        </w:r>
      </w:hyperlink>
      <w:r>
        <w:t xml:space="preserve">; </w:t>
      </w:r>
      <w:hyperlink r:id="rId19389">
        <w:r>
          <w:rPr>
            <w:color w:val="0000EE"/>
            <w:u w:val="single"/>
          </w:rPr>
          <w:t>1Rs 13.22</w:t>
        </w:r>
      </w:hyperlink>
      <w:r>
        <w:t>).</w:t>
      </w:r>
    </w:p>
    <w:p>
      <w:r/>
      <w:r>
        <w:t>A caverna de Macpela em Hebrom foi um exemplo de "coabitação" familiar de um túmulo por várias gerações. Abraão comprou o local de Efrom, o heteu, na época da morte de Sara (</w:t>
      </w:r>
      <w:hyperlink r:id="rId179">
        <w:r>
          <w:rPr>
            <w:color w:val="0000EE"/>
            <w:u w:val="single"/>
          </w:rPr>
          <w:t>Gn 23</w:t>
        </w:r>
      </w:hyperlink>
      <w:r>
        <w:t>). Quando Abraão morreu, Isaque e Ismael colocaram seu corpo no mesmo túmulo (</w:t>
      </w:r>
      <w:hyperlink r:id="rId7734">
        <w:r>
          <w:rPr>
            <w:color w:val="0000EE"/>
            <w:u w:val="single"/>
          </w:rPr>
          <w:t>25.9</w:t>
        </w:r>
      </w:hyperlink>
      <w:r>
        <w:t>), e lá Jacó, por sua vez, enterrou seus pais, Isaque e Rebeca, assim como sua esposa, Lia (</w:t>
      </w:r>
      <w:hyperlink r:id="rId18113">
        <w:r>
          <w:rPr>
            <w:color w:val="0000EE"/>
            <w:u w:val="single"/>
          </w:rPr>
          <w:t>49.31</w:t>
        </w:r>
      </w:hyperlink>
      <w:r>
        <w:t>). Após sua morte, o corpo de Jacó foi enterrado com o de seu pai, conforme seu próprio pedido (</w:t>
      </w:r>
      <w:hyperlink r:id="rId19390">
        <w:r>
          <w:rPr>
            <w:color w:val="0000EE"/>
            <w:u w:val="single"/>
          </w:rPr>
          <w:t>49.29</w:t>
        </w:r>
      </w:hyperlink>
      <w:r>
        <w:t xml:space="preserve">; </w:t>
      </w:r>
      <w:hyperlink r:id="rId7735">
        <w:r>
          <w:rPr>
            <w:color w:val="0000EE"/>
            <w:u w:val="single"/>
          </w:rPr>
          <w:t>50.13</w:t>
        </w:r>
      </w:hyperlink>
      <w:r>
        <w:t>). O filho de Jacó, José, fez seus parentes prometerem que seus restos seriam preservados para que pudessem ser levados de volta à terra natal quando Deus permitisse que seu povo retornasse do Egito (</w:t>
      </w:r>
      <w:hyperlink r:id="rId12289">
        <w:r>
          <w:rPr>
            <w:color w:val="0000EE"/>
            <w:u w:val="single"/>
          </w:rPr>
          <w:t>50.25</w:t>
        </w:r>
      </w:hyperlink>
      <w:r>
        <w:t>). Diz-se que Samuel foi enterrado em sua casa em Ramá, aparentemente referindo-se a um terreno de cemitério familiar (</w:t>
      </w:r>
      <w:hyperlink r:id="rId4608">
        <w:r>
          <w:rPr>
            <w:color w:val="0000EE"/>
            <w:u w:val="single"/>
          </w:rPr>
          <w:t>1Sm 25.1</w:t>
        </w:r>
      </w:hyperlink>
      <w:r>
        <w:t>). Joabe foi enterrado em sua própria casa no deserto (</w:t>
      </w:r>
      <w:hyperlink r:id="rId4609">
        <w:r>
          <w:rPr>
            <w:color w:val="0000EE"/>
            <w:u w:val="single"/>
          </w:rPr>
          <w:t>1Rs 2.34</w:t>
        </w:r>
      </w:hyperlink>
      <w:r>
        <w:t>). O rei Manassés foi enterrado no jardim de seu palácio (</w:t>
      </w:r>
      <w:hyperlink r:id="rId13709">
        <w:r>
          <w:rPr>
            <w:color w:val="0000EE"/>
            <w:u w:val="single"/>
          </w:rPr>
          <w:t>2Rs 21.18</w:t>
        </w:r>
      </w:hyperlink>
      <w:r>
        <w:t>), e Josué em sua própria herança em Timnate-Sera (</w:t>
      </w:r>
      <w:hyperlink r:id="rId19391">
        <w:r>
          <w:rPr>
            <w:color w:val="0000EE"/>
            <w:u w:val="single"/>
          </w:rPr>
          <w:t>Js 24.30</w:t>
        </w:r>
      </w:hyperlink>
      <w:r>
        <w:t>). Os reis tomavam cuidado para perpetuar sua memória por meio de locais de sepultamento especiais, muitas vezes na Cidade de Davi (a parte de Jerusalém na encosta sudeste, primeiro ocupada por aquele grande rei). O rei Josias designou seu local de sepultamento com antecedência, muito provavelmente um túmulo ancestral (</w:t>
      </w:r>
      <w:hyperlink r:id="rId18372">
        <w:r>
          <w:rPr>
            <w:color w:val="0000EE"/>
            <w:u w:val="single"/>
          </w:rPr>
          <w:t>2Rs 23.30</w:t>
        </w:r>
      </w:hyperlink>
      <w:r>
        <w:t>).</w:t>
      </w:r>
    </w:p>
    <w:p>
      <w:r/>
      <w:r>
        <w:t>Sítios de sepultamento individuais, como o de Débora perto de Betel (</w:t>
      </w:r>
      <w:hyperlink r:id="rId970">
        <w:r>
          <w:rPr>
            <w:color w:val="0000EE"/>
            <w:u w:val="single"/>
          </w:rPr>
          <w:t>Gn 35.8</w:t>
        </w:r>
      </w:hyperlink>
      <w:r>
        <w:t>) e o de Raquel na estrada para Efrata (</w:t>
      </w:r>
      <w:hyperlink r:id="rId19392">
        <w:r>
          <w:rPr>
            <w:color w:val="0000EE"/>
            <w:u w:val="single"/>
          </w:rPr>
          <w:t>Gn 35.1,20</w:t>
        </w:r>
      </w:hyperlink>
      <w:r>
        <w:t>), eram uma exceção necessária devido à morte súbita a alguma distância do túmulo da família.</w:t>
      </w:r>
    </w:p>
    <w:p>
      <w:r/>
      <w:r>
        <w:t>Os corpos eram enterrados em túmulos, ou seja, em cavernas naturais ou sepulcros escavados na rocha, como aquele pertencente a José de Arimateia onde o corpo de Jesus foi colocado (</w:t>
      </w:r>
      <w:hyperlink r:id="rId19393">
        <w:r>
          <w:rPr>
            <w:color w:val="0000EE"/>
            <w:u w:val="single"/>
          </w:rPr>
          <w:t>Mt 27.59–60</w:t>
        </w:r>
      </w:hyperlink>
      <w:r>
        <w:t>). Eles também eram enterrados em sepulturas rasas cobertas com montes de pedras, que serviam tanto para marcá-los quanto para prevenir a profanação do corpo por animais.</w:t>
      </w:r>
    </w:p>
    <w:p>
      <w:r/>
      <w:r>
        <w:t>Algumas sepulturas foram marcadas por um monumento erguido por amor (</w:t>
      </w:r>
      <w:hyperlink r:id="rId19394">
        <w:r>
          <w:rPr>
            <w:color w:val="0000EE"/>
            <w:u w:val="single"/>
          </w:rPr>
          <w:t>Gn 35.20</w:t>
        </w:r>
      </w:hyperlink>
      <w:r>
        <w:t>) e honra (</w:t>
      </w:r>
      <w:hyperlink r:id="rId19395">
        <w:r>
          <w:rPr>
            <w:color w:val="0000EE"/>
            <w:u w:val="single"/>
          </w:rPr>
          <w:t>2Rs 23.17</w:t>
        </w:r>
      </w:hyperlink>
      <w:r>
        <w:t>), mas pedras às vezes eram amontoadas em um local de sepultamento desonroso, como no caso de Acã (</w:t>
      </w:r>
      <w:hyperlink r:id="rId19396">
        <w:r>
          <w:rPr>
            <w:color w:val="0000EE"/>
            <w:u w:val="single"/>
          </w:rPr>
          <w:t>Js 7.26</w:t>
        </w:r>
      </w:hyperlink>
      <w:r>
        <w:t>) e Absalão (</w:t>
      </w:r>
      <w:hyperlink r:id="rId1736">
        <w:r>
          <w:rPr>
            <w:color w:val="0000EE"/>
            <w:u w:val="single"/>
          </w:rPr>
          <w:t>2Sm 18.17</w:t>
        </w:r>
      </w:hyperlink>
      <w:r>
        <w:t>). Os túmulos eram frequentemente adornados ou embelezados, às vezes caiados, em parte para alertar contra a contaminação cerimonial proibida pela lei mosaica. Jesus falou desse embelezamento em uma repreensão aos fariseus (</w:t>
      </w:r>
      <w:hyperlink r:id="rId17926">
        <w:r>
          <w:rPr>
            <w:color w:val="0000EE"/>
            <w:u w:val="single"/>
          </w:rPr>
          <w:t>Mt 23.27</w:t>
        </w:r>
      </w:hyperlink>
      <w:r>
        <w:t>).</w:t>
      </w:r>
    </w:p>
    <w:p>
      <w:pPr>
        <w:pStyle w:val="Heading3"/>
      </w:pPr>
      <w:r>
        <w:t>Cuidados com o cadáver</w:t>
      </w:r>
    </w:p>
    <w:p>
      <w:r/>
      <w:r>
        <w:t>A garantia dada por Deus a Jacó de que “a mão de José fechará seus olhos” (</w:t>
      </w:r>
      <w:hyperlink r:id="rId13426">
        <w:r>
          <w:rPr>
            <w:color w:val="0000EE"/>
            <w:u w:val="single"/>
          </w:rPr>
          <w:t>Gn 46.4</w:t>
        </w:r>
      </w:hyperlink>
      <w:r>
        <w:t>) provavelmente alude ao costume de um parente próximo fechar os olhos de alguém que morreu com um olhar fixo. Parentes próximos também poderiam literalmente abraçar e beijar o corpo imediatamente após a morte. O corpo era lavado e vestido com as roupas do falecido. Alfinetes e outros ornamentos encontrados em túmulos escavados são evidências de que os mortos eram enterrados totalmente vestidos. Soldados eram enterrados em plena regalia, com escudos cobrindo ou embalando os corpos armados, suas espadas sob suas cabeças (</w:t>
      </w:r>
      <w:hyperlink r:id="rId19397">
        <w:r>
          <w:rPr>
            <w:color w:val="0000EE"/>
            <w:u w:val="single"/>
          </w:rPr>
          <w:t>Ez 32.27</w:t>
        </w:r>
      </w:hyperlink>
      <w:r>
        <w:t>).</w:t>
      </w:r>
    </w:p>
    <w:p>
      <w:r/>
      <w:r>
        <w:t>O embalsamamento não era uma prática comum em Israel. O tratamento egípcio para Jacó e José foi a exceção, não a regra. Segundo o historiador grego Heródoto, os egípcios iniciavam os procedimentos de embalsamamento removendo o cérebro do crânio através das aberturas nasais, em pedaços, usando um gancho longo e curvado. Após isso, a cavidade craniana era enxaguada com uma mistura de resinas e especiarias. O cadáver era eviscerado, e as entranhas eram colocadas em quatro vasos canópicos. O corpo era embebido em uma solução de natrão por um período de 40 a 80 dias, dependendo do custo do enterro. No momento do sepultamento, o cadáver era envolto em tiras de linho fino da cabeça aos pés e colocado em um caixão antropoide. Os vasos canópicos eram colocados na tumba junto com o corpo, simbolizando a reunião da personalidade e sua sobrevivência após a morte.</w:t>
      </w:r>
    </w:p>
    <w:p>
      <w:r/>
      <w:r>
        <w:t>A cremação dos corpos de Saul e seus filhos (</w:t>
      </w:r>
      <w:hyperlink r:id="rId19398">
        <w:r>
          <w:rPr>
            <w:color w:val="0000EE"/>
            <w:u w:val="single"/>
          </w:rPr>
          <w:t>1Sm 31.12–13</w:t>
        </w:r>
      </w:hyperlink>
      <w:r>
        <w:t>) também foi uma exceção à prática normal. O historiador romano Tácito escreveu que, em contraste com o costume romano, a piedade judaica exigia o sepultamento em vez da cremação dos corpos. Sob a lei mosaica, tal queima era reservada como uma sentença de julgamento (</w:t>
      </w:r>
      <w:hyperlink r:id="rId7260">
        <w:r>
          <w:rPr>
            <w:color w:val="0000EE"/>
            <w:u w:val="single"/>
          </w:rPr>
          <w:t>Lv 21.9</w:t>
        </w:r>
      </w:hyperlink>
      <w:r>
        <w:t xml:space="preserve">; </w:t>
      </w:r>
      <w:hyperlink r:id="rId19399">
        <w:r>
          <w:rPr>
            <w:color w:val="0000EE"/>
            <w:u w:val="single"/>
          </w:rPr>
          <w:t>Js 7.25</w:t>
        </w:r>
      </w:hyperlink>
      <w:r>
        <w:t>).</w:t>
      </w:r>
    </w:p>
    <w:p>
      <w:r/>
      <w:r>
        <w:t>Após a preparação do corpo, ele era carregado em uma padiola (uma estrutura simples com varas para transporte) sem ser colocado em um caixão. O corpo era colocado em um nicho preparado na parede de uma câmara escavada na rocha ou diretamente em uma cova rasa cavada em um terreno de sepultamento. Nem a padiola nem qualquer forma de caixão entravam na cova com o cadáver. As especiarias usadas como perfume e como um impedimento temporário à decomposição não podem ser consideradas propriamente uma tentativa de embalsamamento (</w:t>
      </w:r>
      <w:hyperlink r:id="rId6249">
        <w:r>
          <w:rPr>
            <w:color w:val="0000EE"/>
            <w:u w:val="single"/>
          </w:rPr>
          <w:t>Mc 16.1</w:t>
        </w:r>
      </w:hyperlink>
      <w:r>
        <w:t>).</w:t>
      </w:r>
    </w:p>
    <w:p>
      <w:r/>
      <w:r>
        <w:t>Como sabemos pelo registro do Evangelho sobre o sepultamento de Jesus, alguns túmulos em cavernas tinham um selo na entrada, seja uma porta de madeira com dobradiças ou uma pedra plana moldada para que pudesse ser rolada para o lugar. Tal selo de pedra só poderia ser reaberto com extremo esforço (</w:t>
      </w:r>
      <w:hyperlink r:id="rId5994">
        <w:r>
          <w:rPr>
            <w:color w:val="0000EE"/>
            <w:u w:val="single"/>
          </w:rPr>
          <w:t>Mc 15.46</w:t>
        </w:r>
      </w:hyperlink>
      <w:r>
        <w:t xml:space="preserve">; </w:t>
      </w:r>
      <w:hyperlink r:id="rId19400">
        <w:r>
          <w:rPr>
            <w:color w:val="0000EE"/>
            <w:u w:val="single"/>
          </w:rPr>
          <w:t>16.3–4</w:t>
        </w:r>
      </w:hyperlink>
      <w:r>
        <w:t>). Nos tempos do Novo Testamento, os judeus às vezes economizavam no uso de um túmulo familiar colocando os ossos secos de parentes anteriormente enterrados em ossuários. Esses receptáculos em forma de caixa eram provavelmente uma adaptação de baús usados pelos romanos para guardar cinzas após uma cremação.</w:t>
      </w:r>
    </w:p>
    <w:p>
      <w:r/>
      <w:r>
        <w:t>Segundo a legislação mosaica, a contaminação cerimonial era contraída tanto pelo contato físico com o cadáver quanto pela participação nas formalidades de luto. Proibições especialmente rigorosas se aplicavam aos sacerdotes de Israel. O sumo sacerdote, em particular, não podia ter nada a ver com o luto. Ele “não pode tocar num morto, mesmo que seja o seu pai ou a sua mãe. Isso o tornaria impuro, e, quando entrasse de novo na Tenda Sagrada, ele a tornaria impura” (</w:t>
      </w:r>
      <w:hyperlink r:id="rId19401">
        <w:r>
          <w:rPr>
            <w:color w:val="0000EE"/>
            <w:u w:val="single"/>
          </w:rPr>
          <w:t>Lv 21.10–12</w:t>
        </w:r>
      </w:hyperlink>
      <w:r>
        <w:t>, NTLH).</w:t>
      </w:r>
    </w:p>
    <w:p>
      <w:r/>
      <w:r>
        <w:t>Embora os costumes e procedimentos tenham sido evidentemente pouco modificados dos tempos do AT para os do NT, alguns detalhes adicionais são fornecidos no registro do NT. Por exemplo, é mencionado que o cadáver foi lavado (</w:t>
      </w:r>
      <w:hyperlink r:id="rId3014">
        <w:r>
          <w:rPr>
            <w:color w:val="0000EE"/>
            <w:u w:val="single"/>
          </w:rPr>
          <w:t>At 9.37</w:t>
        </w:r>
      </w:hyperlink>
      <w:r>
        <w:t>). O corpo foi então ungido e envolto em panos de linho com especiarias incluídas (</w:t>
      </w:r>
      <w:hyperlink r:id="rId6249">
        <w:r>
          <w:rPr>
            <w:color w:val="0000EE"/>
            <w:u w:val="single"/>
          </w:rPr>
          <w:t>Mc 16.1</w:t>
        </w:r>
      </w:hyperlink>
      <w:r>
        <w:t xml:space="preserve">; </w:t>
      </w:r>
      <w:hyperlink r:id="rId12405">
        <w:r>
          <w:rPr>
            <w:color w:val="0000EE"/>
            <w:u w:val="single"/>
          </w:rPr>
          <w:t>Jo 19.40</w:t>
        </w:r>
      </w:hyperlink>
      <w:r>
        <w:t>). Finalmente, os membros foram firmemente atados e a cabeça coberta com um pedaço de pano separado (</w:t>
      </w:r>
      <w:hyperlink r:id="rId6040">
        <w:r>
          <w:rPr>
            <w:color w:val="0000EE"/>
            <w:u w:val="single"/>
          </w:rPr>
          <w:t>Jo 11.44</w:t>
        </w:r>
      </w:hyperlink>
      <w:r>
        <w:t>).</w:t>
      </w:r>
    </w:p>
    <w:p>
      <w:r/>
      <w:r>
        <w:rPr>
          <w:i/>
        </w:rPr>
        <w:t>Veja também</w:t>
      </w:r>
      <w:r>
        <w:t xml:space="preserve"> </w:t>
      </w:r>
      <w:r>
        <w:t>Luto</w:t>
      </w:r>
      <w:r>
        <w:t xml:space="preserve">; </w:t>
      </w:r>
      <w:r>
        <w:t>Costumes funerários</w:t>
      </w:r>
      <w:r>
        <w:t>.</w:t>
      </w:r>
      <w:r/>
      <w:r/>
    </w:p>
    <w:p>
      <w:r/>
    </w:p>
    <w:p>
      <w:pPr>
        <w:pStyle w:val="Heading2"/>
      </w:pPr>
      <w:r>
        <w:t>Sera</w:t>
      </w:r>
      <w:r/>
    </w:p>
    <w:p>
      <w:r/>
      <w:r>
        <w:t>Uma filha do patriarca Aser (</w:t>
      </w:r>
      <w:hyperlink r:id="rId2708">
        <w:r>
          <w:rPr>
            <w:color w:val="0000EE"/>
            <w:u w:val="single"/>
          </w:rPr>
          <w:t>Gn 46.17</w:t>
        </w:r>
      </w:hyperlink>
      <w:r>
        <w:t xml:space="preserve">; </w:t>
      </w:r>
      <w:hyperlink r:id="rId19402">
        <w:r>
          <w:rPr>
            <w:color w:val="0000EE"/>
            <w:u w:val="single"/>
          </w:rPr>
          <w:t>Nm 26.46</w:t>
        </w:r>
      </w:hyperlink>
      <w:r>
        <w:t xml:space="preserve">; </w:t>
      </w:r>
      <w:hyperlink r:id="rId2709">
        <w:r>
          <w:rPr>
            <w:color w:val="0000EE"/>
            <w:u w:val="single"/>
          </w:rPr>
          <w:t>1Cr 7.30</w:t>
        </w:r>
      </w:hyperlink>
      <w:r>
        <w:t>).</w:t>
      </w:r>
      <w:r/>
      <w:r/>
    </w:p>
    <w:p>
      <w:r/>
    </w:p>
    <w:p>
      <w:pPr>
        <w:pStyle w:val="Heading2"/>
      </w:pPr>
      <w:r>
        <w:t>Serede, Seredite</w:t>
      </w:r>
      <w:r/>
    </w:p>
    <w:p>
      <w:r/>
      <w:r>
        <w:t>Um dos filhos de Zebulom (</w:t>
      </w:r>
      <w:hyperlink r:id="rId7987">
        <w:r>
          <w:rPr>
            <w:color w:val="0000EE"/>
            <w:u w:val="single"/>
          </w:rPr>
          <w:t>Gn 46.14</w:t>
        </w:r>
      </w:hyperlink>
      <w:r>
        <w:t>) e o pai da família Seredita (</w:t>
      </w:r>
      <w:hyperlink r:id="rId7988">
        <w:r>
          <w:rPr>
            <w:color w:val="0000EE"/>
            <w:u w:val="single"/>
          </w:rPr>
          <w:t>Nm 26.26</w:t>
        </w:r>
      </w:hyperlink>
      <w:r>
        <w:t>).</w:t>
      </w:r>
      <w:r/>
      <w:r/>
    </w:p>
    <w:p>
      <w:r/>
    </w:p>
    <w:p>
      <w:pPr>
        <w:pStyle w:val="Heading2"/>
      </w:pPr>
      <w:r>
        <w:t>Sérgio Paulo</w:t>
      </w:r>
      <w:r/>
    </w:p>
    <w:p>
      <w:r/>
      <w:r>
        <w:t xml:space="preserve">Sérgio Paulo era o procônsul (um governador romano) de Chipre. Em </w:t>
      </w:r>
      <w:hyperlink r:id="rId16452">
        <w:r>
          <w:rPr>
            <w:color w:val="0000EE"/>
            <w:u w:val="single"/>
          </w:rPr>
          <w:t>Atos 13.7</w:t>
        </w:r>
      </w:hyperlink>
      <w:r>
        <w:t>, Lucas o descreve como um "homem de inteligência". Paulo e Barnabé visitaram a cidade de Pafos, em Chipre, durante sua primeira viagem missionária. Pafos era onde Sérgio Paulo vivia e trabalhava. Enquanto estavam lá, encontraram um falso profeta e feiticeiro judeu chamado Barjesus (também chamado Elimas), que se esforçou muito para impedir que o procônsul ouvisse a mensagem do evangelho.</w:t>
      </w:r>
    </w:p>
    <w:p>
      <w:r/>
      <w:r>
        <w:t>Paulo repreendeu Elimas e o amaldiçoou com cegueira. Quando Sérgio Paulo viu o que havia acontecido, ele acreditou na mensagem do evangelho de Paulo, tornando-se a primeira pessoa registrada a se tornar cristã durante a primeira viagem missionária de Paulo.</w:t>
      </w:r>
    </w:p>
    <w:p>
      <w:r/>
      <w:r>
        <w:t>É neste ponto da Bíblia que vemos o nome Saulo mudar para Paulo. Orígenes (um dos primeiros estudiosos cristãos) e muitos outros desde então pensaram que Paulo mudou seu nome para homenagear este importante convertido.</w:t>
      </w:r>
      <w:r/>
      <w:r/>
    </w:p>
    <w:p>
      <w:r/>
    </w:p>
    <w:p>
      <w:pPr>
        <w:pStyle w:val="Heading2"/>
      </w:pPr>
      <w:r>
        <w:t>Serpente</w:t>
      </w:r>
      <w:r/>
    </w:p>
    <w:p>
      <w:r/>
      <w:r>
        <w:t>Uma cobra ou monstro marinho. Várias palavras são usadas na Bíblia para serpentes ou cobras. Serpentes, ou cobras, são répteis conhecidos por sua capacidade de morder e injetar veneno. Tipos específicos de cobras mencionados incluem a áspide (</w:t>
      </w:r>
      <w:hyperlink r:id="rId19403">
        <w:r>
          <w:rPr>
            <w:color w:val="0000EE"/>
            <w:u w:val="single"/>
          </w:rPr>
          <w:t>Isaías 11.8</w:t>
        </w:r>
      </w:hyperlink>
      <w:r>
        <w:t>) e a víbora (</w:t>
      </w:r>
      <w:hyperlink r:id="rId1459">
        <w:r>
          <w:rPr>
            <w:color w:val="0000EE"/>
            <w:u w:val="single"/>
          </w:rPr>
          <w:t>Atos 28.3</w:t>
        </w:r>
      </w:hyperlink>
      <w:r>
        <w:t xml:space="preserve">). O termo "serpente" também pode descrever uma monstruosa serpente marinha encontrada em </w:t>
      </w:r>
      <w:hyperlink r:id="rId3354">
        <w:r>
          <w:rPr>
            <w:color w:val="0000EE"/>
            <w:u w:val="single"/>
          </w:rPr>
          <w:t>Jó 26.13</w:t>
        </w:r>
      </w:hyperlink>
      <w:r>
        <w:t xml:space="preserve">, </w:t>
      </w:r>
      <w:hyperlink r:id="rId1642">
        <w:r>
          <w:rPr>
            <w:color w:val="0000EE"/>
            <w:u w:val="single"/>
          </w:rPr>
          <w:t>Isaías 27.1</w:t>
        </w:r>
      </w:hyperlink>
      <w:r>
        <w:t xml:space="preserve"> e </w:t>
      </w:r>
      <w:hyperlink r:id="rId19404">
        <w:r>
          <w:rPr>
            <w:color w:val="0000EE"/>
            <w:u w:val="single"/>
          </w:rPr>
          <w:t>Amós 9.3</w:t>
        </w:r>
      </w:hyperlink>
      <w:r>
        <w:t>.</w:t>
      </w:r>
    </w:p>
    <w:p>
      <w:r/>
      <w:r>
        <w:t xml:space="preserve">Em </w:t>
      </w:r>
      <w:hyperlink r:id="rId296">
        <w:r>
          <w:rPr>
            <w:color w:val="0000EE"/>
            <w:u w:val="single"/>
          </w:rPr>
          <w:t>Gênesis 3.1,</w:t>
        </w:r>
      </w:hyperlink>
      <w:r>
        <w:t xml:space="preserve"> a serpente tenta Adão e Eva. É "mais astuta que qualquer animal do campo que o Senhor Deus tinha feito". Como resultado, a serpente é amaldiçoada: “Sobre o teu ventre irás, e pó comerás, todos os dias da tua vida”. (</w:t>
      </w:r>
      <w:hyperlink r:id="rId19405">
        <w:r>
          <w:rPr>
            <w:color w:val="0000EE"/>
            <w:u w:val="single"/>
          </w:rPr>
          <w:t>Gênesis 3.14</w:t>
        </w:r>
      </w:hyperlink>
      <w:r>
        <w:t xml:space="preserve">). Em </w:t>
      </w:r>
      <w:hyperlink r:id="rId8643">
        <w:r>
          <w:rPr>
            <w:color w:val="0000EE"/>
            <w:u w:val="single"/>
          </w:rPr>
          <w:t>2 Coríntios 11.3</w:t>
        </w:r>
      </w:hyperlink>
      <w:r>
        <w:t xml:space="preserve"> diz que a serpente enganou Eva com sua astúcia. </w:t>
      </w:r>
      <w:hyperlink r:id="rId123">
        <w:r>
          <w:rPr>
            <w:color w:val="0000EE"/>
            <w:u w:val="single"/>
          </w:rPr>
          <w:t>Apocalipse 12.9</w:t>
        </w:r>
      </w:hyperlink>
      <w:r>
        <w:t xml:space="preserve"> chama a serpente: “aquela antiga serpente chamada diabo e Satanás, o enganador de todo o mundo” (veja também </w:t>
      </w:r>
      <w:hyperlink r:id="rId19406">
        <w:r>
          <w:rPr>
            <w:color w:val="0000EE"/>
            <w:u w:val="single"/>
          </w:rPr>
          <w:t>Apocalipse 12.14–15</w:t>
        </w:r>
      </w:hyperlink>
      <w:r>
        <w:t xml:space="preserve"> e </w:t>
      </w:r>
      <w:hyperlink r:id="rId1649">
        <w:r>
          <w:rPr>
            <w:color w:val="0000EE"/>
            <w:u w:val="single"/>
          </w:rPr>
          <w:t>20.2</w:t>
        </w:r>
      </w:hyperlink>
      <w:r>
        <w:t>).</w:t>
      </w:r>
    </w:p>
    <w:p>
      <w:r/>
      <w:r>
        <w:t xml:space="preserve">Referências bíblicas a serpentes ou cobras frequentemente as usam figurativamente. Elas representam a capacidade de ferir com veneno (por exemplo, </w:t>
      </w:r>
      <w:hyperlink r:id="rId4147">
        <w:r>
          <w:rPr>
            <w:color w:val="0000EE"/>
            <w:u w:val="single"/>
          </w:rPr>
          <w:t>Gênesis 49.17</w:t>
        </w:r>
      </w:hyperlink>
      <w:r>
        <w:t xml:space="preserve">; </w:t>
      </w:r>
      <w:hyperlink r:id="rId19407">
        <w:r>
          <w:rPr>
            <w:color w:val="0000EE"/>
            <w:u w:val="single"/>
          </w:rPr>
          <w:t>Eclesiastes 10.8,11</w:t>
        </w:r>
      </w:hyperlink>
      <w:r>
        <w:t xml:space="preserve">; </w:t>
      </w:r>
      <w:hyperlink r:id="rId1470">
        <w:r>
          <w:rPr>
            <w:color w:val="0000EE"/>
            <w:u w:val="single"/>
          </w:rPr>
          <w:t>Isaías 14.29</w:t>
        </w:r>
      </w:hyperlink>
      <w:r>
        <w:t xml:space="preserve">; </w:t>
      </w:r>
      <w:hyperlink r:id="rId1485">
        <w:r>
          <w:rPr>
            <w:color w:val="0000EE"/>
            <w:u w:val="single"/>
          </w:rPr>
          <w:t>Amós 5.19</w:t>
        </w:r>
      </w:hyperlink>
      <w:r>
        <w:t xml:space="preserve">; </w:t>
      </w:r>
      <w:hyperlink r:id="rId19408">
        <w:r>
          <w:rPr>
            <w:color w:val="0000EE"/>
            <w:u w:val="single"/>
          </w:rPr>
          <w:t>Apocalipse 9.19</w:t>
        </w:r>
      </w:hyperlink>
      <w:r>
        <w:t xml:space="preserve">). Em </w:t>
      </w:r>
      <w:hyperlink r:id="rId19409">
        <w:r>
          <w:rPr>
            <w:color w:val="0000EE"/>
            <w:u w:val="single"/>
          </w:rPr>
          <w:t>Salmo 58.4–5</w:t>
        </w:r>
      </w:hyperlink>
      <w:r>
        <w:t xml:space="preserve">, pessoas ímpias são comparadas a cobras. </w:t>
      </w:r>
      <w:hyperlink r:id="rId19410">
        <w:r>
          <w:rPr>
            <w:color w:val="0000EE"/>
            <w:u w:val="single"/>
          </w:rPr>
          <w:t xml:space="preserve">Salmo 140.3 </w:t>
        </w:r>
      </w:hyperlink>
      <w:r>
        <w:t xml:space="preserve">descreve as línguas das pessoas como afiadas como serpentes e seus lábios como venenosos como víboras. </w:t>
      </w:r>
      <w:hyperlink r:id="rId3175">
        <w:r>
          <w:rPr>
            <w:color w:val="0000EE"/>
            <w:u w:val="single"/>
          </w:rPr>
          <w:t>Provérbios 23.32</w:t>
        </w:r>
      </w:hyperlink>
      <w:r>
        <w:t xml:space="preserve"> compara a bebida forte à mordida de uma serpente, dizendo que “morde como uma cobra e pica como uma víbora”. </w:t>
      </w:r>
      <w:hyperlink r:id="rId19411">
        <w:r>
          <w:rPr>
            <w:color w:val="0000EE"/>
            <w:u w:val="single"/>
          </w:rPr>
          <w:t>Jeremias 8.17</w:t>
        </w:r>
      </w:hyperlink>
      <w:r>
        <w:t xml:space="preserve"> descreve os inimigos de Israel como “víboras que não podem ser encantadas, e elas vão te morder”.</w:t>
      </w:r>
    </w:p>
    <w:p>
      <w:r/>
      <w:r>
        <w:t>Positivamente, as serpentes são conhecidas por sua sabedoria. Jesus aconselha seus discípulos: “Sejam astutos como as serpentes e inocentes como as pombas" (</w:t>
      </w:r>
      <w:hyperlink r:id="rId1851">
        <w:r>
          <w:rPr>
            <w:color w:val="0000EE"/>
            <w:u w:val="single"/>
          </w:rPr>
          <w:t>Mateus 10.16</w:t>
        </w:r>
      </w:hyperlink>
      <w:r>
        <w:t>). No entanto, a imagem principal da serpente é negativa. Ela simboliza engano. Jesus chama os escribas e fariseus de: “Serpentes! Raça de víboras!” (</w:t>
      </w:r>
      <w:hyperlink r:id="rId1458">
        <w:r>
          <w:rPr>
            <w:color w:val="0000EE"/>
            <w:u w:val="single"/>
          </w:rPr>
          <w:t>Mateus 23.33</w:t>
        </w:r>
      </w:hyperlink>
      <w:r>
        <w:t>). João Batista também se refere aos fariseus e saduceus como “Raça de víboras!” (</w:t>
      </w:r>
      <w:hyperlink r:id="rId1456">
        <w:r>
          <w:rPr>
            <w:color w:val="0000EE"/>
            <w:u w:val="single"/>
          </w:rPr>
          <w:t>Mateus 3.7</w:t>
        </w:r>
      </w:hyperlink>
      <w:r>
        <w:t>).</w:t>
      </w:r>
    </w:p>
    <w:p>
      <w:r/>
      <w:r>
        <w:rPr>
          <w:i/>
        </w:rPr>
        <w:t>Veja</w:t>
      </w:r>
      <w:r>
        <w:t xml:space="preserve"> </w:t>
      </w:r>
      <w:r>
        <w:t>Animais</w:t>
      </w:r>
      <w:r>
        <w:t>.</w:t>
      </w:r>
      <w:r/>
      <w:r/>
    </w:p>
    <w:p>
      <w:r/>
    </w:p>
    <w:p>
      <w:pPr>
        <w:pStyle w:val="Heading2"/>
      </w:pPr>
      <w:r>
        <w:t>Serpente ardente</w:t>
      </w:r>
      <w:r/>
    </w:p>
    <w:p>
      <w:r/>
      <w:r>
        <w:t>A serpente ardente era uma figura de cobra de bronze que Moisés fez para curar os israelitas. Quando o povo de Israel reclamou contra Deus e Moisés durante sua jornada pelo deserto, Deus enviou cobras venenosas como punição. Muitos dos israelitas morreram das mordidas das cobras (</w:t>
      </w:r>
      <w:hyperlink r:id="rId5084">
        <w:r>
          <w:rPr>
            <w:color w:val="0000EE"/>
            <w:u w:val="single"/>
          </w:rPr>
          <w:t>Nm 21.4–9</w:t>
        </w:r>
      </w:hyperlink>
      <w:r>
        <w:t>).</w:t>
      </w:r>
    </w:p>
    <w:p>
      <w:r/>
      <w:r>
        <w:t>O povo reconheceu seu pecado e pediu a Moisés que orasse por eles. Deus instruiu Moisés a fazer uma serpente ardente (de bronze) e colocá-la em um poste. Qualquer pessoa que fosse mordida poderia olhar para a serpente de bronze e ser curada.</w:t>
      </w:r>
    </w:p>
    <w:p>
      <w:r/>
      <w:r>
        <w:t>Jesus Cristo fez referência a esta história como um símbolo do poder salvador da sua crucificação. Ele disse que assim como Moisés levantou a serpente no deserto, ele seria levantado (na cruz), e todos que acreditassem nele teriam a vida eterna (</w:t>
      </w:r>
      <w:hyperlink r:id="rId15457">
        <w:r>
          <w:rPr>
            <w:color w:val="0000EE"/>
            <w:u w:val="single"/>
          </w:rPr>
          <w:t>Jo 3.14–15</w:t>
        </w:r>
      </w:hyperlink>
      <w:r>
        <w:t>). O apóstolo Paulo também usou esta história como um aviso para os cristãos não testarem a Deus como os israelitas fizeram (</w:t>
      </w:r>
      <w:hyperlink r:id="rId5088">
        <w:r>
          <w:rPr>
            <w:color w:val="0000EE"/>
            <w:u w:val="single"/>
          </w:rPr>
          <w:t>1Co 10.9</w:t>
        </w:r>
      </w:hyperlink>
      <w:r>
        <w:t>).</w:t>
      </w:r>
    </w:p>
    <w:p>
      <w:r/>
      <w:r>
        <w:rPr>
          <w:i/>
        </w:rPr>
        <w:t>Veja também</w:t>
      </w:r>
      <w:r>
        <w:t xml:space="preserve"> </w:t>
      </w:r>
      <w:r>
        <w:t>Serpente de bronze, Cobra de bronze</w:t>
      </w:r>
      <w:r>
        <w:t>.</w:t>
      </w:r>
      <w:r/>
      <w:r/>
    </w:p>
    <w:p>
      <w:r/>
    </w:p>
    <w:p>
      <w:pPr>
        <w:pStyle w:val="Heading2"/>
      </w:pPr>
      <w:r>
        <w:t>Serugue</w:t>
      </w:r>
      <w:r/>
    </w:p>
    <w:p>
      <w:r/>
      <w:r>
        <w:t>Filho de Reú da linhagem de Sem (</w:t>
      </w:r>
      <w:hyperlink r:id="rId19412">
        <w:r>
          <w:rPr>
            <w:color w:val="0000EE"/>
            <w:u w:val="single"/>
          </w:rPr>
          <w:t>Gn 11.20–23</w:t>
        </w:r>
      </w:hyperlink>
      <w:r>
        <w:t>). Ele é um antepassado de Abraão e um ancestral de Jesus Cristo (</w:t>
      </w:r>
      <w:hyperlink r:id="rId7530">
        <w:r>
          <w:rPr>
            <w:color w:val="0000EE"/>
            <w:u w:val="single"/>
          </w:rPr>
          <w:t>Lc 3.35</w:t>
        </w:r>
      </w:hyperlink>
      <w:r>
        <w:t>).</w:t>
      </w:r>
    </w:p>
    <w:p>
      <w:r/>
      <w:r>
        <w:rPr>
          <w:i/>
        </w:rPr>
        <w:t>Veja</w:t>
      </w:r>
      <w:r>
        <w:t xml:space="preserve"> </w:t>
      </w:r>
      <w:r>
        <w:t>Ancestralidade de Jesus Cristo</w:t>
      </w:r>
      <w:r>
        <w:t>.</w:t>
      </w:r>
      <w:r/>
      <w:r/>
    </w:p>
    <w:p>
      <w:r/>
    </w:p>
    <w:p>
      <w:pPr>
        <w:pStyle w:val="Heading2"/>
      </w:pPr>
      <w:r>
        <w:t>Servidão</w:t>
      </w:r>
      <w:r/>
    </w:p>
    <w:p>
      <w:r/>
      <w:r>
        <w:t>Servidão significa ser controlado ou restringido por alguém ou algo. Quando alguém está em servidão, perde sua liberdade e muitas vezes se torna como um escravo. As palavras hebraicas e gregas traduzidas como “estar preso a” ou “servidão” significam “uma perda de liberdade”. Essa ideia está relacionada a servir ou ser escravo de outra pessoa.</w:t>
      </w:r>
    </w:p>
    <w:p>
      <w:pPr>
        <w:pStyle w:val="Heading3"/>
      </w:pPr>
      <w:r>
        <w:t>Servidão no Antigo Testamento</w:t>
      </w:r>
    </w:p>
    <w:p>
      <w:r/>
      <w:r>
        <w:t>O Antigo Testamento utiliza várias palavras para servidão para descrever períodos em que os israelitas foram escravos. Isso inclui o período no Egito, bem como na Babilônia e na Pérsia. Algumas versões em português da Bíblia usam a palavra "vínculo" para descrever uma condição de escravidão individual. Um exemplo são as leis que Moisés deu que permitem a uma pessoa escolher se tornar escrava (</w:t>
      </w:r>
      <w:hyperlink r:id="rId19413">
        <w:r>
          <w:rPr>
            <w:color w:val="0000EE"/>
            <w:u w:val="single"/>
          </w:rPr>
          <w:t>Lv 25.39–44</w:t>
        </w:r>
      </w:hyperlink>
      <w:r>
        <w:t>). O antigo termo "serva" é usado para descrever uma amante ou esposa secundária. A ideia de servidão também é usada para descrever o controle que Deus tem sobre as nações do mundo (</w:t>
      </w:r>
      <w:hyperlink r:id="rId19414">
        <w:r>
          <w:rPr>
            <w:color w:val="0000EE"/>
            <w:u w:val="single"/>
          </w:rPr>
          <w:t>Sl 2.3</w:t>
        </w:r>
      </w:hyperlink>
      <w:r>
        <w:t>).</w:t>
      </w:r>
    </w:p>
    <w:p>
      <w:pPr>
        <w:pStyle w:val="Heading3"/>
      </w:pPr>
      <w:r>
        <w:t>Servidão no Novo Testamento</w:t>
      </w:r>
    </w:p>
    <w:p>
      <w:r/>
      <w:r>
        <w:t>No Novo Testamento, o termo escravidão é usado como uma metáfora com aspectos positivos e negativos. Negativamente, indica sujeição espiritual:</w:t>
      </w:r>
    </w:p>
    <w:p>
      <w:pPr>
        <w:pStyle w:val="ListBullet"/>
        <w:spacing w:line="240" w:lineRule="auto"/>
        <w:ind w:left="720"/>
      </w:pPr>
      <w:r/>
      <w:r>
        <w:t>ao pecado ou a Satanás (</w:t>
      </w:r>
      <w:hyperlink r:id="rId14828">
        <w:r>
          <w:rPr>
            <w:color w:val="0000EE"/>
            <w:u w:val="single"/>
          </w:rPr>
          <w:t>Hb 2.14–15</w:t>
        </w:r>
      </w:hyperlink>
      <w:r>
        <w:t xml:space="preserve">; </w:t>
      </w:r>
      <w:hyperlink r:id="rId19415">
        <w:r>
          <w:rPr>
            <w:color w:val="0000EE"/>
            <w:u w:val="single"/>
          </w:rPr>
          <w:t>2Pe 2.19</w:t>
        </w:r>
      </w:hyperlink>
      <w:r>
        <w:t>),</w:t>
      </w:r>
    </w:p>
    <w:p>
      <w:pPr>
        <w:pStyle w:val="ListBullet"/>
        <w:spacing w:line="240" w:lineRule="auto"/>
        <w:ind w:left="720"/>
      </w:pPr>
      <w:r/>
      <w:r>
        <w:t>a carne (</w:t>
      </w:r>
      <w:hyperlink r:id="rId19416">
        <w:r>
          <w:rPr>
            <w:color w:val="0000EE"/>
            <w:u w:val="single"/>
          </w:rPr>
          <w:t>Rm 8.12–14</w:t>
        </w:r>
      </w:hyperlink>
      <w:r>
        <w:t>), ou</w:t>
      </w:r>
    </w:p>
    <w:p>
      <w:pPr>
        <w:pStyle w:val="ListBullet"/>
        <w:spacing w:line="240" w:lineRule="auto"/>
        <w:ind w:left="720"/>
      </w:pPr>
      <w:r/>
      <w:r>
        <w:t>a Lei (</w:t>
      </w:r>
      <w:hyperlink r:id="rId12991">
        <w:r>
          <w:rPr>
            <w:color w:val="0000EE"/>
            <w:u w:val="single"/>
          </w:rPr>
          <w:t>Gl 2.4</w:t>
        </w:r>
      </w:hyperlink>
      <w:r>
        <w:t xml:space="preserve">; </w:t>
      </w:r>
      <w:hyperlink r:id="rId9142">
        <w:r>
          <w:rPr>
            <w:color w:val="0000EE"/>
            <w:u w:val="single"/>
          </w:rPr>
          <w:t>5.1</w:t>
        </w:r>
      </w:hyperlink>
      <w:r>
        <w:t>).</w:t>
      </w:r>
    </w:p>
    <w:p>
      <w:r/>
      <w:r>
        <w:t>Os seres humanos tornam-se servos quando forças hostis controlam suas ações. O apóstolo Paulo também ilustra a ideia de servidão ao descrever como a criação está sujeita à decadência física (</w:t>
      </w:r>
      <w:hyperlink r:id="rId10061">
        <w:r>
          <w:rPr>
            <w:color w:val="0000EE"/>
            <w:u w:val="single"/>
          </w:rPr>
          <w:t>Rm 8.21</w:t>
        </w:r>
      </w:hyperlink>
      <w:r>
        <w:t>). Este é o resultado do pecado humano.</w:t>
      </w:r>
    </w:p>
    <w:p>
      <w:pPr>
        <w:pStyle w:val="Heading3"/>
      </w:pPr>
      <w:r>
        <w:t>Ideias positivas sobre servidão</w:t>
      </w:r>
    </w:p>
    <w:p>
      <w:r/>
      <w:r>
        <w:t>Positivamente, o uso do termo servidão (ou, escravidão) na Bíblia indica ser um servo. Isso é especialmente verdadeiro ao descrever o serviço a Deus como uma obrigação ou voto (</w:t>
      </w:r>
      <w:hyperlink r:id="rId19417">
        <w:r>
          <w:rPr>
            <w:color w:val="0000EE"/>
            <w:u w:val="single"/>
          </w:rPr>
          <w:t>Nm 30.2–15</w:t>
        </w:r>
      </w:hyperlink>
      <w:r>
        <w:t xml:space="preserve">; </w:t>
      </w:r>
      <w:hyperlink r:id="rId19418">
        <w:r>
          <w:rPr>
            <w:color w:val="0000EE"/>
            <w:u w:val="single"/>
          </w:rPr>
          <w:t>Ez 20.37</w:t>
        </w:r>
      </w:hyperlink>
      <w:r>
        <w:t>). Escravidão também pode representar a necessidade e o valor do sofrimento (</w:t>
      </w:r>
      <w:hyperlink r:id="rId10385">
        <w:r>
          <w:rPr>
            <w:color w:val="0000EE"/>
            <w:u w:val="single"/>
          </w:rPr>
          <w:t>Hb 10.34</w:t>
        </w:r>
      </w:hyperlink>
      <w:r>
        <w:t xml:space="preserve">; </w:t>
      </w:r>
      <w:hyperlink r:id="rId19419">
        <w:r>
          <w:rPr>
            <w:color w:val="0000EE"/>
            <w:u w:val="single"/>
          </w:rPr>
          <w:t>13.3</w:t>
        </w:r>
      </w:hyperlink>
      <w:r>
        <w:t>). O apóstolo Paulo usa esse termo de duas maneiras ao se chamar de “prisioneiro de Cristo”. Ele diz isso para demonstrar a conexão de seus laços físicos com sua escravidão espiritual a Cristo (</w:t>
      </w:r>
      <w:hyperlink r:id="rId5115">
        <w:r>
          <w:rPr>
            <w:color w:val="0000EE"/>
            <w:u w:val="single"/>
          </w:rPr>
          <w:t>Ef 3.1</w:t>
        </w:r>
      </w:hyperlink>
      <w:r>
        <w:t xml:space="preserve">; </w:t>
      </w:r>
      <w:hyperlink r:id="rId19420">
        <w:r>
          <w:rPr>
            <w:color w:val="0000EE"/>
            <w:u w:val="single"/>
          </w:rPr>
          <w:t>Fp 1.7–14</w:t>
        </w:r>
      </w:hyperlink>
      <w:r>
        <w:t xml:space="preserve">; </w:t>
      </w:r>
      <w:hyperlink r:id="rId17290">
        <w:r>
          <w:rPr>
            <w:color w:val="0000EE"/>
            <w:u w:val="single"/>
          </w:rPr>
          <w:t>2Tm 1.8</w:t>
        </w:r>
      </w:hyperlink>
      <w:r>
        <w:t xml:space="preserve">; </w:t>
      </w:r>
      <w:hyperlink r:id="rId6294">
        <w:r>
          <w:rPr>
            <w:color w:val="0000EE"/>
            <w:u w:val="single"/>
          </w:rPr>
          <w:t>2.9</w:t>
        </w:r>
      </w:hyperlink>
      <w:r>
        <w:t xml:space="preserve">; </w:t>
      </w:r>
      <w:hyperlink r:id="rId19421">
        <w:r>
          <w:rPr>
            <w:color w:val="0000EE"/>
            <w:u w:val="single"/>
          </w:rPr>
          <w:t>Fm1.9–10,13</w:t>
        </w:r>
      </w:hyperlink>
      <w:r>
        <w:t>).</w:t>
      </w:r>
    </w:p>
    <w:p>
      <w:r/>
      <w:r>
        <w:rPr>
          <w:i/>
        </w:rPr>
        <w:t>Veja também</w:t>
      </w:r>
      <w:r>
        <w:t xml:space="preserve"> </w:t>
      </w:r>
      <w:r>
        <w:t>Escravo, Escravidão</w:t>
      </w:r>
      <w:r>
        <w:t>.</w:t>
      </w:r>
      <w:r/>
      <w:r/>
    </w:p>
    <w:p>
      <w:r/>
    </w:p>
    <w:p>
      <w:pPr>
        <w:pStyle w:val="Heading2"/>
      </w:pPr>
      <w:r>
        <w:t>Servo</w:t>
      </w:r>
      <w:r/>
    </w:p>
    <w:p>
      <w:r/>
      <w:r>
        <w:t>Uma pessoa sob a obrigação de servir a um mestre, que, por sua vez, forneceria uma medida de proteção. Alguns servos eram escravos sob escravos legais. Outros eram servos voluntariamente. Nem sempre é possível distinguir entre “servo”, “escravo” e “serviçal” (homem ou mulher). Várias palavras em hebraico e grego foram traduzidas como “servo”, embora traduções mais recentes às vezes prefiram outras palavras.</w:t>
      </w:r>
    </w:p>
    <w:p>
      <w:r/>
      <w:r>
        <w:t>A palavra hebraica para “menino”, “jovem” ou “menino” muitas vezes significa servo (</w:t>
      </w:r>
      <w:hyperlink r:id="rId15322">
        <w:r>
          <w:rPr>
            <w:color w:val="0000EE"/>
            <w:u w:val="single"/>
          </w:rPr>
          <w:t>Êxodo 33.11</w:t>
        </w:r>
      </w:hyperlink>
      <w:r>
        <w:t xml:space="preserve">; </w:t>
      </w:r>
      <w:hyperlink r:id="rId2968">
        <w:r>
          <w:rPr>
            <w:color w:val="0000EE"/>
            <w:u w:val="single"/>
          </w:rPr>
          <w:t>Números 22.22</w:t>
        </w:r>
      </w:hyperlink>
      <w:r>
        <w:t xml:space="preserve">; </w:t>
      </w:r>
      <w:hyperlink r:id="rId19422">
        <w:r>
          <w:rPr>
            <w:color w:val="0000EE"/>
            <w:u w:val="single"/>
          </w:rPr>
          <w:t>2 Reis 4.12</w:t>
        </w:r>
      </w:hyperlink>
      <w:r>
        <w:t>). Uma palavra que significa “servo nascido livre” se referia aos servos do Senhor, como os levitas (</w:t>
      </w:r>
      <w:hyperlink r:id="rId19423">
        <w:r>
          <w:rPr>
            <w:color w:val="0000EE"/>
            <w:u w:val="single"/>
          </w:rPr>
          <w:t>Esdras 8.17</w:t>
        </w:r>
      </w:hyperlink>
      <w:r>
        <w:t xml:space="preserve">; </w:t>
      </w:r>
      <w:hyperlink r:id="rId19424">
        <w:r>
          <w:rPr>
            <w:color w:val="0000EE"/>
            <w:u w:val="single"/>
          </w:rPr>
          <w:t>Isaías 61.6</w:t>
        </w:r>
      </w:hyperlink>
      <w:r>
        <w:t xml:space="preserve">; </w:t>
      </w:r>
      <w:hyperlink r:id="rId19425">
        <w:r>
          <w:rPr>
            <w:color w:val="0000EE"/>
            <w:u w:val="single"/>
          </w:rPr>
          <w:t>Esdras 44.11</w:t>
        </w:r>
      </w:hyperlink>
      <w:r>
        <w:t>) ou sacerdotes (</w:t>
      </w:r>
      <w:hyperlink r:id="rId19426">
        <w:r>
          <w:rPr>
            <w:color w:val="0000EE"/>
            <w:u w:val="single"/>
          </w:rPr>
          <w:t>Êxodo 28.35</w:t>
        </w:r>
      </w:hyperlink>
      <w:r>
        <w:t xml:space="preserve">; </w:t>
      </w:r>
      <w:hyperlink r:id="rId19427">
        <w:r>
          <w:rPr>
            <w:color w:val="0000EE"/>
            <w:u w:val="single"/>
          </w:rPr>
          <w:t>Joel 1.9</w:t>
        </w:r>
      </w:hyperlink>
      <w:r>
        <w:t xml:space="preserve">; </w:t>
      </w:r>
      <w:hyperlink r:id="rId19428">
        <w:r>
          <w:rPr>
            <w:color w:val="0000EE"/>
            <w:u w:val="single"/>
          </w:rPr>
          <w:t>2.17</w:t>
        </w:r>
      </w:hyperlink>
      <w:r>
        <w:t>). Às vezes, os ministros do rei são chamados de servos (</w:t>
      </w:r>
      <w:hyperlink r:id="rId4898">
        <w:r>
          <w:rPr>
            <w:color w:val="0000EE"/>
            <w:u w:val="single"/>
          </w:rPr>
          <w:t>1 Crônicas 27.1</w:t>
        </w:r>
      </w:hyperlink>
      <w:r>
        <w:t xml:space="preserve">; </w:t>
      </w:r>
      <w:hyperlink r:id="rId19429">
        <w:r>
          <w:rPr>
            <w:color w:val="0000EE"/>
            <w:u w:val="single"/>
          </w:rPr>
          <w:t>Provérbios 29.12</w:t>
        </w:r>
      </w:hyperlink>
      <w:r>
        <w:t>), assim como os anjos que ministram diante do Senhor (</w:t>
      </w:r>
      <w:hyperlink r:id="rId10778">
        <w:r>
          <w:rPr>
            <w:color w:val="0000EE"/>
            <w:u w:val="single"/>
          </w:rPr>
          <w:t>Salmos 103.21</w:t>
        </w:r>
      </w:hyperlink>
      <w:r>
        <w:t xml:space="preserve">; </w:t>
      </w:r>
      <w:hyperlink r:id="rId19430">
        <w:r>
          <w:rPr>
            <w:color w:val="0000EE"/>
            <w:u w:val="single"/>
          </w:rPr>
          <w:t>104.4</w:t>
        </w:r>
      </w:hyperlink>
      <w:r>
        <w:t>). O servo contratado ou assalariado também era considerado uma pessoa livre (</w:t>
      </w:r>
      <w:hyperlink r:id="rId19431">
        <w:r>
          <w:rPr>
            <w:color w:val="0000EE"/>
            <w:u w:val="single"/>
          </w:rPr>
          <w:t>Êxodo 12.45</w:t>
        </w:r>
      </w:hyperlink>
      <w:r>
        <w:t xml:space="preserve">; </w:t>
      </w:r>
      <w:hyperlink r:id="rId19432">
        <w:r>
          <w:rPr>
            <w:color w:val="0000EE"/>
            <w:u w:val="single"/>
          </w:rPr>
          <w:t>Jó 7.1</w:t>
        </w:r>
      </w:hyperlink>
      <w:r>
        <w:t xml:space="preserve">; </w:t>
      </w:r>
      <w:hyperlink r:id="rId450">
        <w:r>
          <w:rPr>
            <w:color w:val="0000EE"/>
            <w:u w:val="single"/>
          </w:rPr>
          <w:t>Malaquias 3.5</w:t>
        </w:r>
      </w:hyperlink>
      <w:r>
        <w:t>).</w:t>
      </w:r>
    </w:p>
    <w:p>
      <w:r/>
      <w:r>
        <w:t>O termo hebraico mais comum, ocorrendo quase 800 vezes no Antigo Testamento, significa um escravo mantido em escravidão (</w:t>
      </w:r>
      <w:hyperlink r:id="rId13643">
        <w:r>
          <w:rPr>
            <w:color w:val="0000EE"/>
            <w:u w:val="single"/>
          </w:rPr>
          <w:t>Gênesis 9.25</w:t>
        </w:r>
      </w:hyperlink>
      <w:r>
        <w:t xml:space="preserve">; </w:t>
      </w:r>
      <w:hyperlink r:id="rId1504">
        <w:r>
          <w:rPr>
            <w:color w:val="0000EE"/>
            <w:u w:val="single"/>
          </w:rPr>
          <w:t>12.16</w:t>
        </w:r>
      </w:hyperlink>
      <w:r>
        <w:t xml:space="preserve">; </w:t>
      </w:r>
      <w:hyperlink r:id="rId1569">
        <w:r>
          <w:rPr>
            <w:color w:val="0000EE"/>
            <w:u w:val="single"/>
          </w:rPr>
          <w:t>Êxodo 20.17</w:t>
        </w:r>
      </w:hyperlink>
      <w:r>
        <w:t xml:space="preserve">; </w:t>
      </w:r>
      <w:hyperlink r:id="rId13737">
        <w:r>
          <w:rPr>
            <w:color w:val="0000EE"/>
            <w:u w:val="single"/>
          </w:rPr>
          <w:t>Deuteronômio 5.15</w:t>
        </w:r>
      </w:hyperlink>
      <w:r>
        <w:t xml:space="preserve">; </w:t>
      </w:r>
      <w:hyperlink r:id="rId19433">
        <w:r>
          <w:rPr>
            <w:color w:val="0000EE"/>
            <w:u w:val="single"/>
          </w:rPr>
          <w:t>15.17</w:t>
        </w:r>
      </w:hyperlink>
      <w:r>
        <w:t>). No entanto, a mesma palavra é usada para pessoas de posição nobre, como ministros e conselheiros do rei (</w:t>
      </w:r>
      <w:hyperlink r:id="rId8186">
        <w:r>
          <w:rPr>
            <w:color w:val="0000EE"/>
            <w:u w:val="single"/>
          </w:rPr>
          <w:t>2 Reis 22.12</w:t>
        </w:r>
      </w:hyperlink>
      <w:r>
        <w:t xml:space="preserve">; </w:t>
      </w:r>
      <w:hyperlink r:id="rId254">
        <w:r>
          <w:rPr>
            <w:color w:val="0000EE"/>
            <w:u w:val="single"/>
          </w:rPr>
          <w:t>2 Crônicas 34.20</w:t>
        </w:r>
      </w:hyperlink>
      <w:r>
        <w:t xml:space="preserve">; </w:t>
      </w:r>
      <w:hyperlink r:id="rId19434">
        <w:r>
          <w:rPr>
            <w:color w:val="0000EE"/>
            <w:u w:val="single"/>
          </w:rPr>
          <w:t>Neemias 2.10</w:t>
        </w:r>
      </w:hyperlink>
      <w:r>
        <w:t>) ou um servo de Deus (</w:t>
      </w:r>
      <w:hyperlink r:id="rId19435">
        <w:r>
          <w:rPr>
            <w:color w:val="0000EE"/>
            <w:u w:val="single"/>
          </w:rPr>
          <w:t>Gênesis 24.14</w:t>
        </w:r>
      </w:hyperlink>
      <w:r>
        <w:t xml:space="preserve">; </w:t>
      </w:r>
      <w:hyperlink r:id="rId19436">
        <w:r>
          <w:rPr>
            <w:color w:val="0000EE"/>
            <w:u w:val="single"/>
          </w:rPr>
          <w:t>Números 12.7</w:t>
        </w:r>
      </w:hyperlink>
      <w:r>
        <w:t xml:space="preserve">; </w:t>
      </w:r>
      <w:hyperlink r:id="rId19437">
        <w:r>
          <w:rPr>
            <w:color w:val="0000EE"/>
            <w:u w:val="single"/>
          </w:rPr>
          <w:t>Josué 1.7</w:t>
        </w:r>
      </w:hyperlink>
      <w:r>
        <w:t xml:space="preserve">; </w:t>
      </w:r>
      <w:hyperlink r:id="rId19438">
        <w:r>
          <w:rPr>
            <w:color w:val="0000EE"/>
            <w:u w:val="single"/>
          </w:rPr>
          <w:t>2Reis 21.8</w:t>
        </w:r>
      </w:hyperlink>
      <w:r>
        <w:t>), em expressões como “Moisés, meu servo” [ou também Davi, Isaías, Israel, Jó e assim por diante]. Uma das expressões mais nobres é “o servo de Yahweh [o Senhor]” (</w:t>
      </w:r>
      <w:hyperlink r:id="rId19439">
        <w:r>
          <w:rPr>
            <w:color w:val="0000EE"/>
            <w:u w:val="single"/>
          </w:rPr>
          <w:t>Deuteronômio 34.5</w:t>
        </w:r>
      </w:hyperlink>
      <w:r>
        <w:t xml:space="preserve">; </w:t>
      </w:r>
      <w:hyperlink r:id="rId19440">
        <w:r>
          <w:rPr>
            <w:color w:val="0000EE"/>
            <w:u w:val="single"/>
          </w:rPr>
          <w:t>Josué 1.13</w:t>
        </w:r>
      </w:hyperlink>
      <w:r>
        <w:t xml:space="preserve">; </w:t>
      </w:r>
      <w:hyperlink r:id="rId19441">
        <w:r>
          <w:rPr>
            <w:color w:val="0000EE"/>
            <w:u w:val="single"/>
          </w:rPr>
          <w:t>8.31–33</w:t>
        </w:r>
      </w:hyperlink>
      <w:r>
        <w:t xml:space="preserve">; </w:t>
      </w:r>
      <w:hyperlink r:id="rId10891">
        <w:r>
          <w:rPr>
            <w:color w:val="0000EE"/>
            <w:u w:val="single"/>
          </w:rPr>
          <w:t>Isaías 49.1</w:t>
        </w:r>
      </w:hyperlink>
      <w:r>
        <w:t>–</w:t>
      </w:r>
      <w:hyperlink r:id="rId10891">
        <w:r>
          <w:rPr>
            <w:color w:val="0000EE"/>
            <w:u w:val="single"/>
          </w:rPr>
          <w:t>6</w:t>
        </w:r>
      </w:hyperlink>
      <w:r>
        <w:t xml:space="preserve">; </w:t>
      </w:r>
      <w:hyperlink r:id="rId19442">
        <w:r>
          <w:rPr>
            <w:color w:val="0000EE"/>
            <w:u w:val="single"/>
          </w:rPr>
          <w:t>50.4</w:t>
        </w:r>
      </w:hyperlink>
      <w:r>
        <w:t>–</w:t>
      </w:r>
      <w:hyperlink r:id="rId19442">
        <w:r>
          <w:rPr>
            <w:color w:val="0000EE"/>
            <w:u w:val="single"/>
          </w:rPr>
          <w:t>9</w:t>
        </w:r>
      </w:hyperlink>
      <w:r>
        <w:t xml:space="preserve">; </w:t>
      </w:r>
      <w:hyperlink r:id="rId3610">
        <w:r>
          <w:rPr>
            <w:color w:val="0000EE"/>
            <w:u w:val="single"/>
          </w:rPr>
          <w:t>52.13–53.12</w:t>
        </w:r>
      </w:hyperlink>
      <w:r>
        <w:t>). O nome próprio Obadias significa “servo de Yahweh”.</w:t>
      </w:r>
    </w:p>
    <w:p>
      <w:r/>
      <w:r>
        <w:t>O Novo Testamento define de forma variada como servo contratado ou assalariado (</w:t>
      </w:r>
      <w:hyperlink r:id="rId16666">
        <w:r>
          <w:rPr>
            <w:color w:val="0000EE"/>
            <w:u w:val="single"/>
          </w:rPr>
          <w:t>Marcos 1.20</w:t>
        </w:r>
      </w:hyperlink>
      <w:r>
        <w:t xml:space="preserve">; </w:t>
      </w:r>
      <w:hyperlink r:id="rId19443">
        <w:r>
          <w:rPr>
            <w:color w:val="0000EE"/>
            <w:u w:val="single"/>
          </w:rPr>
          <w:t>Lucas 15.17</w:t>
        </w:r>
      </w:hyperlink>
      <w:r>
        <w:t>–</w:t>
      </w:r>
      <w:hyperlink r:id="rId19443">
        <w:r>
          <w:rPr>
            <w:color w:val="0000EE"/>
            <w:u w:val="single"/>
          </w:rPr>
          <w:t>19</w:t>
        </w:r>
      </w:hyperlink>
      <w:r>
        <w:t xml:space="preserve">; </w:t>
      </w:r>
      <w:hyperlink r:id="rId19444">
        <w:r>
          <w:rPr>
            <w:color w:val="0000EE"/>
            <w:u w:val="single"/>
          </w:rPr>
          <w:t>João 10.12</w:t>
        </w:r>
      </w:hyperlink>
      <w:r>
        <w:t>–</w:t>
      </w:r>
      <w:hyperlink r:id="rId19444">
        <w:r>
          <w:rPr>
            <w:color w:val="0000EE"/>
            <w:u w:val="single"/>
          </w:rPr>
          <w:t>14</w:t>
        </w:r>
      </w:hyperlink>
      <w:r>
        <w:t>), mais amplamente como um escravo (</w:t>
      </w:r>
      <w:hyperlink r:id="rId17529">
        <w:r>
          <w:rPr>
            <w:color w:val="0000EE"/>
            <w:u w:val="single"/>
          </w:rPr>
          <w:t>Mateus 8.9</w:t>
        </w:r>
      </w:hyperlink>
      <w:r>
        <w:t xml:space="preserve">; </w:t>
      </w:r>
      <w:hyperlink r:id="rId19445">
        <w:r>
          <w:rPr>
            <w:color w:val="0000EE"/>
            <w:u w:val="single"/>
          </w:rPr>
          <w:t>10.24</w:t>
        </w:r>
      </w:hyperlink>
      <w:r>
        <w:t>–</w:t>
      </w:r>
      <w:hyperlink r:id="rId19445">
        <w:r>
          <w:rPr>
            <w:color w:val="0000EE"/>
            <w:u w:val="single"/>
          </w:rPr>
          <w:t>25</w:t>
        </w:r>
      </w:hyperlink>
      <w:r>
        <w:t xml:space="preserve">; </w:t>
      </w:r>
      <w:hyperlink r:id="rId19446">
        <w:r>
          <w:rPr>
            <w:color w:val="0000EE"/>
            <w:u w:val="single"/>
          </w:rPr>
          <w:t>13.27</w:t>
        </w:r>
      </w:hyperlink>
      <w:r>
        <w:t>–</w:t>
      </w:r>
      <w:hyperlink r:id="rId19446">
        <w:r>
          <w:rPr>
            <w:color w:val="0000EE"/>
            <w:u w:val="single"/>
          </w:rPr>
          <w:t>28</w:t>
        </w:r>
      </w:hyperlink>
      <w:r>
        <w:t xml:space="preserve">; </w:t>
      </w:r>
      <w:hyperlink r:id="rId16754">
        <w:r>
          <w:rPr>
            <w:color w:val="0000EE"/>
            <w:u w:val="single"/>
          </w:rPr>
          <w:t>Marcos 10.44</w:t>
        </w:r>
      </w:hyperlink>
      <w:r>
        <w:t xml:space="preserve">; </w:t>
      </w:r>
      <w:hyperlink r:id="rId19447">
        <w:r>
          <w:rPr>
            <w:color w:val="0000EE"/>
            <w:u w:val="single"/>
          </w:rPr>
          <w:t>12.2</w:t>
        </w:r>
      </w:hyperlink>
      <w:r>
        <w:t>–</w:t>
      </w:r>
      <w:hyperlink r:id="rId19447">
        <w:r>
          <w:rPr>
            <w:color w:val="0000EE"/>
            <w:u w:val="single"/>
          </w:rPr>
          <w:t>4</w:t>
        </w:r>
      </w:hyperlink>
      <w:r>
        <w:t xml:space="preserve">; </w:t>
      </w:r>
      <w:hyperlink r:id="rId19448">
        <w:r>
          <w:rPr>
            <w:color w:val="0000EE"/>
            <w:u w:val="single"/>
          </w:rPr>
          <w:t>Lucas 7.2</w:t>
        </w:r>
      </w:hyperlink>
      <w:r>
        <w:t>–</w:t>
      </w:r>
      <w:hyperlink r:id="rId19448">
        <w:r>
          <w:rPr>
            <w:color w:val="0000EE"/>
            <w:u w:val="single"/>
          </w:rPr>
          <w:t>3, 8</w:t>
        </w:r>
      </w:hyperlink>
      <w:r>
        <w:t>–</w:t>
      </w:r>
      <w:hyperlink r:id="rId19448">
        <w:r>
          <w:rPr>
            <w:color w:val="0000EE"/>
            <w:u w:val="single"/>
          </w:rPr>
          <w:t>10</w:t>
        </w:r>
      </w:hyperlink>
      <w:r>
        <w:t xml:space="preserve">; </w:t>
      </w:r>
      <w:hyperlink r:id="rId19449">
        <w:r>
          <w:rPr>
            <w:color w:val="0000EE"/>
            <w:u w:val="single"/>
          </w:rPr>
          <w:t>João 4.51</w:t>
        </w:r>
      </w:hyperlink>
      <w:r>
        <w:t xml:space="preserve">; </w:t>
      </w:r>
      <w:hyperlink r:id="rId7393">
        <w:r>
          <w:rPr>
            <w:color w:val="0000EE"/>
            <w:u w:val="single"/>
          </w:rPr>
          <w:t>8.34</w:t>
        </w:r>
      </w:hyperlink>
      <w:r>
        <w:t xml:space="preserve">; </w:t>
      </w:r>
      <w:hyperlink r:id="rId19450">
        <w:r>
          <w:rPr>
            <w:color w:val="0000EE"/>
            <w:u w:val="single"/>
          </w:rPr>
          <w:t>13.16</w:t>
        </w:r>
      </w:hyperlink>
      <w:r>
        <w:t xml:space="preserve">; </w:t>
      </w:r>
      <w:hyperlink r:id="rId4294">
        <w:r>
          <w:rPr>
            <w:color w:val="0000EE"/>
            <w:u w:val="single"/>
          </w:rPr>
          <w:t>Efésios 6.5</w:t>
        </w:r>
      </w:hyperlink>
      <w:r>
        <w:t xml:space="preserve">; </w:t>
      </w:r>
      <w:hyperlink r:id="rId5148">
        <w:r>
          <w:rPr>
            <w:color w:val="0000EE"/>
            <w:u w:val="single"/>
          </w:rPr>
          <w:t>Colossenses 1.7</w:t>
        </w:r>
      </w:hyperlink>
      <w:r>
        <w:t>), e também como um servo doméstico (</w:t>
      </w:r>
      <w:hyperlink r:id="rId19451">
        <w:r>
          <w:rPr>
            <w:color w:val="0000EE"/>
            <w:u w:val="single"/>
          </w:rPr>
          <w:t>Lucas 16.13</w:t>
        </w:r>
      </w:hyperlink>
      <w:r>
        <w:t>).</w:t>
      </w:r>
    </w:p>
    <w:p>
      <w:r/>
      <w:r>
        <w:rPr>
          <w:i/>
        </w:rPr>
        <w:t>Ver também</w:t>
      </w:r>
      <w:r>
        <w:t xml:space="preserve"> </w:t>
      </w:r>
      <w:r>
        <w:t>Escravo, Escravidão</w:t>
      </w:r>
      <w:r>
        <w:t>.</w:t>
      </w:r>
      <w:r/>
      <w:r/>
    </w:p>
    <w:p>
      <w:r/>
    </w:p>
    <w:p>
      <w:pPr>
        <w:pStyle w:val="Heading2"/>
      </w:pPr>
      <w:r>
        <w:t>Servo Do Senhor</w:t>
      </w:r>
      <w:r/>
    </w:p>
    <w:p>
      <w:r/>
      <w:r>
        <w:t>Título aplicado a uma variedade de pessoas na Bíblia. O termo básico, “servo”, cobre uma gama de significados. Usado cerca de 800 vezes apenas no AT, “servo” se refere a um escravo, a um oficial perto do rei, ou ao líder escolhido do povo de Deus.</w:t>
      </w:r>
    </w:p>
    <w:p>
      <w:r/>
      <w:hyperlink r:id="rId19452">
        <w:r>
          <w:rPr>
            <w:color w:val="0000EE"/>
            <w:u w:val="single"/>
          </w:rPr>
          <w:t>Isaías 41.8–9</w:t>
        </w:r>
      </w:hyperlink>
      <w:r>
        <w:t xml:space="preserve"> define esta maior servidão como algo concedido pela graça de Deus: “Mas tu, ó Israel, servo meu, tu Jacó, a quem elegi . . . ; tu, a quem tomei desde os confins da terra e te chamei dentre os seus mais excelentes e te disse: 'tu és o meu servo . . . ' ” (ARC). Este título é assim aplicável aos heróis da fé e ação — aos patriarcas (</w:t>
      </w:r>
      <w:hyperlink r:id="rId19453">
        <w:r>
          <w:rPr>
            <w:color w:val="0000EE"/>
            <w:u w:val="single"/>
          </w:rPr>
          <w:t>Gn 26.24</w:t>
        </w:r>
      </w:hyperlink>
      <w:r>
        <w:t xml:space="preserve">; </w:t>
      </w:r>
      <w:hyperlink r:id="rId19454">
        <w:r>
          <w:rPr>
            <w:color w:val="0000EE"/>
            <w:u w:val="single"/>
          </w:rPr>
          <w:t>Ez 28.25</w:t>
        </w:r>
      </w:hyperlink>
      <w:r>
        <w:t xml:space="preserve">; </w:t>
      </w:r>
      <w:hyperlink r:id="rId3614">
        <w:r>
          <w:rPr>
            <w:color w:val="0000EE"/>
            <w:u w:val="single"/>
          </w:rPr>
          <w:t>37.25</w:t>
        </w:r>
      </w:hyperlink>
      <w:r>
        <w:t>), a Moisés (</w:t>
      </w:r>
      <w:hyperlink r:id="rId19455">
        <w:r>
          <w:rPr>
            <w:color w:val="0000EE"/>
            <w:u w:val="single"/>
          </w:rPr>
          <w:t>Êx 14.31</w:t>
        </w:r>
      </w:hyperlink>
      <w:r>
        <w:t xml:space="preserve">; </w:t>
      </w:r>
      <w:hyperlink r:id="rId19456">
        <w:r>
          <w:rPr>
            <w:color w:val="0000EE"/>
            <w:u w:val="single"/>
          </w:rPr>
          <w:t>1Rs 8.53,56</w:t>
        </w:r>
      </w:hyperlink>
      <w:r>
        <w:t>), a Davi (</w:t>
      </w:r>
      <w:hyperlink r:id="rId19457">
        <w:r>
          <w:rPr>
            <w:color w:val="0000EE"/>
            <w:u w:val="single"/>
          </w:rPr>
          <w:t>2Sm 7.26–29</w:t>
        </w:r>
      </w:hyperlink>
      <w:r>
        <w:t xml:space="preserve">; </w:t>
      </w:r>
      <w:hyperlink r:id="rId19458">
        <w:r>
          <w:rPr>
            <w:color w:val="0000EE"/>
            <w:u w:val="single"/>
          </w:rPr>
          <w:t>Jr 33.21–26</w:t>
        </w:r>
      </w:hyperlink>
      <w:r>
        <w:t xml:space="preserve">; </w:t>
      </w:r>
      <w:hyperlink r:id="rId19459">
        <w:r>
          <w:rPr>
            <w:color w:val="0000EE"/>
            <w:u w:val="single"/>
          </w:rPr>
          <w:t>Ez 37.24</w:t>
        </w:r>
      </w:hyperlink>
      <w:r>
        <w:t xml:space="preserve">) e seus descendentes (como Ezequias, Eliaquim, Zorobabel — </w:t>
      </w:r>
      <w:hyperlink r:id="rId552">
        <w:r>
          <w:rPr>
            <w:color w:val="0000EE"/>
            <w:u w:val="single"/>
          </w:rPr>
          <w:t>Ag 2.23</w:t>
        </w:r>
      </w:hyperlink>
      <w:r>
        <w:t>), aos profetas (</w:t>
      </w:r>
      <w:hyperlink r:id="rId19460">
        <w:r>
          <w:rPr>
            <w:color w:val="0000EE"/>
            <w:u w:val="single"/>
          </w:rPr>
          <w:t>2Rs 10.10</w:t>
        </w:r>
      </w:hyperlink>
      <w:r>
        <w:t xml:space="preserve">; </w:t>
      </w:r>
      <w:hyperlink r:id="rId2321">
        <w:r>
          <w:rPr>
            <w:color w:val="0000EE"/>
            <w:u w:val="single"/>
          </w:rPr>
          <w:t>14.25</w:t>
        </w:r>
      </w:hyperlink>
      <w:r>
        <w:t>), e a outros israelitas fiéis, como Josué e Calebe (</w:t>
      </w:r>
      <w:hyperlink r:id="rId19461">
        <w:r>
          <w:rPr>
            <w:color w:val="0000EE"/>
            <w:u w:val="single"/>
          </w:rPr>
          <w:t>Nm 14.24</w:t>
        </w:r>
      </w:hyperlink>
      <w:r>
        <w:t xml:space="preserve">; </w:t>
      </w:r>
      <w:hyperlink r:id="rId19462">
        <w:r>
          <w:rPr>
            <w:color w:val="0000EE"/>
            <w:u w:val="single"/>
          </w:rPr>
          <w:t>Js 24.29</w:t>
        </w:r>
      </w:hyperlink>
      <w:r>
        <w:t xml:space="preserve">; </w:t>
      </w:r>
      <w:hyperlink r:id="rId15325">
        <w:r>
          <w:rPr>
            <w:color w:val="0000EE"/>
            <w:u w:val="single"/>
          </w:rPr>
          <w:t>Jz 2.8</w:t>
        </w:r>
      </w:hyperlink>
      <w:r>
        <w:t>).</w:t>
      </w:r>
    </w:p>
    <w:p>
      <w:r/>
      <w:r>
        <w:t xml:space="preserve">Profetas diferentes de Isaías usam este termo, mas apenas Zacarias se junta a ele em fazer uma previsão aparentemente messiânica a este nome. </w:t>
      </w:r>
      <w:hyperlink r:id="rId11678">
        <w:r>
          <w:rPr>
            <w:color w:val="0000EE"/>
            <w:u w:val="single"/>
          </w:rPr>
          <w:t>Zacarias 3.8</w:t>
        </w:r>
      </w:hyperlink>
      <w:r>
        <w:t xml:space="preserve"> diz: “Ouve, pois, Josué, sumo sacerdote, tu e os teus companheiros que se assentam diante de ti, porque são homens portentosos; eis que eu farei vir o meu servo, o Renovo.” (ARC). Alguns veriam Zorobabel como o indivíduo em vista aqui (cf. </w:t>
      </w:r>
      <w:hyperlink r:id="rId11679">
        <w:r>
          <w:rPr>
            <w:color w:val="0000EE"/>
            <w:u w:val="single"/>
          </w:rPr>
          <w:t>Zc 6.12</w:t>
        </w:r>
      </w:hyperlink>
      <w:r>
        <w:t>); no entanto, o uso de “Renovo” é definitivamente messiânico em Isaías (</w:t>
      </w:r>
      <w:hyperlink r:id="rId3578">
        <w:r>
          <w:rPr>
            <w:color w:val="0000EE"/>
            <w:u w:val="single"/>
          </w:rPr>
          <w:t>Is 11.1</w:t>
        </w:r>
      </w:hyperlink>
      <w:r>
        <w:t>) e Jeremias (</w:t>
      </w:r>
      <w:hyperlink r:id="rId6611">
        <w:r>
          <w:rPr>
            <w:color w:val="0000EE"/>
            <w:u w:val="single"/>
          </w:rPr>
          <w:t>Jr 33.15</w:t>
        </w:r>
      </w:hyperlink>
      <w:r>
        <w:t>).</w:t>
      </w:r>
    </w:p>
    <w:p>
      <w:r/>
      <w:r>
        <w:t>“</w:t>
      </w:r>
      <w:r>
        <w:rPr>
          <w:i/>
        </w:rPr>
        <w:t>O</w:t>
      </w:r>
      <w:r>
        <w:t xml:space="preserve"> servo do Senhor”, em um uso bíblico específico, aponta para o Messias, ao mesmo tempo, em que alude à mensagem central de Isaías. Embora Isaías, junto com outros, use o termo “servo” com uma variedade de significados, ele compôs algumas passagens conhecidas como os Cânticos do Servo. Essas seções distintas de seu livro são distinguíveis no conteúdo, mas elas não podem ser extraídas do contexto ao redor sem interromper o fluxo da profecia. O foco de Isaías está no futuro Messias-servo. Ninguém pode questionar a interpretação messiânica unânime do NT do servo de Isaías, nem sua aplicação deste entendimento a Jesus Cristo.</w:t>
      </w:r>
    </w:p>
    <w:p>
      <w:r/>
      <w:r>
        <w:t>Uma “cristologia do servo” permeia Atos (</w:t>
      </w:r>
      <w:hyperlink r:id="rId12983">
        <w:r>
          <w:rPr>
            <w:color w:val="0000EE"/>
            <w:u w:val="single"/>
          </w:rPr>
          <w:t>Atos 3.13,26</w:t>
        </w:r>
      </w:hyperlink>
      <w:r>
        <w:t xml:space="preserve">; </w:t>
      </w:r>
      <w:hyperlink r:id="rId15011">
        <w:r>
          <w:rPr>
            <w:color w:val="0000EE"/>
            <w:u w:val="single"/>
          </w:rPr>
          <w:t>4.27,30</w:t>
        </w:r>
      </w:hyperlink>
      <w:r>
        <w:t xml:space="preserve">), e 1 Pedro, com inúmeras alusões nos Evangelhos. O próprio Jesus cita </w:t>
      </w:r>
      <w:hyperlink r:id="rId3618">
        <w:r>
          <w:rPr>
            <w:color w:val="0000EE"/>
            <w:u w:val="single"/>
          </w:rPr>
          <w:t>Isaías 53</w:t>
        </w:r>
      </w:hyperlink>
      <w:r>
        <w:t xml:space="preserve"> explicitamente apenas em </w:t>
      </w:r>
      <w:hyperlink r:id="rId4683">
        <w:r>
          <w:rPr>
            <w:color w:val="0000EE"/>
            <w:u w:val="single"/>
          </w:rPr>
          <w:t>Lucas 22.37</w:t>
        </w:r>
      </w:hyperlink>
      <w:r>
        <w:t xml:space="preserve">, mas ele parece aludir a isso em </w:t>
      </w:r>
      <w:hyperlink r:id="rId921">
        <w:r>
          <w:rPr>
            <w:color w:val="0000EE"/>
            <w:u w:val="single"/>
          </w:rPr>
          <w:t>Marcos 10.45, 14.24</w:t>
        </w:r>
      </w:hyperlink>
      <w:r>
        <w:t xml:space="preserve"> e possivelmente </w:t>
      </w:r>
      <w:hyperlink r:id="rId9428">
        <w:r>
          <w:rPr>
            <w:color w:val="0000EE"/>
            <w:u w:val="single"/>
          </w:rPr>
          <w:t>9.12</w:t>
        </w:r>
      </w:hyperlink>
      <w:r>
        <w:t>. Pedro não apenas enfatiza o sofrimento vicário e redentor (</w:t>
      </w:r>
      <w:hyperlink r:id="rId16771">
        <w:r>
          <w:rPr>
            <w:color w:val="0000EE"/>
            <w:u w:val="single"/>
          </w:rPr>
          <w:t>1Pe 2.21–25</w:t>
        </w:r>
      </w:hyperlink>
      <w:r>
        <w:t xml:space="preserve">; </w:t>
      </w:r>
      <w:hyperlink r:id="rId4290">
        <w:r>
          <w:rPr>
            <w:color w:val="0000EE"/>
            <w:u w:val="single"/>
          </w:rPr>
          <w:t>3.18</w:t>
        </w:r>
      </w:hyperlink>
      <w:r>
        <w:t xml:space="preserve">), mas parece destacar o tema de </w:t>
      </w:r>
      <w:hyperlink r:id="rId3618">
        <w:r>
          <w:rPr>
            <w:color w:val="0000EE"/>
            <w:u w:val="single"/>
          </w:rPr>
          <w:t>Isaías 53</w:t>
        </w:r>
      </w:hyperlink>
      <w:r>
        <w:t xml:space="preserve"> ao resumir a profecia do AT (</w:t>
      </w:r>
      <w:hyperlink r:id="rId6110">
        <w:r>
          <w:rPr>
            <w:color w:val="0000EE"/>
            <w:u w:val="single"/>
          </w:rPr>
          <w:t>1.11</w:t>
        </w:r>
      </w:hyperlink>
      <w:r>
        <w:t>) como prevendo “os sofrimentos de Cristo e as glórias que se seguiriam”. Paulo inclui esses elementos (</w:t>
      </w:r>
      <w:hyperlink r:id="rId7276">
        <w:r>
          <w:rPr>
            <w:color w:val="0000EE"/>
            <w:u w:val="single"/>
          </w:rPr>
          <w:t>1Co 15.3</w:t>
        </w:r>
      </w:hyperlink>
      <w:r>
        <w:t xml:space="preserve">; </w:t>
      </w:r>
      <w:hyperlink r:id="rId5124">
        <w:r>
          <w:rPr>
            <w:color w:val="0000EE"/>
            <w:u w:val="single"/>
          </w:rPr>
          <w:t>Fp 2.6–11</w:t>
        </w:r>
      </w:hyperlink>
      <w:r>
        <w:t xml:space="preserve">; cf. </w:t>
      </w:r>
      <w:hyperlink r:id="rId6335">
        <w:r>
          <w:rPr>
            <w:color w:val="0000EE"/>
            <w:u w:val="single"/>
          </w:rPr>
          <w:t>Rm 4.25</w:t>
        </w:r>
      </w:hyperlink>
      <w:r>
        <w:t xml:space="preserve">; </w:t>
      </w:r>
      <w:hyperlink r:id="rId19463">
        <w:r>
          <w:rPr>
            <w:color w:val="0000EE"/>
            <w:u w:val="single"/>
          </w:rPr>
          <w:t>5.19</w:t>
        </w:r>
      </w:hyperlink>
      <w:r>
        <w:t xml:space="preserve">; </w:t>
      </w:r>
      <w:hyperlink r:id="rId3239">
        <w:r>
          <w:rPr>
            <w:color w:val="0000EE"/>
            <w:u w:val="single"/>
          </w:rPr>
          <w:t>2Co 5.21</w:t>
        </w:r>
      </w:hyperlink>
      <w:r>
        <w:t xml:space="preserve">), e o título ,“Cordeiro de Deus”, de João deriva de </w:t>
      </w:r>
      <w:hyperlink r:id="rId1837">
        <w:r>
          <w:rPr>
            <w:color w:val="0000EE"/>
            <w:u w:val="single"/>
          </w:rPr>
          <w:t>Isaías 53.7</w:t>
        </w:r>
      </w:hyperlink>
      <w:r>
        <w:t xml:space="preserve"> tanto quanto de todo o sistema sacrificial.</w:t>
      </w:r>
    </w:p>
    <w:p>
      <w:r/>
      <w:r>
        <w:rPr>
          <w:i/>
        </w:rPr>
        <w:t>Veja também</w:t>
      </w:r>
      <w:r>
        <w:t xml:space="preserve"> </w:t>
      </w:r>
      <w:r>
        <w:t>Cristologia</w:t>
      </w:r>
      <w:r>
        <w:t xml:space="preserve">; </w:t>
      </w:r>
      <w:r>
        <w:t>Isaías, Livro de</w:t>
      </w:r>
      <w:r>
        <w:t>.</w:t>
      </w:r>
      <w:r/>
      <w:r/>
    </w:p>
    <w:p>
      <w:r/>
    </w:p>
    <w:p>
      <w:pPr>
        <w:pStyle w:val="Heading2"/>
      </w:pPr>
      <w:r>
        <w:t>Sesai</w:t>
      </w:r>
      <w:r/>
    </w:p>
    <w:p>
      <w:r/>
      <w:r>
        <w:t>Sesai era um descendente de Anaque. Ele vivia na cidade de Hebrom quando os 12 espiões israelitas exploraram a terra de Canaã (</w:t>
      </w:r>
      <w:hyperlink r:id="rId644">
        <w:r>
          <w:rPr>
            <w:color w:val="0000EE"/>
            <w:u w:val="single"/>
          </w:rPr>
          <w:t>Nm 13.22</w:t>
        </w:r>
      </w:hyperlink>
      <w:r>
        <w:t>). Mais tarde, os israelitas derrotaram Sesai e tomaram sua terra (</w:t>
      </w:r>
      <w:hyperlink r:id="rId19464">
        <w:r>
          <w:rPr>
            <w:color w:val="0000EE"/>
            <w:u w:val="single"/>
          </w:rPr>
          <w:t>Js 15.14</w:t>
        </w:r>
      </w:hyperlink>
      <w:r>
        <w:t xml:space="preserve">; </w:t>
      </w:r>
      <w:hyperlink r:id="rId646">
        <w:r>
          <w:rPr>
            <w:color w:val="0000EE"/>
            <w:u w:val="single"/>
          </w:rPr>
          <w:t>Jz 1.10</w:t>
        </w:r>
      </w:hyperlink>
      <w:r>
        <w:t>).</w:t>
      </w:r>
      <w:r/>
      <w:r/>
    </w:p>
    <w:p>
      <w:r/>
    </w:p>
    <w:p>
      <w:pPr>
        <w:pStyle w:val="Heading2"/>
      </w:pPr>
      <w:r>
        <w:t>Sete</w:t>
      </w:r>
      <w:r/>
    </w:p>
    <w:p>
      <w:r/>
      <w:r>
        <w:t>O terceiro filho de Adão e Eva. Ele substituiu Abel, que Caim assassinou (</w:t>
      </w:r>
      <w:hyperlink r:id="rId311">
        <w:r>
          <w:rPr>
            <w:color w:val="0000EE"/>
            <w:u w:val="single"/>
          </w:rPr>
          <w:t>Gn 4.25</w:t>
        </w:r>
      </w:hyperlink>
      <w:r>
        <w:t xml:space="preserve">). Sete aparece como o filho primogênito de Adão nas listas de família de </w:t>
      </w:r>
      <w:hyperlink r:id="rId19465">
        <w:r>
          <w:rPr>
            <w:color w:val="0000EE"/>
            <w:u w:val="single"/>
          </w:rPr>
          <w:t>Gênesis 5.3–8</w:t>
        </w:r>
      </w:hyperlink>
      <w:r>
        <w:t xml:space="preserve">, </w:t>
      </w:r>
      <w:hyperlink r:id="rId313">
        <w:r>
          <w:rPr>
            <w:color w:val="0000EE"/>
            <w:u w:val="single"/>
          </w:rPr>
          <w:t>1 Crônicas 1.1</w:t>
        </w:r>
      </w:hyperlink>
      <w:r>
        <w:t xml:space="preserve">, e </w:t>
      </w:r>
      <w:hyperlink r:id="rId315">
        <w:r>
          <w:rPr>
            <w:color w:val="0000EE"/>
            <w:u w:val="single"/>
          </w:rPr>
          <w:t>Lucas 3.38</w:t>
        </w:r>
      </w:hyperlink>
      <w:r>
        <w:t>. Foi através da linhagem de Sete que Jesus nasceu. Sete foi o pai de Enos e viveu 912 anos.</w:t>
      </w:r>
    </w:p>
    <w:p>
      <w:r/>
      <w:r>
        <w:rPr>
          <w:i/>
        </w:rPr>
        <w:t>Veja também</w:t>
      </w:r>
      <w:r>
        <w:t xml:space="preserve"> </w:t>
      </w:r>
      <w:r>
        <w:t>A ancestralidade de Jesus Cristo</w:t>
      </w:r>
      <w:r>
        <w:t>.</w:t>
      </w:r>
      <w:r/>
      <w:r/>
    </w:p>
    <w:p>
      <w:r/>
    </w:p>
    <w:p>
      <w:pPr>
        <w:pStyle w:val="Heading2"/>
      </w:pPr>
      <w:r>
        <w:t>Sete</w:t>
      </w:r>
      <w:r/>
    </w:p>
    <w:p>
      <w:pPr>
        <w:pStyle w:val="ListNumber"/>
        <w:spacing w:line="240" w:lineRule="auto"/>
        <w:ind w:left="720"/>
      </w:pPr>
      <w:r/>
      <w:r>
        <w:t>Uma referência aos filhos de Moabe, que causaram problemas e guerra para os israelitas (</w:t>
      </w:r>
      <w:hyperlink r:id="rId2807">
        <w:r>
          <w:rPr>
            <w:color w:val="0000EE"/>
            <w:u w:val="single"/>
          </w:rPr>
          <w:t>Nm 24.17</w:t>
        </w:r>
      </w:hyperlink>
      <w:r>
        <w:t>);</w:t>
      </w:r>
    </w:p>
    <w:p>
      <w:pPr>
        <w:pStyle w:val="ListNumber"/>
        <w:spacing w:line="240" w:lineRule="auto"/>
        <w:ind w:left="720"/>
      </w:pPr>
      <w:r/>
      <w:r>
        <w:t>O terceiro filho de Adão (</w:t>
      </w:r>
      <w:hyperlink r:id="rId313">
        <w:r>
          <w:rPr>
            <w:color w:val="0000EE"/>
            <w:u w:val="single"/>
          </w:rPr>
          <w:t>1Cr 1.1</w:t>
        </w:r>
      </w:hyperlink>
      <w:r>
        <w:t>).</w:t>
      </w:r>
    </w:p>
    <w:p>
      <w:r/>
      <w:r>
        <w:rPr>
          <w:i/>
        </w:rPr>
        <w:t xml:space="preserve">Veja também </w:t>
      </w:r>
      <w:r>
        <w:t>Sete</w:t>
      </w:r>
      <w:r>
        <w:t>.</w:t>
      </w:r>
      <w:r/>
      <w:r/>
    </w:p>
    <w:p>
      <w:r/>
    </w:p>
    <w:p>
      <w:pPr>
        <w:pStyle w:val="Heading2"/>
      </w:pPr>
      <w:r>
        <w:t>Sete últimas palavras de Jesus</w:t>
      </w:r>
      <w:r/>
    </w:p>
    <w:p>
      <w:r/>
      <w:r>
        <w:t>Palavras registradas de Jesus entre o momento em que foi crucificado e o momento em que morreu. Essas sete frases (citadas abaixo da versão NTLH) não são encontradas em um único Evangelho. Em vez disso, as duas primeiras e a sétima ocorrem apenas em Lucas; a terceira, quinta e sexta, apenas em João; e a quarta, tanto em Mateus quanto em Marcos. A ordem é tradicional; como nenhum Evangelho as registra todas, é incerto em que ordem realmente ocorreram. Também é desconhecido se Jesus disse outras coisas da cruz ou se as sete declarações são resumos de afirmações mais longas. Mas considerando o trauma da crucificação, não seria surpreendente se isso fosse tudo o que ele disse.</w:t>
      </w:r>
    </w:p>
    <w:p>
      <w:r/>
      <w:r>
        <w:t>1. “Pai, perdoa esta gente! Eles não sabem o que estão fazendo” (</w:t>
      </w:r>
      <w:hyperlink r:id="rId11096">
        <w:r>
          <w:rPr>
            <w:color w:val="0000EE"/>
            <w:u w:val="single"/>
          </w:rPr>
          <w:t>Lc 23.34</w:t>
        </w:r>
      </w:hyperlink>
      <w:r>
        <w:t>).</w:t>
      </w:r>
    </w:p>
    <w:p>
      <w:r/>
      <w:r>
        <w:t>Esta é a única das sete últimas palavras cuja autenticidade é questionada, pois vários dos melhores manuscritos gregos não a contêm. Mesmo que exista um elemento de dúvida (as evidências estão bastante equilibradas), certamente se encaixa no que se sabe sobre Jesus e seu amor, independentemente de Lucas ter registrado isso originalmente ou não. Poucos versículos antes, Jesus mostrou mais preocupação pelos outros do que por si mesmo (</w:t>
      </w:r>
      <w:hyperlink r:id="rId5264">
        <w:r>
          <w:rPr>
            <w:color w:val="0000EE"/>
            <w:u w:val="single"/>
          </w:rPr>
          <w:t>Lc 19.41</w:t>
        </w:r>
      </w:hyperlink>
      <w:r>
        <w:t xml:space="preserve">; </w:t>
      </w:r>
      <w:hyperlink r:id="rId19466">
        <w:r>
          <w:rPr>
            <w:color w:val="0000EE"/>
            <w:u w:val="single"/>
          </w:rPr>
          <w:t>22.50–51</w:t>
        </w:r>
      </w:hyperlink>
      <w:r>
        <w:t xml:space="preserve">; </w:t>
      </w:r>
      <w:hyperlink r:id="rId19467">
        <w:r>
          <w:rPr>
            <w:color w:val="0000EE"/>
            <w:u w:val="single"/>
          </w:rPr>
          <w:t>23.28</w:t>
        </w:r>
      </w:hyperlink>
      <w:r>
        <w:t>). Jesus viveu seu próprio ensinamento e orou por aqueles que o estavam torturando (</w:t>
      </w:r>
      <w:hyperlink r:id="rId19468">
        <w:r>
          <w:rPr>
            <w:color w:val="0000EE"/>
            <w:u w:val="single"/>
          </w:rPr>
          <w:t>Lc 6.27–28</w:t>
        </w:r>
      </w:hyperlink>
      <w:r>
        <w:t xml:space="preserve">) — nenhum impulso maior para a humanidade ir e fazer o mesmo poderia ser dado. Certamente os soldados e líderes judeus não estavam totalmente alheios ao que estavam fazendo (cf. </w:t>
      </w:r>
      <w:hyperlink r:id="rId10116">
        <w:r>
          <w:rPr>
            <w:color w:val="0000EE"/>
            <w:u w:val="single"/>
          </w:rPr>
          <w:t>At 3.17</w:t>
        </w:r>
      </w:hyperlink>
      <w:r>
        <w:t>), mas no fato de não conhecerem o verdadeiro significado de sua ação, estavam ignorantes. Para os cristãos, o pedido “Pai, perdoa” é mais importante do que a razão, como Estevão reconheceu ao parafraseá-lo em seu próprio martírio (</w:t>
      </w:r>
      <w:hyperlink r:id="rId685">
        <w:r>
          <w:rPr>
            <w:color w:val="0000EE"/>
            <w:u w:val="single"/>
          </w:rPr>
          <w:t>At 7.60</w:t>
        </w:r>
      </w:hyperlink>
      <w:r>
        <w:t>). No final, o perdão não exige razão; é graça.</w:t>
      </w:r>
    </w:p>
    <w:p>
      <w:r/>
      <w:r>
        <w:t>2. “Eu afirmo a você que isto é verdade te digo: hoje você estará comigo no paraíso” (</w:t>
      </w:r>
      <w:hyperlink r:id="rId7494">
        <w:r>
          <w:rPr>
            <w:color w:val="0000EE"/>
            <w:u w:val="single"/>
          </w:rPr>
          <w:t>Lc 23.43</w:t>
        </w:r>
      </w:hyperlink>
      <w:r>
        <w:t>).</w:t>
      </w:r>
    </w:p>
    <w:p>
      <w:r/>
      <w:r>
        <w:t>Lucas não registra esta declaração para ensinar sobre a morada dos mortos, mas para expressar a resposta do Senhor à fé. Um criminoso, de forma bastante compreensível, junta-se à multidão zombeteira e recebe apenas silêncio (</w:t>
      </w:r>
      <w:hyperlink r:id="rId19469">
        <w:r>
          <w:rPr>
            <w:color w:val="0000EE"/>
            <w:u w:val="single"/>
          </w:rPr>
          <w:t>Lc 23.40</w:t>
        </w:r>
      </w:hyperlink>
      <w:r>
        <w:t xml:space="preserve">), mas o outro, de forma bastante notável, reconhece não apenas a inocência de Jesus, mas também que a cruz era apenas um prelúdio para o reino (vv. </w:t>
      </w:r>
      <w:hyperlink r:id="rId19470">
        <w:r>
          <w:rPr>
            <w:color w:val="0000EE"/>
            <w:u w:val="single"/>
          </w:rPr>
          <w:t>40–42</w:t>
        </w:r>
      </w:hyperlink>
      <w:r>
        <w:t>). Jesus prometeu ao homem que ele estaria com ele no paraíso. Aqui novamente está a graça, pedida e recebida.</w:t>
      </w:r>
    </w:p>
    <w:p>
      <w:r/>
      <w:r>
        <w:t>3. “- Este é o seu filho... - Esta é a sua mãe” (</w:t>
      </w:r>
      <w:hyperlink r:id="rId11970">
        <w:r>
          <w:rPr>
            <w:color w:val="0000EE"/>
            <w:u w:val="single"/>
          </w:rPr>
          <w:t>Jo 19.26–27</w:t>
        </w:r>
      </w:hyperlink>
      <w:r>
        <w:t>).</w:t>
      </w:r>
    </w:p>
    <w:p>
      <w:r/>
      <w:r>
        <w:t>João imagina Jesus como estando totalmente no controle da situação. Neste ponto, esse controle é evidente, enquanto ele cuida calmamente de sua mãe em vez de se concentrar em seu próprio sofrimento. Maria também estava sofrendo enquanto a "espada" perfurava seu coração (</w:t>
      </w:r>
      <w:hyperlink r:id="rId937">
        <w:r>
          <w:rPr>
            <w:color w:val="0000EE"/>
            <w:u w:val="single"/>
          </w:rPr>
          <w:t>Lc 2.35</w:t>
        </w:r>
      </w:hyperlink>
      <w:r>
        <w:t>). Jesus, agora muito mais seu Senhor do que seu filho, lembra-se de seus relacionamentos naturais, assim como dos espirituais. Não se sabe por que os irmãos de Jesus não estavam por perto para cuidar de Maria, ou por que eles perderam o festival da Páscoa. Também não se sabe por que o discípulo amado foi escolhido, mas talvez a escolha tenha recaído sobre ele porque ele estava lá no Calvário e era confiável.</w:t>
      </w:r>
    </w:p>
    <w:p>
      <w:r/>
      <w:r>
        <w:t>4. “Meu Deus, meu Deus, por que me abandonaste?” (</w:t>
      </w:r>
      <w:hyperlink r:id="rId7869">
        <w:r>
          <w:rPr>
            <w:color w:val="0000EE"/>
            <w:u w:val="single"/>
          </w:rPr>
          <w:t>Mt 27.46</w:t>
        </w:r>
      </w:hyperlink>
      <w:r>
        <w:t xml:space="preserve">; </w:t>
      </w:r>
      <w:hyperlink r:id="rId7870">
        <w:r>
          <w:rPr>
            <w:color w:val="0000EE"/>
            <w:u w:val="single"/>
          </w:rPr>
          <w:t>Mc 15.34</w:t>
        </w:r>
      </w:hyperlink>
      <w:r>
        <w:t>).</w:t>
      </w:r>
    </w:p>
    <w:p>
      <w:r/>
      <w:r>
        <w:t xml:space="preserve">Já se passaram horas desde as primeiras três palavras, no profundo da escuridão que cobriu o Calvário nas últimas três horas. De repente, Jesus clamou as primeiras palavras do </w:t>
      </w:r>
      <w:hyperlink r:id="rId638">
        <w:r>
          <w:rPr>
            <w:color w:val="0000EE"/>
            <w:u w:val="single"/>
          </w:rPr>
          <w:t>Salmo 22</w:t>
        </w:r>
      </w:hyperlink>
      <w:r>
        <w:t>. Marcos as registrou na língua nativa de Jesus, o aramaico, enquanto Mateus as traduziu para o hebraico. O significado do clamor (chamado de clamor de abandono) foi explicado de várias maneiras: como uma expressão de sentimento humano, uma declaração de decepção por Deus não tê-lo livrado, uma expressão de separação de Deus porque ele estava carregando o pecado, ou uma citação de todo o salmo com seu final triunfante sendo intencionado. Embora a profundidade total deste clamor seja um mistério conhecido apenas por Jesus e seu Pai, é provável que, porque o salmo é um clamor a Deus por vindicação, Jesus esteja aqui pedindo por isso. Ele clama a Deus para mostrar que ele é verdadeiramente o escolhido de Deus. A petição é respondida quando Deus ressuscita seu Filho dos mortos três dias depois.</w:t>
      </w:r>
    </w:p>
    <w:p>
      <w:r/>
      <w:r>
        <w:t>5. “Estou com sede!” (</w:t>
      </w:r>
      <w:hyperlink r:id="rId5986">
        <w:r>
          <w:rPr>
            <w:color w:val="0000EE"/>
            <w:u w:val="single"/>
          </w:rPr>
          <w:t>Jo 19.28</w:t>
        </w:r>
      </w:hyperlink>
      <w:r>
        <w:t>).</w:t>
      </w:r>
    </w:p>
    <w:p>
      <w:r/>
      <w:r>
        <w:t>No início da crucificação, a Jesus foi oferecido um vinho drogado como um soporífero para amortecer a dor da crucificação. Ele recusou (</w:t>
      </w:r>
      <w:hyperlink r:id="rId6319">
        <w:r>
          <w:rPr>
            <w:color w:val="0000EE"/>
            <w:u w:val="single"/>
          </w:rPr>
          <w:t>Mt 27.34</w:t>
        </w:r>
      </w:hyperlink>
      <w:r>
        <w:t xml:space="preserve">; </w:t>
      </w:r>
      <w:hyperlink r:id="rId6315">
        <w:r>
          <w:rPr>
            <w:color w:val="0000EE"/>
            <w:u w:val="single"/>
          </w:rPr>
          <w:t>Mc 15.23</w:t>
        </w:r>
      </w:hyperlink>
      <w:r>
        <w:t>). Agora, severamente desidratado, Jesus aceita o vinho azedo dos soldados (</w:t>
      </w:r>
      <w:hyperlink r:id="rId14133">
        <w:r>
          <w:rPr>
            <w:color w:val="0000EE"/>
            <w:u w:val="single"/>
          </w:rPr>
          <w:t>Jo 19.29</w:t>
        </w:r>
      </w:hyperlink>
      <w:r>
        <w:t xml:space="preserve">), o que aguçaria seus sentidos para seu grito final. Ele precisava disso, pois já estava pendurado ali por seis horas. Talvez em nenhum outro momento da vida de Jesus vejamos sua plena humanidade tão claramente quanto aqui. João viu essa ação como um cumprimento do </w:t>
      </w:r>
      <w:hyperlink r:id="rId3962">
        <w:r>
          <w:rPr>
            <w:color w:val="0000EE"/>
            <w:u w:val="single"/>
          </w:rPr>
          <w:t>Salmo 22.15</w:t>
        </w:r>
      </w:hyperlink>
      <w:r>
        <w:t xml:space="preserve"> (e talvez </w:t>
      </w:r>
      <w:hyperlink r:id="rId9161">
        <w:r>
          <w:rPr>
            <w:color w:val="0000EE"/>
            <w:u w:val="single"/>
          </w:rPr>
          <w:t>Sl 69.21</w:t>
        </w:r>
      </w:hyperlink>
      <w:r>
        <w:t>).</w:t>
      </w:r>
    </w:p>
    <w:p>
      <w:r/>
      <w:r>
        <w:t>6. “Tudo está completado!” (</w:t>
      </w:r>
      <w:hyperlink r:id="rId8461">
        <w:r>
          <w:rPr>
            <w:color w:val="0000EE"/>
            <w:u w:val="single"/>
          </w:rPr>
          <w:t>Jo 19.30</w:t>
        </w:r>
      </w:hyperlink>
      <w:r>
        <w:t>).</w:t>
      </w:r>
    </w:p>
    <w:p>
      <w:r/>
      <w:r>
        <w:t>João conclui o relato da crucificação com esta declaração simples (uma única palavra em grego). A frase naturalmente expressa alívio e satisfação pelo fato de que a dor e a agonia terminaram, e que a morte em breve o libertará, mas o contexto de João confere à palavra um significado mais profundo. Segundo João, Jesus estava no controle de toda a crucificação. Ele afirmou que ninguém poderia tirar sua vida dele — ele a entregaria por sua própria vontade (</w:t>
      </w:r>
      <w:hyperlink r:id="rId17278">
        <w:r>
          <w:rPr>
            <w:color w:val="0000EE"/>
            <w:u w:val="single"/>
          </w:rPr>
          <w:t>Jo 10.18</w:t>
        </w:r>
      </w:hyperlink>
      <w:r>
        <w:t xml:space="preserve">; </w:t>
      </w:r>
      <w:hyperlink r:id="rId19471">
        <w:r>
          <w:rPr>
            <w:color w:val="0000EE"/>
            <w:u w:val="single"/>
          </w:rPr>
          <w:t>19.10–11</w:t>
        </w:r>
      </w:hyperlink>
      <w:r>
        <w:t>). Assim, aqui, sabendo que havia cumprido totalmente a vontade do Pai, ele voluntariamente entregou sua vida. O que está terminado, então, não é simplesmente sua morte, nem sua vida em si, nem a obra de redenção, mas a razão total de sua existência no mundo. O último ato de obediência foi realizado; a última escritura foi cumprida. Jesus proclama sua vida "completada" e sai do palco até que a ressurreição inicie um novo ato.</w:t>
      </w:r>
    </w:p>
    <w:p>
      <w:r/>
      <w:r>
        <w:t>7. “Pai, nas tuas mãos entrego o meu espírito!” (</w:t>
      </w:r>
      <w:hyperlink r:id="rId7874">
        <w:r>
          <w:rPr>
            <w:color w:val="0000EE"/>
            <w:u w:val="single"/>
          </w:rPr>
          <w:t>Lc 23.46</w:t>
        </w:r>
      </w:hyperlink>
      <w:r>
        <w:t>).</w:t>
      </w:r>
    </w:p>
    <w:p>
      <w:r/>
      <w:r>
        <w:t xml:space="preserve">Lucas tem uma visão diferente do fim em comparação com João e os outros Evangelistas. Mateus e Marcos relatam apenas “um grande grito” após o grito de abandono, terminando em uma nota sombria. João termina com a obra concluída. Lucas, que não relata sentimento de abandono, nos diz que o grande grito foi uma citação do </w:t>
      </w:r>
      <w:hyperlink r:id="rId13766">
        <w:r>
          <w:rPr>
            <w:color w:val="0000EE"/>
            <w:u w:val="single"/>
          </w:rPr>
          <w:t>Salmo 31.5</w:t>
        </w:r>
      </w:hyperlink>
      <w:r>
        <w:t xml:space="preserve"> (cf. Estevão em </w:t>
      </w:r>
      <w:hyperlink r:id="rId19472">
        <w:r>
          <w:rPr>
            <w:color w:val="0000EE"/>
            <w:u w:val="single"/>
          </w:rPr>
          <w:t>At 7.59</w:t>
        </w:r>
      </w:hyperlink>
      <w:r>
        <w:t xml:space="preserve">). A citação é precedida por “Pai”, o familiar </w:t>
      </w:r>
      <w:r>
        <w:rPr>
          <w:i/>
        </w:rPr>
        <w:t>Abba,</w:t>
      </w:r>
      <w:r>
        <w:t xml:space="preserve"> uma forma de se dirigir a Deus característica de Jesus. Seu relacionamento com Deus permanece ininterrupto até o fim. Jesus não está saltando no escuro ou lutando contra o desconhecido, mas se entregando à morte nas mãos do mesmo Pai que serviu em vida.</w:t>
      </w:r>
    </w:p>
    <w:p>
      <w:r/>
      <w:r>
        <w:rPr>
          <w:i/>
        </w:rPr>
        <w:t>Veja também</w:t>
      </w:r>
      <w:r>
        <w:t xml:space="preserve"> </w:t>
      </w:r>
      <w:r>
        <w:t>Crucificação</w:t>
      </w:r>
      <w:r>
        <w:t xml:space="preserve">; </w:t>
      </w:r>
      <w:r>
        <w:t>Eli, Eli, Lama Sabactâni</w:t>
      </w:r>
      <w:r>
        <w:t>.</w:t>
      </w:r>
      <w:r/>
      <w:r/>
    </w:p>
    <w:p>
      <w:r/>
    </w:p>
    <w:p>
      <w:pPr>
        <w:pStyle w:val="Heading2"/>
      </w:pPr>
      <w:r>
        <w:t>Setur</w:t>
      </w:r>
      <w:r/>
    </w:p>
    <w:p>
      <w:r/>
      <w:r>
        <w:t>Um aserita e filho de Micael. Ele foi um dos 12 espiões enviados por Moisés para explorar a terra de Canaã (</w:t>
      </w:r>
      <w:hyperlink r:id="rId14362">
        <w:r>
          <w:rPr>
            <w:color w:val="0000EE"/>
            <w:u w:val="single"/>
          </w:rPr>
          <w:t>Nm 13.13</w:t>
        </w:r>
      </w:hyperlink>
      <w:r>
        <w:t>).</w:t>
      </w:r>
      <w:r/>
      <w:r/>
    </w:p>
    <w:p>
      <w:r/>
    </w:p>
    <w:p>
      <w:pPr>
        <w:pStyle w:val="Heading2"/>
      </w:pPr>
      <w:r>
        <w:t>Sexo, Sexualidade</w:t>
      </w:r>
      <w:r/>
    </w:p>
    <w:p>
      <w:pPr>
        <w:pStyle w:val="Heading3"/>
      </w:pPr>
      <w:r>
        <w:t>A visão positiva da Bíblia sobre sexo e sexualidade</w:t>
      </w:r>
    </w:p>
    <w:p>
      <w:r/>
      <w:r>
        <w:t>Ao contrário de algumas religiões e filosofias, a Bíblia vê a sexualidade humana de forma positiva. Segundo o Antigo Testamento, Deus fez as pessoas como seres sexuais. Ser homem ou mulher é parte do que significa ser feito à imagem de Deus (</w:t>
      </w:r>
      <w:hyperlink r:id="rId7146">
        <w:r>
          <w:rPr>
            <w:color w:val="0000EE"/>
            <w:u w:val="single"/>
          </w:rPr>
          <w:t>Gênesis 1.26</w:t>
        </w:r>
      </w:hyperlink>
      <w:r>
        <w:t>–</w:t>
      </w:r>
      <w:hyperlink r:id="rId7146">
        <w:r>
          <w:rPr>
            <w:color w:val="0000EE"/>
            <w:u w:val="single"/>
          </w:rPr>
          <w:t>28</w:t>
        </w:r>
      </w:hyperlink>
      <w:r>
        <w:t>). Assim, a sexualidade é uma parte importante de quem uma pessoa é</w:t>
      </w:r>
      <w:r>
        <w:rPr>
          <w:i/>
        </w:rPr>
        <w:t>,</w:t>
      </w:r>
      <w:r>
        <w:t xml:space="preserve"> não apenas o que ela</w:t>
      </w:r>
      <w:r>
        <w:rPr>
          <w:i/>
        </w:rPr>
        <w:t xml:space="preserve"> </w:t>
      </w:r>
      <w:r>
        <w:t>faz</w:t>
      </w:r>
      <w:r>
        <w:rPr>
          <w:i/>
        </w:rPr>
        <w:t>.</w:t>
      </w:r>
    </w:p>
    <w:p>
      <w:r/>
      <w:r>
        <w:t>O Antigo Testamento mostra que não há nada de embaraçoso nas diferenças entre os corpos masculino e feminino (</w:t>
      </w:r>
      <w:hyperlink r:id="rId19473">
        <w:r>
          <w:rPr>
            <w:color w:val="0000EE"/>
            <w:u w:val="single"/>
          </w:rPr>
          <w:t>Gênesis 2.25</w:t>
        </w:r>
      </w:hyperlink>
      <w:r>
        <w:t>). Também não há nada vergonhoso na atividade sexual (</w:t>
      </w:r>
      <w:hyperlink r:id="rId1592">
        <w:r>
          <w:rPr>
            <w:color w:val="0000EE"/>
            <w:u w:val="single"/>
          </w:rPr>
          <w:t>Provérbios 5.18</w:t>
        </w:r>
      </w:hyperlink>
      <w:r>
        <w:t>–</w:t>
      </w:r>
      <w:hyperlink r:id="rId1592">
        <w:r>
          <w:rPr>
            <w:color w:val="0000EE"/>
            <w:u w:val="single"/>
          </w:rPr>
          <w:t>19</w:t>
        </w:r>
      </w:hyperlink>
      <w:r>
        <w:t xml:space="preserve">; </w:t>
      </w:r>
      <w:hyperlink r:id="rId19474">
        <w:r>
          <w:rPr>
            <w:color w:val="0000EE"/>
            <w:u w:val="single"/>
          </w:rPr>
          <w:t>Eclesiastes 9.9</w:t>
        </w:r>
      </w:hyperlink>
      <w:r>
        <w:t>). Em particular, o Cântico dos Cânticos é um belo poema sobre o amor. Fala sobre paixão física e não deve ser entendido apenas como espiritualidade.</w:t>
      </w:r>
    </w:p>
    <w:p>
      <w:r/>
      <w:r>
        <w:t>Paulo também é positivo nos livros de 1 Coríntios e 1 Timóteo. A imoralidade sexual era comum tanto em Corinto quanto em Éfeso, onde essas cartas foram enviadas. Em resposta, alguns cristãos estavam optando por se abster de todo sexo. O casamento estava sendo proibido (</w:t>
      </w:r>
      <w:hyperlink r:id="rId6074">
        <w:r>
          <w:rPr>
            <w:color w:val="0000EE"/>
            <w:u w:val="single"/>
          </w:rPr>
          <w:t>1 Timóteo 4.3</w:t>
        </w:r>
      </w:hyperlink>
      <w:r>
        <w:t xml:space="preserve">). Casais casados pararam de ter relações sexuais. Eles acreditavam que isso os tornaria mais espiritualmente maduros (compare </w:t>
      </w:r>
      <w:hyperlink r:id="rId5784">
        <w:r>
          <w:rPr>
            <w:color w:val="0000EE"/>
            <w:u w:val="single"/>
          </w:rPr>
          <w:t>1 Coríntios 7.5</w:t>
        </w:r>
      </w:hyperlink>
      <w:r>
        <w:t>).</w:t>
      </w:r>
    </w:p>
    <w:p>
      <w:r/>
      <w:r>
        <w:t>Paulo rejeitou essas ideias. Apelando para Gênesis, ele os lembrou de serem gratos pelos dons de Deus (</w:t>
      </w:r>
      <w:hyperlink r:id="rId19475">
        <w:r>
          <w:rPr>
            <w:color w:val="0000EE"/>
            <w:u w:val="single"/>
          </w:rPr>
          <w:t>1 Timótio 4.3–5</w:t>
        </w:r>
      </w:hyperlink>
      <w:r>
        <w:t>). Paulo escreveu que maridos e esposas devem satisfazer as necessidades sexuais um do outro (</w:t>
      </w:r>
      <w:hyperlink r:id="rId5783">
        <w:r>
          <w:rPr>
            <w:color w:val="0000EE"/>
            <w:u w:val="single"/>
          </w:rPr>
          <w:t>1 Coríntios 7.3–4</w:t>
        </w:r>
      </w:hyperlink>
      <w:r>
        <w:t>).</w:t>
      </w:r>
    </w:p>
    <w:p>
      <w:r/>
      <w:r>
        <w:t>Deus fez o sexo para a procriação (</w:t>
      </w:r>
      <w:hyperlink r:id="rId6088">
        <w:r>
          <w:rPr>
            <w:color w:val="0000EE"/>
            <w:u w:val="single"/>
          </w:rPr>
          <w:t>Gênesis 1.28</w:t>
        </w:r>
      </w:hyperlink>
      <w:r>
        <w:t xml:space="preserve">). Mas o sexo também fortalece os relacionamentos. </w:t>
      </w:r>
      <w:hyperlink r:id="rId10694">
        <w:r>
          <w:rPr>
            <w:color w:val="0000EE"/>
            <w:u w:val="single"/>
          </w:rPr>
          <w:t>Gênesis 2</w:t>
        </w:r>
      </w:hyperlink>
      <w:r>
        <w:t xml:space="preserve"> descreve como Deus fez a mulher para proporcionar companhia ao homem (</w:t>
      </w:r>
      <w:hyperlink r:id="rId19476">
        <w:r>
          <w:rPr>
            <w:color w:val="0000EE"/>
            <w:u w:val="single"/>
          </w:rPr>
          <w:t>2.18</w:t>
        </w:r>
      </w:hyperlink>
      <w:r>
        <w:t>–</w:t>
      </w:r>
      <w:hyperlink r:id="rId19476">
        <w:r>
          <w:rPr>
            <w:color w:val="0000EE"/>
            <w:u w:val="single"/>
          </w:rPr>
          <w:t>24</w:t>
        </w:r>
      </w:hyperlink>
      <w:r>
        <w:t>). A sexualidade humana é mais do que apenas o ato físico. Ser homem ou mulher é uma maneira que Deus nos ajuda a formar todos os tipos de relacionamentos, incluindo alguns que normalmente não são considerados sexuais.</w:t>
      </w:r>
    </w:p>
    <w:p>
      <w:pPr>
        <w:pStyle w:val="Heading3"/>
      </w:pPr>
      <w:r>
        <w:t>O impacto do pecado na sexualidade humana</w:t>
      </w:r>
    </w:p>
    <w:p>
      <w:r/>
      <w:r>
        <w:t>A Bíblia reconhece o lado negativo da natureza humana. Depois de descrever a bondade do sexo no plano perfeito de Deus, Gênesis explica como o sexo, assim como tudo o mais, foi corrompido pelo pecado:</w:t>
      </w:r>
    </w:p>
    <w:p>
      <w:pPr>
        <w:pStyle w:val="ListBullet"/>
        <w:spacing w:line="240" w:lineRule="auto"/>
        <w:ind w:left="720"/>
      </w:pPr>
      <w:r/>
      <w:r>
        <w:t>A nudez tornou-se embaraçosa e assustadora;</w:t>
      </w:r>
    </w:p>
    <w:p>
      <w:pPr>
        <w:pStyle w:val="ListBullet"/>
        <w:spacing w:line="240" w:lineRule="auto"/>
        <w:ind w:left="720"/>
      </w:pPr>
      <w:r/>
      <w:r>
        <w:t>Homens e mulheres viam-se como objetos sexuais em vez de pessoas (</w:t>
      </w:r>
      <w:hyperlink r:id="rId19477">
        <w:r>
          <w:rPr>
            <w:color w:val="0000EE"/>
            <w:u w:val="single"/>
          </w:rPr>
          <w:t>Gênesis 3.7</w:t>
        </w:r>
      </w:hyperlink>
      <w:r>
        <w:t>–</w:t>
      </w:r>
      <w:hyperlink r:id="rId19477">
        <w:r>
          <w:rPr>
            <w:color w:val="0000EE"/>
            <w:u w:val="single"/>
          </w:rPr>
          <w:t>10</w:t>
        </w:r>
      </w:hyperlink>
      <w:r>
        <w:t>);</w:t>
      </w:r>
    </w:p>
    <w:p>
      <w:pPr>
        <w:pStyle w:val="ListBullet"/>
        <w:spacing w:line="240" w:lineRule="auto"/>
        <w:ind w:left="720"/>
      </w:pPr>
      <w:r/>
      <w:r>
        <w:t>A confiança e a ternura foram substituídas por traição e dureza.</w:t>
      </w:r>
    </w:p>
    <w:p>
      <w:r/>
      <w:r>
        <w:t>Esta é a raiz da discriminação e do abuso que motivam os protestos feministas modernos. A procriação também foi prejudicada, tornando-se dolorosa e angustiante.</w:t>
      </w:r>
    </w:p>
    <w:p>
      <w:r/>
      <w:r>
        <w:t>Este é o contexto para a proibição da Bíblia sobre sexo fora do casamento. Ela proíbe o adultério (</w:t>
      </w:r>
      <w:hyperlink r:id="rId446">
        <w:r>
          <w:rPr>
            <w:color w:val="0000EE"/>
            <w:u w:val="single"/>
          </w:rPr>
          <w:t>Êxodo 20.14</w:t>
        </w:r>
      </w:hyperlink>
      <w:r>
        <w:t>). Também proíbe qualquer tipo de sexo fora do casamento (</w:t>
      </w:r>
      <w:hyperlink r:id="rId19478">
        <w:r>
          <w:rPr>
            <w:color w:val="0000EE"/>
            <w:u w:val="single"/>
          </w:rPr>
          <w:t>1 Coríntios 6.18</w:t>
        </w:r>
      </w:hyperlink>
      <w:r>
        <w:t xml:space="preserve">; </w:t>
      </w:r>
      <w:hyperlink r:id="rId19479">
        <w:r>
          <w:rPr>
            <w:color w:val="0000EE"/>
            <w:u w:val="single"/>
          </w:rPr>
          <w:t>1 Tessalonicenses 4.3</w:t>
        </w:r>
      </w:hyperlink>
      <w:r>
        <w:t>). A Bíblia não costuma explicar por que certas ações são proibidas. Mas, quando fornece razões para proibir relações extraconjugais, essas razões são muito informativas. Não se concentra nas consequências, como doenças ou gravidezes indesejadas, nem nas intenções por trás das ações.</w:t>
      </w:r>
    </w:p>
    <w:p>
      <w:r/>
      <w:r>
        <w:t>Todo sexo fora do casamento é errado porque o corpo não foi feito para a imoralidade sexual e aqueles que cometem pecados sexuais prejudicam seus próprios corpos (</w:t>
      </w:r>
      <w:hyperlink r:id="rId19480">
        <w:r>
          <w:rPr>
            <w:color w:val="0000EE"/>
            <w:u w:val="single"/>
          </w:rPr>
          <w:t>1 Coríntios 6.13,18</w:t>
        </w:r>
      </w:hyperlink>
      <w:r>
        <w:t>). A relação sexual é uma forma especial de comunicação física que Deus projetou para mostrar e confirmar o relacionamento único e vitalício entre um homem e uma mulher, que a Bíblia chama de “casamento”.</w:t>
      </w:r>
    </w:p>
    <w:p>
      <w:r/>
      <w:r>
        <w:t>A Bíblia proíbe a homossexualidade (</w:t>
      </w:r>
      <w:hyperlink r:id="rId19481">
        <w:r>
          <w:rPr>
            <w:color w:val="0000EE"/>
            <w:u w:val="single"/>
          </w:rPr>
          <w:t>Levítico 18.22</w:t>
        </w:r>
      </w:hyperlink>
      <w:r>
        <w:t xml:space="preserve">; </w:t>
      </w:r>
      <w:hyperlink r:id="rId19482">
        <w:r>
          <w:rPr>
            <w:color w:val="0000EE"/>
            <w:u w:val="single"/>
          </w:rPr>
          <w:t>Romanos 1.26</w:t>
        </w:r>
      </w:hyperlink>
      <w:r>
        <w:t>–</w:t>
      </w:r>
      <w:hyperlink r:id="rId19482">
        <w:r>
          <w:rPr>
            <w:color w:val="0000EE"/>
            <w:u w:val="single"/>
          </w:rPr>
          <w:t>27</w:t>
        </w:r>
      </w:hyperlink>
      <w:r>
        <w:t xml:space="preserve">; </w:t>
      </w:r>
      <w:hyperlink r:id="rId10548">
        <w:r>
          <w:rPr>
            <w:color w:val="0000EE"/>
            <w:u w:val="single"/>
          </w:rPr>
          <w:t>1 Coríntios 6.9</w:t>
        </w:r>
      </w:hyperlink>
      <w:r>
        <w:t>–</w:t>
      </w:r>
      <w:hyperlink r:id="rId10548">
        <w:r>
          <w:rPr>
            <w:color w:val="0000EE"/>
            <w:u w:val="single"/>
          </w:rPr>
          <w:t>10</w:t>
        </w:r>
      </w:hyperlink>
      <w:r>
        <w:t xml:space="preserve">; </w:t>
      </w:r>
      <w:hyperlink r:id="rId19483">
        <w:r>
          <w:rPr>
            <w:color w:val="0000EE"/>
            <w:u w:val="single"/>
          </w:rPr>
          <w:t>1 Timóteo 1.9</w:t>
        </w:r>
      </w:hyperlink>
      <w:r>
        <w:t>–</w:t>
      </w:r>
      <w:hyperlink r:id="rId19483">
        <w:r>
          <w:rPr>
            <w:color w:val="0000EE"/>
            <w:u w:val="single"/>
          </w:rPr>
          <w:t>10</w:t>
        </w:r>
      </w:hyperlink>
      <w:r>
        <w:t xml:space="preserve">). A única explicação para essa proibição é encontrada em </w:t>
      </w:r>
      <w:hyperlink r:id="rId19484">
        <w:r>
          <w:rPr>
            <w:color w:val="0000EE"/>
            <w:u w:val="single"/>
          </w:rPr>
          <w:t>Romanos 1.24</w:t>
        </w:r>
      </w:hyperlink>
      <w:r>
        <w:t>–</w:t>
      </w:r>
      <w:hyperlink r:id="rId19484">
        <w:r>
          <w:rPr>
            <w:color w:val="0000EE"/>
            <w:u w:val="single"/>
          </w:rPr>
          <w:t>27</w:t>
        </w:r>
      </w:hyperlink>
      <w:r>
        <w:t>. Esses versículos sugerem que Deus se afastou das pessoas que se afastaram dele ao adorar coisas criadas em vez do Criador. Elas abandonaram Deus e cederam aos seus próprios desejos pecaminosos, incluindo a homossexualidade. Nesta visão, a homossexualidade é vista como contrária à ordem natural que Deus estabeleceu para homens e mulheres criarem vida.</w:t>
      </w:r>
    </w:p>
    <w:p>
      <w:pPr>
        <w:pStyle w:val="Heading3"/>
      </w:pPr>
      <w:r>
        <w:t>Superando a tentação sexual</w:t>
      </w:r>
    </w:p>
    <w:p>
      <w:r/>
      <w:r>
        <w:t>A Bíblia oferece conselhos práticos para lidar com a tentação sexual: evite-a. Por exemplo, quando José foi tentado pela esposa de outro homem, ele fugiu, deixando seu manto para trás (</w:t>
      </w:r>
      <w:hyperlink r:id="rId19485">
        <w:r>
          <w:rPr>
            <w:color w:val="0000EE"/>
            <w:u w:val="single"/>
          </w:rPr>
          <w:t>Gênesis 39.12</w:t>
        </w:r>
      </w:hyperlink>
      <w:r>
        <w:t>). Paulo diz aos seus leitores cristãos para seguirem o bom exemplo de José (</w:t>
      </w:r>
      <w:hyperlink r:id="rId19478">
        <w:r>
          <w:rPr>
            <w:color w:val="0000EE"/>
            <w:u w:val="single"/>
          </w:rPr>
          <w:t>1 Coríntios 6.18</w:t>
        </w:r>
      </w:hyperlink>
      <w:r>
        <w:t xml:space="preserve">; </w:t>
      </w:r>
      <w:hyperlink r:id="rId19486">
        <w:r>
          <w:rPr>
            <w:color w:val="0000EE"/>
            <w:u w:val="single"/>
          </w:rPr>
          <w:t>2 Timóteo 2.22</w:t>
        </w:r>
      </w:hyperlink>
      <w:r>
        <w:t>). Isso reconhece o forte desejo por sexo que muitos seres humanos experimentam, mas não é para ser sem esperança. Paulo ensinou que o Espírito Santo dá aos crentes a força para superar a tentação sexual. Ele conhecia cristãos que usaram o poder do Espírito para ganhar autocontrole e superar seus hábitos mais difíceis (</w:t>
      </w:r>
      <w:hyperlink r:id="rId5776">
        <w:r>
          <w:rPr>
            <w:color w:val="0000EE"/>
            <w:u w:val="single"/>
          </w:rPr>
          <w:t>1 Coríntios 6.9</w:t>
        </w:r>
      </w:hyperlink>
      <w:r>
        <w:t>–</w:t>
      </w:r>
      <w:hyperlink r:id="rId5776">
        <w:r>
          <w:rPr>
            <w:color w:val="0000EE"/>
            <w:u w:val="single"/>
          </w:rPr>
          <w:t>11</w:t>
        </w:r>
      </w:hyperlink>
      <w:r>
        <w:t xml:space="preserve">; </w:t>
      </w:r>
      <w:hyperlink r:id="rId4312">
        <w:r>
          <w:rPr>
            <w:color w:val="0000EE"/>
            <w:u w:val="single"/>
          </w:rPr>
          <w:t>Gálatas 5.22</w:t>
        </w:r>
      </w:hyperlink>
      <w:r>
        <w:t>–</w:t>
      </w:r>
      <w:hyperlink r:id="rId4312">
        <w:r>
          <w:rPr>
            <w:color w:val="0000EE"/>
            <w:u w:val="single"/>
          </w:rPr>
          <w:t>23</w:t>
        </w:r>
      </w:hyperlink>
      <w:r>
        <w:t xml:space="preserve">; </w:t>
      </w:r>
      <w:hyperlink r:id="rId7303">
        <w:r>
          <w:rPr>
            <w:color w:val="0000EE"/>
            <w:u w:val="single"/>
          </w:rPr>
          <w:t>2 Timóteo 1.7</w:t>
        </w:r>
      </w:hyperlink>
      <w:r>
        <w:t>).</w:t>
      </w:r>
    </w:p>
    <w:p>
      <w:pPr>
        <w:pStyle w:val="Heading3"/>
      </w:pPr>
      <w:r>
        <w:t>O futuro da sexualidade humana</w:t>
      </w:r>
    </w:p>
    <w:p>
      <w:r/>
      <w:r>
        <w:t>O Novo Testamento sugere que Deus encerrará a sexualidade humana assim como a iniciou. Jesus ensinou que não haverá casamento no céu (</w:t>
      </w:r>
      <w:hyperlink r:id="rId1943">
        <w:r>
          <w:rPr>
            <w:color w:val="0000EE"/>
            <w:u w:val="single"/>
          </w:rPr>
          <w:t>Mateus 22.30</w:t>
        </w:r>
      </w:hyperlink>
      <w:r>
        <w:t>). Esta é uma conclusão inesperada, mas apropriada, para os ensinamentos da Bíblia sobre sexo e sexualidade. Quando não houver mais morte, a necessidade de procriação terminará. E quando os relacionamentos forem perfeitamente amorosos, não haverá necessidade de sexo para fortalecê-los. Assim, ambos os principais propósitos de Deus para a sexualidade humana serão plenamente realizados na eternidade.</w:t>
      </w:r>
    </w:p>
    <w:p>
      <w:r/>
      <w:r>
        <w:rPr>
          <w:i/>
        </w:rPr>
        <w:t>Veja também</w:t>
      </w:r>
      <w:r>
        <w:t xml:space="preserve"> </w:t>
      </w:r>
      <w:r>
        <w:t>Divórcio</w:t>
      </w:r>
      <w:r>
        <w:t xml:space="preserve">; </w:t>
      </w:r>
      <w:r>
        <w:t>Vida familiar e relações</w:t>
      </w:r>
      <w:r>
        <w:t xml:space="preserve">; </w:t>
      </w:r>
      <w:r>
        <w:t>Homem</w:t>
      </w:r>
      <w:r>
        <w:t xml:space="preserve">; </w:t>
      </w:r>
      <w:r>
        <w:t>Casamento, Costumes de casamento</w:t>
      </w:r>
      <w:r>
        <w:t xml:space="preserve">; </w:t>
      </w:r>
      <w:r>
        <w:t>Virgem</w:t>
      </w:r>
      <w:r>
        <w:t xml:space="preserve">; </w:t>
      </w:r>
      <w:r>
        <w:t>Mulher</w:t>
      </w:r>
      <w:r>
        <w:t>.</w:t>
      </w:r>
      <w:r/>
      <w:r/>
    </w:p>
    <w:p>
      <w:r/>
    </w:p>
    <w:p>
      <w:pPr>
        <w:pStyle w:val="Heading2"/>
      </w:pPr>
      <w:r>
        <w:t>Shaddai</w:t>
      </w:r>
      <w:r/>
    </w:p>
    <w:p>
      <w:r/>
      <w:r>
        <w:t>Parte do nome hebraico El Shaddai para Deus, que significa “Deus Todo-Poderoso” (</w:t>
      </w:r>
      <w:hyperlink r:id="rId7746">
        <w:r>
          <w:rPr>
            <w:color w:val="0000EE"/>
            <w:u w:val="single"/>
          </w:rPr>
          <w:t>Sl 68.14</w:t>
        </w:r>
      </w:hyperlink>
      <w:r>
        <w:t xml:space="preserve">). </w:t>
      </w:r>
    </w:p>
    <w:p>
      <w:r/>
      <w:r>
        <w:rPr>
          <w:i/>
        </w:rPr>
        <w:t>Veja</w:t>
      </w:r>
      <w:r>
        <w:t xml:space="preserve"> </w:t>
      </w:r>
      <w:r>
        <w:t>Deus, Nomes de</w:t>
      </w:r>
      <w:r>
        <w:t>.</w:t>
      </w:r>
      <w:r/>
      <w:r/>
    </w:p>
    <w:p>
      <w:r/>
    </w:p>
    <w:p>
      <w:pPr>
        <w:pStyle w:val="Heading2"/>
      </w:pPr>
      <w:r>
        <w:t>Shekinah</w:t>
      </w:r>
      <w:r/>
    </w:p>
    <w:p>
      <w:r/>
      <w:r>
        <w:t xml:space="preserve">Uma palavra que significa "aquele que habita" ou "aquilo que habita". </w:t>
      </w:r>
      <w:r>
        <w:rPr>
          <w:i/>
        </w:rPr>
        <w:t>Shekinah</w:t>
      </w:r>
      <w:r>
        <w:t xml:space="preserve"> é uma palavra hebraica transliterada para o português. Este termo tornou-se parte do ensino cristão através de escritos judaicos antigos chamados "Targums" e textos rabínicos. Esses textos usavam </w:t>
      </w:r>
      <w:r>
        <w:rPr>
          <w:i/>
        </w:rPr>
        <w:t>shekinah</w:t>
      </w:r>
      <w:r>
        <w:t xml:space="preserve"> para descrever como Deus, que existe além do nosso mundo, também está presente dentro dele.</w:t>
      </w:r>
    </w:p>
    <w:p>
      <w:pPr>
        <w:pStyle w:val="Heading3"/>
      </w:pPr>
      <w:r>
        <w:t>Shekinah no Antigo Testamento</w:t>
      </w:r>
    </w:p>
    <w:p>
      <w:r/>
      <w:r>
        <w:t>A palavra "</w:t>
      </w:r>
      <w:r>
        <w:rPr>
          <w:i/>
        </w:rPr>
        <w:t>shekinah</w:t>
      </w:r>
      <w:r>
        <w:t>" em si não aparece na Bíblia, mas a ideia vem de muitos lugares no Antigo Testamento onde Deus habita entre seu povo (</w:t>
      </w:r>
      <w:hyperlink r:id="rId19345">
        <w:r>
          <w:rPr>
            <w:color w:val="0000EE"/>
            <w:u w:val="single"/>
          </w:rPr>
          <w:t>Gn 9.27</w:t>
        </w:r>
      </w:hyperlink>
      <w:r>
        <w:t xml:space="preserve">; </w:t>
      </w:r>
      <w:hyperlink r:id="rId5900">
        <w:r>
          <w:rPr>
            <w:color w:val="0000EE"/>
            <w:u w:val="single"/>
          </w:rPr>
          <w:t>Êx 25.8</w:t>
        </w:r>
      </w:hyperlink>
      <w:r>
        <w:t xml:space="preserve">; </w:t>
      </w:r>
      <w:hyperlink r:id="rId19487">
        <w:r>
          <w:rPr>
            <w:color w:val="0000EE"/>
            <w:u w:val="single"/>
          </w:rPr>
          <w:t>29.45–46</w:t>
        </w:r>
      </w:hyperlink>
      <w:r>
        <w:t xml:space="preserve">; </w:t>
      </w:r>
      <w:hyperlink r:id="rId12780">
        <w:r>
          <w:rPr>
            <w:color w:val="0000EE"/>
            <w:u w:val="single"/>
          </w:rPr>
          <w:t>Nm 5.3</w:t>
        </w:r>
      </w:hyperlink>
      <w:r>
        <w:t xml:space="preserve">; </w:t>
      </w:r>
      <w:hyperlink r:id="rId19488">
        <w:r>
          <w:rPr>
            <w:color w:val="0000EE"/>
            <w:u w:val="single"/>
          </w:rPr>
          <w:t>1Rs 6.13</w:t>
        </w:r>
      </w:hyperlink>
      <w:r>
        <w:t xml:space="preserve">; </w:t>
      </w:r>
      <w:hyperlink r:id="rId19489">
        <w:r>
          <w:rPr>
            <w:color w:val="0000EE"/>
            <w:u w:val="single"/>
          </w:rPr>
          <w:t>Sl 68.16–18</w:t>
        </w:r>
      </w:hyperlink>
      <w:r>
        <w:t xml:space="preserve">; </w:t>
      </w:r>
      <w:hyperlink r:id="rId10581">
        <w:r>
          <w:rPr>
            <w:color w:val="0000EE"/>
            <w:u w:val="single"/>
          </w:rPr>
          <w:t>74.2</w:t>
        </w:r>
      </w:hyperlink>
      <w:r>
        <w:t xml:space="preserve">; </w:t>
      </w:r>
      <w:hyperlink r:id="rId15264">
        <w:r>
          <w:rPr>
            <w:color w:val="0000EE"/>
            <w:u w:val="single"/>
          </w:rPr>
          <w:t>Is 8.18</w:t>
        </w:r>
      </w:hyperlink>
      <w:r>
        <w:t xml:space="preserve">; </w:t>
      </w:r>
      <w:hyperlink r:id="rId19490">
        <w:r>
          <w:rPr>
            <w:color w:val="0000EE"/>
            <w:u w:val="single"/>
          </w:rPr>
          <w:t>Ez 43.7–9</w:t>
        </w:r>
      </w:hyperlink>
      <w:r>
        <w:t xml:space="preserve">; </w:t>
      </w:r>
      <w:hyperlink r:id="rId19491">
        <w:r>
          <w:rPr>
            <w:color w:val="0000EE"/>
            <w:u w:val="single"/>
          </w:rPr>
          <w:t>Jl 3.17,21</w:t>
        </w:r>
      </w:hyperlink>
      <w:r>
        <w:t xml:space="preserve">; </w:t>
      </w:r>
      <w:hyperlink r:id="rId18256">
        <w:r>
          <w:rPr>
            <w:color w:val="0000EE"/>
            <w:u w:val="single"/>
          </w:rPr>
          <w:t>Zc 2.10–11</w:t>
        </w:r>
      </w:hyperlink>
      <w:r>
        <w:t>). Essas passagens mostram que, enquanto Deus habita no céu, ele também habita na terra com seu povo.</w:t>
      </w:r>
    </w:p>
    <w:p>
      <w:r/>
      <w:r>
        <w:t>As pessoas também usam o termo "</w:t>
      </w:r>
      <w:r>
        <w:rPr>
          <w:i/>
        </w:rPr>
        <w:t>shekinah</w:t>
      </w:r>
      <w:r>
        <w:t xml:space="preserve"> </w:t>
      </w:r>
      <w:r>
        <w:rPr>
          <w:i/>
        </w:rPr>
        <w:t>glória</w:t>
      </w:r>
      <w:r>
        <w:t>" para descrever como Deus se revelou visivelmente aos israelitas. Foi uma manifestação visível de Deus como uma coluna de fogo e fumaça. Esta presença foi vista:</w:t>
      </w:r>
    </w:p>
    <w:p>
      <w:pPr>
        <w:pStyle w:val="ListBullet"/>
        <w:spacing w:line="240" w:lineRule="auto"/>
        <w:ind w:left="720"/>
      </w:pPr>
      <w:r/>
      <w:r>
        <w:t>no Sinai (</w:t>
      </w:r>
      <w:hyperlink r:id="rId19492">
        <w:r>
          <w:rPr>
            <w:color w:val="0000EE"/>
            <w:u w:val="single"/>
          </w:rPr>
          <w:t>Êx 19.16–18</w:t>
        </w:r>
      </w:hyperlink>
      <w:r>
        <w:t>),</w:t>
      </w:r>
    </w:p>
    <w:p>
      <w:pPr>
        <w:pStyle w:val="ListBullet"/>
        <w:spacing w:line="240" w:lineRule="auto"/>
        <w:ind w:left="720"/>
      </w:pPr>
      <w:r/>
      <w:r>
        <w:t>no deserto (</w:t>
      </w:r>
      <w:hyperlink r:id="rId10024">
        <w:r>
          <w:rPr>
            <w:color w:val="0000EE"/>
            <w:u w:val="single"/>
          </w:rPr>
          <w:t>Êx 40.34–38</w:t>
        </w:r>
      </w:hyperlink>
      <w:r>
        <w:t>), e</w:t>
      </w:r>
    </w:p>
    <w:p>
      <w:pPr>
        <w:pStyle w:val="ListBullet"/>
        <w:spacing w:line="240" w:lineRule="auto"/>
        <w:ind w:left="720"/>
      </w:pPr>
      <w:r/>
      <w:r>
        <w:t>no templo (</w:t>
      </w:r>
      <w:hyperlink r:id="rId19488">
        <w:r>
          <w:rPr>
            <w:color w:val="0000EE"/>
            <w:u w:val="single"/>
          </w:rPr>
          <w:t>1Rs 6.13</w:t>
        </w:r>
      </w:hyperlink>
      <w:r>
        <w:t xml:space="preserve">; </w:t>
      </w:r>
      <w:hyperlink r:id="rId19493">
        <w:r>
          <w:rPr>
            <w:color w:val="0000EE"/>
            <w:u w:val="single"/>
          </w:rPr>
          <w:t>8.10–13</w:t>
        </w:r>
      </w:hyperlink>
      <w:r>
        <w:t xml:space="preserve">; </w:t>
      </w:r>
      <w:hyperlink r:id="rId19494">
        <w:r>
          <w:rPr>
            <w:color w:val="0000EE"/>
            <w:u w:val="single"/>
          </w:rPr>
          <w:t>2Cr 6.1–2</w:t>
        </w:r>
      </w:hyperlink>
      <w:r>
        <w:t>).</w:t>
      </w:r>
    </w:p>
    <w:p>
      <w:pPr>
        <w:pStyle w:val="Heading3"/>
      </w:pPr>
      <w:r>
        <w:t>Shekinah no Novo Testamento</w:t>
      </w:r>
    </w:p>
    <w:p>
      <w:r/>
      <w:r>
        <w:t xml:space="preserve">O Novo Testamento também fala sobre a presença de Deus entre as pessoas, mesmo que não use a palavra </w:t>
      </w:r>
      <w:r>
        <w:rPr>
          <w:i/>
        </w:rPr>
        <w:t>shekinah</w:t>
      </w:r>
      <w:r>
        <w:t>. No Novo Testamento, quando Deus está presente, frequentemente há luz e glória (</w:t>
      </w:r>
      <w:hyperlink r:id="rId19495">
        <w:r>
          <w:rPr>
            <w:color w:val="0000EE"/>
            <w:u w:val="single"/>
          </w:rPr>
          <w:t>Lc 2.9</w:t>
        </w:r>
      </w:hyperlink>
      <w:r>
        <w:t xml:space="preserve">; </w:t>
      </w:r>
      <w:hyperlink r:id="rId19496">
        <w:r>
          <w:rPr>
            <w:color w:val="0000EE"/>
            <w:u w:val="single"/>
          </w:rPr>
          <w:t>9.29</w:t>
        </w:r>
      </w:hyperlink>
      <w:r>
        <w:t xml:space="preserve">; </w:t>
      </w:r>
      <w:hyperlink r:id="rId19497">
        <w:r>
          <w:rPr>
            <w:color w:val="0000EE"/>
            <w:u w:val="single"/>
          </w:rPr>
          <w:t>At 9.3–6</w:t>
        </w:r>
      </w:hyperlink>
      <w:r>
        <w:t xml:space="preserve">; </w:t>
      </w:r>
      <w:hyperlink r:id="rId10889">
        <w:r>
          <w:rPr>
            <w:color w:val="0000EE"/>
            <w:u w:val="single"/>
          </w:rPr>
          <w:t>22.6–11</w:t>
        </w:r>
      </w:hyperlink>
      <w:r>
        <w:t xml:space="preserve">; </w:t>
      </w:r>
      <w:hyperlink r:id="rId19498">
        <w:r>
          <w:rPr>
            <w:color w:val="0000EE"/>
            <w:u w:val="single"/>
          </w:rPr>
          <w:t>26.12–16</w:t>
        </w:r>
      </w:hyperlink>
      <w:r>
        <w:t xml:space="preserve">; </w:t>
      </w:r>
      <w:hyperlink r:id="rId3746">
        <w:r>
          <w:rPr>
            <w:color w:val="0000EE"/>
            <w:u w:val="single"/>
          </w:rPr>
          <w:t>2Pe 1.16–18</w:t>
        </w:r>
      </w:hyperlink>
      <w:r>
        <w:t>).</w:t>
      </w:r>
    </w:p>
    <w:p>
      <w:r/>
      <w:r>
        <w:t>O Evangelho de João foca especialmente na glória e em Deus vivendo com as pessoas. Ele nos diz que quando Jesus (chamado de "a Palavra") se tornou humano, ele viveu entre as pessoas que viram sua glória (</w:t>
      </w:r>
      <w:hyperlink r:id="rId3743">
        <w:r>
          <w:rPr>
            <w:color w:val="0000EE"/>
            <w:u w:val="single"/>
          </w:rPr>
          <w:t>Jo 1.14</w:t>
        </w:r>
      </w:hyperlink>
      <w:r>
        <w:t>). O Espírito de Deus permaneceu sobre ele (</w:t>
      </w:r>
      <w:hyperlink r:id="rId19499">
        <w:r>
          <w:rPr>
            <w:color w:val="0000EE"/>
            <w:u w:val="single"/>
          </w:rPr>
          <w:t>Jo 1.32</w:t>
        </w:r>
      </w:hyperlink>
      <w:r>
        <w:t>) e estaria com seus seguidores para sempre (</w:t>
      </w:r>
      <w:hyperlink r:id="rId11109">
        <w:r>
          <w:rPr>
            <w:color w:val="0000EE"/>
            <w:u w:val="single"/>
          </w:rPr>
          <w:t>Jo 14.16</w:t>
        </w:r>
      </w:hyperlink>
      <w:r>
        <w:t>). Ele permaneceria naqueles que permanecem em Jesus (</w:t>
      </w:r>
      <w:hyperlink r:id="rId16977">
        <w:r>
          <w:rPr>
            <w:color w:val="0000EE"/>
            <w:u w:val="single"/>
          </w:rPr>
          <w:t>Jo 15.4–10</w:t>
        </w:r>
      </w:hyperlink>
      <w:r>
        <w:t>). João escreveu sobre essas mesmas ideias em suas cartas também. Ele frequentemente falava sobre como os crentes vivem em Cristo e como Cristo vive neles (</w:t>
      </w:r>
      <w:hyperlink r:id="rId19500">
        <w:r>
          <w:rPr>
            <w:color w:val="0000EE"/>
            <w:u w:val="single"/>
          </w:rPr>
          <w:t>1Jo 2.6,14,24,27–28</w:t>
        </w:r>
      </w:hyperlink>
      <w:r>
        <w:t xml:space="preserve">; </w:t>
      </w:r>
      <w:hyperlink r:id="rId19501">
        <w:r>
          <w:rPr>
            <w:color w:val="0000EE"/>
            <w:u w:val="single"/>
          </w:rPr>
          <w:t>3.6,14–15,24</w:t>
        </w:r>
      </w:hyperlink>
      <w:r>
        <w:t xml:space="preserve">; </w:t>
      </w:r>
      <w:hyperlink r:id="rId19502">
        <w:r>
          <w:rPr>
            <w:color w:val="0000EE"/>
            <w:u w:val="single"/>
          </w:rPr>
          <w:t>2Jo 1.9</w:t>
        </w:r>
      </w:hyperlink>
      <w:r>
        <w:t>).</w:t>
      </w:r>
    </w:p>
    <w:p>
      <w:r/>
      <w:r>
        <w:t xml:space="preserve">Paulo também identifica Jesus como a </w:t>
      </w:r>
      <w:r>
        <w:rPr>
          <w:i/>
        </w:rPr>
        <w:t>shekinah</w:t>
      </w:r>
      <w:r>
        <w:t xml:space="preserve"> de Deus. Toda a essência e natureza de Deus vivem plenamente em Jesus em forma física (</w:t>
      </w:r>
      <w:hyperlink r:id="rId5142">
        <w:r>
          <w:rPr>
            <w:color w:val="0000EE"/>
            <w:u w:val="single"/>
          </w:rPr>
          <w:t>Cl 1.19</w:t>
        </w:r>
      </w:hyperlink>
      <w:r>
        <w:t xml:space="preserve">; </w:t>
      </w:r>
      <w:hyperlink r:id="rId5143">
        <w:r>
          <w:rPr>
            <w:color w:val="0000EE"/>
            <w:u w:val="single"/>
          </w:rPr>
          <w:t>2.9</w:t>
        </w:r>
      </w:hyperlink>
      <w:r>
        <w:t>). Quando Cristo vive em sua igreja, isso transforma seus seguidores no povo de Deus (</w:t>
      </w:r>
      <w:hyperlink r:id="rId19503">
        <w:r>
          <w:rPr>
            <w:color w:val="0000EE"/>
            <w:u w:val="single"/>
          </w:rPr>
          <w:t>Cl 1.15–23</w:t>
        </w:r>
      </w:hyperlink>
      <w:r>
        <w:t>). Paulo descreveu sua mensagem como "o evangelho da glória de Cristo". Ele explicou que Deus fez sua luz brilhar para ajudar as pessoas a entenderem "a glória de Deus na face de Jesus Cristo" (</w:t>
      </w:r>
      <w:hyperlink r:id="rId8476">
        <w:r>
          <w:rPr>
            <w:color w:val="0000EE"/>
            <w:u w:val="single"/>
          </w:rPr>
          <w:t>2Co 4.4–6</w:t>
        </w:r>
      </w:hyperlink>
      <w:r>
        <w:t>).</w:t>
      </w:r>
    </w:p>
    <w:p>
      <w:r/>
      <w:r>
        <w:t>Finalmente, o livro de Hebreus diz que Jesus é “o resplendor da glória de Deus e a representação exata de Sua natureza” (</w:t>
      </w:r>
      <w:hyperlink r:id="rId2666">
        <w:r>
          <w:rPr>
            <w:color w:val="0000EE"/>
            <w:u w:val="single"/>
          </w:rPr>
          <w:t>Hb 1.3</w:t>
        </w:r>
      </w:hyperlink>
      <w:r>
        <w:t>).</w:t>
      </w:r>
    </w:p>
    <w:p>
      <w:r/>
      <w:r>
        <w:rPr>
          <w:i/>
        </w:rPr>
        <w:t>Veja</w:t>
      </w:r>
      <w:r>
        <w:t xml:space="preserve"> </w:t>
      </w:r>
      <w:r>
        <w:t>Glória</w:t>
      </w:r>
      <w:r>
        <w:t xml:space="preserve">; </w:t>
      </w:r>
      <w:r>
        <w:t>Pilar de fogo e nuvem</w:t>
      </w:r>
      <w:r>
        <w:t xml:space="preserve">; </w:t>
      </w:r>
      <w:r>
        <w:t>Teofania</w:t>
      </w:r>
      <w:r>
        <w:t>.</w:t>
      </w:r>
      <w:r/>
      <w:r/>
    </w:p>
    <w:p>
      <w:r/>
    </w:p>
    <w:p>
      <w:pPr>
        <w:pStyle w:val="Heading2"/>
      </w:pPr>
      <w:r>
        <w:t>Shemá, O</w:t>
      </w:r>
      <w:r/>
    </w:p>
    <w:p>
      <w:r/>
      <w:r>
        <w:t>A declaração “Ouve, ó Israel, Yahweh nosso Deus, Yahweh é um” (</w:t>
      </w:r>
      <w:hyperlink r:id="rId3757">
        <w:r>
          <w:rPr>
            <w:color w:val="0000EE"/>
            <w:u w:val="single"/>
          </w:rPr>
          <w:t>Deuteronômio 6.4</w:t>
        </w:r>
      </w:hyperlink>
      <w:r>
        <w:t xml:space="preserve">). O nome, Shemá, vem da primeira palavra hebraica do versículo, </w:t>
      </w:r>
      <w:r>
        <w:rPr>
          <w:i/>
        </w:rPr>
        <w:t>Shema,</w:t>
      </w:r>
      <w:r>
        <w:t xml:space="preserve"> “ouvir”. </w:t>
      </w:r>
      <w:hyperlink r:id="rId1340">
        <w:r>
          <w:rPr>
            <w:color w:val="0000EE"/>
            <w:u w:val="single"/>
          </w:rPr>
          <w:t>Deuteronômio 6.4–9</w:t>
        </w:r>
      </w:hyperlink>
      <w:r>
        <w:t xml:space="preserve"> contém toda essa verdade bíblica essencial. Embora várias traduções do versículo </w:t>
      </w:r>
      <w:hyperlink r:id="rId3757">
        <w:r>
          <w:rPr>
            <w:color w:val="0000EE"/>
            <w:u w:val="single"/>
          </w:rPr>
          <w:t>4</w:t>
        </w:r>
      </w:hyperlink>
      <w:r>
        <w:t xml:space="preserve"> sejam gramaticalmente corretas, as palavras de Jesus em </w:t>
      </w:r>
      <w:hyperlink r:id="rId6808">
        <w:r>
          <w:rPr>
            <w:color w:val="0000EE"/>
            <w:u w:val="single"/>
          </w:rPr>
          <w:t xml:space="preserve">Marcos 12.29 </w:t>
        </w:r>
      </w:hyperlink>
      <w:r>
        <w:t>correspondem melhor à tradução acima. Judeus religiosos oram o Shemá três vezes ao dia como devoção. Nenhum culto de sábado ocorre na sinagoga sem ele.</w:t>
      </w:r>
    </w:p>
    <w:p>
      <w:r/>
      <w:r>
        <w:t>O Shemá contém uma verdade doutrinária chave e uma obrigação. O Shemá exige que os ouvintes respondam com todo o seu ser a esta importante revelação.</w:t>
      </w:r>
    </w:p>
    <w:p>
      <w:r/>
      <w:r>
        <w:t>Quanto à natureza de Deus, a palavra "um" (</w:t>
      </w:r>
      <w:r>
        <w:rPr>
          <w:i/>
        </w:rPr>
        <w:t>echad</w:t>
      </w:r>
      <w:r>
        <w:t xml:space="preserve">) significa uma unidade composta, não um singular absoluto. O teólogo judeu medieval Maimônides argumentou que Deus era </w:t>
      </w:r>
      <w:r>
        <w:rPr>
          <w:i/>
        </w:rPr>
        <w:t>yachid</w:t>
      </w:r>
      <w:r>
        <w:t xml:space="preserve"> (um singular absoluto). Mas, o Antigo Testamento não usa essa palavra para descrever Deus. A palavra "</w:t>
      </w:r>
      <w:r>
        <w:rPr>
          <w:i/>
        </w:rPr>
        <w:t>echad</w:t>
      </w:r>
      <w:r>
        <w:t xml:space="preserve">" ocorre pela primeira vez em </w:t>
      </w:r>
      <w:hyperlink r:id="rId3603">
        <w:r>
          <w:rPr>
            <w:color w:val="0000EE"/>
            <w:u w:val="single"/>
          </w:rPr>
          <w:t>Gênesis 2.24,</w:t>
        </w:r>
      </w:hyperlink>
      <w:r>
        <w:t xml:space="preserve"> onde um homem e uma mulher são feitos um (</w:t>
      </w:r>
      <w:r>
        <w:rPr>
          <w:i/>
        </w:rPr>
        <w:t>echad</w:t>
      </w:r>
      <w:r>
        <w:t xml:space="preserve">) no casamento. É assim que Jesus pôde citar </w:t>
      </w:r>
      <w:hyperlink r:id="rId3757">
        <w:r>
          <w:rPr>
            <w:color w:val="0000EE"/>
            <w:u w:val="single"/>
          </w:rPr>
          <w:t>Deuteronômio 6.4</w:t>
        </w:r>
      </w:hyperlink>
      <w:r>
        <w:t xml:space="preserve"> sem negar sua própria divindade.</w:t>
      </w:r>
    </w:p>
    <w:p>
      <w:r/>
      <w:r>
        <w:rPr>
          <w:i/>
        </w:rPr>
        <w:t>Veja também</w:t>
      </w:r>
      <w:r>
        <w:t xml:space="preserve"> </w:t>
      </w:r>
      <w:r>
        <w:t>Deuteronômio, Livro de</w:t>
      </w:r>
      <w:r>
        <w:t>.</w:t>
      </w:r>
      <w:r/>
      <w:r/>
    </w:p>
    <w:p>
      <w:r/>
    </w:p>
    <w:p>
      <w:pPr>
        <w:pStyle w:val="Heading2"/>
      </w:pPr>
      <w:r>
        <w:t>Sheol</w:t>
      </w:r>
      <w:r/>
    </w:p>
    <w:p>
      <w:r/>
      <w:r>
        <w:t>Termo hebraico para o lugar dos mortos. No uso comum, significa "ravina", "abismo", "submundo" ou "mundo dos mortos". No AT, é o lugar onde os mortos têm sua morada, um espaço oco debaixo da terra onde os mortos são reunidos. Sinônimos para Sheol são "cova", "morte" e "destruição" (Abadom). Sheol é um lugar de sombras e silêncio absoluto. Aqui toda existência está em suspense, mas não é um não lugar, mas sim um lugar onde a vida não existe mais. É descrito como a Terra do Esquecimento. Aqueles que habitam lá não podem louvar a Deus (</w:t>
      </w:r>
      <w:hyperlink r:id="rId18154">
        <w:r>
          <w:rPr>
            <w:color w:val="0000EE"/>
            <w:u w:val="single"/>
          </w:rPr>
          <w:t>Sl 88.10–12</w:t>
        </w:r>
      </w:hyperlink>
      <w:r>
        <w:t>). No Apocalipse, é chamado de "poço sem fundo" presidido por Abadom, o príncipe do poço (</w:t>
      </w:r>
      <w:hyperlink r:id="rId36">
        <w:r>
          <w:rPr>
            <w:color w:val="0000EE"/>
            <w:u w:val="single"/>
          </w:rPr>
          <w:t>Ap 9.11</w:t>
        </w:r>
      </w:hyperlink>
      <w:r>
        <w:t>).</w:t>
      </w:r>
    </w:p>
    <w:p>
      <w:r/>
      <w:r>
        <w:t>No entanto, não é um lugar onde Deus está completamente ausente; não há como escapar de Deus, mesmo em Sheol (</w:t>
      </w:r>
      <w:hyperlink r:id="rId14816">
        <w:r>
          <w:rPr>
            <w:color w:val="0000EE"/>
            <w:u w:val="single"/>
          </w:rPr>
          <w:t>Sl 139.8</w:t>
        </w:r>
      </w:hyperlink>
      <w:r>
        <w:t>). Esta onipresença de Deus é descrita graficamente em Jó: “Para Deus o mundo dos mortos é aberto; não há cobertura que o impeça de ver o que acontece lá” (</w:t>
      </w:r>
      <w:hyperlink r:id="rId30">
        <w:r>
          <w:rPr>
            <w:color w:val="0000EE"/>
            <w:u w:val="single"/>
          </w:rPr>
          <w:t>Jó 26.6</w:t>
        </w:r>
      </w:hyperlink>
      <w:r>
        <w:t>, NTLH). Um pensamento semelhante é expresso em Provérbios: “Se o SENHOR sabe o que acontece até mesmo no mundo dos mortos, como poderá alguém esconder dele os seus pensamentos?” (</w:t>
      </w:r>
      <w:hyperlink r:id="rId34">
        <w:r>
          <w:rPr>
            <w:color w:val="0000EE"/>
            <w:u w:val="single"/>
          </w:rPr>
          <w:t>Pv 15.11</w:t>
        </w:r>
      </w:hyperlink>
      <w:r>
        <w:t>, NTLH). Em ambos os textos, Sheol e Abadom são usados de forma intercambiável. Abadom significa literalmente “destruição”, mas em Apocalipse é usado como um nome pessoal.</w:t>
      </w:r>
    </w:p>
    <w:p>
      <w:r/>
      <w:r>
        <w:t>Na Bíblia, a morte não é uma ocorrência natural. Ela viola o princípio da vida, que é um presente de Deus. O Sheol, portanto, não é apenas um lugar de descanso, mas também de punição. Corá e seus associados que instigaram a rebelião contra Moisés foram engolidos pela cova aberta e pereceram no Sheol (</w:t>
      </w:r>
      <w:hyperlink r:id="rId19504">
        <w:r>
          <w:rPr>
            <w:color w:val="0000EE"/>
            <w:u w:val="single"/>
          </w:rPr>
          <w:t>Nm 16.30–33</w:t>
        </w:r>
      </w:hyperlink>
      <w:r>
        <w:t>). O medo da morte é natural ao homem; o Sheol, portanto, serve como um símbolo da jornada sem retorno (</w:t>
      </w:r>
      <w:hyperlink r:id="rId19505">
        <w:r>
          <w:rPr>
            <w:color w:val="0000EE"/>
            <w:u w:val="single"/>
          </w:rPr>
          <w:t>Sl 39.12–13</w:t>
        </w:r>
      </w:hyperlink>
      <w:r>
        <w:t>). O rei Ezequias de Judá lamenta em seu leito de enfermidade: “Eu pensava que iria morrer na flor da idade, que daqui em diante moraria no mundo dos mortos” (</w:t>
      </w:r>
      <w:hyperlink r:id="rId19506">
        <w:r>
          <w:rPr>
            <w:color w:val="0000EE"/>
            <w:u w:val="single"/>
          </w:rPr>
          <w:t>Is 38.10</w:t>
        </w:r>
      </w:hyperlink>
      <w:r>
        <w:t>, NTLH).</w:t>
      </w:r>
    </w:p>
    <w:p>
      <w:r/>
      <w:r>
        <w:t xml:space="preserve">Sheol, conforme concebido no AT, difere da doutrina posterior do inferno ou Hades, pois é o lugar onde todos os mortos são reunidos indiscriminadamente, tanto os bons quanto os maus, os santos e os pecadores. Morrer significa juntar-se àqueles que foram antes. Quando um judeu morre, ele é “reunido com seus antepassados” (cf. </w:t>
      </w:r>
      <w:hyperlink r:id="rId19507">
        <w:r>
          <w:rPr>
            <w:color w:val="0000EE"/>
            <w:u w:val="single"/>
          </w:rPr>
          <w:t>Gn 25.8,17</w:t>
        </w:r>
      </w:hyperlink>
      <w:r>
        <w:t xml:space="preserve">; </w:t>
      </w:r>
      <w:hyperlink r:id="rId19508">
        <w:r>
          <w:rPr>
            <w:color w:val="0000EE"/>
            <w:u w:val="single"/>
          </w:rPr>
          <w:t>35.29</w:t>
        </w:r>
      </w:hyperlink>
      <w:r>
        <w:t xml:space="preserve">; </w:t>
      </w:r>
      <w:hyperlink r:id="rId19390">
        <w:r>
          <w:rPr>
            <w:color w:val="0000EE"/>
            <w:u w:val="single"/>
          </w:rPr>
          <w:t>49.29</w:t>
        </w:r>
      </w:hyperlink>
      <w:r>
        <w:t xml:space="preserve">). Além de Sheol, parecia não haver esperança (cf. </w:t>
      </w:r>
      <w:hyperlink r:id="rId11024">
        <w:r>
          <w:rPr>
            <w:color w:val="0000EE"/>
            <w:u w:val="single"/>
          </w:rPr>
          <w:t>Ec 9.10</w:t>
        </w:r>
      </w:hyperlink>
      <w:r>
        <w:t>). O desespero absoluto da morte é expresso de forma patética no livro de Jó: “antes que me vá na viagem que não tem volta, antes que vá para o país da escuridão e das trevas, para o país das sombras e da desordem, onde a própria luz é como a escuridão” (</w:t>
      </w:r>
      <w:hyperlink r:id="rId8290">
        <w:r>
          <w:rPr>
            <w:color w:val="0000EE"/>
            <w:u w:val="single"/>
          </w:rPr>
          <w:t>Jó 10.21–22</w:t>
        </w:r>
      </w:hyperlink>
      <w:r>
        <w:t>, NTLH). No entanto, esta não é a última palavra de Jó. Ele também conhece o poder de Deus, que alcança além do túmulo: “Pois eu sei que o meu defensor vive...; Mesmo que a minha pele seja toda comida pela doença, ainda neste corpo eu verei a Deus” (</w:t>
      </w:r>
      <w:hyperlink r:id="rId908">
        <w:r>
          <w:rPr>
            <w:color w:val="0000EE"/>
            <w:u w:val="single"/>
          </w:rPr>
          <w:t>19.25–26</w:t>
        </w:r>
      </w:hyperlink>
      <w:r>
        <w:t>, NTLH).</w:t>
      </w:r>
    </w:p>
    <w:p>
      <w:r/>
      <w:r>
        <w:t>A ideia de que os mortos habitam no submundo persiste no AT. O incidente no caso de Saul com a médium de En-Dor (</w:t>
      </w:r>
      <w:hyperlink r:id="rId19509">
        <w:r>
          <w:rPr>
            <w:color w:val="0000EE"/>
            <w:u w:val="single"/>
          </w:rPr>
          <w:t>1Sm 28.11</w:t>
        </w:r>
      </w:hyperlink>
      <w:r>
        <w:t>) é uma boa ilustração. Samuel é trazido “de dentro da terra” para ser consultado pelo rei em um momento de crise. Tal necromancia era estritamente proibida tanto pela lei de Moisés (</w:t>
      </w:r>
      <w:hyperlink r:id="rId19510">
        <w:r>
          <w:rPr>
            <w:color w:val="0000EE"/>
            <w:u w:val="single"/>
          </w:rPr>
          <w:t>Dt 18.9–11</w:t>
        </w:r>
      </w:hyperlink>
      <w:r>
        <w:t xml:space="preserve">) quanto pelo próprio rei (cf. </w:t>
      </w:r>
      <w:hyperlink r:id="rId19511">
        <w:r>
          <w:rPr>
            <w:color w:val="0000EE"/>
            <w:u w:val="single"/>
          </w:rPr>
          <w:t>1Sm 28.3,9</w:t>
        </w:r>
      </w:hyperlink>
      <w:r>
        <w:t>). Aparentemente, aqueles no submundo, embora separados dos vivos, eram considerados familiarizados com os assuntos dos homens.</w:t>
      </w:r>
    </w:p>
    <w:p>
      <w:r/>
      <w:r>
        <w:t>Sheol é próximo ao equivalente à palavra grega frequentemente encontrada no NT, Hades</w:t>
      </w:r>
      <w:r>
        <w:rPr>
          <w:i/>
        </w:rPr>
        <w:t>,</w:t>
      </w:r>
      <w:r>
        <w:t xml:space="preserve"> que também descreve o lugar dos mortos.</w:t>
      </w:r>
    </w:p>
    <w:p>
      <w:r/>
      <w:r>
        <w:rPr>
          <w:i/>
        </w:rPr>
        <w:t>Veja também</w:t>
      </w:r>
      <w:r>
        <w:t xml:space="preserve"> </w:t>
      </w:r>
      <w:r>
        <w:t>Lugar dos mortos</w:t>
      </w:r>
      <w:r>
        <w:t xml:space="preserve">; </w:t>
      </w:r>
      <w:r>
        <w:t>Morte</w:t>
      </w:r>
      <w:r>
        <w:t xml:space="preserve">; </w:t>
      </w:r>
      <w:r>
        <w:t>Hades</w:t>
      </w:r>
      <w:r>
        <w:t xml:space="preserve">; </w:t>
      </w:r>
      <w:r>
        <w:t>Inferno</w:t>
      </w:r>
      <w:r>
        <w:t xml:space="preserve">; </w:t>
      </w:r>
      <w:r>
        <w:t>Estado intermediário</w:t>
      </w:r>
      <w:r>
        <w:t>.</w:t>
      </w:r>
      <w:r/>
      <w:r/>
    </w:p>
    <w:p>
      <w:r/>
    </w:p>
    <w:p>
      <w:pPr>
        <w:pStyle w:val="Heading2"/>
      </w:pPr>
      <w:r>
        <w:t>Shimi</w:t>
      </w:r>
      <w:r/>
    </w:p>
    <w:p>
      <w:r/>
      <w:r>
        <w:t xml:space="preserve">A versão do Rei Tiago para a grafia de Simei, filho de Gérson, em </w:t>
      </w:r>
      <w:hyperlink r:id="rId13012">
        <w:r>
          <w:rPr>
            <w:color w:val="0000EE"/>
            <w:u w:val="single"/>
          </w:rPr>
          <w:t>Êxodo 6.17</w:t>
        </w:r>
      </w:hyperlink>
      <w:r>
        <w:t>.</w:t>
      </w:r>
    </w:p>
    <w:p>
      <w:r/>
      <w:r>
        <w:rPr>
          <w:i/>
        </w:rPr>
        <w:t>Veja</w:t>
      </w:r>
      <w:r>
        <w:t xml:space="preserve"> </w:t>
      </w:r>
      <w:r>
        <w:t>Simei #1</w:t>
      </w:r>
      <w:r>
        <w:t>.</w:t>
      </w:r>
      <w:r/>
      <w:r/>
    </w:p>
    <w:p>
      <w:r/>
    </w:p>
    <w:p>
      <w:pPr>
        <w:pStyle w:val="Heading2"/>
      </w:pPr>
      <w:r>
        <w:t>Sião</w:t>
      </w:r>
      <w:r/>
    </w:p>
    <w:p>
      <w:r/>
      <w:r>
        <w:t>A fortaleza dos jebuseus em Jerusalém foi conquistada por Davi. A partir de então, Sião passou a ser usada por escritores bíblicos para identificar outras áreas de Jerusalém e como uma designação para a cidade inteira. Sião também foi utilizada para descrever, espiritualmente falando, a cidade eterna de Deus.</w:t>
      </w:r>
    </w:p>
    <w:p>
      <w:pPr>
        <w:pStyle w:val="Heading3"/>
      </w:pPr>
      <w:r>
        <w:t>Locais geográficos</w:t>
      </w:r>
    </w:p>
    <w:p>
      <w:pPr>
        <w:pStyle w:val="Heading4"/>
      </w:pPr>
      <w:r>
        <w:t>A fortaleza dos jebuseus</w:t>
      </w:r>
    </w:p>
    <w:p>
      <w:r/>
      <w:r>
        <w:t>A primeira ocorrência da palavra “Sião” está na narrativa da conquista de Jerusalém por Davi (</w:t>
      </w:r>
      <w:hyperlink r:id="rId12321">
        <w:r>
          <w:rPr>
            <w:color w:val="0000EE"/>
            <w:u w:val="single"/>
          </w:rPr>
          <w:t>2Sm 5.6–10</w:t>
        </w:r>
      </w:hyperlink>
      <w:r>
        <w:t xml:space="preserve">; </w:t>
      </w:r>
      <w:hyperlink r:id="rId6583">
        <w:r>
          <w:rPr>
            <w:color w:val="0000EE"/>
            <w:u w:val="single"/>
          </w:rPr>
          <w:t>1Cr 11.4–9</w:t>
        </w:r>
      </w:hyperlink>
      <w:r>
        <w:t>). Davi capturou a “fortaleza de Sião”, que passou a ser conhecida como a “cidade de Davi”. A “fortaleza de Sião” pode se referir a todo o perímetro murado do local de aproximadamente 4,5 hectares na encosta sudeste (a encosta do Ofel), ou a uma área fortificada menor dentro desse local.</w:t>
      </w:r>
    </w:p>
    <w:p>
      <w:pPr>
        <w:pStyle w:val="Heading4"/>
      </w:pPr>
      <w:r>
        <w:t>O monte do templo</w:t>
      </w:r>
    </w:p>
    <w:p>
      <w:r/>
      <w:r>
        <w:t>As mudanças no perímetro da cidade ao incorporar mais território dentro das muralhas ampliam o termo Sião. Quando Salomão construiu o templo e seu palácio e estendeu as muralhas ao norte da Colina de Ofel para abranger a eira de Ornã, o jebuseu (</w:t>
      </w:r>
      <w:hyperlink r:id="rId19512">
        <w:r>
          <w:rPr>
            <w:color w:val="0000EE"/>
            <w:u w:val="single"/>
          </w:rPr>
          <w:t>2Sm 24.16–18</w:t>
        </w:r>
      </w:hyperlink>
      <w:r>
        <w:t xml:space="preserve">; </w:t>
      </w:r>
      <w:hyperlink r:id="rId19513">
        <w:r>
          <w:rPr>
            <w:color w:val="0000EE"/>
            <w:u w:val="single"/>
          </w:rPr>
          <w:t>1Cr 21.15–18,28</w:t>
        </w:r>
      </w:hyperlink>
      <w:r>
        <w:t>), o nome Sião foi aplicado a essas áreas também. A transferência da arca “de Sião, a Cidade de Davi” (</w:t>
      </w:r>
      <w:hyperlink r:id="rId19514">
        <w:r>
          <w:rPr>
            <w:color w:val="0000EE"/>
            <w:u w:val="single"/>
          </w:rPr>
          <w:t>1Rs 8.1</w:t>
        </w:r>
      </w:hyperlink>
      <w:r>
        <w:t xml:space="preserve">; </w:t>
      </w:r>
      <w:hyperlink r:id="rId19515">
        <w:r>
          <w:rPr>
            <w:color w:val="0000EE"/>
            <w:u w:val="single"/>
          </w:rPr>
          <w:t>2Cr 5.2</w:t>
        </w:r>
      </w:hyperlink>
      <w:r>
        <w:t>) para a colina do templo trouxe tanto uma extensão quanto uma redução do território abrangido pelo termo “Sião”. A cidade inteira ainda poderia ser chamada de Sião, mas a partir deste ponto, haveria uma identificação estreita entre Sião e a colina do templo. Os recintos do templo tornaram-se o Sião principal; referências a Sião nos livros poéticos e na pregação dos profetas referem-se principalmente à área do templo como a morada de Deus.</w:t>
      </w:r>
    </w:p>
    <w:p>
      <w:pPr>
        <w:pStyle w:val="Heading4"/>
      </w:pPr>
      <w:r>
        <w:t>A cidade toda</w:t>
      </w:r>
    </w:p>
    <w:p>
      <w:r/>
      <w:r>
        <w:t>A palavra "Sião" pode ser usada para designar toda a cidade ou sua população sem referência específica à área do templo. Este uso é mais evidente em passagens poéticas onde Sião é um termo paralelo a Jerusalém (</w:t>
      </w:r>
      <w:hyperlink r:id="rId19516">
        <w:r>
          <w:rPr>
            <w:color w:val="0000EE"/>
            <w:u w:val="single"/>
          </w:rPr>
          <w:t>Sl 51.18</w:t>
        </w:r>
      </w:hyperlink>
      <w:r>
        <w:t xml:space="preserve">; </w:t>
      </w:r>
      <w:hyperlink r:id="rId14189">
        <w:r>
          <w:rPr>
            <w:color w:val="0000EE"/>
            <w:u w:val="single"/>
          </w:rPr>
          <w:t>76.2</w:t>
        </w:r>
      </w:hyperlink>
      <w:r>
        <w:t xml:space="preserve">; </w:t>
      </w:r>
      <w:hyperlink r:id="rId13321">
        <w:r>
          <w:rPr>
            <w:color w:val="0000EE"/>
            <w:u w:val="single"/>
          </w:rPr>
          <w:t>102.21</w:t>
        </w:r>
      </w:hyperlink>
      <w:r>
        <w:t xml:space="preserve">; </w:t>
      </w:r>
      <w:hyperlink r:id="rId19517">
        <w:r>
          <w:rPr>
            <w:color w:val="0000EE"/>
            <w:u w:val="single"/>
          </w:rPr>
          <w:t>135.21</w:t>
        </w:r>
      </w:hyperlink>
      <w:r>
        <w:t xml:space="preserve">; </w:t>
      </w:r>
      <w:hyperlink r:id="rId19518">
        <w:r>
          <w:rPr>
            <w:color w:val="0000EE"/>
            <w:u w:val="single"/>
          </w:rPr>
          <w:t>147.12</w:t>
        </w:r>
      </w:hyperlink>
      <w:r>
        <w:t xml:space="preserve">; </w:t>
      </w:r>
      <w:hyperlink r:id="rId14340">
        <w:r>
          <w:rPr>
            <w:color w:val="0000EE"/>
            <w:u w:val="single"/>
          </w:rPr>
          <w:t>Is 2.3</w:t>
        </w:r>
      </w:hyperlink>
      <w:r>
        <w:t xml:space="preserve">; </w:t>
      </w:r>
      <w:hyperlink r:id="rId19519">
        <w:r>
          <w:rPr>
            <w:color w:val="0000EE"/>
            <w:u w:val="single"/>
          </w:rPr>
          <w:t>30.19</w:t>
        </w:r>
      </w:hyperlink>
      <w:r>
        <w:t xml:space="preserve">; </w:t>
      </w:r>
      <w:hyperlink r:id="rId19520">
        <w:r>
          <w:rPr>
            <w:color w:val="0000EE"/>
            <w:u w:val="single"/>
          </w:rPr>
          <w:t>33.20</w:t>
        </w:r>
      </w:hyperlink>
      <w:r>
        <w:t xml:space="preserve">; </w:t>
      </w:r>
      <w:hyperlink r:id="rId19521">
        <w:r>
          <w:rPr>
            <w:color w:val="0000EE"/>
            <w:u w:val="single"/>
          </w:rPr>
          <w:t>37.32</w:t>
        </w:r>
      </w:hyperlink>
      <w:r>
        <w:t xml:space="preserve">; </w:t>
      </w:r>
      <w:hyperlink r:id="rId19522">
        <w:r>
          <w:rPr>
            <w:color w:val="0000EE"/>
            <w:u w:val="single"/>
          </w:rPr>
          <w:t>40.9</w:t>
        </w:r>
      </w:hyperlink>
      <w:r>
        <w:t xml:space="preserve">; </w:t>
      </w:r>
      <w:hyperlink r:id="rId19523">
        <w:r>
          <w:rPr>
            <w:color w:val="0000EE"/>
            <w:u w:val="single"/>
          </w:rPr>
          <w:t>41.27</w:t>
        </w:r>
      </w:hyperlink>
      <w:r>
        <w:t xml:space="preserve">; </w:t>
      </w:r>
      <w:hyperlink r:id="rId19524">
        <w:r>
          <w:rPr>
            <w:color w:val="0000EE"/>
            <w:u w:val="single"/>
          </w:rPr>
          <w:t>62.1</w:t>
        </w:r>
      </w:hyperlink>
      <w:r>
        <w:t xml:space="preserve">; </w:t>
      </w:r>
      <w:hyperlink r:id="rId3008">
        <w:r>
          <w:rPr>
            <w:color w:val="0000EE"/>
            <w:u w:val="single"/>
          </w:rPr>
          <w:t>Jr 26.18</w:t>
        </w:r>
      </w:hyperlink>
      <w:r>
        <w:t xml:space="preserve">; </w:t>
      </w:r>
      <w:hyperlink r:id="rId19525">
        <w:r>
          <w:rPr>
            <w:color w:val="0000EE"/>
            <w:u w:val="single"/>
          </w:rPr>
          <w:t>51.35</w:t>
        </w:r>
      </w:hyperlink>
      <w:r>
        <w:t xml:space="preserve">; </w:t>
      </w:r>
      <w:hyperlink r:id="rId1272">
        <w:r>
          <w:rPr>
            <w:color w:val="0000EE"/>
            <w:u w:val="single"/>
          </w:rPr>
          <w:t>Am 1.2</w:t>
        </w:r>
      </w:hyperlink>
      <w:r>
        <w:t xml:space="preserve">; </w:t>
      </w:r>
      <w:hyperlink r:id="rId19526">
        <w:r>
          <w:rPr>
            <w:color w:val="0000EE"/>
            <w:u w:val="single"/>
          </w:rPr>
          <w:t>Sf 3.14</w:t>
        </w:r>
      </w:hyperlink>
      <w:r>
        <w:t>) ou às aldeias de Judá (</w:t>
      </w:r>
      <w:hyperlink r:id="rId19527">
        <w:r>
          <w:rPr>
            <w:color w:val="0000EE"/>
            <w:u w:val="single"/>
          </w:rPr>
          <w:t>Sl 69.35</w:t>
        </w:r>
      </w:hyperlink>
      <w:r>
        <w:t xml:space="preserve">; </w:t>
      </w:r>
      <w:hyperlink r:id="rId19528">
        <w:r>
          <w:rPr>
            <w:color w:val="0000EE"/>
            <w:u w:val="single"/>
          </w:rPr>
          <w:t>97.8</w:t>
        </w:r>
      </w:hyperlink>
      <w:r>
        <w:t xml:space="preserve">; </w:t>
      </w:r>
      <w:hyperlink r:id="rId19522">
        <w:r>
          <w:rPr>
            <w:color w:val="0000EE"/>
            <w:u w:val="single"/>
          </w:rPr>
          <w:t>Is 40.9</w:t>
        </w:r>
      </w:hyperlink>
      <w:r>
        <w:t>).</w:t>
      </w:r>
    </w:p>
    <w:p>
      <w:pPr>
        <w:pStyle w:val="Heading3"/>
      </w:pPr>
      <w:r>
        <w:t>Razões teológicas</w:t>
      </w:r>
    </w:p>
    <w:p>
      <w:pPr>
        <w:pStyle w:val="Heading4"/>
      </w:pPr>
      <w:r>
        <w:t>No Antigo Testamento</w:t>
      </w:r>
    </w:p>
    <w:p>
      <w:r/>
      <w:r>
        <w:t>Muitos motivos teológicos estão associados ao tema de Sião à medida que se desenvolve na história redentora. O motivo dominante de Sião como a morada de Deus, o lugar onde Deus está no meio do seu povo, está ligado ao tema maior de Emanuel, “Deus no nosso meio”. Assim como a coluna de fogo e nuvem pairava sobre o tabernáculo durante a peregrinação no deserto, uma vez que Israel alcançou o lugar da escolha de Deus (</w:t>
      </w:r>
      <w:hyperlink r:id="rId19529">
        <w:r>
          <w:rPr>
            <w:color w:val="0000EE"/>
            <w:u w:val="single"/>
          </w:rPr>
          <w:t>Dt 12.5–14</w:t>
        </w:r>
      </w:hyperlink>
      <w:r>
        <w:t>), ele habitava ali. Quando Jerusalém se tornou a capital de Davi e Salomão completou o templo, a nuvem de glória encheu o templo (</w:t>
      </w:r>
      <w:hyperlink r:id="rId19530">
        <w:r>
          <w:rPr>
            <w:color w:val="0000EE"/>
            <w:u w:val="single"/>
          </w:rPr>
          <w:t>1Rs 8.10</w:t>
        </w:r>
      </w:hyperlink>
      <w:r>
        <w:t xml:space="preserve">; </w:t>
      </w:r>
      <w:hyperlink r:id="rId17054">
        <w:r>
          <w:rPr>
            <w:color w:val="0000EE"/>
            <w:u w:val="single"/>
          </w:rPr>
          <w:t>2Cr 5.13–14</w:t>
        </w:r>
      </w:hyperlink>
      <w:r>
        <w:t>) e Jerusalém se tornou a morada de Deus (</w:t>
      </w:r>
      <w:hyperlink r:id="rId10581">
        <w:r>
          <w:rPr>
            <w:color w:val="0000EE"/>
            <w:u w:val="single"/>
          </w:rPr>
          <w:t>Sl 74.2</w:t>
        </w:r>
      </w:hyperlink>
      <w:r>
        <w:t xml:space="preserve">; </w:t>
      </w:r>
      <w:hyperlink r:id="rId14189">
        <w:r>
          <w:rPr>
            <w:color w:val="0000EE"/>
            <w:u w:val="single"/>
          </w:rPr>
          <w:t>76.2</w:t>
        </w:r>
      </w:hyperlink>
      <w:r>
        <w:t xml:space="preserve">; </w:t>
      </w:r>
      <w:hyperlink r:id="rId19517">
        <w:r>
          <w:rPr>
            <w:color w:val="0000EE"/>
            <w:u w:val="single"/>
          </w:rPr>
          <w:t>135.21</w:t>
        </w:r>
      </w:hyperlink>
      <w:r>
        <w:t xml:space="preserve">; </w:t>
      </w:r>
      <w:hyperlink r:id="rId15264">
        <w:r>
          <w:rPr>
            <w:color w:val="0000EE"/>
            <w:u w:val="single"/>
          </w:rPr>
          <w:t>Is 8.18</w:t>
        </w:r>
      </w:hyperlink>
      <w:r>
        <w:t xml:space="preserve">; </w:t>
      </w:r>
      <w:hyperlink r:id="rId19531">
        <w:r>
          <w:rPr>
            <w:color w:val="0000EE"/>
            <w:u w:val="single"/>
          </w:rPr>
          <w:t>Jl 3.17–21</w:t>
        </w:r>
      </w:hyperlink>
      <w:r>
        <w:t>). O Senhor amou e escolheu Sião (</w:t>
      </w:r>
      <w:hyperlink r:id="rId19532">
        <w:r>
          <w:rPr>
            <w:color w:val="0000EE"/>
            <w:u w:val="single"/>
          </w:rPr>
          <w:t>Sl 78.68</w:t>
        </w:r>
      </w:hyperlink>
      <w:r>
        <w:t xml:space="preserve">; </w:t>
      </w:r>
      <w:hyperlink r:id="rId19533">
        <w:r>
          <w:rPr>
            <w:color w:val="0000EE"/>
            <w:u w:val="single"/>
          </w:rPr>
          <w:t>132.13</w:t>
        </w:r>
      </w:hyperlink>
      <w:r>
        <w:t>). Sua presença gloriosa estava lá, e de lá ele falaria (</w:t>
      </w:r>
      <w:hyperlink r:id="rId19534">
        <w:r>
          <w:rPr>
            <w:color w:val="0000EE"/>
            <w:u w:val="single"/>
          </w:rPr>
          <w:t>50.1–2</w:t>
        </w:r>
      </w:hyperlink>
      <w:r>
        <w:t>). Seu fogo estava em Sião, sua fornalha em Jerusalém (</w:t>
      </w:r>
      <w:hyperlink r:id="rId11305">
        <w:r>
          <w:rPr>
            <w:color w:val="0000EE"/>
            <w:u w:val="single"/>
          </w:rPr>
          <w:t>Is 31.8–9</w:t>
        </w:r>
      </w:hyperlink>
      <w:r>
        <w:t>). Lá ele estava entronizado acima dos querubins (</w:t>
      </w:r>
      <w:hyperlink r:id="rId18910">
        <w:r>
          <w:rPr>
            <w:color w:val="0000EE"/>
            <w:u w:val="single"/>
          </w:rPr>
          <w:t>Sl 9.11</w:t>
        </w:r>
      </w:hyperlink>
      <w:r>
        <w:t xml:space="preserve">; </w:t>
      </w:r>
      <w:hyperlink r:id="rId18935">
        <w:r>
          <w:rPr>
            <w:color w:val="0000EE"/>
            <w:u w:val="single"/>
          </w:rPr>
          <w:t>99.1–2</w:t>
        </w:r>
      </w:hyperlink>
      <w:r>
        <w:t>) e governava sobre seu povo e as nações (</w:t>
      </w:r>
      <w:hyperlink r:id="rId3109">
        <w:r>
          <w:rPr>
            <w:color w:val="0000EE"/>
            <w:u w:val="single"/>
          </w:rPr>
          <w:t>Is 24.23</w:t>
        </w:r>
      </w:hyperlink>
      <w:r>
        <w:t>). Seu rei escolhido governava daquele monte sagrado (</w:t>
      </w:r>
      <w:hyperlink r:id="rId19535">
        <w:r>
          <w:rPr>
            <w:color w:val="0000EE"/>
            <w:u w:val="single"/>
          </w:rPr>
          <w:t>Sl 2.6</w:t>
        </w:r>
      </w:hyperlink>
      <w:r>
        <w:t xml:space="preserve">; </w:t>
      </w:r>
      <w:hyperlink r:id="rId19536">
        <w:r>
          <w:rPr>
            <w:color w:val="0000EE"/>
            <w:u w:val="single"/>
          </w:rPr>
          <w:t>48.1</w:t>
        </w:r>
      </w:hyperlink>
      <w:r>
        <w:t>).</w:t>
      </w:r>
    </w:p>
    <w:p>
      <w:r/>
      <w:r>
        <w:t>Embora o tamanho do local da antiga Jerusalém não seja particularmente impressionante e normalmente não fosse considerado uma grande colina, para o salmista, Sião é o monte sagrado de Deus (</w:t>
      </w:r>
      <w:hyperlink r:id="rId19537">
        <w:r>
          <w:rPr>
            <w:color w:val="0000EE"/>
            <w:u w:val="single"/>
          </w:rPr>
          <w:t>Sl 99.9</w:t>
        </w:r>
      </w:hyperlink>
      <w:r>
        <w:t>). Os profetas o descrevem como “o principal entre os montes, elevado acima das colinas” (</w:t>
      </w:r>
      <w:hyperlink r:id="rId19538">
        <w:r>
          <w:rPr>
            <w:color w:val="0000EE"/>
            <w:u w:val="single"/>
          </w:rPr>
          <w:t>Is 2.2</w:t>
        </w:r>
      </w:hyperlink>
      <w:r>
        <w:t xml:space="preserve">; </w:t>
      </w:r>
      <w:hyperlink r:id="rId19539">
        <w:r>
          <w:rPr>
            <w:color w:val="0000EE"/>
            <w:u w:val="single"/>
          </w:rPr>
          <w:t>Mq 4.1</w:t>
        </w:r>
      </w:hyperlink>
      <w:r>
        <w:t>). O deus cananeu Baal era considerado habitante de uma grande montanha ao norte, o Monte Zafom, então o salmista descreve Sião como “belo em sua elevação, como os mais altos picos do Monte Zafom” (</w:t>
      </w:r>
      <w:hyperlink r:id="rId19540">
        <w:r>
          <w:rPr>
            <w:color w:val="0000EE"/>
            <w:u w:val="single"/>
          </w:rPr>
          <w:t>Sl 48.1–2</w:t>
        </w:r>
      </w:hyperlink>
      <w:r>
        <w:t>). O santuário de Deus é “como as altas montanhas” (</w:t>
      </w:r>
      <w:hyperlink r:id="rId19532">
        <w:r>
          <w:rPr>
            <w:color w:val="0000EE"/>
            <w:u w:val="single"/>
          </w:rPr>
          <w:t>Sl 78.68</w:t>
        </w:r>
      </w:hyperlink>
      <w:r>
        <w:t xml:space="preserve">; </w:t>
      </w:r>
      <w:hyperlink r:id="rId19541">
        <w:r>
          <w:rPr>
            <w:color w:val="0000EE"/>
            <w:u w:val="single"/>
          </w:rPr>
          <w:t>Ez 40.2</w:t>
        </w:r>
      </w:hyperlink>
      <w:r>
        <w:t>).</w:t>
      </w:r>
    </w:p>
    <w:p>
      <w:r/>
      <w:r>
        <w:t>Um fornecimento adequado de água tem sido um problema para Jerusalém ao longo de sua história. Durante o período do Antigo Testamento, a água da cidade vinha de uma pequena nascente. Mas aos olhos dos poetas e profetas, Sião é alegrada por um grande rio que traz vida onde quer que flua (</w:t>
      </w:r>
      <w:hyperlink r:id="rId11651">
        <w:r>
          <w:rPr>
            <w:color w:val="0000EE"/>
            <w:u w:val="single"/>
          </w:rPr>
          <w:t>Sl 46.4</w:t>
        </w:r>
      </w:hyperlink>
      <w:r>
        <w:t xml:space="preserve">; </w:t>
      </w:r>
      <w:hyperlink r:id="rId2328">
        <w:r>
          <w:rPr>
            <w:color w:val="0000EE"/>
            <w:u w:val="single"/>
          </w:rPr>
          <w:t>Ez 47.1–12</w:t>
        </w:r>
      </w:hyperlink>
      <w:r>
        <w:t xml:space="preserve">; </w:t>
      </w:r>
      <w:hyperlink r:id="rId2329">
        <w:r>
          <w:rPr>
            <w:color w:val="0000EE"/>
            <w:u w:val="single"/>
          </w:rPr>
          <w:t>Jl 3.18</w:t>
        </w:r>
      </w:hyperlink>
      <w:r>
        <w:t xml:space="preserve">; </w:t>
      </w:r>
      <w:hyperlink r:id="rId11912">
        <w:r>
          <w:rPr>
            <w:color w:val="0000EE"/>
            <w:u w:val="single"/>
          </w:rPr>
          <w:t>Zc 13.1</w:t>
        </w:r>
      </w:hyperlink>
      <w:r>
        <w:t xml:space="preserve">; </w:t>
      </w:r>
      <w:hyperlink r:id="rId2330">
        <w:r>
          <w:rPr>
            <w:color w:val="0000EE"/>
            <w:u w:val="single"/>
          </w:rPr>
          <w:t>14.8</w:t>
        </w:r>
      </w:hyperlink>
      <w:r>
        <w:t xml:space="preserve">; veja </w:t>
      </w:r>
      <w:hyperlink r:id="rId607">
        <w:r>
          <w:rPr>
            <w:color w:val="0000EE"/>
            <w:u w:val="single"/>
          </w:rPr>
          <w:t>Ap 22.1–2</w:t>
        </w:r>
      </w:hyperlink>
      <w:r>
        <w:t>). As águas ameaçadoras do caos não podem abalar a cidade de Deus (</w:t>
      </w:r>
      <w:hyperlink r:id="rId19542">
        <w:r>
          <w:rPr>
            <w:color w:val="0000EE"/>
            <w:u w:val="single"/>
          </w:rPr>
          <w:t>Sl 46.1–3</w:t>
        </w:r>
      </w:hyperlink>
      <w:r>
        <w:t>).</w:t>
      </w:r>
    </w:p>
    <w:p>
      <w:r/>
      <w:r>
        <w:t>Porque Sião é a cidade de Deus, é o destino de peregrinos, tanto judeus quanto gentios, que desejam estar na presença de Deus no templo de Sião (</w:t>
      </w:r>
      <w:hyperlink r:id="rId19543">
        <w:r>
          <w:rPr>
            <w:color w:val="0000EE"/>
            <w:u w:val="single"/>
          </w:rPr>
          <w:t>Sl 42.1–2</w:t>
        </w:r>
      </w:hyperlink>
      <w:r>
        <w:t xml:space="preserve">; </w:t>
      </w:r>
      <w:hyperlink r:id="rId599">
        <w:r>
          <w:rPr>
            <w:color w:val="0000EE"/>
            <w:u w:val="single"/>
          </w:rPr>
          <w:t>63.1</w:t>
        </w:r>
      </w:hyperlink>
      <w:r>
        <w:t>). Os salmos dos peregrinos expressam vividamente seu anseio (</w:t>
      </w:r>
      <w:hyperlink r:id="rId2961">
        <w:r>
          <w:rPr>
            <w:color w:val="0000EE"/>
            <w:u w:val="single"/>
          </w:rPr>
          <w:t>84</w:t>
        </w:r>
      </w:hyperlink>
      <w:r>
        <w:t xml:space="preserve">; </w:t>
      </w:r>
      <w:hyperlink r:id="rId18956">
        <w:r>
          <w:rPr>
            <w:color w:val="0000EE"/>
            <w:u w:val="single"/>
          </w:rPr>
          <w:t>122</w:t>
        </w:r>
      </w:hyperlink>
      <w:r>
        <w:t xml:space="preserve">; </w:t>
      </w:r>
      <w:hyperlink r:id="rId19544">
        <w:r>
          <w:rPr>
            <w:color w:val="0000EE"/>
            <w:u w:val="single"/>
          </w:rPr>
          <w:t>125–128</w:t>
        </w:r>
      </w:hyperlink>
      <w:r>
        <w:t>). Toda a humanidade virá a Deus em Sião (</w:t>
      </w:r>
      <w:hyperlink r:id="rId19545">
        <w:r>
          <w:rPr>
            <w:color w:val="0000EE"/>
            <w:u w:val="single"/>
          </w:rPr>
          <w:t>65.1–4</w:t>
        </w:r>
      </w:hyperlink>
      <w:r>
        <w:t>). Os gentios farão peregrinações anuais trazendo presentes (</w:t>
      </w:r>
      <w:hyperlink r:id="rId14963">
        <w:r>
          <w:rPr>
            <w:color w:val="0000EE"/>
            <w:u w:val="single"/>
          </w:rPr>
          <w:t>Sl 76</w:t>
        </w:r>
      </w:hyperlink>
      <w:r>
        <w:t xml:space="preserve">; </w:t>
      </w:r>
      <w:hyperlink r:id="rId19546">
        <w:r>
          <w:rPr>
            <w:color w:val="0000EE"/>
            <w:u w:val="single"/>
          </w:rPr>
          <w:t>Is 18.7</w:t>
        </w:r>
      </w:hyperlink>
      <w:r>
        <w:t xml:space="preserve">; </w:t>
      </w:r>
      <w:hyperlink r:id="rId19547">
        <w:r>
          <w:rPr>
            <w:color w:val="0000EE"/>
            <w:u w:val="single"/>
          </w:rPr>
          <w:t>Sf 3.9–10</w:t>
        </w:r>
      </w:hyperlink>
      <w:r>
        <w:t>); até mesmo antigos inimigos serão considerados cidadãos nativos de Sião (</w:t>
      </w:r>
      <w:hyperlink r:id="rId18955">
        <w:r>
          <w:rPr>
            <w:color w:val="0000EE"/>
            <w:u w:val="single"/>
          </w:rPr>
          <w:t>Sl 87</w:t>
        </w:r>
      </w:hyperlink>
      <w:r>
        <w:t xml:space="preserve">; </w:t>
      </w:r>
      <w:hyperlink r:id="rId19200">
        <w:r>
          <w:rPr>
            <w:color w:val="0000EE"/>
            <w:u w:val="single"/>
          </w:rPr>
          <w:t>Is 60.14</w:t>
        </w:r>
      </w:hyperlink>
      <w:r>
        <w:t xml:space="preserve">; </w:t>
      </w:r>
      <w:hyperlink r:id="rId19548">
        <w:r>
          <w:rPr>
            <w:color w:val="0000EE"/>
            <w:u w:val="single"/>
          </w:rPr>
          <w:t>Zc 14.21</w:t>
        </w:r>
      </w:hyperlink>
      <w:r>
        <w:t>). As nações fluirão para Jerusalém para inaugurar uma era de paz (</w:t>
      </w:r>
      <w:hyperlink r:id="rId19549">
        <w:r>
          <w:rPr>
            <w:color w:val="0000EE"/>
            <w:u w:val="single"/>
          </w:rPr>
          <w:t>Is 2.1–5</w:t>
        </w:r>
      </w:hyperlink>
      <w:r>
        <w:t xml:space="preserve">; </w:t>
      </w:r>
      <w:hyperlink r:id="rId19550">
        <w:r>
          <w:rPr>
            <w:color w:val="0000EE"/>
            <w:u w:val="single"/>
          </w:rPr>
          <w:t>Mq 4.1–8</w:t>
        </w:r>
      </w:hyperlink>
      <w:r>
        <w:t>). Ano após ano, as festividades de Israel serão celebradas em Sião pelos gentios (</w:t>
      </w:r>
      <w:hyperlink r:id="rId9282">
        <w:r>
          <w:rPr>
            <w:color w:val="0000EE"/>
            <w:u w:val="single"/>
          </w:rPr>
          <w:t>Zc 14.16–19</w:t>
        </w:r>
      </w:hyperlink>
      <w:r>
        <w:t>).</w:t>
      </w:r>
    </w:p>
    <w:p>
      <w:pPr>
        <w:pStyle w:val="Heading4"/>
      </w:pPr>
      <w:r>
        <w:t>No Novo Testamento</w:t>
      </w:r>
    </w:p>
    <w:p>
      <w:r/>
      <w:r>
        <w:t>O NT desenvolve ainda mais a ênfase tanto na Sião celestial quanto na escatológica. Por exemplo, o autor de Hebreus disse que os santos do AT olhavam "a cidade que Deus planejou e construiu... estavam procurando uma pátria melhor, a pátria celestial" (</w:t>
      </w:r>
      <w:hyperlink r:id="rId19551">
        <w:r>
          <w:rPr>
            <w:color w:val="0000EE"/>
            <w:u w:val="single"/>
          </w:rPr>
          <w:t>Hb 11.10,16</w:t>
        </w:r>
      </w:hyperlink>
      <w:r>
        <w:t xml:space="preserve">, NTLH), mas nenhum deles recebeu as promessas porque Deus havia planejado algo ainda melhor (vv. </w:t>
      </w:r>
      <w:hyperlink r:id="rId10467">
        <w:r>
          <w:rPr>
            <w:color w:val="0000EE"/>
            <w:u w:val="single"/>
          </w:rPr>
          <w:t>39–40</w:t>
        </w:r>
      </w:hyperlink>
      <w:r>
        <w:t>). A igreja agora desfruta do que os crentes da antiga aliança nunca poderiam conhecer: acesso ilimitado à presença de Deus naquela Cidade Santa, "monte Sião e à cidade do Deus vivo, a Jerusalém celestial" (</w:t>
      </w:r>
      <w:hyperlink r:id="rId19552">
        <w:r>
          <w:rPr>
            <w:color w:val="0000EE"/>
            <w:u w:val="single"/>
          </w:rPr>
          <w:t>12.22</w:t>
        </w:r>
      </w:hyperlink>
      <w:r>
        <w:t xml:space="preserve">; veja vv. </w:t>
      </w:r>
      <w:hyperlink r:id="rId19553">
        <w:r>
          <w:rPr>
            <w:color w:val="0000EE"/>
            <w:u w:val="single"/>
          </w:rPr>
          <w:t>18–24</w:t>
        </w:r>
      </w:hyperlink>
      <w:r>
        <w:t>). A Sião terrena é apenas uma sombra da realidade celestial. A cidade atual de Jerusalém é comparada a uma mulher escrava, mas a Jerusalém celestial é livre e a mãe tanto de judeus quanto de gentios (</w:t>
      </w:r>
      <w:hyperlink r:id="rId19554">
        <w:r>
          <w:rPr>
            <w:color w:val="0000EE"/>
            <w:u w:val="single"/>
          </w:rPr>
          <w:t>Gl 4.21–27</w:t>
        </w:r>
      </w:hyperlink>
      <w:r>
        <w:t xml:space="preserve">; veja </w:t>
      </w:r>
      <w:hyperlink r:id="rId19555">
        <w:r>
          <w:rPr>
            <w:color w:val="0000EE"/>
            <w:u w:val="single"/>
          </w:rPr>
          <w:t>Is 49.14–23</w:t>
        </w:r>
      </w:hyperlink>
      <w:r>
        <w:t xml:space="preserve">; </w:t>
      </w:r>
      <w:hyperlink r:id="rId19556">
        <w:r>
          <w:rPr>
            <w:color w:val="0000EE"/>
            <w:u w:val="single"/>
          </w:rPr>
          <w:t>54.1</w:t>
        </w:r>
      </w:hyperlink>
      <w:r>
        <w:t>). O NT também antecipa a expectativa escatológica da recriação do céu e da terra e a revelação da nova Jerusalém (</w:t>
      </w:r>
      <w:hyperlink r:id="rId461">
        <w:r>
          <w:rPr>
            <w:color w:val="0000EE"/>
            <w:u w:val="single"/>
          </w:rPr>
          <w:t>Ap 21.2</w:t>
        </w:r>
      </w:hyperlink>
      <w:r>
        <w:t>). É uma cidade sobre uma grande montanha alta (</w:t>
      </w:r>
      <w:hyperlink r:id="rId8382">
        <w:r>
          <w:rPr>
            <w:color w:val="0000EE"/>
            <w:u w:val="single"/>
          </w:rPr>
          <w:t>Ap 21.10</w:t>
        </w:r>
      </w:hyperlink>
      <w:r>
        <w:t xml:space="preserve">; veja </w:t>
      </w:r>
      <w:hyperlink r:id="rId19540">
        <w:r>
          <w:rPr>
            <w:color w:val="0000EE"/>
            <w:u w:val="single"/>
          </w:rPr>
          <w:t>Sl 48.1–2</w:t>
        </w:r>
      </w:hyperlink>
      <w:r>
        <w:t xml:space="preserve">; </w:t>
      </w:r>
      <w:hyperlink r:id="rId19532">
        <w:r>
          <w:rPr>
            <w:color w:val="0000EE"/>
            <w:u w:val="single"/>
          </w:rPr>
          <w:t>78.68</w:t>
        </w:r>
      </w:hyperlink>
      <w:r>
        <w:t xml:space="preserve">; </w:t>
      </w:r>
      <w:hyperlink r:id="rId19538">
        <w:r>
          <w:rPr>
            <w:color w:val="0000EE"/>
            <w:u w:val="single"/>
          </w:rPr>
          <w:t>Is 2.2</w:t>
        </w:r>
      </w:hyperlink>
      <w:r>
        <w:t xml:space="preserve">; </w:t>
      </w:r>
      <w:hyperlink r:id="rId19541">
        <w:r>
          <w:rPr>
            <w:color w:val="0000EE"/>
            <w:u w:val="single"/>
          </w:rPr>
          <w:t>Ez 40.2</w:t>
        </w:r>
      </w:hyperlink>
      <w:r>
        <w:t xml:space="preserve">; </w:t>
      </w:r>
      <w:hyperlink r:id="rId19539">
        <w:r>
          <w:rPr>
            <w:color w:val="0000EE"/>
            <w:u w:val="single"/>
          </w:rPr>
          <w:t>Mq 4.1</w:t>
        </w:r>
      </w:hyperlink>
      <w:r>
        <w:t>), e um rio de vida flui dentro dela (</w:t>
      </w:r>
      <w:hyperlink r:id="rId607">
        <w:r>
          <w:rPr>
            <w:color w:val="0000EE"/>
            <w:u w:val="single"/>
          </w:rPr>
          <w:t>Ap 22.1–2</w:t>
        </w:r>
      </w:hyperlink>
      <w:r>
        <w:t>).</w:t>
      </w:r>
    </w:p>
    <w:p>
      <w:r/>
      <w:r>
        <w:rPr>
          <w:i/>
        </w:rPr>
        <w:t>Veja também</w:t>
      </w:r>
      <w:r>
        <w:t xml:space="preserve"> </w:t>
      </w:r>
      <w:r>
        <w:t>Jerusalém</w:t>
      </w:r>
      <w:r>
        <w:t xml:space="preserve">; </w:t>
      </w:r>
      <w:r>
        <w:t>Jerusalém, Nova</w:t>
      </w:r>
      <w:r>
        <w:t>.</w:t>
      </w:r>
      <w:r/>
      <w:r/>
    </w:p>
    <w:p>
      <w:r/>
    </w:p>
    <w:p>
      <w:pPr>
        <w:pStyle w:val="Heading2"/>
      </w:pPr>
      <w:r>
        <w:t>Sibma</w:t>
      </w:r>
      <w:r/>
    </w:p>
    <w:p>
      <w:r/>
      <w:r>
        <w:t>Uma cidade localizada nas terras de pastagem da região além do Rio Jordão (Transjordânia). Os filhos de Gade e Rúben quiseram esta terra (</w:t>
      </w:r>
      <w:hyperlink r:id="rId2947">
        <w:r>
          <w:rPr>
            <w:color w:val="0000EE"/>
            <w:u w:val="single"/>
          </w:rPr>
          <w:t>Nm 32.3</w:t>
        </w:r>
      </w:hyperlink>
      <w:r>
        <w:t>).Deus concedeu esta área à tribo de Rúben (</w:t>
      </w:r>
      <w:hyperlink r:id="rId18012">
        <w:r>
          <w:rPr>
            <w:color w:val="0000EE"/>
            <w:u w:val="single"/>
          </w:rPr>
          <w:t>Js 13.19</w:t>
        </w:r>
      </w:hyperlink>
      <w:r>
        <w:t>). Mais tarde, os moabitas tomaram a cidade de Rúben. Sibma era famosa por seus vinhedos (</w:t>
      </w:r>
      <w:hyperlink r:id="rId10629">
        <w:r>
          <w:rPr>
            <w:color w:val="0000EE"/>
            <w:u w:val="single"/>
          </w:rPr>
          <w:t>Is 16.8–9</w:t>
        </w:r>
      </w:hyperlink>
      <w:r>
        <w:t xml:space="preserve">; </w:t>
      </w:r>
      <w:hyperlink r:id="rId11563">
        <w:r>
          <w:rPr>
            <w:color w:val="0000EE"/>
            <w:u w:val="single"/>
          </w:rPr>
          <w:t>Jr 48.32</w:t>
        </w:r>
      </w:hyperlink>
      <w:r>
        <w:t xml:space="preserve">). "Sebã" é outro nome para "Sibma" no texto hebraico (compare </w:t>
      </w:r>
      <w:hyperlink r:id="rId2943">
        <w:r>
          <w:rPr>
            <w:color w:val="0000EE"/>
            <w:u w:val="single"/>
          </w:rPr>
          <w:t>Nm 32.38</w:t>
        </w:r>
      </w:hyperlink>
      <w:r>
        <w:t xml:space="preserve">; </w:t>
      </w:r>
      <w:hyperlink r:id="rId18012">
        <w:r>
          <w:rPr>
            <w:color w:val="0000EE"/>
            <w:u w:val="single"/>
          </w:rPr>
          <w:t>Js 13.19</w:t>
        </w:r>
      </w:hyperlink>
      <w:r>
        <w:t xml:space="preserve">; </w:t>
      </w:r>
      <w:hyperlink r:id="rId10629">
        <w:r>
          <w:rPr>
            <w:color w:val="0000EE"/>
            <w:u w:val="single"/>
          </w:rPr>
          <w:t>Is 16.8–9</w:t>
        </w:r>
      </w:hyperlink>
      <w:r>
        <w:t xml:space="preserve">; </w:t>
      </w:r>
      <w:hyperlink r:id="rId11563">
        <w:r>
          <w:rPr>
            <w:color w:val="0000EE"/>
            <w:u w:val="single"/>
          </w:rPr>
          <w:t>Jr 48.32</w:t>
        </w:r>
      </w:hyperlink>
      <w:r>
        <w:t>).</w:t>
      </w:r>
    </w:p>
    <w:p>
      <w:r/>
      <w:r/>
      <w:r/>
    </w:p>
    <w:p>
      <w:r/>
    </w:p>
    <w:p>
      <w:pPr>
        <w:pStyle w:val="Heading2"/>
      </w:pPr>
      <w:r>
        <w:t>Sicar</w:t>
      </w:r>
      <w:r/>
    </w:p>
    <w:p>
      <w:r/>
      <w:r>
        <w:t xml:space="preserve">Cidade em Samaria, mencionada na Bíblia apenas em </w:t>
      </w:r>
      <w:hyperlink r:id="rId19557">
        <w:r>
          <w:rPr>
            <w:color w:val="0000EE"/>
            <w:u w:val="single"/>
          </w:rPr>
          <w:t>João 4.5</w:t>
        </w:r>
      </w:hyperlink>
      <w:r>
        <w:t>. O nome foi considerado uma forma variante da transliteração grega do nome hebraico Siquém. Muitos estudiosos preferem identificá-la com a atual vila de Askar, que está localizada ao pé sudeste do Monte Ebal, cerca de 0,8 quilômetro ao norte do poço de Jacó. As escavações parecem favorecer a identificação com Siquém, proposta por Jerônimo. O Talmude Babilônico refere-se a um lugar chamado Sichar ou Suchar, mas sua localização é desconhecida.</w:t>
      </w:r>
    </w:p>
    <w:p>
      <w:r/>
      <w:r>
        <w:t>Diz-se que Sicar está perto do campo que Jacó deu a seu filho José (</w:t>
      </w:r>
      <w:hyperlink r:id="rId19557">
        <w:r>
          <w:rPr>
            <w:color w:val="0000EE"/>
            <w:u w:val="single"/>
          </w:rPr>
          <w:t>Jo 4.5</w:t>
        </w:r>
      </w:hyperlink>
      <w:r>
        <w:t xml:space="preserve">). O registro da doação deste pedaço de terra está em </w:t>
      </w:r>
      <w:hyperlink r:id="rId2547">
        <w:r>
          <w:rPr>
            <w:color w:val="0000EE"/>
            <w:u w:val="single"/>
          </w:rPr>
          <w:t>Gênesis 48.22</w:t>
        </w:r>
      </w:hyperlink>
      <w:r>
        <w:t>. Quando Jacó concluiu a bênção dos dois filhos de José, Manassés e Efraim, ele disse a José que havia dado a ele, em vez de a seus irmãos, "um declive montanhoso, o qual tomei da mão dos amorreus com a minha espada e com o meu arco" (</w:t>
      </w:r>
      <w:hyperlink r:id="rId2547">
        <w:r>
          <w:rPr>
            <w:color w:val="0000EE"/>
            <w:u w:val="single"/>
          </w:rPr>
          <w:t>Gn 48.22</w:t>
        </w:r>
      </w:hyperlink>
      <w:r>
        <w:t>, ARA). A palavra hebraica traduzida como “declive” é a palavra para ombro e o nome da cidade de Siquém. Foi nesta propriedade que José foi enterrado (</w:t>
      </w:r>
      <w:hyperlink r:id="rId7168">
        <w:r>
          <w:rPr>
            <w:color w:val="0000EE"/>
            <w:u w:val="single"/>
          </w:rPr>
          <w:t>Js 24.32</w:t>
        </w:r>
      </w:hyperlink>
      <w:r>
        <w:t xml:space="preserve">). Esta passagem também afirma que Jacó comprou o terreno dos filhos de Hamor, o pai de Siquém, por cem peças de prata (cf. </w:t>
      </w:r>
      <w:hyperlink r:id="rId7167">
        <w:r>
          <w:rPr>
            <w:color w:val="0000EE"/>
            <w:u w:val="single"/>
          </w:rPr>
          <w:t>Gn 33.19</w:t>
        </w:r>
      </w:hyperlink>
      <w:r>
        <w:t xml:space="preserve">; </w:t>
      </w:r>
      <w:hyperlink r:id="rId11450">
        <w:r>
          <w:rPr>
            <w:color w:val="0000EE"/>
            <w:u w:val="single"/>
          </w:rPr>
          <w:t>At 7.16</w:t>
        </w:r>
      </w:hyperlink>
      <w:r>
        <w:t>).</w:t>
      </w:r>
    </w:p>
    <w:p>
      <w:r/>
      <w:r>
        <w:t xml:space="preserve">O relato da visita de Jesus a Sicar em </w:t>
      </w:r>
      <w:hyperlink r:id="rId410">
        <w:r>
          <w:rPr>
            <w:color w:val="0000EE"/>
            <w:u w:val="single"/>
          </w:rPr>
          <w:t>João 4</w:t>
        </w:r>
      </w:hyperlink>
      <w:r>
        <w:t xml:space="preserve"> é importante. Jesus veio a Sicar por um imperativo espiritual, não geográfico (</w:t>
      </w:r>
      <w:hyperlink r:id="rId19558">
        <w:r>
          <w:rPr>
            <w:color w:val="0000EE"/>
            <w:u w:val="single"/>
          </w:rPr>
          <w:t>Jo 4.4</w:t>
        </w:r>
      </w:hyperlink>
      <w:r>
        <w:t>). Um dos objetivos desta missão era derrubar barreiras: a hostilidade entre o judeu racialmente puro e o samaritano mestiço (v.</w:t>
      </w:r>
      <w:hyperlink r:id="rId12406">
        <w:r>
          <w:rPr>
            <w:color w:val="0000EE"/>
            <w:u w:val="single"/>
          </w:rPr>
          <w:t>9</w:t>
        </w:r>
      </w:hyperlink>
      <w:r>
        <w:t>); as restrições sociais entre homens e mulheres (v.</w:t>
      </w:r>
      <w:hyperlink r:id="rId19559">
        <w:r>
          <w:rPr>
            <w:color w:val="0000EE"/>
            <w:u w:val="single"/>
          </w:rPr>
          <w:t>27</w:t>
        </w:r>
      </w:hyperlink>
      <w:r>
        <w:t>); a separação social entre o ritualmente puro e o moralmente impuro (esta mulher era ostracizada; ela veio ao poço sozinha e em um horário incomum, v.</w:t>
      </w:r>
      <w:hyperlink r:id="rId5985">
        <w:r>
          <w:rPr>
            <w:color w:val="0000EE"/>
            <w:u w:val="single"/>
          </w:rPr>
          <w:t>6</w:t>
        </w:r>
      </w:hyperlink>
      <w:r>
        <w:t>). A conversa entre Jesus e a mulher é instrutiva quanto ao testemunho pessoal. O discernimento espiritual e a compaixão de Jesus são evidentes. Quando a mulher recebeu o testemunho de sua identidade como o Messias, ela também se tornou uma testemunha eficaz (vv.</w:t>
      </w:r>
      <w:hyperlink r:id="rId19560">
        <w:r>
          <w:rPr>
            <w:color w:val="0000EE"/>
            <w:u w:val="single"/>
          </w:rPr>
          <w:t>28–30</w:t>
        </w:r>
      </w:hyperlink>
      <w:r>
        <w:t>). Os novos crentes entre os samaritanos pediram a Jesus para ficar com eles, então ele permaneceu por dois dias e muitos mais creram nele (vv.</w:t>
      </w:r>
      <w:hyperlink r:id="rId19080">
        <w:r>
          <w:rPr>
            <w:color w:val="0000EE"/>
            <w:u w:val="single"/>
          </w:rPr>
          <w:t>39–41</w:t>
        </w:r>
      </w:hyperlink>
      <w:r>
        <w:t>).</w:t>
      </w:r>
      <w:r/>
      <w:r/>
    </w:p>
    <w:p>
      <w:r/>
    </w:p>
    <w:p>
      <w:pPr>
        <w:pStyle w:val="Heading2"/>
      </w:pPr>
      <w:r>
        <w:t>Sidom (Lugar), Sidônio</w:t>
      </w:r>
      <w:r/>
    </w:p>
    <w:p>
      <w:r/>
      <w:r>
        <w:t>Uma cidade costeira situada entre Beirute e Tiro na costa fenícia, conhecida como Sidom.</w:t>
      </w:r>
    </w:p>
    <w:p>
      <w:r/>
      <w:r>
        <w:t>Saida, a cidade atual, não é uma continuação direta da cidade antiga. É um desenvolvimento dos tempos pós-Cruzadas. Os nomes Sidom e sidônio aparecem 38 vezes no Antigo Testamento, e Sidom ocorre 12 vezes no Novo Testamento.</w:t>
      </w:r>
    </w:p>
    <w:p>
      <w:r/>
      <w:r>
        <w:t>O "quadro das nações" (</w:t>
      </w:r>
      <w:hyperlink r:id="rId7547">
        <w:r>
          <w:rPr>
            <w:color w:val="0000EE"/>
            <w:u w:val="single"/>
          </w:rPr>
          <w:t>Gênesis 10</w:t>
        </w:r>
      </w:hyperlink>
      <w:r>
        <w:t>) pode datar Biblos (Gebal, Jebeil), Tiro e Sidom. Ele menciona Sidom como o primogênito de Canaã, e Canaã era filho de Cam. O território dos cananeus se estendia de Sidom a Gaza e a leste até as Cidades da Planície.</w:t>
      </w:r>
    </w:p>
    <w:p>
      <w:r/>
      <w:r>
        <w:t xml:space="preserve">Sidom está a 35 quilômetros ao norte de Tiro. Elas são frequentemente associadas (por exemplo, </w:t>
      </w:r>
      <w:hyperlink r:id="rId19561">
        <w:r>
          <w:rPr>
            <w:color w:val="0000EE"/>
            <w:u w:val="single"/>
          </w:rPr>
          <w:t>Is 23.1–2</w:t>
        </w:r>
      </w:hyperlink>
      <w:r>
        <w:t xml:space="preserve">; </w:t>
      </w:r>
      <w:hyperlink r:id="rId3993">
        <w:r>
          <w:rPr>
            <w:color w:val="0000EE"/>
            <w:u w:val="single"/>
          </w:rPr>
          <w:t>Jr 47.4</w:t>
        </w:r>
      </w:hyperlink>
      <w:r>
        <w:t xml:space="preserve">; </w:t>
      </w:r>
      <w:hyperlink r:id="rId3507">
        <w:r>
          <w:rPr>
            <w:color w:val="0000EE"/>
            <w:u w:val="single"/>
          </w:rPr>
          <w:t>Mt 11.21–22</w:t>
        </w:r>
      </w:hyperlink>
      <w:r>
        <w:t>). Ambas as cidades estavam muito focadas no comércio e na indústria. Sidom foi construída em um promontório que se projetava no mar em direção ao sudoeste. Tinha dois portos, sendo que o do norte possuía portos internos e externos. Sidom também era um centro de fabricação do corante púrpura feito a partir do molusco murex.</w:t>
      </w:r>
    </w:p>
    <w:p>
      <w:r/>
      <w:r>
        <w:t>A Bíblia menciona Sidom várias vezes em conexão com a conquista da Palestina. Josué derrotou Jabim, rei de Hazor, e perseguiu o inimigo até a "Grande Sidom" (</w:t>
      </w:r>
      <w:hyperlink r:id="rId12107">
        <w:r>
          <w:rPr>
            <w:color w:val="0000EE"/>
            <w:u w:val="single"/>
          </w:rPr>
          <w:t>Js 11.8</w:t>
        </w:r>
      </w:hyperlink>
      <w:r>
        <w:t>). Josué também afirmou que a terra de Israel incluía todo o Líbano, “até todos os sidônios” (</w:t>
      </w:r>
      <w:hyperlink r:id="rId12108">
        <w:r>
          <w:rPr>
            <w:color w:val="0000EE"/>
            <w:u w:val="single"/>
          </w:rPr>
          <w:t>Js13.4–6</w:t>
        </w:r>
      </w:hyperlink>
      <w:r>
        <w:t>). A distribuição tribal de Aser se estendia ao norte até "Sidom a Grande" (</w:t>
      </w:r>
      <w:hyperlink r:id="rId12109">
        <w:r>
          <w:rPr>
            <w:color w:val="0000EE"/>
            <w:u w:val="single"/>
          </w:rPr>
          <w:t>Js 19.28</w:t>
        </w:r>
      </w:hyperlink>
      <w:r>
        <w:t>). Mas Aser não expulsou os habitantes de Sidom (</w:t>
      </w:r>
      <w:hyperlink r:id="rId258">
        <w:r>
          <w:rPr>
            <w:color w:val="0000EE"/>
            <w:u w:val="single"/>
          </w:rPr>
          <w:t>Jz 1.31</w:t>
        </w:r>
      </w:hyperlink>
      <w:r>
        <w:t>).</w:t>
      </w:r>
    </w:p>
    <w:p>
      <w:r/>
      <w:r>
        <w:t>Os deuses de Sidom estão entre as divindades estrangeiras que Israel serviu (</w:t>
      </w:r>
      <w:hyperlink r:id="rId1130">
        <w:r>
          <w:rPr>
            <w:color w:val="0000EE"/>
            <w:u w:val="single"/>
          </w:rPr>
          <w:t>Jz 10.6</w:t>
        </w:r>
      </w:hyperlink>
      <w:r>
        <w:t>); o censo de Davi incluiu Sidom e Tiro (</w:t>
      </w:r>
      <w:hyperlink r:id="rId19562">
        <w:r>
          <w:rPr>
            <w:color w:val="0000EE"/>
            <w:u w:val="single"/>
          </w:rPr>
          <w:t>2Sm 24.6–7</w:t>
        </w:r>
      </w:hyperlink>
      <w:r>
        <w:t>). Durante uma fome no tempo de Acabe, o profeta Elias foi enviado à casa de uma viúva em Sarepta, em Sidom (</w:t>
      </w:r>
      <w:hyperlink r:id="rId19563">
        <w:r>
          <w:rPr>
            <w:color w:val="0000EE"/>
            <w:u w:val="single"/>
          </w:rPr>
          <w:t>1Rs 17.9</w:t>
        </w:r>
      </w:hyperlink>
      <w:r>
        <w:t xml:space="preserve">; </w:t>
      </w:r>
      <w:hyperlink r:id="rId7910">
        <w:r>
          <w:rPr>
            <w:color w:val="0000EE"/>
            <w:u w:val="single"/>
          </w:rPr>
          <w:t>Lc 4.25–26</w:t>
        </w:r>
      </w:hyperlink>
      <w:r>
        <w:t>). Sidom é frequentemente mencionada pelos profetas hebreus (</w:t>
      </w:r>
      <w:hyperlink r:id="rId19564">
        <w:r>
          <w:rPr>
            <w:color w:val="0000EE"/>
            <w:u w:val="single"/>
          </w:rPr>
          <w:t>Is 23.2,4,12</w:t>
        </w:r>
      </w:hyperlink>
      <w:r>
        <w:t xml:space="preserve">; </w:t>
      </w:r>
      <w:hyperlink r:id="rId19565">
        <w:r>
          <w:rPr>
            <w:color w:val="0000EE"/>
            <w:u w:val="single"/>
          </w:rPr>
          <w:t>Jr 25.22</w:t>
        </w:r>
      </w:hyperlink>
      <w:r>
        <w:t xml:space="preserve">; </w:t>
      </w:r>
      <w:hyperlink r:id="rId19566">
        <w:r>
          <w:rPr>
            <w:color w:val="0000EE"/>
            <w:u w:val="single"/>
          </w:rPr>
          <w:t>27.3</w:t>
        </w:r>
      </w:hyperlink>
      <w:r>
        <w:t xml:space="preserve">; </w:t>
      </w:r>
      <w:hyperlink r:id="rId3993">
        <w:r>
          <w:rPr>
            <w:color w:val="0000EE"/>
            <w:u w:val="single"/>
          </w:rPr>
          <w:t>47.4</w:t>
        </w:r>
      </w:hyperlink>
      <w:r>
        <w:t xml:space="preserve">; </w:t>
      </w:r>
      <w:hyperlink r:id="rId19567">
        <w:r>
          <w:rPr>
            <w:color w:val="0000EE"/>
            <w:u w:val="single"/>
          </w:rPr>
          <w:t>Ez 27.8</w:t>
        </w:r>
      </w:hyperlink>
      <w:r>
        <w:t xml:space="preserve">; </w:t>
      </w:r>
      <w:hyperlink r:id="rId19568">
        <w:r>
          <w:rPr>
            <w:color w:val="0000EE"/>
            <w:u w:val="single"/>
          </w:rPr>
          <w:t>Jl 3.4</w:t>
        </w:r>
      </w:hyperlink>
      <w:r>
        <w:t xml:space="preserve">; </w:t>
      </w:r>
      <w:hyperlink r:id="rId10324">
        <w:r>
          <w:rPr>
            <w:color w:val="0000EE"/>
            <w:u w:val="single"/>
          </w:rPr>
          <w:t>Zc 9.2</w:t>
        </w:r>
      </w:hyperlink>
      <w:r>
        <w:t>).</w:t>
      </w:r>
    </w:p>
    <w:p>
      <w:r/>
      <w:r>
        <w:t>No Novo Testamento, Jesus curou a filha de uma mulher daquela região (</w:t>
      </w:r>
      <w:hyperlink r:id="rId11752">
        <w:r>
          <w:rPr>
            <w:color w:val="0000EE"/>
            <w:u w:val="single"/>
          </w:rPr>
          <w:t>Mt 15.21–28</w:t>
        </w:r>
      </w:hyperlink>
      <w:r>
        <w:t>). Pessoas vieram de tão longe quanto Tiro e Sidom para ouvir Jesus e serem curadas por ele (</w:t>
      </w:r>
      <w:hyperlink r:id="rId12969">
        <w:r>
          <w:rPr>
            <w:color w:val="0000EE"/>
            <w:u w:val="single"/>
          </w:rPr>
          <w:t>Lc 6.17</w:t>
        </w:r>
      </w:hyperlink>
      <w:r>
        <w:t>). Em sua viagem para Roma para comparecer diante de César, o navio parou primeiro em Sidom. Lá, o centurião, Júlio, permitiu que Paulo visitasse amigos em terra (</w:t>
      </w:r>
      <w:hyperlink r:id="rId12603">
        <w:r>
          <w:rPr>
            <w:color w:val="0000EE"/>
            <w:u w:val="single"/>
          </w:rPr>
          <w:t>At 27.3</w:t>
        </w:r>
      </w:hyperlink>
      <w:r>
        <w:t>).</w:t>
      </w:r>
      <w:r/>
      <w:r/>
    </w:p>
    <w:p>
      <w:r/>
    </w:p>
    <w:p>
      <w:pPr>
        <w:pStyle w:val="Heading2"/>
      </w:pPr>
      <w:r>
        <w:t>Sidom (Pessoa)</w:t>
      </w:r>
      <w:r/>
    </w:p>
    <w:p>
      <w:r/>
      <w:r>
        <w:t>O primogênito de Canaã; Canaã era filho de Cam e neto de Noé (</w:t>
      </w:r>
      <w:hyperlink r:id="rId19569">
        <w:r>
          <w:rPr>
            <w:color w:val="0000EE"/>
            <w:u w:val="single"/>
          </w:rPr>
          <w:t>Gn 10.15,19</w:t>
        </w:r>
      </w:hyperlink>
      <w:r>
        <w:t xml:space="preserve">; </w:t>
      </w:r>
      <w:hyperlink r:id="rId10633">
        <w:r>
          <w:rPr>
            <w:color w:val="0000EE"/>
            <w:u w:val="single"/>
          </w:rPr>
          <w:t>1Cr 1.13</w:t>
        </w:r>
      </w:hyperlink>
      <w:r>
        <w:t>). Sidom fundou uma cidade (que leva seu nome) que estabeleceu o limite norte da terra de Canaã e mais tarde desempenhou um papel dominante na história palestina.</w:t>
      </w:r>
    </w:p>
    <w:p>
      <w:r/>
      <w:r>
        <w:rPr>
          <w:i/>
        </w:rPr>
        <w:t>Veja também</w:t>
      </w:r>
      <w:r>
        <w:t xml:space="preserve"> </w:t>
      </w:r>
      <w:r>
        <w:t>Sidom (Lugar), Sidônio</w:t>
      </w:r>
      <w:r>
        <w:t>.</w:t>
      </w:r>
      <w:r/>
      <w:r/>
    </w:p>
    <w:p>
      <w:r/>
    </w:p>
    <w:p>
      <w:pPr>
        <w:pStyle w:val="Heading2"/>
      </w:pPr>
      <w:r>
        <w:t>Sifrá</w:t>
      </w:r>
      <w:r/>
    </w:p>
    <w:p>
      <w:r/>
      <w:r>
        <w:t>Uma das duas parteiras hebraicas que se recusaram a matar bebês hebreus do sexo masculino sob o comando do Faraó (</w:t>
      </w:r>
      <w:hyperlink r:id="rId10648">
        <w:r>
          <w:rPr>
            <w:color w:val="0000EE"/>
            <w:u w:val="single"/>
          </w:rPr>
          <w:t>Êx 1.15</w:t>
        </w:r>
      </w:hyperlink>
      <w:r>
        <w:t>).</w:t>
      </w:r>
      <w:r/>
      <w:r/>
    </w:p>
    <w:p>
      <w:r/>
    </w:p>
    <w:p>
      <w:pPr>
        <w:pStyle w:val="Heading2"/>
      </w:pPr>
      <w:r>
        <w:t>Siftã</w:t>
      </w:r>
      <w:r/>
    </w:p>
    <w:p>
      <w:r/>
      <w:r>
        <w:t>O pai de Quemuel. Quemuel era um líder da tribo de Efraim. Moisés escolheu Quemuel para ajudar a dividir a Terra Prometida entre as dez tribos de Israel que viviam a oeste do rio Jordão (</w:t>
      </w:r>
      <w:hyperlink r:id="rId17974">
        <w:r>
          <w:rPr>
            <w:color w:val="0000EE"/>
            <w:u w:val="single"/>
          </w:rPr>
          <w:t>Nm 34.24</w:t>
        </w:r>
      </w:hyperlink>
      <w:r>
        <w:t>).</w:t>
      </w:r>
      <w:r/>
      <w:r/>
    </w:p>
    <w:p>
      <w:r/>
    </w:p>
    <w:p>
      <w:pPr>
        <w:pStyle w:val="Heading2"/>
      </w:pPr>
      <w:r>
        <w:t>Sigaiom, Sigionote</w:t>
      </w:r>
      <w:r/>
    </w:p>
    <w:p>
      <w:r/>
      <w:r>
        <w:t xml:space="preserve">Palavras hebraicas nos títulos de </w:t>
      </w:r>
      <w:hyperlink r:id="rId3426">
        <w:r>
          <w:rPr>
            <w:color w:val="0000EE"/>
            <w:u w:val="single"/>
          </w:rPr>
          <w:t>Salmo 7</w:t>
        </w:r>
      </w:hyperlink>
      <w:r>
        <w:t xml:space="preserve"> e </w:t>
      </w:r>
      <w:hyperlink r:id="rId19570">
        <w:r>
          <w:rPr>
            <w:color w:val="0000EE"/>
            <w:u w:val="single"/>
          </w:rPr>
          <w:t>Habacuque 3</w:t>
        </w:r>
      </w:hyperlink>
      <w:r>
        <w:t xml:space="preserve">, respectivamente, talvez indiquem um hino, um salmo de aflição ou um salmo acompanhado de instrumentos. </w:t>
      </w:r>
      <w:r>
        <w:rPr>
          <w:i/>
        </w:rPr>
        <w:t>Veja</w:t>
      </w:r>
      <w:r>
        <w:t xml:space="preserve"> </w:t>
      </w:r>
      <w:r>
        <w:t>Música</w:t>
      </w:r>
      <w:r>
        <w:t>.</w:t>
      </w:r>
      <w:r/>
      <w:r/>
    </w:p>
    <w:p>
      <w:r/>
    </w:p>
    <w:p>
      <w:pPr>
        <w:pStyle w:val="Heading2"/>
      </w:pPr>
      <w:r>
        <w:t>Silas</w:t>
      </w:r>
      <w:r/>
    </w:p>
    <w:p>
      <w:r/>
      <w:r>
        <w:t>Um líder respeitado na igreja de Jerusalém, também chamado de Silvano (</w:t>
      </w:r>
      <w:hyperlink r:id="rId19571">
        <w:r>
          <w:rPr>
            <w:color w:val="0000EE"/>
            <w:u w:val="single"/>
          </w:rPr>
          <w:t>2Co 1.19</w:t>
        </w:r>
      </w:hyperlink>
      <w:r>
        <w:t xml:space="preserve">; </w:t>
      </w:r>
      <w:hyperlink r:id="rId3688">
        <w:r>
          <w:rPr>
            <w:color w:val="0000EE"/>
            <w:u w:val="single"/>
          </w:rPr>
          <w:t>1Ts 1.1</w:t>
        </w:r>
      </w:hyperlink>
      <w:r>
        <w:t xml:space="preserve">; </w:t>
      </w:r>
      <w:hyperlink r:id="rId16790">
        <w:r>
          <w:rPr>
            <w:color w:val="0000EE"/>
            <w:u w:val="single"/>
          </w:rPr>
          <w:t>2Ts 1.1</w:t>
        </w:r>
      </w:hyperlink>
      <w:r>
        <w:t xml:space="preserve">; </w:t>
      </w:r>
      <w:hyperlink r:id="rId16705">
        <w:r>
          <w:rPr>
            <w:color w:val="0000EE"/>
            <w:u w:val="single"/>
          </w:rPr>
          <w:t>1Pe 5.12</w:t>
        </w:r>
      </w:hyperlink>
      <w:r>
        <w:t xml:space="preserve">). “Silas” é provavelmente a forma aramaica do nome hebraico “Saul”, que ao receber uma forma latina tornou-se </w:t>
      </w:r>
      <w:r>
        <w:rPr>
          <w:i/>
        </w:rPr>
        <w:t>Silouanos</w:t>
      </w:r>
      <w:r>
        <w:t xml:space="preserve"> (Silvano). Assim, Silas tinha dois nomes — um latino e um nome semítico mais curto. O nome era conhecido na era helenística e aparece em várias inscrições. Lucas usou o nome Silas ao narrar a história da igreja de Jerusalém em Atos. Paulo e Pedro usaram o nome romano em suas epístolas.</w:t>
      </w:r>
    </w:p>
    <w:p>
      <w:r/>
      <w:r>
        <w:t xml:space="preserve">Silas é apresentado em </w:t>
      </w:r>
      <w:hyperlink r:id="rId3153">
        <w:r>
          <w:rPr>
            <w:color w:val="0000EE"/>
            <w:u w:val="single"/>
          </w:rPr>
          <w:t>Atos 15.22</w:t>
        </w:r>
      </w:hyperlink>
      <w:r>
        <w:t xml:space="preserve"> como um representante proeminente que transmitiu a Antioquia o decreto do Concílio de Jerusalém. Vários manuscritos (de qualidade inferior aos mais bem atestados) incluem </w:t>
      </w:r>
      <w:hyperlink r:id="rId19572">
        <w:r>
          <w:rPr>
            <w:color w:val="0000EE"/>
            <w:u w:val="single"/>
          </w:rPr>
          <w:t>15.34</w:t>
        </w:r>
      </w:hyperlink>
      <w:r>
        <w:t>; este versículo adicionado indica que Silas permaneceu em Antioquia porque logo depois ele se juntou a Paulo em sua segunda viagem missionária (</w:t>
      </w:r>
      <w:hyperlink r:id="rId19573">
        <w:r>
          <w:rPr>
            <w:color w:val="0000EE"/>
            <w:u w:val="single"/>
          </w:rPr>
          <w:t>At 15.40</w:t>
        </w:r>
      </w:hyperlink>
      <w:r>
        <w:t xml:space="preserve">). Seu serviço como profeta pode ser evidente em </w:t>
      </w:r>
      <w:hyperlink r:id="rId4336">
        <w:r>
          <w:rPr>
            <w:color w:val="0000EE"/>
            <w:u w:val="single"/>
          </w:rPr>
          <w:t>Atos 16.6</w:t>
        </w:r>
      </w:hyperlink>
      <w:r>
        <w:t>, quando o Espírito redirecionou o grupo através da Ásia. O nome de Silas aparece oito vezes durante a segunda viagem (</w:t>
      </w:r>
      <w:hyperlink r:id="rId19574">
        <w:r>
          <w:rPr>
            <w:color w:val="0000EE"/>
            <w:u w:val="single"/>
          </w:rPr>
          <w:t>At 16.19,25,29</w:t>
        </w:r>
      </w:hyperlink>
      <w:r>
        <w:t xml:space="preserve">; </w:t>
      </w:r>
      <w:hyperlink r:id="rId19575">
        <w:r>
          <w:rPr>
            <w:color w:val="0000EE"/>
            <w:u w:val="single"/>
          </w:rPr>
          <w:t>17.4,10,14–15</w:t>
        </w:r>
      </w:hyperlink>
      <w:r>
        <w:t xml:space="preserve">; </w:t>
      </w:r>
      <w:hyperlink r:id="rId19576">
        <w:r>
          <w:rPr>
            <w:color w:val="0000EE"/>
            <w:u w:val="single"/>
          </w:rPr>
          <w:t>18.5</w:t>
        </w:r>
      </w:hyperlink>
      <w:r>
        <w:t>), enquanto ele acompanhava Paulo nas dificuldades sofridas em Filipos, Tessalônica e Bereia. Quando Paulo foi conduzido em segurança para fora da Macedônia pelos cristãos de Bereia (</w:t>
      </w:r>
      <w:hyperlink r:id="rId11182">
        <w:r>
          <w:rPr>
            <w:color w:val="0000EE"/>
            <w:u w:val="single"/>
          </w:rPr>
          <w:t>17.14</w:t>
        </w:r>
      </w:hyperlink>
      <w:r>
        <w:t>), Silas permaneceu com Timóteo para supervisionar o trabalho já iniciado na região. Mais tarde, em Corinto (</w:t>
      </w:r>
      <w:hyperlink r:id="rId19576">
        <w:r>
          <w:rPr>
            <w:color w:val="0000EE"/>
            <w:u w:val="single"/>
          </w:rPr>
          <w:t>18.5</w:t>
        </w:r>
      </w:hyperlink>
      <w:r>
        <w:t>), Silas e Timóteo se reuniram a Paulo. O relatório deles levou Paulo a corresponder-se com a igreja em Tessalônica. Isso explica o nome de Silas no cabeçalho de 1 e 2 Tessalonicenses.</w:t>
      </w:r>
    </w:p>
    <w:p>
      <w:r/>
      <w:r>
        <w:t>Parece claro que Silas era bem conhecido dos coríntios. Ele não apenas permaneceu na cidade com Paulo por um ano e meio (</w:t>
      </w:r>
      <w:hyperlink r:id="rId2861">
        <w:r>
          <w:rPr>
            <w:color w:val="0000EE"/>
            <w:u w:val="single"/>
          </w:rPr>
          <w:t>At 18.11</w:t>
        </w:r>
      </w:hyperlink>
      <w:r>
        <w:t>), mas pode-se conjecturar que ele ficou em Corinto após a disputa diante de Gálio. Paulo, em sua última viagem, escreveu de Éfeso para Corinto e mencionou Silas novamente (</w:t>
      </w:r>
      <w:hyperlink r:id="rId19571">
        <w:r>
          <w:rPr>
            <w:color w:val="0000EE"/>
            <w:u w:val="single"/>
          </w:rPr>
          <w:t>2Co 1.19</w:t>
        </w:r>
      </w:hyperlink>
      <w:r>
        <w:t>), lembrando aos coríntios do ministério anterior entre eles.</w:t>
      </w:r>
    </w:p>
    <w:p>
      <w:r/>
      <w:r>
        <w:t xml:space="preserve">A história subsequente de Silas é obscura. Alguns acreditam que Silas foi um escriba cristão respeitado. O envolvimento de Silas em 1 e 2 Tessalonicenses é frequentemente mencionado, destacando o uso contínuo do plural da primeira pessoa por Paulo. Alguns estudiosos encontram semelhanças entre 1 e 2 Tessalonicenses, o decreto de </w:t>
      </w:r>
      <w:hyperlink r:id="rId1997">
        <w:r>
          <w:rPr>
            <w:color w:val="0000EE"/>
            <w:u w:val="single"/>
          </w:rPr>
          <w:t>Atos 15</w:t>
        </w:r>
      </w:hyperlink>
      <w:r>
        <w:t xml:space="preserve"> e 1 Pedro, onde Silas é mencionado como colaborador na redação (</w:t>
      </w:r>
      <w:hyperlink r:id="rId16705">
        <w:r>
          <w:rPr>
            <w:color w:val="0000EE"/>
            <w:u w:val="single"/>
          </w:rPr>
          <w:t>1Pe 5.12</w:t>
        </w:r>
      </w:hyperlink>
      <w:r>
        <w:t>). Esta última associação com Pedro é intrigante e levou à especulação de que Silas acabou se juntando a Pedro e ministrou no norte da Ásia.</w:t>
      </w:r>
      <w:r/>
      <w:r/>
    </w:p>
    <w:p>
      <w:r/>
    </w:p>
    <w:p>
      <w:pPr>
        <w:pStyle w:val="Heading2"/>
      </w:pPr>
      <w:r>
        <w:t>Silém, Silemita</w:t>
      </w:r>
      <w:r/>
    </w:p>
    <w:p>
      <w:r/>
      <w:r>
        <w:t>Quarto filho de Naftali (</w:t>
      </w:r>
      <w:hyperlink r:id="rId10275">
        <w:r>
          <w:rPr>
            <w:color w:val="0000EE"/>
            <w:u w:val="single"/>
          </w:rPr>
          <w:t>Gn 46.24</w:t>
        </w:r>
      </w:hyperlink>
      <w:r>
        <w:t>), e pai dos Silamitas (</w:t>
      </w:r>
      <w:hyperlink r:id="rId11883">
        <w:r>
          <w:rPr>
            <w:color w:val="0000EE"/>
            <w:u w:val="single"/>
          </w:rPr>
          <w:t>Nm 26.49</w:t>
        </w:r>
      </w:hyperlink>
      <w:r>
        <w:t xml:space="preserve">); também chamado de Salum em </w:t>
      </w:r>
      <w:hyperlink r:id="rId10276">
        <w:r>
          <w:rPr>
            <w:color w:val="0000EE"/>
            <w:u w:val="single"/>
          </w:rPr>
          <w:t>1Cr 7.13</w:t>
        </w:r>
      </w:hyperlink>
      <w:r>
        <w:t>.</w:t>
      </w:r>
      <w:r/>
      <w:r/>
    </w:p>
    <w:p>
      <w:r/>
    </w:p>
    <w:p>
      <w:pPr>
        <w:pStyle w:val="Heading2"/>
      </w:pPr>
      <w:r>
        <w:t>Siló</w:t>
      </w:r>
      <w:r/>
    </w:p>
    <w:p>
      <w:r/>
      <w:r>
        <w:t xml:space="preserve">Cidade identificada com Tell Seilun, localizada a 16 quilômetros a nordeste de Betel, 20 quilômetros a sudeste de Siquém, e 5 quilômetros a leste da estrada entre Siquém e Jerusalém, encaixando-se precisamente na descrição de sua localização em </w:t>
      </w:r>
      <w:hyperlink r:id="rId9281">
        <w:r>
          <w:rPr>
            <w:color w:val="0000EE"/>
            <w:u w:val="single"/>
          </w:rPr>
          <w:t>Juízes 21.19</w:t>
        </w:r>
      </w:hyperlink>
      <w:r>
        <w:t>. Além da continuidade do nome do local e de sua adequação aos requisitos bíblicos de localização, os resultados das escavações concordam com a história de Siló, conforme é conhecida pela Bíblia, e confirmam a identificação.</w:t>
      </w:r>
    </w:p>
    <w:p>
      <w:r/>
      <w:r>
        <w:t>A cidade não é mencionada em nenhuma fonte anterior à Bíblia. As escavações mostram que Siló prosperou como uma cidade fortificada no início do segundo milênio.</w:t>
      </w:r>
    </w:p>
    <w:p>
      <w:r/>
      <w:r>
        <w:t>O local foi abandonado e reassentado no início do período israelita. A Bíblia não fornece informações sobre como o local passou para as mãos dos israelitas. Josué estabeleceu o Tabernáculo lá (</w:t>
      </w:r>
      <w:hyperlink r:id="rId19577">
        <w:r>
          <w:rPr>
            <w:color w:val="0000EE"/>
            <w:u w:val="single"/>
          </w:rPr>
          <w:t>Js 18.1</w:t>
        </w:r>
      </w:hyperlink>
      <w:r>
        <w:t>), e Siló tornou-se o centro da vida religiosa durante o período dos juízes. Lá, Josué lançou sortes para repartir a herança de terra para sete das tribos (</w:t>
      </w:r>
      <w:hyperlink r:id="rId12256">
        <w:r>
          <w:rPr>
            <w:color w:val="0000EE"/>
            <w:u w:val="single"/>
          </w:rPr>
          <w:t>18.1–19.51</w:t>
        </w:r>
      </w:hyperlink>
      <w:r>
        <w:t>) e para designar as cidades levíticas (</w:t>
      </w:r>
      <w:hyperlink r:id="rId12089">
        <w:r>
          <w:rPr>
            <w:color w:val="0000EE"/>
            <w:u w:val="single"/>
          </w:rPr>
          <w:t>21.1–42</w:t>
        </w:r>
      </w:hyperlink>
      <w:r>
        <w:t>). Uma disputa sobre um altar erguido pelas duas tribos e meia que se estabeleceram em Transjordânia foi resolvida em Siló (</w:t>
      </w:r>
      <w:hyperlink r:id="rId19578">
        <w:r>
          <w:rPr>
            <w:color w:val="0000EE"/>
            <w:u w:val="single"/>
          </w:rPr>
          <w:t>22.9–34</w:t>
        </w:r>
      </w:hyperlink>
      <w:r>
        <w:t>). Alguns benjaminitas sequestraram mulheres de lá durante um festival religioso (</w:t>
      </w:r>
      <w:hyperlink r:id="rId3422">
        <w:r>
          <w:rPr>
            <w:color w:val="0000EE"/>
            <w:u w:val="single"/>
          </w:rPr>
          <w:t>Jz 21</w:t>
        </w:r>
      </w:hyperlink>
      <w:r>
        <w:t>). Elcana e Ana frequentemente viajavam para o Tabernáculo em Siló, onde Ana prometeu dedicar seu filho ao serviço do Senhor (</w:t>
      </w:r>
      <w:hyperlink r:id="rId19579">
        <w:r>
          <w:rPr>
            <w:color w:val="0000EE"/>
            <w:u w:val="single"/>
          </w:rPr>
          <w:t>1Sm 1.3,9,24</w:t>
        </w:r>
      </w:hyperlink>
      <w:r>
        <w:t>). Os filhos de Eli, que ministravam lá, desonraram seu cargo e foram rejeitados, então o Senhor apareceu a Samuel (</w:t>
      </w:r>
      <w:hyperlink r:id="rId19580">
        <w:r>
          <w:rPr>
            <w:color w:val="0000EE"/>
            <w:u w:val="single"/>
          </w:rPr>
          <w:t>1Sm 2.14</w:t>
        </w:r>
      </w:hyperlink>
      <w:r>
        <w:t xml:space="preserve">; </w:t>
      </w:r>
      <w:hyperlink r:id="rId19581">
        <w:r>
          <w:rPr>
            <w:color w:val="0000EE"/>
            <w:u w:val="single"/>
          </w:rPr>
          <w:t>3.21</w:t>
        </w:r>
      </w:hyperlink>
      <w:r>
        <w:t>). Quando a arca foi levada de Siló para uma batalha com os filisteus, a notícia de sua perda para os filisteus chegou a Eli e causou sua morte (</w:t>
      </w:r>
      <w:hyperlink r:id="rId19582">
        <w:r>
          <w:rPr>
            <w:color w:val="0000EE"/>
            <w:u w:val="single"/>
          </w:rPr>
          <w:t>1Sm 4.1–18</w:t>
        </w:r>
      </w:hyperlink>
      <w:r>
        <w:t>). A arca nunca foi devolvida a Siló; o salmista registra que Deus “abandonou a sua Tenda Sagrada, que estava em Siló, a casa onde ele havia morado entre os seres humanos” (</w:t>
      </w:r>
      <w:hyperlink r:id="rId19093">
        <w:r>
          <w:rPr>
            <w:color w:val="0000EE"/>
            <w:u w:val="single"/>
          </w:rPr>
          <w:t>Sl 78.60</w:t>
        </w:r>
      </w:hyperlink>
      <w:r>
        <w:t>, NTLH).</w:t>
      </w:r>
    </w:p>
    <w:p>
      <w:r/>
      <w:r>
        <w:t>A cidade de Siló provavelmente sofreu alguma destruição na época da queda do reino do norte em 722 a.C. A súbita escassez de restos cerâmicos no período Irom III sugere que o local foi amplamente abandonado por volta de 600 a.C. Após a destruição do Templo em 586 a.C., pessoas vieram de Siló para oferecer sacrifícios em Jerusalém (</w:t>
      </w:r>
      <w:hyperlink r:id="rId3931">
        <w:r>
          <w:rPr>
            <w:color w:val="0000EE"/>
            <w:u w:val="single"/>
          </w:rPr>
          <w:t>Jr 41.5</w:t>
        </w:r>
      </w:hyperlink>
      <w:r>
        <w:t>). Os silonitas possivelmente também estavam entre os primeiros a retornar do cativeiro babilônico (</w:t>
      </w:r>
      <w:hyperlink r:id="rId19314">
        <w:r>
          <w:rPr>
            <w:color w:val="0000EE"/>
            <w:u w:val="single"/>
          </w:rPr>
          <w:t>1Cr 9.5</w:t>
        </w:r>
      </w:hyperlink>
      <w:r>
        <w:t>). O local foi reassentado por volta de 300 a.C. e floresceu durante o período romano. É mencionado por Eusébio e Jerônimo e em fontes talmúdicas. Perdeu grande parte de sua importância após as conquistas islâmicas.</w:t>
      </w:r>
      <w:r/>
      <w:r/>
    </w:p>
    <w:p>
      <w:r/>
    </w:p>
    <w:p>
      <w:pPr>
        <w:pStyle w:val="Heading2"/>
      </w:pPr>
      <w:r>
        <w:t>Simão</w:t>
      </w:r>
      <w:r/>
    </w:p>
    <w:p>
      <w:r/>
      <w:r>
        <w:t>Forma grega de um nome hebraico/aramaico que significa “Deus ouviu”. Nove homens no NT tinham este nome:</w:t>
      </w:r>
    </w:p>
    <w:p>
      <w:r/>
      <w:r>
        <w:t>1. Filho de Jonas (</w:t>
      </w:r>
      <w:hyperlink r:id="rId1435">
        <w:r>
          <w:rPr>
            <w:color w:val="0000EE"/>
            <w:u w:val="single"/>
          </w:rPr>
          <w:t>Mt 16.17</w:t>
        </w:r>
      </w:hyperlink>
      <w:r>
        <w:t>) ou João (</w:t>
      </w:r>
      <w:hyperlink r:id="rId1436">
        <w:r>
          <w:rPr>
            <w:color w:val="0000EE"/>
            <w:u w:val="single"/>
          </w:rPr>
          <w:t>Jo 1.42</w:t>
        </w:r>
      </w:hyperlink>
      <w:r>
        <w:t xml:space="preserve">), o irmão de André (v. </w:t>
      </w:r>
      <w:hyperlink r:id="rId1430">
        <w:r>
          <w:rPr>
            <w:color w:val="0000EE"/>
            <w:u w:val="single"/>
          </w:rPr>
          <w:t>40</w:t>
        </w:r>
      </w:hyperlink>
      <w:r>
        <w:t xml:space="preserve">), e de sobrenome Cefas e Pedro (respectivamente aramaico e grego, para “rocha”, v. </w:t>
      </w:r>
      <w:hyperlink r:id="rId1436">
        <w:r>
          <w:rPr>
            <w:color w:val="0000EE"/>
            <w:u w:val="single"/>
          </w:rPr>
          <w:t>42</w:t>
        </w:r>
      </w:hyperlink>
      <w:r>
        <w:t>) por Jesus. Um pescador de Betsaida (</w:t>
      </w:r>
      <w:hyperlink r:id="rId1429">
        <w:r>
          <w:rPr>
            <w:color w:val="0000EE"/>
            <w:u w:val="single"/>
          </w:rPr>
          <w:t>Mc 1.16</w:t>
        </w:r>
      </w:hyperlink>
      <w:r>
        <w:t xml:space="preserve">; </w:t>
      </w:r>
      <w:hyperlink r:id="rId1438">
        <w:r>
          <w:rPr>
            <w:color w:val="0000EE"/>
            <w:u w:val="single"/>
          </w:rPr>
          <w:t>Jo 1.44</w:t>
        </w:r>
      </w:hyperlink>
      <w:r>
        <w:t xml:space="preserve">), ele se tornou um apóstolo de Jesus e autor de duas cartas do NT com seu nome. </w:t>
      </w:r>
      <w:r>
        <w:rPr>
          <w:i/>
        </w:rPr>
        <w:t>Veja</w:t>
      </w:r>
      <w:r>
        <w:t xml:space="preserve"> </w:t>
      </w:r>
      <w:r>
        <w:t>Pedro, o apóstolo</w:t>
      </w:r>
      <w:r>
        <w:t>.</w:t>
      </w:r>
    </w:p>
    <w:p>
      <w:r/>
      <w:r>
        <w:t>2. Irmão de Jesus, nomeado com outros irmãos, Tiago, José ou Josef, e Judas (</w:t>
      </w:r>
      <w:hyperlink r:id="rId2205">
        <w:r>
          <w:rPr>
            <w:color w:val="0000EE"/>
            <w:u w:val="single"/>
          </w:rPr>
          <w:t>Mt 13.55</w:t>
        </w:r>
      </w:hyperlink>
      <w:r>
        <w:t xml:space="preserve">; </w:t>
      </w:r>
      <w:hyperlink r:id="rId4331">
        <w:r>
          <w:rPr>
            <w:color w:val="0000EE"/>
            <w:u w:val="single"/>
          </w:rPr>
          <w:t>Mc 6.3</w:t>
        </w:r>
      </w:hyperlink>
      <w:r>
        <w:t>).</w:t>
      </w:r>
    </w:p>
    <w:p>
      <w:r/>
      <w:r>
        <w:t>3. Leproso, talvez socorrido por Jesus, na casa em Betânia Jesus e seus discípulos estavam comendo quando uma mulher derramou um frasco de alabastro de unguento caro na cabeça do Senhor. Sobre as objeções dos discípulos contra o desperdício do que poderia ter sido vendido para ajudar os pobres, Jesus elogiou o ato como uma coisa maravilhosa (</w:t>
      </w:r>
      <w:hyperlink r:id="rId11770">
        <w:r>
          <w:rPr>
            <w:color w:val="0000EE"/>
            <w:u w:val="single"/>
          </w:rPr>
          <w:t>Mt 26.6–13</w:t>
        </w:r>
      </w:hyperlink>
      <w:r>
        <w:t xml:space="preserve">; </w:t>
      </w:r>
      <w:hyperlink r:id="rId8748">
        <w:r>
          <w:rPr>
            <w:color w:val="0000EE"/>
            <w:u w:val="single"/>
          </w:rPr>
          <w:t>Mc 14.3–9</w:t>
        </w:r>
      </w:hyperlink>
      <w:r>
        <w:t xml:space="preserve">). De </w:t>
      </w:r>
      <w:hyperlink r:id="rId13955">
        <w:r>
          <w:rPr>
            <w:color w:val="0000EE"/>
            <w:u w:val="single"/>
          </w:rPr>
          <w:t>João 12.1–8</w:t>
        </w:r>
      </w:hyperlink>
      <w:r>
        <w:t>, parece que a casa de Simão também era a casa de Maria, Marta e Lázaro, mas seu relacionamento com Simão é incerto.</w:t>
      </w:r>
    </w:p>
    <w:p>
      <w:r/>
      <w:r>
        <w:t>4. Homem de Cirene, um distrito do norte da África, a quem os romanos forçaram a carregar a cruz de Jesus (</w:t>
      </w:r>
      <w:hyperlink r:id="rId4992">
        <w:r>
          <w:rPr>
            <w:color w:val="0000EE"/>
            <w:u w:val="single"/>
          </w:rPr>
          <w:t>Mt 27.32</w:t>
        </w:r>
      </w:hyperlink>
      <w:r>
        <w:t xml:space="preserve">; </w:t>
      </w:r>
      <w:hyperlink r:id="rId736">
        <w:r>
          <w:rPr>
            <w:color w:val="0000EE"/>
            <w:u w:val="single"/>
          </w:rPr>
          <w:t>Mc 15.21</w:t>
        </w:r>
      </w:hyperlink>
      <w:r>
        <w:t xml:space="preserve">; </w:t>
      </w:r>
      <w:hyperlink r:id="rId11803">
        <w:r>
          <w:rPr>
            <w:color w:val="0000EE"/>
            <w:u w:val="single"/>
          </w:rPr>
          <w:t>Lc 23.26</w:t>
        </w:r>
      </w:hyperlink>
      <w:r>
        <w:t>). Ele era o pai de Alexandre e Rufo (</w:t>
      </w:r>
      <w:hyperlink r:id="rId736">
        <w:r>
          <w:rPr>
            <w:color w:val="0000EE"/>
            <w:u w:val="single"/>
          </w:rPr>
          <w:t>Mc 15.21</w:t>
        </w:r>
      </w:hyperlink>
      <w:r>
        <w:t xml:space="preserve">; cf. </w:t>
      </w:r>
      <w:hyperlink r:id="rId7846">
        <w:r>
          <w:rPr>
            <w:color w:val="0000EE"/>
            <w:u w:val="single"/>
          </w:rPr>
          <w:t>Rm 16.13</w:t>
        </w:r>
      </w:hyperlink>
      <w:r>
        <w:t>).</w:t>
      </w:r>
    </w:p>
    <w:p>
      <w:r/>
      <w:r>
        <w:t>5. O apóstolo de Jesus chamado um zelote (</w:t>
      </w:r>
      <w:hyperlink r:id="rId749">
        <w:r>
          <w:rPr>
            <w:color w:val="0000EE"/>
            <w:u w:val="single"/>
          </w:rPr>
          <w:t>Lc 6.15</w:t>
        </w:r>
      </w:hyperlink>
      <w:r>
        <w:t xml:space="preserve">), presumivelmente por causa da associação prévia com o partido de extremistas políticos com esse nome, que adotou o terrorismo para se opor à invasão romana da Palestina, ou com um de vários grupos judeus conhecidos por seu zelo pela lei. Em </w:t>
      </w:r>
      <w:hyperlink r:id="rId12356">
        <w:r>
          <w:rPr>
            <w:color w:val="0000EE"/>
            <w:u w:val="single"/>
          </w:rPr>
          <w:t>Mateus 10.4</w:t>
        </w:r>
      </w:hyperlink>
      <w:r>
        <w:t xml:space="preserve"> e </w:t>
      </w:r>
      <w:hyperlink r:id="rId748">
        <w:r>
          <w:rPr>
            <w:color w:val="0000EE"/>
            <w:u w:val="single"/>
          </w:rPr>
          <w:t>Marcos 3.18</w:t>
        </w:r>
      </w:hyperlink>
      <w:r>
        <w:t xml:space="preserve">, ele é designado de “Cananeu” na tradução da King James — a partir da palavra aramaica para “zelote”. Ele é mencionado novamente em </w:t>
      </w:r>
      <w:hyperlink r:id="rId750">
        <w:r>
          <w:rPr>
            <w:color w:val="0000EE"/>
            <w:u w:val="single"/>
          </w:rPr>
          <w:t>Atos 1.13</w:t>
        </w:r>
      </w:hyperlink>
      <w:r>
        <w:t xml:space="preserve"> como um dos 11 apóstolos em Jerusalém após a ascensão de Jesus. Fora isso, o NT fica em silêncio sobre ele.</w:t>
      </w:r>
    </w:p>
    <w:p>
      <w:r/>
      <w:r>
        <w:t>6. Fariseu que o tratamento de Jesus evocou a parábola dos dois devedores (</w:t>
      </w:r>
      <w:hyperlink r:id="rId11739">
        <w:r>
          <w:rPr>
            <w:color w:val="0000EE"/>
            <w:u w:val="single"/>
          </w:rPr>
          <w:t>Lc 7.36–50</w:t>
        </w:r>
      </w:hyperlink>
      <w:r>
        <w:t>). Ele convidou Jesus para comer em sua casa, mas reteve as cortesias costumeiras dos convidados e desaprovou a aceitação de Jesus de uma mulher “pecadora” que molhou os pés do Senhor com suas lágrimas, os secou com seus cabelos e os ungiu com unguento de um frasco de alabastro. A parábola de Jesus contrastou o ato de amar e a fé arrependida da mulher com o ceticismo desamoroso e hipócrita de Simão.</w:t>
      </w:r>
    </w:p>
    <w:p>
      <w:r/>
      <w:r>
        <w:t>7. Pai de Judas Iscariotes, o discípulo que traiu Jesus no Getsêmani (</w:t>
      </w:r>
      <w:hyperlink r:id="rId16982">
        <w:r>
          <w:rPr>
            <w:color w:val="0000EE"/>
            <w:u w:val="single"/>
          </w:rPr>
          <w:t>Jo 6.71</w:t>
        </w:r>
      </w:hyperlink>
      <w:r>
        <w:t xml:space="preserve">; </w:t>
      </w:r>
      <w:hyperlink r:id="rId19258">
        <w:r>
          <w:rPr>
            <w:color w:val="0000EE"/>
            <w:u w:val="single"/>
          </w:rPr>
          <w:t>13.2, 26</w:t>
        </w:r>
      </w:hyperlink>
      <w:r>
        <w:t>).</w:t>
      </w:r>
    </w:p>
    <w:p>
      <w:r/>
      <w:r>
        <w:t>8. Mago (muitas vezes chamado de Simão Mago) de grande renome em Samaria. Impressionado com os sinais e milagres realizados por Filipe, o diácono que se tornou evangelista, ele se juntou à multidão de crentes batizados. Ele ofereceu dinheiro a Pedro e João em troca do presente do Espírito Santo, provocando a repreensão enfática de Pedro (</w:t>
      </w:r>
      <w:hyperlink r:id="rId10428">
        <w:r>
          <w:rPr>
            <w:color w:val="0000EE"/>
            <w:u w:val="single"/>
          </w:rPr>
          <w:t>Atos 8.9–24</w:t>
        </w:r>
      </w:hyperlink>
      <w:r>
        <w:t>). Da associação deste incidente com seu nome, a palavra em português “simonia” é derivada; denota a venda ou compra de posições da igreja, ou qualquer lucro de coisas sagradas.</w:t>
      </w:r>
    </w:p>
    <w:p>
      <w:r/>
      <w:r>
        <w:t>9. Curtidor de Jope. Pedro se hospedou em sua casa por muitos dias (</w:t>
      </w:r>
      <w:hyperlink r:id="rId6438">
        <w:r>
          <w:rPr>
            <w:color w:val="0000EE"/>
            <w:u w:val="single"/>
          </w:rPr>
          <w:t>Atos 9.43</w:t>
        </w:r>
      </w:hyperlink>
      <w:r>
        <w:t xml:space="preserve">; </w:t>
      </w:r>
      <w:hyperlink r:id="rId19583">
        <w:r>
          <w:rPr>
            <w:color w:val="0000EE"/>
            <w:u w:val="single"/>
          </w:rPr>
          <w:t>10.6,17,32</w:t>
        </w:r>
      </w:hyperlink>
      <w:r>
        <w:t>). No telhado de Simão, Pedro experimentou a visão de um grande lençol baixado do céu, contendo animais e pássaros proibidos como alimento na lei judaica (</w:t>
      </w:r>
      <w:hyperlink r:id="rId19584">
        <w:r>
          <w:rPr>
            <w:color w:val="0000EE"/>
            <w:u w:val="single"/>
          </w:rPr>
          <w:t>10.15</w:t>
        </w:r>
      </w:hyperlink>
      <w:r>
        <w:t xml:space="preserve">). Pedro mais tarde reconheceu esta visão como sua preparação para consentir em pregar o evangelho aos gentios (vv. </w:t>
      </w:r>
      <w:hyperlink r:id="rId19585">
        <w:r>
          <w:rPr>
            <w:color w:val="0000EE"/>
            <w:u w:val="single"/>
          </w:rPr>
          <w:t>28–29</w:t>
        </w:r>
      </w:hyperlink>
      <w:r>
        <w:t>).</w:t>
      </w:r>
      <w:r/>
      <w:r/>
    </w:p>
    <w:p>
      <w:r/>
    </w:p>
    <w:p>
      <w:pPr>
        <w:pStyle w:val="Heading2"/>
      </w:pPr>
      <w:r>
        <w:t>Simão Zelote</w:t>
      </w:r>
      <w:r/>
    </w:p>
    <w:p>
      <w:r/>
      <w:r>
        <w:t>É referido pelas maiorias das versões em português de "Simão, chamado Zelote" (</w:t>
      </w:r>
      <w:hyperlink r:id="rId749">
        <w:r>
          <w:rPr>
            <w:color w:val="0000EE"/>
            <w:u w:val="single"/>
          </w:rPr>
          <w:t>Lc 6.15</w:t>
        </w:r>
      </w:hyperlink>
      <w:r>
        <w:t xml:space="preserve">; </w:t>
      </w:r>
      <w:hyperlink r:id="rId750">
        <w:r>
          <w:rPr>
            <w:color w:val="0000EE"/>
            <w:u w:val="single"/>
          </w:rPr>
          <w:t>At 1.13</w:t>
        </w:r>
      </w:hyperlink>
      <w:r>
        <w:t>).</w:t>
      </w:r>
    </w:p>
    <w:p>
      <w:r/>
      <w:r>
        <w:rPr>
          <w:i/>
        </w:rPr>
        <w:t>Veja</w:t>
      </w:r>
      <w:r>
        <w:t xml:space="preserve"> </w:t>
      </w:r>
      <w:r>
        <w:t>Simão #5</w:t>
      </w:r>
      <w:r>
        <w:t>.</w:t>
      </w:r>
      <w:r/>
      <w:r/>
    </w:p>
    <w:p>
      <w:r/>
    </w:p>
    <w:p>
      <w:pPr>
        <w:pStyle w:val="Heading2"/>
      </w:pPr>
      <w:r>
        <w:t>Simão, O Cananaean*</w:t>
      </w:r>
      <w:r/>
    </w:p>
    <w:p>
      <w:r/>
      <w:r>
        <w:t xml:space="preserve">Tradução da Bíblia em inglês RSV (Revised Standard Version), com uma transliteração peculiar para "cananeu" para descrever Simão, o zelote, em </w:t>
      </w:r>
      <w:hyperlink r:id="rId12356">
        <w:r>
          <w:rPr>
            <w:color w:val="0000EE"/>
            <w:u w:val="single"/>
          </w:rPr>
          <w:t>Mateus 10.4</w:t>
        </w:r>
      </w:hyperlink>
      <w:r>
        <w:t xml:space="preserve">; </w:t>
      </w:r>
      <w:hyperlink r:id="rId748">
        <w:r>
          <w:rPr>
            <w:color w:val="0000EE"/>
            <w:u w:val="single"/>
          </w:rPr>
          <w:t>Marcos 3.18</w:t>
        </w:r>
      </w:hyperlink>
      <w:r>
        <w:t xml:space="preserve">. </w:t>
      </w:r>
      <w:r>
        <w:rPr>
          <w:i/>
        </w:rPr>
        <w:t>Ver</w:t>
      </w:r>
      <w:r>
        <w:t xml:space="preserve"> </w:t>
      </w:r>
      <w:r>
        <w:t>Simão #5</w:t>
      </w:r>
      <w:r>
        <w:t>.</w:t>
      </w:r>
      <w:r/>
      <w:r/>
    </w:p>
    <w:p>
      <w:r/>
    </w:p>
    <w:p>
      <w:pPr>
        <w:pStyle w:val="Heading2"/>
      </w:pPr>
      <w:r>
        <w:t>Simão, O Cananeu*</w:t>
      </w:r>
      <w:r/>
    </w:p>
    <w:p>
      <w:r/>
      <w:r>
        <w:t xml:space="preserve">Tradução da Bíblia King James para Simão, o zelote, em </w:t>
      </w:r>
      <w:hyperlink r:id="rId12356">
        <w:r>
          <w:rPr>
            <w:color w:val="0000EE"/>
            <w:u w:val="single"/>
          </w:rPr>
          <w:t>Mateus 10.4</w:t>
        </w:r>
      </w:hyperlink>
      <w:r>
        <w:t xml:space="preserve">; </w:t>
      </w:r>
      <w:hyperlink r:id="rId748">
        <w:r>
          <w:rPr>
            <w:color w:val="0000EE"/>
            <w:u w:val="single"/>
          </w:rPr>
          <w:t>Marcos 3.18</w:t>
        </w:r>
      </w:hyperlink>
      <w:r>
        <w:t xml:space="preserve">. </w:t>
      </w:r>
      <w:r>
        <w:rPr>
          <w:i/>
        </w:rPr>
        <w:t>Ver</w:t>
      </w:r>
      <w:r>
        <w:t xml:space="preserve"> </w:t>
      </w:r>
      <w:r>
        <w:t>Simão #5</w:t>
      </w:r>
      <w:r>
        <w:t>.</w:t>
      </w:r>
      <w:r/>
      <w:r/>
    </w:p>
    <w:p>
      <w:r/>
    </w:p>
    <w:p>
      <w:pPr>
        <w:pStyle w:val="Heading2"/>
      </w:pPr>
      <w:r>
        <w:t>Simão, o Mágico</w:t>
      </w:r>
      <w:r/>
    </w:p>
    <w:p>
      <w:r/>
      <w:r>
        <w:t>Simão Mago era um mágico (alguém que usava magia) no livro de Atos (</w:t>
      </w:r>
      <w:hyperlink r:id="rId19586">
        <w:r>
          <w:rPr>
            <w:color w:val="0000EE"/>
            <w:u w:val="single"/>
          </w:rPr>
          <w:t>At 8.9</w:t>
        </w:r>
      </w:hyperlink>
      <w:r>
        <w:t>).</w:t>
      </w:r>
    </w:p>
    <w:p>
      <w:r/>
      <w:r>
        <w:rPr>
          <w:i/>
        </w:rPr>
        <w:t>Veja</w:t>
      </w:r>
      <w:r>
        <w:t xml:space="preserve"> </w:t>
      </w:r>
      <w:r>
        <w:t>Simão nº 8</w:t>
      </w:r>
      <w:r>
        <w:t>.</w:t>
      </w:r>
      <w:r/>
      <w:r/>
    </w:p>
    <w:p>
      <w:r/>
    </w:p>
    <w:p>
      <w:pPr>
        <w:pStyle w:val="Heading2"/>
      </w:pPr>
      <w:r>
        <w:t>Simão, o mago</w:t>
      </w:r>
      <w:r/>
    </w:p>
    <w:p>
      <w:r/>
      <w:r>
        <w:t>Um feiticeiro da Samaria que pareceu se converter ao Cristianismo após ouvir Filipe pregar (</w:t>
      </w:r>
      <w:hyperlink r:id="rId10428">
        <w:r>
          <w:rPr>
            <w:color w:val="0000EE"/>
            <w:u w:val="single"/>
          </w:rPr>
          <w:t>At 8.9–24</w:t>
        </w:r>
      </w:hyperlink>
      <w:r>
        <w:t>).</w:t>
      </w:r>
    </w:p>
    <w:p>
      <w:r/>
      <w:r>
        <w:rPr>
          <w:i/>
        </w:rPr>
        <w:t>Veja</w:t>
      </w:r>
      <w:r>
        <w:t xml:space="preserve"> </w:t>
      </w:r>
      <w:r>
        <w:t>Simão #8</w:t>
      </w:r>
      <w:r>
        <w:t>.</w:t>
      </w:r>
      <w:r/>
      <w:r/>
    </w:p>
    <w:p>
      <w:r/>
    </w:p>
    <w:p>
      <w:pPr>
        <w:pStyle w:val="Heading2"/>
      </w:pPr>
      <w:r>
        <w:t>Simão, O Zelote</w:t>
      </w:r>
      <w:r/>
    </w:p>
    <w:p>
      <w:r/>
      <w:r>
        <w:t>Um dos discípulos de Jesus (</w:t>
      </w:r>
      <w:hyperlink r:id="rId12356">
        <w:r>
          <w:rPr>
            <w:color w:val="0000EE"/>
            <w:u w:val="single"/>
          </w:rPr>
          <w:t>Mt 10.4</w:t>
        </w:r>
      </w:hyperlink>
      <w:r>
        <w:t xml:space="preserve">; </w:t>
      </w:r>
      <w:hyperlink r:id="rId748">
        <w:r>
          <w:rPr>
            <w:color w:val="0000EE"/>
            <w:u w:val="single"/>
          </w:rPr>
          <w:t>Mc 3.18</w:t>
        </w:r>
      </w:hyperlink>
      <w:r>
        <w:t xml:space="preserve">; </w:t>
      </w:r>
      <w:hyperlink r:id="rId749">
        <w:r>
          <w:rPr>
            <w:color w:val="0000EE"/>
            <w:u w:val="single"/>
          </w:rPr>
          <w:t>Lc 6.15</w:t>
        </w:r>
      </w:hyperlink>
      <w:r>
        <w:t xml:space="preserve">; </w:t>
      </w:r>
      <w:hyperlink r:id="rId750">
        <w:r>
          <w:rPr>
            <w:color w:val="0000EE"/>
            <w:u w:val="single"/>
          </w:rPr>
          <w:t>Atos 1.13</w:t>
        </w:r>
      </w:hyperlink>
      <w:r>
        <w:t xml:space="preserve">). </w:t>
      </w:r>
      <w:r>
        <w:rPr>
          <w:i/>
        </w:rPr>
        <w:t>Ver</w:t>
      </w:r>
      <w:r>
        <w:t xml:space="preserve"> </w:t>
      </w:r>
      <w:r>
        <w:t>Simão #5</w:t>
      </w:r>
      <w:r>
        <w:t>.</w:t>
      </w:r>
      <w:r/>
      <w:r/>
    </w:p>
    <w:p>
      <w:r/>
    </w:p>
    <w:p>
      <w:pPr>
        <w:pStyle w:val="Heading2"/>
      </w:pPr>
      <w:r>
        <w:t>Simeão (Pessoa)</w:t>
      </w:r>
      <w:r/>
    </w:p>
    <w:p>
      <w:pPr>
        <w:pStyle w:val="ListNumber"/>
        <w:spacing w:line="240" w:lineRule="auto"/>
        <w:ind w:left="720"/>
      </w:pPr>
      <w:r/>
      <w:r>
        <w:t>O segundo dos 12 filhos de Jacó (</w:t>
      </w:r>
      <w:hyperlink r:id="rId12292">
        <w:r>
          <w:rPr>
            <w:color w:val="0000EE"/>
            <w:u w:val="single"/>
          </w:rPr>
          <w:t>Gn 35.23</w:t>
        </w:r>
      </w:hyperlink>
      <w:r>
        <w:t xml:space="preserve">; </w:t>
      </w:r>
      <w:hyperlink r:id="rId12293">
        <w:r>
          <w:rPr>
            <w:color w:val="0000EE"/>
            <w:u w:val="single"/>
          </w:rPr>
          <w:t>1Cr 2.1</w:t>
        </w:r>
      </w:hyperlink>
      <w:r>
        <w:t>). Ele foi o segundo filho que Lia lhe deu (</w:t>
      </w:r>
      <w:hyperlink r:id="rId19587">
        <w:r>
          <w:rPr>
            <w:color w:val="0000EE"/>
            <w:u w:val="single"/>
          </w:rPr>
          <w:t>Gn 29.33</w:t>
        </w:r>
      </w:hyperlink>
      <w:r>
        <w:t>). Simeão teve seis filhos (</w:t>
      </w:r>
      <w:hyperlink r:id="rId11527">
        <w:r>
          <w:rPr>
            <w:color w:val="0000EE"/>
            <w:u w:val="single"/>
          </w:rPr>
          <w:t>Êx 6.15</w:t>
        </w:r>
      </w:hyperlink>
      <w:r>
        <w:t>). Ele estabeleceu sua família no Egito com Jacó e seus irmãos (</w:t>
      </w:r>
      <w:hyperlink r:id="rId12298">
        <w:r>
          <w:rPr>
            <w:color w:val="0000EE"/>
            <w:u w:val="single"/>
          </w:rPr>
          <w:t>Êx 1.2</w:t>
        </w:r>
      </w:hyperlink>
      <w:r>
        <w:t>). Ele foi o fundador dos simeonitas (</w:t>
      </w:r>
      <w:hyperlink r:id="rId15538">
        <w:r>
          <w:rPr>
            <w:color w:val="0000EE"/>
            <w:u w:val="single"/>
          </w:rPr>
          <w:t>Nm 26.12–14</w:t>
        </w:r>
      </w:hyperlink>
      <w:r>
        <w:t>). Ele também fundou uma das 12 tribos de Israel (</w:t>
      </w:r>
      <w:hyperlink r:id="rId19588">
        <w:r>
          <w:rPr>
            <w:color w:val="0000EE"/>
            <w:u w:val="single"/>
          </w:rPr>
          <w:t>Nm 1.23</w:t>
        </w:r>
      </w:hyperlink>
      <w:r>
        <w:t>). Ele é mais lembrado por sua vingança contra os homens de Siquém por causa do estupro de Diná (</w:t>
      </w:r>
      <w:hyperlink r:id="rId19589">
        <w:r>
          <w:rPr>
            <w:color w:val="0000EE"/>
            <w:u w:val="single"/>
          </w:rPr>
          <w:t>Gn 34.25</w:t>
        </w:r>
      </w:hyperlink>
      <w:r>
        <w:t>).</w:t>
      </w:r>
    </w:p>
    <w:p>
      <w:r/>
      <w:r>
        <w:rPr>
          <w:i/>
        </w:rPr>
        <w:t>Veja também</w:t>
      </w:r>
      <w:r>
        <w:t xml:space="preserve"> </w:t>
      </w:r>
      <w:r>
        <w:t>Simeão, Tribo de</w:t>
      </w:r>
      <w:r>
        <w:t>.</w:t>
      </w:r>
    </w:p>
    <w:p>
      <w:pPr>
        <w:pStyle w:val="ListNumber"/>
        <w:spacing w:line="240" w:lineRule="auto"/>
        <w:ind w:left="720"/>
      </w:pPr>
      <w:r/>
      <w:r>
        <w:t>Um judeu devoto vivendo em Jerusalém foi assegurado de que não morreria antes de ver o Messias Prometido. O Espírito Santo conduziu Simeão ao Templo. Lá, ele encontrou Maria e José. Ele segurou Jesus e profetizou sobre a missão do Messias. (</w:t>
      </w:r>
      <w:hyperlink r:id="rId19590">
        <w:r>
          <w:rPr>
            <w:color w:val="0000EE"/>
            <w:u w:val="single"/>
          </w:rPr>
          <w:t>Lc 2.25–35</w:t>
        </w:r>
      </w:hyperlink>
      <w:r>
        <w:t>).</w:t>
      </w:r>
    </w:p>
    <w:p>
      <w:pPr>
        <w:pStyle w:val="ListNumber"/>
        <w:spacing w:line="240" w:lineRule="auto"/>
        <w:ind w:left="720"/>
      </w:pPr>
      <w:r/>
      <w:r>
        <w:t>Um ancestral de Jesus na lista da família de Lucas (</w:t>
      </w:r>
      <w:hyperlink r:id="rId12066">
        <w:r>
          <w:rPr>
            <w:color w:val="0000EE"/>
            <w:u w:val="single"/>
          </w:rPr>
          <w:t>Lc 3.30</w:t>
        </w:r>
      </w:hyperlink>
      <w:r>
        <w:t>).</w:t>
      </w:r>
    </w:p>
    <w:p>
      <w:r/>
      <w:r>
        <w:rPr>
          <w:i/>
        </w:rPr>
        <w:t>Veja</w:t>
      </w:r>
      <w:r>
        <w:t xml:space="preserve"> </w:t>
      </w:r>
      <w:r>
        <w:t>Ancestralidade de Jesus Cristo</w:t>
      </w:r>
      <w:r>
        <w:t>.</w:t>
      </w:r>
    </w:p>
    <w:p>
      <w:pPr>
        <w:pStyle w:val="ListNumber"/>
        <w:spacing w:line="240" w:lineRule="auto"/>
        <w:ind w:left="720"/>
      </w:pPr>
      <w:r/>
      <w:r>
        <w:t xml:space="preserve">Um dos cinco profetas e mestres mencionados em </w:t>
      </w:r>
      <w:hyperlink r:id="rId4994">
        <w:r>
          <w:rPr>
            <w:color w:val="0000EE"/>
            <w:u w:val="single"/>
          </w:rPr>
          <w:t>Atos 13.1</w:t>
        </w:r>
      </w:hyperlink>
      <w:r>
        <w:t xml:space="preserve"> que estavam servindo na igreja de Antioquia. Simeão era apelidado de Níger e talvez fosse da África. Simão é uma leitura melhor do grego neste texto.</w:t>
      </w:r>
    </w:p>
    <w:p>
      <w:pPr>
        <w:pStyle w:val="ListNumber"/>
        <w:spacing w:line="240" w:lineRule="auto"/>
        <w:ind w:left="720"/>
      </w:pPr>
      <w:r/>
      <w:r>
        <w:t xml:space="preserve">Uma referência a Simão Pedro em </w:t>
      </w:r>
      <w:hyperlink r:id="rId19591">
        <w:r>
          <w:rPr>
            <w:color w:val="0000EE"/>
            <w:u w:val="single"/>
          </w:rPr>
          <w:t>Atos 15.14</w:t>
        </w:r>
      </w:hyperlink>
      <w:r>
        <w:t>.</w:t>
      </w:r>
    </w:p>
    <w:p>
      <w:r/>
      <w:r>
        <w:rPr>
          <w:i/>
        </w:rPr>
        <w:t>Veja</w:t>
      </w:r>
      <w:r>
        <w:t xml:space="preserve"> </w:t>
      </w:r>
      <w:r>
        <w:t>Pedro, O apóstolo</w:t>
      </w:r>
      <w:r>
        <w:t>.</w:t>
      </w:r>
      <w:r/>
      <w:r/>
    </w:p>
    <w:p>
      <w:r/>
    </w:p>
    <w:p>
      <w:pPr>
        <w:pStyle w:val="Heading2"/>
      </w:pPr>
      <w:r>
        <w:t>Simeão, Tribo de</w:t>
      </w:r>
      <w:r/>
    </w:p>
    <w:p>
      <w:r/>
      <w:r>
        <w:t>Uma das 12 tribos de Israel descendeu do segundo filho de Jacó, Simeão. Devido ao ato maligno de Simeão em Siquém, Jacó previu que os descendentes de Simeão seriam espalhados entre as outras tribos de Israel (</w:t>
      </w:r>
      <w:hyperlink r:id="rId12260">
        <w:r>
          <w:rPr>
            <w:color w:val="0000EE"/>
            <w:u w:val="single"/>
          </w:rPr>
          <w:t>Gn 49.7</w:t>
        </w:r>
      </w:hyperlink>
      <w:r>
        <w:t>).</w:t>
      </w:r>
    </w:p>
    <w:p>
      <w:pPr>
        <w:pStyle w:val="Heading3"/>
      </w:pPr>
      <w:r>
        <w:t>O território da tribo de Simeão</w:t>
      </w:r>
    </w:p>
    <w:p>
      <w:r/>
      <w:r>
        <w:t>De acordo com o livro de Josué, a herança de Simeão foi incluída no território de Judá (</w:t>
      </w:r>
      <w:hyperlink r:id="rId19592">
        <w:r>
          <w:rPr>
            <w:color w:val="0000EE"/>
            <w:u w:val="single"/>
          </w:rPr>
          <w:t>Js 19.1,9</w:t>
        </w:r>
      </w:hyperlink>
      <w:r>
        <w:t xml:space="preserve">). </w:t>
      </w:r>
      <w:hyperlink r:id="rId19593">
        <w:r>
          <w:rPr>
            <w:color w:val="0000EE"/>
            <w:u w:val="single"/>
          </w:rPr>
          <w:t>Juízes 1.3</w:t>
        </w:r>
      </w:hyperlink>
      <w:r>
        <w:t xml:space="preserve"> sugere uma relação próxima entre as tribos de Simeão e Judá. As duas tribos frequentemente trabalhavam juntas em suas campanhas militares durante a conquista de Canaã. As cidades levíticas, que foram alocadas para prover os levitas, também foram compartilhadas entre Simeão e Judá (</w:t>
      </w:r>
      <w:hyperlink r:id="rId19594">
        <w:r>
          <w:rPr>
            <w:color w:val="0000EE"/>
            <w:u w:val="single"/>
          </w:rPr>
          <w:t>Js 21.9–16</w:t>
        </w:r>
      </w:hyperlink>
      <w:r>
        <w:t>).</w:t>
      </w:r>
    </w:p>
    <w:p>
      <w:r/>
      <w:r>
        <w:t>A herança limitada deles dentro das fronteiras de Judá continuou quando Simeão se uniu a Judá, após a divisão do reino de Israel em dois. Apesar disso, os simeonitas conseguiram manter uma identidade tribal distinta por algum tempo. Isso é evidenciado por listas de famílias preservadas até o reinado de Ezequias, rei de Judá (</w:t>
      </w:r>
      <w:hyperlink r:id="rId19595">
        <w:r>
          <w:rPr>
            <w:color w:val="0000EE"/>
            <w:u w:val="single"/>
          </w:rPr>
          <w:t>1Cr 4.24–42</w:t>
        </w:r>
      </w:hyperlink>
      <w:r>
        <w:t>).</w:t>
      </w:r>
    </w:p>
    <w:p>
      <w:r/>
      <w:r>
        <w:t>Durante o reinado de Ezequias, os simeonitas expandiram seu território estabelecendo-se nas áreas árabes de Seir (</w:t>
      </w:r>
      <w:hyperlink r:id="rId19596">
        <w:r>
          <w:rPr>
            <w:color w:val="0000EE"/>
            <w:u w:val="single"/>
          </w:rPr>
          <w:t>1Cr 4.24–43</w:t>
        </w:r>
      </w:hyperlink>
      <w:r>
        <w:t>). Eles também podem ter se estabelecido na região montanhosa de Efraim (</w:t>
      </w:r>
      <w:hyperlink r:id="rId19597">
        <w:r>
          <w:rPr>
            <w:color w:val="0000EE"/>
            <w:u w:val="single"/>
          </w:rPr>
          <w:t>2Cr 15.9</w:t>
        </w:r>
      </w:hyperlink>
      <w:r>
        <w:t xml:space="preserve">). Embora Simeão fosse o segundo filho mais velho de Jacó, a tribo de Simeão nunca foi importante. Ao contrário de algumas outras tribos, Simeão não produziu juízes notáveis e está notoriamente ausente do Cântico de Débora (veja </w:t>
      </w:r>
      <w:hyperlink r:id="rId4184">
        <w:r>
          <w:rPr>
            <w:color w:val="0000EE"/>
            <w:u w:val="single"/>
          </w:rPr>
          <w:t>Jz 5</w:t>
        </w:r>
      </w:hyperlink>
      <w:r>
        <w:t xml:space="preserve">). De acordo com </w:t>
      </w:r>
      <w:hyperlink r:id="rId19598">
        <w:r>
          <w:rPr>
            <w:color w:val="0000EE"/>
            <w:u w:val="single"/>
          </w:rPr>
          <w:t>1 Crônicas 4.28–33</w:t>
        </w:r>
      </w:hyperlink>
      <w:r>
        <w:t>, a tribo de Simeão se estabeleceu na parte mais ao sul de Canaã, uma região conhecida como o Neguebe. Esta área, embora seca e acidentada, era fértil o suficiente no início do verão devido às chuvas anuais e às nascentes persistentes. A região ficou conhecida como "o Neguebe de Judá", o que serve para distinguir Simeão dos não judeus que viviam naquela área (</w:t>
      </w:r>
      <w:hyperlink r:id="rId15128">
        <w:r>
          <w:rPr>
            <w:color w:val="0000EE"/>
            <w:u w:val="single"/>
          </w:rPr>
          <w:t>1Sm 27.10</w:t>
        </w:r>
      </w:hyperlink>
      <w:r>
        <w:t xml:space="preserve">; </w:t>
      </w:r>
      <w:hyperlink r:id="rId4049">
        <w:r>
          <w:rPr>
            <w:color w:val="0000EE"/>
            <w:u w:val="single"/>
          </w:rPr>
          <w:t>30.14</w:t>
        </w:r>
      </w:hyperlink>
      <w:r>
        <w:t xml:space="preserve">; </w:t>
      </w:r>
      <w:hyperlink r:id="rId10635">
        <w:r>
          <w:rPr>
            <w:color w:val="0000EE"/>
            <w:u w:val="single"/>
          </w:rPr>
          <w:t>2Sm 24.7</w:t>
        </w:r>
      </w:hyperlink>
      <w:r>
        <w:t>).</w:t>
      </w:r>
    </w:p>
    <w:p>
      <w:pPr>
        <w:pStyle w:val="Heading3"/>
      </w:pPr>
      <w:r>
        <w:t>Casamentos mistos na tribo de Simeão</w:t>
      </w:r>
    </w:p>
    <w:p>
      <w:r/>
      <w:r>
        <w:t>As listas familiares de Simeão revelam um alto grau de casamentos entre tribos israelitas e com não israelitas:</w:t>
      </w:r>
    </w:p>
    <w:p>
      <w:pPr>
        <w:pStyle w:val="ListBullet"/>
        <w:spacing w:line="240" w:lineRule="auto"/>
        <w:ind w:left="720"/>
      </w:pPr>
      <w:r/>
      <w:r>
        <w:t>Saul, filho de Simeão, era filho de uma mulher cananeia (</w:t>
      </w:r>
      <w:hyperlink r:id="rId11526">
        <w:r>
          <w:rPr>
            <w:color w:val="0000EE"/>
            <w:u w:val="single"/>
          </w:rPr>
          <w:t>Gn 46.10</w:t>
        </w:r>
      </w:hyperlink>
      <w:r>
        <w:t xml:space="preserve">; </w:t>
      </w:r>
      <w:hyperlink r:id="rId11527">
        <w:r>
          <w:rPr>
            <w:color w:val="0000EE"/>
            <w:u w:val="single"/>
          </w:rPr>
          <w:t>Êx 6.15</w:t>
        </w:r>
      </w:hyperlink>
      <w:r>
        <w:t>).</w:t>
      </w:r>
    </w:p>
    <w:p>
      <w:pPr>
        <w:pStyle w:val="ListBullet"/>
        <w:spacing w:line="240" w:lineRule="auto"/>
        <w:ind w:left="720"/>
      </w:pPr>
      <w:r/>
      <w:r>
        <w:t>Dois dos filhos de Simeão compartilham nomes com os filhos de Ismael (</w:t>
      </w:r>
      <w:hyperlink r:id="rId19599">
        <w:r>
          <w:rPr>
            <w:color w:val="0000EE"/>
            <w:u w:val="single"/>
          </w:rPr>
          <w:t>Gn 25.13–14</w:t>
        </w:r>
      </w:hyperlink>
      <w:r>
        <w:t xml:space="preserve">; </w:t>
      </w:r>
      <w:hyperlink r:id="rId19600">
        <w:r>
          <w:rPr>
            <w:color w:val="0000EE"/>
            <w:u w:val="single"/>
          </w:rPr>
          <w:t>1Cr 1.29–30</w:t>
        </w:r>
      </w:hyperlink>
      <w:r>
        <w:t>;</w:t>
      </w:r>
      <w:hyperlink r:id="rId14359">
        <w:r>
          <w:rPr>
            <w:color w:val="0000EE"/>
            <w:u w:val="single"/>
          </w:rPr>
          <w:t xml:space="preserve"> 4.25</w:t>
        </w:r>
      </w:hyperlink>
      <w:r>
        <w:t>).</w:t>
      </w:r>
    </w:p>
    <w:p>
      <w:pPr>
        <w:pStyle w:val="ListBullet"/>
        <w:spacing w:line="240" w:lineRule="auto"/>
        <w:ind w:left="720"/>
      </w:pPr>
      <w:r/>
      <w:r>
        <w:t>Jamim era um descendente de Rão (</w:t>
      </w:r>
      <w:hyperlink r:id="rId11526">
        <w:r>
          <w:rPr>
            <w:color w:val="0000EE"/>
            <w:u w:val="single"/>
          </w:rPr>
          <w:t>Gn 46.10</w:t>
        </w:r>
      </w:hyperlink>
      <w:r>
        <w:t xml:space="preserve">; </w:t>
      </w:r>
      <w:hyperlink r:id="rId11527">
        <w:r>
          <w:rPr>
            <w:color w:val="0000EE"/>
            <w:u w:val="single"/>
          </w:rPr>
          <w:t>Êx 6.15</w:t>
        </w:r>
      </w:hyperlink>
      <w:r>
        <w:t xml:space="preserve">; </w:t>
      </w:r>
      <w:hyperlink r:id="rId11530">
        <w:r>
          <w:rPr>
            <w:color w:val="0000EE"/>
            <w:u w:val="single"/>
          </w:rPr>
          <w:t>1Cr 2.27</w:t>
        </w:r>
      </w:hyperlink>
      <w:r>
        <w:t>).</w:t>
      </w:r>
    </w:p>
    <w:p>
      <w:pPr>
        <w:pStyle w:val="Heading3"/>
      </w:pPr>
      <w:r>
        <w:t>A tribo de Simeão no Novo Testamento</w:t>
      </w:r>
    </w:p>
    <w:p>
      <w:r/>
      <w:r>
        <w:t>No Novo Testamento, a tribo de Simeão aparece em sétimo lugar na lista das tribos que são seladas por Deus (</w:t>
      </w:r>
      <w:hyperlink r:id="rId19601">
        <w:r>
          <w:rPr>
            <w:color w:val="0000EE"/>
            <w:u w:val="single"/>
          </w:rPr>
          <w:t>Ap 7.7</w:t>
        </w:r>
      </w:hyperlink>
      <w:r>
        <w:t>).</w:t>
      </w:r>
      <w:r/>
      <w:r/>
    </w:p>
    <w:p>
      <w:r/>
    </w:p>
    <w:p>
      <w:pPr>
        <w:pStyle w:val="Heading2"/>
      </w:pPr>
      <w:r>
        <w:t>Simei</w:t>
      </w:r>
      <w:r/>
    </w:p>
    <w:p>
      <w:r/>
      <w:r>
        <w:t>1. Filho de Gérson, neto de Levi e irmão de Libni (</w:t>
      </w:r>
      <w:hyperlink r:id="rId13012">
        <w:r>
          <w:rPr>
            <w:color w:val="0000EE"/>
            <w:u w:val="single"/>
          </w:rPr>
          <w:t>Êx 6.17</w:t>
        </w:r>
      </w:hyperlink>
      <w:r>
        <w:t xml:space="preserve">; </w:t>
      </w:r>
      <w:hyperlink r:id="rId13013">
        <w:r>
          <w:rPr>
            <w:color w:val="0000EE"/>
            <w:u w:val="single"/>
          </w:rPr>
          <w:t>Nm 3.18</w:t>
        </w:r>
      </w:hyperlink>
      <w:r>
        <w:t xml:space="preserve">; </w:t>
      </w:r>
      <w:hyperlink r:id="rId19602">
        <w:r>
          <w:rPr>
            <w:color w:val="0000EE"/>
            <w:u w:val="single"/>
          </w:rPr>
          <w:t>1Cr 6.17</w:t>
        </w:r>
      </w:hyperlink>
      <w:r>
        <w:t>). Ele foi o pai de quatro filhos e o fundador da família Simeíta (</w:t>
      </w:r>
      <w:hyperlink r:id="rId13015">
        <w:r>
          <w:rPr>
            <w:color w:val="0000EE"/>
            <w:u w:val="single"/>
          </w:rPr>
          <w:t>Nm 3.21</w:t>
        </w:r>
      </w:hyperlink>
      <w:r>
        <w:t xml:space="preserve">; </w:t>
      </w:r>
      <w:hyperlink r:id="rId19603">
        <w:r>
          <w:rPr>
            <w:color w:val="0000EE"/>
            <w:u w:val="single"/>
          </w:rPr>
          <w:t>1Cr 23.7,10</w:t>
        </w:r>
      </w:hyperlink>
      <w:r>
        <w:t xml:space="preserve">; </w:t>
      </w:r>
      <w:hyperlink r:id="rId19604">
        <w:r>
          <w:rPr>
            <w:color w:val="0000EE"/>
            <w:u w:val="single"/>
          </w:rPr>
          <w:t>Zc 12.13</w:t>
        </w:r>
      </w:hyperlink>
      <w:r>
        <w:t>);</w:t>
      </w:r>
    </w:p>
    <w:p>
      <w:r/>
      <w:r>
        <w:t>2. Benjamita e filho de Gera da casa de Saul. Ele encontrou o Rei Davi na aldeia de Baurim durante a jornada do rei de Jerusalém para Maanaim. Nesse encontro, Simei se opôs amargamente a Davi, amaldiçoando-o pela ruína da casa de Saul (</w:t>
      </w:r>
      <w:hyperlink r:id="rId13646">
        <w:r>
          <w:rPr>
            <w:color w:val="0000EE"/>
            <w:u w:val="single"/>
          </w:rPr>
          <w:t>2Sm 16.5–13</w:t>
        </w:r>
      </w:hyperlink>
      <w:r>
        <w:t>). Mais tarde, Simei se arrependeu de seu comportamento vergonhoso, pediu perdão a Davi e foi perdoado pelo rei (</w:t>
      </w:r>
      <w:hyperlink r:id="rId19605">
        <w:r>
          <w:rPr>
            <w:color w:val="0000EE"/>
            <w:u w:val="single"/>
          </w:rPr>
          <w:t>19.16–23</w:t>
        </w:r>
      </w:hyperlink>
      <w:r>
        <w:t>). Após a morte de Davi, o Rei Salomão ordenou que Simei se estabelecesse em Jerusalém e nunca deixasse a cidade por qualquer motivo. Simei desobedeceu ao decreto e foi morto (</w:t>
      </w:r>
      <w:hyperlink r:id="rId19606">
        <w:r>
          <w:rPr>
            <w:color w:val="0000EE"/>
            <w:u w:val="single"/>
          </w:rPr>
          <w:t>1Rs 2.8,36–44</w:t>
        </w:r>
      </w:hyperlink>
      <w:r>
        <w:t>);</w:t>
      </w:r>
    </w:p>
    <w:p>
      <w:r/>
      <w:r>
        <w:t>3. Irmão de Davi e pai de Jônatas (</w:t>
      </w:r>
      <w:hyperlink r:id="rId19056">
        <w:r>
          <w:rPr>
            <w:color w:val="0000EE"/>
            <w:u w:val="single"/>
          </w:rPr>
          <w:t>2Sm 21.21</w:t>
        </w:r>
      </w:hyperlink>
      <w:r>
        <w:t xml:space="preserve">); também chamado de Samá em </w:t>
      </w:r>
      <w:hyperlink r:id="rId19050">
        <w:r>
          <w:rPr>
            <w:color w:val="0000EE"/>
            <w:u w:val="single"/>
          </w:rPr>
          <w:t>1 Samuel 16.9</w:t>
        </w:r>
      </w:hyperlink>
      <w:r>
        <w:t xml:space="preserve">. </w:t>
      </w:r>
      <w:r>
        <w:rPr>
          <w:i/>
        </w:rPr>
        <w:t>Veja</w:t>
      </w:r>
      <w:r>
        <w:t xml:space="preserve"> </w:t>
      </w:r>
      <w:r>
        <w:t>Samá #2;</w:t>
      </w:r>
    </w:p>
    <w:p>
      <w:r/>
      <w:r>
        <w:t>4. Um dos oficiais da corte de Davi que não apoiou a tentativa de Adonias de se proclamar rei (</w:t>
      </w:r>
      <w:hyperlink r:id="rId19607">
        <w:r>
          <w:rPr>
            <w:color w:val="0000EE"/>
            <w:u w:val="single"/>
          </w:rPr>
          <w:t>1Rs 1.8</w:t>
        </w:r>
      </w:hyperlink>
      <w:r>
        <w:t>);</w:t>
      </w:r>
    </w:p>
    <w:p>
      <w:r/>
      <w:r>
        <w:t>5. Benjamimita, filho de Ela e um dos oficiais do Rei Salomão que supervisionava a casa real (</w:t>
      </w:r>
      <w:hyperlink r:id="rId3417">
        <w:r>
          <w:rPr>
            <w:color w:val="0000EE"/>
            <w:u w:val="single"/>
          </w:rPr>
          <w:t>1Rs 4.18</w:t>
        </w:r>
      </w:hyperlink>
      <w:r>
        <w:t>); talvez seja idêntico ao #4 acima;</w:t>
      </w:r>
    </w:p>
    <w:p>
      <w:r/>
      <w:r>
        <w:t>6. Judaita, filho de Pedaías, irmão de Zorobabel e descendente de Davi pela linhagem de Salomão (</w:t>
      </w:r>
      <w:hyperlink r:id="rId19330">
        <w:r>
          <w:rPr>
            <w:color w:val="0000EE"/>
            <w:u w:val="single"/>
          </w:rPr>
          <w:t>1Cr 3.19</w:t>
        </w:r>
      </w:hyperlink>
      <w:r>
        <w:t>);</w:t>
      </w:r>
    </w:p>
    <w:p>
      <w:r/>
      <w:r>
        <w:t>7. Simeonita, filho de Zacur, pai de 16 filhos e 6 filhas (</w:t>
      </w:r>
      <w:hyperlink r:id="rId19608">
        <w:r>
          <w:rPr>
            <w:color w:val="0000EE"/>
            <w:u w:val="single"/>
          </w:rPr>
          <w:t>1Cr 4.26–27</w:t>
        </w:r>
      </w:hyperlink>
      <w:r>
        <w:t>);</w:t>
      </w:r>
    </w:p>
    <w:p>
      <w:r/>
      <w:r>
        <w:t>8. Rubenita, filho de Gogue e pai de Miquéias (</w:t>
      </w:r>
      <w:hyperlink r:id="rId19609">
        <w:r>
          <w:rPr>
            <w:color w:val="0000EE"/>
            <w:u w:val="single"/>
          </w:rPr>
          <w:t>1Cr 5.4</w:t>
        </w:r>
      </w:hyperlink>
      <w:r>
        <w:t>);</w:t>
      </w:r>
    </w:p>
    <w:p>
      <w:r/>
      <w:r>
        <w:t>9. Filho de Libni, pai de Uzá, e descendente de Levi através da linhagem de Merari (</w:t>
      </w:r>
      <w:hyperlink r:id="rId13018">
        <w:r>
          <w:rPr>
            <w:color w:val="0000EE"/>
            <w:u w:val="single"/>
          </w:rPr>
          <w:t>1Cr 6.29</w:t>
        </w:r>
      </w:hyperlink>
      <w:r>
        <w:t>);</w:t>
      </w:r>
    </w:p>
    <w:p>
      <w:r/>
      <w:r>
        <w:t>10. Levita gersonita, filho de Jaate, pai de Zima e ancestral de Asafe, que atuou como líder dos músicos no santuário durante o reinado de Davi (</w:t>
      </w:r>
      <w:hyperlink r:id="rId8602">
        <w:r>
          <w:rPr>
            <w:color w:val="0000EE"/>
            <w:u w:val="single"/>
          </w:rPr>
          <w:t>1Cr 6.42</w:t>
        </w:r>
      </w:hyperlink>
      <w:r>
        <w:t>);</w:t>
      </w:r>
    </w:p>
    <w:p>
      <w:r/>
      <w:r>
        <w:t>11. Benjamita, pai de nove filhos e chefe da casa de seu pai (</w:t>
      </w:r>
      <w:hyperlink r:id="rId19610">
        <w:r>
          <w:rPr>
            <w:color w:val="0000EE"/>
            <w:u w:val="single"/>
          </w:rPr>
          <w:t>1Cr 8.21</w:t>
        </w:r>
      </w:hyperlink>
      <w:r>
        <w:t xml:space="preserve">); alternativamente chamado de Sema no versículo </w:t>
      </w:r>
      <w:hyperlink r:id="rId3444">
        <w:r>
          <w:rPr>
            <w:color w:val="0000EE"/>
            <w:u w:val="single"/>
          </w:rPr>
          <w:t>13</w:t>
        </w:r>
      </w:hyperlink>
      <w:r>
        <w:t xml:space="preserve">. </w:t>
      </w:r>
      <w:r>
        <w:rPr>
          <w:i/>
        </w:rPr>
        <w:t>Veja</w:t>
      </w:r>
      <w:r>
        <w:t xml:space="preserve"> </w:t>
      </w:r>
      <w:r>
        <w:t>Sema (Pessoa) #3;</w:t>
      </w:r>
    </w:p>
    <w:p>
      <w:r/>
      <w:r>
        <w:t>12. Levita gersonita e pai de três filhos na casa de Ladã (</w:t>
      </w:r>
      <w:hyperlink r:id="rId10348">
        <w:r>
          <w:rPr>
            <w:color w:val="0000EE"/>
            <w:u w:val="single"/>
          </w:rPr>
          <w:t>1Cr 23.9</w:t>
        </w:r>
      </w:hyperlink>
      <w:r>
        <w:t>);</w:t>
      </w:r>
    </w:p>
    <w:p>
      <w:r/>
      <w:r>
        <w:t>13. Filho de Jedutum e líder da 10ª das 24 divisões de músicos treinados para o serviço no santuário durante o reinado de Davi (</w:t>
      </w:r>
      <w:hyperlink r:id="rId19611">
        <w:r>
          <w:rPr>
            <w:color w:val="0000EE"/>
            <w:u w:val="single"/>
          </w:rPr>
          <w:t>1Cr 25.3,17</w:t>
        </w:r>
      </w:hyperlink>
      <w:r>
        <w:t>);</w:t>
      </w:r>
    </w:p>
    <w:p>
      <w:r/>
      <w:r>
        <w:t>14. Ramatita era um membro da equipe do Rei Davi, responsável pelos vinhedos de Davi (</w:t>
      </w:r>
      <w:hyperlink r:id="rId19612">
        <w:r>
          <w:rPr>
            <w:color w:val="0000EE"/>
            <w:u w:val="single"/>
          </w:rPr>
          <w:t>1Cr 27.27</w:t>
        </w:r>
      </w:hyperlink>
      <w:r>
        <w:t>);</w:t>
      </w:r>
    </w:p>
    <w:p>
      <w:r/>
      <w:r>
        <w:t xml:space="preserve">15. Filho de Hemã, irmão de Jeuel, e um dos levitas selecionados para purificar a casa do Senhor durante o reinado do Rei Ezequias (715–686 a.C.; </w:t>
      </w:r>
      <w:hyperlink r:id="rId10692">
        <w:r>
          <w:rPr>
            <w:color w:val="0000EE"/>
            <w:u w:val="single"/>
          </w:rPr>
          <w:t>2Cr 29.14</w:t>
        </w:r>
      </w:hyperlink>
      <w:r>
        <w:t>);</w:t>
      </w:r>
    </w:p>
    <w:p>
      <w:r/>
      <w:r>
        <w:t>16. Levita, e o irmão de Conanias nomeado pelo Rei Ezequias de Judá para supervisionar a administração das contribuições do templo em Jerusalém (</w:t>
      </w:r>
      <w:hyperlink r:id="rId19613">
        <w:r>
          <w:rPr>
            <w:color w:val="0000EE"/>
            <w:u w:val="single"/>
          </w:rPr>
          <w:t>2Cr 31.12–13</w:t>
        </w:r>
      </w:hyperlink>
      <w:r>
        <w:t>);</w:t>
      </w:r>
    </w:p>
    <w:p>
      <w:r/>
      <w:r>
        <w:t>17–19. Três homens, um levita, filho de Hasum, e filho de Binui, que foram encorajados por Esdras a se divorciarem de suas esposas estrangeiras durante a era pós-exílica (</w:t>
      </w:r>
      <w:hyperlink r:id="rId19614">
        <w:r>
          <w:rPr>
            <w:color w:val="0000EE"/>
            <w:u w:val="single"/>
          </w:rPr>
          <w:t>Ed 10.23,33,38</w:t>
        </w:r>
      </w:hyperlink>
      <w:r>
        <w:t>);</w:t>
      </w:r>
    </w:p>
    <w:p>
      <w:r/>
      <w:r>
        <w:t>20. Filho de Quis e avô de Mardoqueu (</w:t>
      </w:r>
      <w:hyperlink r:id="rId3429">
        <w:r>
          <w:rPr>
            <w:color w:val="0000EE"/>
            <w:u w:val="single"/>
          </w:rPr>
          <w:t>Et 2.5</w:t>
        </w:r>
      </w:hyperlink>
      <w:r>
        <w:t>).</w:t>
      </w:r>
      <w:r/>
      <w:r/>
    </w:p>
    <w:p>
      <w:r/>
    </w:p>
    <w:p>
      <w:pPr>
        <w:pStyle w:val="Heading2"/>
      </w:pPr>
      <w:r>
        <w:t>Simeítas</w:t>
      </w:r>
      <w:r/>
    </w:p>
    <w:p>
      <w:r/>
      <w:r>
        <w:t>Uma família de levitas fundada por Simei, um descendente de Gérson (</w:t>
      </w:r>
      <w:hyperlink r:id="rId13015">
        <w:r>
          <w:rPr>
            <w:color w:val="0000EE"/>
            <w:u w:val="single"/>
          </w:rPr>
          <w:t>Nm 3.21</w:t>
        </w:r>
      </w:hyperlink>
      <w:r>
        <w:t xml:space="preserve">; </w:t>
      </w:r>
      <w:hyperlink r:id="rId19604">
        <w:r>
          <w:rPr>
            <w:color w:val="0000EE"/>
            <w:u w:val="single"/>
          </w:rPr>
          <w:t>Zc 12.13</w:t>
        </w:r>
      </w:hyperlink>
      <w:r>
        <w:t>).</w:t>
      </w:r>
    </w:p>
    <w:p>
      <w:r/>
      <w:r>
        <w:rPr>
          <w:i/>
        </w:rPr>
        <w:t xml:space="preserve">Veja também </w:t>
      </w:r>
      <w:r>
        <w:t>Simei #1</w:t>
      </w:r>
      <w:r>
        <w:t>.</w:t>
      </w:r>
      <w:r/>
      <w:r/>
    </w:p>
    <w:p>
      <w:r/>
    </w:p>
    <w:p>
      <w:pPr>
        <w:pStyle w:val="Heading2"/>
      </w:pPr>
      <w:r>
        <w:t>Simeonita</w:t>
      </w:r>
      <w:r/>
    </w:p>
    <w:p>
      <w:r/>
      <w:r>
        <w:t>Em uma versão mais literal, esse termo refere-se a um membro da tribo de Simeão (</w:t>
      </w:r>
      <w:hyperlink r:id="rId19615">
        <w:r>
          <w:rPr>
            <w:color w:val="0000EE"/>
            <w:u w:val="single"/>
          </w:rPr>
          <w:t>Nm 26.14</w:t>
        </w:r>
      </w:hyperlink>
      <w:r>
        <w:t xml:space="preserve">; </w:t>
      </w:r>
      <w:hyperlink r:id="rId4888">
        <w:r>
          <w:rPr>
            <w:color w:val="0000EE"/>
            <w:u w:val="single"/>
          </w:rPr>
          <w:t>Js 21.4</w:t>
        </w:r>
      </w:hyperlink>
      <w:r>
        <w:t>).</w:t>
      </w:r>
    </w:p>
    <w:p>
      <w:r/>
      <w:r>
        <w:rPr>
          <w:i/>
        </w:rPr>
        <w:t xml:space="preserve">Veja </w:t>
      </w:r>
      <w:r>
        <w:t>Simeão (pessoa) #1</w:t>
      </w:r>
      <w:r>
        <w:t xml:space="preserve">; </w:t>
      </w:r>
      <w:r>
        <w:t>Simeão, Tribo de</w:t>
      </w:r>
      <w:r>
        <w:t>.</w:t>
      </w:r>
      <w:r/>
      <w:r/>
    </w:p>
    <w:p>
      <w:r/>
    </w:p>
    <w:p>
      <w:pPr>
        <w:pStyle w:val="Heading2"/>
      </w:pPr>
      <w:r>
        <w:t>Sina, Sinai</w:t>
      </w:r>
      <w:r/>
    </w:p>
    <w:p>
      <w:r/>
      <w:r>
        <w:t>A montanha onde Deus encontrou Moisés e lhe deu os Dez Mandamentos e o restante da lei. O nome "Sinai" refere-se a:</w:t>
      </w:r>
    </w:p>
    <w:p>
      <w:pPr>
        <w:pStyle w:val="ListBullet"/>
        <w:spacing w:line="240" w:lineRule="auto"/>
        <w:ind w:left="720"/>
      </w:pPr>
      <w:r/>
      <w:r>
        <w:t>a própria montanha;</w:t>
      </w:r>
    </w:p>
    <w:p>
      <w:pPr>
        <w:pStyle w:val="ListBullet"/>
        <w:spacing w:line="240" w:lineRule="auto"/>
        <w:ind w:left="720"/>
      </w:pPr>
      <w:r/>
      <w:r>
        <w:t>o deserto ao redor (</w:t>
      </w:r>
      <w:hyperlink r:id="rId19616">
        <w:r>
          <w:rPr>
            <w:color w:val="0000EE"/>
            <w:u w:val="single"/>
          </w:rPr>
          <w:t>Lv 7.38</w:t>
        </w:r>
      </w:hyperlink>
      <w:r>
        <w:t>), e;</w:t>
      </w:r>
    </w:p>
    <w:p>
      <w:pPr>
        <w:pStyle w:val="ListBullet"/>
        <w:spacing w:line="240" w:lineRule="auto"/>
        <w:ind w:left="720"/>
      </w:pPr>
      <w:r/>
      <w:r>
        <w:t>todo o Sinai, entre os dois braços do Mar Vermelho — o Golfo de Suez e o Golfo de Ácaba (ou Elate).</w:t>
      </w:r>
    </w:p>
    <w:p>
      <w:r/>
      <w:r>
        <w:t xml:space="preserve">O nome Sinai provavelmente está relacionado ao deserto de Sim e pode ser uma grafia alternativa (cp. </w:t>
      </w:r>
      <w:hyperlink r:id="rId6778">
        <w:r>
          <w:rPr>
            <w:color w:val="0000EE"/>
            <w:u w:val="single"/>
          </w:rPr>
          <w:t>Êx 16.1</w:t>
        </w:r>
      </w:hyperlink>
      <w:r>
        <w:t xml:space="preserve">; </w:t>
      </w:r>
      <w:hyperlink r:id="rId3575">
        <w:r>
          <w:rPr>
            <w:color w:val="0000EE"/>
            <w:u w:val="single"/>
          </w:rPr>
          <w:t>17.1</w:t>
        </w:r>
      </w:hyperlink>
      <w:r>
        <w:t xml:space="preserve">; </w:t>
      </w:r>
      <w:hyperlink r:id="rId6779">
        <w:r>
          <w:rPr>
            <w:color w:val="0000EE"/>
            <w:u w:val="single"/>
          </w:rPr>
          <w:t>Nm 33.11–12</w:t>
        </w:r>
      </w:hyperlink>
      <w:r>
        <w:t xml:space="preserve">). Sim era o nome de um antigo deus lunar que as pessoas que viviam no deserto adoravam. A montanha também é chamada de Horebe, principalmente em Deuteronômio (veja também </w:t>
      </w:r>
      <w:hyperlink r:id="rId19617">
        <w:r>
          <w:rPr>
            <w:color w:val="0000EE"/>
            <w:u w:val="single"/>
          </w:rPr>
          <w:t>1Rs 8.9</w:t>
        </w:r>
      </w:hyperlink>
      <w:r>
        <w:t xml:space="preserve">; </w:t>
      </w:r>
      <w:hyperlink r:id="rId19618">
        <w:r>
          <w:rPr>
            <w:color w:val="0000EE"/>
            <w:u w:val="single"/>
          </w:rPr>
          <w:t>19.8</w:t>
        </w:r>
      </w:hyperlink>
      <w:r>
        <w:t xml:space="preserve">; </w:t>
      </w:r>
      <w:hyperlink r:id="rId19619">
        <w:r>
          <w:rPr>
            <w:color w:val="0000EE"/>
            <w:u w:val="single"/>
          </w:rPr>
          <w:t>2 Cr 5.10</w:t>
        </w:r>
      </w:hyperlink>
      <w:r>
        <w:t xml:space="preserve">; </w:t>
      </w:r>
      <w:hyperlink r:id="rId19620">
        <w:r>
          <w:rPr>
            <w:color w:val="0000EE"/>
            <w:u w:val="single"/>
          </w:rPr>
          <w:t>Sl 106.19</w:t>
        </w:r>
      </w:hyperlink>
      <w:r>
        <w:t xml:space="preserve">; </w:t>
      </w:r>
      <w:hyperlink r:id="rId13084">
        <w:r>
          <w:rPr>
            <w:color w:val="0000EE"/>
            <w:u w:val="single"/>
          </w:rPr>
          <w:t>Ml 4.4</w:t>
        </w:r>
      </w:hyperlink>
      <w:r>
        <w:t>).</w:t>
      </w:r>
    </w:p>
    <w:p>
      <w:r/>
      <w:r>
        <w:t>A localização tradicional do Monte Sinai está entre as montanhas no extremo sul da Península do Sinai. Desde o quarto século, os cristãos têm honrado Jebel Musa (que significa "Monte Moisés" em árabe) como o local onde Deus formou as famílias de Jacó na nação de Israel. Na base deste pico de 2.286 metros está o Mosteiro de Santa Catarina. É um mosteiro ortodoxo grego que permanece lá há mais de 1.500 anos. Outros possíveis locais para o Monte Sinai incluem o próximo Jebel Katerina que tem 2.642,6 metros de altura e Jebel Serbal que tem 2.072,6 metros de altura. Alguns estudiosos sugerem uma localização ao norte, perto de Cades-Barneia. Outros argumentam por uma montanha vulcânica do outro lado do golfo a leste na antiga Midiã ou Arábia (</w:t>
      </w:r>
      <w:hyperlink r:id="rId6724">
        <w:r>
          <w:rPr>
            <w:color w:val="0000EE"/>
            <w:u w:val="single"/>
          </w:rPr>
          <w:t>Êx 3.1</w:t>
        </w:r>
      </w:hyperlink>
      <w:r>
        <w:t xml:space="preserve">; </w:t>
      </w:r>
      <w:hyperlink r:id="rId2332">
        <w:r>
          <w:rPr>
            <w:color w:val="0000EE"/>
            <w:u w:val="single"/>
          </w:rPr>
          <w:t>Gl 4.25</w:t>
        </w:r>
      </w:hyperlink>
      <w:r>
        <w:t>).</w:t>
      </w:r>
    </w:p>
    <w:p>
      <w:r/>
      <w:r>
        <w:t xml:space="preserve">A maioria das referências ao Sinai aparece nos livros de Êxodo, Levítico e Números. Sinai é mencionado 13 vezes em Êxodo, 5 vezes em Levítico e 12 vezes em Números. Esses livros descrevem a entrega da lei e o acampamento de dois anos dos israelitas nas planícies ao lado da montanha. </w:t>
      </w:r>
      <w:hyperlink r:id="rId804">
        <w:r>
          <w:rPr>
            <w:color w:val="0000EE"/>
            <w:u w:val="single"/>
          </w:rPr>
          <w:t>Êxodo 19</w:t>
        </w:r>
      </w:hyperlink>
      <w:r>
        <w:t xml:space="preserve"> e </w:t>
      </w:r>
      <w:hyperlink r:id="rId19621">
        <w:r>
          <w:rPr>
            <w:color w:val="0000EE"/>
            <w:u w:val="single"/>
          </w:rPr>
          <w:t>34</w:t>
        </w:r>
      </w:hyperlink>
      <w:r>
        <w:t xml:space="preserve"> estão especialmente cheios de referências porque esses capítulos descrevem os encontros entre Moisés e Deus (Javé) quando a lei foi dada.</w:t>
      </w:r>
    </w:p>
    <w:p>
      <w:r/>
      <w:r>
        <w:t>No Antigo Testamento e no Novo Testamento, Sinai representa o lugar onde Deus desceu para encontrar Seu povo. Sinai foi lembrado como o local desse importante encontro em:</w:t>
      </w:r>
    </w:p>
    <w:p>
      <w:pPr>
        <w:pStyle w:val="ListBullet"/>
        <w:spacing w:line="240" w:lineRule="auto"/>
        <w:ind w:left="720"/>
      </w:pPr>
      <w:r/>
      <w:r>
        <w:t>a bênção de Moisés (</w:t>
      </w:r>
      <w:hyperlink r:id="rId12510">
        <w:r>
          <w:rPr>
            <w:color w:val="0000EE"/>
            <w:u w:val="single"/>
          </w:rPr>
          <w:t>Dt 33.2</w:t>
        </w:r>
      </w:hyperlink>
      <w:r>
        <w:t>);</w:t>
      </w:r>
    </w:p>
    <w:p>
      <w:pPr>
        <w:pStyle w:val="ListBullet"/>
        <w:spacing w:line="240" w:lineRule="auto"/>
        <w:ind w:left="720"/>
      </w:pPr>
      <w:r/>
      <w:r>
        <w:t>a canção de Débora (</w:t>
      </w:r>
      <w:hyperlink r:id="rId4188">
        <w:r>
          <w:rPr>
            <w:color w:val="0000EE"/>
            <w:u w:val="single"/>
          </w:rPr>
          <w:t>Jz 5.5</w:t>
        </w:r>
      </w:hyperlink>
      <w:r>
        <w:t>);</w:t>
      </w:r>
    </w:p>
    <w:p>
      <w:pPr>
        <w:pStyle w:val="ListBullet"/>
        <w:spacing w:line="240" w:lineRule="auto"/>
        <w:ind w:left="720"/>
      </w:pPr>
      <w:r/>
      <w:hyperlink r:id="rId13078">
        <w:r>
          <w:rPr>
            <w:color w:val="0000EE"/>
            <w:u w:val="single"/>
          </w:rPr>
          <w:t>Salmo 68</w:t>
        </w:r>
      </w:hyperlink>
      <w:r>
        <w:t xml:space="preserve"> (versículos </w:t>
      </w:r>
      <w:hyperlink r:id="rId19622">
        <w:r>
          <w:rPr>
            <w:color w:val="0000EE"/>
            <w:u w:val="single"/>
          </w:rPr>
          <w:t>8,17</w:t>
        </w:r>
      </w:hyperlink>
      <w:r>
        <w:t>);</w:t>
      </w:r>
    </w:p>
    <w:p>
      <w:pPr>
        <w:pStyle w:val="ListBullet"/>
        <w:spacing w:line="240" w:lineRule="auto"/>
        <w:ind w:left="720"/>
      </w:pPr>
      <w:r/>
      <w:r>
        <w:t>a confissão dos levitas no tempo de Neemias (</w:t>
      </w:r>
      <w:hyperlink r:id="rId19623">
        <w:r>
          <w:rPr>
            <w:color w:val="0000EE"/>
            <w:u w:val="single"/>
          </w:rPr>
          <w:t>Ne 9.13</w:t>
        </w:r>
      </w:hyperlink>
      <w:r>
        <w:t>), e;</w:t>
      </w:r>
    </w:p>
    <w:p>
      <w:pPr>
        <w:pStyle w:val="ListBullet"/>
        <w:spacing w:line="240" w:lineRule="auto"/>
        <w:ind w:left="720"/>
      </w:pPr>
      <w:r/>
      <w:r>
        <w:t>o discurso de Estevão (</w:t>
      </w:r>
      <w:hyperlink r:id="rId19624">
        <w:r>
          <w:rPr>
            <w:color w:val="0000EE"/>
            <w:u w:val="single"/>
          </w:rPr>
          <w:t>At 7.30,38</w:t>
        </w:r>
      </w:hyperlink>
      <w:r>
        <w:t>).</w:t>
      </w:r>
    </w:p>
    <w:p>
      <w:r/>
      <w:r>
        <w:t xml:space="preserve">Em </w:t>
      </w:r>
      <w:hyperlink r:id="rId19625">
        <w:r>
          <w:rPr>
            <w:color w:val="0000EE"/>
            <w:u w:val="single"/>
          </w:rPr>
          <w:t>Gálatas 4.21–26</w:t>
        </w:r>
      </w:hyperlink>
      <w:r>
        <w:t>, o apóstolo Paulo explica uma alegoria na qual o Monte Sinai representa a antiga aliança, a escravidão e a atual cidade de Jerusalém.</w:t>
      </w:r>
    </w:p>
    <w:p>
      <w:r/>
      <w:r>
        <w:rPr>
          <w:i/>
        </w:rPr>
        <w:t>Veja</w:t>
      </w:r>
      <w:r>
        <w:t xml:space="preserve"> </w:t>
      </w:r>
      <w:r>
        <w:t>Parã</w:t>
      </w:r>
      <w:r>
        <w:t xml:space="preserve">; </w:t>
      </w:r>
      <w:r>
        <w:t>Sur</w:t>
      </w:r>
      <w:r>
        <w:t xml:space="preserve">; </w:t>
      </w:r>
      <w:r>
        <w:t>Deserto de Sim</w:t>
      </w:r>
      <w:r>
        <w:t xml:space="preserve">; </w:t>
      </w:r>
      <w:r>
        <w:t>Os Dez Mandamentos</w:t>
      </w:r>
      <w:r>
        <w:t xml:space="preserve">; </w:t>
      </w:r>
      <w:r>
        <w:t>Peregrinações no Deserto</w:t>
      </w:r>
      <w:r>
        <w:t xml:space="preserve">; </w:t>
      </w:r>
      <w:r>
        <w:t>Deserto de Zim</w:t>
      </w:r>
      <w:r>
        <w:t>.</w:t>
      </w:r>
      <w:r/>
      <w:r/>
    </w:p>
    <w:p>
      <w:r/>
    </w:p>
    <w:p>
      <w:pPr>
        <w:pStyle w:val="Heading2"/>
      </w:pPr>
      <w:r>
        <w:t>Sinabe</w:t>
      </w:r>
      <w:r/>
    </w:p>
    <w:p>
      <w:r/>
      <w:r>
        <w:t>Rei de Admá, que se uniu a uma aliança com quatro governantes vizinhos contra o rei Quedorlaomer. Quedorlaomer derrotou essa confederação de reis no Vale de Sidim — a região sul do Mar Morto (</w:t>
      </w:r>
      <w:hyperlink r:id="rId3328">
        <w:r>
          <w:rPr>
            <w:color w:val="0000EE"/>
            <w:u w:val="single"/>
          </w:rPr>
          <w:t>Gn 14.2</w:t>
        </w:r>
      </w:hyperlink>
      <w:r>
        <w:t>).</w:t>
      </w:r>
      <w:r/>
      <w:r/>
    </w:p>
    <w:p>
      <w:r/>
    </w:p>
    <w:p>
      <w:pPr>
        <w:pStyle w:val="Heading2"/>
      </w:pPr>
      <w:r>
        <w:t>Sinagoga</w:t>
      </w:r>
      <w:r/>
    </w:p>
    <w:p>
      <w:r/>
      <w:r>
        <w:t xml:space="preserve">Transliteração da palavra grega </w:t>
      </w:r>
      <w:r>
        <w:rPr>
          <w:i/>
        </w:rPr>
        <w:t>sunagoge</w:t>
      </w:r>
      <w:r>
        <w:t>, que significa “uma reunião”. É usada mais de 50 vezes no NT, principalmente para os lugares de reuniões religiosas das comunidades judaicas na Palestina e em todo o período da diáspora. A palavra "sunagoge" é geralmente a tradução grega de palavras hebraicas no Antigo Testamento que se referem à reunião ou assembleia do povo.</w:t>
      </w:r>
    </w:p>
    <w:p>
      <w:pPr>
        <w:pStyle w:val="Heading3"/>
      </w:pPr>
      <w:r>
        <w:t>Origens e história antiga</w:t>
      </w:r>
    </w:p>
    <w:p>
      <w:r/>
      <w:r>
        <w:t>Não se sabe exatamente como ou quando a sinagoga como instituição começou. Pode-se imaginar a situação em Jerusalém após a destruição do templo pelos babilônios em 586 a.C. As pessoas que permaneceram na cidade e em seus arredores, que queriam manter-se fiéis à sua fé, teriam sentido a necessidade de se reunir para o culto, onde continuariam a ensinar a lei e a mensagem dos profetas. Alguns pensam, portanto, que as sinagogas podem ter tido sua origem em tal situação. O povo judeu nos vários lugares da diáspora teria estado ciente de uma necessidade semelhante. Os anciãos judeus se reuniram com Ezequiel no exílio na Babilônia (</w:t>
      </w:r>
      <w:hyperlink r:id="rId1382">
        <w:r>
          <w:rPr>
            <w:color w:val="0000EE"/>
            <w:u w:val="single"/>
          </w:rPr>
          <w:t>Ez 8.1</w:t>
        </w:r>
      </w:hyperlink>
      <w:r>
        <w:t xml:space="preserve">; </w:t>
      </w:r>
      <w:hyperlink r:id="rId1383">
        <w:r>
          <w:rPr>
            <w:color w:val="0000EE"/>
            <w:u w:val="single"/>
          </w:rPr>
          <w:t>14.1</w:t>
        </w:r>
      </w:hyperlink>
      <w:r>
        <w:t xml:space="preserve">; </w:t>
      </w:r>
      <w:hyperlink r:id="rId19626">
        <w:r>
          <w:rPr>
            <w:color w:val="0000EE"/>
            <w:u w:val="single"/>
          </w:rPr>
          <w:t>20.1</w:t>
        </w:r>
      </w:hyperlink>
      <w:r>
        <w:t xml:space="preserve">). No entanto, não há evidências concretas de sinagogas reais neste estágio inicial. Em </w:t>
      </w:r>
      <w:hyperlink r:id="rId19627">
        <w:r>
          <w:rPr>
            <w:color w:val="0000EE"/>
            <w:u w:val="single"/>
          </w:rPr>
          <w:t>Neemias 8.1–8</w:t>
        </w:r>
      </w:hyperlink>
      <w:r>
        <w:t>, a comunidade pós-exílica se reuniu em Jerusalém, e Esdras, o escriba, trouxe a lei, a leu de um púlpito de madeira, e deu uma interpretação para que as pessoas entendessem a leitura. Quando Esdras bendisse o Senhor, o povo inclinou a cabeça e adorou. Esses eram os elementos básicos do que foi a adoração na sinagoga. A primeira evidência incontestável de uma sinagoga vem do Egito no terceiro século a.C. Do primeiro século a.C. em diante, a evidência das sinagogas é abundante.</w:t>
      </w:r>
    </w:p>
    <w:p>
      <w:pPr>
        <w:pStyle w:val="Heading3"/>
      </w:pPr>
      <w:r>
        <w:t>Sinagogas nos tempos do NT</w:t>
      </w:r>
    </w:p>
    <w:p>
      <w:r/>
      <w:r>
        <w:t xml:space="preserve">Os Evangelhos dão a impressão de muitas sinagogas existentes em toda a Palestina. Jesus frequentemente ensinava nas sinagogas (p. ex., </w:t>
      </w:r>
      <w:hyperlink r:id="rId8672">
        <w:r>
          <w:rPr>
            <w:color w:val="0000EE"/>
            <w:u w:val="single"/>
          </w:rPr>
          <w:t>Mt 4.23</w:t>
        </w:r>
      </w:hyperlink>
      <w:r>
        <w:t xml:space="preserve">; </w:t>
      </w:r>
      <w:hyperlink r:id="rId8673">
        <w:r>
          <w:rPr>
            <w:color w:val="0000EE"/>
            <w:u w:val="single"/>
          </w:rPr>
          <w:t>9.35</w:t>
        </w:r>
      </w:hyperlink>
      <w:r>
        <w:t xml:space="preserve">), especialmente durante seu ministério galileu, mas provavelmente na Judeia também. Em </w:t>
      </w:r>
      <w:hyperlink r:id="rId19628">
        <w:r>
          <w:rPr>
            <w:color w:val="0000EE"/>
            <w:u w:val="single"/>
          </w:rPr>
          <w:t>João 18.20</w:t>
        </w:r>
      </w:hyperlink>
      <w:r>
        <w:t xml:space="preserve"> são as palavras de Jesus em seu julgamento diante do sumo sacerdote: “Eu falei abertamente ao mundo; eu sempre ensinei na sinagoga e no templo, onde todos os judeus se ajuntam” (ARC).</w:t>
      </w:r>
    </w:p>
    <w:p>
      <w:r/>
      <w:r>
        <w:t>Atos dos Apóstolos menciona às sinagogas em Jerusalém (</w:t>
      </w:r>
      <w:hyperlink r:id="rId743">
        <w:r>
          <w:rPr>
            <w:color w:val="0000EE"/>
            <w:u w:val="single"/>
          </w:rPr>
          <w:t>Atos 6.9</w:t>
        </w:r>
      </w:hyperlink>
      <w:r>
        <w:t>), Damasco (</w:t>
      </w:r>
      <w:hyperlink r:id="rId15502">
        <w:r>
          <w:rPr>
            <w:color w:val="0000EE"/>
            <w:u w:val="single"/>
          </w:rPr>
          <w:t>9.2</w:t>
        </w:r>
      </w:hyperlink>
      <w:r>
        <w:t>), Chipre (</w:t>
      </w:r>
      <w:hyperlink r:id="rId11943">
        <w:r>
          <w:rPr>
            <w:color w:val="0000EE"/>
            <w:u w:val="single"/>
          </w:rPr>
          <w:t>13.5</w:t>
        </w:r>
      </w:hyperlink>
      <w:r>
        <w:t>), a província romana da Galácia (</w:t>
      </w:r>
      <w:hyperlink r:id="rId9288">
        <w:r>
          <w:rPr>
            <w:color w:val="0000EE"/>
            <w:u w:val="single"/>
          </w:rPr>
          <w:t>13.14</w:t>
        </w:r>
      </w:hyperlink>
      <w:r>
        <w:t xml:space="preserve">; </w:t>
      </w:r>
      <w:hyperlink r:id="rId10200">
        <w:r>
          <w:rPr>
            <w:color w:val="0000EE"/>
            <w:u w:val="single"/>
          </w:rPr>
          <w:t>14.1</w:t>
        </w:r>
      </w:hyperlink>
      <w:r>
        <w:t>), na Macedônia e Grécia (</w:t>
      </w:r>
      <w:hyperlink r:id="rId1451">
        <w:r>
          <w:rPr>
            <w:color w:val="0000EE"/>
            <w:u w:val="single"/>
          </w:rPr>
          <w:t>17.1,10,17</w:t>
        </w:r>
      </w:hyperlink>
      <w:r>
        <w:t xml:space="preserve">; </w:t>
      </w:r>
      <w:hyperlink r:id="rId5758">
        <w:r>
          <w:rPr>
            <w:color w:val="0000EE"/>
            <w:u w:val="single"/>
          </w:rPr>
          <w:t>18.4</w:t>
        </w:r>
      </w:hyperlink>
      <w:r>
        <w:t>) e em Éfeso, na província romana da Ásia (</w:t>
      </w:r>
      <w:hyperlink r:id="rId15516">
        <w:r>
          <w:rPr>
            <w:color w:val="0000EE"/>
            <w:u w:val="single"/>
          </w:rPr>
          <w:t>19.8</w:t>
        </w:r>
      </w:hyperlink>
      <w:r>
        <w:t>). Paulo tinha o costume de ir diretamente à sinagoga e pregar ali enquanto tivesse liberdade para fazê-lo.</w:t>
      </w:r>
    </w:p>
    <w:p>
      <w:pPr>
        <w:pStyle w:val="Heading3"/>
      </w:pPr>
      <w:r>
        <w:t>Adoração na sinagoga</w:t>
      </w:r>
    </w:p>
    <w:p>
      <w:r/>
      <w:r>
        <w:t>Os Evangelhos e Atos dos Apóstolos dão evidências abundantes para o encontro do povo judeu no Sábado para adorar na sinagoga. As pessoas também se encontravam para adoração no segundo e quinto dia da semana. Lucas nos fornece a primeira descrição de um culto na sinagoga (</w:t>
      </w:r>
      <w:hyperlink r:id="rId19629">
        <w:r>
          <w:rPr>
            <w:color w:val="0000EE"/>
            <w:u w:val="single"/>
          </w:rPr>
          <w:t>Lucas 4:16–22</w:t>
        </w:r>
      </w:hyperlink>
      <w:r>
        <w:t xml:space="preserve">). A Mishná descreve o padrão do culto na sinagoga: a confissão de fé, o Shema (que incluía recitar </w:t>
      </w:r>
      <w:hyperlink r:id="rId1340">
        <w:r>
          <w:rPr>
            <w:color w:val="0000EE"/>
            <w:u w:val="single"/>
          </w:rPr>
          <w:t>Deuteronômio 6.4–9</w:t>
        </w:r>
      </w:hyperlink>
      <w:r>
        <w:t xml:space="preserve">; </w:t>
      </w:r>
      <w:hyperlink r:id="rId9339">
        <w:r>
          <w:rPr>
            <w:color w:val="0000EE"/>
            <w:u w:val="single"/>
          </w:rPr>
          <w:t>11.13–21</w:t>
        </w:r>
      </w:hyperlink>
      <w:r>
        <w:t xml:space="preserve">; e </w:t>
      </w:r>
      <w:hyperlink r:id="rId12332">
        <w:r>
          <w:rPr>
            <w:color w:val="0000EE"/>
            <w:u w:val="single"/>
          </w:rPr>
          <w:t>Números 15.37–41</w:t>
        </w:r>
      </w:hyperlink>
      <w:r>
        <w:t xml:space="preserve">); oração (como as 18 Bênçãos); Leitura das Escrituras (a leitura da Lei era fundamental, veja </w:t>
      </w:r>
      <w:hyperlink r:id="rId19630">
        <w:r>
          <w:rPr>
            <w:color w:val="0000EE"/>
            <w:u w:val="single"/>
          </w:rPr>
          <w:t>Atos 15.21</w:t>
        </w:r>
      </w:hyperlink>
      <w:r>
        <w:t>, e era feita segundo um ciclo de três anos; os Profetas também eram lidos, mas de forma mais aleatória); interpretação (à medida que o conhecimento do hebraico bíblico diminuía na Palestina, uma tradução aramaica das Escrituras era apresentada após a leitura em hebraico, e na Diáspora, uma tradução grega); discurso (após a leitura, qualquer pessoa devidamente qualificada poderia se dirigir ao povo, como Jesus e o apóstolo Paulo frequentemente faziam); e bênção.</w:t>
      </w:r>
    </w:p>
    <w:p>
      <w:pPr>
        <w:pStyle w:val="Heading3"/>
      </w:pPr>
      <w:r>
        <w:t>Funções judiciais</w:t>
      </w:r>
    </w:p>
    <w:p>
      <w:r/>
      <w:r>
        <w:t xml:space="preserve">A administração da justiça também fazia parte do trabalho da sinagoga. Os infratores da lei e aqueles que eram considerados contrários à religião judaica eram trazidos diante dos anciãos da sinagoga. Eles podiam, sob circunstâncias extremas, excomungar um ofensor (veja </w:t>
      </w:r>
      <w:hyperlink r:id="rId12420">
        <w:r>
          <w:rPr>
            <w:color w:val="0000EE"/>
            <w:u w:val="single"/>
          </w:rPr>
          <w:t>Jo 9.22,34–35</w:t>
        </w:r>
      </w:hyperlink>
      <w:r>
        <w:t xml:space="preserve">; </w:t>
      </w:r>
      <w:hyperlink r:id="rId13674">
        <w:r>
          <w:rPr>
            <w:color w:val="0000EE"/>
            <w:u w:val="single"/>
          </w:rPr>
          <w:t>12.42</w:t>
        </w:r>
      </w:hyperlink>
      <w:r>
        <w:t>) ou tê-lo açoitado. Jesus advertiu seus discípulos para estarem preparados para enfrentar qualquer uma das possibilidades (</w:t>
      </w:r>
      <w:hyperlink r:id="rId7245">
        <w:r>
          <w:rPr>
            <w:color w:val="0000EE"/>
            <w:u w:val="single"/>
          </w:rPr>
          <w:t>Mt 10.17</w:t>
        </w:r>
      </w:hyperlink>
      <w:r>
        <w:t xml:space="preserve">; </w:t>
      </w:r>
      <w:hyperlink r:id="rId13675">
        <w:r>
          <w:rPr>
            <w:color w:val="0000EE"/>
            <w:u w:val="single"/>
          </w:rPr>
          <w:t>Jo 16.2</w:t>
        </w:r>
      </w:hyperlink>
      <w:r>
        <w:t>). Saulo, como perseguidor dos cristãos, tinha cartas endereçadas às sinagogas em Damasco, dando autoridade para prender cristãos e trazê-los presos a Jerusalém (</w:t>
      </w:r>
      <w:hyperlink r:id="rId15502">
        <w:r>
          <w:rPr>
            <w:color w:val="0000EE"/>
            <w:u w:val="single"/>
          </w:rPr>
          <w:t>At 9.2</w:t>
        </w:r>
      </w:hyperlink>
      <w:r>
        <w:t xml:space="preserve">). Em </w:t>
      </w:r>
      <w:hyperlink r:id="rId19631">
        <w:r>
          <w:rPr>
            <w:color w:val="0000EE"/>
            <w:u w:val="single"/>
          </w:rPr>
          <w:t>Atos 22.19</w:t>
        </w:r>
      </w:hyperlink>
      <w:r>
        <w:t>, ele fala de fazer com que eles sejam espancados e presos. O próprio Paulo recebeu as 39 chicotadas que foram administradas nas sinagogas (</w:t>
      </w:r>
      <w:hyperlink r:id="rId7244">
        <w:r>
          <w:rPr>
            <w:color w:val="0000EE"/>
            <w:u w:val="single"/>
          </w:rPr>
          <w:t>2Co 11.24</w:t>
        </w:r>
      </w:hyperlink>
      <w:r>
        <w:t>).</w:t>
      </w:r>
    </w:p>
    <w:p>
      <w:pPr>
        <w:pStyle w:val="Heading3"/>
      </w:pPr>
      <w:r>
        <w:t>Ensino da Lei</w:t>
      </w:r>
    </w:p>
    <w:p>
      <w:r/>
      <w:r>
        <w:t>A leitura da Lei tinha uma importância central na adoração na sinagoga. O ensino da Lei às pessoas em geral, e especialmente às crianças, estava intimamente associado com a sinagoga. Ou o edifício da sinagoga, ou uma escola era utilizado.</w:t>
      </w:r>
    </w:p>
    <w:p>
      <w:pPr>
        <w:pStyle w:val="Heading3"/>
      </w:pPr>
      <w:r>
        <w:t>Organização</w:t>
      </w:r>
    </w:p>
    <w:p>
      <w:r/>
      <w:r>
        <w:t xml:space="preserve">O NT se refere em especial (p. ex., </w:t>
      </w:r>
      <w:hyperlink r:id="rId11525">
        <w:r>
          <w:rPr>
            <w:color w:val="0000EE"/>
            <w:u w:val="single"/>
          </w:rPr>
          <w:t>Mc 5.22</w:t>
        </w:r>
      </w:hyperlink>
      <w:r>
        <w:t xml:space="preserve">; </w:t>
      </w:r>
      <w:hyperlink r:id="rId4809">
        <w:r>
          <w:rPr>
            <w:color w:val="0000EE"/>
            <w:u w:val="single"/>
          </w:rPr>
          <w:t>Lc 13.14</w:t>
        </w:r>
      </w:hyperlink>
      <w:r>
        <w:t xml:space="preserve">; </w:t>
      </w:r>
      <w:hyperlink r:id="rId4811">
        <w:r>
          <w:rPr>
            <w:color w:val="0000EE"/>
            <w:u w:val="single"/>
          </w:rPr>
          <w:t>Atos 18.8</w:t>
        </w:r>
      </w:hyperlink>
      <w:r>
        <w:t>,</w:t>
      </w:r>
      <w:hyperlink r:id="rId5759">
        <w:r>
          <w:rPr>
            <w:color w:val="0000EE"/>
            <w:u w:val="single"/>
          </w:rPr>
          <w:t>17</w:t>
        </w:r>
      </w:hyperlink>
      <w:r>
        <w:t>) a duas funções na sinagoga: o “chefe da sinagoga”, que era responsável pela ordem e pela seleção do leitor das Escrituras; e um assistente (</w:t>
      </w:r>
      <w:hyperlink r:id="rId7084">
        <w:r>
          <w:rPr>
            <w:color w:val="0000EE"/>
            <w:u w:val="single"/>
          </w:rPr>
          <w:t>Lc 4.20</w:t>
        </w:r>
      </w:hyperlink>
      <w:r>
        <w:t>), que retirava e guardava os rolos das Escrituras e também aplicava punição corporal aos alunos desobedientes. Mais tarde, havia uma pessoa nomeada como líder das orações.</w:t>
      </w:r>
    </w:p>
    <w:p>
      <w:pPr>
        <w:pStyle w:val="Heading3"/>
      </w:pPr>
      <w:r>
        <w:t>Arquitetura</w:t>
      </w:r>
    </w:p>
    <w:p>
      <w:r/>
      <w:r>
        <w:t>Na estrutura, a sinagoga foi feita com base no templo. Era construída, sempre que possível, em terrenos elevados e frequentemente projetada de forma que as pessoas pudessem se sentar voltadas para a direção de Jerusalém. Havia um baú portátil para os pergaminhos da Lei e dos Profetas, e uma plataforma para a leitura das Escrituras e para pregação. Homens e mulheres sentavam separados. Os escribas amavam os “principais assentos” de frente para o povo (</w:t>
      </w:r>
      <w:hyperlink r:id="rId8212">
        <w:r>
          <w:rPr>
            <w:color w:val="0000EE"/>
            <w:u w:val="single"/>
          </w:rPr>
          <w:t>Mc 12.39</w:t>
        </w:r>
      </w:hyperlink>
      <w:r>
        <w:t>). Muitas sinagogas tinham ornamentações com folhas de videira, candelabros de sete braços, o cordeiro pascal e o vaso de maná. As primeiras sinagogas também possuíam uma genizá, que era um porão ou sótão onde os rolos desgastados eram colocados, pois, como continham o nome de Deus, eram considerados sagrados demais para serem destruídos.</w:t>
      </w:r>
    </w:p>
    <w:p>
      <w:r/>
      <w:r>
        <w:rPr>
          <w:i/>
        </w:rPr>
        <w:t>Veja também</w:t>
      </w:r>
      <w:r>
        <w:t xml:space="preserve"> </w:t>
      </w:r>
      <w:r>
        <w:t>Judaísmo</w:t>
      </w:r>
      <w:r>
        <w:t xml:space="preserve">; </w:t>
      </w:r>
      <w:r>
        <w:t>Chefe da Sinagoga</w:t>
      </w:r>
      <w:r>
        <w:t>.</w:t>
      </w:r>
      <w:r/>
      <w:r/>
    </w:p>
    <w:p>
      <w:r/>
    </w:p>
    <w:p>
      <w:pPr>
        <w:pStyle w:val="Heading2"/>
      </w:pPr>
      <w:r>
        <w:t>Sinal</w:t>
      </w:r>
      <w:r/>
    </w:p>
    <w:p>
      <w:r/>
      <w:r>
        <w:t>Palavra que conota um evento visível destinado a transmitir significado além daquilo que é normalmente percebido na aparência externa do evento.</w:t>
      </w:r>
    </w:p>
    <w:p>
      <w:pPr>
        <w:pStyle w:val="Heading3"/>
      </w:pPr>
      <w:r>
        <w:t>No Antigo Testamento</w:t>
      </w:r>
    </w:p>
    <w:p>
      <w:r/>
      <w:r>
        <w:t>Em alguns casos no AT, “sinal” se refere às observâncias de corpos celestiais em um sentido astrológico (</w:t>
      </w:r>
      <w:hyperlink r:id="rId4756">
        <w:r>
          <w:rPr>
            <w:color w:val="0000EE"/>
            <w:u w:val="single"/>
          </w:rPr>
          <w:t>Gn 1.14</w:t>
        </w:r>
      </w:hyperlink>
      <w:r>
        <w:t xml:space="preserve">; </w:t>
      </w:r>
      <w:hyperlink r:id="rId19632">
        <w:r>
          <w:rPr>
            <w:color w:val="0000EE"/>
            <w:u w:val="single"/>
          </w:rPr>
          <w:t>Jr 10.2</w:t>
        </w:r>
      </w:hyperlink>
      <w:r>
        <w:t>), ou aos “sinais e maravilhas” como marcas das ações milagrosas de Deus dentro da história do mundo (</w:t>
      </w:r>
      <w:hyperlink r:id="rId14395">
        <w:r>
          <w:rPr>
            <w:color w:val="0000EE"/>
            <w:u w:val="single"/>
          </w:rPr>
          <w:t>Dt 4.34</w:t>
        </w:r>
      </w:hyperlink>
      <w:r>
        <w:t xml:space="preserve">; </w:t>
      </w:r>
      <w:hyperlink r:id="rId19633">
        <w:r>
          <w:rPr>
            <w:color w:val="0000EE"/>
            <w:u w:val="single"/>
          </w:rPr>
          <w:t>6.22</w:t>
        </w:r>
      </w:hyperlink>
      <w:r>
        <w:t xml:space="preserve">; </w:t>
      </w:r>
      <w:hyperlink r:id="rId19634">
        <w:r>
          <w:rPr>
            <w:color w:val="0000EE"/>
            <w:u w:val="single"/>
          </w:rPr>
          <w:t>Ne 9.10</w:t>
        </w:r>
      </w:hyperlink>
      <w:r>
        <w:t xml:space="preserve">; </w:t>
      </w:r>
      <w:hyperlink r:id="rId19635">
        <w:r>
          <w:rPr>
            <w:color w:val="0000EE"/>
            <w:u w:val="single"/>
          </w:rPr>
          <w:t>Sl 105.27</w:t>
        </w:r>
      </w:hyperlink>
      <w:r>
        <w:t>;</w:t>
      </w:r>
      <w:hyperlink r:id="rId19636">
        <w:r>
          <w:rPr>
            <w:color w:val="0000EE"/>
            <w:u w:val="single"/>
          </w:rPr>
          <w:t>Jr 32.20</w:t>
        </w:r>
      </w:hyperlink>
      <w:r>
        <w:t>). Em outras ocasiões, é usado como um símbolo da aliança mosaica. Assim, o uso da lei no pulso e na testa e a guarda do sábado são considerados sinais do relacionamento entre Israel e Deus (</w:t>
      </w:r>
      <w:hyperlink r:id="rId9645">
        <w:r>
          <w:rPr>
            <w:color w:val="0000EE"/>
            <w:u w:val="single"/>
          </w:rPr>
          <w:t>Dt 6.8</w:t>
        </w:r>
      </w:hyperlink>
      <w:r>
        <w:t xml:space="preserve">; </w:t>
      </w:r>
      <w:hyperlink r:id="rId9646">
        <w:r>
          <w:rPr>
            <w:color w:val="0000EE"/>
            <w:u w:val="single"/>
          </w:rPr>
          <w:t>11.18</w:t>
        </w:r>
      </w:hyperlink>
      <w:r>
        <w:t xml:space="preserve">; </w:t>
      </w:r>
      <w:hyperlink r:id="rId9000">
        <w:r>
          <w:rPr>
            <w:color w:val="0000EE"/>
            <w:u w:val="single"/>
          </w:rPr>
          <w:t>Ez 20.12,20</w:t>
        </w:r>
      </w:hyperlink>
      <w:r>
        <w:t>).</w:t>
      </w:r>
    </w:p>
    <w:p>
      <w:r/>
      <w:r>
        <w:t>Os usos mais frequentes e significativos de “sinal” aparecem em relação ao ministério profético do AT. Começando com Moisés, sinais são usados para confirmar que Deus falou com o profeta. Assim, quando Moisés recebeu a mensagem de libertação que ele deveria levar aos filhos de Israel no Egito e no faraó, ele recebeu dois sinais: seu cajado foi transformado em uma serpente e sua mão foi acometida com lepra (</w:t>
      </w:r>
      <w:hyperlink r:id="rId19637">
        <w:r>
          <w:rPr>
            <w:color w:val="0000EE"/>
            <w:u w:val="single"/>
          </w:rPr>
          <w:t>Êx 4.1–8</w:t>
        </w:r>
      </w:hyperlink>
      <w:r>
        <w:t>).</w:t>
      </w:r>
    </w:p>
    <w:p>
      <w:r/>
      <w:r>
        <w:t>Sinais e maravilhas também foram usados por falsos profetas. Após um sinal ter sido dado e se cumprido, os líderes de Israel deveriam examinar a mensagem do profeta para ver se ela afastava as pessoas da verdadeira adoração de Deus. Se o fizesse, o profeta que havia dado o sinal deveria ser condenado à morte (</w:t>
      </w:r>
      <w:hyperlink r:id="rId8363">
        <w:r>
          <w:rPr>
            <w:color w:val="0000EE"/>
            <w:u w:val="single"/>
          </w:rPr>
          <w:t>Dt 13.1–5</w:t>
        </w:r>
      </w:hyperlink>
      <w:r>
        <w:t>).</w:t>
      </w:r>
    </w:p>
    <w:p>
      <w:r/>
      <w:r>
        <w:t>O caráter do sinal varia e muitas vezes é milagroso. Alguns dos grandes milagres do AT são sinais proféticos — por exemplo, o movimento da sombra voltando para os degraus do palácio de Ezequias para confirmar a predição de Isaías de que o rei se recuperaria de uma doença mortal (</w:t>
      </w:r>
      <w:hyperlink r:id="rId19638">
        <w:r>
          <w:rPr>
            <w:color w:val="0000EE"/>
            <w:u w:val="single"/>
          </w:rPr>
          <w:t>2Rs 20.8–9</w:t>
        </w:r>
      </w:hyperlink>
      <w:r>
        <w:t xml:space="preserve">; </w:t>
      </w:r>
      <w:hyperlink r:id="rId19639">
        <w:r>
          <w:rPr>
            <w:color w:val="0000EE"/>
            <w:u w:val="single"/>
          </w:rPr>
          <w:t>Is 38.21–22</w:t>
        </w:r>
      </w:hyperlink>
      <w:r>
        <w:t>). Muitas vezes o sinal é apenas preditivo, e as pessoas podem saber se o profeta falou a verdade pelo fato do acontecer ou não — por exemplo, a previsão do profeta sobre a morte dos dois filhos de Eli no mesmo dia (</w:t>
      </w:r>
      <w:hyperlink r:id="rId7865">
        <w:r>
          <w:rPr>
            <w:color w:val="0000EE"/>
            <w:u w:val="single"/>
          </w:rPr>
          <w:t>1Sm 2.34</w:t>
        </w:r>
      </w:hyperlink>
      <w:r>
        <w:t xml:space="preserve">; veja também </w:t>
      </w:r>
      <w:hyperlink r:id="rId19640">
        <w:r>
          <w:rPr>
            <w:color w:val="0000EE"/>
            <w:u w:val="single"/>
          </w:rPr>
          <w:t>14.10</w:t>
        </w:r>
      </w:hyperlink>
      <w:r>
        <w:t xml:space="preserve">; </w:t>
      </w:r>
      <w:hyperlink r:id="rId19641">
        <w:r>
          <w:rPr>
            <w:color w:val="0000EE"/>
            <w:u w:val="single"/>
          </w:rPr>
          <w:t>2Rs 19.29</w:t>
        </w:r>
      </w:hyperlink>
      <w:r>
        <w:t xml:space="preserve">; </w:t>
      </w:r>
      <w:hyperlink r:id="rId19642">
        <w:r>
          <w:rPr>
            <w:color w:val="0000EE"/>
            <w:u w:val="single"/>
          </w:rPr>
          <w:t>Is 37.30</w:t>
        </w:r>
      </w:hyperlink>
      <w:r>
        <w:t>). Às vezes, o sinal era cautelosamente cronometrado, e o receptor era informado de que a aparição do sinal indicaria quando agir para cumprir a mensagem profética (</w:t>
      </w:r>
      <w:hyperlink r:id="rId19643">
        <w:r>
          <w:rPr>
            <w:color w:val="0000EE"/>
            <w:u w:val="single"/>
          </w:rPr>
          <w:t>1Sm 10.7–9</w:t>
        </w:r>
      </w:hyperlink>
      <w:r>
        <w:t>). Em outros momentos, os eventos previstos foram realizados na vida do profeta. Essas ações simbólicas demonstraram a verdade da mensagem do profeta — por exemplo, a nudez de Isaías por três anos para demonstrar o destino daqueles que pregaram a confiança no poder do Egito (</w:t>
      </w:r>
      <w:hyperlink r:id="rId8621">
        <w:r>
          <w:rPr>
            <w:color w:val="0000EE"/>
            <w:u w:val="single"/>
          </w:rPr>
          <w:t>Is 20.3</w:t>
        </w:r>
      </w:hyperlink>
      <w:r>
        <w:t xml:space="preserve">; veja também </w:t>
      </w:r>
      <w:hyperlink r:id="rId14551">
        <w:r>
          <w:rPr>
            <w:color w:val="0000EE"/>
            <w:u w:val="single"/>
          </w:rPr>
          <w:t>Ez 4.3</w:t>
        </w:r>
      </w:hyperlink>
      <w:r>
        <w:t>).</w:t>
      </w:r>
    </w:p>
    <w:p>
      <w:pPr>
        <w:pStyle w:val="Heading3"/>
      </w:pPr>
      <w:r>
        <w:t>No Novo Testamento</w:t>
      </w:r>
    </w:p>
    <w:p>
      <w:r/>
      <w:r>
        <w:t>As ocorrências do NT são muito parecidas com aquelas no AT. Há referências a sinais celestiais que ocorrerão como indicações do fim dos tempos, e aqueles com conhecimento especial entenderão que o fim está se aproximando (</w:t>
      </w:r>
      <w:hyperlink r:id="rId18263">
        <w:r>
          <w:rPr>
            <w:color w:val="0000EE"/>
            <w:u w:val="single"/>
          </w:rPr>
          <w:t>Mt 24.3,30</w:t>
        </w:r>
      </w:hyperlink>
      <w:r>
        <w:t xml:space="preserve">; </w:t>
      </w:r>
      <w:hyperlink r:id="rId19644">
        <w:r>
          <w:rPr>
            <w:color w:val="0000EE"/>
            <w:u w:val="single"/>
          </w:rPr>
          <w:t>Mc 13.4,22</w:t>
        </w:r>
      </w:hyperlink>
      <w:r>
        <w:t xml:space="preserve">; </w:t>
      </w:r>
      <w:hyperlink r:id="rId17035">
        <w:r>
          <w:rPr>
            <w:color w:val="0000EE"/>
            <w:u w:val="single"/>
          </w:rPr>
          <w:t>Lc 21.11,25–26</w:t>
        </w:r>
      </w:hyperlink>
      <w:r>
        <w:t xml:space="preserve">). Esses sinais apocalípticos não têm conotações astrológicas como no AT. Há também menção do sinal como o selo da aliança entre Deus e Israel em referência à circuncisão em </w:t>
      </w:r>
      <w:hyperlink r:id="rId4443">
        <w:r>
          <w:rPr>
            <w:color w:val="0000EE"/>
            <w:u w:val="single"/>
          </w:rPr>
          <w:t>Romanos 4.11</w:t>
        </w:r>
      </w:hyperlink>
      <w:r>
        <w:t>.</w:t>
      </w:r>
    </w:p>
    <w:p>
      <w:r/>
      <w:r>
        <w:t>Como no AT, os usos de sinais no NT são confirmações da mensagem dada por Deus, e esta mensagem vem por meio da comunidade apostólica na igreja. Assim, há grande ênfase na maneira como Deus confirma a mensagem dos apóstolos por meio de sua capacidade de realizar sinais e maravilhas (</w:t>
      </w:r>
      <w:hyperlink r:id="rId926">
        <w:r>
          <w:rPr>
            <w:color w:val="0000EE"/>
            <w:u w:val="single"/>
          </w:rPr>
          <w:t>At 2.43</w:t>
        </w:r>
      </w:hyperlink>
      <w:r>
        <w:t xml:space="preserve">; </w:t>
      </w:r>
      <w:hyperlink r:id="rId19645">
        <w:r>
          <w:rPr>
            <w:color w:val="0000EE"/>
            <w:u w:val="single"/>
          </w:rPr>
          <w:t>4.30</w:t>
        </w:r>
      </w:hyperlink>
      <w:r>
        <w:t xml:space="preserve">; </w:t>
      </w:r>
      <w:hyperlink r:id="rId973">
        <w:r>
          <w:rPr>
            <w:color w:val="0000EE"/>
            <w:u w:val="single"/>
          </w:rPr>
          <w:t>5.12</w:t>
        </w:r>
      </w:hyperlink>
      <w:r>
        <w:t xml:space="preserve">; </w:t>
      </w:r>
      <w:hyperlink r:id="rId16965">
        <w:r>
          <w:rPr>
            <w:color w:val="0000EE"/>
            <w:u w:val="single"/>
          </w:rPr>
          <w:t>8.13</w:t>
        </w:r>
      </w:hyperlink>
      <w:r>
        <w:t xml:space="preserve">; </w:t>
      </w:r>
      <w:hyperlink r:id="rId19646">
        <w:r>
          <w:rPr>
            <w:color w:val="0000EE"/>
            <w:u w:val="single"/>
          </w:rPr>
          <w:t>14.3</w:t>
        </w:r>
      </w:hyperlink>
      <w:r>
        <w:t xml:space="preserve">; </w:t>
      </w:r>
      <w:hyperlink r:id="rId10897">
        <w:r>
          <w:rPr>
            <w:color w:val="0000EE"/>
            <w:u w:val="single"/>
          </w:rPr>
          <w:t>Rm 15.19</w:t>
        </w:r>
      </w:hyperlink>
      <w:r>
        <w:t xml:space="preserve">; </w:t>
      </w:r>
      <w:hyperlink r:id="rId8449">
        <w:r>
          <w:rPr>
            <w:color w:val="0000EE"/>
            <w:u w:val="single"/>
          </w:rPr>
          <w:t>Hb 2.4</w:t>
        </w:r>
      </w:hyperlink>
      <w:r>
        <w:t>).</w:t>
      </w:r>
    </w:p>
    <w:p>
      <w:r/>
      <w:r>
        <w:t xml:space="preserve">Em Mateus, Marcos e Lucas, os milagres de Jesus não são chamados de sinais. Apenas em </w:t>
      </w:r>
      <w:hyperlink r:id="rId15098">
        <w:r>
          <w:rPr>
            <w:color w:val="0000EE"/>
            <w:u w:val="single"/>
          </w:rPr>
          <w:t>Atos 2.22</w:t>
        </w:r>
      </w:hyperlink>
      <w:r>
        <w:t xml:space="preserve"> Pedro proclama que a mensagem de Jesus foi atestada por sinais que ele realizou. Em vez disso, os milagres de Jesus são vistos como atos de poder divino e misericórdia. Quando os judeus pedem um sinal, eles são consistentemente rejeitados, com a promessa de que o único sinal que receberão é o sinal de Jonas (</w:t>
      </w:r>
      <w:hyperlink r:id="rId9124">
        <w:r>
          <w:rPr>
            <w:color w:val="0000EE"/>
            <w:u w:val="single"/>
          </w:rPr>
          <w:t>Mt 12.38–39</w:t>
        </w:r>
      </w:hyperlink>
      <w:r>
        <w:t xml:space="preserve">; </w:t>
      </w:r>
      <w:hyperlink r:id="rId18834">
        <w:r>
          <w:rPr>
            <w:color w:val="0000EE"/>
            <w:u w:val="single"/>
          </w:rPr>
          <w:t>16.1</w:t>
        </w:r>
      </w:hyperlink>
      <w:r>
        <w:t xml:space="preserve">; </w:t>
      </w:r>
      <w:hyperlink r:id="rId13912">
        <w:r>
          <w:rPr>
            <w:color w:val="0000EE"/>
            <w:u w:val="single"/>
          </w:rPr>
          <w:t>Mc 8.11–12</w:t>
        </w:r>
      </w:hyperlink>
      <w:r>
        <w:t xml:space="preserve">; </w:t>
      </w:r>
      <w:hyperlink r:id="rId19647">
        <w:r>
          <w:rPr>
            <w:color w:val="0000EE"/>
            <w:u w:val="single"/>
          </w:rPr>
          <w:t>Lc 11.19,30</w:t>
        </w:r>
      </w:hyperlink>
      <w:r>
        <w:t>), um sinal que se refere à morte e ressurreição de Cristo. Da mesma forma que Jonas estava no ventre da baleia por três dias e três noites, assim o Filho do Homem estará no coração da terra por três dias (</w:t>
      </w:r>
      <w:hyperlink r:id="rId1881">
        <w:r>
          <w:rPr>
            <w:color w:val="0000EE"/>
            <w:u w:val="single"/>
          </w:rPr>
          <w:t>Mt 12.40</w:t>
        </w:r>
      </w:hyperlink>
      <w:r>
        <w:t>).</w:t>
      </w:r>
    </w:p>
    <w:p>
      <w:r/>
      <w:r>
        <w:t>No entanto, no Evangelho de João, os milagres de Jesus são vistos de uma perspectiva surpreendentemente diferente e são considerados sinais. Começando com a mudança da água em vinho (</w:t>
      </w:r>
      <w:hyperlink r:id="rId6717">
        <w:r>
          <w:rPr>
            <w:color w:val="0000EE"/>
            <w:u w:val="single"/>
          </w:rPr>
          <w:t>Jo 2.1–11</w:t>
        </w:r>
      </w:hyperlink>
      <w:r>
        <w:t xml:space="preserve">), os milagres são chamados de sinais com a intenção de levar aqueles que os veem à fé (v. </w:t>
      </w:r>
      <w:hyperlink r:id="rId19648">
        <w:r>
          <w:rPr>
            <w:color w:val="0000EE"/>
            <w:u w:val="single"/>
          </w:rPr>
          <w:t>23</w:t>
        </w:r>
      </w:hyperlink>
      <w:r>
        <w:t>). Jesus até lamenta que as pessoas não acreditarão a menos que vejam sinais (</w:t>
      </w:r>
      <w:hyperlink r:id="rId14399">
        <w:r>
          <w:rPr>
            <w:color w:val="0000EE"/>
            <w:u w:val="single"/>
          </w:rPr>
          <w:t>4.48</w:t>
        </w:r>
      </w:hyperlink>
      <w:r>
        <w:t>). O propósito de João em escrever seu Evangelho é apresentar os sinais de Jesus para que aqueles que vêm à fé possam fazê-lo através de ver esses sinais (</w:t>
      </w:r>
      <w:hyperlink r:id="rId14441">
        <w:r>
          <w:rPr>
            <w:color w:val="0000EE"/>
            <w:u w:val="single"/>
          </w:rPr>
          <w:t>20.30</w:t>
        </w:r>
      </w:hyperlink>
      <w:r>
        <w:t>). Os sinais no Evangelho são intencionalmente escolhidos porque contribuem para o desenvolvimento da verdadeira fé.</w:t>
      </w:r>
    </w:p>
    <w:p>
      <w:r/>
      <w:r>
        <w:t>No Evangelho de João, os milagres de Jesus confirmam o ensino de Jesus. Nos Evangelhos sinóticos, os milagres são vistos como atos de misericórdia e poder divino. Em João, eles são selecionados para demonstrar o que Jesus tem a dizer ao mundo sobre si. Nesse sentido, eles são um pouco como as ações simbólicas de Isaías e Ezequiel, em que a ação do orador dramatiza a mensagem. Depois que Jesus alimenta os 5.000 com os cinco pães e os dois peixes, ele anuncia na sinagoga em Cafarnaum: “Eu sou o pão da vida que desceu do céu” (</w:t>
      </w:r>
      <w:hyperlink r:id="rId8798">
        <w:r>
          <w:rPr>
            <w:color w:val="0000EE"/>
            <w:u w:val="single"/>
          </w:rPr>
          <w:t>Jo 6.51</w:t>
        </w:r>
      </w:hyperlink>
      <w:r>
        <w:t>). Ele lhes diz para não trabalhar pelo pão deste mundo que perece. Da mesma maneira, a cura do homem que nasceu cego está ligada ao ensino de Jesus de que ele é a luz do mundo (</w:t>
      </w:r>
      <w:hyperlink r:id="rId13498">
        <w:r>
          <w:rPr>
            <w:color w:val="0000EE"/>
            <w:u w:val="single"/>
          </w:rPr>
          <w:t>9.5</w:t>
        </w:r>
      </w:hyperlink>
      <w:r>
        <w:t>). A ressurreição de Lázaro prepara o caminho para Jesus proclamar que ele é a ressurreição e a vida (</w:t>
      </w:r>
      <w:hyperlink r:id="rId3754">
        <w:r>
          <w:rPr>
            <w:color w:val="0000EE"/>
            <w:u w:val="single"/>
          </w:rPr>
          <w:t>11.25</w:t>
        </w:r>
      </w:hyperlink>
      <w:r>
        <w:t>). No Evangelho de João, os sinais não são apenas uma demonstração do poder divino, mas também uma revelação do caráter divino de Jesus. Além de confirmar sua mensagem divina, eles também proclamam sua personalidade e missão.</w:t>
      </w:r>
    </w:p>
    <w:p>
      <w:r/>
      <w:r>
        <w:rPr>
          <w:i/>
        </w:rPr>
        <w:t>Veja também</w:t>
      </w:r>
      <w:r>
        <w:t xml:space="preserve"> </w:t>
      </w:r>
      <w:r>
        <w:t>Milagre</w:t>
      </w:r>
      <w:r>
        <w:t>.</w:t>
      </w:r>
      <w:r/>
      <w:r/>
    </w:p>
    <w:p>
      <w:r/>
    </w:p>
    <w:p>
      <w:pPr>
        <w:pStyle w:val="Heading2"/>
      </w:pPr>
      <w:r>
        <w:t>Sinar</w:t>
      </w:r>
      <w:r/>
    </w:p>
    <w:p>
      <w:r/>
      <w:r>
        <w:t>Sinar era uma região na antiga Babilônia (atual sul do Iraque). Sinar é o nome de um distrito da Babilônia mencionado apenas na Bíblia.</w:t>
      </w:r>
    </w:p>
    <w:p>
      <w:r/>
      <w:r>
        <w:t>A área se estendia de onde Bagdá está localizada atualmente até o Golfo Pérsico. Esta região incluía dois importantes territórios antigos: Sumer ao sul e Acad ao norte. Mais tarde, as pessoas chamaram toda essa área de Babilônia (</w:t>
      </w:r>
      <w:hyperlink r:id="rId19649">
        <w:r>
          <w:rPr>
            <w:color w:val="0000EE"/>
            <w:u w:val="single"/>
          </w:rPr>
          <w:t>Dn 1.2</w:t>
        </w:r>
      </w:hyperlink>
      <w:r>
        <w:t>, veja a nota marginal).</w:t>
      </w:r>
    </w:p>
    <w:p>
      <w:r/>
      <w:r>
        <w:t>Várias cidades antigas importantes estavam localizadas em Sinar, incluindo Ereque, Acade e Babel (também chamada Babilônia). Essas cidades faziam parte do reino governado por Ninrode, que era filho de Cuxe (</w:t>
      </w:r>
      <w:hyperlink r:id="rId250">
        <w:r>
          <w:rPr>
            <w:color w:val="0000EE"/>
            <w:u w:val="single"/>
          </w:rPr>
          <w:t>Gn 10.10</w:t>
        </w:r>
      </w:hyperlink>
      <w:r>
        <w:t xml:space="preserve">). </w:t>
      </w:r>
      <w:hyperlink r:id="rId19650">
        <w:r>
          <w:rPr>
            <w:color w:val="0000EE"/>
            <w:u w:val="single"/>
          </w:rPr>
          <w:t>Gênesis 11.2</w:t>
        </w:r>
      </w:hyperlink>
      <w:r>
        <w:t xml:space="preserve"> também menciona Sinar em conexão com a Torre de Babel.</w:t>
      </w:r>
    </w:p>
    <w:p>
      <w:r/>
      <w:r>
        <w:t>A Bíblia também nos fala sobre Anrafel, que era um rei de Sinar. Ele lutou em uma guerra contra Abraão e o povo que vivia a leste do Rio Jordão (</w:t>
      </w:r>
      <w:hyperlink r:id="rId6217">
        <w:r>
          <w:rPr>
            <w:color w:val="0000EE"/>
            <w:u w:val="single"/>
          </w:rPr>
          <w:t>Gn 14.1</w:t>
        </w:r>
      </w:hyperlink>
      <w:r>
        <w:t>,</w:t>
      </w:r>
      <w:hyperlink r:id="rId19651">
        <w:r>
          <w:rPr>
            <w:color w:val="0000EE"/>
            <w:u w:val="single"/>
          </w:rPr>
          <w:t>9</w:t>
        </w:r>
      </w:hyperlink>
      <w:r>
        <w:t>).</w:t>
      </w:r>
    </w:p>
    <w:p>
      <w:r/>
      <w:r>
        <w:t>Mais tarde na Bíblia, Sinar se torna importante durante o período em que os israelitas foram forçados a deixar sua terra natal. O rei babilônico Nabucodonosor levou seu povo capturado para Sinar (</w:t>
      </w:r>
      <w:hyperlink r:id="rId19649">
        <w:r>
          <w:rPr>
            <w:color w:val="0000EE"/>
            <w:u w:val="single"/>
          </w:rPr>
          <w:t>Dn 1.2</w:t>
        </w:r>
      </w:hyperlink>
      <w:r>
        <w:t>). Os profetas também mencionaram Sinar ao falarem sobre o futuro resgate de Israel por Deus (</w:t>
      </w:r>
      <w:hyperlink r:id="rId7768">
        <w:r>
          <w:rPr>
            <w:color w:val="0000EE"/>
            <w:u w:val="single"/>
          </w:rPr>
          <w:t>Is 11.11</w:t>
        </w:r>
      </w:hyperlink>
      <w:r>
        <w:t xml:space="preserve">; compare </w:t>
      </w:r>
      <w:hyperlink r:id="rId19652">
        <w:r>
          <w:rPr>
            <w:color w:val="0000EE"/>
            <w:u w:val="single"/>
          </w:rPr>
          <w:t>Zc 5.11</w:t>
        </w:r>
      </w:hyperlink>
      <w:r>
        <w:t>).</w:t>
      </w:r>
    </w:p>
    <w:p>
      <w:r/>
      <w:r>
        <w:rPr>
          <w:i/>
        </w:rPr>
        <w:t>Veja também</w:t>
      </w:r>
      <w:r>
        <w:t xml:space="preserve"> </w:t>
      </w:r>
      <w:r>
        <w:t>Babilônia</w:t>
      </w:r>
      <w:r>
        <w:t>.</w:t>
      </w:r>
      <w:r/>
      <w:r/>
    </w:p>
    <w:p>
      <w:r/>
    </w:p>
    <w:p>
      <w:pPr>
        <w:pStyle w:val="Heading2"/>
      </w:pPr>
      <w:r>
        <w:t>Sinédrio</w:t>
      </w:r>
      <w:r/>
    </w:p>
    <w:p>
      <w:r/>
      <w:r>
        <w:t>O conselho judicial supremo (ARC “sinédrio”) do judaísmo, composto por 71 membros, estava localizado em Jerusalém. Ele figura de forma proeminente nas narrativas da Paixão nos Evangelhos como o corpo que julgou Jesus e aparece novamente em Atos como o tribunal judicial que investigou e perseguiu a crescente igreja cristã.</w:t>
      </w:r>
    </w:p>
    <w:p>
      <w:pPr>
        <w:pStyle w:val="Heading3"/>
      </w:pPr>
      <w:r>
        <w:t>História</w:t>
      </w:r>
    </w:p>
    <w:p>
      <w:r/>
      <w:r>
        <w:t xml:space="preserve">A história do sinédrio é difícil de reconstruir. A tradição judaica registrada na Mishná o vê como originando-se com Moisés e seu conselho de 70, mas isso é duvidoso (tratado da Mishná </w:t>
      </w:r>
      <w:r>
        <w:rPr>
          <w:i/>
        </w:rPr>
        <w:t>Sanhedrin</w:t>
      </w:r>
      <w:r>
        <w:t xml:space="preserve"> 1.6; cf. </w:t>
      </w:r>
      <w:hyperlink r:id="rId19653">
        <w:r>
          <w:rPr>
            <w:color w:val="0000EE"/>
            <w:u w:val="single"/>
          </w:rPr>
          <w:t>Nm 11.16</w:t>
        </w:r>
      </w:hyperlink>
      <w:r>
        <w:t>). Provavelmente, eram reuniões informais de anciãos tribais (</w:t>
      </w:r>
      <w:hyperlink r:id="rId19514">
        <w:r>
          <w:rPr>
            <w:color w:val="0000EE"/>
            <w:u w:val="single"/>
          </w:rPr>
          <w:t>1Rs 8.1</w:t>
        </w:r>
      </w:hyperlink>
      <w:r>
        <w:t xml:space="preserve">; </w:t>
      </w:r>
      <w:hyperlink r:id="rId19654">
        <w:r>
          <w:rPr>
            <w:color w:val="0000EE"/>
            <w:u w:val="single"/>
          </w:rPr>
          <w:t>2Rs 23.1</w:t>
        </w:r>
      </w:hyperlink>
      <w:r>
        <w:t xml:space="preserve">). A origem provável do sinédrio encontra-se no período pós-exílico, quando aqueles que reorganizaram Israel sem um rei fizeram das antigas famílias governantes a base da autoridade. A assembleia legislativa que surgiu foi uma união da nobreza da terra e da aristocracia sacerdotal (veja </w:t>
      </w:r>
      <w:hyperlink r:id="rId527">
        <w:r>
          <w:rPr>
            <w:color w:val="0000EE"/>
            <w:u w:val="single"/>
          </w:rPr>
          <w:t>Ed 5.5</w:t>
        </w:r>
      </w:hyperlink>
      <w:r>
        <w:t xml:space="preserve">; </w:t>
      </w:r>
      <w:hyperlink r:id="rId19655">
        <w:r>
          <w:rPr>
            <w:color w:val="0000EE"/>
            <w:u w:val="single"/>
          </w:rPr>
          <w:t>Ne 2.16</w:t>
        </w:r>
      </w:hyperlink>
      <w:r>
        <w:t>). A influência deste conselho aumentou devido à relativa liberdade desfrutada sob os persas.</w:t>
      </w:r>
    </w:p>
    <w:p>
      <w:r/>
      <w:r>
        <w:t>O advento do helenismo em Israel no século IV a.C. consolidou este governo. As cidades helenísticas geralmente possuíam assembleias democráticas e um conselho. Jerusalém abrigava um conselho aristocrático que recebeu o título grego apropriado, isto é, gerúsia</w:t>
      </w:r>
      <w:r>
        <w:rPr>
          <w:i/>
        </w:rPr>
        <w:t>.</w:t>
      </w:r>
      <w:r>
        <w:t xml:space="preserve"> Este conselho é mencionado pela primeira vez por Josefo, que registra o decreto de Antíoco III após sua tomada de Jerusalém (</w:t>
      </w:r>
      <w:r>
        <w:rPr>
          <w:i/>
        </w:rPr>
        <w:t>Antiguidades</w:t>
      </w:r>
      <w:r>
        <w:t xml:space="preserve"> 12.3.3). No entanto, mesmo com a mudança drástica do clima político, o conselho permaneceu em vigor. Judas Macabeu expulsou a antiga linha de anciãos e instalou outra liderança hereditária proveniente das famílias hasmoneias. Assim, a gerúsia continuou como um conselho da nobreza. No entanto, no primeiro século a.C., à medida que as tensões entre saduceus e fariseus desintegravam o tecido do judaísmo, o conselho passou por uma transformação. A partir do tempo de Alexandra (76–67 a.C.), escribas de persuasão farisaica entraram no conselho. Daí em diante, a gerúsia era uma mistura: nobreza aristocrática de um lado (tanto laica quanto sacerdotal) e os populares fariseus do outro.</w:t>
      </w:r>
    </w:p>
    <w:p>
      <w:r/>
      <w:r>
        <w:t>Os romanos mantiveram o conselho intacto, mas definiram mais cuidadosamente os limites de sua jurisdição. À medida que o judaísmo perdeu seu autogoverno, o conselho perdeu muito de seu poder legislativo e político. Roma nomeou os verdadeiros poderes da terra. Por exemplo, Herodes, o Grande, começou seu governo em severo conflito com a antiga aristocracia e, no final, executou a maioria dos membros do sinédrio (</w:t>
      </w:r>
      <w:r>
        <w:rPr>
          <w:i/>
        </w:rPr>
        <w:t>Antiguidades</w:t>
      </w:r>
      <w:r>
        <w:t xml:space="preserve"> 14.9.4). Os prefeitos nomearam os sumos sacerdotes e, como símbolo de controle, de 6 a 36 d.C. mantiveram as vestes dos sacerdotes na fortaleza Antônia.</w:t>
      </w:r>
    </w:p>
    <w:p>
      <w:r/>
      <w:r>
        <w:t>O nome sinédrio (do grego, sunedrion</w:t>
      </w:r>
      <w:r>
        <w:rPr>
          <w:i/>
        </w:rPr>
        <w:t>,</w:t>
      </w:r>
      <w:r>
        <w:t xml:space="preserve"> de syn</w:t>
      </w:r>
      <w:r>
        <w:rPr>
          <w:i/>
        </w:rPr>
        <w:t>,</w:t>
      </w:r>
      <w:r>
        <w:t xml:space="preserve"> “juntos,” e edrion</w:t>
      </w:r>
      <w:r>
        <w:rPr>
          <w:i/>
        </w:rPr>
        <w:t>,</w:t>
      </w:r>
      <w:r>
        <w:t xml:space="preserve"> “assento”) aparece pela primeira vez no reinado de Herodes, o Grande (</w:t>
      </w:r>
      <w:r>
        <w:rPr>
          <w:i/>
        </w:rPr>
        <w:t>Antiguidades</w:t>
      </w:r>
      <w:r>
        <w:t xml:space="preserve"> 14.9.3–5). Este é o termo usado ao longo do NT (22 vezes), juntamente com “os anciãos” (</w:t>
      </w:r>
      <w:hyperlink r:id="rId8205">
        <w:r>
          <w:rPr>
            <w:color w:val="0000EE"/>
            <w:u w:val="single"/>
          </w:rPr>
          <w:t>Lc 22.66</w:t>
        </w:r>
      </w:hyperlink>
      <w:r>
        <w:t xml:space="preserve">; </w:t>
      </w:r>
      <w:hyperlink r:id="rId11178">
        <w:r>
          <w:rPr>
            <w:color w:val="0000EE"/>
            <w:u w:val="single"/>
          </w:rPr>
          <w:t>At 22.5</w:t>
        </w:r>
      </w:hyperlink>
      <w:r>
        <w:t>) e “gerúsia” (</w:t>
      </w:r>
      <w:hyperlink r:id="rId4955">
        <w:r>
          <w:rPr>
            <w:color w:val="0000EE"/>
            <w:u w:val="single"/>
          </w:rPr>
          <w:t>At 5.21</w:t>
        </w:r>
      </w:hyperlink>
      <w:r>
        <w:t>). A Mishná fornece ainda mais títulos: O Grande Tribunal (</w:t>
      </w:r>
      <w:r>
        <w:rPr>
          <w:i/>
        </w:rPr>
        <w:t>Sanhedrin</w:t>
      </w:r>
      <w:r>
        <w:t xml:space="preserve"> 11.2), o Grande Sinédrio (</w:t>
      </w:r>
      <w:r>
        <w:rPr>
          <w:i/>
        </w:rPr>
        <w:t>Sanhedrin</w:t>
      </w:r>
      <w:r>
        <w:t xml:space="preserve"> 1.6), e o Sinédrio dos 71 (</w:t>
      </w:r>
      <w:r>
        <w:rPr>
          <w:i/>
        </w:rPr>
        <w:t>Shebuoth</w:t>
      </w:r>
      <w:r>
        <w:t xml:space="preserve"> 2.2).</w:t>
      </w:r>
    </w:p>
    <w:p>
      <w:r/>
      <w:r>
        <w:t>Após a Grande Guerra de 70 d.C., quando os vestígios finais da autonomia judaica foram destruídos por Roma, o Sinédrio se reuniu novamente em Jâmnia. Seu poder, no entanto, era apenas teórico (abordando principalmente questões religiosas), e os romanos lhe deram pouca atenção.</w:t>
      </w:r>
    </w:p>
    <w:p>
      <w:pPr>
        <w:pStyle w:val="Heading3"/>
      </w:pPr>
      <w:r>
        <w:t>Estrutura institucional</w:t>
      </w:r>
    </w:p>
    <w:p>
      <w:r/>
      <w:r>
        <w:t>Pouco se sabe sobre o procedimento de admissão no sinédrio, mas como o conselho tinha raízes aristocráticas (e não era verdadeiramente democrático), as nomeações provavelmente eram feitas entre os sacerdotes, escribas principais e nobreza leiga. A Mishná estipula que o único critério de adesão era o aprendizado rabínico juntamente com a verdadeira descendência israelita (</w:t>
      </w:r>
      <w:r>
        <w:rPr>
          <w:i/>
        </w:rPr>
        <w:t>Sanhedrin</w:t>
      </w:r>
      <w:r>
        <w:t xml:space="preserve"> 4.4). O conselho tinha 71 membros (</w:t>
      </w:r>
      <w:r>
        <w:rPr>
          <w:i/>
        </w:rPr>
        <w:t>Sanhedrin</w:t>
      </w:r>
      <w:r>
        <w:t xml:space="preserve"> 1.6) divididos nas seguintes três categorias: os sumos sacerdotes, os anciãos e os escribas.</w:t>
      </w:r>
    </w:p>
    <w:p>
      <w:pPr>
        <w:pStyle w:val="Heading4"/>
      </w:pPr>
      <w:r>
        <w:t>Os sumo sacerdotes</w:t>
      </w:r>
    </w:p>
    <w:p>
      <w:r/>
      <w:r>
        <w:t xml:space="preserve">Geralmente de origem saduceia, estes eram os homens mais poderosos do sinédrio. Alguns estudiosos acreditam que eles formavam um conselho executivo de dez cidadãos ricos e distintos, seguindo o modelo de várias cidades gregas e romanas. Tiberíades na Galileia, </w:t>
      </w:r>
      <w:r>
        <w:rPr>
          <w:i/>
        </w:rPr>
        <w:t>e.g.</w:t>
      </w:r>
      <w:r>
        <w:t>, era governada por tal conselho, e Josefo refere-se a eles como um corpo dos “dez homens mais importantes” (</w:t>
      </w:r>
      <w:r>
        <w:rPr>
          <w:i/>
        </w:rPr>
        <w:t>Antiguidades</w:t>
      </w:r>
      <w:r>
        <w:t xml:space="preserve"> 20.8.11; cf. </w:t>
      </w:r>
      <w:hyperlink r:id="rId737">
        <w:r>
          <w:rPr>
            <w:color w:val="0000EE"/>
            <w:u w:val="single"/>
          </w:rPr>
          <w:t>At 4.6</w:t>
        </w:r>
      </w:hyperlink>
      <w:r>
        <w:t>). Um deles era o capitão do templo, que supervisionava os procedimentos do templo e comandava a guarda do templo (</w:t>
      </w:r>
      <w:hyperlink r:id="rId19656">
        <w:r>
          <w:rPr>
            <w:color w:val="0000EE"/>
            <w:u w:val="single"/>
          </w:rPr>
          <w:t>At 5.24–26</w:t>
        </w:r>
      </w:hyperlink>
      <w:r>
        <w:t>). Outros serviam como tesoureiros que controlavam os salários dos sacerdotes e trabalhadores e monitoravam a grande quantidade de dinheiro que passava pelo templo. A renda vinha de sacrifícios e impostos de mercado; a folha de pagamento incluía até 18.000 homens durante a reconstrução do templo por Herodes. Havia um presidente do sinédrio que também liderava este conselho e era chamado de “o sumo sacerdote” (</w:t>
      </w:r>
      <w:r>
        <w:rPr>
          <w:i/>
        </w:rPr>
        <w:t>Antiguidades</w:t>
      </w:r>
      <w:r>
        <w:t xml:space="preserve"> 20.10.5). No NT, ele é uma figura de destaque: Caifás governava nos dias de Jesus (</w:t>
      </w:r>
      <w:hyperlink r:id="rId1388">
        <w:r>
          <w:rPr>
            <w:color w:val="0000EE"/>
            <w:u w:val="single"/>
          </w:rPr>
          <w:t>Mt 26.3</w:t>
        </w:r>
      </w:hyperlink>
      <w:r>
        <w:t>), e Ananias nos dias de Paulo (</w:t>
      </w:r>
      <w:hyperlink r:id="rId19657">
        <w:r>
          <w:rPr>
            <w:color w:val="0000EE"/>
            <w:u w:val="single"/>
          </w:rPr>
          <w:t>At 23.2</w:t>
        </w:r>
      </w:hyperlink>
      <w:r>
        <w:t xml:space="preserve">). Em </w:t>
      </w:r>
      <w:hyperlink r:id="rId1361">
        <w:r>
          <w:rPr>
            <w:color w:val="0000EE"/>
            <w:u w:val="single"/>
          </w:rPr>
          <w:t>Lucas 3.2</w:t>
        </w:r>
      </w:hyperlink>
      <w:r>
        <w:t xml:space="preserve"> e </w:t>
      </w:r>
      <w:hyperlink r:id="rId737">
        <w:r>
          <w:rPr>
            <w:color w:val="0000EE"/>
            <w:u w:val="single"/>
          </w:rPr>
          <w:t>Atos dos Apóstolos 4.6</w:t>
        </w:r>
      </w:hyperlink>
      <w:r>
        <w:t>, Anás é chamado de sumo sacerdote, mas seu título é emérito, já que seu reinado terminou em 15 d.C.</w:t>
      </w:r>
    </w:p>
    <w:p>
      <w:pPr>
        <w:pStyle w:val="Heading4"/>
      </w:pPr>
      <w:r>
        <w:t>Os anciãos</w:t>
      </w:r>
    </w:p>
    <w:p>
      <w:r/>
      <w:r>
        <w:t>Esta era uma categoria importante e representava a aristocracia sacerdotal e financeira na Judeia. Leigos distintos, como José de Arimateia (</w:t>
      </w:r>
      <w:hyperlink r:id="rId5967">
        <w:r>
          <w:rPr>
            <w:color w:val="0000EE"/>
            <w:u w:val="single"/>
          </w:rPr>
          <w:t>Mc 15.43</w:t>
        </w:r>
      </w:hyperlink>
      <w:r>
        <w:t>), compartilhavam as visões conservadoras dos saduceus e davam à assembleia a diversidade de um parlamento moderno.</w:t>
      </w:r>
    </w:p>
    <w:p>
      <w:pPr>
        <w:pStyle w:val="Heading4"/>
      </w:pPr>
      <w:r>
        <w:t>Os escribas</w:t>
      </w:r>
    </w:p>
    <w:p>
      <w:r/>
      <w:r>
        <w:t>Estes foram os membros mais recentes do sinédrio. Principalmente fariseus, eles eram advogados profissionais treinados em teologia, jurisprudência e filosofia. Eles eram organizados em guildas e frequentemente seguiam professores renomados. Um famoso escriba do sinédrio, Gamaliel, aparece no NT (</w:t>
      </w:r>
      <w:hyperlink r:id="rId7500">
        <w:r>
          <w:rPr>
            <w:color w:val="0000EE"/>
            <w:u w:val="single"/>
          </w:rPr>
          <w:t>At 5.34</w:t>
        </w:r>
      </w:hyperlink>
      <w:r>
        <w:t>) e foi o estudioso rabínico que instruiu Paulo (</w:t>
      </w:r>
      <w:hyperlink r:id="rId4901">
        <w:r>
          <w:rPr>
            <w:color w:val="0000EE"/>
            <w:u w:val="single"/>
          </w:rPr>
          <w:t>22.3</w:t>
        </w:r>
      </w:hyperlink>
      <w:r>
        <w:t>).</w:t>
      </w:r>
    </w:p>
    <w:p>
      <w:pPr>
        <w:pStyle w:val="Heading4"/>
      </w:pPr>
      <w:r>
        <w:t>Na época de Jesus</w:t>
      </w:r>
    </w:p>
    <w:p>
      <w:r/>
      <w:r>
        <w:t xml:space="preserve">O domínio do sinédrio era formalmente restrito à Judeia, mas havia uma influência de fato que afetava a Galileia e até mesmo Damasco (cf. </w:t>
      </w:r>
      <w:hyperlink r:id="rId15502">
        <w:r>
          <w:rPr>
            <w:color w:val="0000EE"/>
            <w:u w:val="single"/>
          </w:rPr>
          <w:t>At 9.2</w:t>
        </w:r>
      </w:hyperlink>
      <w:r>
        <w:t xml:space="preserve">; </w:t>
      </w:r>
      <w:hyperlink r:id="rId11178">
        <w:r>
          <w:rPr>
            <w:color w:val="0000EE"/>
            <w:u w:val="single"/>
          </w:rPr>
          <w:t>22.5</w:t>
        </w:r>
      </w:hyperlink>
      <w:r>
        <w:t>). O conselho estava principalmente preocupado em arbitrar questões da lei judaica quando surgiam desacordos (</w:t>
      </w:r>
      <w:r>
        <w:rPr>
          <w:i/>
        </w:rPr>
        <w:t>Sanhedrin</w:t>
      </w:r>
      <w:r>
        <w:t xml:space="preserve"> 11.2). Em todos os casos, sua decisão era final. Ele processava acusações de blasfêmia, como nos casos de Jesus (</w:t>
      </w:r>
      <w:hyperlink r:id="rId19658">
        <w:r>
          <w:rPr>
            <w:color w:val="0000EE"/>
            <w:u w:val="single"/>
          </w:rPr>
          <w:t>Mt 26.65</w:t>
        </w:r>
      </w:hyperlink>
      <w:r>
        <w:t>) e Estêvão (</w:t>
      </w:r>
      <w:hyperlink r:id="rId8248">
        <w:r>
          <w:rPr>
            <w:color w:val="0000EE"/>
            <w:u w:val="single"/>
          </w:rPr>
          <w:t>At 6.12–14</w:t>
        </w:r>
      </w:hyperlink>
      <w:r>
        <w:t>), e também participava da justiça criminal.</w:t>
      </w:r>
    </w:p>
    <w:p>
      <w:r/>
      <w:r>
        <w:t>Ainda não se sabe se o sinédrio tinha o poder de aplicar a pena capital. Filo parece indicar que violações ao templo poderiam ser processadas no período romano (</w:t>
      </w:r>
      <w:r>
        <w:rPr>
          <w:i/>
        </w:rPr>
        <w:t>Legatio to Gaius,</w:t>
      </w:r>
      <w:r>
        <w:t xml:space="preserve"> 39). Isso pode explicar as mortes de Estêvão (</w:t>
      </w:r>
      <w:hyperlink r:id="rId19659">
        <w:r>
          <w:rPr>
            <w:color w:val="0000EE"/>
            <w:u w:val="single"/>
          </w:rPr>
          <w:t>At 7.58–60</w:t>
        </w:r>
      </w:hyperlink>
      <w:r>
        <w:t>) e Tiago (</w:t>
      </w:r>
      <w:r>
        <w:rPr>
          <w:i/>
        </w:rPr>
        <w:t>Antiguidades</w:t>
      </w:r>
      <w:r>
        <w:t xml:space="preserve"> 20.9.1). De qualquer forma, os gentios pegos invadindo os recintos do templo eram avisados sobre uma pena de morte automática. Mas o NT e o Talmude discordam disso. No julgamento de Jesus, as autoridades são obrigadas a envolver Pilatos que, por conta própria, pode condenar Jesus à morte (</w:t>
      </w:r>
      <w:hyperlink r:id="rId19660">
        <w:r>
          <w:rPr>
            <w:color w:val="0000EE"/>
            <w:u w:val="single"/>
          </w:rPr>
          <w:t>Jo 18.31</w:t>
        </w:r>
      </w:hyperlink>
      <w:r>
        <w:t>). De acordo com o Talmude, o sinédrio perdeu esse privilégio “quarenta anos antes da destruição do templo” (</w:t>
      </w:r>
      <w:r>
        <w:rPr>
          <w:i/>
        </w:rPr>
        <w:t>Sanhedrin</w:t>
      </w:r>
      <w:r>
        <w:t xml:space="preserve"> I 18a, 34; VII 24b).</w:t>
      </w:r>
    </w:p>
    <w:p>
      <w:pPr>
        <w:pStyle w:val="Heading3"/>
      </w:pPr>
      <w:r>
        <w:t>Processo judicial</w:t>
      </w:r>
    </w:p>
    <w:p>
      <w:r/>
      <w:r>
        <w:t xml:space="preserve">Apesar das sérias irregularidades no julgamento de Jesus, os procedimentos formais da lei do sinédrio descrevem um tribunal que era justo e extremamente preocupado com nulidades processuais. Infelizmente, os atos processuais na Mishná abordam apenas diretrizes para tribunais menores (sinédrios com 23 membros), mas, pode-se razoavelmente supor que regras semelhantes se aplicavam ao Grande Sinédrio de 71. Nas seções quatro e cinco do tratado da Mishná </w:t>
      </w:r>
      <w:r>
        <w:rPr>
          <w:i/>
        </w:rPr>
        <w:t>Sanhedrin,</w:t>
      </w:r>
      <w:r>
        <w:t xml:space="preserve"> essas diretrizes são cuidadosamente estabelecidas.</w:t>
      </w:r>
    </w:p>
    <w:p>
      <w:r/>
      <w:r>
        <w:t>O sinédrio sentava-se em filas semicirculares para que os membros pudessem se ver. Dois secretários ficavam em cada extremidade, tomando notas e registrando votos. De frente para a assembleia, sentavam-se três filas de estudantes, geralmente discípulos de escribas importantes. O acusado ficava no meio, de frente para os anciãos. Ele era obrigado a demonstrar extrema humildade: vestia-se com uma túnica preta, como se estivesse de luto, e usava o cabelo desgrenhado (</w:t>
      </w:r>
      <w:r>
        <w:rPr>
          <w:i/>
        </w:rPr>
        <w:t>Antiguidades</w:t>
      </w:r>
      <w:r>
        <w:t xml:space="preserve"> 14.9.4). Após o interrogatório, ele era dispensado e as deliberações eram privadas.</w:t>
      </w:r>
    </w:p>
    <w:p>
      <w:r/>
      <w:r>
        <w:t>Os procedimentos para casos de pena capital ilustram a preocupação com a justiça. A defesa seria ouvida primeiro e depois as acusações. Um ancião que tivesse falado pela defesa não poderia então falar contra o acusado. Os estudantes poderiam falar apenas a favor, mas nunca contra o acusado (mas em casos não capitais, eles poderiam fazer ambos). Os membros ficavam de pé para votar, começando pelo mais jovem. A absolvição exigia uma maioria simples, mas a condenação exigia uma maioria de dois terços.</w:t>
      </w:r>
    </w:p>
    <w:p>
      <w:r/>
      <w:r>
        <w:t>Em processos de sanções não capitais, o julgamento era realizado durante o dia e o veredicto podia ser dado à noite. Em processos de penas capitais, tanto o julgamento quanto o veredicto ocorriam durante o dia e, assim, estavam sujeitos a mais escrutínio público. Nos processos de sanções não capitais, qualquer veredicto poderia ser proferido no mesmo dia. Em litígios de penas capitais, o veredicto de culpa (que era imediatamente seguido pela execução) tinha que ser adiado um dia porque suas consequências eram irreversíveis. Portanto, esses julgamentos não deveriam ser realizados na véspera do sábado ou de um dia de festival (</w:t>
      </w:r>
      <w:r>
        <w:rPr>
          <w:i/>
        </w:rPr>
        <w:t>Sanhedrin</w:t>
      </w:r>
      <w:r>
        <w:t xml:space="preserve"> 4.1).</w:t>
      </w:r>
    </w:p>
    <w:p>
      <w:r/>
      <w:r>
        <w:t>O julgamento de Jesus, conforme registrado nos Evangelhos, apresenta muitas divergências em relação ao padrão usual de justiça do sinédrio. Parece evidente que houve uma injustiça na prisão, interrogatório e morte de Jesus.</w:t>
      </w:r>
    </w:p>
    <w:p>
      <w:r/>
      <w:r>
        <w:rPr>
          <w:i/>
        </w:rPr>
        <w:t>Veja também</w:t>
      </w:r>
      <w:r>
        <w:t xml:space="preserve"> </w:t>
      </w:r>
      <w:r>
        <w:t>Tribunais e julgamentos</w:t>
      </w:r>
      <w:r>
        <w:t xml:space="preserve">; </w:t>
      </w:r>
      <w:r>
        <w:t>Conselho de Jerusalém</w:t>
      </w:r>
      <w:r>
        <w:t>.</w:t>
      </w:r>
      <w:r/>
      <w:r/>
    </w:p>
    <w:p>
      <w:r/>
    </w:p>
    <w:p>
      <w:pPr>
        <w:pStyle w:val="Heading2"/>
      </w:pPr>
      <w:r>
        <w:t>Sineus</w:t>
      </w:r>
      <w:r/>
    </w:p>
    <w:p>
      <w:r/>
      <w:r>
        <w:t>Tribo dos cananeus, possivelmente localizada no norte do Líbano, cuja ancestralidade é traçada até Canaã, filho de Cam (</w:t>
      </w:r>
      <w:hyperlink r:id="rId2583">
        <w:r>
          <w:rPr>
            <w:color w:val="0000EE"/>
            <w:u w:val="single"/>
          </w:rPr>
          <w:t>Gn 10.17</w:t>
        </w:r>
      </w:hyperlink>
      <w:r>
        <w:t xml:space="preserve">; </w:t>
      </w:r>
      <w:hyperlink r:id="rId2584">
        <w:r>
          <w:rPr>
            <w:color w:val="0000EE"/>
            <w:u w:val="single"/>
          </w:rPr>
          <w:t>1Cr 1.15</w:t>
        </w:r>
      </w:hyperlink>
      <w:r>
        <w:t>).</w:t>
      </w:r>
      <w:r/>
      <w:r/>
    </w:p>
    <w:p>
      <w:r/>
    </w:p>
    <w:p>
      <w:pPr>
        <w:pStyle w:val="Heading2"/>
      </w:pPr>
      <w:r>
        <w:t>Sino</w:t>
      </w:r>
      <w:r/>
    </w:p>
    <w:p>
      <w:r/>
      <w:r>
        <w:t>Um pequeno dispositivo de ruído. Sinos eram às vezes presos entre romãs decorativas ao redor da parte inferior da túnica do sumo sacerdote (</w:t>
      </w:r>
      <w:hyperlink r:id="rId11085">
        <w:r>
          <w:rPr>
            <w:color w:val="0000EE"/>
            <w:u w:val="single"/>
          </w:rPr>
          <w:t>Êx 28.33–34</w:t>
        </w:r>
      </w:hyperlink>
      <w:r>
        <w:t xml:space="preserve">; </w:t>
      </w:r>
      <w:hyperlink r:id="rId11086">
        <w:r>
          <w:rPr>
            <w:color w:val="0000EE"/>
            <w:u w:val="single"/>
          </w:rPr>
          <w:t>39.25–26</w:t>
        </w:r>
      </w:hyperlink>
      <w:r>
        <w:t>).</w:t>
      </w:r>
    </w:p>
    <w:p>
      <w:r/>
      <w:r>
        <w:rPr>
          <w:i/>
        </w:rPr>
        <w:t>Veja</w:t>
      </w:r>
      <w:r>
        <w:t xml:space="preserve"> </w:t>
      </w:r>
      <w:r>
        <w:t>Instrumentos musicais (Pamonim)</w:t>
      </w:r>
      <w:r>
        <w:t xml:space="preserve">; </w:t>
      </w:r>
      <w:r>
        <w:t>Música</w:t>
      </w:r>
      <w:r>
        <w:t>.</w:t>
      </w:r>
      <w:r/>
      <w:r/>
    </w:p>
    <w:p>
      <w:r/>
    </w:p>
    <w:p>
      <w:pPr>
        <w:pStyle w:val="Heading2"/>
      </w:pPr>
      <w:r>
        <w:t>Sinrom (Pessoa)</w:t>
      </w:r>
      <w:r/>
    </w:p>
    <w:p>
      <w:r/>
      <w:r>
        <w:t>Quarto filho de Issacar (</w:t>
      </w:r>
      <w:hyperlink r:id="rId11448">
        <w:r>
          <w:rPr>
            <w:color w:val="0000EE"/>
            <w:u w:val="single"/>
          </w:rPr>
          <w:t>Gn 46.13</w:t>
        </w:r>
      </w:hyperlink>
      <w:r>
        <w:t xml:space="preserve">; </w:t>
      </w:r>
      <w:hyperlink r:id="rId11545">
        <w:r>
          <w:rPr>
            <w:color w:val="0000EE"/>
            <w:u w:val="single"/>
          </w:rPr>
          <w:t>1Cr 7.1</w:t>
        </w:r>
      </w:hyperlink>
      <w:r>
        <w:t>) e fundador da família dos Simronitas (</w:t>
      </w:r>
      <w:hyperlink r:id="rId11546">
        <w:r>
          <w:rPr>
            <w:color w:val="0000EE"/>
            <w:u w:val="single"/>
          </w:rPr>
          <w:t>Nm 26.24</w:t>
        </w:r>
      </w:hyperlink>
      <w:r>
        <w:t>).</w:t>
      </w:r>
      <w:r/>
      <w:r/>
    </w:p>
    <w:p>
      <w:r/>
    </w:p>
    <w:p>
      <w:pPr>
        <w:pStyle w:val="Heading2"/>
      </w:pPr>
      <w:r>
        <w:t>Sinronitas</w:t>
      </w:r>
      <w:r/>
    </w:p>
    <w:p>
      <w:r/>
      <w:r>
        <w:t>Os sinronitas eram um grupo familiar que veio de Sinrom, que era um filho de Issacar (</w:t>
      </w:r>
      <w:hyperlink r:id="rId11546">
        <w:r>
          <w:rPr>
            <w:color w:val="0000EE"/>
            <w:u w:val="single"/>
          </w:rPr>
          <w:t>Nm 26.24</w:t>
        </w:r>
      </w:hyperlink>
      <w:r>
        <w:t>).</w:t>
      </w:r>
    </w:p>
    <w:p>
      <w:r/>
      <w:r>
        <w:rPr>
          <w:i/>
        </w:rPr>
        <w:t xml:space="preserve">Veja também </w:t>
      </w:r>
      <w:r>
        <w:t>Sinrom (Pessoa)</w:t>
      </w:r>
      <w:r>
        <w:t>.</w:t>
      </w:r>
      <w:r/>
      <w:r/>
    </w:p>
    <w:p>
      <w:r/>
    </w:p>
    <w:p>
      <w:pPr>
        <w:pStyle w:val="Heading2"/>
      </w:pPr>
      <w:r>
        <w:t>Siquém (Local)</w:t>
      </w:r>
      <w:r/>
    </w:p>
    <w:p>
      <w:r/>
      <w:r>
        <w:t>Cidade localizada no centro da Palestina ocidental, próxima à linha divisória que separa as águas que fluem para o Jordão daquelas que descem para o Mediterrâneo. O local está a 64,4 quilômetros ao norte de Jerusalém, na entrada leste da passagem entre o Monte Ebal e o Monte Gerizim. A antiga cidade situava-se na encosta sudeste inferior ou ombro do Monte Ebal, daí o significado do nome (Siquém = ombro). Samaria, que mais tarde se tornou a capital de Israel, estava a cerca de 12,9 quilômetros a noroeste. Embora estrategicamente localizada — a cidade controlava todas as estradas através da região montanhosa central da Palestina — não possuía defesas naturais e exigia extensas fortificações.</w:t>
      </w:r>
    </w:p>
    <w:p>
      <w:pPr>
        <w:pStyle w:val="Heading3"/>
      </w:pPr>
      <w:r>
        <w:t>Referências bíblicas</w:t>
      </w:r>
    </w:p>
    <w:p>
      <w:r/>
      <w:r>
        <w:t>Siquém é mencionado pela primeira vez na Bíblia como o local onde Abrão acampou inicialmente após entrar em Canaã vindo da Mesopotâmia. Lá, Deus prometeu a ele a terra de Canaã, e Abrão construiu seu primeiro altar na terra (</w:t>
      </w:r>
      <w:hyperlink r:id="rId9908">
        <w:r>
          <w:rPr>
            <w:color w:val="0000EE"/>
            <w:u w:val="single"/>
          </w:rPr>
          <w:t>Gn 12.6–7</w:t>
        </w:r>
      </w:hyperlink>
      <w:r>
        <w:t>). Após os 20 anos que Jacó passou no norte da Mesopotâmia em Padã-Arã, ele retornou a Siquém e comprou um pedaço de terra. Naquela época, o local já era uma cidade murada com um portão (</w:t>
      </w:r>
      <w:hyperlink r:id="rId19661">
        <w:r>
          <w:rPr>
            <w:color w:val="0000EE"/>
            <w:u w:val="single"/>
          </w:rPr>
          <w:t>34.20,24</w:t>
        </w:r>
      </w:hyperlink>
      <w:r>
        <w:t>). Após a desonra de sua irmã Diná, Simeão e Levi massacraram a população masculina de Siquém em vingança. Anos depois, quando a família patriarcal estava vivendo na área de Hebrom, José foi a Siquém procurar seus irmãos (</w:t>
      </w:r>
      <w:hyperlink r:id="rId19662">
        <w:r>
          <w:rPr>
            <w:color w:val="0000EE"/>
            <w:u w:val="single"/>
          </w:rPr>
          <w:t>37.12–14</w:t>
        </w:r>
      </w:hyperlink>
      <w:r>
        <w:t>).</w:t>
      </w:r>
    </w:p>
    <w:p>
      <w:r/>
      <w:r>
        <w:t>Após a Conquista, a cerimônia de bênção e maldição antifonal no Monte Gerizim e no Monte Ebal, respectivamente, foi realizada nas proximidades de Siquém (</w:t>
      </w:r>
      <w:hyperlink r:id="rId810">
        <w:r>
          <w:rPr>
            <w:color w:val="0000EE"/>
            <w:u w:val="single"/>
          </w:rPr>
          <w:t>Js 8.30–35</w:t>
        </w:r>
      </w:hyperlink>
      <w:r>
        <w:t>). Na divisão e assentamento da terra, Siquém tornou-se uma das cidades de refúgio (</w:t>
      </w:r>
      <w:hyperlink r:id="rId4873">
        <w:r>
          <w:rPr>
            <w:color w:val="0000EE"/>
            <w:u w:val="single"/>
          </w:rPr>
          <w:t>20.7</w:t>
        </w:r>
      </w:hyperlink>
      <w:r>
        <w:t xml:space="preserve">; </w:t>
      </w:r>
      <w:hyperlink r:id="rId19663">
        <w:r>
          <w:rPr>
            <w:color w:val="0000EE"/>
            <w:u w:val="single"/>
          </w:rPr>
          <w:t>21.21</w:t>
        </w:r>
      </w:hyperlink>
      <w:r>
        <w:t>) e uma das 48 cidades levíticas (</w:t>
      </w:r>
      <w:hyperlink r:id="rId19663">
        <w:r>
          <w:rPr>
            <w:color w:val="0000EE"/>
            <w:u w:val="single"/>
          </w:rPr>
          <w:t>21.21</w:t>
        </w:r>
      </w:hyperlink>
      <w:r>
        <w:t>). Lá, Josué fez seu discurso de despedida (</w:t>
      </w:r>
      <w:hyperlink r:id="rId19664">
        <w:r>
          <w:rPr>
            <w:color w:val="0000EE"/>
            <w:u w:val="single"/>
          </w:rPr>
          <w:t>24.1,25</w:t>
        </w:r>
      </w:hyperlink>
      <w:r>
        <w:t xml:space="preserve">), e os ossos de José foram enterrados na terra que Jacó havia comprado ali (v. </w:t>
      </w:r>
      <w:hyperlink r:id="rId7168">
        <w:r>
          <w:rPr>
            <w:color w:val="0000EE"/>
            <w:u w:val="single"/>
          </w:rPr>
          <w:t>32</w:t>
        </w:r>
      </w:hyperlink>
      <w:r>
        <w:t>).</w:t>
      </w:r>
    </w:p>
    <w:p>
      <w:r/>
      <w:r>
        <w:t>Durante os dias conturbados dos juízes, o filho de Gideão, Abimeleque, se estabeleceu como rei de Israel ali, inicialmente com o apoio dos habitantes. No entanto, uma revolta posterior contra ele resultou na destruição da cidade (</w:t>
      </w:r>
      <w:hyperlink r:id="rId19665">
        <w:r>
          <w:rPr>
            <w:color w:val="0000EE"/>
            <w:u w:val="single"/>
          </w:rPr>
          <w:t>Jz 9.1–7,23–57</w:t>
        </w:r>
      </w:hyperlink>
      <w:r>
        <w:t>). Roboão foi coroado ali pouco antes da divisão do reino (</w:t>
      </w:r>
      <w:hyperlink r:id="rId19666">
        <w:r>
          <w:rPr>
            <w:color w:val="0000EE"/>
            <w:u w:val="single"/>
          </w:rPr>
          <w:t>1Rs 12.1</w:t>
        </w:r>
      </w:hyperlink>
      <w:r>
        <w:t>), e Jeroboão, primeiro rei do reino do norte, reconstruiu a cidade e a fez a primeira capital do reino.</w:t>
      </w:r>
    </w:p>
    <w:p>
      <w:pPr>
        <w:pStyle w:val="Heading3"/>
      </w:pPr>
      <w:r>
        <w:t>História</w:t>
      </w:r>
    </w:p>
    <w:p>
      <w:r/>
      <w:r>
        <w:t>Escavações revelam que o assentamento mais antigo no local remonta ao quarto milênio a.C., mas o primeiro assentamento significativo ocorreu durante a primeira metade do segundo milênio e foi obra dos amoritas ou hicsos. Os hicsos cercaram a cidade com um imenso aterro inclinado de cerca de 24,4 metros de largura e 6,1 metros de altura, sobre o qual construíram uma muralha de tijolos. Havia um portão com duas entradas no lado leste e um portão com três entradas no lado noroeste. Na acrópole, eles construíram o que foi interpretado como um templo fortaleza, que foi reconstruído várias vezes e finalmente destruído pelos egípcios por volta de 1550 a.C.</w:t>
      </w:r>
    </w:p>
    <w:p>
      <w:r/>
      <w:r>
        <w:t>Cerca de um século depois, os cananeus reconstruíram Siquém em uma escala menor. Um novo templo fortaleza foi construído sobre as ruínas do antigo, medindo 16,2 metros de largura e 12,5 metros de profundidade, com uma entrada no lado mais longo. Tinha três pedras sagradas ao lado de um altar no pátio aberto. Acredita-se que este templo seja a casa de Baal-Berite destruída por Abimeleque por volta de 1150 a.C. (</w:t>
      </w:r>
      <w:hyperlink r:id="rId19667">
        <w:r>
          <w:rPr>
            <w:color w:val="0000EE"/>
            <w:u w:val="single"/>
          </w:rPr>
          <w:t>Jz 9.3–4,46</w:t>
        </w:r>
      </w:hyperlink>
      <w:r>
        <w:t>), e sua área sagrada nunca foi reconstruída. Antes disso, no entanto, não há evidência arqueológica de destruição por cerca de 300 anos, confirmando a indicação bíblica de que os hebreus não tomaram a cidade na época da Conquista e que os habitantes viviam pacificamente entre os hebreus.</w:t>
      </w:r>
    </w:p>
    <w:p>
      <w:r/>
      <w:r>
        <w:t>É evidente que Salomão reconstruiu Siquém como uma capital provincial, mas ela sofreu grande destruição no final do século 10 a.C., provavelmente pelas mãos de Sisaque do Egito quando ele invadiu a Palestina em 926 a.C. (</w:t>
      </w:r>
      <w:hyperlink r:id="rId17962">
        <w:r>
          <w:rPr>
            <w:color w:val="0000EE"/>
            <w:u w:val="single"/>
          </w:rPr>
          <w:t>1Rs 14.25</w:t>
        </w:r>
      </w:hyperlink>
      <w:r>
        <w:t>). Logo depois, Jeroboão I reforçou a cidade e a tornou a capital do reino de Israel. Ele ou um sucessor construiu um armazém governamental sobre as ruínas do templo. A Siquém israelita encontrou seu fim nas mãos do rei assírio Salmaneser V em 724 a.C., pouco antes da destruição de Samaria, e a cidade ficou praticamente desabitada por cerca de 400 anos.</w:t>
      </w:r>
    </w:p>
    <w:p>
      <w:r/>
      <w:r>
        <w:t>No século IV, Alexandre, o Grande, estabeleceu um acampamento no local para seus soldados, e posteriormente os samaritanos se mudaram de Samaria e se estabeleceram lá. Eles construíram seu templo no Monte Gerizim. João Hircano provavelmente destruiu Siquém pela última vez em 128 a.C. Sua violenta oposição aos samaritanos envolveu a destruição do templo deles no Monte Gerizim e de Samaria ao mesmo tempo.</w:t>
      </w:r>
      <w:r/>
      <w:r/>
    </w:p>
    <w:p>
      <w:r/>
    </w:p>
    <w:p>
      <w:pPr>
        <w:pStyle w:val="Heading2"/>
      </w:pPr>
      <w:r>
        <w:t>Siquém (Pessoa)</w:t>
      </w:r>
      <w:r/>
    </w:p>
    <w:p>
      <w:r/>
      <w:r>
        <w:t>1. Filho de Hamor, o heveu. Ele estuprou Diná, a filha de Jacó, e foi posteriormente morto junto com seu pai e todos os homens de sua cidade por Simeão e Levi (</w:t>
      </w:r>
      <w:hyperlink r:id="rId13269">
        <w:r>
          <w:rPr>
            <w:color w:val="0000EE"/>
            <w:u w:val="single"/>
          </w:rPr>
          <w:t>Gn 34</w:t>
        </w:r>
      </w:hyperlink>
      <w:r>
        <w:t xml:space="preserve">; </w:t>
      </w:r>
      <w:hyperlink r:id="rId7168">
        <w:r>
          <w:rPr>
            <w:color w:val="0000EE"/>
            <w:u w:val="single"/>
          </w:rPr>
          <w:t>Js 24.32</w:t>
        </w:r>
      </w:hyperlink>
      <w:r>
        <w:t>);</w:t>
      </w:r>
    </w:p>
    <w:p>
      <w:r/>
      <w:r>
        <w:t>2. Um dos seis filhos de Gileade, descendente de José pela linha de Manassés, e fundador da família Siquemita (</w:t>
      </w:r>
      <w:hyperlink r:id="rId2760">
        <w:r>
          <w:rPr>
            <w:color w:val="0000EE"/>
            <w:u w:val="single"/>
          </w:rPr>
          <w:t>Nm 26.31</w:t>
        </w:r>
      </w:hyperlink>
      <w:r>
        <w:t xml:space="preserve">; </w:t>
      </w:r>
      <w:hyperlink r:id="rId2761">
        <w:r>
          <w:rPr>
            <w:color w:val="0000EE"/>
            <w:u w:val="single"/>
          </w:rPr>
          <w:t>Js 17.2</w:t>
        </w:r>
      </w:hyperlink>
      <w:r>
        <w:t>);</w:t>
      </w:r>
    </w:p>
    <w:p>
      <w:r/>
      <w:r>
        <w:t>3. Um dos quatro filhos de Semida da tribo de Manassés (</w:t>
      </w:r>
      <w:hyperlink r:id="rId19347">
        <w:r>
          <w:rPr>
            <w:color w:val="0000EE"/>
            <w:u w:val="single"/>
          </w:rPr>
          <w:t>1Cr 7.19</w:t>
        </w:r>
      </w:hyperlink>
      <w:r>
        <w:t>).</w:t>
      </w:r>
      <w:r/>
      <w:r/>
    </w:p>
    <w:p>
      <w:r/>
    </w:p>
    <w:p>
      <w:pPr>
        <w:pStyle w:val="Heading2"/>
      </w:pPr>
      <w:r>
        <w:t>Siquemita</w:t>
      </w:r>
      <w:r/>
    </w:p>
    <w:p>
      <w:r/>
      <w:r>
        <w:t>Qualquer descendente de Siquém, que era filho de Gileade da tribo de Manassés (</w:t>
      </w:r>
      <w:hyperlink r:id="rId2760">
        <w:r>
          <w:rPr>
            <w:color w:val="0000EE"/>
            <w:u w:val="single"/>
          </w:rPr>
          <w:t>Nm 26.31</w:t>
        </w:r>
      </w:hyperlink>
      <w:r>
        <w:t>).</w:t>
      </w:r>
    </w:p>
    <w:p>
      <w:r/>
      <w:r>
        <w:rPr>
          <w:i/>
        </w:rPr>
        <w:t>Veja também</w:t>
      </w:r>
      <w:r>
        <w:t xml:space="preserve"> </w:t>
      </w:r>
      <w:r>
        <w:t>Siquém (Pessoa) #2</w:t>
      </w:r>
      <w:r>
        <w:t>.</w:t>
      </w:r>
      <w:r/>
      <w:r/>
    </w:p>
    <w:p>
      <w:r/>
    </w:p>
    <w:p>
      <w:pPr>
        <w:pStyle w:val="Heading2"/>
      </w:pPr>
      <w:r>
        <w:t>Siracusa</w:t>
      </w:r>
      <w:r/>
    </w:p>
    <w:p>
      <w:r/>
      <w:r>
        <w:t>Cidade na costa leste da Sicília e a cidade mais importante da ilha. Aqui, o navio de Paulo, no qual ele viajou para Roma como prisioneiro, fez uma parada de três dias após seu naufrágio e uma estadia de três meses em Malta (</w:t>
      </w:r>
      <w:hyperlink r:id="rId19668">
        <w:r>
          <w:rPr>
            <w:color w:val="0000EE"/>
            <w:u w:val="single"/>
          </w:rPr>
          <w:t>At 28.12</w:t>
        </w:r>
      </w:hyperlink>
      <w:r>
        <w:t>). Siracusa tinha um excelente porto e era uma escala natural para um navio que navegava de Malta através do estreito de Messina entre a Sicília e a Itália a caminho de Roma.</w:t>
      </w:r>
    </w:p>
    <w:p>
      <w:r/>
      <w:r>
        <w:t xml:space="preserve">No século VIII a.C., Siracusa tornou-se uma colônia grega, fundada por Arquias de Corinto. Durante o século V, cresceu em grande poder e influência, sendo superada apenas por Cartago como a cidade mais proeminente do Mediterrâneo ocidental. Desempenhou um papel significativo na luta entre Roma e Cartago no século III e foi capturada por Roma em 212 a.C. César Augusto estabeleceu Siracusa em 21 a.C., tornando-a uma colônia romana (cf. Filipos). Não é mencionado em </w:t>
      </w:r>
      <w:hyperlink r:id="rId19669">
        <w:r>
          <w:rPr>
            <w:color w:val="0000EE"/>
            <w:u w:val="single"/>
          </w:rPr>
          <w:t>Atos 28</w:t>
        </w:r>
      </w:hyperlink>
      <w:r>
        <w:t xml:space="preserve"> que Paulo encontrou cristãos lá, mas evidências posteriores de suas catacumbas indicam a existência de uma igreja.</w:t>
      </w:r>
      <w:r/>
      <w:r/>
    </w:p>
    <w:p>
      <w:r/>
    </w:p>
    <w:p>
      <w:pPr>
        <w:pStyle w:val="Heading2"/>
      </w:pPr>
      <w:r>
        <w:t>Síria, Sírios</w:t>
      </w:r>
      <w:r/>
    </w:p>
    <w:p>
      <w:r/>
      <w:r>
        <w:t>Termos usados na Septuaginta e em algumas traduções em português para traduzir os nomes Arã e arameus.</w:t>
      </w:r>
    </w:p>
    <w:p>
      <w:pPr>
        <w:pStyle w:val="Heading3"/>
      </w:pPr>
      <w:r>
        <w:t>História dos arameus</w:t>
      </w:r>
    </w:p>
    <w:p>
      <w:r/>
      <w:r>
        <w:t xml:space="preserve">De acordo com a “tabela das nações” em </w:t>
      </w:r>
      <w:hyperlink r:id="rId2310">
        <w:r>
          <w:rPr>
            <w:color w:val="0000EE"/>
            <w:u w:val="single"/>
          </w:rPr>
          <w:t>Gênesis 10.22–23</w:t>
        </w:r>
      </w:hyperlink>
      <w:r>
        <w:t xml:space="preserve">, os arameus eram um grupo semítico, descendentes de Sem. Outra genealogia em </w:t>
      </w:r>
      <w:hyperlink r:id="rId19670">
        <w:r>
          <w:rPr>
            <w:color w:val="0000EE"/>
            <w:u w:val="single"/>
          </w:rPr>
          <w:t>Gênesis 22.20–21</w:t>
        </w:r>
      </w:hyperlink>
      <w:r>
        <w:t xml:space="preserve"> faz de Arã um descendente de Naor. De acordo com </w:t>
      </w:r>
      <w:hyperlink r:id="rId1278">
        <w:r>
          <w:rPr>
            <w:color w:val="0000EE"/>
            <w:u w:val="single"/>
          </w:rPr>
          <w:t>Amós 9.7</w:t>
        </w:r>
      </w:hyperlink>
      <w:r>
        <w:t xml:space="preserve">, os arameus (sírios) vieram de Quir, que está ligado a Elão em </w:t>
      </w:r>
      <w:hyperlink r:id="rId19671">
        <w:r>
          <w:rPr>
            <w:color w:val="0000EE"/>
            <w:u w:val="single"/>
          </w:rPr>
          <w:t>Isaías 22.6</w:t>
        </w:r>
      </w:hyperlink>
      <w:r>
        <w:t>. O exílio dos arameus em Quir (</w:t>
      </w:r>
      <w:hyperlink r:id="rId1279">
        <w:r>
          <w:rPr>
            <w:color w:val="0000EE"/>
            <w:u w:val="single"/>
          </w:rPr>
          <w:t>2Rs 16.9</w:t>
        </w:r>
      </w:hyperlink>
      <w:r>
        <w:t xml:space="preserve">; </w:t>
      </w:r>
      <w:hyperlink r:id="rId10503">
        <w:r>
          <w:rPr>
            <w:color w:val="0000EE"/>
            <w:u w:val="single"/>
          </w:rPr>
          <w:t>Am 1.5</w:t>
        </w:r>
      </w:hyperlink>
      <w:r>
        <w:t>) pode sugerir que eles deveriam voltar para sua terra natal. As origens precisas deste grupo de pessoas estão, no entanto, perdidas na antiguidade. Quando eles emergiram claramente na história, estavam estabelecidos ao redor do Eufrates central, de onde se espalharam para o leste, oeste e norte.</w:t>
      </w:r>
    </w:p>
    <w:p>
      <w:r/>
      <w:r>
        <w:t>Pensava-se que os arameus estivessem tradicionalmente estabelecidos na parte superior da Mesopotâmia na primeira parte do segundo milênio a.C. Betuel e Labão eram conhecidos como arameus (</w:t>
      </w:r>
      <w:hyperlink r:id="rId3514">
        <w:r>
          <w:rPr>
            <w:color w:val="0000EE"/>
            <w:u w:val="single"/>
          </w:rPr>
          <w:t>Gn 25.20</w:t>
        </w:r>
      </w:hyperlink>
      <w:r>
        <w:t xml:space="preserve">; </w:t>
      </w:r>
      <w:hyperlink r:id="rId19672">
        <w:r>
          <w:rPr>
            <w:color w:val="0000EE"/>
            <w:u w:val="single"/>
          </w:rPr>
          <w:t>28.1–7</w:t>
        </w:r>
      </w:hyperlink>
      <w:r>
        <w:t>); a casa de Betuel estava em Padã-Arã (</w:t>
      </w:r>
      <w:hyperlink r:id="rId3514">
        <w:r>
          <w:rPr>
            <w:color w:val="0000EE"/>
            <w:u w:val="single"/>
          </w:rPr>
          <w:t>25.20</w:t>
        </w:r>
      </w:hyperlink>
      <w:r>
        <w:t>). O profeta Oseias lembra a tradição observando que Jacó fugiu para “o campo de Arã” (</w:t>
      </w:r>
      <w:hyperlink r:id="rId16108">
        <w:r>
          <w:rPr>
            <w:color w:val="0000EE"/>
            <w:u w:val="single"/>
          </w:rPr>
          <w:t>Os 12.12</w:t>
        </w:r>
      </w:hyperlink>
      <w:r>
        <w:t xml:space="preserve">) ou “Arã-Naaraim” (Arã dos dois rios), que era a parte norte da Mesopotâmia entre os rios Eufrates e o Tigre. Na confissão do credo em </w:t>
      </w:r>
      <w:hyperlink r:id="rId14996">
        <w:r>
          <w:rPr>
            <w:color w:val="0000EE"/>
            <w:u w:val="single"/>
          </w:rPr>
          <w:t>Deuteronômio 26.5</w:t>
        </w:r>
      </w:hyperlink>
      <w:r>
        <w:t>, o israelita que trazia suas primícias confessava: “Meu pai [provavelmente Jacó] era um arameu errante”.</w:t>
      </w:r>
    </w:p>
    <w:p>
      <w:r/>
      <w:r>
        <w:t>Provavelmente a melhor evidência inicial de uma presença arameia nesta área vem de Tiglate-Pileser I. Em seus registros do seu quarto ano (1112 a.C.), ele fala de uma campanha entre os “Akhlama, arameus” na área do Eufrates Médio e o saque de seis aldeias arameias na área do Monte Bishri.</w:t>
      </w:r>
    </w:p>
    <w:p>
      <w:r/>
      <w:r>
        <w:t>Os arameus da parte superior da Mesopotâmia se tornaram importantes na história bíblica. Eles estabeleceram vários estados arameus separados, dois dos quais eram muito importantes para o povo de Israel — Arã-Zobá nos dias de Davi, e Arã-Damasco dos dias de Salomão em diante.</w:t>
      </w:r>
    </w:p>
    <w:p>
      <w:r/>
      <w:r>
        <w:t>Por volta de 1100 a.C., as tribos arameias haviam se espalhado por toda a Síria e haviam se expandido para o norte da Transjordânia, onde entraram em conflito com os israelitas. No auge de seu poder, Hadadezer, rei de Arã-Zobá, dominava vários vassalos, como Damasco, Maacá e Tobe. Ele foi eventualmente derrotado pelo rei Davi (</w:t>
      </w:r>
      <w:hyperlink r:id="rId19673">
        <w:r>
          <w:rPr>
            <w:color w:val="0000EE"/>
            <w:u w:val="single"/>
          </w:rPr>
          <w:t>2Sm 8.3–4</w:t>
        </w:r>
      </w:hyperlink>
      <w:r>
        <w:t xml:space="preserve">; </w:t>
      </w:r>
      <w:hyperlink r:id="rId19674">
        <w:r>
          <w:rPr>
            <w:color w:val="0000EE"/>
            <w:u w:val="single"/>
          </w:rPr>
          <w:t>10.17–19</w:t>
        </w:r>
      </w:hyperlink>
      <w:r>
        <w:t>).</w:t>
      </w:r>
    </w:p>
    <w:p>
      <w:r/>
      <w:r>
        <w:t>Os eventos em Israel e Judá tiveram algum impacto sobre Damasco. Após a morte de Salomão, quando o antigo reino unificado se tornou dividido em Judá e Israel, surgiram tensões entre os dois pequenos estados. A guerra eclodiu entre Baasa de Israel e Asa de Judá nos anos 890–880 a.C. Asa buscou ajuda de Ben-Hadade I de Damasco (</w:t>
      </w:r>
      <w:hyperlink r:id="rId14531">
        <w:r>
          <w:rPr>
            <w:color w:val="0000EE"/>
            <w:u w:val="single"/>
          </w:rPr>
          <w:t>1Rs 15.18</w:t>
        </w:r>
      </w:hyperlink>
      <w:r>
        <w:t>). As terras na Transjordânia mudaram de mãos várias vezes. Os sucessores de Onri de Israel — Acazias, Jorão, Jeú, Joacaz e Joás — tiveram muitos conflitos com Damasco. Acabe lutou contra Ben-Hadade e seus 32 aliados que sitiaram Samaria (</w:t>
      </w:r>
      <w:hyperlink r:id="rId19675">
        <w:r>
          <w:rPr>
            <w:color w:val="0000EE"/>
            <w:u w:val="single"/>
          </w:rPr>
          <w:t>20.1</w:t>
        </w:r>
      </w:hyperlink>
      <w:r>
        <w:t>), mas Israel o derrotou. Uma segunda vez, Ben-Hadade entrou em território israelita e chegou a Afeque (</w:t>
      </w:r>
      <w:hyperlink r:id="rId19676">
        <w:r>
          <w:rPr>
            <w:color w:val="0000EE"/>
            <w:u w:val="single"/>
          </w:rPr>
          <w:t>20.26</w:t>
        </w:r>
      </w:hyperlink>
      <w:r>
        <w:t>), mas ele foi novamente derrotado e capturado. Como consequência de sua derrota e pelo preço de sua libertação, ele foi obrigado a disponibilizar bazares em Damasco para o comércio israelita. Após três anos de paz entre Israel e Damasco, as hostilidades eclodiram novamente e resultaram em uma batalha na região de Ramote-Gileade, na qual Acabe foi morto (</w:t>
      </w:r>
      <w:hyperlink r:id="rId19677">
        <w:r>
          <w:rPr>
            <w:color w:val="0000EE"/>
            <w:u w:val="single"/>
          </w:rPr>
          <w:t>22.29–37</w:t>
        </w:r>
      </w:hyperlink>
      <w:r>
        <w:t>). Arã-damasco foi eventualmente derrotado pelo rei Joás de Israel (</w:t>
      </w:r>
      <w:hyperlink r:id="rId1266">
        <w:r>
          <w:rPr>
            <w:color w:val="0000EE"/>
            <w:u w:val="single"/>
          </w:rPr>
          <w:t>2Rs 13.25</w:t>
        </w:r>
      </w:hyperlink>
      <w:r>
        <w:t>).</w:t>
      </w:r>
    </w:p>
    <w:p>
      <w:pPr>
        <w:pStyle w:val="Heading3"/>
      </w:pPr>
      <w:r>
        <w:t>Síria após o Colapso dos Reinos Arameus</w:t>
      </w:r>
    </w:p>
    <w:p>
      <w:r/>
      <w:r>
        <w:t>Após o colapso de Arã-damasco em 733–732 a.C., o caráter político de toda a região mudou. Ao longo dos séculos seguintes e até os tempos cristãos, a região passou sob o controle de vários grandes potências, e nenhum estado arameu independente sobreviveu. Quando a Assíria entrou em colapso em 612–609 a.C., a região ficou sob controle babilônico, mas apenas por um período pequeno. Com a ascensão de Ciro, o persa, a região síria foi rapidamente invadida pelos exércitos persas. Palestina, Ásia Menor e o Egito foram incorporados ao Império Persa ao mesmo tempo.</w:t>
      </w:r>
    </w:p>
    <w:p>
      <w:r/>
      <w:r>
        <w:t>A próxima mudança política significativa que afetou a região veio com a aparição de Filipe da Macedônia em 360 a.C. Seu filho Alexandre, o Grande (336–323 a.C.) consolidou o poder grego em toda a Ásia ocidental e até as fronteiras da Índia. Em sua morte em 323 a.C., aos 33 anos, o controle da Ásia ocidental passou para os generais de Alexandre. O general Seleuco I (312–280 a.C.) controlava a metade sul da Ásia Menor, a região da Síria, a Mesopotâmia e se estendia até as fronteiras da Índia. A Síria caiu assim sob a influência dos governantes helenistas, os selêucidas, que fundaram uma nova capital em Antioquia.</w:t>
      </w:r>
    </w:p>
    <w:p>
      <w:r/>
      <w:r>
        <w:t>Mais a oeste, Roma estava subindo ao poder e lançou seus olhos para o leste. Foi o General Pompeu que superou Mitrídates, o jovem rei de Ponto, e avançou para esmagar os remanescentes do reino dos selêucidas. As partes ocidentais da Síria foram formadas em uma província romana em 64 a.C. Pompeu finalmente se mudou para a Palestina, que ficou sob controle romano em 63 a.C.</w:t>
      </w:r>
    </w:p>
    <w:p>
      <w:r/>
      <w:r>
        <w:t>A província romana da Síria incluía Cilícia, uma faixa de território no canto sudeste da Ásia Menor. A fronteira norte chegava ao rio Eufrates. A fronteira então se curvava para o sul, bem a leste de Damasco, e depois virava para o oeste, aproximadamente na metade do percurso ao longo do Mar Morto, continuando para o oeste até o Mar Mediterrâneo. A Síria era limitada a oeste pelo Mediterrâneo até o Golfo de Alexandreta, onde a fronteira virava para o oeste. A província da Síria e Cilícia (</w:t>
      </w:r>
      <w:hyperlink r:id="rId5343">
        <w:r>
          <w:rPr>
            <w:color w:val="0000EE"/>
            <w:u w:val="single"/>
          </w:rPr>
          <w:t>Atos 15.23,41</w:t>
        </w:r>
      </w:hyperlink>
      <w:r>
        <w:t xml:space="preserve">; </w:t>
      </w:r>
      <w:hyperlink r:id="rId4335">
        <w:r>
          <w:rPr>
            <w:color w:val="0000EE"/>
            <w:u w:val="single"/>
          </w:rPr>
          <w:t>Gl 1.21</w:t>
        </w:r>
      </w:hyperlink>
      <w:r>
        <w:t>) era governada por um representante imperial (</w:t>
      </w:r>
      <w:r>
        <w:rPr>
          <w:i/>
        </w:rPr>
        <w:t>legatis</w:t>
      </w:r>
      <w:r>
        <w:t>) que comandava uma força poderosa de tropas legionárias. Um desses governadores, Quirino, governava a Síria na época do censo de César Augusto; este censo trouxe José e Maria a Belém para o nascimento de Jesus (</w:t>
      </w:r>
      <w:hyperlink r:id="rId4711">
        <w:r>
          <w:rPr>
            <w:color w:val="0000EE"/>
            <w:u w:val="single"/>
          </w:rPr>
          <w:t>Lc 2.2</w:t>
        </w:r>
      </w:hyperlink>
      <w:r>
        <w:t>).</w:t>
      </w:r>
    </w:p>
    <w:p>
      <w:r/>
      <w:r>
        <w:t>Nos séculos seguintes, a população de Damasco foi cristianizada, e o cristianismo se espalhou por toda a província romana da Síria, dando origem à Antiga Igreja Síria, que permanece até hoje. Deixou um legado notável de literatura cristã escrita em siríaco (aramaico). A antiga língua aramaica permaneceu, embora um alfabeto modificado tenha sido usado para escrevê-lo.</w:t>
      </w:r>
    </w:p>
    <w:p>
      <w:r/>
      <w:r>
        <w:t>Foi a ascensão do Islã no sétimo século d.C. que trouxe um enfraquecimento considerável da igreja síria, embora nunca tenha sido completamente destruída. Comunidades dispersas de pessoas de língua aramaica ainda sobrevivem em partes da Síria, e numerosos vestígios de igrejas cristãs foram revelados como resultado do trabalho arqueológico moderno.</w:t>
      </w:r>
    </w:p>
    <w:p>
      <w:pPr>
        <w:pStyle w:val="Heading3"/>
      </w:pPr>
      <w:r>
        <w:t>Língua e Cultura</w:t>
      </w:r>
    </w:p>
    <w:p>
      <w:r/>
      <w:r>
        <w:t xml:space="preserve">O aramaico era a língua dos arameus, da qual diversas inscrições foram descobertas. O alfabeto aramaico foi adaptado para uso pelos israelitas, e a língua tornou-se a língua internacional para diplomacia e administração em todo o Oriente Médio. Era a </w:t>
      </w:r>
      <w:r>
        <w:rPr>
          <w:i/>
        </w:rPr>
        <w:t>língua franca</w:t>
      </w:r>
      <w:r>
        <w:t xml:space="preserve"> do período persa, do Egito à Índia e era amplamente falada na Palestina nos dias de Jesus. As palavras “</w:t>
      </w:r>
      <w:r>
        <w:rPr>
          <w:i/>
        </w:rPr>
        <w:t>talitha cumi</w:t>
      </w:r>
      <w:r>
        <w:t>” (</w:t>
      </w:r>
      <w:hyperlink r:id="rId19678">
        <w:r>
          <w:rPr>
            <w:color w:val="0000EE"/>
            <w:u w:val="single"/>
          </w:rPr>
          <w:t>Mc 5.41</w:t>
        </w:r>
      </w:hyperlink>
      <w:r>
        <w:t>) e “</w:t>
      </w:r>
      <w:r>
        <w:rPr>
          <w:i/>
        </w:rPr>
        <w:t>marana tha</w:t>
      </w:r>
      <w:r>
        <w:t>” (</w:t>
      </w:r>
      <w:hyperlink r:id="rId1189">
        <w:r>
          <w:rPr>
            <w:color w:val="0000EE"/>
            <w:u w:val="single"/>
          </w:rPr>
          <w:t>1Co 16.22</w:t>
        </w:r>
      </w:hyperlink>
      <w:r>
        <w:t>) são aramaicas.</w:t>
      </w:r>
    </w:p>
    <w:p>
      <w:r/>
      <w:r>
        <w:t>Escavações em vários locais forneceram uma boa ideia da arquitetura, escultura, cerâmica e outras artes arameias. A religião dos arameus era politeísta. As pessoas adotaram muitas divindades estrangeiras também. A principal divindade arameia era o antigo deus semítico ocidental da tempestade Hadade. Nos dias de Acaz de Judá, o culto de Damasco foi imposto ao povo de Jerusalém quando um altar baseado em um modelo de Damasco foi colocado no templo (</w:t>
      </w:r>
      <w:hyperlink r:id="rId19679">
        <w:r>
          <w:rPr>
            <w:color w:val="0000EE"/>
            <w:u w:val="single"/>
          </w:rPr>
          <w:t>2Rs 16.10–13</w:t>
        </w:r>
      </w:hyperlink>
      <w:r>
        <w:t>). Os arameus exilados para Samaria pelo governante Assírio Sargão trouxe cultos arameus com eles (</w:t>
      </w:r>
      <w:hyperlink r:id="rId19680">
        <w:r>
          <w:rPr>
            <w:color w:val="0000EE"/>
            <w:u w:val="single"/>
          </w:rPr>
          <w:t>17.24–34</w:t>
        </w:r>
      </w:hyperlink>
      <w:r>
        <w:t>).</w:t>
      </w:r>
    </w:p>
    <w:p>
      <w:r/>
      <w:r>
        <w:t>Ao longo dos séculos que se seguiram ao desaparecimento dos estados arameus, a língua aramaica sobreviveu. A forma cristã de aramaico, siríaco, deixou para trás um vasto legado de literatura, histórias, teologias, comentários, tratados e traduções, que foram cautelosamente preservados nas antigas bibliotecas monásticas, especialmente no norte da Síria, no norte do Iraque e no sul da Turquia.</w:t>
      </w:r>
    </w:p>
    <w:p>
      <w:r/>
      <w:r>
        <w:rPr>
          <w:i/>
        </w:rPr>
        <w:t>Veja também</w:t>
      </w:r>
      <w:r>
        <w:t xml:space="preserve"> </w:t>
      </w:r>
      <w:r>
        <w:t>Aramaico</w:t>
      </w:r>
      <w:r>
        <w:t>.</w:t>
      </w:r>
      <w:r/>
      <w:r/>
    </w:p>
    <w:p>
      <w:r/>
    </w:p>
    <w:p>
      <w:pPr>
        <w:pStyle w:val="Heading2"/>
      </w:pPr>
      <w:r>
        <w:t>Siriom</w:t>
      </w:r>
      <w:r/>
    </w:p>
    <w:p>
      <w:r/>
      <w:r>
        <w:t>Nome sidônio para o Monte Hermon (</w:t>
      </w:r>
      <w:hyperlink r:id="rId1981">
        <w:r>
          <w:rPr>
            <w:color w:val="0000EE"/>
            <w:u w:val="single"/>
          </w:rPr>
          <w:t>Dt 3.9</w:t>
        </w:r>
      </w:hyperlink>
      <w:r>
        <w:t xml:space="preserve">; </w:t>
      </w:r>
      <w:hyperlink r:id="rId1982">
        <w:r>
          <w:rPr>
            <w:color w:val="0000EE"/>
            <w:u w:val="single"/>
          </w:rPr>
          <w:t>4.48</w:t>
        </w:r>
      </w:hyperlink>
      <w:r>
        <w:t xml:space="preserve">; </w:t>
      </w:r>
      <w:hyperlink r:id="rId1888">
        <w:r>
          <w:rPr>
            <w:color w:val="0000EE"/>
            <w:u w:val="single"/>
          </w:rPr>
          <w:t>Sl 29.6</w:t>
        </w:r>
      </w:hyperlink>
      <w:r>
        <w:t xml:space="preserve">; </w:t>
      </w:r>
      <w:hyperlink r:id="rId12959">
        <w:r>
          <w:rPr>
            <w:color w:val="0000EE"/>
            <w:u w:val="single"/>
          </w:rPr>
          <w:t>Jr 18.14</w:t>
        </w:r>
      </w:hyperlink>
      <w:r>
        <w:t xml:space="preserve">). </w:t>
      </w:r>
      <w:r>
        <w:rPr>
          <w:i/>
        </w:rPr>
        <w:t>Veja</w:t>
      </w:r>
      <w:r>
        <w:t xml:space="preserve"> </w:t>
      </w:r>
      <w:r>
        <w:t>Hermon, Monte</w:t>
      </w:r>
      <w:r>
        <w:t>.</w:t>
      </w:r>
      <w:r/>
      <w:r/>
    </w:p>
    <w:p>
      <w:r/>
    </w:p>
    <w:p>
      <w:pPr>
        <w:pStyle w:val="Heading2"/>
      </w:pPr>
      <w:r>
        <w:t>Siro-Fenícia*</w:t>
      </w:r>
      <w:r/>
    </w:p>
    <w:p>
      <w:r/>
      <w:r>
        <w:t>A pátria da mulher grega que se aproximou de Jesus na região de Tiro e Sidom e implorou a ele para expulsar um demônio de sua filha (</w:t>
      </w:r>
      <w:hyperlink r:id="rId10206">
        <w:r>
          <w:rPr>
            <w:color w:val="0000EE"/>
            <w:u w:val="single"/>
          </w:rPr>
          <w:t>Mc 7.26</w:t>
        </w:r>
      </w:hyperlink>
      <w:r>
        <w:t>). A região da Fenícia estava localizada na província romana da Síria. Talvez a designação de siro-fenícia tenha sido usada para não confundir o país desta mulher com a Fenícia do norte da África chamada Libefenícia. Em uma passagem paralela, esta mulher é identificada como uma cananeia, um nome pelo qual os fenícios se chamavam (</w:t>
      </w:r>
      <w:hyperlink r:id="rId19681">
        <w:r>
          <w:rPr>
            <w:color w:val="0000EE"/>
            <w:u w:val="single"/>
          </w:rPr>
          <w:t>Mt 15.22</w:t>
        </w:r>
      </w:hyperlink>
      <w:r>
        <w:t>).</w:t>
      </w:r>
      <w:r/>
      <w:r/>
    </w:p>
    <w:p>
      <w:r/>
    </w:p>
    <w:p>
      <w:pPr>
        <w:pStyle w:val="Heading2"/>
      </w:pPr>
      <w:r>
        <w:t>Sirte</w:t>
      </w:r>
      <w:r/>
    </w:p>
    <w:p>
      <w:r/>
      <w:r>
        <w:t>Sirte era o nome de dois corpos d'água na costa norte da África que os antigos marinheiros temiam. As pessoas chamavam o maior de Sirte Maior e o menor de Sirte Menor. Paulo e seus companheiros de navio estavam em perigo de derivar em direção a Sirte Maior depois de deixarem a ilha de Creta em sua viagem para Roma. Um poderoso vento nordeste tinha soprado em seu caminho, ameaçando empurrar seu navio para sudoeste através do Mar Mediterrâneo em direção a Sirte Maior (</w:t>
      </w:r>
      <w:hyperlink r:id="rId19682">
        <w:r>
          <w:rPr>
            <w:color w:val="0000EE"/>
            <w:u w:val="single"/>
          </w:rPr>
          <w:t>At 27.17</w:t>
        </w:r>
      </w:hyperlink>
      <w:r>
        <w:t>).</w:t>
      </w:r>
    </w:p>
    <w:p>
      <w:r/>
      <w:r>
        <w:t>Atualmente, as pessoas chamam Sirte Maior de Golfo de Sidra. Ele corta a costa da Líbia e se estende por aproximadamente 443 quilômetros da cidade de Misratah até a cidade de Benghazi. Atualmente, as pessoas chamam Sirte Menor de Golfo de Gabes. Ele corta a costa leste da Tunísia. Os marinheiros temiam esses corpos d'água porque seus bancos de areia mudavam rapidamente. Isso criava áreas rasas imprevisíveis (chamadas de baixios) e marés e correntes perigosas.</w:t>
      </w:r>
      <w:r/>
      <w:r/>
    </w:p>
    <w:p>
      <w:r/>
    </w:p>
    <w:p>
      <w:pPr>
        <w:pStyle w:val="Heading2"/>
      </w:pPr>
      <w:r>
        <w:t>Sísera</w:t>
      </w:r>
      <w:r/>
    </w:p>
    <w:p>
      <w:r/>
      <w:r>
        <w:t>1. Comandante do exército de Jabim, rei de Canaã. Sísera residia em Harosete-Hagojim, de onde atacou o norte de Israel por 20 anos. Seu exército, fortalecido por 900 carros de ferro, foi derrotado no rio transbordante de Quisom, perto de Megido, sob a liderança de Baraque e Débora. Tendo fugido do campo de batalha, Sísera foi morto pela mão de Jael, esposa de Héber, o queneu, na região montanhosa com vista para o Vale do Jordão (</w:t>
      </w:r>
      <w:hyperlink r:id="rId2724">
        <w:r>
          <w:rPr>
            <w:color w:val="0000EE"/>
            <w:u w:val="single"/>
          </w:rPr>
          <w:t>Jz 4</w:t>
        </w:r>
      </w:hyperlink>
      <w:r>
        <w:t xml:space="preserve">; </w:t>
      </w:r>
      <w:hyperlink r:id="rId15222">
        <w:r>
          <w:rPr>
            <w:color w:val="0000EE"/>
            <w:u w:val="single"/>
          </w:rPr>
          <w:t>1Sm 12.9</w:t>
        </w:r>
      </w:hyperlink>
      <w:r>
        <w:t>). Os eventos desta batalha foram lembrados no Cântico de Débora (</w:t>
      </w:r>
      <w:hyperlink r:id="rId19683">
        <w:r>
          <w:rPr>
            <w:color w:val="0000EE"/>
            <w:u w:val="single"/>
          </w:rPr>
          <w:t>Jz 5.19–30</w:t>
        </w:r>
      </w:hyperlink>
      <w:r>
        <w:t xml:space="preserve">) e </w:t>
      </w:r>
      <w:hyperlink r:id="rId11472">
        <w:r>
          <w:rPr>
            <w:color w:val="0000EE"/>
            <w:u w:val="single"/>
          </w:rPr>
          <w:t>Salmo 83.9</w:t>
        </w:r>
      </w:hyperlink>
      <w:r>
        <w:t>.</w:t>
      </w:r>
    </w:p>
    <w:p>
      <w:r/>
      <w:r>
        <w:rPr>
          <w:i/>
        </w:rPr>
        <w:t>Veja também</w:t>
      </w:r>
      <w:r>
        <w:t xml:space="preserve"> </w:t>
      </w:r>
      <w:r>
        <w:t>Juízes, Livro de</w:t>
      </w:r>
      <w:r>
        <w:t>.</w:t>
      </w:r>
    </w:p>
    <w:p>
      <w:r/>
      <w:r>
        <w:t>2. Antepassado de uma família de servos do Templo que retornou com Zorobabel para a Palestina após o cativeiro babilônico (</w:t>
      </w:r>
      <w:hyperlink r:id="rId19684">
        <w:r>
          <w:rPr>
            <w:color w:val="0000EE"/>
            <w:u w:val="single"/>
          </w:rPr>
          <w:t>Ed 2.53</w:t>
        </w:r>
      </w:hyperlink>
      <w:r>
        <w:t xml:space="preserve">; </w:t>
      </w:r>
      <w:hyperlink r:id="rId19685">
        <w:r>
          <w:rPr>
            <w:color w:val="0000EE"/>
            <w:u w:val="single"/>
          </w:rPr>
          <w:t>Ne 7.55</w:t>
        </w:r>
      </w:hyperlink>
      <w:r>
        <w:t>).</w:t>
      </w:r>
      <w:r/>
      <w:r/>
    </w:p>
    <w:p>
      <w:r/>
    </w:p>
    <w:p>
      <w:pPr>
        <w:pStyle w:val="Heading2"/>
      </w:pPr>
      <w:r>
        <w:t>Sitim (Lugar)</w:t>
      </w:r>
      <w:r/>
    </w:p>
    <w:p>
      <w:r/>
      <w:r>
        <w:t>Um local nas planícies de Moabe. Os israelitas acamparam lá após derrotarem Seom e Ogue (</w:t>
      </w:r>
      <w:hyperlink r:id="rId12120">
        <w:r>
          <w:rPr>
            <w:color w:val="0000EE"/>
            <w:u w:val="single"/>
          </w:rPr>
          <w:t>Nm 21.21–35</w:t>
        </w:r>
      </w:hyperlink>
      <w:r>
        <w:t>) e antes de cruzarem o Jordão (</w:t>
      </w:r>
      <w:hyperlink r:id="rId14390">
        <w:r>
          <w:rPr>
            <w:color w:val="0000EE"/>
            <w:u w:val="single"/>
          </w:rPr>
          <w:t>Nm 25.1</w:t>
        </w:r>
      </w:hyperlink>
      <w:r>
        <w:t xml:space="preserve">). De acordo com </w:t>
      </w:r>
      <w:hyperlink r:id="rId46">
        <w:r>
          <w:rPr>
            <w:color w:val="0000EE"/>
            <w:u w:val="single"/>
          </w:rPr>
          <w:t>Números 33.49</w:t>
        </w:r>
      </w:hyperlink>
      <w:r>
        <w:t xml:space="preserve"> (ARC) este acampamento estava perto do Rio Jordão. O acampamento se estendia de Bete-Jesimote até Abel-Sitim. Abel-Sitim parece ser o nome completo do lugar, enquanto Sitim é o nome mais comum e curto.</w:t>
      </w:r>
    </w:p>
    <w:p>
      <w:r/>
      <w:r>
        <w:t>Em Sitim, Balaque, que governava Moabe, queria impedir que os israelitas entrassem em Canaã. Ele pagou Balaão para proferir maldições contra eles (</w:t>
      </w:r>
      <w:hyperlink r:id="rId1122">
        <w:r>
          <w:rPr>
            <w:color w:val="0000EE"/>
            <w:u w:val="single"/>
          </w:rPr>
          <w:t>Nm 22–24</w:t>
        </w:r>
      </w:hyperlink>
      <w:r>
        <w:t>). Mais tarde, seguindo o conselho de Balaão, os homens israelitas tiveram relações sexuais com mulheres de Midiã e Moabe (</w:t>
      </w:r>
      <w:hyperlink r:id="rId14689">
        <w:r>
          <w:rPr>
            <w:color w:val="0000EE"/>
            <w:u w:val="single"/>
          </w:rPr>
          <w:t>Nm 25.1–5</w:t>
        </w:r>
      </w:hyperlink>
      <w:r>
        <w:t xml:space="preserve">; compare </w:t>
      </w:r>
      <w:hyperlink r:id="rId19686">
        <w:r>
          <w:rPr>
            <w:color w:val="0000EE"/>
            <w:u w:val="single"/>
          </w:rPr>
          <w:t>31.15–16</w:t>
        </w:r>
      </w:hyperlink>
      <w:r>
        <w:t>). Os israelitas se afastaram de Deus para adorar falsos deuses através desses atos sexuais. Isso deixou Deus irado, e ele enviou uma doença mortal entre o povo em Peor (</w:t>
      </w:r>
      <w:hyperlink r:id="rId2975">
        <w:r>
          <w:rPr>
            <w:color w:val="0000EE"/>
            <w:u w:val="single"/>
          </w:rPr>
          <w:t>Nm 25.1–18</w:t>
        </w:r>
      </w:hyperlink>
      <w:r>
        <w:t xml:space="preserve">; compare </w:t>
      </w:r>
      <w:hyperlink r:id="rId19687">
        <w:r>
          <w:rPr>
            <w:color w:val="0000EE"/>
            <w:u w:val="single"/>
          </w:rPr>
          <w:t>1Co 10.6–8</w:t>
        </w:r>
      </w:hyperlink>
      <w:r>
        <w:t>).</w:t>
      </w:r>
    </w:p>
    <w:p>
      <w:r/>
      <w:r>
        <w:t>Em Sitim, Moisés e Eleazar contaram todas as pessoas em cada tribo. Aqui também, Josué foi escolhido na frente de todos para ser o próximo líder após Moisés (</w:t>
      </w:r>
      <w:hyperlink r:id="rId19688">
        <w:r>
          <w:rPr>
            <w:color w:val="0000EE"/>
            <w:u w:val="single"/>
          </w:rPr>
          <w:t>Nm 27.18–22</w:t>
        </w:r>
      </w:hyperlink>
      <w:r>
        <w:t>). Josué então enviou dois homens de Sitim para secretamente observar a cidade de Jericó (</w:t>
      </w:r>
      <w:hyperlink r:id="rId8507">
        <w:r>
          <w:rPr>
            <w:color w:val="0000EE"/>
            <w:u w:val="single"/>
          </w:rPr>
          <w:t>Js 2.1</w:t>
        </w:r>
      </w:hyperlink>
      <w:r>
        <w:t>, ARC). Depois disso, os israelitas deixaram Sitim e foram para o rio Jordão, preparando-se para atravessá-lo (</w:t>
      </w:r>
      <w:hyperlink r:id="rId19689">
        <w:r>
          <w:rPr>
            <w:color w:val="0000EE"/>
            <w:u w:val="single"/>
          </w:rPr>
          <w:t>Js 3.1</w:t>
        </w:r>
      </w:hyperlink>
      <w:r>
        <w:t>, ARC).</w:t>
      </w:r>
    </w:p>
    <w:p>
      <w:r/>
      <w:r>
        <w:t xml:space="preserve">O nome Sitim aparece em apenas dois outros lugares na Bíblia fora dos primeiros seis livros: os livros de Joel e Miquéias. Em </w:t>
      </w:r>
      <w:hyperlink r:id="rId2329">
        <w:r>
          <w:rPr>
            <w:color w:val="0000EE"/>
            <w:u w:val="single"/>
          </w:rPr>
          <w:t>Jl 3.18</w:t>
        </w:r>
      </w:hyperlink>
      <w:r>
        <w:t>, o profeta fala sobre o "vale de Sitim" (ARC), que também é chamado de "vale das Acácias" (NTLH). Isso não se refere a um lugar real. Em vez disso, é uma imagem de como Deus tornará a terra seca e vazia adequada para o cultivo de plantas quando ele trouxer seu povo de volta nos últimos dias.</w:t>
      </w:r>
    </w:p>
    <w:p>
      <w:r/>
      <w:r>
        <w:t xml:space="preserve">Em </w:t>
      </w:r>
      <w:hyperlink r:id="rId2997">
        <w:r>
          <w:rPr>
            <w:color w:val="0000EE"/>
            <w:u w:val="single"/>
          </w:rPr>
          <w:t xml:space="preserve">Mq 6.5 </w:t>
        </w:r>
      </w:hyperlink>
      <w:r>
        <w:t>(ARC), Deus diz ao povo para lembrar sua jornada de Sitim a Gilgal. Isso se refere ao momento em que os israelitas cruzaram o rio Jordão e à promessa de aliança de Deus de dar-lhes sua própria terra. Miquéias então fala sobre as muitas maneiras como Deus ajudou seu povo.</w:t>
      </w:r>
      <w:r/>
      <w:r/>
    </w:p>
    <w:p>
      <w:r/>
    </w:p>
    <w:p>
      <w:pPr>
        <w:pStyle w:val="Heading2"/>
      </w:pPr>
      <w:r>
        <w:t>Sitna</w:t>
      </w:r>
      <w:r/>
    </w:p>
    <w:p>
      <w:r/>
      <w:r>
        <w:t>Um poço cavado pelos servos do patriarca Isaque na região de Gerar recebeu seu nome (que significa "inimizade") devido a uma disputa entre os servos de Isaque e os pastores da região. Sua localização pode ter sido perto de Reobote (</w:t>
      </w:r>
      <w:hyperlink r:id="rId19690">
        <w:r>
          <w:rPr>
            <w:color w:val="0000EE"/>
            <w:u w:val="single"/>
          </w:rPr>
          <w:t>Gn 26.21–22</w:t>
        </w:r>
      </w:hyperlink>
      <w:r>
        <w:t>).</w:t>
      </w:r>
      <w:r/>
      <w:r/>
    </w:p>
    <w:p>
      <w:r/>
    </w:p>
    <w:p>
      <w:pPr>
        <w:pStyle w:val="Heading2"/>
      </w:pPr>
      <w:r>
        <w:t>Sitri</w:t>
      </w:r>
      <w:r/>
    </w:p>
    <w:p>
      <w:r/>
      <w:r>
        <w:t>Um levita coatita e terceiro filho de Uziel. Sitri era primo de Arão e Moisés (</w:t>
      </w:r>
      <w:hyperlink r:id="rId7994">
        <w:r>
          <w:rPr>
            <w:color w:val="0000EE"/>
            <w:u w:val="single"/>
          </w:rPr>
          <w:t>Êx 6.22</w:t>
        </w:r>
      </w:hyperlink>
      <w:r>
        <w:t>).</w:t>
      </w:r>
      <w:r/>
      <w:r/>
    </w:p>
    <w:p>
      <w:r/>
    </w:p>
    <w:p>
      <w:pPr>
        <w:pStyle w:val="Heading2"/>
      </w:pPr>
      <w:r>
        <w:t>Sobal</w:t>
      </w:r>
      <w:r/>
    </w:p>
    <w:p>
      <w:r/>
      <w:r>
        <w:t>1. Um dos sete filhos de Seir, o horita, em Edom (</w:t>
      </w:r>
      <w:hyperlink r:id="rId10636">
        <w:r>
          <w:rPr>
            <w:color w:val="0000EE"/>
            <w:u w:val="single"/>
          </w:rPr>
          <w:t>Gn 36.20</w:t>
        </w:r>
      </w:hyperlink>
      <w:r>
        <w:t xml:space="preserve">; </w:t>
      </w:r>
      <w:hyperlink r:id="rId7278">
        <w:r>
          <w:rPr>
            <w:color w:val="0000EE"/>
            <w:u w:val="single"/>
          </w:rPr>
          <w:t>1Cr 1.38</w:t>
        </w:r>
      </w:hyperlink>
      <w:r>
        <w:t>). Sobal tornou-se pai de cinco filhos (</w:t>
      </w:r>
      <w:hyperlink r:id="rId1016">
        <w:r>
          <w:rPr>
            <w:color w:val="0000EE"/>
            <w:u w:val="single"/>
          </w:rPr>
          <w:t>Gn 36.23</w:t>
        </w:r>
      </w:hyperlink>
      <w:r>
        <w:t xml:space="preserve">; </w:t>
      </w:r>
      <w:hyperlink r:id="rId1017">
        <w:r>
          <w:rPr>
            <w:color w:val="0000EE"/>
            <w:u w:val="single"/>
          </w:rPr>
          <w:t>1Cr 1.40</w:t>
        </w:r>
      </w:hyperlink>
      <w:r>
        <w:t>) e foi um chefe entre os horitas (</w:t>
      </w:r>
      <w:hyperlink r:id="rId10637">
        <w:r>
          <w:rPr>
            <w:color w:val="0000EE"/>
            <w:u w:val="single"/>
          </w:rPr>
          <w:t>Gn 36.29</w:t>
        </w:r>
      </w:hyperlink>
      <w:r>
        <w:t>);</w:t>
      </w:r>
    </w:p>
    <w:p>
      <w:r/>
      <w:r>
        <w:t>2. Hur, filho, pai de Haroé e fundador das famílias de Quiriate-Jearim (</w:t>
      </w:r>
      <w:hyperlink r:id="rId19691">
        <w:r>
          <w:rPr>
            <w:color w:val="0000EE"/>
            <w:u w:val="single"/>
          </w:rPr>
          <w:t>1Cr 2.50–52</w:t>
        </w:r>
      </w:hyperlink>
      <w:r>
        <w:t>);</w:t>
      </w:r>
    </w:p>
    <w:p>
      <w:r/>
      <w:r>
        <w:t>3. Um dos cinco filhos de Judá e pai de Reaías (</w:t>
      </w:r>
      <w:hyperlink r:id="rId19692">
        <w:r>
          <w:rPr>
            <w:color w:val="0000EE"/>
            <w:u w:val="single"/>
          </w:rPr>
          <w:t>1Cr 4.1–2</w:t>
        </w:r>
      </w:hyperlink>
      <w:r>
        <w:t>); talvez o mesmo que o número 2 acima.</w:t>
      </w:r>
      <w:r/>
      <w:r/>
    </w:p>
    <w:p>
      <w:r/>
    </w:p>
    <w:p>
      <w:pPr>
        <w:pStyle w:val="Heading2"/>
      </w:pPr>
      <w:r>
        <w:t>Sodi</w:t>
      </w:r>
      <w:r/>
    </w:p>
    <w:p>
      <w:r/>
      <w:r>
        <w:t>O pai de Gadiel, Sodi, foi um dos 12 espiões enviados por Moisés para explorar a terra de Canaã (</w:t>
      </w:r>
      <w:hyperlink r:id="rId9709">
        <w:r>
          <w:rPr>
            <w:color w:val="0000EE"/>
            <w:u w:val="single"/>
          </w:rPr>
          <w:t>Nm 13.10</w:t>
        </w:r>
      </w:hyperlink>
      <w:r>
        <w:t>).</w:t>
      </w:r>
      <w:r/>
      <w:r/>
    </w:p>
    <w:p>
      <w:r/>
    </w:p>
    <w:p>
      <w:pPr>
        <w:pStyle w:val="Heading2"/>
      </w:pPr>
      <w:r>
        <w:t>Sodoma e Gomorra</w:t>
      </w:r>
      <w:r/>
    </w:p>
    <w:p>
      <w:r/>
      <w:r>
        <w:t xml:space="preserve">Duas das “cidades da planície [vale]” mencionadas em </w:t>
      </w:r>
      <w:hyperlink r:id="rId16408">
        <w:r>
          <w:rPr>
            <w:color w:val="0000EE"/>
            <w:u w:val="single"/>
          </w:rPr>
          <w:t>Gênesis 13.12</w:t>
        </w:r>
      </w:hyperlink>
      <w:r>
        <w:t>. Havia cinco cidades localizadas no Vale de Sidim:</w:t>
      </w:r>
    </w:p>
    <w:p>
      <w:pPr>
        <w:pStyle w:val="ListNumber"/>
        <w:spacing w:line="240" w:lineRule="auto"/>
        <w:ind w:left="720"/>
      </w:pPr>
      <w:r/>
      <w:r>
        <w:t>Sodoma</w:t>
      </w:r>
    </w:p>
    <w:p>
      <w:pPr>
        <w:pStyle w:val="ListNumber"/>
        <w:spacing w:line="240" w:lineRule="auto"/>
        <w:ind w:left="720"/>
      </w:pPr>
      <w:r/>
      <w:r>
        <w:t>Gomorra</w:t>
      </w:r>
    </w:p>
    <w:p>
      <w:pPr>
        <w:pStyle w:val="ListNumber"/>
        <w:spacing w:line="240" w:lineRule="auto"/>
        <w:ind w:left="720"/>
      </w:pPr>
      <w:r/>
      <w:r>
        <w:t>Admá</w:t>
      </w:r>
    </w:p>
    <w:p>
      <w:pPr>
        <w:pStyle w:val="ListNumber"/>
        <w:spacing w:line="240" w:lineRule="auto"/>
        <w:ind w:left="720"/>
      </w:pPr>
      <w:r/>
      <w:r>
        <w:t>Zeboim</w:t>
      </w:r>
    </w:p>
    <w:p>
      <w:pPr>
        <w:pStyle w:val="ListNumber"/>
        <w:spacing w:line="240" w:lineRule="auto"/>
        <w:ind w:left="720"/>
      </w:pPr>
      <w:r/>
      <w:r>
        <w:t>Bela ou Zoar (</w:t>
      </w:r>
      <w:hyperlink r:id="rId3328">
        <w:r>
          <w:rPr>
            <w:color w:val="0000EE"/>
            <w:u w:val="single"/>
          </w:rPr>
          <w:t>Gn 14.2</w:t>
        </w:r>
      </w:hyperlink>
      <w:r>
        <w:t>)</w:t>
      </w:r>
    </w:p>
    <w:p>
      <w:pPr>
        <w:pStyle w:val="Heading3"/>
      </w:pPr>
      <w:r>
        <w:t>Sodoma e Gomorra na Bíblia</w:t>
      </w:r>
    </w:p>
    <w:p>
      <w:r/>
      <w:r>
        <w:t>O Vale de Sidim está perto do Mar Salgado. Dentre essas cidades, Sodoma é mencionada com mais frequência em Gênesis. É mencionada 36 vezes, com 16 dessas referências apenas a Sodoma. A Bíblia fez de Sodoma um exemplo famoso de uma cidade perversa. Sua destruição (</w:t>
      </w:r>
      <w:hyperlink r:id="rId4754">
        <w:r>
          <w:rPr>
            <w:color w:val="0000EE"/>
            <w:u w:val="single"/>
          </w:rPr>
          <w:t>Gn 19.24</w:t>
        </w:r>
      </w:hyperlink>
      <w:r>
        <w:t>) foi usada como um aviso do julgamento de Deus em outros escritos bíblicos:</w:t>
      </w:r>
    </w:p>
    <w:p>
      <w:pPr>
        <w:pStyle w:val="ListBullet"/>
        <w:spacing w:line="240" w:lineRule="auto"/>
        <w:ind w:left="720"/>
      </w:pPr>
      <w:r/>
      <w:hyperlink r:id="rId384">
        <w:r>
          <w:rPr>
            <w:color w:val="0000EE"/>
            <w:u w:val="single"/>
          </w:rPr>
          <w:t>Deuteronômio 29.23</w:t>
        </w:r>
      </w:hyperlink>
    </w:p>
    <w:p>
      <w:pPr>
        <w:pStyle w:val="ListBullet"/>
        <w:spacing w:line="240" w:lineRule="auto"/>
        <w:ind w:left="720"/>
      </w:pPr>
      <w:r/>
      <w:hyperlink r:id="rId19693">
        <w:r>
          <w:rPr>
            <w:color w:val="0000EE"/>
            <w:u w:val="single"/>
          </w:rPr>
          <w:t>Isaías 1.9–10</w:t>
        </w:r>
      </w:hyperlink>
    </w:p>
    <w:p>
      <w:pPr>
        <w:pStyle w:val="ListBullet"/>
        <w:spacing w:line="240" w:lineRule="auto"/>
        <w:ind w:left="720"/>
      </w:pPr>
      <w:r/>
      <w:hyperlink r:id="rId8365">
        <w:r>
          <w:rPr>
            <w:color w:val="0000EE"/>
            <w:u w:val="single"/>
          </w:rPr>
          <w:t>Jeremias 23.14</w:t>
        </w:r>
      </w:hyperlink>
    </w:p>
    <w:p>
      <w:pPr>
        <w:pStyle w:val="ListBullet"/>
        <w:spacing w:line="240" w:lineRule="auto"/>
        <w:ind w:left="720"/>
      </w:pPr>
      <w:r/>
      <w:hyperlink r:id="rId19694">
        <w:r>
          <w:rPr>
            <w:color w:val="0000EE"/>
            <w:u w:val="single"/>
          </w:rPr>
          <w:t>Jeremias 49.18</w:t>
        </w:r>
      </w:hyperlink>
    </w:p>
    <w:p>
      <w:pPr>
        <w:pStyle w:val="ListBullet"/>
        <w:spacing w:line="240" w:lineRule="auto"/>
        <w:ind w:left="720"/>
      </w:pPr>
      <w:r/>
      <w:hyperlink r:id="rId19695">
        <w:r>
          <w:rPr>
            <w:color w:val="0000EE"/>
            <w:u w:val="single"/>
          </w:rPr>
          <w:t>Lamentações 4.6</w:t>
        </w:r>
      </w:hyperlink>
    </w:p>
    <w:p>
      <w:pPr>
        <w:pStyle w:val="ListBullet"/>
        <w:spacing w:line="240" w:lineRule="auto"/>
        <w:ind w:left="720"/>
      </w:pPr>
      <w:r/>
      <w:hyperlink r:id="rId19696">
        <w:r>
          <w:rPr>
            <w:color w:val="0000EE"/>
            <w:u w:val="single"/>
          </w:rPr>
          <w:t>Amós 4.11</w:t>
        </w:r>
      </w:hyperlink>
    </w:p>
    <w:p>
      <w:pPr>
        <w:pStyle w:val="ListBullet"/>
        <w:spacing w:line="240" w:lineRule="auto"/>
        <w:ind w:left="720"/>
      </w:pPr>
      <w:r/>
      <w:hyperlink r:id="rId17077">
        <w:r>
          <w:rPr>
            <w:color w:val="0000EE"/>
            <w:u w:val="single"/>
          </w:rPr>
          <w:t>Sofonias 2.9</w:t>
        </w:r>
      </w:hyperlink>
    </w:p>
    <w:p>
      <w:r/>
      <w:r>
        <w:t>A história da destruição de Sodoma também é mencionada no Novo Testamento:</w:t>
      </w:r>
    </w:p>
    <w:p>
      <w:pPr>
        <w:pStyle w:val="ListBullet"/>
        <w:spacing w:line="240" w:lineRule="auto"/>
        <w:ind w:left="720"/>
      </w:pPr>
      <w:r/>
      <w:hyperlink r:id="rId4870">
        <w:r>
          <w:rPr>
            <w:color w:val="0000EE"/>
            <w:u w:val="single"/>
          </w:rPr>
          <w:t>Mateus 10.15</w:t>
        </w:r>
      </w:hyperlink>
    </w:p>
    <w:p>
      <w:pPr>
        <w:pStyle w:val="ListBullet"/>
        <w:spacing w:line="240" w:lineRule="auto"/>
        <w:ind w:left="720"/>
      </w:pPr>
      <w:r/>
      <w:hyperlink r:id="rId19697">
        <w:r>
          <w:rPr>
            <w:color w:val="0000EE"/>
            <w:u w:val="single"/>
          </w:rPr>
          <w:t>Lucas 10.12</w:t>
        </w:r>
      </w:hyperlink>
    </w:p>
    <w:p>
      <w:pPr>
        <w:pStyle w:val="ListBullet"/>
        <w:spacing w:line="240" w:lineRule="auto"/>
        <w:ind w:left="720"/>
      </w:pPr>
      <w:r/>
      <w:hyperlink r:id="rId8091">
        <w:r>
          <w:rPr>
            <w:color w:val="0000EE"/>
            <w:u w:val="single"/>
          </w:rPr>
          <w:t>Lucas 17.29</w:t>
        </w:r>
      </w:hyperlink>
    </w:p>
    <w:p>
      <w:pPr>
        <w:pStyle w:val="ListBullet"/>
        <w:spacing w:line="240" w:lineRule="auto"/>
        <w:ind w:left="720"/>
      </w:pPr>
      <w:r/>
      <w:hyperlink r:id="rId4871">
        <w:r>
          <w:rPr>
            <w:color w:val="0000EE"/>
            <w:u w:val="single"/>
          </w:rPr>
          <w:t>Romanos 9.29</w:t>
        </w:r>
      </w:hyperlink>
    </w:p>
    <w:p>
      <w:pPr>
        <w:pStyle w:val="ListBullet"/>
        <w:spacing w:line="240" w:lineRule="auto"/>
        <w:ind w:left="720"/>
      </w:pPr>
      <w:r/>
      <w:hyperlink r:id="rId4924">
        <w:r>
          <w:rPr>
            <w:color w:val="0000EE"/>
            <w:u w:val="single"/>
          </w:rPr>
          <w:t>2 Pedro 2.6</w:t>
        </w:r>
      </w:hyperlink>
    </w:p>
    <w:p>
      <w:pPr>
        <w:pStyle w:val="ListBullet"/>
        <w:spacing w:line="240" w:lineRule="auto"/>
        <w:ind w:left="720"/>
      </w:pPr>
      <w:r/>
      <w:hyperlink r:id="rId12598">
        <w:r>
          <w:rPr>
            <w:color w:val="0000EE"/>
            <w:u w:val="single"/>
          </w:rPr>
          <w:t>Judas 1.7</w:t>
        </w:r>
      </w:hyperlink>
    </w:p>
    <w:p>
      <w:pPr>
        <w:pStyle w:val="ListBullet"/>
        <w:spacing w:line="240" w:lineRule="auto"/>
        <w:ind w:left="720"/>
      </w:pPr>
      <w:r/>
      <w:hyperlink r:id="rId2128">
        <w:r>
          <w:rPr>
            <w:color w:val="0000EE"/>
            <w:u w:val="single"/>
          </w:rPr>
          <w:t>Apocalipse 11.8</w:t>
        </w:r>
      </w:hyperlink>
    </w:p>
    <w:p>
      <w:pPr>
        <w:pStyle w:val="Heading3"/>
      </w:pPr>
      <w:r>
        <w:t>O que aconteceu com Sodoma e Gomorra?</w:t>
      </w:r>
    </w:p>
    <w:p>
      <w:r/>
      <w:r>
        <w:t xml:space="preserve">A história principal de Sodoma e Gomorra ocorre em </w:t>
      </w:r>
      <w:hyperlink r:id="rId171">
        <w:r>
          <w:rPr>
            <w:color w:val="0000EE"/>
            <w:u w:val="single"/>
          </w:rPr>
          <w:t>Gênesis 18</w:t>
        </w:r>
      </w:hyperlink>
      <w:r>
        <w:t xml:space="preserve"> e </w:t>
      </w:r>
      <w:hyperlink r:id="rId172">
        <w:r>
          <w:rPr>
            <w:color w:val="0000EE"/>
            <w:u w:val="single"/>
          </w:rPr>
          <w:t>19</w:t>
        </w:r>
      </w:hyperlink>
      <w:r>
        <w:t xml:space="preserve">. O interesse bíblico na cidade começa no capítulo </w:t>
      </w:r>
      <w:hyperlink r:id="rId13260">
        <w:r>
          <w:rPr>
            <w:color w:val="0000EE"/>
            <w:u w:val="single"/>
          </w:rPr>
          <w:t>13</w:t>
        </w:r>
      </w:hyperlink>
      <w:r>
        <w:t>. Ló, sobrinho de Abraão, decide se estabelecer no Vale do Jordão, perto de Sodoma, entre pessoas conhecidas por serem grandes pecadores. Um dos piores pecados de Sodoma era a perversão sexual, especialmente a homossexualidade. A oferta de Ló de suas filhas virgens aos homens de Sodoma para proteger seus visitantes celestiais mostra a influência corruptora da cidade.</w:t>
      </w:r>
    </w:p>
    <w:p>
      <w:r/>
      <w:r>
        <w:t>Depois que Ló se estabeleceu em Sodoma, quatro reis do Oriente atacaram a região, incluindo Sodoma e Gomorra, e tomaram o controle. Eles retornaram 14 anos depois para conter uma rebelião (</w:t>
      </w:r>
      <w:hyperlink r:id="rId19698">
        <w:r>
          <w:rPr>
            <w:color w:val="0000EE"/>
            <w:u w:val="single"/>
          </w:rPr>
          <w:t>Gn 14.1–5</w:t>
        </w:r>
      </w:hyperlink>
      <w:r>
        <w:t>). Ló foi capturado durante esse conflito, mas foi posteriormente resgatado por Abraão. A maldade de Sodoma e Gomorra era tão grande que o Senhor decidiu destruí-las. Abraão implorou por misericórdia, pedindo a Deus para poupar as cidades se dez homens justos pudessem ser encontrados (</w:t>
      </w:r>
      <w:hyperlink r:id="rId19699">
        <w:r>
          <w:rPr>
            <w:color w:val="0000EE"/>
            <w:u w:val="single"/>
          </w:rPr>
          <w:t>Gn 18.20–33</w:t>
        </w:r>
      </w:hyperlink>
      <w:r>
        <w:t>).</w:t>
      </w:r>
    </w:p>
    <w:p>
      <w:r/>
      <w:r>
        <w:t>Os dois visitantes celestiais que foram de Abraão a Sodoma encontraram Ló sentado à porta da cidade (</w:t>
      </w:r>
      <w:hyperlink r:id="rId174">
        <w:r>
          <w:rPr>
            <w:color w:val="0000EE"/>
            <w:u w:val="single"/>
          </w:rPr>
          <w:t>Gn 19.1</w:t>
        </w:r>
      </w:hyperlink>
      <w:r>
        <w:t>). Eles informaram Ló sobre o plano de Deus e insistiram para que ele, sua esposa e suas duas filhas fugissem da cidade. O Senhor então fez chover enxofre e fogo sobre Sodoma e Gomorra. Na manhã seguinte, Abraão viu fumaça subindo das cidades destruídas, como a fumaça de uma fornalha.</w:t>
      </w:r>
    </w:p>
    <w:p>
      <w:r/>
      <w:r>
        <w:rPr>
          <w:i/>
        </w:rPr>
        <w:t>Veja também</w:t>
      </w:r>
      <w:r>
        <w:t xml:space="preserve"> </w:t>
      </w:r>
      <w:r>
        <w:t>Cidades da Planície</w:t>
      </w:r>
      <w:r>
        <w:t>.</w:t>
      </w:r>
      <w:r/>
      <w:r/>
    </w:p>
    <w:p>
      <w:r/>
    </w:p>
    <w:p>
      <w:pPr>
        <w:pStyle w:val="Heading2"/>
      </w:pPr>
      <w:r>
        <w:t>Sofrimento</w:t>
      </w:r>
      <w:r/>
    </w:p>
    <w:p>
      <w:r/>
      <w:r>
        <w:t>Qualquer coisa que cause dor ou sofrimento, como uma calamidade.</w:t>
      </w:r>
    </w:p>
    <w:p>
      <w:r/>
      <w:r>
        <w:t xml:space="preserve">De acordo com a Bíblia, a aflição começou quando o pecado entrou no mundo. Tanto a humanidade quanto toda a criação tornaram-se afligidas com "espinhos e cardos", pecado, morte e decadência (compare </w:t>
      </w:r>
      <w:hyperlink r:id="rId19700">
        <w:r>
          <w:rPr>
            <w:color w:val="0000EE"/>
            <w:u w:val="single"/>
          </w:rPr>
          <w:t>Gênesis 3.16–19</w:t>
        </w:r>
      </w:hyperlink>
      <w:r>
        <w:t xml:space="preserve">; </w:t>
      </w:r>
      <w:hyperlink r:id="rId19701">
        <w:r>
          <w:rPr>
            <w:color w:val="0000EE"/>
            <w:u w:val="single"/>
          </w:rPr>
          <w:t>Romanos 8.18–21</w:t>
        </w:r>
      </w:hyperlink>
      <w:r>
        <w:t>). Por causa do pecado, a miséria é uma experiência humana comum, e nossas vidas curtas estão cheias de problemas (</w:t>
      </w:r>
      <w:hyperlink r:id="rId19702">
        <w:r>
          <w:rPr>
            <w:color w:val="0000EE"/>
            <w:u w:val="single"/>
          </w:rPr>
          <w:t>Jó 14.1–6</w:t>
        </w:r>
      </w:hyperlink>
      <w:r>
        <w:t>). As pessoas não podem evitar desastres naturais, lesões físicas e conflitos com outros (</w:t>
      </w:r>
      <w:hyperlink r:id="rId19703">
        <w:r>
          <w:rPr>
            <w:color w:val="0000EE"/>
            <w:u w:val="single"/>
          </w:rPr>
          <w:t>2 Crônicas 20.9</w:t>
        </w:r>
      </w:hyperlink>
      <w:r>
        <w:t>). No entanto, Deus usa a aflição para ensinar e disciplinar seu povo. Esta aflição é mostrada pela opressão que os israelitas enfrentaram em:</w:t>
      </w:r>
    </w:p>
    <w:p>
      <w:pPr>
        <w:pStyle w:val="ListBullet"/>
        <w:spacing w:line="240" w:lineRule="auto"/>
        <w:ind w:left="720"/>
      </w:pPr>
      <w:r/>
      <w:r>
        <w:t>Egito (</w:t>
      </w:r>
      <w:hyperlink r:id="rId19704">
        <w:r>
          <w:rPr>
            <w:color w:val="0000EE"/>
            <w:u w:val="single"/>
          </w:rPr>
          <w:t>Êxodo 4.31</w:t>
        </w:r>
      </w:hyperlink>
      <w:r>
        <w:t>);</w:t>
      </w:r>
    </w:p>
    <w:p>
      <w:pPr>
        <w:pStyle w:val="ListBullet"/>
        <w:spacing w:line="240" w:lineRule="auto"/>
        <w:ind w:left="720"/>
      </w:pPr>
      <w:r/>
      <w:r>
        <w:t>Suas lutas durante os juízes (</w:t>
      </w:r>
      <w:hyperlink r:id="rId19705">
        <w:r>
          <w:rPr>
            <w:color w:val="0000EE"/>
            <w:u w:val="single"/>
          </w:rPr>
          <w:t>Neemias 9.26–27</w:t>
        </w:r>
      </w:hyperlink>
      <w:r>
        <w:t>);</w:t>
      </w:r>
    </w:p>
    <w:p>
      <w:pPr>
        <w:pStyle w:val="ListBullet"/>
        <w:spacing w:line="240" w:lineRule="auto"/>
        <w:ind w:left="720"/>
      </w:pPr>
      <w:r/>
      <w:r>
        <w:t>Seu exílio na Babilônia (</w:t>
      </w:r>
      <w:hyperlink r:id="rId19706">
        <w:r>
          <w:rPr>
            <w:color w:val="0000EE"/>
            <w:u w:val="single"/>
          </w:rPr>
          <w:t>Isaías 26.16</w:t>
        </w:r>
      </w:hyperlink>
      <w:r>
        <w:t>).</w:t>
      </w:r>
    </w:p>
    <w:p>
      <w:r/>
      <w:r>
        <w:t>Em sua angústia, os israelitas clamaram a Deus. Ele os libertou e os guiou a obedecer (</w:t>
      </w:r>
      <w:hyperlink r:id="rId19707">
        <w:r>
          <w:rPr>
            <w:color w:val="0000EE"/>
            <w:u w:val="single"/>
          </w:rPr>
          <w:t>Jeremias 10.18</w:t>
        </w:r>
      </w:hyperlink>
      <w:r>
        <w:t xml:space="preserve">; </w:t>
      </w:r>
      <w:hyperlink r:id="rId16025">
        <w:r>
          <w:rPr>
            <w:color w:val="0000EE"/>
            <w:u w:val="single"/>
          </w:rPr>
          <w:t>Oséias 5.15–6.3</w:t>
        </w:r>
      </w:hyperlink>
      <w:r>
        <w:t>).</w:t>
      </w:r>
    </w:p>
    <w:p>
      <w:r/>
      <w:r>
        <w:t>A Bíblia sabe que é difícil de entender o sofrimento. É difícil ver por que os justos sofrem tanto (</w:t>
      </w:r>
      <w:hyperlink r:id="rId19708">
        <w:r>
          <w:rPr>
            <w:color w:val="0000EE"/>
            <w:u w:val="single"/>
          </w:rPr>
          <w:t>Salmos 34.19</w:t>
        </w:r>
      </w:hyperlink>
      <w:r>
        <w:t xml:space="preserve">; </w:t>
      </w:r>
      <w:hyperlink r:id="rId19709">
        <w:r>
          <w:rPr>
            <w:color w:val="0000EE"/>
            <w:u w:val="single"/>
          </w:rPr>
          <w:t>37.39</w:t>
        </w:r>
      </w:hyperlink>
      <w:r>
        <w:t xml:space="preserve">; </w:t>
      </w:r>
      <w:hyperlink r:id="rId19710">
        <w:r>
          <w:rPr>
            <w:color w:val="0000EE"/>
            <w:u w:val="single"/>
          </w:rPr>
          <w:t>138.7</w:t>
        </w:r>
      </w:hyperlink>
      <w:r>
        <w:t>). Mesmo o profeta e o “Servo do Senhor” (o Messias) não foram poupados (</w:t>
      </w:r>
      <w:hyperlink r:id="rId19711">
        <w:r>
          <w:rPr>
            <w:color w:val="0000EE"/>
            <w:u w:val="single"/>
          </w:rPr>
          <w:t>Isaías 53.2–12</w:t>
        </w:r>
      </w:hyperlink>
      <w:r>
        <w:t xml:space="preserve">; </w:t>
      </w:r>
      <w:hyperlink r:id="rId13299">
        <w:r>
          <w:rPr>
            <w:color w:val="0000EE"/>
            <w:u w:val="single"/>
          </w:rPr>
          <w:t>Jeremias 15.15</w:t>
        </w:r>
      </w:hyperlink>
      <w:r>
        <w:t>). Jesus Cristo carregou as dores e tristezas da humanidade. Ele cumpriu a profecia de aflição que começou com o pecado de Adão (</w:t>
      </w:r>
      <w:hyperlink r:id="rId6014">
        <w:r>
          <w:rPr>
            <w:color w:val="0000EE"/>
            <w:u w:val="single"/>
          </w:rPr>
          <w:t>Isaías 53.4–5</w:t>
        </w:r>
      </w:hyperlink>
      <w:r>
        <w:t xml:space="preserve">; </w:t>
      </w:r>
      <w:hyperlink r:id="rId5989">
        <w:r>
          <w:rPr>
            <w:color w:val="0000EE"/>
            <w:u w:val="single"/>
          </w:rPr>
          <w:t>1 Pedro 2.24</w:t>
        </w:r>
      </w:hyperlink>
      <w:r>
        <w:t>).</w:t>
      </w:r>
    </w:p>
    <w:p>
      <w:r/>
      <w:r>
        <w:t>Jesus alertou que seus seguidores enfrentariam muitas provações e tristezas (</w:t>
      </w:r>
      <w:hyperlink r:id="rId14907">
        <w:r>
          <w:rPr>
            <w:color w:val="0000EE"/>
            <w:u w:val="single"/>
          </w:rPr>
          <w:t>João 16.33</w:t>
        </w:r>
      </w:hyperlink>
      <w:r>
        <w:t>). Paulo ensinou que entrar no reino de Deus vem com muitos problemas (</w:t>
      </w:r>
      <w:hyperlink r:id="rId16781">
        <w:r>
          <w:rPr>
            <w:color w:val="0000EE"/>
            <w:u w:val="single"/>
          </w:rPr>
          <w:t>Atos 14.22</w:t>
        </w:r>
      </w:hyperlink>
      <w:r>
        <w:t>). Mas isso não deve enfraquecer a fé de um cristão (</w:t>
      </w:r>
      <w:hyperlink r:id="rId16782">
        <w:r>
          <w:rPr>
            <w:color w:val="0000EE"/>
            <w:u w:val="single"/>
          </w:rPr>
          <w:t>1 Tessalonicenses 3.3</w:t>
        </w:r>
      </w:hyperlink>
      <w:r>
        <w:t>). Elas devem ser vistas como completando o que falta nos sofrimentos de Cristo por seu corpo, a igreja (</w:t>
      </w:r>
      <w:hyperlink r:id="rId4283">
        <w:r>
          <w:rPr>
            <w:color w:val="0000EE"/>
            <w:u w:val="single"/>
          </w:rPr>
          <w:t>2 Coríntios 4.10–11</w:t>
        </w:r>
      </w:hyperlink>
      <w:r>
        <w:t xml:space="preserve">; </w:t>
      </w:r>
      <w:hyperlink r:id="rId19712">
        <w:r>
          <w:rPr>
            <w:color w:val="0000EE"/>
            <w:u w:val="single"/>
          </w:rPr>
          <w:t>Colossenses 1.24</w:t>
        </w:r>
      </w:hyperlink>
      <w:r>
        <w:t>). A Bíblia também sugere que a aflição se tornará mais intensa à medida que "o fim" se aproxima (</w:t>
      </w:r>
      <w:hyperlink r:id="rId19713">
        <w:r>
          <w:rPr>
            <w:color w:val="0000EE"/>
            <w:u w:val="single"/>
          </w:rPr>
          <w:t>Mateus 24.9–14</w:t>
        </w:r>
      </w:hyperlink>
      <w:r>
        <w:t xml:space="preserve">; </w:t>
      </w:r>
      <w:hyperlink r:id="rId19714">
        <w:r>
          <w:rPr>
            <w:color w:val="0000EE"/>
            <w:u w:val="single"/>
          </w:rPr>
          <w:t>2 Timóteo 3.13</w:t>
        </w:r>
      </w:hyperlink>
      <w:r>
        <w:t>). As forças de Satanás atacarão para enganar e destruir os "eleitos" (</w:t>
      </w:r>
      <w:hyperlink r:id="rId14397">
        <w:r>
          <w:rPr>
            <w:color w:val="0000EE"/>
            <w:u w:val="single"/>
          </w:rPr>
          <w:t>Mateus 24.24</w:t>
        </w:r>
      </w:hyperlink>
      <w:r>
        <w:t xml:space="preserve">; </w:t>
      </w:r>
      <w:hyperlink r:id="rId19715">
        <w:r>
          <w:rPr>
            <w:color w:val="0000EE"/>
            <w:u w:val="single"/>
          </w:rPr>
          <w:t>2 Tessalonicenses 2.9–12</w:t>
        </w:r>
      </w:hyperlink>
      <w:r>
        <w:t xml:space="preserve">; </w:t>
      </w:r>
      <w:hyperlink r:id="rId19716">
        <w:r>
          <w:rPr>
            <w:color w:val="0000EE"/>
            <w:u w:val="single"/>
          </w:rPr>
          <w:t>Apocalipse 20.7–9</w:t>
        </w:r>
      </w:hyperlink>
      <w:r>
        <w:t>). Quando Jesus Cristo for revelado do céu em fogo flamejante, Deus afligirá aqueles que prejudicaram os crentes. Ele se vingará daqueles que não obedeceram ao evangelho de Jesus Cristo (</w:t>
      </w:r>
      <w:hyperlink r:id="rId929">
        <w:r>
          <w:rPr>
            <w:color w:val="0000EE"/>
            <w:u w:val="single"/>
          </w:rPr>
          <w:t>Romanos 2.9</w:t>
        </w:r>
      </w:hyperlink>
      <w:r>
        <w:t xml:space="preserve">; </w:t>
      </w:r>
      <w:hyperlink r:id="rId8786">
        <w:r>
          <w:rPr>
            <w:color w:val="0000EE"/>
            <w:u w:val="single"/>
          </w:rPr>
          <w:t>2 Tessalonicenses 1.5–10</w:t>
        </w:r>
      </w:hyperlink>
      <w:r>
        <w:t xml:space="preserve">; </w:t>
      </w:r>
      <w:hyperlink r:id="rId19717">
        <w:r>
          <w:rPr>
            <w:color w:val="0000EE"/>
            <w:u w:val="single"/>
          </w:rPr>
          <w:t>2.7–8</w:t>
        </w:r>
      </w:hyperlink>
      <w:r>
        <w:t>).</w:t>
      </w:r>
    </w:p>
    <w:p>
      <w:r/>
      <w:r>
        <w:rPr>
          <w:i/>
        </w:rPr>
        <w:t>Veja também</w:t>
      </w:r>
      <w:r>
        <w:t xml:space="preserve"> </w:t>
      </w:r>
      <w:r>
        <w:t>Perseguição</w:t>
      </w:r>
      <w:r>
        <w:t xml:space="preserve">; </w:t>
      </w:r>
      <w:r>
        <w:t>Tribulação</w:t>
      </w:r>
      <w:r>
        <w:t>.</w:t>
      </w:r>
      <w:r/>
      <w:r/>
    </w:p>
    <w:p>
      <w:r/>
    </w:p>
    <w:p>
      <w:pPr>
        <w:pStyle w:val="Heading2"/>
      </w:pPr>
      <w:r>
        <w:t>Sol</w:t>
      </w:r>
      <w:r/>
    </w:p>
    <w:p>
      <w:r/>
      <w:r>
        <w:t>O sol é uma das grandes luzes criadas por Deus para governar o dia (</w:t>
      </w:r>
      <w:hyperlink r:id="rId19718">
        <w:r>
          <w:rPr>
            <w:color w:val="0000EE"/>
            <w:u w:val="single"/>
          </w:rPr>
          <w:t>Gênesis 1.14–15</w:t>
        </w:r>
      </w:hyperlink>
      <w:r>
        <w:t>). Nos tempos bíblicos, um novo dia começava com o pôr do sol, e os sacrifícios diários estavam ligados à sua posição. A primeira oferta queimada era feita ao nascer do sol (</w:t>
      </w:r>
      <w:hyperlink r:id="rId19719">
        <w:r>
          <w:rPr>
            <w:color w:val="0000EE"/>
            <w:u w:val="single"/>
          </w:rPr>
          <w:t>Êxodo 29.39</w:t>
        </w:r>
      </w:hyperlink>
      <w:r>
        <w:t xml:space="preserve">; </w:t>
      </w:r>
      <w:hyperlink r:id="rId19720">
        <w:r>
          <w:rPr>
            <w:color w:val="0000EE"/>
            <w:u w:val="single"/>
          </w:rPr>
          <w:t>Números 28.4</w:t>
        </w:r>
      </w:hyperlink>
      <w:r>
        <w:t>). No judaísmo rabínico, as horas de luz do dia variavam com as estações. Elas dependiam do ciclo solar.</w:t>
      </w:r>
    </w:p>
    <w:p>
      <w:r/>
      <w:r>
        <w:t>O calendário israelita era lunar. Mas, o período estipulado dos principais festivais na primavera (Páscoa) e no outono (Trombetas, Expiação, Tabernáculos) mostra que eles também consideravam o ano solar. O calendário de Gezer, que se alinha com a agricultura, é baseado no ano solar. O calendário judaico tem um ciclo de 19 anos. Ele adiciona meses extras em sete desses anos para alinhar os ciclos lunar e solar. A Bíblia não menciona este sistema. Os estudiosos acreditam que o 13º mês foi uma adição posterior. Documentos aramaicos da colônia judaica em Elefantina mostram que este ciclo de 19 anos era usado já no século quinto a.C. Os reinos de Judá e Israel provavelmente usavam um sistema semelhante, embora nenhum registro tenha sobrevivido.</w:t>
      </w:r>
    </w:p>
    <w:p>
      <w:r/>
      <w:r>
        <w:t>O judaísmo rabínico reconhece quatro estações. O Antigo Testamento menciona apenas duas: "tempo de semear e de colher, frio e calor, verão e inverno" (</w:t>
      </w:r>
      <w:hyperlink r:id="rId19721">
        <w:r>
          <w:rPr>
            <w:color w:val="0000EE"/>
            <w:u w:val="single"/>
          </w:rPr>
          <w:t>Gênesis 8.22</w:t>
        </w:r>
      </w:hyperlink>
      <w:r>
        <w:t>).</w:t>
      </w:r>
    </w:p>
    <w:p>
      <w:r/>
      <w:r>
        <w:t>As quatro estações estão ligadas ao movimento do sol:</w:t>
      </w:r>
    </w:p>
    <w:p>
      <w:pPr>
        <w:pStyle w:val="ListBullet"/>
        <w:spacing w:line="240" w:lineRule="auto"/>
        <w:ind w:left="720"/>
      </w:pPr>
      <w:r/>
      <w:r>
        <w:t xml:space="preserve">Outono (chamado </w:t>
      </w:r>
      <w:r>
        <w:rPr>
          <w:i/>
        </w:rPr>
        <w:t>setav,</w:t>
      </w:r>
      <w:r>
        <w:t xml:space="preserve"> uma palavra que originalmente significa "estação chuvosa" ou "chuva"; </w:t>
      </w:r>
      <w:hyperlink r:id="rId19722">
        <w:r>
          <w:rPr>
            <w:color w:val="0000EE"/>
            <w:u w:val="single"/>
          </w:rPr>
          <w:t>Cântico dos Cânticos 2.11</w:t>
        </w:r>
      </w:hyperlink>
      <w:r>
        <w:t>) começa com o equinócio de outono (21 de setembro);</w:t>
      </w:r>
    </w:p>
    <w:p>
      <w:pPr>
        <w:pStyle w:val="ListBullet"/>
        <w:spacing w:line="240" w:lineRule="auto"/>
        <w:ind w:left="720"/>
      </w:pPr>
      <w:r/>
      <w:r>
        <w:t>O inverno (</w:t>
      </w:r>
      <w:r>
        <w:rPr>
          <w:i/>
        </w:rPr>
        <w:t>horef</w:t>
      </w:r>
      <w:r>
        <w:t>) começa com o solstício de inverno (por volta de 22 de dezembro);</w:t>
      </w:r>
    </w:p>
    <w:p>
      <w:pPr>
        <w:pStyle w:val="ListBullet"/>
        <w:spacing w:line="240" w:lineRule="auto"/>
        <w:ind w:left="720"/>
      </w:pPr>
      <w:r/>
      <w:r>
        <w:t>A primavera (</w:t>
      </w:r>
      <w:r>
        <w:rPr>
          <w:i/>
        </w:rPr>
        <w:t>aviv</w:t>
      </w:r>
      <w:r>
        <w:t>) começa com o equinócio da primavera (21 de março);</w:t>
      </w:r>
    </w:p>
    <w:p>
      <w:pPr>
        <w:pStyle w:val="ListBullet"/>
        <w:spacing w:line="240" w:lineRule="auto"/>
        <w:ind w:left="720"/>
      </w:pPr>
      <w:r/>
      <w:r>
        <w:t>O verão (</w:t>
      </w:r>
      <w:r>
        <w:rPr>
          <w:i/>
        </w:rPr>
        <w:t>qayits</w:t>
      </w:r>
      <w:r>
        <w:t>) começa com o solstício de verão (22 de junho).</w:t>
      </w:r>
    </w:p>
    <w:p>
      <w:r/>
      <w:r>
        <w:t>Um templo encontrado em Berseba, datado de 125 a.C., estava alinhado com o nascer do sol no solstício de verão. Um templo semelhante em Laquis está orientado para o solstício de inverno. O templo de Arade dos tempos monárquicos estava voltado quase diretamente para o Leste. Provavelmente estava alinhado com o nascer do sol no equinócio, assim como o templo de Jerusalém.</w:t>
      </w:r>
    </w:p>
    <w:p>
      <w:r/>
      <w:r>
        <w:t>Na poesia hebraica, o sol é frequentemente usado como uma imagem poderosa. É descrito como:</w:t>
      </w:r>
    </w:p>
    <w:p>
      <w:pPr>
        <w:pStyle w:val="ListBullet"/>
        <w:spacing w:line="240" w:lineRule="auto"/>
        <w:ind w:left="720"/>
      </w:pPr>
      <w:r/>
      <w:r>
        <w:t>Ter um lugar de habitação (</w:t>
      </w:r>
      <w:hyperlink r:id="rId13347">
        <w:r>
          <w:rPr>
            <w:color w:val="0000EE"/>
            <w:u w:val="single"/>
          </w:rPr>
          <w:t>Habacuque 3.11</w:t>
        </w:r>
      </w:hyperlink>
      <w:r>
        <w:t>);</w:t>
      </w:r>
    </w:p>
    <w:p>
      <w:pPr>
        <w:pStyle w:val="ListBullet"/>
        <w:spacing w:line="240" w:lineRule="auto"/>
        <w:ind w:left="720"/>
      </w:pPr>
      <w:r/>
      <w:r>
        <w:t>Saindo de uma tenda como um noivo (</w:t>
      </w:r>
      <w:hyperlink r:id="rId19723">
        <w:r>
          <w:rPr>
            <w:color w:val="0000EE"/>
            <w:u w:val="single"/>
          </w:rPr>
          <w:t>Salmo 19.4–5</w:t>
        </w:r>
      </w:hyperlink>
      <w:r>
        <w:t>).</w:t>
      </w:r>
    </w:p>
    <w:p>
      <w:r/>
      <w:r>
        <w:t>O sol simboliza:</w:t>
      </w:r>
    </w:p>
    <w:p>
      <w:pPr>
        <w:pStyle w:val="ListBullet"/>
        <w:spacing w:line="240" w:lineRule="auto"/>
        <w:ind w:left="720"/>
      </w:pPr>
      <w:r/>
      <w:r>
        <w:t>Constância (</w:t>
      </w:r>
      <w:hyperlink r:id="rId13343">
        <w:r>
          <w:rPr>
            <w:color w:val="0000EE"/>
            <w:u w:val="single"/>
          </w:rPr>
          <w:t>Salmo 72.5,17</w:t>
        </w:r>
      </w:hyperlink>
      <w:r>
        <w:t>);</w:t>
      </w:r>
    </w:p>
    <w:p>
      <w:pPr>
        <w:pStyle w:val="ListBullet"/>
        <w:spacing w:line="240" w:lineRule="auto"/>
        <w:ind w:left="720"/>
      </w:pPr>
      <w:r/>
      <w:r>
        <w:t>A lei (</w:t>
      </w:r>
      <w:hyperlink r:id="rId19724">
        <w:r>
          <w:rPr>
            <w:color w:val="0000EE"/>
            <w:u w:val="single"/>
          </w:rPr>
          <w:t>Salmo 19.7</w:t>
        </w:r>
      </w:hyperlink>
      <w:r>
        <w:t>);</w:t>
      </w:r>
    </w:p>
    <w:p>
      <w:pPr>
        <w:pStyle w:val="ListBullet"/>
        <w:spacing w:line="240" w:lineRule="auto"/>
        <w:ind w:left="720"/>
      </w:pPr>
      <w:r/>
      <w:r>
        <w:t>A presença de Deus (</w:t>
      </w:r>
      <w:hyperlink r:id="rId19725">
        <w:r>
          <w:rPr>
            <w:color w:val="0000EE"/>
            <w:u w:val="single"/>
          </w:rPr>
          <w:t>Salmo 84.11</w:t>
        </w:r>
      </w:hyperlink>
      <w:r>
        <w:t>);</w:t>
      </w:r>
    </w:p>
    <w:p>
      <w:pPr>
        <w:pStyle w:val="ListBullet"/>
        <w:spacing w:line="240" w:lineRule="auto"/>
        <w:ind w:left="720"/>
      </w:pPr>
      <w:r/>
      <w:r>
        <w:t>Beleza (</w:t>
      </w:r>
      <w:hyperlink r:id="rId3356">
        <w:r>
          <w:rPr>
            <w:color w:val="0000EE"/>
            <w:u w:val="single"/>
          </w:rPr>
          <w:t>Cântico dos Cânticos 6.10</w:t>
        </w:r>
      </w:hyperlink>
      <w:r>
        <w:t>).</w:t>
      </w:r>
    </w:p>
    <w:p>
      <w:r/>
      <w:r>
        <w:t>Em Eclesiastes, a vida na terra é frequentemente descrita como acontecendo "debaixo do sol" (</w:t>
      </w:r>
      <w:hyperlink r:id="rId19726">
        <w:r>
          <w:rPr>
            <w:color w:val="0000EE"/>
            <w:u w:val="single"/>
          </w:rPr>
          <w:t>Eclesiastes 1.3,9,14</w:t>
        </w:r>
      </w:hyperlink>
      <w:r>
        <w:t xml:space="preserve">; </w:t>
      </w:r>
      <w:hyperlink r:id="rId19727">
        <w:r>
          <w:rPr>
            <w:color w:val="0000EE"/>
            <w:u w:val="single"/>
          </w:rPr>
          <w:t>2.11</w:t>
        </w:r>
      </w:hyperlink>
      <w:r>
        <w:t>).</w:t>
      </w:r>
    </w:p>
    <w:p>
      <w:r/>
      <w:r>
        <w:t>Em tempos de caos e ira divina, a Bíblia descreve o sol como escurecendo (</w:t>
      </w:r>
      <w:hyperlink r:id="rId7063">
        <w:r>
          <w:rPr>
            <w:color w:val="0000EE"/>
            <w:u w:val="single"/>
          </w:rPr>
          <w:t>Isaías 13.10</w:t>
        </w:r>
      </w:hyperlink>
      <w:r>
        <w:t xml:space="preserve">; </w:t>
      </w:r>
      <w:hyperlink r:id="rId13345">
        <w:r>
          <w:rPr>
            <w:color w:val="0000EE"/>
            <w:u w:val="single"/>
          </w:rPr>
          <w:t>Ezequiel 32.7</w:t>
        </w:r>
      </w:hyperlink>
      <w:r>
        <w:t xml:space="preserve">; </w:t>
      </w:r>
      <w:hyperlink r:id="rId13346">
        <w:r>
          <w:rPr>
            <w:color w:val="0000EE"/>
            <w:u w:val="single"/>
          </w:rPr>
          <w:t>Joel 2.10,31</w:t>
        </w:r>
      </w:hyperlink>
      <w:r>
        <w:t xml:space="preserve">; </w:t>
      </w:r>
      <w:hyperlink r:id="rId7064">
        <w:r>
          <w:rPr>
            <w:color w:val="0000EE"/>
            <w:u w:val="single"/>
          </w:rPr>
          <w:t>3.15</w:t>
        </w:r>
      </w:hyperlink>
      <w:r>
        <w:t xml:space="preserve">; </w:t>
      </w:r>
      <w:hyperlink r:id="rId8317">
        <w:r>
          <w:rPr>
            <w:color w:val="0000EE"/>
            <w:u w:val="single"/>
          </w:rPr>
          <w:t>Sofonias 1.15</w:t>
        </w:r>
      </w:hyperlink>
      <w:r>
        <w:t xml:space="preserve">; </w:t>
      </w:r>
      <w:hyperlink r:id="rId2123">
        <w:r>
          <w:rPr>
            <w:color w:val="0000EE"/>
            <w:u w:val="single"/>
          </w:rPr>
          <w:t>Mateus 24.29</w:t>
        </w:r>
      </w:hyperlink>
      <w:r>
        <w:t xml:space="preserve">; </w:t>
      </w:r>
      <w:hyperlink r:id="rId19728">
        <w:r>
          <w:rPr>
            <w:color w:val="0000EE"/>
            <w:u w:val="single"/>
          </w:rPr>
          <w:t>Apocalipse 8.12</w:t>
        </w:r>
      </w:hyperlink>
      <w:r>
        <w:t>). Essa imagem provavelmente se refere a um eclipse, um evento que aterrorizava os povos antigos. O sol tornando-se pálido também pode se referir aos efeitos de um "siroco", onde tempestades de areia e nuvens nebulosas escurecem o céu. Por outro lado, o dia da vitória do Senhor é retratado como um tempo em que o sol brilhará sete vezes mais do que brilha agora (</w:t>
      </w:r>
      <w:hyperlink r:id="rId13334">
        <w:r>
          <w:rPr>
            <w:color w:val="0000EE"/>
            <w:u w:val="single"/>
          </w:rPr>
          <w:t>Isaías 30.26</w:t>
        </w:r>
      </w:hyperlink>
      <w:r>
        <w:t>).</w:t>
      </w:r>
    </w:p>
    <w:p>
      <w:r/>
      <w:r>
        <w:rPr>
          <w:i/>
        </w:rPr>
        <w:t>Veja também</w:t>
      </w:r>
      <w:r>
        <w:t xml:space="preserve"> </w:t>
      </w:r>
      <w:r>
        <w:t>Astronomia</w:t>
      </w:r>
      <w:r>
        <w:t xml:space="preserve">; </w:t>
      </w:r>
      <w:r>
        <w:t>Calendários, Antigos e modernos</w:t>
      </w:r>
      <w:r>
        <w:t xml:space="preserve">; </w:t>
      </w:r>
      <w:r>
        <w:t>Dia</w:t>
      </w:r>
      <w:r>
        <w:t xml:space="preserve">; </w:t>
      </w:r>
      <w:r>
        <w:t>Lua</w:t>
      </w:r>
      <w:r>
        <w:t>.</w:t>
      </w:r>
      <w:r/>
      <w:r/>
    </w:p>
    <w:p>
      <w:r/>
    </w:p>
    <w:p>
      <w:pPr>
        <w:pStyle w:val="Heading2"/>
      </w:pPr>
      <w:r>
        <w:t>Sonhos</w:t>
      </w:r>
      <w:r/>
    </w:p>
    <w:p>
      <w:r/>
      <w:r>
        <w:t>Pensamentos, imagens ou emoções que ocorrem durante o sono. Os sonhos sempre fascinaram as pessoas; os eventos vividos nos sonhos são tão vívidos e reais que não podem ser ignorados.</w:t>
      </w:r>
    </w:p>
    <w:p>
      <w:pPr>
        <w:pStyle w:val="Heading3"/>
      </w:pPr>
      <w:r>
        <w:t>Compreensão antiga</w:t>
      </w:r>
    </w:p>
    <w:p>
      <w:r/>
      <w:r>
        <w:t>Desde os tempos mais remotos, as pessoas viam os sonhos como um mistério, provocando especulações sobre outra esfera real de existência na qual a pessoa vivia e agia enquanto o corpo dormia. Os sonhos, especialmente os de imperadores e reis, eram considerados mensagens divinas.</w:t>
      </w:r>
    </w:p>
    <w:p>
      <w:r/>
      <w:r>
        <w:t>Os sonhos antigos registrados se concentravam em três áreas principais: religião, política e destino pessoal. Os sonhos religiosos exigiam piedade e devoção aos deuses. Os sonhos políticos supostamente previam o resultado de batalhas e o futuro das nações. Os sonhos pessoais orientavam decisões familiares e prenunciavam crises sérias.</w:t>
      </w:r>
    </w:p>
    <w:p>
      <w:r/>
      <w:r>
        <w:t>Às vezes, o deus tomava a iniciativa e avisava a pessoa sobre algo inesperado. Em outras ocasiões, o governante ou general ia a um templo pagão ou lugar sagrado e dormia lá, na esperança de ter um sonho que o ajudasse a lidar com algum problema sério. Em alguns sonhos, a mensagem era clara; mais frequentemente, ela precisava ser decifrada por indivíduos especializados na interpretação de sonhos. Registros eram mantidos sobre sonhos específicos e os eventos subsequentes.</w:t>
      </w:r>
    </w:p>
    <w:p>
      <w:pPr>
        <w:pStyle w:val="Heading3"/>
      </w:pPr>
      <w:r>
        <w:t>Uso no Antigo Testamento</w:t>
      </w:r>
    </w:p>
    <w:p>
      <w:r/>
      <w:r>
        <w:t>Os sonhos desempenharam um papel importante na vida do povo de Deus. Das quase 120 referências a sonhos no AT, 52 aparecem em Gênesis durante o período patriarcal inicial e 29 no livro de Daniel. No entanto, apenas 14 sonhos específicos são registrados no AT. A maioria deles está em Gênesis e reflete a revelação direta de Deus aos patriarcas. Mesmo Daniel menciona apenas dois dos sonhos de Nabucodonosor — a grande imagem em forma de homem e a árvore gigantesca cortada — e seu próprio sonho sobre as quatro feras e o Ancião de Dias.</w:t>
      </w:r>
    </w:p>
    <w:p>
      <w:r/>
      <w:r>
        <w:t>A compreensão dos sonhos no Antigo Testamento possuía várias características significativas. Assim como no restante do mundo antigo, o povo de Deus acreditava que Ele se comunicava através dos sonhos. No entanto, nos relatos do Antigo Testamento, há uma reserva que falta nas cenas perversas e obscenas frequentemente descritas nos registros de sonhos pagãos. Outra distinção é que Deus é o iniciador; Ele concede os sonhos revelatórios quando, onde e a quem deseja — uma verdade dolorosamente aprendida por Saul (</w:t>
      </w:r>
      <w:hyperlink r:id="rId19729">
        <w:r>
          <w:rPr>
            <w:color w:val="0000EE"/>
            <w:u w:val="single"/>
          </w:rPr>
          <w:t>1Sm 28.6,15</w:t>
        </w:r>
      </w:hyperlink>
      <w:r>
        <w:t>). Mais significativamente, a abordagem secular para interpretação foi especificamente rejeitada. A compreensão dos símbolos dos sonhos não vinha por pesquisa em livros de sonhos ou por habilidade humana natural. Quando José interpretou os sonhos de seus dois companheiros de prisão egípcios e, mais tarde, do próprio Faraó, ele insistiu em dar todo o crédito a Deus (</w:t>
      </w:r>
      <w:hyperlink r:id="rId11113">
        <w:r>
          <w:rPr>
            <w:color w:val="0000EE"/>
            <w:u w:val="single"/>
          </w:rPr>
          <w:t>Gn 40.8</w:t>
        </w:r>
      </w:hyperlink>
      <w:r>
        <w:t xml:space="preserve">; </w:t>
      </w:r>
      <w:hyperlink r:id="rId19730">
        <w:r>
          <w:rPr>
            <w:color w:val="0000EE"/>
            <w:u w:val="single"/>
          </w:rPr>
          <w:t>41.7,25,28,39</w:t>
        </w:r>
      </w:hyperlink>
      <w:r>
        <w:t>). Da mesma forma, Daniel informou a Nabucodonosor que o Deus no céu que revela segredos faria conhecido o sonho do rei e seu significado, tarefa na qual os intérpretes profissionais de sonhos haviam falhado (</w:t>
      </w:r>
      <w:hyperlink r:id="rId19731">
        <w:r>
          <w:rPr>
            <w:color w:val="0000EE"/>
            <w:u w:val="single"/>
          </w:rPr>
          <w:t>Dn 2.27–28</w:t>
        </w:r>
      </w:hyperlink>
      <w:r>
        <w:t>).</w:t>
      </w:r>
    </w:p>
    <w:p>
      <w:r/>
      <w:r>
        <w:t>Ao contrário de seus vizinhos, os santos do AT sabiam que um sonho era uma "visão da noite" (</w:t>
      </w:r>
      <w:hyperlink r:id="rId19732">
        <w:r>
          <w:rPr>
            <w:color w:val="0000EE"/>
            <w:u w:val="single"/>
          </w:rPr>
          <w:t>Jó 33.15</w:t>
        </w:r>
      </w:hyperlink>
      <w:r>
        <w:t>), e figurativamente representava o reino espiritual (</w:t>
      </w:r>
      <w:hyperlink r:id="rId19733">
        <w:r>
          <w:rPr>
            <w:color w:val="0000EE"/>
            <w:u w:val="single"/>
          </w:rPr>
          <w:t>Jó 20.8</w:t>
        </w:r>
      </w:hyperlink>
      <w:r>
        <w:t xml:space="preserve">; </w:t>
      </w:r>
      <w:hyperlink r:id="rId19734">
        <w:r>
          <w:rPr>
            <w:color w:val="0000EE"/>
            <w:u w:val="single"/>
          </w:rPr>
          <w:t>Sl 73.20</w:t>
        </w:r>
      </w:hyperlink>
      <w:r>
        <w:t xml:space="preserve">; </w:t>
      </w:r>
      <w:hyperlink r:id="rId18880">
        <w:r>
          <w:rPr>
            <w:color w:val="0000EE"/>
            <w:u w:val="single"/>
          </w:rPr>
          <w:t>126.1</w:t>
        </w:r>
      </w:hyperlink>
      <w:r>
        <w:t xml:space="preserve">; </w:t>
      </w:r>
      <w:hyperlink r:id="rId19735">
        <w:r>
          <w:rPr>
            <w:color w:val="0000EE"/>
            <w:u w:val="single"/>
          </w:rPr>
          <w:t>Is 29.7–8</w:t>
        </w:r>
      </w:hyperlink>
      <w:r>
        <w:t>).</w:t>
      </w:r>
    </w:p>
    <w:p>
      <w:r/>
      <w:r>
        <w:t>Deus usou sonhos nos dias do AT para proteger seus servos (</w:t>
      </w:r>
      <w:hyperlink r:id="rId91">
        <w:r>
          <w:rPr>
            <w:color w:val="0000EE"/>
            <w:u w:val="single"/>
          </w:rPr>
          <w:t>Gn 20</w:t>
        </w:r>
      </w:hyperlink>
      <w:r>
        <w:t>), para se revelar às pessoas de uma maneira especial (</w:t>
      </w:r>
      <w:hyperlink r:id="rId1935">
        <w:r>
          <w:rPr>
            <w:color w:val="0000EE"/>
            <w:u w:val="single"/>
          </w:rPr>
          <w:t>28.12</w:t>
        </w:r>
      </w:hyperlink>
      <w:r>
        <w:t>), para fornecer orientação em circunstâncias específicas (</w:t>
      </w:r>
      <w:hyperlink r:id="rId19736">
        <w:r>
          <w:rPr>
            <w:color w:val="0000EE"/>
            <w:u w:val="single"/>
          </w:rPr>
          <w:t>31.10–13</w:t>
        </w:r>
      </w:hyperlink>
      <w:r>
        <w:t>) e para avisar sobre eventos futuros pessoais (</w:t>
      </w:r>
      <w:hyperlink r:id="rId19737">
        <w:r>
          <w:rPr>
            <w:color w:val="0000EE"/>
            <w:u w:val="single"/>
          </w:rPr>
          <w:t>37.5–20</w:t>
        </w:r>
      </w:hyperlink>
      <w:r>
        <w:t xml:space="preserve">). Sonhos também foram usados para prever a história das nações (caps. </w:t>
      </w:r>
      <w:hyperlink r:id="rId19738">
        <w:r>
          <w:rPr>
            <w:color w:val="0000EE"/>
            <w:u w:val="single"/>
          </w:rPr>
          <w:t>40–41</w:t>
        </w:r>
      </w:hyperlink>
      <w:r>
        <w:t>) e para predizer os quatro grandes impérios mundiais sucessivos que seriam substituídos pelo reino eterno de Deus (</w:t>
      </w:r>
      <w:hyperlink r:id="rId19739">
        <w:r>
          <w:rPr>
            <w:color w:val="0000EE"/>
            <w:u w:val="single"/>
          </w:rPr>
          <w:t>Dn 4.19–27</w:t>
        </w:r>
      </w:hyperlink>
      <w:r>
        <w:t>).</w:t>
      </w:r>
    </w:p>
    <w:p>
      <w:r/>
      <w:r>
        <w:t>Durante os aproximadamente 1.000 anos entre José e Daniel, apenas dois sonhos são registrados. Um assegurou a Gideão que Deus derrotaria os midianitas (</w:t>
      </w:r>
      <w:hyperlink r:id="rId19740">
        <w:r>
          <w:rPr>
            <w:color w:val="0000EE"/>
            <w:u w:val="single"/>
          </w:rPr>
          <w:t>Jz 7.13–15</w:t>
        </w:r>
      </w:hyperlink>
      <w:r>
        <w:t>); o outro diz respeito a como Salomão se tornou tão sábio após seu pedido humilde e altruísta por “um coração compreensivo” (</w:t>
      </w:r>
      <w:hyperlink r:id="rId19741">
        <w:r>
          <w:rPr>
            <w:color w:val="0000EE"/>
            <w:u w:val="single"/>
          </w:rPr>
          <w:t>1Rs 3.9,15</w:t>
        </w:r>
      </w:hyperlink>
      <w:r>
        <w:t>), o que agradou profundamente a Deus.</w:t>
      </w:r>
    </w:p>
    <w:p>
      <w:r/>
      <w:r>
        <w:t>Nos últimos sonhos do Antigo Testamento, Deus deu a Nabucodonosor uma visão geral da futura história mundial (</w:t>
      </w:r>
      <w:hyperlink r:id="rId2184">
        <w:r>
          <w:rPr>
            <w:color w:val="0000EE"/>
            <w:u w:val="single"/>
          </w:rPr>
          <w:t>Dn 2.31–45</w:t>
        </w:r>
      </w:hyperlink>
      <w:r>
        <w:t>) e uma previsão da insanidade temporária do rei (</w:t>
      </w:r>
      <w:hyperlink r:id="rId19739">
        <w:r>
          <w:rPr>
            <w:color w:val="0000EE"/>
            <w:u w:val="single"/>
          </w:rPr>
          <w:t>4.19–27</w:t>
        </w:r>
      </w:hyperlink>
      <w:r>
        <w:t>). O sonho de Daniel sobre os quatro animais foi semelhante aos primeiros sonhos do rei, mas com detalhes adicionais sobre as futuras relações internacionais (</w:t>
      </w:r>
      <w:hyperlink r:id="rId3649">
        <w:r>
          <w:rPr>
            <w:color w:val="0000EE"/>
            <w:u w:val="single"/>
          </w:rPr>
          <w:t>7.13–14</w:t>
        </w:r>
      </w:hyperlink>
      <w:r>
        <w:t>).</w:t>
      </w:r>
    </w:p>
    <w:p>
      <w:r/>
      <w:r>
        <w:t>Os sonhos eram vistos como um meio pelo qual Deus falava aos profetas (</w:t>
      </w:r>
      <w:hyperlink r:id="rId17553">
        <w:r>
          <w:rPr>
            <w:color w:val="0000EE"/>
            <w:u w:val="single"/>
          </w:rPr>
          <w:t>Nm 12.6</w:t>
        </w:r>
      </w:hyperlink>
      <w:r>
        <w:t>). Mas como o povo de Deus poderia distinguir um verdadeiro profeta de um impostor? Deus deu dois testes: a capacidade de prever o futuro imediato (</w:t>
      </w:r>
      <w:hyperlink r:id="rId8364">
        <w:r>
          <w:rPr>
            <w:color w:val="0000EE"/>
            <w:u w:val="single"/>
          </w:rPr>
          <w:t>Dt 18.22</w:t>
        </w:r>
      </w:hyperlink>
      <w:r>
        <w:t>) e a consistência da mensagem com a verdade previamente revelada (</w:t>
      </w:r>
      <w:hyperlink r:id="rId14405">
        <w:r>
          <w:rPr>
            <w:color w:val="0000EE"/>
            <w:u w:val="single"/>
          </w:rPr>
          <w:t>13.1–4</w:t>
        </w:r>
      </w:hyperlink>
      <w:r>
        <w:t xml:space="preserve">). Falsos profetas eram condenados à morte (v. </w:t>
      </w:r>
      <w:hyperlink r:id="rId17662">
        <w:r>
          <w:rPr>
            <w:color w:val="0000EE"/>
            <w:u w:val="single"/>
          </w:rPr>
          <w:t>5</w:t>
        </w:r>
      </w:hyperlink>
      <w:r>
        <w:t>). A falsa profecia era um problema sério nos dias de Jeremias (</w:t>
      </w:r>
      <w:hyperlink r:id="rId19742">
        <w:r>
          <w:rPr>
            <w:color w:val="0000EE"/>
            <w:u w:val="single"/>
          </w:rPr>
          <w:t>Jr 23.25–32</w:t>
        </w:r>
      </w:hyperlink>
      <w:r>
        <w:t>) e Zacarias (</w:t>
      </w:r>
      <w:hyperlink r:id="rId19743">
        <w:r>
          <w:rPr>
            <w:color w:val="0000EE"/>
            <w:u w:val="single"/>
          </w:rPr>
          <w:t>Zc 10.2</w:t>
        </w:r>
      </w:hyperlink>
      <w:r>
        <w:t>). Apesar dos repetidos avisos de Jeremias (</w:t>
      </w:r>
      <w:hyperlink r:id="rId19744">
        <w:r>
          <w:rPr>
            <w:color w:val="0000EE"/>
            <w:u w:val="single"/>
          </w:rPr>
          <w:t>Jr 23.32</w:t>
        </w:r>
      </w:hyperlink>
      <w:r>
        <w:t xml:space="preserve">; </w:t>
      </w:r>
      <w:hyperlink r:id="rId19745">
        <w:r>
          <w:rPr>
            <w:color w:val="0000EE"/>
            <w:u w:val="single"/>
          </w:rPr>
          <w:t>27.9–10</w:t>
        </w:r>
      </w:hyperlink>
      <w:r>
        <w:t xml:space="preserve">; </w:t>
      </w:r>
      <w:hyperlink r:id="rId19746">
        <w:r>
          <w:rPr>
            <w:color w:val="0000EE"/>
            <w:u w:val="single"/>
          </w:rPr>
          <w:t>29.8–9</w:t>
        </w:r>
      </w:hyperlink>
      <w:r>
        <w:t>), o povo preferia ouvir os falsos profetas com suas mensagens vazias de esperança. Os sonhos também faziam parte da esperança profética de Israel (</w:t>
      </w:r>
      <w:hyperlink r:id="rId4970">
        <w:r>
          <w:rPr>
            <w:color w:val="0000EE"/>
            <w:u w:val="single"/>
          </w:rPr>
          <w:t>Jl 2.28</w:t>
        </w:r>
      </w:hyperlink>
      <w:r>
        <w:t>).</w:t>
      </w:r>
    </w:p>
    <w:p>
      <w:pPr>
        <w:pStyle w:val="Heading3"/>
      </w:pPr>
      <w:r>
        <w:t>Uso no Novo Testamento</w:t>
      </w:r>
    </w:p>
    <w:p>
      <w:r/>
      <w:r>
        <w:t>Os poucos sonhos específicos no NT vêm todos de Mateus, cinco deles nos primeiros dois capítulos. Eles destacam o cuidado e a proteção divina do bebê Jesus. Primeiro, houve a provisão de Deus para que Jesus crescesse em um lar com pai e mãe, evitando assim a crueldade e a vergonha de ser injustamente chamado de filho ilegítimo (</w:t>
      </w:r>
      <w:hyperlink r:id="rId19747">
        <w:r>
          <w:rPr>
            <w:color w:val="0000EE"/>
            <w:u w:val="single"/>
          </w:rPr>
          <w:t>Mt 1.19–23</w:t>
        </w:r>
      </w:hyperlink>
      <w:r>
        <w:t>). Em seguida, os homens sábios que estudavam as estrelas foram instruídos em um sonho a não contar a Herodes onde Jesus estava vivendo (</w:t>
      </w:r>
      <w:hyperlink r:id="rId19748">
        <w:r>
          <w:rPr>
            <w:color w:val="0000EE"/>
            <w:u w:val="single"/>
          </w:rPr>
          <w:t>2.12</w:t>
        </w:r>
      </w:hyperlink>
      <w:r>
        <w:t xml:space="preserve">). Jesus foi ainda mais protegido do ciumento Rei Herodes pelo sonho que disse a José para fugir para o Egito com Maria e o menino (v. </w:t>
      </w:r>
      <w:hyperlink r:id="rId1925">
        <w:r>
          <w:rPr>
            <w:color w:val="0000EE"/>
            <w:u w:val="single"/>
          </w:rPr>
          <w:t>13</w:t>
        </w:r>
      </w:hyperlink>
      <w:r>
        <w:t xml:space="preserve">). Com a morte de Herodes, José foi divinamente aconselhado em um sonho a voltar para casa do Egito (v. </w:t>
      </w:r>
      <w:hyperlink r:id="rId19749">
        <w:r>
          <w:rPr>
            <w:color w:val="0000EE"/>
            <w:u w:val="single"/>
          </w:rPr>
          <w:t>20</w:t>
        </w:r>
      </w:hyperlink>
      <w:r>
        <w:t xml:space="preserve">). Finalmente, Deus avisou José para evitar a Judeia, onde o filho maligno de Herodes, Arquelau, reinava, e para se estabelecer na Galileia em vez disso (v. </w:t>
      </w:r>
      <w:hyperlink r:id="rId10607">
        <w:r>
          <w:rPr>
            <w:color w:val="0000EE"/>
            <w:u w:val="single"/>
          </w:rPr>
          <w:t>22</w:t>
        </w:r>
      </w:hyperlink>
      <w:r>
        <w:t>).</w:t>
      </w:r>
    </w:p>
    <w:p>
      <w:r/>
      <w:r>
        <w:t>O único outro sonho específico mencionado no NT levou a esposa de Pilatos a avisar seu marido: “Não tenha nada a ver com esse homem inocente” (</w:t>
      </w:r>
      <w:hyperlink r:id="rId3390">
        <w:r>
          <w:rPr>
            <w:color w:val="0000EE"/>
            <w:u w:val="single"/>
          </w:rPr>
          <w:t>Mt 27.19</w:t>
        </w:r>
      </w:hyperlink>
      <w:r>
        <w:t>, NTLH).</w:t>
      </w:r>
    </w:p>
    <w:p>
      <w:r/>
      <w:r>
        <w:rPr>
          <w:i/>
        </w:rPr>
        <w:t>Veja também</w:t>
      </w:r>
      <w:r>
        <w:t xml:space="preserve"> </w:t>
      </w:r>
      <w:r>
        <w:t>Profecia</w:t>
      </w:r>
      <w:r>
        <w:t xml:space="preserve">; </w:t>
      </w:r>
      <w:r>
        <w:t>Visões</w:t>
      </w:r>
      <w:r>
        <w:t>.</w:t>
      </w:r>
      <w:r/>
      <w:r/>
    </w:p>
    <w:p>
      <w:r/>
    </w:p>
    <w:p>
      <w:pPr>
        <w:pStyle w:val="Heading2"/>
      </w:pPr>
      <w:r>
        <w:t>Sópatro</w:t>
      </w:r>
      <w:r/>
    </w:p>
    <w:p>
      <w:r/>
      <w:r>
        <w:t>Um homem da igreja em Bereia, Sópatro acompanhou o apóstolo Paulo a Jerusalém para entregar a oferta coletada pelas igrejas gentias. Esta oferta era destinada aos cristãos judeus que passavam necessidade devido à fome (</w:t>
      </w:r>
      <w:hyperlink r:id="rId2497">
        <w:r>
          <w:rPr>
            <w:color w:val="0000EE"/>
            <w:u w:val="single"/>
          </w:rPr>
          <w:t>At 20.4</w:t>
        </w:r>
      </w:hyperlink>
      <w:r>
        <w:t>). Sópatro pode ser a mesma pessoa que Sosípatro, o parente de Paulo que enviou saudações à igreja em Roma (</w:t>
      </w:r>
      <w:hyperlink r:id="rId11544">
        <w:r>
          <w:rPr>
            <w:color w:val="0000EE"/>
            <w:u w:val="single"/>
          </w:rPr>
          <w:t>Rm 16.21</w:t>
        </w:r>
      </w:hyperlink>
      <w:r>
        <w:t>).</w:t>
      </w:r>
      <w:r/>
      <w:r/>
    </w:p>
    <w:p>
      <w:r/>
    </w:p>
    <w:p>
      <w:pPr>
        <w:pStyle w:val="Heading2"/>
      </w:pPr>
      <w:r>
        <w:t>Sorte, Lançamento de</w:t>
      </w:r>
      <w:r/>
    </w:p>
    <w:p>
      <w:r/>
      <w:r>
        <w:t>Era uma prática comum no Antigo Testamento, mas tornou-se menos frequente no Novo Testamento antes de Pentecostes. Após Pentecostes, a Bíblia não menciona essa prática.</w:t>
      </w:r>
    </w:p>
    <w:p>
      <w:pPr>
        <w:pStyle w:val="Heading3"/>
      </w:pPr>
      <w:r>
        <w:t>Usos de lançamento de sorte</w:t>
      </w:r>
    </w:p>
    <w:p>
      <w:r/>
      <w:r>
        <w:t>As pessoas usavam o lançar a sorte por diversos motivos:</w:t>
      </w:r>
    </w:p>
    <w:p>
      <w:pPr>
        <w:pStyle w:val="ListNumber"/>
        <w:spacing w:line="240" w:lineRule="auto"/>
        <w:ind w:left="720"/>
      </w:pPr>
      <w:r/>
      <w:r>
        <w:t>Escolhendo o bode expiatório (</w:t>
      </w:r>
      <w:hyperlink r:id="rId19750">
        <w:r>
          <w:rPr>
            <w:color w:val="0000EE"/>
            <w:u w:val="single"/>
          </w:rPr>
          <w:t>Lv 16.8–10</w:t>
        </w:r>
      </w:hyperlink>
      <w:r>
        <w:t>);</w:t>
      </w:r>
    </w:p>
    <w:p>
      <w:pPr>
        <w:pStyle w:val="ListNumber"/>
        <w:spacing w:line="240" w:lineRule="auto"/>
        <w:ind w:left="720"/>
      </w:pPr>
      <w:r/>
      <w:r>
        <w:t>Dividindo a terra entre as tribos (</w:t>
      </w:r>
      <w:hyperlink r:id="rId10534">
        <w:r>
          <w:rPr>
            <w:color w:val="0000EE"/>
            <w:u w:val="single"/>
          </w:rPr>
          <w:t>Nm 26.55,56</w:t>
        </w:r>
      </w:hyperlink>
      <w:r>
        <w:t xml:space="preserve">; </w:t>
      </w:r>
      <w:hyperlink r:id="rId19751">
        <w:r>
          <w:rPr>
            <w:color w:val="0000EE"/>
            <w:u w:val="single"/>
          </w:rPr>
          <w:t>Js 14.2</w:t>
        </w:r>
      </w:hyperlink>
      <w:r>
        <w:t xml:space="preserve">; </w:t>
      </w:r>
      <w:hyperlink r:id="rId19593">
        <w:r>
          <w:rPr>
            <w:color w:val="0000EE"/>
            <w:u w:val="single"/>
          </w:rPr>
          <w:t>Jz 1.3</w:t>
        </w:r>
      </w:hyperlink>
      <w:r>
        <w:t>)</w:t>
      </w:r>
    </w:p>
    <w:p>
      <w:pPr>
        <w:pStyle w:val="ListNumber"/>
        <w:spacing w:line="240" w:lineRule="auto"/>
        <w:ind w:left="720"/>
      </w:pPr>
      <w:r/>
      <w:r>
        <w:t>Decidir quem deve se mover ou ir para a guerra (</w:t>
      </w:r>
      <w:hyperlink r:id="rId19752">
        <w:r>
          <w:rPr>
            <w:color w:val="0000EE"/>
            <w:u w:val="single"/>
          </w:rPr>
          <w:t>Jz 20.9</w:t>
        </w:r>
      </w:hyperlink>
      <w:r>
        <w:t xml:space="preserve">; </w:t>
      </w:r>
      <w:hyperlink r:id="rId19753">
        <w:r>
          <w:rPr>
            <w:color w:val="0000EE"/>
            <w:u w:val="single"/>
          </w:rPr>
          <w:t>Ne 11.1</w:t>
        </w:r>
      </w:hyperlink>
      <w:r>
        <w:t>);</w:t>
      </w:r>
    </w:p>
    <w:p>
      <w:pPr>
        <w:pStyle w:val="ListNumber"/>
        <w:spacing w:line="240" w:lineRule="auto"/>
        <w:ind w:left="720"/>
      </w:pPr>
      <w:r/>
      <w:r>
        <w:t>Atribuição de deveres aos sacerdotes (</w:t>
      </w:r>
      <w:hyperlink r:id="rId19754">
        <w:r>
          <w:rPr>
            <w:color w:val="0000EE"/>
            <w:u w:val="single"/>
          </w:rPr>
          <w:t>1Cr 24.5–19</w:t>
        </w:r>
      </w:hyperlink>
      <w:r>
        <w:t xml:space="preserve">; </w:t>
      </w:r>
      <w:hyperlink r:id="rId19755">
        <w:r>
          <w:rPr>
            <w:color w:val="0000EE"/>
            <w:u w:val="single"/>
          </w:rPr>
          <w:t>Ne 10.34</w:t>
        </w:r>
      </w:hyperlink>
      <w:r>
        <w:t>);</w:t>
      </w:r>
    </w:p>
    <w:p>
      <w:pPr>
        <w:pStyle w:val="ListNumber"/>
        <w:spacing w:line="240" w:lineRule="auto"/>
        <w:ind w:left="720"/>
      </w:pPr>
      <w:r/>
      <w:r>
        <w:t>Descobrindo quem fez algo errado (</w:t>
      </w:r>
      <w:hyperlink r:id="rId19756">
        <w:r>
          <w:rPr>
            <w:color w:val="0000EE"/>
            <w:u w:val="single"/>
          </w:rPr>
          <w:t>Js 7.14–18</w:t>
        </w:r>
      </w:hyperlink>
      <w:r>
        <w:t xml:space="preserve">; compare </w:t>
      </w:r>
      <w:hyperlink r:id="rId19757">
        <w:r>
          <w:rPr>
            <w:color w:val="0000EE"/>
            <w:u w:val="single"/>
          </w:rPr>
          <w:t>Pv 18.18</w:t>
        </w:r>
      </w:hyperlink>
      <w:r>
        <w:t>).</w:t>
      </w:r>
    </w:p>
    <w:p>
      <w:r/>
      <w:r>
        <w:t>As pessoas usavam sortes para decisões importantes quando a sabedoria ou a Bíblia não ofereciam orientação suficiente. Lançar sortes era considerado justo e imparcial. As pessoas acreditavam que Deus dirigia as sortes (</w:t>
      </w:r>
      <w:hyperlink r:id="rId7358">
        <w:r>
          <w:rPr>
            <w:color w:val="0000EE"/>
            <w:u w:val="single"/>
          </w:rPr>
          <w:t>Pv 16.33</w:t>
        </w:r>
      </w:hyperlink>
      <w:r>
        <w:t>).</w:t>
      </w:r>
    </w:p>
    <w:p>
      <w:r/>
      <w:r>
        <w:t>A Bíblia não explica exatamente como as pessoas lançavam sortes. O método parecia variar conforme a situação (</w:t>
      </w:r>
      <w:hyperlink r:id="rId19758">
        <w:r>
          <w:rPr>
            <w:color w:val="0000EE"/>
            <w:u w:val="single"/>
          </w:rPr>
          <w:t>Lv 16.8</w:t>
        </w:r>
      </w:hyperlink>
      <w:r>
        <w:t xml:space="preserve">; </w:t>
      </w:r>
      <w:hyperlink r:id="rId10534">
        <w:r>
          <w:rPr>
            <w:color w:val="0000EE"/>
            <w:u w:val="single"/>
          </w:rPr>
          <w:t>Nm 26.55,56</w:t>
        </w:r>
      </w:hyperlink>
      <w:r>
        <w:t xml:space="preserve">; </w:t>
      </w:r>
      <w:hyperlink r:id="rId19752">
        <w:r>
          <w:rPr>
            <w:color w:val="0000EE"/>
            <w:u w:val="single"/>
          </w:rPr>
          <w:t>Jz 20.9</w:t>
        </w:r>
      </w:hyperlink>
      <w:r>
        <w:t>).</w:t>
      </w:r>
    </w:p>
    <w:p>
      <w:r/>
      <w:r>
        <w:t>Deus nunca disse que lançar sortes era errado. Às vezes, ele até mandou as pessoas fazerem isso (</w:t>
      </w:r>
      <w:hyperlink r:id="rId19758">
        <w:r>
          <w:rPr>
            <w:color w:val="0000EE"/>
            <w:u w:val="single"/>
          </w:rPr>
          <w:t>Lv 16.8</w:t>
        </w:r>
      </w:hyperlink>
      <w:r>
        <w:t xml:space="preserve">; </w:t>
      </w:r>
      <w:hyperlink r:id="rId19757">
        <w:r>
          <w:rPr>
            <w:color w:val="0000EE"/>
            <w:u w:val="single"/>
          </w:rPr>
          <w:t>Pv 18.18</w:t>
        </w:r>
      </w:hyperlink>
      <w:r>
        <w:t xml:space="preserve">; </w:t>
      </w:r>
      <w:hyperlink r:id="rId19759">
        <w:r>
          <w:rPr>
            <w:color w:val="0000EE"/>
            <w:u w:val="single"/>
          </w:rPr>
          <w:t>Is 34.17</w:t>
        </w:r>
      </w:hyperlink>
      <w:r>
        <w:t xml:space="preserve">). </w:t>
      </w:r>
      <w:hyperlink r:id="rId7358">
        <w:r>
          <w:rPr>
            <w:color w:val="0000EE"/>
            <w:u w:val="single"/>
          </w:rPr>
          <w:t>Provérbios 16.33</w:t>
        </w:r>
      </w:hyperlink>
      <w:r>
        <w:t xml:space="preserve"> diz que Deus decide o resultado da sorte. Assim, as pessoas pensavam que a sorte revelava a vontade de Deus.</w:t>
      </w:r>
    </w:p>
    <w:p>
      <w:r/>
      <w:r>
        <w:t>No Novo Testamento, os soldados lançaram sortes pelas roupas de Jesus (</w:t>
      </w:r>
      <w:hyperlink r:id="rId19760">
        <w:r>
          <w:rPr>
            <w:color w:val="0000EE"/>
            <w:u w:val="single"/>
          </w:rPr>
          <w:t>Mt 27.35</w:t>
        </w:r>
      </w:hyperlink>
      <w:r>
        <w:t>). Os discípulos usaram sortes para escolher Matias como um novo apóstolo para substituir Judas (</w:t>
      </w:r>
      <w:hyperlink r:id="rId7337">
        <w:r>
          <w:rPr>
            <w:color w:val="0000EE"/>
            <w:u w:val="single"/>
          </w:rPr>
          <w:t>At 1.26</w:t>
        </w:r>
      </w:hyperlink>
      <w:r>
        <w:t>).</w:t>
      </w:r>
    </w:p>
    <w:p>
      <w:r/>
      <w:r>
        <w:t>Após a vinda do Espírito Santo no Pentecostes, a Bíblia não menciona mais o lançamento de sortes. Alguns especialistas acreditam que a igreja não precisava mais de sortes porque o Espírito Santo guiava suas decisões.</w:t>
      </w:r>
    </w:p>
    <w:p>
      <w:r/>
      <w:r>
        <w:rPr>
          <w:i/>
        </w:rPr>
        <w:t>Veja também</w:t>
      </w:r>
      <w:r>
        <w:t xml:space="preserve"> </w:t>
      </w:r>
      <w:r>
        <w:t>Urim e tumim</w:t>
      </w:r>
      <w:r>
        <w:t>.</w:t>
      </w:r>
      <w:r/>
      <w:r/>
    </w:p>
    <w:p>
      <w:r/>
    </w:p>
    <w:p>
      <w:pPr>
        <w:pStyle w:val="Heading2"/>
      </w:pPr>
      <w:r>
        <w:t>Sosanim, Sosanim-Edute</w:t>
      </w:r>
      <w:r/>
    </w:p>
    <w:p>
      <w:r/>
      <w:r>
        <w:t xml:space="preserve">Palavra e frase hebraica nas superscrições dos </w:t>
      </w:r>
      <w:hyperlink r:id="rId4216">
        <w:r>
          <w:rPr>
            <w:color w:val="0000EE"/>
            <w:u w:val="single"/>
          </w:rPr>
          <w:t>Salmos 45</w:t>
        </w:r>
      </w:hyperlink>
      <w:r>
        <w:t xml:space="preserve">, </w:t>
      </w:r>
      <w:hyperlink r:id="rId14972">
        <w:r>
          <w:rPr>
            <w:color w:val="0000EE"/>
            <w:u w:val="single"/>
          </w:rPr>
          <w:t>69</w:t>
        </w:r>
      </w:hyperlink>
      <w:r>
        <w:t xml:space="preserve"> e </w:t>
      </w:r>
      <w:hyperlink r:id="rId14947">
        <w:r>
          <w:rPr>
            <w:color w:val="0000EE"/>
            <w:u w:val="single"/>
          </w:rPr>
          <w:t>80</w:t>
        </w:r>
      </w:hyperlink>
      <w:r>
        <w:t xml:space="preserve"> (ARC), traduzida como “Os Lírios” (NTLH); possivelmente uma melodia antiga familiar à qual os salmos eram executados. </w:t>
      </w:r>
    </w:p>
    <w:p>
      <w:r/>
      <w:r>
        <w:rPr>
          <w:i/>
        </w:rPr>
        <w:t>Veja</w:t>
      </w:r>
      <w:r>
        <w:t xml:space="preserve"> </w:t>
      </w:r>
      <w:r>
        <w:t>Música</w:t>
      </w:r>
      <w:r>
        <w:t>.</w:t>
      </w:r>
      <w:r/>
      <w:r/>
    </w:p>
    <w:p>
      <w:r/>
    </w:p>
    <w:p>
      <w:pPr>
        <w:pStyle w:val="Heading2"/>
      </w:pPr>
      <w:r>
        <w:t>Sóstenes</w:t>
      </w:r>
      <w:r/>
    </w:p>
    <w:p>
      <w:pPr>
        <w:pStyle w:val="ListNumber"/>
        <w:spacing w:line="240" w:lineRule="auto"/>
        <w:ind w:left="720"/>
      </w:pPr>
      <w:r/>
      <w:r>
        <w:t>Um líder da sinagoga em Corinto. Sóstenes moveu uma ação legal contra Paulo perante Gálio, procônsul da Acaia. Uma multidão, possivelmente composta por gregos, ouviu Gálio rejeitar as acusações judaicas contra Paulo. Então, eles agarraram Sóstenes e o espancaram (</w:t>
      </w:r>
      <w:hyperlink r:id="rId5759">
        <w:r>
          <w:rPr>
            <w:color w:val="0000EE"/>
            <w:u w:val="single"/>
          </w:rPr>
          <w:t>At 18.17</w:t>
        </w:r>
      </w:hyperlink>
      <w:r>
        <w:t>).</w:t>
      </w:r>
    </w:p>
    <w:p>
      <w:pPr>
        <w:pStyle w:val="ListNumber"/>
        <w:spacing w:line="240" w:lineRule="auto"/>
        <w:ind w:left="720"/>
      </w:pPr>
      <w:r/>
      <w:r>
        <w:t xml:space="preserve">Um irmão cristão e companheiro do apóstolo Paulo, conhecido pelos cristãos em Corinto e mencionado por Paulo em </w:t>
      </w:r>
      <w:hyperlink r:id="rId2270">
        <w:r>
          <w:rPr>
            <w:color w:val="0000EE"/>
            <w:u w:val="single"/>
          </w:rPr>
          <w:t>1Co 1.1</w:t>
        </w:r>
      </w:hyperlink>
      <w:r>
        <w:t>.</w:t>
      </w:r>
      <w:r/>
      <w:r/>
    </w:p>
    <w:p>
      <w:r/>
    </w:p>
    <w:p>
      <w:pPr>
        <w:pStyle w:val="Heading2"/>
      </w:pPr>
      <w:r>
        <w:t>Sua</w:t>
      </w:r>
      <w:r/>
    </w:p>
    <w:p>
      <w:r/>
      <w:r>
        <w:t>1. Um dos seis filhos de Abraão com Quetura (</w:t>
      </w:r>
      <w:hyperlink r:id="rId11386">
        <w:r>
          <w:rPr>
            <w:color w:val="0000EE"/>
            <w:u w:val="single"/>
          </w:rPr>
          <w:t>Gn 25.2</w:t>
        </w:r>
      </w:hyperlink>
      <w:r>
        <w:t xml:space="preserve">; </w:t>
      </w:r>
      <w:hyperlink r:id="rId5351">
        <w:r>
          <w:rPr>
            <w:color w:val="0000EE"/>
            <w:u w:val="single"/>
          </w:rPr>
          <w:t>1Cr 1.32</w:t>
        </w:r>
      </w:hyperlink>
      <w:r>
        <w:t>). Ele foi possivelmente o antepassado da tribo árabe suíta, que habitava perto da terra de Uz (</w:t>
      </w:r>
      <w:hyperlink r:id="rId3786">
        <w:r>
          <w:rPr>
            <w:color w:val="0000EE"/>
            <w:u w:val="single"/>
          </w:rPr>
          <w:t>Jó 2.11</w:t>
        </w:r>
      </w:hyperlink>
      <w:r>
        <w:t>).</w:t>
      </w:r>
      <w:r/>
      <w:r/>
    </w:p>
    <w:p>
      <w:r/>
    </w:p>
    <w:p>
      <w:pPr>
        <w:pStyle w:val="Heading2"/>
      </w:pPr>
      <w:r>
        <w:t>Sua</w:t>
      </w:r>
      <w:r/>
    </w:p>
    <w:p>
      <w:r/>
      <w:r>
        <w:t>1. Cananeu cuja filha Judá se casou. Ela deu a Judá três filhos: Er, Onã e Selá (</w:t>
      </w:r>
      <w:hyperlink r:id="rId19761">
        <w:r>
          <w:rPr>
            <w:color w:val="0000EE"/>
            <w:u w:val="single"/>
          </w:rPr>
          <w:t>Gn 38.2–5,12</w:t>
        </w:r>
      </w:hyperlink>
      <w:r>
        <w:t xml:space="preserve">). </w:t>
      </w:r>
      <w:r>
        <w:rPr>
          <w:i/>
        </w:rPr>
        <w:t>Veja</w:t>
      </w:r>
      <w:r>
        <w:t xml:space="preserve"> </w:t>
      </w:r>
      <w:r>
        <w:t>Bate-Sua #1</w:t>
      </w:r>
      <w:r>
        <w:t>.</w:t>
      </w:r>
    </w:p>
    <w:p>
      <w:r/>
      <w:r>
        <w:t>2. Aserita, filha de Héber e irmã de Jaflete, Somer e Hotão (</w:t>
      </w:r>
      <w:hyperlink r:id="rId19762">
        <w:r>
          <w:rPr>
            <w:color w:val="0000EE"/>
            <w:u w:val="single"/>
          </w:rPr>
          <w:t>1Cr 7.32</w:t>
        </w:r>
      </w:hyperlink>
      <w:r>
        <w:t>).</w:t>
      </w:r>
      <w:r/>
      <w:r/>
    </w:p>
    <w:p>
      <w:r/>
    </w:p>
    <w:p>
      <w:pPr>
        <w:pStyle w:val="Heading2"/>
      </w:pPr>
      <w:r>
        <w:t>Suão, Suamitas</w:t>
      </w:r>
      <w:r/>
    </w:p>
    <w:p>
      <w:r/>
      <w:r>
        <w:t>Outro nome para Husim, filho de Dã. Os suamitas são seus descendentes (</w:t>
      </w:r>
      <w:hyperlink r:id="rId6459">
        <w:r>
          <w:rPr>
            <w:color w:val="0000EE"/>
            <w:u w:val="single"/>
          </w:rPr>
          <w:t>Nm 26.42–43</w:t>
        </w:r>
      </w:hyperlink>
      <w:r>
        <w:t>).</w:t>
      </w:r>
    </w:p>
    <w:p>
      <w:r/>
      <w:r>
        <w:rPr>
          <w:i/>
        </w:rPr>
        <w:t>Veja também</w:t>
      </w:r>
      <w:r>
        <w:t xml:space="preserve"> </w:t>
      </w:r>
      <w:r>
        <w:t>Husim #1</w:t>
      </w:r>
      <w:r>
        <w:t>.</w:t>
      </w:r>
      <w:r/>
      <w:r/>
    </w:p>
    <w:p>
      <w:r/>
    </w:p>
    <w:p>
      <w:pPr>
        <w:pStyle w:val="Heading2"/>
      </w:pPr>
      <w:r>
        <w:t>Suborno, Corrupção</w:t>
      </w:r>
      <w:r/>
    </w:p>
    <w:p>
      <w:r/>
      <w:r>
        <w:t>Dar a uma pessoa de autoridade algo valioso para influenciá-la. O suborno não era permitido na lei do Antigo Testamento (</w:t>
      </w:r>
      <w:hyperlink r:id="rId7223">
        <w:r>
          <w:rPr>
            <w:color w:val="0000EE"/>
            <w:u w:val="single"/>
          </w:rPr>
          <w:t>Êx 23.8</w:t>
        </w:r>
      </w:hyperlink>
      <w:r>
        <w:t xml:space="preserve">; </w:t>
      </w:r>
      <w:hyperlink r:id="rId19763">
        <w:r>
          <w:rPr>
            <w:color w:val="0000EE"/>
            <w:u w:val="single"/>
          </w:rPr>
          <w:t>Dt 16.19</w:t>
        </w:r>
      </w:hyperlink>
      <w:r>
        <w:t>). Também foi condenado pelos profetas (</w:t>
      </w:r>
      <w:hyperlink r:id="rId8335">
        <w:r>
          <w:rPr>
            <w:color w:val="0000EE"/>
            <w:u w:val="single"/>
          </w:rPr>
          <w:t>Is 1.23</w:t>
        </w:r>
      </w:hyperlink>
      <w:r>
        <w:t xml:space="preserve">; </w:t>
      </w:r>
      <w:hyperlink r:id="rId17585">
        <w:r>
          <w:rPr>
            <w:color w:val="0000EE"/>
            <w:u w:val="single"/>
          </w:rPr>
          <w:t>Am 5.12</w:t>
        </w:r>
      </w:hyperlink>
      <w:r>
        <w:t xml:space="preserve">; </w:t>
      </w:r>
      <w:hyperlink r:id="rId14117">
        <w:r>
          <w:rPr>
            <w:color w:val="0000EE"/>
            <w:u w:val="single"/>
          </w:rPr>
          <w:t>Mq 3.11</w:t>
        </w:r>
      </w:hyperlink>
      <w:r>
        <w:t>). Embora Samuel tenha negado que alguma vez tenha aceitado suborno, seus filhos não mantiveram o mesmo padrão (</w:t>
      </w:r>
      <w:hyperlink r:id="rId19764">
        <w:r>
          <w:rPr>
            <w:color w:val="0000EE"/>
            <w:u w:val="single"/>
          </w:rPr>
          <w:t>1Sm 8.3</w:t>
        </w:r>
      </w:hyperlink>
      <w:r>
        <w:t xml:space="preserve">; </w:t>
      </w:r>
      <w:hyperlink r:id="rId18471">
        <w:r>
          <w:rPr>
            <w:color w:val="0000EE"/>
            <w:u w:val="single"/>
          </w:rPr>
          <w:t>12.3</w:t>
        </w:r>
      </w:hyperlink>
      <w:r>
        <w:t>).</w:t>
      </w:r>
    </w:p>
    <w:p>
      <w:r/>
      <w:r>
        <w:t>A diferença entre suborno e dar presentes nem sempre foi clara. Portanto, oferecer algo valioso é visto como uma maneira de prevenir conflitos indesejados (</w:t>
      </w:r>
      <w:hyperlink r:id="rId19765">
        <w:r>
          <w:rPr>
            <w:color w:val="0000EE"/>
            <w:u w:val="single"/>
          </w:rPr>
          <w:t>Pv 21.14</w:t>
        </w:r>
      </w:hyperlink>
      <w:r>
        <w:t>). Dar um presente é descrito (nem como bom nem como ruim) como uma maneira de progredir (</w:t>
      </w:r>
      <w:hyperlink r:id="rId17846">
        <w:r>
          <w:rPr>
            <w:color w:val="0000EE"/>
            <w:u w:val="single"/>
          </w:rPr>
          <w:t>Pv 18.16</w:t>
        </w:r>
      </w:hyperlink>
      <w:r>
        <w:t>).</w:t>
      </w:r>
    </w:p>
    <w:p>
      <w:r/>
      <w:r>
        <w:t>Na maior parte, a Bíblia afirma que o suborno é maligno. “O homem perverso aceita um suborno oculto para perverter o curso da justiça” (</w:t>
      </w:r>
      <w:hyperlink r:id="rId19766">
        <w:r>
          <w:rPr>
            <w:color w:val="0000EE"/>
            <w:u w:val="single"/>
          </w:rPr>
          <w:t>Pv 17.23</w:t>
        </w:r>
      </w:hyperlink>
      <w:r>
        <w:t>). Qualquer sistema que permite suborno dá às pessoas ricas uma vantagem injusta ao tentar persuadir líderes e juízes. Pessoas pobres acham difícil obter um tratamento justo. Pessoas inocentes que são pobres podem ser consideradas culpadas, enquanto pessoas culpadas que são ricas podem oferecer um grande suborno e ficar livres (</w:t>
      </w:r>
      <w:hyperlink r:id="rId19767">
        <w:r>
          <w:rPr>
            <w:color w:val="0000EE"/>
            <w:u w:val="single"/>
          </w:rPr>
          <w:t>Sl 15.5b</w:t>
        </w:r>
      </w:hyperlink>
      <w:r>
        <w:t xml:space="preserve">; </w:t>
      </w:r>
      <w:hyperlink r:id="rId19768">
        <w:r>
          <w:rPr>
            <w:color w:val="0000EE"/>
            <w:u w:val="single"/>
          </w:rPr>
          <w:t>Is 5.23</w:t>
        </w:r>
      </w:hyperlink>
      <w:r>
        <w:t>). Nos piores casos, subornos foram usados para contratar pessoas e matar outras (</w:t>
      </w:r>
      <w:hyperlink r:id="rId19769">
        <w:r>
          <w:rPr>
            <w:color w:val="0000EE"/>
            <w:u w:val="single"/>
          </w:rPr>
          <w:t>Dt 27.25</w:t>
        </w:r>
      </w:hyperlink>
      <w:r>
        <w:t xml:space="preserve">; </w:t>
      </w:r>
      <w:hyperlink r:id="rId3079">
        <w:r>
          <w:rPr>
            <w:color w:val="0000EE"/>
            <w:u w:val="single"/>
          </w:rPr>
          <w:t>Ez 22.12</w:t>
        </w:r>
      </w:hyperlink>
      <w:r>
        <w:t>).</w:t>
      </w:r>
      <w:r/>
      <w:r/>
    </w:p>
    <w:p>
      <w:r/>
    </w:p>
    <w:p>
      <w:pPr>
        <w:pStyle w:val="Heading2"/>
      </w:pPr>
      <w:r>
        <w:t>Sucote</w:t>
      </w:r>
      <w:r/>
    </w:p>
    <w:p>
      <w:pPr>
        <w:pStyle w:val="ListNumber"/>
        <w:spacing w:line="240" w:lineRule="auto"/>
        <w:ind w:left="720"/>
      </w:pPr>
      <w:r/>
      <w:r>
        <w:t>Uma cidade no Vale do Jordão listada junto com outras cidades como pertencente à tribo de Gade (</w:t>
      </w:r>
      <w:hyperlink r:id="rId3474">
        <w:r>
          <w:rPr>
            <w:color w:val="0000EE"/>
            <w:u w:val="single"/>
          </w:rPr>
          <w:t>Js 13.27</w:t>
        </w:r>
      </w:hyperlink>
      <w:r>
        <w:t>). Sucote está localizada em um vale fértil chamado Ghaur Abu 'Udeidah, conhecido na Bíblia como o vale de Sucote (</w:t>
      </w:r>
      <w:hyperlink r:id="rId19770">
        <w:r>
          <w:rPr>
            <w:color w:val="0000EE"/>
            <w:u w:val="single"/>
          </w:rPr>
          <w:t>Sl 60.6</w:t>
        </w:r>
      </w:hyperlink>
      <w:r>
        <w:t xml:space="preserve">; </w:t>
      </w:r>
      <w:hyperlink r:id="rId19771">
        <w:r>
          <w:rPr>
            <w:color w:val="0000EE"/>
            <w:u w:val="single"/>
          </w:rPr>
          <w:t>108.7</w:t>
        </w:r>
      </w:hyperlink>
      <w:r>
        <w:t>). Este vale forma a porção central do Vale do Jordão no lado leste, entre o Wadi Rejeb e o Rio Jaboque.</w:t>
      </w:r>
    </w:p>
    <w:p>
      <w:r/>
      <w:r>
        <w:t xml:space="preserve">O lugar aparece pela primeira vez na história do encontro de Jacó com Esaú, que aconteceu logo ao sul de Penuel. Após encontrar Esaú, Jacó foi para Sucote e construiu abrigos para seu gado. Isso é dado como a explicação para o nome do assentamento (Sucote significa "abrigos", </w:t>
      </w:r>
      <w:hyperlink r:id="rId3878">
        <w:r>
          <w:rPr>
            <w:color w:val="0000EE"/>
            <w:u w:val="single"/>
          </w:rPr>
          <w:t>Gn 33.17</w:t>
        </w:r>
      </w:hyperlink>
      <w:r>
        <w:t>).</w:t>
      </w:r>
    </w:p>
    <w:p>
      <w:r/>
      <w:r>
        <w:t>Mais tarde, o povo de Sucote recusou-se a dar comida a Gideão e seus homens quando estavam perseguindo os midianitas (</w:t>
      </w:r>
      <w:hyperlink r:id="rId19772">
        <w:r>
          <w:rPr>
            <w:color w:val="0000EE"/>
            <w:u w:val="single"/>
          </w:rPr>
          <w:t>Jz 8.5–9</w:t>
        </w:r>
      </w:hyperlink>
      <w:r>
        <w:t>). Quando Gideão retornou, ele fez questão de punir os anciãos de Sucote (</w:t>
      </w:r>
      <w:hyperlink r:id="rId19773">
        <w:r>
          <w:rPr>
            <w:color w:val="0000EE"/>
            <w:u w:val="single"/>
          </w:rPr>
          <w:t>Jz 8.13–17</w:t>
        </w:r>
      </w:hyperlink>
      <w:r>
        <w:t>). O tipo de organização social descrita nesta passagem sugere que a população pode não ter sido israelita na época da visita de Gideão.</w:t>
      </w:r>
    </w:p>
    <w:p>
      <w:r/>
      <w:r>
        <w:t>Sucote também é mencionada em conexão com os projetos de construção de Salomão. A fundição de metal para importantes acessórios e ferramentas do templo foi feita na área entre Sucote e Zereda (</w:t>
      </w:r>
      <w:hyperlink r:id="rId19774">
        <w:r>
          <w:rPr>
            <w:color w:val="0000EE"/>
            <w:u w:val="single"/>
          </w:rPr>
          <w:t>1Rs 7.46</w:t>
        </w:r>
      </w:hyperlink>
      <w:r>
        <w:t xml:space="preserve">; </w:t>
      </w:r>
      <w:hyperlink r:id="rId19775">
        <w:r>
          <w:rPr>
            <w:color w:val="0000EE"/>
            <w:u w:val="single"/>
          </w:rPr>
          <w:t>2Cr 4.17</w:t>
        </w:r>
      </w:hyperlink>
      <w:r>
        <w:t>). É possível que Sucote tenha sido destruída por Sisaque do Egito durante o período em que Israel era governado por reis.</w:t>
      </w:r>
    </w:p>
    <w:p>
      <w:r/>
      <w:r>
        <w:t>Alguns estudiosos sugerem que o nome do lugar aparece em duas outras passagens: como o local de reunião das forças de Davi antes da batalha com Amom, quando a arca e o exército estavam "vivendo em abrigos (</w:t>
      </w:r>
      <w:r>
        <w:rPr>
          <w:i/>
        </w:rPr>
        <w:t>sukkoth</w:t>
      </w:r>
      <w:r>
        <w:t>)" (</w:t>
      </w:r>
      <w:hyperlink r:id="rId19776">
        <w:r>
          <w:rPr>
            <w:color w:val="0000EE"/>
            <w:u w:val="single"/>
          </w:rPr>
          <w:t>2Sm 11.11</w:t>
        </w:r>
      </w:hyperlink>
      <w:r>
        <w:t>). Em segundo lugar, o local de reunião das tropas de Ben-Hadade em sua guerra contra Samaria (</w:t>
      </w:r>
      <w:hyperlink r:id="rId19777">
        <w:r>
          <w:rPr>
            <w:color w:val="0000EE"/>
            <w:u w:val="single"/>
          </w:rPr>
          <w:t>1Rs 20.12,16</w:t>
        </w:r>
      </w:hyperlink>
      <w:r>
        <w:t>).</w:t>
      </w:r>
    </w:p>
    <w:p>
      <w:pPr>
        <w:pStyle w:val="ListNumber"/>
        <w:spacing w:line="240" w:lineRule="auto"/>
        <w:ind w:left="720"/>
      </w:pPr>
      <w:r/>
      <w:r>
        <w:t>Uma cidade no Egito mencionada como o primeiro ponto de parada dos israelitas durante o Êxodo do Egito (</w:t>
      </w:r>
      <w:hyperlink r:id="rId8830">
        <w:r>
          <w:rPr>
            <w:color w:val="0000EE"/>
            <w:u w:val="single"/>
          </w:rPr>
          <w:t>Êx 12.37</w:t>
        </w:r>
      </w:hyperlink>
      <w:r>
        <w:t xml:space="preserve">; </w:t>
      </w:r>
      <w:hyperlink r:id="rId8597">
        <w:r>
          <w:rPr>
            <w:color w:val="0000EE"/>
            <w:u w:val="single"/>
          </w:rPr>
          <w:t>13.20</w:t>
        </w:r>
      </w:hyperlink>
      <w:r>
        <w:t xml:space="preserve">; </w:t>
      </w:r>
      <w:hyperlink r:id="rId19778">
        <w:r>
          <w:rPr>
            <w:color w:val="0000EE"/>
            <w:u w:val="single"/>
          </w:rPr>
          <w:t>Nm 33.5–6</w:t>
        </w:r>
      </w:hyperlink>
      <w:r>
        <w:t>). Sucote aparece entre Ramessés e Etã.</w:t>
      </w:r>
    </w:p>
    <w:p>
      <w:r/>
      <w:r>
        <w:t xml:space="preserve">Fontes egípcias, textos da coleção Anastasi, referem-se a um lugar que provavelmente é o mesmo que o bíblico Sucote. Uma tribo edomita é registrada como trazendo seus rebanhos do deserto para alimentá-los no Delta, passando pelo ponto forte em </w:t>
      </w:r>
      <w:r>
        <w:rPr>
          <w:i/>
        </w:rPr>
        <w:t>Tkw</w:t>
      </w:r>
      <w:r>
        <w:t xml:space="preserve"> [Antigo Egípcio para Sucote] (Papiro Anastasi VI, 54). A guarnição militar lá era comandada por um líder de tropas de arqueiros, e o forte foi nomeado em homenagem ao Faraó Merneptá (Papiro Anastasi, VI, 55).</w:t>
      </w:r>
    </w:p>
    <w:p>
      <w:r/>
      <w:r>
        <w:t>A maioria dos estudiosos acredita que Sucote está em Tell el-Maschuta, um local próximo à nascente do Wadi Tumeilat.</w:t>
      </w:r>
    </w:p>
    <w:p>
      <w:r/>
      <w:r>
        <w:rPr>
          <w:i/>
        </w:rPr>
        <w:t>Veja</w:t>
      </w:r>
      <w:r>
        <w:t xml:space="preserve"> </w:t>
      </w:r>
      <w:r>
        <w:t>Mapa</w:t>
      </w:r>
      <w:r>
        <w:t>.</w:t>
      </w:r>
      <w:r/>
      <w:r/>
    </w:p>
    <w:p>
      <w:r/>
    </w:p>
    <w:p>
      <w:pPr>
        <w:pStyle w:val="Heading2"/>
      </w:pPr>
      <w:r>
        <w:t>Sufa</w:t>
      </w:r>
      <w:r/>
    </w:p>
    <w:p>
      <w:r/>
      <w:r>
        <w:t>Um lugar a leste do Rio Jordão na terra de Moabe (</w:t>
      </w:r>
      <w:hyperlink r:id="rId13058">
        <w:r>
          <w:rPr>
            <w:color w:val="0000EE"/>
            <w:u w:val="single"/>
          </w:rPr>
          <w:t>Nm 21.14</w:t>
        </w:r>
      </w:hyperlink>
      <w:r>
        <w:t>). Uma versão mais literal traduz como "Mar Vermelho".</w:t>
      </w:r>
    </w:p>
    <w:p>
      <w:r/>
      <w:r>
        <w:rPr>
          <w:i/>
        </w:rPr>
        <w:t>Veja</w:t>
      </w:r>
      <w:r>
        <w:t xml:space="preserve"> </w:t>
      </w:r>
      <w:r>
        <w:t>Vaebe</w:t>
      </w:r>
      <w:r>
        <w:t>.</w:t>
      </w:r>
      <w:r/>
      <w:r/>
    </w:p>
    <w:p>
      <w:r/>
    </w:p>
    <w:p>
      <w:pPr>
        <w:pStyle w:val="Heading2"/>
      </w:pPr>
      <w:r>
        <w:t>Sufã</w:t>
      </w:r>
      <w:r/>
    </w:p>
    <w:p>
      <w:r/>
      <w:r>
        <w:t xml:space="preserve">O quarto filho de Benjamim (chamado "Mupim" em </w:t>
      </w:r>
      <w:hyperlink r:id="rId661">
        <w:r>
          <w:rPr>
            <w:color w:val="0000EE"/>
            <w:u w:val="single"/>
          </w:rPr>
          <w:t>Gn 46.21</w:t>
        </w:r>
      </w:hyperlink>
      <w:r>
        <w:t>) e o pai da família sufamita (</w:t>
      </w:r>
      <w:hyperlink r:id="rId10790">
        <w:r>
          <w:rPr>
            <w:color w:val="0000EE"/>
            <w:u w:val="single"/>
          </w:rPr>
          <w:t>Nm 26.39</w:t>
        </w:r>
      </w:hyperlink>
      <w:r>
        <w:t>; veja ACF). Na genealogia correspondente de Benjamim (</w:t>
      </w:r>
      <w:hyperlink r:id="rId662">
        <w:r>
          <w:rPr>
            <w:color w:val="0000EE"/>
            <w:u w:val="single"/>
          </w:rPr>
          <w:t>1Cr 7.12</w:t>
        </w:r>
      </w:hyperlink>
      <w:r>
        <w:t xml:space="preserve">), ele é chamado de Supim, aparecendo como bisneto de Benjamim. </w:t>
      </w:r>
      <w:r>
        <w:rPr>
          <w:i/>
        </w:rPr>
        <w:t>Veja</w:t>
      </w:r>
      <w:r>
        <w:t xml:space="preserve"> </w:t>
      </w:r>
      <w:r>
        <w:t>Supim #1</w:t>
      </w:r>
      <w:r>
        <w:t>.</w:t>
      </w:r>
    </w:p>
    <w:p>
      <w:r/>
      <w:r>
        <w:rPr>
          <w:i/>
        </w:rPr>
        <w:t>Veja também</w:t>
      </w:r>
      <w:r>
        <w:t xml:space="preserve"> </w:t>
      </w:r>
      <w:r>
        <w:t>Sefufã</w:t>
      </w:r>
      <w:r>
        <w:t>.</w:t>
      </w:r>
      <w:r/>
      <w:r/>
    </w:p>
    <w:p>
      <w:r/>
    </w:p>
    <w:p>
      <w:pPr>
        <w:pStyle w:val="Heading2"/>
      </w:pPr>
      <w:r>
        <w:t>Sufã, Sufamitas</w:t>
      </w:r>
      <w:r/>
    </w:p>
    <w:p>
      <w:r/>
      <w:r>
        <w:t xml:space="preserve">Sufã era um filho de Benjamim e o ancestral da família sufamita, em </w:t>
      </w:r>
      <w:hyperlink r:id="rId10790">
        <w:r>
          <w:rPr>
            <w:color w:val="0000EE"/>
            <w:u w:val="single"/>
          </w:rPr>
          <w:t>Números 26.39</w:t>
        </w:r>
      </w:hyperlink>
      <w:r>
        <w:t>. Muitos manuscritos apresentam a grafia "Sefufã".</w:t>
      </w:r>
      <w:r/>
      <w:r/>
    </w:p>
    <w:p>
      <w:r/>
    </w:p>
    <w:p>
      <w:pPr>
        <w:pStyle w:val="Heading2"/>
      </w:pPr>
      <w:r>
        <w:t>Sufe</w:t>
      </w:r>
      <w:r/>
    </w:p>
    <w:p>
      <w:r/>
      <w:r>
        <w:t xml:space="preserve">Região mencionada em </w:t>
      </w:r>
      <w:hyperlink r:id="rId2314">
        <w:r>
          <w:rPr>
            <w:color w:val="0000EE"/>
            <w:u w:val="single"/>
          </w:rPr>
          <w:t>Deuteronômio 1.1</w:t>
        </w:r>
      </w:hyperlink>
      <w:r>
        <w:t>, que estava "no vale do rio Jordão, perto da cidade de Sufe" ("o Mar Vermelho"). A localização exata de Sufe é incerta. Pode referir-se à região de Sufa (</w:t>
      </w:r>
      <w:hyperlink r:id="rId13058">
        <w:r>
          <w:rPr>
            <w:color w:val="0000EE"/>
            <w:u w:val="single"/>
          </w:rPr>
          <w:t>Nm 21.14</w:t>
        </w:r>
      </w:hyperlink>
      <w:r>
        <w:t>), a leste do Rio Jordão, ou talvez ao Golfo de Ácaba, o braço nordeste do Mar Vermelho.</w:t>
      </w:r>
      <w:r/>
      <w:r/>
    </w:p>
    <w:p>
      <w:r/>
    </w:p>
    <w:p>
      <w:pPr>
        <w:pStyle w:val="Heading2"/>
      </w:pPr>
      <w:r>
        <w:t>Suni, Sunamita</w:t>
      </w:r>
      <w:r/>
    </w:p>
    <w:p>
      <w:r/>
      <w:r>
        <w:t>Terceiro dos sete filhos de Gade (</w:t>
      </w:r>
      <w:hyperlink r:id="rId2469">
        <w:r>
          <w:rPr>
            <w:color w:val="0000EE"/>
            <w:u w:val="single"/>
          </w:rPr>
          <w:t>Gn 46.16</w:t>
        </w:r>
      </w:hyperlink>
      <w:r>
        <w:t>) e a família que ele fundou (</w:t>
      </w:r>
      <w:hyperlink r:id="rId9692">
        <w:r>
          <w:rPr>
            <w:color w:val="0000EE"/>
            <w:u w:val="single"/>
          </w:rPr>
          <w:t>Nm 26.15</w:t>
        </w:r>
      </w:hyperlink>
      <w:r>
        <w:t>).</w:t>
      </w:r>
      <w:r/>
      <w:r/>
    </w:p>
    <w:p>
      <w:r/>
    </w:p>
    <w:p>
      <w:pPr>
        <w:pStyle w:val="Heading2"/>
      </w:pPr>
      <w:r>
        <w:t>Superintendente</w:t>
      </w:r>
      <w:r/>
    </w:p>
    <w:p>
      <w:r/>
      <w:r>
        <w:t xml:space="preserve">Palavra que aparece 7 vezes no AT (ARA) e uma vez no NT. A palavra grega </w:t>
      </w:r>
      <w:r>
        <w:rPr>
          <w:i/>
        </w:rPr>
        <w:t>episkopos</w:t>
      </w:r>
      <w:r>
        <w:t>, que é derivada de “espreitar” ou “vigiar”, é geralmente traduzida nas versões em português por "bispo". No AT, “superintendente” é usado para traduzir três palavras, o que literalmente significa (1) alguém com autoridade que visita, (2) o preeminente, ou (3) o escritor principal.</w:t>
      </w:r>
    </w:p>
    <w:p>
      <w:r/>
      <w:r>
        <w:t>José recebeu autoridade para vigiar e administrar todos os aspectos da casa de Potifar (</w:t>
      </w:r>
      <w:hyperlink r:id="rId19779">
        <w:r>
          <w:rPr>
            <w:color w:val="0000EE"/>
            <w:u w:val="single"/>
          </w:rPr>
          <w:t>Gn 39.4–5</w:t>
        </w:r>
      </w:hyperlink>
      <w:r>
        <w:t>), aconselhando Faraó a nomear 50 homens para regular e vigiar a abundante colheita por sete anos (</w:t>
      </w:r>
      <w:hyperlink r:id="rId19780">
        <w:r>
          <w:rPr>
            <w:color w:val="0000EE"/>
            <w:u w:val="single"/>
          </w:rPr>
          <w:t>41.34</w:t>
        </w:r>
      </w:hyperlink>
      <w:r>
        <w:t>). Salomão nomeou 3.600 superintendentes (“chefes”, NTLH) para fazer as pessoas trabalharem (</w:t>
      </w:r>
      <w:hyperlink r:id="rId19781">
        <w:r>
          <w:rPr>
            <w:color w:val="0000EE"/>
            <w:u w:val="single"/>
          </w:rPr>
          <w:t>2Cr 2.18</w:t>
        </w:r>
      </w:hyperlink>
      <w:r>
        <w:t>). Na época da reforma do templo de Josias, havia superintendentes sobre todos os trabalhadores em todas as tarefas (</w:t>
      </w:r>
      <w:hyperlink r:id="rId19782">
        <w:r>
          <w:rPr>
            <w:color w:val="0000EE"/>
            <w:u w:val="single"/>
          </w:rPr>
          <w:t>34.13, 17</w:t>
        </w:r>
      </w:hyperlink>
      <w:r>
        <w:t>). Neemias nomeou homens para supervisionar a reconstrução do muro (</w:t>
      </w:r>
      <w:hyperlink r:id="rId11997">
        <w:r>
          <w:rPr>
            <w:color w:val="0000EE"/>
            <w:u w:val="single"/>
          </w:rPr>
          <w:t>Ne 11.9, 14</w:t>
        </w:r>
      </w:hyperlink>
      <w:r>
        <w:t xml:space="preserve">), para supervisionar os levitas (v. </w:t>
      </w:r>
      <w:hyperlink r:id="rId2653">
        <w:r>
          <w:rPr>
            <w:color w:val="0000EE"/>
            <w:u w:val="single"/>
          </w:rPr>
          <w:t>22</w:t>
        </w:r>
      </w:hyperlink>
      <w:r>
        <w:t>) e para coordenarem os cantores levitas (</w:t>
      </w:r>
      <w:hyperlink r:id="rId7766">
        <w:r>
          <w:rPr>
            <w:color w:val="0000EE"/>
            <w:u w:val="single"/>
          </w:rPr>
          <w:t>12.42</w:t>
        </w:r>
      </w:hyperlink>
      <w:r>
        <w:t>).</w:t>
      </w:r>
    </w:p>
    <w:p>
      <w:r/>
      <w:r>
        <w:t>A palavra “superintendente” fala da pessoa de maior autoridade que exercia supervisão sobre outros. Incluída nesta supervisão autorizada estava a ideia de assistir, dirigir e proteger os interesses do mestre. O NT carrega essas ideias também em relação aos homens nomeados para servir a igreja em nome de Jesus Cristo (</w:t>
      </w:r>
      <w:hyperlink r:id="rId1409">
        <w:r>
          <w:rPr>
            <w:color w:val="0000EE"/>
            <w:u w:val="single"/>
          </w:rPr>
          <w:t>At 20.28</w:t>
        </w:r>
      </w:hyperlink>
      <w:r>
        <w:t xml:space="preserve">; </w:t>
      </w:r>
      <w:hyperlink r:id="rId1412">
        <w:r>
          <w:rPr>
            <w:color w:val="0000EE"/>
            <w:u w:val="single"/>
          </w:rPr>
          <w:t>Fp 1.1</w:t>
        </w:r>
      </w:hyperlink>
      <w:r>
        <w:t xml:space="preserve">; </w:t>
      </w:r>
      <w:hyperlink r:id="rId19783">
        <w:r>
          <w:rPr>
            <w:color w:val="0000EE"/>
            <w:u w:val="single"/>
          </w:rPr>
          <w:t>1Tm 3.1–2</w:t>
        </w:r>
      </w:hyperlink>
      <w:r>
        <w:t xml:space="preserve">; </w:t>
      </w:r>
      <w:hyperlink r:id="rId1420">
        <w:r>
          <w:rPr>
            <w:color w:val="0000EE"/>
            <w:u w:val="single"/>
          </w:rPr>
          <w:t>Tt 1.7</w:t>
        </w:r>
      </w:hyperlink>
      <w:r>
        <w:t xml:space="preserve">). O próprio Jesus Cristo é o grande Superintendente (traduzido como "Bispo" na maioria das versões em português </w:t>
      </w:r>
      <w:hyperlink r:id="rId962">
        <w:r>
          <w:rPr>
            <w:color w:val="0000EE"/>
            <w:u w:val="single"/>
          </w:rPr>
          <w:t>1Pe 2.25</w:t>
        </w:r>
      </w:hyperlink>
      <w:r>
        <w:t>).</w:t>
      </w:r>
    </w:p>
    <w:p>
      <w:r/>
      <w:r>
        <w:rPr>
          <w:i/>
        </w:rPr>
        <w:t>Ver também</w:t>
      </w:r>
      <w:r>
        <w:t xml:space="preserve"> </w:t>
      </w:r>
      <w:r>
        <w:t>Bispo</w:t>
      </w:r>
      <w:r>
        <w:t xml:space="preserve">; </w:t>
      </w:r>
      <w:r>
        <w:t>Ancião</w:t>
      </w:r>
      <w:r>
        <w:t>.</w:t>
      </w:r>
      <w:r/>
      <w:r/>
    </w:p>
    <w:p>
      <w:r/>
    </w:p>
    <w:p>
      <w:pPr>
        <w:pStyle w:val="Heading2"/>
      </w:pPr>
      <w:r>
        <w:t>Supim</w:t>
      </w:r>
      <w:r/>
    </w:p>
    <w:p>
      <w:r/>
      <w:r>
        <w:t>1. Filho de Ir e bisneto de Benjamim (</w:t>
      </w:r>
      <w:hyperlink r:id="rId662">
        <w:r>
          <w:rPr>
            <w:color w:val="0000EE"/>
            <w:u w:val="single"/>
          </w:rPr>
          <w:t>1Cr 7.12</w:t>
        </w:r>
      </w:hyperlink>
      <w:r>
        <w:t xml:space="preserve">). Supim é talvez uma forma abreviada de Sufã, mencionado em </w:t>
      </w:r>
      <w:hyperlink r:id="rId10790">
        <w:r>
          <w:rPr>
            <w:color w:val="0000EE"/>
            <w:u w:val="single"/>
          </w:rPr>
          <w:t>Números 26.39</w:t>
        </w:r>
      </w:hyperlink>
      <w:r>
        <w:t xml:space="preserve"> como o filho de Benjamim. Também pode ser uma grafia alternativa para Mupim (</w:t>
      </w:r>
      <w:hyperlink r:id="rId661">
        <w:r>
          <w:rPr>
            <w:color w:val="0000EE"/>
            <w:u w:val="single"/>
          </w:rPr>
          <w:t>Gn 46.21</w:t>
        </w:r>
      </w:hyperlink>
      <w:r>
        <w:t xml:space="preserve">). </w:t>
      </w:r>
      <w:r>
        <w:rPr>
          <w:i/>
        </w:rPr>
        <w:t>Veja</w:t>
      </w:r>
      <w:r>
        <w:t xml:space="preserve"> </w:t>
      </w:r>
      <w:r>
        <w:t>Sufã</w:t>
      </w:r>
      <w:r>
        <w:t>;</w:t>
      </w:r>
    </w:p>
    <w:p>
      <w:r/>
      <w:r>
        <w:t>2. Porteiro levita que, junto com Hosa, vigiava o portão de Salequete no lado oeste de Jerusalém (</w:t>
      </w:r>
      <w:hyperlink r:id="rId19784">
        <w:r>
          <w:rPr>
            <w:color w:val="0000EE"/>
            <w:u w:val="single"/>
          </w:rPr>
          <w:t>1Cr 26.16</w:t>
        </w:r>
      </w:hyperlink>
      <w:r>
        <w:t>).</w:t>
      </w:r>
      <w:r/>
      <w:r/>
    </w:p>
    <w:p>
      <w:r/>
    </w:p>
    <w:p>
      <w:pPr>
        <w:pStyle w:val="Heading2"/>
      </w:pPr>
      <w:r>
        <w:t>Sur</w:t>
      </w:r>
      <w:r/>
    </w:p>
    <w:p>
      <w:r/>
      <w:r>
        <w:t>A região selvagem está localizada na Península do Sinai, a leste do Delta do Nilo, no Egito, e a oeste do Neguebe. Nos tempos antigos, uma rota de caravanas passava por essa região do Egito para a Palestina. Abraão viveu por um tempo entre Sur e Cades (</w:t>
      </w:r>
      <w:hyperlink r:id="rId15127">
        <w:r>
          <w:rPr>
            <w:color w:val="0000EE"/>
            <w:u w:val="single"/>
          </w:rPr>
          <w:t>Gn 20.1</w:t>
        </w:r>
      </w:hyperlink>
      <w:r>
        <w:t>). Ismaelitas também viveram na área (</w:t>
      </w:r>
      <w:hyperlink r:id="rId16409">
        <w:r>
          <w:rPr>
            <w:color w:val="0000EE"/>
            <w:u w:val="single"/>
          </w:rPr>
          <w:t>Gn 25.18</w:t>
        </w:r>
      </w:hyperlink>
      <w:r>
        <w:t>). Após atravessar o Mar Vermelho, Moisés conduziu Israel em uma jornada de três dias por esta terra seca (</w:t>
      </w:r>
      <w:hyperlink r:id="rId8598">
        <w:r>
          <w:rPr>
            <w:color w:val="0000EE"/>
            <w:u w:val="single"/>
          </w:rPr>
          <w:t>Êx 15.22</w:t>
        </w:r>
      </w:hyperlink>
      <w:r>
        <w:t>). O rei Saul de Israel conquistou os amalequitas perto de Sur (</w:t>
      </w:r>
      <w:hyperlink r:id="rId10352">
        <w:r>
          <w:rPr>
            <w:color w:val="0000EE"/>
            <w:u w:val="single"/>
          </w:rPr>
          <w:t>1Sm 15.7</w:t>
        </w:r>
      </w:hyperlink>
      <w:r>
        <w:t>). Mais tarde, Davi derrotou os gesuritas, os girzitas e os amalequitas naquele lugar (</w:t>
      </w:r>
      <w:hyperlink r:id="rId1052">
        <w:r>
          <w:rPr>
            <w:color w:val="0000EE"/>
            <w:u w:val="single"/>
          </w:rPr>
          <w:t>1Sm 27.8</w:t>
        </w:r>
      </w:hyperlink>
      <w:r>
        <w:t xml:space="preserve">). </w:t>
      </w:r>
      <w:hyperlink r:id="rId8835">
        <w:r>
          <w:rPr>
            <w:color w:val="0000EE"/>
            <w:u w:val="single"/>
          </w:rPr>
          <w:t>Números 33.8</w:t>
        </w:r>
      </w:hyperlink>
      <w:r>
        <w:t xml:space="preserve"> chama a área de "deserto de Etã" (ARC).</w:t>
      </w:r>
    </w:p>
    <w:p>
      <w:r/>
      <w:r>
        <w:rPr>
          <w:i/>
        </w:rPr>
        <w:t>Veja também</w:t>
      </w:r>
      <w:r>
        <w:t xml:space="preserve"> </w:t>
      </w:r>
      <w:r>
        <w:t>Sina, Sinai</w:t>
      </w:r>
      <w:r>
        <w:t xml:space="preserve">; </w:t>
      </w:r>
      <w:r>
        <w:t>Peregrinações no deserto</w:t>
      </w:r>
      <w:r>
        <w:t>.</w:t>
      </w:r>
      <w:r/>
      <w:r/>
    </w:p>
    <w:p>
      <w:r/>
    </w:p>
    <w:p>
      <w:pPr>
        <w:pStyle w:val="Heading2"/>
      </w:pPr>
      <w:r>
        <w:t>Surdo, Surdez</w:t>
      </w:r>
      <w:r/>
    </w:p>
    <w:p>
      <w:r/>
      <w:r>
        <w:t>Incapacidade de ouvir; termo usado nas Escrituras para descrever tanto uma incapacidade literal e física quanto um defeito figurativo e espiritual. Os espiritualmente surdos eram aqueles que se negavam a ouvir a mensagem divina ou eram incapacitados por causa de sua falta de espiritualidade (</w:t>
      </w:r>
      <w:hyperlink r:id="rId14292">
        <w:r>
          <w:rPr>
            <w:color w:val="0000EE"/>
            <w:u w:val="single"/>
          </w:rPr>
          <w:t>Isaiah 42.18</w:t>
        </w:r>
      </w:hyperlink>
      <w:r>
        <w:t xml:space="preserve">). O profeta Isaías se dirigiu à força a ambos os tipos de pessoas surdas (o figurativo em </w:t>
      </w:r>
      <w:hyperlink r:id="rId14292">
        <w:r>
          <w:rPr>
            <w:color w:val="0000EE"/>
            <w:u w:val="single"/>
          </w:rPr>
          <w:t>Is 42.18</w:t>
        </w:r>
      </w:hyperlink>
      <w:r>
        <w:t xml:space="preserve">; </w:t>
      </w:r>
      <w:hyperlink r:id="rId19785">
        <w:r>
          <w:rPr>
            <w:color w:val="0000EE"/>
            <w:u w:val="single"/>
          </w:rPr>
          <w:t>43.8</w:t>
        </w:r>
      </w:hyperlink>
      <w:r>
        <w:t xml:space="preserve">; o literal em </w:t>
      </w:r>
      <w:hyperlink r:id="rId8323">
        <w:r>
          <w:rPr>
            <w:color w:val="0000EE"/>
            <w:u w:val="single"/>
          </w:rPr>
          <w:t>Is 29.18</w:t>
        </w:r>
      </w:hyperlink>
      <w:r>
        <w:t xml:space="preserve">; </w:t>
      </w:r>
      <w:hyperlink r:id="rId19786">
        <w:r>
          <w:rPr>
            <w:color w:val="0000EE"/>
            <w:u w:val="single"/>
          </w:rPr>
          <w:t>35.5</w:t>
        </w:r>
      </w:hyperlink>
      <w:r>
        <w:t>). No AT, embora a condição tenha sido considerada o resultado do julgamento de Deus (</w:t>
      </w:r>
      <w:hyperlink r:id="rId19787">
        <w:r>
          <w:rPr>
            <w:color w:val="0000EE"/>
            <w:u w:val="single"/>
          </w:rPr>
          <w:t>Mq 7.16</w:t>
        </w:r>
      </w:hyperlink>
      <w:r>
        <w:t>), era errado amaldiçoar uma pessoa surda (</w:t>
      </w:r>
      <w:hyperlink r:id="rId4638">
        <w:r>
          <w:rPr>
            <w:color w:val="0000EE"/>
            <w:u w:val="single"/>
          </w:rPr>
          <w:t>Lv 19.14</w:t>
        </w:r>
      </w:hyperlink>
      <w:r>
        <w:t>). No NT, os surdos estavam entre aqueles que Jesus curou (</w:t>
      </w:r>
      <w:hyperlink r:id="rId4641">
        <w:r>
          <w:rPr>
            <w:color w:val="0000EE"/>
            <w:u w:val="single"/>
          </w:rPr>
          <w:t>Mt 11.5</w:t>
        </w:r>
      </w:hyperlink>
      <w:r>
        <w:t xml:space="preserve">; </w:t>
      </w:r>
      <w:hyperlink r:id="rId14877">
        <w:r>
          <w:rPr>
            <w:color w:val="0000EE"/>
            <w:u w:val="single"/>
          </w:rPr>
          <w:t>Mc 7.32–37</w:t>
        </w:r>
      </w:hyperlink>
      <w:r>
        <w:t xml:space="preserve">; </w:t>
      </w:r>
      <w:hyperlink r:id="rId19788">
        <w:r>
          <w:rPr>
            <w:color w:val="0000EE"/>
            <w:u w:val="single"/>
          </w:rPr>
          <w:t>Lc 7.22</w:t>
        </w:r>
      </w:hyperlink>
      <w:r>
        <w:t>). Um menino epilético a quem Jesus curou era afligido por um “espírito mudo e surdo” (</w:t>
      </w:r>
      <w:hyperlink r:id="rId6670">
        <w:r>
          <w:rPr>
            <w:color w:val="0000EE"/>
            <w:u w:val="single"/>
          </w:rPr>
          <w:t>Mc 9.25</w:t>
        </w:r>
      </w:hyperlink>
      <w:r>
        <w:t>, ARA). Tais curas autenticaram o papel de Jesus como Messias.</w:t>
      </w:r>
    </w:p>
    <w:p>
      <w:r/>
      <w:r>
        <w:rPr>
          <w:i/>
        </w:rPr>
        <w:t>Veja também</w:t>
      </w:r>
      <w:r>
        <w:t xml:space="preserve"> </w:t>
      </w:r>
      <w:r>
        <w:t>Medicina e Prática Médica</w:t>
      </w:r>
      <w:r>
        <w:t>.</w:t>
      </w:r>
      <w:r/>
      <w:r/>
    </w:p>
    <w:p>
      <w:r/>
    </w:p>
    <w:p>
      <w:pPr>
        <w:pStyle w:val="Heading2"/>
      </w:pPr>
      <w:r>
        <w:t>Susã Edute</w:t>
      </w:r>
      <w:r/>
    </w:p>
    <w:p>
      <w:r/>
      <w:r>
        <w:t xml:space="preserve">Frase em hebraico na inscrição de </w:t>
      </w:r>
      <w:hyperlink r:id="rId2421">
        <w:r>
          <w:rPr>
            <w:color w:val="0000EE"/>
            <w:u w:val="single"/>
          </w:rPr>
          <w:t>Salmo 60</w:t>
        </w:r>
      </w:hyperlink>
      <w:r>
        <w:t xml:space="preserve">, traduzida como "com a melodia de 'O Lírio do testemunho'" (NTLH), possivelmente uma melodia antiga conhecida à qual o salmo era executado. </w:t>
      </w:r>
    </w:p>
    <w:p>
      <w:r/>
      <w:r>
        <w:rPr>
          <w:i/>
        </w:rPr>
        <w:t>Veja</w:t>
      </w:r>
      <w:r>
        <w:t xml:space="preserve"> </w:t>
      </w:r>
      <w:r>
        <w:t>Música</w:t>
      </w:r>
      <w:r>
        <w:t>.</w:t>
      </w:r>
      <w:r/>
      <w:r/>
    </w:p>
    <w:p>
      <w:r/>
    </w:p>
    <w:p>
      <w:pPr>
        <w:pStyle w:val="Heading2"/>
      </w:pPr>
      <w:r>
        <w:t>Susi</w:t>
      </w:r>
      <w:r/>
    </w:p>
    <w:p>
      <w:r/>
      <w:r>
        <w:t>O pai de Gadi da tribo de Manassés. Gadi foi um dos 12 espiões enviados para explorar a terra de Canaã (</w:t>
      </w:r>
      <w:hyperlink r:id="rId9708">
        <w:r>
          <w:rPr>
            <w:color w:val="0000EE"/>
            <w:u w:val="single"/>
          </w:rPr>
          <w:t>Nm 13.11</w:t>
        </w:r>
      </w:hyperlink>
      <w:r>
        <w:t>).</w:t>
      </w:r>
      <w:r/>
      <w:r/>
    </w:p>
    <w:p>
      <w:r/>
    </w:p>
    <w:p>
      <w:pPr>
        <w:pStyle w:val="Heading2"/>
      </w:pPr>
      <w:r>
        <w:t>Sutela</w:t>
      </w:r>
      <w:r/>
    </w:p>
    <w:p>
      <w:r/>
      <w:r>
        <w:t>Um filho de Zabade da tribo de Efraim (</w:t>
      </w:r>
      <w:hyperlink r:id="rId9092">
        <w:r>
          <w:rPr>
            <w:color w:val="0000EE"/>
            <w:u w:val="single"/>
          </w:rPr>
          <w:t>1Cr 7.21</w:t>
        </w:r>
      </w:hyperlink>
      <w:r>
        <w:t>).</w:t>
      </w:r>
      <w:r/>
      <w:r/>
    </w:p>
    <w:p>
      <w:r/>
    </w:p>
    <w:p>
      <w:pPr>
        <w:pStyle w:val="Heading2"/>
      </w:pPr>
      <w:r>
        <w:t>Sutelaíta</w:t>
      </w:r>
      <w:r/>
    </w:p>
    <w:p>
      <w:r/>
      <w:r>
        <w:t>Qualquer descendente de Sutela, filho de Efraim (</w:t>
      </w:r>
      <w:hyperlink r:id="rId3436">
        <w:r>
          <w:rPr>
            <w:color w:val="0000EE"/>
            <w:u w:val="single"/>
          </w:rPr>
          <w:t>Nm 26.35</w:t>
        </w:r>
      </w:hyperlink>
      <w:r>
        <w:t>).</w:t>
      </w:r>
    </w:p>
    <w:p>
      <w:r/>
      <w:r>
        <w:rPr>
          <w:i/>
        </w:rPr>
        <w:t xml:space="preserve">Veja também </w:t>
      </w:r>
      <w:r>
        <w:t>Sutela #1</w:t>
      </w:r>
      <w:r>
        <w:t>.</w:t>
      </w:r>
      <w:r/>
      <w:r/>
    </w:p>
    <w:p>
      <w:r/>
    </w:p>
    <w:p>
      <w:pPr>
        <w:pStyle w:val="Heading2"/>
      </w:pPr>
      <w:r>
        <w:t>Taã</w:t>
      </w:r>
      <w:r/>
    </w:p>
    <w:p>
      <w:pPr>
        <w:pStyle w:val="ListNumber"/>
        <w:spacing w:line="240" w:lineRule="auto"/>
        <w:ind w:left="720"/>
      </w:pPr>
      <w:r/>
      <w:r>
        <w:t>Filho de Efraim e pai do clã Tahanita (</w:t>
      </w:r>
      <w:hyperlink r:id="rId3436">
        <w:r>
          <w:rPr>
            <w:color w:val="0000EE"/>
            <w:u w:val="single"/>
          </w:rPr>
          <w:t>Nm 26.35</w:t>
        </w:r>
      </w:hyperlink>
      <w:r>
        <w:t>).</w:t>
      </w:r>
    </w:p>
    <w:p>
      <w:pPr>
        <w:pStyle w:val="ListNumber"/>
        <w:spacing w:line="240" w:lineRule="auto"/>
        <w:ind w:left="720"/>
      </w:pPr>
      <w:r/>
      <w:r>
        <w:t>Filho de Telá e descendente de Efraim (</w:t>
      </w:r>
      <w:hyperlink r:id="rId19789">
        <w:r>
          <w:rPr>
            <w:color w:val="0000EE"/>
            <w:u w:val="single"/>
          </w:rPr>
          <w:t>1Cr 7.25</w:t>
        </w:r>
      </w:hyperlink>
      <w:r>
        <w:t>).</w:t>
      </w:r>
      <w:r/>
      <w:r/>
    </w:p>
    <w:p>
      <w:r/>
    </w:p>
    <w:p>
      <w:pPr>
        <w:pStyle w:val="Heading2"/>
      </w:pPr>
      <w:r>
        <w:t>Taás</w:t>
      </w:r>
      <w:r/>
    </w:p>
    <w:p>
      <w:r/>
      <w:r>
        <w:t>Filho de Naor e Reumá, sua concubina; irmão de Abraão (</w:t>
      </w:r>
      <w:hyperlink r:id="rId5348">
        <w:r>
          <w:rPr>
            <w:color w:val="0000EE"/>
            <w:u w:val="single"/>
          </w:rPr>
          <w:t>Gn 22.24</w:t>
        </w:r>
      </w:hyperlink>
      <w:r>
        <w:t>).</w:t>
      </w:r>
      <w:r/>
      <w:r/>
    </w:p>
    <w:p>
      <w:r/>
    </w:p>
    <w:p>
      <w:pPr>
        <w:pStyle w:val="Heading2"/>
      </w:pPr>
      <w:r>
        <w:t>Taate (lugar)</w:t>
      </w:r>
      <w:r/>
    </w:p>
    <w:p>
      <w:r/>
      <w:r>
        <w:t>Um local de acampamento temporário para os israelitas durante suas peregrinações no deserto. Estava localizado entre Maquelote e Tera (</w:t>
      </w:r>
      <w:hyperlink r:id="rId19790">
        <w:r>
          <w:rPr>
            <w:color w:val="0000EE"/>
            <w:u w:val="single"/>
          </w:rPr>
          <w:t>Nm 33.26,27</w:t>
        </w:r>
      </w:hyperlink>
      <w:r>
        <w:t>).</w:t>
      </w:r>
      <w:r/>
      <w:r/>
    </w:p>
    <w:p>
      <w:r/>
    </w:p>
    <w:p>
      <w:pPr>
        <w:pStyle w:val="Heading2"/>
      </w:pPr>
      <w:r>
        <w:t>Taberá</w:t>
      </w:r>
      <w:r/>
    </w:p>
    <w:p>
      <w:r/>
      <w:r>
        <w:t>Local temporário de parada para Israel no deserto de Parã, listado com Massá e Quibrote-Hataavá como lugares onde Israel reclamou contra o Senhor. Taberá foi nomeada pelo fogo que Deus usou para julgar os israelitas murmuradores (</w:t>
      </w:r>
      <w:hyperlink r:id="rId19791">
        <w:r>
          <w:rPr>
            <w:color w:val="0000EE"/>
            <w:u w:val="single"/>
          </w:rPr>
          <w:t>Nm 11.3</w:t>
        </w:r>
      </w:hyperlink>
      <w:r>
        <w:t xml:space="preserve">; </w:t>
      </w:r>
      <w:hyperlink r:id="rId13973">
        <w:r>
          <w:rPr>
            <w:color w:val="0000EE"/>
            <w:u w:val="single"/>
          </w:rPr>
          <w:t>Dt 9.22</w:t>
        </w:r>
      </w:hyperlink>
      <w:r>
        <w:t>).</w:t>
      </w:r>
      <w:r/>
      <w:r/>
    </w:p>
    <w:p>
      <w:r/>
    </w:p>
    <w:p>
      <w:pPr>
        <w:pStyle w:val="Heading2"/>
      </w:pPr>
      <w:r>
        <w:t>Tabernáculo</w:t>
      </w:r>
      <w:r/>
    </w:p>
    <w:p>
      <w:r/>
      <w:r>
        <w:t>Local de adoração durante os primeiros anos da história de Israel.</w:t>
      </w:r>
    </w:p>
    <w:p>
      <w:r/>
      <w:r>
        <w:t>Resumo:</w:t>
      </w:r>
    </w:p>
    <w:p>
      <w:r/>
      <w:r>
        <w:t>• Introdução</w:t>
      </w:r>
    </w:p>
    <w:p>
      <w:r/>
      <w:r>
        <w:t>• Nomes para o tabernáculo</w:t>
      </w:r>
    </w:p>
    <w:p>
      <w:r/>
      <w:r>
        <w:t>• Contexto</w:t>
      </w:r>
    </w:p>
    <w:p>
      <w:r/>
      <w:r>
        <w:t>• O tabernáculo e seus móveis</w:t>
      </w:r>
    </w:p>
    <w:p>
      <w:r/>
      <w:r>
        <w:t>• O tabernáculo propriamente dito</w:t>
      </w:r>
    </w:p>
    <w:p>
      <w:r/>
      <w:r>
        <w:t>• O pátio externo e seus mobiliários</w:t>
      </w:r>
    </w:p>
    <w:p>
      <w:r/>
      <w:r>
        <w:t>• A construção e consagração do tabernáculo</w:t>
      </w:r>
    </w:p>
    <w:p>
      <w:pPr>
        <w:pStyle w:val="Heading3"/>
      </w:pPr>
      <w:r>
        <w:t>Introdução</w:t>
      </w:r>
    </w:p>
    <w:p>
      <w:r/>
      <w:r>
        <w:t>O tabernáculo foi o precursor do templo durante a maior parte do período entre a formação de Israel no Sinai e seu estabelecimento final na Terra Prometida no início do período da monarquia. Um santuário portátil em conformidade com a demanda por fácil mobilidade, era o símbolo da presença de Deus com seu povo e, portanto, de sua disponibilidade, bem como um lugar onde sua vontade era comunicada. Em um período inicial, foi antecipado que, quando a paz e a segurança fossem asseguradas, um santuário nacional permanente seria estabelecido (</w:t>
      </w:r>
      <w:hyperlink r:id="rId19792">
        <w:r>
          <w:rPr>
            <w:color w:val="0000EE"/>
            <w:u w:val="single"/>
          </w:rPr>
          <w:t>Dt 12.10–11</w:t>
        </w:r>
      </w:hyperlink>
      <w:r>
        <w:t>). Isso não foi realizado até o tempo de Salomão, quando o templo foi erguido (</w:t>
      </w:r>
      <w:hyperlink r:id="rId19793">
        <w:r>
          <w:rPr>
            <w:color w:val="0000EE"/>
            <w:u w:val="single"/>
          </w:rPr>
          <w:t>2Sm 7.10–13</w:t>
        </w:r>
      </w:hyperlink>
      <w:r>
        <w:t xml:space="preserve">; </w:t>
      </w:r>
      <w:hyperlink r:id="rId19794">
        <w:r>
          <w:rPr>
            <w:color w:val="0000EE"/>
            <w:u w:val="single"/>
          </w:rPr>
          <w:t>1Rs 5.1–5</w:t>
        </w:r>
      </w:hyperlink>
      <w:r>
        <w:t>). Eventos históricos, bem como as semelhanças na construção e na teologia subjacente, ilustram a estreita conexão entre o tabernáculo e o templo.</w:t>
      </w:r>
    </w:p>
    <w:p>
      <w:pPr>
        <w:pStyle w:val="Heading3"/>
      </w:pPr>
      <w:r>
        <w:t>Nomes para o tabernáculo</w:t>
      </w:r>
    </w:p>
    <w:p>
      <w:r/>
      <w:r>
        <w:t>Várias palavras e frases descritivas são usadas:</w:t>
      </w:r>
    </w:p>
    <w:p>
      <w:r/>
      <w:r>
        <w:t>1. “Residência sagrada”, “santuário“, ou “lugar santo” (</w:t>
      </w:r>
      <w:hyperlink r:id="rId5900">
        <w:r>
          <w:rPr>
            <w:color w:val="0000EE"/>
            <w:u w:val="single"/>
          </w:rPr>
          <w:t>Êx 25.8</w:t>
        </w:r>
      </w:hyperlink>
      <w:r>
        <w:t xml:space="preserve">; </w:t>
      </w:r>
      <w:hyperlink r:id="rId19795">
        <w:r>
          <w:rPr>
            <w:color w:val="0000EE"/>
            <w:u w:val="single"/>
          </w:rPr>
          <w:t>Lv 10.17–18</w:t>
        </w:r>
      </w:hyperlink>
      <w:r>
        <w:t>) derivam do verbo “ser santo”.</w:t>
      </w:r>
    </w:p>
    <w:p>
      <w:r/>
      <w:r>
        <w:t>2. “A tenda” ocorre 19 vezes e também é encontrada em expressões como “a tenda do testemunho” (</w:t>
      </w:r>
      <w:hyperlink r:id="rId19796">
        <w:r>
          <w:rPr>
            <w:color w:val="0000EE"/>
            <w:u w:val="single"/>
          </w:rPr>
          <w:t>Nm 9.15</w:t>
        </w:r>
      </w:hyperlink>
      <w:r>
        <w:t>), “a tenda do Senhor” (</w:t>
      </w:r>
      <w:hyperlink r:id="rId19797">
        <w:r>
          <w:rPr>
            <w:color w:val="0000EE"/>
            <w:u w:val="single"/>
          </w:rPr>
          <w:t>1Rs 2.28–30</w:t>
        </w:r>
      </w:hyperlink>
      <w:r>
        <w:t>), “a casa da tenda” (</w:t>
      </w:r>
      <w:hyperlink r:id="rId19798">
        <w:r>
          <w:rPr>
            <w:color w:val="0000EE"/>
            <w:u w:val="single"/>
          </w:rPr>
          <w:t>1Cr 9.23</w:t>
        </w:r>
      </w:hyperlink>
      <w:r>
        <w:t xml:space="preserve">), e “a tenda da congregação” (por exemplo, </w:t>
      </w:r>
      <w:hyperlink r:id="rId19799">
        <w:r>
          <w:rPr>
            <w:color w:val="0000EE"/>
            <w:u w:val="single"/>
          </w:rPr>
          <w:t>Êx 33.7</w:t>
        </w:r>
      </w:hyperlink>
      <w:r>
        <w:t>). O último nome aparece aproximadamente 130 vezes. A palavra envolve o conceito de encontro por nomeação e designa o tabernáculo como o lugar onde Deus se encontrava com Moisés e seu povo para dar a conhecer sua vontade.</w:t>
      </w:r>
    </w:p>
    <w:p>
      <w:r/>
      <w:r>
        <w:t xml:space="preserve">3. “Lugar de habitação” é o significado literal de “tabernáculo”. Em </w:t>
      </w:r>
      <w:hyperlink r:id="rId19800">
        <w:r>
          <w:rPr>
            <w:color w:val="0000EE"/>
            <w:u w:val="single"/>
          </w:rPr>
          <w:t>Êxodo 25.9</w:t>
        </w:r>
      </w:hyperlink>
      <w:r>
        <w:t xml:space="preserve">, a palavra indica todo o tabernáculo (incluindo o átrio externo), mas em </w:t>
      </w:r>
      <w:hyperlink r:id="rId5530">
        <w:r>
          <w:rPr>
            <w:color w:val="0000EE"/>
            <w:u w:val="single"/>
          </w:rPr>
          <w:t>Êxodo 26.1</w:t>
        </w:r>
      </w:hyperlink>
      <w:r>
        <w:t xml:space="preserve"> refere-se ao tabernáculo propriamente dito (que incluía o Lugar Santo e o Santo dos Santos). Uma variante disso é “o tabernáculo do testemunho” (</w:t>
      </w:r>
      <w:hyperlink r:id="rId18791">
        <w:r>
          <w:rPr>
            <w:color w:val="0000EE"/>
            <w:u w:val="single"/>
          </w:rPr>
          <w:t>Êxodo 38.21</w:t>
        </w:r>
      </w:hyperlink>
      <w:r>
        <w:t>; NTLH “Tenda da Presença”), que, com outras expressões como “a tenda do testemunho”, enfatiza a presença das duas tábuas da lei.</w:t>
      </w:r>
    </w:p>
    <w:p>
      <w:r/>
      <w:r>
        <w:t>4. “A casa do Senhor” (</w:t>
      </w:r>
      <w:hyperlink r:id="rId12872">
        <w:r>
          <w:rPr>
            <w:color w:val="0000EE"/>
            <w:u w:val="single"/>
          </w:rPr>
          <w:t>Êx 23.19</w:t>
        </w:r>
      </w:hyperlink>
      <w:r>
        <w:t>).</w:t>
      </w:r>
    </w:p>
    <w:p>
      <w:pPr>
        <w:pStyle w:val="Heading3"/>
      </w:pPr>
      <w:r>
        <w:t>Contexto</w:t>
      </w:r>
    </w:p>
    <w:p>
      <w:r/>
      <w:r>
        <w:t>A construção tripartida do tabernáculo, composta por uma área geral e duas áreas restritas, não era única. Em outras religiões desenvolvidas que incluíam um sacerdócio organizado, havia três níveis principais de aproximação: um para todos os membros da comunidade; um para os sacerdotes em geral; e um para os principais líderes religiosos, que era um santuário interno, concebido como a morada da divindade. Escavações de santuários pagãos na Palestina e na Síria no período pré-israelita revelaram esse tipo de santuário dividido.</w:t>
      </w:r>
    </w:p>
    <w:p>
      <w:r/>
      <w:r>
        <w:t>Há também evidências generalizadas do uso de estruturas portáteis, muitas vezes complexas e pré-fabricadas, durante o segundo milênio a.C., geralmente como salas monárquicas para reis e outros altos dignitários, ou como santuários. Governantes de comunidades estabelecidas usavam essas estruturas ao viajar para outras áreas dentro de seus reinos (por exemplo, Egito e, em menor medida, Canaã). Além disso, povos nômades ou seminômades, como os midianitas, usavam santuários portáteis. No Egito pré-mosaico, os artesãos usavam técnicas semelhantes às utilizadas na construção do tabernáculo.</w:t>
      </w:r>
    </w:p>
    <w:p>
      <w:pPr>
        <w:pStyle w:val="Heading3"/>
      </w:pPr>
      <w:r>
        <w:t>O Tabernáculo e seus móveis</w:t>
      </w:r>
    </w:p>
    <w:p>
      <w:r/>
      <w:r>
        <w:t>O livro de Êxodo (</w:t>
      </w:r>
      <w:hyperlink r:id="rId19801">
        <w:r>
          <w:rPr>
            <w:color w:val="0000EE"/>
            <w:u w:val="single"/>
          </w:rPr>
          <w:t>Êx 25–40</w:t>
        </w:r>
      </w:hyperlink>
      <w:r>
        <w:t>) descreve o tabernáculo e seus móveis em detalhe. Os materiais usados incluíam itens que variavam de materiais preciosos a comuns. Três metais são mencionados em ordem decrescente de importância: ouro, cobre e prata. Somente o ouro foi empregado nos principais móveis do santuário. A quantidade total de metais usados foi de aproximadamente uma tonelada (0.9 tonelada métrica) de ouro, três de cobre e quatro de prata (</w:t>
      </w:r>
      <w:hyperlink r:id="rId19802">
        <w:r>
          <w:rPr>
            <w:color w:val="0000EE"/>
            <w:u w:val="single"/>
          </w:rPr>
          <w:t>38.24–31</w:t>
        </w:r>
      </w:hyperlink>
      <w:r>
        <w:t>). A quantidade relativamente grande de prata veio de uma oferta (</w:t>
      </w:r>
      <w:hyperlink r:id="rId4136">
        <w:r>
          <w:rPr>
            <w:color w:val="0000EE"/>
            <w:u w:val="single"/>
          </w:rPr>
          <w:t>30.11–16</w:t>
        </w:r>
      </w:hyperlink>
      <w:r>
        <w:t>), que aumentou a prata e o ouro já dados pelos egípcios (</w:t>
      </w:r>
      <w:hyperlink r:id="rId14483">
        <w:r>
          <w:rPr>
            <w:color w:val="0000EE"/>
            <w:u w:val="single"/>
          </w:rPr>
          <w:t>12.35</w:t>
        </w:r>
      </w:hyperlink>
      <w:r>
        <w:t>).</w:t>
      </w:r>
    </w:p>
    <w:p>
      <w:r/>
      <w:r>
        <w:t>Significativamente, nas especificações de construção de Deus, o ponto de partida foi o mobiliário do santuário interno (o Lugar Santo e o Santo dos Santos). Na construção real, esse mobiliário foi feito após o próprio tabernáculo, presumivelmente para que pudesse ser imediatamente e adequadamente abrigado (</w:t>
      </w:r>
      <w:hyperlink r:id="rId19803">
        <w:r>
          <w:rPr>
            <w:color w:val="0000EE"/>
            <w:u w:val="single"/>
          </w:rPr>
          <w:t>Êx 25.9–27.19</w:t>
        </w:r>
      </w:hyperlink>
      <w:r>
        <w:t xml:space="preserve">; cf. </w:t>
      </w:r>
      <w:hyperlink r:id="rId19804">
        <w:r>
          <w:rPr>
            <w:color w:val="0000EE"/>
            <w:u w:val="single"/>
          </w:rPr>
          <w:t>36.8–37.28</w:t>
        </w:r>
      </w:hyperlink>
      <w:r>
        <w:t>).</w:t>
      </w:r>
    </w:p>
    <w:p>
      <w:r/>
      <w:r>
        <w:t>O primeiro item listado era a arca, o único móvel no Santo dos Santos. Era uma caixa de madeira revestida de ouro, com aproximadamente um metro e dez centímetros de comprimento, com uma largura e altura de setenta centímetros. O supremo símbolo da relação de aliança entre Deus e Israel, era frequentemente chamada de “a Arca da Aliança do Senhor” (</w:t>
      </w:r>
      <w:hyperlink r:id="rId14113">
        <w:r>
          <w:rPr>
            <w:color w:val="0000EE"/>
            <w:u w:val="single"/>
          </w:rPr>
          <w:t>Dt 10.8</w:t>
        </w:r>
      </w:hyperlink>
      <w:r>
        <w:t>). Ao contrário das arcas contemporâneas em alguns países vizinhos, não continha nenhuma representação da divindade, apenas os Dez Mandamentos (</w:t>
      </w:r>
      <w:hyperlink r:id="rId2427">
        <w:r>
          <w:rPr>
            <w:color w:val="0000EE"/>
            <w:u w:val="single"/>
          </w:rPr>
          <w:t>Êx 25.16</w:t>
        </w:r>
      </w:hyperlink>
      <w:r>
        <w:t>), um jarro de maná (</w:t>
      </w:r>
      <w:hyperlink r:id="rId2428">
        <w:r>
          <w:rPr>
            <w:color w:val="0000EE"/>
            <w:u w:val="single"/>
          </w:rPr>
          <w:t>16.33</w:t>
        </w:r>
      </w:hyperlink>
      <w:r>
        <w:t>) e a vara de Arão (</w:t>
      </w:r>
      <w:hyperlink r:id="rId2429">
        <w:r>
          <w:rPr>
            <w:color w:val="0000EE"/>
            <w:u w:val="single"/>
          </w:rPr>
          <w:t>Nm 17.10</w:t>
        </w:r>
      </w:hyperlink>
      <w:r>
        <w:t xml:space="preserve">) — todos simbólicos de vários aspectos da provisão de Deus (veja </w:t>
      </w:r>
      <w:hyperlink r:id="rId2430">
        <w:r>
          <w:rPr>
            <w:color w:val="0000EE"/>
            <w:u w:val="single"/>
          </w:rPr>
          <w:t>Hb 9.4</w:t>
        </w:r>
      </w:hyperlink>
      <w:r>
        <w:t>).</w:t>
      </w:r>
    </w:p>
    <w:p>
      <w:r/>
      <w:r>
        <w:t>A arca era transportada por dois varais que passavam por argolas presas a cada canto inferior (</w:t>
      </w:r>
      <w:hyperlink r:id="rId19805">
        <w:r>
          <w:rPr>
            <w:color w:val="0000EE"/>
            <w:u w:val="single"/>
          </w:rPr>
          <w:t>Êx 25.13–15</w:t>
        </w:r>
      </w:hyperlink>
      <w:r>
        <w:t>). Esses varais, deixados no lugar, projetavam-se por baixo do véu para o Lugar Santo, servindo como um lembrete da presença da arca invisível.</w:t>
      </w:r>
    </w:p>
    <w:p>
      <w:r/>
      <w:r>
        <w:t>Sobre a arca estava o propiciatório (“cobertura de expiação” ou "tampa da arca da aliança" NTLH), uma laje retangular de ouro maciço, à qual estavam presos dois querubins. Os querubins voltados para dentro e o propiciatório formavam um trono para o Deus invisível (</w:t>
      </w:r>
      <w:hyperlink r:id="rId2764">
        <w:r>
          <w:rPr>
            <w:color w:val="0000EE"/>
            <w:u w:val="single"/>
          </w:rPr>
          <w:t>Êx 25.22</w:t>
        </w:r>
      </w:hyperlink>
      <w:r>
        <w:t>), que é frequentemente descrito como entronizado acima ou sobre os querubins (</w:t>
      </w:r>
      <w:hyperlink r:id="rId16383">
        <w:r>
          <w:rPr>
            <w:color w:val="0000EE"/>
            <w:u w:val="single"/>
          </w:rPr>
          <w:t>Sl 80.1</w:t>
        </w:r>
      </w:hyperlink>
      <w:r>
        <w:t xml:space="preserve">; </w:t>
      </w:r>
      <w:hyperlink r:id="rId2137">
        <w:r>
          <w:rPr>
            <w:color w:val="0000EE"/>
            <w:u w:val="single"/>
          </w:rPr>
          <w:t>99.1</w:t>
        </w:r>
      </w:hyperlink>
      <w:r>
        <w:t>). O substantivo “propiciatório” vem de um verbo que significa “fazer expiação”. O propiciatório era aspergido com sangue no clímax do Dia anual da Expiação (</w:t>
      </w:r>
      <w:hyperlink r:id="rId12926">
        <w:r>
          <w:rPr>
            <w:color w:val="0000EE"/>
            <w:u w:val="single"/>
          </w:rPr>
          <w:t>Lv 16.14</w:t>
        </w:r>
      </w:hyperlink>
      <w:r>
        <w:t xml:space="preserve">). O fato de que a arca foi colocada </w:t>
      </w:r>
      <w:r>
        <w:rPr>
          <w:i/>
        </w:rPr>
        <w:t>sob</w:t>
      </w:r>
      <w:r>
        <w:t xml:space="preserve"> o propiciatório (</w:t>
      </w:r>
      <w:hyperlink r:id="rId19806">
        <w:r>
          <w:rPr>
            <w:color w:val="0000EE"/>
            <w:u w:val="single"/>
          </w:rPr>
          <w:t>Êx 25.21</w:t>
        </w:r>
      </w:hyperlink>
      <w:r>
        <w:t xml:space="preserve">) significa que a lei estava sob a proteção de Deus e explica as referências à arca como seu escabelo (e.g., </w:t>
      </w:r>
      <w:hyperlink r:id="rId8540">
        <w:r>
          <w:rPr>
            <w:color w:val="0000EE"/>
            <w:u w:val="single"/>
          </w:rPr>
          <w:t>Sl 132.7</w:t>
        </w:r>
      </w:hyperlink>
      <w:r>
        <w:t>). Como os querubins no Jardim do Éden (</w:t>
      </w:r>
      <w:hyperlink r:id="rId1902">
        <w:r>
          <w:rPr>
            <w:color w:val="0000EE"/>
            <w:u w:val="single"/>
          </w:rPr>
          <w:t>Gn 3.24</w:t>
        </w:r>
      </w:hyperlink>
      <w:r>
        <w:t>), aqueles no Santo dos Santos provavelmente tinham uma função protetora semelhante. No mundo antigo, criaturas aladas simbólicas como os querubins eram frequentemente colocadas como guardiãs de tronos e edifícios importantes.</w:t>
      </w:r>
    </w:p>
    <w:p>
      <w:r/>
      <w:r>
        <w:t>Como a arca, a mesa portátil do pão da Presença (</w:t>
      </w:r>
      <w:hyperlink r:id="rId16231">
        <w:r>
          <w:rPr>
            <w:color w:val="0000EE"/>
            <w:u w:val="single"/>
          </w:rPr>
          <w:t>Êx 25.30</w:t>
        </w:r>
      </w:hyperlink>
      <w:r>
        <w:t xml:space="preserve">) foi feita de madeira de acácia revestida de ouro. Era marginalmente menor, com um comprimento de três pés (0.9 metro), uma largura de um pé e meio (0.5 metro) e uma altura de dois pés e um quarto (0.7 metro). Os vários vasos auxiliares e implementos são detalhados (v. </w:t>
      </w:r>
      <w:hyperlink r:id="rId17424">
        <w:r>
          <w:rPr>
            <w:color w:val="0000EE"/>
            <w:u w:val="single"/>
          </w:rPr>
          <w:t>29</w:t>
        </w:r>
      </w:hyperlink>
      <w:r>
        <w:t>); presumivelmente os pratos seriam usados para carregar o pão. A cada dia de sábado, 12 pães, simbolizando a provisão de Deus para as 12 tribos de Israel, eram colocados em duas fileiras sobre a mesa (</w:t>
      </w:r>
      <w:hyperlink r:id="rId16243">
        <w:r>
          <w:rPr>
            <w:color w:val="0000EE"/>
            <w:u w:val="single"/>
          </w:rPr>
          <w:t>Lv 24.5–9</w:t>
        </w:r>
      </w:hyperlink>
      <w:r>
        <w:t>). A mesa estava localizada no Lugar Santo, no lado norte.</w:t>
      </w:r>
    </w:p>
    <w:p>
      <w:r/>
      <w:r>
        <w:t>No lado sul estava o candelabro de ouro de sete braços (</w:t>
      </w:r>
      <w:hyperlink r:id="rId19807">
        <w:r>
          <w:rPr>
            <w:color w:val="0000EE"/>
            <w:u w:val="single"/>
          </w:rPr>
          <w:t>Êx 25.31–39</w:t>
        </w:r>
      </w:hyperlink>
      <w:r>
        <w:t xml:space="preserve">; </w:t>
      </w:r>
      <w:hyperlink r:id="rId14226">
        <w:r>
          <w:rPr>
            <w:color w:val="0000EE"/>
            <w:u w:val="single"/>
          </w:rPr>
          <w:t>37.17–24</w:t>
        </w:r>
      </w:hyperlink>
      <w:r>
        <w:t xml:space="preserve">; </w:t>
      </w:r>
      <w:hyperlink r:id="rId19808">
        <w:r>
          <w:rPr>
            <w:color w:val="0000EE"/>
            <w:u w:val="single"/>
          </w:rPr>
          <w:t>40.24</w:t>
        </w:r>
      </w:hyperlink>
      <w:r>
        <w:t>). Era o item de mobília mais impressionante no Lugar Santo; como os querubins e o propiciatório, era feito de ouro puro. Seis ramos de ouro, três de cada lado, estendiam-se de um eixo central, e todo o candelabro era ornamentado com flores de amêndoa. A partir da evidência bíblica, não está claro se o candelabro dava iluminação contínua (</w:t>
      </w:r>
      <w:hyperlink r:id="rId12704">
        <w:r>
          <w:rPr>
            <w:color w:val="0000EE"/>
            <w:u w:val="single"/>
          </w:rPr>
          <w:t>Êx 27.20</w:t>
        </w:r>
      </w:hyperlink>
      <w:r>
        <w:t xml:space="preserve">; </w:t>
      </w:r>
      <w:hyperlink r:id="rId12823">
        <w:r>
          <w:rPr>
            <w:color w:val="0000EE"/>
            <w:u w:val="single"/>
          </w:rPr>
          <w:t>Lv 24.2</w:t>
        </w:r>
      </w:hyperlink>
      <w:r>
        <w:t>) ou apenas luz noturna (</w:t>
      </w:r>
      <w:hyperlink r:id="rId19809">
        <w:r>
          <w:rPr>
            <w:color w:val="0000EE"/>
            <w:u w:val="single"/>
          </w:rPr>
          <w:t>1Sm 3.3</w:t>
        </w:r>
      </w:hyperlink>
      <w:r>
        <w:t xml:space="preserve"> na maioria das versões). </w:t>
      </w:r>
      <w:hyperlink r:id="rId19810">
        <w:r>
          <w:rPr>
            <w:color w:val="0000EE"/>
            <w:u w:val="single"/>
          </w:rPr>
          <w:t>Lv 24.4</w:t>
        </w:r>
      </w:hyperlink>
      <w:r>
        <w:t xml:space="preserve"> apoia fortemente o primeiro, e a referência em 1 Samuel provavelmente reflete a negligência que se infiltrou durante o período dos juízes. Na Escritura, o candelabro de ouro simboliza o testemunho contínuo da comunidade da aliança (</w:t>
      </w:r>
      <w:hyperlink r:id="rId19811">
        <w:r>
          <w:rPr>
            <w:color w:val="0000EE"/>
            <w:u w:val="single"/>
          </w:rPr>
          <w:t>Zc 4.1–7</w:t>
        </w:r>
      </w:hyperlink>
      <w:r>
        <w:t xml:space="preserve">; </w:t>
      </w:r>
      <w:hyperlink r:id="rId2060">
        <w:r>
          <w:rPr>
            <w:color w:val="0000EE"/>
            <w:u w:val="single"/>
          </w:rPr>
          <w:t>Ap 2.1</w:t>
        </w:r>
      </w:hyperlink>
      <w:r>
        <w:t>). A atenção precisa ao menor detalhe é bem ilustrada na listagem dos itens suplementares, todos feitos de ouro puro, necessários para o serviço das lâmpadas. Sem essa atenção precisa, a luz logo se tornaria fraca, e o santuário em si seria contaminado por depósitos de carbono (</w:t>
      </w:r>
      <w:hyperlink r:id="rId12706">
        <w:r>
          <w:rPr>
            <w:color w:val="0000EE"/>
            <w:u w:val="single"/>
          </w:rPr>
          <w:t>Êx 25.38</w:t>
        </w:r>
      </w:hyperlink>
      <w:r>
        <w:t>). Além disso, apenas o azeite de oliva da melhor qualidade era usado, garantindo assim a luz mais brilhante possível (</w:t>
      </w:r>
      <w:hyperlink r:id="rId12704">
        <w:r>
          <w:rPr>
            <w:color w:val="0000EE"/>
            <w:u w:val="single"/>
          </w:rPr>
          <w:t>27.20</w:t>
        </w:r>
      </w:hyperlink>
      <w:r>
        <w:t>).</w:t>
      </w:r>
    </w:p>
    <w:p>
      <w:r/>
      <w:r>
        <w:t>O altar de incenso (</w:t>
      </w:r>
      <w:hyperlink r:id="rId974">
        <w:r>
          <w:rPr>
            <w:color w:val="0000EE"/>
            <w:u w:val="single"/>
          </w:rPr>
          <w:t>Êx 30.1–10</w:t>
        </w:r>
      </w:hyperlink>
      <w:r>
        <w:t xml:space="preserve">) pode ter sido deliberadamente minimizado para dar maior destaque ao altar sacrificial no pátio externo, que é frequentemente referido como </w:t>
      </w:r>
      <w:r>
        <w:rPr>
          <w:i/>
        </w:rPr>
        <w:t>“o</w:t>
      </w:r>
      <w:r>
        <w:t xml:space="preserve"> altar”. Para distinguir o altar de incenso do altar de bronze do sacrifício, o primeiro foi chamado de “o altar de ouro” (</w:t>
      </w:r>
      <w:hyperlink r:id="rId984">
        <w:r>
          <w:rPr>
            <w:color w:val="0000EE"/>
            <w:u w:val="single"/>
          </w:rPr>
          <w:t>40.5</w:t>
        </w:r>
      </w:hyperlink>
      <w:r>
        <w:t>). O altar de incenso estava localizado no Lugar Santo, imediatamente em frente à arca no Santo dos Santos, mas logo fora do véu, entre a mesa dos pães da Presença e o candelabro. Feito de madeira de acácia revestida de ouro, tinha 45,7 centímetros (18 polegadas) quadrados e 0,9 metros (3 pés) de altura, com chifres e uma moldura dourada ao redor dos quatro lados. Como a arca, era facilmente portátil pela provisão de anéis e varas de transporte. O altar era usado para a oferta de incenso todas as manhãs e noites e para ungir os chifres para a expiação anual (</w:t>
      </w:r>
      <w:hyperlink r:id="rId19812">
        <w:r>
          <w:rPr>
            <w:color w:val="0000EE"/>
            <w:u w:val="single"/>
          </w:rPr>
          <w:t>30.7–10</w:t>
        </w:r>
      </w:hyperlink>
      <w:r>
        <w:t>). O incenso de uma receita especial era proibido para uso secular. Originalmente, o incenso indicava algo que ascendia de um sacrifício, um aroma agradável a Deus. O incenso reconhecia Deus na adoração (</w:t>
      </w:r>
      <w:hyperlink r:id="rId10983">
        <w:r>
          <w:rPr>
            <w:color w:val="0000EE"/>
            <w:u w:val="single"/>
          </w:rPr>
          <w:t>Ml 1.11</w:t>
        </w:r>
      </w:hyperlink>
      <w:r>
        <w:t>) e, em uma data precoce, significava as orações dos piedosos (</w:t>
      </w:r>
      <w:hyperlink r:id="rId10984">
        <w:r>
          <w:rPr>
            <w:color w:val="0000EE"/>
            <w:u w:val="single"/>
          </w:rPr>
          <w:t>Sl 141.2</w:t>
        </w:r>
      </w:hyperlink>
      <w:r>
        <w:t>). Também ocultava Deus dos olhos humanos (</w:t>
      </w:r>
      <w:hyperlink r:id="rId19813">
        <w:r>
          <w:rPr>
            <w:color w:val="0000EE"/>
            <w:u w:val="single"/>
          </w:rPr>
          <w:t>Lv 16.13</w:t>
        </w:r>
      </w:hyperlink>
      <w:r>
        <w:t>).</w:t>
      </w:r>
    </w:p>
    <w:p>
      <w:pPr>
        <w:pStyle w:val="Heading3"/>
      </w:pPr>
      <w:r>
        <w:t>O tabernáculo propriamente dito</w:t>
      </w:r>
    </w:p>
    <w:p>
      <w:r/>
      <w:r>
        <w:t xml:space="preserve">O tabernáculo era fundamentalmente uma estrutura de tenda apoiada em uma estrutura rígida. Como com a maioria dos outros itens, uma triplicação de detalhes sublinha a importância do tabernáculo propriamente dito. As especificações são dadas em </w:t>
      </w:r>
      <w:hyperlink r:id="rId12960">
        <w:r>
          <w:rPr>
            <w:color w:val="0000EE"/>
            <w:u w:val="single"/>
          </w:rPr>
          <w:t>Êxodo 26</w:t>
        </w:r>
      </w:hyperlink>
      <w:r>
        <w:t xml:space="preserve">, a construção em </w:t>
      </w:r>
      <w:hyperlink r:id="rId19814">
        <w:r>
          <w:rPr>
            <w:color w:val="0000EE"/>
            <w:u w:val="single"/>
          </w:rPr>
          <w:t>Êxodo 36.8–38</w:t>
        </w:r>
      </w:hyperlink>
      <w:r>
        <w:t xml:space="preserve">, e a montagem final em </w:t>
      </w:r>
      <w:hyperlink r:id="rId19815">
        <w:r>
          <w:rPr>
            <w:color w:val="0000EE"/>
            <w:u w:val="single"/>
          </w:rPr>
          <w:t>Êxodo 40.16–19</w:t>
        </w:r>
      </w:hyperlink>
      <w:r>
        <w:t>. As dimensões gerais eram aproximadamente 13,7 metros (45 pés) de comprimento, 4,5 metros (15 pés) de largura e 4,5 metros de altura.</w:t>
      </w:r>
    </w:p>
    <w:p>
      <w:r/>
      <w:r>
        <w:t>A estrutura básica era uma série de suportes verticais, cada um com 4,6 metros (15 pés) de altura e 0,7 metros (2½ pés) de largura, e cada um apoiado em duas bases de prata (</w:t>
      </w:r>
      <w:hyperlink r:id="rId19816">
        <w:r>
          <w:rPr>
            <w:color w:val="0000EE"/>
            <w:u w:val="single"/>
          </w:rPr>
          <w:t>Êx 26.15–25</w:t>
        </w:r>
      </w:hyperlink>
      <w:r>
        <w:t xml:space="preserve">). Os estudiosos costumavam pensar que esses suportes ou quadros eram tábuas sólidas de madeira de acácia, mas a maioria dos estudiosos modernos aceita que cada um era composto por dois lados verticais conectados por peças horizontais como uma escada. Tais seções seriam consideravelmente mais fortes, manteriam melhor sua forma e permitiriam uma visão da bela camada interna de cortinas de dentro do santuário. Nos lados sul e norte havia 20 desses quadros, com mais 6 na extremidade oeste. Além disso, no lado oeste havia duas peças de canto às quais todas as paredes eram fixadas por grampos (v. </w:t>
      </w:r>
      <w:hyperlink r:id="rId19817">
        <w:r>
          <w:rPr>
            <w:color w:val="0000EE"/>
            <w:u w:val="single"/>
          </w:rPr>
          <w:t>23–25</w:t>
        </w:r>
      </w:hyperlink>
      <w:r>
        <w:t xml:space="preserve">). Uma série de barras, que passavam por anéis de ouro presos a cada quadro vertical, proporcionava maior segurança e alinhamento (v. </w:t>
      </w:r>
      <w:hyperlink r:id="rId19818">
        <w:r>
          <w:rPr>
            <w:color w:val="0000EE"/>
            <w:u w:val="single"/>
          </w:rPr>
          <w:t>26–29</w:t>
        </w:r>
      </w:hyperlink>
      <w:r>
        <w:t>). Havia cinco dessas barras em cada um dos três lados. A central nos lados sul e norte se estendia por todo o comprimento; as outras quatro provavelmente se estendiam até a metade, de modo que cada quadro era efetivamente fixado por três barras. Todas as seções de madeira eram revestidas de ouro.</w:t>
      </w:r>
    </w:p>
    <w:p>
      <w:r/>
      <w:r>
        <w:t>Sobre essa estrutura, várias camadas de coberturas formaram o topo, os lados e a parte de trás do tabernáculo. A primeira camada de dez cortinas de linho foi tingida de azul, púrpura e escarlate, e bordada com querubins (</w:t>
      </w:r>
      <w:hyperlink r:id="rId19819">
        <w:r>
          <w:rPr>
            <w:color w:val="0000EE"/>
            <w:u w:val="single"/>
          </w:rPr>
          <w:t>Êx 26.1–6</w:t>
        </w:r>
      </w:hyperlink>
      <w:r>
        <w:t xml:space="preserve">; </w:t>
      </w:r>
      <w:hyperlink r:id="rId19820">
        <w:r>
          <w:rPr>
            <w:color w:val="0000EE"/>
            <w:u w:val="single"/>
          </w:rPr>
          <w:t>36.8–13</w:t>
        </w:r>
      </w:hyperlink>
      <w:r>
        <w:t>). Cada uma media 12,8 por 1,8 metros. Pares unidos ao longo de seu comprimento formavam cinco conjuntos de cortinas. As duas grandes cortinas eram elas mesmas presas com 50 colchetes dourados que passavam por um número semelhante de laços em cada uma. Provavelmente, as cortinas eram esticadas sobre a estrutura como uma toalha de mesa.</w:t>
      </w:r>
    </w:p>
    <w:p>
      <w:r/>
      <w:r>
        <w:t>Onze cortinas ou lonas de pelo de cabra, cada uma com 13,7 metros por 1,8 metros, formavam a próxima camada. Estas eram divididas em dois conjuntos, unindo cinco e seis cortinas respectivamente, e eram ligadas usando um método semelhante ao da cortina inferior, exceto que eram usados fechos de bronze em vez de ouro. O comprimento extra das lonas de pelo de cabra proporcionava uma sobreposição para proteger a cortina inferior, e a lona maior sobrepunha-se tanto na frente quanto na parte traseira do tabernáculo (</w:t>
      </w:r>
      <w:hyperlink r:id="rId19821">
        <w:r>
          <w:rPr>
            <w:color w:val="0000EE"/>
            <w:u w:val="single"/>
          </w:rPr>
          <w:t>Êx 26.7–9,12–13</w:t>
        </w:r>
      </w:hyperlink>
      <w:r>
        <w:t>). Duas camadas adicionais garantiam impermeabilização completa, uma de peles de carneiro tingidas de vermelho e outra de peles de cabra.</w:t>
      </w:r>
    </w:p>
    <w:p>
      <w:r/>
      <w:r>
        <w:t>Um véu feito do mesmo material que a cortina inferior dividia o santuário e pendia sob as presilhas douradas que uniam as duas cortinas, sustentado por quatro pilares de madeira de acácia revestidos de ouro e apoiados em bases de prata. Os querubins tanto no véu quanto nas cortinas eram guardiões simbólicos do santuário. A posição do véu fazia do Santo dos Santos um cubo perfeito de 4,6 metros (15 pés). As camadas de material sobrepostas e a atenção dada às juntas enfatizam a escuridão do santuário mais interno. Deus estava cercado por escuridão, cuidadosamente isolado de qualquer visão não autorizada (</w:t>
      </w:r>
      <w:hyperlink r:id="rId8277">
        <w:r>
          <w:rPr>
            <w:color w:val="0000EE"/>
            <w:u w:val="single"/>
          </w:rPr>
          <w:t>Sl 97.2</w:t>
        </w:r>
      </w:hyperlink>
      <w:r>
        <w:t>). O Lugar Santo ocupava uma área de 9,1 por 4,6 metros (30 por 15 pés), exatamente o dobro da área do Santo dos Santos. Uma tela feita do mesmo tecido que a cortina principal ficava entre o Lugar Santo e o átrio externo e pendia de ganchos dourados em cinco postes de madeira de acácia, revestidos de ouro e apoiados em soquetes de bronze. Não há menção de serafins bordados nesta seção, que formava a parede oriental do tabernáculo.</w:t>
      </w:r>
    </w:p>
    <w:p>
      <w:r/>
      <w:r>
        <w:t>O tabernáculo, embora provavelmente tivesse uma aparência um tanto achatada que sugeria força, podia ser facilmente desmontado, transportado e remontado. Pelos padrões daquela época, era uma habitação adequada para Deus, construída com as melhores habilidades humanas e os materiais da mais alta qualidade.</w:t>
      </w:r>
    </w:p>
    <w:p>
      <w:pPr>
        <w:pStyle w:val="Heading3"/>
      </w:pPr>
      <w:r>
        <w:t>O pátio externo e seus mobiliários</w:t>
      </w:r>
    </w:p>
    <w:p>
      <w:r/>
      <w:r>
        <w:t>O átrio do tabernáculo era um retângulo de 45,7 metros (150 pés) de comprimento nos lados norte e sul e 22,9 metros (75 pés) de largura nos lados leste e oeste (</w:t>
      </w:r>
      <w:hyperlink r:id="rId19822">
        <w:r>
          <w:rPr>
            <w:color w:val="0000EE"/>
            <w:u w:val="single"/>
          </w:rPr>
          <w:t>Êx 27.9–18</w:t>
        </w:r>
      </w:hyperlink>
      <w:r>
        <w:t xml:space="preserve">; </w:t>
      </w:r>
      <w:hyperlink r:id="rId19823">
        <w:r>
          <w:rPr>
            <w:color w:val="0000EE"/>
            <w:u w:val="single"/>
          </w:rPr>
          <w:t>38.9–19</w:t>
        </w:r>
      </w:hyperlink>
      <w:r>
        <w:t>). O próprio tabernáculo estava na extremidade oeste. Cortinas de linho fino torcido, com 2,3 metros(7½ pés) de altura, cercavam toda a área do tabernáculo. Na seção oriental, havia uma entrada central, com 9,1 metros (30 pés) de largura. Uma cortina bordada da mesma altura cobria esta entrada, que provavelmente era recuada para facilitar a entrada de ambos os lados. Varas de prata sustentavam todas as cortinas. Essas varas passavam por ganchos de prata presos aos postes revestidos de prata que repousavam sobre bases de bronze (</w:t>
      </w:r>
      <w:hyperlink r:id="rId19824">
        <w:r>
          <w:rPr>
            <w:color w:val="0000EE"/>
            <w:u w:val="single"/>
          </w:rPr>
          <w:t>38.17</w:t>
        </w:r>
      </w:hyperlink>
      <w:r>
        <w:t>).</w:t>
      </w:r>
    </w:p>
    <w:p>
      <w:r/>
      <w:r>
        <w:t>O altar do holocausto (</w:t>
      </w:r>
      <w:hyperlink r:id="rId982">
        <w:r>
          <w:rPr>
            <w:color w:val="0000EE"/>
            <w:u w:val="single"/>
          </w:rPr>
          <w:t>Êx 27.1–8</w:t>
        </w:r>
      </w:hyperlink>
      <w:r>
        <w:t xml:space="preserve">; </w:t>
      </w:r>
      <w:hyperlink r:id="rId983">
        <w:r>
          <w:rPr>
            <w:color w:val="0000EE"/>
            <w:u w:val="single"/>
          </w:rPr>
          <w:t>38.1–7</w:t>
        </w:r>
      </w:hyperlink>
      <w:r>
        <w:t>), na extremidade oriental do átrio adjacente à entrada (</w:t>
      </w:r>
      <w:hyperlink r:id="rId19825">
        <w:r>
          <w:rPr>
            <w:color w:val="0000EE"/>
            <w:u w:val="single"/>
          </w:rPr>
          <w:t>40.29</w:t>
        </w:r>
      </w:hyperlink>
      <w:r>
        <w:t>), era um lembrete de que não poderia haver aproximação a Deus exceto pelo lugar de sacrifício. Com 2,1 metros quadrados (7 pés) e 1,4 metros (4,5 pés) de altura, era pequeno em comparação ao altar gigantesco no templo de Salomão (</w:t>
      </w:r>
      <w:hyperlink r:id="rId19826">
        <w:r>
          <w:rPr>
            <w:color w:val="0000EE"/>
            <w:u w:val="single"/>
          </w:rPr>
          <w:t>2Cr 4.1</w:t>
        </w:r>
      </w:hyperlink>
      <w:r>
        <w:t>). Basicamente, era uma estrutura de madeira oca revestida de bronze, leve o suficiente para ser carregada em varas revestidas de bronze que passavam por anéis de bronze em cada canto. A grelha (</w:t>
      </w:r>
      <w:hyperlink r:id="rId19827">
        <w:r>
          <w:rPr>
            <w:color w:val="0000EE"/>
            <w:u w:val="single"/>
          </w:rPr>
          <w:t>Êx 27.4–5</w:t>
        </w:r>
      </w:hyperlink>
      <w:r>
        <w:t xml:space="preserve">) estava provavelmente dentro do altar no meio, embora alguns estudiosos acreditem que se estendia ao redor das partes inferiores e externas do altar, para fornecer ventilação e permitir que o sangue sacrificial fluísse para a base do altar. Os chifres, possivelmente simbolizando as vítimas sacrificiais, poderiam ser usados para amarrar os animais prestes a serem sacrificados. Em Israel, uma pessoa poderia reivindicar proteção contra punições ou ataques agarrando-se aos chifres do altar (e.g., </w:t>
      </w:r>
      <w:hyperlink r:id="rId19828">
        <w:r>
          <w:rPr>
            <w:color w:val="0000EE"/>
            <w:u w:val="single"/>
          </w:rPr>
          <w:t>1Rs 1.50</w:t>
        </w:r>
      </w:hyperlink>
      <w:r>
        <w:t>), com o possível simbolismo de que estava oferecendo a si mesma como sacrifício a Deus e assim reivindicando sua proteção. A parte inferior do altar pode ter sido parcialmente preenchida com terra para absorver o sangue (</w:t>
      </w:r>
      <w:hyperlink r:id="rId14984">
        <w:r>
          <w:rPr>
            <w:color w:val="0000EE"/>
            <w:u w:val="single"/>
          </w:rPr>
          <w:t>Êx 20.24</w:t>
        </w:r>
      </w:hyperlink>
      <w:r>
        <w:t>). Todos os acessórios eram de bronze: baldes de cinzas, pás para remover as cinzas e preencher a base com terra, bacias para o sangue, ganchos para carcaças e incensários (</w:t>
      </w:r>
      <w:hyperlink r:id="rId19829">
        <w:r>
          <w:rPr>
            <w:color w:val="0000EE"/>
            <w:u w:val="single"/>
          </w:rPr>
          <w:t>27.3</w:t>
        </w:r>
      </w:hyperlink>
      <w:r>
        <w:t>).</w:t>
      </w:r>
    </w:p>
    <w:p>
      <w:r/>
      <w:r>
        <w:t>Nenhuma especificação sobre o tamanho da pia (ou, "bacia de lavar") sobreviveu (</w:t>
      </w:r>
      <w:hyperlink r:id="rId19830">
        <w:r>
          <w:rPr>
            <w:color w:val="0000EE"/>
            <w:u w:val="single"/>
          </w:rPr>
          <w:t>Êx 30.17–20</w:t>
        </w:r>
      </w:hyperlink>
      <w:r>
        <w:t xml:space="preserve">; </w:t>
      </w:r>
      <w:hyperlink r:id="rId8345">
        <w:r>
          <w:rPr>
            <w:color w:val="0000EE"/>
            <w:u w:val="single"/>
          </w:rPr>
          <w:t>38.8</w:t>
        </w:r>
      </w:hyperlink>
      <w:r>
        <w:t>). Foi feita a partir dos espelhos das mulheres que serviam na entrada do átrio. A pia ficava entre o altar de sacrifício e o tabernáculo. Falhar em lavar-se na pia antes de ministrar era punível com a morte — um lembrete solene da necessidade de limpeza e obediência antes de realizar qualquer tarefa para Deus. O pedestal de bronze pode ter sido apenas um suporte para a pia, mas possivelmente incorporava uma bacia inferior na qual os sacerdotes podiam lavar os pés.</w:t>
      </w:r>
    </w:p>
    <w:p>
      <w:pPr>
        <w:pStyle w:val="Heading3"/>
      </w:pPr>
      <w:r>
        <w:t>A construção e consagração do tabernáculo</w:t>
      </w:r>
    </w:p>
    <w:p>
      <w:r/>
      <w:r>
        <w:t>As especificações dadas por Deus exigiam habilidades além das capacidades de Moisés e Arão. Proeminentes na construção estavam Bezalel e Aoliabe (</w:t>
      </w:r>
      <w:hyperlink r:id="rId19831">
        <w:r>
          <w:rPr>
            <w:color w:val="0000EE"/>
            <w:u w:val="single"/>
          </w:rPr>
          <w:t>Êx 30.1–11</w:t>
        </w:r>
      </w:hyperlink>
      <w:r>
        <w:t>), com um grande grupo de especialistas de apoio, que devem ter aprendido seu ofício no Egito. Em um esforço comunitário notável, os israelitas deram tão generosamente que o fluxo de presentes teve que ser interrompido (</w:t>
      </w:r>
      <w:hyperlink r:id="rId19832">
        <w:r>
          <w:rPr>
            <w:color w:val="0000EE"/>
            <w:u w:val="single"/>
          </w:rPr>
          <w:t>35.20–24</w:t>
        </w:r>
      </w:hyperlink>
      <w:r>
        <w:t xml:space="preserve">; </w:t>
      </w:r>
      <w:hyperlink r:id="rId19833">
        <w:r>
          <w:rPr>
            <w:color w:val="0000EE"/>
            <w:u w:val="single"/>
          </w:rPr>
          <w:t>36.4–7</w:t>
        </w:r>
      </w:hyperlink>
      <w:r>
        <w:t>). Além disso, muitos deram de suas habilidades especiais (</w:t>
      </w:r>
      <w:hyperlink r:id="rId19834">
        <w:r>
          <w:rPr>
            <w:color w:val="0000EE"/>
            <w:u w:val="single"/>
          </w:rPr>
          <w:t>35.25–29</w:t>
        </w:r>
      </w:hyperlink>
      <w:r>
        <w:t>).</w:t>
      </w:r>
    </w:p>
    <w:p>
      <w:r/>
      <w:r>
        <w:t>Quando todos os itens foram concluídos e colocados em posição (</w:t>
      </w:r>
      <w:hyperlink r:id="rId19835">
        <w:r>
          <w:rPr>
            <w:color w:val="0000EE"/>
            <w:u w:val="single"/>
          </w:rPr>
          <w:t>Êx 40.1–33</w:t>
        </w:r>
      </w:hyperlink>
      <w:r>
        <w:t>), cada peça, exceto o propiciatório e os querubins, foi ungida com óleo especial (</w:t>
      </w:r>
      <w:hyperlink r:id="rId19836">
        <w:r>
          <w:rPr>
            <w:color w:val="0000EE"/>
            <w:u w:val="single"/>
          </w:rPr>
          <w:t>30.22–33</w:t>
        </w:r>
      </w:hyperlink>
      <w:r>
        <w:t xml:space="preserve">; </w:t>
      </w:r>
      <w:hyperlink r:id="rId19837">
        <w:r>
          <w:rPr>
            <w:color w:val="0000EE"/>
            <w:u w:val="single"/>
          </w:rPr>
          <w:t>40.9–11</w:t>
        </w:r>
      </w:hyperlink>
      <w:r>
        <w:t>) e simbolicamente consagrada para sua função particular. O clímax ocorreu quando a glória do Senhor encheu o tabernáculo (</w:t>
      </w:r>
      <w:hyperlink r:id="rId19295">
        <w:r>
          <w:rPr>
            <w:color w:val="0000EE"/>
            <w:u w:val="single"/>
          </w:rPr>
          <w:t>40.34</w:t>
        </w:r>
      </w:hyperlink>
      <w:r>
        <w:t>). Ele veio para estar presente entre seu povo, e daí em diante a nuvem de dia e o fogo de noite proporcionaram segurança quanto à sua presença e orientação. No entanto, não poderia haver negligência ao se aproximar dele, e até mesmo Moisés foi excluído do Santo dos Santos. O tabernáculo foi erguido exatamente um ano após a libertação do Egito e apenas nove meses após a revelação no Sinai.</w:t>
      </w:r>
    </w:p>
    <w:p>
      <w:r/>
      <w:r>
        <w:t>Depois disso, quando Israel acampou, os levitas cercaram o tabernáculo em três lados (</w:t>
      </w:r>
      <w:hyperlink r:id="rId19838">
        <w:r>
          <w:rPr>
            <w:color w:val="0000EE"/>
            <w:u w:val="single"/>
          </w:rPr>
          <w:t>Nm 1.53</w:t>
        </w:r>
      </w:hyperlink>
      <w:r>
        <w:t>), com as famílias de Moisés e Arão ocupando o lado leste restante (</w:t>
      </w:r>
      <w:hyperlink r:id="rId19839">
        <w:r>
          <w:rPr>
            <w:color w:val="0000EE"/>
            <w:u w:val="single"/>
          </w:rPr>
          <w:t>Nm 3.14–38</w:t>
        </w:r>
      </w:hyperlink>
      <w:r>
        <w:t>). Isso impedia qualquer intrusão não autorizada na área sagrada. Quando o tabernáculo era movido, o desmantelamento era cuidadosamente regulado (</w:t>
      </w:r>
      <w:hyperlink r:id="rId19840">
        <w:r>
          <w:rPr>
            <w:color w:val="0000EE"/>
            <w:u w:val="single"/>
          </w:rPr>
          <w:t>4.5–15</w:t>
        </w:r>
      </w:hyperlink>
      <w:r>
        <w:t>). Os coatitas eram responsáveis por transportar os itens mais sagrados, usando as varas de transporte; os gersonitas lidavam com todos os tecidos, o altar de sacrifício e seus acessórios; e os meraritas carregavam os móveis pesados, como as armações, barras e bases. Mesmo em marcha, o tabernáculo permanecia central, com seis tribos precedendo e as seis restantes seguindo (</w:t>
      </w:r>
      <w:hyperlink r:id="rId15357">
        <w:r>
          <w:rPr>
            <w:color w:val="0000EE"/>
            <w:u w:val="single"/>
          </w:rPr>
          <w:t>Nm 2</w:t>
        </w:r>
      </w:hyperlink>
      <w:r>
        <w:t>).</w:t>
      </w:r>
    </w:p>
    <w:p>
      <w:r/>
      <w:r>
        <w:rPr>
          <w:i/>
        </w:rPr>
        <w:t>Veja também</w:t>
      </w:r>
      <w:r>
        <w:t xml:space="preserve"> </w:t>
      </w:r>
      <w:r>
        <w:t>Templo</w:t>
      </w:r>
      <w:r>
        <w:t>.</w:t>
      </w:r>
      <w:r/>
      <w:r/>
    </w:p>
    <w:p>
      <w:r/>
    </w:p>
    <w:p>
      <w:pPr>
        <w:pStyle w:val="Heading2"/>
      </w:pPr>
      <w:r>
        <w:t>Tabita</w:t>
      </w:r>
      <w:r/>
    </w:p>
    <w:p>
      <w:r/>
      <w:r>
        <w:t>Um nome aramaico que significa "gazela". O nome grego é Dorcas (</w:t>
      </w:r>
      <w:hyperlink r:id="rId19841">
        <w:r>
          <w:rPr>
            <w:color w:val="0000EE"/>
            <w:u w:val="single"/>
          </w:rPr>
          <w:t>At 9.36,40</w:t>
        </w:r>
      </w:hyperlink>
      <w:r>
        <w:t>).</w:t>
      </w:r>
    </w:p>
    <w:p>
      <w:r/>
      <w:r>
        <w:rPr>
          <w:i/>
        </w:rPr>
        <w:t>Veja</w:t>
      </w:r>
      <w:r>
        <w:t xml:space="preserve"> </w:t>
      </w:r>
      <w:r>
        <w:t>Dorcas</w:t>
      </w:r>
      <w:r>
        <w:t>.</w:t>
      </w:r>
      <w:r/>
      <w:r/>
    </w:p>
    <w:p>
      <w:r/>
    </w:p>
    <w:p>
      <w:pPr>
        <w:pStyle w:val="Heading2"/>
      </w:pPr>
      <w:r>
        <w:t>Tabletes de Ebla</w:t>
      </w:r>
      <w:r/>
    </w:p>
    <w:p>
      <w:r/>
      <w:r>
        <w:t>Tabletes datados de cerca de 2220 a 2240 a.C. foram descobertos na antiga cidade-estado síria de Ebla, atualmente o local de Tell Mardikh.</w:t>
      </w:r>
    </w:p>
    <w:p>
      <w:r/>
      <w:r>
        <w:t>Ebla era uma grande cidade comercial. As pessoas lá fabricavam tecidos, itens de madeira, cerâmica e objetos de ouro, prata e outros metais. Muitas dos tabletes de argila encontradas são registros econômicos que documentam transações com cidades da Ásia Menor, Egito, Chipre e Irã (Pérsia). Os tabletes listam milhares de nomes de cidades. Muitos desses nomes são familiares da Bíblia, como:</w:t>
      </w:r>
    </w:p>
    <w:p>
      <w:pPr>
        <w:pStyle w:val="ListBullet"/>
        <w:spacing w:line="240" w:lineRule="auto"/>
        <w:ind w:left="720"/>
      </w:pPr>
      <w:r/>
      <w:r>
        <w:t>Hazor</w:t>
      </w:r>
    </w:p>
    <w:p>
      <w:pPr>
        <w:pStyle w:val="ListBullet"/>
        <w:spacing w:line="240" w:lineRule="auto"/>
        <w:ind w:left="720"/>
      </w:pPr>
      <w:r/>
      <w:r>
        <w:t>Megido</w:t>
      </w:r>
    </w:p>
    <w:p>
      <w:pPr>
        <w:pStyle w:val="ListBullet"/>
        <w:spacing w:line="240" w:lineRule="auto"/>
        <w:ind w:left="720"/>
      </w:pPr>
      <w:r/>
      <w:r>
        <w:t>Dor</w:t>
      </w:r>
    </w:p>
    <w:p>
      <w:pPr>
        <w:pStyle w:val="ListBullet"/>
        <w:spacing w:line="240" w:lineRule="auto"/>
        <w:ind w:left="720"/>
      </w:pPr>
      <w:r/>
      <w:r>
        <w:t>Jope</w:t>
      </w:r>
    </w:p>
    <w:p>
      <w:pPr>
        <w:pStyle w:val="ListBullet"/>
        <w:spacing w:line="240" w:lineRule="auto"/>
        <w:ind w:left="720"/>
      </w:pPr>
      <w:r/>
      <w:r>
        <w:t>Gaza</w:t>
      </w:r>
    </w:p>
    <w:p>
      <w:pPr>
        <w:pStyle w:val="ListBullet"/>
        <w:spacing w:line="240" w:lineRule="auto"/>
        <w:ind w:left="720"/>
      </w:pPr>
      <w:r/>
      <w:r>
        <w:t>Uru-Salim (que pode ser Jerusalém ou "cidade de Salém")</w:t>
      </w:r>
    </w:p>
    <w:p>
      <w:r/>
      <w:r>
        <w:t xml:space="preserve">Um tablete até menciona Sodoma, Gomorra e Zoar. Ele descreve Zoar como estando "no território de Bela" (cp. </w:t>
      </w:r>
      <w:hyperlink r:id="rId3328">
        <w:r>
          <w:rPr>
            <w:color w:val="0000EE"/>
            <w:u w:val="single"/>
          </w:rPr>
          <w:t>Gn 14.2</w:t>
        </w:r>
      </w:hyperlink>
      <w:r>
        <w:t>). De acordo com o relato bíblico, Sodoma e Gomorra foram destruídas nos dias de Abraão (</w:t>
      </w:r>
      <w:hyperlink r:id="rId19842">
        <w:r>
          <w:rPr>
            <w:color w:val="0000EE"/>
            <w:u w:val="single"/>
          </w:rPr>
          <w:t>Gn 19.24–29</w:t>
        </w:r>
      </w:hyperlink>
      <w:r>
        <w:t xml:space="preserve">). Assim, os detalhes em </w:t>
      </w:r>
      <w:hyperlink r:id="rId1116">
        <w:r>
          <w:rPr>
            <w:color w:val="0000EE"/>
            <w:u w:val="single"/>
          </w:rPr>
          <w:t>Gênesis 14</w:t>
        </w:r>
      </w:hyperlink>
      <w:r>
        <w:t xml:space="preserve"> e </w:t>
      </w:r>
      <w:hyperlink r:id="rId172">
        <w:r>
          <w:rPr>
            <w:color w:val="0000EE"/>
            <w:u w:val="single"/>
          </w:rPr>
          <w:t>19</w:t>
        </w:r>
      </w:hyperlink>
      <w:r>
        <w:t xml:space="preserve"> só poderiam ter sido registrados através de uma tradição viva.</w:t>
      </w:r>
    </w:p>
    <w:p>
      <w:r/>
      <w:r>
        <w:t>Os tabletes de argila de Tell Mardikh (também conhecido como Ebla) contêm muitos nomes pessoais que se assemelham aos nomes encontrados na Bíblia. Alguns exemplos são:</w:t>
      </w:r>
    </w:p>
    <w:p>
      <w:pPr>
        <w:pStyle w:val="ListBullet"/>
        <w:spacing w:line="240" w:lineRule="auto"/>
        <w:ind w:left="720"/>
      </w:pPr>
      <w:r/>
      <w:r>
        <w:t xml:space="preserve">Abrão (escrito como </w:t>
      </w:r>
      <w:r>
        <w:rPr>
          <w:i/>
        </w:rPr>
        <w:t>ab-ra-mu</w:t>
      </w:r>
      <w:r>
        <w:t>)</w:t>
      </w:r>
    </w:p>
    <w:p>
      <w:pPr>
        <w:pStyle w:val="ListBullet"/>
        <w:spacing w:line="240" w:lineRule="auto"/>
        <w:ind w:left="720"/>
      </w:pPr>
      <w:r/>
      <w:r>
        <w:t xml:space="preserve">Israel (escrito como </w:t>
      </w:r>
      <w:r>
        <w:rPr>
          <w:i/>
        </w:rPr>
        <w:t>ish-ra-ilu</w:t>
      </w:r>
      <w:r>
        <w:t>)</w:t>
      </w:r>
    </w:p>
    <w:p>
      <w:pPr>
        <w:pStyle w:val="ListBullet"/>
        <w:spacing w:line="240" w:lineRule="auto"/>
        <w:ind w:left="720"/>
      </w:pPr>
      <w:r/>
      <w:r>
        <w:t xml:space="preserve">Saul (escrito como </w:t>
      </w:r>
      <w:r>
        <w:rPr>
          <w:i/>
        </w:rPr>
        <w:t>sha-u-lu</w:t>
      </w:r>
      <w:r>
        <w:t>)</w:t>
      </w:r>
    </w:p>
    <w:p>
      <w:pPr>
        <w:pStyle w:val="ListBullet"/>
        <w:spacing w:line="240" w:lineRule="auto"/>
        <w:ind w:left="720"/>
      </w:pPr>
      <w:r/>
      <w:r>
        <w:t>Davi (escrito como da-u-du)</w:t>
      </w:r>
    </w:p>
    <w:p>
      <w:r/>
      <w:r>
        <w:t>Algumas pessoas acreditam que isso prova que a Bíblia é verdadeira. Outros têm perguntas sobre isso. Por exemplo, como o nome “Israel” poderia estar escrito em tabletes quatro ou mais séculos antes de Deus dar esse nome a Jacó?</w:t>
      </w:r>
    </w:p>
    <w:p>
      <w:r/>
      <w:r>
        <w:t xml:space="preserve">Mas a Bíblia não diz que o nome era novo. Naquela época, as pessoas frequentemente criavam nomes combinando o nome de um deus com uma palavra sobre o que o deus fazia. Por exemplo, Isaías significa “Yah é salvação” (Yah é uma forma abreviada de Yahweh). Portanto, é possível que antes de Jacó, os pais nomeassem seus filhos </w:t>
      </w:r>
      <w:r>
        <w:rPr>
          <w:i/>
        </w:rPr>
        <w:t>ish-ra-ilu</w:t>
      </w:r>
      <w:r>
        <w:t>, que significa “El [Deus] prevaleceu”. O que foi novo na história de Jacó foi seu encontro pessoal com Deus e a bênção que ele recebeu.</w:t>
      </w:r>
    </w:p>
    <w:p>
      <w:r/>
      <w:r>
        <w:t>Alguns nomes de Ebla aparecem de duas formas:</w:t>
      </w:r>
    </w:p>
    <w:p>
      <w:pPr>
        <w:pStyle w:val="ListNumber"/>
        <w:spacing w:line="240" w:lineRule="auto"/>
        <w:ind w:left="720"/>
      </w:pPr>
      <w:r/>
      <w:r>
        <w:t>com -</w:t>
      </w:r>
      <w:r>
        <w:rPr>
          <w:i/>
        </w:rPr>
        <w:t>ilu</w:t>
      </w:r>
      <w:r>
        <w:t xml:space="preserve"> (significando El ou Deus)</w:t>
      </w:r>
    </w:p>
    <w:p>
      <w:pPr>
        <w:pStyle w:val="ListNumber"/>
        <w:spacing w:line="240" w:lineRule="auto"/>
        <w:ind w:left="720"/>
      </w:pPr>
      <w:r/>
      <w:r>
        <w:t xml:space="preserve">com </w:t>
      </w:r>
      <w:r>
        <w:rPr>
          <w:i/>
        </w:rPr>
        <w:t>-ya</w:t>
      </w:r>
      <w:r>
        <w:t xml:space="preserve"> (possivelmente significando Yah, abreviação de Yahweh)</w:t>
      </w:r>
    </w:p>
    <w:p>
      <w:r/>
      <w:r>
        <w:t xml:space="preserve">Assim, tanto os nomes </w:t>
      </w:r>
      <w:r>
        <w:rPr>
          <w:i/>
        </w:rPr>
        <w:t>mi-ka-ya</w:t>
      </w:r>
      <w:r>
        <w:t xml:space="preserve"> (Micaías, Miquéias) quanto </w:t>
      </w:r>
      <w:r>
        <w:rPr>
          <w:i/>
        </w:rPr>
        <w:t>mi-ka-il</w:t>
      </w:r>
      <w:r>
        <w:t xml:space="preserve"> (Miguel) são encontrados ao lado de outros nomes teofóricos (portadores de Deus). Mas, se o sufixo </w:t>
      </w:r>
      <w:r>
        <w:rPr>
          <w:i/>
        </w:rPr>
        <w:t>-ya</w:t>
      </w:r>
      <w:r>
        <w:t xml:space="preserve"> realmente é um nome divino (Yah, o Senhor), sua aparição levanta uma questão importante. Em </w:t>
      </w:r>
      <w:hyperlink r:id="rId15202">
        <w:r>
          <w:rPr>
            <w:color w:val="0000EE"/>
            <w:u w:val="single"/>
          </w:rPr>
          <w:t>Êxodo 6.3</w:t>
        </w:r>
      </w:hyperlink>
      <w:r>
        <w:t>, Deus diz que Abraão, Isaque e Jacó o conheceram como El Shaddai, “porém não deixei que me conhecessem pelo meu nome de Senhor”. Isso implica que o nome Yahweh não era conhecido antes do Sinai.</w:t>
      </w:r>
    </w:p>
    <w:p>
      <w:r/>
      <w:r>
        <w:t>No entanto, o nome Javé aparece muitas vezes em Gênesis. Não está apenas em histórias onde um escritor posterior poderia tê-lo adicionado. Está também em:</w:t>
      </w:r>
    </w:p>
    <w:p>
      <w:pPr>
        <w:pStyle w:val="ListBullet"/>
        <w:spacing w:line="240" w:lineRule="auto"/>
        <w:ind w:left="720"/>
      </w:pPr>
      <w:r/>
      <w:r>
        <w:t>promessas que as pessoas fizeram usando o nome de Yahweh, e</w:t>
      </w:r>
    </w:p>
    <w:p>
      <w:pPr>
        <w:pStyle w:val="ListBullet"/>
        <w:spacing w:line="240" w:lineRule="auto"/>
        <w:ind w:left="720"/>
      </w:pPr>
      <w:r/>
      <w:r>
        <w:t>Citações que indicam que as pessoas realmente usavam o nome Yahweh.</w:t>
      </w:r>
    </w:p>
    <w:p>
      <w:r/>
      <w:r>
        <w:t>Esses juramentos e citações sugerem que as pessoas realmente usavam o nome Yahweh em suas vidas cotidianas.</w:t>
      </w:r>
    </w:p>
    <w:p>
      <w:r/>
      <w:r>
        <w:t>Acadêmicos conhecem esse problema há muito tempo. Eles se dividiram em dois grupos principais:</w:t>
      </w:r>
    </w:p>
    <w:p>
      <w:pPr>
        <w:pStyle w:val="ListBullet"/>
        <w:spacing w:line="240" w:lineRule="auto"/>
        <w:ind w:left="720"/>
      </w:pPr>
      <w:r/>
      <w:r>
        <w:t>aqueles que acreditam que as pessoas não conheciam o nome Yahweh antes de Moisés, ou</w:t>
      </w:r>
    </w:p>
    <w:p>
      <w:pPr>
        <w:pStyle w:val="ListBullet"/>
        <w:spacing w:line="240" w:lineRule="auto"/>
        <w:ind w:left="720"/>
      </w:pPr>
      <w:r/>
      <w:r>
        <w:t>aqueles que acreditam que as pessoas conheciam o nome, mas ele adquiriu um novo significado quando Deus libertou os israelitas do Egito.</w:t>
      </w:r>
    </w:p>
    <w:p>
      <w:r/>
      <w:r>
        <w:t xml:space="preserve">Os tabletes de argila de Ebla nos proporcionaram uma nova maneira de aprender sobre o passado. Levará muitos anos para entender tudo o que está escrito nessas tábuas. Mas algumas coisas já estão claras: é improvável que as histórias sobre Abraão, Isaque e Jacó em </w:t>
      </w:r>
      <w:hyperlink r:id="rId19843">
        <w:r>
          <w:rPr>
            <w:color w:val="0000EE"/>
            <w:u w:val="single"/>
          </w:rPr>
          <w:t>Gênesis 11–35</w:t>
        </w:r>
      </w:hyperlink>
      <w:r>
        <w:t xml:space="preserve"> tenham sido escritas por autores dos séculos VIII ou VII a.C. É improvável que um escritor desses séculos pudesse ter incluído aleatoriamente centenas de nomes historicamente precisos de lugares, pessoas, itens de comércio e outros detalhes nesses capítulos. Escavações modernas (arqueologia) encontraram os mesmos nomes, lugares, itens de comércio e outros detalhes nas tábuas de Ebla. Não é razoável pensar que isso seja apenas por acaso. As evidências de Ebla desafiam fortemente a ideia de que as histórias de Gênesis foram criadas muito tempo depois dos eventos que descrevem.</w:t>
      </w:r>
    </w:p>
    <w:p>
      <w:r/>
      <w:r>
        <w:rPr>
          <w:i/>
        </w:rPr>
        <w:t>Veja também</w:t>
      </w:r>
      <w:r>
        <w:t xml:space="preserve"> </w:t>
      </w:r>
      <w:r>
        <w:t>Inscrições</w:t>
      </w:r>
      <w:r>
        <w:t>.</w:t>
      </w:r>
      <w:r/>
      <w:r/>
    </w:p>
    <w:p>
      <w:r/>
    </w:p>
    <w:p>
      <w:pPr>
        <w:pStyle w:val="Heading2"/>
      </w:pPr>
      <w:r>
        <w:t>Tabor, Monte</w:t>
      </w:r>
      <w:r/>
    </w:p>
    <w:p>
      <w:r/>
      <w:r>
        <w:t>Importante colina na baixa Galileia, localizada na área nordeste do Vale de Jezreel. Cerca de 9,7 quilômetros a leste de Nazaré, Tabor se ergue abruptamente do chão do vale. Parecendo mais proeminente do que sua altura indicaria (587,9 metros), se tornou um importante ponto de referência geográfica na antiguidade. Definia a fronteira ocidental da tribo de Issacar (</w:t>
      </w:r>
      <w:hyperlink r:id="rId19844">
        <w:r>
          <w:rPr>
            <w:color w:val="0000EE"/>
            <w:u w:val="single"/>
          </w:rPr>
          <w:t>Js 19.22</w:t>
        </w:r>
      </w:hyperlink>
      <w:r>
        <w:t>) e era uma ferramenta de navegação útil na estrada internacional costeira (a Via Maris) que atravessava Megido, na Galileia, a caminho de Hazor. Sua proeminência convidava a comparação com o Monte Hermon, bem ao norte (</w:t>
      </w:r>
      <w:hyperlink r:id="rId10605">
        <w:r>
          <w:rPr>
            <w:color w:val="0000EE"/>
            <w:u w:val="single"/>
          </w:rPr>
          <w:t>Sl 89.12</w:t>
        </w:r>
      </w:hyperlink>
      <w:r>
        <w:t xml:space="preserve">; cf. </w:t>
      </w:r>
      <w:hyperlink r:id="rId18246">
        <w:r>
          <w:rPr>
            <w:color w:val="0000EE"/>
            <w:u w:val="single"/>
          </w:rPr>
          <w:t>Jr 46.18</w:t>
        </w:r>
      </w:hyperlink>
      <w:r>
        <w:t>).</w:t>
      </w:r>
    </w:p>
    <w:p>
      <w:r/>
      <w:r>
        <w:t>No AT, o Monte Tabor é mencionado no livro de Juízes quando Débora e Baraque lutam contra Sísera, o comandante de um exército cananeu de Hazor (</w:t>
      </w:r>
      <w:hyperlink r:id="rId2724">
        <w:r>
          <w:rPr>
            <w:color w:val="0000EE"/>
            <w:u w:val="single"/>
          </w:rPr>
          <w:t>Jz 4.1–24</w:t>
        </w:r>
      </w:hyperlink>
      <w:r>
        <w:t>). As tropas de Baraque das tribos próximas de Naftali e Zebulom se encontraram no Monte Tabor e no comando de Débora fizeram uma campanha bem-sucedida contra Sísera. Mais tarde no mesmo livro, o Monte Tabor foi nomeado como o lugar onde Gideão finalmente confrontou os reis midianitas, Zeba e Zalmuna, que haviam matado seus irmãos (</w:t>
      </w:r>
      <w:hyperlink r:id="rId19845">
        <w:r>
          <w:rPr>
            <w:color w:val="0000EE"/>
            <w:u w:val="single"/>
          </w:rPr>
          <w:t>8.18</w:t>
        </w:r>
      </w:hyperlink>
      <w:r>
        <w:t>).</w:t>
      </w:r>
    </w:p>
    <w:p>
      <w:r/>
      <w:r>
        <w:t xml:space="preserve">Localizado estrategicamente, o topo moderadamente dimensionado do Tabor, com menos de meio quilômetro quadrado (1,3 quilômetros quadrados), era facilmente fortificável. Durante o período da monarquia no AT, santuários podiam ser localizados lá (veja </w:t>
      </w:r>
      <w:hyperlink r:id="rId16021">
        <w:r>
          <w:rPr>
            <w:color w:val="0000EE"/>
            <w:u w:val="single"/>
          </w:rPr>
          <w:t>Os 5.1</w:t>
        </w:r>
      </w:hyperlink>
      <w:r>
        <w:t>), mas na era helenística, as fortificações foram construídas. Os Ptolomeus o fortaleceram, e na época de Antíoco III (218 a.C.), Tabor pode ter se tornado o centro administrativo do Vale de Jezreel. A era romana testemunhou vários conflitos no Monte Tabor. Na principal guerra judaica de 66 d.C., Josefo fortificou a colina com uma grande parede, que ainda é visível. Desde o quarto século, o Monte Tabor tem sido identificado como o local da transfiguração de Jesus (</w:t>
      </w:r>
      <w:hyperlink r:id="rId19846">
        <w:r>
          <w:rPr>
            <w:color w:val="0000EE"/>
            <w:u w:val="single"/>
          </w:rPr>
          <w:t>Mc 9.2–13</w:t>
        </w:r>
      </w:hyperlink>
      <w:r>
        <w:t>). No entanto, isso é incerto, uma vez que o NT não menciona o Monte Tabor pelo nome. Helena, a mãe de Constantino, estava convencida de que a Transfiguração ocorreu lá, e em 326 d.C. ela construiu uma igreja no local. Outros santuários, mosteiros e igrejas embelezavam a colina até o décimo segundo século, quando tudo foi destruído pelo conquistador árabe Saladino. Hoje, um mosteiro ortodoxo grego e uma basílica latina desde o décimo nono século podem ser vistos na montanha.</w:t>
      </w:r>
      <w:r/>
      <w:r/>
    </w:p>
    <w:p>
      <w:r/>
    </w:p>
    <w:p>
      <w:pPr>
        <w:pStyle w:val="Heading2"/>
      </w:pPr>
      <w:r>
        <w:t>Tadeu, O apóstolo</w:t>
      </w:r>
      <w:r/>
    </w:p>
    <w:p>
      <w:r/>
      <w:r>
        <w:t xml:space="preserve">Um dos 12 apóstolos originais de acordo com as listas em </w:t>
      </w:r>
      <w:hyperlink r:id="rId748">
        <w:r>
          <w:rPr>
            <w:color w:val="0000EE"/>
            <w:u w:val="single"/>
          </w:rPr>
          <w:t>Marcos 3.18</w:t>
        </w:r>
      </w:hyperlink>
      <w:r>
        <w:t xml:space="preserve"> e </w:t>
      </w:r>
      <w:hyperlink r:id="rId747">
        <w:r>
          <w:rPr>
            <w:color w:val="0000EE"/>
            <w:u w:val="single"/>
          </w:rPr>
          <w:t>Mateus 10.3</w:t>
        </w:r>
      </w:hyperlink>
      <w:r>
        <w:t xml:space="preserve"> (ARC “Lebeu, apelidado Tadeu”). É bem provável que esta seja a mesma pessoa que Judas, filho de Tiago (não Iscariotes) em </w:t>
      </w:r>
      <w:hyperlink r:id="rId12358">
        <w:r>
          <w:rPr>
            <w:color w:val="0000EE"/>
            <w:u w:val="single"/>
          </w:rPr>
          <w:t>Lucas 6.16</w:t>
        </w:r>
      </w:hyperlink>
      <w:r>
        <w:t xml:space="preserve"> e </w:t>
      </w:r>
      <w:hyperlink r:id="rId750">
        <w:r>
          <w:rPr>
            <w:color w:val="0000EE"/>
            <w:u w:val="single"/>
          </w:rPr>
          <w:t>Atos 1.13</w:t>
        </w:r>
      </w:hyperlink>
      <w:r>
        <w:t xml:space="preserve">. </w:t>
      </w:r>
      <w:r>
        <w:rPr>
          <w:i/>
        </w:rPr>
        <w:t>Veja</w:t>
      </w:r>
      <w:r>
        <w:t xml:space="preserve"> </w:t>
      </w:r>
      <w:r>
        <w:t>Apóstolo, Apostolado</w:t>
      </w:r>
      <w:r>
        <w:t>.</w:t>
      </w:r>
      <w:r/>
      <w:r/>
    </w:p>
    <w:p>
      <w:r/>
    </w:p>
    <w:p>
      <w:pPr>
        <w:pStyle w:val="Heading2"/>
      </w:pPr>
      <w:r>
        <w:t>Tahanita</w:t>
      </w:r>
      <w:r/>
    </w:p>
    <w:p>
      <w:r/>
      <w:r>
        <w:t>Qualquer descendente de Taã da tribo de Efraim (</w:t>
      </w:r>
      <w:hyperlink r:id="rId3436">
        <w:r>
          <w:rPr>
            <w:color w:val="0000EE"/>
            <w:u w:val="single"/>
          </w:rPr>
          <w:t>Nm 26.35</w:t>
        </w:r>
      </w:hyperlink>
      <w:r>
        <w:t>).</w:t>
      </w:r>
    </w:p>
    <w:p>
      <w:r/>
      <w:r>
        <w:rPr>
          <w:i/>
        </w:rPr>
        <w:t>Veja</w:t>
      </w:r>
      <w:r>
        <w:t xml:space="preserve"> </w:t>
      </w:r>
      <w:r>
        <w:t>Taã #1</w:t>
      </w:r>
      <w:r>
        <w:t>.</w:t>
      </w:r>
      <w:r/>
      <w:r/>
    </w:p>
    <w:p>
      <w:r/>
    </w:p>
    <w:p>
      <w:pPr>
        <w:pStyle w:val="Heading2"/>
      </w:pPr>
      <w:r>
        <w:t>Talitá Cumi*</w:t>
      </w:r>
      <w:r/>
    </w:p>
    <w:p>
      <w:r/>
      <w:r>
        <w:t>Palavras aramaicas faladas por Jesus e retidas por Marcos em seu Evangelho (</w:t>
      </w:r>
      <w:hyperlink r:id="rId19678">
        <w:r>
          <w:rPr>
            <w:color w:val="0000EE"/>
            <w:u w:val="single"/>
          </w:rPr>
          <w:t>Mc 5.41</w:t>
        </w:r>
      </w:hyperlink>
      <w:r>
        <w:t xml:space="preserve">). Jairo, um oficial da sinagoga na região da Galileia, chamou Jesus para curar sua filha doente; no entanto, ela morreu antes de Jesus chegar. Vindo até a menina, Jesus pegou em sua mão e disse: </w:t>
      </w:r>
      <w:r>
        <w:rPr>
          <w:i/>
        </w:rPr>
        <w:t>“Talitá cumi”</w:t>
      </w:r>
      <w:r>
        <w:t xml:space="preserve">, que significa “Menina, levante-se”. </w:t>
      </w:r>
      <w:r>
        <w:rPr>
          <w:i/>
        </w:rPr>
        <w:t>“Talitá”</w:t>
      </w:r>
      <w:r>
        <w:t xml:space="preserve"> é um termo de afeto que significa “cordeiro” ou “juventude”. </w:t>
      </w:r>
      <w:r>
        <w:rPr>
          <w:i/>
        </w:rPr>
        <w:t>“Cumi”</w:t>
      </w:r>
      <w:r>
        <w:t xml:space="preserve"> é um comando para levantar-se, traduzido por Marcos como “Eu digo a você: levante-se!”</w:t>
      </w:r>
    </w:p>
    <w:p>
      <w:r/>
      <w:r>
        <w:t>Em seu Evangelho, Marcos inclui outras frases em aramaico atribuídas a Jesus (</w:t>
      </w:r>
      <w:hyperlink r:id="rId3824">
        <w:r>
          <w:rPr>
            <w:color w:val="0000EE"/>
            <w:u w:val="single"/>
          </w:rPr>
          <w:t>Mc 3.17</w:t>
        </w:r>
      </w:hyperlink>
      <w:r>
        <w:t xml:space="preserve">; </w:t>
      </w:r>
      <w:hyperlink r:id="rId19678">
        <w:r>
          <w:rPr>
            <w:color w:val="0000EE"/>
            <w:u w:val="single"/>
          </w:rPr>
          <w:t>5.41</w:t>
        </w:r>
      </w:hyperlink>
      <w:r>
        <w:t xml:space="preserve">; </w:t>
      </w:r>
      <w:hyperlink r:id="rId5748">
        <w:r>
          <w:rPr>
            <w:color w:val="0000EE"/>
            <w:u w:val="single"/>
          </w:rPr>
          <w:t>7.11,34</w:t>
        </w:r>
      </w:hyperlink>
      <w:r>
        <w:t xml:space="preserve">; </w:t>
      </w:r>
      <w:hyperlink r:id="rId10753">
        <w:r>
          <w:rPr>
            <w:color w:val="0000EE"/>
            <w:u w:val="single"/>
          </w:rPr>
          <w:t>11.9–10</w:t>
        </w:r>
      </w:hyperlink>
      <w:r>
        <w:t xml:space="preserve">; </w:t>
      </w:r>
      <w:hyperlink r:id="rId4099">
        <w:r>
          <w:rPr>
            <w:color w:val="0000EE"/>
            <w:u w:val="single"/>
          </w:rPr>
          <w:t>14.36</w:t>
        </w:r>
      </w:hyperlink>
      <w:r>
        <w:t xml:space="preserve">; </w:t>
      </w:r>
      <w:hyperlink r:id="rId19847">
        <w:r>
          <w:rPr>
            <w:color w:val="0000EE"/>
            <w:u w:val="single"/>
          </w:rPr>
          <w:t>15.22,34</w:t>
        </w:r>
      </w:hyperlink>
      <w:r>
        <w:t>). Mateus retém apenas duas frases em aramaico (</w:t>
      </w:r>
      <w:hyperlink r:id="rId19848">
        <w:r>
          <w:rPr>
            <w:color w:val="0000EE"/>
            <w:u w:val="single"/>
          </w:rPr>
          <w:t>Mt 27.33,46</w:t>
        </w:r>
      </w:hyperlink>
      <w:r>
        <w:t>), e Lucas não mantém nenhuma.</w:t>
      </w:r>
      <w:r/>
      <w:r/>
    </w:p>
    <w:p>
      <w:r/>
    </w:p>
    <w:p>
      <w:pPr>
        <w:pStyle w:val="Heading2"/>
      </w:pPr>
      <w:r>
        <w:t>Talmai</w:t>
      </w:r>
      <w:r/>
    </w:p>
    <w:p>
      <w:pPr>
        <w:pStyle w:val="ListNumber"/>
        <w:spacing w:line="240" w:lineRule="auto"/>
        <w:ind w:left="720"/>
      </w:pPr>
      <w:r/>
      <w:r>
        <w:t>Um filho de Anaque e irmão de Aimã e Sesai. Os 12 espiões israelitas viram Talmai e seu povo quando exploraram a terra de Canaã (</w:t>
      </w:r>
      <w:hyperlink r:id="rId644">
        <w:r>
          <w:rPr>
            <w:color w:val="0000EE"/>
            <w:u w:val="single"/>
          </w:rPr>
          <w:t>Nm 13.22</w:t>
        </w:r>
      </w:hyperlink>
      <w:r>
        <w:t>). Mais tarde, Calebe conseguiu derrotar Talmai e seus irmãos. Eles estavam vivendo em Hebrom (</w:t>
      </w:r>
      <w:hyperlink r:id="rId19464">
        <w:r>
          <w:rPr>
            <w:color w:val="0000EE"/>
            <w:u w:val="single"/>
          </w:rPr>
          <w:t>Js 15.14</w:t>
        </w:r>
      </w:hyperlink>
      <w:r>
        <w:t xml:space="preserve">; </w:t>
      </w:r>
      <w:hyperlink r:id="rId646">
        <w:r>
          <w:rPr>
            <w:color w:val="0000EE"/>
            <w:u w:val="single"/>
          </w:rPr>
          <w:t>Jz 1.10</w:t>
        </w:r>
      </w:hyperlink>
      <w:r>
        <w:t>).</w:t>
      </w:r>
    </w:p>
    <w:p>
      <w:pPr>
        <w:pStyle w:val="ListNumber"/>
        <w:spacing w:line="240" w:lineRule="auto"/>
        <w:ind w:left="720"/>
      </w:pPr>
      <w:r/>
      <w:r>
        <w:t>Um filho de Amiúde e pai de Maaca. Maaca foi a esposa do Rei Davi. Ela deu à luz Absalão, o terceiro filho de Davi (</w:t>
      </w:r>
      <w:hyperlink r:id="rId190">
        <w:r>
          <w:rPr>
            <w:color w:val="0000EE"/>
            <w:u w:val="single"/>
          </w:rPr>
          <w:t>2Sm 3.3</w:t>
        </w:r>
      </w:hyperlink>
      <w:r>
        <w:t xml:space="preserve">; </w:t>
      </w:r>
      <w:hyperlink r:id="rId9934">
        <w:r>
          <w:rPr>
            <w:color w:val="0000EE"/>
            <w:u w:val="single"/>
          </w:rPr>
          <w:t>1Cr 3.2</w:t>
        </w:r>
      </w:hyperlink>
      <w:r>
        <w:t>). Depois que Absalão matou seu meio-irmão Amnom, ele fugiu para o pequeno reino de Gesur, de seu avô Talmai, para se proteger. (</w:t>
      </w:r>
      <w:hyperlink r:id="rId1101">
        <w:r>
          <w:rPr>
            <w:color w:val="0000EE"/>
            <w:u w:val="single"/>
          </w:rPr>
          <w:t>2Sm 13.37</w:t>
        </w:r>
      </w:hyperlink>
      <w:r>
        <w:t>).</w:t>
      </w:r>
      <w:r/>
      <w:r/>
    </w:p>
    <w:p>
      <w:r/>
    </w:p>
    <w:p>
      <w:pPr>
        <w:pStyle w:val="Heading2"/>
      </w:pPr>
      <w:r>
        <w:t>Talmude*</w:t>
      </w:r>
      <w:r/>
    </w:p>
    <w:p>
      <w:r/>
      <w:r>
        <w:t>Palavra que significa “estudar”, “aprender”. É um corpo de literatura em hebraico e aramaico, que cobre interpretações de porções legais do AT, bem como ditos sábios de muitas fontes rabínicas; abrange um período que vai logo após Esdras, cerca de 400 a.C., até aproximadamente os anos 500 d.C.</w:t>
      </w:r>
    </w:p>
    <w:p>
      <w:pPr>
        <w:pStyle w:val="Heading3"/>
      </w:pPr>
      <w:r>
        <w:t>Origem e desenvolvimento da Lei Oral</w:t>
      </w:r>
    </w:p>
    <w:p>
      <w:r/>
      <w:r>
        <w:t xml:space="preserve">Os judeus tradicionais acreditam que uma segunda lei foi dada a Moisés, além da primeira ou palavra escrita; esta segunda foi dada oralmente, e transmitida de geração em geração em forma oral. O próprio Talmude faz esta alegação de uma origem primitiva, e </w:t>
      </w:r>
      <w:r>
        <w:rPr>
          <w:i/>
        </w:rPr>
        <w:t>Pirke Aboth</w:t>
      </w:r>
      <w:r>
        <w:t xml:space="preserve"> 1.1 afirma que é atribuído a Moisés. Outros estudiosos não concordam sobre esta origem da lei oral e insistem que ela teve seu início e desenvolvimento após Esdras. Por exemplo, não há menção por parte dos profetas pré-exílicos sobre uma transgressão da lei oral, mas as mensagens dos profetas estão repletas de advertências sobre o abandono da revelação escrita dada a Moisés, indicando assim a ausência de um corpo de tradição oral antes do exílio babilônico.</w:t>
      </w:r>
    </w:p>
    <w:p>
      <w:r/>
      <w:r>
        <w:t xml:space="preserve">No período que sucedeu Esdras (“um escriba habilidoso na lei de Moisés”, </w:t>
      </w:r>
      <w:hyperlink r:id="rId13790">
        <w:r>
          <w:rPr>
            <w:color w:val="0000EE"/>
            <w:u w:val="single"/>
          </w:rPr>
          <w:t>Ed 7.6</w:t>
        </w:r>
      </w:hyperlink>
      <w:r>
        <w:t>), um mestre sucedia outro nas sinagogas e escolas, e sua compreensão do Antigo Testamento era valorizada e memorizada. Ao longo dos séculos, muitos dispositivos de memorização foram usados para aprender e lembrar a crescente massa de opiniões e interpretação. Mas eventualmente nem mesmo a melhor memória poderia reter todos os materiais disponíveis. Foi finalmente necessário compilar um resumo de todos os ensinamentos essenciais das gerações anteriores, e também facilitar o acesso para as futuras gerações ao imenso tesouro de pensamento, sentimento religioso e sabedoria para orientação e inspiração. A compilação é conhecida como o Talmude, o repositório básico da lei oral. Os judeus o consideram como secundário em relação às Escrituras. Uma literatura reconhecida como a obra-prima de uma criação nacional e religiosa que possui uma profunda influência sobre o desenvolvimento da visão judaica de mundo.</w:t>
      </w:r>
    </w:p>
    <w:p>
      <w:pPr>
        <w:pStyle w:val="Heading3"/>
      </w:pPr>
      <w:r>
        <w:t>Lógica para uma Lei Oral</w:t>
      </w:r>
    </w:p>
    <w:p>
      <w:r/>
      <w:r>
        <w:t>Com a cessação dos profetas pós-exílicos, e com o desenvolvimento contínuo da complexidade da vida em Israel e seus relacionamentos com o mundo exterior, surgiu uma necessidade de uma elaboração mais detalhada das leis do Pentateuco. A lei oral, a princípio, tinha a intenção de ser útil para que as pessoas pudessem obedecer à Palavra escrita de Deus.</w:t>
      </w:r>
    </w:p>
    <w:p>
      <w:r/>
      <w:r>
        <w:t>A lei oral contida no Talmude tem uma função dupla. Primeiro, fornecia uma interpretação da Lei escrita. De acordo com os rabinos, isso é necessário, uma vez que a lei oral possibilita a observância da Lei escrita. Sem a primeira, seria impossível observar a última. Um bom exemplo é o conceito de não trabalhar, como indicado pela lei bíblica do Sábado. Todos sabiam que o trabalho não era feito no sábado. No entanto, os rabinos sustentam que foi necessária a lei oral para definir o que se entendia por trabalho.</w:t>
      </w:r>
    </w:p>
    <w:p>
      <w:r/>
      <w:r>
        <w:t>O segundo aspecto da lei oral é que ela modifica e busca adaptar a Lei escrita para se adequar a novas condições e circunstâncias. A lei oral deve tornar a Lei escrita um documento viável de geração em geração. Sem esta lei oral, a Lei escrita se tornaria obsoleta. Portanto, a lei oral é necessária para a observância de proibições, bem como para enfatizar o que é devoção e lealdade judaica.</w:t>
      </w:r>
    </w:p>
    <w:p>
      <w:r/>
      <w:r>
        <w:t>É verdade que cada geração deve enfrentar novas condições sociais, políticas e econômicas, que tornam necessária uma aplicação diferente da Palavra de Deus. Mas a Palavra de Deus não pode ser mudada para acomodar desejos pessoais ou interpretar novos problemas em diferentes eras. Algo disso é evidente no primeiro século d.C., quando Jesus desafiou os líderes judeus por sobreporem a Palavra de Deus com suas tradições orais (</w:t>
      </w:r>
      <w:hyperlink r:id="rId13909">
        <w:r>
          <w:rPr>
            <w:color w:val="0000EE"/>
            <w:u w:val="single"/>
          </w:rPr>
          <w:t>Mc 7.9–13</w:t>
        </w:r>
      </w:hyperlink>
      <w:r>
        <w:t>).</w:t>
      </w:r>
    </w:p>
    <w:p>
      <w:pPr>
        <w:pStyle w:val="Heading3"/>
      </w:pPr>
      <w:r>
        <w:t>Antecedentes básicos para o Talmude</w:t>
      </w:r>
    </w:p>
    <w:p>
      <w:r/>
      <w:r>
        <w:t>Um dos primeiros meios para ensinar a lei oral era um comentário contínuo, ou Midrash (“expor”), do texto bíblico. Se o ensino tratava das partes legais do Antigo Testamento, então era referido como Midrash Halakah (este enfatizava o modo de viver ou caminhar). Ao tratar porções não-legais, éticas ou devocionais do AT, então as opiniões e entendimento eram chamadas de Midrash Haggadah (“narração”). Esdras e seus associados treinados estavam usando o método de Midrash na ocasião da conclusão das muralhas de Jerusalém em 444 a.C., quando “ensinavam o povo na lei; e o povo estava no seu lugar. E leram no livro, na lei de Deus; e declarando, e explicando o sentido, faziam que, lendo, se entendesse.” (</w:t>
      </w:r>
      <w:hyperlink r:id="rId19849">
        <w:r>
          <w:rPr>
            <w:color w:val="0000EE"/>
            <w:u w:val="single"/>
          </w:rPr>
          <w:t>Ne 8.7–8</w:t>
        </w:r>
      </w:hyperlink>
      <w:r>
        <w:t>, ACF). Este tipo de Midrash oral é o método seguido por gerações de mestres após Esdras, quando os líderes religiosos eram conhecidos como Soferim (“escritores” ou “escribas”), até cerca de 200 a.C. Às vezes chamados de “Grande Sinagoga”, esses estudiosos forneceram ensinamentos para “cercar” a palavra moral e cerimonial revelada, de modo que Israel nunca mais se desviasse para a idolatria ou ignorância. Os soferim foram sucedidos pelos hassidim (“piedosos”), que tentaram manter um alto nível de devoção religiosa. Por sua vez, os hassidim foram sucedidos pelos fariseus (“separados”) por volta de 128 a.C. Cada um desses grupos contribuiu para o método Midrash. Este material continuou crescendo e foi transmitido oralmente. Gerações sucessivas aprenderam esses materiais por repetição contínua. Portanto, o novo método foi chamado de Mishná (“repetição”), e os mestres da Mishná eram conhecidos como Tanaim (“aqueles que proferiam oralmente”). Tanto o Midrash quanto a Mishná existiram lado a lado nas gerações seguintes. Houve um momento, no entanto, em que se tornou necessário codificar a lei oral abordada pela Mishná, já que esta se tornava difícil de aprender como um corpo de material. Eventualmente, este material foi colocado por escrito e passou a ser conhecido como Guemará (“complementação”). A combinação da Guemará com a Mishná constitui o Talmude.</w:t>
      </w:r>
    </w:p>
    <w:p>
      <w:r/>
      <w:r>
        <w:rPr>
          <w:i/>
        </w:rPr>
        <w:t>Veja também</w:t>
      </w:r>
      <w:r>
        <w:t xml:space="preserve"> </w:t>
      </w:r>
      <w:r>
        <w:t>Guemará</w:t>
      </w:r>
      <w:r>
        <w:t xml:space="preserve">; </w:t>
      </w:r>
      <w:r>
        <w:t>Haggadah</w:t>
      </w:r>
      <w:r>
        <w:t xml:space="preserve">; </w:t>
      </w:r>
      <w:r>
        <w:t>Halakah</w:t>
      </w:r>
      <w:r>
        <w:t xml:space="preserve">; </w:t>
      </w:r>
      <w:r>
        <w:t>Lei, Conceito Bíblico de</w:t>
      </w:r>
      <w:r>
        <w:t xml:space="preserve">; </w:t>
      </w:r>
      <w:r>
        <w:t>Midrash</w:t>
      </w:r>
      <w:r>
        <w:t xml:space="preserve">; </w:t>
      </w:r>
      <w:r>
        <w:t>Mishná</w:t>
      </w:r>
      <w:r>
        <w:t xml:space="preserve">; </w:t>
      </w:r>
      <w:r>
        <w:t>Fariseus</w:t>
      </w:r>
      <w:r>
        <w:t xml:space="preserve">; </w:t>
      </w:r>
      <w:r>
        <w:t>Torá</w:t>
      </w:r>
      <w:r>
        <w:t xml:space="preserve">; </w:t>
      </w:r>
      <w:r>
        <w:t>Tradição</w:t>
      </w:r>
      <w:r>
        <w:t xml:space="preserve">; </w:t>
      </w:r>
      <w:r>
        <w:t>Oral, Tradição</w:t>
      </w:r>
      <w:r>
        <w:t>.</w:t>
      </w:r>
      <w:r/>
      <w:r/>
    </w:p>
    <w:p>
      <w:r/>
    </w:p>
    <w:p>
      <w:pPr>
        <w:pStyle w:val="Heading2"/>
      </w:pPr>
      <w:r>
        <w:t>Tamar (Pessoa)</w:t>
      </w:r>
      <w:r/>
    </w:p>
    <w:p>
      <w:pPr>
        <w:pStyle w:val="ListNumber"/>
        <w:spacing w:line="240" w:lineRule="auto"/>
        <w:ind w:left="720"/>
      </w:pPr>
      <w:r/>
      <w:r>
        <w:t>A esposa de Er, o primogênito de Judá com uma cananeia, foi Tamar. Mais tarde, como viúva, Tamar deu à luz dois filhos de Judá chamados Perez e Zerá (</w:t>
      </w:r>
      <w:hyperlink r:id="rId19850">
        <w:r>
          <w:rPr>
            <w:color w:val="0000EE"/>
            <w:u w:val="single"/>
          </w:rPr>
          <w:t>Gn 38.6–24</w:t>
        </w:r>
      </w:hyperlink>
      <w:r>
        <w:t xml:space="preserve">; </w:t>
      </w:r>
      <w:hyperlink r:id="rId12297">
        <w:r>
          <w:rPr>
            <w:color w:val="0000EE"/>
            <w:u w:val="single"/>
          </w:rPr>
          <w:t>1Cr 2.4</w:t>
        </w:r>
      </w:hyperlink>
      <w:r>
        <w:t>). Tamar continuou a linhagem de Judá através de Perez (</w:t>
      </w:r>
      <w:hyperlink r:id="rId12302">
        <w:r>
          <w:rPr>
            <w:color w:val="0000EE"/>
            <w:u w:val="single"/>
          </w:rPr>
          <w:t>Rt 4.12</w:t>
        </w:r>
      </w:hyperlink>
      <w:r>
        <w:t>), e seu nome está registrado na lista familiar de Cristo (</w:t>
      </w:r>
      <w:hyperlink r:id="rId10644">
        <w:r>
          <w:rPr>
            <w:color w:val="0000EE"/>
            <w:u w:val="single"/>
          </w:rPr>
          <w:t>Mt 1.3</w:t>
        </w:r>
      </w:hyperlink>
      <w:r>
        <w:t>).</w:t>
      </w:r>
    </w:p>
    <w:p>
      <w:r/>
      <w:r>
        <w:rPr>
          <w:i/>
        </w:rPr>
        <w:t>Veja também</w:t>
      </w:r>
      <w:r>
        <w:t xml:space="preserve"> </w:t>
      </w:r>
      <w:r>
        <w:t>Genealogia de Jesus Cristo</w:t>
      </w:r>
      <w:r>
        <w:t>.</w:t>
      </w:r>
    </w:p>
    <w:p>
      <w:pPr>
        <w:pStyle w:val="ListNumber"/>
        <w:spacing w:line="240" w:lineRule="auto"/>
        <w:ind w:left="720"/>
      </w:pPr>
      <w:r/>
      <w:r>
        <w:t>Irmã de Absalão e filha de Davi com sua esposa Maaca, a gesurita. Através de engano, Tamar foi seduzida por Amnom, seu meio-irmão. Seu irmão de sangue, Absalão, vingou-se e mandou matar Amnom em Baal-Hazor (</w:t>
      </w:r>
      <w:hyperlink r:id="rId19167">
        <w:r>
          <w:rPr>
            <w:color w:val="0000EE"/>
            <w:u w:val="single"/>
          </w:rPr>
          <w:t>2Sm 13</w:t>
        </w:r>
      </w:hyperlink>
      <w:r>
        <w:t xml:space="preserve">; </w:t>
      </w:r>
      <w:hyperlink r:id="rId19851">
        <w:r>
          <w:rPr>
            <w:color w:val="0000EE"/>
            <w:u w:val="single"/>
          </w:rPr>
          <w:t>1Cr 3.9</w:t>
        </w:r>
      </w:hyperlink>
      <w:r>
        <w:t>).</w:t>
      </w:r>
    </w:p>
    <w:p>
      <w:pPr>
        <w:pStyle w:val="ListNumber"/>
        <w:spacing w:line="240" w:lineRule="auto"/>
        <w:ind w:left="720"/>
      </w:pPr>
      <w:r/>
      <w:r>
        <w:t>Filha de Absalão, notável por sua beleza (</w:t>
      </w:r>
      <w:hyperlink r:id="rId19852">
        <w:r>
          <w:rPr>
            <w:color w:val="0000EE"/>
            <w:u w:val="single"/>
          </w:rPr>
          <w:t>2Sm 14.27</w:t>
        </w:r>
      </w:hyperlink>
      <w:r>
        <w:t>). Ela possivelmente se casou com Uriel de Gibeá e se tornou mãe de Maaca.</w:t>
      </w:r>
    </w:p>
    <w:p>
      <w:r/>
      <w:r>
        <w:rPr>
          <w:i/>
        </w:rPr>
        <w:t>Veja</w:t>
      </w:r>
      <w:r>
        <w:t xml:space="preserve"> </w:t>
      </w:r>
      <w:r>
        <w:t>Maaca, Maacá (Pessoa) #4</w:t>
      </w:r>
      <w:r>
        <w:t>.</w:t>
      </w:r>
      <w:r/>
      <w:r/>
    </w:p>
    <w:p>
      <w:r/>
    </w:p>
    <w:p>
      <w:pPr>
        <w:pStyle w:val="Heading2"/>
      </w:pPr>
      <w:r>
        <w:t>Tamargueira</w:t>
      </w:r>
      <w:r/>
    </w:p>
    <w:p>
      <w:r/>
      <w:r>
        <w:t xml:space="preserve">A planta mencionada em </w:t>
      </w:r>
      <w:hyperlink r:id="rId17126">
        <w:r>
          <w:rPr>
            <w:color w:val="0000EE"/>
            <w:u w:val="single"/>
          </w:rPr>
          <w:t>Jeremias 17.6</w:t>
        </w:r>
      </w:hyperlink>
      <w:r>
        <w:t xml:space="preserve"> e </w:t>
      </w:r>
      <w:hyperlink r:id="rId17127">
        <w:r>
          <w:rPr>
            <w:color w:val="0000EE"/>
            <w:u w:val="single"/>
          </w:rPr>
          <w:t>48.6</w:t>
        </w:r>
      </w:hyperlink>
      <w:r>
        <w:t xml:space="preserve"> é provavelmente um tipo de zimbro, possivelmente o zimbro fenício (</w:t>
      </w:r>
      <w:r>
        <w:rPr>
          <w:i/>
        </w:rPr>
        <w:t>Juniperus phoenicea</w:t>
      </w:r>
      <w:r>
        <w:t>) ou o zimbro savin (</w:t>
      </w:r>
      <w:r>
        <w:rPr>
          <w:i/>
        </w:rPr>
        <w:t>Juniperus sabina</w:t>
      </w:r>
      <w:r>
        <w:t>).</w:t>
      </w:r>
    </w:p>
    <w:p>
      <w:pPr>
        <w:pStyle w:val="ListBullet"/>
        <w:spacing w:line="240" w:lineRule="auto"/>
        <w:ind w:left="720"/>
      </w:pPr>
      <w:r/>
      <w:r>
        <w:rPr>
          <w:i/>
        </w:rPr>
        <w:t>Juniperus phoenicea</w:t>
      </w:r>
      <w:r>
        <w:t xml:space="preserve"> cresce em regiões rochosas e áridas da Arábia e do Mediterrâneo;</w:t>
      </w:r>
    </w:p>
    <w:p>
      <w:pPr>
        <w:pStyle w:val="ListBullet"/>
        <w:spacing w:line="240" w:lineRule="auto"/>
        <w:ind w:left="720"/>
      </w:pPr>
      <w:r/>
      <w:r>
        <w:rPr>
          <w:i/>
        </w:rPr>
        <w:t>Juniperus sabina</w:t>
      </w:r>
      <w:r>
        <w:t xml:space="preserve"> é mais comum nos desertos e nas terras altas rochosas da Síria e da Palestina.</w:t>
      </w:r>
    </w:p>
    <w:p>
      <w:r/>
      <w:r>
        <w:t>Ambos são arbustos ou pequenas árvores resistentes e tolerantes à seca que crescem em lugares áridos. Isso se encaixa com a imagem bíblica de uma pessoa que não confia no Senhor e vive em terras secas e desabitadas. Essas referências em Jeremias podem descrever o que às vezes é chamado de cedro de bagas marrons ou cedro afiado, que são nomes tradicionais para certos tipos de zimbro.</w:t>
      </w:r>
    </w:p>
    <w:p>
      <w:r/>
      <w:r>
        <w:rPr>
          <w:i/>
        </w:rPr>
        <w:t>Consulte também</w:t>
      </w:r>
      <w:r>
        <w:t xml:space="preserve"> </w:t>
      </w:r>
      <w:r>
        <w:t>Vassoura</w:t>
      </w:r>
      <w:r>
        <w:t>.</w:t>
      </w:r>
      <w:r/>
      <w:r/>
    </w:p>
    <w:p>
      <w:r/>
    </w:p>
    <w:p>
      <w:pPr>
        <w:pStyle w:val="Heading2"/>
      </w:pPr>
      <w:r>
        <w:t>Tamargueira</w:t>
      </w:r>
      <w:r/>
    </w:p>
    <w:p>
      <w:r/>
      <w:r>
        <w:t>Pequena árvore do deserto com pequenas flores (</w:t>
      </w:r>
      <w:hyperlink r:id="rId3863">
        <w:r>
          <w:rPr>
            <w:color w:val="0000EE"/>
            <w:u w:val="single"/>
          </w:rPr>
          <w:t>Gn 21.33</w:t>
        </w:r>
      </w:hyperlink>
      <w:r>
        <w:t xml:space="preserve">). </w:t>
      </w:r>
      <w:r>
        <w:rPr>
          <w:i/>
        </w:rPr>
        <w:t>Veja</w:t>
      </w:r>
      <w:r>
        <w:t xml:space="preserve"> </w:t>
      </w:r>
      <w:r>
        <w:t>Plantas</w:t>
      </w:r>
      <w:r>
        <w:t>.</w:t>
      </w:r>
      <w:r/>
      <w:r/>
    </w:p>
    <w:p>
      <w:r/>
    </w:p>
    <w:p>
      <w:pPr>
        <w:pStyle w:val="Heading2"/>
      </w:pPr>
      <w:r>
        <w:t>Tangedor</w:t>
      </w:r>
      <w:r/>
    </w:p>
    <w:p>
      <w:r/>
      <w:r>
        <w:t>Um termo antigo para um músico (</w:t>
      </w:r>
      <w:hyperlink r:id="rId17563">
        <w:r>
          <w:rPr>
            <w:color w:val="0000EE"/>
            <w:u w:val="single"/>
          </w:rPr>
          <w:t>2Rs 3.15</w:t>
        </w:r>
      </w:hyperlink>
      <w:r>
        <w:t xml:space="preserve">; </w:t>
      </w:r>
      <w:hyperlink r:id="rId4240">
        <w:r>
          <w:rPr>
            <w:color w:val="0000EE"/>
            <w:u w:val="single"/>
          </w:rPr>
          <w:t>Sl 68.25</w:t>
        </w:r>
      </w:hyperlink>
      <w:r>
        <w:t xml:space="preserve">; </w:t>
      </w:r>
      <w:hyperlink r:id="rId11068">
        <w:r>
          <w:rPr>
            <w:color w:val="0000EE"/>
            <w:u w:val="single"/>
          </w:rPr>
          <w:t>Mt 9.23</w:t>
        </w:r>
      </w:hyperlink>
      <w:r>
        <w:t xml:space="preserve">; </w:t>
      </w:r>
      <w:hyperlink r:id="rId11070">
        <w:r>
          <w:rPr>
            <w:color w:val="0000EE"/>
            <w:u w:val="single"/>
          </w:rPr>
          <w:t>Ap 18.22</w:t>
        </w:r>
      </w:hyperlink>
      <w:r>
        <w:t>).</w:t>
      </w:r>
      <w:r/>
      <w:r/>
    </w:p>
    <w:p>
      <w:r/>
    </w:p>
    <w:p>
      <w:pPr>
        <w:pStyle w:val="Heading2"/>
      </w:pPr>
      <w:r>
        <w:t>Tara</w:t>
      </w:r>
      <w:r/>
    </w:p>
    <w:p>
      <w:r/>
      <w:r>
        <w:t>Grafia da Bíblia Tradução Brasileiras para Tera. Este foi um dos lugares onde os israelitas pararam durante sua jornada pelo deserto (</w:t>
      </w:r>
      <w:hyperlink r:id="rId19853">
        <w:r>
          <w:rPr>
            <w:color w:val="0000EE"/>
            <w:u w:val="single"/>
          </w:rPr>
          <w:t>Nm 33.27,28</w:t>
        </w:r>
      </w:hyperlink>
      <w:r>
        <w:t>).</w:t>
      </w:r>
    </w:p>
    <w:p>
      <w:r/>
      <w:r>
        <w:rPr>
          <w:i/>
        </w:rPr>
        <w:t>Veja</w:t>
      </w:r>
      <w:r>
        <w:t xml:space="preserve"> </w:t>
      </w:r>
      <w:r>
        <w:t>Tera (lugar)</w:t>
      </w:r>
      <w:r>
        <w:t>.</w:t>
      </w:r>
      <w:r/>
      <w:r/>
    </w:p>
    <w:p>
      <w:r/>
    </w:p>
    <w:p>
      <w:pPr>
        <w:pStyle w:val="Heading2"/>
      </w:pPr>
      <w:r>
        <w:t>Társis</w:t>
      </w:r>
      <w:r/>
    </w:p>
    <w:p>
      <w:r/>
      <w:r>
        <w:t>Local de nascimento e cidade natal de Saulo (Paulo), Társis é a capital e principal cidade da província romana da Cilícia na Ásia Menor. A cidade é mencionada apenas cinco vezes na Bíblia, todas no livro de Atos. Após a conversão de Saulo, o Senhor orientou Ananias a visitar Saulo; foi dito a Ananias para procurar “um homem de Tarso chamado Saulo” (</w:t>
      </w:r>
      <w:hyperlink r:id="rId4621">
        <w:r>
          <w:rPr>
            <w:color w:val="0000EE"/>
            <w:u w:val="single"/>
          </w:rPr>
          <w:t>At 9.11</w:t>
        </w:r>
      </w:hyperlink>
      <w:r>
        <w:t>). Então, quando Saulo voltou a Jerusalém e um plano contra sua vida foi descoberto, os cristãos o enviaram para Társis (v.</w:t>
      </w:r>
      <w:hyperlink r:id="rId5924">
        <w:r>
          <w:rPr>
            <w:color w:val="0000EE"/>
            <w:u w:val="single"/>
          </w:rPr>
          <w:t>30</w:t>
        </w:r>
      </w:hyperlink>
      <w:r>
        <w:t>). Quando Barnabé estava servindo em Antioquia da Síria e precisava de ajuda, ele foi a Társis buscar Saulo para trabalhar com ele (</w:t>
      </w:r>
      <w:hyperlink r:id="rId5925">
        <w:r>
          <w:rPr>
            <w:color w:val="0000EE"/>
            <w:u w:val="single"/>
          </w:rPr>
          <w:t>11.25</w:t>
        </w:r>
      </w:hyperlink>
      <w:r>
        <w:t>). Na ocasião do resgate de Paulo da multidão judaica no templo, o tribuno romano estava preocupado com a identidade de Paulo. Paulo se identificou: “Sou judeu, de Tarso na Cilícia” (</w:t>
      </w:r>
      <w:hyperlink r:id="rId4848">
        <w:r>
          <w:rPr>
            <w:color w:val="0000EE"/>
            <w:u w:val="single"/>
          </w:rPr>
          <w:t>21.39</w:t>
        </w:r>
      </w:hyperlink>
      <w:r>
        <w:t>). Na defesa que fez diante daquela multidão furiosa, falando em hebraico, ele declarou: “Sou judeu, nascido em Tarso na Cilícia” (</w:t>
      </w:r>
      <w:hyperlink r:id="rId4901">
        <w:r>
          <w:rPr>
            <w:color w:val="0000EE"/>
            <w:u w:val="single"/>
          </w:rPr>
          <w:t>22.3</w:t>
        </w:r>
      </w:hyperlink>
      <w:r>
        <w:t>).</w:t>
      </w:r>
    </w:p>
    <w:p>
      <w:r/>
      <w:r>
        <w:t>Társis estava situada no rio Cidno, a aproximadamente 20 quilômetros rio acima do Mar Mediterrâneo. A planície onde a cidade foi construída era muito fértil, composta por aluviões trazidos das Montanhas Taurus pelo Cidno e por vários outros riachos.</w:t>
      </w:r>
    </w:p>
    <w:p>
      <w:r/>
      <w:r>
        <w:t>Embora o rio fosse navegável por pequenos barcos até Tarso, as rotas comerciais terrestres eram as mais importantes. A Ásia Menor estava entrelaçada com estradas muito antes de os romanos chegarem à área. Do Leste, havia duas rotas principais: uma começava no norte da Mesopotâmia e seguia para Carquemis ou Alepo, atravessando o Passo de Amanus. A outra partia de Nínive, passando por Malatya e Antioquia até os Portões da Síria. Essas duas rotas convergiam perto de Cesareia, a aproximadamente 81 quilômetros a leste de Társis. Durante o Império Romano, “a antiga rota do Oriente” chegava até a Babilônia; em direção ao oeste, passava por Alepo, Antioquia da Síria, Adana, Társis, os Portões da Cilícia, Derbe, Listra, Icônio, Antioquia da Pisídia, Hierápolis, Colossos, Laodiceia, Éfeso, Esmirna e Troade, a maioria dos quais é bem conhecida pelos escritos de Paulo e pelo livro de Apocalipse.</w:t>
      </w:r>
    </w:p>
    <w:p>
      <w:r/>
      <w:r>
        <w:t>Társis era um centro educacional; a universidade de Tarso era famosa por sua erudição, e Estrabão indicou que Társis superava Atenas, Alexandria e outras cidades como um centro de aprendizado. A universidade oferecia instrução em uma ampla gama de estudos; uma de suas especializações era a filosofia conhecida como Estoicismo, com a qual Paulo estava familiarizado. Embora Paulo não afirme que frequentou essa instituição, muitas vezes se sugere que ele estudou lá.</w:t>
      </w:r>
    </w:p>
    <w:p>
      <w:r/>
      <w:r>
        <w:t xml:space="preserve">Társis também era um centro de fabricação de tendas, uma vocação na qual Paulo havia sido treinado (cf. </w:t>
      </w:r>
      <w:hyperlink r:id="rId9099">
        <w:r>
          <w:rPr>
            <w:color w:val="0000EE"/>
            <w:u w:val="single"/>
          </w:rPr>
          <w:t>At 18.3</w:t>
        </w:r>
      </w:hyperlink>
      <w:r>
        <w:t>). As cabras das frias e nevadas Montanhas Taurus produziam pelos longos que eram transformados em um tecido particularmente adequado para tendas.</w:t>
      </w:r>
    </w:p>
    <w:p>
      <w:r/>
      <w:r>
        <w:t>Társis foi descrita como "o coração do mundo greco-romano" e "um ponto de encontro entre o Oriente e o Ocidente". De um ambiente assim, um homem como Saulo de Tarso, familiarizado com a cultura grega e romana e educado aos pés de Gamaliel, estava singularmente bem preparado para levar o evangelho primeiro aos judeus e também aos gregos.</w:t>
      </w:r>
    </w:p>
    <w:p>
      <w:r/>
      <w:r>
        <w:rPr>
          <w:i/>
        </w:rPr>
        <w:t>Veja também</w:t>
      </w:r>
      <w:r>
        <w:t xml:space="preserve"> </w:t>
      </w:r>
      <w:r>
        <w:t>Paulo, O apóstolo</w:t>
      </w:r>
      <w:r>
        <w:t>.</w:t>
      </w:r>
      <w:r/>
      <w:r/>
    </w:p>
    <w:p>
      <w:r/>
    </w:p>
    <w:p>
      <w:pPr>
        <w:pStyle w:val="Heading2"/>
      </w:pPr>
      <w:r>
        <w:t>Társis (Lugar)</w:t>
      </w:r>
      <w:r/>
    </w:p>
    <w:p>
      <w:r/>
      <w:r>
        <w:t>Local considerado muito distante de Israel. Vários lugares foram apontados como o possível local de Társis, desde a Sardenha até a Grã-Bretanha. A identificação mais comumente aceita é a Espanha, onde o nome Tartessus remete a Társis.</w:t>
      </w:r>
    </w:p>
    <w:p>
      <w:r/>
      <w:r>
        <w:t xml:space="preserve">Os fenícios, que eram grandes navegadores, são frequentemente associados a Társis. Salomão utilizou os marinheiros de Hirão, rei de Tiro, para sua frota (cf. </w:t>
      </w:r>
      <w:hyperlink r:id="rId1466">
        <w:r>
          <w:rPr>
            <w:color w:val="0000EE"/>
            <w:u w:val="single"/>
          </w:rPr>
          <w:t>2Cr 9.21</w:t>
        </w:r>
      </w:hyperlink>
      <w:r>
        <w:t>). Eles usavam embarcações à vela que eram chamadas de navios de Társis (</w:t>
      </w:r>
      <w:hyperlink r:id="rId1465">
        <w:r>
          <w:rPr>
            <w:color w:val="0000EE"/>
            <w:u w:val="single"/>
          </w:rPr>
          <w:t>1Rs 10.22</w:t>
        </w:r>
      </w:hyperlink>
      <w:r>
        <w:t xml:space="preserve">; </w:t>
      </w:r>
      <w:hyperlink r:id="rId2336">
        <w:r>
          <w:rPr>
            <w:color w:val="0000EE"/>
            <w:u w:val="single"/>
          </w:rPr>
          <w:t>22.48</w:t>
        </w:r>
      </w:hyperlink>
      <w:r>
        <w:t>); aparentemente, eram um tipo distinto usado para viajar até aquele lugar ou eram típicos de Társis (</w:t>
      </w:r>
      <w:hyperlink r:id="rId19854">
        <w:r>
          <w:rPr>
            <w:color w:val="0000EE"/>
            <w:u w:val="single"/>
          </w:rPr>
          <w:t>Sl 48.7</w:t>
        </w:r>
      </w:hyperlink>
      <w:r>
        <w:t xml:space="preserve">; </w:t>
      </w:r>
      <w:hyperlink r:id="rId19855">
        <w:r>
          <w:rPr>
            <w:color w:val="0000EE"/>
            <w:u w:val="single"/>
          </w:rPr>
          <w:t>Is 2.16</w:t>
        </w:r>
      </w:hyperlink>
      <w:r>
        <w:t xml:space="preserve">; </w:t>
      </w:r>
      <w:hyperlink r:id="rId19856">
        <w:r>
          <w:rPr>
            <w:color w:val="0000EE"/>
            <w:u w:val="single"/>
          </w:rPr>
          <w:t>23.1–14</w:t>
        </w:r>
      </w:hyperlink>
      <w:r>
        <w:t>).</w:t>
      </w:r>
    </w:p>
    <w:p>
      <w:r/>
      <w:r>
        <w:t>A referência mais famosa a Társis na Bíblia está no relato de Jonas, que tentou fugir para Társis para escapar de fazer a vontade de Deus (</w:t>
      </w:r>
      <w:hyperlink r:id="rId12016">
        <w:r>
          <w:rPr>
            <w:color w:val="0000EE"/>
            <w:u w:val="single"/>
          </w:rPr>
          <w:t>Jn 1.3</w:t>
        </w:r>
      </w:hyperlink>
      <w:r>
        <w:t xml:space="preserve">; </w:t>
      </w:r>
      <w:hyperlink r:id="rId6799">
        <w:r>
          <w:rPr>
            <w:color w:val="0000EE"/>
            <w:u w:val="single"/>
          </w:rPr>
          <w:t>4.2</w:t>
        </w:r>
      </w:hyperlink>
      <w:r>
        <w:t>).</w:t>
      </w:r>
      <w:r/>
      <w:r/>
    </w:p>
    <w:p>
      <w:r/>
    </w:p>
    <w:p>
      <w:pPr>
        <w:pStyle w:val="Heading2"/>
      </w:pPr>
      <w:r>
        <w:t>Teatro</w:t>
      </w:r>
      <w:r/>
    </w:p>
    <w:p>
      <w:r/>
      <w:r>
        <w:t>Uma orquestra plana e semicircular cercada por um auditório ao ar livre, uma criação grega do século VI a.C. Um coro e atores se apresentavam na orquestra, e o público sentava-se na encosta elevada diante deles. O drama mais antigo era a tragédia, que celebrava os feitos do deus Dionísio e começava com um sacrifício no altar da orquestra. Mais tarde, desenvolveu-se a comédia.</w:t>
      </w:r>
    </w:p>
    <w:p>
      <w:r/>
      <w:r>
        <w:t>A Idade de Ouro de Atenas (450 a.C.) também foi a idade de ouro do drama grego; Sófocles, Eurípides e Ésquilo escreveram seus dramas nessa época. Naquele tempo, o público sentava-se no chão ou nos assentos de madeira do Teatro de Dionísio em Atenas, localizado na encosta sul da Acrópole. Durante o século IV a.C., os teatros na Grécia foram equipados com assentos de pedra dispostos em camadas concêntricas contra uma encosta côncava, e a orquestra foi pavimentada.</w:t>
      </w:r>
    </w:p>
    <w:p>
      <w:r/>
      <w:r>
        <w:t>Nos séculos segundo e primeiro a.C., grandes teatros de pedra estavam sendo construídos por todo o Leste Helenístico, e nessa época um palco elevado foi construído contra o lado reto do semicírculo da orquestra. A ação agora era transferida para o palco. O auditório do teatro típico consistia em três grandes faixas de assentos, que eram divididas em grandes cunhas pelas escadas que davam acesso aos assentos. O elaborado palco era construído em pedra e possuía camarins e salas de armazenamento. A orquestra era sempre pavimentada.</w:t>
      </w:r>
    </w:p>
    <w:p>
      <w:r/>
      <w:r>
        <w:t>Embora inicialmente o teatro tenha sido destinado a eventos dramáticos, ele passou a ser usado para uma variedade de reuniões públicas porque era uma das maiores estruturas. Por exemplo, o Grande Teatro em Éfeso comportava cerca de 25.000 pessoas; o Teatro de Dionísio em Atenas, cerca de 17.000; e o Teatro Sul em Jerash da Decápolis, cerca de 5.000.</w:t>
      </w:r>
    </w:p>
    <w:p>
      <w:r/>
      <w:r>
        <w:t>O teatro deve ser distinguido do odeão, que tinha a forma de um teatro, mas era coberto. O odeão acomodava apenas 1.000 ou 2.000 pessoas e era usado principalmente para eventos musicais. Deve-se também distinguir do anfiteatro, que era uma estrutura independente em pedra, como o Coliseu de Roma e a arena de Verona, com uma arena oval cercada por camadas concêntricas de assentos e usada para combates de gladiadores, caçadas de feras e outros eventos semelhantes. Apenas ocasionalmente, como em Salamina, em Chipre, e Cesareia, na Palestina, os teatros eram estruturas de pedra independentes; quase sempre eram construídos na encosta de uma colina.</w:t>
      </w:r>
    </w:p>
    <w:p>
      <w:r/>
      <w:r>
        <w:t>Na época do Novo Testamento, teatros foram construídos em cidades greco-romanas por todo o mundo mediterrâneo. Eles até surgiram na Palestina, como resultado das atividades helenizantes de Herodes, o Grande, que construiu teatros de estilo grego em Samaria, Cesareia e Jerusalém.</w:t>
      </w:r>
    </w:p>
    <w:p>
      <w:r/>
      <w:r>
        <w:t>Apenas um teatro, o de Éfeso, é mencionado especificamente no NT (</w:t>
      </w:r>
      <w:hyperlink r:id="rId19857">
        <w:r>
          <w:rPr>
            <w:color w:val="0000EE"/>
            <w:u w:val="single"/>
          </w:rPr>
          <w:t>At 19.29–41</w:t>
        </w:r>
      </w:hyperlink>
      <w:r>
        <w:t>).</w:t>
      </w:r>
    </w:p>
    <w:p>
      <w:r/>
      <w:r>
        <w:rPr>
          <w:i/>
        </w:rPr>
        <w:t>Veja também</w:t>
      </w:r>
      <w:r>
        <w:t xml:space="preserve"> </w:t>
      </w:r>
      <w:r>
        <w:t>Arquitetura</w:t>
      </w:r>
      <w:r>
        <w:t>.</w:t>
      </w:r>
      <w:r/>
      <w:r/>
    </w:p>
    <w:p>
      <w:r/>
    </w:p>
    <w:p>
      <w:pPr>
        <w:pStyle w:val="Heading2"/>
      </w:pPr>
      <w:r>
        <w:t>Teba (Pessoa)</w:t>
      </w:r>
      <w:r/>
    </w:p>
    <w:p>
      <w:r/>
      <w:r>
        <w:t>Filho do irmão de Abraão, Naor (</w:t>
      </w:r>
      <w:hyperlink r:id="rId5348">
        <w:r>
          <w:rPr>
            <w:color w:val="0000EE"/>
            <w:u w:val="single"/>
          </w:rPr>
          <w:t>Gn 22.24</w:t>
        </w:r>
      </w:hyperlink>
      <w:r>
        <w:t>). Sua mãe era Reumá, concubina de Naor.</w:t>
      </w:r>
      <w:r/>
      <w:r/>
    </w:p>
    <w:p>
      <w:r/>
    </w:p>
    <w:p>
      <w:pPr>
        <w:pStyle w:val="Heading2"/>
      </w:pPr>
      <w:r>
        <w:t>Tecido e fabricação de tecidos</w:t>
      </w:r>
      <w:r/>
    </w:p>
    <w:p>
      <w:r/>
      <w:r>
        <w:t>Desde a antiguidade, tecidos têm sido feitos de fibras naturais como linho, lã, algodão, seda e cabelo. Linho (fiado de linho), lã e saco (tecido de pelo de cabra ou camelo) são os tecidos mais frequentemente mencionados nas Escrituras. A Bíblia também menciona a seda e o algodão.</w:t>
      </w:r>
    </w:p>
    <w:p>
      <w:pPr>
        <w:pStyle w:val="Heading3"/>
      </w:pPr>
      <w:r>
        <w:t>Fibras para tecelagem</w:t>
      </w:r>
    </w:p>
    <w:p>
      <w:pPr>
        <w:pStyle w:val="Heading4"/>
      </w:pPr>
      <w:r>
        <w:t>Linho</w:t>
      </w:r>
    </w:p>
    <w:p>
      <w:r/>
      <w:r>
        <w:t>O linho era cultivado extensivamente no Oriente Próximo. Na Palestina, florescia ao redor do Mar da Galileia. Os caules eram reunidos em feixes e mergulhados em água, fazendo com que as fibras se separassem do caule não fibroso. Os feixes eram então abertos e espalhados para secar ao sol. Raabe escondeu espiões hebreus no telhado de sua casa entre caules de linho dispostos para secar (</w:t>
      </w:r>
      <w:hyperlink r:id="rId573">
        <w:r>
          <w:rPr>
            <w:color w:val="0000EE"/>
            <w:u w:val="single"/>
          </w:rPr>
          <w:t>Js 2.6</w:t>
        </w:r>
      </w:hyperlink>
      <w:r>
        <w:t xml:space="preserve">). Após a secagem, os caules eram divididos e penteados para separar as fibras para fiar e tecer em linho. As referências bíblicas ao linho incluem </w:t>
      </w:r>
      <w:hyperlink r:id="rId17398">
        <w:r>
          <w:rPr>
            <w:color w:val="0000EE"/>
            <w:u w:val="single"/>
          </w:rPr>
          <w:t>Êxodo 9.31</w:t>
        </w:r>
      </w:hyperlink>
      <w:r>
        <w:t xml:space="preserve">, </w:t>
      </w:r>
      <w:hyperlink r:id="rId12563">
        <w:r>
          <w:rPr>
            <w:color w:val="0000EE"/>
            <w:u w:val="single"/>
          </w:rPr>
          <w:t>Juízes 15.14</w:t>
        </w:r>
      </w:hyperlink>
      <w:r>
        <w:t xml:space="preserve">, e </w:t>
      </w:r>
      <w:hyperlink r:id="rId17116">
        <w:r>
          <w:rPr>
            <w:color w:val="0000EE"/>
            <w:u w:val="single"/>
          </w:rPr>
          <w:t>Provérbios 31.13</w:t>
        </w:r>
      </w:hyperlink>
      <w:r>
        <w:t>.</w:t>
      </w:r>
    </w:p>
    <w:p>
      <w:r/>
      <w:r>
        <w:t>O tipo de tecido do qual os casacos, cintos e gorros sacerdotais (</w:t>
      </w:r>
      <w:hyperlink r:id="rId19858">
        <w:r>
          <w:rPr>
            <w:color w:val="0000EE"/>
            <w:u w:val="single"/>
          </w:rPr>
          <w:t>Êx 28.40</w:t>
        </w:r>
      </w:hyperlink>
      <w:r>
        <w:t>) foram feitos não é mencionado, embora a menção de calções de linho possa implicar que a maioria, senão todas, das vestes sacerdotais eram feitas de linho. O linho mais fino, usado por reis e nobres, servia como um símbolo de honra ou como um presente especial. José recebeu uma veste de linho fino quando foi feito governante do Egito (</w:t>
      </w:r>
      <w:hyperlink r:id="rId555">
        <w:r>
          <w:rPr>
            <w:color w:val="0000EE"/>
            <w:u w:val="single"/>
          </w:rPr>
          <w:t>Gn 41.42</w:t>
        </w:r>
      </w:hyperlink>
      <w:r>
        <w:t>). Quando os hebreus saíram do Egito na época do êxodo, levaram consigo um linho de alta qualidade e o doaram para a Tenda Sagrada (Tabernáculo) (</w:t>
      </w:r>
      <w:hyperlink r:id="rId1858">
        <w:r>
          <w:rPr>
            <w:color w:val="0000EE"/>
            <w:u w:val="single"/>
          </w:rPr>
          <w:t>Êx 25.4</w:t>
        </w:r>
      </w:hyperlink>
      <w:r>
        <w:t xml:space="preserve">; </w:t>
      </w:r>
      <w:hyperlink r:id="rId19859">
        <w:r>
          <w:rPr>
            <w:color w:val="0000EE"/>
            <w:u w:val="single"/>
          </w:rPr>
          <w:t>35.6</w:t>
        </w:r>
      </w:hyperlink>
      <w:r>
        <w:t>). Um artesão treinado para trabalhar em linho fino veio de Tiro para trabalhar para Salomão nas cortinas do Templo (</w:t>
      </w:r>
      <w:hyperlink r:id="rId10671">
        <w:r>
          <w:rPr>
            <w:color w:val="0000EE"/>
            <w:u w:val="single"/>
          </w:rPr>
          <w:t>2Cr 2.14</w:t>
        </w:r>
      </w:hyperlink>
      <w:r>
        <w:t>).</w:t>
      </w:r>
    </w:p>
    <w:p>
      <w:pPr>
        <w:pStyle w:val="Heading4"/>
      </w:pPr>
      <w:r>
        <w:t>Lã</w:t>
      </w:r>
    </w:p>
    <w:p>
      <w:r/>
      <w:r>
        <w:t>A lã era outra fibra extremamente importante na economia do Oriente Próximo. A lã podia ter qualquer tonalidade, desde amarelo cremoso até marrom ou preto. Às vezes, para obter lã branca pura, uma ovelha era mantida enrolada para evitar que sua lã fosse sujo. A preparação da lã era um artesanato doméstico na antiguidade (</w:t>
      </w:r>
      <w:hyperlink r:id="rId17116">
        <w:r>
          <w:rPr>
            <w:color w:val="0000EE"/>
            <w:u w:val="single"/>
          </w:rPr>
          <w:t>Pv 31.13</w:t>
        </w:r>
      </w:hyperlink>
      <w:r>
        <w:t xml:space="preserve">; cf. </w:t>
      </w:r>
      <w:hyperlink r:id="rId19860">
        <w:r>
          <w:rPr>
            <w:color w:val="0000EE"/>
            <w:u w:val="single"/>
          </w:rPr>
          <w:t>Êx 35.25</w:t>
        </w:r>
      </w:hyperlink>
      <w:r>
        <w:t>). A lã precisava ser lavada cuidadosamente, seca e depois batida para soltar as fibras e remover a sujeira antes de ser desembaraçada, alisada e fiada. As mulheres fiavam seu próprio fio e teciam roupas para suas famílias. A lã era o tecido de povos seminômades, criadores de ovelhas; em contraste, o cultivo do linho exigia um estilo de vida mais sedentário.</w:t>
      </w:r>
    </w:p>
    <w:p>
      <w:pPr>
        <w:pStyle w:val="Heading4"/>
      </w:pPr>
      <w:r>
        <w:t>Pelo de cabra</w:t>
      </w:r>
    </w:p>
    <w:p>
      <w:r/>
      <w:r>
        <w:t>Um tecido grosso que era extremamente quente e também à prova d'água era feito a partir do pelo de cabra (</w:t>
      </w:r>
      <w:hyperlink r:id="rId19861">
        <w:r>
          <w:rPr>
            <w:color w:val="0000EE"/>
            <w:u w:val="single"/>
          </w:rPr>
          <w:t>Êx 35.23,26</w:t>
        </w:r>
      </w:hyperlink>
      <w:r>
        <w:t>). Roupas usadas pelos pobres eram frequentemente fabricadas a partir do pelo de cabra ou de camelo. Esse tecido de pelos ásperos (saco) às vezes era usado junto à pele como uma forma de penitência (</w:t>
      </w:r>
      <w:hyperlink r:id="rId13437">
        <w:r>
          <w:rPr>
            <w:color w:val="0000EE"/>
            <w:u w:val="single"/>
          </w:rPr>
          <w:t>Ne 9.1</w:t>
        </w:r>
      </w:hyperlink>
      <w:r>
        <w:t xml:space="preserve">; </w:t>
      </w:r>
      <w:hyperlink r:id="rId4917">
        <w:r>
          <w:rPr>
            <w:color w:val="0000EE"/>
            <w:u w:val="single"/>
          </w:rPr>
          <w:t>Dn 9.3</w:t>
        </w:r>
      </w:hyperlink>
      <w:r>
        <w:t xml:space="preserve">; </w:t>
      </w:r>
      <w:hyperlink r:id="rId9738">
        <w:r>
          <w:rPr>
            <w:color w:val="0000EE"/>
            <w:u w:val="single"/>
          </w:rPr>
          <w:t>Mt 11.21</w:t>
        </w:r>
      </w:hyperlink>
      <w:r>
        <w:t>), como uma vestimenta de luto (</w:t>
      </w:r>
      <w:hyperlink r:id="rId13429">
        <w:r>
          <w:rPr>
            <w:color w:val="0000EE"/>
            <w:u w:val="single"/>
          </w:rPr>
          <w:t>Gn 37.34</w:t>
        </w:r>
      </w:hyperlink>
      <w:r>
        <w:t xml:space="preserve">; </w:t>
      </w:r>
      <w:hyperlink r:id="rId13432">
        <w:r>
          <w:rPr>
            <w:color w:val="0000EE"/>
            <w:u w:val="single"/>
          </w:rPr>
          <w:t>2Sm 3.31</w:t>
        </w:r>
      </w:hyperlink>
      <w:r>
        <w:t>), ou até mesmo como um protesto profético contra a vida luxuosa (</w:t>
      </w:r>
      <w:hyperlink r:id="rId15354">
        <w:r>
          <w:rPr>
            <w:color w:val="0000EE"/>
            <w:u w:val="single"/>
          </w:rPr>
          <w:t>Ap 11.3</w:t>
        </w:r>
      </w:hyperlink>
      <w:r>
        <w:t>).</w:t>
      </w:r>
    </w:p>
    <w:p>
      <w:pPr>
        <w:pStyle w:val="Heading4"/>
      </w:pPr>
      <w:r>
        <w:t>Algodão, seda e fio de ouro</w:t>
      </w:r>
    </w:p>
    <w:p>
      <w:r/>
      <w:r>
        <w:t>O povo da Judeia certamente estaria ciente do algodão durante seu exílio persa (começando em 538 a.C.). O algodão é mencionado uma vez em uma descrição de cortinas elaboradas no palácio do rei persa (</w:t>
      </w:r>
      <w:hyperlink r:id="rId3105">
        <w:r>
          <w:rPr>
            <w:color w:val="0000EE"/>
            <w:u w:val="single"/>
          </w:rPr>
          <w:t>Et 1.6</w:t>
        </w:r>
      </w:hyperlink>
      <w:r>
        <w:t>). No entanto, é duvidoso que o algodão tenha sido cultivado na antiga Palestina ou mesmo encontrado lá até depois do exílio.</w:t>
      </w:r>
    </w:p>
    <w:p>
      <w:r/>
      <w:r>
        <w:t>No início da história de Israel, parte do tecido da Tenda Sagrada era feito com fio de ouro, produzido a partir de folhas finas de ouro batido cortadas em tiras finas de arame (</w:t>
      </w:r>
      <w:hyperlink r:id="rId19862">
        <w:r>
          <w:rPr>
            <w:color w:val="0000EE"/>
            <w:u w:val="single"/>
          </w:rPr>
          <w:t>Êx 39.3</w:t>
        </w:r>
      </w:hyperlink>
      <w:r>
        <w:t>). Um tipo mais largo de fio de ouro com superfície plana era usado para adornar vestes caras, palestinas e sírias. Um antigo novelo de fio de ouro fino foi descoberto durante escavações em Dura, no Rio Eufrates.</w:t>
      </w:r>
    </w:p>
    <w:p>
      <w:pPr>
        <w:pStyle w:val="Heading3"/>
      </w:pPr>
      <w:r>
        <w:t>Fiação</w:t>
      </w:r>
    </w:p>
    <w:p>
      <w:r/>
      <w:r>
        <w:t>Nos tempos bíblicos, um fuso era uma vara fina e arredondada, afilada e entalhada em uma extremidade e pesada na outra com uma "roda" de argila, pedra, vidro ou metal para servir como uma espécie de volante. O fio fiado na extremidade afilada era enrolado no fuso. Outra vara fina, chamada de roca, segurava as fibras que seriam alimentadas no fuso giratório.</w:t>
      </w:r>
    </w:p>
    <w:p>
      <w:pPr>
        <w:pStyle w:val="Heading3"/>
      </w:pPr>
      <w:r>
        <w:t>Tear e tecelagem</w:t>
      </w:r>
    </w:p>
    <w:p>
      <w:r/>
      <w:r>
        <w:t>A tecelagem é o entrelaçamento de fios de "urdidura" esticados em um tear com fios de "trama" ou "enredo" passados de um lado para o outro, sobre e sob o urdidura. Uma urdidura primitiva poderia ser esticado em torno de pinos ou hastes amarradas a uma árvore ou viga de telhado e, às vezes, conectada à cintura do tecelão.</w:t>
      </w:r>
    </w:p>
    <w:p>
      <w:r/>
      <w:r>
        <w:t>À medida que a técnica de tecelagem se desenvolveu, três tipos de tear surgiram: o tear horizontal de chão, o tear vertical de dois feixes e o tear de peso de urdidura. Em um tear horizontal de chão, a urdidura era esticada entre duas vigas de madeira presas ao chão por quatro estacas. Nômades viajantes podiam retirar as estacas e enrolar a tecelagem inacabada nas vigas. Dalila teceu o cabelo de Sansão em um tear horizontal de chão (</w:t>
      </w:r>
      <w:hyperlink r:id="rId19863">
        <w:r>
          <w:rPr>
            <w:color w:val="0000EE"/>
            <w:u w:val="single"/>
          </w:rPr>
          <w:t>Jz 16.13–14</w:t>
        </w:r>
      </w:hyperlink>
      <w:r>
        <w:t>).</w:t>
      </w:r>
    </w:p>
    <w:p>
      <w:r/>
      <w:r>
        <w:t>O tear vertical de duas vigas tinha sua urdidura esticada em uma estrutura retangular de madeira. Além das duas colunas verticais e duas vigas de urdidura, outra viga era frequentemente usada para manter a tensão da urdidura, especialmente em comprimentos maiores.</w:t>
      </w:r>
    </w:p>
    <w:p>
      <w:r/>
      <w:r>
        <w:t>O tear de peso, também em uma estrutura vertical, era trabalhado de cima para baixo. A borda inferior era mantida no lugar com pesos de tear, frequentemente pedaços de argila moldados.</w:t>
      </w:r>
    </w:p>
    <w:p>
      <w:r/>
      <w:r>
        <w:t>O grau de sofisticação nas técnicas de tecelagem nos tempos bíblicos é evidenciado nas especificações referentes aos tecidos para a Tenda Sagrada e seu átrio. As cortinas para o átrio deveriam ter 45,7 metros de comprimento e provavelmente um padrão de 1,8 metros de largura (</w:t>
      </w:r>
      <w:hyperlink r:id="rId19822">
        <w:r>
          <w:rPr>
            <w:color w:val="0000EE"/>
            <w:u w:val="single"/>
          </w:rPr>
          <w:t>Êx 27.9–18</w:t>
        </w:r>
      </w:hyperlink>
      <w:r>
        <w:t>). O véu da Tenda Sagrada (</w:t>
      </w:r>
      <w:hyperlink r:id="rId1904">
        <w:r>
          <w:rPr>
            <w:color w:val="0000EE"/>
            <w:u w:val="single"/>
          </w:rPr>
          <w:t>26.31</w:t>
        </w:r>
      </w:hyperlink>
      <w:r>
        <w:t xml:space="preserve">) e a cortina para a entrada (v. </w:t>
      </w:r>
      <w:hyperlink r:id="rId19864">
        <w:r>
          <w:rPr>
            <w:color w:val="0000EE"/>
            <w:u w:val="single"/>
          </w:rPr>
          <w:t>36</w:t>
        </w:r>
      </w:hyperlink>
      <w:r>
        <w:t>) deveriam ser de “lã azul, púrpura e vermelha”, provavelmente destacados ou bordados com linho.</w:t>
      </w:r>
    </w:p>
    <w:p>
      <w:r/>
      <w:r>
        <w:t>Vestuários como a túnica que Jesus usava eram tecidos em uma única peça, com a orla (borda da tecelagem) chegando ao pescoço e à bainha, as áreas de maior desgaste. Uma túnica tecida em um tear estreito seria composta por três peças.</w:t>
      </w:r>
    </w:p>
    <w:p>
      <w:pPr>
        <w:pStyle w:val="Heading3"/>
      </w:pPr>
      <w:r>
        <w:t>Corantes para tecido e tingimento</w:t>
      </w:r>
    </w:p>
    <w:p>
      <w:r/>
      <w:r>
        <w:t>Assim como as fibras, os corantes usados na antiguidade também eram de origem animal ou vegetal. Um corante vermelho era obtido do corpo de um inseto. O púrpura vinha principalmente de dois tipos de moluscos encontrados em muitas partes da costa leste do Mediterrâneo. O tom mais puro de púrpura podia ser obtido de moluscos encontrados na costa de Tiro, por isso uma grande indústria se desenvolveu lá (</w:t>
      </w:r>
      <w:hyperlink r:id="rId19865">
        <w:r>
          <w:rPr>
            <w:color w:val="0000EE"/>
            <w:u w:val="single"/>
          </w:rPr>
          <w:t>Ez 27.1–3</w:t>
        </w:r>
      </w:hyperlink>
      <w:r>
        <w:t>,16). A púrpura, o corante mais caro, permaneceu como a cor distintiva de reis e nobres. A primeira cristã convertida na Europa, Lídia, era uma empresária que vendia o caro tecido púrpura (</w:t>
      </w:r>
      <w:hyperlink r:id="rId1857">
        <w:r>
          <w:rPr>
            <w:color w:val="0000EE"/>
            <w:u w:val="single"/>
          </w:rPr>
          <w:t>At 16.14</w:t>
        </w:r>
      </w:hyperlink>
      <w:r>
        <w:t>). O amarelo era obtido das pétalas e cabeças das flores do cártamo. O açafrão (amarelo-alaranjado) vinha dos estigmas do açafrão (</w:t>
      </w:r>
      <w:r>
        <w:rPr>
          <w:i/>
        </w:rPr>
        <w:t>croccus savitus</w:t>
      </w:r>
      <w:r>
        <w:t>) que crescia extensivamente na Síria e no Egito. O verde era geralmente criado a partir de uma mistura de outros corantes. Nos tempos helenísticos, o pastel (</w:t>
      </w:r>
      <w:r>
        <w:rPr>
          <w:i/>
        </w:rPr>
        <w:t>isatis tinctoria</w:t>
      </w:r>
      <w:r>
        <w:t>), uma planta da família da mostarda, era cultivado na Mesopotâmia por seu corante azul. O índigo (corante natural) era cultivado no Egito e na Síria. O tingimento na antiguidade era frequentemente realizado em grandes tonéis, cujas imagens foram encontradas em pinturas e em cerâmica. As ruínas de estruturas incluindo tonéis foram escavadas em alguns locais palestinos.</w:t>
      </w:r>
    </w:p>
    <w:p>
      <w:r/>
      <w:r>
        <w:rPr>
          <w:i/>
        </w:rPr>
        <w:t>Veja também</w:t>
      </w:r>
      <w:r>
        <w:t xml:space="preserve"> </w:t>
      </w:r>
      <w:r>
        <w:t>Corante, Tingimento, Tinturaria</w:t>
      </w:r>
      <w:r>
        <w:t>.</w:t>
      </w:r>
      <w:r/>
      <w:r/>
    </w:p>
    <w:p>
      <w:r/>
    </w:p>
    <w:p>
      <w:pPr>
        <w:pStyle w:val="Heading2"/>
      </w:pPr>
      <w:r>
        <w:t>Tell</w:t>
      </w:r>
      <w:r/>
    </w:p>
    <w:p>
      <w:r/>
      <w:r>
        <w:t>Palavra árabe (hebraico, tel) que significa um monte artificial composto por muitas camadas de detritos ocupacionais, representando as ruínas de cidades sucessivas, aproximadamente como camadas de um bolo. A distinção das camadas, ou níveis de construção, é um dos maiores desafios para o arqueólogo de campo. Os níveis são datados principalmente pela cerâmica encontrada neles.</w:t>
      </w:r>
    </w:p>
    <w:p>
      <w:r/>
      <w:r>
        <w:t>Geralmente, os tells têm nomes árabes, que às vezes possuem significados interessantes ou divertidos. Tell el Ful (Gibeá), a cidade natal do Rei Saul, significa "o monte dos feijões". Tell Beit Mirsim se traduz como "o monte da casa do condutor de camelos rápidos". Outros nomes modernos preservam a identidade de locais antigos; e.g., Tell Taanak é o bíblico Taanaque; Tell Jezer é o bíblico Gezer.</w:t>
      </w:r>
    </w:p>
    <w:p>
      <w:r/>
      <w:r>
        <w:t>Há inúmeras referências a tells na Bíblia, embora em português tell possa aparecer como "monte", "pilha" ou "pilha de ruínas". O Senhor ordenou a Israel que uma cidade que praticasse idolatria abominável deveria ser queimada e "ser uma pilha para sempre" (</w:t>
      </w:r>
      <w:hyperlink r:id="rId19866">
        <w:r>
          <w:rPr>
            <w:color w:val="0000EE"/>
            <w:u w:val="single"/>
          </w:rPr>
          <w:t>Dt 13.16</w:t>
        </w:r>
      </w:hyperlink>
      <w:r>
        <w:t xml:space="preserve">). </w:t>
      </w:r>
      <w:hyperlink r:id="rId12501">
        <w:r>
          <w:rPr>
            <w:color w:val="0000EE"/>
            <w:u w:val="single"/>
          </w:rPr>
          <w:t>Josué 11.13</w:t>
        </w:r>
      </w:hyperlink>
      <w:r>
        <w:t xml:space="preserve"> afirma que Israel não queimou nenhuma das cidades que estavam sobre montes, exceto Hazor. Josué queimou Ai e fez dela "uma pilha de ruínas para sempre" (</w:t>
      </w:r>
      <w:hyperlink r:id="rId19867">
        <w:r>
          <w:rPr>
            <w:color w:val="0000EE"/>
            <w:u w:val="single"/>
          </w:rPr>
          <w:t>Js 8.28</w:t>
        </w:r>
      </w:hyperlink>
      <w:r>
        <w:t>). Em uma profecia contra os amonitas, Jeremias disse que Rabá "se tornará um monte desolado" (</w:t>
      </w:r>
      <w:hyperlink r:id="rId19868">
        <w:r>
          <w:rPr>
            <w:color w:val="0000EE"/>
            <w:u w:val="single"/>
          </w:rPr>
          <w:t>Jr 49.2</w:t>
        </w:r>
      </w:hyperlink>
      <w:r>
        <w:t>).</w:t>
      </w:r>
    </w:p>
    <w:p>
      <w:r/>
      <w:r>
        <w:rPr>
          <w:i/>
        </w:rPr>
        <w:t>Veja</w:t>
      </w:r>
      <w:r>
        <w:t xml:space="preserve"> </w:t>
      </w:r>
      <w:r>
        <w:t>Arqueologia e a Bíblia</w:t>
      </w:r>
      <w:r>
        <w:t xml:space="preserve">; </w:t>
      </w:r>
      <w:r>
        <w:t>Cerâmica</w:t>
      </w:r>
      <w:r>
        <w:t>.</w:t>
      </w:r>
      <w:r/>
      <w:r/>
    </w:p>
    <w:p>
      <w:r/>
    </w:p>
    <w:p>
      <w:pPr>
        <w:pStyle w:val="Heading2"/>
      </w:pPr>
      <w:r>
        <w:t>Tema (lugar)</w:t>
      </w:r>
      <w:r/>
    </w:p>
    <w:p>
      <w:r/>
      <w:r>
        <w:t>Algumas bíblias em português usam a grafia "Temá".</w:t>
        <w:br/>
      </w:r>
      <w:r>
        <w:t>Tema era uma cidade geralmente identificada com Teima. Este lugar era um oásis localizado a 322 quilômetros ao norte de Medina e 64 quilômetros ao sul de Dumá. Teima estava em uma antiga rota de caravanas que conectava o Golfo Pérsico ao Golfo de Aqaba. Isso significa que era uma parada importante para os comerciantes que viajavam pelo deserto.</w:t>
      </w:r>
    </w:p>
    <w:p>
      <w:r/>
      <w:r>
        <w:t>Nos escritos dos profetas, Tema é mencionada junto com Dedã e Buz como oásis árabes que não escapariam do julgamento de Deus (</w:t>
      </w:r>
      <w:hyperlink r:id="rId19869">
        <w:r>
          <w:rPr>
            <w:color w:val="0000EE"/>
            <w:u w:val="single"/>
          </w:rPr>
          <w:t>Is 21.14</w:t>
        </w:r>
      </w:hyperlink>
      <w:r>
        <w:t xml:space="preserve">; </w:t>
      </w:r>
      <w:hyperlink r:id="rId3118">
        <w:r>
          <w:rPr>
            <w:color w:val="0000EE"/>
            <w:u w:val="single"/>
          </w:rPr>
          <w:t>Jr 25.23</w:t>
        </w:r>
      </w:hyperlink>
      <w:r>
        <w:t>). A passagem em Jeremias contém uma referência aos residentes de Dedã, Tema e Buz como estando entre aqueles que "cortam curto o cabelo".</w:t>
      </w:r>
    </w:p>
    <w:p>
      <w:r/>
      <w:r>
        <w:t>A prática de cortar as pontas do cabelo os diferenciava do povo judeu. Os judeus deixavam as pontas do cabelo sem cortar (</w:t>
      </w:r>
      <w:hyperlink r:id="rId3119">
        <w:r>
          <w:rPr>
            <w:color w:val="0000EE"/>
            <w:u w:val="single"/>
          </w:rPr>
          <w:t>Lv 19.27</w:t>
        </w:r>
      </w:hyperlink>
      <w:r>
        <w:t>). Assim como a incircuncisão, a prática de cortar as pontas do cabelo identificava os homens de Tema como pessoas não judias que seguiam outras religiões.</w:t>
      </w:r>
      <w:r/>
      <w:r/>
    </w:p>
    <w:p>
      <w:r/>
    </w:p>
    <w:p>
      <w:pPr>
        <w:pStyle w:val="Heading2"/>
      </w:pPr>
      <w:r>
        <w:t>Tema (Pessoa)</w:t>
      </w:r>
      <w:r/>
    </w:p>
    <w:p>
      <w:r/>
      <w:r>
        <w:t>Nono filho de Ismael, que se tornou chefe de uma poderosa tribo nômade no deserto do norte da Arábia (</w:t>
      </w:r>
      <w:hyperlink r:id="rId10279">
        <w:r>
          <w:rPr>
            <w:color w:val="0000EE"/>
            <w:u w:val="single"/>
          </w:rPr>
          <w:t>Gn 25.15</w:t>
        </w:r>
      </w:hyperlink>
      <w:r>
        <w:t xml:space="preserve">; </w:t>
      </w:r>
      <w:hyperlink r:id="rId622">
        <w:r>
          <w:rPr>
            <w:color w:val="0000EE"/>
            <w:u w:val="single"/>
          </w:rPr>
          <w:t>1Cr 1.30</w:t>
        </w:r>
      </w:hyperlink>
      <w:r>
        <w:t xml:space="preserve">; </w:t>
      </w:r>
      <w:hyperlink r:id="rId3118">
        <w:r>
          <w:rPr>
            <w:color w:val="0000EE"/>
            <w:u w:val="single"/>
          </w:rPr>
          <w:t>Jr 25.23</w:t>
        </w:r>
      </w:hyperlink>
      <w:r>
        <w:t>). Os descendentes de Tema eram principalmente comerciantes de caravanas que controlavam o acesso a rotas importantes através do deserto (</w:t>
      </w:r>
      <w:hyperlink r:id="rId19870">
        <w:r>
          <w:rPr>
            <w:color w:val="0000EE"/>
            <w:u w:val="single"/>
          </w:rPr>
          <w:t>Jó 6.19</w:t>
        </w:r>
      </w:hyperlink>
      <w:r>
        <w:t xml:space="preserve">). Tema também estava associada a um território e a uma cidade. </w:t>
      </w:r>
      <w:r>
        <w:rPr>
          <w:i/>
        </w:rPr>
        <w:t>Veja</w:t>
      </w:r>
      <w:r>
        <w:t xml:space="preserve"> </w:t>
      </w:r>
      <w:r>
        <w:t>Tema (Lugar)</w:t>
      </w:r>
      <w:r>
        <w:t>.</w:t>
      </w:r>
      <w:r/>
      <w:r/>
    </w:p>
    <w:p>
      <w:r/>
    </w:p>
    <w:p>
      <w:pPr>
        <w:pStyle w:val="Heading2"/>
      </w:pPr>
      <w:r>
        <w:t>Temã (Pessoa)</w:t>
      </w:r>
      <w:r/>
    </w:p>
    <w:p>
      <w:r/>
      <w:r>
        <w:t>Um dos chefes dos edomitas e primogênito de Elifaz (</w:t>
      </w:r>
      <w:hyperlink r:id="rId17975">
        <w:r>
          <w:rPr>
            <w:color w:val="0000EE"/>
            <w:u w:val="single"/>
          </w:rPr>
          <w:t>Gn 36.11,15,42</w:t>
        </w:r>
      </w:hyperlink>
      <w:r>
        <w:t xml:space="preserve">; </w:t>
      </w:r>
      <w:hyperlink r:id="rId17976">
        <w:r>
          <w:rPr>
            <w:color w:val="0000EE"/>
            <w:u w:val="single"/>
          </w:rPr>
          <w:t>1Cr 1.36,53</w:t>
        </w:r>
      </w:hyperlink>
      <w:r>
        <w:t>). Ele provavelmente foi o fundador ou um chefe da cidade edomita de Temã.</w:t>
      </w:r>
      <w:r/>
      <w:r/>
    </w:p>
    <w:p>
      <w:r/>
    </w:p>
    <w:p>
      <w:pPr>
        <w:pStyle w:val="Heading2"/>
      </w:pPr>
      <w:r>
        <w:t>Temente a Deus</w:t>
      </w:r>
      <w:r/>
    </w:p>
    <w:p>
      <w:r/>
      <w:r>
        <w:t>Alguém que tem um profundo respeito, reverência ou temor a Deus. Este temor pode ser:</w:t>
      </w:r>
    </w:p>
    <w:p>
      <w:pPr>
        <w:pStyle w:val="ListBullet"/>
        <w:spacing w:line="240" w:lineRule="auto"/>
        <w:ind w:left="720"/>
      </w:pPr>
      <w:r/>
      <w:r>
        <w:t>Um termo de respeito;</w:t>
      </w:r>
    </w:p>
    <w:p>
      <w:pPr>
        <w:pStyle w:val="ListBullet"/>
        <w:spacing w:line="240" w:lineRule="auto"/>
        <w:ind w:left="720"/>
      </w:pPr>
      <w:r/>
      <w:r>
        <w:t>Uma reação emocional de terror;</w:t>
      </w:r>
    </w:p>
    <w:p>
      <w:pPr>
        <w:pStyle w:val="ListBullet"/>
        <w:spacing w:line="240" w:lineRule="auto"/>
        <w:ind w:left="720"/>
      </w:pPr>
      <w:r/>
      <w:r>
        <w:t>Um medo do castigo de Deus.</w:t>
      </w:r>
    </w:p>
    <w:p>
      <w:r/>
      <w:r>
        <w:t>No Antigo Testamento, frases que descrevem um temente a Deus são frequentemente emparelhadas com termos como "ficou em reverência" ou "manteve-se em reverência". A reverência pelo Senhor é menos comum, mas é usada quando Obadias escondeu os profetas para salvá-los de Jezabel (</w:t>
      </w:r>
      <w:hyperlink r:id="rId19871">
        <w:r>
          <w:rPr>
            <w:color w:val="0000EE"/>
            <w:u w:val="single"/>
          </w:rPr>
          <w:t>1 Reis 18.3–4,12</w:t>
        </w:r>
      </w:hyperlink>
      <w:r>
        <w:t>). Esperava-se que um governante temente a Deus proporcionasse justiça (</w:t>
      </w:r>
      <w:hyperlink r:id="rId19872">
        <w:r>
          <w:rPr>
            <w:color w:val="0000EE"/>
            <w:u w:val="single"/>
          </w:rPr>
          <w:t>2 Samuel 23.3</w:t>
        </w:r>
      </w:hyperlink>
      <w:r>
        <w:t xml:space="preserve">; </w:t>
      </w:r>
      <w:hyperlink r:id="rId6185">
        <w:r>
          <w:rPr>
            <w:color w:val="0000EE"/>
            <w:u w:val="single"/>
          </w:rPr>
          <w:t>2 Crônicas 19.7</w:t>
        </w:r>
      </w:hyperlink>
      <w:r>
        <w:t>). Longa vida foi prometida àqueles que temiam o Senhor (</w:t>
      </w:r>
      <w:hyperlink r:id="rId19873">
        <w:r>
          <w:rPr>
            <w:color w:val="0000EE"/>
            <w:u w:val="single"/>
          </w:rPr>
          <w:t>Provérbios 10.27</w:t>
        </w:r>
      </w:hyperlink>
      <w:r>
        <w:t xml:space="preserve">; </w:t>
      </w:r>
      <w:hyperlink r:id="rId14166">
        <w:r>
          <w:rPr>
            <w:color w:val="0000EE"/>
            <w:u w:val="single"/>
          </w:rPr>
          <w:t>14.27</w:t>
        </w:r>
      </w:hyperlink>
      <w:r>
        <w:t xml:space="preserve">; </w:t>
      </w:r>
      <w:hyperlink r:id="rId19874">
        <w:r>
          <w:rPr>
            <w:color w:val="0000EE"/>
            <w:u w:val="single"/>
          </w:rPr>
          <w:t>19.23</w:t>
        </w:r>
      </w:hyperlink>
      <w:r>
        <w:t>). Uma família temente a Deus confiaria no Senhor para ajuda durante problemas (</w:t>
      </w:r>
      <w:hyperlink r:id="rId3080">
        <w:r>
          <w:rPr>
            <w:color w:val="0000EE"/>
            <w:u w:val="single"/>
          </w:rPr>
          <w:t>2 Reis 4.1</w:t>
        </w:r>
      </w:hyperlink>
      <w:r>
        <w:t xml:space="preserve">; </w:t>
      </w:r>
      <w:hyperlink r:id="rId19875">
        <w:r>
          <w:rPr>
            <w:color w:val="0000EE"/>
            <w:u w:val="single"/>
          </w:rPr>
          <w:t>Provérbios 14.26</w:t>
        </w:r>
      </w:hyperlink>
      <w:r>
        <w:t>). O temor do Senhor era poderoso para afastar o pecado e era o princípio da sabedoria (</w:t>
      </w:r>
      <w:hyperlink r:id="rId19876">
        <w:r>
          <w:rPr>
            <w:color w:val="0000EE"/>
            <w:u w:val="single"/>
          </w:rPr>
          <w:t>Sabedoria de Salomão 10.13</w:t>
        </w:r>
      </w:hyperlink>
      <w:r>
        <w:t>).</w:t>
      </w:r>
    </w:p>
    <w:p>
      <w:r/>
      <w:r>
        <w:t>No Novo Testamento, o temor a Deus frequentemente acompanha instruções para amar e servir ao Senhor (</w:t>
      </w:r>
      <w:hyperlink r:id="rId4295">
        <w:r>
          <w:rPr>
            <w:color w:val="0000EE"/>
            <w:u w:val="single"/>
          </w:rPr>
          <w:t>Colossenses 3.22</w:t>
        </w:r>
      </w:hyperlink>
      <w:r>
        <w:t xml:space="preserve">; </w:t>
      </w:r>
      <w:hyperlink r:id="rId10729">
        <w:r>
          <w:rPr>
            <w:color w:val="0000EE"/>
            <w:u w:val="single"/>
          </w:rPr>
          <w:t>1 Pedro 2.17</w:t>
        </w:r>
      </w:hyperlink>
      <w:r>
        <w:t xml:space="preserve">). Em </w:t>
      </w:r>
      <w:hyperlink r:id="rId14606">
        <w:r>
          <w:rPr>
            <w:color w:val="0000EE"/>
            <w:u w:val="single"/>
          </w:rPr>
          <w:t>Lucas 1.50</w:t>
        </w:r>
      </w:hyperlink>
      <w:r>
        <w:t>, a declaração de Maria “Sua misericórdia se estende aos que o temem” significa reverenciar e obedecer. Em Atos, o termo “temente a Deus” refere-se a gentios que frequentavam a sinagoga. Paulo os aborda separadamente: “Homens de Israel e vocês gentios que temem a Deus” (</w:t>
      </w:r>
      <w:hyperlink r:id="rId17715">
        <w:r>
          <w:rPr>
            <w:color w:val="0000EE"/>
            <w:u w:val="single"/>
          </w:rPr>
          <w:t>Atos 13.16</w:t>
        </w:r>
      </w:hyperlink>
      <w:r>
        <w:t>). Cornélio era um centurião romano temente a Deus, reconhecido por levar uma vida aceitável ao Senhor, mesmo não sendo judeu (</w:t>
      </w:r>
      <w:hyperlink r:id="rId4400">
        <w:r>
          <w:rPr>
            <w:color w:val="0000EE"/>
            <w:u w:val="single"/>
          </w:rPr>
          <w:t>Atos 10.2,35</w:t>
        </w:r>
      </w:hyperlink>
      <w:r>
        <w:t>).</w:t>
      </w:r>
    </w:p>
    <w:p>
      <w:r/>
      <w:r>
        <w:t>O temor de Deus também representa pavor ou terror do poder e julgamento de Deus, como visto tanto no Antigo quanto no Novo Testamento (</w:t>
      </w:r>
      <w:hyperlink r:id="rId14140">
        <w:r>
          <w:rPr>
            <w:color w:val="0000EE"/>
            <w:u w:val="single"/>
          </w:rPr>
          <w:t>Gênesis 3.10</w:t>
        </w:r>
      </w:hyperlink>
      <w:r>
        <w:t xml:space="preserve">; </w:t>
      </w:r>
      <w:hyperlink r:id="rId19877">
        <w:r>
          <w:rPr>
            <w:color w:val="0000EE"/>
            <w:u w:val="single"/>
          </w:rPr>
          <w:t>Deuteronômio 9.19</w:t>
        </w:r>
      </w:hyperlink>
      <w:r>
        <w:t xml:space="preserve">; </w:t>
      </w:r>
      <w:hyperlink r:id="rId19878">
        <w:r>
          <w:rPr>
            <w:color w:val="0000EE"/>
            <w:u w:val="single"/>
          </w:rPr>
          <w:t>Jó 6.4</w:t>
        </w:r>
      </w:hyperlink>
      <w:r>
        <w:t xml:space="preserve">; </w:t>
      </w:r>
      <w:hyperlink r:id="rId19879">
        <w:r>
          <w:rPr>
            <w:color w:val="0000EE"/>
            <w:u w:val="single"/>
          </w:rPr>
          <w:t>9.28–29</w:t>
        </w:r>
      </w:hyperlink>
      <w:r>
        <w:t xml:space="preserve">; </w:t>
      </w:r>
      <w:hyperlink r:id="rId19880">
        <w:r>
          <w:rPr>
            <w:color w:val="0000EE"/>
            <w:u w:val="single"/>
          </w:rPr>
          <w:t>Salmo 76.8</w:t>
        </w:r>
      </w:hyperlink>
      <w:r>
        <w:t xml:space="preserve">; </w:t>
      </w:r>
      <w:hyperlink r:id="rId19881">
        <w:r>
          <w:rPr>
            <w:color w:val="0000EE"/>
            <w:u w:val="single"/>
          </w:rPr>
          <w:t>Mateus 17.7</w:t>
        </w:r>
      </w:hyperlink>
      <w:r>
        <w:t xml:space="preserve">; </w:t>
      </w:r>
      <w:hyperlink r:id="rId11170">
        <w:r>
          <w:rPr>
            <w:color w:val="0000EE"/>
            <w:u w:val="single"/>
          </w:rPr>
          <w:t>28.10</w:t>
        </w:r>
      </w:hyperlink>
      <w:r>
        <w:t xml:space="preserve">; </w:t>
      </w:r>
      <w:hyperlink r:id="rId16655">
        <w:r>
          <w:rPr>
            <w:color w:val="0000EE"/>
            <w:u w:val="single"/>
          </w:rPr>
          <w:t>Lucas 5.10</w:t>
        </w:r>
      </w:hyperlink>
      <w:r>
        <w:t xml:space="preserve">; </w:t>
      </w:r>
      <w:hyperlink r:id="rId954">
        <w:r>
          <w:rPr>
            <w:color w:val="0000EE"/>
            <w:u w:val="single"/>
          </w:rPr>
          <w:t>12.5</w:t>
        </w:r>
      </w:hyperlink>
      <w:r>
        <w:t xml:space="preserve">; </w:t>
      </w:r>
      <w:hyperlink r:id="rId19882">
        <w:r>
          <w:rPr>
            <w:color w:val="0000EE"/>
            <w:u w:val="single"/>
          </w:rPr>
          <w:t>Atos 5.5,11</w:t>
        </w:r>
      </w:hyperlink>
      <w:r>
        <w:t xml:space="preserve">; </w:t>
      </w:r>
      <w:hyperlink r:id="rId19883">
        <w:r>
          <w:rPr>
            <w:color w:val="0000EE"/>
            <w:u w:val="single"/>
          </w:rPr>
          <w:t>1 Timóteo 5.20</w:t>
        </w:r>
      </w:hyperlink>
      <w:r>
        <w:t>).</w:t>
      </w:r>
    </w:p>
    <w:p>
      <w:r/>
      <w:r>
        <w:rPr>
          <w:i/>
        </w:rPr>
        <w:t>Veja também</w:t>
      </w:r>
      <w:r>
        <w:t xml:space="preserve"> </w:t>
      </w:r>
      <w:r>
        <w:t>Medo</w:t>
      </w:r>
      <w:r>
        <w:t xml:space="preserve">; </w:t>
      </w:r>
      <w:r>
        <w:t>Prosélito</w:t>
      </w:r>
      <w:r>
        <w:t>.</w:t>
      </w:r>
      <w:r/>
      <w:r/>
    </w:p>
    <w:p>
      <w:r/>
    </w:p>
    <w:p>
      <w:pPr>
        <w:pStyle w:val="Heading2"/>
      </w:pPr>
      <w:r>
        <w:t>Templo</w:t>
      </w:r>
      <w:r/>
    </w:p>
    <w:p>
      <w:r/>
      <w:r>
        <w:t>Resumo</w:t>
      </w:r>
    </w:p>
    <w:p>
      <w:r/>
      <w:r>
        <w:t>• Contexto;</w:t>
      </w:r>
    </w:p>
    <w:p>
      <w:r/>
      <w:r>
        <w:t>• Templo de Salomão;</w:t>
      </w:r>
    </w:p>
    <w:p>
      <w:r/>
      <w:r>
        <w:t>• Templo de Zorobabel;</w:t>
      </w:r>
    </w:p>
    <w:p>
      <w:r/>
      <w:r>
        <w:t>• Templo de Herodes;</w:t>
      </w:r>
    </w:p>
    <w:p>
      <w:r/>
      <w:r>
        <w:t>• O significado do Templo no Antigo Testamento;</w:t>
      </w:r>
    </w:p>
    <w:p>
      <w:r/>
      <w:r>
        <w:t>• O significado do Templo no Novo Testamento.</w:t>
      </w:r>
    </w:p>
    <w:p>
      <w:pPr>
        <w:pStyle w:val="Heading3"/>
      </w:pPr>
      <w:r>
        <w:t>Contexto</w:t>
      </w:r>
    </w:p>
    <w:p>
      <w:r/>
      <w:r>
        <w:t>A conquista de Davi de Jerusalém (</w:t>
      </w:r>
      <w:hyperlink r:id="rId12473">
        <w:r>
          <w:rPr>
            <w:color w:val="0000EE"/>
            <w:u w:val="single"/>
          </w:rPr>
          <w:t>2Sm 5.6–9</w:t>
        </w:r>
      </w:hyperlink>
      <w:r>
        <w:t>) e sua designação como capital da nação é um dos grandes golpes de mestre da história. Ocupada pelos jebuseus, era um território neutro entre as seções norte e sul do reino unido de Davi e era politicamente aceitável para ambos. Jerusalém foi então estabelecida como o centro religioso nacional com o retorno da arca, que havia sido amplamente negligenciada desde sua captura pelos filisteus (</w:t>
      </w:r>
      <w:hyperlink r:id="rId2459">
        <w:r>
          <w:rPr>
            <w:color w:val="0000EE"/>
            <w:u w:val="single"/>
          </w:rPr>
          <w:t>2Sm 6.1–17</w:t>
        </w:r>
      </w:hyperlink>
      <w:r>
        <w:t>). Daí em diante, as escolhas de Deus tanto de Davi quanto de Jerusalém (“Monte Sião”) estavam indissoluvelmente ligadas (</w:t>
      </w:r>
      <w:hyperlink r:id="rId19884">
        <w:r>
          <w:rPr>
            <w:color w:val="0000EE"/>
            <w:u w:val="single"/>
          </w:rPr>
          <w:t>Sl 78.67–72</w:t>
        </w:r>
      </w:hyperlink>
      <w:r>
        <w:t>).</w:t>
      </w:r>
    </w:p>
    <w:p>
      <w:r/>
      <w:r>
        <w:t>O grande desejo de Davi era construir uma morada adequada para o Deus de Israel. A ideia foi inicialmente aprovada por Natã, o profeta (</w:t>
      </w:r>
      <w:hyperlink r:id="rId19885">
        <w:r>
          <w:rPr>
            <w:color w:val="0000EE"/>
            <w:u w:val="single"/>
          </w:rPr>
          <w:t>2Sm 7.1–3</w:t>
        </w:r>
      </w:hyperlink>
      <w:r>
        <w:t xml:space="preserve">), mas Deus revelou o contrário a ele, e Natã transmitiu o propósito divino a Davi (vv. </w:t>
      </w:r>
      <w:hyperlink r:id="rId548">
        <w:r>
          <w:rPr>
            <w:color w:val="0000EE"/>
            <w:u w:val="single"/>
          </w:rPr>
          <w:t>4–17</w:t>
        </w:r>
      </w:hyperlink>
      <w:r>
        <w:t>). Num jogo de palavras significativo, Davi foi informado de que, embora ele não devesse construir uma casa (templo) para Deus, Deus edificaria uma casa (dinastia) para ele. Davi não foi escolhido para construir um templo devido às numerosas guerras durante seu reinado; o templo seria construído por seu filho (</w:t>
      </w:r>
      <w:hyperlink r:id="rId19886">
        <w:r>
          <w:rPr>
            <w:color w:val="0000EE"/>
            <w:u w:val="single"/>
          </w:rPr>
          <w:t>1Rs 5.3</w:t>
        </w:r>
      </w:hyperlink>
      <w:r>
        <w:t xml:space="preserve">; </w:t>
      </w:r>
      <w:hyperlink r:id="rId19887">
        <w:r>
          <w:rPr>
            <w:color w:val="0000EE"/>
            <w:u w:val="single"/>
          </w:rPr>
          <w:t>1Cr 22.7–8</w:t>
        </w:r>
      </w:hyperlink>
      <w:r>
        <w:t xml:space="preserve">; </w:t>
      </w:r>
      <w:hyperlink r:id="rId19888">
        <w:r>
          <w:rPr>
            <w:color w:val="0000EE"/>
            <w:u w:val="single"/>
          </w:rPr>
          <w:t>28.3</w:t>
        </w:r>
      </w:hyperlink>
      <w:r>
        <w:t>). No entanto, Davi entusiasticamente acumulou a maior parte das finanças e materiais necessários e elaborou os planos para o templo (</w:t>
      </w:r>
      <w:hyperlink r:id="rId19889">
        <w:r>
          <w:rPr>
            <w:color w:val="0000EE"/>
            <w:u w:val="single"/>
          </w:rPr>
          <w:t>1Cr 22.3–5,14</w:t>
        </w:r>
      </w:hyperlink>
      <w:r>
        <w:t xml:space="preserve">; </w:t>
      </w:r>
      <w:hyperlink r:id="rId19890">
        <w:r>
          <w:rPr>
            <w:color w:val="0000EE"/>
            <w:u w:val="single"/>
          </w:rPr>
          <w:t>28.2,11–19</w:t>
        </w:r>
      </w:hyperlink>
      <w:r>
        <w:t>). Ele também comprou o local do templo (</w:t>
      </w:r>
      <w:hyperlink r:id="rId19891">
        <w:r>
          <w:rPr>
            <w:color w:val="0000EE"/>
            <w:u w:val="single"/>
          </w:rPr>
          <w:t>21.25</w:t>
        </w:r>
      </w:hyperlink>
      <w:r>
        <w:t>).</w:t>
      </w:r>
    </w:p>
    <w:p>
      <w:pPr>
        <w:pStyle w:val="Heading3"/>
      </w:pPr>
      <w:r>
        <w:t>Templo de Salomão</w:t>
      </w:r>
    </w:p>
    <w:p>
      <w:pPr>
        <w:pStyle w:val="Heading4"/>
      </w:pPr>
      <w:r>
        <w:t>Dados</w:t>
      </w:r>
    </w:p>
    <w:p>
      <w:r/>
      <w:r>
        <w:t>A construção começou no quarto ano de Salomão, por volta de 966 a.C., e levou sete anos para ser concluída (</w:t>
      </w:r>
      <w:hyperlink r:id="rId19892">
        <w:r>
          <w:rPr>
            <w:color w:val="0000EE"/>
            <w:u w:val="single"/>
          </w:rPr>
          <w:t>1Rs 6.1,38</w:t>
        </w:r>
      </w:hyperlink>
      <w:r>
        <w:t>). Tudo o que era necessário para o templo, incluindo os trabalhadores, havia sido preparado por Davi (</w:t>
      </w:r>
      <w:hyperlink r:id="rId19893">
        <w:r>
          <w:rPr>
            <w:color w:val="0000EE"/>
            <w:u w:val="single"/>
          </w:rPr>
          <w:t>1 Cr 28.21</w:t>
        </w:r>
      </w:hyperlink>
      <w:r>
        <w:t>). O templo claramente tinha prioridade entre os projetos de construção de Salomão, já que ele construiu seu próprio palácio posteriormente (</w:t>
      </w:r>
      <w:hyperlink r:id="rId19894">
        <w:r>
          <w:rPr>
            <w:color w:val="0000EE"/>
            <w:u w:val="single"/>
          </w:rPr>
          <w:t>1Rs 7.1</w:t>
        </w:r>
      </w:hyperlink>
      <w:r>
        <w:t>).</w:t>
      </w:r>
    </w:p>
    <w:p>
      <w:pPr>
        <w:pStyle w:val="Heading4"/>
      </w:pPr>
      <w:r>
        <w:t>Supervisores e Força de trabalho</w:t>
      </w:r>
    </w:p>
    <w:p>
      <w:r/>
      <w:r>
        <w:t>O principal arquiteto dos móveis de bronze foi Hurão (hebraico "Hirão"), cujo pai era um artesão de metal de Tiro e cuja mãe era israelita (</w:t>
      </w:r>
      <w:hyperlink r:id="rId10670">
        <w:r>
          <w:rPr>
            <w:color w:val="0000EE"/>
            <w:u w:val="single"/>
          </w:rPr>
          <w:t>1Rs 7.13–14</w:t>
        </w:r>
      </w:hyperlink>
      <w:r>
        <w:t>). O cedro para o templo veio do Líbano e foi derrubado e transportado pelos habilidosos lenhadores de outro Hirão — o rei de Tiro, aliado de Salomão (</w:t>
      </w:r>
      <w:hyperlink r:id="rId19895">
        <w:r>
          <w:rPr>
            <w:color w:val="0000EE"/>
            <w:u w:val="single"/>
          </w:rPr>
          <w:t>5.5–9</w:t>
        </w:r>
      </w:hyperlink>
      <w:r>
        <w:t xml:space="preserve">). Trinta mil israelitas, divididos em três grupos, foram convocados para ajudar no Líbano. Cada grupo estava de serviço por um mês a cada três. Para a alvenaria, Salomão recrutou 153.600 estrangeiros residentes em Israel para formar um grupo autossuficiente de carregadores, cortadores de pedra e supervisores (vv. </w:t>
      </w:r>
      <w:hyperlink r:id="rId19896">
        <w:r>
          <w:rPr>
            <w:color w:val="0000EE"/>
            <w:u w:val="single"/>
          </w:rPr>
          <w:t>15–17</w:t>
        </w:r>
      </w:hyperlink>
      <w:r>
        <w:t xml:space="preserve">; </w:t>
      </w:r>
      <w:hyperlink r:id="rId18984">
        <w:r>
          <w:rPr>
            <w:color w:val="0000EE"/>
            <w:u w:val="single"/>
          </w:rPr>
          <w:t>2 Cr 2.17–18</w:t>
        </w:r>
      </w:hyperlink>
      <w:r>
        <w:t>). Possivelmente os "homens de Gebal", com suas habilidades especializadas, formaram ainda outro grupo (</w:t>
      </w:r>
      <w:hyperlink r:id="rId6218">
        <w:r>
          <w:rPr>
            <w:color w:val="0000EE"/>
            <w:u w:val="single"/>
          </w:rPr>
          <w:t>1Rs 5.18</w:t>
        </w:r>
      </w:hyperlink>
      <w:r>
        <w:t>). Construir o templo foi obviamente um projeto nacional de imensa dimensão e esforço. Para preservar a santidade do local e eliminar o ruído, a alvenaria e a carpintaria não foram feitas no local do templo (</w:t>
      </w:r>
      <w:hyperlink r:id="rId14545">
        <w:r>
          <w:rPr>
            <w:color w:val="0000EE"/>
            <w:u w:val="single"/>
          </w:rPr>
          <w:t>6.7</w:t>
        </w:r>
      </w:hyperlink>
      <w:r>
        <w:t>).</w:t>
      </w:r>
    </w:p>
    <w:p>
      <w:pPr>
        <w:pStyle w:val="Heading4"/>
      </w:pPr>
      <w:r>
        <w:t>Descrição</w:t>
      </w:r>
    </w:p>
    <w:p>
      <w:r/>
      <w:r>
        <w:t>Os detalhes fornecidos na Bíblia são suficientemente claros para que possamos fazer uma descrição razoavelmente precisa do templo. Os relatos em Reis e Crônicas são complementados pela descrição do templo feita por Ezequiel (veja abaixo), que foi amplamente baseada em seu conhecimento do templo de Jerusalém (</w:t>
      </w:r>
      <w:hyperlink r:id="rId2164">
        <w:r>
          <w:rPr>
            <w:color w:val="0000EE"/>
            <w:u w:val="single"/>
          </w:rPr>
          <w:t>Ez 40–48</w:t>
        </w:r>
      </w:hyperlink>
      <w:r>
        <w:t>).</w:t>
      </w:r>
    </w:p>
    <w:p>
      <w:r/>
      <w:r>
        <w:t>As salas laterais provavelmente repousavam sobre uma fundação ou plataforma separada do templo em si (</w:t>
      </w:r>
      <w:hyperlink r:id="rId19897">
        <w:r>
          <w:rPr>
            <w:color w:val="0000EE"/>
            <w:u w:val="single"/>
          </w:rPr>
          <w:t>1Rs 6.5,10</w:t>
        </w:r>
      </w:hyperlink>
      <w:r>
        <w:t xml:space="preserve">; cf. </w:t>
      </w:r>
      <w:hyperlink r:id="rId19898">
        <w:r>
          <w:rPr>
            <w:color w:val="0000EE"/>
            <w:u w:val="single"/>
          </w:rPr>
          <w:t>Ez 41.8–9</w:t>
        </w:r>
      </w:hyperlink>
      <w:r>
        <w:t>) e estavam dispostas em três andares, cada um com 2,3 metros de altura, estendendo-se ao redor de todo o edifício, exceto pelo lado do pórtico. Cada andar sucessivo era meio 0,5 metro mais largo que o inferior, sendo essas dimensões correspondentes à espessura da parede lateral do Lugar Santo. As salas do térreo tinham 2,3 metro de largura; o primeiro andar tinha 2,7 metros, e o segundo tinha 3,2 metros. O acesso aos andares superiores era possivelmente por escadas em espiral (</w:t>
      </w:r>
      <w:hyperlink r:id="rId19899">
        <w:r>
          <w:rPr>
            <w:color w:val="0000EE"/>
            <w:u w:val="single"/>
          </w:rPr>
          <w:t>1Rs 6.8</w:t>
        </w:r>
      </w:hyperlink>
      <w:r>
        <w:t>). Há alguma incerteza quanto à localização das entradas; pode ter havido uma de cada lado, mas apenas uma é mencionada (v.</w:t>
      </w:r>
      <w:hyperlink r:id="rId19899">
        <w:r>
          <w:rPr>
            <w:color w:val="0000EE"/>
            <w:u w:val="single"/>
          </w:rPr>
          <w:t>8</w:t>
        </w:r>
      </w:hyperlink>
      <w:r>
        <w:t>). Como no templo de Ezequiel (</w:t>
      </w:r>
      <w:hyperlink r:id="rId19900">
        <w:r>
          <w:rPr>
            <w:color w:val="0000EE"/>
            <w:u w:val="single"/>
          </w:rPr>
          <w:t>Ez 40.17,28</w:t>
        </w:r>
      </w:hyperlink>
      <w:r>
        <w:t>), havia dois pátios adjacentes, um interno e um externo (</w:t>
      </w:r>
      <w:hyperlink r:id="rId19901">
        <w:r>
          <w:rPr>
            <w:color w:val="0000EE"/>
            <w:u w:val="single"/>
          </w:rPr>
          <w:t>1Rs 6.36</w:t>
        </w:r>
      </w:hyperlink>
      <w:r>
        <w:t xml:space="preserve">; </w:t>
      </w:r>
      <w:hyperlink r:id="rId19902">
        <w:r>
          <w:rPr>
            <w:color w:val="0000EE"/>
            <w:u w:val="single"/>
          </w:rPr>
          <w:t>7.12</w:t>
        </w:r>
      </w:hyperlink>
      <w:r>
        <w:t>), mas não são dadas dimensões para estes. O pátio interno, ou "pátio dos sacerdotes", estando próximo ao templo em si, também era chamado de "pátio superior" (</w:t>
      </w:r>
      <w:hyperlink r:id="rId19903">
        <w:r>
          <w:rPr>
            <w:color w:val="0000EE"/>
            <w:u w:val="single"/>
          </w:rPr>
          <w:t>2 Cr 4.9</w:t>
        </w:r>
      </w:hyperlink>
      <w:r>
        <w:t xml:space="preserve">; </w:t>
      </w:r>
      <w:hyperlink r:id="rId19904">
        <w:r>
          <w:rPr>
            <w:color w:val="0000EE"/>
            <w:u w:val="single"/>
          </w:rPr>
          <w:t>Jr 36.10</w:t>
        </w:r>
      </w:hyperlink>
      <w:r>
        <w:t>). A parede do pátio interno era feita de três camadas de pedra lavrada unidas por uma camada de vigas de cedro (</w:t>
      </w:r>
      <w:hyperlink r:id="rId19901">
        <w:r>
          <w:rPr>
            <w:color w:val="0000EE"/>
            <w:u w:val="single"/>
          </w:rPr>
          <w:t>1Rs 6.36</w:t>
        </w:r>
      </w:hyperlink>
      <w:r>
        <w:t>), e as portas de ambos os pátios eram revestidas de bronze (</w:t>
      </w:r>
      <w:hyperlink r:id="rId19903">
        <w:r>
          <w:rPr>
            <w:color w:val="0000EE"/>
            <w:u w:val="single"/>
          </w:rPr>
          <w:t>2 Cr 4.9</w:t>
        </w:r>
      </w:hyperlink>
      <w:r>
        <w:t>). Os edifícios do palácio estavam dentro da área do pátio externo, provavelmente com uma passagem privada entre o palácio e o templo que foi posteriormente fechada durante o reinado de Acaz (</w:t>
      </w:r>
      <w:hyperlink r:id="rId19905">
        <w:r>
          <w:rPr>
            <w:color w:val="0000EE"/>
            <w:u w:val="single"/>
          </w:rPr>
          <w:t>2 Cr 4.9,12</w:t>
        </w:r>
      </w:hyperlink>
      <w:r>
        <w:t xml:space="preserve">; </w:t>
      </w:r>
      <w:hyperlink r:id="rId19906">
        <w:r>
          <w:rPr>
            <w:color w:val="0000EE"/>
            <w:u w:val="single"/>
          </w:rPr>
          <w:t>2Rs 16.18</w:t>
        </w:r>
      </w:hyperlink>
      <w:r>
        <w:t>).</w:t>
      </w:r>
    </w:p>
    <w:p>
      <w:r/>
      <w:r>
        <w:t>O templo em si tinha 27,4 metros de comprimento, 9,1 metros de largura e 13,7 metros de altura (</w:t>
      </w:r>
      <w:hyperlink r:id="rId19907">
        <w:r>
          <w:rPr>
            <w:color w:val="0000EE"/>
            <w:u w:val="single"/>
          </w:rPr>
          <w:t>1Rs 6.2</w:t>
        </w:r>
      </w:hyperlink>
      <w:r>
        <w:t>), com um pórtico ou vestíbulo de 4,6 metros de profundidade que se estendia por toda a largura. Provavelmente, o vestíbulo estava na extremidade leste do templo, correspondendo assim à orientação do templo de Ezequiel (</w:t>
      </w:r>
      <w:hyperlink r:id="rId19908">
        <w:r>
          <w:rPr>
            <w:color w:val="0000EE"/>
            <w:u w:val="single"/>
          </w:rPr>
          <w:t>Ez 43.1</w:t>
        </w:r>
      </w:hyperlink>
      <w:r>
        <w:t xml:space="preserve">; </w:t>
      </w:r>
      <w:hyperlink r:id="rId19909">
        <w:r>
          <w:rPr>
            <w:color w:val="0000EE"/>
            <w:u w:val="single"/>
          </w:rPr>
          <w:t>44.1</w:t>
        </w:r>
      </w:hyperlink>
      <w:r>
        <w:t>). A maior parte do santuário principal, ao lado do pórtico, formava o Lugar Santo, que tinha 18,3 metros de comprimento (</w:t>
      </w:r>
      <w:hyperlink r:id="rId19910">
        <w:r>
          <w:rPr>
            <w:color w:val="0000EE"/>
            <w:u w:val="single"/>
          </w:rPr>
          <w:t>1Rs 6.17</w:t>
        </w:r>
      </w:hyperlink>
      <w:r>
        <w:t>). Além disso, havia o santuário mais interno, o Santo dos Santos (ou o “Lugar Santíssimo“), que era um cubo perfeito de 9,1 metros. Todas as paredes internas eram revestidas com cedro decorado com padrões de flores, querubins e palmeiras, de modo que nenhuma alvenaria era visível. As paredes dos santuários interno e externo eram “revestidas” (</w:t>
      </w:r>
      <w:hyperlink r:id="rId2599">
        <w:r>
          <w:rPr>
            <w:color w:val="0000EE"/>
            <w:u w:val="single"/>
          </w:rPr>
          <w:t>v.22</w:t>
        </w:r>
      </w:hyperlink>
      <w:r>
        <w:t>) com ouro puro. Na verdade, a decoração em ouro pode ter sido embutida, com base no fato de que uma cobertura sólida de ouro estragaria a beleza natural da escultura em madeira. O piso era feito de tábuas de cipreste (</w:t>
      </w:r>
      <w:hyperlink r:id="rId19911">
        <w:r>
          <w:rPr>
            <w:color w:val="0000EE"/>
            <w:u w:val="single"/>
          </w:rPr>
          <w:t>v.15</w:t>
        </w:r>
      </w:hyperlink>
      <w:r>
        <w:t>). Janelas estreitas, colocadas no alto das paredes acima do nível das câmaras externas de três andares, forneciam luz no Lugar Santo (</w:t>
      </w:r>
      <w:hyperlink r:id="rId19912">
        <w:r>
          <w:rPr>
            <w:color w:val="0000EE"/>
            <w:u w:val="single"/>
          </w:rPr>
          <w:t>v.4</w:t>
        </w:r>
      </w:hyperlink>
      <w:r>
        <w:t>). O teto era revestido com vigas e tábuas de cedro. Nenhum detalhe é dado sobre a cobertura externa, mas provavelmente a técnica contemporânea foi empregada, usando uma estrutura de madeira em forma de treliça na qual um reboco impermeável de calcário era compactado e rolado.</w:t>
      </w:r>
    </w:p>
    <w:p>
      <w:r/>
      <w:r>
        <w:t>A varanda externa parecia ser um espaço aberto, já que não são mencionadas portas. O acesso ao Lugar Santo era feito por portas duplas, ambas articuladas para se dobrarem sobre si mesmas, feitas de cipreste e decoradas exatamente da mesma forma que as paredes internas (vv.</w:t>
      </w:r>
      <w:hyperlink r:id="rId19913">
        <w:r>
          <w:rPr>
            <w:color w:val="0000EE"/>
            <w:u w:val="single"/>
          </w:rPr>
          <w:t>34–35</w:t>
        </w:r>
      </w:hyperlink>
      <w:r>
        <w:t>). Os batentes das portas eram feitos de madeira de oliveira. Dentro do Lugar Santo estava o altar de incenso feito de cedro revestido de ouro; estava colocado centralmente diante do Santo dos Santos. Também no Lugar Santo havia uma mesa para o pão da Presença de Deus, dez candelabros dispostos em dois grupos de cinco de cada lado, e vários utensílios necessários para a manutenção dos deveres sacerdotais (</w:t>
      </w:r>
      <w:hyperlink r:id="rId19914">
        <w:r>
          <w:rPr>
            <w:color w:val="0000EE"/>
            <w:u w:val="single"/>
          </w:rPr>
          <w:t>1Rs 7.48–50</w:t>
        </w:r>
      </w:hyperlink>
      <w:r>
        <w:t>). Todos estes eram feitos ou revestidos de ouro. As dez mesas, dispostas cinco de cada lado, eram provavelmente para os utensílios e acessórios (</w:t>
      </w:r>
      <w:hyperlink r:id="rId19915">
        <w:r>
          <w:rPr>
            <w:color w:val="0000EE"/>
            <w:u w:val="single"/>
          </w:rPr>
          <w:t>2Cr 4.8</w:t>
        </w:r>
      </w:hyperlink>
      <w:r>
        <w:t>).</w:t>
      </w:r>
    </w:p>
    <w:p>
      <w:r/>
      <w:r>
        <w:t>Entre o Lugar Santo e o Santo dos Santos havia uma porta dupla feita de madeira de oliveira, esculpida com querubins, palmeiras e padrões de flores, revestida com ouro. Dentro dessas portas, protegendo ainda mais o Santo dos Santos, havia uma cortina azul, púrpura e carmesim, feita dos tecidos mais finos e ornamentada com querubins (</w:t>
      </w:r>
      <w:hyperlink r:id="rId5532">
        <w:r>
          <w:rPr>
            <w:color w:val="0000EE"/>
            <w:u w:val="single"/>
          </w:rPr>
          <w:t>2Cr 3.14</w:t>
        </w:r>
      </w:hyperlink>
      <w:r>
        <w:t>).</w:t>
      </w:r>
    </w:p>
    <w:p>
      <w:r/>
      <w:r>
        <w:t>No Santo dos Santos, havia dois querubins, cada um com 4,6 metros de altura, feitos de madeira de oliveira coberta com ouro (</w:t>
      </w:r>
      <w:hyperlink r:id="rId19916">
        <w:r>
          <w:rPr>
            <w:color w:val="0000EE"/>
            <w:u w:val="single"/>
          </w:rPr>
          <w:t>1Rs 6.23–28</w:t>
        </w:r>
      </w:hyperlink>
      <w:r>
        <w:t>). Cada asa media 2,3 metros. Uma asa de cada querubim tocava as paredes laterais; as outras asas se encontravam no centro da sala. O trono divino era consideravelmente menos impressionante no tabernáculo, onde uma asa de cada querubim se fundia no propiciatório acima da arca (</w:t>
      </w:r>
      <w:hyperlink r:id="rId2762">
        <w:r>
          <w:rPr>
            <w:color w:val="0000EE"/>
            <w:u w:val="single"/>
          </w:rPr>
          <w:t>Êx 25.17–22</w:t>
        </w:r>
      </w:hyperlink>
      <w:r>
        <w:t>). No templo de Salomão, a Arca da Aliança foi colocada abaixo dos querubins voltados para frente, os protetores simbólicos. A arca, o único item principal que sobreviveu do tabernáculo mosaico, ainda continha as tábuas da lei, mas o pote de maná e a vara de Arão estavam ausentes (</w:t>
      </w:r>
      <w:hyperlink r:id="rId19617">
        <w:r>
          <w:rPr>
            <w:color w:val="0000EE"/>
            <w:u w:val="single"/>
          </w:rPr>
          <w:t>1Rs 8.9</w:t>
        </w:r>
      </w:hyperlink>
      <w:r>
        <w:t>).</w:t>
      </w:r>
    </w:p>
    <w:p>
      <w:r/>
      <w:r>
        <w:t>Imediatamente fora do templo e de cada lado do vestíbulo, havia dois pilares ocos de bronze (</w:t>
      </w:r>
      <w:hyperlink r:id="rId19917">
        <w:r>
          <w:rPr>
            <w:color w:val="0000EE"/>
            <w:u w:val="single"/>
          </w:rPr>
          <w:t>1Rs 7.15–20</w:t>
        </w:r>
      </w:hyperlink>
      <w:r>
        <w:t xml:space="preserve">; </w:t>
      </w:r>
      <w:hyperlink r:id="rId19918">
        <w:r>
          <w:rPr>
            <w:color w:val="0000EE"/>
            <w:u w:val="single"/>
          </w:rPr>
          <w:t>2 Cr 3.15–17</w:t>
        </w:r>
      </w:hyperlink>
      <w:r>
        <w:t>). De acordo com o livro dos Reis, esses pilares tinham 8,2 metros de altura, com uma circunferência de 5,5 metros. O metal em si tinha cerca de 10,2 centímetros de espessura. Os pilares eram encimados por capitéis de bronze em forma de lírio, com 2,3 metros de altura e 1,8 metros de largura, adornados intrinsecamente com uma treliça de correntes que sustentava duas fileiras de romãs. O peso total deve ter sido enorme, e seu tamanho é atestado por Jeremias, que observa que os babilônios tiveram que quebrá-los em pedaços antes de transportá-los para Babilônia (</w:t>
      </w:r>
      <w:hyperlink r:id="rId19919">
        <w:r>
          <w:rPr>
            <w:color w:val="0000EE"/>
            <w:u w:val="single"/>
          </w:rPr>
          <w:t>Jr 52.17,21–23</w:t>
        </w:r>
      </w:hyperlink>
      <w:r>
        <w:t>).</w:t>
      </w:r>
    </w:p>
    <w:p>
      <w:r/>
      <w:r>
        <w:t xml:space="preserve">O altar de bronze de sacrifício em frente ao vestíbulo não está listado nas especificações de </w:t>
      </w:r>
      <w:hyperlink r:id="rId17329">
        <w:r>
          <w:rPr>
            <w:color w:val="0000EE"/>
            <w:u w:val="single"/>
          </w:rPr>
          <w:t>1Rs 7</w:t>
        </w:r>
      </w:hyperlink>
      <w:r>
        <w:t>. No entanto, é mencionado na dedicação do templo e posteriormente (</w:t>
      </w:r>
      <w:hyperlink r:id="rId19920">
        <w:r>
          <w:rPr>
            <w:color w:val="0000EE"/>
            <w:u w:val="single"/>
          </w:rPr>
          <w:t>1Rs 8.22,54,64</w:t>
        </w:r>
      </w:hyperlink>
      <w:r>
        <w:t xml:space="preserve">; </w:t>
      </w:r>
      <w:hyperlink r:id="rId19921">
        <w:r>
          <w:rPr>
            <w:color w:val="0000EE"/>
            <w:u w:val="single"/>
          </w:rPr>
          <w:t>9.25</w:t>
        </w:r>
      </w:hyperlink>
      <w:r>
        <w:t>) e claramente estava no pátio interno. Suas dimensões eram de 9,1 metros de lado e 4,6 metros de altura (</w:t>
      </w:r>
      <w:hyperlink r:id="rId19826">
        <w:r>
          <w:rPr>
            <w:color w:val="0000EE"/>
            <w:u w:val="single"/>
          </w:rPr>
          <w:t>2 Cr 4.1</w:t>
        </w:r>
      </w:hyperlink>
      <w:r>
        <w:t>). Em vista de seu peso, provavelmente foi fundido em seções na fundição de Salomão no Vale do Jordão (vv.</w:t>
      </w:r>
      <w:hyperlink r:id="rId19922">
        <w:r>
          <w:rPr>
            <w:color w:val="0000EE"/>
            <w:u w:val="single"/>
          </w:rPr>
          <w:t>17–18</w:t>
        </w:r>
      </w:hyperlink>
      <w:r>
        <w:t>) e depois transportado para o local do templo para montagem.</w:t>
      </w:r>
    </w:p>
    <w:p>
      <w:r/>
      <w:r>
        <w:t>Provavelmente, o artigo mais impressionante no pátio interno era o “mar de bronze”, um enorme tanque redondo feito de bronze com 8 centímetros de espessura, 2,3 metros de altura e 4,6 metros de diâmetro (</w:t>
      </w:r>
      <w:hyperlink r:id="rId17025">
        <w:r>
          <w:rPr>
            <w:color w:val="0000EE"/>
            <w:u w:val="single"/>
          </w:rPr>
          <w:t>1Rs 7.23–26</w:t>
        </w:r>
      </w:hyperlink>
      <w:r>
        <w:t>). Sua borda se abria como um lírio (</w:t>
      </w:r>
      <w:hyperlink r:id="rId19923">
        <w:r>
          <w:rPr>
            <w:color w:val="0000EE"/>
            <w:u w:val="single"/>
          </w:rPr>
          <w:t>2 Cr 4.2–5</w:t>
        </w:r>
      </w:hyperlink>
      <w:r>
        <w:t>). O tanque era sustentado por 12 bois de bronze, quatro de cada lado, e tinha duas fileiras de decoração, possivelmente cabaças ou romãs, sob a borda. Sua capacidade era entre 37.850 e 45.420 litros. O mar de bronze era usado para abluções sacerdotais (v.</w:t>
      </w:r>
      <w:hyperlink r:id="rId17040">
        <w:r>
          <w:rPr>
            <w:color w:val="0000EE"/>
            <w:u w:val="single"/>
          </w:rPr>
          <w:t>6</w:t>
        </w:r>
      </w:hyperlink>
      <w:r>
        <w:t>). Presumivelmente, isso envolvia uma plataforma de algum tipo, pois a borda deste vasto reservatório estaria cerca de 4,6 metros acima do nível do solo.</w:t>
      </w:r>
    </w:p>
    <w:p>
      <w:r/>
      <w:r>
        <w:t>Hirão também construiu dez grandes lavatórios, montados em suportes móveis e colocados em dois grupos de cinco, nos lados norte e sul do pátio interno (</w:t>
      </w:r>
      <w:hyperlink r:id="rId19924">
        <w:r>
          <w:rPr>
            <w:color w:val="0000EE"/>
            <w:u w:val="single"/>
          </w:rPr>
          <w:t>1Rs 7.27–39</w:t>
        </w:r>
      </w:hyperlink>
      <w:r>
        <w:t>). Basicamente, os suportes eram caixas de bronze, com 1,8 metros de lado e 1,4 metros de altura, com uma borda de 22,9 centímetros ao redor da borda superior. Cada canto estava ligado a postes reforçados aos quais os eixos estavam fixados. As rodas de quatro raios tinham 68,6 centímetros de altura. Em cada suporte havia um lavatório contendo aproximadamente 832,7 litros de água, usado para lavar animais sacrificiais (</w:t>
      </w:r>
      <w:hyperlink r:id="rId17040">
        <w:r>
          <w:rPr>
            <w:color w:val="0000EE"/>
            <w:u w:val="single"/>
          </w:rPr>
          <w:t>2 Cr 4.6</w:t>
        </w:r>
      </w:hyperlink>
      <w:r>
        <w:t>). Provavelmente, cada um estava adjacente a uma das dez mesas que seriam usadas para esfolar e preparar os sacrifícios de outras formas (v.</w:t>
      </w:r>
      <w:hyperlink r:id="rId19915">
        <w:r>
          <w:rPr>
            <w:color w:val="0000EE"/>
            <w:u w:val="single"/>
          </w:rPr>
          <w:t>8</w:t>
        </w:r>
      </w:hyperlink>
      <w:r>
        <w:t>). Itens suplementares, como potes, pás e bacias, todos feitos de bronze, também foram fabricados (</w:t>
      </w:r>
      <w:hyperlink r:id="rId19925">
        <w:r>
          <w:rPr>
            <w:color w:val="0000EE"/>
            <w:u w:val="single"/>
          </w:rPr>
          <w:t>1Rs 7.40,45</w:t>
        </w:r>
      </w:hyperlink>
      <w:r>
        <w:t>).</w:t>
      </w:r>
    </w:p>
    <w:p>
      <w:pPr>
        <w:pStyle w:val="Heading4"/>
      </w:pPr>
      <w:r>
        <w:t>A Dedicação</w:t>
      </w:r>
    </w:p>
    <w:p>
      <w:r/>
      <w:r>
        <w:t>Onze meses se passaram entre a conclusão do templo e sua dedicação (</w:t>
      </w:r>
      <w:hyperlink r:id="rId4068">
        <w:r>
          <w:rPr>
            <w:color w:val="0000EE"/>
            <w:u w:val="single"/>
          </w:rPr>
          <w:t>1Rs 6.38</w:t>
        </w:r>
      </w:hyperlink>
      <w:r>
        <w:t xml:space="preserve">; </w:t>
      </w:r>
      <w:hyperlink r:id="rId4067">
        <w:r>
          <w:rPr>
            <w:color w:val="0000EE"/>
            <w:u w:val="single"/>
          </w:rPr>
          <w:t>8.2</w:t>
        </w:r>
      </w:hyperlink>
      <w:r>
        <w:t>), período durante o qual os principais itens de mobília foram colocados no lugar. A própria dedicação ocorreu no sétimo mês, provavelmente em conexão com a Festa dos Tabernáculos e o Dia da Expiação (</w:t>
      </w:r>
      <w:hyperlink r:id="rId19926">
        <w:r>
          <w:rPr>
            <w:color w:val="0000EE"/>
            <w:u w:val="single"/>
          </w:rPr>
          <w:t>Lv 23.23–36</w:t>
        </w:r>
      </w:hyperlink>
      <w:r>
        <w:t>). A Arca da Aliança foi levada ao seu local de descanso final (</w:t>
      </w:r>
      <w:hyperlink r:id="rId19927">
        <w:r>
          <w:rPr>
            <w:color w:val="0000EE"/>
            <w:u w:val="single"/>
          </w:rPr>
          <w:t>1Rs 8.3–4</w:t>
        </w:r>
      </w:hyperlink>
      <w:r>
        <w:t>), mas o pátio interno se mostrou inadequado para o grande número de animais sacrificados (</w:t>
      </w:r>
      <w:hyperlink r:id="rId19928">
        <w:r>
          <w:rPr>
            <w:color w:val="0000EE"/>
            <w:u w:val="single"/>
          </w:rPr>
          <w:t>1Rs 8.62–64</w:t>
        </w:r>
      </w:hyperlink>
      <w:r>
        <w:t xml:space="preserve">; </w:t>
      </w:r>
      <w:hyperlink r:id="rId19929">
        <w:r>
          <w:rPr>
            <w:color w:val="0000EE"/>
            <w:u w:val="single"/>
          </w:rPr>
          <w:t>2Cr 7.7</w:t>
        </w:r>
      </w:hyperlink>
      <w:r>
        <w:t>).</w:t>
      </w:r>
    </w:p>
    <w:p>
      <w:r/>
      <w:r>
        <w:t>O templo utilizou as técnicas de construção mais sofisticadas da época, e nenhuma despesa foi poupada na construção, ornamentação ou equipamento. No entanto, Salomão prontamente confessou sua total inadequação para abrigar o Deus eterno (</w:t>
      </w:r>
      <w:hyperlink r:id="rId4761">
        <w:r>
          <w:rPr>
            <w:color w:val="0000EE"/>
            <w:u w:val="single"/>
          </w:rPr>
          <w:t>1Rs 8.27</w:t>
        </w:r>
      </w:hyperlink>
      <w:r>
        <w:t>). Sua oração também destacou a propensão de Israel a abandonar o Senhor, contrastando a nação com Deus, que, embora seja um juiz justo, também é misericordioso e fiel. O clímax dos acontecimentos ocorreu quando fogo do céu consumiu os sacrifícios e a glória shekinah encheu o templo (</w:t>
      </w:r>
      <w:hyperlink r:id="rId10028">
        <w:r>
          <w:rPr>
            <w:color w:val="0000EE"/>
            <w:u w:val="single"/>
          </w:rPr>
          <w:t>2 Cr 7.1–3</w:t>
        </w:r>
      </w:hyperlink>
      <w:r>
        <w:t>).</w:t>
      </w:r>
    </w:p>
    <w:p>
      <w:pPr>
        <w:pStyle w:val="Heading4"/>
      </w:pPr>
      <w:r>
        <w:t>História posterior</w:t>
      </w:r>
    </w:p>
    <w:p>
      <w:r/>
      <w:r>
        <w:t>Como a maioria dos santuários antigos, o templo tornou-se uma tesouraria para a riqueza nacional e, como tal, foi frequentemente alvo de ataques. Sisaque do Egito saqueou-o dentro de cinco anos após a morte de Salomão (</w:t>
      </w:r>
      <w:hyperlink r:id="rId19930">
        <w:r>
          <w:rPr>
            <w:color w:val="0000EE"/>
            <w:u w:val="single"/>
          </w:rPr>
          <w:t>1Rs 14.25–38</w:t>
        </w:r>
      </w:hyperlink>
      <w:r>
        <w:t>). Pouco depois, o Rei Asa (910–869 a.C.) esgotou seus tesouros de ouro e prata para comprar ajuda síria contra seu opressor, Baasa (908–886 a.C.), rei de Israel (</w:t>
      </w:r>
      <w:hyperlink r:id="rId19931">
        <w:r>
          <w:rPr>
            <w:color w:val="0000EE"/>
            <w:u w:val="single"/>
          </w:rPr>
          <w:t>15.16–19</w:t>
        </w:r>
      </w:hyperlink>
      <w:r>
        <w:t>). Joás, o rei de Judá (835–796 a.C.), que foi escondido no templo da cruel Atalia durante sua juventude (</w:t>
      </w:r>
      <w:hyperlink r:id="rId18399">
        <w:r>
          <w:rPr>
            <w:color w:val="0000EE"/>
            <w:u w:val="single"/>
          </w:rPr>
          <w:t>2Rs 11</w:t>
        </w:r>
      </w:hyperlink>
      <w:r>
        <w:t>), providenciou sua reparação após protestar contra o desvio de presentes pelos sacerdotes (</w:t>
      </w:r>
      <w:hyperlink r:id="rId19932">
        <w:r>
          <w:rPr>
            <w:color w:val="0000EE"/>
            <w:u w:val="single"/>
          </w:rPr>
          <w:t>12.4–16</w:t>
        </w:r>
      </w:hyperlink>
      <w:r>
        <w:t>). Mas após a morte de Joiada, o sumo sacerdote, o próprio Joás foi negativamente influenciado por seus nobres (</w:t>
      </w:r>
      <w:hyperlink r:id="rId19933">
        <w:r>
          <w:rPr>
            <w:color w:val="0000EE"/>
            <w:u w:val="single"/>
          </w:rPr>
          <w:t>2 Cr 24.15–19</w:t>
        </w:r>
      </w:hyperlink>
      <w:r>
        <w:t>). Como punição por sua apostasia, o Senhor permitiu que os sírios atacassem, e Joás usou os tesouros do templo para suborná-los (</w:t>
      </w:r>
      <w:hyperlink r:id="rId6501">
        <w:r>
          <w:rPr>
            <w:color w:val="0000EE"/>
            <w:u w:val="single"/>
          </w:rPr>
          <w:t>2Rs 12.17–18</w:t>
        </w:r>
      </w:hyperlink>
      <w:r>
        <w:t>). Mal havia sido feita provisão para substituições, quando Joás de Israel (798–782 a.C.), tendo destruído o orgulho arrogante de Amazias de Judá (796–767 a.C.), novamente saqueou o templo (</w:t>
      </w:r>
      <w:hyperlink r:id="rId11628">
        <w:r>
          <w:rPr>
            <w:color w:val="0000EE"/>
            <w:u w:val="single"/>
          </w:rPr>
          <w:t>14.8–14</w:t>
        </w:r>
      </w:hyperlink>
      <w:r>
        <w:t>). Mais tarde, o Rei Acaz (735–715 a.C.) usou os recursos restantes do templo para obter apoio dos assírios (</w:t>
      </w:r>
      <w:hyperlink r:id="rId771">
        <w:r>
          <w:rPr>
            <w:color w:val="0000EE"/>
            <w:u w:val="single"/>
          </w:rPr>
          <w:t>16.7–9</w:t>
        </w:r>
      </w:hyperlink>
      <w:r>
        <w:t>), embora eventualmente tenha se tornado completamente submisso a eles.</w:t>
      </w:r>
    </w:p>
    <w:p>
      <w:r/>
      <w:r>
        <w:t>Então Ezequias (715–686 a.C.), um dos grandes reis reformadores, renovou completamente o templo e restaurou o culto após ele ter caído em desuso durante os anos finais de Acaz (</w:t>
      </w:r>
      <w:hyperlink r:id="rId19934">
        <w:r>
          <w:rPr>
            <w:color w:val="0000EE"/>
            <w:u w:val="single"/>
          </w:rPr>
          <w:t>2Cr 29.1–19</w:t>
        </w:r>
      </w:hyperlink>
      <w:r>
        <w:t xml:space="preserve">; </w:t>
      </w:r>
      <w:hyperlink r:id="rId19935">
        <w:r>
          <w:rPr>
            <w:color w:val="0000EE"/>
            <w:u w:val="single"/>
          </w:rPr>
          <w:t>31.9–21</w:t>
        </w:r>
      </w:hyperlink>
      <w:r>
        <w:t>). Manassés (696–642 a.C.), no entanto, reverteu completamente a política de seu pai, trazendo as práticas de adoração dos cananeus e mesopotâmicos para o templo (</w:t>
      </w:r>
      <w:hyperlink r:id="rId19936">
        <w:r>
          <w:rPr>
            <w:color w:val="0000EE"/>
            <w:u w:val="single"/>
          </w:rPr>
          <w:t>2Rs 21.3–7</w:t>
        </w:r>
      </w:hyperlink>
      <w:r>
        <w:t>). Sua experiência de conversão, que provavelmente ocorreu no final de seu reinado e resultou em certas medidas de reforma no templo (</w:t>
      </w:r>
      <w:hyperlink r:id="rId19937">
        <w:r>
          <w:rPr>
            <w:color w:val="0000EE"/>
            <w:u w:val="single"/>
          </w:rPr>
          <w:t>2Cr 33.12–19</w:t>
        </w:r>
      </w:hyperlink>
      <w:r>
        <w:t>), não foi suficientemente abrangente para escapar do julgamento final de que seu reinado foi o ponto escuro da história de Judá (</w:t>
      </w:r>
      <w:hyperlink r:id="rId19938">
        <w:r>
          <w:rPr>
            <w:color w:val="0000EE"/>
            <w:u w:val="single"/>
          </w:rPr>
          <w:t>2Rs 21.10–16</w:t>
        </w:r>
      </w:hyperlink>
      <w:r>
        <w:t>).</w:t>
      </w:r>
    </w:p>
    <w:p>
      <w:r/>
      <w:r>
        <w:t>O neto de Manassés, Josias (640–609 a.C.), foi o segundo grande rei reformador. Ele organizou o reparo do templo em 622 a.C., durante o qual o Livro da Lei perdido (quase certamente o livro de Deuteronômio) foi descoberto (</w:t>
      </w:r>
      <w:hyperlink r:id="rId19939">
        <w:r>
          <w:rPr>
            <w:color w:val="0000EE"/>
            <w:u w:val="single"/>
          </w:rPr>
          <w:t>2Rs 22.3–13</w:t>
        </w:r>
      </w:hyperlink>
      <w:r>
        <w:t>). Como resultado, a reforma de Josias ganhou uma nova dimensão e senso de urgência (</w:t>
      </w:r>
      <w:hyperlink r:id="rId19940">
        <w:r>
          <w:rPr>
            <w:color w:val="0000EE"/>
            <w:u w:val="single"/>
          </w:rPr>
          <w:t>22.14–23.3</w:t>
        </w:r>
      </w:hyperlink>
      <w:r>
        <w:t>). A reforma incluiu uma purgação completa de todos os elementos idólatras do templo (</w:t>
      </w:r>
      <w:hyperlink r:id="rId19941">
        <w:r>
          <w:rPr>
            <w:color w:val="0000EE"/>
            <w:u w:val="single"/>
          </w:rPr>
          <w:t>23.4–12</w:t>
        </w:r>
      </w:hyperlink>
      <w:r>
        <w:t>) e a restauração das festividades tradicionais. Infelizmente, porém, a reforma de Josias morreu com ele, e a decadência de Judá continuou sob o apóstata Jeoaquim (609–598 a.C.). Provavelmente foi durante esse tempo que Jeremias pregou seu famoso sermão do templo prevendo sua destruição (</w:t>
      </w:r>
      <w:hyperlink r:id="rId19942">
        <w:r>
          <w:rPr>
            <w:color w:val="0000EE"/>
            <w:u w:val="single"/>
          </w:rPr>
          <w:t>Jr 7.1–8.3</w:t>
        </w:r>
      </w:hyperlink>
      <w:r>
        <w:t xml:space="preserve">; </w:t>
      </w:r>
      <w:hyperlink r:id="rId19943">
        <w:r>
          <w:rPr>
            <w:color w:val="0000EE"/>
            <w:u w:val="single"/>
          </w:rPr>
          <w:t>26.1–19</w:t>
        </w:r>
      </w:hyperlink>
      <w:r>
        <w:t>), o que o afastou dos líderes religiosos. Na incursão de represália de Nabucodonosor após a rebelião de Jeoaquim em 601 a.C. (</w:t>
      </w:r>
      <w:hyperlink r:id="rId19944">
        <w:r>
          <w:rPr>
            <w:color w:val="0000EE"/>
            <w:u w:val="single"/>
          </w:rPr>
          <w:t>2Rs 24.1–4</w:t>
        </w:r>
      </w:hyperlink>
      <w:r>
        <w:t>), Jerusalém foi capturada (596 a.C.) e muitos dos tesouros do templo foram transportados para Babilônia (</w:t>
      </w:r>
      <w:hyperlink r:id="rId19945">
        <w:r>
          <w:rPr>
            <w:color w:val="0000EE"/>
            <w:u w:val="single"/>
          </w:rPr>
          <w:t>2 Cr 36.7</w:t>
        </w:r>
      </w:hyperlink>
      <w:r>
        <w:t>). O próprio templo parece ter escapado de danos, mas quando Judá novamente se rebelou sob Zedequias (597–586 a.C.), o templo foi demolido (</w:t>
      </w:r>
      <w:hyperlink r:id="rId19946">
        <w:r>
          <w:rPr>
            <w:color w:val="0000EE"/>
            <w:u w:val="single"/>
          </w:rPr>
          <w:t>2Rs 25.8–10</w:t>
        </w:r>
      </w:hyperlink>
      <w:r>
        <w:t>). Os tesouros restantes do templo foram levados embora.</w:t>
      </w:r>
    </w:p>
    <w:p>
      <w:pPr>
        <w:pStyle w:val="Heading3"/>
      </w:pPr>
      <w:r>
        <w:t>Templo de Zorobabel</w:t>
      </w:r>
    </w:p>
    <w:p>
      <w:pPr>
        <w:pStyle w:val="Heading4"/>
      </w:pPr>
      <w:r>
        <w:t>Construção</w:t>
      </w:r>
    </w:p>
    <w:p>
      <w:r/>
      <w:r>
        <w:t>Embora o templo tenha sido devastado, o local ainda permaneceu como um lugar de peregrinação durante o exílio (</w:t>
      </w:r>
      <w:hyperlink r:id="rId19947">
        <w:r>
          <w:rPr>
            <w:color w:val="0000EE"/>
            <w:u w:val="single"/>
          </w:rPr>
          <w:t>Jr 41.4–5</w:t>
        </w:r>
      </w:hyperlink>
      <w:r>
        <w:t>). Em 538 a.C., o rei persa, Ciro, em cumprimento de uma política liberal diametralmente oposta à dos impérios anteriores, permitiu que os judeus retornassem do exílio. Ele autorizou a reconstrução do templo, financiando-a a partir da Tesouraria Persa.</w:t>
      </w:r>
    </w:p>
    <w:p>
      <w:r/>
      <w:r>
        <w:t>No livro de Esdras, o decreto de autorização foi preservado em duas formas: a proclamação geral (</w:t>
      </w:r>
      <w:hyperlink r:id="rId11051">
        <w:r>
          <w:rPr>
            <w:color w:val="0000EE"/>
            <w:u w:val="single"/>
          </w:rPr>
          <w:t>Ed 1.2–4</w:t>
        </w:r>
      </w:hyperlink>
      <w:r>
        <w:t>) e um memorando mais prosaico nos arquivos nacionais, indicando as principais especificações do templo e a quantidade de ajuda persa prometida (</w:t>
      </w:r>
      <w:hyperlink r:id="rId19948">
        <w:r>
          <w:rPr>
            <w:color w:val="0000EE"/>
            <w:u w:val="single"/>
          </w:rPr>
          <w:t>6.1–5</w:t>
        </w:r>
      </w:hyperlink>
      <w:r>
        <w:t>). Provavelmente, apenas uma minoria dos judeus optou por deixar os confortos relativos da Mesopotâmia pelos perigos de uma longa jornada para sua pátria desolada. De acordo com o livro de Esdras, 42.360 indivíduos dedicados e seus servos (</w:t>
      </w:r>
      <w:hyperlink r:id="rId11440">
        <w:r>
          <w:rPr>
            <w:color w:val="0000EE"/>
            <w:u w:val="single"/>
          </w:rPr>
          <w:t>2.64–65</w:t>
        </w:r>
      </w:hyperlink>
      <w:r>
        <w:t>) responderam sob a liderança de Sesbazar (</w:t>
      </w:r>
      <w:hyperlink r:id="rId11659">
        <w:r>
          <w:rPr>
            <w:color w:val="0000EE"/>
            <w:u w:val="single"/>
          </w:rPr>
          <w:t>1.8–11</w:t>
        </w:r>
      </w:hyperlink>
      <w:r>
        <w:t xml:space="preserve">; </w:t>
      </w:r>
      <w:hyperlink r:id="rId19949">
        <w:r>
          <w:rPr>
            <w:color w:val="0000EE"/>
            <w:u w:val="single"/>
          </w:rPr>
          <w:t>5.14–16</w:t>
        </w:r>
      </w:hyperlink>
      <w:r>
        <w:t>) e Zorobabel (</w:t>
      </w:r>
      <w:hyperlink r:id="rId11660">
        <w:r>
          <w:rPr>
            <w:color w:val="0000EE"/>
            <w:u w:val="single"/>
          </w:rPr>
          <w:t>2.2</w:t>
        </w:r>
      </w:hyperlink>
      <w:r>
        <w:t xml:space="preserve">; </w:t>
      </w:r>
      <w:hyperlink r:id="rId19950">
        <w:r>
          <w:rPr>
            <w:color w:val="0000EE"/>
            <w:u w:val="single"/>
          </w:rPr>
          <w:t>3.2,8</w:t>
        </w:r>
      </w:hyperlink>
      <w:r>
        <w:t xml:space="preserve">; </w:t>
      </w:r>
      <w:hyperlink r:id="rId19951">
        <w:r>
          <w:rPr>
            <w:color w:val="0000EE"/>
            <w:u w:val="single"/>
          </w:rPr>
          <w:t>4.2</w:t>
        </w:r>
      </w:hyperlink>
      <w:r>
        <w:t>). Com grande entusiasmo, o altar foi reconstruído no local do templo e o padrão tradicional de adoração foi restabelecido (</w:t>
      </w:r>
      <w:hyperlink r:id="rId19952">
        <w:r>
          <w:rPr>
            <w:color w:val="0000EE"/>
            <w:u w:val="single"/>
          </w:rPr>
          <w:t>3.1–6</w:t>
        </w:r>
      </w:hyperlink>
      <w:r>
        <w:t>). Utilizando a concessão da Pérsia, bem como suas próprias ofertas voluntárias (</w:t>
      </w:r>
      <w:hyperlink r:id="rId14723">
        <w:r>
          <w:rPr>
            <w:color w:val="0000EE"/>
            <w:u w:val="single"/>
          </w:rPr>
          <w:t>2.68–69</w:t>
        </w:r>
      </w:hyperlink>
      <w:r>
        <w:t xml:space="preserve">; </w:t>
      </w:r>
      <w:hyperlink r:id="rId4330">
        <w:r>
          <w:rPr>
            <w:color w:val="0000EE"/>
            <w:u w:val="single"/>
          </w:rPr>
          <w:t>3.7</w:t>
        </w:r>
      </w:hyperlink>
      <w:r>
        <w:t>), os judeus começaram a planejar o segundo templo e a lançar suas fundações (</w:t>
      </w:r>
      <w:hyperlink r:id="rId19953">
        <w:r>
          <w:rPr>
            <w:color w:val="0000EE"/>
            <w:u w:val="single"/>
          </w:rPr>
          <w:t>3.7–13</w:t>
        </w:r>
      </w:hyperlink>
      <w:r>
        <w:t>). O ímpeto inicial rapidamente morreu como resultado da oposição local (</w:t>
      </w:r>
      <w:hyperlink r:id="rId19954">
        <w:r>
          <w:rPr>
            <w:color w:val="0000EE"/>
            <w:u w:val="single"/>
          </w:rPr>
          <w:t>4.1–4,24</w:t>
        </w:r>
      </w:hyperlink>
      <w:r>
        <w:t>), preocupação egoísta e falhas nas colheitas (</w:t>
      </w:r>
      <w:hyperlink r:id="rId19955">
        <w:r>
          <w:rPr>
            <w:color w:val="0000EE"/>
            <w:u w:val="single"/>
          </w:rPr>
          <w:t>Ag 1.2–11</w:t>
        </w:r>
      </w:hyperlink>
      <w:r>
        <w:t>). Em 520 a.C. (</w:t>
      </w:r>
      <w:hyperlink r:id="rId6240">
        <w:r>
          <w:rPr>
            <w:color w:val="0000EE"/>
            <w:u w:val="single"/>
          </w:rPr>
          <w:t>Ed 4.24</w:t>
        </w:r>
      </w:hyperlink>
      <w:r>
        <w:t xml:space="preserve">; </w:t>
      </w:r>
      <w:hyperlink r:id="rId495">
        <w:r>
          <w:rPr>
            <w:color w:val="0000EE"/>
            <w:u w:val="single"/>
          </w:rPr>
          <w:t>Ag 1.1</w:t>
        </w:r>
      </w:hyperlink>
      <w:r>
        <w:t xml:space="preserve">; </w:t>
      </w:r>
      <w:hyperlink r:id="rId11442">
        <w:r>
          <w:rPr>
            <w:color w:val="0000EE"/>
            <w:u w:val="single"/>
          </w:rPr>
          <w:t>Zc 1.1</w:t>
        </w:r>
      </w:hyperlink>
      <w:r>
        <w:t>), inspirados pelos profetas Ageu e Zacarias, os judeus sob Zorobabel e Josué, o sumo sacerdote, começaram a reconstruir. O trabalho continuou apesar da suspeita oficial, senão oposição direta, e o templo foi concluído e dedicado em 515 a.C. (</w:t>
      </w:r>
      <w:hyperlink r:id="rId19956">
        <w:r>
          <w:rPr>
            <w:color w:val="0000EE"/>
            <w:u w:val="single"/>
          </w:rPr>
          <w:t>Ed 5.1–6.22</w:t>
        </w:r>
      </w:hyperlink>
      <w:r>
        <w:t>).</w:t>
      </w:r>
    </w:p>
    <w:p>
      <w:r/>
      <w:r>
        <w:t>Pouco se sabe sobre as características físicas do templo de Zorobabel. A inferência de que era vastamente inferior ao templo de Salomão (</w:t>
      </w:r>
      <w:hyperlink r:id="rId531">
        <w:r>
          <w:rPr>
            <w:color w:val="0000EE"/>
            <w:u w:val="single"/>
          </w:rPr>
          <w:t>Ag 2.3</w:t>
        </w:r>
      </w:hyperlink>
      <w:r>
        <w:t xml:space="preserve">) provavelmente se refere a um estágio inicial da construção. De fato, o segundo templo permaneceu por mais de 500 anos. As dimensões anotadas em </w:t>
      </w:r>
      <w:hyperlink r:id="rId19957">
        <w:r>
          <w:rPr>
            <w:color w:val="0000EE"/>
            <w:u w:val="single"/>
          </w:rPr>
          <w:t>Esdras 6.3</w:t>
        </w:r>
      </w:hyperlink>
      <w:r>
        <w:t xml:space="preserve"> estão incompletas; o novo templo era sem dúvida do mesmo tamanho que seu predecessor e provavelmente foi construído sobre a mesma fundação. A técnica de construção parece ter seguido o método do original, com camadas de madeira fornecendo uma estrutura para seções de alvenaria (v.</w:t>
      </w:r>
      <w:hyperlink r:id="rId19958">
        <w:r>
          <w:rPr>
            <w:color w:val="0000EE"/>
            <w:u w:val="single"/>
          </w:rPr>
          <w:t>4</w:t>
        </w:r>
      </w:hyperlink>
      <w:r>
        <w:t>). Claramente, havia acomodações auxiliares, provavelmente como as salas laterais do templo de Salomão (</w:t>
      </w:r>
      <w:hyperlink r:id="rId19959">
        <w:r>
          <w:rPr>
            <w:color w:val="0000EE"/>
            <w:u w:val="single"/>
          </w:rPr>
          <w:t>Ed 8.29</w:t>
        </w:r>
      </w:hyperlink>
      <w:r>
        <w:t xml:space="preserve">; </w:t>
      </w:r>
      <w:hyperlink r:id="rId19960">
        <w:r>
          <w:rPr>
            <w:color w:val="0000EE"/>
            <w:u w:val="single"/>
          </w:rPr>
          <w:t>Ne 12.44</w:t>
        </w:r>
      </w:hyperlink>
      <w:r>
        <w:t xml:space="preserve">; </w:t>
      </w:r>
      <w:hyperlink r:id="rId19961">
        <w:r>
          <w:rPr>
            <w:color w:val="0000EE"/>
            <w:u w:val="single"/>
          </w:rPr>
          <w:t>13.4–5</w:t>
        </w:r>
      </w:hyperlink>
      <w:r>
        <w:t>). Se a ajuda persa foi fornecida como prometido (</w:t>
      </w:r>
      <w:hyperlink r:id="rId19962">
        <w:r>
          <w:rPr>
            <w:color w:val="0000EE"/>
            <w:u w:val="single"/>
          </w:rPr>
          <w:t>Ed 6.8–12</w:t>
        </w:r>
      </w:hyperlink>
      <w:r>
        <w:t>), o Segundo templo era uma estrutura mais esplêndida e substancial do que geralmente se supõe.</w:t>
      </w:r>
    </w:p>
    <w:p>
      <w:pPr>
        <w:pStyle w:val="Heading4"/>
      </w:pPr>
      <w:r>
        <w:t>História posterior</w:t>
      </w:r>
    </w:p>
    <w:p>
      <w:r/>
      <w:r>
        <w:t xml:space="preserve">Várias referências na literatura apócrifa, pseudepígrafos, escritos rabínicos e o historiador Josefo ajudam a iluminar a história do templo e fornecem mais detalhes sobre sua estrutura e móveis. Josefo, citando Hecateu de Abdera (século 4 a.C.), afirma que o templo era um grande edifício em um recinto de cerca de 152,4 metros por 45,7 metros, cercado por um muro de pedra, com um altar de pedras não lavradas do mesmo tamanho que o altar de bronze de Salomão (cf. </w:t>
      </w:r>
      <w:hyperlink r:id="rId19826">
        <w:r>
          <w:rPr>
            <w:color w:val="0000EE"/>
            <w:u w:val="single"/>
          </w:rPr>
          <w:t>2Cr 4.1</w:t>
        </w:r>
      </w:hyperlink>
      <w:r>
        <w:t>). Dentro do santuário havia um altar de incenso dourado e um candelabro, cuja chama queimava continuamente. Josefo também observa que Antíoco III (223–187 a.C.) apoiou financeiramente o templo quando os Selêucidas substituíram os Ptolomeus como mestres de Jerusalém.</w:t>
      </w:r>
    </w:p>
    <w:p>
      <w:r/>
      <w:r>
        <w:t>Ben Siraque, no início do segundo século a.C., elogiou Simão, filho de Onias, o sumo sacerdote, por seu trabalho em fortificar e reparar a área do templo. Primeiro Macabeus fornece evidências valiosas sobre o destino do templo durante a opressão sob Antíoco IV Epifânio (175–164 a.C.). Os livros dos Macabeus relatam a profanação do altar de holocaustos (</w:t>
      </w:r>
      <w:hyperlink r:id="rId997">
        <w:r>
          <w:rPr>
            <w:color w:val="0000EE"/>
            <w:u w:val="single"/>
          </w:rPr>
          <w:t>1Mc 1.54</w:t>
        </w:r>
      </w:hyperlink>
      <w:r>
        <w:t>) e o saque do candelabro de ouro, altar de incenso, mesa de oferendas, véu e outros tesouros (</w:t>
      </w:r>
      <w:hyperlink r:id="rId19963">
        <w:r>
          <w:rPr>
            <w:color w:val="0000EE"/>
            <w:u w:val="single"/>
          </w:rPr>
          <w:t>2Mc 5.15–16</w:t>
        </w:r>
      </w:hyperlink>
      <w:r>
        <w:t xml:space="preserve">; </w:t>
      </w:r>
      <w:hyperlink r:id="rId19964">
        <w:r>
          <w:rPr>
            <w:color w:val="0000EE"/>
            <w:u w:val="single"/>
          </w:rPr>
          <w:t>6.2–4</w:t>
        </w:r>
      </w:hyperlink>
      <w:r>
        <w:t>). Quando o templo foi recapturado e restaurado, os vitoriosos Macabeus substituíram os itens levados pelos Selêucidas, exceto o altar de sacrifício, que foi considerado tão poluído que foi desmontado e substituído por um novo construído de pedra não lavrada (</w:t>
      </w:r>
      <w:hyperlink r:id="rId19965">
        <w:r>
          <w:rPr>
            <w:color w:val="0000EE"/>
            <w:u w:val="single"/>
          </w:rPr>
          <w:t>1Mc 4.36–61</w:t>
        </w:r>
      </w:hyperlink>
      <w:r>
        <w:t xml:space="preserve">; </w:t>
      </w:r>
      <w:hyperlink r:id="rId19966">
        <w:r>
          <w:rPr>
            <w:color w:val="0000EE"/>
            <w:u w:val="single"/>
          </w:rPr>
          <w:t>2Mc 10.1–9</w:t>
        </w:r>
      </w:hyperlink>
      <w:r>
        <w:t>). Claramente, a área do templo foi usada como uma fortaleza, tanto em oposição à guarnição selêucida que foi mantida em Jerusalém no período macabeu quanto nos conflitos do período hasmoneu posterior. Quando Pompeu capturou Jerusalém por volta de 63 a.C., ele entrou no templo para afirmar sua autoridade, mas não levou nenhum saque, mostrando assim respeito por ele.</w:t>
      </w:r>
    </w:p>
    <w:p>
      <w:r/>
      <w:r>
        <w:t>A história do templo de Zorobabel terminou quando Herodes, tendo cuidadosamente preservado-o de qualquer dano maior ao ganhar o controle de Jerusalém com a ajuda romana em 37 a.C., começou a desmontá-lo por volta de 21 a.C. em preparação para a construção de seu próprio grande templo.</w:t>
      </w:r>
    </w:p>
    <w:p>
      <w:pPr>
        <w:pStyle w:val="Heading3"/>
      </w:pPr>
      <w:r>
        <w:t>Templo de Herodes</w:t>
      </w:r>
    </w:p>
    <w:p>
      <w:r/>
      <w:r>
        <w:t>Além de mais de 100 referências no NT, nossas principais fontes de informação sobre o templo de Herodes vêm do historiador judeu Josefo e do Middot (uma seção dos escritos rabínicos judaicos). Existem diferenças consideráveis em detalhes entre os dois, o que exclui qualquer interpretação dogmática em tentativas de reconstrução. Como Josefo foi contemporâneo do templo (ele nasceu por volta de d.C 37 e morreu no início do segundo século), ele é provavelmente mais confiável do que o Middot, que, datando de cerca de d.C 150, parece exagerar ocasionalmente. A pesquisa arqueológica tem sido útil na determinação das posições das paredes externas e dos portões.</w:t>
      </w:r>
    </w:p>
    <w:p>
      <w:r/>
      <w:r>
        <w:t>O motivo de Herodes ao construir seu templo era mais político do que religioso. Como idumeu, ele desejava apaziguar seus súditos judeus construindo um santuário tão magnífico quanto o de Salomão. Possíveis temores de que o local pudesse ser profanado, ou de que o templo existente pudesse ser demolido e nunca reconstruído, foram dissipados pelo treinamento de 1.000 sacerdotes como pedreiros e pelo acúmulo de materiais antes do início das obras. O templo de Herodes seguiu o plano tripartido de seus predecessores, embora seu pórtico fosse muito maior. Foi construído no estilo arquitetônico greco-romano contemporâneo e, portanto, deve ser considerado distinto do templo de Zorobabel. As obras começaram em 20 a.C., e enquanto o santuário principal foi rapidamente erguido (estava em pleno funcionamento dentro de dez anos), o projeto total só foi concluído em 64 d.C., apenas seis anos antes de ser destruído pelos romanos.</w:t>
      </w:r>
    </w:p>
    <w:p>
      <w:r/>
      <w:r>
        <w:t>Herodes primeiro preparou o local limpando e nivelando uma área de aproximadamente 457,2 metros de norte a sul e cerca de 297,2 metros de leste a oeste. Isso envolveu cortar seções de rocha em algumas áreas e construir com entulho em outras. Consideráveis seções da parede de fechamento, construída com blocos de pedra com média de cerca de 4,6 metros de comprimento por 1,2 metros de altura, ainda sobrevivem. Algumas das pedras nos cantos da parede sul pesam até 70 toneladas.</w:t>
      </w:r>
    </w:p>
    <w:p>
      <w:r/>
      <w:r>
        <w:t>O santuário em si parece ter sido baseado nas mesmas dimensões do templo de Salomão. Foi dividido no Lugar Santo, que tinha 18,3 metros de comprimento, 9,1 metros de largura e 18,3m de altura, e no Santo dos Santos, que era um quadrado de 9,1 de lado. Não havia móveis dentro do Santo dos Santos, que era separado por um véu do Lugar Santo. O Lugar Santo continha o candelabro de sete braços, a mesa para o pão da Presença e o altar de incenso. A principal diferença em relação ao templo de Salomão era o imponente pórtico, com 45,7 metros de largura e altura. Do lado de fora havia uma porta de aproximadamente 9,1 metros de largura por 12,2 metros de altura, com uma porta interna de cerca de metade desse tamanho levando ao santuário. Ao permitir salas vazias sobre o Santo dos Santos e o Lugar Santo, havia uma altura de telhado uniforme de 45,7 metros. Espigas dourados no telhado desencorajavam os pássaros de pousarem e profanarem a estrutura. Como seus predecessores, o templo estava orientado para o leste e era cercado nos outros lados por três andares de salas que se elevavam a uma altura de 18,3 metros. A pedra usada era a pedra branca local, cortada em blocos enormes e altamente polida.</w:t>
      </w:r>
    </w:p>
    <w:p>
      <w:r/>
      <w:r>
        <w:t>O acesso ao pórtico era por uma escadaria de 12 degraus a partir do Pátio dos Sacerdotes. Centralmente posicionado diante do pórtico e a 10,1 metros de distância estava o altar do sacrifício. Feito de pedra não lavrada, era uma construção de vários níveis com 4,6 metros de altura e cerca de 14,6 metros quadrados na base. Os israelitas do sexo masculino podiam entrar nesta área uma vez por ano, durante a Festa dos Tabernáculos, para caminhar ao redor do altar do sacrifício. Caso contrário, eles eram restritos ao Pátio de Israel. A leste do Pátio de Israel, e separado dele por uma escadaria de 15 degraus e pelo ornamentado Grande Portão, feito de bronze coríntio, estava o Pátio das Mulheres. Aqui estavam localizados os cofres de ofertas para as despesas do templo (</w:t>
      </w:r>
      <w:hyperlink r:id="rId19967">
        <w:r>
          <w:rPr>
            <w:color w:val="0000EE"/>
            <w:u w:val="single"/>
          </w:rPr>
          <w:t>Mc 12.41–44</w:t>
        </w:r>
      </w:hyperlink>
      <w:r>
        <w:t>). O próximo pátio era o grande, inferior e externo Pátio dos Gentios, que cercava os pátios internos e era separado deles por um balaústre e uma série de avisos de advertência. Dois destes foram escavados, escritos em latim e grego, proibindo a entrada de gentios nas áreas internas, sob pena de morte. Este pátio externo era amplamente utilizado. Imediatamente dentro de suas paredes havia um pórtico, sustentado por quatro fileiras de colunas com quase 12,2 metros de altura no lado sul (o Pórtico Real), e duas fileiras nos outros lados, o pórtico oriental conhecido como "Pórtico de Salomão" ou "Colunata de Salomão". Aqui é a área onde as barracas dos cambistas e comerciantes eram montadas, onde o Sinédrio se reunia, e onde Cristo e os escribas ensinavam e debatiam (</w:t>
      </w:r>
      <w:hyperlink r:id="rId19968">
        <w:r>
          <w:rPr>
            <w:color w:val="0000EE"/>
            <w:u w:val="single"/>
          </w:rPr>
          <w:t>Mc 11.27</w:t>
        </w:r>
      </w:hyperlink>
      <w:r>
        <w:t xml:space="preserve">; </w:t>
      </w:r>
      <w:hyperlink r:id="rId8207">
        <w:r>
          <w:rPr>
            <w:color w:val="0000EE"/>
            <w:u w:val="single"/>
          </w:rPr>
          <w:t>Lc 2.46</w:t>
        </w:r>
      </w:hyperlink>
      <w:r>
        <w:t xml:space="preserve">; </w:t>
      </w:r>
      <w:hyperlink r:id="rId11776">
        <w:r>
          <w:rPr>
            <w:color w:val="0000EE"/>
            <w:u w:val="single"/>
          </w:rPr>
          <w:t>19.47</w:t>
        </w:r>
      </w:hyperlink>
      <w:r>
        <w:t xml:space="preserve">; </w:t>
      </w:r>
      <w:hyperlink r:id="rId971">
        <w:r>
          <w:rPr>
            <w:color w:val="0000EE"/>
            <w:u w:val="single"/>
          </w:rPr>
          <w:t>Jó 10.23</w:t>
        </w:r>
      </w:hyperlink>
      <w:r>
        <w:t>). Aqui também a igreja primitiva se reunia antes de ser rejeitada por um judaísmo hostil (</w:t>
      </w:r>
      <w:hyperlink r:id="rId972">
        <w:r>
          <w:rPr>
            <w:color w:val="0000EE"/>
            <w:u w:val="single"/>
          </w:rPr>
          <w:t>At 3.11</w:t>
        </w:r>
      </w:hyperlink>
      <w:r>
        <w:t xml:space="preserve">; </w:t>
      </w:r>
      <w:hyperlink r:id="rId973">
        <w:r>
          <w:rPr>
            <w:color w:val="0000EE"/>
            <w:u w:val="single"/>
          </w:rPr>
          <w:t>5.12</w:t>
        </w:r>
      </w:hyperlink>
      <w:r>
        <w:t>). Logo a noroeste do recinto do templo estava a Fortaleza de Antônia, onde o governador romano residia enquanto em Jerusalém, e onde uma guarnição romana estava presente para lidar com distúrbios (</w:t>
      </w:r>
      <w:hyperlink r:id="rId19969">
        <w:r>
          <w:rPr>
            <w:color w:val="0000EE"/>
            <w:u w:val="single"/>
          </w:rPr>
          <w:t>At 21.31–40</w:t>
        </w:r>
      </w:hyperlink>
      <w:r>
        <w:t>). Com vista para a área do templo, era separada dela por um amplo fosso. As vestes do sumo sacerdote eram armazenadas na fortaleza como um símbolo da autoridade romana. O acesso ao Pátio dos Gentios era por quatro portões na parede oeste; dois na parede sul, onde o terreno caía abruptamente no vale, um local frequentemente identificado como o pináculo do templo (</w:t>
      </w:r>
      <w:hyperlink r:id="rId19970">
        <w:r>
          <w:rPr>
            <w:color w:val="0000EE"/>
            <w:u w:val="single"/>
          </w:rPr>
          <w:t>Mt 4.5</w:t>
        </w:r>
      </w:hyperlink>
      <w:r>
        <w:t xml:space="preserve">; </w:t>
      </w:r>
      <w:hyperlink r:id="rId19971">
        <w:r>
          <w:rPr>
            <w:color w:val="0000EE"/>
            <w:u w:val="single"/>
          </w:rPr>
          <w:t>Lc 4.9</w:t>
        </w:r>
      </w:hyperlink>
      <w:r>
        <w:t>); e um portão em cada uma das paredes leste e norte.</w:t>
      </w:r>
    </w:p>
    <w:p>
      <w:pPr>
        <w:pStyle w:val="Heading3"/>
      </w:pPr>
      <w:r>
        <w:t>O significado do Templo no Antigo Testamento</w:t>
      </w:r>
    </w:p>
    <w:p>
      <w:r/>
      <w:r>
        <w:t>O templo em Jerusalém funcionava como o ponto focal da confederação tribal. Apesar da tentativa de Jeroboão I, o primeiro rei do reino do norte, de desviar a atenção de Jerusalém estabelecendo santuários em Betel e Dã (</w:t>
      </w:r>
      <w:hyperlink r:id="rId19972">
        <w:r>
          <w:rPr>
            <w:color w:val="0000EE"/>
            <w:u w:val="single"/>
          </w:rPr>
          <w:t>1Rs 12.26–30</w:t>
        </w:r>
      </w:hyperlink>
      <w:r>
        <w:t>), Jerusalém nunca perdeu sua preeminência. Naturalmente, tanto Ezequias quanto Josias procuraram estender suas reformas para a área das tribos do norte (</w:t>
      </w:r>
      <w:hyperlink r:id="rId19973">
        <w:r>
          <w:rPr>
            <w:color w:val="0000EE"/>
            <w:u w:val="single"/>
          </w:rPr>
          <w:t>2Cr 30.1–12</w:t>
        </w:r>
      </w:hyperlink>
      <w:r>
        <w:t xml:space="preserve">; </w:t>
      </w:r>
      <w:hyperlink r:id="rId13731">
        <w:r>
          <w:rPr>
            <w:color w:val="0000EE"/>
            <w:u w:val="single"/>
          </w:rPr>
          <w:t>34.6–7</w:t>
        </w:r>
      </w:hyperlink>
      <w:r>
        <w:t>), e Jerusalém era um centro de peregrinação para essas áreas mesmo após sua destruição (</w:t>
      </w:r>
      <w:hyperlink r:id="rId3931">
        <w:r>
          <w:rPr>
            <w:color w:val="0000EE"/>
            <w:u w:val="single"/>
          </w:rPr>
          <w:t>Jr 41.5</w:t>
        </w:r>
      </w:hyperlink>
      <w:r>
        <w:t>). Os profetas previram seu destino como o ponto focal da adoração universal (</w:t>
      </w:r>
      <w:hyperlink r:id="rId6613">
        <w:r>
          <w:rPr>
            <w:color w:val="0000EE"/>
            <w:u w:val="single"/>
          </w:rPr>
          <w:t>Is 2.1–4</w:t>
        </w:r>
      </w:hyperlink>
      <w:r>
        <w:t>).</w:t>
      </w:r>
    </w:p>
    <w:p>
      <w:r/>
      <w:r>
        <w:t>O templo era o local de habitação de Deus entre seu povo. A presença de Deus, simbolizada pela glória shekinah e pela coluna de nuvem, estava associada à tenda do encontro (</w:t>
      </w:r>
      <w:hyperlink r:id="rId19974">
        <w:r>
          <w:rPr>
            <w:color w:val="0000EE"/>
            <w:u w:val="single"/>
          </w:rPr>
          <w:t>Êx 33.9–11</w:t>
        </w:r>
      </w:hyperlink>
      <w:r>
        <w:t>), com o tabernáculo (</w:t>
      </w:r>
      <w:hyperlink r:id="rId10024">
        <w:r>
          <w:rPr>
            <w:color w:val="0000EE"/>
            <w:u w:val="single"/>
          </w:rPr>
          <w:t>40.34–38</w:t>
        </w:r>
      </w:hyperlink>
      <w:r>
        <w:t>) e, finalmente, com o templo (</w:t>
      </w:r>
      <w:hyperlink r:id="rId8911">
        <w:r>
          <w:rPr>
            <w:color w:val="0000EE"/>
            <w:u w:val="single"/>
          </w:rPr>
          <w:t>1Rs 8.10–11</w:t>
        </w:r>
      </w:hyperlink>
      <w:r>
        <w:t>). O paradoxo é que, enquanto Deus é completamente irrestrito, o templo era considerado um lugar para Deus habitar para sempre (vv.</w:t>
      </w:r>
      <w:hyperlink r:id="rId19975">
        <w:r>
          <w:rPr>
            <w:color w:val="0000EE"/>
            <w:u w:val="single"/>
          </w:rPr>
          <w:t>13,27</w:t>
        </w:r>
      </w:hyperlink>
      <w:r>
        <w:t>). Deus havia escolhido Sião, assim como havia escolhido Davi (</w:t>
      </w:r>
      <w:hyperlink r:id="rId19976">
        <w:r>
          <w:rPr>
            <w:color w:val="0000EE"/>
            <w:u w:val="single"/>
          </w:rPr>
          <w:t>Sl 68.15–18</w:t>
        </w:r>
      </w:hyperlink>
      <w:r>
        <w:t xml:space="preserve">; </w:t>
      </w:r>
      <w:hyperlink r:id="rId14189">
        <w:r>
          <w:rPr>
            <w:color w:val="0000EE"/>
            <w:u w:val="single"/>
          </w:rPr>
          <w:t>76.2</w:t>
        </w:r>
      </w:hyperlink>
      <w:r>
        <w:t xml:space="preserve">; </w:t>
      </w:r>
      <w:hyperlink r:id="rId19884">
        <w:r>
          <w:rPr>
            <w:color w:val="0000EE"/>
            <w:u w:val="single"/>
          </w:rPr>
          <w:t>78.67–72</w:t>
        </w:r>
      </w:hyperlink>
      <w:r>
        <w:t>), então o templo era considerado a casa de Deus (</w:t>
      </w:r>
      <w:hyperlink r:id="rId3374">
        <w:r>
          <w:rPr>
            <w:color w:val="0000EE"/>
            <w:u w:val="single"/>
          </w:rPr>
          <w:t>27.4</w:t>
        </w:r>
      </w:hyperlink>
      <w:r>
        <w:t xml:space="preserve">; </w:t>
      </w:r>
      <w:hyperlink r:id="rId10169">
        <w:r>
          <w:rPr>
            <w:color w:val="0000EE"/>
            <w:u w:val="single"/>
          </w:rPr>
          <w:t>42.4</w:t>
        </w:r>
      </w:hyperlink>
      <w:r>
        <w:t xml:space="preserve">; </w:t>
      </w:r>
      <w:hyperlink r:id="rId19977">
        <w:r>
          <w:rPr>
            <w:color w:val="0000EE"/>
            <w:u w:val="single"/>
          </w:rPr>
          <w:t>84.1–4</w:t>
        </w:r>
      </w:hyperlink>
      <w:r>
        <w:t>).</w:t>
      </w:r>
    </w:p>
    <w:p>
      <w:pPr>
        <w:pStyle w:val="Heading4"/>
      </w:pPr>
      <w:r>
        <w:t>O Templo de Ezequiel</w:t>
      </w:r>
    </w:p>
    <w:p>
      <w:r/>
      <w:r>
        <w:t>A descrição detalhada de Ezequiel sobre o templo ideal (</w:t>
      </w:r>
      <w:hyperlink r:id="rId2164">
        <w:r>
          <w:rPr>
            <w:color w:val="0000EE"/>
            <w:u w:val="single"/>
          </w:rPr>
          <w:t>Ez 40–48</w:t>
        </w:r>
      </w:hyperlink>
      <w:r>
        <w:t>) não foi usada como modelo para o templo de Zorobabel. Na verdade, como Ezequiel deve ter conhecido o templo de Salomão antes de sua deportação em 597 a.C., sua descrição é de grande ajuda para determinar detalhes incertos do primeiro templo. A preocupação de Ezequiel era mostrar a natureza da adoração pura, protegida de toda contaminação. Essa adoração permitiria que a glória de Deus, que havia se afastado do templo corrompido de Salomão (</w:t>
      </w:r>
      <w:hyperlink r:id="rId19978">
        <w:r>
          <w:rPr>
            <w:color w:val="0000EE"/>
            <w:u w:val="single"/>
          </w:rPr>
          <w:t>9.3</w:t>
        </w:r>
      </w:hyperlink>
      <w:r>
        <w:t xml:space="preserve">; </w:t>
      </w:r>
      <w:hyperlink r:id="rId19979">
        <w:r>
          <w:rPr>
            <w:color w:val="0000EE"/>
            <w:u w:val="single"/>
          </w:rPr>
          <w:t>10.4,18–19</w:t>
        </w:r>
      </w:hyperlink>
      <w:r>
        <w:t xml:space="preserve">; </w:t>
      </w:r>
      <w:hyperlink r:id="rId19980">
        <w:r>
          <w:rPr>
            <w:color w:val="0000EE"/>
            <w:u w:val="single"/>
          </w:rPr>
          <w:t>11.22–23</w:t>
        </w:r>
      </w:hyperlink>
      <w:r>
        <w:t>), retornasse para que Jerusalém pudesse novamente ser chamada de “o Senhor está lá” (</w:t>
      </w:r>
      <w:hyperlink r:id="rId19981">
        <w:r>
          <w:rPr>
            <w:color w:val="0000EE"/>
            <w:u w:val="single"/>
          </w:rPr>
          <w:t>43.1–5</w:t>
        </w:r>
      </w:hyperlink>
      <w:r>
        <w:t xml:space="preserve">; </w:t>
      </w:r>
      <w:hyperlink r:id="rId9083">
        <w:r>
          <w:rPr>
            <w:color w:val="0000EE"/>
            <w:u w:val="single"/>
          </w:rPr>
          <w:t>48.35</w:t>
        </w:r>
      </w:hyperlink>
      <w:r>
        <w:t>). Este pensamento, ligado ao conceito vital de Ezequiel sobre o Espírito de Deus habitando em seus adoradores fiéis (</w:t>
      </w:r>
      <w:hyperlink r:id="rId19982">
        <w:r>
          <w:rPr>
            <w:color w:val="0000EE"/>
            <w:u w:val="single"/>
          </w:rPr>
          <w:t>36.24–28</w:t>
        </w:r>
      </w:hyperlink>
      <w:r>
        <w:t>), antecipou o ensino do NT de que os crentes se tornariam o templo de Deus.</w:t>
      </w:r>
    </w:p>
    <w:p>
      <w:pPr>
        <w:pStyle w:val="Heading3"/>
      </w:pPr>
      <w:r>
        <w:t>O Significado do Templo no Novo Testamento</w:t>
      </w:r>
    </w:p>
    <w:p>
      <w:pPr>
        <w:pStyle w:val="Heading4"/>
      </w:pPr>
      <w:r>
        <w:t>Cristo e o Templo</w:t>
      </w:r>
    </w:p>
    <w:p>
      <w:r/>
      <w:r>
        <w:t>Cristo demonstrou um respeito considerável pelo templo. Quando tinha 12 anos, ele participou das discussões rabínicas em seus pórticos e o descreveu como a casa de seu Pai (</w:t>
      </w:r>
      <w:hyperlink r:id="rId11698">
        <w:r>
          <w:rPr>
            <w:color w:val="0000EE"/>
            <w:u w:val="single"/>
          </w:rPr>
          <w:t>Lc 2.41–50</w:t>
        </w:r>
      </w:hyperlink>
      <w:r>
        <w:t>). Para ele, “a casa de Deus” era habitada por Deus (</w:t>
      </w:r>
      <w:hyperlink r:id="rId4503">
        <w:r>
          <w:rPr>
            <w:color w:val="0000EE"/>
            <w:u w:val="single"/>
          </w:rPr>
          <w:t>Mt 12.4</w:t>
        </w:r>
      </w:hyperlink>
      <w:r>
        <w:t xml:space="preserve">; </w:t>
      </w:r>
      <w:hyperlink r:id="rId19983">
        <w:r>
          <w:rPr>
            <w:color w:val="0000EE"/>
            <w:u w:val="single"/>
          </w:rPr>
          <w:t>23.21</w:t>
        </w:r>
      </w:hyperlink>
      <w:r>
        <w:t>). Embora ele a tenha purificado duas vezes em justa ira (</w:t>
      </w:r>
      <w:hyperlink r:id="rId4137">
        <w:r>
          <w:rPr>
            <w:color w:val="0000EE"/>
            <w:u w:val="single"/>
          </w:rPr>
          <w:t>Mt 21.12–13</w:t>
        </w:r>
      </w:hyperlink>
      <w:r>
        <w:t xml:space="preserve">; </w:t>
      </w:r>
      <w:hyperlink r:id="rId11709">
        <w:r>
          <w:rPr>
            <w:color w:val="0000EE"/>
            <w:u w:val="single"/>
          </w:rPr>
          <w:t>Jó 2.13–16</w:t>
        </w:r>
      </w:hyperlink>
      <w:r>
        <w:t>), ele chorou pela iminente destruição da cidade e do templo (</w:t>
      </w:r>
      <w:hyperlink r:id="rId15820">
        <w:r>
          <w:rPr>
            <w:color w:val="0000EE"/>
            <w:u w:val="single"/>
          </w:rPr>
          <w:t>Lc 19.41–44</w:t>
        </w:r>
      </w:hyperlink>
      <w:r>
        <w:t>). Ele frequentemente ensinava lá, mas era “maior que o templo” (</w:t>
      </w:r>
      <w:hyperlink r:id="rId406">
        <w:r>
          <w:rPr>
            <w:color w:val="0000EE"/>
            <w:u w:val="single"/>
          </w:rPr>
          <w:t>Mt 12.6</w:t>
        </w:r>
      </w:hyperlink>
      <w:r>
        <w:t>). Quando sua apresentação a Jerusalém como o Messias predito foi rejeitada, apesar dos milagres que a acompanhavam, ele previu sua inevitável destruição (</w:t>
      </w:r>
      <w:hyperlink r:id="rId19984">
        <w:r>
          <w:rPr>
            <w:color w:val="0000EE"/>
            <w:u w:val="single"/>
          </w:rPr>
          <w:t>Mt 21.9–15</w:t>
        </w:r>
      </w:hyperlink>
      <w:r>
        <w:t xml:space="preserve">; </w:t>
      </w:r>
      <w:hyperlink r:id="rId17491">
        <w:r>
          <w:rPr>
            <w:color w:val="0000EE"/>
            <w:u w:val="single"/>
          </w:rPr>
          <w:t>24.1–2</w:t>
        </w:r>
      </w:hyperlink>
      <w:r>
        <w:t>). Por um breve período após o Pentecostes, a igreja primitiva usou o templo como seu local de reunião, até que a crescente oposição expulsou os crentes de Jerusalém (</w:t>
      </w:r>
      <w:hyperlink r:id="rId19985">
        <w:r>
          <w:rPr>
            <w:color w:val="0000EE"/>
            <w:u w:val="single"/>
          </w:rPr>
          <w:t>At 5.12,21,42</w:t>
        </w:r>
      </w:hyperlink>
      <w:r>
        <w:t xml:space="preserve">; </w:t>
      </w:r>
      <w:hyperlink r:id="rId10880">
        <w:r>
          <w:rPr>
            <w:color w:val="0000EE"/>
            <w:u w:val="single"/>
          </w:rPr>
          <w:t>8.1</w:t>
        </w:r>
      </w:hyperlink>
      <w:r>
        <w:t>).</w:t>
      </w:r>
    </w:p>
    <w:p>
      <w:pPr>
        <w:pStyle w:val="Heading4"/>
      </w:pPr>
      <w:r>
        <w:t>A Igreja como Templo</w:t>
      </w:r>
    </w:p>
    <w:p>
      <w:r/>
      <w:r>
        <w:t>Os escritores do NT usaram duas palavras gregas diferentes para descrever o templo: naos e hieron</w:t>
      </w:r>
      <w:r>
        <w:rPr>
          <w:i/>
        </w:rPr>
        <w:t>.</w:t>
      </w:r>
      <w:r>
        <w:t xml:space="preserve"> Naos refere-se ao santuário real do templo, o lugar da habitação de Deus. Hieron refere-se aos recintos do templo, bem como ao santuário. De modo geral, naos era usado para designar a seção interna do templo conhecida como o Lugar Santo e o Santo dos Santos, enquanto hieron incluía o pátio externo e o templo propriamente dito.</w:t>
      </w:r>
    </w:p>
    <w:p>
      <w:r/>
      <w:r>
        <w:t>Nas epístolas de Paulo, a palavra naos aparece seis vezes (</w:t>
      </w:r>
      <w:hyperlink r:id="rId6020">
        <w:r>
          <w:rPr>
            <w:color w:val="0000EE"/>
            <w:u w:val="single"/>
          </w:rPr>
          <w:t>1Co 3.16–17</w:t>
        </w:r>
      </w:hyperlink>
      <w:r>
        <w:t xml:space="preserve">; </w:t>
      </w:r>
      <w:hyperlink r:id="rId4305">
        <w:r>
          <w:rPr>
            <w:color w:val="0000EE"/>
            <w:u w:val="single"/>
          </w:rPr>
          <w:t>6.19</w:t>
        </w:r>
      </w:hyperlink>
      <w:r>
        <w:t xml:space="preserve">; </w:t>
      </w:r>
      <w:hyperlink r:id="rId17485">
        <w:r>
          <w:rPr>
            <w:color w:val="0000EE"/>
            <w:u w:val="single"/>
          </w:rPr>
          <w:t>2Co 6.16</w:t>
        </w:r>
      </w:hyperlink>
      <w:r>
        <w:t xml:space="preserve">; </w:t>
      </w:r>
      <w:hyperlink r:id="rId19986">
        <w:r>
          <w:rPr>
            <w:color w:val="0000EE"/>
            <w:u w:val="single"/>
          </w:rPr>
          <w:t>Ef 2.21</w:t>
        </w:r>
      </w:hyperlink>
      <w:r>
        <w:t xml:space="preserve">; </w:t>
      </w:r>
      <w:hyperlink r:id="rId19987">
        <w:r>
          <w:rPr>
            <w:color w:val="0000EE"/>
            <w:u w:val="single"/>
          </w:rPr>
          <w:t>2Ts 2.4</w:t>
        </w:r>
      </w:hyperlink>
      <w:r>
        <w:t>) e hieron uma vez (</w:t>
      </w:r>
      <w:hyperlink r:id="rId1002">
        <w:r>
          <w:rPr>
            <w:color w:val="0000EE"/>
            <w:u w:val="single"/>
          </w:rPr>
          <w:t>1Co 9.13</w:t>
        </w:r>
      </w:hyperlink>
      <w:r>
        <w:t>). Nesses versículos, Paulo mantém a distinção de definição mencionada acima. Ao falar do templo físico real, ele usou a palavra hieron para indicar o lugar onde os sacerdotes ofereciam sacrifícios de animais no altar (</w:t>
      </w:r>
      <w:hyperlink r:id="rId1002">
        <w:r>
          <w:rPr>
            <w:color w:val="0000EE"/>
            <w:u w:val="single"/>
          </w:rPr>
          <w:t>1Co 9.13</w:t>
        </w:r>
      </w:hyperlink>
      <w:r>
        <w:t xml:space="preserve">), que estava situado no pátio externo (veja </w:t>
      </w:r>
      <w:hyperlink r:id="rId19988">
        <w:r>
          <w:rPr>
            <w:color w:val="0000EE"/>
            <w:u w:val="single"/>
          </w:rPr>
          <w:t>Êx 27–29</w:t>
        </w:r>
      </w:hyperlink>
      <w:r>
        <w:t xml:space="preserve">, </w:t>
      </w:r>
      <w:hyperlink r:id="rId19989">
        <w:r>
          <w:rPr>
            <w:color w:val="0000EE"/>
            <w:u w:val="single"/>
          </w:rPr>
          <w:t>40</w:t>
        </w:r>
      </w:hyperlink>
      <w:r>
        <w:t>). E quando Paulo se referiu ao ato abominável do iníquo em usurpar o lugar de Deus no templo, ele usou a palavra naos — a palavra que designa o lugar da presença da divindade (</w:t>
      </w:r>
      <w:hyperlink r:id="rId19987">
        <w:r>
          <w:rPr>
            <w:color w:val="0000EE"/>
            <w:u w:val="single"/>
          </w:rPr>
          <w:t>2Ts 2.4</w:t>
        </w:r>
      </w:hyperlink>
      <w:r>
        <w:t>).</w:t>
      </w:r>
    </w:p>
    <w:p>
      <w:r/>
      <w:r>
        <w:t>Em todas as outras passagens paulinas, "naos" é usado metaforicamente para representar uma habitação humana para o Espírito divino. Em uma instância, a imagem do santuário é usada para descrever o corpo do crente individual (</w:t>
      </w:r>
      <w:hyperlink r:id="rId4305">
        <w:r>
          <w:rPr>
            <w:color w:val="0000EE"/>
            <w:u w:val="single"/>
          </w:rPr>
          <w:t>1Co 6.19</w:t>
        </w:r>
      </w:hyperlink>
      <w:r>
        <w:t>); em todas as outras instâncias, o santuário representa o corpo de Cristo, a igreja (</w:t>
      </w:r>
      <w:hyperlink r:id="rId6020">
        <w:r>
          <w:rPr>
            <w:color w:val="0000EE"/>
            <w:u w:val="single"/>
          </w:rPr>
          <w:t>1Co 3.16–17</w:t>
        </w:r>
      </w:hyperlink>
      <w:r>
        <w:t xml:space="preserve">; </w:t>
      </w:r>
      <w:hyperlink r:id="rId17485">
        <w:r>
          <w:rPr>
            <w:color w:val="0000EE"/>
            <w:u w:val="single"/>
          </w:rPr>
          <w:t>2Co 6.16</w:t>
        </w:r>
      </w:hyperlink>
      <w:r>
        <w:t xml:space="preserve">; </w:t>
      </w:r>
      <w:hyperlink r:id="rId19986">
        <w:r>
          <w:rPr>
            <w:color w:val="0000EE"/>
            <w:u w:val="single"/>
          </w:rPr>
          <w:t>Ef 2.21</w:t>
        </w:r>
      </w:hyperlink>
      <w:r>
        <w:t xml:space="preserve">). Erroneamente, muitos leitores pensam que </w:t>
      </w:r>
      <w:hyperlink r:id="rId6020">
        <w:r>
          <w:rPr>
            <w:color w:val="0000EE"/>
            <w:u w:val="single"/>
          </w:rPr>
          <w:t>1 Coríntios 3.16–17</w:t>
        </w:r>
      </w:hyperlink>
      <w:r>
        <w:t xml:space="preserve"> fala do indivíduo, mas de acordo com o texto grego, é inquestionavelmente claro que Paulo estava falando sobre a igreja coletiva (especificamente, a igreja em Corinto).</w:t>
      </w:r>
    </w:p>
    <w:p>
      <w:r/>
      <w:r>
        <w:t xml:space="preserve">Quando Paulo disse à igreja em Corinto que era o santuário de Deus, eles teriam entendido a imagem a partir de seu conhecimento dos templos pagãos. Mas Paulo provavelmente tinha em mente o único templo em Jerusalém. Os gentios tinham muitos deuses com muitos templos em uma cidade; os judeus tinham um Deus com apenas um templo em todo Israel. Isso ajudava a preservar a unidade entre os israelitas. Os coríntios precisavam de unidade espiritual; eles estavam fragmentados devido às suas preferências individuais (veja </w:t>
      </w:r>
      <w:hyperlink r:id="rId16501">
        <w:r>
          <w:rPr>
            <w:color w:val="0000EE"/>
            <w:u w:val="single"/>
          </w:rPr>
          <w:t>1Co 1.10–13</w:t>
        </w:r>
      </w:hyperlink>
      <w:r>
        <w:t>).</w:t>
      </w:r>
    </w:p>
    <w:p>
      <w:r/>
      <w:r>
        <w:t>Em Efésios, a obra-prima de Paulo sobre a igreja, ele descreve as igrejas locais como entidades vivas e orgânicas que estão todas (falando de forma composta) crescendo em um santuário santo no Senhor (</w:t>
      </w:r>
      <w:hyperlink r:id="rId19986">
        <w:r>
          <w:rPr>
            <w:color w:val="0000EE"/>
            <w:u w:val="single"/>
          </w:rPr>
          <w:t>Ef 2.21</w:t>
        </w:r>
      </w:hyperlink>
      <w:r>
        <w:t>). Paulo imaginou cada igreja local como proporcionando a Deus uma habitação espiritual naquela localidade (</w:t>
      </w:r>
      <w:hyperlink r:id="rId417">
        <w:r>
          <w:rPr>
            <w:color w:val="0000EE"/>
            <w:u w:val="single"/>
          </w:rPr>
          <w:t>v.22</w:t>
        </w:r>
      </w:hyperlink>
      <w:r>
        <w:t>) e crescendo junto com todas as outras igrejas em um santuário santo e universal para a habitação do Senhor.</w:t>
      </w:r>
    </w:p>
    <w:p>
      <w:pPr>
        <w:pStyle w:val="Heading4"/>
      </w:pPr>
      <w:r>
        <w:t>O Templo no Apocalipse de João</w:t>
      </w:r>
    </w:p>
    <w:p>
      <w:r/>
      <w:r>
        <w:t>No Apocalipse de João, não há um templo material, embora ele continue a usar a imagem de Jerusalém e do Monte Sião (</w:t>
      </w:r>
      <w:hyperlink r:id="rId2168">
        <w:r>
          <w:rPr>
            <w:color w:val="0000EE"/>
            <w:u w:val="single"/>
          </w:rPr>
          <w:t>Ap 3.12</w:t>
        </w:r>
      </w:hyperlink>
      <w:r>
        <w:t xml:space="preserve">; </w:t>
      </w:r>
      <w:hyperlink r:id="rId2118">
        <w:r>
          <w:rPr>
            <w:color w:val="0000EE"/>
            <w:u w:val="single"/>
          </w:rPr>
          <w:t>14.1</w:t>
        </w:r>
      </w:hyperlink>
      <w:r>
        <w:t xml:space="preserve">; </w:t>
      </w:r>
      <w:hyperlink r:id="rId19990">
        <w:r>
          <w:rPr>
            <w:color w:val="0000EE"/>
            <w:u w:val="single"/>
          </w:rPr>
          <w:t>21.2,10,22</w:t>
        </w:r>
      </w:hyperlink>
      <w:r>
        <w:t>). Três ideias inter-relacionadas predominam. Primeiro, o conceito da igreja composta por mártires, cujos membros fiéis são o templo de Deus (</w:t>
      </w:r>
      <w:hyperlink r:id="rId2168">
        <w:r>
          <w:rPr>
            <w:color w:val="0000EE"/>
            <w:u w:val="single"/>
          </w:rPr>
          <w:t>3.12</w:t>
        </w:r>
      </w:hyperlink>
      <w:r>
        <w:t xml:space="preserve">; </w:t>
      </w:r>
      <w:hyperlink r:id="rId2118">
        <w:r>
          <w:rPr>
            <w:color w:val="0000EE"/>
            <w:u w:val="single"/>
          </w:rPr>
          <w:t>14.1</w:t>
        </w:r>
      </w:hyperlink>
      <w:r>
        <w:t>). Este templo cresce gradualmente à medida que o número de mártires aumenta (</w:t>
      </w:r>
      <w:hyperlink r:id="rId19991">
        <w:r>
          <w:rPr>
            <w:color w:val="0000EE"/>
            <w:u w:val="single"/>
          </w:rPr>
          <w:t>6.11</w:t>
        </w:r>
      </w:hyperlink>
      <w:r>
        <w:t>). Outro aspecto é o templo como lugar de julgamento (</w:t>
      </w:r>
      <w:hyperlink r:id="rId19992">
        <w:r>
          <w:rPr>
            <w:color w:val="0000EE"/>
            <w:u w:val="single"/>
          </w:rPr>
          <w:t>11.19</w:t>
        </w:r>
      </w:hyperlink>
      <w:r>
        <w:t xml:space="preserve">; </w:t>
      </w:r>
      <w:hyperlink r:id="rId19993">
        <w:r>
          <w:rPr>
            <w:color w:val="0000EE"/>
            <w:u w:val="single"/>
          </w:rPr>
          <w:t>14.15</w:t>
        </w:r>
      </w:hyperlink>
      <w:r>
        <w:t xml:space="preserve">; </w:t>
      </w:r>
      <w:hyperlink r:id="rId19994">
        <w:r>
          <w:rPr>
            <w:color w:val="0000EE"/>
            <w:u w:val="single"/>
          </w:rPr>
          <w:t>15.5–16.1</w:t>
        </w:r>
      </w:hyperlink>
      <w:r>
        <w:t>). Finalmente, qualquer templo na nova era é desnecessário, “pois seu templo é o Senhor Deus Todo-poderoso e o Cordeiro” (</w:t>
      </w:r>
      <w:hyperlink r:id="rId9085">
        <w:r>
          <w:rPr>
            <w:color w:val="0000EE"/>
            <w:u w:val="single"/>
          </w:rPr>
          <w:t>21.22</w:t>
        </w:r>
      </w:hyperlink>
      <w:r>
        <w:t>). O estado final será a morada de Deus com seu povo — o templo eterno e espiritual.</w:t>
      </w:r>
    </w:p>
    <w:p>
      <w:r/>
      <w:r>
        <w:rPr>
          <w:i/>
        </w:rPr>
        <w:t>Veja também</w:t>
      </w:r>
      <w:r>
        <w:t xml:space="preserve"> </w:t>
      </w:r>
      <w:r>
        <w:t>Altar</w:t>
      </w:r>
      <w:r>
        <w:t xml:space="preserve">; </w:t>
      </w:r>
      <w:r>
        <w:t>Arca da Aliança</w:t>
      </w:r>
      <w:r>
        <w:t xml:space="preserve">; </w:t>
      </w:r>
      <w:r>
        <w:t>Pão da Presença</w:t>
      </w:r>
      <w:r>
        <w:t xml:space="preserve">; </w:t>
      </w:r>
      <w:r>
        <w:t>Davi</w:t>
      </w:r>
      <w:r>
        <w:t xml:space="preserve">; </w:t>
      </w:r>
      <w:r>
        <w:t>Festas e Festivais de Israel</w:t>
      </w:r>
      <w:r>
        <w:t xml:space="preserve">; </w:t>
      </w:r>
      <w:r>
        <w:t>Primeira Revolta Judaica</w:t>
      </w:r>
      <w:r>
        <w:t xml:space="preserve">; </w:t>
      </w:r>
      <w:r>
        <w:t>Judaísmo</w:t>
      </w:r>
      <w:r>
        <w:t xml:space="preserve">; </w:t>
      </w:r>
      <w:r>
        <w:t>Propiciatório</w:t>
      </w:r>
      <w:r>
        <w:t xml:space="preserve">; </w:t>
      </w:r>
      <w:r>
        <w:t>Ofertas e Sacrifícios</w:t>
      </w:r>
      <w:r>
        <w:t xml:space="preserve">; </w:t>
      </w:r>
      <w:r>
        <w:t>Sacerdotes e Levitas</w:t>
      </w:r>
      <w:r>
        <w:t xml:space="preserve">; </w:t>
      </w:r>
      <w:r>
        <w:t>Santuário</w:t>
      </w:r>
      <w:r>
        <w:t xml:space="preserve">; </w:t>
      </w:r>
      <w:r>
        <w:t>Cantores no Templo</w:t>
      </w:r>
      <w:r>
        <w:t xml:space="preserve">; </w:t>
      </w:r>
      <w:r>
        <w:t>Salomão (Pessoa)</w:t>
      </w:r>
      <w:r>
        <w:t>.</w:t>
      </w:r>
      <w:r/>
      <w:r/>
    </w:p>
    <w:p>
      <w:r/>
    </w:p>
    <w:p>
      <w:pPr>
        <w:pStyle w:val="Heading2"/>
      </w:pPr>
      <w:r>
        <w:t>Tenda</w:t>
      </w:r>
      <w:r/>
    </w:p>
    <w:p>
      <w:r/>
      <w:r>
        <w:t>Uma tradução da palavra hebraica sukkah e sokoh na KJV. A palavra sukkah também é traduzida como “cabana” (</w:t>
      </w:r>
      <w:hyperlink r:id="rId3878">
        <w:r>
          <w:rPr>
            <w:color w:val="0000EE"/>
            <w:u w:val="single"/>
          </w:rPr>
          <w:t>Gn 33.17</w:t>
        </w:r>
      </w:hyperlink>
      <w:r>
        <w:t>), “tabernáculo” (</w:t>
      </w:r>
      <w:hyperlink r:id="rId9279">
        <w:r>
          <w:rPr>
            <w:color w:val="0000EE"/>
            <w:u w:val="single"/>
          </w:rPr>
          <w:t>Lv 23.34</w:t>
        </w:r>
      </w:hyperlink>
      <w:r>
        <w:t>) e “tenda” (</w:t>
      </w:r>
      <w:hyperlink r:id="rId19776">
        <w:r>
          <w:rPr>
            <w:color w:val="0000EE"/>
            <w:u w:val="single"/>
          </w:rPr>
          <w:t>2Sm 11.11</w:t>
        </w:r>
      </w:hyperlink>
      <w:r>
        <w:t>). Outras traduções de sokoh são “toca” (</w:t>
      </w:r>
      <w:hyperlink r:id="rId12731">
        <w:r>
          <w:rPr>
            <w:color w:val="0000EE"/>
            <w:u w:val="single"/>
          </w:rPr>
          <w:t>Sl 10.9</w:t>
        </w:r>
      </w:hyperlink>
      <w:r>
        <w:t>), “casa” (</w:t>
      </w:r>
      <w:hyperlink r:id="rId14189">
        <w:r>
          <w:rPr>
            <w:color w:val="0000EE"/>
            <w:u w:val="single"/>
          </w:rPr>
          <w:t>76.2</w:t>
        </w:r>
      </w:hyperlink>
      <w:r>
        <w:t>) e “abrigo” (</w:t>
      </w:r>
      <w:hyperlink r:id="rId1755">
        <w:r>
          <w:rPr>
            <w:color w:val="0000EE"/>
            <w:u w:val="single"/>
          </w:rPr>
          <w:t>Jr 25.38</w:t>
        </w:r>
      </w:hyperlink>
      <w:r>
        <w:t>). As palavras sukkah e sokoh significam um abrigo ou cobertura, que pode ser na forma de uma tenda (cabana ou tabernáculo), cabana ou toca.</w:t>
      </w:r>
    </w:p>
    <w:p>
      <w:r/>
      <w:r>
        <w:t>A palavra “pavilhão” é usada para se referir às tendas do séquito real de Ben-Hadade e seus aliados, que estavam em um estupor alcoólico quando Acabe os atacou (</w:t>
      </w:r>
      <w:hyperlink r:id="rId19995">
        <w:r>
          <w:rPr>
            <w:color w:val="0000EE"/>
            <w:u w:val="single"/>
          </w:rPr>
          <w:t>1Rs 20.16</w:t>
        </w:r>
      </w:hyperlink>
      <w:r>
        <w:t>). Outra versão lê “barracas” (NTLH).</w:t>
      </w:r>
    </w:p>
    <w:p>
      <w:r/>
      <w:r>
        <w:t xml:space="preserve">O uso metafórico é encontrado no livro dos Salmos. Em </w:t>
      </w:r>
      <w:hyperlink r:id="rId19996">
        <w:r>
          <w:rPr>
            <w:color w:val="0000EE"/>
            <w:u w:val="single"/>
          </w:rPr>
          <w:t>Salmos 27.5</w:t>
        </w:r>
      </w:hyperlink>
      <w:r>
        <w:t xml:space="preserve"> e </w:t>
      </w:r>
      <w:hyperlink r:id="rId19997">
        <w:r>
          <w:rPr>
            <w:color w:val="0000EE"/>
            <w:u w:val="single"/>
          </w:rPr>
          <w:t>31.20</w:t>
        </w:r>
      </w:hyperlink>
      <w:r>
        <w:t>, o salmista fala da proteção especial do Senhor como um lugar onde se pode encontrar refúgio dos malfeitores. A palavra também pode se referir às nuvens que, na linguagem pictórica do salmista, cobrem a presença do Senhor: “Ele se cobriu de escuridão; nuvens grossas, cheias de água, estavam ao seu redor” (</w:t>
      </w:r>
      <w:hyperlink r:id="rId8276">
        <w:r>
          <w:rPr>
            <w:color w:val="0000EE"/>
            <w:u w:val="single"/>
          </w:rPr>
          <w:t>Sl 18.11</w:t>
        </w:r>
      </w:hyperlink>
      <w:r>
        <w:t>, NTLH).</w:t>
      </w:r>
      <w:r/>
      <w:r/>
    </w:p>
    <w:p>
      <w:r/>
    </w:p>
    <w:p>
      <w:pPr>
        <w:pStyle w:val="Heading2"/>
      </w:pPr>
      <w:r>
        <w:t>Teocracia</w:t>
      </w:r>
      <w:r/>
    </w:p>
    <w:p>
      <w:r/>
      <w:r>
        <w:t xml:space="preserve">Uma forma de governo onde Deus possui a mais alta autoridade política. Às vezes, Deus é representado por um governante humano, como um rei. Assim, </w:t>
      </w:r>
      <w:hyperlink r:id="rId11427">
        <w:r>
          <w:rPr>
            <w:color w:val="0000EE"/>
            <w:u w:val="single"/>
          </w:rPr>
          <w:t>Deuteronômio 17.14</w:t>
        </w:r>
      </w:hyperlink>
      <w:r>
        <w:t>–</w:t>
      </w:r>
      <w:hyperlink r:id="rId11427">
        <w:r>
          <w:rPr>
            <w:color w:val="0000EE"/>
            <w:u w:val="single"/>
          </w:rPr>
          <w:t>20</w:t>
        </w:r>
      </w:hyperlink>
      <w:r>
        <w:t xml:space="preserve"> argumenta que um rei humano só deve governar se for escolhido pelo Senhor.</w:t>
      </w:r>
    </w:p>
    <w:p>
      <w:pPr>
        <w:pStyle w:val="Heading3"/>
      </w:pPr>
      <w:r>
        <w:t>Desenvolvimento da Teocracia em Israel</w:t>
      </w:r>
    </w:p>
    <w:p>
      <w:r/>
      <w:r>
        <w:t xml:space="preserve">A teocracia (governo de Deus) desenvolveu-se no antigo Israel ao longo do tempo. Os israelitas no Egito acreditavam que Javé, seu Deus especial, se importava com seu sofrimento. Eles pensavam que Yavé queria libertá-los da escravidão e dos governantes terrenos, especialmente o Faraó (governante do Egito). Os israelitas acreditavam que Javé queria que eles servissem somente a Ele (veja </w:t>
      </w:r>
      <w:hyperlink r:id="rId19998">
        <w:r>
          <w:rPr>
            <w:color w:val="0000EE"/>
            <w:u w:val="single"/>
          </w:rPr>
          <w:t>Êx 3.7</w:t>
        </w:r>
      </w:hyperlink>
      <w:r>
        <w:t>–</w:t>
      </w:r>
      <w:hyperlink r:id="rId19998">
        <w:r>
          <w:rPr>
            <w:color w:val="0000EE"/>
            <w:u w:val="single"/>
          </w:rPr>
          <w:t>10</w:t>
        </w:r>
      </w:hyperlink>
      <w:r>
        <w:t xml:space="preserve">; </w:t>
      </w:r>
      <w:hyperlink r:id="rId19999">
        <w:r>
          <w:rPr>
            <w:color w:val="0000EE"/>
            <w:u w:val="single"/>
          </w:rPr>
          <w:t>8.1</w:t>
        </w:r>
      </w:hyperlink>
      <w:r>
        <w:t xml:space="preserve">; </w:t>
      </w:r>
      <w:hyperlink r:id="rId20000">
        <w:r>
          <w:rPr>
            <w:color w:val="0000EE"/>
            <w:u w:val="single"/>
          </w:rPr>
          <w:t>9.1</w:t>
        </w:r>
      </w:hyperlink>
      <w:r>
        <w:t>).</w:t>
      </w:r>
    </w:p>
    <w:p>
      <w:r/>
      <w:r>
        <w:t>É importante entender como a vida era diferente sob vários governantes. Os camponeses egípcios (agricultores pobres) enfrentavam um tratamento severo sob o Faraó. Eles lidavam com opressão, exigências de trabalho irracionais e perda de liberdade e respeito próprio. Essas condições difíceis eram experiências cotidianas para os camponeses egípcios.</w:t>
      </w:r>
    </w:p>
    <w:p>
      <w:r/>
      <w:r>
        <w:t>Em contraste, a vida sob o governo de Javé passou a significar algo muito diferente. Os israelitas começaram a associar a liderança de Javé com liberdade, justiça e igualdade. Isso representou uma mudança significativa em relação às suas experiências anteriores.</w:t>
      </w:r>
    </w:p>
    <w:p>
      <w:r/>
      <w:r>
        <w:t>Quando os israelitas chegaram a Canaã, encontraram um tipo de liderança diferente daquela que haviam visto no Egito. As jovens tribos israelitas também não gostaram desse novo sistema. Em Canaã, os reis geralmente eram proprietários das cidades-estado (pequenas áreas independentes) que governavam. Esses reis frequentemente arrendavam parte da terra para as pessoas que viviam lá.</w:t>
      </w:r>
    </w:p>
    <w:p>
      <w:r/>
      <w:r>
        <w:t>Isso era muito diferente do que Deus queria para os israelitas. Quando Josué liderou os israelitas em Canaã, o plano de Deus era que eles fossem livres. Cada tribo recebeu uma área específica de terra. Deus desejava que os israelitas vivessem nessa terra e servissem apenas a Ele, não a qualquer governante humano.</w:t>
      </w:r>
    </w:p>
    <w:p>
      <w:pPr>
        <w:pStyle w:val="Heading4"/>
      </w:pPr>
      <w:r>
        <w:t>O Período dos Juízes</w:t>
      </w:r>
    </w:p>
    <w:p>
      <w:r/>
      <w:r>
        <w:t>No período dos juízes, a ideia de teocracia era clara e constante. Os israelitas não eram um grupo unificado e não tinham um governante único. Em vez disso, Javé governava sobre eles e os unificava. É por isso que Gideão rejeitou a realeza, dizendo “O Senhor reinará sobre vós” (</w:t>
      </w:r>
      <w:hyperlink r:id="rId20001">
        <w:r>
          <w:rPr>
            <w:color w:val="0000EE"/>
            <w:u w:val="single"/>
          </w:rPr>
          <w:t>Jz 8.23</w:t>
        </w:r>
      </w:hyperlink>
      <w:r>
        <w:t>).</w:t>
      </w:r>
    </w:p>
    <w:p>
      <w:r/>
      <w:r>
        <w:t>Neste período, a liderança humana era às vezes necessária, especialmente quando as tribos estavam ameaçadas. Esses governantes, chamados juízes, eram "levantados" para proteger o povo e conduzi-lo de volta ao Senhor (</w:t>
      </w:r>
      <w:hyperlink r:id="rId20002">
        <w:r>
          <w:rPr>
            <w:color w:val="0000EE"/>
            <w:u w:val="single"/>
          </w:rPr>
          <w:t>Jz 2.16</w:t>
        </w:r>
      </w:hyperlink>
      <w:r>
        <w:t>). Os juízes não alcançavam a vitória por causa de suas próprias habilidades. Javé recebia o crédito pela vitória.</w:t>
      </w:r>
    </w:p>
    <w:p>
      <w:pPr>
        <w:pStyle w:val="Heading4"/>
      </w:pPr>
      <w:r>
        <w:t>O Período da Monarquia</w:t>
      </w:r>
    </w:p>
    <w:p>
      <w:r/>
      <w:r>
        <w:t>Samuel foi um líder importante que viveu durante um período de mudanças em Israel. Ele surgiu após os juízes e antes dos primeiros reis de Israel. Durante esse tempo, os filisteus, um grupo vizinho, tornaram-se um grande problema para os israelitas.</w:t>
      </w:r>
    </w:p>
    <w:p>
      <w:r/>
      <w:r>
        <w:t>Por cerca de 200 anos antes de Samuel, os israelitas e os filisteus viveram próximos uns dos outros sem muitos conflitos. Mas isso mudou durante o tempo de Samuel. Os filisteus começaram a atacar Israel, tentando tomar suas terras. Os israelitas viviam sob um governo teocrático. Diferentes tribos de israelitas trabalhavam juntas para se defender quando necessário. No entanto, esse sistema agora não parecia forte o suficiente para lutar contra os filisteus.</w:t>
      </w:r>
    </w:p>
    <w:p>
      <w:r/>
      <w:r>
        <w:t xml:space="preserve">Muitos israelitas importantes achavam que precisavam de uma nova maneira de se governar. Eles acreditavam que ter um rei tornaria Israel mais forte e os ajudaria a sobreviver. Eles pediram um rei para liderá-los na batalha contra seus inimigos (veja </w:t>
      </w:r>
      <w:hyperlink r:id="rId20003">
        <w:r>
          <w:rPr>
            <w:color w:val="0000EE"/>
            <w:u w:val="single"/>
          </w:rPr>
          <w:t>1Sm 8.5,19</w:t>
        </w:r>
      </w:hyperlink>
      <w:r>
        <w:t>–</w:t>
      </w:r>
      <w:hyperlink r:id="rId20003">
        <w:r>
          <w:rPr>
            <w:color w:val="0000EE"/>
            <w:u w:val="single"/>
          </w:rPr>
          <w:t>20</w:t>
        </w:r>
      </w:hyperlink>
      <w:r>
        <w:t>).</w:t>
      </w:r>
    </w:p>
    <w:p>
      <w:r/>
      <w:r>
        <w:t>A ideia de ter um rei desafiava a crença de Israel na teocracia. Muitas pessoas achavam que ter um rei era uma boa ideia. Elas acreditavam que um rei poderia ajudá-los nas batalhas e tornar a nação mais forte. No entanto, os israelitas tinham uma antiga tradição de serem governados apenas por Deus, o que tornava a decisão muito difícil. Samuel, o líder deles na época, achava que querer um rei significava rejeitar o governo de Deus. Ele alertou o povo sobre os problemas que um rei poderia trazer (</w:t>
      </w:r>
      <w:hyperlink r:id="rId20004">
        <w:r>
          <w:rPr>
            <w:color w:val="0000EE"/>
            <w:u w:val="single"/>
          </w:rPr>
          <w:t>1Sm 8.10</w:t>
        </w:r>
      </w:hyperlink>
      <w:r>
        <w:t>–</w:t>
      </w:r>
      <w:hyperlink r:id="rId20004">
        <w:r>
          <w:rPr>
            <w:color w:val="0000EE"/>
            <w:u w:val="single"/>
          </w:rPr>
          <w:t>18</w:t>
        </w:r>
      </w:hyperlink>
      <w:r>
        <w:t xml:space="preserve">; </w:t>
      </w:r>
      <w:hyperlink r:id="rId20005">
        <w:r>
          <w:rPr>
            <w:color w:val="0000EE"/>
            <w:u w:val="single"/>
          </w:rPr>
          <w:t>10.19</w:t>
        </w:r>
      </w:hyperlink>
      <w:r>
        <w:t>).</w:t>
      </w:r>
    </w:p>
    <w:p>
      <w:r/>
      <w:r>
        <w:t>No entanto, algo inesperado aconteceu. Samuel recebeu uma mensagem de Deus sobre um homem chamado Saul. Deus parecia disposto a permitir que Saul se tornasse rei. Foi dito a Samuel para ungir Saul (colocar óleo em sua cabeça para mostrar que Deus o havia escolhido) como o primeiro rei de Israel (</w:t>
      </w:r>
      <w:hyperlink r:id="rId20006">
        <w:r>
          <w:rPr>
            <w:color w:val="0000EE"/>
            <w:u w:val="single"/>
          </w:rPr>
          <w:t>1Sm 9.27–10.1</w:t>
        </w:r>
      </w:hyperlink>
      <w:r>
        <w:t>).</w:t>
      </w:r>
    </w:p>
    <w:p>
      <w:r/>
      <w:r>
        <w:t>Então, a Bíblia nos diz que "o espírito de Deus" veio sobre Saul (</w:t>
      </w:r>
      <w:hyperlink r:id="rId8357">
        <w:r>
          <w:rPr>
            <w:color w:val="0000EE"/>
            <w:u w:val="single"/>
          </w:rPr>
          <w:t>1Sm 11.6</w:t>
        </w:r>
      </w:hyperlink>
      <w:r>
        <w:t>). Isso foi semelhante a como Deus havia capacitado os juízes que lideraram Israel anteriormente. Isso mostrava que Deus estava com Saul de uma maneira especial.</w:t>
      </w:r>
    </w:p>
    <w:p>
      <w:r/>
      <w:r>
        <w:t>A posição de Saul como rei foi ainda mais fortalecida quando ele venceu uma batalha contra os amonitas. Após essa vitória, o povo aclamou Saul e o aceitou como seu rei. Essa aprovação pública foi o passo final para consolidar a reivindicação de Saul ao trono.</w:t>
      </w:r>
    </w:p>
    <w:p>
      <w:r/>
      <w:r>
        <w:t>Esses eventos mostraram que o reinado de Saul tinha tanto a bênção de Deus quanto o apoio do povo. A Bíblia nos informa que havia opiniões diferentes sobre ter um rei em Israel. Algumas pessoas desejavam um rei, enquanto outras acreditavam que isso poderia ir contra o governo de Deus. No entanto, estava claro que Deus escolheu o rei e revelou ao seu profeta quem deveria ser escolhido.</w:t>
      </w:r>
    </w:p>
    <w:p>
      <w:pPr>
        <w:pStyle w:val="Heading3"/>
      </w:pPr>
      <w:r>
        <w:t>Teocracia no futuro</w:t>
      </w:r>
    </w:p>
    <w:p>
      <w:r/>
      <w:r>
        <w:t xml:space="preserve">A Bíblia fala sobre um tempo em que o povo de Deus não precisaria de um rei humano para governá-los. </w:t>
      </w:r>
      <w:hyperlink r:id="rId2164">
        <w:r>
          <w:rPr>
            <w:color w:val="0000EE"/>
            <w:u w:val="single"/>
          </w:rPr>
          <w:t>Ezequiel 40–48</w:t>
        </w:r>
      </w:hyperlink>
      <w:r>
        <w:t xml:space="preserve"> descreve um futuro onde Deus governaria seu povo através de sacerdotes especiais chamados Zadoquitas. Essa ideia começou a tomar forma por volta de 520 a.C., com o trabalho de dois profetas chamados Ageu e Zacarias. Tornou-se muito importante para o povo judeu após o retorno do exílio na Babilônia. Essa nova forma de pensar mudou como a comunidade vivia e se comportava.</w:t>
      </w:r>
    </w:p>
    <w:p>
      <w:r/>
      <w:r>
        <w:t>Um homem chamado Esdras ajudou a tornar essa ideia do governo de Deus comum no Judaísmo. Após o tempo de Esdras, os sacerdotes desempenharam um papel importante na vida da nação. Mesmo que governantes estrangeiros como os Selêucidas ainda tivessem poder sobre o povo, os judeus aguardavam ansiosamente por um tipo diferente de rei.</w:t>
      </w:r>
    </w:p>
    <w:p>
      <w:r/>
      <w:r>
        <w:t>Eles esperavam por um líder especial chamado Messias (o escolhido de Deus). Acreditavam que o Messias seria da família do Rei Davi. Este líder traria paz e salvaria Israel, cumprindo as antigas promessas de Deus e trazendo justiça, bondade e equidade para todos.</w:t>
      </w:r>
    </w:p>
    <w:p>
      <w:r/>
      <w:r>
        <w:rPr>
          <w:i/>
        </w:rPr>
        <w:t>Veja também</w:t>
      </w:r>
      <w:r>
        <w:t xml:space="preserve"> </w:t>
      </w:r>
      <w:r>
        <w:t>Rei</w:t>
      </w:r>
      <w:r>
        <w:t>.</w:t>
      </w:r>
      <w:r/>
      <w:r/>
    </w:p>
    <w:p>
      <w:r/>
    </w:p>
    <w:p>
      <w:pPr>
        <w:pStyle w:val="Heading2"/>
      </w:pPr>
      <w:r>
        <w:t>Teófilo</w:t>
      </w:r>
      <w:r/>
    </w:p>
    <w:p>
      <w:pPr>
        <w:pStyle w:val="ListNumber"/>
        <w:spacing w:line="240" w:lineRule="auto"/>
        <w:ind w:left="720"/>
      </w:pPr>
      <w:r/>
      <w:r>
        <w:t>Uma pessoa para quem Lucas escreveu dois livros do Novo Testamento: o Evangelho de Lucas e Atos (</w:t>
      </w:r>
      <w:hyperlink r:id="rId13361">
        <w:r>
          <w:rPr>
            <w:color w:val="0000EE"/>
            <w:u w:val="single"/>
          </w:rPr>
          <w:t>Lc 1.3</w:t>
        </w:r>
      </w:hyperlink>
      <w:r>
        <w:t xml:space="preserve">; </w:t>
      </w:r>
      <w:hyperlink r:id="rId20007">
        <w:r>
          <w:rPr>
            <w:color w:val="0000EE"/>
            <w:u w:val="single"/>
          </w:rPr>
          <w:t>At 1.1</w:t>
        </w:r>
      </w:hyperlink>
      <w:r>
        <w:t>). O nome "Teófilo" significa "amante de Deus" ou "amado por Deus" em grego. Devido a esse significado, algumas pessoas acreditam que Teófilo pode não ser o nome de uma pessoa real. Elas sugerem que poderia ser um título usado para se dirigir a todos os leitores desses livros.</w:t>
      </w:r>
    </w:p>
    <w:p>
      <w:r/>
      <w:r>
        <w:t>No entanto, isso é improvável por duas razões. Primeiro, o Novo Testamento geralmente usa nomes reais em vez de títulos ao se dirigir às pessoas. Segundo, Lucas chama Teófilo de "excelentíssimo", um termo de respeito usado para importantes oficiais. Por exemplo, Paulo usou esse mesmo título ao falar com Festo, e tanto Cláudio Lísias quanto Tértulo o usaram ao se dirigir a Félix (</w:t>
      </w:r>
      <w:hyperlink r:id="rId2838">
        <w:r>
          <w:rPr>
            <w:color w:val="0000EE"/>
            <w:u w:val="single"/>
          </w:rPr>
          <w:t>At 23.26</w:t>
        </w:r>
      </w:hyperlink>
      <w:r>
        <w:t xml:space="preserve">; </w:t>
      </w:r>
      <w:hyperlink r:id="rId20008">
        <w:r>
          <w:rPr>
            <w:color w:val="0000EE"/>
            <w:u w:val="single"/>
          </w:rPr>
          <w:t>24.2–3</w:t>
        </w:r>
      </w:hyperlink>
      <w:r>
        <w:t xml:space="preserve">; </w:t>
      </w:r>
      <w:hyperlink r:id="rId2840">
        <w:r>
          <w:rPr>
            <w:color w:val="0000EE"/>
            <w:u w:val="single"/>
          </w:rPr>
          <w:t>26.25</w:t>
        </w:r>
      </w:hyperlink>
      <w:r>
        <w:t>).</w:t>
      </w:r>
    </w:p>
    <w:p>
      <w:r/>
      <w:r>
        <w:t>Embora Teófilo provavelmente fosse uma pessoa importante na sociedade, não sabemos exatamente qual era a sua posição.</w:t>
      </w:r>
    </w:p>
    <w:p>
      <w:pPr>
        <w:pStyle w:val="ListNumber"/>
        <w:spacing w:line="240" w:lineRule="auto"/>
        <w:ind w:left="720"/>
      </w:pPr>
      <w:r/>
      <w:r>
        <w:t>O sumo sacerdote judeu de 37 a 41 d.C. veio de uma importante família religiosa. Seu pai era Anás, seu irmão era Jônatas e seu cunhado era Caifás. Vitélio, que governava a área para Roma, nomeou Teófilo como sumo sacerdote após Jônatas. O rei Herodes Agripa mais tarde removeu Teófilo dessa posição.</w:t>
      </w:r>
    </w:p>
    <w:p>
      <w:r/>
      <w:r>
        <w:t>Este Teófilo foi provavelmente o sumo sacerdote que deu a Paulo permissão para prender cristãos. Embora tenha desempenhado esse papel importante, seu nome não aparece no Novo Testamento.</w:t>
      </w:r>
      <w:r/>
      <w:r/>
    </w:p>
    <w:p>
      <w:r/>
    </w:p>
    <w:p>
      <w:pPr>
        <w:pStyle w:val="Heading2"/>
      </w:pPr>
      <w:r>
        <w:t>Tera (lugar)</w:t>
      </w:r>
      <w:r/>
    </w:p>
    <w:p>
      <w:r/>
      <w:r>
        <w:t>Um dos lugares onde os israelitas pararam durante suas peregrinações no deserto. Estava localizado entre Taate e Mitcá (</w:t>
      </w:r>
      <w:hyperlink r:id="rId19853">
        <w:r>
          <w:rPr>
            <w:color w:val="0000EE"/>
            <w:u w:val="single"/>
          </w:rPr>
          <w:t>Nm 33.27,28</w:t>
        </w:r>
      </w:hyperlink>
      <w:r>
        <w:t>).</w:t>
      </w:r>
      <w:r/>
      <w:r/>
    </w:p>
    <w:p>
      <w:r/>
    </w:p>
    <w:p>
      <w:pPr>
        <w:pStyle w:val="Heading2"/>
      </w:pPr>
      <w:r>
        <w:t>Tera (Pessoa)</w:t>
      </w:r>
      <w:r/>
    </w:p>
    <w:p>
      <w:r/>
      <w:r>
        <w:t>O pai de Abrão (Abraão), Naor e Harã (</w:t>
      </w:r>
      <w:hyperlink r:id="rId185">
        <w:r>
          <w:rPr>
            <w:color w:val="0000EE"/>
            <w:u w:val="single"/>
          </w:rPr>
          <w:t>Gn 11.26</w:t>
        </w:r>
      </w:hyperlink>
      <w:r>
        <w:t xml:space="preserve">; </w:t>
      </w:r>
      <w:hyperlink r:id="rId15038">
        <w:r>
          <w:rPr>
            <w:color w:val="0000EE"/>
            <w:u w:val="single"/>
          </w:rPr>
          <w:t>1Cr 1.26</w:t>
        </w:r>
      </w:hyperlink>
      <w:r>
        <w:t xml:space="preserve">; </w:t>
      </w:r>
      <w:hyperlink r:id="rId15039">
        <w:r>
          <w:rPr>
            <w:color w:val="0000EE"/>
            <w:u w:val="single"/>
          </w:rPr>
          <w:t>Lc 3.34</w:t>
        </w:r>
      </w:hyperlink>
      <w:r>
        <w:t>).</w:t>
      </w:r>
    </w:p>
    <w:p>
      <w:r/>
      <w:r>
        <w:t>Abrão é listado primeiro entre os filhos de Tera, mas provavelmente não era o mais velho. Depois que Tera viveu 70 anos, ele gerou Abrão, Naor e Harã (</w:t>
      </w:r>
      <w:hyperlink r:id="rId185">
        <w:r>
          <w:rPr>
            <w:color w:val="0000EE"/>
            <w:u w:val="single"/>
          </w:rPr>
          <w:t>Gn 11.26</w:t>
        </w:r>
      </w:hyperlink>
      <w:r>
        <w:t>). O Novo Testamento relata que Abrão deixou Harã após a morte de seu pai quando tinha 75 anos (</w:t>
      </w:r>
      <w:hyperlink r:id="rId6209">
        <w:r>
          <w:rPr>
            <w:color w:val="0000EE"/>
            <w:u w:val="single"/>
          </w:rPr>
          <w:t>Gn 12.4</w:t>
        </w:r>
      </w:hyperlink>
      <w:r>
        <w:t xml:space="preserve">; </w:t>
      </w:r>
      <w:hyperlink r:id="rId20009">
        <w:r>
          <w:rPr>
            <w:color w:val="0000EE"/>
            <w:u w:val="single"/>
          </w:rPr>
          <w:t>At 7.4</w:t>
        </w:r>
      </w:hyperlink>
      <w:r>
        <w:t>).</w:t>
      </w:r>
    </w:p>
    <w:p>
      <w:r/>
      <w:r>
        <w:t>Tera morreu aos 205 anos (</w:t>
      </w:r>
      <w:hyperlink r:id="rId20010">
        <w:r>
          <w:rPr>
            <w:color w:val="0000EE"/>
            <w:u w:val="single"/>
          </w:rPr>
          <w:t>Gn 11.32</w:t>
        </w:r>
      </w:hyperlink>
      <w:r>
        <w:t>). Isso sugere que Tera tinha pelo menos 130 anos quando Abrão nasceu. Tera começou a viagem para Canaã, embora não tenha conseguido ir além de Harã (</w:t>
      </w:r>
      <w:hyperlink r:id="rId2364">
        <w:r>
          <w:rPr>
            <w:color w:val="0000EE"/>
            <w:u w:val="single"/>
          </w:rPr>
          <w:t>Gn 11.31–32</w:t>
        </w:r>
      </w:hyperlink>
      <w:r>
        <w:t>). Abrão foi ordenado lá a deixar sua família e seguir para Canaã (</w:t>
      </w:r>
      <w:hyperlink r:id="rId13258">
        <w:r>
          <w:rPr>
            <w:color w:val="0000EE"/>
            <w:u w:val="single"/>
          </w:rPr>
          <w:t>Gn 12.1</w:t>
        </w:r>
      </w:hyperlink>
      <w:r>
        <w:t>).</w:t>
      </w:r>
    </w:p>
    <w:p>
      <w:r/>
      <w:r>
        <w:rPr>
          <w:i/>
        </w:rPr>
        <w:t>Veja também</w:t>
      </w:r>
      <w:r>
        <w:t xml:space="preserve"> </w:t>
      </w:r>
      <w:r>
        <w:t>Abraão</w:t>
      </w:r>
      <w:r>
        <w:t>.</w:t>
      </w:r>
      <w:r/>
      <w:r/>
    </w:p>
    <w:p>
      <w:r/>
    </w:p>
    <w:p>
      <w:pPr>
        <w:pStyle w:val="Heading2"/>
      </w:pPr>
      <w:r>
        <w:t>Terafins</w:t>
      </w:r>
      <w:r/>
    </w:p>
    <w:p>
      <w:r/>
      <w:r>
        <w:t>Ídolos associados a rituais mágicos pagãos. No AT, o termo é frequentemente traduzido como "deuses domésticos", indicativo de talismãs que eram mantidos em santuários familiares (</w:t>
      </w:r>
      <w:hyperlink r:id="rId20011">
        <w:r>
          <w:rPr>
            <w:color w:val="0000EE"/>
            <w:u w:val="single"/>
          </w:rPr>
          <w:t>Gn 31.19,34</w:t>
        </w:r>
      </w:hyperlink>
      <w:r>
        <w:t>). Esses foram os ídolos que Raquel roubou de seu pai, o que ocasionou a perseguição furiosa de Labão. Muitos postularam que a raiva de Labão reflete uma tradição nuziana, onde a posse dos deuses domésticos conferia direitos de herança ao proprietário. É mais provável que Raquel tenha roubado os terafins simplesmente para garantir boa sorte e segurança.</w:t>
      </w:r>
    </w:p>
    <w:p>
      <w:r/>
      <w:r>
        <w:t>Os terafins também são mencionados em conexão com a tentativa de Miquéias de estabelecer um sacerdócio privado (</w:t>
      </w:r>
      <w:hyperlink r:id="rId7687">
        <w:r>
          <w:rPr>
            <w:color w:val="0000EE"/>
            <w:u w:val="single"/>
          </w:rPr>
          <w:t>Jz 17.5</w:t>
        </w:r>
      </w:hyperlink>
      <w:r>
        <w:t>). Quando os danitas se mudaram para Laís, roubaram os terafins e o éfode de Miquéias para uso oracular (</w:t>
      </w:r>
      <w:hyperlink r:id="rId20012">
        <w:r>
          <w:rPr>
            <w:color w:val="0000EE"/>
            <w:u w:val="single"/>
          </w:rPr>
          <w:t>18.14–20,31</w:t>
        </w:r>
      </w:hyperlink>
      <w:r>
        <w:t>). Os terafins eram tipicamente pequenos ídolos, mas ocasionalmente podiam ser em tamanho real também. Davi escapou de Saul quando Mical colocou um terafim em sua cama como um manequim (</w:t>
      </w:r>
      <w:hyperlink r:id="rId20013">
        <w:r>
          <w:rPr>
            <w:color w:val="0000EE"/>
            <w:u w:val="single"/>
          </w:rPr>
          <w:t>1Sm 19.13–16</w:t>
        </w:r>
      </w:hyperlink>
      <w:r>
        <w:t>). Durante o período do reino de Israel, os terafins continuaram a ser usados em práticas cultuais heréticas. Josias tentou livrar o país dos terafins, feiticeiros e médiuns, mas suas reformas parecem ter sido temporárias (</w:t>
      </w:r>
      <w:hyperlink r:id="rId20014">
        <w:r>
          <w:rPr>
            <w:color w:val="0000EE"/>
            <w:u w:val="single"/>
          </w:rPr>
          <w:t>2Rs 23.24</w:t>
        </w:r>
      </w:hyperlink>
      <w:r>
        <w:t>). Os profetas regularmente condenavam o uso de terafins, identificando-os com abominações pagãs (</w:t>
      </w:r>
      <w:hyperlink r:id="rId9336">
        <w:r>
          <w:rPr>
            <w:color w:val="0000EE"/>
            <w:u w:val="single"/>
          </w:rPr>
          <w:t>Ez 21.21</w:t>
        </w:r>
      </w:hyperlink>
      <w:r>
        <w:t xml:space="preserve">; </w:t>
      </w:r>
      <w:hyperlink r:id="rId7692">
        <w:r>
          <w:rPr>
            <w:color w:val="0000EE"/>
            <w:u w:val="single"/>
          </w:rPr>
          <w:t>Os 3.4</w:t>
        </w:r>
      </w:hyperlink>
      <w:r>
        <w:t xml:space="preserve">; </w:t>
      </w:r>
      <w:hyperlink r:id="rId19743">
        <w:r>
          <w:rPr>
            <w:color w:val="0000EE"/>
            <w:u w:val="single"/>
          </w:rPr>
          <w:t>Zc 10.2</w:t>
        </w:r>
      </w:hyperlink>
      <w:r>
        <w:t>).</w:t>
      </w:r>
    </w:p>
    <w:p>
      <w:r/>
      <w:r>
        <w:rPr>
          <w:i/>
        </w:rPr>
        <w:t>Veja também</w:t>
      </w:r>
      <w:r>
        <w:t xml:space="preserve"> </w:t>
      </w:r>
      <w:r>
        <w:t>Ídolos, Idolatria</w:t>
      </w:r>
      <w:r>
        <w:t>.</w:t>
      </w:r>
      <w:r/>
      <w:r/>
    </w:p>
    <w:p>
      <w:r/>
    </w:p>
    <w:p>
      <w:pPr>
        <w:pStyle w:val="Heading2"/>
      </w:pPr>
      <w:r>
        <w:t>Terra</w:t>
      </w:r>
      <w:r/>
    </w:p>
    <w:p>
      <w:r/>
      <w:r>
        <w:t>O termo para o nosso planeta habitado. É usado para distingui-lo de céu e inferno. Também pode significar terra, solo ou várias outras coisas. A Bíblia usa o termo "terra" de várias maneiras, semelhante a como o usamos hoje.</w:t>
      </w:r>
    </w:p>
    <w:p>
      <w:r/>
      <w:r>
        <w:t>Em hebraico, uma palavra traduzida como “terra” também é usada para “homem” ou “Adão” (</w:t>
      </w:r>
      <w:hyperlink r:id="rId292">
        <w:r>
          <w:rPr>
            <w:color w:val="0000EE"/>
            <w:u w:val="single"/>
          </w:rPr>
          <w:t>Gênesis 2.7,19</w:t>
        </w:r>
      </w:hyperlink>
      <w:r>
        <w:t>). Esta palavra refere-se ao solo avermelhado do qual o corpo de Adão foi feito. Outra palavra hebraica traduzida como “terra” ou “território” pode referir-se a um país (</w:t>
      </w:r>
      <w:hyperlink r:id="rId20015">
        <w:r>
          <w:rPr>
            <w:color w:val="0000EE"/>
            <w:u w:val="single"/>
          </w:rPr>
          <w:t>Gênesis 21.21</w:t>
        </w:r>
      </w:hyperlink>
      <w:r>
        <w:t>). Uma palavra traduzida como “pó” pode simplesmente significar terra ou solo seco (</w:t>
      </w:r>
      <w:hyperlink r:id="rId306">
        <w:r>
          <w:rPr>
            <w:color w:val="0000EE"/>
            <w:u w:val="single"/>
          </w:rPr>
          <w:t>Gênesis 3.19</w:t>
        </w:r>
      </w:hyperlink>
      <w:r>
        <w:t>). No Novo Testamento, uma palavra grega traduzida como “terra” também pode referir-se a uma terra ou país (</w:t>
      </w:r>
      <w:hyperlink r:id="rId8269">
        <w:r>
          <w:rPr>
            <w:color w:val="0000EE"/>
            <w:u w:val="single"/>
          </w:rPr>
          <w:t>Mateus 27.45</w:t>
        </w:r>
      </w:hyperlink>
      <w:r>
        <w:t>). Outra palavra grega, da qual “ecumênico” é derivado, refere-se a toda a terra habitada (</w:t>
      </w:r>
      <w:hyperlink r:id="rId20016">
        <w:r>
          <w:rPr>
            <w:color w:val="0000EE"/>
            <w:u w:val="single"/>
          </w:rPr>
          <w:t>Lucas 21.26</w:t>
        </w:r>
      </w:hyperlink>
      <w:r>
        <w:t>) ou ao Império Romano naquela época (</w:t>
      </w:r>
      <w:hyperlink r:id="rId4850">
        <w:r>
          <w:rPr>
            <w:color w:val="0000EE"/>
            <w:u w:val="single"/>
          </w:rPr>
          <w:t>Lucas 2.1</w:t>
        </w:r>
      </w:hyperlink>
      <w:r>
        <w:t>).</w:t>
      </w:r>
    </w:p>
    <w:p>
      <w:r/>
      <w:r>
        <w:t>No princípio, “Deus chamou a terra seca de 'terra', e ao ajuntamento das águas chamou de 'mares'. E Deus viu que era bom. Então Deus disse: 'Que a terra produza vegetação'” (</w:t>
      </w:r>
      <w:hyperlink r:id="rId20017">
        <w:r>
          <w:rPr>
            <w:color w:val="0000EE"/>
            <w:u w:val="single"/>
          </w:rPr>
          <w:t>Gênesis 1.10–11</w:t>
        </w:r>
      </w:hyperlink>
      <w:r>
        <w:t>). Em algumas passagens, “a terra” é usada de forma semelhante à maneira como pensamos em todo o planeta hoje (</w:t>
      </w:r>
      <w:hyperlink r:id="rId20018">
        <w:r>
          <w:rPr>
            <w:color w:val="0000EE"/>
            <w:u w:val="single"/>
          </w:rPr>
          <w:t>Jó 1.7</w:t>
        </w:r>
      </w:hyperlink>
      <w:r>
        <w:t>), suspensa no espaço vazio (</w:t>
      </w:r>
      <w:hyperlink r:id="rId6771">
        <w:r>
          <w:rPr>
            <w:color w:val="0000EE"/>
            <w:u w:val="single"/>
          </w:rPr>
          <w:t>Jó 26.7</w:t>
        </w:r>
      </w:hyperlink>
      <w:r>
        <w:t>). Referências aos quatro cantos da terra (</w:t>
      </w:r>
      <w:hyperlink r:id="rId3053">
        <w:r>
          <w:rPr>
            <w:color w:val="0000EE"/>
            <w:u w:val="single"/>
          </w:rPr>
          <w:t>Isaías 11.12</w:t>
        </w:r>
      </w:hyperlink>
      <w:r>
        <w:t xml:space="preserve">; </w:t>
      </w:r>
      <w:hyperlink r:id="rId20019">
        <w:r>
          <w:rPr>
            <w:color w:val="0000EE"/>
            <w:u w:val="single"/>
          </w:rPr>
          <w:t>Ezequiel 7.2</w:t>
        </w:r>
      </w:hyperlink>
      <w:r>
        <w:t>) referem-se aos pontos de uma bússola, não à forma da terra. O "círculo da terra" provavelmente se refere à circunferência do horizonte (</w:t>
      </w:r>
      <w:hyperlink r:id="rId20020">
        <w:r>
          <w:rPr>
            <w:color w:val="0000EE"/>
            <w:u w:val="single"/>
          </w:rPr>
          <w:t>Isaías 40.22</w:t>
        </w:r>
      </w:hyperlink>
      <w:r>
        <w:t xml:space="preserve">; compare </w:t>
      </w:r>
      <w:hyperlink r:id="rId20021">
        <w:r>
          <w:rPr>
            <w:color w:val="0000EE"/>
            <w:u w:val="single"/>
          </w:rPr>
          <w:t>Jó 38.13</w:t>
        </w:r>
      </w:hyperlink>
      <w:r>
        <w:t>). A terra às vezes é descrita como sendo sustentada por pilares (</w:t>
      </w:r>
      <w:hyperlink r:id="rId20022">
        <w:r>
          <w:rPr>
            <w:color w:val="0000EE"/>
            <w:u w:val="single"/>
          </w:rPr>
          <w:t>Jó 9.6</w:t>
        </w:r>
      </w:hyperlink>
      <w:r>
        <w:t xml:space="preserve">; </w:t>
      </w:r>
      <w:hyperlink r:id="rId20023">
        <w:r>
          <w:rPr>
            <w:color w:val="0000EE"/>
            <w:u w:val="single"/>
          </w:rPr>
          <w:t>Salmo 75.3</w:t>
        </w:r>
      </w:hyperlink>
      <w:r>
        <w:t>) ou fundações (</w:t>
      </w:r>
      <w:hyperlink r:id="rId20024">
        <w:r>
          <w:rPr>
            <w:color w:val="0000EE"/>
            <w:u w:val="single"/>
          </w:rPr>
          <w:t>Salmo 104.5</w:t>
        </w:r>
      </w:hyperlink>
      <w:r>
        <w:t xml:space="preserve">; </w:t>
      </w:r>
      <w:hyperlink r:id="rId20025">
        <w:r>
          <w:rPr>
            <w:color w:val="0000EE"/>
            <w:u w:val="single"/>
          </w:rPr>
          <w:t>Provérbios 8.29</w:t>
        </w:r>
      </w:hyperlink>
      <w:r>
        <w:t xml:space="preserve">; </w:t>
      </w:r>
      <w:hyperlink r:id="rId20026">
        <w:r>
          <w:rPr>
            <w:color w:val="0000EE"/>
            <w:u w:val="single"/>
          </w:rPr>
          <w:t>Isaías 24.18</w:t>
        </w:r>
      </w:hyperlink>
      <w:r>
        <w:t xml:space="preserve">; </w:t>
      </w:r>
      <w:hyperlink r:id="rId20027">
        <w:r>
          <w:rPr>
            <w:color w:val="0000EE"/>
            <w:u w:val="single"/>
          </w:rPr>
          <w:t>Jeremias 31.37</w:t>
        </w:r>
      </w:hyperlink>
      <w:r>
        <w:t>). Muitas dessas descrições são encontradas em passagens poéticas ou proféticas, portanto, não revelam muito sobre a compreensão dos hebreus sobre o cosmos.</w:t>
      </w:r>
    </w:p>
    <w:p>
      <w:r/>
      <w:r>
        <w:t xml:space="preserve">A palavra “terra” também pode se referir ao solo ou chão que um agricultor trabalha (veja </w:t>
      </w:r>
      <w:hyperlink r:id="rId20028">
        <w:r>
          <w:rPr>
            <w:color w:val="0000EE"/>
            <w:u w:val="single"/>
          </w:rPr>
          <w:t>2 Reis 5.17</w:t>
        </w:r>
      </w:hyperlink>
      <w:r>
        <w:t>). De acordo com a Bíblia, a condição original da terra (</w:t>
      </w:r>
      <w:hyperlink r:id="rId13035">
        <w:r>
          <w:rPr>
            <w:color w:val="0000EE"/>
            <w:u w:val="single"/>
          </w:rPr>
          <w:t>Gênesis 2.6</w:t>
        </w:r>
      </w:hyperlink>
      <w:r>
        <w:t>) foi afetada pela maldição trazida pelo pecado humano (</w:t>
      </w:r>
      <w:hyperlink r:id="rId11008">
        <w:r>
          <w:rPr>
            <w:color w:val="0000EE"/>
            <w:u w:val="single"/>
          </w:rPr>
          <w:t>Gênesis 3.17–19</w:t>
        </w:r>
      </w:hyperlink>
      <w:r>
        <w:t>). (Especialistas ambientais modernos concordam que a terra sofre por causa da ganância e arrogância humanas). Após o sangue de Abel ser derramado no chão, a dificuldade de Caim em cultivar era um lembrete constante de que ele havia assassinado seu irmão (</w:t>
      </w:r>
      <w:hyperlink r:id="rId12700">
        <w:r>
          <w:rPr>
            <w:color w:val="0000EE"/>
            <w:u w:val="single"/>
          </w:rPr>
          <w:t>Gênesis 4.8–12</w:t>
        </w:r>
      </w:hyperlink>
      <w:r>
        <w:t>).</w:t>
      </w:r>
    </w:p>
    <w:p>
      <w:r/>
      <w:r>
        <w:t>Os israelitas foram instruídos a deixar a terra descansar a cada sete ano (</w:t>
      </w:r>
      <w:hyperlink r:id="rId18739">
        <w:r>
          <w:rPr>
            <w:color w:val="0000EE"/>
            <w:u w:val="single"/>
          </w:rPr>
          <w:t>Êxodo 23.10–12</w:t>
        </w:r>
      </w:hyperlink>
      <w:r>
        <w:t xml:space="preserve">; </w:t>
      </w:r>
      <w:hyperlink r:id="rId20029">
        <w:r>
          <w:rPr>
            <w:color w:val="0000EE"/>
            <w:u w:val="single"/>
          </w:rPr>
          <w:t>Levítico 25.4–5</w:t>
        </w:r>
      </w:hyperlink>
      <w:r>
        <w:t>) para que o solo pudesse repor os nutrientes usados pelas colheitas. Após sete desses "anos sabáticos", no 50º "ano do jubileu", a terra retornaria aos seus proprietários familiares originais (</w:t>
      </w:r>
      <w:hyperlink r:id="rId20030">
        <w:r>
          <w:rPr>
            <w:color w:val="0000EE"/>
            <w:u w:val="single"/>
          </w:rPr>
          <w:t>Levítico 25.10–17</w:t>
        </w:r>
      </w:hyperlink>
      <w:r>
        <w:t>). Esta lei lembrava ao povo que Deus era, em última instância, o dono da terra e impedia o surgimento de poderosos proprietários de terras com grandes propriedades.</w:t>
      </w:r>
    </w:p>
    <w:p>
      <w:r/>
      <w:r>
        <w:t>A lei mosaica também ensinou aos israelitas que a condição da terra era um sinal de seu relacionamento com Deus. Seca ou colheitas ruins indicavam um relacionamento rompido (</w:t>
      </w:r>
      <w:hyperlink r:id="rId12830">
        <w:r>
          <w:rPr>
            <w:color w:val="0000EE"/>
            <w:u w:val="single"/>
          </w:rPr>
          <w:t>Levítico 26</w:t>
        </w:r>
      </w:hyperlink>
      <w:r>
        <w:t xml:space="preserve">; Deuteronômio 28). Israel foi avisado de que sua maldade poderia se tornar tão grande que Deus os expulsaria de Sua terra (veja </w:t>
      </w:r>
      <w:hyperlink r:id="rId20031">
        <w:r>
          <w:rPr>
            <w:color w:val="0000EE"/>
            <w:u w:val="single"/>
          </w:rPr>
          <w:t>Levítico 26.37</w:t>
        </w:r>
      </w:hyperlink>
      <w:r>
        <w:t xml:space="preserve">; </w:t>
      </w:r>
      <w:hyperlink r:id="rId20032">
        <w:r>
          <w:rPr>
            <w:color w:val="0000EE"/>
            <w:u w:val="single"/>
          </w:rPr>
          <w:t>Deuteronômio 28.64</w:t>
        </w:r>
      </w:hyperlink>
      <w:r>
        <w:t>). Mas mesmo que isso acontecesse, Deus prometeu eventualmente restaurar Seu povo para que pudessem ser casados com a terra novamente (</w:t>
      </w:r>
      <w:hyperlink r:id="rId11364">
        <w:r>
          <w:rPr>
            <w:color w:val="0000EE"/>
            <w:u w:val="single"/>
          </w:rPr>
          <w:t>Isaías 62.4</w:t>
        </w:r>
      </w:hyperlink>
      <w:r>
        <w:t>).</w:t>
      </w:r>
    </w:p>
    <w:p>
      <w:r/>
      <w:r>
        <w:t>Muitas passagens na Bíblia apontam para uma “era vindoura” quando a terra será libertada de sua “escravidão à decadência”, e toda a criação é dita estar “gemendo” em antecipação a isso (</w:t>
      </w:r>
      <w:hyperlink r:id="rId15301">
        <w:r>
          <w:rPr>
            <w:color w:val="0000EE"/>
            <w:u w:val="single"/>
          </w:rPr>
          <w:t>Romanos 8.19</w:t>
        </w:r>
      </w:hyperlink>
      <w:hyperlink r:id="rId20033">
        <w:r>
          <w:rPr>
            <w:color w:val="0000EE"/>
            <w:u w:val="single"/>
          </w:rPr>
          <w:t>–</w:t>
        </w:r>
      </w:hyperlink>
      <w:hyperlink r:id="rId15301">
        <w:r>
          <w:rPr>
            <w:color w:val="0000EE"/>
            <w:u w:val="single"/>
          </w:rPr>
          <w:t>23</w:t>
        </w:r>
      </w:hyperlink>
      <w:r>
        <w:t xml:space="preserve">). A Bíblia descreve um tempo de grande renovação quando a fertilidade da terra será restaurada (Ezequiel 47; </w:t>
      </w:r>
      <w:hyperlink r:id="rId2329">
        <w:r>
          <w:rPr>
            <w:color w:val="0000EE"/>
            <w:u w:val="single"/>
          </w:rPr>
          <w:t>Joel 3.18</w:t>
        </w:r>
      </w:hyperlink>
      <w:r>
        <w:t xml:space="preserve">; </w:t>
      </w:r>
      <w:hyperlink r:id="rId1328">
        <w:r>
          <w:rPr>
            <w:color w:val="0000EE"/>
            <w:u w:val="single"/>
          </w:rPr>
          <w:t>Amós 9.13</w:t>
        </w:r>
      </w:hyperlink>
      <w:hyperlink r:id="rId20033">
        <w:r>
          <w:rPr>
            <w:color w:val="0000EE"/>
            <w:u w:val="single"/>
          </w:rPr>
          <w:t>–</w:t>
        </w:r>
      </w:hyperlink>
      <w:hyperlink r:id="rId1328">
        <w:r>
          <w:rPr>
            <w:color w:val="0000EE"/>
            <w:u w:val="single"/>
          </w:rPr>
          <w:t>15</w:t>
        </w:r>
      </w:hyperlink>
      <w:r>
        <w:t xml:space="preserve">; </w:t>
      </w:r>
      <w:hyperlink r:id="rId20033">
        <w:r>
          <w:rPr>
            <w:color w:val="0000EE"/>
            <w:u w:val="single"/>
          </w:rPr>
          <w:t>Zacarias 14.6–9</w:t>
        </w:r>
      </w:hyperlink>
      <w:r>
        <w:t>). No entanto, um dia, “Os céus desaparecerão com um estrondo, os elementos serão destruídos pelo fogo, e a terra e suas obras serão expostas” (</w:t>
      </w:r>
      <w:hyperlink r:id="rId2185">
        <w:r>
          <w:rPr>
            <w:color w:val="0000EE"/>
            <w:u w:val="single"/>
          </w:rPr>
          <w:t>2 Pedro 3.10</w:t>
        </w:r>
      </w:hyperlink>
      <w:r>
        <w:t>). Ainda assim, na visão do apóstolo João, ele viu “um novo céu e uma nova terra, pois o primeiro céu e a primeira terra haviam passado” (</w:t>
      </w:r>
      <w:hyperlink r:id="rId2161">
        <w:r>
          <w:rPr>
            <w:color w:val="0000EE"/>
            <w:u w:val="single"/>
          </w:rPr>
          <w:t>Apocalipse 21.1</w:t>
        </w:r>
      </w:hyperlink>
      <w:r>
        <w:t>).</w:t>
      </w:r>
    </w:p>
    <w:p>
      <w:r/>
      <w:r>
        <w:rPr>
          <w:i/>
        </w:rPr>
        <w:t>Veja também</w:t>
      </w:r>
      <w:r>
        <w:t xml:space="preserve"> </w:t>
      </w:r>
      <w:r>
        <w:t>Novos céus e nova terra</w:t>
      </w:r>
      <w:r>
        <w:t>.</w:t>
      </w:r>
      <w:r/>
      <w:r/>
    </w:p>
    <w:p>
      <w:r/>
    </w:p>
    <w:p>
      <w:pPr>
        <w:pStyle w:val="Heading2"/>
      </w:pPr>
      <w:r>
        <w:t>Terra</w:t>
      </w:r>
      <w:r/>
    </w:p>
    <w:p>
      <w:r/>
      <w:r>
        <w:t>O relacionamento dos humanos com a terra é um tema proeminente no AT. Em Gênesis, a terra com seu solo seco foi criada como um lugar para os humanos habitarem em comunhão com Deus. Os humanos receberam a tarefa de subjugar a terra e governar sobre a criação animal para satisfazer suas próprias necessidades e trazer glória ao Criador. Após a queda da humanidade em pecado, eles sofreram alienação não apenas de Deus e de seus semelhantes, mas também da terra em que viviam. Eles foram expulsos do Jardim do Éden, e a terra se tornou amaldiçoada. Foram forçados a trabalhar e suar para subjugar a terra e prover para sua própria subsistência porque a colheita era sufocada por espinhos e cardos.</w:t>
      </w:r>
    </w:p>
    <w:p>
      <w:r/>
      <w:r>
        <w:t>Após assassinar seu irmão, Caim recebe uma intensificação individual da maldição da terra como punição. Ele é informado de que a terra não dará seu fruto para ele, mesmo com trabalho árduo, forçando-o a vagar de um lugar para outro. Sem uma pátria permanente, Caim é negado o desfrute de descanso e prosperidade. Por causa do pecado, a importante aspiração humana por um senso de lugar é recusada a Caim (</w:t>
      </w:r>
      <w:hyperlink r:id="rId4856">
        <w:r>
          <w:rPr>
            <w:color w:val="0000EE"/>
            <w:u w:val="single"/>
          </w:rPr>
          <w:t>Gn 4.12</w:t>
        </w:r>
      </w:hyperlink>
      <w:r>
        <w:t>).</w:t>
      </w:r>
    </w:p>
    <w:p>
      <w:r/>
      <w:r>
        <w:t>Após o Dilúvio, que foi o julgamento de Deus sobre uma raça humana extremamente perversa, os humanos novamente provocaram a ira de Deus; a construção da Torre de Babel exalta o poder humano à parte de Deus. Deus intervém para confundir a linguagem do povo e “espalhá-los por toda a face da terra” (</w:t>
      </w:r>
      <w:hyperlink r:id="rId2955">
        <w:r>
          <w:rPr>
            <w:color w:val="0000EE"/>
            <w:u w:val="single"/>
          </w:rPr>
          <w:t>11.9</w:t>
        </w:r>
      </w:hyperlink>
      <w:r>
        <w:t xml:space="preserve">). O livro de </w:t>
      </w:r>
      <w:hyperlink r:id="rId6206">
        <w:r>
          <w:rPr>
            <w:color w:val="0000EE"/>
            <w:u w:val="single"/>
          </w:rPr>
          <w:t>Gênesis 1–11</w:t>
        </w:r>
      </w:hyperlink>
      <w:r>
        <w:t xml:space="preserve"> é, portanto, caracterizado por uma sequência de narrativas descrevendo a perda de terra com suas privações decorrentes como consequência do pecado e da rebelião contra Deus.</w:t>
      </w:r>
    </w:p>
    <w:p>
      <w:pPr>
        <w:pStyle w:val="Heading3"/>
      </w:pPr>
      <w:r>
        <w:t>Terra e a aliança abraâmica</w:t>
      </w:r>
    </w:p>
    <w:p>
      <w:r/>
      <w:r>
        <w:t>Na época de Abraão, Deus interveio nos assuntos humanos para fornecer uma pátria especial para um grupo seleto de pessoas que são separadas para si. É aqui que o tema da Terra Prometida é introduzido nas Escrituras. Deus disse a Abraão: “Saia da sua terra, do meio dos seus parentes e da casa do seu pai e vá para uma terra que eu lhe mostrarei. Os seus descendentes vão formar uma grande nação.” (</w:t>
      </w:r>
      <w:hyperlink r:id="rId20034">
        <w:r>
          <w:rPr>
            <w:color w:val="0000EE"/>
            <w:u w:val="single"/>
          </w:rPr>
          <w:t>Gn 12.1–2</w:t>
        </w:r>
      </w:hyperlink>
      <w:r>
        <w:t xml:space="preserve">, NTLH). Esta promessa a Abraão é ampliada em </w:t>
      </w:r>
      <w:hyperlink r:id="rId163">
        <w:r>
          <w:rPr>
            <w:color w:val="0000EE"/>
            <w:u w:val="single"/>
          </w:rPr>
          <w:t>Gênesis 12.7</w:t>
        </w:r>
      </w:hyperlink>
      <w:r>
        <w:t xml:space="preserve">; </w:t>
      </w:r>
      <w:hyperlink r:id="rId20035">
        <w:r>
          <w:rPr>
            <w:color w:val="0000EE"/>
            <w:u w:val="single"/>
          </w:rPr>
          <w:t>13.14–18</w:t>
        </w:r>
      </w:hyperlink>
      <w:r>
        <w:t xml:space="preserve">; </w:t>
      </w:r>
      <w:hyperlink r:id="rId13661">
        <w:r>
          <w:rPr>
            <w:color w:val="0000EE"/>
            <w:u w:val="single"/>
          </w:rPr>
          <w:t>15.7–21</w:t>
        </w:r>
      </w:hyperlink>
      <w:r>
        <w:t xml:space="preserve">; </w:t>
      </w:r>
      <w:hyperlink r:id="rId796">
        <w:r>
          <w:rPr>
            <w:color w:val="0000EE"/>
            <w:u w:val="single"/>
          </w:rPr>
          <w:t>17.7–8</w:t>
        </w:r>
      </w:hyperlink>
      <w:r>
        <w:t>. É dito a Abraão que a terra de Canaã será a “posse Eterna” de seus descendentes (</w:t>
      </w:r>
      <w:hyperlink r:id="rId4949">
        <w:r>
          <w:rPr>
            <w:color w:val="0000EE"/>
            <w:u w:val="single"/>
          </w:rPr>
          <w:t>17.8</w:t>
        </w:r>
      </w:hyperlink>
      <w:r>
        <w:t>).</w:t>
      </w:r>
    </w:p>
    <w:p>
      <w:r/>
      <w:r>
        <w:t>A narrativa do AT então traça a linha de descendência de Abraão através de Isaque e Jacó, e conta sobre a migração da família de Jacó para o Egito, onde durante aproximadamente quatro séculos eles se tornaram um grande e numeroso povo. Durante este período, a promessa de posse da terra de Canaã é reiterada (</w:t>
      </w:r>
      <w:hyperlink r:id="rId20036">
        <w:r>
          <w:rPr>
            <w:color w:val="0000EE"/>
            <w:u w:val="single"/>
          </w:rPr>
          <w:t>Gn 28.15</w:t>
        </w:r>
      </w:hyperlink>
      <w:r>
        <w:t xml:space="preserve">; </w:t>
      </w:r>
      <w:hyperlink r:id="rId20037">
        <w:r>
          <w:rPr>
            <w:color w:val="0000EE"/>
            <w:u w:val="single"/>
          </w:rPr>
          <w:t>35.11–12</w:t>
        </w:r>
      </w:hyperlink>
      <w:r>
        <w:t xml:space="preserve">; </w:t>
      </w:r>
      <w:hyperlink r:id="rId20038">
        <w:r>
          <w:rPr>
            <w:color w:val="0000EE"/>
            <w:u w:val="single"/>
          </w:rPr>
          <w:t>46.3–4</w:t>
        </w:r>
      </w:hyperlink>
      <w:r>
        <w:t xml:space="preserve">; </w:t>
      </w:r>
      <w:hyperlink r:id="rId12625">
        <w:r>
          <w:rPr>
            <w:color w:val="0000EE"/>
            <w:u w:val="single"/>
          </w:rPr>
          <w:t>50.24</w:t>
        </w:r>
      </w:hyperlink>
      <w:r>
        <w:t>) e mantida diante dos descendentes de Abraão como uma característica integral das promessas da aliança de Deus.</w:t>
      </w:r>
    </w:p>
    <w:p>
      <w:pPr>
        <w:pStyle w:val="Heading3"/>
      </w:pPr>
      <w:r>
        <w:t>Terra e a aliança mosaica</w:t>
      </w:r>
    </w:p>
    <w:p>
      <w:r/>
      <w:r>
        <w:t>Quando Deus chamou Moisés para liderar os israelitas para fora do Egito, ele associou a tarefa de Moisés com o cumprimento das promessas aos patriarcas: “lembrei da aliança que fiz com eles... Farei com que vocês sejam o meu povo e eu serei o seu Deus... Eu os levarei para a terra que jurei que daria a Abraão, a Isaque e a Jacó. E eu darei essa terra para ser propriedade de vocês.” (</w:t>
      </w:r>
      <w:hyperlink r:id="rId20039">
        <w:r>
          <w:rPr>
            <w:color w:val="0000EE"/>
            <w:u w:val="single"/>
          </w:rPr>
          <w:t>Êxodo 6.5–8</w:t>
        </w:r>
      </w:hyperlink>
      <w:r>
        <w:t>, NTLH). Israel deve ser libertado do Egito por duas razões: primeiro, para ser estabelecido como o povo da aliança de Deus no Monte Sinai, e segundo, para possuir a terra prometida a seus pais. É de extrema importância, no entanto, que com o estabelecimento da aliança mosaica a posse contínua da terra dependa da obediência. Se Israel violar as obrigações da aliança, trará sobre si as maldições da aliança, a mais severa das quais é o banimento da Terra Prometida (</w:t>
      </w:r>
      <w:hyperlink r:id="rId20040">
        <w:r>
          <w:rPr>
            <w:color w:val="0000EE"/>
            <w:u w:val="single"/>
          </w:rPr>
          <w:t>Lv 26.32–33</w:t>
        </w:r>
      </w:hyperlink>
      <w:r>
        <w:t>). Isso não significa que Deus abandonará seu povo e a terra totalmente ou para sempre, porque Deus também promete que quando o povo se arrepender, “então eu lembrarei das alianças que fiz com Jacó e com Isaque e com Abraão e lembrarei também da Terra Prometida.” (</w:t>
      </w:r>
      <w:hyperlink r:id="rId20041">
        <w:r>
          <w:rPr>
            <w:color w:val="0000EE"/>
            <w:u w:val="single"/>
          </w:rPr>
          <w:t>Lv 26.42</w:t>
        </w:r>
      </w:hyperlink>
      <w:r>
        <w:t>, NTLH).</w:t>
      </w:r>
    </w:p>
    <w:p>
      <w:r/>
      <w:r>
        <w:t>Durante o reinado do rei Davi, a promessa de terra recebeu pelo menos um cumprimento provisório. Embora seja verdade que o cumprimento inicial ocorreu quando Josué entrou na terra, naquela época o território não se estendia até as fronteiras prometidas a Abraão (</w:t>
      </w:r>
      <w:hyperlink r:id="rId794">
        <w:r>
          <w:rPr>
            <w:color w:val="0000EE"/>
            <w:u w:val="single"/>
          </w:rPr>
          <w:t>Gn 15.18</w:t>
        </w:r>
      </w:hyperlink>
      <w:r>
        <w:t>) e grande parte da terra ocupada ainda continha focos de resistência pelos antigos habitantes (</w:t>
      </w:r>
      <w:hyperlink r:id="rId20042">
        <w:r>
          <w:rPr>
            <w:color w:val="0000EE"/>
            <w:u w:val="single"/>
          </w:rPr>
          <w:t>Js 13.1–6</w:t>
        </w:r>
      </w:hyperlink>
      <w:r>
        <w:t xml:space="preserve">; </w:t>
      </w:r>
      <w:hyperlink r:id="rId6467">
        <w:r>
          <w:rPr>
            <w:color w:val="0000EE"/>
            <w:u w:val="single"/>
          </w:rPr>
          <w:t>Jz 1</w:t>
        </w:r>
      </w:hyperlink>
      <w:r>
        <w:t>). Não foi até o tempo de Davi que a terra foi totalmente possuída como originalmente prometido (</w:t>
      </w:r>
      <w:hyperlink r:id="rId19161">
        <w:r>
          <w:rPr>
            <w:color w:val="0000EE"/>
            <w:u w:val="single"/>
          </w:rPr>
          <w:t>2Sm 8</w:t>
        </w:r>
      </w:hyperlink>
      <w:r>
        <w:t xml:space="preserve">; </w:t>
      </w:r>
      <w:hyperlink r:id="rId20043">
        <w:r>
          <w:rPr>
            <w:color w:val="0000EE"/>
            <w:u w:val="single"/>
          </w:rPr>
          <w:t>1Rs 4.21,24</w:t>
        </w:r>
      </w:hyperlink>
      <w:r>
        <w:t>).</w:t>
      </w:r>
    </w:p>
    <w:p>
      <w:r/>
      <w:r>
        <w:t>A responsabilidade do rei de observar a lei e a conexão entre a obediência ao pacto e a posse da terra são novamente esclarecidas quando Salomão dedica o templo (</w:t>
      </w:r>
      <w:hyperlink r:id="rId20044">
        <w:r>
          <w:rPr>
            <w:color w:val="0000EE"/>
            <w:u w:val="single"/>
          </w:rPr>
          <w:t>1Rs 9.4–9</w:t>
        </w:r>
      </w:hyperlink>
      <w:r>
        <w:t>). A desobediência trará não apenas a expulsão da terra, mas também a destruição do templo.</w:t>
      </w:r>
    </w:p>
    <w:p>
      <w:r/>
      <w:r>
        <w:t>A história subsequente da era do reino dividido é, na maior parte, uma história de revogação da aliança, tanto pelo povo quanto pelos reis. O Senhor enviou repetidos avisos através dos profetas de que tal desobediência só poderia levar à expulsão da terra. Mas sua mensagem caiu em ouvidos surdos (</w:t>
      </w:r>
      <w:hyperlink r:id="rId11218">
        <w:r>
          <w:rPr>
            <w:color w:val="0000EE"/>
            <w:u w:val="single"/>
          </w:rPr>
          <w:t>Is 6.11–12</w:t>
        </w:r>
      </w:hyperlink>
      <w:r>
        <w:t xml:space="preserve">; </w:t>
      </w:r>
      <w:hyperlink r:id="rId1261">
        <w:r>
          <w:rPr>
            <w:color w:val="0000EE"/>
            <w:u w:val="single"/>
          </w:rPr>
          <w:t>Am 5.27</w:t>
        </w:r>
      </w:hyperlink>
      <w:r>
        <w:t xml:space="preserve">; </w:t>
      </w:r>
      <w:hyperlink r:id="rId17732">
        <w:r>
          <w:rPr>
            <w:color w:val="0000EE"/>
            <w:u w:val="single"/>
          </w:rPr>
          <w:t>7.17</w:t>
        </w:r>
      </w:hyperlink>
      <w:r>
        <w:t xml:space="preserve">; </w:t>
      </w:r>
      <w:hyperlink r:id="rId20045">
        <w:r>
          <w:rPr>
            <w:color w:val="0000EE"/>
            <w:u w:val="single"/>
          </w:rPr>
          <w:t>Os 9.17</w:t>
        </w:r>
      </w:hyperlink>
      <w:r>
        <w:t>). Os reis repetidamente se mostraram indignos do cargo.</w:t>
      </w:r>
    </w:p>
    <w:p>
      <w:r/>
      <w:r>
        <w:t>Como o povo persistia em seu caminho maligno, Jeremias anunciou que Nabucodonozor seria o agente do Senhor para expulsá-los da terra (</w:t>
      </w:r>
      <w:hyperlink r:id="rId20046">
        <w:r>
          <w:rPr>
            <w:color w:val="0000EE"/>
            <w:u w:val="single"/>
          </w:rPr>
          <w:t>Jr 21.2</w:t>
        </w:r>
      </w:hyperlink>
      <w:r>
        <w:t xml:space="preserve">; </w:t>
      </w:r>
      <w:hyperlink r:id="rId20047">
        <w:r>
          <w:rPr>
            <w:color w:val="0000EE"/>
            <w:u w:val="single"/>
          </w:rPr>
          <w:t>22.25</w:t>
        </w:r>
      </w:hyperlink>
      <w:r>
        <w:t xml:space="preserve">; </w:t>
      </w:r>
      <w:hyperlink r:id="rId20048">
        <w:r>
          <w:rPr>
            <w:color w:val="0000EE"/>
            <w:u w:val="single"/>
          </w:rPr>
          <w:t>25.8–9</w:t>
        </w:r>
      </w:hyperlink>
      <w:r>
        <w:t xml:space="preserve">; </w:t>
      </w:r>
      <w:hyperlink r:id="rId20049">
        <w:r>
          <w:rPr>
            <w:color w:val="0000EE"/>
            <w:u w:val="single"/>
          </w:rPr>
          <w:t>27.6</w:t>
        </w:r>
      </w:hyperlink>
      <w:r>
        <w:t xml:space="preserve">; </w:t>
      </w:r>
      <w:hyperlink r:id="rId20050">
        <w:r>
          <w:rPr>
            <w:color w:val="0000EE"/>
            <w:u w:val="single"/>
          </w:rPr>
          <w:t>28.14</w:t>
        </w:r>
      </w:hyperlink>
      <w:r>
        <w:t xml:space="preserve">; </w:t>
      </w:r>
      <w:hyperlink r:id="rId20051">
        <w:r>
          <w:rPr>
            <w:color w:val="0000EE"/>
            <w:u w:val="single"/>
          </w:rPr>
          <w:t>29.21</w:t>
        </w:r>
      </w:hyperlink>
      <w:r>
        <w:t>). No entanto, Jeremias e outros profetas também olharam além do exílio para uma futura restauração e retorno à terra (</w:t>
      </w:r>
      <w:hyperlink r:id="rId20052">
        <w:r>
          <w:rPr>
            <w:color w:val="0000EE"/>
            <w:u w:val="single"/>
          </w:rPr>
          <w:t>Jr 32.6–25</w:t>
        </w:r>
      </w:hyperlink>
      <w:r>
        <w:t>). Historicamente, isso foi realizado sob o governo de Ciro, o Grande da Pérsia (538 a.C.) e é descrito nos livros de Esdras e Neemias.</w:t>
      </w:r>
    </w:p>
    <w:p>
      <w:r/>
      <w:r>
        <w:t xml:space="preserve">Uma dificuldade de interpretação surge ao encontrar um cumprimento adequado de certas profecias do retorno (cf. </w:t>
      </w:r>
      <w:hyperlink r:id="rId6047">
        <w:r>
          <w:rPr>
            <w:color w:val="0000EE"/>
            <w:u w:val="single"/>
          </w:rPr>
          <w:t>Ez 37</w:t>
        </w:r>
      </w:hyperlink>
      <w:r>
        <w:t xml:space="preserve">; </w:t>
      </w:r>
      <w:hyperlink r:id="rId20053">
        <w:r>
          <w:rPr>
            <w:color w:val="0000EE"/>
            <w:u w:val="single"/>
          </w:rPr>
          <w:t>Am 9.14–15</w:t>
        </w:r>
      </w:hyperlink>
      <w:r>
        <w:t>), que preveem grande prosperidade e posse permanente da terra sob o governo de um rei davídico. O período intertestamentário não parece ser um cumprimento adequado para essas previsões.</w:t>
      </w:r>
    </w:p>
    <w:p>
      <w:pPr>
        <w:pStyle w:val="Heading3"/>
      </w:pPr>
      <w:r>
        <w:t>Terra e a nova aliança</w:t>
      </w:r>
    </w:p>
    <w:p>
      <w:r/>
      <w:r>
        <w:t>No NT, o tema da terra é muito menos proeminente e parece ser dado principalmente um simbolismo espiritual. O escritor de Hebreus sugere que Abraão entendeu a promessa da terra como algo que apontava além de um cumprimento meramente geográfico para um lar celestial mais elevado e muito mais satisfatório. Percebendo a imperfeição e a natureza transitória de tudo o que este mundo oferece, Abraão olhou além do cumprimento temporal da promessa da terra para uma cidade cujo arquiteto e construtor é Deus (</w:t>
      </w:r>
      <w:hyperlink r:id="rId4855">
        <w:r>
          <w:rPr>
            <w:color w:val="0000EE"/>
            <w:u w:val="single"/>
          </w:rPr>
          <w:t>Hb 11.10</w:t>
        </w:r>
      </w:hyperlink>
      <w:r>
        <w:t xml:space="preserve">), e ele buscou um “país melhor, isto é, um celestial” (v. </w:t>
      </w:r>
      <w:hyperlink r:id="rId20054">
        <w:r>
          <w:rPr>
            <w:color w:val="0000EE"/>
            <w:u w:val="single"/>
          </w:rPr>
          <w:t>16</w:t>
        </w:r>
      </w:hyperlink>
      <w:r>
        <w:t>). No NT, parece que a promessa da terra de Israel e a entrada em Canaã devem ser entendidas como tipificando algo do futuro descanso celestial que aguarda o povo de Deus (</w:t>
      </w:r>
      <w:hyperlink r:id="rId20055">
        <w:r>
          <w:rPr>
            <w:color w:val="0000EE"/>
            <w:u w:val="single"/>
          </w:rPr>
          <w:t>Hb 3–4</w:t>
        </w:r>
      </w:hyperlink>
      <w:r>
        <w:t>). Talvez isso explique a ênfase do AT na conexão entre a obediência de Israel à lei de Deus e a posse da terra. Quando os israelitas não tipificam uma condição de santidade, eles se desqualificam de tipificar uma condição de bem-aventurança e, assim, são negados o acesso ou expulsos da terra. O NT indica que é propósito de Deus preparar uma pátria eterna para seu povo, onde o governo do Rei divino é direto e justo, onde todas as coisas estão sujeitas à sua vontade, onde a morte e o pecado são abolidos e onde as necessidades de seu povo são completamente satisfeitas (</w:t>
      </w:r>
      <w:hyperlink r:id="rId20056">
        <w:r>
          <w:rPr>
            <w:color w:val="0000EE"/>
            <w:u w:val="single"/>
          </w:rPr>
          <w:t>Hb 11.13–16</w:t>
        </w:r>
      </w:hyperlink>
      <w:r>
        <w:t xml:space="preserve">; </w:t>
      </w:r>
      <w:hyperlink r:id="rId418">
        <w:r>
          <w:rPr>
            <w:color w:val="0000EE"/>
            <w:u w:val="single"/>
          </w:rPr>
          <w:t>Ap 21</w:t>
        </w:r>
      </w:hyperlink>
      <w:r>
        <w:t>).</w:t>
      </w:r>
    </w:p>
    <w:p>
      <w:r/>
      <w:r>
        <w:t xml:space="preserve">As promessas de terra do AT foram vistas por alguns como tendo apenas significado típico. À luz da encarnação de Cristo, qualquer declaração das Escrituras sobre um futuro para a terra deve ser interpretada como cumprida em um sentido espiritual na igreja. A igreja é agora o novo Israel e herdeira das promessas do AT. Como o reino de Deus é agora uma realidade espiritual, considera-se um mal-entendido do AT esperar ainda futuros cumprimentos das profecias do AT sobre o retorno de Israel à terra e o estabelecimento de um período de paz e prosperidade sob o governo de Cristo, o Filho de Davi (cf. </w:t>
      </w:r>
      <w:hyperlink r:id="rId19549">
        <w:r>
          <w:rPr>
            <w:color w:val="0000EE"/>
            <w:u w:val="single"/>
          </w:rPr>
          <w:t>Is 2.1–5</w:t>
        </w:r>
      </w:hyperlink>
      <w:r>
        <w:t xml:space="preserve">; </w:t>
      </w:r>
      <w:hyperlink r:id="rId20057">
        <w:r>
          <w:rPr>
            <w:color w:val="0000EE"/>
            <w:u w:val="single"/>
          </w:rPr>
          <w:t>11.6–11</w:t>
        </w:r>
      </w:hyperlink>
      <w:r>
        <w:t xml:space="preserve">; </w:t>
      </w:r>
      <w:hyperlink r:id="rId6047">
        <w:r>
          <w:rPr>
            <w:color w:val="0000EE"/>
            <w:u w:val="single"/>
          </w:rPr>
          <w:t>Ez 37</w:t>
        </w:r>
      </w:hyperlink>
      <w:r>
        <w:t xml:space="preserve">; </w:t>
      </w:r>
      <w:hyperlink r:id="rId20053">
        <w:r>
          <w:rPr>
            <w:color w:val="0000EE"/>
            <w:u w:val="single"/>
          </w:rPr>
          <w:t>Am 9.14–15</w:t>
        </w:r>
      </w:hyperlink>
      <w:r>
        <w:t>). Permanecer em Cristo é considerado um cumprimento adequado das promessas físicas e geográficas da economia do AT.</w:t>
      </w:r>
    </w:p>
    <w:p>
      <w:r/>
      <w:r>
        <w:t xml:space="preserve">Outros, embora não neguem o significado típico dessas realidades do AT, sugeririam que as promessas de terra ainda estão em vigor nas categorias físicas e geográficas em que foram dadas. É apontado que Paulo argumenta em </w:t>
      </w:r>
      <w:hyperlink r:id="rId4407">
        <w:r>
          <w:rPr>
            <w:color w:val="0000EE"/>
            <w:u w:val="single"/>
          </w:rPr>
          <w:t>Romanos 9–11</w:t>
        </w:r>
      </w:hyperlink>
      <w:r>
        <w:t xml:space="preserve"> que ainda há um futuro para Israel nacional. Apesar da história de desobediência de Israel, culminando na rejeição do Messias, a eleição e o chamado de Deus são irrevogáveis, e Israel ainda será reenxertado na oliveira da qual havia sido anteriormente cortado. Lucas diz que Jerusalém será pisada pelos gentios até que os tempos dos gentios se cumpram (</w:t>
      </w:r>
      <w:hyperlink r:id="rId6296">
        <w:r>
          <w:rPr>
            <w:color w:val="0000EE"/>
            <w:u w:val="single"/>
          </w:rPr>
          <w:t>Lc 21.24</w:t>
        </w:r>
      </w:hyperlink>
      <w:r>
        <w:t>), indicando que haverá um tempo futuro em que Jerusalém será novamente possuída pela nação judaica. Isso não significa necessariamente que se deve ver o estado atual de Israel como o cumprimento direto das promessas do AT de retorno à terra. O AT indica que o retorno será ocasionado pela crença (</w:t>
      </w:r>
      <w:hyperlink r:id="rId20058">
        <w:r>
          <w:rPr>
            <w:color w:val="0000EE"/>
            <w:u w:val="single"/>
          </w:rPr>
          <w:t>Dt 30.1–16</w:t>
        </w:r>
      </w:hyperlink>
      <w:r>
        <w:t>). O retorno atual é em incredulidade. Ao mesmo tempo, a notável preservação do povo judeu ao longo dos séculos e o recente restabelecimento da nação talvez devam ser entendidos como antecipações ou sinais de uma futura e mais completa realização das promessas de terra do AT.</w:t>
      </w:r>
      <w:r/>
      <w:r/>
    </w:p>
    <w:p>
      <w:r/>
    </w:p>
    <w:p>
      <w:pPr>
        <w:pStyle w:val="Heading2"/>
      </w:pPr>
      <w:r>
        <w:t>Terremoto</w:t>
      </w:r>
      <w:r/>
    </w:p>
    <w:p>
      <w:r/>
      <w:r>
        <w:t>Um terremoto ocorre quando o chão treme ou vibra. Isso acontece devido à atividade vulcânica ou ao movimento na crosta terrestre.</w:t>
      </w:r>
    </w:p>
    <w:p>
      <w:r/>
      <w:r>
        <w:t>Os terremotos ocorrem frequentemente na Palestina. Isso se deve principalmente aos vulcões próximos ao Mar Morto e ao Mar da Galileia. Os terremotos são mais comuns nestas áreas:</w:t>
      </w:r>
    </w:p>
    <w:p>
      <w:pPr>
        <w:pStyle w:val="ListNumber"/>
        <w:spacing w:line="240" w:lineRule="auto"/>
        <w:ind w:left="720"/>
      </w:pPr>
      <w:r/>
      <w:r>
        <w:t>Alta Galileia;</w:t>
      </w:r>
    </w:p>
    <w:p>
      <w:pPr>
        <w:pStyle w:val="ListNumber"/>
        <w:spacing w:line="240" w:lineRule="auto"/>
        <w:ind w:left="720"/>
      </w:pPr>
      <w:r/>
      <w:r>
        <w:t>O país dos samaritanos perto de Siquém;</w:t>
      </w:r>
    </w:p>
    <w:p>
      <w:pPr>
        <w:pStyle w:val="ListNumber"/>
        <w:spacing w:line="240" w:lineRule="auto"/>
        <w:ind w:left="720"/>
      </w:pPr>
      <w:r/>
      <w:r>
        <w:t>A borda oeste das Montanhas da Judeia, perto de Lida.</w:t>
      </w:r>
    </w:p>
    <w:p>
      <w:r/>
      <w:r>
        <w:t>Em hebraico, a palavra para "terremoto" significa um grande ruído ou rugido alto. Isso indica que os israelitas perceberam o som retumbante dos terremotos.</w:t>
      </w:r>
    </w:p>
    <w:p>
      <w:r/>
      <w:r>
        <w:t>A Bíblia menciona vários terremotos:</w:t>
      </w:r>
    </w:p>
    <w:p>
      <w:pPr>
        <w:pStyle w:val="ListNumber"/>
        <w:spacing w:line="240" w:lineRule="auto"/>
        <w:ind w:left="720"/>
      </w:pPr>
      <w:r/>
      <w:r>
        <w:t>No Monte Sinai, quando Deus deu a Moisés a lei (</w:t>
      </w:r>
      <w:hyperlink r:id="rId9614">
        <w:r>
          <w:rPr>
            <w:color w:val="0000EE"/>
            <w:u w:val="single"/>
          </w:rPr>
          <w:t>Êx 19.18</w:t>
        </w:r>
      </w:hyperlink>
      <w:r>
        <w:t>);</w:t>
      </w:r>
    </w:p>
    <w:p>
      <w:pPr>
        <w:pStyle w:val="ListNumber"/>
        <w:spacing w:line="240" w:lineRule="auto"/>
        <w:ind w:left="720"/>
      </w:pPr>
      <w:r/>
      <w:r>
        <w:t>Durante as peregrinações no deserto dos israelitas, quando Corá se rebelou contra Moisés (</w:t>
      </w:r>
      <w:hyperlink r:id="rId20059">
        <w:r>
          <w:rPr>
            <w:color w:val="0000EE"/>
            <w:u w:val="single"/>
          </w:rPr>
          <w:t>Nm 16.31–33</w:t>
        </w:r>
      </w:hyperlink>
      <w:r>
        <w:t>);</w:t>
      </w:r>
    </w:p>
    <w:p>
      <w:pPr>
        <w:pStyle w:val="ListNumber"/>
        <w:spacing w:line="240" w:lineRule="auto"/>
        <w:ind w:left="720"/>
      </w:pPr>
      <w:r/>
      <w:r>
        <w:t>Entre os filisteus, quando Jônatas e seu escudeiro lutaram contra eles (</w:t>
      </w:r>
      <w:hyperlink r:id="rId20060">
        <w:r>
          <w:rPr>
            <w:color w:val="0000EE"/>
            <w:u w:val="single"/>
          </w:rPr>
          <w:t>1Sm 14.15</w:t>
        </w:r>
      </w:hyperlink>
      <w:r>
        <w:t>);</w:t>
      </w:r>
    </w:p>
    <w:p>
      <w:pPr>
        <w:pStyle w:val="ListNumber"/>
        <w:spacing w:line="240" w:lineRule="auto"/>
        <w:ind w:left="720"/>
      </w:pPr>
      <w:r/>
      <w:r>
        <w:t>Depois que Elias matou os profetas de Baal e fugiu de Jezabel, enquanto estava sentado debaixo de um zimbro sentindo pena de si mesmo (</w:t>
      </w:r>
      <w:hyperlink r:id="rId20061">
        <w:r>
          <w:rPr>
            <w:color w:val="0000EE"/>
            <w:u w:val="single"/>
          </w:rPr>
          <w:t>1Rs 19.7–9,11</w:t>
        </w:r>
      </w:hyperlink>
      <w:r>
        <w:t>);</w:t>
      </w:r>
    </w:p>
    <w:p>
      <w:pPr>
        <w:pStyle w:val="ListNumber"/>
        <w:spacing w:line="240" w:lineRule="auto"/>
        <w:ind w:left="720"/>
      </w:pPr>
      <w:r/>
      <w:r>
        <w:t>Durante o reinado do rei Uzias (</w:t>
      </w:r>
      <w:hyperlink r:id="rId1257">
        <w:r>
          <w:rPr>
            <w:color w:val="0000EE"/>
            <w:u w:val="single"/>
          </w:rPr>
          <w:t>Am 1.1</w:t>
        </w:r>
      </w:hyperlink>
      <w:r>
        <w:t>);</w:t>
      </w:r>
    </w:p>
    <w:p>
      <w:pPr>
        <w:pStyle w:val="ListNumber"/>
        <w:spacing w:line="240" w:lineRule="auto"/>
        <w:ind w:left="720"/>
      </w:pPr>
      <w:r/>
      <w:r>
        <w:t>Quando Jesus morreu na cruz (</w:t>
      </w:r>
      <w:hyperlink r:id="rId20062">
        <w:r>
          <w:rPr>
            <w:color w:val="0000EE"/>
            <w:u w:val="single"/>
          </w:rPr>
          <w:t>Mt 27.51–54</w:t>
        </w:r>
      </w:hyperlink>
      <w:r>
        <w:t>);</w:t>
      </w:r>
    </w:p>
    <w:p>
      <w:pPr>
        <w:pStyle w:val="ListNumber"/>
        <w:spacing w:line="240" w:lineRule="auto"/>
        <w:ind w:left="720"/>
      </w:pPr>
      <w:r/>
      <w:r>
        <w:t>Quando Jesus ressuscitou dos mortos (</w:t>
      </w:r>
      <w:hyperlink r:id="rId20063">
        <w:r>
          <w:rPr>
            <w:color w:val="0000EE"/>
            <w:u w:val="single"/>
          </w:rPr>
          <w:t>Mt 28.2</w:t>
        </w:r>
      </w:hyperlink>
      <w:r>
        <w:t>);</w:t>
      </w:r>
    </w:p>
    <w:p>
      <w:pPr>
        <w:pStyle w:val="ListNumber"/>
        <w:spacing w:line="240" w:lineRule="auto"/>
        <w:ind w:left="720"/>
      </w:pPr>
      <w:r/>
      <w:r>
        <w:t>Em Filipos, quando Paulo e Silas estavam na prisão (</w:t>
      </w:r>
      <w:hyperlink r:id="rId20064">
        <w:r>
          <w:rPr>
            <w:color w:val="0000EE"/>
            <w:u w:val="single"/>
          </w:rPr>
          <w:t>At 16.26</w:t>
        </w:r>
      </w:hyperlink>
      <w:r>
        <w:t>).</w:t>
      </w:r>
    </w:p>
    <w:p>
      <w:r/>
      <w:r>
        <w:t>A Bíblia também menciona terremotos ocorrendo no futuro:</w:t>
      </w:r>
    </w:p>
    <w:p>
      <w:pPr>
        <w:pStyle w:val="ListNumber"/>
        <w:spacing w:line="240" w:lineRule="auto"/>
        <w:ind w:left="720"/>
      </w:pPr>
      <w:r/>
      <w:r>
        <w:t>No "Dia do Senhor" (</w:t>
      </w:r>
      <w:hyperlink r:id="rId20065">
        <w:r>
          <w:rPr>
            <w:color w:val="0000EE"/>
            <w:u w:val="single"/>
          </w:rPr>
          <w:t>Zc 14.4,5</w:t>
        </w:r>
      </w:hyperlink>
      <w:r>
        <w:t>);</w:t>
      </w:r>
    </w:p>
    <w:p>
      <w:pPr>
        <w:pStyle w:val="ListNumber"/>
        <w:spacing w:line="240" w:lineRule="auto"/>
        <w:ind w:left="720"/>
      </w:pPr>
      <w:r/>
      <w:r>
        <w:t>No final desta era (</w:t>
      </w:r>
      <w:hyperlink r:id="rId20066">
        <w:r>
          <w:rPr>
            <w:color w:val="0000EE"/>
            <w:u w:val="single"/>
          </w:rPr>
          <w:t>Ap 6.12–17</w:t>
        </w:r>
      </w:hyperlink>
      <w:r>
        <w:t xml:space="preserve">; </w:t>
      </w:r>
      <w:hyperlink r:id="rId19992">
        <w:r>
          <w:rPr>
            <w:color w:val="0000EE"/>
            <w:u w:val="single"/>
          </w:rPr>
          <w:t>11.19</w:t>
        </w:r>
      </w:hyperlink>
      <w:r>
        <w:t xml:space="preserve">; </w:t>
      </w:r>
      <w:hyperlink r:id="rId18426">
        <w:r>
          <w:rPr>
            <w:color w:val="0000EE"/>
            <w:u w:val="single"/>
          </w:rPr>
          <w:t>16.18</w:t>
        </w:r>
      </w:hyperlink>
      <w:r>
        <w:t>).</w:t>
      </w:r>
      <w:r/>
      <w:r/>
    </w:p>
    <w:p>
      <w:r/>
    </w:p>
    <w:p>
      <w:pPr>
        <w:pStyle w:val="Heading2"/>
      </w:pPr>
      <w:r>
        <w:t>Tértulo</w:t>
      </w:r>
      <w:r/>
    </w:p>
    <w:p>
      <w:r/>
      <w:r>
        <w:t>Tértulo foi o advogado escolhido pelo conselho judaico (chamado de Sinédrio) para falar contra Paulo durante seu julgamento. O governador romano Félix conduziu o julgamento em Cesareia (</w:t>
      </w:r>
      <w:hyperlink r:id="rId20067">
        <w:r>
          <w:rPr>
            <w:color w:val="0000EE"/>
            <w:u w:val="single"/>
          </w:rPr>
          <w:t>At 24.1–2</w:t>
        </w:r>
      </w:hyperlink>
      <w:r>
        <w:t>). Não está claro se Tértulo era romano, grego ou judeu. Algumas pessoas acreditam que ele era judeu porque ele diz "nossa lei" e afirma que o comandante romano Lísias tirou Paulo de "nossas mãos" (vv.</w:t>
      </w:r>
      <w:hyperlink r:id="rId20068">
        <w:r>
          <w:rPr>
            <w:color w:val="0000EE"/>
            <w:u w:val="single"/>
          </w:rPr>
          <w:t>6b–7</w:t>
        </w:r>
      </w:hyperlink>
      <w:r>
        <w:t>). No entanto, as cópias mais antigas da Bíblia não incluem essas partes dos versículos. Portanto, não podemos ter certeza.</w:t>
      </w:r>
    </w:p>
    <w:p>
      <w:r/>
      <w:r>
        <w:t>Tértulo provavelmente trabalhou como advogado nos tribunais romanos. Os líderes judeus o trouxeram rapidamente, o que sugere que ele era um orador treinado e especialista em leis.</w:t>
      </w:r>
    </w:p>
    <w:p>
      <w:r/>
      <w:r>
        <w:t>Em seu discurso (</w:t>
      </w:r>
      <w:hyperlink r:id="rId20069">
        <w:r>
          <w:rPr>
            <w:color w:val="0000EE"/>
            <w:u w:val="single"/>
          </w:rPr>
          <w:t>At 24.2–8</w:t>
        </w:r>
      </w:hyperlink>
      <w:r>
        <w:t>), Tértulo começou elogiando Félix. Em seguida, ele acusou Paulo de três coisas:</w:t>
      </w:r>
    </w:p>
    <w:p>
      <w:pPr>
        <w:pStyle w:val="ListBullet"/>
        <w:spacing w:line="240" w:lineRule="auto"/>
        <w:ind w:left="720"/>
      </w:pPr>
      <w:r/>
      <w:r>
        <w:t>causando problemas em locais públicos;</w:t>
      </w:r>
    </w:p>
    <w:p>
      <w:pPr>
        <w:pStyle w:val="ListBullet"/>
        <w:spacing w:line="240" w:lineRule="auto"/>
        <w:ind w:left="720"/>
      </w:pPr>
      <w:r/>
      <w:r>
        <w:t>perturbação da paz; e</w:t>
      </w:r>
    </w:p>
    <w:p>
      <w:pPr>
        <w:pStyle w:val="ListBullet"/>
        <w:spacing w:line="240" w:lineRule="auto"/>
        <w:ind w:left="720"/>
      </w:pPr>
      <w:r/>
      <w:r>
        <w:t>liderando o grupo chamado Os Nazarenos.</w:t>
      </w:r>
    </w:p>
    <w:p>
      <w:r/>
      <w:r>
        <w:t>Todos esses eram crimes graves segundo a lei romana.</w:t>
      </w:r>
      <w:r/>
      <w:r/>
    </w:p>
    <w:p>
      <w:r/>
    </w:p>
    <w:p>
      <w:pPr>
        <w:pStyle w:val="Heading2"/>
      </w:pPr>
      <w:r>
        <w:t>Tesoureiro</w:t>
      </w:r>
      <w:r/>
    </w:p>
    <w:p>
      <w:r/>
      <w:r>
        <w:t>Um oficial encarregado de assuntos financeiros. Nos tempos do Antigo Testamento, ele era responsável pelos tesouros reais ou sagrados, que consistiam em bens, documentos, dinheiro e joias. Ele era o mordomo das posses do rei e supervisor da Tesouraria. Davi nomeou Azmavete sobre os tesouros do rei, Jônatas sobre os tesouros nas cidades e vilas (</w:t>
      </w:r>
      <w:hyperlink r:id="rId20070">
        <w:r>
          <w:rPr>
            <w:color w:val="0000EE"/>
            <w:u w:val="single"/>
          </w:rPr>
          <w:t>1Cr 27.25</w:t>
        </w:r>
      </w:hyperlink>
      <w:r>
        <w:t>), e um silonita sobre os tesouros do templo (</w:t>
      </w:r>
      <w:hyperlink r:id="rId20071">
        <w:r>
          <w:rPr>
            <w:color w:val="0000EE"/>
            <w:u w:val="single"/>
          </w:rPr>
          <w:t>26.20</w:t>
        </w:r>
      </w:hyperlink>
      <w:r>
        <w:t>). O Tesouro do templo de Salomão estava aos cuidados de Jeiel (</w:t>
      </w:r>
      <w:hyperlink r:id="rId20072">
        <w:r>
          <w:rPr>
            <w:color w:val="0000EE"/>
            <w:u w:val="single"/>
          </w:rPr>
          <w:t>29.7–8</w:t>
        </w:r>
      </w:hyperlink>
      <w:r>
        <w:t>). Nos dias de Isaías, havia um tesoureiro para a casa chamado Sebna (</w:t>
      </w:r>
      <w:hyperlink r:id="rId20073">
        <w:r>
          <w:rPr>
            <w:color w:val="0000EE"/>
            <w:u w:val="single"/>
          </w:rPr>
          <w:t>Is 22.15</w:t>
        </w:r>
      </w:hyperlink>
      <w:r>
        <w:t>). Uma inscrição encontrada perto de Jerusalém pode registrar seu nome.</w:t>
      </w:r>
    </w:p>
    <w:p>
      <w:r/>
      <w:r>
        <w:t>Os tesoureiros também ocupavam posições em outras terras. O rei Ciro da Pérsia confiou seus tesouros do templo a Mitredate (</w:t>
      </w:r>
      <w:hyperlink r:id="rId20074">
        <w:r>
          <w:rPr>
            <w:color w:val="0000EE"/>
            <w:u w:val="single"/>
          </w:rPr>
          <w:t>Ed 1.8</w:t>
        </w:r>
      </w:hyperlink>
      <w:r>
        <w:t>). Artaxerxes ordenou aos tesoureiros da província “além do rio” que fornecessem fundos ao sacerdote Esdras (</w:t>
      </w:r>
      <w:hyperlink r:id="rId20075">
        <w:r>
          <w:rPr>
            <w:color w:val="0000EE"/>
            <w:u w:val="single"/>
          </w:rPr>
          <w:t>7.21–22</w:t>
        </w:r>
      </w:hyperlink>
      <w:r>
        <w:t>). Neemias nomeou tesoureiros sobre os armazéns para distribuir bens (</w:t>
      </w:r>
      <w:hyperlink r:id="rId19960">
        <w:r>
          <w:rPr>
            <w:color w:val="0000EE"/>
            <w:u w:val="single"/>
          </w:rPr>
          <w:t>Ne 12.44</w:t>
        </w:r>
      </w:hyperlink>
      <w:r>
        <w:t xml:space="preserve">; </w:t>
      </w:r>
      <w:hyperlink r:id="rId20076">
        <w:r>
          <w:rPr>
            <w:color w:val="0000EE"/>
            <w:u w:val="single"/>
          </w:rPr>
          <w:t>13.13</w:t>
        </w:r>
      </w:hyperlink>
      <w:r>
        <w:t>).</w:t>
      </w:r>
    </w:p>
    <w:p>
      <w:r/>
      <w:r>
        <w:t>No Novo Testamento, dois tesoureiros são conhecidos. O eunuco etíope era responsável pela tesouraria de Candace, rainha da Etiópia (</w:t>
      </w:r>
      <w:hyperlink r:id="rId4183">
        <w:r>
          <w:rPr>
            <w:color w:val="0000EE"/>
            <w:u w:val="single"/>
          </w:rPr>
          <w:t>At 8.27</w:t>
        </w:r>
      </w:hyperlink>
      <w:r>
        <w:t>), e Erasto era o tesoureiro da cidade de Corinto (</w:t>
      </w:r>
      <w:hyperlink r:id="rId4126">
        <w:r>
          <w:rPr>
            <w:color w:val="0000EE"/>
            <w:u w:val="single"/>
          </w:rPr>
          <w:t>Rm 16.23</w:t>
        </w:r>
      </w:hyperlink>
      <w:r>
        <w:t>). Uma inscrição deixada em Corinto por Erasto, um tesoureiro romano, pode ser dele.</w:t>
      </w:r>
    </w:p>
    <w:p>
      <w:r/>
      <w:r>
        <w:rPr>
          <w:i/>
        </w:rPr>
        <w:t>Veja também</w:t>
      </w:r>
      <w:r>
        <w:t xml:space="preserve"> </w:t>
      </w:r>
      <w:r>
        <w:t>Dinheiro</w:t>
      </w:r>
      <w:r>
        <w:t xml:space="preserve">; </w:t>
      </w:r>
      <w:r>
        <w:t>Banqueiro, Bancário</w:t>
      </w:r>
      <w:r>
        <w:t>.</w:t>
      </w:r>
      <w:r/>
      <w:r/>
    </w:p>
    <w:p>
      <w:r/>
    </w:p>
    <w:p>
      <w:pPr>
        <w:pStyle w:val="Heading2"/>
      </w:pPr>
      <w:r>
        <w:t>Tessalônica</w:t>
      </w:r>
      <w:r/>
    </w:p>
    <w:p>
      <w:r/>
      <w:r>
        <w:t>Principal cidade da Macedônia e sede da administração romana no século antes de Cristo. Além de possuir um magnífico porto, Tessalônica teve a sorte de estar localizada na rota terrestre da Itália para o Leste. Esta famosa estrada, chamada Via Egnácia, passava diretamente pela cidade. Dois arcos romanos, o Portão de Vardar e o Arco de Galério, marcavam os limites ocidental e oriental.</w:t>
      </w:r>
    </w:p>
    <w:p>
      <w:r/>
      <w:r>
        <w:t xml:space="preserve">De acordo com Estrabão, um famoso geógrafo grego, Tessalônica foi fundada em 315 a.C. pelo general macedônio Cassandro, que a nomeou em homenagem à sua esposa, filha de Filipe e meia-irmã de Alexandre, o Grande. Foi povoada por refugiados de várias cidades na mesma região, que haviam sido destruídas na guerra. Quando a Macedônia foi dividida em quatro distritos (167 a.C.), Tessalônica tornou-se a capital da Segunda divisão. Sua influência continuou a se expandir quando a área se tornou uma província romana. Na Segunda guerra civil entre César e Pompeu (42 a.C.), Tessalônica permaneceu leal a Antônio e Otaviano e foi recompensada com o status de cidade livre. Esta autonomia permitiu à cidade nomear seus próprios magistrados, que receberam o título incomum de politarcas. A precisão histórica de Lucas é vista no fato de que, enquanto o termo “politarca” não aparece na literatura grega anterior, ele é usado em </w:t>
      </w:r>
      <w:hyperlink r:id="rId20077">
        <w:r>
          <w:rPr>
            <w:color w:val="0000EE"/>
            <w:u w:val="single"/>
          </w:rPr>
          <w:t>Atos 17.6–8</w:t>
        </w:r>
      </w:hyperlink>
      <w:r>
        <w:t xml:space="preserve"> e foi encontrado em uma inscrição no Portão de Vardar e em outras inscrições da área. No início do primeiro século, Tessalônica tinha um conselho de cinco politarcas. Cícero, um estadista romano que viveu pouco antes da época de Cristo, passou sete meses em exílio em Tessalônica.</w:t>
      </w:r>
    </w:p>
    <w:p>
      <w:r/>
      <w:r>
        <w:t>A igreja em Tessalônica foi fundada por Paulo em sua segunda viagem missionária (</w:t>
      </w:r>
      <w:hyperlink r:id="rId20078">
        <w:r>
          <w:rPr>
            <w:color w:val="0000EE"/>
            <w:u w:val="single"/>
          </w:rPr>
          <w:t>At 17.1–4</w:t>
        </w:r>
      </w:hyperlink>
      <w:r>
        <w:t>). Em Trôade, o apóstolo foi direcionado por uma visão a atravessar o Mar Egeu até a Macedônia. Após ministrar em Filipos, onde foi espancado e preso, a cidadania romana de Paulo garantiu sua libertação, e ele viajou para Tessalônica. No sábado, Paulo entrou na sinagoga e argumentou com os judeus que Jesus era o Cristo. Alguns foram persuadidos, junto com vários gregos tementes a Deus e várias mulheres proeminentes (v.</w:t>
      </w:r>
      <w:hyperlink r:id="rId7098">
        <w:r>
          <w:rPr>
            <w:color w:val="0000EE"/>
            <w:u w:val="single"/>
          </w:rPr>
          <w:t>4</w:t>
        </w:r>
      </w:hyperlink>
      <w:r>
        <w:t>).</w:t>
      </w:r>
    </w:p>
    <w:p>
      <w:r/>
      <w:r>
        <w:t>O sucesso de Paulo despertou o ciúme dos judeus, que reuniram alguns desordeiros do mercado e iniciaram um tumulto. Eles invadiram a casa de Jasão, onde Paulo estava hospedado, mas quando não conseguiram encontrar o apóstolo, arrastaram seu anfitrião e alguns outros crentes diante das autoridades da cidade. Eles alegaram que Paulo era culpado de desafiar os decretos de César porque ele ensinava sobre outro rei chamado Jesus. Naquela mesma noite, Paulo escapuliu da cidade e seguiu para Bereia (</w:t>
      </w:r>
      <w:hyperlink r:id="rId20079">
        <w:r>
          <w:rPr>
            <w:color w:val="0000EE"/>
            <w:u w:val="single"/>
          </w:rPr>
          <w:t>At 17.5–10</w:t>
        </w:r>
      </w:hyperlink>
      <w:r>
        <w:t>). A hostilidade dos judeus de Tessalônica em relação a Paulo é vista no fato de que, quando souberam que ele estava pregando em Bereia, eles o seguiram até lá e incitaram as multidões contra ele (v.</w:t>
      </w:r>
      <w:hyperlink r:id="rId20080">
        <w:r>
          <w:rPr>
            <w:color w:val="0000EE"/>
            <w:u w:val="single"/>
          </w:rPr>
          <w:t>13</w:t>
        </w:r>
      </w:hyperlink>
      <w:r>
        <w:t>).</w:t>
      </w:r>
    </w:p>
    <w:p>
      <w:r/>
      <w:r>
        <w:t>Nosso conhecimento básico sobre a igreja em Tessalônica vem de duas cartas de Paulo escritas em Corinto em uma data um pouco posterior. Essas primeiras cartas do apóstolo fornecem uma visão importante sobre a vida de uma congregação macedônia do primeiro século, que era principalmente gentia. Nos séculos que se seguiram, a cidade permaneceu como uma das principais fortalezas do cristianismo.</w:t>
      </w:r>
    </w:p>
    <w:p>
      <w:r/>
      <w:r>
        <w:rPr>
          <w:i/>
        </w:rPr>
        <w:t>Veja também</w:t>
      </w:r>
      <w:r>
        <w:t xml:space="preserve"> </w:t>
      </w:r>
      <w:r>
        <w:t>Paulo, O apóstolo</w:t>
      </w:r>
      <w:r>
        <w:t xml:space="preserve">; </w:t>
      </w:r>
      <w:r>
        <w:t>Tessalonicenses, Primeira carta aos</w:t>
      </w:r>
      <w:r>
        <w:t xml:space="preserve">; </w:t>
      </w:r>
      <w:r>
        <w:t>Tessalonicenses, Segunda carta aos</w:t>
      </w:r>
      <w:r>
        <w:t>.</w:t>
      </w:r>
      <w:r/>
      <w:r/>
    </w:p>
    <w:p>
      <w:r/>
    </w:p>
    <w:p>
      <w:pPr>
        <w:pStyle w:val="Heading2"/>
      </w:pPr>
      <w:r>
        <w:t>Tessalonicenses, Primeira carta aos</w:t>
      </w:r>
      <w:r/>
    </w:p>
    <w:p>
      <w:r/>
      <w:r>
        <w:t>Primeira epístola de Paulo à igreja em Tessalônica.</w:t>
      </w:r>
    </w:p>
    <w:p>
      <w:r/>
      <w:r>
        <w:t>Resumo</w:t>
      </w:r>
    </w:p>
    <w:p>
      <w:r/>
      <w:r>
        <w:t>• Autor(es);</w:t>
      </w:r>
    </w:p>
    <w:p>
      <w:r/>
      <w:r>
        <w:t>• Data, origem e destino;</w:t>
      </w:r>
    </w:p>
    <w:p>
      <w:r/>
      <w:r>
        <w:t>• Propósito; e</w:t>
      </w:r>
    </w:p>
    <w:p>
      <w:r/>
      <w:r>
        <w:t>• Conteúdo.</w:t>
      </w:r>
    </w:p>
    <w:p>
      <w:pPr>
        <w:pStyle w:val="Heading3"/>
      </w:pPr>
      <w:r>
        <w:t>Autor(es)</w:t>
      </w:r>
    </w:p>
    <w:p>
      <w:r/>
      <w:r>
        <w:t>Os nomes de Paulo, Silas (grego “Silvano”) e Timóteo estão no início desta carta, e como em outras cartas de Paulo, seus colaboradores podem ter tido alguma participação na redação. Frequentemente, os pronomes plurais “nós” e “nos” são mantidos, mas “Eu, Paulo” (</w:t>
      </w:r>
      <w:hyperlink r:id="rId19260">
        <w:r>
          <w:rPr>
            <w:color w:val="0000EE"/>
            <w:u w:val="single"/>
          </w:rPr>
          <w:t>1Ts 2.18</w:t>
        </w:r>
      </w:hyperlink>
      <w:r>
        <w:t xml:space="preserve">) e o pronome singular em outros lugares (veja </w:t>
      </w:r>
      <w:hyperlink r:id="rId2142">
        <w:r>
          <w:rPr>
            <w:color w:val="0000EE"/>
            <w:u w:val="single"/>
          </w:rPr>
          <w:t>3.5</w:t>
        </w:r>
      </w:hyperlink>
      <w:r>
        <w:t xml:space="preserve">; </w:t>
      </w:r>
      <w:hyperlink r:id="rId3769">
        <w:r>
          <w:rPr>
            <w:color w:val="0000EE"/>
            <w:u w:val="single"/>
          </w:rPr>
          <w:t>5.27</w:t>
        </w:r>
      </w:hyperlink>
      <w:r>
        <w:t>) mostram que a carta era essencialmente de Paulo. A partir do século 19, alguns estudiosos questionaram a autoria paulina da epístola, mas sem razões convincentes. As questões tratadas nesta carta são claramente questões enfrentadas por uma igreja nos estágios iniciais de sua existência. À luz das diferenças de expressão entre esta e outras cartas paulinas, alguns sugeriram que Silvano ou Timóteo podem ter tido uma participação significativa na sua redação, mas isso é incerto. A igreja primitiva não tinha dúvidas sobre a autoria da carta.</w:t>
      </w:r>
    </w:p>
    <w:p>
      <w:pPr>
        <w:pStyle w:val="Heading3"/>
      </w:pPr>
      <w:r>
        <w:t>Data, origem e destino</w:t>
      </w:r>
    </w:p>
    <w:p>
      <w:r/>
      <w:r>
        <w:t>A carta é endereçada especificamente à “igreja dos tessalonicenses” (</w:t>
      </w:r>
      <w:hyperlink r:id="rId3688">
        <w:r>
          <w:rPr>
            <w:color w:val="0000EE"/>
            <w:u w:val="single"/>
          </w:rPr>
          <w:t>1.1</w:t>
        </w:r>
      </w:hyperlink>
      <w:r>
        <w:t xml:space="preserve">). De acordo com </w:t>
      </w:r>
      <w:hyperlink r:id="rId20081">
        <w:r>
          <w:rPr>
            <w:color w:val="0000EE"/>
            <w:u w:val="single"/>
          </w:rPr>
          <w:t>Atos 17.1–9</w:t>
        </w:r>
      </w:hyperlink>
      <w:r>
        <w:t>, Paulo, com Silas (Silvano) e Timóteo, durante seu trabalho missionário na província romana da Macedônia, veio de Filipos para Tessalônica. Ele foi primeiro, como era seu costume, à sinagoga, e por três sábados explicou e provou pelas Escrituras que o Cristo deveria sofrer e ressuscitar dos mortos, declarando que Jesus era o Cristo. Alguns judeus acreditaram em Jesus como seu Messias, assim como muitos gregos tementes a Deus e várias mulheres proeminentes. Mas então os judeus incitaram oposição, de modo que Paulo e seus colaboradores tiveram que deixar Tessalônica.</w:t>
      </w:r>
    </w:p>
    <w:p>
      <w:r/>
      <w:r>
        <w:t>O tempo real passado em Tessalônica foi provavelmente mais de três semanas. Nesta carta, Paulo menciona trabalhar para seu sustento para não sobrecarregar os tessalonicenses (</w:t>
      </w:r>
      <w:hyperlink r:id="rId9101">
        <w:r>
          <w:rPr>
            <w:color w:val="0000EE"/>
            <w:u w:val="single"/>
          </w:rPr>
          <w:t>1Ts 2.9</w:t>
        </w:r>
      </w:hyperlink>
      <w:r>
        <w:t xml:space="preserve">). Referências sobre suas ações e atitudes entre eles sugerem um período mais longo, e </w:t>
      </w:r>
      <w:hyperlink r:id="rId20082">
        <w:r>
          <w:rPr>
            <w:color w:val="0000EE"/>
            <w:u w:val="single"/>
          </w:rPr>
          <w:t>Filipenses 4.16</w:t>
        </w:r>
      </w:hyperlink>
      <w:r>
        <w:t xml:space="preserve"> menciona os cristãos filipenses enviando ajuda a Paulo em Tessalônica duas vezes.</w:t>
      </w:r>
    </w:p>
    <w:p>
      <w:r/>
      <w:r>
        <w:t>Com Silas, e presumivelmente Timóteo, Paulo foi para Bereia, e seus colegas de trabalho ficaram lá quando Paulo prosseguiu para Atenas (</w:t>
      </w:r>
      <w:hyperlink r:id="rId3440">
        <w:r>
          <w:rPr>
            <w:color w:val="0000EE"/>
            <w:u w:val="single"/>
          </w:rPr>
          <w:t>At 17.10–15</w:t>
        </w:r>
      </w:hyperlink>
      <w:r>
        <w:t>). Quando Timóteo se juntou a Paulo em Atenas, Paulo enviou Timóteo aos cristãos de Tessalônica porque estava preocupado com a forma como eles estavam enfrentando a oposição. Timóteo retornou de Tessalônica com boas notícias. Subsequentemente, Paulo escreveu esta carta.</w:t>
      </w:r>
    </w:p>
    <w:p>
      <w:r/>
      <w:hyperlink r:id="rId19576">
        <w:r>
          <w:rPr>
            <w:color w:val="0000EE"/>
            <w:u w:val="single"/>
          </w:rPr>
          <w:t>Atos 18.5</w:t>
        </w:r>
      </w:hyperlink>
      <w:r>
        <w:t xml:space="preserve"> menciona Timóteo e Silas retornando da Macedônia para encontrar o apóstolo em Corinto. Provavelmente foi de Corinto, no início de sua estadia de 18 meses, que Paulo escreveu esta carta. Como seu trabalho em Corinto pode ser aproximadamente datado, esta epístola foi provavelmente escrita no início do ano 50, muito provavelmente cerca de um ano após a primeira pregação do evangelho em Tessalônica.</w:t>
      </w:r>
    </w:p>
    <w:p>
      <w:pPr>
        <w:pStyle w:val="Heading3"/>
      </w:pPr>
      <w:r>
        <w:t>Propósito</w:t>
      </w:r>
    </w:p>
    <w:p>
      <w:r/>
      <w:r>
        <w:t xml:space="preserve">O relatório de Timóteo sobre a situação em Tessalônica motivou Paulo a escrever esta carta. Possivelmente, Timóteo trouxe uma carta dos tessalonicenses. Isso é sugerido pela maneira como Paulo introduziu certos assuntos (“quanto ao amor fraternal”, </w:t>
      </w:r>
      <w:hyperlink r:id="rId5301">
        <w:r>
          <w:rPr>
            <w:color w:val="0000EE"/>
            <w:u w:val="single"/>
          </w:rPr>
          <w:t>4.9</w:t>
        </w:r>
      </w:hyperlink>
      <w:r>
        <w:t xml:space="preserve">; “quanto aos que dormem”, </w:t>
      </w:r>
      <w:hyperlink r:id="rId13463">
        <w:r>
          <w:rPr>
            <w:color w:val="0000EE"/>
            <w:u w:val="single"/>
          </w:rPr>
          <w:t>4.13</w:t>
        </w:r>
      </w:hyperlink>
      <w:r>
        <w:t xml:space="preserve">; “quanto aos tempos e às estações”, </w:t>
      </w:r>
      <w:hyperlink r:id="rId20083">
        <w:r>
          <w:rPr>
            <w:color w:val="0000EE"/>
            <w:u w:val="single"/>
          </w:rPr>
          <w:t>5.1</w:t>
        </w:r>
      </w:hyperlink>
      <w:r>
        <w:t>) e então disse que não precisava escrever a eles sobre essas coisas. Havia várias razões pelas quais Paulo escreveu aos tessalonicenses:</w:t>
      </w:r>
    </w:p>
    <w:p>
      <w:r/>
      <w:r>
        <w:t>1. Ele queria elogiar os cristãos de Tessalônica por sua fé e devoção, que se tornaram amplamente conhecidas como exemplo para os outros (</w:t>
      </w:r>
      <w:hyperlink r:id="rId20084">
        <w:r>
          <w:rPr>
            <w:color w:val="0000EE"/>
            <w:u w:val="single"/>
          </w:rPr>
          <w:t>1.7–10</w:t>
        </w:r>
      </w:hyperlink>
      <w:r>
        <w:t>).</w:t>
      </w:r>
    </w:p>
    <w:p>
      <w:r/>
      <w:r>
        <w:t>2. Ele percebeu que a perseguição que enfrentou em Tessalônica havia continuado para aqueles que deixou para trás, e ele queria encorajá-los a permanecer firmes (</w:t>
      </w:r>
      <w:hyperlink r:id="rId20085">
        <w:r>
          <w:rPr>
            <w:color w:val="0000EE"/>
            <w:u w:val="single"/>
          </w:rPr>
          <w:t>2.13–16</w:t>
        </w:r>
      </w:hyperlink>
      <w:r>
        <w:t>). Ele temia por eles, mas ficou encantado com as notícias de sua firmeza (</w:t>
      </w:r>
      <w:hyperlink r:id="rId20086">
        <w:r>
          <w:rPr>
            <w:color w:val="0000EE"/>
            <w:u w:val="single"/>
          </w:rPr>
          <w:t>3.1–10</w:t>
        </w:r>
      </w:hyperlink>
      <w:r>
        <w:t>).</w:t>
      </w:r>
    </w:p>
    <w:p>
      <w:r/>
      <w:r>
        <w:t>3. Havia aqueles que estavam distorcendo a imagem do apóstolo em Tessalônica, possivelmente os judeus que iniciaram a oposição a ele quando esteve lá (</w:t>
      </w:r>
      <w:hyperlink r:id="rId9511">
        <w:r>
          <w:rPr>
            <w:color w:val="0000EE"/>
            <w:u w:val="single"/>
          </w:rPr>
          <w:t>At 17.5</w:t>
        </w:r>
      </w:hyperlink>
      <w:r>
        <w:t>). Provavelmente disseram que ele era apenas um charlatão religioso que os havia afastado de sua religião para uma nova fé, e que nunca mais o veriam. Então, o apóstolo os lembrou de seus métodos e atitudes entre eles (</w:t>
      </w:r>
      <w:hyperlink r:id="rId20087">
        <w:r>
          <w:rPr>
            <w:color w:val="0000EE"/>
            <w:u w:val="single"/>
          </w:rPr>
          <w:t>1Ts 2.1–12</w:t>
        </w:r>
      </w:hyperlink>
      <w:r>
        <w:t>) e falou sobre seus desejos e planos de vê-los novamente (vv.</w:t>
      </w:r>
      <w:hyperlink r:id="rId20088">
        <w:r>
          <w:rPr>
            <w:color w:val="0000EE"/>
            <w:u w:val="single"/>
          </w:rPr>
          <w:t>17–18</w:t>
        </w:r>
      </w:hyperlink>
      <w:r>
        <w:t>).</w:t>
      </w:r>
    </w:p>
    <w:p>
      <w:r/>
      <w:r>
        <w:t>4. Era necessário também exortar os cristãos de Tessalônica a viverem de acordo com os padrões cristãos, especialmente na questão da moralidade sexual (</w:t>
      </w:r>
      <w:hyperlink r:id="rId20089">
        <w:r>
          <w:rPr>
            <w:color w:val="0000EE"/>
            <w:u w:val="single"/>
          </w:rPr>
          <w:t>4.1–8</w:t>
        </w:r>
      </w:hyperlink>
      <w:r>
        <w:t>). Outros assuntos relacionados ao seu modo de vida e seus relacionamentos dentro da comunhão cristã também precisavam de atenção (</w:t>
      </w:r>
      <w:hyperlink r:id="rId20090">
        <w:r>
          <w:rPr>
            <w:color w:val="0000EE"/>
            <w:u w:val="single"/>
          </w:rPr>
          <w:t>4.9–12</w:t>
        </w:r>
      </w:hyperlink>
      <w:r>
        <w:t xml:space="preserve">; </w:t>
      </w:r>
      <w:hyperlink r:id="rId20091">
        <w:r>
          <w:rPr>
            <w:color w:val="0000EE"/>
            <w:u w:val="single"/>
          </w:rPr>
          <w:t>5.12–22</w:t>
        </w:r>
      </w:hyperlink>
      <w:r>
        <w:t>).</w:t>
      </w:r>
    </w:p>
    <w:p>
      <w:r/>
      <w:r>
        <w:t>5. Outra grande preocupação era lidar com os equívocos dos cristãos de Tessalônica em relação àqueles que haviam morrido e à Segunda Vinda do Senhor (</w:t>
      </w:r>
      <w:hyperlink r:id="rId20092">
        <w:r>
          <w:rPr>
            <w:color w:val="0000EE"/>
            <w:u w:val="single"/>
          </w:rPr>
          <w:t>4.13–18</w:t>
        </w:r>
      </w:hyperlink>
      <w:r>
        <w:t>). Em relação à esperança futura, havia também a questão dos “tempos e das estações”, e Paulo repetiu o ensinamento que havia dado quando estava entre eles (</w:t>
      </w:r>
      <w:hyperlink r:id="rId20093">
        <w:r>
          <w:rPr>
            <w:color w:val="0000EE"/>
            <w:u w:val="single"/>
          </w:rPr>
          <w:t>5.1–11</w:t>
        </w:r>
      </w:hyperlink>
      <w:r>
        <w:t>).</w:t>
      </w:r>
    </w:p>
    <w:p>
      <w:r/>
      <w:r>
        <w:t>6. Pode ter havido também um perigo de desunião que levou o apóstolo a enfatizar a comunhão de todos os crentes (</w:t>
      </w:r>
      <w:hyperlink r:id="rId3769">
        <w:r>
          <w:rPr>
            <w:color w:val="0000EE"/>
            <w:u w:val="single"/>
          </w:rPr>
          <w:t>5.27</w:t>
        </w:r>
      </w:hyperlink>
      <w:r>
        <w:t>), a exortá-los a não menosprezar nenhum dom espiritual (vv.</w:t>
      </w:r>
      <w:hyperlink r:id="rId20094">
        <w:r>
          <w:rPr>
            <w:color w:val="0000EE"/>
            <w:u w:val="single"/>
          </w:rPr>
          <w:t>19–21</w:t>
        </w:r>
      </w:hyperlink>
      <w:r>
        <w:t>), e a não falhar em respeitar seus líderes (v.</w:t>
      </w:r>
      <w:hyperlink r:id="rId20095">
        <w:r>
          <w:rPr>
            <w:color w:val="0000EE"/>
            <w:u w:val="single"/>
          </w:rPr>
          <w:t>12</w:t>
        </w:r>
      </w:hyperlink>
      <w:r>
        <w:t>).</w:t>
      </w:r>
    </w:p>
    <w:p>
      <w:pPr>
        <w:pStyle w:val="Heading3"/>
      </w:pPr>
      <w:r>
        <w:t>Conteúdo</w:t>
      </w:r>
    </w:p>
    <w:p>
      <w:pPr>
        <w:pStyle w:val="Heading4"/>
      </w:pPr>
      <w:r>
        <w:t>Ação de graças pela resposta dos tessalonicenses ao Evangelho (</w:t>
      </w:r>
      <w:hyperlink r:id="rId20096">
        <w:r>
          <w:rPr>
            <w:color w:val="0000EE"/>
            <w:u w:val="single"/>
          </w:rPr>
          <w:t>1.2–10</w:t>
        </w:r>
      </w:hyperlink>
      <w:r>
        <w:t>)</w:t>
      </w:r>
    </w:p>
    <w:p>
      <w:r/>
      <w:r>
        <w:t>Paulo orou com gratidão porque em suas vidas os frutos da fé, amor e esperança eram evidentes. O evangelho havia chegado a eles com o poder do Espírito Santo, respaldado pelas vidas de seus mensageiros. Mesmo que receber o evangelho tenha envolvido sofrimento, a fé deles era um exemplo para os cristãos das províncias romanas da Macedônia e Acaia. Os tessalonicenses haviam se voltado para o Deus vivo, afastando-se dos ídolos, indicando que a maioria dos crentes era gentia em vez de judaica.</w:t>
      </w:r>
    </w:p>
    <w:p>
      <w:pPr>
        <w:pStyle w:val="Heading4"/>
      </w:pPr>
      <w:r>
        <w:t>Defesa de Paulo de seu ministério em Tessalônica (</w:t>
      </w:r>
      <w:hyperlink r:id="rId20087">
        <w:r>
          <w:rPr>
            <w:color w:val="0000EE"/>
            <w:u w:val="single"/>
          </w:rPr>
          <w:t>2.1–12</w:t>
        </w:r>
      </w:hyperlink>
      <w:r>
        <w:t>)</w:t>
      </w:r>
    </w:p>
    <w:p>
      <w:r/>
      <w:r>
        <w:t>Devido a falsas acusações feitas contra ele, Paulo achou necessário defender seu ministério. Ele vinha de uma experiência de perseguição em Filipos e teve que enfrentar uma “grande oposição” em Tessalônica. Não havia engano em sua tentativa de persuadi-los sobre a verdade do evangelho. Esse evangelho foi confiado a ele por Deus, e seu único desejo era comunicá-lo a eles com total integridade.</w:t>
      </w:r>
    </w:p>
    <w:p>
      <w:pPr>
        <w:pStyle w:val="Heading4"/>
      </w:pPr>
      <w:r>
        <w:t>A aceitação deles do Evangelho (</w:t>
      </w:r>
      <w:hyperlink r:id="rId20085">
        <w:r>
          <w:rPr>
            <w:color w:val="0000EE"/>
            <w:u w:val="single"/>
          </w:rPr>
          <w:t>2.13–16</w:t>
        </w:r>
      </w:hyperlink>
      <w:r>
        <w:t>)</w:t>
      </w:r>
    </w:p>
    <w:p>
      <w:r/>
      <w:r>
        <w:t>Os tessalonicenses aceitaram o evangelho como “a palavra de Deus” e sofreram nas mãos de seu próprio povo. Esses perseguidores enfrentarão o julgamento justo de Deus.</w:t>
      </w:r>
    </w:p>
    <w:p>
      <w:pPr>
        <w:pStyle w:val="Heading4"/>
      </w:pPr>
      <w:r>
        <w:t>Preocupação contínua de Paulo por eles (</w:t>
      </w:r>
      <w:hyperlink r:id="rId20097">
        <w:r>
          <w:rPr>
            <w:color w:val="0000EE"/>
            <w:u w:val="single"/>
          </w:rPr>
          <w:t>2.17–20</w:t>
        </w:r>
      </w:hyperlink>
      <w:r>
        <w:t>)</w:t>
      </w:r>
    </w:p>
    <w:p>
      <w:r/>
      <w:r>
        <w:t>Se os acusadores de Paulo estavam dizendo que os tessalonicenses nunca o veriam novamente, ele poderia assegurar que muitas vezes quis retornar, mas foi impedido. Ao dizer “Satanás nos impediu”, Paulo pode estar se referindo ao incidente em que Jasão foi obrigado a prometer às autoridades que Paulo deixaria a cidade e não retornaria (</w:t>
      </w:r>
      <w:hyperlink r:id="rId20098">
        <w:r>
          <w:rPr>
            <w:color w:val="0000EE"/>
            <w:u w:val="single"/>
          </w:rPr>
          <w:t>At 17.9</w:t>
        </w:r>
      </w:hyperlink>
      <w:r>
        <w:t>). De qualquer forma, os cristãos Tessalonicenses são sua “glória e alegria”. Sua satisfação será vê-los permanecer “diante de nosso Senhor Jesus Cristo em sua vinda”.</w:t>
      </w:r>
    </w:p>
    <w:p>
      <w:pPr>
        <w:pStyle w:val="Heading4"/>
      </w:pPr>
      <w:r>
        <w:t>A missão de Timóteo (</w:t>
      </w:r>
      <w:hyperlink r:id="rId20099">
        <w:r>
          <w:rPr>
            <w:color w:val="0000EE"/>
            <w:u w:val="single"/>
          </w:rPr>
          <w:t>3.1–5</w:t>
        </w:r>
      </w:hyperlink>
      <w:r>
        <w:t>)</w:t>
      </w:r>
    </w:p>
    <w:p>
      <w:r/>
      <w:r>
        <w:t xml:space="preserve">Temendo pelos cristãos de Tessalônica que enfrentavam perseguição, Paulo estava disposto a ficar sozinho no trabalho do evangelho em Atenas (veja </w:t>
      </w:r>
      <w:hyperlink r:id="rId2827">
        <w:r>
          <w:rPr>
            <w:color w:val="0000EE"/>
            <w:u w:val="single"/>
          </w:rPr>
          <w:t>At 17.16–34</w:t>
        </w:r>
      </w:hyperlink>
      <w:r>
        <w:t>) e enviou Timóteo para encorajá-los e apoiá-los em todas as suas “aflições”. Paulo reiterou que os cristãos devem sempre estar preparados para enfrentar o sofrimento.</w:t>
      </w:r>
    </w:p>
    <w:p>
      <w:pPr>
        <w:pStyle w:val="Heading4"/>
      </w:pPr>
      <w:r>
        <w:t>As boas-novas que Timóteo trouxe (</w:t>
      </w:r>
      <w:hyperlink r:id="rId20100">
        <w:r>
          <w:rPr>
            <w:color w:val="0000EE"/>
            <w:u w:val="single"/>
          </w:rPr>
          <w:t>3.6–10</w:t>
        </w:r>
      </w:hyperlink>
      <w:r>
        <w:t>)</w:t>
      </w:r>
    </w:p>
    <w:p>
      <w:r/>
      <w:r>
        <w:t>O próprio Paulo continuava a sentir "angústia e aflição" por causa do evangelho, mas as notícias sobre a fé e o amor deles revigoraram seu espírito e lhe deram grande motivo para agradecer a Deus. Ele orava para que pudesse vê-los novamente e fortalecê-los ainda mais na fé.</w:t>
      </w:r>
    </w:p>
    <w:p>
      <w:pPr>
        <w:pStyle w:val="Heading4"/>
      </w:pPr>
      <w:r>
        <w:t>Oração de Paulo (</w:t>
      </w:r>
      <w:hyperlink r:id="rId20101">
        <w:r>
          <w:rPr>
            <w:color w:val="0000EE"/>
            <w:u w:val="single"/>
          </w:rPr>
          <w:t>3.11–13</w:t>
        </w:r>
      </w:hyperlink>
      <w:r>
        <w:t>)</w:t>
      </w:r>
    </w:p>
    <w:p>
      <w:r/>
      <w:r>
        <w:t>A oração de Paulo era para que Deus o levasse de volta aos seus amigos em Tessalônica, e que eles pudessem transbordar de amor e serem firmados em santidade de vida, para que se apresentassem “e vocês serão completamente dedicados a ele e estarão sem culpa na presença do nosso Deus e Pai, quando o nosso Senhor Jesus vier com todos os que são dele” (</w:t>
      </w:r>
      <w:hyperlink r:id="rId5681">
        <w:r>
          <w:rPr>
            <w:color w:val="0000EE"/>
            <w:u w:val="single"/>
          </w:rPr>
          <w:t>3.13</w:t>
        </w:r>
      </w:hyperlink>
      <w:r>
        <w:t>, NTLH).</w:t>
      </w:r>
    </w:p>
    <w:p>
      <w:pPr>
        <w:pStyle w:val="Heading4"/>
      </w:pPr>
      <w:r>
        <w:t>Exortação à pureza de vida (</w:t>
      </w:r>
      <w:hyperlink r:id="rId20089">
        <w:r>
          <w:rPr>
            <w:color w:val="0000EE"/>
            <w:u w:val="single"/>
          </w:rPr>
          <w:t>4.1–8</w:t>
        </w:r>
      </w:hyperlink>
      <w:r>
        <w:t>)</w:t>
      </w:r>
    </w:p>
    <w:p>
      <w:r/>
      <w:r>
        <w:t>Santidade, não imoralidade, e santificação, não impureza, são o chamado do cristão. Paulo enfatizou isso ao afirmar que viver de maneira contrária demonstra desrespeito pelo Espírito Santo. Os padrões cristãos devem ser completamente diferentes dos padrões predominantes entre os pagãos que não conhecem a Deus. Por exemplo, as relações sexuais não devem ser determinadas pela luxúria, mas sim expressas em santidade e honra dentro dos laços do casamento.</w:t>
      </w:r>
    </w:p>
    <w:p>
      <w:pPr>
        <w:pStyle w:val="Heading4"/>
      </w:pPr>
      <w:r>
        <w:t>Exortação prática (</w:t>
      </w:r>
      <w:hyperlink r:id="rId20090">
        <w:r>
          <w:rPr>
            <w:color w:val="0000EE"/>
            <w:u w:val="single"/>
          </w:rPr>
          <w:t>4.9–12</w:t>
        </w:r>
      </w:hyperlink>
      <w:r>
        <w:t>)</w:t>
      </w:r>
    </w:p>
    <w:p>
      <w:r/>
      <w:r>
        <w:t>O dever cristão de amor mútuo havia sido demonstrado em Tessalônica, mas Paulo pediu que fosse mostrado em medida crescente. Ele os exortou a viver tranquilamente, a trabalhar para seu sustento e a não depender dos outros para apoio.</w:t>
      </w:r>
    </w:p>
    <w:p>
      <w:pPr>
        <w:pStyle w:val="Heading4"/>
      </w:pPr>
      <w:r>
        <w:t>O que aconteceu com aqueles que morreram desde que se tornaram crentes (</w:t>
      </w:r>
      <w:hyperlink r:id="rId20092">
        <w:r>
          <w:rPr>
            <w:color w:val="0000EE"/>
            <w:u w:val="single"/>
          </w:rPr>
          <w:t>4.13–18</w:t>
        </w:r>
      </w:hyperlink>
      <w:r>
        <w:t>)</w:t>
      </w:r>
    </w:p>
    <w:p>
      <w:r/>
      <w:r>
        <w:t>Os tessalonicenses podem ter escrito a Paulo sobre essa questão. Paulo lhes disse que não precisavam se entristecer, como aqueles sem esperança, por seus entes queridos que haviam falecido. Aqueles que estão vivos e aqueles que morreram compartilharão juntos a alegria e o triunfo do retorno do Senhor. Aqueles que morreram “ressuscitarão primeiro”; aqueles que estão vivos na terra serão arrebatados para encontrar seu Mestre; então juntos, vivos e falecidos, “estarão sempre com o Senhor”. Com essa certeza, eles podem “confortar uns aos outros”.</w:t>
      </w:r>
    </w:p>
    <w:p>
      <w:pPr>
        <w:pStyle w:val="Heading4"/>
      </w:pPr>
      <w:r>
        <w:t>Vivendo em prontidão para a vinda do Senhor (</w:t>
      </w:r>
      <w:hyperlink r:id="rId20093">
        <w:r>
          <w:rPr>
            <w:color w:val="0000EE"/>
            <w:u w:val="single"/>
          </w:rPr>
          <w:t>5.1–11</w:t>
        </w:r>
      </w:hyperlink>
      <w:r>
        <w:t>)</w:t>
      </w:r>
    </w:p>
    <w:p>
      <w:r/>
      <w:r>
        <w:t>Talvez mais perguntas tenham sido feitas sobre "os tempos e as estações" em relação à Segunda Vinda. Nem eles nem ninguém sabem o momento. O Senhor virá inesperadamente como "um ladrão na noite". O que importa, portanto, é que os cristãos nunca devem ser complacentes, mas estar prontos o tempo todo, vivendo como "filhos do dia", para que, acordados ou dormindo, "possamos viver com ele".</w:t>
      </w:r>
    </w:p>
    <w:p>
      <w:pPr>
        <w:pStyle w:val="Heading4"/>
      </w:pPr>
      <w:r>
        <w:t>Outros deveres cristãos (</w:t>
      </w:r>
      <w:hyperlink r:id="rId20091">
        <w:r>
          <w:rPr>
            <w:color w:val="0000EE"/>
            <w:u w:val="single"/>
          </w:rPr>
          <w:t>5.12–22</w:t>
        </w:r>
      </w:hyperlink>
      <w:r>
        <w:t>)</w:t>
      </w:r>
    </w:p>
    <w:p>
      <w:r/>
      <w:r>
        <w:t>Na última seção principal da carta, Paulo exortou os cristãos de Tessalônica a respeitarem seus líderes e a reconhecerem sua supervisão; a viverem em paz e unidade; a fazerem e incentivarem tudo o que é bom. A vontade de Deus para a vida cristã é alegria constante, oração e louvor. O Espírito Santo não deve ser apagado, o dom da profecia não deve ser desprezado, mas todas as coisas que afirmam ser de Deus devem ser testadas, para que o bem possa ser abraçado e o mal rejeitado.</w:t>
      </w:r>
    </w:p>
    <w:p>
      <w:pPr>
        <w:pStyle w:val="Heading4"/>
      </w:pPr>
      <w:r>
        <w:t>Conclusão (</w:t>
      </w:r>
      <w:hyperlink r:id="rId20102">
        <w:r>
          <w:rPr>
            <w:color w:val="0000EE"/>
            <w:u w:val="single"/>
          </w:rPr>
          <w:t>5.23–28</w:t>
        </w:r>
      </w:hyperlink>
      <w:r>
        <w:t>)</w:t>
      </w:r>
    </w:p>
    <w:p>
      <w:r/>
      <w:r>
        <w:t>A oração final da carta é pela santidade de vida deles, para que possam estar “irrepreensíveis na vinda de nosso Senhor Jesus Cristo”. O apóstolo pede: “Orem por nós”. Saudações devem ser transmitidas e a carta lida para todos os crentes.</w:t>
      </w:r>
    </w:p>
    <w:p>
      <w:r/>
      <w:r>
        <w:rPr>
          <w:i/>
        </w:rPr>
        <w:t>Veja também</w:t>
      </w:r>
      <w:r>
        <w:t xml:space="preserve"> </w:t>
      </w:r>
      <w:r>
        <w:t>Escatologia</w:t>
      </w:r>
      <w:r>
        <w:t xml:space="preserve">; </w:t>
      </w:r>
      <w:r>
        <w:t>Paulo, O apóstolo</w:t>
      </w:r>
      <w:r>
        <w:t xml:space="preserve">; </w:t>
      </w:r>
      <w:r>
        <w:t>Segunda vinda de Cristo</w:t>
      </w:r>
      <w:r>
        <w:t xml:space="preserve">; </w:t>
      </w:r>
      <w:r>
        <w:t>Tessalonicenses, Segunda carta aos</w:t>
      </w:r>
      <w:r>
        <w:t xml:space="preserve">; </w:t>
      </w:r>
      <w:r>
        <w:t>Tessalônica</w:t>
      </w:r>
      <w:r>
        <w:t>.</w:t>
      </w:r>
      <w:r/>
      <w:r/>
    </w:p>
    <w:p>
      <w:r/>
    </w:p>
    <w:p>
      <w:pPr>
        <w:pStyle w:val="Heading2"/>
      </w:pPr>
      <w:r>
        <w:t>Testemunha</w:t>
      </w:r>
      <w:r/>
    </w:p>
    <w:p>
      <w:r/>
      <w:r>
        <w:t>Alguém que diz o que viu ou experimentou pessoalmente, muitas vezes em um tribunal de lei. O termo também pode se referir ao testemunho que a pessoa deu.</w:t>
      </w:r>
    </w:p>
    <w:p>
      <w:pPr>
        <w:pStyle w:val="Heading3"/>
      </w:pPr>
      <w:r>
        <w:t>Testemunho no Antigo Testamento</w:t>
      </w:r>
    </w:p>
    <w:p>
      <w:r/>
      <w:r>
        <w:t>No procedimento judicial descrito no AT, uma testemunha não era adequada para o testemunho pessoal contra alguém, mas duas ou três testemunhas eram necessárias (</w:t>
      </w:r>
      <w:hyperlink r:id="rId4202">
        <w:r>
          <w:rPr>
            <w:color w:val="0000EE"/>
            <w:u w:val="single"/>
          </w:rPr>
          <w:t>Dt 17.6</w:t>
        </w:r>
      </w:hyperlink>
      <w:r>
        <w:t xml:space="preserve">; </w:t>
      </w:r>
      <w:hyperlink r:id="rId7205">
        <w:r>
          <w:rPr>
            <w:color w:val="0000EE"/>
            <w:u w:val="single"/>
          </w:rPr>
          <w:t>19.15</w:t>
        </w:r>
      </w:hyperlink>
      <w:r>
        <w:t xml:space="preserve">). Este princípio foi incorporado na lei judaica e é reiterado no NT (cf. </w:t>
      </w:r>
      <w:hyperlink r:id="rId12444">
        <w:r>
          <w:rPr>
            <w:color w:val="0000EE"/>
            <w:u w:val="single"/>
          </w:rPr>
          <w:t>Mt 18.16</w:t>
        </w:r>
      </w:hyperlink>
      <w:r>
        <w:t xml:space="preserve">; </w:t>
      </w:r>
      <w:hyperlink r:id="rId12445">
        <w:r>
          <w:rPr>
            <w:color w:val="0000EE"/>
            <w:u w:val="single"/>
          </w:rPr>
          <w:t>2Co 13.1</w:t>
        </w:r>
      </w:hyperlink>
      <w:r>
        <w:t>).</w:t>
      </w:r>
    </w:p>
    <w:p>
      <w:r/>
      <w:r>
        <w:t>A verdade do testemunho é tão importante que a Bíblia proíbe expressamente o falso testemunho no nono mandamento (</w:t>
      </w:r>
      <w:hyperlink r:id="rId13743">
        <w:r>
          <w:rPr>
            <w:color w:val="0000EE"/>
            <w:u w:val="single"/>
          </w:rPr>
          <w:t>Êx 20.16</w:t>
        </w:r>
      </w:hyperlink>
      <w:r>
        <w:t xml:space="preserve">; </w:t>
      </w:r>
      <w:hyperlink r:id="rId13744">
        <w:r>
          <w:rPr>
            <w:color w:val="0000EE"/>
            <w:u w:val="single"/>
          </w:rPr>
          <w:t>Dt 5.20</w:t>
        </w:r>
      </w:hyperlink>
      <w:r>
        <w:t xml:space="preserve">; cf. </w:t>
      </w:r>
      <w:hyperlink r:id="rId20103">
        <w:r>
          <w:rPr>
            <w:color w:val="0000EE"/>
            <w:u w:val="single"/>
          </w:rPr>
          <w:t>Mc 10.19</w:t>
        </w:r>
      </w:hyperlink>
      <w:r>
        <w:t xml:space="preserve">; </w:t>
      </w:r>
      <w:hyperlink r:id="rId20104">
        <w:r>
          <w:rPr>
            <w:color w:val="0000EE"/>
            <w:u w:val="single"/>
          </w:rPr>
          <w:t>Lc 18.20</w:t>
        </w:r>
      </w:hyperlink>
      <w:r>
        <w:t xml:space="preserve">). A sabedoria prática de Provérbios fala frequentemente contra o falso testemunho (p. ex., </w:t>
      </w:r>
      <w:hyperlink r:id="rId20105">
        <w:r>
          <w:rPr>
            <w:color w:val="0000EE"/>
            <w:u w:val="single"/>
          </w:rPr>
          <w:t>Pv 6.19</w:t>
        </w:r>
      </w:hyperlink>
      <w:r>
        <w:t xml:space="preserve">; </w:t>
      </w:r>
      <w:hyperlink r:id="rId20106">
        <w:r>
          <w:rPr>
            <w:color w:val="0000EE"/>
            <w:u w:val="single"/>
          </w:rPr>
          <w:t>14.5</w:t>
        </w:r>
      </w:hyperlink>
      <w:r>
        <w:t xml:space="preserve">; </w:t>
      </w:r>
      <w:hyperlink r:id="rId20107">
        <w:r>
          <w:rPr>
            <w:color w:val="0000EE"/>
            <w:u w:val="single"/>
          </w:rPr>
          <w:t>25.18</w:t>
        </w:r>
      </w:hyperlink>
      <w:r>
        <w:t>). No entanto, falsas testemunhas surgiram (</w:t>
      </w:r>
      <w:hyperlink r:id="rId20108">
        <w:r>
          <w:rPr>
            <w:color w:val="0000EE"/>
            <w:u w:val="single"/>
          </w:rPr>
          <w:t>Sl 27.12</w:t>
        </w:r>
      </w:hyperlink>
      <w:r>
        <w:t xml:space="preserve">; </w:t>
      </w:r>
      <w:hyperlink r:id="rId20109">
        <w:r>
          <w:rPr>
            <w:color w:val="0000EE"/>
            <w:u w:val="single"/>
          </w:rPr>
          <w:t>35.11</w:t>
        </w:r>
      </w:hyperlink>
      <w:r>
        <w:t>), e há exemplos notáveis de trazer mais de uma testemunha para causar a morte de uma pessoa inocente. O caso de Nabote e sua vinha é notório; aqui Jezabel, esposa do rei Acabe, subornou dois homens para dar falso testemunho contra Nabote para que ele fosse apedrejado até a morte e seu marido ímpio pudesse tomar a vinha que ele cobiçou tão intensamente (</w:t>
      </w:r>
      <w:hyperlink r:id="rId2577">
        <w:r>
          <w:rPr>
            <w:color w:val="0000EE"/>
            <w:u w:val="single"/>
          </w:rPr>
          <w:t>1Rs 21</w:t>
        </w:r>
      </w:hyperlink>
      <w:r>
        <w:t>).</w:t>
      </w:r>
    </w:p>
    <w:p>
      <w:r/>
      <w:r>
        <w:t>As testemunhas poderiam ser testadas pelos juízes. Se o testemunho de um acusador fosse considerado falso, essa pessoa seria submetida à punição que ela havia buscado para o réu (</w:t>
      </w:r>
      <w:hyperlink r:id="rId20110">
        <w:r>
          <w:rPr>
            <w:color w:val="0000EE"/>
            <w:u w:val="single"/>
          </w:rPr>
          <w:t>Dt 19.16–21</w:t>
        </w:r>
      </w:hyperlink>
      <w:r>
        <w:t>). Provérbios também fala da punição do falso testemunho (</w:t>
      </w:r>
      <w:hyperlink r:id="rId20111">
        <w:r>
          <w:rPr>
            <w:color w:val="0000EE"/>
            <w:u w:val="single"/>
          </w:rPr>
          <w:t>Pv 19.5,9</w:t>
        </w:r>
      </w:hyperlink>
      <w:r>
        <w:t xml:space="preserve">; </w:t>
      </w:r>
      <w:hyperlink r:id="rId20112">
        <w:r>
          <w:rPr>
            <w:color w:val="0000EE"/>
            <w:u w:val="single"/>
          </w:rPr>
          <w:t>21.28</w:t>
        </w:r>
      </w:hyperlink>
      <w:r>
        <w:t>).</w:t>
      </w:r>
    </w:p>
    <w:p>
      <w:r/>
      <w:r>
        <w:t xml:space="preserve">O AT registra vários relatos de processos legais nos quais as testemunhas são mencionadas. A maioria deles envolve a compra ou transferência de propriedade. </w:t>
      </w:r>
      <w:hyperlink r:id="rId20113">
        <w:r>
          <w:rPr>
            <w:color w:val="0000EE"/>
            <w:u w:val="single"/>
          </w:rPr>
          <w:t>Rute 4.7–12</w:t>
        </w:r>
      </w:hyperlink>
      <w:r>
        <w:t xml:space="preserve"> relaciona a redenção de um campo de Noemi por Boaz. Para confirmar a profecia do retorno dos exilados da Babilônia, Jeremias comprou e pagou por um campo na presença de testemunhas, que também assinaram a escritura da propriedade (</w:t>
      </w:r>
      <w:hyperlink r:id="rId20114">
        <w:r>
          <w:rPr>
            <w:color w:val="0000EE"/>
            <w:u w:val="single"/>
          </w:rPr>
          <w:t>Jr 32.6–15</w:t>
        </w:r>
      </w:hyperlink>
      <w:r>
        <w:t>).</w:t>
      </w:r>
    </w:p>
    <w:p>
      <w:r/>
      <w:r>
        <w:t>Na conclusão de sua mensagem de despedida em Siquém, Josué declarou que os próprios israelitas eram testemunhas de que eles haviam escolhido servir ao Senhor; então ele colocou uma grande pedra e declarou que também era uma testemunha (</w:t>
      </w:r>
      <w:hyperlink r:id="rId20115">
        <w:r>
          <w:rPr>
            <w:color w:val="0000EE"/>
            <w:u w:val="single"/>
          </w:rPr>
          <w:t>Js 24.22–27</w:t>
        </w:r>
      </w:hyperlink>
      <w:r>
        <w:t>). O próprio povo de Israel foi declarado testemunha de Deus (</w:t>
      </w:r>
      <w:hyperlink r:id="rId20116">
        <w:r>
          <w:rPr>
            <w:color w:val="0000EE"/>
            <w:u w:val="single"/>
          </w:rPr>
          <w:t>Is 43.10</w:t>
        </w:r>
      </w:hyperlink>
      <w:r>
        <w:t xml:space="preserve">; </w:t>
      </w:r>
      <w:hyperlink r:id="rId20117">
        <w:r>
          <w:rPr>
            <w:color w:val="0000EE"/>
            <w:u w:val="single"/>
          </w:rPr>
          <w:t>44.8–9</w:t>
        </w:r>
      </w:hyperlink>
      <w:r>
        <w:t>). Eles eram testemunhas da existência de Deus, de sua singularidade, santidade, poder e amor. Quando eles falharam em reconhecer sua singularidade e santidade e se voltaram para a idolatria, ele os enviou para o cativeiro, como ele havia advertido, pois eles haviam falhado em seu testemunho e haviam dado oportunidade para os inimigos de Deus blasfemarem.</w:t>
      </w:r>
    </w:p>
    <w:p>
      <w:pPr>
        <w:pStyle w:val="Heading3"/>
      </w:pPr>
      <w:r>
        <w:t>Testemunho no Novo Testamento</w:t>
      </w:r>
    </w:p>
    <w:p>
      <w:r/>
      <w:r>
        <w:t xml:space="preserve">No NT, as várias palavras para testemunho estão principalmente relacionadas com o verbo </w:t>
      </w:r>
      <w:r>
        <w:rPr>
          <w:i/>
        </w:rPr>
        <w:t>martureo</w:t>
      </w:r>
      <w:r>
        <w:t>, que significa “dar testemunho, ser uma testemunha”. A palavra “mártir” mostra a forma final de testemunho em que os cristãos sacrificaram suas vidas por causa de seu testemunho de Jesus Cristo.</w:t>
      </w:r>
    </w:p>
    <w:p>
      <w:r/>
      <w:r>
        <w:t>João Batista foi tanto uma testemunha quanto um mártir. Como o antecessor do Messias, sua missão era dar testemunho da luz e identificar o Cordeiro de Deus (</w:t>
      </w:r>
      <w:hyperlink r:id="rId13501">
        <w:r>
          <w:rPr>
            <w:color w:val="0000EE"/>
            <w:u w:val="single"/>
          </w:rPr>
          <w:t>Jo 1.7–8,19–36</w:t>
        </w:r>
      </w:hyperlink>
      <w:r>
        <w:t>). Os seguidores de Jesus, e especialmente os 12 apóstolos, eram testemunhas da pessoa e do caráter de Jesus. Eles o conheciam intimamente, ouviram seus ensinamentos e observaram seus milagres; três eram testemunhas de sua transfiguração (</w:t>
      </w:r>
      <w:hyperlink r:id="rId11954">
        <w:r>
          <w:rPr>
            <w:color w:val="0000EE"/>
            <w:u w:val="single"/>
          </w:rPr>
          <w:t>Mt 17.1–2</w:t>
        </w:r>
      </w:hyperlink>
      <w:r>
        <w:t xml:space="preserve">; </w:t>
      </w:r>
      <w:hyperlink r:id="rId20118">
        <w:r>
          <w:rPr>
            <w:color w:val="0000EE"/>
            <w:u w:val="single"/>
          </w:rPr>
          <w:t>2Pe 1.17–18</w:t>
        </w:r>
      </w:hyperlink>
      <w:r>
        <w:t>) e muitos eram testemunhas de sua ressurreição (</w:t>
      </w:r>
      <w:hyperlink r:id="rId20119">
        <w:r>
          <w:rPr>
            <w:color w:val="0000EE"/>
            <w:u w:val="single"/>
          </w:rPr>
          <w:t>Lc 24.48</w:t>
        </w:r>
      </w:hyperlink>
      <w:r>
        <w:t xml:space="preserve">; </w:t>
      </w:r>
      <w:hyperlink r:id="rId20120">
        <w:r>
          <w:rPr>
            <w:color w:val="0000EE"/>
            <w:u w:val="single"/>
          </w:rPr>
          <w:t>1Co 15.4–8</w:t>
        </w:r>
      </w:hyperlink>
      <w:r>
        <w:t>). No momento de sua ascensão, os discípulos foram especificamente comissionados para serem suas testemunhas (</w:t>
      </w:r>
      <w:hyperlink r:id="rId2897">
        <w:r>
          <w:rPr>
            <w:color w:val="0000EE"/>
            <w:u w:val="single"/>
          </w:rPr>
          <w:t>At 1.8</w:t>
        </w:r>
      </w:hyperlink>
      <w:r>
        <w:t>).</w:t>
      </w:r>
      <w:r/>
      <w:r/>
    </w:p>
    <w:p>
      <w:r/>
    </w:p>
    <w:p>
      <w:pPr>
        <w:pStyle w:val="Heading2"/>
      </w:pPr>
      <w:r>
        <w:t>Tetragrama</w:t>
      </w:r>
      <w:r/>
    </w:p>
    <w:p>
      <w:r/>
      <w:r>
        <w:t xml:space="preserve">O nome refere-se às quatro consoantes de um dos principais nomes hebraicos para Deus. Origina-se das raízes gregas </w:t>
      </w:r>
      <w:r>
        <w:rPr>
          <w:i/>
        </w:rPr>
        <w:t>tetra,</w:t>
      </w:r>
      <w:r>
        <w:t xml:space="preserve"> "quatro", e </w:t>
      </w:r>
      <w:r>
        <w:rPr>
          <w:i/>
        </w:rPr>
        <w:t>gramma,</w:t>
      </w:r>
      <w:r>
        <w:t xml:space="preserve"> "uma letra do alfabeto". As quatro letras são os equivalentes hebraicos do inglês Y (ou J), H, W e H. O nome provavelmente significa "aquele que é, ou seja, o absoluto e imutável". O Senhor revela o nome a Moisés (</w:t>
      </w:r>
      <w:hyperlink r:id="rId6793">
        <w:r>
          <w:rPr>
            <w:color w:val="0000EE"/>
            <w:u w:val="single"/>
          </w:rPr>
          <w:t>Êx 3.15</w:t>
        </w:r>
      </w:hyperlink>
      <w:r>
        <w:t xml:space="preserve">; compare com </w:t>
      </w:r>
      <w:hyperlink r:id="rId14749">
        <w:r>
          <w:rPr>
            <w:color w:val="0000EE"/>
            <w:u w:val="single"/>
          </w:rPr>
          <w:t>13</w:t>
        </w:r>
      </w:hyperlink>
      <w:hyperlink r:id="rId20121">
        <w:r>
          <w:rPr>
            <w:color w:val="0000EE"/>
            <w:u w:val="single"/>
          </w:rPr>
          <w:t>–</w:t>
        </w:r>
      </w:hyperlink>
      <w:hyperlink r:id="rId14749">
        <w:r>
          <w:rPr>
            <w:color w:val="0000EE"/>
            <w:u w:val="single"/>
          </w:rPr>
          <w:t>14</w:t>
        </w:r>
      </w:hyperlink>
      <w:r>
        <w:t xml:space="preserve">; </w:t>
      </w:r>
      <w:hyperlink r:id="rId20121">
        <w:r>
          <w:rPr>
            <w:color w:val="0000EE"/>
            <w:u w:val="single"/>
          </w:rPr>
          <w:t>Jo 8.56–58</w:t>
        </w:r>
      </w:hyperlink>
      <w:r>
        <w:t>).</w:t>
      </w:r>
    </w:p>
    <w:p>
      <w:r/>
      <w:r>
        <w:t>Nos Dez Mandamentos, o povo judeu foi instruído a não tomar este nome em vão (</w:t>
      </w:r>
      <w:hyperlink r:id="rId20122">
        <w:r>
          <w:rPr>
            <w:color w:val="0000EE"/>
            <w:u w:val="single"/>
          </w:rPr>
          <w:t>Êx 20.2,7</w:t>
        </w:r>
      </w:hyperlink>
      <w:r>
        <w:t>). Assim, o povo judeu considerava o nome como sagrado e não o pronunciava. Em vez disso, eles diziam Adonai</w:t>
      </w:r>
      <w:r>
        <w:rPr>
          <w:i/>
        </w:rPr>
        <w:t>,</w:t>
      </w:r>
      <w:r>
        <w:t xml:space="preserve"> “Senhor”. Originalmente, o texto foi escrito apenas com consoantes. Eventualmente, estudiosos chamados Massoretas adicionaram pontos vocálicos ao hebraico. Ao escrever o tetragrama, eles inseriram as vogais de Adonai como um lembrete para não ler o nome sagrado. Pessoas que não falavam hebraico combinaram as vogais de Adonai com as consoantes JHWH, criando “Jeová,” que não existe em hebraico. É possível que a pronúncia correta do nome fosse Javé. A maioria das traduções escreve SENHOR, usando letras maiúsculas para distingui-lo de outros usos da palavra “Senhor” em português.</w:t>
      </w:r>
    </w:p>
    <w:p>
      <w:r/>
      <w:r>
        <w:rPr>
          <w:i/>
        </w:rPr>
        <w:t>Veja também</w:t>
      </w:r>
      <w:r>
        <w:t xml:space="preserve"> </w:t>
      </w:r>
      <w:r>
        <w:t>Deus, Nomes de</w:t>
      </w:r>
      <w:r>
        <w:t>.</w:t>
      </w:r>
      <w:r/>
      <w:r/>
    </w:p>
    <w:p>
      <w:r/>
    </w:p>
    <w:p>
      <w:pPr>
        <w:pStyle w:val="Heading2"/>
      </w:pPr>
      <w:r>
        <w:t>Tetrarca*</w:t>
      </w:r>
      <w:r/>
    </w:p>
    <w:p>
      <w:r/>
      <w:r>
        <w:t>Título de uma classe de oficiais provinciais romanos. Os tetrarcas eram príncipes subordinados que não eram considerados importantes o suficiente para serem designados reis. O título foi usado nas províncias romanas de Tessália, Galácia e Síria. A origem do título parece ter vindo de governadores que governaram uma quarta parte de uma região ou país, como foi o caso na Síria após a morte de Herodes, o Grande. Nos tempos do NT, o significado etimológico havia diminuído, de modo que o título meramente designava príncipes secundários. Três tetrarcas são mencionados na Bíblia. Lucas relata que Herodes (Antipas) era o tetrarca da Galileia, Filipe era o tetrarca da Itureia e Traconites, e Lisânias era o tetrarca de Abilene (</w:t>
      </w:r>
      <w:hyperlink r:id="rId9463">
        <w:r>
          <w:rPr>
            <w:color w:val="0000EE"/>
            <w:u w:val="single"/>
          </w:rPr>
          <w:t>Lc 3.1</w:t>
        </w:r>
      </w:hyperlink>
      <w:r>
        <w:t>). Destes, apenas Herodes é mencionado em outro lugar na Bíblia (</w:t>
      </w:r>
      <w:hyperlink r:id="rId9746">
        <w:r>
          <w:rPr>
            <w:color w:val="0000EE"/>
            <w:u w:val="single"/>
          </w:rPr>
          <w:t>Mt 14.1</w:t>
        </w:r>
      </w:hyperlink>
      <w:r>
        <w:t xml:space="preserve">; </w:t>
      </w:r>
      <w:hyperlink r:id="rId20123">
        <w:r>
          <w:rPr>
            <w:color w:val="0000EE"/>
            <w:u w:val="single"/>
          </w:rPr>
          <w:t>Lc 3.19</w:t>
        </w:r>
      </w:hyperlink>
      <w:r>
        <w:t xml:space="preserve">; </w:t>
      </w:r>
      <w:hyperlink r:id="rId20124">
        <w:r>
          <w:rPr>
            <w:color w:val="0000EE"/>
            <w:u w:val="single"/>
          </w:rPr>
          <w:t>9.7</w:t>
        </w:r>
      </w:hyperlink>
      <w:r>
        <w:t xml:space="preserve">; </w:t>
      </w:r>
      <w:hyperlink r:id="rId4994">
        <w:r>
          <w:rPr>
            <w:color w:val="0000EE"/>
            <w:u w:val="single"/>
          </w:rPr>
          <w:t>At 13.1</w:t>
        </w:r>
      </w:hyperlink>
      <w:r>
        <w:t>). A maior importância de Herodes é indicada pelo fato de ele também ser referido como “rei” por seus súditos judeus (</w:t>
      </w:r>
      <w:hyperlink r:id="rId20125">
        <w:r>
          <w:rPr>
            <w:color w:val="0000EE"/>
            <w:u w:val="single"/>
          </w:rPr>
          <w:t>Mt 14.9</w:t>
        </w:r>
      </w:hyperlink>
      <w:r>
        <w:t xml:space="preserve">; </w:t>
      </w:r>
      <w:hyperlink r:id="rId20126">
        <w:r>
          <w:rPr>
            <w:color w:val="0000EE"/>
            <w:u w:val="single"/>
          </w:rPr>
          <w:t>Mc 6.14</w:t>
        </w:r>
      </w:hyperlink>
      <w:r>
        <w:t>).</w:t>
      </w:r>
      <w:r/>
      <w:r/>
    </w:p>
    <w:p>
      <w:r/>
    </w:p>
    <w:p>
      <w:pPr>
        <w:pStyle w:val="Heading2"/>
      </w:pPr>
      <w:r>
        <w:t>Teudas</w:t>
      </w:r>
      <w:r/>
    </w:p>
    <w:p>
      <w:r/>
      <w:r>
        <w:t>Rebelde mencionado por Gamaliel em seu discurso perante o Sinédrio como um exemplo de que falsos messias cairiam sem a intervenção de ninguém (</w:t>
      </w:r>
      <w:hyperlink r:id="rId20127">
        <w:r>
          <w:rPr>
            <w:color w:val="0000EE"/>
            <w:u w:val="single"/>
          </w:rPr>
          <w:t>At 5.36</w:t>
        </w:r>
      </w:hyperlink>
      <w:r>
        <w:t xml:space="preserve">). Teudas aparentemente liderou uma rebelião malsucedida contra Roma, na qual ele e outros 400 foram mortos. Uma dificuldade cronológica surge pelo fato de que Josefo relata uma rebelião liderada por Teudas durante o reinado de Cláudio, ocorrendo por volta de 44 d.C., que é de sete a dez anos </w:t>
      </w:r>
      <w:r>
        <w:rPr>
          <w:i/>
        </w:rPr>
        <w:t>depois</w:t>
      </w:r>
      <w:r>
        <w:t xml:space="preserve"> do discurso de Gamaliel. Enquanto críticos apontaram este aparente anacronismo como evidência de que Lucas (ou algum editor posterior) estava em erro, várias outras soluções são possíveis. Possivelmente o erro está no relato de Josefo em vez do de Lucas, ou duas pessoas diferentes chamadas Teudas são mencionadas. Durante os anos finais de Herodes, o Grande, várias rebeliões ocorreram, uma das quais pode ter sido instigada por Teudas. Foi sugerido (sem qualquer evidência direta) que o escravo de Herodes, Simão, pode ter adotado o nome Teudas quando ganhou liberdade e posteriormente se rebelou contra Herodes. Embora a identidade de Teudas permaneça desconhecida, este fato não necessariamente desacredita a precisão histórica da narrativa de Lucas.</w:t>
      </w:r>
      <w:r/>
      <w:r/>
    </w:p>
    <w:p>
      <w:r/>
    </w:p>
    <w:p>
      <w:pPr>
        <w:pStyle w:val="Heading2"/>
      </w:pPr>
      <w:r>
        <w:t>Tiago (Pessoa)</w:t>
      </w:r>
      <w:r/>
    </w:p>
    <w:p>
      <w:r/>
      <w:r>
        <w:t>1. Tiago, irmão de Jesus; ancião líder na igreja em Jerusalém; autor da carta que leva seu nome.</w:t>
      </w:r>
    </w:p>
    <w:p>
      <w:r/>
      <w:r>
        <w:t>Tiago é mencionado apenas duas vezes nos Evangelhos, juntamente com seus irmãos José (ou Ioséf em grego), Simão e Judas (</w:t>
      </w:r>
      <w:hyperlink r:id="rId2205">
        <w:r>
          <w:rPr>
            <w:color w:val="0000EE"/>
            <w:u w:val="single"/>
          </w:rPr>
          <w:t>Mt 13.55</w:t>
        </w:r>
      </w:hyperlink>
      <w:r>
        <w:t xml:space="preserve">; </w:t>
      </w:r>
      <w:hyperlink r:id="rId4331">
        <w:r>
          <w:rPr>
            <w:color w:val="0000EE"/>
            <w:u w:val="single"/>
          </w:rPr>
          <w:t>Mc 6.3</w:t>
        </w:r>
      </w:hyperlink>
      <w:r>
        <w:t>). Tiago pode ter sido o mais velho dos irmãos depois de Jesus. Alguns perguntaram se esses eram irmãos de sangue de Jesus ou não. Mas parece não haver uma boa razão para desafiar o fato das Escrituras. Tiago, como seus outros irmãos, aparentemente não aceitou a autoridade de Jesus durante sua vida na terra (</w:t>
      </w:r>
      <w:hyperlink r:id="rId11168">
        <w:r>
          <w:rPr>
            <w:color w:val="0000EE"/>
            <w:u w:val="single"/>
          </w:rPr>
          <w:t>Jo 7.5</w:t>
        </w:r>
      </w:hyperlink>
      <w:r>
        <w:t>).</w:t>
      </w:r>
    </w:p>
    <w:p>
      <w:r/>
      <w:r>
        <w:t>A conversão de Tiago não é mencionada. Pode ter acontecido quando Jesus apareceu a ele e aos outros após sua ressurreição (</w:t>
      </w:r>
      <w:hyperlink r:id="rId3748">
        <w:r>
          <w:rPr>
            <w:color w:val="0000EE"/>
            <w:u w:val="single"/>
          </w:rPr>
          <w:t>1Co 15.7</w:t>
        </w:r>
      </w:hyperlink>
      <w:r>
        <w:t>). Ele se tornou líder da igreja em Jerusalém (</w:t>
      </w:r>
      <w:hyperlink r:id="rId11196">
        <w:r>
          <w:rPr>
            <w:color w:val="0000EE"/>
            <w:u w:val="single"/>
          </w:rPr>
          <w:t>At 12.17</w:t>
        </w:r>
      </w:hyperlink>
      <w:r>
        <w:t xml:space="preserve">; </w:t>
      </w:r>
      <w:hyperlink r:id="rId1405">
        <w:r>
          <w:rPr>
            <w:color w:val="0000EE"/>
            <w:u w:val="single"/>
          </w:rPr>
          <w:t>21.18</w:t>
        </w:r>
      </w:hyperlink>
      <w:r>
        <w:t xml:space="preserve">; </w:t>
      </w:r>
      <w:hyperlink r:id="rId7354">
        <w:r>
          <w:rPr>
            <w:color w:val="0000EE"/>
            <w:u w:val="single"/>
          </w:rPr>
          <w:t>Gl 2.9</w:t>
        </w:r>
      </w:hyperlink>
      <w:r>
        <w:t>). Embora Jesus sempre tenha ensinado a relativa subordinação dos laços familiares (</w:t>
      </w:r>
      <w:hyperlink r:id="rId20128">
        <w:r>
          <w:rPr>
            <w:color w:val="0000EE"/>
            <w:u w:val="single"/>
          </w:rPr>
          <w:t>Mt 12.48–50</w:t>
        </w:r>
      </w:hyperlink>
      <w:r>
        <w:t xml:space="preserve">; </w:t>
      </w:r>
      <w:hyperlink r:id="rId20129">
        <w:r>
          <w:rPr>
            <w:color w:val="0000EE"/>
            <w:u w:val="single"/>
          </w:rPr>
          <w:t>Mc 3.33–35</w:t>
        </w:r>
      </w:hyperlink>
      <w:r>
        <w:t xml:space="preserve">; </w:t>
      </w:r>
      <w:hyperlink r:id="rId20130">
        <w:r>
          <w:rPr>
            <w:color w:val="0000EE"/>
            <w:u w:val="single"/>
          </w:rPr>
          <w:t>Lc 8.21</w:t>
        </w:r>
      </w:hyperlink>
      <w:r>
        <w:t>), é difícil acreditar que a autoridade de Tiago não foi, de alguma forma, elevada por causa de seu relacionamento com o Mestre.</w:t>
      </w:r>
    </w:p>
    <w:p>
      <w:r/>
      <w:r>
        <w:t>Tiago foi considerado como um apóstolo (</w:t>
      </w:r>
      <w:hyperlink r:id="rId11195">
        <w:r>
          <w:rPr>
            <w:color w:val="0000EE"/>
            <w:u w:val="single"/>
          </w:rPr>
          <w:t>Gl 1.19</w:t>
        </w:r>
      </w:hyperlink>
      <w:r>
        <w:t xml:space="preserve">), embora ele não fosse um dos Doze. Alguns sugerem que ele foi um substituto para o filho martirizado de Zebedeu; outros ampliam o escopo do termo “apóstolo” para incluir “os Doze” e “todos os apóstolos” (veja as duas categorias separadas citadas em </w:t>
      </w:r>
      <w:hyperlink r:id="rId16687">
        <w:r>
          <w:rPr>
            <w:color w:val="0000EE"/>
            <w:u w:val="single"/>
          </w:rPr>
          <w:t>1Co 15.5,7</w:t>
        </w:r>
      </w:hyperlink>
      <w:r>
        <w:t>).</w:t>
      </w:r>
    </w:p>
    <w:p>
      <w:r/>
      <w:r>
        <w:t>A tradição afirmava que Tiago foi nomeado o primeiro bispo de Jerusalém pelo próprio Senhor, bem como pelos apóstolos. O que é certo é que ele presidiu o primeiro Concílio de Jerusalém, chamado para considerar os termos para a admissão dos gentios na igreja cristã, e ele pode ter formulado o decreto aprovado por todos os seus colegas e foi enviado para as igrejas de Antioquia, Síria e Cilícia (</w:t>
      </w:r>
      <w:hyperlink r:id="rId20131">
        <w:r>
          <w:rPr>
            <w:color w:val="0000EE"/>
            <w:u w:val="single"/>
          </w:rPr>
          <w:t>At 15.19–20</w:t>
        </w:r>
      </w:hyperlink>
      <w:r>
        <w:t>). Tiago evidentemente considerava seu próprio ministério especial como sendo para os judeus. Ele tinha um papel mediador na controvérsia que surgiu na jovem igreja em questão da importância da lei para aqueles que haviam se tornado cristãos, tanto das origens gentias quanto das judaicas.</w:t>
      </w:r>
    </w:p>
    <w:p>
      <w:r/>
      <w:r>
        <w:t>Ele continuou a ter fortes simpatias judaico-cristãs, como pode ser visto em seu pedido a Paulo que visitou Jerusalém pela última vez (</w:t>
      </w:r>
      <w:hyperlink r:id="rId20132">
        <w:r>
          <w:rPr>
            <w:color w:val="0000EE"/>
            <w:u w:val="single"/>
          </w:rPr>
          <w:t>At 21.18–25</w:t>
        </w:r>
      </w:hyperlink>
      <w:r>
        <w:t>). Esta também foi a última menção da carreira de Tiago em Atos. Ele é tradicionalmente considerado o autor da Carta de Tiago, onde ele se descreve como “um escravo de Deus e do Senhor Jesus Cristo” (</w:t>
      </w:r>
      <w:hyperlink r:id="rId7105">
        <w:r>
          <w:rPr>
            <w:color w:val="0000EE"/>
            <w:u w:val="single"/>
          </w:rPr>
          <w:t>Tg 1.1</w:t>
        </w:r>
      </w:hyperlink>
      <w:r>
        <w:t>).</w:t>
      </w:r>
    </w:p>
    <w:p>
      <w:r/>
      <w:r>
        <w:t>De acordo com Hegésipo (ca. 180), Tiago foi referido como “o Justo”, por causa de sua adesão fiel à lei judaica e seu estilo de vida austero. Parece claro que Tiago sofreu martírio. Josefo situa-o no ano 61, quando houve uma revolta judaica após a morte de Festo, o procurador, e antes de seu sucessor ter sido nomeado.</w:t>
      </w:r>
    </w:p>
    <w:p>
      <w:r/>
      <w:r>
        <w:t>2. Tiago, filho de Alfeu; um dos 12 apóstolos.</w:t>
      </w:r>
    </w:p>
    <w:p>
      <w:r/>
      <w:r>
        <w:t>Tiago, filho de Alfeu, é sempre listado como um dos 12 apóstolos (</w:t>
      </w:r>
      <w:hyperlink r:id="rId747">
        <w:r>
          <w:rPr>
            <w:color w:val="0000EE"/>
            <w:u w:val="single"/>
          </w:rPr>
          <w:t>Mt 10.3</w:t>
        </w:r>
      </w:hyperlink>
      <w:r>
        <w:t xml:space="preserve">; </w:t>
      </w:r>
      <w:hyperlink r:id="rId748">
        <w:r>
          <w:rPr>
            <w:color w:val="0000EE"/>
            <w:u w:val="single"/>
          </w:rPr>
          <w:t>Mc 3.18</w:t>
        </w:r>
      </w:hyperlink>
      <w:r>
        <w:t xml:space="preserve">; </w:t>
      </w:r>
      <w:hyperlink r:id="rId749">
        <w:r>
          <w:rPr>
            <w:color w:val="0000EE"/>
            <w:u w:val="single"/>
          </w:rPr>
          <w:t>Lc 6.15</w:t>
        </w:r>
      </w:hyperlink>
      <w:r>
        <w:t xml:space="preserve">; </w:t>
      </w:r>
      <w:hyperlink r:id="rId750">
        <w:r>
          <w:rPr>
            <w:color w:val="0000EE"/>
            <w:u w:val="single"/>
          </w:rPr>
          <w:t>At 1.13</w:t>
        </w:r>
      </w:hyperlink>
      <w:r>
        <w:t>), mas nada se sabe ao certo sobre ele. Levi (também conhecido como Mateus) também é descrito como o filho de Alfeu (</w:t>
      </w:r>
      <w:hyperlink r:id="rId752">
        <w:r>
          <w:rPr>
            <w:color w:val="0000EE"/>
            <w:u w:val="single"/>
          </w:rPr>
          <w:t>Mc 2.14</w:t>
        </w:r>
      </w:hyperlink>
      <w:r>
        <w:t>), mas ele e Tiago provavelmente não eram irmãos. Muitos estudiosos o identificaram com aquele chamado “Tiago, o menor”. A descrição “o menor” parece ter sido dada para distingui-lo do filho de Zebedeu, e pode significar que ele era menor ou mais jovem do que o filho de Zebedeu (a palavra grega pode abranger ambas as interpretações).</w:t>
      </w:r>
    </w:p>
    <w:p>
      <w:r/>
      <w:r>
        <w:t>3. Tiago, filho de Zebedeu. Um dos 12 apóstolos; o primeiro deles a ser martirizado (44 d.C.).</w:t>
      </w:r>
    </w:p>
    <w:p>
      <w:r/>
      <w:r>
        <w:t>Tiago era um pescador galileu. Podemos supor que ele tinha um estilo de vida confortável (</w:t>
      </w:r>
      <w:hyperlink r:id="rId11952">
        <w:r>
          <w:rPr>
            <w:color w:val="0000EE"/>
            <w:u w:val="single"/>
          </w:rPr>
          <w:t>Mc 1.19–20</w:t>
        </w:r>
      </w:hyperlink>
      <w:r>
        <w:t>). Ele foi chamado para ser um dos discípulos ao mesmo tempo que seu irmão João (</w:t>
      </w:r>
      <w:hyperlink r:id="rId11950">
        <w:r>
          <w:rPr>
            <w:color w:val="0000EE"/>
            <w:u w:val="single"/>
          </w:rPr>
          <w:t>Mt 4.21</w:t>
        </w:r>
      </w:hyperlink>
      <w:r>
        <w:t xml:space="preserve">; </w:t>
      </w:r>
      <w:hyperlink r:id="rId11952">
        <w:r>
          <w:rPr>
            <w:color w:val="0000EE"/>
            <w:u w:val="single"/>
          </w:rPr>
          <w:t>Mc 1.19–20</w:t>
        </w:r>
      </w:hyperlink>
      <w:r>
        <w:t>). É razoável supor que ele era mais velho do que João, tanto porque ele é quase sempre mencionado primeiro e porque João às vezes é identificado como “o irmão de Tiago” (</w:t>
      </w:r>
      <w:hyperlink r:id="rId16669">
        <w:r>
          <w:rPr>
            <w:color w:val="0000EE"/>
            <w:u w:val="single"/>
          </w:rPr>
          <w:t>Mt 10.2</w:t>
        </w:r>
      </w:hyperlink>
      <w:r>
        <w:t xml:space="preserve">; </w:t>
      </w:r>
      <w:hyperlink r:id="rId20133">
        <w:r>
          <w:rPr>
            <w:color w:val="0000EE"/>
            <w:u w:val="single"/>
          </w:rPr>
          <w:t>17.1</w:t>
        </w:r>
      </w:hyperlink>
      <w:r>
        <w:t xml:space="preserve">; </w:t>
      </w:r>
      <w:hyperlink r:id="rId3824">
        <w:r>
          <w:rPr>
            <w:color w:val="0000EE"/>
            <w:u w:val="single"/>
          </w:rPr>
          <w:t>Mc 3.17</w:t>
        </w:r>
      </w:hyperlink>
      <w:r>
        <w:t xml:space="preserve">; </w:t>
      </w:r>
      <w:hyperlink r:id="rId11957">
        <w:r>
          <w:rPr>
            <w:color w:val="0000EE"/>
            <w:u w:val="single"/>
          </w:rPr>
          <w:t>5.37</w:t>
        </w:r>
      </w:hyperlink>
      <w:r>
        <w:t>).</w:t>
      </w:r>
    </w:p>
    <w:p>
      <w:r/>
      <w:r>
        <w:t>Tiago, João e Simão Pedro, faziam parte de uma parceria de pesca que incluía André, o irmão de Simão (</w:t>
      </w:r>
      <w:hyperlink r:id="rId16655">
        <w:r>
          <w:rPr>
            <w:color w:val="0000EE"/>
            <w:u w:val="single"/>
          </w:rPr>
          <w:t>Lc 5.10</w:t>
        </w:r>
      </w:hyperlink>
      <w:r>
        <w:t>). Os três alcançaram, de certo modo, um lugar de liderança entre os discípulos. Eles são encontrados no centro das coisas — por exemplo, quando a filha de Jairo foi ressuscitada (</w:t>
      </w:r>
      <w:hyperlink r:id="rId11957">
        <w:r>
          <w:rPr>
            <w:color w:val="0000EE"/>
            <w:u w:val="single"/>
          </w:rPr>
          <w:t>Mc 5.37</w:t>
        </w:r>
      </w:hyperlink>
      <w:r>
        <w:t xml:space="preserve">; </w:t>
      </w:r>
      <w:hyperlink r:id="rId11958">
        <w:r>
          <w:rPr>
            <w:color w:val="0000EE"/>
            <w:u w:val="single"/>
          </w:rPr>
          <w:t>Lc 8.51</w:t>
        </w:r>
      </w:hyperlink>
      <w:r>
        <w:t>), na Transfiguração (</w:t>
      </w:r>
      <w:hyperlink r:id="rId20133">
        <w:r>
          <w:rPr>
            <w:color w:val="0000EE"/>
            <w:u w:val="single"/>
          </w:rPr>
          <w:t>Mt 17.1</w:t>
        </w:r>
      </w:hyperlink>
      <w:r>
        <w:t xml:space="preserve">; </w:t>
      </w:r>
      <w:hyperlink r:id="rId11955">
        <w:r>
          <w:rPr>
            <w:color w:val="0000EE"/>
            <w:u w:val="single"/>
          </w:rPr>
          <w:t>Mc 9.2</w:t>
        </w:r>
      </w:hyperlink>
      <w:r>
        <w:t xml:space="preserve">; </w:t>
      </w:r>
      <w:hyperlink r:id="rId20134">
        <w:r>
          <w:rPr>
            <w:color w:val="0000EE"/>
            <w:u w:val="single"/>
          </w:rPr>
          <w:t>Lc 9.28</w:t>
        </w:r>
      </w:hyperlink>
      <w:r>
        <w:t>), no Monte das Oliveiras (</w:t>
      </w:r>
      <w:hyperlink r:id="rId1433">
        <w:r>
          <w:rPr>
            <w:color w:val="0000EE"/>
            <w:u w:val="single"/>
          </w:rPr>
          <w:t>Mc 13.3</w:t>
        </w:r>
      </w:hyperlink>
      <w:r>
        <w:t>) e no Jardim do Getsêmani (</w:t>
      </w:r>
      <w:hyperlink r:id="rId11959">
        <w:r>
          <w:rPr>
            <w:color w:val="0000EE"/>
            <w:u w:val="single"/>
          </w:rPr>
          <w:t>Mt 26.37</w:t>
        </w:r>
      </w:hyperlink>
      <w:r>
        <w:t xml:space="preserve">; </w:t>
      </w:r>
      <w:hyperlink r:id="rId11960">
        <w:r>
          <w:rPr>
            <w:color w:val="0000EE"/>
            <w:u w:val="single"/>
          </w:rPr>
          <w:t>Mc 14.33</w:t>
        </w:r>
      </w:hyperlink>
      <w:r>
        <w:t>). Além disso, Tiago e João haviam acompanhado Jesus até a casa de Simão e André (</w:t>
      </w:r>
      <w:hyperlink r:id="rId1432">
        <w:r>
          <w:rPr>
            <w:color w:val="0000EE"/>
            <w:u w:val="single"/>
          </w:rPr>
          <w:t>Mc 1.29</w:t>
        </w:r>
      </w:hyperlink>
      <w:r>
        <w:t>).</w:t>
      </w:r>
    </w:p>
    <w:p>
      <w:r/>
      <w:r>
        <w:t>Jesus deu a Tiago e João o apelido de Boanerges, que significa “filhos do trovão” (</w:t>
      </w:r>
      <w:hyperlink r:id="rId3824">
        <w:r>
          <w:rPr>
            <w:color w:val="0000EE"/>
            <w:u w:val="single"/>
          </w:rPr>
          <w:t>Mc 3.17</w:t>
        </w:r>
      </w:hyperlink>
      <w:r>
        <w:t>), quando o Senhor os repreendeu por sua fala explosiva e por terem entendido totalmente mal o propósito de sua vinda. Isso pode ter sido a consequência de sua sugestão de orar pela destruição da aldeia samaritana, por causa da rejeição dos aldeões aos mensageiros de Jesus (</w:t>
      </w:r>
      <w:hyperlink r:id="rId3825">
        <w:r>
          <w:rPr>
            <w:color w:val="0000EE"/>
            <w:u w:val="single"/>
          </w:rPr>
          <w:t>Lc 9.54</w:t>
        </w:r>
      </w:hyperlink>
      <w:r>
        <w:t xml:space="preserve">; cf. </w:t>
      </w:r>
      <w:hyperlink r:id="rId11963">
        <w:r>
          <w:rPr>
            <w:color w:val="0000EE"/>
            <w:u w:val="single"/>
          </w:rPr>
          <w:t>Mc 9.38</w:t>
        </w:r>
      </w:hyperlink>
      <w:r>
        <w:t xml:space="preserve">; </w:t>
      </w:r>
      <w:hyperlink r:id="rId11964">
        <w:r>
          <w:rPr>
            <w:color w:val="0000EE"/>
            <w:u w:val="single"/>
          </w:rPr>
          <w:t>Lc 9.49</w:t>
        </w:r>
      </w:hyperlink>
      <w:r>
        <w:t>).</w:t>
      </w:r>
    </w:p>
    <w:p>
      <w:r/>
      <w:r>
        <w:t>Os dois irmãos também foram presunçosos e precipitados quando pediram um lugar de honra no reino. Jesus profetizou que Tiago e seu irmão beberiam o cálice que seu Mestre deveria beber (</w:t>
      </w:r>
      <w:hyperlink r:id="rId11965">
        <w:r>
          <w:rPr>
            <w:color w:val="0000EE"/>
            <w:u w:val="single"/>
          </w:rPr>
          <w:t>Mc 10.35–40</w:t>
        </w:r>
      </w:hyperlink>
      <w:r>
        <w:t xml:space="preserve">; cf. </w:t>
      </w:r>
      <w:hyperlink r:id="rId20135">
        <w:r>
          <w:rPr>
            <w:color w:val="0000EE"/>
            <w:u w:val="single"/>
          </w:rPr>
          <w:t>Mt 20.20–23</w:t>
        </w:r>
      </w:hyperlink>
      <w:r>
        <w:t>). Supõe-se que os dois estavam presentes com os outros discípulos quando o Cristo ressuscitado apareceu no Mar da Galileia (</w:t>
      </w:r>
      <w:hyperlink r:id="rId13831">
        <w:r>
          <w:rPr>
            <w:color w:val="0000EE"/>
            <w:u w:val="single"/>
          </w:rPr>
          <w:t>Jo 21.1</w:t>
        </w:r>
      </w:hyperlink>
      <w:r>
        <w:t>), embora curiosamente o nome de Tiago não seja mencionado em lugar algum no quarto Evangelho.</w:t>
      </w:r>
    </w:p>
    <w:p>
      <w:r/>
      <w:r>
        <w:t>Não sabemos nada sobre a carreira de Tiago posteriormente até cerca do ano 44, quando a profecia de Jesus se cumpriu: Tiago foi morto “pela espada” de Herodes Agripa I e, portanto, se tornou o primeiro dos Doze a quem o martírio foi referido no NT (</w:t>
      </w:r>
      <w:hyperlink r:id="rId20136">
        <w:r>
          <w:rPr>
            <w:color w:val="0000EE"/>
            <w:u w:val="single"/>
          </w:rPr>
          <w:t>At 12.1–2</w:t>
        </w:r>
      </w:hyperlink>
      <w:r>
        <w:t>).</w:t>
      </w:r>
    </w:p>
    <w:p>
      <w:r/>
      <w:r>
        <w:t>A esposa de Zebedeu era Salomé (</w:t>
      </w:r>
      <w:hyperlink r:id="rId5011">
        <w:r>
          <w:rPr>
            <w:color w:val="0000EE"/>
            <w:u w:val="single"/>
          </w:rPr>
          <w:t>Mt 27.56</w:t>
        </w:r>
      </w:hyperlink>
      <w:r>
        <w:t xml:space="preserve">; </w:t>
      </w:r>
      <w:hyperlink r:id="rId5012">
        <w:r>
          <w:rPr>
            <w:color w:val="0000EE"/>
            <w:u w:val="single"/>
          </w:rPr>
          <w:t>Mc 15.40</w:t>
        </w:r>
      </w:hyperlink>
      <w:r>
        <w:t>), que pode ter sido uma irmã da mãe do Senhor (</w:t>
      </w:r>
      <w:hyperlink r:id="rId751">
        <w:r>
          <w:rPr>
            <w:color w:val="0000EE"/>
            <w:u w:val="single"/>
          </w:rPr>
          <w:t>Jo 19.25</w:t>
        </w:r>
      </w:hyperlink>
      <w:r>
        <w:t>). Se fosse assim, significaria que Tiago e João eram primos de primeiro grau de Jesus e que eles podem ter se considerado em uma posição privilegiada.</w:t>
      </w:r>
      <w:r/>
      <w:r/>
    </w:p>
    <w:p>
      <w:r/>
    </w:p>
    <w:p>
      <w:pPr>
        <w:pStyle w:val="Heading2"/>
      </w:pPr>
      <w:r>
        <w:t>Tiago, Carta De</w:t>
      </w:r>
      <w:r/>
    </w:p>
    <w:p>
      <w:r/>
      <w:r>
        <w:t>Primeira carta das Epístolas Gerais.</w:t>
      </w:r>
    </w:p>
    <w:p>
      <w:r/>
      <w:r>
        <w:t>Resumo</w:t>
      </w:r>
    </w:p>
    <w:p>
      <w:r/>
      <w:r>
        <w:t>• Autor</w:t>
      </w:r>
    </w:p>
    <w:p>
      <w:r/>
      <w:r>
        <w:t>• Data, origem e destino</w:t>
      </w:r>
    </w:p>
    <w:p>
      <w:r/>
      <w:r>
        <w:t>• Propósito da escrita e ensino teológico</w:t>
      </w:r>
    </w:p>
    <w:p>
      <w:r/>
      <w:r>
        <w:t>• Conteúdo</w:t>
      </w:r>
    </w:p>
    <w:p>
      <w:pPr>
        <w:pStyle w:val="Heading3"/>
      </w:pPr>
      <w:r>
        <w:t>Autor</w:t>
      </w:r>
    </w:p>
    <w:p>
      <w:r/>
      <w:r>
        <w:t>De acordo com a saudação, esta carta foi escrita por “Tiago, um servo de Deus e do Senhor Jesus Cristo” (</w:t>
      </w:r>
      <w:hyperlink r:id="rId7105">
        <w:r>
          <w:rPr>
            <w:color w:val="0000EE"/>
            <w:u w:val="single"/>
          </w:rPr>
          <w:t>Tg 1.1</w:t>
        </w:r>
      </w:hyperlink>
      <w:r>
        <w:t>, NTLH). Mas quem era este Tiago? Dos vários mencionados no NT, apenas dois foram propostos como o autor desta carta — Tiago, filho de Zebedeu, e Tiago, o irmão do Senhor.</w:t>
      </w:r>
    </w:p>
    <w:p>
      <w:r/>
      <w:r>
        <w:t xml:space="preserve">O Tiago que escreveu esta epístola provavelmente não foi Tiago, filho de Zebedeu, pois ele foi martirizado muito cedo (44 d.C.) para tê-la escrito (veja </w:t>
      </w:r>
      <w:hyperlink r:id="rId20136">
        <w:r>
          <w:rPr>
            <w:color w:val="0000EE"/>
            <w:u w:val="single"/>
          </w:rPr>
          <w:t>At 12.1–2</w:t>
        </w:r>
      </w:hyperlink>
      <w:r>
        <w:t>). A maioria dos estudiosos identificou este Tiago como o irmão de Jesus (</w:t>
      </w:r>
      <w:hyperlink r:id="rId4331">
        <w:r>
          <w:rPr>
            <w:color w:val="0000EE"/>
            <w:u w:val="single"/>
          </w:rPr>
          <w:t>Mc 6.3</w:t>
        </w:r>
      </w:hyperlink>
      <w:r>
        <w:t xml:space="preserve">; </w:t>
      </w:r>
      <w:hyperlink r:id="rId11195">
        <w:r>
          <w:rPr>
            <w:color w:val="0000EE"/>
            <w:u w:val="single"/>
          </w:rPr>
          <w:t>Gl 1.19</w:t>
        </w:r>
      </w:hyperlink>
      <w:r>
        <w:t>), o presbítero proeminente da igreja em Jerusalém (</w:t>
      </w:r>
      <w:hyperlink r:id="rId20137">
        <w:r>
          <w:rPr>
            <w:color w:val="0000EE"/>
            <w:u w:val="single"/>
          </w:rPr>
          <w:t>At 15.13,19</w:t>
        </w:r>
      </w:hyperlink>
      <w:r>
        <w:t xml:space="preserve">; </w:t>
      </w:r>
      <w:hyperlink r:id="rId20138">
        <w:r>
          <w:rPr>
            <w:color w:val="0000EE"/>
            <w:u w:val="single"/>
          </w:rPr>
          <w:t>21.17–25</w:t>
        </w:r>
      </w:hyperlink>
      <w:r>
        <w:t xml:space="preserve">; </w:t>
      </w:r>
      <w:hyperlink r:id="rId12345">
        <w:r>
          <w:rPr>
            <w:color w:val="0000EE"/>
            <w:u w:val="single"/>
          </w:rPr>
          <w:t>Gl 2.12</w:t>
        </w:r>
      </w:hyperlink>
      <w:r>
        <w:t>). Todo o caráter da epístola coincide com o que sabemos sobre o compromisso de Tiago com as leis e o judaísmo.</w:t>
      </w:r>
    </w:p>
    <w:p>
      <w:r/>
      <w:r>
        <w:t xml:space="preserve">Como um presbítero de Jerusalém escrevendo para as 12 tribos da dispersão (que veio como resultado da perseguição observada em </w:t>
      </w:r>
      <w:hyperlink r:id="rId1993">
        <w:r>
          <w:rPr>
            <w:color w:val="0000EE"/>
            <w:u w:val="single"/>
          </w:rPr>
          <w:t>Atos 11.19</w:t>
        </w:r>
      </w:hyperlink>
      <w:r>
        <w:t xml:space="preserve">), Tiago estabeleceu o evangelho em sua relação com a lei, que os judeus reverenciavam. Como as epístolas de Paulo são um comentário sobre as doutrinas que fluem da morte e ressurreição de Cristo, assim a epístola de Tiago tem uma conexão próxima com o ensino de Cristo durante sua vida na terra, especialmente seu Sermão do Monte. Tanto no Sermão do Monte quanto na Epístola de Tiago, a lei é representada como cumprida em amor, e a própria linguagem é notavelmente semelhante (cf. </w:t>
      </w:r>
      <w:hyperlink r:id="rId719">
        <w:r>
          <w:rPr>
            <w:color w:val="0000EE"/>
            <w:u w:val="single"/>
          </w:rPr>
          <w:t>Tg 1.2</w:t>
        </w:r>
      </w:hyperlink>
      <w:r>
        <w:t xml:space="preserve"> com </w:t>
      </w:r>
      <w:hyperlink r:id="rId4797">
        <w:r>
          <w:rPr>
            <w:color w:val="0000EE"/>
            <w:u w:val="single"/>
          </w:rPr>
          <w:t>Mt 5.12</w:t>
        </w:r>
      </w:hyperlink>
      <w:r>
        <w:t xml:space="preserve">; </w:t>
      </w:r>
      <w:hyperlink r:id="rId20139">
        <w:r>
          <w:rPr>
            <w:color w:val="0000EE"/>
            <w:u w:val="single"/>
          </w:rPr>
          <w:t>Tg 1.4</w:t>
        </w:r>
      </w:hyperlink>
      <w:r>
        <w:t xml:space="preserve"> com </w:t>
      </w:r>
      <w:hyperlink r:id="rId5371">
        <w:r>
          <w:rPr>
            <w:color w:val="0000EE"/>
            <w:u w:val="single"/>
          </w:rPr>
          <w:t>Mt 5.48</w:t>
        </w:r>
      </w:hyperlink>
      <w:r>
        <w:t xml:space="preserve">; </w:t>
      </w:r>
      <w:hyperlink r:id="rId20140">
        <w:r>
          <w:rPr>
            <w:color w:val="0000EE"/>
            <w:u w:val="single"/>
          </w:rPr>
          <w:t>Tg 1.5</w:t>
        </w:r>
      </w:hyperlink>
      <w:r>
        <w:t xml:space="preserve"> e </w:t>
      </w:r>
      <w:hyperlink r:id="rId20141">
        <w:r>
          <w:rPr>
            <w:color w:val="0000EE"/>
            <w:u w:val="single"/>
          </w:rPr>
          <w:t>5.14–15</w:t>
        </w:r>
      </w:hyperlink>
      <w:r>
        <w:t xml:space="preserve"> com </w:t>
      </w:r>
      <w:hyperlink r:id="rId20142">
        <w:r>
          <w:rPr>
            <w:color w:val="0000EE"/>
            <w:u w:val="single"/>
          </w:rPr>
          <w:t>Mt 7.7–11</w:t>
        </w:r>
      </w:hyperlink>
      <w:r>
        <w:t xml:space="preserve">; </w:t>
      </w:r>
      <w:hyperlink r:id="rId20143">
        <w:r>
          <w:rPr>
            <w:color w:val="0000EE"/>
            <w:u w:val="single"/>
          </w:rPr>
          <w:t>Tg 2.13</w:t>
        </w:r>
      </w:hyperlink>
      <w:r>
        <w:t xml:space="preserve"> com </w:t>
      </w:r>
      <w:hyperlink r:id="rId8702">
        <w:r>
          <w:rPr>
            <w:color w:val="0000EE"/>
            <w:u w:val="single"/>
          </w:rPr>
          <w:t>Mt 5.7</w:t>
        </w:r>
      </w:hyperlink>
      <w:r>
        <w:t xml:space="preserve"> e </w:t>
      </w:r>
      <w:hyperlink r:id="rId16866">
        <w:r>
          <w:rPr>
            <w:color w:val="0000EE"/>
            <w:u w:val="single"/>
          </w:rPr>
          <w:t>6.14–15</w:t>
        </w:r>
      </w:hyperlink>
      <w:r>
        <w:t xml:space="preserve">; </w:t>
      </w:r>
      <w:hyperlink r:id="rId15583">
        <w:r>
          <w:rPr>
            <w:color w:val="0000EE"/>
            <w:u w:val="single"/>
          </w:rPr>
          <w:t>Tg 2.10</w:t>
        </w:r>
      </w:hyperlink>
      <w:r>
        <w:t xml:space="preserve"> com </w:t>
      </w:r>
      <w:hyperlink r:id="rId20144">
        <w:r>
          <w:rPr>
            <w:color w:val="0000EE"/>
            <w:u w:val="single"/>
          </w:rPr>
          <w:t>Mt 5.19</w:t>
        </w:r>
      </w:hyperlink>
      <w:r>
        <w:t xml:space="preserve">; </w:t>
      </w:r>
      <w:hyperlink r:id="rId468">
        <w:r>
          <w:rPr>
            <w:color w:val="0000EE"/>
            <w:u w:val="single"/>
          </w:rPr>
          <w:t>Tg 4.4</w:t>
        </w:r>
      </w:hyperlink>
      <w:r>
        <w:t xml:space="preserve"> com </w:t>
      </w:r>
      <w:hyperlink r:id="rId14333">
        <w:r>
          <w:rPr>
            <w:color w:val="0000EE"/>
            <w:u w:val="single"/>
          </w:rPr>
          <w:t>Mt 6.24</w:t>
        </w:r>
      </w:hyperlink>
      <w:r>
        <w:t xml:space="preserve">; </w:t>
      </w:r>
      <w:hyperlink r:id="rId20145">
        <w:r>
          <w:rPr>
            <w:color w:val="0000EE"/>
            <w:u w:val="single"/>
          </w:rPr>
          <w:t>Tg 4.11</w:t>
        </w:r>
      </w:hyperlink>
      <w:r>
        <w:t xml:space="preserve"> com </w:t>
      </w:r>
      <w:hyperlink r:id="rId20146">
        <w:r>
          <w:rPr>
            <w:color w:val="0000EE"/>
            <w:u w:val="single"/>
          </w:rPr>
          <w:t>Mt 7.1–2</w:t>
        </w:r>
      </w:hyperlink>
      <w:r>
        <w:t xml:space="preserve">; </w:t>
      </w:r>
      <w:hyperlink r:id="rId1805">
        <w:r>
          <w:rPr>
            <w:color w:val="0000EE"/>
            <w:u w:val="single"/>
          </w:rPr>
          <w:t>Tg 5.2</w:t>
        </w:r>
      </w:hyperlink>
      <w:r>
        <w:t xml:space="preserve"> com </w:t>
      </w:r>
      <w:hyperlink r:id="rId18651">
        <w:r>
          <w:rPr>
            <w:color w:val="0000EE"/>
            <w:u w:val="single"/>
          </w:rPr>
          <w:t>Mt 6.19</w:t>
        </w:r>
      </w:hyperlink>
      <w:r>
        <w:t xml:space="preserve">). Todo o espírito desta epístola respira a mesma justiça do evangelho que o Sermão do Monte inculca como a maior realização da lei. O próprio caráter de Tiago como “o Justo” se adequava a esta coincidência (cf. </w:t>
      </w:r>
      <w:hyperlink r:id="rId20147">
        <w:r>
          <w:rPr>
            <w:color w:val="0000EE"/>
            <w:u w:val="single"/>
          </w:rPr>
          <w:t>Tg 1.20</w:t>
        </w:r>
      </w:hyperlink>
      <w:r>
        <w:t xml:space="preserve">; </w:t>
      </w:r>
      <w:hyperlink r:id="rId15583">
        <w:r>
          <w:rPr>
            <w:color w:val="0000EE"/>
            <w:u w:val="single"/>
          </w:rPr>
          <w:t>2.10</w:t>
        </w:r>
      </w:hyperlink>
      <w:r>
        <w:t xml:space="preserve">; </w:t>
      </w:r>
      <w:hyperlink r:id="rId20148">
        <w:r>
          <w:rPr>
            <w:color w:val="0000EE"/>
            <w:u w:val="single"/>
          </w:rPr>
          <w:t>3.18</w:t>
        </w:r>
      </w:hyperlink>
      <w:r>
        <w:t xml:space="preserve"> com </w:t>
      </w:r>
      <w:hyperlink r:id="rId4605">
        <w:r>
          <w:rPr>
            <w:color w:val="0000EE"/>
            <w:u w:val="single"/>
          </w:rPr>
          <w:t>Mt 5.20</w:t>
        </w:r>
      </w:hyperlink>
      <w:r>
        <w:t>). Também o encaixava por presidir uma igreja ainda zelosa pela lei (</w:t>
      </w:r>
      <w:hyperlink r:id="rId20149">
        <w:r>
          <w:rPr>
            <w:color w:val="0000EE"/>
            <w:u w:val="single"/>
          </w:rPr>
          <w:t>At 21.18–24</w:t>
        </w:r>
      </w:hyperlink>
      <w:r>
        <w:t xml:space="preserve">; </w:t>
      </w:r>
      <w:hyperlink r:id="rId12345">
        <w:r>
          <w:rPr>
            <w:color w:val="0000EE"/>
            <w:u w:val="single"/>
          </w:rPr>
          <w:t>Gl 2.12</w:t>
        </w:r>
      </w:hyperlink>
      <w:r>
        <w:t xml:space="preserve">). Se alguém poderia ganhar os judeus para o evangelho, ele era o mais provável porque ele apresentou um padrão de justiça do AT, combinado com a fé evangélica (cf. também </w:t>
      </w:r>
      <w:hyperlink r:id="rId15526">
        <w:r>
          <w:rPr>
            <w:color w:val="0000EE"/>
            <w:u w:val="single"/>
          </w:rPr>
          <w:t>Tg 2.8</w:t>
        </w:r>
      </w:hyperlink>
      <w:r>
        <w:t xml:space="preserve"> com </w:t>
      </w:r>
      <w:hyperlink r:id="rId3914">
        <w:r>
          <w:rPr>
            <w:color w:val="0000EE"/>
            <w:u w:val="single"/>
          </w:rPr>
          <w:t>Mt 5.44,48</w:t>
        </w:r>
      </w:hyperlink>
      <w:r>
        <w:t>).</w:t>
      </w:r>
    </w:p>
    <w:p>
      <w:pPr>
        <w:pStyle w:val="Heading3"/>
      </w:pPr>
      <w:r>
        <w:t>Data, origem e destino</w:t>
      </w:r>
    </w:p>
    <w:p>
      <w:r/>
      <w:r>
        <w:t>Muitos estudiosos confirmam uma data antecipada para a epístola de Tiago, mesmo já em 45–49 d.C., porque toda a orientação da epístola se encaixa na história inicial da igreja, uma era em que muitos cristãos judeus não haviam feito uma separação completa do judaísmo. Assim, Tiago usa os termos “as doze tribos” (</w:t>
      </w:r>
      <w:hyperlink r:id="rId7105">
        <w:r>
          <w:rPr>
            <w:color w:val="0000EE"/>
            <w:u w:val="single"/>
          </w:rPr>
          <w:t>Tg 1.1</w:t>
        </w:r>
      </w:hyperlink>
      <w:r>
        <w:t>) e “a sinagoga” (</w:t>
      </w:r>
      <w:hyperlink r:id="rId12341">
        <w:r>
          <w:rPr>
            <w:color w:val="0000EE"/>
            <w:u w:val="single"/>
          </w:rPr>
          <w:t>2.2</w:t>
        </w:r>
      </w:hyperlink>
      <w:r>
        <w:t>, grego); ele fala como um profeta do AT (</w:t>
      </w:r>
      <w:hyperlink r:id="rId20150">
        <w:r>
          <w:rPr>
            <w:color w:val="0000EE"/>
            <w:u w:val="single"/>
          </w:rPr>
          <w:t>5.1ss</w:t>
        </w:r>
      </w:hyperlink>
      <w:r>
        <w:t xml:space="preserve">) e como um apreciador de provérbios do AT (cf. </w:t>
      </w:r>
      <w:hyperlink r:id="rId20140">
        <w:r>
          <w:rPr>
            <w:color w:val="0000EE"/>
            <w:u w:val="single"/>
          </w:rPr>
          <w:t>Tg 1.5</w:t>
        </w:r>
      </w:hyperlink>
      <w:r>
        <w:t xml:space="preserve"> com </w:t>
      </w:r>
      <w:hyperlink r:id="rId17786">
        <w:r>
          <w:rPr>
            <w:color w:val="0000EE"/>
            <w:u w:val="single"/>
          </w:rPr>
          <w:t>Pv 2.6</w:t>
        </w:r>
      </w:hyperlink>
      <w:r>
        <w:t xml:space="preserve">; </w:t>
      </w:r>
      <w:hyperlink r:id="rId20151">
        <w:r>
          <w:rPr>
            <w:color w:val="0000EE"/>
            <w:u w:val="single"/>
          </w:rPr>
          <w:t>Tg 1.19</w:t>
        </w:r>
      </w:hyperlink>
      <w:r>
        <w:t xml:space="preserve"> com </w:t>
      </w:r>
      <w:hyperlink r:id="rId20152">
        <w:r>
          <w:rPr>
            <w:color w:val="0000EE"/>
            <w:u w:val="single"/>
          </w:rPr>
          <w:t>Pv 29.20</w:t>
        </w:r>
      </w:hyperlink>
      <w:r>
        <w:t xml:space="preserve">; </w:t>
      </w:r>
      <w:hyperlink r:id="rId20148">
        <w:r>
          <w:rPr>
            <w:color w:val="0000EE"/>
            <w:u w:val="single"/>
          </w:rPr>
          <w:t>Tg 3.18</w:t>
        </w:r>
      </w:hyperlink>
      <w:r>
        <w:t xml:space="preserve"> com </w:t>
      </w:r>
      <w:hyperlink r:id="rId2624">
        <w:r>
          <w:rPr>
            <w:color w:val="0000EE"/>
            <w:u w:val="single"/>
          </w:rPr>
          <w:t>Pv 11.30</w:t>
        </w:r>
      </w:hyperlink>
      <w:r>
        <w:t xml:space="preserve">; </w:t>
      </w:r>
      <w:hyperlink r:id="rId20153">
        <w:r>
          <w:rPr>
            <w:color w:val="0000EE"/>
            <w:u w:val="single"/>
          </w:rPr>
          <w:t>Tg 4.13–16</w:t>
        </w:r>
      </w:hyperlink>
      <w:r>
        <w:t xml:space="preserve"> com </w:t>
      </w:r>
      <w:hyperlink r:id="rId20154">
        <w:r>
          <w:rPr>
            <w:color w:val="0000EE"/>
            <w:u w:val="single"/>
          </w:rPr>
          <w:t>Pv 27.1</w:t>
        </w:r>
      </w:hyperlink>
      <w:r>
        <w:t xml:space="preserve">; e </w:t>
      </w:r>
      <w:hyperlink r:id="rId960">
        <w:r>
          <w:rPr>
            <w:color w:val="0000EE"/>
            <w:u w:val="single"/>
          </w:rPr>
          <w:t>Tg 5.20</w:t>
        </w:r>
      </w:hyperlink>
      <w:r>
        <w:t xml:space="preserve"> com </w:t>
      </w:r>
      <w:hyperlink r:id="rId20155">
        <w:r>
          <w:rPr>
            <w:color w:val="0000EE"/>
            <w:u w:val="single"/>
          </w:rPr>
          <w:t>Pv 10.12</w:t>
        </w:r>
      </w:hyperlink>
      <w:r>
        <w:t>). A mensagem de Tiago, como foi observado anteriormente, segue de perto os sermões de Jesus. Sua mensagem não lida com os problemas judaicos/gentios que surgiram nos anos 50 e 60. Além disso, ao contrário de Pedro, Judas e João (em suas epístolas), ele não lidou com falsos ensinamentos. Todos esses fatos apontam para uma data antecipada. Esta data é provavelmente antes de 50 d.C., quando o primeiro concílio de Jerusalém se reuniu para debater o problema judaico/gentio (</w:t>
      </w:r>
      <w:hyperlink r:id="rId1997">
        <w:r>
          <w:rPr>
            <w:color w:val="0000EE"/>
            <w:u w:val="single"/>
          </w:rPr>
          <w:t>At 15.1ss</w:t>
        </w:r>
      </w:hyperlink>
      <w:r>
        <w:t>). Além disso, a data é provavelmente após 44 d.C., o tempo da perseguição instigada por Herodes Agripa (</w:t>
      </w:r>
      <w:hyperlink r:id="rId20156">
        <w:r>
          <w:rPr>
            <w:color w:val="0000EE"/>
            <w:u w:val="single"/>
          </w:rPr>
          <w:t>12.1</w:t>
        </w:r>
      </w:hyperlink>
      <w:r>
        <w:t>). Esta perseguição teria feito com que muitos cristãos judeus deixassem Jerusalém e, assim, fossem “os dispersos” (</w:t>
      </w:r>
      <w:hyperlink r:id="rId7105">
        <w:r>
          <w:rPr>
            <w:color w:val="0000EE"/>
            <w:u w:val="single"/>
          </w:rPr>
          <w:t>Tg 1.1</w:t>
        </w:r>
      </w:hyperlink>
      <w:r>
        <w:t>). Assim, Tiago deve ser datado de 45–49 d.C. Como tal, a Epístola de Tiago foi o primeiro livro do NT a ser escrito. Se essas datas não forem precisas, então estamos, pelo menos, certos de que foi escrita antes de 61 ou 62 d.C., o tempo do martírio de Tiago, de acordo com Josefo.</w:t>
      </w:r>
    </w:p>
    <w:p>
      <w:r/>
      <w:r>
        <w:t xml:space="preserve">Embora uma série de sugestões tenham sido feitas de tempos em tempos sobre a origem do livro, pode haver pouca dúvida de que a carta foi escrita na Palestina. O autor faz alusões que são, em geral, do Oriente Próximo e, em particular, palestinas (cf. “a chuva cedo e tardia”, </w:t>
      </w:r>
      <w:hyperlink r:id="rId4840">
        <w:r>
          <w:rPr>
            <w:color w:val="0000EE"/>
            <w:u w:val="single"/>
          </w:rPr>
          <w:t>5.7</w:t>
        </w:r>
      </w:hyperlink>
      <w:r>
        <w:t xml:space="preserve">; a fonte de água salobra, </w:t>
      </w:r>
      <w:hyperlink r:id="rId20157">
        <w:r>
          <w:rPr>
            <w:color w:val="0000EE"/>
            <w:u w:val="single"/>
          </w:rPr>
          <w:t>3.11</w:t>
        </w:r>
      </w:hyperlink>
      <w:r>
        <w:t xml:space="preserve">; o figo, azeitona e videira, </w:t>
      </w:r>
      <w:hyperlink r:id="rId20158">
        <w:r>
          <w:rPr>
            <w:color w:val="0000EE"/>
            <w:u w:val="single"/>
          </w:rPr>
          <w:t>3.12</w:t>
        </w:r>
      </w:hyperlink>
      <w:r>
        <w:t xml:space="preserve">; e o “calor escaldante”, </w:t>
      </w:r>
      <w:hyperlink r:id="rId20159">
        <w:r>
          <w:rPr>
            <w:color w:val="0000EE"/>
            <w:u w:val="single"/>
          </w:rPr>
          <w:t>1.11</w:t>
        </w:r>
      </w:hyperlink>
      <w:r>
        <w:t>).</w:t>
      </w:r>
    </w:p>
    <w:p>
      <w:r/>
      <w:r>
        <w:t>O conteúdo da carta indica claramente que Tiago estava escrevendo aos cristãos judeus. Eles são chamados de “as doze tribos”, um título de Israel (</w:t>
      </w:r>
      <w:hyperlink r:id="rId7105">
        <w:r>
          <w:rPr>
            <w:color w:val="0000EE"/>
            <w:u w:val="single"/>
          </w:rPr>
          <w:t>1.1</w:t>
        </w:r>
      </w:hyperlink>
      <w:r>
        <w:t xml:space="preserve">); seu cristianismo é assumido em </w:t>
      </w:r>
      <w:hyperlink r:id="rId20160">
        <w:r>
          <w:rPr>
            <w:color w:val="0000EE"/>
            <w:u w:val="single"/>
          </w:rPr>
          <w:t>2.1</w:t>
        </w:r>
      </w:hyperlink>
      <w:r>
        <w:t>; seu lugar de reunião é chamado de sinagoga (</w:t>
      </w:r>
      <w:hyperlink r:id="rId12341">
        <w:r>
          <w:rPr>
            <w:color w:val="0000EE"/>
            <w:u w:val="single"/>
          </w:rPr>
          <w:t>2.2</w:t>
        </w:r>
      </w:hyperlink>
      <w:r>
        <w:t>); e eles são informados sobre a compaixão do “Senhor Todo-Poderoso” (</w:t>
      </w:r>
      <w:hyperlink r:id="rId10789">
        <w:r>
          <w:rPr>
            <w:color w:val="0000EE"/>
            <w:u w:val="single"/>
          </w:rPr>
          <w:t>5.4</w:t>
        </w:r>
      </w:hyperlink>
      <w:r>
        <w:t>) — um nome para Deus usado no AT. Nas passagens menores e desconectadas da carta, é impossível descobrir qualquer coisa sobre as circunstâncias dos leitores. A maioria dessas exortações é geral e se relaciona com as condições sociais e espirituais que alguém poderia encontrar entre qualquer grupo de cristãos em qualquer era. As passagens mais estendidas que lidam com as condições sociais (</w:t>
      </w:r>
      <w:hyperlink r:id="rId20161">
        <w:r>
          <w:rPr>
            <w:color w:val="0000EE"/>
            <w:u w:val="single"/>
          </w:rPr>
          <w:t>2.1–12</w:t>
        </w:r>
      </w:hyperlink>
      <w:r>
        <w:t xml:space="preserve">; </w:t>
      </w:r>
      <w:hyperlink r:id="rId20162">
        <w:r>
          <w:rPr>
            <w:color w:val="0000EE"/>
            <w:u w:val="single"/>
          </w:rPr>
          <w:t>5.1–11</w:t>
        </w:r>
      </w:hyperlink>
      <w:r>
        <w:t xml:space="preserve">) fornecem informações sobre a situação dos leitores. Tiago está se dirigindo aos cristãos pobres empregados como trabalhadores agrícolas por proprietários de terras ricos. Alguns ricos podem ser incluídos entre seus leitores cristãos judeus (cf. </w:t>
      </w:r>
      <w:hyperlink r:id="rId20163">
        <w:r>
          <w:rPr>
            <w:color w:val="0000EE"/>
            <w:u w:val="single"/>
          </w:rPr>
          <w:t>4.13–17</w:t>
        </w:r>
      </w:hyperlink>
      <w:r>
        <w:t>), mas Tiago está principalmente interessado nos pobres. Suas declarações denunciando os ricos são uma reminiscência dos profetas do AT, especialmente Amós.</w:t>
      </w:r>
    </w:p>
    <w:p>
      <w:pPr>
        <w:pStyle w:val="Heading3"/>
      </w:pPr>
      <w:r>
        <w:t>Propósito da escrita e ensino teológico</w:t>
      </w:r>
    </w:p>
    <w:p>
      <w:r/>
      <w:r>
        <w:t>A carta de Tiago foi escrita (1) para fortalecer os cristãos judeus em meio as provações (</w:t>
      </w:r>
      <w:hyperlink r:id="rId20164">
        <w:r>
          <w:rPr>
            <w:color w:val="0000EE"/>
            <w:u w:val="single"/>
          </w:rPr>
          <w:t>Tg 1.2–4,13–15</w:t>
        </w:r>
      </w:hyperlink>
      <w:r>
        <w:t xml:space="preserve">; </w:t>
      </w:r>
      <w:hyperlink r:id="rId20165">
        <w:r>
          <w:rPr>
            <w:color w:val="0000EE"/>
            <w:u w:val="single"/>
          </w:rPr>
          <w:t>5.7–11</w:t>
        </w:r>
      </w:hyperlink>
      <w:r>
        <w:t>); (2) para corrigir um mal-entendido da doutrina Paulina da justificação pela fé (</w:t>
      </w:r>
      <w:hyperlink r:id="rId14620">
        <w:r>
          <w:rPr>
            <w:color w:val="0000EE"/>
            <w:u w:val="single"/>
          </w:rPr>
          <w:t>2.14–26</w:t>
        </w:r>
      </w:hyperlink>
      <w:r>
        <w:t>); e (3) para passar aos cristãos da primeira geração uma riqueza de sabedoria prática.</w:t>
      </w:r>
    </w:p>
    <w:p>
      <w:r/>
      <w:r>
        <w:t>A teologia de Tiago não é dogmática; omite os grandes temas teológicos que dominam os escritos de Paulo e desempenham um papel tão importante no resto dos livros do NT. Tiago não faz menção da Encarnação, e o nome de Cristo aparece apenas duas vezes (</w:t>
      </w:r>
      <w:hyperlink r:id="rId7105">
        <w:r>
          <w:rPr>
            <w:color w:val="0000EE"/>
            <w:u w:val="single"/>
          </w:rPr>
          <w:t>1.1</w:t>
        </w:r>
      </w:hyperlink>
      <w:r>
        <w:t xml:space="preserve">; </w:t>
      </w:r>
      <w:hyperlink r:id="rId20160">
        <w:r>
          <w:rPr>
            <w:color w:val="0000EE"/>
            <w:u w:val="single"/>
          </w:rPr>
          <w:t>2.1</w:t>
        </w:r>
      </w:hyperlink>
      <w:r>
        <w:t>). Nenhuma menção é feita dos sofrimentos, morte ou ressurreição de Cristo.</w:t>
      </w:r>
    </w:p>
    <w:p>
      <w:r/>
      <w:r>
        <w:t>A teologia de Tiago é prática e tem um teor judaico definido. As características cristãs distintas, é claro, estão lá. Tiago simplesmente misturou os dois para produzir um documento judaico-cristão.</w:t>
      </w:r>
    </w:p>
    <w:p>
      <w:r/>
      <w:r>
        <w:t>Os temas teológicos notáveis da carta são os seguintes:</w:t>
      </w:r>
    </w:p>
    <w:p>
      <w:pPr>
        <w:pStyle w:val="Heading4"/>
      </w:pPr>
      <w:r>
        <w:t>Tentações e Provações</w:t>
      </w:r>
    </w:p>
    <w:p>
      <w:r/>
      <w:r>
        <w:t>Os ensinamentos tipicamente judaicos — alegria nas provações e o uso de provações para a construção e aperfeiçoamento do caráter — são ambos encontrados na carta (</w:t>
      </w:r>
      <w:hyperlink r:id="rId20164">
        <w:r>
          <w:rPr>
            <w:color w:val="0000EE"/>
            <w:u w:val="single"/>
          </w:rPr>
          <w:t>1.2–4</w:t>
        </w:r>
      </w:hyperlink>
      <w:r>
        <w:t xml:space="preserve">). Tiago também aborda a origem da tentação (vv. </w:t>
      </w:r>
      <w:hyperlink r:id="rId20166">
        <w:r>
          <w:rPr>
            <w:color w:val="0000EE"/>
            <w:u w:val="single"/>
          </w:rPr>
          <w:t>13–15</w:t>
        </w:r>
      </w:hyperlink>
      <w:r>
        <w:t xml:space="preserve">). Aqui o autor entra em conflito com a teologia judaica contemporânea. A solução rabínica para o problema da origem do pecado era que havia uma tendência maligna no homem que seduz o homem ao pecado. Os rabinos argumentavam que, uma vez que Deus é o Criador de todas as coisas, incluindo o impulso maligno nas pessoas, eles não são responsáveis por seus pecados. Não, diz Tiago. “E lembre-se, ninguém que quer fazer o que é errado deve dizer: ‘Deus está me tentando’. Deus nunca é tentado a fazer o que é errado, e ele nunca tenta a ninguém também. A tentação vem da isca de nossos próprios desejos malignos” (vv. </w:t>
      </w:r>
      <w:hyperlink r:id="rId20167">
        <w:r>
          <w:rPr>
            <w:color w:val="0000EE"/>
            <w:u w:val="single"/>
          </w:rPr>
          <w:t>13–14</w:t>
        </w:r>
      </w:hyperlink>
      <w:r>
        <w:t>, NTLH).</w:t>
      </w:r>
    </w:p>
    <w:p>
      <w:pPr>
        <w:pStyle w:val="Heading4"/>
      </w:pPr>
      <w:r>
        <w:t>Lei</w:t>
      </w:r>
    </w:p>
    <w:p>
      <w:r/>
      <w:r>
        <w:t>Toda a carta está relacionada com o ensino ético; não há menção das verdades centrais do evangelho da morte e ressurreição de Cristo. Tiago pressupõe o evangelho e apresenta o lado ético do cristianismo como uma lei perfeita. Ele parece estar encorajando seus leitores judeu-cristãos de que ainda há lei para eles (a posse inestimável de cada judeu).</w:t>
      </w:r>
    </w:p>
    <w:p>
      <w:r/>
      <w:r>
        <w:t>A lei (ensino ético do cristianismo) é uma lei perfeita (</w:t>
      </w:r>
      <w:hyperlink r:id="rId15527">
        <w:r>
          <w:rPr>
            <w:color w:val="0000EE"/>
            <w:u w:val="single"/>
          </w:rPr>
          <w:t>1.25</w:t>
        </w:r>
      </w:hyperlink>
      <w:r>
        <w:t>) porque foi aperfeiçoada por Jesus Cristo. Também é uma lei de liberdade — isto é, uma lei que se aplica àqueles que têm liberdade, não da lei, mas do pecado e do ego através da “palavra da verdade”. Assim, “lei” é a maneira de um judeu palestino-cristão de descrever o ensino ético da fé cristã, o padrão de conduta para o crente em Jesus Cristo.</w:t>
      </w:r>
    </w:p>
    <w:p>
      <w:r/>
      <w:r>
        <w:t xml:space="preserve">Esta tendência de descrever o ensino ético cristão como a lei é encontrada em </w:t>
      </w:r>
      <w:hyperlink r:id="rId20168">
        <w:r>
          <w:rPr>
            <w:color w:val="0000EE"/>
            <w:u w:val="single"/>
          </w:rPr>
          <w:t>2.8–13</w:t>
        </w:r>
      </w:hyperlink>
      <w:r>
        <w:t>, uma passagem que surge de uma repreensão contra o favoritismo que os leitores de Tiago estavam mostrando em relação aos ricos. Este favoritismo estava sendo tolerado por um apelo à lei do amor ao próximo. Então Tiago escreve: “Se vocês de fato obedecerem à lei real... estarão agindo corretamente.” (</w:t>
      </w:r>
      <w:hyperlink r:id="rId15526">
        <w:r>
          <w:rPr>
            <w:color w:val="0000EE"/>
            <w:u w:val="single"/>
          </w:rPr>
          <w:t>2.8</w:t>
        </w:r>
      </w:hyperlink>
      <w:r>
        <w:t>, NVI). A “lei real” é para aqueles que são do reino de Deus; é a regra de fé para aqueles que de bom grado se sujeitaram ao governo de Deus. A identificação da lei com o aspecto ético do cristianismo percorre toda a carta.</w:t>
      </w:r>
    </w:p>
    <w:p>
      <w:pPr>
        <w:pStyle w:val="Heading4"/>
      </w:pPr>
      <w:r>
        <w:t>Fé e Obras</w:t>
      </w:r>
    </w:p>
    <w:p>
      <w:r/>
      <w:r>
        <w:t>A fé desempenha um papel importante na teologia de Tiago. O elemento básico da piedade (</w:t>
      </w:r>
      <w:hyperlink r:id="rId20169">
        <w:r>
          <w:rPr>
            <w:color w:val="0000EE"/>
            <w:u w:val="single"/>
          </w:rPr>
          <w:t>1.3</w:t>
        </w:r>
      </w:hyperlink>
      <w:r>
        <w:t xml:space="preserve">; cf. </w:t>
      </w:r>
      <w:hyperlink r:id="rId10551">
        <w:r>
          <w:rPr>
            <w:color w:val="0000EE"/>
            <w:u w:val="single"/>
          </w:rPr>
          <w:t>2.5</w:t>
        </w:r>
      </w:hyperlink>
      <w:r>
        <w:t>) é a crença em Deus — não apenas a crença em sua existência, mas a crença em seu caráter como sendo bom e benevolente em seus tratos com a humanidade (</w:t>
      </w:r>
      <w:hyperlink r:id="rId20170">
        <w:r>
          <w:rPr>
            <w:color w:val="0000EE"/>
            <w:u w:val="single"/>
          </w:rPr>
          <w:t>1.6</w:t>
        </w:r>
      </w:hyperlink>
      <w:r>
        <w:t>). A fé inclui a crença no poder de Deus e em sua capacidade de realizar atos milagrosos; está intimamente associada com a oração (</w:t>
      </w:r>
      <w:hyperlink r:id="rId20171">
        <w:r>
          <w:rPr>
            <w:color w:val="0000EE"/>
            <w:u w:val="single"/>
          </w:rPr>
          <w:t>5.15–16</w:t>
        </w:r>
      </w:hyperlink>
      <w:r>
        <w:t xml:space="preserve">; cf. </w:t>
      </w:r>
      <w:hyperlink r:id="rId20170">
        <w:r>
          <w:rPr>
            <w:color w:val="0000EE"/>
            <w:u w:val="single"/>
          </w:rPr>
          <w:t>1.6</w:t>
        </w:r>
      </w:hyperlink>
      <w:r>
        <w:t>). Tiago tem um conceito dinâmico de fé e claramente vai além do judaísmo quando ele fala de fé dirigida ao Senhor Jesus Cristo (</w:t>
      </w:r>
      <w:hyperlink r:id="rId20160">
        <w:r>
          <w:rPr>
            <w:color w:val="0000EE"/>
            <w:u w:val="single"/>
          </w:rPr>
          <w:t>2.1</w:t>
        </w:r>
      </w:hyperlink>
      <w:r>
        <w:t>).</w:t>
      </w:r>
    </w:p>
    <w:p>
      <w:r/>
      <w:r>
        <w:t xml:space="preserve">Existem semelhanças entre o conceito de fé em Tiago e esse conceito nos ensinamentos de Jesus. Para o Senhor Jesus, a fé também significava ganhar acesso ao poder divino e é muitas vezes associada com a cura (cf. </w:t>
      </w:r>
      <w:hyperlink r:id="rId20172">
        <w:r>
          <w:rPr>
            <w:color w:val="0000EE"/>
            <w:u w:val="single"/>
          </w:rPr>
          <w:t>Mt 21.22</w:t>
        </w:r>
      </w:hyperlink>
      <w:r>
        <w:t xml:space="preserve">; </w:t>
      </w:r>
      <w:hyperlink r:id="rId20173">
        <w:r>
          <w:rPr>
            <w:color w:val="0000EE"/>
            <w:u w:val="single"/>
          </w:rPr>
          <w:t>Mc 5.34</w:t>
        </w:r>
      </w:hyperlink>
      <w:r>
        <w:t xml:space="preserve">; </w:t>
      </w:r>
      <w:hyperlink r:id="rId20174">
        <w:r>
          <w:rPr>
            <w:color w:val="0000EE"/>
            <w:u w:val="single"/>
          </w:rPr>
          <w:t>11.24</w:t>
        </w:r>
      </w:hyperlink>
      <w:r>
        <w:t>).</w:t>
      </w:r>
    </w:p>
    <w:p>
      <w:r/>
      <w:r>
        <w:t xml:space="preserve">A passagem mais conhecida em que a fé é mencionada é </w:t>
      </w:r>
      <w:hyperlink r:id="rId14620">
        <w:r>
          <w:rPr>
            <w:color w:val="0000EE"/>
            <w:u w:val="single"/>
          </w:rPr>
          <w:t>Tg 2.14–26</w:t>
        </w:r>
      </w:hyperlink>
      <w:r>
        <w:t xml:space="preserve">, onde é contrastada com as obras. De um estudo íntimo desta passagem, pode ser determinado que Tiago não está contradizendo Paulo. Tanto para Tiago quanto para Paulo, a fé é dirigida ao Senhor Jesus Cristo; tal fé sempre produzirá boas obras. A fé de que Tiago fala não é fé no sentido hebraico de confiança em Deus que resulta em ação moral. Isso não é reconhecido como a </w:t>
      </w:r>
      <w:r>
        <w:rPr>
          <w:i/>
        </w:rPr>
        <w:t>verdadeira</w:t>
      </w:r>
      <w:r>
        <w:t xml:space="preserve"> fé por Tiago (cf. “se um homem disser que ele tem fé”, </w:t>
      </w:r>
      <w:hyperlink r:id="rId20175">
        <w:r>
          <w:rPr>
            <w:color w:val="0000EE"/>
            <w:u w:val="single"/>
          </w:rPr>
          <w:t>2.14</w:t>
        </w:r>
      </w:hyperlink>
      <w:r>
        <w:t>), e Paulo concordaria com ele.</w:t>
      </w:r>
    </w:p>
    <w:p>
      <w:r/>
      <w:r>
        <w:t>O uso de Tiago da palavra “obras” difere significativamente do de Paulo. Para Tiago, “obras” são obras de fé, a realização ética da verdadeira espiritualidade e incluem especialmente a “obra de amor” (</w:t>
      </w:r>
      <w:hyperlink r:id="rId15526">
        <w:r>
          <w:rPr>
            <w:color w:val="0000EE"/>
            <w:u w:val="single"/>
          </w:rPr>
          <w:t>2.8</w:t>
        </w:r>
      </w:hyperlink>
      <w:r>
        <w:t>). (Paulo provavelmente chamaria tais obras de “o fruto do Espírito”). Quando Paulo usa a palavra “obras”, ele geralmente tem em mente as obras da lei pelas quais as pessoas tentam estabelecer sua própria justiça diante de Deus. É contra tal heresia teológica que as mais fortes polêmicas de Paulo são abordadas nas cartas aos gálatas e aos romanos.</w:t>
      </w:r>
    </w:p>
    <w:p>
      <w:pPr>
        <w:pStyle w:val="Heading4"/>
      </w:pPr>
      <w:r>
        <w:t>Sabedoria</w:t>
      </w:r>
    </w:p>
    <w:p>
      <w:r/>
      <w:r>
        <w:t xml:space="preserve">O conceito de sabedoria de Tiago também revela o contexto judaico da carta. A sabedoria é principalmente prática, não filosófica. Não deve ser identificada com o poder de raciocínio ou a capacidade de apreender questões intelectuais; não tem nada a ver com as perguntas de </w:t>
      </w:r>
      <w:r>
        <w:rPr>
          <w:i/>
        </w:rPr>
        <w:t>como</w:t>
      </w:r>
      <w:r>
        <w:t xml:space="preserve"> ou </w:t>
      </w:r>
      <w:r>
        <w:rPr>
          <w:i/>
        </w:rPr>
        <w:t>por que</w:t>
      </w:r>
      <w:r>
        <w:t>. Deve ser buscada por oração sincera e é um dom de Deus (</w:t>
      </w:r>
      <w:hyperlink r:id="rId20140">
        <w:r>
          <w:rPr>
            <w:color w:val="0000EE"/>
            <w:u w:val="single"/>
          </w:rPr>
          <w:t>Tg 1.5</w:t>
        </w:r>
      </w:hyperlink>
      <w:r>
        <w:t xml:space="preserve">). Ambas as ideias encontram suas raízes na Literatura de Sabedoria dos judeus (cf. </w:t>
      </w:r>
      <w:hyperlink r:id="rId17786">
        <w:r>
          <w:rPr>
            <w:color w:val="0000EE"/>
            <w:u w:val="single"/>
          </w:rPr>
          <w:t>Pv 2.6</w:t>
        </w:r>
      </w:hyperlink>
      <w:r>
        <w:t xml:space="preserve">; </w:t>
      </w:r>
      <w:hyperlink r:id="rId20176">
        <w:r>
          <w:rPr>
            <w:color w:val="0000EE"/>
            <w:u w:val="single"/>
          </w:rPr>
          <w:t>Sb 7.7</w:t>
        </w:r>
      </w:hyperlink>
      <w:r>
        <w:t xml:space="preserve">; </w:t>
      </w:r>
      <w:hyperlink r:id="rId20177">
        <w:r>
          <w:rPr>
            <w:color w:val="0000EE"/>
            <w:u w:val="single"/>
          </w:rPr>
          <w:t>Eclo 1.1</w:t>
        </w:r>
      </w:hyperlink>
      <w:r>
        <w:t>). O homem sábio demonstra sua sabedoria por sua boa vida (</w:t>
      </w:r>
      <w:hyperlink r:id="rId20178">
        <w:r>
          <w:rPr>
            <w:color w:val="0000EE"/>
            <w:u w:val="single"/>
          </w:rPr>
          <w:t>Tg 3.13</w:t>
        </w:r>
      </w:hyperlink>
      <w:r>
        <w:t xml:space="preserve">), enquanto a sabedoria que produz ciúme e egoísmo não é o tipo de sabedoria de Deus (vv. </w:t>
      </w:r>
      <w:hyperlink r:id="rId20179">
        <w:r>
          <w:rPr>
            <w:color w:val="0000EE"/>
            <w:u w:val="single"/>
          </w:rPr>
          <w:t>15–16</w:t>
        </w:r>
      </w:hyperlink>
      <w:r>
        <w:t>).</w:t>
      </w:r>
    </w:p>
    <w:p>
      <w:pPr>
        <w:pStyle w:val="Heading4"/>
      </w:pPr>
      <w:r>
        <w:t>Doutrina do Fim dos Tempos</w:t>
      </w:r>
    </w:p>
    <w:p>
      <w:r/>
      <w:r>
        <w:t>Três importantes temas do fim dos tempos são abordados na carta.</w:t>
      </w:r>
    </w:p>
    <w:p>
      <w:r/>
      <w:r>
        <w:t>O Reino de Deus</w:t>
      </w:r>
    </w:p>
    <w:p>
      <w:r/>
      <w:r>
        <w:t xml:space="preserve">A menção do reino de Deus surge de uma discussão de favoritismo na primeira metade do capítulo </w:t>
      </w:r>
      <w:hyperlink r:id="rId20180">
        <w:r>
          <w:rPr>
            <w:color w:val="0000EE"/>
            <w:u w:val="single"/>
          </w:rPr>
          <w:t>2</w:t>
        </w:r>
      </w:hyperlink>
      <w:r>
        <w:t>. Nenhum favoritismo deve ser mostrado aos ricos, pois Tiago pergunta: “Deus não escolheu os pobres neste mundo para serem ricos em fé? Não são eles que herdarão o reino que Deus prometeu aos que o amam?” (</w:t>
      </w:r>
      <w:hyperlink r:id="rId10551">
        <w:r>
          <w:rPr>
            <w:color w:val="0000EE"/>
            <w:u w:val="single"/>
          </w:rPr>
          <w:t>2.5</w:t>
        </w:r>
      </w:hyperlink>
      <w:r>
        <w:t xml:space="preserve">, NTLH). Isso ecoa o ensino de nosso Senhor em </w:t>
      </w:r>
      <w:hyperlink r:id="rId17243">
        <w:r>
          <w:rPr>
            <w:color w:val="0000EE"/>
            <w:u w:val="single"/>
          </w:rPr>
          <w:t>Lc 6.20</w:t>
        </w:r>
      </w:hyperlink>
      <w:r>
        <w:t xml:space="preserve">: “Felizes são vocês, os pobres, pois o Reino de Deus é de vocês.” (NTLH). O reino é o reinado de Deus cumprido parcialmente nesta vida, mas totalmente cumprido na vida por vir (cf. “prometeu”, </w:t>
      </w:r>
      <w:hyperlink r:id="rId10551">
        <w:r>
          <w:rPr>
            <w:color w:val="0000EE"/>
            <w:u w:val="single"/>
          </w:rPr>
          <w:t>Tg 2.5</w:t>
        </w:r>
      </w:hyperlink>
      <w:r>
        <w:t>).</w:t>
      </w:r>
    </w:p>
    <w:p>
      <w:r/>
      <w:r>
        <w:t>Julgamento</w:t>
      </w:r>
    </w:p>
    <w:p>
      <w:r/>
      <w:r>
        <w:t xml:space="preserve">Este é um tema dominante do fim dos tempos da carta. Em </w:t>
      </w:r>
      <w:hyperlink r:id="rId15528">
        <w:r>
          <w:rPr>
            <w:color w:val="0000EE"/>
            <w:u w:val="single"/>
          </w:rPr>
          <w:t>2.12</w:t>
        </w:r>
      </w:hyperlink>
      <w:r>
        <w:t xml:space="preserve">, os leitores são admoestados a falar e agir, lembrando que eles serão julgados sob a lei da liberdade, e eles são lembrados de que o julgamento é sem misericórdia a alguém que não mostrou misericórdia. Em outras palavras, o julgamento será administrado de acordo com “obras de amor”. Em </w:t>
      </w:r>
      <w:hyperlink r:id="rId14354">
        <w:r>
          <w:rPr>
            <w:color w:val="0000EE"/>
            <w:u w:val="single"/>
          </w:rPr>
          <w:t>3.1</w:t>
        </w:r>
      </w:hyperlink>
      <w:r>
        <w:t>, Tiago se dirige aos mestres e os lembra que o privilégio é outra base na qual Deus julga.</w:t>
      </w:r>
    </w:p>
    <w:p>
      <w:r/>
      <w:r>
        <w:t xml:space="preserve">O tema do julgamento aparece novamente em </w:t>
      </w:r>
      <w:hyperlink r:id="rId18636">
        <w:r>
          <w:rPr>
            <w:color w:val="0000EE"/>
            <w:u w:val="single"/>
          </w:rPr>
          <w:t>5.1–6</w:t>
        </w:r>
      </w:hyperlink>
      <w:r>
        <w:t>, e aqui o autor atinge dimensões proféticas. O julgamento de Deus cairá sobre os proprietários de terras ricos que viveram vidas autoindulgentes e irresponsáveis. Não apenas enganaram seus pobres arrendatários; eles até “têm condenado e matado os inocentes, e eles não podem fazer nada contra vocês [os proprietários de terras]” (</w:t>
      </w:r>
      <w:hyperlink r:id="rId10907">
        <w:r>
          <w:rPr>
            <w:color w:val="0000EE"/>
            <w:u w:val="single"/>
          </w:rPr>
          <w:t>5.6</w:t>
        </w:r>
      </w:hyperlink>
      <w:r>
        <w:t xml:space="preserve">, NTLH). Tudo isso os tornou aptos para o julgamento (“estão gordos como gado pronto para o matadouro.” — v. </w:t>
      </w:r>
      <w:hyperlink r:id="rId20181">
        <w:r>
          <w:rPr>
            <w:color w:val="0000EE"/>
            <w:u w:val="single"/>
          </w:rPr>
          <w:t>5</w:t>
        </w:r>
      </w:hyperlink>
      <w:r>
        <w:t>, NTLH).</w:t>
      </w:r>
    </w:p>
    <w:p>
      <w:r/>
      <w:r>
        <w:t>A passagem final sobre o julgamento (</w:t>
      </w:r>
      <w:hyperlink r:id="rId20182">
        <w:r>
          <w:rPr>
            <w:color w:val="0000EE"/>
            <w:u w:val="single"/>
          </w:rPr>
          <w:t>5.9</w:t>
        </w:r>
      </w:hyperlink>
      <w:r>
        <w:t>) é dirigida àqueles que estão sendo explorados ou sofrendo. A palavra de exortação de Tiago é que eles não devem murmurar uns contra os outros. Julgar é o ofício de Deus, e o Juiz está próximo.</w:t>
      </w:r>
    </w:p>
    <w:p>
      <w:r/>
      <w:r>
        <w:t>A segunda vinda</w:t>
      </w:r>
    </w:p>
    <w:p>
      <w:r/>
      <w:r>
        <w:t>A esperança da vinda de Cristo é apresentada como o grande estímulo para a vida cristã. Todo tipo de sofrimento e provação deve ser suportado porque a vinda de Cristo está próxima (</w:t>
      </w:r>
      <w:hyperlink r:id="rId19299">
        <w:r>
          <w:rPr>
            <w:color w:val="0000EE"/>
            <w:u w:val="single"/>
          </w:rPr>
          <w:t>5.8</w:t>
        </w:r>
      </w:hyperlink>
      <w:r>
        <w:t>). Esta expectativa é poderosa e imediata — como a encontrada nas cartas de Tessalônica.</w:t>
      </w:r>
    </w:p>
    <w:p>
      <w:pPr>
        <w:pStyle w:val="Heading3"/>
      </w:pPr>
      <w:r>
        <w:t>Conteúdo</w:t>
      </w:r>
    </w:p>
    <w:p>
      <w:r/>
      <w:r>
        <w:t>No verdadeiro espírito da Literatura de Sabedoria, Tiago toca em muitos assuntos. Seus parágrafos breves e abruptos foram comparados a um colar de pérolas — cada um é uma unidade própria. Algumas transições existem, mas elas são muitas vezes difíceis de encontrar e Tiago se move rapidamente de um assunto para outro.</w:t>
      </w:r>
    </w:p>
    <w:p>
      <w:r/>
      <w:r>
        <w:t>O autor começa identificando-se como o “servo de Deus e do Senhor Jesus Cristo”, e seus leitores como as “doze tribos na dispersão” (veja ARA) — isto é, os cristãos judeus que deixaram Jerusalém e Israel devido à perseguição.</w:t>
      </w:r>
    </w:p>
    <w:p>
      <w:r/>
      <w:r>
        <w:t>Sua primeira palavra é de encorajamento. As provações devem ser contadas como alegria porque elas são a maneira de Deus testar o crente, e elas produzem maturidade espiritual. Se a razão para uma provação não for clara, Deus pode e dará a resposta. Ele é um doador generoso de sabedoria àqueles que realmente querem (</w:t>
      </w:r>
      <w:hyperlink r:id="rId20183">
        <w:r>
          <w:rPr>
            <w:color w:val="0000EE"/>
            <w:u w:val="single"/>
          </w:rPr>
          <w:t>1.5–8</w:t>
        </w:r>
      </w:hyperlink>
      <w:r>
        <w:t>).</w:t>
      </w:r>
    </w:p>
    <w:p>
      <w:r/>
      <w:r>
        <w:t>Um cristão pobre deve estar orgulhoso de sua posição exaltada em Jesus Cristo, e um cristão rico deve estar feliz que ele tenha descoberto que há coisas mais importantes do que a riqueza. As riquezas são transitórias, como flores murchando rapidamente sob o sol quente da Palestina (</w:t>
      </w:r>
      <w:hyperlink r:id="rId20184">
        <w:r>
          <w:rPr>
            <w:color w:val="0000EE"/>
            <w:u w:val="single"/>
          </w:rPr>
          <w:t>1.9–11</w:t>
        </w:r>
      </w:hyperlink>
      <w:r>
        <w:t>).</w:t>
      </w:r>
    </w:p>
    <w:p>
      <w:r/>
      <w:r>
        <w:t>Deus promete vida àqueles que suportam provações. Não se deve responsabilizar Deus pela tentação, pois é contrário à sua própria natureza ser tentado ou tentar as pessoas. A tentação tem sua origem no desejo egoísta das pessoas — um desejo que, quando plenamente realizado, produz morte (</w:t>
      </w:r>
      <w:hyperlink r:id="rId20185">
        <w:r>
          <w:rPr>
            <w:color w:val="0000EE"/>
            <w:u w:val="single"/>
          </w:rPr>
          <w:t>1.12–15</w:t>
        </w:r>
      </w:hyperlink>
      <w:r>
        <w:t xml:space="preserve">). Deus não é a origem da tentação, mas a fonte de todo o bem. Ele deu às pessoas seu melhor presente, o presente da nova vida, e isso veio através do evangelho (vv. </w:t>
      </w:r>
      <w:hyperlink r:id="rId20186">
        <w:r>
          <w:rPr>
            <w:color w:val="0000EE"/>
            <w:u w:val="single"/>
          </w:rPr>
          <w:t>16–18</w:t>
        </w:r>
      </w:hyperlink>
      <w:r>
        <w:t>).</w:t>
      </w:r>
    </w:p>
    <w:p>
      <w:r/>
      <w:r>
        <w:t>A atitude adequada em relação à Palavra da Verdade é receptividade, não raiva, e ouvir de modo eficaz essa palavra envolve preparação espiritual de coração e mente. Tal recepção da palavra traz salvação (</w:t>
      </w:r>
      <w:hyperlink r:id="rId20187">
        <w:r>
          <w:rPr>
            <w:color w:val="0000EE"/>
            <w:u w:val="single"/>
          </w:rPr>
          <w:t>1.19–21</w:t>
        </w:r>
      </w:hyperlink>
      <w:r>
        <w:t xml:space="preserve">). A palavra deve ser posta em prática, não meramente ouvida. Ser um ouvinte passivo é ser como um homem que se vê em um espelho, e porque ele lança um olhar tão breve, esquece o que ele vê. Um ouvinte ativo, aquele que lança um olhar demorado no espelho da Palavra de Deus, se tornará um praticante, e Deus trará grande bênção à sua vida (vv. </w:t>
      </w:r>
      <w:hyperlink r:id="rId20188">
        <w:r>
          <w:rPr>
            <w:color w:val="0000EE"/>
            <w:u w:val="single"/>
          </w:rPr>
          <w:t>22–25</w:t>
        </w:r>
      </w:hyperlink>
      <w:r>
        <w:t>).</w:t>
      </w:r>
    </w:p>
    <w:p>
      <w:r/>
      <w:r>
        <w:t>A verdadeira religião é uma coisa intensamente prática. Envolve coisas como controlar a própria língua, cuidar das necessidades dos órfãos e viúvas, e adotar um estilo de vida não mundano (</w:t>
      </w:r>
      <w:hyperlink r:id="rId20189">
        <w:r>
          <w:rPr>
            <w:color w:val="0000EE"/>
            <w:u w:val="single"/>
          </w:rPr>
          <w:t>1.26–27</w:t>
        </w:r>
      </w:hyperlink>
      <w:r>
        <w:t>).</w:t>
      </w:r>
    </w:p>
    <w:p>
      <w:r/>
      <w:r>
        <w:t>O favoritismo e fé em Jesus Cristo não andam juntos. É errado mostrar favoritismo a um homem rico quando ele chega à reunião e ignorar um homem pobre. Deus escolheu as pessoas pobres para serem herdeiros de seu reino. Além disso, mostrar favoritismo aos ricos não faz sentido, uma vez que eles são os mesmos que arrastam os cristãos para a corte e blasfemam o nome de Cristo (</w:t>
      </w:r>
      <w:hyperlink r:id="rId20190">
        <w:r>
          <w:rPr>
            <w:color w:val="0000EE"/>
            <w:u w:val="single"/>
          </w:rPr>
          <w:t>2.1–7</w:t>
        </w:r>
      </w:hyperlink>
      <w:r>
        <w:t xml:space="preserve">). Se, ao mostrar deferência aos ricos, a lei real — amar o próximo como a si mesmo — é cumprida, então tudo bem. Mas mostrar favoritismo é pecado, e tal pecado será julgado por Deus. Para ser um infrator, basta quebrar uma única lei (vv. </w:t>
      </w:r>
      <w:hyperlink r:id="rId20168">
        <w:r>
          <w:rPr>
            <w:color w:val="0000EE"/>
            <w:u w:val="single"/>
          </w:rPr>
          <w:t>8–13</w:t>
        </w:r>
      </w:hyperlink>
      <w:r>
        <w:t>).</w:t>
      </w:r>
    </w:p>
    <w:p>
      <w:r/>
      <w:r>
        <w:t>Uma fé que não produz obras pode salvar uma pessoa? Quão boa é uma fé que não responde à necessidade humana? Tal fé está morta. Alguém se oporá dizendo que há “cristãos de fé” e há “cristãos de obras”. Mas não é assim. A verdadeira fé é sempre demonstrada pelas obras. Não é suficiente ter crenças ortodoxas. Até os demônios são teologicamente ortodoxos! Abraão, oferecendo Isaque, é um exemplo de como a verdadeira fé e as obras andam juntas. Até Raabe, a prostituta, demonstrou sua fé protegendo os espiões em Jericó. Então fé e as obras são inseparáveis (</w:t>
      </w:r>
      <w:hyperlink r:id="rId14620">
        <w:r>
          <w:rPr>
            <w:color w:val="0000EE"/>
            <w:u w:val="single"/>
          </w:rPr>
          <w:t>2.14–26</w:t>
        </w:r>
      </w:hyperlink>
      <w:r>
        <w:t>).</w:t>
      </w:r>
    </w:p>
    <w:p>
      <w:r/>
      <w:r>
        <w:t>Poucas pessoas devem se tornar mestres espirituais, por causa da incrível responsabilidade envolvida. Todos nós estamos sujeitos a erros, especialmente erros da língua, porque a língua é quase impossível de controlar. É como uma chama destrutiva estabelecida pelo próprio inferno. A língua também é inconsistente; é usada tanto para louvar a Deus quanto para amaldiçoar os homens. Tal inconsistência não deveria existir (</w:t>
      </w:r>
      <w:hyperlink r:id="rId16150">
        <w:r>
          <w:rPr>
            <w:color w:val="0000EE"/>
            <w:u w:val="single"/>
          </w:rPr>
          <w:t>3.1–12</w:t>
        </w:r>
      </w:hyperlink>
      <w:r>
        <w:t>).</w:t>
      </w:r>
    </w:p>
    <w:p>
      <w:r/>
      <w:r>
        <w:t>A verdadeira sabedoria sempre evidenciará a si mesma na vida ética, enquanto a falsa sabedoria produz ciúme e ambição egoísta (</w:t>
      </w:r>
      <w:hyperlink r:id="rId18772">
        <w:r>
          <w:rPr>
            <w:color w:val="0000EE"/>
            <w:u w:val="single"/>
          </w:rPr>
          <w:t>3.13–18</w:t>
        </w:r>
      </w:hyperlink>
      <w:r>
        <w:t>).</w:t>
      </w:r>
    </w:p>
    <w:p>
      <w:r/>
      <w:r>
        <w:t>Luta e conflito surgem de desejos ilegítimos. O fracasso por não ter o que se quer surge de não pedir a Deus ou de pedir a coisa errada. Ser um amigo do mundo é ser um inimigo de Deus, pois Deus é um Deus zeloso e não tolerará rivais. Ele também se opõe aos soberbos, mas oferece graça abundante aos humildes (</w:t>
      </w:r>
      <w:hyperlink r:id="rId20191">
        <w:r>
          <w:rPr>
            <w:color w:val="0000EE"/>
            <w:u w:val="single"/>
          </w:rPr>
          <w:t>4.1–10</w:t>
        </w:r>
      </w:hyperlink>
      <w:r>
        <w:t>).</w:t>
      </w:r>
    </w:p>
    <w:p>
      <w:r/>
      <w:r>
        <w:t>Falar contra um irmão ou irmã, ou julgá-los, é falar contra a lei de Deus e julgá-la. O papel adequado do cristão é ser um cumpridor da lei, não um juiz. O papel de juiz pertence apenas a Deus (</w:t>
      </w:r>
      <w:hyperlink r:id="rId20192">
        <w:r>
          <w:rPr>
            <w:color w:val="0000EE"/>
            <w:u w:val="single"/>
          </w:rPr>
          <w:t>4.11–12</w:t>
        </w:r>
      </w:hyperlink>
      <w:r>
        <w:t>).</w:t>
      </w:r>
    </w:p>
    <w:p>
      <w:r/>
      <w:r>
        <w:t>A vida é incerta. Portanto, planos para viajar ou fazer negócios devem ser feitos com a percepção de que todos estão sujeitos à vontade de Deus. Fazer o contrário é ser jactancioso e arrogante. Quando o que é certo é claramente conhecido e alguém falha em fazê-lo, isso é pecado (</w:t>
      </w:r>
      <w:hyperlink r:id="rId20163">
        <w:r>
          <w:rPr>
            <w:color w:val="0000EE"/>
            <w:u w:val="single"/>
          </w:rPr>
          <w:t>4.13–17</w:t>
        </w:r>
      </w:hyperlink>
      <w:r>
        <w:t>).</w:t>
      </w:r>
    </w:p>
    <w:p>
      <w:r/>
      <w:r>
        <w:t>O julgamento está vindo para os ricos porque eles estão amontoando sua riqueza em vez de usá-la para bons propósitos. Deus não esquece dos clamores dos pobres que os ricos enganaram e condenaram injustamente. Ele está preparando os ricos egoístas e sem escrúpulos para um dia de julgamento terrível (</w:t>
      </w:r>
      <w:hyperlink r:id="rId18636">
        <w:r>
          <w:rPr>
            <w:color w:val="0000EE"/>
            <w:u w:val="single"/>
          </w:rPr>
          <w:t>5.1–6</w:t>
        </w:r>
      </w:hyperlink>
      <w:r>
        <w:t>).</w:t>
      </w:r>
    </w:p>
    <w:p>
      <w:r/>
      <w:r>
        <w:t>No meio do sofrimento e injustiça, os pobres devem ser pacientes com a vinda de Cristo, pois o agricultor deve ser paciente enquanto espera que Deus envie as chuvas para fazer com que suas colheitas cresçam e amadureçam. O retorno de Cristo está próximo e, portanto, queixar-se e julgar uns aos outros deve cessar. Jó é um bom exemplo de paciência e resistência no sofrimento. Não é preciso usar juramentos para garantir a veracidade de suas declarações. Um único sim ou não é suficiente (</w:t>
      </w:r>
      <w:hyperlink r:id="rId20193">
        <w:r>
          <w:rPr>
            <w:color w:val="0000EE"/>
            <w:u w:val="single"/>
          </w:rPr>
          <w:t>5.7–12</w:t>
        </w:r>
      </w:hyperlink>
      <w:r>
        <w:t>).</w:t>
      </w:r>
    </w:p>
    <w:p>
      <w:r/>
    </w:p>
    <w:p>
      <w:r/>
      <w:r>
        <w:t>O sofrimento deve levar à oração, e a alegria deve levar ao louvor. Quando os crentes estão doentes, eles devem chamar os presbíteros da igreja para orar por eles e ungi-los com óleo. Deus prometeu responder a tais orações. Se a doença for devido ao pecado pessoal, e se esse pecado for confessado, Deus perdoará. Elias é um exemplo clássico de como a oração de um homem justo tem resultados poderosos (</w:t>
      </w:r>
      <w:hyperlink r:id="rId20194">
        <w:r>
          <w:rPr>
            <w:color w:val="0000EE"/>
            <w:u w:val="single"/>
          </w:rPr>
          <w:t>5.13–18</w:t>
        </w:r>
      </w:hyperlink>
      <w:r>
        <w:t>).</w:t>
      </w:r>
    </w:p>
    <w:p>
      <w:r/>
      <w:r>
        <w:t>Se um cristão vê que outro cristão se desviou da verdade e é capaz de trazê-lo de volta à comunhão com Cristo e sua igreja, as consequências serão (1) que o pecador será salvo da morte, e (2) que Deus perdoará o cristão errante (</w:t>
      </w:r>
      <w:hyperlink r:id="rId5488">
        <w:r>
          <w:rPr>
            <w:color w:val="0000EE"/>
            <w:u w:val="single"/>
          </w:rPr>
          <w:t>5.19–20</w:t>
        </w:r>
      </w:hyperlink>
      <w:r>
        <w:t>).</w:t>
      </w:r>
    </w:p>
    <w:p>
      <w:r/>
      <w:r>
        <w:rPr>
          <w:i/>
        </w:rPr>
        <w:t>Veja também</w:t>
      </w:r>
      <w:r>
        <w:t xml:space="preserve"> </w:t>
      </w:r>
      <w:r>
        <w:t>Irmãos de Jesus</w:t>
      </w:r>
      <w:r>
        <w:t xml:space="preserve">; </w:t>
      </w:r>
      <w:r>
        <w:t>Tiago (Pessoa)</w:t>
      </w:r>
      <w:r>
        <w:t>.</w:t>
      </w:r>
      <w:r/>
      <w:r/>
    </w:p>
    <w:p>
      <w:r/>
    </w:p>
    <w:p>
      <w:pPr>
        <w:pStyle w:val="Heading2"/>
      </w:pPr>
      <w:r>
        <w:t>Tiatira</w:t>
      </w:r>
      <w:r/>
    </w:p>
    <w:p>
      <w:r/>
      <w:r>
        <w:t>Localização de uma das sete igrejas mencionadas no livro do Apocalipse. A cidade foi fundada pelo reino da Lídia e posteriormente capturada por Seleuco, general de Alexandre. Em seguida, serviu como um assentamento de fronteira para proteger seu reino de Lisímaco, seu rival a oeste.</w:t>
      </w:r>
    </w:p>
    <w:p>
      <w:r/>
      <w:r>
        <w:t>Após o reino de Pérgamo ser fundado (282 a.C.), Tiatira tornou-se a fronteira entre Pérgamo e os sírios. A cidade não possuía defesas naturais, pois não foi construída em uma colina, tornando-se suscetível a invasões repetidas. A força da cidade residia em grande parte em sua localização estratégica e na fertilidade da área ao seu redor. Seus habitantes eram descendentes de soldados macedônios e mantinham muito da militância de seus ancestrais, sendo defensores formidáveis da cidade.</w:t>
      </w:r>
    </w:p>
    <w:p>
      <w:r/>
      <w:r>
        <w:t>Quando Roma derrotou Antíoco em 189 a.C., Tiatira foi incorporada ao reino de Pérgamo, aliado de Roma. Paz e prosperidade se seguiram. Sob o imperador romano Cláudio (41–54 d.C.), Tiatira ganhou nova proeminência e foi autorizada a emitir suas próprias moedas. O imperador Adriano incluiu esta cidade em seu itinerário pelo Oriente Médio (134 d.C.), uma indicação da importância de Tiatira no segundo século d.C.</w:t>
      </w:r>
    </w:p>
    <w:p>
      <w:r/>
      <w:r>
        <w:t>A prosperidade atraiu muitos judeus para esta área. Entre as atividades comerciais da cidade estavam os têxteis e as armaduras de bronze. Os armeiros faziam parte de uma guilda, assim como os ourives em Éfeso. A primeira convertida cristã conhecida na Europa foi uma empresária de Tiatira chamada Lídia (</w:t>
      </w:r>
      <w:hyperlink r:id="rId9525">
        <w:r>
          <w:rPr>
            <w:color w:val="0000EE"/>
            <w:u w:val="single"/>
          </w:rPr>
          <w:t>At 16.14–15,40</w:t>
        </w:r>
      </w:hyperlink>
      <w:r>
        <w:t>). Ela se especializou nas custosas vestes púrpuras que eram exportadas de Tiatira para a Macedônia. Aqui, o corante púrpura, da raiz de rubia, oferecia um tecido muito mais barato para competir com as vestes mais caras tingidas com o caro corante de múrex da Fenícia.</w:t>
      </w:r>
    </w:p>
    <w:p>
      <w:r/>
      <w:r>
        <w:t>Na mensagem à igreja em Tiatira, os membros são elogiados por seu amor, fé, serviço e perseverança (</w:t>
      </w:r>
      <w:hyperlink r:id="rId20195">
        <w:r>
          <w:rPr>
            <w:color w:val="0000EE"/>
            <w:u w:val="single"/>
          </w:rPr>
          <w:t>Ap 2.19</w:t>
        </w:r>
      </w:hyperlink>
      <w:r>
        <w:t>). No entanto, a influência do paganismo ainda é evidente na dura repreensão àqueles que toleram a heresia liderada por “Jezabel”. A tentação deles era semelhante à dos crentes de Corinto, que estavam incertos sobre comer alimentos dedicados a ídolos (</w:t>
      </w:r>
      <w:hyperlink r:id="rId5800">
        <w:r>
          <w:rPr>
            <w:color w:val="0000EE"/>
            <w:u w:val="single"/>
          </w:rPr>
          <w:t>1Co 8.1–13</w:t>
        </w:r>
      </w:hyperlink>
      <w:r>
        <w:t>). As guildas comerciais realizavam festivais periódicos nos quais alimentos oferecidos a ídolos eram consumidos, às vezes acompanhados por ritos licenciosos que misturavam religião e sexo. Esta igreja foi condenada por se acomodar a essas práticas pagãs. A imoralidade era tão comum entre os pagãos que a igreja primitiva, com sua atitude intransigente em relação à impureza, vivia em constante tensão com os costumes da comunidade. A superstição e o culto ao diabo também eram aparentemente uma grande tentação. As “coisas profundas de Satanás” (</w:t>
      </w:r>
      <w:hyperlink r:id="rId15147">
        <w:r>
          <w:rPr>
            <w:color w:val="0000EE"/>
            <w:u w:val="single"/>
          </w:rPr>
          <w:t>Ap 2.24</w:t>
        </w:r>
      </w:hyperlink>
      <w:r>
        <w:t>) provavelmente se referem a uma das seitas gnósticas que enfatizavam a “profundidade” e realizavam ritos secretos nos quais apenas os iniciados participavam. A tentação era tão séria que a melhor esperança era a sobrevivência do remanescente — daí a exortação “retenha o que você tem, até que eu venha” (v.</w:t>
      </w:r>
      <w:hyperlink r:id="rId20196">
        <w:r>
          <w:rPr>
            <w:color w:val="0000EE"/>
            <w:u w:val="single"/>
          </w:rPr>
          <w:t>25</w:t>
        </w:r>
      </w:hyperlink>
      <w:r>
        <w:t>).</w:t>
      </w:r>
    </w:p>
    <w:p>
      <w:r/>
      <w:r>
        <w:rPr>
          <w:i/>
        </w:rPr>
        <w:t>Veja também</w:t>
      </w:r>
      <w:r>
        <w:t xml:space="preserve"> </w:t>
      </w:r>
      <w:r>
        <w:t>Apocalipse, Livro de</w:t>
      </w:r>
      <w:r>
        <w:t>.</w:t>
      </w:r>
      <w:r/>
      <w:r/>
    </w:p>
    <w:p>
      <w:r/>
    </w:p>
    <w:p>
      <w:pPr>
        <w:pStyle w:val="Heading2"/>
      </w:pPr>
      <w:r>
        <w:t>Tício Justo</w:t>
      </w:r>
      <w:r/>
    </w:p>
    <w:p>
      <w:r/>
      <w:r>
        <w:t>Um cristão de Corinto junto de quem o apóstolo Paulo ficou hospedado (</w:t>
      </w:r>
      <w:hyperlink r:id="rId12643">
        <w:r>
          <w:rPr>
            <w:color w:val="0000EE"/>
            <w:u w:val="single"/>
          </w:rPr>
          <w:t>At 18.7</w:t>
        </w:r>
      </w:hyperlink>
      <w:r>
        <w:t>).</w:t>
      </w:r>
    </w:p>
    <w:p>
      <w:r/>
      <w:r>
        <w:rPr>
          <w:i/>
        </w:rPr>
        <w:t>Veja</w:t>
      </w:r>
      <w:r>
        <w:t xml:space="preserve"> </w:t>
      </w:r>
      <w:r>
        <w:t>Justo #2</w:t>
      </w:r>
      <w:r>
        <w:t>.</w:t>
      </w:r>
      <w:r/>
      <w:r/>
    </w:p>
    <w:p>
      <w:r/>
    </w:p>
    <w:p>
      <w:pPr>
        <w:pStyle w:val="Heading2"/>
      </w:pPr>
      <w:r>
        <w:t>Tidal</w:t>
      </w:r>
      <w:r/>
    </w:p>
    <w:p>
      <w:r/>
      <w:r>
        <w:t>Rei de Goim que lutou com a confederação de Quedorlaomer contra Sodoma (</w:t>
      </w:r>
      <w:hyperlink r:id="rId20197">
        <w:r>
          <w:rPr>
            <w:color w:val="0000EE"/>
            <w:u w:val="single"/>
          </w:rPr>
          <w:t>Gn 14.1–9</w:t>
        </w:r>
      </w:hyperlink>
      <w:r>
        <w:t>).</w:t>
      </w:r>
      <w:r/>
      <w:r/>
    </w:p>
    <w:p>
      <w:r/>
    </w:p>
    <w:p>
      <w:pPr>
        <w:pStyle w:val="Heading2"/>
      </w:pPr>
      <w:r>
        <w:t>Tijolo, Forno de tijolos</w:t>
      </w:r>
      <w:r/>
    </w:p>
    <w:p>
      <w:r/>
      <w:r>
        <w:t>Um tijolo é um bloco retangular feito de barro ou argila moldada. Ele é seco ao sol ou endurecido por queima em um forno especial para fazer tijolos. Os tijolos são usados para construir estruturas e fazer pavimentos. No mundo bíblico antigo, o tijolo era o material de construção mais comumente usado, especialmente na Babilônia (antigo Iraque). A palavra hebraica para "tijolo" vem de um verbo que significa "ser branco", referindo-se à aparência da argila usada para fazer tijolos.</w:t>
      </w:r>
    </w:p>
    <w:p>
      <w:r/>
      <w:r>
        <w:t>Na Babilônia, os construtores raramente tinham boas pedras disponíveis, então usavam pedra apenas para pequenas partes dos edifícios, como vergas (suportes horizontais acima das portas), umbrais e dobradiças de portas. Os tijolos babilônicos eram feitos de lama ou argila encontrada em pântanos e planícies. Primeiro, os trabalhadores removiam itens indesejados da argila, como pedrinhas. Depois, misturavam a argila com palha picada ou grama. Quando esse material vegetal se decompunha, liberava ácidos que tornavam a argila mais fácil de moldar.</w:t>
      </w:r>
    </w:p>
    <w:p>
      <w:r/>
      <w:r>
        <w:t>Os fabricantes de tijolos adicionavam água e amassavam a mistura com os pés. Em seguida, moldavam-na em tijolos quadrados, de 20 a 30,5 centímetros de largura e sete a dez centímetros de espessura. Os tijolos eram frequentemente carimbados com o nome do rei que governava usando um bloco de madeira. Alguns tijolos encontrados perto da Babilônia ainda possuem o carimbo do rei Nabucodonosor.</w:t>
      </w:r>
    </w:p>
    <w:p>
      <w:r/>
      <w:r>
        <w:t>Os tijolos babilônicos eram geralmente queimados em fornos, em vez de serem secos ao sol. Os tijolos secos ao sol se desintegravam facilmente sob chuvas fortes. No entanto, os tijolos queimados em forno eram muito resistentes. Esses tijolos mais fortes eram usados para edifícios importantes, pavimentos e paredes externas. Arqueólogos encontraram muitos fornos de tijolos antigos na Babilônia.</w:t>
      </w:r>
    </w:p>
    <w:p>
      <w:r/>
      <w:r>
        <w:t>No antigo Egito, tijolos eram usados para construir paredes, templos e armazéns. No entanto, poucos fornos de tijolos foram encontrados lá. Os tijolos egípcios eram geralmente secos ao sol em vez de queimados. Às vezes, os tijolos egípcios eram feitos sem palha, mas os tijolos de lama do Nilo precisavam de palha para mantê-los unidos. Os tijolos egípcios eram retangulares e variavam em tamanho. Eles mediam cerca de 10 a 51 centímetros de comprimento, 15 a 23 centímetros de largura e 10 a 18 centímetros de espessura. Assim como na Babilônia, os tijolos egípcios eram frequentemente carimbados com um selo de identificação.</w:t>
      </w:r>
    </w:p>
    <w:p>
      <w:r/>
      <w:r>
        <w:t>Os egípcios consideravam que a fabricação de tijolos era um trabalho de baixo status que deveria ser realizado por escravos. Durante seu tempo como escravos no Egito, os israelitas foram forçados a fazer tijolos (</w:t>
      </w:r>
      <w:hyperlink r:id="rId20198">
        <w:r>
          <w:rPr>
            <w:color w:val="0000EE"/>
            <w:u w:val="single"/>
          </w:rPr>
          <w:t>Êx 1.11–14</w:t>
        </w:r>
      </w:hyperlink>
      <w:r>
        <w:t xml:space="preserve">; </w:t>
      </w:r>
      <w:hyperlink r:id="rId20199">
        <w:r>
          <w:rPr>
            <w:color w:val="0000EE"/>
            <w:u w:val="single"/>
          </w:rPr>
          <w:t>5.6–19</w:t>
        </w:r>
      </w:hyperlink>
      <w:r>
        <w:t>). O sofrimento deles aumentou quando tiveram que recolher palha enquanto faziam o mesmo número de tijolos. Quando os israelitas deixaram o Egito durante o êxodo, levaram consigo a habilidade de fabricar tijolos para a terra prometida.</w:t>
      </w:r>
    </w:p>
    <w:p>
      <w:r/>
      <w:r>
        <w:rPr>
          <w:i/>
        </w:rPr>
        <w:t>Veja também</w:t>
      </w:r>
      <w:r>
        <w:t xml:space="preserve"> </w:t>
      </w:r>
      <w:r>
        <w:t>Arquitetura</w:t>
      </w:r>
      <w:r>
        <w:t xml:space="preserve">; </w:t>
      </w:r>
      <w:r>
        <w:t>Cerâmica</w:t>
      </w:r>
      <w:r>
        <w:t>.</w:t>
      </w:r>
      <w:r/>
      <w:r/>
    </w:p>
    <w:p>
      <w:r/>
    </w:p>
    <w:p>
      <w:pPr>
        <w:pStyle w:val="Heading2"/>
      </w:pPr>
      <w:r>
        <w:t>Timão</w:t>
      </w:r>
      <w:r/>
    </w:p>
    <w:p>
      <w:r/>
      <w:r>
        <w:t>Um dos sete homens escolhidos pela igreja primitiva em Jerusalém para servir às viúvas e gerenciar a distribuição diária de alimentos (</w:t>
      </w:r>
      <w:hyperlink r:id="rId1992">
        <w:r>
          <w:rPr>
            <w:color w:val="0000EE"/>
            <w:u w:val="single"/>
          </w:rPr>
          <w:t>At 6.5</w:t>
        </w:r>
      </w:hyperlink>
      <w:r>
        <w:t>). Esses sete homens foram selecionados porque estavam cheios do Espírito Santo e sabedoria. Os outros seis homens eram Estêvão, Filipe, Prócoro, Nicanor, Pármenas, e Nicolau.</w:t>
      </w:r>
      <w:r/>
      <w:r/>
    </w:p>
    <w:p>
      <w:r/>
    </w:p>
    <w:p>
      <w:pPr>
        <w:pStyle w:val="Heading2"/>
      </w:pPr>
      <w:r>
        <w:t>Timeu</w:t>
      </w:r>
      <w:r/>
    </w:p>
    <w:p>
      <w:r/>
      <w:r>
        <w:t>Pai de Bartimeu, o mendigo cego cuja visão Jesus restaurou perto do portão que leva a Jericó (</w:t>
      </w:r>
      <w:hyperlink r:id="rId11597">
        <w:r>
          <w:rPr>
            <w:color w:val="0000EE"/>
            <w:u w:val="single"/>
          </w:rPr>
          <w:t>Mc 10.46</w:t>
        </w:r>
      </w:hyperlink>
      <w:r>
        <w:t>).</w:t>
      </w:r>
      <w:r/>
      <w:r/>
    </w:p>
    <w:p>
      <w:r/>
    </w:p>
    <w:p>
      <w:pPr>
        <w:pStyle w:val="Heading2"/>
      </w:pPr>
      <w:r>
        <w:t>Timna (Lugar)</w:t>
      </w:r>
      <w:r/>
    </w:p>
    <w:p>
      <w:r/>
      <w:r>
        <w:t>1. Uma das cidades na fronteira norte da herança de Judá, localizada entre Bete-Semes e Ecrom (</w:t>
      </w:r>
      <w:hyperlink r:id="rId19310">
        <w:r>
          <w:rPr>
            <w:color w:val="0000EE"/>
            <w:u w:val="single"/>
          </w:rPr>
          <w:t>Js 15.10</w:t>
        </w:r>
      </w:hyperlink>
      <w:r>
        <w:t>). Este é o provável local do caso de Judá com Tamar, que resultou no nascimento de Perez e Zerá (</w:t>
      </w:r>
      <w:hyperlink r:id="rId20200">
        <w:r>
          <w:rPr>
            <w:color w:val="0000EE"/>
            <w:u w:val="single"/>
          </w:rPr>
          <w:t>Gn 38.12–14</w:t>
        </w:r>
      </w:hyperlink>
      <w:r>
        <w:t>). Uma cidade fronteiriça entre Judá e Filístia, Timna foi o lugar onde Sansão teve suas primeiras dificuldades matrimoniais com uma das filhas dos filisteus (</w:t>
      </w:r>
      <w:hyperlink r:id="rId20201">
        <w:r>
          <w:rPr>
            <w:color w:val="0000EE"/>
            <w:u w:val="single"/>
          </w:rPr>
          <w:t>Jz 14.1–5</w:t>
        </w:r>
      </w:hyperlink>
      <w:r>
        <w:t xml:space="preserve">; </w:t>
      </w:r>
      <w:hyperlink r:id="rId20202">
        <w:r>
          <w:rPr>
            <w:color w:val="0000EE"/>
            <w:u w:val="single"/>
          </w:rPr>
          <w:t>15.6</w:t>
        </w:r>
      </w:hyperlink>
      <w:r>
        <w:t xml:space="preserve">). A cidade evidentemente mudou de mãos frequentemente entre os israelitas e os filisteus. Aparentemente, Israel conseguiu controlar Timna durante a conquista (cf. </w:t>
      </w:r>
      <w:hyperlink r:id="rId20203">
        <w:r>
          <w:rPr>
            <w:color w:val="0000EE"/>
            <w:u w:val="single"/>
          </w:rPr>
          <w:t>Js 19.43</w:t>
        </w:r>
      </w:hyperlink>
      <w:r>
        <w:t>), mas estava sob controle filisteu na época de Sansão (</w:t>
      </w:r>
      <w:hyperlink r:id="rId6491">
        <w:r>
          <w:rPr>
            <w:color w:val="0000EE"/>
            <w:u w:val="single"/>
          </w:rPr>
          <w:t>Jz 14.1</w:t>
        </w:r>
      </w:hyperlink>
      <w:r>
        <w:t>). Acaz recapturou Timna (c 730 a.C.) dos filisteus (</w:t>
      </w:r>
      <w:hyperlink r:id="rId9558">
        <w:r>
          <w:rPr>
            <w:color w:val="0000EE"/>
            <w:u w:val="single"/>
          </w:rPr>
          <w:t>2Cr 28.18</w:t>
        </w:r>
      </w:hyperlink>
      <w:r>
        <w:t>);</w:t>
      </w:r>
    </w:p>
    <w:p>
      <w:r/>
      <w:r>
        <w:t>2. Uma das cidades da região montanhosa do sul que fazia parte da herança de Judá (</w:t>
      </w:r>
      <w:hyperlink r:id="rId20204">
        <w:r>
          <w:rPr>
            <w:color w:val="0000EE"/>
            <w:u w:val="single"/>
          </w:rPr>
          <w:t>Js 15.57</w:t>
        </w:r>
      </w:hyperlink>
      <w:r>
        <w:t>). É possível que este seja o local do encontro de Judá com Tamar (</w:t>
      </w:r>
      <w:hyperlink r:id="rId20200">
        <w:r>
          <w:rPr>
            <w:color w:val="0000EE"/>
            <w:u w:val="single"/>
          </w:rPr>
          <w:t>Gn 38.12–14</w:t>
        </w:r>
      </w:hyperlink>
      <w:r>
        <w:t>; e talvez o mesmo que o #1 acima).</w:t>
      </w:r>
      <w:r/>
      <w:r/>
    </w:p>
    <w:p>
      <w:r/>
    </w:p>
    <w:p>
      <w:pPr>
        <w:pStyle w:val="Heading2"/>
      </w:pPr>
      <w:r>
        <w:t>Timna (Pessoa)</w:t>
      </w:r>
      <w:r/>
    </w:p>
    <w:p>
      <w:r/>
      <w:r>
        <w:t>1. Filha de Seir, irmã de Lotã, e uma habitante horita nativa de Edom (</w:t>
      </w:r>
      <w:hyperlink r:id="rId10687">
        <w:r>
          <w:rPr>
            <w:color w:val="0000EE"/>
            <w:u w:val="single"/>
          </w:rPr>
          <w:t>Gn 36.22</w:t>
        </w:r>
      </w:hyperlink>
      <w:r>
        <w:t xml:space="preserve">; </w:t>
      </w:r>
      <w:hyperlink r:id="rId10743">
        <w:r>
          <w:rPr>
            <w:color w:val="0000EE"/>
            <w:u w:val="single"/>
          </w:rPr>
          <w:t>1Cr 1.39</w:t>
        </w:r>
      </w:hyperlink>
      <w:r>
        <w:t>). Ela foi concubina de Elifaz, filho de Esaú, e mãe de Amaleque (</w:t>
      </w:r>
      <w:hyperlink r:id="rId1030">
        <w:r>
          <w:rPr>
            <w:color w:val="0000EE"/>
            <w:u w:val="single"/>
          </w:rPr>
          <w:t>Gn 36.12</w:t>
        </w:r>
      </w:hyperlink>
      <w:r>
        <w:t>);</w:t>
      </w:r>
    </w:p>
    <w:p>
      <w:r/>
      <w:r>
        <w:t>2. Chefe edomita (</w:t>
      </w:r>
      <w:hyperlink r:id="rId1015">
        <w:r>
          <w:rPr>
            <w:color w:val="0000EE"/>
            <w:u w:val="single"/>
          </w:rPr>
          <w:t>Gn 36.40</w:t>
        </w:r>
      </w:hyperlink>
      <w:r>
        <w:t xml:space="preserve">; </w:t>
      </w:r>
      <w:hyperlink r:id="rId20205">
        <w:r>
          <w:rPr>
            <w:color w:val="0000EE"/>
            <w:u w:val="single"/>
          </w:rPr>
          <w:t>1Cr 1.36,51</w:t>
        </w:r>
      </w:hyperlink>
      <w:r>
        <w:t>). Este nome pode se referir tanto ao ancestral do clã edomita quanto à área geográfica ocupada pelo clã.</w:t>
      </w:r>
      <w:r/>
      <w:r/>
    </w:p>
    <w:p>
      <w:r/>
    </w:p>
    <w:p>
      <w:pPr>
        <w:pStyle w:val="Heading2"/>
      </w:pPr>
      <w:r>
        <w:t>Timnate</w:t>
      </w:r>
      <w:r/>
    </w:p>
    <w:p>
      <w:r/>
      <w:r>
        <w:t xml:space="preserve">A Grafia de Timna na NTLH, uma cidade no norte de Judá, em </w:t>
      </w:r>
      <w:hyperlink r:id="rId20200">
        <w:r>
          <w:rPr>
            <w:color w:val="0000EE"/>
            <w:u w:val="single"/>
          </w:rPr>
          <w:t>Gênesis 38.12–14</w:t>
        </w:r>
      </w:hyperlink>
      <w:r>
        <w:t xml:space="preserve"> e </w:t>
      </w:r>
      <w:hyperlink r:id="rId20201">
        <w:r>
          <w:rPr>
            <w:color w:val="0000EE"/>
            <w:u w:val="single"/>
          </w:rPr>
          <w:t>Juízes 14.1–5</w:t>
        </w:r>
      </w:hyperlink>
      <w:r>
        <w:t xml:space="preserve">. </w:t>
      </w:r>
      <w:r>
        <w:rPr>
          <w:i/>
        </w:rPr>
        <w:t>Veja</w:t>
      </w:r>
      <w:r>
        <w:t xml:space="preserve"> </w:t>
      </w:r>
      <w:r>
        <w:t>Timna (Lugar) #1</w:t>
      </w:r>
      <w:r>
        <w:t>.</w:t>
      </w:r>
      <w:r/>
      <w:r/>
    </w:p>
    <w:p>
      <w:r/>
    </w:p>
    <w:p>
      <w:pPr>
        <w:pStyle w:val="Heading2"/>
      </w:pPr>
      <w:r>
        <w:t>Timóteo (pessoa)</w:t>
      </w:r>
      <w:r/>
    </w:p>
    <w:p>
      <w:r/>
      <w:r>
        <w:t>Um jovem que se converteu ao Cristianismo e trabalhou com o apóstolo Paulo. Seu nome significa "aquele que honra a Deus".</w:t>
      </w:r>
    </w:p>
    <w:p>
      <w:r/>
      <w:r>
        <w:t xml:space="preserve">Timóteo aparece pela primeira vez em </w:t>
      </w:r>
      <w:hyperlink r:id="rId10201">
        <w:r>
          <w:rPr>
            <w:color w:val="0000EE"/>
            <w:u w:val="single"/>
          </w:rPr>
          <w:t>Atos 16.1–3</w:t>
        </w:r>
      </w:hyperlink>
      <w:r>
        <w:t xml:space="preserve"> como discípulo de Paulo, que era “filho de uma mulher judia crente e de um pai grego” (v.</w:t>
      </w:r>
      <w:hyperlink r:id="rId6697">
        <w:r>
          <w:rPr>
            <w:color w:val="0000EE"/>
            <w:u w:val="single"/>
          </w:rPr>
          <w:t>1</w:t>
        </w:r>
      </w:hyperlink>
      <w:r>
        <w:t>). Ele era um cristão de terceira geração, após sua mãe, Eunice, e sua avó, Lóide (</w:t>
      </w:r>
      <w:hyperlink r:id="rId7588">
        <w:r>
          <w:rPr>
            <w:color w:val="0000EE"/>
            <w:u w:val="single"/>
          </w:rPr>
          <w:t>2Tm 1.5</w:t>
        </w:r>
      </w:hyperlink>
      <w:r>
        <w:t>).</w:t>
      </w:r>
    </w:p>
    <w:p>
      <w:r/>
      <w:r>
        <w:t>O apóstolo Paulo era como um pai espiritual para Timóteo. Paulo se refere a Timóteo como “meu verdadeiro filho na fé” (</w:t>
      </w:r>
      <w:hyperlink r:id="rId14607">
        <w:r>
          <w:rPr>
            <w:color w:val="0000EE"/>
            <w:u w:val="single"/>
          </w:rPr>
          <w:t>1Tm 1.2</w:t>
        </w:r>
      </w:hyperlink>
      <w:r>
        <w:t>). Paulo pode ter ajudado Timóteo a se converter durante sua primeira ou segunda viagem missionária.</w:t>
      </w:r>
    </w:p>
    <w:p>
      <w:r/>
      <w:r>
        <w:t>Timóteo era filho de um pai grego (ou gentio) e não era circuncidado. A circuncisão é a prática de remover uma pequena parte da pele do órgão sexual masculino. Essa prática era importante para o povo judeu e indicava que eles faziam parte do povo de Deus. Quando Paulo decidiu levar Timóteo com ele em sua segunda viagem missionária, ele o fez ser circuncidado para evitar quaisquer problemas em seu trabalho missionário entre os judeus.</w:t>
      </w:r>
    </w:p>
    <w:p>
      <w:r/>
      <w:r>
        <w:t>Timóteo tinha uma boa reputação entre os crentes em Listra e Icônio (</w:t>
      </w:r>
      <w:hyperlink r:id="rId15906">
        <w:r>
          <w:rPr>
            <w:color w:val="0000EE"/>
            <w:u w:val="single"/>
          </w:rPr>
          <w:t>At 16.2</w:t>
        </w:r>
      </w:hyperlink>
      <w:r>
        <w:t>). Ele trabalhou com Paulo e tornou-se seu assistente na segunda viagem missionária de Paulo em Listra. Timóteo viajou com Paulo para a Europa depois que Paulo recebeu uma visão sobre a Macedônia.</w:t>
      </w:r>
    </w:p>
    <w:p>
      <w:r/>
      <w:r>
        <w:t>Quando Paulo decidiu ir para Atenas, ele deixou Silas e Timóteo em Bereia para estabelecer a igreja lá (</w:t>
      </w:r>
      <w:hyperlink r:id="rId11182">
        <w:r>
          <w:rPr>
            <w:color w:val="0000EE"/>
            <w:u w:val="single"/>
          </w:rPr>
          <w:t>At 17.14</w:t>
        </w:r>
      </w:hyperlink>
      <w:r>
        <w:t>). Timóteo e Silas eventualmente se juntaram a Paulo em Corinto (</w:t>
      </w:r>
      <w:hyperlink r:id="rId19576">
        <w:r>
          <w:rPr>
            <w:color w:val="0000EE"/>
            <w:u w:val="single"/>
          </w:rPr>
          <w:t>18.5</w:t>
        </w:r>
      </w:hyperlink>
      <w:r>
        <w:t>). Ele então aparece com Paulo em Éfeso em sua terceira viagem (</w:t>
      </w:r>
      <w:hyperlink r:id="rId7678">
        <w:r>
          <w:rPr>
            <w:color w:val="0000EE"/>
            <w:u w:val="single"/>
          </w:rPr>
          <w:t>19.22</w:t>
        </w:r>
      </w:hyperlink>
      <w:r>
        <w:t xml:space="preserve">), de onde Paulo o envia para a Macedônia antes de si mesmo. Timóteo é mencionado pela última vez em </w:t>
      </w:r>
      <w:hyperlink r:id="rId2497">
        <w:r>
          <w:rPr>
            <w:color w:val="0000EE"/>
            <w:u w:val="single"/>
          </w:rPr>
          <w:t>Atos 20.4</w:t>
        </w:r>
      </w:hyperlink>
      <w:r>
        <w:t>. Ele está incluído em um grupo que vai com Paulo para Jerusalém para levar uma oferta para os cristãos judeus lá.</w:t>
      </w:r>
    </w:p>
    <w:p>
      <w:r/>
      <w:r>
        <w:t>Paulo menciona Timóteo frequentemente em suas cartas. Seu nome está incluído nas saudações que introduzem 2 Coríntios, Filipenses, Colossenses, 1 e 2 Tessalonicenses e Filemom. Ele estava em Corinto na segunda viagem quando Paulo escreveu 1 e 2 Tessalonicenses. Ele estava em Éfeso na terceira viagem quando Paulo escreveu 2 Coríntios. Ele também estava em Roma durante a primeira prisão de Paulo lá. Foi quando Paulo escreveu Filipenses, Colossenses e Filemom. Timóteo é o destinatário de 1 e 2 Timóteo.</w:t>
      </w:r>
    </w:p>
    <w:p>
      <w:r/>
      <w:r>
        <w:t>Nas saudações no final da carta de Paulo aos Romanos (</w:t>
      </w:r>
      <w:hyperlink r:id="rId11544">
        <w:r>
          <w:rPr>
            <w:color w:val="0000EE"/>
            <w:u w:val="single"/>
          </w:rPr>
          <w:t>16.21</w:t>
        </w:r>
      </w:hyperlink>
      <w:r>
        <w:t xml:space="preserve">), Timóteo é mencionado junto com outros que enviam seus bons votos aos crentes em Roma. Em </w:t>
      </w:r>
      <w:hyperlink r:id="rId10878">
        <w:r>
          <w:rPr>
            <w:color w:val="0000EE"/>
            <w:u w:val="single"/>
          </w:rPr>
          <w:t>1 Coríntios 4.17</w:t>
        </w:r>
      </w:hyperlink>
      <w:r>
        <w:t xml:space="preserve"> e </w:t>
      </w:r>
      <w:hyperlink r:id="rId16502">
        <w:r>
          <w:rPr>
            <w:color w:val="0000EE"/>
            <w:u w:val="single"/>
          </w:rPr>
          <w:t>16.10</w:t>
        </w:r>
      </w:hyperlink>
      <w:r>
        <w:t xml:space="preserve">, Paulo elogia Timóteo ao enviá-lo com uma mensagem para Corinto (veja também </w:t>
      </w:r>
      <w:hyperlink r:id="rId20206">
        <w:r>
          <w:rPr>
            <w:color w:val="0000EE"/>
            <w:u w:val="single"/>
          </w:rPr>
          <w:t>Fp 2.19–23</w:t>
        </w:r>
      </w:hyperlink>
      <w:r>
        <w:t xml:space="preserve">; </w:t>
      </w:r>
      <w:hyperlink r:id="rId20207">
        <w:r>
          <w:rPr>
            <w:color w:val="0000EE"/>
            <w:u w:val="single"/>
          </w:rPr>
          <w:t>1Ts 3.2–6</w:t>
        </w:r>
      </w:hyperlink>
      <w:r>
        <w:t xml:space="preserve">). Em </w:t>
      </w:r>
      <w:hyperlink r:id="rId19571">
        <w:r>
          <w:rPr>
            <w:color w:val="0000EE"/>
            <w:u w:val="single"/>
          </w:rPr>
          <w:t>2 Coríntios 1.19</w:t>
        </w:r>
      </w:hyperlink>
      <w:r>
        <w:t>, Timóteo, assim como Paulo e Silas, proclamou as boas-novas sobre Jesus Cristo. Paulo colocou Timóteo no comando da igreja em Éfeso e escreveu-lhe duas cartas pastorais para ajudá-lo a ter sucesso como líder.</w:t>
      </w:r>
    </w:p>
    <w:p>
      <w:r/>
      <w:r>
        <w:t xml:space="preserve">Em </w:t>
      </w:r>
      <w:hyperlink r:id="rId10392">
        <w:r>
          <w:rPr>
            <w:color w:val="0000EE"/>
            <w:u w:val="single"/>
          </w:rPr>
          <w:t>Hebreus 13.23,</w:t>
        </w:r>
      </w:hyperlink>
      <w:r>
        <w:t xml:space="preserve"> o autor (que provavelmente não era Paulo) informa aos seus leitores que Timóteo havia sido libertado da prisão e que ele esperava vir com Timóteo para visitá-los. Portanto, sabemos que Timóteo esteve preso em algum momento.</w:t>
      </w:r>
    </w:p>
    <w:p>
      <w:r/>
      <w:r>
        <w:rPr>
          <w:i/>
        </w:rPr>
        <w:t>Veja também</w:t>
      </w:r>
      <w:r>
        <w:t xml:space="preserve"> </w:t>
      </w:r>
      <w:r>
        <w:t>Timóteo, Primeira a</w:t>
      </w:r>
      <w:r>
        <w:t xml:space="preserve">; </w:t>
      </w:r>
      <w:r>
        <w:t>Timóteo, Segunda a</w:t>
      </w:r>
      <w:r>
        <w:t>.</w:t>
      </w:r>
      <w:r/>
      <w:r/>
    </w:p>
    <w:p>
      <w:r/>
    </w:p>
    <w:p>
      <w:pPr>
        <w:pStyle w:val="Heading2"/>
      </w:pPr>
      <w:r>
        <w:t>Timóteo, Primeira Carta A</w:t>
      </w:r>
      <w:r/>
    </w:p>
    <w:p>
      <w:r/>
      <w:r>
        <w:t>A primeira das epístolas a seu jovem colega de trabalho Timóteo.</w:t>
      </w:r>
    </w:p>
    <w:p>
      <w:r/>
      <w:r>
        <w:t>A autoria, data e contexto de 1 Timóteo devem ser considerados juntamente com os das outras duas Epístolas pastorais, 2 Timóteo e Tito, que foram escritas a dois jovens obreiros para ajudá-los a lidar com problemas pastorais nas igrejas de Éfeso e Creta.</w:t>
      </w:r>
    </w:p>
    <w:p>
      <w:r/>
      <w:r>
        <w:t>Resumo</w:t>
      </w:r>
    </w:p>
    <w:p>
      <w:r/>
      <w:r>
        <w:t>• Autor</w:t>
      </w:r>
    </w:p>
    <w:p>
      <w:r/>
      <w:r>
        <w:t>• Data</w:t>
      </w:r>
    </w:p>
    <w:p>
      <w:r/>
      <w:r>
        <w:t>• Contexto</w:t>
      </w:r>
    </w:p>
    <w:p>
      <w:r/>
      <w:r>
        <w:t>• Teologia</w:t>
      </w:r>
    </w:p>
    <w:p>
      <w:r/>
      <w:r>
        <w:t>• Conteúdo</w:t>
      </w:r>
    </w:p>
    <w:p>
      <w:pPr>
        <w:pStyle w:val="Heading3"/>
      </w:pPr>
      <w:r>
        <w:t>Autor</w:t>
      </w:r>
    </w:p>
    <w:p>
      <w:r/>
      <w:r>
        <w:t>Em 1 Timóteo, como em 2 Timóteo e Tito, Paulo é apresentado como o autor no primeiro verso. E o nome de Paulo é o único vinculado como autor na tradição da igreja primitiva desde o tempo de Irineu (ca. 185 d.C.). Ao longo de todas as três cartas estão muitas referências pessoais à vida de Paulo, o que consiste em uma forte evidência de que ele era verdadeiramente o autor.</w:t>
      </w:r>
    </w:p>
    <w:p>
      <w:r/>
      <w:r>
        <w:t>No entanto, alguns estudiosos se opõem à autoria de paulina pelos seguintes motivos:</w:t>
      </w:r>
    </w:p>
    <w:p>
      <w:r/>
      <w:r>
        <w:t>1. O vocabulário grego contém um grande número de palavras que não são encontradas nas outras cartas paulinas.</w:t>
      </w:r>
    </w:p>
    <w:p>
      <w:r/>
      <w:r>
        <w:t>Mas o assunto nessas cartas também é diferente. Nas Epístolas Pastorais, o autor está lidando com assuntos mais técnicos da organização e disciplina da igreja — um líder da igreja escrevendo para outros líderes. Paulo era um homem altamente educado, com um grande vocabulário à sua disposição. Nenhuma das palavras específicas das Cartas Pastorais estaria além do próprio vocabulário de Paulo. E se essas não fossem suas palavras, elas podem ter vindo dos escribas que Paulo regularmente usava para compor suas epístolas.</w:t>
      </w:r>
    </w:p>
    <w:p>
      <w:r/>
      <w:r>
        <w:t>2. Há notas sobre as jornadas de Paulo que não se encaixam nas jornadas descritas no livro de Atos.</w:t>
      </w:r>
    </w:p>
    <w:p>
      <w:r/>
      <w:r>
        <w:t>Para acreditar que Paulo escreveu as Pastorais e fez as coisas descritas nelas, ele deve ter sido liberto da prisão romana e então viajado para Creta, Éfeso e Macedônia. Essas viagens posteriores podem não ter sido mencionadas em Atos porque o escritor concluiu este livro com o aprisionamento de Paulo em Roma. Há alguma evidência legal de que Paulo provavelmente foi automaticamente solto após dois anos, se ele não tiver sido condenado naquele momento.</w:t>
      </w:r>
    </w:p>
    <w:p>
      <w:r/>
      <w:r>
        <w:t>3. O desenvolvimento avançado da igreja descrito nas pastorais prova uma data posterior à vida de Paulo. Presbíteros, bispos e diáconos são mencionados.</w:t>
      </w:r>
    </w:p>
    <w:p>
      <w:r/>
      <w:r>
        <w:t xml:space="preserve">Contudo, os anciãos já existiam nos tempos do AT e os bispos, como oficiais dentro das igrejas locais, são quase certamente os mesmos que os presbíteros. Além disso, Paulo se refere aos diáconos em outros lugares em suas cartas, como </w:t>
      </w:r>
      <w:hyperlink r:id="rId1412">
        <w:r>
          <w:rPr>
            <w:color w:val="0000EE"/>
            <w:u w:val="single"/>
          </w:rPr>
          <w:t>Filipenses 1.1</w:t>
        </w:r>
      </w:hyperlink>
      <w:r>
        <w:t>.</w:t>
      </w:r>
    </w:p>
    <w:p>
      <w:r/>
      <w:r>
        <w:t>A maioria dos estudiosos conservadores, e muitos outros também, acreditam muito fortemente que Paulo escreveu todas as três Cartas Pastorais.</w:t>
      </w:r>
    </w:p>
    <w:p>
      <w:pPr>
        <w:pStyle w:val="Heading3"/>
      </w:pPr>
      <w:r>
        <w:t>Data</w:t>
      </w:r>
    </w:p>
    <w:p>
      <w:r/>
      <w:r>
        <w:t>Assumindo que Paulo escreveu as pastorais, 1 Timóteo teria sido escrito após sua libertação da primeira prisão romana, cerca de 61 ou 62 d.C., e antes de sua segunda prisão romana, em algum lugar entre 64 e 67, a data da morte de Nero. Quanto ao local, Paulo deixou Timóteo em Éfeso e depois foi para a Macedônia (</w:t>
      </w:r>
      <w:hyperlink r:id="rId7677">
        <w:r>
          <w:rPr>
            <w:color w:val="0000EE"/>
            <w:u w:val="single"/>
          </w:rPr>
          <w:t>1Tm 1.3</w:t>
        </w:r>
      </w:hyperlink>
      <w:r>
        <w:t>), onde ele pode ter escrito 1 Timóteo. A carta foi, é claro, escrita a Timóteo em Éfeso.</w:t>
      </w:r>
    </w:p>
    <w:p>
      <w:pPr>
        <w:pStyle w:val="Heading3"/>
      </w:pPr>
      <w:r>
        <w:t>Contexto</w:t>
      </w:r>
    </w:p>
    <w:p>
      <w:r/>
      <w:r>
        <w:t>Paulo deixou Timóteo encarregado da igreja em Éfeso (</w:t>
      </w:r>
      <w:hyperlink r:id="rId20208">
        <w:r>
          <w:rPr>
            <w:color w:val="0000EE"/>
            <w:u w:val="single"/>
          </w:rPr>
          <w:t>1.2–3</w:t>
        </w:r>
      </w:hyperlink>
      <w:r>
        <w:t>). Paulo queria ir para a província romana da Ásia, da qual Éfeso era a principal cidade, em sua segunda jornada missionária, mas o Espírito não lhe permitiu fazê-lo. Ele foi para a Macedônia e à Grécia (</w:t>
      </w:r>
      <w:hyperlink r:id="rId4336">
        <w:r>
          <w:rPr>
            <w:color w:val="0000EE"/>
            <w:u w:val="single"/>
          </w:rPr>
          <w:t>Atos 16.6</w:t>
        </w:r>
      </w:hyperlink>
      <w:r>
        <w:t>). Ele visitou brevemente Éfeso enquanto ele estava completando sua segunda viagem (</w:t>
      </w:r>
      <w:hyperlink r:id="rId16493">
        <w:r>
          <w:rPr>
            <w:color w:val="0000EE"/>
            <w:u w:val="single"/>
          </w:rPr>
          <w:t>18.19–20</w:t>
        </w:r>
      </w:hyperlink>
      <w:r>
        <w:t>). Então, em sua terceira jornada, ele fez de Éfeso o centro de sua atividade e passou três anos lá (</w:t>
      </w:r>
      <w:hyperlink r:id="rId2868">
        <w:r>
          <w:rPr>
            <w:color w:val="0000EE"/>
            <w:u w:val="single"/>
          </w:rPr>
          <w:t>19.1–20.1</w:t>
        </w:r>
      </w:hyperlink>
      <w:r>
        <w:t>). Durante sua primeira prisão romana, ele escreveu uma carta encíclica para Éfeso e às igrejas próximas. Apenas alguns anos depois, ele escreveu 1 Timóteo a Timóteo em Éfeso.</w:t>
      </w:r>
    </w:p>
    <w:p>
      <w:pPr>
        <w:pStyle w:val="Heading3"/>
      </w:pPr>
      <w:r>
        <w:t>Teologia</w:t>
      </w:r>
    </w:p>
    <w:p>
      <w:r/>
      <w:r>
        <w:t>Em geral, a teologia de 1 Timóteo é consistente com a das outras cartas paulinas e do NT como um todo. A soberania e o amor de Deus são claramente apresentados várias vezes ao longo da carta. Jesus é sempre apresentado como sendo verdadeiramente Deus, bem como homem. A salvação é pela fé em Deus através de Cristo. A lei não salvará uma pessoa, porque todas as pessoas a quebraram. No entanto, a lei é boa e é o guia de Deus para a pessoa salva vivendo uma vida que agrada a Deus.</w:t>
      </w:r>
    </w:p>
    <w:p>
      <w:r/>
      <w:r>
        <w:t>A igreja ocupa em um grande lugar na carta. Todos os cristãos devem fazer parte da igreja. Eles ganham muito da igreja para o desenvolvimento do caráter cristão, e eles podem servir a Deus de forma muito mais eficaz na igreja do que sem ela. A igreja precisa de organização para fazer seu trabalho de forma eficaz. E a igreja deve se esforçar sempre para evitar a heresia e ensinar as verdades do evangelho.</w:t>
      </w:r>
    </w:p>
    <w:p>
      <w:pPr>
        <w:pStyle w:val="Heading3"/>
      </w:pPr>
      <w:r>
        <w:t>Conteúdo</w:t>
      </w:r>
    </w:p>
    <w:p>
      <w:pPr>
        <w:pStyle w:val="Heading4"/>
      </w:pPr>
      <w:r>
        <w:t>Saudação (1.1–2)</w:t>
      </w:r>
    </w:p>
    <w:p>
      <w:r/>
      <w:r>
        <w:t>O autor se denomina Paulo, e se descreve como um apóstolo, escolhido por Deus e autorizado por Deus, o Pai e seu Filho, Cristo Jesus. Paulo tinha o direito de falar palavras de autoridade ao jovem pastor e à igreja.</w:t>
      </w:r>
    </w:p>
    <w:p>
      <w:r/>
      <w:r>
        <w:t>A carta é escrita a Timóteo, o amado filho espiritual de Paulo, a quem ele deu sua tripla bênção — graça, misericórdia e paz da parte de Deus.</w:t>
      </w:r>
    </w:p>
    <w:p>
      <w:pPr>
        <w:pStyle w:val="Heading4"/>
      </w:pPr>
      <w:r>
        <w:t>Lidando com as heresias (1.3–20)</w:t>
      </w:r>
    </w:p>
    <w:p>
      <w:r/>
      <w:r>
        <w:t>Uma das razões pelas quais ele deixou Timóteo em Éfeso era que ele queria que ele “impedisse aqueles que estão ensinando doutrinas errôneas” (</w:t>
      </w:r>
      <w:hyperlink r:id="rId7677">
        <w:r>
          <w:rPr>
            <w:color w:val="0000EE"/>
            <w:u w:val="single"/>
          </w:rPr>
          <w:t>1.3</w:t>
        </w:r>
      </w:hyperlink>
      <w:r>
        <w:t>). Paulo acreditava que o que uma pessoa acreditava era tão importante quanto o que ela fazia. A heresia aqui é descrita como uma forma primitiva da heresia gnóstica, uma heresia perigosa que assolou a igreja por centenas de anos.</w:t>
      </w:r>
    </w:p>
    <w:p>
      <w:r/>
      <w:r>
        <w:t>Esses primeiros gnósticos afirmavam ter uma visão mais profunda da verdade em comparação ao cristão médio. Eles separaram Deus como Espírito do homem como matéria. Para os gnósticos, a ponte entre os dois era composta de inúmeros anjos de vários níveis, emanações, éons e tais, em vez do único mediador, Jesus Cristo. Eles argumentavam sobre mitos e fábulas. Eles buscavam a salvação encontrando favor com uma cadeia infindável de anjos, em vez de aceitar a salvação de Deus pela fé. Mas apenas a graça de Deus pode salvar pecadores, como o próprio Paulo sabia muito bem.</w:t>
      </w:r>
    </w:p>
    <w:p>
      <w:pPr>
        <w:pStyle w:val="Heading4"/>
      </w:pPr>
      <w:r>
        <w:t>Adoração correta na igreja (2.1–15)</w:t>
      </w:r>
    </w:p>
    <w:p>
      <w:r/>
      <w:r>
        <w:t>“Em primeiro lugar peço que sejam feitos orações, pedidos, súplicas e ações de graças a Deus em favor de todas as pessoas” (</w:t>
      </w:r>
      <w:hyperlink r:id="rId11089">
        <w:r>
          <w:rPr>
            <w:color w:val="0000EE"/>
            <w:u w:val="single"/>
          </w:rPr>
          <w:t>2.1</w:t>
        </w:r>
      </w:hyperlink>
      <w:r>
        <w:t xml:space="preserve">). A oração é uma parte extremamente importante da adoração da igreja cristã. Paulo enfatizou a importância de realizar orações especiais pelas pessoas em altos lugares de autoridade no estado (mesmo que o estado fosse o Império Romano com Nero como seu imperador). Paulo havia ensinado isso claramente em </w:t>
      </w:r>
      <w:hyperlink r:id="rId4469">
        <w:r>
          <w:rPr>
            <w:color w:val="0000EE"/>
            <w:u w:val="single"/>
          </w:rPr>
          <w:t>Romanos 13</w:t>
        </w:r>
      </w:hyperlink>
      <w:r>
        <w:t>, e Jesus havia dito aos seus discípulos para dar a César as coisas que pertenciam a ele (</w:t>
      </w:r>
      <w:hyperlink r:id="rId10932">
        <w:r>
          <w:rPr>
            <w:color w:val="0000EE"/>
            <w:u w:val="single"/>
          </w:rPr>
          <w:t>Mt 22.17</w:t>
        </w:r>
      </w:hyperlink>
      <w:r>
        <w:t>).</w:t>
      </w:r>
    </w:p>
    <w:p>
      <w:r/>
      <w:r>
        <w:t>Homens e mulheres cristãos devem orar a Deus, levantando mãos santas para ele, mãos livres do pecado, raiva e ressentimento. Paulo especificamente exortou as irmãs da seguinte forma: “Quero também que as mulheres sejam sensatas e usem roupas decentes e simples. Que elas se enfeitem, mas não com penteados complicados, nem com jóias de ouro ou de pérolas, nem com roupas caras! Que se enfeitem com boas ações, como devem fazer as mulheres que dizem que são dedicadas a Deus!” (</w:t>
      </w:r>
      <w:hyperlink r:id="rId3379">
        <w:r>
          <w:rPr>
            <w:color w:val="0000EE"/>
            <w:u w:val="single"/>
          </w:rPr>
          <w:t>1Tm 2.9–10</w:t>
        </w:r>
      </w:hyperlink>
      <w:r>
        <w:t xml:space="preserve">). Então Paulo disse: “Eu não permito que as mulheres ensinem os homens ou tenham autoridade sobre eles” (v. </w:t>
      </w:r>
      <w:hyperlink r:id="rId20209">
        <w:r>
          <w:rPr>
            <w:color w:val="0000EE"/>
            <w:u w:val="single"/>
          </w:rPr>
          <w:t>12</w:t>
        </w:r>
      </w:hyperlink>
      <w:r>
        <w:t>). Isso não significava, no entanto, que eles não poderiam participar oralmente nas reuniões da igreja. De acordo com Atos e 1 Coríntios, está bastante claro que as mulheres oravam, profetizavam e testemunhavam nas reuniões da igreja. Mas o ensino era reservado para os homens porque era dever dos presbíteros (que eram homens) serem os mestres. Assim, ensinar e exercer autoridade andavam de mãos dadas.</w:t>
      </w:r>
    </w:p>
    <w:p>
      <w:pPr>
        <w:pStyle w:val="Heading4"/>
      </w:pPr>
      <w:r>
        <w:t>Organização adequada na igreja (3.1–5.25)</w:t>
      </w:r>
    </w:p>
    <w:p>
      <w:r/>
      <w:r>
        <w:t>A primeira questão a resolver sobre a organização da igreja primitiva tinha a ver com quem eram os bispos. O primeiro versículo desta seção diz. “se alguém quer muito ser bispo na Igreja, está desejando um trabalho excelente” (</w:t>
      </w:r>
      <w:hyperlink r:id="rId20210">
        <w:r>
          <w:rPr>
            <w:color w:val="0000EE"/>
            <w:u w:val="single"/>
          </w:rPr>
          <w:t>3.1</w:t>
        </w:r>
      </w:hyperlink>
      <w:r>
        <w:t xml:space="preserve">). Em todas as Epístolas Pastorais, o bispo é claramente um oficial dentro de uma igreja local, em vez de um oficial sobre um grupo de igrejas, como o ofício do bispo episcopal, que se desenvolveu no início do século. E à luz de </w:t>
      </w:r>
      <w:hyperlink r:id="rId20211">
        <w:r>
          <w:rPr>
            <w:color w:val="0000EE"/>
            <w:u w:val="single"/>
          </w:rPr>
          <w:t>Tito 1.4–6</w:t>
        </w:r>
      </w:hyperlink>
      <w:r>
        <w:t>, onde Paulo trocou o uso de presbíteros para os bispos, a maioria dos estudiosos acredita que ele usava os dois termos alternadamente. O próprio Timóteo seria a figura mais próxima de um pastor moderno na igreja, e havia presbíteros (bispos) e diáconos o acompanhando para governar a igreja.</w:t>
      </w:r>
    </w:p>
    <w:p>
      <w:r/>
      <w:r>
        <w:t>Ser um presbítero na igreja é uma aspiração digna. Mas uma pessoa deve ter altas qualificações para ser eleita para uma posição tão responsável. Ele deve ser respeitado por outros membros da igreja e por aqueles de fora da igreja. A maioria das qualificações é bastante clara, mas várias delas merecem atenção.</w:t>
      </w:r>
    </w:p>
    <w:p>
      <w:r/>
      <w:r>
        <w:t>“O bispo deve ser um homem que ninguém possa culpar de nada. Deve ter somente uma esposa” (</w:t>
      </w:r>
      <w:hyperlink r:id="rId3796">
        <w:r>
          <w:rPr>
            <w:color w:val="0000EE"/>
            <w:u w:val="single"/>
          </w:rPr>
          <w:t>3.2</w:t>
        </w:r>
      </w:hyperlink>
      <w:r>
        <w:t>). No grego diz literalmente: “um homem de uma mulher”. Isso claramente proibiria a poligamia e eliminaria um homem que era infiel à sua esposa. Provavelmente não eliminaria nem um homem que havia se divorciado e se casado novamente, nem um solteiro que nunca havia tido uma esposa. A igreja deve insistir que seus líderes oficiais se conformem com uma visão elevada da moralidade sexual.</w:t>
      </w:r>
    </w:p>
    <w:p>
      <w:r/>
      <w:r>
        <w:t>O presbítero deve ser capaz de disciplinar sua própria vida familiar se ele quiser exercer disciplina na igreja. O homem também não deve ser um bêbado. Ele não exigiu a abstinência total, mas ele claramente exigiu que um presbítero não fosse uma pessoa sob o domínio da bebida forte. E uma pessoa que exerce o alto cargo de presbítero não deve ser um novo cristão (lit. um neófito), para que isso não suba à sua cabeça e o impeça de ser um bom presbítero. Em suma, apenas uma pessoa de excelente caráter deve ser eleita para o alto cargo de presbítero, ou bispo, na igreja.</w:t>
      </w:r>
    </w:p>
    <w:p>
      <w:r/>
      <w:r>
        <w:t>Então Paulo continuou falando sobre o ofício do diácono. “Do mesmo modo, os diáconos devem ser homens de palavra e sérios” (</w:t>
      </w:r>
      <w:hyperlink r:id="rId20212">
        <w:r>
          <w:rPr>
            <w:color w:val="0000EE"/>
            <w:u w:val="single"/>
          </w:rPr>
          <w:t>3.8</w:t>
        </w:r>
      </w:hyperlink>
      <w:r>
        <w:t xml:space="preserve">). As qualificações para os diáconos são virtualmente as mesmas que as dos presbíteros. Antes de serem eleitos como diáconos, eles devem ter experiência no trabalho da igreja. </w:t>
      </w:r>
      <w:hyperlink r:id="rId7093">
        <w:r>
          <w:rPr>
            <w:color w:val="0000EE"/>
            <w:u w:val="single"/>
          </w:rPr>
          <w:t>Primeira Timóteo 3.11</w:t>
        </w:r>
      </w:hyperlink>
      <w:r>
        <w:t xml:space="preserve"> aplica as mesmas qualificações às mulheres que aspiram a ser diaconisas e/ou esposas de diáconos (cf. nota de rodapé da versão New Living Translation - em inglês). O versículo </w:t>
      </w:r>
      <w:hyperlink r:id="rId20213">
        <w:r>
          <w:rPr>
            <w:color w:val="0000EE"/>
            <w:u w:val="single"/>
          </w:rPr>
          <w:t>12</w:t>
        </w:r>
      </w:hyperlink>
      <w:r>
        <w:t xml:space="preserve"> continua com as qualificações dos diáconos em geral.</w:t>
      </w:r>
    </w:p>
    <w:p>
      <w:r/>
      <w:r>
        <w:t xml:space="preserve">No capítulo </w:t>
      </w:r>
      <w:hyperlink r:id="rId20214">
        <w:r>
          <w:rPr>
            <w:color w:val="0000EE"/>
            <w:u w:val="single"/>
          </w:rPr>
          <w:t>4</w:t>
        </w:r>
      </w:hyperlink>
      <w:r>
        <w:t>, ele insta Timóteo a exercer sua liderança na igreja, especialmente em sua relação com os hereges. Alguns dos hereges gnósticos ensinavam um falso tipo de ascetismo, proibindo o casamento e a ingestão de vários alimentos. Mas Deus deu essas coisas para serem usadas e apreciadas para a glória de Deus. O dever pastoral de Timóteo era ensinar ao seu povo as verdades de Deus e não se permitir ser pego discutindo sobre fábulas profanas e tolas dos hereges (</w:t>
      </w:r>
      <w:hyperlink r:id="rId20215">
        <w:r>
          <w:rPr>
            <w:color w:val="0000EE"/>
            <w:u w:val="single"/>
          </w:rPr>
          <w:t>4.7</w:t>
        </w:r>
      </w:hyperlink>
      <w:r>
        <w:t>). Ele exortou Timóteo a manter seu espírito em forma através do constante exercício espiritual, o que era ainda mais importante do que o exercício do corpo.</w:t>
      </w:r>
    </w:p>
    <w:p>
      <w:r/>
      <w:r>
        <w:t>Ele reconheceu que Timóteo era um homem jovem, e que alguns dos cristãos mais velhos poderiam ser tentados a desprezar sua juventude. Timóteo deveria se esforçar ainda mais para merecer a admiração deles — “na fala e na conduta, no amor, na fé, na pureza” (</w:t>
      </w:r>
      <w:hyperlink r:id="rId6070">
        <w:r>
          <w:rPr>
            <w:color w:val="0000EE"/>
            <w:u w:val="single"/>
          </w:rPr>
          <w:t>4.12</w:t>
        </w:r>
      </w:hyperlink>
      <w:r>
        <w:t>). Porque Deus havia chamado Timóteo e a igreja o havia ordenado pela imposição das mãos, Timóteo deveria se esforçar para viver de acordo com essas altas responsabilidades.</w:t>
      </w:r>
    </w:p>
    <w:p>
      <w:r/>
      <w:r>
        <w:t>Paulo deu a Timóteo conselhos práticos sobre como um jovem pregador deve lidar com as diferentes idades e gêneros na igreja. Ele deve tratar os homens mais velhos como seu próprio pai, as mulheres mais velhas como sua mãe, os homens mais jovens como seus irmãos e as mulheres mais jovens como suas irmãs — acrescentando significativamente. “em toda a pureza” (</w:t>
      </w:r>
      <w:hyperlink r:id="rId20216">
        <w:r>
          <w:rPr>
            <w:color w:val="0000EE"/>
            <w:u w:val="single"/>
          </w:rPr>
          <w:t>5.2</w:t>
        </w:r>
      </w:hyperlink>
      <w:r>
        <w:t>).</w:t>
      </w:r>
    </w:p>
    <w:p>
      <w:r/>
      <w:r>
        <w:t>Paulo também disse a Timóteo como lidar com o problema das viúvas. Naquela época, quando poucas mulheres podiam trabalhar e antes dos dias de seguro de vida e de previdência social, as mulheres que haviam perdido seus maridos estavam em uma situação sem esperança. A igreja primitiva desenvolveu uma listagem das viúvas que capacitava o atendimento de suas necessidades. As viúvas mais jovens deveriam ser encorajadas a se casar novamente e levar que os novos maridos as sustentassem. As famílias que tinham condições deveriam reconhecer sua responsabilidade de cuidar de seus próprios necessitados. A igreja, então, teria a responsabilidade de tomar conta das viúvas mais velhas que não tinham famílias para cuidar delas. A igreja, com suas obrigações de caridade, deve usar seus meios limitados de forma responsável, sábia e justamente, para que possa resultar no maior bem possível.</w:t>
      </w:r>
    </w:p>
    <w:p>
      <w:r/>
      <w:r>
        <w:t>Mesmo na igreja primitiva, os líderes da igreja eram pagos por seu trabalho. Paulo disse que eles deveriam “ser considerados dignos de honra dobrada” (</w:t>
      </w:r>
      <w:hyperlink r:id="rId1406">
        <w:r>
          <w:rPr>
            <w:color w:val="0000EE"/>
            <w:u w:val="single"/>
          </w:rPr>
          <w:t>5.17</w:t>
        </w:r>
      </w:hyperlink>
      <w:r>
        <w:t xml:space="preserve">). Os líderes da Igreja não deveriam ser escolhidos ou ordenados muito rapidamente. Seus pecados não deveriam ser negligenciados. Até o próprio Timóteo foi advertido a se manter livre de pecado. A seção termina com outro tratamento dos pecados dos líderes da igreja (vv. </w:t>
      </w:r>
      <w:hyperlink r:id="rId20217">
        <w:r>
          <w:rPr>
            <w:color w:val="0000EE"/>
            <w:u w:val="single"/>
          </w:rPr>
          <w:t>24–25</w:t>
        </w:r>
      </w:hyperlink>
      <w:r>
        <w:t>). Quando os pecados são claros, o pecador deve ser disciplinado pela igreja. Às vezes, os pecados de uma pessoa não são evidentes para outras pessoas, mas Deus os conhece e lidará com eles. Por outro lado, o mesmo é verdadeiro sobre as várias boas obras destes líderes.</w:t>
      </w:r>
    </w:p>
    <w:p>
      <w:pPr>
        <w:pStyle w:val="Heading4"/>
      </w:pPr>
      <w:r>
        <w:t>Alguns ensinos práticos sobre a vida cristã (6.1–21)</w:t>
      </w:r>
    </w:p>
    <w:p>
      <w:r/>
      <w:r>
        <w:t>A escravidão era uma instituição reconhecida naqueles dias. Os escravos cristãos deveriam ser bons escravos, e os mestres cristãos deveriam ser bons mestres. Depois de muitos séculos, os princípios cristãos trariam um fim à escravidão, mas teria sido impossível para Paulo ou qualquer outra pessoa naquela época liderar uma cruzada para a abolição da escravidão.</w:t>
      </w:r>
    </w:p>
    <w:p>
      <w:r/>
      <w:r>
        <w:t>Timóteo foi exortado a evitar o ensino dos hereges, mas a ser fiel no ensino das verdades positivas do evangelho.</w:t>
      </w:r>
    </w:p>
    <w:p>
      <w:r/>
      <w:r>
        <w:t>Duas seções (</w:t>
      </w:r>
      <w:hyperlink r:id="rId20218">
        <w:r>
          <w:rPr>
            <w:color w:val="0000EE"/>
            <w:u w:val="single"/>
          </w:rPr>
          <w:t>6.6–10, 17–19</w:t>
        </w:r>
      </w:hyperlink>
      <w:r>
        <w:t>) lidam com a atitude do cristão em relação à riqueza. Aqui Paulo estava seguindo de perto os ensinamentos de Jesus. O dinheiro pode ser transformado em um falso deus e trazer todos os tipos de mal para o membro da igreja. Mas também pode ser usado no serviço a Deus e ser transformado em tesouro armazenado no céu.</w:t>
      </w:r>
    </w:p>
    <w:p>
      <w:r/>
      <w:r>
        <w:t>Finalmente, em duas seções (</w:t>
      </w:r>
      <w:hyperlink r:id="rId20219">
        <w:r>
          <w:rPr>
            <w:color w:val="0000EE"/>
            <w:u w:val="single"/>
          </w:rPr>
          <w:t>6.11–16, 20–21</w:t>
        </w:r>
      </w:hyperlink>
      <w:r>
        <w:t>), Paulo encorajou Timóteo a se esforçar para fazer o melhor que podia para ser verdadeiramente um homem de Deus. Ele deve lutar o bom combate como um soldado de Deus. Esta vida muitas vezes será difícil, mas Timóteo deve manter seus olhos fixos na segunda vinda do Cristo glorioso.</w:t>
      </w:r>
    </w:p>
    <w:p>
      <w:r/>
      <w:r>
        <w:rPr>
          <w:i/>
        </w:rPr>
        <w:t>Veja também</w:t>
      </w:r>
      <w:r>
        <w:t xml:space="preserve"> </w:t>
      </w:r>
      <w:r>
        <w:t>Timóteo, Segunda Carta a</w:t>
      </w:r>
      <w:r>
        <w:t xml:space="preserve">; </w:t>
      </w:r>
      <w:r>
        <w:t>Tito, Carta a</w:t>
      </w:r>
      <w:r>
        <w:t>.</w:t>
      </w:r>
      <w:r/>
      <w:r/>
    </w:p>
    <w:p>
      <w:r/>
    </w:p>
    <w:p>
      <w:pPr>
        <w:pStyle w:val="Heading2"/>
      </w:pPr>
      <w:r>
        <w:t>TIMOTÉO, Segunda Carta a</w:t>
      </w:r>
      <w:r/>
    </w:p>
    <w:p>
      <w:r/>
      <w:r>
        <w:t>Resumo</w:t>
      </w:r>
    </w:p>
    <w:p>
      <w:r/>
      <w:r>
        <w:t>• Autor;</w:t>
      </w:r>
    </w:p>
    <w:p>
      <w:r/>
      <w:r>
        <w:t>• Local e Data de redação;</w:t>
      </w:r>
    </w:p>
    <w:p>
      <w:r/>
      <w:r>
        <w:t>• Contexto;</w:t>
      </w:r>
    </w:p>
    <w:p>
      <w:r/>
      <w:r>
        <w:t>• Conteúdo.</w:t>
      </w:r>
    </w:p>
    <w:p>
      <w:pPr>
        <w:pStyle w:val="Heading3"/>
      </w:pPr>
      <w:r>
        <w:t>Autor</w:t>
      </w:r>
    </w:p>
    <w:p>
      <w:r/>
      <w:r>
        <w:t>Muitos daqueles que negam a autoria paulina das Epístolas Pastorais reconhecem que 2 Timóteo contém alguns fragmentos genuinamente paulinos nas numerosas referências pessoais na carta. No entanto, a evidência a favor da autoria paulina é muito mais forte do que a evidência contrária. (Veja a discussão sobre a autoria das Cartas Pastorais em “</w:t>
      </w:r>
      <w:r>
        <w:t>TIMÓTEO, Primeira Carta a</w:t>
      </w:r>
      <w:r>
        <w:t>.”)</w:t>
      </w:r>
    </w:p>
    <w:p>
      <w:pPr>
        <w:pStyle w:val="Heading3"/>
      </w:pPr>
      <w:r>
        <w:t>Local e Data de redação</w:t>
      </w:r>
    </w:p>
    <w:p>
      <w:r/>
      <w:r>
        <w:t xml:space="preserve">Paulo estava na prisão quando escreveu esta carta a Timóteo; </w:t>
      </w:r>
      <w:hyperlink r:id="rId20220">
        <w:r>
          <w:rPr>
            <w:color w:val="0000EE"/>
            <w:u w:val="single"/>
          </w:rPr>
          <w:t>2 Timóteo 1.15–18</w:t>
        </w:r>
      </w:hyperlink>
      <w:r>
        <w:t xml:space="preserve"> fala especificamente sobre ele estar em Roma e como Onesíforo foi fiel a ele quando outros da província da Ásia o abandonaram. </w:t>
      </w:r>
      <w:hyperlink r:id="rId6294">
        <w:r>
          <w:rPr>
            <w:color w:val="0000EE"/>
            <w:u w:val="single"/>
          </w:rPr>
          <w:t>2 Timóteo 2.9</w:t>
        </w:r>
      </w:hyperlink>
      <w:r>
        <w:t xml:space="preserve"> novamente se refere a ele estar na prisão por pregar o evangelho. Perto do final da carta, começando em </w:t>
      </w:r>
      <w:hyperlink r:id="rId6076">
        <w:r>
          <w:rPr>
            <w:color w:val="0000EE"/>
            <w:u w:val="single"/>
          </w:rPr>
          <w:t>4.6</w:t>
        </w:r>
      </w:hyperlink>
      <w:r>
        <w:t>, Paulo relata sua experiência na prisão — e que ele não tem esperança de ser libertado 2 Timóteo é uma espécie de testamento do apóstolo. Uma tradição antiga e confiável relata que Paulo foi martirizado em Roma sob Nero. Roma, então, foi o local de onde 2 Timóteo foi escrito.</w:t>
      </w:r>
    </w:p>
    <w:p>
      <w:r/>
      <w:r>
        <w:t>A carta foi escrita para Timóteo em Éfeso, como fica evidente ao longo da carta.</w:t>
      </w:r>
    </w:p>
    <w:p>
      <w:r/>
      <w:r>
        <w:t>Quanto ao ano em que foi escrito, duas datas são possíveis. O ano 64 d.C. foi a data do Grande Incêndio em Roma. Nero tentou transferir a responsabilidade pelo incêndio para os cristãos. Possivelmente, Paulo foi martirizado nessa época. O próprio Nero morreu em 67 d.C., então essa seria a data mais tardia que poderia ser atribuída. A carta foi escrita entre 64 e 67 d.C., com alguma preferência pela data mais antiga.</w:t>
      </w:r>
    </w:p>
    <w:p>
      <w:pPr>
        <w:pStyle w:val="Heading3"/>
      </w:pPr>
      <w:r>
        <w:t>Contexto</w:t>
      </w:r>
    </w:p>
    <w:p>
      <w:r/>
      <w:r>
        <w:t>Desde a época em que foi escrita 1 Timóteo, Paulo fez outras viagens e depois chegou a Roma para seu segundo encarceramento. Veja esta seção em “</w:t>
      </w:r>
      <w:r>
        <w:t>TIMÓTEO, Primeira Carta a</w:t>
      </w:r>
      <w:r>
        <w:t>.”</w:t>
      </w:r>
    </w:p>
    <w:p>
      <w:pPr>
        <w:pStyle w:val="Heading3"/>
      </w:pPr>
      <w:r>
        <w:t>Conteúdo</w:t>
      </w:r>
    </w:p>
    <w:p>
      <w:pPr>
        <w:pStyle w:val="Heading4"/>
      </w:pPr>
      <w:r>
        <w:t>Saudação (</w:t>
      </w:r>
      <w:hyperlink r:id="rId20221">
        <w:r>
          <w:rPr>
            <w:color w:val="0000EE"/>
            <w:u w:val="single"/>
          </w:rPr>
          <w:t>1.1–2</w:t>
        </w:r>
      </w:hyperlink>
      <w:r>
        <w:t>)</w:t>
      </w:r>
    </w:p>
    <w:p>
      <w:r/>
      <w:r>
        <w:t>Como era costume nas cartas antigas, o escritor coloca seu nome primeiro. Em seguida, ele fornece uma identificação mais completa de si mesmo como apóstolo, pertencente a Jesus Cristo, e comissionado para anunciar ao mundo inteiro sobre a vida eterna que Deus disponibilizou através da fé em Jesus Cristo. Paulo, assim, indica sua autoridade e também oferece um breve resumo da essência da verdadeira fé cristã.</w:t>
      </w:r>
    </w:p>
    <w:p>
      <w:r/>
      <w:r>
        <w:t>A pessoa a quem a carta é escrita é "Timóteo, meu amado filho". Em seguida, vem uma bênção tripla: "Graça, misericórdia e paz" de Deus Pai e de seu Filho, Jesus Cristo. Como em todas as suas cartas, Paulo altera a saudação grega um tanto sem cor, "saudações", para um dos maiores conceitos teológicos, "graça", e adiciona a tradução grega da saudação hebraica regular, "paz". Então, ele acrescenta aqui a grande palavra, "misericórdia", como fez em 1 Timóteo.</w:t>
      </w:r>
    </w:p>
    <w:p>
      <w:pPr>
        <w:pStyle w:val="Heading4"/>
      </w:pPr>
      <w:r>
        <w:t>Exortações a Timóteo para ser um bom ministro (</w:t>
      </w:r>
      <w:hyperlink r:id="rId20222">
        <w:r>
          <w:rPr>
            <w:color w:val="0000EE"/>
            <w:u w:val="single"/>
          </w:rPr>
          <w:t>1.3–2.13</w:t>
        </w:r>
      </w:hyperlink>
      <w:r>
        <w:t>)</w:t>
      </w:r>
    </w:p>
    <w:p>
      <w:r/>
      <w:r>
        <w:t>Paulo inicia esta seção dizendo a Timóteo com que frequência ele oferecia orações de agradecimento a Deus em seu nome, ao Deus de seus antepassados, ao Deus a quem ele tinha como principal propósito na vida agradar. Paulo desejava muito ver Timóteo, especialmente ao lembrar-se de sua despedida chorosa.</w:t>
      </w:r>
    </w:p>
    <w:p>
      <w:r/>
      <w:r>
        <w:t xml:space="preserve">Paulo lembrou Timóteo de sua grande confiança no Senhor, uma confiança que foi transmitida a ele por duas mulheres piedosas: sua mãe, Eunice, e sua avó, Loide. </w:t>
      </w:r>
      <w:hyperlink r:id="rId10201">
        <w:r>
          <w:rPr>
            <w:color w:val="0000EE"/>
            <w:u w:val="single"/>
          </w:rPr>
          <w:t>Atos 16.1–3</w:t>
        </w:r>
      </w:hyperlink>
      <w:r>
        <w:t xml:space="preserve"> afirma que a mãe de Timóteo era uma judia crente, e seu pai era grego, ou gentio. Ele não havia permitido que seu filho fosse circuncidado na infância. Mas a mãe crente havia transmitido sua fé ao filho. Quando Paulo decidiu levá-lo como assistente em sua segunda viagem missionária, ele o circuncidou para que pudesse trabalhar mais efetivamente com os judeus. Assim, Timóteo teve uma grande herança de Loide, Eunice e do próprio Paulo.</w:t>
      </w:r>
    </w:p>
    <w:p>
      <w:r/>
      <w:r>
        <w:t>“Por essa razão, torno a lembrar-lhe que mantenha viva a chama do dom de Deus que está em você mediante a imposição das minhas mãos” (</w:t>
      </w:r>
      <w:hyperlink r:id="rId13795">
        <w:r>
          <w:rPr>
            <w:color w:val="0000EE"/>
            <w:u w:val="single"/>
          </w:rPr>
          <w:t>2Tm 1.6</w:t>
        </w:r>
      </w:hyperlink>
      <w:r>
        <w:t xml:space="preserve">, NTLH). </w:t>
      </w:r>
      <w:hyperlink r:id="rId13794">
        <w:r>
          <w:rPr>
            <w:color w:val="0000EE"/>
            <w:u w:val="single"/>
          </w:rPr>
          <w:t>1 Timóteo 4.14</w:t>
        </w:r>
      </w:hyperlink>
      <w:r>
        <w:t xml:space="preserve"> acrescenta: “Não negligencie o dom que lhe foi dado por mensagem profética com imposição de mãos dos presbíteros”. Isso se assemelha muito a uma cerimônia formal de ordenação, quando Timóteo foi separado como ministro do evangelho pela imposição de mãos acompanhada de oração. Timóteo nunca deveria ter esquecido aquele momento solene, e a memória deveria ter mantido sua vida cheia de força e coragem. Ele era verdadeiramente um homem de Deus, cheio do Espírito de Deus, e não tinha medo de realizar seu trabalho cristão. Timóteo poderia sofrer por sua fé, mas seria encorajado ao lembrar-se dos sofrimentos e da prisão de seu pai espiritual, Paulo. Deus daria a Timóteo força para suportar o sofrimento, assim como havia feito por Paulo.</w:t>
      </w:r>
    </w:p>
    <w:p>
      <w:r/>
      <w:r>
        <w:t>Então, Paulo lembrou a Timóteo como Deus havia salvado a ambos e os escolhido desde a eternidade para contar aos outros sobre o amor salvador de Deus através de Jesus Cristo, que veio no tempo certo para realizar essa salvação, quebrando o poder da morte e mostrando o caminho para a vida eterna. Paulo sabia no que cria, mas mais importante ainda, sabia em quem confiava — Jesus Cristo. E, apesar das muitas incertezas que deviam estar na mente de Paulo, ele podia estar absolutamente seguro de Cristo. Paulo também tinha certeza de que Cristo seria capaz de guardar o que lhe havia sido confiado — guardá-lo até o dia em que Paulo e Jesus se encontrassem. Paulo estava confiante disso e queria que Timóteo tivesse uma segurança semelhante.</w:t>
      </w:r>
    </w:p>
    <w:p>
      <w:r/>
      <w:r>
        <w:t>Assim, Paulo exortou Timóteo a manter-se firme no padrão de verdade que Paulo lhe havia ensinado — aquele corpo de doutrina cristã, especialmente no que dizia respeito a Jesus Cristo e à fé e amor em Cristo. Ele deveria guardar esse dom cuidadosamente, com a ajuda do Espírito Santo.</w:t>
      </w:r>
    </w:p>
    <w:p>
      <w:r/>
      <w:r>
        <w:t xml:space="preserve">Paulo então compartilhou com Timóteo sua grande tristeza pelo fato de que todos os cristãos da província romana da Ásia, da qual Éfeso era a cidade principal, o haviam abandonado. Paulo menciona dois dos desertores pelo nome, Fígelo e Hermógenes. Evidentemente, Timóteo sabia quem eles eram. Em contraste marcante, Paulo mencionou o bom homem Onesíforo (também em </w:t>
      </w:r>
      <w:hyperlink r:id="rId2216">
        <w:r>
          <w:rPr>
            <w:color w:val="0000EE"/>
            <w:u w:val="single"/>
          </w:rPr>
          <w:t>4.19</w:t>
        </w:r>
      </w:hyperlink>
      <w:r>
        <w:t>), que tinha sido um ajudante maravilhoso e fiel de Paulo, tanto em Éfeso quanto em Roma.</w:t>
      </w:r>
    </w:p>
    <w:p>
      <w:r/>
      <w:r>
        <w:t>Paulo novamente estimulou Timóteo a ser forte na força que Cristo lhe deu (</w:t>
      </w:r>
      <w:hyperlink r:id="rId20223">
        <w:r>
          <w:rPr>
            <w:color w:val="0000EE"/>
            <w:u w:val="single"/>
          </w:rPr>
          <w:t>2.1</w:t>
        </w:r>
      </w:hyperlink>
      <w:r>
        <w:t>). Timóteo deveria transmitir as verdades cristãs a outros e treiná-los para que as transmitissem a outros ainda. Paulo provavelmente estava pensando especialmente nos presbíteros e diáconos (cf. 1 Timóteo). Paulo usou três ilustrações eficazes para encorajar Timóteo a dar o seu melhor em seu serviço cristão. Ele deveria lutar e sofrer como um bom soldado, competir bem como um bom atleta e trabalhar arduamente como um bom agricultor. As recompensas virão para todos os três se realizarem bem suas tarefas. Todas as três ilustrações foram usadas por Jesus, e foram usadas por outros escritores do NT.</w:t>
      </w:r>
    </w:p>
    <w:p>
      <w:r/>
      <w:r>
        <w:t xml:space="preserve">No meio de suas exortações, Paulo forneceu um excelente resumo da verdadeira Cristologia em </w:t>
      </w:r>
      <w:hyperlink r:id="rId20224">
        <w:r>
          <w:rPr>
            <w:color w:val="0000EE"/>
            <w:u w:val="single"/>
          </w:rPr>
          <w:t>2.8–10</w:t>
        </w:r>
      </w:hyperlink>
      <w:r>
        <w:t>. Jesus era verdadeiramente homem e verdadeiramente Deus. É herético negar tanto a plena humanidade quanto a plena divindade de Cristo, mesmo que nenhuma mente humana possa compreender totalmente o mistério da Encarnação. E este ser divino-humano morreu e depois ressuscitou dos mortos.</w:t>
      </w:r>
    </w:p>
    <w:p>
      <w:pPr>
        <w:pStyle w:val="Heading4"/>
      </w:pPr>
      <w:r>
        <w:t>Avisos contra heresias (</w:t>
      </w:r>
      <w:hyperlink r:id="rId20225">
        <w:r>
          <w:rPr>
            <w:color w:val="0000EE"/>
            <w:u w:val="single"/>
          </w:rPr>
          <w:t>2.14–4.5</w:t>
        </w:r>
      </w:hyperlink>
      <w:r>
        <w:t>)</w:t>
      </w:r>
    </w:p>
    <w:p>
      <w:r/>
      <w:r>
        <w:t>Esta seção começa com a afirmação "Recomende essas coisas aos que você dirige e ordene severamente, na presença de Deus, que não briguem por causa de palavras. Brigar não é bom, pois somente prejudica os que estão presentes" (NTLH). Existem crenças heréticas que devem ser definitivamente condenadas, mas os cristãos são advertidos a não discutirem entre si sobre questões insignificantes. Os cristãos podem ficar irritados com outros cristãos e gastar tempo lutando uns contra os outros em vez de lutar contra Satanás.</w:t>
      </w:r>
    </w:p>
    <w:p>
      <w:r/>
      <w:r>
        <w:t xml:space="preserve">Timóteo devia esforçar-se para se tornar um bom servo, merecendo a aprovação de seu mestre, conhecendo bem as verdades de sua palavra. Dessa forma, ele poderia combater os falsos ensinamentos dos hereges. Dois dos hereges são mencionados pelo nome, Himeneu e Fileto. Fileto é mencionado apenas aqui no NT. Himeneu, no entanto, foi mencionado também em </w:t>
      </w:r>
      <w:hyperlink r:id="rId741">
        <w:r>
          <w:rPr>
            <w:color w:val="0000EE"/>
            <w:u w:val="single"/>
          </w:rPr>
          <w:t>1 Timóteo 1.20</w:t>
        </w:r>
      </w:hyperlink>
      <w:r>
        <w:t>, junto com outro herege, Alexandre; esses dois foram entregues a Satanás, ou excomungados, por Paulo naquela época. A heresia deles era que ensinavam que a ressurreição dos crentes já havia acontecido (</w:t>
      </w:r>
      <w:hyperlink r:id="rId20226">
        <w:r>
          <w:rPr>
            <w:color w:val="0000EE"/>
            <w:u w:val="single"/>
          </w:rPr>
          <w:t>2Tm 2.18</w:t>
        </w:r>
      </w:hyperlink>
      <w:r>
        <w:t>). Essa heresia mina a esperança cristã da ressurreição final, que traz todos os crentes para a eternidade. Os hereges estavam negando a realidade disso e redefinindo-a como algo que já havia acontecido.</w:t>
      </w:r>
    </w:p>
    <w:p>
      <w:r/>
      <w:r>
        <w:t>De várias maneiras, Paulo incentivou Timóteo a se mostrar um verdadeiro servo de Deus, alguém conhecido por Deus e que vive pelas verdades da palavra de Deus. Ele deve evitar os pensamentos malignos que frequentemente acometem os jovens, bem como a tentação de discutir. Em vez disso, deve ser gentil, paciente e humilde, buscando ajudar seu povo a evitar as armadilhas de Satanás.</w:t>
      </w:r>
    </w:p>
    <w:p>
      <w:r/>
      <w:hyperlink r:id="rId20227">
        <w:r>
          <w:rPr>
            <w:color w:val="0000EE"/>
            <w:u w:val="single"/>
          </w:rPr>
          <w:t>2 Timóteo 3.1–9</w:t>
        </w:r>
      </w:hyperlink>
      <w:r>
        <w:t xml:space="preserve"> apresenta a mais forte condenação de Paulo aos hereges na igreja. Eles frequentam a igreja, mas não acreditam nas verdades cristãs. Não vivem vidas cristãs e se esforçam para que outros sigam suas crenças e práticas. Paulo comparou os hereges de sua época aos magos egípcios em </w:t>
      </w:r>
      <w:hyperlink r:id="rId14410">
        <w:r>
          <w:rPr>
            <w:color w:val="0000EE"/>
            <w:u w:val="single"/>
          </w:rPr>
          <w:t>Êxodo 7</w:t>
        </w:r>
      </w:hyperlink>
      <w:r>
        <w:t xml:space="preserve"> (que receberam os nomes de Janes e Jambres pela tradição judaica). Os hereges nos dias de Timóteo falhariam em seus ataques contra a verdade, assim como Janes e Jambres falharam em seus ataques contra Deus e seu porta-voz Moisés.</w:t>
      </w:r>
    </w:p>
    <w:p>
      <w:r/>
      <w:r>
        <w:t>Paulo contrastou sua própria vida e crenças com as dos hereges. Ele mesmo havia sido perseguido por hereges, até mesmo em sua primeira viagem missionária, mas continuou a pregar a verdade e levou muitos a aceitar Cristo. Timóteo deveria seguir o exemplo de Paulo.</w:t>
      </w:r>
    </w:p>
    <w:p>
      <w:r/>
      <w:r>
        <w:t>A melhor maneira de superar a heresia é o estudo diligente da Palavra de Deus. "Pois toda a Escritura Sagrada é inspirada por Deus e é útil para ensinar a verdade, condenar o erro, corrigir as faltas e ensinar a maneira certa de viver. E isso para que o servo de Deus esteja completamente preparado e pronto para fazer todo tipo de boas ações" (</w:t>
      </w:r>
      <w:hyperlink r:id="rId20228">
        <w:r>
          <w:rPr>
            <w:color w:val="0000EE"/>
            <w:u w:val="single"/>
          </w:rPr>
          <w:t>3.16–17</w:t>
        </w:r>
      </w:hyperlink>
      <w:r>
        <w:t>, NTLH).</w:t>
      </w:r>
    </w:p>
    <w:p>
      <w:r/>
      <w:r>
        <w:t>Paulo deu a Timóteo uma incumbência solene de pregar essa palavra fiel e diligentemente. Muitos não estariam dispostos a ouvir as verdades da Bíblia, mas Timóteo deveria tentar corrigi-los e repreendê-los, mesmo que isso pudesse trazer perseguição para ele.</w:t>
      </w:r>
    </w:p>
    <w:p>
      <w:pPr>
        <w:pStyle w:val="Heading4"/>
      </w:pPr>
      <w:r>
        <w:t>A fé e a esperança de Paulo (</w:t>
      </w:r>
      <w:hyperlink r:id="rId20229">
        <w:r>
          <w:rPr>
            <w:color w:val="0000EE"/>
            <w:u w:val="single"/>
          </w:rPr>
          <w:t>4.6–18</w:t>
        </w:r>
      </w:hyperlink>
      <w:r>
        <w:t>)</w:t>
      </w:r>
    </w:p>
    <w:p>
      <w:r/>
      <w:r>
        <w:t>Paulo havia escrito essas importantes instruções para Timóteo porque sabia que tinha muito pouco tempo restante aqui na terra: “Quanto a mim, a hora já chegou de eu ser sacrificado, e já é tempo de deixar esta vida” (</w:t>
      </w:r>
      <w:hyperlink r:id="rId6076">
        <w:r>
          <w:rPr>
            <w:color w:val="0000EE"/>
            <w:u w:val="single"/>
          </w:rPr>
          <w:t>4.6</w:t>
        </w:r>
      </w:hyperlink>
      <w:r>
        <w:t>, NTLH). Ele podia olhar para trás com satisfação sobre uma vida de verdadeira fé e serviço. Assim, ele podia olhar para frente com toda confiança para sua coroa de vitória na eternidade. Esse tipo de fé permitiu que Paulo enfrentasse sua morte corajosamente, e fará o mesmo para todos os cristãos crentes para quem a Segunda Vinda é uma esperança abençoada.</w:t>
      </w:r>
    </w:p>
    <w:p>
      <w:r/>
      <w:r>
        <w:t xml:space="preserve">Paulo pediu a Timóteo que viesse e ficasse com ele em Roma. Lucas era o único de seus amigos que ainda estava com ele. Paulo contou a Timóteo sobre outros amigos que estiveram com ele, mas que haviam partido. Um deles, Demas, mostrou-se um fracasso. Crescente, Tito e Tíquico haviam partido para outros lugares. Paulo pediu a Timóteo que trouxesse seu casaco, que ele havia deixado em Trôade com Carpo, e também seus livros, especialmente aqueles escritos em pergaminho (provavelmente algumas cópias das Escrituras, tanto do Antigo Testamento quanto do Novo). Paulo alertou Timóteo contra o homem mau, Alexandre, o ferreiro (veja </w:t>
      </w:r>
      <w:hyperlink r:id="rId741">
        <w:r>
          <w:rPr>
            <w:color w:val="0000EE"/>
            <w:u w:val="single"/>
          </w:rPr>
          <w:t>1 Timóteo 1.20</w:t>
        </w:r>
      </w:hyperlink>
      <w:r>
        <w:t>).</w:t>
      </w:r>
    </w:p>
    <w:p>
      <w:r/>
      <w:r>
        <w:t>No primeiro julgamento de Paulo, todos os seus amigos o abandonaram. Mas Deus esteve com ele e o salvou. Paulo teve até a oportunidade de proclamar o evangelho para que todo o mundo ouvisse.</w:t>
      </w:r>
    </w:p>
    <w:p>
      <w:pPr>
        <w:pStyle w:val="Heading4"/>
      </w:pPr>
      <w:r>
        <w:t>Saudações finais (</w:t>
      </w:r>
      <w:hyperlink r:id="rId20230">
        <w:r>
          <w:rPr>
            <w:color w:val="0000EE"/>
            <w:u w:val="single"/>
          </w:rPr>
          <w:t>4.19–22</w:t>
        </w:r>
      </w:hyperlink>
      <w:r>
        <w:t>)</w:t>
      </w:r>
    </w:p>
    <w:p>
      <w:r/>
      <w:r>
        <w:t>Paulo enviou saudações a vários de seus amigos em Éfeso. Ele também enviou saudações a Timóteo de alguns dos cristãos romanos que ele evidentemente conhecia. Ele pediu para que Timóteo tentasse ir até ele antes do inverno, quando viajar seria difícil ou até impossível. Em seguida, concluiu com uma breve bênção: “O Senhor esteja com o teu espírito”.</w:t>
      </w:r>
    </w:p>
    <w:p>
      <w:r/>
      <w:r>
        <w:rPr>
          <w:i/>
        </w:rPr>
        <w:t>Veja também</w:t>
      </w:r>
      <w:r>
        <w:t xml:space="preserve"> </w:t>
      </w:r>
      <w:r>
        <w:t>Paulo, o Apóstolo</w:t>
      </w:r>
      <w:r>
        <w:t xml:space="preserve">; </w:t>
      </w:r>
      <w:r>
        <w:t>TIMÓTEO, Primeira Carta a</w:t>
      </w:r>
      <w:r>
        <w:t xml:space="preserve">; </w:t>
      </w:r>
      <w:r>
        <w:t>TITO, Carta a</w:t>
      </w:r>
      <w:r>
        <w:t>.</w:t>
      </w:r>
      <w:r/>
      <w:r/>
    </w:p>
    <w:p>
      <w:r/>
    </w:p>
    <w:p>
      <w:pPr>
        <w:pStyle w:val="Heading2"/>
      </w:pPr>
      <w:r>
        <w:t>Tinha</w:t>
      </w:r>
      <w:r/>
    </w:p>
    <w:p>
      <w:r/>
      <w:r>
        <w:t xml:space="preserve">Tinha é um termo usado em algumas versões da Bíblia para um certo tipo de condição de pele. Refere-se a uma erupção cutânea escamosa ou crostosa mencionada em </w:t>
      </w:r>
      <w:hyperlink r:id="rId20231">
        <w:r>
          <w:rPr>
            <w:color w:val="0000EE"/>
            <w:u w:val="single"/>
          </w:rPr>
          <w:t>Levítico 13.30–37</w:t>
        </w:r>
      </w:hyperlink>
      <w:r>
        <w:t xml:space="preserve"> e </w:t>
      </w:r>
      <w:hyperlink r:id="rId20232">
        <w:r>
          <w:rPr>
            <w:color w:val="0000EE"/>
            <w:u w:val="single"/>
          </w:rPr>
          <w:t>14.54</w:t>
        </w:r>
      </w:hyperlink>
      <w:r>
        <w:t>. Algumas versões trazem "sarna" ou "micose", ainda outras, "lepra da cabeça ou barba".</w:t>
      </w:r>
    </w:p>
    <w:p>
      <w:r/>
      <w:r>
        <w:rPr>
          <w:i/>
        </w:rPr>
        <w:t>Observe</w:t>
      </w:r>
      <w:r>
        <w:t xml:space="preserve"> </w:t>
      </w:r>
      <w:r>
        <w:t>a Dor</w:t>
      </w:r>
      <w:r>
        <w:t>.</w:t>
      </w:r>
      <w:r/>
      <w:r/>
    </w:p>
    <w:p>
      <w:r/>
    </w:p>
    <w:p>
      <w:pPr>
        <w:pStyle w:val="Heading2"/>
      </w:pPr>
      <w:r>
        <w:t>Tipo</w:t>
      </w:r>
      <w:r/>
    </w:p>
    <w:p>
      <w:r/>
      <w:r>
        <w:t xml:space="preserve">A palavra em português “tipo” é derivada do grego </w:t>
      </w:r>
      <w:r>
        <w:rPr>
          <w:i/>
        </w:rPr>
        <w:t>tupos</w:t>
      </w:r>
      <w:r>
        <w:t xml:space="preserve">, que tem o significado básico de “uma impressão ou marca visível feita por um golpe, ou por pressão”. No Novo Testamento grego, a palavra ocorre 16 vezes, com vários significados. Um tipo é formado como uma cópia, impressão ou uma forma de molde. Em </w:t>
      </w:r>
      <w:hyperlink r:id="rId6906">
        <w:r>
          <w:rPr>
            <w:color w:val="0000EE"/>
            <w:u w:val="single"/>
          </w:rPr>
          <w:t>Atos 7.43</w:t>
        </w:r>
      </w:hyperlink>
      <w:r>
        <w:t xml:space="preserve">, é aplicado a “figuras” de ídolos ou falsos deuses. Um tipo pode ser um padrão de acordo com o qual algo é feito (por exemplo, o tabernáculo, </w:t>
      </w:r>
      <w:hyperlink r:id="rId20233">
        <w:r>
          <w:rPr>
            <w:color w:val="0000EE"/>
            <w:u w:val="single"/>
          </w:rPr>
          <w:t>Atos 7.44</w:t>
        </w:r>
      </w:hyperlink>
      <w:r>
        <w:t xml:space="preserve">; </w:t>
      </w:r>
      <w:hyperlink r:id="rId20234">
        <w:r>
          <w:rPr>
            <w:color w:val="0000EE"/>
            <w:u w:val="single"/>
          </w:rPr>
          <w:t>Hb 8.5</w:t>
        </w:r>
      </w:hyperlink>
      <w:r>
        <w:t>). É um exemplo ou modelo, seja de mal a ser evitado (</w:t>
      </w:r>
      <w:hyperlink r:id="rId20235">
        <w:r>
          <w:rPr>
            <w:color w:val="0000EE"/>
            <w:u w:val="single"/>
          </w:rPr>
          <w:t>1Co 10.6–11</w:t>
        </w:r>
      </w:hyperlink>
      <w:r>
        <w:t>) ou de bem a ser imitado (</w:t>
      </w:r>
      <w:hyperlink r:id="rId9509">
        <w:r>
          <w:rPr>
            <w:color w:val="0000EE"/>
            <w:u w:val="single"/>
          </w:rPr>
          <w:t>Fp 3.17</w:t>
        </w:r>
      </w:hyperlink>
      <w:r>
        <w:t xml:space="preserve">; </w:t>
      </w:r>
      <w:hyperlink r:id="rId20236">
        <w:r>
          <w:rPr>
            <w:color w:val="0000EE"/>
            <w:u w:val="single"/>
          </w:rPr>
          <w:t>2Ts 3.9</w:t>
        </w:r>
      </w:hyperlink>
      <w:r>
        <w:t xml:space="preserve">; </w:t>
      </w:r>
      <w:hyperlink r:id="rId6070">
        <w:r>
          <w:rPr>
            <w:color w:val="0000EE"/>
            <w:u w:val="single"/>
          </w:rPr>
          <w:t>1Tm 4.12</w:t>
        </w:r>
      </w:hyperlink>
      <w:r>
        <w:t xml:space="preserve">; </w:t>
      </w:r>
      <w:hyperlink r:id="rId20237">
        <w:r>
          <w:rPr>
            <w:color w:val="0000EE"/>
            <w:u w:val="single"/>
          </w:rPr>
          <w:t>Tt 2.7</w:t>
        </w:r>
      </w:hyperlink>
      <w:r>
        <w:t xml:space="preserve">; </w:t>
      </w:r>
      <w:hyperlink r:id="rId16789">
        <w:r>
          <w:rPr>
            <w:color w:val="0000EE"/>
            <w:u w:val="single"/>
          </w:rPr>
          <w:t>1Pe 5.3</w:t>
        </w:r>
      </w:hyperlink>
      <w:r>
        <w:t>). É como uma forma para derramar concreto, que determina tanto o formato quanto o conteúdo do que é feito.</w:t>
      </w:r>
    </w:p>
    <w:p>
      <w:r/>
      <w:r>
        <w:t>Um tipo também é uma entidade encontrada no AT que prefigura uma encontrada no NT. O inicial é chamado de “tipo” e a realização é designada de “antítipo”. Qualquer tipo ou antítipo pode ser uma pessoa, coisa ou evento, mas muitas vezes o tipo é messiânico e frequentemente se refere à salvação.</w:t>
      </w:r>
    </w:p>
    <w:p>
      <w:r/>
      <w:r>
        <w:t>Um tipo pode ser distinguido de um símbolo onde um símbolo é um sinal atemporal. Pode se referir ao passado, presente ou futuro, enquanto um tipo sempre prefigura o que está por vir.</w:t>
      </w:r>
    </w:p>
    <w:p>
      <w:r/>
      <w:r>
        <w:t>Alguns exemplos ajudam a identificar alguns tipos e antítipos bíblicos. A serpente erguida em um poste no deserto para curar os israelitas era um tipo de Jesus sendo levantado em uma cruz para dar salvação ao mundo (</w:t>
      </w:r>
      <w:hyperlink r:id="rId5090">
        <w:r>
          <w:rPr>
            <w:color w:val="0000EE"/>
            <w:u w:val="single"/>
          </w:rPr>
          <w:t>Jo 3.14</w:t>
        </w:r>
      </w:hyperlink>
      <w:r>
        <w:t xml:space="preserve">; cf. </w:t>
      </w:r>
      <w:hyperlink r:id="rId10845">
        <w:r>
          <w:rPr>
            <w:color w:val="0000EE"/>
            <w:u w:val="single"/>
          </w:rPr>
          <w:t>Nm 21.9</w:t>
        </w:r>
      </w:hyperlink>
      <w:r>
        <w:t>). O cordeiro Pascal (</w:t>
      </w:r>
      <w:hyperlink r:id="rId19180">
        <w:r>
          <w:rPr>
            <w:color w:val="0000EE"/>
            <w:u w:val="single"/>
          </w:rPr>
          <w:t>Êx 12.1–13</w:t>
        </w:r>
      </w:hyperlink>
      <w:r>
        <w:t>) é um tipo de Cristo (</w:t>
      </w:r>
      <w:hyperlink r:id="rId4668">
        <w:r>
          <w:rPr>
            <w:color w:val="0000EE"/>
            <w:u w:val="single"/>
          </w:rPr>
          <w:t>1Co 5.7</w:t>
        </w:r>
      </w:hyperlink>
      <w:r>
        <w:t>). A rocha da qual Israel bebeu no deserto (</w:t>
      </w:r>
      <w:hyperlink r:id="rId20238">
        <w:r>
          <w:rPr>
            <w:color w:val="0000EE"/>
            <w:u w:val="single"/>
          </w:rPr>
          <w:t>Êx 17.6</w:t>
        </w:r>
      </w:hyperlink>
      <w:r>
        <w:t>) prefigura Cristo (</w:t>
      </w:r>
      <w:hyperlink r:id="rId4694">
        <w:r>
          <w:rPr>
            <w:color w:val="0000EE"/>
            <w:u w:val="single"/>
          </w:rPr>
          <w:t>1Co 10.3–4</w:t>
        </w:r>
      </w:hyperlink>
      <w:r>
        <w:t xml:space="preserve">). Em </w:t>
      </w:r>
      <w:hyperlink r:id="rId316">
        <w:r>
          <w:rPr>
            <w:color w:val="0000EE"/>
            <w:u w:val="single"/>
          </w:rPr>
          <w:t>Romanos 5.14</w:t>
        </w:r>
      </w:hyperlink>
      <w:r>
        <w:t xml:space="preserve"> Adão é chamado de “um tipo daquele que estava por vir”, isto é, de Cristo.</w:t>
      </w:r>
    </w:p>
    <w:p>
      <w:r/>
      <w:r>
        <w:t>O livro de Hebreus está cheio de exemplos de tipos que representam o Messias. Todos os sacrifícios ordenados pela lei ritual que Deus deu no Sinai tipificam algum aspecto da pessoa e da obra de Jesus. O sangue que era aspergido no altar falava do sangue daquele que foi morto de uma vez por todas (</w:t>
      </w:r>
      <w:hyperlink r:id="rId20239">
        <w:r>
          <w:rPr>
            <w:color w:val="0000EE"/>
            <w:u w:val="single"/>
          </w:rPr>
          <w:t>Hb 9.12–22</w:t>
        </w:r>
      </w:hyperlink>
      <w:r>
        <w:t>).</w:t>
      </w:r>
      <w:r/>
      <w:r/>
    </w:p>
    <w:p>
      <w:r/>
    </w:p>
    <w:p>
      <w:pPr>
        <w:pStyle w:val="Heading2"/>
      </w:pPr>
      <w:r>
        <w:t>Tíquico</w:t>
      </w:r>
      <w:r/>
    </w:p>
    <w:p>
      <w:r/>
      <w:r>
        <w:t>Um dos crentes que acompanhou Paulo em sua viagem para coletar e entregar a oferta para a igreja de Jerusalém (</w:t>
      </w:r>
      <w:hyperlink r:id="rId2497">
        <w:r>
          <w:rPr>
            <w:color w:val="0000EE"/>
            <w:u w:val="single"/>
          </w:rPr>
          <w:t>Atos 20.4</w:t>
        </w:r>
      </w:hyperlink>
      <w:r>
        <w:t>). Uma vez que ele é frequentemente mencionado com Trófimo de Éfeso, Tíquico provavelmente também era um nativo daquela cidade. Ele serviu como o mensageiro da carta de Paulo à igreja de Éfeso (</w:t>
      </w:r>
      <w:hyperlink r:id="rId20240">
        <w:r>
          <w:rPr>
            <w:color w:val="0000EE"/>
            <w:u w:val="single"/>
          </w:rPr>
          <w:t>Ef 6.21</w:t>
        </w:r>
      </w:hyperlink>
      <w:r>
        <w:t>), bem como das cartas de Paulo a Filemom e aos colossenses (</w:t>
      </w:r>
      <w:hyperlink r:id="rId5331">
        <w:r>
          <w:rPr>
            <w:color w:val="0000EE"/>
            <w:u w:val="single"/>
          </w:rPr>
          <w:t>Cl 4.7</w:t>
        </w:r>
      </w:hyperlink>
      <w:r>
        <w:t>). A maioria também acredita que ele era um dos dois cristãos (com Trófimo) que acompanharam Tito na entrega de 2 Coríntios (</w:t>
      </w:r>
      <w:hyperlink r:id="rId5912">
        <w:r>
          <w:rPr>
            <w:color w:val="0000EE"/>
            <w:u w:val="single"/>
          </w:rPr>
          <w:t>2Co 8.16–24</w:t>
        </w:r>
      </w:hyperlink>
      <w:r>
        <w:t>). Paulo mencionou Tíquico duas vezes em suas cartas posteriores, primeiro enviando-o para Creta para estar com Tito (</w:t>
      </w:r>
      <w:hyperlink r:id="rId2611">
        <w:r>
          <w:rPr>
            <w:color w:val="0000EE"/>
            <w:u w:val="single"/>
          </w:rPr>
          <w:t>Tt 3.12</w:t>
        </w:r>
      </w:hyperlink>
      <w:r>
        <w:t>), e mais tarde mencionando a Timóteo que ele havia enviado Tíquico para Éfeso (</w:t>
      </w:r>
      <w:hyperlink r:id="rId20241">
        <w:r>
          <w:rPr>
            <w:color w:val="0000EE"/>
            <w:u w:val="single"/>
          </w:rPr>
          <w:t>2Tm 4.12</w:t>
        </w:r>
      </w:hyperlink>
      <w:r>
        <w:t>). Evidentemente, Tíquico e Paulo eram amigos próximos, além de colegas de trabalho, considerando que Paulo frequentemente se referia a Tíquico como um “irmão amado”.</w:t>
      </w:r>
      <w:r/>
      <w:r/>
    </w:p>
    <w:p>
      <w:r/>
    </w:p>
    <w:p>
      <w:pPr>
        <w:pStyle w:val="Heading2"/>
      </w:pPr>
      <w:r>
        <w:t>Tirano, Salão de</w:t>
      </w:r>
      <w:r/>
    </w:p>
    <w:p>
      <w:r/>
      <w:r>
        <w:t>Local em Éfeso onde Paulo ensinou diariamente por dois anos (</w:t>
      </w:r>
      <w:hyperlink r:id="rId16495">
        <w:r>
          <w:rPr>
            <w:color w:val="0000EE"/>
            <w:u w:val="single"/>
          </w:rPr>
          <w:t>At 19.9</w:t>
        </w:r>
      </w:hyperlink>
      <w:r>
        <w:t>). O ministério de Paulo em Éfeso começou na sinagoga, onde ele pregou por três meses. Diante da crescente oposição, Paulo alugou o Salão de Tirano (“escola de um homem chamado Tirano”, NTLH), onde iniciou um ministério tanto para judeus quanto para gregos (v.</w:t>
      </w:r>
      <w:hyperlink r:id="rId2746">
        <w:r>
          <w:rPr>
            <w:color w:val="0000EE"/>
            <w:u w:val="single"/>
          </w:rPr>
          <w:t>10</w:t>
        </w:r>
      </w:hyperlink>
      <w:r>
        <w:t>).</w:t>
      </w:r>
    </w:p>
    <w:p>
      <w:r/>
      <w:r>
        <w:t>Em grego, o termo "salão" significa literalmente "lazer" ou "descanso". Com o tempo, tornou-se associado ao tipo de atividade realizada durante os momentos de lazer, como palestras, debates e discussões. Finalmente, o termo passou a significar o lugar onde essas atividades de lazer ocorriam.</w:t>
      </w:r>
    </w:p>
    <w:p>
      <w:r/>
      <w:r>
        <w:t>Praticamente nada se sabe sobre o próprio Tirano. Alguns estudiosos sugerem que ele era um retórico grego, simpático à pregação de Paulo. Essa sugestão é plausível por uma adição no texto ocidental que afirma que Paulo ensinava no salão “da quinta hora até a décima”, ou seja, das 11h às 16h. Isso significaria que Paulo usava o salão apenas durante os períodos de descanso da tarde, pois em todas as cidades jônicas, o trabalho cessava às 11h e não era retomado até o final da tarde devido ao calor intenso. Possivelmente, esses períodos de descanso tornavam o salão disponível para o uso de Paulo, e o próprio Tirano dava palestras lá antes e depois desses horários.</w:t>
      </w:r>
      <w:r/>
      <w:r/>
    </w:p>
    <w:p>
      <w:r/>
    </w:p>
    <w:p>
      <w:pPr>
        <w:pStyle w:val="Heading2"/>
      </w:pPr>
      <w:r>
        <w:t>Tiras, Tirás</w:t>
      </w:r>
      <w:r/>
    </w:p>
    <w:p>
      <w:r/>
      <w:r>
        <w:t>Sétimo filho de Jafé listado na "tabela das nações" (</w:t>
      </w:r>
      <w:hyperlink r:id="rId10073">
        <w:r>
          <w:rPr>
            <w:color w:val="0000EE"/>
            <w:u w:val="single"/>
          </w:rPr>
          <w:t>Gn 10.2</w:t>
        </w:r>
      </w:hyperlink>
      <w:r>
        <w:t xml:space="preserve">; </w:t>
      </w:r>
      <w:hyperlink r:id="rId10074">
        <w:r>
          <w:rPr>
            <w:color w:val="0000EE"/>
            <w:u w:val="single"/>
          </w:rPr>
          <w:t>1Cr 1.5</w:t>
        </w:r>
      </w:hyperlink>
      <w:r>
        <w:t>). Seus descendentes foram alternadamente associados aos Trácios, aos Agatirsos, às tribos da região montanhosa do Taurus e aos marítimos Tirrenos, mas todas essas identificações são puramente especulativas.</w:t>
      </w:r>
      <w:r/>
      <w:r/>
    </w:p>
    <w:p>
      <w:r/>
    </w:p>
    <w:p>
      <w:pPr>
        <w:pStyle w:val="Heading2"/>
      </w:pPr>
      <w:r>
        <w:t>Tiro</w:t>
      </w:r>
      <w:r/>
    </w:p>
    <w:p>
      <w:r/>
      <w:r>
        <w:t>A antiga cidade-estado fenícia localizada na costa do Mediterrâneo, a 32,2 quilômetros ao sul de Sidom e a 37 quilômetros ao norte de Acre. Tiro consistia em duas partes principais: uma cidade portuária mais antiga no continente e uma cidade insular a cerca de 0,8 quilômetros da costa onde a maior parte da população vivia. De acordo com Heródoto, Tiro foi fundada por volta de 2700 a.C. Suas primeiras atestações históricas, no entanto, são referências em um documento ugarítico do décimo quinto século e uma citação egípcia do mesmo período. Tiro aparece pela primeira vez na Bíblia na lista de cidades que faziam parte da herança de Aser (</w:t>
      </w:r>
      <w:hyperlink r:id="rId287">
        <w:r>
          <w:rPr>
            <w:color w:val="0000EE"/>
            <w:u w:val="single"/>
          </w:rPr>
          <w:t>Js 19.29</w:t>
        </w:r>
      </w:hyperlink>
      <w:r>
        <w:t>). Naquela época, foi descrita como uma “cidade forte” e evidentemente nunca foi conquistada pelos israelitas (</w:t>
      </w:r>
      <w:hyperlink r:id="rId10635">
        <w:r>
          <w:rPr>
            <w:color w:val="0000EE"/>
            <w:u w:val="single"/>
          </w:rPr>
          <w:t>2Sm 24.7</w:t>
        </w:r>
      </w:hyperlink>
      <w:r>
        <w:t>). Tiro era mais significativa como um centro mercantil, com contatos marítimos por toda a região do Mediterrâneo e tráfego terrestre com a Mesopotâmia e a Arábia.</w:t>
      </w:r>
    </w:p>
    <w:p>
      <w:r/>
      <w:r>
        <w:t>Durante as monarquias de Davi e Salomão, Tiro era uma forte aliada mercantil de Israel. Tanto Davi quanto Salomão contrataram Hirão de Tiro para obter madeira, materiais de construção e trabalhadores qualificados, em troca dos quais forneceram a Tiro produtos agrícolas (</w:t>
      </w:r>
      <w:hyperlink r:id="rId3067">
        <w:r>
          <w:rPr>
            <w:color w:val="0000EE"/>
            <w:u w:val="single"/>
          </w:rPr>
          <w:t>2Sm 5.11</w:t>
        </w:r>
      </w:hyperlink>
      <w:r>
        <w:t xml:space="preserve">; </w:t>
      </w:r>
      <w:hyperlink r:id="rId10668">
        <w:r>
          <w:rPr>
            <w:color w:val="0000EE"/>
            <w:u w:val="single"/>
          </w:rPr>
          <w:t>1Rs 5.1–11</w:t>
        </w:r>
      </w:hyperlink>
      <w:r>
        <w:t xml:space="preserve">; </w:t>
      </w:r>
      <w:hyperlink r:id="rId4327">
        <w:r>
          <w:rPr>
            <w:color w:val="0000EE"/>
            <w:u w:val="single"/>
          </w:rPr>
          <w:t>1Cr 14.1</w:t>
        </w:r>
      </w:hyperlink>
      <w:r>
        <w:t xml:space="preserve">; </w:t>
      </w:r>
      <w:hyperlink r:id="rId20242">
        <w:r>
          <w:rPr>
            <w:color w:val="0000EE"/>
            <w:u w:val="single"/>
          </w:rPr>
          <w:t>2Cr 2.3–16</w:t>
        </w:r>
      </w:hyperlink>
      <w:r>
        <w:t>). Após a divisão do reino, Tiro evidentemente manteve relações amigáveis com Israel por um tempo. A esposa de Acabe, Jezabel, era a filha de “Etbaal, rei dos sidônios”, um rei conhecido em outro lugar como Itobal de Tiro (</w:t>
      </w:r>
      <w:hyperlink r:id="rId4569">
        <w:r>
          <w:rPr>
            <w:color w:val="0000EE"/>
            <w:u w:val="single"/>
          </w:rPr>
          <w:t>1Rs 16.31</w:t>
        </w:r>
      </w:hyperlink>
      <w:r>
        <w:t>; cf. Menandro). Em algum momento, no entanto, a pressão da agressão assíria e babilônica dissolveu a aliança, de modo que, na época da queda de Samaria, Tiro e Israel não estavam mais alinhados e, pouco depois, se tornaram inimigos.</w:t>
      </w:r>
    </w:p>
    <w:p>
      <w:r/>
      <w:r>
        <w:t>Durante o período posterior do reino, Tiro foi o foco de algumas das mais fortes denúncias proféticas registradas nas Escrituras (</w:t>
      </w:r>
      <w:hyperlink r:id="rId9171">
        <w:r>
          <w:rPr>
            <w:color w:val="0000EE"/>
            <w:u w:val="single"/>
          </w:rPr>
          <w:t>Is 23.1–18</w:t>
        </w:r>
      </w:hyperlink>
      <w:r>
        <w:t xml:space="preserve">; </w:t>
      </w:r>
      <w:hyperlink r:id="rId19565">
        <w:r>
          <w:rPr>
            <w:color w:val="0000EE"/>
            <w:u w:val="single"/>
          </w:rPr>
          <w:t>Jr 25.22</w:t>
        </w:r>
      </w:hyperlink>
      <w:r>
        <w:t xml:space="preserve">; </w:t>
      </w:r>
      <w:hyperlink r:id="rId20243">
        <w:r>
          <w:rPr>
            <w:color w:val="0000EE"/>
            <w:u w:val="single"/>
          </w:rPr>
          <w:t>27.1–11</w:t>
        </w:r>
      </w:hyperlink>
      <w:r>
        <w:t xml:space="preserve">; </w:t>
      </w:r>
      <w:hyperlink r:id="rId20244">
        <w:r>
          <w:rPr>
            <w:color w:val="0000EE"/>
            <w:u w:val="single"/>
          </w:rPr>
          <w:t>Ez 26.1–19</w:t>
        </w:r>
      </w:hyperlink>
      <w:r>
        <w:t xml:space="preserve">; </w:t>
      </w:r>
      <w:hyperlink r:id="rId8157">
        <w:r>
          <w:rPr>
            <w:color w:val="0000EE"/>
            <w:u w:val="single"/>
          </w:rPr>
          <w:t>Jl 3.4–8</w:t>
        </w:r>
      </w:hyperlink>
      <w:r>
        <w:t xml:space="preserve">; </w:t>
      </w:r>
      <w:hyperlink r:id="rId20245">
        <w:r>
          <w:rPr>
            <w:color w:val="0000EE"/>
            <w:u w:val="single"/>
          </w:rPr>
          <w:t>Am 1.9–10</w:t>
        </w:r>
      </w:hyperlink>
      <w:r>
        <w:t>). A condenação de Tiro foi justificada por várias razões. Devido à sua importância comercial, Tiro foi o ponto central das rivalidades assíria e egípcia. No entanto, Tiro conseguiu manipular essas rivalidades a seu favor enquanto acumulava riqueza e explorava seus vizinhos. Além disso, a cidade de Tiro não era apenas uma cidade de mercadores sem escrúpulos, mas também um centro de idolatria religiosa e imoralidade sexual. Acima de tudo entre os pecados de Tiro estava o orgulho induzido por sua grande riqueza e localização estratégica. A profecia de Ezequiel contra Tiro oferece uma imagem detalhada da cidade, seu império de comércio, seu pecado e sua eventual destruição (</w:t>
      </w:r>
      <w:hyperlink r:id="rId20246">
        <w:r>
          <w:rPr>
            <w:color w:val="0000EE"/>
            <w:u w:val="single"/>
          </w:rPr>
          <w:t>Ez 26.1–28</w:t>
        </w:r>
      </w:hyperlink>
      <w:r>
        <w:t xml:space="preserve">; </w:t>
      </w:r>
      <w:hyperlink r:id="rId18851">
        <w:r>
          <w:rPr>
            <w:color w:val="0000EE"/>
            <w:u w:val="single"/>
          </w:rPr>
          <w:t>29.18–20</w:t>
        </w:r>
      </w:hyperlink>
      <w:r>
        <w:t>). A destruição final de Tiro não ocorreu até quase 1.900 anos depois (1291 d.C.), embora tenha sido sitiada por Nabucodonosor por 13 anos (587–574 a.C.) e conquistada por Alexandre, o Grande, em 332 a.C., após um cerco de sete meses, durante o qual ele construiu um caminho até a ilha. A descrição de Ezequiel da arrogância de Tiro pode ser comparada com a de Satanás, com as palavras de Tiro “Eu sou Deus, eu me sento no lugar de Deus” (KJV) sendo a expressão que levou à queda de Satanás e Tiro (</w:t>
      </w:r>
      <w:hyperlink r:id="rId20247">
        <w:r>
          <w:rPr>
            <w:color w:val="0000EE"/>
            <w:u w:val="single"/>
          </w:rPr>
          <w:t>Ez 28.2</w:t>
        </w:r>
      </w:hyperlink>
      <w:r>
        <w:t>).</w:t>
      </w:r>
    </w:p>
    <w:p>
      <w:r/>
      <w:r>
        <w:t>Apesar da destruição da cidade de Alexandre, Tiro havia recuperado proeminência no período do NT, sendo igual ou maior do que Jerusalém em termos de população e poder comercial. Jesus visitou a região que rodeava Tiro durante seu ministério inicial, curando a filha da mulher siro-fenícia (</w:t>
      </w:r>
      <w:hyperlink r:id="rId11752">
        <w:r>
          <w:rPr>
            <w:color w:val="0000EE"/>
            <w:u w:val="single"/>
          </w:rPr>
          <w:t>Mt 15.21–28</w:t>
        </w:r>
      </w:hyperlink>
      <w:r>
        <w:t xml:space="preserve">; </w:t>
      </w:r>
      <w:hyperlink r:id="rId20248">
        <w:r>
          <w:rPr>
            <w:color w:val="0000EE"/>
            <w:u w:val="single"/>
          </w:rPr>
          <w:t>Mc 7.24–31</w:t>
        </w:r>
      </w:hyperlink>
      <w:r>
        <w:t>). Jesus também comparou as cidades galileias que o haviam rejeitado a Tiro e Sidom, indicando que os galileus teriam maior responsabilidade por sua rejeição por causa do número de milagres que ele havia realizado entre eles (</w:t>
      </w:r>
      <w:hyperlink r:id="rId12970">
        <w:r>
          <w:rPr>
            <w:color w:val="0000EE"/>
            <w:u w:val="single"/>
          </w:rPr>
          <w:t>Lc 10.13–14</w:t>
        </w:r>
      </w:hyperlink>
      <w:r>
        <w:t>).</w:t>
      </w:r>
      <w:r/>
      <w:r/>
    </w:p>
    <w:p>
      <w:r/>
    </w:p>
    <w:p>
      <w:pPr>
        <w:pStyle w:val="Heading2"/>
      </w:pPr>
      <w:r>
        <w:t>Tirza (pessoa)</w:t>
      </w:r>
      <w:r/>
    </w:p>
    <w:p>
      <w:r/>
      <w:r>
        <w:t>Tirza era uma das filhas de Zelofeade da tribo de Manassés (</w:t>
      </w:r>
      <w:hyperlink r:id="rId10684">
        <w:r>
          <w:rPr>
            <w:color w:val="0000EE"/>
            <w:u w:val="single"/>
          </w:rPr>
          <w:t>Nm 26.33</w:t>
        </w:r>
      </w:hyperlink>
      <w:r>
        <w:t>). Como seu pai não tinha filhos, ela e suas irmãs pediram e receberam a herança de seu pai (</w:t>
      </w:r>
      <w:hyperlink r:id="rId9968">
        <w:r>
          <w:rPr>
            <w:color w:val="0000EE"/>
            <w:u w:val="single"/>
          </w:rPr>
          <w:t>Nm 27.1</w:t>
        </w:r>
      </w:hyperlink>
      <w:r>
        <w:t xml:space="preserve">; </w:t>
      </w:r>
      <w:hyperlink r:id="rId10685">
        <w:r>
          <w:rPr>
            <w:color w:val="0000EE"/>
            <w:u w:val="single"/>
          </w:rPr>
          <w:t>Js 17.3</w:t>
        </w:r>
      </w:hyperlink>
      <w:r>
        <w:t>). Esta situação levou à criação de uma nova lei sobre direitos de herança. A lei estipulava que as filhas que recebessem a herança de suas famílias deveriam se casar com alguém de sua própria tribo (</w:t>
      </w:r>
      <w:hyperlink r:id="rId13549">
        <w:r>
          <w:rPr>
            <w:color w:val="0000EE"/>
            <w:u w:val="single"/>
          </w:rPr>
          <w:t>Nm 36.11</w:t>
        </w:r>
      </w:hyperlink>
      <w:r>
        <w:t>).</w:t>
      </w:r>
      <w:r/>
      <w:r/>
    </w:p>
    <w:p>
      <w:r/>
    </w:p>
    <w:p>
      <w:pPr>
        <w:pStyle w:val="Heading2"/>
      </w:pPr>
      <w:r>
        <w:t>Tito (Pessoa)</w:t>
      </w:r>
      <w:r/>
    </w:p>
    <w:p>
      <w:r/>
      <w:r>
        <w:t>1. Um dos convertidos de Paulo — “meu verdadeiro filho na fé, esta fé que é sua e minha” (</w:t>
      </w:r>
      <w:hyperlink r:id="rId20249">
        <w:r>
          <w:rPr>
            <w:color w:val="0000EE"/>
            <w:u w:val="single"/>
          </w:rPr>
          <w:t>Ti 1.4</w:t>
        </w:r>
      </w:hyperlink>
      <w:r>
        <w:t>) — que se tornou um companheiro íntimo e confiável do apóstolo em sua missão de plantar o cristianismo em todo o mundo mediterrâneo (</w:t>
      </w:r>
      <w:hyperlink r:id="rId2268">
        <w:r>
          <w:rPr>
            <w:color w:val="0000EE"/>
            <w:u w:val="single"/>
          </w:rPr>
          <w:t>2Co 8.23</w:t>
        </w:r>
      </w:hyperlink>
      <w:r>
        <w:t xml:space="preserve">; </w:t>
      </w:r>
      <w:hyperlink r:id="rId9714">
        <w:r>
          <w:rPr>
            <w:color w:val="0000EE"/>
            <w:u w:val="single"/>
          </w:rPr>
          <w:t>2Tm 4.10</w:t>
        </w:r>
      </w:hyperlink>
      <w:r>
        <w:t xml:space="preserve">; </w:t>
      </w:r>
      <w:hyperlink r:id="rId20250">
        <w:r>
          <w:rPr>
            <w:color w:val="0000EE"/>
            <w:u w:val="single"/>
          </w:rPr>
          <w:t>Tt 1.4–5</w:t>
        </w:r>
      </w:hyperlink>
      <w:r>
        <w:t>). Mencionado com frequência nas cartas de Paulo (oito vezes em 2 Coríntios, duas vezes em Gálatas, uma vez em 2 Timóteo e em Tito), seu nome não ocorre em lugar algum em Atos. Este é um silêncio intrigante que alguns estudiosos tentaram explicar com a fascinante, porém incerta, sugestão de que ele era um irmão de Lucas, o autor de Atos.</w:t>
      </w:r>
    </w:p>
    <w:p>
      <w:r/>
      <w:r>
        <w:t>Ao contrário de Timóteo, que era metade judeu, Tito nasceu de pais gentios. Nada é registrado a respeito das circunstâncias que cercaram sua conversão e encontro inicial com Paulo. Ele é introduzido pela primeira vez como um companheiro de Paulo e Barnabé em uma visita a Jerusalém (</w:t>
      </w:r>
      <w:hyperlink r:id="rId4977">
        <w:r>
          <w:rPr>
            <w:color w:val="0000EE"/>
            <w:u w:val="single"/>
          </w:rPr>
          <w:t>Gl 2.3</w:t>
        </w:r>
      </w:hyperlink>
      <w:r>
        <w:t>). A ocasião parece ter sido o Concílio de Jerusalém, cerca do ano 50 d.C, no qual Paulo e Barnabé participaram como delegados oficiais da igreja em Antioquia, não muito tempo após a primeira viagem missionária do apóstolo (</w:t>
      </w:r>
      <w:hyperlink r:id="rId1997">
        <w:r>
          <w:rPr>
            <w:color w:val="0000EE"/>
            <w:u w:val="single"/>
          </w:rPr>
          <w:t>Atos 15</w:t>
        </w:r>
      </w:hyperlink>
      <w:r>
        <w:t>).</w:t>
      </w:r>
    </w:p>
    <w:p>
      <w:r/>
      <w:r>
        <w:t>Com a questão altamente contestada da circuncisão compulsória dos gentios convertidos ao cristianismo antes do concílio, Paulo decidiu fazer um caso de teste com Tito. O concílio decidiu a favor de Paulo e contra o partido judaizante, e Tito foi aceito pelos outros apóstolos e líderes da igreja de Jerusalém sem se submeter ao rito da circuncisão. Assim, Tito se tornou uma figura chave na libertação da igreja primitiva da influência do partido judaizante.</w:t>
      </w:r>
    </w:p>
    <w:p>
      <w:r/>
      <w:r>
        <w:t>Tito provavelmente acompanhou Paul daquele momento em diante, mas ele não aparece novamente até a crise de Paulo com a igreja em Corinto durante sua terceira viagem missionária. De acordo com 2 Coríntios, enquanto Paulo estava conduzindo um ministério estendido em Éfeso, ele recebeu a notícia de que a igreja de Coríntio havia se tornado hostil contra ele e renunciou sua autoridade apostólica. Tendo outras tentativas de reconciliação fracassado, Paulo decidiu enviar Tito a Corinto para tentar reparar a brecha. Quando Tito se reencontrou com Paulo em algum lugar na Macedônia, para onde o apóstolo havia viajado de Éfeso a fim de encontrá-lo, Tito trouxe as boas notícias de que a atitude dos coríntios havia mudado e seu antigo amor e amizade foram agora restaurados (</w:t>
      </w:r>
      <w:hyperlink r:id="rId20251">
        <w:r>
          <w:rPr>
            <w:color w:val="0000EE"/>
            <w:u w:val="single"/>
          </w:rPr>
          <w:t>2Cor 7.6–7</w:t>
        </w:r>
      </w:hyperlink>
      <w:r>
        <w:t>). novas Tendo em vista este desenvolvimento, Paulo enviou Tito de volta para Corinto, carregando 2 Coríntios, que incluía instruções para completar a oferta de ajuda aos cristãos judeus da Judeia (</w:t>
      </w:r>
      <w:hyperlink r:id="rId20252">
        <w:r>
          <w:rPr>
            <w:color w:val="0000EE"/>
            <w:u w:val="single"/>
          </w:rPr>
          <w:t>8.6,16</w:t>
        </w:r>
      </w:hyperlink>
      <w:r>
        <w:t>). Tito também foi aparentemente bem-sucedido neste empreendimento (</w:t>
      </w:r>
      <w:hyperlink r:id="rId16507">
        <w:r>
          <w:rPr>
            <w:color w:val="0000EE"/>
            <w:u w:val="single"/>
          </w:rPr>
          <w:t>Rm 15.25–26</w:t>
        </w:r>
      </w:hyperlink>
      <w:r>
        <w:t>).</w:t>
      </w:r>
    </w:p>
    <w:p>
      <w:r/>
      <w:r>
        <w:t>Assumindo que Paulo foi liberto após sua primeira prisão romana, parece que Tito o acompanhou em uma missão na ilha de Creta. Ao partir de Creta, Paulo deixou Tito para trás para consolidar o novo movimento cristão lá (</w:t>
      </w:r>
      <w:hyperlink r:id="rId1407">
        <w:r>
          <w:rPr>
            <w:color w:val="0000EE"/>
            <w:u w:val="single"/>
          </w:rPr>
          <w:t>Tt 1.5</w:t>
        </w:r>
      </w:hyperlink>
      <w:r>
        <w:t xml:space="preserve">). A tarefa era difícil, pois os cretenses eram indisciplinados e a igreja que permanecia já havia sido invadida por falsos mestres (vv. </w:t>
      </w:r>
      <w:hyperlink r:id="rId20253">
        <w:r>
          <w:rPr>
            <w:color w:val="0000EE"/>
            <w:u w:val="single"/>
          </w:rPr>
          <w:t>10–16</w:t>
        </w:r>
      </w:hyperlink>
      <w:r>
        <w:t>). Sua forma de lidar com o problema em Corinto alguns anos antes, no entanto, demonstrou que Tito possuía a seriedade espiritual, a diplomacia hábil e o zelo amoroso necessários para enfrentar o presente desafio, e Paulo estava confiante de que esta nova comissão estava, portanto, segura em suas mãos.</w:t>
      </w:r>
    </w:p>
    <w:p>
      <w:r/>
      <w:r>
        <w:t>A carta de Pula a Tito, uma de suas três Cartas Pastorais, foi escrita um pouco mais tarde para encorajar Tito em seu ministério cretense. A carta se encerra com o pedido do apóstolo para que Tito se junte a ele em Nicópolis, uma cidade na costa oeste da Grécia, onde ele planejava passar o inverno (</w:t>
      </w:r>
      <w:hyperlink r:id="rId2611">
        <w:r>
          <w:rPr>
            <w:color w:val="0000EE"/>
            <w:u w:val="single"/>
          </w:rPr>
          <w:t>Tt 3.12</w:t>
        </w:r>
      </w:hyperlink>
      <w:r>
        <w:t xml:space="preserve">). Muito provavelmente foi de Nicópolis, ou mais tarde de Roma (onde o apóstolo foi novamente preso e eventualmente martirizado), que Paulo enviou Tito na missão para a Dalmácia, uma província romana onde hoje é a Croácia (veja </w:t>
      </w:r>
      <w:hyperlink r:id="rId9714">
        <w:r>
          <w:rPr>
            <w:color w:val="0000EE"/>
            <w:u w:val="single"/>
          </w:rPr>
          <w:t>2Tm 4.10</w:t>
        </w:r>
      </w:hyperlink>
      <w:r>
        <w:t>). Se a tradição posterior estiver correta, Tito voltou para Creta, onde ele serviu como bispo até envelhecer.</w:t>
      </w:r>
    </w:p>
    <w:p>
      <w:r/>
      <w:r>
        <w:rPr>
          <w:i/>
        </w:rPr>
        <w:t>Veja também</w:t>
      </w:r>
      <w:r>
        <w:t xml:space="preserve"> </w:t>
      </w:r>
      <w:r>
        <w:t>Tito, Carta para</w:t>
      </w:r>
      <w:r>
        <w:t>.</w:t>
      </w:r>
    </w:p>
    <w:p>
      <w:r/>
      <w:r>
        <w:t xml:space="preserve">2. Ortografia variante de um prosélito gentio em Corinto, dono da casa para a qual Paulo foi após a comunidade judaica, em geral, ter rejeitado sua mensagem </w:t>
      </w:r>
      <w:hyperlink r:id="rId12643">
        <w:r>
          <w:rPr>
            <w:color w:val="0000EE"/>
            <w:u w:val="single"/>
          </w:rPr>
          <w:t>(Atos 18.</w:t>
        </w:r>
      </w:hyperlink>
      <w:r>
        <w:t xml:space="preserve">7). A melhor evidência manuscrita o chama de Tito Justo. </w:t>
      </w:r>
      <w:r>
        <w:rPr>
          <w:i/>
        </w:rPr>
        <w:t>Veja</w:t>
      </w:r>
      <w:r>
        <w:t xml:space="preserve"> </w:t>
      </w:r>
      <w:r>
        <w:t>Justo #2</w:t>
      </w:r>
      <w:r>
        <w:t>.</w:t>
      </w:r>
    </w:p>
    <w:p>
      <w:r/>
      <w:r>
        <w:t xml:space="preserve">3. O filho de Vespasiano; o imperador de Roma de 79–81 d.C. </w:t>
      </w:r>
      <w:r>
        <w:rPr>
          <w:i/>
        </w:rPr>
        <w:t>Veja</w:t>
      </w:r>
      <w:r>
        <w:t xml:space="preserve"> </w:t>
      </w:r>
      <w:r>
        <w:t>Césares, Os</w:t>
      </w:r>
      <w:r>
        <w:t>.</w:t>
      </w:r>
      <w:r/>
      <w:r/>
    </w:p>
    <w:p>
      <w:r/>
    </w:p>
    <w:p>
      <w:pPr>
        <w:pStyle w:val="Heading2"/>
      </w:pPr>
      <w:r>
        <w:t>Tito, Carta A</w:t>
      </w:r>
      <w:r/>
    </w:p>
    <w:p>
      <w:r/>
      <w:r>
        <w:t>A epístola de Paulo ao seu colega de trabalho, Tito.</w:t>
      </w:r>
    </w:p>
    <w:p>
      <w:r/>
      <w:r>
        <w:t>Resumo</w:t>
      </w:r>
    </w:p>
    <w:p>
      <w:r/>
      <w:r>
        <w:t>• Autor</w:t>
      </w:r>
    </w:p>
    <w:p>
      <w:r/>
      <w:r>
        <w:t>• Destinatário</w:t>
      </w:r>
    </w:p>
    <w:p>
      <w:r/>
      <w:r>
        <w:t>• Data</w:t>
      </w:r>
    </w:p>
    <w:p>
      <w:r/>
      <w:r>
        <w:t>• Propósito e ensino</w:t>
      </w:r>
    </w:p>
    <w:p>
      <w:r/>
      <w:r>
        <w:t>• Conteúdo</w:t>
      </w:r>
    </w:p>
    <w:p>
      <w:pPr>
        <w:pStyle w:val="Heading3"/>
      </w:pPr>
      <w:r>
        <w:t>Autor</w:t>
      </w:r>
    </w:p>
    <w:p>
      <w:r/>
      <w:r>
        <w:t>Embora esta carta comece com o nome e uma saudação de Paulo (</w:t>
      </w:r>
      <w:hyperlink r:id="rId20254">
        <w:r>
          <w:rPr>
            <w:color w:val="0000EE"/>
            <w:u w:val="single"/>
          </w:rPr>
          <w:t>Tt 1.1–3</w:t>
        </w:r>
      </w:hyperlink>
      <w:r>
        <w:t>), a autoria de Paulo foi questionada pelos estudiosos modernos por causa de sua linguagem e estilo, a situação da igreja apresentada e a maneira como coloca o ensino cristão. Mas a autoria foi fortemente defendida por acadêmicos eminentes e estudantes cautelosos que argumentaram que não há razão para supor que esta carta foi escrita por alguém usando o nome de Paulo, depois que o próprio apóstolo já havia morrido. As diferenças nesta epístola e nas outras cartas são explicadas anteriormente na seção sobre “Autor” no artigo “Timóteo, Primeira Carta a”.</w:t>
      </w:r>
    </w:p>
    <w:p>
      <w:pPr>
        <w:pStyle w:val="Heading3"/>
      </w:pPr>
      <w:r>
        <w:t>Destinatário</w:t>
      </w:r>
    </w:p>
    <w:p>
      <w:r/>
      <w:r>
        <w:t>Tito parece ter sido um dos colegas de trabalho mais confiáveis e valiosos de Paulo. Ele fala dele (</w:t>
      </w:r>
      <w:hyperlink r:id="rId2268">
        <w:r>
          <w:rPr>
            <w:color w:val="0000EE"/>
            <w:u w:val="single"/>
          </w:rPr>
          <w:t>2Cor 8.23</w:t>
        </w:r>
      </w:hyperlink>
      <w:r>
        <w:t xml:space="preserve">) como “meu parceiro e colega de trabalho”. De acordo com </w:t>
      </w:r>
      <w:hyperlink r:id="rId20249">
        <w:r>
          <w:rPr>
            <w:color w:val="0000EE"/>
            <w:u w:val="single"/>
          </w:rPr>
          <w:t>Tito 1.4</w:t>
        </w:r>
      </w:hyperlink>
      <w:r>
        <w:t xml:space="preserve">, ele devia sua conversão a Paulo. Está claro em </w:t>
      </w:r>
      <w:hyperlink r:id="rId20255">
        <w:r>
          <w:rPr>
            <w:color w:val="0000EE"/>
            <w:u w:val="single"/>
          </w:rPr>
          <w:t>Gálatas 2.1–4</w:t>
        </w:r>
      </w:hyperlink>
      <w:r>
        <w:t xml:space="preserve"> que ele era um gentio, visto que ele foi um caso teste de se os cristãos gentios deveriam ou não ser obrigados a ser circuncidados. Naquele tempo, Tito estava com Paulo e Barnabé em Jerusalém. Muito mais tarde, na época da terceira viagem missionária de Paulo, ele tinha duas delicadas missões para realizar em Corinto: a primeira dizia respeito ao relacionamento tenso entre o apóstolo e os cristãos coríntios; a segunda dizia respeito à coleta das ofertas gentias para a igreja de Jerusalém (</w:t>
      </w:r>
      <w:hyperlink r:id="rId5887">
        <w:r>
          <w:rPr>
            <w:color w:val="0000EE"/>
            <w:u w:val="single"/>
          </w:rPr>
          <w:t>2Co 2.12–13</w:t>
        </w:r>
      </w:hyperlink>
      <w:r>
        <w:t xml:space="preserve">; </w:t>
      </w:r>
      <w:hyperlink r:id="rId5906">
        <w:r>
          <w:rPr>
            <w:color w:val="0000EE"/>
            <w:u w:val="single"/>
          </w:rPr>
          <w:t>7.5–16</w:t>
        </w:r>
      </w:hyperlink>
      <w:r>
        <w:t xml:space="preserve">; </w:t>
      </w:r>
      <w:hyperlink r:id="rId20256">
        <w:r>
          <w:rPr>
            <w:color w:val="0000EE"/>
            <w:u w:val="single"/>
          </w:rPr>
          <w:t>8.1–24</w:t>
        </w:r>
      </w:hyperlink>
      <w:r>
        <w:t xml:space="preserve">). Se </w:t>
      </w:r>
      <w:hyperlink r:id="rId20257">
        <w:r>
          <w:rPr>
            <w:color w:val="0000EE"/>
            <w:u w:val="single"/>
          </w:rPr>
          <w:t>2 Timóteo 4.9–18</w:t>
        </w:r>
      </w:hyperlink>
      <w:r>
        <w:t xml:space="preserve"> foi escrito no final da vida de Paulo, então Tito foi para a Dalmácia após o período desta carta.</w:t>
      </w:r>
    </w:p>
    <w:p>
      <w:pPr>
        <w:pStyle w:val="Heading3"/>
      </w:pPr>
      <w:r>
        <w:t>Data</w:t>
      </w:r>
    </w:p>
    <w:p>
      <w:r/>
      <w:r>
        <w:t>Datar esta carta com precisão é difícil. Tito foi deixado pelo apóstolo em Creta para continuar seu trabalho (</w:t>
      </w:r>
      <w:hyperlink r:id="rId1407">
        <w:r>
          <w:rPr>
            <w:color w:val="0000EE"/>
            <w:u w:val="single"/>
          </w:rPr>
          <w:t>Tt 1.5</w:t>
        </w:r>
      </w:hyperlink>
      <w:r>
        <w:t>). Paulo passou por Creta brevemente em sua viagem a Roma (</w:t>
      </w:r>
      <w:hyperlink r:id="rId20258">
        <w:r>
          <w:rPr>
            <w:color w:val="0000EE"/>
            <w:u w:val="single"/>
          </w:rPr>
          <w:t>Atos 27.7–13</w:t>
        </w:r>
      </w:hyperlink>
      <w:r>
        <w:t xml:space="preserve">), mas esta não poderia ter sido a ocasião a que se referiu. Em </w:t>
      </w:r>
      <w:hyperlink r:id="rId2611">
        <w:r>
          <w:rPr>
            <w:color w:val="0000EE"/>
            <w:u w:val="single"/>
          </w:rPr>
          <w:t>3.12</w:t>
        </w:r>
      </w:hyperlink>
      <w:r>
        <w:t>, Tito é chamado para ir a Nicópolis (provavelmente a cidade de Nicópolis em Épiro, na Grécia), pois ele havia decidido passar o inverno lá. Muitos favoreceram a visão de que após a primeira prisão em Roma (</w:t>
      </w:r>
      <w:hyperlink r:id="rId2847">
        <w:r>
          <w:rPr>
            <w:color w:val="0000EE"/>
            <w:u w:val="single"/>
          </w:rPr>
          <w:t>Atos 28.16–31</w:t>
        </w:r>
      </w:hyperlink>
      <w:r>
        <w:t>), ele foi liberto, realizou mais ministério em vários lugares (incluindo Espanha, Creta e Grécia), e então foi detido, preso uma segunda vez e finalmente condenado à morte. Aqueles que não aceitam a autoria paulina do livro de Tito, datam esta carta, assim como fazem com 1 e 2 Timóteo, na geração seguinte à morte de Paulo.</w:t>
      </w:r>
    </w:p>
    <w:p>
      <w:pPr>
        <w:pStyle w:val="Heading3"/>
      </w:pPr>
      <w:r>
        <w:t>Propósito e ensino</w:t>
      </w:r>
    </w:p>
    <w:p>
      <w:r/>
      <w:r>
        <w:t>Embora esta carta seja dirigida a um colega individual do apóstolo, ela tem um mínimo de referências e exortações pessoais. As igrejas em crescimento e desenvolvimento em Creta eram o principal interesse de Paulo. Eles estavam sendo incomodados por falsos ensinamentos que pareciam ter elementos judeus, ênfases ascéticas e uma grande quantidade de debates especulativos (</w:t>
      </w:r>
      <w:hyperlink r:id="rId4963">
        <w:r>
          <w:rPr>
            <w:color w:val="0000EE"/>
            <w:u w:val="single"/>
          </w:rPr>
          <w:t>Tt 1.10, 14–15</w:t>
        </w:r>
      </w:hyperlink>
      <w:r>
        <w:t xml:space="preserve">. </w:t>
      </w:r>
      <w:hyperlink r:id="rId9812">
        <w:r>
          <w:rPr>
            <w:color w:val="0000EE"/>
            <w:u w:val="single"/>
          </w:rPr>
          <w:t>3.9</w:t>
        </w:r>
      </w:hyperlink>
      <w:r>
        <w:t>). Em suma, parece que eles estavam lidando com uma forma judaica primitiva de gnosticismo. Seus defensores promoveram este ensino “com a intenção vergonhosa de ganhar dinheiro” (</w:t>
      </w:r>
      <w:hyperlink r:id="rId20259">
        <w:r>
          <w:rPr>
            <w:color w:val="0000EE"/>
            <w:u w:val="single"/>
          </w:rPr>
          <w:t>1.11</w:t>
        </w:r>
      </w:hyperlink>
      <w:r>
        <w:t xml:space="preserve">). Tito e aqueles a quem ele nomearia como presbíteros eram chamados para refutar o ensino errado e fornecer aos crentes um ensino saudável (v. </w:t>
      </w:r>
      <w:hyperlink r:id="rId3795">
        <w:r>
          <w:rPr>
            <w:color w:val="0000EE"/>
            <w:u w:val="single"/>
          </w:rPr>
          <w:t>9</w:t>
        </w:r>
      </w:hyperlink>
      <w:r>
        <w:t>). Embora este ensino saudável não seja especificado, deve ter relação à graça salvadora de Deus em Cristo, à obra renovadora do Espírito Santo e à futura vinda do Senhor Jesus (</w:t>
      </w:r>
      <w:hyperlink r:id="rId20260">
        <w:r>
          <w:rPr>
            <w:color w:val="0000EE"/>
            <w:u w:val="single"/>
          </w:rPr>
          <w:t>2.11–13</w:t>
        </w:r>
      </w:hyperlink>
      <w:r>
        <w:t xml:space="preserve">; </w:t>
      </w:r>
      <w:hyperlink r:id="rId20261">
        <w:r>
          <w:rPr>
            <w:color w:val="0000EE"/>
            <w:u w:val="single"/>
          </w:rPr>
          <w:t>3.4–7</w:t>
        </w:r>
      </w:hyperlink>
      <w:r>
        <w:t>). Nesta carta, há uma ênfase constante em um estilo de vida que confirme a verdade do evangelho — com aplicação a diferentes grupos na comunidade cristã: homens e mulheres mais velhos, mulheres jovens, homens jovens e escravos.</w:t>
      </w:r>
    </w:p>
    <w:p>
      <w:pPr>
        <w:pStyle w:val="Heading3"/>
      </w:pPr>
      <w:r>
        <w:t>Conteúdo</w:t>
      </w:r>
    </w:p>
    <w:p>
      <w:pPr>
        <w:pStyle w:val="Heading4"/>
      </w:pPr>
      <w:r>
        <w:t>Saudação (1.1–4)</w:t>
      </w:r>
    </w:p>
    <w:p>
      <w:r/>
      <w:r>
        <w:t>As saudações vêm de Paulo — cujo apostolado é descrito como uma mordomia do evangelho que promove a fé e fortalece o conhecimento da verdade, a esperança da vida eterna e a piedade no viver — para Tito, mencionado como “meu verdadeiro filho em nossa fé comum”.</w:t>
      </w:r>
    </w:p>
    <w:p>
      <w:pPr>
        <w:pStyle w:val="Heading4"/>
      </w:pPr>
      <w:r>
        <w:t>O trabalho de Tito em Creta (1.5–9)</w:t>
      </w:r>
    </w:p>
    <w:p>
      <w:r/>
      <w:r>
        <w:t xml:space="preserve">Tito foi deixado para trás em Creta para continuar o trabalho de Paulo e nomear presbíteros em todas as igrejas (compare </w:t>
      </w:r>
      <w:hyperlink r:id="rId1398">
        <w:r>
          <w:rPr>
            <w:color w:val="0000EE"/>
            <w:u w:val="single"/>
          </w:rPr>
          <w:t>Atos 14.23</w:t>
        </w:r>
      </w:hyperlink>
      <w:r>
        <w:t xml:space="preserve">). Esses presbíteros também são chamados de bispos (compare </w:t>
      </w:r>
      <w:hyperlink r:id="rId1408">
        <w:r>
          <w:rPr>
            <w:color w:val="0000EE"/>
            <w:u w:val="single"/>
          </w:rPr>
          <w:t>20.17, 28</w:t>
        </w:r>
      </w:hyperlink>
      <w:r>
        <w:t xml:space="preserve">) — isto é, aqueles com supervisão da igreja. As características de vida necessárias para essas posições são descritas (compare </w:t>
      </w:r>
      <w:hyperlink r:id="rId3793">
        <w:r>
          <w:rPr>
            <w:color w:val="0000EE"/>
            <w:u w:val="single"/>
          </w:rPr>
          <w:t>1Tm 3.2–7</w:t>
        </w:r>
      </w:hyperlink>
      <w:r>
        <w:t>).</w:t>
      </w:r>
    </w:p>
    <w:p>
      <w:pPr>
        <w:pStyle w:val="Heading4"/>
      </w:pPr>
      <w:r>
        <w:t>Lidando com falsos ensinamentos (1.10–16)</w:t>
      </w:r>
    </w:p>
    <w:p>
      <w:r/>
      <w:r>
        <w:t>As palavras de encerramento da seção anterior falam sobre a responsabilidade dos presbíteros “de encorajar os outros com o ensino correto e mostrar àqueles que se opõem a este ensino onde eles estão errados”. Os opositores estavam perturbando as pessoas, na verdade “famílias inteiras”, ensinando o que não era verdade. Esses falsos mestres foram descritos por Paulo em termos depreciativos usados pelos cretenses, e como pessoas cujas vidas não demonstram o conhecimento de Deus que professavam ter.</w:t>
      </w:r>
    </w:p>
    <w:p>
      <w:pPr>
        <w:pStyle w:val="Heading4"/>
      </w:pPr>
      <w:r>
        <w:t>Promovendo o ensino correto (2.1–10)</w:t>
      </w:r>
    </w:p>
    <w:p>
      <w:r/>
      <w:r>
        <w:t>Tito tinha uma responsabilidade especial de “promover o tipo de vida que reflete o ensino correto”. Ele era encarregado de exortar os homens mais velhos a exercerem o autocontrole (</w:t>
      </w:r>
      <w:hyperlink r:id="rId20262">
        <w:r>
          <w:rPr>
            <w:color w:val="0000EE"/>
            <w:u w:val="single"/>
          </w:rPr>
          <w:t>2.2</w:t>
        </w:r>
      </w:hyperlink>
      <w:r>
        <w:t xml:space="preserve">), e deveria ensinar as mulheres mais velhas a viver vidas piedosas (v. </w:t>
      </w:r>
      <w:hyperlink r:id="rId20263">
        <w:r>
          <w:rPr>
            <w:color w:val="0000EE"/>
            <w:u w:val="single"/>
          </w:rPr>
          <w:t>3</w:t>
        </w:r>
      </w:hyperlink>
      <w:r>
        <w:t xml:space="preserve">). Por sua vez, essas mulheres deveriam treinar as mulheres mais jovens para viver vidas puras e amorosas em seus lares para que ninguém difamasse a palavra de Deus (vv. </w:t>
      </w:r>
      <w:hyperlink r:id="rId20264">
        <w:r>
          <w:rPr>
            <w:color w:val="0000EE"/>
            <w:u w:val="single"/>
          </w:rPr>
          <w:t>4–5</w:t>
        </w:r>
      </w:hyperlink>
      <w:r>
        <w:t xml:space="preserve">). Os homens mais jovens deveriam mostrar autocontrole (v. </w:t>
      </w:r>
      <w:hyperlink r:id="rId20265">
        <w:r>
          <w:rPr>
            <w:color w:val="0000EE"/>
            <w:u w:val="single"/>
          </w:rPr>
          <w:t>6</w:t>
        </w:r>
      </w:hyperlink>
      <w:r>
        <w:t xml:space="preserve">), e o próprio Tito deveria ser um exemplo na palavra e em sua vida, para que os opositores não tivessem nada de ruim a dizer sobre os cristãos (v. </w:t>
      </w:r>
      <w:hyperlink r:id="rId20266">
        <w:r>
          <w:rPr>
            <w:color w:val="0000EE"/>
            <w:u w:val="single"/>
          </w:rPr>
          <w:t>7–8</w:t>
        </w:r>
      </w:hyperlink>
      <w:r>
        <w:t xml:space="preserve">). Finalmente, nesta seção, os escravos são ensinados a se submeter aos seus mestres, a realizar um serviço bom e honesto com a motivação de que “desse modo, por causa das coisas que eles fizerem, todos falarão bem da doutrina a respeito de Deus, o nosso Salvador” (v. </w:t>
      </w:r>
      <w:hyperlink r:id="rId3377">
        <w:r>
          <w:rPr>
            <w:color w:val="0000EE"/>
            <w:u w:val="single"/>
          </w:rPr>
          <w:t>10</w:t>
        </w:r>
      </w:hyperlink>
      <w:r>
        <w:t>).</w:t>
      </w:r>
    </w:p>
    <w:p>
      <w:pPr>
        <w:pStyle w:val="Heading4"/>
      </w:pPr>
      <w:r>
        <w:t>A graça de Deus (2.11–15)</w:t>
      </w:r>
    </w:p>
    <w:p>
      <w:r/>
      <w:r>
        <w:t>O que foi dito leva agora a uma grande declaração do propósito da revelação da graça de Deus em Jesus Cristo: trazer a salvação a todas as pessoas, que farão uma ruptura completa com uma vida sensual e sem Deus para que enfim possam viver vidas retas com a constante expectativa da segunda vinda de “nosso grande Deus e Salvador Jesus Cristo”. Suas vidas os mostrarão que são pessoas que são propriedade exclusiva de Deus, sempre desejando fazer o que é certo.</w:t>
      </w:r>
    </w:p>
    <w:p>
      <w:pPr>
        <w:pStyle w:val="Heading4"/>
      </w:pPr>
      <w:r>
        <w:t>Fazendo o que é bom (3.1–8)</w:t>
      </w:r>
    </w:p>
    <w:p>
      <w:r/>
      <w:r>
        <w:t xml:space="preserve">Nesta seção, Paulo encoraja Tito a dizer aos cristãos em Creta que é seu dever se submeter aos governantes (compare </w:t>
      </w:r>
      <w:hyperlink r:id="rId15556">
        <w:r>
          <w:rPr>
            <w:color w:val="0000EE"/>
            <w:u w:val="single"/>
          </w:rPr>
          <w:t>Rm 13.1–7</w:t>
        </w:r>
      </w:hyperlink>
      <w:r>
        <w:t xml:space="preserve">; </w:t>
      </w:r>
      <w:hyperlink r:id="rId16736">
        <w:r>
          <w:rPr>
            <w:color w:val="0000EE"/>
            <w:u w:val="single"/>
          </w:rPr>
          <w:t>1Pe 2.13–17</w:t>
        </w:r>
      </w:hyperlink>
      <w:r>
        <w:t>) e estarem disponíveis na comunidade para trabalhar honestamente. Novamente, a qualidade do estilo de vida é enfatizada — em especial, a cortesia e o desejo de paz nos relacionamentos com os outros. Este estilo de vida vem da transformação espiritual. Os meios dessa transformação são a obra salvadora de Cristo — não recebida por mérito, mas inteiramente por sua misericórdia. Ele trouxe purificação do pecado, “renascimento e renovação pelo Espírito Santo”.</w:t>
      </w:r>
    </w:p>
    <w:p>
      <w:pPr>
        <w:pStyle w:val="Heading4"/>
      </w:pPr>
      <w:r>
        <w:t>As considerações e saudações finais de Paulo (3.9–15)</w:t>
      </w:r>
    </w:p>
    <w:p>
      <w:r/>
      <w:r>
        <w:t>Nesta seção final, Paulo encoraja Tito a evitar aqueles que gostam de discutir sobre religião simplesmente por causa do debate. E ele diz a Tito como lidar com aqueles que causam divisões.</w:t>
      </w:r>
    </w:p>
    <w:p>
      <w:r/>
      <w:r>
        <w:t>Em seguida, Paulo diz a Tito que lhe enviará Ártemas (não mencionado em nenhum outro momento no NT) ou Tíquico. Então ele encoraja Tito a cuidar de Apolo e Zenas se eles passarem por Creta. O próprio Tito deveria ir a Nicópolis antes do inverno.</w:t>
      </w:r>
    </w:p>
    <w:p>
      <w:r/>
      <w:r>
        <w:t>A epístola termina com uma exortação final para as “boas obras” e para uma vida espiritualmente frutífera.</w:t>
      </w:r>
    </w:p>
    <w:p>
      <w:r/>
      <w:r>
        <w:rPr>
          <w:i/>
        </w:rPr>
        <w:t>Veja também</w:t>
      </w:r>
      <w:r>
        <w:t xml:space="preserve"> </w:t>
      </w:r>
      <w:r>
        <w:t>Paulo, O Apóstolo</w:t>
      </w:r>
      <w:r>
        <w:t xml:space="preserve">; </w:t>
      </w:r>
      <w:r>
        <w:t>Timóteo, Primeira Carta a</w:t>
      </w:r>
      <w:r>
        <w:t xml:space="preserve">; </w:t>
      </w:r>
      <w:r>
        <w:t>Timóteo, Segunda Carta a</w:t>
      </w:r>
      <w:r>
        <w:t xml:space="preserve">; </w:t>
      </w:r>
      <w:r>
        <w:t>Tito (Pessoa) #1</w:t>
      </w:r>
      <w:r>
        <w:t>.</w:t>
      </w:r>
      <w:r/>
      <w:r/>
    </w:p>
    <w:p>
      <w:r/>
    </w:p>
    <w:p>
      <w:pPr>
        <w:pStyle w:val="Heading2"/>
      </w:pPr>
      <w:r>
        <w:t>Tofel</w:t>
      </w:r>
      <w:r/>
    </w:p>
    <w:p>
      <w:r/>
      <w:r>
        <w:t>Local onde Israel acampou em frente ao Jordão, “De um lado ficava a cidade de Parã, e do outro, as cidades de Tofel, Labã, Hazerote e Di-Zaabe” (</w:t>
      </w:r>
      <w:hyperlink r:id="rId2314">
        <w:r>
          <w:rPr>
            <w:color w:val="0000EE"/>
            <w:u w:val="single"/>
          </w:rPr>
          <w:t>Dt 1.1</w:t>
        </w:r>
      </w:hyperlink>
      <w:r>
        <w:t xml:space="preserve">). Tofel foi identificado com et-Tafileh, a leste do Mar Morto. </w:t>
      </w:r>
      <w:r>
        <w:rPr>
          <w:i/>
        </w:rPr>
        <w:t>Veja</w:t>
      </w:r>
      <w:r>
        <w:t xml:space="preserve"> </w:t>
      </w:r>
      <w:r>
        <w:t>Peregrinações no deserto</w:t>
      </w:r>
      <w:r>
        <w:t>.</w:t>
      </w:r>
      <w:r/>
      <w:r/>
    </w:p>
    <w:p>
      <w:r/>
    </w:p>
    <w:p>
      <w:pPr>
        <w:pStyle w:val="Heading2"/>
      </w:pPr>
      <w:r>
        <w:t>Tofete</w:t>
      </w:r>
      <w:r/>
    </w:p>
    <w:p>
      <w:r/>
      <w:r>
        <w:t>Localização dentro do vale de Hinom fora de Jerusalém, onde Israel profanou o Senhor oferecendo sacrifícios humanos a Moloque. Como parte de sua reforma religiosa, Josias profanou Tofete e derrubou seus altares (</w:t>
      </w:r>
      <w:hyperlink r:id="rId9794">
        <w:r>
          <w:rPr>
            <w:color w:val="0000EE"/>
            <w:u w:val="single"/>
          </w:rPr>
          <w:t>2Rs 23.10</w:t>
        </w:r>
      </w:hyperlink>
      <w:r>
        <w:t>). Essas reformas se opunham às práticas estabelecidas anteriormente por seu avô Manassés (</w:t>
      </w:r>
      <w:hyperlink r:id="rId6678">
        <w:r>
          <w:rPr>
            <w:color w:val="0000EE"/>
            <w:u w:val="single"/>
          </w:rPr>
          <w:t>2Cr 33.6</w:t>
        </w:r>
      </w:hyperlink>
      <w:r>
        <w:t>). Jeremias, um profeta que viveu na época de Josias, posteriormente condenou o retorno de tais práticas (</w:t>
      </w:r>
      <w:hyperlink r:id="rId20267">
        <w:r>
          <w:rPr>
            <w:color w:val="0000EE"/>
            <w:u w:val="single"/>
          </w:rPr>
          <w:t>Jr 7.31–32</w:t>
        </w:r>
      </w:hyperlink>
      <w:r>
        <w:t>). Jeremias profetizou que o vale seria renomeado como “Vale do Massacre” porque seria o local onde os babilônios derrotariam Judá durante seu cerco a Jerusalém. Jeremias repetiu a profecia durante sua parábola do frasco do oleiro, enfatizando o fato de que Jerusalém seria destruída tão completamente que se assemelharia a Tofete (</w:t>
      </w:r>
      <w:hyperlink r:id="rId20268">
        <w:r>
          <w:rPr>
            <w:color w:val="0000EE"/>
            <w:u w:val="single"/>
          </w:rPr>
          <w:t>19.12</w:t>
        </w:r>
      </w:hyperlink>
      <w:r>
        <w:t xml:space="preserve">). A essa altura, Tofete evidentemente havia se tornado uma espécie de depósito de lixo da cidade, onde se jogavam cacos de cerâmica quebrada e onde ocorriam sepultamentos que não podiam ser realizados em nenhum dos cemitérios da cidade (v. </w:t>
      </w:r>
      <w:hyperlink r:id="rId15803">
        <w:r>
          <w:rPr>
            <w:color w:val="0000EE"/>
            <w:u w:val="single"/>
          </w:rPr>
          <w:t>11</w:t>
        </w:r>
      </w:hyperlink>
      <w:r>
        <w:t>).</w:t>
      </w:r>
    </w:p>
    <w:p>
      <w:r/>
      <w:r>
        <w:t>Embora Tofete não seja mencionado no NT, está ligado a Geena (forma aramaica de “vale de Hinom”). Geena se refere ao lugar de destruição e é tipicamente traduzido como “inferno” no NT (</w:t>
      </w:r>
      <w:hyperlink r:id="rId9801">
        <w:r>
          <w:rPr>
            <w:color w:val="0000EE"/>
            <w:u w:val="single"/>
          </w:rPr>
          <w:t>Mt 5.22,29–30</w:t>
        </w:r>
      </w:hyperlink>
      <w:r>
        <w:t xml:space="preserve">; </w:t>
      </w:r>
      <w:hyperlink r:id="rId953">
        <w:r>
          <w:rPr>
            <w:color w:val="0000EE"/>
            <w:u w:val="single"/>
          </w:rPr>
          <w:t>10.28</w:t>
        </w:r>
      </w:hyperlink>
      <w:r>
        <w:t xml:space="preserve">; </w:t>
      </w:r>
      <w:hyperlink r:id="rId9802">
        <w:r>
          <w:rPr>
            <w:color w:val="0000EE"/>
            <w:u w:val="single"/>
          </w:rPr>
          <w:t>18.9</w:t>
        </w:r>
      </w:hyperlink>
      <w:r>
        <w:t xml:space="preserve">; </w:t>
      </w:r>
      <w:hyperlink r:id="rId11848">
        <w:r>
          <w:rPr>
            <w:color w:val="0000EE"/>
            <w:u w:val="single"/>
          </w:rPr>
          <w:t>Mc 9.43–47</w:t>
        </w:r>
      </w:hyperlink>
      <w:r>
        <w:t xml:space="preserve">; </w:t>
      </w:r>
      <w:hyperlink r:id="rId954">
        <w:r>
          <w:rPr>
            <w:color w:val="0000EE"/>
            <w:u w:val="single"/>
          </w:rPr>
          <w:t>Lc 12.5</w:t>
        </w:r>
      </w:hyperlink>
      <w:r>
        <w:t>).</w:t>
      </w:r>
      <w:r/>
      <w:r/>
    </w:p>
    <w:p>
      <w:r/>
    </w:p>
    <w:p>
      <w:pPr>
        <w:pStyle w:val="Heading2"/>
      </w:pPr>
      <w:r>
        <w:t>Togarma</w:t>
      </w:r>
      <w:r/>
    </w:p>
    <w:p>
      <w:r/>
      <w:r>
        <w:t>Terceiro filho de Gomer, um descendente de Jafé (</w:t>
      </w:r>
      <w:hyperlink r:id="rId10075">
        <w:r>
          <w:rPr>
            <w:color w:val="0000EE"/>
            <w:u w:val="single"/>
          </w:rPr>
          <w:t>Gn 10.3</w:t>
        </w:r>
      </w:hyperlink>
      <w:r>
        <w:t xml:space="preserve">; </w:t>
      </w:r>
      <w:hyperlink r:id="rId2758">
        <w:r>
          <w:rPr>
            <w:color w:val="0000EE"/>
            <w:u w:val="single"/>
          </w:rPr>
          <w:t>1Cr 1.6</w:t>
        </w:r>
      </w:hyperlink>
      <w:r>
        <w:t>). Bete-Togarma (“casa de Togarma”) aparece na profecia de Ezequiel contra as nações que se opuseram a Israel (</w:t>
      </w:r>
      <w:hyperlink r:id="rId1813">
        <w:r>
          <w:rPr>
            <w:color w:val="0000EE"/>
            <w:u w:val="single"/>
          </w:rPr>
          <w:t>Ez 27.14</w:t>
        </w:r>
      </w:hyperlink>
      <w:r>
        <w:t xml:space="preserve">; </w:t>
      </w:r>
      <w:hyperlink r:id="rId10076">
        <w:r>
          <w:rPr>
            <w:color w:val="0000EE"/>
            <w:u w:val="single"/>
          </w:rPr>
          <w:t>38.6</w:t>
        </w:r>
      </w:hyperlink>
      <w:r>
        <w:t xml:space="preserve">). Bete-Togarma foi um dos principais parceiros comerciais de Tiro, fornecendo cavalos de guerra e mulas. Como Togarma é consistentemente ligado a Javã, Tubal, Mesaque, Dedã e Társis, Ezequiel provavelmente tinha em mente as listas etnográficas de </w:t>
      </w:r>
      <w:hyperlink r:id="rId7547">
        <w:r>
          <w:rPr>
            <w:color w:val="0000EE"/>
            <w:u w:val="single"/>
          </w:rPr>
          <w:t>Gênesis 10</w:t>
        </w:r>
      </w:hyperlink>
      <w:r>
        <w:t>. Como termo etnográfico, a maioria identificou Togarma com a Armênia. Os armênios identificam Togarma (Thorgon) como o fundador de sua raça.</w:t>
      </w:r>
      <w:r/>
      <w:r/>
    </w:p>
    <w:p>
      <w:r/>
    </w:p>
    <w:p>
      <w:pPr>
        <w:pStyle w:val="Heading2"/>
      </w:pPr>
      <w:r>
        <w:t>Tola</w:t>
      </w:r>
      <w:r/>
    </w:p>
    <w:p>
      <w:r/>
      <w:r>
        <w:t>1. Um dos quatro filhos de Issacar mencionado entre os 66 descendentes de Jacó que o acompanharam na migração para o Egito para se juntar a José (</w:t>
      </w:r>
      <w:hyperlink r:id="rId11448">
        <w:r>
          <w:rPr>
            <w:color w:val="0000EE"/>
            <w:u w:val="single"/>
          </w:rPr>
          <w:t>Gn 46.13</w:t>
        </w:r>
      </w:hyperlink>
      <w:r>
        <w:t>); e o ancestral da primeira de quatro famílias da tribo de Issacar, conforme identificado no censo de Israel realizado por Moisés e Eleazar (</w:t>
      </w:r>
      <w:hyperlink r:id="rId17892">
        <w:r>
          <w:rPr>
            <w:color w:val="0000EE"/>
            <w:u w:val="single"/>
          </w:rPr>
          <w:t>Nm 26.23</w:t>
        </w:r>
      </w:hyperlink>
      <w:r>
        <w:t>). Os filhos de Tola foram Uzi, Refaías, Jeriel, Jamai, Ibsão e Samuel (</w:t>
      </w:r>
      <w:hyperlink r:id="rId20269">
        <w:r>
          <w:rPr>
            <w:color w:val="0000EE"/>
            <w:u w:val="single"/>
          </w:rPr>
          <w:t>1Cr 7.2</w:t>
        </w:r>
      </w:hyperlink>
      <w:r>
        <w:t>). O clã israelita dos Tolaítas recebeu seu nome dele (</w:t>
      </w:r>
      <w:hyperlink r:id="rId17892">
        <w:r>
          <w:rPr>
            <w:color w:val="0000EE"/>
            <w:u w:val="single"/>
          </w:rPr>
          <w:t>Nm 26.23</w:t>
        </w:r>
      </w:hyperlink>
      <w:r>
        <w:t>), e durante o tempo de Davi, os guerreiros de sua família somavam 22.600 homens (</w:t>
      </w:r>
      <w:hyperlink r:id="rId20270">
        <w:r>
          <w:rPr>
            <w:color w:val="0000EE"/>
            <w:u w:val="single"/>
          </w:rPr>
          <w:t>1Cr 7.1–2</w:t>
        </w:r>
      </w:hyperlink>
      <w:r>
        <w:t>);</w:t>
      </w:r>
    </w:p>
    <w:p>
      <w:r/>
      <w:r>
        <w:t>2. Um dos juízes de Israel, filho de Pua e neto de Dodô (</w:t>
      </w:r>
      <w:hyperlink r:id="rId17891">
        <w:r>
          <w:rPr>
            <w:color w:val="0000EE"/>
            <w:u w:val="single"/>
          </w:rPr>
          <w:t>Jz 10.1</w:t>
        </w:r>
      </w:hyperlink>
      <w:r>
        <w:t>), da tribo de Issacar. Samir, sua casa e local de sepultamento, ficava na região montanhosa de Efraim. Ele julgou Israel por 23 anos lá.</w:t>
      </w:r>
    </w:p>
    <w:p>
      <w:r/>
      <w:r>
        <w:t>Embora ele tenha “libertado” Israel após o desastre da tentativa abortada de Abimeleque de estabelecer uma monarquia em Siquém, sua realização é mencionada em apenas dois versículos (</w:t>
      </w:r>
      <w:hyperlink r:id="rId12548">
        <w:r>
          <w:rPr>
            <w:color w:val="0000EE"/>
            <w:u w:val="single"/>
          </w:rPr>
          <w:t>Jz 10.1–2</w:t>
        </w:r>
      </w:hyperlink>
      <w:r>
        <w:t xml:space="preserve">). Como outros “juízes menores”, mencionados apenas brevemente (e.g., </w:t>
      </w:r>
      <w:hyperlink r:id="rId20271">
        <w:r>
          <w:rPr>
            <w:color w:val="0000EE"/>
            <w:u w:val="single"/>
          </w:rPr>
          <w:t>12.8–15</w:t>
        </w:r>
      </w:hyperlink>
      <w:r>
        <w:t>), ele realmente atuou no papel judicial — alguns “juízes” mais proeminentes (e.g., Gideão e Jefté) foram primeiro, e talvez exclusivamente, heróis militares.</w:t>
      </w:r>
    </w:p>
    <w:p>
      <w:r/>
      <w:r>
        <w:rPr>
          <w:i/>
        </w:rPr>
        <w:t>Veja também</w:t>
      </w:r>
      <w:r>
        <w:t xml:space="preserve"> </w:t>
      </w:r>
      <w:r>
        <w:t>JUÍZES, Livro de</w:t>
      </w:r>
      <w:r>
        <w:t>.</w:t>
      </w:r>
      <w:r/>
      <w:r/>
    </w:p>
    <w:p>
      <w:r/>
    </w:p>
    <w:p>
      <w:pPr>
        <w:pStyle w:val="Heading2"/>
      </w:pPr>
      <w:r>
        <w:t>Tolaíta</w:t>
      </w:r>
      <w:r/>
    </w:p>
    <w:p>
      <w:r/>
      <w:r>
        <w:t>Qualquer descendente de Tolá (ou, Tola) da tribo de Issacar (</w:t>
      </w:r>
      <w:hyperlink r:id="rId17892">
        <w:r>
          <w:rPr>
            <w:color w:val="0000EE"/>
            <w:u w:val="single"/>
          </w:rPr>
          <w:t>Nm 26.23</w:t>
        </w:r>
      </w:hyperlink>
      <w:r>
        <w:t>).</w:t>
      </w:r>
    </w:p>
    <w:p>
      <w:r/>
      <w:r>
        <w:rPr>
          <w:i/>
        </w:rPr>
        <w:t xml:space="preserve">Veja </w:t>
      </w:r>
      <w:r>
        <w:t>Tolá #1</w:t>
      </w:r>
      <w:r>
        <w:t>.</w:t>
      </w:r>
      <w:r/>
      <w:r/>
    </w:p>
    <w:p>
      <w:r/>
    </w:p>
    <w:p>
      <w:pPr>
        <w:pStyle w:val="Heading2"/>
      </w:pPr>
      <w:r>
        <w:t>Tomé, O Apóstolo</w:t>
      </w:r>
      <w:r/>
    </w:p>
    <w:p>
      <w:r/>
      <w:r>
        <w:t>Um dos 12 apóstolos, nomeado em todos os quatro Evangelhos. O nome é uma transliteração de uma palavra aramaica que significa “gêmeo” e aparece no NT como Tomé. Entre cristãos gregos, havia uma tendência de usar seu nome helenístico, Dídimo (</w:t>
      </w:r>
      <w:r>
        <w:rPr>
          <w:i/>
        </w:rPr>
        <w:t>didumos</w:t>
      </w:r>
      <w:r>
        <w:t>, “gêmeo”); este nome aparece três vezes em João (</w:t>
      </w:r>
      <w:hyperlink r:id="rId20272">
        <w:r>
          <w:rPr>
            <w:color w:val="0000EE"/>
            <w:u w:val="single"/>
          </w:rPr>
          <w:t>Jo 11.16</w:t>
        </w:r>
      </w:hyperlink>
      <w:r>
        <w:t xml:space="preserve">; </w:t>
      </w:r>
      <w:hyperlink r:id="rId20273">
        <w:r>
          <w:rPr>
            <w:color w:val="0000EE"/>
            <w:u w:val="single"/>
          </w:rPr>
          <w:t>20.24</w:t>
        </w:r>
      </w:hyperlink>
      <w:r>
        <w:t xml:space="preserve">; </w:t>
      </w:r>
      <w:hyperlink r:id="rId3158">
        <w:r>
          <w:rPr>
            <w:color w:val="0000EE"/>
            <w:u w:val="single"/>
          </w:rPr>
          <w:t>21.2</w:t>
        </w:r>
      </w:hyperlink>
      <w:r>
        <w:t>). Há ampla evidência de papiros koinés de que o nome Dídimo era bem conhecido na era do NT.</w:t>
      </w:r>
    </w:p>
    <w:p>
      <w:r/>
      <w:r>
        <w:t>Tomé aparece em cada lista sinótica de apóstolos (</w:t>
      </w:r>
      <w:hyperlink r:id="rId747">
        <w:r>
          <w:rPr>
            <w:color w:val="0000EE"/>
            <w:u w:val="single"/>
          </w:rPr>
          <w:t>Mt 10.3</w:t>
        </w:r>
      </w:hyperlink>
      <w:r>
        <w:t xml:space="preserve">; </w:t>
      </w:r>
      <w:hyperlink r:id="rId748">
        <w:r>
          <w:rPr>
            <w:color w:val="0000EE"/>
            <w:u w:val="single"/>
          </w:rPr>
          <w:t>Mc 3.18</w:t>
        </w:r>
      </w:hyperlink>
      <w:r>
        <w:t xml:space="preserve">; </w:t>
      </w:r>
      <w:hyperlink r:id="rId749">
        <w:r>
          <w:rPr>
            <w:color w:val="0000EE"/>
            <w:u w:val="single"/>
          </w:rPr>
          <w:t>Lc 6.15</w:t>
        </w:r>
      </w:hyperlink>
      <w:r>
        <w:t xml:space="preserve">; cf. </w:t>
      </w:r>
      <w:hyperlink r:id="rId750">
        <w:r>
          <w:rPr>
            <w:color w:val="0000EE"/>
            <w:u w:val="single"/>
          </w:rPr>
          <w:t>Atos 1.13</w:t>
        </w:r>
      </w:hyperlink>
      <w:r>
        <w:t>), mas não desempenha outro papel. Sua célebre aparição no quarto Evangelho é interessante. Aqui Tomé expressa a aflição da aproximação final a Jerusalém (</w:t>
      </w:r>
      <w:hyperlink r:id="rId20272">
        <w:r>
          <w:rPr>
            <w:color w:val="0000EE"/>
            <w:u w:val="single"/>
          </w:rPr>
          <w:t>Jo 11.16</w:t>
        </w:r>
      </w:hyperlink>
      <w:r>
        <w:t>) e pressiona Jesus no cenáculo para explicar suas palavras de despedida (</w:t>
      </w:r>
      <w:hyperlink r:id="rId20274">
        <w:r>
          <w:rPr>
            <w:color w:val="0000EE"/>
            <w:u w:val="single"/>
          </w:rPr>
          <w:t>14.5</w:t>
        </w:r>
      </w:hyperlink>
      <w:r>
        <w:t>). Nas cenas finais do Evangelho está o episódio familiar em que Tomé duvida da ressurreição do Senhor (</w:t>
      </w:r>
      <w:hyperlink r:id="rId20273">
        <w:r>
          <w:rPr>
            <w:color w:val="0000EE"/>
            <w:u w:val="single"/>
          </w:rPr>
          <w:t>20.24</w:t>
        </w:r>
      </w:hyperlink>
      <w:r>
        <w:t xml:space="preserve">) e então recebe uma prova convincente (vv. </w:t>
      </w:r>
      <w:hyperlink r:id="rId20275">
        <w:r>
          <w:rPr>
            <w:color w:val="0000EE"/>
            <w:u w:val="single"/>
          </w:rPr>
          <w:t>26–28</w:t>
        </w:r>
      </w:hyperlink>
      <w:r>
        <w:t>), após a qual Tomé chamou Jesus de “Senhor meu e Deus meu”. Tomé também é nomeado no epílogo de João (</w:t>
      </w:r>
      <w:hyperlink r:id="rId3158">
        <w:r>
          <w:rPr>
            <w:color w:val="0000EE"/>
            <w:u w:val="single"/>
          </w:rPr>
          <w:t>21.2</w:t>
        </w:r>
      </w:hyperlink>
      <w:r>
        <w:t>).</w:t>
      </w:r>
    </w:p>
    <w:p>
      <w:r/>
      <w:r>
        <w:t>Duas obras apócrifas e pseudoepígrafas levam o nome de Tomé: o Evangelho de Tomé (de Nag Hammadi), que registra 114 “ditos secretos que o Jesus vivo proferiu” e que Tomé teria preservado; e os Atos de Tomé (existentes em grego e siríaco), onde diz que Jesus e Tomé eram gêmeos (compartilhando aparições e destinos semelhantes) e que o apóstolo obteve ensinamentos secretos. Este relato apócrifo explica até o destino de Tomé. Contra seus desejos, Tomé viajou para a Índia sob o comando do Senhor. Lá, ele foi martirizado com lanças pela mão de um rei indiano. Ele foi ressuscitado e seu túmulo vazio assumiu propriedades mágicas. Hoje em São Tomé, na Índia, os cristãos afirmam que eles são os descendentes espirituais do apóstolo.</w:t>
      </w:r>
    </w:p>
    <w:p>
      <w:r/>
      <w:r>
        <w:rPr>
          <w:i/>
        </w:rPr>
        <w:t>Veja também</w:t>
      </w:r>
      <w:r>
        <w:t xml:space="preserve"> </w:t>
      </w:r>
      <w:r>
        <w:t>Apócrifos: Tomé, Atos de, Tomé, Evangelho de</w:t>
      </w:r>
      <w:r>
        <w:t xml:space="preserve">; </w:t>
      </w:r>
      <w:r>
        <w:t>Apóstolo, Apostolado</w:t>
      </w:r>
      <w:r>
        <w:t>.</w:t>
      </w:r>
      <w:r/>
      <w:r/>
    </w:p>
    <w:p>
      <w:r/>
    </w:p>
    <w:p>
      <w:pPr>
        <w:pStyle w:val="Heading2"/>
      </w:pPr>
      <w:r>
        <w:t>Torá*</w:t>
      </w:r>
      <w:r/>
    </w:p>
    <w:p>
      <w:r/>
      <w:r>
        <w:t xml:space="preserve">Palavra traduzida “lei” no AT, derivada da raiz verbal hebraica </w:t>
      </w:r>
      <w:r>
        <w:rPr>
          <w:i/>
        </w:rPr>
        <w:t>yarah</w:t>
      </w:r>
      <w:r>
        <w:t>, que significa “lançar” ou “atirar”. A ideia por trás da palavra é informar, instruir, dirigir ou guiar. Na tradição judaica, é mais frequentemente usada para designar o texto dos primeiros cinco livros da Bíblia, também chamado de Pentateuco. De forma bem apropriada, no entanto, a palavra tem um significado mais amplo, reconhecido pelo uso do AT, que abrange todas as diretivas que vêm de Deus. Isso é verdade no NT também, onde torá — representada pelo grego "nomos" — pode se referir tanto legislação mosaica (</w:t>
      </w:r>
      <w:hyperlink r:id="rId10700">
        <w:r>
          <w:rPr>
            <w:color w:val="0000EE"/>
            <w:u w:val="single"/>
          </w:rPr>
          <w:t>Rm 7.14</w:t>
        </w:r>
      </w:hyperlink>
      <w:r>
        <w:t>) quanto um amplo princípio comportamental (</w:t>
      </w:r>
      <w:hyperlink r:id="rId20276">
        <w:r>
          <w:rPr>
            <w:color w:val="0000EE"/>
            <w:u w:val="single"/>
          </w:rPr>
          <w:t>9.31</w:t>
        </w:r>
      </w:hyperlink>
      <w:r>
        <w:t>).</w:t>
      </w:r>
    </w:p>
    <w:p>
      <w:r/>
      <w:r>
        <w:t xml:space="preserve">Para o judeu, a lei inclui o que foi chamado de “Torá oral”, isto é, os ensinamentos dos rabinos e dos pais venerados do judaísmo ao longo dos séculos. Essa tradição verbal, embora não faça parte dos livros canônicos do AT, busca interpretar os textos da Lei para permitir que as pessoas cumpram a vontade de Deus. Esse método muitas vezes resultou em uma diminuição das exigências da Lei por meio de reinterpretá-las. Sem adoração no templo, sacerdócio ou sacrifício — todos prescritos pela Torá — tal compromisso com as exigências da Torá se tornou inevitável. Essas tradições orais estavam firmemente enraizadas na época do advento de Cristo e foram consideradas por muitos judeus como implícitas na Torá dada a Moisés (cf. </w:t>
      </w:r>
      <w:hyperlink r:id="rId12404">
        <w:r>
          <w:rPr>
            <w:color w:val="0000EE"/>
            <w:u w:val="single"/>
          </w:rPr>
          <w:t>Mc 7.3</w:t>
        </w:r>
      </w:hyperlink>
      <w:r>
        <w:t>).</w:t>
      </w:r>
    </w:p>
    <w:p>
      <w:r/>
      <w:r>
        <w:t>Os fariseus acreditavam que o fracasso dos judeus em obedecer à Torá resultou no grande cativeiro babilônico no sétimo século a.C. Além disso, é comumente ensinado que até que a Torá seja rigorosamente seguida por todos os judeus, o Messias não aparecerá na terra.</w:t>
      </w:r>
    </w:p>
    <w:p>
      <w:r/>
      <w:r>
        <w:t xml:space="preserve">Para os saduceus, a Torá representava a única parte do AT que eles aceitavam como autoritativa. Sua tendência, no entanto, era minimizar os elementos sobrenaturais no Pentateuco. Ao contrário de seu ponto de vista sobre a ressurreição, Jesus Cristo citou a Torá para afirmar a vida eterna (cf. </w:t>
      </w:r>
      <w:hyperlink r:id="rId20277">
        <w:r>
          <w:rPr>
            <w:color w:val="0000EE"/>
            <w:u w:val="single"/>
          </w:rPr>
          <w:t>Mt 22.31–32</w:t>
        </w:r>
      </w:hyperlink>
      <w:r>
        <w:t>).</w:t>
      </w:r>
    </w:p>
    <w:p>
      <w:r/>
      <w:r>
        <w:t xml:space="preserve">Desde os tempos mais antigos, a leitura da Torá na sinagoga tem sido acompanhada de grande cerimônia. Ser chamado para ler desses pergaminhos sagrados é uma alta honra. É escrito em hebraico por um especialista altamente qualificado conhecido como um </w:t>
      </w:r>
      <w:r>
        <w:rPr>
          <w:i/>
        </w:rPr>
        <w:t>sofer</w:t>
      </w:r>
      <w:r>
        <w:t xml:space="preserve">, ou escriba. A Torá é encontrada na forma de um rolo, cujo pergaminho é feito de pele de animais cerimonialmente limpos. As varas ao redor das quais a Torá é enrolada são geralmente de madeira, prata ou marfim. As extremidades ornamentadas das varas são magníficas criações estéticas frequentemente forjadas em metais e pedras preciosas. Uma pessoa que lê o pergaminho usa um ponteiro delicado, chamado de </w:t>
      </w:r>
      <w:r>
        <w:rPr>
          <w:i/>
        </w:rPr>
        <w:t>yad</w:t>
      </w:r>
      <w:r>
        <w:t>, para seguir as palavras. O uso do ponteiro protege o pergaminho, que em breve se desgastaria pelo contato constante de dedos sobre o fino manuscrito. Além disso, o yad minimiza a possibilidade de erro na recitação oral, impedindo que o leitor perca seu lugar e possivelmente pule algumas palavras da revelação sagrada de Deus.</w:t>
      </w:r>
    </w:p>
    <w:p>
      <w:r/>
      <w:r>
        <w:t>Na ortodoxia judaica, é sustentado que, na medida em que a Torá era o presente de Deus a Israel, as nações gentias não são obrigadas a se submeter aos seus regulamentos. No entanto, Maimônides, o estudioso judeu medieval, ensinava que os gentios teriam uma participação no mundo que viria obedecendo à aliança que Deus fez com Noé. Sete mandamentos estão comumente ligados a esse acordo, a saber, a abstenção da idolatria, incesto, derramamento de sangue, profanação do nome de Deus, injustiça, roubo e comer a carne de animais vivos.</w:t>
      </w:r>
    </w:p>
    <w:p>
      <w:r/>
      <w:r>
        <w:t xml:space="preserve">A nova aliança sustenta que a Torá, enquanto um estágio necessário no processo da redenção, nunca foi dada para permitir que os indivíduos recebam a salvação com base na obediência à lei. Embora </w:t>
      </w:r>
      <w:hyperlink r:id="rId20278">
        <w:r>
          <w:rPr>
            <w:color w:val="0000EE"/>
            <w:u w:val="single"/>
          </w:rPr>
          <w:t>Levítico 18.5</w:t>
        </w:r>
      </w:hyperlink>
      <w:r>
        <w:t xml:space="preserve"> pareça sugerir a possibilidade de alcançar a justiça por meio do trabalho, a obediência impecável à vontade de Deus está além do alcance da humanidade caída. O AT claramente deu testemunho do papel da graça na redenção revelando o grande patriarca Abraão como sendo justificado pela fé (</w:t>
      </w:r>
      <w:hyperlink r:id="rId790">
        <w:r>
          <w:rPr>
            <w:color w:val="0000EE"/>
            <w:u w:val="single"/>
          </w:rPr>
          <w:t>Gn 15</w:t>
        </w:r>
      </w:hyperlink>
      <w:r>
        <w:t>). Uma vez que essa aliança precedeu a Torá por quatro séculos, apresenta-se um testemunho inalterável da maneira como Deus recebe pessoas pecadoras. Uma função primordial da lei é revelar a condição espiritual caída das pessoas e, assim, servir como um tutor que as leva a Cristo (</w:t>
      </w:r>
      <w:hyperlink r:id="rId12839">
        <w:r>
          <w:rPr>
            <w:color w:val="0000EE"/>
            <w:u w:val="single"/>
          </w:rPr>
          <w:t>Gl 3.24</w:t>
        </w:r>
      </w:hyperlink>
      <w:r>
        <w:t>). Como um pecador é exposto às demandas da lei, ele ou ela está convicto de grande pecaminosidade (</w:t>
      </w:r>
      <w:hyperlink r:id="rId20279">
        <w:r>
          <w:rPr>
            <w:color w:val="0000EE"/>
            <w:u w:val="single"/>
          </w:rPr>
          <w:t>Rm 7.7</w:t>
        </w:r>
      </w:hyperlink>
      <w:r>
        <w:t>) e, consequentemente, busca a graça de Deus em Cristo. Fica claro que Jesus Cristo tinha alta consideração pela Torá, sendo o propósito de seu ministério o cumprimento de seu conteúdo. Essa grande obra de satisfazer as exigências da lei é considerada na vida de todos que confiam a Cristo; Ele é o fim da lei para que todos os que têm fé nele possam ser justificados (</w:t>
      </w:r>
      <w:hyperlink r:id="rId10910">
        <w:r>
          <w:rPr>
            <w:color w:val="0000EE"/>
            <w:u w:val="single"/>
          </w:rPr>
          <w:t>Rm 10.4</w:t>
        </w:r>
      </w:hyperlink>
      <w:r>
        <w:t>).</w:t>
      </w:r>
    </w:p>
    <w:p>
      <w:r/>
      <w:r>
        <w:rPr>
          <w:i/>
        </w:rPr>
        <w:t>Veja também</w:t>
      </w:r>
      <w:r>
        <w:t xml:space="preserve"> </w:t>
      </w:r>
      <w:r>
        <w:t>Judaísmo</w:t>
      </w:r>
      <w:r>
        <w:t xml:space="preserve">; </w:t>
      </w:r>
      <w:r>
        <w:t>Lei, Conceito Bíblico de</w:t>
      </w:r>
      <w:r>
        <w:t xml:space="preserve">; </w:t>
      </w:r>
      <w:r>
        <w:t>Talmude</w:t>
      </w:r>
      <w:r>
        <w:t>.</w:t>
      </w:r>
      <w:r/>
      <w:r/>
    </w:p>
    <w:p>
      <w:r/>
    </w:p>
    <w:p>
      <w:pPr>
        <w:pStyle w:val="Heading2"/>
      </w:pPr>
      <w:r>
        <w:t>Torre de vigia</w:t>
      </w:r>
      <w:r/>
    </w:p>
    <w:p>
      <w:r/>
      <w:r>
        <w:t>Uma plataforma elevada que os agricultores utilizavam para vigiar a terra e os animais. Soldados usavam torres ou plataformas semelhantes para proteger suas cidades. Torres de vigia também foram construídas nos vinhedos da Palestina.</w:t>
      </w:r>
    </w:p>
    <w:p>
      <w:r/>
      <w:r>
        <w:t>Os vigias designados para as torres supervisionavam os vinhedos, protegendo-os de animais selvagens e ladrões (</w:t>
      </w:r>
      <w:hyperlink r:id="rId576">
        <w:r>
          <w:rPr>
            <w:color w:val="0000EE"/>
            <w:u w:val="single"/>
          </w:rPr>
          <w:t>Is 5.2</w:t>
        </w:r>
      </w:hyperlink>
      <w:r>
        <w:t xml:space="preserve">; </w:t>
      </w:r>
      <w:hyperlink r:id="rId9750">
        <w:r>
          <w:rPr>
            <w:color w:val="0000EE"/>
            <w:u w:val="single"/>
          </w:rPr>
          <w:t>Mt 21.33</w:t>
        </w:r>
      </w:hyperlink>
      <w:r>
        <w:t xml:space="preserve">; </w:t>
      </w:r>
      <w:hyperlink r:id="rId20280">
        <w:r>
          <w:rPr>
            <w:color w:val="0000EE"/>
            <w:u w:val="single"/>
          </w:rPr>
          <w:t>Mc 12.1</w:t>
        </w:r>
      </w:hyperlink>
      <w:r>
        <w:t>). Estruturas de torres de vigia ainda são usadas na Palestina. Alguns dos edifícios das torres também servem como alojamentos para os trabalhadores dos vinhedos.</w:t>
      </w:r>
    </w:p>
    <w:p>
      <w:r/>
      <w:r>
        <w:t xml:space="preserve">Algumas torres de vigia, como a torre de Éder em </w:t>
      </w:r>
      <w:hyperlink r:id="rId7536">
        <w:r>
          <w:rPr>
            <w:color w:val="0000EE"/>
            <w:u w:val="single"/>
          </w:rPr>
          <w:t>Gênesis 35.21</w:t>
        </w:r>
      </w:hyperlink>
      <w:r>
        <w:t>, foram construídas em áreas selvagens. Elas forneciam um abrigo seguro para que os pastores pudessem vigiar seus rebanhos. Algumas torres eram postos avançados fortificados para que os vigias protegessem uma cidade, resguardando o tráfego comercial de ladrões (</w:t>
      </w:r>
      <w:hyperlink r:id="rId8875">
        <w:r>
          <w:rPr>
            <w:color w:val="0000EE"/>
            <w:u w:val="single"/>
          </w:rPr>
          <w:t>2Rs 18.8</w:t>
        </w:r>
      </w:hyperlink>
      <w:r>
        <w:t xml:space="preserve">; </w:t>
      </w:r>
      <w:hyperlink r:id="rId20281">
        <w:r>
          <w:rPr>
            <w:color w:val="0000EE"/>
            <w:u w:val="single"/>
          </w:rPr>
          <w:t>2Cr 20.24</w:t>
        </w:r>
      </w:hyperlink>
      <w:r>
        <w:t xml:space="preserve">; </w:t>
      </w:r>
      <w:hyperlink r:id="rId1628">
        <w:r>
          <w:rPr>
            <w:color w:val="0000EE"/>
            <w:u w:val="single"/>
          </w:rPr>
          <w:t>Is 32.14</w:t>
        </w:r>
      </w:hyperlink>
      <w:r>
        <w:t>).</w:t>
      </w:r>
      <w:r/>
      <w:r/>
    </w:p>
    <w:p>
      <w:r/>
    </w:p>
    <w:p>
      <w:pPr>
        <w:pStyle w:val="Heading2"/>
      </w:pPr>
      <w:r>
        <w:t>Trabalho</w:t>
      </w:r>
      <w:r/>
    </w:p>
    <w:p>
      <w:r/>
      <w:r>
        <w:t>Um termo que se refere à atividade de Deus ou à profissão regular das pessoas.</w:t>
      </w:r>
    </w:p>
    <w:p>
      <w:pPr>
        <w:pStyle w:val="Heading3"/>
      </w:pPr>
      <w:r>
        <w:t>O valor do trabalho</w:t>
      </w:r>
    </w:p>
    <w:p>
      <w:r/>
      <w:r>
        <w:t>A perspectiva positiva da Bíblia sobre o trabalho está enraizada em seu ensino sobre Deus. Ao contrário de outros escritos religiosos antigos, que viam a criação como algo abaixo da dignidade do Ser Supremo, as Escrituras descrevem Deus sem constrangimento como um trabalhador. Como um trabalhador manual, ele fez o universo como “a obra de seus dedos” (</w:t>
      </w:r>
      <w:hyperlink r:id="rId13328">
        <w:r>
          <w:rPr>
            <w:color w:val="0000EE"/>
            <w:u w:val="single"/>
          </w:rPr>
          <w:t>Sl 8.3</w:t>
        </w:r>
      </w:hyperlink>
      <w:r>
        <w:t>). Ele trabalhou com sua matéria-prima assim como um oleiro trabalha com a argila (</w:t>
      </w:r>
      <w:hyperlink r:id="rId3964">
        <w:r>
          <w:rPr>
            <w:color w:val="0000EE"/>
            <w:u w:val="single"/>
          </w:rPr>
          <w:t>Is 45.9</w:t>
        </w:r>
      </w:hyperlink>
      <w:r>
        <w:t>). O desenvolvimento intricado do feto no útero e a vasta e magnífica extensão do céu ambos exibem sua habilidade suprema (</w:t>
      </w:r>
      <w:hyperlink r:id="rId20282">
        <w:r>
          <w:rPr>
            <w:color w:val="0000EE"/>
            <w:u w:val="single"/>
          </w:rPr>
          <w:t>Sl 139.13–16</w:t>
        </w:r>
      </w:hyperlink>
      <w:r>
        <w:t xml:space="preserve">; </w:t>
      </w:r>
      <w:hyperlink r:id="rId6896">
        <w:r>
          <w:rPr>
            <w:color w:val="0000EE"/>
            <w:u w:val="single"/>
          </w:rPr>
          <w:t>19.1</w:t>
        </w:r>
      </w:hyperlink>
      <w:r>
        <w:t>). De fato, toda a criação testemunha sua sabedoria e habilidade (</w:t>
      </w:r>
      <w:hyperlink r:id="rId6843">
        <w:r>
          <w:rPr>
            <w:color w:val="0000EE"/>
            <w:u w:val="single"/>
          </w:rPr>
          <w:t>104.24</w:t>
        </w:r>
      </w:hyperlink>
      <w:r>
        <w:t>). O Criador todo-poderoso até teve seu dia de descanso (</w:t>
      </w:r>
      <w:hyperlink r:id="rId18737">
        <w:r>
          <w:rPr>
            <w:color w:val="0000EE"/>
            <w:u w:val="single"/>
          </w:rPr>
          <w:t>Gn 2.2–3</w:t>
        </w:r>
      </w:hyperlink>
      <w:r>
        <w:t>) e experimentou satisfação no trabalho ao contemplar suas realizações no final da semana (</w:t>
      </w:r>
      <w:hyperlink r:id="rId10706">
        <w:r>
          <w:rPr>
            <w:color w:val="0000EE"/>
            <w:u w:val="single"/>
          </w:rPr>
          <w:t>1.31</w:t>
        </w:r>
      </w:hyperlink>
      <w:r>
        <w:t>).</w:t>
      </w:r>
    </w:p>
    <w:p>
      <w:r/>
      <w:r>
        <w:t>Esta descrição bíblica vívida de um Deus trabalhador atinge seu clímax com a encarnação de Jesus. O “trabalho” que Jesus recebeu para fazer (</w:t>
      </w:r>
      <w:hyperlink r:id="rId20283">
        <w:r>
          <w:rPr>
            <w:color w:val="0000EE"/>
            <w:u w:val="single"/>
          </w:rPr>
          <w:t>Jo 4.34</w:t>
        </w:r>
      </w:hyperlink>
      <w:r>
        <w:t>) foi, é claro, a tarefa única da redenção. Mas ele também era um trabalhador no sentido comum. Seus contemporâneos o conheciam como “um carpinteiro” (</w:t>
      </w:r>
      <w:hyperlink r:id="rId4331">
        <w:r>
          <w:rPr>
            <w:color w:val="0000EE"/>
            <w:u w:val="single"/>
          </w:rPr>
          <w:t>Mc 6.3</w:t>
        </w:r>
      </w:hyperlink>
      <w:r>
        <w:t>). Nos tempos do NT, carpintaria e marcenaria eram ramos da construção civil. Portanto, o Jesus que entrou no templo, derrubando as mesas e expulsando os homens e animais (</w:t>
      </w:r>
      <w:hyperlink r:id="rId20284">
        <w:r>
          <w:rPr>
            <w:color w:val="0000EE"/>
            <w:u w:val="single"/>
          </w:rPr>
          <w:t>Jo 2.14–16</w:t>
        </w:r>
      </w:hyperlink>
      <w:r>
        <w:t>), não era um fraco pálido, mas um trabalhador cujas mãos haviam sido endurecidas por anos de esforço com o machado, serra e martelo. O trabalho duro e físico não estava abaixo da dignidade do Filho de Deus.</w:t>
      </w:r>
    </w:p>
    <w:p>
      <w:r/>
      <w:r>
        <w:t>Se o ensino da Bíblia sobre Deus valoriza a dignidade do trabalho, seu relato sobre a criação da humanidade confere a toda tarefa humana a marca da normalidade. Deus “tomou, pois, o Senhor Deus ao homem e o colocou no jardim do Éden para o cultivar e o guardar”. (</w:t>
      </w:r>
      <w:hyperlink r:id="rId6089">
        <w:r>
          <w:rPr>
            <w:color w:val="0000EE"/>
            <w:u w:val="single"/>
          </w:rPr>
          <w:t>Gn 2.15</w:t>
        </w:r>
      </w:hyperlink>
      <w:r>
        <w:t>). E o primeiro mandamento de Deus, “encher a terra e subjugá-la” (</w:t>
      </w:r>
      <w:hyperlink r:id="rId6088">
        <w:r>
          <w:rPr>
            <w:color w:val="0000EE"/>
            <w:u w:val="single"/>
          </w:rPr>
          <w:t>1.28</w:t>
        </w:r>
      </w:hyperlink>
      <w:r>
        <w:t xml:space="preserve">), implicava uma grande quantidade de trabalho tanto para o homem quanto para a mulher. De maneira relevante, as pessoas hoje estão obedecendo a esse comando de seu Criador quando realizam seu trabalho diário, quer reconheçam isso ou não. O trabalho, portanto, não surgiu no mundo como um resultado direto da queda devido o pecado (embora o pecado tenha prejudicado as condições de trabalho, </w:t>
      </w:r>
      <w:hyperlink r:id="rId11008">
        <w:r>
          <w:rPr>
            <w:color w:val="0000EE"/>
            <w:u w:val="single"/>
          </w:rPr>
          <w:t>3.17–19</w:t>
        </w:r>
      </w:hyperlink>
      <w:r>
        <w:t>). O trabalho foi planejado por Deus desde o alvorecer da história para o bem da humanidade — tão natural para os homens e mulheres quanto o pôr do sol é hoje (</w:t>
      </w:r>
      <w:hyperlink r:id="rId20285">
        <w:r>
          <w:rPr>
            <w:color w:val="0000EE"/>
            <w:u w:val="single"/>
          </w:rPr>
          <w:t>Sl 104.19–23</w:t>
        </w:r>
      </w:hyperlink>
      <w:r>
        <w:t>).</w:t>
      </w:r>
    </w:p>
    <w:p>
      <w:r/>
      <w:r>
        <w:t>Com esta ênfase firme na dignidade e normalidade do trabalho, não é surpresa descobrir que as Escrituras condenam fortemente a ociosidade. “Vai ter com a formiga, ó preguiçoso; olha para os seus caminhos, e sê sábio” (</w:t>
      </w:r>
      <w:hyperlink r:id="rId9610">
        <w:r>
          <w:rPr>
            <w:color w:val="0000EE"/>
            <w:u w:val="single"/>
          </w:rPr>
          <w:t>Pv 6.6</w:t>
        </w:r>
      </w:hyperlink>
      <w:r>
        <w:t>, ACF). Paulo é igualmente direto: “Se alguém não quiser trabalhar, não coma também” (</w:t>
      </w:r>
      <w:hyperlink r:id="rId20286">
        <w:r>
          <w:rPr>
            <w:color w:val="0000EE"/>
            <w:u w:val="single"/>
          </w:rPr>
          <w:t>2Ts 3.10</w:t>
        </w:r>
      </w:hyperlink>
      <w:r>
        <w:t>, ACF). Ele deu um bom exemplo (</w:t>
      </w:r>
      <w:hyperlink r:id="rId20287">
        <w:r>
          <w:rPr>
            <w:color w:val="0000EE"/>
            <w:u w:val="single"/>
          </w:rPr>
          <w:t>At 20.33–35</w:t>
        </w:r>
      </w:hyperlink>
      <w:r>
        <w:t xml:space="preserve">; </w:t>
      </w:r>
      <w:hyperlink r:id="rId9101">
        <w:r>
          <w:rPr>
            <w:color w:val="0000EE"/>
            <w:u w:val="single"/>
          </w:rPr>
          <w:t>1Ts 2.9</w:t>
        </w:r>
      </w:hyperlink>
      <w:r>
        <w:t>). Aqueles que se negam a trabalhar, ele insiste, mesmo por razões espirituais, não ganham respeito de observadores não cristãos dependendo dos outros para pagar suas contas (</w:t>
      </w:r>
      <w:hyperlink r:id="rId20288">
        <w:r>
          <w:rPr>
            <w:color w:val="0000EE"/>
            <w:u w:val="single"/>
          </w:rPr>
          <w:t>1Ts 4.11–12</w:t>
        </w:r>
      </w:hyperlink>
      <w:r>
        <w:t>). Os que ganham o próprio sustento, por outro lado, têm os recursos materiais para o serviço cristão (</w:t>
      </w:r>
      <w:hyperlink r:id="rId13782">
        <w:r>
          <w:rPr>
            <w:color w:val="0000EE"/>
            <w:u w:val="single"/>
          </w:rPr>
          <w:t>Ef 4.28</w:t>
        </w:r>
      </w:hyperlink>
      <w:r>
        <w:t>).</w:t>
      </w:r>
    </w:p>
    <w:p>
      <w:pPr>
        <w:pStyle w:val="Heading3"/>
      </w:pPr>
      <w:r>
        <w:t>Vocações</w:t>
      </w:r>
    </w:p>
    <w:p>
      <w:r/>
      <w:r>
        <w:t>Nos tempos bíblicos, os gregos e romanos catalogavam os empregos de acordo com a importância ou desejabilidade. O trabalho manual de rotina, por exemplo, era considerado inferior ao trabalho envolvendo atividade mental.</w:t>
      </w:r>
    </w:p>
    <w:p>
      <w:r/>
      <w:r>
        <w:t>O ensino judaico contrasta fortemente com esta atitude. “Não odeie o trabalho árduo”, ensinava os rabinos (</w:t>
      </w:r>
      <w:hyperlink r:id="rId20289">
        <w:r>
          <w:rPr>
            <w:color w:val="0000EE"/>
            <w:u w:val="single"/>
          </w:rPr>
          <w:t>Eclo 7.15</w:t>
        </w:r>
      </w:hyperlink>
      <w:r>
        <w:t xml:space="preserve">). Até o estudioso tinha que passar algum tempo no trabalho manual. Alguns comércios, como a de curtidor, foram consideradas como indesejáveis (um tabu quebrado muito rapidamente pela igreja primitiva — veja </w:t>
      </w:r>
      <w:hyperlink r:id="rId6438">
        <w:r>
          <w:rPr>
            <w:color w:val="0000EE"/>
            <w:u w:val="single"/>
          </w:rPr>
          <w:t>Atos 9.43</w:t>
        </w:r>
      </w:hyperlink>
      <w:r>
        <w:t>), mas não há indicação na Bíblia de que alguns trabalhos sejam mais valiosos do que outros aos olhos de Deus. O Senhor chama os artesãos para seu serviço (</w:t>
      </w:r>
      <w:hyperlink r:id="rId20290">
        <w:r>
          <w:rPr>
            <w:color w:val="0000EE"/>
            <w:u w:val="single"/>
          </w:rPr>
          <w:t>Êx 31.1–11</w:t>
        </w:r>
      </w:hyperlink>
      <w:r>
        <w:t>), tanto quanto profetas (</w:t>
      </w:r>
      <w:hyperlink r:id="rId20291">
        <w:r>
          <w:rPr>
            <w:color w:val="0000EE"/>
            <w:u w:val="single"/>
          </w:rPr>
          <w:t>Is 6.8–9</w:t>
        </w:r>
      </w:hyperlink>
      <w:r>
        <w:t>). Assim, Amós foi convocado de sua colheita de frutas para profetizar (</w:t>
      </w:r>
      <w:hyperlink r:id="rId17569">
        <w:r>
          <w:rPr>
            <w:color w:val="0000EE"/>
            <w:u w:val="single"/>
          </w:rPr>
          <w:t>Am 7.14–15</w:t>
        </w:r>
      </w:hyperlink>
      <w:r>
        <w:t>), mas sem qualquer sugestão de que estava sendo promovido a um papel superior. O importante não era a natureza da profissão, mas a prontidão para obedecer ao chamado de Deus e testemunhar fielmente a ele, qualquer que fosse o trabalho.</w:t>
      </w:r>
    </w:p>
    <w:p>
      <w:r/>
      <w:r>
        <w:t>A Bíblia tem algumas observações significativas a dizer sobre o relacionamento entre empregador e empregado. Os profetas do AT expressam a crítica mais forte. Deus está especialmente interessado em garantir que os fracos recebam justiça (</w:t>
      </w:r>
      <w:hyperlink r:id="rId15916">
        <w:r>
          <w:rPr>
            <w:color w:val="0000EE"/>
            <w:u w:val="single"/>
          </w:rPr>
          <w:t>Is 1.17</w:t>
        </w:r>
      </w:hyperlink>
      <w:r>
        <w:t xml:space="preserve">; </w:t>
      </w:r>
      <w:hyperlink r:id="rId347">
        <w:r>
          <w:rPr>
            <w:color w:val="0000EE"/>
            <w:u w:val="single"/>
          </w:rPr>
          <w:t>Mq 6.8</w:t>
        </w:r>
      </w:hyperlink>
      <w:r>
        <w:t>). Então, naturalmente, seus porta-vozes declaram sua ira quando empregadores exploram seus trabalhadores e os enganam com seus salários (</w:t>
      </w:r>
      <w:hyperlink r:id="rId18646">
        <w:r>
          <w:rPr>
            <w:color w:val="0000EE"/>
            <w:u w:val="single"/>
          </w:rPr>
          <w:t>Jr 22.13</w:t>
        </w:r>
      </w:hyperlink>
      <w:r>
        <w:t xml:space="preserve">; </w:t>
      </w:r>
      <w:hyperlink r:id="rId450">
        <w:r>
          <w:rPr>
            <w:color w:val="0000EE"/>
            <w:u w:val="single"/>
          </w:rPr>
          <w:t>Ml 3.5</w:t>
        </w:r>
      </w:hyperlink>
      <w:r>
        <w:t xml:space="preserve">; cf. </w:t>
      </w:r>
      <w:hyperlink r:id="rId10789">
        <w:r>
          <w:rPr>
            <w:color w:val="0000EE"/>
            <w:u w:val="single"/>
          </w:rPr>
          <w:t>Tg 5.4</w:t>
        </w:r>
      </w:hyperlink>
      <w:r>
        <w:t>). A responsabilidade de uma pessoa que quer agradar a Deus: “Parem de explorar seus empregados, não maltratem os seus servos” (</w:t>
      </w:r>
      <w:hyperlink r:id="rId12436">
        <w:r>
          <w:rPr>
            <w:color w:val="0000EE"/>
            <w:u w:val="single"/>
          </w:rPr>
          <w:t>Is 58.6</w:t>
        </w:r>
      </w:hyperlink>
      <w:r>
        <w:t>, NBV).</w:t>
      </w:r>
    </w:p>
    <w:p>
      <w:r/>
      <w:r>
        <w:t>Nos tempos bíblicos, as balanças eram pesadas em favor do empregador. Mas as Escrituras não são cegas para a existência de empregados egoístas e gananciosos. Cada trabalhador merece um salário justo (</w:t>
      </w:r>
      <w:hyperlink r:id="rId3554">
        <w:r>
          <w:rPr>
            <w:color w:val="0000EE"/>
            <w:u w:val="single"/>
          </w:rPr>
          <w:t>Lc 10.7</w:t>
        </w:r>
      </w:hyperlink>
      <w:r>
        <w:t>), mas aqueles com poder especial não devem tentar aumentar seu salário por ameaças e violência (</w:t>
      </w:r>
      <w:hyperlink r:id="rId11903">
        <w:r>
          <w:rPr>
            <w:color w:val="0000EE"/>
            <w:u w:val="single"/>
          </w:rPr>
          <w:t>3.14</w:t>
        </w:r>
      </w:hyperlink>
      <w:r>
        <w:t>).</w:t>
      </w:r>
    </w:p>
    <w:p>
      <w:pPr>
        <w:pStyle w:val="Heading3"/>
      </w:pPr>
      <w:r>
        <w:t>Trabalhando para Cristo</w:t>
      </w:r>
    </w:p>
    <w:p>
      <w:r/>
      <w:r>
        <w:t>Deus é um Deus trabalhador que é satisfeito quando seu povo trabalha com dedicação e conscientemente. Essa convicção está no coração do ensino da Bíblia sobre atitudes cristãs em relação ao trabalho secular. E de forma bastante natural, o NT estende a mesma ênfase positiva para cobrir todo o serviço cristão, pago ou não pago. O mundo é o campo de colheita de Deus, disse Jesus, esperando que os ceifeiros cristãos se movam e evangelizem (</w:t>
      </w:r>
      <w:hyperlink r:id="rId5113">
        <w:r>
          <w:rPr>
            <w:color w:val="0000EE"/>
            <w:u w:val="single"/>
          </w:rPr>
          <w:t>Mt 9.37–38</w:t>
        </w:r>
      </w:hyperlink>
      <w:r>
        <w:t>). Paulo usou a mesma ilustração agrícola e acrescentou outra do ramo da construção para descrever o trabalho do Senhor de evangelismo e ensino. (</w:t>
      </w:r>
      <w:hyperlink r:id="rId20292">
        <w:r>
          <w:rPr>
            <w:color w:val="0000EE"/>
            <w:u w:val="single"/>
          </w:rPr>
          <w:t>1Co 3.6–15</w:t>
        </w:r>
      </w:hyperlink>
      <w:r>
        <w:t>). Os líderes da igreja devem trabalhar especialmente duro, ele disse (</w:t>
      </w:r>
      <w:hyperlink r:id="rId20095">
        <w:r>
          <w:rPr>
            <w:color w:val="0000EE"/>
            <w:u w:val="single"/>
          </w:rPr>
          <w:t>1Ts 5.12</w:t>
        </w:r>
      </w:hyperlink>
      <w:r>
        <w:t xml:space="preserve">), para estimular </w:t>
      </w:r>
      <w:r>
        <w:rPr>
          <w:i/>
        </w:rPr>
        <w:t>todo</w:t>
      </w:r>
      <w:r>
        <w:t xml:space="preserve"> o povo de Deus a se envolver na obra do Senhor (</w:t>
      </w:r>
      <w:hyperlink r:id="rId5856">
        <w:r>
          <w:rPr>
            <w:color w:val="0000EE"/>
            <w:u w:val="single"/>
          </w:rPr>
          <w:t>1Co 15.58</w:t>
        </w:r>
      </w:hyperlink>
      <w:r>
        <w:t>). Todos os cristãos devem se ver como “cooperadores do trabalho de Deus” (</w:t>
      </w:r>
      <w:hyperlink r:id="rId4507">
        <w:r>
          <w:rPr>
            <w:color w:val="0000EE"/>
            <w:u w:val="single"/>
          </w:rPr>
          <w:t>3.9</w:t>
        </w:r>
      </w:hyperlink>
      <w:r>
        <w:t>).</w:t>
      </w:r>
      <w:r/>
      <w:r/>
    </w:p>
    <w:p>
      <w:r/>
    </w:p>
    <w:p>
      <w:pPr>
        <w:pStyle w:val="Heading2"/>
      </w:pPr>
      <w:r>
        <w:t>Traconites, Traconitis</w:t>
      </w:r>
      <w:r/>
    </w:p>
    <w:p>
      <w:r/>
      <w:r>
        <w:t>Uma das cinco províncias romanas a leste do Rio Jordão. As outras províncias romanas a leste do Rio Jordão eram Bataneia, Gaulanites, Auranites e Itureia. Esta região, que pode ter incluído partes de Gaulanites, Bataneia e Auranites, fazia parte da tetrarquia governada por Filipe, o irmão de Herodes (</w:t>
      </w:r>
      <w:hyperlink r:id="rId9463">
        <w:r>
          <w:rPr>
            <w:color w:val="0000EE"/>
            <w:u w:val="single"/>
          </w:rPr>
          <w:t>Lc 3.1</w:t>
        </w:r>
      </w:hyperlink>
      <w:r>
        <w:t xml:space="preserve">). Traconites era uma área árida localizada a nordeste do Mar da Galileia. Em aramaico, era conhecida como </w:t>
      </w:r>
      <w:r>
        <w:rPr>
          <w:i/>
        </w:rPr>
        <w:t>Argobe</w:t>
      </w:r>
      <w:r>
        <w:t>, que significa “monte de pedras”, descrevendo o terreno áspero e rochoso.</w:t>
      </w:r>
    </w:p>
    <w:p>
      <w:r/>
      <w:r>
        <w:t xml:space="preserve">Além da referência em Lucas, Traconites é raramente mencionada nos registros históricos. O historiador judeu Josefo sugere que Uz, filho de Arã (compare </w:t>
      </w:r>
      <w:hyperlink r:id="rId9935">
        <w:r>
          <w:rPr>
            <w:color w:val="0000EE"/>
            <w:u w:val="single"/>
          </w:rPr>
          <w:t>Gn 10.23</w:t>
        </w:r>
      </w:hyperlink>
      <w:r>
        <w:t>), colonizou a área. Os romanos assumiram o controle de Traconites quando Augusto derrotou um chefe de ladrões local, Zenodoro. Ele então deu a terra a Herodes, o Grande, com a condição de que ele suprimisse os bandidos. Após a morte de Herodes, seu filho Filipe herdou a terra, mas provavelmente só teve controle nominal sobre ela.</w:t>
      </w:r>
    </w:p>
    <w:p>
      <w:r/>
      <w:r>
        <w:t xml:space="preserve">Hoje, a região é chamada de </w:t>
      </w:r>
      <w:r>
        <w:rPr>
          <w:i/>
        </w:rPr>
        <w:t>el-Lejah</w:t>
      </w:r>
      <w:r>
        <w:t xml:space="preserve"> e está localizada no sul da Síria e no norte da Jordânia.</w:t>
      </w:r>
      <w:r/>
      <w:r/>
    </w:p>
    <w:p>
      <w:r/>
    </w:p>
    <w:p>
      <w:pPr>
        <w:pStyle w:val="Heading2"/>
      </w:pPr>
      <w:r>
        <w:t>Tradição</w:t>
      </w:r>
      <w:r/>
    </w:p>
    <w:p>
      <w:r/>
      <w:r>
        <w:t xml:space="preserve">O respeito pela tradição era especialmente forte entre judeus durante o período no início da era cristã. Entre essas tradições, a coleção mais importante era </w:t>
      </w:r>
      <w:r>
        <w:rPr>
          <w:i/>
        </w:rPr>
        <w:t>Pirke Aboth</w:t>
      </w:r>
      <w:r>
        <w:t xml:space="preserve"> (Tradições dos Pais). Esta consistia em comentários de rabinos famosos na explicação da Lei escrita. Isso, juntamente de uma crescente coleção de outras tradições rabínicas interpretando a Lei, tornou-se um comentário autoritativo sobre o código escrito. Esta coleção era considerada igual à Lei escrita.</w:t>
      </w:r>
    </w:p>
    <w:p>
      <w:r/>
      <w:r>
        <w:t>Os fariseus usaram a expressão “tradição dos anciãos” ao falar com Jesus sobre a lavagem das mãos (</w:t>
      </w:r>
      <w:hyperlink r:id="rId1394">
        <w:r>
          <w:rPr>
            <w:color w:val="0000EE"/>
            <w:u w:val="single"/>
          </w:rPr>
          <w:t>Mt 15.2</w:t>
        </w:r>
      </w:hyperlink>
      <w:r>
        <w:t xml:space="preserve">; </w:t>
      </w:r>
      <w:hyperlink r:id="rId8201">
        <w:r>
          <w:rPr>
            <w:color w:val="0000EE"/>
            <w:u w:val="single"/>
          </w:rPr>
          <w:t>Mc 7.5</w:t>
        </w:r>
      </w:hyperlink>
      <w:r>
        <w:t xml:space="preserve">). Em sua resposta, Jesus se referiu às “tradições dos homens,” destacando assim sua origem humana. Na verdade, em </w:t>
      </w:r>
      <w:hyperlink r:id="rId9114">
        <w:r>
          <w:rPr>
            <w:color w:val="0000EE"/>
            <w:u w:val="single"/>
          </w:rPr>
          <w:t>Marcos 7.8</w:t>
        </w:r>
      </w:hyperlink>
      <w:r>
        <w:t>, ele definitivamente colocou o mandamento de Deus acima dessas tradições, que haviam se tornado um fardo para o povo. Jesus criticou fortemente os escribas e fariseus pela maneira como essas tradições eram aplicadas (</w:t>
      </w:r>
      <w:hyperlink r:id="rId11856">
        <w:r>
          <w:rPr>
            <w:color w:val="0000EE"/>
            <w:u w:val="single"/>
          </w:rPr>
          <w:t>Mt 23</w:t>
        </w:r>
      </w:hyperlink>
      <w:r>
        <w:t>). Ele observou que a adesão à tradição havia se tornado mais importante do que o efeito moral e pessoal do ensino.</w:t>
      </w:r>
    </w:p>
    <w:p>
      <w:r/>
      <w:r>
        <w:rPr>
          <w:i/>
        </w:rPr>
        <w:t>Veja</w:t>
      </w:r>
      <w:r>
        <w:t xml:space="preserve"> </w:t>
      </w:r>
      <w:r>
        <w:t>Judaísmo</w:t>
      </w:r>
      <w:r>
        <w:t xml:space="preserve">; </w:t>
      </w:r>
      <w:r>
        <w:t>Lei, Conceito Bíblico de</w:t>
      </w:r>
      <w:r>
        <w:t xml:space="preserve">; </w:t>
      </w:r>
      <w:r>
        <w:t>Fariseus</w:t>
      </w:r>
      <w:r>
        <w:t xml:space="preserve">; </w:t>
      </w:r>
      <w:r>
        <w:t>Talmude</w:t>
      </w:r>
      <w:r>
        <w:t xml:space="preserve">; </w:t>
      </w:r>
      <w:r>
        <w:t>Oral, Tradição</w:t>
      </w:r>
      <w:r>
        <w:t>.</w:t>
      </w:r>
      <w:r/>
      <w:r/>
    </w:p>
    <w:p>
      <w:r/>
    </w:p>
    <w:p>
      <w:pPr>
        <w:pStyle w:val="Heading2"/>
      </w:pPr>
      <w:r>
        <w:t>Transfiguração*</w:t>
      </w:r>
      <w:r/>
    </w:p>
    <w:p>
      <w:r/>
      <w:r>
        <w:t>Evento no ministério terreno de Jesus descrito em quatro passagens no NT (</w:t>
      </w:r>
      <w:hyperlink r:id="rId10042">
        <w:r>
          <w:rPr>
            <w:color w:val="0000EE"/>
            <w:u w:val="single"/>
          </w:rPr>
          <w:t>Mt 17.1–8</w:t>
        </w:r>
      </w:hyperlink>
      <w:r>
        <w:t xml:space="preserve">; </w:t>
      </w:r>
      <w:hyperlink r:id="rId20293">
        <w:r>
          <w:rPr>
            <w:color w:val="0000EE"/>
            <w:u w:val="single"/>
          </w:rPr>
          <w:t>Mc 9.2–8</w:t>
        </w:r>
      </w:hyperlink>
      <w:r>
        <w:t xml:space="preserve">; </w:t>
      </w:r>
      <w:hyperlink r:id="rId7913">
        <w:r>
          <w:rPr>
            <w:color w:val="0000EE"/>
            <w:u w:val="single"/>
          </w:rPr>
          <w:t>Lc 9.28–36</w:t>
        </w:r>
      </w:hyperlink>
      <w:r>
        <w:t xml:space="preserve">; </w:t>
      </w:r>
      <w:hyperlink r:id="rId3746">
        <w:r>
          <w:rPr>
            <w:color w:val="0000EE"/>
            <w:u w:val="single"/>
          </w:rPr>
          <w:t>2Pe 1.16–18</w:t>
        </w:r>
      </w:hyperlink>
      <w:r>
        <w:t>), em que Jesus foi glorificado na presença de três discípulos: Tiago, Pedro e João.</w:t>
      </w:r>
    </w:p>
    <w:p>
      <w:pPr>
        <w:pStyle w:val="Heading3"/>
      </w:pPr>
      <w:r>
        <w:t>A localização do evento</w:t>
      </w:r>
    </w:p>
    <w:p>
      <w:r/>
      <w:r>
        <w:t xml:space="preserve">O local exato onde a transfiguração ocorreu não é dado no NT. </w:t>
      </w:r>
      <w:hyperlink r:id="rId20133">
        <w:r>
          <w:rPr>
            <w:color w:val="0000EE"/>
            <w:u w:val="single"/>
          </w:rPr>
          <w:t>Mateus 17.1</w:t>
        </w:r>
      </w:hyperlink>
      <w:r>
        <w:t xml:space="preserve"> e </w:t>
      </w:r>
      <w:hyperlink r:id="rId11955">
        <w:r>
          <w:rPr>
            <w:color w:val="0000EE"/>
            <w:u w:val="single"/>
          </w:rPr>
          <w:t>Marcos 9.2</w:t>
        </w:r>
      </w:hyperlink>
      <w:r>
        <w:t xml:space="preserve"> afirmam simplesmente que o evento ocorreu em uma “montanha alta”. Várias sugestões foram feitas sobre qual montanha, com o local tradicional sendo o Monte Tabor, uma colina redonda localizada na planície de Esdraelon, aproximadamente 16,1 quilômetros a sudoeste do Mar da Galileia. Há, no entanto, dois grandes problemas com este local sugerido. Por exemplo, é difícil ver como o Monte Tabor pode ser justificadamente chamado de “montanha alta”, pois está a menos de 609,6 metros acima do nível do mar. Segundo, no tempo de Jesus, uma guarnição romana estava estacionada no Monte Tabor, e assim seria improvável que Jesus tivesse caminhado com seus discípulos até esta montanha. Uma segunda sugestão para o local é o Monte Carmelo, que está localizado na costa, mas isso parece estar fora da rota principal da viagem de Jesus após os eventos de Cesareia de Filipe. Uma terceira sugestão é o Monte Hermom, que tem mais de 2.743,2 metros de altura e fica a cerca de 19,3 quilômetros a nordeste de Cesareia de Filipe. O Monte Hermom é de fato uma montanha alta com a vantagem adicional de estar localizado perto de Cesareia de Filipe.</w:t>
      </w:r>
    </w:p>
    <w:p>
      <w:pPr>
        <w:pStyle w:val="Heading3"/>
      </w:pPr>
      <w:r>
        <w:t>O evento</w:t>
      </w:r>
    </w:p>
    <w:p>
      <w:r/>
      <w:r>
        <w:t xml:space="preserve">Seis dias após os eventos de Cesareia de Filipe, Jesus levou Pedro, Tiago e João para estarem a sós com ele em uma montanha alta. Como em vários outros casos, apenas esses três discípulos acompanharam Jesus (cf. também </w:t>
      </w:r>
      <w:hyperlink r:id="rId18498">
        <w:r>
          <w:rPr>
            <w:color w:val="0000EE"/>
            <w:u w:val="single"/>
          </w:rPr>
          <w:t>Mc 5.35–43</w:t>
        </w:r>
      </w:hyperlink>
      <w:r>
        <w:t xml:space="preserve">; </w:t>
      </w:r>
      <w:hyperlink r:id="rId7876">
        <w:r>
          <w:rPr>
            <w:color w:val="0000EE"/>
            <w:u w:val="single"/>
          </w:rPr>
          <w:t>14.32–42</w:t>
        </w:r>
      </w:hyperlink>
      <w:r>
        <w:t>). De acordo com os relatos do Evangelho, três coisas ocorreram na transfiguração:</w:t>
      </w:r>
    </w:p>
    <w:p>
      <w:r/>
      <w:r>
        <w:t>1. “Ele foi transfigurado”. Os vários relatos testemunham uma transformação incomum de Jesus. Jesus é transfigurado: “Seu rosto brilhou como o sol, e suas vestes tornaram-se brancas como luz” (</w:t>
      </w:r>
      <w:hyperlink r:id="rId5615">
        <w:r>
          <w:rPr>
            <w:color w:val="0000EE"/>
            <w:u w:val="single"/>
          </w:rPr>
          <w:t>Mt 17.2</w:t>
        </w:r>
      </w:hyperlink>
      <w:r>
        <w:t xml:space="preserve">). Esta transformação é descrita em Mateus e Marcos pelo verbo grego </w:t>
      </w:r>
      <w:r>
        <w:rPr>
          <w:i/>
        </w:rPr>
        <w:t>metamorphoó</w:t>
      </w:r>
      <w:r>
        <w:t>, a raiz da palavra “metamorfose”. Isso indica que uma mudança tremenda ocorreu.</w:t>
      </w:r>
    </w:p>
    <w:p>
      <w:r/>
      <w:r>
        <w:t>2. Moisés e Elias apareceram e falaram com Jesus. Esses homens, que, sem dúvida, representam a Lei e os Profetas, são ditos que falaram com Jesus sobre seu “êxodo”, ou partida (</w:t>
      </w:r>
      <w:hyperlink r:id="rId20294">
        <w:r>
          <w:rPr>
            <w:color w:val="0000EE"/>
            <w:u w:val="single"/>
          </w:rPr>
          <w:t>Lc 9.31</w:t>
        </w:r>
      </w:hyperlink>
      <w:r>
        <w:t xml:space="preserve">). O termo usado em </w:t>
      </w:r>
      <w:hyperlink r:id="rId20294">
        <w:r>
          <w:rPr>
            <w:color w:val="0000EE"/>
            <w:u w:val="single"/>
          </w:rPr>
          <w:t>Lucas 9.31</w:t>
        </w:r>
      </w:hyperlink>
      <w:r>
        <w:t xml:space="preserve"> para descrever o “êxodo” de Jesus (ou morte) é bastante incomum e retrata claramente a morte de Jesus não como uma tragédia ou derrota, mas como uma jornada vitoriosa.</w:t>
      </w:r>
    </w:p>
    <w:p>
      <w:r/>
      <w:r>
        <w:t>3. Após a declaração de Pedro de que era bom que os três discípulos estivessem presentes e testemunhassem isso, e após sua proposta de que eles construíssem três cabanas, uma voz veio do céu, dizendo: “Este é meu Filho amado; ouçam-no” (</w:t>
      </w:r>
      <w:hyperlink r:id="rId8026">
        <w:r>
          <w:rPr>
            <w:color w:val="0000EE"/>
            <w:u w:val="single"/>
          </w:rPr>
          <w:t>Mc 9.7</w:t>
        </w:r>
      </w:hyperlink>
      <w:r>
        <w:t>). Essas palavras eram claramente uma repreensão por Pedro colocar Jesus no mesmo nível que Moisés e Elias. Fazer três cabanas (uma para Moisés, outra para Elias e outra para Jesus) perde de vista de quem é Jesus, e a voz do céu apontou o erro de Pedro. A repreensão também deve ser entendida à luz do que Pedro havia dito alguns dias antes em Cesareia de Filipe. Pedro havia esquecido que ele havia acabado de dizer a Jesus: “Você é o Cristo, o Filho do Deus vivo”?</w:t>
      </w:r>
    </w:p>
    <w:p>
      <w:pPr>
        <w:pStyle w:val="Heading3"/>
      </w:pPr>
      <w:r>
        <w:t>O significado do evento</w:t>
      </w:r>
    </w:p>
    <w:p>
      <w:r/>
      <w:r>
        <w:t xml:space="preserve">Para entender o significado da transfiguração, é importante contrastar a voz celestial na transfiguração de Jesus com a voz celestial no batismo de Jesus. No batismo, tanto </w:t>
      </w:r>
      <w:hyperlink r:id="rId3197">
        <w:r>
          <w:rPr>
            <w:color w:val="0000EE"/>
            <w:u w:val="single"/>
          </w:rPr>
          <w:t>Marcos 1.11</w:t>
        </w:r>
      </w:hyperlink>
      <w:r>
        <w:t xml:space="preserve"> quanto </w:t>
      </w:r>
      <w:hyperlink r:id="rId2895">
        <w:r>
          <w:rPr>
            <w:color w:val="0000EE"/>
            <w:u w:val="single"/>
          </w:rPr>
          <w:t>Lucas 3.22</w:t>
        </w:r>
      </w:hyperlink>
      <w:r>
        <w:t xml:space="preserve"> indicam que a voz foi dirigida a Jesus: “Você é meu Filho amado”. Na transfiguração, no entanto, a voz não é dirigida a Jesus, mas a Pedro, Tiago e João: “Este é meu Filho amado” (</w:t>
      </w:r>
      <w:hyperlink r:id="rId8026">
        <w:r>
          <w:rPr>
            <w:color w:val="0000EE"/>
            <w:u w:val="single"/>
          </w:rPr>
          <w:t>Mc 9.7</w:t>
        </w:r>
      </w:hyperlink>
      <w:r>
        <w:t xml:space="preserve">). Claramente, os eventos da transfiguração são principalmente direcionados aos discípulos, em vez de Jesus. “Ele foi transfigurado diante deles” (v. </w:t>
      </w:r>
      <w:hyperlink r:id="rId11955">
        <w:r>
          <w:rPr>
            <w:color w:val="0000EE"/>
            <w:u w:val="single"/>
          </w:rPr>
          <w:t>2</w:t>
        </w:r>
      </w:hyperlink>
      <w:r>
        <w:t xml:space="preserve">); “Apareceu-lhes Elias com Moisés” (v. </w:t>
      </w:r>
      <w:hyperlink r:id="rId20295">
        <w:r>
          <w:rPr>
            <w:color w:val="0000EE"/>
            <w:u w:val="single"/>
          </w:rPr>
          <w:t>4</w:t>
        </w:r>
      </w:hyperlink>
      <w:r>
        <w:t xml:space="preserve">); “Uma nuvem os cobriu com a sombra… ‘Ouçam-no’ (v. </w:t>
      </w:r>
      <w:hyperlink r:id="rId8026">
        <w:r>
          <w:rPr>
            <w:color w:val="0000EE"/>
            <w:u w:val="single"/>
          </w:rPr>
          <w:t>7</w:t>
        </w:r>
      </w:hyperlink>
      <w:r>
        <w:t xml:space="preserve">); ”Não viram mais ninguém com eles, mas apenas Jesus” (v. </w:t>
      </w:r>
      <w:hyperlink r:id="rId20296">
        <w:r>
          <w:rPr>
            <w:color w:val="0000EE"/>
            <w:u w:val="single"/>
          </w:rPr>
          <w:t>8</w:t>
        </w:r>
      </w:hyperlink>
      <w:r>
        <w:t>). Evidentemente, a partir dessas referências, o incidente não é tanto para o benefício de Jesus, mas sim para os discípulos. Seguindo de perto após os eventos de Cesareia de Filipe, Deus apareceu para afirmar na transfiguração o que Pedro havia confessado anteriormente em Cesareia de Filipe: Jesus é de fato o Cristo, o Filho de Deus.</w:t>
      </w:r>
    </w:p>
    <w:p>
      <w:r/>
      <w:r>
        <w:t xml:space="preserve">Em </w:t>
      </w:r>
      <w:hyperlink r:id="rId3746">
        <w:r>
          <w:rPr>
            <w:color w:val="0000EE"/>
            <w:u w:val="single"/>
          </w:rPr>
          <w:t>2 Pedro 1.16–18</w:t>
        </w:r>
      </w:hyperlink>
      <w:r>
        <w:t>, o escritor narra que ele era uma testemunha da transfiguração. João parece ter feito a mesma coisa quando escreveu o prólogo de seu Evangelho e disse: “Contemplamos a sua glória” (</w:t>
      </w:r>
      <w:hyperlink r:id="rId3743">
        <w:r>
          <w:rPr>
            <w:color w:val="0000EE"/>
            <w:u w:val="single"/>
          </w:rPr>
          <w:t>Jo 1.14</w:t>
        </w:r>
      </w:hyperlink>
      <w:r>
        <w:t>). Na transfiguração, a verdadeira forma (morphe do grego) do Filho de Deus rompeu temporariamente o véu de sua humanidade e os discípulos viram sua glória preexistente. Nesta transformação de Jesus, os três discípulos testemunharam algo da glória pré-encarnada de Jesus, bem como sua glória futura, que ele recebeu em sua ressurreição e que todos verão quando ele voltar para julgar o mundo.</w:t>
      </w:r>
    </w:p>
    <w:p>
      <w:r/>
      <w:r>
        <w:t xml:space="preserve">Quando Cristo retornar em sua glória, todos os crentes serão transfigurados e, assim, receberão um corpo glorioso e ressuscitado. Assim, a transfiguração de Cristo é a prévia da transfiguração de cada crente (veja </w:t>
      </w:r>
      <w:hyperlink r:id="rId10717">
        <w:r>
          <w:rPr>
            <w:color w:val="0000EE"/>
            <w:u w:val="single"/>
          </w:rPr>
          <w:t>1Co 15.42–45</w:t>
        </w:r>
      </w:hyperlink>
      <w:r>
        <w:t xml:space="preserve">; </w:t>
      </w:r>
      <w:hyperlink r:id="rId4779">
        <w:r>
          <w:rPr>
            <w:color w:val="0000EE"/>
            <w:u w:val="single"/>
          </w:rPr>
          <w:t>Fp 3.20–21</w:t>
        </w:r>
      </w:hyperlink>
      <w:r>
        <w:t xml:space="preserve">; </w:t>
      </w:r>
      <w:hyperlink r:id="rId10057">
        <w:r>
          <w:rPr>
            <w:color w:val="0000EE"/>
            <w:u w:val="single"/>
          </w:rPr>
          <w:t>Cl 3.4</w:t>
        </w:r>
      </w:hyperlink>
      <w:r>
        <w:t>).</w:t>
      </w:r>
    </w:p>
    <w:p>
      <w:r/>
      <w:r>
        <w:rPr>
          <w:i/>
        </w:rPr>
        <w:t>Veja também</w:t>
      </w:r>
      <w:r>
        <w:t xml:space="preserve"> </w:t>
      </w:r>
      <w:r>
        <w:t>Jesus Cristo, Vida e Ensinamentos de</w:t>
      </w:r>
      <w:r>
        <w:t>.</w:t>
      </w:r>
      <w:r/>
      <w:r/>
    </w:p>
    <w:p>
      <w:r/>
    </w:p>
    <w:p>
      <w:pPr>
        <w:pStyle w:val="Heading2"/>
      </w:pPr>
      <w:r>
        <w:t>Transjordânia</w:t>
      </w:r>
      <w:r/>
    </w:p>
    <w:p>
      <w:r/>
      <w:r>
        <w:t>Território no lado leste do rio Jordão. Embora esse nome não apareça na Bíblia, muitos eventos ocorreram lá na história bíblica. Hoje, a área corresponde aproximadamente ao reino da Jordânia. Nos tempos bíblicos, a área incluía Basã, Gileade, Amom, Moabe, Edom e as regiões desérticas mais ao leste. No AT, a expressão “além do Jordão” é frequentemente usada para essa área (</w:t>
      </w:r>
      <w:hyperlink r:id="rId2816">
        <w:r>
          <w:rPr>
            <w:color w:val="0000EE"/>
            <w:u w:val="single"/>
          </w:rPr>
          <w:t>Gn 50.10–11</w:t>
        </w:r>
      </w:hyperlink>
      <w:r>
        <w:t xml:space="preserve">; </w:t>
      </w:r>
      <w:hyperlink r:id="rId20297">
        <w:r>
          <w:rPr>
            <w:color w:val="0000EE"/>
            <w:u w:val="single"/>
          </w:rPr>
          <w:t>Dt 3.20</w:t>
        </w:r>
      </w:hyperlink>
      <w:r>
        <w:t xml:space="preserve">; </w:t>
      </w:r>
      <w:hyperlink r:id="rId20298">
        <w:r>
          <w:rPr>
            <w:color w:val="0000EE"/>
            <w:u w:val="single"/>
          </w:rPr>
          <w:t>4.47</w:t>
        </w:r>
      </w:hyperlink>
      <w:r>
        <w:t xml:space="preserve">; </w:t>
      </w:r>
      <w:hyperlink r:id="rId2794">
        <w:r>
          <w:rPr>
            <w:color w:val="0000EE"/>
            <w:u w:val="single"/>
          </w:rPr>
          <w:t>Js 9.10</w:t>
        </w:r>
      </w:hyperlink>
      <w:r>
        <w:t xml:space="preserve">; </w:t>
      </w:r>
      <w:hyperlink r:id="rId9700">
        <w:r>
          <w:rPr>
            <w:color w:val="0000EE"/>
            <w:u w:val="single"/>
          </w:rPr>
          <w:t>13.8</w:t>
        </w:r>
      </w:hyperlink>
      <w:r>
        <w:t xml:space="preserve">; </w:t>
      </w:r>
      <w:hyperlink r:id="rId4882">
        <w:r>
          <w:rPr>
            <w:color w:val="0000EE"/>
            <w:u w:val="single"/>
          </w:rPr>
          <w:t>18.7</w:t>
        </w:r>
      </w:hyperlink>
      <w:r>
        <w:t xml:space="preserve">; </w:t>
      </w:r>
      <w:hyperlink r:id="rId2725">
        <w:r>
          <w:rPr>
            <w:color w:val="0000EE"/>
            <w:u w:val="single"/>
          </w:rPr>
          <w:t>Jz 5.17</w:t>
        </w:r>
      </w:hyperlink>
      <w:r>
        <w:t>), embora a mesma expressão seja ocasionalmente usada para a área a oeste do Jordão (</w:t>
      </w:r>
      <w:hyperlink r:id="rId20299">
        <w:r>
          <w:rPr>
            <w:color w:val="0000EE"/>
            <w:u w:val="single"/>
          </w:rPr>
          <w:t>Dt 3.25</w:t>
        </w:r>
      </w:hyperlink>
      <w:r>
        <w:t xml:space="preserve">). Nos tempos do NT, essa área era conhecida como Pereia. </w:t>
      </w:r>
      <w:r>
        <w:rPr>
          <w:i/>
        </w:rPr>
        <w:t>Veja</w:t>
      </w:r>
      <w:r>
        <w:t xml:space="preserve"> </w:t>
      </w:r>
      <w:r>
        <w:t>Pereia</w:t>
      </w:r>
      <w:r>
        <w:t>.</w:t>
      </w:r>
      <w:r/>
      <w:r/>
    </w:p>
    <w:p>
      <w:r/>
    </w:p>
    <w:p>
      <w:pPr>
        <w:pStyle w:val="Heading2"/>
      </w:pPr>
      <w:r>
        <w:t>Três Vendas</w:t>
      </w:r>
      <w:r/>
    </w:p>
    <w:p>
      <w:r/>
      <w:r>
        <w:t>Um lugar onde os cristãos foram encontrar o apóstolo Paulo quando ele chegou em Roma (</w:t>
      </w:r>
      <w:hyperlink r:id="rId6293">
        <w:r>
          <w:rPr>
            <w:color w:val="0000EE"/>
            <w:u w:val="single"/>
          </w:rPr>
          <w:t>At 28.15</w:t>
        </w:r>
      </w:hyperlink>
      <w:r>
        <w:t>). Estava na Via Ápia, localizada no marco 33, aproximadamente 50 quilômetros. A Praça de Ápio está 16,1 quilômetros mais ao sul ao longo da mesma estrada. Três Vendas ficava perto da moderna Cisterna. Era um cruzamento importante entre a Via Ápia e a estrada de Antium para Norba. Assim, tornou-se um ponto de encontro comum para viajantes.</w:t>
      </w:r>
      <w:r/>
      <w:r/>
    </w:p>
    <w:p>
      <w:r/>
    </w:p>
    <w:p>
      <w:pPr>
        <w:pStyle w:val="Heading2"/>
      </w:pPr>
      <w:r>
        <w:t>Tribo de Levi</w:t>
      </w:r>
      <w:r/>
    </w:p>
    <w:p>
      <w:pPr>
        <w:pStyle w:val="Heading3"/>
      </w:pPr>
      <w:r>
        <w:t>O começo da tribo de Levi</w:t>
      </w:r>
    </w:p>
    <w:p>
      <w:r/>
      <w:r>
        <w:t>Os levitas eram uma das tribos de Israel. Eles são nomeados em homenagem a Levi, o terceiro filho de Lia e Jacó (</w:t>
      </w:r>
      <w:hyperlink r:id="rId12901">
        <w:r>
          <w:rPr>
            <w:color w:val="0000EE"/>
            <w:u w:val="single"/>
          </w:rPr>
          <w:t>Gn 29.34</w:t>
        </w:r>
      </w:hyperlink>
      <w:r>
        <w:t xml:space="preserve">). O nome Levi significa "unido", refletindo a esperança de Lia de que ter três filhos faria com que Jacó ficasse mais unido a ela como sua esposa. Essa ideia de ligação também aparece em </w:t>
      </w:r>
      <w:hyperlink r:id="rId7610">
        <w:r>
          <w:rPr>
            <w:color w:val="0000EE"/>
            <w:u w:val="single"/>
          </w:rPr>
          <w:t>Números 18.2</w:t>
        </w:r>
      </w:hyperlink>
      <w:r>
        <w:t>, onde a tribo de Levi é descrita como estando "unida" a Arão.</w:t>
      </w:r>
    </w:p>
    <w:p>
      <w:r/>
      <w:r>
        <w:t>Levi é mencionado pela primeira vez em conexão com o evento violento em Siquém, onde Levi e Simeão massacraram os habitantes da cidade em vingança pelo estupro de sua irmã, Diná (</w:t>
      </w:r>
      <w:hyperlink r:id="rId20300">
        <w:r>
          <w:rPr>
            <w:color w:val="0000EE"/>
            <w:u w:val="single"/>
          </w:rPr>
          <w:t>Gn 34.25–29</w:t>
        </w:r>
      </w:hyperlink>
      <w:r>
        <w:t>). Este ato trouxe uma repreensão de seu pai Jacó (</w:t>
      </w:r>
      <w:hyperlink r:id="rId9189">
        <w:r>
          <w:rPr>
            <w:color w:val="0000EE"/>
            <w:u w:val="single"/>
          </w:rPr>
          <w:t>Gn 34.30</w:t>
        </w:r>
      </w:hyperlink>
      <w:r>
        <w:t>), que também os amaldiçoou em seu leito de morte, prevendo que seus descendentes seriam espalhados por todo Israel (</w:t>
      </w:r>
      <w:hyperlink r:id="rId7179">
        <w:r>
          <w:rPr>
            <w:color w:val="0000EE"/>
            <w:u w:val="single"/>
          </w:rPr>
          <w:t>49.5–7</w:t>
        </w:r>
      </w:hyperlink>
      <w:r>
        <w:t>). Apesar dessa maldição, a tribo de Levi mais tarde se tornaria a tribo sacerdotal escolhida por Deus, enquanto Simeão eventualmente se fundiu na tribo de Judá.</w:t>
      </w:r>
    </w:p>
    <w:p>
      <w:pPr>
        <w:pStyle w:val="Heading3"/>
      </w:pPr>
      <w:r>
        <w:t>O papel especial dos levitas</w:t>
      </w:r>
    </w:p>
    <w:p>
      <w:r/>
      <w:r>
        <w:t>No início, Levi era uma tribo "comum" como as outras, sem nenhum papel religioso especial (</w:t>
      </w:r>
      <w:hyperlink r:id="rId14743">
        <w:r>
          <w:rPr>
            <w:color w:val="0000EE"/>
            <w:u w:val="single"/>
          </w:rPr>
          <w:t>Êx 2.1</w:t>
        </w:r>
      </w:hyperlink>
      <w:r>
        <w:t>). No entanto, isso mudou quando os levitas demonstraram sua lealdade a Deus durante a rebelião de Israel com o incidente do bezerro de ouro (</w:t>
      </w:r>
      <w:hyperlink r:id="rId3531">
        <w:r>
          <w:rPr>
            <w:color w:val="0000EE"/>
            <w:u w:val="single"/>
          </w:rPr>
          <w:t>Êx 32.25–29</w:t>
        </w:r>
      </w:hyperlink>
      <w:r>
        <w:t>). Como recompensa por sua fidelidade, Deus estabeleceu uma "aliança com Levi" (</w:t>
      </w:r>
      <w:hyperlink r:id="rId828">
        <w:r>
          <w:rPr>
            <w:color w:val="0000EE"/>
            <w:u w:val="single"/>
          </w:rPr>
          <w:t>Nm 18.19</w:t>
        </w:r>
      </w:hyperlink>
      <w:r>
        <w:t>), separando-os para funções sacerdotais (</w:t>
      </w:r>
      <w:hyperlink r:id="rId18795">
        <w:r>
          <w:rPr>
            <w:color w:val="0000EE"/>
            <w:u w:val="single"/>
          </w:rPr>
          <w:t>Nm 3.11–13</w:t>
        </w:r>
      </w:hyperlink>
      <w:r>
        <w:t>). A partir desse ponto, os levitas deveriam servir como sacerdotes e líderes religiosos para Israel. Em troca de seu serviço, a tribo de Levi não recebeu um território específico como as outras tribos; em vez disso, Deus seria sua herança (</w:t>
      </w:r>
      <w:hyperlink r:id="rId20301">
        <w:r>
          <w:rPr>
            <w:color w:val="0000EE"/>
            <w:u w:val="single"/>
          </w:rPr>
          <w:t>Nm 18.20</w:t>
        </w:r>
      </w:hyperlink>
      <w:r>
        <w:t>). No entanto, eles receberam 48 cidades, incluindo seis cidades de refúgio, espalhadas por todo Israel (</w:t>
      </w:r>
      <w:hyperlink r:id="rId12089">
        <w:r>
          <w:rPr>
            <w:color w:val="0000EE"/>
            <w:u w:val="single"/>
          </w:rPr>
          <w:t>Js 21.1–42</w:t>
        </w:r>
      </w:hyperlink>
      <w:r>
        <w:t>).</w:t>
      </w:r>
    </w:p>
    <w:p>
      <w:r/>
      <w:r>
        <w:t>Como Levi podia construir sua própria riqueza ou terra, a tribo deveria ser sustentada por presentes e dízimos (</w:t>
      </w:r>
      <w:hyperlink r:id="rId4891">
        <w:r>
          <w:rPr>
            <w:color w:val="0000EE"/>
            <w:u w:val="single"/>
          </w:rPr>
          <w:t>Nm 18.21</w:t>
        </w:r>
      </w:hyperlink>
      <w:r>
        <w:t>), assim como a viúva, o órfão e o estrangeiro. Seu sustento era responsabilidade do povo de Deus (</w:t>
      </w:r>
      <w:hyperlink r:id="rId8566">
        <w:r>
          <w:rPr>
            <w:color w:val="0000EE"/>
            <w:u w:val="single"/>
          </w:rPr>
          <w:t>Dt 14.29</w:t>
        </w:r>
      </w:hyperlink>
      <w:r>
        <w:t>). Por serem a tribo de Deus, Joabe não quis incluir Levi no censo de Davi (</w:t>
      </w:r>
      <w:hyperlink r:id="rId4703">
        <w:r>
          <w:rPr>
            <w:color w:val="0000EE"/>
            <w:u w:val="single"/>
          </w:rPr>
          <w:t>1Cr 21.6</w:t>
        </w:r>
      </w:hyperlink>
      <w:r>
        <w:t xml:space="preserve">; cp. </w:t>
      </w:r>
      <w:hyperlink r:id="rId20302">
        <w:r>
          <w:rPr>
            <w:color w:val="0000EE"/>
            <w:u w:val="single"/>
          </w:rPr>
          <w:t>Nm 1.49</w:t>
        </w:r>
      </w:hyperlink>
      <w:r>
        <w:t>). Levi não servia na guerra, exceto de uma maneira religiosa (</w:t>
      </w:r>
      <w:hyperlink r:id="rId4235">
        <w:r>
          <w:rPr>
            <w:color w:val="0000EE"/>
            <w:u w:val="single"/>
          </w:rPr>
          <w:t>2Cr 20.21</w:t>
        </w:r>
      </w:hyperlink>
      <w:r>
        <w:t>). Eles eram responsáveis pela Tenda Sagrada (</w:t>
      </w:r>
      <w:hyperlink r:id="rId20303">
        <w:r>
          <w:rPr>
            <w:color w:val="0000EE"/>
            <w:u w:val="single"/>
          </w:rPr>
          <w:t>Nm 1.50–53</w:t>
        </w:r>
      </w:hyperlink>
      <w:r>
        <w:t>) e mais tarde pelo Templo (</w:t>
      </w:r>
      <w:hyperlink r:id="rId20304">
        <w:r>
          <w:rPr>
            <w:color w:val="0000EE"/>
            <w:u w:val="single"/>
          </w:rPr>
          <w:t>1Cr 23.25–32</w:t>
        </w:r>
      </w:hyperlink>
      <w:r>
        <w:t>).</w:t>
      </w:r>
    </w:p>
    <w:p>
      <w:pPr>
        <w:pStyle w:val="Heading3"/>
      </w:pPr>
      <w:r>
        <w:t>Deveres e responsabilidades</w:t>
      </w:r>
    </w:p>
    <w:p>
      <w:r/>
      <w:r>
        <w:t>Dentro de Levi, a Bíblia faz uma distinção clara entre:</w:t>
      </w:r>
    </w:p>
    <w:p>
      <w:pPr>
        <w:pStyle w:val="ListBullet"/>
        <w:spacing w:line="240" w:lineRule="auto"/>
        <w:ind w:left="720"/>
      </w:pPr>
      <w:r/>
      <w:r>
        <w:t>O sumo sacerdote,</w:t>
      </w:r>
    </w:p>
    <w:p>
      <w:pPr>
        <w:pStyle w:val="ListBullet"/>
        <w:spacing w:line="240" w:lineRule="auto"/>
        <w:ind w:left="720"/>
      </w:pPr>
      <w:r/>
      <w:r>
        <w:t>O restante dos sacerdotes, e</w:t>
      </w:r>
    </w:p>
    <w:p>
      <w:pPr>
        <w:pStyle w:val="ListBullet"/>
        <w:spacing w:line="240" w:lineRule="auto"/>
        <w:ind w:left="720"/>
      </w:pPr>
      <w:r/>
      <w:r>
        <w:t>Alguns levitas tinham tarefas menos importantes.</w:t>
      </w:r>
    </w:p>
    <w:p>
      <w:r/>
      <w:r>
        <w:t>Nos primeiros dias, eles embalavam e moviam a Tenda Sagrada (</w:t>
      </w:r>
      <w:hyperlink r:id="rId20305">
        <w:r>
          <w:rPr>
            <w:color w:val="0000EE"/>
            <w:u w:val="single"/>
          </w:rPr>
          <w:t>Nm 1.50–51</w:t>
        </w:r>
      </w:hyperlink>
      <w:r>
        <w:t>) e realizavam outras tarefas. Mais tarde, serviram como porteiros e músicos (</w:t>
      </w:r>
      <w:hyperlink r:id="rId11576">
        <w:r>
          <w:rPr>
            <w:color w:val="0000EE"/>
            <w:u w:val="single"/>
          </w:rPr>
          <w:t>1Cr 16.42</w:t>
        </w:r>
      </w:hyperlink>
      <w:r>
        <w:t xml:space="preserve">). Os deveres de Levi estão listados em </w:t>
      </w:r>
      <w:hyperlink r:id="rId15871">
        <w:r>
          <w:rPr>
            <w:color w:val="0000EE"/>
            <w:u w:val="single"/>
          </w:rPr>
          <w:t xml:space="preserve">Deuteronômio 33.8–11. </w:t>
        </w:r>
      </w:hyperlink>
      <w:r>
        <w:t>Lá, a ajuda religiosa e o aconselhamento são tão importantes quanto seus deveres sacerdotais. Portanto, não é surpreendente que Josafá os tenha usado para ensinar a lei (</w:t>
      </w:r>
      <w:hyperlink r:id="rId14337">
        <w:r>
          <w:rPr>
            <w:color w:val="0000EE"/>
            <w:u w:val="single"/>
          </w:rPr>
          <w:t>2Cr 17.7–9</w:t>
        </w:r>
      </w:hyperlink>
      <w:r>
        <w:t>). No entanto, eles eram normalmente vistos como simplesmente sacerdotes (</w:t>
      </w:r>
      <w:hyperlink r:id="rId15872">
        <w:r>
          <w:rPr>
            <w:color w:val="0000EE"/>
            <w:u w:val="single"/>
          </w:rPr>
          <w:t>Jz 17.13</w:t>
        </w:r>
      </w:hyperlink>
      <w:r>
        <w:t>).</w:t>
      </w:r>
    </w:p>
    <w:p>
      <w:r/>
      <w:r>
        <w:t xml:space="preserve">O papel dos levitas como líderes religiosos e professores foi significativo ao longo da história de Israel, e referências à duradoura aliança com Levi podem ser encontradas em </w:t>
      </w:r>
      <w:hyperlink r:id="rId20306">
        <w:r>
          <w:rPr>
            <w:color w:val="0000EE"/>
            <w:u w:val="single"/>
          </w:rPr>
          <w:t>Jeremias 33.20–26</w:t>
        </w:r>
      </w:hyperlink>
      <w:r>
        <w:t xml:space="preserve"> e </w:t>
      </w:r>
      <w:hyperlink r:id="rId13613">
        <w:r>
          <w:rPr>
            <w:color w:val="0000EE"/>
            <w:u w:val="single"/>
          </w:rPr>
          <w:t>Malaquias 3.3–4</w:t>
        </w:r>
      </w:hyperlink>
      <w:r>
        <w:t>. Após o exílio babilônico, membros da tribo de Levi retornaram a Jerusalém (</w:t>
      </w:r>
      <w:hyperlink r:id="rId18815">
        <w:r>
          <w:rPr>
            <w:color w:val="0000EE"/>
            <w:u w:val="single"/>
          </w:rPr>
          <w:t>Ed 2.36–42</w:t>
        </w:r>
      </w:hyperlink>
      <w:r>
        <w:t>), com uma proporção maior das famílias sacerdotais.</w:t>
      </w:r>
    </w:p>
    <w:p>
      <w:pPr>
        <w:pStyle w:val="Heading3"/>
      </w:pPr>
      <w:r>
        <w:t>Levitas no Novo Testamento</w:t>
      </w:r>
    </w:p>
    <w:p>
      <w:r/>
      <w:r>
        <w:t>No Novo Testamento, Barnabé, um proeminente cristão primitivo, é identificado como um levita (</w:t>
      </w:r>
      <w:hyperlink r:id="rId4832">
        <w:r>
          <w:rPr>
            <w:color w:val="0000EE"/>
            <w:u w:val="single"/>
          </w:rPr>
          <w:t>At 4.36</w:t>
        </w:r>
      </w:hyperlink>
      <w:r>
        <w:t>). Ainda hoje, o sobrenome Levy entre os judeus frequentemente indica descendência da tribo de Levi.</w:t>
      </w:r>
    </w:p>
    <w:p>
      <w:r/>
      <w:r>
        <w:rPr>
          <w:i/>
        </w:rPr>
        <w:t>Veja também</w:t>
      </w:r>
      <w:r>
        <w:t xml:space="preserve"> </w:t>
      </w:r>
      <w:r>
        <w:t>Sacerdotes e Levitas</w:t>
      </w:r>
      <w:r>
        <w:t>.</w:t>
      </w:r>
      <w:r/>
      <w:r/>
    </w:p>
    <w:p>
      <w:r/>
    </w:p>
    <w:p>
      <w:pPr>
        <w:pStyle w:val="Heading2"/>
      </w:pPr>
      <w:r>
        <w:t>Tribulação</w:t>
      </w:r>
      <w:r/>
    </w:p>
    <w:p>
      <w:r/>
      <w:r>
        <w:t>Uma experiência de sofrimento, angústia, problema ou perseguição. A palavra grega aparece no Novo Testamento cerca de 45 vezes. Há uma palavra hebraica que aparece em quatro ou cinco passagens do Antigo Testamento, nunca nos livros proféticos. O Novo Testamento é a principal fonte de significado para essa palavra.</w:t>
      </w:r>
    </w:p>
    <w:p>
      <w:pPr>
        <w:pStyle w:val="Heading3"/>
      </w:pPr>
      <w:r>
        <w:t>Quais são os exemplos mais comuns de tribulação?</w:t>
      </w:r>
    </w:p>
    <w:p>
      <w:r/>
      <w:r>
        <w:t>No Novo Testamento, a palavra "tribulação" às vezes é usada para significar dificuldades na vida das pessoas comuns, tais como:</w:t>
      </w:r>
    </w:p>
    <w:p>
      <w:pPr>
        <w:pStyle w:val="ListBullet"/>
        <w:spacing w:line="240" w:lineRule="auto"/>
        <w:ind w:left="720"/>
      </w:pPr>
      <w:r/>
      <w:r>
        <w:t>Dor do parto (</w:t>
      </w:r>
      <w:hyperlink r:id="rId14890">
        <w:r>
          <w:rPr>
            <w:color w:val="0000EE"/>
            <w:u w:val="single"/>
          </w:rPr>
          <w:t>Jo 16.21</w:t>
        </w:r>
      </w:hyperlink>
      <w:r>
        <w:t>);</w:t>
      </w:r>
    </w:p>
    <w:p>
      <w:pPr>
        <w:pStyle w:val="ListBullet"/>
        <w:spacing w:line="240" w:lineRule="auto"/>
        <w:ind w:left="720"/>
      </w:pPr>
      <w:r/>
      <w:r>
        <w:t>Preocupações no casamento (</w:t>
      </w:r>
      <w:hyperlink r:id="rId4297">
        <w:r>
          <w:rPr>
            <w:color w:val="0000EE"/>
            <w:u w:val="single"/>
          </w:rPr>
          <w:t>1Co 7.28</w:t>
        </w:r>
      </w:hyperlink>
      <w:r>
        <w:t>); e</w:t>
      </w:r>
    </w:p>
    <w:p>
      <w:pPr>
        <w:pStyle w:val="ListBullet"/>
        <w:spacing w:line="240" w:lineRule="auto"/>
        <w:ind w:left="720"/>
      </w:pPr>
      <w:r/>
      <w:r>
        <w:t>O sofrimento das viúvas (</w:t>
      </w:r>
      <w:hyperlink r:id="rId14901">
        <w:r>
          <w:rPr>
            <w:color w:val="0000EE"/>
            <w:u w:val="single"/>
          </w:rPr>
          <w:t>Tg 1.27</w:t>
        </w:r>
      </w:hyperlink>
      <w:r>
        <w:t>).</w:t>
      </w:r>
    </w:p>
    <w:p>
      <w:r/>
      <w:r>
        <w:t>Esses são todos chamados de tribulações. Grandes desastres como a fome são chamados de "grande tribulação" (</w:t>
      </w:r>
      <w:hyperlink r:id="rId20307">
        <w:r>
          <w:rPr>
            <w:color w:val="0000EE"/>
            <w:u w:val="single"/>
          </w:rPr>
          <w:t>At 7.11</w:t>
        </w:r>
      </w:hyperlink>
      <w:r>
        <w:t>).</w:t>
      </w:r>
    </w:p>
    <w:p>
      <w:pPr>
        <w:pStyle w:val="Heading3"/>
      </w:pPr>
      <w:r>
        <w:t>O que Jesus ensinou sobre a tribulação?</w:t>
      </w:r>
    </w:p>
    <w:p>
      <w:r/>
      <w:r>
        <w:t>Uma compreensão mais específica da palavra "tribulação" refere-se a uma experiência cristã particular. Os ensinamentos de Cristo oferecem definições básicas para esse significado de "tribulação". Jesus afirmou que sempre que o evangelho estiver presente no mundo, a tribulação é inevitável. À medida que a palavra do evangelho é espalhada, a tribulação e a perseguição também estarão presentes (</w:t>
      </w:r>
      <w:hyperlink r:id="rId15604">
        <w:r>
          <w:rPr>
            <w:color w:val="0000EE"/>
            <w:u w:val="single"/>
          </w:rPr>
          <w:t>Mt 13.21</w:t>
        </w:r>
      </w:hyperlink>
      <w:r>
        <w:t>).</w:t>
      </w:r>
    </w:p>
    <w:p>
      <w:r/>
      <w:r>
        <w:t>Esta ideia de tribulação durante a era da igreja é cuidadosamente desenvolvida no ensino de Jesus sobre eventos futuros. A principal fonte para este ensino vem do sermão de Jesus pregado no Monte das Oliveiras (</w:t>
      </w:r>
      <w:hyperlink r:id="rId2030">
        <w:r>
          <w:rPr>
            <w:color w:val="0000EE"/>
            <w:u w:val="single"/>
          </w:rPr>
          <w:t>Mt 24–25</w:t>
        </w:r>
      </w:hyperlink>
      <w:r>
        <w:t xml:space="preserve">; </w:t>
      </w:r>
      <w:hyperlink r:id="rId2031">
        <w:r>
          <w:rPr>
            <w:color w:val="0000EE"/>
            <w:u w:val="single"/>
          </w:rPr>
          <w:t>Mc 13</w:t>
        </w:r>
      </w:hyperlink>
      <w:r>
        <w:t xml:space="preserve">; </w:t>
      </w:r>
      <w:hyperlink r:id="rId2032">
        <w:r>
          <w:rPr>
            <w:color w:val="0000EE"/>
            <w:u w:val="single"/>
          </w:rPr>
          <w:t>Lc 21</w:t>
        </w:r>
      </w:hyperlink>
      <w:r>
        <w:t>). Este ensino fornece a única descrição e um claro período de tempo para a tribulação de seus seguidores. Jesus previu o início, a extensão e o fim da tribulação. Este ensino sobre a tribulação foi dado aos 12 discípulos em particular (</w:t>
      </w:r>
      <w:hyperlink r:id="rId18263">
        <w:r>
          <w:rPr>
            <w:color w:val="0000EE"/>
            <w:u w:val="single"/>
          </w:rPr>
          <w:t>Mt 24.3</w:t>
        </w:r>
      </w:hyperlink>
      <w:r>
        <w:t>).</w:t>
      </w:r>
    </w:p>
    <w:p>
      <w:r/>
      <w:r>
        <w:t>Jesus disse aos 12 discípulos que eles enfrentariam tribulação. Esta tribulação significa perseguição até a morte por causa do seu nome (</w:t>
      </w:r>
      <w:hyperlink r:id="rId20308">
        <w:r>
          <w:rPr>
            <w:color w:val="0000EE"/>
            <w:u w:val="single"/>
          </w:rPr>
          <w:t>Mt 24.9</w:t>
        </w:r>
      </w:hyperlink>
      <w:r>
        <w:t>). O ensinamento sugere que a tribulação afetaria os cristãos em muitos lugares ao longo da história. A previsão de Jesus aos 12 discípulos de que eles seriam vítimas diretas da tribulação (</w:t>
      </w:r>
      <w:hyperlink r:id="rId20309">
        <w:r>
          <w:rPr>
            <w:color w:val="0000EE"/>
            <w:u w:val="single"/>
          </w:rPr>
          <w:t>Mt 24.8</w:t>
        </w:r>
      </w:hyperlink>
      <w:r>
        <w:t>) fornece um ponto de partida claro.</w:t>
      </w:r>
    </w:p>
    <w:p>
      <w:r/>
      <w:r>
        <w:t>O mesmo grupo de discípulos testemunharia a "grande tribulação" de Jerusalém, conforme predito pelo profeta Daniel (</w:t>
      </w:r>
      <w:hyperlink r:id="rId20310">
        <w:r>
          <w:rPr>
            <w:color w:val="0000EE"/>
            <w:u w:val="single"/>
          </w:rPr>
          <w:t>Mt 24.15</w:t>
        </w:r>
      </w:hyperlink>
      <w:hyperlink r:id="rId2030">
        <w:r>
          <w:rPr>
            <w:color w:val="0000EE"/>
            <w:u w:val="single"/>
          </w:rPr>
          <w:t>–</w:t>
        </w:r>
      </w:hyperlink>
      <w:hyperlink r:id="rId20310">
        <w:r>
          <w:rPr>
            <w:color w:val="0000EE"/>
            <w:u w:val="single"/>
          </w:rPr>
          <w:t>21</w:t>
        </w:r>
      </w:hyperlink>
      <w:r>
        <w:t xml:space="preserve">). É claro na passagem que Jesus se referia à destruição de Jerusalém em 70 d.C. A queda de Jerusalém para as legiões romanas deveria ser vista como um símbolo de tribulação contínua. O próprio Mateus faz um comentário editorial em </w:t>
      </w:r>
      <w:hyperlink r:id="rId6528">
        <w:r>
          <w:rPr>
            <w:color w:val="0000EE"/>
            <w:u w:val="single"/>
          </w:rPr>
          <w:t>24.15</w:t>
        </w:r>
      </w:hyperlink>
      <w:r>
        <w:t xml:space="preserve">, dizendo "quem lê, entenda". Isso teria alertado seus leitores originais sobre o cumprimento da previsão de Jesus dentro de suas vidas. A seção paralela em </w:t>
      </w:r>
      <w:hyperlink r:id="rId20311">
        <w:r>
          <w:rPr>
            <w:color w:val="0000EE"/>
            <w:u w:val="single"/>
          </w:rPr>
          <w:t>Lucas 21.20</w:t>
        </w:r>
      </w:hyperlink>
      <w:hyperlink r:id="rId2030">
        <w:r>
          <w:rPr>
            <w:color w:val="0000EE"/>
            <w:u w:val="single"/>
          </w:rPr>
          <w:t>–</w:t>
        </w:r>
      </w:hyperlink>
      <w:hyperlink r:id="rId20311">
        <w:r>
          <w:rPr>
            <w:color w:val="0000EE"/>
            <w:u w:val="single"/>
          </w:rPr>
          <w:t>24</w:t>
        </w:r>
      </w:hyperlink>
      <w:r>
        <w:t xml:space="preserve"> deixa claro que pessoas não-judaicas governariam por um longo período após a destruição da Jerusalém judaica. Isso é o que aconteceu após a queda de Jerusalém em 70 d.C.</w:t>
      </w:r>
    </w:p>
    <w:p>
      <w:pPr>
        <w:pStyle w:val="Heading3"/>
      </w:pPr>
      <w:r>
        <w:t>Como os cristãos devem responder à tribulação?</w:t>
      </w:r>
    </w:p>
    <w:p>
      <w:r/>
      <w:r>
        <w:t>O Novo Testamento adverte os crentes a esperarem tribulação. O Novo Testamento também define respostas apropriadas para a tribulação:</w:t>
      </w:r>
    </w:p>
    <w:p>
      <w:pPr>
        <w:pStyle w:val="ListBullet"/>
        <w:spacing w:line="240" w:lineRule="auto"/>
        <w:ind w:left="720"/>
      </w:pPr>
      <w:r/>
      <w:r>
        <w:t>Os cristãos devem se alegrar nas tribulações por causa dos bons frutos. A tribulação produz perseverança e força de caráter (</w:t>
      </w:r>
      <w:hyperlink r:id="rId20312">
        <w:r>
          <w:rPr>
            <w:color w:val="0000EE"/>
            <w:u w:val="single"/>
          </w:rPr>
          <w:t>Rm 5.3</w:t>
        </w:r>
      </w:hyperlink>
      <w:hyperlink r:id="rId2030">
        <w:r>
          <w:rPr>
            <w:color w:val="0000EE"/>
            <w:u w:val="single"/>
          </w:rPr>
          <w:t>–</w:t>
        </w:r>
      </w:hyperlink>
      <w:hyperlink r:id="rId20312">
        <w:r>
          <w:rPr>
            <w:color w:val="0000EE"/>
            <w:u w:val="single"/>
          </w:rPr>
          <w:t>4</w:t>
        </w:r>
      </w:hyperlink>
      <w:r>
        <w:t>).</w:t>
      </w:r>
    </w:p>
    <w:p>
      <w:pPr>
        <w:pStyle w:val="ListBullet"/>
        <w:spacing w:line="240" w:lineRule="auto"/>
        <w:ind w:left="720"/>
      </w:pPr>
      <w:r/>
      <w:r>
        <w:t>Devem ser pacientes porque Deus conforta os fiéis (</w:t>
      </w:r>
      <w:hyperlink r:id="rId16957">
        <w:r>
          <w:rPr>
            <w:color w:val="0000EE"/>
            <w:u w:val="single"/>
          </w:rPr>
          <w:t>Rm 12.12</w:t>
        </w:r>
      </w:hyperlink>
      <w:r>
        <w:t xml:space="preserve">; </w:t>
      </w:r>
      <w:hyperlink r:id="rId20313">
        <w:r>
          <w:rPr>
            <w:color w:val="0000EE"/>
            <w:u w:val="single"/>
          </w:rPr>
          <w:t>2Co 1.4</w:t>
        </w:r>
      </w:hyperlink>
      <w:r>
        <w:t>).</w:t>
      </w:r>
    </w:p>
    <w:p>
      <w:pPr>
        <w:pStyle w:val="ListBullet"/>
        <w:spacing w:line="240" w:lineRule="auto"/>
        <w:ind w:left="720"/>
      </w:pPr>
      <w:r/>
      <w:r>
        <w:t>Eles devem entender que a tribulação prepara os crentes para a glória na eternidade (</w:t>
      </w:r>
      <w:hyperlink r:id="rId10060">
        <w:r>
          <w:rPr>
            <w:color w:val="0000EE"/>
            <w:u w:val="single"/>
          </w:rPr>
          <w:t>2Co 4.17</w:t>
        </w:r>
      </w:hyperlink>
      <w:r>
        <w:t>).</w:t>
      </w:r>
    </w:p>
    <w:p>
      <w:r/>
      <w:r>
        <w:t>É raro na história que os cristãos desfrutem de riqueza e liberdade. A maioria dos crentes ao longo da história sofreu. O trabalho normal da igreja tem sido suportar como uma minoria perseguida em um mundo hostil. Para os cristãos que estão protegidos da tribulação, pode parecer que a tribulação se aplica a um período futuro na história.</w:t>
      </w:r>
    </w:p>
    <w:p>
      <w:r/>
      <w:r>
        <w:t>A maioria dos cristãos enfrenta opressão, rejeição, problemas e perseguição. Por causa disso, a tribulação que Jesus previu é uma realidade sempre presente. A gravidade da tribulação pode variar. No entanto, a promessa de Cristo permanece verdadeira: "No mundo tereis tribulação. Mas tenham coragem; Eu venci o mundo!" (</w:t>
      </w:r>
      <w:hyperlink r:id="rId14907">
        <w:r>
          <w:rPr>
            <w:color w:val="0000EE"/>
            <w:u w:val="single"/>
          </w:rPr>
          <w:t>Jo 16.33)</w:t>
        </w:r>
      </w:hyperlink>
      <w:r>
        <w:t xml:space="preserve">. </w:t>
      </w:r>
    </w:p>
    <w:p>
      <w:r/>
      <w:r>
        <w:rPr>
          <w:i/>
        </w:rPr>
        <w:t>Veja</w:t>
      </w:r>
      <w:r>
        <w:t xml:space="preserve"> </w:t>
      </w:r>
      <w:r>
        <w:t>Sofrimento</w:t>
      </w:r>
      <w:r>
        <w:t xml:space="preserve">; </w:t>
      </w:r>
      <w:r>
        <w:t>Escatologia</w:t>
      </w:r>
      <w:r>
        <w:t xml:space="preserve">; </w:t>
      </w:r>
      <w:r>
        <w:t>Perseguição</w:t>
      </w:r>
      <w:r>
        <w:t>.</w:t>
      </w:r>
      <w:r/>
      <w:r/>
    </w:p>
    <w:p>
      <w:r/>
    </w:p>
    <w:p>
      <w:pPr>
        <w:pStyle w:val="Heading2"/>
      </w:pPr>
      <w:r>
        <w:t>Tribunais e julgamentos</w:t>
      </w:r>
      <w:r/>
    </w:p>
    <w:p>
      <w:r/>
      <w:r>
        <w:t>Disputas legais faziam parte da vida nos tempos bíblicos tanto quanto hoje. No entanto, as maneiras como os tribunais operavam e os julgamentos eram conduzidos eram bastante diferentes. A menos que esses costumes sejam compreendidos, os leitores modernos da Bíblia, ao pensar nos procedimentos legais contemporâneos, podem interpretar mal os relatos judiciais contidos na Bíblia.</w:t>
      </w:r>
    </w:p>
    <w:p>
      <w:pPr>
        <w:pStyle w:val="Heading3"/>
      </w:pPr>
      <w:r>
        <w:t>Procedimentos Legais do Antigo Testamento</w:t>
      </w:r>
    </w:p>
    <w:p>
      <w:pPr>
        <w:pStyle w:val="Heading4"/>
      </w:pPr>
      <w:r>
        <w:t>Êxodo a Deuteronômio</w:t>
      </w:r>
    </w:p>
    <w:p>
      <w:r/>
      <w:r>
        <w:t>Os livros de Êxodo, Levítico, Números e Deuteronômio contêm a maior parte da lei no AT, além de muitas outras informações sobre tribunais e procedimentos legais. Esses livros revelam como os julgamentos eram conduzidos antes de Israel ter reis. Certas mudanças no sistema legal que ocorreram após o estabelecimento da monarquia (c 1000 a.C.) são descritas em outros livros do AT.</w:t>
      </w:r>
    </w:p>
    <w:p>
      <w:r/>
      <w:r>
        <w:t xml:space="preserve">O AT retrata Deus como o supremo legislador e juiz, com Moisés e, posteriormente, os reis como seus representantes. No entanto, Moisés não criou a lei nem decidiu os casos mais difíceis, que eram encaminhados diretamente a Deus para a decisão (veja </w:t>
      </w:r>
      <w:hyperlink r:id="rId12813">
        <w:r>
          <w:rPr>
            <w:color w:val="0000EE"/>
            <w:u w:val="single"/>
          </w:rPr>
          <w:t>Lv 24.10–23</w:t>
        </w:r>
      </w:hyperlink>
      <w:r>
        <w:t xml:space="preserve">; </w:t>
      </w:r>
      <w:hyperlink r:id="rId7199">
        <w:r>
          <w:rPr>
            <w:color w:val="0000EE"/>
            <w:u w:val="single"/>
          </w:rPr>
          <w:t>Nm 15.32–36</w:t>
        </w:r>
      </w:hyperlink>
      <w:r>
        <w:t xml:space="preserve">; </w:t>
      </w:r>
      <w:hyperlink r:id="rId9883">
        <w:r>
          <w:rPr>
            <w:color w:val="0000EE"/>
            <w:u w:val="single"/>
          </w:rPr>
          <w:t>27.1–11</w:t>
        </w:r>
      </w:hyperlink>
      <w:r>
        <w:t>). Quando surgiam disputas entre os líderes de Israel, Deus intervinha, julgando diretamente a parte culpada (</w:t>
      </w:r>
      <w:hyperlink r:id="rId3973">
        <w:r>
          <w:rPr>
            <w:color w:val="0000EE"/>
            <w:u w:val="single"/>
          </w:rPr>
          <w:t>Nm 16–17</w:t>
        </w:r>
      </w:hyperlink>
      <w:r>
        <w:t>). Assim, a lei é vista no AT como uma revelação divina, não uma criação humana, como era considerada na antiga Babilônia.</w:t>
      </w:r>
    </w:p>
    <w:p>
      <w:r/>
      <w:r>
        <w:t>Normalmente, não era necessário buscar a orientação direta de Deus; o precedente era suficiente. Anciãos foram nomeados em Israel para servir como juízes de todos os casos, exceto os mais sérios, aliviando Moisés do fardo de julgar todo o povo sozinho (</w:t>
      </w:r>
      <w:hyperlink r:id="rId11875">
        <w:r>
          <w:rPr>
            <w:color w:val="0000EE"/>
            <w:u w:val="single"/>
          </w:rPr>
          <w:t>Êx 18.13–27</w:t>
        </w:r>
      </w:hyperlink>
      <w:r>
        <w:t xml:space="preserve">). </w:t>
      </w:r>
      <w:hyperlink r:id="rId20314">
        <w:r>
          <w:rPr>
            <w:color w:val="0000EE"/>
            <w:u w:val="single"/>
          </w:rPr>
          <w:t>Deuteronômio 16.18</w:t>
        </w:r>
      </w:hyperlink>
      <w:r>
        <w:t xml:space="preserve"> especifica que "juízes" sejam nomeados em cada cidade; em outras passagens, aqueles responsáveis por punir criminosos são chamados de "os anciãos" (</w:t>
      </w:r>
      <w:hyperlink r:id="rId1373">
        <w:r>
          <w:rPr>
            <w:color w:val="0000EE"/>
            <w:u w:val="single"/>
          </w:rPr>
          <w:t>Dt 19.12</w:t>
        </w:r>
      </w:hyperlink>
      <w:r>
        <w:t>). Os juízes locais eram claramente não profissionais, selecionados entre os membros mais respeitados de cada tribo ou aldeia. Casos difíceis eram encaminhados a um tribunal central de justiça para serem decididos pelos sacerdotes e, no período dos juízes, pelo líder civil e militar (</w:t>
      </w:r>
      <w:hyperlink r:id="rId20315">
        <w:r>
          <w:rPr>
            <w:color w:val="0000EE"/>
            <w:u w:val="single"/>
          </w:rPr>
          <w:t>17.8–12</w:t>
        </w:r>
      </w:hyperlink>
      <w:r>
        <w:t>). Débora e Samuel foram ambos exemplos de tais "juízes de Israel". Samuel até conduziu um tribunal itinerante em vários centros diferentes (</w:t>
      </w:r>
      <w:hyperlink r:id="rId7584">
        <w:r>
          <w:rPr>
            <w:color w:val="0000EE"/>
            <w:u w:val="single"/>
          </w:rPr>
          <w:t>Jz 4.4–5</w:t>
        </w:r>
      </w:hyperlink>
      <w:r>
        <w:t xml:space="preserve">; </w:t>
      </w:r>
      <w:hyperlink r:id="rId20316">
        <w:r>
          <w:rPr>
            <w:color w:val="0000EE"/>
            <w:u w:val="single"/>
          </w:rPr>
          <w:t>1Sm. 7.15–17</w:t>
        </w:r>
      </w:hyperlink>
      <w:r>
        <w:t>).</w:t>
      </w:r>
    </w:p>
    <w:p>
      <w:r/>
      <w:r>
        <w:t>Em Israel, assim como em outras sociedades antigas, a acusação privada era a norma. Um indivíduo com uma queixa tinha que levar o caso ao tribunal. Somente em situações de idolatria ou outros crimes religiosos graves eram instituídas acusações públicas (</w:t>
      </w:r>
      <w:hyperlink r:id="rId17659">
        <w:r>
          <w:rPr>
            <w:color w:val="0000EE"/>
            <w:u w:val="single"/>
          </w:rPr>
          <w:t>Dt 13</w:t>
        </w:r>
      </w:hyperlink>
      <w:r>
        <w:t xml:space="preserve">; </w:t>
      </w:r>
      <w:hyperlink r:id="rId20317">
        <w:r>
          <w:rPr>
            <w:color w:val="0000EE"/>
            <w:u w:val="single"/>
          </w:rPr>
          <w:t>17.2–7</w:t>
        </w:r>
      </w:hyperlink>
      <w:r>
        <w:t>). Mesmo em casos de assassinato, a acusação ficava nas mãos dos parentes da vítima. Um parente, chamado de "vingador do sangue", tinha que perseguir o suposto assassino até a cidade de refúgio mais próxima, onde era realizado um julgamento (</w:t>
      </w:r>
      <w:hyperlink r:id="rId20318">
        <w:r>
          <w:rPr>
            <w:color w:val="0000EE"/>
            <w:u w:val="single"/>
          </w:rPr>
          <w:t>Nm 35.10–34</w:t>
        </w:r>
      </w:hyperlink>
      <w:r>
        <w:t xml:space="preserve">; </w:t>
      </w:r>
      <w:hyperlink r:id="rId13740">
        <w:r>
          <w:rPr>
            <w:color w:val="0000EE"/>
            <w:u w:val="single"/>
          </w:rPr>
          <w:t>Dt. 19.1–13</w:t>
        </w:r>
      </w:hyperlink>
      <w:r>
        <w:t>).</w:t>
      </w:r>
    </w:p>
    <w:p>
      <w:r/>
      <w:r>
        <w:t>Os julgamentos eram realizados em locais públicos, como o espaço aberto perto de um portão da cidade (</w:t>
      </w:r>
      <w:hyperlink r:id="rId1374">
        <w:r>
          <w:rPr>
            <w:color w:val="0000EE"/>
            <w:u w:val="single"/>
          </w:rPr>
          <w:t>Dt 21.19</w:t>
        </w:r>
      </w:hyperlink>
      <w:r>
        <w:t>). Durante o julgamento, os juízes estavam sentados, mas as partes em disputa e as testemunhas ficavam de pé. Eram necessárias pelo menos duas testemunhas para condenar (</w:t>
      </w:r>
      <w:hyperlink r:id="rId7205">
        <w:r>
          <w:rPr>
            <w:color w:val="0000EE"/>
            <w:u w:val="single"/>
          </w:rPr>
          <w:t>19.15</w:t>
        </w:r>
      </w:hyperlink>
      <w:r>
        <w:t>). Elas tinham que ser testemunhas oculares que flagraram o acusado. Onde faltavam provas tão claras (e.g., em disputas sobre propriedade), os litigantes podiam fazer um juramento para demonstrar sua honestidade (</w:t>
      </w:r>
      <w:hyperlink r:id="rId20319">
        <w:r>
          <w:rPr>
            <w:color w:val="0000EE"/>
            <w:u w:val="single"/>
          </w:rPr>
          <w:t>Êx 22.8–13</w:t>
        </w:r>
      </w:hyperlink>
      <w:r>
        <w:t>). Se um marido suspeitasse da infidelidade de sua esposa, mas não tivesse provas, ele poderia exigir que ela passasse por uma prova de beber “água amarga” para demonstrar sua inocência (</w:t>
      </w:r>
      <w:hyperlink r:id="rId20320">
        <w:r>
          <w:rPr>
            <w:color w:val="0000EE"/>
            <w:u w:val="single"/>
          </w:rPr>
          <w:t>Nm 5.6–31</w:t>
        </w:r>
      </w:hyperlink>
      <w:r>
        <w:t>).</w:t>
      </w:r>
    </w:p>
    <w:p>
      <w:r/>
      <w:r>
        <w:t>Quando todas as provas foram apresentadas, os juízes deram seu veredicto. Aqueles que haviam feito a acusação tinham o dever de executar a sentença do tribunal. Assim, uma testemunha de idolatria tinha que atirar a primeira pedra na execução do culpado (</w:t>
      </w:r>
      <w:hyperlink r:id="rId20321">
        <w:r>
          <w:rPr>
            <w:color w:val="0000EE"/>
            <w:u w:val="single"/>
          </w:rPr>
          <w:t>Dt 17.7</w:t>
        </w:r>
      </w:hyperlink>
      <w:r>
        <w:t>). Certos funcionários administrativos podem ter tido o trabalho de registrar a decisão do tribunal e garantir que ela fosse cumprida (</w:t>
      </w:r>
      <w:hyperlink r:id="rId20314">
        <w:r>
          <w:rPr>
            <w:color w:val="0000EE"/>
            <w:u w:val="single"/>
          </w:rPr>
          <w:t>16.18</w:t>
        </w:r>
      </w:hyperlink>
      <w:r>
        <w:t>). Às vezes, pode ter sido difícil para as pessoas defenderem seus direitos legais se seu oponente viesse de uma família forte e rica.</w:t>
      </w:r>
    </w:p>
    <w:p>
      <w:pPr>
        <w:pStyle w:val="Heading4"/>
      </w:pPr>
      <w:r>
        <w:t>Outros livros do Antigo Testamento</w:t>
      </w:r>
    </w:p>
    <w:p>
      <w:r/>
      <w:r>
        <w:t>Quando Israel se tornou um reino, certas mudanças foram feitas em seu sistema judicial. Mais obviamente, o rei se tornou o juiz supremo que lidava com os casos mais difíceis. Salomão demonstrou sua grande sabedoria ao julgar entre duas mulheres que ambas alegavam ser a mãe de um determinado bebê (</w:t>
      </w:r>
      <w:hyperlink r:id="rId17745">
        <w:r>
          <w:rPr>
            <w:color w:val="0000EE"/>
            <w:u w:val="single"/>
          </w:rPr>
          <w:t>1Rs 3.16–28</w:t>
        </w:r>
      </w:hyperlink>
      <w:r>
        <w:t>). Esperava-se que os reis, que tinham todo o poder necessário para fazer cumprir suas decisões, usassem esse poder para ajudar os membros mais fracos da sociedade, como órfãos e viúvas (</w:t>
      </w:r>
      <w:hyperlink r:id="rId10161">
        <w:r>
          <w:rPr>
            <w:color w:val="0000EE"/>
            <w:u w:val="single"/>
          </w:rPr>
          <w:t>Sl 72.12</w:t>
        </w:r>
      </w:hyperlink>
      <w:r>
        <w:t>).</w:t>
      </w:r>
    </w:p>
    <w:p>
      <w:r/>
      <w:r>
        <w:t>Na prática, no entanto, os reis de Israel nem sempre viveram de acordo com esse ideal. Absalão semeou as sementes de uma revolução ao dizer àqueles que vinham à corte real que seu pai, o Rei Davi, não administrava bem a justiça (</w:t>
      </w:r>
      <w:hyperlink r:id="rId196">
        <w:r>
          <w:rPr>
            <w:color w:val="0000EE"/>
            <w:u w:val="single"/>
          </w:rPr>
          <w:t>2Sm 15.1–6</w:t>
        </w:r>
      </w:hyperlink>
      <w:r>
        <w:t>). Um julgamento notável no AT ilustra como os poderes judiciais reais poderiam ser completamente mal utilizados por governantes inescrupulosos. Nabote foi condenado à morte por uma acusação forjada de blasfêmia para que o Rei Acabe pudesse expandir os terrenos de seu palácio tomando a vinha de Nabote. Embora a acusação fosse falsa, o julgamento seguiu os procedimentos legais corretos. Dois patifes foram encontrados para dar testemunho de que ouviram Nabote amaldiçoar Deus e o rei (</w:t>
      </w:r>
      <w:hyperlink r:id="rId20322">
        <w:r>
          <w:rPr>
            <w:color w:val="0000EE"/>
            <w:u w:val="single"/>
          </w:rPr>
          <w:t>1Rs 21.10</w:t>
        </w:r>
      </w:hyperlink>
      <w:r>
        <w:t xml:space="preserve">); uma testemunha teria sido insuficiente para garantir a condenação. Nabote foi julgado pelos anciãos da cidade em um local público. Após ser condenado, ele foi levado para fora da cidade e executado (vv. </w:t>
      </w:r>
      <w:hyperlink r:id="rId20323">
        <w:r>
          <w:rPr>
            <w:color w:val="0000EE"/>
            <w:u w:val="single"/>
          </w:rPr>
          <w:t>11–13</w:t>
        </w:r>
      </w:hyperlink>
      <w:r>
        <w:t>). Em outros julgamentos, o profeta Jeremias foi acusado de atividades subversivas mais de uma vez (</w:t>
      </w:r>
      <w:hyperlink r:id="rId20324">
        <w:r>
          <w:rPr>
            <w:color w:val="0000EE"/>
            <w:u w:val="single"/>
          </w:rPr>
          <w:t>Jr 26</w:t>
        </w:r>
      </w:hyperlink>
      <w:r>
        <w:t xml:space="preserve">; </w:t>
      </w:r>
      <w:hyperlink r:id="rId20325">
        <w:r>
          <w:rPr>
            <w:color w:val="0000EE"/>
            <w:u w:val="single"/>
          </w:rPr>
          <w:t>37.11–38.28</w:t>
        </w:r>
      </w:hyperlink>
      <w:r>
        <w:t>).</w:t>
      </w:r>
    </w:p>
    <w:p>
      <w:r/>
      <w:r>
        <w:t xml:space="preserve">Os profetas às vezes retratavam Deus como levando Israel ao tribunal para responder pelos erros da nação. Deus listaria os pecados de Israel e convidaria o povo a explicar seu comportamento. Às vezes, céu e terra, ou as montanhas, eram chamados para serem testemunhas confirmando a verdade das acusações de Deus. Finalmente, o julgamento era pronunciado (e.g., </w:t>
      </w:r>
      <w:hyperlink r:id="rId20326">
        <w:r>
          <w:rPr>
            <w:color w:val="0000EE"/>
            <w:u w:val="single"/>
          </w:rPr>
          <w:t>Is 1.2–26</w:t>
        </w:r>
      </w:hyperlink>
      <w:r>
        <w:t xml:space="preserve">; </w:t>
      </w:r>
      <w:hyperlink r:id="rId11327">
        <w:r>
          <w:rPr>
            <w:color w:val="0000EE"/>
            <w:u w:val="single"/>
          </w:rPr>
          <w:t>43</w:t>
        </w:r>
      </w:hyperlink>
      <w:r>
        <w:t xml:space="preserve">; </w:t>
      </w:r>
      <w:hyperlink r:id="rId20327">
        <w:r>
          <w:rPr>
            <w:color w:val="0000EE"/>
            <w:u w:val="single"/>
          </w:rPr>
          <w:t>Jr 2.4–37</w:t>
        </w:r>
      </w:hyperlink>
      <w:r>
        <w:t xml:space="preserve">; </w:t>
      </w:r>
      <w:hyperlink r:id="rId20328">
        <w:r>
          <w:rPr>
            <w:color w:val="0000EE"/>
            <w:u w:val="single"/>
          </w:rPr>
          <w:t>Mq 6</w:t>
        </w:r>
      </w:hyperlink>
      <w:r>
        <w:t>).</w:t>
      </w:r>
    </w:p>
    <w:p>
      <w:r/>
      <w:r>
        <w:t xml:space="preserve">Um tema recorrente no livro de Jó é o pedido de Jó por um julgamento. Jó acreditava que, se tivesse uma audiência justa, sua inocência seria demonstrada e Deus pararia de causar-lhe tanto sofrimento (cf. </w:t>
      </w:r>
      <w:hyperlink r:id="rId20329">
        <w:r>
          <w:rPr>
            <w:color w:val="0000EE"/>
            <w:u w:val="single"/>
          </w:rPr>
          <w:t>Jó 13.23</w:t>
        </w:r>
      </w:hyperlink>
      <w:r>
        <w:t>). Eventualmente, Deus atendeu ao pedido de Jó e um longo interrogatório começou, finalmente reduzindo Jó ao silêncio (</w:t>
      </w:r>
      <w:hyperlink r:id="rId20330">
        <w:r>
          <w:rPr>
            <w:color w:val="0000EE"/>
            <w:u w:val="single"/>
          </w:rPr>
          <w:t>42.1–6</w:t>
        </w:r>
      </w:hyperlink>
      <w:r>
        <w:t>).</w:t>
      </w:r>
    </w:p>
    <w:p>
      <w:pPr>
        <w:pStyle w:val="Heading3"/>
      </w:pPr>
      <w:r>
        <w:t>Procedimentos legais no Novo Testamento</w:t>
      </w:r>
    </w:p>
    <w:p>
      <w:r/>
      <w:r>
        <w:t>Numerosos julgamentos ocorrem no NT. Jesus foi julgado pelo Sinédrio (o supremo tribunal religioso judaico) e também pelo governador romano. O livro de Atos menciona várias ações judiciais destinadas a impedir a propagação do Cristianismo. Lucas, o autor de Atos, apresenta uma descrição vívida e precisa de como os tribunais operavam nas províncias do Império Romano. Atos atinge um clímax com Paulo viajando para Roma para ter seu caso ouvido pelo Imperador Romano Nero. Os procedimentos legais nos tribunais romanos eram regidos por regras complicadas que se assemelhavam amplamente às tecnicalidades judiciais modernas. Crimes graves eram tratados por promotores públicos, e os julgamentos eram geralmente conduzidos por um juiz. Havia advogados para a acusação e advogados para a defesa.</w:t>
      </w:r>
    </w:p>
    <w:p>
      <w:r/>
      <w:r>
        <w:t>Na Judeia e em outras províncias do império, o sistema legal local não foi suprimido. Os tribunais judaicos tradicionais tinham permissão para julgar delitos menores e religiosos (</w:t>
      </w:r>
      <w:hyperlink r:id="rId2911">
        <w:r>
          <w:rPr>
            <w:color w:val="0000EE"/>
            <w:u w:val="single"/>
          </w:rPr>
          <w:t>At 4</w:t>
        </w:r>
      </w:hyperlink>
      <w:r>
        <w:t xml:space="preserve">; </w:t>
      </w:r>
      <w:hyperlink r:id="rId20331">
        <w:r>
          <w:rPr>
            <w:color w:val="0000EE"/>
            <w:u w:val="single"/>
          </w:rPr>
          <w:t>6.12–7.60</w:t>
        </w:r>
      </w:hyperlink>
      <w:r>
        <w:t>), mas não podiam lidar com casos graves onde a pena de morte pudesse estar envolvida. Por essa razão, quando o Sinédrio considerou Jesus culpado de blasfêmia por afirmar ser o Filho de Deus e o Messias, tiveram que transferir o caso para Pôncio Pilatos, o procurador romano (governador) da Judeia. Os judeus consideravam a blasfêmia digna de morte, mas como admitiram a Pilatos, “Nós não temos o direito de matar ninguém” (</w:t>
      </w:r>
      <w:hyperlink r:id="rId19660">
        <w:r>
          <w:rPr>
            <w:color w:val="0000EE"/>
            <w:u w:val="single"/>
          </w:rPr>
          <w:t>Jo 18.31</w:t>
        </w:r>
      </w:hyperlink>
      <w:r>
        <w:t>, NTLH). A regra em todo o Império Romano era que apenas os governadores podiam pronunciar a sentença de morte. A execução do apóstolo Tiago pelas autoridades judaicas, mencionada pelo historiador judeu Josefo, ocorreu durante um interregno entre dois governadores. O apedrejamento de Estevão foi feito às pressas, sem o consentimento de Pilatos (</w:t>
      </w:r>
      <w:hyperlink r:id="rId2881">
        <w:r>
          <w:rPr>
            <w:color w:val="0000EE"/>
            <w:u w:val="single"/>
          </w:rPr>
          <w:t>At 7</w:t>
        </w:r>
      </w:hyperlink>
      <w:r>
        <w:t>).</w:t>
      </w:r>
    </w:p>
    <w:p>
      <w:pPr>
        <w:pStyle w:val="Heading4"/>
      </w:pPr>
      <w:r>
        <w:t>Os julgamentos de Jesus</w:t>
      </w:r>
    </w:p>
    <w:p>
      <w:r/>
      <w:r>
        <w:t>Jesus foi julgado primeiro pelo Sinédrio, presidido pelo sumo sacerdote. Pelos padrões posteriores da prática legal judaica, esse julgamento foi um tanto irregular. E.g., parece ter sido realizado tanto à noite quanto na véspera de um festival. Julgamentos criminais não deveriam ocorrer nesses momentos. Não é certo que essas regras existissem nos dias de Jesus, mas mesmo que existissem, pouco pode ser feito dessa tecnicalidade, já que o tribunal judaico não tinha poder para executar sua sentença.</w:t>
      </w:r>
    </w:p>
    <w:p>
      <w:r/>
      <w:r>
        <w:t>Após a condenação pelo Sinédrio, Jesus foi levado a Pilatos, cuja residência em Jerusalém, o antigo palácio real chamado Pretório, ficava no lado oeste da cidade, perto do moderno Portão de Jaffa. Era improvável que os romanos condenassem alguém à morte por uma questão religiosa, então as autoridades judaicas apresentaram suas acusações contra Jesus em termos políticos: ele violou a lei ao “proibir-nos de dar tributo a César, e dizendo que ele mesmo é Cristo, um rei” (</w:t>
      </w:r>
      <w:hyperlink r:id="rId10938">
        <w:r>
          <w:rPr>
            <w:color w:val="0000EE"/>
            <w:u w:val="single"/>
          </w:rPr>
          <w:t>Lc 23.2</w:t>
        </w:r>
      </w:hyperlink>
      <w:r>
        <w:t>, rsv). Talvez percebendo algo falso nessas acusações (elas eram na verdade religiosas em vez de políticas), Pilatos enviou Jesus a Herodes, o governante da Galileia, que estava em Jerusalém na época. Pilatos, que não precisava enviar galileus a Herodes para julgamento, provavelmente viu isso como um meio de evitar uma decisão desconfortável. Herodes, no entanto, declarou Jesus inocente e o devolveu a Pilatos.</w:t>
      </w:r>
    </w:p>
    <w:p>
      <w:r/>
      <w:r>
        <w:t>Pilatos ofereceu dar a Jesus uma surra disciplinar, tradicionalmente aplicada a encrenqueiros como um aviso para que se comportassem no futuro (</w:t>
      </w:r>
      <w:hyperlink r:id="rId16130">
        <w:r>
          <w:rPr>
            <w:color w:val="0000EE"/>
            <w:u w:val="single"/>
          </w:rPr>
          <w:t>Lc 23.16</w:t>
        </w:r>
      </w:hyperlink>
      <w:r>
        <w:t>). Mas isso não satisfez os acusadores de Jesus, que insistiram na acusação de insurreição, ameaçando denunciar Pilatos ao Imperador se ele não condenasse Jesus. Pilatos, que não tinha sido um governador muito bem-sucedido, temia reclamações oficiais sobre sua administração, então a ameaça funcionou. Ele sentenciou Jesus a ser crucificado sob a acusação de ser rei dos judeus. A pesada flagelação que precedeu a Crucificação nunca foi um castigo por si só, mas era frequentemente um acompanhamento de outras punições. Outra característica da prática legal romana ilustrada nos Evangelhos foi a divisão das roupas de Jesus entre os soldados; os executores tinham permissão para ficar com esses efeitos pessoais como um benefício adicional.</w:t>
      </w:r>
    </w:p>
    <w:p>
      <w:pPr>
        <w:pStyle w:val="Heading4"/>
      </w:pPr>
      <w:r>
        <w:t>As provações do apóstolo Paulo</w:t>
      </w:r>
    </w:p>
    <w:p>
      <w:r/>
      <w:r>
        <w:t>Os julgamentos de Paulo registrados no livro de Atos também refletem a divisão entre a autoridade judaica e romana em questões legais. Quando foi preso, Paulo teve uma audiência preliminar perante o Sinédrio (</w:t>
      </w:r>
      <w:hyperlink r:id="rId20332">
        <w:r>
          <w:rPr>
            <w:color w:val="0000EE"/>
            <w:u w:val="single"/>
          </w:rPr>
          <w:t>At 23</w:t>
        </w:r>
      </w:hyperlink>
      <w:r>
        <w:t>). Ele foi então transferido para o governador para um julgamento formal em Cesareia, a sede habitual do governador. Lá, ele foi julgado perante Félix, que adiou o caso por dois anos até que um novo governador fosse nomeado. Lucas relatou que Félix (outro governador impopular) fez isso para agradar os judeus, mas era bastante comum que os governadores deixassem casos para serem resolvidos por seus sucessores.</w:t>
      </w:r>
    </w:p>
    <w:p>
      <w:r/>
      <w:r>
        <w:t>Quando Festo, o novo governador, chegou, ele sugeriu que Paulo fosse julgado em Jerusalém. Paulo, não gostando da perspectiva de ser julgado lá, exerceu seu direito como cidadão romano de ser julgado em Roma perante o Imperador (</w:t>
      </w:r>
      <w:hyperlink r:id="rId20333">
        <w:r>
          <w:rPr>
            <w:color w:val="0000EE"/>
            <w:u w:val="single"/>
          </w:rPr>
          <w:t>At 25.1–20</w:t>
        </w:r>
      </w:hyperlink>
      <w:r>
        <w:t>). O restante do livro de Atos conta como Paulo eventualmente chegou a Roma e teve que esperar mais dois anos antes que seu caso fosse ouvido. Nenhum detalhe do julgamento de Paulo em Roma é conhecido, mas Nero, que era Imperador quando Paulo chegou, julgou muito poucos casos pessoalmente. Ele nomeou juízes para lidar com casos de apelação como o de Paulo, então é improvável que Paulo tenha sido realmente julgado por Nero.</w:t>
      </w:r>
    </w:p>
    <w:p>
      <w:r/>
      <w:r>
        <w:t>O direito de apelar ao Imperador não era o único direito legal possuído pelos cidadãos romanos. Eles também estavam protegidos de serem espancados sem julgamento, um direito afirmado por Paulo em Filipos e Jerusalém (</w:t>
      </w:r>
      <w:hyperlink r:id="rId4902">
        <w:r>
          <w:rPr>
            <w:color w:val="0000EE"/>
            <w:u w:val="single"/>
          </w:rPr>
          <w:t>At 16.37</w:t>
        </w:r>
      </w:hyperlink>
      <w:r>
        <w:t xml:space="preserve">; </w:t>
      </w:r>
      <w:hyperlink r:id="rId4852">
        <w:r>
          <w:rPr>
            <w:color w:val="0000EE"/>
            <w:u w:val="single"/>
          </w:rPr>
          <w:t>22.24–29</w:t>
        </w:r>
      </w:hyperlink>
      <w:r>
        <w:t>).</w:t>
      </w:r>
    </w:p>
    <w:p>
      <w:r/>
      <w:r>
        <w:rPr>
          <w:i/>
        </w:rPr>
        <w:t>Veja também</w:t>
      </w:r>
      <w:r>
        <w:t xml:space="preserve"> </w:t>
      </w:r>
      <w:r>
        <w:t>Vingador de sangue</w:t>
      </w:r>
      <w:r>
        <w:t xml:space="preserve">; </w:t>
      </w:r>
      <w:r>
        <w:t>Cidades de refúgio</w:t>
      </w:r>
      <w:r>
        <w:t xml:space="preserve">; </w:t>
      </w:r>
      <w:r>
        <w:t>Lei civil e justiça</w:t>
      </w:r>
      <w:r>
        <w:t xml:space="preserve">; </w:t>
      </w:r>
      <w:r>
        <w:t>Lei criminal e punição</w:t>
      </w:r>
      <w:r>
        <w:t xml:space="preserve">; </w:t>
      </w:r>
      <w:r>
        <w:t>Sinédrio</w:t>
      </w:r>
      <w:r>
        <w:t>.</w:t>
      </w:r>
      <w:r/>
      <w:r/>
    </w:p>
    <w:p>
      <w:r/>
    </w:p>
    <w:p>
      <w:pPr>
        <w:pStyle w:val="Heading2"/>
      </w:pPr>
      <w:r>
        <w:t>Tribuno</w:t>
      </w:r>
      <w:r/>
    </w:p>
    <w:p>
      <w:r/>
      <w:r>
        <w:t xml:space="preserve">Um oficial militar romano que servia como comandante de uma coorte (1.000 homens). No uso do Novo Testamento, designava o comandante da guarnição romana (posto militar) em Jerusalém (por exemplo, </w:t>
      </w:r>
      <w:hyperlink r:id="rId20334">
        <w:r>
          <w:rPr>
            <w:color w:val="0000EE"/>
            <w:u w:val="single"/>
          </w:rPr>
          <w:t>At 21.31</w:t>
        </w:r>
      </w:hyperlink>
      <w:r>
        <w:t xml:space="preserve">; </w:t>
      </w:r>
      <w:hyperlink r:id="rId7247">
        <w:r>
          <w:rPr>
            <w:color w:val="0000EE"/>
            <w:u w:val="single"/>
          </w:rPr>
          <w:t>22.24</w:t>
        </w:r>
      </w:hyperlink>
      <w:r>
        <w:t xml:space="preserve">; </w:t>
      </w:r>
      <w:hyperlink r:id="rId20335">
        <w:r>
          <w:rPr>
            <w:color w:val="0000EE"/>
            <w:u w:val="single"/>
          </w:rPr>
          <w:t>23.10</w:t>
        </w:r>
      </w:hyperlink>
      <w:r>
        <w:t xml:space="preserve">; </w:t>
      </w:r>
      <w:hyperlink r:id="rId19290">
        <w:r>
          <w:rPr>
            <w:color w:val="0000EE"/>
            <w:u w:val="single"/>
          </w:rPr>
          <w:t>24.22</w:t>
        </w:r>
      </w:hyperlink>
      <w:r>
        <w:t>). Paulo foi colocado sob a proteção do tribuno após sua prisão em Jerusalém (</w:t>
      </w:r>
      <w:hyperlink r:id="rId6284">
        <w:r>
          <w:rPr>
            <w:color w:val="0000EE"/>
            <w:u w:val="single"/>
          </w:rPr>
          <w:t>21.33</w:t>
        </w:r>
      </w:hyperlink>
      <w:r>
        <w:t>).</w:t>
      </w:r>
      <w:r/>
      <w:r/>
    </w:p>
    <w:p>
      <w:r/>
    </w:p>
    <w:p>
      <w:pPr>
        <w:pStyle w:val="Heading2"/>
      </w:pPr>
      <w:r>
        <w:t>Tristeza</w:t>
      </w:r>
      <w:r/>
    </w:p>
    <w:p>
      <w:r/>
      <w:r>
        <w:t>Sofrimento emocional trazido por luto, acidente ou desastre. Lamentar é causar ou sentir tristeza, ou angústia. O conceito é encontrado nas Escrituras sob uma variedade de circunstâncias. Isaque e Rebeca experimentaram tristeza quando seu filho Esaú se casou com uma mulher hitita (</w:t>
      </w:r>
      <w:hyperlink r:id="rId15832">
        <w:r>
          <w:rPr>
            <w:color w:val="0000EE"/>
            <w:u w:val="single"/>
          </w:rPr>
          <w:t>Gn 26.35</w:t>
        </w:r>
      </w:hyperlink>
      <w:r>
        <w:t>). Deus lamentou a miséria de Israel trazida sobre eles por desobediência (</w:t>
      </w:r>
      <w:hyperlink r:id="rId20336">
        <w:r>
          <w:rPr>
            <w:color w:val="0000EE"/>
            <w:u w:val="single"/>
          </w:rPr>
          <w:t>Jz 10.16</w:t>
        </w:r>
      </w:hyperlink>
      <w:r>
        <w:t>). Porque ela não tinha filho, Ana estava triste — tanto que parecia estar bêbada enquanto orava (</w:t>
      </w:r>
      <w:hyperlink r:id="rId3383">
        <w:r>
          <w:rPr>
            <w:color w:val="0000EE"/>
            <w:u w:val="single"/>
          </w:rPr>
          <w:t>1Sm 1.16</w:t>
        </w:r>
      </w:hyperlink>
      <w:r>
        <w:t>). Da mesma forma, Samuel, perturbado com a desobediência do rei Saul, orou a noite toda. Jó estava extremamente triste com sua perda pessoal (</w:t>
      </w:r>
      <w:hyperlink r:id="rId20337">
        <w:r>
          <w:rPr>
            <w:color w:val="0000EE"/>
            <w:u w:val="single"/>
          </w:rPr>
          <w:t>Jó 2.13</w:t>
        </w:r>
      </w:hyperlink>
      <w:r>
        <w:t xml:space="preserve">; cf. </w:t>
      </w:r>
      <w:hyperlink r:id="rId16996">
        <w:r>
          <w:rPr>
            <w:color w:val="0000EE"/>
            <w:u w:val="single"/>
          </w:rPr>
          <w:t>6.2</w:t>
        </w:r>
      </w:hyperlink>
      <w:r>
        <w:t xml:space="preserve">; </w:t>
      </w:r>
      <w:hyperlink r:id="rId20338">
        <w:r>
          <w:rPr>
            <w:color w:val="0000EE"/>
            <w:u w:val="single"/>
          </w:rPr>
          <w:t>16.6</w:t>
        </w:r>
      </w:hyperlink>
      <w:r>
        <w:t>), e o salmista demonstrou poeticamente angústia e tristeza (</w:t>
      </w:r>
      <w:hyperlink r:id="rId20339">
        <w:r>
          <w:rPr>
            <w:color w:val="0000EE"/>
            <w:u w:val="single"/>
          </w:rPr>
          <w:t>Sl 6.7</w:t>
        </w:r>
      </w:hyperlink>
      <w:r>
        <w:t xml:space="preserve">; </w:t>
      </w:r>
      <w:hyperlink r:id="rId20340">
        <w:r>
          <w:rPr>
            <w:color w:val="0000EE"/>
            <w:u w:val="single"/>
          </w:rPr>
          <w:t>31.9–10</w:t>
        </w:r>
      </w:hyperlink>
      <w:r>
        <w:t xml:space="preserve">; </w:t>
      </w:r>
      <w:hyperlink r:id="rId20341">
        <w:r>
          <w:rPr>
            <w:color w:val="0000EE"/>
            <w:u w:val="single"/>
          </w:rPr>
          <w:t>69.26</w:t>
        </w:r>
      </w:hyperlink>
      <w:r>
        <w:t xml:space="preserve">; </w:t>
      </w:r>
      <w:hyperlink r:id="rId18605">
        <w:r>
          <w:rPr>
            <w:color w:val="0000EE"/>
            <w:u w:val="single"/>
          </w:rPr>
          <w:t>73.21</w:t>
        </w:r>
      </w:hyperlink>
      <w:r>
        <w:t xml:space="preserve">; </w:t>
      </w:r>
      <w:hyperlink r:id="rId20342">
        <w:r>
          <w:rPr>
            <w:color w:val="0000EE"/>
            <w:u w:val="single"/>
          </w:rPr>
          <w:t>95.10</w:t>
        </w:r>
      </w:hyperlink>
      <w:r>
        <w:t xml:space="preserve">; </w:t>
      </w:r>
      <w:hyperlink r:id="rId20343">
        <w:r>
          <w:rPr>
            <w:color w:val="0000EE"/>
            <w:u w:val="single"/>
          </w:rPr>
          <w:t>112.10</w:t>
        </w:r>
      </w:hyperlink>
      <w:r>
        <w:t>). O livro de Lamentações é dedicado à expressão de tristeza, e os profetas em geral falam de julgamento porque Israel havia entristecido um Deus santo.</w:t>
      </w:r>
    </w:p>
    <w:p>
      <w:r/>
      <w:r>
        <w:t>Jesus experimentou tristeza e angústia (</w:t>
      </w:r>
      <w:hyperlink r:id="rId5664">
        <w:r>
          <w:rPr>
            <w:color w:val="0000EE"/>
            <w:u w:val="single"/>
          </w:rPr>
          <w:t>Mc 3.5</w:t>
        </w:r>
      </w:hyperlink>
      <w:r>
        <w:t xml:space="preserve">; </w:t>
      </w:r>
      <w:hyperlink r:id="rId13462">
        <w:r>
          <w:rPr>
            <w:color w:val="0000EE"/>
            <w:u w:val="single"/>
          </w:rPr>
          <w:t>Jo 11.33</w:t>
        </w:r>
      </w:hyperlink>
      <w:r>
        <w:t>), incluindo o choro pela morte de um amigo (</w:t>
      </w:r>
      <w:hyperlink r:id="rId5983">
        <w:r>
          <w:rPr>
            <w:color w:val="0000EE"/>
            <w:u w:val="single"/>
          </w:rPr>
          <w:t>Jo 11.35</w:t>
        </w:r>
      </w:hyperlink>
      <w:r>
        <w:t>). Os judeus aparentemente se entristeciam quando os apóstolos ensinavam sobre Cristo (</w:t>
      </w:r>
      <w:hyperlink r:id="rId20344">
        <w:r>
          <w:rPr>
            <w:color w:val="0000EE"/>
            <w:u w:val="single"/>
          </w:rPr>
          <w:t>Atos 4.2</w:t>
        </w:r>
      </w:hyperlink>
      <w:r>
        <w:t>). O apóstolo Paulo instruiu os crentes a não entristecer uns aos outros (</w:t>
      </w:r>
      <w:hyperlink r:id="rId20345">
        <w:r>
          <w:rPr>
            <w:color w:val="0000EE"/>
            <w:u w:val="single"/>
          </w:rPr>
          <w:t>Rm 14.15</w:t>
        </w:r>
      </w:hyperlink>
      <w:r>
        <w:t>) e não queria causar qualquer tristeza (</w:t>
      </w:r>
      <w:hyperlink r:id="rId20346">
        <w:r>
          <w:rPr>
            <w:color w:val="0000EE"/>
            <w:u w:val="single"/>
          </w:rPr>
          <w:t>2Co 2.1–5</w:t>
        </w:r>
      </w:hyperlink>
      <w:r>
        <w:t>). Acima de tudo, o crente não deve entristecer o Espírito Santo (</w:t>
      </w:r>
      <w:hyperlink r:id="rId3217">
        <w:r>
          <w:rPr>
            <w:color w:val="0000EE"/>
            <w:u w:val="single"/>
          </w:rPr>
          <w:t>Ef 4.30</w:t>
        </w:r>
      </w:hyperlink>
      <w:r>
        <w:t>). Um crente pode, é claro, experimentar tristeza e sofrimento em um mundo estranho (</w:t>
      </w:r>
      <w:hyperlink r:id="rId16756">
        <w:r>
          <w:rPr>
            <w:color w:val="0000EE"/>
            <w:u w:val="single"/>
          </w:rPr>
          <w:t>1Pe 2.19</w:t>
        </w:r>
      </w:hyperlink>
      <w:r>
        <w:t>). Nos tempos bíblicos, a tristeza recebia expressão especial em um momento de morte por meio de gritos, lamentos e choro (</w:t>
      </w:r>
      <w:hyperlink r:id="rId20347">
        <w:r>
          <w:rPr>
            <w:color w:val="0000EE"/>
            <w:u w:val="single"/>
          </w:rPr>
          <w:t>Jr 9.17–18</w:t>
        </w:r>
      </w:hyperlink>
      <w:r>
        <w:t xml:space="preserve">; </w:t>
      </w:r>
      <w:hyperlink r:id="rId13453">
        <w:r>
          <w:rPr>
            <w:color w:val="0000EE"/>
            <w:u w:val="single"/>
          </w:rPr>
          <w:t>Am 5.16</w:t>
        </w:r>
      </w:hyperlink>
      <w:r>
        <w:t xml:space="preserve">; </w:t>
      </w:r>
      <w:hyperlink r:id="rId20348">
        <w:r>
          <w:rPr>
            <w:color w:val="0000EE"/>
            <w:u w:val="single"/>
          </w:rPr>
          <w:t>Mc 5.38</w:t>
        </w:r>
      </w:hyperlink>
      <w:r>
        <w:t>).</w:t>
      </w:r>
    </w:p>
    <w:p>
      <w:r/>
      <w:r>
        <w:rPr>
          <w:i/>
        </w:rPr>
        <w:t>Veja também</w:t>
      </w:r>
      <w:r>
        <w:t xml:space="preserve"> </w:t>
      </w:r>
      <w:r>
        <w:t>Luto</w:t>
      </w:r>
      <w:r>
        <w:t>.</w:t>
      </w:r>
      <w:r/>
      <w:r/>
    </w:p>
    <w:p>
      <w:r/>
    </w:p>
    <w:p>
      <w:pPr>
        <w:pStyle w:val="Heading2"/>
      </w:pPr>
      <w:r>
        <w:t>Trôade</w:t>
      </w:r>
      <w:r/>
    </w:p>
    <w:p>
      <w:r/>
      <w:r>
        <w:t>Uma cidade nos tempos antigos estava localizada no que hoje é a Turquia. Situava-se a 16,1 quilômetros ao sul de Troia. Troia era famosa como o local onde ocorreu a Guerra de Troia, sobre a qual o antigo poeta Homero escreveu. Tanto Troia quanto Trôade foram construídas em uma área chamada Planície de Trôade, que se estendia por cerca de 16,1 quilômetros ao longo do mar. O apóstolo Paulo viajou de Trôade para a Macedônia após receber uma visão em que um homem dizia: “Venha para a Macedônia e ajude-nos” (</w:t>
      </w:r>
      <w:hyperlink r:id="rId20349">
        <w:r>
          <w:rPr>
            <w:color w:val="0000EE"/>
            <w:u w:val="single"/>
          </w:rPr>
          <w:t>At 16.9</w:t>
        </w:r>
      </w:hyperlink>
      <w:r>
        <w:t>).</w:t>
      </w:r>
    </w:p>
    <w:p>
      <w:pPr>
        <w:pStyle w:val="Heading3"/>
      </w:pPr>
      <w:r>
        <w:t>História primitiva</w:t>
      </w:r>
    </w:p>
    <w:p>
      <w:r/>
      <w:r>
        <w:t>Por volta de 300 a.C., o rei selêucida Antígono fundou a cidade e a nomeou em sua homenagem. Mais tarde, o nome da cidade mudou para Alexandria Trôade em honra a Alexandre, o Grande, que havia passado por Trôade em busca dos persas. A cidade tornou-se uma colônia romana quando o poder romano substituiu os gregos. Segundo alguns estudiosos, Júlio César imaginou Trôade como sua capital oriental. Mais tarde, Constantino, o Grande, inicialmente considerou torná-la sua capital antes de Bizâncio (Constantinopla).</w:t>
      </w:r>
    </w:p>
    <w:p>
      <w:pPr>
        <w:pStyle w:val="Heading3"/>
      </w:pPr>
      <w:r>
        <w:t>Visitas de Paulo a Trôade</w:t>
      </w:r>
    </w:p>
    <w:p>
      <w:r/>
      <w:r>
        <w:t>Trôade era um importante porto marítimo na época de Paulo, pois era a rota mais fácil e curta da Ásia para a Europa.</w:t>
      </w:r>
    </w:p>
    <w:p>
      <w:r/>
      <w:r>
        <w:t>Na segunda viagem missionária, Paulo e Silas chegaram a Trôade. Isso ocorreu "depois que o Espírito Santo os impediu de falar a palavra na província da Ásia" (</w:t>
      </w:r>
      <w:hyperlink r:id="rId4336">
        <w:r>
          <w:rPr>
            <w:color w:val="0000EE"/>
            <w:u w:val="single"/>
          </w:rPr>
          <w:t>At 16.6</w:t>
        </w:r>
      </w:hyperlink>
      <w:r>
        <w:t>). Esta viagem à Europa não é enfatizada em Atos. No entanto, muitos estudiosos acreditam que essa curta viagem teve grande importância histórica. Eles comparam sua significância à invasão da Grã-Bretanha por Júlio César. Após essa visão, Paulo e Silas partiram de Trôade e passaram pela ilha de Samotrácia. Então, desembarcaram em Neápolis (atual Kavala), sua primeira parada na Europa (v.</w:t>
      </w:r>
      <w:hyperlink r:id="rId15119">
        <w:r>
          <w:rPr>
            <w:color w:val="0000EE"/>
            <w:u w:val="single"/>
          </w:rPr>
          <w:t>11</w:t>
        </w:r>
      </w:hyperlink>
      <w:r>
        <w:t>).</w:t>
      </w:r>
    </w:p>
    <w:p>
      <w:r/>
      <w:r>
        <w:t>Sabemos que alguém deve ter estabelecido uma igreja em Trôade devido a eventos descritos posteriormente. Paulo concluiu sua missão em Éfeso e, em seguida, pregou o evangelho em Troas (</w:t>
      </w:r>
      <w:hyperlink r:id="rId20350">
        <w:r>
          <w:rPr>
            <w:color w:val="0000EE"/>
            <w:u w:val="single"/>
          </w:rPr>
          <w:t>2Co 2.12</w:t>
        </w:r>
      </w:hyperlink>
      <w:r>
        <w:t>). A caminho de Jerusalém pela última vez, Paulo parou em Trôade, onde pregou até depois da meia-noite. Um dos jovens adormeceu profundamente, caiu de uma janela e morreu, mas Paulo o ressuscitou. Depois, Paulo continuou ensinando até de manhã (</w:t>
      </w:r>
      <w:hyperlink r:id="rId15515">
        <w:r>
          <w:rPr>
            <w:color w:val="0000EE"/>
            <w:u w:val="single"/>
          </w:rPr>
          <w:t>At 20.6–12</w:t>
        </w:r>
      </w:hyperlink>
      <w:r>
        <w:t>).</w:t>
      </w:r>
    </w:p>
    <w:p>
      <w:r/>
      <w:r>
        <w:t>Paulo visitou Trôade novamente. Parece que foi quando ele foi preso lá. Ele deixou para trás um manto e papéis. Em sua segunda carta a Timóteo, Paulo pede que ele traga esses itens para ele em sua prisão em Roma (</w:t>
      </w:r>
      <w:hyperlink r:id="rId16533">
        <w:r>
          <w:rPr>
            <w:color w:val="0000EE"/>
            <w:u w:val="single"/>
          </w:rPr>
          <w:t>2Tm 4.13</w:t>
        </w:r>
      </w:hyperlink>
      <w:r>
        <w:t>).</w:t>
      </w:r>
      <w:r/>
      <w:r/>
    </w:p>
    <w:p>
      <w:r/>
    </w:p>
    <w:p>
      <w:pPr>
        <w:pStyle w:val="Heading2"/>
      </w:pPr>
      <w:r>
        <w:t>Trófimo</w:t>
      </w:r>
      <w:r/>
    </w:p>
    <w:p>
      <w:r/>
      <w:r>
        <w:t>Um cristão da província da Ásia. Ele acompanhou Paulo em sua viagem final a Jerusalém (</w:t>
      </w:r>
      <w:hyperlink r:id="rId2497">
        <w:r>
          <w:rPr>
            <w:color w:val="0000EE"/>
            <w:u w:val="single"/>
          </w:rPr>
          <w:t>At 20.4</w:t>
        </w:r>
      </w:hyperlink>
      <w:r>
        <w:t>). Alguns judeus viram Trófimo, o efésio, com Paulo em Jerusalém e presumiram que Paulo o havia levado ao templo. Como Trófimo não era judeu, eles o acusaram de profanar o templo (</w:t>
      </w:r>
      <w:hyperlink r:id="rId20351">
        <w:r>
          <w:rPr>
            <w:color w:val="0000EE"/>
            <w:u w:val="single"/>
          </w:rPr>
          <w:t>21.28–29</w:t>
        </w:r>
      </w:hyperlink>
      <w:r>
        <w:t>). Esta falsa acusação se tornou a desculpa para prender e encarcerar Paulo.</w:t>
      </w:r>
    </w:p>
    <w:p>
      <w:r/>
      <w:r>
        <w:t>Trófimo estava viajando com Paulo como um dos representantes da igreja asiática. Eles o haviam selecionado para supervisionar a coleta para a igreja de Jerusalém. Trófimo provavelmente foi um dos crentes que viajaram com Tito para entregar a Segunda aos Coríntios (</w:t>
      </w:r>
      <w:hyperlink r:id="rId5912">
        <w:r>
          <w:rPr>
            <w:color w:val="0000EE"/>
            <w:u w:val="single"/>
          </w:rPr>
          <w:t>2Co 8.16–24</w:t>
        </w:r>
      </w:hyperlink>
      <w:r>
        <w:t xml:space="preserve">). De acordo com </w:t>
      </w:r>
      <w:hyperlink r:id="rId4381">
        <w:r>
          <w:rPr>
            <w:color w:val="0000EE"/>
            <w:u w:val="single"/>
          </w:rPr>
          <w:t>2 Timóteo 4.20</w:t>
        </w:r>
      </w:hyperlink>
      <w:r>
        <w:t>, Trófimo acompanhou Paulo antes de sua prisão final em Roma. No entanto, Trófimo ficou em Mileto por causa de uma doença. A tradição sugere que o Imperador Nero ordenou que Trófimo fosse morto por decapitação.</w:t>
      </w:r>
      <w:r/>
      <w:r/>
    </w:p>
    <w:p>
      <w:r/>
    </w:p>
    <w:p>
      <w:pPr>
        <w:pStyle w:val="Heading2"/>
      </w:pPr>
      <w:r>
        <w:t>Trogílio</w:t>
      </w:r>
      <w:r/>
    </w:p>
    <w:p>
      <w:r/>
      <w:r>
        <w:t xml:space="preserve">Trogílio é uma área rochosa no mar entre a ilha de Samos e a cidade de Mileto. Em </w:t>
      </w:r>
      <w:hyperlink r:id="rId19086">
        <w:r>
          <w:rPr>
            <w:color w:val="0000EE"/>
            <w:u w:val="single"/>
          </w:rPr>
          <w:t>Atos 20.15</w:t>
        </w:r>
      </w:hyperlink>
      <w:r>
        <w:t>, algumas cópias antigas da Bíblia mencionam que o navio de Paulo parou neste local durante sua viagem a Jerusalém, perto do final de sua terceira viagem missionária. Como Trogílio é uma porção de terra que se projeta no mar entre Samos e Mileto, seria razoável que um navio à vela tivesse parado lá para passar a noite.</w:t>
      </w:r>
    </w:p>
    <w:p>
      <w:r/>
      <w:r>
        <w:t>No entanto, a maioria dos estudiosos que examinam manuscritos antigos da Bíblia acredita que a frase "ficando em Trogílio" (que aparece na Almeida Revista e Corrigida) foi adicionada ao texto bíblico posteriormente e não fazia parte do escrito original.</w:t>
      </w:r>
      <w:r/>
      <w:r/>
    </w:p>
    <w:p>
      <w:r/>
    </w:p>
    <w:p>
      <w:pPr>
        <w:pStyle w:val="Heading2"/>
      </w:pPr>
      <w:r>
        <w:t>Troncos</w:t>
      </w:r>
      <w:r/>
    </w:p>
    <w:p>
      <w:r/>
      <w:r>
        <w:t>Uma forma comum de punição e confinamento nos tempos bíblicos (</w:t>
      </w:r>
      <w:hyperlink r:id="rId7253">
        <w:r>
          <w:rPr>
            <w:color w:val="0000EE"/>
            <w:u w:val="single"/>
          </w:rPr>
          <w:t>2Cr 16.10</w:t>
        </w:r>
      </w:hyperlink>
      <w:r>
        <w:t xml:space="preserve">; </w:t>
      </w:r>
      <w:hyperlink r:id="rId7255">
        <w:r>
          <w:rPr>
            <w:color w:val="0000EE"/>
            <w:u w:val="single"/>
          </w:rPr>
          <w:t>At 16.24</w:t>
        </w:r>
      </w:hyperlink>
      <w:r>
        <w:t>). Os troncos eram estruturas de madeira com buracos para prender os pés, mãos ou pescoço de um prisioneiro. Isso impedia o movimento e causava grande desconforto.</w:t>
      </w:r>
    </w:p>
    <w:p>
      <w:r/>
      <w:r>
        <w:rPr>
          <w:i/>
        </w:rPr>
        <w:t>Veja</w:t>
      </w:r>
      <w:r>
        <w:t xml:space="preserve"> </w:t>
      </w:r>
      <w:r>
        <w:t>Direito penal e punição</w:t>
      </w:r>
      <w:r>
        <w:t>.</w:t>
      </w:r>
      <w:r/>
      <w:r/>
    </w:p>
    <w:p>
      <w:r/>
    </w:p>
    <w:p>
      <w:pPr>
        <w:pStyle w:val="Heading2"/>
      </w:pPr>
      <w:r>
        <w:t>Trono</w:t>
      </w:r>
      <w:r/>
    </w:p>
    <w:p>
      <w:r/>
      <w:r>
        <w:t>Uma cadeira cerimonial elevada simboliza a importância e autoridade de seu ocupante. À medida que a palavra "trono" se espalhou, tornou-se um símbolo de realeza e passou a significar o próprio reino. Quando Faraó fez de José vice-rei, ele disse: "Somente em relação ao trono serei maior do que você" (</w:t>
      </w:r>
      <w:hyperlink r:id="rId14706">
        <w:r>
          <w:rPr>
            <w:color w:val="0000EE"/>
            <w:u w:val="single"/>
          </w:rPr>
          <w:t>Gn 41.40</w:t>
        </w:r>
      </w:hyperlink>
      <w:r>
        <w:t>). O estabelecimento de Davi como rei de Israel foi equivalente ao estabelecimento do trono de Davi (</w:t>
      </w:r>
      <w:hyperlink r:id="rId6449">
        <w:r>
          <w:rPr>
            <w:color w:val="0000EE"/>
            <w:u w:val="single"/>
          </w:rPr>
          <w:t>2Sm 3.10</w:t>
        </w:r>
      </w:hyperlink>
      <w:r>
        <w:t>). Ocupando o trono indicava sucessão à realeza (</w:t>
      </w:r>
      <w:hyperlink r:id="rId20352">
        <w:r>
          <w:rPr>
            <w:color w:val="0000EE"/>
            <w:u w:val="single"/>
          </w:rPr>
          <w:t>1Rs 1.46</w:t>
        </w:r>
      </w:hyperlink>
      <w:r>
        <w:t>).</w:t>
      </w:r>
    </w:p>
    <w:p>
      <w:r/>
      <w:r>
        <w:t>Apenas um trono é descrito em detalhe no Antigo Testamento, o trono de Salomão (</w:t>
      </w:r>
      <w:hyperlink r:id="rId20353">
        <w:r>
          <w:rPr>
            <w:color w:val="0000EE"/>
            <w:u w:val="single"/>
          </w:rPr>
          <w:t>1Rs 10.18–20</w:t>
        </w:r>
      </w:hyperlink>
      <w:r>
        <w:t xml:space="preserve">; </w:t>
      </w:r>
      <w:hyperlink r:id="rId20354">
        <w:r>
          <w:rPr>
            <w:color w:val="0000EE"/>
            <w:u w:val="single"/>
          </w:rPr>
          <w:t>2Cr 9.17–19</w:t>
        </w:r>
      </w:hyperlink>
      <w:r>
        <w:t>). A descrição e os monumentos antigos mostram tronos. Eles sugerem a aparência do trono de Israel. Um assento elevado com seis degraus levando até ele, o trono era parcialmente feito de marfim e revestido com ouro. O trono tinha um encosto e braços. Havia estátuas de leões ao lado dele e seis estátuas semelhantes em cada lado dos degraus. Embora não mencionado na descrição do Antigo Testamento, um escabelo era uma parte indispensável do trono (</w:t>
      </w:r>
      <w:hyperlink r:id="rId6834">
        <w:r>
          <w:rPr>
            <w:color w:val="0000EE"/>
            <w:u w:val="single"/>
          </w:rPr>
          <w:t>Is 66.1</w:t>
        </w:r>
      </w:hyperlink>
      <w:r>
        <w:t>).</w:t>
      </w:r>
    </w:p>
    <w:p>
      <w:r/>
      <w:r>
        <w:t xml:space="preserve">O termo hebraico </w:t>
      </w:r>
      <w:r>
        <w:rPr>
          <w:i/>
        </w:rPr>
        <w:t>kisseh</w:t>
      </w:r>
      <w:r>
        <w:t xml:space="preserve"> é usado como um assento de honra para qualquer pessoa distinta:</w:t>
      </w:r>
    </w:p>
    <w:p>
      <w:pPr>
        <w:pStyle w:val="ListBullet"/>
        <w:spacing w:line="240" w:lineRule="auto"/>
        <w:ind w:left="720"/>
      </w:pPr>
      <w:r/>
      <w:r>
        <w:t>Um sacerdote (</w:t>
      </w:r>
      <w:hyperlink r:id="rId5659">
        <w:r>
          <w:rPr>
            <w:color w:val="0000EE"/>
            <w:u w:val="single"/>
          </w:rPr>
          <w:t>1Sm 4.13,18</w:t>
        </w:r>
      </w:hyperlink>
      <w:r>
        <w:t>);</w:t>
      </w:r>
    </w:p>
    <w:p>
      <w:pPr>
        <w:pStyle w:val="ListBullet"/>
        <w:spacing w:line="240" w:lineRule="auto"/>
        <w:ind w:left="720"/>
      </w:pPr>
      <w:r/>
      <w:r>
        <w:t>Um governante (</w:t>
      </w:r>
      <w:hyperlink r:id="rId20355">
        <w:r>
          <w:rPr>
            <w:color w:val="0000EE"/>
            <w:u w:val="single"/>
          </w:rPr>
          <w:t>Sl 94.20</w:t>
        </w:r>
      </w:hyperlink>
      <w:r>
        <w:t>);</w:t>
      </w:r>
    </w:p>
    <w:p>
      <w:pPr>
        <w:pStyle w:val="ListBullet"/>
        <w:spacing w:line="240" w:lineRule="auto"/>
        <w:ind w:left="720"/>
      </w:pPr>
      <w:r/>
      <w:r>
        <w:t>Um oficial militar (</w:t>
      </w:r>
      <w:hyperlink r:id="rId20356">
        <w:r>
          <w:rPr>
            <w:color w:val="0000EE"/>
            <w:u w:val="single"/>
          </w:rPr>
          <w:t>Jr 1.15</w:t>
        </w:r>
      </w:hyperlink>
      <w:r>
        <w:t>);</w:t>
      </w:r>
    </w:p>
    <w:p>
      <w:pPr>
        <w:pStyle w:val="ListBullet"/>
        <w:spacing w:line="240" w:lineRule="auto"/>
        <w:ind w:left="720"/>
      </w:pPr>
      <w:r/>
      <w:r>
        <w:t>Um hóspede favorecido (</w:t>
      </w:r>
      <w:hyperlink r:id="rId10760">
        <w:r>
          <w:rPr>
            <w:color w:val="0000EE"/>
            <w:u w:val="single"/>
          </w:rPr>
          <w:t>2Rs 4.10</w:t>
        </w:r>
      </w:hyperlink>
      <w:r>
        <w:t>).</w:t>
      </w:r>
    </w:p>
    <w:p>
      <w:r/>
      <w:r>
        <w:t>Refere-se principalmente à cadeira de um rei a partir da qual ele governava. O Antigo Testamento menciona os tronos de reis estrangeiros (</w:t>
      </w:r>
      <w:hyperlink r:id="rId14707">
        <w:r>
          <w:rPr>
            <w:color w:val="0000EE"/>
            <w:u w:val="single"/>
          </w:rPr>
          <w:t>Êx 11.5</w:t>
        </w:r>
      </w:hyperlink>
      <w:r>
        <w:t xml:space="preserve">; </w:t>
      </w:r>
      <w:hyperlink r:id="rId20357">
        <w:r>
          <w:rPr>
            <w:color w:val="0000EE"/>
            <w:u w:val="single"/>
          </w:rPr>
          <w:t>Jr 43.10</w:t>
        </w:r>
      </w:hyperlink>
      <w:r>
        <w:t xml:space="preserve">; </w:t>
      </w:r>
      <w:hyperlink r:id="rId4918">
        <w:r>
          <w:rPr>
            <w:color w:val="0000EE"/>
            <w:u w:val="single"/>
          </w:rPr>
          <w:t>Jn 3.6</w:t>
        </w:r>
      </w:hyperlink>
      <w:r>
        <w:t>). Enfatiza especialmente o trono de Israel e o trono de Davi.</w:t>
      </w:r>
    </w:p>
    <w:p>
      <w:r/>
      <w:r>
        <w:t>O Deus de Israel é descrito metaforicamente como sentado em um trono (</w:t>
      </w:r>
      <w:hyperlink r:id="rId6834">
        <w:r>
          <w:rPr>
            <w:color w:val="0000EE"/>
            <w:u w:val="single"/>
          </w:rPr>
          <w:t>Is 66.1</w:t>
        </w:r>
      </w:hyperlink>
      <w:r>
        <w:t>). Muitos profetas descrevem visões de Deus em um trono:</w:t>
      </w:r>
    </w:p>
    <w:p>
      <w:pPr>
        <w:pStyle w:val="ListBullet"/>
        <w:spacing w:line="240" w:lineRule="auto"/>
        <w:ind w:left="720"/>
      </w:pPr>
      <w:r/>
      <w:r>
        <w:t>Micaías (</w:t>
      </w:r>
      <w:hyperlink r:id="rId2076">
        <w:r>
          <w:rPr>
            <w:color w:val="0000EE"/>
            <w:u w:val="single"/>
          </w:rPr>
          <w:t>1Rs 22.19</w:t>
        </w:r>
      </w:hyperlink>
      <w:r>
        <w:t>);</w:t>
      </w:r>
    </w:p>
    <w:p>
      <w:pPr>
        <w:pStyle w:val="ListBullet"/>
        <w:spacing w:line="240" w:lineRule="auto"/>
        <w:ind w:left="720"/>
      </w:pPr>
      <w:r/>
      <w:r>
        <w:t>Isaías (</w:t>
      </w:r>
      <w:hyperlink r:id="rId20358">
        <w:r>
          <w:rPr>
            <w:color w:val="0000EE"/>
            <w:u w:val="single"/>
          </w:rPr>
          <w:t>Is 6.1–3</w:t>
        </w:r>
      </w:hyperlink>
      <w:r>
        <w:t>);</w:t>
      </w:r>
    </w:p>
    <w:p>
      <w:pPr>
        <w:pStyle w:val="ListBullet"/>
        <w:spacing w:line="240" w:lineRule="auto"/>
        <w:ind w:left="720"/>
      </w:pPr>
      <w:r/>
      <w:r>
        <w:t>Ezequiel (</w:t>
      </w:r>
      <w:hyperlink r:id="rId20359">
        <w:r>
          <w:rPr>
            <w:color w:val="0000EE"/>
            <w:u w:val="single"/>
          </w:rPr>
          <w:t>Ez 1.4–28</w:t>
        </w:r>
      </w:hyperlink>
      <w:r>
        <w:t xml:space="preserve">; </w:t>
      </w:r>
      <w:hyperlink r:id="rId9583">
        <w:r>
          <w:rPr>
            <w:color w:val="0000EE"/>
            <w:u w:val="single"/>
          </w:rPr>
          <w:t>10.1</w:t>
        </w:r>
      </w:hyperlink>
      <w:r>
        <w:t>);</w:t>
      </w:r>
    </w:p>
    <w:p>
      <w:pPr>
        <w:pStyle w:val="ListBullet"/>
        <w:spacing w:line="240" w:lineRule="auto"/>
        <w:ind w:left="720"/>
      </w:pPr>
      <w:r/>
      <w:r>
        <w:t>Daniel (</w:t>
      </w:r>
      <w:hyperlink r:id="rId20360">
        <w:r>
          <w:rPr>
            <w:color w:val="0000EE"/>
            <w:u w:val="single"/>
          </w:rPr>
          <w:t>Dn 7.9–10</w:t>
        </w:r>
      </w:hyperlink>
      <w:r>
        <w:t>).</w:t>
      </w:r>
    </w:p>
    <w:p>
      <w:r/>
      <w:r>
        <w:t xml:space="preserve">Mais tarde, a visão de Ezequiel sobre o trono de Deus teve grande importância no "misticismo do trono" judaico. Em </w:t>
      </w:r>
      <w:hyperlink r:id="rId2072">
        <w:r>
          <w:rPr>
            <w:color w:val="0000EE"/>
            <w:u w:val="single"/>
          </w:rPr>
          <w:t>Apocalipse 4</w:t>
        </w:r>
      </w:hyperlink>
      <w:r>
        <w:t>, o trono de Deus é rodeado pelos 24 tronos dos anciãos. Um arco-íris de esmeralda e sete tochas o cercam. Um mar de cristal está à frente, com quatro criaturas vivas de cada lado.</w:t>
      </w:r>
    </w:p>
    <w:p>
      <w:r/>
      <w:r>
        <w:t>O trono de Deus geralmente está no céu (</w:t>
      </w:r>
      <w:hyperlink r:id="rId332">
        <w:r>
          <w:rPr>
            <w:color w:val="0000EE"/>
            <w:u w:val="single"/>
          </w:rPr>
          <w:t>Sl 11.4</w:t>
        </w:r>
      </w:hyperlink>
      <w:r>
        <w:t xml:space="preserve">; </w:t>
      </w:r>
      <w:hyperlink r:id="rId20361">
        <w:r>
          <w:rPr>
            <w:color w:val="0000EE"/>
            <w:u w:val="single"/>
          </w:rPr>
          <w:t>Mt 5.34</w:t>
        </w:r>
      </w:hyperlink>
      <w:r>
        <w:t>). Mas, o trono de Deus também é descrito como estando em:</w:t>
      </w:r>
    </w:p>
    <w:p>
      <w:pPr>
        <w:pStyle w:val="ListBullet"/>
        <w:spacing w:line="240" w:lineRule="auto"/>
        <w:ind w:left="720"/>
      </w:pPr>
      <w:r/>
      <w:r>
        <w:t>Jerusalém (</w:t>
      </w:r>
      <w:hyperlink r:id="rId20362">
        <w:r>
          <w:rPr>
            <w:color w:val="0000EE"/>
            <w:u w:val="single"/>
          </w:rPr>
          <w:t>Jr 3.17</w:t>
        </w:r>
      </w:hyperlink>
      <w:r>
        <w:t>);</w:t>
      </w:r>
    </w:p>
    <w:p>
      <w:pPr>
        <w:pStyle w:val="ListBullet"/>
        <w:spacing w:line="240" w:lineRule="auto"/>
        <w:ind w:left="720"/>
      </w:pPr>
      <w:r/>
      <w:r>
        <w:t>O templo (</w:t>
      </w:r>
      <w:hyperlink r:id="rId20363">
        <w:r>
          <w:rPr>
            <w:color w:val="0000EE"/>
            <w:u w:val="single"/>
          </w:rPr>
          <w:t>Ez 43.6–7</w:t>
        </w:r>
      </w:hyperlink>
      <w:r>
        <w:t>);</w:t>
      </w:r>
    </w:p>
    <w:p>
      <w:pPr>
        <w:pStyle w:val="ListBullet"/>
        <w:spacing w:line="240" w:lineRule="auto"/>
        <w:ind w:left="720"/>
      </w:pPr>
      <w:r/>
      <w:r>
        <w:t>Israel (</w:t>
      </w:r>
      <w:hyperlink r:id="rId20364">
        <w:r>
          <w:rPr>
            <w:color w:val="0000EE"/>
            <w:u w:val="single"/>
          </w:rPr>
          <w:t>Jr 14.21</w:t>
        </w:r>
      </w:hyperlink>
      <w:r>
        <w:t>).</w:t>
      </w:r>
    </w:p>
    <w:p>
      <w:r/>
      <w:r>
        <w:t>O conceito do trono de Cristo é raro no Antigo Testamento (</w:t>
      </w:r>
      <w:hyperlink r:id="rId6610">
        <w:r>
          <w:rPr>
            <w:color w:val="0000EE"/>
            <w:u w:val="single"/>
          </w:rPr>
          <w:t>Is 9.7</w:t>
        </w:r>
      </w:hyperlink>
      <w:r>
        <w:t xml:space="preserve">; </w:t>
      </w:r>
      <w:hyperlink r:id="rId20365">
        <w:r>
          <w:rPr>
            <w:color w:val="0000EE"/>
            <w:u w:val="single"/>
          </w:rPr>
          <w:t>Jr 17.25</w:t>
        </w:r>
      </w:hyperlink>
      <w:r>
        <w:t>), mas comum no Novo Testamento (</w:t>
      </w:r>
      <w:hyperlink r:id="rId2005">
        <w:r>
          <w:rPr>
            <w:color w:val="0000EE"/>
            <w:u w:val="single"/>
          </w:rPr>
          <w:t>Lc 1.32</w:t>
        </w:r>
      </w:hyperlink>
      <w:r>
        <w:t xml:space="preserve">; </w:t>
      </w:r>
      <w:hyperlink r:id="rId18945">
        <w:r>
          <w:rPr>
            <w:color w:val="0000EE"/>
            <w:u w:val="single"/>
          </w:rPr>
          <w:t>At 2.30</w:t>
        </w:r>
      </w:hyperlink>
      <w:r>
        <w:t>). Este trono simboliza a realeza e autoridade de Cristo.</w:t>
      </w:r>
      <w:r/>
      <w:r/>
    </w:p>
    <w:p>
      <w:r/>
    </w:p>
    <w:p>
      <w:pPr>
        <w:pStyle w:val="Heading2"/>
      </w:pPr>
      <w:r>
        <w:t>Trono do julgamento</w:t>
      </w:r>
      <w:r/>
    </w:p>
    <w:p>
      <w:r/>
      <w:r>
        <w:t>O lugar diante do qual as pessoas prestarão contas de suas vidas a Deus.</w:t>
      </w:r>
    </w:p>
    <w:p>
      <w:pPr>
        <w:pStyle w:val="Heading3"/>
      </w:pPr>
      <w:r>
        <w:t>No Antigo Testamento</w:t>
      </w:r>
    </w:p>
    <w:p>
      <w:r/>
      <w:r>
        <w:t>O conceito de julgamento divino no Novo Testamento tem origem no Antigo Testamento. No Antigo Testamento, Deus é visto como o Juiz de todo o mundo, especialmente de seu próprio povo.</w:t>
      </w:r>
    </w:p>
    <w:p>
      <w:r/>
      <w:r>
        <w:t>Quando Abraão pediu a Deus para poupar a cidade de Sodoma, ele se referiu a Deus como "o juiz do mundo inteiro" (</w:t>
      </w:r>
      <w:hyperlink r:id="rId12629">
        <w:r>
          <w:rPr>
            <w:color w:val="0000EE"/>
            <w:u w:val="single"/>
          </w:rPr>
          <w:t>Gn 18.25</w:t>
        </w:r>
      </w:hyperlink>
      <w:r>
        <w:t>). O papel de Moisés como juiz sobre os israelitas baseava-se na crença de que Deus estava dando julgamentos através dele. Uma relação semelhante existia entre Deus e os juízes que lideraram Israel após a conquista da terra prometida. Essa compreensão de Deus como Juiz é claramente vista na mensagem de Jefté ao rei de Amom: “O Senhor é o juiz. Ele decidirá hoje entre os israelitas e os amonitas” (</w:t>
      </w:r>
      <w:hyperlink r:id="rId12555">
        <w:r>
          <w:rPr>
            <w:color w:val="0000EE"/>
            <w:u w:val="single"/>
          </w:rPr>
          <w:t>Jz 11.27</w:t>
        </w:r>
      </w:hyperlink>
      <w:r>
        <w:t>). Quando Deus chamou Samuel, ele lhe disse que Ele (Deus) julgaria a casa de Eli.</w:t>
      </w:r>
    </w:p>
    <w:p>
      <w:r/>
      <w:r>
        <w:t xml:space="preserve">A ideia de Deus como o Juiz de seu povo é comum nos Salmos e Profetas. Em </w:t>
      </w:r>
      <w:hyperlink r:id="rId14709">
        <w:r>
          <w:rPr>
            <w:color w:val="0000EE"/>
            <w:u w:val="single"/>
          </w:rPr>
          <w:t>Salmo 9.4</w:t>
        </w:r>
      </w:hyperlink>
      <w:r>
        <w:t>, Davi disse de Deus: “Tu és um juiz justo e, sentado no teu trono, fizeste justiça, julgando a meu favor”. Ele continuou: “Mas o Senhor é Rei para sempre. Sentado no seu trono, ele faz os seus julgamentos. Deus governa o mundo com justiça e julga os povos de acordo com o que é direito” (</w:t>
      </w:r>
      <w:hyperlink r:id="rId20366">
        <w:r>
          <w:rPr>
            <w:color w:val="0000EE"/>
            <w:u w:val="single"/>
          </w:rPr>
          <w:t>Salmo 9.7–8</w:t>
        </w:r>
      </w:hyperlink>
      <w:r>
        <w:t>). Isaías descreveu um tempo futuro quando Deus julgará as nações (</w:t>
      </w:r>
      <w:hyperlink r:id="rId10271">
        <w:r>
          <w:rPr>
            <w:color w:val="0000EE"/>
            <w:u w:val="single"/>
          </w:rPr>
          <w:t>Is 2.4</w:t>
        </w:r>
      </w:hyperlink>
      <w:r>
        <w:t>). Joel também falou de Deus como o Juiz das nações (</w:t>
      </w:r>
      <w:hyperlink r:id="rId20367">
        <w:r>
          <w:rPr>
            <w:color w:val="0000EE"/>
            <w:u w:val="single"/>
          </w:rPr>
          <w:t>Jl 3.12</w:t>
        </w:r>
      </w:hyperlink>
      <w:r>
        <w:t>).</w:t>
      </w:r>
    </w:p>
    <w:p>
      <w:pPr>
        <w:pStyle w:val="Heading3"/>
      </w:pPr>
      <w:r>
        <w:t>No Novo Testamento</w:t>
      </w:r>
    </w:p>
    <w:p>
      <w:r/>
      <w:r>
        <w:t xml:space="preserve">Essas declarações do Antigo Testamento formam o pano de fundo para o entendimento do Novo Testamento sobre o tribunal de Deus ou de Cristo. A imagem de um tribunal veio da prática romana, onde o julgamento ocorria em uma plataforma (em grego, </w:t>
      </w:r>
      <w:r>
        <w:rPr>
          <w:i/>
        </w:rPr>
        <w:t>bema</w:t>
      </w:r>
      <w:r>
        <w:t>) ou tribunal, de onde um juiz ouviria e decidiria casos. É por isso que a maioria das referências do Novo Testamento a um tribunal ocorre quando Jesus ou o apóstolo Paulo foi levado perante uma autoridade governante. Por exemplo, Pilatos sentou-se em seu tribunal quando julgou Jesus (</w:t>
      </w:r>
      <w:hyperlink r:id="rId3390">
        <w:r>
          <w:rPr>
            <w:color w:val="0000EE"/>
            <w:u w:val="single"/>
          </w:rPr>
          <w:t>Mt 27.19</w:t>
        </w:r>
      </w:hyperlink>
      <w:r>
        <w:t xml:space="preserve">; cp. </w:t>
      </w:r>
      <w:hyperlink r:id="rId3391">
        <w:r>
          <w:rPr>
            <w:color w:val="0000EE"/>
            <w:u w:val="single"/>
          </w:rPr>
          <w:t>Jo 19.13</w:t>
        </w:r>
      </w:hyperlink>
      <w:r>
        <w:t xml:space="preserve">; </w:t>
      </w:r>
      <w:hyperlink r:id="rId4071">
        <w:r>
          <w:rPr>
            <w:color w:val="0000EE"/>
            <w:u w:val="single"/>
          </w:rPr>
          <w:t>At 18.12,16–17</w:t>
        </w:r>
      </w:hyperlink>
      <w:r>
        <w:t xml:space="preserve">; </w:t>
      </w:r>
      <w:hyperlink r:id="rId9315">
        <w:r>
          <w:rPr>
            <w:color w:val="0000EE"/>
            <w:u w:val="single"/>
          </w:rPr>
          <w:t>25.6,10,17</w:t>
        </w:r>
      </w:hyperlink>
      <w:r>
        <w:t>).</w:t>
      </w:r>
    </w:p>
    <w:p>
      <w:r/>
      <w:r>
        <w:t xml:space="preserve">Duas passagens do Novo Testamento falam diretamente sobre o tribunal de Deus ou de Cristo: </w:t>
      </w:r>
      <w:hyperlink r:id="rId3394">
        <w:r>
          <w:rPr>
            <w:color w:val="0000EE"/>
            <w:u w:val="single"/>
          </w:rPr>
          <w:t>Romanos 14.10</w:t>
        </w:r>
      </w:hyperlink>
      <w:r>
        <w:t xml:space="preserve"> e </w:t>
      </w:r>
      <w:hyperlink r:id="rId3395">
        <w:r>
          <w:rPr>
            <w:color w:val="0000EE"/>
            <w:u w:val="single"/>
          </w:rPr>
          <w:t>2 Coríntios 5.10</w:t>
        </w:r>
      </w:hyperlink>
      <w:r>
        <w:t xml:space="preserve">. Em </w:t>
      </w:r>
      <w:hyperlink r:id="rId3394">
        <w:r>
          <w:rPr>
            <w:color w:val="0000EE"/>
            <w:u w:val="single"/>
          </w:rPr>
          <w:t>Romanos 14.10</w:t>
        </w:r>
      </w:hyperlink>
      <w:r>
        <w:t xml:space="preserve">, Paulo abordou a questão urgente da unidade dentro da igreja — unidade baseada na aceitação amorosa daqueles com diferentes opiniões sobre como a fé afeta a vida diária. Paulo instou tanto os cristãos judeus quanto os gentios a aceitarem uns aos outros, apesar das diferenças sobre comer certos alimentos e observar certos dias. Ele os lembrou de que todos devem, eventualmente, comparecer diante do tribunal de Deus para prestar contas de como viveram. Como Deus é o Juiz supremo, os cristãos não devem julgar uns aos outros. Da mesma forma, em </w:t>
      </w:r>
      <w:hyperlink r:id="rId6707">
        <w:r>
          <w:rPr>
            <w:color w:val="0000EE"/>
            <w:u w:val="single"/>
          </w:rPr>
          <w:t>2 Coríntios 5</w:t>
        </w:r>
      </w:hyperlink>
      <w:r>
        <w:t>, Paulo explicou por que os cristãos se esforçam para agradar ao Senhor: todos devem comparecer diante do tribunal de Cristo para serem recompensados por suas ações. O tribunal de Cristo ou de Deus, portanto, representa a responsabilidade final do cristão.</w:t>
      </w:r>
    </w:p>
    <w:p>
      <w:r/>
      <w:r>
        <w:rPr>
          <w:i/>
        </w:rPr>
        <w:t>Veja também</w:t>
      </w:r>
      <w:r>
        <w:t xml:space="preserve"> </w:t>
      </w:r>
      <w:r>
        <w:t>Bema</w:t>
      </w:r>
      <w:r>
        <w:t xml:space="preserve">; </w:t>
      </w:r>
      <w:r>
        <w:t>Julgamento</w:t>
      </w:r>
      <w:r>
        <w:t xml:space="preserve">; </w:t>
      </w:r>
      <w:r>
        <w:t>Juízo Final</w:t>
      </w:r>
      <w:r>
        <w:t xml:space="preserve">; </w:t>
      </w:r>
      <w:r>
        <w:t>Segunda vinda de Cristo</w:t>
      </w:r>
      <w:r>
        <w:t>.</w:t>
      </w:r>
      <w:r/>
      <w:r/>
    </w:p>
    <w:p>
      <w:r/>
    </w:p>
    <w:p>
      <w:pPr>
        <w:pStyle w:val="Heading2"/>
      </w:pPr>
      <w:r>
        <w:t>Trovão, Filhos Do</w:t>
      </w:r>
      <w:r/>
    </w:p>
    <w:p>
      <w:r/>
      <w:r>
        <w:t>Tradução da palavra “Boanerges”, o sobrenome dado por Jesus a Tiago e João (</w:t>
      </w:r>
      <w:hyperlink r:id="rId3824">
        <w:r>
          <w:rPr>
            <w:color w:val="0000EE"/>
            <w:u w:val="single"/>
          </w:rPr>
          <w:t>Mc 3.17</w:t>
        </w:r>
      </w:hyperlink>
      <w:r>
        <w:t xml:space="preserve">). </w:t>
      </w:r>
      <w:r>
        <w:rPr>
          <w:i/>
        </w:rPr>
        <w:t>Ver</w:t>
      </w:r>
      <w:r>
        <w:t xml:space="preserve"> </w:t>
      </w:r>
      <w:r>
        <w:t>Boanerges</w:t>
      </w:r>
      <w:r>
        <w:t>.</w:t>
      </w:r>
      <w:r/>
      <w:r/>
    </w:p>
    <w:p>
      <w:r/>
    </w:p>
    <w:p>
      <w:pPr>
        <w:pStyle w:val="Heading2"/>
      </w:pPr>
      <w:r>
        <w:t>Tubal</w:t>
      </w:r>
      <w:r/>
    </w:p>
    <w:p>
      <w:r/>
      <w:r>
        <w:t>Quinto dos filhos listados de Jafé na tabela das nações (</w:t>
      </w:r>
      <w:hyperlink r:id="rId10073">
        <w:r>
          <w:rPr>
            <w:color w:val="0000EE"/>
            <w:u w:val="single"/>
          </w:rPr>
          <w:t>Gn 10.2</w:t>
        </w:r>
      </w:hyperlink>
      <w:r>
        <w:t xml:space="preserve">; </w:t>
      </w:r>
      <w:hyperlink r:id="rId10074">
        <w:r>
          <w:rPr>
            <w:color w:val="0000EE"/>
            <w:u w:val="single"/>
          </w:rPr>
          <w:t>1Cr 1.5</w:t>
        </w:r>
      </w:hyperlink>
      <w:r>
        <w:t>). Tubal mais tarde ganhou importância nos escritos proféticos de Isaías e Ezequiel como uma das nações que seriam julgadas por ameaçar o povo de Deus (</w:t>
      </w:r>
      <w:hyperlink r:id="rId10191">
        <w:r>
          <w:rPr>
            <w:color w:val="0000EE"/>
            <w:u w:val="single"/>
          </w:rPr>
          <w:t>Is 66.19</w:t>
        </w:r>
      </w:hyperlink>
      <w:r>
        <w:t xml:space="preserve">; </w:t>
      </w:r>
      <w:hyperlink r:id="rId10192">
        <w:r>
          <w:rPr>
            <w:color w:val="0000EE"/>
            <w:u w:val="single"/>
          </w:rPr>
          <w:t>Ez 27.13</w:t>
        </w:r>
      </w:hyperlink>
      <w:r>
        <w:t xml:space="preserve">; </w:t>
      </w:r>
      <w:hyperlink r:id="rId14274">
        <w:r>
          <w:rPr>
            <w:color w:val="0000EE"/>
            <w:u w:val="single"/>
          </w:rPr>
          <w:t>32.26</w:t>
        </w:r>
      </w:hyperlink>
      <w:r>
        <w:t xml:space="preserve">; </w:t>
      </w:r>
      <w:hyperlink r:id="rId14275">
        <w:r>
          <w:rPr>
            <w:color w:val="0000EE"/>
            <w:u w:val="single"/>
          </w:rPr>
          <w:t>38.2–3</w:t>
        </w:r>
      </w:hyperlink>
      <w:r>
        <w:t xml:space="preserve">; </w:t>
      </w:r>
      <w:hyperlink r:id="rId14276">
        <w:r>
          <w:rPr>
            <w:color w:val="0000EE"/>
            <w:u w:val="single"/>
          </w:rPr>
          <w:t>39.1</w:t>
        </w:r>
      </w:hyperlink>
      <w:r>
        <w:t>). Tubal é tipicamente mencionado com Javã e Mesaque como nações do norte ou nações das regiões costeiras (</w:t>
      </w:r>
      <w:hyperlink r:id="rId10191">
        <w:r>
          <w:rPr>
            <w:color w:val="0000EE"/>
            <w:u w:val="single"/>
          </w:rPr>
          <w:t>Is 66.19</w:t>
        </w:r>
      </w:hyperlink>
      <w:r>
        <w:t xml:space="preserve">; </w:t>
      </w:r>
      <w:hyperlink r:id="rId13560">
        <w:r>
          <w:rPr>
            <w:color w:val="0000EE"/>
            <w:u w:val="single"/>
          </w:rPr>
          <w:t>Ez 38.2</w:t>
        </w:r>
      </w:hyperlink>
      <w:r>
        <w:t>). O fato de Tubal ter negociado com Tiro (</w:t>
      </w:r>
      <w:hyperlink r:id="rId10192">
        <w:r>
          <w:rPr>
            <w:color w:val="0000EE"/>
            <w:u w:val="single"/>
          </w:rPr>
          <w:t>Ez 27.13</w:t>
        </w:r>
      </w:hyperlink>
      <w:r>
        <w:t>) apoia a premissa de que Tubal estava localizado em uma região costeira. Além dessa evidência escassa, é difícil determinar a identificação étnica precisa ou a localização de Tubal. Foi identificado com os citas, os ibéricos, a região entre os mares Negro e Cáspio, Tessália e várias tribos hititas.</w:t>
      </w:r>
      <w:r/>
      <w:r/>
    </w:p>
    <w:p>
      <w:r/>
    </w:p>
    <w:p>
      <w:pPr>
        <w:pStyle w:val="Heading2"/>
      </w:pPr>
      <w:r>
        <w:t>Tubalcaim</w:t>
      </w:r>
      <w:r/>
    </w:p>
    <w:p>
      <w:r/>
      <w:r>
        <w:t>Filho de Lameque por sua esposa Zila (</w:t>
      </w:r>
      <w:hyperlink r:id="rId2612">
        <w:r>
          <w:rPr>
            <w:color w:val="0000EE"/>
            <w:u w:val="single"/>
          </w:rPr>
          <w:t>Gn 4.22</w:t>
        </w:r>
      </w:hyperlink>
      <w:r>
        <w:t xml:space="preserve">). Ele era “um forjador de todos os instrumentos de bronze e ferro”. Embora o texto não afirme que ele foi o primeiro ou o “pai” de todos os ferreiros, muitos estudiosos acreditam que o texto originalmente fazia um paralelo com os versículos </w:t>
      </w:r>
      <w:hyperlink r:id="rId558">
        <w:r>
          <w:rPr>
            <w:color w:val="0000EE"/>
            <w:u w:val="single"/>
          </w:rPr>
          <w:t>20</w:t>
        </w:r>
      </w:hyperlink>
      <w:r>
        <w:t xml:space="preserve"> e </w:t>
      </w:r>
      <w:hyperlink r:id="rId4858">
        <w:r>
          <w:rPr>
            <w:color w:val="0000EE"/>
            <w:u w:val="single"/>
          </w:rPr>
          <w:t>21</w:t>
        </w:r>
      </w:hyperlink>
      <w:r>
        <w:t xml:space="preserve"> para implicar que ele foi o primeiro.</w:t>
      </w:r>
      <w:r/>
      <w:r/>
    </w:p>
    <w:p>
      <w:r/>
    </w:p>
    <w:p>
      <w:pPr>
        <w:pStyle w:val="Heading2"/>
      </w:pPr>
      <w:r>
        <w:t>Tuberculose</w:t>
      </w:r>
      <w:r/>
    </w:p>
    <w:p>
      <w:r/>
      <w:r>
        <w:t>Um termo médico que se refere à tuberculose dos pulmões (uma infecção causada por bactérias). A palavra "tuberculose" não aparece em nenhuma versão brasileira da Bíblia (</w:t>
      </w:r>
      <w:hyperlink r:id="rId9149">
        <w:r>
          <w:rPr>
            <w:color w:val="0000EE"/>
            <w:u w:val="single"/>
          </w:rPr>
          <w:t>Lv 26.16</w:t>
        </w:r>
      </w:hyperlink>
      <w:r>
        <w:t xml:space="preserve">; </w:t>
      </w:r>
      <w:hyperlink r:id="rId9148">
        <w:r>
          <w:rPr>
            <w:color w:val="0000EE"/>
            <w:u w:val="single"/>
          </w:rPr>
          <w:t>Dt 28.22</w:t>
        </w:r>
      </w:hyperlink>
      <w:r>
        <w:t>). No entanto, não significa especificamente tuberculose. Em vez disso, refere-se a qualquer doença de longa duração que faz o corpo definhar. Isso pode incluir câncer, diarreia, má nutrição, malária, insuficiência renal e outros problemas de saúde. Na Bíblia, essa palavra é listada como uma das muitas condições médicas que afetariam aqueles que não seguem os mandamentos de Deus. Algumas das traduções encontradas para essa palavra incluem "doenças contagiosas" (NTLH) e "tísica" (ARC).</w:t>
      </w:r>
    </w:p>
    <w:p>
      <w:r/>
      <w:r>
        <w:rPr>
          <w:i/>
        </w:rPr>
        <w:t>Veja também</w:t>
      </w:r>
      <w:r>
        <w:t xml:space="preserve"> </w:t>
      </w:r>
      <w:r>
        <w:t>Doença</w:t>
      </w:r>
      <w:r>
        <w:t xml:space="preserve">; </w:t>
      </w:r>
      <w:r>
        <w:t>Medicina e prática médica</w:t>
      </w:r>
      <w:r>
        <w:t>.</w:t>
      </w:r>
      <w:r/>
      <w:r/>
    </w:p>
    <w:p>
      <w:r/>
    </w:p>
    <w:p>
      <w:pPr>
        <w:pStyle w:val="Heading2"/>
      </w:pPr>
      <w:r>
        <w:t>Túmulo de Raquel</w:t>
      </w:r>
      <w:r/>
    </w:p>
    <w:p>
      <w:r/>
      <w:r>
        <w:t>Um marco foi estabelecido por Jacó no local do túmulo de Raquel (</w:t>
      </w:r>
      <w:hyperlink r:id="rId20368">
        <w:r>
          <w:rPr>
            <w:color w:val="0000EE"/>
            <w:u w:val="single"/>
          </w:rPr>
          <w:t>Gn 35.19–20</w:t>
        </w:r>
      </w:hyperlink>
      <w:r>
        <w:t>). Ainda existia na época de Samuel (</w:t>
      </w:r>
      <w:hyperlink r:id="rId18108">
        <w:r>
          <w:rPr>
            <w:color w:val="0000EE"/>
            <w:u w:val="single"/>
          </w:rPr>
          <w:t>1Sm 10.2</w:t>
        </w:r>
      </w:hyperlink>
      <w:r>
        <w:t>).</w:t>
      </w:r>
    </w:p>
    <w:p>
      <w:r/>
      <w:r>
        <w:t>Duas tradições persistentes tornam sua localização original ainda questionável:</w:t>
      </w:r>
    </w:p>
    <w:p>
      <w:pPr>
        <w:pStyle w:val="ListNumber"/>
        <w:spacing w:line="240" w:lineRule="auto"/>
        <w:ind w:left="720"/>
      </w:pPr>
      <w:r/>
      <w:r>
        <w:t>A tradição mais antiga localiza o túmulo perto de Belém, ao sul de Jerusalém (</w:t>
      </w:r>
      <w:hyperlink r:id="rId3332">
        <w:r>
          <w:rPr>
            <w:color w:val="0000EE"/>
            <w:u w:val="single"/>
          </w:rPr>
          <w:t>Gn 35.19</w:t>
        </w:r>
      </w:hyperlink>
      <w:r>
        <w:t xml:space="preserve">; </w:t>
      </w:r>
      <w:hyperlink r:id="rId3335">
        <w:r>
          <w:rPr>
            <w:color w:val="0000EE"/>
            <w:u w:val="single"/>
          </w:rPr>
          <w:t>48.7</w:t>
        </w:r>
      </w:hyperlink>
      <w:r>
        <w:t xml:space="preserve">; </w:t>
      </w:r>
      <w:hyperlink r:id="rId3570">
        <w:r>
          <w:rPr>
            <w:color w:val="0000EE"/>
            <w:u w:val="single"/>
          </w:rPr>
          <w:t>Mt 2.18</w:t>
        </w:r>
      </w:hyperlink>
      <w:r>
        <w:t>). Esta opção tem forte apoio de Josefo, Eusébio, Jerônimo, Orígenes e dos Talmudistas.</w:t>
      </w:r>
    </w:p>
    <w:p>
      <w:pPr>
        <w:pStyle w:val="ListNumber"/>
        <w:spacing w:line="240" w:lineRule="auto"/>
        <w:ind w:left="720"/>
      </w:pPr>
      <w:r/>
      <w:r>
        <w:t>O segundo local é Efrata (</w:t>
      </w:r>
      <w:hyperlink r:id="rId3332">
        <w:r>
          <w:rPr>
            <w:color w:val="0000EE"/>
            <w:u w:val="single"/>
          </w:rPr>
          <w:t>Gn 35.19</w:t>
        </w:r>
      </w:hyperlink>
      <w:r>
        <w:t>), que estava na fronteira norte de Benjamim, a 16,1 quilômetros ao norte de Jerusalém (</w:t>
      </w:r>
      <w:hyperlink r:id="rId18108">
        <w:r>
          <w:rPr>
            <w:color w:val="0000EE"/>
            <w:u w:val="single"/>
          </w:rPr>
          <w:t>1Sm 10.2</w:t>
        </w:r>
      </w:hyperlink>
      <w:r>
        <w:t xml:space="preserve">; </w:t>
      </w:r>
      <w:hyperlink r:id="rId3571">
        <w:r>
          <w:rPr>
            <w:color w:val="0000EE"/>
            <w:u w:val="single"/>
          </w:rPr>
          <w:t>Jr 31.15</w:t>
        </w:r>
      </w:hyperlink>
      <w:r>
        <w:t>), perto da antiga Betel.</w:t>
      </w:r>
    </w:p>
    <w:p>
      <w:r/>
      <w:r>
        <w:t>O túmulo de Raquel é o primeiro exemplo registrado na Bíblia de um "monumento sepulcral" (uma grande estátua em memória dos mortos). Uma imagem do túmulo é uma peça decorativa comum em lares judaicos ao redor do mundo.</w:t>
      </w:r>
      <w:r/>
      <w:r/>
    </w:p>
    <w:p>
      <w:r/>
    </w:p>
    <w:p>
      <w:pPr>
        <w:pStyle w:val="Heading2"/>
      </w:pPr>
      <w:r>
        <w:t>Tutor</w:t>
      </w:r>
      <w:r/>
    </w:p>
    <w:p>
      <w:r/>
      <w:r>
        <w:t xml:space="preserve">Um servo que era responsável por acompanhar, proteger e, às vezes, disciplinar o filho de seu mestre até que o menino atingisse a maturidade. Algumas Bíblias usam os termos "aio" ou "guardião" para expressar a mesma ideia. </w:t>
      </w:r>
    </w:p>
    <w:p>
      <w:r/>
      <w:r>
        <w:rPr>
          <w:i/>
        </w:rPr>
        <w:t>Veja</w:t>
      </w:r>
      <w:r>
        <w:t xml:space="preserve"> </w:t>
      </w:r>
      <w:r>
        <w:t>Guardião</w:t>
      </w:r>
      <w:r>
        <w:t>.</w:t>
      </w:r>
      <w:r/>
      <w:r/>
    </w:p>
    <w:p>
      <w:r/>
    </w:p>
    <w:p>
      <w:pPr>
        <w:pStyle w:val="Heading2"/>
      </w:pPr>
      <w:r>
        <w:t>Ucal</w:t>
      </w:r>
      <w:r/>
    </w:p>
    <w:p>
      <w:r/>
      <w:r>
        <w:t>Discípulo de Agur, o homem sábio cujos ditos estão registrados no livro de Provérbios (</w:t>
      </w:r>
      <w:hyperlink r:id="rId620">
        <w:r>
          <w:rPr>
            <w:color w:val="0000EE"/>
            <w:u w:val="single"/>
          </w:rPr>
          <w:t>Pv 30.1</w:t>
        </w:r>
      </w:hyperlink>
      <w:r>
        <w:t>; veja a ARC). O significado da passagem é obscuro. Muitos sugeriram que os nomes Itiel e Ucal não são substantivos próprios, mas deveriam ser traduzidos como "Estou cansado e exausto, ó Deus".</w:t>
      </w:r>
      <w:r/>
      <w:r/>
    </w:p>
    <w:p>
      <w:r/>
    </w:p>
    <w:p>
      <w:pPr>
        <w:pStyle w:val="Heading2"/>
      </w:pPr>
      <w:r>
        <w:t>Últimos dias</w:t>
      </w:r>
      <w:r/>
    </w:p>
    <w:p>
      <w:r/>
      <w:r>
        <w:t xml:space="preserve">Uma expressão usada na Bíblia para descrever o período final do mundo como o conhecemos. No Antigo Testamento, os últimos dias são vistos como o tempo em que as promessas do Messias se tornarão realidade (veja </w:t>
      </w:r>
      <w:hyperlink r:id="rId19538">
        <w:r>
          <w:rPr>
            <w:color w:val="0000EE"/>
            <w:u w:val="single"/>
          </w:rPr>
          <w:t>Is 2.2</w:t>
        </w:r>
      </w:hyperlink>
      <w:r>
        <w:t xml:space="preserve">; </w:t>
      </w:r>
      <w:hyperlink r:id="rId19539">
        <w:r>
          <w:rPr>
            <w:color w:val="0000EE"/>
            <w:u w:val="single"/>
          </w:rPr>
          <w:t>Mq 4.1</w:t>
        </w:r>
      </w:hyperlink>
      <w:r>
        <w:t xml:space="preserve">). No Novo Testamento, os escritores acreditam que já estão vivendo nos últimos dias, que veem como a era do evangelho. Pedro explica que os eventos no Dia de Pentecostes cumprem a profecia de </w:t>
      </w:r>
      <w:hyperlink r:id="rId4970">
        <w:r>
          <w:rPr>
            <w:color w:val="0000EE"/>
            <w:u w:val="single"/>
          </w:rPr>
          <w:t>Joel 2.28,29</w:t>
        </w:r>
      </w:hyperlink>
      <w:r>
        <w:t>: “O Senhor diz ao seu povo: "Depois disso, eu derramarei o meu Espírito sobre todas as pessoas: os filhos e as filhas de vocês anunciarão a minha mensagem; os velhos sonharão, e os moços terão visões. Até sobre os escravos e as escravaseu derramarei o meu Espírito naqueles dias”. (</w:t>
      </w:r>
      <w:hyperlink r:id="rId20369">
        <w:r>
          <w:rPr>
            <w:color w:val="0000EE"/>
            <w:u w:val="single"/>
          </w:rPr>
          <w:t>At 2.17,18</w:t>
        </w:r>
      </w:hyperlink>
      <w:r>
        <w:t>). O escritor da carta aos Hebreus diz: “Antigamente, por meio dos profetas, Deus falou muitas vezes e de muitas maneiras aos nossos antepassados, mas nestes últimos tempos ele nos falou por meio do seu Filho” (</w:t>
      </w:r>
      <w:hyperlink r:id="rId18590">
        <w:r>
          <w:rPr>
            <w:color w:val="0000EE"/>
            <w:u w:val="single"/>
          </w:rPr>
          <w:t>Hb 1.1,2</w:t>
        </w:r>
      </w:hyperlink>
      <w:r>
        <w:t>).</w:t>
      </w:r>
    </w:p>
    <w:p>
      <w:r/>
      <w:r>
        <w:t>Os últimos dias são um tempo de grande bênção. O mundo agora pode acessar livremente os benefícios da salvação, que vêm da vida perfeita, morte, ressurreição e glorificação de Jesus Cristo. Agora, os descrentes podem se arrepender e voltar-se para Deus, e os crentes devem espalhar o evangelho por todo o mundo.</w:t>
      </w:r>
    </w:p>
    <w:p>
      <w:r/>
      <w:r>
        <w:t>A expressão "últimos dias" sugere que este período se estenderá por algum tempo. Esse entendimento é confirmado pelo fato de que esta era final já dura há muitos séculos. No entanto, da perspectiva da eternidade, é um período breve. Em cada geração, o fim desta era final é sempre visto como iminente, tanto que João se refere a ela como “o fim”. A presença de anticristos (aqueles que se opõem a Cristo) mesmo dentro da igreja primitiva é um sinal disso. João diz, “Meus filhinhos, o fim está perto. Vocês ouviram dizer que o Inimigo de Cristo vem. Pois agora muitos inimigos de Cristo já têm aparecido, e por isso sabemos que o fim está chegando” (</w:t>
      </w:r>
      <w:hyperlink r:id="rId20370">
        <w:r>
          <w:rPr>
            <w:color w:val="0000EE"/>
            <w:u w:val="single"/>
          </w:rPr>
          <w:t>1Jo 2.18</w:t>
        </w:r>
      </w:hyperlink>
      <w:r>
        <w:t>). O fim destes últimos dias está sempre próximo, e certamente chegará um dia. É por isso que Cristo nos exorta a sermos vigilantes. Não sabemos o dia nem a hora de seu retorno glorioso. Isso encerrará estes últimos dias (</w:t>
      </w:r>
      <w:hyperlink r:id="rId20371">
        <w:r>
          <w:rPr>
            <w:color w:val="0000EE"/>
            <w:u w:val="single"/>
          </w:rPr>
          <w:t>Mt 24.44</w:t>
        </w:r>
      </w:hyperlink>
      <w:r>
        <w:t xml:space="preserve">; </w:t>
      </w:r>
      <w:hyperlink r:id="rId11779">
        <w:r>
          <w:rPr>
            <w:color w:val="0000EE"/>
            <w:u w:val="single"/>
          </w:rPr>
          <w:t>25.13</w:t>
        </w:r>
      </w:hyperlink>
      <w:r>
        <w:t>).</w:t>
      </w:r>
    </w:p>
    <w:p>
      <w:r/>
      <w:r>
        <w:t xml:space="preserve">Essa ideia naturalmente leva ao ensinamento de que os últimos dias culminarão no “dia.” Os últimos dias terminarão com o último dia. O uso de "dia" no singular no Novo Testamento corresponde ao conceito do "Dia do Senhor" no Antigo Testamento. É um dia aterrorizante de juízo para os impenitentes, mas promete salvação para o povo de Deus (veja </w:t>
      </w:r>
      <w:hyperlink r:id="rId20372">
        <w:r>
          <w:rPr>
            <w:color w:val="0000EE"/>
            <w:u w:val="single"/>
          </w:rPr>
          <w:t>Is 2.12–22</w:t>
        </w:r>
      </w:hyperlink>
      <w:r>
        <w:t xml:space="preserve">; </w:t>
      </w:r>
      <w:hyperlink r:id="rId20373">
        <w:r>
          <w:rPr>
            <w:color w:val="0000EE"/>
            <w:u w:val="single"/>
          </w:rPr>
          <w:t>Ez 13.5</w:t>
        </w:r>
      </w:hyperlink>
      <w:r>
        <w:t xml:space="preserve">; </w:t>
      </w:r>
      <w:hyperlink r:id="rId7011">
        <w:r>
          <w:rPr>
            <w:color w:val="0000EE"/>
            <w:u w:val="single"/>
          </w:rPr>
          <w:t>Jl 1.15</w:t>
        </w:r>
      </w:hyperlink>
      <w:r>
        <w:t xml:space="preserve">; </w:t>
      </w:r>
      <w:hyperlink r:id="rId20374">
        <w:r>
          <w:rPr>
            <w:color w:val="0000EE"/>
            <w:u w:val="single"/>
          </w:rPr>
          <w:t>2.1,11</w:t>
        </w:r>
      </w:hyperlink>
      <w:r>
        <w:t xml:space="preserve">; </w:t>
      </w:r>
      <w:hyperlink r:id="rId1309">
        <w:r>
          <w:rPr>
            <w:color w:val="0000EE"/>
            <w:u w:val="single"/>
          </w:rPr>
          <w:t>Am 5.18–24</w:t>
        </w:r>
      </w:hyperlink>
      <w:r>
        <w:t xml:space="preserve">; </w:t>
      </w:r>
      <w:hyperlink r:id="rId20375">
        <w:r>
          <w:rPr>
            <w:color w:val="0000EE"/>
            <w:u w:val="single"/>
          </w:rPr>
          <w:t>Sf 1.7,14</w:t>
        </w:r>
      </w:hyperlink>
      <w:r>
        <w:t>). O clímax desses últimos dias, e assim de toda a história, será “o Dia do Senhor”, que virá sobre o mundo de repente (</w:t>
      </w:r>
      <w:hyperlink r:id="rId7034">
        <w:r>
          <w:rPr>
            <w:color w:val="0000EE"/>
            <w:u w:val="single"/>
          </w:rPr>
          <w:t>1Ts 5.2</w:t>
        </w:r>
      </w:hyperlink>
      <w:r>
        <w:t>). Este dia final será o dia do juízo final para aqueles que rejeitaram o evangelho. Também será o dia em que nosso mundo caído será purificado e a ordem criada será restaurada. No novo céu e nova terra, todos os propósitos de Deus na criação serão cumpridos. Quando nossa redenção estiver completa, seremos como nosso Redentor. Então, desfrutaremos de sua glória eterna (</w:t>
      </w:r>
      <w:hyperlink r:id="rId6710">
        <w:r>
          <w:rPr>
            <w:color w:val="0000EE"/>
            <w:u w:val="single"/>
          </w:rPr>
          <w:t>Rm 8.19–25</w:t>
        </w:r>
      </w:hyperlink>
      <w:r>
        <w:t xml:space="preserve">; </w:t>
      </w:r>
      <w:hyperlink r:id="rId6706">
        <w:r>
          <w:rPr>
            <w:color w:val="0000EE"/>
            <w:u w:val="single"/>
          </w:rPr>
          <w:t>1Jo 3.2</w:t>
        </w:r>
      </w:hyperlink>
      <w:r>
        <w:t xml:space="preserve">; </w:t>
      </w:r>
      <w:hyperlink r:id="rId20376">
        <w:r>
          <w:rPr>
            <w:color w:val="0000EE"/>
            <w:u w:val="single"/>
          </w:rPr>
          <w:t>Ap 21.1–8</w:t>
        </w:r>
      </w:hyperlink>
      <w:r>
        <w:t>).</w:t>
      </w:r>
    </w:p>
    <w:p>
      <w:r/>
      <w:r>
        <w:t xml:space="preserve">O apóstolo Paulo lembra aos cristãos que, no último dia, "o dia", suas vidas serão reveladas. O que eles fizeram será conhecido. Isso não afeta a segurança de sua salvação em Cristo. Em vez disso, determina se eles o encontrarão com confiança ou com vergonha em sua vinda (veja </w:t>
      </w:r>
      <w:hyperlink r:id="rId16978">
        <w:r>
          <w:rPr>
            <w:color w:val="0000EE"/>
            <w:u w:val="single"/>
          </w:rPr>
          <w:t>1Jo 2.28</w:t>
        </w:r>
      </w:hyperlink>
      <w:r>
        <w:t>). Paulo escreve: “O Dia de Cristo vai mostrar claramente a qualidade do trabalho de cada um. Pois o fogo daquele dia mostrará o trabalho de cada pessoa: o fogo vai mostrar e provar a verdadeira qualidade do trabalho. Se aquilo que alguém construir em cima do alicerce resistir ao fogo, então o construtor receberá a recompensa” (</w:t>
      </w:r>
      <w:hyperlink r:id="rId3396">
        <w:r>
          <w:rPr>
            <w:color w:val="0000EE"/>
            <w:u w:val="single"/>
          </w:rPr>
          <w:t>1Co 3.13–15</w:t>
        </w:r>
      </w:hyperlink>
      <w:r>
        <w:t>).</w:t>
      </w:r>
    </w:p>
    <w:p>
      <w:r/>
      <w:r>
        <w:t>O último dos últimos dias terminará. Então, o reino de Cristo começará. Deus será tudo em todos (</w:t>
      </w:r>
      <w:hyperlink r:id="rId9392">
        <w:r>
          <w:rPr>
            <w:color w:val="0000EE"/>
            <w:u w:val="single"/>
          </w:rPr>
          <w:t>1Co 15.28</w:t>
        </w:r>
      </w:hyperlink>
      <w:r>
        <w:t xml:space="preserve">; </w:t>
      </w:r>
      <w:hyperlink r:id="rId4779">
        <w:r>
          <w:rPr>
            <w:color w:val="0000EE"/>
            <w:u w:val="single"/>
          </w:rPr>
          <w:t>Fp 3.20,21</w:t>
        </w:r>
      </w:hyperlink>
      <w:r>
        <w:t>). O último dia também será um dia de triunfo e ressurreição. Cristo prometeu ressuscitar todos que acreditam nele (</w:t>
      </w:r>
      <w:hyperlink r:id="rId7032">
        <w:r>
          <w:rPr>
            <w:color w:val="0000EE"/>
            <w:u w:val="single"/>
          </w:rPr>
          <w:t>Jo 6.39–44,54</w:t>
        </w:r>
      </w:hyperlink>
      <w:r>
        <w:t xml:space="preserve">). Os últimos dias são como a noite quando comparados à glória que será revelada no retorno de Cristo, então o fim desses últimos dias será também o começo do dia interminável de Deus (veja </w:t>
      </w:r>
      <w:hyperlink r:id="rId20377">
        <w:r>
          <w:rPr>
            <w:color w:val="0000EE"/>
            <w:u w:val="single"/>
          </w:rPr>
          <w:t>Rm 13.11,12</w:t>
        </w:r>
      </w:hyperlink>
      <w:r>
        <w:t xml:space="preserve">). Saber que estamos nos últimos dias e que o último dia está se aproximando deve impactar grandemente como vivemos nossas vidas hoje (veja </w:t>
      </w:r>
      <w:hyperlink r:id="rId20378">
        <w:r>
          <w:rPr>
            <w:color w:val="0000EE"/>
            <w:u w:val="single"/>
          </w:rPr>
          <w:t>2Pe 3.11–14</w:t>
        </w:r>
      </w:hyperlink>
      <w:r>
        <w:t>).</w:t>
      </w:r>
    </w:p>
    <w:p>
      <w:r/>
      <w:r>
        <w:t>Em resumo, os últimos dias são os dias do evangelho de nosso Senhor Jesus Cristo. Eles nos preparam para o último dia, que será o juízo final dos incrédulos. Para os crentes, será o início da glória eterna. Para os seguidores fiéis de Cristo, estes são dias de alegria e bênção. Contudo, ainda aguardamos uma redenção completa. São dias de provação e sofrimento para a igreja, mas Deus nos assegurou seu Espírito em nossos corações. Este Espírito é uma amostra do sabor do banquete completo que virá. É um sinal que promete o pagamento total no futuro (</w:t>
      </w:r>
      <w:hyperlink r:id="rId5974">
        <w:r>
          <w:rPr>
            <w:color w:val="0000EE"/>
            <w:u w:val="single"/>
          </w:rPr>
          <w:t>Rm 8.23</w:t>
        </w:r>
      </w:hyperlink>
      <w:r>
        <w:t xml:space="preserve">; </w:t>
      </w:r>
      <w:hyperlink r:id="rId887">
        <w:r>
          <w:rPr>
            <w:color w:val="0000EE"/>
            <w:u w:val="single"/>
          </w:rPr>
          <w:t>2Co 1.22</w:t>
        </w:r>
      </w:hyperlink>
      <w:r>
        <w:t xml:space="preserve">; </w:t>
      </w:r>
      <w:hyperlink r:id="rId888">
        <w:r>
          <w:rPr>
            <w:color w:val="0000EE"/>
            <w:u w:val="single"/>
          </w:rPr>
          <w:t>5.5</w:t>
        </w:r>
      </w:hyperlink>
      <w:r>
        <w:t xml:space="preserve">; </w:t>
      </w:r>
      <w:hyperlink r:id="rId10587">
        <w:r>
          <w:rPr>
            <w:color w:val="0000EE"/>
            <w:u w:val="single"/>
          </w:rPr>
          <w:t>Ef 1.14</w:t>
        </w:r>
      </w:hyperlink>
      <w:r>
        <w:t>). Enquanto isso, podemos ter confiança com o apóstolo Paulo de que os sofrimentos destes últimos dias não são dignos de serem comparados com a glória que será revelada a nós (</w:t>
      </w:r>
      <w:hyperlink r:id="rId10059">
        <w:r>
          <w:rPr>
            <w:color w:val="0000EE"/>
            <w:u w:val="single"/>
          </w:rPr>
          <w:t>Rm 8.18</w:t>
        </w:r>
      </w:hyperlink>
      <w:r>
        <w:t>). Estes dias também são um tempo de responsabilidade e oportunidade. Os cristãos têm a responsabilidade de proclamar o evangelho em todo o mundo (</w:t>
      </w:r>
      <w:hyperlink r:id="rId502">
        <w:r>
          <w:rPr>
            <w:color w:val="0000EE"/>
            <w:u w:val="single"/>
          </w:rPr>
          <w:t>Mt 28.19,20</w:t>
        </w:r>
      </w:hyperlink>
      <w:r>
        <w:t xml:space="preserve">; </w:t>
      </w:r>
      <w:hyperlink r:id="rId2897">
        <w:r>
          <w:rPr>
            <w:color w:val="0000EE"/>
            <w:u w:val="single"/>
          </w:rPr>
          <w:t>At 1.8</w:t>
        </w:r>
      </w:hyperlink>
      <w:r>
        <w:t>), e Deus ordena que todas as pessoas em todos os lugares se arrependam (</w:t>
      </w:r>
      <w:hyperlink r:id="rId4428">
        <w:r>
          <w:rPr>
            <w:color w:val="0000EE"/>
            <w:u w:val="single"/>
          </w:rPr>
          <w:t>At 17.30</w:t>
        </w:r>
      </w:hyperlink>
      <w:r>
        <w:t>).</w:t>
      </w:r>
    </w:p>
    <w:p>
      <w:r/>
      <w:r>
        <w:rPr>
          <w:i/>
        </w:rPr>
        <w:t>Veja também</w:t>
      </w:r>
      <w:r>
        <w:t xml:space="preserve"> </w:t>
      </w:r>
      <w:r>
        <w:t>Dia do Senhor</w:t>
      </w:r>
      <w:r>
        <w:t xml:space="preserve">; </w:t>
      </w:r>
      <w:r>
        <w:t>Segunda vinda de Cristo</w:t>
      </w:r>
      <w:r>
        <w:t>.</w:t>
      </w:r>
      <w:r/>
      <w:r/>
    </w:p>
    <w:p>
      <w:r/>
    </w:p>
    <w:p>
      <w:pPr>
        <w:pStyle w:val="Heading2"/>
      </w:pPr>
      <w:r>
        <w:t>Ungido, Ungidos</w:t>
      </w:r>
      <w:r/>
    </w:p>
    <w:p>
      <w:r/>
      <w:r>
        <w:t>A unção é a escolha de alguém para um papel ou propósito especial. Na Bíblia, isso frequentemente envolvia derramar óleo na pessoa, mas também significava estar cheio do Espírito de Deus para uma tarefa específica.</w:t>
      </w:r>
    </w:p>
    <w:p>
      <w:r/>
      <w:r>
        <w:t>No Novo Testamento, Jesus Cristo é apresentado com três papéis importantes:</w:t>
      </w:r>
    </w:p>
    <w:p>
      <w:pPr>
        <w:pStyle w:val="ListBullet"/>
        <w:spacing w:line="240" w:lineRule="auto"/>
        <w:ind w:left="720"/>
      </w:pPr>
      <w:r/>
      <w:r>
        <w:t>Profeta (alguém que fala em nome de Deus);</w:t>
      </w:r>
    </w:p>
    <w:p>
      <w:pPr>
        <w:pStyle w:val="ListBullet"/>
        <w:spacing w:line="240" w:lineRule="auto"/>
        <w:ind w:left="720"/>
      </w:pPr>
      <w:r/>
      <w:r>
        <w:t>Sacerdote (alguém que auxilia as pessoas a se conectarem com Deus); e</w:t>
      </w:r>
    </w:p>
    <w:p>
      <w:pPr>
        <w:pStyle w:val="ListBullet"/>
        <w:spacing w:line="240" w:lineRule="auto"/>
        <w:ind w:left="720"/>
      </w:pPr>
      <w:r/>
      <w:r>
        <w:t>Rei (um governante que lidera o povo)</w:t>
      </w:r>
    </w:p>
    <w:p>
      <w:r/>
      <w:r>
        <w:t>Jesus é o Ungido de Deus. "Messias" vem da palavra hebraica que significa "ungido". "Cristo" vem da palavra grega que também significa "ungido".</w:t>
      </w:r>
    </w:p>
    <w:p>
      <w:r/>
      <w:r>
        <w:t>A verdadeira unção do Messias é espiritual (</w:t>
      </w:r>
      <w:hyperlink r:id="rId14279">
        <w:r>
          <w:rPr>
            <w:color w:val="0000EE"/>
            <w:u w:val="single"/>
          </w:rPr>
          <w:t>Sl 2.2</w:t>
        </w:r>
      </w:hyperlink>
      <w:r>
        <w:t xml:space="preserve">; </w:t>
      </w:r>
      <w:hyperlink r:id="rId20379">
        <w:r>
          <w:rPr>
            <w:color w:val="0000EE"/>
            <w:u w:val="single"/>
          </w:rPr>
          <w:t>Dn 9.25–26</w:t>
        </w:r>
      </w:hyperlink>
      <w:r>
        <w:t>). É uma unção pelo Espírito Santo (</w:t>
      </w:r>
      <w:hyperlink r:id="rId8373">
        <w:r>
          <w:rPr>
            <w:color w:val="0000EE"/>
            <w:u w:val="single"/>
          </w:rPr>
          <w:t>Is 61.1</w:t>
        </w:r>
      </w:hyperlink>
      <w:r>
        <w:t xml:space="preserve">; </w:t>
      </w:r>
      <w:hyperlink r:id="rId2896">
        <w:r>
          <w:rPr>
            <w:color w:val="0000EE"/>
            <w:u w:val="single"/>
          </w:rPr>
          <w:t>Lc 4.1</w:t>
        </w:r>
      </w:hyperlink>
      <w:r>
        <w:t>,</w:t>
      </w:r>
      <w:hyperlink r:id="rId8682">
        <w:r>
          <w:rPr>
            <w:color w:val="0000EE"/>
            <w:u w:val="single"/>
          </w:rPr>
          <w:t>18–19</w:t>
        </w:r>
      </w:hyperlink>
      <w:r>
        <w:t>). Jesus de Nazaré foi realmente o Ungido ou Messias da profecia do Antigo Testamento. Isso foi confirmado por sua unção pelo Espírito Santo e pelos milagres que se seguiram (</w:t>
      </w:r>
      <w:hyperlink r:id="rId20380">
        <w:r>
          <w:rPr>
            <w:color w:val="0000EE"/>
            <w:u w:val="single"/>
          </w:rPr>
          <w:t>Jo 1.32–51</w:t>
        </w:r>
      </w:hyperlink>
      <w:r>
        <w:t xml:space="preserve">; </w:t>
      </w:r>
      <w:hyperlink r:id="rId20381">
        <w:r>
          <w:rPr>
            <w:color w:val="0000EE"/>
            <w:u w:val="single"/>
          </w:rPr>
          <w:t>Lc 4.33–37</w:t>
        </w:r>
      </w:hyperlink>
      <w:r>
        <w:t>). Assim como Jesus, os cristãos também são considerados ungidos pelo Espírito Santo. O Espírito os ajuda a compreender sua fé e a viver de maneira que agrada a Deus (</w:t>
      </w:r>
      <w:hyperlink r:id="rId3215">
        <w:r>
          <w:rPr>
            <w:color w:val="0000EE"/>
            <w:u w:val="single"/>
          </w:rPr>
          <w:t>2Co 1.21–22</w:t>
        </w:r>
      </w:hyperlink>
      <w:r>
        <w:t xml:space="preserve">; </w:t>
      </w:r>
      <w:hyperlink r:id="rId20382">
        <w:r>
          <w:rPr>
            <w:color w:val="0000EE"/>
            <w:u w:val="single"/>
          </w:rPr>
          <w:t>1Jo 2.20,27</w:t>
        </w:r>
      </w:hyperlink>
      <w:r>
        <w:t>).</w:t>
      </w:r>
    </w:p>
    <w:p>
      <w:r/>
      <w:r>
        <w:rPr>
          <w:i/>
        </w:rPr>
        <w:t>Veja também</w:t>
      </w:r>
      <w:r>
        <w:t xml:space="preserve"> </w:t>
      </w:r>
      <w:r>
        <w:t>Messias</w:t>
      </w:r>
      <w:r>
        <w:t>.</w:t>
      </w:r>
      <w:r/>
      <w:r/>
    </w:p>
    <w:p>
      <w:r/>
    </w:p>
    <w:p>
      <w:pPr>
        <w:pStyle w:val="Heading2"/>
      </w:pPr>
      <w:r>
        <w:t>Ungir</w:t>
      </w:r>
      <w:r/>
    </w:p>
    <w:p>
      <w:r/>
      <w:r>
        <w:t>Derramar óleo ou unguento sobre uma pessoa, ou objeto de uma maneira ritualística.</w:t>
      </w:r>
    </w:p>
    <w:p>
      <w:r/>
      <w:r>
        <w:t xml:space="preserve">A palavra hebraica para ungir aparece pela primeira vez em </w:t>
      </w:r>
      <w:hyperlink r:id="rId11615">
        <w:r>
          <w:rPr>
            <w:color w:val="0000EE"/>
            <w:u w:val="single"/>
          </w:rPr>
          <w:t>Gn 31.13</w:t>
        </w:r>
      </w:hyperlink>
      <w:r>
        <w:t>, onde se refere a Jacó derramando óleo na pedra de Betel (</w:t>
      </w:r>
      <w:hyperlink r:id="rId20383">
        <w:r>
          <w:rPr>
            <w:color w:val="0000EE"/>
            <w:u w:val="single"/>
          </w:rPr>
          <w:t>Gn 28.18–19</w:t>
        </w:r>
      </w:hyperlink>
      <w:r>
        <w:t>). Em um momento posterior, a cerimônia foi repetida (</w:t>
      </w:r>
      <w:hyperlink r:id="rId11498">
        <w:r>
          <w:rPr>
            <w:color w:val="0000EE"/>
            <w:u w:val="single"/>
          </w:rPr>
          <w:t>Gn 35.9–15</w:t>
        </w:r>
      </w:hyperlink>
      <w:r>
        <w:t>). A cerimônia era claramente religiosa, significando indução ao uso sagrado. Como um ato religioso, a unção era feita para dotar o ungido com a qualidade da divindade envolvida. Desde os tempos antigos, os hebreus empossavam oficiais de sua comunidade nacional derramando óleo especial na cabeça da pessoa designada para o ofício. A mesma prática era usada para separar objetos para uso divino especial.</w:t>
      </w:r>
    </w:p>
    <w:p>
      <w:r/>
      <w:r>
        <w:t>As Escrituras fornecem poucos detalhes das unções cerimoniais de coisas e pessoas oficiais. Jacó simplesmente derramou óleo em uma rocha com um pronunciamento que o acompanha. Ao ungir o primeiro rei de Israel, o profeta-juiz Samuel conduziu Saul para um canto para lhe dar instruções (</w:t>
      </w:r>
      <w:hyperlink r:id="rId20384">
        <w:r>
          <w:rPr>
            <w:color w:val="0000EE"/>
            <w:u w:val="single"/>
          </w:rPr>
          <w:t>1Sm 9.25–27</w:t>
        </w:r>
      </w:hyperlink>
      <w:r>
        <w:t>), então “tomou Samuel um vaso de azeite, e lho derramou sobre a cabeça, e o beijou, e disse: ‘Não te ungiu, porventura, o Senhor por príncipe sobre a sua herança, o povo de Israel?’” (</w:t>
      </w:r>
      <w:hyperlink r:id="rId3319">
        <w:r>
          <w:rPr>
            <w:color w:val="0000EE"/>
            <w:u w:val="single"/>
          </w:rPr>
          <w:t>1Sm 10.1</w:t>
        </w:r>
      </w:hyperlink>
      <w:r>
        <w:t>, ARA). Para ungir o tabernáculo e seus sacerdotes, um óleo especial era composto e usado apenas para esse propósito sagrado. Os fabricantes de perfumes qualificados misturavam as melhores especiarias (mirra, canela, cana-doce, cássia) em azeite (</w:t>
      </w:r>
      <w:hyperlink r:id="rId16889">
        <w:r>
          <w:rPr>
            <w:color w:val="0000EE"/>
            <w:u w:val="single"/>
          </w:rPr>
          <w:t>Êx 30.22–25</w:t>
        </w:r>
      </w:hyperlink>
      <w:r>
        <w:t>). O Senhor especificou que tudo o que foi separado para Deus — o tabernáculo, a arca, a mesa e seus instrumentos, o candelabro e os utensílios, o altar de incenso e o altar principal, o lavatório — deveria ser ungido. Arão, o sumo sacerdote, e seus filhos, os sacerdotes, também deveriam ser ungidos (</w:t>
      </w:r>
      <w:hyperlink r:id="rId20385">
        <w:r>
          <w:rPr>
            <w:color w:val="0000EE"/>
            <w:u w:val="single"/>
          </w:rPr>
          <w:t>Êx 30.26–32</w:t>
        </w:r>
      </w:hyperlink>
      <w:r>
        <w:t>). O resultado foi um local santo com móveis santos, instrumentos santos de adoração e ministros santos.</w:t>
      </w:r>
    </w:p>
    <w:p>
      <w:r/>
      <w:r>
        <w:t>Os ofícios de profeta, sacerdote e rei eram aqueles associados com a unção na nação de Israel. Os profetas eram às vezes, mas não invariavelmente, empossados pela unção oficial (</w:t>
      </w:r>
      <w:hyperlink r:id="rId7952">
        <w:r>
          <w:rPr>
            <w:color w:val="0000EE"/>
            <w:u w:val="single"/>
          </w:rPr>
          <w:t>1Rs 19.16</w:t>
        </w:r>
      </w:hyperlink>
      <w:r>
        <w:t>). Eles poderiam ser referidos como os ungidos de Deus (</w:t>
      </w:r>
      <w:hyperlink r:id="rId20386">
        <w:r>
          <w:rPr>
            <w:color w:val="0000EE"/>
            <w:u w:val="single"/>
          </w:rPr>
          <w:t>1Cr 16.22</w:t>
        </w:r>
      </w:hyperlink>
      <w:r>
        <w:t xml:space="preserve">; </w:t>
      </w:r>
      <w:hyperlink r:id="rId20387">
        <w:r>
          <w:rPr>
            <w:color w:val="0000EE"/>
            <w:u w:val="single"/>
          </w:rPr>
          <w:t>Sl 105.15</w:t>
        </w:r>
      </w:hyperlink>
      <w:r>
        <w:t>). Na instituição do sacerdócio levítico, todos os sacerdotes foram ungidos para seus ofícios, os filhos de Arão, bem como o próprio Arão (</w:t>
      </w:r>
      <w:hyperlink r:id="rId20388">
        <w:r>
          <w:rPr>
            <w:color w:val="0000EE"/>
            <w:u w:val="single"/>
          </w:rPr>
          <w:t>Êx 40.12–15</w:t>
        </w:r>
      </w:hyperlink>
      <w:r>
        <w:t xml:space="preserve">; </w:t>
      </w:r>
      <w:hyperlink r:id="rId20389">
        <w:r>
          <w:rPr>
            <w:color w:val="0000EE"/>
            <w:u w:val="single"/>
          </w:rPr>
          <w:t>Nm 3.3</w:t>
        </w:r>
      </w:hyperlink>
      <w:r>
        <w:t>). Posteriormente, a unção não foi repetida na consagração dos sacerdotes comuns, mas foi especialmente reservada para o sumo sacerdote (</w:t>
      </w:r>
      <w:hyperlink r:id="rId20390">
        <w:r>
          <w:rPr>
            <w:color w:val="0000EE"/>
            <w:u w:val="single"/>
          </w:rPr>
          <w:t>Êx 29.29</w:t>
        </w:r>
      </w:hyperlink>
      <w:r>
        <w:t xml:space="preserve">; </w:t>
      </w:r>
      <w:hyperlink r:id="rId20391">
        <w:r>
          <w:rPr>
            <w:color w:val="0000EE"/>
            <w:u w:val="single"/>
          </w:rPr>
          <w:t>Lv 16.32</w:t>
        </w:r>
      </w:hyperlink>
      <w:r>
        <w:t>).</w:t>
      </w:r>
    </w:p>
    <w:p>
      <w:r/>
      <w:r>
        <w:t>Antes de terem um rei próprio, os israelitas estavam cientes da unção como um modo de empossar reis (</w:t>
      </w:r>
      <w:hyperlink r:id="rId20392">
        <w:r>
          <w:rPr>
            <w:color w:val="0000EE"/>
            <w:u w:val="single"/>
          </w:rPr>
          <w:t>Jz 9.8,15</w:t>
        </w:r>
      </w:hyperlink>
      <w:r>
        <w:t>). A unção se tornou um rito divinamente ordenado que acompanhava o ato de empossar todos os reis de Judá e Israel (</w:t>
      </w:r>
      <w:hyperlink r:id="rId20393">
        <w:r>
          <w:rPr>
            <w:color w:val="0000EE"/>
            <w:u w:val="single"/>
          </w:rPr>
          <w:t>2Rs 9.1–6</w:t>
        </w:r>
      </w:hyperlink>
      <w:r>
        <w:t xml:space="preserve">; </w:t>
      </w:r>
      <w:hyperlink r:id="rId5943">
        <w:r>
          <w:rPr>
            <w:color w:val="0000EE"/>
            <w:u w:val="single"/>
          </w:rPr>
          <w:t>11.12</w:t>
        </w:r>
      </w:hyperlink>
      <w:r>
        <w:t>) de Saul em diante (</w:t>
      </w:r>
      <w:hyperlink r:id="rId3319">
        <w:r>
          <w:rPr>
            <w:color w:val="0000EE"/>
            <w:u w:val="single"/>
          </w:rPr>
          <w:t>1Sm 10.1</w:t>
        </w:r>
      </w:hyperlink>
      <w:r>
        <w:t xml:space="preserve">; </w:t>
      </w:r>
      <w:hyperlink r:id="rId4822">
        <w:r>
          <w:rPr>
            <w:color w:val="0000EE"/>
            <w:u w:val="single"/>
          </w:rPr>
          <w:t>1Rs 1.39</w:t>
        </w:r>
      </w:hyperlink>
      <w:r>
        <w:t>). A unção de Davi ocorreu em três estágios (</w:t>
      </w:r>
      <w:hyperlink r:id="rId1841">
        <w:r>
          <w:rPr>
            <w:color w:val="0000EE"/>
            <w:u w:val="single"/>
          </w:rPr>
          <w:t>1Sm 16.1,13</w:t>
        </w:r>
      </w:hyperlink>
      <w:r>
        <w:t xml:space="preserve">; </w:t>
      </w:r>
      <w:hyperlink r:id="rId20394">
        <w:r>
          <w:rPr>
            <w:color w:val="0000EE"/>
            <w:u w:val="single"/>
          </w:rPr>
          <w:t>2Sm 2.4</w:t>
        </w:r>
      </w:hyperlink>
      <w:r>
        <w:t xml:space="preserve">; </w:t>
      </w:r>
      <w:hyperlink r:id="rId20395">
        <w:r>
          <w:rPr>
            <w:color w:val="0000EE"/>
            <w:u w:val="single"/>
          </w:rPr>
          <w:t>5.1–4</w:t>
        </w:r>
      </w:hyperlink>
      <w:r>
        <w:t>). “O ungido do Senhor” ou alguma frase semelhante se tornou uma designação comum para reis hebreus (</w:t>
      </w:r>
      <w:hyperlink r:id="rId20396">
        <w:r>
          <w:rPr>
            <w:color w:val="0000EE"/>
            <w:u w:val="single"/>
          </w:rPr>
          <w:t>1Sm 12.3–5</w:t>
        </w:r>
      </w:hyperlink>
      <w:r>
        <w:t xml:space="preserve">; </w:t>
      </w:r>
      <w:hyperlink r:id="rId20397">
        <w:r>
          <w:rPr>
            <w:color w:val="0000EE"/>
            <w:u w:val="single"/>
          </w:rPr>
          <w:t>2Sm 1.14–16</w:t>
        </w:r>
      </w:hyperlink>
      <w:r>
        <w:t xml:space="preserve">; </w:t>
      </w:r>
      <w:hyperlink r:id="rId20398">
        <w:r>
          <w:rPr>
            <w:color w:val="0000EE"/>
            <w:u w:val="single"/>
          </w:rPr>
          <w:t>Sl 89.38,51</w:t>
        </w:r>
      </w:hyperlink>
      <w:r>
        <w:t xml:space="preserve">; </w:t>
      </w:r>
      <w:hyperlink r:id="rId20399">
        <w:r>
          <w:rPr>
            <w:color w:val="0000EE"/>
            <w:u w:val="single"/>
          </w:rPr>
          <w:t>Lm 4.20</w:t>
        </w:r>
      </w:hyperlink>
      <w:r>
        <w:t>).</w:t>
      </w:r>
    </w:p>
    <w:p>
      <w:r/>
      <w:r>
        <w:t>A unção, no entanto, tinha mais do que significado religioso ou ritualístico. Tanto os egípcios quanto os sírios praticavam a unção por razões médicas e estéticas, e as Escrituras indicam que tal prática não religiosa também fazia parte dos costumes israelitas (</w:t>
      </w:r>
      <w:hyperlink r:id="rId3023">
        <w:r>
          <w:rPr>
            <w:color w:val="0000EE"/>
            <w:u w:val="single"/>
          </w:rPr>
          <w:t>2Sm 12.20</w:t>
        </w:r>
      </w:hyperlink>
      <w:r>
        <w:t xml:space="preserve">; </w:t>
      </w:r>
      <w:hyperlink r:id="rId3022">
        <w:r>
          <w:rPr>
            <w:color w:val="0000EE"/>
            <w:u w:val="single"/>
          </w:rPr>
          <w:t>Rm 3.3</w:t>
        </w:r>
      </w:hyperlink>
      <w:r>
        <w:t xml:space="preserve">; </w:t>
      </w:r>
      <w:hyperlink r:id="rId5240">
        <w:r>
          <w:rPr>
            <w:color w:val="0000EE"/>
            <w:u w:val="single"/>
          </w:rPr>
          <w:t>Mq 6.15</w:t>
        </w:r>
      </w:hyperlink>
      <w:r>
        <w:t>). Na verdade, o fracasso em ungir-se ou perfumar-se indicava luto ou angústia (</w:t>
      </w:r>
      <w:hyperlink r:id="rId13448">
        <w:r>
          <w:rPr>
            <w:color w:val="0000EE"/>
            <w:u w:val="single"/>
          </w:rPr>
          <w:t>2Sm 14.2</w:t>
        </w:r>
      </w:hyperlink>
      <w:r>
        <w:t xml:space="preserve">; </w:t>
      </w:r>
      <w:hyperlink r:id="rId20400">
        <w:r>
          <w:rPr>
            <w:color w:val="0000EE"/>
            <w:u w:val="single"/>
          </w:rPr>
          <w:t>Dn 10.3</w:t>
        </w:r>
      </w:hyperlink>
      <w:r>
        <w:t xml:space="preserve">; </w:t>
      </w:r>
      <w:hyperlink r:id="rId3901">
        <w:r>
          <w:rPr>
            <w:color w:val="0000EE"/>
            <w:u w:val="single"/>
          </w:rPr>
          <w:t>Mt 6.17</w:t>
        </w:r>
      </w:hyperlink>
      <w:r>
        <w:t>).</w:t>
      </w:r>
    </w:p>
    <w:p>
      <w:r/>
      <w:r>
        <w:t>No NT, a unção dos doentes, acompanhada de oração por cura pelos anciãos da igreja local, é recomendada quando solicitada por uma pessoa doente (</w:t>
      </w:r>
      <w:hyperlink r:id="rId6433">
        <w:r>
          <w:rPr>
            <w:color w:val="0000EE"/>
            <w:u w:val="single"/>
          </w:rPr>
          <w:t>Tg 5.14–16</w:t>
        </w:r>
      </w:hyperlink>
      <w:r>
        <w:t>). A unção com óleo também fazia parte do ministério de cura dos apóstolos (</w:t>
      </w:r>
      <w:hyperlink r:id="rId20401">
        <w:r>
          <w:rPr>
            <w:color w:val="0000EE"/>
            <w:u w:val="single"/>
          </w:rPr>
          <w:t>Mc 6.12–13</w:t>
        </w:r>
      </w:hyperlink>
      <w:r>
        <w:t>).</w:t>
      </w:r>
      <w:r/>
      <w:r/>
    </w:p>
    <w:p>
      <w:r/>
    </w:p>
    <w:p>
      <w:pPr>
        <w:pStyle w:val="Heading2"/>
      </w:pPr>
      <w:r>
        <w:t>Unguento</w:t>
      </w:r>
      <w:r/>
    </w:p>
    <w:p>
      <w:r/>
      <w:r>
        <w:t>Várias misturas para uso medicinal. A maioria dos unguentos tem uma base de óleo, misturada com especiarias ou ervas. A maioria dos palestinos usava azeite de oliva para unguentos. O próprio azeite de oliva era considerado um unguento. O Antigo Testamento não distingue entre "óleo" e "unguento".</w:t>
      </w:r>
    </w:p>
    <w:p>
      <w:r/>
      <w:r>
        <w:t>No Egito e na Mesopotâmia, diversos óleos vegetais e gorduras animais eram utilizados para unguentos. As pessoas também usavam outros óleos vegetais, como óleo de rícino, óleo de gergelim, óleo de linhaça, óleo de rabanete, óleo de coloquíntida e óleo de várias nozes.</w:t>
      </w:r>
    </w:p>
    <w:p>
      <w:r/>
      <w:r>
        <w:t>Unguentos eram importantes nos tempos antigos. No clima quente e seco do Oriente Próximo, unguentos eram usados para proteger e curar a pele. Todas as classes usavam unguentos para fins medicinais, qualidades calmantes e para mascarar odores. O Antigo Testamento menciona farmacêuticos ou perfumistas (</w:t>
      </w:r>
      <w:hyperlink r:id="rId16112">
        <w:r>
          <w:rPr>
            <w:color w:val="0000EE"/>
            <w:u w:val="single"/>
          </w:rPr>
          <w:t>1Sm 8.13</w:t>
        </w:r>
      </w:hyperlink>
      <w:r>
        <w:t xml:space="preserve">; </w:t>
      </w:r>
      <w:hyperlink r:id="rId16903">
        <w:r>
          <w:rPr>
            <w:color w:val="0000EE"/>
            <w:u w:val="single"/>
          </w:rPr>
          <w:t>2Cr 16.14</w:t>
        </w:r>
      </w:hyperlink>
      <w:r>
        <w:t>). Alguns artesãos se organizaram em guildas (</w:t>
      </w:r>
      <w:hyperlink r:id="rId16891">
        <w:r>
          <w:rPr>
            <w:color w:val="0000EE"/>
            <w:u w:val="single"/>
          </w:rPr>
          <w:t>Ne 3.8</w:t>
        </w:r>
      </w:hyperlink>
      <w:r>
        <w:t>).</w:t>
      </w:r>
    </w:p>
    <w:p>
      <w:pPr>
        <w:pStyle w:val="Heading3"/>
      </w:pPr>
      <w:r>
        <w:t>Como os unguentos eram feitas?</w:t>
      </w:r>
    </w:p>
    <w:p>
      <w:r/>
      <w:r>
        <w:t xml:space="preserve">Em geral, as pessoas faziam unguentos aquecendo plantas aromáticas ou especiarias em óleo (compare </w:t>
      </w:r>
      <w:hyperlink r:id="rId20402">
        <w:r>
          <w:rPr>
            <w:color w:val="0000EE"/>
            <w:u w:val="single"/>
          </w:rPr>
          <w:t>Jó 41.31</w:t>
        </w:r>
      </w:hyperlink>
      <w:r>
        <w:t xml:space="preserve">). Unguentos perfumados eram combinações de certos materiais com óleo especialmente preparado. No Antigo Testamento, palavras descritivas como "fragrante" no </w:t>
      </w:r>
      <w:hyperlink r:id="rId16895">
        <w:r>
          <w:rPr>
            <w:color w:val="0000EE"/>
            <w:u w:val="single"/>
          </w:rPr>
          <w:t>Cântico de Salomão 1.3</w:t>
        </w:r>
      </w:hyperlink>
      <w:r>
        <w:t xml:space="preserve"> ou "precioso" (</w:t>
      </w:r>
      <w:hyperlink r:id="rId20403">
        <w:r>
          <w:rPr>
            <w:color w:val="0000EE"/>
            <w:u w:val="single"/>
          </w:rPr>
          <w:t>Ec 7.1</w:t>
        </w:r>
      </w:hyperlink>
      <w:r>
        <w:t>) referem-se a óleos perfumados. Muitos tipos de recipientes podiam armazenar unguentos, mas as pessoas preferiam frascos feitos de alabastro. Um jarro de alabastro continha o caro unguento que Maria usou para ungir Jesus em Betânia (</w:t>
      </w:r>
      <w:hyperlink r:id="rId3905">
        <w:r>
          <w:rPr>
            <w:color w:val="0000EE"/>
            <w:u w:val="single"/>
          </w:rPr>
          <w:t>Mc 14.3</w:t>
        </w:r>
      </w:hyperlink>
      <w:r>
        <w:t>).</w:t>
      </w:r>
    </w:p>
    <w:p>
      <w:pPr>
        <w:pStyle w:val="Heading3"/>
      </w:pPr>
      <w:r>
        <w:t>Como os unguentos eram utilizados?</w:t>
      </w:r>
    </w:p>
    <w:p>
      <w:r/>
      <w:r>
        <w:t>Os unguentos tinham muitos usos. Entre o povo judeu, os unguentos tinham um significado importante. O óleo da unção sagrada consagrou Arão, seus filhos, o tabernáculo e seus móveis. O óleo da unção era feito de mirra, canela, cálamo e cássia misturados com azeite de oliva (</w:t>
      </w:r>
      <w:hyperlink r:id="rId20404">
        <w:r>
          <w:rPr>
            <w:color w:val="0000EE"/>
            <w:u w:val="single"/>
          </w:rPr>
          <w:t>Êx 30.23–25</w:t>
        </w:r>
      </w:hyperlink>
      <w:r>
        <w:t>). O óleo também era usado para ungir reis e profetas, mas não a mesma mistura do óleo da unção sagrada.</w:t>
      </w:r>
    </w:p>
    <w:p>
      <w:r/>
      <w:r>
        <w:t>Como cosméticos, os unguentos perfumados controlavam odores desagradáveis. O óleo era aplicado no corpo (</w:t>
      </w:r>
      <w:hyperlink r:id="rId3023">
        <w:r>
          <w:rPr>
            <w:color w:val="0000EE"/>
            <w:u w:val="single"/>
          </w:rPr>
          <w:t>2Sm 12.20</w:t>
        </w:r>
      </w:hyperlink>
      <w:r>
        <w:t>), roupas (</w:t>
      </w:r>
      <w:hyperlink r:id="rId4627">
        <w:r>
          <w:rPr>
            <w:color w:val="0000EE"/>
            <w:u w:val="single"/>
          </w:rPr>
          <w:t>Sl 45.8</w:t>
        </w:r>
      </w:hyperlink>
      <w:r>
        <w:t>) ou objetos pessoais (</w:t>
      </w:r>
      <w:hyperlink r:id="rId16902">
        <w:r>
          <w:rPr>
            <w:color w:val="0000EE"/>
            <w:u w:val="single"/>
          </w:rPr>
          <w:t>Pv 7.17</w:t>
        </w:r>
      </w:hyperlink>
      <w:r>
        <w:t>). As mulheres usavam unguentos para limpar e realçar a atratividade da pele (</w:t>
      </w:r>
      <w:hyperlink r:id="rId15806">
        <w:r>
          <w:rPr>
            <w:color w:val="0000EE"/>
            <w:u w:val="single"/>
          </w:rPr>
          <w:t>Et 2.12</w:t>
        </w:r>
      </w:hyperlink>
      <w:r>
        <w:t xml:space="preserve">). A fragrância de certos unguentos atraía a atenção do sexo oposto como em </w:t>
      </w:r>
      <w:hyperlink r:id="rId4219">
        <w:r>
          <w:rPr>
            <w:color w:val="0000EE"/>
            <w:u w:val="single"/>
          </w:rPr>
          <w:t>Cântico de Salomão 4.10</w:t>
        </w:r>
      </w:hyperlink>
      <w:r>
        <w:t>. Cântico dos Cânticos contém várias referências a unguentos perfumados.</w:t>
      </w:r>
    </w:p>
    <w:p>
      <w:r/>
      <w:r>
        <w:t xml:space="preserve">Usar unguentos para refrescar e acalmar os convidados era um marco de hospitalidade no antigo Oriente Próximo. Os egípcios usavam cones de unguento, que colocavam nas cabeças dos convidados para escorrer sobre o corpo (compare </w:t>
      </w:r>
      <w:hyperlink r:id="rId20405">
        <w:r>
          <w:rPr>
            <w:color w:val="0000EE"/>
            <w:u w:val="single"/>
          </w:rPr>
          <w:t>Sl 133.2</w:t>
        </w:r>
      </w:hyperlink>
      <w:r>
        <w:t>). Como sinal de respeito e honra, os anfitriões ungiam as cabeças dos convidados com óleo. Jesus repreendeu um fariseu que negligenciou este tradicional marco de hospitalidade (</w:t>
      </w:r>
      <w:hyperlink r:id="rId20406">
        <w:r>
          <w:rPr>
            <w:color w:val="0000EE"/>
            <w:u w:val="single"/>
          </w:rPr>
          <w:t>Lc 7.37–40</w:t>
        </w:r>
      </w:hyperlink>
      <w:r>
        <w:t>). Maria ungiu Jesus com um frasco caro de nardo, um unguento perfumado obtido das raízes de uma erva aromática da Índia (</w:t>
      </w:r>
      <w:hyperlink r:id="rId3905">
        <w:r>
          <w:rPr>
            <w:color w:val="0000EE"/>
            <w:u w:val="single"/>
          </w:rPr>
          <w:t>Mc 14.3</w:t>
        </w:r>
      </w:hyperlink>
      <w:r>
        <w:t>).</w:t>
      </w:r>
    </w:p>
    <w:p>
      <w:pPr>
        <w:pStyle w:val="Heading4"/>
      </w:pPr>
      <w:r>
        <w:t>Unguentos utilizados para sepultamento</w:t>
      </w:r>
    </w:p>
    <w:p>
      <w:r/>
      <w:r>
        <w:t>Os processos de sepultamento utilizavam óleos de unção. No Novo Testamento, um cadáver seria lavado e ungido com unguentos (</w:t>
      </w:r>
      <w:hyperlink r:id="rId6249">
        <w:r>
          <w:rPr>
            <w:color w:val="0000EE"/>
            <w:u w:val="single"/>
          </w:rPr>
          <w:t>Mc 16.1</w:t>
        </w:r>
      </w:hyperlink>
      <w:r>
        <w:t xml:space="preserve">; </w:t>
      </w:r>
      <w:hyperlink r:id="rId3014">
        <w:r>
          <w:rPr>
            <w:color w:val="0000EE"/>
            <w:u w:val="single"/>
          </w:rPr>
          <w:t>At 9.37</w:t>
        </w:r>
      </w:hyperlink>
      <w:r>
        <w:t>). Em seguida, os atendentes envolviam o corpo em vestes de linho com especiarias e unguentos (</w:t>
      </w:r>
      <w:hyperlink r:id="rId20407">
        <w:r>
          <w:rPr>
            <w:color w:val="0000EE"/>
            <w:u w:val="single"/>
          </w:rPr>
          <w:t>Lc 23.56</w:t>
        </w:r>
      </w:hyperlink>
      <w:r>
        <w:t xml:space="preserve">; </w:t>
      </w:r>
      <w:hyperlink r:id="rId12405">
        <w:r>
          <w:rPr>
            <w:color w:val="0000EE"/>
            <w:u w:val="single"/>
          </w:rPr>
          <w:t>João 19.40</w:t>
        </w:r>
      </w:hyperlink>
      <w:r>
        <w:t>). Tanto os judeus quanto os romanos usavam nardo para sepultamentos. Uma mistura de mirra e aloés foi usada para o sepultamento de Jesus.</w:t>
      </w:r>
    </w:p>
    <w:p>
      <w:pPr>
        <w:pStyle w:val="Heading4"/>
      </w:pPr>
      <w:r>
        <w:t>Unguentos utilizados como medicamento</w:t>
      </w:r>
    </w:p>
    <w:p>
      <w:r/>
      <w:r>
        <w:t>Os usos medicinais de unguentos eram comuns:</w:t>
      </w:r>
    </w:p>
    <w:p>
      <w:pPr>
        <w:pStyle w:val="ListBullet"/>
        <w:spacing w:line="240" w:lineRule="auto"/>
        <w:ind w:left="720"/>
      </w:pPr>
      <w:r/>
      <w:r>
        <w:t>Óleo era aplicado em feridas (</w:t>
      </w:r>
      <w:hyperlink r:id="rId14134">
        <w:r>
          <w:rPr>
            <w:color w:val="0000EE"/>
            <w:u w:val="single"/>
          </w:rPr>
          <w:t>Lc 10.34</w:t>
        </w:r>
      </w:hyperlink>
      <w:r>
        <w:t>).</w:t>
      </w:r>
    </w:p>
    <w:p>
      <w:pPr>
        <w:pStyle w:val="ListBullet"/>
        <w:spacing w:line="240" w:lineRule="auto"/>
        <w:ind w:left="720"/>
      </w:pPr>
      <w:r/>
      <w:r>
        <w:t>Unguentos curativos chamados bálsamos incluíam gomas aromáticas ou resinas. Gileade está associada ao bálsamo curativo (</w:t>
      </w:r>
      <w:hyperlink r:id="rId7451">
        <w:r>
          <w:rPr>
            <w:color w:val="0000EE"/>
            <w:u w:val="single"/>
          </w:rPr>
          <w:t>Jr 8.22</w:t>
        </w:r>
      </w:hyperlink>
      <w:r>
        <w:t>).</w:t>
      </w:r>
    </w:p>
    <w:p>
      <w:pPr>
        <w:pStyle w:val="ListBullet"/>
        <w:spacing w:line="240" w:lineRule="auto"/>
        <w:ind w:left="720"/>
      </w:pPr>
      <w:r/>
      <w:r>
        <w:t>A Palestina exportava bálsamo para o comércio (</w:t>
      </w:r>
      <w:hyperlink r:id="rId1495">
        <w:r>
          <w:rPr>
            <w:color w:val="0000EE"/>
            <w:u w:val="single"/>
          </w:rPr>
          <w:t>Gn 37.25</w:t>
        </w:r>
      </w:hyperlink>
      <w:r>
        <w:t xml:space="preserve">; </w:t>
      </w:r>
      <w:hyperlink r:id="rId568">
        <w:r>
          <w:rPr>
            <w:color w:val="0000EE"/>
            <w:u w:val="single"/>
          </w:rPr>
          <w:t>Ez 27.17</w:t>
        </w:r>
      </w:hyperlink>
      <w:r>
        <w:t>).</w:t>
      </w:r>
    </w:p>
    <w:p>
      <w:pPr>
        <w:pStyle w:val="ListBullet"/>
        <w:spacing w:line="240" w:lineRule="auto"/>
        <w:ind w:left="720"/>
      </w:pPr>
      <w:r/>
      <w:r>
        <w:t>A cidade de Laodiceia produzia e exportava um famoso colírio (</w:t>
      </w:r>
      <w:hyperlink r:id="rId14135">
        <w:r>
          <w:rPr>
            <w:color w:val="0000EE"/>
            <w:u w:val="single"/>
          </w:rPr>
          <w:t>Ap 3.18</w:t>
        </w:r>
      </w:hyperlink>
      <w:r>
        <w:t>).</w:t>
      </w:r>
    </w:p>
    <w:p>
      <w:pPr>
        <w:pStyle w:val="ListBullet"/>
        <w:spacing w:line="240" w:lineRule="auto"/>
        <w:ind w:left="720"/>
      </w:pPr>
      <w:r/>
      <w:r>
        <w:t>Unguentos itens importantes de comércio para os mercadores no período romano (</w:t>
      </w:r>
      <w:hyperlink r:id="rId17097">
        <w:r>
          <w:rPr>
            <w:color w:val="0000EE"/>
            <w:u w:val="single"/>
          </w:rPr>
          <w:t>Ap 18.13</w:t>
        </w:r>
      </w:hyperlink>
      <w:r>
        <w:t>).</w:t>
      </w:r>
    </w:p>
    <w:p>
      <w:pPr>
        <w:pStyle w:val="ListBullet"/>
        <w:spacing w:line="240" w:lineRule="auto"/>
        <w:ind w:left="720"/>
      </w:pPr>
      <w:r/>
      <w:r>
        <w:t>A unção com óleo passou a ser associada com alegria e júbilo (</w:t>
      </w:r>
      <w:hyperlink r:id="rId20408">
        <w:r>
          <w:rPr>
            <w:color w:val="0000EE"/>
            <w:u w:val="single"/>
          </w:rPr>
          <w:t>Sl 45.7</w:t>
        </w:r>
      </w:hyperlink>
      <w:r>
        <w:t xml:space="preserve">; </w:t>
      </w:r>
      <w:hyperlink r:id="rId3373">
        <w:r>
          <w:rPr>
            <w:color w:val="0000EE"/>
            <w:u w:val="single"/>
          </w:rPr>
          <w:t>Is 61.3</w:t>
        </w:r>
      </w:hyperlink>
      <w:r>
        <w:t>).</w:t>
      </w:r>
    </w:p>
    <w:p>
      <w:pPr>
        <w:pStyle w:val="ListBullet"/>
        <w:spacing w:line="240" w:lineRule="auto"/>
        <w:ind w:left="720"/>
      </w:pPr>
      <w:r/>
      <w:r>
        <w:t>As pessoas se abstinham de ungir durante tempos de luto (</w:t>
      </w:r>
      <w:hyperlink r:id="rId13448">
        <w:r>
          <w:rPr>
            <w:color w:val="0000EE"/>
            <w:u w:val="single"/>
          </w:rPr>
          <w:t>2Sm 14.2</w:t>
        </w:r>
      </w:hyperlink>
      <w:r>
        <w:t>).</w:t>
      </w:r>
    </w:p>
    <w:p>
      <w:pPr>
        <w:pStyle w:val="ListBullet"/>
        <w:spacing w:line="240" w:lineRule="auto"/>
        <w:ind w:left="720"/>
      </w:pPr>
      <w:r/>
      <w:r>
        <w:t>A falta de óleo para unção era vista como julgamento (</w:t>
      </w:r>
      <w:hyperlink r:id="rId5240">
        <w:r>
          <w:rPr>
            <w:color w:val="0000EE"/>
            <w:u w:val="single"/>
          </w:rPr>
          <w:t>Mq 6.15</w:t>
        </w:r>
      </w:hyperlink>
      <w:r>
        <w:t>).</w:t>
      </w:r>
    </w:p>
    <w:p>
      <w:pPr>
        <w:pStyle w:val="ListBullet"/>
        <w:spacing w:line="240" w:lineRule="auto"/>
        <w:ind w:left="720"/>
      </w:pPr>
      <w:r/>
      <w:r>
        <w:t>Os escudos eram ungidos com óleo para torná-los flexíveis e possivelmente para ajudar a desviar ataques (</w:t>
      </w:r>
      <w:hyperlink r:id="rId2521">
        <w:r>
          <w:rPr>
            <w:color w:val="0000EE"/>
            <w:u w:val="single"/>
          </w:rPr>
          <w:t>2Sm 1.21</w:t>
        </w:r>
      </w:hyperlink>
      <w:r>
        <w:t>).</w:t>
      </w:r>
    </w:p>
    <w:p>
      <w:r/>
      <w:r>
        <w:rPr>
          <w:i/>
        </w:rPr>
        <w:t>Veja também</w:t>
      </w:r>
      <w:r>
        <w:t xml:space="preserve"> </w:t>
      </w:r>
      <w:r>
        <w:t>Medicina e prática médica</w:t>
      </w:r>
      <w:r>
        <w:t xml:space="preserve">; </w:t>
      </w:r>
      <w:r>
        <w:t>Óleo</w:t>
      </w:r>
      <w:r>
        <w:t xml:space="preserve">; </w:t>
      </w:r>
      <w:r>
        <w:t>Plantas</w:t>
      </w:r>
      <w:r>
        <w:t xml:space="preserve"> (</w:t>
      </w:r>
      <w:r>
        <w:t>Oliva, oliveira</w:t>
      </w:r>
      <w:r>
        <w:t>).</w:t>
      </w:r>
      <w:r/>
      <w:r/>
    </w:p>
    <w:p>
      <w:r/>
    </w:p>
    <w:p>
      <w:pPr>
        <w:pStyle w:val="Heading2"/>
      </w:pPr>
      <w:r>
        <w:t>Unicórnio</w:t>
      </w:r>
      <w:r/>
    </w:p>
    <w:p>
      <w:r/>
      <w:r>
        <w:t>Tradução da ARC para um animal chamado de "touro selvagem" na NTLH e na maioria das traduções modernas (</w:t>
      </w:r>
      <w:hyperlink r:id="rId1884">
        <w:r>
          <w:rPr>
            <w:color w:val="0000EE"/>
            <w:u w:val="single"/>
          </w:rPr>
          <w:t>Nm 24.8</w:t>
        </w:r>
      </w:hyperlink>
      <w:r>
        <w:t xml:space="preserve">; </w:t>
      </w:r>
      <w:hyperlink r:id="rId1525">
        <w:r>
          <w:rPr>
            <w:color w:val="0000EE"/>
            <w:u w:val="single"/>
          </w:rPr>
          <w:t>Dt 33.17</w:t>
        </w:r>
      </w:hyperlink>
      <w:r>
        <w:t>). Unicórnio é uma tradução inadequada (seguindo a Septuaginta) porque o animal tinha dois chifres, não um.</w:t>
      </w:r>
    </w:p>
    <w:p>
      <w:r/>
      <w:r>
        <w:rPr>
          <w:i/>
        </w:rPr>
        <w:t>Veja</w:t>
      </w:r>
      <w:r>
        <w:t xml:space="preserve"> </w:t>
      </w:r>
      <w:r>
        <w:t>Animais (boi selvagem)</w:t>
      </w:r>
      <w:r>
        <w:t>.</w:t>
      </w:r>
      <w:r/>
      <w:r/>
    </w:p>
    <w:p>
      <w:r/>
    </w:p>
    <w:p>
      <w:pPr>
        <w:pStyle w:val="Heading2"/>
      </w:pPr>
      <w:r>
        <w:t>Unigênito</w:t>
      </w:r>
      <w:r/>
    </w:p>
    <w:p>
      <w:r/>
      <w:r>
        <w:t>Uma frase frequentemente usada para descrever Jesus na linguagem cristã. O termo, muitas vezes traduzido como "unigênito", não significa "nascido" ou "gerado". Em vez disso, significa "o único de seu tipo" ou "único". Isso é claro a partir de seu uso no Novo Testamento e na Septuaginta (a tradução grega do Antigo Testamento).</w:t>
      </w:r>
    </w:p>
    <w:p>
      <w:r/>
      <w:r>
        <w:t>No Novo Testamento, a palavra grega para esta frase aparece nove vezes. No entanto, apenas cinco dessas ocorrências, todas nos escritos de João, referem-se a Jesus (</w:t>
      </w:r>
      <w:hyperlink r:id="rId3743">
        <w:r>
          <w:rPr>
            <w:color w:val="0000EE"/>
            <w:u w:val="single"/>
          </w:rPr>
          <w:t>Jo 1.14,18</w:t>
        </w:r>
      </w:hyperlink>
      <w:r>
        <w:t xml:space="preserve">; </w:t>
      </w:r>
      <w:hyperlink r:id="rId1191">
        <w:r>
          <w:rPr>
            <w:color w:val="0000EE"/>
            <w:u w:val="single"/>
          </w:rPr>
          <w:t>3.16,18</w:t>
        </w:r>
      </w:hyperlink>
      <w:r>
        <w:t xml:space="preserve">; </w:t>
      </w:r>
      <w:hyperlink r:id="rId8042">
        <w:r>
          <w:rPr>
            <w:color w:val="0000EE"/>
            <w:u w:val="single"/>
          </w:rPr>
          <w:t>1Jo 4.9</w:t>
        </w:r>
      </w:hyperlink>
      <w:r>
        <w:t>). Três das outras ocorrências descrevem um filho ou filha única (</w:t>
      </w:r>
      <w:hyperlink r:id="rId20409">
        <w:r>
          <w:rPr>
            <w:color w:val="0000EE"/>
            <w:u w:val="single"/>
          </w:rPr>
          <w:t>Lc 7.12</w:t>
        </w:r>
      </w:hyperlink>
      <w:r>
        <w:t xml:space="preserve">; </w:t>
      </w:r>
      <w:hyperlink r:id="rId20410">
        <w:r>
          <w:rPr>
            <w:color w:val="0000EE"/>
            <w:u w:val="single"/>
          </w:rPr>
          <w:t>8.42</w:t>
        </w:r>
      </w:hyperlink>
      <w:r>
        <w:t xml:space="preserve">; </w:t>
      </w:r>
      <w:hyperlink r:id="rId20411">
        <w:r>
          <w:rPr>
            <w:color w:val="0000EE"/>
            <w:u w:val="single"/>
          </w:rPr>
          <w:t>9.38</w:t>
        </w:r>
      </w:hyperlink>
      <w:r>
        <w:t xml:space="preserve">; cp. </w:t>
      </w:r>
      <w:hyperlink r:id="rId14927">
        <w:r>
          <w:rPr>
            <w:color w:val="0000EE"/>
            <w:u w:val="single"/>
          </w:rPr>
          <w:t>Jz 11.34</w:t>
        </w:r>
      </w:hyperlink>
      <w:r>
        <w:t xml:space="preserve"> na Septuaginta).</w:t>
      </w:r>
    </w:p>
    <w:p>
      <w:r/>
      <w:r>
        <w:t xml:space="preserve">Como muitas vezes se refere a um filho único, implica algo especial, favorecido ou precioso. A outra referência não joanina, em </w:t>
      </w:r>
      <w:hyperlink r:id="rId20412">
        <w:r>
          <w:rPr>
            <w:color w:val="0000EE"/>
            <w:u w:val="single"/>
          </w:rPr>
          <w:t>Hebreus 11.17</w:t>
        </w:r>
      </w:hyperlink>
      <w:r>
        <w:t>, fala de Isaque como o filho "favorecido" ou "único" de Abraão. Isaque não era o "unigênito" de Abraão. Abraão teve outros filhos. Mas, Isaque foi o filho através do qual a promessa de Deus foi cumprida.</w:t>
      </w:r>
    </w:p>
    <w:p>
      <w:r/>
      <w:r>
        <w:t xml:space="preserve">Na Septuaginta, a palavra é usada em </w:t>
      </w:r>
      <w:hyperlink r:id="rId20413">
        <w:r>
          <w:rPr>
            <w:color w:val="0000EE"/>
            <w:u w:val="single"/>
          </w:rPr>
          <w:t>Salmo 22.20</w:t>
        </w:r>
      </w:hyperlink>
      <w:r>
        <w:t xml:space="preserve"> e </w:t>
      </w:r>
      <w:hyperlink r:id="rId20414">
        <w:r>
          <w:rPr>
            <w:color w:val="0000EE"/>
            <w:u w:val="single"/>
          </w:rPr>
          <w:t>35.17</w:t>
        </w:r>
      </w:hyperlink>
      <w:r>
        <w:t>, onde o salmista, pedindo por libertação, refere-se à sua alma como algo de grande valor. A palavra hebraica por trás desses textos do Antigo Testamento também significa "somente" e não sugere nascimento.</w:t>
      </w:r>
    </w:p>
    <w:p>
      <w:r/>
      <w:r>
        <w:t>Quando a palavra é aplicada a Jesus, significa não "unigênito", mas "único" ou "exclusivo". A frase é usada com "filho" e deve ser entendida como o único Filho de Deus, enfatizando tanto o favor de Deus para com ele quanto sua singularidade (</w:t>
      </w:r>
      <w:hyperlink r:id="rId1191">
        <w:r>
          <w:rPr>
            <w:color w:val="0000EE"/>
            <w:u w:val="single"/>
          </w:rPr>
          <w:t>Jo 3.16,18</w:t>
        </w:r>
      </w:hyperlink>
      <w:r>
        <w:t xml:space="preserve">; </w:t>
      </w:r>
      <w:hyperlink r:id="rId8042">
        <w:r>
          <w:rPr>
            <w:color w:val="0000EE"/>
            <w:u w:val="single"/>
          </w:rPr>
          <w:t>1Jo 4.9</w:t>
        </w:r>
      </w:hyperlink>
      <w:r>
        <w:t>). No batismo e na transfiguração de Jesus, Deus diz: "Este é meu Filho querido". Os Evangelhos Sinópticos compartilham essa ideia. De fato, na Septuaginta, a palavra "querido" ou "amado" é às vezes usada como tradução da palavra "único" em hebraico.</w:t>
      </w:r>
    </w:p>
    <w:p>
      <w:r/>
      <w:r>
        <w:t xml:space="preserve">Em </w:t>
      </w:r>
      <w:hyperlink r:id="rId3743">
        <w:r>
          <w:rPr>
            <w:color w:val="0000EE"/>
            <w:u w:val="single"/>
          </w:rPr>
          <w:t>João 1.14</w:t>
        </w:r>
      </w:hyperlink>
      <w:r>
        <w:t>, a palavra "único" é usada sozinha para enfatizar que o Verbo encarnado (Jesus), ao se tornar humano, é único e vem do Pai. A referência final (</w:t>
      </w:r>
      <w:hyperlink r:id="rId9132">
        <w:r>
          <w:rPr>
            <w:color w:val="0000EE"/>
            <w:u w:val="single"/>
          </w:rPr>
          <w:t>Jo 1.18</w:t>
        </w:r>
      </w:hyperlink>
      <w:r>
        <w:t>) é particularmente interessante porque alguns textos dizem "o Filho único", enquanto outros dizem "o único Deus". Os escribas poderiam facilmente ter escrito "Filho único" devido à sua familiaridade com outros textos em João. Dado o apoio mais forte para "único Deus", essa leitura é preferida. A atitude mais elevada possível é mostrada em relação ao Verbo encarnado (Jesus) que se tornou humano. Ninguém jamais viu Deus, mas o exclusivo Deus (ou único) que está próximo ao Pai, o revelou.</w:t>
      </w:r>
    </w:p>
    <w:p>
      <w:r/>
      <w:r>
        <w:rPr>
          <w:i/>
        </w:rPr>
        <w:t>Veja também</w:t>
      </w:r>
      <w:r>
        <w:t xml:space="preserve"> </w:t>
      </w:r>
      <w:r>
        <w:t>Cristologia</w:t>
      </w:r>
      <w:r>
        <w:t>.</w:t>
      </w:r>
      <w:r/>
      <w:r/>
    </w:p>
    <w:p>
      <w:r/>
    </w:p>
    <w:p>
      <w:pPr>
        <w:pStyle w:val="Heading2"/>
      </w:pPr>
      <w:r>
        <w:t>Ur (Local)</w:t>
      </w:r>
      <w:r/>
    </w:p>
    <w:p>
      <w:r/>
      <w:r>
        <w:t>Cidade natal de Terá, o pai de Abraão, e local de nascimento de Abraão e Sara. É mencionada pelo nome apenas quatro vezes na Bíblia (</w:t>
      </w:r>
      <w:hyperlink r:id="rId20415">
        <w:r>
          <w:rPr>
            <w:color w:val="0000EE"/>
            <w:u w:val="single"/>
          </w:rPr>
          <w:t>Gn 11.28,31</w:t>
        </w:r>
      </w:hyperlink>
      <w:r>
        <w:t xml:space="preserve">; </w:t>
      </w:r>
      <w:hyperlink r:id="rId20416">
        <w:r>
          <w:rPr>
            <w:color w:val="0000EE"/>
            <w:u w:val="single"/>
          </w:rPr>
          <w:t>15.7</w:t>
        </w:r>
      </w:hyperlink>
      <w:r>
        <w:t xml:space="preserve">; </w:t>
      </w:r>
      <w:hyperlink r:id="rId20417">
        <w:r>
          <w:rPr>
            <w:color w:val="0000EE"/>
            <w:u w:val="single"/>
          </w:rPr>
          <w:t>Ne 9.7</w:t>
        </w:r>
      </w:hyperlink>
      <w:r>
        <w:t>), sempre com o nome completo “Ur dos Caldeus”.</w:t>
      </w:r>
    </w:p>
    <w:p>
      <w:r/>
      <w:r>
        <w:t>O local moderno é conhecido como Tell el Muqayyar, "O Monte de Betume". As investigações arqueológicas mostram que Abraão veio de uma cidade grande, culta, sofisticada e poderosa. A paisagem era dominada pelo zigurate, ou torre do templo, e a vida da cidade era controlada por uma religião com uma multiplicidade de deuses. A divindade principal era Nana, ou Sin, o deus da lua, que também era adorado em Harã. Perto de seu zigurate havia um templo dedicado à sua consorte, a deusa da lua, Ningal.</w:t>
      </w:r>
    </w:p>
    <w:p>
      <w:r/>
      <w:r>
        <w:t>Muitas tábuas de argila encontradas em Ur falam sobre a vida comercial da cidade, que se concentrava nos templos e em sua renda. Havia sistema de fabricação, como o estabelecimento de tecelagem para a fabricação de tecidos de lã. Algumas tábuas tratavam de religião, história, direito e educação. Os alunos eram instruídos em leitura e escrita em escrita cuneiforme. Eles aprendiam a multiplicar e dividir, e alguns eram até capazes de extrair raízes quadradas e cúbicas.</w:t>
      </w:r>
    </w:p>
    <w:p>
      <w:r/>
      <w:r>
        <w:t>A arquitetura doméstica era altamente desenvolvida. As casas tinham dois andares e muitos cômodos (de 10 a 20), às vezes com uma capela privada. Pequenas figuras religiosas de argila (terafins ou ídolos domésticos) foram descobertas. Muitos objetos de arte feitos de metais preciosos e outros materiais caros foram escavados, especialmente nos túmulos reais. Esses túmulos também continham os restos de vários servos que provavelmente foram mortos na época dos enterros reais para acompanhar seus mestres na vida após a morte.</w:t>
      </w:r>
      <w:r/>
      <w:r/>
    </w:p>
    <w:p>
      <w:r/>
    </w:p>
    <w:p>
      <w:pPr>
        <w:pStyle w:val="Heading2"/>
      </w:pPr>
      <w:r>
        <w:t>Uri</w:t>
      </w:r>
      <w:r/>
    </w:p>
    <w:p>
      <w:pPr>
        <w:pStyle w:val="ListNumber"/>
        <w:spacing w:line="240" w:lineRule="auto"/>
        <w:ind w:left="720"/>
      </w:pPr>
      <w:r/>
      <w:r>
        <w:t>O pai de Bezalel da tribo de Judá é um construtor do tabernáculo (</w:t>
      </w:r>
      <w:hyperlink r:id="rId3519">
        <w:r>
          <w:rPr>
            <w:color w:val="0000EE"/>
            <w:u w:val="single"/>
          </w:rPr>
          <w:t>Êx 31.2</w:t>
        </w:r>
      </w:hyperlink>
      <w:r>
        <w:t xml:space="preserve">; </w:t>
      </w:r>
      <w:hyperlink r:id="rId20418">
        <w:r>
          <w:rPr>
            <w:color w:val="0000EE"/>
            <w:u w:val="single"/>
          </w:rPr>
          <w:t>35.30</w:t>
        </w:r>
      </w:hyperlink>
      <w:r>
        <w:t xml:space="preserve">; </w:t>
      </w:r>
      <w:hyperlink r:id="rId3521">
        <w:r>
          <w:rPr>
            <w:color w:val="0000EE"/>
            <w:u w:val="single"/>
          </w:rPr>
          <w:t>38.22</w:t>
        </w:r>
      </w:hyperlink>
      <w:r>
        <w:t xml:space="preserve">; </w:t>
      </w:r>
      <w:hyperlink r:id="rId3522">
        <w:r>
          <w:rPr>
            <w:color w:val="0000EE"/>
            <w:u w:val="single"/>
          </w:rPr>
          <w:t>1Cr 2.20</w:t>
        </w:r>
      </w:hyperlink>
      <w:r>
        <w:t xml:space="preserve">; </w:t>
      </w:r>
      <w:hyperlink r:id="rId3523">
        <w:r>
          <w:rPr>
            <w:color w:val="0000EE"/>
            <w:u w:val="single"/>
          </w:rPr>
          <w:t>2Cr 1.5</w:t>
        </w:r>
      </w:hyperlink>
      <w:r>
        <w:t>);</w:t>
      </w:r>
    </w:p>
    <w:p>
      <w:pPr>
        <w:pStyle w:val="ListNumber"/>
        <w:spacing w:line="240" w:lineRule="auto"/>
        <w:ind w:left="720"/>
      </w:pPr>
      <w:r/>
      <w:r>
        <w:t>O pai de Geber, um dos oficiais de Salomão em Gileade (</w:t>
      </w:r>
      <w:hyperlink r:id="rId1247">
        <w:r>
          <w:rPr>
            <w:color w:val="0000EE"/>
            <w:u w:val="single"/>
          </w:rPr>
          <w:t>1Rs 4.19</w:t>
        </w:r>
      </w:hyperlink>
      <w:r>
        <w:t>);</w:t>
      </w:r>
    </w:p>
    <w:p>
      <w:pPr>
        <w:pStyle w:val="ListNumber"/>
        <w:spacing w:line="240" w:lineRule="auto"/>
        <w:ind w:left="720"/>
      </w:pPr>
      <w:r/>
      <w:r>
        <w:t>Um dos porteiros do templo que se divorciou de sua esposa não judia a pedido de Esdras (</w:t>
      </w:r>
      <w:hyperlink r:id="rId20419">
        <w:r>
          <w:rPr>
            <w:color w:val="0000EE"/>
            <w:u w:val="single"/>
          </w:rPr>
          <w:t>Ed 10.24</w:t>
        </w:r>
      </w:hyperlink>
      <w:r>
        <w:t>).</w:t>
      </w:r>
      <w:r/>
      <w:r/>
    </w:p>
    <w:p>
      <w:r/>
    </w:p>
    <w:p>
      <w:pPr>
        <w:pStyle w:val="Heading2"/>
      </w:pPr>
      <w:r>
        <w:t>Urim e Tumim</w:t>
      </w:r>
      <w:r/>
    </w:p>
    <w:p>
      <w:r/>
      <w:r>
        <w:t>O Urim e o Tumim eram objetos especiais usados pelos antigos sumos sacerdotes de Israel para descobrir a vontade de Deus. (</w:t>
      </w:r>
      <w:hyperlink r:id="rId7809">
        <w:r>
          <w:rPr>
            <w:color w:val="0000EE"/>
            <w:u w:val="single"/>
          </w:rPr>
          <w:t>Nm 27.21</w:t>
        </w:r>
      </w:hyperlink>
      <w:r>
        <w:t>). Essas duas palavras hebraicas podem significar "luzes e perfeições". O Urim e o Tumim eram provavelmente pedras ou fichas semelhantes a dados ou moedas que podiam cair de pé ou de cabeça para baixo.</w:t>
      </w:r>
    </w:p>
    <w:p>
      <w:r/>
      <w:r>
        <w:t xml:space="preserve">De acordo com </w:t>
      </w:r>
      <w:hyperlink r:id="rId10265">
        <w:r>
          <w:rPr>
            <w:color w:val="0000EE"/>
            <w:u w:val="single"/>
          </w:rPr>
          <w:t>Êxodo 28.30</w:t>
        </w:r>
      </w:hyperlink>
      <w:r>
        <w:t>, o sumo sacerdote mantinha esses objetos sobre ou em seu peitoral. A Bíblia não menciona seu uso desde o tempo do Rei Saul (</w:t>
      </w:r>
      <w:hyperlink r:id="rId20420">
        <w:r>
          <w:rPr>
            <w:color w:val="0000EE"/>
            <w:u w:val="single"/>
          </w:rPr>
          <w:t>1Sm 28.6</w:t>
        </w:r>
      </w:hyperlink>
      <w:r>
        <w:t>) até o tempo de Esdras e Neemias (</w:t>
      </w:r>
      <w:hyperlink r:id="rId7696">
        <w:r>
          <w:rPr>
            <w:color w:val="0000EE"/>
            <w:u w:val="single"/>
          </w:rPr>
          <w:t>Ed 2.63</w:t>
        </w:r>
      </w:hyperlink>
      <w:r>
        <w:t xml:space="preserve">; </w:t>
      </w:r>
      <w:hyperlink r:id="rId7697">
        <w:r>
          <w:rPr>
            <w:color w:val="0000EE"/>
            <w:u w:val="single"/>
          </w:rPr>
          <w:t>Ne 7.65</w:t>
        </w:r>
      </w:hyperlink>
      <w:r>
        <w:t>), quando ajudaram a decidir quais sacerdotes que retornavam poderiam servir novamente.</w:t>
      </w:r>
    </w:p>
    <w:p>
      <w:r/>
      <w:r>
        <w:t xml:space="preserve">Em </w:t>
      </w:r>
      <w:hyperlink r:id="rId20421">
        <w:r>
          <w:rPr>
            <w:color w:val="0000EE"/>
            <w:u w:val="single"/>
          </w:rPr>
          <w:t>1 Samuel 14.41</w:t>
        </w:r>
      </w:hyperlink>
      <w:r>
        <w:t>, a tradução grega da Bíblia preserva informações que podem ter sido perdidas do texto hebraico. Este versículo menciona o Urim e Tumim em conexão com a tentativa do Rei Saul de descobrir quem era culpado em seu exército. Esta passagem mostra que os objetos podiam responder a perguntas de verdadeiro ou falso, ou sim ou não. O sistema provavelmente era semelhante ao lançamento de sortes.</w:t>
      </w:r>
    </w:p>
    <w:p>
      <w:r/>
      <w:r>
        <w:t>Nenhum dos principais líderes espirituais, como Abraão, Moisés, Davi ou os profetas, jamais usaram o Urim e Tumim para determinar a vontade de Deus. O Novo Testamento não os menciona de forma alguma. O Urim e Tumim pertenciam à nação de Israel durante seu desenvolvimento inicial, não durante o tempo dos profetas, e certamente não depois que o Espírito Santo se tornou disponível para todos os crentes.</w:t>
      </w:r>
    </w:p>
    <w:p>
      <w:r/>
      <w:r>
        <w:rPr>
          <w:i/>
        </w:rPr>
        <w:t>Veja também</w:t>
      </w:r>
      <w:r>
        <w:t xml:space="preserve"> </w:t>
      </w:r>
      <w:r>
        <w:t>Sortes, Lançamento de</w:t>
      </w:r>
      <w:r>
        <w:t>.</w:t>
      </w:r>
      <w:r/>
      <w:r/>
    </w:p>
    <w:p>
      <w:r/>
    </w:p>
    <w:p>
      <w:pPr>
        <w:pStyle w:val="Heading2"/>
      </w:pPr>
      <w:r>
        <w:t>Uz</w:t>
      </w:r>
      <w:r/>
    </w:p>
    <w:p>
      <w:r/>
      <w:r>
        <w:t xml:space="preserve">Filho de Naor, em </w:t>
      </w:r>
      <w:hyperlink r:id="rId2312">
        <w:r>
          <w:rPr>
            <w:color w:val="0000EE"/>
            <w:u w:val="single"/>
          </w:rPr>
          <w:t>Gênesis 22.21</w:t>
        </w:r>
      </w:hyperlink>
      <w:r>
        <w:t xml:space="preserve">. </w:t>
      </w:r>
      <w:r>
        <w:rPr>
          <w:i/>
        </w:rPr>
        <w:t>Veja</w:t>
      </w:r>
      <w:r>
        <w:t xml:space="preserve"> </w:t>
      </w:r>
      <w:r>
        <w:t>Uz (Pessoa) #2</w:t>
      </w:r>
      <w:r>
        <w:t>.</w:t>
      </w:r>
      <w:r/>
      <w:r/>
    </w:p>
    <w:p>
      <w:r/>
    </w:p>
    <w:p>
      <w:pPr>
        <w:pStyle w:val="Heading2"/>
      </w:pPr>
      <w:r>
        <w:t>Uz (Lugar)</w:t>
      </w:r>
      <w:r/>
    </w:p>
    <w:p>
      <w:r/>
      <w:r>
        <w:t>Pátria de Jó (</w:t>
      </w:r>
      <w:hyperlink r:id="rId20422">
        <w:r>
          <w:rPr>
            <w:color w:val="0000EE"/>
            <w:u w:val="single"/>
          </w:rPr>
          <w:t>Jó 1.1</w:t>
        </w:r>
      </w:hyperlink>
      <w:r>
        <w:t>). O nome aparece em paralelos com Edom e está associado com Uz na árvore genealógica dos horitas originais em Seir (</w:t>
      </w:r>
      <w:hyperlink r:id="rId20423">
        <w:r>
          <w:rPr>
            <w:color w:val="0000EE"/>
            <w:u w:val="single"/>
          </w:rPr>
          <w:t>Lm 4.21</w:t>
        </w:r>
      </w:hyperlink>
      <w:r>
        <w:t>). O livro de Jó não localiza a terra de Uz, mas menciona que os filhos do Leste (Kedem) viviam lá (</w:t>
      </w:r>
      <w:hyperlink r:id="rId1505">
        <w:r>
          <w:rPr>
            <w:color w:val="0000EE"/>
            <w:u w:val="single"/>
          </w:rPr>
          <w:t>Jó 1.3</w:t>
        </w:r>
      </w:hyperlink>
      <w:r>
        <w:t xml:space="preserve">). Também é dito que Uz está perto do deserto (v. </w:t>
      </w:r>
      <w:hyperlink r:id="rId20424">
        <w:r>
          <w:rPr>
            <w:color w:val="0000EE"/>
            <w:u w:val="single"/>
          </w:rPr>
          <w:t>15</w:t>
        </w:r>
      </w:hyperlink>
      <w:r>
        <w:t xml:space="preserve">) e dos caldeus (v. </w:t>
      </w:r>
      <w:hyperlink r:id="rId4023">
        <w:r>
          <w:rPr>
            <w:color w:val="0000EE"/>
            <w:u w:val="single"/>
          </w:rPr>
          <w:t>17</w:t>
        </w:r>
      </w:hyperlink>
      <w:r>
        <w:t>). Isso indica que estava localizada a leste da terra de Israel.</w:t>
      </w:r>
    </w:p>
    <w:p>
      <w:r/>
      <w:r>
        <w:t>As associações com Edom sugerem fortemente que a terra de Uz foi povoada por descendentes dos horeus de Seir. Um apoio adicional para essa visão é um versículo na versão grega no final do livro de Jó: “já que ele havia vivido na terra de Uz, nas fronteiras de Edom e Arábia”. Certas tradições antigas colocam a casa de Jó em Basã. Josefo também diz que Jó viveu em Traconites e Damasco (</w:t>
      </w:r>
      <w:r>
        <w:rPr>
          <w:i/>
        </w:rPr>
        <w:t>Antiguidades</w:t>
      </w:r>
      <w:r>
        <w:t xml:space="preserve"> 1.6.4), com referência ao Uz da genealogia aramaica (</w:t>
      </w:r>
      <w:hyperlink r:id="rId9935">
        <w:r>
          <w:rPr>
            <w:color w:val="0000EE"/>
            <w:u w:val="single"/>
          </w:rPr>
          <w:t>Gn 10.23</w:t>
        </w:r>
      </w:hyperlink>
      <w:r>
        <w:t>).</w:t>
      </w:r>
      <w:r/>
      <w:r/>
    </w:p>
    <w:p>
      <w:r/>
    </w:p>
    <w:p>
      <w:pPr>
        <w:pStyle w:val="Heading2"/>
      </w:pPr>
      <w:r>
        <w:t>Uz (Pessoa)</w:t>
      </w:r>
      <w:r/>
    </w:p>
    <w:p>
      <w:r/>
      <w:r>
        <w:t>1. O primogênito de Arã e um descendente de Sem (</w:t>
      </w:r>
      <w:hyperlink r:id="rId9935">
        <w:r>
          <w:rPr>
            <w:color w:val="0000EE"/>
            <w:u w:val="single"/>
          </w:rPr>
          <w:t>Gn 10.23</w:t>
        </w:r>
      </w:hyperlink>
      <w:r>
        <w:t xml:space="preserve">). Na passagem paralela em </w:t>
      </w:r>
      <w:hyperlink r:id="rId2311">
        <w:r>
          <w:rPr>
            <w:color w:val="0000EE"/>
            <w:u w:val="single"/>
          </w:rPr>
          <w:t>1 Crônicas 1.17</w:t>
        </w:r>
      </w:hyperlink>
      <w:r>
        <w:t>, Uz é ligado diretamente a Sem sem menção de Arã. Ele é possivelmente o antepassado da nação arameia situada nas regiões desérticas da Síria.</w:t>
      </w:r>
    </w:p>
    <w:p>
      <w:r/>
      <w:r>
        <w:t>2. Primogênito do irmão de Abraão, Naor, com sua concubina, Milca (</w:t>
      </w:r>
      <w:hyperlink r:id="rId2312">
        <w:r>
          <w:rPr>
            <w:color w:val="0000EE"/>
            <w:u w:val="single"/>
          </w:rPr>
          <w:t>Gn 22.21</w:t>
        </w:r>
      </w:hyperlink>
      <w:r>
        <w:t>).</w:t>
      </w:r>
    </w:p>
    <w:p>
      <w:r/>
      <w:r>
        <w:t>3. Filho de Disã e neto de Seir, o horita (</w:t>
      </w:r>
      <w:hyperlink r:id="rId2308">
        <w:r>
          <w:rPr>
            <w:color w:val="0000EE"/>
            <w:u w:val="single"/>
          </w:rPr>
          <w:t>Gn 36.28</w:t>
        </w:r>
      </w:hyperlink>
      <w:r>
        <w:t xml:space="preserve">; </w:t>
      </w:r>
      <w:hyperlink r:id="rId2309">
        <w:r>
          <w:rPr>
            <w:color w:val="0000EE"/>
            <w:u w:val="single"/>
          </w:rPr>
          <w:t>1Cr 1.42</w:t>
        </w:r>
      </w:hyperlink>
      <w:r>
        <w:t>).</w:t>
      </w:r>
      <w:r/>
      <w:r/>
    </w:p>
    <w:p>
      <w:r/>
    </w:p>
    <w:p>
      <w:pPr>
        <w:pStyle w:val="Heading2"/>
      </w:pPr>
      <w:r>
        <w:t>Uzá</w:t>
      </w:r>
      <w:r/>
    </w:p>
    <w:p>
      <w:pPr>
        <w:pStyle w:val="ListNumber"/>
        <w:spacing w:line="240" w:lineRule="auto"/>
        <w:ind w:left="720"/>
      </w:pPr>
      <w:r/>
      <w:r>
        <w:t>Um filho de Abinadabe que morreu enquanto ajudava a transportar a Arca da Aliança quando ela foi devolvida pelos filisteus (</w:t>
      </w:r>
      <w:hyperlink r:id="rId20425">
        <w:r>
          <w:rPr>
            <w:color w:val="0000EE"/>
            <w:u w:val="single"/>
          </w:rPr>
          <w:t>2Sm 6.1–8</w:t>
        </w:r>
      </w:hyperlink>
      <w:r>
        <w:t xml:space="preserve">; </w:t>
      </w:r>
      <w:hyperlink r:id="rId20426">
        <w:r>
          <w:rPr>
            <w:color w:val="0000EE"/>
            <w:u w:val="single"/>
          </w:rPr>
          <w:t>1Cr 13.7–11</w:t>
        </w:r>
      </w:hyperlink>
      <w:r>
        <w:t xml:space="preserve">). Uzá foi morto pelo Senhor porque estendeu a mão e segurou a arca ao tentar estabilizá-la. Esta ação foi contra as instruções de </w:t>
      </w:r>
      <w:hyperlink r:id="rId15404">
        <w:r>
          <w:rPr>
            <w:color w:val="0000EE"/>
            <w:u w:val="single"/>
          </w:rPr>
          <w:t>Números 4.15</w:t>
        </w:r>
      </w:hyperlink>
      <w:r>
        <w:t>. O irmão de Uzá, Aiô, aparentemente conduzia os bois que puxavam o carro, enquanto Uzá caminhava ao lado dele. Por causa deste evento, Davi renomeou o lugar como Perez-Uzá (que significa "a ruptura contra Uzá"). Davi deixou a arca na casa de Obede-Edom.</w:t>
      </w:r>
    </w:p>
    <w:p>
      <w:pPr>
        <w:pStyle w:val="ListNumber"/>
        <w:spacing w:line="240" w:lineRule="auto"/>
        <w:ind w:left="720"/>
      </w:pPr>
      <w:r/>
      <w:r>
        <w:t xml:space="preserve">Um levita do clã de Merari. </w:t>
      </w:r>
      <w:hyperlink r:id="rId13018">
        <w:r>
          <w:rPr>
            <w:color w:val="0000EE"/>
            <w:u w:val="single"/>
          </w:rPr>
          <w:t>1 Crônicas 6.29</w:t>
        </w:r>
      </w:hyperlink>
      <w:r>
        <w:t xml:space="preserve"> o lista como filho de Simei e pai de Simeia.</w:t>
      </w:r>
      <w:r/>
      <w:r/>
    </w:p>
    <w:p>
      <w:r/>
    </w:p>
    <w:p>
      <w:pPr>
        <w:pStyle w:val="Heading2"/>
      </w:pPr>
      <w:r>
        <w:t>Uzal (Pessoa)</w:t>
      </w:r>
      <w:r/>
    </w:p>
    <w:p>
      <w:r/>
      <w:r>
        <w:t>Filho de Joctã, um descendente de Éber através da linhagem de Sem (</w:t>
      </w:r>
      <w:hyperlink r:id="rId422">
        <w:r>
          <w:rPr>
            <w:color w:val="0000EE"/>
            <w:u w:val="single"/>
          </w:rPr>
          <w:t>Gn 10.27</w:t>
        </w:r>
      </w:hyperlink>
      <w:r>
        <w:t xml:space="preserve">; </w:t>
      </w:r>
      <w:hyperlink r:id="rId423">
        <w:r>
          <w:rPr>
            <w:color w:val="0000EE"/>
            <w:u w:val="single"/>
          </w:rPr>
          <w:t>1Cr 1.21</w:t>
        </w:r>
      </w:hyperlink>
      <w:r>
        <w:t>).</w:t>
      </w:r>
      <w:r/>
      <w:r/>
    </w:p>
    <w:p>
      <w:r/>
    </w:p>
    <w:p>
      <w:pPr>
        <w:pStyle w:val="Heading2"/>
      </w:pPr>
      <w:r>
        <w:t>Uzias</w:t>
      </w:r>
      <w:r/>
    </w:p>
    <w:p>
      <w:r/>
      <w:r>
        <w:t xml:space="preserve">1. Rei de Judá por volta de 792 a 740 a.C. (cf. </w:t>
      </w:r>
      <w:hyperlink r:id="rId18402">
        <w:r>
          <w:rPr>
            <w:color w:val="0000EE"/>
            <w:u w:val="single"/>
          </w:rPr>
          <w:t>2Rs 14.21–22</w:t>
        </w:r>
      </w:hyperlink>
      <w:r>
        <w:t xml:space="preserve">; </w:t>
      </w:r>
      <w:hyperlink r:id="rId18403">
        <w:r>
          <w:rPr>
            <w:color w:val="0000EE"/>
            <w:u w:val="single"/>
          </w:rPr>
          <w:t>15.1–7</w:t>
        </w:r>
      </w:hyperlink>
      <w:r>
        <w:t xml:space="preserve">; </w:t>
      </w:r>
      <w:hyperlink r:id="rId20427">
        <w:r>
          <w:rPr>
            <w:color w:val="0000EE"/>
            <w:u w:val="single"/>
          </w:rPr>
          <w:t>2Cr 26.1–23</w:t>
        </w:r>
      </w:hyperlink>
      <w:r>
        <w:t>), filho do rei Amazias e de Jecolias de Jerusalém. Uzias é o nome pelo qual ele é chamado em Crônicas, mas em Reis ele é conhecido como Azarias. Azarias significa “o Senhor ajudou”; o significado de Uzias é “minha força é o Senhor”. Azarias pode ter sido seu nome de batismo e Uzias um nome de trono adotado ao assumir o poder. Ele subiu ao trono aos 16 anos, após a morte de seu pai, que foi assassinado em Laquis como resultado de uma conspiração decorrente de sua apostasia.</w:t>
      </w:r>
    </w:p>
    <w:p>
      <w:r/>
      <w:r>
        <w:t>Uzias era uma pessoa capaz, enérgica e bem organizada, com muitos interesses diversos. O Senhor o abençoou em todas as suas empreitadas, de modo que prosperou. Ele é caracterizado como alguém que “fez o que era certo aos olhos do Senhor” (</w:t>
      </w:r>
      <w:hyperlink r:id="rId20428">
        <w:r>
          <w:rPr>
            <w:color w:val="0000EE"/>
            <w:u w:val="single"/>
          </w:rPr>
          <w:t>2Rs 15.3</w:t>
        </w:r>
      </w:hyperlink>
      <w:r>
        <w:t xml:space="preserve">; </w:t>
      </w:r>
      <w:hyperlink r:id="rId20429">
        <w:r>
          <w:rPr>
            <w:color w:val="0000EE"/>
            <w:u w:val="single"/>
          </w:rPr>
          <w:t>2Cr 26.4</w:t>
        </w:r>
      </w:hyperlink>
      <w:r>
        <w:t>). Ele decidiu buscar a Deus e foi até Zacarias (não o profeta pós-exílico) para instrução espiritual. Consequentemente, “enquanto buscou o Senhor, Deus o fez prosperar” (</w:t>
      </w:r>
      <w:hyperlink r:id="rId20430">
        <w:r>
          <w:rPr>
            <w:color w:val="0000EE"/>
            <w:u w:val="single"/>
          </w:rPr>
          <w:t>2Cr 26.5</w:t>
        </w:r>
      </w:hyperlink>
      <w:r>
        <w:t>).</w:t>
      </w:r>
    </w:p>
    <w:p>
      <w:r/>
      <w:r>
        <w:t>Os profetas do Senhor foram ativos durante o reinado de Uzias. Isaías, Oséias e Amós iniciaram seu trabalho profético na época de Uzias (</w:t>
      </w:r>
      <w:hyperlink r:id="rId17556">
        <w:r>
          <w:rPr>
            <w:color w:val="0000EE"/>
            <w:u w:val="single"/>
          </w:rPr>
          <w:t>Is 1.1</w:t>
        </w:r>
      </w:hyperlink>
      <w:r>
        <w:t xml:space="preserve">; </w:t>
      </w:r>
      <w:hyperlink r:id="rId3301">
        <w:r>
          <w:rPr>
            <w:color w:val="0000EE"/>
            <w:u w:val="single"/>
          </w:rPr>
          <w:t>Os 1.1</w:t>
        </w:r>
      </w:hyperlink>
      <w:r>
        <w:t xml:space="preserve">; </w:t>
      </w:r>
      <w:hyperlink r:id="rId1257">
        <w:r>
          <w:rPr>
            <w:color w:val="0000EE"/>
            <w:u w:val="single"/>
          </w:rPr>
          <w:t>Am 1.1</w:t>
        </w:r>
      </w:hyperlink>
      <w:r>
        <w:t>). Uzias também foi ativo em campanhas militares. Seu principal sucesso foi contra o forte inimigo histórico de Israel, os filisteus. Ele derrubou os muros de Gate, Jâmnia e Asdode e construiu suas próprias cidades na Filístia. Ele também construiu muitas fortificações, como torres fortificadas em Jerusalém e no deserto. Ele derrotou alguns árabes e também os meunitas, e colocou os amonitas sob tributo (</w:t>
      </w:r>
      <w:hyperlink r:id="rId20431">
        <w:r>
          <w:rPr>
            <w:color w:val="0000EE"/>
            <w:u w:val="single"/>
          </w:rPr>
          <w:t>2Cr 27.5–8</w:t>
        </w:r>
      </w:hyperlink>
      <w:r>
        <w:t>). Uzias tinha um exército "apto para a guerra", que foi recrutado de acordo com o censo e organizado em divisões. Havia 2.600 oficiais e 307.500 homens de combate que podiam travar guerra com grande poder. O exército estava bem equipado, com armas como lanças, arcos e pedras de funda, e com equipamentos defensivos, incluindo escudos, capacetes e couraças (</w:t>
      </w:r>
      <w:hyperlink r:id="rId2523">
        <w:r>
          <w:rPr>
            <w:color w:val="0000EE"/>
            <w:u w:val="single"/>
          </w:rPr>
          <w:t>2Cr 26.14</w:t>
        </w:r>
      </w:hyperlink>
      <w:r>
        <w:t xml:space="preserve">). </w:t>
      </w:r>
      <w:hyperlink r:id="rId1065">
        <w:r>
          <w:rPr>
            <w:color w:val="0000EE"/>
            <w:u w:val="single"/>
          </w:rPr>
          <w:t>2 Crônicas 26.15</w:t>
        </w:r>
      </w:hyperlink>
      <w:r>
        <w:t xml:space="preserve"> descreve um tipo de catapulta, que deveria ser posicionada nas torres e nos cantos dos muros para fins defensivos. Esse tipo de arma podia lançar flechas ou grandes pedras. Através de suas conquistas e especialmente de seu poder militar, ele se tornou famoso.</w:t>
      </w:r>
    </w:p>
    <w:p>
      <w:r/>
      <w:r>
        <w:t xml:space="preserve">Mas Uzias teve uma queda triste. Como </w:t>
      </w:r>
      <w:hyperlink r:id="rId20432">
        <w:r>
          <w:rPr>
            <w:color w:val="0000EE"/>
            <w:u w:val="single"/>
          </w:rPr>
          <w:t>Provérbios 16.18</w:t>
        </w:r>
      </w:hyperlink>
      <w:r>
        <w:t xml:space="preserve"> diz, o orgulho precede a queda. Seu orgulho tornou-se claramente evidente quando ele assumiu a função de sacerdote. Ao entrar no templo para oferecer incenso no altar de incenso, foi confrontado por seu comportamento presunçoso por Azarias, o sacerdote, e outros 80 sacerdotes. Quando Uzias ficou com raiva, o Senhor o atingiu com lepra, forçando-o a viver em isolamento e impedindo-o de entrar no templo. Seu filho, Jotão, tornou-se chefe de estado interino e depois sucedeu ao trono na época da morte de Uzias.</w:t>
      </w:r>
    </w:p>
    <w:p>
      <w:r/>
      <w:r>
        <w:t>2. Levita coatita e antepassado de Samuel (</w:t>
      </w:r>
      <w:hyperlink r:id="rId19277">
        <w:r>
          <w:rPr>
            <w:color w:val="0000EE"/>
            <w:u w:val="single"/>
          </w:rPr>
          <w:t>1Cr 6.24</w:t>
        </w:r>
      </w:hyperlink>
      <w:r>
        <w:t>).</w:t>
      </w:r>
    </w:p>
    <w:p>
      <w:r/>
      <w:r>
        <w:t>3. Pai de Jônatas, tesoureiro de Davi (</w:t>
      </w:r>
      <w:hyperlink r:id="rId20070">
        <w:r>
          <w:rPr>
            <w:color w:val="0000EE"/>
            <w:u w:val="single"/>
          </w:rPr>
          <w:t>1Cr 27.25</w:t>
        </w:r>
      </w:hyperlink>
      <w:r>
        <w:t>).</w:t>
      </w:r>
    </w:p>
    <w:p>
      <w:r/>
      <w:r>
        <w:t>4. Um dos cinco filhos de Harim que foi encorajado por Esdras a se divorciar de sua esposa estrangeira durante o período pós-exílico (</w:t>
      </w:r>
      <w:hyperlink r:id="rId7916">
        <w:r>
          <w:rPr>
            <w:color w:val="0000EE"/>
            <w:u w:val="single"/>
          </w:rPr>
          <w:t>Ed 10.21</w:t>
        </w:r>
      </w:hyperlink>
      <w:r>
        <w:t xml:space="preserve">; </w:t>
      </w:r>
      <w:hyperlink r:id="rId20433">
        <w:r>
          <w:rPr>
            <w:color w:val="0000EE"/>
            <w:u w:val="single"/>
          </w:rPr>
          <w:t>1Es 9.21</w:t>
        </w:r>
      </w:hyperlink>
      <w:r>
        <w:t>).</w:t>
      </w:r>
    </w:p>
    <w:p>
      <w:r/>
      <w:r>
        <w:t>5. Descendente de Perez, ou Peres, da tribo de Judá (</w:t>
      </w:r>
      <w:hyperlink r:id="rId13528">
        <w:r>
          <w:rPr>
            <w:color w:val="0000EE"/>
            <w:u w:val="single"/>
          </w:rPr>
          <w:t>Ne 11.4</w:t>
        </w:r>
      </w:hyperlink>
      <w:r>
        <w:t>).</w:t>
      </w:r>
      <w:r/>
      <w:r/>
    </w:p>
    <w:p>
      <w:r/>
    </w:p>
    <w:p>
      <w:pPr>
        <w:pStyle w:val="Heading2"/>
      </w:pPr>
      <w:r>
        <w:t>Uziel</w:t>
      </w:r>
      <w:r/>
    </w:p>
    <w:p>
      <w:pPr>
        <w:pStyle w:val="ListNumber"/>
        <w:spacing w:line="240" w:lineRule="auto"/>
        <w:ind w:left="720"/>
      </w:pPr>
      <w:r/>
      <w:r>
        <w:t>O filho mais novo de Coate da tribo de Levi. Uziel tornou-se o líder do grupo familiar Uzielita dentro do clã maior dos Coatitas (</w:t>
      </w:r>
      <w:hyperlink r:id="rId5016">
        <w:r>
          <w:rPr>
            <w:color w:val="0000EE"/>
            <w:u w:val="single"/>
          </w:rPr>
          <w:t>Êx 6.18</w:t>
        </w:r>
      </w:hyperlink>
      <w:r>
        <w:t xml:space="preserve">; </w:t>
      </w:r>
      <w:hyperlink r:id="rId20434">
        <w:r>
          <w:rPr>
            <w:color w:val="0000EE"/>
            <w:u w:val="single"/>
          </w:rPr>
          <w:t>Nm 3.19,27,30</w:t>
        </w:r>
      </w:hyperlink>
      <w:r>
        <w:t xml:space="preserve">; </w:t>
      </w:r>
      <w:hyperlink r:id="rId1974">
        <w:r>
          <w:rPr>
            <w:color w:val="0000EE"/>
            <w:u w:val="single"/>
          </w:rPr>
          <w:t>1Cr 26.23</w:t>
        </w:r>
      </w:hyperlink>
      <w:r>
        <w:t>). Ele era tio de Arão, e seus filhos Misael e Elzafã carregaram os corpos de Nadabe e Abiú para fora do acampamento depois que desobedeceram à autoridade de Arão (</w:t>
      </w:r>
      <w:hyperlink r:id="rId7994">
        <w:r>
          <w:rPr>
            <w:color w:val="0000EE"/>
            <w:u w:val="single"/>
          </w:rPr>
          <w:t>Êx 6.22</w:t>
        </w:r>
      </w:hyperlink>
      <w:r>
        <w:t xml:space="preserve">; </w:t>
      </w:r>
      <w:hyperlink r:id="rId7991">
        <w:r>
          <w:rPr>
            <w:color w:val="0000EE"/>
            <w:u w:val="single"/>
          </w:rPr>
          <w:t>Lv 10.4</w:t>
        </w:r>
      </w:hyperlink>
      <w:r>
        <w:t>). Vários de seus descendentes foram importantes na história de Israel. Aminadabe liderou a cerimônia quando Davi moveu a arca para Jerusalém (</w:t>
      </w:r>
      <w:hyperlink r:id="rId20435">
        <w:r>
          <w:rPr>
            <w:color w:val="0000EE"/>
            <w:u w:val="single"/>
          </w:rPr>
          <w:t>1Cr 15.10</w:t>
        </w:r>
      </w:hyperlink>
      <w:r>
        <w:t>). Miquéias e Issias foram líderes entre os levitas durante o reinado do Rei Salomão (</w:t>
      </w:r>
      <w:hyperlink r:id="rId20436">
        <w:r>
          <w:rPr>
            <w:color w:val="0000EE"/>
            <w:u w:val="single"/>
          </w:rPr>
          <w:t>1Cr 23.20</w:t>
        </w:r>
      </w:hyperlink>
      <w:r>
        <w:t>);</w:t>
      </w:r>
    </w:p>
    <w:p>
      <w:pPr>
        <w:pStyle w:val="ListNumber"/>
        <w:spacing w:line="240" w:lineRule="auto"/>
        <w:ind w:left="720"/>
      </w:pPr>
      <w:r/>
      <w:r>
        <w:t>O filho de Isi foi um dos líderes dos guerreiros simeonitas. Esses guerreiros derrotaram os amalequitas em Seir durante o reinado de Ezequias (</w:t>
      </w:r>
      <w:hyperlink r:id="rId19307">
        <w:r>
          <w:rPr>
            <w:color w:val="0000EE"/>
            <w:u w:val="single"/>
          </w:rPr>
          <w:t>1Cr 4.42</w:t>
        </w:r>
      </w:hyperlink>
      <w:r>
        <w:t>). Esta foi uma vitória importante porque os amalequitas não tinham sido completamente derrotados anteriormente pelo Rei Saul ou pelo Rei Davi. Como resultado dessa vitória, os simeonitas puderam tomar posse e viver naquela terra;</w:t>
      </w:r>
    </w:p>
    <w:p>
      <w:pPr>
        <w:pStyle w:val="ListNumber"/>
        <w:spacing w:line="240" w:lineRule="auto"/>
        <w:ind w:left="720"/>
      </w:pPr>
      <w:r/>
      <w:r>
        <w:t>Um chefe de clã benjaminita que é listado como filho de Bela, filho de Benjamim (</w:t>
      </w:r>
      <w:hyperlink r:id="rId8135">
        <w:r>
          <w:rPr>
            <w:color w:val="0000EE"/>
            <w:u w:val="single"/>
          </w:rPr>
          <w:t>1Cr 7.7</w:t>
        </w:r>
      </w:hyperlink>
      <w:r>
        <w:t>);</w:t>
      </w:r>
    </w:p>
    <w:p>
      <w:pPr>
        <w:pStyle w:val="ListNumber"/>
        <w:spacing w:line="240" w:lineRule="auto"/>
        <w:ind w:left="720"/>
      </w:pPr>
      <w:r/>
      <w:r>
        <w:t>O filho de Hemã do clã levita de Asafe (</w:t>
      </w:r>
      <w:hyperlink r:id="rId20437">
        <w:r>
          <w:rPr>
            <w:color w:val="0000EE"/>
            <w:u w:val="single"/>
          </w:rPr>
          <w:t>1Cr 25.4</w:t>
        </w:r>
      </w:hyperlink>
      <w:r>
        <w:t>). Ele também é chamado de Azarel (</w:t>
      </w:r>
      <w:hyperlink r:id="rId20438">
        <w:r>
          <w:rPr>
            <w:color w:val="0000EE"/>
            <w:u w:val="single"/>
          </w:rPr>
          <w:t>1Cr 25.18</w:t>
        </w:r>
      </w:hyperlink>
      <w:r>
        <w:t>);</w:t>
      </w:r>
    </w:p>
    <w:p>
      <w:pPr>
        <w:pStyle w:val="ListNumber"/>
        <w:spacing w:line="240" w:lineRule="auto"/>
        <w:ind w:left="720"/>
      </w:pPr>
      <w:r/>
      <w:r>
        <w:t>Um levita que ajudou na reconsagração (a cerimônia para tornar sagrado novamente) do templo durante o reinado do rei Ezequias (</w:t>
      </w:r>
      <w:hyperlink r:id="rId10692">
        <w:r>
          <w:rPr>
            <w:color w:val="0000EE"/>
            <w:u w:val="single"/>
          </w:rPr>
          <w:t>2Cr 29.14</w:t>
        </w:r>
      </w:hyperlink>
      <w:r>
        <w:t>). Ele é listado como filho de Jedutum;</w:t>
      </w:r>
    </w:p>
    <w:p>
      <w:pPr>
        <w:pStyle w:val="ListNumber"/>
        <w:spacing w:line="240" w:lineRule="auto"/>
        <w:ind w:left="720"/>
      </w:pPr>
      <w:r/>
      <w:r>
        <w:t>Um ourives que trabalhou na reconstrução dos portões de Jerusalém (</w:t>
      </w:r>
      <w:hyperlink r:id="rId16891">
        <w:r>
          <w:rPr>
            <w:color w:val="0000EE"/>
            <w:u w:val="single"/>
          </w:rPr>
          <w:t>Ne 3.8</w:t>
        </w:r>
      </w:hyperlink>
      <w:r>
        <w:t xml:space="preserve">). Seu nome sugere que ele provavelmente era um sacerdote responsável por fazer e reparar os instrumentos e recipientes usados no templo (cp. </w:t>
      </w:r>
      <w:hyperlink r:id="rId17117">
        <w:r>
          <w:rPr>
            <w:color w:val="0000EE"/>
            <w:u w:val="single"/>
          </w:rPr>
          <w:t>1Cr 9.29</w:t>
        </w:r>
      </w:hyperlink>
      <w:r>
        <w:t>).</w:t>
      </w:r>
      <w:r/>
      <w:r/>
    </w:p>
    <w:p>
      <w:r/>
    </w:p>
    <w:p>
      <w:pPr>
        <w:pStyle w:val="Heading2"/>
      </w:pPr>
      <w:r>
        <w:t>Vaebe</w:t>
      </w:r>
      <w:r/>
    </w:p>
    <w:p>
      <w:r/>
      <w:r>
        <w:t>Uma cidade na região de Sufa (</w:t>
      </w:r>
      <w:hyperlink r:id="rId13058">
        <w:r>
          <w:rPr>
            <w:color w:val="0000EE"/>
            <w:u w:val="single"/>
          </w:rPr>
          <w:t>Nm 21.14</w:t>
        </w:r>
      </w:hyperlink>
      <w:r>
        <w:t>).</w:t>
      </w:r>
    </w:p>
    <w:p>
      <w:r/>
      <w:r>
        <w:rPr>
          <w:i/>
        </w:rPr>
        <w:t>Veja</w:t>
      </w:r>
      <w:r>
        <w:t xml:space="preserve"> </w:t>
      </w:r>
      <w:r>
        <w:t>Sufa</w:t>
      </w:r>
      <w:r>
        <w:t>.</w:t>
      </w:r>
      <w:r/>
      <w:r/>
    </w:p>
    <w:p>
      <w:r/>
    </w:p>
    <w:p>
      <w:pPr>
        <w:pStyle w:val="Heading2"/>
      </w:pPr>
      <w:r>
        <w:t>Vale de Jezreel</w:t>
      </w:r>
      <w:r/>
    </w:p>
    <w:p>
      <w:r/>
      <w:r>
        <w:t xml:space="preserve">O Vale de Jezreel é o maior e mais fértil vale da terra de Israel. Foi nomeado em homenagem à cidade de Jezreel. Inicialmente, Jezreel era a única cidade no vale que os israelitas controlavam durante suas primeiras batalhas na terra (compare </w:t>
      </w:r>
      <w:hyperlink r:id="rId20439">
        <w:r>
          <w:rPr>
            <w:color w:val="0000EE"/>
            <w:u w:val="single"/>
          </w:rPr>
          <w:t>Jz 1.27–30</w:t>
        </w:r>
      </w:hyperlink>
      <w:r>
        <w:t>).</w:t>
      </w:r>
    </w:p>
    <w:p>
      <w:r/>
      <w:r>
        <w:t>Escritores gregos posteriores chamaram o vale de "Esdre­lão" (</w:t>
      </w:r>
      <w:hyperlink r:id="rId9734">
        <w:r>
          <w:rPr>
            <w:color w:val="0000EE"/>
            <w:u w:val="single"/>
          </w:rPr>
          <w:t>Jt 1.8</w:t>
        </w:r>
      </w:hyperlink>
      <w:r>
        <w:t xml:space="preserve">). Algumas pessoas usaram erroneamente esse nome apenas para a parte ocidental do vale. Outros usaram "Jezreel" para a parte estreita que leva a leste em direção à cidade de Bete-Seã. Mas a Bíblia mostra que estas são duas áreas diferentes (compare </w:t>
      </w:r>
      <w:hyperlink r:id="rId9220">
        <w:r>
          <w:rPr>
            <w:color w:val="0000EE"/>
            <w:u w:val="single"/>
          </w:rPr>
          <w:t>Js 17.16</w:t>
        </w:r>
      </w:hyperlink>
      <w:r>
        <w:t xml:space="preserve">; </w:t>
      </w:r>
      <w:hyperlink r:id="rId20440">
        <w:r>
          <w:rPr>
            <w:color w:val="0000EE"/>
            <w:u w:val="single"/>
          </w:rPr>
          <w:t>Jz 1.27–28</w:t>
        </w:r>
      </w:hyperlink>
      <w:r>
        <w:t xml:space="preserve">; </w:t>
      </w:r>
      <w:hyperlink r:id="rId3502">
        <w:r>
          <w:rPr>
            <w:color w:val="0000EE"/>
            <w:u w:val="single"/>
          </w:rPr>
          <w:t>Js 17.11</w:t>
        </w:r>
      </w:hyperlink>
      <w:r>
        <w:t xml:space="preserve">). O Vale de Jezreel incluía cidades como Taanaque e Megido. Bete-Seã estava próxima, mas contada separadamente (compare também </w:t>
      </w:r>
      <w:hyperlink r:id="rId20441">
        <w:r>
          <w:rPr>
            <w:color w:val="0000EE"/>
            <w:u w:val="single"/>
          </w:rPr>
          <w:t>Os 1.5</w:t>
        </w:r>
      </w:hyperlink>
      <w:r>
        <w:t>).</w:t>
      </w:r>
    </w:p>
    <w:p>
      <w:r/>
      <w:r>
        <w:t>Os midianitas acamparam no Vale de Jezreel, entre a colina de Moré e a fonte de Harode (</w:t>
      </w:r>
      <w:hyperlink r:id="rId17378">
        <w:r>
          <w:rPr>
            <w:color w:val="0000EE"/>
            <w:u w:val="single"/>
          </w:rPr>
          <w:t>Jz 6.33</w:t>
        </w:r>
      </w:hyperlink>
      <w:r>
        <w:t xml:space="preserve">; </w:t>
      </w:r>
      <w:hyperlink r:id="rId20442">
        <w:r>
          <w:rPr>
            <w:color w:val="0000EE"/>
            <w:u w:val="single"/>
          </w:rPr>
          <w:t>7.1</w:t>
        </w:r>
      </w:hyperlink>
      <w:r>
        <w:t>). Baraque derrotou o exército de Sísera e Jabim lá, perto de Endor (</w:t>
      </w:r>
      <w:hyperlink r:id="rId8061">
        <w:r>
          <w:rPr>
            <w:color w:val="0000EE"/>
            <w:u w:val="single"/>
          </w:rPr>
          <w:t>Sl 83.9–10</w:t>
        </w:r>
      </w:hyperlink>
      <w:r>
        <w:t>). Mais tarde, os filisteus se reuniram lá para se opor ao Rei Saul (</w:t>
      </w:r>
      <w:hyperlink r:id="rId20443">
        <w:r>
          <w:rPr>
            <w:color w:val="0000EE"/>
            <w:u w:val="single"/>
          </w:rPr>
          <w:t>1Sm 29.1,11</w:t>
        </w:r>
      </w:hyperlink>
      <w:r>
        <w:t xml:space="preserve">; </w:t>
      </w:r>
      <w:hyperlink r:id="rId1024">
        <w:r>
          <w:rPr>
            <w:color w:val="0000EE"/>
            <w:u w:val="single"/>
          </w:rPr>
          <w:t>2Sm 4.4</w:t>
        </w:r>
      </w:hyperlink>
      <w:r>
        <w:t>). Durante o tempo dos reis de Israel, este vale fazia parte de um distrito administrativo (</w:t>
      </w:r>
      <w:hyperlink r:id="rId20444">
        <w:r>
          <w:rPr>
            <w:color w:val="0000EE"/>
            <w:u w:val="single"/>
          </w:rPr>
          <w:t>2Sm 2.9</w:t>
        </w:r>
      </w:hyperlink>
      <w:r>
        <w:t xml:space="preserve">; </w:t>
      </w:r>
      <w:hyperlink r:id="rId3503">
        <w:r>
          <w:rPr>
            <w:color w:val="0000EE"/>
            <w:u w:val="single"/>
          </w:rPr>
          <w:t>1Rs 4.12</w:t>
        </w:r>
      </w:hyperlink>
      <w:r>
        <w:t>). A parte sul do vale também pode ser chamada de planície de Megido (</w:t>
      </w:r>
      <w:hyperlink r:id="rId20445">
        <w:r>
          <w:rPr>
            <w:color w:val="0000EE"/>
            <w:u w:val="single"/>
          </w:rPr>
          <w:t>2Cr 35.22</w:t>
        </w:r>
      </w:hyperlink>
      <w:r>
        <w:t xml:space="preserve">; </w:t>
      </w:r>
      <w:hyperlink r:id="rId6909">
        <w:r>
          <w:rPr>
            <w:color w:val="0000EE"/>
            <w:u w:val="single"/>
          </w:rPr>
          <w:t>Zc 12.11</w:t>
        </w:r>
      </w:hyperlink>
      <w:r>
        <w:t>).</w:t>
      </w:r>
    </w:p>
    <w:p>
      <w:r/>
      <w:r>
        <w:t>Reis egípcios como Tutemés III e Amenófis II travaram batalhas neste vale. No final da Idade do Bronze, cidades como Megido estavam sob o controle do Egito. A parte sudoeste do vale pode ter sido chamada de Harosete-Hagoim, onde exércitos se reuniam para a guerra (</w:t>
      </w:r>
      <w:hyperlink r:id="rId20446">
        <w:r>
          <w:rPr>
            <w:color w:val="0000EE"/>
            <w:u w:val="single"/>
          </w:rPr>
          <w:t>Jz 4.2,13–16</w:t>
        </w:r>
      </w:hyperlink>
      <w:r>
        <w:t>).</w:t>
      </w:r>
    </w:p>
    <w:p>
      <w:r/>
      <w:r>
        <w:rPr>
          <w:i/>
        </w:rPr>
        <w:t>Consulte também</w:t>
      </w:r>
      <w:r>
        <w:t xml:space="preserve"> </w:t>
      </w:r>
      <w:r>
        <w:t>Palestina</w:t>
      </w:r>
      <w:r>
        <w:t>.</w:t>
      </w:r>
      <w:r/>
      <w:r/>
    </w:p>
    <w:p>
      <w:r/>
    </w:p>
    <w:p>
      <w:pPr>
        <w:pStyle w:val="Heading2"/>
      </w:pPr>
      <w:r>
        <w:t>Vale de Savé</w:t>
      </w:r>
      <w:r/>
    </w:p>
    <w:p>
      <w:r/>
      <w:r>
        <w:t xml:space="preserve">Vale perto de Salém, também chamado de vale do Rei em </w:t>
      </w:r>
      <w:hyperlink r:id="rId19278">
        <w:r>
          <w:rPr>
            <w:color w:val="0000EE"/>
            <w:u w:val="single"/>
          </w:rPr>
          <w:t>Gênesis 14.17</w:t>
        </w:r>
      </w:hyperlink>
      <w:r>
        <w:t xml:space="preserve">. </w:t>
      </w:r>
      <w:r>
        <w:rPr>
          <w:i/>
        </w:rPr>
        <w:t>Veja</w:t>
      </w:r>
      <w:r>
        <w:t xml:space="preserve"> </w:t>
      </w:r>
      <w:r>
        <w:t>Vale do Rei</w:t>
      </w:r>
      <w:r>
        <w:t>.</w:t>
      </w:r>
      <w:r/>
      <w:r/>
    </w:p>
    <w:p>
      <w:r/>
    </w:p>
    <w:p>
      <w:pPr>
        <w:pStyle w:val="Heading2"/>
      </w:pPr>
      <w:r>
        <w:t>Vale de Sidim</w:t>
      </w:r>
      <w:r/>
    </w:p>
    <w:p>
      <w:r/>
      <w:r>
        <w:t>Localização da batalha entre quatro reis da Mesopotâmia e cinco reis aliados que viviam perto do Mar Morto (</w:t>
      </w:r>
      <w:hyperlink r:id="rId20447">
        <w:r>
          <w:rPr>
            <w:color w:val="0000EE"/>
            <w:u w:val="single"/>
          </w:rPr>
          <w:t>Gn 14.3,8–10</w:t>
        </w:r>
      </w:hyperlink>
      <w:r>
        <w:t>). A localização precisa da batalha nas proximidades do Mar Morto tem se mostrado impossível de determinar; restam apenas conjecturas. O vale é descrito como cheio de poços de betume (</w:t>
      </w:r>
      <w:hyperlink r:id="rId3518">
        <w:r>
          <w:rPr>
            <w:color w:val="0000EE"/>
            <w:u w:val="single"/>
          </w:rPr>
          <w:t>Gn 14.10</w:t>
        </w:r>
      </w:hyperlink>
      <w:r>
        <w:t>). Esta descrição se adequa às áreas adjacentes ao Mar Salgado ou Mar Morto.</w:t>
      </w:r>
    </w:p>
    <w:p>
      <w:r/>
      <w:r>
        <w:t>O relato em Gênesis descreve uma importante campanha militar que se acredita ter ocorrido na Idade do Bronze Médio (c. 1900 a.C.), situando-a na época de Abraão. Os reis mencionados na coalizão do Leste são desconhecidos, já que a suposta ligação de Anrafel com Hamurabi agora é considerada insustentável. Esses quatro aliados vieram do sul de Damasco e conquistaram uma série de cidades, incluindo Carnaim, Ham e os horeus no Monte Seir, tão ao sul quanto o Golfo de Elat. Eles então se voltaram para o noroeste em direção a Cades-Barneia e de lá para o nordeste em direção ao Mar Morto. Este parece ser o local onde encontraram resistência da coalizão dos reis de Sodoma, Gomorra, Admá, Zeboim e Zoar (</w:t>
      </w:r>
      <w:hyperlink r:id="rId20448">
        <w:r>
          <w:rPr>
            <w:color w:val="0000EE"/>
            <w:u w:val="single"/>
          </w:rPr>
          <w:t>Gn 14.2–9</w:t>
        </w:r>
      </w:hyperlink>
      <w:r>
        <w:t>) ao sul do Mar Morto.</w:t>
      </w:r>
      <w:r/>
      <w:r/>
    </w:p>
    <w:p>
      <w:r/>
    </w:p>
    <w:p>
      <w:pPr>
        <w:pStyle w:val="Heading2"/>
      </w:pPr>
      <w:r>
        <w:t>Vale do Rei</w:t>
      </w:r>
      <w:r/>
    </w:p>
    <w:p>
      <w:r/>
      <w:r>
        <w:t xml:space="preserve">Algumas versões da Bíblia em português fazem menção do Vale do Rei perto de Salém. Salém era a cidade de Melquisedeque mencionada em </w:t>
      </w:r>
      <w:hyperlink r:id="rId19278">
        <w:r>
          <w:rPr>
            <w:color w:val="0000EE"/>
            <w:u w:val="single"/>
          </w:rPr>
          <w:t>Gênesis 14.17</w:t>
        </w:r>
      </w:hyperlink>
      <w:r>
        <w:t>.</w:t>
      </w:r>
    </w:p>
    <w:p>
      <w:r/>
      <w:r>
        <w:rPr>
          <w:i/>
        </w:rPr>
        <w:t>Veja</w:t>
      </w:r>
      <w:r>
        <w:t xml:space="preserve"> </w:t>
      </w:r>
      <w:r>
        <w:t>Vale do Rei</w:t>
      </w:r>
      <w:r>
        <w:t>.</w:t>
      </w:r>
      <w:r/>
      <w:r/>
    </w:p>
    <w:p>
      <w:r/>
    </w:p>
    <w:p>
      <w:pPr>
        <w:pStyle w:val="Heading2"/>
      </w:pPr>
      <w:r>
        <w:t>Vale do Rei</w:t>
      </w:r>
      <w:r/>
    </w:p>
    <w:p>
      <w:r/>
      <w:r>
        <w:t>Vale perto de Salém, a cidade de Melquisedeque, onde Abrão encontrou o rei de Sodoma e rejeitou sua oferta de uma trégua moralmente comprometida (</w:t>
      </w:r>
      <w:hyperlink r:id="rId19278">
        <w:r>
          <w:rPr>
            <w:color w:val="0000EE"/>
            <w:u w:val="single"/>
          </w:rPr>
          <w:t>Gn 14.17</w:t>
        </w:r>
      </w:hyperlink>
      <w:r>
        <w:t>); também chamado de vale de Savé. Se Salém for o mesmo local que Jerusalém, o “vale do Rei” é provavelmente o Vale do Cedrom ou o vale de Hinom. Este seria o local onde Absalão ergueu um pilar como monumento a si mesmo (</w:t>
      </w:r>
      <w:hyperlink r:id="rId13456">
        <w:r>
          <w:rPr>
            <w:color w:val="0000EE"/>
            <w:u w:val="single"/>
          </w:rPr>
          <w:t>2Sm 18.18</w:t>
        </w:r>
      </w:hyperlink>
      <w:r>
        <w:t>).</w:t>
      </w:r>
      <w:r/>
      <w:r/>
    </w:p>
    <w:p>
      <w:r/>
    </w:p>
    <w:p>
      <w:pPr>
        <w:pStyle w:val="Heading2"/>
      </w:pPr>
      <w:r>
        <w:t>Vara de Arão</w:t>
      </w:r>
      <w:r/>
    </w:p>
    <w:p>
      <w:r/>
      <w:r>
        <w:t>Um cajado pertencente a Arão, o irmão de Moisés, simboliza a autoridade de Moisés e Arão em Israel.</w:t>
      </w:r>
    </w:p>
    <w:p>
      <w:r/>
      <w:r>
        <w:t>Quando os israelitas estavam vagando no deserto, algumas pessoas lideradas por Corá, Datã e Abirão se opuseram à liderança de Moisés e Arão (</w:t>
      </w:r>
      <w:hyperlink r:id="rId20449">
        <w:r>
          <w:rPr>
            <w:color w:val="0000EE"/>
            <w:u w:val="single"/>
          </w:rPr>
          <w:t>Nm 16.1–40</w:t>
        </w:r>
      </w:hyperlink>
      <w:r>
        <w:t>). Deus puniu esses rebeldes, mas os outros israelitas culparam Moisés e Arão por suas mortes (</w:t>
      </w:r>
      <w:hyperlink r:id="rId20450">
        <w:r>
          <w:rPr>
            <w:color w:val="0000EE"/>
            <w:u w:val="single"/>
          </w:rPr>
          <w:t>16.41</w:t>
        </w:r>
      </w:hyperlink>
      <w:r>
        <w:t>).</w:t>
      </w:r>
    </w:p>
    <w:p>
      <w:r/>
      <w:r>
        <w:t>Para mostrar a todos que Deus escolheu Moisés e Arão como líderes, Deus disse a Moisés para fazer algo especial. O Senhor instruiu Moisés a coletar uma vara de madeira de cada tribo e pedir ao líder da tribo que escrevesse seu nome nela. Arão foi instruído a escrever seu nome na vara de Levi. As varas foram colocadas na sala interna do tabernáculo, em frente à arca da aliança.</w:t>
      </w:r>
    </w:p>
    <w:p>
      <w:r/>
      <w:r>
        <w:t>Na manhã seguinte, a vara de Arão havia brotado flores e produzido amêndoas maduras. A vara de Arão foi mantida no tabernáculo para lembrar aos israelitas que Deus escolheu Arão e Moisés como líderes (</w:t>
      </w:r>
      <w:hyperlink r:id="rId20451">
        <w:r>
          <w:rPr>
            <w:color w:val="0000EE"/>
            <w:u w:val="single"/>
          </w:rPr>
          <w:t>Nm 17.1–11</w:t>
        </w:r>
      </w:hyperlink>
      <w:r>
        <w:t xml:space="preserve">; compare </w:t>
      </w:r>
      <w:hyperlink r:id="rId2430">
        <w:r>
          <w:rPr>
            <w:color w:val="0000EE"/>
            <w:u w:val="single"/>
          </w:rPr>
          <w:t>Hb 9.4</w:t>
        </w:r>
      </w:hyperlink>
      <w:r>
        <w:t>).</w:t>
      </w:r>
    </w:p>
    <w:p>
      <w:r/>
      <w:r>
        <w:t>Depois disso, o povo de Israel entrou no Deserto de Zim, mas não havia água para eles e seus rebanhos. Novamente, o povo discutiu com Moisés e Arão. O Senhor disse a Moisés para pegar a vara de Arão e, na presença de Arão e do restante do povo, ordenar a uma rocha específica que trouxesse água.</w:t>
      </w:r>
    </w:p>
    <w:p>
      <w:r/>
      <w:r>
        <w:t>Moisés ficou bravo e disse: “Agora escute, gente rebelde! Será que vamos ter de fazer sair água desta rocha para vocês?” (</w:t>
      </w:r>
      <w:hyperlink r:id="rId20452">
        <w:r>
          <w:rPr>
            <w:color w:val="0000EE"/>
            <w:u w:val="single"/>
          </w:rPr>
          <w:t>Nm 20.10</w:t>
        </w:r>
      </w:hyperlink>
      <w:r>
        <w:t>). Então ele bateu na rocha duas vezes com a vara. A água saiu e o povo bebeu.</w:t>
      </w:r>
    </w:p>
    <w:p>
      <w:r/>
      <w:r>
        <w:t>No entanto, Moisés e Arão foram proibidos de entrar na terra que Deus prometeu aos descendentes de Abraão. Isso ocorreu porque eles não honraram a Deus adequadamente diante do povo (</w:t>
      </w:r>
      <w:hyperlink r:id="rId20453">
        <w:r>
          <w:rPr>
            <w:color w:val="0000EE"/>
            <w:u w:val="single"/>
          </w:rPr>
          <w:t>Nm 20.12–13</w:t>
        </w:r>
      </w:hyperlink>
      <w:r>
        <w:t>). Um evento anterior havia mostrado que Deus era capaz de fornecer água de uma rocha de maneira semelhante (</w:t>
      </w:r>
      <w:hyperlink r:id="rId13128">
        <w:r>
          <w:rPr>
            <w:color w:val="0000EE"/>
            <w:u w:val="single"/>
          </w:rPr>
          <w:t>Êx 17.1–7</w:t>
        </w:r>
      </w:hyperlink>
      <w:r>
        <w:t>).</w:t>
      </w:r>
    </w:p>
    <w:p>
      <w:r/>
      <w:r>
        <w:rPr>
          <w:i/>
        </w:rPr>
        <w:t>Veja também</w:t>
      </w:r>
      <w:r>
        <w:t xml:space="preserve"> </w:t>
      </w:r>
      <w:r>
        <w:t>Arão</w:t>
      </w:r>
      <w:r>
        <w:t>.</w:t>
      </w:r>
      <w:r/>
      <w:r/>
    </w:p>
    <w:p>
      <w:r/>
    </w:p>
    <w:p>
      <w:pPr>
        <w:pStyle w:val="Heading2"/>
      </w:pPr>
      <w:r>
        <w:t>Vaus do Jordão</w:t>
      </w:r>
      <w:r/>
    </w:p>
    <w:p>
      <w:r/>
      <w:r>
        <w:t>Lugares rasos onde pessoas e animais podiam atravessar o Rio Jordão. Muitas personalidades do Antigo Testamento cruzaram o Jordão em seus dois principais vaus: essas pessoas incluem Jacó (</w:t>
      </w:r>
      <w:hyperlink r:id="rId20454">
        <w:r>
          <w:rPr>
            <w:color w:val="0000EE"/>
            <w:u w:val="single"/>
          </w:rPr>
          <w:t>Gn 32.10</w:t>
        </w:r>
      </w:hyperlink>
      <w:r>
        <w:t>), Gideão (</w:t>
      </w:r>
      <w:hyperlink r:id="rId20455">
        <w:r>
          <w:rPr>
            <w:color w:val="0000EE"/>
            <w:u w:val="single"/>
          </w:rPr>
          <w:t>Jz 8.4</w:t>
        </w:r>
      </w:hyperlink>
      <w:r>
        <w:t>), Davi (</w:t>
      </w:r>
      <w:hyperlink r:id="rId20456">
        <w:r>
          <w:rPr>
            <w:color w:val="0000EE"/>
            <w:u w:val="single"/>
          </w:rPr>
          <w:t>2Sm 10.17</w:t>
        </w:r>
      </w:hyperlink>
      <w:r>
        <w:t xml:space="preserve">; </w:t>
      </w:r>
      <w:hyperlink r:id="rId20457">
        <w:r>
          <w:rPr>
            <w:color w:val="0000EE"/>
            <w:u w:val="single"/>
          </w:rPr>
          <w:t>17.22</w:t>
        </w:r>
      </w:hyperlink>
      <w:r>
        <w:t>), Absalão (</w:t>
      </w:r>
      <w:hyperlink r:id="rId20458">
        <w:r>
          <w:rPr>
            <w:color w:val="0000EE"/>
            <w:u w:val="single"/>
          </w:rPr>
          <w:t>17.24</w:t>
        </w:r>
      </w:hyperlink>
      <w:r>
        <w:t>), Abner e seus homens (</w:t>
      </w:r>
      <w:hyperlink r:id="rId2322">
        <w:r>
          <w:rPr>
            <w:color w:val="0000EE"/>
            <w:u w:val="single"/>
          </w:rPr>
          <w:t>2.29</w:t>
        </w:r>
      </w:hyperlink>
      <w:r>
        <w:t>). Josué conduziu seus seguidores através do Jordão em terra seca durante uma enchente, verdadeiramente um milagre dado por Deus (</w:t>
      </w:r>
      <w:hyperlink r:id="rId20459">
        <w:r>
          <w:rPr>
            <w:color w:val="0000EE"/>
            <w:u w:val="single"/>
          </w:rPr>
          <w:t>Js 3.15–16</w:t>
        </w:r>
      </w:hyperlink>
      <w:r>
        <w:t>). Jesus cruzou o Jordão em várias ocasiões em suas viagens entre a Galileia e Jerusalém.</w:t>
      </w:r>
    </w:p>
    <w:p>
      <w:r/>
      <w:r>
        <w:t>Os dois principais vaus do Jordão ficavam em Jericó (</w:t>
      </w:r>
      <w:hyperlink r:id="rId20460">
        <w:r>
          <w:rPr>
            <w:color w:val="0000EE"/>
            <w:u w:val="single"/>
          </w:rPr>
          <w:t>Js 2.7</w:t>
        </w:r>
      </w:hyperlink>
      <w:r>
        <w:t xml:space="preserve">; </w:t>
      </w:r>
      <w:hyperlink r:id="rId20461">
        <w:r>
          <w:rPr>
            <w:color w:val="0000EE"/>
            <w:u w:val="single"/>
          </w:rPr>
          <w:t>Jz 3.28</w:t>
        </w:r>
      </w:hyperlink>
      <w:r>
        <w:t xml:space="preserve">; </w:t>
      </w:r>
      <w:hyperlink r:id="rId9985">
        <w:r>
          <w:rPr>
            <w:color w:val="0000EE"/>
            <w:u w:val="single"/>
          </w:rPr>
          <w:t>2Sm 19.15</w:t>
        </w:r>
      </w:hyperlink>
      <w:r>
        <w:t>) e em Betânia, onde João batizou (</w:t>
      </w:r>
      <w:hyperlink r:id="rId11906">
        <w:r>
          <w:rPr>
            <w:color w:val="0000EE"/>
            <w:u w:val="single"/>
          </w:rPr>
          <w:t>Jo 1.28</w:t>
        </w:r>
      </w:hyperlink>
      <w:r>
        <w:t>, NTLH). Em certos lugares e épocas, o Jordão não era atravessável: após o derretimento das neves nas Montanhas do Líbano, e perto do Mar Morto, onde o Jordão tem cerca de 30,5 metros de largura e de 1,5 a 3 metros de profundidade (</w:t>
      </w:r>
      <w:hyperlink r:id="rId20462">
        <w:r>
          <w:rPr>
            <w:color w:val="0000EE"/>
            <w:u w:val="single"/>
          </w:rPr>
          <w:t>Js 3.15</w:t>
        </w:r>
      </w:hyperlink>
      <w:r>
        <w:t>).</w:t>
      </w:r>
    </w:p>
    <w:p>
      <w:r/>
      <w:r>
        <w:rPr>
          <w:i/>
        </w:rPr>
        <w:t>Veja também</w:t>
      </w:r>
      <w:r>
        <w:t xml:space="preserve"> </w:t>
      </w:r>
      <w:r>
        <w:t>Rio Jordão</w:t>
      </w:r>
      <w:r>
        <w:t>.</w:t>
      </w:r>
      <w:r/>
      <w:r/>
    </w:p>
    <w:p>
      <w:r/>
    </w:p>
    <w:p>
      <w:pPr>
        <w:pStyle w:val="Heading2"/>
      </w:pPr>
      <w:r>
        <w:t>Vazar os olhos</w:t>
      </w:r>
      <w:r/>
    </w:p>
    <w:p>
      <w:r/>
      <w:r>
        <w:t>Vazar os olhos ou furar os olhos, era a prática dolorosa de remover à força os olhos de uma pessoa. Isso era comumente feito pelos filisteus, amorreus, babilônios e outras nações que cercavam Israel (</w:t>
      </w:r>
      <w:hyperlink r:id="rId4634">
        <w:r>
          <w:rPr>
            <w:color w:val="0000EE"/>
            <w:u w:val="single"/>
          </w:rPr>
          <w:t>Jz 16.21</w:t>
        </w:r>
      </w:hyperlink>
      <w:r>
        <w:t xml:space="preserve">; </w:t>
      </w:r>
      <w:hyperlink r:id="rId7251">
        <w:r>
          <w:rPr>
            <w:color w:val="0000EE"/>
            <w:u w:val="single"/>
          </w:rPr>
          <w:t>2Rs 25.7</w:t>
        </w:r>
      </w:hyperlink>
      <w:r>
        <w:t>). As pessoas arrancavam os olhos não apenas para incapacitar seus inimigos ou prisioneiros, mas também para trazer extrema vergonha e desonra sobre eles (</w:t>
      </w:r>
      <w:hyperlink r:id="rId20463">
        <w:r>
          <w:rPr>
            <w:color w:val="0000EE"/>
            <w:u w:val="single"/>
          </w:rPr>
          <w:t>1Sm 11.2</w:t>
        </w:r>
      </w:hyperlink>
      <w:r>
        <w:t>).</w:t>
      </w:r>
    </w:p>
    <w:p>
      <w:r/>
      <w:r>
        <w:t>Os israelitas parecem ter conhecido a prática de vazar os olhos desde o tempo no Egito (</w:t>
      </w:r>
      <w:hyperlink r:id="rId20464">
        <w:r>
          <w:rPr>
            <w:color w:val="0000EE"/>
            <w:u w:val="single"/>
          </w:rPr>
          <w:t>Nm 16.14</w:t>
        </w:r>
      </w:hyperlink>
      <w:r>
        <w:t>). No entanto, não há evidências de que fosse uma prática comum em Israel.</w:t>
      </w:r>
    </w:p>
    <w:p>
      <w:r/>
      <w:r>
        <w:rPr>
          <w:i/>
        </w:rPr>
        <w:t>Veja também</w:t>
      </w:r>
      <w:r>
        <w:t xml:space="preserve"> </w:t>
      </w:r>
      <w:r>
        <w:t>Direito penal e punição</w:t>
      </w:r>
      <w:r>
        <w:t>.</w:t>
      </w:r>
      <w:r/>
      <w:r/>
    </w:p>
    <w:p>
      <w:r/>
    </w:p>
    <w:p>
      <w:pPr>
        <w:pStyle w:val="Heading2"/>
      </w:pPr>
      <w:r>
        <w:t>Vento leste</w:t>
      </w:r>
      <w:r/>
    </w:p>
    <w:p>
      <w:r/>
      <w:r>
        <w:t>Um vento leste é um vento forte e quente que sopra do leste, geralmente durante maio, setembro e outubro. As pessoas nos tempos bíblicos também chamavam esse vento de siroco. Este vento quente podia causar grandes danos às plantas e fontes de água. Destruía plantas (</w:t>
      </w:r>
      <w:hyperlink r:id="rId20465">
        <w:r>
          <w:rPr>
            <w:color w:val="0000EE"/>
            <w:u w:val="single"/>
          </w:rPr>
          <w:t>Gn 41.6</w:t>
        </w:r>
      </w:hyperlink>
      <w:r>
        <w:t xml:space="preserve">; </w:t>
      </w:r>
      <w:hyperlink r:id="rId20466">
        <w:r>
          <w:rPr>
            <w:color w:val="0000EE"/>
            <w:u w:val="single"/>
          </w:rPr>
          <w:t>Ez 17.10</w:t>
        </w:r>
      </w:hyperlink>
      <w:r>
        <w:t xml:space="preserve">; </w:t>
      </w:r>
      <w:hyperlink r:id="rId13229">
        <w:r>
          <w:rPr>
            <w:color w:val="0000EE"/>
            <w:u w:val="single"/>
          </w:rPr>
          <w:t>Jn 4.8</w:t>
        </w:r>
      </w:hyperlink>
      <w:r>
        <w:t>). Fazia as flores secarem e morrerem (</w:t>
      </w:r>
      <w:hyperlink r:id="rId20467">
        <w:r>
          <w:rPr>
            <w:color w:val="0000EE"/>
            <w:u w:val="single"/>
          </w:rPr>
          <w:t>Sl 103.15,16</w:t>
        </w:r>
      </w:hyperlink>
      <w:r>
        <w:t>). Secava fontes e nascentes de água (</w:t>
      </w:r>
      <w:hyperlink r:id="rId20468">
        <w:r>
          <w:rPr>
            <w:color w:val="0000EE"/>
            <w:u w:val="single"/>
          </w:rPr>
          <w:t>Os 13.15</w:t>
        </w:r>
      </w:hyperlink>
      <w:r>
        <w:t>).</w:t>
      </w:r>
    </w:p>
    <w:p>
      <w:r/>
      <w:r>
        <w:t>O vento leste teve um papel importante em várias histórias da Bíblia. Deus usou um vento leste para afastar as águas do Mar Vermelho, permitindo que os israelitas atravessassem em terra seca (</w:t>
      </w:r>
      <w:hyperlink r:id="rId8349">
        <w:r>
          <w:rPr>
            <w:color w:val="0000EE"/>
            <w:u w:val="single"/>
          </w:rPr>
          <w:t>Êx 14.21</w:t>
        </w:r>
      </w:hyperlink>
      <w:r>
        <w:t>). Na Bíblia, os escritores às vezes usavam o vento leste para descrever o julgamento de Deus contra pessoas que fizeram o mal (</w:t>
      </w:r>
      <w:hyperlink r:id="rId20469">
        <w:r>
          <w:rPr>
            <w:color w:val="0000EE"/>
            <w:u w:val="single"/>
          </w:rPr>
          <w:t>Is 27.8</w:t>
        </w:r>
      </w:hyperlink>
      <w:r>
        <w:t xml:space="preserve">; </w:t>
      </w:r>
      <w:hyperlink r:id="rId20470">
        <w:r>
          <w:rPr>
            <w:color w:val="0000EE"/>
            <w:u w:val="single"/>
          </w:rPr>
          <w:t>Jr 4.11</w:t>
        </w:r>
      </w:hyperlink>
      <w:r>
        <w:t xml:space="preserve">; </w:t>
      </w:r>
      <w:hyperlink r:id="rId20471">
        <w:r>
          <w:rPr>
            <w:color w:val="0000EE"/>
            <w:u w:val="single"/>
          </w:rPr>
          <w:t>18.17</w:t>
        </w:r>
      </w:hyperlink>
      <w:r>
        <w:t>).</w:t>
      </w:r>
    </w:p>
    <w:p>
      <w:r/>
      <w:r>
        <w:t>No Novo Testamento, um forte vento leste ou nordeste desviou o navio do apóstolo Paulo de sua rota planejada (</w:t>
      </w:r>
      <w:hyperlink r:id="rId8633">
        <w:r>
          <w:rPr>
            <w:color w:val="0000EE"/>
            <w:u w:val="single"/>
          </w:rPr>
          <w:t>At 27.14</w:t>
        </w:r>
      </w:hyperlink>
      <w:r>
        <w:t>, chamado de “Bom Servo” na versão NTLH). Marinheiros que navegam no oeste do Mar Mediterrâneo chamam esse tipo de vento de "levante". Esses ventos ainda causam problemas para navios naquela parte do mar hoje em dia.</w:t>
      </w:r>
      <w:r/>
      <w:r/>
    </w:p>
    <w:p>
      <w:r/>
    </w:p>
    <w:p>
      <w:pPr>
        <w:pStyle w:val="Heading2"/>
      </w:pPr>
      <w:r>
        <w:t>Verdade</w:t>
      </w:r>
      <w:r/>
    </w:p>
    <w:p>
      <w:r/>
      <w:r>
        <w:t>Aquilo que é real e pode ser verificado pela experiência.</w:t>
      </w:r>
    </w:p>
    <w:p>
      <w:r/>
      <w:r>
        <w:t>Nas Escrituras, a verdade é um conceito muito importante porque Deus é o Deus de toda a verdade (</w:t>
      </w:r>
      <w:hyperlink r:id="rId13766">
        <w:r>
          <w:rPr>
            <w:color w:val="0000EE"/>
            <w:u w:val="single"/>
          </w:rPr>
          <w:t>Sl 31.5</w:t>
        </w:r>
      </w:hyperlink>
      <w:r>
        <w:t xml:space="preserve">; </w:t>
      </w:r>
      <w:hyperlink r:id="rId20472">
        <w:r>
          <w:rPr>
            <w:color w:val="0000EE"/>
            <w:u w:val="single"/>
          </w:rPr>
          <w:t>108.4</w:t>
        </w:r>
      </w:hyperlink>
      <w:r>
        <w:t xml:space="preserve">; </w:t>
      </w:r>
      <w:hyperlink r:id="rId15858">
        <w:r>
          <w:rPr>
            <w:color w:val="0000EE"/>
            <w:u w:val="single"/>
          </w:rPr>
          <w:t>146.6</w:t>
        </w:r>
      </w:hyperlink>
      <w:r>
        <w:t>), que fala e julga verdadeiramente (</w:t>
      </w:r>
      <w:hyperlink r:id="rId20473">
        <w:r>
          <w:rPr>
            <w:color w:val="0000EE"/>
            <w:u w:val="single"/>
          </w:rPr>
          <w:t>57.3</w:t>
        </w:r>
      </w:hyperlink>
      <w:r>
        <w:t xml:space="preserve">; </w:t>
      </w:r>
      <w:hyperlink r:id="rId20474">
        <w:r>
          <w:rPr>
            <w:color w:val="0000EE"/>
            <w:u w:val="single"/>
          </w:rPr>
          <w:t>96.13</w:t>
        </w:r>
      </w:hyperlink>
      <w:r>
        <w:t>). Ele é a verdadeira fonte e causa de todo o universo. As Escrituras também se concentram na verdade revelada no evangelho da graça redentora de Deus através de Cristo. Esta é a verdade que Cristo e os apóstolos proclamaram (</w:t>
      </w:r>
      <w:hyperlink r:id="rId20475">
        <w:r>
          <w:rPr>
            <w:color w:val="0000EE"/>
            <w:u w:val="single"/>
          </w:rPr>
          <w:t>Jó 8.44–46</w:t>
        </w:r>
      </w:hyperlink>
      <w:r>
        <w:t xml:space="preserve">; </w:t>
      </w:r>
      <w:hyperlink r:id="rId20476">
        <w:r>
          <w:rPr>
            <w:color w:val="0000EE"/>
            <w:u w:val="single"/>
          </w:rPr>
          <w:t>18.37</w:t>
        </w:r>
      </w:hyperlink>
      <w:r>
        <w:t xml:space="preserve">; </w:t>
      </w:r>
      <w:hyperlink r:id="rId5438">
        <w:r>
          <w:rPr>
            <w:color w:val="0000EE"/>
            <w:u w:val="single"/>
          </w:rPr>
          <w:t>Rm 9.1</w:t>
        </w:r>
      </w:hyperlink>
      <w:r>
        <w:t xml:space="preserve">; </w:t>
      </w:r>
      <w:hyperlink r:id="rId20477">
        <w:r>
          <w:rPr>
            <w:color w:val="0000EE"/>
            <w:u w:val="single"/>
          </w:rPr>
          <w:t>2Co 4.2</w:t>
        </w:r>
      </w:hyperlink>
      <w:r>
        <w:t>), que foi prefigurada no AT (</w:t>
      </w:r>
      <w:hyperlink r:id="rId10128">
        <w:r>
          <w:rPr>
            <w:color w:val="0000EE"/>
            <w:u w:val="single"/>
          </w:rPr>
          <w:t>1Pe 1.10–12</w:t>
        </w:r>
      </w:hyperlink>
      <w:r>
        <w:t>) e testemunhada pelo Espírito Santo (</w:t>
      </w:r>
      <w:hyperlink r:id="rId3768">
        <w:r>
          <w:rPr>
            <w:color w:val="0000EE"/>
            <w:u w:val="single"/>
          </w:rPr>
          <w:t>Jó 16.13</w:t>
        </w:r>
      </w:hyperlink>
      <w:r>
        <w:t>). O ensino do AT nunca foi falso, mas era obscuro e incompleto em comparação com a verdade revelada do NT. Assim, Cristo trouxe a realidade espiritual (</w:t>
      </w:r>
      <w:hyperlink r:id="rId12757">
        <w:r>
          <w:rPr>
            <w:color w:val="0000EE"/>
            <w:u w:val="single"/>
          </w:rPr>
          <w:t>Jó 1.17</w:t>
        </w:r>
      </w:hyperlink>
      <w:r>
        <w:t>), e o Espírito Santo guia os crentes na experiência de tudo o que é real em Cristo (</w:t>
      </w:r>
      <w:hyperlink r:id="rId3768">
        <w:r>
          <w:rPr>
            <w:color w:val="0000EE"/>
            <w:u w:val="single"/>
          </w:rPr>
          <w:t>16.13</w:t>
        </w:r>
      </w:hyperlink>
      <w:r>
        <w:t>).</w:t>
      </w:r>
    </w:p>
    <w:p>
      <w:r/>
      <w:r>
        <w:t>Cristo é a verdade porque, sendo Deus, suas palavras possuem autoridade divina. Elas são verdade e vida (</w:t>
      </w:r>
      <w:hyperlink r:id="rId8425">
        <w:r>
          <w:rPr>
            <w:color w:val="0000EE"/>
            <w:u w:val="single"/>
          </w:rPr>
          <w:t>Jó 6.63</w:t>
        </w:r>
      </w:hyperlink>
      <w:r>
        <w:t>). Além disso, a vida de Cristo exemplificou veracidade e total confiabilidade. Quando as pessoas vivem em obediência à verdade, elas se tornam verdadeiras e confiáveis. As Escrituras chamam as pessoas a “praticar a verdade” (</w:t>
      </w:r>
      <w:hyperlink r:id="rId20478">
        <w:r>
          <w:rPr>
            <w:color w:val="0000EE"/>
            <w:u w:val="single"/>
          </w:rPr>
          <w:t>Jó 3.21</w:t>
        </w:r>
      </w:hyperlink>
      <w:r>
        <w:t>, kjv). Aqueles que experimentaram a realidade de Deus em Cristo sabem, por experiência, que Cristo é o caminho, a verdade e a vida (</w:t>
      </w:r>
      <w:hyperlink r:id="rId408">
        <w:r>
          <w:rPr>
            <w:color w:val="0000EE"/>
            <w:u w:val="single"/>
          </w:rPr>
          <w:t>Jó 14.6</w:t>
        </w:r>
      </w:hyperlink>
      <w:r>
        <w:t>).</w:t>
      </w:r>
      <w:r/>
      <w:r/>
    </w:p>
    <w:p>
      <w:r/>
    </w:p>
    <w:p>
      <w:pPr>
        <w:pStyle w:val="Heading2"/>
      </w:pPr>
      <w:r>
        <w:t>Verga (Parte superior de uma moldura de porta)</w:t>
      </w:r>
      <w:r/>
    </w:p>
    <w:p>
      <w:r/>
      <w:r>
        <w:t>Uma verga é uma viga horizontal colocada acima de uma porta. Ele fica sobre os suportes verticais chamados "umbrais". Algumas traduções da Bíblia usam o termo "verga", enquanto muitas traduções modernas frequentemente usam termos mais familiares como "batentes".</w:t>
      </w:r>
    </w:p>
    <w:p>
      <w:r/>
      <w:r>
        <w:t xml:space="preserve">Em </w:t>
      </w:r>
      <w:hyperlink r:id="rId401">
        <w:r>
          <w:rPr>
            <w:color w:val="0000EE"/>
            <w:u w:val="single"/>
          </w:rPr>
          <w:t>Êxodo 12</w:t>
        </w:r>
      </w:hyperlink>
      <w:r>
        <w:t>, os israelitas devem se preparar para a décima praga, a morte, e para a primeira Páscoa. Após matar um cordeiro, o povo deveria pegar o sangue e passar “nos batentes dos lados e de cima das portas das casas” (</w:t>
      </w:r>
      <w:hyperlink r:id="rId20479">
        <w:r>
          <w:rPr>
            <w:color w:val="0000EE"/>
            <w:u w:val="single"/>
          </w:rPr>
          <w:t>Êx 12.7</w:t>
        </w:r>
      </w:hyperlink>
      <w:r>
        <w:t>).</w:t>
      </w:r>
    </w:p>
    <w:p>
      <w:r/>
      <w:hyperlink r:id="rId20480">
        <w:r>
          <w:rPr>
            <w:color w:val="0000EE"/>
            <w:u w:val="single"/>
          </w:rPr>
          <w:t>1 Reis 6.31</w:t>
        </w:r>
      </w:hyperlink>
      <w:r>
        <w:t xml:space="preserve"> descreve a construção do templo por Salomão. A NTLH diz: “foi colocada uma porta dupla feita de madeira de oliveira; no alto as ombreiras formavam um arco em ponta.” O significado deste versículo no hebraico é um pouco difícil de determinar. A ARA traduz como “a verga com as ombreiras formavam uma porta pentagonal.” A NVI e NVT substituem a palavra “verga” por “batente". É possível que a parte superior da entrada fosse inclinada, formada por vigas inclinadas uma em direção à outra (como um arco) em vez de uma viga horizontal.</w:t>
      </w:r>
    </w:p>
    <w:p>
      <w:r/>
      <w:r>
        <w:t xml:space="preserve">Em </w:t>
      </w:r>
      <w:hyperlink r:id="rId20481">
        <w:r>
          <w:rPr>
            <w:color w:val="0000EE"/>
            <w:u w:val="single"/>
          </w:rPr>
          <w:t>Amós 9.1</w:t>
        </w:r>
      </w:hyperlink>
      <w:r>
        <w:t xml:space="preserve"> a NTLH tem "colunas", enquanto a ARA tem "capitéis". A palavra hebraica aqui parece significar a parte superior de uma coluna. O mesmo acontece em </w:t>
      </w:r>
      <w:hyperlink r:id="rId16315">
        <w:r>
          <w:rPr>
            <w:color w:val="0000EE"/>
            <w:u w:val="single"/>
          </w:rPr>
          <w:t>Sofonias 2.14</w:t>
        </w:r>
      </w:hyperlink>
      <w:r>
        <w:t>, onde a ARC tem "capitéis" e a NTLH "ruínas".</w:t>
      </w:r>
    </w:p>
    <w:p>
      <w:r/>
      <w:r>
        <w:rPr>
          <w:i/>
        </w:rPr>
        <w:t>Veja</w:t>
      </w:r>
      <w:r>
        <w:t xml:space="preserve"> </w:t>
      </w:r>
      <w:r>
        <w:t>Arquitetura</w:t>
      </w:r>
      <w:r>
        <w:t>.</w:t>
      </w:r>
      <w:r/>
      <w:r/>
    </w:p>
    <w:p>
      <w:r/>
    </w:p>
    <w:p>
      <w:pPr>
        <w:pStyle w:val="Heading2"/>
      </w:pPr>
      <w:r>
        <w:t>Véu do templo</w:t>
      </w:r>
      <w:r/>
    </w:p>
    <w:p>
      <w:r/>
      <w:r>
        <w:t>A cortina no santuário separando o Lugar Santo do Lugar Santíssimo (</w:t>
      </w:r>
      <w:hyperlink r:id="rId2442">
        <w:r>
          <w:rPr>
            <w:color w:val="0000EE"/>
            <w:u w:val="single"/>
          </w:rPr>
          <w:t>Êx 26.31–33</w:t>
        </w:r>
      </w:hyperlink>
      <w:r>
        <w:t>).</w:t>
      </w:r>
    </w:p>
    <w:p>
      <w:r/>
      <w:r>
        <w:rPr>
          <w:i/>
        </w:rPr>
        <w:t>Veja</w:t>
      </w:r>
      <w:r>
        <w:t xml:space="preserve"> </w:t>
      </w:r>
      <w:r>
        <w:t>Tabernáculo</w:t>
      </w:r>
      <w:r>
        <w:t>.</w:t>
      </w:r>
      <w:r/>
      <w:r/>
    </w:p>
    <w:p>
      <w:r/>
    </w:p>
    <w:p>
      <w:pPr>
        <w:pStyle w:val="Heading2"/>
      </w:pPr>
      <w:r>
        <w:t>Via Ápia</w:t>
      </w:r>
      <w:r/>
    </w:p>
    <w:p>
      <w:r/>
      <w:r>
        <w:t>A principal estrada de Roma em direção ao sul até o 'calcanhar' da península italiana. Originalmente, a Via Ápia terminava em Cápua. Posteriormente, foi estendida até Brundísio, cerca de 560 quilômetros de Roma. Recebeu seu nome de Ápio Cláudio Cego, o censor romano, que iniciou sua construção em 312 a.C.</w:t>
      </w:r>
    </w:p>
    <w:p>
      <w:r/>
      <w:r>
        <w:t>A Via Ápia é mencionada por antigos escritores como Livio, Estrabão, Horácio e outros em diversos contextos. Porções da estrada ainda existem hoje ao sul de Roma. O pavimento romano original está preservado em muitos lugares. Ruínas de algumas estruturas construídas ao longo da estrada original também podem ser vistas.</w:t>
      </w:r>
    </w:p>
    <w:p>
      <w:r/>
      <w:r>
        <w:t>O apóstolo Paulo viajou pela Via Ápia em sua jornada para Roma após desembarcar de um navio em Putéoli (</w:t>
      </w:r>
      <w:hyperlink r:id="rId20482">
        <w:r>
          <w:rPr>
            <w:color w:val="0000EE"/>
            <w:u w:val="single"/>
          </w:rPr>
          <w:t>At 28.13–15</w:t>
        </w:r>
      </w:hyperlink>
      <w:r>
        <w:t>). Cristãos de Roma saíram para encontrá-lo na área perto das Três Tabernas e da Praça de Ápio (“mercado de Ápio”). Estes eram dois dos oito principais postos conhecidos por existirem ao longo da Via Ápia. A Praça de Ápio estava localizada a 70 quilômetros de Roma, no meio dos Pântanos Pontinos. Horácio, escrevendo entre 65 e 68 a.C., reclamou do barulho e do fedor que assaltavam aqueles que ficavam lá. As Três Tabernas estavam localizadas 16 quilômetros mais perto de Roma.</w:t>
      </w:r>
    </w:p>
    <w:p>
      <w:r/>
      <w:r>
        <w:t>Enquanto Paulo viajava, ele provavelmente passou por Bovilae. Esta era uma vila localizada a cerca de 18 quilômetros de Roma. Esta vila era a terra ancestral e centro de culto da família de César Augusto. Grande parte da Via Ápia, de Bovilae a Roma, era ladeada por túmulos. A lei romana proibia sepultamentos dentro da cidade de Roma. Tornou-se prática comum enterrar os mortos ao lado das principais estradas que levavam à cidade.</w:t>
      </w:r>
      <w:r/>
      <w:r/>
    </w:p>
    <w:p>
      <w:r/>
    </w:p>
    <w:p>
      <w:pPr>
        <w:pStyle w:val="Heading2"/>
      </w:pPr>
      <w:r>
        <w:t>Viagens</w:t>
      </w:r>
      <w:r/>
    </w:p>
    <w:p>
      <w:r/>
      <w:r>
        <w:t>Nos tempos bíblicos, os viajantes encontravam estradas ruins e muitas vezes intransitáveis. As viagens pelo mar eram feitas em navios comparativamente pequenos, geralmente por militares e profissionais comerciais, e quase nunca para um simples tráfego turístico. Com poucas razões para viajar, os cidadãos comuns tendiam a permanecer em áreas bastante limitadas. De tempos em tempos, havia migrações de grupo, e às vezes as pessoas viajavam para festivais religiosos, ou fugiam da guerra, ou da fome.</w:t>
      </w:r>
    </w:p>
    <w:p>
      <w:pPr>
        <w:pStyle w:val="Heading3"/>
      </w:pPr>
      <w:r>
        <w:t>Viagens nos tempos do Antigo Testamento</w:t>
      </w:r>
    </w:p>
    <w:p>
      <w:r/>
      <w:r>
        <w:t>Vários relatos descrevem o povo de Israel se movendo sobre áreas restritas para pastorear seus rebanhos. Os irmãos de José levaram seus rebanhos do sul da terra até Siquém e depois para Dotã (</w:t>
      </w:r>
      <w:hyperlink r:id="rId20483">
        <w:r>
          <w:rPr>
            <w:color w:val="0000EE"/>
            <w:u w:val="single"/>
          </w:rPr>
          <w:t>Gn 37.12–17</w:t>
        </w:r>
      </w:hyperlink>
      <w:r>
        <w:t>), mas isso era apenas 96,5 quilômetros. Davi viajou pela Palestina e foi até Moabe (</w:t>
      </w:r>
      <w:hyperlink r:id="rId14636">
        <w:r>
          <w:rPr>
            <w:color w:val="0000EE"/>
            <w:u w:val="single"/>
          </w:rPr>
          <w:t>1Sm 22.3</w:t>
        </w:r>
      </w:hyperlink>
      <w:r>
        <w:t>). Os danitas se mudaram de sua casa no sudoeste de Jerusalém para o norte, logo ao sul das montanhas do Líbano (</w:t>
      </w:r>
      <w:hyperlink r:id="rId6472">
        <w:r>
          <w:rPr>
            <w:color w:val="0000EE"/>
            <w:u w:val="single"/>
          </w:rPr>
          <w:t>Jz 18</w:t>
        </w:r>
      </w:hyperlink>
      <w:r>
        <w:t>).</w:t>
      </w:r>
    </w:p>
    <w:p>
      <w:r/>
      <w:r>
        <w:t>Poderiam ser multiplicados os exemplos de viagens para pastagem, migração e proteção. Tais viajantes normalmente andavam, embora o jumento fosse usado tanto para montar quanto para carregar cargas. O boi era usado para transportar cargas pesadas e às vezes para as pessoas (</w:t>
      </w:r>
      <w:hyperlink r:id="rId20484">
        <w:r>
          <w:rPr>
            <w:color w:val="0000EE"/>
            <w:u w:val="single"/>
          </w:rPr>
          <w:t>Gn 46.5</w:t>
        </w:r>
      </w:hyperlink>
      <w:r>
        <w:t>). Depois, o camelo tornou-se de uso comum (</w:t>
      </w:r>
      <w:hyperlink r:id="rId4255">
        <w:r>
          <w:rPr>
            <w:color w:val="0000EE"/>
            <w:u w:val="single"/>
          </w:rPr>
          <w:t>1Rs 10.2</w:t>
        </w:r>
      </w:hyperlink>
      <w:r>
        <w:t xml:space="preserve">; </w:t>
      </w:r>
      <w:hyperlink r:id="rId20485">
        <w:r>
          <w:rPr>
            <w:color w:val="0000EE"/>
            <w:u w:val="single"/>
          </w:rPr>
          <w:t>2Rs 8.9</w:t>
        </w:r>
      </w:hyperlink>
      <w:r>
        <w:t>). Pouco se sabe de lugares de descanso para viajantes nos tempos do AT. Há apenas algumas referências a um “lugar de hospedagem” (malon) nas narrativas do AT (</w:t>
      </w:r>
      <w:hyperlink r:id="rId8500">
        <w:r>
          <w:rPr>
            <w:color w:val="0000EE"/>
            <w:u w:val="single"/>
          </w:rPr>
          <w:t>Gn 42.27</w:t>
        </w:r>
      </w:hyperlink>
      <w:r>
        <w:t xml:space="preserve">; </w:t>
      </w:r>
      <w:hyperlink r:id="rId8501">
        <w:r>
          <w:rPr>
            <w:color w:val="0000EE"/>
            <w:u w:val="single"/>
          </w:rPr>
          <w:t>43.21</w:t>
        </w:r>
      </w:hyperlink>
      <w:r>
        <w:t xml:space="preserve">; </w:t>
      </w:r>
      <w:hyperlink r:id="rId8502">
        <w:r>
          <w:rPr>
            <w:color w:val="0000EE"/>
            <w:u w:val="single"/>
          </w:rPr>
          <w:t>Êx 4.24</w:t>
        </w:r>
      </w:hyperlink>
      <w:r>
        <w:t>).</w:t>
      </w:r>
    </w:p>
    <w:p>
      <w:pPr>
        <w:pStyle w:val="Heading3"/>
      </w:pPr>
      <w:r>
        <w:t>Viagens nos tempos do Novo Testamento</w:t>
      </w:r>
    </w:p>
    <w:p>
      <w:r/>
      <w:r>
        <w:t>O mundo romano compreendia uma grande quantidade de viagens para realizar obrigações religiosas nos períodos festivos, para o comércio, a administração do governo e para propósitos militares. Não menos importante entre os viajantes do primeiro século eram os primeiros missionários cristãos.</w:t>
      </w:r>
    </w:p>
    <w:p>
      <w:r/>
      <w:r>
        <w:t>O advento da paz e autoridade romanas e a construção de estradas de pedra bem feitas tornaram as viagens relativamente seguras e rápidas. Os modos de viagem melhoraram em relação à aqueles usados nos tempos do AT. Longas distâncias foram percorridas dentro do Império Romano sobre boas estradas e em segurança comparativa. No entanto, havia notoriamente alguns perigos nas viagens pelo mar, por ventos, tempestades e piratas (</w:t>
      </w:r>
      <w:hyperlink r:id="rId4835">
        <w:r>
          <w:rPr>
            <w:color w:val="0000EE"/>
            <w:u w:val="single"/>
          </w:rPr>
          <w:t>Atos 15.39</w:t>
        </w:r>
      </w:hyperlink>
      <w:r>
        <w:t xml:space="preserve">; </w:t>
      </w:r>
      <w:hyperlink r:id="rId16490">
        <w:r>
          <w:rPr>
            <w:color w:val="0000EE"/>
            <w:u w:val="single"/>
          </w:rPr>
          <w:t>18.18–22</w:t>
        </w:r>
      </w:hyperlink>
      <w:r>
        <w:t xml:space="preserve">; </w:t>
      </w:r>
      <w:hyperlink r:id="rId20486">
        <w:r>
          <w:rPr>
            <w:color w:val="0000EE"/>
            <w:u w:val="single"/>
          </w:rPr>
          <w:t>Rm 15.24–25</w:t>
        </w:r>
      </w:hyperlink>
      <w:r>
        <w:t xml:space="preserve">; </w:t>
      </w:r>
      <w:hyperlink r:id="rId20487">
        <w:r>
          <w:rPr>
            <w:color w:val="0000EE"/>
            <w:u w:val="single"/>
          </w:rPr>
          <w:t>2Co 11.25–26</w:t>
        </w:r>
      </w:hyperlink>
      <w:r>
        <w:t>). A jornada de Paulo para Roma, por exemplo, era perigosa (</w:t>
      </w:r>
      <w:hyperlink r:id="rId20488">
        <w:r>
          <w:rPr>
            <w:color w:val="0000EE"/>
            <w:u w:val="single"/>
          </w:rPr>
          <w:t>Atos 27.1–28.14</w:t>
        </w:r>
      </w:hyperlink>
      <w:r>
        <w:t>).</w:t>
      </w:r>
    </w:p>
    <w:p>
      <w:r/>
      <w:r>
        <w:t>O NT menciona uma série de viagens a pé. Maria viajou da Galileia para a Judeia para visitar Isabel (</w:t>
      </w:r>
      <w:hyperlink r:id="rId20489">
        <w:r>
          <w:rPr>
            <w:color w:val="0000EE"/>
            <w:u w:val="single"/>
          </w:rPr>
          <w:t>Lc 1.39–40,56</w:t>
        </w:r>
      </w:hyperlink>
      <w:r>
        <w:t>). O bebê Jesus nasceu em Belém durante o censo (</w:t>
      </w:r>
      <w:hyperlink r:id="rId20490">
        <w:r>
          <w:rPr>
            <w:color w:val="0000EE"/>
            <w:u w:val="single"/>
          </w:rPr>
          <w:t>2.1–7</w:t>
        </w:r>
      </w:hyperlink>
      <w:r>
        <w:t xml:space="preserve">); Jesus foi levado à Jerusalém para cumprir com a lei de purificação judaica (v. </w:t>
      </w:r>
      <w:hyperlink r:id="rId12056">
        <w:r>
          <w:rPr>
            <w:color w:val="0000EE"/>
            <w:u w:val="single"/>
          </w:rPr>
          <w:t>22</w:t>
        </w:r>
      </w:hyperlink>
      <w:r>
        <w:t xml:space="preserve">). Assim, três viagens foram feitas de Nazaré a Jerusalém, a uma distância de cerca de 112,6 quilômetros, do tempo da concepção de Jesus até a purificação de Maria. A visita anual de Páscoa foi realizada por José e Maria (vv. </w:t>
      </w:r>
      <w:hyperlink r:id="rId12057">
        <w:r>
          <w:rPr>
            <w:color w:val="0000EE"/>
            <w:u w:val="single"/>
          </w:rPr>
          <w:t>41–51</w:t>
        </w:r>
      </w:hyperlink>
      <w:r>
        <w:t>). Outras jornadas são mencionadas (</w:t>
      </w:r>
      <w:hyperlink r:id="rId6256">
        <w:r>
          <w:rPr>
            <w:color w:val="0000EE"/>
            <w:u w:val="single"/>
          </w:rPr>
          <w:t>Jo 2.13</w:t>
        </w:r>
      </w:hyperlink>
      <w:r>
        <w:t xml:space="preserve">; </w:t>
      </w:r>
      <w:hyperlink r:id="rId6258">
        <w:r>
          <w:rPr>
            <w:color w:val="0000EE"/>
            <w:u w:val="single"/>
          </w:rPr>
          <w:t>5.1</w:t>
        </w:r>
      </w:hyperlink>
      <w:r>
        <w:t xml:space="preserve">; </w:t>
      </w:r>
      <w:hyperlink r:id="rId20491">
        <w:r>
          <w:rPr>
            <w:color w:val="0000EE"/>
            <w:u w:val="single"/>
          </w:rPr>
          <w:t>7.1–10</w:t>
        </w:r>
      </w:hyperlink>
      <w:r>
        <w:t xml:space="preserve">; </w:t>
      </w:r>
      <w:hyperlink r:id="rId4070">
        <w:r>
          <w:rPr>
            <w:color w:val="0000EE"/>
            <w:u w:val="single"/>
          </w:rPr>
          <w:t>12.1</w:t>
        </w:r>
      </w:hyperlink>
      <w:r>
        <w:t>). O próprio Jesus caminhou da Galileia para Jericó (</w:t>
      </w:r>
      <w:hyperlink r:id="rId20492">
        <w:r>
          <w:rPr>
            <w:color w:val="0000EE"/>
            <w:u w:val="single"/>
          </w:rPr>
          <w:t>Mc 1.1–11</w:t>
        </w:r>
      </w:hyperlink>
      <w:r>
        <w:t>) e também para a região de Tiro e Sidom (</w:t>
      </w:r>
      <w:hyperlink r:id="rId12968">
        <w:r>
          <w:rPr>
            <w:color w:val="0000EE"/>
            <w:u w:val="single"/>
          </w:rPr>
          <w:t>7.24</w:t>
        </w:r>
      </w:hyperlink>
      <w:r>
        <w:t>). Ele esteve em Samaria mais de uma vez (</w:t>
      </w:r>
      <w:hyperlink r:id="rId20493">
        <w:r>
          <w:rPr>
            <w:color w:val="0000EE"/>
            <w:u w:val="single"/>
          </w:rPr>
          <w:t>Lc 17.11</w:t>
        </w:r>
      </w:hyperlink>
      <w:r>
        <w:t xml:space="preserve">; </w:t>
      </w:r>
      <w:hyperlink r:id="rId19558">
        <w:r>
          <w:rPr>
            <w:color w:val="0000EE"/>
            <w:u w:val="single"/>
          </w:rPr>
          <w:t>Jo 4.4</w:t>
        </w:r>
      </w:hyperlink>
      <w:r>
        <w:t>). Sua última viagem para Jerusalém foi por Jericó e pelas colinas até Jerusalém (</w:t>
      </w:r>
      <w:hyperlink r:id="rId16877">
        <w:r>
          <w:rPr>
            <w:color w:val="0000EE"/>
            <w:u w:val="single"/>
          </w:rPr>
          <w:t>Mc 10.1,46</w:t>
        </w:r>
      </w:hyperlink>
      <w:r>
        <w:t xml:space="preserve">; </w:t>
      </w:r>
      <w:hyperlink r:id="rId15817">
        <w:r>
          <w:rPr>
            <w:color w:val="0000EE"/>
            <w:u w:val="single"/>
          </w:rPr>
          <w:t>11.1</w:t>
        </w:r>
      </w:hyperlink>
      <w:r>
        <w:t>). Sua última jornada após a ressurreição foi até Emaús (</w:t>
      </w:r>
      <w:hyperlink r:id="rId18514">
        <w:r>
          <w:rPr>
            <w:color w:val="0000EE"/>
            <w:u w:val="single"/>
          </w:rPr>
          <w:t>Lc 24.13–35</w:t>
        </w:r>
      </w:hyperlink>
      <w:r>
        <w:t>).</w:t>
      </w:r>
    </w:p>
    <w:p>
      <w:r/>
      <w:r>
        <w:t>Paulo viajou pelo mar em cada uma de suas viagens missionárias (</w:t>
      </w:r>
      <w:hyperlink r:id="rId20494">
        <w:r>
          <w:rPr>
            <w:color w:val="0000EE"/>
            <w:u w:val="single"/>
          </w:rPr>
          <w:t>Atos 13.1–14</w:t>
        </w:r>
      </w:hyperlink>
      <w:r>
        <w:t xml:space="preserve">; </w:t>
      </w:r>
      <w:hyperlink r:id="rId20495">
        <w:r>
          <w:rPr>
            <w:color w:val="0000EE"/>
            <w:u w:val="single"/>
          </w:rPr>
          <w:t>15.41–18.22</w:t>
        </w:r>
      </w:hyperlink>
      <w:r>
        <w:t xml:space="preserve">; </w:t>
      </w:r>
      <w:hyperlink r:id="rId20496">
        <w:r>
          <w:rPr>
            <w:color w:val="0000EE"/>
            <w:u w:val="single"/>
          </w:rPr>
          <w:t>18.23–21.17</w:t>
        </w:r>
      </w:hyperlink>
      <w:r>
        <w:t>), geralmente acompanhado de amigos. Ele também fez muitas viagens a pé na Palestina, Ásia Menor e a península grega. Mas nem todas as viagens eram a pé nos tempos do NT. O jumento, usado para transportar cargas, muitas vezes carregava pessoas. Jesus certa vez viajou de Betfagé para Jerusalém, uma pequena jornada, mas altamente emblemática (</w:t>
      </w:r>
      <w:hyperlink r:id="rId20497">
        <w:r>
          <w:rPr>
            <w:color w:val="0000EE"/>
            <w:u w:val="single"/>
          </w:rPr>
          <w:t>Mt 21.2–7</w:t>
        </w:r>
      </w:hyperlink>
      <w:r>
        <w:t xml:space="preserve">; </w:t>
      </w:r>
      <w:hyperlink r:id="rId20498">
        <w:r>
          <w:rPr>
            <w:color w:val="0000EE"/>
            <w:u w:val="single"/>
          </w:rPr>
          <w:t>Mc 11.1–11</w:t>
        </w:r>
      </w:hyperlink>
      <w:r>
        <w:t xml:space="preserve">; </w:t>
      </w:r>
      <w:hyperlink r:id="rId11774">
        <w:r>
          <w:rPr>
            <w:color w:val="0000EE"/>
            <w:u w:val="single"/>
          </w:rPr>
          <w:t>Jo 12.12–15</w:t>
        </w:r>
      </w:hyperlink>
      <w:r>
        <w:t>). Quando José viajou com sua esposa grávida, Maria, até Belém para o censo na época do nascimento de Jesus, Maria provavelmente montou em um jumento. O etíope eunuco estava andando em uma carruagem após adorar em Jerusalém e foi acompanhado por Filipe que viajava a pé (</w:t>
      </w:r>
      <w:hyperlink r:id="rId20499">
        <w:r>
          <w:rPr>
            <w:color w:val="0000EE"/>
            <w:u w:val="single"/>
          </w:rPr>
          <w:t>Atos 8.26–38</w:t>
        </w:r>
      </w:hyperlink>
      <w:r>
        <w:t>). Os soldados romanos marcharam e fizeram amplo uso de cavalos. Quando Paulo foi levado de Jerusalém para Cesareia, animais de montaria foram preparados para ele (</w:t>
      </w:r>
      <w:hyperlink r:id="rId20500">
        <w:r>
          <w:rPr>
            <w:color w:val="0000EE"/>
            <w:u w:val="single"/>
          </w:rPr>
          <w:t>23.23–24</w:t>
        </w:r>
      </w:hyperlink>
      <w:r>
        <w:t>).</w:t>
      </w:r>
    </w:p>
    <w:p>
      <w:pPr>
        <w:pStyle w:val="Heading3"/>
      </w:pPr>
      <w:r>
        <w:t>Estradas e vias marítimas</w:t>
      </w:r>
    </w:p>
    <w:p>
      <w:r/>
      <w:r>
        <w:t>As estradas dos tempos bíblicos figuravam de forma proeminente na geografia, topografia e história da Palestina — uma terra que serviu como uma ponte entre o Egito e os centros de civilização e comércio no Oriente Médio. Muitas das estradas eram estrategicamente importantes, tanto no comércio quanto militarmente. Algumas estradas ganharam significado como rotas de peregrinação para facilitar as viagens para centros religiosos como Jerusalém. As estradas nos tempos bíblicos eram de três tipos principais: estradas internacionais de longa distância, estradas intrarregionais de média distância e uma variedade de estradas dentro de cada região ou estado.</w:t>
      </w:r>
    </w:p>
    <w:p>
      <w:pPr>
        <w:pStyle w:val="Heading4"/>
      </w:pPr>
      <w:r>
        <w:t>Grandes estradas internacionais</w:t>
      </w:r>
    </w:p>
    <w:p>
      <w:r/>
      <w:r>
        <w:t xml:space="preserve">Essas ligavam a costa mediterrânea ao norte do Vale do Tigre e ao sul da Mesopotâmia. Algumas ligavam a Mesopotâmia à Ásia Menor, enquanto outras levavam ao sul, para o Egito, ao longo da costa ou a leste do rio Jordão e do Mar Morto e através da Península do Sinai. Havia rotas de comércio entre Anatólia e Assíria no início do segundo milênio a.C. Aparentemente, a campanha militar referida em </w:t>
      </w:r>
      <w:hyperlink r:id="rId1116">
        <w:r>
          <w:rPr>
            <w:color w:val="0000EE"/>
            <w:u w:val="single"/>
          </w:rPr>
          <w:t>Gênesis 14</w:t>
        </w:r>
      </w:hyperlink>
      <w:r>
        <w:t xml:space="preserve"> visava proteger a grande rota de comércio, a estrada do rei, do norte da Mesopotâmia ao Egito. Invasores militares e viajantes da Babilônia, Assíria e Pérsia atravessariam os territórios do interior da Síria em direção à costa antes de retornarem para o sul em direção à Palestina e Egito. O advento das potências europeias, Grécia e Roma, no Oriente Médio, abriu outra vasta rede de estradas internacionais para os povos do Oriente. Até os tempos romanos, essas estradas não eram revestidas de pedra, mas eram caminhos desobstruídos. Eles eram muito irregulares, sem pavimentação e, em tempo chuvoso, intransitáveis em muitos lugares. Mas eles eram evidentemente bem definidos por “marcos” e “guias” (</w:t>
      </w:r>
      <w:hyperlink r:id="rId8005">
        <w:r>
          <w:rPr>
            <w:color w:val="0000EE"/>
            <w:u w:val="single"/>
          </w:rPr>
          <w:t>Jr 31.21</w:t>
        </w:r>
      </w:hyperlink>
      <w:r>
        <w:t>). Com a vinda dos romanos, estradas importantes foram construídas com fundações profundas e com grandes blocos de pedra plana na superfície. Os restos dessas estradas ainda são vistos em muitos lugares no Oriente Médio e na Europa. Marcadores de distância ou marcos eram regularmente colocados ao longo das estradas.</w:t>
      </w:r>
    </w:p>
    <w:p>
      <w:pPr>
        <w:pStyle w:val="Heading4"/>
      </w:pPr>
      <w:r>
        <w:t>Estradas internacionais norte-sul na Palestina</w:t>
      </w:r>
    </w:p>
    <w:p>
      <w:r/>
      <w:r>
        <w:t>As estradas que ligavam países ao norte com o Egito atravessavam a Palestina, um elo de terra natural. Havia três estradas principais. A estrada costeira começava em Damasco e atravessava a planície de Esdraelon, através do desfiladeiro do Meguido, pela costa de Gaza e até o Egito. Esta era provavelmente “o caminho do mar” (</w:t>
      </w:r>
      <w:hyperlink r:id="rId9719">
        <w:r>
          <w:rPr>
            <w:color w:val="0000EE"/>
            <w:u w:val="single"/>
          </w:rPr>
          <w:t>Is 9.1</w:t>
        </w:r>
      </w:hyperlink>
      <w:r>
        <w:t>). A estrada do Sinai levava do Egito para o sul do Neguebe e depois para Cades Barneia, Berseba, Hebrom, Jerusalém, Siquém, Acco, Tiro e Sidom. A estrada do Mar Vermelho entrava na área da Palestina a partir do Golfo de Áqaba, onde estavam o antigo porto de Elate e o porto de Salomão de Eziom-Geber (</w:t>
      </w:r>
      <w:hyperlink r:id="rId13857">
        <w:r>
          <w:rPr>
            <w:color w:val="0000EE"/>
            <w:u w:val="single"/>
          </w:rPr>
          <w:t>Nm 33.35</w:t>
        </w:r>
      </w:hyperlink>
      <w:r>
        <w:t xml:space="preserve">; </w:t>
      </w:r>
      <w:hyperlink r:id="rId20501">
        <w:r>
          <w:rPr>
            <w:color w:val="0000EE"/>
            <w:u w:val="single"/>
          </w:rPr>
          <w:t>2Cr 8.17</w:t>
        </w:r>
      </w:hyperlink>
      <w:r>
        <w:t>). De lá, seguia através das áreas montanhosas da Transjordânia, cruzando os vales profundos e depois para o norte através da região de Hauran até Damasco. Esta era a estrada tomada pelas caravanas do sul da Arábia para Damasco, a antiga Estrada do Rei (</w:t>
      </w:r>
      <w:hyperlink r:id="rId8531">
        <w:r>
          <w:rPr>
            <w:color w:val="0000EE"/>
            <w:u w:val="single"/>
          </w:rPr>
          <w:t>Nm 20.17</w:t>
        </w:r>
      </w:hyperlink>
      <w:r>
        <w:t xml:space="preserve">; </w:t>
      </w:r>
      <w:hyperlink r:id="rId7546">
        <w:r>
          <w:rPr>
            <w:color w:val="0000EE"/>
            <w:u w:val="single"/>
          </w:rPr>
          <w:t>21.22</w:t>
        </w:r>
      </w:hyperlink>
      <w:r>
        <w:t>).</w:t>
      </w:r>
    </w:p>
    <w:p>
      <w:r/>
      <w:r>
        <w:t>Havia outras estradas norte-sul de menor importância. Uma estrada costeira levava de Jope via Cesareia e Dor até Acco, onde se conectava com a estrada do Sinai. Evidentemente, não era muito significativo até os tempos romanos, quando o porto de Cesareia foi construído. Os pântanos na planície de Saron impunham muitos problemas. A planície de Esdraelon também era pantanosa e interrompia as estradas em direção ao norte em estações ruins. Uma estrada elevada através das seções pantanosas foi eventualmente construída. Outra estrada conduzia para o norte a partir de Hazor, ramificando-se da estrada principal para Damasco. A estrada do Vale do Jordão contornava a parte sudoeste da Galileia e conduzia o Vale do Jordão até Jericó.</w:t>
      </w:r>
    </w:p>
    <w:p>
      <w:pPr>
        <w:pStyle w:val="Heading4"/>
      </w:pPr>
      <w:r>
        <w:t>Estradas leste-oeste</w:t>
      </w:r>
    </w:p>
    <w:p>
      <w:r/>
      <w:r>
        <w:t>Várias estradas importantes corriam de leste-oeste, cruzando as estradas maiores que levavam ao norte. Uma dessas estradas levava de Gaza para Berseba e depois descia o Arabá, com um desdobramento para Petra. Outra levava de Ascalom, via Gate, para Hebrom e para En-Gedi, no Mar Morto. Outra estrada levava de Jope para o leste, subindo o vale de Aijalom (</w:t>
      </w:r>
      <w:hyperlink r:id="rId1235">
        <w:r>
          <w:rPr>
            <w:color w:val="0000EE"/>
            <w:u w:val="single"/>
          </w:rPr>
          <w:t>Js 10.6–14</w:t>
        </w:r>
      </w:hyperlink>
      <w:r>
        <w:t>) até Betel e depois para Jericó. Uma estrada bem utilizada levava de Jope para Siquém, atravessando o Jordão em Adã (</w:t>
      </w:r>
      <w:hyperlink r:id="rId13841">
        <w:r>
          <w:rPr>
            <w:color w:val="0000EE"/>
            <w:u w:val="single"/>
          </w:rPr>
          <w:t>3.16</w:t>
        </w:r>
      </w:hyperlink>
      <w:r>
        <w:t>) e até Gileade na Transjordânia. Outras estradas levavam de Acco para o leste em direção à Galileia e também ao longo da costa até Tiro e Sidom. Havia, de fato, numerosas estradas leste-oeste que forneciam contato entre várias partes da Palestina. Nos tempos romanos, quando o deslocamento rápido dos exércitos era essencial, algumas das estradas antigas foram grandemente melhoradas e novas foram construídas.</w:t>
      </w:r>
    </w:p>
    <w:p>
      <w:pPr>
        <w:pStyle w:val="Heading4"/>
      </w:pPr>
      <w:r>
        <w:t>Rotas marítimas</w:t>
      </w:r>
    </w:p>
    <w:p>
      <w:r/>
      <w:r>
        <w:t>O povo de Israel, ao contrário dos fenícios, raramente usava as rotas marítimas. Quando Salomão planejou enviar navios pelo Mar Vermelho para Ofir(</w:t>
      </w:r>
      <w:hyperlink r:id="rId765">
        <w:r>
          <w:rPr>
            <w:color w:val="0000EE"/>
            <w:u w:val="single"/>
          </w:rPr>
          <w:t>1Rs 9.26–28</w:t>
        </w:r>
      </w:hyperlink>
      <w:r>
        <w:t>), ele usou marinheiros fenícios. Josafá planejou uma expedição semelhante, mas seus navios foram destruídos (</w:t>
      </w:r>
      <w:hyperlink r:id="rId15794">
        <w:r>
          <w:rPr>
            <w:color w:val="0000EE"/>
            <w:u w:val="single"/>
          </w:rPr>
          <w:t>22.48–49</w:t>
        </w:r>
      </w:hyperlink>
      <w:r>
        <w:t>). O tráfego costeiro nos tempos do AT estava nas mãos dos filisteus e fenícios. Havia vários portos ao longo da costa do Mar Mediterrâneo, como Gaza, Jope, Dor e Acco, mas nenhum era muito bom. Havia também rotas marítimas que ligavam a costa do Mediterrâneo com o Egito e a distante Társis (provavelmente Espanha). A outra água costeira era o Golfo de Áqaba com seus dois portos — Eziom-Geber para a Transjordânia e Elate para a oeste do Jordão. A frota de Salomão usou Eziom-Geber como seu porto de origem.</w:t>
      </w:r>
    </w:p>
    <w:p>
      <w:r/>
      <w:r>
        <w:t>Nos tempos do NT, as coisas mudaram consideravelmente. O Oriente Médio produzia mercadorias usadas pelos povos do oeste mais distante, especialmente os romanos. Alexandria no Egito e Antioquia na Síria lidavam com carga e viajantes. Portos menores como os da Palestina e muitos outros ao redor da costa da Ásia Menor forneciam um porto para navios. Um esquema engenhoso para evitar uma viagem de 321,8 quilômetros ao redor da península grega era arrastar pequenos barcos por 8 quilômetros de largura pelo istmo de Corinto. Até o maior navio nos tempos do NT estava em perigo de vento e tempestade no mar (</w:t>
      </w:r>
      <w:hyperlink r:id="rId4729">
        <w:r>
          <w:rPr>
            <w:color w:val="0000EE"/>
            <w:u w:val="single"/>
          </w:rPr>
          <w:t>Atos 27</w:t>
        </w:r>
      </w:hyperlink>
      <w:r>
        <w:t>), por isso as viagens pelo mar eram realizadas de preferência quando o risco de tempestades era mínimo, aproximadamente de novembro a março. Havia muito tráfego marítimo no Mar Mediterrâneo nas estações apropriadas, em grande parte para o comércio. Navios de grãos atravessavam regularmente de Roma ao Egito e para o leste.</w:t>
      </w:r>
    </w:p>
    <w:p>
      <w:r/>
      <w:r>
        <w:t>Os navios eram impulsionados pelo poder do vento, complementados conforme necessário por remos operados por escravos. Alguma indicação do tamanho dos navios vem da descoberta de naufrágios antigos e da literatura latina e grega. Uma antiga doca seca de 39,6 metros de comprimento encontrada perto de Atenas foi usada para navios de guerra gregos, que eram menores do que os navios de carga. O escritor romano Luciano faz referência a um navio de grãos alexandrino de 54,9 metros de comprimento, sugerindo uma capacidade de cerca de 1.200 toneladas (1.088,6 toneladas métricas). O navio de Paulo carregava 276 pessoas (</w:t>
      </w:r>
      <w:hyperlink r:id="rId16529">
        <w:r>
          <w:rPr>
            <w:color w:val="0000EE"/>
            <w:u w:val="single"/>
          </w:rPr>
          <w:t>Atos 27.37</w:t>
        </w:r>
      </w:hyperlink>
      <w:r>
        <w:t>). A arqueologia subaquática moderna está fornecendo informações valiosas sobre esses navios antigos.</w:t>
      </w:r>
    </w:p>
    <w:p>
      <w:pPr>
        <w:pStyle w:val="Heading4"/>
      </w:pPr>
      <w:r>
        <w:t>Razões para viagens</w:t>
      </w:r>
    </w:p>
    <w:p>
      <w:r/>
      <w:r>
        <w:t>A razão mais importante para viajar nos tempos do NT era o comércio, que envolvia muito mais do que apenas o transporte de mercadorias. Havia agentes, supervisores, seguradoras de carga, banqueiros e toda uma gama de pessoas envolvidas na aquisição e entrega segura da carga.</w:t>
      </w:r>
    </w:p>
    <w:p>
      <w:r/>
      <w:r>
        <w:t>As viagens militares eram consideráveis. Uma grande variedade de tarefas tinha que ser realizada na maneira de reconhecimento, aquisição de suprimentos, arranjos avançados para a mobilização de tropas e o transporte de tropas e equipamentos.</w:t>
      </w:r>
    </w:p>
    <w:p>
      <w:r/>
      <w:r>
        <w:t>Alguns viajantes eram pessoas de negócios mudando seu lugar de trabalho, como Áquila e Priscila (</w:t>
      </w:r>
      <w:hyperlink r:id="rId5862">
        <w:r>
          <w:rPr>
            <w:color w:val="0000EE"/>
            <w:u w:val="single"/>
          </w:rPr>
          <w:t>Atos 18.2–3</w:t>
        </w:r>
      </w:hyperlink>
      <w:r>
        <w:t>). Áquila havia viajado de Ponto, no Mar Negro, para Roma e então, em um tempo de perseguição, havia fugido para Corinto com sua esposa. Muitos outros viajavam por razões semelhantes.</w:t>
      </w:r>
    </w:p>
    <w:p>
      <w:r/>
      <w:r>
        <w:t xml:space="preserve">Pessoas em peregrinação religiosa viajavam por terra ou mar. Os judeus de muitas terras viajavam a Jerusalém para as festividades anuais da Páscoa (cf. </w:t>
      </w:r>
      <w:hyperlink r:id="rId12344">
        <w:r>
          <w:rPr>
            <w:color w:val="0000EE"/>
            <w:u w:val="single"/>
          </w:rPr>
          <w:t>Atos 2.5–11</w:t>
        </w:r>
      </w:hyperlink>
      <w:r>
        <w:t>). Os não judeus iam para centros religiosos em Éfeso, Atenas e Elêusis, onde havia templos importantes. Muitos templos menores também atraíam peregrinos. A construção de novos templos e uma variedade de edifícios da administração do governo trouxe artesãos de longe. Muitas vezes, os materiais usados na construção tinham que ser transportados para o local. Algumas pessoas faziam viagens aos templos famosos por milagres terapêuticos, por razões de saúde ou para desfrutar dos benefícios das fontes termais, como as de Cafarnaum ou Tiberíades. Os atletas viajavam aos centros para competições importantes, como os jogos olímpicos, e multidões se reuniam para presenciar o espetáculo. Alguns viajantes eram estudantes ou professores que iam para grandes centros de aprendizado — as universidades daqueles tempos. No entanto, outros viajavam como emissários oficiais levando importantes documentos do governo e do comércio. Apesar de toda essa atividade, um grande número de cidadãos comuns quase nunca viajava mais do que alguns quilômetros de suas casas.</w:t>
      </w:r>
      <w:r/>
      <w:r/>
    </w:p>
    <w:p>
      <w:r/>
    </w:p>
    <w:p>
      <w:pPr>
        <w:pStyle w:val="Heading2"/>
      </w:pPr>
      <w:r>
        <w:t>Víbora</w:t>
      </w:r>
      <w:r/>
    </w:p>
    <w:p>
      <w:r/>
      <w:r>
        <w:t>Uma víbora é uma cobra venenosa com presas longas e ocas que injetam veneno.</w:t>
      </w:r>
    </w:p>
    <w:p>
      <w:r/>
      <w:r>
        <w:t>Na Bíblia, a palavra "víbora" pode se referir aos mesmos tipos de cobras venenosas que a palavra "áspide". Diferentes traduções da Bíblia às vezes usam um termo ou outro para a mesma cobra (</w:t>
      </w:r>
      <w:hyperlink r:id="rId1456">
        <w:r>
          <w:rPr>
            <w:color w:val="0000EE"/>
            <w:u w:val="single"/>
          </w:rPr>
          <w:t>Mt 3.7</w:t>
        </w:r>
      </w:hyperlink>
      <w:r>
        <w:t xml:space="preserve">; </w:t>
      </w:r>
      <w:hyperlink r:id="rId1459">
        <w:r>
          <w:rPr>
            <w:color w:val="0000EE"/>
            <w:u w:val="single"/>
          </w:rPr>
          <w:t>At 28.3</w:t>
        </w:r>
      </w:hyperlink>
      <w:r>
        <w:t>). Essas cobras podem dar uma mordida perigosa ou mortal.</w:t>
      </w:r>
    </w:p>
    <w:p>
      <w:r/>
      <w:r>
        <w:rPr>
          <w:i/>
        </w:rPr>
        <w:t xml:space="preserve">Veja </w:t>
      </w:r>
      <w:r>
        <w:t>Áspide</w:t>
      </w:r>
      <w:r>
        <w:rPr>
          <w:i/>
        </w:rPr>
        <w:t>; veja também</w:t>
      </w:r>
      <w:r>
        <w:t xml:space="preserve"> </w:t>
      </w:r>
      <w:r>
        <w:t>Animais (áspide)</w:t>
      </w:r>
      <w:r>
        <w:t>.</w:t>
      </w:r>
      <w:r/>
      <w:r/>
    </w:p>
    <w:p>
      <w:r/>
    </w:p>
    <w:p>
      <w:pPr>
        <w:pStyle w:val="Heading2"/>
      </w:pPr>
      <w:r>
        <w:t>Vida</w:t>
      </w:r>
      <w:r/>
    </w:p>
    <w:p>
      <w:r/>
      <w:r>
        <w:t xml:space="preserve">Na perspectiva bíblica, a vida flui do vivo Pai através do Filho (seu agente na criação e redenção) para um mundo sedento de vida “real” (veja </w:t>
      </w:r>
      <w:hyperlink r:id="rId20502">
        <w:r>
          <w:rPr>
            <w:color w:val="0000EE"/>
            <w:u w:val="single"/>
          </w:rPr>
          <w:t>Jo 6.57</w:t>
        </w:r>
      </w:hyperlink>
      <w:r>
        <w:t>).</w:t>
      </w:r>
    </w:p>
    <w:p>
      <w:pPr>
        <w:pStyle w:val="Heading3"/>
      </w:pPr>
      <w:r>
        <w:t>O Vivo pai</w:t>
      </w:r>
    </w:p>
    <w:p>
      <w:r/>
      <w:r>
        <w:t>Deus, o Pai, está acima de todos os outros; “o Deus vivo” (</w:t>
      </w:r>
      <w:hyperlink r:id="rId15210">
        <w:r>
          <w:rPr>
            <w:color w:val="0000EE"/>
            <w:u w:val="single"/>
          </w:rPr>
          <w:t>Jr 10.10</w:t>
        </w:r>
      </w:hyperlink>
      <w:r>
        <w:t xml:space="preserve">; </w:t>
      </w:r>
      <w:hyperlink r:id="rId6812">
        <w:r>
          <w:rPr>
            <w:color w:val="0000EE"/>
            <w:u w:val="single"/>
          </w:rPr>
          <w:t>Jo 5.26</w:t>
        </w:r>
      </w:hyperlink>
      <w:r>
        <w:t>). Deus, a fonte de toda a vida (</w:t>
      </w:r>
      <w:hyperlink r:id="rId17070">
        <w:r>
          <w:rPr>
            <w:color w:val="0000EE"/>
            <w:u w:val="single"/>
          </w:rPr>
          <w:t>1Tm 6.13</w:t>
        </w:r>
      </w:hyperlink>
      <w:r>
        <w:t>), “inspirou” seres humanos na criação e os sustenta continuamente (</w:t>
      </w:r>
      <w:hyperlink r:id="rId8351">
        <w:r>
          <w:rPr>
            <w:color w:val="0000EE"/>
            <w:u w:val="single"/>
          </w:rPr>
          <w:t>Jó 34.14–15</w:t>
        </w:r>
      </w:hyperlink>
      <w:r>
        <w:t>). Somente Deus dá vida (</w:t>
      </w:r>
      <w:hyperlink r:id="rId20503">
        <w:r>
          <w:rPr>
            <w:color w:val="0000EE"/>
            <w:u w:val="single"/>
          </w:rPr>
          <w:t>Gn 17.16</w:t>
        </w:r>
      </w:hyperlink>
      <w:r>
        <w:t>) e a tira (</w:t>
      </w:r>
      <w:hyperlink r:id="rId20504">
        <w:r>
          <w:rPr>
            <w:color w:val="0000EE"/>
            <w:u w:val="single"/>
          </w:rPr>
          <w:t>Gn 3.22–24</w:t>
        </w:r>
      </w:hyperlink>
      <w:r>
        <w:t xml:space="preserve">; </w:t>
      </w:r>
      <w:hyperlink r:id="rId4270">
        <w:r>
          <w:rPr>
            <w:color w:val="0000EE"/>
            <w:u w:val="single"/>
          </w:rPr>
          <w:t>6.3</w:t>
        </w:r>
      </w:hyperlink>
      <w:r>
        <w:t xml:space="preserve">; </w:t>
      </w:r>
      <w:hyperlink r:id="rId20505">
        <w:r>
          <w:rPr>
            <w:color w:val="0000EE"/>
            <w:u w:val="single"/>
          </w:rPr>
          <w:t>Sl 104.29</w:t>
        </w:r>
      </w:hyperlink>
      <w:r>
        <w:t xml:space="preserve">; </w:t>
      </w:r>
      <w:hyperlink r:id="rId16603">
        <w:r>
          <w:rPr>
            <w:color w:val="0000EE"/>
            <w:u w:val="single"/>
          </w:rPr>
          <w:t>Lc 12.20</w:t>
        </w:r>
      </w:hyperlink>
      <w:r>
        <w:t>).</w:t>
      </w:r>
    </w:p>
    <w:p>
      <w:r/>
      <w:r>
        <w:t>O sinal da vida é o movimento; o homem é um corpo vivo e animado (</w:t>
      </w:r>
      <w:hyperlink r:id="rId6320">
        <w:r>
          <w:rPr>
            <w:color w:val="0000EE"/>
            <w:u w:val="single"/>
          </w:rPr>
          <w:t>Mt 27.50</w:t>
        </w:r>
      </w:hyperlink>
      <w:r>
        <w:t xml:space="preserve">; </w:t>
      </w:r>
      <w:hyperlink r:id="rId20506">
        <w:r>
          <w:rPr>
            <w:color w:val="0000EE"/>
            <w:u w:val="single"/>
          </w:rPr>
          <w:t>Lc 8.55</w:t>
        </w:r>
      </w:hyperlink>
      <w:r>
        <w:t xml:space="preserve">). Os animais também têm este “fôlego de alma” animadora (texto hebraico de </w:t>
      </w:r>
      <w:hyperlink r:id="rId1454">
        <w:r>
          <w:rPr>
            <w:color w:val="0000EE"/>
            <w:u w:val="single"/>
          </w:rPr>
          <w:t>Gn 1.24</w:t>
        </w:r>
      </w:hyperlink>
      <w:r>
        <w:t xml:space="preserve">; </w:t>
      </w:r>
      <w:hyperlink r:id="rId20507">
        <w:r>
          <w:rPr>
            <w:color w:val="0000EE"/>
            <w:u w:val="single"/>
          </w:rPr>
          <w:t>6.17</w:t>
        </w:r>
      </w:hyperlink>
      <w:r>
        <w:t>). Assim, toda a natureza é movida com a vida que deriva de Deus (</w:t>
      </w:r>
      <w:hyperlink r:id="rId20508">
        <w:r>
          <w:rPr>
            <w:color w:val="0000EE"/>
            <w:u w:val="single"/>
          </w:rPr>
          <w:t>Atos 17.24–28</w:t>
        </w:r>
      </w:hyperlink>
      <w:r>
        <w:t>). A vida é, portanto, sagrada, mas, infelizmente, é tão transitória quanto grama, nuvens, orvalho, sombra (</w:t>
      </w:r>
      <w:hyperlink r:id="rId8553">
        <w:r>
          <w:rPr>
            <w:color w:val="0000EE"/>
            <w:u w:val="single"/>
          </w:rPr>
          <w:t>1Cr 29.15</w:t>
        </w:r>
      </w:hyperlink>
      <w:r>
        <w:t xml:space="preserve">; </w:t>
      </w:r>
      <w:hyperlink r:id="rId20509">
        <w:r>
          <w:rPr>
            <w:color w:val="0000EE"/>
            <w:u w:val="single"/>
          </w:rPr>
          <w:t>Jó 7.6,9</w:t>
        </w:r>
      </w:hyperlink>
      <w:r>
        <w:t xml:space="preserve">; </w:t>
      </w:r>
      <w:hyperlink r:id="rId20153">
        <w:r>
          <w:rPr>
            <w:color w:val="0000EE"/>
            <w:u w:val="single"/>
          </w:rPr>
          <w:t>Tg 4.13–16</w:t>
        </w:r>
      </w:hyperlink>
      <w:r>
        <w:t xml:space="preserve">; </w:t>
      </w:r>
      <w:hyperlink r:id="rId20510">
        <w:r>
          <w:rPr>
            <w:color w:val="0000EE"/>
            <w:u w:val="single"/>
          </w:rPr>
          <w:t>1Pe 1.24</w:t>
        </w:r>
      </w:hyperlink>
      <w:r>
        <w:t>). Uma vida longa é desejada (</w:t>
      </w:r>
      <w:hyperlink r:id="rId19508">
        <w:r>
          <w:rPr>
            <w:color w:val="0000EE"/>
            <w:u w:val="single"/>
          </w:rPr>
          <w:t>Gn 35.29</w:t>
        </w:r>
      </w:hyperlink>
      <w:r>
        <w:t>); qualquer vida é preferível à morte e de valor infinito (</w:t>
      </w:r>
      <w:hyperlink r:id="rId20511">
        <w:r>
          <w:rPr>
            <w:color w:val="0000EE"/>
            <w:u w:val="single"/>
          </w:rPr>
          <w:t>Ec 9.4–6</w:t>
        </w:r>
      </w:hyperlink>
      <w:r>
        <w:t xml:space="preserve">; </w:t>
      </w:r>
      <w:hyperlink r:id="rId5970">
        <w:r>
          <w:rPr>
            <w:color w:val="0000EE"/>
            <w:u w:val="single"/>
          </w:rPr>
          <w:t>Mt 6.25</w:t>
        </w:r>
      </w:hyperlink>
      <w:r>
        <w:t xml:space="preserve">; </w:t>
      </w:r>
      <w:hyperlink r:id="rId11845">
        <w:r>
          <w:rPr>
            <w:color w:val="0000EE"/>
            <w:u w:val="single"/>
          </w:rPr>
          <w:t>16.26</w:t>
        </w:r>
      </w:hyperlink>
      <w:r>
        <w:t>), pois o Sheol abriga uma “vida não viva”, desprovido de sentimento, esperança ou ajuda divina (</w:t>
      </w:r>
      <w:hyperlink r:id="rId905">
        <w:r>
          <w:rPr>
            <w:color w:val="0000EE"/>
            <w:u w:val="single"/>
          </w:rPr>
          <w:t>Sl 88.3–12</w:t>
        </w:r>
      </w:hyperlink>
      <w:r>
        <w:t>). O amor e o serviço a Deus podem tornar a vida de alguém mais plena (</w:t>
      </w:r>
      <w:hyperlink r:id="rId2210">
        <w:r>
          <w:rPr>
            <w:color w:val="0000EE"/>
            <w:u w:val="single"/>
          </w:rPr>
          <w:t>Dt 30.15–20</w:t>
        </w:r>
      </w:hyperlink>
      <w:r>
        <w:t xml:space="preserve">; </w:t>
      </w:r>
      <w:hyperlink r:id="rId20512">
        <w:r>
          <w:rPr>
            <w:color w:val="0000EE"/>
            <w:u w:val="single"/>
          </w:rPr>
          <w:t>1Pe 3.8–12</w:t>
        </w:r>
      </w:hyperlink>
      <w:r>
        <w:t>), experimentando a libertação de Deus (</w:t>
      </w:r>
      <w:hyperlink r:id="rId20513">
        <w:r>
          <w:rPr>
            <w:color w:val="0000EE"/>
            <w:u w:val="single"/>
          </w:rPr>
          <w:t>Is 38.16</w:t>
        </w:r>
      </w:hyperlink>
      <w:r>
        <w:t>) e recebendo bênçãos divinas (</w:t>
      </w:r>
      <w:hyperlink r:id="rId11719">
        <w:r>
          <w:rPr>
            <w:color w:val="0000EE"/>
            <w:u w:val="single"/>
          </w:rPr>
          <w:t>Mt 5.3–12</w:t>
        </w:r>
      </w:hyperlink>
      <w:r>
        <w:t>).</w:t>
      </w:r>
    </w:p>
    <w:p>
      <w:pPr>
        <w:pStyle w:val="Heading3"/>
      </w:pPr>
      <w:r>
        <w:t>Cristo como Vida</w:t>
      </w:r>
    </w:p>
    <w:p>
      <w:r/>
      <w:r>
        <w:t xml:space="preserve">A palavra grega para “vida” é </w:t>
      </w:r>
      <w:r>
        <w:rPr>
          <w:i/>
        </w:rPr>
        <w:t>zoe</w:t>
      </w:r>
      <w:r>
        <w:t xml:space="preserve">. No grego clássico, esta palavra era usada para vida em geral. Há alguns exemplos deste significado no Novo Testamento (veja </w:t>
      </w:r>
      <w:hyperlink r:id="rId6813">
        <w:r>
          <w:rPr>
            <w:color w:val="0000EE"/>
            <w:u w:val="single"/>
          </w:rPr>
          <w:t>Atos 17.25</w:t>
        </w:r>
      </w:hyperlink>
      <w:r>
        <w:t xml:space="preserve">; </w:t>
      </w:r>
      <w:hyperlink r:id="rId20514">
        <w:r>
          <w:rPr>
            <w:color w:val="0000EE"/>
            <w:u w:val="single"/>
          </w:rPr>
          <w:t>Tg 4.14</w:t>
        </w:r>
      </w:hyperlink>
      <w:r>
        <w:t xml:space="preserve">: </w:t>
      </w:r>
      <w:hyperlink r:id="rId932">
        <w:r>
          <w:rPr>
            <w:color w:val="0000EE"/>
            <w:u w:val="single"/>
          </w:rPr>
          <w:t>Ap 16.3</w:t>
        </w:r>
      </w:hyperlink>
      <w:r>
        <w:t>), mas em todos os outros casos a palavra foi usada para designar a vida divina e eterna — a vida de Deus (</w:t>
      </w:r>
      <w:hyperlink r:id="rId20515">
        <w:r>
          <w:rPr>
            <w:color w:val="0000EE"/>
            <w:u w:val="single"/>
          </w:rPr>
          <w:t>Ef 4.18</w:t>
        </w:r>
      </w:hyperlink>
      <w:r>
        <w:t xml:space="preserve">). Esta vida residia em Cristo, e ele a disponibilizou a todos os que acreditam nele. Os seres humanos nascem com a vida natural — chamada psuche em grego (traduzido como “alma”, “personalidade” ou “vida”); eles não possuem a vida eterna. Esta vida pode ser recebida apenas acreditando naquele que possui a </w:t>
      </w:r>
      <w:r>
        <w:rPr>
          <w:i/>
        </w:rPr>
        <w:t>zoe</w:t>
      </w:r>
      <w:r>
        <w:t>-vida, a saber, Jesus Cristo.</w:t>
      </w:r>
    </w:p>
    <w:p>
      <w:r/>
      <w:r>
        <w:t>A qualidade de vida transbordante e vibrante disponível em Cristo era evidente na autoridade de sua palavra e no poder de seu toque (</w:t>
      </w:r>
      <w:hyperlink r:id="rId20516">
        <w:r>
          <w:rPr>
            <w:color w:val="0000EE"/>
            <w:u w:val="single"/>
          </w:rPr>
          <w:t>Mt 9.18</w:t>
        </w:r>
      </w:hyperlink>
      <w:r>
        <w:t xml:space="preserve">; </w:t>
      </w:r>
      <w:hyperlink r:id="rId17610">
        <w:r>
          <w:rPr>
            <w:color w:val="0000EE"/>
            <w:u w:val="single"/>
          </w:rPr>
          <w:t>Mc 1.27,41–42</w:t>
        </w:r>
      </w:hyperlink>
      <w:r>
        <w:t xml:space="preserve">; </w:t>
      </w:r>
      <w:hyperlink r:id="rId20517">
        <w:r>
          <w:rPr>
            <w:color w:val="0000EE"/>
            <w:u w:val="single"/>
          </w:rPr>
          <w:t>5.27–29</w:t>
        </w:r>
      </w:hyperlink>
      <w:r>
        <w:t>). Ele é “o autor da vida” (</w:t>
      </w:r>
      <w:hyperlink r:id="rId8805">
        <w:r>
          <w:rPr>
            <w:color w:val="0000EE"/>
            <w:u w:val="single"/>
          </w:rPr>
          <w:t>Atos 3.15</w:t>
        </w:r>
      </w:hyperlink>
      <w:r>
        <w:t>), que provê o caminho para a vida (</w:t>
      </w:r>
      <w:hyperlink r:id="rId20518">
        <w:r>
          <w:rPr>
            <w:color w:val="0000EE"/>
            <w:u w:val="single"/>
          </w:rPr>
          <w:t>Mt 7.14</w:t>
        </w:r>
      </w:hyperlink>
      <w:r>
        <w:t xml:space="preserve">; </w:t>
      </w:r>
      <w:hyperlink r:id="rId9440">
        <w:r>
          <w:rPr>
            <w:color w:val="0000EE"/>
            <w:u w:val="single"/>
          </w:rPr>
          <w:t>25.46</w:t>
        </w:r>
      </w:hyperlink>
      <w:r>
        <w:t xml:space="preserve">; </w:t>
      </w:r>
      <w:hyperlink r:id="rId20519">
        <w:r>
          <w:rPr>
            <w:color w:val="0000EE"/>
            <w:u w:val="single"/>
          </w:rPr>
          <w:t>Mc 8.35–37</w:t>
        </w:r>
      </w:hyperlink>
      <w:r>
        <w:t xml:space="preserve">; </w:t>
      </w:r>
      <w:hyperlink r:id="rId20520">
        <w:r>
          <w:rPr>
            <w:color w:val="0000EE"/>
            <w:u w:val="single"/>
          </w:rPr>
          <w:t>9.42–47</w:t>
        </w:r>
      </w:hyperlink>
      <w:r>
        <w:t>). E ele ressuscitou os mortos com seu poder vivificante. Sua própria ressurreição o fez “um espírito vivificante”, com o poder de “uma vida indestrutível” (</w:t>
      </w:r>
      <w:hyperlink r:id="rId4302">
        <w:r>
          <w:rPr>
            <w:color w:val="0000EE"/>
            <w:u w:val="single"/>
          </w:rPr>
          <w:t>Rm 8.2</w:t>
        </w:r>
      </w:hyperlink>
      <w:r>
        <w:t xml:space="preserve">; </w:t>
      </w:r>
      <w:hyperlink r:id="rId8423">
        <w:r>
          <w:rPr>
            <w:color w:val="0000EE"/>
            <w:u w:val="single"/>
          </w:rPr>
          <w:t>1Co 15.45</w:t>
        </w:r>
      </w:hyperlink>
      <w:r>
        <w:t xml:space="preserve">; </w:t>
      </w:r>
      <w:hyperlink r:id="rId20521">
        <w:r>
          <w:rPr>
            <w:color w:val="0000EE"/>
            <w:u w:val="single"/>
          </w:rPr>
          <w:t>Hb 7.16</w:t>
        </w:r>
      </w:hyperlink>
      <w:r>
        <w:t>). Assim, Jesus Cristo é “nossa vida” (</w:t>
      </w:r>
      <w:hyperlink r:id="rId10057">
        <w:r>
          <w:rPr>
            <w:color w:val="0000EE"/>
            <w:u w:val="single"/>
          </w:rPr>
          <w:t>Cl 3.4</w:t>
        </w:r>
      </w:hyperlink>
      <w:r>
        <w:t>) — em união com quem encontramos “novidade de vida” (</w:t>
      </w:r>
      <w:hyperlink r:id="rId15303">
        <w:r>
          <w:rPr>
            <w:color w:val="0000EE"/>
            <w:u w:val="single"/>
          </w:rPr>
          <w:t>Rm 6.4</w:t>
        </w:r>
      </w:hyperlink>
      <w:r>
        <w:t>) e somos recém-criados, vivendo a partir deste momento não para nós, mas para ele (</w:t>
      </w:r>
      <w:hyperlink r:id="rId20522">
        <w:r>
          <w:rPr>
            <w:color w:val="0000EE"/>
            <w:u w:val="single"/>
          </w:rPr>
          <w:t>2Co 5.15–17</w:t>
        </w:r>
      </w:hyperlink>
      <w:r>
        <w:t>).</w:t>
      </w:r>
    </w:p>
    <w:p>
      <w:r/>
      <w:r>
        <w:t>João, especialmente, insiste no tema de que Cristo é a fonte dessa nova vida (</w:t>
      </w:r>
      <w:hyperlink r:id="rId20523">
        <w:r>
          <w:rPr>
            <w:color w:val="0000EE"/>
            <w:u w:val="single"/>
          </w:rPr>
          <w:t>Jo 3.14–16</w:t>
        </w:r>
      </w:hyperlink>
      <w:r>
        <w:t xml:space="preserve">; </w:t>
      </w:r>
      <w:hyperlink r:id="rId20524">
        <w:r>
          <w:rPr>
            <w:color w:val="0000EE"/>
            <w:u w:val="single"/>
          </w:rPr>
          <w:t>5.21</w:t>
        </w:r>
      </w:hyperlink>
      <w:r>
        <w:t>) para os filhos de Deus (</w:t>
      </w:r>
      <w:hyperlink r:id="rId9129">
        <w:r>
          <w:rPr>
            <w:color w:val="0000EE"/>
            <w:u w:val="single"/>
          </w:rPr>
          <w:t>1.12</w:t>
        </w:r>
      </w:hyperlink>
      <w:r>
        <w:t xml:space="preserve">; </w:t>
      </w:r>
      <w:hyperlink r:id="rId15302">
        <w:r>
          <w:rPr>
            <w:color w:val="0000EE"/>
            <w:u w:val="single"/>
          </w:rPr>
          <w:t>3.3,5</w:t>
        </w:r>
      </w:hyperlink>
      <w:r>
        <w:t>). Esta vida já é desfrutada por aqueles que conhecem a Deus e a Cristo (</w:t>
      </w:r>
      <w:hyperlink r:id="rId11857">
        <w:r>
          <w:rPr>
            <w:color w:val="0000EE"/>
            <w:u w:val="single"/>
          </w:rPr>
          <w:t>5.24</w:t>
        </w:r>
      </w:hyperlink>
      <w:r>
        <w:t xml:space="preserve">; </w:t>
      </w:r>
      <w:hyperlink r:id="rId5409">
        <w:r>
          <w:rPr>
            <w:color w:val="0000EE"/>
            <w:u w:val="single"/>
          </w:rPr>
          <w:t>17.3</w:t>
        </w:r>
      </w:hyperlink>
      <w:r>
        <w:t xml:space="preserve">; </w:t>
      </w:r>
      <w:hyperlink r:id="rId20525">
        <w:r>
          <w:rPr>
            <w:color w:val="0000EE"/>
            <w:u w:val="single"/>
          </w:rPr>
          <w:t>1Jo 5.11–12</w:t>
        </w:r>
      </w:hyperlink>
      <w:r>
        <w:t>), pois eles já passaram da morte para a vida eterna (</w:t>
      </w:r>
      <w:hyperlink r:id="rId20526">
        <w:r>
          <w:rPr>
            <w:color w:val="0000EE"/>
            <w:u w:val="single"/>
          </w:rPr>
          <w:t>Jo 10.28</w:t>
        </w:r>
      </w:hyperlink>
      <w:r>
        <w:t xml:space="preserve">; </w:t>
      </w:r>
      <w:hyperlink r:id="rId20527">
        <w:r>
          <w:rPr>
            <w:color w:val="0000EE"/>
            <w:u w:val="single"/>
          </w:rPr>
          <w:t>11.26</w:t>
        </w:r>
      </w:hyperlink>
      <w:r>
        <w:t>). Tal vida é abundante (</w:t>
      </w:r>
      <w:hyperlink r:id="rId7458">
        <w:r>
          <w:rPr>
            <w:color w:val="0000EE"/>
            <w:u w:val="single"/>
          </w:rPr>
          <w:t>10.10</w:t>
        </w:r>
      </w:hyperlink>
      <w:r>
        <w:t>), iluminada (</w:t>
      </w:r>
      <w:hyperlink r:id="rId3753">
        <w:r>
          <w:rPr>
            <w:color w:val="0000EE"/>
            <w:u w:val="single"/>
          </w:rPr>
          <w:t>8.12</w:t>
        </w:r>
      </w:hyperlink>
      <w:r>
        <w:t>), livre e satisfeita (</w:t>
      </w:r>
      <w:hyperlink r:id="rId20528">
        <w:r>
          <w:rPr>
            <w:color w:val="0000EE"/>
            <w:u w:val="single"/>
          </w:rPr>
          <w:t>10.9</w:t>
        </w:r>
      </w:hyperlink>
      <w:r>
        <w:t>), vitoriosa (</w:t>
      </w:r>
      <w:hyperlink r:id="rId20529">
        <w:r>
          <w:rPr>
            <w:color w:val="0000EE"/>
            <w:u w:val="single"/>
          </w:rPr>
          <w:t>Rm 6.6–14</w:t>
        </w:r>
      </w:hyperlink>
      <w:r>
        <w:t>), cheia de paz e alegria (</w:t>
      </w:r>
      <w:hyperlink r:id="rId20530">
        <w:r>
          <w:rPr>
            <w:color w:val="0000EE"/>
            <w:u w:val="single"/>
          </w:rPr>
          <w:t>Rm 5.1–11</w:t>
        </w:r>
      </w:hyperlink>
      <w:r>
        <w:t>), inesgotavelmente renovada (</w:t>
      </w:r>
      <w:hyperlink r:id="rId20531">
        <w:r>
          <w:rPr>
            <w:color w:val="0000EE"/>
            <w:u w:val="single"/>
          </w:rPr>
          <w:t>Jo 4.13–14</w:t>
        </w:r>
      </w:hyperlink>
      <w:r>
        <w:t xml:space="preserve">; </w:t>
      </w:r>
      <w:hyperlink r:id="rId601">
        <w:r>
          <w:rPr>
            <w:color w:val="0000EE"/>
            <w:u w:val="single"/>
          </w:rPr>
          <w:t>7:37–38</w:t>
        </w:r>
      </w:hyperlink>
      <w:r>
        <w:t>) e imortal (</w:t>
      </w:r>
      <w:hyperlink r:id="rId11857">
        <w:r>
          <w:rPr>
            <w:color w:val="0000EE"/>
            <w:u w:val="single"/>
          </w:rPr>
          <w:t>Jo 5.24</w:t>
        </w:r>
      </w:hyperlink>
      <w:r>
        <w:t xml:space="preserve">; </w:t>
      </w:r>
      <w:hyperlink r:id="rId20532">
        <w:r>
          <w:rPr>
            <w:color w:val="0000EE"/>
            <w:u w:val="single"/>
          </w:rPr>
          <w:t>1Co 15.51–57</w:t>
        </w:r>
      </w:hyperlink>
      <w:r>
        <w:t>).</w:t>
      </w:r>
    </w:p>
    <w:p>
      <w:r/>
      <w:r>
        <w:t>Tudo isso é possível porque, desde o início, “todos os que vieram a existir estavam vivos com sua vida” (</w:t>
      </w:r>
      <w:hyperlink r:id="rId3751">
        <w:r>
          <w:rPr>
            <w:color w:val="0000EE"/>
            <w:u w:val="single"/>
          </w:rPr>
          <w:t>Jo 1.4</w:t>
        </w:r>
      </w:hyperlink>
      <w:r>
        <w:t>, NTLH). Assim, a vida dentro do Pai flui para o mundo através do Filho, que também “tem vida em si mesmo” e a dá a quem ele quiser (</w:t>
      </w:r>
      <w:hyperlink r:id="rId6812">
        <w:r>
          <w:rPr>
            <w:color w:val="0000EE"/>
            <w:u w:val="single"/>
          </w:rPr>
          <w:t>5.26</w:t>
        </w:r>
      </w:hyperlink>
      <w:r>
        <w:t>). Ele é “a ressurreição e a vida” (</w:t>
      </w:r>
      <w:hyperlink r:id="rId3754">
        <w:r>
          <w:rPr>
            <w:color w:val="0000EE"/>
            <w:u w:val="single"/>
          </w:rPr>
          <w:t>11.25</w:t>
        </w:r>
      </w:hyperlink>
      <w:r>
        <w:t xml:space="preserve">; </w:t>
      </w:r>
      <w:hyperlink r:id="rId408">
        <w:r>
          <w:rPr>
            <w:color w:val="0000EE"/>
            <w:u w:val="single"/>
          </w:rPr>
          <w:t>14.6</w:t>
        </w:r>
      </w:hyperlink>
      <w:r>
        <w:t>) e demonstra isso restaurando a vida aos membros paralisados, ressuscitando os mortos e conquistando a morte (</w:t>
      </w:r>
      <w:hyperlink r:id="rId20533">
        <w:r>
          <w:rPr>
            <w:color w:val="0000EE"/>
            <w:u w:val="single"/>
          </w:rPr>
          <w:t>5.5–9</w:t>
        </w:r>
      </w:hyperlink>
      <w:r>
        <w:t xml:space="preserve">; </w:t>
      </w:r>
      <w:hyperlink r:id="rId20534">
        <w:r>
          <w:rPr>
            <w:color w:val="0000EE"/>
            <w:u w:val="single"/>
          </w:rPr>
          <w:t>11.43</w:t>
        </w:r>
      </w:hyperlink>
      <w:r>
        <w:t xml:space="preserve">; cap. </w:t>
      </w:r>
      <w:hyperlink r:id="rId18509">
        <w:r>
          <w:rPr>
            <w:color w:val="0000EE"/>
            <w:u w:val="single"/>
          </w:rPr>
          <w:t>20</w:t>
        </w:r>
      </w:hyperlink>
      <w:r>
        <w:t>). As pessoas continuam na morte apenas porque não querem "vir" e "ter vida" (</w:t>
      </w:r>
      <w:hyperlink r:id="rId20535">
        <w:r>
          <w:rPr>
            <w:color w:val="0000EE"/>
            <w:u w:val="single"/>
          </w:rPr>
          <w:t>5.40</w:t>
        </w:r>
      </w:hyperlink>
      <w:r>
        <w:t xml:space="preserve">; cf. </w:t>
      </w:r>
      <w:hyperlink r:id="rId14841">
        <w:r>
          <w:rPr>
            <w:color w:val="0000EE"/>
            <w:u w:val="single"/>
          </w:rPr>
          <w:t>1Jo 3.14</w:t>
        </w:r>
      </w:hyperlink>
      <w:r>
        <w:t>).</w:t>
      </w:r>
    </w:p>
    <w:p>
      <w:r/>
      <w:r>
        <w:rPr>
          <w:i/>
        </w:rPr>
        <w:t>Veja também</w:t>
      </w:r>
      <w:r>
        <w:t xml:space="preserve"> </w:t>
      </w:r>
      <w:r>
        <w:t>Vida Eterna</w:t>
      </w:r>
      <w:r>
        <w:t>.</w:t>
      </w:r>
      <w:r/>
      <w:r/>
    </w:p>
    <w:p>
      <w:r/>
    </w:p>
    <w:p>
      <w:pPr>
        <w:pStyle w:val="Heading2"/>
      </w:pPr>
      <w:r>
        <w:t>Vida Eterna</w:t>
      </w:r>
      <w:r/>
    </w:p>
    <w:p>
      <w:r/>
      <w:r>
        <w:t>Modo de existência utilizado nas Escrituras caracterizado pela atemporalidade ou imortalidade. O tipo de vida atribuído a Deus e distribuído aos crentes. Os escritores bíblicos entenderam que havia um Deus vivo que existia antes da criação do mundo e que continuará a existir quando o fim dos tempos chegar. O presente de Deus aos que são obedientes e responsáveis a ele é designado como “vida eterna” ou algum sinônimo. O Evangelho de João fornece o material mais definitivo sobre a vida eterna.</w:t>
      </w:r>
    </w:p>
    <w:p>
      <w:r/>
      <w:r>
        <w:t>A frase “vida eterna” ocorre apenas uma vez na versão grega do AT (</w:t>
      </w:r>
      <w:hyperlink r:id="rId913">
        <w:r>
          <w:rPr>
            <w:color w:val="0000EE"/>
            <w:u w:val="single"/>
          </w:rPr>
          <w:t>Daniel 12.2</w:t>
        </w:r>
      </w:hyperlink>
      <w:r>
        <w:t>, com o significado básico de “a vida da era”, designando a vida da era além da ressurreição dos mortos). O significado primário de “vida” no AT, no entanto, é a qualidade do bem-estar na existência terrena.</w:t>
      </w:r>
    </w:p>
    <w:p>
      <w:r/>
      <w:r>
        <w:t>Durante o período intertestamentário, os rabinos fizeram uma distinção clara entre “esta era” e “a era que está por vir”. Eles enfatizaram que o conceito de vida na nova era consiste em uma distinção qualitativa da era presente, em vez de simplesmente uma quantitativa.</w:t>
      </w:r>
    </w:p>
    <w:p>
      <w:r/>
      <w:r>
        <w:t>A palavra grega traduzida como “eterna” é derivada da palavra para “era” ou “eternidade”. Colocar o NT dentro do contexto do judaísmo, com seu conceito de um Deus vivo e a promessa da “era que está por vir”, dá profundidade e cor ao significado do adjetivo “eterno”. A vinda de Jesus Cristo como a revelação definitiva de Deus torna as qualidades de vida da futura era messiânica acessíveis na realidade presente.</w:t>
      </w:r>
    </w:p>
    <w:p>
      <w:r/>
      <w:r>
        <w:t>O jovem rico veio a Jesus e pediu instruções sobre como herdar a vida eterna (</w:t>
      </w:r>
      <w:hyperlink r:id="rId18261">
        <w:r>
          <w:rPr>
            <w:color w:val="0000EE"/>
            <w:u w:val="single"/>
          </w:rPr>
          <w:t>Marcos 10.17</w:t>
        </w:r>
      </w:hyperlink>
      <w:r>
        <w:t xml:space="preserve">). Ele estava claramente pensando na ressurreição da era por vir. Jesus respondeu nos mesmos termos (v. </w:t>
      </w:r>
      <w:hyperlink r:id="rId8110">
        <w:r>
          <w:rPr>
            <w:color w:val="0000EE"/>
            <w:u w:val="single"/>
          </w:rPr>
          <w:t>30</w:t>
        </w:r>
      </w:hyperlink>
      <w:r>
        <w:t>).</w:t>
      </w:r>
    </w:p>
    <w:p>
      <w:r/>
      <w:r>
        <w:t>Em sua resposta ao jovem rico, Jesus igualou a recepção da vida eterna com a entrada no reino de Deus (</w:t>
      </w:r>
      <w:hyperlink r:id="rId18234">
        <w:r>
          <w:rPr>
            <w:color w:val="0000EE"/>
            <w:u w:val="single"/>
          </w:rPr>
          <w:t>Marcos 10.23–25</w:t>
        </w:r>
      </w:hyperlink>
      <w:r>
        <w:t xml:space="preserve">). O reino de Deus não é simplesmente um evento futuro, mas já é inaugurado na vida, ministério e ensinamentos de Jesus. O reino é um presente de vida disponível enquanto o seguidor ainda vive dentro da era presente. Muitas das parábolas de Jesus enfatizam este ponto (p. ex., aquelas em </w:t>
      </w:r>
      <w:hyperlink r:id="rId11744">
        <w:r>
          <w:rPr>
            <w:color w:val="0000EE"/>
            <w:u w:val="single"/>
          </w:rPr>
          <w:t>Mateus 13</w:t>
        </w:r>
      </w:hyperlink>
      <w:r>
        <w:t>). As beatitudes no Sermão do Monte (</w:t>
      </w:r>
      <w:hyperlink r:id="rId11719">
        <w:r>
          <w:rPr>
            <w:color w:val="0000EE"/>
            <w:u w:val="single"/>
          </w:rPr>
          <w:t>5.3–12</w:t>
        </w:r>
      </w:hyperlink>
      <w:r>
        <w:t>) reforçam o conceito de uma bem-aventurança presente que inclui salvação, perdão e justiça. Portanto, a vida eterna é uma bênção presente para aqueles que se submetem ao reinado de Deus e desfrutam da bênção desta nova era de salvação antes mesmo do final da era presente.</w:t>
      </w:r>
    </w:p>
    <w:p>
      <w:r/>
      <w:r>
        <w:t>A análise mais completa da vida eterna vem do Evangelho de João. O propósito de João destaca o significado crucial do conceito: “Mas estes foram escritos para que vocês creiam que Jesus é o Messias, o Filho de Deus. E para que, crendo, tenham vida por meio dele.” (</w:t>
      </w:r>
      <w:hyperlink r:id="rId6107">
        <w:r>
          <w:rPr>
            <w:color w:val="0000EE"/>
            <w:u w:val="single"/>
          </w:rPr>
          <w:t>João 20.31</w:t>
        </w:r>
      </w:hyperlink>
      <w:r>
        <w:t xml:space="preserve">, NTLH). A primeira referência de João à vida eterna é encontrada em </w:t>
      </w:r>
      <w:hyperlink r:id="rId20536">
        <w:r>
          <w:rPr>
            <w:color w:val="0000EE"/>
            <w:u w:val="single"/>
          </w:rPr>
          <w:t>João 3.15</w:t>
        </w:r>
      </w:hyperlink>
      <w:r>
        <w:t>.</w:t>
      </w:r>
    </w:p>
    <w:p>
      <w:r/>
      <w:r>
        <w:t xml:space="preserve">João claramente compartilhou dentro da expectativa judaica pela era por vir com suas bênçãos antecipadas (p. ex., </w:t>
      </w:r>
      <w:hyperlink r:id="rId11158">
        <w:r>
          <w:rPr>
            <w:color w:val="0000EE"/>
            <w:u w:val="single"/>
          </w:rPr>
          <w:t>João 3.36</w:t>
        </w:r>
      </w:hyperlink>
      <w:r>
        <w:t xml:space="preserve">; </w:t>
      </w:r>
      <w:hyperlink r:id="rId602">
        <w:r>
          <w:rPr>
            <w:color w:val="0000EE"/>
            <w:u w:val="single"/>
          </w:rPr>
          <w:t>4.14</w:t>
        </w:r>
      </w:hyperlink>
      <w:r>
        <w:t xml:space="preserve">; </w:t>
      </w:r>
      <w:hyperlink r:id="rId8494">
        <w:r>
          <w:rPr>
            <w:color w:val="0000EE"/>
            <w:u w:val="single"/>
          </w:rPr>
          <w:t>5.29,39</w:t>
        </w:r>
      </w:hyperlink>
      <w:r>
        <w:t xml:space="preserve">; </w:t>
      </w:r>
      <w:hyperlink r:id="rId19328">
        <w:r>
          <w:rPr>
            <w:color w:val="0000EE"/>
            <w:u w:val="single"/>
          </w:rPr>
          <w:t>6.27</w:t>
        </w:r>
      </w:hyperlink>
      <w:r>
        <w:t xml:space="preserve">; </w:t>
      </w:r>
      <w:hyperlink r:id="rId14894">
        <w:r>
          <w:rPr>
            <w:color w:val="0000EE"/>
            <w:u w:val="single"/>
          </w:rPr>
          <w:t>12.25</w:t>
        </w:r>
      </w:hyperlink>
      <w:r>
        <w:t xml:space="preserve">). A vida eterna é definida pelos presentes especiais da era messiânica quando esta chegar à sua consumação. A ressurreição de Lázaro (capítulo </w:t>
      </w:r>
      <w:hyperlink r:id="rId3995">
        <w:r>
          <w:rPr>
            <w:color w:val="0000EE"/>
            <w:u w:val="single"/>
          </w:rPr>
          <w:t>11</w:t>
        </w:r>
      </w:hyperlink>
      <w:r>
        <w:t xml:space="preserve">) foi uma parábola viva que demonstra a vida futura que está disponível para todos aqueles que confiam em Cristo. Marta, antes da ressurreição real de seu irmão, afirmou sua crença de que Lázaro seria ressuscitado no último dia (v. </w:t>
      </w:r>
      <w:hyperlink r:id="rId20537">
        <w:r>
          <w:rPr>
            <w:color w:val="0000EE"/>
            <w:u w:val="single"/>
          </w:rPr>
          <w:t>24</w:t>
        </w:r>
      </w:hyperlink>
      <w:r>
        <w:t xml:space="preserve">). Jesus respondeu que ele mesmo é a ressurreição e a vida, e que aqueles que creem nele nunca morrerão, mesmo que morram fisicamente (vv. </w:t>
      </w:r>
      <w:hyperlink r:id="rId20538">
        <w:r>
          <w:rPr>
            <w:color w:val="0000EE"/>
            <w:u w:val="single"/>
          </w:rPr>
          <w:t>25–26</w:t>
        </w:r>
      </w:hyperlink>
      <w:r>
        <w:t>).</w:t>
      </w:r>
    </w:p>
    <w:p>
      <w:r/>
      <w:r>
        <w:t>O foco principal do Evangelho de João, no entanto, não está no futuro antecipado, mas na experiência presente dessa vida futura. A vida da era por vir já está disponível em Cristo para o crente. As metáforas com as quais Jesus definiu sua própria missão enfatizam a nova vida presente: água viva que é uma fonte de água jorrando para a vida eterna (</w:t>
      </w:r>
      <w:hyperlink r:id="rId20539">
        <w:r>
          <w:rPr>
            <w:color w:val="0000EE"/>
            <w:u w:val="single"/>
          </w:rPr>
          <w:t>João 4.10–14</w:t>
        </w:r>
      </w:hyperlink>
      <w:r>
        <w:t>); pão vivo que satisfaz a fome espiritual do mundo (</w:t>
      </w:r>
      <w:hyperlink r:id="rId20540">
        <w:r>
          <w:rPr>
            <w:color w:val="0000EE"/>
            <w:u w:val="single"/>
          </w:rPr>
          <w:t>6.35–40</w:t>
        </w:r>
      </w:hyperlink>
      <w:r>
        <w:t>); a luz do mundo que leva seus seguidores para a luz da vida (</w:t>
      </w:r>
      <w:hyperlink r:id="rId3753">
        <w:r>
          <w:rPr>
            <w:color w:val="0000EE"/>
            <w:u w:val="single"/>
          </w:rPr>
          <w:t>8.12</w:t>
        </w:r>
      </w:hyperlink>
      <w:r>
        <w:t>); o bom pastor que traz vida abundante (</w:t>
      </w:r>
      <w:hyperlink r:id="rId7458">
        <w:r>
          <w:rPr>
            <w:color w:val="0000EE"/>
            <w:u w:val="single"/>
          </w:rPr>
          <w:t>10.10</w:t>
        </w:r>
      </w:hyperlink>
      <w:r>
        <w:t>); o provedor de vida que ressuscita os mortos (</w:t>
      </w:r>
      <w:hyperlink r:id="rId3754">
        <w:r>
          <w:rPr>
            <w:color w:val="0000EE"/>
            <w:u w:val="single"/>
          </w:rPr>
          <w:t>11.25</w:t>
        </w:r>
      </w:hyperlink>
      <w:r>
        <w:t>); o caminho, a verdade e a vida (</w:t>
      </w:r>
      <w:hyperlink r:id="rId408">
        <w:r>
          <w:rPr>
            <w:color w:val="0000EE"/>
            <w:u w:val="single"/>
          </w:rPr>
          <w:t>14.6</w:t>
        </w:r>
      </w:hyperlink>
      <w:r>
        <w:t>); e a videira genuína que sustenta aqueles que habitam nele (</w:t>
      </w:r>
      <w:hyperlink r:id="rId20541">
        <w:r>
          <w:rPr>
            <w:color w:val="0000EE"/>
            <w:u w:val="single"/>
          </w:rPr>
          <w:t>15.5</w:t>
        </w:r>
      </w:hyperlink>
      <w:r>
        <w:t>).</w:t>
      </w:r>
    </w:p>
    <w:p>
      <w:r/>
      <w:r>
        <w:t>Jesus foi muito cauteloso ao notar que o cumprimento de sua missão não dependia de sua própria natureza e habilidade, mas no Pai que o enviou. A submissão de Jesus ao Pai destaca novamente o fato de que a vida é um presente de Deus. Aqueles que creem no Filho de Deus são destinatários da vida que apenas Deus dá — a vida eterna. Portanto, a promessa de ressurreição para todos os crentes é a consequência natural do presente de Deus (</w:t>
      </w:r>
      <w:hyperlink r:id="rId20542">
        <w:r>
          <w:rPr>
            <w:color w:val="0000EE"/>
            <w:u w:val="single"/>
          </w:rPr>
          <w:t>João 5.26–29</w:t>
        </w:r>
      </w:hyperlink>
      <w:r>
        <w:t xml:space="preserve">). Isso foi explicitado na ressurreição de Lázaro, e garantido na ressurreição de Cristo como as “primícias” (na terminologia Paulina, versão Almeida Revista e Atualizada </w:t>
      </w:r>
      <w:hyperlink r:id="rId8495">
        <w:r>
          <w:rPr>
            <w:color w:val="0000EE"/>
            <w:u w:val="single"/>
          </w:rPr>
          <w:t>1 Coríntios 15.23</w:t>
        </w:r>
      </w:hyperlink>
      <w:r>
        <w:t>).</w:t>
      </w:r>
    </w:p>
    <w:p>
      <w:r/>
      <w:r>
        <w:t>Jesus acrescentou conteúdo adicional ao conceito de vida eterna ao conectá-lo com a ideia de conhecer o verdadeiro Deus (</w:t>
      </w:r>
      <w:hyperlink r:id="rId5409">
        <w:r>
          <w:rPr>
            <w:color w:val="0000EE"/>
            <w:u w:val="single"/>
          </w:rPr>
          <w:t>João 17.3</w:t>
        </w:r>
      </w:hyperlink>
      <w:r>
        <w:t xml:space="preserve">). No pensamento grego, o conhecimento se referia ao resultado de contemplação ou êxtase místico. No AT, todavia, conhecimento significava experiência, relacionamento, comunhão e interesse (cf. </w:t>
      </w:r>
      <w:hyperlink r:id="rId823">
        <w:r>
          <w:rPr>
            <w:color w:val="0000EE"/>
            <w:u w:val="single"/>
          </w:rPr>
          <w:t>Jeremias 31.34</w:t>
        </w:r>
      </w:hyperlink>
      <w:r>
        <w:t xml:space="preserve">). Esta conotação de conhecimento como relacionamento íntimo é sublinhada pelo uso desta forma verbal também para designar relações sexuais entre homem e mulher (cf. </w:t>
      </w:r>
      <w:hyperlink r:id="rId4525">
        <w:r>
          <w:rPr>
            <w:color w:val="0000EE"/>
            <w:u w:val="single"/>
          </w:rPr>
          <w:t>Gênesis 4.1</w:t>
        </w:r>
      </w:hyperlink>
      <w:r>
        <w:t>). Jesus declarou: “Eu sou o bom pastor. Conheço as minhas ovelhas, e elas me conhecem, assim como o Pai me conhece, e eu conheço o Pai; e dou a minha vida pelas ovelhas.” (</w:t>
      </w:r>
      <w:hyperlink r:id="rId20543">
        <w:r>
          <w:rPr>
            <w:color w:val="0000EE"/>
            <w:u w:val="single"/>
          </w:rPr>
          <w:t>João 10.14–15</w:t>
        </w:r>
      </w:hyperlink>
      <w:r>
        <w:t>, NAA). O relacionamento íntimo e mútuo entre Pai e Filho é o modelo para o relacionamento do Filho e seus discípulos. Este conhecimento não vem por educação ou manipulação da mente, mas por revelação através do Filho (</w:t>
      </w:r>
      <w:hyperlink r:id="rId9132">
        <w:r>
          <w:rPr>
            <w:color w:val="0000EE"/>
            <w:u w:val="single"/>
          </w:rPr>
          <w:t>1.18</w:t>
        </w:r>
      </w:hyperlink>
      <w:r>
        <w:t xml:space="preserve">; </w:t>
      </w:r>
      <w:hyperlink r:id="rId5408">
        <w:r>
          <w:rPr>
            <w:color w:val="0000EE"/>
            <w:u w:val="single"/>
          </w:rPr>
          <w:t>cf. 14.7</w:t>
        </w:r>
      </w:hyperlink>
      <w:r>
        <w:t>).</w:t>
      </w:r>
    </w:p>
    <w:p>
      <w:r/>
      <w:r>
        <w:t>Uma breve pesquisa dos elementos primários no conceito de vida eterna mostra claramente que não é simplesmente uma vida infinita ou perpétua. Embora não haja fronteiras finais para a vida eterna, a ênfase principal da Bíblia é na qualidade de vida, especialmente seus elementos divinos. A vida eterna é a importação das qualidades da era por vir no presente através da revelação, em Cristo, de um Deus fiel, além de trazer conhecimento do relacionamento de Deus com ele.</w:t>
      </w:r>
    </w:p>
    <w:p>
      <w:r/>
      <w:r>
        <w:rPr>
          <w:i/>
        </w:rPr>
        <w:t>Veja também</w:t>
      </w:r>
      <w:r>
        <w:t xml:space="preserve"> </w:t>
      </w:r>
      <w:r>
        <w:t>Vida</w:t>
      </w:r>
      <w:r>
        <w:t xml:space="preserve">; </w:t>
      </w:r>
      <w:r>
        <w:t>Nova Criação, Nova Criatura</w:t>
      </w:r>
      <w:r>
        <w:t xml:space="preserve">; </w:t>
      </w:r>
      <w:r>
        <w:t>Regeneração</w:t>
      </w:r>
      <w:r>
        <w:t>.</w:t>
      </w:r>
      <w:r/>
      <w:r/>
    </w:p>
    <w:p>
      <w:r/>
    </w:p>
    <w:p>
      <w:pPr>
        <w:pStyle w:val="Heading2"/>
      </w:pPr>
      <w:r>
        <w:t>Vida Familiar E Relações</w:t>
      </w:r>
      <w:r/>
    </w:p>
    <w:p>
      <w:r/>
      <w:r>
        <w:t>Nos tempos da Bíblia, a família era composta dos membros de uma casa, incluindo não apenas pais e filhos, juntamente a outros parentes e concubinas, mas também servos, viajantes, estrangeiros, e qualquer outra pessoa que habitava na casa e estava, portanto, sob a proteção do chefe da família. A família de Jacó, por exemplo, era composta por três gerações (</w:t>
      </w:r>
      <w:hyperlink r:id="rId20544">
        <w:r>
          <w:rPr>
            <w:color w:val="0000EE"/>
            <w:u w:val="single"/>
          </w:rPr>
          <w:t>Gn 46.8–26</w:t>
        </w:r>
      </w:hyperlink>
      <w:r>
        <w:t>). Biblicamente, o termo “família” é intercambiável com “casa”, e “começar uma casa” pode se referir a estabelecer uma habitação separada, bem como iniciar uma família. No sentido mais amplo, “casa” pode se referir a uma nação inteira (“casa de Israel”). Os chefes das famílias que voltaram da Babilônia no período pós-exílico normalmente controlavam várias centenas de membros da família (</w:t>
      </w:r>
      <w:hyperlink r:id="rId20545">
        <w:r>
          <w:rPr>
            <w:color w:val="0000EE"/>
            <w:u w:val="single"/>
          </w:rPr>
          <w:t>Esdras 8.1–14</w:t>
        </w:r>
      </w:hyperlink>
      <w:r>
        <w:t>). A família era uma parte menor de um clã ou tribo. Nos tempos nômades, as responsabilidades e alianças se centravam no grupo familiar maior.</w:t>
      </w:r>
    </w:p>
    <w:p>
      <w:r/>
      <w:r>
        <w:t>Aqueles que pertenciam ao clã sabiam que tinham que trabalhar por interesses comuns e aceitar a responsabilidade por todo o grupo. Todos os membros da família deveriam ser protegidos e assistidos em tempo de necessidade.</w:t>
      </w:r>
    </w:p>
    <w:p>
      <w:r/>
      <w:r>
        <w:t>À medida que a vida dos israelitas se tornava mais estável, as famílias (no sentido mais amplo do termo) passaram a viver em aldeias cercadas por campos de trigo, cevada e linho, com áreas de pastagem para ovelhas e cabras. Cada grupo de aldeias consistia de um grupo familiar interdependente e com relações de casamento entre si, como exemplo do povo da tribo de Dã em Zora e Estaol (</w:t>
      </w:r>
      <w:hyperlink r:id="rId20546">
        <w:r>
          <w:rPr>
            <w:color w:val="0000EE"/>
            <w:u w:val="single"/>
          </w:rPr>
          <w:t>Jz 18.11</w:t>
        </w:r>
      </w:hyperlink>
      <w:r>
        <w:t>). A vida difícil daqueles dias exigia uma partilha do trabalho e a cooperação leal de toda a família para a sobrevivência.</w:t>
      </w:r>
    </w:p>
    <w:p>
      <w:r/>
      <w:r>
        <w:t>À medida que os ofícios e o comércio se desenvolveram, juntamente com um estilo de vida mais sedentário, os filhos aprenderam as habilidades de seus pais e continuaram os negócios familiares. Consequentemente, toda a aldeia poderia seguir uma área de negócios específica (</w:t>
      </w:r>
      <w:hyperlink r:id="rId20547">
        <w:r>
          <w:rPr>
            <w:color w:val="0000EE"/>
            <w:u w:val="single"/>
          </w:rPr>
          <w:t>1 Crônicas 4.14</w:t>
        </w:r>
      </w:hyperlink>
      <w:r>
        <w:t xml:space="preserve">; </w:t>
      </w:r>
      <w:hyperlink r:id="rId13288">
        <w:r>
          <w:rPr>
            <w:color w:val="0000EE"/>
            <w:u w:val="single"/>
          </w:rPr>
          <w:t>Neemias 11.35</w:t>
        </w:r>
      </w:hyperlink>
      <w:r>
        <w:t>). Ao se especializar em tais negócios, no entanto, os aldeões se tornaram menos autossuficientes, dependendo mais dos fazendeiros para obter comida e de outras aldeias especializadas para a produção de pano ou cerâmica (</w:t>
      </w:r>
      <w:hyperlink r:id="rId20548">
        <w:r>
          <w:rPr>
            <w:color w:val="0000EE"/>
            <w:u w:val="single"/>
          </w:rPr>
          <w:t>1Cr 4.21–23</w:t>
        </w:r>
      </w:hyperlink>
      <w:r>
        <w:t>).</w:t>
      </w:r>
    </w:p>
    <w:p>
      <w:r/>
      <w:r>
        <w:t>Com o crescimento das cidades, grupos relacionados viviam juntos em áreas específicas. Muitos membros das tribos de Benjamim e Judá foram listados no censo de Jerusalém por Neemias (</w:t>
      </w:r>
      <w:hyperlink r:id="rId20549">
        <w:r>
          <w:rPr>
            <w:color w:val="0000EE"/>
            <w:u w:val="single"/>
          </w:rPr>
          <w:t>Ne 11.4–8</w:t>
        </w:r>
      </w:hyperlink>
      <w:r>
        <w:t>) e pelo escritor de Crônicas (</w:t>
      </w:r>
      <w:hyperlink r:id="rId20550">
        <w:r>
          <w:rPr>
            <w:color w:val="0000EE"/>
            <w:u w:val="single"/>
          </w:rPr>
          <w:t>1Cr 9.3–9</w:t>
        </w:r>
      </w:hyperlink>
      <w:r>
        <w:t>). Uma consequência da vida nas cidades era a fragmentação do grupo familiar. À medida que os laços da família acabavam sendo afrouxados, a unidade consistia cada vez mais de um marido e uma esposa com seus filhos, vivendo em uma casa. O tamanho das casas que foram escavadas exclui a ideia de qualquer unidade familiar maior do que a comum nas sociedades do AT.</w:t>
      </w:r>
    </w:p>
    <w:p>
      <w:r/>
      <w:r>
        <w:t>Durante o período do reinado, os filhos do rei Davi, Amnom e Absalão formaram suas próprias casas separadas (</w:t>
      </w:r>
      <w:hyperlink r:id="rId20551">
        <w:r>
          <w:rPr>
            <w:color w:val="0000EE"/>
            <w:u w:val="single"/>
          </w:rPr>
          <w:t>2 Sm 13.7–8, 20</w:t>
        </w:r>
      </w:hyperlink>
      <w:r>
        <w:t>). Naquela época, havia poucos escravos na sociedade hebraica, mas eles também eram considerados membros da família. À medida que os laços da família em geral se afrouxavam, e o dono da casa perdia um grau de autoridade, a sociedade se tornava uma na qual o rei era soberano e todas as pessoas eram seus súditos.</w:t>
      </w:r>
    </w:p>
    <w:p>
      <w:r/>
      <w:r>
        <w:t>Os primeiros reis de Israel promoveram tal mudança para estabelecer uma autoridade central para todo o país. Os súditos do rei caíam amplamente nas categorias de empregadores e empregados, correspondendo aos ricos e pobres da sociedade. No século 8 a.C, os membros da família maior não trabalhavam mais para o bem comum sob a autoridade do chefe do clã; em vez disso, os indivíduos trabalhavam principalmente para o bem de sua própria família imediata. Daí o trabalho e devoção de alguém eram focados mais estreitamente, e o maior beneficiário era o rei, o símbolo pessoal da nação.</w:t>
      </w:r>
    </w:p>
    <w:p>
      <w:r/>
      <w:r>
        <w:t>A ênfase na unidade familiar menor aumentou, e antigos deveres que costumavam ser aceitos de bom grado pelos grupos maiores em tempos anteriores vieram a ser negligenciados. As pessoas nem sempre ajudavam os parentes em momentos de necessidade, e eles frequentemente tinham que ser lembrados de suas obrigações, especialmente em relação às viúvas e órfãos (</w:t>
      </w:r>
      <w:hyperlink r:id="rId15916">
        <w:r>
          <w:rPr>
            <w:color w:val="0000EE"/>
            <w:u w:val="single"/>
          </w:rPr>
          <w:t>Is 1.17</w:t>
        </w:r>
      </w:hyperlink>
      <w:r>
        <w:t xml:space="preserve">; </w:t>
      </w:r>
      <w:hyperlink r:id="rId15930">
        <w:r>
          <w:rPr>
            <w:color w:val="0000EE"/>
            <w:u w:val="single"/>
          </w:rPr>
          <w:t>Jr 7.6</w:t>
        </w:r>
      </w:hyperlink>
      <w:r>
        <w:t>). As rixas familiares também diminuíram porque os membros não se sentiam mais responsáveis por se vingar como uma maneira de manter a honra do clã (</w:t>
      </w:r>
      <w:hyperlink r:id="rId4489">
        <w:r>
          <w:rPr>
            <w:color w:val="0000EE"/>
            <w:u w:val="single"/>
          </w:rPr>
          <w:t>2 Sm 3.27</w:t>
        </w:r>
      </w:hyperlink>
      <w:r>
        <w:t xml:space="preserve">; </w:t>
      </w:r>
      <w:hyperlink r:id="rId20552">
        <w:r>
          <w:rPr>
            <w:color w:val="0000EE"/>
            <w:u w:val="single"/>
          </w:rPr>
          <w:t>16.8</w:t>
        </w:r>
      </w:hyperlink>
      <w:r>
        <w:t xml:space="preserve">; </w:t>
      </w:r>
      <w:hyperlink r:id="rId20553">
        <w:r>
          <w:rPr>
            <w:color w:val="0000EE"/>
            <w:u w:val="single"/>
          </w:rPr>
          <w:t>2Rs 9.26</w:t>
        </w:r>
      </w:hyperlink>
      <w:r>
        <w:t>). Contudo, Neemias esperava que os israelitas lutassem pela honra de sua família (</w:t>
      </w:r>
      <w:hyperlink r:id="rId20554">
        <w:r>
          <w:rPr>
            <w:color w:val="0000EE"/>
            <w:u w:val="single"/>
          </w:rPr>
          <w:t>Neemias 4.14</w:t>
        </w:r>
      </w:hyperlink>
      <w:r>
        <w:t>). Nos tempos do NT, a família era uma unidade que poderia até mesmo ser vendida em caso de uma dívida incorrida por um de seus membros (</w:t>
      </w:r>
      <w:hyperlink r:id="rId20555">
        <w:r>
          <w:rPr>
            <w:color w:val="0000EE"/>
            <w:u w:val="single"/>
          </w:rPr>
          <w:t>Mt 18.25</w:t>
        </w:r>
      </w:hyperlink>
      <w:r>
        <w:t>).</w:t>
      </w:r>
    </w:p>
    <w:p>
      <w:r/>
      <w:r>
        <w:t>A ênfase da religião hebraica na participação familiar em certas celebrações fortalecia a unidade menor. A Páscoa, por exemplo, sempre era celebrada como uma refeição de ação de graças em família (</w:t>
      </w:r>
      <w:hyperlink r:id="rId20556">
        <w:r>
          <w:rPr>
            <w:color w:val="0000EE"/>
            <w:u w:val="single"/>
          </w:rPr>
          <w:t>Êx 12.3–4, 46</w:t>
        </w:r>
      </w:hyperlink>
      <w:r>
        <w:t>). Os pais do profeta Samuel faziam uma peregrinação anual tradicional ao santuário em Siló (</w:t>
      </w:r>
      <w:hyperlink r:id="rId18697">
        <w:r>
          <w:rPr>
            <w:color w:val="0000EE"/>
            <w:u w:val="single"/>
          </w:rPr>
          <w:t>1Sm 2.19</w:t>
        </w:r>
      </w:hyperlink>
      <w:r>
        <w:t>). Nos tempos modernos, a chegada de um jovem menino judeu ao início da masculinidade é celebrada com a cerimônia de Bar Mitzvah. Ser tão honrado no meio de uma família religiosa preserva a antiga tradição hebraica de participação familiar em cerimônias religiosas.</w:t>
      </w:r>
    </w:p>
    <w:p>
      <w:r/>
      <w:r>
        <w:t>Em sua pregação, Jesus usou a família como um símbolo para o relacionamento de Deus com seu povo (</w:t>
      </w:r>
      <w:hyperlink r:id="rId20557">
        <w:r>
          <w:rPr>
            <w:color w:val="0000EE"/>
            <w:u w:val="single"/>
          </w:rPr>
          <w:t>Mt 19.14</w:t>
        </w:r>
      </w:hyperlink>
      <w:r>
        <w:t xml:space="preserve">; </w:t>
      </w:r>
      <w:hyperlink r:id="rId20558">
        <w:r>
          <w:rPr>
            <w:color w:val="0000EE"/>
            <w:u w:val="single"/>
          </w:rPr>
          <w:t>23.9</w:t>
        </w:r>
      </w:hyperlink>
      <w:r>
        <w:t xml:space="preserve">; </w:t>
      </w:r>
      <w:hyperlink r:id="rId20130">
        <w:r>
          <w:rPr>
            <w:color w:val="0000EE"/>
            <w:u w:val="single"/>
          </w:rPr>
          <w:t>Lc 8.21</w:t>
        </w:r>
      </w:hyperlink>
      <w:r>
        <w:t>). Da cruz, ele entregou a responsabilidade pelo cuidado de sua mãe ao seu discípulo João (</w:t>
      </w:r>
      <w:hyperlink r:id="rId20559">
        <w:r>
          <w:rPr>
            <w:color w:val="0000EE"/>
            <w:u w:val="single"/>
          </w:rPr>
          <w:t>Jo 19.27</w:t>
        </w:r>
      </w:hyperlink>
      <w:r>
        <w:t>).</w:t>
      </w:r>
    </w:p>
    <w:p>
      <w:r/>
      <w:r>
        <w:t>Nos tempos do NT, as refeições de comunhão na igreja de Jerusalém aconteciam em lares familiares (</w:t>
      </w:r>
      <w:hyperlink r:id="rId4689">
        <w:r>
          <w:rPr>
            <w:color w:val="0000EE"/>
            <w:u w:val="single"/>
          </w:rPr>
          <w:t>Atos 2.46</w:t>
        </w:r>
      </w:hyperlink>
      <w:r>
        <w:t>). As primeiras reuniões cristãs eram realizadas nas casas dos crentes por causa da oposição das autoridades. O livro de Atos contém exemplos de famílias inteiras sendo convertidas ao cristianismo (</w:t>
      </w:r>
      <w:hyperlink r:id="rId20560">
        <w:r>
          <w:rPr>
            <w:color w:val="0000EE"/>
            <w:u w:val="single"/>
          </w:rPr>
          <w:t>Atos 10.24, 44–48</w:t>
        </w:r>
      </w:hyperlink>
      <w:r>
        <w:t xml:space="preserve">; </w:t>
      </w:r>
      <w:hyperlink r:id="rId20561">
        <w:r>
          <w:rPr>
            <w:color w:val="0000EE"/>
            <w:u w:val="single"/>
          </w:rPr>
          <w:t>16.15, 31–32</w:t>
        </w:r>
      </w:hyperlink>
      <w:r>
        <w:t>). Timóteo aprendeu o evangelho com sua avó e com sua mãe (</w:t>
      </w:r>
      <w:hyperlink r:id="rId7588">
        <w:r>
          <w:rPr>
            <w:color w:val="0000EE"/>
            <w:u w:val="single"/>
          </w:rPr>
          <w:t>2Tm 1.5</w:t>
        </w:r>
      </w:hyperlink>
      <w:r>
        <w:t>).</w:t>
      </w:r>
    </w:p>
    <w:p>
      <w:r/>
      <w:r>
        <w:t>Resumo</w:t>
      </w:r>
    </w:p>
    <w:p>
      <w:r/>
      <w:r>
        <w:t>• Status dos membros da família</w:t>
      </w:r>
    </w:p>
    <w:p>
      <w:r/>
      <w:r>
        <w:t>• Segurança Conjugal</w:t>
      </w:r>
    </w:p>
    <w:p>
      <w:r/>
      <w:r>
        <w:t>• Posição das Crianças</w:t>
      </w:r>
    </w:p>
    <w:p>
      <w:r/>
      <w:r>
        <w:t>• Os Direitos das Crianças</w:t>
      </w:r>
    </w:p>
    <w:p>
      <w:r/>
      <w:r>
        <w:t>• Vida Diária da Família Hebraica</w:t>
      </w:r>
    </w:p>
    <w:p>
      <w:r/>
      <w:r>
        <w:t>• Nos Tempos Do Novo Testamento</w:t>
      </w:r>
    </w:p>
    <w:p>
      <w:pPr>
        <w:pStyle w:val="Heading3"/>
      </w:pPr>
      <w:r>
        <w:t>Status dos membros da família</w:t>
      </w:r>
    </w:p>
    <w:p>
      <w:r/>
      <w:r>
        <w:t>Desde os tempos nômades, a autoridade de um pai mantinha o grupo familiar unido em seu acampamento, e ele se tornava o símbolo da segurança dos demais. Nas antigas sociedades patriarcais, o pai era um mestre absoluto que tinha o poder da vida e da morte sobre os membros da família, governando com autoridade incontestável. Embora ele tivesse extensas responsabilidades por aqueles que estavam sob seu controle, seu poder era incrível e seu status inquestionável.</w:t>
      </w:r>
    </w:p>
    <w:p>
      <w:r/>
      <w:r>
        <w:t>As posses de um homem incluíam sua esposa, servos, escravos e animais (</w:t>
      </w:r>
      <w:hyperlink r:id="rId1569">
        <w:r>
          <w:rPr>
            <w:color w:val="0000EE"/>
            <w:u w:val="single"/>
          </w:rPr>
          <w:t>Êx 20.17</w:t>
        </w:r>
      </w:hyperlink>
      <w:r>
        <w:t xml:space="preserve">; </w:t>
      </w:r>
      <w:hyperlink r:id="rId4531">
        <w:r>
          <w:rPr>
            <w:color w:val="0000EE"/>
            <w:u w:val="single"/>
          </w:rPr>
          <w:t>Deuteronômio 5.21</w:t>
        </w:r>
      </w:hyperlink>
      <w:r>
        <w:t>). Na verdade, a frase “se casar com uma esposa” vem de uma raiz hebraica que significa “se tornar o mestre de uma esposa.” Um marido era tanto o mestre de sua esposa quanto ele era de sua casa ou de seus campos. Consequentemente, a esposa se dirigia a ele de uma maneira subserviente, como um escravo se dirigiria a um mestre (</w:t>
      </w:r>
      <w:hyperlink r:id="rId11370">
        <w:r>
          <w:rPr>
            <w:color w:val="0000EE"/>
            <w:u w:val="single"/>
          </w:rPr>
          <w:t>Gn 18.12</w:t>
        </w:r>
      </w:hyperlink>
      <w:r>
        <w:t xml:space="preserve">; </w:t>
      </w:r>
      <w:hyperlink r:id="rId20562">
        <w:r>
          <w:rPr>
            <w:color w:val="0000EE"/>
            <w:u w:val="single"/>
          </w:rPr>
          <w:t>Jz 19.26</w:t>
        </w:r>
      </w:hyperlink>
      <w:r>
        <w:t>). Esta baixa posição para as mulheres se estendia até mesmo para a posição de uma filha nos antigos lares. As mulheres estavam sempre sob a autoridade de um parente homem: primeiro, o pai; depois, o marido. Se uma mulher se tornasse viúva, ela passava a estar sujeita ao parente homem mais próximo de seu marido, que se tornava seu “resgatador”. O preço da noiva (</w:t>
      </w:r>
      <w:hyperlink r:id="rId20563">
        <w:r>
          <w:rPr>
            <w:color w:val="0000EE"/>
            <w:u w:val="single"/>
          </w:rPr>
          <w:t>Gn 29.18, 27</w:t>
        </w:r>
      </w:hyperlink>
      <w:r>
        <w:t xml:space="preserve">; </w:t>
      </w:r>
      <w:hyperlink r:id="rId20564">
        <w:r>
          <w:rPr>
            <w:color w:val="0000EE"/>
            <w:u w:val="single"/>
          </w:rPr>
          <w:t>Êx 22.16–17</w:t>
        </w:r>
      </w:hyperlink>
      <w:r>
        <w:t xml:space="preserve">; </w:t>
      </w:r>
      <w:hyperlink r:id="rId4933">
        <w:r>
          <w:rPr>
            <w:color w:val="0000EE"/>
            <w:u w:val="single"/>
          </w:rPr>
          <w:t>1Sm 18.25</w:t>
        </w:r>
      </w:hyperlink>
      <w:r>
        <w:t xml:space="preserve">; </w:t>
      </w:r>
      <w:hyperlink r:id="rId4575">
        <w:r>
          <w:rPr>
            <w:color w:val="0000EE"/>
            <w:u w:val="single"/>
          </w:rPr>
          <w:t>2Sm 3.14</w:t>
        </w:r>
      </w:hyperlink>
      <w:r>
        <w:t>) pago por seu marido não era exatamente o homem comprando a mulher da casa de seu pai, mas esta troca de dinheiro a estigmatizava. A quantidade paga pela noiva dependia da posição social de seu pai (</w:t>
      </w:r>
      <w:hyperlink r:id="rId4570">
        <w:r>
          <w:rPr>
            <w:color w:val="0000EE"/>
            <w:u w:val="single"/>
          </w:rPr>
          <w:t>Gn 34.12</w:t>
        </w:r>
      </w:hyperlink>
      <w:r>
        <w:t>). O preço comum era provavelmente de 20 a 30 siclos de prata. A noiva recebia de seu futuro marido presentes de joias, ornamentos e roupas, e ela, ocasionalmente, desfrutava de algum tipo de retorno financeiro ou material do preço pago por ela para seu próprio uso (</w:t>
      </w:r>
      <w:hyperlink r:id="rId20565">
        <w:r>
          <w:rPr>
            <w:color w:val="0000EE"/>
            <w:u w:val="single"/>
          </w:rPr>
          <w:t>Js 15.19</w:t>
        </w:r>
      </w:hyperlink>
      <w:r>
        <w:t xml:space="preserve">; </w:t>
      </w:r>
      <w:hyperlink r:id="rId20566">
        <w:r>
          <w:rPr>
            <w:color w:val="0000EE"/>
            <w:u w:val="single"/>
          </w:rPr>
          <w:t>Jz 1.15</w:t>
        </w:r>
      </w:hyperlink>
      <w:r>
        <w:t>). Quando seu pai ou marido morriam, o dinheiro frequentemente era revertido para ela.</w:t>
      </w:r>
    </w:p>
    <w:p>
      <w:r/>
      <w:r>
        <w:t>Uma mulher noiva era considerada propriedade de seu noivo, da mesma forma como se ela já estivesse casada com ele (</w:t>
      </w:r>
      <w:hyperlink r:id="rId458">
        <w:r>
          <w:rPr>
            <w:color w:val="0000EE"/>
            <w:u w:val="single"/>
          </w:rPr>
          <w:t>Deuteronômio 22.23–27</w:t>
        </w:r>
      </w:hyperlink>
      <w:r>
        <w:t>). A mulher deixava sua própria família no casamento, para viver e se tornar parte da família de seu novo marido. Normalmente, todos os casamentos sucessivos seriam com os membros dessa família.</w:t>
      </w:r>
    </w:p>
    <w:p>
      <w:r/>
      <w:r>
        <w:t>Apesar da baixa posição legal da mãe da família, sua vida não era tão ruim quanto se poderia supor. Ela era a esposa legal, não uma serva que não era paga, e ela frequentemente assumia um papel forte como conselheira de seu marido nos assuntos familiares. Sua função mais importante, além de dar à luz, era a organização da casa, da qual ela normalmente era a administradora respeitada. Mesmo que a esposa tivesse sido adquirida através da captura na guerra (</w:t>
      </w:r>
      <w:hyperlink r:id="rId4557">
        <w:r>
          <w:rPr>
            <w:color w:val="0000EE"/>
            <w:u w:val="single"/>
          </w:rPr>
          <w:t>Deuteronômio 21.10–14</w:t>
        </w:r>
      </w:hyperlink>
      <w:r>
        <w:t>), ela não poderia ser vendida como uma escrava, nem mesmo sua filha poderia (</w:t>
      </w:r>
      <w:hyperlink r:id="rId4532">
        <w:r>
          <w:rPr>
            <w:color w:val="0000EE"/>
            <w:u w:val="single"/>
          </w:rPr>
          <w:t>Êx 21.7</w:t>
        </w:r>
      </w:hyperlink>
      <w:r>
        <w:t xml:space="preserve">; </w:t>
      </w:r>
      <w:hyperlink r:id="rId4533">
        <w:r>
          <w:rPr>
            <w:color w:val="0000EE"/>
            <w:u w:val="single"/>
          </w:rPr>
          <w:t>Neemias 5.5</w:t>
        </w:r>
      </w:hyperlink>
      <w:r>
        <w:t>).</w:t>
      </w:r>
    </w:p>
    <w:p>
      <w:r/>
      <w:r>
        <w:t xml:space="preserve">No entanto, sua posição era precária, visto que ela poderia ser rejeitada ou divorciada por seu marido como resultado de uma simples renúncia: “Ela não é mais minha esposa, e eu não sou mais seu marido”. Talvez ele tivesse encontrado falhas em suas habilidades culinárias, ou possivelmente ele estaria de olhos em outra mulher. Em todo caso, um marido sabia que se sua esposa não obedecesse a um sinal ou um olhar sequer, ele estava dentro de seus direitos de obter o divórcio (cf. </w:t>
      </w:r>
      <w:hyperlink r:id="rId20567">
        <w:r>
          <w:rPr>
            <w:color w:val="0000EE"/>
            <w:u w:val="single"/>
          </w:rPr>
          <w:t>Eclesiástico 25:26</w:t>
        </w:r>
      </w:hyperlink>
      <w:r>
        <w:t>). A esposa, no entanto, detinha um certo grau de proteção através da carta de repúdio, pela qual sua liberdade era formalmente restaurada. Sob a tradição judaica, uma esposa não poderia se divorciar de seu marido.</w:t>
      </w:r>
    </w:p>
    <w:p>
      <w:r/>
      <w:r>
        <w:t>Em questões de protocolo doméstico, a esposa hebreia não era apresentada aos convidados de seu marido, uma tradição que posteriormente levou a um considerável constrangimento para a esposa de Abraão, Sara, e para Rebeca (</w:t>
      </w:r>
      <w:hyperlink r:id="rId4133">
        <w:r>
          <w:rPr>
            <w:color w:val="0000EE"/>
            <w:u w:val="single"/>
          </w:rPr>
          <w:t>Gn 20.16</w:t>
        </w:r>
      </w:hyperlink>
      <w:r>
        <w:t>). Uma mulher normalmente permanecia com o véu em público (</w:t>
      </w:r>
      <w:hyperlink r:id="rId4588">
        <w:r>
          <w:rPr>
            <w:color w:val="0000EE"/>
            <w:u w:val="single"/>
          </w:rPr>
          <w:t>24.65</w:t>
        </w:r>
      </w:hyperlink>
      <w:r>
        <w:t xml:space="preserve">; </w:t>
      </w:r>
      <w:hyperlink r:id="rId20568">
        <w:r>
          <w:rPr>
            <w:color w:val="0000EE"/>
            <w:u w:val="single"/>
          </w:rPr>
          <w:t>38.14</w:t>
        </w:r>
      </w:hyperlink>
      <w:r>
        <w:t xml:space="preserve">; </w:t>
      </w:r>
      <w:hyperlink r:id="rId14737">
        <w:r>
          <w:rPr>
            <w:color w:val="0000EE"/>
            <w:u w:val="single"/>
          </w:rPr>
          <w:t>Is 47.2</w:t>
        </w:r>
      </w:hyperlink>
      <w:r>
        <w:t>).</w:t>
      </w:r>
    </w:p>
    <w:p>
      <w:r/>
      <w:r>
        <w:t xml:space="preserve">As imagens em </w:t>
      </w:r>
      <w:hyperlink r:id="rId20569">
        <w:r>
          <w:rPr>
            <w:color w:val="0000EE"/>
            <w:u w:val="single"/>
          </w:rPr>
          <w:t>Provérbios 19.13</w:t>
        </w:r>
      </w:hyperlink>
      <w:r>
        <w:t xml:space="preserve"> e </w:t>
      </w:r>
      <w:hyperlink r:id="rId20570">
        <w:r>
          <w:rPr>
            <w:color w:val="0000EE"/>
            <w:u w:val="single"/>
          </w:rPr>
          <w:t>27.15</w:t>
        </w:r>
      </w:hyperlink>
      <w:r>
        <w:t xml:space="preserve"> desenvolvem uma comparação vigorosa entre uma mulher contenciosa e água gotejando de um telhado com vazamento. O AT deixa poucas dúvidas sobre o tipo de comportamento esperado de uma mulher. Esperava-se que ela fosse encantadora, de fala suave, discreta e calma (</w:t>
      </w:r>
      <w:hyperlink r:id="rId20571">
        <w:r>
          <w:rPr>
            <w:color w:val="0000EE"/>
            <w:u w:val="single"/>
          </w:rPr>
          <w:t>Pv 9.13</w:t>
        </w:r>
      </w:hyperlink>
      <w:r>
        <w:t xml:space="preserve">; </w:t>
      </w:r>
      <w:hyperlink r:id="rId20572">
        <w:r>
          <w:rPr>
            <w:color w:val="0000EE"/>
            <w:u w:val="single"/>
          </w:rPr>
          <w:t>11.16, 22</w:t>
        </w:r>
      </w:hyperlink>
      <w:r>
        <w:t xml:space="preserve">; </w:t>
      </w:r>
      <w:hyperlink r:id="rId20573">
        <w:r>
          <w:rPr>
            <w:color w:val="0000EE"/>
            <w:u w:val="single"/>
          </w:rPr>
          <w:t>21.9</w:t>
        </w:r>
      </w:hyperlink>
      <w:r>
        <w:t>). Ela também deveria ser responsável, bem organizada, inteligente, atenciosa, reverente e uma boa administradora da casa e das finanças da família (</w:t>
      </w:r>
      <w:hyperlink r:id="rId276">
        <w:r>
          <w:rPr>
            <w:color w:val="0000EE"/>
            <w:u w:val="single"/>
          </w:rPr>
          <w:t>31.10–31</w:t>
        </w:r>
      </w:hyperlink>
      <w:r>
        <w:t>). Uma mulher também deveria ser piedosa e bonita, e na tradição do NT, submissa a seu marido, como condiz a uma mulher adornada com a joia inestimável de um espírito gentil e manso (</w:t>
      </w:r>
      <w:hyperlink r:id="rId20264">
        <w:r>
          <w:rPr>
            <w:color w:val="0000EE"/>
            <w:u w:val="single"/>
          </w:rPr>
          <w:t>Tt 2.4–5</w:t>
        </w:r>
      </w:hyperlink>
      <w:r>
        <w:t xml:space="preserve">; </w:t>
      </w:r>
      <w:hyperlink r:id="rId16715">
        <w:r>
          <w:rPr>
            <w:color w:val="0000EE"/>
            <w:u w:val="single"/>
          </w:rPr>
          <w:t>1Pe 3.1–6</w:t>
        </w:r>
      </w:hyperlink>
      <w:r>
        <w:t>).</w:t>
      </w:r>
    </w:p>
    <w:p>
      <w:r/>
      <w:r>
        <w:t>As ações de algumas mulheres que não parecem se encaixar no padrão da mulher mansa e passiva, representada acima, são registradas na Bíblia e nos Apócrifos. Os livros de Judite e Ester descrevem contos heroicos de como as fortunas nacionais foram salvas por mulheres. Débora e Jael foram heroínas renomadas (</w:t>
      </w:r>
      <w:hyperlink r:id="rId6636">
        <w:r>
          <w:rPr>
            <w:color w:val="0000EE"/>
            <w:u w:val="single"/>
          </w:rPr>
          <w:t>Jz 4–5</w:t>
        </w:r>
      </w:hyperlink>
      <w:r>
        <w:t>), e o reino de Judá foi governado por uma mulher cruel, Atalia, por vários anos (</w:t>
      </w:r>
      <w:hyperlink r:id="rId18399">
        <w:r>
          <w:rPr>
            <w:color w:val="0000EE"/>
            <w:u w:val="single"/>
          </w:rPr>
          <w:t>2Rs 11</w:t>
        </w:r>
      </w:hyperlink>
      <w:r>
        <w:t>). As mulheres que chegaram à vanguarda da vida pública foram excepcionais e poucas em número. Judite era uma viúva rica, uma coisa incomum em Israel.</w:t>
      </w:r>
    </w:p>
    <w:p>
      <w:pPr>
        <w:pStyle w:val="Heading3"/>
      </w:pPr>
      <w:r>
        <w:t>Segurança conjugal</w:t>
      </w:r>
    </w:p>
    <w:p>
      <w:r/>
      <w:r>
        <w:t>A segurança da posição de uma esposa melhorava consideravelmente quando ela tinha seu primeiro filho, especialmente se fosse um filho homem. O dever principal de uma mulher para com seu marido e sua família era a procriação (</w:t>
      </w:r>
      <w:hyperlink r:id="rId6088">
        <w:r>
          <w:rPr>
            <w:color w:val="0000EE"/>
            <w:u w:val="single"/>
          </w:rPr>
          <w:t>Gn 1.28</w:t>
        </w:r>
      </w:hyperlink>
      <w:r>
        <w:t xml:space="preserve">; </w:t>
      </w:r>
      <w:hyperlink r:id="rId8512">
        <w:r>
          <w:rPr>
            <w:color w:val="0000EE"/>
            <w:u w:val="single"/>
          </w:rPr>
          <w:t>9.1</w:t>
        </w:r>
      </w:hyperlink>
      <w:r>
        <w:t>), e até que ela desse a luz a um filho, ela temia ser substituída por uma segunda esposa ou uma concubina. Os casamentos poligâmicos não eram de forma alguma raros, especialmente em famílias ricas. Eles resultavam em dois grupos familiares mal definidos, controlados pelas mães, mas sob a autoridade geral dos pais; havia ciúmes e atritos inevitáveis.</w:t>
      </w:r>
    </w:p>
    <w:p>
      <w:r/>
      <w:r>
        <w:t>A posição legal de uma mulher era consistentemente pobre nos tempos bíblicos. Sem nenhuma evidência, um marido poderia acusar sua esposa de adultério, e ela era compelida a enfrentar um julgamento por provação. Ela tinha que se submeter a fazer um juramento, comer poeira e uma oferta de cereais e beber água amarga. Um sacerdote, por sua vez, fazia pronunciamentos sobre os terríveis resultados que lhe viriam se ela fosse culpada: ela se tornaria uma marginalizada sem esperança de sobrevivência. Mas se ela mantivesse sua serenidade, e se sua coxa não apodrecesse, nem seu abdômen inchasse, ela era considerada como tendo “provado” sua inocência. Em tal evento, ela ficaria livre, e seu marido não precisaria enfrentar nenhuma responsabilidade por sua falsa denúncia (</w:t>
      </w:r>
      <w:hyperlink r:id="rId7215">
        <w:r>
          <w:rPr>
            <w:color w:val="0000EE"/>
            <w:u w:val="single"/>
          </w:rPr>
          <w:t>Nm 5.12–31</w:t>
        </w:r>
      </w:hyperlink>
      <w:r>
        <w:t>).</w:t>
      </w:r>
    </w:p>
    <w:p>
      <w:r/>
      <w:r>
        <w:t>Se uma mulher fizesse um voto, este seria válido apenas enquanto seu pai ou marido o aprovasse. Se ela se tornasse viúva, o voto ainda permanecia em vigor e poderia ser usado contra ela (</w:t>
      </w:r>
      <w:hyperlink r:id="rId20574">
        <w:r>
          <w:rPr>
            <w:color w:val="0000EE"/>
            <w:u w:val="single"/>
          </w:rPr>
          <w:t>Nm 30.3–15</w:t>
        </w:r>
      </w:hyperlink>
      <w:r>
        <w:t>).</w:t>
      </w:r>
    </w:p>
    <w:p>
      <w:r/>
      <w:r>
        <w:t>Uma mulher em Israel estava sempre sob a proteção de um homem, seja seu pai, avô, bisavô, irmão, marido ou algum outro membro da família de seu marido. Ela tinha poucos direitos legais e, em contraste com as tradições babilônicas, não poderia ter direito à herança após a morte de seu marido. Não é de se admirar que as viúvas fossem classificadas junto aos órfãos e pobres. Uma viúva sem filhos poderia, dependendo da ocasião, voltar para a família de seu pai (</w:t>
      </w:r>
      <w:hyperlink r:id="rId20575">
        <w:r>
          <w:rPr>
            <w:color w:val="0000EE"/>
            <w:u w:val="single"/>
          </w:rPr>
          <w:t>Gn 38.11</w:t>
        </w:r>
      </w:hyperlink>
      <w:r>
        <w:t xml:space="preserve">; </w:t>
      </w:r>
      <w:hyperlink r:id="rId20576">
        <w:r>
          <w:rPr>
            <w:color w:val="0000EE"/>
            <w:u w:val="single"/>
          </w:rPr>
          <w:t>Lv 22.13</w:t>
        </w:r>
      </w:hyperlink>
      <w:r>
        <w:t xml:space="preserve">; </w:t>
      </w:r>
      <w:hyperlink r:id="rId20577">
        <w:r>
          <w:rPr>
            <w:color w:val="0000EE"/>
            <w:u w:val="single"/>
          </w:rPr>
          <w:t>Rt 1.8</w:t>
        </w:r>
      </w:hyperlink>
      <w:r>
        <w:t>), tornando-se assim novamente sujeita à autoridade de seu pai. Uma viúva hebreia também poderia permanecer com a família de seu falecido marido. Ela então ficaria sob a proteção de seu “resgatador”, um parente homem da família de seu marido que assumiria a responsabilidade por ela. Se um marido morresse deixando uma mulher sem filhos, era responsabilidade do irmão do marido se casar com ela. O primeiro filho nascido de tal união era então considerado como o herdeiro do primeiro marido.</w:t>
      </w:r>
    </w:p>
    <w:p>
      <w:r/>
      <w:r>
        <w:t>Era normal que um irmão aceitasse a obrigação de tal casamento (levirato). Este poderia ser negado por vários motivos, mas tal rejeição era considerada desonrosa, pois era o dever do homem perpetuar o nome de seu irmão e salvaguardar os bens da família.</w:t>
      </w:r>
    </w:p>
    <w:p>
      <w:r/>
      <w:r>
        <w:t>As responsabilidades de um resgatador eram consideráveis. Além do casamento, ele talvez estivesse envolvido em vingar a reputação da família, e ele tinha que garantir que a propriedade da família aumentasse e permanecesse dentro do controle desta família.</w:t>
      </w:r>
    </w:p>
    <w:p>
      <w:r/>
      <w:r>
        <w:t>Se um israelita caísse em dívida e fosse forçado a se vender como escravo, ele normalmente seria “resgatado” por um de seus parentes (</w:t>
      </w:r>
      <w:hyperlink r:id="rId16279">
        <w:r>
          <w:rPr>
            <w:color w:val="0000EE"/>
            <w:u w:val="single"/>
          </w:rPr>
          <w:t>Lv 25.47–49</w:t>
        </w:r>
      </w:hyperlink>
      <w:r>
        <w:t xml:space="preserve">). Se em sua miséria um israelita tivesse que vender sua terra ou sua casa, o resgatador tinha o direito da primeira recusa sobre todos os outros possíveis compradores. Era tanto seu dever quanto seu direito impedir que a propriedade familiar passasse para as mãos de estranhos (v. </w:t>
      </w:r>
      <w:hyperlink r:id="rId17876">
        <w:r>
          <w:rPr>
            <w:color w:val="0000EE"/>
            <w:u w:val="single"/>
          </w:rPr>
          <w:t>25</w:t>
        </w:r>
      </w:hyperlink>
      <w:r>
        <w:t>). O profeta Jeremias comprou o campo de seu primo Hananel sob circunstâncias semelhantes (</w:t>
      </w:r>
      <w:hyperlink r:id="rId20114">
        <w:r>
          <w:rPr>
            <w:color w:val="0000EE"/>
            <w:u w:val="single"/>
          </w:rPr>
          <w:t>Jr 32.6–15</w:t>
        </w:r>
      </w:hyperlink>
      <w:r>
        <w:t>).</w:t>
      </w:r>
    </w:p>
    <w:p>
      <w:r/>
      <w:r>
        <w:t>A história mais familiar do AT de uma viúva sem filhos, seu “resgatador”, e seu casamento levirato está registrada no livro de Rute. Um dos dois filhos de Noemi se casou com Rute. Quando Rute ficou viúva, sua sogra empobrecida, Noemi, deixou sua casa em Moabe e voltou para Belém para vender parte da propriedade da família. Embora um parente próximo estivesse preparado para comprar a terra e mantê-la na família, ele não estava pronto da mesma maneira para se casar com Rute (</w:t>
      </w:r>
      <w:hyperlink r:id="rId18733">
        <w:r>
          <w:rPr>
            <w:color w:val="0000EE"/>
            <w:u w:val="single"/>
          </w:rPr>
          <w:t>Rt 3.12</w:t>
        </w:r>
      </w:hyperlink>
      <w:r>
        <w:t xml:space="preserve">; </w:t>
      </w:r>
      <w:hyperlink r:id="rId16281">
        <w:r>
          <w:rPr>
            <w:color w:val="0000EE"/>
            <w:u w:val="single"/>
          </w:rPr>
          <w:t>4.4</w:t>
        </w:r>
      </w:hyperlink>
      <w:r>
        <w:t>). Ele sabia que um filho dessa união seria considerado um filho do falecido, levaria o nome do marido morto e, assim, finalmente, herdaria a terra (</w:t>
      </w:r>
      <w:hyperlink r:id="rId18475">
        <w:r>
          <w:rPr>
            <w:color w:val="0000EE"/>
            <w:u w:val="single"/>
          </w:rPr>
          <w:t>4.4–6</w:t>
        </w:r>
      </w:hyperlink>
      <w:r>
        <w:t>). O parente próximo em ordem de parentesco era Boaz, que se tornou o “resgatador” de Rute. Ele estava preparado para aceitar a dupla obrigação de comprar a terra e se casar com Rute (</w:t>
      </w:r>
      <w:hyperlink r:id="rId20578">
        <w:r>
          <w:rPr>
            <w:color w:val="0000EE"/>
            <w:u w:val="single"/>
          </w:rPr>
          <w:t>4.9–10</w:t>
        </w:r>
      </w:hyperlink>
      <w:r>
        <w:t>).</w:t>
      </w:r>
    </w:p>
    <w:p>
      <w:pPr>
        <w:pStyle w:val="Heading3"/>
      </w:pPr>
      <w:r>
        <w:t>Posição dos filhos</w:t>
      </w:r>
    </w:p>
    <w:p>
      <w:r/>
      <w:r>
        <w:t>As crianças eram geralmente muito amadas, mas sua infância era curta e muitas vezes eram consideradas trabalhadores da casa ou dos campos. De acordo com a lei da primogenitura, o filho mais velho recebia uma porção dupla da propriedade como seu direito (</w:t>
      </w:r>
      <w:hyperlink r:id="rId7904">
        <w:r>
          <w:rPr>
            <w:color w:val="0000EE"/>
            <w:u w:val="single"/>
          </w:rPr>
          <w:t>Deuteronômio 21.17</w:t>
        </w:r>
      </w:hyperlink>
      <w:r>
        <w:t>). Assim, ele era assegurado da posição de chefe de família. Mesmo durante a vida de seu pai, o filho mais velho tinha precedência sobre seus irmãos e irmãs (</w:t>
      </w:r>
      <w:hyperlink r:id="rId12044">
        <w:r>
          <w:rPr>
            <w:color w:val="0000EE"/>
            <w:u w:val="single"/>
          </w:rPr>
          <w:t>Gn 43.33</w:t>
        </w:r>
      </w:hyperlink>
      <w:r>
        <w:t>). Quando gêmeos nasciam, o primeiro a emergir do útero era considerado o mais velho, com todos os privilégios atendidos (</w:t>
      </w:r>
      <w:hyperlink r:id="rId8127">
        <w:r>
          <w:rPr>
            <w:color w:val="0000EE"/>
            <w:u w:val="single"/>
          </w:rPr>
          <w:t>25.24–26</w:t>
        </w:r>
      </w:hyperlink>
      <w:r>
        <w:t xml:space="preserve">; </w:t>
      </w:r>
      <w:hyperlink r:id="rId14128">
        <w:r>
          <w:rPr>
            <w:color w:val="0000EE"/>
            <w:u w:val="single"/>
          </w:rPr>
          <w:t>38.27–30</w:t>
        </w:r>
      </w:hyperlink>
      <w:r>
        <w:t>).</w:t>
      </w:r>
    </w:p>
    <w:p>
      <w:r/>
      <w:r>
        <w:t>Por uma ofensa grave, o filho mais velho poderia perder o direito de primogenitura (</w:t>
      </w:r>
      <w:hyperlink r:id="rId3785">
        <w:r>
          <w:rPr>
            <w:color w:val="0000EE"/>
            <w:u w:val="single"/>
          </w:rPr>
          <w:t>Gn 35.22</w:t>
        </w:r>
      </w:hyperlink>
      <w:r>
        <w:t xml:space="preserve">; </w:t>
      </w:r>
      <w:hyperlink r:id="rId10511">
        <w:r>
          <w:rPr>
            <w:color w:val="0000EE"/>
            <w:u w:val="single"/>
          </w:rPr>
          <w:t>49.3–4</w:t>
        </w:r>
      </w:hyperlink>
      <w:r>
        <w:t xml:space="preserve">; </w:t>
      </w:r>
      <w:hyperlink r:id="rId20579">
        <w:r>
          <w:rPr>
            <w:color w:val="0000EE"/>
            <w:u w:val="single"/>
          </w:rPr>
          <w:t>1 Crônicas 5.1</w:t>
        </w:r>
      </w:hyperlink>
      <w:r>
        <w:t>), ou poderia ser entregue voluntariamente, como Esaú fez vendendo seu direito de primogenitura a seu irmão Jacó (</w:t>
      </w:r>
      <w:hyperlink r:id="rId8128">
        <w:r>
          <w:rPr>
            <w:color w:val="0000EE"/>
            <w:u w:val="single"/>
          </w:rPr>
          <w:t>Gn 25.29–34</w:t>
        </w:r>
      </w:hyperlink>
      <w:r>
        <w:t>). Havia uma lei que protegia o filho mais velho do favoritismo de seu pai por um irmão mais novo (</w:t>
      </w:r>
      <w:hyperlink r:id="rId5355">
        <w:r>
          <w:rPr>
            <w:color w:val="0000EE"/>
            <w:u w:val="single"/>
          </w:rPr>
          <w:t>Deuteronômio 21.15–17</w:t>
        </w:r>
      </w:hyperlink>
      <w:r>
        <w:t>). Todavia, o rei Davi deu seu reino a Salomão, seu filho mais novo (</w:t>
      </w:r>
      <w:hyperlink r:id="rId20580">
        <w:r>
          <w:rPr>
            <w:color w:val="0000EE"/>
            <w:u w:val="single"/>
          </w:rPr>
          <w:t>1Rs 2.15</w:t>
        </w:r>
      </w:hyperlink>
      <w:r>
        <w:t>).</w:t>
      </w:r>
    </w:p>
    <w:p>
      <w:r/>
      <w:r>
        <w:t>Em uma família sem filhos homens, uma filha poderia herdar a propriedade (</w:t>
      </w:r>
      <w:hyperlink r:id="rId7214">
        <w:r>
          <w:rPr>
            <w:color w:val="0000EE"/>
            <w:u w:val="single"/>
          </w:rPr>
          <w:t>Nm 27.8</w:t>
        </w:r>
      </w:hyperlink>
      <w:r>
        <w:t>). Com frequência, os pais não consultavam nem seus filhos, nem suas filhas quando os parceiros de casamento eram arranjados para eles. O casamento era muitas vezes uma aliança ou contrato entre duas famílias, e, portanto, os desejos e interesses dos indivíduos eram considerados sem importância. Relacionamentos de amor eram poucos, embora ocasionalmente um filho se casasse desafiando seus pais, como Esaú fez (</w:t>
      </w:r>
      <w:hyperlink r:id="rId8129">
        <w:r>
          <w:rPr>
            <w:color w:val="0000EE"/>
            <w:u w:val="single"/>
          </w:rPr>
          <w:t>Gn 26.34–35</w:t>
        </w:r>
      </w:hyperlink>
      <w:r>
        <w:t>). Embora fosse raro os jovens expressarem seus sentimentos e preferências sobre o casamento de uma maneira aberta, a filha de Saul, Mical, declarou seu amor por Davi (</w:t>
      </w:r>
      <w:hyperlink r:id="rId20581">
        <w:r>
          <w:rPr>
            <w:color w:val="0000EE"/>
            <w:u w:val="single"/>
          </w:rPr>
          <w:t>1Sm 18.20</w:t>
        </w:r>
      </w:hyperlink>
      <w:r>
        <w:t>).</w:t>
      </w:r>
    </w:p>
    <w:p>
      <w:r/>
      <w:r>
        <w:t>Não há registro de adoção legal entre os hebreus, mas isso já era praticado desde os tempos antigos na Mesopotâmia. Era especialmente útil como um meio de garantir a um casal sem filhos que suas terras continuariam sendo lavradas e que eles seriam cuidados em sua velhice. Todos os exemplos de adoção mencionados no AT ocorreram fora da terra de Israel (</w:t>
      </w:r>
      <w:hyperlink r:id="rId14738">
        <w:r>
          <w:rPr>
            <w:color w:val="0000EE"/>
            <w:u w:val="single"/>
          </w:rPr>
          <w:t>Êx 2.10</w:t>
        </w:r>
      </w:hyperlink>
      <w:r>
        <w:t xml:space="preserve">; </w:t>
      </w:r>
      <w:hyperlink r:id="rId20582">
        <w:r>
          <w:rPr>
            <w:color w:val="0000EE"/>
            <w:u w:val="single"/>
          </w:rPr>
          <w:t>1Rs 11.20</w:t>
        </w:r>
      </w:hyperlink>
      <w:r>
        <w:t xml:space="preserve">; </w:t>
      </w:r>
      <w:hyperlink r:id="rId3367">
        <w:r>
          <w:rPr>
            <w:color w:val="0000EE"/>
            <w:u w:val="single"/>
          </w:rPr>
          <w:t>Et 2.7, 15</w:t>
        </w:r>
      </w:hyperlink>
      <w:r>
        <w:t>) e não são exemplos de verdadeira adoção como um membro vitalício de uma família.</w:t>
      </w:r>
    </w:p>
    <w:p>
      <w:pPr>
        <w:pStyle w:val="Heading3"/>
      </w:pPr>
      <w:r>
        <w:t>Os direitos dos filhos</w:t>
      </w:r>
    </w:p>
    <w:p>
      <w:r/>
      <w:r>
        <w:t>A natureza da sociedade patriarcal fazia distinções infelizes entre filhos homens e mulheres. A posição de uma filha, que poderia ser vendida como escrava ou vendida para ser a concubina de um homem e, então, ser possivelmente vendida novamente (</w:t>
      </w:r>
      <w:hyperlink r:id="rId8168">
        <w:r>
          <w:rPr>
            <w:color w:val="0000EE"/>
            <w:u w:val="single"/>
          </w:rPr>
          <w:t>Êx 21.7–11</w:t>
        </w:r>
      </w:hyperlink>
      <w:r>
        <w:t xml:space="preserve">), certamente era inferior à posição de um filho. No período patriarcal, no entanto, tanto um filho quanto uma filha poderiam ser mortos por desobedecer ao chefe da família. Os filhos também poderiam ser sacrificados em rituais de adoração (veja </w:t>
      </w:r>
      <w:hyperlink r:id="rId182">
        <w:r>
          <w:rPr>
            <w:color w:val="0000EE"/>
            <w:u w:val="single"/>
          </w:rPr>
          <w:t>Gn 22</w:t>
        </w:r>
      </w:hyperlink>
      <w:r>
        <w:t xml:space="preserve">; </w:t>
      </w:r>
      <w:hyperlink r:id="rId16186">
        <w:r>
          <w:rPr>
            <w:color w:val="0000EE"/>
            <w:u w:val="single"/>
          </w:rPr>
          <w:t>Jz 11</w:t>
        </w:r>
      </w:hyperlink>
      <w:r>
        <w:t>). É provável que o sacrifício infantil fosse praticado pelas nações vizinhas de Israel, incluindo Canaã e Amom.</w:t>
      </w:r>
    </w:p>
    <w:p>
      <w:r/>
      <w:r>
        <w:t>Os direitos dos filhos foram consideravelmente melhorados com a promulgação do código da lei mosaica. Um pai não tinha mais permissão para matar seu filho sem explicar o caso aos anciãos (</w:t>
      </w:r>
      <w:hyperlink r:id="rId7213">
        <w:r>
          <w:rPr>
            <w:color w:val="0000EE"/>
            <w:u w:val="single"/>
          </w:rPr>
          <w:t>Deuteronômio 21.18–21</w:t>
        </w:r>
      </w:hyperlink>
      <w:r>
        <w:t>). Tanto filhos quanto filhas poderiam ser trazidos diante de tais autoridades e acusados de serem desobedientes, glutões ou beberrões. A autoridade absoluta de um pai se estendia até mesmo ao seu filho casado e sua família se eles estivessem vivendo sob o telhado dele. A lei também proibia os filhos de serem responsabilizados pelos crimes de seus pais (</w:t>
      </w:r>
      <w:hyperlink r:id="rId18379">
        <w:r>
          <w:rPr>
            <w:color w:val="0000EE"/>
            <w:u w:val="single"/>
          </w:rPr>
          <w:t>Deuteronômio 24.16</w:t>
        </w:r>
      </w:hyperlink>
      <w:r>
        <w:t>). No tempo do rei Davi, uma pessoa condenada pela comunidade tinha o direito de apelar ao rei (</w:t>
      </w:r>
      <w:hyperlink r:id="rId20583">
        <w:r>
          <w:rPr>
            <w:color w:val="0000EE"/>
            <w:u w:val="single"/>
          </w:rPr>
          <w:t>2Sm 14.4–11</w:t>
        </w:r>
      </w:hyperlink>
      <w:r>
        <w:t>).</w:t>
      </w:r>
    </w:p>
    <w:p>
      <w:r/>
      <w:r>
        <w:t>Nas famílias hebraicas, ambos os pais eram mantidos em alto respeito. A honra tinha que ser dada tanto à mãe quanto ao pai (</w:t>
      </w:r>
      <w:hyperlink r:id="rId5750">
        <w:r>
          <w:rPr>
            <w:color w:val="0000EE"/>
            <w:u w:val="single"/>
          </w:rPr>
          <w:t>Êx 20.12</w:t>
        </w:r>
      </w:hyperlink>
      <w:r>
        <w:t>), e a lei condenava as ofensas contra ambos os pais (</w:t>
      </w:r>
      <w:hyperlink r:id="rId7228">
        <w:r>
          <w:rPr>
            <w:color w:val="0000EE"/>
            <w:u w:val="single"/>
          </w:rPr>
          <w:t>21.17</w:t>
        </w:r>
      </w:hyperlink>
      <w:r>
        <w:t xml:space="preserve">; </w:t>
      </w:r>
      <w:hyperlink r:id="rId7229">
        <w:r>
          <w:rPr>
            <w:color w:val="0000EE"/>
            <w:u w:val="single"/>
          </w:rPr>
          <w:t>Lv 20.9</w:t>
        </w:r>
      </w:hyperlink>
      <w:r>
        <w:t xml:space="preserve">; </w:t>
      </w:r>
      <w:hyperlink r:id="rId4629">
        <w:r>
          <w:rPr>
            <w:color w:val="0000EE"/>
            <w:u w:val="single"/>
          </w:rPr>
          <w:t>Dt 21.18</w:t>
        </w:r>
      </w:hyperlink>
      <w:r>
        <w:t xml:space="preserve">; </w:t>
      </w:r>
      <w:hyperlink r:id="rId7230">
        <w:r>
          <w:rPr>
            <w:color w:val="0000EE"/>
            <w:u w:val="single"/>
          </w:rPr>
          <w:t>27.16</w:t>
        </w:r>
      </w:hyperlink>
      <w:r>
        <w:t>). O respeito devido à mãe é um tema recorrente na literatura de sabedoria (</w:t>
      </w:r>
      <w:hyperlink r:id="rId20584">
        <w:r>
          <w:rPr>
            <w:color w:val="0000EE"/>
            <w:u w:val="single"/>
          </w:rPr>
          <w:t>Pv 19.26</w:t>
        </w:r>
      </w:hyperlink>
      <w:r>
        <w:t xml:space="preserve">; </w:t>
      </w:r>
      <w:hyperlink r:id="rId7231">
        <w:r>
          <w:rPr>
            <w:color w:val="0000EE"/>
            <w:u w:val="single"/>
          </w:rPr>
          <w:t>20.20</w:t>
        </w:r>
      </w:hyperlink>
      <w:r>
        <w:t xml:space="preserve">; </w:t>
      </w:r>
      <w:hyperlink r:id="rId20585">
        <w:r>
          <w:rPr>
            <w:color w:val="0000EE"/>
            <w:u w:val="single"/>
          </w:rPr>
          <w:t>cf. Eclesiástico 3.1–16</w:t>
        </w:r>
      </w:hyperlink>
      <w:r>
        <w:t>).</w:t>
      </w:r>
    </w:p>
    <w:p>
      <w:pPr>
        <w:pStyle w:val="Heading3"/>
      </w:pPr>
      <w:r>
        <w:t>Vida diária da família hebraica</w:t>
      </w:r>
    </w:p>
    <w:p>
      <w:r/>
      <w:r>
        <w:t>Nos assuntos cotidianos de uma casa hebraica, era responsabilidade do pai manter os bens da família e ser o provedor. Ele poderia trabalhar nos campos, provavelmente com colheitas de linho, cevada ou trigo. Ou ele trabalharia em um ofício, possivelmente como tecelão, construtor, oleiro, tintureiro, fuloneiro ou um trabalhador de cobre, ou bronze. Se ele morasse perto do litoral, ele poderia ser um pescador.</w:t>
      </w:r>
    </w:p>
    <w:p>
      <w:r/>
      <w:r>
        <w:t>O pai também era responsável pelo bem-estar religioso da família. Era seu dever assumir a educação de seus filhos desde cedo, ensinando-os os princípios da religião hebraica (</w:t>
      </w:r>
      <w:hyperlink r:id="rId20586">
        <w:r>
          <w:rPr>
            <w:color w:val="0000EE"/>
            <w:u w:val="single"/>
          </w:rPr>
          <w:t>Êx 10.2</w:t>
        </w:r>
      </w:hyperlink>
      <w:r>
        <w:t xml:space="preserve">; </w:t>
      </w:r>
      <w:hyperlink r:id="rId7583">
        <w:r>
          <w:rPr>
            <w:color w:val="0000EE"/>
            <w:u w:val="single"/>
          </w:rPr>
          <w:t>12.26</w:t>
        </w:r>
      </w:hyperlink>
      <w:r>
        <w:t xml:space="preserve">; </w:t>
      </w:r>
      <w:hyperlink r:id="rId20587">
        <w:r>
          <w:rPr>
            <w:color w:val="0000EE"/>
            <w:u w:val="single"/>
          </w:rPr>
          <w:t>Dt 4.9</w:t>
        </w:r>
      </w:hyperlink>
      <w:r>
        <w:t xml:space="preserve">; </w:t>
      </w:r>
      <w:hyperlink r:id="rId7318">
        <w:r>
          <w:rPr>
            <w:color w:val="0000EE"/>
            <w:u w:val="single"/>
          </w:rPr>
          <w:t>6.7</w:t>
        </w:r>
      </w:hyperlink>
      <w:r>
        <w:t>). Ele também explicava todas as facetas da lei e a história entrelaçada da nação.</w:t>
      </w:r>
    </w:p>
    <w:p>
      <w:r/>
      <w:r>
        <w:t>O pai era o disciplinador da família, com a vara sendo usada para garantir que as lições ensinadas fossem aplicadas em casa (</w:t>
      </w:r>
      <w:hyperlink r:id="rId7240">
        <w:r>
          <w:rPr>
            <w:color w:val="0000EE"/>
            <w:u w:val="single"/>
          </w:rPr>
          <w:t>Pv 13.24</w:t>
        </w:r>
      </w:hyperlink>
      <w:r>
        <w:t xml:space="preserve">; </w:t>
      </w:r>
      <w:hyperlink r:id="rId7289">
        <w:r>
          <w:rPr>
            <w:color w:val="0000EE"/>
            <w:u w:val="single"/>
          </w:rPr>
          <w:t>22.15</w:t>
        </w:r>
      </w:hyperlink>
      <w:r>
        <w:t xml:space="preserve">; </w:t>
      </w:r>
      <w:hyperlink r:id="rId20588">
        <w:r>
          <w:rPr>
            <w:color w:val="0000EE"/>
            <w:u w:val="single"/>
          </w:rPr>
          <w:t>29.15–17</w:t>
        </w:r>
      </w:hyperlink>
      <w:r>
        <w:t>). Embora as crianças fossem amadas e valorizadas, elas não eram mimadas (</w:t>
      </w:r>
      <w:hyperlink r:id="rId20589">
        <w:r>
          <w:rPr>
            <w:color w:val="0000EE"/>
            <w:u w:val="single"/>
          </w:rPr>
          <w:t>Eclo 30.9–12</w:t>
        </w:r>
      </w:hyperlink>
      <w:r>
        <w:t>). Nos tempos pós-exílicos, a educação também acontecia dentro dos recintos da sinagoga, e pouco antes do tempo de Cristo, uma educação elementar geral começou a ser introduzida. Também era imperativo que um pai ensinasse aos seus filhos um ofício, normalmente o seu próprio, pois um homem sem um ofício ou morria de fome, ou se tornava um ladrão. Outra responsabilidade paterna importante era fornecer esposas para os filhos homens na casa.</w:t>
      </w:r>
    </w:p>
    <w:p>
      <w:r/>
      <w:r>
        <w:t>A mãe era responsável pela educação elementar de seus filhos e filhas (</w:t>
      </w:r>
      <w:hyperlink r:id="rId5454">
        <w:r>
          <w:rPr>
            <w:color w:val="0000EE"/>
            <w:u w:val="single"/>
          </w:rPr>
          <w:t>Pv 1.8</w:t>
        </w:r>
      </w:hyperlink>
      <w:r>
        <w:t xml:space="preserve">; </w:t>
      </w:r>
      <w:hyperlink r:id="rId20590">
        <w:r>
          <w:rPr>
            <w:color w:val="0000EE"/>
            <w:u w:val="single"/>
          </w:rPr>
          <w:t>6.20</w:t>
        </w:r>
      </w:hyperlink>
      <w:r>
        <w:t>), ensinando-lhes canções e orações religiosas assim que eles pudessem falar. Um pai assumia a educação de seus filhos, mas a mãe continuava com as filhas, treinando-as para fiar, tecer, cozinhar, limpar, aparar as lâmpadas e, em geral, se tornarem competentes em todos os deveres domésticos (</w:t>
      </w:r>
      <w:hyperlink r:id="rId20591">
        <w:r>
          <w:rPr>
            <w:color w:val="0000EE"/>
            <w:u w:val="single"/>
          </w:rPr>
          <w:t>31.13–31</w:t>
        </w:r>
      </w:hyperlink>
      <w:r>
        <w:t>).</w:t>
      </w:r>
    </w:p>
    <w:p>
      <w:r/>
      <w:r>
        <w:t>Com poucos móveis, manter uma casa limpa significava varrer o chão para mantê-los livres de poeira e sujeira. Cozinhar era ao mesmo tempo, simples e difícil. Era simples na medida em que grande parte da comida era cozida na forma de uma sopa ou ensopado, ou então tudo era feito em um bolo e assado em uma chapa. Era difícil porque o milho tinha que ser moído à mão e o pão era assado diariamente.</w:t>
      </w:r>
    </w:p>
    <w:p>
      <w:r/>
      <w:r>
        <w:t>Esperava-se que uma mãe manuseasse lã, cortasse-a, girasse-a e muitas vezes tecesse e fizesse roupas para sua família. Além disso, ela ajudaria seu marido nos campos na época da colheita. Como muitas famílias tinham uma ou mais oliveiras, algumas vinhas e figueiras, a mãe também trabalhava na colheita dos frutos. Ela às vezes trabalhava na prensa quando as azeitonas ou as uvas estavam sendo processadas. Frequentemente, pisar nas uvas no tanque da família era uma atividade feita pelo marido e pela esposa juntos. Tirar água do poço era considerado uma tarefa servil e geralmente era da responsabilidade da esposa, embora às vezes fosse passada aos filhos (</w:t>
      </w:r>
      <w:hyperlink r:id="rId20592">
        <w:r>
          <w:rPr>
            <w:color w:val="0000EE"/>
            <w:u w:val="single"/>
          </w:rPr>
          <w:t>Gn 24.15–16</w:t>
        </w:r>
      </w:hyperlink>
      <w:r>
        <w:t>).</w:t>
      </w:r>
    </w:p>
    <w:p>
      <w:r/>
      <w:r>
        <w:t>Como em todas as sociedades, havia um tempo em que as crianças riam e brincavam juntas (</w:t>
      </w:r>
      <w:hyperlink r:id="rId20593">
        <w:r>
          <w:rPr>
            <w:color w:val="0000EE"/>
            <w:u w:val="single"/>
          </w:rPr>
          <w:t>Zc 8.5</w:t>
        </w:r>
      </w:hyperlink>
      <w:r>
        <w:t xml:space="preserve">; </w:t>
      </w:r>
      <w:hyperlink r:id="rId14266">
        <w:r>
          <w:rPr>
            <w:color w:val="0000EE"/>
            <w:u w:val="single"/>
          </w:rPr>
          <w:t>Mt 11.16</w:t>
        </w:r>
      </w:hyperlink>
      <w:r>
        <w:t>), embora a infância e a adolescência não fossem reconhecidas como estágios específicos de desenvolvimento. As crianças eram consideradas lactantes se tivessem menos de três anos, mas eram consideradas meninos ou meninas quando eram capazes de cuidar de si mesmas. Uma criança pequena assentada no colo de sua mãe e foi citada em (</w:t>
      </w:r>
      <w:hyperlink r:id="rId20594">
        <w:r>
          <w:rPr>
            <w:color w:val="0000EE"/>
            <w:u w:val="single"/>
          </w:rPr>
          <w:t>Is 66.12</w:t>
        </w:r>
      </w:hyperlink>
      <w:r>
        <w:t>). Não há evidências de esportes organizados para crianças. Brinquedos, incluindo apitos, chocalhos, bonecas e utensílios de cozinha em miniatura, foram escavados em locais palestinos.</w:t>
      </w:r>
    </w:p>
    <w:p>
      <w:r/>
      <w:r>
        <w:t>Assim que um menino tinha idade suficiente, ele tomava seu lugar na família e aceitava sua tarefa reservada. Entre outras coisas, esperava-se que as crianças recolhessem combustível (</w:t>
      </w:r>
      <w:hyperlink r:id="rId6915">
        <w:r>
          <w:rPr>
            <w:color w:val="0000EE"/>
            <w:u w:val="single"/>
          </w:rPr>
          <w:t>Jr 7.18</w:t>
        </w:r>
      </w:hyperlink>
      <w:r>
        <w:t>). Meninos e meninas cuidavam dos rebanhos. As ovelhas tinham que ser protegidas das feras selvagens saqueadoras, protegidas contra sua própria insensatez quando elas vagavam perto de fendas, se dirigiam para bom pasto e água, e levadas para casa quando doentes ou feridas (</w:t>
      </w:r>
      <w:hyperlink r:id="rId20595">
        <w:r>
          <w:rPr>
            <w:color w:val="0000EE"/>
            <w:u w:val="single"/>
          </w:rPr>
          <w:t>Gn 29.6</w:t>
        </w:r>
      </w:hyperlink>
      <w:r>
        <w:t xml:space="preserve">; </w:t>
      </w:r>
      <w:hyperlink r:id="rId11874">
        <w:r>
          <w:rPr>
            <w:color w:val="0000EE"/>
            <w:u w:val="single"/>
          </w:rPr>
          <w:t>Êx 2.16</w:t>
        </w:r>
      </w:hyperlink>
      <w:r>
        <w:t>). O tratamento do gado também era da responsabilidade das crianças (</w:t>
      </w:r>
      <w:hyperlink r:id="rId20596">
        <w:r>
          <w:rPr>
            <w:color w:val="0000EE"/>
            <w:u w:val="single"/>
          </w:rPr>
          <w:t>1Sm 16.11</w:t>
        </w:r>
      </w:hyperlink>
      <w:r>
        <w:t>). Por necessidade, os meninos eram treinados nas várias artes da guerra.</w:t>
      </w:r>
    </w:p>
    <w:p>
      <w:r/>
      <w:r>
        <w:t>As crianças às vezes se juntavam a seus pais nos campos, e sua presença sempre era bem-vinda. Desde os primeiros tempos, os meninos em especial observavam seus pais até que eles também escolhessem uma ferramenta ou instrumento para testar sua habilidade; as meninas observavam e aprendiam com suas mães. As crianças pequenas frequentemente ouviam a conversa dos anciãos nos portões da cidade ou nas aldeias. Uma visita a um santuário no tempo de festa era um assunto de família, fornecendo uma experiência de aprendizado ideal. Quando criança, Jesus acompanhou seus pais, Maria e José, até o templo em Jerusalém (</w:t>
      </w:r>
      <w:hyperlink r:id="rId20597">
        <w:r>
          <w:rPr>
            <w:color w:val="0000EE"/>
            <w:u w:val="single"/>
          </w:rPr>
          <w:t>Lc 2.42–47</w:t>
        </w:r>
      </w:hyperlink>
      <w:r>
        <w:t>).</w:t>
      </w:r>
    </w:p>
    <w:p>
      <w:r/>
      <w:r>
        <w:t>As jovens meninas eram surpreendentemente livres para realizar suas tarefas designadas. Elas não eram isoladas ou veladas e poderiam fazer visitas livremente com amigas e vizinhas (</w:t>
      </w:r>
      <w:hyperlink r:id="rId7157">
        <w:r>
          <w:rPr>
            <w:color w:val="0000EE"/>
            <w:u w:val="single"/>
          </w:rPr>
          <w:t>Gn 34.1</w:t>
        </w:r>
      </w:hyperlink>
      <w:r>
        <w:t>). Elas também podiam conversar com os homens sem constrangimento (</w:t>
      </w:r>
      <w:hyperlink r:id="rId20598">
        <w:r>
          <w:rPr>
            <w:color w:val="0000EE"/>
            <w:u w:val="single"/>
          </w:rPr>
          <w:t>24.15–25</w:t>
        </w:r>
      </w:hyperlink>
      <w:r>
        <w:t xml:space="preserve">; </w:t>
      </w:r>
      <w:hyperlink r:id="rId20599">
        <w:r>
          <w:rPr>
            <w:color w:val="0000EE"/>
            <w:u w:val="single"/>
          </w:rPr>
          <w:t>29.11–12</w:t>
        </w:r>
      </w:hyperlink>
      <w:r>
        <w:t xml:space="preserve">; </w:t>
      </w:r>
      <w:hyperlink r:id="rId20600">
        <w:r>
          <w:rPr>
            <w:color w:val="0000EE"/>
            <w:u w:val="single"/>
          </w:rPr>
          <w:t>1Sm 9.11–13</w:t>
        </w:r>
      </w:hyperlink>
      <w:r>
        <w:t>).</w:t>
      </w:r>
    </w:p>
    <w:p>
      <w:r/>
      <w:r>
        <w:t>As refeições eram estritamente momentos familiares. É discutível que uma refeição comparável a um café da manhã fosse comida, e um fazendeiro provavelmente tinha um almoço leve nos campos. A principal refeição do dia era preparada pela mãe, e era comida no início da noite. Embora a variedade de alimentos disponíveis fosse limitada, sua preparação consumia tempo.</w:t>
      </w:r>
    </w:p>
    <w:p>
      <w:r/>
      <w:r>
        <w:t>Os tempos das festas eram períodos de grande significado religioso e também eram os dias em que os membros da família participavam dos rituais simbólicos de sua fé. Entre os israelitas, vários tipos de comida eram fundamentais para seu ritual religioso. A unidade da família e a religião nacional eram moldadas por refeições especiais feitas em casa.</w:t>
      </w:r>
    </w:p>
    <w:p>
      <w:r/>
      <w:r>
        <w:t>A luz do dia desempenhava um papel importante nos hábitos diários das pessoas na antiguidade. Embora as lâmpadas a óleo estivessem prontamente disponíveis em períodos posteriores, era costume se levantar com o sol e ir para a cama relativamente logo após o anoitecer. A esposa provavelmente acordava antes do nascer do sol e continuava seu trabalho ao anoitecer.</w:t>
      </w:r>
    </w:p>
    <w:p>
      <w:pPr>
        <w:pStyle w:val="Heading3"/>
      </w:pPr>
      <w:r>
        <w:t>Nos tempos do Novo Testamento</w:t>
      </w:r>
    </w:p>
    <w:p>
      <w:r/>
      <w:r>
        <w:t>Nos tempos do NT, para aqueles que seguiram o estilo grego e romano, a vida se tornou mais elegante. Apesar disso, a posição de muitos dos membros da família não mudou substancialmente. As famílias mais ricas tinham mais escravos, e as crianças eram mais propensas a ter educação formal, ocasionalmente investindo menos esforço nas tarefas familiares. Mesmo nos tempos romanos, no entanto, o pai ainda tinha o direito legal de aceitar ou rejeitar seu filho.</w:t>
      </w:r>
    </w:p>
    <w:p>
      <w:r/>
      <w:r>
        <w:t>A posição da mulher havia definitivamente melhorado no período do NT. Uma mãe de família romana era altamente respeitada e exercia uma forte influência sobre seu marido. Ela não ficava restrita em uma parte específica da casa, como uma mulher grega, mas gerenciava e supervisionava tarefas em qualquer parte de sua casa. Ela ajudava seu marido nos negócios, tinha seu próprio lugar nos teatros, jogos e festivais religiosos, e às vezes administrava sua própria propriedade. As mulheres palestinas começaram a desfrutar de uma nova condição e maior dignidade, como resultado da atitude de Jesus em relação às mulheres e sua influência na igreja cristã primitiva.</w:t>
      </w:r>
    </w:p>
    <w:p>
      <w:r/>
      <w:r>
        <w:rPr>
          <w:i/>
        </w:rPr>
        <w:t>Veja também</w:t>
      </w:r>
      <w:r>
        <w:t xml:space="preserve"> </w:t>
      </w:r>
      <w:r>
        <w:t>Educação</w:t>
      </w:r>
      <w:r>
        <w:t xml:space="preserve">; </w:t>
      </w:r>
      <w:r>
        <w:t>Casamento, Costumes Matrimoniais</w:t>
      </w:r>
      <w:r>
        <w:t xml:space="preserve">; </w:t>
      </w:r>
      <w:r>
        <w:t>Sexo, Sexualidade</w:t>
      </w:r>
      <w:r>
        <w:t xml:space="preserve">; </w:t>
      </w:r>
      <w:r>
        <w:t>Viúva</w:t>
      </w:r>
      <w:r>
        <w:t xml:space="preserve">; </w:t>
      </w:r>
      <w:r>
        <w:t>Mulher</w:t>
      </w:r>
      <w:r>
        <w:t>.</w:t>
      </w:r>
      <w:r/>
      <w:r/>
    </w:p>
    <w:p>
      <w:r/>
    </w:p>
    <w:p>
      <w:pPr>
        <w:pStyle w:val="Heading2"/>
      </w:pPr>
      <w:r>
        <w:t>Videira de Sodoma</w:t>
      </w:r>
      <w:r/>
    </w:p>
    <w:p>
      <w:r/>
      <w:r>
        <w:t>Designação para uma planta que produz um fruto atraente, mas não comestível (</w:t>
      </w:r>
      <w:hyperlink r:id="rId17120">
        <w:r>
          <w:rPr>
            <w:color w:val="0000EE"/>
            <w:u w:val="single"/>
          </w:rPr>
          <w:t>Dt 32.32</w:t>
        </w:r>
      </w:hyperlink>
      <w:r>
        <w:t xml:space="preserve">). </w:t>
      </w:r>
      <w:r>
        <w:rPr>
          <w:i/>
        </w:rPr>
        <w:t>Veja</w:t>
      </w:r>
      <w:r>
        <w:t xml:space="preserve"> </w:t>
      </w:r>
      <w:r>
        <w:t>Plantas (Cabaça, Selvagem)</w:t>
      </w:r>
      <w:r>
        <w:t>.</w:t>
      </w:r>
      <w:r/>
      <w:r/>
    </w:p>
    <w:p>
      <w:r/>
    </w:p>
    <w:p>
      <w:pPr>
        <w:pStyle w:val="Heading2"/>
      </w:pPr>
      <w:r>
        <w:t>Videiras, Vinhedo</w:t>
      </w:r>
      <w:r/>
    </w:p>
    <w:p>
      <w:r/>
      <w:r>
        <w:t>Videiras ou parreiras são plantas cultivadas para a produção de uvas, passas e vinho. Um vinhedo é uma área onde se cultivam parreiras.</w:t>
      </w:r>
    </w:p>
    <w:p>
      <w:r/>
      <w:r>
        <w:t>As escrituras mencionam videiras tanto em sentidos literais quanto figurativos. As videiras provavelmente se originaram na região de Ararate (</w:t>
      </w:r>
      <w:hyperlink r:id="rId13254">
        <w:r>
          <w:rPr>
            <w:color w:val="0000EE"/>
            <w:u w:val="single"/>
          </w:rPr>
          <w:t>Gn 9.20</w:t>
        </w:r>
      </w:hyperlink>
      <w:r>
        <w:t>). A videira também foi cultivada no antigo Egito, onde murais de tumbas retratam a produção de vinho. Os cananeus forneceram vinho para Abraão (</w:t>
      </w:r>
      <w:hyperlink r:id="rId7858">
        <w:r>
          <w:rPr>
            <w:color w:val="0000EE"/>
            <w:u w:val="single"/>
          </w:rPr>
          <w:t>14.18</w:t>
        </w:r>
      </w:hyperlink>
      <w:r>
        <w:t>). Moisés descreveu os vinhedos na terra prometida (</w:t>
      </w:r>
      <w:hyperlink r:id="rId5000">
        <w:r>
          <w:rPr>
            <w:color w:val="0000EE"/>
            <w:u w:val="single"/>
          </w:rPr>
          <w:t>Dt 6.11</w:t>
        </w:r>
      </w:hyperlink>
      <w:r>
        <w:t>).</w:t>
      </w:r>
    </w:p>
    <w:p>
      <w:pPr>
        <w:pStyle w:val="Heading3"/>
      </w:pPr>
      <w:r>
        <w:t>Por que as videiras eram importantes nos tempos bíblicos?</w:t>
      </w:r>
    </w:p>
    <w:p>
      <w:r/>
      <w:r>
        <w:t>Excelentes uvas dos vales e planícies forneciam frutas e vinho para melhorar a dieta insípida dos hebreus (</w:t>
      </w:r>
      <w:hyperlink r:id="rId20601">
        <w:r>
          <w:rPr>
            <w:color w:val="0000EE"/>
            <w:u w:val="single"/>
          </w:rPr>
          <w:t>Nm13.20,24</w:t>
        </w:r>
      </w:hyperlink>
      <w:r>
        <w:t xml:space="preserve">; </w:t>
      </w:r>
      <w:hyperlink r:id="rId20602">
        <w:r>
          <w:rPr>
            <w:color w:val="0000EE"/>
            <w:u w:val="single"/>
          </w:rPr>
          <w:t>Jz 14.5</w:t>
        </w:r>
      </w:hyperlink>
      <w:r>
        <w:t xml:space="preserve">; </w:t>
      </w:r>
      <w:hyperlink r:id="rId20603">
        <w:r>
          <w:rPr>
            <w:color w:val="0000EE"/>
            <w:u w:val="single"/>
          </w:rPr>
          <w:t>15.5</w:t>
        </w:r>
      </w:hyperlink>
      <w:r>
        <w:t xml:space="preserve">). O vinho era um produto importante que as pessoas compravam e vendiam. Esse comércio era muito ativo durante o tempo dos últimos reis de Israel (compare </w:t>
      </w:r>
      <w:hyperlink r:id="rId5613">
        <w:r>
          <w:rPr>
            <w:color w:val="0000EE"/>
            <w:u w:val="single"/>
          </w:rPr>
          <w:t>Ez 27.18</w:t>
        </w:r>
      </w:hyperlink>
      <w:r>
        <w:t>). Continuou a ser importante mais tarde, quando os gregos e romanos governaram a terra. Para os hebreus, uma imagem ideal de vida era de um homem pacificamente em um lugar, cultivando seu pedaço de terra e sentado sob sua videira (</w:t>
      </w:r>
      <w:hyperlink r:id="rId20604">
        <w:r>
          <w:rPr>
            <w:color w:val="0000EE"/>
            <w:u w:val="single"/>
          </w:rPr>
          <w:t>1Rs 4.25</w:t>
        </w:r>
      </w:hyperlink>
      <w:r>
        <w:t>).</w:t>
      </w:r>
    </w:p>
    <w:p>
      <w:pPr>
        <w:pStyle w:val="Heading3"/>
      </w:pPr>
      <w:r>
        <w:t>Cultivo e colheita de uvas</w:t>
      </w:r>
    </w:p>
    <w:p>
      <w:r/>
      <w:r>
        <w:t>Uma cerca viva ou cerca protetora cercava a vinha típica. Na época da colheita, guardas ficavam em uma torre de vigia para proteger a colheita de ladrões (</w:t>
      </w:r>
      <w:hyperlink r:id="rId20605">
        <w:r>
          <w:rPr>
            <w:color w:val="0000EE"/>
            <w:u w:val="single"/>
          </w:rPr>
          <w:t>Jó 24.18</w:t>
        </w:r>
      </w:hyperlink>
      <w:r>
        <w:t xml:space="preserve">; </w:t>
      </w:r>
      <w:hyperlink r:id="rId3881">
        <w:r>
          <w:rPr>
            <w:color w:val="0000EE"/>
            <w:u w:val="single"/>
          </w:rPr>
          <w:t>Is 1.8</w:t>
        </w:r>
      </w:hyperlink>
      <w:r>
        <w:t xml:space="preserve">; </w:t>
      </w:r>
      <w:hyperlink r:id="rId20280">
        <w:r>
          <w:rPr>
            <w:color w:val="0000EE"/>
            <w:u w:val="single"/>
          </w:rPr>
          <w:t>Mc 12.1</w:t>
        </w:r>
      </w:hyperlink>
      <w:r>
        <w:t>). As videiras eram plantadas em fileiras na área cercada. À medida que as plantas cresciam, os ramos eram guiados ao longo de suportes para elevar os galhos frutíferos do chão (</w:t>
      </w:r>
      <w:hyperlink r:id="rId18075">
        <w:r>
          <w:rPr>
            <w:color w:val="0000EE"/>
            <w:u w:val="single"/>
          </w:rPr>
          <w:t>Ez 17.6</w:t>
        </w:r>
      </w:hyperlink>
      <w:r>
        <w:t>). Os viticultores podavam e cuidavam das videiras (</w:t>
      </w:r>
      <w:hyperlink r:id="rId20606">
        <w:r>
          <w:rPr>
            <w:color w:val="0000EE"/>
            <w:u w:val="single"/>
          </w:rPr>
          <w:t>Lv 25.3</w:t>
        </w:r>
      </w:hyperlink>
      <w:r>
        <w:t xml:space="preserve">; </w:t>
      </w:r>
      <w:hyperlink r:id="rId20607">
        <w:r>
          <w:rPr>
            <w:color w:val="0000EE"/>
            <w:u w:val="single"/>
          </w:rPr>
          <w:t>Is 61.5</w:t>
        </w:r>
      </w:hyperlink>
      <w:r>
        <w:t xml:space="preserve">; </w:t>
      </w:r>
      <w:hyperlink r:id="rId20608">
        <w:r>
          <w:rPr>
            <w:color w:val="0000EE"/>
            <w:u w:val="single"/>
          </w:rPr>
          <w:t>Jl 3.10</w:t>
        </w:r>
      </w:hyperlink>
      <w:r>
        <w:t xml:space="preserve">; </w:t>
      </w:r>
      <w:hyperlink r:id="rId20609">
        <w:r>
          <w:rPr>
            <w:color w:val="0000EE"/>
            <w:u w:val="single"/>
          </w:rPr>
          <w:t>Jo 15.2</w:t>
        </w:r>
      </w:hyperlink>
      <w:r>
        <w:t>). Na época da colheita, o fruto maduro era colhido e levado para os lagares (</w:t>
      </w:r>
      <w:hyperlink r:id="rId20610">
        <w:r>
          <w:rPr>
            <w:color w:val="0000EE"/>
            <w:u w:val="single"/>
          </w:rPr>
          <w:t>Os 9.2</w:t>
        </w:r>
      </w:hyperlink>
      <w:r>
        <w:t>). O pisoteio das uvas era uma ocasião de celebração (</w:t>
      </w:r>
      <w:hyperlink r:id="rId14924">
        <w:r>
          <w:rPr>
            <w:color w:val="0000EE"/>
            <w:u w:val="single"/>
          </w:rPr>
          <w:t>Is 16.10</w:t>
        </w:r>
      </w:hyperlink>
      <w:r>
        <w:t xml:space="preserve">; </w:t>
      </w:r>
      <w:hyperlink r:id="rId20611">
        <w:r>
          <w:rPr>
            <w:color w:val="0000EE"/>
            <w:u w:val="single"/>
          </w:rPr>
          <w:t>Jr 25.30</w:t>
        </w:r>
      </w:hyperlink>
      <w:r>
        <w:t>). O suco fermentado era coletado em novos odres de pele de cabra ou grandes jarros de cerâmica (</w:t>
      </w:r>
      <w:hyperlink r:id="rId20612">
        <w:r>
          <w:rPr>
            <w:color w:val="0000EE"/>
            <w:u w:val="single"/>
          </w:rPr>
          <w:t>Mt 9.17</w:t>
        </w:r>
      </w:hyperlink>
      <w:r>
        <w:t>).</w:t>
      </w:r>
    </w:p>
    <w:p>
      <w:pPr>
        <w:pStyle w:val="Heading3"/>
      </w:pPr>
      <w:r>
        <w:t>O papel dos vinhedos na vida cotidiana</w:t>
      </w:r>
    </w:p>
    <w:p>
      <w:r/>
      <w:r>
        <w:t>Os trabalhadores da colheita de uvas podiam ser isentos do serviço militar, destacando sua importância econômica. Impostos e dívidas eram frequentemente pagos com vinho em vez de dinheiro. A lei permitia que os pobres respigassem nas vinhas como nos campos de trigo, coletando quaisquer uvas ou grãos deixados para trás após a colheita (</w:t>
      </w:r>
      <w:hyperlink r:id="rId5109">
        <w:r>
          <w:rPr>
            <w:color w:val="0000EE"/>
            <w:u w:val="single"/>
          </w:rPr>
          <w:t>Lv 19.9–10</w:t>
        </w:r>
      </w:hyperlink>
      <w:r>
        <w:t>). As videiras que não produziam frutos eram usadas para produzir carvão (</w:t>
      </w:r>
      <w:hyperlink r:id="rId20613">
        <w:r>
          <w:rPr>
            <w:color w:val="0000EE"/>
            <w:u w:val="single"/>
          </w:rPr>
          <w:t>Ez 15.4</w:t>
        </w:r>
      </w:hyperlink>
      <w:r>
        <w:t xml:space="preserve">; </w:t>
      </w:r>
      <w:hyperlink r:id="rId18081">
        <w:r>
          <w:rPr>
            <w:color w:val="0000EE"/>
            <w:u w:val="single"/>
          </w:rPr>
          <w:t>Jo 15.6</w:t>
        </w:r>
      </w:hyperlink>
      <w:r>
        <w:t>).</w:t>
      </w:r>
    </w:p>
    <w:p>
      <w:pPr>
        <w:pStyle w:val="Heading3"/>
      </w:pPr>
      <w:r>
        <w:t>O ensino de Jesus sobre videiras e vinho</w:t>
      </w:r>
    </w:p>
    <w:p>
      <w:r/>
      <w:r>
        <w:t>Jesus frequentemente usava a videira como pano de fundo para suas parábolas (</w:t>
      </w:r>
      <w:hyperlink r:id="rId8698">
        <w:r>
          <w:rPr>
            <w:color w:val="0000EE"/>
            <w:u w:val="single"/>
          </w:rPr>
          <w:t>Mt 20.1–16</w:t>
        </w:r>
      </w:hyperlink>
      <w:r>
        <w:t xml:space="preserve">; </w:t>
      </w:r>
      <w:hyperlink r:id="rId20614">
        <w:r>
          <w:rPr>
            <w:color w:val="0000EE"/>
            <w:u w:val="single"/>
          </w:rPr>
          <w:t>21.28–43</w:t>
        </w:r>
      </w:hyperlink>
      <w:r>
        <w:t xml:space="preserve">; </w:t>
      </w:r>
      <w:hyperlink r:id="rId20615">
        <w:r>
          <w:rPr>
            <w:color w:val="0000EE"/>
            <w:u w:val="single"/>
          </w:rPr>
          <w:t>Mc 12.1–11</w:t>
        </w:r>
      </w:hyperlink>
      <w:r>
        <w:t xml:space="preserve">; </w:t>
      </w:r>
      <w:hyperlink r:id="rId9752">
        <w:r>
          <w:rPr>
            <w:color w:val="0000EE"/>
            <w:u w:val="single"/>
          </w:rPr>
          <w:t>Lc 13.6–9</w:t>
        </w:r>
      </w:hyperlink>
      <w:r>
        <w:t xml:space="preserve">; </w:t>
      </w:r>
      <w:hyperlink r:id="rId20616">
        <w:r>
          <w:rPr>
            <w:color w:val="0000EE"/>
            <w:u w:val="single"/>
          </w:rPr>
          <w:t>20.9–18</w:t>
        </w:r>
      </w:hyperlink>
      <w:r>
        <w:t>). Os métodos de produção de vinho eram amplamente conhecidos e compreendidos. A história de Jesus sobre colocar vinho novo em odres velhos era facilmente reconhecível para os ouvintes do Novo Testamento (</w:t>
      </w:r>
      <w:hyperlink r:id="rId20612">
        <w:r>
          <w:rPr>
            <w:color w:val="0000EE"/>
            <w:u w:val="single"/>
          </w:rPr>
          <w:t>Mt 9.17</w:t>
        </w:r>
      </w:hyperlink>
      <w:r>
        <w:t>). Em um sentido simbólico, Cristo se descreveu como a verdadeira videira, e seu sangue tornou-se o vinho sacramental da comunhão (</w:t>
      </w:r>
      <w:hyperlink r:id="rId20617">
        <w:r>
          <w:rPr>
            <w:color w:val="0000EE"/>
            <w:u w:val="single"/>
          </w:rPr>
          <w:t>Jo 15.1–11</w:t>
        </w:r>
      </w:hyperlink>
      <w:r>
        <w:t>).</w:t>
      </w:r>
    </w:p>
    <w:p>
      <w:r/>
      <w:r>
        <w:rPr>
          <w:i/>
        </w:rPr>
        <w:t>Ver também</w:t>
      </w:r>
      <w:r>
        <w:t xml:space="preserve"> </w:t>
      </w:r>
      <w:r>
        <w:t>Agricultura</w:t>
      </w:r>
      <w:r>
        <w:t xml:space="preserve">; </w:t>
      </w:r>
      <w:r>
        <w:t>Plantas (Videira)</w:t>
      </w:r>
      <w:r>
        <w:t>.</w:t>
      </w:r>
      <w:r/>
      <w:r/>
    </w:p>
    <w:p>
      <w:r/>
    </w:p>
    <w:p>
      <w:pPr>
        <w:pStyle w:val="Heading2"/>
      </w:pPr>
      <w:r>
        <w:t>Vidente</w:t>
      </w:r>
      <w:r/>
    </w:p>
    <w:p>
      <w:r/>
      <w:r>
        <w:t>Aquele que prediz eventos; uma prática pagã, a adivinhação era proibida em Israel (</w:t>
      </w:r>
      <w:hyperlink r:id="rId20618">
        <w:r>
          <w:rPr>
            <w:color w:val="0000EE"/>
            <w:u w:val="single"/>
          </w:rPr>
          <w:t>Dt 18.10,14</w:t>
        </w:r>
      </w:hyperlink>
      <w:r>
        <w:t>). Nas Escrituras, a adivinhação foi praticada por Balaão, filho de Beor (</w:t>
      </w:r>
      <w:hyperlink r:id="rId2978">
        <w:r>
          <w:rPr>
            <w:color w:val="0000EE"/>
            <w:u w:val="single"/>
          </w:rPr>
          <w:t>Js 13.22</w:t>
        </w:r>
      </w:hyperlink>
      <w:r>
        <w:t>) e pelo Rei Manassés de Judá (</w:t>
      </w:r>
      <w:hyperlink r:id="rId9790">
        <w:r>
          <w:rPr>
            <w:color w:val="0000EE"/>
            <w:u w:val="single"/>
          </w:rPr>
          <w:t>2Rs 21.6</w:t>
        </w:r>
      </w:hyperlink>
      <w:r>
        <w:t xml:space="preserve">; </w:t>
      </w:r>
      <w:hyperlink r:id="rId6678">
        <w:r>
          <w:rPr>
            <w:color w:val="0000EE"/>
            <w:u w:val="single"/>
          </w:rPr>
          <w:t>2Cr 33.6</w:t>
        </w:r>
      </w:hyperlink>
      <w:r>
        <w:t>); os descendentes de Jacó foram comparados aos adivinhos da Filístia (</w:t>
      </w:r>
      <w:hyperlink r:id="rId20619">
        <w:r>
          <w:rPr>
            <w:color w:val="0000EE"/>
            <w:u w:val="single"/>
          </w:rPr>
          <w:t>Is 2.6</w:t>
        </w:r>
      </w:hyperlink>
      <w:r>
        <w:t>); eles foram listados entre os falsos profetas de Judá (</w:t>
      </w:r>
      <w:hyperlink r:id="rId20620">
        <w:r>
          <w:rPr>
            <w:color w:val="0000EE"/>
            <w:u w:val="single"/>
          </w:rPr>
          <w:t>Jr 27.9</w:t>
        </w:r>
      </w:hyperlink>
      <w:r>
        <w:t>). Durante os tempos do NT, a adivinhação era a fonte de um comércio lucrativo em Filipos (</w:t>
      </w:r>
      <w:hyperlink r:id="rId20621">
        <w:r>
          <w:rPr>
            <w:color w:val="0000EE"/>
            <w:u w:val="single"/>
          </w:rPr>
          <w:t>At 16.16</w:t>
        </w:r>
      </w:hyperlink>
      <w:r>
        <w:t>).</w:t>
      </w:r>
    </w:p>
    <w:p>
      <w:r/>
      <w:r>
        <w:rPr>
          <w:i/>
        </w:rPr>
        <w:t xml:space="preserve">Veja </w:t>
      </w:r>
      <w:r>
        <w:t>Magia</w:t>
      </w:r>
      <w:r>
        <w:t xml:space="preserve">; </w:t>
      </w:r>
      <w:r>
        <w:t>Feitiçaria</w:t>
      </w:r>
      <w:r>
        <w:t>.</w:t>
      </w:r>
      <w:r/>
      <w:r/>
    </w:p>
    <w:p>
      <w:r/>
    </w:p>
    <w:p>
      <w:pPr>
        <w:pStyle w:val="Heading2"/>
      </w:pPr>
      <w:r>
        <w:t>Vigia</w:t>
      </w:r>
      <w:r/>
    </w:p>
    <w:p>
      <w:r/>
      <w:r>
        <w:t>Um vigia era uma pessoa que protegia uma cidade ou local militar. Os vigias ajudavam a proteger as pessoas de ataques surpresa ou perigos como fogo ou guerra (</w:t>
      </w:r>
      <w:hyperlink r:id="rId20622">
        <w:r>
          <w:rPr>
            <w:color w:val="0000EE"/>
            <w:u w:val="single"/>
          </w:rPr>
          <w:t>1Sm 14.16</w:t>
        </w:r>
      </w:hyperlink>
      <w:r>
        <w:t xml:space="preserve">; </w:t>
      </w:r>
      <w:hyperlink r:id="rId20623">
        <w:r>
          <w:rPr>
            <w:color w:val="0000EE"/>
            <w:u w:val="single"/>
          </w:rPr>
          <w:t>2Sm 18.24–27</w:t>
        </w:r>
      </w:hyperlink>
      <w:r>
        <w:t xml:space="preserve">; </w:t>
      </w:r>
      <w:hyperlink r:id="rId20624">
        <w:r>
          <w:rPr>
            <w:color w:val="0000EE"/>
            <w:u w:val="single"/>
          </w:rPr>
          <w:t>2Rs 9.17–20</w:t>
        </w:r>
      </w:hyperlink>
      <w:r>
        <w:t xml:space="preserve">; </w:t>
      </w:r>
      <w:hyperlink r:id="rId20625">
        <w:r>
          <w:rPr>
            <w:color w:val="0000EE"/>
            <w:u w:val="single"/>
          </w:rPr>
          <w:t>Is 21.6–9</w:t>
        </w:r>
      </w:hyperlink>
      <w:r>
        <w:t>). Um vigia ficava em um lugar alto e observava o perigo. Se o inimigo estivesse vindo, o vigia avisaria as pessoas. Um vigia também anunciava o início de um novo dia (</w:t>
      </w:r>
      <w:hyperlink r:id="rId20626">
        <w:r>
          <w:rPr>
            <w:color w:val="0000EE"/>
            <w:u w:val="single"/>
          </w:rPr>
          <w:t>Sl 130.6</w:t>
        </w:r>
      </w:hyperlink>
      <w:r>
        <w:t xml:space="preserve">; </w:t>
      </w:r>
      <w:hyperlink r:id="rId20627">
        <w:r>
          <w:rPr>
            <w:color w:val="0000EE"/>
            <w:u w:val="single"/>
          </w:rPr>
          <w:t>Is 21.11–12</w:t>
        </w:r>
      </w:hyperlink>
      <w:r>
        <w:t>).</w:t>
      </w:r>
    </w:p>
    <w:p>
      <w:r/>
      <w:r>
        <w:t>Às vezes, Deus chamava os profetas de "vigias". Como um vigia, um profeta tinha que avisar o povo se o perigo estava vindo. O profeta alertava sobre o pecado e sobre o julgamento de Deus. Se o profeta não avisasse o povo, ele seria culpado pela morte deles (</w:t>
      </w:r>
      <w:hyperlink r:id="rId20628">
        <w:r>
          <w:rPr>
            <w:color w:val="0000EE"/>
            <w:u w:val="single"/>
          </w:rPr>
          <w:t>Ez 33.2–9</w:t>
        </w:r>
      </w:hyperlink>
      <w:r>
        <w:t xml:space="preserve">; compare </w:t>
      </w:r>
      <w:hyperlink r:id="rId20629">
        <w:r>
          <w:rPr>
            <w:color w:val="0000EE"/>
            <w:u w:val="single"/>
          </w:rPr>
          <w:t>Jr 6.17</w:t>
        </w:r>
      </w:hyperlink>
      <w:r>
        <w:t xml:space="preserve">; </w:t>
      </w:r>
      <w:hyperlink r:id="rId8916">
        <w:r>
          <w:rPr>
            <w:color w:val="0000EE"/>
            <w:u w:val="single"/>
          </w:rPr>
          <w:t>Ez 3.17</w:t>
        </w:r>
      </w:hyperlink>
      <w:r>
        <w:t xml:space="preserve">; </w:t>
      </w:r>
      <w:hyperlink r:id="rId3951">
        <w:r>
          <w:rPr>
            <w:color w:val="0000EE"/>
            <w:u w:val="single"/>
          </w:rPr>
          <w:t>Os 9.8</w:t>
        </w:r>
      </w:hyperlink>
      <w:r>
        <w:t>).</w:t>
      </w:r>
    </w:p>
    <w:p>
      <w:r/>
      <w:r>
        <w:t>Nem todos os líderes eram bons vigias. Isaías disse que alguns líderes eram como vigias cegos. Eles não conseguiam ver o perigo e não ajudavam o povo a voltar-se para Deus (</w:t>
      </w:r>
      <w:hyperlink r:id="rId1601">
        <w:r>
          <w:rPr>
            <w:color w:val="0000EE"/>
            <w:u w:val="single"/>
          </w:rPr>
          <w:t>Is 56.10</w:t>
        </w:r>
      </w:hyperlink>
      <w:r>
        <w:t xml:space="preserve">; </w:t>
      </w:r>
      <w:hyperlink r:id="rId17176">
        <w:r>
          <w:rPr>
            <w:color w:val="0000EE"/>
            <w:u w:val="single"/>
          </w:rPr>
          <w:t>Mq 7.4</w:t>
        </w:r>
      </w:hyperlink>
      <w:r>
        <w:t>). Profetas fiéis foram os primeiros a ver a destruição que estava por vir a Israel. Mas eles também foram os primeiros a dizer que Deus traria o povo de volta à sua terra (</w:t>
      </w:r>
      <w:hyperlink r:id="rId20627">
        <w:r>
          <w:rPr>
            <w:color w:val="0000EE"/>
            <w:u w:val="single"/>
          </w:rPr>
          <w:t>Is 21.11–12</w:t>
        </w:r>
      </w:hyperlink>
      <w:r>
        <w:t xml:space="preserve">; </w:t>
      </w:r>
      <w:hyperlink r:id="rId20630">
        <w:r>
          <w:rPr>
            <w:color w:val="0000EE"/>
            <w:u w:val="single"/>
          </w:rPr>
          <w:t>52.8</w:t>
        </w:r>
      </w:hyperlink>
      <w:r>
        <w:t>).</w:t>
      </w:r>
      <w:r/>
      <w:r/>
    </w:p>
    <w:p>
      <w:r/>
    </w:p>
    <w:p>
      <w:pPr>
        <w:pStyle w:val="Heading2"/>
      </w:pPr>
      <w:r>
        <w:t>Vigília</w:t>
      </w:r>
      <w:r/>
    </w:p>
    <w:p>
      <w:r/>
      <w:r>
        <w:t>Unidade de tempo para a divisão da noite tanto no AT quanto no NT. Durante o período do AT, a noite era dividida em três vigílias militares. A vigília de início ou da tarde decorria do pôr do sol até aproximadamente às 22h (</w:t>
      </w:r>
      <w:hyperlink r:id="rId20631">
        <w:r>
          <w:rPr>
            <w:color w:val="0000EE"/>
            <w:u w:val="single"/>
          </w:rPr>
          <w:t>Lm 2.19</w:t>
        </w:r>
      </w:hyperlink>
      <w:r>
        <w:t>); a vigília média ou da noite era das 22h às 2h da manhã (</w:t>
      </w:r>
      <w:hyperlink r:id="rId15185">
        <w:r>
          <w:rPr>
            <w:color w:val="0000EE"/>
            <w:u w:val="single"/>
          </w:rPr>
          <w:t>Jz 7.19</w:t>
        </w:r>
      </w:hyperlink>
      <w:r>
        <w:t>); e a vigília da manhã era das 2h até o nascer do sol (</w:t>
      </w:r>
      <w:hyperlink r:id="rId17049">
        <w:r>
          <w:rPr>
            <w:color w:val="0000EE"/>
            <w:u w:val="single"/>
          </w:rPr>
          <w:t>Êx 14.24</w:t>
        </w:r>
      </w:hyperlink>
      <w:r>
        <w:t xml:space="preserve">; </w:t>
      </w:r>
      <w:hyperlink r:id="rId7007">
        <w:r>
          <w:rPr>
            <w:color w:val="0000EE"/>
            <w:u w:val="single"/>
          </w:rPr>
          <w:t>1Sm 11.11</w:t>
        </w:r>
      </w:hyperlink>
      <w:r>
        <w:t>). Durante o período romano, o número de vigílias foi aumentado de três para quatro. Essas eram descritas por número (primeira, segunda, etc) ou como a noite, a meia-noite, canto do galo e a manhã (</w:t>
      </w:r>
      <w:hyperlink r:id="rId15187">
        <w:r>
          <w:rPr>
            <w:color w:val="0000EE"/>
            <w:u w:val="single"/>
          </w:rPr>
          <w:t>Mt 14.25</w:t>
        </w:r>
      </w:hyperlink>
      <w:r>
        <w:t xml:space="preserve">; </w:t>
      </w:r>
      <w:hyperlink r:id="rId13819">
        <w:r>
          <w:rPr>
            <w:color w:val="0000EE"/>
            <w:u w:val="single"/>
          </w:rPr>
          <w:t>Mc 6.48</w:t>
        </w:r>
      </w:hyperlink>
      <w:r>
        <w:t xml:space="preserve">). As respectivas vigílias terminavam aproximadamente às 21h, meia-noite, 3h da manhã e 6h da manhã. </w:t>
      </w:r>
      <w:r>
        <w:rPr>
          <w:i/>
        </w:rPr>
        <w:t>Veja</w:t>
      </w:r>
      <w:r>
        <w:t xml:space="preserve"> </w:t>
      </w:r>
      <w:r>
        <w:t>Noite</w:t>
      </w:r>
      <w:r>
        <w:t>.</w:t>
      </w:r>
      <w:r/>
      <w:r/>
    </w:p>
    <w:p>
      <w:r/>
    </w:p>
    <w:p>
      <w:pPr>
        <w:pStyle w:val="Heading2"/>
      </w:pPr>
      <w:r>
        <w:t>Vingador de sangue</w:t>
      </w:r>
      <w:r/>
    </w:p>
    <w:p>
      <w:r/>
      <w:r>
        <w:t>Uma pessoa que perseguia e eventualmente executava o assassino de um parente próximo (</w:t>
      </w:r>
      <w:hyperlink r:id="rId14771">
        <w:r>
          <w:rPr>
            <w:color w:val="0000EE"/>
            <w:u w:val="single"/>
          </w:rPr>
          <w:t>Nm 35</w:t>
        </w:r>
      </w:hyperlink>
      <w:r>
        <w:t>). Este “redentor” era esperado para agir em casos de assassinato intencional, mas não em homicídio culposo. Alguém culpado de homicídio culposo poderia buscar asilo em uma das seis cidades designadas (</w:t>
      </w:r>
      <w:hyperlink r:id="rId20632">
        <w:r>
          <w:rPr>
            <w:color w:val="0000EE"/>
            <w:u w:val="single"/>
          </w:rPr>
          <w:t>Nm 35.11</w:t>
        </w:r>
      </w:hyperlink>
      <w:r>
        <w:t>) para garantir que os processos legais adequados pudessem ocorrer. O papel do vingador de sangue é mencionado em histórias sobre:</w:t>
      </w:r>
    </w:p>
    <w:p>
      <w:pPr>
        <w:pStyle w:val="ListBullet"/>
        <w:spacing w:line="240" w:lineRule="auto"/>
        <w:ind w:left="720"/>
      </w:pPr>
      <w:r/>
      <w:r>
        <w:t>Gideão (</w:t>
      </w:r>
      <w:hyperlink r:id="rId20633">
        <w:r>
          <w:rPr>
            <w:color w:val="0000EE"/>
            <w:u w:val="single"/>
          </w:rPr>
          <w:t>Jz 8.18–21</w:t>
        </w:r>
      </w:hyperlink>
      <w:r>
        <w:t>)</w:t>
      </w:r>
    </w:p>
    <w:p>
      <w:pPr>
        <w:pStyle w:val="ListBullet"/>
        <w:spacing w:line="240" w:lineRule="auto"/>
        <w:ind w:left="720"/>
      </w:pPr>
      <w:r/>
      <w:r>
        <w:t>Joabe (</w:t>
      </w:r>
      <w:hyperlink r:id="rId20634">
        <w:r>
          <w:rPr>
            <w:color w:val="0000EE"/>
            <w:u w:val="single"/>
          </w:rPr>
          <w:t>2Sm 3.27,30</w:t>
        </w:r>
      </w:hyperlink>
      <w:r>
        <w:t>)</w:t>
      </w:r>
    </w:p>
    <w:p>
      <w:pPr>
        <w:pStyle w:val="ListBullet"/>
        <w:spacing w:line="240" w:lineRule="auto"/>
        <w:ind w:left="720"/>
      </w:pPr>
      <w:r/>
      <w:r>
        <w:t>Os gibeonitas (</w:t>
      </w:r>
      <w:hyperlink r:id="rId18157">
        <w:r>
          <w:rPr>
            <w:color w:val="0000EE"/>
            <w:u w:val="single"/>
          </w:rPr>
          <w:t>2Sm 21</w:t>
        </w:r>
      </w:hyperlink>
      <w:r>
        <w:t>)</w:t>
      </w:r>
    </w:p>
    <w:p>
      <w:pPr>
        <w:pStyle w:val="ListBullet"/>
        <w:spacing w:line="240" w:lineRule="auto"/>
        <w:ind w:left="720"/>
      </w:pPr>
      <w:r/>
      <w:r>
        <w:t>Amazias (</w:t>
      </w:r>
      <w:hyperlink r:id="rId20635">
        <w:r>
          <w:rPr>
            <w:color w:val="0000EE"/>
            <w:u w:val="single"/>
          </w:rPr>
          <w:t>2Rs 14.5–6</w:t>
        </w:r>
      </w:hyperlink>
      <w:r>
        <w:t>)</w:t>
      </w:r>
    </w:p>
    <w:p>
      <w:r/>
      <w:r>
        <w:t>Durante a monarquia, o rei podia impedir o vingador (</w:t>
      </w:r>
      <w:hyperlink r:id="rId20636">
        <w:r>
          <w:rPr>
            <w:color w:val="0000EE"/>
            <w:u w:val="single"/>
          </w:rPr>
          <w:t>2Sm 14.8–11</w:t>
        </w:r>
      </w:hyperlink>
      <w:r>
        <w:t>).</w:t>
      </w:r>
    </w:p>
    <w:p>
      <w:r/>
      <w:r>
        <w:t>Esse costume se baseava no mandamento de Deus de que uma vida deveria ser tirada por uma vida em casos de homicídio intencional (</w:t>
      </w:r>
      <w:hyperlink r:id="rId6358">
        <w:r>
          <w:rPr>
            <w:color w:val="0000EE"/>
            <w:u w:val="single"/>
          </w:rPr>
          <w:t>Gn 9.6</w:t>
        </w:r>
      </w:hyperlink>
      <w:r>
        <w:t>). Infelizmente, o objetivo da lei — destacar a importância da vida humana — às vezes foi mal interpretado, levando a guerras familiares e à destruição de famílias inteiras em algumas sociedades.</w:t>
      </w:r>
    </w:p>
    <w:p>
      <w:r/>
      <w:r>
        <w:rPr>
          <w:i/>
        </w:rPr>
        <w:t>Veja também</w:t>
      </w:r>
      <w:r>
        <w:t xml:space="preserve"> </w:t>
      </w:r>
      <w:r>
        <w:t>Direito civil e justiça</w:t>
      </w:r>
      <w:r>
        <w:t>.</w:t>
      </w:r>
      <w:r/>
      <w:r/>
    </w:p>
    <w:p>
      <w:r/>
    </w:p>
    <w:p>
      <w:pPr>
        <w:pStyle w:val="Heading2"/>
      </w:pPr>
      <w:r>
        <w:t>Vinho</w:t>
      </w:r>
      <w:r/>
    </w:p>
    <w:p>
      <w:r/>
      <w:r>
        <w:t>Bebida feita de suco de uva fermentado.</w:t>
      </w:r>
    </w:p>
    <w:p>
      <w:pPr>
        <w:pStyle w:val="Heading3"/>
      </w:pPr>
      <w:r>
        <w:t>Origem</w:t>
      </w:r>
    </w:p>
    <w:p>
      <w:r/>
      <w:r>
        <w:t>Noé foi o primeiro a produzir vinho (</w:t>
      </w:r>
      <w:hyperlink r:id="rId20637">
        <w:r>
          <w:rPr>
            <w:color w:val="0000EE"/>
            <w:u w:val="single"/>
          </w:rPr>
          <w:t>Gn 9.21</w:t>
        </w:r>
      </w:hyperlink>
      <w:r>
        <w:t>), presumivelmente nas encostas do Monte Ararate. Mas a produção de vinho não estava confinada àquela região, porque o Egito, e mais tarde a Grécia, tinha um carinho pelo suco. Na verdade, a produção de vinho era conhecida por ter existido no período pré-histórico da Mesopotâmia e foi trazida para o Egito antes de 3000 a.C.</w:t>
      </w:r>
    </w:p>
    <w:p>
      <w:r/>
      <w:r>
        <w:t>A palavra “vinho” pode ser identificada com palavras para videira, vinha e uvas pretas. A videira, que produz o vinho, era muitas vezes identificada no mundo do Oriente Próximo como a “árvore-da-vida”. Tanto no Egito quanto na Mesopotâmia, pensava-se que uma deusa protegesse a videira. A “senhora da árvore celestial da vida”, a deusa Siris, vivia nas montanhas do noroeste da Assíria. Primeiro Enoque 32.4 chama a videira de árvore do conhecimento. De acordo com a tradição judaica, a videira foi salva do Dilúvio por Noé.</w:t>
      </w:r>
    </w:p>
    <w:p>
      <w:pPr>
        <w:pStyle w:val="Heading3"/>
      </w:pPr>
      <w:r>
        <w:t>Produção de vinho</w:t>
      </w:r>
    </w:p>
    <w:p>
      <w:r/>
      <w:r>
        <w:t xml:space="preserve">Existem poucos documentos antigos sobre a arte da fabricação do vinho. A experiência e os interesses de alguns botânicos antigos parecem ser a única fonte de conhecimento disponível sobre os primeiros produtores de videira. O talentoso estudante de Aristóteles, Teofrasto de Eressos, escreveu um livro entitulado </w:t>
      </w:r>
      <w:r>
        <w:rPr>
          <w:i/>
        </w:rPr>
        <w:t>Investigação sobre Plantas</w:t>
      </w:r>
      <w:r>
        <w:t xml:space="preserve">, apresentando uma mistura de experiência prática e teoria. Mais tarde, ele continuou com </w:t>
      </w:r>
      <w:r>
        <w:rPr>
          <w:i/>
        </w:rPr>
        <w:t>Sobre a vida das plantas</w:t>
      </w:r>
      <w:r>
        <w:t>, um trabalho dando observações detalhadas sobre a fabricação de vinho. Suas ideias sobre quando plantar, como podar, declarações contra o enxerto e como cuidar da videira demonstram a genialidade grega. Eles elevaram a viticultura para uma ciência que pouco mudou nos últimos 2200 anos.</w:t>
      </w:r>
    </w:p>
    <w:p>
      <w:r/>
      <w:r>
        <w:t>Um grande cuidado era tomado pelos produtores de videira gregos para garantir o sucesso de suas colheitas. As videiras ficavam perto do chão em vez de serem penduradas. Tendo isso em vista, ratos e raposas eram especialmente indesejáveis, e muita capinação era necessária para manter o solo livre de ervas daninhas. Mas seu método, em geral, era muito eficaz.</w:t>
      </w:r>
    </w:p>
    <w:p>
      <w:r/>
      <w:r>
        <w:t xml:space="preserve">No início de setembro, as uvas eram colhidas nas planícies, e no final do mês nas colinas. Com um festival inicial de música e dança, os trabalhadores traziam os cachos de uvas para os lagares, tanques baixos de cimento inclinados em direção a um dos cantos. Depois disso, os trabalhadores pisoteavam as uvas. O primeiro </w:t>
      </w:r>
      <w:r>
        <w:rPr>
          <w:i/>
        </w:rPr>
        <w:t>mosto</w:t>
      </w:r>
      <w:r>
        <w:t xml:space="preserve"> (suco do esmagamento) era altamente valorizado porque fornecia os vinhos mais selecionados. O suco restante era extraído torcendo as uvas pisadas em uma prensa de saco, geralmente feita de pano. Uma terceira classe de vinho era produzida misturando ou até mesmo cozinhando as uvas restantes com um pouco de água e espremendo a mistura. Este tipo de vinho era bebido apenas pelos pobres.</w:t>
      </w:r>
    </w:p>
    <w:p>
      <w:r/>
      <w:r>
        <w:t>Mais tarde, os gregos inventaram uma prensa de uvas na qual uma viga longa, tendo uma parte que virava em uma extremidade e pedras pesadas na outra, comprimia camadas de uvas. O antigo Oriente Próximo tinha esses diferentes métodos de extração de vinho, mas o pisotear de uvas, mesmo na Grécia, sempre era o método favorito.</w:t>
      </w:r>
    </w:p>
    <w:p>
      <w:r/>
      <w:r>
        <w:t>Na Grécia, o período de fermentação era geralmente de seis meses, durante os quais o líquido era constantemente escumado. No entanto, no antigo Oriente Próximo, o processo de fermentação geralmente terminava em três ou quatro dias, a temperatura ideal de crescimento era de 25 graus. Os antigos sabiam que qualquer fermentação adicional produziria acidez.</w:t>
      </w:r>
    </w:p>
    <w:p>
      <w:r/>
      <w:r>
        <w:t>Após a fermentação desejada, o vinho era transferido para vasilhas de couro ou frascos de cerâmica para transporte, ou venda. As alças e rolhas eram estampadas para indicar a marca, a origem e a colheita. Nestes períodos, o vinho era coado em peneiras de pano ou metal para eliminar contaminadores, como grãos ou insetos.</w:t>
      </w:r>
    </w:p>
    <w:p>
      <w:pPr>
        <w:pStyle w:val="Heading3"/>
      </w:pPr>
      <w:r>
        <w:t>Tipos de vinho</w:t>
      </w:r>
    </w:p>
    <w:p>
      <w:r/>
      <w:r>
        <w:t>Os poetas antigos discorrem sobre muitas marcas diferentes de vinho, com Ateneu mencionando 85 variedades diferentes. Galeno cita 60; Plínio menciona 150; e Estrabão, 30. Os vinhos são distinguidos por diferentes cores (preto, vermelho, branco ou amarelo) e por seu gosto (seco, amargo, leve ou doce). Os relatos bíblicos enumera vários tipos de vinho, como os vinhos do Líbano e Helbom. Hebrom e Samaria eram famosas por sua fabricação de vinho. A língua hebraica tem pelo menos nove palavras diferentes para vinho, e o grego tem quatro que são mencionadas no NT.</w:t>
      </w:r>
    </w:p>
    <w:p>
      <w:pPr>
        <w:pStyle w:val="Heading3"/>
      </w:pPr>
      <w:r>
        <w:t>Natureza do vinho</w:t>
      </w:r>
    </w:p>
    <w:p>
      <w:r/>
      <w:r>
        <w:t>Poucos questionariam que pelo menos parte vinho do AT era fermentado. Alguns estudiosos argumentam, no entanto, que certas formas de vinho no mundo antigo não eram fermentadas. Eles contrastam duas palavras hebraicas para vinho, concluindo que uma palavra hebraica específica que se refere ao vinho fresco significava apenas suco de uva (</w:t>
      </w:r>
      <w:hyperlink r:id="rId20638">
        <w:r>
          <w:rPr>
            <w:color w:val="0000EE"/>
            <w:u w:val="single"/>
          </w:rPr>
          <w:t>Pv 3.10</w:t>
        </w:r>
      </w:hyperlink>
      <w:r>
        <w:t xml:space="preserve">; </w:t>
      </w:r>
      <w:hyperlink r:id="rId20610">
        <w:r>
          <w:rPr>
            <w:color w:val="0000EE"/>
            <w:u w:val="single"/>
          </w:rPr>
          <w:t>Os 9.2</w:t>
        </w:r>
      </w:hyperlink>
      <w:r>
        <w:t xml:space="preserve">; </w:t>
      </w:r>
      <w:hyperlink r:id="rId20639">
        <w:r>
          <w:rPr>
            <w:color w:val="0000EE"/>
            <w:u w:val="single"/>
          </w:rPr>
          <w:t>Jl 2.24</w:t>
        </w:r>
      </w:hyperlink>
      <w:r>
        <w:t xml:space="preserve">; </w:t>
      </w:r>
      <w:hyperlink r:id="rId5240">
        <w:r>
          <w:rPr>
            <w:color w:val="0000EE"/>
            <w:u w:val="single"/>
          </w:rPr>
          <w:t>Mq 6.15</w:t>
        </w:r>
      </w:hyperlink>
      <w:r>
        <w:t xml:space="preserve">). A inconclusividade desses argumentos pode ser vista dos seguintes pontos: (1) a palavra hebraica é encontrada principalmente em contextos neutros; (2) muitas vezes essa palavra específica é encontrada em contextos definitivamente incluindo uma bebida fermentada (por exemplo, </w:t>
      </w:r>
      <w:hyperlink r:id="rId15963">
        <w:r>
          <w:rPr>
            <w:color w:val="0000EE"/>
            <w:u w:val="single"/>
          </w:rPr>
          <w:t>Gn 27.28</w:t>
        </w:r>
      </w:hyperlink>
      <w:r>
        <w:t xml:space="preserve">; </w:t>
      </w:r>
      <w:hyperlink r:id="rId20640">
        <w:r>
          <w:rPr>
            <w:color w:val="0000EE"/>
            <w:u w:val="single"/>
          </w:rPr>
          <w:t>Os 4.11</w:t>
        </w:r>
      </w:hyperlink>
      <w:r>
        <w:t xml:space="preserve">; </w:t>
      </w:r>
      <w:hyperlink r:id="rId5240">
        <w:r>
          <w:rPr>
            <w:color w:val="0000EE"/>
            <w:u w:val="single"/>
          </w:rPr>
          <w:t>Mq 6.15</w:t>
        </w:r>
      </w:hyperlink>
      <w:r>
        <w:t>); (3) o paralelo ugarítico ao termo em questão se refere com certeza a um vinho fermentado; (4) os equivalentes da Septuaginta se referem ao vinho fermentado; (5) a fermentação no antigo Oriente Próximo, ao contrário da Grécia, levava apenas cerca de três dias; e (6) a Mishná não fornece nenhuma evidência da prática de ter vinho não fermentado. Parece não ter havido tentativas de preservar o vinho em um estado não fermentado; poderia ser uma tarefa quase impossível. Um exame minucioso de todas as palavras hebraicas (bem como seus cognatos semitas) e as palavras gregas para vinho demonstra que os antigos sabiam pouco, ou nada, sobre vinho não fermentado.</w:t>
      </w:r>
    </w:p>
    <w:p>
      <w:r/>
      <w:r>
        <w:t xml:space="preserve">Ampla evidência está disponível para demonstrar que o vinho, embora sempre fermentado, era geralmente misturado com água no mundo clássico e helenístico. O vinho era armazenado em grandes jarros chamados </w:t>
      </w:r>
      <w:r>
        <w:rPr>
          <w:i/>
        </w:rPr>
        <w:t>ânforas</w:t>
      </w:r>
      <w:r>
        <w:t>, dos quais o vinho era derramado através de um coador em uma grande tigela chamada</w:t>
      </w:r>
      <w:r>
        <w:rPr>
          <w:i/>
        </w:rPr>
        <w:t>krater.</w:t>
      </w:r>
      <w:r>
        <w:t xml:space="preserve"> Na krater, o vinho era misturado com água. Então as tigelas ou copos eram cheios.</w:t>
      </w:r>
    </w:p>
    <w:p>
      <w:r/>
      <w:r>
        <w:t xml:space="preserve">A quantidade de vinho por volume variava. A mistura que representava a maior quantidade de água no vinho era de 20 para 1, aparentemente porque o vinho era muito forte (Homero, </w:t>
      </w:r>
      <w:r>
        <w:rPr>
          <w:i/>
        </w:rPr>
        <w:t>Odisseia</w:t>
      </w:r>
      <w:r>
        <w:t xml:space="preserve"> 10.208).</w:t>
      </w:r>
    </w:p>
    <w:p>
      <w:r/>
      <w:r>
        <w:t>No mundo mediterrâneo ocidental, o termo “vinho” se referia à mistura de vinho e água. Se alguém desejasse mencionar vinho sem água, era necessário adicionar a palavra “não misturado”. Para os gregos, beber vinho não misturado era considerado bárbaro. As evidências, no entanto, parecem indicar que na era do AT, o vinho era usado sem ser misturado com água. A terminologia de misturar água e vinho é surpreendentemente não atestada. O vinho diluído em água era uma simbologia de adulteração espiritual (</w:t>
      </w:r>
      <w:hyperlink r:id="rId14534">
        <w:r>
          <w:rPr>
            <w:color w:val="0000EE"/>
            <w:u w:val="single"/>
          </w:rPr>
          <w:t>Is 1.22</w:t>
        </w:r>
      </w:hyperlink>
      <w:r>
        <w:t>). Nos tempos romanos, esta atitude havia mudado. A Mishná assume uma proporção de duas partes de água para uma parte de vinho; no entanto, fontes talmúdicas posteriores falam de três para um. Um vinho natural e não destilado poderia chegar a até 15% de teor alcoólico. Se diluíssemos três partes de água para uma parte de vinho, o teor de álcool seria de 5% e ainda bastante potente.</w:t>
      </w:r>
    </w:p>
    <w:p>
      <w:r/>
      <w:r>
        <w:t>O vinho era misturado não apenas com água, mas também com outros ingredientes, semelhante às bebidas misturadas de hoje. Um exemplo disso é visto no homérico “Hino a Deméter”, onde a deusa rejeita o vinho puro e deseja a bebida misturada com farinha, água e hortelã. Muitas vezes vinho forte era misturado em vinho fraco, resultando em uma bebida mais forte. Isso é o que se entende por “mistura” na Bíblia (</w:t>
      </w:r>
      <w:hyperlink r:id="rId4087">
        <w:r>
          <w:rPr>
            <w:color w:val="0000EE"/>
            <w:u w:val="single"/>
          </w:rPr>
          <w:t>Sl 75.8</w:t>
        </w:r>
      </w:hyperlink>
      <w:r>
        <w:t xml:space="preserve">; </w:t>
      </w:r>
      <w:hyperlink r:id="rId5258">
        <w:r>
          <w:rPr>
            <w:color w:val="0000EE"/>
            <w:u w:val="single"/>
          </w:rPr>
          <w:t>Is 5.22</w:t>
        </w:r>
      </w:hyperlink>
      <w:r>
        <w:t xml:space="preserve">; </w:t>
      </w:r>
      <w:hyperlink r:id="rId4084">
        <w:r>
          <w:rPr>
            <w:color w:val="0000EE"/>
            <w:u w:val="single"/>
          </w:rPr>
          <w:t>Ap 18.6</w:t>
        </w:r>
      </w:hyperlink>
      <w:r>
        <w:t xml:space="preserve">; </w:t>
      </w:r>
      <w:hyperlink r:id="rId20641">
        <w:r>
          <w:rPr>
            <w:color w:val="0000EE"/>
            <w:u w:val="single"/>
          </w:rPr>
          <w:t>19.13–15</w:t>
        </w:r>
      </w:hyperlink>
      <w:r>
        <w:t xml:space="preserve">). Às vezes, o vinho fresco, rico em açúcar, era evaporado, e este </w:t>
      </w:r>
      <w:r>
        <w:rPr>
          <w:i/>
        </w:rPr>
        <w:t>mosto</w:t>
      </w:r>
      <w:r>
        <w:t xml:space="preserve"> concentrado era misturado com o vinho para obter um teor alcoólico maior.</w:t>
      </w:r>
    </w:p>
    <w:p>
      <w:r/>
      <w:r>
        <w:t>Não há menção de vinho sendo misturado com água para torná-lo seguro para beber, como é comumente aceito. Exemplos modernos de poluição não eram comuns no mundo antigo, embora este problema aparecesse ocasionalmente. Os exemplos são muitos sobre os poços frescos, fontes e corpos de água em movimento nos tempos bíblicos, e os métodos eram disponíveis para purificar qualquer água impura.</w:t>
      </w:r>
    </w:p>
    <w:p>
      <w:pPr>
        <w:pStyle w:val="Heading3"/>
      </w:pPr>
      <w:r>
        <w:t>Vinho no Antigo Testamento</w:t>
      </w:r>
    </w:p>
    <w:p>
      <w:r/>
      <w:r>
        <w:t xml:space="preserve">A evidência, como visto acima, sugere que o vinho no AT não era misturado com água e era encarado com aprovação quando tomado com moderação. </w:t>
      </w:r>
      <w:hyperlink r:id="rId5260">
        <w:r>
          <w:rPr>
            <w:color w:val="0000EE"/>
            <w:u w:val="single"/>
          </w:rPr>
          <w:t>Juízes 9.13</w:t>
        </w:r>
      </w:hyperlink>
      <w:r>
        <w:t xml:space="preserve"> apresenta o vinho como “que alegra a Deus e aos homens”. </w:t>
      </w:r>
      <w:hyperlink r:id="rId5642">
        <w:r>
          <w:rPr>
            <w:color w:val="0000EE"/>
            <w:u w:val="single"/>
          </w:rPr>
          <w:t>O Salmo 104.15</w:t>
        </w:r>
      </w:hyperlink>
      <w:r>
        <w:t xml:space="preserve"> retrata o vinho da mesma forma: “vinho que alegra o coração do homem” (cf. também </w:t>
      </w:r>
      <w:hyperlink r:id="rId20642">
        <w:r>
          <w:rPr>
            <w:color w:val="0000EE"/>
            <w:u w:val="single"/>
          </w:rPr>
          <w:t>Et 1.10</w:t>
        </w:r>
      </w:hyperlink>
      <w:r>
        <w:t xml:space="preserve">; </w:t>
      </w:r>
      <w:hyperlink r:id="rId20643">
        <w:r>
          <w:rPr>
            <w:color w:val="0000EE"/>
            <w:u w:val="single"/>
          </w:rPr>
          <w:t>Ec 10:19</w:t>
        </w:r>
      </w:hyperlink>
      <w:r>
        <w:t xml:space="preserve">; </w:t>
      </w:r>
      <w:hyperlink r:id="rId20644">
        <w:r>
          <w:rPr>
            <w:color w:val="0000EE"/>
            <w:u w:val="single"/>
          </w:rPr>
          <w:t>Is 55.1–2</w:t>
        </w:r>
      </w:hyperlink>
      <w:r>
        <w:t xml:space="preserve">; </w:t>
      </w:r>
      <w:hyperlink r:id="rId20645">
        <w:r>
          <w:rPr>
            <w:color w:val="0000EE"/>
            <w:u w:val="single"/>
          </w:rPr>
          <w:t>Zc 10.7</w:t>
        </w:r>
      </w:hyperlink>
      <w:r>
        <w:t>). O uso moderado do vinho era uma parte normal e aceita da vida (</w:t>
      </w:r>
      <w:hyperlink r:id="rId7858">
        <w:r>
          <w:rPr>
            <w:color w:val="0000EE"/>
            <w:u w:val="single"/>
          </w:rPr>
          <w:t>Gn 14.18</w:t>
        </w:r>
      </w:hyperlink>
      <w:r>
        <w:t xml:space="preserve">; </w:t>
      </w:r>
      <w:hyperlink r:id="rId20646">
        <w:r>
          <w:rPr>
            <w:color w:val="0000EE"/>
            <w:u w:val="single"/>
          </w:rPr>
          <w:t>Jz 19.19</w:t>
        </w:r>
      </w:hyperlink>
      <w:r>
        <w:t xml:space="preserve">; </w:t>
      </w:r>
      <w:hyperlink r:id="rId20647">
        <w:r>
          <w:rPr>
            <w:color w:val="0000EE"/>
            <w:u w:val="single"/>
          </w:rPr>
          <w:t>1Sm 16.20</w:t>
        </w:r>
      </w:hyperlink>
      <w:r>
        <w:t>). Os sacerdotes levíticos em serviço no templo (</w:t>
      </w:r>
      <w:hyperlink r:id="rId18793">
        <w:r>
          <w:rPr>
            <w:color w:val="0000EE"/>
            <w:u w:val="single"/>
          </w:rPr>
          <w:t>Lv 10.8–9</w:t>
        </w:r>
      </w:hyperlink>
      <w:r>
        <w:t>), os nazireus (</w:t>
      </w:r>
      <w:hyperlink r:id="rId3289">
        <w:r>
          <w:rPr>
            <w:color w:val="0000EE"/>
            <w:u w:val="single"/>
          </w:rPr>
          <w:t>Nm 6.3</w:t>
        </w:r>
      </w:hyperlink>
      <w:r>
        <w:t>) e os recabitas (</w:t>
      </w:r>
      <w:hyperlink r:id="rId20648">
        <w:r>
          <w:rPr>
            <w:color w:val="0000EE"/>
            <w:u w:val="single"/>
          </w:rPr>
          <w:t>Jr 35.1–6</w:t>
        </w:r>
      </w:hyperlink>
      <w:r>
        <w:t>) eram proibidos de beber vinho.</w:t>
      </w:r>
    </w:p>
    <w:p>
      <w:r/>
      <w:r>
        <w:t>O vinho tinha muitos usos no mundo do AT. A “oferta de bebida” era vinho (</w:t>
      </w:r>
      <w:hyperlink r:id="rId15735">
        <w:r>
          <w:rPr>
            <w:color w:val="0000EE"/>
            <w:u w:val="single"/>
          </w:rPr>
          <w:t>Êx 29.40</w:t>
        </w:r>
      </w:hyperlink>
      <w:r>
        <w:t xml:space="preserve">; </w:t>
      </w:r>
      <w:hyperlink r:id="rId20649">
        <w:r>
          <w:rPr>
            <w:color w:val="0000EE"/>
            <w:u w:val="single"/>
          </w:rPr>
          <w:t>Lv 23.13</w:t>
        </w:r>
      </w:hyperlink>
      <w:r>
        <w:t>), e o adorador regularmente trazia vinho ao oferecer sacrifício (</w:t>
      </w:r>
      <w:hyperlink r:id="rId1532">
        <w:r>
          <w:rPr>
            <w:color w:val="0000EE"/>
            <w:u w:val="single"/>
          </w:rPr>
          <w:t>1Sm 1.24</w:t>
        </w:r>
      </w:hyperlink>
      <w:r>
        <w:t>). Além disso, um fornecimento de vinho era mantido no templo para fins sacrificiais (</w:t>
      </w:r>
      <w:hyperlink r:id="rId17117">
        <w:r>
          <w:rPr>
            <w:color w:val="0000EE"/>
            <w:u w:val="single"/>
          </w:rPr>
          <w:t>1Cr 9.29</w:t>
        </w:r>
      </w:hyperlink>
      <w:r>
        <w:t>). Às vezes, o vinho era usado para ajudar os fracos e doentes (</w:t>
      </w:r>
      <w:hyperlink r:id="rId20650">
        <w:r>
          <w:rPr>
            <w:color w:val="0000EE"/>
            <w:u w:val="single"/>
          </w:rPr>
          <w:t>2Sm 16.2</w:t>
        </w:r>
      </w:hyperlink>
      <w:r>
        <w:t xml:space="preserve">; </w:t>
      </w:r>
      <w:hyperlink r:id="rId7454">
        <w:r>
          <w:rPr>
            <w:color w:val="0000EE"/>
            <w:u w:val="single"/>
          </w:rPr>
          <w:t>Pv 31.6</w:t>
        </w:r>
      </w:hyperlink>
      <w:r>
        <w:t>).</w:t>
      </w:r>
    </w:p>
    <w:p>
      <w:r/>
      <w:r>
        <w:t>A bebida forte do AT parece estar intimamente relacionada com o vinho de tâmaras da Mesopotâmia. Este mesmo vinho de tâmaras, com alto teor de açúcar, também seria rico em teor de álcool. Uma palavra hebraica é consistentemente usada para bebida forte (</w:t>
      </w:r>
      <w:hyperlink r:id="rId3288">
        <w:r>
          <w:rPr>
            <w:color w:val="0000EE"/>
            <w:u w:val="single"/>
          </w:rPr>
          <w:t>Lv 10.9</w:t>
        </w:r>
      </w:hyperlink>
      <w:r>
        <w:t xml:space="preserve">; </w:t>
      </w:r>
      <w:hyperlink r:id="rId20651">
        <w:r>
          <w:rPr>
            <w:color w:val="0000EE"/>
            <w:u w:val="single"/>
          </w:rPr>
          <w:t>Dt 29.6</w:t>
        </w:r>
      </w:hyperlink>
      <w:r>
        <w:t xml:space="preserve">; </w:t>
      </w:r>
      <w:hyperlink r:id="rId20652">
        <w:r>
          <w:rPr>
            <w:color w:val="0000EE"/>
            <w:u w:val="single"/>
          </w:rPr>
          <w:t>1Sm 1.15</w:t>
        </w:r>
      </w:hyperlink>
      <w:r>
        <w:t xml:space="preserve">; </w:t>
      </w:r>
      <w:hyperlink r:id="rId3292">
        <w:r>
          <w:rPr>
            <w:color w:val="0000EE"/>
            <w:u w:val="single"/>
          </w:rPr>
          <w:t>Pv 20.1</w:t>
        </w:r>
      </w:hyperlink>
      <w:r>
        <w:t xml:space="preserve">; </w:t>
      </w:r>
      <w:hyperlink r:id="rId7454">
        <w:r>
          <w:rPr>
            <w:color w:val="0000EE"/>
            <w:u w:val="single"/>
          </w:rPr>
          <w:t>31.6</w:t>
        </w:r>
      </w:hyperlink>
      <w:r>
        <w:t xml:space="preserve">; </w:t>
      </w:r>
      <w:hyperlink r:id="rId20653">
        <w:r>
          <w:rPr>
            <w:color w:val="0000EE"/>
            <w:u w:val="single"/>
          </w:rPr>
          <w:t>Is 29.9</w:t>
        </w:r>
      </w:hyperlink>
      <w:r>
        <w:t>). Há uma palavra equivalente a isso em ugarítico, traduzido “bêbado”, que é paralelo à palavra normal para vinho.</w:t>
      </w:r>
    </w:p>
    <w:p>
      <w:r/>
      <w:r>
        <w:t>Reações negativas ao beber vinho exageradamente abundam no AT. Isaías condenou aqueles que bebiam vinho em excesso (</w:t>
      </w:r>
      <w:hyperlink r:id="rId20654">
        <w:r>
          <w:rPr>
            <w:color w:val="0000EE"/>
            <w:u w:val="single"/>
          </w:rPr>
          <w:t>Is 28.1–8</w:t>
        </w:r>
      </w:hyperlink>
      <w:r>
        <w:t>). Muitas advertências sobre beber vinho em excesso são dadas nas Escrituras (</w:t>
      </w:r>
      <w:hyperlink r:id="rId3292">
        <w:r>
          <w:rPr>
            <w:color w:val="0000EE"/>
            <w:u w:val="single"/>
          </w:rPr>
          <w:t>Pv 20.1</w:t>
        </w:r>
      </w:hyperlink>
      <w:r>
        <w:t xml:space="preserve">; </w:t>
      </w:r>
      <w:hyperlink r:id="rId16894">
        <w:r>
          <w:rPr>
            <w:color w:val="0000EE"/>
            <w:u w:val="single"/>
          </w:rPr>
          <w:t>21.17</w:t>
        </w:r>
      </w:hyperlink>
      <w:r>
        <w:t xml:space="preserve">; </w:t>
      </w:r>
      <w:hyperlink r:id="rId20655">
        <w:r>
          <w:rPr>
            <w:color w:val="0000EE"/>
            <w:u w:val="single"/>
          </w:rPr>
          <w:t>23.20–21</w:t>
        </w:r>
      </w:hyperlink>
      <w:r>
        <w:t xml:space="preserve">; </w:t>
      </w:r>
      <w:hyperlink r:id="rId20656">
        <w:r>
          <w:rPr>
            <w:color w:val="0000EE"/>
            <w:u w:val="single"/>
          </w:rPr>
          <w:t>23.32–34</w:t>
        </w:r>
      </w:hyperlink>
      <w:r>
        <w:t>).</w:t>
      </w:r>
    </w:p>
    <w:p>
      <w:pPr>
        <w:pStyle w:val="Heading3"/>
      </w:pPr>
      <w:r>
        <w:t>Vinho no Novo Testamento</w:t>
      </w:r>
    </w:p>
    <w:p>
      <w:r/>
      <w:r>
        <w:t>O vinho no NT era uma bebida fermentada que era misturada com diversas quantidades de água. Também era misturado com fel (</w:t>
      </w:r>
      <w:hyperlink r:id="rId6319">
        <w:r>
          <w:rPr>
            <w:color w:val="0000EE"/>
            <w:u w:val="single"/>
          </w:rPr>
          <w:t>Mt 27.34</w:t>
        </w:r>
      </w:hyperlink>
      <w:r>
        <w:t>) e mirra (</w:t>
      </w:r>
      <w:hyperlink r:id="rId6315">
        <w:r>
          <w:rPr>
            <w:color w:val="0000EE"/>
            <w:u w:val="single"/>
          </w:rPr>
          <w:t>Mc 15.23</w:t>
        </w:r>
      </w:hyperlink>
      <w:r>
        <w:t>). As evidências sugerem fortemente que o vinho usado na Ceia do Senhor era uma mistura de água e vinho, provavelmente três para um de acordo com as palavras da Mishná. A frase “fruto da videira” (</w:t>
      </w:r>
      <w:hyperlink r:id="rId20657">
        <w:r>
          <w:rPr>
            <w:color w:val="0000EE"/>
            <w:u w:val="single"/>
          </w:rPr>
          <w:t>Mt 26.27–29</w:t>
        </w:r>
      </w:hyperlink>
      <w:r>
        <w:t>) é muitas vezes interpretada como suco de uva fresco. No entanto, o suco de uva fresco seria praticamente impossível de encontrar.</w:t>
      </w:r>
    </w:p>
    <w:p>
      <w:r/>
      <w:r>
        <w:t>O NT, como o AT, argumenta com força contra o uso exagerado do vinho. A admoestação bíblica é para não se embriagar com vinho (</w:t>
      </w:r>
      <w:hyperlink r:id="rId7666">
        <w:r>
          <w:rPr>
            <w:color w:val="0000EE"/>
            <w:u w:val="single"/>
          </w:rPr>
          <w:t>Ef 5.18</w:t>
        </w:r>
      </w:hyperlink>
      <w:r>
        <w:t xml:space="preserve">; </w:t>
      </w:r>
      <w:hyperlink r:id="rId16708">
        <w:r>
          <w:rPr>
            <w:color w:val="0000EE"/>
            <w:u w:val="single"/>
          </w:rPr>
          <w:t>1Pe 4.3</w:t>
        </w:r>
      </w:hyperlink>
      <w:r>
        <w:t>). Os líderes na igreja deveriam praticar a moderação no uso do vinho (</w:t>
      </w:r>
      <w:hyperlink r:id="rId13763">
        <w:r>
          <w:rPr>
            <w:color w:val="0000EE"/>
            <w:u w:val="single"/>
          </w:rPr>
          <w:t>1Tm 3.3, 8</w:t>
        </w:r>
      </w:hyperlink>
      <w:r>
        <w:t xml:space="preserve">; </w:t>
      </w:r>
      <w:hyperlink r:id="rId1420">
        <w:r>
          <w:rPr>
            <w:color w:val="0000EE"/>
            <w:u w:val="single"/>
          </w:rPr>
          <w:t>Tt 1.7</w:t>
        </w:r>
      </w:hyperlink>
      <w:r>
        <w:t>); o grego diz que eles “não devem ser viciados em vinho”.</w:t>
      </w:r>
    </w:p>
    <w:p>
      <w:r/>
      <w:r>
        <w:rPr>
          <w:i/>
        </w:rPr>
        <w:t>Veja também</w:t>
      </w:r>
      <w:r>
        <w:t xml:space="preserve"> </w:t>
      </w:r>
      <w:r>
        <w:t>Vinhas, Vinha</w:t>
      </w:r>
      <w:r>
        <w:t xml:space="preserve">; </w:t>
      </w:r>
      <w:r>
        <w:t>Lagar</w:t>
      </w:r>
      <w:r>
        <w:t>.</w:t>
      </w:r>
      <w:r/>
      <w:r/>
    </w:p>
    <w:p>
      <w:r/>
    </w:p>
    <w:p>
      <w:pPr>
        <w:pStyle w:val="Heading2"/>
      </w:pPr>
      <w:r>
        <w:t>Virgem</w:t>
      </w:r>
      <w:r/>
    </w:p>
    <w:p>
      <w:r/>
      <w:r>
        <w:t>Uma palavra usada para descrever mulheres ou, metaforicamente, para lugares, nações e a igreja. Refere-se a uma mulher que é sexualmente madura, mas não teve relações sexuais. Maria, mãe de Jesus, é um exemplo claro (</w:t>
      </w:r>
      <w:hyperlink r:id="rId9876">
        <w:r>
          <w:rPr>
            <w:color w:val="0000EE"/>
            <w:u w:val="single"/>
          </w:rPr>
          <w:t>Mt 1.18–25</w:t>
        </w:r>
      </w:hyperlink>
      <w:r>
        <w:t>).</w:t>
      </w:r>
    </w:p>
    <w:p>
      <w:r/>
      <w:r>
        <w:t>O Antigo Testamento valoriza muito permanecer virgem antes do casamento. Uma das qualidades de Rebeca que a tornaram uma noiva adequada para Isaque foi sua virgindade (</w:t>
      </w:r>
      <w:hyperlink r:id="rId8004">
        <w:r>
          <w:rPr>
            <w:color w:val="0000EE"/>
            <w:u w:val="single"/>
          </w:rPr>
          <w:t>Gn 24.16</w:t>
        </w:r>
      </w:hyperlink>
      <w:r>
        <w:t>). A lei dizia que os sacerdotes deviam casar-se apenas com virgens (</w:t>
      </w:r>
      <w:hyperlink r:id="rId20658">
        <w:r>
          <w:rPr>
            <w:color w:val="0000EE"/>
            <w:u w:val="single"/>
          </w:rPr>
          <w:t>Lv 21.7,13</w:t>
        </w:r>
      </w:hyperlink>
      <w:hyperlink r:id="rId18787">
        <w:r>
          <w:rPr>
            <w:color w:val="0000EE"/>
            <w:u w:val="single"/>
          </w:rPr>
          <w:t>–</w:t>
        </w:r>
      </w:hyperlink>
      <w:hyperlink r:id="rId20658">
        <w:r>
          <w:rPr>
            <w:color w:val="0000EE"/>
            <w:u w:val="single"/>
          </w:rPr>
          <w:t>14</w:t>
        </w:r>
      </w:hyperlink>
      <w:r>
        <w:t>). Eles deveriam ser os homens cujas vidas mais se conformavam aos padrões de Deus.</w:t>
      </w:r>
    </w:p>
    <w:p>
      <w:r/>
      <w:r>
        <w:t>Isso reflete o ensinamento da Bíblia sobre o casamento, idealizando a fidelidade exclusiva. O Novo Testamento expressa esse ideal ao proibir o sexo antes do casamento (</w:t>
      </w:r>
      <w:hyperlink r:id="rId19480">
        <w:r>
          <w:rPr>
            <w:color w:val="0000EE"/>
            <w:u w:val="single"/>
          </w:rPr>
          <w:t>1Co 6.13,18</w:t>
        </w:r>
      </w:hyperlink>
      <w:r>
        <w:t>). Usa "virgem" para descrever os cristãos que são fiéis ao seu Senhor (</w:t>
      </w:r>
      <w:hyperlink r:id="rId17505">
        <w:r>
          <w:rPr>
            <w:color w:val="0000EE"/>
            <w:u w:val="single"/>
          </w:rPr>
          <w:t>Ap 14.4</w:t>
        </w:r>
      </w:hyperlink>
      <w:r>
        <w:t xml:space="preserve">; compare </w:t>
      </w:r>
      <w:hyperlink r:id="rId20659">
        <w:r>
          <w:rPr>
            <w:color w:val="0000EE"/>
            <w:u w:val="single"/>
          </w:rPr>
          <w:t>2Co 11.2</w:t>
        </w:r>
      </w:hyperlink>
      <w:r>
        <w:t>).</w:t>
      </w:r>
    </w:p>
    <w:p>
      <w:r/>
      <w:r>
        <w:t>De modo negativo, o Antigo Testamento destaca o mesmo princípio em suas penalidades para a perda da virgindade de uma mulher. Se o homem é moralmente responsável, ele deve casar-se com ela ou pagar ao pai dela (</w:t>
      </w:r>
      <w:hyperlink r:id="rId20564">
        <w:r>
          <w:rPr>
            <w:color w:val="0000EE"/>
            <w:u w:val="single"/>
          </w:rPr>
          <w:t>Êx 22.16–17</w:t>
        </w:r>
      </w:hyperlink>
      <w:r>
        <w:t>). Se a mulher é a culpada, a punição é a morte (</w:t>
      </w:r>
      <w:hyperlink r:id="rId20660">
        <w:r>
          <w:rPr>
            <w:color w:val="0000EE"/>
            <w:u w:val="single"/>
          </w:rPr>
          <w:t>Dt 22.20–21</w:t>
        </w:r>
      </w:hyperlink>
      <w:r>
        <w:t>). O Antigo Testamento, no entanto, diz pouco em favor da virgindade ao longo da vida. Jeremias foi instruído a não se casar, apenas para reforçar o aviso de Deus sobre o julgamento que viria (</w:t>
      </w:r>
      <w:hyperlink r:id="rId20661">
        <w:r>
          <w:rPr>
            <w:color w:val="0000EE"/>
            <w:u w:val="single"/>
          </w:rPr>
          <w:t>Jr 16.2</w:t>
        </w:r>
      </w:hyperlink>
      <w:r>
        <w:t xml:space="preserve">). Do ponto de vista da mulher, era uma tragédia permanecer uma virgem solteira e sem filhos para a vida toda (compare </w:t>
      </w:r>
      <w:hyperlink r:id="rId20662">
        <w:r>
          <w:rPr>
            <w:color w:val="0000EE"/>
            <w:u w:val="single"/>
          </w:rPr>
          <w:t>Jz 11.37</w:t>
        </w:r>
      </w:hyperlink>
      <w:r>
        <w:t>).</w:t>
      </w:r>
    </w:p>
    <w:p>
      <w:r/>
      <w:r>
        <w:t>O Novo Testamento valoriza o casamento, mas destaca mais claramente os benefícios de um compromisso com a virgindade para homens e mulheres cristãos. O celibato, para alguns, é um dom de Deus, como declarou Paulo, pois traz vantagens positivas para o serviço cristão (</w:t>
      </w:r>
      <w:hyperlink r:id="rId20663">
        <w:r>
          <w:rPr>
            <w:color w:val="0000EE"/>
            <w:u w:val="single"/>
          </w:rPr>
          <w:t>1Co 7.7,25</w:t>
        </w:r>
      </w:hyperlink>
      <w:hyperlink r:id="rId20664">
        <w:r>
          <w:rPr>
            <w:color w:val="0000EE"/>
            <w:u w:val="single"/>
          </w:rPr>
          <w:t>–</w:t>
        </w:r>
      </w:hyperlink>
      <w:hyperlink r:id="rId20663">
        <w:r>
          <w:rPr>
            <w:color w:val="0000EE"/>
            <w:u w:val="single"/>
          </w:rPr>
          <w:t>38</w:t>
        </w:r>
      </w:hyperlink>
      <w:r>
        <w:t>). Jesus elogiou aqueles que “vivem como eunucos” por causa do reino dos céus (</w:t>
      </w:r>
      <w:hyperlink r:id="rId4606">
        <w:r>
          <w:rPr>
            <w:color w:val="0000EE"/>
            <w:u w:val="single"/>
          </w:rPr>
          <w:t>Mt 19.12</w:t>
        </w:r>
      </w:hyperlink>
      <w:r>
        <w:t>).</w:t>
      </w:r>
    </w:p>
    <w:p>
      <w:r/>
      <w:r>
        <w:rPr>
          <w:i/>
        </w:rPr>
        <w:t>Veja também</w:t>
      </w:r>
      <w:r>
        <w:t xml:space="preserve"> </w:t>
      </w:r>
      <w:r>
        <w:t>Vida familiar e relações</w:t>
      </w:r>
      <w:r>
        <w:t xml:space="preserve">; </w:t>
      </w:r>
      <w:r>
        <w:t>Casamento, Costumes matrimoniais</w:t>
      </w:r>
      <w:r>
        <w:t xml:space="preserve">; </w:t>
      </w:r>
      <w:r>
        <w:t>Sexo, Sexualidade</w:t>
      </w:r>
      <w:r>
        <w:t xml:space="preserve">; </w:t>
      </w:r>
      <w:r>
        <w:t>Nascimento virginal de Jesus</w:t>
      </w:r>
      <w:r>
        <w:t xml:space="preserve">; </w:t>
      </w:r>
      <w:r>
        <w:t>Mulher</w:t>
      </w:r>
      <w:r>
        <w:t>.</w:t>
      </w:r>
      <w:r/>
      <w:r/>
    </w:p>
    <w:p>
      <w:r/>
    </w:p>
    <w:p>
      <w:pPr>
        <w:pStyle w:val="Heading2"/>
      </w:pPr>
      <w:r>
        <w:t>Visão, Visões</w:t>
      </w:r>
      <w:r/>
    </w:p>
    <w:p>
      <w:r/>
      <w:r>
        <w:t>Uma visão é quando alguém vê algo com os olhos ou na mente. Na Bíblia, visões geralmente representam mensagens especiais que Deus revelou aos profetas.</w:t>
      </w:r>
    </w:p>
    <w:p>
      <w:pPr>
        <w:pStyle w:val="Heading3"/>
      </w:pPr>
      <w:r>
        <w:t>Tipos de visões</w:t>
      </w:r>
    </w:p>
    <w:p>
      <w:pPr>
        <w:pStyle w:val="Heading4"/>
      </w:pPr>
      <w:r>
        <w:t>Visões sobre o presente</w:t>
      </w:r>
    </w:p>
    <w:p>
      <w:r/>
      <w:r>
        <w:t>No início das profecias do Antigo Testamento, quando os profetas começaram a transmitir as mensagens de Deus, há exemplos de uma visão especial que outros não possuíam. As pessoas viam essa visão especial como prova de que alguém era realmente um profeta de Deus.</w:t>
      </w:r>
    </w:p>
    <w:p>
      <w:r/>
      <w:r>
        <w:t>Samuel era um "vidente" ou visionário. Ele conseguia "ver" onde estavam os jumentos perdidos de Saul e dizer a ele onde eles estavam (</w:t>
      </w:r>
      <w:hyperlink r:id="rId20665">
        <w:r>
          <w:rPr>
            <w:color w:val="0000EE"/>
            <w:u w:val="single"/>
          </w:rPr>
          <w:t>1Sm 9.19–20</w:t>
        </w:r>
      </w:hyperlink>
      <w:r>
        <w:t>). Eliseu conseguiu seguir as ações erradas de Geazi "em espírito" e confrontá-lo em seu retorno (</w:t>
      </w:r>
      <w:hyperlink r:id="rId20666">
        <w:r>
          <w:rPr>
            <w:color w:val="0000EE"/>
            <w:u w:val="single"/>
          </w:rPr>
          <w:t>2Rs 5.26</w:t>
        </w:r>
      </w:hyperlink>
      <w:r>
        <w:t>). Essa habilidade especial de ver coisas era um dom de Deus que ele concedia apenas aos seus profetas. Essas visões mostravam aos profetas coisas que estavam acontecendo na terra naquela época.</w:t>
      </w:r>
    </w:p>
    <w:p>
      <w:pPr>
        <w:pStyle w:val="Heading4"/>
      </w:pPr>
      <w:r>
        <w:t>Visões sobre o futuro</w:t>
      </w:r>
    </w:p>
    <w:p>
      <w:r/>
      <w:r>
        <w:t>Deus também concedeu aos profetas visões reveladoras que mostravam aspectos do futuro. Às vezes, Deus transmitia essas mensagens por meio de sonhos. Tanto as visões quanto os sonhos eram formas genuínas de Deus revelar coisas aos seus profetas. A principal diferença parece ser que as visões ocorriam durante o dia, enquanto os sonhos surgiam durante o sono.</w:t>
      </w:r>
    </w:p>
    <w:p>
      <w:r/>
      <w:r>
        <w:t>Existem diferentes tipos de visão reveladora. Um tipo ocorria quando o Espírito de Deus tomava completamente os sentidos do profeta. Por exemplo, Ezequiel podia ser espiritualmente movido para diferentes lugares enquanto estava nesse estado especial (</w:t>
      </w:r>
      <w:hyperlink r:id="rId20667">
        <w:r>
          <w:rPr>
            <w:color w:val="0000EE"/>
            <w:u w:val="single"/>
          </w:rPr>
          <w:t>Ez 8.3</w:t>
        </w:r>
      </w:hyperlink>
      <w:r>
        <w:t xml:space="preserve">; </w:t>
      </w:r>
      <w:hyperlink r:id="rId19541">
        <w:r>
          <w:rPr>
            <w:color w:val="0000EE"/>
            <w:u w:val="single"/>
          </w:rPr>
          <w:t>40.2</w:t>
        </w:r>
      </w:hyperlink>
      <w:r>
        <w:t xml:space="preserve">). A visão de Daniel em </w:t>
      </w:r>
      <w:hyperlink r:id="rId6552">
        <w:r>
          <w:rPr>
            <w:color w:val="0000EE"/>
            <w:u w:val="single"/>
          </w:rPr>
          <w:t>Daniel 8</w:t>
        </w:r>
      </w:hyperlink>
      <w:r>
        <w:t xml:space="preserve"> provavelmente era do mesmo tipo, e talvez também fosse a experiência de Jeremias em </w:t>
      </w:r>
      <w:hyperlink r:id="rId20668">
        <w:r>
          <w:rPr>
            <w:color w:val="0000EE"/>
            <w:u w:val="single"/>
          </w:rPr>
          <w:t>Jeremias 13.4–7</w:t>
        </w:r>
      </w:hyperlink>
      <w:r>
        <w:t>.</w:t>
      </w:r>
    </w:p>
    <w:p>
      <w:pPr>
        <w:pStyle w:val="Heading4"/>
      </w:pPr>
      <w:r>
        <w:t>Visões de coisas comuns com significado especial</w:t>
      </w:r>
    </w:p>
    <w:p>
      <w:r/>
      <w:r>
        <w:t>Outro exemplo foi quando Deus ajudou os profetas a verem um significado mais profundo em coisas comuns. Por exemplo, Deus mostrou a Amós um cesto de frutas de verão, mas isso tinha um significado especial. Deus "fez" Amós "ver" o cesto (</w:t>
      </w:r>
      <w:hyperlink r:id="rId20669">
        <w:r>
          <w:rPr>
            <w:color w:val="0000EE"/>
            <w:u w:val="single"/>
          </w:rPr>
          <w:t>Am 8.1–2</w:t>
        </w:r>
      </w:hyperlink>
      <w:r>
        <w:t>). Jeremias teve visões semelhantes quando Deus lhe mostrou um ramo de amendoeira e uma panela que estava se virando (</w:t>
      </w:r>
      <w:hyperlink r:id="rId20670">
        <w:r>
          <w:rPr>
            <w:color w:val="0000EE"/>
            <w:u w:val="single"/>
          </w:rPr>
          <w:t>Jr 1.11–13</w:t>
        </w:r>
      </w:hyperlink>
      <w:r>
        <w:t>).</w:t>
      </w:r>
    </w:p>
    <w:p>
      <w:pPr>
        <w:pStyle w:val="Heading4"/>
      </w:pPr>
      <w:r>
        <w:t>Visões celestiais</w:t>
      </w:r>
    </w:p>
    <w:p>
      <w:r/>
      <w:r>
        <w:t>Havia também um tipo intermediário de visão, onde os profetas viam imagens de coisas celestiais. Isaías teve visões do céu (</w:t>
      </w:r>
      <w:hyperlink r:id="rId20671">
        <w:r>
          <w:rPr>
            <w:color w:val="0000EE"/>
            <w:u w:val="single"/>
          </w:rPr>
          <w:t>1Rs 22.19–22</w:t>
        </w:r>
      </w:hyperlink>
      <w:r>
        <w:t xml:space="preserve">; </w:t>
      </w:r>
      <w:hyperlink r:id="rId1938">
        <w:r>
          <w:rPr>
            <w:color w:val="0000EE"/>
            <w:u w:val="single"/>
          </w:rPr>
          <w:t>Is 6</w:t>
        </w:r>
      </w:hyperlink>
      <w:r>
        <w:t>). O apóstolo João teve visões semelhantes quando escreveu o livro de Apocalipse.</w:t>
      </w:r>
    </w:p>
    <w:p>
      <w:pPr>
        <w:pStyle w:val="Heading3"/>
      </w:pPr>
      <w:r>
        <w:t>Como Deus se comunicou por meio de visões</w:t>
      </w:r>
    </w:p>
    <w:p>
      <w:r/>
      <w:r>
        <w:t>Os profetas podiam receber mensagens de Deus vendo coisas ou ouvindo sua voz. Normalmente, uma mensagem falada era acompanhada por uma imagem que o profeta podia ver, de modo que ver e ouvir ocorriam simultaneamente. Este foi o caso de Isaías, que tanto "viu o Senhor" quanto ouviu Sua voz.</w:t>
      </w:r>
    </w:p>
    <w:p>
      <w:r/>
      <w:r>
        <w:t xml:space="preserve">Às vezes, mesmo quando os profetas apenas ouviam a voz de Deus, as pessoas chamavam isso de "visão" porque ainda era uma mensagem de Deus. Em muitos lugares na Bíblia, é difícil dizer se "visão" significa que o profeta principalmente viu algo ou se apenas significa que eles receberam qualquer tipo de mensagem de Deus (por exemplo, </w:t>
      </w:r>
      <w:hyperlink r:id="rId20672">
        <w:r>
          <w:rPr>
            <w:color w:val="0000EE"/>
            <w:u w:val="single"/>
          </w:rPr>
          <w:t>Ez 12.21–28</w:t>
        </w:r>
      </w:hyperlink>
      <w:r>
        <w:t>). Frequentemente, "visão" é usado simplesmente como um termo técnico para qualquer mensagem de Deus, mesmo que fossem apenas palavras que o profeta ouviu. Quando Deus chamou Samuel pela primeira vez para ser profeta, a Bíblia usa especificamente a palavra "visão" para descrever esse evento (</w:t>
      </w:r>
      <w:hyperlink r:id="rId20673">
        <w:r>
          <w:rPr>
            <w:color w:val="0000EE"/>
            <w:u w:val="single"/>
          </w:rPr>
          <w:t>1Sm 3.15</w:t>
        </w:r>
      </w:hyperlink>
      <w:r>
        <w:t>).</w:t>
      </w:r>
    </w:p>
    <w:p>
      <w:r/>
      <w:r>
        <w:t>Os livros proféticos na Bíblia contêm mensagens de Deus entregues por meio de profetas e frequentemente incluem visões, avisos e promessas. Vários dos livros proféticos têm a palavra "visão" em seu primeiro versículo (</w:t>
      </w:r>
      <w:hyperlink r:id="rId17556">
        <w:r>
          <w:rPr>
            <w:color w:val="0000EE"/>
            <w:u w:val="single"/>
          </w:rPr>
          <w:t>Is 1.1</w:t>
        </w:r>
      </w:hyperlink>
      <w:r>
        <w:t xml:space="preserve">; </w:t>
      </w:r>
      <w:hyperlink r:id="rId20674">
        <w:r>
          <w:rPr>
            <w:color w:val="0000EE"/>
            <w:u w:val="single"/>
          </w:rPr>
          <w:t>Ob 1.1</w:t>
        </w:r>
      </w:hyperlink>
      <w:r>
        <w:t xml:space="preserve">; </w:t>
      </w:r>
      <w:hyperlink r:id="rId13970">
        <w:r>
          <w:rPr>
            <w:color w:val="0000EE"/>
            <w:u w:val="single"/>
          </w:rPr>
          <w:t>Na 1.1</w:t>
        </w:r>
      </w:hyperlink>
      <w:r>
        <w:t>). Quando Natã contou a Davi sobre a promessa especial de Deus para ele (a aliança de Deus), essa mensagem também é chamada de "visão" (</w:t>
      </w:r>
      <w:hyperlink r:id="rId20675">
        <w:r>
          <w:rPr>
            <w:color w:val="0000EE"/>
            <w:u w:val="single"/>
          </w:rPr>
          <w:t>2Sm 7.17</w:t>
        </w:r>
      </w:hyperlink>
      <w:r>
        <w:t xml:space="preserve">; </w:t>
      </w:r>
      <w:hyperlink r:id="rId20676">
        <w:r>
          <w:rPr>
            <w:color w:val="0000EE"/>
            <w:u w:val="single"/>
          </w:rPr>
          <w:t>1Cr 17.15</w:t>
        </w:r>
      </w:hyperlink>
      <w:r>
        <w:t xml:space="preserve">; </w:t>
      </w:r>
      <w:hyperlink r:id="rId20677">
        <w:r>
          <w:rPr>
            <w:color w:val="0000EE"/>
            <w:u w:val="single"/>
          </w:rPr>
          <w:t>Sl 89.19</w:t>
        </w:r>
      </w:hyperlink>
      <w:r>
        <w:t xml:space="preserve">). Em </w:t>
      </w:r>
      <w:hyperlink r:id="rId14298">
        <w:r>
          <w:rPr>
            <w:color w:val="0000EE"/>
            <w:u w:val="single"/>
          </w:rPr>
          <w:t>Daniel 9.24</w:t>
        </w:r>
      </w:hyperlink>
      <w:r>
        <w:t xml:space="preserve"> a expressão "A visão e a profecia serão cumpridas" significa confirmar que a profecia de Jeremias (mencionada no versículo </w:t>
      </w:r>
      <w:hyperlink r:id="rId3541">
        <w:r>
          <w:rPr>
            <w:color w:val="0000EE"/>
            <w:u w:val="single"/>
          </w:rPr>
          <w:t>2</w:t>
        </w:r>
      </w:hyperlink>
      <w:r>
        <w:t>) era verdadeira e aconteceria.</w:t>
      </w:r>
    </w:p>
    <w:p>
      <w:r/>
      <w:r>
        <w:t>Há um versículo famoso em Provérbios que diz: "não havendo profecia, o povo se corrompe" (</w:t>
      </w:r>
      <w:hyperlink r:id="rId20678">
        <w:r>
          <w:rPr>
            <w:color w:val="0000EE"/>
            <w:u w:val="single"/>
          </w:rPr>
          <w:t>Pv 29.18</w:t>
        </w:r>
      </w:hyperlink>
      <w:r>
        <w:t>). Neste versículo, a palavra original "visão", traduzida por "profecia", refere-se às mensagens que Deus deu através dos profetas. Essas mensagens proféticas tinham o objetivo de ajudar a guiar o povo de Israel em como viver.</w:t>
      </w:r>
    </w:p>
    <w:p>
      <w:r/>
      <w:r>
        <w:rPr>
          <w:i/>
        </w:rPr>
        <w:t>Consulte também</w:t>
      </w:r>
      <w:r>
        <w:t xml:space="preserve"> </w:t>
      </w:r>
      <w:r>
        <w:t>Apocalipse</w:t>
      </w:r>
      <w:r>
        <w:t xml:space="preserve">; </w:t>
      </w:r>
      <w:r>
        <w:t>Sonhos</w:t>
      </w:r>
      <w:r>
        <w:t xml:space="preserve">; </w:t>
      </w:r>
      <w:r>
        <w:t>Profecia</w:t>
      </w:r>
      <w:r>
        <w:t>.</w:t>
      </w:r>
      <w:r/>
      <w:r/>
    </w:p>
    <w:p>
      <w:r/>
    </w:p>
    <w:p>
      <w:pPr>
        <w:pStyle w:val="Heading2"/>
      </w:pPr>
      <w:r>
        <w:t>Viúva</w:t>
      </w:r>
      <w:r/>
    </w:p>
    <w:p>
      <w:r/>
      <w:r>
        <w:t>Uma mulher cujo marido faleceu. As Escrituras frequentemente listam viúvas com os órfãos e os sem pai (</w:t>
      </w:r>
      <w:hyperlink r:id="rId8566">
        <w:r>
          <w:rPr>
            <w:color w:val="0000EE"/>
            <w:u w:val="single"/>
          </w:rPr>
          <w:t>Dt 14.29</w:t>
        </w:r>
      </w:hyperlink>
      <w:r>
        <w:t xml:space="preserve">; </w:t>
      </w:r>
      <w:hyperlink r:id="rId16832">
        <w:r>
          <w:rPr>
            <w:color w:val="0000EE"/>
            <w:u w:val="single"/>
          </w:rPr>
          <w:t>16.11</w:t>
        </w:r>
      </w:hyperlink>
      <w:r>
        <w:t xml:space="preserve">; </w:t>
      </w:r>
      <w:hyperlink r:id="rId20679">
        <w:r>
          <w:rPr>
            <w:color w:val="0000EE"/>
            <w:u w:val="single"/>
          </w:rPr>
          <w:t>24.19–20</w:t>
        </w:r>
      </w:hyperlink>
      <w:r>
        <w:t xml:space="preserve">; </w:t>
      </w:r>
      <w:hyperlink r:id="rId7421">
        <w:r>
          <w:rPr>
            <w:color w:val="0000EE"/>
            <w:u w:val="single"/>
          </w:rPr>
          <w:t>26.12</w:t>
        </w:r>
      </w:hyperlink>
      <w:r>
        <w:t xml:space="preserve">; </w:t>
      </w:r>
      <w:hyperlink r:id="rId15926">
        <w:r>
          <w:rPr>
            <w:color w:val="0000EE"/>
            <w:u w:val="single"/>
          </w:rPr>
          <w:t>Sl 94.6</w:t>
        </w:r>
      </w:hyperlink>
      <w:r>
        <w:t xml:space="preserve">). Havia leis para fazer provisões especiais para este grupo. As leis as protegiam contra pessoas que tentavam maltratá-las. A principal lei estava relacionada ao casamento levirato. Isso significava que o parente mais próximo se casaria com a viúva se ela não tivesse filho. Isso era para que a linhagem familiar pudesse continuar (veja a discussão em </w:t>
      </w:r>
      <w:r>
        <w:t>Casamento</w:t>
      </w:r>
      <w:r>
        <w:t>).</w:t>
      </w:r>
    </w:p>
    <w:p>
      <w:pPr>
        <w:pStyle w:val="Heading3"/>
      </w:pPr>
      <w:r>
        <w:t>Viúvas em Israel</w:t>
      </w:r>
    </w:p>
    <w:p>
      <w:r/>
      <w:r>
        <w:t>Muitas leis do Antigo Testamento reconheciam as dificuldades das viúvas. Deus criou essas leis para proteger e garantir a sobrevivência delas. Deus era seu protetor legal (</w:t>
      </w:r>
      <w:hyperlink r:id="rId15243">
        <w:r>
          <w:rPr>
            <w:color w:val="0000EE"/>
            <w:u w:val="single"/>
          </w:rPr>
          <w:t>Sl 68.5</w:t>
        </w:r>
      </w:hyperlink>
      <w:r>
        <w:t>). Ele assegurava que elas tivessem o essencial de comida e vestuário (</w:t>
      </w:r>
      <w:hyperlink r:id="rId15912">
        <w:r>
          <w:rPr>
            <w:color w:val="0000EE"/>
            <w:u w:val="single"/>
          </w:rPr>
          <w:t>Dt 10.18</w:t>
        </w:r>
      </w:hyperlink>
      <w:r>
        <w:t>). Deus pronunciou uma maldição sobre aqueles que lhes negassem justiça (</w:t>
      </w:r>
      <w:hyperlink r:id="rId15920">
        <w:r>
          <w:rPr>
            <w:color w:val="0000EE"/>
            <w:u w:val="single"/>
          </w:rPr>
          <w:t>27.19</w:t>
        </w:r>
      </w:hyperlink>
      <w:r>
        <w:t>). Na época da colheita, as viúvas podiam respigar o grão nos campos. Elas também tinham direito a algumas uvas e azeitonas (</w:t>
      </w:r>
      <w:hyperlink r:id="rId18114">
        <w:r>
          <w:rPr>
            <w:color w:val="0000EE"/>
            <w:u w:val="single"/>
          </w:rPr>
          <w:t>Dt 24.19</w:t>
        </w:r>
      </w:hyperlink>
      <w:r>
        <w:t xml:space="preserve">; </w:t>
      </w:r>
      <w:hyperlink r:id="rId20680">
        <w:r>
          <w:rPr>
            <w:color w:val="0000EE"/>
            <w:u w:val="single"/>
          </w:rPr>
          <w:t>Rt 2.2,7,15–19</w:t>
        </w:r>
      </w:hyperlink>
      <w:r>
        <w:t>). A lei também as qualificava para receber alguma ajuda do dízimo do terceiro ano. No entanto, as viúvas eram frequentemente pobres e recebiam tratamento cruel. Referências frequentes na Bíblia atestam esse abuso generalizado (</w:t>
      </w:r>
      <w:hyperlink r:id="rId20681">
        <w:r>
          <w:rPr>
            <w:color w:val="0000EE"/>
            <w:u w:val="single"/>
          </w:rPr>
          <w:t>Jó 24.21</w:t>
        </w:r>
      </w:hyperlink>
      <w:r>
        <w:t xml:space="preserve">; </w:t>
      </w:r>
      <w:hyperlink r:id="rId15926">
        <w:r>
          <w:rPr>
            <w:color w:val="0000EE"/>
            <w:u w:val="single"/>
          </w:rPr>
          <w:t>Sl 94.6</w:t>
        </w:r>
      </w:hyperlink>
      <w:r>
        <w:t xml:space="preserve">; </w:t>
      </w:r>
      <w:hyperlink r:id="rId8335">
        <w:r>
          <w:rPr>
            <w:color w:val="0000EE"/>
            <w:u w:val="single"/>
          </w:rPr>
          <w:t>Is 1.23</w:t>
        </w:r>
      </w:hyperlink>
      <w:r>
        <w:t xml:space="preserve">; </w:t>
      </w:r>
      <w:hyperlink r:id="rId450">
        <w:r>
          <w:rPr>
            <w:color w:val="0000EE"/>
            <w:u w:val="single"/>
          </w:rPr>
          <w:t>Ml 3.5</w:t>
        </w:r>
      </w:hyperlink>
      <w:r>
        <w:t>). Uma lei especial determinava que a roupa de uma viúva não poderia ser usada como garantia para um empréstimo (</w:t>
      </w:r>
      <w:hyperlink r:id="rId7227">
        <w:r>
          <w:rPr>
            <w:color w:val="0000EE"/>
            <w:u w:val="single"/>
          </w:rPr>
          <w:t>Dt 24.17</w:t>
        </w:r>
      </w:hyperlink>
      <w:r>
        <w:t>).</w:t>
      </w:r>
    </w:p>
    <w:p>
      <w:pPr>
        <w:pStyle w:val="Heading3"/>
      </w:pPr>
      <w:r>
        <w:t>Viúvas na igreja primitiva</w:t>
      </w:r>
    </w:p>
    <w:p>
      <w:r/>
      <w:r>
        <w:t>Na igreja cristã primitiva, havia um grupo reconhecido de viúvas. A igreja as qualificava para receber caridade. Havia vários requisitos para essa qualificação. Essas mulheres precisavam ter pelo menos 60 anos de idade. Elas deviam ter sido esposas fiéis. A igreja também exigia que fossem pobres, sem parentes para sustentá-las. A igreja exigia que fossem irrepreensíveis e dedicadas às boas obras cristãs (</w:t>
      </w:r>
      <w:hyperlink r:id="rId20682">
        <w:r>
          <w:rPr>
            <w:color w:val="0000EE"/>
            <w:u w:val="single"/>
          </w:rPr>
          <w:t>1Tm 5.9–16</w:t>
        </w:r>
      </w:hyperlink>
      <w:r>
        <w:t>).</w:t>
      </w:r>
    </w:p>
    <w:p>
      <w:r/>
      <w:r>
        <w:rPr>
          <w:i/>
        </w:rPr>
        <w:t>Veja também</w:t>
      </w:r>
      <w:r>
        <w:t xml:space="preserve"> </w:t>
      </w:r>
      <w:r>
        <w:t>Vida familiar e relacionamentos</w:t>
      </w:r>
      <w:r>
        <w:t xml:space="preserve">; </w:t>
      </w:r>
      <w:r>
        <w:t>Casamento</w:t>
      </w:r>
      <w:r>
        <w:t>.</w:t>
      </w:r>
      <w:r/>
      <w:r/>
    </w:p>
    <w:p>
      <w:r/>
    </w:p>
    <w:p>
      <w:pPr>
        <w:pStyle w:val="Heading2"/>
      </w:pPr>
      <w:r>
        <w:t>Vofsi</w:t>
      </w:r>
      <w:r/>
    </w:p>
    <w:p>
      <w:r/>
      <w:r>
        <w:t>Um homem da tribo de Naftali foi nomeado por Moisés para ser um dos doze espiões enviados para explorar a terra de Canaã (</w:t>
      </w:r>
      <w:hyperlink r:id="rId14988">
        <w:r>
          <w:rPr>
            <w:color w:val="0000EE"/>
            <w:u w:val="single"/>
          </w:rPr>
          <w:t>Nm 13.14</w:t>
        </w:r>
      </w:hyperlink>
      <w:r>
        <w:t>).</w:t>
      </w:r>
      <w:r/>
      <w:r/>
    </w:p>
    <w:p>
      <w:r/>
    </w:p>
    <w:p>
      <w:pPr>
        <w:pStyle w:val="Heading2"/>
      </w:pPr>
      <w:r>
        <w:t>Voto, Votos</w:t>
      </w:r>
      <w:r/>
    </w:p>
    <w:p>
      <w:r/>
      <w:r>
        <w:t>Promessas ou votos sérios feitos a Deus. A realização de votos a Deus é uma prática religiosa frequentemente mencionada nas Escrituras. A maioria das referências aos votos é encontrada no AT, especialmente nos Salmos, mas há algumas no NT.</w:t>
      </w:r>
    </w:p>
    <w:p>
      <w:r/>
      <w:r>
        <w:t xml:space="preserve">Ao contrário do que é feito, sacrifícios e ofertas, guardar o Sábado e circuncisão, o ato de fazer votos não era algo ordenado pela lei mosaica. Por exemplo, </w:t>
      </w:r>
      <w:hyperlink r:id="rId10168">
        <w:r>
          <w:rPr>
            <w:color w:val="0000EE"/>
            <w:u w:val="single"/>
          </w:rPr>
          <w:t>Salmo 50.14</w:t>
        </w:r>
      </w:hyperlink>
      <w:r>
        <w:t xml:space="preserve"> diz: “Oferece a Deus sacrifício de ações de graças e cumpre os teus votos para com o Altíssimo” (ARA). O comando é “pagar”, isto é, manter ou realizar um compromisso que já foi feito. Em primeiro lugar, nenhuma ordem é dada para fazer tais promessas. A prática é aceita e regulada, mas não exigida.</w:t>
      </w:r>
    </w:p>
    <w:p>
      <w:r/>
      <w:r>
        <w:t xml:space="preserve">O propósito de um voto é ganhar um favor desejado do Senhor, expressar gratidão a ele por algum livramento ou benefício, ou simplesmente provar devoção absoluta a ele por meio de certas abstinências. Dedicação de si e separação ao Senhor eram as principais características do voto nazireu. Sansão, Samuel e João Batista são os exemplos mais familiares daqueles que fizeram este tipo de voto. </w:t>
      </w:r>
      <w:hyperlink r:id="rId6492">
        <w:r>
          <w:rPr>
            <w:color w:val="0000EE"/>
            <w:u w:val="single"/>
          </w:rPr>
          <w:t>Nm 6.1–8</w:t>
        </w:r>
      </w:hyperlink>
      <w:r>
        <w:t xml:space="preserve"> prescreve as condições deste compromisso, e os versículos </w:t>
      </w:r>
      <w:hyperlink r:id="rId15116">
        <w:r>
          <w:rPr>
            <w:color w:val="0000EE"/>
            <w:u w:val="single"/>
          </w:rPr>
          <w:t>13–21</w:t>
        </w:r>
      </w:hyperlink>
      <w:r>
        <w:t xml:space="preserve"> explicam como a liberação do voto pode ser obtida. As mulheres, bem como os homens, podem fazer este voto de separação (v. </w:t>
      </w:r>
      <w:hyperlink r:id="rId14885">
        <w:r>
          <w:rPr>
            <w:color w:val="0000EE"/>
            <w:u w:val="single"/>
          </w:rPr>
          <w:t>2</w:t>
        </w:r>
      </w:hyperlink>
      <w:r>
        <w:t>), que poderia ser de duração limitada. O clã recabita se comprometeu a uma vida ascética e nômade. Eles constituem uma ilustração convincente de lealdade ao Deus de Israel (</w:t>
      </w:r>
      <w:hyperlink r:id="rId17981">
        <w:r>
          <w:rPr>
            <w:color w:val="0000EE"/>
            <w:u w:val="single"/>
          </w:rPr>
          <w:t>Jr 35</w:t>
        </w:r>
      </w:hyperlink>
      <w:r>
        <w:t>).</w:t>
      </w:r>
    </w:p>
    <w:p>
      <w:r/>
      <w:r>
        <w:t>Frequentemente, no entanto, os votos eram feitos como um tipo de barganha com Deus. Em Betel, Jacó prometeu adoração a Deus e o dízimo se ele o protegesse e suprisse suas necessidades (</w:t>
      </w:r>
      <w:hyperlink r:id="rId20683">
        <w:r>
          <w:rPr>
            <w:color w:val="0000EE"/>
            <w:u w:val="single"/>
          </w:rPr>
          <w:t>Gn 28.20–22</w:t>
        </w:r>
      </w:hyperlink>
      <w:r>
        <w:t>). Ana prometeu que se Deus lhe desse um filho, ela o devolveria a Deus (</w:t>
      </w:r>
      <w:hyperlink r:id="rId15089">
        <w:r>
          <w:rPr>
            <w:color w:val="0000EE"/>
            <w:u w:val="single"/>
          </w:rPr>
          <w:t>1Sm 1.11, 27–28</w:t>
        </w:r>
      </w:hyperlink>
      <w:r>
        <w:t xml:space="preserve">). Nos Salmos, o pagamento de votos é muitas vezes associado com ação de graças pela libertação do perigo ou aflição (p. ex., </w:t>
      </w:r>
      <w:hyperlink r:id="rId20684">
        <w:r>
          <w:rPr>
            <w:color w:val="0000EE"/>
            <w:u w:val="single"/>
          </w:rPr>
          <w:t>Sl 22.24–25</w:t>
        </w:r>
      </w:hyperlink>
      <w:r>
        <w:t xml:space="preserve">; </w:t>
      </w:r>
      <w:hyperlink r:id="rId20685">
        <w:r>
          <w:rPr>
            <w:color w:val="0000EE"/>
            <w:u w:val="single"/>
          </w:rPr>
          <w:t>56.12–13</w:t>
        </w:r>
      </w:hyperlink>
      <w:r>
        <w:t>).</w:t>
      </w:r>
    </w:p>
    <w:p>
      <w:r/>
      <w:r>
        <w:t>O mais importante é que uma vez que um voto é feito, a obrigação é séria. Não é pecado abster-se de fazer um voto (</w:t>
      </w:r>
      <w:hyperlink r:id="rId20686">
        <w:r>
          <w:rPr>
            <w:color w:val="0000EE"/>
            <w:u w:val="single"/>
          </w:rPr>
          <w:t>Dt 23.22</w:t>
        </w:r>
      </w:hyperlink>
      <w:r>
        <w:t>), mas uma vez declarado, o voto deve ser cumprido (</w:t>
      </w:r>
      <w:hyperlink r:id="rId20687">
        <w:r>
          <w:rPr>
            <w:color w:val="0000EE"/>
            <w:u w:val="single"/>
          </w:rPr>
          <w:t>Dt 23.21–23</w:t>
        </w:r>
      </w:hyperlink>
      <w:r>
        <w:t xml:space="preserve">; veja também </w:t>
      </w:r>
      <w:hyperlink r:id="rId15467">
        <w:r>
          <w:rPr>
            <w:color w:val="0000EE"/>
            <w:u w:val="single"/>
          </w:rPr>
          <w:t>Nm 30.2</w:t>
        </w:r>
      </w:hyperlink>
      <w:r>
        <w:t xml:space="preserve">; </w:t>
      </w:r>
      <w:hyperlink r:id="rId20688">
        <w:r>
          <w:rPr>
            <w:color w:val="0000EE"/>
            <w:u w:val="single"/>
          </w:rPr>
          <w:t>Ec 5.4–6</w:t>
        </w:r>
      </w:hyperlink>
      <w:r>
        <w:t>).</w:t>
      </w:r>
    </w:p>
    <w:p>
      <w:r/>
      <w:r>
        <w:t>O termo “voto” ocorre apenas duas vezes no NT, ambas às vezes em associação com o apóstolo Paulo (</w:t>
      </w:r>
      <w:hyperlink r:id="rId3928">
        <w:r>
          <w:rPr>
            <w:color w:val="0000EE"/>
            <w:u w:val="single"/>
          </w:rPr>
          <w:t>At 18.18</w:t>
        </w:r>
      </w:hyperlink>
      <w:r>
        <w:t xml:space="preserve">; </w:t>
      </w:r>
      <w:hyperlink r:id="rId15117">
        <w:r>
          <w:rPr>
            <w:color w:val="0000EE"/>
            <w:u w:val="single"/>
          </w:rPr>
          <w:t>21.23–24</w:t>
        </w:r>
      </w:hyperlink>
      <w:r>
        <w:t>). Mas o mesmo princípio está envolvido no caso da palavra “Corbã” (</w:t>
      </w:r>
      <w:hyperlink r:id="rId20689">
        <w:r>
          <w:rPr>
            <w:color w:val="0000EE"/>
            <w:u w:val="single"/>
          </w:rPr>
          <w:t>Mc 7.11–13</w:t>
        </w:r>
      </w:hyperlink>
      <w:r>
        <w:t xml:space="preserve">; cf. </w:t>
      </w:r>
      <w:hyperlink r:id="rId20690">
        <w:r>
          <w:rPr>
            <w:color w:val="0000EE"/>
            <w:u w:val="single"/>
          </w:rPr>
          <w:t>Mt 15.5–6</w:t>
        </w:r>
      </w:hyperlink>
      <w:r>
        <w:t>). Nessas duas passagens, Jesus repreendeu severamente aqueles que faziam um voto que servia como uma manobra astuta para escapar das obrigações de cuidar dos pais idosos. Um valor monetário estava envolvido em tal “presente” ou “oferta.” Mas Jesus declarou que Deus não queria um presente destinado a privar alguém.</w:t>
      </w:r>
    </w:p>
    <w:p>
      <w:r/>
      <w:r>
        <w:t>No caso de Paulo, ele pode ter assumido seus votos com o propósito de evitar objeções que tanto os judeus antagonistas quanto os crentes judeus-cristãos tinham em relação à sua remoção do fardo das regulamentações mosaicas dos ombros dos crentes gentios. Paulo estava em Jerusalém sob a vigilância atenta das autoridades judaicas. Ele fez questão de se juntar a quatro outros crentes judeus no pagamento dos votos no templo. Esta ação, no entanto, foi mal interpretada por seus inimigos, que alegaram que ele estava trazendo os gentios para o templo santo.</w:t>
      </w:r>
    </w:p>
    <w:p>
      <w:r/>
      <w:r>
        <w:rPr>
          <w:i/>
        </w:rPr>
        <w:t>Veja também</w:t>
      </w:r>
      <w:r>
        <w:t xml:space="preserve"> </w:t>
      </w:r>
      <w:r>
        <w:t>Aliança</w:t>
      </w:r>
      <w:r>
        <w:t xml:space="preserve">; </w:t>
      </w:r>
      <w:r>
        <w:t>Juramento</w:t>
      </w:r>
      <w:r>
        <w:t>.</w:t>
      </w:r>
      <w:r/>
      <w:r/>
    </w:p>
    <w:p>
      <w:r/>
    </w:p>
    <w:p>
      <w:pPr>
        <w:pStyle w:val="Heading2"/>
      </w:pPr>
      <w:r>
        <w:t>Wadi</w:t>
      </w:r>
      <w:r/>
    </w:p>
    <w:p>
      <w:r/>
      <w:r>
        <w:t>Um wadi é um riacho ou rio que flui apenas durante certas épocas do ano nas regiões secas e semiáridas do Oriente Médio. Esses leitos de riachos geralmente estão secos, mas podem se encher de água corrente durante a primavera, quando a neve derrete ou após chuvas intensas.</w:t>
      </w:r>
    </w:p>
    <w:p>
      <w:r/>
      <w:r>
        <w:t>O wadi mais importante na Bíblia era o Wadi do Egito (também chamado de “Ribeiro do Egito” nas versões modernas da Bíblia). Este wadi marcava a fronteira sudoeste de Canaã de acordo com as instruções que Deus deu a Moisés (</w:t>
      </w:r>
      <w:hyperlink r:id="rId18595">
        <w:r>
          <w:rPr>
            <w:color w:val="0000EE"/>
            <w:u w:val="single"/>
          </w:rPr>
          <w:t>Nm 34.5</w:t>
        </w:r>
      </w:hyperlink>
      <w:r>
        <w:t xml:space="preserve">; </w:t>
      </w:r>
      <w:hyperlink r:id="rId18596">
        <w:r>
          <w:rPr>
            <w:color w:val="0000EE"/>
            <w:u w:val="single"/>
          </w:rPr>
          <w:t>Js 15.4,47</w:t>
        </w:r>
      </w:hyperlink>
      <w:r>
        <w:t xml:space="preserve">; </w:t>
      </w:r>
      <w:hyperlink r:id="rId9232">
        <w:r>
          <w:rPr>
            <w:color w:val="0000EE"/>
            <w:u w:val="single"/>
          </w:rPr>
          <w:t>1Rs 8.65</w:t>
        </w:r>
      </w:hyperlink>
      <w:r>
        <w:t xml:space="preserve">; </w:t>
      </w:r>
      <w:hyperlink r:id="rId18597">
        <w:r>
          <w:rPr>
            <w:color w:val="0000EE"/>
            <w:u w:val="single"/>
          </w:rPr>
          <w:t>Is 27.12</w:t>
        </w:r>
      </w:hyperlink>
      <w:r>
        <w:t>). Durante as estações secas, quando não havia água fluindo, os wadis eram úteis como caminhos para viagem.</w:t>
      </w:r>
      <w:r/>
      <w:r/>
    </w:p>
    <w:p>
      <w:r/>
    </w:p>
    <w:p>
      <w:pPr>
        <w:pStyle w:val="Heading2"/>
      </w:pPr>
      <w:r>
        <w:t>Yom Kippur</w:t>
      </w:r>
      <w:r/>
    </w:p>
    <w:p>
      <w:r/>
      <w:r>
        <w:t>Yom Kippur é o nome hebraico para o Dia do Perdão (ou, Dia da Expiação). Era um dos dias sagrados mais importantes no antigo Israel. Também era chamado de Dia da Expiação. Neste dia, o sumo sacerdote realizava cerimônias especiais para pedir a Deus que perdoasse os pecados do povo. Era um dia para os israelitas pararem de trabalhar, jejuarem e demonstrarem arrependimento por seus pecados (</w:t>
      </w:r>
      <w:hyperlink r:id="rId7043">
        <w:r>
          <w:rPr>
            <w:color w:val="0000EE"/>
            <w:u w:val="single"/>
          </w:rPr>
          <w:t>Lv 23.26–32</w:t>
        </w:r>
      </w:hyperlink>
      <w:r>
        <w:t>).</w:t>
      </w:r>
    </w:p>
    <w:p>
      <w:r/>
      <w:r>
        <w:t xml:space="preserve">O nome </w:t>
      </w:r>
      <w:r>
        <w:rPr>
          <w:i/>
        </w:rPr>
        <w:t>Yom Kippur</w:t>
      </w:r>
      <w:r>
        <w:t xml:space="preserve"> significa "Dia da Expiação" em hebraico. Origina-se de palavras que significam "dia" (</w:t>
      </w:r>
      <w:r>
        <w:rPr>
          <w:i/>
        </w:rPr>
        <w:t>yom</w:t>
      </w:r>
      <w:r>
        <w:t>) e "fazer expiação" (</w:t>
      </w:r>
      <w:r>
        <w:rPr>
          <w:i/>
        </w:rPr>
        <w:t>kippur</w:t>
      </w:r>
      <w:r>
        <w:t>). Era o único dia do ano em que o sumo sacerdote podia entrar no Lugar Santíssimo no tabernáculo.</w:t>
      </w:r>
    </w:p>
    <w:p>
      <w:r/>
      <w:r>
        <w:rPr>
          <w:i/>
        </w:rPr>
        <w:t>Veja</w:t>
      </w:r>
      <w:r>
        <w:t xml:space="preserve"> </w:t>
      </w:r>
      <w:r>
        <w:t>Festas e festivais de Israel</w:t>
      </w:r>
      <w:r>
        <w:t>.</w:t>
      </w:r>
      <w:r/>
      <w:r/>
    </w:p>
    <w:p>
      <w:r/>
    </w:p>
    <w:p>
      <w:pPr>
        <w:pStyle w:val="Heading2"/>
      </w:pPr>
      <w:r>
        <w:t>Zaavã</w:t>
      </w:r>
      <w:r/>
    </w:p>
    <w:p>
      <w:r/>
      <w:r>
        <w:t>Segundo filho de Eser, um chefe de clã horita (</w:t>
      </w:r>
      <w:hyperlink r:id="rId210">
        <w:r>
          <w:rPr>
            <w:color w:val="0000EE"/>
            <w:u w:val="single"/>
          </w:rPr>
          <w:t>Gn 36.27</w:t>
        </w:r>
      </w:hyperlink>
      <w:r>
        <w:t xml:space="preserve">; </w:t>
      </w:r>
      <w:hyperlink r:id="rId2309">
        <w:r>
          <w:rPr>
            <w:color w:val="0000EE"/>
            <w:u w:val="single"/>
          </w:rPr>
          <w:t>1Cr 1.42</w:t>
        </w:r>
      </w:hyperlink>
      <w:r>
        <w:t>).</w:t>
      </w:r>
      <w:r/>
      <w:r/>
    </w:p>
    <w:p>
      <w:r/>
    </w:p>
    <w:p>
      <w:pPr>
        <w:pStyle w:val="Heading2"/>
      </w:pPr>
      <w:r>
        <w:t>Zacur</w:t>
      </w:r>
      <w:r/>
    </w:p>
    <w:p>
      <w:pPr>
        <w:pStyle w:val="ListNumber"/>
        <w:spacing w:line="240" w:lineRule="auto"/>
        <w:ind w:left="720"/>
      </w:pPr>
      <w:r/>
      <w:r>
        <w:t>Da tribo de Rúben e pai de Samua. Samua foi um dos 12 espiões que exploraram Canaã (</w:t>
      </w:r>
      <w:hyperlink r:id="rId18713">
        <w:r>
          <w:rPr>
            <w:color w:val="0000EE"/>
            <w:u w:val="single"/>
          </w:rPr>
          <w:t>Nm 13.4</w:t>
        </w:r>
      </w:hyperlink>
      <w:r>
        <w:t>).</w:t>
      </w:r>
    </w:p>
    <w:p>
      <w:pPr>
        <w:pStyle w:val="ListNumber"/>
        <w:spacing w:line="240" w:lineRule="auto"/>
        <w:ind w:left="720"/>
      </w:pPr>
      <w:r/>
      <w:r>
        <w:t>Um simeonita que era filho de Hamuel e pai de Simei (</w:t>
      </w:r>
      <w:hyperlink r:id="rId20691">
        <w:r>
          <w:rPr>
            <w:color w:val="0000EE"/>
            <w:u w:val="single"/>
          </w:rPr>
          <w:t>1Cr 4.26</w:t>
        </w:r>
      </w:hyperlink>
      <w:r>
        <w:t>).</w:t>
      </w:r>
    </w:p>
    <w:p>
      <w:pPr>
        <w:pStyle w:val="ListNumber"/>
        <w:spacing w:line="240" w:lineRule="auto"/>
        <w:ind w:left="720"/>
      </w:pPr>
      <w:r/>
      <w:r>
        <w:t>Um dos descendentes da tribo de Merari no registro das divisões dos sacerdotes (</w:t>
      </w:r>
      <w:hyperlink r:id="rId20692">
        <w:r>
          <w:rPr>
            <w:color w:val="0000EE"/>
            <w:u w:val="single"/>
          </w:rPr>
          <w:t>1Cr 24.27</w:t>
        </w:r>
      </w:hyperlink>
      <w:r>
        <w:t>).</w:t>
      </w:r>
    </w:p>
    <w:p>
      <w:pPr>
        <w:pStyle w:val="ListNumber"/>
        <w:spacing w:line="240" w:lineRule="auto"/>
        <w:ind w:left="720"/>
      </w:pPr>
      <w:r/>
      <w:r>
        <w:t>Um dos filhos de Asafe que tinha responsabilidades de serviço no templo (</w:t>
      </w:r>
      <w:hyperlink r:id="rId12051">
        <w:r>
          <w:rPr>
            <w:color w:val="0000EE"/>
            <w:u w:val="single"/>
          </w:rPr>
          <w:t>1Cr 25.2</w:t>
        </w:r>
      </w:hyperlink>
      <w:r>
        <w:t>). Davi designou Zacur e seus filhos e irmãos para o terceiro turno entre as várias funções dos músicos do templo (</w:t>
      </w:r>
      <w:hyperlink r:id="rId20693">
        <w:r>
          <w:rPr>
            <w:color w:val="0000EE"/>
            <w:u w:val="single"/>
          </w:rPr>
          <w:t>1Cr 25.10</w:t>
        </w:r>
      </w:hyperlink>
      <w:r>
        <w:t>). Descendentes de Zacur estavam presentes na dedicação do muro da cidade após o exílio (</w:t>
      </w:r>
      <w:hyperlink r:id="rId20694">
        <w:r>
          <w:rPr>
            <w:color w:val="0000EE"/>
            <w:u w:val="single"/>
          </w:rPr>
          <w:t>Ne 12.35</w:t>
        </w:r>
      </w:hyperlink>
      <w:r>
        <w:t>).</w:t>
      </w:r>
    </w:p>
    <w:p>
      <w:pPr>
        <w:pStyle w:val="ListNumber"/>
        <w:spacing w:line="240" w:lineRule="auto"/>
        <w:ind w:left="720"/>
      </w:pPr>
      <w:r/>
      <w:r>
        <w:t>Um dos descendentes de Bigvai que retornou a Jerusalém com Esdras (</w:t>
      </w:r>
      <w:hyperlink r:id="rId20695">
        <w:r>
          <w:rPr>
            <w:color w:val="0000EE"/>
            <w:u w:val="single"/>
          </w:rPr>
          <w:t>Ed 8.14</w:t>
        </w:r>
      </w:hyperlink>
      <w:r>
        <w:t>).</w:t>
      </w:r>
    </w:p>
    <w:p>
      <w:pPr>
        <w:pStyle w:val="ListNumber"/>
        <w:spacing w:line="240" w:lineRule="auto"/>
        <w:ind w:left="720"/>
      </w:pPr>
      <w:r/>
      <w:r>
        <w:t>Um filho de Inri que trabalhou na reparação do muro de Jerusalém na área do Portão das Ovelhas (</w:t>
      </w:r>
      <w:hyperlink r:id="rId11595">
        <w:r>
          <w:rPr>
            <w:color w:val="0000EE"/>
            <w:u w:val="single"/>
          </w:rPr>
          <w:t>Ne 3.2</w:t>
        </w:r>
      </w:hyperlink>
      <w:r>
        <w:t>).</w:t>
      </w:r>
    </w:p>
    <w:p>
      <w:pPr>
        <w:pStyle w:val="ListNumber"/>
        <w:spacing w:line="240" w:lineRule="auto"/>
        <w:ind w:left="720"/>
      </w:pPr>
      <w:r/>
      <w:r>
        <w:t>Um dos levitas que assinou a aliança de Neemias para obedecer à lei de Deus (</w:t>
      </w:r>
      <w:hyperlink r:id="rId20696">
        <w:r>
          <w:rPr>
            <w:color w:val="0000EE"/>
            <w:u w:val="single"/>
          </w:rPr>
          <w:t>Ne 10.12</w:t>
        </w:r>
      </w:hyperlink>
      <w:r>
        <w:t>).</w:t>
      </w:r>
    </w:p>
    <w:p>
      <w:pPr>
        <w:pStyle w:val="ListNumber"/>
        <w:spacing w:line="240" w:lineRule="auto"/>
        <w:ind w:left="720"/>
      </w:pPr>
      <w:r/>
      <w:r>
        <w:t>Um filho de Matanias e pai de Hanã. Hanã foi o assistente dos tesoureiros do armazém durante o tempo de Neemias (</w:t>
      </w:r>
      <w:hyperlink r:id="rId20076">
        <w:r>
          <w:rPr>
            <w:color w:val="0000EE"/>
            <w:u w:val="single"/>
          </w:rPr>
          <w:t>Ne 13.13</w:t>
        </w:r>
      </w:hyperlink>
      <w:r>
        <w:t>). Alguns sugeriram que ele é a mesma pessoa mencionada como #7 acima.</w:t>
      </w:r>
      <w:r/>
      <w:r/>
    </w:p>
    <w:p>
      <w:r/>
    </w:p>
    <w:p>
      <w:pPr>
        <w:pStyle w:val="Heading2"/>
      </w:pPr>
      <w:r>
        <w:t>Zafenate Paneia</w:t>
      </w:r>
      <w:r/>
    </w:p>
    <w:p>
      <w:r/>
      <w:r>
        <w:t>Nome dado a José pelo Faraó quando ele assumiu suas responsabilidades governamentais no Egito (</w:t>
      </w:r>
      <w:hyperlink r:id="rId2199">
        <w:r>
          <w:rPr>
            <w:color w:val="0000EE"/>
            <w:u w:val="single"/>
          </w:rPr>
          <w:t>Gn 41.45</w:t>
        </w:r>
      </w:hyperlink>
      <w:r>
        <w:t xml:space="preserve">). O nome provavelmente significa “diz o deus, ele viverá". </w:t>
      </w:r>
      <w:r>
        <w:rPr>
          <w:i/>
        </w:rPr>
        <w:t>Veja</w:t>
      </w:r>
      <w:r>
        <w:t xml:space="preserve"> </w:t>
      </w:r>
      <w:r>
        <w:t>José #1</w:t>
      </w:r>
      <w:r>
        <w:t>.</w:t>
      </w:r>
      <w:r/>
      <w:r/>
    </w:p>
    <w:p>
      <w:r/>
    </w:p>
    <w:p>
      <w:pPr>
        <w:pStyle w:val="Heading2"/>
      </w:pPr>
      <w:r>
        <w:t>Zalmom (Lugar)</w:t>
      </w:r>
      <w:r/>
    </w:p>
    <w:p>
      <w:r/>
      <w:r>
        <w:t>Montanha da qual Abimeleque pegou arbustos para incendiar a torre de Siquém (</w:t>
      </w:r>
      <w:hyperlink r:id="rId20697">
        <w:r>
          <w:rPr>
            <w:color w:val="0000EE"/>
            <w:u w:val="single"/>
          </w:rPr>
          <w:t>Jz 9.48</w:t>
        </w:r>
      </w:hyperlink>
      <w:r>
        <w:t xml:space="preserve">). Como a montanha estava obviamente próxima a Siquém, foi identificada provisoriamente como es-Sulemiyeh (o nome moderno para a porção sudeste do Monte Ebal) ou uma de suas colinas circundantes. Algumas versões em português transliteram esse nome como "Salmom". Zalmom também é mencionado em conexão com a derrota dos inimigos de Israel em </w:t>
      </w:r>
      <w:hyperlink r:id="rId7746">
        <w:r>
          <w:rPr>
            <w:color w:val="0000EE"/>
            <w:u w:val="single"/>
          </w:rPr>
          <w:t>Salmo 68.14</w:t>
        </w:r>
      </w:hyperlink>
      <w:r>
        <w:t>. Devido à menção de neve e da “alta serra de Basã” no versículo seguinte, a Septuaginta e alguns comentaristas consideram este Zalmom como o Monte Hermom no Líbano. No entanto, nevascas sazonais também ocorrem na região do Monte Ebal.</w:t>
      </w:r>
      <w:r/>
      <w:r/>
    </w:p>
    <w:p>
      <w:r/>
    </w:p>
    <w:p>
      <w:pPr>
        <w:pStyle w:val="Heading2"/>
      </w:pPr>
      <w:r>
        <w:t>Zanzumins, zanzumitas</w:t>
      </w:r>
      <w:r/>
    </w:p>
    <w:p>
      <w:r/>
      <w:r>
        <w:t xml:space="preserve">O nome amonita para os refains. </w:t>
      </w:r>
      <w:hyperlink r:id="rId9940">
        <w:r>
          <w:rPr>
            <w:color w:val="0000EE"/>
            <w:u w:val="single"/>
          </w:rPr>
          <w:t>Deuteronômio 2.20</w:t>
        </w:r>
      </w:hyperlink>
      <w:r>
        <w:t xml:space="preserve"> os descreve como “uma raça de gigantes que antigamente moravam ali; os amonitas os chamavam de zanzumins”. Os zanzumins foram expulsos de sua terra pelos amonitas, assim como os horeus foram expulsos pelos edomitas e os avins pelos caftorins. A comparação com os anaquins, os refains e os emins mostra que os zanzumins eram uma raça de gigantes. Eles viviam na Transjordânia (uma região a leste do rio Jordão). Embora sua origem exata seja desconhecida, provavelmente viviam na área próxima a Rabá-Amom.</w:t>
      </w:r>
    </w:p>
    <w:p>
      <w:r/>
      <w:r>
        <w:rPr>
          <w:i/>
        </w:rPr>
        <w:t>Veja também</w:t>
      </w:r>
      <w:r>
        <w:t xml:space="preserve"> </w:t>
      </w:r>
      <w:r>
        <w:t>Gigantes</w:t>
      </w:r>
      <w:r>
        <w:t xml:space="preserve">; </w:t>
      </w:r>
      <w:r>
        <w:t>Refains</w:t>
      </w:r>
      <w:r>
        <w:t>.</w:t>
      </w:r>
      <w:r/>
      <w:r/>
    </w:p>
    <w:p>
      <w:r/>
    </w:p>
    <w:p>
      <w:pPr>
        <w:pStyle w:val="Heading2"/>
      </w:pPr>
      <w:r>
        <w:t>Zeba e Salmuna</w:t>
      </w:r>
      <w:r/>
    </w:p>
    <w:p>
      <w:r/>
      <w:r>
        <w:t>Dois reis midianitas que massacraram os irmãos de Gideão em Tabor. Gideão posteriormente os matou para vingar a morte de seus irmãos (</w:t>
      </w:r>
      <w:hyperlink r:id="rId20633">
        <w:r>
          <w:rPr>
            <w:color w:val="0000EE"/>
            <w:u w:val="single"/>
          </w:rPr>
          <w:t>Jz 8.18–21</w:t>
        </w:r>
      </w:hyperlink>
      <w:r>
        <w:t>).</w:t>
      </w:r>
    </w:p>
    <w:p>
      <w:r/>
      <w:r>
        <w:t>Durante o tempo de Gideão, os saqueadores midianitas com camelos faziam incursões anuais no território israelita na época da colheita, roubando colheitas e gado (</w:t>
      </w:r>
      <w:hyperlink r:id="rId17375">
        <w:r>
          <w:rPr>
            <w:color w:val="0000EE"/>
            <w:u w:val="single"/>
          </w:rPr>
          <w:t>Jz 6.3</w:t>
        </w:r>
      </w:hyperlink>
      <w:r>
        <w:t>). Suas invasões eram tão completas que nada restava em Israel, incluindo colheitas, ovelhas, bois ou jumentos.</w:t>
      </w:r>
    </w:p>
    <w:p>
      <w:r/>
      <w:r>
        <w:t>Nessa situação, Deus chamou Gideão para libertar Israel (</w:t>
      </w:r>
      <w:hyperlink r:id="rId12525">
        <w:r>
          <w:rPr>
            <w:color w:val="0000EE"/>
            <w:u w:val="single"/>
          </w:rPr>
          <w:t>Jz 6.16</w:t>
        </w:r>
      </w:hyperlink>
      <w:r>
        <w:t>). Sua famosa vitória sobre Midiã, perto do Monte Moré, foi um passo importante para cumprir essa missão divina (</w:t>
      </w:r>
      <w:hyperlink r:id="rId20698">
        <w:r>
          <w:rPr>
            <w:color w:val="0000EE"/>
            <w:u w:val="single"/>
          </w:rPr>
          <w:t>7.1–23</w:t>
        </w:r>
      </w:hyperlink>
      <w:r>
        <w:t>). Nas operações após a batalha, guerreiros efraimitas capturaram e mataram dois líderes midianitas chamados Zeebe e Orebe (</w:t>
      </w:r>
      <w:hyperlink r:id="rId20699">
        <w:r>
          <w:rPr>
            <w:color w:val="0000EE"/>
            <w:u w:val="single"/>
          </w:rPr>
          <w:t>7.24–8.3</w:t>
        </w:r>
      </w:hyperlink>
      <w:r>
        <w:t>).</w:t>
      </w:r>
    </w:p>
    <w:p>
      <w:r/>
      <w:r>
        <w:t>Gideão estava determinado a capturar Zeba e Salmuna, os reis das forças midianitas. Ao persegui-los, ele atravessou o rio Jordão e viajou mais de 160 quilômetros do local da batalha original. Ao longo do caminho, duas cidades sucessivas, Sucote e Penuel, recusaram-se a ajudar Gideão e seus homens, sem dúvida temendo represálias dos invasores midianitas caso Gideão não conseguisse derrotá-los.</w:t>
      </w:r>
    </w:p>
    <w:p>
      <w:r/>
      <w:r>
        <w:t>Gideão derrotou os guerreiros midianitas restantes e capturou Zeba e Salmuna (</w:t>
      </w:r>
      <w:hyperlink r:id="rId20700">
        <w:r>
          <w:rPr>
            <w:color w:val="0000EE"/>
            <w:u w:val="single"/>
          </w:rPr>
          <w:t>Jz 8.12</w:t>
        </w:r>
      </w:hyperlink>
      <w:r>
        <w:t xml:space="preserve">). Como Zeba e Salmuna haviam matado seus irmãos, Gideão matou os dois reis midianitas (vv. </w:t>
      </w:r>
      <w:hyperlink r:id="rId20701">
        <w:r>
          <w:rPr>
            <w:color w:val="0000EE"/>
            <w:u w:val="single"/>
          </w:rPr>
          <w:t>19–21</w:t>
        </w:r>
      </w:hyperlink>
      <w:r>
        <w:t xml:space="preserve">). </w:t>
      </w:r>
      <w:hyperlink r:id="rId15909">
        <w:r>
          <w:rPr>
            <w:color w:val="0000EE"/>
            <w:u w:val="single"/>
          </w:rPr>
          <w:t>Salmo 83.11</w:t>
        </w:r>
      </w:hyperlink>
      <w:r>
        <w:t xml:space="preserve"> indica que Zeba, Salmuna e os midianitas eram inimigos não apenas de Israel, mas também de Deus.</w:t>
      </w:r>
      <w:r/>
      <w:r/>
    </w:p>
    <w:p>
      <w:r/>
    </w:p>
    <w:p>
      <w:pPr>
        <w:pStyle w:val="Heading2"/>
      </w:pPr>
      <w:r>
        <w:t>Zebedeu</w:t>
      </w:r>
      <w:r/>
    </w:p>
    <w:p>
      <w:r/>
      <w:r>
        <w:t>Pai dos discípulos Tiago e João (</w:t>
      </w:r>
      <w:hyperlink r:id="rId11959">
        <w:r>
          <w:rPr>
            <w:color w:val="0000EE"/>
            <w:u w:val="single"/>
          </w:rPr>
          <w:t>Mt 26.37</w:t>
        </w:r>
      </w:hyperlink>
      <w:r>
        <w:t xml:space="preserve">; </w:t>
      </w:r>
      <w:hyperlink r:id="rId3824">
        <w:r>
          <w:rPr>
            <w:color w:val="0000EE"/>
            <w:u w:val="single"/>
          </w:rPr>
          <w:t>Mc 3.17</w:t>
        </w:r>
      </w:hyperlink>
      <w:r>
        <w:t xml:space="preserve">; </w:t>
      </w:r>
      <w:hyperlink r:id="rId20702">
        <w:r>
          <w:rPr>
            <w:color w:val="0000EE"/>
            <w:u w:val="single"/>
          </w:rPr>
          <w:t>10.35</w:t>
        </w:r>
      </w:hyperlink>
      <w:r>
        <w:t>). Zebedeu estava no negócio da pesca e pode ter sido rico, considerando que ele tinha servos e conexões aparentes com o sumo sacerdote (</w:t>
      </w:r>
      <w:hyperlink r:id="rId20703">
        <w:r>
          <w:rPr>
            <w:color w:val="0000EE"/>
            <w:u w:val="single"/>
          </w:rPr>
          <w:t>Jo 18.15</w:t>
        </w:r>
      </w:hyperlink>
      <w:r>
        <w:t>). Embora ele pessoalmente apareça apenas uma vez na narrativa (</w:t>
      </w:r>
      <w:hyperlink r:id="rId11950">
        <w:r>
          <w:rPr>
            <w:color w:val="0000EE"/>
            <w:u w:val="single"/>
          </w:rPr>
          <w:t>Mt 4.21</w:t>
        </w:r>
      </w:hyperlink>
      <w:r>
        <w:t xml:space="preserve">; </w:t>
      </w:r>
      <w:hyperlink r:id="rId11952">
        <w:r>
          <w:rPr>
            <w:color w:val="0000EE"/>
            <w:u w:val="single"/>
          </w:rPr>
          <w:t>Mc 1.19–20</w:t>
        </w:r>
      </w:hyperlink>
      <w:r>
        <w:t>), sua esposa, Salomé, aparece frequentemente como uma das mulheres piedosas que seguiram a Cristo.</w:t>
      </w:r>
      <w:r/>
      <w:r/>
    </w:p>
    <w:p>
      <w:r/>
    </w:p>
    <w:p>
      <w:pPr>
        <w:pStyle w:val="Heading2"/>
      </w:pPr>
      <w:r>
        <w:t>Zeboim</w:t>
      </w:r>
      <w:r/>
    </w:p>
    <w:p>
      <w:r/>
      <w:r>
        <w:t>Uma das "cidades da planície" que foi destruída com Sodoma e Gomorra (</w:t>
      </w:r>
      <w:hyperlink r:id="rId384">
        <w:r>
          <w:rPr>
            <w:color w:val="0000EE"/>
            <w:u w:val="single"/>
          </w:rPr>
          <w:t>Dt 29.23</w:t>
        </w:r>
      </w:hyperlink>
      <w:r>
        <w:t xml:space="preserve">; </w:t>
      </w:r>
      <w:hyperlink r:id="rId20704">
        <w:r>
          <w:rPr>
            <w:color w:val="0000EE"/>
            <w:u w:val="single"/>
          </w:rPr>
          <w:t>Os 11.8</w:t>
        </w:r>
      </w:hyperlink>
      <w:r>
        <w:t xml:space="preserve">). Zeboim é mencionada pela primeira vez, junto com Sodoma, Gomorra e Admá, como uma das cidades cananeias na "tabela das nações" em </w:t>
      </w:r>
      <w:hyperlink r:id="rId382">
        <w:r>
          <w:rPr>
            <w:color w:val="0000EE"/>
            <w:u w:val="single"/>
          </w:rPr>
          <w:t>Gênesis 10.19</w:t>
        </w:r>
      </w:hyperlink>
      <w:r>
        <w:t>. Posteriormente, aparece confederada com os mesmos estados (incluindo Zoar) na batalha contra Anrafel, rei de Sinar, Arioque, rei de Elasar, Quedorlaomer, rei de Elão, e Tidal, rei de Goiim (</w:t>
      </w:r>
      <w:hyperlink r:id="rId383">
        <w:r>
          <w:rPr>
            <w:color w:val="0000EE"/>
            <w:u w:val="single"/>
          </w:rPr>
          <w:t>Gn 14.2,8</w:t>
        </w:r>
      </w:hyperlink>
      <w:r>
        <w:t>).</w:t>
      </w:r>
    </w:p>
    <w:p>
      <w:r/>
      <w:r>
        <w:rPr>
          <w:i/>
        </w:rPr>
        <w:t>vEJA também</w:t>
      </w:r>
      <w:r>
        <w:t xml:space="preserve"> </w:t>
      </w:r>
      <w:r>
        <w:t>Cidades da Planície</w:t>
      </w:r>
      <w:r>
        <w:t>.</w:t>
      </w:r>
      <w:r/>
      <w:r/>
    </w:p>
    <w:p>
      <w:r/>
    </w:p>
    <w:p>
      <w:pPr>
        <w:pStyle w:val="Heading2"/>
      </w:pPr>
      <w:r>
        <w:t>Zebulom (Pessoa)</w:t>
      </w:r>
      <w:r/>
    </w:p>
    <w:p>
      <w:r/>
      <w:r>
        <w:t>Um dos 12 filhos de Jacó (</w:t>
      </w:r>
      <w:hyperlink r:id="rId12292">
        <w:r>
          <w:rPr>
            <w:color w:val="0000EE"/>
            <w:u w:val="single"/>
          </w:rPr>
          <w:t>Gn 35.23</w:t>
        </w:r>
      </w:hyperlink>
      <w:r>
        <w:t xml:space="preserve">; </w:t>
      </w:r>
      <w:hyperlink r:id="rId12293">
        <w:r>
          <w:rPr>
            <w:color w:val="0000EE"/>
            <w:u w:val="single"/>
          </w:rPr>
          <w:t>1Cr 2.1</w:t>
        </w:r>
      </w:hyperlink>
      <w:r>
        <w:t>). Ele foi o sexto e último filho de Jacó e Lia. Ela o chamou de Zebulom, que significa "morada, habitação". Ela disse: "Agora o meu marido vai ficar comigo porque lhe dei seis filhos" (</w:t>
      </w:r>
      <w:hyperlink r:id="rId20705">
        <w:r>
          <w:rPr>
            <w:color w:val="0000EE"/>
            <w:u w:val="single"/>
          </w:rPr>
          <w:t>Gn 30.20</w:t>
        </w:r>
      </w:hyperlink>
      <w:r>
        <w:t>). Mais tarde, ele estabeleceu sua família no Egito com Jacó e seus irmãos (</w:t>
      </w:r>
      <w:hyperlink r:id="rId20706">
        <w:r>
          <w:rPr>
            <w:color w:val="0000EE"/>
            <w:u w:val="single"/>
          </w:rPr>
          <w:t>Êx 1.3</w:t>
        </w:r>
      </w:hyperlink>
      <w:r>
        <w:t>).</w:t>
      </w:r>
    </w:p>
    <w:p>
      <w:r/>
      <w:r>
        <w:t>Jacó profetizou que os descendentes de Zebulom viveriam na costa, com sua fronteira tocando Sidom (</w:t>
      </w:r>
      <w:hyperlink r:id="rId13957">
        <w:r>
          <w:rPr>
            <w:color w:val="0000EE"/>
            <w:u w:val="single"/>
          </w:rPr>
          <w:t>Gn 49.13</w:t>
        </w:r>
      </w:hyperlink>
      <w:r>
        <w:t>). A tribo de Zebulom estava entre as tribos de Aser e Naftali. A de Aser estava junto ao Mediterrâneo, e a de Naftali junto ao Mar da Galileia. Apesar disso, Zebulom prosperou no comércio com as cidades costeiras dos cananeus. Zebulom foi pai de três filhos (</w:t>
      </w:r>
      <w:hyperlink r:id="rId7987">
        <w:r>
          <w:rPr>
            <w:color w:val="0000EE"/>
            <w:u w:val="single"/>
          </w:rPr>
          <w:t>Gn 46.14</w:t>
        </w:r>
      </w:hyperlink>
      <w:r>
        <w:t>) e fundou uma das 12 tribos de Israel (</w:t>
      </w:r>
      <w:hyperlink r:id="rId20707">
        <w:r>
          <w:rPr>
            <w:color w:val="0000EE"/>
            <w:u w:val="single"/>
          </w:rPr>
          <w:t>Nm 1.30–31</w:t>
        </w:r>
      </w:hyperlink>
      <w:r>
        <w:t>).</w:t>
      </w:r>
    </w:p>
    <w:p>
      <w:r/>
      <w:r>
        <w:rPr>
          <w:i/>
        </w:rPr>
        <w:t>Veja também</w:t>
      </w:r>
      <w:r>
        <w:t xml:space="preserve"> </w:t>
      </w:r>
      <w:r>
        <w:t>Zebulom, Tribo de</w:t>
      </w:r>
      <w:r>
        <w:t>.</w:t>
      </w:r>
      <w:r/>
      <w:r/>
    </w:p>
    <w:p>
      <w:r/>
    </w:p>
    <w:p>
      <w:pPr>
        <w:pStyle w:val="Heading2"/>
      </w:pPr>
      <w:r>
        <w:t>Zebulom, Tribo de</w:t>
      </w:r>
      <w:r/>
    </w:p>
    <w:p>
      <w:r/>
      <w:r>
        <w:t>Uma tribo descendente de Zebulom, o décimo filho de Jacó e o sexto de Lia (</w:t>
      </w:r>
      <w:hyperlink r:id="rId20708">
        <w:r>
          <w:rPr>
            <w:color w:val="0000EE"/>
            <w:u w:val="single"/>
          </w:rPr>
          <w:t>Gn 30.19–20</w:t>
        </w:r>
      </w:hyperlink>
      <w:r>
        <w:t>). A tribo de Zebulom foi dividida em três clãs nomeados após seus filhos: os sereditas, elonitas e jalelitas (</w:t>
      </w:r>
      <w:hyperlink r:id="rId7987">
        <w:r>
          <w:rPr>
            <w:color w:val="0000EE"/>
            <w:u w:val="single"/>
          </w:rPr>
          <w:t>Gn 46.14</w:t>
        </w:r>
      </w:hyperlink>
      <w:r>
        <w:t xml:space="preserve">; </w:t>
      </w:r>
      <w:hyperlink r:id="rId20709">
        <w:r>
          <w:rPr>
            <w:color w:val="0000EE"/>
            <w:u w:val="single"/>
          </w:rPr>
          <w:t>Nm 26.27</w:t>
        </w:r>
      </w:hyperlink>
      <w:r>
        <w:t>). Durante o censo nas campinas de Moabe, a tribo tinha 60.500 homens com mais de 20 anos aptos para o serviço militar (</w:t>
      </w:r>
      <w:hyperlink r:id="rId20710">
        <w:r>
          <w:rPr>
            <w:color w:val="0000EE"/>
            <w:u w:val="single"/>
          </w:rPr>
          <w:t>Nm 26.26–27</w:t>
        </w:r>
      </w:hyperlink>
      <w:r>
        <w:t>).</w:t>
      </w:r>
    </w:p>
    <w:p>
      <w:pPr>
        <w:pStyle w:val="Heading3"/>
      </w:pPr>
      <w:r>
        <w:t>Terra e território</w:t>
      </w:r>
    </w:p>
    <w:p>
      <w:r/>
      <w:r>
        <w:t xml:space="preserve">A terra de Zebulom estava no centro de Canaã e incluía o Vale de Jizreel. No entanto, as fronteiras exatas são difíceis de determinar porque apenas as fronteiras sudeste e leste são mencionadas em </w:t>
      </w:r>
      <w:hyperlink r:id="rId12261">
        <w:r>
          <w:rPr>
            <w:color w:val="0000EE"/>
            <w:u w:val="single"/>
          </w:rPr>
          <w:t>Josué 19.10–16</w:t>
        </w:r>
      </w:hyperlink>
      <w:r>
        <w:t>. A fronteira ocidental ao longo do Mediterrâneo não está claramente definida. A bênção de Moisés sugere que Zebulom, junto com Issacar, iria “desfrutar da abundância dos mares” (</w:t>
      </w:r>
      <w:hyperlink r:id="rId20711">
        <w:r>
          <w:rPr>
            <w:color w:val="0000EE"/>
            <w:u w:val="single"/>
          </w:rPr>
          <w:t>Dt 33.18–19</w:t>
        </w:r>
      </w:hyperlink>
      <w:r>
        <w:t>). Isso implica acesso ao Mediterrâneo e seu comércio.</w:t>
      </w:r>
    </w:p>
    <w:p>
      <w:r/>
      <w:r>
        <w:t xml:space="preserve">Apesar disso, o território de Zebulom não parece tocar o mar, o que parece contradizer </w:t>
      </w:r>
      <w:hyperlink r:id="rId13957">
        <w:r>
          <w:rPr>
            <w:color w:val="0000EE"/>
            <w:u w:val="single"/>
          </w:rPr>
          <w:t>Gênesis 49.13</w:t>
        </w:r>
      </w:hyperlink>
      <w:r>
        <w:t xml:space="preserve">. No entanto, Zebulom estava em uma boa localização ao longo de importantes rotas comerciais para o mar. Isso lhes permitiu se beneficiar do comércio marítimo, mesmo que não estivessem diretamente na costa. A terra de Zebulom era boa para o cultivo e produzia olivais, vinhedos e colheitas abundantes. Em </w:t>
      </w:r>
      <w:hyperlink r:id="rId1562">
        <w:r>
          <w:rPr>
            <w:color w:val="0000EE"/>
            <w:u w:val="single"/>
          </w:rPr>
          <w:t>1 Crônicas 12.40</w:t>
        </w:r>
      </w:hyperlink>
      <w:r>
        <w:t>, a tribo forneceu suprimentos generosos para Davi.</w:t>
      </w:r>
    </w:p>
    <w:p>
      <w:pPr>
        <w:pStyle w:val="Heading3"/>
      </w:pPr>
      <w:r>
        <w:t>Força militar</w:t>
      </w:r>
    </w:p>
    <w:p>
      <w:r/>
      <w:r>
        <w:t>Zebulom manteve uma posição forte entre seus vizinhos. Ao contrário de Aser e Naftali, que viviam entre os cananeus (</w:t>
      </w:r>
      <w:hyperlink r:id="rId20712">
        <w:r>
          <w:rPr>
            <w:color w:val="0000EE"/>
            <w:u w:val="single"/>
          </w:rPr>
          <w:t>Jz 1.32–33</w:t>
        </w:r>
      </w:hyperlink>
      <w:r>
        <w:t>), Zebulom tinha menos cananeus em sua área. Durante o período dos juízes, Zebulom foi muito ativo. Por exemplo, os soldados de Zebulom e Naftali foram fundamentais na vitória na batalha de Quisom (</w:t>
      </w:r>
      <w:hyperlink r:id="rId20713">
        <w:r>
          <w:rPr>
            <w:color w:val="0000EE"/>
            <w:u w:val="single"/>
          </w:rPr>
          <w:t>Jz 4.6–10</w:t>
        </w:r>
      </w:hyperlink>
      <w:r>
        <w:t>). O Cântico de Débora elogia os homens da tribo Zebulom por arriscarem suas vidas (</w:t>
      </w:r>
      <w:hyperlink r:id="rId20714">
        <w:r>
          <w:rPr>
            <w:color w:val="0000EE"/>
            <w:u w:val="single"/>
          </w:rPr>
          <w:t>Jz 5.18</w:t>
        </w:r>
      </w:hyperlink>
      <w:r>
        <w:t xml:space="preserve">). De acordo com </w:t>
      </w:r>
      <w:hyperlink r:id="rId12532">
        <w:r>
          <w:rPr>
            <w:color w:val="0000EE"/>
            <w:u w:val="single"/>
          </w:rPr>
          <w:t>Juízes 6.35</w:t>
        </w:r>
      </w:hyperlink>
      <w:r>
        <w:t>, os homens de Zebulom lutaram bravamente na luta de Gideão contra os midianitas na planície de Jezreel. O juiz Elom pertencia à tribo de Zebulom (</w:t>
      </w:r>
      <w:hyperlink r:id="rId7989">
        <w:r>
          <w:rPr>
            <w:color w:val="0000EE"/>
            <w:u w:val="single"/>
          </w:rPr>
          <w:t>Jz 12.11–12</w:t>
        </w:r>
      </w:hyperlink>
      <w:r>
        <w:t>). Como a Galileia estava no território de Zebulom, Ibsã de Belém provavelmente também era de Zebulom (</w:t>
      </w:r>
      <w:hyperlink r:id="rId3352">
        <w:r>
          <w:rPr>
            <w:color w:val="0000EE"/>
            <w:u w:val="single"/>
          </w:rPr>
          <w:t>Js 19.15</w:t>
        </w:r>
      </w:hyperlink>
      <w:r>
        <w:t>). A força de combate de Zebulom estava entre as maiores nos exércitos ocidentais de Davi (</w:t>
      </w:r>
      <w:hyperlink r:id="rId20715">
        <w:r>
          <w:rPr>
            <w:color w:val="0000EE"/>
            <w:u w:val="single"/>
          </w:rPr>
          <w:t>1Cr 12.33</w:t>
        </w:r>
      </w:hyperlink>
      <w:r>
        <w:t>). Este é outro sinal de que a tribo de Zebulom era tanto forte quanto importante.</w:t>
      </w:r>
    </w:p>
    <w:p>
      <w:pPr>
        <w:pStyle w:val="Heading3"/>
      </w:pPr>
      <w:r>
        <w:t>Zebulom no Novo Testamento</w:t>
      </w:r>
    </w:p>
    <w:p>
      <w:r/>
      <w:r>
        <w:t>No Novo Testamento, Zebulom é mencionado duas vezes. É destacado como uma região onde Jesus, descrito como uma grande luz, apareceu (</w:t>
      </w:r>
      <w:hyperlink r:id="rId15036">
        <w:r>
          <w:rPr>
            <w:color w:val="0000EE"/>
            <w:u w:val="single"/>
          </w:rPr>
          <w:t>Mt 4.13–15</w:t>
        </w:r>
      </w:hyperlink>
      <w:r>
        <w:t xml:space="preserve">). Zebulom também está listado entre as 12 tribos em </w:t>
      </w:r>
      <w:hyperlink r:id="rId3433">
        <w:r>
          <w:rPr>
            <w:color w:val="0000EE"/>
            <w:u w:val="single"/>
          </w:rPr>
          <w:t>Apocalipse 7.8</w:t>
        </w:r>
      </w:hyperlink>
      <w:r>
        <w:t xml:space="preserve"> após Issacar.</w:t>
      </w:r>
    </w:p>
    <w:p>
      <w:r/>
      <w:r>
        <w:rPr>
          <w:i/>
        </w:rPr>
        <w:t>Veja também</w:t>
      </w:r>
      <w:r>
        <w:t xml:space="preserve"> </w:t>
      </w:r>
      <w:r>
        <w:t>Zebulom (Pessoa)</w:t>
      </w:r>
      <w:r>
        <w:t>.</w:t>
      </w:r>
      <w:r/>
      <w:r/>
    </w:p>
    <w:p>
      <w:r/>
    </w:p>
    <w:p>
      <w:pPr>
        <w:pStyle w:val="Heading2"/>
      </w:pPr>
      <w:r>
        <w:t>Zebulonita</w:t>
      </w:r>
      <w:r/>
    </w:p>
    <w:p>
      <w:r/>
      <w:r>
        <w:t>Qualquer descendente de Zebulom, filho do patriarca Jacó (</w:t>
      </w:r>
      <w:hyperlink r:id="rId20709">
        <w:r>
          <w:rPr>
            <w:color w:val="0000EE"/>
            <w:u w:val="single"/>
          </w:rPr>
          <w:t>Nm 26.27</w:t>
        </w:r>
      </w:hyperlink>
      <w:r>
        <w:t xml:space="preserve">; </w:t>
      </w:r>
      <w:hyperlink r:id="rId7989">
        <w:r>
          <w:rPr>
            <w:color w:val="0000EE"/>
            <w:u w:val="single"/>
          </w:rPr>
          <w:t>Jz 12.11–12</w:t>
        </w:r>
      </w:hyperlink>
      <w:r>
        <w:t>).</w:t>
      </w:r>
    </w:p>
    <w:p>
      <w:r/>
      <w:r>
        <w:rPr>
          <w:i/>
        </w:rPr>
        <w:t>Veja</w:t>
      </w:r>
      <w:r>
        <w:t xml:space="preserve"> </w:t>
      </w:r>
      <w:r>
        <w:t>Zebulom, Tribo de</w:t>
      </w:r>
      <w:r>
        <w:rPr>
          <w:i/>
        </w:rPr>
        <w:t>.</w:t>
      </w:r>
      <w:r/>
      <w:r/>
    </w:p>
    <w:p>
      <w:r/>
    </w:p>
    <w:p>
      <w:pPr>
        <w:pStyle w:val="Heading2"/>
      </w:pPr>
      <w:r>
        <w:t>Zedade</w:t>
      </w:r>
      <w:r/>
    </w:p>
    <w:p>
      <w:r/>
      <w:r>
        <w:t>Um dos marcos geográficos da fronteira norte de Israel, mencionado entre Hamate e Zifrom (</w:t>
      </w:r>
      <w:hyperlink r:id="rId10327">
        <w:r>
          <w:rPr>
            <w:color w:val="0000EE"/>
            <w:u w:val="single"/>
          </w:rPr>
          <w:t>Nm 34.8</w:t>
        </w:r>
      </w:hyperlink>
      <w:r>
        <w:t xml:space="preserve">; </w:t>
      </w:r>
      <w:hyperlink r:id="rId12734">
        <w:r>
          <w:rPr>
            <w:color w:val="0000EE"/>
            <w:u w:val="single"/>
          </w:rPr>
          <w:t>Ez 47.15</w:t>
        </w:r>
      </w:hyperlink>
      <w:r>
        <w:t>).</w:t>
      </w:r>
      <w:r/>
      <w:r/>
    </w:p>
    <w:p>
      <w:r/>
    </w:p>
    <w:p>
      <w:pPr>
        <w:pStyle w:val="Heading2"/>
      </w:pPr>
      <w:r>
        <w:t>Zefate</w:t>
      </w:r>
      <w:r/>
    </w:p>
    <w:p>
      <w:r/>
      <w:r>
        <w:t>Zefate era uma cidade cananeia que foi conquistada pelas tribos de Judá e Simeão. Depois de capturá-la, eles a renomearam para Horma (</w:t>
      </w:r>
      <w:hyperlink r:id="rId10747">
        <w:r>
          <w:rPr>
            <w:color w:val="0000EE"/>
            <w:u w:val="single"/>
          </w:rPr>
          <w:t>Jz 1.17</w:t>
        </w:r>
      </w:hyperlink>
      <w:r>
        <w:t>). Foi o lugar onde os israelitas tentaram entrar em Canaã pela primeira vez, mas falharam. Isso aconteceu quando desobedeceram ao comando de Moisés. Como resultado, os amalequitas e os cananeus os derrotaram (</w:t>
      </w:r>
      <w:hyperlink r:id="rId10749">
        <w:r>
          <w:rPr>
            <w:color w:val="0000EE"/>
            <w:u w:val="single"/>
          </w:rPr>
          <w:t>Nm 14.45</w:t>
        </w:r>
      </w:hyperlink>
      <w:r>
        <w:t>).</w:t>
      </w:r>
    </w:p>
    <w:p>
      <w:r/>
      <w:r>
        <w:rPr>
          <w:i/>
        </w:rPr>
        <w:t>Veja também</w:t>
      </w:r>
      <w:r>
        <w:t xml:space="preserve"> </w:t>
      </w:r>
      <w:r>
        <w:t>Horma</w:t>
      </w:r>
      <w:r>
        <w:t>.</w:t>
      </w:r>
      <w:r/>
      <w:r/>
    </w:p>
    <w:p>
      <w:r/>
    </w:p>
    <w:p>
      <w:pPr>
        <w:pStyle w:val="Heading2"/>
      </w:pPr>
      <w:r>
        <w:t>Zefo</w:t>
      </w:r>
      <w:r/>
    </w:p>
    <w:p>
      <w:r/>
      <w:r>
        <w:t>Filho de Elifaz e descendente de Esaú (</w:t>
      </w:r>
      <w:hyperlink r:id="rId15823">
        <w:r>
          <w:rPr>
            <w:color w:val="0000EE"/>
            <w:u w:val="single"/>
          </w:rPr>
          <w:t>Gn 36.11,15</w:t>
        </w:r>
      </w:hyperlink>
      <w:r>
        <w:t xml:space="preserve">; </w:t>
      </w:r>
      <w:hyperlink r:id="rId1031">
        <w:r>
          <w:rPr>
            <w:color w:val="0000EE"/>
            <w:u w:val="single"/>
          </w:rPr>
          <w:t>1Cr 1.36</w:t>
        </w:r>
      </w:hyperlink>
      <w:r>
        <w:t>).</w:t>
      </w:r>
      <w:r/>
      <w:r/>
    </w:p>
    <w:p>
      <w:r/>
    </w:p>
    <w:p>
      <w:pPr>
        <w:pStyle w:val="Heading2"/>
      </w:pPr>
      <w:r>
        <w:t>Zelofeade</w:t>
      </w:r>
      <w:r/>
    </w:p>
    <w:p>
      <w:r/>
      <w:r>
        <w:t>Zelofeade era filho de Héfer da tribo de Manassés. Zelofeade tinha cinco filhas, mas nenhum filho (</w:t>
      </w:r>
      <w:hyperlink r:id="rId10684">
        <w:r>
          <w:rPr>
            <w:color w:val="0000EE"/>
            <w:u w:val="single"/>
          </w:rPr>
          <w:t>Nm 26.33</w:t>
        </w:r>
      </w:hyperlink>
      <w:r>
        <w:t>). Como Zelofeade não tinha filhos, suas filhas pediram a Moisés que lhes desse a herança de seu pai (</w:t>
      </w:r>
      <w:hyperlink r:id="rId9968">
        <w:r>
          <w:rPr>
            <w:color w:val="0000EE"/>
            <w:u w:val="single"/>
          </w:rPr>
          <w:t>27.1</w:t>
        </w:r>
      </w:hyperlink>
      <w:r>
        <w:t>). Moisés decidiu que as filhas deveriam receber a herança nesses casos. No entanto, as filhas devem se casar com homens de sua própria tribo para que as divisões tribais permaneçam inalteradas (</w:t>
      </w:r>
      <w:hyperlink r:id="rId20716">
        <w:r>
          <w:rPr>
            <w:color w:val="0000EE"/>
            <w:u w:val="single"/>
          </w:rPr>
          <w:t>Nm 27.7</w:t>
        </w:r>
      </w:hyperlink>
      <w:r>
        <w:t xml:space="preserve">; </w:t>
      </w:r>
      <w:hyperlink r:id="rId20717">
        <w:r>
          <w:rPr>
            <w:color w:val="0000EE"/>
            <w:u w:val="single"/>
          </w:rPr>
          <w:t>36.2</w:t>
        </w:r>
      </w:hyperlink>
      <w:r>
        <w:t xml:space="preserve">; </w:t>
      </w:r>
      <w:hyperlink r:id="rId10685">
        <w:r>
          <w:rPr>
            <w:color w:val="0000EE"/>
            <w:u w:val="single"/>
          </w:rPr>
          <w:t>Js 17.3</w:t>
        </w:r>
      </w:hyperlink>
      <w:r>
        <w:t>).</w:t>
      </w:r>
      <w:r/>
      <w:r/>
    </w:p>
    <w:p>
      <w:r/>
    </w:p>
    <w:p>
      <w:pPr>
        <w:pStyle w:val="Heading2"/>
      </w:pPr>
      <w:r>
        <w:t>Zelote</w:t>
      </w:r>
      <w:r/>
    </w:p>
    <w:p>
      <w:r/>
      <w:r>
        <w:t>Termo usado para o segundo Simão entre os Doze para distingui-lo de Simão Pedro (</w:t>
      </w:r>
      <w:hyperlink r:id="rId749">
        <w:r>
          <w:rPr>
            <w:color w:val="0000EE"/>
            <w:u w:val="single"/>
          </w:rPr>
          <w:t>Lc 6.15</w:t>
        </w:r>
      </w:hyperlink>
      <w:r>
        <w:t xml:space="preserve">; </w:t>
      </w:r>
      <w:hyperlink r:id="rId750">
        <w:r>
          <w:rPr>
            <w:color w:val="0000EE"/>
            <w:u w:val="single"/>
          </w:rPr>
          <w:t>Atos 1.13</w:t>
        </w:r>
      </w:hyperlink>
      <w:r>
        <w:t>). Mateus (</w:t>
      </w:r>
      <w:hyperlink r:id="rId12356">
        <w:r>
          <w:rPr>
            <w:color w:val="0000EE"/>
            <w:u w:val="single"/>
          </w:rPr>
          <w:t>Mt 10.4</w:t>
        </w:r>
      </w:hyperlink>
      <w:r>
        <w:t>) e Marcos (</w:t>
      </w:r>
      <w:hyperlink r:id="rId748">
        <w:r>
          <w:rPr>
            <w:color w:val="0000EE"/>
            <w:u w:val="single"/>
          </w:rPr>
          <w:t>Mc 3.18</w:t>
        </w:r>
      </w:hyperlink>
      <w:r>
        <w:t xml:space="preserve">) usam “Cananeu” — equivalentes gregos e aramaicos para “defensor zeloso, entusiasta, ardente em ter, fanático” (das raízes de palavras que significam “queimar de entusiasmo, ou ciúmes; desejar avidamente”; </w:t>
      </w:r>
      <w:hyperlink r:id="rId12791">
        <w:r>
          <w:rPr>
            <w:color w:val="0000EE"/>
            <w:u w:val="single"/>
          </w:rPr>
          <w:t>Êx 34.14</w:t>
        </w:r>
      </w:hyperlink>
      <w:r>
        <w:t xml:space="preserve">; </w:t>
      </w:r>
      <w:hyperlink r:id="rId20718">
        <w:r>
          <w:rPr>
            <w:color w:val="0000EE"/>
            <w:u w:val="single"/>
          </w:rPr>
          <w:t>2 Mc 4.2</w:t>
        </w:r>
      </w:hyperlink>
      <w:r>
        <w:t>). Neste sentido geral, Cristo mostrou zelo pela casa de Deus. Alguns eram “zelotes” pelos dons espirituais, boas obras, bondade e a lei, como Paulo era pela tradição dos pais e para Deus (</w:t>
      </w:r>
      <w:hyperlink r:id="rId20719">
        <w:r>
          <w:rPr>
            <w:color w:val="0000EE"/>
            <w:u w:val="single"/>
          </w:rPr>
          <w:t>Jo 2.17</w:t>
        </w:r>
      </w:hyperlink>
      <w:r>
        <w:t xml:space="preserve">; </w:t>
      </w:r>
      <w:hyperlink r:id="rId20720">
        <w:r>
          <w:rPr>
            <w:color w:val="0000EE"/>
            <w:u w:val="single"/>
          </w:rPr>
          <w:t>Atos 21.20</w:t>
        </w:r>
      </w:hyperlink>
      <w:r>
        <w:t xml:space="preserve">; </w:t>
      </w:r>
      <w:hyperlink r:id="rId4901">
        <w:r>
          <w:rPr>
            <w:color w:val="0000EE"/>
            <w:u w:val="single"/>
          </w:rPr>
          <w:t>22.3</w:t>
        </w:r>
      </w:hyperlink>
      <w:r>
        <w:t xml:space="preserve">; </w:t>
      </w:r>
      <w:hyperlink r:id="rId20721">
        <w:r>
          <w:rPr>
            <w:color w:val="0000EE"/>
            <w:u w:val="single"/>
          </w:rPr>
          <w:t>1 Co 14.12</w:t>
        </w:r>
      </w:hyperlink>
      <w:r>
        <w:t xml:space="preserve">; </w:t>
      </w:r>
      <w:hyperlink r:id="rId9113">
        <w:r>
          <w:rPr>
            <w:color w:val="0000EE"/>
            <w:u w:val="single"/>
          </w:rPr>
          <w:t>Gl 1.14</w:t>
        </w:r>
      </w:hyperlink>
      <w:r>
        <w:t xml:space="preserve">; </w:t>
      </w:r>
      <w:hyperlink r:id="rId6337">
        <w:r>
          <w:rPr>
            <w:color w:val="0000EE"/>
            <w:u w:val="single"/>
          </w:rPr>
          <w:t>Tt 2.14</w:t>
        </w:r>
      </w:hyperlink>
      <w:r>
        <w:t>). Então, Simão se distinguiu de Pedro e dos outros por seu zelo religioso.</w:t>
      </w:r>
    </w:p>
    <w:p>
      <w:r/>
      <w:r>
        <w:t>Por volta do período em que Lucas escreveu, o título “Zelote” havia se tornado ligado especialmente a uma facção militante, anti-romana e revolucionária, igualmente religiosa e política em motivação. Este partido pode ter sido fundado em 6 d.C., após a morte de Herodes, o Grande, por Judas, o galileu, e Zadoque, o fariseu. O movimento estava enraizado na resistência dos macabeus ao governo estrangeiro e à infiltração (</w:t>
      </w:r>
      <w:hyperlink r:id="rId20722">
        <w:r>
          <w:rPr>
            <w:color w:val="0000EE"/>
            <w:u w:val="single"/>
          </w:rPr>
          <w:t>1Mc 2.15–28</w:t>
        </w:r>
      </w:hyperlink>
      <w:r>
        <w:t>). A oposição zelote ao governo romano estava enraizada no zelo pela Torá e por Deus, o único Rei. O zelote se considerava um agente de julgamento divino e redenção, resoluta e sem medo lutando contra a idolatria, apostasia e colaboração. Os zelotes pensavam que o Messias se tornaria seu líder.</w:t>
      </w:r>
    </w:p>
    <w:p>
      <w:r/>
      <w:r>
        <w:t>À medida que a hostilidade entre Roma e Judeia se aguçava, a motivação religiosa era canalizada pelo sentimento nacionalista para uma “guerra santa”. Considerando que os macabeus haviam sido forçados a pegar em armas em autodefesa, os zelotes se tornaram cada vez mais militaristas. Josefo (</w:t>
      </w:r>
      <w:r>
        <w:rPr>
          <w:i/>
        </w:rPr>
        <w:t>Antiguidades</w:t>
      </w:r>
      <w:r>
        <w:t xml:space="preserve"> 18.1.1–6; </w:t>
      </w:r>
      <w:r>
        <w:rPr>
          <w:i/>
        </w:rPr>
        <w:t>Guerra</w:t>
      </w:r>
      <w:r>
        <w:t xml:space="preserve"> 4.3.9), com certo preconceito, os chama de bandidos e assaltantes. Seu nome latino era </w:t>
      </w:r>
      <w:r>
        <w:rPr>
          <w:i/>
        </w:rPr>
        <w:t>sicarii,</w:t>
      </w:r>
      <w:r>
        <w:t xml:space="preserve"> assassinos, mas os apoiadores os chamavam de guerrilheiros patrióticos. Eles alcançaram preeminência na revolta contra Roma (66–70 d.C.). Seu último refúgio e fortaleza, em Massada, foi dominado em 73 d.C., quando os 960 sobreviventes cometeram suicídio.</w:t>
      </w:r>
    </w:p>
    <w:p>
      <w:r/>
      <w:r>
        <w:t>Simão provavelmente era, ou havia sido, um membro da fase inicial deste movimento, por volta de 30 d.C. É menos provável que Judas Iscariotes (possivelmente Sicário) e os “filhos do trovão” (</w:t>
      </w:r>
      <w:hyperlink r:id="rId3824">
        <w:r>
          <w:rPr>
            <w:color w:val="0000EE"/>
            <w:u w:val="single"/>
          </w:rPr>
          <w:t>Mc 3.17</w:t>
        </w:r>
      </w:hyperlink>
      <w:r>
        <w:t>) fossem. Judas, o galileu, (</w:t>
      </w:r>
      <w:hyperlink r:id="rId20723">
        <w:r>
          <w:rPr>
            <w:color w:val="0000EE"/>
            <w:u w:val="single"/>
          </w:rPr>
          <w:t>Atos 5.37–38</w:t>
        </w:r>
      </w:hyperlink>
      <w:r>
        <w:t>), e até mesmo Paulo (</w:t>
      </w:r>
      <w:hyperlink r:id="rId15518">
        <w:r>
          <w:rPr>
            <w:color w:val="0000EE"/>
            <w:u w:val="single"/>
          </w:rPr>
          <w:t>21.38</w:t>
        </w:r>
      </w:hyperlink>
      <w:r>
        <w:t>), eram considerados zelotes.</w:t>
      </w:r>
    </w:p>
    <w:p>
      <w:r/>
      <w:r>
        <w:rPr>
          <w:i/>
        </w:rPr>
        <w:t>Veja também</w:t>
      </w:r>
      <w:r>
        <w:t xml:space="preserve"> </w:t>
      </w:r>
      <w:r>
        <w:t>Primeira Revolta Judaica</w:t>
      </w:r>
      <w:r>
        <w:t xml:space="preserve">; </w:t>
      </w:r>
      <w:r>
        <w:t>Judaísmo</w:t>
      </w:r>
      <w:r>
        <w:t>.</w:t>
      </w:r>
      <w:r/>
      <w:r/>
    </w:p>
    <w:p>
      <w:r/>
    </w:p>
    <w:p>
      <w:pPr>
        <w:pStyle w:val="Heading2"/>
      </w:pPr>
      <w:r>
        <w:t>Zemareus</w:t>
      </w:r>
      <w:r/>
    </w:p>
    <w:p>
      <w:r/>
      <w:r>
        <w:t xml:space="preserve">Uma das famílias dos cananeus nas listas etnológicas de </w:t>
      </w:r>
      <w:hyperlink r:id="rId7547">
        <w:r>
          <w:rPr>
            <w:color w:val="0000EE"/>
            <w:u w:val="single"/>
          </w:rPr>
          <w:t>Gênesis 10</w:t>
        </w:r>
      </w:hyperlink>
      <w:r>
        <w:t xml:space="preserve"> (v. </w:t>
      </w:r>
      <w:hyperlink r:id="rId2618">
        <w:r>
          <w:rPr>
            <w:color w:val="0000EE"/>
            <w:u w:val="single"/>
          </w:rPr>
          <w:t>18</w:t>
        </w:r>
      </w:hyperlink>
      <w:r>
        <w:t xml:space="preserve">) e </w:t>
      </w:r>
      <w:hyperlink r:id="rId20724">
        <w:r>
          <w:rPr>
            <w:color w:val="0000EE"/>
            <w:u w:val="single"/>
          </w:rPr>
          <w:t>1 Crônicas 1</w:t>
        </w:r>
      </w:hyperlink>
      <w:r>
        <w:t xml:space="preserve"> (v </w:t>
      </w:r>
      <w:hyperlink r:id="rId2619">
        <w:r>
          <w:rPr>
            <w:color w:val="0000EE"/>
            <w:u w:val="single"/>
          </w:rPr>
          <w:t>16</w:t>
        </w:r>
      </w:hyperlink>
      <w:r>
        <w:t>). Os zemareus eram uma tribo hamítica mencionada em conexão com os arvaditas e os hamateus. Eles provavelmente estavam localizados perto do Mediterrâneo, nas proximidades de Trípoli.</w:t>
      </w:r>
      <w:r/>
      <w:r/>
    </w:p>
    <w:p>
      <w:r/>
    </w:p>
    <w:p>
      <w:pPr>
        <w:pStyle w:val="Heading2"/>
      </w:pPr>
      <w:r>
        <w:t>Zenas</w:t>
      </w:r>
      <w:r/>
    </w:p>
    <w:p>
      <w:r/>
      <w:r>
        <w:t>Advogado a quem Paulo pediu a Tito para ajudar em suas viagens em Creta (</w:t>
      </w:r>
      <w:hyperlink r:id="rId16534">
        <w:r>
          <w:rPr>
            <w:color w:val="0000EE"/>
            <w:u w:val="single"/>
          </w:rPr>
          <w:t>Tt 3.13</w:t>
        </w:r>
      </w:hyperlink>
      <w:r>
        <w:t>).</w:t>
      </w:r>
      <w:r/>
      <w:r/>
    </w:p>
    <w:p>
      <w:r/>
    </w:p>
    <w:p>
      <w:pPr>
        <w:pStyle w:val="Heading2"/>
      </w:pPr>
      <w:r>
        <w:t>Zerá</w:t>
      </w:r>
      <w:r/>
    </w:p>
    <w:p>
      <w:pPr>
        <w:pStyle w:val="ListNumber"/>
        <w:spacing w:line="240" w:lineRule="auto"/>
        <w:ind w:left="720"/>
      </w:pPr>
      <w:r/>
      <w:r>
        <w:t>Um dos chefes dos edomitas (</w:t>
      </w:r>
      <w:hyperlink r:id="rId20725">
        <w:r>
          <w:rPr>
            <w:color w:val="0000EE"/>
            <w:u w:val="single"/>
          </w:rPr>
          <w:t>Gn 36.17</w:t>
        </w:r>
      </w:hyperlink>
      <w:r>
        <w:t xml:space="preserve">; </w:t>
      </w:r>
      <w:hyperlink r:id="rId14670">
        <w:r>
          <w:rPr>
            <w:color w:val="0000EE"/>
            <w:u w:val="single"/>
          </w:rPr>
          <w:t>1Cr 1.37</w:t>
        </w:r>
      </w:hyperlink>
      <w:r>
        <w:t>). Ele é filho de Reuel, neto de Esaú com sua esposa Basemate. Provavelmente foi o ancestral de Jobabe, que mais tarde se tornou rei dos edomitas (</w:t>
      </w:r>
      <w:hyperlink r:id="rId20726">
        <w:r>
          <w:rPr>
            <w:color w:val="0000EE"/>
            <w:u w:val="single"/>
          </w:rPr>
          <w:t>Gn 36.13,33</w:t>
        </w:r>
      </w:hyperlink>
      <w:r>
        <w:t>).</w:t>
      </w:r>
    </w:p>
    <w:p>
      <w:pPr>
        <w:pStyle w:val="ListNumber"/>
        <w:spacing w:line="240" w:lineRule="auto"/>
        <w:ind w:left="720"/>
      </w:pPr>
      <w:r/>
      <w:r>
        <w:t>Um dos filhos gêmeos de Judá com sua nora Tamar (</w:t>
      </w:r>
      <w:hyperlink r:id="rId20727">
        <w:r>
          <w:rPr>
            <w:color w:val="0000EE"/>
            <w:u w:val="single"/>
          </w:rPr>
          <w:t>Gn 38.30</w:t>
        </w:r>
      </w:hyperlink>
      <w:r>
        <w:t xml:space="preserve">; </w:t>
      </w:r>
      <w:hyperlink r:id="rId8103">
        <w:r>
          <w:rPr>
            <w:color w:val="0000EE"/>
            <w:u w:val="single"/>
          </w:rPr>
          <w:t>46.12</w:t>
        </w:r>
      </w:hyperlink>
      <w:r>
        <w:t xml:space="preserve">; </w:t>
      </w:r>
      <w:hyperlink r:id="rId10644">
        <w:r>
          <w:rPr>
            <w:color w:val="0000EE"/>
            <w:u w:val="single"/>
          </w:rPr>
          <w:t>Mt 1.3</w:t>
        </w:r>
      </w:hyperlink>
      <w:r>
        <w:t>). Embora Zerá tenha estendido a mão primeiro, ele a recolheu, permitindo que seu irmão, Perez, nascesse primeiro. Os descendentes de Zerá (os zeraítas) tornaram-se um dos clãs mais influentes de Judá (</w:t>
      </w:r>
      <w:hyperlink r:id="rId19312">
        <w:r>
          <w:rPr>
            <w:color w:val="0000EE"/>
            <w:u w:val="single"/>
          </w:rPr>
          <w:t>Nn 26.20</w:t>
        </w:r>
      </w:hyperlink>
      <w:r>
        <w:t xml:space="preserve">; </w:t>
      </w:r>
      <w:hyperlink r:id="rId4262">
        <w:r>
          <w:rPr>
            <w:color w:val="0000EE"/>
            <w:u w:val="single"/>
          </w:rPr>
          <w:t>Js 7.1,18</w:t>
        </w:r>
      </w:hyperlink>
      <w:r>
        <w:t xml:space="preserve">; </w:t>
      </w:r>
      <w:hyperlink r:id="rId20728">
        <w:r>
          <w:rPr>
            <w:color w:val="0000EE"/>
            <w:u w:val="single"/>
          </w:rPr>
          <w:t>22.20</w:t>
        </w:r>
      </w:hyperlink>
      <w:r>
        <w:t xml:space="preserve">; </w:t>
      </w:r>
      <w:hyperlink r:id="rId20729">
        <w:r>
          <w:rPr>
            <w:color w:val="0000EE"/>
            <w:u w:val="single"/>
          </w:rPr>
          <w:t>1Cr 2.4–6</w:t>
        </w:r>
      </w:hyperlink>
      <w:r>
        <w:t xml:space="preserve">; </w:t>
      </w:r>
      <w:hyperlink r:id="rId20730">
        <w:r>
          <w:rPr>
            <w:color w:val="0000EE"/>
            <w:u w:val="single"/>
          </w:rPr>
          <w:t>9.6</w:t>
        </w:r>
      </w:hyperlink>
      <w:r>
        <w:t xml:space="preserve">). Como Etã e Hemã são listados como filhos de Zerá em </w:t>
      </w:r>
      <w:hyperlink r:id="rId8601">
        <w:r>
          <w:rPr>
            <w:color w:val="0000EE"/>
            <w:u w:val="single"/>
          </w:rPr>
          <w:t>1 Cr2.6</w:t>
        </w:r>
      </w:hyperlink>
      <w:r>
        <w:t xml:space="preserve">, os ezraítas mencionados em </w:t>
      </w:r>
      <w:hyperlink r:id="rId328">
        <w:r>
          <w:rPr>
            <w:color w:val="0000EE"/>
            <w:u w:val="single"/>
          </w:rPr>
          <w:t>1Rs 4.31</w:t>
        </w:r>
      </w:hyperlink>
      <w:r>
        <w:t xml:space="preserve"> e os títulos dos </w:t>
      </w:r>
      <w:hyperlink r:id="rId10688">
        <w:r>
          <w:rPr>
            <w:color w:val="0000EE"/>
            <w:u w:val="single"/>
          </w:rPr>
          <w:t>Sl 88</w:t>
        </w:r>
      </w:hyperlink>
      <w:r>
        <w:t xml:space="preserve"> e </w:t>
      </w:r>
      <w:hyperlink r:id="rId8600">
        <w:r>
          <w:rPr>
            <w:color w:val="0000EE"/>
            <w:u w:val="single"/>
          </w:rPr>
          <w:t>89</w:t>
        </w:r>
      </w:hyperlink>
      <w:r>
        <w:t xml:space="preserve"> também são considerados zeraítas. No entanto, Etã e Hemã são listados como levitas em </w:t>
      </w:r>
      <w:hyperlink r:id="rId8604">
        <w:r>
          <w:rPr>
            <w:color w:val="0000EE"/>
            <w:u w:val="single"/>
          </w:rPr>
          <w:t>1Cr 15.17.</w:t>
        </w:r>
      </w:hyperlink>
      <w:r>
        <w:t xml:space="preserve"> É mais provável que os ezraítas fossem um clã levita.</w:t>
      </w:r>
    </w:p>
    <w:p>
      <w:pPr>
        <w:pStyle w:val="ListNumber"/>
        <w:spacing w:line="240" w:lineRule="auto"/>
        <w:ind w:left="720"/>
      </w:pPr>
      <w:r/>
      <w:r>
        <w:t>Um dos filhos de Simeão, de quem o clã dos zeraítas descendeu (</w:t>
      </w:r>
      <w:hyperlink r:id="rId19276">
        <w:r>
          <w:rPr>
            <w:color w:val="0000EE"/>
            <w:u w:val="single"/>
          </w:rPr>
          <w:t>Nm 26.13</w:t>
        </w:r>
      </w:hyperlink>
      <w:r>
        <w:t xml:space="preserve">; </w:t>
      </w:r>
      <w:hyperlink r:id="rId11528">
        <w:r>
          <w:rPr>
            <w:color w:val="0000EE"/>
            <w:u w:val="single"/>
          </w:rPr>
          <w:t>1Cr 4.24</w:t>
        </w:r>
      </w:hyperlink>
      <w:r>
        <w:t xml:space="preserve">). Ele também é chamado de Zoar em </w:t>
      </w:r>
      <w:hyperlink r:id="rId11526">
        <w:r>
          <w:rPr>
            <w:color w:val="0000EE"/>
            <w:u w:val="single"/>
          </w:rPr>
          <w:t>Gn 46.10</w:t>
        </w:r>
      </w:hyperlink>
      <w:r>
        <w:t xml:space="preserve"> e </w:t>
      </w:r>
      <w:hyperlink r:id="rId11527">
        <w:r>
          <w:rPr>
            <w:color w:val="0000EE"/>
            <w:u w:val="single"/>
          </w:rPr>
          <w:t>Êx 6.15</w:t>
        </w:r>
      </w:hyperlink>
      <w:r>
        <w:t>.</w:t>
      </w:r>
    </w:p>
    <w:p>
      <w:pPr>
        <w:pStyle w:val="ListNumber"/>
        <w:spacing w:line="240" w:lineRule="auto"/>
        <w:ind w:left="720"/>
      </w:pPr>
      <w:r/>
      <w:r>
        <w:t>Um dos filhos de Ido, da ramificação gersonita da tribo de Levi (</w:t>
      </w:r>
      <w:hyperlink r:id="rId20731">
        <w:r>
          <w:rPr>
            <w:color w:val="0000EE"/>
            <w:u w:val="single"/>
          </w:rPr>
          <w:t>1Cr 6.21</w:t>
        </w:r>
      </w:hyperlink>
      <w:r>
        <w:t>).</w:t>
      </w:r>
    </w:p>
    <w:p>
      <w:pPr>
        <w:pStyle w:val="ListNumber"/>
        <w:spacing w:line="240" w:lineRule="auto"/>
        <w:ind w:left="720"/>
      </w:pPr>
      <w:r/>
      <w:r>
        <w:t>Um dos ancestrais de Asafe da tribo de Levi. Ele é filho de Adaías e pai de Etni (</w:t>
      </w:r>
      <w:hyperlink r:id="rId20732">
        <w:r>
          <w:rPr>
            <w:color w:val="0000EE"/>
            <w:u w:val="single"/>
          </w:rPr>
          <w:t>1Cr 6.41</w:t>
        </w:r>
      </w:hyperlink>
      <w:r>
        <w:t>). Muitos acreditam que ele seja o mesmo indivíduo mencionado como #4 acima.</w:t>
      </w:r>
    </w:p>
    <w:p>
      <w:pPr>
        <w:pStyle w:val="ListNumber"/>
        <w:spacing w:line="240" w:lineRule="auto"/>
        <w:ind w:left="720"/>
      </w:pPr>
      <w:r/>
      <w:r>
        <w:t>O comandante dos etíopes (cuxitas) que lutaram contra Asa, rei de Judá (</w:t>
      </w:r>
      <w:hyperlink r:id="rId20733">
        <w:r>
          <w:rPr>
            <w:color w:val="0000EE"/>
            <w:u w:val="single"/>
          </w:rPr>
          <w:t>2Cr 14.9</w:t>
        </w:r>
      </w:hyperlink>
      <w:r>
        <w:t>). É difícil identificar essa pessoa ou o evento com certeza. A identificação mais comum tem sido com Osocor II do Egito. O relato da batalha coincide com o reinado de Osocor no Egito, assim como os números e nacionalidades das tropas.</w:t>
      </w:r>
      <w:r/>
      <w:r/>
    </w:p>
    <w:p>
      <w:r/>
    </w:p>
    <w:p>
      <w:pPr>
        <w:pStyle w:val="Heading2"/>
      </w:pPr>
      <w:r>
        <w:t>Zeraíta</w:t>
      </w:r>
      <w:r/>
    </w:p>
    <w:p>
      <w:pPr>
        <w:pStyle w:val="ListNumber"/>
        <w:spacing w:line="240" w:lineRule="auto"/>
        <w:ind w:left="720"/>
      </w:pPr>
      <w:r/>
      <w:r>
        <w:t>Uma pessoa descendente da família de Zera na tribo de Simeão (</w:t>
      </w:r>
      <w:hyperlink r:id="rId19276">
        <w:r>
          <w:rPr>
            <w:color w:val="0000EE"/>
            <w:u w:val="single"/>
          </w:rPr>
          <w:t>Nm 26.13</w:t>
        </w:r>
      </w:hyperlink>
      <w:r>
        <w:t>).</w:t>
      </w:r>
    </w:p>
    <w:p>
      <w:r/>
      <w:r>
        <w:rPr>
          <w:i/>
        </w:rPr>
        <w:t>Veja</w:t>
      </w:r>
      <w:r>
        <w:t xml:space="preserve"> </w:t>
      </w:r>
      <w:r>
        <w:t>Zera #3</w:t>
      </w:r>
      <w:r>
        <w:t>.</w:t>
      </w:r>
    </w:p>
    <w:p>
      <w:pPr>
        <w:pStyle w:val="ListNumber"/>
        <w:spacing w:line="240" w:lineRule="auto"/>
        <w:ind w:left="720"/>
      </w:pPr>
      <w:r/>
      <w:r>
        <w:t>Uma pessoa que é descendente da família de Zera na tribo de Judá (</w:t>
      </w:r>
      <w:hyperlink r:id="rId19312">
        <w:r>
          <w:rPr>
            <w:color w:val="0000EE"/>
            <w:u w:val="single"/>
          </w:rPr>
          <w:t>Nm 26.20</w:t>
        </w:r>
      </w:hyperlink>
      <w:r>
        <w:t>).</w:t>
      </w:r>
    </w:p>
    <w:p>
      <w:r/>
      <w:r>
        <w:rPr>
          <w:i/>
        </w:rPr>
        <w:t>Veja</w:t>
      </w:r>
      <w:r>
        <w:t xml:space="preserve"> </w:t>
      </w:r>
      <w:r>
        <w:t>Zera #2</w:t>
      </w:r>
      <w:r>
        <w:t>.</w:t>
      </w:r>
      <w:r/>
      <w:r/>
    </w:p>
    <w:p>
      <w:r/>
    </w:p>
    <w:p>
      <w:pPr>
        <w:pStyle w:val="Heading2"/>
      </w:pPr>
      <w:r>
        <w:t>Zeraíta</w:t>
      </w:r>
      <w:r/>
    </w:p>
    <w:p>
      <w:pPr>
        <w:pStyle w:val="ListNumber"/>
        <w:spacing w:line="240" w:lineRule="auto"/>
        <w:ind w:left="720"/>
      </w:pPr>
      <w:r/>
      <w:r>
        <w:t>Qualquer descendente de Zera, filho de Simeão (</w:t>
      </w:r>
      <w:hyperlink r:id="rId19276">
        <w:r>
          <w:rPr>
            <w:color w:val="0000EE"/>
            <w:u w:val="single"/>
          </w:rPr>
          <w:t>Nm 26.13</w:t>
        </w:r>
      </w:hyperlink>
      <w:r>
        <w:t xml:space="preserve">). </w:t>
      </w:r>
      <w:r>
        <w:rPr>
          <w:i/>
        </w:rPr>
        <w:t>Veja</w:t>
      </w:r>
      <w:r>
        <w:t xml:space="preserve"> </w:t>
      </w:r>
      <w:r>
        <w:t>Zera #3</w:t>
      </w:r>
      <w:r>
        <w:t>.</w:t>
      </w:r>
    </w:p>
    <w:p>
      <w:pPr>
        <w:pStyle w:val="ListNumber"/>
        <w:spacing w:line="240" w:lineRule="auto"/>
        <w:ind w:left="720"/>
      </w:pPr>
      <w:r/>
      <w:r>
        <w:t>Qualquer descendente de Zera, filho de Judá com Tamar (</w:t>
      </w:r>
      <w:hyperlink r:id="rId19312">
        <w:r>
          <w:rPr>
            <w:color w:val="0000EE"/>
            <w:u w:val="single"/>
          </w:rPr>
          <w:t>Nm 26.20</w:t>
        </w:r>
      </w:hyperlink>
      <w:r>
        <w:t xml:space="preserve">). </w:t>
      </w:r>
      <w:r>
        <w:rPr>
          <w:i/>
        </w:rPr>
        <w:t>Veja</w:t>
      </w:r>
      <w:r>
        <w:t xml:space="preserve"> </w:t>
      </w:r>
      <w:r>
        <w:t>Zera #2</w:t>
      </w:r>
      <w:r>
        <w:t>.</w:t>
      </w:r>
    </w:p>
    <w:p>
      <w:r/>
      <w:r>
        <w:rPr>
          <w:i/>
        </w:rPr>
        <w:t>Veja também</w:t>
      </w:r>
      <w:r>
        <w:t xml:space="preserve"> </w:t>
      </w:r>
      <w:r>
        <w:t>Izraíta</w:t>
      </w:r>
      <w:r>
        <w:t>.</w:t>
      </w:r>
      <w:r/>
      <w:r/>
    </w:p>
    <w:p>
      <w:r/>
    </w:p>
    <w:p>
      <w:pPr>
        <w:pStyle w:val="Heading2"/>
      </w:pPr>
      <w:r>
        <w:t>Zerede</w:t>
      </w:r>
      <w:r/>
    </w:p>
    <w:p>
      <w:r/>
      <w:r>
        <w:t>Vale e ribeiro onde os israelitas acamparam, listado nas ruínas de Abarim e um local de parada perto do rio Arnom ao norte (</w:t>
      </w:r>
      <w:hyperlink r:id="rId15369">
        <w:r>
          <w:rPr>
            <w:color w:val="0000EE"/>
            <w:u w:val="single"/>
          </w:rPr>
          <w:t>Nm 21.12</w:t>
        </w:r>
      </w:hyperlink>
      <w:r>
        <w:t>). Embora sua localização exata ainda seja incerta, Zerede provavelmente pode ser identificado com o moderno Wadi el-Hesa, um leito de rio que formava uma fronteira natural entre os antigos países de Moabe e Edom e, seguindo um curso para noroeste, desaguava na extremidade sul do Mar Morto. A travessia do ribeiro Zerede pelos israelitas marcou 38 anos desde que Israel se rebelou contra Deus em Cades-Barneia (</w:t>
      </w:r>
      <w:hyperlink r:id="rId20734">
        <w:r>
          <w:rPr>
            <w:color w:val="0000EE"/>
            <w:u w:val="single"/>
          </w:rPr>
          <w:t>Dt 2.13–14</w:t>
        </w:r>
      </w:hyperlink>
      <w:r>
        <w:t>).</w:t>
      </w:r>
      <w:r/>
      <w:r/>
    </w:p>
    <w:p>
      <w:r/>
    </w:p>
    <w:p>
      <w:pPr>
        <w:pStyle w:val="Heading2"/>
      </w:pPr>
      <w:r>
        <w:t>Zeus</w:t>
      </w:r>
      <w:r/>
    </w:p>
    <w:p>
      <w:r/>
      <w:r>
        <w:t xml:space="preserve">Deus chefe do panteão grego (ou Júpiter, termo romano). Zeus foi inicialmente adorado como parte de um culto animista, como o deus do céu, com o trovão como sua principal manifestação. Muito antes da época de Homero, no entanto, Zeus havia se tornado o deus pessoal preeminente dos residentes gregos da Tessália, com o Monte Olimpo servindo como ponto focal do culto. Nos tempos do Novo Testamento, Zeus era considerado o deus pai grego que possuía poderes supremos. A citação que Paulo usou em </w:t>
      </w:r>
      <w:hyperlink r:id="rId2411">
        <w:r>
          <w:rPr>
            <w:color w:val="0000EE"/>
            <w:u w:val="single"/>
          </w:rPr>
          <w:t>Atos 17.28</w:t>
        </w:r>
      </w:hyperlink>
      <w:r>
        <w:t xml:space="preserve"> de Cleantes (e/ou Arato) foi originalmente atribuída a Zeus (“nele vivemos, nos movemos e existimos”).</w:t>
      </w:r>
    </w:p>
    <w:p>
      <w:r/>
      <w:r>
        <w:t>Zeus é mais significativo nos escritos bíblicos devido ao encontro de Paulo e Barnabé com o sacerdote de Zeus em Listra (</w:t>
      </w:r>
      <w:hyperlink r:id="rId20735">
        <w:r>
          <w:rPr>
            <w:color w:val="0000EE"/>
            <w:u w:val="single"/>
          </w:rPr>
          <w:t>At 14.8–18</w:t>
        </w:r>
      </w:hyperlink>
      <w:r>
        <w:t>). Como Paulo e Barnabé curaram um homem coxo, os moradores de Listra tentaram adorá-los, identificando Barnabé com Zeus e Paulo com Hermes, o mensageiro dos deuses. Não era incomum que essa identificação errônea ocorresse, já que os deuses gregos eram frequentemente representados como assumindo aparências humanas e intervindo diretamente nos assuntos humanos. Ao contrário do verdadeiro Deus, Zeus e seus consortes eram frequentemente vistos como concedendo favor ou desfavor de forma caprichosa. A atribuição de “divindade” a Paulo e Barnabé permitiu que eles identificassem as principais diferenças entre a teologia grega e a cristã.</w:t>
      </w:r>
      <w:r/>
      <w:r/>
    </w:p>
    <w:p>
      <w:r/>
    </w:p>
    <w:p>
      <w:pPr>
        <w:pStyle w:val="Heading2"/>
      </w:pPr>
      <w:r>
        <w:t>Zibeão</w:t>
      </w:r>
      <w:r/>
    </w:p>
    <w:p>
      <w:r/>
      <w:r>
        <w:t>Antepassado de Aolibama, a esposa cananeia de Esaú (</w:t>
      </w:r>
      <w:hyperlink r:id="rId20736">
        <w:r>
          <w:rPr>
            <w:color w:val="0000EE"/>
            <w:u w:val="single"/>
          </w:rPr>
          <w:t>Gn 36.2,14</w:t>
        </w:r>
      </w:hyperlink>
      <w:r>
        <w:t xml:space="preserve">). Ele é listado como um heveu em </w:t>
      </w:r>
      <w:hyperlink r:id="rId3167">
        <w:r>
          <w:rPr>
            <w:color w:val="0000EE"/>
            <w:u w:val="single"/>
          </w:rPr>
          <w:t>Gn 36.2</w:t>
        </w:r>
      </w:hyperlink>
      <w:r>
        <w:t>, mas, provavelmente, é o mesmo que Zibeão, filho de Seir, o horita (</w:t>
      </w:r>
      <w:hyperlink r:id="rId20737">
        <w:r>
          <w:rPr>
            <w:color w:val="0000EE"/>
            <w:u w:val="single"/>
          </w:rPr>
          <w:t>Gn 36.20,29</w:t>
        </w:r>
      </w:hyperlink>
      <w:r>
        <w:t xml:space="preserve">; </w:t>
      </w:r>
      <w:hyperlink r:id="rId7278">
        <w:r>
          <w:rPr>
            <w:color w:val="0000EE"/>
            <w:u w:val="single"/>
          </w:rPr>
          <w:t>1Cr 1.38</w:t>
        </w:r>
      </w:hyperlink>
      <w:r>
        <w:t xml:space="preserve">). Possivelmente, "heveu" designava sua afiliação tribal, enquanto "horita" indicava que ele habitava em cavernas. Também é possível que "heveu" seja um erro de transmissão em </w:t>
      </w:r>
      <w:hyperlink r:id="rId3167">
        <w:r>
          <w:rPr>
            <w:color w:val="0000EE"/>
            <w:u w:val="single"/>
          </w:rPr>
          <w:t>Gn 36.2</w:t>
        </w:r>
      </w:hyperlink>
      <w:r>
        <w:t>.</w:t>
      </w:r>
      <w:r/>
      <w:r/>
    </w:p>
    <w:p>
      <w:r/>
    </w:p>
    <w:p>
      <w:pPr>
        <w:pStyle w:val="Heading2"/>
      </w:pPr>
      <w:r>
        <w:t>Zicri</w:t>
      </w:r>
      <w:r/>
    </w:p>
    <w:p>
      <w:pPr>
        <w:pStyle w:val="ListNumber"/>
        <w:spacing w:line="240" w:lineRule="auto"/>
        <w:ind w:left="720"/>
      </w:pPr>
      <w:r/>
      <w:r>
        <w:t>Um levita coatita e descendente de Izar (</w:t>
      </w:r>
      <w:hyperlink r:id="rId7781">
        <w:r>
          <w:rPr>
            <w:color w:val="0000EE"/>
            <w:u w:val="single"/>
          </w:rPr>
          <w:t>Êx 6.21</w:t>
        </w:r>
      </w:hyperlink>
      <w:r>
        <w:t>).</w:t>
      </w:r>
    </w:p>
    <w:p>
      <w:pPr>
        <w:pStyle w:val="ListNumber"/>
        <w:spacing w:line="240" w:lineRule="auto"/>
        <w:ind w:left="720"/>
      </w:pPr>
      <w:r/>
      <w:r>
        <w:t>Um dos filhos de Simei da tribo de Benjamim (</w:t>
      </w:r>
      <w:hyperlink r:id="rId20738">
        <w:r>
          <w:rPr>
            <w:color w:val="0000EE"/>
            <w:u w:val="single"/>
          </w:rPr>
          <w:t>1Cr 8.19</w:t>
        </w:r>
      </w:hyperlink>
      <w:r>
        <w:t>).</w:t>
      </w:r>
    </w:p>
    <w:p>
      <w:pPr>
        <w:pStyle w:val="ListNumber"/>
        <w:spacing w:line="240" w:lineRule="auto"/>
        <w:ind w:left="720"/>
      </w:pPr>
      <w:r/>
      <w:r>
        <w:t>Um dos filhos de Sasaque da tribo de Benjamim (</w:t>
      </w:r>
      <w:hyperlink r:id="rId20739">
        <w:r>
          <w:rPr>
            <w:color w:val="0000EE"/>
            <w:u w:val="single"/>
          </w:rPr>
          <w:t>1Cr 8.23</w:t>
        </w:r>
      </w:hyperlink>
      <w:r>
        <w:t>).</w:t>
      </w:r>
    </w:p>
    <w:p>
      <w:pPr>
        <w:pStyle w:val="ListNumber"/>
        <w:spacing w:line="240" w:lineRule="auto"/>
        <w:ind w:left="720"/>
      </w:pPr>
      <w:r/>
      <w:r>
        <w:t>Um dos filhos de Jeroão da tribo de Benjamim (</w:t>
      </w:r>
      <w:hyperlink r:id="rId7915">
        <w:r>
          <w:rPr>
            <w:color w:val="0000EE"/>
            <w:u w:val="single"/>
          </w:rPr>
          <w:t>1Cr 8.27</w:t>
        </w:r>
      </w:hyperlink>
      <w:r>
        <w:t>).</w:t>
      </w:r>
    </w:p>
    <w:p>
      <w:pPr>
        <w:pStyle w:val="ListNumber"/>
        <w:spacing w:line="240" w:lineRule="auto"/>
        <w:ind w:left="720"/>
      </w:pPr>
      <w:r/>
      <w:r>
        <w:t>Um ancestral de Matanias. Matanias retornou com Zorobabel a Israel após o exílio na Babilônia (</w:t>
      </w:r>
      <w:hyperlink r:id="rId20740">
        <w:r>
          <w:rPr>
            <w:color w:val="0000EE"/>
            <w:u w:val="single"/>
          </w:rPr>
          <w:t>1Cr 9.15</w:t>
        </w:r>
      </w:hyperlink>
      <w:r>
        <w:t xml:space="preserve">). Zicri é provavelmente Zabdi de </w:t>
      </w:r>
      <w:hyperlink r:id="rId10177">
        <w:r>
          <w:rPr>
            <w:color w:val="0000EE"/>
            <w:u w:val="single"/>
          </w:rPr>
          <w:t>Ne 11.17</w:t>
        </w:r>
      </w:hyperlink>
      <w:r>
        <w:t>.</w:t>
      </w:r>
    </w:p>
    <w:p>
      <w:pPr>
        <w:pStyle w:val="ListNumber"/>
        <w:spacing w:line="240" w:lineRule="auto"/>
        <w:ind w:left="720"/>
      </w:pPr>
      <w:r/>
      <w:r>
        <w:t>Um descendente de Eliézer, filho de Moisés. Seu filho, Selomite, era responsável pelos tesouros das ofertas dedicadas (</w:t>
      </w:r>
      <w:hyperlink r:id="rId20741">
        <w:r>
          <w:rPr>
            <w:color w:val="0000EE"/>
            <w:u w:val="single"/>
          </w:rPr>
          <w:t>1Cr 26.25</w:t>
        </w:r>
      </w:hyperlink>
      <w:r>
        <w:t>).</w:t>
      </w:r>
    </w:p>
    <w:p>
      <w:pPr>
        <w:pStyle w:val="ListNumber"/>
        <w:spacing w:line="240" w:lineRule="auto"/>
        <w:ind w:left="720"/>
      </w:pPr>
      <w:r/>
      <w:r>
        <w:t>O pai de Eliezer, o principal oficial dos rubenitas durante o reinado de Davi (</w:t>
      </w:r>
      <w:hyperlink r:id="rId7923">
        <w:r>
          <w:rPr>
            <w:color w:val="0000EE"/>
            <w:u w:val="single"/>
          </w:rPr>
          <w:t>1Cr 27.16</w:t>
        </w:r>
      </w:hyperlink>
      <w:r>
        <w:t>).</w:t>
      </w:r>
    </w:p>
    <w:p>
      <w:pPr>
        <w:pStyle w:val="ListNumber"/>
        <w:spacing w:line="240" w:lineRule="auto"/>
        <w:ind w:left="720"/>
      </w:pPr>
      <w:r/>
      <w:r>
        <w:t>O pai de Amasias, um voluntário encarregado de 200.000 homens durante o reinado de Josafá (</w:t>
      </w:r>
      <w:hyperlink r:id="rId20742">
        <w:r>
          <w:rPr>
            <w:color w:val="0000EE"/>
            <w:u w:val="single"/>
          </w:rPr>
          <w:t>2Cr 17.16</w:t>
        </w:r>
      </w:hyperlink>
      <w:r>
        <w:t>).</w:t>
      </w:r>
    </w:p>
    <w:p>
      <w:pPr>
        <w:pStyle w:val="ListNumber"/>
        <w:spacing w:line="240" w:lineRule="auto"/>
        <w:ind w:left="720"/>
      </w:pPr>
      <w:r/>
      <w:r>
        <w:t>O pai de Elisafate, um membro da conspiração contra Atalia liderada por Joiada (</w:t>
      </w:r>
      <w:hyperlink r:id="rId11403">
        <w:r>
          <w:rPr>
            <w:color w:val="0000EE"/>
            <w:u w:val="single"/>
          </w:rPr>
          <w:t>2Cr 23.1</w:t>
        </w:r>
      </w:hyperlink>
      <w:r>
        <w:t>).</w:t>
      </w:r>
    </w:p>
    <w:p>
      <w:pPr>
        <w:pStyle w:val="ListNumber"/>
        <w:spacing w:line="240" w:lineRule="auto"/>
        <w:ind w:left="720"/>
      </w:pPr>
      <w:r/>
      <w:r>
        <w:t>Um homem poderoso de Efraim que participou da dominação de Judá por Peca. Zicri matou o filho de Acaz, Maasias, também Azricão, o mordomo do palácio, e Elcana, o vice-rei (</w:t>
      </w:r>
      <w:hyperlink r:id="rId7790">
        <w:r>
          <w:rPr>
            <w:color w:val="0000EE"/>
            <w:u w:val="single"/>
          </w:rPr>
          <w:t>2Cr 28.7</w:t>
        </w:r>
      </w:hyperlink>
      <w:r>
        <w:t>).</w:t>
      </w:r>
    </w:p>
    <w:p>
      <w:pPr>
        <w:pStyle w:val="ListNumber"/>
        <w:spacing w:line="240" w:lineRule="auto"/>
        <w:ind w:left="720"/>
      </w:pPr>
      <w:r/>
      <w:r>
        <w:t>O pai de Joel, que era o supervisor dos benjaminitas que retornaram a Jerusalém após o exílio na Babilônia (</w:t>
      </w:r>
      <w:hyperlink r:id="rId11997">
        <w:r>
          <w:rPr>
            <w:color w:val="0000EE"/>
            <w:u w:val="single"/>
          </w:rPr>
          <w:t>Ne 11.9</w:t>
        </w:r>
      </w:hyperlink>
      <w:r>
        <w:t>).</w:t>
      </w:r>
    </w:p>
    <w:p>
      <w:pPr>
        <w:pStyle w:val="ListNumber"/>
        <w:spacing w:line="240" w:lineRule="auto"/>
        <w:ind w:left="720"/>
      </w:pPr>
      <w:r/>
      <w:r>
        <w:t>Um levita que serviu como sacerdote e chefe do clã de Abias durante os dias de Joiaquim, o sumo sacerdote (</w:t>
      </w:r>
      <w:hyperlink r:id="rId20743">
        <w:r>
          <w:rPr>
            <w:color w:val="0000EE"/>
            <w:u w:val="single"/>
          </w:rPr>
          <w:t>Neemias 12.17</w:t>
        </w:r>
      </w:hyperlink>
      <w:r>
        <w:t>).</w:t>
      </w:r>
      <w:r/>
      <w:r/>
    </w:p>
    <w:p>
      <w:r/>
    </w:p>
    <w:p>
      <w:pPr>
        <w:pStyle w:val="Heading2"/>
      </w:pPr>
      <w:r>
        <w:t>Zife (Lugar)</w:t>
      </w:r>
      <w:r/>
    </w:p>
    <w:p>
      <w:r/>
      <w:r>
        <w:t>1. Uma das cidades no extremo sul atribuída à tribo de Judá como herança (</w:t>
      </w:r>
      <w:hyperlink r:id="rId20744">
        <w:r>
          <w:rPr>
            <w:color w:val="0000EE"/>
            <w:u w:val="single"/>
          </w:rPr>
          <w:t>Js 15.24</w:t>
        </w:r>
      </w:hyperlink>
      <w:r>
        <w:t>).</w:t>
      </w:r>
    </w:p>
    <w:p>
      <w:r/>
      <w:r>
        <w:t>2. Uma das cidades na região montanhosa pertencente à tribo de Judá (</w:t>
      </w:r>
      <w:hyperlink r:id="rId20745">
        <w:r>
          <w:rPr>
            <w:color w:val="0000EE"/>
            <w:u w:val="single"/>
          </w:rPr>
          <w:t>Js 15.55</w:t>
        </w:r>
      </w:hyperlink>
      <w:r>
        <w:t xml:space="preserve">), mencionada junto com Maom, Carmelo, Jezreel e, mais proeminentemente, com Hebrom (cf. </w:t>
      </w:r>
      <w:hyperlink r:id="rId20746">
        <w:r>
          <w:rPr>
            <w:color w:val="0000EE"/>
            <w:u w:val="single"/>
          </w:rPr>
          <w:t>1Cr 2.42</w:t>
        </w:r>
      </w:hyperlink>
      <w:r>
        <w:t>). Zife foi identificada com um local a 4,8 quilômetros ao sul de Hebrom. A região desértica circundante é provavelmente o “Deserto de Zife”, onde Davi se escondeu de Saul (</w:t>
      </w:r>
      <w:hyperlink r:id="rId18178">
        <w:r>
          <w:rPr>
            <w:color w:val="0000EE"/>
            <w:u w:val="single"/>
          </w:rPr>
          <w:t>1Sm 23.14–15</w:t>
        </w:r>
      </w:hyperlink>
      <w:r>
        <w:t xml:space="preserve">; </w:t>
      </w:r>
      <w:hyperlink r:id="rId20747">
        <w:r>
          <w:rPr>
            <w:color w:val="0000EE"/>
            <w:u w:val="single"/>
          </w:rPr>
          <w:t>26.2</w:t>
        </w:r>
      </w:hyperlink>
      <w:r>
        <w:t>). Os zifeus que traíram Davi a Saul eram residentes desta cidade e da região circundante (</w:t>
      </w:r>
      <w:hyperlink r:id="rId20748">
        <w:r>
          <w:rPr>
            <w:color w:val="0000EE"/>
            <w:u w:val="single"/>
          </w:rPr>
          <w:t>1Sm 23.19</w:t>
        </w:r>
      </w:hyperlink>
      <w:r>
        <w:t xml:space="preserve">; </w:t>
      </w:r>
      <w:hyperlink r:id="rId6765">
        <w:r>
          <w:rPr>
            <w:color w:val="0000EE"/>
            <w:u w:val="single"/>
          </w:rPr>
          <w:t>26.1</w:t>
        </w:r>
      </w:hyperlink>
      <w:r>
        <w:t xml:space="preserve">; </w:t>
      </w:r>
      <w:hyperlink r:id="rId20749">
        <w:r>
          <w:rPr>
            <w:color w:val="0000EE"/>
            <w:u w:val="single"/>
          </w:rPr>
          <w:t>Sl 54 título</w:t>
        </w:r>
      </w:hyperlink>
      <w:r>
        <w:t>). Zife é mencionada posteriormente como uma das cidades fortificadas por Roboão (</w:t>
      </w:r>
      <w:hyperlink r:id="rId20750">
        <w:r>
          <w:rPr>
            <w:color w:val="0000EE"/>
            <w:u w:val="single"/>
          </w:rPr>
          <w:t>2Cr 11.8</w:t>
        </w:r>
      </w:hyperlink>
      <w:r>
        <w:t>).</w:t>
      </w:r>
      <w:r/>
      <w:r/>
    </w:p>
    <w:p>
      <w:r/>
    </w:p>
    <w:p>
      <w:pPr>
        <w:pStyle w:val="Heading2"/>
      </w:pPr>
      <w:r>
        <w:t>Zifeus</w:t>
      </w:r>
      <w:r/>
    </w:p>
    <w:p>
      <w:r/>
      <w:r>
        <w:t xml:space="preserve">Nome para descrever os habitantes de Zife. Veja por exemplo o </w:t>
      </w:r>
      <w:hyperlink r:id="rId20751">
        <w:r>
          <w:rPr>
            <w:color w:val="0000EE"/>
            <w:u w:val="single"/>
          </w:rPr>
          <w:t>Salmo 54.</w:t>
        </w:r>
      </w:hyperlink>
    </w:p>
    <w:p>
      <w:r/>
      <w:r>
        <w:rPr>
          <w:i/>
        </w:rPr>
        <w:t>Veja</w:t>
      </w:r>
      <w:r>
        <w:t xml:space="preserve"> </w:t>
      </w:r>
      <w:r>
        <w:t>Zife (Lugar) #2</w:t>
      </w:r>
      <w:r>
        <w:t>.</w:t>
      </w:r>
      <w:r/>
      <w:r/>
    </w:p>
    <w:p>
      <w:r/>
    </w:p>
    <w:p>
      <w:pPr>
        <w:pStyle w:val="Heading2"/>
      </w:pPr>
      <w:r>
        <w:t>Zifiom, Zefom</w:t>
      </w:r>
      <w:r/>
    </w:p>
    <w:p>
      <w:r/>
      <w:r>
        <w:t>Primogênito de Gade e pai da família dos zefonitas (</w:t>
      </w:r>
      <w:hyperlink r:id="rId2469">
        <w:r>
          <w:rPr>
            <w:color w:val="0000EE"/>
            <w:u w:val="single"/>
          </w:rPr>
          <w:t>Gn 46.16</w:t>
        </w:r>
      </w:hyperlink>
      <w:r>
        <w:t xml:space="preserve">; </w:t>
      </w:r>
      <w:hyperlink r:id="rId9692">
        <w:r>
          <w:rPr>
            <w:color w:val="0000EE"/>
            <w:u w:val="single"/>
          </w:rPr>
          <w:t>Nm 26.15</w:t>
        </w:r>
      </w:hyperlink>
      <w:r>
        <w:t>).</w:t>
      </w:r>
      <w:r/>
      <w:r/>
    </w:p>
    <w:p>
      <w:r/>
    </w:p>
    <w:p>
      <w:pPr>
        <w:pStyle w:val="Heading2"/>
      </w:pPr>
      <w:r>
        <w:t>Zifita</w:t>
      </w:r>
      <w:r/>
    </w:p>
    <w:p>
      <w:r/>
      <w:r>
        <w:t>Morador de Zife (</w:t>
      </w:r>
      <w:hyperlink r:id="rId20748">
        <w:r>
          <w:rPr>
            <w:color w:val="0000EE"/>
            <w:u w:val="single"/>
          </w:rPr>
          <w:t>1Sm 23.19</w:t>
        </w:r>
      </w:hyperlink>
      <w:r>
        <w:t xml:space="preserve">; </w:t>
      </w:r>
      <w:hyperlink r:id="rId6765">
        <w:r>
          <w:rPr>
            <w:color w:val="0000EE"/>
            <w:u w:val="single"/>
          </w:rPr>
          <w:t>26.1</w:t>
        </w:r>
      </w:hyperlink>
      <w:r>
        <w:t xml:space="preserve">; </w:t>
      </w:r>
      <w:hyperlink r:id="rId20749">
        <w:r>
          <w:rPr>
            <w:color w:val="0000EE"/>
            <w:u w:val="single"/>
          </w:rPr>
          <w:t>Sl 54 título</w:t>
        </w:r>
      </w:hyperlink>
      <w:r>
        <w:t xml:space="preserve">). </w:t>
      </w:r>
    </w:p>
    <w:p>
      <w:r/>
      <w:r>
        <w:rPr>
          <w:i/>
        </w:rPr>
        <w:t>Veja</w:t>
      </w:r>
      <w:r>
        <w:t xml:space="preserve"> </w:t>
      </w:r>
      <w:r>
        <w:t>Zife (Lugar) #2</w:t>
      </w:r>
      <w:r>
        <w:t>.</w:t>
      </w:r>
      <w:r/>
      <w:r/>
    </w:p>
    <w:p>
      <w:r/>
    </w:p>
    <w:p>
      <w:pPr>
        <w:pStyle w:val="Heading2"/>
      </w:pPr>
      <w:r>
        <w:t>Zifrom</w:t>
      </w:r>
      <w:r/>
    </w:p>
    <w:p>
      <w:r/>
      <w:r>
        <w:t>Um marco geográfico que define o limite norte da terra dos cananeus que Israel possuiria (</w:t>
      </w:r>
      <w:hyperlink r:id="rId8016">
        <w:r>
          <w:rPr>
            <w:color w:val="0000EE"/>
            <w:u w:val="single"/>
          </w:rPr>
          <w:t>Nm 34.9</w:t>
        </w:r>
      </w:hyperlink>
      <w:r>
        <w:t>).</w:t>
      </w:r>
      <w:r/>
      <w:r/>
    </w:p>
    <w:p>
      <w:r/>
    </w:p>
    <w:p>
      <w:pPr>
        <w:pStyle w:val="Heading2"/>
      </w:pPr>
      <w:r>
        <w:t>Zigurate</w:t>
      </w:r>
      <w:r/>
    </w:p>
    <w:p>
      <w:r/>
      <w:r>
        <w:t>Uma palavra que significa "torre de templo". Um zigurate se assemelhava à pirâmide escalonada do Egito e era usado para adoração.</w:t>
      </w:r>
    </w:p>
    <w:p>
      <w:r/>
      <w:r>
        <w:t>Os zigurates eram frequentemente construídos nas principais cidades da Mesopotâmia. Acredita-se que a Torre de Babel tenha sido baseada nesse tipo de construção (</w:t>
      </w:r>
      <w:hyperlink r:id="rId2957">
        <w:r>
          <w:rPr>
            <w:color w:val="0000EE"/>
            <w:u w:val="single"/>
          </w:rPr>
          <w:t>Gn 11.1</w:t>
        </w:r>
      </w:hyperlink>
      <w:r>
        <w:t>-</w:t>
      </w:r>
      <w:hyperlink r:id="rId2957">
        <w:r>
          <w:rPr>
            <w:color w:val="0000EE"/>
            <w:u w:val="single"/>
          </w:rPr>
          <w:t>9</w:t>
        </w:r>
      </w:hyperlink>
      <w:r>
        <w:t>).</w:t>
      </w:r>
    </w:p>
    <w:p>
      <w:r/>
      <w:r>
        <w:t>Acreditava-se amplamente que os deuses viviam em lugares altos. Portanto, a adoração era mais apropriada em colinas ou montanhas. Mas não havia colinas ou pedras de construção adequadas na Mesopotâmia, então os mesopotâmicos construíam com tijolos de barro. Os zigurates de tijolo de barro foram construídos para se assemelharem a colinas, onde o adorador ou sacerdote poderia se aproximar dos deuses.</w:t>
      </w:r>
    </w:p>
    <w:p>
      <w:r/>
      <w:r>
        <w:t>Assim como as pirâmides do Egito, essas torres de templos eram quadradas. Em vez de terem lados inclinados, possuíam uma série de terraços que diminuíam de tamanho à medida que subiam. Escadarias ou rampas forneciam acesso a cada nível, e o nível superior abrigava um santuário ou altar onde os sacerdotes realizavam cerimônias religiosas. O grande zigurate de sete andares em Babilônia media quase 91,4 metros de lado na base e se elevava a aproximadamente a mesma altura.</w:t>
      </w:r>
      <w:r/>
      <w:r/>
    </w:p>
    <w:p>
      <w:r/>
    </w:p>
    <w:p>
      <w:pPr>
        <w:pStyle w:val="Heading2"/>
      </w:pPr>
      <w:r>
        <w:t>Zilá</w:t>
      </w:r>
      <w:r/>
    </w:p>
    <w:p>
      <w:r/>
      <w:r>
        <w:t>Segunda esposa de Lameque e mãe de Tubalcaim e Naamá (</w:t>
      </w:r>
      <w:hyperlink r:id="rId20752">
        <w:r>
          <w:rPr>
            <w:color w:val="0000EE"/>
            <w:u w:val="single"/>
          </w:rPr>
          <w:t>Gn 4.19–23</w:t>
        </w:r>
      </w:hyperlink>
      <w:r>
        <w:t>).</w:t>
      </w:r>
      <w:r/>
      <w:r/>
    </w:p>
    <w:p>
      <w:r/>
    </w:p>
    <w:p>
      <w:pPr>
        <w:pStyle w:val="Heading2"/>
      </w:pPr>
      <w:r>
        <w:t>Zilpa</w:t>
      </w:r>
      <w:r/>
    </w:p>
    <w:p>
      <w:r/>
      <w:r>
        <w:t>Mãe dos filhos de Jacó, Gade e Aser. Labão a deu à sua filha Lia como serva (</w:t>
      </w:r>
      <w:hyperlink r:id="rId20753">
        <w:r>
          <w:rPr>
            <w:color w:val="0000EE"/>
            <w:u w:val="single"/>
          </w:rPr>
          <w:t>Gn 29.24</w:t>
        </w:r>
      </w:hyperlink>
      <w:r>
        <w:t xml:space="preserve">; </w:t>
      </w:r>
      <w:hyperlink r:id="rId20754">
        <w:r>
          <w:rPr>
            <w:color w:val="0000EE"/>
            <w:u w:val="single"/>
          </w:rPr>
          <w:t>46.18</w:t>
        </w:r>
      </w:hyperlink>
      <w:r>
        <w:t>). Mais tarde, por insistência de Lia, ela se tornou concubina de Jacó com o propósito de gerar filhos (</w:t>
      </w:r>
      <w:hyperlink r:id="rId20755">
        <w:r>
          <w:rPr>
            <w:color w:val="0000EE"/>
            <w:u w:val="single"/>
          </w:rPr>
          <w:t>30.9</w:t>
        </w:r>
      </w:hyperlink>
      <w:r>
        <w:t xml:space="preserve">; </w:t>
      </w:r>
      <w:hyperlink r:id="rId12026">
        <w:r>
          <w:rPr>
            <w:color w:val="0000EE"/>
            <w:u w:val="single"/>
          </w:rPr>
          <w:t>37.2</w:t>
        </w:r>
      </w:hyperlink>
      <w:r>
        <w:t>).</w:t>
      </w:r>
      <w:r/>
      <w:r/>
    </w:p>
    <w:p>
      <w:r/>
    </w:p>
    <w:p>
      <w:pPr>
        <w:pStyle w:val="Heading2"/>
      </w:pPr>
      <w:r>
        <w:t>Zim, Deserto de</w:t>
      </w:r>
      <w:r/>
    </w:p>
    <w:p>
      <w:r/>
      <w:r>
        <w:t>Área situada na porção norte da Península do Sinai, enquanto o Deserto de Sin fica na porção sul. É um dos quatro ou cinco “desertos” da Península do Sinai, sendo os outros o deserto de Parã (</w:t>
      </w:r>
      <w:hyperlink r:id="rId20015">
        <w:r>
          <w:rPr>
            <w:color w:val="0000EE"/>
            <w:u w:val="single"/>
          </w:rPr>
          <w:t>Gn 21.21</w:t>
        </w:r>
      </w:hyperlink>
      <w:r>
        <w:t>), o deserto de Sur (</w:t>
      </w:r>
      <w:hyperlink r:id="rId8598">
        <w:r>
          <w:rPr>
            <w:color w:val="0000EE"/>
            <w:u w:val="single"/>
          </w:rPr>
          <w:t>Ex 15.22</w:t>
        </w:r>
      </w:hyperlink>
      <w:r>
        <w:t>), o Deserto do Sinai (</w:t>
      </w:r>
      <w:hyperlink r:id="rId14763">
        <w:r>
          <w:rPr>
            <w:color w:val="0000EE"/>
            <w:u w:val="single"/>
          </w:rPr>
          <w:t>Nm 9.1</w:t>
        </w:r>
      </w:hyperlink>
      <w:r>
        <w:t>) e o Deserto de Sin (</w:t>
      </w:r>
      <w:hyperlink r:id="rId20756">
        <w:r>
          <w:rPr>
            <w:color w:val="0000EE"/>
            <w:u w:val="single"/>
          </w:rPr>
          <w:t>Nm 33.11</w:t>
        </w:r>
      </w:hyperlink>
      <w:r>
        <w:t>). Essas áreas não são claramente definidas e provavelmente há alguma sobreposição.</w:t>
      </w:r>
    </w:p>
    <w:p>
      <w:r/>
      <w:r>
        <w:t>A área identificada como o Deserto de Zim está associada à vila de Zim (</w:t>
      </w:r>
      <w:hyperlink r:id="rId262">
        <w:r>
          <w:rPr>
            <w:color w:val="0000EE"/>
            <w:u w:val="single"/>
          </w:rPr>
          <w:t>Nm 34.4</w:t>
        </w:r>
      </w:hyperlink>
      <w:r>
        <w:t>). O deserto ficava a oeste de Edom, sudoeste do Mar Morto e ao sul de Judá. Dentro desta área árida, havia quatro fontes copiosas ou oásis, incluindo Cades-Barneia. A maior parte dos 38 anos que os israelitas passaram no Deserto do Sinai foi nesta área. Do Deserto de Zim, os espiões foram enviados para explorar a terra de Canaã (</w:t>
      </w:r>
      <w:hyperlink r:id="rId20757">
        <w:r>
          <w:rPr>
            <w:color w:val="0000EE"/>
            <w:u w:val="single"/>
          </w:rPr>
          <w:t>Nm 13.1–26</w:t>
        </w:r>
      </w:hyperlink>
      <w:r>
        <w:t xml:space="preserve">; </w:t>
      </w:r>
      <w:hyperlink r:id="rId14765">
        <w:r>
          <w:rPr>
            <w:color w:val="0000EE"/>
            <w:u w:val="single"/>
          </w:rPr>
          <w:t>32.8</w:t>
        </w:r>
      </w:hyperlink>
      <w:r>
        <w:t>). Aqui também os rebeldes foram condenados a morrer por causa de sua incredulidade (</w:t>
      </w:r>
      <w:hyperlink r:id="rId20758">
        <w:r>
          <w:rPr>
            <w:color w:val="0000EE"/>
            <w:u w:val="single"/>
          </w:rPr>
          <w:t>14.22–23</w:t>
        </w:r>
      </w:hyperlink>
      <w:r>
        <w:t>). Moisés pecou ao não dar crédito a Deus por trazer água da rocha (</w:t>
      </w:r>
      <w:hyperlink r:id="rId20759">
        <w:r>
          <w:rPr>
            <w:color w:val="0000EE"/>
            <w:u w:val="single"/>
          </w:rPr>
          <w:t>20.1–13</w:t>
        </w:r>
      </w:hyperlink>
      <w:r>
        <w:t xml:space="preserve">; </w:t>
      </w:r>
      <w:hyperlink r:id="rId13976">
        <w:r>
          <w:rPr>
            <w:color w:val="0000EE"/>
            <w:u w:val="single"/>
          </w:rPr>
          <w:t>27.14</w:t>
        </w:r>
      </w:hyperlink>
      <w:r>
        <w:t>), e Miriã, sua irmã, morreu e foi enterrada aqui (</w:t>
      </w:r>
      <w:hyperlink r:id="rId3971">
        <w:r>
          <w:rPr>
            <w:color w:val="0000EE"/>
            <w:u w:val="single"/>
          </w:rPr>
          <w:t>20.1</w:t>
        </w:r>
      </w:hyperlink>
      <w:r>
        <w:t>). Esta área foi lembrada como o “grande e perigoso deserto” (</w:t>
      </w:r>
      <w:hyperlink r:id="rId14384">
        <w:r>
          <w:rPr>
            <w:color w:val="0000EE"/>
            <w:u w:val="single"/>
          </w:rPr>
          <w:t>Dt 1.19</w:t>
        </w:r>
      </w:hyperlink>
      <w:r>
        <w:t xml:space="preserve">; </w:t>
      </w:r>
      <w:hyperlink r:id="rId1469">
        <w:r>
          <w:rPr>
            <w:color w:val="0000EE"/>
            <w:u w:val="single"/>
          </w:rPr>
          <w:t>8.15</w:t>
        </w:r>
      </w:hyperlink>
      <w:r>
        <w:t>).</w:t>
      </w:r>
    </w:p>
    <w:p>
      <w:r/>
      <w:r>
        <w:rPr>
          <w:i/>
        </w:rPr>
        <w:t>Veja também</w:t>
      </w:r>
      <w:r>
        <w:t xml:space="preserve"> </w:t>
      </w:r>
      <w:r>
        <w:t>Peregrinações no deserto</w:t>
      </w:r>
      <w:r>
        <w:t>.</w:t>
      </w:r>
      <w:r/>
      <w:r/>
    </w:p>
    <w:p>
      <w:r/>
    </w:p>
    <w:p>
      <w:pPr>
        <w:pStyle w:val="Heading2"/>
      </w:pPr>
      <w:r>
        <w:t>Zinrã</w:t>
      </w:r>
      <w:r/>
    </w:p>
    <w:p>
      <w:r/>
      <w:r>
        <w:t>Um dos filhos de Abraão com Quetura (</w:t>
      </w:r>
      <w:hyperlink r:id="rId11386">
        <w:r>
          <w:rPr>
            <w:color w:val="0000EE"/>
            <w:u w:val="single"/>
          </w:rPr>
          <w:t>Gn 25.2</w:t>
        </w:r>
      </w:hyperlink>
      <w:r>
        <w:t xml:space="preserve">; </w:t>
      </w:r>
      <w:hyperlink r:id="rId5351">
        <w:r>
          <w:rPr>
            <w:color w:val="0000EE"/>
            <w:u w:val="single"/>
          </w:rPr>
          <w:t>1Cr 1.32</w:t>
        </w:r>
      </w:hyperlink>
      <w:r>
        <w:t>). Ao contrário dos outros filhos de Abraão com Quetura, há poucas evidências de que Zinrã esteja associado a um grupo tribal posterior.</w:t>
      </w:r>
      <w:r/>
      <w:r/>
    </w:p>
    <w:p>
      <w:r/>
    </w:p>
    <w:p>
      <w:pPr>
        <w:pStyle w:val="Heading2"/>
      </w:pPr>
      <w:r>
        <w:t>Zinri (Lugar)</w:t>
      </w:r>
      <w:r/>
    </w:p>
    <w:p>
      <w:r/>
      <w:r>
        <w:t>Lugar e povos do Leste, listados junto com Elão e Média, contra os quais a ira de Deus cairia (</w:t>
      </w:r>
      <w:hyperlink r:id="rId20760">
        <w:r>
          <w:rPr>
            <w:color w:val="0000EE"/>
            <w:u w:val="single"/>
          </w:rPr>
          <w:t>Jr 25.25</w:t>
        </w:r>
      </w:hyperlink>
      <w:r>
        <w:t>). A localização e a história de Zinri são desconhecidas; alguns identificam seu progenitor com Zinrã, filho de Abraão e Quetura (</w:t>
      </w:r>
      <w:hyperlink r:id="rId11386">
        <w:r>
          <w:rPr>
            <w:color w:val="0000EE"/>
            <w:u w:val="single"/>
          </w:rPr>
          <w:t>Gn 25.2</w:t>
        </w:r>
      </w:hyperlink>
      <w:r>
        <w:t>).</w:t>
      </w:r>
      <w:r/>
      <w:r/>
    </w:p>
    <w:p>
      <w:r/>
    </w:p>
    <w:p>
      <w:pPr>
        <w:pStyle w:val="Heading2"/>
      </w:pPr>
      <w:r>
        <w:t>Zinri (Pessoa)</w:t>
      </w:r>
      <w:r/>
    </w:p>
    <w:p>
      <w:pPr>
        <w:pStyle w:val="ListNumber"/>
        <w:spacing w:line="240" w:lineRule="auto"/>
        <w:ind w:left="720"/>
      </w:pPr>
      <w:r/>
      <w:r>
        <w:t>Um líder da tribo de Simeão que foi morto por Fineias por ter um relacionamento impróprio com uma mulher midianita em Peor (</w:t>
      </w:r>
      <w:hyperlink r:id="rId18990">
        <w:r>
          <w:rPr>
            <w:color w:val="0000EE"/>
            <w:u w:val="single"/>
          </w:rPr>
          <w:t>Nm 25.14</w:t>
        </w:r>
      </w:hyperlink>
      <w:r>
        <w:t>). O pecado de Zinri foi considerado pior porque ele o fez abertamente, era um líder tribal, e a mulher era filha de um importante príncipe midianita.</w:t>
      </w:r>
    </w:p>
    <w:p>
      <w:pPr>
        <w:pStyle w:val="ListNumber"/>
        <w:spacing w:line="240" w:lineRule="auto"/>
        <w:ind w:left="720"/>
      </w:pPr>
      <w:r/>
      <w:r>
        <w:t>Um rei de Israel que governou por apenas sete dias (em 885 a.C.). Ele se tornou rei depois de matar o Rei Elá e toda a família de Baasa (</w:t>
      </w:r>
      <w:hyperlink r:id="rId20761">
        <w:r>
          <w:rPr>
            <w:color w:val="0000EE"/>
            <w:u w:val="single"/>
          </w:rPr>
          <w:t>1Rs 16.9–12</w:t>
        </w:r>
      </w:hyperlink>
      <w:r>
        <w:t>). Zinri era o comandante de metade das forças de carros, mas não conseguiu apoio do povo. Em vez disso, o povo apoiou Onri, que era o comandante do exército. Quando Onri o atacou em Tirza, Zinri se matou incendiando seu palácio (</w:t>
      </w:r>
      <w:hyperlink r:id="rId6223">
        <w:r>
          <w:rPr>
            <w:color w:val="0000EE"/>
            <w:u w:val="single"/>
          </w:rPr>
          <w:t>1Rs 16.15–18</w:t>
        </w:r>
      </w:hyperlink>
      <w:r>
        <w:t>). Mais tarde, a rainha Jezabel referiu-se à crueldade de Zinri quando acusou Jeú de ser como ele (</w:t>
      </w:r>
      <w:hyperlink r:id="rId20762">
        <w:r>
          <w:rPr>
            <w:color w:val="0000EE"/>
            <w:u w:val="single"/>
          </w:rPr>
          <w:t>2Rs 9.31</w:t>
        </w:r>
      </w:hyperlink>
      <w:r>
        <w:t>).</w:t>
      </w:r>
    </w:p>
    <w:p>
      <w:pPr>
        <w:pStyle w:val="ListNumber"/>
        <w:spacing w:line="240" w:lineRule="auto"/>
        <w:ind w:left="720"/>
      </w:pPr>
      <w:r/>
      <w:r>
        <w:t>Um dos filhos de Zera. Zera era um filho de Judá com Tamar (</w:t>
      </w:r>
      <w:hyperlink r:id="rId8601">
        <w:r>
          <w:rPr>
            <w:color w:val="0000EE"/>
            <w:u w:val="single"/>
          </w:rPr>
          <w:t>1Cr 2.6</w:t>
        </w:r>
      </w:hyperlink>
      <w:r>
        <w:t xml:space="preserve">). Outro nome para ele é Zabdi numa passagem paralela em </w:t>
      </w:r>
      <w:hyperlink r:id="rId20763">
        <w:r>
          <w:rPr>
            <w:color w:val="0000EE"/>
            <w:u w:val="single"/>
          </w:rPr>
          <w:t>Js 7.1,17</w:t>
        </w:r>
      </w:hyperlink>
      <w:r>
        <w:t>.</w:t>
      </w:r>
    </w:p>
    <w:p>
      <w:r/>
      <w:r>
        <w:rPr>
          <w:i/>
        </w:rPr>
        <w:t>Veja</w:t>
      </w:r>
      <w:r>
        <w:t xml:space="preserve"> </w:t>
      </w:r>
      <w:r>
        <w:t>Zabdi #1</w:t>
      </w:r>
      <w:r>
        <w:t>.</w:t>
      </w:r>
    </w:p>
    <w:p>
      <w:pPr>
        <w:pStyle w:val="ListNumber"/>
        <w:spacing w:line="240" w:lineRule="auto"/>
        <w:ind w:left="720"/>
      </w:pPr>
      <w:r/>
      <w:r>
        <w:t xml:space="preserve">Um descendente do Rei Saul da tribo de Benjamim. </w:t>
      </w:r>
      <w:hyperlink r:id="rId20764">
        <w:r>
          <w:rPr>
            <w:color w:val="0000EE"/>
            <w:u w:val="single"/>
          </w:rPr>
          <w:t>1Cr 8.36</w:t>
        </w:r>
      </w:hyperlink>
      <w:r>
        <w:t xml:space="preserve"> lista-o como filho de Jeoada e pai de Mosa. Este Zinri é provavelmente o mesmo que Zinri, filho de Jaerá (</w:t>
      </w:r>
      <w:hyperlink r:id="rId20765">
        <w:r>
          <w:rPr>
            <w:color w:val="0000EE"/>
            <w:u w:val="single"/>
          </w:rPr>
          <w:t>9.42</w:t>
        </w:r>
      </w:hyperlink>
      <w:r>
        <w:t>).</w:t>
      </w:r>
      <w:r/>
      <w:r/>
    </w:p>
    <w:p>
      <w:r/>
    </w:p>
    <w:p>
      <w:pPr>
        <w:pStyle w:val="Heading2"/>
      </w:pPr>
      <w:r>
        <w:t>Zipor</w:t>
      </w:r>
      <w:r/>
    </w:p>
    <w:p>
      <w:r/>
      <w:r>
        <w:t>O pai de Balaque era o rei de Moabe. Balaque pediu a um homem chamado Balaão para amaldiçoar os israelitas (</w:t>
      </w:r>
      <w:hyperlink r:id="rId20766">
        <w:r>
          <w:rPr>
            <w:color w:val="0000EE"/>
            <w:u w:val="single"/>
          </w:rPr>
          <w:t>Nm 22.2,10,16</w:t>
        </w:r>
      </w:hyperlink>
      <w:r>
        <w:t xml:space="preserve">; </w:t>
      </w:r>
      <w:hyperlink r:id="rId20767">
        <w:r>
          <w:rPr>
            <w:color w:val="0000EE"/>
            <w:u w:val="single"/>
          </w:rPr>
          <w:t>23.18</w:t>
        </w:r>
      </w:hyperlink>
      <w:r>
        <w:t xml:space="preserve">; </w:t>
      </w:r>
      <w:hyperlink r:id="rId14675">
        <w:r>
          <w:rPr>
            <w:color w:val="0000EE"/>
            <w:u w:val="single"/>
          </w:rPr>
          <w:t>Js 24.9</w:t>
        </w:r>
      </w:hyperlink>
      <w:r>
        <w:t xml:space="preserve">; </w:t>
      </w:r>
      <w:hyperlink r:id="rId2996">
        <w:r>
          <w:rPr>
            <w:color w:val="0000EE"/>
            <w:u w:val="single"/>
          </w:rPr>
          <w:t>Jz 11.25</w:t>
        </w:r>
      </w:hyperlink>
      <w:r>
        <w:t>).</w:t>
      </w:r>
      <w:r/>
      <w:r/>
    </w:p>
    <w:p>
      <w:r/>
    </w:p>
    <w:p>
      <w:pPr>
        <w:pStyle w:val="Heading2"/>
      </w:pPr>
      <w:r>
        <w:t>Zípora</w:t>
      </w:r>
      <w:r/>
    </w:p>
    <w:p>
      <w:r/>
      <w:r>
        <w:t>A esposa de Moisés e mãe de seus filhos, Gérson e Eliezer (</w:t>
      </w:r>
      <w:hyperlink r:id="rId11872">
        <w:r>
          <w:rPr>
            <w:color w:val="0000EE"/>
            <w:u w:val="single"/>
          </w:rPr>
          <w:t>Êx 2.21</w:t>
        </w:r>
      </w:hyperlink>
      <w:r>
        <w:t>). Zípora é mencionada como a filha de Reuel (</w:t>
      </w:r>
      <w:hyperlink r:id="rId10683">
        <w:r>
          <w:rPr>
            <w:color w:val="0000EE"/>
            <w:u w:val="single"/>
          </w:rPr>
          <w:t>Êx 2.18</w:t>
        </w:r>
      </w:hyperlink>
      <w:r>
        <w:t>). No entanto, Reuel provavelmente era o pai de Hobabe, que por sua vez era o pai de Zípora (</w:t>
      </w:r>
      <w:hyperlink r:id="rId10680">
        <w:r>
          <w:rPr>
            <w:color w:val="0000EE"/>
            <w:u w:val="single"/>
          </w:rPr>
          <w:t>Nm 10.29</w:t>
        </w:r>
      </w:hyperlink>
      <w:r>
        <w:t xml:space="preserve">; chamado de Jetro em </w:t>
      </w:r>
      <w:hyperlink r:id="rId6724">
        <w:r>
          <w:rPr>
            <w:color w:val="0000EE"/>
            <w:u w:val="single"/>
          </w:rPr>
          <w:t>Êx 3.1</w:t>
        </w:r>
      </w:hyperlink>
      <w:r>
        <w:t xml:space="preserve">; </w:t>
      </w:r>
      <w:hyperlink r:id="rId10681">
        <w:r>
          <w:rPr>
            <w:color w:val="0000EE"/>
            <w:u w:val="single"/>
          </w:rPr>
          <w:t>4.18</w:t>
        </w:r>
      </w:hyperlink>
      <w:r>
        <w:t>). Assim, Reuel seria o avô de Zípora.</w:t>
      </w:r>
    </w:p>
    <w:p>
      <w:r/>
      <w:r>
        <w:t>Zípora circuncidou Gérson para evitar a morte de Moisés antes de seu retorno ao Egito (</w:t>
      </w:r>
      <w:hyperlink r:id="rId4946">
        <w:r>
          <w:rPr>
            <w:color w:val="0000EE"/>
            <w:u w:val="single"/>
          </w:rPr>
          <w:t>Êx 4.25</w:t>
        </w:r>
      </w:hyperlink>
      <w:r>
        <w:t>). Aparentemente, nesse momento, Zípora e os filhos deixaram Moisés e voltaram a viver com seu pai, retornando mais tarde durante o tempo em que Israel vagou no deserto (</w:t>
      </w:r>
      <w:hyperlink r:id="rId20768">
        <w:r>
          <w:rPr>
            <w:color w:val="0000EE"/>
            <w:u w:val="single"/>
          </w:rPr>
          <w:t>Êx 18.2</w:t>
        </w:r>
      </w:hyperlink>
      <w:r>
        <w:t>).</w:t>
      </w:r>
      <w:r/>
      <w:r/>
    </w:p>
    <w:p>
      <w:r/>
    </w:p>
    <w:p>
      <w:pPr>
        <w:pStyle w:val="Heading2"/>
      </w:pPr>
      <w:r>
        <w:t>Zoã</w:t>
      </w:r>
      <w:r/>
    </w:p>
    <w:p>
      <w:r/>
      <w:r>
        <w:t xml:space="preserve">Uma das principais cidades na região do delta do antigo Egito. Conhecida de várias maneiras como Zoã, Tânis, Avaris e possivelmente Ramessés (as cidades eram ou as mesmas ou próximas), estava localizada na margem sul do lago Manzala, na extremidade nordeste do delta egípcio. Zoã foi reconstruída durante ou pouco antes do período dos hicsos (c. 1730 a.C.; </w:t>
      </w:r>
      <w:hyperlink r:id="rId644">
        <w:r>
          <w:rPr>
            <w:color w:val="0000EE"/>
            <w:u w:val="single"/>
          </w:rPr>
          <w:t>Nm 13.22</w:t>
        </w:r>
      </w:hyperlink>
      <w:r>
        <w:t>). Devido à sua localização estratégica no ramo Tanítico do Nilo e perto da fronteira nordeste do Egito, Zoã foi uma importante base militar e política durante todo o período de domínio nativo egípcio. Serviu como a capital durante o período dos hicsos, bem como atuou como a capital efetiva durante as dinastias 21ª a 23ª (c. 1090 – 718 a.C.) e como a capital do norte durante a 25ª dinastia (c. 712 – 663 a.C.).</w:t>
      </w:r>
    </w:p>
    <w:p>
      <w:r/>
      <w:r>
        <w:t xml:space="preserve">Zoã foi significativa para os israelitas durante cada um de seus períodos de ascendência. Quer a saída dos israelitas tenha ocorrido cedo (c. 1441 a.C.) ou tarde (1290 a.C.), o assentamento israelita no Egito teria sido nas proximidades gerais de Zoã. Os israelitas construíram as cidades-armazém de Pitom e Ramessés, e possivelmente esta última deve ser identificada com Zoã. No relato do Êxodo em </w:t>
      </w:r>
      <w:hyperlink r:id="rId4206">
        <w:r>
          <w:rPr>
            <w:color w:val="0000EE"/>
            <w:u w:val="single"/>
          </w:rPr>
          <w:t>Salmo 78</w:t>
        </w:r>
      </w:hyperlink>
      <w:r>
        <w:t>, a cidade de Zoã é poeticamente paralela ao Egito, indicando que era ou a capital ou pelo menos uma cidade significativa. Durante o período de Isaías, Zoã foi novamente significativa, sendo designada como a casa dos “príncipes” e “oficiais” do Egito (</w:t>
      </w:r>
      <w:hyperlink r:id="rId20769">
        <w:r>
          <w:rPr>
            <w:color w:val="0000EE"/>
            <w:u w:val="single"/>
          </w:rPr>
          <w:t>Is 19.11–13</w:t>
        </w:r>
      </w:hyperlink>
      <w:r>
        <w:t xml:space="preserve">; </w:t>
      </w:r>
      <w:hyperlink r:id="rId20770">
        <w:r>
          <w:rPr>
            <w:color w:val="0000EE"/>
            <w:u w:val="single"/>
          </w:rPr>
          <w:t>Ez 30.14</w:t>
        </w:r>
      </w:hyperlink>
      <w:r>
        <w:t>).</w:t>
      </w:r>
    </w:p>
    <w:p>
      <w:r/>
      <w:r>
        <w:rPr>
          <w:i/>
        </w:rPr>
        <w:t>Veja também</w:t>
      </w:r>
      <w:r>
        <w:t xml:space="preserve"> </w:t>
      </w:r>
      <w:r>
        <w:t>Ramessés (local)</w:t>
      </w:r>
      <w:r>
        <w:t>.</w:t>
      </w:r>
      <w:r/>
      <w:r/>
    </w:p>
    <w:p>
      <w:r/>
    </w:p>
    <w:p>
      <w:pPr>
        <w:pStyle w:val="Heading2"/>
      </w:pPr>
      <w:r>
        <w:t>Zoar</w:t>
      </w:r>
      <w:r/>
    </w:p>
    <w:p>
      <w:r/>
      <w:r>
        <w:t>Uma das "cidades da planície" confederada com Sodoma, Gomorra, Admá e Zeboim (</w:t>
      </w:r>
      <w:hyperlink r:id="rId383">
        <w:r>
          <w:rPr>
            <w:color w:val="0000EE"/>
            <w:u w:val="single"/>
          </w:rPr>
          <w:t>Gn 14.2,8</w:t>
        </w:r>
      </w:hyperlink>
      <w:r>
        <w:t>). Zoar, também conhecida por seu nome anterior Bela, é mais conhecida como a cidade que serviu como refúgio temporário para Ló e suas filhas durante a destruição de Sodoma e das outras cidades da planície (</w:t>
      </w:r>
      <w:hyperlink r:id="rId20771">
        <w:r>
          <w:rPr>
            <w:color w:val="0000EE"/>
            <w:u w:val="single"/>
          </w:rPr>
          <w:t>19.22–23,30</w:t>
        </w:r>
      </w:hyperlink>
      <w:r>
        <w:t xml:space="preserve">). Apesar do fato de que Zoar era evidentemente uma cidade pequena (v. </w:t>
      </w:r>
      <w:hyperlink r:id="rId20772">
        <w:r>
          <w:rPr>
            <w:color w:val="0000EE"/>
            <w:u w:val="single"/>
          </w:rPr>
          <w:t>22</w:t>
        </w:r>
      </w:hyperlink>
      <w:r>
        <w:t>; Zoar significa "pequena"), este lugar era evidentemente considerado um marco geográfico significativo nos tempos antigos. Quando Abraão e Ló dividiram a terra, Ló escolheu a terra próxima a Zoar (</w:t>
      </w:r>
      <w:hyperlink r:id="rId2327">
        <w:r>
          <w:rPr>
            <w:color w:val="0000EE"/>
            <w:u w:val="single"/>
          </w:rPr>
          <w:t>13.10</w:t>
        </w:r>
      </w:hyperlink>
      <w:r>
        <w:t>). Quando Moisés avistou a Terra Prometida do Monte Pisga, Zoar foi considerada como o término sul da planície do Vale de Jericó (</w:t>
      </w:r>
      <w:hyperlink r:id="rId4864">
        <w:r>
          <w:rPr>
            <w:color w:val="0000EE"/>
            <w:u w:val="single"/>
          </w:rPr>
          <w:t>Dt 34.3</w:t>
        </w:r>
      </w:hyperlink>
      <w:r>
        <w:t>). Durante o período profético, Zoar era evidentemente considerada como estando na fronteira sul de Moabe (</w:t>
      </w:r>
      <w:hyperlink r:id="rId20773">
        <w:r>
          <w:rPr>
            <w:color w:val="0000EE"/>
            <w:u w:val="single"/>
          </w:rPr>
          <w:t>Is 15.5</w:t>
        </w:r>
      </w:hyperlink>
      <w:r>
        <w:t xml:space="preserve">; </w:t>
      </w:r>
      <w:hyperlink r:id="rId20774">
        <w:r>
          <w:rPr>
            <w:color w:val="0000EE"/>
            <w:u w:val="single"/>
          </w:rPr>
          <w:t>Jr 48.4,34</w:t>
        </w:r>
      </w:hyperlink>
      <w:r>
        <w:t>).</w:t>
      </w:r>
    </w:p>
    <w:p>
      <w:r/>
      <w:r>
        <w:rPr>
          <w:i/>
        </w:rPr>
        <w:t>Veja também</w:t>
      </w:r>
      <w:r>
        <w:t xml:space="preserve"> </w:t>
      </w:r>
      <w:r>
        <w:t>Cidades da Planície</w:t>
      </w:r>
      <w:r>
        <w:t>.</w:t>
      </w:r>
      <w:r/>
      <w:r/>
    </w:p>
    <w:p>
      <w:r/>
    </w:p>
    <w:p>
      <w:pPr>
        <w:pStyle w:val="Heading2"/>
      </w:pPr>
      <w:r>
        <w:t>Zoar</w:t>
      </w:r>
      <w:r/>
    </w:p>
    <w:p>
      <w:pPr>
        <w:pStyle w:val="ListNumber"/>
        <w:spacing w:line="240" w:lineRule="auto"/>
        <w:ind w:left="720"/>
      </w:pPr>
      <w:r/>
      <w:r>
        <w:t>O pai de Efrom, o heteu. Abraão comprou a caverna de Macpela de Efrom (</w:t>
      </w:r>
      <w:hyperlink r:id="rId20775">
        <w:r>
          <w:rPr>
            <w:color w:val="0000EE"/>
            <w:u w:val="single"/>
          </w:rPr>
          <w:t>Gn 23.7–9</w:t>
        </w:r>
      </w:hyperlink>
      <w:r>
        <w:t xml:space="preserve">; </w:t>
      </w:r>
      <w:hyperlink r:id="rId7734">
        <w:r>
          <w:rPr>
            <w:color w:val="0000EE"/>
            <w:u w:val="single"/>
          </w:rPr>
          <w:t>25.9</w:t>
        </w:r>
      </w:hyperlink>
      <w:r>
        <w:t>).</w:t>
      </w:r>
    </w:p>
    <w:p>
      <w:pPr>
        <w:pStyle w:val="ListNumber"/>
        <w:spacing w:line="240" w:lineRule="auto"/>
        <w:ind w:left="720"/>
      </w:pPr>
      <w:r/>
      <w:r>
        <w:t xml:space="preserve">Uma grafia alternativa de Zerá, filho de Simeão, em </w:t>
      </w:r>
      <w:hyperlink r:id="rId11526">
        <w:r>
          <w:rPr>
            <w:color w:val="0000EE"/>
            <w:u w:val="single"/>
          </w:rPr>
          <w:t>Gênesis 46.10</w:t>
        </w:r>
      </w:hyperlink>
      <w:r>
        <w:t xml:space="preserve"> e </w:t>
      </w:r>
      <w:hyperlink r:id="rId11527">
        <w:r>
          <w:rPr>
            <w:color w:val="0000EE"/>
            <w:u w:val="single"/>
          </w:rPr>
          <w:t>Êxodo 6.15</w:t>
        </w:r>
      </w:hyperlink>
      <w:r>
        <w:t>.</w:t>
      </w:r>
    </w:p>
    <w:p>
      <w:r/>
      <w:r>
        <w:rPr>
          <w:i/>
        </w:rPr>
        <w:t>Veja</w:t>
      </w:r>
      <w:r>
        <w:t xml:space="preserve"> </w:t>
      </w:r>
      <w:r>
        <w:t>Zerá #3</w:t>
      </w:r>
      <w:r>
        <w:t>.</w:t>
      </w:r>
    </w:p>
    <w:p>
      <w:pPr>
        <w:pStyle w:val="ListNumber"/>
        <w:spacing w:line="240" w:lineRule="auto"/>
        <w:ind w:left="720"/>
      </w:pPr>
      <w:r/>
      <w:r>
        <w:t xml:space="preserve">Uma grafia alternativa de Isar em </w:t>
      </w:r>
      <w:hyperlink r:id="rId11385">
        <w:r>
          <w:rPr>
            <w:color w:val="0000EE"/>
            <w:u w:val="single"/>
          </w:rPr>
          <w:t>1 Crônicas 4.7</w:t>
        </w:r>
      </w:hyperlink>
      <w:r>
        <w:t>.</w:t>
      </w:r>
      <w:r/>
      <w:r/>
    </w:p>
    <w:p>
      <w:r/>
    </w:p>
    <w:p>
      <w:pPr>
        <w:pStyle w:val="Heading2"/>
      </w:pPr>
      <w:r>
        <w:t>Zoba</w:t>
      </w:r>
      <w:r/>
    </w:p>
    <w:p>
      <w:r/>
      <w:r>
        <w:t>Zoba era uma nação arameia que foi derrotada por Israel no início do período do reino. O rei Saul venceu batalhas contra os reis de Zoba (</w:t>
      </w:r>
      <w:hyperlink r:id="rId6499">
        <w:r>
          <w:rPr>
            <w:color w:val="0000EE"/>
            <w:u w:val="single"/>
          </w:rPr>
          <w:t>1Sm 14.47</w:t>
        </w:r>
      </w:hyperlink>
      <w:r>
        <w:t>).</w:t>
      </w:r>
    </w:p>
    <w:p>
      <w:r/>
      <w:r>
        <w:t>Pouco depois de Davi se tornar rei de Israel, ele derrotou Hadadezer, filho de Reobe, rei de Zoba (</w:t>
      </w:r>
      <w:hyperlink r:id="rId20776">
        <w:r>
          <w:rPr>
            <w:color w:val="0000EE"/>
            <w:u w:val="single"/>
          </w:rPr>
          <w:t>2Sm 8.3–5,12</w:t>
        </w:r>
      </w:hyperlink>
      <w:r>
        <w:t xml:space="preserve">; </w:t>
      </w:r>
      <w:hyperlink r:id="rId20777">
        <w:r>
          <w:rPr>
            <w:color w:val="0000EE"/>
            <w:u w:val="single"/>
          </w:rPr>
          <w:t>1Cr 18.3–10</w:t>
        </w:r>
      </w:hyperlink>
      <w:r>
        <w:t xml:space="preserve">; </w:t>
      </w:r>
      <w:hyperlink r:id="rId2369">
        <w:r>
          <w:rPr>
            <w:color w:val="0000EE"/>
            <w:u w:val="single"/>
          </w:rPr>
          <w:t>Sl 60 título</w:t>
        </w:r>
      </w:hyperlink>
      <w:r>
        <w:t>). Mais tarde, os amonitas contrataram 20.000 soldados arameus de infantaria de Bete-Reobe e Zoba para um ataque antecipado contra as forças militares de Davi. Joabe liderou o exército de Israel e derrotou as forças combinadas dos amonitas e seus aliados arameus contratados (</w:t>
      </w:r>
      <w:hyperlink r:id="rId20778">
        <w:r>
          <w:rPr>
            <w:color w:val="0000EE"/>
            <w:u w:val="single"/>
          </w:rPr>
          <w:t>2Sm 10.6–14</w:t>
        </w:r>
      </w:hyperlink>
      <w:r>
        <w:t>). Depois, Hadadezer enviou reforços, mas o próprio Davi liderou Israel para outra vitória sobre os arameus (</w:t>
      </w:r>
      <w:hyperlink r:id="rId20779">
        <w:r>
          <w:rPr>
            <w:color w:val="0000EE"/>
            <w:u w:val="single"/>
          </w:rPr>
          <w:t>2Sm 10.15–19</w:t>
        </w:r>
      </w:hyperlink>
      <w:r>
        <w:t xml:space="preserve">; </w:t>
      </w:r>
      <w:hyperlink r:id="rId20780">
        <w:r>
          <w:rPr>
            <w:color w:val="0000EE"/>
            <w:u w:val="single"/>
          </w:rPr>
          <w:t>1Cr 19.16–19</w:t>
        </w:r>
      </w:hyperlink>
      <w:r>
        <w:t>).</w:t>
      </w:r>
      <w:r/>
      <w:r/>
    </w:p>
    <w:p>
      <w:r/>
    </w:p>
    <w:p>
      <w:pPr>
        <w:pStyle w:val="Heading2"/>
      </w:pPr>
      <w:r>
        <w:t>Zofim</w:t>
      </w:r>
      <w:r/>
    </w:p>
    <w:p>
      <w:r/>
      <w:r>
        <w:t>Um lugar de onde Balaão pronunciou sua segunda bênção sobre Israel (</w:t>
      </w:r>
      <w:hyperlink r:id="rId20781">
        <w:r>
          <w:rPr>
            <w:color w:val="0000EE"/>
            <w:u w:val="single"/>
          </w:rPr>
          <w:t>Nm 23.13–16</w:t>
        </w:r>
      </w:hyperlink>
      <w:r>
        <w:t>). Zofim deve ter sido no monte Pisga ou próximo a ele.</w:t>
      </w:r>
      <w:r/>
      <w:r/>
    </w:p>
    <w:p>
      <w:r/>
    </w:p>
    <w:p>
      <w:pPr>
        <w:pStyle w:val="Heading2"/>
      </w:pPr>
      <w:r>
        <w:t>Zorobabel</w:t>
      </w:r>
      <w:r/>
    </w:p>
    <w:p>
      <w:r/>
      <w:r>
        <w:t>Um homem judeu nascido na Babilônia. Ele retornou à Palestina em 538 a.C. para ser o governador de Jerusalém, nomeado pelos persas. Seu nome provavelmente significa "semente [descendente] da Babilônia", indicando seu local de nascimento na Babilônia.</w:t>
      </w:r>
    </w:p>
    <w:p>
      <w:r/>
      <w:r>
        <w:t>Há uma certa dúvida sobre quem foi o pai biológico de Zorobabel. A maioria das referências bíblicas identifica Sealtiel como seu pai (</w:t>
      </w:r>
      <w:hyperlink r:id="rId996">
        <w:r>
          <w:rPr>
            <w:color w:val="0000EE"/>
            <w:u w:val="single"/>
          </w:rPr>
          <w:t>Ed 3.2,8</w:t>
        </w:r>
      </w:hyperlink>
      <w:r>
        <w:t xml:space="preserve">; </w:t>
      </w:r>
      <w:hyperlink r:id="rId20782">
        <w:r>
          <w:rPr>
            <w:color w:val="0000EE"/>
            <w:u w:val="single"/>
          </w:rPr>
          <w:t>5.2</w:t>
        </w:r>
      </w:hyperlink>
      <w:r>
        <w:t xml:space="preserve">; </w:t>
      </w:r>
      <w:hyperlink r:id="rId20783">
        <w:r>
          <w:rPr>
            <w:color w:val="0000EE"/>
            <w:u w:val="single"/>
          </w:rPr>
          <w:t>Ne 12.1</w:t>
        </w:r>
      </w:hyperlink>
      <w:r>
        <w:t xml:space="preserve">; </w:t>
      </w:r>
      <w:hyperlink r:id="rId495">
        <w:r>
          <w:rPr>
            <w:color w:val="0000EE"/>
            <w:u w:val="single"/>
          </w:rPr>
          <w:t>Ag 1.1,12–14</w:t>
        </w:r>
      </w:hyperlink>
      <w:r>
        <w:t xml:space="preserve">; </w:t>
      </w:r>
      <w:hyperlink r:id="rId496">
        <w:r>
          <w:rPr>
            <w:color w:val="0000EE"/>
            <w:u w:val="single"/>
          </w:rPr>
          <w:t>2.2,23</w:t>
        </w:r>
      </w:hyperlink>
      <w:r>
        <w:t xml:space="preserve">; </w:t>
      </w:r>
      <w:hyperlink r:id="rId20784">
        <w:r>
          <w:rPr>
            <w:color w:val="0000EE"/>
            <w:u w:val="single"/>
          </w:rPr>
          <w:t>Mt 1.12–13</w:t>
        </w:r>
      </w:hyperlink>
      <w:r>
        <w:t xml:space="preserve">; </w:t>
      </w:r>
      <w:hyperlink r:id="rId557">
        <w:r>
          <w:rPr>
            <w:color w:val="0000EE"/>
            <w:u w:val="single"/>
          </w:rPr>
          <w:t>Lc 3.27</w:t>
        </w:r>
      </w:hyperlink>
      <w:r>
        <w:t xml:space="preserve">), fazendo de Zorobabel o neto do Rei Jeoaquim da linhagem davídica. No entanto, </w:t>
      </w:r>
      <w:hyperlink r:id="rId19330">
        <w:r>
          <w:rPr>
            <w:color w:val="0000EE"/>
            <w:u w:val="single"/>
          </w:rPr>
          <w:t xml:space="preserve">1Cr 3.19 </w:t>
        </w:r>
      </w:hyperlink>
      <w:r>
        <w:t>nomeia Pedaías, irmão de Sealtiel, como seu pai.</w:t>
      </w:r>
    </w:p>
    <w:p>
      <w:r/>
      <w:r>
        <w:t>Duas explicações possíveis foram sugeridas:</w:t>
      </w:r>
    </w:p>
    <w:p>
      <w:pPr>
        <w:pStyle w:val="ListNumber"/>
        <w:spacing w:line="240" w:lineRule="auto"/>
        <w:ind w:left="720"/>
      </w:pPr>
      <w:r/>
      <w:r>
        <w:t>Sealtiel morreu sem ter filhos, e Pedaías gerou Zorobabel com a viúva de Sealtiel, de acordo com a lei do casamento levirato, onde um irmão se casaria com a viúva de seu irmão falecido (</w:t>
      </w:r>
      <w:hyperlink r:id="rId4536">
        <w:r>
          <w:rPr>
            <w:color w:val="0000EE"/>
            <w:u w:val="single"/>
          </w:rPr>
          <w:t>Dt 25.5–10</w:t>
        </w:r>
      </w:hyperlink>
      <w:r>
        <w:t>). Nesse caso, Zorobabel seria listado como filho de Sealtiel para preservar sua linhagem. No entanto, o texto não apoia fortemente essa teoria. O cronista não menciona esse detalhe se era para esclarecer a paternidade de Zorobabel.</w:t>
      </w:r>
    </w:p>
    <w:p>
      <w:pPr>
        <w:pStyle w:val="ListNumber"/>
        <w:spacing w:line="240" w:lineRule="auto"/>
        <w:ind w:left="720"/>
      </w:pPr>
      <w:r/>
      <w:r>
        <w:t xml:space="preserve">A Septuaginta (a tradução grega da Bíblia Hebraica) lista Sealtiel como pai de Zorobabel em </w:t>
      </w:r>
      <w:hyperlink r:id="rId19330">
        <w:r>
          <w:rPr>
            <w:color w:val="0000EE"/>
            <w:u w:val="single"/>
          </w:rPr>
          <w:t>1Cr 3.19</w:t>
        </w:r>
      </w:hyperlink>
      <w:r>
        <w:t>. Isso está alinhado com as outras referências e pode resolver a discrepância.</w:t>
      </w:r>
    </w:p>
    <w:p>
      <w:r/>
      <w:r>
        <w:t>Zorobabel era de descendência davídica, fosse seu pai Sealtiel ou Pedaías. Ele era visto como um potencial líder para restaurar a comunidade israelita.</w:t>
      </w:r>
    </w:p>
    <w:p>
      <w:r/>
      <w:r>
        <w:t>Em 538 a.C., Ciro, o Grande, permitiu que os judeus retornassem para casa. Ele então nomeou Zorobabel como governador de Jerusalém. Por volta de 529–520 a.C., Zorobabel começou a trabalhar na reconstrução do Templo de Jerusalém. No entanto, o progresso foi lento devido a vários contratempos, e um avanço significativo só ocorreu em 520 a.C.</w:t>
      </w:r>
    </w:p>
    <w:p>
      <w:r/>
      <w:r>
        <w:t xml:space="preserve">Os profetas Ageu e Zacarias destacam o papel crucial de Zorobabel na comunidade. Eles viam Zorobabel e Jesua (o sumo sacerdote) como os líderes escolhidos por Deus para a tarefa de reconstrução. O apoio deles é evidente em seus escritos (e.g., </w:t>
      </w:r>
      <w:hyperlink r:id="rId20785">
        <w:r>
          <w:rPr>
            <w:color w:val="0000EE"/>
            <w:u w:val="single"/>
          </w:rPr>
          <w:t>Ag 2.21–23</w:t>
        </w:r>
      </w:hyperlink>
      <w:r>
        <w:t xml:space="preserve">; </w:t>
      </w:r>
      <w:hyperlink r:id="rId11678">
        <w:r>
          <w:rPr>
            <w:color w:val="0000EE"/>
            <w:u w:val="single"/>
          </w:rPr>
          <w:t>Zc 3.8</w:t>
        </w:r>
      </w:hyperlink>
      <w:r>
        <w:t xml:space="preserve">; </w:t>
      </w:r>
      <w:hyperlink r:id="rId20786">
        <w:r>
          <w:rPr>
            <w:color w:val="0000EE"/>
            <w:u w:val="single"/>
          </w:rPr>
          <w:t>4.6–7</w:t>
        </w:r>
      </w:hyperlink>
      <w:r>
        <w:t xml:space="preserve">; </w:t>
      </w:r>
      <w:hyperlink r:id="rId11679">
        <w:r>
          <w:rPr>
            <w:color w:val="0000EE"/>
            <w:u w:val="single"/>
          </w:rPr>
          <w:t>6.12</w:t>
        </w:r>
      </w:hyperlink>
      <w:r>
        <w:t>), onde o trabalho desses dois homens é retratado como tendo significado messiânico. Isso é claro na visão de Zacarias (</w:t>
      </w:r>
      <w:hyperlink r:id="rId20787">
        <w:r>
          <w:rPr>
            <w:color w:val="0000EE"/>
            <w:u w:val="single"/>
          </w:rPr>
          <w:t>Zc 4.11–14</w:t>
        </w:r>
      </w:hyperlink>
      <w:r>
        <w:t>). Dois ramos de oliveira ao lado do candelabro são "os dois ungidos que estão ao lado do Senhor de toda a terra". Estes são Jesua e Zorobabel.</w:t>
      </w:r>
    </w:p>
    <w:p>
      <w:r/>
      <w:r>
        <w:t>O trabalho de Zorobabel para reconstruir o Templo de Jerusalém lhe trouxe grande honra na tradição judaica. Alguns estudiosos acreditam que os persas poderiam ter conhecido Zorobabel como Sesbazar.</w:t>
      </w:r>
    </w:p>
    <w:p>
      <w:r/>
      <w:r>
        <w:rPr>
          <w:i/>
        </w:rPr>
        <w:t>Veja</w:t>
      </w:r>
      <w:r>
        <w:t xml:space="preserve"> </w:t>
      </w:r>
      <w:r>
        <w:t>Sesbazar</w:t>
      </w:r>
      <w:r>
        <w:t>.</w:t>
      </w:r>
      <w:r/>
      <w:r/>
    </w:p>
    <w:p>
      <w:r/>
    </w:p>
    <w:p>
      <w:pPr>
        <w:pStyle w:val="Heading2"/>
      </w:pPr>
      <w:r>
        <w:t>Zuar</w:t>
      </w:r>
      <w:r/>
    </w:p>
    <w:p>
      <w:r/>
      <w:r>
        <w:t>O pai de Natanael. Natanael era o líder da tribo de Issacar quando os israelitas começaram sua jornada pelo deserto após deixarem o Egito (</w:t>
      </w:r>
      <w:hyperlink r:id="rId15051">
        <w:r>
          <w:rPr>
            <w:color w:val="0000EE"/>
            <w:u w:val="single"/>
          </w:rPr>
          <w:t>Nm 1.8</w:t>
        </w:r>
      </w:hyperlink>
      <w:r>
        <w:t xml:space="preserve">; </w:t>
      </w:r>
      <w:hyperlink r:id="rId15052">
        <w:r>
          <w:rPr>
            <w:color w:val="0000EE"/>
            <w:u w:val="single"/>
          </w:rPr>
          <w:t>2.5</w:t>
        </w:r>
      </w:hyperlink>
      <w:r>
        <w:t xml:space="preserve">; </w:t>
      </w:r>
      <w:hyperlink r:id="rId15054">
        <w:r>
          <w:rPr>
            <w:color w:val="0000EE"/>
            <w:u w:val="single"/>
          </w:rPr>
          <w:t>7.18,23</w:t>
        </w:r>
      </w:hyperlink>
      <w:r>
        <w:t xml:space="preserve">; </w:t>
      </w:r>
      <w:hyperlink r:id="rId15053">
        <w:r>
          <w:rPr>
            <w:color w:val="0000EE"/>
            <w:u w:val="single"/>
          </w:rPr>
          <w:t>10.15</w:t>
        </w:r>
      </w:hyperlink>
      <w:r>
        <w:t>).</w:t>
      </w:r>
      <w:r/>
      <w:r/>
    </w:p>
    <w:p>
      <w:r/>
    </w:p>
    <w:p>
      <w:pPr>
        <w:pStyle w:val="Heading2"/>
      </w:pPr>
      <w:r>
        <w:t>Zur</w:t>
      </w:r>
      <w:r/>
    </w:p>
    <w:p>
      <w:pPr>
        <w:pStyle w:val="ListNumber"/>
        <w:spacing w:line="240" w:lineRule="auto"/>
        <w:ind w:left="720"/>
      </w:pPr>
      <w:r/>
      <w:r>
        <w:t>Um príncipe de Midiã e pai de Cosbi, uma mulher midianita que foi morta por Fineias. Cosbi estava em um relacionamento impróprio com Zinri, um homem israelita, durante o incidente em Baal-Peor (</w:t>
      </w:r>
      <w:hyperlink r:id="rId20788">
        <w:r>
          <w:rPr>
            <w:color w:val="0000EE"/>
            <w:u w:val="single"/>
          </w:rPr>
          <w:t>Nm 25.15</w:t>
        </w:r>
      </w:hyperlink>
      <w:r>
        <w:t>). Zur foi posteriormente morto pelos israelitas, junto com outros quatro reis midianitas e Balaão, como parte do julgamento de Deus sobre Midiã (</w:t>
      </w:r>
      <w:hyperlink r:id="rId2977">
        <w:r>
          <w:rPr>
            <w:color w:val="0000EE"/>
            <w:u w:val="single"/>
          </w:rPr>
          <w:t>31.8</w:t>
        </w:r>
      </w:hyperlink>
      <w:r>
        <w:t>). Ele parece ter estado sob a autoridade de Seom, o rei amorita, já que é listado como um dos "príncipes" de Seom (</w:t>
      </w:r>
      <w:hyperlink r:id="rId8797">
        <w:r>
          <w:rPr>
            <w:color w:val="0000EE"/>
            <w:u w:val="single"/>
          </w:rPr>
          <w:t>Js 13.21</w:t>
        </w:r>
      </w:hyperlink>
      <w:r>
        <w:t>).</w:t>
      </w:r>
    </w:p>
    <w:p>
      <w:pPr>
        <w:pStyle w:val="ListNumber"/>
        <w:spacing w:line="240" w:lineRule="auto"/>
        <w:ind w:left="720"/>
      </w:pPr>
      <w:r/>
      <w:r>
        <w:t>Um filho de Jeiel, que estabeleceu a cidade de Gibeão (</w:t>
      </w:r>
      <w:hyperlink r:id="rId15023">
        <w:r>
          <w:rPr>
            <w:color w:val="0000EE"/>
            <w:u w:val="single"/>
          </w:rPr>
          <w:t>1Cr 8.30</w:t>
        </w:r>
      </w:hyperlink>
      <w:r>
        <w:t xml:space="preserve">; </w:t>
      </w:r>
      <w:hyperlink r:id="rId15024">
        <w:r>
          <w:rPr>
            <w:color w:val="0000EE"/>
            <w:u w:val="single"/>
          </w:rPr>
          <w:t>9.36</w:t>
        </w:r>
      </w:hyperlink>
      <w:r>
        <w:t>). Ele era da tribo de Benjamim e um parente distante do rei Saul.</w:t>
      </w:r>
      <w:r/>
      <w:r/>
    </w:p>
    <w:p>
      <w:r/>
    </w:p>
    <w:p>
      <w:pPr>
        <w:pStyle w:val="Heading2"/>
      </w:pPr>
      <w:r>
        <w:t>Zuriel</w:t>
      </w:r>
      <w:r/>
    </w:p>
    <w:p>
      <w:r/>
      <w:r>
        <w:t>O filho de Abiail e o chefe do grupo de famílias de Merari de levitas durante as peregrinações no deserto de Israel (</w:t>
      </w:r>
      <w:hyperlink r:id="rId57">
        <w:r>
          <w:rPr>
            <w:color w:val="0000EE"/>
            <w:u w:val="single"/>
          </w:rPr>
          <w:t>Nm 3.35</w:t>
        </w:r>
      </w:hyperlink>
      <w:r>
        <w:t>).</w:t>
      </w:r>
      <w:r/>
      <w:r/>
    </w:p>
    <w:p>
      <w:r/>
    </w:p>
    <w:p>
      <w:pPr>
        <w:pStyle w:val="Heading2"/>
      </w:pPr>
      <w:r>
        <w:t>Zurisadai</w:t>
      </w:r>
      <w:r/>
    </w:p>
    <w:p>
      <w:r/>
      <w:r>
        <w:t>O pai de Selumiel. Selumiel era o líder da tribo de Simeão quando os israelitas começaram sua jornada pelo deserto após deixarem o Egito (</w:t>
      </w:r>
      <w:hyperlink r:id="rId19333">
        <w:r>
          <w:rPr>
            <w:color w:val="0000EE"/>
            <w:u w:val="single"/>
          </w:rPr>
          <w:t>Nm 1.6</w:t>
        </w:r>
      </w:hyperlink>
      <w:r>
        <w:t xml:space="preserve">; </w:t>
      </w:r>
      <w:hyperlink r:id="rId19334">
        <w:r>
          <w:rPr>
            <w:color w:val="0000EE"/>
            <w:u w:val="single"/>
          </w:rPr>
          <w:t>2.12</w:t>
        </w:r>
      </w:hyperlink>
      <w:r>
        <w:t xml:space="preserve">; </w:t>
      </w:r>
      <w:hyperlink r:id="rId19335">
        <w:r>
          <w:rPr>
            <w:color w:val="0000EE"/>
            <w:u w:val="single"/>
          </w:rPr>
          <w:t>7.36,41</w:t>
        </w:r>
      </w:hyperlink>
      <w:r>
        <w:t xml:space="preserve">; </w:t>
      </w:r>
      <w:hyperlink r:id="rId19336">
        <w:r>
          <w:rPr>
            <w:color w:val="0000EE"/>
            <w:u w:val="single"/>
          </w:rPr>
          <w:t>10.19</w:t>
        </w:r>
      </w:hyperlink>
      <w:r>
        <w:t>).</w:t>
      </w:r>
      <w:r/>
      <w:r/>
    </w:p>
    <w:p>
      <w:r/>
    </w:p>
    <w:p>
      <w:pPr>
        <w:pStyle w:val="Heading2"/>
      </w:pPr>
      <w:r>
        <w:t>Zuzins, Zuzitas</w:t>
      </w:r>
      <w:r/>
    </w:p>
    <w:p>
      <w:r/>
      <w:r>
        <w:t>Um dos reinos atacados e derrotados pela confederação de Quedorlaomer (</w:t>
      </w:r>
      <w:hyperlink r:id="rId1114">
        <w:r>
          <w:rPr>
            <w:color w:val="0000EE"/>
            <w:u w:val="single"/>
          </w:rPr>
          <w:t>Gn 14.5</w:t>
        </w:r>
      </w:hyperlink>
      <w:r>
        <w:t xml:space="preserve">), mencionado como residentes de Hã. Eles provavelmente estavam localizados em algum lugar ao norte do Rio Arnom, já que o caminho geral de Quedorlaomer era de norte a sul ao longo da Estrada do Rei. Possivelmente, esses zuzitas estão associados aos zanzumins de </w:t>
      </w:r>
      <w:hyperlink r:id="rId9940">
        <w:r>
          <w:rPr>
            <w:color w:val="0000EE"/>
            <w:u w:val="single"/>
          </w:rPr>
          <w:t>Deuteronômio 2.20</w:t>
        </w:r>
      </w:hyperlink>
      <w:r>
        <w:t>, já que ambos estão ligados à mesma proximidade geográfica. Além disso, ambas as passagens falam deles em conexão com raças de gigantes, incluindo os horeus, os emins e os refains.</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tyndaleopenresources.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Num5:11-Num5:31" TargetMode="External"/><Relationship Id="rId16" Type="http://schemas.openxmlformats.org/officeDocument/2006/relationships/hyperlink" Target="https://ref.ly/Num5:11-Num5:14" TargetMode="External"/><Relationship Id="rId17" Type="http://schemas.openxmlformats.org/officeDocument/2006/relationships/hyperlink" Target="https://ref.ly/Num5:15" TargetMode="External"/><Relationship Id="rId18" Type="http://schemas.openxmlformats.org/officeDocument/2006/relationships/hyperlink" Target="https://ref.ly/Lev2:1-Lev2:16" TargetMode="External"/><Relationship Id="rId19" Type="http://schemas.openxmlformats.org/officeDocument/2006/relationships/hyperlink" Target="https://ref.ly/Lev5:11" TargetMode="External"/><Relationship Id="rId20" Type="http://schemas.openxmlformats.org/officeDocument/2006/relationships/hyperlink" Target="https://ref.ly/Num5:16-Num5:18" TargetMode="External"/><Relationship Id="rId21" Type="http://schemas.openxmlformats.org/officeDocument/2006/relationships/hyperlink" Target="https://ref.ly/Num5:19-Num5:22" TargetMode="External"/><Relationship Id="rId22" Type="http://schemas.openxmlformats.org/officeDocument/2006/relationships/hyperlink" Target="https://ref.ly/Num5:23-Num5:26" TargetMode="External"/><Relationship Id="rId23" Type="http://schemas.openxmlformats.org/officeDocument/2006/relationships/hyperlink" Target="https://ref.ly/Num5:27" TargetMode="External"/><Relationship Id="rId24" Type="http://schemas.openxmlformats.org/officeDocument/2006/relationships/hyperlink" Target="https://ref.ly/Gen27:6-Gen27:40" TargetMode="External"/><Relationship Id="rId25" Type="http://schemas.openxmlformats.org/officeDocument/2006/relationships/hyperlink" Target="https://ref.ly/Gen27:41" TargetMode="External"/><Relationship Id="rId26" Type="http://schemas.openxmlformats.org/officeDocument/2006/relationships/hyperlink" Target="https://ref.ly/Gen28:10-Gen28:22" TargetMode="External"/><Relationship Id="rId27" Type="http://schemas.openxmlformats.org/officeDocument/2006/relationships/hyperlink" Target="https://ref.ly/Gen12:2-Gen12:3,Gen12:7" TargetMode="External"/><Relationship Id="rId28" Type="http://schemas.openxmlformats.org/officeDocument/2006/relationships/hyperlink" Target="https://ref.ly/Gen26:3-Gen26:5" TargetMode="External"/><Relationship Id="rId29" Type="http://schemas.openxmlformats.org/officeDocument/2006/relationships/hyperlink" Target="https://ref.ly/John1:50" TargetMode="External"/><Relationship Id="rId30" Type="http://schemas.openxmlformats.org/officeDocument/2006/relationships/hyperlink" Target="https://ref.ly/Job26:6" TargetMode="External"/><Relationship Id="rId31" Type="http://schemas.openxmlformats.org/officeDocument/2006/relationships/hyperlink" Target="https://ref.ly/Job28:22" TargetMode="External"/><Relationship Id="rId32" Type="http://schemas.openxmlformats.org/officeDocument/2006/relationships/hyperlink" Target="https://ref.ly/Job31:12" TargetMode="External"/><Relationship Id="rId33" Type="http://schemas.openxmlformats.org/officeDocument/2006/relationships/hyperlink" Target="https://ref.ly/Ps88:11" TargetMode="External"/><Relationship Id="rId34" Type="http://schemas.openxmlformats.org/officeDocument/2006/relationships/hyperlink" Target="https://ref.ly/Prov15:11" TargetMode="External"/><Relationship Id="rId35" Type="http://schemas.openxmlformats.org/officeDocument/2006/relationships/hyperlink" Target="https://ref.ly/Prov27:20" TargetMode="External"/><Relationship Id="rId36" Type="http://schemas.openxmlformats.org/officeDocument/2006/relationships/hyperlink" Target="https://ref.ly/Rev9:11" TargetMode="External"/><Relationship Id="rId37" Type="http://schemas.openxmlformats.org/officeDocument/2006/relationships/hyperlink" Target="https://ref.ly/Rev9:1" TargetMode="External"/><Relationship Id="rId38" Type="http://schemas.openxmlformats.org/officeDocument/2006/relationships/hyperlink" Target="https://ref.ly/Deut32:48-Deut32:50" TargetMode="External"/><Relationship Id="rId39" Type="http://schemas.openxmlformats.org/officeDocument/2006/relationships/hyperlink" Target="https://ref.ly/Deut34:1-Deut34:6" TargetMode="External"/><Relationship Id="rId40" Type="http://schemas.openxmlformats.org/officeDocument/2006/relationships/hyperlink" Target="https://ref.ly/Gen4:2" TargetMode="External"/><Relationship Id="rId41" Type="http://schemas.openxmlformats.org/officeDocument/2006/relationships/hyperlink" Target="https://ref.ly/Gen4:7" TargetMode="External"/><Relationship Id="rId42" Type="http://schemas.openxmlformats.org/officeDocument/2006/relationships/hyperlink" Target="https://ref.ly/Matt23:35" TargetMode="External"/><Relationship Id="rId43" Type="http://schemas.openxmlformats.org/officeDocument/2006/relationships/hyperlink" Target="https://ref.ly/Luke11:51" TargetMode="External"/><Relationship Id="rId44" Type="http://schemas.openxmlformats.org/officeDocument/2006/relationships/hyperlink" Target="https://ref.ly/Heb11:4" TargetMode="External"/><Relationship Id="rId45" Type="http://schemas.openxmlformats.org/officeDocument/2006/relationships/hyperlink" Target="https://ref.ly/Gen50:11" TargetMode="External"/><Relationship Id="rId46" Type="http://schemas.openxmlformats.org/officeDocument/2006/relationships/hyperlink" Target="https://ref.ly/Num33:49" TargetMode="External"/><Relationship Id="rId47" Type="http://schemas.openxmlformats.org/officeDocument/2006/relationships/hyperlink" Target="https://ref.ly/Gen27:27-Gen27:29" TargetMode="External"/><Relationship Id="rId48" Type="http://schemas.openxmlformats.org/officeDocument/2006/relationships/hyperlink" Target="https://ref.ly/Num6:22-Num6:27" TargetMode="External"/><Relationship Id="rId49" Type="http://schemas.openxmlformats.org/officeDocument/2006/relationships/hyperlink" Target="https://ref.ly/Luke24:50" TargetMode="External"/><Relationship Id="rId50" Type="http://schemas.openxmlformats.org/officeDocument/2006/relationships/hyperlink" Target="https://ref.ly/2Cor13:11" TargetMode="External"/><Relationship Id="rId51" Type="http://schemas.openxmlformats.org/officeDocument/2006/relationships/hyperlink" Target="https://ref.ly/Phil4:7" TargetMode="External"/><Relationship Id="rId52" Type="http://schemas.openxmlformats.org/officeDocument/2006/relationships/hyperlink" Target="https://ref.ly/2Thess2:16-2Thess2:17" TargetMode="External"/><Relationship Id="rId53" Type="http://schemas.openxmlformats.org/officeDocument/2006/relationships/hyperlink" Target="https://ref.ly/Heb13:20-Heb13:21" TargetMode="External"/><Relationship Id="rId54" Type="http://schemas.openxmlformats.org/officeDocument/2006/relationships/hyperlink" Target="https://ref.ly/Matt14:19" TargetMode="External"/><Relationship Id="rId55" Type="http://schemas.openxmlformats.org/officeDocument/2006/relationships/hyperlink" Target="https://ref.ly/Mark8:7" TargetMode="External"/><Relationship Id="rId56" Type="http://schemas.openxmlformats.org/officeDocument/2006/relationships/hyperlink" Target="https://ref.ly/Luke24:30" TargetMode="External"/><Relationship Id="rId57" Type="http://schemas.openxmlformats.org/officeDocument/2006/relationships/hyperlink" Target="https://ref.ly/Num3:35" TargetMode="External"/><Relationship Id="rId58" Type="http://schemas.openxmlformats.org/officeDocument/2006/relationships/hyperlink" Target="https://ref.ly/1Chr2:29" TargetMode="External"/><Relationship Id="rId59" Type="http://schemas.openxmlformats.org/officeDocument/2006/relationships/hyperlink" Target="https://ref.ly/1Chr5:14" TargetMode="External"/><Relationship Id="rId60" Type="http://schemas.openxmlformats.org/officeDocument/2006/relationships/hyperlink" Target="https://ref.ly/2Chr11:18" TargetMode="External"/><Relationship Id="rId61" Type="http://schemas.openxmlformats.org/officeDocument/2006/relationships/hyperlink" Target="https://ref.ly/Esth2:15" TargetMode="External"/><Relationship Id="rId62" Type="http://schemas.openxmlformats.org/officeDocument/2006/relationships/hyperlink" Target="https://ref.ly/Esth9:29" TargetMode="External"/><Relationship Id="rId63" Type="http://schemas.openxmlformats.org/officeDocument/2006/relationships/hyperlink" Target="https://ref.ly/Exod6:24" TargetMode="External"/><Relationship Id="rId64" Type="http://schemas.openxmlformats.org/officeDocument/2006/relationships/hyperlink" Target="https://ref.ly/1Sam21:1-1Sam22:23" TargetMode="External"/><Relationship Id="rId65" Type="http://schemas.openxmlformats.org/officeDocument/2006/relationships/hyperlink" Target="https://ref.ly/1Sam23:6" TargetMode="External"/><Relationship Id="rId66" Type="http://schemas.openxmlformats.org/officeDocument/2006/relationships/hyperlink" Target="https://ref.ly/1Sam30:7-1Sam30:8" TargetMode="External"/><Relationship Id="rId67" Type="http://schemas.openxmlformats.org/officeDocument/2006/relationships/hyperlink" Target="https://ref.ly/1Kgs1:5-1Kgs1:7" TargetMode="External"/><Relationship Id="rId68" Type="http://schemas.openxmlformats.org/officeDocument/2006/relationships/hyperlink" Target="https://ref.ly/1Kgs2:26-1Kgs2:27" TargetMode="External"/><Relationship Id="rId69" Type="http://schemas.openxmlformats.org/officeDocument/2006/relationships/hyperlink" Target="https://ref.ly/1Sam22:20" TargetMode="External"/><Relationship Id="rId70" Type="http://schemas.openxmlformats.org/officeDocument/2006/relationships/hyperlink" Target="https://ref.ly/2Sam8:17" TargetMode="External"/><Relationship Id="rId71" Type="http://schemas.openxmlformats.org/officeDocument/2006/relationships/hyperlink" Target="https://ref.ly/1Chr18:16" TargetMode="External"/><Relationship Id="rId72" Type="http://schemas.openxmlformats.org/officeDocument/2006/relationships/hyperlink" Target="https://ref.ly/1Chr24:6" TargetMode="External"/><Relationship Id="rId73" Type="http://schemas.openxmlformats.org/officeDocument/2006/relationships/hyperlink" Target="https://ref.ly/Mark2:26" TargetMode="External"/><Relationship Id="rId74" Type="http://schemas.openxmlformats.org/officeDocument/2006/relationships/hyperlink" Target="https://ref.ly/1Sam21:1-1Sam21:2" TargetMode="External"/><Relationship Id="rId75" Type="http://schemas.openxmlformats.org/officeDocument/2006/relationships/hyperlink" Target="https://ref.ly/Gen25:2,Gen25:4" TargetMode="External"/><Relationship Id="rId76" Type="http://schemas.openxmlformats.org/officeDocument/2006/relationships/hyperlink" Target="https://ref.ly/1Chr1:33" TargetMode="External"/><Relationship Id="rId77" Type="http://schemas.openxmlformats.org/officeDocument/2006/relationships/hyperlink" Target="https://ref.ly/Num1:11" TargetMode="External"/><Relationship Id="rId78" Type="http://schemas.openxmlformats.org/officeDocument/2006/relationships/hyperlink" Target="https://ref.ly/Num2:22" TargetMode="External"/><Relationship Id="rId79" Type="http://schemas.openxmlformats.org/officeDocument/2006/relationships/hyperlink" Target="https://ref.ly/Num7:60-Num7:65" TargetMode="External"/><Relationship Id="rId80" Type="http://schemas.openxmlformats.org/officeDocument/2006/relationships/hyperlink" Target="https://ref.ly/Josh17:1-Josh17:2" TargetMode="External"/><Relationship Id="rId81" Type="http://schemas.openxmlformats.org/officeDocument/2006/relationships/hyperlink" Target="https://ref.ly/1Chr7:18" TargetMode="External"/><Relationship Id="rId82" Type="http://schemas.openxmlformats.org/officeDocument/2006/relationships/hyperlink" Target="https://ref.ly/Num26:30" TargetMode="External"/><Relationship Id="rId83" Type="http://schemas.openxmlformats.org/officeDocument/2006/relationships/hyperlink" Target="https://ref.ly/Judg6:34" TargetMode="External"/><Relationship Id="rId84" Type="http://schemas.openxmlformats.org/officeDocument/2006/relationships/hyperlink" Target="https://ref.ly/Judg6:11,Judg6:24,Judg6:34" TargetMode="External"/><Relationship Id="rId85" Type="http://schemas.openxmlformats.org/officeDocument/2006/relationships/hyperlink" Target="https://ref.ly/Judg8:32" TargetMode="External"/><Relationship Id="rId86" Type="http://schemas.openxmlformats.org/officeDocument/2006/relationships/hyperlink" Target="https://ref.ly/2Sam23:27" TargetMode="External"/><Relationship Id="rId87" Type="http://schemas.openxmlformats.org/officeDocument/2006/relationships/hyperlink" Target="https://ref.ly/1Chr11:28" TargetMode="External"/><Relationship Id="rId88" Type="http://schemas.openxmlformats.org/officeDocument/2006/relationships/hyperlink" Target="https://ref.ly/1Chr27:12" TargetMode="External"/><Relationship Id="rId89" Type="http://schemas.openxmlformats.org/officeDocument/2006/relationships/hyperlink" Target="https://ref.ly/Gen10:28" TargetMode="External"/><Relationship Id="rId90" Type="http://schemas.openxmlformats.org/officeDocument/2006/relationships/hyperlink" Target="https://ref.ly/1Chr1:22" TargetMode="External"/><Relationship Id="rId91" Type="http://schemas.openxmlformats.org/officeDocument/2006/relationships/hyperlink" Target="https://ref.ly/Gen20:1-Gen20:18" TargetMode="External"/><Relationship Id="rId92" Type="http://schemas.openxmlformats.org/officeDocument/2006/relationships/hyperlink" Target="https://ref.ly/Gen12:10-Gen12:20" TargetMode="External"/><Relationship Id="rId93" Type="http://schemas.openxmlformats.org/officeDocument/2006/relationships/hyperlink" Target="https://ref.ly/Gen21:22-Gen21:34" TargetMode="External"/><Relationship Id="rId94" Type="http://schemas.openxmlformats.org/officeDocument/2006/relationships/hyperlink" Target="https://ref.ly/Gen26:1-Gen26:11" TargetMode="External"/><Relationship Id="rId95" Type="http://schemas.openxmlformats.org/officeDocument/2006/relationships/hyperlink" Target="https://ref.ly/Gen26:12-Gen26:22" TargetMode="External"/><Relationship Id="rId96" Type="http://schemas.openxmlformats.org/officeDocument/2006/relationships/hyperlink" Target="https://ref.ly/Gen26:26-Gen26:33" TargetMode="External"/><Relationship Id="rId97" Type="http://schemas.openxmlformats.org/officeDocument/2006/relationships/hyperlink" Target="https://ref.ly/Judg8:31" TargetMode="External"/><Relationship Id="rId98" Type="http://schemas.openxmlformats.org/officeDocument/2006/relationships/hyperlink" Target="https://ref.ly/Judg9:1-Judg9:5" TargetMode="External"/><Relationship Id="rId99" Type="http://schemas.openxmlformats.org/officeDocument/2006/relationships/hyperlink" Target="https://ref.ly/Judg9:22-Judg9:49" TargetMode="External"/><Relationship Id="rId100" Type="http://schemas.openxmlformats.org/officeDocument/2006/relationships/hyperlink" Target="https://ref.ly/Judg9:53-Judg9:57" TargetMode="External"/><Relationship Id="rId101" Type="http://schemas.openxmlformats.org/officeDocument/2006/relationships/hyperlink" Target="https://ref.ly/1Sam21:10-1Sam21:15" TargetMode="External"/><Relationship Id="rId102" Type="http://schemas.openxmlformats.org/officeDocument/2006/relationships/hyperlink" Target="https://ref.ly/Num16:1-Num16:33" TargetMode="External"/><Relationship Id="rId103" Type="http://schemas.openxmlformats.org/officeDocument/2006/relationships/hyperlink" Target="https://ref.ly/1Kgs16:34" TargetMode="External"/><Relationship Id="rId104" Type="http://schemas.openxmlformats.org/officeDocument/2006/relationships/hyperlink" Target="https://ref.ly/Josh6:26" TargetMode="External"/><Relationship Id="rId105" Type="http://schemas.openxmlformats.org/officeDocument/2006/relationships/hyperlink" Target="https://ref.ly/Gen1:2" TargetMode="External"/><Relationship Id="rId106" Type="http://schemas.openxmlformats.org/officeDocument/2006/relationships/hyperlink" Target="https://ref.ly/Ps33:7" TargetMode="External"/><Relationship Id="rId107" Type="http://schemas.openxmlformats.org/officeDocument/2006/relationships/hyperlink" Target="https://ref.ly/Ps77:16" TargetMode="External"/><Relationship Id="rId108" Type="http://schemas.openxmlformats.org/officeDocument/2006/relationships/hyperlink" Target="https://ref.ly/Ps71:20" TargetMode="External"/><Relationship Id="rId109" Type="http://schemas.openxmlformats.org/officeDocument/2006/relationships/hyperlink" Target="https://ref.ly/Luke8:31" TargetMode="External"/><Relationship Id="rId110" Type="http://schemas.openxmlformats.org/officeDocument/2006/relationships/hyperlink" Target="https://ref.ly/2Pet2:4" TargetMode="External"/><Relationship Id="rId111" Type="http://schemas.openxmlformats.org/officeDocument/2006/relationships/hyperlink" Target="https://ref.ly/Jude1:6" TargetMode="External"/><Relationship Id="rId112" Type="http://schemas.openxmlformats.org/officeDocument/2006/relationships/hyperlink" Target="https://ref.ly/1Pet3:19" TargetMode="External"/><Relationship Id="rId113" Type="http://schemas.openxmlformats.org/officeDocument/2006/relationships/hyperlink" Target="https://ref.ly/1Pet4:6" TargetMode="External"/><Relationship Id="rId114" Type="http://schemas.openxmlformats.org/officeDocument/2006/relationships/hyperlink" Target="https://ref.ly/Rom10:7" TargetMode="External"/><Relationship Id="rId115" Type="http://schemas.openxmlformats.org/officeDocument/2006/relationships/hyperlink" Target="https://ref.ly/Deut30:12-Deut30:13" TargetMode="External"/><Relationship Id="rId116" Type="http://schemas.openxmlformats.org/officeDocument/2006/relationships/hyperlink" Target="https://ref.ly/Rev9:1-Rev9:11" TargetMode="External"/><Relationship Id="rId117" Type="http://schemas.openxmlformats.org/officeDocument/2006/relationships/hyperlink" Target="https://ref.ly/Rev11:7" TargetMode="External"/><Relationship Id="rId118" Type="http://schemas.openxmlformats.org/officeDocument/2006/relationships/hyperlink" Target="https://ref.ly/Rev17:8" TargetMode="External"/><Relationship Id="rId119" Type="http://schemas.openxmlformats.org/officeDocument/2006/relationships/hyperlink" Target="https://ref.ly/Rev20:1,Rev20:3" TargetMode="External"/><Relationship Id="rId120" Type="http://schemas.openxmlformats.org/officeDocument/2006/relationships/hyperlink" Target="https://ref.ly/Rev20:2-Rev20:3" TargetMode="External"/><Relationship Id="rId121" Type="http://schemas.openxmlformats.org/officeDocument/2006/relationships/hyperlink" Target="https://ref.ly/Rev9:2" TargetMode="External"/><Relationship Id="rId122" Type="http://schemas.openxmlformats.org/officeDocument/2006/relationships/hyperlink" Target="https://ref.ly/Rev20:10-Rev20:15" TargetMode="External"/><Relationship Id="rId123" Type="http://schemas.openxmlformats.org/officeDocument/2006/relationships/hyperlink" Target="https://ref.ly/Rev12:9" TargetMode="External"/><Relationship Id="rId124" Type="http://schemas.openxmlformats.org/officeDocument/2006/relationships/hyperlink" Target="https://ref.ly/Exod6:23" TargetMode="External"/><Relationship Id="rId125" Type="http://schemas.openxmlformats.org/officeDocument/2006/relationships/hyperlink" Target="https://ref.ly/Num26:60" TargetMode="External"/><Relationship Id="rId126" Type="http://schemas.openxmlformats.org/officeDocument/2006/relationships/hyperlink" Target="https://ref.ly/1Chr6:3" TargetMode="External"/><Relationship Id="rId127" Type="http://schemas.openxmlformats.org/officeDocument/2006/relationships/hyperlink" Target="https://ref.ly/Exod24:1-Exod24:11" TargetMode="External"/><Relationship Id="rId128" Type="http://schemas.openxmlformats.org/officeDocument/2006/relationships/hyperlink" Target="https://ref.ly/Exod28:1" TargetMode="External"/><Relationship Id="rId129" Type="http://schemas.openxmlformats.org/officeDocument/2006/relationships/hyperlink" Target="https://ref.ly/Lev10:1" TargetMode="External"/><Relationship Id="rId130" Type="http://schemas.openxmlformats.org/officeDocument/2006/relationships/hyperlink" Target="https://ref.ly/Num3:2-Num3:4" TargetMode="External"/><Relationship Id="rId131" Type="http://schemas.openxmlformats.org/officeDocument/2006/relationships/hyperlink" Target="https://ref.ly/Num26:61" TargetMode="External"/><Relationship Id="rId132" Type="http://schemas.openxmlformats.org/officeDocument/2006/relationships/hyperlink" Target="https://ref.ly/1Chr24:1-1Chr24:2" TargetMode="External"/><Relationship Id="rId133" Type="http://schemas.openxmlformats.org/officeDocument/2006/relationships/hyperlink" Target="https://ref.ly/Deut17:1" TargetMode="External"/><Relationship Id="rId134" Type="http://schemas.openxmlformats.org/officeDocument/2006/relationships/hyperlink" Target="https://ref.ly/Deut18:12" TargetMode="External"/><Relationship Id="rId135" Type="http://schemas.openxmlformats.org/officeDocument/2006/relationships/hyperlink" Target="https://ref.ly/2Kgs16:3" TargetMode="External"/><Relationship Id="rId136" Type="http://schemas.openxmlformats.org/officeDocument/2006/relationships/hyperlink" Target="https://ref.ly/Lev11:10-Lev11:13" TargetMode="External"/><Relationship Id="rId137" Type="http://schemas.openxmlformats.org/officeDocument/2006/relationships/hyperlink" Target="https://ref.ly/Lev7:18" TargetMode="External"/><Relationship Id="rId138" Type="http://schemas.openxmlformats.org/officeDocument/2006/relationships/hyperlink" Target="https://ref.ly/Jer4:1" TargetMode="External"/><Relationship Id="rId139" Type="http://schemas.openxmlformats.org/officeDocument/2006/relationships/hyperlink" Target="https://ref.ly/Jer7:30" TargetMode="External"/><Relationship Id="rId140" Type="http://schemas.openxmlformats.org/officeDocument/2006/relationships/hyperlink" Target="https://ref.ly/Luke16:15" TargetMode="External"/><Relationship Id="rId141" Type="http://schemas.openxmlformats.org/officeDocument/2006/relationships/hyperlink" Target="https://ref.ly/Rom2:22" TargetMode="External"/><Relationship Id="rId142" Type="http://schemas.openxmlformats.org/officeDocument/2006/relationships/hyperlink" Target="https://ref.ly/Titus1:16" TargetMode="External"/><Relationship Id="rId143" Type="http://schemas.openxmlformats.org/officeDocument/2006/relationships/hyperlink" Target="https://ref.ly/Rev17:4-Rev17:5" TargetMode="External"/><Relationship Id="rId144" Type="http://schemas.openxmlformats.org/officeDocument/2006/relationships/hyperlink" Target="https://ref.ly/Rev21:8" TargetMode="External"/><Relationship Id="rId145" Type="http://schemas.openxmlformats.org/officeDocument/2006/relationships/hyperlink" Target="https://ref.ly/Gen31:38" TargetMode="External"/><Relationship Id="rId146" Type="http://schemas.openxmlformats.org/officeDocument/2006/relationships/hyperlink" Target="https://ref.ly/Job3:16" TargetMode="External"/><Relationship Id="rId147" Type="http://schemas.openxmlformats.org/officeDocument/2006/relationships/hyperlink" Target="https://ref.ly/Job21:10" TargetMode="External"/><Relationship Id="rId148" Type="http://schemas.openxmlformats.org/officeDocument/2006/relationships/hyperlink" Target="https://ref.ly/Hos9:14" TargetMode="External"/><Relationship Id="rId149" Type="http://schemas.openxmlformats.org/officeDocument/2006/relationships/hyperlink" Target="https://ref.ly/Exod23:26" TargetMode="External"/><Relationship Id="rId150" Type="http://schemas.openxmlformats.org/officeDocument/2006/relationships/hyperlink" Target="https://ref.ly/Ps58:8" TargetMode="External"/><Relationship Id="rId151" Type="http://schemas.openxmlformats.org/officeDocument/2006/relationships/hyperlink" Target="https://ref.ly/Exod21:22" TargetMode="External"/><Relationship Id="rId152" Type="http://schemas.openxmlformats.org/officeDocument/2006/relationships/hyperlink" Target="https://ref.ly/Num5:1-Num5:31" TargetMode="External"/><Relationship Id="rId153" Type="http://schemas.openxmlformats.org/officeDocument/2006/relationships/hyperlink" Target="https://ref.ly/1Cor15:8" TargetMode="External"/><Relationship Id="rId154" Type="http://schemas.openxmlformats.org/officeDocument/2006/relationships/hyperlink" Target="https://ref.ly/Gen17:5" TargetMode="External"/><Relationship Id="rId155" Type="http://schemas.openxmlformats.org/officeDocument/2006/relationships/hyperlink" Target="https://ref.ly/Gen11:30" TargetMode="External"/><Relationship Id="rId156" Type="http://schemas.openxmlformats.org/officeDocument/2006/relationships/hyperlink" Target="https://ref.ly/Gen17:1-Gen17:4" TargetMode="External"/><Relationship Id="rId157" Type="http://schemas.openxmlformats.org/officeDocument/2006/relationships/hyperlink" Target="https://ref.ly/Gen17:17" TargetMode="External"/><Relationship Id="rId158" Type="http://schemas.openxmlformats.org/officeDocument/2006/relationships/hyperlink" Target="https://ref.ly/Gen11:1-Gen11:32" TargetMode="External"/><Relationship Id="rId159" Type="http://schemas.openxmlformats.org/officeDocument/2006/relationships/hyperlink" Target="https://ref.ly/Gen11:26-Gen11:32" TargetMode="External"/><Relationship Id="rId160" Type="http://schemas.openxmlformats.org/officeDocument/2006/relationships/hyperlink" Target="https://ref.ly/Gen11:31" TargetMode="External"/><Relationship Id="rId161" Type="http://schemas.openxmlformats.org/officeDocument/2006/relationships/hyperlink" Target="https://ref.ly/Acts7:2-Acts7:4" TargetMode="External"/><Relationship Id="rId162" Type="http://schemas.openxmlformats.org/officeDocument/2006/relationships/hyperlink" Target="https://ref.ly/Gen12:1-Gen12:3" TargetMode="External"/><Relationship Id="rId163" Type="http://schemas.openxmlformats.org/officeDocument/2006/relationships/hyperlink" Target="https://ref.ly/Gen12:7" TargetMode="External"/><Relationship Id="rId164" Type="http://schemas.openxmlformats.org/officeDocument/2006/relationships/hyperlink" Target="https://ref.ly/Gen12:8" TargetMode="External"/><Relationship Id="rId165" Type="http://schemas.openxmlformats.org/officeDocument/2006/relationships/hyperlink" Target="https://ref.ly/Gen15:1" TargetMode="External"/><Relationship Id="rId166" Type="http://schemas.openxmlformats.org/officeDocument/2006/relationships/hyperlink" Target="https://ref.ly/Gen15:2" TargetMode="External"/><Relationship Id="rId167" Type="http://schemas.openxmlformats.org/officeDocument/2006/relationships/hyperlink" Target="https://ref.ly/Gen15:4" TargetMode="External"/><Relationship Id="rId168" Type="http://schemas.openxmlformats.org/officeDocument/2006/relationships/hyperlink" Target="https://ref.ly/Gen17:1-Gen17:27" TargetMode="External"/><Relationship Id="rId169" Type="http://schemas.openxmlformats.org/officeDocument/2006/relationships/hyperlink" Target="https://ref.ly/Gen17:9-Gen17:14" TargetMode="External"/><Relationship Id="rId170" Type="http://schemas.openxmlformats.org/officeDocument/2006/relationships/hyperlink" Target="https://ref.ly/Gen17:15" TargetMode="External"/><Relationship Id="rId171" Type="http://schemas.openxmlformats.org/officeDocument/2006/relationships/hyperlink" Target="https://ref.ly/Gen18:1-Gen18:33" TargetMode="External"/><Relationship Id="rId172" Type="http://schemas.openxmlformats.org/officeDocument/2006/relationships/hyperlink" Target="https://ref.ly/Gen19:1-Gen19:38" TargetMode="External"/><Relationship Id="rId173" Type="http://schemas.openxmlformats.org/officeDocument/2006/relationships/hyperlink" Target="https://ref.ly/Gen18:1-Gen18:2" TargetMode="External"/><Relationship Id="rId174" Type="http://schemas.openxmlformats.org/officeDocument/2006/relationships/hyperlink" Target="https://ref.ly/Gen19:1" TargetMode="External"/><Relationship Id="rId175" Type="http://schemas.openxmlformats.org/officeDocument/2006/relationships/hyperlink" Target="https://ref.ly/Gen18:17" TargetMode="External"/><Relationship Id="rId176" Type="http://schemas.openxmlformats.org/officeDocument/2006/relationships/hyperlink" Target="https://ref.ly/Gen18:33" TargetMode="External"/><Relationship Id="rId177" Type="http://schemas.openxmlformats.org/officeDocument/2006/relationships/hyperlink" Target="https://ref.ly/Gen18:12-Gen18:15" TargetMode="External"/><Relationship Id="rId178" Type="http://schemas.openxmlformats.org/officeDocument/2006/relationships/hyperlink" Target="https://ref.ly/Gen21:1-Gen21:34" TargetMode="External"/><Relationship Id="rId179" Type="http://schemas.openxmlformats.org/officeDocument/2006/relationships/hyperlink" Target="https://ref.ly/Gen23:1-Gen23:20" TargetMode="External"/><Relationship Id="rId180" Type="http://schemas.openxmlformats.org/officeDocument/2006/relationships/hyperlink" Target="https://ref.ly/Gen21:1" TargetMode="External"/><Relationship Id="rId181" Type="http://schemas.openxmlformats.org/officeDocument/2006/relationships/hyperlink" Target="https://ref.ly/Gen21:6" TargetMode="External"/><Relationship Id="rId182" Type="http://schemas.openxmlformats.org/officeDocument/2006/relationships/hyperlink" Target="https://ref.ly/Gen22:1-Gen22:24" TargetMode="External"/><Relationship Id="rId183" Type="http://schemas.openxmlformats.org/officeDocument/2006/relationships/hyperlink" Target="https://ref.ly/Gen22:11" TargetMode="External"/><Relationship Id="rId184" Type="http://schemas.openxmlformats.org/officeDocument/2006/relationships/hyperlink" Target="https://ref.ly/Gen22:12" TargetMode="External"/><Relationship Id="rId185" Type="http://schemas.openxmlformats.org/officeDocument/2006/relationships/hyperlink" Target="https://ref.ly/Gen11:26" TargetMode="External"/><Relationship Id="rId186" Type="http://schemas.openxmlformats.org/officeDocument/2006/relationships/hyperlink" Target="https://ref.ly/Num33:34-Num33:35" TargetMode="External"/><Relationship Id="rId187" Type="http://schemas.openxmlformats.org/officeDocument/2006/relationships/hyperlink" Target="https://ref.ly/Jdt2:24" TargetMode="External"/><Relationship Id="rId188" Type="http://schemas.openxmlformats.org/officeDocument/2006/relationships/hyperlink" Target="https://ref.ly/Num21:24" TargetMode="External"/><Relationship Id="rId189" Type="http://schemas.openxmlformats.org/officeDocument/2006/relationships/hyperlink" Target="https://ref.ly/2Kgs17:6" TargetMode="External"/><Relationship Id="rId190" Type="http://schemas.openxmlformats.org/officeDocument/2006/relationships/hyperlink" Target="https://ref.ly/2Sam3:3" TargetMode="External"/><Relationship Id="rId191" Type="http://schemas.openxmlformats.org/officeDocument/2006/relationships/hyperlink" Target="https://ref.ly/1Kgs15:2,1Kgs15:10" TargetMode="External"/><Relationship Id="rId192" Type="http://schemas.openxmlformats.org/officeDocument/2006/relationships/hyperlink" Target="https://ref.ly/2Sam14:25-2Sam14:26" TargetMode="External"/><Relationship Id="rId193" Type="http://schemas.openxmlformats.org/officeDocument/2006/relationships/hyperlink" Target="https://ref.ly/2Sam13:1-2Sam13:20" TargetMode="External"/><Relationship Id="rId194" Type="http://schemas.openxmlformats.org/officeDocument/2006/relationships/hyperlink" Target="https://ref.ly/2Sam13:21-2Sam13:39" TargetMode="External"/><Relationship Id="rId195" Type="http://schemas.openxmlformats.org/officeDocument/2006/relationships/hyperlink" Target="https://ref.ly/2Sam14:1-2Sam14:33" TargetMode="External"/><Relationship Id="rId196" Type="http://schemas.openxmlformats.org/officeDocument/2006/relationships/hyperlink" Target="https://ref.ly/2Sam15:1-2Sam15:6" TargetMode="External"/><Relationship Id="rId197" Type="http://schemas.openxmlformats.org/officeDocument/2006/relationships/hyperlink" Target="https://ref.ly/2Sam15:1-2Sam15:37" TargetMode="External"/><Relationship Id="rId198" Type="http://schemas.openxmlformats.org/officeDocument/2006/relationships/hyperlink" Target="https://ref.ly/Ps3:1-Ps3:8" TargetMode="External"/><Relationship Id="rId199" Type="http://schemas.openxmlformats.org/officeDocument/2006/relationships/hyperlink" Target="https://ref.ly/2Sam16:1-2Sam17:29" TargetMode="External"/><Relationship Id="rId200" Type="http://schemas.openxmlformats.org/officeDocument/2006/relationships/hyperlink" Target="https://ref.ly/2Sam18:1-2Sam18:18" TargetMode="External"/><Relationship Id="rId201" Type="http://schemas.openxmlformats.org/officeDocument/2006/relationships/hyperlink" Target="https://ref.ly/2Sam18:33" TargetMode="External"/><Relationship Id="rId202" Type="http://schemas.openxmlformats.org/officeDocument/2006/relationships/hyperlink" Target="https://ref.ly/2Sam19:1-2Sam19:8" TargetMode="External"/><Relationship Id="rId203" Type="http://schemas.openxmlformats.org/officeDocument/2006/relationships/hyperlink" Target="https://ref.ly/Prov5:4" TargetMode="External"/><Relationship Id="rId204" Type="http://schemas.openxmlformats.org/officeDocument/2006/relationships/hyperlink" Target="https://ref.ly/Jer9:15" TargetMode="External"/><Relationship Id="rId205" Type="http://schemas.openxmlformats.org/officeDocument/2006/relationships/hyperlink" Target="https://ref.ly/Jer23:15" TargetMode="External"/><Relationship Id="rId206" Type="http://schemas.openxmlformats.org/officeDocument/2006/relationships/hyperlink" Target="https://ref.ly/Lam3:15,Lam3:19" TargetMode="External"/><Relationship Id="rId207" Type="http://schemas.openxmlformats.org/officeDocument/2006/relationships/hyperlink" Target="https://ref.ly/Rev8:11" TargetMode="External"/><Relationship Id="rId208" Type="http://schemas.openxmlformats.org/officeDocument/2006/relationships/hyperlink" Target="https://ref.ly/Lam3:15" TargetMode="External"/><Relationship Id="rId209" Type="http://schemas.openxmlformats.org/officeDocument/2006/relationships/hyperlink" Target="https://ref.ly/Amos6:12" TargetMode="External"/><Relationship Id="rId210" Type="http://schemas.openxmlformats.org/officeDocument/2006/relationships/hyperlink" Target="https://ref.ly/Gen36:27" TargetMode="External"/><Relationship Id="rId211" Type="http://schemas.openxmlformats.org/officeDocument/2006/relationships/hyperlink" Target="https://ref.ly/1Kgs16:8-1Kgs16:16" TargetMode="External"/><Relationship Id="rId212" Type="http://schemas.openxmlformats.org/officeDocument/2006/relationships/hyperlink" Target="https://ref.ly/1Kgs16:17-1Kgs16:23" TargetMode="External"/><Relationship Id="rId213" Type="http://schemas.openxmlformats.org/officeDocument/2006/relationships/hyperlink" Target="https://ref.ly/1Kgs16:24" TargetMode="External"/><Relationship Id="rId214" Type="http://schemas.openxmlformats.org/officeDocument/2006/relationships/hyperlink" Target="https://ref.ly/1Kgs16:28" TargetMode="External"/><Relationship Id="rId215" Type="http://schemas.openxmlformats.org/officeDocument/2006/relationships/hyperlink" Target="https://ref.ly/1Kgs16:29-1Kgs16:31" TargetMode="External"/><Relationship Id="rId216" Type="http://schemas.openxmlformats.org/officeDocument/2006/relationships/hyperlink" Target="https://ref.ly/1Kgs21:21-1Kgs21:26" TargetMode="External"/><Relationship Id="rId217" Type="http://schemas.openxmlformats.org/officeDocument/2006/relationships/hyperlink" Target="https://ref.ly/2Kgs8:17-2Kgs8:18,2Kgs8:26-2Kgs8:27" TargetMode="External"/><Relationship Id="rId218" Type="http://schemas.openxmlformats.org/officeDocument/2006/relationships/hyperlink" Target="https://ref.ly/2Kgs11:1-2Kgs11:20" TargetMode="External"/><Relationship Id="rId219" Type="http://schemas.openxmlformats.org/officeDocument/2006/relationships/hyperlink" Target="https://ref.ly/Deut7:1-Deut7:5" TargetMode="External"/><Relationship Id="rId220" Type="http://schemas.openxmlformats.org/officeDocument/2006/relationships/hyperlink" Target="https://ref.ly/1Kgs22:39" TargetMode="External"/><Relationship Id="rId221" Type="http://schemas.openxmlformats.org/officeDocument/2006/relationships/hyperlink" Target="https://ref.ly/1Kgs17:1" TargetMode="External"/><Relationship Id="rId222" Type="http://schemas.openxmlformats.org/officeDocument/2006/relationships/hyperlink" Target="https://ref.ly/1Kgs18:1" TargetMode="External"/><Relationship Id="rId223" Type="http://schemas.openxmlformats.org/officeDocument/2006/relationships/hyperlink" Target="https://ref.ly/1Kgs19:1" TargetMode="External"/><Relationship Id="rId224" Type="http://schemas.openxmlformats.org/officeDocument/2006/relationships/hyperlink" Target="https://ref.ly/1Kgs18:16-1Kgs18:18" TargetMode="External"/><Relationship Id="rId225" Type="http://schemas.openxmlformats.org/officeDocument/2006/relationships/hyperlink" Target="https://ref.ly/Luke4:25" TargetMode="External"/><Relationship Id="rId226" Type="http://schemas.openxmlformats.org/officeDocument/2006/relationships/hyperlink" Target="https://ref.ly/Jas5:17" TargetMode="External"/><Relationship Id="rId227" Type="http://schemas.openxmlformats.org/officeDocument/2006/relationships/hyperlink" Target="https://ref.ly/1Kgs18:5" TargetMode="External"/><Relationship Id="rId228" Type="http://schemas.openxmlformats.org/officeDocument/2006/relationships/hyperlink" Target="https://ref.ly/1Kgs18:16-1Kgs18:40" TargetMode="External"/><Relationship Id="rId229" Type="http://schemas.openxmlformats.org/officeDocument/2006/relationships/hyperlink" Target="https://ref.ly/1Kgs18:41-1Kgs18:46" TargetMode="External"/><Relationship Id="rId230" Type="http://schemas.openxmlformats.org/officeDocument/2006/relationships/hyperlink" Target="https://ref.ly/1Kgs19:1-1Kgs19:16" TargetMode="External"/><Relationship Id="rId231" Type="http://schemas.openxmlformats.org/officeDocument/2006/relationships/hyperlink" Target="https://ref.ly/1Kgs19:19-1Kgs19:21" TargetMode="External"/><Relationship Id="rId232" Type="http://schemas.openxmlformats.org/officeDocument/2006/relationships/hyperlink" Target="https://ref.ly/2Kgs9:1-2Kgs9:10" TargetMode="External"/><Relationship Id="rId233" Type="http://schemas.openxmlformats.org/officeDocument/2006/relationships/hyperlink" Target="https://ref.ly/1Kgs21:1-1Kgs21:16" TargetMode="External"/><Relationship Id="rId234" Type="http://schemas.openxmlformats.org/officeDocument/2006/relationships/hyperlink" Target="https://ref.ly/1Kgs21:17-1Kgs21:24" TargetMode="External"/><Relationship Id="rId235" Type="http://schemas.openxmlformats.org/officeDocument/2006/relationships/hyperlink" Target="https://ref.ly/1Kgs21:27-1Kgs21:29" TargetMode="External"/><Relationship Id="rId236" Type="http://schemas.openxmlformats.org/officeDocument/2006/relationships/hyperlink" Target="https://ref.ly/2Kgs10:1-2Kgs10:14" TargetMode="External"/><Relationship Id="rId237" Type="http://schemas.openxmlformats.org/officeDocument/2006/relationships/hyperlink" Target="https://ref.ly/1Kgs20:1-1Kgs20:14" TargetMode="External"/><Relationship Id="rId238" Type="http://schemas.openxmlformats.org/officeDocument/2006/relationships/hyperlink" Target="https://ref.ly/1Kgs20:15-1Kgs20:22" TargetMode="External"/><Relationship Id="rId239" Type="http://schemas.openxmlformats.org/officeDocument/2006/relationships/hyperlink" Target="https://ref.ly/1Kgs20:23-1Kgs20:33" TargetMode="External"/><Relationship Id="rId240" Type="http://schemas.openxmlformats.org/officeDocument/2006/relationships/hyperlink" Target="https://ref.ly/1Kgs20:34" TargetMode="External"/><Relationship Id="rId241" Type="http://schemas.openxmlformats.org/officeDocument/2006/relationships/hyperlink" Target="https://ref.ly/1Kgs20:35-1Kgs20:43" TargetMode="External"/><Relationship Id="rId242" Type="http://schemas.openxmlformats.org/officeDocument/2006/relationships/hyperlink" Target="https://ref.ly/1Kgs22:2-1Kgs22:4" TargetMode="External"/><Relationship Id="rId243" Type="http://schemas.openxmlformats.org/officeDocument/2006/relationships/hyperlink" Target="https://ref.ly/2Chr18:1-2Chr18:3" TargetMode="External"/><Relationship Id="rId244" Type="http://schemas.openxmlformats.org/officeDocument/2006/relationships/hyperlink" Target="https://ref.ly/1Kgs22:5-1Kgs22:28" TargetMode="External"/><Relationship Id="rId245" Type="http://schemas.openxmlformats.org/officeDocument/2006/relationships/hyperlink" Target="https://ref.ly/2Chr18:4-2Chr18:27" TargetMode="External"/><Relationship Id="rId246" Type="http://schemas.openxmlformats.org/officeDocument/2006/relationships/hyperlink" Target="https://ref.ly/1Kgs22:29-1Kgs22:40" TargetMode="External"/><Relationship Id="rId247" Type="http://schemas.openxmlformats.org/officeDocument/2006/relationships/hyperlink" Target="https://ref.ly/2Chr18:28-2Chr18:34" TargetMode="External"/><Relationship Id="rId248" Type="http://schemas.openxmlformats.org/officeDocument/2006/relationships/hyperlink" Target="https://ref.ly/Jer29:21-Jer29:23" TargetMode="External"/><Relationship Id="rId249" Type="http://schemas.openxmlformats.org/officeDocument/2006/relationships/hyperlink" Target="https://ref.ly/Exod25:10" TargetMode="External"/><Relationship Id="rId250" Type="http://schemas.openxmlformats.org/officeDocument/2006/relationships/hyperlink" Target="https://ref.ly/Gen10:10" TargetMode="External"/><Relationship Id="rId251" Type="http://schemas.openxmlformats.org/officeDocument/2006/relationships/hyperlink" Target="https://ref.ly/Gen36:38-Gen36:39" TargetMode="External"/><Relationship Id="rId252" Type="http://schemas.openxmlformats.org/officeDocument/2006/relationships/hyperlink" Target="https://ref.ly/1Chr1:49" TargetMode="External"/><Relationship Id="rId253" Type="http://schemas.openxmlformats.org/officeDocument/2006/relationships/hyperlink" Target="https://ref.ly/2Kgs22:12-2Kgs22:14" TargetMode="External"/><Relationship Id="rId254" Type="http://schemas.openxmlformats.org/officeDocument/2006/relationships/hyperlink" Target="https://ref.ly/2Chr34:20" TargetMode="External"/><Relationship Id="rId255" Type="http://schemas.openxmlformats.org/officeDocument/2006/relationships/hyperlink" Target="https://ref.ly/Jer26:22" TargetMode="External"/><Relationship Id="rId256" Type="http://schemas.openxmlformats.org/officeDocument/2006/relationships/hyperlink" Target="https://ref.ly/Jer36:12" TargetMode="External"/><Relationship Id="rId257" Type="http://schemas.openxmlformats.org/officeDocument/2006/relationships/hyperlink" Target="https://ref.ly/Acts1:19" TargetMode="External"/><Relationship Id="rId258" Type="http://schemas.openxmlformats.org/officeDocument/2006/relationships/hyperlink" Target="https://ref.ly/Judg1:31" TargetMode="External"/><Relationship Id="rId259" Type="http://schemas.openxmlformats.org/officeDocument/2006/relationships/hyperlink" Target="https://ref.ly/1Kgs9:11-1Kgs9:14" TargetMode="External"/><Relationship Id="rId260" Type="http://schemas.openxmlformats.org/officeDocument/2006/relationships/hyperlink" Target="https://ref.ly/Acts21:7" TargetMode="External"/><Relationship Id="rId261" Type="http://schemas.openxmlformats.org/officeDocument/2006/relationships/hyperlink" Target="https://ref.ly/Deut14:13" TargetMode="External"/><Relationship Id="rId262" Type="http://schemas.openxmlformats.org/officeDocument/2006/relationships/hyperlink" Target="https://ref.ly/Num34:4" TargetMode="External"/><Relationship Id="rId263" Type="http://schemas.openxmlformats.org/officeDocument/2006/relationships/hyperlink" Target="https://ref.ly/Josh15:3" TargetMode="External"/><Relationship Id="rId264" Type="http://schemas.openxmlformats.org/officeDocument/2006/relationships/hyperlink" Target="https://ref.ly/Judg1:36" TargetMode="External"/><Relationship Id="rId265" Type="http://schemas.openxmlformats.org/officeDocument/2006/relationships/hyperlink" Target="https://ref.ly/1Macc5:3" TargetMode="External"/><Relationship Id="rId266" Type="http://schemas.openxmlformats.org/officeDocument/2006/relationships/hyperlink" Target="https://ref.ly/Acts17:34" TargetMode="External"/><Relationship Id="rId267" Type="http://schemas.openxmlformats.org/officeDocument/2006/relationships/hyperlink" Target="https://ref.ly/Ps9:1-Ps9:20" TargetMode="External"/><Relationship Id="rId268" Type="http://schemas.openxmlformats.org/officeDocument/2006/relationships/hyperlink" Target="https://ref.ly/Ps10:1-Ps10:18" TargetMode="External"/><Relationship Id="rId269" Type="http://schemas.openxmlformats.org/officeDocument/2006/relationships/hyperlink" Target="https://ref.ly/Ps25:1-Ps25:22" TargetMode="External"/><Relationship Id="rId270" Type="http://schemas.openxmlformats.org/officeDocument/2006/relationships/hyperlink" Target="https://ref.ly/Ps34:1-Ps34:22" TargetMode="External"/><Relationship Id="rId271" Type="http://schemas.openxmlformats.org/officeDocument/2006/relationships/hyperlink" Target="https://ref.ly/Ps37:1-Ps37:40" TargetMode="External"/><Relationship Id="rId272" Type="http://schemas.openxmlformats.org/officeDocument/2006/relationships/hyperlink" Target="https://ref.ly/Ps111:1-Ps111:10" TargetMode="External"/><Relationship Id="rId273" Type="http://schemas.openxmlformats.org/officeDocument/2006/relationships/hyperlink" Target="https://ref.ly/Ps112:1-Ps112:10" TargetMode="External"/><Relationship Id="rId274" Type="http://schemas.openxmlformats.org/officeDocument/2006/relationships/hyperlink" Target="https://ref.ly/Ps119:1-Ps119:176" TargetMode="External"/><Relationship Id="rId275" Type="http://schemas.openxmlformats.org/officeDocument/2006/relationships/hyperlink" Target="https://ref.ly/Ps145:1-Ps145:21" TargetMode="External"/><Relationship Id="rId276" Type="http://schemas.openxmlformats.org/officeDocument/2006/relationships/hyperlink" Target="https://ref.ly/Prov31:10-Prov31:31" TargetMode="External"/><Relationship Id="rId277" Type="http://schemas.openxmlformats.org/officeDocument/2006/relationships/hyperlink" Target="https://ref.ly/Lam1:1-Lam4:22" TargetMode="External"/><Relationship Id="rId278" Type="http://schemas.openxmlformats.org/officeDocument/2006/relationships/hyperlink" Target="https://ref.ly/Nah1:1-Nah1:15" TargetMode="External"/><Relationship Id="rId279" Type="http://schemas.openxmlformats.org/officeDocument/2006/relationships/hyperlink" Target="https://ref.ly/Josh11:1" TargetMode="External"/><Relationship Id="rId280" Type="http://schemas.openxmlformats.org/officeDocument/2006/relationships/hyperlink" Target="https://ref.ly/Josh12:20" TargetMode="External"/><Relationship Id="rId281" Type="http://schemas.openxmlformats.org/officeDocument/2006/relationships/hyperlink" Target="https://ref.ly/Deut7:24" TargetMode="External"/><Relationship Id="rId282" Type="http://schemas.openxmlformats.org/officeDocument/2006/relationships/hyperlink" Target="https://ref.ly/Josh19:25" TargetMode="External"/><Relationship Id="rId283" Type="http://schemas.openxmlformats.org/officeDocument/2006/relationships/hyperlink" Target="https://ref.ly/Josh15:44" TargetMode="External"/><Relationship Id="rId284" Type="http://schemas.openxmlformats.org/officeDocument/2006/relationships/hyperlink" Target="https://ref.ly/Mic1:14" TargetMode="External"/><Relationship Id="rId285" Type="http://schemas.openxmlformats.org/officeDocument/2006/relationships/hyperlink" Target="https://ref.ly/Gen38:5" TargetMode="External"/><Relationship Id="rId286" Type="http://schemas.openxmlformats.org/officeDocument/2006/relationships/hyperlink" Target="https://ref.ly/1Chr4:22" TargetMode="External"/><Relationship Id="rId287" Type="http://schemas.openxmlformats.org/officeDocument/2006/relationships/hyperlink" Target="https://ref.ly/Josh19:29" TargetMode="External"/><Relationship Id="rId288" Type="http://schemas.openxmlformats.org/officeDocument/2006/relationships/hyperlink" Target="https://ref.ly/Gen4:19-Gen4:21,Gen4:23" TargetMode="External"/><Relationship Id="rId289" Type="http://schemas.openxmlformats.org/officeDocument/2006/relationships/hyperlink" Target="https://ref.ly/Gen36:2-Gen36:16" TargetMode="External"/><Relationship Id="rId290" Type="http://schemas.openxmlformats.org/officeDocument/2006/relationships/hyperlink" Target="https://ref.ly/Gen1:26-Gen1:31" TargetMode="External"/><Relationship Id="rId291" Type="http://schemas.openxmlformats.org/officeDocument/2006/relationships/hyperlink" Target="https://ref.ly/Gen2:4-Gen3:24" TargetMode="External"/><Relationship Id="rId292" Type="http://schemas.openxmlformats.org/officeDocument/2006/relationships/hyperlink" Target="https://ref.ly/Gen2:7" TargetMode="External"/><Relationship Id="rId293" Type="http://schemas.openxmlformats.org/officeDocument/2006/relationships/hyperlink" Target="https://ref.ly/Gen2:8-Gen2:15" TargetMode="External"/><Relationship Id="rId294" Type="http://schemas.openxmlformats.org/officeDocument/2006/relationships/hyperlink" Target="https://ref.ly/Gen2:16-Gen2:17" TargetMode="External"/><Relationship Id="rId295" Type="http://schemas.openxmlformats.org/officeDocument/2006/relationships/hyperlink" Target="https://ref.ly/Gen2:18-Gen2:22" TargetMode="External"/><Relationship Id="rId296" Type="http://schemas.openxmlformats.org/officeDocument/2006/relationships/hyperlink" Target="https://ref.ly/Gen3:1" TargetMode="External"/><Relationship Id="rId297" Type="http://schemas.openxmlformats.org/officeDocument/2006/relationships/hyperlink" Target="https://ref.ly/1Tim2:14" TargetMode="External"/><Relationship Id="rId298" Type="http://schemas.openxmlformats.org/officeDocument/2006/relationships/hyperlink" Target="https://ref.ly/Gen3:5" TargetMode="External"/><Relationship Id="rId299" Type="http://schemas.openxmlformats.org/officeDocument/2006/relationships/hyperlink" Target="https://ref.ly/Gen3:7" TargetMode="External"/><Relationship Id="rId300" Type="http://schemas.openxmlformats.org/officeDocument/2006/relationships/hyperlink" Target="https://ref.ly/Gen3:8" TargetMode="External"/><Relationship Id="rId301" Type="http://schemas.openxmlformats.org/officeDocument/2006/relationships/hyperlink" Target="https://ref.ly/Gen3:12" TargetMode="External"/><Relationship Id="rId302" Type="http://schemas.openxmlformats.org/officeDocument/2006/relationships/hyperlink" Target="https://ref.ly/Gen3:13" TargetMode="External"/><Relationship Id="rId303" Type="http://schemas.openxmlformats.org/officeDocument/2006/relationships/hyperlink" Target="https://ref.ly/Gen3:14-Gen3:19" TargetMode="External"/><Relationship Id="rId304" Type="http://schemas.openxmlformats.org/officeDocument/2006/relationships/hyperlink" Target="https://ref.ly/Gen3:16-Gen3:18" TargetMode="External"/><Relationship Id="rId305" Type="http://schemas.openxmlformats.org/officeDocument/2006/relationships/hyperlink" Target="https://ref.ly/Gen3:16" TargetMode="External"/><Relationship Id="rId306" Type="http://schemas.openxmlformats.org/officeDocument/2006/relationships/hyperlink" Target="https://ref.ly/Gen3:19" TargetMode="External"/><Relationship Id="rId307" Type="http://schemas.openxmlformats.org/officeDocument/2006/relationships/hyperlink" Target="https://ref.ly/Gen3:22" TargetMode="External"/><Relationship Id="rId308" Type="http://schemas.openxmlformats.org/officeDocument/2006/relationships/hyperlink" Target="https://ref.ly/Gen3:23-Gen3:24" TargetMode="External"/><Relationship Id="rId309" Type="http://schemas.openxmlformats.org/officeDocument/2006/relationships/hyperlink" Target="https://ref.ly/Gen3:15" TargetMode="External"/><Relationship Id="rId310" Type="http://schemas.openxmlformats.org/officeDocument/2006/relationships/hyperlink" Target="https://ref.ly/Rom16:20" TargetMode="External"/><Relationship Id="rId311" Type="http://schemas.openxmlformats.org/officeDocument/2006/relationships/hyperlink" Target="https://ref.ly/Gen4:25" TargetMode="External"/><Relationship Id="rId312" Type="http://schemas.openxmlformats.org/officeDocument/2006/relationships/hyperlink" Target="https://ref.ly/Gen5:1-Gen5:5" TargetMode="External"/><Relationship Id="rId313" Type="http://schemas.openxmlformats.org/officeDocument/2006/relationships/hyperlink" Target="https://ref.ly/1Chr1:1" TargetMode="External"/><Relationship Id="rId314" Type="http://schemas.openxmlformats.org/officeDocument/2006/relationships/hyperlink" Target="https://ref.ly/Hos6:7" TargetMode="External"/><Relationship Id="rId315" Type="http://schemas.openxmlformats.org/officeDocument/2006/relationships/hyperlink" Target="https://ref.ly/Luke3:38" TargetMode="External"/><Relationship Id="rId316" Type="http://schemas.openxmlformats.org/officeDocument/2006/relationships/hyperlink" Target="https://ref.ly/Rom5:14" TargetMode="External"/><Relationship Id="rId317" Type="http://schemas.openxmlformats.org/officeDocument/2006/relationships/hyperlink" Target="https://ref.ly/1Cor15:22,1Cor15:45" TargetMode="External"/><Relationship Id="rId318" Type="http://schemas.openxmlformats.org/officeDocument/2006/relationships/hyperlink" Target="https://ref.ly/1Tim2:13-1Tim2:14" TargetMode="External"/><Relationship Id="rId319" Type="http://schemas.openxmlformats.org/officeDocument/2006/relationships/hyperlink" Target="https://ref.ly/Jude1:14" TargetMode="External"/><Relationship Id="rId320" Type="http://schemas.openxmlformats.org/officeDocument/2006/relationships/hyperlink" Target="https://ref.ly/Lev1:2" TargetMode="External"/><Relationship Id="rId321" Type="http://schemas.openxmlformats.org/officeDocument/2006/relationships/hyperlink" Target="https://ref.ly/Josh14:15" TargetMode="External"/><Relationship Id="rId322" Type="http://schemas.openxmlformats.org/officeDocument/2006/relationships/hyperlink" Target="https://ref.ly/Neh9:29" TargetMode="External"/><Relationship Id="rId323" Type="http://schemas.openxmlformats.org/officeDocument/2006/relationships/hyperlink" Target="https://ref.ly/Isa56:2" TargetMode="External"/><Relationship Id="rId324" Type="http://schemas.openxmlformats.org/officeDocument/2006/relationships/hyperlink" Target="https://ref.ly/Exod4:11" TargetMode="External"/><Relationship Id="rId325" Type="http://schemas.openxmlformats.org/officeDocument/2006/relationships/hyperlink" Target="https://ref.ly/Num12:3" TargetMode="External"/><Relationship Id="rId326" Type="http://schemas.openxmlformats.org/officeDocument/2006/relationships/hyperlink" Target="https://ref.ly/Num16:29" TargetMode="External"/><Relationship Id="rId327" Type="http://schemas.openxmlformats.org/officeDocument/2006/relationships/hyperlink" Target="https://ref.ly/Deut4:28" TargetMode="External"/><Relationship Id="rId328" Type="http://schemas.openxmlformats.org/officeDocument/2006/relationships/hyperlink" Target="https://ref.ly/1Kgs4:31" TargetMode="External"/><Relationship Id="rId329" Type="http://schemas.openxmlformats.org/officeDocument/2006/relationships/hyperlink" Target="https://ref.ly/Job7:20" TargetMode="External"/><Relationship Id="rId330" Type="http://schemas.openxmlformats.org/officeDocument/2006/relationships/hyperlink" Target="https://ref.ly/Job14:1" TargetMode="External"/><Relationship Id="rId331" Type="http://schemas.openxmlformats.org/officeDocument/2006/relationships/hyperlink" Target="https://ref.ly/2Sam7:14" TargetMode="External"/><Relationship Id="rId332" Type="http://schemas.openxmlformats.org/officeDocument/2006/relationships/hyperlink" Target="https://ref.ly/Ps11:4" TargetMode="External"/><Relationship Id="rId333" Type="http://schemas.openxmlformats.org/officeDocument/2006/relationships/hyperlink" Target="https://ref.ly/Ps12:1" TargetMode="External"/><Relationship Id="rId334" Type="http://schemas.openxmlformats.org/officeDocument/2006/relationships/hyperlink" Target="https://ref.ly/Ps14:2" TargetMode="External"/><Relationship Id="rId335" Type="http://schemas.openxmlformats.org/officeDocument/2006/relationships/hyperlink" Target="https://ref.ly/Ps53:2" TargetMode="External"/><Relationship Id="rId336" Type="http://schemas.openxmlformats.org/officeDocument/2006/relationships/hyperlink" Target="https://ref.ly/Ps90:3" TargetMode="External"/><Relationship Id="rId337" Type="http://schemas.openxmlformats.org/officeDocument/2006/relationships/hyperlink" Target="https://ref.ly/Eccl1:13" TargetMode="External"/><Relationship Id="rId338" Type="http://schemas.openxmlformats.org/officeDocument/2006/relationships/hyperlink" Target="https://ref.ly/Eccl2:3" TargetMode="External"/><Relationship Id="rId339" Type="http://schemas.openxmlformats.org/officeDocument/2006/relationships/hyperlink" Target="https://ref.ly/Gen9:5-Gen9:7" TargetMode="External"/><Relationship Id="rId340" Type="http://schemas.openxmlformats.org/officeDocument/2006/relationships/hyperlink" Target="https://ref.ly/Deut5:24" TargetMode="External"/><Relationship Id="rId341" Type="http://schemas.openxmlformats.org/officeDocument/2006/relationships/hyperlink" Target="https://ref.ly/Deut8:3" TargetMode="External"/><Relationship Id="rId342" Type="http://schemas.openxmlformats.org/officeDocument/2006/relationships/hyperlink" Target="https://ref.ly/1Kgs8:38-1Kgs8:39" TargetMode="External"/><Relationship Id="rId343" Type="http://schemas.openxmlformats.org/officeDocument/2006/relationships/hyperlink" Target="https://ref.ly/Ps8:4" TargetMode="External"/><Relationship Id="rId344" Type="http://schemas.openxmlformats.org/officeDocument/2006/relationships/hyperlink" Target="https://ref.ly/Ps89:48" TargetMode="External"/><Relationship Id="rId345" Type="http://schemas.openxmlformats.org/officeDocument/2006/relationships/hyperlink" Target="https://ref.ly/Ps107:8-Ps107:31" TargetMode="External"/><Relationship Id="rId346" Type="http://schemas.openxmlformats.org/officeDocument/2006/relationships/hyperlink" Target="https://ref.ly/Prov12:14" TargetMode="External"/><Relationship Id="rId347" Type="http://schemas.openxmlformats.org/officeDocument/2006/relationships/hyperlink" Target="https://ref.ly/Mic6:8" TargetMode="External"/><Relationship Id="rId348" Type="http://schemas.openxmlformats.org/officeDocument/2006/relationships/hyperlink" Target="https://ref.ly/Jer31:29-Jer31:30" TargetMode="External"/><Relationship Id="rId349" Type="http://schemas.openxmlformats.org/officeDocument/2006/relationships/hyperlink" Target="https://ref.ly/Ezek18:4" TargetMode="External"/><Relationship Id="rId350" Type="http://schemas.openxmlformats.org/officeDocument/2006/relationships/hyperlink" Target="https://ref.ly/Gen17:1-Gen17:8" TargetMode="External"/><Relationship Id="rId351" Type="http://schemas.openxmlformats.org/officeDocument/2006/relationships/hyperlink" Target="https://ref.ly/Gen20:1-Gen20:9,Gen20:18" TargetMode="External"/><Relationship Id="rId352" Type="http://schemas.openxmlformats.org/officeDocument/2006/relationships/hyperlink" Target="https://ref.ly/Exod20:5-Exod20:6" TargetMode="External"/><Relationship Id="rId353" Type="http://schemas.openxmlformats.org/officeDocument/2006/relationships/hyperlink" Target="https://ref.ly/Josh7:24-Josh7:25" TargetMode="External"/><Relationship Id="rId354" Type="http://schemas.openxmlformats.org/officeDocument/2006/relationships/hyperlink" Target="https://ref.ly/Rom11:28" TargetMode="External"/><Relationship Id="rId355" Type="http://schemas.openxmlformats.org/officeDocument/2006/relationships/hyperlink" Target="https://ref.ly/Heb7:1-Heb7:10" TargetMode="External"/><Relationship Id="rId356" Type="http://schemas.openxmlformats.org/officeDocument/2006/relationships/hyperlink" Target="https://ref.ly/Gen5:3" TargetMode="External"/><Relationship Id="rId357" Type="http://schemas.openxmlformats.org/officeDocument/2006/relationships/hyperlink" Target="https://ref.ly/INVALID" TargetMode="External"/><Relationship Id="rId358" Type="http://schemas.openxmlformats.org/officeDocument/2006/relationships/hyperlink" Target="https://ref.ly/INVALID,Gen0:7" TargetMode="External"/><Relationship Id="rId359" Type="http://schemas.openxmlformats.org/officeDocument/2006/relationships/hyperlink" Target="https://ref.ly/Ps0:104" TargetMode="External"/><Relationship Id="rId360" Type="http://schemas.openxmlformats.org/officeDocument/2006/relationships/hyperlink" Target="https://ref.ly/Rom5:12-Rom5:21" TargetMode="External"/><Relationship Id="rId361" Type="http://schemas.openxmlformats.org/officeDocument/2006/relationships/hyperlink" Target="https://ref.ly/1Cor15:45-1Cor15:50" TargetMode="External"/><Relationship Id="rId362" Type="http://schemas.openxmlformats.org/officeDocument/2006/relationships/hyperlink" Target="https://ref.ly/Rom5:12-Rom5:19" TargetMode="External"/><Relationship Id="rId363" Type="http://schemas.openxmlformats.org/officeDocument/2006/relationships/hyperlink" Target="https://ref.ly/Rom8:20-Rom8:22" TargetMode="External"/><Relationship Id="rId364" Type="http://schemas.openxmlformats.org/officeDocument/2006/relationships/hyperlink" Target="https://ref.ly/Rom12:4-Rom12:5" TargetMode="External"/><Relationship Id="rId365" Type="http://schemas.openxmlformats.org/officeDocument/2006/relationships/hyperlink" Target="https://ref.ly/1Cor12:12-1Cor12:13,1Cor12:27" TargetMode="External"/><Relationship Id="rId366" Type="http://schemas.openxmlformats.org/officeDocument/2006/relationships/hyperlink" Target="https://ref.ly/Eph1:22-Eph1:23" TargetMode="External"/><Relationship Id="rId367" Type="http://schemas.openxmlformats.org/officeDocument/2006/relationships/hyperlink" Target="https://ref.ly/Col1:18" TargetMode="External"/><Relationship Id="rId368" Type="http://schemas.openxmlformats.org/officeDocument/2006/relationships/hyperlink" Target="https://ref.ly/Rom8:29" TargetMode="External"/><Relationship Id="rId369" Type="http://schemas.openxmlformats.org/officeDocument/2006/relationships/hyperlink" Target="https://ref.ly/1Cor15:49" TargetMode="External"/><Relationship Id="rId370" Type="http://schemas.openxmlformats.org/officeDocument/2006/relationships/hyperlink" Target="https://ref.ly/2Cor3:18" TargetMode="External"/><Relationship Id="rId371" Type="http://schemas.openxmlformats.org/officeDocument/2006/relationships/hyperlink" Target="https://ref.ly/Eph2:15" TargetMode="External"/><Relationship Id="rId372" Type="http://schemas.openxmlformats.org/officeDocument/2006/relationships/hyperlink" Target="https://ref.ly/Eph4:24" TargetMode="External"/><Relationship Id="rId373" Type="http://schemas.openxmlformats.org/officeDocument/2006/relationships/hyperlink" Target="https://ref.ly/Col3:9-Col3:10" TargetMode="External"/><Relationship Id="rId374" Type="http://schemas.openxmlformats.org/officeDocument/2006/relationships/hyperlink" Target="https://ref.ly/2Cor5:17" TargetMode="External"/><Relationship Id="rId375" Type="http://schemas.openxmlformats.org/officeDocument/2006/relationships/hyperlink" Target="https://ref.ly/Gal6:15" TargetMode="External"/><Relationship Id="rId376" Type="http://schemas.openxmlformats.org/officeDocument/2006/relationships/hyperlink" Target="https://ref.ly/Rom5:1" TargetMode="External"/><Relationship Id="rId377" Type="http://schemas.openxmlformats.org/officeDocument/2006/relationships/hyperlink" Target="https://ref.ly/2Cor5:19" TargetMode="External"/><Relationship Id="rId378" Type="http://schemas.openxmlformats.org/officeDocument/2006/relationships/hyperlink" Target="https://ref.ly/Gal3:27-Gal3:28" TargetMode="External"/><Relationship Id="rId379" Type="http://schemas.openxmlformats.org/officeDocument/2006/relationships/hyperlink" Target="https://ref.ly/Eph2:14-Eph2:16" TargetMode="External"/><Relationship Id="rId380" Type="http://schemas.openxmlformats.org/officeDocument/2006/relationships/hyperlink" Target="https://ref.ly/Lev19:31" TargetMode="External"/><Relationship Id="rId381" Type="http://schemas.openxmlformats.org/officeDocument/2006/relationships/hyperlink" Target="https://ref.ly/Lev20:6,Lev20:27" TargetMode="External"/><Relationship Id="rId382" Type="http://schemas.openxmlformats.org/officeDocument/2006/relationships/hyperlink" Target="https://ref.ly/Gen10:19" TargetMode="External"/><Relationship Id="rId383" Type="http://schemas.openxmlformats.org/officeDocument/2006/relationships/hyperlink" Target="https://ref.ly/Gen14:2,Gen14:8" TargetMode="External"/><Relationship Id="rId384" Type="http://schemas.openxmlformats.org/officeDocument/2006/relationships/hyperlink" Target="https://ref.ly/Deut29:23" TargetMode="External"/><Relationship Id="rId385" Type="http://schemas.openxmlformats.org/officeDocument/2006/relationships/hyperlink" Target="https://ref.ly/Gen19:28-Gen19:29" TargetMode="External"/><Relationship Id="rId386" Type="http://schemas.openxmlformats.org/officeDocument/2006/relationships/hyperlink" Target="https://ref.ly/Lev12:1-Lev12:8" TargetMode="External"/><Relationship Id="rId387" Type="http://schemas.openxmlformats.org/officeDocument/2006/relationships/hyperlink" Target="https://ref.ly/Luke2:22-Luke2:24" TargetMode="External"/><Relationship Id="rId388" Type="http://schemas.openxmlformats.org/officeDocument/2006/relationships/hyperlink" Target="https://ref.ly/Exod22:30" TargetMode="External"/><Relationship Id="rId389" Type="http://schemas.openxmlformats.org/officeDocument/2006/relationships/hyperlink" Target="https://ref.ly/Num18:21-Num18:32" TargetMode="External"/><Relationship Id="rId390" Type="http://schemas.openxmlformats.org/officeDocument/2006/relationships/hyperlink" Target="https://ref.ly/Deut26:5-Deut26:15" TargetMode="External"/><Relationship Id="rId391" Type="http://schemas.openxmlformats.org/officeDocument/2006/relationships/hyperlink" Target="https://ref.ly/Gen28:18-Gen28:22" TargetMode="External"/><Relationship Id="rId392" Type="http://schemas.openxmlformats.org/officeDocument/2006/relationships/hyperlink" Target="https://ref.ly/1Sam1:10-1Sam1:11" TargetMode="External"/><Relationship Id="rId393" Type="http://schemas.openxmlformats.org/officeDocument/2006/relationships/hyperlink" Target="https://ref.ly/Gen35:3,Gen35:14" TargetMode="External"/><Relationship Id="rId394" Type="http://schemas.openxmlformats.org/officeDocument/2006/relationships/hyperlink" Target="https://ref.ly/1Sam1:24-1Sam1:25" TargetMode="External"/><Relationship Id="rId395" Type="http://schemas.openxmlformats.org/officeDocument/2006/relationships/hyperlink" Target="https://ref.ly/Lev4:1-Lev5:19" TargetMode="External"/><Relationship Id="rId396" Type="http://schemas.openxmlformats.org/officeDocument/2006/relationships/hyperlink" Target="https://ref.ly/Lev13:1-Lev15:33" TargetMode="External"/><Relationship Id="rId397" Type="http://schemas.openxmlformats.org/officeDocument/2006/relationships/hyperlink" Target="https://ref.ly/Exod23:17" TargetMode="External"/><Relationship Id="rId398" Type="http://schemas.openxmlformats.org/officeDocument/2006/relationships/hyperlink" Target="https://ref.ly/Deut16:16" TargetMode="External"/><Relationship Id="rId399" Type="http://schemas.openxmlformats.org/officeDocument/2006/relationships/hyperlink" Target="https://ref.ly/1Sam1:3" TargetMode="External"/><Relationship Id="rId400" Type="http://schemas.openxmlformats.org/officeDocument/2006/relationships/hyperlink" Target="https://ref.ly/Luke2:41" TargetMode="External"/><Relationship Id="rId401" Type="http://schemas.openxmlformats.org/officeDocument/2006/relationships/hyperlink" Target="https://ref.ly/Exod12:1-Exod12:51" TargetMode="External"/><Relationship Id="rId402" Type="http://schemas.openxmlformats.org/officeDocument/2006/relationships/hyperlink" Target="https://ref.ly/Lev23:39-Lev23:43" TargetMode="External"/><Relationship Id="rId403" Type="http://schemas.openxmlformats.org/officeDocument/2006/relationships/hyperlink" Target="https://ref.ly/Lev16:1-Lev16:34" TargetMode="External"/><Relationship Id="rId404" Type="http://schemas.openxmlformats.org/officeDocument/2006/relationships/hyperlink" Target="https://ref.ly/John1:29" TargetMode="External"/><Relationship Id="rId405" Type="http://schemas.openxmlformats.org/officeDocument/2006/relationships/hyperlink" Target="https://ref.ly/Heb10:11-Heb10:12" TargetMode="External"/><Relationship Id="rId406" Type="http://schemas.openxmlformats.org/officeDocument/2006/relationships/hyperlink" Target="https://ref.ly/Matt12:6" TargetMode="External"/><Relationship Id="rId407" Type="http://schemas.openxmlformats.org/officeDocument/2006/relationships/hyperlink" Target="https://ref.ly/John2:19-John2:22" TargetMode="External"/><Relationship Id="rId408" Type="http://schemas.openxmlformats.org/officeDocument/2006/relationships/hyperlink" Target="https://ref.ly/John14:6" TargetMode="External"/><Relationship Id="rId409" Type="http://schemas.openxmlformats.org/officeDocument/2006/relationships/hyperlink" Target="https://ref.ly/Heb10:19-Heb10:20" TargetMode="External"/><Relationship Id="rId410" Type="http://schemas.openxmlformats.org/officeDocument/2006/relationships/hyperlink" Target="https://ref.ly/John4:1-John4:54" TargetMode="External"/><Relationship Id="rId411" Type="http://schemas.openxmlformats.org/officeDocument/2006/relationships/hyperlink" Target="https://ref.ly/Deut11:26-Deut11:29" TargetMode="External"/><Relationship Id="rId412" Type="http://schemas.openxmlformats.org/officeDocument/2006/relationships/hyperlink" Target="https://ref.ly/Deut27:1-Deut27:8" TargetMode="External"/><Relationship Id="rId413" Type="http://schemas.openxmlformats.org/officeDocument/2006/relationships/hyperlink" Target="https://ref.ly/Deut12:5" TargetMode="External"/><Relationship Id="rId414" Type="http://schemas.openxmlformats.org/officeDocument/2006/relationships/hyperlink" Target="https://ref.ly/2Chr6:6" TargetMode="External"/><Relationship Id="rId415" Type="http://schemas.openxmlformats.org/officeDocument/2006/relationships/hyperlink" Target="https://ref.ly/2Chr7:12" TargetMode="External"/><Relationship Id="rId416" Type="http://schemas.openxmlformats.org/officeDocument/2006/relationships/hyperlink" Target="https://ref.ly/Ps78:67-Ps78:68" TargetMode="External"/><Relationship Id="rId417" Type="http://schemas.openxmlformats.org/officeDocument/2006/relationships/hyperlink" Target="https://ref.ly/Eph2:22" TargetMode="External"/><Relationship Id="rId418" Type="http://schemas.openxmlformats.org/officeDocument/2006/relationships/hyperlink" Target="https://ref.ly/Rev21:1-Rev21:27" TargetMode="External"/><Relationship Id="rId419" Type="http://schemas.openxmlformats.org/officeDocument/2006/relationships/hyperlink" Target="https://ref.ly/Rev22:1-Rev22:21" TargetMode="External"/><Relationship Id="rId420" Type="http://schemas.openxmlformats.org/officeDocument/2006/relationships/hyperlink" Target="https://ref.ly/1Cor12:13" TargetMode="External"/><Relationship Id="rId421" Type="http://schemas.openxmlformats.org/officeDocument/2006/relationships/hyperlink" Target="https://ref.ly/Ezek47:1-Ezek47:23" TargetMode="External"/><Relationship Id="rId422" Type="http://schemas.openxmlformats.org/officeDocument/2006/relationships/hyperlink" Target="https://ref.ly/Gen10:27" TargetMode="External"/><Relationship Id="rId423" Type="http://schemas.openxmlformats.org/officeDocument/2006/relationships/hyperlink" Target="https://ref.ly/1Chr1:21" TargetMode="External"/><Relationship Id="rId424" Type="http://schemas.openxmlformats.org/officeDocument/2006/relationships/hyperlink" Target="https://ref.ly/1Chr18:10" TargetMode="External"/><Relationship Id="rId425" Type="http://schemas.openxmlformats.org/officeDocument/2006/relationships/hyperlink" Target="https://ref.ly/2Chr10:18" TargetMode="External"/><Relationship Id="rId426" Type="http://schemas.openxmlformats.org/officeDocument/2006/relationships/hyperlink" Target="https://ref.ly/Acts27:2" TargetMode="External"/><Relationship Id="rId427" Type="http://schemas.openxmlformats.org/officeDocument/2006/relationships/hyperlink" Target="https://ref.ly/Acts27:27" TargetMode="External"/><Relationship Id="rId428" Type="http://schemas.openxmlformats.org/officeDocument/2006/relationships/hyperlink" Target="https://ref.ly/Gen38:1,Gen38:12,Gen38:20" TargetMode="External"/><Relationship Id="rId429" Type="http://schemas.openxmlformats.org/officeDocument/2006/relationships/hyperlink" Target="https://ref.ly/Josh15:35" TargetMode="External"/><Relationship Id="rId430" Type="http://schemas.openxmlformats.org/officeDocument/2006/relationships/hyperlink" Target="https://ref.ly/Josh12:15" TargetMode="External"/><Relationship Id="rId431" Type="http://schemas.openxmlformats.org/officeDocument/2006/relationships/hyperlink" Target="https://ref.ly/2Chr11:7" TargetMode="External"/><Relationship Id="rId432" Type="http://schemas.openxmlformats.org/officeDocument/2006/relationships/hyperlink" Target="https://ref.ly/Neh11:30" TargetMode="External"/><Relationship Id="rId433" Type="http://schemas.openxmlformats.org/officeDocument/2006/relationships/hyperlink" Target="https://ref.ly/1Sam22:1" TargetMode="External"/><Relationship Id="rId434" Type="http://schemas.openxmlformats.org/officeDocument/2006/relationships/hyperlink" Target="https://ref.ly/2Sam23:13-2Sam23:17" TargetMode="External"/><Relationship Id="rId435" Type="http://schemas.openxmlformats.org/officeDocument/2006/relationships/hyperlink" Target="https://ref.ly/1Chr11:15-1Chr11:19" TargetMode="External"/><Relationship Id="rId436" Type="http://schemas.openxmlformats.org/officeDocument/2006/relationships/hyperlink" Target="https://ref.ly/Ps57:1-Ps57:11" TargetMode="External"/><Relationship Id="rId437" Type="http://schemas.openxmlformats.org/officeDocument/2006/relationships/hyperlink" Target="https://ref.ly/Ps142:1-Ps142:7" TargetMode="External"/><Relationship Id="rId438" Type="http://schemas.openxmlformats.org/officeDocument/2006/relationships/hyperlink" Target="https://ref.ly/Deut21:15" TargetMode="External"/><Relationship Id="rId439" Type="http://schemas.openxmlformats.org/officeDocument/2006/relationships/hyperlink" Target="https://ref.ly/Gen16:1-Gen16:4" TargetMode="External"/><Relationship Id="rId440" Type="http://schemas.openxmlformats.org/officeDocument/2006/relationships/hyperlink" Target="https://ref.ly/Gen30:1-Gen30:5" TargetMode="External"/><Relationship Id="rId441" Type="http://schemas.openxmlformats.org/officeDocument/2006/relationships/hyperlink" Target="https://ref.ly/Matt5:32" TargetMode="External"/><Relationship Id="rId442" Type="http://schemas.openxmlformats.org/officeDocument/2006/relationships/hyperlink" Target="https://ref.ly/Matt19:9" TargetMode="External"/><Relationship Id="rId443" Type="http://schemas.openxmlformats.org/officeDocument/2006/relationships/hyperlink" Target="https://ref.ly/Rom7:2-Rom7:3" TargetMode="External"/><Relationship Id="rId444" Type="http://schemas.openxmlformats.org/officeDocument/2006/relationships/hyperlink" Target="https://ref.ly/Matt5:27-Matt5:28" TargetMode="External"/><Relationship Id="rId445" Type="http://schemas.openxmlformats.org/officeDocument/2006/relationships/hyperlink" Target="https://ref.ly/Job31:1" TargetMode="External"/><Relationship Id="rId446" Type="http://schemas.openxmlformats.org/officeDocument/2006/relationships/hyperlink" Target="https://ref.ly/Exod20:14" TargetMode="External"/><Relationship Id="rId447" Type="http://schemas.openxmlformats.org/officeDocument/2006/relationships/hyperlink" Target="https://ref.ly/Deut5:18" TargetMode="External"/><Relationship Id="rId448" Type="http://schemas.openxmlformats.org/officeDocument/2006/relationships/hyperlink" Target="https://ref.ly/Jer23:11-Jer23:14" TargetMode="External"/><Relationship Id="rId449" Type="http://schemas.openxmlformats.org/officeDocument/2006/relationships/hyperlink" Target="https://ref.ly/Ezek22:11" TargetMode="External"/><Relationship Id="rId450" Type="http://schemas.openxmlformats.org/officeDocument/2006/relationships/hyperlink" Target="https://ref.ly/Mal3:5" TargetMode="External"/><Relationship Id="rId451" Type="http://schemas.openxmlformats.org/officeDocument/2006/relationships/hyperlink" Target="https://ref.ly/Prov6:23-Prov6:35" TargetMode="External"/><Relationship Id="rId452" Type="http://schemas.openxmlformats.org/officeDocument/2006/relationships/hyperlink" Target="https://ref.ly/Prov7:6-Prov7:27" TargetMode="External"/><Relationship Id="rId453" Type="http://schemas.openxmlformats.org/officeDocument/2006/relationships/hyperlink" Target="https://ref.ly/1Cor6:9" TargetMode="External"/><Relationship Id="rId454" Type="http://schemas.openxmlformats.org/officeDocument/2006/relationships/hyperlink" Target="https://ref.ly/Rom13:9-Rom13:10" TargetMode="External"/><Relationship Id="rId455" Type="http://schemas.openxmlformats.org/officeDocument/2006/relationships/hyperlink" Target="https://ref.ly/Heb13:4" TargetMode="External"/><Relationship Id="rId456" Type="http://schemas.openxmlformats.org/officeDocument/2006/relationships/hyperlink" Target="https://ref.ly/Lev20:10" TargetMode="External"/><Relationship Id="rId457" Type="http://schemas.openxmlformats.org/officeDocument/2006/relationships/hyperlink" Target="https://ref.ly/Deut22:22" TargetMode="External"/><Relationship Id="rId458" Type="http://schemas.openxmlformats.org/officeDocument/2006/relationships/hyperlink" Target="https://ref.ly/Deut22:23-Deut22:27" TargetMode="External"/><Relationship Id="rId459" Type="http://schemas.openxmlformats.org/officeDocument/2006/relationships/hyperlink" Target="https://ref.ly/Deut22:24" TargetMode="External"/><Relationship Id="rId460" Type="http://schemas.openxmlformats.org/officeDocument/2006/relationships/hyperlink" Target="https://ref.ly/Isa54:5-Isa54:8" TargetMode="External"/><Relationship Id="rId461" Type="http://schemas.openxmlformats.org/officeDocument/2006/relationships/hyperlink" Target="https://ref.ly/Rev21:2" TargetMode="External"/><Relationship Id="rId462" Type="http://schemas.openxmlformats.org/officeDocument/2006/relationships/hyperlink" Target="https://ref.ly/Jer5:7-Jer5:8" TargetMode="External"/><Relationship Id="rId463" Type="http://schemas.openxmlformats.org/officeDocument/2006/relationships/hyperlink" Target="https://ref.ly/Jer13:22-Jer13:27" TargetMode="External"/><Relationship Id="rId464" Type="http://schemas.openxmlformats.org/officeDocument/2006/relationships/hyperlink" Target="https://ref.ly/Ezek23:37" TargetMode="External"/><Relationship Id="rId465" Type="http://schemas.openxmlformats.org/officeDocument/2006/relationships/hyperlink" Target="https://ref.ly/Matt12:39" TargetMode="External"/><Relationship Id="rId466" Type="http://schemas.openxmlformats.org/officeDocument/2006/relationships/hyperlink" Target="https://ref.ly/Matt16:4" TargetMode="External"/><Relationship Id="rId467" Type="http://schemas.openxmlformats.org/officeDocument/2006/relationships/hyperlink" Target="https://ref.ly/Mark8:38" TargetMode="External"/><Relationship Id="rId468" Type="http://schemas.openxmlformats.org/officeDocument/2006/relationships/hyperlink" Target="https://ref.ly/Jas4:4" TargetMode="External"/><Relationship Id="rId469" Type="http://schemas.openxmlformats.org/officeDocument/2006/relationships/hyperlink" Target="https://ref.ly/Hos2:2-Hos2:6" TargetMode="External"/><Relationship Id="rId470" Type="http://schemas.openxmlformats.org/officeDocument/2006/relationships/hyperlink" Target="https://ref.ly/Hos3:1-Hos3:5" TargetMode="External"/><Relationship Id="rId471" Type="http://schemas.openxmlformats.org/officeDocument/2006/relationships/hyperlink" Target="https://ref.ly/Jer3:1-Jer3:14" TargetMode="External"/><Relationship Id="rId472" Type="http://schemas.openxmlformats.org/officeDocument/2006/relationships/hyperlink" Target="https://ref.ly/Ezek16:1-Ezek16:63" TargetMode="External"/><Relationship Id="rId473" Type="http://schemas.openxmlformats.org/officeDocument/2006/relationships/hyperlink" Target="https://ref.ly/Josh12:18" TargetMode="External"/><Relationship Id="rId474" Type="http://schemas.openxmlformats.org/officeDocument/2006/relationships/hyperlink" Target="https://ref.ly/1Sam4:1" TargetMode="External"/><Relationship Id="rId475" Type="http://schemas.openxmlformats.org/officeDocument/2006/relationships/hyperlink" Target="https://ref.ly/1Sam29:1" TargetMode="External"/><Relationship Id="rId476" Type="http://schemas.openxmlformats.org/officeDocument/2006/relationships/hyperlink" Target="https://ref.ly/Acts23:31" TargetMode="External"/><Relationship Id="rId477" Type="http://schemas.openxmlformats.org/officeDocument/2006/relationships/hyperlink" Target="https://ref.ly/Josh13:4" TargetMode="External"/><Relationship Id="rId478" Type="http://schemas.openxmlformats.org/officeDocument/2006/relationships/hyperlink" Target="https://ref.ly/Josh19:30" TargetMode="External"/><Relationship Id="rId479" Type="http://schemas.openxmlformats.org/officeDocument/2006/relationships/hyperlink" Target="https://ref.ly/1Kgs20:26,1Kgs20:30" TargetMode="External"/><Relationship Id="rId480" Type="http://schemas.openxmlformats.org/officeDocument/2006/relationships/hyperlink" Target="https://ref.ly/2Kgs13:17" TargetMode="External"/><Relationship Id="rId481" Type="http://schemas.openxmlformats.org/officeDocument/2006/relationships/hyperlink" Target="https://ref.ly/Acts11:27-Acts11:28" TargetMode="External"/><Relationship Id="rId482" Type="http://schemas.openxmlformats.org/officeDocument/2006/relationships/hyperlink" Target="https://ref.ly/Acts21:10-Acts21:11" TargetMode="External"/><Relationship Id="rId483" Type="http://schemas.openxmlformats.org/officeDocument/2006/relationships/hyperlink" Target="https://ref.ly/Num24:7" TargetMode="External"/><Relationship Id="rId484" Type="http://schemas.openxmlformats.org/officeDocument/2006/relationships/hyperlink" Target="https://ref.ly/1Sam15:1-1Sam15:35" TargetMode="External"/><Relationship Id="rId485" Type="http://schemas.openxmlformats.org/officeDocument/2006/relationships/hyperlink" Target="https://ref.ly/Gen16:1-Gen16:16" TargetMode="External"/><Relationship Id="rId486" Type="http://schemas.openxmlformats.org/officeDocument/2006/relationships/hyperlink" Target="https://ref.ly/Gen21:9-Gen21:21" TargetMode="External"/><Relationship Id="rId487" Type="http://schemas.openxmlformats.org/officeDocument/2006/relationships/hyperlink" Target="https://ref.ly/Gen12:2,Gen12:7" TargetMode="External"/><Relationship Id="rId488" Type="http://schemas.openxmlformats.org/officeDocument/2006/relationships/hyperlink" Target="https://ref.ly/Gen30:1-Gen30:6" TargetMode="External"/><Relationship Id="rId489" Type="http://schemas.openxmlformats.org/officeDocument/2006/relationships/hyperlink" Target="https://ref.ly/Gen21:9" TargetMode="External"/><Relationship Id="rId490" Type="http://schemas.openxmlformats.org/officeDocument/2006/relationships/hyperlink" Target="https://ref.ly/Gen21:12" TargetMode="External"/><Relationship Id="rId491" Type="http://schemas.openxmlformats.org/officeDocument/2006/relationships/hyperlink" Target="https://ref.ly/Gen21:17-Gen21:19" TargetMode="External"/><Relationship Id="rId492" Type="http://schemas.openxmlformats.org/officeDocument/2006/relationships/hyperlink" Target="https://ref.ly/Gal4:22-Gal4:31" TargetMode="External"/><Relationship Id="rId493" Type="http://schemas.openxmlformats.org/officeDocument/2006/relationships/hyperlink" Target="https://ref.ly/Ezra5:1-Ezra5:2" TargetMode="External"/><Relationship Id="rId494" Type="http://schemas.openxmlformats.org/officeDocument/2006/relationships/hyperlink" Target="https://ref.ly/Ezra6:14" TargetMode="External"/><Relationship Id="rId495" Type="http://schemas.openxmlformats.org/officeDocument/2006/relationships/hyperlink" Target="https://ref.ly/Hag1:1" TargetMode="External"/><Relationship Id="rId496" Type="http://schemas.openxmlformats.org/officeDocument/2006/relationships/hyperlink" Target="https://ref.ly/Hag2:2" TargetMode="External"/><Relationship Id="rId497" Type="http://schemas.openxmlformats.org/officeDocument/2006/relationships/hyperlink" Target="https://ref.ly/Hag2:11" TargetMode="External"/><Relationship Id="rId498" Type="http://schemas.openxmlformats.org/officeDocument/2006/relationships/hyperlink" Target="https://ref.ly/Hag2:21" TargetMode="External"/><Relationship Id="rId499" Type="http://schemas.openxmlformats.org/officeDocument/2006/relationships/hyperlink" Target="https://ref.ly/Hag1:5,Hag1:7" TargetMode="External"/><Relationship Id="rId500" Type="http://schemas.openxmlformats.org/officeDocument/2006/relationships/hyperlink" Target="https://ref.ly/Hag2:15,Hag2:18" TargetMode="External"/><Relationship Id="rId501" Type="http://schemas.openxmlformats.org/officeDocument/2006/relationships/hyperlink" Target="https://ref.ly/Rom13:11-Rom13:14" TargetMode="External"/><Relationship Id="rId502" Type="http://schemas.openxmlformats.org/officeDocument/2006/relationships/hyperlink" Target="https://ref.ly/Matt28:19-Matt28:20" TargetMode="External"/><Relationship Id="rId503" Type="http://schemas.openxmlformats.org/officeDocument/2006/relationships/hyperlink" Target="https://ref.ly/Eph3:8-Eph3:21" TargetMode="External"/><Relationship Id="rId504" Type="http://schemas.openxmlformats.org/officeDocument/2006/relationships/hyperlink" Target="https://ref.ly/Heb13:5-Heb13:6" TargetMode="External"/><Relationship Id="rId505" Type="http://schemas.openxmlformats.org/officeDocument/2006/relationships/hyperlink" Target="https://ref.ly/2Cor6:14-2Cor7:1" TargetMode="External"/><Relationship Id="rId506" Type="http://schemas.openxmlformats.org/officeDocument/2006/relationships/hyperlink" Target="https://ref.ly/2Tim2:19-2Tim2:26" TargetMode="External"/><Relationship Id="rId507" Type="http://schemas.openxmlformats.org/officeDocument/2006/relationships/hyperlink" Target="https://ref.ly/Heb12:3-Heb12:13" TargetMode="External"/><Relationship Id="rId508" Type="http://schemas.openxmlformats.org/officeDocument/2006/relationships/hyperlink" Target="https://ref.ly/Jas4:1-Jas4:3" TargetMode="External"/><Relationship Id="rId509" Type="http://schemas.openxmlformats.org/officeDocument/2006/relationships/hyperlink" Target="https://ref.ly/Rom15:4-Rom15:13" TargetMode="External"/><Relationship Id="rId510" Type="http://schemas.openxmlformats.org/officeDocument/2006/relationships/hyperlink" Target="https://ref.ly/2Pet3:10-2Pet3:18" TargetMode="External"/><Relationship Id="rId511" Type="http://schemas.openxmlformats.org/officeDocument/2006/relationships/hyperlink" Target="https://ref.ly/1Cor11:28" TargetMode="External"/><Relationship Id="rId512" Type="http://schemas.openxmlformats.org/officeDocument/2006/relationships/hyperlink" Target="https://ref.ly/2Cor13:5" TargetMode="External"/><Relationship Id="rId513" Type="http://schemas.openxmlformats.org/officeDocument/2006/relationships/hyperlink" Target="https://ref.ly/Jude1:1-Jude1:25" TargetMode="External"/><Relationship Id="rId514" Type="http://schemas.openxmlformats.org/officeDocument/2006/relationships/hyperlink" Target="https://ref.ly/Num28:11-Num28:15" TargetMode="External"/><Relationship Id="rId515" Type="http://schemas.openxmlformats.org/officeDocument/2006/relationships/hyperlink" Target="https://ref.ly/Hag1:2" TargetMode="External"/><Relationship Id="rId516" Type="http://schemas.openxmlformats.org/officeDocument/2006/relationships/hyperlink" Target="https://ref.ly/Hag1:4" TargetMode="External"/><Relationship Id="rId517" Type="http://schemas.openxmlformats.org/officeDocument/2006/relationships/hyperlink" Target="https://ref.ly/Hag1:5" TargetMode="External"/><Relationship Id="rId518" Type="http://schemas.openxmlformats.org/officeDocument/2006/relationships/hyperlink" Target="https://ref.ly/Hag1:6" TargetMode="External"/><Relationship Id="rId519" Type="http://schemas.openxmlformats.org/officeDocument/2006/relationships/hyperlink" Target="https://ref.ly/Deut28:15-Deut29:1" TargetMode="External"/><Relationship Id="rId520" Type="http://schemas.openxmlformats.org/officeDocument/2006/relationships/hyperlink" Target="https://ref.ly/Hag1:7" TargetMode="External"/><Relationship Id="rId521" Type="http://schemas.openxmlformats.org/officeDocument/2006/relationships/hyperlink" Target="https://ref.ly/Hag1:8" TargetMode="External"/><Relationship Id="rId522" Type="http://schemas.openxmlformats.org/officeDocument/2006/relationships/hyperlink" Target="https://ref.ly/Hag1:9-Hag1:11" TargetMode="External"/><Relationship Id="rId523" Type="http://schemas.openxmlformats.org/officeDocument/2006/relationships/hyperlink" Target="https://ref.ly/Hag1:12" TargetMode="External"/><Relationship Id="rId524" Type="http://schemas.openxmlformats.org/officeDocument/2006/relationships/hyperlink" Target="https://ref.ly/Hag1:13" TargetMode="External"/><Relationship Id="rId525" Type="http://schemas.openxmlformats.org/officeDocument/2006/relationships/hyperlink" Target="https://ref.ly/Hag2:1" TargetMode="External"/><Relationship Id="rId526" Type="http://schemas.openxmlformats.org/officeDocument/2006/relationships/hyperlink" Target="https://ref.ly/Ezra5:3-Ezra6:12" TargetMode="External"/><Relationship Id="rId527" Type="http://schemas.openxmlformats.org/officeDocument/2006/relationships/hyperlink" Target="https://ref.ly/Ezra5:5" TargetMode="External"/><Relationship Id="rId528" Type="http://schemas.openxmlformats.org/officeDocument/2006/relationships/hyperlink" Target="https://ref.ly/Lev23:33-Lev23:43" TargetMode="External"/><Relationship Id="rId529" Type="http://schemas.openxmlformats.org/officeDocument/2006/relationships/hyperlink" Target="https://ref.ly/1Kgs8:1-1Kgs8:11" TargetMode="External"/><Relationship Id="rId530" Type="http://schemas.openxmlformats.org/officeDocument/2006/relationships/hyperlink" Target="https://ref.ly/Ezek9:1-Ezek11:23" TargetMode="External"/><Relationship Id="rId531" Type="http://schemas.openxmlformats.org/officeDocument/2006/relationships/hyperlink" Target="https://ref.ly/Hag2:3" TargetMode="External"/><Relationship Id="rId532" Type="http://schemas.openxmlformats.org/officeDocument/2006/relationships/hyperlink" Target="https://ref.ly/Hag2:4" TargetMode="External"/><Relationship Id="rId533" Type="http://schemas.openxmlformats.org/officeDocument/2006/relationships/hyperlink" Target="https://ref.ly/Hag2:5" TargetMode="External"/><Relationship Id="rId534" Type="http://schemas.openxmlformats.org/officeDocument/2006/relationships/hyperlink" Target="https://ref.ly/Hag2:6-Hag2:9" TargetMode="External"/><Relationship Id="rId535" Type="http://schemas.openxmlformats.org/officeDocument/2006/relationships/hyperlink" Target="https://ref.ly/Hag2:6-Hag2:7" TargetMode="External"/><Relationship Id="rId536" Type="http://schemas.openxmlformats.org/officeDocument/2006/relationships/hyperlink" Target="https://ref.ly/Hag2:7" TargetMode="External"/><Relationship Id="rId537" Type="http://schemas.openxmlformats.org/officeDocument/2006/relationships/hyperlink" Target="https://ref.ly/Hag2:8" TargetMode="External"/><Relationship Id="rId538" Type="http://schemas.openxmlformats.org/officeDocument/2006/relationships/hyperlink" Target="https://ref.ly/Isa60:5,Isa60:11" TargetMode="External"/><Relationship Id="rId539" Type="http://schemas.openxmlformats.org/officeDocument/2006/relationships/hyperlink" Target="https://ref.ly/Rev21:24" TargetMode="External"/><Relationship Id="rId540" Type="http://schemas.openxmlformats.org/officeDocument/2006/relationships/hyperlink" Target="https://ref.ly/Hag2:10" TargetMode="External"/><Relationship Id="rId541" Type="http://schemas.openxmlformats.org/officeDocument/2006/relationships/hyperlink" Target="https://ref.ly/Hag2:12" TargetMode="External"/><Relationship Id="rId542" Type="http://schemas.openxmlformats.org/officeDocument/2006/relationships/hyperlink" Target="https://ref.ly/Hag2:13" TargetMode="External"/><Relationship Id="rId543" Type="http://schemas.openxmlformats.org/officeDocument/2006/relationships/hyperlink" Target="https://ref.ly/Lev22:4-Lev22:6" TargetMode="External"/><Relationship Id="rId544" Type="http://schemas.openxmlformats.org/officeDocument/2006/relationships/hyperlink" Target="https://ref.ly/Num19:11" TargetMode="External"/><Relationship Id="rId545" Type="http://schemas.openxmlformats.org/officeDocument/2006/relationships/hyperlink" Target="https://ref.ly/Hag2:14" TargetMode="External"/><Relationship Id="rId546" Type="http://schemas.openxmlformats.org/officeDocument/2006/relationships/hyperlink" Target="https://ref.ly/Hag2:19" TargetMode="External"/><Relationship Id="rId547" Type="http://schemas.openxmlformats.org/officeDocument/2006/relationships/hyperlink" Target="https://ref.ly/Hag2:20" TargetMode="External"/><Relationship Id="rId548" Type="http://schemas.openxmlformats.org/officeDocument/2006/relationships/hyperlink" Target="https://ref.ly/2Sam7:4-2Sam7:17" TargetMode="External"/><Relationship Id="rId549" Type="http://schemas.openxmlformats.org/officeDocument/2006/relationships/hyperlink" Target="https://ref.ly/1Chr3:1,1Chr3:5,1Chr3:10,1Chr3:17-1Chr3:20" TargetMode="External"/><Relationship Id="rId550" Type="http://schemas.openxmlformats.org/officeDocument/2006/relationships/hyperlink" Target="https://ref.ly/Hag2:6-Hag2:7,Hag2:21-Hag2:22" TargetMode="External"/><Relationship Id="rId551" Type="http://schemas.openxmlformats.org/officeDocument/2006/relationships/hyperlink" Target="https://ref.ly/Rev11:15-Rev11:18" TargetMode="External"/><Relationship Id="rId552" Type="http://schemas.openxmlformats.org/officeDocument/2006/relationships/hyperlink" Target="https://ref.ly/Hag2:23" TargetMode="External"/><Relationship Id="rId553" Type="http://schemas.openxmlformats.org/officeDocument/2006/relationships/hyperlink" Target="https://ref.ly/Esth3:10" TargetMode="External"/><Relationship Id="rId554" Type="http://schemas.openxmlformats.org/officeDocument/2006/relationships/hyperlink" Target="https://ref.ly/Esth8:8-Esth8:10" TargetMode="External"/><Relationship Id="rId555" Type="http://schemas.openxmlformats.org/officeDocument/2006/relationships/hyperlink" Target="https://ref.ly/Gen41:42" TargetMode="External"/><Relationship Id="rId556" Type="http://schemas.openxmlformats.org/officeDocument/2006/relationships/hyperlink" Target="https://ref.ly/Matt1:12" TargetMode="External"/><Relationship Id="rId557" Type="http://schemas.openxmlformats.org/officeDocument/2006/relationships/hyperlink" Target="https://ref.ly/Luke3:27" TargetMode="External"/><Relationship Id="rId558" Type="http://schemas.openxmlformats.org/officeDocument/2006/relationships/hyperlink" Target="https://ref.ly/Gen4:20" TargetMode="External"/><Relationship Id="rId559" Type="http://schemas.openxmlformats.org/officeDocument/2006/relationships/hyperlink" Target="https://ref.ly/Gen47:3" TargetMode="External"/><Relationship Id="rId560" Type="http://schemas.openxmlformats.org/officeDocument/2006/relationships/hyperlink" Target="https://ref.ly/Num32:1" TargetMode="External"/><Relationship Id="rId561" Type="http://schemas.openxmlformats.org/officeDocument/2006/relationships/hyperlink" Target="https://ref.ly/1Sam25:2" TargetMode="External"/><Relationship Id="rId562" Type="http://schemas.openxmlformats.org/officeDocument/2006/relationships/hyperlink" Target="https://ref.ly/Gen26:12" TargetMode="External"/><Relationship Id="rId563" Type="http://schemas.openxmlformats.org/officeDocument/2006/relationships/hyperlink" Target="https://ref.ly/Gen37:6-Gen37:7" TargetMode="External"/><Relationship Id="rId564" Type="http://schemas.openxmlformats.org/officeDocument/2006/relationships/hyperlink" Target="https://ref.ly/Num13:26" TargetMode="External"/><Relationship Id="rId565" Type="http://schemas.openxmlformats.org/officeDocument/2006/relationships/hyperlink" Target="https://ref.ly/Judg9:27" TargetMode="External"/><Relationship Id="rId566" Type="http://schemas.openxmlformats.org/officeDocument/2006/relationships/hyperlink" Target="https://ref.ly/2Sam14:30" TargetMode="External"/><Relationship Id="rId567" Type="http://schemas.openxmlformats.org/officeDocument/2006/relationships/hyperlink" Target="https://ref.ly/2Chr2:10" TargetMode="External"/><Relationship Id="rId568" Type="http://schemas.openxmlformats.org/officeDocument/2006/relationships/hyperlink" Target="https://ref.ly/Ezek27:17" TargetMode="External"/><Relationship Id="rId569" Type="http://schemas.openxmlformats.org/officeDocument/2006/relationships/hyperlink" Target="https://ref.ly/Judg7:13" TargetMode="External"/><Relationship Id="rId570" Type="http://schemas.openxmlformats.org/officeDocument/2006/relationships/hyperlink" Target="https://ref.ly/John6:9,John6:13" TargetMode="External"/><Relationship Id="rId571" Type="http://schemas.openxmlformats.org/officeDocument/2006/relationships/hyperlink" Target="https://ref.ly/2Sam17:28" TargetMode="External"/><Relationship Id="rId572" Type="http://schemas.openxmlformats.org/officeDocument/2006/relationships/hyperlink" Target="https://ref.ly/Ezek4:9" TargetMode="External"/><Relationship Id="rId573" Type="http://schemas.openxmlformats.org/officeDocument/2006/relationships/hyperlink" Target="https://ref.ly/Josh2:6" TargetMode="External"/><Relationship Id="rId574" Type="http://schemas.openxmlformats.org/officeDocument/2006/relationships/hyperlink" Target="https://ref.ly/Isa19:9" TargetMode="External"/><Relationship Id="rId575" Type="http://schemas.openxmlformats.org/officeDocument/2006/relationships/hyperlink" Target="https://ref.ly/Josh17:18" TargetMode="External"/><Relationship Id="rId576" Type="http://schemas.openxmlformats.org/officeDocument/2006/relationships/hyperlink" Target="https://ref.ly/Isa5:2" TargetMode="External"/><Relationship Id="rId577" Type="http://schemas.openxmlformats.org/officeDocument/2006/relationships/hyperlink" Target="https://ref.ly/Judg14:18" TargetMode="External"/><Relationship Id="rId578" Type="http://schemas.openxmlformats.org/officeDocument/2006/relationships/hyperlink" Target="https://ref.ly/Deut22:10" TargetMode="External"/><Relationship Id="rId579" Type="http://schemas.openxmlformats.org/officeDocument/2006/relationships/hyperlink" Target="https://ref.ly/1Sam13:20" TargetMode="External"/><Relationship Id="rId580" Type="http://schemas.openxmlformats.org/officeDocument/2006/relationships/hyperlink" Target="https://ref.ly/Luke13:8" TargetMode="External"/><Relationship Id="rId581" Type="http://schemas.openxmlformats.org/officeDocument/2006/relationships/hyperlink" Target="https://ref.ly/Ps126:6" TargetMode="External"/><Relationship Id="rId582" Type="http://schemas.openxmlformats.org/officeDocument/2006/relationships/hyperlink" Target="https://ref.ly/Judg6:11" TargetMode="External"/><Relationship Id="rId583" Type="http://schemas.openxmlformats.org/officeDocument/2006/relationships/hyperlink" Target="https://ref.ly/Ruth2:17" TargetMode="External"/><Relationship Id="rId584" Type="http://schemas.openxmlformats.org/officeDocument/2006/relationships/hyperlink" Target="https://ref.ly/Isa28:27" TargetMode="External"/><Relationship Id="rId585" Type="http://schemas.openxmlformats.org/officeDocument/2006/relationships/hyperlink" Target="https://ref.ly/Isa41:15" TargetMode="External"/><Relationship Id="rId586" Type="http://schemas.openxmlformats.org/officeDocument/2006/relationships/hyperlink" Target="https://ref.ly/Isa30:24" TargetMode="External"/><Relationship Id="rId587" Type="http://schemas.openxmlformats.org/officeDocument/2006/relationships/hyperlink" Target="https://ref.ly/Jer15:7" TargetMode="External"/><Relationship Id="rId588" Type="http://schemas.openxmlformats.org/officeDocument/2006/relationships/hyperlink" Target="https://ref.ly/Amos9:9" TargetMode="External"/><Relationship Id="rId589" Type="http://schemas.openxmlformats.org/officeDocument/2006/relationships/hyperlink" Target="https://ref.ly/Jer41:8" TargetMode="External"/><Relationship Id="rId590" Type="http://schemas.openxmlformats.org/officeDocument/2006/relationships/hyperlink" Target="https://ref.ly/Deut28:8" TargetMode="External"/><Relationship Id="rId591" Type="http://schemas.openxmlformats.org/officeDocument/2006/relationships/hyperlink" Target="https://ref.ly/Gen1:9-Gen1:10" TargetMode="External"/><Relationship Id="rId592" Type="http://schemas.openxmlformats.org/officeDocument/2006/relationships/hyperlink" Target="https://ref.ly/2Pet3:5" TargetMode="External"/><Relationship Id="rId593" Type="http://schemas.openxmlformats.org/officeDocument/2006/relationships/hyperlink" Target="https://ref.ly/Gen2:10-Gen2:14" TargetMode="External"/><Relationship Id="rId594" Type="http://schemas.openxmlformats.org/officeDocument/2006/relationships/hyperlink" Target="https://ref.ly/Gen2:5-Gen2:6" TargetMode="External"/><Relationship Id="rId595" Type="http://schemas.openxmlformats.org/officeDocument/2006/relationships/hyperlink" Target="https://ref.ly/2Pet3:6" TargetMode="External"/><Relationship Id="rId596" Type="http://schemas.openxmlformats.org/officeDocument/2006/relationships/hyperlink" Target="https://ref.ly/Deut11:10-Deut11:11" TargetMode="External"/><Relationship Id="rId597" Type="http://schemas.openxmlformats.org/officeDocument/2006/relationships/hyperlink" Target="https://ref.ly/Ps1:3" TargetMode="External"/><Relationship Id="rId598" Type="http://schemas.openxmlformats.org/officeDocument/2006/relationships/hyperlink" Target="https://ref.ly/Jer17:8" TargetMode="External"/><Relationship Id="rId599" Type="http://schemas.openxmlformats.org/officeDocument/2006/relationships/hyperlink" Target="https://ref.ly/Ps63:1" TargetMode="External"/><Relationship Id="rId600" Type="http://schemas.openxmlformats.org/officeDocument/2006/relationships/hyperlink" Target="https://ref.ly/Ps143:6" TargetMode="External"/><Relationship Id="rId601" Type="http://schemas.openxmlformats.org/officeDocument/2006/relationships/hyperlink" Target="https://ref.ly/John7:37-John7:38" TargetMode="External"/><Relationship Id="rId602" Type="http://schemas.openxmlformats.org/officeDocument/2006/relationships/hyperlink" Target="https://ref.ly/John4:14" TargetMode="External"/><Relationship Id="rId603" Type="http://schemas.openxmlformats.org/officeDocument/2006/relationships/hyperlink" Target="https://ref.ly/John7:38-John7:39" TargetMode="External"/><Relationship Id="rId604" Type="http://schemas.openxmlformats.org/officeDocument/2006/relationships/hyperlink" Target="https://ref.ly/Eph5:26" TargetMode="External"/><Relationship Id="rId605" Type="http://schemas.openxmlformats.org/officeDocument/2006/relationships/hyperlink" Target="https://ref.ly/Titus3:5" TargetMode="External"/><Relationship Id="rId606" Type="http://schemas.openxmlformats.org/officeDocument/2006/relationships/hyperlink" Target="https://ref.ly/Rev21:6" TargetMode="External"/><Relationship Id="rId607" Type="http://schemas.openxmlformats.org/officeDocument/2006/relationships/hyperlink" Target="https://ref.ly/Rev22:1-Rev22:2" TargetMode="External"/><Relationship Id="rId608" Type="http://schemas.openxmlformats.org/officeDocument/2006/relationships/hyperlink" Target="https://ref.ly/Rev22:17" TargetMode="External"/><Relationship Id="rId609" Type="http://schemas.openxmlformats.org/officeDocument/2006/relationships/hyperlink" Target="https://ref.ly/Num19:9,Num19:13,Num19:20-Num19:21" TargetMode="External"/><Relationship Id="rId610" Type="http://schemas.openxmlformats.org/officeDocument/2006/relationships/hyperlink" Target="https://ref.ly/Num31:23" TargetMode="External"/><Relationship Id="rId611" Type="http://schemas.openxmlformats.org/officeDocument/2006/relationships/hyperlink" Target="https://ref.ly/Lev11:13" TargetMode="External"/><Relationship Id="rId612" Type="http://schemas.openxmlformats.org/officeDocument/2006/relationships/hyperlink" Target="https://ref.ly/Deut14:12" TargetMode="External"/><Relationship Id="rId613" Type="http://schemas.openxmlformats.org/officeDocument/2006/relationships/hyperlink" Target="https://ref.ly/Matt19:24" TargetMode="External"/><Relationship Id="rId614" Type="http://schemas.openxmlformats.org/officeDocument/2006/relationships/hyperlink" Target="https://ref.ly/Mark10:25" TargetMode="External"/><Relationship Id="rId615" Type="http://schemas.openxmlformats.org/officeDocument/2006/relationships/hyperlink" Target="https://ref.ly/Luke18:25" TargetMode="External"/><Relationship Id="rId616" Type="http://schemas.openxmlformats.org/officeDocument/2006/relationships/hyperlink" Target="https://ref.ly/Matt19:21-Matt19:22" TargetMode="External"/><Relationship Id="rId617" Type="http://schemas.openxmlformats.org/officeDocument/2006/relationships/hyperlink" Target="https://ref.ly/Mark10:21-Mark10:22" TargetMode="External"/><Relationship Id="rId618" Type="http://schemas.openxmlformats.org/officeDocument/2006/relationships/hyperlink" Target="https://ref.ly/Luke18:22-Luke18:23" TargetMode="External"/><Relationship Id="rId619" Type="http://schemas.openxmlformats.org/officeDocument/2006/relationships/hyperlink" Target="https://ref.ly/Prov30:1-Prov30:33" TargetMode="External"/><Relationship Id="rId620" Type="http://schemas.openxmlformats.org/officeDocument/2006/relationships/hyperlink" Target="https://ref.ly/Prov30:1" TargetMode="External"/><Relationship Id="rId621" Type="http://schemas.openxmlformats.org/officeDocument/2006/relationships/hyperlink" Target="https://ref.ly/Gen25:14" TargetMode="External"/><Relationship Id="rId622" Type="http://schemas.openxmlformats.org/officeDocument/2006/relationships/hyperlink" Target="https://ref.ly/1Chr1:30" TargetMode="External"/><Relationship Id="rId623" Type="http://schemas.openxmlformats.org/officeDocument/2006/relationships/hyperlink" Target="https://ref.ly/Gen13:3" TargetMode="External"/><Relationship Id="rId624" Type="http://schemas.openxmlformats.org/officeDocument/2006/relationships/hyperlink" Target="https://ref.ly/Josh7:1-Josh8:29" TargetMode="External"/><Relationship Id="rId625" Type="http://schemas.openxmlformats.org/officeDocument/2006/relationships/hyperlink" Target="https://ref.ly/Josh10:1" TargetMode="External"/><Relationship Id="rId626" Type="http://schemas.openxmlformats.org/officeDocument/2006/relationships/hyperlink" Target="https://ref.ly/1Chr7:28" TargetMode="External"/><Relationship Id="rId627" Type="http://schemas.openxmlformats.org/officeDocument/2006/relationships/hyperlink" Target="https://ref.ly/Isa10:28" TargetMode="External"/><Relationship Id="rId628" Type="http://schemas.openxmlformats.org/officeDocument/2006/relationships/hyperlink" Target="https://ref.ly/Neh11:31" TargetMode="External"/><Relationship Id="rId629" Type="http://schemas.openxmlformats.org/officeDocument/2006/relationships/hyperlink" Target="https://ref.ly/Gen36:24" TargetMode="External"/><Relationship Id="rId630" Type="http://schemas.openxmlformats.org/officeDocument/2006/relationships/hyperlink" Target="https://ref.ly/1Chr1:35-1Chr1:40" TargetMode="External"/><Relationship Id="rId631" Type="http://schemas.openxmlformats.org/officeDocument/2006/relationships/hyperlink" Target="https://ref.ly/2Sam3:7" TargetMode="External"/><Relationship Id="rId632" Type="http://schemas.openxmlformats.org/officeDocument/2006/relationships/hyperlink" Target="https://ref.ly/2Sam21:8-2Sam21:11" TargetMode="External"/><Relationship Id="rId633" Type="http://schemas.openxmlformats.org/officeDocument/2006/relationships/hyperlink" Target="https://ref.ly/Num1:12" TargetMode="External"/><Relationship Id="rId634" Type="http://schemas.openxmlformats.org/officeDocument/2006/relationships/hyperlink" Target="https://ref.ly/Num2:25" TargetMode="External"/><Relationship Id="rId635" Type="http://schemas.openxmlformats.org/officeDocument/2006/relationships/hyperlink" Target="https://ref.ly/Num7:66,Num7:71" TargetMode="External"/><Relationship Id="rId636" Type="http://schemas.openxmlformats.org/officeDocument/2006/relationships/hyperlink" Target="https://ref.ly/Num10:25" TargetMode="External"/><Relationship Id="rId637" Type="http://schemas.openxmlformats.org/officeDocument/2006/relationships/hyperlink" Target="https://ref.ly/1Chr12:2-1Chr12:3" TargetMode="External"/><Relationship Id="rId638" Type="http://schemas.openxmlformats.org/officeDocument/2006/relationships/hyperlink" Target="https://ref.ly/Ps22:1-Ps22:31" TargetMode="External"/><Relationship Id="rId639" Type="http://schemas.openxmlformats.org/officeDocument/2006/relationships/hyperlink" Target="https://ref.ly/Num34:11" TargetMode="External"/><Relationship Id="rId640" Type="http://schemas.openxmlformats.org/officeDocument/2006/relationships/hyperlink" Target="https://ref.ly/Josh19:7" TargetMode="External"/><Relationship Id="rId641" Type="http://schemas.openxmlformats.org/officeDocument/2006/relationships/hyperlink" Target="https://ref.ly/Neh11:29" TargetMode="External"/><Relationship Id="rId642" Type="http://schemas.openxmlformats.org/officeDocument/2006/relationships/hyperlink" Target="https://ref.ly/Josh21:16" TargetMode="External"/><Relationship Id="rId643" Type="http://schemas.openxmlformats.org/officeDocument/2006/relationships/hyperlink" Target="https://ref.ly/1Chr6:59" TargetMode="External"/><Relationship Id="rId644" Type="http://schemas.openxmlformats.org/officeDocument/2006/relationships/hyperlink" Target="https://ref.ly/Num13:22" TargetMode="External"/><Relationship Id="rId645" Type="http://schemas.openxmlformats.org/officeDocument/2006/relationships/hyperlink" Target="https://ref.ly/Josh15:13-Josh15:14" TargetMode="External"/><Relationship Id="rId646" Type="http://schemas.openxmlformats.org/officeDocument/2006/relationships/hyperlink" Target="https://ref.ly/Judg1:10" TargetMode="External"/><Relationship Id="rId647" Type="http://schemas.openxmlformats.org/officeDocument/2006/relationships/hyperlink" Target="https://ref.ly/1Chr9:17" TargetMode="External"/><Relationship Id="rId648" Type="http://schemas.openxmlformats.org/officeDocument/2006/relationships/hyperlink" Target="https://ref.ly/1Sam21:1-1Sam21:9" TargetMode="External"/><Relationship Id="rId649" Type="http://schemas.openxmlformats.org/officeDocument/2006/relationships/hyperlink" Target="https://ref.ly/Matt12:1-Matt12:8" TargetMode="External"/><Relationship Id="rId650" Type="http://schemas.openxmlformats.org/officeDocument/2006/relationships/hyperlink" Target="https://ref.ly/1Sam22:9-1Sam22:19" TargetMode="External"/><Relationship Id="rId651" Type="http://schemas.openxmlformats.org/officeDocument/2006/relationships/hyperlink" Target="https://ref.ly/1Sam22:20-1Sam22:23" TargetMode="External"/><Relationship Id="rId652" Type="http://schemas.openxmlformats.org/officeDocument/2006/relationships/hyperlink" Target="https://ref.ly/Ps52:1-Ps52:9" TargetMode="External"/><Relationship Id="rId653" Type="http://schemas.openxmlformats.org/officeDocument/2006/relationships/hyperlink" Target="https://ref.ly/1Sam26:6" TargetMode="External"/><Relationship Id="rId654" Type="http://schemas.openxmlformats.org/officeDocument/2006/relationships/hyperlink" Target="https://ref.ly/1Chr24:3,1Chr24:5,1Chr24:31" TargetMode="External"/><Relationship Id="rId655" Type="http://schemas.openxmlformats.org/officeDocument/2006/relationships/hyperlink" Target="https://ref.ly/Num1:15" TargetMode="External"/><Relationship Id="rId656" Type="http://schemas.openxmlformats.org/officeDocument/2006/relationships/hyperlink" Target="https://ref.ly/Num2:29" TargetMode="External"/><Relationship Id="rId657" Type="http://schemas.openxmlformats.org/officeDocument/2006/relationships/hyperlink" Target="https://ref.ly/Num7:78,Num7:83" TargetMode="External"/><Relationship Id="rId658" Type="http://schemas.openxmlformats.org/officeDocument/2006/relationships/hyperlink" Target="https://ref.ly/Num10:27" TargetMode="External"/><Relationship Id="rId659" Type="http://schemas.openxmlformats.org/officeDocument/2006/relationships/hyperlink" Target="https://ref.ly/Num26:38" TargetMode="External"/><Relationship Id="rId660" Type="http://schemas.openxmlformats.org/officeDocument/2006/relationships/hyperlink" Target="https://ref.ly/1Chr8:1" TargetMode="External"/><Relationship Id="rId661" Type="http://schemas.openxmlformats.org/officeDocument/2006/relationships/hyperlink" Target="https://ref.ly/Gen46:21" TargetMode="External"/><Relationship Id="rId662" Type="http://schemas.openxmlformats.org/officeDocument/2006/relationships/hyperlink" Target="https://ref.ly/1Chr7:12" TargetMode="External"/><Relationship Id="rId663" Type="http://schemas.openxmlformats.org/officeDocument/2006/relationships/hyperlink" Target="https://ref.ly/Exod31:6" TargetMode="External"/><Relationship Id="rId664" Type="http://schemas.openxmlformats.org/officeDocument/2006/relationships/hyperlink" Target="https://ref.ly/Exod35:34" TargetMode="External"/><Relationship Id="rId665" Type="http://schemas.openxmlformats.org/officeDocument/2006/relationships/hyperlink" Target="https://ref.ly/Exod38:23" TargetMode="External"/><Relationship Id="rId666" Type="http://schemas.openxmlformats.org/officeDocument/2006/relationships/hyperlink" Target="https://ref.ly/Num34:17,Num34:27" TargetMode="External"/><Relationship Id="rId667" Type="http://schemas.openxmlformats.org/officeDocument/2006/relationships/hyperlink" Target="https://ref.ly/1Chr8:7" TargetMode="External"/><Relationship Id="rId668" Type="http://schemas.openxmlformats.org/officeDocument/2006/relationships/hyperlink" Target="https://ref.ly/1Chr8:6" TargetMode="External"/><Relationship Id="rId669" Type="http://schemas.openxmlformats.org/officeDocument/2006/relationships/hyperlink" Target="https://ref.ly/Gen41:43" TargetMode="External"/><Relationship Id="rId670" Type="http://schemas.openxmlformats.org/officeDocument/2006/relationships/hyperlink" Target="https://ref.ly/Isa45:23" TargetMode="External"/><Relationship Id="rId671" Type="http://schemas.openxmlformats.org/officeDocument/2006/relationships/hyperlink" Target="https://ref.ly/Rom14:11" TargetMode="External"/><Relationship Id="rId672" Type="http://schemas.openxmlformats.org/officeDocument/2006/relationships/hyperlink" Target="https://ref.ly/Phil2:10" TargetMode="External"/><Relationship Id="rId673" Type="http://schemas.openxmlformats.org/officeDocument/2006/relationships/hyperlink" Target="https://ref.ly/1Kgs19:18" TargetMode="External"/><Relationship Id="rId674" Type="http://schemas.openxmlformats.org/officeDocument/2006/relationships/hyperlink" Target="https://ref.ly/Rom11:4" TargetMode="External"/><Relationship Id="rId675" Type="http://schemas.openxmlformats.org/officeDocument/2006/relationships/hyperlink" Target="https://ref.ly/Deut28:35" TargetMode="External"/><Relationship Id="rId676" Type="http://schemas.openxmlformats.org/officeDocument/2006/relationships/hyperlink" Target="https://ref.ly/Isa35:3" TargetMode="External"/><Relationship Id="rId677" Type="http://schemas.openxmlformats.org/officeDocument/2006/relationships/hyperlink" Target="https://ref.ly/Job4:4" TargetMode="External"/><Relationship Id="rId678" Type="http://schemas.openxmlformats.org/officeDocument/2006/relationships/hyperlink" Target="https://ref.ly/Heb12:12" TargetMode="External"/><Relationship Id="rId679" Type="http://schemas.openxmlformats.org/officeDocument/2006/relationships/hyperlink" Target="https://ref.ly/Ps109:24" TargetMode="External"/><Relationship Id="rId680" Type="http://schemas.openxmlformats.org/officeDocument/2006/relationships/hyperlink" Target="https://ref.ly/Ezek7:17" TargetMode="External"/><Relationship Id="rId681" Type="http://schemas.openxmlformats.org/officeDocument/2006/relationships/hyperlink" Target="https://ref.ly/Ezek21:7" TargetMode="External"/><Relationship Id="rId682" Type="http://schemas.openxmlformats.org/officeDocument/2006/relationships/hyperlink" Target="https://ref.ly/Ps95:6" TargetMode="External"/><Relationship Id="rId683" Type="http://schemas.openxmlformats.org/officeDocument/2006/relationships/hyperlink" Target="https://ref.ly/Dan6:10" TargetMode="External"/><Relationship Id="rId684" Type="http://schemas.openxmlformats.org/officeDocument/2006/relationships/hyperlink" Target="https://ref.ly/Luke22:41" TargetMode="External"/><Relationship Id="rId685" Type="http://schemas.openxmlformats.org/officeDocument/2006/relationships/hyperlink" Target="https://ref.ly/Acts7:60" TargetMode="External"/><Relationship Id="rId686" Type="http://schemas.openxmlformats.org/officeDocument/2006/relationships/hyperlink" Target="https://ref.ly/Acts9:40" TargetMode="External"/><Relationship Id="rId687" Type="http://schemas.openxmlformats.org/officeDocument/2006/relationships/hyperlink" Target="https://ref.ly/Acts20:36" TargetMode="External"/><Relationship Id="rId688" Type="http://schemas.openxmlformats.org/officeDocument/2006/relationships/hyperlink" Target="https://ref.ly/Acts21:5" TargetMode="External"/><Relationship Id="rId689" Type="http://schemas.openxmlformats.org/officeDocument/2006/relationships/hyperlink" Target="https://ref.ly/1Kgs8:54" TargetMode="External"/><Relationship Id="rId690" Type="http://schemas.openxmlformats.org/officeDocument/2006/relationships/hyperlink" Target="https://ref.ly/2Chr6:13" TargetMode="External"/><Relationship Id="rId691" Type="http://schemas.openxmlformats.org/officeDocument/2006/relationships/hyperlink" Target="https://ref.ly/Ezra9:5" TargetMode="External"/><Relationship Id="rId692" Type="http://schemas.openxmlformats.org/officeDocument/2006/relationships/hyperlink" Target="https://ref.ly/Luke5:8" TargetMode="External"/><Relationship Id="rId693" Type="http://schemas.openxmlformats.org/officeDocument/2006/relationships/hyperlink" Target="https://ref.ly/2Kgs1:13" TargetMode="External"/><Relationship Id="rId694" Type="http://schemas.openxmlformats.org/officeDocument/2006/relationships/hyperlink" Target="https://ref.ly/Matt17:14" TargetMode="External"/><Relationship Id="rId695" Type="http://schemas.openxmlformats.org/officeDocument/2006/relationships/hyperlink" Target="https://ref.ly/Mark1:40" TargetMode="External"/><Relationship Id="rId696" Type="http://schemas.openxmlformats.org/officeDocument/2006/relationships/hyperlink" Target="https://ref.ly/Dan10:10" TargetMode="External"/><Relationship Id="rId697" Type="http://schemas.openxmlformats.org/officeDocument/2006/relationships/hyperlink" Target="https://ref.ly/Dan5:6" TargetMode="External"/><Relationship Id="rId698" Type="http://schemas.openxmlformats.org/officeDocument/2006/relationships/hyperlink" Target="https://ref.ly/Matt27:29" TargetMode="External"/><Relationship Id="rId699" Type="http://schemas.openxmlformats.org/officeDocument/2006/relationships/hyperlink" Target="https://ref.ly/Mark15:19" TargetMode="External"/><Relationship Id="rId700" Type="http://schemas.openxmlformats.org/officeDocument/2006/relationships/hyperlink" Target="https://ref.ly/Ps46:1-Ps46:11" TargetMode="External"/><Relationship Id="rId701" Type="http://schemas.openxmlformats.org/officeDocument/2006/relationships/hyperlink" Target="https://ref.ly/1Chr15:20" TargetMode="External"/><Relationship Id="rId702" Type="http://schemas.openxmlformats.org/officeDocument/2006/relationships/hyperlink" Target="https://ref.ly/Matt18:13" TargetMode="External"/><Relationship Id="rId703" Type="http://schemas.openxmlformats.org/officeDocument/2006/relationships/hyperlink" Target="https://ref.ly/Luke13:17" TargetMode="External"/><Relationship Id="rId704" Type="http://schemas.openxmlformats.org/officeDocument/2006/relationships/hyperlink" Target="https://ref.ly/Luke24:52" TargetMode="External"/><Relationship Id="rId705" Type="http://schemas.openxmlformats.org/officeDocument/2006/relationships/hyperlink" Target="https://ref.ly/Acts15:31" TargetMode="External"/><Relationship Id="rId706" Type="http://schemas.openxmlformats.org/officeDocument/2006/relationships/hyperlink" Target="https://ref.ly/Rom16:19" TargetMode="External"/><Relationship Id="rId707" Type="http://schemas.openxmlformats.org/officeDocument/2006/relationships/hyperlink" Target="https://ref.ly/1Cor13:6" TargetMode="External"/><Relationship Id="rId708" Type="http://schemas.openxmlformats.org/officeDocument/2006/relationships/hyperlink" Target="https://ref.ly/1Sam2:1" TargetMode="External"/><Relationship Id="rId709" Type="http://schemas.openxmlformats.org/officeDocument/2006/relationships/hyperlink" Target="https://ref.ly/1Sam11:9" TargetMode="External"/><Relationship Id="rId710" Type="http://schemas.openxmlformats.org/officeDocument/2006/relationships/hyperlink" Target="https://ref.ly/1Sam18:6" TargetMode="External"/><Relationship Id="rId711" Type="http://schemas.openxmlformats.org/officeDocument/2006/relationships/hyperlink" Target="https://ref.ly/2Sam6:12" TargetMode="External"/><Relationship Id="rId712" Type="http://schemas.openxmlformats.org/officeDocument/2006/relationships/hyperlink" Target="https://ref.ly/1Kgs1:40" TargetMode="External"/><Relationship Id="rId713" Type="http://schemas.openxmlformats.org/officeDocument/2006/relationships/hyperlink" Target="https://ref.ly/Esth9:17-Esth9:22" TargetMode="External"/><Relationship Id="rId714" Type="http://schemas.openxmlformats.org/officeDocument/2006/relationships/hyperlink" Target="https://ref.ly/Ps137:1-Ps137:6" TargetMode="External"/><Relationship Id="rId715" Type="http://schemas.openxmlformats.org/officeDocument/2006/relationships/hyperlink" Target="https://ref.ly/Prov5:18" TargetMode="External"/><Relationship Id="rId716" Type="http://schemas.openxmlformats.org/officeDocument/2006/relationships/hyperlink" Target="https://ref.ly/Matt5:11-Matt5:12" TargetMode="External"/><Relationship Id="rId717" Type="http://schemas.openxmlformats.org/officeDocument/2006/relationships/hyperlink" Target="https://ref.ly/Phil4:4" TargetMode="External"/><Relationship Id="rId718" Type="http://schemas.openxmlformats.org/officeDocument/2006/relationships/hyperlink" Target="https://ref.ly/1Thess5:16" TargetMode="External"/><Relationship Id="rId719" Type="http://schemas.openxmlformats.org/officeDocument/2006/relationships/hyperlink" Target="https://ref.ly/Jas1:2" TargetMode="External"/><Relationship Id="rId720" Type="http://schemas.openxmlformats.org/officeDocument/2006/relationships/hyperlink" Target="https://ref.ly/Gal5:22" TargetMode="External"/><Relationship Id="rId721" Type="http://schemas.openxmlformats.org/officeDocument/2006/relationships/hyperlink" Target="https://ref.ly/Ps135:3" TargetMode="External"/><Relationship Id="rId722" Type="http://schemas.openxmlformats.org/officeDocument/2006/relationships/hyperlink" Target="https://ref.ly/Ps104:35" TargetMode="External"/><Relationship Id="rId723" Type="http://schemas.openxmlformats.org/officeDocument/2006/relationships/hyperlink" Target="https://ref.ly/Ps113:1-Ps113:9" TargetMode="External"/><Relationship Id="rId724" Type="http://schemas.openxmlformats.org/officeDocument/2006/relationships/hyperlink" Target="https://ref.ly/Ps115:1-Ps115:18" TargetMode="External"/><Relationship Id="rId725" Type="http://schemas.openxmlformats.org/officeDocument/2006/relationships/hyperlink" Target="https://ref.ly/Ps117:1-Ps117:2" TargetMode="External"/><Relationship Id="rId726" Type="http://schemas.openxmlformats.org/officeDocument/2006/relationships/hyperlink" Target="https://ref.ly/Ps146:1-Ps146:10" TargetMode="External"/><Relationship Id="rId727" Type="http://schemas.openxmlformats.org/officeDocument/2006/relationships/hyperlink" Target="https://ref.ly/Ps150:1-Ps150:6" TargetMode="External"/><Relationship Id="rId728" Type="http://schemas.openxmlformats.org/officeDocument/2006/relationships/hyperlink" Target="https://ref.ly/Ps113:1-Ps118:29" TargetMode="External"/><Relationship Id="rId729" Type="http://schemas.openxmlformats.org/officeDocument/2006/relationships/hyperlink" Target="https://ref.ly/Ps114:1-Ps114:8" TargetMode="External"/><Relationship Id="rId730" Type="http://schemas.openxmlformats.org/officeDocument/2006/relationships/hyperlink" Target="https://ref.ly/Ps115:1-Ps118:29" TargetMode="External"/><Relationship Id="rId731" Type="http://schemas.openxmlformats.org/officeDocument/2006/relationships/hyperlink" Target="https://ref.ly/Matt26:30" TargetMode="External"/><Relationship Id="rId732" Type="http://schemas.openxmlformats.org/officeDocument/2006/relationships/hyperlink" Target="https://ref.ly/Mark14:26" TargetMode="External"/><Relationship Id="rId733" Type="http://schemas.openxmlformats.org/officeDocument/2006/relationships/hyperlink" Target="https://ref.ly/Rev19:1-Rev19:6" TargetMode="External"/><Relationship Id="rId734" Type="http://schemas.openxmlformats.org/officeDocument/2006/relationships/hyperlink" Target="https://ref.ly/Ps118:1-Ps118:29" TargetMode="External"/><Relationship Id="rId735" Type="http://schemas.openxmlformats.org/officeDocument/2006/relationships/hyperlink" Target="https://ref.ly/Rom1:16" TargetMode="External"/><Relationship Id="rId736" Type="http://schemas.openxmlformats.org/officeDocument/2006/relationships/hyperlink" Target="https://ref.ly/Mark15:21" TargetMode="External"/><Relationship Id="rId737" Type="http://schemas.openxmlformats.org/officeDocument/2006/relationships/hyperlink" Target="https://ref.ly/Acts4:6" TargetMode="External"/><Relationship Id="rId738" Type="http://schemas.openxmlformats.org/officeDocument/2006/relationships/hyperlink" Target="https://ref.ly/Acts3:1-Acts3:26" TargetMode="External"/><Relationship Id="rId739" Type="http://schemas.openxmlformats.org/officeDocument/2006/relationships/hyperlink" Target="https://ref.ly/Acts19:33" TargetMode="External"/><Relationship Id="rId740" Type="http://schemas.openxmlformats.org/officeDocument/2006/relationships/hyperlink" Target="https://ref.ly/Acts19:23-Acts19:41" TargetMode="External"/><Relationship Id="rId741" Type="http://schemas.openxmlformats.org/officeDocument/2006/relationships/hyperlink" Target="https://ref.ly/1Tim1:20" TargetMode="External"/><Relationship Id="rId742" Type="http://schemas.openxmlformats.org/officeDocument/2006/relationships/hyperlink" Target="https://ref.ly/2Tim4:14" TargetMode="External"/><Relationship Id="rId743" Type="http://schemas.openxmlformats.org/officeDocument/2006/relationships/hyperlink" Target="https://ref.ly/Acts6:9" TargetMode="External"/><Relationship Id="rId744" Type="http://schemas.openxmlformats.org/officeDocument/2006/relationships/hyperlink" Target="https://ref.ly/Acts18:24" TargetMode="External"/><Relationship Id="rId745" Type="http://schemas.openxmlformats.org/officeDocument/2006/relationships/hyperlink" Target="https://ref.ly/Acts27:6" TargetMode="External"/><Relationship Id="rId746" Type="http://schemas.openxmlformats.org/officeDocument/2006/relationships/hyperlink" Target="https://ref.ly/Acts28:11" TargetMode="External"/><Relationship Id="rId747" Type="http://schemas.openxmlformats.org/officeDocument/2006/relationships/hyperlink" Target="https://ref.ly/Matt10:3" TargetMode="External"/><Relationship Id="rId748" Type="http://schemas.openxmlformats.org/officeDocument/2006/relationships/hyperlink" Target="https://ref.ly/Mark3:18" TargetMode="External"/><Relationship Id="rId749" Type="http://schemas.openxmlformats.org/officeDocument/2006/relationships/hyperlink" Target="https://ref.ly/Luke6:15" TargetMode="External"/><Relationship Id="rId750" Type="http://schemas.openxmlformats.org/officeDocument/2006/relationships/hyperlink" Target="https://ref.ly/Acts1:13" TargetMode="External"/><Relationship Id="rId751" Type="http://schemas.openxmlformats.org/officeDocument/2006/relationships/hyperlink" Target="https://ref.ly/John19:25" TargetMode="External"/><Relationship Id="rId752" Type="http://schemas.openxmlformats.org/officeDocument/2006/relationships/hyperlink" Target="https://ref.ly/Mark2:14" TargetMode="External"/><Relationship Id="rId753" Type="http://schemas.openxmlformats.org/officeDocument/2006/relationships/hyperlink" Target="https://ref.ly/Matt9:9" TargetMode="External"/><Relationship Id="rId754" Type="http://schemas.openxmlformats.org/officeDocument/2006/relationships/hyperlink" Target="https://ref.ly/Num11:5" TargetMode="External"/><Relationship Id="rId755" Type="http://schemas.openxmlformats.org/officeDocument/2006/relationships/hyperlink" Target="https://ref.ly/Gen14:13,Gen14:24" TargetMode="External"/><Relationship Id="rId756" Type="http://schemas.openxmlformats.org/officeDocument/2006/relationships/hyperlink" Target="https://ref.ly/Gen26:26-Gen26:31" TargetMode="External"/><Relationship Id="rId757" Type="http://schemas.openxmlformats.org/officeDocument/2006/relationships/hyperlink" Target="https://ref.ly/Exod23:31-Exod23:33" TargetMode="External"/><Relationship Id="rId758" Type="http://schemas.openxmlformats.org/officeDocument/2006/relationships/hyperlink" Target="https://ref.ly/Exod34:12" TargetMode="External"/><Relationship Id="rId759" Type="http://schemas.openxmlformats.org/officeDocument/2006/relationships/hyperlink" Target="https://ref.ly/Deut7:1-Deut7:4" TargetMode="External"/><Relationship Id="rId760" Type="http://schemas.openxmlformats.org/officeDocument/2006/relationships/hyperlink" Target="https://ref.ly/Judg2:1-Judg2:3" TargetMode="External"/><Relationship Id="rId761" Type="http://schemas.openxmlformats.org/officeDocument/2006/relationships/hyperlink" Target="https://ref.ly/Josh9:1-Josh9:27" TargetMode="External"/><Relationship Id="rId762" Type="http://schemas.openxmlformats.org/officeDocument/2006/relationships/hyperlink" Target="https://ref.ly/1Sam27:1" TargetMode="External"/><Relationship Id="rId763" Type="http://schemas.openxmlformats.org/officeDocument/2006/relationships/hyperlink" Target="https://ref.ly/1Sam28:2" TargetMode="External"/><Relationship Id="rId764" Type="http://schemas.openxmlformats.org/officeDocument/2006/relationships/hyperlink" Target="https://ref.ly/1Kgs5:1-1Kgs5:18" TargetMode="External"/><Relationship Id="rId765" Type="http://schemas.openxmlformats.org/officeDocument/2006/relationships/hyperlink" Target="https://ref.ly/1Kgs9:26-1Kgs9:28" TargetMode="External"/><Relationship Id="rId766" Type="http://schemas.openxmlformats.org/officeDocument/2006/relationships/hyperlink" Target="https://ref.ly/1Kgs9:16" TargetMode="External"/><Relationship Id="rId767" Type="http://schemas.openxmlformats.org/officeDocument/2006/relationships/hyperlink" Target="https://ref.ly/1Kgs15:18-1Kgs15:20" TargetMode="External"/><Relationship Id="rId768" Type="http://schemas.openxmlformats.org/officeDocument/2006/relationships/hyperlink" Target="https://ref.ly/1Kgs22:1-1Kgs22:4" TargetMode="External"/><Relationship Id="rId769" Type="http://schemas.openxmlformats.org/officeDocument/2006/relationships/hyperlink" Target="https://ref.ly/2Chr18:1-2Chr18:13" TargetMode="External"/><Relationship Id="rId770" Type="http://schemas.openxmlformats.org/officeDocument/2006/relationships/hyperlink" Target="https://ref.ly/Isa7:1-Isa7:9" TargetMode="External"/><Relationship Id="rId771" Type="http://schemas.openxmlformats.org/officeDocument/2006/relationships/hyperlink" Target="https://ref.ly/2Kgs16:7-2Kgs16:9" TargetMode="External"/><Relationship Id="rId772" Type="http://schemas.openxmlformats.org/officeDocument/2006/relationships/hyperlink" Target="https://ref.ly/2Kgs24:20" TargetMode="External"/><Relationship Id="rId773" Type="http://schemas.openxmlformats.org/officeDocument/2006/relationships/hyperlink" Target="https://ref.ly/Ezek17:1-Ezek17:21" TargetMode="External"/><Relationship Id="rId774" Type="http://schemas.openxmlformats.org/officeDocument/2006/relationships/hyperlink" Target="https://ref.ly/2Kgs16:10-2Kgs16:18" TargetMode="External"/><Relationship Id="rId775" Type="http://schemas.openxmlformats.org/officeDocument/2006/relationships/hyperlink" Target="https://ref.ly/Hos8:8-Hos8:10" TargetMode="External"/><Relationship Id="rId776" Type="http://schemas.openxmlformats.org/officeDocument/2006/relationships/hyperlink" Target="https://ref.ly/Isa30:1-Isa30:3,Isa30:15-Isa30:16" TargetMode="External"/><Relationship Id="rId777" Type="http://schemas.openxmlformats.org/officeDocument/2006/relationships/hyperlink" Target="https://ref.ly/Jer2:18" TargetMode="External"/><Relationship Id="rId778" Type="http://schemas.openxmlformats.org/officeDocument/2006/relationships/hyperlink" Target="https://ref.ly/1Sam18:3" TargetMode="External"/><Relationship Id="rId779" Type="http://schemas.openxmlformats.org/officeDocument/2006/relationships/hyperlink" Target="https://ref.ly/1Sam19:1-1Sam20:42" TargetMode="External"/><Relationship Id="rId780" Type="http://schemas.openxmlformats.org/officeDocument/2006/relationships/hyperlink" Target="https://ref.ly/Mal2:14" TargetMode="External"/><Relationship Id="rId781" Type="http://schemas.openxmlformats.org/officeDocument/2006/relationships/hyperlink" Target="https://ref.ly/Ps128:1-Ps128:6" TargetMode="External"/><Relationship Id="rId782" Type="http://schemas.openxmlformats.org/officeDocument/2006/relationships/hyperlink" Target="https://ref.ly/Prov18:22" TargetMode="External"/><Relationship Id="rId783" Type="http://schemas.openxmlformats.org/officeDocument/2006/relationships/hyperlink" Target="https://ref.ly/2Sam5:3" TargetMode="External"/><Relationship Id="rId784" Type="http://schemas.openxmlformats.org/officeDocument/2006/relationships/hyperlink" Target="https://ref.ly/Deut17:15-Deut17:20" TargetMode="External"/><Relationship Id="rId785" Type="http://schemas.openxmlformats.org/officeDocument/2006/relationships/hyperlink" Target="https://ref.ly/1Kgs5:12" TargetMode="External"/><Relationship Id="rId786" Type="http://schemas.openxmlformats.org/officeDocument/2006/relationships/hyperlink" Target="https://ref.ly/Gen6:18" TargetMode="External"/><Relationship Id="rId787" Type="http://schemas.openxmlformats.org/officeDocument/2006/relationships/hyperlink" Target="https://ref.ly/Gen6:14" TargetMode="External"/><Relationship Id="rId788" Type="http://schemas.openxmlformats.org/officeDocument/2006/relationships/hyperlink" Target="https://ref.ly/Gen8:20-Gen8:22" TargetMode="External"/><Relationship Id="rId789" Type="http://schemas.openxmlformats.org/officeDocument/2006/relationships/hyperlink" Target="https://ref.ly/Gen9:8-Gen9:10" TargetMode="External"/><Relationship Id="rId790" Type="http://schemas.openxmlformats.org/officeDocument/2006/relationships/hyperlink" Target="https://ref.ly/Gen15:1-Gen15:21" TargetMode="External"/><Relationship Id="rId791" Type="http://schemas.openxmlformats.org/officeDocument/2006/relationships/hyperlink" Target="https://ref.ly/Gen12:2" TargetMode="External"/><Relationship Id="rId792" Type="http://schemas.openxmlformats.org/officeDocument/2006/relationships/hyperlink" Target="https://ref.ly/Rom4:19" TargetMode="External"/><Relationship Id="rId793" Type="http://schemas.openxmlformats.org/officeDocument/2006/relationships/hyperlink" Target="https://ref.ly/Gen15:6" TargetMode="External"/><Relationship Id="rId794" Type="http://schemas.openxmlformats.org/officeDocument/2006/relationships/hyperlink" Target="https://ref.ly/Gen15:18" TargetMode="External"/><Relationship Id="rId795" Type="http://schemas.openxmlformats.org/officeDocument/2006/relationships/hyperlink" Target="https://ref.ly/Gen17:1" TargetMode="External"/><Relationship Id="rId796" Type="http://schemas.openxmlformats.org/officeDocument/2006/relationships/hyperlink" Target="https://ref.ly/Gen17:7-Gen17:8" TargetMode="External"/><Relationship Id="rId797" Type="http://schemas.openxmlformats.org/officeDocument/2006/relationships/hyperlink" Target="https://ref.ly/Gen17:24" TargetMode="External"/><Relationship Id="rId798" Type="http://schemas.openxmlformats.org/officeDocument/2006/relationships/hyperlink" Target="https://ref.ly/Gen17:12" TargetMode="External"/><Relationship Id="rId799" Type="http://schemas.openxmlformats.org/officeDocument/2006/relationships/hyperlink" Target="https://ref.ly/Gen12:3" TargetMode="External"/><Relationship Id="rId800" Type="http://schemas.openxmlformats.org/officeDocument/2006/relationships/hyperlink" Target="https://ref.ly/2Thess2:13" TargetMode="External"/><Relationship Id="rId801" Type="http://schemas.openxmlformats.org/officeDocument/2006/relationships/hyperlink" Target="https://ref.ly/Eph2:8-Eph2:10" TargetMode="External"/><Relationship Id="rId802" Type="http://schemas.openxmlformats.org/officeDocument/2006/relationships/hyperlink" Target="https://ref.ly/Exod20:8-Exod20:11" TargetMode="External"/><Relationship Id="rId803" Type="http://schemas.openxmlformats.org/officeDocument/2006/relationships/hyperlink" Target="https://ref.ly/Deut5:12-Deut5:15" TargetMode="External"/><Relationship Id="rId804" Type="http://schemas.openxmlformats.org/officeDocument/2006/relationships/hyperlink" Target="https://ref.ly/Exod19:1-Exod19:25" TargetMode="External"/><Relationship Id="rId805" Type="http://schemas.openxmlformats.org/officeDocument/2006/relationships/hyperlink" Target="https://ref.ly/Exod20:1-Exod20:26" TargetMode="External"/><Relationship Id="rId806" Type="http://schemas.openxmlformats.org/officeDocument/2006/relationships/hyperlink" Target="https://ref.ly/Exod19:6" TargetMode="External"/><Relationship Id="rId807" Type="http://schemas.openxmlformats.org/officeDocument/2006/relationships/hyperlink" Target="https://ref.ly/Exod20:2-Exod20:17" TargetMode="External"/><Relationship Id="rId808" Type="http://schemas.openxmlformats.org/officeDocument/2006/relationships/hyperlink" Target="https://ref.ly/Exod21:1-Exod23:33" TargetMode="External"/><Relationship Id="rId809" Type="http://schemas.openxmlformats.org/officeDocument/2006/relationships/hyperlink" Target="https://ref.ly/Exod24:7" TargetMode="External"/><Relationship Id="rId810" Type="http://schemas.openxmlformats.org/officeDocument/2006/relationships/hyperlink" Target="https://ref.ly/Josh8:30-Josh8:35" TargetMode="External"/><Relationship Id="rId811" Type="http://schemas.openxmlformats.org/officeDocument/2006/relationships/hyperlink" Target="https://ref.ly/Josh24:1-Josh24:28" TargetMode="External"/><Relationship Id="rId812" Type="http://schemas.openxmlformats.org/officeDocument/2006/relationships/hyperlink" Target="https://ref.ly/2Kgs23:1-2Kgs23:3" TargetMode="External"/><Relationship Id="rId813" Type="http://schemas.openxmlformats.org/officeDocument/2006/relationships/hyperlink" Target="https://ref.ly/Deut5:6-Deut5:21" TargetMode="External"/><Relationship Id="rId814" Type="http://schemas.openxmlformats.org/officeDocument/2006/relationships/hyperlink" Target="https://ref.ly/Deut12:1-Deut26:19" TargetMode="External"/><Relationship Id="rId815" Type="http://schemas.openxmlformats.org/officeDocument/2006/relationships/hyperlink" Target="https://ref.ly/2Sam7:8-2Sam7:16" TargetMode="External"/><Relationship Id="rId816" Type="http://schemas.openxmlformats.org/officeDocument/2006/relationships/hyperlink" Target="https://ref.ly/2Sam23:5" TargetMode="External"/><Relationship Id="rId817" Type="http://schemas.openxmlformats.org/officeDocument/2006/relationships/hyperlink" Target="https://ref.ly/Matt1:1" TargetMode="External"/><Relationship Id="rId818" Type="http://schemas.openxmlformats.org/officeDocument/2006/relationships/hyperlink" Target="https://ref.ly/Luke3:31" TargetMode="External"/><Relationship Id="rId819" Type="http://schemas.openxmlformats.org/officeDocument/2006/relationships/hyperlink" Target="https://ref.ly/Hos1:1-Hos3:5" TargetMode="External"/><Relationship Id="rId820" Type="http://schemas.openxmlformats.org/officeDocument/2006/relationships/hyperlink" Target="https://ref.ly/Hos3:1" TargetMode="External"/><Relationship Id="rId821" Type="http://schemas.openxmlformats.org/officeDocument/2006/relationships/hyperlink" Target="https://ref.ly/Hos2:14-Hos2:18" TargetMode="External"/><Relationship Id="rId822" Type="http://schemas.openxmlformats.org/officeDocument/2006/relationships/hyperlink" Target="https://ref.ly/Jer31:31" TargetMode="External"/><Relationship Id="rId823" Type="http://schemas.openxmlformats.org/officeDocument/2006/relationships/hyperlink" Target="https://ref.ly/Jer31:34" TargetMode="External"/><Relationship Id="rId824" Type="http://schemas.openxmlformats.org/officeDocument/2006/relationships/hyperlink" Target="https://ref.ly/Luke22:20" TargetMode="External"/><Relationship Id="rId825" Type="http://schemas.openxmlformats.org/officeDocument/2006/relationships/hyperlink" Target="https://ref.ly/Heb8:8-Heb8:12" TargetMode="External"/><Relationship Id="rId826" Type="http://schemas.openxmlformats.org/officeDocument/2006/relationships/hyperlink" Target="https://ref.ly/Gal3:6-Gal3:14" TargetMode="External"/><Relationship Id="rId827" Type="http://schemas.openxmlformats.org/officeDocument/2006/relationships/hyperlink" Target="https://ref.ly/Lev2:13" TargetMode="External"/><Relationship Id="rId828" Type="http://schemas.openxmlformats.org/officeDocument/2006/relationships/hyperlink" Target="https://ref.ly/Num18:19" TargetMode="External"/><Relationship Id="rId829" Type="http://schemas.openxmlformats.org/officeDocument/2006/relationships/hyperlink" Target="https://ref.ly/2Chr13:5" TargetMode="External"/><Relationship Id="rId830" Type="http://schemas.openxmlformats.org/officeDocument/2006/relationships/hyperlink" Target="https://ref.ly/Ezek34:23-Ezek34:31" TargetMode="External"/><Relationship Id="rId831" Type="http://schemas.openxmlformats.org/officeDocument/2006/relationships/hyperlink" Target="https://ref.ly/Ezek37:24-Ezek37:28" TargetMode="External"/><Relationship Id="rId832" Type="http://schemas.openxmlformats.org/officeDocument/2006/relationships/hyperlink" Target="https://ref.ly/Joel2:12-Joel2:32" TargetMode="External"/><Relationship Id="rId833" Type="http://schemas.openxmlformats.org/officeDocument/2006/relationships/hyperlink" Target="https://ref.ly/Jer31:31-Jer31:34" TargetMode="External"/><Relationship Id="rId834" Type="http://schemas.openxmlformats.org/officeDocument/2006/relationships/hyperlink" Target="https://ref.ly/Jer31:32-Jer31:34" TargetMode="External"/><Relationship Id="rId835" Type="http://schemas.openxmlformats.org/officeDocument/2006/relationships/hyperlink" Target="https://ref.ly/Exod31:18" TargetMode="External"/><Relationship Id="rId836" Type="http://schemas.openxmlformats.org/officeDocument/2006/relationships/hyperlink" Target="https://ref.ly/Exod34:27-Exod34:32" TargetMode="External"/><Relationship Id="rId837" Type="http://schemas.openxmlformats.org/officeDocument/2006/relationships/hyperlink" Target="https://ref.ly/Deut4:13" TargetMode="External"/><Relationship Id="rId838" Type="http://schemas.openxmlformats.org/officeDocument/2006/relationships/hyperlink" Target="https://ref.ly/Deut5:22" TargetMode="External"/><Relationship Id="rId839" Type="http://schemas.openxmlformats.org/officeDocument/2006/relationships/hyperlink" Target="https://ref.ly/Deut9:11" TargetMode="External"/><Relationship Id="rId840" Type="http://schemas.openxmlformats.org/officeDocument/2006/relationships/hyperlink" Target="https://ref.ly/Deut10:3-Deut10:4" TargetMode="External"/><Relationship Id="rId841" Type="http://schemas.openxmlformats.org/officeDocument/2006/relationships/hyperlink" Target="https://ref.ly/Rom7:6" TargetMode="External"/><Relationship Id="rId842" Type="http://schemas.openxmlformats.org/officeDocument/2006/relationships/hyperlink" Target="https://ref.ly/Rom8:2-Rom8:4" TargetMode="External"/><Relationship Id="rId843" Type="http://schemas.openxmlformats.org/officeDocument/2006/relationships/hyperlink" Target="https://ref.ly/Ezek11:19-Ezek11:21" TargetMode="External"/><Relationship Id="rId844" Type="http://schemas.openxmlformats.org/officeDocument/2006/relationships/hyperlink" Target="https://ref.ly/Ezek36:26-Ezek36:27" TargetMode="External"/><Relationship Id="rId845" Type="http://schemas.openxmlformats.org/officeDocument/2006/relationships/hyperlink" Target="https://ref.ly/Joel2:28-Joel2:32" TargetMode="External"/><Relationship Id="rId846" Type="http://schemas.openxmlformats.org/officeDocument/2006/relationships/hyperlink" Target="https://ref.ly/Judg2:10" TargetMode="External"/><Relationship Id="rId847" Type="http://schemas.openxmlformats.org/officeDocument/2006/relationships/hyperlink" Target="https://ref.ly/Hos4:1" TargetMode="External"/><Relationship Id="rId848" Type="http://schemas.openxmlformats.org/officeDocument/2006/relationships/hyperlink" Target="https://ref.ly/Exod34:6-Exod34:7" TargetMode="External"/><Relationship Id="rId849" Type="http://schemas.openxmlformats.org/officeDocument/2006/relationships/hyperlink" Target="https://ref.ly/Heb10:3" TargetMode="External"/><Relationship Id="rId850" Type="http://schemas.openxmlformats.org/officeDocument/2006/relationships/hyperlink" Target="https://ref.ly/Heb10:14" TargetMode="External"/><Relationship Id="rId851" Type="http://schemas.openxmlformats.org/officeDocument/2006/relationships/hyperlink" Target="https://ref.ly/1Cor11:25" TargetMode="External"/><Relationship Id="rId852" Type="http://schemas.openxmlformats.org/officeDocument/2006/relationships/hyperlink" Target="https://ref.ly/2Cor3:6" TargetMode="External"/><Relationship Id="rId853" Type="http://schemas.openxmlformats.org/officeDocument/2006/relationships/hyperlink" Target="https://ref.ly/Heb8:8" TargetMode="External"/><Relationship Id="rId854" Type="http://schemas.openxmlformats.org/officeDocument/2006/relationships/hyperlink" Target="https://ref.ly/Heb9:15" TargetMode="External"/><Relationship Id="rId855" Type="http://schemas.openxmlformats.org/officeDocument/2006/relationships/hyperlink" Target="https://ref.ly/Heb12:24" TargetMode="External"/><Relationship Id="rId856" Type="http://schemas.openxmlformats.org/officeDocument/2006/relationships/hyperlink" Target="https://ref.ly/Matt26:28" TargetMode="External"/><Relationship Id="rId857" Type="http://schemas.openxmlformats.org/officeDocument/2006/relationships/hyperlink" Target="https://ref.ly/Mark14:24" TargetMode="External"/><Relationship Id="rId858" Type="http://schemas.openxmlformats.org/officeDocument/2006/relationships/hyperlink" Target="https://ref.ly/Exod24:6-Exod24:8" TargetMode="External"/><Relationship Id="rId859" Type="http://schemas.openxmlformats.org/officeDocument/2006/relationships/hyperlink" Target="https://ref.ly/Acts1:5" TargetMode="External"/><Relationship Id="rId860" Type="http://schemas.openxmlformats.org/officeDocument/2006/relationships/hyperlink" Target="https://ref.ly/Acts11:16" TargetMode="External"/><Relationship Id="rId861" Type="http://schemas.openxmlformats.org/officeDocument/2006/relationships/hyperlink" Target="https://ref.ly/Matt3:11" TargetMode="External"/><Relationship Id="rId862" Type="http://schemas.openxmlformats.org/officeDocument/2006/relationships/hyperlink" Target="https://ref.ly/Mark1:8" TargetMode="External"/><Relationship Id="rId863" Type="http://schemas.openxmlformats.org/officeDocument/2006/relationships/hyperlink" Target="https://ref.ly/Luke3:16" TargetMode="External"/><Relationship Id="rId864" Type="http://schemas.openxmlformats.org/officeDocument/2006/relationships/hyperlink" Target="https://ref.ly/John1:33" TargetMode="External"/><Relationship Id="rId865" Type="http://schemas.openxmlformats.org/officeDocument/2006/relationships/hyperlink" Target="https://ref.ly/2Cor3:1-2Cor3:18" TargetMode="External"/><Relationship Id="rId866" Type="http://schemas.openxmlformats.org/officeDocument/2006/relationships/hyperlink" Target="https://ref.ly/2Cor3:14" TargetMode="External"/><Relationship Id="rId867" Type="http://schemas.openxmlformats.org/officeDocument/2006/relationships/hyperlink" Target="https://ref.ly/2Cor3:7" TargetMode="External"/><Relationship Id="rId868" Type="http://schemas.openxmlformats.org/officeDocument/2006/relationships/hyperlink" Target="https://ref.ly/2Cor3:8-2Cor3:9" TargetMode="External"/><Relationship Id="rId869" Type="http://schemas.openxmlformats.org/officeDocument/2006/relationships/hyperlink" Target="https://ref.ly/2Cor3:3" TargetMode="External"/><Relationship Id="rId870" Type="http://schemas.openxmlformats.org/officeDocument/2006/relationships/hyperlink" Target="https://ref.ly/Heb7:23" TargetMode="External"/><Relationship Id="rId871" Type="http://schemas.openxmlformats.org/officeDocument/2006/relationships/hyperlink" Target="https://ref.ly/Heb7:24-Heb7:25" TargetMode="External"/><Relationship Id="rId872" Type="http://schemas.openxmlformats.org/officeDocument/2006/relationships/hyperlink" Target="https://ref.ly/Heb7:27" TargetMode="External"/><Relationship Id="rId873" Type="http://schemas.openxmlformats.org/officeDocument/2006/relationships/hyperlink" Target="https://ref.ly/Heb9:25-Heb9:28" TargetMode="External"/><Relationship Id="rId874" Type="http://schemas.openxmlformats.org/officeDocument/2006/relationships/hyperlink" Target="https://ref.ly/Heb10:12" TargetMode="External"/><Relationship Id="rId875" Type="http://schemas.openxmlformats.org/officeDocument/2006/relationships/hyperlink" Target="https://ref.ly/Heb10:2-Heb10:3" TargetMode="External"/><Relationship Id="rId876" Type="http://schemas.openxmlformats.org/officeDocument/2006/relationships/hyperlink" Target="https://ref.ly/Heb9:11-Heb9:14" TargetMode="External"/><Relationship Id="rId877" Type="http://schemas.openxmlformats.org/officeDocument/2006/relationships/hyperlink" Target="https://ref.ly/Heb10:1-Heb10:10" TargetMode="External"/><Relationship Id="rId878" Type="http://schemas.openxmlformats.org/officeDocument/2006/relationships/hyperlink" Target="https://ref.ly/Heb8:6" TargetMode="External"/><Relationship Id="rId879" Type="http://schemas.openxmlformats.org/officeDocument/2006/relationships/hyperlink" Target="https://ref.ly/Heb8:7" TargetMode="External"/><Relationship Id="rId880" Type="http://schemas.openxmlformats.org/officeDocument/2006/relationships/hyperlink" Target="https://ref.ly/Heb8:13" TargetMode="External"/><Relationship Id="rId881" Type="http://schemas.openxmlformats.org/officeDocument/2006/relationships/hyperlink" Target="https://ref.ly/Heb13:20" TargetMode="External"/><Relationship Id="rId882" Type="http://schemas.openxmlformats.org/officeDocument/2006/relationships/hyperlink" Target="https://ref.ly/Heb9:6-Heb9:8" TargetMode="External"/><Relationship Id="rId883" Type="http://schemas.openxmlformats.org/officeDocument/2006/relationships/hyperlink" Target="https://ref.ly/Heb9:14" TargetMode="External"/><Relationship Id="rId884" Type="http://schemas.openxmlformats.org/officeDocument/2006/relationships/hyperlink" Target="https://ref.ly/Heb9:9" TargetMode="External"/><Relationship Id="rId885" Type="http://schemas.openxmlformats.org/officeDocument/2006/relationships/hyperlink" Target="https://ref.ly/Heb7:20-Heb7:22" TargetMode="External"/><Relationship Id="rId886" Type="http://schemas.openxmlformats.org/officeDocument/2006/relationships/hyperlink" Target="https://ref.ly/Heb6:4" TargetMode="External"/><Relationship Id="rId887" Type="http://schemas.openxmlformats.org/officeDocument/2006/relationships/hyperlink" Target="https://ref.ly/2Cor1:22" TargetMode="External"/><Relationship Id="rId888" Type="http://schemas.openxmlformats.org/officeDocument/2006/relationships/hyperlink" Target="https://ref.ly/2Cor5:5" TargetMode="External"/><Relationship Id="rId889" Type="http://schemas.openxmlformats.org/officeDocument/2006/relationships/hyperlink" Target="https://ref.ly/Eph1:13-Eph1:14" TargetMode="External"/><Relationship Id="rId890" Type="http://schemas.openxmlformats.org/officeDocument/2006/relationships/hyperlink" Target="https://ref.ly/Gal5:16-Gal5:25" TargetMode="External"/><Relationship Id="rId891" Type="http://schemas.openxmlformats.org/officeDocument/2006/relationships/hyperlink" Target="https://ref.ly/Exod20:22-Exod23:33" TargetMode="External"/><Relationship Id="rId892" Type="http://schemas.openxmlformats.org/officeDocument/2006/relationships/hyperlink" Target="https://ref.ly/Gen1:20" TargetMode="External"/><Relationship Id="rId893" Type="http://schemas.openxmlformats.org/officeDocument/2006/relationships/hyperlink" Target="https://ref.ly/Lev11:10" TargetMode="External"/><Relationship Id="rId894" Type="http://schemas.openxmlformats.org/officeDocument/2006/relationships/hyperlink" Target="https://ref.ly/Exod21:23" TargetMode="External"/><Relationship Id="rId895" Type="http://schemas.openxmlformats.org/officeDocument/2006/relationships/hyperlink" Target="https://ref.ly/Lev4:2" TargetMode="External"/><Relationship Id="rId896" Type="http://schemas.openxmlformats.org/officeDocument/2006/relationships/hyperlink" Target="https://ref.ly/Exod1:5" TargetMode="External"/><Relationship Id="rId897" Type="http://schemas.openxmlformats.org/officeDocument/2006/relationships/hyperlink" Target="https://ref.ly/Deut10:22" TargetMode="External"/><Relationship Id="rId898" Type="http://schemas.openxmlformats.org/officeDocument/2006/relationships/hyperlink" Target="https://ref.ly/Deut13:3" TargetMode="External"/><Relationship Id="rId899" Type="http://schemas.openxmlformats.org/officeDocument/2006/relationships/hyperlink" Target="https://ref.ly/Ps139:14" TargetMode="External"/><Relationship Id="rId900" Type="http://schemas.openxmlformats.org/officeDocument/2006/relationships/hyperlink" Target="https://ref.ly/1Sam20:3" TargetMode="External"/><Relationship Id="rId901" Type="http://schemas.openxmlformats.org/officeDocument/2006/relationships/hyperlink" Target="https://ref.ly/1Sam18:1" TargetMode="External"/><Relationship Id="rId902" Type="http://schemas.openxmlformats.org/officeDocument/2006/relationships/hyperlink" Target="https://ref.ly/Lam3:20" TargetMode="External"/><Relationship Id="rId903" Type="http://schemas.openxmlformats.org/officeDocument/2006/relationships/hyperlink" Target="https://ref.ly/Ps16:10" TargetMode="External"/><Relationship Id="rId904" Type="http://schemas.openxmlformats.org/officeDocument/2006/relationships/hyperlink" Target="https://ref.ly/Ps49:15" TargetMode="External"/><Relationship Id="rId905" Type="http://schemas.openxmlformats.org/officeDocument/2006/relationships/hyperlink" Target="https://ref.ly/Ps88:3-Ps88:12" TargetMode="External"/><Relationship Id="rId906" Type="http://schemas.openxmlformats.org/officeDocument/2006/relationships/hyperlink" Target="https://ref.ly/Exod3:6" TargetMode="External"/><Relationship Id="rId907" Type="http://schemas.openxmlformats.org/officeDocument/2006/relationships/hyperlink" Target="https://ref.ly/1Sam2:6" TargetMode="External"/><Relationship Id="rId908" Type="http://schemas.openxmlformats.org/officeDocument/2006/relationships/hyperlink" Target="https://ref.ly/Job19:25-Job19:26" TargetMode="External"/><Relationship Id="rId909" Type="http://schemas.openxmlformats.org/officeDocument/2006/relationships/hyperlink" Target="https://ref.ly/Ps16:10-Ps16:11" TargetMode="External"/><Relationship Id="rId910" Type="http://schemas.openxmlformats.org/officeDocument/2006/relationships/hyperlink" Target="https://ref.ly/Ps73:24-Ps73:25" TargetMode="External"/><Relationship Id="rId911" Type="http://schemas.openxmlformats.org/officeDocument/2006/relationships/hyperlink" Target="https://ref.ly/Isa25:8" TargetMode="External"/><Relationship Id="rId912" Type="http://schemas.openxmlformats.org/officeDocument/2006/relationships/hyperlink" Target="https://ref.ly/Isa26:19" TargetMode="External"/><Relationship Id="rId913" Type="http://schemas.openxmlformats.org/officeDocument/2006/relationships/hyperlink" Target="https://ref.ly/Dan12:2" TargetMode="External"/><Relationship Id="rId914" Type="http://schemas.openxmlformats.org/officeDocument/2006/relationships/hyperlink" Target="https://ref.ly/Hos6:1-Hos6:3" TargetMode="External"/><Relationship Id="rId915" Type="http://schemas.openxmlformats.org/officeDocument/2006/relationships/hyperlink" Target="https://ref.ly/Hos13:14" TargetMode="External"/><Relationship Id="rId916" Type="http://schemas.openxmlformats.org/officeDocument/2006/relationships/hyperlink" Target="https://ref.ly/Acts15:26" TargetMode="External"/><Relationship Id="rId917" Type="http://schemas.openxmlformats.org/officeDocument/2006/relationships/hyperlink" Target="https://ref.ly/John13:37" TargetMode="External"/><Relationship Id="rId918" Type="http://schemas.openxmlformats.org/officeDocument/2006/relationships/hyperlink" Target="https://ref.ly/Rom16:4" TargetMode="External"/><Relationship Id="rId919" Type="http://schemas.openxmlformats.org/officeDocument/2006/relationships/hyperlink" Target="https://ref.ly/Phil2:30" TargetMode="External"/><Relationship Id="rId920" Type="http://schemas.openxmlformats.org/officeDocument/2006/relationships/hyperlink" Target="https://ref.ly/Matt20:28" TargetMode="External"/><Relationship Id="rId921" Type="http://schemas.openxmlformats.org/officeDocument/2006/relationships/hyperlink" Target="https://ref.ly/Mark10:45" TargetMode="External"/><Relationship Id="rId922" Type="http://schemas.openxmlformats.org/officeDocument/2006/relationships/hyperlink" Target="https://ref.ly/John10:14" TargetMode="External"/><Relationship Id="rId923" Type="http://schemas.openxmlformats.org/officeDocument/2006/relationships/hyperlink" Target="https://ref.ly/Luke14:26" TargetMode="External"/><Relationship Id="rId924" Type="http://schemas.openxmlformats.org/officeDocument/2006/relationships/hyperlink" Target="https://ref.ly/Luke9:23" TargetMode="External"/><Relationship Id="rId925" Type="http://schemas.openxmlformats.org/officeDocument/2006/relationships/hyperlink" Target="https://ref.ly/Rev12:11" TargetMode="External"/><Relationship Id="rId926" Type="http://schemas.openxmlformats.org/officeDocument/2006/relationships/hyperlink" Target="https://ref.ly/Acts2:43" TargetMode="External"/><Relationship Id="rId927" Type="http://schemas.openxmlformats.org/officeDocument/2006/relationships/hyperlink" Target="https://ref.ly/Acts3:23" TargetMode="External"/><Relationship Id="rId928" Type="http://schemas.openxmlformats.org/officeDocument/2006/relationships/hyperlink" Target="https://ref.ly/Acts7:14" TargetMode="External"/><Relationship Id="rId929" Type="http://schemas.openxmlformats.org/officeDocument/2006/relationships/hyperlink" Target="https://ref.ly/Rom2:9" TargetMode="External"/><Relationship Id="rId930" Type="http://schemas.openxmlformats.org/officeDocument/2006/relationships/hyperlink" Target="https://ref.ly/Rom13:1" TargetMode="External"/><Relationship Id="rId931" Type="http://schemas.openxmlformats.org/officeDocument/2006/relationships/hyperlink" Target="https://ref.ly/1Pet3:20" TargetMode="External"/><Relationship Id="rId932" Type="http://schemas.openxmlformats.org/officeDocument/2006/relationships/hyperlink" Target="https://ref.ly/Rev16:3" TargetMode="External"/><Relationship Id="rId933" Type="http://schemas.openxmlformats.org/officeDocument/2006/relationships/hyperlink" Target="https://ref.ly/Matt26:38" TargetMode="External"/><Relationship Id="rId934" Type="http://schemas.openxmlformats.org/officeDocument/2006/relationships/hyperlink" Target="https://ref.ly/Mark14:34" TargetMode="External"/><Relationship Id="rId935" Type="http://schemas.openxmlformats.org/officeDocument/2006/relationships/hyperlink" Target="https://ref.ly/Ps42:6" TargetMode="External"/><Relationship Id="rId936" Type="http://schemas.openxmlformats.org/officeDocument/2006/relationships/hyperlink" Target="https://ref.ly/Matt11:29" TargetMode="External"/><Relationship Id="rId937" Type="http://schemas.openxmlformats.org/officeDocument/2006/relationships/hyperlink" Target="https://ref.ly/Luke2:35" TargetMode="External"/><Relationship Id="rId938" Type="http://schemas.openxmlformats.org/officeDocument/2006/relationships/hyperlink" Target="https://ref.ly/2Cor1:23" TargetMode="External"/><Relationship Id="rId939" Type="http://schemas.openxmlformats.org/officeDocument/2006/relationships/hyperlink" Target="https://ref.ly/2Thess2:8" TargetMode="External"/><Relationship Id="rId940" Type="http://schemas.openxmlformats.org/officeDocument/2006/relationships/hyperlink" Target="https://ref.ly/3John1:2" TargetMode="External"/><Relationship Id="rId941" Type="http://schemas.openxmlformats.org/officeDocument/2006/relationships/hyperlink" Target="https://ref.ly/Luke1:46-Luke1:47" TargetMode="External"/><Relationship Id="rId942" Type="http://schemas.openxmlformats.org/officeDocument/2006/relationships/hyperlink" Target="https://ref.ly/Heb4:12" TargetMode="External"/><Relationship Id="rId943" Type="http://schemas.openxmlformats.org/officeDocument/2006/relationships/hyperlink" Target="https://ref.ly/1Thess5:23" TargetMode="External"/><Relationship Id="rId944" Type="http://schemas.openxmlformats.org/officeDocument/2006/relationships/hyperlink" Target="https://ref.ly/1Cor2:14" TargetMode="External"/><Relationship Id="rId945" Type="http://schemas.openxmlformats.org/officeDocument/2006/relationships/hyperlink" Target="https://ref.ly/Matt22:37" TargetMode="External"/><Relationship Id="rId946" Type="http://schemas.openxmlformats.org/officeDocument/2006/relationships/hyperlink" Target="https://ref.ly/Mark12:30" TargetMode="External"/><Relationship Id="rId947" Type="http://schemas.openxmlformats.org/officeDocument/2006/relationships/hyperlink" Target="https://ref.ly/Deut6:5" TargetMode="External"/><Relationship Id="rId948" Type="http://schemas.openxmlformats.org/officeDocument/2006/relationships/hyperlink" Target="https://ref.ly/Eph6:6" TargetMode="External"/><Relationship Id="rId949" Type="http://schemas.openxmlformats.org/officeDocument/2006/relationships/hyperlink" Target="https://ref.ly/Col3:23" TargetMode="External"/><Relationship Id="rId950" Type="http://schemas.openxmlformats.org/officeDocument/2006/relationships/hyperlink" Target="https://ref.ly/Phil1:27" TargetMode="External"/><Relationship Id="rId951" Type="http://schemas.openxmlformats.org/officeDocument/2006/relationships/hyperlink" Target="https://ref.ly/Acts4:32" TargetMode="External"/><Relationship Id="rId952" Type="http://schemas.openxmlformats.org/officeDocument/2006/relationships/hyperlink" Target="https://ref.ly/Acts14:2" TargetMode="External"/><Relationship Id="rId953" Type="http://schemas.openxmlformats.org/officeDocument/2006/relationships/hyperlink" Target="https://ref.ly/Matt10:28" TargetMode="External"/><Relationship Id="rId954" Type="http://schemas.openxmlformats.org/officeDocument/2006/relationships/hyperlink" Target="https://ref.ly/Luke12:5" TargetMode="External"/><Relationship Id="rId955" Type="http://schemas.openxmlformats.org/officeDocument/2006/relationships/hyperlink" Target="https://ref.ly/Heb6:19" TargetMode="External"/><Relationship Id="rId956" Type="http://schemas.openxmlformats.org/officeDocument/2006/relationships/hyperlink" Target="https://ref.ly/Heb10:39" TargetMode="External"/><Relationship Id="rId957" Type="http://schemas.openxmlformats.org/officeDocument/2006/relationships/hyperlink" Target="https://ref.ly/Heb12:3" TargetMode="External"/><Relationship Id="rId958" Type="http://schemas.openxmlformats.org/officeDocument/2006/relationships/hyperlink" Target="https://ref.ly/Heb13:7" TargetMode="External"/><Relationship Id="rId959" Type="http://schemas.openxmlformats.org/officeDocument/2006/relationships/hyperlink" Target="https://ref.ly/Jas1:21" TargetMode="External"/><Relationship Id="rId960" Type="http://schemas.openxmlformats.org/officeDocument/2006/relationships/hyperlink" Target="https://ref.ly/Jas5:20" TargetMode="External"/><Relationship Id="rId961" Type="http://schemas.openxmlformats.org/officeDocument/2006/relationships/hyperlink" Target="https://ref.ly/1Pet1:9" TargetMode="External"/><Relationship Id="rId962" Type="http://schemas.openxmlformats.org/officeDocument/2006/relationships/hyperlink" Target="https://ref.ly/1Pet2:25" TargetMode="External"/><Relationship Id="rId963" Type="http://schemas.openxmlformats.org/officeDocument/2006/relationships/hyperlink" Target="https://ref.ly/1Pet4:19" TargetMode="External"/><Relationship Id="rId964" Type="http://schemas.openxmlformats.org/officeDocument/2006/relationships/hyperlink" Target="https://ref.ly/Rev6:9" TargetMode="External"/><Relationship Id="rId965" Type="http://schemas.openxmlformats.org/officeDocument/2006/relationships/hyperlink" Target="https://ref.ly/Rev20:4" TargetMode="External"/><Relationship Id="rId966" Type="http://schemas.openxmlformats.org/officeDocument/2006/relationships/hyperlink" Target="https://ref.ly/Gen10:26" TargetMode="External"/><Relationship Id="rId967" Type="http://schemas.openxmlformats.org/officeDocument/2006/relationships/hyperlink" Target="https://ref.ly/1Chr1:20" TargetMode="External"/><Relationship Id="rId968" Type="http://schemas.openxmlformats.org/officeDocument/2006/relationships/hyperlink" Target="https://ref.ly/Num33:46-Num33:47" TargetMode="External"/><Relationship Id="rId969" Type="http://schemas.openxmlformats.org/officeDocument/2006/relationships/hyperlink" Target="https://ref.ly/Jer48:22" TargetMode="External"/><Relationship Id="rId970" Type="http://schemas.openxmlformats.org/officeDocument/2006/relationships/hyperlink" Target="https://ref.ly/Gen35:8" TargetMode="External"/><Relationship Id="rId971" Type="http://schemas.openxmlformats.org/officeDocument/2006/relationships/hyperlink" Target="https://ref.ly/John10:23" TargetMode="External"/><Relationship Id="rId972" Type="http://schemas.openxmlformats.org/officeDocument/2006/relationships/hyperlink" Target="https://ref.ly/Acts3:11" TargetMode="External"/><Relationship Id="rId973" Type="http://schemas.openxmlformats.org/officeDocument/2006/relationships/hyperlink" Target="https://ref.ly/Acts5:12" TargetMode="External"/><Relationship Id="rId974" Type="http://schemas.openxmlformats.org/officeDocument/2006/relationships/hyperlink" Target="https://ref.ly/Exod30:1-Exod30:10" TargetMode="External"/><Relationship Id="rId975" Type="http://schemas.openxmlformats.org/officeDocument/2006/relationships/hyperlink" Target="https://ref.ly/Gen8:20" TargetMode="External"/><Relationship Id="rId976" Type="http://schemas.openxmlformats.org/officeDocument/2006/relationships/hyperlink" Target="https://ref.ly/Gen22:9" TargetMode="External"/><Relationship Id="rId977" Type="http://schemas.openxmlformats.org/officeDocument/2006/relationships/hyperlink" Target="https://ref.ly/Gen26:25" TargetMode="External"/><Relationship Id="rId978" Type="http://schemas.openxmlformats.org/officeDocument/2006/relationships/hyperlink" Target="https://ref.ly/Gen33:20" TargetMode="External"/><Relationship Id="rId979" Type="http://schemas.openxmlformats.org/officeDocument/2006/relationships/hyperlink" Target="https://ref.ly/Gen35:7" TargetMode="External"/><Relationship Id="rId980" Type="http://schemas.openxmlformats.org/officeDocument/2006/relationships/hyperlink" Target="https://ref.ly/Exod17:15" TargetMode="External"/><Relationship Id="rId981" Type="http://schemas.openxmlformats.org/officeDocument/2006/relationships/hyperlink" Target="https://ref.ly/Exod24:4" TargetMode="External"/><Relationship Id="rId982" Type="http://schemas.openxmlformats.org/officeDocument/2006/relationships/hyperlink" Target="https://ref.ly/Exod27:1-Exod27:8" TargetMode="External"/><Relationship Id="rId983" Type="http://schemas.openxmlformats.org/officeDocument/2006/relationships/hyperlink" Target="https://ref.ly/Exod38:1-Exod38:7" TargetMode="External"/><Relationship Id="rId984" Type="http://schemas.openxmlformats.org/officeDocument/2006/relationships/hyperlink" Target="https://ref.ly/Exod40:5" TargetMode="External"/><Relationship Id="rId985" Type="http://schemas.openxmlformats.org/officeDocument/2006/relationships/hyperlink" Target="https://ref.ly/Exod20:24-Exod20:26" TargetMode="External"/><Relationship Id="rId986" Type="http://schemas.openxmlformats.org/officeDocument/2006/relationships/hyperlink" Target="https://ref.ly/Josh8:30-Josh8:31" TargetMode="External"/><Relationship Id="rId987" Type="http://schemas.openxmlformats.org/officeDocument/2006/relationships/hyperlink" Target="https://ref.ly/Josh22:10-Josh22:16" TargetMode="External"/><Relationship Id="rId988" Type="http://schemas.openxmlformats.org/officeDocument/2006/relationships/hyperlink" Target="https://ref.ly/Judg6:24" TargetMode="External"/><Relationship Id="rId989" Type="http://schemas.openxmlformats.org/officeDocument/2006/relationships/hyperlink" Target="https://ref.ly/1Sam20:6,1Sam20:29" TargetMode="External"/><Relationship Id="rId990" Type="http://schemas.openxmlformats.org/officeDocument/2006/relationships/hyperlink" Target="https://ref.ly/2Sam24:25" TargetMode="External"/><Relationship Id="rId991" Type="http://schemas.openxmlformats.org/officeDocument/2006/relationships/hyperlink" Target="https://ref.ly/1Kgs18:30" TargetMode="External"/><Relationship Id="rId992" Type="http://schemas.openxmlformats.org/officeDocument/2006/relationships/hyperlink" Target="https://ref.ly/2Kgs16:14" TargetMode="External"/><Relationship Id="rId993" Type="http://schemas.openxmlformats.org/officeDocument/2006/relationships/hyperlink" Target="https://ref.ly/2Chr29:18" TargetMode="External"/><Relationship Id="rId994" Type="http://schemas.openxmlformats.org/officeDocument/2006/relationships/hyperlink" Target="https://ref.ly/1Kgs6:20-1Kgs6:22" TargetMode="External"/><Relationship Id="rId995" Type="http://schemas.openxmlformats.org/officeDocument/2006/relationships/hyperlink" Target="https://ref.ly/Ezek43:13-Ezek43:17" TargetMode="External"/><Relationship Id="rId996" Type="http://schemas.openxmlformats.org/officeDocument/2006/relationships/hyperlink" Target="https://ref.ly/Ezra3:2" TargetMode="External"/><Relationship Id="rId997" Type="http://schemas.openxmlformats.org/officeDocument/2006/relationships/hyperlink" Target="https://ref.ly/1Macc1:54" TargetMode="External"/><Relationship Id="rId998" Type="http://schemas.openxmlformats.org/officeDocument/2006/relationships/hyperlink" Target="https://ref.ly/1Macc1:21" TargetMode="External"/><Relationship Id="rId999" Type="http://schemas.openxmlformats.org/officeDocument/2006/relationships/hyperlink" Target="https://ref.ly/1Macc4:44-1Macc4:49" TargetMode="External"/><Relationship Id="rId1000" Type="http://schemas.openxmlformats.org/officeDocument/2006/relationships/hyperlink" Target="https://ref.ly/Matt5:23-Matt5:24" TargetMode="External"/><Relationship Id="rId1001" Type="http://schemas.openxmlformats.org/officeDocument/2006/relationships/hyperlink" Target="https://ref.ly/Matt23:18-Matt23:20" TargetMode="External"/><Relationship Id="rId1002" Type="http://schemas.openxmlformats.org/officeDocument/2006/relationships/hyperlink" Target="https://ref.ly/1Cor9:13" TargetMode="External"/><Relationship Id="rId1003" Type="http://schemas.openxmlformats.org/officeDocument/2006/relationships/hyperlink" Target="https://ref.ly/1Cor10:18" TargetMode="External"/><Relationship Id="rId1004" Type="http://schemas.openxmlformats.org/officeDocument/2006/relationships/hyperlink" Target="https://ref.ly/Heb7:13" TargetMode="External"/><Relationship Id="rId1005" Type="http://schemas.openxmlformats.org/officeDocument/2006/relationships/hyperlink" Target="https://ref.ly/Rev11:1" TargetMode="External"/><Relationship Id="rId1006" Type="http://schemas.openxmlformats.org/officeDocument/2006/relationships/hyperlink" Target="https://ref.ly/Luke1:11" TargetMode="External"/><Relationship Id="rId1007" Type="http://schemas.openxmlformats.org/officeDocument/2006/relationships/hyperlink" Target="https://ref.ly/Rev8:5" TargetMode="External"/><Relationship Id="rId1008" Type="http://schemas.openxmlformats.org/officeDocument/2006/relationships/hyperlink" Target="https://ref.ly/Rev9:13" TargetMode="External"/><Relationship Id="rId1009" Type="http://schemas.openxmlformats.org/officeDocument/2006/relationships/hyperlink" Target="https://ref.ly/Ps58:1-Ps58:11" TargetMode="External"/><Relationship Id="rId1010" Type="http://schemas.openxmlformats.org/officeDocument/2006/relationships/hyperlink" Target="https://ref.ly/Ps59:1-Ps59:17" TargetMode="External"/><Relationship Id="rId1011" Type="http://schemas.openxmlformats.org/officeDocument/2006/relationships/hyperlink" Target="https://ref.ly/Ps75:1-Ps75:10" TargetMode="External"/><Relationship Id="rId1012" Type="http://schemas.openxmlformats.org/officeDocument/2006/relationships/hyperlink" Target="https://ref.ly/Ps21:7" TargetMode="External"/><Relationship Id="rId1013" Type="http://schemas.openxmlformats.org/officeDocument/2006/relationships/hyperlink" Target="https://ref.ly/Acts7:48" TargetMode="External"/><Relationship Id="rId1014" Type="http://schemas.openxmlformats.org/officeDocument/2006/relationships/hyperlink" Target="https://ref.ly/Num33:13-Num33:14" TargetMode="External"/><Relationship Id="rId1015" Type="http://schemas.openxmlformats.org/officeDocument/2006/relationships/hyperlink" Target="https://ref.ly/Gen36:40" TargetMode="External"/><Relationship Id="rId1016" Type="http://schemas.openxmlformats.org/officeDocument/2006/relationships/hyperlink" Target="https://ref.ly/Gen36:23" TargetMode="External"/><Relationship Id="rId1017" Type="http://schemas.openxmlformats.org/officeDocument/2006/relationships/hyperlink" Target="https://ref.ly/1Chr1:40" TargetMode="External"/><Relationship Id="rId1018" Type="http://schemas.openxmlformats.org/officeDocument/2006/relationships/hyperlink" Target="https://ref.ly/Gen21:7" TargetMode="External"/><Relationship Id="rId1019" Type="http://schemas.openxmlformats.org/officeDocument/2006/relationships/hyperlink" Target="https://ref.ly/1Sam1:23" TargetMode="External"/><Relationship Id="rId1020" Type="http://schemas.openxmlformats.org/officeDocument/2006/relationships/hyperlink" Target="https://ref.ly/Exod2:7" TargetMode="External"/><Relationship Id="rId1021" Type="http://schemas.openxmlformats.org/officeDocument/2006/relationships/hyperlink" Target="https://ref.ly/2Kgs11:2" TargetMode="External"/><Relationship Id="rId1022" Type="http://schemas.openxmlformats.org/officeDocument/2006/relationships/hyperlink" Target="https://ref.ly/Gen21:8" TargetMode="External"/><Relationship Id="rId1023" Type="http://schemas.openxmlformats.org/officeDocument/2006/relationships/hyperlink" Target="https://ref.ly/1Sam1:23-1Sam1:24" TargetMode="External"/><Relationship Id="rId1024" Type="http://schemas.openxmlformats.org/officeDocument/2006/relationships/hyperlink" Target="https://ref.ly/2Sam4:4" TargetMode="External"/><Relationship Id="rId1025" Type="http://schemas.openxmlformats.org/officeDocument/2006/relationships/hyperlink" Target="https://ref.ly/Ruth4:16" TargetMode="External"/><Relationship Id="rId1026" Type="http://schemas.openxmlformats.org/officeDocument/2006/relationships/hyperlink" Target="https://ref.ly/2Kgs10:1" TargetMode="External"/><Relationship Id="rId1027" Type="http://schemas.openxmlformats.org/officeDocument/2006/relationships/hyperlink" Target="https://ref.ly/2Kgs10:5" TargetMode="External"/><Relationship Id="rId1028" Type="http://schemas.openxmlformats.org/officeDocument/2006/relationships/hyperlink" Target="https://ref.ly/Num11:12" TargetMode="External"/><Relationship Id="rId1029" Type="http://schemas.openxmlformats.org/officeDocument/2006/relationships/hyperlink" Target="https://ref.ly/1Thess2:7" TargetMode="External"/><Relationship Id="rId1030" Type="http://schemas.openxmlformats.org/officeDocument/2006/relationships/hyperlink" Target="https://ref.ly/Gen36:12" TargetMode="External"/><Relationship Id="rId1031" Type="http://schemas.openxmlformats.org/officeDocument/2006/relationships/hyperlink" Target="https://ref.ly/1Chr1:36" TargetMode="External"/><Relationship Id="rId1032" Type="http://schemas.openxmlformats.org/officeDocument/2006/relationships/hyperlink" Target="https://ref.ly/Exod17:8-Exod17:16" TargetMode="External"/><Relationship Id="rId1033" Type="http://schemas.openxmlformats.org/officeDocument/2006/relationships/hyperlink" Target="https://ref.ly/Exod17:1,Exod17:8-Exod17:16" TargetMode="External"/><Relationship Id="rId1034" Type="http://schemas.openxmlformats.org/officeDocument/2006/relationships/hyperlink" Target="https://ref.ly/Deut25:17-Deut25:18" TargetMode="External"/><Relationship Id="rId1035" Type="http://schemas.openxmlformats.org/officeDocument/2006/relationships/hyperlink" Target="https://ref.ly/Num14:39-Num14:45" TargetMode="External"/><Relationship Id="rId1036" Type="http://schemas.openxmlformats.org/officeDocument/2006/relationships/hyperlink" Target="https://ref.ly/Num24:20" TargetMode="External"/><Relationship Id="rId1037" Type="http://schemas.openxmlformats.org/officeDocument/2006/relationships/hyperlink" Target="https://ref.ly/Deut25:17-Deut25:19" TargetMode="External"/><Relationship Id="rId1038" Type="http://schemas.openxmlformats.org/officeDocument/2006/relationships/hyperlink" Target="https://ref.ly/1Sam15:5-1Sam15:6" TargetMode="External"/><Relationship Id="rId1039" Type="http://schemas.openxmlformats.org/officeDocument/2006/relationships/hyperlink" Target="https://ref.ly/Judg1:16" TargetMode="External"/><Relationship Id="rId1040" Type="http://schemas.openxmlformats.org/officeDocument/2006/relationships/hyperlink" Target="https://ref.ly/Judg3:12-Judg3:14" TargetMode="External"/><Relationship Id="rId1041" Type="http://schemas.openxmlformats.org/officeDocument/2006/relationships/hyperlink" Target="https://ref.ly/Judg5:14" TargetMode="External"/><Relationship Id="rId1042" Type="http://schemas.openxmlformats.org/officeDocument/2006/relationships/hyperlink" Target="https://ref.ly/Judg6:3,Judg6:33" TargetMode="External"/><Relationship Id="rId1043" Type="http://schemas.openxmlformats.org/officeDocument/2006/relationships/hyperlink" Target="https://ref.ly/Judg7:12" TargetMode="External"/><Relationship Id="rId1044" Type="http://schemas.openxmlformats.org/officeDocument/2006/relationships/hyperlink" Target="https://ref.ly/Judg7:12-Judg7:25" TargetMode="External"/><Relationship Id="rId1045" Type="http://schemas.openxmlformats.org/officeDocument/2006/relationships/hyperlink" Target="https://ref.ly/1Sam14:47-1Sam14:48" TargetMode="External"/><Relationship Id="rId1046" Type="http://schemas.openxmlformats.org/officeDocument/2006/relationships/hyperlink" Target="https://ref.ly/1Sam15:1-1Sam15:3" TargetMode="External"/><Relationship Id="rId1047" Type="http://schemas.openxmlformats.org/officeDocument/2006/relationships/hyperlink" Target="https://ref.ly/1Sam15:4-1Sam15:7" TargetMode="External"/><Relationship Id="rId1048" Type="http://schemas.openxmlformats.org/officeDocument/2006/relationships/hyperlink" Target="https://ref.ly/1Sam15:8" TargetMode="External"/><Relationship Id="rId1049" Type="http://schemas.openxmlformats.org/officeDocument/2006/relationships/hyperlink" Target="https://ref.ly/1Sam15:9" TargetMode="External"/><Relationship Id="rId1050" Type="http://schemas.openxmlformats.org/officeDocument/2006/relationships/hyperlink" Target="https://ref.ly/1Sam15:10-1Sam15:31" TargetMode="External"/><Relationship Id="rId1051" Type="http://schemas.openxmlformats.org/officeDocument/2006/relationships/hyperlink" Target="https://ref.ly/1Sam15:32-1Sam15:35" TargetMode="External"/><Relationship Id="rId1052" Type="http://schemas.openxmlformats.org/officeDocument/2006/relationships/hyperlink" Target="https://ref.ly/1Sam27:8" TargetMode="External"/><Relationship Id="rId1053" Type="http://schemas.openxmlformats.org/officeDocument/2006/relationships/hyperlink" Target="https://ref.ly/1Sam30:1-1Sam30:20" TargetMode="External"/><Relationship Id="rId1054" Type="http://schemas.openxmlformats.org/officeDocument/2006/relationships/hyperlink" Target="https://ref.ly/2Sam1:1" TargetMode="External"/><Relationship Id="rId1055" Type="http://schemas.openxmlformats.org/officeDocument/2006/relationships/hyperlink" Target="https://ref.ly/2Sam8:12" TargetMode="External"/><Relationship Id="rId1056" Type="http://schemas.openxmlformats.org/officeDocument/2006/relationships/hyperlink" Target="https://ref.ly/1Chr18:11" TargetMode="External"/><Relationship Id="rId1057" Type="http://schemas.openxmlformats.org/officeDocument/2006/relationships/hyperlink" Target="https://ref.ly/Ps83:7" TargetMode="External"/><Relationship Id="rId1058" Type="http://schemas.openxmlformats.org/officeDocument/2006/relationships/hyperlink" Target="https://ref.ly/1Chr4:41-1Chr4:43" TargetMode="External"/><Relationship Id="rId1059" Type="http://schemas.openxmlformats.org/officeDocument/2006/relationships/hyperlink" Target="https://ref.ly/Num22:5" TargetMode="External"/><Relationship Id="rId1060" Type="http://schemas.openxmlformats.org/officeDocument/2006/relationships/hyperlink" Target="https://ref.ly/1Sam9:25" TargetMode="External"/><Relationship Id="rId1061" Type="http://schemas.openxmlformats.org/officeDocument/2006/relationships/hyperlink" Target="https://ref.ly/2Sam11:2" TargetMode="External"/><Relationship Id="rId1062" Type="http://schemas.openxmlformats.org/officeDocument/2006/relationships/hyperlink" Target="https://ref.ly/Isa22:1-Isa22:2" TargetMode="External"/><Relationship Id="rId1063" Type="http://schemas.openxmlformats.org/officeDocument/2006/relationships/hyperlink" Target="https://ref.ly/Acts10:9" TargetMode="External"/><Relationship Id="rId1064" Type="http://schemas.openxmlformats.org/officeDocument/2006/relationships/hyperlink" Target="https://ref.ly/Deut22:8" TargetMode="External"/><Relationship Id="rId1065" Type="http://schemas.openxmlformats.org/officeDocument/2006/relationships/hyperlink" Target="https://ref.ly/2Chr26:15" TargetMode="External"/><Relationship Id="rId1066" Type="http://schemas.openxmlformats.org/officeDocument/2006/relationships/hyperlink" Target="https://ref.ly/Zeph1:16" TargetMode="External"/><Relationship Id="rId1067" Type="http://schemas.openxmlformats.org/officeDocument/2006/relationships/hyperlink" Target="https://ref.ly/Deut27:15-Deut27:26" TargetMode="External"/><Relationship Id="rId1068" Type="http://schemas.openxmlformats.org/officeDocument/2006/relationships/hyperlink" Target="https://ref.ly/Jer11:5" TargetMode="External"/><Relationship Id="rId1069" Type="http://schemas.openxmlformats.org/officeDocument/2006/relationships/hyperlink" Target="https://ref.ly/1Chr16:36" TargetMode="External"/><Relationship Id="rId1070" Type="http://schemas.openxmlformats.org/officeDocument/2006/relationships/hyperlink" Target="https://ref.ly/Ps41:13" TargetMode="External"/><Relationship Id="rId1071" Type="http://schemas.openxmlformats.org/officeDocument/2006/relationships/hyperlink" Target="https://ref.ly/Ps72:19" TargetMode="External"/><Relationship Id="rId1072" Type="http://schemas.openxmlformats.org/officeDocument/2006/relationships/hyperlink" Target="https://ref.ly/Ps89:52" TargetMode="External"/><Relationship Id="rId1073" Type="http://schemas.openxmlformats.org/officeDocument/2006/relationships/hyperlink" Target="https://ref.ly/Ps106:48" TargetMode="External"/><Relationship Id="rId1074" Type="http://schemas.openxmlformats.org/officeDocument/2006/relationships/hyperlink" Target="https://ref.ly/Isa65:16" TargetMode="External"/><Relationship Id="rId1075" Type="http://schemas.openxmlformats.org/officeDocument/2006/relationships/hyperlink" Target="https://ref.ly/Eph3:21" TargetMode="External"/><Relationship Id="rId1076" Type="http://schemas.openxmlformats.org/officeDocument/2006/relationships/hyperlink" Target="https://ref.ly/Gal6:18" TargetMode="External"/><Relationship Id="rId1077" Type="http://schemas.openxmlformats.org/officeDocument/2006/relationships/hyperlink" Target="https://ref.ly/1Cor14:16" TargetMode="External"/><Relationship Id="rId1078" Type="http://schemas.openxmlformats.org/officeDocument/2006/relationships/hyperlink" Target="https://ref.ly/Rev1:7" TargetMode="External"/><Relationship Id="rId1079" Type="http://schemas.openxmlformats.org/officeDocument/2006/relationships/hyperlink" Target="https://ref.ly/Rev7:12" TargetMode="External"/><Relationship Id="rId1080" Type="http://schemas.openxmlformats.org/officeDocument/2006/relationships/hyperlink" Target="https://ref.ly/Num13:12" TargetMode="External"/><Relationship Id="rId1081" Type="http://schemas.openxmlformats.org/officeDocument/2006/relationships/hyperlink" Target="https://ref.ly/Num14:37" TargetMode="External"/><Relationship Id="rId1082" Type="http://schemas.openxmlformats.org/officeDocument/2006/relationships/hyperlink" Target="https://ref.ly/2Sam9:4-2Sam9:5" TargetMode="External"/><Relationship Id="rId1083" Type="http://schemas.openxmlformats.org/officeDocument/2006/relationships/hyperlink" Target="https://ref.ly/2Sam17:27-2Sam17:29" TargetMode="External"/><Relationship Id="rId1084" Type="http://schemas.openxmlformats.org/officeDocument/2006/relationships/hyperlink" Target="https://ref.ly/1Chr3:5" TargetMode="External"/><Relationship Id="rId1085" Type="http://schemas.openxmlformats.org/officeDocument/2006/relationships/hyperlink" Target="https://ref.ly/2Sam11:3" TargetMode="External"/><Relationship Id="rId1086" Type="http://schemas.openxmlformats.org/officeDocument/2006/relationships/hyperlink" Target="https://ref.ly/1Chr26:5,1Chr26:15" TargetMode="External"/><Relationship Id="rId1087" Type="http://schemas.openxmlformats.org/officeDocument/2006/relationships/hyperlink" Target="https://ref.ly/Num1:7" TargetMode="External"/><Relationship Id="rId1088" Type="http://schemas.openxmlformats.org/officeDocument/2006/relationships/hyperlink" Target="https://ref.ly/Num2:3" TargetMode="External"/><Relationship Id="rId1089" Type="http://schemas.openxmlformats.org/officeDocument/2006/relationships/hyperlink" Target="https://ref.ly/Num7:12,Num7:17" TargetMode="External"/><Relationship Id="rId1090" Type="http://schemas.openxmlformats.org/officeDocument/2006/relationships/hyperlink" Target="https://ref.ly/Num10:14" TargetMode="External"/><Relationship Id="rId1091" Type="http://schemas.openxmlformats.org/officeDocument/2006/relationships/hyperlink" Target="https://ref.ly/1Chr2:10" TargetMode="External"/><Relationship Id="rId1092" Type="http://schemas.openxmlformats.org/officeDocument/2006/relationships/hyperlink" Target="https://ref.ly/Ruth4:18-Ruth4:22" TargetMode="External"/><Relationship Id="rId1093" Type="http://schemas.openxmlformats.org/officeDocument/2006/relationships/hyperlink" Target="https://ref.ly/Matt1:4" TargetMode="External"/><Relationship Id="rId1094" Type="http://schemas.openxmlformats.org/officeDocument/2006/relationships/hyperlink" Target="https://ref.ly/Luke3:33" TargetMode="External"/><Relationship Id="rId1095" Type="http://schemas.openxmlformats.org/officeDocument/2006/relationships/hyperlink" Target="https://ref.ly/1Chr6:22" TargetMode="External"/><Relationship Id="rId1096" Type="http://schemas.openxmlformats.org/officeDocument/2006/relationships/hyperlink" Target="https://ref.ly/1Chr15:1-1Chr15:4,1Chr15:10-1Chr15:11" TargetMode="External"/><Relationship Id="rId1097" Type="http://schemas.openxmlformats.org/officeDocument/2006/relationships/hyperlink" Target="https://ref.ly/Num1:10" TargetMode="External"/><Relationship Id="rId1098" Type="http://schemas.openxmlformats.org/officeDocument/2006/relationships/hyperlink" Target="https://ref.ly/1Chr7:26" TargetMode="External"/><Relationship Id="rId1099" Type="http://schemas.openxmlformats.org/officeDocument/2006/relationships/hyperlink" Target="https://ref.ly/Num34:20" TargetMode="External"/><Relationship Id="rId1100" Type="http://schemas.openxmlformats.org/officeDocument/2006/relationships/hyperlink" Target="https://ref.ly/Num34:28" TargetMode="External"/><Relationship Id="rId1101" Type="http://schemas.openxmlformats.org/officeDocument/2006/relationships/hyperlink" Target="https://ref.ly/2Sam13:37" TargetMode="External"/><Relationship Id="rId1102" Type="http://schemas.openxmlformats.org/officeDocument/2006/relationships/hyperlink" Target="https://ref.ly/1Chr9:4" TargetMode="External"/><Relationship Id="rId1103" Type="http://schemas.openxmlformats.org/officeDocument/2006/relationships/hyperlink" Target="https://ref.ly/Exod6:7" TargetMode="External"/><Relationship Id="rId1104" Type="http://schemas.openxmlformats.org/officeDocument/2006/relationships/hyperlink" Target="https://ref.ly/Deut4:37" TargetMode="External"/><Relationship Id="rId1105" Type="http://schemas.openxmlformats.org/officeDocument/2006/relationships/hyperlink" Target="https://ref.ly/Deut7:8" TargetMode="External"/><Relationship Id="rId1106" Type="http://schemas.openxmlformats.org/officeDocument/2006/relationships/hyperlink" Target="https://ref.ly/Hos1:4" TargetMode="External"/><Relationship Id="rId1107" Type="http://schemas.openxmlformats.org/officeDocument/2006/relationships/hyperlink" Target="https://ref.ly/Hos1:6" TargetMode="External"/><Relationship Id="rId1108" Type="http://schemas.openxmlformats.org/officeDocument/2006/relationships/hyperlink" Target="https://ref.ly/Hos1:9" TargetMode="External"/><Relationship Id="rId1109" Type="http://schemas.openxmlformats.org/officeDocument/2006/relationships/hyperlink" Target="https://ref.ly/Hos2:23" TargetMode="External"/><Relationship Id="rId1110" Type="http://schemas.openxmlformats.org/officeDocument/2006/relationships/hyperlink" Target="https://ref.ly/Gen19:38" TargetMode="External"/><Relationship Id="rId1111" Type="http://schemas.openxmlformats.org/officeDocument/2006/relationships/hyperlink" Target="https://ref.ly/1Kgs14:21,1Kgs14:31" TargetMode="External"/><Relationship Id="rId1112" Type="http://schemas.openxmlformats.org/officeDocument/2006/relationships/hyperlink" Target="https://ref.ly/2Chr12:13" TargetMode="External"/><Relationship Id="rId1113" Type="http://schemas.openxmlformats.org/officeDocument/2006/relationships/hyperlink" Target="https://ref.ly/Deut2:20-Deut2:21" TargetMode="External"/><Relationship Id="rId1114" Type="http://schemas.openxmlformats.org/officeDocument/2006/relationships/hyperlink" Target="https://ref.ly/Gen14:5" TargetMode="External"/><Relationship Id="rId1115" Type="http://schemas.openxmlformats.org/officeDocument/2006/relationships/hyperlink" Target="https://ref.ly/Gen14:1,Gen14:5" TargetMode="External"/><Relationship Id="rId1116" Type="http://schemas.openxmlformats.org/officeDocument/2006/relationships/hyperlink" Target="https://ref.ly/Gen14:1-Gen14:24" TargetMode="External"/><Relationship Id="rId1117" Type="http://schemas.openxmlformats.org/officeDocument/2006/relationships/hyperlink" Target="https://ref.ly/Deut3:11" TargetMode="External"/><Relationship Id="rId1118" Type="http://schemas.openxmlformats.org/officeDocument/2006/relationships/hyperlink" Target="https://ref.ly/Num20:14-Num20:21" TargetMode="External"/><Relationship Id="rId1119" Type="http://schemas.openxmlformats.org/officeDocument/2006/relationships/hyperlink" Target="https://ref.ly/Num21:21-Num21:24" TargetMode="External"/><Relationship Id="rId1120" Type="http://schemas.openxmlformats.org/officeDocument/2006/relationships/hyperlink" Target="https://ref.ly/Deut2:19,Deut2:37" TargetMode="External"/><Relationship Id="rId1121" Type="http://schemas.openxmlformats.org/officeDocument/2006/relationships/hyperlink" Target="https://ref.ly/Deut3:1-Deut3:11" TargetMode="External"/><Relationship Id="rId1122" Type="http://schemas.openxmlformats.org/officeDocument/2006/relationships/hyperlink" Target="https://ref.ly/Num22:1-Num24:25" TargetMode="External"/><Relationship Id="rId1123" Type="http://schemas.openxmlformats.org/officeDocument/2006/relationships/hyperlink" Target="https://ref.ly/Deut23:3" TargetMode="External"/><Relationship Id="rId1124" Type="http://schemas.openxmlformats.org/officeDocument/2006/relationships/hyperlink" Target="https://ref.ly/Neh13:1-Neh13:2" TargetMode="External"/><Relationship Id="rId1125" Type="http://schemas.openxmlformats.org/officeDocument/2006/relationships/hyperlink" Target="https://ref.ly/Num32:1-Num32:42" TargetMode="External"/><Relationship Id="rId1126" Type="http://schemas.openxmlformats.org/officeDocument/2006/relationships/hyperlink" Target="https://ref.ly/Deut3:16" TargetMode="External"/><Relationship Id="rId1127" Type="http://schemas.openxmlformats.org/officeDocument/2006/relationships/hyperlink" Target="https://ref.ly/Josh13:8-Josh13:32" TargetMode="External"/><Relationship Id="rId1128" Type="http://schemas.openxmlformats.org/officeDocument/2006/relationships/hyperlink" Target="https://ref.ly/Josh22:10-Josh22:34" TargetMode="External"/><Relationship Id="rId1129" Type="http://schemas.openxmlformats.org/officeDocument/2006/relationships/hyperlink" Target="https://ref.ly/Judg3:12-Judg3:13" TargetMode="External"/><Relationship Id="rId1130" Type="http://schemas.openxmlformats.org/officeDocument/2006/relationships/hyperlink" Target="https://ref.ly/Judg10:6" TargetMode="External"/><Relationship Id="rId1131" Type="http://schemas.openxmlformats.org/officeDocument/2006/relationships/hyperlink" Target="https://ref.ly/Judg10:7-Judg10:8" TargetMode="External"/><Relationship Id="rId1132" Type="http://schemas.openxmlformats.org/officeDocument/2006/relationships/hyperlink" Target="https://ref.ly/Judg10:9" TargetMode="External"/><Relationship Id="rId1133" Type="http://schemas.openxmlformats.org/officeDocument/2006/relationships/hyperlink" Target="https://ref.ly/Judg11:1-Judg11:11" TargetMode="External"/><Relationship Id="rId1134" Type="http://schemas.openxmlformats.org/officeDocument/2006/relationships/hyperlink" Target="https://ref.ly/Judg11:12-Judg11:33" TargetMode="External"/><Relationship Id="rId1135" Type="http://schemas.openxmlformats.org/officeDocument/2006/relationships/hyperlink" Target="https://ref.ly/1Sam11:1-1Sam11:11" TargetMode="External"/><Relationship Id="rId1136" Type="http://schemas.openxmlformats.org/officeDocument/2006/relationships/hyperlink" Target="https://ref.ly/2Sam8:11-2Sam8:12" TargetMode="External"/><Relationship Id="rId1137" Type="http://schemas.openxmlformats.org/officeDocument/2006/relationships/hyperlink" Target="https://ref.ly/2Sam11:1" TargetMode="External"/><Relationship Id="rId1138" Type="http://schemas.openxmlformats.org/officeDocument/2006/relationships/hyperlink" Target="https://ref.ly/1Chr20:2" TargetMode="External"/><Relationship Id="rId1139" Type="http://schemas.openxmlformats.org/officeDocument/2006/relationships/hyperlink" Target="https://ref.ly/2Sam12:26-2Sam12:29" TargetMode="External"/><Relationship Id="rId1140" Type="http://schemas.openxmlformats.org/officeDocument/2006/relationships/hyperlink" Target="https://ref.ly/2Sam12:30" TargetMode="External"/><Relationship Id="rId1141" Type="http://schemas.openxmlformats.org/officeDocument/2006/relationships/hyperlink" Target="https://ref.ly/1Chr20:1" TargetMode="External"/><Relationship Id="rId1142" Type="http://schemas.openxmlformats.org/officeDocument/2006/relationships/hyperlink" Target="https://ref.ly/2Sam12:31" TargetMode="External"/><Relationship Id="rId1143" Type="http://schemas.openxmlformats.org/officeDocument/2006/relationships/hyperlink" Target="https://ref.ly/1Chr20:3" TargetMode="External"/><Relationship Id="rId1144" Type="http://schemas.openxmlformats.org/officeDocument/2006/relationships/hyperlink" Target="https://ref.ly/2Sam17:27" TargetMode="External"/><Relationship Id="rId1145" Type="http://schemas.openxmlformats.org/officeDocument/2006/relationships/hyperlink" Target="https://ref.ly/2Sam23:37" TargetMode="External"/><Relationship Id="rId1146" Type="http://schemas.openxmlformats.org/officeDocument/2006/relationships/hyperlink" Target="https://ref.ly/2Chr20:1-2Chr20:12" TargetMode="External"/><Relationship Id="rId1147" Type="http://schemas.openxmlformats.org/officeDocument/2006/relationships/hyperlink" Target="https://ref.ly/2Chr20:22-2Chr20:25" TargetMode="External"/><Relationship Id="rId1148" Type="http://schemas.openxmlformats.org/officeDocument/2006/relationships/hyperlink" Target="https://ref.ly/Jer27:1-Jer27:3" TargetMode="External"/><Relationship Id="rId1149" Type="http://schemas.openxmlformats.org/officeDocument/2006/relationships/hyperlink" Target="https://ref.ly/Jer27:4-Jer27:22" TargetMode="External"/><Relationship Id="rId1150" Type="http://schemas.openxmlformats.org/officeDocument/2006/relationships/hyperlink" Target="https://ref.ly/Jer40:11" TargetMode="External"/><Relationship Id="rId1151" Type="http://schemas.openxmlformats.org/officeDocument/2006/relationships/hyperlink" Target="https://ref.ly/Jer40:13-Jer40:16" TargetMode="External"/><Relationship Id="rId1152" Type="http://schemas.openxmlformats.org/officeDocument/2006/relationships/hyperlink" Target="https://ref.ly/Jer41:1-Jer41:15" TargetMode="External"/><Relationship Id="rId1153" Type="http://schemas.openxmlformats.org/officeDocument/2006/relationships/hyperlink" Target="https://ref.ly/2Sam22:26" TargetMode="External"/><Relationship Id="rId1154" Type="http://schemas.openxmlformats.org/officeDocument/2006/relationships/hyperlink" Target="https://ref.ly/Hos2:19-Hos2:20" TargetMode="External"/><Relationship Id="rId1155" Type="http://schemas.openxmlformats.org/officeDocument/2006/relationships/hyperlink" Target="https://ref.ly/Job6:14-Job6:15" TargetMode="External"/><Relationship Id="rId1156" Type="http://schemas.openxmlformats.org/officeDocument/2006/relationships/hyperlink" Target="https://ref.ly/1Sam20:8" TargetMode="External"/><Relationship Id="rId1157" Type="http://schemas.openxmlformats.org/officeDocument/2006/relationships/hyperlink" Target="https://ref.ly/Deut7:7-Deut7:9" TargetMode="External"/><Relationship Id="rId1158" Type="http://schemas.openxmlformats.org/officeDocument/2006/relationships/hyperlink" Target="https://ref.ly/Ps86:15" TargetMode="External"/><Relationship Id="rId1159" Type="http://schemas.openxmlformats.org/officeDocument/2006/relationships/hyperlink" Target="https://ref.ly/Ps103:1-Ps103:18" TargetMode="External"/><Relationship Id="rId1160" Type="http://schemas.openxmlformats.org/officeDocument/2006/relationships/hyperlink" Target="https://ref.ly/Ps136:1-Ps136:26" TargetMode="External"/><Relationship Id="rId1161" Type="http://schemas.openxmlformats.org/officeDocument/2006/relationships/hyperlink" Target="https://ref.ly/Hos11:1-Hos11:4" TargetMode="External"/><Relationship Id="rId1162" Type="http://schemas.openxmlformats.org/officeDocument/2006/relationships/hyperlink" Target="https://ref.ly/Deut6:20-Deut6:25" TargetMode="External"/><Relationship Id="rId1163" Type="http://schemas.openxmlformats.org/officeDocument/2006/relationships/hyperlink" Target="https://ref.ly/Hos6:6" TargetMode="External"/><Relationship Id="rId1164" Type="http://schemas.openxmlformats.org/officeDocument/2006/relationships/hyperlink" Target="https://ref.ly/Hos7:1-Hos7:7" TargetMode="External"/><Relationship Id="rId1165" Type="http://schemas.openxmlformats.org/officeDocument/2006/relationships/hyperlink" Target="https://ref.ly/Hos10:12-Hos10:13" TargetMode="External"/><Relationship Id="rId1166" Type="http://schemas.openxmlformats.org/officeDocument/2006/relationships/hyperlink" Target="https://ref.ly/Lev19:18" TargetMode="External"/><Relationship Id="rId1167" Type="http://schemas.openxmlformats.org/officeDocument/2006/relationships/hyperlink" Target="https://ref.ly/Matt11:2-Matt11:5" TargetMode="External"/><Relationship Id="rId1168" Type="http://schemas.openxmlformats.org/officeDocument/2006/relationships/hyperlink" Target="https://ref.ly/Luke4:18" TargetMode="External"/><Relationship Id="rId1169" Type="http://schemas.openxmlformats.org/officeDocument/2006/relationships/hyperlink" Target="https://ref.ly/Luke15:1-Luke15:32" TargetMode="External"/><Relationship Id="rId1170" Type="http://schemas.openxmlformats.org/officeDocument/2006/relationships/hyperlink" Target="https://ref.ly/Matt5:44-Matt5:48" TargetMode="External"/><Relationship Id="rId1171" Type="http://schemas.openxmlformats.org/officeDocument/2006/relationships/hyperlink" Target="https://ref.ly/Matt22:35-Matt22:40" TargetMode="External"/><Relationship Id="rId1172" Type="http://schemas.openxmlformats.org/officeDocument/2006/relationships/hyperlink" Target="https://ref.ly/Matt25:31-Matt25:46" TargetMode="External"/><Relationship Id="rId1173" Type="http://schemas.openxmlformats.org/officeDocument/2006/relationships/hyperlink" Target="https://ref.ly/Rom13:8-Rom13:10" TargetMode="External"/><Relationship Id="rId1174" Type="http://schemas.openxmlformats.org/officeDocument/2006/relationships/hyperlink" Target="https://ref.ly/Eph4:25-Eph5:2" TargetMode="External"/><Relationship Id="rId1175" Type="http://schemas.openxmlformats.org/officeDocument/2006/relationships/hyperlink" Target="https://ref.ly/Gal5:14" TargetMode="External"/><Relationship Id="rId1176" Type="http://schemas.openxmlformats.org/officeDocument/2006/relationships/hyperlink" Target="https://ref.ly/Gal6:2" TargetMode="External"/><Relationship Id="rId1177" Type="http://schemas.openxmlformats.org/officeDocument/2006/relationships/hyperlink" Target="https://ref.ly/Gal5:6" TargetMode="External"/><Relationship Id="rId1178" Type="http://schemas.openxmlformats.org/officeDocument/2006/relationships/hyperlink" Target="https://ref.ly/1Cor12:27-1Cor13:13" TargetMode="External"/><Relationship Id="rId1179" Type="http://schemas.openxmlformats.org/officeDocument/2006/relationships/hyperlink" Target="https://ref.ly/Rom5:5" TargetMode="External"/><Relationship Id="rId1180" Type="http://schemas.openxmlformats.org/officeDocument/2006/relationships/hyperlink" Target="https://ref.ly/1Cor13:1-1Cor13:3" TargetMode="External"/><Relationship Id="rId1181" Type="http://schemas.openxmlformats.org/officeDocument/2006/relationships/hyperlink" Target="https://ref.ly/1Cor13:4-1Cor13:8" TargetMode="External"/><Relationship Id="rId1182" Type="http://schemas.openxmlformats.org/officeDocument/2006/relationships/hyperlink" Target="https://ref.ly/Rom5:8" TargetMode="External"/><Relationship Id="rId1183" Type="http://schemas.openxmlformats.org/officeDocument/2006/relationships/hyperlink" Target="https://ref.ly/Rom8:32-Rom8:39" TargetMode="External"/><Relationship Id="rId1184" Type="http://schemas.openxmlformats.org/officeDocument/2006/relationships/hyperlink" Target="https://ref.ly/2Cor13:14" TargetMode="External"/><Relationship Id="rId1185" Type="http://schemas.openxmlformats.org/officeDocument/2006/relationships/hyperlink" Target="https://ref.ly/Eph2:4" TargetMode="External"/><Relationship Id="rId1186" Type="http://schemas.openxmlformats.org/officeDocument/2006/relationships/hyperlink" Target="https://ref.ly/2Thess2:16" TargetMode="External"/><Relationship Id="rId1187" Type="http://schemas.openxmlformats.org/officeDocument/2006/relationships/hyperlink" Target="https://ref.ly/Titus3:4-Titus3:5" TargetMode="External"/><Relationship Id="rId1188" Type="http://schemas.openxmlformats.org/officeDocument/2006/relationships/hyperlink" Target="https://ref.ly/1Cor7:1-1Cor7:40" TargetMode="External"/><Relationship Id="rId1189" Type="http://schemas.openxmlformats.org/officeDocument/2006/relationships/hyperlink" Target="https://ref.ly/1Cor16:22" TargetMode="External"/><Relationship Id="rId1190" Type="http://schemas.openxmlformats.org/officeDocument/2006/relationships/hyperlink" Target="https://ref.ly/Eph6:24" TargetMode="External"/><Relationship Id="rId1191" Type="http://schemas.openxmlformats.org/officeDocument/2006/relationships/hyperlink" Target="https://ref.ly/John3:16" TargetMode="External"/><Relationship Id="rId1192" Type="http://schemas.openxmlformats.org/officeDocument/2006/relationships/hyperlink" Target="https://ref.ly/John16:27" TargetMode="External"/><Relationship Id="rId1193" Type="http://schemas.openxmlformats.org/officeDocument/2006/relationships/hyperlink" Target="https://ref.ly/John17:23" TargetMode="External"/><Relationship Id="rId1194" Type="http://schemas.openxmlformats.org/officeDocument/2006/relationships/hyperlink" Target="https://ref.ly/1John3:16" TargetMode="External"/><Relationship Id="rId1195" Type="http://schemas.openxmlformats.org/officeDocument/2006/relationships/hyperlink" Target="https://ref.ly/1John4:8" TargetMode="External"/><Relationship Id="rId1196" Type="http://schemas.openxmlformats.org/officeDocument/2006/relationships/hyperlink" Target="https://ref.ly/1John4:9-1John4:10" TargetMode="External"/><Relationship Id="rId1197" Type="http://schemas.openxmlformats.org/officeDocument/2006/relationships/hyperlink" Target="https://ref.ly/John13:34" TargetMode="External"/><Relationship Id="rId1198" Type="http://schemas.openxmlformats.org/officeDocument/2006/relationships/hyperlink" Target="https://ref.ly/Matt22:39" TargetMode="External"/><Relationship Id="rId1199" Type="http://schemas.openxmlformats.org/officeDocument/2006/relationships/hyperlink" Target="https://ref.ly/1John2:19" TargetMode="External"/><Relationship Id="rId1200" Type="http://schemas.openxmlformats.org/officeDocument/2006/relationships/hyperlink" Target="https://ref.ly/1John1:3" TargetMode="External"/><Relationship Id="rId1201" Type="http://schemas.openxmlformats.org/officeDocument/2006/relationships/hyperlink" Target="https://ref.ly/2Pet1:7" TargetMode="External"/><Relationship Id="rId1202" Type="http://schemas.openxmlformats.org/officeDocument/2006/relationships/hyperlink" Target="https://ref.ly/1John2:2" TargetMode="External"/><Relationship Id="rId1203" Type="http://schemas.openxmlformats.org/officeDocument/2006/relationships/hyperlink" Target="https://ref.ly/1John4:14" TargetMode="External"/><Relationship Id="rId1204" Type="http://schemas.openxmlformats.org/officeDocument/2006/relationships/hyperlink" Target="https://ref.ly/1John3:18" TargetMode="External"/><Relationship Id="rId1205" Type="http://schemas.openxmlformats.org/officeDocument/2006/relationships/hyperlink" Target="https://ref.ly/John15:10" TargetMode="External"/><Relationship Id="rId1206" Type="http://schemas.openxmlformats.org/officeDocument/2006/relationships/hyperlink" Target="https://ref.ly/John3:17" TargetMode="External"/><Relationship Id="rId1207" Type="http://schemas.openxmlformats.org/officeDocument/2006/relationships/hyperlink" Target="https://ref.ly/Gen10:16" TargetMode="External"/><Relationship Id="rId1208" Type="http://schemas.openxmlformats.org/officeDocument/2006/relationships/hyperlink" Target="https://ref.ly/1Chr1:13-1Chr1:16" TargetMode="External"/><Relationship Id="rId1209" Type="http://schemas.openxmlformats.org/officeDocument/2006/relationships/hyperlink" Target="https://ref.ly/Exod3:8,Exod3:17" TargetMode="External"/><Relationship Id="rId1210" Type="http://schemas.openxmlformats.org/officeDocument/2006/relationships/hyperlink" Target="https://ref.ly/Exod13:5" TargetMode="External"/><Relationship Id="rId1211" Type="http://schemas.openxmlformats.org/officeDocument/2006/relationships/hyperlink" Target="https://ref.ly/Exod23:23" TargetMode="External"/><Relationship Id="rId1212" Type="http://schemas.openxmlformats.org/officeDocument/2006/relationships/hyperlink" Target="https://ref.ly/Exod33:2" TargetMode="External"/><Relationship Id="rId1213" Type="http://schemas.openxmlformats.org/officeDocument/2006/relationships/hyperlink" Target="https://ref.ly/Exod34:11-Exod34:17" TargetMode="External"/><Relationship Id="rId1214" Type="http://schemas.openxmlformats.org/officeDocument/2006/relationships/hyperlink" Target="https://ref.ly/Num13:25-Num13:29" TargetMode="External"/><Relationship Id="rId1215" Type="http://schemas.openxmlformats.org/officeDocument/2006/relationships/hyperlink" Target="https://ref.ly/Num21:13" TargetMode="External"/><Relationship Id="rId1216" Type="http://schemas.openxmlformats.org/officeDocument/2006/relationships/hyperlink" Target="https://ref.ly/Deut1:7" TargetMode="External"/><Relationship Id="rId1217" Type="http://schemas.openxmlformats.org/officeDocument/2006/relationships/hyperlink" Target="https://ref.ly/Deut1:19-Deut1:20" TargetMode="External"/><Relationship Id="rId1218" Type="http://schemas.openxmlformats.org/officeDocument/2006/relationships/hyperlink" Target="https://ref.ly/Deut1:26-Deut1:28" TargetMode="External"/><Relationship Id="rId1219" Type="http://schemas.openxmlformats.org/officeDocument/2006/relationships/hyperlink" Target="https://ref.ly/Deut1:34-Deut1:44" TargetMode="External"/><Relationship Id="rId1220" Type="http://schemas.openxmlformats.org/officeDocument/2006/relationships/hyperlink" Target="https://ref.ly/Num21:21-Num21:26" TargetMode="External"/><Relationship Id="rId1221" Type="http://schemas.openxmlformats.org/officeDocument/2006/relationships/hyperlink" Target="https://ref.ly/Num21:27-Num21:30" TargetMode="External"/><Relationship Id="rId1222" Type="http://schemas.openxmlformats.org/officeDocument/2006/relationships/hyperlink" Target="https://ref.ly/Num21:31-Num21:35" TargetMode="External"/><Relationship Id="rId1223" Type="http://schemas.openxmlformats.org/officeDocument/2006/relationships/hyperlink" Target="https://ref.ly/Num22:2-Num22:3" TargetMode="External"/><Relationship Id="rId1224" Type="http://schemas.openxmlformats.org/officeDocument/2006/relationships/hyperlink" Target="https://ref.ly/Deut2:24-Deut3:10" TargetMode="External"/><Relationship Id="rId1225" Type="http://schemas.openxmlformats.org/officeDocument/2006/relationships/hyperlink" Target="https://ref.ly/Num32:33" TargetMode="External"/><Relationship Id="rId1226" Type="http://schemas.openxmlformats.org/officeDocument/2006/relationships/hyperlink" Target="https://ref.ly/Deut1:1-Deut1:4" TargetMode="External"/><Relationship Id="rId1227" Type="http://schemas.openxmlformats.org/officeDocument/2006/relationships/hyperlink" Target="https://ref.ly/Deut7:1-Deut7:2" TargetMode="External"/><Relationship Id="rId1228" Type="http://schemas.openxmlformats.org/officeDocument/2006/relationships/hyperlink" Target="https://ref.ly/Deut31:3-Deut31:6" TargetMode="External"/><Relationship Id="rId1229" Type="http://schemas.openxmlformats.org/officeDocument/2006/relationships/hyperlink" Target="https://ref.ly/Josh2:8-Josh2:11" TargetMode="External"/><Relationship Id="rId1230" Type="http://schemas.openxmlformats.org/officeDocument/2006/relationships/hyperlink" Target="https://ref.ly/Josh7:7" TargetMode="External"/><Relationship Id="rId1231" Type="http://schemas.openxmlformats.org/officeDocument/2006/relationships/hyperlink" Target="https://ref.ly/Josh9:1-Josh9:2" TargetMode="External"/><Relationship Id="rId1232" Type="http://schemas.openxmlformats.org/officeDocument/2006/relationships/hyperlink" Target="https://ref.ly/Josh10:1-Josh10:2" TargetMode="External"/><Relationship Id="rId1233" Type="http://schemas.openxmlformats.org/officeDocument/2006/relationships/hyperlink" Target="https://ref.ly/Josh10:3" TargetMode="External"/><Relationship Id="rId1234" Type="http://schemas.openxmlformats.org/officeDocument/2006/relationships/hyperlink" Target="https://ref.ly/Josh10:3-Josh10:5" TargetMode="External"/><Relationship Id="rId1235" Type="http://schemas.openxmlformats.org/officeDocument/2006/relationships/hyperlink" Target="https://ref.ly/Josh10:6-Josh10:14" TargetMode="External"/><Relationship Id="rId1236" Type="http://schemas.openxmlformats.org/officeDocument/2006/relationships/hyperlink" Target="https://ref.ly/Josh11:1-Josh11:5" TargetMode="External"/><Relationship Id="rId1237" Type="http://schemas.openxmlformats.org/officeDocument/2006/relationships/hyperlink" Target="https://ref.ly/Josh11:10-Josh11:23" TargetMode="External"/><Relationship Id="rId1238" Type="http://schemas.openxmlformats.org/officeDocument/2006/relationships/hyperlink" Target="https://ref.ly/Josh24:1-Josh24:18" TargetMode="External"/><Relationship Id="rId1239" Type="http://schemas.openxmlformats.org/officeDocument/2006/relationships/hyperlink" Target="https://ref.ly/Judg1:34-Judg1:36" TargetMode="External"/><Relationship Id="rId1240" Type="http://schemas.openxmlformats.org/officeDocument/2006/relationships/hyperlink" Target="https://ref.ly/Judg6:10" TargetMode="External"/><Relationship Id="rId1241" Type="http://schemas.openxmlformats.org/officeDocument/2006/relationships/hyperlink" Target="https://ref.ly/1Sam7:14" TargetMode="External"/><Relationship Id="rId1242" Type="http://schemas.openxmlformats.org/officeDocument/2006/relationships/hyperlink" Target="https://ref.ly/2Sam21:2-2Sam21:6" TargetMode="External"/><Relationship Id="rId1243" Type="http://schemas.openxmlformats.org/officeDocument/2006/relationships/hyperlink" Target="https://ref.ly/1Kgs9:20-1Kgs9:22" TargetMode="External"/><Relationship Id="rId1244" Type="http://schemas.openxmlformats.org/officeDocument/2006/relationships/hyperlink" Target="https://ref.ly/Ps135:9-Ps135:12" TargetMode="External"/><Relationship Id="rId1245" Type="http://schemas.openxmlformats.org/officeDocument/2006/relationships/hyperlink" Target="https://ref.ly/Ps136:13-Ps136:26" TargetMode="External"/><Relationship Id="rId1246" Type="http://schemas.openxmlformats.org/officeDocument/2006/relationships/hyperlink" Target="https://ref.ly/Amos2:9-Amos2:10" TargetMode="External"/><Relationship Id="rId1247" Type="http://schemas.openxmlformats.org/officeDocument/2006/relationships/hyperlink" Target="https://ref.ly/1Kgs4:19" TargetMode="External"/><Relationship Id="rId1248" Type="http://schemas.openxmlformats.org/officeDocument/2006/relationships/hyperlink" Target="https://ref.ly/Ezek16:45" TargetMode="External"/><Relationship Id="rId1249" Type="http://schemas.openxmlformats.org/officeDocument/2006/relationships/hyperlink" Target="https://ref.ly/Amos1:1-Amos1:2" TargetMode="External"/><Relationship Id="rId1250" Type="http://schemas.openxmlformats.org/officeDocument/2006/relationships/hyperlink" Target="https://ref.ly/Amos7:10-Amos7:14" TargetMode="External"/><Relationship Id="rId1251" Type="http://schemas.openxmlformats.org/officeDocument/2006/relationships/hyperlink" Target="https://ref.ly/Amos7:1-Amos7:9" TargetMode="External"/><Relationship Id="rId1252" Type="http://schemas.openxmlformats.org/officeDocument/2006/relationships/hyperlink" Target="https://ref.ly/Amos8:1-Amos8:3" TargetMode="External"/><Relationship Id="rId1253" Type="http://schemas.openxmlformats.org/officeDocument/2006/relationships/hyperlink" Target="https://ref.ly/Amos9:1-Amos9:4" TargetMode="External"/><Relationship Id="rId1254" Type="http://schemas.openxmlformats.org/officeDocument/2006/relationships/hyperlink" Target="https://ref.ly/Amos1:1-Amos6:14" TargetMode="External"/><Relationship Id="rId1255" Type="http://schemas.openxmlformats.org/officeDocument/2006/relationships/hyperlink" Target="https://ref.ly/Amos7:1-Amos7:3" TargetMode="External"/><Relationship Id="rId1256" Type="http://schemas.openxmlformats.org/officeDocument/2006/relationships/hyperlink" Target="https://ref.ly/Amos5:1-Amos5:7" TargetMode="External"/><Relationship Id="rId1257" Type="http://schemas.openxmlformats.org/officeDocument/2006/relationships/hyperlink" Target="https://ref.ly/Amos1:1" TargetMode="External"/><Relationship Id="rId1258" Type="http://schemas.openxmlformats.org/officeDocument/2006/relationships/hyperlink" Target="https://ref.ly/Zech14:5" TargetMode="External"/><Relationship Id="rId1259" Type="http://schemas.openxmlformats.org/officeDocument/2006/relationships/hyperlink" Target="https://ref.ly/Amos8:9" TargetMode="External"/><Relationship Id="rId1260" Type="http://schemas.openxmlformats.org/officeDocument/2006/relationships/hyperlink" Target="https://ref.ly/2Chr26:21" TargetMode="External"/><Relationship Id="rId1261" Type="http://schemas.openxmlformats.org/officeDocument/2006/relationships/hyperlink" Target="https://ref.ly/Amos5:27" TargetMode="External"/><Relationship Id="rId1262" Type="http://schemas.openxmlformats.org/officeDocument/2006/relationships/hyperlink" Target="https://ref.ly/Amos7:15" TargetMode="External"/><Relationship Id="rId1263" Type="http://schemas.openxmlformats.org/officeDocument/2006/relationships/hyperlink" Target="https://ref.ly/Amos2:4-Amos2:5" TargetMode="External"/><Relationship Id="rId1264" Type="http://schemas.openxmlformats.org/officeDocument/2006/relationships/hyperlink" Target="https://ref.ly/Amos4:1" TargetMode="External"/><Relationship Id="rId1265" Type="http://schemas.openxmlformats.org/officeDocument/2006/relationships/hyperlink" Target="https://ref.ly/Amos6:1" TargetMode="External"/><Relationship Id="rId1266" Type="http://schemas.openxmlformats.org/officeDocument/2006/relationships/hyperlink" Target="https://ref.ly/2Kgs13:25" TargetMode="External"/><Relationship Id="rId1267" Type="http://schemas.openxmlformats.org/officeDocument/2006/relationships/hyperlink" Target="https://ref.ly/Amos6:4" TargetMode="External"/><Relationship Id="rId1268" Type="http://schemas.openxmlformats.org/officeDocument/2006/relationships/hyperlink" Target="https://ref.ly/Amos5:11-Amos5:13" TargetMode="External"/><Relationship Id="rId1269" Type="http://schemas.openxmlformats.org/officeDocument/2006/relationships/hyperlink" Target="https://ref.ly/Amos8:4-Amos8:10" TargetMode="External"/><Relationship Id="rId1270" Type="http://schemas.openxmlformats.org/officeDocument/2006/relationships/hyperlink" Target="https://ref.ly/Amos5:18" TargetMode="External"/><Relationship Id="rId1271" Type="http://schemas.openxmlformats.org/officeDocument/2006/relationships/hyperlink" Target="https://ref.ly/Amos1:2-Amos6:14" TargetMode="External"/><Relationship Id="rId1272" Type="http://schemas.openxmlformats.org/officeDocument/2006/relationships/hyperlink" Target="https://ref.ly/Amos1:2" TargetMode="External"/><Relationship Id="rId1273" Type="http://schemas.openxmlformats.org/officeDocument/2006/relationships/hyperlink" Target="https://ref.ly/Amos1:3-Amos2:3" TargetMode="External"/><Relationship Id="rId1274" Type="http://schemas.openxmlformats.org/officeDocument/2006/relationships/hyperlink" Target="https://ref.ly/2Kgs10:32-2Kgs10:33" TargetMode="External"/><Relationship Id="rId1275" Type="http://schemas.openxmlformats.org/officeDocument/2006/relationships/hyperlink" Target="https://ref.ly/2Kgs13:3-2Kgs13:5" TargetMode="External"/><Relationship Id="rId1276" Type="http://schemas.openxmlformats.org/officeDocument/2006/relationships/hyperlink" Target="https://ref.ly/2Kgs13:7" TargetMode="External"/><Relationship Id="rId1277" Type="http://schemas.openxmlformats.org/officeDocument/2006/relationships/hyperlink" Target="https://ref.ly/Amos1:3" TargetMode="External"/><Relationship Id="rId1278" Type="http://schemas.openxmlformats.org/officeDocument/2006/relationships/hyperlink" Target="https://ref.ly/Amos9:7" TargetMode="External"/><Relationship Id="rId1279" Type="http://schemas.openxmlformats.org/officeDocument/2006/relationships/hyperlink" Target="https://ref.ly/2Kgs16:9" TargetMode="External"/><Relationship Id="rId1280" Type="http://schemas.openxmlformats.org/officeDocument/2006/relationships/hyperlink" Target="https://ref.ly/Amos1:8" TargetMode="External"/><Relationship Id="rId1281" Type="http://schemas.openxmlformats.org/officeDocument/2006/relationships/hyperlink" Target="https://ref.ly/2Kgs12:17" TargetMode="External"/><Relationship Id="rId1282" Type="http://schemas.openxmlformats.org/officeDocument/2006/relationships/hyperlink" Target="https://ref.ly/Amos1:6" TargetMode="External"/><Relationship Id="rId1283" Type="http://schemas.openxmlformats.org/officeDocument/2006/relationships/hyperlink" Target="https://ref.ly/Amos1:11" TargetMode="External"/><Relationship Id="rId1284" Type="http://schemas.openxmlformats.org/officeDocument/2006/relationships/hyperlink" Target="https://ref.ly/Amos1:13" TargetMode="External"/><Relationship Id="rId1285" Type="http://schemas.openxmlformats.org/officeDocument/2006/relationships/hyperlink" Target="https://ref.ly/Amos2:1-Amos2:3" TargetMode="External"/><Relationship Id="rId1286" Type="http://schemas.openxmlformats.org/officeDocument/2006/relationships/hyperlink" Target="https://ref.ly/Amos2:4-Amos2:16" TargetMode="External"/><Relationship Id="rId1287" Type="http://schemas.openxmlformats.org/officeDocument/2006/relationships/hyperlink" Target="https://ref.ly/Amos2:6" TargetMode="External"/><Relationship Id="rId1288" Type="http://schemas.openxmlformats.org/officeDocument/2006/relationships/hyperlink" Target="https://ref.ly/Exod22:26-Exod22:27" TargetMode="External"/><Relationship Id="rId1289" Type="http://schemas.openxmlformats.org/officeDocument/2006/relationships/hyperlink" Target="https://ref.ly/Amos2:8" TargetMode="External"/><Relationship Id="rId1290" Type="http://schemas.openxmlformats.org/officeDocument/2006/relationships/hyperlink" Target="https://ref.ly/Amos2:9-Amos2:11" TargetMode="External"/><Relationship Id="rId1291" Type="http://schemas.openxmlformats.org/officeDocument/2006/relationships/hyperlink" Target="https://ref.ly/Amos2:12-Amos2:16" TargetMode="External"/><Relationship Id="rId1292" Type="http://schemas.openxmlformats.org/officeDocument/2006/relationships/hyperlink" Target="https://ref.ly/Amos3:1-Amos6:14" TargetMode="External"/><Relationship Id="rId1293" Type="http://schemas.openxmlformats.org/officeDocument/2006/relationships/hyperlink" Target="https://ref.ly/Amos3:1-Amos3:8" TargetMode="External"/><Relationship Id="rId1294" Type="http://schemas.openxmlformats.org/officeDocument/2006/relationships/hyperlink" Target="https://ref.ly/Amos3:9-Amos3:10" TargetMode="External"/><Relationship Id="rId1295" Type="http://schemas.openxmlformats.org/officeDocument/2006/relationships/hyperlink" Target="https://ref.ly/Amos3:11-Amos3:12" TargetMode="External"/><Relationship Id="rId1296" Type="http://schemas.openxmlformats.org/officeDocument/2006/relationships/hyperlink" Target="https://ref.ly/Amos3:14" TargetMode="External"/><Relationship Id="rId1297" Type="http://schemas.openxmlformats.org/officeDocument/2006/relationships/hyperlink" Target="https://ref.ly/Amos3:15" TargetMode="External"/><Relationship Id="rId1298" Type="http://schemas.openxmlformats.org/officeDocument/2006/relationships/hyperlink" Target="https://ref.ly/Amos4:1-Amos4:3" TargetMode="External"/><Relationship Id="rId1299" Type="http://schemas.openxmlformats.org/officeDocument/2006/relationships/hyperlink" Target="https://ref.ly/Amos4:4-Amos4:5" TargetMode="External"/><Relationship Id="rId1300" Type="http://schemas.openxmlformats.org/officeDocument/2006/relationships/hyperlink" Target="https://ref.ly/Amos4:6-Amos4:13" TargetMode="External"/><Relationship Id="rId1301" Type="http://schemas.openxmlformats.org/officeDocument/2006/relationships/hyperlink" Target="https://ref.ly/Amos5:1-Amos5:2" TargetMode="External"/><Relationship Id="rId1302" Type="http://schemas.openxmlformats.org/officeDocument/2006/relationships/hyperlink" Target="https://ref.ly/Amos5:3" TargetMode="External"/><Relationship Id="rId1303" Type="http://schemas.openxmlformats.org/officeDocument/2006/relationships/hyperlink" Target="https://ref.ly/Amos5:4-Amos5:6" TargetMode="External"/><Relationship Id="rId1304" Type="http://schemas.openxmlformats.org/officeDocument/2006/relationships/hyperlink" Target="https://ref.ly/Amos5:5" TargetMode="External"/><Relationship Id="rId1305" Type="http://schemas.openxmlformats.org/officeDocument/2006/relationships/hyperlink" Target="https://ref.ly/Amos5:8-Amos5:9" TargetMode="External"/><Relationship Id="rId1306" Type="http://schemas.openxmlformats.org/officeDocument/2006/relationships/hyperlink" Target="https://ref.ly/Amos5:10-Amos5:13" TargetMode="External"/><Relationship Id="rId1307" Type="http://schemas.openxmlformats.org/officeDocument/2006/relationships/hyperlink" Target="https://ref.ly/Amos5:15" TargetMode="External"/><Relationship Id="rId1308" Type="http://schemas.openxmlformats.org/officeDocument/2006/relationships/hyperlink" Target="https://ref.ly/Amos5:16-Amos5:17" TargetMode="External"/><Relationship Id="rId1309" Type="http://schemas.openxmlformats.org/officeDocument/2006/relationships/hyperlink" Target="https://ref.ly/Amos5:18-Amos5:24" TargetMode="External"/><Relationship Id="rId1310" Type="http://schemas.openxmlformats.org/officeDocument/2006/relationships/hyperlink" Target="https://ref.ly/Amos5:25-Amos5:27" TargetMode="External"/><Relationship Id="rId1311" Type="http://schemas.openxmlformats.org/officeDocument/2006/relationships/hyperlink" Target="https://ref.ly/Amos6:2-Amos6:7" TargetMode="External"/><Relationship Id="rId1312" Type="http://schemas.openxmlformats.org/officeDocument/2006/relationships/hyperlink" Target="https://ref.ly/Amos6:8-Amos6:11" TargetMode="External"/><Relationship Id="rId1313" Type="http://schemas.openxmlformats.org/officeDocument/2006/relationships/hyperlink" Target="https://ref.ly/Amos6:12-Amos6:14" TargetMode="External"/><Relationship Id="rId1314" Type="http://schemas.openxmlformats.org/officeDocument/2006/relationships/hyperlink" Target="https://ref.ly/Amos7:1-Amos9:10" TargetMode="External"/><Relationship Id="rId1315" Type="http://schemas.openxmlformats.org/officeDocument/2006/relationships/hyperlink" Target="https://ref.ly/Amos7:4-Amos7:6" TargetMode="External"/><Relationship Id="rId1316" Type="http://schemas.openxmlformats.org/officeDocument/2006/relationships/hyperlink" Target="https://ref.ly/Amos7:7-Amos7:9" TargetMode="External"/><Relationship Id="rId1317" Type="http://schemas.openxmlformats.org/officeDocument/2006/relationships/hyperlink" Target="https://ref.ly/Amos7:10-Amos7:17" TargetMode="External"/><Relationship Id="rId1318" Type="http://schemas.openxmlformats.org/officeDocument/2006/relationships/hyperlink" Target="https://ref.ly/Amos8:1-Amos8:14" TargetMode="External"/><Relationship Id="rId1319" Type="http://schemas.openxmlformats.org/officeDocument/2006/relationships/hyperlink" Target="https://ref.ly/Amos9:1-Amos9:10" TargetMode="External"/><Relationship Id="rId1320" Type="http://schemas.openxmlformats.org/officeDocument/2006/relationships/hyperlink" Target="https://ref.ly/Amos9:5-Amos9:6" TargetMode="External"/><Relationship Id="rId1321" Type="http://schemas.openxmlformats.org/officeDocument/2006/relationships/hyperlink" Target="https://ref.ly/Amos9:7-Amos9:10" TargetMode="External"/><Relationship Id="rId1322" Type="http://schemas.openxmlformats.org/officeDocument/2006/relationships/hyperlink" Target="https://ref.ly/Isa6:12-Isa6:13" TargetMode="External"/><Relationship Id="rId1323" Type="http://schemas.openxmlformats.org/officeDocument/2006/relationships/hyperlink" Target="https://ref.ly/Mic6:7-Mic6:9" TargetMode="External"/><Relationship Id="rId1324" Type="http://schemas.openxmlformats.org/officeDocument/2006/relationships/hyperlink" Target="https://ref.ly/Lev26:44-Lev26:45" TargetMode="External"/><Relationship Id="rId1325" Type="http://schemas.openxmlformats.org/officeDocument/2006/relationships/hyperlink" Target="https://ref.ly/Amos9:11-Amos9:15" TargetMode="External"/><Relationship Id="rId1326" Type="http://schemas.openxmlformats.org/officeDocument/2006/relationships/hyperlink" Target="https://ref.ly/Amos9:11-Amos9:12" TargetMode="External"/><Relationship Id="rId1327" Type="http://schemas.openxmlformats.org/officeDocument/2006/relationships/hyperlink" Target="https://ref.ly/Acts15:16-Acts15:18" TargetMode="External"/><Relationship Id="rId1328" Type="http://schemas.openxmlformats.org/officeDocument/2006/relationships/hyperlink" Target="https://ref.ly/Amos9:13-Amos9:15" TargetMode="External"/><Relationship Id="rId1329" Type="http://schemas.openxmlformats.org/officeDocument/2006/relationships/hyperlink" Target="https://ref.ly/Mic3:12-Mic4:4" TargetMode="External"/><Relationship Id="rId1330" Type="http://schemas.openxmlformats.org/officeDocument/2006/relationships/hyperlink" Target="https://ref.ly/Gen22:15-Gen22:18" TargetMode="External"/><Relationship Id="rId1331" Type="http://schemas.openxmlformats.org/officeDocument/2006/relationships/hyperlink" Target="https://ref.ly/Exod23:1-Exod23:13" TargetMode="External"/><Relationship Id="rId1332" Type="http://schemas.openxmlformats.org/officeDocument/2006/relationships/hyperlink" Target="https://ref.ly/Amos4:4" TargetMode="External"/><Relationship Id="rId1333" Type="http://schemas.openxmlformats.org/officeDocument/2006/relationships/hyperlink" Target="https://ref.ly/Amos9:8-Amos9:15" TargetMode="External"/><Relationship Id="rId1334" Type="http://schemas.openxmlformats.org/officeDocument/2006/relationships/hyperlink" Target="https://ref.ly/Amos9:12" TargetMode="External"/><Relationship Id="rId1335" Type="http://schemas.openxmlformats.org/officeDocument/2006/relationships/hyperlink" Target="https://ref.ly/Amos4:13" TargetMode="External"/><Relationship Id="rId1336" Type="http://schemas.openxmlformats.org/officeDocument/2006/relationships/hyperlink" Target="https://ref.ly/Amos5:8" TargetMode="External"/><Relationship Id="rId1337" Type="http://schemas.openxmlformats.org/officeDocument/2006/relationships/hyperlink" Target="https://ref.ly/Amos9:13-Amos9:14" TargetMode="External"/><Relationship Id="rId1338" Type="http://schemas.openxmlformats.org/officeDocument/2006/relationships/hyperlink" Target="https://ref.ly/Exod32:2-Exod32:4" TargetMode="External"/><Relationship Id="rId1339" Type="http://schemas.openxmlformats.org/officeDocument/2006/relationships/hyperlink" Target="https://ref.ly/Isa3:16-Isa3:23" TargetMode="External"/><Relationship Id="rId1340" Type="http://schemas.openxmlformats.org/officeDocument/2006/relationships/hyperlink" Target="https://ref.ly/Deut6:4-Deut6:9" TargetMode="External"/><Relationship Id="rId1341" Type="http://schemas.openxmlformats.org/officeDocument/2006/relationships/hyperlink" Target="https://ref.ly/Gen36:2,Gen36:18" TargetMode="External"/><Relationship Id="rId1342" Type="http://schemas.openxmlformats.org/officeDocument/2006/relationships/hyperlink" Target="https://ref.ly/Gen36:20,Gen36:25" TargetMode="External"/><Relationship Id="rId1343" Type="http://schemas.openxmlformats.org/officeDocument/2006/relationships/hyperlink" Target="https://ref.ly/1Chr1:38,1Chr1:41" TargetMode="External"/><Relationship Id="rId1344" Type="http://schemas.openxmlformats.org/officeDocument/2006/relationships/hyperlink" Target="https://ref.ly/Gen10:13" TargetMode="External"/><Relationship Id="rId1345" Type="http://schemas.openxmlformats.org/officeDocument/2006/relationships/hyperlink" Target="https://ref.ly/1Chr1:11" TargetMode="External"/><Relationship Id="rId1346" Type="http://schemas.openxmlformats.org/officeDocument/2006/relationships/hyperlink" Target="https://ref.ly/Acts5:1-Acts5:5" TargetMode="External"/><Relationship Id="rId1347" Type="http://schemas.openxmlformats.org/officeDocument/2006/relationships/hyperlink" Target="https://ref.ly/Acts9:13-Acts9:16" TargetMode="External"/><Relationship Id="rId1348" Type="http://schemas.openxmlformats.org/officeDocument/2006/relationships/hyperlink" Target="https://ref.ly/Acts9:17-Acts9:19" TargetMode="External"/><Relationship Id="rId1349" Type="http://schemas.openxmlformats.org/officeDocument/2006/relationships/hyperlink" Target="https://ref.ly/Acts22:12-Acts22:16" TargetMode="External"/><Relationship Id="rId1350" Type="http://schemas.openxmlformats.org/officeDocument/2006/relationships/hyperlink" Target="https://ref.ly/Acts22:30-Acts23:10" TargetMode="External"/><Relationship Id="rId1351" Type="http://schemas.openxmlformats.org/officeDocument/2006/relationships/hyperlink" Target="https://ref.ly/Acts24:1" TargetMode="External"/><Relationship Id="rId1352" Type="http://schemas.openxmlformats.org/officeDocument/2006/relationships/hyperlink" Target="https://ref.ly/Num13:17-Num13:22" TargetMode="External"/><Relationship Id="rId1353" Type="http://schemas.openxmlformats.org/officeDocument/2006/relationships/hyperlink" Target="https://ref.ly/Num13:31" TargetMode="External"/><Relationship Id="rId1354" Type="http://schemas.openxmlformats.org/officeDocument/2006/relationships/hyperlink" Target="https://ref.ly/Deut1:19-Deut1:46" TargetMode="External"/><Relationship Id="rId1355" Type="http://schemas.openxmlformats.org/officeDocument/2006/relationships/hyperlink" Target="https://ref.ly/Deut9:1-Deut9:3" TargetMode="External"/><Relationship Id="rId1356" Type="http://schemas.openxmlformats.org/officeDocument/2006/relationships/hyperlink" Target="https://ref.ly/Josh11:21-Josh11:23" TargetMode="External"/><Relationship Id="rId1357" Type="http://schemas.openxmlformats.org/officeDocument/2006/relationships/hyperlink" Target="https://ref.ly/Josh15:14-Josh15:17" TargetMode="External"/><Relationship Id="rId1358" Type="http://schemas.openxmlformats.org/officeDocument/2006/relationships/hyperlink" Target="https://ref.ly/Josh21:11" TargetMode="External"/><Relationship Id="rId1359" Type="http://schemas.openxmlformats.org/officeDocument/2006/relationships/hyperlink" Target="https://ref.ly/1Sam17:4-1Sam17:7" TargetMode="External"/><Relationship Id="rId1360" Type="http://schemas.openxmlformats.org/officeDocument/2006/relationships/hyperlink" Target="https://ref.ly/John18:13,John18:24" TargetMode="External"/><Relationship Id="rId1361" Type="http://schemas.openxmlformats.org/officeDocument/2006/relationships/hyperlink" Target="https://ref.ly/Luke3:2" TargetMode="External"/><Relationship Id="rId1362" Type="http://schemas.openxmlformats.org/officeDocument/2006/relationships/hyperlink" Target="https://ref.ly/John18:19,John18:22-John18:24" TargetMode="External"/><Relationship Id="rId1363" Type="http://schemas.openxmlformats.org/officeDocument/2006/relationships/hyperlink" Target="https://ref.ly/John18:13,John18:19-John18:24" TargetMode="External"/><Relationship Id="rId1364" Type="http://schemas.openxmlformats.org/officeDocument/2006/relationships/hyperlink" Target="https://ref.ly/Acts4:6-Acts4:21" TargetMode="External"/><Relationship Id="rId1365" Type="http://schemas.openxmlformats.org/officeDocument/2006/relationships/hyperlink" Target="https://ref.ly/Exod12:21-Exod12:22" TargetMode="External"/><Relationship Id="rId1366" Type="http://schemas.openxmlformats.org/officeDocument/2006/relationships/hyperlink" Target="https://ref.ly/Exod18:12" TargetMode="External"/><Relationship Id="rId1367" Type="http://schemas.openxmlformats.org/officeDocument/2006/relationships/hyperlink" Target="https://ref.ly/Exod18:13-Exod18:23" TargetMode="External"/><Relationship Id="rId1368" Type="http://schemas.openxmlformats.org/officeDocument/2006/relationships/hyperlink" Target="https://ref.ly/Num11:16-Num11:17" TargetMode="External"/><Relationship Id="rId1369" Type="http://schemas.openxmlformats.org/officeDocument/2006/relationships/hyperlink" Target="https://ref.ly/Gen23:10" TargetMode="External"/><Relationship Id="rId1370" Type="http://schemas.openxmlformats.org/officeDocument/2006/relationships/hyperlink" Target="https://ref.ly/Job29:7" TargetMode="External"/><Relationship Id="rId1371" Type="http://schemas.openxmlformats.org/officeDocument/2006/relationships/hyperlink" Target="https://ref.ly/Prov24:7" TargetMode="External"/><Relationship Id="rId1372" Type="http://schemas.openxmlformats.org/officeDocument/2006/relationships/hyperlink" Target="https://ref.ly/Prov31:23" TargetMode="External"/><Relationship Id="rId1373" Type="http://schemas.openxmlformats.org/officeDocument/2006/relationships/hyperlink" Target="https://ref.ly/Deut19:12" TargetMode="External"/><Relationship Id="rId1374" Type="http://schemas.openxmlformats.org/officeDocument/2006/relationships/hyperlink" Target="https://ref.ly/Deut21:19" TargetMode="External"/><Relationship Id="rId1375" Type="http://schemas.openxmlformats.org/officeDocument/2006/relationships/hyperlink" Target="https://ref.ly/Deut22:15" TargetMode="External"/><Relationship Id="rId1376" Type="http://schemas.openxmlformats.org/officeDocument/2006/relationships/hyperlink" Target="https://ref.ly/Deut25:7-Deut25:10" TargetMode="External"/><Relationship Id="rId1377" Type="http://schemas.openxmlformats.org/officeDocument/2006/relationships/hyperlink" Target="https://ref.ly/Ruth4:1-Ruth4:12" TargetMode="External"/><Relationship Id="rId1378" Type="http://schemas.openxmlformats.org/officeDocument/2006/relationships/hyperlink" Target="https://ref.ly/1Sam30:26" TargetMode="External"/><Relationship Id="rId1379" Type="http://schemas.openxmlformats.org/officeDocument/2006/relationships/hyperlink" Target="https://ref.ly/1Kgs21:8-1Kgs21:11" TargetMode="External"/><Relationship Id="rId1380" Type="http://schemas.openxmlformats.org/officeDocument/2006/relationships/hyperlink" Target="https://ref.ly/Exod24:1" TargetMode="External"/><Relationship Id="rId1381" Type="http://schemas.openxmlformats.org/officeDocument/2006/relationships/hyperlink" Target="https://ref.ly/Lev4:14-Lev4:15" TargetMode="External"/><Relationship Id="rId1382" Type="http://schemas.openxmlformats.org/officeDocument/2006/relationships/hyperlink" Target="https://ref.ly/Ezek8:1" TargetMode="External"/><Relationship Id="rId1383" Type="http://schemas.openxmlformats.org/officeDocument/2006/relationships/hyperlink" Target="https://ref.ly/Ezek14:1" TargetMode="External"/><Relationship Id="rId1384" Type="http://schemas.openxmlformats.org/officeDocument/2006/relationships/hyperlink" Target="https://ref.ly/Ezek20:1-Ezek20:3" TargetMode="External"/><Relationship Id="rId1385" Type="http://schemas.openxmlformats.org/officeDocument/2006/relationships/hyperlink" Target="https://ref.ly/Ezra10:16" TargetMode="External"/><Relationship Id="rId1386" Type="http://schemas.openxmlformats.org/officeDocument/2006/relationships/hyperlink" Target="https://ref.ly/Matt16:21" TargetMode="External"/><Relationship Id="rId1387" Type="http://schemas.openxmlformats.org/officeDocument/2006/relationships/hyperlink" Target="https://ref.ly/Matt21:23" TargetMode="External"/><Relationship Id="rId1388" Type="http://schemas.openxmlformats.org/officeDocument/2006/relationships/hyperlink" Target="https://ref.ly/Matt26:3" TargetMode="External"/><Relationship Id="rId1389" Type="http://schemas.openxmlformats.org/officeDocument/2006/relationships/hyperlink" Target="https://ref.ly/Matt26:57" TargetMode="External"/><Relationship Id="rId1390" Type="http://schemas.openxmlformats.org/officeDocument/2006/relationships/hyperlink" Target="https://ref.ly/Matt27:41" TargetMode="External"/><Relationship Id="rId1391" Type="http://schemas.openxmlformats.org/officeDocument/2006/relationships/hyperlink" Target="https://ref.ly/Matt27:1" TargetMode="External"/><Relationship Id="rId1392" Type="http://schemas.openxmlformats.org/officeDocument/2006/relationships/hyperlink" Target="https://ref.ly/Acts4:5" TargetMode="External"/><Relationship Id="rId1393" Type="http://schemas.openxmlformats.org/officeDocument/2006/relationships/hyperlink" Target="https://ref.ly/Acts4:8" TargetMode="External"/><Relationship Id="rId1394" Type="http://schemas.openxmlformats.org/officeDocument/2006/relationships/hyperlink" Target="https://ref.ly/Matt15:2" TargetMode="External"/><Relationship Id="rId1395" Type="http://schemas.openxmlformats.org/officeDocument/2006/relationships/hyperlink" Target="https://ref.ly/Matt21:43" TargetMode="External"/><Relationship Id="rId1396" Type="http://schemas.openxmlformats.org/officeDocument/2006/relationships/hyperlink" Target="https://ref.ly/Gal6:16" TargetMode="External"/><Relationship Id="rId1397" Type="http://schemas.openxmlformats.org/officeDocument/2006/relationships/hyperlink" Target="https://ref.ly/Acts11:30" TargetMode="External"/><Relationship Id="rId1398" Type="http://schemas.openxmlformats.org/officeDocument/2006/relationships/hyperlink" Target="https://ref.ly/Acts14:23" TargetMode="External"/><Relationship Id="rId1399" Type="http://schemas.openxmlformats.org/officeDocument/2006/relationships/hyperlink" Target="https://ref.ly/Acts15:2" TargetMode="External"/><Relationship Id="rId1400" Type="http://schemas.openxmlformats.org/officeDocument/2006/relationships/hyperlink" Target="https://ref.ly/Acts15:4" TargetMode="External"/><Relationship Id="rId1401" Type="http://schemas.openxmlformats.org/officeDocument/2006/relationships/hyperlink" Target="https://ref.ly/Acts15:6-Acts15:23" TargetMode="External"/><Relationship Id="rId1402" Type="http://schemas.openxmlformats.org/officeDocument/2006/relationships/hyperlink" Target="https://ref.ly/Acts6:1-Acts6:6" TargetMode="External"/><Relationship Id="rId1403" Type="http://schemas.openxmlformats.org/officeDocument/2006/relationships/hyperlink" Target="https://ref.ly/Acts15:2-Acts15:6" TargetMode="External"/><Relationship Id="rId1404" Type="http://schemas.openxmlformats.org/officeDocument/2006/relationships/hyperlink" Target="https://ref.ly/Acts16:4" TargetMode="External"/><Relationship Id="rId1405" Type="http://schemas.openxmlformats.org/officeDocument/2006/relationships/hyperlink" Target="https://ref.ly/Acts21:18" TargetMode="External"/><Relationship Id="rId1406" Type="http://schemas.openxmlformats.org/officeDocument/2006/relationships/hyperlink" Target="https://ref.ly/1Tim5:17" TargetMode="External"/><Relationship Id="rId1407" Type="http://schemas.openxmlformats.org/officeDocument/2006/relationships/hyperlink" Target="https://ref.ly/Titus1:5" TargetMode="External"/><Relationship Id="rId1408" Type="http://schemas.openxmlformats.org/officeDocument/2006/relationships/hyperlink" Target="https://ref.ly/Acts20:17" TargetMode="External"/><Relationship Id="rId1409" Type="http://schemas.openxmlformats.org/officeDocument/2006/relationships/hyperlink" Target="https://ref.ly/Acts20:28" TargetMode="External"/><Relationship Id="rId1410" Type="http://schemas.openxmlformats.org/officeDocument/2006/relationships/hyperlink" Target="https://ref.ly/Rom12:8" TargetMode="External"/><Relationship Id="rId1411" Type="http://schemas.openxmlformats.org/officeDocument/2006/relationships/hyperlink" Target="https://ref.ly/1Thess5:12-1Thess5:13" TargetMode="External"/><Relationship Id="rId1412" Type="http://schemas.openxmlformats.org/officeDocument/2006/relationships/hyperlink" Target="https://ref.ly/Phil1:1" TargetMode="External"/><Relationship Id="rId1413" Type="http://schemas.openxmlformats.org/officeDocument/2006/relationships/hyperlink" Target="https://ref.ly/1Pet5:1-1Pet5:5" TargetMode="External"/><Relationship Id="rId1414" Type="http://schemas.openxmlformats.org/officeDocument/2006/relationships/hyperlink" Target="https://ref.ly/Jas5:14" TargetMode="External"/><Relationship Id="rId1415" Type="http://schemas.openxmlformats.org/officeDocument/2006/relationships/hyperlink" Target="https://ref.ly/1Pet5:1" TargetMode="External"/><Relationship Id="rId1416" Type="http://schemas.openxmlformats.org/officeDocument/2006/relationships/hyperlink" Target="https://ref.ly/1Pet5:2" TargetMode="External"/><Relationship Id="rId1417" Type="http://schemas.openxmlformats.org/officeDocument/2006/relationships/hyperlink" Target="https://ref.ly/Acts13:1-Acts13:3" TargetMode="External"/><Relationship Id="rId1418" Type="http://schemas.openxmlformats.org/officeDocument/2006/relationships/hyperlink" Target="https://ref.ly/Acts20:1-Acts20:38" TargetMode="External"/><Relationship Id="rId1419" Type="http://schemas.openxmlformats.org/officeDocument/2006/relationships/hyperlink" Target="https://ref.ly/Titus1:5-Titus1:7" TargetMode="External"/><Relationship Id="rId1420" Type="http://schemas.openxmlformats.org/officeDocument/2006/relationships/hyperlink" Target="https://ref.ly/Titus1:7" TargetMode="External"/><Relationship Id="rId1421" Type="http://schemas.openxmlformats.org/officeDocument/2006/relationships/hyperlink" Target="https://ref.ly/Acts27:13" TargetMode="External"/><Relationship Id="rId1422" Type="http://schemas.openxmlformats.org/officeDocument/2006/relationships/hyperlink" Target="https://ref.ly/Acts27:29-Acts27:30" TargetMode="External"/><Relationship Id="rId1423" Type="http://schemas.openxmlformats.org/officeDocument/2006/relationships/hyperlink" Target="https://ref.ly/Acts27:40" TargetMode="External"/><Relationship Id="rId1424" Type="http://schemas.openxmlformats.org/officeDocument/2006/relationships/hyperlink" Target="https://ref.ly/John1:35" TargetMode="External"/><Relationship Id="rId1425" Type="http://schemas.openxmlformats.org/officeDocument/2006/relationships/hyperlink" Target="https://ref.ly/John1:36" TargetMode="External"/><Relationship Id="rId1426" Type="http://schemas.openxmlformats.org/officeDocument/2006/relationships/hyperlink" Target="https://ref.ly/John1:36-John1:39" TargetMode="External"/><Relationship Id="rId1427" Type="http://schemas.openxmlformats.org/officeDocument/2006/relationships/hyperlink" Target="https://ref.ly/John1:40-John1:42" TargetMode="External"/><Relationship Id="rId1428" Type="http://schemas.openxmlformats.org/officeDocument/2006/relationships/hyperlink" Target="https://ref.ly/Matt4:18" TargetMode="External"/><Relationship Id="rId1429" Type="http://schemas.openxmlformats.org/officeDocument/2006/relationships/hyperlink" Target="https://ref.ly/Mark1:16" TargetMode="External"/><Relationship Id="rId1430" Type="http://schemas.openxmlformats.org/officeDocument/2006/relationships/hyperlink" Target="https://ref.ly/John1:40" TargetMode="External"/><Relationship Id="rId1431" Type="http://schemas.openxmlformats.org/officeDocument/2006/relationships/hyperlink" Target="https://ref.ly/John6:8" TargetMode="External"/><Relationship Id="rId1432" Type="http://schemas.openxmlformats.org/officeDocument/2006/relationships/hyperlink" Target="https://ref.ly/Mark1:29" TargetMode="External"/><Relationship Id="rId1433" Type="http://schemas.openxmlformats.org/officeDocument/2006/relationships/hyperlink" Target="https://ref.ly/Mark13:3" TargetMode="External"/><Relationship Id="rId1434" Type="http://schemas.openxmlformats.org/officeDocument/2006/relationships/hyperlink" Target="https://ref.ly/John12:22" TargetMode="External"/><Relationship Id="rId1435" Type="http://schemas.openxmlformats.org/officeDocument/2006/relationships/hyperlink" Target="https://ref.ly/Matt16:17" TargetMode="External"/><Relationship Id="rId1436" Type="http://schemas.openxmlformats.org/officeDocument/2006/relationships/hyperlink" Target="https://ref.ly/John1:42" TargetMode="External"/><Relationship Id="rId1437" Type="http://schemas.openxmlformats.org/officeDocument/2006/relationships/hyperlink" Target="https://ref.ly/John21:15-John21:17" TargetMode="External"/><Relationship Id="rId1438" Type="http://schemas.openxmlformats.org/officeDocument/2006/relationships/hyperlink" Target="https://ref.ly/John1:44" TargetMode="External"/><Relationship Id="rId1439" Type="http://schemas.openxmlformats.org/officeDocument/2006/relationships/hyperlink" Target="https://ref.ly/John2:2" TargetMode="External"/><Relationship Id="rId1440" Type="http://schemas.openxmlformats.org/officeDocument/2006/relationships/hyperlink" Target="https://ref.ly/John4:2" TargetMode="External"/><Relationship Id="rId1441" Type="http://schemas.openxmlformats.org/officeDocument/2006/relationships/hyperlink" Target="https://ref.ly/Matt4:18-Matt4:20" TargetMode="External"/><Relationship Id="rId1442" Type="http://schemas.openxmlformats.org/officeDocument/2006/relationships/hyperlink" Target="https://ref.ly/Mark1:16-Mark1:18" TargetMode="External"/><Relationship Id="rId1443" Type="http://schemas.openxmlformats.org/officeDocument/2006/relationships/hyperlink" Target="https://ref.ly/Matt10:2-Matt10:4" TargetMode="External"/><Relationship Id="rId1444" Type="http://schemas.openxmlformats.org/officeDocument/2006/relationships/hyperlink" Target="https://ref.ly/Luke6:13-Luke6:16" TargetMode="External"/><Relationship Id="rId1445" Type="http://schemas.openxmlformats.org/officeDocument/2006/relationships/hyperlink" Target="https://ref.ly/John6:8-John6:9" TargetMode="External"/><Relationship Id="rId1446" Type="http://schemas.openxmlformats.org/officeDocument/2006/relationships/hyperlink" Target="https://ref.ly/John12:20-John12:22" TargetMode="External"/><Relationship Id="rId1447" Type="http://schemas.openxmlformats.org/officeDocument/2006/relationships/hyperlink" Target="https://ref.ly/Mark13:3-Mark13:4" TargetMode="External"/><Relationship Id="rId1448" Type="http://schemas.openxmlformats.org/officeDocument/2006/relationships/hyperlink" Target="https://ref.ly/Acts1:12-Acts1:14" TargetMode="External"/><Relationship Id="rId1449" Type="http://schemas.openxmlformats.org/officeDocument/2006/relationships/hyperlink" Target="https://ref.ly/Gen14:13" TargetMode="External"/><Relationship Id="rId1450" Type="http://schemas.openxmlformats.org/officeDocument/2006/relationships/hyperlink" Target="https://ref.ly/Gen14:14-Gen14:16,Gen14:21-Gen14:24" TargetMode="External"/><Relationship Id="rId1451" Type="http://schemas.openxmlformats.org/officeDocument/2006/relationships/hyperlink" Target="https://ref.ly/Acts17:1" TargetMode="External"/><Relationship Id="rId1452" Type="http://schemas.openxmlformats.org/officeDocument/2006/relationships/hyperlink" Target="https://ref.ly/Gen1:1-Gen1:31" TargetMode="External"/><Relationship Id="rId1453" Type="http://schemas.openxmlformats.org/officeDocument/2006/relationships/hyperlink" Target="https://ref.ly/Gen1:21" TargetMode="External"/><Relationship Id="rId1454" Type="http://schemas.openxmlformats.org/officeDocument/2006/relationships/hyperlink" Target="https://ref.ly/Gen1:24" TargetMode="External"/><Relationship Id="rId1455" Type="http://schemas.openxmlformats.org/officeDocument/2006/relationships/hyperlink" Target="https://ref.ly/Lev11:1-Lev11:47" TargetMode="External"/><Relationship Id="rId1456" Type="http://schemas.openxmlformats.org/officeDocument/2006/relationships/hyperlink" Target="https://ref.ly/Matt3:7" TargetMode="External"/><Relationship Id="rId1457" Type="http://schemas.openxmlformats.org/officeDocument/2006/relationships/hyperlink" Target="https://ref.ly/Matt12:34" TargetMode="External"/><Relationship Id="rId1458" Type="http://schemas.openxmlformats.org/officeDocument/2006/relationships/hyperlink" Target="https://ref.ly/Matt23:33" TargetMode="External"/><Relationship Id="rId1459" Type="http://schemas.openxmlformats.org/officeDocument/2006/relationships/hyperlink" Target="https://ref.ly/Acts28:3" TargetMode="External"/><Relationship Id="rId1460" Type="http://schemas.openxmlformats.org/officeDocument/2006/relationships/hyperlink" Target="https://ref.ly/Prov6:8" TargetMode="External"/><Relationship Id="rId1461" Type="http://schemas.openxmlformats.org/officeDocument/2006/relationships/hyperlink" Target="https://ref.ly/Prov6:6-Prov6:8" TargetMode="External"/><Relationship Id="rId1462" Type="http://schemas.openxmlformats.org/officeDocument/2006/relationships/hyperlink" Target="https://ref.ly/Prov30:24-Prov30:25" TargetMode="External"/><Relationship Id="rId1463" Type="http://schemas.openxmlformats.org/officeDocument/2006/relationships/hyperlink" Target="https://ref.ly/Deut14:5" TargetMode="External"/><Relationship Id="rId1464" Type="http://schemas.openxmlformats.org/officeDocument/2006/relationships/hyperlink" Target="https://ref.ly/Isa51:20" TargetMode="External"/><Relationship Id="rId1465" Type="http://schemas.openxmlformats.org/officeDocument/2006/relationships/hyperlink" Target="https://ref.ly/1Kgs10:22" TargetMode="External"/><Relationship Id="rId1466" Type="http://schemas.openxmlformats.org/officeDocument/2006/relationships/hyperlink" Target="https://ref.ly/2Chr9:21" TargetMode="External"/><Relationship Id="rId1467" Type="http://schemas.openxmlformats.org/officeDocument/2006/relationships/hyperlink" Target="https://ref.ly/Deut32:33" TargetMode="External"/><Relationship Id="rId1468" Type="http://schemas.openxmlformats.org/officeDocument/2006/relationships/hyperlink" Target="https://ref.ly/Num21:6" TargetMode="External"/><Relationship Id="rId1469" Type="http://schemas.openxmlformats.org/officeDocument/2006/relationships/hyperlink" Target="https://ref.ly/Deut8:15" TargetMode="External"/><Relationship Id="rId1470" Type="http://schemas.openxmlformats.org/officeDocument/2006/relationships/hyperlink" Target="https://ref.ly/Isa14:29" TargetMode="External"/><Relationship Id="rId1471" Type="http://schemas.openxmlformats.org/officeDocument/2006/relationships/hyperlink" Target="https://ref.ly/Isa30:6" TargetMode="External"/><Relationship Id="rId1472" Type="http://schemas.openxmlformats.org/officeDocument/2006/relationships/hyperlink" Target="https://ref.ly/Lev11:5" TargetMode="External"/><Relationship Id="rId1473" Type="http://schemas.openxmlformats.org/officeDocument/2006/relationships/hyperlink" Target="https://ref.ly/Deut14:7" TargetMode="External"/><Relationship Id="rId1474" Type="http://schemas.openxmlformats.org/officeDocument/2006/relationships/hyperlink" Target="https://ref.ly/Ps104:18" TargetMode="External"/><Relationship Id="rId1475" Type="http://schemas.openxmlformats.org/officeDocument/2006/relationships/hyperlink" Target="https://ref.ly/Prov30:26" TargetMode="External"/><Relationship Id="rId1476" Type="http://schemas.openxmlformats.org/officeDocument/2006/relationships/hyperlink" Target="https://ref.ly/Prov30:24" TargetMode="External"/><Relationship Id="rId1477" Type="http://schemas.openxmlformats.org/officeDocument/2006/relationships/hyperlink" Target="https://ref.ly/Lev11:19" TargetMode="External"/><Relationship Id="rId1478" Type="http://schemas.openxmlformats.org/officeDocument/2006/relationships/hyperlink" Target="https://ref.ly/Deut14:18" TargetMode="External"/><Relationship Id="rId1479" Type="http://schemas.openxmlformats.org/officeDocument/2006/relationships/hyperlink" Target="https://ref.ly/Lam3:10" TargetMode="External"/><Relationship Id="rId1480" Type="http://schemas.openxmlformats.org/officeDocument/2006/relationships/hyperlink" Target="https://ref.ly/2Sam17:8" TargetMode="External"/><Relationship Id="rId1481" Type="http://schemas.openxmlformats.org/officeDocument/2006/relationships/hyperlink" Target="https://ref.ly/Prov17:12" TargetMode="External"/><Relationship Id="rId1482" Type="http://schemas.openxmlformats.org/officeDocument/2006/relationships/hyperlink" Target="https://ref.ly/Hos13:8" TargetMode="External"/><Relationship Id="rId1483" Type="http://schemas.openxmlformats.org/officeDocument/2006/relationships/hyperlink" Target="https://ref.ly/1Sam17:34-1Sam17:37" TargetMode="External"/><Relationship Id="rId1484" Type="http://schemas.openxmlformats.org/officeDocument/2006/relationships/hyperlink" Target="https://ref.ly/Prov28:15" TargetMode="External"/><Relationship Id="rId1485" Type="http://schemas.openxmlformats.org/officeDocument/2006/relationships/hyperlink" Target="https://ref.ly/Amos5:19" TargetMode="External"/><Relationship Id="rId1486" Type="http://schemas.openxmlformats.org/officeDocument/2006/relationships/hyperlink" Target="https://ref.ly/2Kgs2:24" TargetMode="External"/><Relationship Id="rId1487" Type="http://schemas.openxmlformats.org/officeDocument/2006/relationships/hyperlink" Target="https://ref.ly/1Sam17:37" TargetMode="External"/><Relationship Id="rId1488" Type="http://schemas.openxmlformats.org/officeDocument/2006/relationships/hyperlink" Target="https://ref.ly/Deut1:44" TargetMode="External"/><Relationship Id="rId1489" Type="http://schemas.openxmlformats.org/officeDocument/2006/relationships/hyperlink" Target="https://ref.ly/Ps118:12" TargetMode="External"/><Relationship Id="rId1490" Type="http://schemas.openxmlformats.org/officeDocument/2006/relationships/hyperlink" Target="https://ref.ly/Isa7:18" TargetMode="External"/><Relationship Id="rId1491" Type="http://schemas.openxmlformats.org/officeDocument/2006/relationships/hyperlink" Target="https://ref.ly/Judg14:5-Judg14:9" TargetMode="External"/><Relationship Id="rId1492" Type="http://schemas.openxmlformats.org/officeDocument/2006/relationships/hyperlink" Target="https://ref.ly/Song5:1" TargetMode="External"/><Relationship Id="rId1493" Type="http://schemas.openxmlformats.org/officeDocument/2006/relationships/hyperlink" Target="https://ref.ly/Judg14:8-Judg14:9" TargetMode="External"/><Relationship Id="rId1494" Type="http://schemas.openxmlformats.org/officeDocument/2006/relationships/hyperlink" Target="https://ref.ly/Exod3:8" TargetMode="External"/><Relationship Id="rId1495" Type="http://schemas.openxmlformats.org/officeDocument/2006/relationships/hyperlink" Target="https://ref.ly/Gen37:25" TargetMode="External"/><Relationship Id="rId1496" Type="http://schemas.openxmlformats.org/officeDocument/2006/relationships/hyperlink" Target="https://ref.ly/Judg6:5" TargetMode="External"/><Relationship Id="rId1497" Type="http://schemas.openxmlformats.org/officeDocument/2006/relationships/hyperlink" Target="https://ref.ly/Matt3:4" TargetMode="External"/><Relationship Id="rId1498" Type="http://schemas.openxmlformats.org/officeDocument/2006/relationships/hyperlink" Target="https://ref.ly/Zech13:4" TargetMode="External"/><Relationship Id="rId1499" Type="http://schemas.openxmlformats.org/officeDocument/2006/relationships/hyperlink" Target="https://ref.ly/1Sam30:17" TargetMode="External"/><Relationship Id="rId1500" Type="http://schemas.openxmlformats.org/officeDocument/2006/relationships/hyperlink" Target="https://ref.ly/Isa21:7" TargetMode="External"/><Relationship Id="rId1501" Type="http://schemas.openxmlformats.org/officeDocument/2006/relationships/hyperlink" Target="https://ref.ly/Esth8:10" TargetMode="External"/><Relationship Id="rId1502" Type="http://schemas.openxmlformats.org/officeDocument/2006/relationships/hyperlink" Target="https://ref.ly/Lev11:4" TargetMode="External"/><Relationship Id="rId1503" Type="http://schemas.openxmlformats.org/officeDocument/2006/relationships/hyperlink" Target="https://ref.ly/Gen32:15" TargetMode="External"/><Relationship Id="rId1504" Type="http://schemas.openxmlformats.org/officeDocument/2006/relationships/hyperlink" Target="https://ref.ly/Gen12:16" TargetMode="External"/><Relationship Id="rId1505" Type="http://schemas.openxmlformats.org/officeDocument/2006/relationships/hyperlink" Target="https://ref.ly/Job1:3" TargetMode="External"/><Relationship Id="rId1506" Type="http://schemas.openxmlformats.org/officeDocument/2006/relationships/hyperlink" Target="https://ref.ly/Job42:12" TargetMode="External"/><Relationship Id="rId1507" Type="http://schemas.openxmlformats.org/officeDocument/2006/relationships/hyperlink" Target="https://ref.ly/1Kgs8:37" TargetMode="External"/><Relationship Id="rId1508" Type="http://schemas.openxmlformats.org/officeDocument/2006/relationships/hyperlink" Target="https://ref.ly/2Chr6:28" TargetMode="External"/><Relationship Id="rId1509" Type="http://schemas.openxmlformats.org/officeDocument/2006/relationships/hyperlink" Target="https://ref.ly/Ps78:46" TargetMode="External"/><Relationship Id="rId1510" Type="http://schemas.openxmlformats.org/officeDocument/2006/relationships/hyperlink" Target="https://ref.ly/Joel1:4" TargetMode="External"/><Relationship Id="rId1511" Type="http://schemas.openxmlformats.org/officeDocument/2006/relationships/hyperlink" Target="https://ref.ly/Joel2:25" TargetMode="External"/><Relationship Id="rId1512" Type="http://schemas.openxmlformats.org/officeDocument/2006/relationships/hyperlink" Target="https://ref.ly/Ezek4:15" TargetMode="External"/><Relationship Id="rId1513" Type="http://schemas.openxmlformats.org/officeDocument/2006/relationships/hyperlink" Target="https://ref.ly/Gen2:20" TargetMode="External"/><Relationship Id="rId1514" Type="http://schemas.openxmlformats.org/officeDocument/2006/relationships/hyperlink" Target="https://ref.ly/Gen7:23" TargetMode="External"/><Relationship Id="rId1515" Type="http://schemas.openxmlformats.org/officeDocument/2006/relationships/hyperlink" Target="https://ref.ly/Gen47:6" TargetMode="External"/><Relationship Id="rId1516" Type="http://schemas.openxmlformats.org/officeDocument/2006/relationships/hyperlink" Target="https://ref.ly/Exod9:3-Exod9:7" TargetMode="External"/><Relationship Id="rId1517" Type="http://schemas.openxmlformats.org/officeDocument/2006/relationships/hyperlink" Target="https://ref.ly/Num3:41" TargetMode="External"/><Relationship Id="rId1518" Type="http://schemas.openxmlformats.org/officeDocument/2006/relationships/hyperlink" Target="https://ref.ly/Num31:9" TargetMode="External"/><Relationship Id="rId1519" Type="http://schemas.openxmlformats.org/officeDocument/2006/relationships/hyperlink" Target="https://ref.ly/Num32:26" TargetMode="External"/><Relationship Id="rId1520" Type="http://schemas.openxmlformats.org/officeDocument/2006/relationships/hyperlink" Target="https://ref.ly/Gen30:32" TargetMode="External"/><Relationship Id="rId1521" Type="http://schemas.openxmlformats.org/officeDocument/2006/relationships/hyperlink" Target="https://ref.ly/Gen31:8" TargetMode="External"/><Relationship Id="rId1522" Type="http://schemas.openxmlformats.org/officeDocument/2006/relationships/hyperlink" Target="https://ref.ly/Isa7:25" TargetMode="External"/><Relationship Id="rId1523" Type="http://schemas.openxmlformats.org/officeDocument/2006/relationships/hyperlink" Target="https://ref.ly/Isa43:23" TargetMode="External"/><Relationship Id="rId1524" Type="http://schemas.openxmlformats.org/officeDocument/2006/relationships/hyperlink" Target="https://ref.ly/Exod21:28-Exod21:36" TargetMode="External"/><Relationship Id="rId1525" Type="http://schemas.openxmlformats.org/officeDocument/2006/relationships/hyperlink" Target="https://ref.ly/Deut33:17" TargetMode="External"/><Relationship Id="rId1526" Type="http://schemas.openxmlformats.org/officeDocument/2006/relationships/hyperlink" Target="https://ref.ly/Ps22:12" TargetMode="External"/><Relationship Id="rId1527" Type="http://schemas.openxmlformats.org/officeDocument/2006/relationships/hyperlink" Target="https://ref.ly/Ps68:30" TargetMode="External"/><Relationship Id="rId1528" Type="http://schemas.openxmlformats.org/officeDocument/2006/relationships/hyperlink" Target="https://ref.ly/Isa10:13" TargetMode="External"/><Relationship Id="rId1529" Type="http://schemas.openxmlformats.org/officeDocument/2006/relationships/hyperlink" Target="https://ref.ly/Lev22:23" TargetMode="External"/><Relationship Id="rId1530" Type="http://schemas.openxmlformats.org/officeDocument/2006/relationships/hyperlink" Target="https://ref.ly/Num23:1" TargetMode="External"/><Relationship Id="rId1531" Type="http://schemas.openxmlformats.org/officeDocument/2006/relationships/hyperlink" Target="https://ref.ly/Judg6:25" TargetMode="External"/><Relationship Id="rId1532" Type="http://schemas.openxmlformats.org/officeDocument/2006/relationships/hyperlink" Target="https://ref.ly/1Sam1:24" TargetMode="External"/><Relationship Id="rId1533" Type="http://schemas.openxmlformats.org/officeDocument/2006/relationships/hyperlink" Target="https://ref.ly/Exod29:1" TargetMode="External"/><Relationship Id="rId1534" Type="http://schemas.openxmlformats.org/officeDocument/2006/relationships/hyperlink" Target="https://ref.ly/Num7:1-Num7:89" TargetMode="External"/><Relationship Id="rId1535" Type="http://schemas.openxmlformats.org/officeDocument/2006/relationships/hyperlink" Target="https://ref.ly/Num8:1-Num8:26" TargetMode="External"/><Relationship Id="rId1536" Type="http://schemas.openxmlformats.org/officeDocument/2006/relationships/hyperlink" Target="https://ref.ly/Num28:11-Num28:14" TargetMode="External"/><Relationship Id="rId1537" Type="http://schemas.openxmlformats.org/officeDocument/2006/relationships/hyperlink" Target="https://ref.ly/Num28:19" TargetMode="External"/><Relationship Id="rId1538" Type="http://schemas.openxmlformats.org/officeDocument/2006/relationships/hyperlink" Target="https://ref.ly/Num28:27" TargetMode="External"/><Relationship Id="rId1539" Type="http://schemas.openxmlformats.org/officeDocument/2006/relationships/hyperlink" Target="https://ref.ly/Num29:1-Num29:2" TargetMode="External"/><Relationship Id="rId1540" Type="http://schemas.openxmlformats.org/officeDocument/2006/relationships/hyperlink" Target="https://ref.ly/Num29:7-Num29:9" TargetMode="External"/><Relationship Id="rId1541" Type="http://schemas.openxmlformats.org/officeDocument/2006/relationships/hyperlink" Target="https://ref.ly/Num29:12-Num29:38" TargetMode="External"/><Relationship Id="rId1542" Type="http://schemas.openxmlformats.org/officeDocument/2006/relationships/hyperlink" Target="https://ref.ly/Gen18:8" TargetMode="External"/><Relationship Id="rId1543" Type="http://schemas.openxmlformats.org/officeDocument/2006/relationships/hyperlink" Target="https://ref.ly/1Sam6:7" TargetMode="External"/><Relationship Id="rId1544" Type="http://schemas.openxmlformats.org/officeDocument/2006/relationships/hyperlink" Target="https://ref.ly/1Sam14:32" TargetMode="External"/><Relationship Id="rId1545" Type="http://schemas.openxmlformats.org/officeDocument/2006/relationships/hyperlink" Target="https://ref.ly/Isa11:6" TargetMode="External"/><Relationship Id="rId1546" Type="http://schemas.openxmlformats.org/officeDocument/2006/relationships/hyperlink" Target="https://ref.ly/1Kgs10:19" TargetMode="External"/><Relationship Id="rId1547" Type="http://schemas.openxmlformats.org/officeDocument/2006/relationships/hyperlink" Target="https://ref.ly/Mal4:2" TargetMode="External"/><Relationship Id="rId1548" Type="http://schemas.openxmlformats.org/officeDocument/2006/relationships/hyperlink" Target="https://ref.ly/Luke15:23" TargetMode="External"/><Relationship Id="rId1549" Type="http://schemas.openxmlformats.org/officeDocument/2006/relationships/hyperlink" Target="https://ref.ly/1Sam28:24-1Sam28:25" TargetMode="External"/><Relationship Id="rId1550" Type="http://schemas.openxmlformats.org/officeDocument/2006/relationships/hyperlink" Target="https://ref.ly/Gen18:7" TargetMode="External"/><Relationship Id="rId1551" Type="http://schemas.openxmlformats.org/officeDocument/2006/relationships/hyperlink" Target="https://ref.ly/Matt22:4" TargetMode="External"/><Relationship Id="rId1552" Type="http://schemas.openxmlformats.org/officeDocument/2006/relationships/hyperlink" Target="https://ref.ly/Exod13:12" TargetMode="External"/><Relationship Id="rId1553" Type="http://schemas.openxmlformats.org/officeDocument/2006/relationships/hyperlink" Target="https://ref.ly/Gen13:2" TargetMode="External"/><Relationship Id="rId1554" Type="http://schemas.openxmlformats.org/officeDocument/2006/relationships/hyperlink" Target="https://ref.ly/Josh8:2" TargetMode="External"/><Relationship Id="rId1555" Type="http://schemas.openxmlformats.org/officeDocument/2006/relationships/hyperlink" Target="https://ref.ly/Exod32:1-Exod32:35" TargetMode="External"/><Relationship Id="rId1556" Type="http://schemas.openxmlformats.org/officeDocument/2006/relationships/hyperlink" Target="https://ref.ly/Deut9:16" TargetMode="External"/><Relationship Id="rId1557" Type="http://schemas.openxmlformats.org/officeDocument/2006/relationships/hyperlink" Target="https://ref.ly/1Kgs12:28-1Kgs12:33" TargetMode="External"/><Relationship Id="rId1558" Type="http://schemas.openxmlformats.org/officeDocument/2006/relationships/hyperlink" Target="https://ref.ly/Hos8:5-Hos8:6" TargetMode="External"/><Relationship Id="rId1559" Type="http://schemas.openxmlformats.org/officeDocument/2006/relationships/hyperlink" Target="https://ref.ly/Hos13:2" TargetMode="External"/><Relationship Id="rId1560" Type="http://schemas.openxmlformats.org/officeDocument/2006/relationships/hyperlink" Target="https://ref.ly/Num7:3" TargetMode="External"/><Relationship Id="rId1561" Type="http://schemas.openxmlformats.org/officeDocument/2006/relationships/hyperlink" Target="https://ref.ly/Deut25:4" TargetMode="External"/><Relationship Id="rId1562" Type="http://schemas.openxmlformats.org/officeDocument/2006/relationships/hyperlink" Target="https://ref.ly/1Chr12:40" TargetMode="External"/><Relationship Id="rId1563" Type="http://schemas.openxmlformats.org/officeDocument/2006/relationships/hyperlink" Target="https://ref.ly/Num22:4" TargetMode="External"/><Relationship Id="rId1564" Type="http://schemas.openxmlformats.org/officeDocument/2006/relationships/hyperlink" Target="https://ref.ly/Ps106:20" TargetMode="External"/><Relationship Id="rId1565" Type="http://schemas.openxmlformats.org/officeDocument/2006/relationships/hyperlink" Target="https://ref.ly/Isa11:7" TargetMode="External"/><Relationship Id="rId1566" Type="http://schemas.openxmlformats.org/officeDocument/2006/relationships/hyperlink" Target="https://ref.ly/Luke13:15" TargetMode="External"/><Relationship Id="rId1567" Type="http://schemas.openxmlformats.org/officeDocument/2006/relationships/hyperlink" Target="https://ref.ly/Lev22:24" TargetMode="External"/><Relationship Id="rId1568" Type="http://schemas.openxmlformats.org/officeDocument/2006/relationships/hyperlink" Target="https://ref.ly/Job24:3" TargetMode="External"/><Relationship Id="rId1569" Type="http://schemas.openxmlformats.org/officeDocument/2006/relationships/hyperlink" Target="https://ref.ly/Exod20:17" TargetMode="External"/><Relationship Id="rId1570" Type="http://schemas.openxmlformats.org/officeDocument/2006/relationships/hyperlink" Target="https://ref.ly/Lev11:30" TargetMode="External"/><Relationship Id="rId1571" Type="http://schemas.openxmlformats.org/officeDocument/2006/relationships/hyperlink" Target="https://ref.ly/Lam4:7" TargetMode="External"/><Relationship Id="rId1572" Type="http://schemas.openxmlformats.org/officeDocument/2006/relationships/hyperlink" Target="https://ref.ly/Job28:18" TargetMode="External"/><Relationship Id="rId1573" Type="http://schemas.openxmlformats.org/officeDocument/2006/relationships/hyperlink" Target="https://ref.ly/Ezek27:16" TargetMode="External"/><Relationship Id="rId1574" Type="http://schemas.openxmlformats.org/officeDocument/2006/relationships/hyperlink" Target="https://ref.ly/Lev11:22" TargetMode="External"/><Relationship Id="rId1575" Type="http://schemas.openxmlformats.org/officeDocument/2006/relationships/hyperlink" Target="https://ref.ly/Job41:1-Job41:34" TargetMode="External"/><Relationship Id="rId1576" Type="http://schemas.openxmlformats.org/officeDocument/2006/relationships/hyperlink" Target="https://ref.ly/Ezek29:3" TargetMode="External"/><Relationship Id="rId1577" Type="http://schemas.openxmlformats.org/officeDocument/2006/relationships/hyperlink" Target="https://ref.ly/Lam1:6" TargetMode="External"/><Relationship Id="rId1578" Type="http://schemas.openxmlformats.org/officeDocument/2006/relationships/hyperlink" Target="https://ref.ly/Isa35:6" TargetMode="External"/><Relationship Id="rId1579" Type="http://schemas.openxmlformats.org/officeDocument/2006/relationships/hyperlink" Target="https://ref.ly/Ps18:33" TargetMode="External"/><Relationship Id="rId1580" Type="http://schemas.openxmlformats.org/officeDocument/2006/relationships/hyperlink" Target="https://ref.ly/Song2:8-Song2:9" TargetMode="External"/><Relationship Id="rId1581" Type="http://schemas.openxmlformats.org/officeDocument/2006/relationships/hyperlink" Target="https://ref.ly/Song8:14" TargetMode="External"/><Relationship Id="rId1582" Type="http://schemas.openxmlformats.org/officeDocument/2006/relationships/hyperlink" Target="https://ref.ly/Hab3:19" TargetMode="External"/><Relationship Id="rId1583" Type="http://schemas.openxmlformats.org/officeDocument/2006/relationships/hyperlink" Target="https://ref.ly/1Kgs4:23" TargetMode="External"/><Relationship Id="rId1584" Type="http://schemas.openxmlformats.org/officeDocument/2006/relationships/hyperlink" Target="https://ref.ly/Deut12:15" TargetMode="External"/><Relationship Id="rId1585" Type="http://schemas.openxmlformats.org/officeDocument/2006/relationships/hyperlink" Target="https://ref.ly/Job39:1" TargetMode="External"/><Relationship Id="rId1586" Type="http://schemas.openxmlformats.org/officeDocument/2006/relationships/hyperlink" Target="https://ref.ly/Ps29:9" TargetMode="External"/><Relationship Id="rId1587" Type="http://schemas.openxmlformats.org/officeDocument/2006/relationships/hyperlink" Target="https://ref.ly/Jer14:5" TargetMode="External"/><Relationship Id="rId1588" Type="http://schemas.openxmlformats.org/officeDocument/2006/relationships/hyperlink" Target="https://ref.ly/Jer14:4-Jer14:5" TargetMode="External"/><Relationship Id="rId1589" Type="http://schemas.openxmlformats.org/officeDocument/2006/relationships/hyperlink" Target="https://ref.ly/Job39:1-Job39:4" TargetMode="External"/><Relationship Id="rId1590" Type="http://schemas.openxmlformats.org/officeDocument/2006/relationships/hyperlink" Target="https://ref.ly/Gen49:21" TargetMode="External"/><Relationship Id="rId1591" Type="http://schemas.openxmlformats.org/officeDocument/2006/relationships/hyperlink" Target="https://ref.ly/Prov5:19" TargetMode="External"/><Relationship Id="rId1592" Type="http://schemas.openxmlformats.org/officeDocument/2006/relationships/hyperlink" Target="https://ref.ly/Prov5:18-Prov5:19" TargetMode="External"/><Relationship Id="rId1593" Type="http://schemas.openxmlformats.org/officeDocument/2006/relationships/hyperlink" Target="https://ref.ly/Prov26:11" TargetMode="External"/><Relationship Id="rId1594" Type="http://schemas.openxmlformats.org/officeDocument/2006/relationships/hyperlink" Target="https://ref.ly/2Pet2:22" TargetMode="External"/><Relationship Id="rId1595" Type="http://schemas.openxmlformats.org/officeDocument/2006/relationships/hyperlink" Target="https://ref.ly/Exod22:31" TargetMode="External"/><Relationship Id="rId1596" Type="http://schemas.openxmlformats.org/officeDocument/2006/relationships/hyperlink" Target="https://ref.ly/1Kgs22:38" TargetMode="External"/><Relationship Id="rId1597" Type="http://schemas.openxmlformats.org/officeDocument/2006/relationships/hyperlink" Target="https://ref.ly/Matt15:26" TargetMode="External"/><Relationship Id="rId1598" Type="http://schemas.openxmlformats.org/officeDocument/2006/relationships/hyperlink" Target="https://ref.ly/Luke16:21" TargetMode="External"/><Relationship Id="rId1599" Type="http://schemas.openxmlformats.org/officeDocument/2006/relationships/hyperlink" Target="https://ref.ly/2Kgs9:35-2Kgs9:36" TargetMode="External"/><Relationship Id="rId1600" Type="http://schemas.openxmlformats.org/officeDocument/2006/relationships/hyperlink" Target="https://ref.ly/Job30:1" TargetMode="External"/><Relationship Id="rId1601" Type="http://schemas.openxmlformats.org/officeDocument/2006/relationships/hyperlink" Target="https://ref.ly/Isa56:10" TargetMode="External"/><Relationship Id="rId1602" Type="http://schemas.openxmlformats.org/officeDocument/2006/relationships/hyperlink" Target="https://ref.ly/1Sam17:43" TargetMode="External"/><Relationship Id="rId1603" Type="http://schemas.openxmlformats.org/officeDocument/2006/relationships/hyperlink" Target="https://ref.ly/2Sam16:9" TargetMode="External"/><Relationship Id="rId1604" Type="http://schemas.openxmlformats.org/officeDocument/2006/relationships/hyperlink" Target="https://ref.ly/2Sam9:8" TargetMode="External"/><Relationship Id="rId1605" Type="http://schemas.openxmlformats.org/officeDocument/2006/relationships/hyperlink" Target="https://ref.ly/2Kgs8:13" TargetMode="External"/><Relationship Id="rId1606" Type="http://schemas.openxmlformats.org/officeDocument/2006/relationships/hyperlink" Target="https://ref.ly/Isa56:10-Isa56:11" TargetMode="External"/><Relationship Id="rId1607" Type="http://schemas.openxmlformats.org/officeDocument/2006/relationships/hyperlink" Target="https://ref.ly/Matt7:6" TargetMode="External"/><Relationship Id="rId1608" Type="http://schemas.openxmlformats.org/officeDocument/2006/relationships/hyperlink" Target="https://ref.ly/Phil3:2" TargetMode="External"/><Relationship Id="rId1609" Type="http://schemas.openxmlformats.org/officeDocument/2006/relationships/hyperlink" Target="https://ref.ly/Rev22:15" TargetMode="External"/><Relationship Id="rId1610" Type="http://schemas.openxmlformats.org/officeDocument/2006/relationships/hyperlink" Target="https://ref.ly/Matt15:22-Matt15:28" TargetMode="External"/><Relationship Id="rId1611" Type="http://schemas.openxmlformats.org/officeDocument/2006/relationships/hyperlink" Target="https://ref.ly/Mark7:25-Mark7:30" TargetMode="External"/><Relationship Id="rId1612" Type="http://schemas.openxmlformats.org/officeDocument/2006/relationships/hyperlink" Target="https://ref.ly/Gen24:35" TargetMode="External"/><Relationship Id="rId1613" Type="http://schemas.openxmlformats.org/officeDocument/2006/relationships/hyperlink" Target="https://ref.ly/Gen32:13-Gen32:15" TargetMode="External"/><Relationship Id="rId1614" Type="http://schemas.openxmlformats.org/officeDocument/2006/relationships/hyperlink" Target="https://ref.ly/Deut5:14" TargetMode="External"/><Relationship Id="rId1615" Type="http://schemas.openxmlformats.org/officeDocument/2006/relationships/hyperlink" Target="https://ref.ly/Josh15:18" TargetMode="External"/><Relationship Id="rId1616" Type="http://schemas.openxmlformats.org/officeDocument/2006/relationships/hyperlink" Target="https://ref.ly/1Sam25:23" TargetMode="External"/><Relationship Id="rId1617" Type="http://schemas.openxmlformats.org/officeDocument/2006/relationships/hyperlink" Target="https://ref.ly/2Kgs4:24" TargetMode="External"/><Relationship Id="rId1618" Type="http://schemas.openxmlformats.org/officeDocument/2006/relationships/hyperlink" Target="https://ref.ly/Exod4:20" TargetMode="External"/><Relationship Id="rId1619" Type="http://schemas.openxmlformats.org/officeDocument/2006/relationships/hyperlink" Target="https://ref.ly/Ezra2:66-Ezra2:67" TargetMode="External"/><Relationship Id="rId1620" Type="http://schemas.openxmlformats.org/officeDocument/2006/relationships/hyperlink" Target="https://ref.ly/Neh7:68-Neh7:69" TargetMode="External"/><Relationship Id="rId1621" Type="http://schemas.openxmlformats.org/officeDocument/2006/relationships/hyperlink" Target="https://ref.ly/Gen42:26" TargetMode="External"/><Relationship Id="rId1622" Type="http://schemas.openxmlformats.org/officeDocument/2006/relationships/hyperlink" Target="https://ref.ly/Gen43:24" TargetMode="External"/><Relationship Id="rId1623" Type="http://schemas.openxmlformats.org/officeDocument/2006/relationships/hyperlink" Target="https://ref.ly/1Sam25:18" TargetMode="External"/><Relationship Id="rId1624" Type="http://schemas.openxmlformats.org/officeDocument/2006/relationships/hyperlink" Target="https://ref.ly/1Chr27:30" TargetMode="External"/><Relationship Id="rId1625" Type="http://schemas.openxmlformats.org/officeDocument/2006/relationships/hyperlink" Target="https://ref.ly/Job24:5" TargetMode="External"/><Relationship Id="rId1626" Type="http://schemas.openxmlformats.org/officeDocument/2006/relationships/hyperlink" Target="https://ref.ly/Job39:5-Job39:8" TargetMode="External"/><Relationship Id="rId1627" Type="http://schemas.openxmlformats.org/officeDocument/2006/relationships/hyperlink" Target="https://ref.ly/Ps104:11" TargetMode="External"/><Relationship Id="rId1628" Type="http://schemas.openxmlformats.org/officeDocument/2006/relationships/hyperlink" Target="https://ref.ly/Isa32:14" TargetMode="External"/><Relationship Id="rId1629" Type="http://schemas.openxmlformats.org/officeDocument/2006/relationships/hyperlink" Target="https://ref.ly/Jer2:24" TargetMode="External"/><Relationship Id="rId1630" Type="http://schemas.openxmlformats.org/officeDocument/2006/relationships/hyperlink" Target="https://ref.ly/Hos8:9" TargetMode="External"/><Relationship Id="rId1631" Type="http://schemas.openxmlformats.org/officeDocument/2006/relationships/hyperlink" Target="https://ref.ly/Gen16:12" TargetMode="External"/><Relationship Id="rId1632" Type="http://schemas.openxmlformats.org/officeDocument/2006/relationships/hyperlink" Target="https://ref.ly/Jer14:6" TargetMode="External"/><Relationship Id="rId1633" Type="http://schemas.openxmlformats.org/officeDocument/2006/relationships/hyperlink" Target="https://ref.ly/Ps44:19" TargetMode="External"/><Relationship Id="rId1634" Type="http://schemas.openxmlformats.org/officeDocument/2006/relationships/hyperlink" Target="https://ref.ly/Isa13:22" TargetMode="External"/><Relationship Id="rId1635" Type="http://schemas.openxmlformats.org/officeDocument/2006/relationships/hyperlink" Target="https://ref.ly/Jer9:11" TargetMode="External"/><Relationship Id="rId1636" Type="http://schemas.openxmlformats.org/officeDocument/2006/relationships/hyperlink" Target="https://ref.ly/Mal1:3" TargetMode="External"/><Relationship Id="rId1637" Type="http://schemas.openxmlformats.org/officeDocument/2006/relationships/hyperlink" Target="https://ref.ly/Exod7:9-Exod7:12" TargetMode="External"/><Relationship Id="rId1638" Type="http://schemas.openxmlformats.org/officeDocument/2006/relationships/hyperlink" Target="https://ref.ly/Ps91:13" TargetMode="External"/><Relationship Id="rId1639" Type="http://schemas.openxmlformats.org/officeDocument/2006/relationships/hyperlink" Target="https://ref.ly/Job7:12" TargetMode="External"/><Relationship Id="rId1640" Type="http://schemas.openxmlformats.org/officeDocument/2006/relationships/hyperlink" Target="https://ref.ly/Ps148:7" TargetMode="External"/><Relationship Id="rId1641" Type="http://schemas.openxmlformats.org/officeDocument/2006/relationships/hyperlink" Target="https://ref.ly/Ps74:13" TargetMode="External"/><Relationship Id="rId1642" Type="http://schemas.openxmlformats.org/officeDocument/2006/relationships/hyperlink" Target="https://ref.ly/Isa27:1" TargetMode="External"/><Relationship Id="rId1643" Type="http://schemas.openxmlformats.org/officeDocument/2006/relationships/hyperlink" Target="https://ref.ly/Isa51:9" TargetMode="External"/><Relationship Id="rId1644" Type="http://schemas.openxmlformats.org/officeDocument/2006/relationships/hyperlink" Target="https://ref.ly/Ezek32:2" TargetMode="External"/><Relationship Id="rId1645" Type="http://schemas.openxmlformats.org/officeDocument/2006/relationships/hyperlink" Target="https://ref.ly/Jer51:34" TargetMode="External"/><Relationship Id="rId1646" Type="http://schemas.openxmlformats.org/officeDocument/2006/relationships/hyperlink" Target="https://ref.ly/Rev12:3-Rev12:17" TargetMode="External"/><Relationship Id="rId1647" Type="http://schemas.openxmlformats.org/officeDocument/2006/relationships/hyperlink" Target="https://ref.ly/Rev13:2" TargetMode="External"/><Relationship Id="rId1648" Type="http://schemas.openxmlformats.org/officeDocument/2006/relationships/hyperlink" Target="https://ref.ly/Rev16:13" TargetMode="External"/><Relationship Id="rId1649" Type="http://schemas.openxmlformats.org/officeDocument/2006/relationships/hyperlink" Target="https://ref.ly/Rev20:2" TargetMode="External"/><Relationship Id="rId1650" Type="http://schemas.openxmlformats.org/officeDocument/2006/relationships/hyperlink" Target="https://ref.ly/Neh3:3" TargetMode="External"/><Relationship Id="rId1651" Type="http://schemas.openxmlformats.org/officeDocument/2006/relationships/hyperlink" Target="https://ref.ly/Zeph1:10" TargetMode="External"/><Relationship Id="rId1652" Type="http://schemas.openxmlformats.org/officeDocument/2006/relationships/hyperlink" Target="https://ref.ly/Lev11:9-Lev11:12" TargetMode="External"/><Relationship Id="rId1653" Type="http://schemas.openxmlformats.org/officeDocument/2006/relationships/hyperlink" Target="https://ref.ly/Luke5:4" TargetMode="External"/><Relationship Id="rId1654" Type="http://schemas.openxmlformats.org/officeDocument/2006/relationships/hyperlink" Target="https://ref.ly/Matt13:47-Matt13:48" TargetMode="External"/><Relationship Id="rId1655" Type="http://schemas.openxmlformats.org/officeDocument/2006/relationships/hyperlink" Target="https://ref.ly/Matt17:27" TargetMode="External"/><Relationship Id="rId1656" Type="http://schemas.openxmlformats.org/officeDocument/2006/relationships/hyperlink" Target="https://ref.ly/Job41:7" TargetMode="External"/><Relationship Id="rId1657" Type="http://schemas.openxmlformats.org/officeDocument/2006/relationships/hyperlink" Target="https://ref.ly/Ezek47:10" TargetMode="External"/><Relationship Id="rId1658" Type="http://schemas.openxmlformats.org/officeDocument/2006/relationships/hyperlink" Target="https://ref.ly/Hab1:15" TargetMode="External"/><Relationship Id="rId1659" Type="http://schemas.openxmlformats.org/officeDocument/2006/relationships/hyperlink" Target="https://ref.ly/1Sam24:14" TargetMode="External"/><Relationship Id="rId1660" Type="http://schemas.openxmlformats.org/officeDocument/2006/relationships/hyperlink" Target="https://ref.ly/1Sam26:20" TargetMode="External"/><Relationship Id="rId1661" Type="http://schemas.openxmlformats.org/officeDocument/2006/relationships/hyperlink" Target="https://ref.ly/Jer46:20" TargetMode="External"/><Relationship Id="rId1662" Type="http://schemas.openxmlformats.org/officeDocument/2006/relationships/hyperlink" Target="https://ref.ly/Exod8:21-Exod8:31" TargetMode="External"/><Relationship Id="rId1663" Type="http://schemas.openxmlformats.org/officeDocument/2006/relationships/hyperlink" Target="https://ref.ly/Ps78:45" TargetMode="External"/><Relationship Id="rId1664" Type="http://schemas.openxmlformats.org/officeDocument/2006/relationships/hyperlink" Target="https://ref.ly/Ps105:31" TargetMode="External"/><Relationship Id="rId1665" Type="http://schemas.openxmlformats.org/officeDocument/2006/relationships/hyperlink" Target="https://ref.ly/Job25:6" TargetMode="External"/><Relationship Id="rId1666" Type="http://schemas.openxmlformats.org/officeDocument/2006/relationships/hyperlink" Target="https://ref.ly/Isa14:11" TargetMode="External"/><Relationship Id="rId1667" Type="http://schemas.openxmlformats.org/officeDocument/2006/relationships/hyperlink" Target="https://ref.ly/Exod16:24" TargetMode="External"/><Relationship Id="rId1668" Type="http://schemas.openxmlformats.org/officeDocument/2006/relationships/hyperlink" Target="https://ref.ly/Job7:5" TargetMode="External"/><Relationship Id="rId1669" Type="http://schemas.openxmlformats.org/officeDocument/2006/relationships/hyperlink" Target="https://ref.ly/Job17:14" TargetMode="External"/><Relationship Id="rId1670" Type="http://schemas.openxmlformats.org/officeDocument/2006/relationships/hyperlink" Target="https://ref.ly/Eccl10:1" TargetMode="External"/><Relationship Id="rId1671" Type="http://schemas.openxmlformats.org/officeDocument/2006/relationships/hyperlink" Target="https://ref.ly/2Kgs1:2" TargetMode="External"/><Relationship Id="rId1672" Type="http://schemas.openxmlformats.org/officeDocument/2006/relationships/hyperlink" Target="https://ref.ly/Matt10:25" TargetMode="External"/><Relationship Id="rId1673" Type="http://schemas.openxmlformats.org/officeDocument/2006/relationships/hyperlink" Target="https://ref.ly/Matt12:24" TargetMode="External"/><Relationship Id="rId1674" Type="http://schemas.openxmlformats.org/officeDocument/2006/relationships/hyperlink" Target="https://ref.ly/Song2:15" TargetMode="External"/><Relationship Id="rId1675" Type="http://schemas.openxmlformats.org/officeDocument/2006/relationships/hyperlink" Target="https://ref.ly/Luke13:32" TargetMode="External"/><Relationship Id="rId1676" Type="http://schemas.openxmlformats.org/officeDocument/2006/relationships/hyperlink" Target="https://ref.ly/Neh4:3" TargetMode="External"/><Relationship Id="rId1677" Type="http://schemas.openxmlformats.org/officeDocument/2006/relationships/hyperlink" Target="https://ref.ly/Ps63:10" TargetMode="External"/><Relationship Id="rId1678" Type="http://schemas.openxmlformats.org/officeDocument/2006/relationships/hyperlink" Target="https://ref.ly/Lam5:18" TargetMode="External"/><Relationship Id="rId1679" Type="http://schemas.openxmlformats.org/officeDocument/2006/relationships/hyperlink" Target="https://ref.ly/Lev11:29-Lev11:31" TargetMode="External"/><Relationship Id="rId1680" Type="http://schemas.openxmlformats.org/officeDocument/2006/relationships/hyperlink" Target="https://ref.ly/Exod8:1-Exod8:14" TargetMode="External"/><Relationship Id="rId1681" Type="http://schemas.openxmlformats.org/officeDocument/2006/relationships/hyperlink" Target="https://ref.ly/Ps105:30" TargetMode="External"/><Relationship Id="rId1682" Type="http://schemas.openxmlformats.org/officeDocument/2006/relationships/hyperlink" Target="https://ref.ly/Prov6:5" TargetMode="External"/><Relationship Id="rId1683" Type="http://schemas.openxmlformats.org/officeDocument/2006/relationships/hyperlink" Target="https://ref.ly/Isa13:14" TargetMode="External"/><Relationship Id="rId1684" Type="http://schemas.openxmlformats.org/officeDocument/2006/relationships/hyperlink" Target="https://ref.ly/2Sam2:18" TargetMode="External"/><Relationship Id="rId1685" Type="http://schemas.openxmlformats.org/officeDocument/2006/relationships/hyperlink" Target="https://ref.ly/1Chr12:8" TargetMode="External"/><Relationship Id="rId1686" Type="http://schemas.openxmlformats.org/officeDocument/2006/relationships/hyperlink" Target="https://ref.ly/Song2:9" TargetMode="External"/><Relationship Id="rId1687" Type="http://schemas.openxmlformats.org/officeDocument/2006/relationships/hyperlink" Target="https://ref.ly/Song4:5" TargetMode="External"/><Relationship Id="rId1688" Type="http://schemas.openxmlformats.org/officeDocument/2006/relationships/hyperlink" Target="https://ref.ly/Song7:3" TargetMode="External"/><Relationship Id="rId1689" Type="http://schemas.openxmlformats.org/officeDocument/2006/relationships/hyperlink" Target="https://ref.ly/Lev11:31-Lev11:38" TargetMode="External"/><Relationship Id="rId1690" Type="http://schemas.openxmlformats.org/officeDocument/2006/relationships/hyperlink" Target="https://ref.ly/Exod8:16-Exod8:18" TargetMode="External"/><Relationship Id="rId1691" Type="http://schemas.openxmlformats.org/officeDocument/2006/relationships/hyperlink" Target="https://ref.ly/Exod8:1-Exod8:32" TargetMode="External"/><Relationship Id="rId1692" Type="http://schemas.openxmlformats.org/officeDocument/2006/relationships/hyperlink" Target="https://ref.ly/Matt23:24" TargetMode="External"/><Relationship Id="rId1693" Type="http://schemas.openxmlformats.org/officeDocument/2006/relationships/hyperlink" Target="https://ref.ly/1Sam16:12" TargetMode="External"/><Relationship Id="rId1694" Type="http://schemas.openxmlformats.org/officeDocument/2006/relationships/hyperlink" Target="https://ref.ly/1Sam19:13" TargetMode="External"/><Relationship Id="rId1695" Type="http://schemas.openxmlformats.org/officeDocument/2006/relationships/hyperlink" Target="https://ref.ly/Lev7:23" TargetMode="External"/><Relationship Id="rId1696" Type="http://schemas.openxmlformats.org/officeDocument/2006/relationships/hyperlink" Target="https://ref.ly/Deut14:4" TargetMode="External"/><Relationship Id="rId1697" Type="http://schemas.openxmlformats.org/officeDocument/2006/relationships/hyperlink" Target="https://ref.ly/Prov27:27" TargetMode="External"/><Relationship Id="rId1698" Type="http://schemas.openxmlformats.org/officeDocument/2006/relationships/hyperlink" Target="https://ref.ly/Exod36:14" TargetMode="External"/><Relationship Id="rId1699" Type="http://schemas.openxmlformats.org/officeDocument/2006/relationships/hyperlink" Target="https://ref.ly/Exod26:7" TargetMode="External"/><Relationship Id="rId1700" Type="http://schemas.openxmlformats.org/officeDocument/2006/relationships/hyperlink" Target="https://ref.ly/Gen21:14" TargetMode="External"/><Relationship Id="rId1701" Type="http://schemas.openxmlformats.org/officeDocument/2006/relationships/hyperlink" Target="https://ref.ly/Josh9:4" TargetMode="External"/><Relationship Id="rId1702" Type="http://schemas.openxmlformats.org/officeDocument/2006/relationships/hyperlink" Target="https://ref.ly/Num18:17" TargetMode="External"/><Relationship Id="rId1703" Type="http://schemas.openxmlformats.org/officeDocument/2006/relationships/hyperlink" Target="https://ref.ly/Num28:22" TargetMode="External"/><Relationship Id="rId1704" Type="http://schemas.openxmlformats.org/officeDocument/2006/relationships/hyperlink" Target="https://ref.ly/Lev16:7-Lev16:10" TargetMode="External"/><Relationship Id="rId1705" Type="http://schemas.openxmlformats.org/officeDocument/2006/relationships/hyperlink" Target="https://ref.ly/Song4:1" TargetMode="External"/><Relationship Id="rId1706" Type="http://schemas.openxmlformats.org/officeDocument/2006/relationships/hyperlink" Target="https://ref.ly/Song6:5" TargetMode="External"/><Relationship Id="rId1707" Type="http://schemas.openxmlformats.org/officeDocument/2006/relationships/hyperlink" Target="https://ref.ly/Ezek34:17" TargetMode="External"/><Relationship Id="rId1708" Type="http://schemas.openxmlformats.org/officeDocument/2006/relationships/hyperlink" Target="https://ref.ly/Dan8:5-Dan8:8" TargetMode="External"/><Relationship Id="rId1709" Type="http://schemas.openxmlformats.org/officeDocument/2006/relationships/hyperlink" Target="https://ref.ly/Lev11:6" TargetMode="External"/><Relationship Id="rId1710" Type="http://schemas.openxmlformats.org/officeDocument/2006/relationships/hyperlink" Target="https://ref.ly/Job40:15-Job40:24" TargetMode="External"/><Relationship Id="rId1711" Type="http://schemas.openxmlformats.org/officeDocument/2006/relationships/hyperlink" Target="https://ref.ly/Deut17:14-Deut17:16" TargetMode="External"/><Relationship Id="rId1712" Type="http://schemas.openxmlformats.org/officeDocument/2006/relationships/hyperlink" Target="https://ref.ly/1Kgs10:26" TargetMode="External"/><Relationship Id="rId1713" Type="http://schemas.openxmlformats.org/officeDocument/2006/relationships/hyperlink" Target="https://ref.ly/1Kgs9:15-1Kgs9:19" TargetMode="External"/><Relationship Id="rId1714" Type="http://schemas.openxmlformats.org/officeDocument/2006/relationships/hyperlink" Target="https://ref.ly/Deut17:16" TargetMode="External"/><Relationship Id="rId1715" Type="http://schemas.openxmlformats.org/officeDocument/2006/relationships/hyperlink" Target="https://ref.ly/1Sam8:11" TargetMode="External"/><Relationship Id="rId1716" Type="http://schemas.openxmlformats.org/officeDocument/2006/relationships/hyperlink" Target="https://ref.ly/Ps20:7" TargetMode="External"/><Relationship Id="rId1717" Type="http://schemas.openxmlformats.org/officeDocument/2006/relationships/hyperlink" Target="https://ref.ly/Isa31:1" TargetMode="External"/><Relationship Id="rId1718" Type="http://schemas.openxmlformats.org/officeDocument/2006/relationships/hyperlink" Target="https://ref.ly/Gen47:17" TargetMode="External"/><Relationship Id="rId1719" Type="http://schemas.openxmlformats.org/officeDocument/2006/relationships/hyperlink" Target="https://ref.ly/1Kgs10:28-1Kgs10:29" TargetMode="External"/><Relationship Id="rId1720" Type="http://schemas.openxmlformats.org/officeDocument/2006/relationships/hyperlink" Target="https://ref.ly/2Sam15:1" TargetMode="External"/><Relationship Id="rId1721" Type="http://schemas.openxmlformats.org/officeDocument/2006/relationships/hyperlink" Target="https://ref.ly/2Kgs5:9" TargetMode="External"/><Relationship Id="rId1722" Type="http://schemas.openxmlformats.org/officeDocument/2006/relationships/hyperlink" Target="https://ref.ly/2Chr23:15" TargetMode="External"/><Relationship Id="rId1723" Type="http://schemas.openxmlformats.org/officeDocument/2006/relationships/hyperlink" Target="https://ref.ly/Neh3:28" TargetMode="External"/><Relationship Id="rId1724" Type="http://schemas.openxmlformats.org/officeDocument/2006/relationships/hyperlink" Target="https://ref.ly/Jer31:40" TargetMode="External"/><Relationship Id="rId1725" Type="http://schemas.openxmlformats.org/officeDocument/2006/relationships/hyperlink" Target="https://ref.ly/Esth6:8-Esth6:11" TargetMode="External"/><Relationship Id="rId1726" Type="http://schemas.openxmlformats.org/officeDocument/2006/relationships/hyperlink" Target="https://ref.ly/Ps32:9" TargetMode="External"/><Relationship Id="rId1727" Type="http://schemas.openxmlformats.org/officeDocument/2006/relationships/hyperlink" Target="https://ref.ly/Song1:9" TargetMode="External"/><Relationship Id="rId1728" Type="http://schemas.openxmlformats.org/officeDocument/2006/relationships/hyperlink" Target="https://ref.ly/Jer5:8" TargetMode="External"/><Relationship Id="rId1729" Type="http://schemas.openxmlformats.org/officeDocument/2006/relationships/hyperlink" Target="https://ref.ly/Jer12:5" TargetMode="External"/><Relationship Id="rId1730" Type="http://schemas.openxmlformats.org/officeDocument/2006/relationships/hyperlink" Target="https://ref.ly/Hab3:8" TargetMode="External"/><Relationship Id="rId1731" Type="http://schemas.openxmlformats.org/officeDocument/2006/relationships/hyperlink" Target="https://ref.ly/Zech1:8" TargetMode="External"/><Relationship Id="rId1732" Type="http://schemas.openxmlformats.org/officeDocument/2006/relationships/hyperlink" Target="https://ref.ly/Zech6:1-Zech6:8" TargetMode="External"/><Relationship Id="rId1733" Type="http://schemas.openxmlformats.org/officeDocument/2006/relationships/hyperlink" Target="https://ref.ly/Rev6:2-Rev6:8" TargetMode="External"/><Relationship Id="rId1734" Type="http://schemas.openxmlformats.org/officeDocument/2006/relationships/hyperlink" Target="https://ref.ly/Rev9:17" TargetMode="External"/><Relationship Id="rId1735" Type="http://schemas.openxmlformats.org/officeDocument/2006/relationships/hyperlink" Target="https://ref.ly/Rev19:11-Rev19:16" TargetMode="External"/><Relationship Id="rId1736" Type="http://schemas.openxmlformats.org/officeDocument/2006/relationships/hyperlink" Target="https://ref.ly/2Sam18:17" TargetMode="External"/><Relationship Id="rId1737" Type="http://schemas.openxmlformats.org/officeDocument/2006/relationships/hyperlink" Target="https://ref.ly/Mic1:8" TargetMode="External"/><Relationship Id="rId1738" Type="http://schemas.openxmlformats.org/officeDocument/2006/relationships/hyperlink" Target="https://ref.ly/Job30:29" TargetMode="External"/><Relationship Id="rId1739" Type="http://schemas.openxmlformats.org/officeDocument/2006/relationships/hyperlink" Target="https://ref.ly/Neh2:13" TargetMode="External"/><Relationship Id="rId1740" Type="http://schemas.openxmlformats.org/officeDocument/2006/relationships/hyperlink" Target="https://ref.ly/Isa34:13" TargetMode="External"/><Relationship Id="rId1741" Type="http://schemas.openxmlformats.org/officeDocument/2006/relationships/hyperlink" Target="https://ref.ly/Isa35:7" TargetMode="External"/><Relationship Id="rId1742" Type="http://schemas.openxmlformats.org/officeDocument/2006/relationships/hyperlink" Target="https://ref.ly/Jer49:33" TargetMode="External"/><Relationship Id="rId1743" Type="http://schemas.openxmlformats.org/officeDocument/2006/relationships/hyperlink" Target="https://ref.ly/Jer51:37" TargetMode="External"/><Relationship Id="rId1744" Type="http://schemas.openxmlformats.org/officeDocument/2006/relationships/hyperlink" Target="https://ref.ly/Lam4:3" TargetMode="External"/><Relationship Id="rId1745" Type="http://schemas.openxmlformats.org/officeDocument/2006/relationships/hyperlink" Target="https://ref.ly/Prov30:15" TargetMode="External"/><Relationship Id="rId1746" Type="http://schemas.openxmlformats.org/officeDocument/2006/relationships/hyperlink" Target="https://ref.ly/Song4:8" TargetMode="External"/><Relationship Id="rId1747" Type="http://schemas.openxmlformats.org/officeDocument/2006/relationships/hyperlink" Target="https://ref.ly/Hab1:8" TargetMode="External"/><Relationship Id="rId1748" Type="http://schemas.openxmlformats.org/officeDocument/2006/relationships/hyperlink" Target="https://ref.ly/Jer13:23" TargetMode="External"/><Relationship Id="rId1749" Type="http://schemas.openxmlformats.org/officeDocument/2006/relationships/hyperlink" Target="https://ref.ly/Dan7:6" TargetMode="External"/><Relationship Id="rId1750" Type="http://schemas.openxmlformats.org/officeDocument/2006/relationships/hyperlink" Target="https://ref.ly/Jer5:6" TargetMode="External"/><Relationship Id="rId1751" Type="http://schemas.openxmlformats.org/officeDocument/2006/relationships/hyperlink" Target="https://ref.ly/Hos13:7" TargetMode="External"/><Relationship Id="rId1752" Type="http://schemas.openxmlformats.org/officeDocument/2006/relationships/hyperlink" Target="https://ref.ly/Ps74:14" TargetMode="External"/><Relationship Id="rId1753" Type="http://schemas.openxmlformats.org/officeDocument/2006/relationships/hyperlink" Target="https://ref.ly/Ps104:26" TargetMode="External"/><Relationship Id="rId1754" Type="http://schemas.openxmlformats.org/officeDocument/2006/relationships/hyperlink" Target="https://ref.ly/Jer4:7" TargetMode="External"/><Relationship Id="rId1755" Type="http://schemas.openxmlformats.org/officeDocument/2006/relationships/hyperlink" Target="https://ref.ly/Jer25:38" TargetMode="External"/><Relationship Id="rId1756" Type="http://schemas.openxmlformats.org/officeDocument/2006/relationships/hyperlink" Target="https://ref.ly/Nah2:11-Nah2:12" TargetMode="External"/><Relationship Id="rId1757" Type="http://schemas.openxmlformats.org/officeDocument/2006/relationships/hyperlink" Target="https://ref.ly/1Kgs13:24-1Kgs13:28" TargetMode="External"/><Relationship Id="rId1758" Type="http://schemas.openxmlformats.org/officeDocument/2006/relationships/hyperlink" Target="https://ref.ly/1Kgs20:36" TargetMode="External"/><Relationship Id="rId1759" Type="http://schemas.openxmlformats.org/officeDocument/2006/relationships/hyperlink" Target="https://ref.ly/2Kgs17:25-2Kgs17:26" TargetMode="External"/><Relationship Id="rId1760" Type="http://schemas.openxmlformats.org/officeDocument/2006/relationships/hyperlink" Target="https://ref.ly/Ps57:4" TargetMode="External"/><Relationship Id="rId1761" Type="http://schemas.openxmlformats.org/officeDocument/2006/relationships/hyperlink" Target="https://ref.ly/Dan6:7-Dan6:27" TargetMode="External"/><Relationship Id="rId1762" Type="http://schemas.openxmlformats.org/officeDocument/2006/relationships/hyperlink" Target="https://ref.ly/Ps22:13" TargetMode="External"/><Relationship Id="rId1763" Type="http://schemas.openxmlformats.org/officeDocument/2006/relationships/hyperlink" Target="https://ref.ly/Ezek22:25" TargetMode="External"/><Relationship Id="rId1764" Type="http://schemas.openxmlformats.org/officeDocument/2006/relationships/hyperlink" Target="https://ref.ly/Amos3:4" TargetMode="External"/><Relationship Id="rId1765" Type="http://schemas.openxmlformats.org/officeDocument/2006/relationships/hyperlink" Target="https://ref.ly/Amos3:8" TargetMode="External"/><Relationship Id="rId1766" Type="http://schemas.openxmlformats.org/officeDocument/2006/relationships/hyperlink" Target="https://ref.ly/1Pet5:8" TargetMode="External"/><Relationship Id="rId1767" Type="http://schemas.openxmlformats.org/officeDocument/2006/relationships/hyperlink" Target="https://ref.ly/2Sam17:10" TargetMode="External"/><Relationship Id="rId1768" Type="http://schemas.openxmlformats.org/officeDocument/2006/relationships/hyperlink" Target="https://ref.ly/Prov28:1" TargetMode="External"/><Relationship Id="rId1769" Type="http://schemas.openxmlformats.org/officeDocument/2006/relationships/hyperlink" Target="https://ref.ly/Ps7:2" TargetMode="External"/><Relationship Id="rId1770" Type="http://schemas.openxmlformats.org/officeDocument/2006/relationships/hyperlink" Target="https://ref.ly/Jer2:30" TargetMode="External"/><Relationship Id="rId1771" Type="http://schemas.openxmlformats.org/officeDocument/2006/relationships/hyperlink" Target="https://ref.ly/Hos5:14" TargetMode="External"/><Relationship Id="rId1772" Type="http://schemas.openxmlformats.org/officeDocument/2006/relationships/hyperlink" Target="https://ref.ly/Mic5:8" TargetMode="External"/><Relationship Id="rId1773" Type="http://schemas.openxmlformats.org/officeDocument/2006/relationships/hyperlink" Target="https://ref.ly/Amos3:12" TargetMode="External"/><Relationship Id="rId1774" Type="http://schemas.openxmlformats.org/officeDocument/2006/relationships/hyperlink" Target="https://ref.ly/1Kgs10:19-1Kgs10:20" TargetMode="External"/><Relationship Id="rId1775" Type="http://schemas.openxmlformats.org/officeDocument/2006/relationships/hyperlink" Target="https://ref.ly/Dan7:4" TargetMode="External"/><Relationship Id="rId1776" Type="http://schemas.openxmlformats.org/officeDocument/2006/relationships/hyperlink" Target="https://ref.ly/Ezek19:1-Ezek19:9" TargetMode="External"/><Relationship Id="rId1777" Type="http://schemas.openxmlformats.org/officeDocument/2006/relationships/hyperlink" Target="https://ref.ly/Dan6:7-Dan6:16" TargetMode="External"/><Relationship Id="rId1778" Type="http://schemas.openxmlformats.org/officeDocument/2006/relationships/hyperlink" Target="https://ref.ly/Prov30:29-Prov30:31" TargetMode="External"/><Relationship Id="rId1779" Type="http://schemas.openxmlformats.org/officeDocument/2006/relationships/hyperlink" Target="https://ref.ly/Gen49:9-Gen49:10" TargetMode="External"/><Relationship Id="rId1780" Type="http://schemas.openxmlformats.org/officeDocument/2006/relationships/hyperlink" Target="https://ref.ly/Num24:9" TargetMode="External"/><Relationship Id="rId1781" Type="http://schemas.openxmlformats.org/officeDocument/2006/relationships/hyperlink" Target="https://ref.ly/Rev5:5" TargetMode="External"/><Relationship Id="rId1782" Type="http://schemas.openxmlformats.org/officeDocument/2006/relationships/hyperlink" Target="https://ref.ly/Lev11:32-Lev11:36" TargetMode="External"/><Relationship Id="rId1783" Type="http://schemas.openxmlformats.org/officeDocument/2006/relationships/hyperlink" Target="https://ref.ly/Deut28:42" TargetMode="External"/><Relationship Id="rId1784" Type="http://schemas.openxmlformats.org/officeDocument/2006/relationships/hyperlink" Target="https://ref.ly/Nah3:16-Nah3:17" TargetMode="External"/><Relationship Id="rId1785" Type="http://schemas.openxmlformats.org/officeDocument/2006/relationships/hyperlink" Target="https://ref.ly/Joel2:4-Joel2:9" TargetMode="External"/><Relationship Id="rId1786" Type="http://schemas.openxmlformats.org/officeDocument/2006/relationships/hyperlink" Target="https://ref.ly/Deut28:38" TargetMode="External"/><Relationship Id="rId1787" Type="http://schemas.openxmlformats.org/officeDocument/2006/relationships/hyperlink" Target="https://ref.ly/Joel2:1-Joel2:11" TargetMode="External"/><Relationship Id="rId1788" Type="http://schemas.openxmlformats.org/officeDocument/2006/relationships/hyperlink" Target="https://ref.ly/1Kgs8:37-1Kgs8:38" TargetMode="External"/><Relationship Id="rId1789" Type="http://schemas.openxmlformats.org/officeDocument/2006/relationships/hyperlink" Target="https://ref.ly/2Chr6:28-2Chr6:29" TargetMode="External"/><Relationship Id="rId1790" Type="http://schemas.openxmlformats.org/officeDocument/2006/relationships/hyperlink" Target="https://ref.ly/Joel2:12-Joel2:17" TargetMode="External"/><Relationship Id="rId1791" Type="http://schemas.openxmlformats.org/officeDocument/2006/relationships/hyperlink" Target="https://ref.ly/Isa33:4" TargetMode="External"/><Relationship Id="rId1792" Type="http://schemas.openxmlformats.org/officeDocument/2006/relationships/hyperlink" Target="https://ref.ly/Jer46:23" TargetMode="External"/><Relationship Id="rId1793" Type="http://schemas.openxmlformats.org/officeDocument/2006/relationships/hyperlink" Target="https://ref.ly/Jer51:27" TargetMode="External"/><Relationship Id="rId1794" Type="http://schemas.openxmlformats.org/officeDocument/2006/relationships/hyperlink" Target="https://ref.ly/Nah3:15" TargetMode="External"/><Relationship Id="rId1795" Type="http://schemas.openxmlformats.org/officeDocument/2006/relationships/hyperlink" Target="https://ref.ly/Mark1:6" TargetMode="External"/><Relationship Id="rId1796" Type="http://schemas.openxmlformats.org/officeDocument/2006/relationships/hyperlink" Target="https://ref.ly/Lev11:20-Lev11:23" TargetMode="External"/><Relationship Id="rId1797" Type="http://schemas.openxmlformats.org/officeDocument/2006/relationships/hyperlink" Target="https://ref.ly/Isa2:20" TargetMode="External"/><Relationship Id="rId1798" Type="http://schemas.openxmlformats.org/officeDocument/2006/relationships/hyperlink" Target="https://ref.ly/Lev11:29-Lev11:30" TargetMode="External"/><Relationship Id="rId1799" Type="http://schemas.openxmlformats.org/officeDocument/2006/relationships/hyperlink" Target="https://ref.ly/Job13:28" TargetMode="External"/><Relationship Id="rId1800" Type="http://schemas.openxmlformats.org/officeDocument/2006/relationships/hyperlink" Target="https://ref.ly/Ps39:11" TargetMode="External"/><Relationship Id="rId1801" Type="http://schemas.openxmlformats.org/officeDocument/2006/relationships/hyperlink" Target="https://ref.ly/Isa50:9" TargetMode="External"/><Relationship Id="rId1802" Type="http://schemas.openxmlformats.org/officeDocument/2006/relationships/hyperlink" Target="https://ref.ly/Hos5:12" TargetMode="External"/><Relationship Id="rId1803" Type="http://schemas.openxmlformats.org/officeDocument/2006/relationships/hyperlink" Target="https://ref.ly/Matt6:19-Matt6:20" TargetMode="External"/><Relationship Id="rId1804" Type="http://schemas.openxmlformats.org/officeDocument/2006/relationships/hyperlink" Target="https://ref.ly/Luke12:33" TargetMode="External"/><Relationship Id="rId1805" Type="http://schemas.openxmlformats.org/officeDocument/2006/relationships/hyperlink" Target="https://ref.ly/Jas5:2" TargetMode="External"/><Relationship Id="rId1806" Type="http://schemas.openxmlformats.org/officeDocument/2006/relationships/hyperlink" Target="https://ref.ly/Isa51:8" TargetMode="External"/><Relationship Id="rId1807" Type="http://schemas.openxmlformats.org/officeDocument/2006/relationships/hyperlink" Target="https://ref.ly/Job4:19" TargetMode="External"/><Relationship Id="rId1808" Type="http://schemas.openxmlformats.org/officeDocument/2006/relationships/hyperlink" Target="https://ref.ly/Lev11:29" TargetMode="External"/><Relationship Id="rId1809" Type="http://schemas.openxmlformats.org/officeDocument/2006/relationships/hyperlink" Target="https://ref.ly/1Sam6:4-1Sam6:5" TargetMode="External"/><Relationship Id="rId1810" Type="http://schemas.openxmlformats.org/officeDocument/2006/relationships/hyperlink" Target="https://ref.ly/Isa66:17" TargetMode="External"/><Relationship Id="rId1811" Type="http://schemas.openxmlformats.org/officeDocument/2006/relationships/hyperlink" Target="https://ref.ly/1Sam6:5" TargetMode="External"/><Relationship Id="rId1812" Type="http://schemas.openxmlformats.org/officeDocument/2006/relationships/hyperlink" Target="https://ref.ly/Lev19:19" TargetMode="External"/><Relationship Id="rId1813" Type="http://schemas.openxmlformats.org/officeDocument/2006/relationships/hyperlink" Target="https://ref.ly/Ezek27:14" TargetMode="External"/><Relationship Id="rId1814" Type="http://schemas.openxmlformats.org/officeDocument/2006/relationships/hyperlink" Target="https://ref.ly/2Sam13:29" TargetMode="External"/><Relationship Id="rId1815" Type="http://schemas.openxmlformats.org/officeDocument/2006/relationships/hyperlink" Target="https://ref.ly/1Kgs1:33" TargetMode="External"/><Relationship Id="rId1816" Type="http://schemas.openxmlformats.org/officeDocument/2006/relationships/hyperlink" Target="https://ref.ly/2Sam18:9" TargetMode="External"/><Relationship Id="rId1817" Type="http://schemas.openxmlformats.org/officeDocument/2006/relationships/hyperlink" Target="https://ref.ly/Ezra2:66" TargetMode="External"/><Relationship Id="rId1818" Type="http://schemas.openxmlformats.org/officeDocument/2006/relationships/hyperlink" Target="https://ref.ly/Matt8:28-Matt8:32" TargetMode="External"/><Relationship Id="rId1819" Type="http://schemas.openxmlformats.org/officeDocument/2006/relationships/hyperlink" Target="https://ref.ly/Ps80:13" TargetMode="External"/><Relationship Id="rId1820" Type="http://schemas.openxmlformats.org/officeDocument/2006/relationships/hyperlink" Target="https://ref.ly/Prov11:22" TargetMode="External"/><Relationship Id="rId1821" Type="http://schemas.openxmlformats.org/officeDocument/2006/relationships/hyperlink" Target="https://ref.ly/Luke15:15-Luke15:16" TargetMode="External"/><Relationship Id="rId1822" Type="http://schemas.openxmlformats.org/officeDocument/2006/relationships/hyperlink" Target="https://ref.ly/Lev11:7" TargetMode="External"/><Relationship Id="rId1823" Type="http://schemas.openxmlformats.org/officeDocument/2006/relationships/hyperlink" Target="https://ref.ly/Deut14:8" TargetMode="External"/><Relationship Id="rId1824" Type="http://schemas.openxmlformats.org/officeDocument/2006/relationships/hyperlink" Target="https://ref.ly/2Macc6:18" TargetMode="External"/><Relationship Id="rId1825" Type="http://schemas.openxmlformats.org/officeDocument/2006/relationships/hyperlink" Target="https://ref.ly/1Macc1:47" TargetMode="External"/><Relationship Id="rId1826" Type="http://schemas.openxmlformats.org/officeDocument/2006/relationships/hyperlink" Target="https://ref.ly/Isa65:4" TargetMode="External"/><Relationship Id="rId1827" Type="http://schemas.openxmlformats.org/officeDocument/2006/relationships/hyperlink" Target="https://ref.ly/Isa66:3" TargetMode="External"/><Relationship Id="rId1828" Type="http://schemas.openxmlformats.org/officeDocument/2006/relationships/hyperlink" Target="https://ref.ly/Isa34:11" TargetMode="External"/><Relationship Id="rId1829" Type="http://schemas.openxmlformats.org/officeDocument/2006/relationships/hyperlink" Target="https://ref.ly/Isa14:23" TargetMode="External"/><Relationship Id="rId1830" Type="http://schemas.openxmlformats.org/officeDocument/2006/relationships/hyperlink" Target="https://ref.ly/Rev9:3" TargetMode="External"/><Relationship Id="rId1831" Type="http://schemas.openxmlformats.org/officeDocument/2006/relationships/hyperlink" Target="https://ref.ly/1Kgs12:11" TargetMode="External"/><Relationship Id="rId1832" Type="http://schemas.openxmlformats.org/officeDocument/2006/relationships/hyperlink" Target="https://ref.ly/Ezek2:6" TargetMode="External"/><Relationship Id="rId1833" Type="http://schemas.openxmlformats.org/officeDocument/2006/relationships/hyperlink" Target="https://ref.ly/Luke10:19" TargetMode="External"/><Relationship Id="rId1834" Type="http://schemas.openxmlformats.org/officeDocument/2006/relationships/hyperlink" Target="https://ref.ly/2Kgs3:4" TargetMode="External"/><Relationship Id="rId1835" Type="http://schemas.openxmlformats.org/officeDocument/2006/relationships/hyperlink" Target="https://ref.ly/1Chr5:21" TargetMode="External"/><Relationship Id="rId1836" Type="http://schemas.openxmlformats.org/officeDocument/2006/relationships/hyperlink" Target="https://ref.ly/2Sam13:23" TargetMode="External"/><Relationship Id="rId1837" Type="http://schemas.openxmlformats.org/officeDocument/2006/relationships/hyperlink" Target="https://ref.ly/Isa53:7" TargetMode="External"/><Relationship Id="rId1838" Type="http://schemas.openxmlformats.org/officeDocument/2006/relationships/hyperlink" Target="https://ref.ly/Prov31:19" TargetMode="External"/><Relationship Id="rId1839" Type="http://schemas.openxmlformats.org/officeDocument/2006/relationships/hyperlink" Target="https://ref.ly/Exod29:22-Exod29:25" TargetMode="External"/><Relationship Id="rId1840" Type="http://schemas.openxmlformats.org/officeDocument/2006/relationships/hyperlink" Target="https://ref.ly/Josh6:4" TargetMode="External"/><Relationship Id="rId1841" Type="http://schemas.openxmlformats.org/officeDocument/2006/relationships/hyperlink" Target="https://ref.ly/1Sam16:1" TargetMode="External"/><Relationship Id="rId1842" Type="http://schemas.openxmlformats.org/officeDocument/2006/relationships/hyperlink" Target="https://ref.ly/Ps147:16" TargetMode="External"/><Relationship Id="rId1843" Type="http://schemas.openxmlformats.org/officeDocument/2006/relationships/hyperlink" Target="https://ref.ly/Isa1:18" TargetMode="External"/><Relationship Id="rId1844" Type="http://schemas.openxmlformats.org/officeDocument/2006/relationships/hyperlink" Target="https://ref.ly/Dan7:9" TargetMode="External"/><Relationship Id="rId1845" Type="http://schemas.openxmlformats.org/officeDocument/2006/relationships/hyperlink" Target="https://ref.ly/Rev1:14" TargetMode="External"/><Relationship Id="rId1846" Type="http://schemas.openxmlformats.org/officeDocument/2006/relationships/hyperlink" Target="https://ref.ly/2Sam12:3-2Sam12:4" TargetMode="External"/><Relationship Id="rId1847" Type="http://schemas.openxmlformats.org/officeDocument/2006/relationships/hyperlink" Target="https://ref.ly/Luke2:8" TargetMode="External"/><Relationship Id="rId1848" Type="http://schemas.openxmlformats.org/officeDocument/2006/relationships/hyperlink" Target="https://ref.ly/Gen13:8-Gen13:11" TargetMode="External"/><Relationship Id="rId1849" Type="http://schemas.openxmlformats.org/officeDocument/2006/relationships/hyperlink" Target="https://ref.ly/Dan8:3" TargetMode="External"/><Relationship Id="rId1850" Type="http://schemas.openxmlformats.org/officeDocument/2006/relationships/hyperlink" Target="https://ref.ly/Jer11:19" TargetMode="External"/><Relationship Id="rId1851" Type="http://schemas.openxmlformats.org/officeDocument/2006/relationships/hyperlink" Target="https://ref.ly/Matt10:16" TargetMode="External"/><Relationship Id="rId1852" Type="http://schemas.openxmlformats.org/officeDocument/2006/relationships/hyperlink" Target="https://ref.ly/Num27:17" TargetMode="External"/><Relationship Id="rId1853" Type="http://schemas.openxmlformats.org/officeDocument/2006/relationships/hyperlink" Target="https://ref.ly/Matt9:36" TargetMode="External"/><Relationship Id="rId1854" Type="http://schemas.openxmlformats.org/officeDocument/2006/relationships/hyperlink" Target="https://ref.ly/Mark6:34" TargetMode="External"/><Relationship Id="rId1855" Type="http://schemas.openxmlformats.org/officeDocument/2006/relationships/hyperlink" Target="https://ref.ly/John10:1-John10:30" TargetMode="External"/><Relationship Id="rId1856" Type="http://schemas.openxmlformats.org/officeDocument/2006/relationships/hyperlink" Target="https://ref.ly/Rom8:35-Rom8:37" TargetMode="External"/><Relationship Id="rId1857" Type="http://schemas.openxmlformats.org/officeDocument/2006/relationships/hyperlink" Target="https://ref.ly/Acts16:14" TargetMode="External"/><Relationship Id="rId1858" Type="http://schemas.openxmlformats.org/officeDocument/2006/relationships/hyperlink" Target="https://ref.ly/Exod25:4" TargetMode="External"/><Relationship Id="rId1859" Type="http://schemas.openxmlformats.org/officeDocument/2006/relationships/hyperlink" Target="https://ref.ly/Exod28:5-Exod28:6" TargetMode="External"/><Relationship Id="rId1860" Type="http://schemas.openxmlformats.org/officeDocument/2006/relationships/hyperlink" Target="https://ref.ly/Num15:38" TargetMode="External"/><Relationship Id="rId1861" Type="http://schemas.openxmlformats.org/officeDocument/2006/relationships/hyperlink" Target="https://ref.ly/2Chr2:7" TargetMode="External"/><Relationship Id="rId1862" Type="http://schemas.openxmlformats.org/officeDocument/2006/relationships/hyperlink" Target="https://ref.ly/Esth8:15" TargetMode="External"/><Relationship Id="rId1863" Type="http://schemas.openxmlformats.org/officeDocument/2006/relationships/hyperlink" Target="https://ref.ly/Prov31:22" TargetMode="External"/><Relationship Id="rId1864" Type="http://schemas.openxmlformats.org/officeDocument/2006/relationships/hyperlink" Target="https://ref.ly/Song3:10" TargetMode="External"/><Relationship Id="rId1865" Type="http://schemas.openxmlformats.org/officeDocument/2006/relationships/hyperlink" Target="https://ref.ly/Ezek27:7" TargetMode="External"/><Relationship Id="rId1866" Type="http://schemas.openxmlformats.org/officeDocument/2006/relationships/hyperlink" Target="https://ref.ly/Dan5:7" TargetMode="External"/><Relationship Id="rId1867" Type="http://schemas.openxmlformats.org/officeDocument/2006/relationships/hyperlink" Target="https://ref.ly/Exod30:34-Exod30:35" TargetMode="External"/><Relationship Id="rId1868" Type="http://schemas.openxmlformats.org/officeDocument/2006/relationships/hyperlink" Target="https://ref.ly/Jer46:22" TargetMode="External"/><Relationship Id="rId1869" Type="http://schemas.openxmlformats.org/officeDocument/2006/relationships/hyperlink" Target="https://ref.ly/Isa59:5" TargetMode="External"/><Relationship Id="rId1870" Type="http://schemas.openxmlformats.org/officeDocument/2006/relationships/hyperlink" Target="https://ref.ly/Num21:8-Num21:9" TargetMode="External"/><Relationship Id="rId1871" Type="http://schemas.openxmlformats.org/officeDocument/2006/relationships/hyperlink" Target="https://ref.ly/2Kgs18:4" TargetMode="External"/><Relationship Id="rId1872" Type="http://schemas.openxmlformats.org/officeDocument/2006/relationships/hyperlink" Target="https://ref.ly/Gen3:1-Gen3:15" TargetMode="External"/><Relationship Id="rId1873" Type="http://schemas.openxmlformats.org/officeDocument/2006/relationships/hyperlink" Target="https://ref.ly/Job8:14" TargetMode="External"/><Relationship Id="rId1874" Type="http://schemas.openxmlformats.org/officeDocument/2006/relationships/hyperlink" Target="https://ref.ly/Isa59:5-Isa59:6" TargetMode="External"/><Relationship Id="rId1875" Type="http://schemas.openxmlformats.org/officeDocument/2006/relationships/hyperlink" Target="https://ref.ly/Matt27:48" TargetMode="External"/><Relationship Id="rId1876" Type="http://schemas.openxmlformats.org/officeDocument/2006/relationships/hyperlink" Target="https://ref.ly/Mark15:36" TargetMode="External"/><Relationship Id="rId1877" Type="http://schemas.openxmlformats.org/officeDocument/2006/relationships/hyperlink" Target="https://ref.ly/Exod23:28" TargetMode="External"/><Relationship Id="rId1878" Type="http://schemas.openxmlformats.org/officeDocument/2006/relationships/hyperlink" Target="https://ref.ly/Deut7:20" TargetMode="External"/><Relationship Id="rId1879" Type="http://schemas.openxmlformats.org/officeDocument/2006/relationships/hyperlink" Target="https://ref.ly/Josh24:12" TargetMode="External"/><Relationship Id="rId1880" Type="http://schemas.openxmlformats.org/officeDocument/2006/relationships/hyperlink" Target="https://ref.ly/Jonah2:1" TargetMode="External"/><Relationship Id="rId1881" Type="http://schemas.openxmlformats.org/officeDocument/2006/relationships/hyperlink" Target="https://ref.ly/Matt12:40" TargetMode="External"/><Relationship Id="rId1882" Type="http://schemas.openxmlformats.org/officeDocument/2006/relationships/hyperlink" Target="https://ref.ly/Job39:9-Job39:12" TargetMode="External"/><Relationship Id="rId1883" Type="http://schemas.openxmlformats.org/officeDocument/2006/relationships/hyperlink" Target="https://ref.ly/Num23:22" TargetMode="External"/><Relationship Id="rId1884" Type="http://schemas.openxmlformats.org/officeDocument/2006/relationships/hyperlink" Target="https://ref.ly/Num24:8" TargetMode="External"/><Relationship Id="rId1885" Type="http://schemas.openxmlformats.org/officeDocument/2006/relationships/hyperlink" Target="https://ref.ly/Ps22:21" TargetMode="External"/><Relationship Id="rId1886" Type="http://schemas.openxmlformats.org/officeDocument/2006/relationships/hyperlink" Target="https://ref.ly/Ps92:10" TargetMode="External"/><Relationship Id="rId1887" Type="http://schemas.openxmlformats.org/officeDocument/2006/relationships/hyperlink" Target="https://ref.ly/Ps132:17-Ps132:18" TargetMode="External"/><Relationship Id="rId1888" Type="http://schemas.openxmlformats.org/officeDocument/2006/relationships/hyperlink" Target="https://ref.ly/Ps29:6" TargetMode="External"/><Relationship Id="rId1889" Type="http://schemas.openxmlformats.org/officeDocument/2006/relationships/hyperlink" Target="https://ref.ly/Gen49:27" TargetMode="External"/><Relationship Id="rId1890" Type="http://schemas.openxmlformats.org/officeDocument/2006/relationships/hyperlink" Target="https://ref.ly/John10:12" TargetMode="External"/><Relationship Id="rId1891" Type="http://schemas.openxmlformats.org/officeDocument/2006/relationships/hyperlink" Target="https://ref.ly/Isa65:25" TargetMode="External"/><Relationship Id="rId1892" Type="http://schemas.openxmlformats.org/officeDocument/2006/relationships/hyperlink" Target="https://ref.ly/Ezek22:27" TargetMode="External"/><Relationship Id="rId1893" Type="http://schemas.openxmlformats.org/officeDocument/2006/relationships/hyperlink" Target="https://ref.ly/Zeph3:3" TargetMode="External"/><Relationship Id="rId1894" Type="http://schemas.openxmlformats.org/officeDocument/2006/relationships/hyperlink" Target="https://ref.ly/Acts20:29" TargetMode="External"/><Relationship Id="rId1895" Type="http://schemas.openxmlformats.org/officeDocument/2006/relationships/hyperlink" Target="https://ref.ly/Exod16:19-Exod16:20" TargetMode="External"/><Relationship Id="rId1896" Type="http://schemas.openxmlformats.org/officeDocument/2006/relationships/hyperlink" Target="https://ref.ly/Job21:26" TargetMode="External"/><Relationship Id="rId1897" Type="http://schemas.openxmlformats.org/officeDocument/2006/relationships/hyperlink" Target="https://ref.ly/Mark9:48" TargetMode="External"/><Relationship Id="rId1898" Type="http://schemas.openxmlformats.org/officeDocument/2006/relationships/hyperlink" Target="https://ref.ly/Acts12:23" TargetMode="External"/><Relationship Id="rId1899" Type="http://schemas.openxmlformats.org/officeDocument/2006/relationships/hyperlink" Target="https://ref.ly/Deut28:39" TargetMode="External"/><Relationship Id="rId1900" Type="http://schemas.openxmlformats.org/officeDocument/2006/relationships/hyperlink" Target="https://ref.ly/Jonah4:7" TargetMode="External"/><Relationship Id="rId1901" Type="http://schemas.openxmlformats.org/officeDocument/2006/relationships/hyperlink" Target="https://ref.ly/Ps22:6" TargetMode="External"/><Relationship Id="rId1902" Type="http://schemas.openxmlformats.org/officeDocument/2006/relationships/hyperlink" Target="https://ref.ly/Gen3:24" TargetMode="External"/><Relationship Id="rId1903" Type="http://schemas.openxmlformats.org/officeDocument/2006/relationships/hyperlink" Target="https://ref.ly/Exod25:18-Exod25:22" TargetMode="External"/><Relationship Id="rId1904" Type="http://schemas.openxmlformats.org/officeDocument/2006/relationships/hyperlink" Target="https://ref.ly/Exod26:31" TargetMode="External"/><Relationship Id="rId1905" Type="http://schemas.openxmlformats.org/officeDocument/2006/relationships/hyperlink" Target="https://ref.ly/2Chr3:7" TargetMode="External"/><Relationship Id="rId1906" Type="http://schemas.openxmlformats.org/officeDocument/2006/relationships/hyperlink" Target="https://ref.ly/Ezek41:18-Ezek41:20" TargetMode="External"/><Relationship Id="rId1907" Type="http://schemas.openxmlformats.org/officeDocument/2006/relationships/hyperlink" Target="https://ref.ly/Dan8:16" TargetMode="External"/><Relationship Id="rId1908" Type="http://schemas.openxmlformats.org/officeDocument/2006/relationships/hyperlink" Target="https://ref.ly/Dan9:21" TargetMode="External"/><Relationship Id="rId1909" Type="http://schemas.openxmlformats.org/officeDocument/2006/relationships/hyperlink" Target="https://ref.ly/Dan10:13" TargetMode="External"/><Relationship Id="rId1910" Type="http://schemas.openxmlformats.org/officeDocument/2006/relationships/hyperlink" Target="https://ref.ly/Luke1:19,Luke1:26" TargetMode="External"/><Relationship Id="rId1911" Type="http://schemas.openxmlformats.org/officeDocument/2006/relationships/hyperlink" Target="https://ref.ly/Jude1:9" TargetMode="External"/><Relationship Id="rId1912" Type="http://schemas.openxmlformats.org/officeDocument/2006/relationships/hyperlink" Target="https://ref.ly/Rev12:7-Rev12:9" TargetMode="External"/><Relationship Id="rId1913" Type="http://schemas.openxmlformats.org/officeDocument/2006/relationships/hyperlink" Target="https://ref.ly/Luke9:52" TargetMode="External"/><Relationship Id="rId1914" Type="http://schemas.openxmlformats.org/officeDocument/2006/relationships/hyperlink" Target="https://ref.ly/Gen18:2-Gen18:15" TargetMode="External"/><Relationship Id="rId1915" Type="http://schemas.openxmlformats.org/officeDocument/2006/relationships/hyperlink" Target="https://ref.ly/Judg13:3" TargetMode="External"/><Relationship Id="rId1916" Type="http://schemas.openxmlformats.org/officeDocument/2006/relationships/hyperlink" Target="https://ref.ly/Gen19:15" TargetMode="External"/><Relationship Id="rId1917" Type="http://schemas.openxmlformats.org/officeDocument/2006/relationships/hyperlink" Target="https://ref.ly/Dan3:28" TargetMode="External"/><Relationship Id="rId1918" Type="http://schemas.openxmlformats.org/officeDocument/2006/relationships/hyperlink" Target="https://ref.ly/Dan6:22" TargetMode="External"/><Relationship Id="rId1919" Type="http://schemas.openxmlformats.org/officeDocument/2006/relationships/hyperlink" Target="https://ref.ly/Exod14:19" TargetMode="External"/><Relationship Id="rId1920" Type="http://schemas.openxmlformats.org/officeDocument/2006/relationships/hyperlink" Target="https://ref.ly/Gen21:14-Gen21:20" TargetMode="External"/><Relationship Id="rId1921" Type="http://schemas.openxmlformats.org/officeDocument/2006/relationships/hyperlink" Target="https://ref.ly/1Kgs19:4-1Kgs19:7" TargetMode="External"/><Relationship Id="rId1922" Type="http://schemas.openxmlformats.org/officeDocument/2006/relationships/hyperlink" Target="https://ref.ly/Acts7:38" TargetMode="External"/><Relationship Id="rId1923" Type="http://schemas.openxmlformats.org/officeDocument/2006/relationships/hyperlink" Target="https://ref.ly/Gal3:19" TargetMode="External"/><Relationship Id="rId1924" Type="http://schemas.openxmlformats.org/officeDocument/2006/relationships/hyperlink" Target="https://ref.ly/Luke2:8-Luke2:15" TargetMode="External"/><Relationship Id="rId1925" Type="http://schemas.openxmlformats.org/officeDocument/2006/relationships/hyperlink" Target="https://ref.ly/Matt2:13" TargetMode="External"/><Relationship Id="rId1926" Type="http://schemas.openxmlformats.org/officeDocument/2006/relationships/hyperlink" Target="https://ref.ly/Matt4:11" TargetMode="External"/><Relationship Id="rId1927" Type="http://schemas.openxmlformats.org/officeDocument/2006/relationships/hyperlink" Target="https://ref.ly/Luke22:43-Luke22:44" TargetMode="External"/><Relationship Id="rId1928" Type="http://schemas.openxmlformats.org/officeDocument/2006/relationships/hyperlink" Target="https://ref.ly/Matt28:1-Matt28:6" TargetMode="External"/><Relationship Id="rId1929" Type="http://schemas.openxmlformats.org/officeDocument/2006/relationships/hyperlink" Target="https://ref.ly/Matt18:10" TargetMode="External"/><Relationship Id="rId1930" Type="http://schemas.openxmlformats.org/officeDocument/2006/relationships/hyperlink" Target="https://ref.ly/Acts8:26" TargetMode="External"/><Relationship Id="rId1931" Type="http://schemas.openxmlformats.org/officeDocument/2006/relationships/hyperlink" Target="https://ref.ly/Acts5:19" TargetMode="External"/><Relationship Id="rId1932" Type="http://schemas.openxmlformats.org/officeDocument/2006/relationships/hyperlink" Target="https://ref.ly/Acts12:7-Acts12:11" TargetMode="External"/><Relationship Id="rId1933" Type="http://schemas.openxmlformats.org/officeDocument/2006/relationships/hyperlink" Target="https://ref.ly/Acts27:21-Acts27:25" TargetMode="External"/><Relationship Id="rId1934" Type="http://schemas.openxmlformats.org/officeDocument/2006/relationships/hyperlink" Target="https://ref.ly/Matt28:3" TargetMode="External"/><Relationship Id="rId1935" Type="http://schemas.openxmlformats.org/officeDocument/2006/relationships/hyperlink" Target="https://ref.ly/Gen28:12" TargetMode="External"/><Relationship Id="rId1936" Type="http://schemas.openxmlformats.org/officeDocument/2006/relationships/hyperlink" Target="https://ref.ly/Gen31:11" TargetMode="External"/><Relationship Id="rId1937" Type="http://schemas.openxmlformats.org/officeDocument/2006/relationships/hyperlink" Target="https://ref.ly/Acts10:1-Acts10:3" TargetMode="External"/><Relationship Id="rId1938" Type="http://schemas.openxmlformats.org/officeDocument/2006/relationships/hyperlink" Target="https://ref.ly/Isa6:1-Isa6:13" TargetMode="External"/><Relationship Id="rId1939" Type="http://schemas.openxmlformats.org/officeDocument/2006/relationships/hyperlink" Target="https://ref.ly/Ps148:2" TargetMode="External"/><Relationship Id="rId1940" Type="http://schemas.openxmlformats.org/officeDocument/2006/relationships/hyperlink" Target="https://ref.ly/Col1:16" TargetMode="External"/><Relationship Id="rId1941" Type="http://schemas.openxmlformats.org/officeDocument/2006/relationships/hyperlink" Target="https://ref.ly/Job38:7" TargetMode="External"/><Relationship Id="rId1942" Type="http://schemas.openxmlformats.org/officeDocument/2006/relationships/hyperlink" Target="https://ref.ly/Luke20:36" TargetMode="External"/><Relationship Id="rId1943" Type="http://schemas.openxmlformats.org/officeDocument/2006/relationships/hyperlink" Target="https://ref.ly/Matt22:30" TargetMode="External"/><Relationship Id="rId1944" Type="http://schemas.openxmlformats.org/officeDocument/2006/relationships/hyperlink" Target="https://ref.ly/Matt28:2-Matt28:4" TargetMode="External"/><Relationship Id="rId1945" Type="http://schemas.openxmlformats.org/officeDocument/2006/relationships/hyperlink" Target="https://ref.ly/Col2:18" TargetMode="External"/><Relationship Id="rId1946" Type="http://schemas.openxmlformats.org/officeDocument/2006/relationships/hyperlink" Target="https://ref.ly/Rev22:8-Rev22:9" TargetMode="External"/><Relationship Id="rId1947" Type="http://schemas.openxmlformats.org/officeDocument/2006/relationships/hyperlink" Target="https://ref.ly/Ps103:20" TargetMode="External"/><Relationship Id="rId1948" Type="http://schemas.openxmlformats.org/officeDocument/2006/relationships/hyperlink" Target="https://ref.ly/Matt24:36" TargetMode="External"/><Relationship Id="rId1949" Type="http://schemas.openxmlformats.org/officeDocument/2006/relationships/hyperlink" Target="https://ref.ly/1Pet1:11-1Pet1:12" TargetMode="External"/><Relationship Id="rId1950" Type="http://schemas.openxmlformats.org/officeDocument/2006/relationships/hyperlink" Target="https://ref.ly/2Pet2:11" TargetMode="External"/><Relationship Id="rId1951" Type="http://schemas.openxmlformats.org/officeDocument/2006/relationships/hyperlink" Target="https://ref.ly/Lev25:1-Lev25:7" TargetMode="External"/><Relationship Id="rId1952" Type="http://schemas.openxmlformats.org/officeDocument/2006/relationships/hyperlink" Target="https://ref.ly/Lev25:1-Lev25:55" TargetMode="External"/><Relationship Id="rId1953" Type="http://schemas.openxmlformats.org/officeDocument/2006/relationships/hyperlink" Target="https://ref.ly/Lev25:4" TargetMode="External"/><Relationship Id="rId1954" Type="http://schemas.openxmlformats.org/officeDocument/2006/relationships/hyperlink" Target="https://ref.ly/Deut31:9-Deut31:13" TargetMode="External"/><Relationship Id="rId1955" Type="http://schemas.openxmlformats.org/officeDocument/2006/relationships/hyperlink" Target="https://ref.ly/Lev25:23" TargetMode="External"/><Relationship Id="rId1956" Type="http://schemas.openxmlformats.org/officeDocument/2006/relationships/hyperlink" Target="https://ref.ly/Lev25:9" TargetMode="External"/><Relationship Id="rId1957" Type="http://schemas.openxmlformats.org/officeDocument/2006/relationships/hyperlink" Target="https://ref.ly/Lev16:30" TargetMode="External"/><Relationship Id="rId1958" Type="http://schemas.openxmlformats.org/officeDocument/2006/relationships/hyperlink" Target="https://ref.ly/Exod6:6" TargetMode="External"/><Relationship Id="rId1959" Type="http://schemas.openxmlformats.org/officeDocument/2006/relationships/hyperlink" Target="https://ref.ly/Lev25:35-Lev25:38" TargetMode="External"/><Relationship Id="rId1960" Type="http://schemas.openxmlformats.org/officeDocument/2006/relationships/hyperlink" Target="https://ref.ly/Lev25:39-Lev25:43" TargetMode="External"/><Relationship Id="rId1961" Type="http://schemas.openxmlformats.org/officeDocument/2006/relationships/hyperlink" Target="https://ref.ly/Lev25:47-Lev25:55" TargetMode="External"/><Relationship Id="rId1962" Type="http://schemas.openxmlformats.org/officeDocument/2006/relationships/hyperlink" Target="https://ref.ly/Lev25:5-Lev25:7" TargetMode="External"/><Relationship Id="rId1963" Type="http://schemas.openxmlformats.org/officeDocument/2006/relationships/hyperlink" Target="https://ref.ly/Lev25:10" TargetMode="External"/><Relationship Id="rId1964" Type="http://schemas.openxmlformats.org/officeDocument/2006/relationships/hyperlink" Target="https://ref.ly/Isa58:1-Isa58:14" TargetMode="External"/><Relationship Id="rId1965" Type="http://schemas.openxmlformats.org/officeDocument/2006/relationships/hyperlink" Target="https://ref.ly/Lev25:20" TargetMode="External"/><Relationship Id="rId1966" Type="http://schemas.openxmlformats.org/officeDocument/2006/relationships/hyperlink" Target="https://ref.ly/Exod16:29" TargetMode="External"/><Relationship Id="rId1967" Type="http://schemas.openxmlformats.org/officeDocument/2006/relationships/hyperlink" Target="https://ref.ly/Lev25:21" TargetMode="External"/><Relationship Id="rId1968" Type="http://schemas.openxmlformats.org/officeDocument/2006/relationships/hyperlink" Target="https://ref.ly/Lev26:34-Lev26:35" TargetMode="External"/><Relationship Id="rId1969" Type="http://schemas.openxmlformats.org/officeDocument/2006/relationships/hyperlink" Target="https://ref.ly/Gen2:16" TargetMode="External"/><Relationship Id="rId1970" Type="http://schemas.openxmlformats.org/officeDocument/2006/relationships/hyperlink" Target="https://ref.ly/Isa27:13" TargetMode="External"/><Relationship Id="rId1971" Type="http://schemas.openxmlformats.org/officeDocument/2006/relationships/hyperlink" Target="https://ref.ly/Zech9:11-Zech9:14" TargetMode="External"/><Relationship Id="rId1972" Type="http://schemas.openxmlformats.org/officeDocument/2006/relationships/hyperlink" Target="https://ref.ly/Gen14:1-Gen14:11" TargetMode="External"/><Relationship Id="rId1973" Type="http://schemas.openxmlformats.org/officeDocument/2006/relationships/hyperlink" Target="https://ref.ly/Num3:27" TargetMode="External"/><Relationship Id="rId1974" Type="http://schemas.openxmlformats.org/officeDocument/2006/relationships/hyperlink" Target="https://ref.ly/1Chr26:23" TargetMode="External"/><Relationship Id="rId1975" Type="http://schemas.openxmlformats.org/officeDocument/2006/relationships/hyperlink" Target="https://ref.ly/Exod6:16-Exod6:20" TargetMode="External"/><Relationship Id="rId1976" Type="http://schemas.openxmlformats.org/officeDocument/2006/relationships/hyperlink" Target="https://ref.ly/Num26:58-Num26:59" TargetMode="External"/><Relationship Id="rId1977" Type="http://schemas.openxmlformats.org/officeDocument/2006/relationships/hyperlink" Target="https://ref.ly/Num3:27,Num3:31" TargetMode="External"/><Relationship Id="rId1978" Type="http://schemas.openxmlformats.org/officeDocument/2006/relationships/hyperlink" Target="https://ref.ly/1Chr26:23-1Chr26:24" TargetMode="External"/><Relationship Id="rId1979" Type="http://schemas.openxmlformats.org/officeDocument/2006/relationships/hyperlink" Target="https://ref.ly/Ezra10:34" TargetMode="External"/><Relationship Id="rId1980" Type="http://schemas.openxmlformats.org/officeDocument/2006/relationships/hyperlink" Target="https://ref.ly/Jdt1:7" TargetMode="External"/><Relationship Id="rId1981" Type="http://schemas.openxmlformats.org/officeDocument/2006/relationships/hyperlink" Target="https://ref.ly/Deut3:9" TargetMode="External"/><Relationship Id="rId1982" Type="http://schemas.openxmlformats.org/officeDocument/2006/relationships/hyperlink" Target="https://ref.ly/Deut4:48" TargetMode="External"/><Relationship Id="rId1983" Type="http://schemas.openxmlformats.org/officeDocument/2006/relationships/hyperlink" Target="https://ref.ly/1Chr5:23" TargetMode="External"/><Relationship Id="rId1984" Type="http://schemas.openxmlformats.org/officeDocument/2006/relationships/hyperlink" Target="https://ref.ly/Ezek27:5" TargetMode="External"/><Relationship Id="rId1985" Type="http://schemas.openxmlformats.org/officeDocument/2006/relationships/hyperlink" Target="https://ref.ly/Acts13:14-Acts13:15" TargetMode="External"/><Relationship Id="rId1986" Type="http://schemas.openxmlformats.org/officeDocument/2006/relationships/hyperlink" Target="https://ref.ly/Acts13:42" TargetMode="External"/><Relationship Id="rId1987" Type="http://schemas.openxmlformats.org/officeDocument/2006/relationships/hyperlink" Target="https://ref.ly/Acts13:45" TargetMode="External"/><Relationship Id="rId1988" Type="http://schemas.openxmlformats.org/officeDocument/2006/relationships/hyperlink" Target="https://ref.ly/Acts13:46-Acts13:48" TargetMode="External"/><Relationship Id="rId1989" Type="http://schemas.openxmlformats.org/officeDocument/2006/relationships/hyperlink" Target="https://ref.ly/Acts13:50" TargetMode="External"/><Relationship Id="rId1990" Type="http://schemas.openxmlformats.org/officeDocument/2006/relationships/hyperlink" Target="https://ref.ly/Acts14:19" TargetMode="External"/><Relationship Id="rId1991" Type="http://schemas.openxmlformats.org/officeDocument/2006/relationships/hyperlink" Target="https://ref.ly/Acts14:21" TargetMode="External"/><Relationship Id="rId1992" Type="http://schemas.openxmlformats.org/officeDocument/2006/relationships/hyperlink" Target="https://ref.ly/Acts6:5" TargetMode="External"/><Relationship Id="rId1993" Type="http://schemas.openxmlformats.org/officeDocument/2006/relationships/hyperlink" Target="https://ref.ly/Acts11:19" TargetMode="External"/><Relationship Id="rId1994" Type="http://schemas.openxmlformats.org/officeDocument/2006/relationships/hyperlink" Target="https://ref.ly/Acts11:1-Acts11:30" TargetMode="External"/><Relationship Id="rId1995" Type="http://schemas.openxmlformats.org/officeDocument/2006/relationships/hyperlink" Target="https://ref.ly/Acts11:26" TargetMode="External"/><Relationship Id="rId1996" Type="http://schemas.openxmlformats.org/officeDocument/2006/relationships/hyperlink" Target="https://ref.ly/Acts13:1-Acts13:52" TargetMode="External"/><Relationship Id="rId1997" Type="http://schemas.openxmlformats.org/officeDocument/2006/relationships/hyperlink" Target="https://ref.ly/Acts15:1-Acts15:41" TargetMode="External"/><Relationship Id="rId1998" Type="http://schemas.openxmlformats.org/officeDocument/2006/relationships/hyperlink" Target="https://ref.ly/Gal2:1-Gal2:21" TargetMode="External"/><Relationship Id="rId1999" Type="http://schemas.openxmlformats.org/officeDocument/2006/relationships/hyperlink" Target="https://ref.ly/Luke1:26-Luke1:38" TargetMode="External"/><Relationship Id="rId2000" Type="http://schemas.openxmlformats.org/officeDocument/2006/relationships/hyperlink" Target="https://ref.ly/Luke1:28" TargetMode="External"/><Relationship Id="rId2001" Type="http://schemas.openxmlformats.org/officeDocument/2006/relationships/hyperlink" Target="https://ref.ly/Luke1:29" TargetMode="External"/><Relationship Id="rId2002" Type="http://schemas.openxmlformats.org/officeDocument/2006/relationships/hyperlink" Target="https://ref.ly/Matt1:18-Matt1:21" TargetMode="External"/><Relationship Id="rId2003" Type="http://schemas.openxmlformats.org/officeDocument/2006/relationships/hyperlink" Target="https://ref.ly/Luke1:32-Luke1:33" TargetMode="External"/><Relationship Id="rId2004" Type="http://schemas.openxmlformats.org/officeDocument/2006/relationships/hyperlink" Target="https://ref.ly/Luke1:15" TargetMode="External"/><Relationship Id="rId2005" Type="http://schemas.openxmlformats.org/officeDocument/2006/relationships/hyperlink" Target="https://ref.ly/Luke1:32" TargetMode="External"/><Relationship Id="rId2006" Type="http://schemas.openxmlformats.org/officeDocument/2006/relationships/hyperlink" Target="https://ref.ly/2Sam7:12-2Sam7:16" TargetMode="External"/><Relationship Id="rId2007" Type="http://schemas.openxmlformats.org/officeDocument/2006/relationships/hyperlink" Target="https://ref.ly/Ps2:7" TargetMode="External"/><Relationship Id="rId2008" Type="http://schemas.openxmlformats.org/officeDocument/2006/relationships/hyperlink" Target="https://ref.ly/Ps89:26-Ps89:29" TargetMode="External"/><Relationship Id="rId2009" Type="http://schemas.openxmlformats.org/officeDocument/2006/relationships/hyperlink" Target="https://ref.ly/Luke1:34" TargetMode="External"/><Relationship Id="rId2010" Type="http://schemas.openxmlformats.org/officeDocument/2006/relationships/hyperlink" Target="https://ref.ly/Gen18:10-Gen18:14" TargetMode="External"/><Relationship Id="rId2011" Type="http://schemas.openxmlformats.org/officeDocument/2006/relationships/hyperlink" Target="https://ref.ly/Luke1:35" TargetMode="External"/><Relationship Id="rId2012" Type="http://schemas.openxmlformats.org/officeDocument/2006/relationships/hyperlink" Target="https://ref.ly/Luke1:38" TargetMode="External"/><Relationship Id="rId2013" Type="http://schemas.openxmlformats.org/officeDocument/2006/relationships/hyperlink" Target="https://ref.ly/Matt1:19" TargetMode="External"/><Relationship Id="rId2014" Type="http://schemas.openxmlformats.org/officeDocument/2006/relationships/hyperlink" Target="https://ref.ly/Deut22:20-Deut22:24" TargetMode="External"/><Relationship Id="rId2015" Type="http://schemas.openxmlformats.org/officeDocument/2006/relationships/hyperlink" Target="https://ref.ly/John8:3-John8:5" TargetMode="External"/><Relationship Id="rId2016" Type="http://schemas.openxmlformats.org/officeDocument/2006/relationships/hyperlink" Target="https://ref.ly/Luke1:48" TargetMode="External"/><Relationship Id="rId2017" Type="http://schemas.openxmlformats.org/officeDocument/2006/relationships/hyperlink" Target="https://ref.ly/Exod36:1-Exod36:2" TargetMode="External"/><Relationship Id="rId2018" Type="http://schemas.openxmlformats.org/officeDocument/2006/relationships/hyperlink" Target="https://ref.ly/Acts25:11" TargetMode="External"/><Relationship Id="rId2019" Type="http://schemas.openxmlformats.org/officeDocument/2006/relationships/hyperlink" Target="https://ref.ly/Rev1:4,Rev1:9" TargetMode="External"/><Relationship Id="rId2020" Type="http://schemas.openxmlformats.org/officeDocument/2006/relationships/hyperlink" Target="https://ref.ly/Rev22:8" TargetMode="External"/><Relationship Id="rId2021" Type="http://schemas.openxmlformats.org/officeDocument/2006/relationships/hyperlink" Target="https://ref.ly/Rev1:3" TargetMode="External"/><Relationship Id="rId2022" Type="http://schemas.openxmlformats.org/officeDocument/2006/relationships/hyperlink" Target="https://ref.ly/Rev22:6-Rev22:10,Rev22:18-Rev22:19" TargetMode="External"/><Relationship Id="rId2023" Type="http://schemas.openxmlformats.org/officeDocument/2006/relationships/hyperlink" Target="https://ref.ly/Rev1:9" TargetMode="External"/><Relationship Id="rId2024" Type="http://schemas.openxmlformats.org/officeDocument/2006/relationships/hyperlink" Target="https://ref.ly/Rev13:1-Rev13:18" TargetMode="External"/><Relationship Id="rId2025" Type="http://schemas.openxmlformats.org/officeDocument/2006/relationships/hyperlink" Target="https://ref.ly/Rev11:1-Rev11:19" TargetMode="External"/><Relationship Id="rId2026" Type="http://schemas.openxmlformats.org/officeDocument/2006/relationships/hyperlink" Target="https://ref.ly/Rev1:4,Rev1:11" TargetMode="External"/><Relationship Id="rId2027" Type="http://schemas.openxmlformats.org/officeDocument/2006/relationships/hyperlink" Target="https://ref.ly/Rev2:1,Rev2:8,Rev2:12,Rev2:18" TargetMode="External"/><Relationship Id="rId2028" Type="http://schemas.openxmlformats.org/officeDocument/2006/relationships/hyperlink" Target="https://ref.ly/Rev3:1,Rev3:7,Rev3:14" TargetMode="External"/><Relationship Id="rId2029" Type="http://schemas.openxmlformats.org/officeDocument/2006/relationships/hyperlink" Target="https://ref.ly/Rev22:7,Rev22:18-Rev22:19" TargetMode="External"/><Relationship Id="rId2030" Type="http://schemas.openxmlformats.org/officeDocument/2006/relationships/hyperlink" Target="https://ref.ly/Matt24:1-Matt25:46" TargetMode="External"/><Relationship Id="rId2031" Type="http://schemas.openxmlformats.org/officeDocument/2006/relationships/hyperlink" Target="https://ref.ly/Mark13:1-Mark13:37" TargetMode="External"/><Relationship Id="rId2032" Type="http://schemas.openxmlformats.org/officeDocument/2006/relationships/hyperlink" Target="https://ref.ly/Luke21:1-Luke21:38" TargetMode="External"/><Relationship Id="rId2033" Type="http://schemas.openxmlformats.org/officeDocument/2006/relationships/hyperlink" Target="https://ref.ly/Rev4:1-Rev22:21" TargetMode="External"/><Relationship Id="rId2034" Type="http://schemas.openxmlformats.org/officeDocument/2006/relationships/hyperlink" Target="https://ref.ly/Rev1:1-Rev3:22" TargetMode="External"/><Relationship Id="rId2035" Type="http://schemas.openxmlformats.org/officeDocument/2006/relationships/hyperlink" Target="https://ref.ly/Rev17:1-Rev17:18" TargetMode="External"/><Relationship Id="rId2036" Type="http://schemas.openxmlformats.org/officeDocument/2006/relationships/hyperlink" Target="https://ref.ly/Rev2:13" TargetMode="External"/><Relationship Id="rId2037" Type="http://schemas.openxmlformats.org/officeDocument/2006/relationships/hyperlink" Target="https://ref.ly/Rev19:20-Rev19:21" TargetMode="External"/><Relationship Id="rId2038" Type="http://schemas.openxmlformats.org/officeDocument/2006/relationships/hyperlink" Target="https://ref.ly/Rev20:10,Rev20:15" TargetMode="External"/><Relationship Id="rId2039" Type="http://schemas.openxmlformats.org/officeDocument/2006/relationships/hyperlink" Target="https://ref.ly/Rev2:1-Rev3:22" TargetMode="External"/><Relationship Id="rId2040" Type="http://schemas.openxmlformats.org/officeDocument/2006/relationships/hyperlink" Target="https://ref.ly/Rev6:1-Rev7:17" TargetMode="External"/><Relationship Id="rId2041" Type="http://schemas.openxmlformats.org/officeDocument/2006/relationships/hyperlink" Target="https://ref.ly/Rev8:1-Rev11:19" TargetMode="External"/><Relationship Id="rId2042" Type="http://schemas.openxmlformats.org/officeDocument/2006/relationships/hyperlink" Target="https://ref.ly/Rev16:1-Rev18:24" TargetMode="External"/><Relationship Id="rId2043" Type="http://schemas.openxmlformats.org/officeDocument/2006/relationships/hyperlink" Target="https://ref.ly/Rev19:1-Rev22:21" TargetMode="External"/><Relationship Id="rId2044" Type="http://schemas.openxmlformats.org/officeDocument/2006/relationships/hyperlink" Target="https://ref.ly/Rev4:1-Rev19:10" TargetMode="External"/><Relationship Id="rId2045" Type="http://schemas.openxmlformats.org/officeDocument/2006/relationships/hyperlink" Target="https://ref.ly/Rev19:11-Rev20:15" TargetMode="External"/><Relationship Id="rId2046" Type="http://schemas.openxmlformats.org/officeDocument/2006/relationships/hyperlink" Target="https://ref.ly/Rev21:1-Rev22:21" TargetMode="External"/><Relationship Id="rId2047" Type="http://schemas.openxmlformats.org/officeDocument/2006/relationships/hyperlink" Target="https://ref.ly/Rev1:1-Rev1:8" TargetMode="External"/><Relationship Id="rId2048" Type="http://schemas.openxmlformats.org/officeDocument/2006/relationships/hyperlink" Target="https://ref.ly/Rev1:9-Rev1:20" TargetMode="External"/><Relationship Id="rId2049" Type="http://schemas.openxmlformats.org/officeDocument/2006/relationships/hyperlink" Target="https://ref.ly/Rev1:1-Rev1:3" TargetMode="External"/><Relationship Id="rId2050" Type="http://schemas.openxmlformats.org/officeDocument/2006/relationships/hyperlink" Target="https://ref.ly/Rev1:4-Rev1:8" TargetMode="External"/><Relationship Id="rId2051" Type="http://schemas.openxmlformats.org/officeDocument/2006/relationships/hyperlink" Target="https://ref.ly/Rev1:9-Rev1:11" TargetMode="External"/><Relationship Id="rId2052" Type="http://schemas.openxmlformats.org/officeDocument/2006/relationships/hyperlink" Target="https://ref.ly/Rev1:12-Rev1:16" TargetMode="External"/><Relationship Id="rId2053" Type="http://schemas.openxmlformats.org/officeDocument/2006/relationships/hyperlink" Target="https://ref.ly/Rev1:17-Rev1:18" TargetMode="External"/><Relationship Id="rId2054" Type="http://schemas.openxmlformats.org/officeDocument/2006/relationships/hyperlink" Target="https://ref.ly/Rev1:19-Rev1:20" TargetMode="External"/><Relationship Id="rId2055" Type="http://schemas.openxmlformats.org/officeDocument/2006/relationships/hyperlink" Target="https://ref.ly/Rev2:7,Rev2:11,Rev2:17,Rev2:29" TargetMode="External"/><Relationship Id="rId2056" Type="http://schemas.openxmlformats.org/officeDocument/2006/relationships/hyperlink" Target="https://ref.ly/Rev3:6,Rev3:13,Rev3:22" TargetMode="External"/><Relationship Id="rId2057" Type="http://schemas.openxmlformats.org/officeDocument/2006/relationships/hyperlink" Target="https://ref.ly/Rev2:23" TargetMode="External"/><Relationship Id="rId2058" Type="http://schemas.openxmlformats.org/officeDocument/2006/relationships/hyperlink" Target="https://ref.ly/Rev1:11" TargetMode="External"/><Relationship Id="rId2059" Type="http://schemas.openxmlformats.org/officeDocument/2006/relationships/hyperlink" Target="https://ref.ly/Rev1:12-Rev1:20" TargetMode="External"/><Relationship Id="rId2060" Type="http://schemas.openxmlformats.org/officeDocument/2006/relationships/hyperlink" Target="https://ref.ly/Rev2:1" TargetMode="External"/><Relationship Id="rId2061" Type="http://schemas.openxmlformats.org/officeDocument/2006/relationships/hyperlink" Target="https://ref.ly/Rev1:13,Rev1:16" TargetMode="External"/><Relationship Id="rId2062" Type="http://schemas.openxmlformats.org/officeDocument/2006/relationships/hyperlink" Target="https://ref.ly/Rev2:10,Rev2:24" TargetMode="External"/><Relationship Id="rId2063" Type="http://schemas.openxmlformats.org/officeDocument/2006/relationships/hyperlink" Target="https://ref.ly/Rev2:4" TargetMode="External"/><Relationship Id="rId2064" Type="http://schemas.openxmlformats.org/officeDocument/2006/relationships/hyperlink" Target="https://ref.ly/Rev3:1" TargetMode="External"/><Relationship Id="rId2065" Type="http://schemas.openxmlformats.org/officeDocument/2006/relationships/hyperlink" Target="https://ref.ly/Rev19:10" TargetMode="External"/><Relationship Id="rId2066" Type="http://schemas.openxmlformats.org/officeDocument/2006/relationships/hyperlink" Target="https://ref.ly/Gen2:1-Gen3:24" TargetMode="External"/><Relationship Id="rId2067" Type="http://schemas.openxmlformats.org/officeDocument/2006/relationships/hyperlink" Target="https://ref.ly/Rev4:1-Rev8:1" TargetMode="External"/><Relationship Id="rId2068" Type="http://schemas.openxmlformats.org/officeDocument/2006/relationships/hyperlink" Target="https://ref.ly/Rev4:1" TargetMode="External"/><Relationship Id="rId2069" Type="http://schemas.openxmlformats.org/officeDocument/2006/relationships/hyperlink" Target="https://ref.ly/Rev1:1-Rev3:24" TargetMode="External"/><Relationship Id="rId2070" Type="http://schemas.openxmlformats.org/officeDocument/2006/relationships/hyperlink" Target="https://ref.ly/Rev4:1-Rev5:14" TargetMode="External"/><Relationship Id="rId2071" Type="http://schemas.openxmlformats.org/officeDocument/2006/relationships/hyperlink" Target="https://ref.ly/Rev4:1-Rev5:32" TargetMode="External"/><Relationship Id="rId2072" Type="http://schemas.openxmlformats.org/officeDocument/2006/relationships/hyperlink" Target="https://ref.ly/Rev4:1-Rev4:11" TargetMode="External"/><Relationship Id="rId2073" Type="http://schemas.openxmlformats.org/officeDocument/2006/relationships/hyperlink" Target="https://ref.ly/Rev5:1-Rev5:14" TargetMode="External"/><Relationship Id="rId2074" Type="http://schemas.openxmlformats.org/officeDocument/2006/relationships/hyperlink" Target="https://ref.ly/Rev6:1-Rev8:22" TargetMode="External"/><Relationship Id="rId2075" Type="http://schemas.openxmlformats.org/officeDocument/2006/relationships/hyperlink" Target="https://ref.ly/Rev22:3" TargetMode="External"/><Relationship Id="rId2076" Type="http://schemas.openxmlformats.org/officeDocument/2006/relationships/hyperlink" Target="https://ref.ly/1Kgs22:19" TargetMode="External"/><Relationship Id="rId2077" Type="http://schemas.openxmlformats.org/officeDocument/2006/relationships/hyperlink" Target="https://ref.ly/Rev6:1-Rev8:1" TargetMode="External"/><Relationship Id="rId2078" Type="http://schemas.openxmlformats.org/officeDocument/2006/relationships/hyperlink" Target="https://ref.ly/Rev6:1-Rev6:17" TargetMode="External"/><Relationship Id="rId2079" Type="http://schemas.openxmlformats.org/officeDocument/2006/relationships/hyperlink" Target="https://ref.ly/Matt24:1-Matt24:35" TargetMode="External"/><Relationship Id="rId2080" Type="http://schemas.openxmlformats.org/officeDocument/2006/relationships/hyperlink" Target="https://ref.ly/Luke21:5-Luke21:33" TargetMode="External"/><Relationship Id="rId2081" Type="http://schemas.openxmlformats.org/officeDocument/2006/relationships/hyperlink" Target="https://ref.ly/Rev8:2-Rev11:19" TargetMode="External"/><Relationship Id="rId2082" Type="http://schemas.openxmlformats.org/officeDocument/2006/relationships/hyperlink" Target="https://ref.ly/Rev15:1-Rev16:21" TargetMode="External"/><Relationship Id="rId2083" Type="http://schemas.openxmlformats.org/officeDocument/2006/relationships/hyperlink" Target="https://ref.ly/Rev7:1-Rev7:17" TargetMode="External"/><Relationship Id="rId2084" Type="http://schemas.openxmlformats.org/officeDocument/2006/relationships/hyperlink" Target="https://ref.ly/Rev8:1" TargetMode="External"/><Relationship Id="rId2085" Type="http://schemas.openxmlformats.org/officeDocument/2006/relationships/hyperlink" Target="https://ref.ly/Rev7:1-Rev7:8" TargetMode="External"/><Relationship Id="rId2086" Type="http://schemas.openxmlformats.org/officeDocument/2006/relationships/hyperlink" Target="https://ref.ly/Rev7:9-Rev7:17" TargetMode="External"/><Relationship Id="rId2087" Type="http://schemas.openxmlformats.org/officeDocument/2006/relationships/hyperlink" Target="https://ref.ly/Rev6:10" TargetMode="External"/><Relationship Id="rId2088" Type="http://schemas.openxmlformats.org/officeDocument/2006/relationships/hyperlink" Target="https://ref.ly/Rev8:2-Rev11:14" TargetMode="External"/><Relationship Id="rId2089" Type="http://schemas.openxmlformats.org/officeDocument/2006/relationships/hyperlink" Target="https://ref.ly/Rev8:2-Rev8:5" TargetMode="External"/><Relationship Id="rId2090" Type="http://schemas.openxmlformats.org/officeDocument/2006/relationships/hyperlink" Target="https://ref.ly/Rev8:6-Rev9:19" TargetMode="External"/><Relationship Id="rId2091" Type="http://schemas.openxmlformats.org/officeDocument/2006/relationships/hyperlink" Target="https://ref.ly/Rev10:1-Rev11:14" TargetMode="External"/><Relationship Id="rId2092" Type="http://schemas.openxmlformats.org/officeDocument/2006/relationships/hyperlink" Target="https://ref.ly/Rev8:6-Rev9:21" TargetMode="External"/><Relationship Id="rId2093" Type="http://schemas.openxmlformats.org/officeDocument/2006/relationships/hyperlink" Target="https://ref.ly/Rev6:12-Rev6:17" TargetMode="External"/><Relationship Id="rId2094" Type="http://schemas.openxmlformats.org/officeDocument/2006/relationships/hyperlink" Target="https://ref.ly/Rev16:1-Rev16:21" TargetMode="External"/><Relationship Id="rId2095" Type="http://schemas.openxmlformats.org/officeDocument/2006/relationships/hyperlink" Target="https://ref.ly/Rev8:13" TargetMode="External"/><Relationship Id="rId2096" Type="http://schemas.openxmlformats.org/officeDocument/2006/relationships/hyperlink" Target="https://ref.ly/Rev9:12" TargetMode="External"/><Relationship Id="rId2097" Type="http://schemas.openxmlformats.org/officeDocument/2006/relationships/hyperlink" Target="https://ref.ly/Rev11:14" TargetMode="External"/><Relationship Id="rId2098" Type="http://schemas.openxmlformats.org/officeDocument/2006/relationships/hyperlink" Target="https://ref.ly/Rev9:13-Rev9:19" TargetMode="External"/><Relationship Id="rId2099" Type="http://schemas.openxmlformats.org/officeDocument/2006/relationships/hyperlink" Target="https://ref.ly/Rev9:1,Rev9:11" TargetMode="External"/><Relationship Id="rId2100" Type="http://schemas.openxmlformats.org/officeDocument/2006/relationships/hyperlink" Target="https://ref.ly/Rev10:1-Rev10:11" TargetMode="External"/><Relationship Id="rId2101" Type="http://schemas.openxmlformats.org/officeDocument/2006/relationships/hyperlink" Target="https://ref.ly/Rev10:11" TargetMode="External"/><Relationship Id="rId2102" Type="http://schemas.openxmlformats.org/officeDocument/2006/relationships/hyperlink" Target="https://ref.ly/Rev12:1-Rev12:18" TargetMode="External"/><Relationship Id="rId2103" Type="http://schemas.openxmlformats.org/officeDocument/2006/relationships/hyperlink" Target="https://ref.ly/Rev11:1-Rev11:2" TargetMode="External"/><Relationship Id="rId2104" Type="http://schemas.openxmlformats.org/officeDocument/2006/relationships/hyperlink" Target="https://ref.ly/Rev11:3-Rev11:13" TargetMode="External"/><Relationship Id="rId2105" Type="http://schemas.openxmlformats.org/officeDocument/2006/relationships/hyperlink" Target="https://ref.ly/Rev11:15-Rev14:20" TargetMode="External"/><Relationship Id="rId2106" Type="http://schemas.openxmlformats.org/officeDocument/2006/relationships/hyperlink" Target="https://ref.ly/Rev19:11-Rev19:21" TargetMode="External"/><Relationship Id="rId2107" Type="http://schemas.openxmlformats.org/officeDocument/2006/relationships/hyperlink" Target="https://ref.ly/Rev12:1-Rev12:17" TargetMode="External"/><Relationship Id="rId2108" Type="http://schemas.openxmlformats.org/officeDocument/2006/relationships/hyperlink" Target="https://ref.ly/Rev12:1-Rev12:6" TargetMode="External"/><Relationship Id="rId2109" Type="http://schemas.openxmlformats.org/officeDocument/2006/relationships/hyperlink" Target="https://ref.ly/Rev12:7-Rev12:12" TargetMode="External"/><Relationship Id="rId2110" Type="http://schemas.openxmlformats.org/officeDocument/2006/relationships/hyperlink" Target="https://ref.ly/Rev12:13-Rev12:17" TargetMode="External"/><Relationship Id="rId2111" Type="http://schemas.openxmlformats.org/officeDocument/2006/relationships/hyperlink" Target="https://ref.ly/Rev12:2" TargetMode="External"/><Relationship Id="rId2112" Type="http://schemas.openxmlformats.org/officeDocument/2006/relationships/hyperlink" Target="https://ref.ly/Isa26:17" TargetMode="External"/><Relationship Id="rId2113" Type="http://schemas.openxmlformats.org/officeDocument/2006/relationships/hyperlink" Target="https://ref.ly/Isa66:7-Isa66:8" TargetMode="External"/><Relationship Id="rId2114" Type="http://schemas.openxmlformats.org/officeDocument/2006/relationships/hyperlink" Target="https://ref.ly/Mic4:10" TargetMode="External"/><Relationship Id="rId2115" Type="http://schemas.openxmlformats.org/officeDocument/2006/relationships/hyperlink" Target="https://ref.ly/Mic5:3" TargetMode="External"/><Relationship Id="rId2116" Type="http://schemas.openxmlformats.org/officeDocument/2006/relationships/hyperlink" Target="https://ref.ly/Rev12:17" TargetMode="External"/><Relationship Id="rId2117" Type="http://schemas.openxmlformats.org/officeDocument/2006/relationships/hyperlink" Target="https://ref.ly/Rev13:11" TargetMode="External"/><Relationship Id="rId2118" Type="http://schemas.openxmlformats.org/officeDocument/2006/relationships/hyperlink" Target="https://ref.ly/Rev14:1" TargetMode="External"/><Relationship Id="rId2119" Type="http://schemas.openxmlformats.org/officeDocument/2006/relationships/hyperlink" Target="https://ref.ly/Rev14:1-Rev14:20" TargetMode="External"/><Relationship Id="rId2120" Type="http://schemas.openxmlformats.org/officeDocument/2006/relationships/hyperlink" Target="https://ref.ly/Rev14:1-Rev14:5" TargetMode="External"/><Relationship Id="rId2121" Type="http://schemas.openxmlformats.org/officeDocument/2006/relationships/hyperlink" Target="https://ref.ly/Rev14:6-Rev14:20" TargetMode="External"/><Relationship Id="rId2122" Type="http://schemas.openxmlformats.org/officeDocument/2006/relationships/hyperlink" Target="https://ref.ly/Rev15:1-Rev19:10" TargetMode="External"/><Relationship Id="rId2123" Type="http://schemas.openxmlformats.org/officeDocument/2006/relationships/hyperlink" Target="https://ref.ly/Matt24:29" TargetMode="External"/><Relationship Id="rId2124" Type="http://schemas.openxmlformats.org/officeDocument/2006/relationships/hyperlink" Target="https://ref.ly/Rev15:1-Rev15:8" TargetMode="External"/><Relationship Id="rId2125" Type="http://schemas.openxmlformats.org/officeDocument/2006/relationships/hyperlink" Target="https://ref.ly/Rev15:2-Rev15:4" TargetMode="External"/><Relationship Id="rId2126" Type="http://schemas.openxmlformats.org/officeDocument/2006/relationships/hyperlink" Target="https://ref.ly/Rev15:5-Rev15:8" TargetMode="External"/><Relationship Id="rId2127" Type="http://schemas.openxmlformats.org/officeDocument/2006/relationships/hyperlink" Target="https://ref.ly/Rev16:5-Rev16:7" TargetMode="External"/><Relationship Id="rId2128" Type="http://schemas.openxmlformats.org/officeDocument/2006/relationships/hyperlink" Target="https://ref.ly/Rev11:8" TargetMode="External"/><Relationship Id="rId2129" Type="http://schemas.openxmlformats.org/officeDocument/2006/relationships/hyperlink" Target="https://ref.ly/Rev18:1-Rev18:24" TargetMode="External"/><Relationship Id="rId2130" Type="http://schemas.openxmlformats.org/officeDocument/2006/relationships/hyperlink" Target="https://ref.ly/Rev17:1" TargetMode="External"/><Relationship Id="rId2131" Type="http://schemas.openxmlformats.org/officeDocument/2006/relationships/hyperlink" Target="https://ref.ly/Rev19:1-Rev19:5" TargetMode="External"/><Relationship Id="rId2132" Type="http://schemas.openxmlformats.org/officeDocument/2006/relationships/hyperlink" Target="https://ref.ly/Rev19:6-Rev19:10" TargetMode="External"/><Relationship Id="rId2133" Type="http://schemas.openxmlformats.org/officeDocument/2006/relationships/hyperlink" Target="https://ref.ly/Rev19:6" TargetMode="External"/><Relationship Id="rId2134" Type="http://schemas.openxmlformats.org/officeDocument/2006/relationships/hyperlink" Target="https://ref.ly/Rev7:9" TargetMode="External"/><Relationship Id="rId2135" Type="http://schemas.openxmlformats.org/officeDocument/2006/relationships/hyperlink" Target="https://ref.ly/Ps93:1" TargetMode="External"/><Relationship Id="rId2136" Type="http://schemas.openxmlformats.org/officeDocument/2006/relationships/hyperlink" Target="https://ref.ly/Ps97:1" TargetMode="External"/><Relationship Id="rId2137" Type="http://schemas.openxmlformats.org/officeDocument/2006/relationships/hyperlink" Target="https://ref.ly/Ps99:1" TargetMode="External"/><Relationship Id="rId2138" Type="http://schemas.openxmlformats.org/officeDocument/2006/relationships/hyperlink" Target="https://ref.ly/Rev19:1-Rev19:10" TargetMode="External"/><Relationship Id="rId2139" Type="http://schemas.openxmlformats.org/officeDocument/2006/relationships/hyperlink" Target="https://ref.ly/John12:31" TargetMode="External"/><Relationship Id="rId2140" Type="http://schemas.openxmlformats.org/officeDocument/2006/relationships/hyperlink" Target="https://ref.ly/John16:11" TargetMode="External"/><Relationship Id="rId2141" Type="http://schemas.openxmlformats.org/officeDocument/2006/relationships/hyperlink" Target="https://ref.ly/Eph2:2" TargetMode="External"/><Relationship Id="rId2142" Type="http://schemas.openxmlformats.org/officeDocument/2006/relationships/hyperlink" Target="https://ref.ly/1Thess3:5" TargetMode="External"/><Relationship Id="rId2143" Type="http://schemas.openxmlformats.org/officeDocument/2006/relationships/hyperlink" Target="https://ref.ly/1Pet5:8-1Pet5:9" TargetMode="External"/><Relationship Id="rId2144" Type="http://schemas.openxmlformats.org/officeDocument/2006/relationships/hyperlink" Target="https://ref.ly/Rev2:10" TargetMode="External"/><Relationship Id="rId2145" Type="http://schemas.openxmlformats.org/officeDocument/2006/relationships/hyperlink" Target="https://ref.ly/Rev19:17-Rev19:21" TargetMode="External"/><Relationship Id="rId2146" Type="http://schemas.openxmlformats.org/officeDocument/2006/relationships/hyperlink" Target="https://ref.ly/Rev20:1-Rev20:6" TargetMode="External"/><Relationship Id="rId2147" Type="http://schemas.openxmlformats.org/officeDocument/2006/relationships/hyperlink" Target="https://ref.ly/Rev20:1-Rev20:3" TargetMode="External"/><Relationship Id="rId2148" Type="http://schemas.openxmlformats.org/officeDocument/2006/relationships/hyperlink" Target="https://ref.ly/Rev20:4-Rev20:6" TargetMode="External"/><Relationship Id="rId2149" Type="http://schemas.openxmlformats.org/officeDocument/2006/relationships/hyperlink" Target="https://ref.ly/Rev20:7-Rev20:10" TargetMode="External"/><Relationship Id="rId2150" Type="http://schemas.openxmlformats.org/officeDocument/2006/relationships/hyperlink" Target="https://ref.ly/Ezek38:1-Ezek39:29" TargetMode="External"/><Relationship Id="rId2151" Type="http://schemas.openxmlformats.org/officeDocument/2006/relationships/hyperlink" Target="https://ref.ly/Rev20:11-Rev20:15" TargetMode="External"/><Relationship Id="rId2152" Type="http://schemas.openxmlformats.org/officeDocument/2006/relationships/hyperlink" Target="https://ref.ly/1John2:15-1John2:17" TargetMode="External"/><Relationship Id="rId2153" Type="http://schemas.openxmlformats.org/officeDocument/2006/relationships/hyperlink" Target="https://ref.ly/Heb9:27" TargetMode="External"/><Relationship Id="rId2154" Type="http://schemas.openxmlformats.org/officeDocument/2006/relationships/hyperlink" Target="https://ref.ly/Rev21:1-Rev22:5" TargetMode="External"/><Relationship Id="rId2155" Type="http://schemas.openxmlformats.org/officeDocument/2006/relationships/hyperlink" Target="https://ref.ly/Rev21:12-Rev21:14,Rev21:16-Rev21:17,Rev21:21" TargetMode="External"/><Relationship Id="rId2156" Type="http://schemas.openxmlformats.org/officeDocument/2006/relationships/hyperlink" Target="https://ref.ly/Rev21:16" TargetMode="External"/><Relationship Id="rId2157" Type="http://schemas.openxmlformats.org/officeDocument/2006/relationships/hyperlink" Target="https://ref.ly/Rev21:11,Rev21:18-Rev21:21,Rev21:23-Rev21:25" TargetMode="External"/><Relationship Id="rId2158" Type="http://schemas.openxmlformats.org/officeDocument/2006/relationships/hyperlink" Target="https://ref.ly/Rev22:5" TargetMode="External"/><Relationship Id="rId2159" Type="http://schemas.openxmlformats.org/officeDocument/2006/relationships/hyperlink" Target="https://ref.ly/Rev22:1" TargetMode="External"/><Relationship Id="rId2160" Type="http://schemas.openxmlformats.org/officeDocument/2006/relationships/hyperlink" Target="https://ref.ly/Rev22:2" TargetMode="External"/><Relationship Id="rId2161" Type="http://schemas.openxmlformats.org/officeDocument/2006/relationships/hyperlink" Target="https://ref.ly/Rev21:1" TargetMode="External"/><Relationship Id="rId2162" Type="http://schemas.openxmlformats.org/officeDocument/2006/relationships/hyperlink" Target="https://ref.ly/Isa60:1-Isa60:22" TargetMode="External"/><Relationship Id="rId2163" Type="http://schemas.openxmlformats.org/officeDocument/2006/relationships/hyperlink" Target="https://ref.ly/Isa65:1-Isa65:25" TargetMode="External"/><Relationship Id="rId2164" Type="http://schemas.openxmlformats.org/officeDocument/2006/relationships/hyperlink" Target="https://ref.ly/Ezek40:1-Ezek48:35" TargetMode="External"/><Relationship Id="rId2165" Type="http://schemas.openxmlformats.org/officeDocument/2006/relationships/hyperlink" Target="https://ref.ly/Gen1:1-Gen3:24" TargetMode="External"/><Relationship Id="rId2166" Type="http://schemas.openxmlformats.org/officeDocument/2006/relationships/hyperlink" Target="https://ref.ly/Rev2:7" TargetMode="External"/><Relationship Id="rId2167" Type="http://schemas.openxmlformats.org/officeDocument/2006/relationships/hyperlink" Target="https://ref.ly/Rev2:26" TargetMode="External"/><Relationship Id="rId2168" Type="http://schemas.openxmlformats.org/officeDocument/2006/relationships/hyperlink" Target="https://ref.ly/Rev3:12" TargetMode="External"/><Relationship Id="rId2169" Type="http://schemas.openxmlformats.org/officeDocument/2006/relationships/hyperlink" Target="https://ref.ly/Rev21:2,Rev21:9-Rev21:27" TargetMode="External"/><Relationship Id="rId2170" Type="http://schemas.openxmlformats.org/officeDocument/2006/relationships/hyperlink" Target="https://ref.ly/Rev22:6-Rev22:21" TargetMode="External"/><Relationship Id="rId2171" Type="http://schemas.openxmlformats.org/officeDocument/2006/relationships/hyperlink" Target="https://ref.ly/Rev22:20" TargetMode="External"/><Relationship Id="rId2172" Type="http://schemas.openxmlformats.org/officeDocument/2006/relationships/hyperlink" Target="https://ref.ly/Dan7:1-Dan12:13" TargetMode="External"/><Relationship Id="rId2173" Type="http://schemas.openxmlformats.org/officeDocument/2006/relationships/hyperlink" Target="https://ref.ly/Amos7:1-Amos9:15" TargetMode="External"/><Relationship Id="rId2174" Type="http://schemas.openxmlformats.org/officeDocument/2006/relationships/hyperlink" Target="https://ref.ly/Zech1:1-Zech6:15" TargetMode="External"/><Relationship Id="rId2175" Type="http://schemas.openxmlformats.org/officeDocument/2006/relationships/hyperlink" Target="https://ref.ly/2Cor12:1-2Cor12:4" TargetMode="External"/><Relationship Id="rId2176" Type="http://schemas.openxmlformats.org/officeDocument/2006/relationships/hyperlink" Target="https://ref.ly/Dan8:15-Dan8:26" TargetMode="External"/><Relationship Id="rId2177" Type="http://schemas.openxmlformats.org/officeDocument/2006/relationships/hyperlink" Target="https://ref.ly/Dan9:20-Dan9:27" TargetMode="External"/><Relationship Id="rId2178" Type="http://schemas.openxmlformats.org/officeDocument/2006/relationships/hyperlink" Target="https://ref.ly/Dan10:18-Dan12:4" TargetMode="External"/><Relationship Id="rId2179" Type="http://schemas.openxmlformats.org/officeDocument/2006/relationships/hyperlink" Target="https://ref.ly/Rev7:13-Rev7:17" TargetMode="External"/><Relationship Id="rId2180" Type="http://schemas.openxmlformats.org/officeDocument/2006/relationships/hyperlink" Target="https://ref.ly/Rev17:7-Rev17:18" TargetMode="External"/><Relationship Id="rId2181" Type="http://schemas.openxmlformats.org/officeDocument/2006/relationships/hyperlink" Target="https://ref.ly/Gen3:1-Gen3:19" TargetMode="External"/><Relationship Id="rId2182" Type="http://schemas.openxmlformats.org/officeDocument/2006/relationships/hyperlink" Target="https://ref.ly/Job1:6-Job1:12" TargetMode="External"/><Relationship Id="rId2183" Type="http://schemas.openxmlformats.org/officeDocument/2006/relationships/hyperlink" Target="https://ref.ly/Job2:1-Job2:8" TargetMode="External"/><Relationship Id="rId2184" Type="http://schemas.openxmlformats.org/officeDocument/2006/relationships/hyperlink" Target="https://ref.ly/Dan2:31-Dan2:45" TargetMode="External"/><Relationship Id="rId2185" Type="http://schemas.openxmlformats.org/officeDocument/2006/relationships/hyperlink" Target="https://ref.ly/2Pet3:10" TargetMode="External"/><Relationship Id="rId2186" Type="http://schemas.openxmlformats.org/officeDocument/2006/relationships/hyperlink" Target="https://ref.ly/2Cor4:4" TargetMode="External"/><Relationship Id="rId2187" Type="http://schemas.openxmlformats.org/officeDocument/2006/relationships/hyperlink" Target="https://ref.ly/Dan12:6" TargetMode="External"/><Relationship Id="rId2188" Type="http://schemas.openxmlformats.org/officeDocument/2006/relationships/hyperlink" Target="https://ref.ly/2Pet3:11-2Pet3:13" TargetMode="External"/><Relationship Id="rId2189" Type="http://schemas.openxmlformats.org/officeDocument/2006/relationships/hyperlink" Target="https://ref.ly/Rev21:5-Rev21:8" TargetMode="External"/><Relationship Id="rId2190" Type="http://schemas.openxmlformats.org/officeDocument/2006/relationships/hyperlink" Target="https://ref.ly/Matt24:1-Matt24:51" TargetMode="External"/><Relationship Id="rId2191" Type="http://schemas.openxmlformats.org/officeDocument/2006/relationships/hyperlink" Target="https://ref.ly/Gen5:21-Gen5:24" TargetMode="External"/><Relationship Id="rId2192" Type="http://schemas.openxmlformats.org/officeDocument/2006/relationships/hyperlink" Target="https://ref.ly/2Esd14:1-2Esd14:6" TargetMode="External"/><Relationship Id="rId2193" Type="http://schemas.openxmlformats.org/officeDocument/2006/relationships/hyperlink" Target="https://ref.ly/2Esd14:42-2Esd14:46" TargetMode="External"/><Relationship Id="rId2194" Type="http://schemas.openxmlformats.org/officeDocument/2006/relationships/hyperlink" Target="https://ref.ly/Rev1:1" TargetMode="External"/><Relationship Id="rId2195" Type="http://schemas.openxmlformats.org/officeDocument/2006/relationships/hyperlink" Target="https://ref.ly/2Esd7:50" TargetMode="External"/><Relationship Id="rId2196" Type="http://schemas.openxmlformats.org/officeDocument/2006/relationships/hyperlink" Target="https://ref.ly/2Esd7:113" TargetMode="External"/><Relationship Id="rId2197" Type="http://schemas.openxmlformats.org/officeDocument/2006/relationships/hyperlink" Target="https://ref.ly/2Esd8:1" TargetMode="External"/><Relationship Id="rId2198" Type="http://schemas.openxmlformats.org/officeDocument/2006/relationships/hyperlink" Target="https://ref.ly/Luke1:1" TargetMode="External"/><Relationship Id="rId2199" Type="http://schemas.openxmlformats.org/officeDocument/2006/relationships/hyperlink" Target="https://ref.ly/Gen41:45" TargetMode="External"/><Relationship Id="rId2200" Type="http://schemas.openxmlformats.org/officeDocument/2006/relationships/hyperlink" Target="https://ref.ly/Acts13:13" TargetMode="External"/><Relationship Id="rId2201" Type="http://schemas.openxmlformats.org/officeDocument/2006/relationships/hyperlink" Target="https://ref.ly/Jer36:4-Jer36:8" TargetMode="External"/><Relationship Id="rId2202" Type="http://schemas.openxmlformats.org/officeDocument/2006/relationships/hyperlink" Target="https://ref.ly/2Cor2:4" TargetMode="External"/><Relationship Id="rId2203" Type="http://schemas.openxmlformats.org/officeDocument/2006/relationships/hyperlink" Target="https://ref.ly/Num11:26" TargetMode="External"/><Relationship Id="rId2204" Type="http://schemas.openxmlformats.org/officeDocument/2006/relationships/hyperlink" Target="https://ref.ly/Gen32:22-Gen32:29" TargetMode="External"/><Relationship Id="rId2205" Type="http://schemas.openxmlformats.org/officeDocument/2006/relationships/hyperlink" Target="https://ref.ly/Matt13:55" TargetMode="External"/><Relationship Id="rId2206" Type="http://schemas.openxmlformats.org/officeDocument/2006/relationships/hyperlink" Target="https://ref.ly/Lev25:8-Lev25:12" TargetMode="External"/><Relationship Id="rId2207" Type="http://schemas.openxmlformats.org/officeDocument/2006/relationships/hyperlink" Target="https://ref.ly/Deut34:5-Deut34:7" TargetMode="External"/><Relationship Id="rId2208" Type="http://schemas.openxmlformats.org/officeDocument/2006/relationships/hyperlink" Target="https://ref.ly/Jer25:11-Jer25:12" TargetMode="External"/><Relationship Id="rId2209" Type="http://schemas.openxmlformats.org/officeDocument/2006/relationships/hyperlink" Target="https://ref.ly/Deut28:15-Deut28:68" TargetMode="External"/><Relationship Id="rId2210" Type="http://schemas.openxmlformats.org/officeDocument/2006/relationships/hyperlink" Target="https://ref.ly/Deut30:15-Deut30:20" TargetMode="External"/><Relationship Id="rId2211" Type="http://schemas.openxmlformats.org/officeDocument/2006/relationships/hyperlink" Target="https://ref.ly/Dan9:4-Dan9:19" TargetMode="External"/><Relationship Id="rId2212" Type="http://schemas.openxmlformats.org/officeDocument/2006/relationships/hyperlink" Target="https://ref.ly/Isa45:1-Isa45:6" TargetMode="External"/><Relationship Id="rId2213" Type="http://schemas.openxmlformats.org/officeDocument/2006/relationships/hyperlink" Target="https://ref.ly/Ezra1:1-Ezra1:4" TargetMode="External"/><Relationship Id="rId2214" Type="http://schemas.openxmlformats.org/officeDocument/2006/relationships/hyperlink" Target="https://ref.ly/Ezra3:1-Ezra3:7" TargetMode="External"/><Relationship Id="rId2215" Type="http://schemas.openxmlformats.org/officeDocument/2006/relationships/hyperlink" Target="https://ref.ly/2Tim3:11" TargetMode="External"/><Relationship Id="rId2216" Type="http://schemas.openxmlformats.org/officeDocument/2006/relationships/hyperlink" Target="https://ref.ly/2Tim4:19" TargetMode="External"/><Relationship Id="rId2217" Type="http://schemas.openxmlformats.org/officeDocument/2006/relationships/hyperlink" Target="https://ref.ly/1Cor7:1-1Cor7:7" TargetMode="External"/><Relationship Id="rId2218" Type="http://schemas.openxmlformats.org/officeDocument/2006/relationships/hyperlink" Target="https://ref.ly/1Cor11:4-1Cor11:6" TargetMode="External"/><Relationship Id="rId2219" Type="http://schemas.openxmlformats.org/officeDocument/2006/relationships/hyperlink" Target="https://ref.ly/Rom16:3" TargetMode="External"/><Relationship Id="rId2220" Type="http://schemas.openxmlformats.org/officeDocument/2006/relationships/hyperlink" Target="https://ref.ly/1Cor1:12-1Cor1:17" TargetMode="External"/><Relationship Id="rId2221" Type="http://schemas.openxmlformats.org/officeDocument/2006/relationships/hyperlink" Target="https://ref.ly/2Cor12:2-2Cor12:4" TargetMode="External"/><Relationship Id="rId2222" Type="http://schemas.openxmlformats.org/officeDocument/2006/relationships/hyperlink" Target="https://ref.ly/2Cor12:4" TargetMode="External"/><Relationship Id="rId2223" Type="http://schemas.openxmlformats.org/officeDocument/2006/relationships/hyperlink" Target="https://ref.ly/John18:33-John18:38" TargetMode="External"/><Relationship Id="rId2224" Type="http://schemas.openxmlformats.org/officeDocument/2006/relationships/hyperlink" Target="https://ref.ly/Acts5:38-Acts5:39" TargetMode="External"/><Relationship Id="rId2225" Type="http://schemas.openxmlformats.org/officeDocument/2006/relationships/hyperlink" Target="https://ref.ly/Josh23:1-Josh24:33" TargetMode="External"/><Relationship Id="rId2226" Type="http://schemas.openxmlformats.org/officeDocument/2006/relationships/hyperlink" Target="https://ref.ly/Josh23:2" TargetMode="External"/><Relationship Id="rId2227" Type="http://schemas.openxmlformats.org/officeDocument/2006/relationships/hyperlink" Target="https://ref.ly/Josh24:1" TargetMode="External"/><Relationship Id="rId2228" Type="http://schemas.openxmlformats.org/officeDocument/2006/relationships/hyperlink" Target="https://ref.ly/1Kgs2:1-1Kgs2:12" TargetMode="External"/><Relationship Id="rId2229" Type="http://schemas.openxmlformats.org/officeDocument/2006/relationships/hyperlink" Target="https://ref.ly/Gen49:1-Gen49:33" TargetMode="External"/><Relationship Id="rId2230" Type="http://schemas.openxmlformats.org/officeDocument/2006/relationships/hyperlink" Target="https://ref.ly/Gen49:33" TargetMode="External"/><Relationship Id="rId2231" Type="http://schemas.openxmlformats.org/officeDocument/2006/relationships/hyperlink" Target="https://ref.ly/Gen37:25-Gen37:28" TargetMode="External"/><Relationship Id="rId2232" Type="http://schemas.openxmlformats.org/officeDocument/2006/relationships/hyperlink" Target="https://ref.ly/Acts18:24-Acts19:1" TargetMode="External"/><Relationship Id="rId2233" Type="http://schemas.openxmlformats.org/officeDocument/2006/relationships/hyperlink" Target="https://ref.ly/1Cor3:5-1Cor3:11" TargetMode="External"/><Relationship Id="rId2234" Type="http://schemas.openxmlformats.org/officeDocument/2006/relationships/hyperlink" Target="https://ref.ly/1Cor1:12" TargetMode="External"/><Relationship Id="rId2235" Type="http://schemas.openxmlformats.org/officeDocument/2006/relationships/hyperlink" Target="https://ref.ly/1Cor3:1-1Cor3:4" TargetMode="External"/><Relationship Id="rId2236" Type="http://schemas.openxmlformats.org/officeDocument/2006/relationships/hyperlink" Target="https://ref.ly/1Cor16:12" TargetMode="External"/><Relationship Id="rId2237" Type="http://schemas.openxmlformats.org/officeDocument/2006/relationships/hyperlink" Target="https://ref.ly/1Esd2:23" TargetMode="External"/><Relationship Id="rId2238" Type="http://schemas.openxmlformats.org/officeDocument/2006/relationships/hyperlink" Target="https://ref.ly/2Macc5:6-2Macc5:8" TargetMode="External"/><Relationship Id="rId2239" Type="http://schemas.openxmlformats.org/officeDocument/2006/relationships/hyperlink" Target="https://ref.ly/Josh22:22" TargetMode="External"/><Relationship Id="rId2240" Type="http://schemas.openxmlformats.org/officeDocument/2006/relationships/hyperlink" Target="https://ref.ly/2Chr29:19" TargetMode="External"/><Relationship Id="rId2241" Type="http://schemas.openxmlformats.org/officeDocument/2006/relationships/hyperlink" Target="https://ref.ly/Jer2:19" TargetMode="External"/><Relationship Id="rId2242" Type="http://schemas.openxmlformats.org/officeDocument/2006/relationships/hyperlink" Target="https://ref.ly/Isa1:2-Isa1:4" TargetMode="External"/><Relationship Id="rId2243" Type="http://schemas.openxmlformats.org/officeDocument/2006/relationships/hyperlink" Target="https://ref.ly/1Kgs14:22-1Kgs14:24" TargetMode="External"/><Relationship Id="rId2244" Type="http://schemas.openxmlformats.org/officeDocument/2006/relationships/hyperlink" Target="https://ref.ly/1Kgs16:30-1Kgs16:33" TargetMode="External"/><Relationship Id="rId2245" Type="http://schemas.openxmlformats.org/officeDocument/2006/relationships/hyperlink" Target="https://ref.ly/1Kgs22:51-1Kgs22:53" TargetMode="External"/><Relationship Id="rId2246" Type="http://schemas.openxmlformats.org/officeDocument/2006/relationships/hyperlink" Target="https://ref.ly/2Chr21:6,2Chr21:10" TargetMode="External"/><Relationship Id="rId2247" Type="http://schemas.openxmlformats.org/officeDocument/2006/relationships/hyperlink" Target="https://ref.ly/2Chr28:1-2Chr28:4" TargetMode="External"/><Relationship Id="rId2248" Type="http://schemas.openxmlformats.org/officeDocument/2006/relationships/hyperlink" Target="https://ref.ly/2Chr33:1-2Chr33:19" TargetMode="External"/><Relationship Id="rId2249" Type="http://schemas.openxmlformats.org/officeDocument/2006/relationships/hyperlink" Target="https://ref.ly/2Chr33:21-2Chr33:23" TargetMode="External"/><Relationship Id="rId2250" Type="http://schemas.openxmlformats.org/officeDocument/2006/relationships/hyperlink" Target="https://ref.ly/John6:66" TargetMode="External"/><Relationship Id="rId2251" Type="http://schemas.openxmlformats.org/officeDocument/2006/relationships/hyperlink" Target="https://ref.ly/Acts21:21" TargetMode="External"/><Relationship Id="rId2252" Type="http://schemas.openxmlformats.org/officeDocument/2006/relationships/hyperlink" Target="https://ref.ly/2Thess2:3" TargetMode="External"/><Relationship Id="rId2253" Type="http://schemas.openxmlformats.org/officeDocument/2006/relationships/hyperlink" Target="https://ref.ly/2Thess2:3-2Thess2:12" TargetMode="External"/><Relationship Id="rId2254" Type="http://schemas.openxmlformats.org/officeDocument/2006/relationships/hyperlink" Target="https://ref.ly/1Tim4:1-1Tim4:3" TargetMode="External"/><Relationship Id="rId2255" Type="http://schemas.openxmlformats.org/officeDocument/2006/relationships/hyperlink" Target="https://ref.ly/Matt10:1-Matt10:4" TargetMode="External"/><Relationship Id="rId2256" Type="http://schemas.openxmlformats.org/officeDocument/2006/relationships/hyperlink" Target="https://ref.ly/Mark3:13-Mark3:19" TargetMode="External"/><Relationship Id="rId2257" Type="http://schemas.openxmlformats.org/officeDocument/2006/relationships/hyperlink" Target="https://ref.ly/Luke6:12-Luke6:16" TargetMode="External"/><Relationship Id="rId2258" Type="http://schemas.openxmlformats.org/officeDocument/2006/relationships/hyperlink" Target="https://ref.ly/Matt10:1-Matt10:15" TargetMode="External"/><Relationship Id="rId2259" Type="http://schemas.openxmlformats.org/officeDocument/2006/relationships/hyperlink" Target="https://ref.ly/Mark6:7-Mark6:13" TargetMode="External"/><Relationship Id="rId2260" Type="http://schemas.openxmlformats.org/officeDocument/2006/relationships/hyperlink" Target="https://ref.ly/Luke9:1-Luke9:6" TargetMode="External"/><Relationship Id="rId2261" Type="http://schemas.openxmlformats.org/officeDocument/2006/relationships/hyperlink" Target="https://ref.ly/Luke10:16" TargetMode="External"/><Relationship Id="rId2262" Type="http://schemas.openxmlformats.org/officeDocument/2006/relationships/hyperlink" Target="https://ref.ly/Matt10:40" TargetMode="External"/><Relationship Id="rId2263" Type="http://schemas.openxmlformats.org/officeDocument/2006/relationships/hyperlink" Target="https://ref.ly/Matt28:1-Matt28:20" TargetMode="External"/><Relationship Id="rId2264" Type="http://schemas.openxmlformats.org/officeDocument/2006/relationships/hyperlink" Target="https://ref.ly/Luke24:1-Luke24:53" TargetMode="External"/><Relationship Id="rId2265" Type="http://schemas.openxmlformats.org/officeDocument/2006/relationships/hyperlink" Target="https://ref.ly/John20:1-John21:25" TargetMode="External"/><Relationship Id="rId2266" Type="http://schemas.openxmlformats.org/officeDocument/2006/relationships/hyperlink" Target="https://ref.ly/Acts1:21-Acts1:22" TargetMode="External"/><Relationship Id="rId2267" Type="http://schemas.openxmlformats.org/officeDocument/2006/relationships/hyperlink" Target="https://ref.ly/1Cor15:4-1Cor15:10" TargetMode="External"/><Relationship Id="rId2268" Type="http://schemas.openxmlformats.org/officeDocument/2006/relationships/hyperlink" Target="https://ref.ly/2Cor8:23" TargetMode="External"/><Relationship Id="rId2269" Type="http://schemas.openxmlformats.org/officeDocument/2006/relationships/hyperlink" Target="https://ref.ly/Phil2:25" TargetMode="External"/><Relationship Id="rId2270" Type="http://schemas.openxmlformats.org/officeDocument/2006/relationships/hyperlink" Target="https://ref.ly/1Cor1:1" TargetMode="External"/><Relationship Id="rId2271" Type="http://schemas.openxmlformats.org/officeDocument/2006/relationships/hyperlink" Target="https://ref.ly/2Cor1:1" TargetMode="External"/><Relationship Id="rId2272" Type="http://schemas.openxmlformats.org/officeDocument/2006/relationships/hyperlink" Target="https://ref.ly/2Cor11:13" TargetMode="External"/><Relationship Id="rId2273" Type="http://schemas.openxmlformats.org/officeDocument/2006/relationships/hyperlink" Target="https://ref.ly/Gal1:1" TargetMode="External"/><Relationship Id="rId2274" Type="http://schemas.openxmlformats.org/officeDocument/2006/relationships/hyperlink" Target="https://ref.ly/Eph1:1" TargetMode="External"/><Relationship Id="rId2275" Type="http://schemas.openxmlformats.org/officeDocument/2006/relationships/hyperlink" Target="https://ref.ly/Col1:1" TargetMode="External"/><Relationship Id="rId2276" Type="http://schemas.openxmlformats.org/officeDocument/2006/relationships/hyperlink" Target="https://ref.ly/1Thess2:6" TargetMode="External"/><Relationship Id="rId2277" Type="http://schemas.openxmlformats.org/officeDocument/2006/relationships/hyperlink" Target="https://ref.ly/Rom16:7" TargetMode="External"/><Relationship Id="rId2278" Type="http://schemas.openxmlformats.org/officeDocument/2006/relationships/hyperlink" Target="https://ref.ly/1Cor9:1" TargetMode="External"/><Relationship Id="rId2279" Type="http://schemas.openxmlformats.org/officeDocument/2006/relationships/hyperlink" Target="https://ref.ly/1Cor12:28" TargetMode="External"/><Relationship Id="rId2280" Type="http://schemas.openxmlformats.org/officeDocument/2006/relationships/hyperlink" Target="https://ref.ly/Gal1:17-Gal1:19" TargetMode="External"/><Relationship Id="rId2281" Type="http://schemas.openxmlformats.org/officeDocument/2006/relationships/hyperlink" Target="https://ref.ly/Gal1:12" TargetMode="External"/><Relationship Id="rId2282" Type="http://schemas.openxmlformats.org/officeDocument/2006/relationships/hyperlink" Target="https://ref.ly/1Cor15:3-1Cor15:8" TargetMode="External"/><Relationship Id="rId2283" Type="http://schemas.openxmlformats.org/officeDocument/2006/relationships/hyperlink" Target="https://ref.ly/Acts9:1-Acts9:19" TargetMode="External"/><Relationship Id="rId2284" Type="http://schemas.openxmlformats.org/officeDocument/2006/relationships/hyperlink" Target="https://ref.ly/Acts22:6-Acts22:16" TargetMode="External"/><Relationship Id="rId2285" Type="http://schemas.openxmlformats.org/officeDocument/2006/relationships/hyperlink" Target="https://ref.ly/Acts26:12-Acts26:18" TargetMode="External"/><Relationship Id="rId2286" Type="http://schemas.openxmlformats.org/officeDocument/2006/relationships/hyperlink" Target="https://ref.ly/Gal1:17" TargetMode="External"/><Relationship Id="rId2287" Type="http://schemas.openxmlformats.org/officeDocument/2006/relationships/hyperlink" Target="https://ref.ly/1Cor1:17" TargetMode="External"/><Relationship Id="rId2288" Type="http://schemas.openxmlformats.org/officeDocument/2006/relationships/hyperlink" Target="https://ref.ly/1Cor2:1-1Cor2:2" TargetMode="External"/><Relationship Id="rId2289" Type="http://schemas.openxmlformats.org/officeDocument/2006/relationships/hyperlink" Target="https://ref.ly/Acts9:15" TargetMode="External"/><Relationship Id="rId2290" Type="http://schemas.openxmlformats.org/officeDocument/2006/relationships/hyperlink" Target="https://ref.ly/Acts22:15" TargetMode="External"/><Relationship Id="rId2291" Type="http://schemas.openxmlformats.org/officeDocument/2006/relationships/hyperlink" Target="https://ref.ly/Acts26:17" TargetMode="External"/><Relationship Id="rId2292" Type="http://schemas.openxmlformats.org/officeDocument/2006/relationships/hyperlink" Target="https://ref.ly/Gal1:15-Gal1:16" TargetMode="External"/><Relationship Id="rId2293" Type="http://schemas.openxmlformats.org/officeDocument/2006/relationships/hyperlink" Target="https://ref.ly/1Cor9:1-1Cor9:2" TargetMode="External"/><Relationship Id="rId2294" Type="http://schemas.openxmlformats.org/officeDocument/2006/relationships/hyperlink" Target="https://ref.ly/Gal2:8" TargetMode="External"/><Relationship Id="rId2295" Type="http://schemas.openxmlformats.org/officeDocument/2006/relationships/hyperlink" Target="https://ref.ly/Matt8:18-Matt8:22" TargetMode="External"/><Relationship Id="rId2296" Type="http://schemas.openxmlformats.org/officeDocument/2006/relationships/hyperlink" Target="https://ref.ly/Matt9:10-Matt9:13" TargetMode="External"/><Relationship Id="rId2297" Type="http://schemas.openxmlformats.org/officeDocument/2006/relationships/hyperlink" Target="https://ref.ly/Matt16:1-Matt16:4" TargetMode="External"/><Relationship Id="rId2298" Type="http://schemas.openxmlformats.org/officeDocument/2006/relationships/hyperlink" Target="https://ref.ly/Mark2:18-Mark2:22" TargetMode="External"/><Relationship Id="rId2299" Type="http://schemas.openxmlformats.org/officeDocument/2006/relationships/hyperlink" Target="https://ref.ly/Mark10:13-Mark10:15" TargetMode="External"/><Relationship Id="rId2300" Type="http://schemas.openxmlformats.org/officeDocument/2006/relationships/hyperlink" Target="https://ref.ly/Luke6:1-Luke6:5" TargetMode="External"/><Relationship Id="rId2301" Type="http://schemas.openxmlformats.org/officeDocument/2006/relationships/hyperlink" Target="https://ref.ly/Luke11:37-Luke11:44" TargetMode="External"/><Relationship Id="rId2302" Type="http://schemas.openxmlformats.org/officeDocument/2006/relationships/hyperlink" Target="https://ref.ly/Acts18:2,Acts18:18,Acts18:26" TargetMode="External"/><Relationship Id="rId2303" Type="http://schemas.openxmlformats.org/officeDocument/2006/relationships/hyperlink" Target="https://ref.ly/1Cor16:19" TargetMode="External"/><Relationship Id="rId2304" Type="http://schemas.openxmlformats.org/officeDocument/2006/relationships/hyperlink" Target="https://ref.ly/Deut2:18,Deut2:29" TargetMode="External"/><Relationship Id="rId2305" Type="http://schemas.openxmlformats.org/officeDocument/2006/relationships/hyperlink" Target="https://ref.ly/Num21:28" TargetMode="External"/><Relationship Id="rId2306" Type="http://schemas.openxmlformats.org/officeDocument/2006/relationships/hyperlink" Target="https://ref.ly/Deut2:9" TargetMode="External"/><Relationship Id="rId2307" Type="http://schemas.openxmlformats.org/officeDocument/2006/relationships/hyperlink" Target="https://ref.ly/Isa15:1" TargetMode="External"/><Relationship Id="rId2308" Type="http://schemas.openxmlformats.org/officeDocument/2006/relationships/hyperlink" Target="https://ref.ly/Gen36:28" TargetMode="External"/><Relationship Id="rId2309" Type="http://schemas.openxmlformats.org/officeDocument/2006/relationships/hyperlink" Target="https://ref.ly/1Chr1:42" TargetMode="External"/><Relationship Id="rId2310" Type="http://schemas.openxmlformats.org/officeDocument/2006/relationships/hyperlink" Target="https://ref.ly/Gen10:22-Gen10:23" TargetMode="External"/><Relationship Id="rId2311" Type="http://schemas.openxmlformats.org/officeDocument/2006/relationships/hyperlink" Target="https://ref.ly/1Chr1:17" TargetMode="External"/><Relationship Id="rId2312" Type="http://schemas.openxmlformats.org/officeDocument/2006/relationships/hyperlink" Target="https://ref.ly/Gen22:21" TargetMode="External"/><Relationship Id="rId2313" Type="http://schemas.openxmlformats.org/officeDocument/2006/relationships/hyperlink" Target="https://ref.ly/1Chr7:34" TargetMode="External"/><Relationship Id="rId2314" Type="http://schemas.openxmlformats.org/officeDocument/2006/relationships/hyperlink" Target="https://ref.ly/Deut1:1" TargetMode="External"/><Relationship Id="rId2315" Type="http://schemas.openxmlformats.org/officeDocument/2006/relationships/hyperlink" Target="https://ref.ly/Deut2:8" TargetMode="External"/><Relationship Id="rId2316" Type="http://schemas.openxmlformats.org/officeDocument/2006/relationships/hyperlink" Target="https://ref.ly/Deut3:17" TargetMode="External"/><Relationship Id="rId2317" Type="http://schemas.openxmlformats.org/officeDocument/2006/relationships/hyperlink" Target="https://ref.ly/Deut4:49" TargetMode="External"/><Relationship Id="rId2318" Type="http://schemas.openxmlformats.org/officeDocument/2006/relationships/hyperlink" Target="https://ref.ly/Josh11:2" TargetMode="External"/><Relationship Id="rId2319" Type="http://schemas.openxmlformats.org/officeDocument/2006/relationships/hyperlink" Target="https://ref.ly/Josh11:16" TargetMode="External"/><Relationship Id="rId2320" Type="http://schemas.openxmlformats.org/officeDocument/2006/relationships/hyperlink" Target="https://ref.ly/2Sam4:7" TargetMode="External"/><Relationship Id="rId2321" Type="http://schemas.openxmlformats.org/officeDocument/2006/relationships/hyperlink" Target="https://ref.ly/2Kgs14:25" TargetMode="External"/><Relationship Id="rId2322" Type="http://schemas.openxmlformats.org/officeDocument/2006/relationships/hyperlink" Target="https://ref.ly/2Sam2:29" TargetMode="External"/><Relationship Id="rId2323" Type="http://schemas.openxmlformats.org/officeDocument/2006/relationships/hyperlink" Target="https://ref.ly/2Kgs25:4" TargetMode="External"/><Relationship Id="rId2324" Type="http://schemas.openxmlformats.org/officeDocument/2006/relationships/hyperlink" Target="https://ref.ly/Jer39:4" TargetMode="External"/><Relationship Id="rId2325" Type="http://schemas.openxmlformats.org/officeDocument/2006/relationships/hyperlink" Target="https://ref.ly/Num32:1-Num36:13" TargetMode="External"/><Relationship Id="rId2326" Type="http://schemas.openxmlformats.org/officeDocument/2006/relationships/hyperlink" Target="https://ref.ly/Deut8:9" TargetMode="External"/><Relationship Id="rId2327" Type="http://schemas.openxmlformats.org/officeDocument/2006/relationships/hyperlink" Target="https://ref.ly/Gen13:10" TargetMode="External"/><Relationship Id="rId2328" Type="http://schemas.openxmlformats.org/officeDocument/2006/relationships/hyperlink" Target="https://ref.ly/Ezek47:1-Ezek47:12" TargetMode="External"/><Relationship Id="rId2329" Type="http://schemas.openxmlformats.org/officeDocument/2006/relationships/hyperlink" Target="https://ref.ly/Joel3:18" TargetMode="External"/><Relationship Id="rId2330" Type="http://schemas.openxmlformats.org/officeDocument/2006/relationships/hyperlink" Target="https://ref.ly/Zech14:8" TargetMode="External"/><Relationship Id="rId2331" Type="http://schemas.openxmlformats.org/officeDocument/2006/relationships/hyperlink" Target="https://ref.ly/2Chr9:14" TargetMode="External"/><Relationship Id="rId2332" Type="http://schemas.openxmlformats.org/officeDocument/2006/relationships/hyperlink" Target="https://ref.ly/Gal4:25" TargetMode="External"/><Relationship Id="rId2333" Type="http://schemas.openxmlformats.org/officeDocument/2006/relationships/hyperlink" Target="https://ref.ly/Jer49:28-Jer49:33" TargetMode="External"/><Relationship Id="rId2334" Type="http://schemas.openxmlformats.org/officeDocument/2006/relationships/hyperlink" Target="https://ref.ly/1Kgs10:2,1Kgs10:10" TargetMode="External"/><Relationship Id="rId2335" Type="http://schemas.openxmlformats.org/officeDocument/2006/relationships/hyperlink" Target="https://ref.ly/2Chr17:11" TargetMode="External"/><Relationship Id="rId2336" Type="http://schemas.openxmlformats.org/officeDocument/2006/relationships/hyperlink" Target="https://ref.ly/1Kgs22:48" TargetMode="External"/><Relationship Id="rId2337" Type="http://schemas.openxmlformats.org/officeDocument/2006/relationships/hyperlink" Target="https://ref.ly/Gen37:25-Gen37:36" TargetMode="External"/><Relationship Id="rId2338" Type="http://schemas.openxmlformats.org/officeDocument/2006/relationships/hyperlink" Target="https://ref.ly/Exod18:1" TargetMode="External"/><Relationship Id="rId2339" Type="http://schemas.openxmlformats.org/officeDocument/2006/relationships/hyperlink" Target="https://ref.ly/2Chr26:7" TargetMode="External"/><Relationship Id="rId2340" Type="http://schemas.openxmlformats.org/officeDocument/2006/relationships/hyperlink" Target="https://ref.ly/Neh2:19" TargetMode="External"/><Relationship Id="rId2341" Type="http://schemas.openxmlformats.org/officeDocument/2006/relationships/hyperlink" Target="https://ref.ly/Neh6:1,Neh6:6" TargetMode="External"/><Relationship Id="rId2342" Type="http://schemas.openxmlformats.org/officeDocument/2006/relationships/hyperlink" Target="https://ref.ly/Isa21:13-Isa21:17" TargetMode="External"/><Relationship Id="rId2343" Type="http://schemas.openxmlformats.org/officeDocument/2006/relationships/hyperlink" Target="https://ref.ly/Isa60:7" TargetMode="External"/><Relationship Id="rId2344" Type="http://schemas.openxmlformats.org/officeDocument/2006/relationships/hyperlink" Target="https://ref.ly/1Macc11:16" TargetMode="External"/><Relationship Id="rId2345" Type="http://schemas.openxmlformats.org/officeDocument/2006/relationships/hyperlink" Target="https://ref.ly/Num21:1-Num21:3" TargetMode="External"/><Relationship Id="rId2346" Type="http://schemas.openxmlformats.org/officeDocument/2006/relationships/hyperlink" Target="https://ref.ly/Num33:40" TargetMode="External"/><Relationship Id="rId2347" Type="http://schemas.openxmlformats.org/officeDocument/2006/relationships/hyperlink" Target="https://ref.ly/Josh12:14" TargetMode="External"/><Relationship Id="rId2348" Type="http://schemas.openxmlformats.org/officeDocument/2006/relationships/hyperlink" Target="https://ref.ly/Exod27:1" TargetMode="External"/><Relationship Id="rId2349" Type="http://schemas.openxmlformats.org/officeDocument/2006/relationships/hyperlink" Target="https://ref.ly/Dan2:4-Dan7:28" TargetMode="External"/><Relationship Id="rId2350" Type="http://schemas.openxmlformats.org/officeDocument/2006/relationships/hyperlink" Target="https://ref.ly/Ezra4:8-Ezra6:18" TargetMode="External"/><Relationship Id="rId2351" Type="http://schemas.openxmlformats.org/officeDocument/2006/relationships/hyperlink" Target="https://ref.ly/Ezra7:12-Ezra7:26" TargetMode="External"/><Relationship Id="rId2352" Type="http://schemas.openxmlformats.org/officeDocument/2006/relationships/hyperlink" Target="https://ref.ly/Gen31:47" TargetMode="External"/><Relationship Id="rId2353" Type="http://schemas.openxmlformats.org/officeDocument/2006/relationships/hyperlink" Target="https://ref.ly/Jer10:11" TargetMode="External"/><Relationship Id="rId2354" Type="http://schemas.openxmlformats.org/officeDocument/2006/relationships/hyperlink" Target="https://ref.ly/2Kgs18:26" TargetMode="External"/><Relationship Id="rId2355" Type="http://schemas.openxmlformats.org/officeDocument/2006/relationships/hyperlink" Target="https://ref.ly/Neh13:24" TargetMode="External"/><Relationship Id="rId2356" Type="http://schemas.openxmlformats.org/officeDocument/2006/relationships/hyperlink" Target="https://ref.ly/John5:2" TargetMode="External"/><Relationship Id="rId2357" Type="http://schemas.openxmlformats.org/officeDocument/2006/relationships/hyperlink" Target="https://ref.ly/John19:13,John19:17,John19:20" TargetMode="External"/><Relationship Id="rId2358" Type="http://schemas.openxmlformats.org/officeDocument/2006/relationships/hyperlink" Target="https://ref.ly/John20:16" TargetMode="External"/><Relationship Id="rId2359" Type="http://schemas.openxmlformats.org/officeDocument/2006/relationships/hyperlink" Target="https://ref.ly/Rev16:16" TargetMode="External"/><Relationship Id="rId2360" Type="http://schemas.openxmlformats.org/officeDocument/2006/relationships/hyperlink" Target="https://ref.ly/John19:19-John19:20" TargetMode="External"/><Relationship Id="rId2361" Type="http://schemas.openxmlformats.org/officeDocument/2006/relationships/hyperlink" Target="https://ref.ly/Acts22:2" TargetMode="External"/><Relationship Id="rId2362" Type="http://schemas.openxmlformats.org/officeDocument/2006/relationships/hyperlink" Target="https://ref.ly/Acts26:14" TargetMode="External"/><Relationship Id="rId2363" Type="http://schemas.openxmlformats.org/officeDocument/2006/relationships/hyperlink" Target="https://ref.ly/Deut23:4" TargetMode="External"/><Relationship Id="rId2364" Type="http://schemas.openxmlformats.org/officeDocument/2006/relationships/hyperlink" Target="https://ref.ly/Gen11:31-Gen11:32" TargetMode="External"/><Relationship Id="rId2365" Type="http://schemas.openxmlformats.org/officeDocument/2006/relationships/hyperlink" Target="https://ref.ly/Gen24:1-Gen24:10" TargetMode="External"/><Relationship Id="rId2366" Type="http://schemas.openxmlformats.org/officeDocument/2006/relationships/hyperlink" Target="https://ref.ly/Gen28:1-Gen28:5" TargetMode="External"/><Relationship Id="rId2367" Type="http://schemas.openxmlformats.org/officeDocument/2006/relationships/hyperlink" Target="https://ref.ly/Judg3:8-Judg3:11" TargetMode="External"/><Relationship Id="rId2368" Type="http://schemas.openxmlformats.org/officeDocument/2006/relationships/hyperlink" Target="https://ref.ly/1Chr19:6" TargetMode="External"/><Relationship Id="rId2369" Type="http://schemas.openxmlformats.org/officeDocument/2006/relationships/hyperlink" Target="https://ref.ly/Ps60:1" TargetMode="External"/><Relationship Id="rId2370" Type="http://schemas.openxmlformats.org/officeDocument/2006/relationships/hyperlink" Target="https://ref.ly/Exod7:7" TargetMode="External"/><Relationship Id="rId2371" Type="http://schemas.openxmlformats.org/officeDocument/2006/relationships/hyperlink" Target="https://ref.ly/Num26:59" TargetMode="External"/><Relationship Id="rId2372" Type="http://schemas.openxmlformats.org/officeDocument/2006/relationships/hyperlink" Target="https://ref.ly/Exod2:1-Exod2:9" TargetMode="External"/><Relationship Id="rId2373" Type="http://schemas.openxmlformats.org/officeDocument/2006/relationships/hyperlink" Target="https://ref.ly/Exod6:18-Exod6:20" TargetMode="External"/><Relationship Id="rId2374" Type="http://schemas.openxmlformats.org/officeDocument/2006/relationships/hyperlink" Target="https://ref.ly/Lev1:5" TargetMode="External"/><Relationship Id="rId2375" Type="http://schemas.openxmlformats.org/officeDocument/2006/relationships/hyperlink" Target="https://ref.ly/Lev10:1-Lev10:5" TargetMode="External"/><Relationship Id="rId2376" Type="http://schemas.openxmlformats.org/officeDocument/2006/relationships/hyperlink" Target="https://ref.ly/Lev10:6-Lev10:20" TargetMode="External"/><Relationship Id="rId2377" Type="http://schemas.openxmlformats.org/officeDocument/2006/relationships/hyperlink" Target="https://ref.ly/Exod4:10-Exod4:16" TargetMode="External"/><Relationship Id="rId2378" Type="http://schemas.openxmlformats.org/officeDocument/2006/relationships/hyperlink" Target="https://ref.ly/Exod1:1-Exod2:25" TargetMode="External"/><Relationship Id="rId2379" Type="http://schemas.openxmlformats.org/officeDocument/2006/relationships/hyperlink" Target="https://ref.ly/Exod3:1-Exod4:31" TargetMode="External"/><Relationship Id="rId2380" Type="http://schemas.openxmlformats.org/officeDocument/2006/relationships/hyperlink" Target="https://ref.ly/Exod4:27" TargetMode="External"/><Relationship Id="rId2381" Type="http://schemas.openxmlformats.org/officeDocument/2006/relationships/hyperlink" Target="https://ref.ly/Exod4:29-Exod4:31" TargetMode="External"/><Relationship Id="rId2382" Type="http://schemas.openxmlformats.org/officeDocument/2006/relationships/hyperlink" Target="https://ref.ly/Exod5:1" TargetMode="External"/><Relationship Id="rId2383" Type="http://schemas.openxmlformats.org/officeDocument/2006/relationships/hyperlink" Target="https://ref.ly/Exod5:1-Exod12:51" TargetMode="External"/><Relationship Id="rId2384" Type="http://schemas.openxmlformats.org/officeDocument/2006/relationships/hyperlink" Target="https://ref.ly/Exod8:19" TargetMode="External"/><Relationship Id="rId2385" Type="http://schemas.openxmlformats.org/officeDocument/2006/relationships/hyperlink" Target="https://ref.ly/Exod12:1-Exod12:28" TargetMode="External"/><Relationship Id="rId2386" Type="http://schemas.openxmlformats.org/officeDocument/2006/relationships/hyperlink" Target="https://ref.ly/Exod13:1-Exod13:16" TargetMode="External"/><Relationship Id="rId2387" Type="http://schemas.openxmlformats.org/officeDocument/2006/relationships/hyperlink" Target="https://ref.ly/Exod16:1-Exod16:6" TargetMode="External"/><Relationship Id="rId2388" Type="http://schemas.openxmlformats.org/officeDocument/2006/relationships/hyperlink" Target="https://ref.ly/Exod19:24" TargetMode="External"/><Relationship Id="rId2389" Type="http://schemas.openxmlformats.org/officeDocument/2006/relationships/hyperlink" Target="https://ref.ly/Exod24:1-Exod24:8" TargetMode="External"/><Relationship Id="rId2390" Type="http://schemas.openxmlformats.org/officeDocument/2006/relationships/hyperlink" Target="https://ref.ly/Exod24:9-Exod24:10" TargetMode="External"/><Relationship Id="rId2391" Type="http://schemas.openxmlformats.org/officeDocument/2006/relationships/hyperlink" Target="https://ref.ly/Exod24:13-Exod24:14" TargetMode="External"/><Relationship Id="rId2392" Type="http://schemas.openxmlformats.org/officeDocument/2006/relationships/hyperlink" Target="https://ref.ly/Exod32:1-Exod32:4" TargetMode="External"/><Relationship Id="rId2393" Type="http://schemas.openxmlformats.org/officeDocument/2006/relationships/hyperlink" Target="https://ref.ly/Exod32:5" TargetMode="External"/><Relationship Id="rId2394" Type="http://schemas.openxmlformats.org/officeDocument/2006/relationships/hyperlink" Target="https://ref.ly/Exod32:6" TargetMode="External"/><Relationship Id="rId2395" Type="http://schemas.openxmlformats.org/officeDocument/2006/relationships/hyperlink" Target="https://ref.ly/Exod32:7-Exod32:14" TargetMode="External"/><Relationship Id="rId2396" Type="http://schemas.openxmlformats.org/officeDocument/2006/relationships/hyperlink" Target="https://ref.ly/Exod32:21-Exod32:24" TargetMode="External"/><Relationship Id="rId2397" Type="http://schemas.openxmlformats.org/officeDocument/2006/relationships/hyperlink" Target="https://ref.ly/Exod32:25-Exod32:28" TargetMode="External"/><Relationship Id="rId2398" Type="http://schemas.openxmlformats.org/officeDocument/2006/relationships/hyperlink" Target="https://ref.ly/Exod32:35" TargetMode="External"/><Relationship Id="rId2399" Type="http://schemas.openxmlformats.org/officeDocument/2006/relationships/hyperlink" Target="https://ref.ly/Deut9:20" TargetMode="External"/><Relationship Id="rId2400" Type="http://schemas.openxmlformats.org/officeDocument/2006/relationships/hyperlink" Target="https://ref.ly/Num1:1-Num1:3" TargetMode="External"/><Relationship Id="rId2401" Type="http://schemas.openxmlformats.org/officeDocument/2006/relationships/hyperlink" Target="https://ref.ly/Num12:1-Num12:4" TargetMode="External"/><Relationship Id="rId2402" Type="http://schemas.openxmlformats.org/officeDocument/2006/relationships/hyperlink" Target="https://ref.ly/Num12:5-Num12:15" TargetMode="External"/><Relationship Id="rId2403" Type="http://schemas.openxmlformats.org/officeDocument/2006/relationships/hyperlink" Target="https://ref.ly/Num14:1-Num14:5" TargetMode="External"/><Relationship Id="rId2404" Type="http://schemas.openxmlformats.org/officeDocument/2006/relationships/hyperlink" Target="https://ref.ly/Num16:1-Num16:50" TargetMode="External"/><Relationship Id="rId2405" Type="http://schemas.openxmlformats.org/officeDocument/2006/relationships/hyperlink" Target="https://ref.ly/Num20:1-Num20:12" TargetMode="External"/><Relationship Id="rId2406" Type="http://schemas.openxmlformats.org/officeDocument/2006/relationships/hyperlink" Target="https://ref.ly/Num20:23-Num20:29" TargetMode="External"/><Relationship Id="rId2407" Type="http://schemas.openxmlformats.org/officeDocument/2006/relationships/hyperlink" Target="https://ref.ly/Num33:38-Num33:39" TargetMode="External"/><Relationship Id="rId2408" Type="http://schemas.openxmlformats.org/officeDocument/2006/relationships/hyperlink" Target="https://ref.ly/2Kgs19:37" TargetMode="External"/><Relationship Id="rId2409" Type="http://schemas.openxmlformats.org/officeDocument/2006/relationships/hyperlink" Target="https://ref.ly/Isa37:38" TargetMode="External"/><Relationship Id="rId2410" Type="http://schemas.openxmlformats.org/officeDocument/2006/relationships/hyperlink" Target="https://ref.ly/Gen8:4" TargetMode="External"/><Relationship Id="rId2411" Type="http://schemas.openxmlformats.org/officeDocument/2006/relationships/hyperlink" Target="https://ref.ly/Acts17:28" TargetMode="External"/><Relationship Id="rId2412" Type="http://schemas.openxmlformats.org/officeDocument/2006/relationships/hyperlink" Target="https://ref.ly/2Sam24:15-2Sam24:16" TargetMode="External"/><Relationship Id="rId2413" Type="http://schemas.openxmlformats.org/officeDocument/2006/relationships/hyperlink" Target="https://ref.ly/2Sam24:17-2Sam24:25" TargetMode="External"/><Relationship Id="rId2414" Type="http://schemas.openxmlformats.org/officeDocument/2006/relationships/hyperlink" Target="https://ref.ly/2Sam24:24" TargetMode="External"/><Relationship Id="rId2415" Type="http://schemas.openxmlformats.org/officeDocument/2006/relationships/hyperlink" Target="https://ref.ly/1Chr21:15-1Chr21:16" TargetMode="External"/><Relationship Id="rId2416" Type="http://schemas.openxmlformats.org/officeDocument/2006/relationships/hyperlink" Target="https://ref.ly/1Chr21:27-1Chr21:30" TargetMode="External"/><Relationship Id="rId2417" Type="http://schemas.openxmlformats.org/officeDocument/2006/relationships/hyperlink" Target="https://ref.ly/1Chr22:1" TargetMode="External"/><Relationship Id="rId2418" Type="http://schemas.openxmlformats.org/officeDocument/2006/relationships/hyperlink" Target="https://ref.ly/2Chr3:1" TargetMode="External"/><Relationship Id="rId2419" Type="http://schemas.openxmlformats.org/officeDocument/2006/relationships/hyperlink" Target="https://ref.ly/Gen22:2" TargetMode="External"/><Relationship Id="rId2420" Type="http://schemas.openxmlformats.org/officeDocument/2006/relationships/hyperlink" Target="https://ref.ly/2Sam8:3" TargetMode="External"/><Relationship Id="rId2421" Type="http://schemas.openxmlformats.org/officeDocument/2006/relationships/hyperlink" Target="https://ref.ly/Ps60:1-Ps60:12" TargetMode="External"/><Relationship Id="rId2422" Type="http://schemas.openxmlformats.org/officeDocument/2006/relationships/hyperlink" Target="https://ref.ly/Exod25:10-Exod25:22" TargetMode="External"/><Relationship Id="rId2423" Type="http://schemas.openxmlformats.org/officeDocument/2006/relationships/hyperlink" Target="https://ref.ly/2Kgs12:9-2Kgs12:10" TargetMode="External"/><Relationship Id="rId2424" Type="http://schemas.openxmlformats.org/officeDocument/2006/relationships/hyperlink" Target="https://ref.ly/Gen50:26" TargetMode="External"/><Relationship Id="rId2425" Type="http://schemas.openxmlformats.org/officeDocument/2006/relationships/hyperlink" Target="https://ref.ly/Exod31:1-Exod31:5" TargetMode="External"/><Relationship Id="rId2426" Type="http://schemas.openxmlformats.org/officeDocument/2006/relationships/hyperlink" Target="https://ref.ly/Exod37:1-Exod37:9" TargetMode="External"/><Relationship Id="rId2427" Type="http://schemas.openxmlformats.org/officeDocument/2006/relationships/hyperlink" Target="https://ref.ly/Exod25:16" TargetMode="External"/><Relationship Id="rId2428" Type="http://schemas.openxmlformats.org/officeDocument/2006/relationships/hyperlink" Target="https://ref.ly/Exod16:33" TargetMode="External"/><Relationship Id="rId2429" Type="http://schemas.openxmlformats.org/officeDocument/2006/relationships/hyperlink" Target="https://ref.ly/Num17:10" TargetMode="External"/><Relationship Id="rId2430" Type="http://schemas.openxmlformats.org/officeDocument/2006/relationships/hyperlink" Target="https://ref.ly/Heb9:4" TargetMode="External"/><Relationship Id="rId2431" Type="http://schemas.openxmlformats.org/officeDocument/2006/relationships/hyperlink" Target="https://ref.ly/Exod25:17" TargetMode="External"/><Relationship Id="rId2432" Type="http://schemas.openxmlformats.org/officeDocument/2006/relationships/hyperlink" Target="https://ref.ly/Lev16:2-Lev16:16" TargetMode="External"/><Relationship Id="rId2433" Type="http://schemas.openxmlformats.org/officeDocument/2006/relationships/hyperlink" Target="https://ref.ly/Num7:89" TargetMode="External"/><Relationship Id="rId2434" Type="http://schemas.openxmlformats.org/officeDocument/2006/relationships/hyperlink" Target="https://ref.ly/Exod37:1" TargetMode="External"/><Relationship Id="rId2435" Type="http://schemas.openxmlformats.org/officeDocument/2006/relationships/hyperlink" Target="https://ref.ly/Num3:31" TargetMode="External"/><Relationship Id="rId2436" Type="http://schemas.openxmlformats.org/officeDocument/2006/relationships/hyperlink" Target="https://ref.ly/Num4:5" TargetMode="External"/><Relationship Id="rId2437" Type="http://schemas.openxmlformats.org/officeDocument/2006/relationships/hyperlink" Target="https://ref.ly/Josh4:16" TargetMode="External"/><Relationship Id="rId2438" Type="http://schemas.openxmlformats.org/officeDocument/2006/relationships/hyperlink" Target="https://ref.ly/Exod6:6-Exod6:7" TargetMode="External"/><Relationship Id="rId2439" Type="http://schemas.openxmlformats.org/officeDocument/2006/relationships/hyperlink" Target="https://ref.ly/1Chr28:18" TargetMode="External"/><Relationship Id="rId2440" Type="http://schemas.openxmlformats.org/officeDocument/2006/relationships/hyperlink" Target="https://ref.ly/1Sam6:19" TargetMode="External"/><Relationship Id="rId2441" Type="http://schemas.openxmlformats.org/officeDocument/2006/relationships/hyperlink" Target="https://ref.ly/2Sam6:6-2Sam6:9" TargetMode="External"/><Relationship Id="rId2442" Type="http://schemas.openxmlformats.org/officeDocument/2006/relationships/hyperlink" Target="https://ref.ly/Exod26:31-Exod26:33" TargetMode="External"/><Relationship Id="rId2443" Type="http://schemas.openxmlformats.org/officeDocument/2006/relationships/hyperlink" Target="https://ref.ly/Heb9:3-Heb9:5" TargetMode="External"/><Relationship Id="rId2444" Type="http://schemas.openxmlformats.org/officeDocument/2006/relationships/hyperlink" Target="https://ref.ly/Lev16:2" TargetMode="External"/><Relationship Id="rId2445" Type="http://schemas.openxmlformats.org/officeDocument/2006/relationships/hyperlink" Target="https://ref.ly/Num10:33-Num10:36" TargetMode="External"/><Relationship Id="rId2446" Type="http://schemas.openxmlformats.org/officeDocument/2006/relationships/hyperlink" Target="https://ref.ly/Num4:1-Num4:49" TargetMode="External"/><Relationship Id="rId2447" Type="http://schemas.openxmlformats.org/officeDocument/2006/relationships/hyperlink" Target="https://ref.ly/Num14:44" TargetMode="External"/><Relationship Id="rId2448" Type="http://schemas.openxmlformats.org/officeDocument/2006/relationships/hyperlink" Target="https://ref.ly/Josh3:13-Josh3:17" TargetMode="External"/><Relationship Id="rId2449" Type="http://schemas.openxmlformats.org/officeDocument/2006/relationships/hyperlink" Target="https://ref.ly/Josh4:9-Josh4:10" TargetMode="External"/><Relationship Id="rId2450" Type="http://schemas.openxmlformats.org/officeDocument/2006/relationships/hyperlink" Target="https://ref.ly/Josh6:6-Josh6:11" TargetMode="External"/><Relationship Id="rId2451" Type="http://schemas.openxmlformats.org/officeDocument/2006/relationships/hyperlink" Target="https://ref.ly/Josh8:33" TargetMode="External"/><Relationship Id="rId2452" Type="http://schemas.openxmlformats.org/officeDocument/2006/relationships/hyperlink" Target="https://ref.ly/Judg20:27" TargetMode="External"/><Relationship Id="rId2453" Type="http://schemas.openxmlformats.org/officeDocument/2006/relationships/hyperlink" Target="https://ref.ly/1Sam4:1-1Sam4:10" TargetMode="External"/><Relationship Id="rId2454" Type="http://schemas.openxmlformats.org/officeDocument/2006/relationships/hyperlink" Target="https://ref.ly/1Sam4:11" TargetMode="External"/><Relationship Id="rId2455" Type="http://schemas.openxmlformats.org/officeDocument/2006/relationships/hyperlink" Target="https://ref.ly/1Sam4:13-1Sam4:22" TargetMode="External"/><Relationship Id="rId2456" Type="http://schemas.openxmlformats.org/officeDocument/2006/relationships/hyperlink" Target="https://ref.ly/1Sam5:1-1Sam6:21" TargetMode="External"/><Relationship Id="rId2457" Type="http://schemas.openxmlformats.org/officeDocument/2006/relationships/hyperlink" Target="https://ref.ly/1Sam6:21" TargetMode="External"/><Relationship Id="rId2458" Type="http://schemas.openxmlformats.org/officeDocument/2006/relationships/hyperlink" Target="https://ref.ly/1Sam7:2" TargetMode="External"/><Relationship Id="rId2459" Type="http://schemas.openxmlformats.org/officeDocument/2006/relationships/hyperlink" Target="https://ref.ly/2Sam6:1-2Sam6:17" TargetMode="External"/><Relationship Id="rId2460" Type="http://schemas.openxmlformats.org/officeDocument/2006/relationships/hyperlink" Target="https://ref.ly/Ps132:1-Ps132:18" TargetMode="External"/><Relationship Id="rId2461" Type="http://schemas.openxmlformats.org/officeDocument/2006/relationships/hyperlink" Target="https://ref.ly/Ps132:8" TargetMode="External"/><Relationship Id="rId2462" Type="http://schemas.openxmlformats.org/officeDocument/2006/relationships/hyperlink" Target="https://ref.ly/Josh21:43-Josh21:45" TargetMode="External"/><Relationship Id="rId2463" Type="http://schemas.openxmlformats.org/officeDocument/2006/relationships/hyperlink" Target="https://ref.ly/2Sam7:1-2Sam7:17" TargetMode="External"/><Relationship Id="rId2464" Type="http://schemas.openxmlformats.org/officeDocument/2006/relationships/hyperlink" Target="https://ref.ly/Gen9:8-Gen9:17" TargetMode="External"/><Relationship Id="rId2465" Type="http://schemas.openxmlformats.org/officeDocument/2006/relationships/hyperlink" Target="https://ref.ly/Rev4:3" TargetMode="External"/><Relationship Id="rId2466" Type="http://schemas.openxmlformats.org/officeDocument/2006/relationships/hyperlink" Target="https://ref.ly/Rev10:1" TargetMode="External"/><Relationship Id="rId2467" Type="http://schemas.openxmlformats.org/officeDocument/2006/relationships/hyperlink" Target="https://ref.ly/Num26:40" TargetMode="External"/><Relationship Id="rId2468" Type="http://schemas.openxmlformats.org/officeDocument/2006/relationships/hyperlink" Target="https://ref.ly/1Chr8:3" TargetMode="External"/><Relationship Id="rId2469" Type="http://schemas.openxmlformats.org/officeDocument/2006/relationships/hyperlink" Target="https://ref.ly/Gen46:16" TargetMode="External"/><Relationship Id="rId2470" Type="http://schemas.openxmlformats.org/officeDocument/2006/relationships/hyperlink" Target="https://ref.ly/Num25:6-Num25:18" TargetMode="External"/><Relationship Id="rId2471" Type="http://schemas.openxmlformats.org/officeDocument/2006/relationships/hyperlink" Target="https://ref.ly/Num26:17" TargetMode="External"/><Relationship Id="rId2472" Type="http://schemas.openxmlformats.org/officeDocument/2006/relationships/hyperlink" Target="https://ref.ly/Acts17:19" TargetMode="External"/><Relationship Id="rId2473" Type="http://schemas.openxmlformats.org/officeDocument/2006/relationships/hyperlink" Target="https://ref.ly/Acts17:16-Acts17:21" TargetMode="External"/><Relationship Id="rId2474" Type="http://schemas.openxmlformats.org/officeDocument/2006/relationships/hyperlink" Target="https://ref.ly/Acts17:22-Acts17:31" TargetMode="External"/><Relationship Id="rId2475" Type="http://schemas.openxmlformats.org/officeDocument/2006/relationships/hyperlink" Target="https://ref.ly/Acts17:32-Acts17:34" TargetMode="External"/><Relationship Id="rId2476" Type="http://schemas.openxmlformats.org/officeDocument/2006/relationships/hyperlink" Target="https://ref.ly/Gen25:12-Gen25:16" TargetMode="External"/><Relationship Id="rId2477" Type="http://schemas.openxmlformats.org/officeDocument/2006/relationships/hyperlink" Target="https://ref.ly/1Chr1:29" TargetMode="External"/><Relationship Id="rId2478" Type="http://schemas.openxmlformats.org/officeDocument/2006/relationships/hyperlink" Target="https://ref.ly/2Macc5:8" TargetMode="External"/><Relationship Id="rId2479" Type="http://schemas.openxmlformats.org/officeDocument/2006/relationships/hyperlink" Target="https://ref.ly/1Macc5:24-1Macc5:28" TargetMode="External"/><Relationship Id="rId2480" Type="http://schemas.openxmlformats.org/officeDocument/2006/relationships/hyperlink" Target="https://ref.ly/1Macc9:35" TargetMode="External"/><Relationship Id="rId2481" Type="http://schemas.openxmlformats.org/officeDocument/2006/relationships/hyperlink" Target="https://ref.ly/2Cor11:32-2Cor11:33" TargetMode="External"/><Relationship Id="rId2482" Type="http://schemas.openxmlformats.org/officeDocument/2006/relationships/hyperlink" Target="https://ref.ly/Gen10:22-Gen10:24" TargetMode="External"/><Relationship Id="rId2483" Type="http://schemas.openxmlformats.org/officeDocument/2006/relationships/hyperlink" Target="https://ref.ly/Gen11:10-Gen11:13" TargetMode="External"/><Relationship Id="rId2484" Type="http://schemas.openxmlformats.org/officeDocument/2006/relationships/hyperlink" Target="https://ref.ly/1Chr1:17-1Chr1:18,1Chr1:24" TargetMode="External"/><Relationship Id="rId2485" Type="http://schemas.openxmlformats.org/officeDocument/2006/relationships/hyperlink" Target="https://ref.ly/Luke3:36" TargetMode="External"/><Relationship Id="rId2486" Type="http://schemas.openxmlformats.org/officeDocument/2006/relationships/hyperlink" Target="https://ref.ly/Gen11:10" TargetMode="External"/><Relationship Id="rId2487" Type="http://schemas.openxmlformats.org/officeDocument/2006/relationships/hyperlink" Target="https://ref.ly/1Chr1:17-1Chr1:25" TargetMode="External"/><Relationship Id="rId2488" Type="http://schemas.openxmlformats.org/officeDocument/2006/relationships/hyperlink" Target="https://ref.ly/Luke3:35-Luke3:36" TargetMode="External"/><Relationship Id="rId2489" Type="http://schemas.openxmlformats.org/officeDocument/2006/relationships/hyperlink" Target="https://ref.ly/Num21:33-Num21:35" TargetMode="External"/><Relationship Id="rId2490" Type="http://schemas.openxmlformats.org/officeDocument/2006/relationships/hyperlink" Target="https://ref.ly/Deut3:4" TargetMode="External"/><Relationship Id="rId2491" Type="http://schemas.openxmlformats.org/officeDocument/2006/relationships/hyperlink" Target="https://ref.ly/Deut3:14" TargetMode="External"/><Relationship Id="rId2492" Type="http://schemas.openxmlformats.org/officeDocument/2006/relationships/hyperlink" Target="https://ref.ly/Deut3:13-Deut3:14" TargetMode="External"/><Relationship Id="rId2493" Type="http://schemas.openxmlformats.org/officeDocument/2006/relationships/hyperlink" Target="https://ref.ly/1Kgs4:13" TargetMode="External"/><Relationship Id="rId2494" Type="http://schemas.openxmlformats.org/officeDocument/2006/relationships/hyperlink" Target="https://ref.ly/Gen14:1-Gen14:16" TargetMode="External"/><Relationship Id="rId2495" Type="http://schemas.openxmlformats.org/officeDocument/2006/relationships/hyperlink" Target="https://ref.ly/Dan2:14-Dan2:25" TargetMode="External"/><Relationship Id="rId2496" Type="http://schemas.openxmlformats.org/officeDocument/2006/relationships/hyperlink" Target="https://ref.ly/Acts19:29" TargetMode="External"/><Relationship Id="rId2497" Type="http://schemas.openxmlformats.org/officeDocument/2006/relationships/hyperlink" Target="https://ref.ly/Acts20:4" TargetMode="External"/><Relationship Id="rId2498" Type="http://schemas.openxmlformats.org/officeDocument/2006/relationships/hyperlink" Target="https://ref.ly/Acts27:1-Acts27:2" TargetMode="External"/><Relationship Id="rId2499" Type="http://schemas.openxmlformats.org/officeDocument/2006/relationships/hyperlink" Target="https://ref.ly/Phlm1:24" TargetMode="External"/><Relationship Id="rId2500" Type="http://schemas.openxmlformats.org/officeDocument/2006/relationships/hyperlink" Target="https://ref.ly/Col4:10-Col4:11" TargetMode="External"/><Relationship Id="rId2501" Type="http://schemas.openxmlformats.org/officeDocument/2006/relationships/hyperlink" Target="https://ref.ly/2Kgs13:16" TargetMode="External"/><Relationship Id="rId2502" Type="http://schemas.openxmlformats.org/officeDocument/2006/relationships/hyperlink" Target="https://ref.ly/2Sam22:35" TargetMode="External"/><Relationship Id="rId2503" Type="http://schemas.openxmlformats.org/officeDocument/2006/relationships/hyperlink" Target="https://ref.ly/Jer51:3" TargetMode="External"/><Relationship Id="rId2504" Type="http://schemas.openxmlformats.org/officeDocument/2006/relationships/hyperlink" Target="https://ref.ly/1Sam17:40" TargetMode="External"/><Relationship Id="rId2505" Type="http://schemas.openxmlformats.org/officeDocument/2006/relationships/hyperlink" Target="https://ref.ly/Judg20:16" TargetMode="External"/><Relationship Id="rId2506" Type="http://schemas.openxmlformats.org/officeDocument/2006/relationships/hyperlink" Target="https://ref.ly/1Sam17:40-1Sam17:51" TargetMode="External"/><Relationship Id="rId2507" Type="http://schemas.openxmlformats.org/officeDocument/2006/relationships/hyperlink" Target="https://ref.ly/1Sam17:48-1Sam17:49" TargetMode="External"/><Relationship Id="rId2508" Type="http://schemas.openxmlformats.org/officeDocument/2006/relationships/hyperlink" Target="https://ref.ly/Num25:7-Num25:8" TargetMode="External"/><Relationship Id="rId2509" Type="http://schemas.openxmlformats.org/officeDocument/2006/relationships/hyperlink" Target="https://ref.ly/1Sam26:7" TargetMode="External"/><Relationship Id="rId2510" Type="http://schemas.openxmlformats.org/officeDocument/2006/relationships/hyperlink" Target="https://ref.ly/2Sam2:23" TargetMode="External"/><Relationship Id="rId2511" Type="http://schemas.openxmlformats.org/officeDocument/2006/relationships/hyperlink" Target="https://ref.ly/Josh8:24" TargetMode="External"/><Relationship Id="rId2512" Type="http://schemas.openxmlformats.org/officeDocument/2006/relationships/hyperlink" Target="https://ref.ly/Josh10:28-Josh10:39" TargetMode="External"/><Relationship Id="rId2513" Type="http://schemas.openxmlformats.org/officeDocument/2006/relationships/hyperlink" Target="https://ref.ly/1Sam13:19-1Sam13:22" TargetMode="External"/><Relationship Id="rId2514" Type="http://schemas.openxmlformats.org/officeDocument/2006/relationships/hyperlink" Target="https://ref.ly/Ps2:9" TargetMode="External"/><Relationship Id="rId2515" Type="http://schemas.openxmlformats.org/officeDocument/2006/relationships/hyperlink" Target="https://ref.ly/Judg9:54" TargetMode="External"/><Relationship Id="rId2516" Type="http://schemas.openxmlformats.org/officeDocument/2006/relationships/hyperlink" Target="https://ref.ly/1Sam14:1" TargetMode="External"/><Relationship Id="rId2517" Type="http://schemas.openxmlformats.org/officeDocument/2006/relationships/hyperlink" Target="https://ref.ly/1Sam17:7" TargetMode="External"/><Relationship Id="rId2518" Type="http://schemas.openxmlformats.org/officeDocument/2006/relationships/hyperlink" Target="https://ref.ly/2Sam18:15" TargetMode="External"/><Relationship Id="rId2519" Type="http://schemas.openxmlformats.org/officeDocument/2006/relationships/hyperlink" Target="https://ref.ly/1Sam17:41" TargetMode="External"/><Relationship Id="rId2520" Type="http://schemas.openxmlformats.org/officeDocument/2006/relationships/hyperlink" Target="https://ref.ly/Ps16:8" TargetMode="External"/><Relationship Id="rId2521" Type="http://schemas.openxmlformats.org/officeDocument/2006/relationships/hyperlink" Target="https://ref.ly/2Sam1:21" TargetMode="External"/><Relationship Id="rId2522" Type="http://schemas.openxmlformats.org/officeDocument/2006/relationships/hyperlink" Target="https://ref.ly/1Sam17:5,1Sam17:38" TargetMode="External"/><Relationship Id="rId2523" Type="http://schemas.openxmlformats.org/officeDocument/2006/relationships/hyperlink" Target="https://ref.ly/2Chr26:14" TargetMode="External"/><Relationship Id="rId2524" Type="http://schemas.openxmlformats.org/officeDocument/2006/relationships/hyperlink" Target="https://ref.ly/Num21:13-Num21:15" TargetMode="External"/><Relationship Id="rId2525" Type="http://schemas.openxmlformats.org/officeDocument/2006/relationships/hyperlink" Target="https://ref.ly/Deut3:12,Deut3:16" TargetMode="External"/><Relationship Id="rId2526" Type="http://schemas.openxmlformats.org/officeDocument/2006/relationships/hyperlink" Target="https://ref.ly/Josh13:16" TargetMode="External"/><Relationship Id="rId2527" Type="http://schemas.openxmlformats.org/officeDocument/2006/relationships/hyperlink" Target="https://ref.ly/Josh13:9" TargetMode="External"/><Relationship Id="rId2528" Type="http://schemas.openxmlformats.org/officeDocument/2006/relationships/hyperlink" Target="https://ref.ly/Deut2:36" TargetMode="External"/><Relationship Id="rId2529" Type="http://schemas.openxmlformats.org/officeDocument/2006/relationships/hyperlink" Target="https://ref.ly/Deut3:12" TargetMode="External"/><Relationship Id="rId2530" Type="http://schemas.openxmlformats.org/officeDocument/2006/relationships/hyperlink" Target="https://ref.ly/Josh12:2" TargetMode="External"/><Relationship Id="rId2531" Type="http://schemas.openxmlformats.org/officeDocument/2006/relationships/hyperlink" Target="https://ref.ly/Num32:34" TargetMode="External"/><Relationship Id="rId2532" Type="http://schemas.openxmlformats.org/officeDocument/2006/relationships/hyperlink" Target="https://ref.ly/Judg11:26" TargetMode="External"/><Relationship Id="rId2533" Type="http://schemas.openxmlformats.org/officeDocument/2006/relationships/hyperlink" Target="https://ref.ly/2Sam24:5" TargetMode="External"/><Relationship Id="rId2534" Type="http://schemas.openxmlformats.org/officeDocument/2006/relationships/hyperlink" Target="https://ref.ly/Jer48:19" TargetMode="External"/><Relationship Id="rId2535" Type="http://schemas.openxmlformats.org/officeDocument/2006/relationships/hyperlink" Target="https://ref.ly/2Kgs10:33" TargetMode="External"/><Relationship Id="rId2536" Type="http://schemas.openxmlformats.org/officeDocument/2006/relationships/hyperlink" Target="https://ref.ly/Josh13:25" TargetMode="External"/><Relationship Id="rId2537" Type="http://schemas.openxmlformats.org/officeDocument/2006/relationships/hyperlink" Target="https://ref.ly/Judg11:33" TargetMode="External"/><Relationship Id="rId2538" Type="http://schemas.openxmlformats.org/officeDocument/2006/relationships/hyperlink" Target="https://ref.ly/1Sam30:28" TargetMode="External"/><Relationship Id="rId2539" Type="http://schemas.openxmlformats.org/officeDocument/2006/relationships/hyperlink" Target="https://ref.ly/1Chr11:44" TargetMode="External"/><Relationship Id="rId2540" Type="http://schemas.openxmlformats.org/officeDocument/2006/relationships/hyperlink" Target="https://ref.ly/Isa17:2" TargetMode="External"/><Relationship Id="rId2541" Type="http://schemas.openxmlformats.org/officeDocument/2006/relationships/hyperlink" Target="https://ref.ly/Ps115:10,Ps115:12" TargetMode="External"/><Relationship Id="rId2542" Type="http://schemas.openxmlformats.org/officeDocument/2006/relationships/hyperlink" Target="https://ref.ly/Ps118:3" TargetMode="External"/><Relationship Id="rId2543" Type="http://schemas.openxmlformats.org/officeDocument/2006/relationships/hyperlink" Target="https://ref.ly/Ps135:19" TargetMode="External"/><Relationship Id="rId2544" Type="http://schemas.openxmlformats.org/officeDocument/2006/relationships/hyperlink" Target="https://ref.ly/1Chr27:17" TargetMode="External"/><Relationship Id="rId2545" Type="http://schemas.openxmlformats.org/officeDocument/2006/relationships/hyperlink" Target="https://ref.ly/Gen21:20" TargetMode="External"/><Relationship Id="rId2546" Type="http://schemas.openxmlformats.org/officeDocument/2006/relationships/hyperlink" Target="https://ref.ly/Gen27:3" TargetMode="External"/><Relationship Id="rId2547" Type="http://schemas.openxmlformats.org/officeDocument/2006/relationships/hyperlink" Target="https://ref.ly/Gen48:22" TargetMode="External"/><Relationship Id="rId2548" Type="http://schemas.openxmlformats.org/officeDocument/2006/relationships/hyperlink" Target="https://ref.ly/Isa7:24" TargetMode="External"/><Relationship Id="rId2549" Type="http://schemas.openxmlformats.org/officeDocument/2006/relationships/hyperlink" Target="https://ref.ly/Ezek39:9" TargetMode="External"/><Relationship Id="rId2550" Type="http://schemas.openxmlformats.org/officeDocument/2006/relationships/hyperlink" Target="https://ref.ly/Hos1:7" TargetMode="External"/><Relationship Id="rId2551" Type="http://schemas.openxmlformats.org/officeDocument/2006/relationships/hyperlink" Target="https://ref.ly/1Sam18:4" TargetMode="External"/><Relationship Id="rId2552" Type="http://schemas.openxmlformats.org/officeDocument/2006/relationships/hyperlink" Target="https://ref.ly/1Chr12:2" TargetMode="External"/><Relationship Id="rId2553" Type="http://schemas.openxmlformats.org/officeDocument/2006/relationships/hyperlink" Target="https://ref.ly/2Chr17:17" TargetMode="External"/><Relationship Id="rId2554" Type="http://schemas.openxmlformats.org/officeDocument/2006/relationships/hyperlink" Target="https://ref.ly/Job16:13" TargetMode="External"/><Relationship Id="rId2555" Type="http://schemas.openxmlformats.org/officeDocument/2006/relationships/hyperlink" Target="https://ref.ly/Ps11:2" TargetMode="External"/><Relationship Id="rId2556" Type="http://schemas.openxmlformats.org/officeDocument/2006/relationships/hyperlink" Target="https://ref.ly/Ps7:13" TargetMode="External"/><Relationship Id="rId2557" Type="http://schemas.openxmlformats.org/officeDocument/2006/relationships/hyperlink" Target="https://ref.ly/Ps38:2" TargetMode="External"/><Relationship Id="rId2558" Type="http://schemas.openxmlformats.org/officeDocument/2006/relationships/hyperlink" Target="https://ref.ly/Ps64:7" TargetMode="External"/><Relationship Id="rId2559" Type="http://schemas.openxmlformats.org/officeDocument/2006/relationships/hyperlink" Target="https://ref.ly/Gen15:2-Gen15:4" TargetMode="External"/><Relationship Id="rId2560" Type="http://schemas.openxmlformats.org/officeDocument/2006/relationships/hyperlink" Target="https://ref.ly/Gen48:13-Gen48:22" TargetMode="External"/><Relationship Id="rId2561" Type="http://schemas.openxmlformats.org/officeDocument/2006/relationships/hyperlink" Target="https://ref.ly/Gen25:31-Gen25:34" TargetMode="External"/><Relationship Id="rId2562" Type="http://schemas.openxmlformats.org/officeDocument/2006/relationships/hyperlink" Target="https://ref.ly/Gen50:2-Gen50:3" TargetMode="External"/><Relationship Id="rId2563" Type="http://schemas.openxmlformats.org/officeDocument/2006/relationships/hyperlink" Target="https://ref.ly/1Kgs6:1-1Kgs6:38" TargetMode="External"/><Relationship Id="rId2564" Type="http://schemas.openxmlformats.org/officeDocument/2006/relationships/hyperlink" Target="https://ref.ly/Josh6:17" TargetMode="External"/><Relationship Id="rId2565" Type="http://schemas.openxmlformats.org/officeDocument/2006/relationships/hyperlink" Target="https://ref.ly/1Sam17:38-1Sam17:54" TargetMode="External"/><Relationship Id="rId2566" Type="http://schemas.openxmlformats.org/officeDocument/2006/relationships/hyperlink" Target="https://ref.ly/1Sam17:38" TargetMode="External"/><Relationship Id="rId2567" Type="http://schemas.openxmlformats.org/officeDocument/2006/relationships/hyperlink" Target="https://ref.ly/1Macc6:35" TargetMode="External"/><Relationship Id="rId2568" Type="http://schemas.openxmlformats.org/officeDocument/2006/relationships/hyperlink" Target="https://ref.ly/2Chr14:8" TargetMode="External"/><Relationship Id="rId2569" Type="http://schemas.openxmlformats.org/officeDocument/2006/relationships/hyperlink" Target="https://ref.ly/Jer46:4" TargetMode="External"/><Relationship Id="rId2570" Type="http://schemas.openxmlformats.org/officeDocument/2006/relationships/hyperlink" Target="https://ref.ly/Isa21:17" TargetMode="External"/><Relationship Id="rId2571" Type="http://schemas.openxmlformats.org/officeDocument/2006/relationships/hyperlink" Target="https://ref.ly/Exod20:1-Exod20:17" TargetMode="External"/><Relationship Id="rId2572" Type="http://schemas.openxmlformats.org/officeDocument/2006/relationships/hyperlink" Target="https://ref.ly/Lev18:1-Lev18:30" TargetMode="External"/><Relationship Id="rId2573" Type="http://schemas.openxmlformats.org/officeDocument/2006/relationships/hyperlink" Target="https://ref.ly/Deut1:1-Deut31:30" TargetMode="External"/><Relationship Id="rId2574" Type="http://schemas.openxmlformats.org/officeDocument/2006/relationships/hyperlink" Target="https://ref.ly/Jer31:31-Jer31:37" TargetMode="External"/><Relationship Id="rId2575" Type="http://schemas.openxmlformats.org/officeDocument/2006/relationships/hyperlink" Target="https://ref.ly/Prov22:17-Prov24:22" TargetMode="External"/><Relationship Id="rId2576" Type="http://schemas.openxmlformats.org/officeDocument/2006/relationships/hyperlink" Target="https://ref.ly/2Sam11:1-2Sam11:27" TargetMode="External"/><Relationship Id="rId2577" Type="http://schemas.openxmlformats.org/officeDocument/2006/relationships/hyperlink" Target="https://ref.ly/1Kgs21:1-1Kgs21:29" TargetMode="External"/><Relationship Id="rId2578" Type="http://schemas.openxmlformats.org/officeDocument/2006/relationships/hyperlink" Target="https://ref.ly/2Kgs5:10" TargetMode="External"/><Relationship Id="rId2579" Type="http://schemas.openxmlformats.org/officeDocument/2006/relationships/hyperlink" Target="https://ref.ly/Ezra4:6-Ezra4:7" TargetMode="External"/><Relationship Id="rId2580" Type="http://schemas.openxmlformats.org/officeDocument/2006/relationships/hyperlink" Target="https://ref.ly/Neh2:7" TargetMode="External"/><Relationship Id="rId2581" Type="http://schemas.openxmlformats.org/officeDocument/2006/relationships/hyperlink" Target="https://ref.ly/Gen1:1" TargetMode="External"/><Relationship Id="rId2582" Type="http://schemas.openxmlformats.org/officeDocument/2006/relationships/hyperlink" Target="https://ref.ly/Rev22:13" TargetMode="External"/><Relationship Id="rId2583" Type="http://schemas.openxmlformats.org/officeDocument/2006/relationships/hyperlink" Target="https://ref.ly/Gen10:17" TargetMode="External"/><Relationship Id="rId2584" Type="http://schemas.openxmlformats.org/officeDocument/2006/relationships/hyperlink" Target="https://ref.ly/1Chr1:15" TargetMode="External"/><Relationship Id="rId2585" Type="http://schemas.openxmlformats.org/officeDocument/2006/relationships/hyperlink" Target="https://ref.ly/Josh16:2" TargetMode="External"/><Relationship Id="rId2586" Type="http://schemas.openxmlformats.org/officeDocument/2006/relationships/hyperlink" Target="https://ref.ly/Acts17:16" TargetMode="External"/><Relationship Id="rId2587" Type="http://schemas.openxmlformats.org/officeDocument/2006/relationships/hyperlink" Target="https://ref.ly/Ezek26:9" TargetMode="External"/><Relationship Id="rId2588" Type="http://schemas.openxmlformats.org/officeDocument/2006/relationships/hyperlink" Target="https://ref.ly/Acts9:25" TargetMode="External"/><Relationship Id="rId2589" Type="http://schemas.openxmlformats.org/officeDocument/2006/relationships/hyperlink" Target="https://ref.ly/2Cor11:33" TargetMode="External"/><Relationship Id="rId2590" Type="http://schemas.openxmlformats.org/officeDocument/2006/relationships/hyperlink" Target="https://ref.ly/Isa45:1" TargetMode="External"/><Relationship Id="rId2591" Type="http://schemas.openxmlformats.org/officeDocument/2006/relationships/hyperlink" Target="https://ref.ly/Neh6:1" TargetMode="External"/><Relationship Id="rId2592" Type="http://schemas.openxmlformats.org/officeDocument/2006/relationships/hyperlink" Target="https://ref.ly/Isa45:2" TargetMode="External"/><Relationship Id="rId2593" Type="http://schemas.openxmlformats.org/officeDocument/2006/relationships/hyperlink" Target="https://ref.ly/Ps107:16" TargetMode="External"/><Relationship Id="rId2594" Type="http://schemas.openxmlformats.org/officeDocument/2006/relationships/hyperlink" Target="https://ref.ly/Judg16:3" TargetMode="External"/><Relationship Id="rId2595" Type="http://schemas.openxmlformats.org/officeDocument/2006/relationships/hyperlink" Target="https://ref.ly/2Chr26:9" TargetMode="External"/><Relationship Id="rId2596" Type="http://schemas.openxmlformats.org/officeDocument/2006/relationships/hyperlink" Target="https://ref.ly/2Kgs9:17" TargetMode="External"/><Relationship Id="rId2597" Type="http://schemas.openxmlformats.org/officeDocument/2006/relationships/hyperlink" Target="https://ref.ly/2Sam17:18" TargetMode="External"/><Relationship Id="rId2598" Type="http://schemas.openxmlformats.org/officeDocument/2006/relationships/hyperlink" Target="https://ref.ly/1Kgs17:19" TargetMode="External"/><Relationship Id="rId2599" Type="http://schemas.openxmlformats.org/officeDocument/2006/relationships/hyperlink" Target="https://ref.ly/1Kgs6:22" TargetMode="External"/><Relationship Id="rId2600" Type="http://schemas.openxmlformats.org/officeDocument/2006/relationships/hyperlink" Target="https://ref.ly/Acts20:21" TargetMode="External"/><Relationship Id="rId2601" Type="http://schemas.openxmlformats.org/officeDocument/2006/relationships/hyperlink" Target="https://ref.ly/Luke15:7" TargetMode="External"/><Relationship Id="rId2602" Type="http://schemas.openxmlformats.org/officeDocument/2006/relationships/hyperlink" Target="https://ref.ly/Acts11:18" TargetMode="External"/><Relationship Id="rId2603" Type="http://schemas.openxmlformats.org/officeDocument/2006/relationships/hyperlink" Target="https://ref.ly/Ps51:1-Ps51:19" TargetMode="External"/><Relationship Id="rId2604" Type="http://schemas.openxmlformats.org/officeDocument/2006/relationships/hyperlink" Target="https://ref.ly/Rev2:5" TargetMode="External"/><Relationship Id="rId2605" Type="http://schemas.openxmlformats.org/officeDocument/2006/relationships/hyperlink" Target="https://ref.ly/2Cor7:1-2Cor7:16" TargetMode="External"/><Relationship Id="rId2606" Type="http://schemas.openxmlformats.org/officeDocument/2006/relationships/hyperlink" Target="https://ref.ly/Matt3:2" TargetMode="External"/><Relationship Id="rId2607" Type="http://schemas.openxmlformats.org/officeDocument/2006/relationships/hyperlink" Target="https://ref.ly/Mark1:4" TargetMode="External"/><Relationship Id="rId2608" Type="http://schemas.openxmlformats.org/officeDocument/2006/relationships/hyperlink" Target="https://ref.ly/Mark1:15" TargetMode="External"/><Relationship Id="rId2609" Type="http://schemas.openxmlformats.org/officeDocument/2006/relationships/hyperlink" Target="https://ref.ly/Luke24:44-Luke24:49" TargetMode="External"/><Relationship Id="rId2610" Type="http://schemas.openxmlformats.org/officeDocument/2006/relationships/hyperlink" Target="https://ref.ly/Acts2:1-Acts2:47" TargetMode="External"/><Relationship Id="rId2611" Type="http://schemas.openxmlformats.org/officeDocument/2006/relationships/hyperlink" Target="https://ref.ly/Titus3:12" TargetMode="External"/><Relationship Id="rId2612" Type="http://schemas.openxmlformats.org/officeDocument/2006/relationships/hyperlink" Target="https://ref.ly/Gen4:22" TargetMode="External"/><Relationship Id="rId2613" Type="http://schemas.openxmlformats.org/officeDocument/2006/relationships/hyperlink" Target="https://ref.ly/1Chr29:5" TargetMode="External"/><Relationship Id="rId2614" Type="http://schemas.openxmlformats.org/officeDocument/2006/relationships/hyperlink" Target="https://ref.ly/2Chr34:11" TargetMode="External"/><Relationship Id="rId2615" Type="http://schemas.openxmlformats.org/officeDocument/2006/relationships/hyperlink" Target="https://ref.ly/Isa3:3" TargetMode="External"/><Relationship Id="rId2616" Type="http://schemas.openxmlformats.org/officeDocument/2006/relationships/hyperlink" Target="https://ref.ly/Ezek27:8,Ezek27:11" TargetMode="External"/><Relationship Id="rId2617" Type="http://schemas.openxmlformats.org/officeDocument/2006/relationships/hyperlink" Target="https://ref.ly/1Macc15:23" TargetMode="External"/><Relationship Id="rId2618" Type="http://schemas.openxmlformats.org/officeDocument/2006/relationships/hyperlink" Target="https://ref.ly/Gen10:18" TargetMode="External"/><Relationship Id="rId2619" Type="http://schemas.openxmlformats.org/officeDocument/2006/relationships/hyperlink" Target="https://ref.ly/1Chr1:16" TargetMode="External"/><Relationship Id="rId2620" Type="http://schemas.openxmlformats.org/officeDocument/2006/relationships/hyperlink" Target="https://ref.ly/Gen2:9" TargetMode="External"/><Relationship Id="rId2621" Type="http://schemas.openxmlformats.org/officeDocument/2006/relationships/hyperlink" Target="https://ref.ly/Gen2:8-Gen2:9" TargetMode="External"/><Relationship Id="rId2622" Type="http://schemas.openxmlformats.org/officeDocument/2006/relationships/hyperlink" Target="https://ref.ly/Gen2:17" TargetMode="External"/><Relationship Id="rId2623" Type="http://schemas.openxmlformats.org/officeDocument/2006/relationships/hyperlink" Target="https://ref.ly/Prov3:18" TargetMode="External"/><Relationship Id="rId2624" Type="http://schemas.openxmlformats.org/officeDocument/2006/relationships/hyperlink" Target="https://ref.ly/Prov11:30" TargetMode="External"/><Relationship Id="rId2625" Type="http://schemas.openxmlformats.org/officeDocument/2006/relationships/hyperlink" Target="https://ref.ly/Prov13:12" TargetMode="External"/><Relationship Id="rId2626" Type="http://schemas.openxmlformats.org/officeDocument/2006/relationships/hyperlink" Target="https://ref.ly/Prov15:4" TargetMode="External"/><Relationship Id="rId2627" Type="http://schemas.openxmlformats.org/officeDocument/2006/relationships/hyperlink" Target="https://ref.ly/Rev22:2,Rev22:14,Rev22:19" TargetMode="External"/><Relationship Id="rId2628" Type="http://schemas.openxmlformats.org/officeDocument/2006/relationships/hyperlink" Target="https://ref.ly/Gen3:1-Gen3:24" TargetMode="External"/><Relationship Id="rId2629" Type="http://schemas.openxmlformats.org/officeDocument/2006/relationships/hyperlink" Target="https://ref.ly/Rev7:14" TargetMode="External"/><Relationship Id="rId2630" Type="http://schemas.openxmlformats.org/officeDocument/2006/relationships/hyperlink" Target="https://ref.ly/Rev22:14" TargetMode="External"/><Relationship Id="rId2631" Type="http://schemas.openxmlformats.org/officeDocument/2006/relationships/hyperlink" Target="https://ref.ly/Exod30:34" TargetMode="External"/><Relationship Id="rId2632" Type="http://schemas.openxmlformats.org/officeDocument/2006/relationships/hyperlink" Target="https://ref.ly/Gen2:9,Gen2:15-Gen2:17" TargetMode="External"/><Relationship Id="rId2633" Type="http://schemas.openxmlformats.org/officeDocument/2006/relationships/hyperlink" Target="https://ref.ly/Deut1:39" TargetMode="External"/><Relationship Id="rId2634" Type="http://schemas.openxmlformats.org/officeDocument/2006/relationships/hyperlink" Target="https://ref.ly/Isa7:15-Isa7:16" TargetMode="External"/><Relationship Id="rId2635" Type="http://schemas.openxmlformats.org/officeDocument/2006/relationships/hyperlink" Target="https://ref.ly/Heb5:14" TargetMode="External"/><Relationship Id="rId2636" Type="http://schemas.openxmlformats.org/officeDocument/2006/relationships/hyperlink" Target="https://ref.ly/Josh15:42" TargetMode="External"/><Relationship Id="rId2637" Type="http://schemas.openxmlformats.org/officeDocument/2006/relationships/hyperlink" Target="https://ref.ly/1Sam30:30" TargetMode="External"/><Relationship Id="rId2638" Type="http://schemas.openxmlformats.org/officeDocument/2006/relationships/hyperlink" Target="https://ref.ly/1Chr6:31-1Chr6:32,1Chr6:39" TargetMode="External"/><Relationship Id="rId2639" Type="http://schemas.openxmlformats.org/officeDocument/2006/relationships/hyperlink" Target="https://ref.ly/1Chr15:1-1Chr15:19" TargetMode="External"/><Relationship Id="rId2640" Type="http://schemas.openxmlformats.org/officeDocument/2006/relationships/hyperlink" Target="https://ref.ly/1Chr16:4-1Chr16:5" TargetMode="External"/><Relationship Id="rId2641" Type="http://schemas.openxmlformats.org/officeDocument/2006/relationships/hyperlink" Target="https://ref.ly/1Chr16:7-1Chr16:36" TargetMode="External"/><Relationship Id="rId2642" Type="http://schemas.openxmlformats.org/officeDocument/2006/relationships/hyperlink" Target="https://ref.ly/1Chr16:37" TargetMode="External"/><Relationship Id="rId2643" Type="http://schemas.openxmlformats.org/officeDocument/2006/relationships/hyperlink" Target="https://ref.ly/1Chr25:6,1Chr25:9" TargetMode="External"/><Relationship Id="rId2644" Type="http://schemas.openxmlformats.org/officeDocument/2006/relationships/hyperlink" Target="https://ref.ly/1Esd1:15" TargetMode="External"/><Relationship Id="rId2645" Type="http://schemas.openxmlformats.org/officeDocument/2006/relationships/hyperlink" Target="https://ref.ly/1Esd5:27,1Esd5:59" TargetMode="External"/><Relationship Id="rId2646" Type="http://schemas.openxmlformats.org/officeDocument/2006/relationships/hyperlink" Target="https://ref.ly/1Chr25:1-1Chr25:2" TargetMode="External"/><Relationship Id="rId2647" Type="http://schemas.openxmlformats.org/officeDocument/2006/relationships/hyperlink" Target="https://ref.ly/Ps50:1-Ps50:23" TargetMode="External"/><Relationship Id="rId2648" Type="http://schemas.openxmlformats.org/officeDocument/2006/relationships/hyperlink" Target="https://ref.ly/Ps73:1-Ps83:18" TargetMode="External"/><Relationship Id="rId2649" Type="http://schemas.openxmlformats.org/officeDocument/2006/relationships/hyperlink" Target="https://ref.ly/1Chr25:1" TargetMode="External"/><Relationship Id="rId2650" Type="http://schemas.openxmlformats.org/officeDocument/2006/relationships/hyperlink" Target="https://ref.ly/2Chr35:15" TargetMode="External"/><Relationship Id="rId2651" Type="http://schemas.openxmlformats.org/officeDocument/2006/relationships/hyperlink" Target="https://ref.ly/Ezra2:41" TargetMode="External"/><Relationship Id="rId2652" Type="http://schemas.openxmlformats.org/officeDocument/2006/relationships/hyperlink" Target="https://ref.ly/Neh7:44" TargetMode="External"/><Relationship Id="rId2653" Type="http://schemas.openxmlformats.org/officeDocument/2006/relationships/hyperlink" Target="https://ref.ly/Neh11:22" TargetMode="External"/><Relationship Id="rId2654" Type="http://schemas.openxmlformats.org/officeDocument/2006/relationships/hyperlink" Target="https://ref.ly/2Kgs18:18,2Kgs18:27" TargetMode="External"/><Relationship Id="rId2655" Type="http://schemas.openxmlformats.org/officeDocument/2006/relationships/hyperlink" Target="https://ref.ly/Isa36:22" TargetMode="External"/><Relationship Id="rId2656" Type="http://schemas.openxmlformats.org/officeDocument/2006/relationships/hyperlink" Target="https://ref.ly/1Chr9:18" TargetMode="External"/><Relationship Id="rId2657" Type="http://schemas.openxmlformats.org/officeDocument/2006/relationships/hyperlink" Target="https://ref.ly/Neh2:8" TargetMode="External"/><Relationship Id="rId2658" Type="http://schemas.openxmlformats.org/officeDocument/2006/relationships/hyperlink" Target="https://ref.ly/1Chr7:6" TargetMode="External"/><Relationship Id="rId2659" Type="http://schemas.openxmlformats.org/officeDocument/2006/relationships/hyperlink" Target="https://ref.ly/Acts1:9-Acts1:11" TargetMode="External"/><Relationship Id="rId2660" Type="http://schemas.openxmlformats.org/officeDocument/2006/relationships/hyperlink" Target="https://ref.ly/Luke24:50-Luke24:51" TargetMode="External"/><Relationship Id="rId2661" Type="http://schemas.openxmlformats.org/officeDocument/2006/relationships/hyperlink" Target="https://ref.ly/Acts1:12" TargetMode="External"/><Relationship Id="rId2662" Type="http://schemas.openxmlformats.org/officeDocument/2006/relationships/hyperlink" Target="https://ref.ly/John21:22" TargetMode="External"/><Relationship Id="rId2663" Type="http://schemas.openxmlformats.org/officeDocument/2006/relationships/hyperlink" Target="https://ref.ly/John20:17" TargetMode="External"/><Relationship Id="rId2664" Type="http://schemas.openxmlformats.org/officeDocument/2006/relationships/hyperlink" Target="https://ref.ly/John20:29" TargetMode="External"/><Relationship Id="rId2665" Type="http://schemas.openxmlformats.org/officeDocument/2006/relationships/hyperlink" Target="https://ref.ly/Eph1:20" TargetMode="External"/><Relationship Id="rId2666" Type="http://schemas.openxmlformats.org/officeDocument/2006/relationships/hyperlink" Target="https://ref.ly/Heb1:3" TargetMode="External"/><Relationship Id="rId2667" Type="http://schemas.openxmlformats.org/officeDocument/2006/relationships/hyperlink" Target="https://ref.ly/Ps110:1" TargetMode="External"/><Relationship Id="rId2668" Type="http://schemas.openxmlformats.org/officeDocument/2006/relationships/hyperlink" Target="https://ref.ly/Acts2:33-Acts2:36" TargetMode="External"/><Relationship Id="rId2669" Type="http://schemas.openxmlformats.org/officeDocument/2006/relationships/hyperlink" Target="https://ref.ly/Eph4:10" TargetMode="External"/><Relationship Id="rId2670" Type="http://schemas.openxmlformats.org/officeDocument/2006/relationships/hyperlink" Target="https://ref.ly/Phil2:9-Phil2:11" TargetMode="External"/><Relationship Id="rId2671" Type="http://schemas.openxmlformats.org/officeDocument/2006/relationships/hyperlink" Target="https://ref.ly/Heb1:13-Heb1:14" TargetMode="External"/><Relationship Id="rId2672" Type="http://schemas.openxmlformats.org/officeDocument/2006/relationships/hyperlink" Target="https://ref.ly/1Tim3:16" TargetMode="External"/><Relationship Id="rId2673" Type="http://schemas.openxmlformats.org/officeDocument/2006/relationships/hyperlink" Target="https://ref.ly/1Pet3:22" TargetMode="External"/><Relationship Id="rId2674" Type="http://schemas.openxmlformats.org/officeDocument/2006/relationships/hyperlink" Target="https://ref.ly/John16:7" TargetMode="External"/><Relationship Id="rId2675" Type="http://schemas.openxmlformats.org/officeDocument/2006/relationships/hyperlink" Target="https://ref.ly/Matt18:20" TargetMode="External"/><Relationship Id="rId2676" Type="http://schemas.openxmlformats.org/officeDocument/2006/relationships/hyperlink" Target="https://ref.ly/Matt28:20" TargetMode="External"/><Relationship Id="rId2677" Type="http://schemas.openxmlformats.org/officeDocument/2006/relationships/hyperlink" Target="https://ref.ly/John14:2" TargetMode="External"/><Relationship Id="rId2678" Type="http://schemas.openxmlformats.org/officeDocument/2006/relationships/hyperlink" Target="https://ref.ly/2Cor5:1-2Cor5:10" TargetMode="External"/><Relationship Id="rId2679" Type="http://schemas.openxmlformats.org/officeDocument/2006/relationships/hyperlink" Target="https://ref.ly/Heb4:14" TargetMode="External"/><Relationship Id="rId2680" Type="http://schemas.openxmlformats.org/officeDocument/2006/relationships/hyperlink" Target="https://ref.ly/Heb6:20" TargetMode="External"/><Relationship Id="rId2681" Type="http://schemas.openxmlformats.org/officeDocument/2006/relationships/hyperlink" Target="https://ref.ly/Heb9:24" TargetMode="External"/><Relationship Id="rId2682" Type="http://schemas.openxmlformats.org/officeDocument/2006/relationships/hyperlink" Target="https://ref.ly/Heb9:12" TargetMode="External"/><Relationship Id="rId2683" Type="http://schemas.openxmlformats.org/officeDocument/2006/relationships/hyperlink" Target="https://ref.ly/Heb12:2" TargetMode="External"/><Relationship Id="rId2684" Type="http://schemas.openxmlformats.org/officeDocument/2006/relationships/hyperlink" Target="https://ref.ly/1John2:1" TargetMode="External"/><Relationship Id="rId2685" Type="http://schemas.openxmlformats.org/officeDocument/2006/relationships/hyperlink" Target="https://ref.ly/Heb2:17" TargetMode="External"/><Relationship Id="rId2686" Type="http://schemas.openxmlformats.org/officeDocument/2006/relationships/hyperlink" Target="https://ref.ly/Heb5:7-Heb5:10" TargetMode="External"/><Relationship Id="rId2687" Type="http://schemas.openxmlformats.org/officeDocument/2006/relationships/hyperlink" Target="https://ref.ly/Heb4:14-Heb4:16" TargetMode="External"/><Relationship Id="rId2688" Type="http://schemas.openxmlformats.org/officeDocument/2006/relationships/hyperlink" Target="https://ref.ly/Josh13:3" TargetMode="External"/><Relationship Id="rId2689" Type="http://schemas.openxmlformats.org/officeDocument/2006/relationships/hyperlink" Target="https://ref.ly/Josh11:21-Josh11:22" TargetMode="External"/><Relationship Id="rId2690" Type="http://schemas.openxmlformats.org/officeDocument/2006/relationships/hyperlink" Target="https://ref.ly/Josh15:46-Josh15:47" TargetMode="External"/><Relationship Id="rId2691" Type="http://schemas.openxmlformats.org/officeDocument/2006/relationships/hyperlink" Target="https://ref.ly/Neh4:7" TargetMode="External"/><Relationship Id="rId2692" Type="http://schemas.openxmlformats.org/officeDocument/2006/relationships/hyperlink" Target="https://ref.ly/1Sam5:1-1Sam5:12" TargetMode="External"/><Relationship Id="rId2693" Type="http://schemas.openxmlformats.org/officeDocument/2006/relationships/hyperlink" Target="https://ref.ly/1Sam6:1-1Sam6:18" TargetMode="External"/><Relationship Id="rId2694" Type="http://schemas.openxmlformats.org/officeDocument/2006/relationships/hyperlink" Target="https://ref.ly/2Chr26:6" TargetMode="External"/><Relationship Id="rId2695" Type="http://schemas.openxmlformats.org/officeDocument/2006/relationships/hyperlink" Target="https://ref.ly/Isa20:1-Isa20:6" TargetMode="External"/><Relationship Id="rId2696" Type="http://schemas.openxmlformats.org/officeDocument/2006/relationships/hyperlink" Target="https://ref.ly/Jer25:20" TargetMode="External"/><Relationship Id="rId2697" Type="http://schemas.openxmlformats.org/officeDocument/2006/relationships/hyperlink" Target="https://ref.ly/Zeph2:4" TargetMode="External"/><Relationship Id="rId2698" Type="http://schemas.openxmlformats.org/officeDocument/2006/relationships/hyperlink" Target="https://ref.ly/Neh13:23-Neh13:24" TargetMode="External"/><Relationship Id="rId2699" Type="http://schemas.openxmlformats.org/officeDocument/2006/relationships/hyperlink" Target="https://ref.ly/Zech9:6" TargetMode="External"/><Relationship Id="rId2700" Type="http://schemas.openxmlformats.org/officeDocument/2006/relationships/hyperlink" Target="https://ref.ly/1Macc4:12-1Macc4:15" TargetMode="External"/><Relationship Id="rId2701" Type="http://schemas.openxmlformats.org/officeDocument/2006/relationships/hyperlink" Target="https://ref.ly/1Macc5:68" TargetMode="External"/><Relationship Id="rId2702" Type="http://schemas.openxmlformats.org/officeDocument/2006/relationships/hyperlink" Target="https://ref.ly/1Macc10:77-1Macc10:85" TargetMode="External"/><Relationship Id="rId2703" Type="http://schemas.openxmlformats.org/officeDocument/2006/relationships/hyperlink" Target="https://ref.ly/1Macc11:4" TargetMode="External"/><Relationship Id="rId2704" Type="http://schemas.openxmlformats.org/officeDocument/2006/relationships/hyperlink" Target="https://ref.ly/Acts8:40" TargetMode="External"/><Relationship Id="rId2705" Type="http://schemas.openxmlformats.org/officeDocument/2006/relationships/hyperlink" Target="https://ref.ly/Josh12:3" TargetMode="External"/><Relationship Id="rId2706" Type="http://schemas.openxmlformats.org/officeDocument/2006/relationships/hyperlink" Target="https://ref.ly/Josh13:20" TargetMode="External"/><Relationship Id="rId2707" Type="http://schemas.openxmlformats.org/officeDocument/2006/relationships/hyperlink" Target="https://ref.ly/Gen30:12-Gen30:13" TargetMode="External"/><Relationship Id="rId2708" Type="http://schemas.openxmlformats.org/officeDocument/2006/relationships/hyperlink" Target="https://ref.ly/Gen46:17" TargetMode="External"/><Relationship Id="rId2709" Type="http://schemas.openxmlformats.org/officeDocument/2006/relationships/hyperlink" Target="https://ref.ly/1Chr7:30" TargetMode="External"/><Relationship Id="rId2710" Type="http://schemas.openxmlformats.org/officeDocument/2006/relationships/hyperlink" Target="https://ref.ly/Gen49:20" TargetMode="External"/><Relationship Id="rId2711" Type="http://schemas.openxmlformats.org/officeDocument/2006/relationships/hyperlink" Target="https://ref.ly/Deut33:24-Deut33:25" TargetMode="External"/><Relationship Id="rId2712" Type="http://schemas.openxmlformats.org/officeDocument/2006/relationships/hyperlink" Target="https://ref.ly/Josh19:24-Josh19:34" TargetMode="External"/><Relationship Id="rId2713" Type="http://schemas.openxmlformats.org/officeDocument/2006/relationships/hyperlink" Target="https://ref.ly/Num1:40-Num1:41" TargetMode="External"/><Relationship Id="rId2714" Type="http://schemas.openxmlformats.org/officeDocument/2006/relationships/hyperlink" Target="https://ref.ly/Num26:47" TargetMode="External"/><Relationship Id="rId2715" Type="http://schemas.openxmlformats.org/officeDocument/2006/relationships/hyperlink" Target="https://ref.ly/1Chr7:40" TargetMode="External"/><Relationship Id="rId2716" Type="http://schemas.openxmlformats.org/officeDocument/2006/relationships/hyperlink" Target="https://ref.ly/1Chr12:36" TargetMode="External"/><Relationship Id="rId2717" Type="http://schemas.openxmlformats.org/officeDocument/2006/relationships/hyperlink" Target="https://ref.ly/Num13:30-Num14:10" TargetMode="External"/><Relationship Id="rId2718" Type="http://schemas.openxmlformats.org/officeDocument/2006/relationships/hyperlink" Target="https://ref.ly/Num14:22-Num14:25" TargetMode="External"/><Relationship Id="rId2719" Type="http://schemas.openxmlformats.org/officeDocument/2006/relationships/hyperlink" Target="https://ref.ly/Josh18:2" TargetMode="External"/><Relationship Id="rId2720" Type="http://schemas.openxmlformats.org/officeDocument/2006/relationships/hyperlink" Target="https://ref.ly/Num34:16,Num34:27" TargetMode="External"/><Relationship Id="rId2721" Type="http://schemas.openxmlformats.org/officeDocument/2006/relationships/hyperlink" Target="https://ref.ly/Josh21:6,Josh21:30" TargetMode="External"/><Relationship Id="rId2722" Type="http://schemas.openxmlformats.org/officeDocument/2006/relationships/hyperlink" Target="https://ref.ly/1Chr6:62,1Chr6:74" TargetMode="External"/><Relationship Id="rId2723" Type="http://schemas.openxmlformats.org/officeDocument/2006/relationships/hyperlink" Target="https://ref.ly/Judg1:32" TargetMode="External"/><Relationship Id="rId2724" Type="http://schemas.openxmlformats.org/officeDocument/2006/relationships/hyperlink" Target="https://ref.ly/Judg4:1-Judg4:24" TargetMode="External"/><Relationship Id="rId2725" Type="http://schemas.openxmlformats.org/officeDocument/2006/relationships/hyperlink" Target="https://ref.ly/Judg5:17" TargetMode="External"/><Relationship Id="rId2726" Type="http://schemas.openxmlformats.org/officeDocument/2006/relationships/hyperlink" Target="https://ref.ly/Num1:13" TargetMode="External"/><Relationship Id="rId2727" Type="http://schemas.openxmlformats.org/officeDocument/2006/relationships/hyperlink" Target="https://ref.ly/Num2:27" TargetMode="External"/><Relationship Id="rId2728" Type="http://schemas.openxmlformats.org/officeDocument/2006/relationships/hyperlink" Target="https://ref.ly/Num7:72" TargetMode="External"/><Relationship Id="rId2729" Type="http://schemas.openxmlformats.org/officeDocument/2006/relationships/hyperlink" Target="https://ref.ly/Num10:26" TargetMode="External"/><Relationship Id="rId2730" Type="http://schemas.openxmlformats.org/officeDocument/2006/relationships/hyperlink" Target="https://ref.ly/1Chr27:16-1Chr27:22" TargetMode="External"/><Relationship Id="rId2731" Type="http://schemas.openxmlformats.org/officeDocument/2006/relationships/hyperlink" Target="https://ref.ly/Judg6:1-Judg6:8,Judg6:35" TargetMode="External"/><Relationship Id="rId2732" Type="http://schemas.openxmlformats.org/officeDocument/2006/relationships/hyperlink" Target="https://ref.ly/Judg7:23" TargetMode="External"/><Relationship Id="rId2733" Type="http://schemas.openxmlformats.org/officeDocument/2006/relationships/hyperlink" Target="https://ref.ly/1Sam11:7" TargetMode="External"/><Relationship Id="rId2734" Type="http://schemas.openxmlformats.org/officeDocument/2006/relationships/hyperlink" Target="https://ref.ly/1Chr12:23-1Chr12:36" TargetMode="External"/><Relationship Id="rId2735" Type="http://schemas.openxmlformats.org/officeDocument/2006/relationships/hyperlink" Target="https://ref.ly/2Chr30:5" TargetMode="External"/><Relationship Id="rId2736" Type="http://schemas.openxmlformats.org/officeDocument/2006/relationships/hyperlink" Target="https://ref.ly/2Chr30:10-2Chr30:11" TargetMode="External"/><Relationship Id="rId2737" Type="http://schemas.openxmlformats.org/officeDocument/2006/relationships/hyperlink" Target="https://ref.ly/Luke2:36-Luke2:38" TargetMode="External"/><Relationship Id="rId2738" Type="http://schemas.openxmlformats.org/officeDocument/2006/relationships/hyperlink" Target="https://ref.ly/1Macc8:6" TargetMode="External"/><Relationship Id="rId2739" Type="http://schemas.openxmlformats.org/officeDocument/2006/relationships/hyperlink" Target="https://ref.ly/1Macc11:13" TargetMode="External"/><Relationship Id="rId2740" Type="http://schemas.openxmlformats.org/officeDocument/2006/relationships/hyperlink" Target="https://ref.ly/1Macc12:39" TargetMode="External"/><Relationship Id="rId2741" Type="http://schemas.openxmlformats.org/officeDocument/2006/relationships/hyperlink" Target="https://ref.ly/1Macc13:32" TargetMode="External"/><Relationship Id="rId2742" Type="http://schemas.openxmlformats.org/officeDocument/2006/relationships/hyperlink" Target="https://ref.ly/2Macc3:3" TargetMode="External"/><Relationship Id="rId2743" Type="http://schemas.openxmlformats.org/officeDocument/2006/relationships/hyperlink" Target="https://ref.ly/Acts2:9-Acts2:10" TargetMode="External"/><Relationship Id="rId2744" Type="http://schemas.openxmlformats.org/officeDocument/2006/relationships/hyperlink" Target="https://ref.ly/Acts16:6-Acts16:8" TargetMode="External"/><Relationship Id="rId2745" Type="http://schemas.openxmlformats.org/officeDocument/2006/relationships/hyperlink" Target="https://ref.ly/Acts18:19-Acts18:21" TargetMode="External"/><Relationship Id="rId2746" Type="http://schemas.openxmlformats.org/officeDocument/2006/relationships/hyperlink" Target="https://ref.ly/Acts19:10" TargetMode="External"/><Relationship Id="rId2747" Type="http://schemas.openxmlformats.org/officeDocument/2006/relationships/hyperlink" Target="https://ref.ly/Acts19:26-Acts19:27" TargetMode="External"/><Relationship Id="rId2748" Type="http://schemas.openxmlformats.org/officeDocument/2006/relationships/hyperlink" Target="https://ref.ly/Rom16:5" TargetMode="External"/><Relationship Id="rId2749" Type="http://schemas.openxmlformats.org/officeDocument/2006/relationships/hyperlink" Target="https://ref.ly/2Cor1:8" TargetMode="External"/><Relationship Id="rId2750" Type="http://schemas.openxmlformats.org/officeDocument/2006/relationships/hyperlink" Target="https://ref.ly/2Tim1:15" TargetMode="External"/><Relationship Id="rId2751" Type="http://schemas.openxmlformats.org/officeDocument/2006/relationships/hyperlink" Target="https://ref.ly/1Pet1:1" TargetMode="External"/><Relationship Id="rId2752" Type="http://schemas.openxmlformats.org/officeDocument/2006/relationships/hyperlink" Target="https://ref.ly/Rev1:1-Rev1:4" TargetMode="External"/><Relationship Id="rId2753" Type="http://schemas.openxmlformats.org/officeDocument/2006/relationships/hyperlink" Target="https://ref.ly/Col4:13" TargetMode="External"/><Relationship Id="rId2754" Type="http://schemas.openxmlformats.org/officeDocument/2006/relationships/hyperlink" Target="https://ref.ly/Acts20:13-Acts20:14" TargetMode="External"/><Relationship Id="rId2755" Type="http://schemas.openxmlformats.org/officeDocument/2006/relationships/hyperlink" Target="https://ref.ly/Acts19:31" TargetMode="External"/><Relationship Id="rId2756" Type="http://schemas.openxmlformats.org/officeDocument/2006/relationships/hyperlink" Target="https://ref.ly/Acts19:1-Acts19:41" TargetMode="External"/><Relationship Id="rId2757" Type="http://schemas.openxmlformats.org/officeDocument/2006/relationships/hyperlink" Target="https://ref.ly/Gen10:1-Gen10:3" TargetMode="External"/><Relationship Id="rId2758" Type="http://schemas.openxmlformats.org/officeDocument/2006/relationships/hyperlink" Target="https://ref.ly/1Chr1:6" TargetMode="External"/><Relationship Id="rId2759" Type="http://schemas.openxmlformats.org/officeDocument/2006/relationships/hyperlink" Target="https://ref.ly/1Chr7:14" TargetMode="External"/><Relationship Id="rId2760" Type="http://schemas.openxmlformats.org/officeDocument/2006/relationships/hyperlink" Target="https://ref.ly/Num26:31" TargetMode="External"/><Relationship Id="rId2761" Type="http://schemas.openxmlformats.org/officeDocument/2006/relationships/hyperlink" Target="https://ref.ly/Josh17:2" TargetMode="External"/><Relationship Id="rId2762" Type="http://schemas.openxmlformats.org/officeDocument/2006/relationships/hyperlink" Target="https://ref.ly/Exod25:17-Exod25:22" TargetMode="External"/><Relationship Id="rId2763" Type="http://schemas.openxmlformats.org/officeDocument/2006/relationships/hyperlink" Target="https://ref.ly/1Chr28:11" TargetMode="External"/><Relationship Id="rId2764" Type="http://schemas.openxmlformats.org/officeDocument/2006/relationships/hyperlink" Target="https://ref.ly/Exod25:22" TargetMode="External"/><Relationship Id="rId2765" Type="http://schemas.openxmlformats.org/officeDocument/2006/relationships/hyperlink" Target="https://ref.ly/1Sam4:4" TargetMode="External"/><Relationship Id="rId2766" Type="http://schemas.openxmlformats.org/officeDocument/2006/relationships/hyperlink" Target="https://ref.ly/2Sam6:2" TargetMode="External"/><Relationship Id="rId2767" Type="http://schemas.openxmlformats.org/officeDocument/2006/relationships/hyperlink" Target="https://ref.ly/Rom3:25" TargetMode="External"/><Relationship Id="rId2768" Type="http://schemas.openxmlformats.org/officeDocument/2006/relationships/hyperlink" Target="https://ref.ly/Heb9:5" TargetMode="External"/><Relationship Id="rId2769" Type="http://schemas.openxmlformats.org/officeDocument/2006/relationships/hyperlink" Target="https://ref.ly/1Chr6:23,1Chr6:37" TargetMode="External"/><Relationship Id="rId2770" Type="http://schemas.openxmlformats.org/officeDocument/2006/relationships/hyperlink" Target="https://ref.ly/1Chr3:17" TargetMode="External"/><Relationship Id="rId2771" Type="http://schemas.openxmlformats.org/officeDocument/2006/relationships/hyperlink" Target="https://ref.ly/2Kgs24:15" TargetMode="External"/><Relationship Id="rId2772" Type="http://schemas.openxmlformats.org/officeDocument/2006/relationships/hyperlink" Target="https://ref.ly/Gen2:14" TargetMode="External"/><Relationship Id="rId2773" Type="http://schemas.openxmlformats.org/officeDocument/2006/relationships/hyperlink" Target="https://ref.ly/2Kgs13:22-2Kgs13:25" TargetMode="External"/><Relationship Id="rId2774" Type="http://schemas.openxmlformats.org/officeDocument/2006/relationships/hyperlink" Target="https://ref.ly/2Kgs15:19" TargetMode="External"/><Relationship Id="rId2775" Type="http://schemas.openxmlformats.org/officeDocument/2006/relationships/hyperlink" Target="https://ref.ly/1Chr5:26" TargetMode="External"/><Relationship Id="rId2776" Type="http://schemas.openxmlformats.org/officeDocument/2006/relationships/hyperlink" Target="https://ref.ly/2Kgs15:19-2Kgs15:20" TargetMode="External"/><Relationship Id="rId2777" Type="http://schemas.openxmlformats.org/officeDocument/2006/relationships/hyperlink" Target="https://ref.ly/2Kgs17:2-2Kgs17:6" TargetMode="External"/><Relationship Id="rId2778" Type="http://schemas.openxmlformats.org/officeDocument/2006/relationships/hyperlink" Target="https://ref.ly/2Kgs20:12-2Kgs20:19" TargetMode="External"/><Relationship Id="rId2779" Type="http://schemas.openxmlformats.org/officeDocument/2006/relationships/hyperlink" Target="https://ref.ly/Isa39:1" TargetMode="External"/><Relationship Id="rId2780" Type="http://schemas.openxmlformats.org/officeDocument/2006/relationships/hyperlink" Target="https://ref.ly/2Kgs18:13-2Kgs19:37" TargetMode="External"/><Relationship Id="rId2781" Type="http://schemas.openxmlformats.org/officeDocument/2006/relationships/hyperlink" Target="https://ref.ly/Isa36:1-Isa37:38" TargetMode="External"/><Relationship Id="rId2782" Type="http://schemas.openxmlformats.org/officeDocument/2006/relationships/hyperlink" Target="https://ref.ly/2Kgs20:20" TargetMode="External"/><Relationship Id="rId2783" Type="http://schemas.openxmlformats.org/officeDocument/2006/relationships/hyperlink" Target="https://ref.ly/Nah3:3-Nah3:10" TargetMode="External"/><Relationship Id="rId2784" Type="http://schemas.openxmlformats.org/officeDocument/2006/relationships/hyperlink" Target="https://ref.ly/Nah1:8" TargetMode="External"/><Relationship Id="rId2785" Type="http://schemas.openxmlformats.org/officeDocument/2006/relationships/hyperlink" Target="https://ref.ly/2Kgs23:29-2Kgs23:30" TargetMode="External"/><Relationship Id="rId2786" Type="http://schemas.openxmlformats.org/officeDocument/2006/relationships/hyperlink" Target="https://ref.ly/2Chr35:20-2Chr35:24" TargetMode="External"/><Relationship Id="rId2787" Type="http://schemas.openxmlformats.org/officeDocument/2006/relationships/hyperlink" Target="https://ref.ly/Jer46:1-Jer46:12" TargetMode="External"/><Relationship Id="rId2788" Type="http://schemas.openxmlformats.org/officeDocument/2006/relationships/hyperlink" Target="https://ref.ly/Gen10:11" TargetMode="External"/><Relationship Id="rId2789" Type="http://schemas.openxmlformats.org/officeDocument/2006/relationships/hyperlink" Target="https://ref.ly/Gen10:22" TargetMode="External"/><Relationship Id="rId2790" Type="http://schemas.openxmlformats.org/officeDocument/2006/relationships/hyperlink" Target="https://ref.ly/Gen10:24" TargetMode="External"/><Relationship Id="rId2791" Type="http://schemas.openxmlformats.org/officeDocument/2006/relationships/hyperlink" Target="https://ref.ly/Gen11:12" TargetMode="External"/><Relationship Id="rId2792" Type="http://schemas.openxmlformats.org/officeDocument/2006/relationships/hyperlink" Target="https://ref.ly/Gen25:3" TargetMode="External"/><Relationship Id="rId2793" Type="http://schemas.openxmlformats.org/officeDocument/2006/relationships/hyperlink" Target="https://ref.ly/Deut1:4" TargetMode="External"/><Relationship Id="rId2794" Type="http://schemas.openxmlformats.org/officeDocument/2006/relationships/hyperlink" Target="https://ref.ly/Josh9:10" TargetMode="External"/><Relationship Id="rId2795" Type="http://schemas.openxmlformats.org/officeDocument/2006/relationships/hyperlink" Target="https://ref.ly/Josh12:4" TargetMode="External"/><Relationship Id="rId2796" Type="http://schemas.openxmlformats.org/officeDocument/2006/relationships/hyperlink" Target="https://ref.ly/Josh13:12,Josh13:31" TargetMode="External"/><Relationship Id="rId2797" Type="http://schemas.openxmlformats.org/officeDocument/2006/relationships/hyperlink" Target="https://ref.ly/Deut3:13" TargetMode="External"/><Relationship Id="rId2798" Type="http://schemas.openxmlformats.org/officeDocument/2006/relationships/hyperlink" Target="https://ref.ly/1Chr6:71" TargetMode="External"/><Relationship Id="rId2799" Type="http://schemas.openxmlformats.org/officeDocument/2006/relationships/hyperlink" Target="https://ref.ly/Gen15:18-Gen15:20" TargetMode="External"/><Relationship Id="rId2800" Type="http://schemas.openxmlformats.org/officeDocument/2006/relationships/hyperlink" Target="https://ref.ly/Dan2:17-Dan2:23" TargetMode="External"/><Relationship Id="rId2801" Type="http://schemas.openxmlformats.org/officeDocument/2006/relationships/hyperlink" Target="https://ref.ly/Isa47:12-Isa47:13" TargetMode="External"/><Relationship Id="rId2802" Type="http://schemas.openxmlformats.org/officeDocument/2006/relationships/hyperlink" Target="https://ref.ly/Jer10:1-Jer10:3" TargetMode="External"/><Relationship Id="rId2803" Type="http://schemas.openxmlformats.org/officeDocument/2006/relationships/hyperlink" Target="https://ref.ly/Jer10:3" TargetMode="External"/><Relationship Id="rId2804" Type="http://schemas.openxmlformats.org/officeDocument/2006/relationships/hyperlink" Target="https://ref.ly/Dan2:27" TargetMode="External"/><Relationship Id="rId2805" Type="http://schemas.openxmlformats.org/officeDocument/2006/relationships/hyperlink" Target="https://ref.ly/Dan5:11" TargetMode="External"/><Relationship Id="rId2806" Type="http://schemas.openxmlformats.org/officeDocument/2006/relationships/hyperlink" Target="https://ref.ly/Matt2:1-Matt2:16" TargetMode="External"/><Relationship Id="rId2807" Type="http://schemas.openxmlformats.org/officeDocument/2006/relationships/hyperlink" Target="https://ref.ly/Num24:17" TargetMode="External"/><Relationship Id="rId2808" Type="http://schemas.openxmlformats.org/officeDocument/2006/relationships/hyperlink" Target="https://ref.ly/Gen1:14-Gen1:19" TargetMode="External"/><Relationship Id="rId2809" Type="http://schemas.openxmlformats.org/officeDocument/2006/relationships/hyperlink" Target="https://ref.ly/Joel2:31" TargetMode="External"/><Relationship Id="rId2810" Type="http://schemas.openxmlformats.org/officeDocument/2006/relationships/hyperlink" Target="https://ref.ly/Job9:9" TargetMode="External"/><Relationship Id="rId2811" Type="http://schemas.openxmlformats.org/officeDocument/2006/relationships/hyperlink" Target="https://ref.ly/Job38:31" TargetMode="External"/><Relationship Id="rId2812" Type="http://schemas.openxmlformats.org/officeDocument/2006/relationships/hyperlink" Target="https://ref.ly/Job38:32" TargetMode="External"/><Relationship Id="rId2813" Type="http://schemas.openxmlformats.org/officeDocument/2006/relationships/hyperlink" Target="https://ref.ly/Gen15:5" TargetMode="External"/><Relationship Id="rId2814" Type="http://schemas.openxmlformats.org/officeDocument/2006/relationships/hyperlink" Target="https://ref.ly/1Cor15:41" TargetMode="External"/><Relationship Id="rId2815" Type="http://schemas.openxmlformats.org/officeDocument/2006/relationships/hyperlink" Target="https://ref.ly/Jude1:13" TargetMode="External"/><Relationship Id="rId2816" Type="http://schemas.openxmlformats.org/officeDocument/2006/relationships/hyperlink" Target="https://ref.ly/Gen50:10-Gen50:11" TargetMode="External"/><Relationship Id="rId2817" Type="http://schemas.openxmlformats.org/officeDocument/2006/relationships/hyperlink" Target="https://ref.ly/Acts14:25" TargetMode="External"/><Relationship Id="rId2818" Type="http://schemas.openxmlformats.org/officeDocument/2006/relationships/hyperlink" Target="https://ref.ly/Num21:1" TargetMode="External"/><Relationship Id="rId2819" Type="http://schemas.openxmlformats.org/officeDocument/2006/relationships/hyperlink" Target="https://ref.ly/Num32:3,Num32:33-Num32:36" TargetMode="External"/><Relationship Id="rId2820" Type="http://schemas.openxmlformats.org/officeDocument/2006/relationships/hyperlink" Target="https://ref.ly/Josh16:5" TargetMode="External"/><Relationship Id="rId2821" Type="http://schemas.openxmlformats.org/officeDocument/2006/relationships/hyperlink" Target="https://ref.ly/Josh18:13" TargetMode="External"/><Relationship Id="rId2822" Type="http://schemas.openxmlformats.org/officeDocument/2006/relationships/hyperlink" Target="https://ref.ly/Josh16:7" TargetMode="External"/><Relationship Id="rId2823" Type="http://schemas.openxmlformats.org/officeDocument/2006/relationships/hyperlink" Target="https://ref.ly/1Chr2:54" TargetMode="External"/><Relationship Id="rId2824" Type="http://schemas.openxmlformats.org/officeDocument/2006/relationships/hyperlink" Target="https://ref.ly/Num32:35" TargetMode="External"/><Relationship Id="rId2825" Type="http://schemas.openxmlformats.org/officeDocument/2006/relationships/hyperlink" Target="https://ref.ly/Acts17:15-Acts17:34" TargetMode="External"/><Relationship Id="rId2826" Type="http://schemas.openxmlformats.org/officeDocument/2006/relationships/hyperlink" Target="https://ref.ly/1Thess3:1" TargetMode="External"/><Relationship Id="rId2827" Type="http://schemas.openxmlformats.org/officeDocument/2006/relationships/hyperlink" Target="https://ref.ly/Acts17:16-Acts17:34" TargetMode="External"/><Relationship Id="rId2828" Type="http://schemas.openxmlformats.org/officeDocument/2006/relationships/hyperlink" Target="https://ref.ly/Col4:14" TargetMode="External"/><Relationship Id="rId2829" Type="http://schemas.openxmlformats.org/officeDocument/2006/relationships/hyperlink" Target="https://ref.ly/Col4:10-Col4:17" TargetMode="External"/><Relationship Id="rId2830" Type="http://schemas.openxmlformats.org/officeDocument/2006/relationships/hyperlink" Target="https://ref.ly/2Tim4:11" TargetMode="External"/><Relationship Id="rId2831" Type="http://schemas.openxmlformats.org/officeDocument/2006/relationships/hyperlink" Target="https://ref.ly/Acts16:9-Acts16:10" TargetMode="External"/><Relationship Id="rId2832" Type="http://schemas.openxmlformats.org/officeDocument/2006/relationships/hyperlink" Target="https://ref.ly/Acts20:5-Acts20:6" TargetMode="External"/><Relationship Id="rId2833" Type="http://schemas.openxmlformats.org/officeDocument/2006/relationships/hyperlink" Target="https://ref.ly/Acts27:1" TargetMode="External"/><Relationship Id="rId2834" Type="http://schemas.openxmlformats.org/officeDocument/2006/relationships/hyperlink" Target="https://ref.ly/Acts16:9-Acts16:18" TargetMode="External"/><Relationship Id="rId2835" Type="http://schemas.openxmlformats.org/officeDocument/2006/relationships/hyperlink" Target="https://ref.ly/Acts20:5-Acts21:18" TargetMode="External"/><Relationship Id="rId2836" Type="http://schemas.openxmlformats.org/officeDocument/2006/relationships/hyperlink" Target="https://ref.ly/Acts27:1-Acts28:16" TargetMode="External"/><Relationship Id="rId2837" Type="http://schemas.openxmlformats.org/officeDocument/2006/relationships/hyperlink" Target="https://ref.ly/Luke1:1-Luke1:4" TargetMode="External"/><Relationship Id="rId2838" Type="http://schemas.openxmlformats.org/officeDocument/2006/relationships/hyperlink" Target="https://ref.ly/Acts23:26" TargetMode="External"/><Relationship Id="rId2839" Type="http://schemas.openxmlformats.org/officeDocument/2006/relationships/hyperlink" Target="https://ref.ly/Acts24:2" TargetMode="External"/><Relationship Id="rId2840" Type="http://schemas.openxmlformats.org/officeDocument/2006/relationships/hyperlink" Target="https://ref.ly/Acts26:25" TargetMode="External"/><Relationship Id="rId2841" Type="http://schemas.openxmlformats.org/officeDocument/2006/relationships/hyperlink" Target="https://ref.ly/Acts16:39" TargetMode="External"/><Relationship Id="rId2842" Type="http://schemas.openxmlformats.org/officeDocument/2006/relationships/hyperlink" Target="https://ref.ly/Acts18:14-Acts18:17" TargetMode="External"/><Relationship Id="rId2843" Type="http://schemas.openxmlformats.org/officeDocument/2006/relationships/hyperlink" Target="https://ref.ly/Acts19:37" TargetMode="External"/><Relationship Id="rId2844" Type="http://schemas.openxmlformats.org/officeDocument/2006/relationships/hyperlink" Target="https://ref.ly/Acts23:29" TargetMode="External"/><Relationship Id="rId2845" Type="http://schemas.openxmlformats.org/officeDocument/2006/relationships/hyperlink" Target="https://ref.ly/Acts25:25" TargetMode="External"/><Relationship Id="rId2846" Type="http://schemas.openxmlformats.org/officeDocument/2006/relationships/hyperlink" Target="https://ref.ly/Acts26:32" TargetMode="External"/><Relationship Id="rId2847" Type="http://schemas.openxmlformats.org/officeDocument/2006/relationships/hyperlink" Target="https://ref.ly/Acts28:16-Acts28:31" TargetMode="External"/><Relationship Id="rId2848" Type="http://schemas.openxmlformats.org/officeDocument/2006/relationships/hyperlink" Target="https://ref.ly/Acts1:1-Acts12:25" TargetMode="External"/><Relationship Id="rId2849" Type="http://schemas.openxmlformats.org/officeDocument/2006/relationships/hyperlink" Target="https://ref.ly/Acts9:1-Acts9:43" TargetMode="External"/><Relationship Id="rId2850" Type="http://schemas.openxmlformats.org/officeDocument/2006/relationships/hyperlink" Target="https://ref.ly/Acts9:31-Acts11:26" TargetMode="External"/><Relationship Id="rId2851" Type="http://schemas.openxmlformats.org/officeDocument/2006/relationships/hyperlink" Target="https://ref.ly/Gal1:18-Gal1:21" TargetMode="External"/><Relationship Id="rId2852" Type="http://schemas.openxmlformats.org/officeDocument/2006/relationships/hyperlink" Target="https://ref.ly/Acts15:40-Acts15:41" TargetMode="External"/><Relationship Id="rId2853" Type="http://schemas.openxmlformats.org/officeDocument/2006/relationships/hyperlink" Target="https://ref.ly/Acts13:9" TargetMode="External"/><Relationship Id="rId2854" Type="http://schemas.openxmlformats.org/officeDocument/2006/relationships/hyperlink" Target="https://ref.ly/Acts12:1-Acts12:25" TargetMode="External"/><Relationship Id="rId2855" Type="http://schemas.openxmlformats.org/officeDocument/2006/relationships/hyperlink" Target="https://ref.ly/Acts12:20-Acts12:23" TargetMode="External"/><Relationship Id="rId2856" Type="http://schemas.openxmlformats.org/officeDocument/2006/relationships/hyperlink" Target="https://ref.ly/Acts11:27-Acts11:29" TargetMode="External"/><Relationship Id="rId2857" Type="http://schemas.openxmlformats.org/officeDocument/2006/relationships/hyperlink" Target="https://ref.ly/Acts11:28" TargetMode="External"/><Relationship Id="rId2858" Type="http://schemas.openxmlformats.org/officeDocument/2006/relationships/hyperlink" Target="https://ref.ly/Acts12:25" TargetMode="External"/><Relationship Id="rId2859" Type="http://schemas.openxmlformats.org/officeDocument/2006/relationships/hyperlink" Target="https://ref.ly/Acts13:1-Acts14:28" TargetMode="External"/><Relationship Id="rId2860" Type="http://schemas.openxmlformats.org/officeDocument/2006/relationships/hyperlink" Target="https://ref.ly/Acts15:40-Acts18:22" TargetMode="External"/><Relationship Id="rId2861" Type="http://schemas.openxmlformats.org/officeDocument/2006/relationships/hyperlink" Target="https://ref.ly/Acts18:11" TargetMode="External"/><Relationship Id="rId2862" Type="http://schemas.openxmlformats.org/officeDocument/2006/relationships/hyperlink" Target="https://ref.ly/Acts18:12-Acts18:17" TargetMode="External"/><Relationship Id="rId2863" Type="http://schemas.openxmlformats.org/officeDocument/2006/relationships/hyperlink" Target="https://ref.ly/Acts13:13-Acts19:7" TargetMode="External"/><Relationship Id="rId2864" Type="http://schemas.openxmlformats.org/officeDocument/2006/relationships/hyperlink" Target="https://ref.ly/Acts18:24-Acts18:28" TargetMode="External"/><Relationship Id="rId2865" Type="http://schemas.openxmlformats.org/officeDocument/2006/relationships/hyperlink" Target="https://ref.ly/John3:22-John3:24" TargetMode="External"/><Relationship Id="rId2866" Type="http://schemas.openxmlformats.org/officeDocument/2006/relationships/hyperlink" Target="https://ref.ly/Acts18:25" TargetMode="External"/><Relationship Id="rId2867" Type="http://schemas.openxmlformats.org/officeDocument/2006/relationships/hyperlink" Target="https://ref.ly/Acts19:2-Acts19:4" TargetMode="External"/><Relationship Id="rId2868" Type="http://schemas.openxmlformats.org/officeDocument/2006/relationships/hyperlink" Target="https://ref.ly/Acts19:1-Acts20:1" TargetMode="External"/><Relationship Id="rId2869" Type="http://schemas.openxmlformats.org/officeDocument/2006/relationships/hyperlink" Target="https://ref.ly/Acts20:2-Acts20:12" TargetMode="External"/><Relationship Id="rId2870" Type="http://schemas.openxmlformats.org/officeDocument/2006/relationships/hyperlink" Target="https://ref.ly/Acts21:1-Acts21:40" TargetMode="External"/><Relationship Id="rId2871" Type="http://schemas.openxmlformats.org/officeDocument/2006/relationships/hyperlink" Target="https://ref.ly/Acts23:23-Acts24:23" TargetMode="External"/><Relationship Id="rId2872" Type="http://schemas.openxmlformats.org/officeDocument/2006/relationships/hyperlink" Target="https://ref.ly/Acts25:1-Acts25:9" TargetMode="External"/><Relationship Id="rId2873" Type="http://schemas.openxmlformats.org/officeDocument/2006/relationships/hyperlink" Target="https://ref.ly/Acts25:10-Acts25:12" TargetMode="External"/><Relationship Id="rId2874" Type="http://schemas.openxmlformats.org/officeDocument/2006/relationships/hyperlink" Target="https://ref.ly/Acts25:25-Acts25:27" TargetMode="External"/><Relationship Id="rId2875" Type="http://schemas.openxmlformats.org/officeDocument/2006/relationships/hyperlink" Target="https://ref.ly/Acts25:13" TargetMode="External"/><Relationship Id="rId2876" Type="http://schemas.openxmlformats.org/officeDocument/2006/relationships/hyperlink" Target="https://ref.ly/Acts26:1-Acts26:29" TargetMode="External"/><Relationship Id="rId2877" Type="http://schemas.openxmlformats.org/officeDocument/2006/relationships/hyperlink" Target="https://ref.ly/Acts26:31" TargetMode="External"/><Relationship Id="rId2878" Type="http://schemas.openxmlformats.org/officeDocument/2006/relationships/hyperlink" Target="https://ref.ly/Acts28:30" TargetMode="External"/><Relationship Id="rId2879" Type="http://schemas.openxmlformats.org/officeDocument/2006/relationships/hyperlink" Target="https://ref.ly/Acts1:1-Acts1:8" TargetMode="External"/><Relationship Id="rId2880" Type="http://schemas.openxmlformats.org/officeDocument/2006/relationships/hyperlink" Target="https://ref.ly/Luke2:29-Luke2:32" TargetMode="External"/><Relationship Id="rId2881" Type="http://schemas.openxmlformats.org/officeDocument/2006/relationships/hyperlink" Target="https://ref.ly/Acts7:1-Acts7:60" TargetMode="External"/><Relationship Id="rId2882" Type="http://schemas.openxmlformats.org/officeDocument/2006/relationships/hyperlink" Target="https://ref.ly/Acts10:1-Acts10:48" TargetMode="External"/><Relationship Id="rId2883" Type="http://schemas.openxmlformats.org/officeDocument/2006/relationships/hyperlink" Target="https://ref.ly/Acts17:1-Acts17:34" TargetMode="External"/><Relationship Id="rId2884" Type="http://schemas.openxmlformats.org/officeDocument/2006/relationships/hyperlink" Target="https://ref.ly/Acts8:1-Acts8:40" TargetMode="External"/><Relationship Id="rId2885" Type="http://schemas.openxmlformats.org/officeDocument/2006/relationships/hyperlink" Target="https://ref.ly/Acts14:1-Acts14:28" TargetMode="External"/><Relationship Id="rId2886" Type="http://schemas.openxmlformats.org/officeDocument/2006/relationships/hyperlink" Target="https://ref.ly/Luke23:13-Luke23:16" TargetMode="External"/><Relationship Id="rId2887" Type="http://schemas.openxmlformats.org/officeDocument/2006/relationships/hyperlink" Target="https://ref.ly/Acts13:28" TargetMode="External"/><Relationship Id="rId2888" Type="http://schemas.openxmlformats.org/officeDocument/2006/relationships/hyperlink" Target="https://ref.ly/Acts13:7-Acts13:12" TargetMode="External"/><Relationship Id="rId2889" Type="http://schemas.openxmlformats.org/officeDocument/2006/relationships/hyperlink" Target="https://ref.ly/Acts16:37-Acts16:39" TargetMode="External"/><Relationship Id="rId2890" Type="http://schemas.openxmlformats.org/officeDocument/2006/relationships/hyperlink" Target="https://ref.ly/Acts18:12-Acts18:16" TargetMode="External"/><Relationship Id="rId2891" Type="http://schemas.openxmlformats.org/officeDocument/2006/relationships/hyperlink" Target="https://ref.ly/Acts19:35-Acts19:39" TargetMode="External"/><Relationship Id="rId2892" Type="http://schemas.openxmlformats.org/officeDocument/2006/relationships/hyperlink" Target="https://ref.ly/Acts23:26-Acts23:29" TargetMode="External"/><Relationship Id="rId2893" Type="http://schemas.openxmlformats.org/officeDocument/2006/relationships/hyperlink" Target="https://ref.ly/Acts28:30-Acts28:31" TargetMode="External"/><Relationship Id="rId2894" Type="http://schemas.openxmlformats.org/officeDocument/2006/relationships/hyperlink" Target="https://ref.ly/Luke1:1-Luke2:52" TargetMode="External"/><Relationship Id="rId2895" Type="http://schemas.openxmlformats.org/officeDocument/2006/relationships/hyperlink" Target="https://ref.ly/Luke3:22" TargetMode="External"/><Relationship Id="rId2896" Type="http://schemas.openxmlformats.org/officeDocument/2006/relationships/hyperlink" Target="https://ref.ly/Luke4:1" TargetMode="External"/><Relationship Id="rId2897" Type="http://schemas.openxmlformats.org/officeDocument/2006/relationships/hyperlink" Target="https://ref.ly/Acts1:8" TargetMode="External"/><Relationship Id="rId2898" Type="http://schemas.openxmlformats.org/officeDocument/2006/relationships/hyperlink" Target="https://ref.ly/Acts2:1-Acts2:8" TargetMode="External"/><Relationship Id="rId2899" Type="http://schemas.openxmlformats.org/officeDocument/2006/relationships/hyperlink" Target="https://ref.ly/Acts2:44-Acts2:47" TargetMode="External"/><Relationship Id="rId2900" Type="http://schemas.openxmlformats.org/officeDocument/2006/relationships/hyperlink" Target="https://ref.ly/Acts4:32-Acts4:37" TargetMode="External"/><Relationship Id="rId2901" Type="http://schemas.openxmlformats.org/officeDocument/2006/relationships/hyperlink" Target="https://ref.ly/Acts2:1-Acts5:42" TargetMode="External"/><Relationship Id="rId2902" Type="http://schemas.openxmlformats.org/officeDocument/2006/relationships/hyperlink" Target="https://ref.ly/Acts6:1-Acts6:15" TargetMode="External"/><Relationship Id="rId2903" Type="http://schemas.openxmlformats.org/officeDocument/2006/relationships/hyperlink" Target="https://ref.ly/Acts10:1-Acts11:30" TargetMode="External"/><Relationship Id="rId2904" Type="http://schemas.openxmlformats.org/officeDocument/2006/relationships/hyperlink" Target="https://ref.ly/1Cor15:12-1Cor15:21" TargetMode="External"/><Relationship Id="rId2905" Type="http://schemas.openxmlformats.org/officeDocument/2006/relationships/hyperlink" Target="https://ref.ly/Acts2:22-Acts2:24" TargetMode="External"/><Relationship Id="rId2906" Type="http://schemas.openxmlformats.org/officeDocument/2006/relationships/hyperlink" Target="https://ref.ly/Acts3:14-Acts3:15" TargetMode="External"/><Relationship Id="rId2907" Type="http://schemas.openxmlformats.org/officeDocument/2006/relationships/hyperlink" Target="https://ref.ly/Acts5:30-Acts5:31" TargetMode="External"/><Relationship Id="rId2908" Type="http://schemas.openxmlformats.org/officeDocument/2006/relationships/hyperlink" Target="https://ref.ly/Acts10:39-Acts10:42" TargetMode="External"/><Relationship Id="rId2909" Type="http://schemas.openxmlformats.org/officeDocument/2006/relationships/hyperlink" Target="https://ref.ly/Acts13:1-Acts28:31" TargetMode="External"/><Relationship Id="rId2910" Type="http://schemas.openxmlformats.org/officeDocument/2006/relationships/hyperlink" Target="https://ref.ly/Acts1:1-Acts1:26" TargetMode="External"/><Relationship Id="rId2911" Type="http://schemas.openxmlformats.org/officeDocument/2006/relationships/hyperlink" Target="https://ref.ly/Acts4:1-Acts4:37" TargetMode="External"/><Relationship Id="rId2912" Type="http://schemas.openxmlformats.org/officeDocument/2006/relationships/hyperlink" Target="https://ref.ly/Acts5:1-Acts5:42" TargetMode="External"/><Relationship Id="rId2913" Type="http://schemas.openxmlformats.org/officeDocument/2006/relationships/hyperlink" Target="https://ref.ly/Acts21:1-Acts22:30" TargetMode="External"/><Relationship Id="rId2914" Type="http://schemas.openxmlformats.org/officeDocument/2006/relationships/hyperlink" Target="https://ref.ly/Acts23:1-Acts26:32" TargetMode="External"/><Relationship Id="rId2915" Type="http://schemas.openxmlformats.org/officeDocument/2006/relationships/hyperlink" Target="https://ref.ly/Acts27:1-Acts28:31" TargetMode="External"/><Relationship Id="rId2916" Type="http://schemas.openxmlformats.org/officeDocument/2006/relationships/hyperlink" Target="https://ref.ly/Acts1:1-Acts7:60" TargetMode="External"/><Relationship Id="rId2917" Type="http://schemas.openxmlformats.org/officeDocument/2006/relationships/hyperlink" Target="https://ref.ly/Acts8:1-Acts9:31" TargetMode="External"/><Relationship Id="rId2918" Type="http://schemas.openxmlformats.org/officeDocument/2006/relationships/hyperlink" Target="https://ref.ly/Acts9:32-Acts12:25" TargetMode="External"/><Relationship Id="rId2919" Type="http://schemas.openxmlformats.org/officeDocument/2006/relationships/hyperlink" Target="https://ref.ly/Gen26:26" TargetMode="External"/><Relationship Id="rId2920" Type="http://schemas.openxmlformats.org/officeDocument/2006/relationships/hyperlink" Target="https://ref.ly/Gen30:37" TargetMode="External"/><Relationship Id="rId2921" Type="http://schemas.openxmlformats.org/officeDocument/2006/relationships/hyperlink" Target="https://ref.ly/Prov30:31" TargetMode="External"/><Relationship Id="rId2922" Type="http://schemas.openxmlformats.org/officeDocument/2006/relationships/hyperlink" Target="https://ref.ly/2Kgs25:23" TargetMode="External"/><Relationship Id="rId2923" Type="http://schemas.openxmlformats.org/officeDocument/2006/relationships/hyperlink" Target="https://ref.ly/Neh5:18" TargetMode="External"/><Relationship Id="rId2924" Type="http://schemas.openxmlformats.org/officeDocument/2006/relationships/hyperlink" Target="https://ref.ly/Matt23:37" TargetMode="External"/><Relationship Id="rId2925" Type="http://schemas.openxmlformats.org/officeDocument/2006/relationships/hyperlink" Target="https://ref.ly/Luke13:34" TargetMode="External"/><Relationship Id="rId2926" Type="http://schemas.openxmlformats.org/officeDocument/2006/relationships/hyperlink" Target="https://ref.ly/Matt26:34" TargetMode="External"/><Relationship Id="rId2927" Type="http://schemas.openxmlformats.org/officeDocument/2006/relationships/hyperlink" Target="https://ref.ly/Matt26:74" TargetMode="External"/><Relationship Id="rId2928" Type="http://schemas.openxmlformats.org/officeDocument/2006/relationships/hyperlink" Target="https://ref.ly/Luke22:34" TargetMode="External"/><Relationship Id="rId2929" Type="http://schemas.openxmlformats.org/officeDocument/2006/relationships/hyperlink" Target="https://ref.ly/Luke22:60-Luke22:61" TargetMode="External"/><Relationship Id="rId2930" Type="http://schemas.openxmlformats.org/officeDocument/2006/relationships/hyperlink" Target="https://ref.ly/Deut2:23" TargetMode="External"/><Relationship Id="rId2931" Type="http://schemas.openxmlformats.org/officeDocument/2006/relationships/hyperlink" Target="https://ref.ly/2Kgs17:31" TargetMode="External"/><Relationship Id="rId2932" Type="http://schemas.openxmlformats.org/officeDocument/2006/relationships/hyperlink" Target="https://ref.ly/Gen36:35" TargetMode="External"/><Relationship Id="rId2933" Type="http://schemas.openxmlformats.org/officeDocument/2006/relationships/hyperlink" Target="https://ref.ly/1Chr1:46" TargetMode="External"/><Relationship Id="rId2934" Type="http://schemas.openxmlformats.org/officeDocument/2006/relationships/hyperlink" Target="https://ref.ly/Num34:26" TargetMode="External"/><Relationship Id="rId2935" Type="http://schemas.openxmlformats.org/officeDocument/2006/relationships/hyperlink" Target="https://ref.ly/Lev16:8,Lev16:10,Lev16:26" TargetMode="External"/><Relationship Id="rId2936" Type="http://schemas.openxmlformats.org/officeDocument/2006/relationships/hyperlink" Target="https://ref.ly/Lev16:10" TargetMode="External"/><Relationship Id="rId2937" Type="http://schemas.openxmlformats.org/officeDocument/2006/relationships/hyperlink" Target="https://ref.ly/Gen41:45,Gen41:50-Gen41:52" TargetMode="External"/><Relationship Id="rId2938" Type="http://schemas.openxmlformats.org/officeDocument/2006/relationships/hyperlink" Target="https://ref.ly/Gen46:20" TargetMode="External"/><Relationship Id="rId2939" Type="http://schemas.openxmlformats.org/officeDocument/2006/relationships/hyperlink" Target="https://ref.ly/Num34:4-Num34:5" TargetMode="External"/><Relationship Id="rId2940" Type="http://schemas.openxmlformats.org/officeDocument/2006/relationships/hyperlink" Target="https://ref.ly/Josh15:4" TargetMode="External"/><Relationship Id="rId2941" Type="http://schemas.openxmlformats.org/officeDocument/2006/relationships/hyperlink" Target="https://ref.ly/1Chr1:49-1Chr1:50" TargetMode="External"/><Relationship Id="rId2942" Type="http://schemas.openxmlformats.org/officeDocument/2006/relationships/hyperlink" Target="https://ref.ly/1Chr27:28" TargetMode="External"/><Relationship Id="rId2943" Type="http://schemas.openxmlformats.org/officeDocument/2006/relationships/hyperlink" Target="https://ref.ly/Num32:38" TargetMode="External"/><Relationship Id="rId2944" Type="http://schemas.openxmlformats.org/officeDocument/2006/relationships/hyperlink" Target="https://ref.ly/1Chr5:8" TargetMode="External"/><Relationship Id="rId2945" Type="http://schemas.openxmlformats.org/officeDocument/2006/relationships/hyperlink" Target="https://ref.ly/Josh13:17" TargetMode="External"/><Relationship Id="rId2946" Type="http://schemas.openxmlformats.org/officeDocument/2006/relationships/hyperlink" Target="https://ref.ly/Jer48:23" TargetMode="External"/><Relationship Id="rId2947" Type="http://schemas.openxmlformats.org/officeDocument/2006/relationships/hyperlink" Target="https://ref.ly/Num32:3" TargetMode="External"/><Relationship Id="rId2948" Type="http://schemas.openxmlformats.org/officeDocument/2006/relationships/hyperlink" Target="https://ref.ly/Ezek25:9" TargetMode="External"/><Relationship Id="rId2949" Type="http://schemas.openxmlformats.org/officeDocument/2006/relationships/hyperlink" Target="https://ref.ly/Num25:3" TargetMode="External"/><Relationship Id="rId2950" Type="http://schemas.openxmlformats.org/officeDocument/2006/relationships/hyperlink" Target="https://ref.ly/Num25:9" TargetMode="External"/><Relationship Id="rId2951" Type="http://schemas.openxmlformats.org/officeDocument/2006/relationships/hyperlink" Target="https://ref.ly/Ps106:28-Ps106:31" TargetMode="External"/><Relationship Id="rId2952" Type="http://schemas.openxmlformats.org/officeDocument/2006/relationships/hyperlink" Target="https://ref.ly/Deut4:3" TargetMode="External"/><Relationship Id="rId2953" Type="http://schemas.openxmlformats.org/officeDocument/2006/relationships/hyperlink" Target="https://ref.ly/Exod14:2,Exod14:9" TargetMode="External"/><Relationship Id="rId2954" Type="http://schemas.openxmlformats.org/officeDocument/2006/relationships/hyperlink" Target="https://ref.ly/Num33:7" TargetMode="External"/><Relationship Id="rId2955" Type="http://schemas.openxmlformats.org/officeDocument/2006/relationships/hyperlink" Target="https://ref.ly/Gen11:9" TargetMode="External"/><Relationship Id="rId2956" Type="http://schemas.openxmlformats.org/officeDocument/2006/relationships/hyperlink" Target="https://ref.ly/2Kgs17:24" TargetMode="External"/><Relationship Id="rId2957" Type="http://schemas.openxmlformats.org/officeDocument/2006/relationships/hyperlink" Target="https://ref.ly/Gen11:1-Gen11:9" TargetMode="External"/><Relationship Id="rId2958" Type="http://schemas.openxmlformats.org/officeDocument/2006/relationships/hyperlink" Target="https://ref.ly/Ps84:6" TargetMode="External"/><Relationship Id="rId2959" Type="http://schemas.openxmlformats.org/officeDocument/2006/relationships/hyperlink" Target="https://ref.ly/2Sam5:23-2Sam5:24" TargetMode="External"/><Relationship Id="rId2960" Type="http://schemas.openxmlformats.org/officeDocument/2006/relationships/hyperlink" Target="https://ref.ly/1Chr14:14-1Chr14:15" TargetMode="External"/><Relationship Id="rId2961" Type="http://schemas.openxmlformats.org/officeDocument/2006/relationships/hyperlink" Target="https://ref.ly/Ps84:1-Ps84:12" TargetMode="External"/><Relationship Id="rId2962" Type="http://schemas.openxmlformats.org/officeDocument/2006/relationships/hyperlink" Target="https://ref.ly/Num21:21-Num21:25" TargetMode="External"/><Relationship Id="rId2963" Type="http://schemas.openxmlformats.org/officeDocument/2006/relationships/hyperlink" Target="https://ref.ly/Num22:3" TargetMode="External"/><Relationship Id="rId2964" Type="http://schemas.openxmlformats.org/officeDocument/2006/relationships/hyperlink" Target="https://ref.ly/Gen27:34-Gen27:38" TargetMode="External"/><Relationship Id="rId2965" Type="http://schemas.openxmlformats.org/officeDocument/2006/relationships/hyperlink" Target="https://ref.ly/Num22:18" TargetMode="External"/><Relationship Id="rId2966" Type="http://schemas.openxmlformats.org/officeDocument/2006/relationships/hyperlink" Target="https://ref.ly/Num22:7" TargetMode="External"/><Relationship Id="rId2967" Type="http://schemas.openxmlformats.org/officeDocument/2006/relationships/hyperlink" Target="https://ref.ly/Deut18:10-Deut18:11" TargetMode="External"/><Relationship Id="rId2968" Type="http://schemas.openxmlformats.org/officeDocument/2006/relationships/hyperlink" Target="https://ref.ly/Num22:22" TargetMode="External"/><Relationship Id="rId2969" Type="http://schemas.openxmlformats.org/officeDocument/2006/relationships/hyperlink" Target="https://ref.ly/Num22:28-Num22:30" TargetMode="External"/><Relationship Id="rId2970" Type="http://schemas.openxmlformats.org/officeDocument/2006/relationships/hyperlink" Target="https://ref.ly/Num22:1-Num22:41" TargetMode="External"/><Relationship Id="rId2971" Type="http://schemas.openxmlformats.org/officeDocument/2006/relationships/hyperlink" Target="https://ref.ly/Deut23:5" TargetMode="External"/><Relationship Id="rId2972" Type="http://schemas.openxmlformats.org/officeDocument/2006/relationships/hyperlink" Target="https://ref.ly/Num22:31" TargetMode="External"/><Relationship Id="rId2973" Type="http://schemas.openxmlformats.org/officeDocument/2006/relationships/hyperlink" Target="https://ref.ly/Num23:1-Num23:30" TargetMode="External"/><Relationship Id="rId2974" Type="http://schemas.openxmlformats.org/officeDocument/2006/relationships/hyperlink" Target="https://ref.ly/Num24:1-Num24:25" TargetMode="External"/><Relationship Id="rId2975" Type="http://schemas.openxmlformats.org/officeDocument/2006/relationships/hyperlink" Target="https://ref.ly/Num25:1-Num25:18" TargetMode="External"/><Relationship Id="rId2976" Type="http://schemas.openxmlformats.org/officeDocument/2006/relationships/hyperlink" Target="https://ref.ly/Num31:14-Num31:16" TargetMode="External"/><Relationship Id="rId2977" Type="http://schemas.openxmlformats.org/officeDocument/2006/relationships/hyperlink" Target="https://ref.ly/Num31:8" TargetMode="External"/><Relationship Id="rId2978" Type="http://schemas.openxmlformats.org/officeDocument/2006/relationships/hyperlink" Target="https://ref.ly/Josh13:22" TargetMode="External"/><Relationship Id="rId2979" Type="http://schemas.openxmlformats.org/officeDocument/2006/relationships/hyperlink" Target="https://ref.ly/Lev19:36" TargetMode="External"/><Relationship Id="rId2980" Type="http://schemas.openxmlformats.org/officeDocument/2006/relationships/hyperlink" Target="https://ref.ly/Prov11:1" TargetMode="External"/><Relationship Id="rId2981" Type="http://schemas.openxmlformats.org/officeDocument/2006/relationships/hyperlink" Target="https://ref.ly/Prov16:11" TargetMode="External"/><Relationship Id="rId2982" Type="http://schemas.openxmlformats.org/officeDocument/2006/relationships/hyperlink" Target="https://ref.ly/Prov20:23" TargetMode="External"/><Relationship Id="rId2983" Type="http://schemas.openxmlformats.org/officeDocument/2006/relationships/hyperlink" Target="https://ref.ly/Ezek45:10" TargetMode="External"/><Relationship Id="rId2984" Type="http://schemas.openxmlformats.org/officeDocument/2006/relationships/hyperlink" Target="https://ref.ly/Hos12:7" TargetMode="External"/><Relationship Id="rId2985" Type="http://schemas.openxmlformats.org/officeDocument/2006/relationships/hyperlink" Target="https://ref.ly/Amos8:5" TargetMode="External"/><Relationship Id="rId2986" Type="http://schemas.openxmlformats.org/officeDocument/2006/relationships/hyperlink" Target="https://ref.ly/Mic6:10-Mic6:12" TargetMode="External"/><Relationship Id="rId2987" Type="http://schemas.openxmlformats.org/officeDocument/2006/relationships/hyperlink" Target="https://ref.ly/Isa46:6" TargetMode="External"/><Relationship Id="rId2988" Type="http://schemas.openxmlformats.org/officeDocument/2006/relationships/hyperlink" Target="https://ref.ly/Jer32:8-Jer32:10" TargetMode="External"/><Relationship Id="rId2989" Type="http://schemas.openxmlformats.org/officeDocument/2006/relationships/hyperlink" Target="https://ref.ly/Ezek5:1-Ezek5:2" TargetMode="External"/><Relationship Id="rId2990" Type="http://schemas.openxmlformats.org/officeDocument/2006/relationships/hyperlink" Target="https://ref.ly/Job31:6" TargetMode="External"/><Relationship Id="rId2991" Type="http://schemas.openxmlformats.org/officeDocument/2006/relationships/hyperlink" Target="https://ref.ly/Dan5:27" TargetMode="External"/><Relationship Id="rId2992" Type="http://schemas.openxmlformats.org/officeDocument/2006/relationships/hyperlink" Target="https://ref.ly/Rev6:5" TargetMode="External"/><Relationship Id="rId2993" Type="http://schemas.openxmlformats.org/officeDocument/2006/relationships/hyperlink" Target="https://ref.ly/Rev6:6" TargetMode="External"/><Relationship Id="rId2994" Type="http://schemas.openxmlformats.org/officeDocument/2006/relationships/hyperlink" Target="https://ref.ly/Num22:1-Num22:7" TargetMode="External"/><Relationship Id="rId2995" Type="http://schemas.openxmlformats.org/officeDocument/2006/relationships/hyperlink" Target="https://ref.ly/Josh24:9-Josh24:10" TargetMode="External"/><Relationship Id="rId2996" Type="http://schemas.openxmlformats.org/officeDocument/2006/relationships/hyperlink" Target="https://ref.ly/Judg11:25" TargetMode="External"/><Relationship Id="rId2997" Type="http://schemas.openxmlformats.org/officeDocument/2006/relationships/hyperlink" Target="https://ref.ly/Mic6:5" TargetMode="External"/><Relationship Id="rId2998" Type="http://schemas.openxmlformats.org/officeDocument/2006/relationships/hyperlink" Target="https://ref.ly/Rev2:14" TargetMode="External"/><Relationship Id="rId2999" Type="http://schemas.openxmlformats.org/officeDocument/2006/relationships/hyperlink" Target="https://ref.ly/2Sam1:19,2Sam1:25" TargetMode="External"/><Relationship Id="rId3000" Type="http://schemas.openxmlformats.org/officeDocument/2006/relationships/hyperlink" Target="https://ref.ly/2Sam22:34" TargetMode="External"/><Relationship Id="rId3001" Type="http://schemas.openxmlformats.org/officeDocument/2006/relationships/hyperlink" Target="https://ref.ly/Ezek20:29" TargetMode="External"/><Relationship Id="rId3002" Type="http://schemas.openxmlformats.org/officeDocument/2006/relationships/hyperlink" Target="https://ref.ly/Num21:19-Num21:20" TargetMode="External"/><Relationship Id="rId3003" Type="http://schemas.openxmlformats.org/officeDocument/2006/relationships/hyperlink" Target="https://ref.ly/Num22:41" TargetMode="External"/><Relationship Id="rId3004" Type="http://schemas.openxmlformats.org/officeDocument/2006/relationships/hyperlink" Target="https://ref.ly/Deut32:13" TargetMode="External"/><Relationship Id="rId3005" Type="http://schemas.openxmlformats.org/officeDocument/2006/relationships/hyperlink" Target="https://ref.ly/Deut33:29" TargetMode="External"/><Relationship Id="rId3006" Type="http://schemas.openxmlformats.org/officeDocument/2006/relationships/hyperlink" Target="https://ref.ly/Ezek36:2" TargetMode="External"/><Relationship Id="rId3007" Type="http://schemas.openxmlformats.org/officeDocument/2006/relationships/hyperlink" Target="https://ref.ly/Mic3:12" TargetMode="External"/><Relationship Id="rId3008" Type="http://schemas.openxmlformats.org/officeDocument/2006/relationships/hyperlink" Target="https://ref.ly/Jer26:18" TargetMode="External"/><Relationship Id="rId3009" Type="http://schemas.openxmlformats.org/officeDocument/2006/relationships/hyperlink" Target="https://ref.ly/Ezek36:1-Ezek36:2" TargetMode="External"/><Relationship Id="rId3010" Type="http://schemas.openxmlformats.org/officeDocument/2006/relationships/hyperlink" Target="https://ref.ly/Num22:41-Num23:13" TargetMode="External"/><Relationship Id="rId3011" Type="http://schemas.openxmlformats.org/officeDocument/2006/relationships/hyperlink" Target="https://ref.ly/Lev15:8-Lev15:12" TargetMode="External"/><Relationship Id="rId3012" Type="http://schemas.openxmlformats.org/officeDocument/2006/relationships/hyperlink" Target="https://ref.ly/John9:7" TargetMode="External"/><Relationship Id="rId3013" Type="http://schemas.openxmlformats.org/officeDocument/2006/relationships/hyperlink" Target="https://ref.ly/Ezek16:4" TargetMode="External"/><Relationship Id="rId3014" Type="http://schemas.openxmlformats.org/officeDocument/2006/relationships/hyperlink" Target="https://ref.ly/Acts9:37" TargetMode="External"/><Relationship Id="rId3015" Type="http://schemas.openxmlformats.org/officeDocument/2006/relationships/hyperlink" Target="https://ref.ly/Song6:6" TargetMode="External"/><Relationship Id="rId3016" Type="http://schemas.openxmlformats.org/officeDocument/2006/relationships/hyperlink" Target="https://ref.ly/Exod2:5" TargetMode="External"/><Relationship Id="rId3017" Type="http://schemas.openxmlformats.org/officeDocument/2006/relationships/hyperlink" Target="https://ref.ly/Gen18:4" TargetMode="External"/><Relationship Id="rId3018" Type="http://schemas.openxmlformats.org/officeDocument/2006/relationships/hyperlink" Target="https://ref.ly/Gen19:2" TargetMode="External"/><Relationship Id="rId3019" Type="http://schemas.openxmlformats.org/officeDocument/2006/relationships/hyperlink" Target="https://ref.ly/Gen24:32" TargetMode="External"/><Relationship Id="rId3020" Type="http://schemas.openxmlformats.org/officeDocument/2006/relationships/hyperlink" Target="https://ref.ly/Judg19:21" TargetMode="External"/><Relationship Id="rId3021" Type="http://schemas.openxmlformats.org/officeDocument/2006/relationships/hyperlink" Target="https://ref.ly/Song5:3" TargetMode="External"/><Relationship Id="rId3022" Type="http://schemas.openxmlformats.org/officeDocument/2006/relationships/hyperlink" Target="https://ref.ly/Ruth3:3" TargetMode="External"/><Relationship Id="rId3023" Type="http://schemas.openxmlformats.org/officeDocument/2006/relationships/hyperlink" Target="https://ref.ly/2Sam12:20" TargetMode="External"/><Relationship Id="rId3024" Type="http://schemas.openxmlformats.org/officeDocument/2006/relationships/hyperlink" Target="https://ref.ly/Ezek23:41" TargetMode="External"/><Relationship Id="rId3025" Type="http://schemas.openxmlformats.org/officeDocument/2006/relationships/hyperlink" Target="https://ref.ly/Luke7:44" TargetMode="External"/><Relationship Id="rId3026" Type="http://schemas.openxmlformats.org/officeDocument/2006/relationships/hyperlink" Target="https://ref.ly/John13:4-John13:5" TargetMode="External"/><Relationship Id="rId3027" Type="http://schemas.openxmlformats.org/officeDocument/2006/relationships/hyperlink" Target="https://ref.ly/1Sam25:41" TargetMode="External"/><Relationship Id="rId3028" Type="http://schemas.openxmlformats.org/officeDocument/2006/relationships/hyperlink" Target="https://ref.ly/Luke7:44-Luke7:47" TargetMode="External"/><Relationship Id="rId3029" Type="http://schemas.openxmlformats.org/officeDocument/2006/relationships/hyperlink" Target="https://ref.ly/John13:3-John13:16" TargetMode="External"/><Relationship Id="rId3030" Type="http://schemas.openxmlformats.org/officeDocument/2006/relationships/hyperlink" Target="https://ref.ly/1Tim5:10" TargetMode="External"/><Relationship Id="rId3031" Type="http://schemas.openxmlformats.org/officeDocument/2006/relationships/hyperlink" Target="https://ref.ly/Exod29:4" TargetMode="External"/><Relationship Id="rId3032" Type="http://schemas.openxmlformats.org/officeDocument/2006/relationships/hyperlink" Target="https://ref.ly/Exod30:19-Exod30:21" TargetMode="External"/><Relationship Id="rId3033" Type="http://schemas.openxmlformats.org/officeDocument/2006/relationships/hyperlink" Target="https://ref.ly/Exod40:7,Exod40:12,Exod40:30-Exod40:32" TargetMode="External"/><Relationship Id="rId3034" Type="http://schemas.openxmlformats.org/officeDocument/2006/relationships/hyperlink" Target="https://ref.ly/Num8:21" TargetMode="External"/><Relationship Id="rId3035" Type="http://schemas.openxmlformats.org/officeDocument/2006/relationships/hyperlink" Target="https://ref.ly/Lev1:9,Lev1:13" TargetMode="External"/><Relationship Id="rId3036" Type="http://schemas.openxmlformats.org/officeDocument/2006/relationships/hyperlink" Target="https://ref.ly/Lev8:21" TargetMode="External"/><Relationship Id="rId3037" Type="http://schemas.openxmlformats.org/officeDocument/2006/relationships/hyperlink" Target="https://ref.ly/Lev9:14" TargetMode="External"/><Relationship Id="rId3038" Type="http://schemas.openxmlformats.org/officeDocument/2006/relationships/hyperlink" Target="https://ref.ly/Lev14:8-Lev14:10" TargetMode="External"/><Relationship Id="rId3039" Type="http://schemas.openxmlformats.org/officeDocument/2006/relationships/hyperlink" Target="https://ref.ly/Lev15:5-Lev15:11,Lev15:21-Lev15:27" TargetMode="External"/><Relationship Id="rId3040" Type="http://schemas.openxmlformats.org/officeDocument/2006/relationships/hyperlink" Target="https://ref.ly/Lev6:27" TargetMode="External"/><Relationship Id="rId3041" Type="http://schemas.openxmlformats.org/officeDocument/2006/relationships/hyperlink" Target="https://ref.ly/Lev13:54" TargetMode="External"/><Relationship Id="rId3042" Type="http://schemas.openxmlformats.org/officeDocument/2006/relationships/hyperlink" Target="https://ref.ly/Ps51:2" TargetMode="External"/><Relationship Id="rId3043" Type="http://schemas.openxmlformats.org/officeDocument/2006/relationships/hyperlink" Target="https://ref.ly/Isa1:16" TargetMode="External"/><Relationship Id="rId3044" Type="http://schemas.openxmlformats.org/officeDocument/2006/relationships/hyperlink" Target="https://ref.ly/Isa4:4" TargetMode="External"/><Relationship Id="rId3045" Type="http://schemas.openxmlformats.org/officeDocument/2006/relationships/hyperlink" Target="https://ref.ly/Jer2:22" TargetMode="External"/><Relationship Id="rId3046" Type="http://schemas.openxmlformats.org/officeDocument/2006/relationships/hyperlink" Target="https://ref.ly/Jer4:14" TargetMode="External"/><Relationship Id="rId3047" Type="http://schemas.openxmlformats.org/officeDocument/2006/relationships/hyperlink" Target="https://ref.ly/1Cor6:11" TargetMode="External"/><Relationship Id="rId3048" Type="http://schemas.openxmlformats.org/officeDocument/2006/relationships/hyperlink" Target="https://ref.ly/Heb10:22" TargetMode="External"/><Relationship Id="rId3049" Type="http://schemas.openxmlformats.org/officeDocument/2006/relationships/hyperlink" Target="https://ref.ly/Gen4:9-Gen4:14" TargetMode="External"/><Relationship Id="rId3050" Type="http://schemas.openxmlformats.org/officeDocument/2006/relationships/hyperlink" Target="https://ref.ly/2Sam13:37-2Sam13:39" TargetMode="External"/><Relationship Id="rId3051" Type="http://schemas.openxmlformats.org/officeDocument/2006/relationships/hyperlink" Target="https://ref.ly/2Sam14:13-2Sam14:14" TargetMode="External"/><Relationship Id="rId3052" Type="http://schemas.openxmlformats.org/officeDocument/2006/relationships/hyperlink" Target="https://ref.ly/Deut30:1" TargetMode="External"/><Relationship Id="rId3053" Type="http://schemas.openxmlformats.org/officeDocument/2006/relationships/hyperlink" Target="https://ref.ly/Isa11:12" TargetMode="External"/><Relationship Id="rId3054" Type="http://schemas.openxmlformats.org/officeDocument/2006/relationships/hyperlink" Target="https://ref.ly/Jer16:15" TargetMode="External"/><Relationship Id="rId3055" Type="http://schemas.openxmlformats.org/officeDocument/2006/relationships/hyperlink" Target="https://ref.ly/Ezek4:13" TargetMode="External"/><Relationship Id="rId3056" Type="http://schemas.openxmlformats.org/officeDocument/2006/relationships/hyperlink" Target="https://ref.ly/Ezra7:26" TargetMode="External"/><Relationship Id="rId3057" Type="http://schemas.openxmlformats.org/officeDocument/2006/relationships/hyperlink" Target="https://ref.ly/Gen17:12,Gen17:14" TargetMode="External"/><Relationship Id="rId3058" Type="http://schemas.openxmlformats.org/officeDocument/2006/relationships/hyperlink" Target="https://ref.ly/Exod12:15" TargetMode="External"/><Relationship Id="rId3059" Type="http://schemas.openxmlformats.org/officeDocument/2006/relationships/hyperlink" Target="https://ref.ly/Lev17:1-Lev17:4" TargetMode="External"/><Relationship Id="rId3060" Type="http://schemas.openxmlformats.org/officeDocument/2006/relationships/hyperlink" Target="https://ref.ly/Lev17:10" TargetMode="External"/><Relationship Id="rId3061" Type="http://schemas.openxmlformats.org/officeDocument/2006/relationships/hyperlink" Target="https://ref.ly/Num15:30-Num15:31" TargetMode="External"/><Relationship Id="rId3062" Type="http://schemas.openxmlformats.org/officeDocument/2006/relationships/hyperlink" Target="https://ref.ly/Num19:11-Num19:20" TargetMode="External"/><Relationship Id="rId3063" Type="http://schemas.openxmlformats.org/officeDocument/2006/relationships/hyperlink" Target="https://ref.ly/John9:18-John9:23,John9:34" TargetMode="External"/><Relationship Id="rId3064" Type="http://schemas.openxmlformats.org/officeDocument/2006/relationships/hyperlink" Target="https://ref.ly/John9:18-John9:23" TargetMode="External"/><Relationship Id="rId3065" Type="http://schemas.openxmlformats.org/officeDocument/2006/relationships/hyperlink" Target="https://ref.ly/Ezra10:7-Ezra10:8" TargetMode="External"/><Relationship Id="rId3066" Type="http://schemas.openxmlformats.org/officeDocument/2006/relationships/hyperlink" Target="https://ref.ly/Acts18:2" TargetMode="External"/><Relationship Id="rId3067" Type="http://schemas.openxmlformats.org/officeDocument/2006/relationships/hyperlink" Target="https://ref.ly/2Sam5:11" TargetMode="External"/><Relationship Id="rId3068" Type="http://schemas.openxmlformats.org/officeDocument/2006/relationships/hyperlink" Target="https://ref.ly/1Kgs10:14-1Kgs10:29" TargetMode="External"/><Relationship Id="rId3069" Type="http://schemas.openxmlformats.org/officeDocument/2006/relationships/hyperlink" Target="https://ref.ly/Matt17:24" TargetMode="External"/><Relationship Id="rId3070" Type="http://schemas.openxmlformats.org/officeDocument/2006/relationships/hyperlink" Target="https://ref.ly/Matt21:12" TargetMode="External"/><Relationship Id="rId3071" Type="http://schemas.openxmlformats.org/officeDocument/2006/relationships/hyperlink" Target="https://ref.ly/Matt25:27" TargetMode="External"/><Relationship Id="rId3072" Type="http://schemas.openxmlformats.org/officeDocument/2006/relationships/hyperlink" Target="https://ref.ly/Mark11:15" TargetMode="External"/><Relationship Id="rId3073" Type="http://schemas.openxmlformats.org/officeDocument/2006/relationships/hyperlink" Target="https://ref.ly/Luke19:23" TargetMode="External"/><Relationship Id="rId3074" Type="http://schemas.openxmlformats.org/officeDocument/2006/relationships/hyperlink" Target="https://ref.ly/John2:14-John2:15" TargetMode="External"/><Relationship Id="rId3075" Type="http://schemas.openxmlformats.org/officeDocument/2006/relationships/hyperlink" Target="https://ref.ly/Exod22:25" TargetMode="External"/><Relationship Id="rId3076" Type="http://schemas.openxmlformats.org/officeDocument/2006/relationships/hyperlink" Target="https://ref.ly/Deut15:1-Deut15:18" TargetMode="External"/><Relationship Id="rId3077" Type="http://schemas.openxmlformats.org/officeDocument/2006/relationships/hyperlink" Target="https://ref.ly/Neh5:6-Neh5:13" TargetMode="External"/><Relationship Id="rId3078" Type="http://schemas.openxmlformats.org/officeDocument/2006/relationships/hyperlink" Target="https://ref.ly/Ezek18:8,Ezek18:13,Ezek18:17" TargetMode="External"/><Relationship Id="rId3079" Type="http://schemas.openxmlformats.org/officeDocument/2006/relationships/hyperlink" Target="https://ref.ly/Ezek22:12" TargetMode="External"/><Relationship Id="rId3080" Type="http://schemas.openxmlformats.org/officeDocument/2006/relationships/hyperlink" Target="https://ref.ly/2Kgs4:1" TargetMode="External"/><Relationship Id="rId3081" Type="http://schemas.openxmlformats.org/officeDocument/2006/relationships/hyperlink" Target="https://ref.ly/Ps109:11" TargetMode="External"/><Relationship Id="rId3082" Type="http://schemas.openxmlformats.org/officeDocument/2006/relationships/hyperlink" Target="https://ref.ly/Isa24:2" TargetMode="External"/><Relationship Id="rId3083" Type="http://schemas.openxmlformats.org/officeDocument/2006/relationships/hyperlink" Target="https://ref.ly/Isa50:1" TargetMode="External"/><Relationship Id="rId3084" Type="http://schemas.openxmlformats.org/officeDocument/2006/relationships/hyperlink" Target="https://ref.ly/Luke7:41-Luke7:42" TargetMode="External"/><Relationship Id="rId3085" Type="http://schemas.openxmlformats.org/officeDocument/2006/relationships/hyperlink" Target="https://ref.ly/Matt25:14-Matt25:30" TargetMode="External"/><Relationship Id="rId3086" Type="http://schemas.openxmlformats.org/officeDocument/2006/relationships/hyperlink" Target="https://ref.ly/Luke19:11-Luke19:27" TargetMode="External"/><Relationship Id="rId3087" Type="http://schemas.openxmlformats.org/officeDocument/2006/relationships/hyperlink" Target="https://ref.ly/Gen26:30" TargetMode="External"/><Relationship Id="rId3088" Type="http://schemas.openxmlformats.org/officeDocument/2006/relationships/hyperlink" Target="https://ref.ly/Gen31:54" TargetMode="External"/><Relationship Id="rId3089" Type="http://schemas.openxmlformats.org/officeDocument/2006/relationships/hyperlink" Target="https://ref.ly/Exod24:11" TargetMode="External"/><Relationship Id="rId3090" Type="http://schemas.openxmlformats.org/officeDocument/2006/relationships/hyperlink" Target="https://ref.ly/Gen29:22" TargetMode="External"/><Relationship Id="rId3091" Type="http://schemas.openxmlformats.org/officeDocument/2006/relationships/hyperlink" Target="https://ref.ly/Judg14:10" TargetMode="External"/><Relationship Id="rId3092" Type="http://schemas.openxmlformats.org/officeDocument/2006/relationships/hyperlink" Target="https://ref.ly/Ruth3:1-Ruth3:3" TargetMode="External"/><Relationship Id="rId3093" Type="http://schemas.openxmlformats.org/officeDocument/2006/relationships/hyperlink" Target="https://ref.ly/1Sam25:11" TargetMode="External"/><Relationship Id="rId3094" Type="http://schemas.openxmlformats.org/officeDocument/2006/relationships/hyperlink" Target="https://ref.ly/2Sam13:23-2Sam13:29" TargetMode="External"/><Relationship Id="rId3095" Type="http://schemas.openxmlformats.org/officeDocument/2006/relationships/hyperlink" Target="https://ref.ly/Gen19:3" TargetMode="External"/><Relationship Id="rId3096" Type="http://schemas.openxmlformats.org/officeDocument/2006/relationships/hyperlink" Target="https://ref.ly/1Kgs1:9,1Kgs1:19-1Kgs1:25" TargetMode="External"/><Relationship Id="rId3097" Type="http://schemas.openxmlformats.org/officeDocument/2006/relationships/hyperlink" Target="https://ref.ly/1Kgs1:9" TargetMode="External"/><Relationship Id="rId3098" Type="http://schemas.openxmlformats.org/officeDocument/2006/relationships/hyperlink" Target="https://ref.ly/Esth1:3-Esth1:9" TargetMode="External"/><Relationship Id="rId3099" Type="http://schemas.openxmlformats.org/officeDocument/2006/relationships/hyperlink" Target="https://ref.ly/Esth2:18" TargetMode="External"/><Relationship Id="rId3100" Type="http://schemas.openxmlformats.org/officeDocument/2006/relationships/hyperlink" Target="https://ref.ly/Esth5:4-Esth5:8" TargetMode="External"/><Relationship Id="rId3101" Type="http://schemas.openxmlformats.org/officeDocument/2006/relationships/hyperlink" Target="https://ref.ly/Prov9:2-Prov9:5" TargetMode="External"/><Relationship Id="rId3102" Type="http://schemas.openxmlformats.org/officeDocument/2006/relationships/hyperlink" Target="https://ref.ly/Matt22:1-Matt22:14" TargetMode="External"/><Relationship Id="rId3103" Type="http://schemas.openxmlformats.org/officeDocument/2006/relationships/hyperlink" Target="https://ref.ly/Luke14:15-Luke14:24" TargetMode="External"/><Relationship Id="rId3104" Type="http://schemas.openxmlformats.org/officeDocument/2006/relationships/hyperlink" Target="https://ref.ly/Amos6:4-Amos6:6" TargetMode="External"/><Relationship Id="rId3105" Type="http://schemas.openxmlformats.org/officeDocument/2006/relationships/hyperlink" Target="https://ref.ly/Esth1:6" TargetMode="External"/><Relationship Id="rId3106" Type="http://schemas.openxmlformats.org/officeDocument/2006/relationships/hyperlink" Target="https://ref.ly/Matt9:10" TargetMode="External"/><Relationship Id="rId3107" Type="http://schemas.openxmlformats.org/officeDocument/2006/relationships/hyperlink" Target="https://ref.ly/Luke7:49" TargetMode="External"/><Relationship Id="rId3108" Type="http://schemas.openxmlformats.org/officeDocument/2006/relationships/hyperlink" Target="https://ref.ly/Luke14:10,Luke14:15" TargetMode="External"/><Relationship Id="rId3109" Type="http://schemas.openxmlformats.org/officeDocument/2006/relationships/hyperlink" Target="https://ref.ly/Isa24:23" TargetMode="External"/><Relationship Id="rId3110" Type="http://schemas.openxmlformats.org/officeDocument/2006/relationships/hyperlink" Target="https://ref.ly/Isa25:6-Isa25:8" TargetMode="External"/><Relationship Id="rId3111" Type="http://schemas.openxmlformats.org/officeDocument/2006/relationships/hyperlink" Target="https://ref.ly/Luke13:29" TargetMode="External"/><Relationship Id="rId3112" Type="http://schemas.openxmlformats.org/officeDocument/2006/relationships/hyperlink" Target="https://ref.ly/Isa25:7" TargetMode="External"/><Relationship Id="rId3113" Type="http://schemas.openxmlformats.org/officeDocument/2006/relationships/hyperlink" Target="https://ref.ly/Rev21:4" TargetMode="External"/><Relationship Id="rId3114" Type="http://schemas.openxmlformats.org/officeDocument/2006/relationships/hyperlink" Target="https://ref.ly/Isa25:6" TargetMode="External"/><Relationship Id="rId3115" Type="http://schemas.openxmlformats.org/officeDocument/2006/relationships/hyperlink" Target="https://ref.ly/Luke22:14-Luke22:20" TargetMode="External"/><Relationship Id="rId3116" Type="http://schemas.openxmlformats.org/officeDocument/2006/relationships/hyperlink" Target="https://ref.ly/Rev19:7-Rev19:9" TargetMode="External"/><Relationship Id="rId3117" Type="http://schemas.openxmlformats.org/officeDocument/2006/relationships/hyperlink" Target="https://ref.ly/Job32:2,Job32:6" TargetMode="External"/><Relationship Id="rId3118" Type="http://schemas.openxmlformats.org/officeDocument/2006/relationships/hyperlink" Target="https://ref.ly/Jer25:23" TargetMode="External"/><Relationship Id="rId3119" Type="http://schemas.openxmlformats.org/officeDocument/2006/relationships/hyperlink" Target="https://ref.ly/Lev19:27" TargetMode="External"/><Relationship Id="rId3120" Type="http://schemas.openxmlformats.org/officeDocument/2006/relationships/hyperlink" Target="https://ref.ly/Lev21:5-Lev21:6" TargetMode="External"/><Relationship Id="rId3121" Type="http://schemas.openxmlformats.org/officeDocument/2006/relationships/hyperlink" Target="https://ref.ly/2Sam10:1-2Sam10:8" TargetMode="External"/><Relationship Id="rId3122" Type="http://schemas.openxmlformats.org/officeDocument/2006/relationships/hyperlink" Target="https://ref.ly/Lev13:29-Lev13:37" TargetMode="External"/><Relationship Id="rId3123" Type="http://schemas.openxmlformats.org/officeDocument/2006/relationships/hyperlink" Target="https://ref.ly/Isa15:1-Isa15:3" TargetMode="External"/><Relationship Id="rId3124" Type="http://schemas.openxmlformats.org/officeDocument/2006/relationships/hyperlink" Target="https://ref.ly/Ezra9:3" TargetMode="External"/><Relationship Id="rId3125" Type="http://schemas.openxmlformats.org/officeDocument/2006/relationships/hyperlink" Target="https://ref.ly/1Cor14:11" TargetMode="External"/><Relationship Id="rId3126" Type="http://schemas.openxmlformats.org/officeDocument/2006/relationships/hyperlink" Target="https://ref.ly/Acts28:2-Acts28:4" TargetMode="External"/><Relationship Id="rId3127" Type="http://schemas.openxmlformats.org/officeDocument/2006/relationships/hyperlink" Target="https://ref.ly/Rom1:14" TargetMode="External"/><Relationship Id="rId3128" Type="http://schemas.openxmlformats.org/officeDocument/2006/relationships/hyperlink" Target="https://ref.ly/Col3:11" TargetMode="External"/><Relationship Id="rId3129" Type="http://schemas.openxmlformats.org/officeDocument/2006/relationships/hyperlink" Target="https://ref.ly/Acts13:6" TargetMode="External"/><Relationship Id="rId3130" Type="http://schemas.openxmlformats.org/officeDocument/2006/relationships/hyperlink" Target="https://ref.ly/Acts8:9-Acts8:11" TargetMode="External"/><Relationship Id="rId3131" Type="http://schemas.openxmlformats.org/officeDocument/2006/relationships/hyperlink" Target="https://ref.ly/Acts13:8" TargetMode="External"/><Relationship Id="rId3132" Type="http://schemas.openxmlformats.org/officeDocument/2006/relationships/hyperlink" Target="https://ref.ly/Acts4:36-Acts4:37" TargetMode="External"/><Relationship Id="rId3133" Type="http://schemas.openxmlformats.org/officeDocument/2006/relationships/hyperlink" Target="https://ref.ly/Acts8:1-Acts8:8" TargetMode="External"/><Relationship Id="rId3134" Type="http://schemas.openxmlformats.org/officeDocument/2006/relationships/hyperlink" Target="https://ref.ly/Acts11:19-Acts11:22" TargetMode="External"/><Relationship Id="rId3135" Type="http://schemas.openxmlformats.org/officeDocument/2006/relationships/hyperlink" Target="https://ref.ly/Acts11:19-Acts11:26" TargetMode="External"/><Relationship Id="rId3136" Type="http://schemas.openxmlformats.org/officeDocument/2006/relationships/hyperlink" Target="https://ref.ly/Acts11:24" TargetMode="External"/><Relationship Id="rId3137" Type="http://schemas.openxmlformats.org/officeDocument/2006/relationships/hyperlink" Target="https://ref.ly/Acts13:2-Acts13:3" TargetMode="External"/><Relationship Id="rId3138" Type="http://schemas.openxmlformats.org/officeDocument/2006/relationships/hyperlink" Target="https://ref.ly/Acts14:8-Acts14:12" TargetMode="External"/><Relationship Id="rId3139" Type="http://schemas.openxmlformats.org/officeDocument/2006/relationships/hyperlink" Target="https://ref.ly/Acts15:36-Acts15:41" TargetMode="External"/><Relationship Id="rId3140" Type="http://schemas.openxmlformats.org/officeDocument/2006/relationships/hyperlink" Target="https://ref.ly/Col4:10" TargetMode="External"/><Relationship Id="rId3141" Type="http://schemas.openxmlformats.org/officeDocument/2006/relationships/hyperlink" Target="https://ref.ly/Matt27:15-Matt27:26" TargetMode="External"/><Relationship Id="rId3142" Type="http://schemas.openxmlformats.org/officeDocument/2006/relationships/hyperlink" Target="https://ref.ly/Mark15:6-Mark15:15" TargetMode="External"/><Relationship Id="rId3143" Type="http://schemas.openxmlformats.org/officeDocument/2006/relationships/hyperlink" Target="https://ref.ly/Luke23:18-Luke23:25" TargetMode="External"/><Relationship Id="rId3144" Type="http://schemas.openxmlformats.org/officeDocument/2006/relationships/hyperlink" Target="https://ref.ly/John18:39-John18:40" TargetMode="External"/><Relationship Id="rId3145" Type="http://schemas.openxmlformats.org/officeDocument/2006/relationships/hyperlink" Target="https://ref.ly/Acts3:14" TargetMode="External"/><Relationship Id="rId3146" Type="http://schemas.openxmlformats.org/officeDocument/2006/relationships/hyperlink" Target="https://ref.ly/Mark15:7" TargetMode="External"/><Relationship Id="rId3147" Type="http://schemas.openxmlformats.org/officeDocument/2006/relationships/hyperlink" Target="https://ref.ly/Luke23:19" TargetMode="External"/><Relationship Id="rId3148" Type="http://schemas.openxmlformats.org/officeDocument/2006/relationships/hyperlink" Target="https://ref.ly/John18:40" TargetMode="External"/><Relationship Id="rId3149" Type="http://schemas.openxmlformats.org/officeDocument/2006/relationships/hyperlink" Target="https://ref.ly/Matt27:16" TargetMode="External"/><Relationship Id="rId3150" Type="http://schemas.openxmlformats.org/officeDocument/2006/relationships/hyperlink" Target="https://ref.ly/John18:39" TargetMode="External"/><Relationship Id="rId3151" Type="http://schemas.openxmlformats.org/officeDocument/2006/relationships/hyperlink" Target="https://ref.ly/Matt27:21-Matt27:22" TargetMode="External"/><Relationship Id="rId3152" Type="http://schemas.openxmlformats.org/officeDocument/2006/relationships/hyperlink" Target="https://ref.ly/Acts1:23" TargetMode="External"/><Relationship Id="rId3153" Type="http://schemas.openxmlformats.org/officeDocument/2006/relationships/hyperlink" Target="https://ref.ly/Acts15:22" TargetMode="External"/><Relationship Id="rId3154" Type="http://schemas.openxmlformats.org/officeDocument/2006/relationships/hyperlink" Target="https://ref.ly/Mark10:46-Mark10:52" TargetMode="External"/><Relationship Id="rId3155" Type="http://schemas.openxmlformats.org/officeDocument/2006/relationships/hyperlink" Target="https://ref.ly/Mark3:16-Mark3:19" TargetMode="External"/><Relationship Id="rId3156" Type="http://schemas.openxmlformats.org/officeDocument/2006/relationships/hyperlink" Target="https://ref.ly/Luke6:14-Luke6:16" TargetMode="External"/><Relationship Id="rId3157" Type="http://schemas.openxmlformats.org/officeDocument/2006/relationships/hyperlink" Target="https://ref.ly/John1:45-John1:50" TargetMode="External"/><Relationship Id="rId3158" Type="http://schemas.openxmlformats.org/officeDocument/2006/relationships/hyperlink" Target="https://ref.ly/John21:2" TargetMode="External"/><Relationship Id="rId3159" Type="http://schemas.openxmlformats.org/officeDocument/2006/relationships/hyperlink" Target="https://ref.ly/Ezek47:16,Ezek47:18" TargetMode="External"/><Relationship Id="rId3160" Type="http://schemas.openxmlformats.org/officeDocument/2006/relationships/hyperlink" Target="https://ref.ly/Deut32:14" TargetMode="External"/><Relationship Id="rId3161" Type="http://schemas.openxmlformats.org/officeDocument/2006/relationships/hyperlink" Target="https://ref.ly/Ezek39:18" TargetMode="External"/><Relationship Id="rId3162" Type="http://schemas.openxmlformats.org/officeDocument/2006/relationships/hyperlink" Target="https://ref.ly/Deut29:7" TargetMode="External"/><Relationship Id="rId3163" Type="http://schemas.openxmlformats.org/officeDocument/2006/relationships/hyperlink" Target="https://ref.ly/Deut3:4-Deut3:5" TargetMode="External"/><Relationship Id="rId3164" Type="http://schemas.openxmlformats.org/officeDocument/2006/relationships/hyperlink" Target="https://ref.ly/Josh13:29-Josh13:30" TargetMode="External"/><Relationship Id="rId3165" Type="http://schemas.openxmlformats.org/officeDocument/2006/relationships/hyperlink" Target="https://ref.ly/2Kgs15:29" TargetMode="External"/><Relationship Id="rId3166" Type="http://schemas.openxmlformats.org/officeDocument/2006/relationships/hyperlink" Target="https://ref.ly/Gen26:34" TargetMode="External"/><Relationship Id="rId3167" Type="http://schemas.openxmlformats.org/officeDocument/2006/relationships/hyperlink" Target="https://ref.ly/Gen36:2" TargetMode="External"/><Relationship Id="rId3168" Type="http://schemas.openxmlformats.org/officeDocument/2006/relationships/hyperlink" Target="https://ref.ly/Gen36:3" TargetMode="External"/><Relationship Id="rId3169" Type="http://schemas.openxmlformats.org/officeDocument/2006/relationships/hyperlink" Target="https://ref.ly/Gen36:4,Gen36:10" TargetMode="External"/><Relationship Id="rId3170" Type="http://schemas.openxmlformats.org/officeDocument/2006/relationships/hyperlink" Target="https://ref.ly/Gen28:9" TargetMode="External"/><Relationship Id="rId3171" Type="http://schemas.openxmlformats.org/officeDocument/2006/relationships/hyperlink" Target="https://ref.ly/Gen36:6-Gen36:8" TargetMode="External"/><Relationship Id="rId3172" Type="http://schemas.openxmlformats.org/officeDocument/2006/relationships/hyperlink" Target="https://ref.ly/Gen36:2-Gen36:4" TargetMode="External"/><Relationship Id="rId3173" Type="http://schemas.openxmlformats.org/officeDocument/2006/relationships/hyperlink" Target="https://ref.ly/Gen36:3-Gen36:4" TargetMode="External"/><Relationship Id="rId3174" Type="http://schemas.openxmlformats.org/officeDocument/2006/relationships/hyperlink" Target="https://ref.ly/1Kgs4:15" TargetMode="External"/><Relationship Id="rId3175" Type="http://schemas.openxmlformats.org/officeDocument/2006/relationships/hyperlink" Target="https://ref.ly/Prov23:32" TargetMode="External"/><Relationship Id="rId3176" Type="http://schemas.openxmlformats.org/officeDocument/2006/relationships/hyperlink" Target="https://ref.ly/2Sam15:12" TargetMode="External"/><Relationship Id="rId3177" Type="http://schemas.openxmlformats.org/officeDocument/2006/relationships/hyperlink" Target="https://ref.ly/2Sam23:34" TargetMode="External"/><Relationship Id="rId3178" Type="http://schemas.openxmlformats.org/officeDocument/2006/relationships/hyperlink" Target="https://ref.ly/2Sam23:39" TargetMode="External"/><Relationship Id="rId3179" Type="http://schemas.openxmlformats.org/officeDocument/2006/relationships/hyperlink" Target="https://ref.ly/2Sam11:1-2Sam11:4" TargetMode="External"/><Relationship Id="rId3180" Type="http://schemas.openxmlformats.org/officeDocument/2006/relationships/hyperlink" Target="https://ref.ly/2Sam11:5-2Sam11:13" TargetMode="External"/><Relationship Id="rId3181" Type="http://schemas.openxmlformats.org/officeDocument/2006/relationships/hyperlink" Target="https://ref.ly/2Sam11:14-2Sam11:25" TargetMode="External"/><Relationship Id="rId3182" Type="http://schemas.openxmlformats.org/officeDocument/2006/relationships/hyperlink" Target="https://ref.ly/2Sam11:26-2Sam12:14" TargetMode="External"/><Relationship Id="rId3183" Type="http://schemas.openxmlformats.org/officeDocument/2006/relationships/hyperlink" Target="https://ref.ly/2Sam12:15-2Sam12:25" TargetMode="External"/><Relationship Id="rId3184" Type="http://schemas.openxmlformats.org/officeDocument/2006/relationships/hyperlink" Target="https://ref.ly/1Chr3:1-1Chr3:9" TargetMode="External"/><Relationship Id="rId3185" Type="http://schemas.openxmlformats.org/officeDocument/2006/relationships/hyperlink" Target="https://ref.ly/2Sam5:14" TargetMode="External"/><Relationship Id="rId3186" Type="http://schemas.openxmlformats.org/officeDocument/2006/relationships/hyperlink" Target="https://ref.ly/1Chr14:4" TargetMode="External"/><Relationship Id="rId3187" Type="http://schemas.openxmlformats.org/officeDocument/2006/relationships/hyperlink" Target="https://ref.ly/Matt1:6" TargetMode="External"/><Relationship Id="rId3188" Type="http://schemas.openxmlformats.org/officeDocument/2006/relationships/hyperlink" Target="https://ref.ly/1Kgs1:1-1Kgs1:53" TargetMode="External"/><Relationship Id="rId3189" Type="http://schemas.openxmlformats.org/officeDocument/2006/relationships/hyperlink" Target="https://ref.ly/Gen38:2-Gen38:5" TargetMode="External"/><Relationship Id="rId3190" Type="http://schemas.openxmlformats.org/officeDocument/2006/relationships/hyperlink" Target="https://ref.ly/1Chr2:3" TargetMode="External"/><Relationship Id="rId3191" Type="http://schemas.openxmlformats.org/officeDocument/2006/relationships/hyperlink" Target="https://ref.ly/Luke3:3" TargetMode="External"/><Relationship Id="rId3192" Type="http://schemas.openxmlformats.org/officeDocument/2006/relationships/hyperlink" Target="https://ref.ly/Matt3:12" TargetMode="External"/><Relationship Id="rId3193" Type="http://schemas.openxmlformats.org/officeDocument/2006/relationships/hyperlink" Target="https://ref.ly/Luke3:7-Luke3:14" TargetMode="External"/><Relationship Id="rId3194" Type="http://schemas.openxmlformats.org/officeDocument/2006/relationships/hyperlink" Target="https://ref.ly/John3:22" TargetMode="External"/><Relationship Id="rId3195" Type="http://schemas.openxmlformats.org/officeDocument/2006/relationships/hyperlink" Target="https://ref.ly/John4:1-John4:3" TargetMode="External"/><Relationship Id="rId3196" Type="http://schemas.openxmlformats.org/officeDocument/2006/relationships/hyperlink" Target="https://ref.ly/Mark1:9-Mark1:11" TargetMode="External"/><Relationship Id="rId3197" Type="http://schemas.openxmlformats.org/officeDocument/2006/relationships/hyperlink" Target="https://ref.ly/Mark1:11" TargetMode="External"/><Relationship Id="rId3198" Type="http://schemas.openxmlformats.org/officeDocument/2006/relationships/hyperlink" Target="https://ref.ly/Isa42:1" TargetMode="External"/><Relationship Id="rId3199" Type="http://schemas.openxmlformats.org/officeDocument/2006/relationships/hyperlink" Target="https://ref.ly/Matt28:19" TargetMode="External"/><Relationship Id="rId3200" Type="http://schemas.openxmlformats.org/officeDocument/2006/relationships/hyperlink" Target="https://ref.ly/Acts2:38" TargetMode="External"/><Relationship Id="rId3201" Type="http://schemas.openxmlformats.org/officeDocument/2006/relationships/hyperlink" Target="https://ref.ly/Acts8:16" TargetMode="External"/><Relationship Id="rId3202" Type="http://schemas.openxmlformats.org/officeDocument/2006/relationships/hyperlink" Target="https://ref.ly/Acts10:48" TargetMode="External"/><Relationship Id="rId3203" Type="http://schemas.openxmlformats.org/officeDocument/2006/relationships/hyperlink" Target="https://ref.ly/Acts19:5" TargetMode="External"/><Relationship Id="rId3204" Type="http://schemas.openxmlformats.org/officeDocument/2006/relationships/hyperlink" Target="https://ref.ly/Acts5:31" TargetMode="External"/><Relationship Id="rId3205" Type="http://schemas.openxmlformats.org/officeDocument/2006/relationships/hyperlink" Target="https://ref.ly/Acts10:43" TargetMode="External"/><Relationship Id="rId3206" Type="http://schemas.openxmlformats.org/officeDocument/2006/relationships/hyperlink" Target="https://ref.ly/Acts13:38" TargetMode="External"/><Relationship Id="rId3207" Type="http://schemas.openxmlformats.org/officeDocument/2006/relationships/hyperlink" Target="https://ref.ly/Acts26:18" TargetMode="External"/><Relationship Id="rId3208" Type="http://schemas.openxmlformats.org/officeDocument/2006/relationships/hyperlink" Target="https://ref.ly/Acts9:17" TargetMode="External"/><Relationship Id="rId3209" Type="http://schemas.openxmlformats.org/officeDocument/2006/relationships/hyperlink" Target="https://ref.ly/Acts10:47-Acts10:48" TargetMode="External"/><Relationship Id="rId3210" Type="http://schemas.openxmlformats.org/officeDocument/2006/relationships/hyperlink" Target="https://ref.ly/Acts11:16-Acts11:17" TargetMode="External"/><Relationship Id="rId3211" Type="http://schemas.openxmlformats.org/officeDocument/2006/relationships/hyperlink" Target="https://ref.ly/Acts19:5-Acts19:7" TargetMode="External"/><Relationship Id="rId3212" Type="http://schemas.openxmlformats.org/officeDocument/2006/relationships/hyperlink" Target="https://ref.ly/Gal3:27" TargetMode="External"/><Relationship Id="rId3213" Type="http://schemas.openxmlformats.org/officeDocument/2006/relationships/hyperlink" Target="https://ref.ly/Rom6:3-Rom6:8" TargetMode="External"/><Relationship Id="rId3214" Type="http://schemas.openxmlformats.org/officeDocument/2006/relationships/hyperlink" Target="https://ref.ly/Col2:12-Col2:13" TargetMode="External"/><Relationship Id="rId3215" Type="http://schemas.openxmlformats.org/officeDocument/2006/relationships/hyperlink" Target="https://ref.ly/2Cor1:21-2Cor1:22" TargetMode="External"/><Relationship Id="rId3216" Type="http://schemas.openxmlformats.org/officeDocument/2006/relationships/hyperlink" Target="https://ref.ly/Eph1:13" TargetMode="External"/><Relationship Id="rId3217" Type="http://schemas.openxmlformats.org/officeDocument/2006/relationships/hyperlink" Target="https://ref.ly/Eph4:30" TargetMode="External"/><Relationship Id="rId3218" Type="http://schemas.openxmlformats.org/officeDocument/2006/relationships/hyperlink" Target="https://ref.ly/Col2:11-Col2:12" TargetMode="External"/><Relationship Id="rId3219" Type="http://schemas.openxmlformats.org/officeDocument/2006/relationships/hyperlink" Target="https://ref.ly/Deut10:16" TargetMode="External"/><Relationship Id="rId3220" Type="http://schemas.openxmlformats.org/officeDocument/2006/relationships/hyperlink" Target="https://ref.ly/Deut30:6" TargetMode="External"/><Relationship Id="rId3221" Type="http://schemas.openxmlformats.org/officeDocument/2006/relationships/hyperlink" Target="https://ref.ly/Jer4:4" TargetMode="External"/><Relationship Id="rId3222" Type="http://schemas.openxmlformats.org/officeDocument/2006/relationships/hyperlink" Target="https://ref.ly/Rom2:28-Rom2:29" TargetMode="External"/><Relationship Id="rId3223" Type="http://schemas.openxmlformats.org/officeDocument/2006/relationships/hyperlink" Target="https://ref.ly/Phil3:3" TargetMode="External"/><Relationship Id="rId3224" Type="http://schemas.openxmlformats.org/officeDocument/2006/relationships/hyperlink" Target="https://ref.ly/1Pet3:19-1Pet3:21" TargetMode="External"/><Relationship Id="rId3225" Type="http://schemas.openxmlformats.org/officeDocument/2006/relationships/hyperlink" Target="https://ref.ly/Mal3:2-Mal3:3" TargetMode="External"/><Relationship Id="rId3226" Type="http://schemas.openxmlformats.org/officeDocument/2006/relationships/hyperlink" Target="https://ref.ly/Mal4:1" TargetMode="External"/><Relationship Id="rId3227" Type="http://schemas.openxmlformats.org/officeDocument/2006/relationships/hyperlink" Target="https://ref.ly/Matt3:10" TargetMode="External"/><Relationship Id="rId3228" Type="http://schemas.openxmlformats.org/officeDocument/2006/relationships/hyperlink" Target="https://ref.ly/Isa30:27-Isa30:28" TargetMode="External"/><Relationship Id="rId3229" Type="http://schemas.openxmlformats.org/officeDocument/2006/relationships/hyperlink" Target="https://ref.ly/2Esd13:10-2Esd13:11" TargetMode="External"/><Relationship Id="rId3230" Type="http://schemas.openxmlformats.org/officeDocument/2006/relationships/hyperlink" Target="https://ref.ly/Mark9:49" TargetMode="External"/><Relationship Id="rId3231" Type="http://schemas.openxmlformats.org/officeDocument/2006/relationships/hyperlink" Target="https://ref.ly/Luke12:49-Luke12:50" TargetMode="External"/><Relationship Id="rId3232" Type="http://schemas.openxmlformats.org/officeDocument/2006/relationships/hyperlink" Target="https://ref.ly/Rom6:3" TargetMode="External"/><Relationship Id="rId3233" Type="http://schemas.openxmlformats.org/officeDocument/2006/relationships/hyperlink" Target="https://ref.ly/Rom6:5" TargetMode="External"/><Relationship Id="rId3234" Type="http://schemas.openxmlformats.org/officeDocument/2006/relationships/hyperlink" Target="https://ref.ly/Rom8:17-Rom8:23" TargetMode="External"/><Relationship Id="rId3235" Type="http://schemas.openxmlformats.org/officeDocument/2006/relationships/hyperlink" Target="https://ref.ly/Phil3:10-Phil3:11" TargetMode="External"/><Relationship Id="rId3236" Type="http://schemas.openxmlformats.org/officeDocument/2006/relationships/hyperlink" Target="https://ref.ly/Matt3:6-Matt3:10" TargetMode="External"/><Relationship Id="rId3237" Type="http://schemas.openxmlformats.org/officeDocument/2006/relationships/hyperlink" Target="https://ref.ly/Mark1:4-Mark1:5" TargetMode="External"/><Relationship Id="rId3238" Type="http://schemas.openxmlformats.org/officeDocument/2006/relationships/hyperlink" Target="https://ref.ly/Luke3:3-Luke3:14" TargetMode="External"/><Relationship Id="rId3239" Type="http://schemas.openxmlformats.org/officeDocument/2006/relationships/hyperlink" Target="https://ref.ly/2Cor5:21" TargetMode="External"/><Relationship Id="rId3240" Type="http://schemas.openxmlformats.org/officeDocument/2006/relationships/hyperlink" Target="https://ref.ly/Heb4:15" TargetMode="External"/><Relationship Id="rId3241" Type="http://schemas.openxmlformats.org/officeDocument/2006/relationships/hyperlink" Target="https://ref.ly/1Pet2:22" TargetMode="External"/><Relationship Id="rId3242" Type="http://schemas.openxmlformats.org/officeDocument/2006/relationships/hyperlink" Target="https://ref.ly/Mark1:10" TargetMode="External"/><Relationship Id="rId3243" Type="http://schemas.openxmlformats.org/officeDocument/2006/relationships/hyperlink" Target="https://ref.ly/Isa64:1" TargetMode="External"/><Relationship Id="rId3244" Type="http://schemas.openxmlformats.org/officeDocument/2006/relationships/hyperlink" Target="https://ref.ly/Matt3:14" TargetMode="External"/><Relationship Id="rId3245" Type="http://schemas.openxmlformats.org/officeDocument/2006/relationships/hyperlink" Target="https://ref.ly/Matt3:15" TargetMode="External"/><Relationship Id="rId3246" Type="http://schemas.openxmlformats.org/officeDocument/2006/relationships/hyperlink" Target="https://ref.ly/Ps98:2-Ps98:3" TargetMode="External"/><Relationship Id="rId3247" Type="http://schemas.openxmlformats.org/officeDocument/2006/relationships/hyperlink" Target="https://ref.ly/Rom1:17" TargetMode="External"/><Relationship Id="rId3248" Type="http://schemas.openxmlformats.org/officeDocument/2006/relationships/hyperlink" Target="https://ref.ly/Jer23:6" TargetMode="External"/><Relationship Id="rId3249" Type="http://schemas.openxmlformats.org/officeDocument/2006/relationships/hyperlink" Target="https://ref.ly/Isa11:1-Isa11:5" TargetMode="External"/><Relationship Id="rId3250" Type="http://schemas.openxmlformats.org/officeDocument/2006/relationships/hyperlink" Target="https://ref.ly/Luke3:21-Luke3:22" TargetMode="External"/><Relationship Id="rId3251" Type="http://schemas.openxmlformats.org/officeDocument/2006/relationships/hyperlink" Target="https://ref.ly/Exod6:14-Exod6:25" TargetMode="External"/><Relationship Id="rId3252" Type="http://schemas.openxmlformats.org/officeDocument/2006/relationships/hyperlink" Target="https://ref.ly/Luke4:1-Luke4:13" TargetMode="External"/><Relationship Id="rId3253" Type="http://schemas.openxmlformats.org/officeDocument/2006/relationships/hyperlink" Target="https://ref.ly/Luke4:16-Luke4:21" TargetMode="External"/><Relationship Id="rId3254" Type="http://schemas.openxmlformats.org/officeDocument/2006/relationships/hyperlink" Target="https://ref.ly/Acts10:37-Acts10:38" TargetMode="External"/><Relationship Id="rId3255" Type="http://schemas.openxmlformats.org/officeDocument/2006/relationships/hyperlink" Target="https://ref.ly/Luke2:8-Luke2:20" TargetMode="External"/><Relationship Id="rId3256" Type="http://schemas.openxmlformats.org/officeDocument/2006/relationships/hyperlink" Target="https://ref.ly/Jer30:21" TargetMode="External"/><Relationship Id="rId3257" Type="http://schemas.openxmlformats.org/officeDocument/2006/relationships/hyperlink" Target="https://ref.ly/Ezek45:1-Ezek46:24" TargetMode="External"/><Relationship Id="rId3258" Type="http://schemas.openxmlformats.org/officeDocument/2006/relationships/hyperlink" Target="https://ref.ly/Isa44:1" TargetMode="External"/><Relationship Id="rId3259" Type="http://schemas.openxmlformats.org/officeDocument/2006/relationships/hyperlink" Target="https://ref.ly/Isa53:3" TargetMode="External"/><Relationship Id="rId3260" Type="http://schemas.openxmlformats.org/officeDocument/2006/relationships/hyperlink" Target="https://ref.ly/Isa49:5-Isa49:26" TargetMode="External"/><Relationship Id="rId3261" Type="http://schemas.openxmlformats.org/officeDocument/2006/relationships/hyperlink" Target="https://ref.ly/John1:32-John1:34" TargetMode="External"/><Relationship Id="rId3262" Type="http://schemas.openxmlformats.org/officeDocument/2006/relationships/hyperlink" Target="https://ref.ly/John1:29-John1:36" TargetMode="External"/><Relationship Id="rId3263" Type="http://schemas.openxmlformats.org/officeDocument/2006/relationships/hyperlink" Target="https://ref.ly/Isa53:6-Isa53:7" TargetMode="External"/><Relationship Id="rId3264" Type="http://schemas.openxmlformats.org/officeDocument/2006/relationships/hyperlink" Target="https://ref.ly/Dan7:10" TargetMode="External"/><Relationship Id="rId3265" Type="http://schemas.openxmlformats.org/officeDocument/2006/relationships/hyperlink" Target="https://ref.ly/Matt3:11-Matt3:12" TargetMode="External"/><Relationship Id="rId3266" Type="http://schemas.openxmlformats.org/officeDocument/2006/relationships/hyperlink" Target="https://ref.ly/Dan7:19-Dan7:22" TargetMode="External"/><Relationship Id="rId3267" Type="http://schemas.openxmlformats.org/officeDocument/2006/relationships/hyperlink" Target="https://ref.ly/Dan12:1" TargetMode="External"/><Relationship Id="rId3268" Type="http://schemas.openxmlformats.org/officeDocument/2006/relationships/hyperlink" Target="https://ref.ly/Zech14:12-Zech14:15" TargetMode="External"/><Relationship Id="rId3269" Type="http://schemas.openxmlformats.org/officeDocument/2006/relationships/hyperlink" Target="https://ref.ly/Acts2:4" TargetMode="External"/><Relationship Id="rId3270" Type="http://schemas.openxmlformats.org/officeDocument/2006/relationships/hyperlink" Target="https://ref.ly/Isa44:3" TargetMode="External"/><Relationship Id="rId3271" Type="http://schemas.openxmlformats.org/officeDocument/2006/relationships/hyperlink" Target="https://ref.ly/Ezek39:29" TargetMode="External"/><Relationship Id="rId3272" Type="http://schemas.openxmlformats.org/officeDocument/2006/relationships/hyperlink" Target="https://ref.ly/Joel2:28-Joel2:29" TargetMode="External"/><Relationship Id="rId3273" Type="http://schemas.openxmlformats.org/officeDocument/2006/relationships/hyperlink" Target="https://ref.ly/Acts2:1-Acts2:7" TargetMode="External"/><Relationship Id="rId3274" Type="http://schemas.openxmlformats.org/officeDocument/2006/relationships/hyperlink" Target="https://ref.ly/Acts11:17" TargetMode="External"/><Relationship Id="rId3275" Type="http://schemas.openxmlformats.org/officeDocument/2006/relationships/hyperlink" Target="https://ref.ly/Gal3:3" TargetMode="External"/><Relationship Id="rId3276" Type="http://schemas.openxmlformats.org/officeDocument/2006/relationships/hyperlink" Target="https://ref.ly/Rom8:9" TargetMode="External"/><Relationship Id="rId3277" Type="http://schemas.openxmlformats.org/officeDocument/2006/relationships/hyperlink" Target="https://ref.ly/Acts10:43-Acts10:45" TargetMode="External"/><Relationship Id="rId3278" Type="http://schemas.openxmlformats.org/officeDocument/2006/relationships/hyperlink" Target="https://ref.ly/Acts11:13-Acts11:18" TargetMode="External"/><Relationship Id="rId3279" Type="http://schemas.openxmlformats.org/officeDocument/2006/relationships/hyperlink" Target="https://ref.ly/Acts15:8-Acts15:9" TargetMode="External"/><Relationship Id="rId3280" Type="http://schemas.openxmlformats.org/officeDocument/2006/relationships/hyperlink" Target="https://ref.ly/1Cor15:29" TargetMode="External"/><Relationship Id="rId3281" Type="http://schemas.openxmlformats.org/officeDocument/2006/relationships/hyperlink" Target="https://ref.ly/Mark10:38" TargetMode="External"/><Relationship Id="rId3282" Type="http://schemas.openxmlformats.org/officeDocument/2006/relationships/hyperlink" Target="https://ref.ly/Luke12:50" TargetMode="External"/><Relationship Id="rId3283" Type="http://schemas.openxmlformats.org/officeDocument/2006/relationships/hyperlink" Target="https://ref.ly/1Cor1:14-1Cor1:17" TargetMode="External"/><Relationship Id="rId3284" Type="http://schemas.openxmlformats.org/officeDocument/2006/relationships/hyperlink" Target="https://ref.ly/1Cor10:1-1Cor10:13" TargetMode="External"/><Relationship Id="rId3285" Type="http://schemas.openxmlformats.org/officeDocument/2006/relationships/hyperlink" Target="https://ref.ly/1Cor15:29-1Cor15:34" TargetMode="External"/><Relationship Id="rId3286" Type="http://schemas.openxmlformats.org/officeDocument/2006/relationships/hyperlink" Target="https://ref.ly/Num11:7" TargetMode="External"/><Relationship Id="rId3287" Type="http://schemas.openxmlformats.org/officeDocument/2006/relationships/hyperlink" Target="https://ref.ly/Gen2:12" TargetMode="External"/><Relationship Id="rId3288" Type="http://schemas.openxmlformats.org/officeDocument/2006/relationships/hyperlink" Target="https://ref.ly/Lev10:9" TargetMode="External"/><Relationship Id="rId3289" Type="http://schemas.openxmlformats.org/officeDocument/2006/relationships/hyperlink" Target="https://ref.ly/Num6:3" TargetMode="External"/><Relationship Id="rId3290" Type="http://schemas.openxmlformats.org/officeDocument/2006/relationships/hyperlink" Target="https://ref.ly/Judg13:4-Judg13:14" TargetMode="External"/><Relationship Id="rId3291" Type="http://schemas.openxmlformats.org/officeDocument/2006/relationships/hyperlink" Target="https://ref.ly/Prov31:4" TargetMode="External"/><Relationship Id="rId3292" Type="http://schemas.openxmlformats.org/officeDocument/2006/relationships/hyperlink" Target="https://ref.ly/Prov20:1" TargetMode="External"/><Relationship Id="rId3293" Type="http://schemas.openxmlformats.org/officeDocument/2006/relationships/hyperlink" Target="https://ref.ly/Isa5:11,Isa5:22" TargetMode="External"/><Relationship Id="rId3294" Type="http://schemas.openxmlformats.org/officeDocument/2006/relationships/hyperlink" Target="https://ref.ly/Num28:7" TargetMode="External"/><Relationship Id="rId3295" Type="http://schemas.openxmlformats.org/officeDocument/2006/relationships/hyperlink" Target="https://ref.ly/Deut14:26" TargetMode="External"/><Relationship Id="rId3296" Type="http://schemas.openxmlformats.org/officeDocument/2006/relationships/hyperlink" Target="https://ref.ly/Exod38:26" TargetMode="External"/><Relationship Id="rId3297" Type="http://schemas.openxmlformats.org/officeDocument/2006/relationships/hyperlink" Target="https://ref.ly/Num21:16" TargetMode="External"/><Relationship Id="rId3298" Type="http://schemas.openxmlformats.org/officeDocument/2006/relationships/hyperlink" Target="https://ref.ly/Num21:17-Num21:18" TargetMode="External"/><Relationship Id="rId3299" Type="http://schemas.openxmlformats.org/officeDocument/2006/relationships/hyperlink" Target="https://ref.ly/Isa15:8" TargetMode="External"/><Relationship Id="rId3300" Type="http://schemas.openxmlformats.org/officeDocument/2006/relationships/hyperlink" Target="https://ref.ly/Judg9:21" TargetMode="External"/><Relationship Id="rId3301" Type="http://schemas.openxmlformats.org/officeDocument/2006/relationships/hyperlink" Target="https://ref.ly/Hos1:1" TargetMode="External"/><Relationship Id="rId3302" Type="http://schemas.openxmlformats.org/officeDocument/2006/relationships/hyperlink" Target="https://ref.ly/Gen16:7-Gen16:14" TargetMode="External"/><Relationship Id="rId3303" Type="http://schemas.openxmlformats.org/officeDocument/2006/relationships/hyperlink" Target="https://ref.ly/Gen24:62" TargetMode="External"/><Relationship Id="rId3304" Type="http://schemas.openxmlformats.org/officeDocument/2006/relationships/hyperlink" Target="https://ref.ly/Gen25:11" TargetMode="External"/><Relationship Id="rId3305" Type="http://schemas.openxmlformats.org/officeDocument/2006/relationships/hyperlink" Target="https://ref.ly/Deut10:6" TargetMode="External"/><Relationship Id="rId3306" Type="http://schemas.openxmlformats.org/officeDocument/2006/relationships/hyperlink" Target="https://ref.ly/Num33:31-Num33:32" TargetMode="External"/><Relationship Id="rId3307" Type="http://schemas.openxmlformats.org/officeDocument/2006/relationships/hyperlink" Target="https://ref.ly/Deut28:26" TargetMode="External"/><Relationship Id="rId3308" Type="http://schemas.openxmlformats.org/officeDocument/2006/relationships/hyperlink" Target="https://ref.ly/Deut32:24" TargetMode="External"/><Relationship Id="rId3309" Type="http://schemas.openxmlformats.org/officeDocument/2006/relationships/hyperlink" Target="https://ref.ly/Ps50:10" TargetMode="External"/><Relationship Id="rId3310" Type="http://schemas.openxmlformats.org/officeDocument/2006/relationships/hyperlink" Target="https://ref.ly/Isa18:6" TargetMode="External"/><Relationship Id="rId3311" Type="http://schemas.openxmlformats.org/officeDocument/2006/relationships/hyperlink" Target="https://ref.ly/2Esd6:49,2Esd6:51" TargetMode="External"/><Relationship Id="rId3312" Type="http://schemas.openxmlformats.org/officeDocument/2006/relationships/hyperlink" Target="https://ref.ly/Hab2:17" TargetMode="External"/><Relationship Id="rId3313" Type="http://schemas.openxmlformats.org/officeDocument/2006/relationships/hyperlink" Target="https://ref.ly/Job40:15" TargetMode="External"/><Relationship Id="rId3314" Type="http://schemas.openxmlformats.org/officeDocument/2006/relationships/hyperlink" Target="https://ref.ly/Job40:23" TargetMode="External"/><Relationship Id="rId3315" Type="http://schemas.openxmlformats.org/officeDocument/2006/relationships/hyperlink" Target="https://ref.ly/Gen29:11" TargetMode="External"/><Relationship Id="rId3316" Type="http://schemas.openxmlformats.org/officeDocument/2006/relationships/hyperlink" Target="https://ref.ly/Gen33:4" TargetMode="External"/><Relationship Id="rId3317" Type="http://schemas.openxmlformats.org/officeDocument/2006/relationships/hyperlink" Target="https://ref.ly/Prov7:6-Prov7:13" TargetMode="External"/><Relationship Id="rId3318" Type="http://schemas.openxmlformats.org/officeDocument/2006/relationships/hyperlink" Target="https://ref.ly/Song1:2" TargetMode="External"/><Relationship Id="rId3319" Type="http://schemas.openxmlformats.org/officeDocument/2006/relationships/hyperlink" Target="https://ref.ly/1Sam10:1" TargetMode="External"/><Relationship Id="rId3320" Type="http://schemas.openxmlformats.org/officeDocument/2006/relationships/hyperlink" Target="https://ref.ly/Job31:27" TargetMode="External"/><Relationship Id="rId3321" Type="http://schemas.openxmlformats.org/officeDocument/2006/relationships/hyperlink" Target="https://ref.ly/Matt26:48-Matt26:49" TargetMode="External"/><Relationship Id="rId3322" Type="http://schemas.openxmlformats.org/officeDocument/2006/relationships/hyperlink" Target="https://ref.ly/Rom16:16" TargetMode="External"/><Relationship Id="rId3323" Type="http://schemas.openxmlformats.org/officeDocument/2006/relationships/hyperlink" Target="https://ref.ly/1Cor16:20" TargetMode="External"/><Relationship Id="rId3324" Type="http://schemas.openxmlformats.org/officeDocument/2006/relationships/hyperlink" Target="https://ref.ly/2Cor13:12" TargetMode="External"/><Relationship Id="rId3325" Type="http://schemas.openxmlformats.org/officeDocument/2006/relationships/hyperlink" Target="https://ref.ly/1Thess5:26" TargetMode="External"/><Relationship Id="rId3326" Type="http://schemas.openxmlformats.org/officeDocument/2006/relationships/hyperlink" Target="https://ref.ly/1Pet5:14" TargetMode="External"/><Relationship Id="rId3327" Type="http://schemas.openxmlformats.org/officeDocument/2006/relationships/hyperlink" Target="https://ref.ly/1Thess5:25-1Thess5:27" TargetMode="External"/><Relationship Id="rId3328" Type="http://schemas.openxmlformats.org/officeDocument/2006/relationships/hyperlink" Target="https://ref.ly/Gen14:2" TargetMode="External"/><Relationship Id="rId3329" Type="http://schemas.openxmlformats.org/officeDocument/2006/relationships/hyperlink" Target="https://ref.ly/Gen36:31-Gen36:33" TargetMode="External"/><Relationship Id="rId3330" Type="http://schemas.openxmlformats.org/officeDocument/2006/relationships/hyperlink" Target="https://ref.ly/1Chr5:8-1Chr5:9" TargetMode="External"/><Relationship Id="rId3331" Type="http://schemas.openxmlformats.org/officeDocument/2006/relationships/hyperlink" Target="https://ref.ly/Num26:38-Num26:40" TargetMode="External"/><Relationship Id="rId3332" Type="http://schemas.openxmlformats.org/officeDocument/2006/relationships/hyperlink" Target="https://ref.ly/Gen35:19" TargetMode="External"/><Relationship Id="rId3333" Type="http://schemas.openxmlformats.org/officeDocument/2006/relationships/hyperlink" Target="https://ref.ly/Mic5:2" TargetMode="External"/><Relationship Id="rId3334" Type="http://schemas.openxmlformats.org/officeDocument/2006/relationships/hyperlink" Target="https://ref.ly/Gen35:16,Gen35:19" TargetMode="External"/><Relationship Id="rId3335" Type="http://schemas.openxmlformats.org/officeDocument/2006/relationships/hyperlink" Target="https://ref.ly/Gen48:7" TargetMode="External"/><Relationship Id="rId3336" Type="http://schemas.openxmlformats.org/officeDocument/2006/relationships/hyperlink" Target="https://ref.ly/1Chr2:51" TargetMode="External"/><Relationship Id="rId3337" Type="http://schemas.openxmlformats.org/officeDocument/2006/relationships/hyperlink" Target="https://ref.ly/Judg17:7-Judg17:8" TargetMode="External"/><Relationship Id="rId3338" Type="http://schemas.openxmlformats.org/officeDocument/2006/relationships/hyperlink" Target="https://ref.ly/Ruth4:11,Ruth4:17" TargetMode="External"/><Relationship Id="rId3339" Type="http://schemas.openxmlformats.org/officeDocument/2006/relationships/hyperlink" Target="https://ref.ly/1Sam16:18" TargetMode="External"/><Relationship Id="rId3340" Type="http://schemas.openxmlformats.org/officeDocument/2006/relationships/hyperlink" Target="https://ref.ly/1Sam17:12" TargetMode="External"/><Relationship Id="rId3341" Type="http://schemas.openxmlformats.org/officeDocument/2006/relationships/hyperlink" Target="https://ref.ly/2Sam23:24" TargetMode="External"/><Relationship Id="rId3342" Type="http://schemas.openxmlformats.org/officeDocument/2006/relationships/hyperlink" Target="https://ref.ly/1Chr11:26" TargetMode="External"/><Relationship Id="rId3343" Type="http://schemas.openxmlformats.org/officeDocument/2006/relationships/hyperlink" Target="https://ref.ly/2Sam23:14-2Sam23:17" TargetMode="External"/><Relationship Id="rId3344" Type="http://schemas.openxmlformats.org/officeDocument/2006/relationships/hyperlink" Target="https://ref.ly/Jer41:17" TargetMode="External"/><Relationship Id="rId3345" Type="http://schemas.openxmlformats.org/officeDocument/2006/relationships/hyperlink" Target="https://ref.ly/Ezra2:21" TargetMode="External"/><Relationship Id="rId3346" Type="http://schemas.openxmlformats.org/officeDocument/2006/relationships/hyperlink" Target="https://ref.ly/Neh7:26" TargetMode="External"/><Relationship Id="rId3347" Type="http://schemas.openxmlformats.org/officeDocument/2006/relationships/hyperlink" Target="https://ref.ly/1Esd5:17" TargetMode="External"/><Relationship Id="rId3348" Type="http://schemas.openxmlformats.org/officeDocument/2006/relationships/hyperlink" Target="https://ref.ly/Luke2:4-Luke2:6,Luke2:15" TargetMode="External"/><Relationship Id="rId3349" Type="http://schemas.openxmlformats.org/officeDocument/2006/relationships/hyperlink" Target="https://ref.ly/Luke2:4-Luke2:6" TargetMode="External"/><Relationship Id="rId3350" Type="http://schemas.openxmlformats.org/officeDocument/2006/relationships/hyperlink" Target="https://ref.ly/John7:42" TargetMode="External"/><Relationship Id="rId3351" Type="http://schemas.openxmlformats.org/officeDocument/2006/relationships/hyperlink" Target="https://ref.ly/Luke2:4" TargetMode="External"/><Relationship Id="rId3352" Type="http://schemas.openxmlformats.org/officeDocument/2006/relationships/hyperlink" Target="https://ref.ly/Josh19:15" TargetMode="External"/><Relationship Id="rId3353" Type="http://schemas.openxmlformats.org/officeDocument/2006/relationships/hyperlink" Target="https://ref.ly/Judg12:8-Judg12:10" TargetMode="External"/><Relationship Id="rId3354" Type="http://schemas.openxmlformats.org/officeDocument/2006/relationships/hyperlink" Target="https://ref.ly/Job26:13" TargetMode="External"/><Relationship Id="rId3355" Type="http://schemas.openxmlformats.org/officeDocument/2006/relationships/hyperlink" Target="https://ref.ly/Ps19:1-Ps19:6" TargetMode="External"/><Relationship Id="rId3356" Type="http://schemas.openxmlformats.org/officeDocument/2006/relationships/hyperlink" Target="https://ref.ly/Song6:10" TargetMode="External"/><Relationship Id="rId3357" Type="http://schemas.openxmlformats.org/officeDocument/2006/relationships/hyperlink" Target="https://ref.ly/Jer3:19" TargetMode="External"/><Relationship Id="rId3358" Type="http://schemas.openxmlformats.org/officeDocument/2006/relationships/hyperlink" Target="https://ref.ly/Isa52:1" TargetMode="External"/><Relationship Id="rId3359" Type="http://schemas.openxmlformats.org/officeDocument/2006/relationships/hyperlink" Target="https://ref.ly/Lam2:15" TargetMode="External"/><Relationship Id="rId3360" Type="http://schemas.openxmlformats.org/officeDocument/2006/relationships/hyperlink" Target="https://ref.ly/Acts3:2" TargetMode="External"/><Relationship Id="rId3361" Type="http://schemas.openxmlformats.org/officeDocument/2006/relationships/hyperlink" Target="https://ref.ly/Ps104:16" TargetMode="External"/><Relationship Id="rId3362" Type="http://schemas.openxmlformats.org/officeDocument/2006/relationships/hyperlink" Target="https://ref.ly/Isa60:13" TargetMode="External"/><Relationship Id="rId3363" Type="http://schemas.openxmlformats.org/officeDocument/2006/relationships/hyperlink" Target="https://ref.ly/1Kgs15:33" TargetMode="External"/><Relationship Id="rId3364" Type="http://schemas.openxmlformats.org/officeDocument/2006/relationships/hyperlink" Target="https://ref.ly/Song4:1-Song4:15" TargetMode="External"/><Relationship Id="rId3365" Type="http://schemas.openxmlformats.org/officeDocument/2006/relationships/hyperlink" Target="https://ref.ly/Song6:4" TargetMode="External"/><Relationship Id="rId3366" Type="http://schemas.openxmlformats.org/officeDocument/2006/relationships/hyperlink" Target="https://ref.ly/Gen29:17" TargetMode="External"/><Relationship Id="rId3367" Type="http://schemas.openxmlformats.org/officeDocument/2006/relationships/hyperlink" Target="https://ref.ly/Esth2:7" TargetMode="External"/><Relationship Id="rId3368" Type="http://schemas.openxmlformats.org/officeDocument/2006/relationships/hyperlink" Target="https://ref.ly/2Sam14:25" TargetMode="External"/><Relationship Id="rId3369" Type="http://schemas.openxmlformats.org/officeDocument/2006/relationships/hyperlink" Target="https://ref.ly/Isa3:18-Isa3:24" TargetMode="External"/><Relationship Id="rId3370" Type="http://schemas.openxmlformats.org/officeDocument/2006/relationships/hyperlink" Target="https://ref.ly/Ezek16:10-Ezek16:13" TargetMode="External"/><Relationship Id="rId3371" Type="http://schemas.openxmlformats.org/officeDocument/2006/relationships/hyperlink" Target="https://ref.ly/Exod28:2" TargetMode="External"/><Relationship Id="rId3372" Type="http://schemas.openxmlformats.org/officeDocument/2006/relationships/hyperlink" Target="https://ref.ly/Ps90:17" TargetMode="External"/><Relationship Id="rId3373" Type="http://schemas.openxmlformats.org/officeDocument/2006/relationships/hyperlink" Target="https://ref.ly/Isa61:3" TargetMode="External"/><Relationship Id="rId3374" Type="http://schemas.openxmlformats.org/officeDocument/2006/relationships/hyperlink" Target="https://ref.ly/Ps27:4" TargetMode="External"/><Relationship Id="rId3375" Type="http://schemas.openxmlformats.org/officeDocument/2006/relationships/hyperlink" Target="https://ref.ly/Isa28:5" TargetMode="External"/><Relationship Id="rId3376" Type="http://schemas.openxmlformats.org/officeDocument/2006/relationships/hyperlink" Target="https://ref.ly/Isa33:17" TargetMode="External"/><Relationship Id="rId3377" Type="http://schemas.openxmlformats.org/officeDocument/2006/relationships/hyperlink" Target="https://ref.ly/Titus2:10" TargetMode="External"/><Relationship Id="rId3378" Type="http://schemas.openxmlformats.org/officeDocument/2006/relationships/hyperlink" Target="https://ref.ly/Rom10:15" TargetMode="External"/><Relationship Id="rId3379" Type="http://schemas.openxmlformats.org/officeDocument/2006/relationships/hyperlink" Target="https://ref.ly/1Tim2:9-1Tim2:10" TargetMode="External"/><Relationship Id="rId3380" Type="http://schemas.openxmlformats.org/officeDocument/2006/relationships/hyperlink" Target="https://ref.ly/1Pet3:3-1Pet3:5" TargetMode="External"/><Relationship Id="rId3381" Type="http://schemas.openxmlformats.org/officeDocument/2006/relationships/hyperlink" Target="https://ref.ly/Judg19:22" TargetMode="External"/><Relationship Id="rId3382" Type="http://schemas.openxmlformats.org/officeDocument/2006/relationships/hyperlink" Target="https://ref.ly/1Sam2:12" TargetMode="External"/><Relationship Id="rId3383" Type="http://schemas.openxmlformats.org/officeDocument/2006/relationships/hyperlink" Target="https://ref.ly/1Sam1:16" TargetMode="External"/><Relationship Id="rId3384" Type="http://schemas.openxmlformats.org/officeDocument/2006/relationships/hyperlink" Target="https://ref.ly/Deut13:13" TargetMode="External"/><Relationship Id="rId3385" Type="http://schemas.openxmlformats.org/officeDocument/2006/relationships/hyperlink" Target="https://ref.ly/Judg20:13" TargetMode="External"/><Relationship Id="rId3386" Type="http://schemas.openxmlformats.org/officeDocument/2006/relationships/hyperlink" Target="https://ref.ly/1Sam10:27" TargetMode="External"/><Relationship Id="rId3387" Type="http://schemas.openxmlformats.org/officeDocument/2006/relationships/hyperlink" Target="https://ref.ly/Prov6:12" TargetMode="External"/><Relationship Id="rId3388" Type="http://schemas.openxmlformats.org/officeDocument/2006/relationships/hyperlink" Target="https://ref.ly/Nah1:15" TargetMode="External"/><Relationship Id="rId3389" Type="http://schemas.openxmlformats.org/officeDocument/2006/relationships/hyperlink" Target="https://ref.ly/2Cor6:15" TargetMode="External"/><Relationship Id="rId3390" Type="http://schemas.openxmlformats.org/officeDocument/2006/relationships/hyperlink" Target="https://ref.ly/Matt27:19" TargetMode="External"/><Relationship Id="rId3391" Type="http://schemas.openxmlformats.org/officeDocument/2006/relationships/hyperlink" Target="https://ref.ly/John19:13" TargetMode="External"/><Relationship Id="rId3392" Type="http://schemas.openxmlformats.org/officeDocument/2006/relationships/hyperlink" Target="https://ref.ly/Acts12:21" TargetMode="External"/><Relationship Id="rId3393" Type="http://schemas.openxmlformats.org/officeDocument/2006/relationships/hyperlink" Target="https://ref.ly/Acts25:6,Acts25:10,Acts25:17" TargetMode="External"/><Relationship Id="rId3394" Type="http://schemas.openxmlformats.org/officeDocument/2006/relationships/hyperlink" Target="https://ref.ly/Rom14:10" TargetMode="External"/><Relationship Id="rId3395" Type="http://schemas.openxmlformats.org/officeDocument/2006/relationships/hyperlink" Target="https://ref.ly/2Cor5:10" TargetMode="External"/><Relationship Id="rId3396" Type="http://schemas.openxmlformats.org/officeDocument/2006/relationships/hyperlink" Target="https://ref.ly/1Cor3:13-1Cor3:15" TargetMode="External"/><Relationship Id="rId3397" Type="http://schemas.openxmlformats.org/officeDocument/2006/relationships/hyperlink" Target="https://ref.ly/Gen12:1-Gen12:4" TargetMode="External"/><Relationship Id="rId3398" Type="http://schemas.openxmlformats.org/officeDocument/2006/relationships/hyperlink" Target="https://ref.ly/Gen13:2-Gen13:12" TargetMode="External"/><Relationship Id="rId3399" Type="http://schemas.openxmlformats.org/officeDocument/2006/relationships/hyperlink" Target="https://ref.ly/Gen19:15-Gen19:23" TargetMode="External"/><Relationship Id="rId3400" Type="http://schemas.openxmlformats.org/officeDocument/2006/relationships/hyperlink" Target="https://ref.ly/2Cor13:11,2Cor13:14" TargetMode="External"/><Relationship Id="rId3401" Type="http://schemas.openxmlformats.org/officeDocument/2006/relationships/hyperlink" Target="https://ref.ly/Gen35:18" TargetMode="External"/><Relationship Id="rId3402" Type="http://schemas.openxmlformats.org/officeDocument/2006/relationships/hyperlink" Target="https://ref.ly/Gen42:1-Gen45:28" TargetMode="External"/><Relationship Id="rId3403" Type="http://schemas.openxmlformats.org/officeDocument/2006/relationships/hyperlink" Target="https://ref.ly/1Chr7:10" TargetMode="External"/><Relationship Id="rId3404" Type="http://schemas.openxmlformats.org/officeDocument/2006/relationships/hyperlink" Target="https://ref.ly/Ezra10:32" TargetMode="External"/><Relationship Id="rId3405" Type="http://schemas.openxmlformats.org/officeDocument/2006/relationships/hyperlink" Target="https://ref.ly/Neh3:23" TargetMode="External"/><Relationship Id="rId3406" Type="http://schemas.openxmlformats.org/officeDocument/2006/relationships/hyperlink" Target="https://ref.ly/Neh12:34" TargetMode="External"/><Relationship Id="rId3407" Type="http://schemas.openxmlformats.org/officeDocument/2006/relationships/hyperlink" Target="https://ref.ly/Num1:36" TargetMode="External"/><Relationship Id="rId3408" Type="http://schemas.openxmlformats.org/officeDocument/2006/relationships/hyperlink" Target="https://ref.ly/Judg20:13-Judg20:16" TargetMode="External"/><Relationship Id="rId3409" Type="http://schemas.openxmlformats.org/officeDocument/2006/relationships/hyperlink" Target="https://ref.ly/1Chr12:1-1Chr12:2" TargetMode="External"/><Relationship Id="rId3410" Type="http://schemas.openxmlformats.org/officeDocument/2006/relationships/hyperlink" Target="https://ref.ly/Josh18:11-Josh18:20" TargetMode="External"/><Relationship Id="rId3411" Type="http://schemas.openxmlformats.org/officeDocument/2006/relationships/hyperlink" Target="https://ref.ly/Josh18:21-Josh18:28" TargetMode="External"/><Relationship Id="rId3412" Type="http://schemas.openxmlformats.org/officeDocument/2006/relationships/hyperlink" Target="https://ref.ly/Judg3:15" TargetMode="External"/><Relationship Id="rId3413" Type="http://schemas.openxmlformats.org/officeDocument/2006/relationships/hyperlink" Target="https://ref.ly/1Chr27:21" TargetMode="External"/><Relationship Id="rId3414" Type="http://schemas.openxmlformats.org/officeDocument/2006/relationships/hyperlink" Target="https://ref.ly/2Sam4:2" TargetMode="External"/><Relationship Id="rId3415" Type="http://schemas.openxmlformats.org/officeDocument/2006/relationships/hyperlink" Target="https://ref.ly/2Sam23:29" TargetMode="External"/><Relationship Id="rId3416" Type="http://schemas.openxmlformats.org/officeDocument/2006/relationships/hyperlink" Target="https://ref.ly/1Chr8:40" TargetMode="External"/><Relationship Id="rId3417" Type="http://schemas.openxmlformats.org/officeDocument/2006/relationships/hyperlink" Target="https://ref.ly/1Kgs4:18" TargetMode="External"/><Relationship Id="rId3418" Type="http://schemas.openxmlformats.org/officeDocument/2006/relationships/hyperlink" Target="https://ref.ly/Num13:1-Num13:2,Num13:9,Num13:31-Num13:33" TargetMode="External"/><Relationship Id="rId3419" Type="http://schemas.openxmlformats.org/officeDocument/2006/relationships/hyperlink" Target="https://ref.ly/Num13:1-Num13:2" TargetMode="External"/><Relationship Id="rId3420" Type="http://schemas.openxmlformats.org/officeDocument/2006/relationships/hyperlink" Target="https://ref.ly/Judg1:21" TargetMode="External"/><Relationship Id="rId3421" Type="http://schemas.openxmlformats.org/officeDocument/2006/relationships/hyperlink" Target="https://ref.ly/Judg19:1-Judg20:48" TargetMode="External"/><Relationship Id="rId3422" Type="http://schemas.openxmlformats.org/officeDocument/2006/relationships/hyperlink" Target="https://ref.ly/Judg21:1-Judg21:25" TargetMode="External"/><Relationship Id="rId3423" Type="http://schemas.openxmlformats.org/officeDocument/2006/relationships/hyperlink" Target="https://ref.ly/Num7:60" TargetMode="External"/><Relationship Id="rId3424" Type="http://schemas.openxmlformats.org/officeDocument/2006/relationships/hyperlink" Target="https://ref.ly/2Sam2:8-2Sam2:31" TargetMode="External"/><Relationship Id="rId3425" Type="http://schemas.openxmlformats.org/officeDocument/2006/relationships/hyperlink" Target="https://ref.ly/1Kgs12:21-1Kgs12:24" TargetMode="External"/><Relationship Id="rId3426" Type="http://schemas.openxmlformats.org/officeDocument/2006/relationships/hyperlink" Target="https://ref.ly/Ps7:1-Ps7:17" TargetMode="External"/><Relationship Id="rId3427" Type="http://schemas.openxmlformats.org/officeDocument/2006/relationships/hyperlink" Target="https://ref.ly/Jer1:1" TargetMode="External"/><Relationship Id="rId3428" Type="http://schemas.openxmlformats.org/officeDocument/2006/relationships/hyperlink" Target="https://ref.ly/Jer32:8" TargetMode="External"/><Relationship Id="rId3429" Type="http://schemas.openxmlformats.org/officeDocument/2006/relationships/hyperlink" Target="https://ref.ly/Esth2:5" TargetMode="External"/><Relationship Id="rId3430" Type="http://schemas.openxmlformats.org/officeDocument/2006/relationships/hyperlink" Target="https://ref.ly/Rom11:1" TargetMode="External"/><Relationship Id="rId3431" Type="http://schemas.openxmlformats.org/officeDocument/2006/relationships/hyperlink" Target="https://ref.ly/Phil3:5" TargetMode="External"/><Relationship Id="rId3432" Type="http://schemas.openxmlformats.org/officeDocument/2006/relationships/hyperlink" Target="https://ref.ly/Acts13:21" TargetMode="External"/><Relationship Id="rId3433" Type="http://schemas.openxmlformats.org/officeDocument/2006/relationships/hyperlink" Target="https://ref.ly/Rev7:8" TargetMode="External"/><Relationship Id="rId3434" Type="http://schemas.openxmlformats.org/officeDocument/2006/relationships/hyperlink" Target="https://ref.ly/Gen36:32" TargetMode="External"/><Relationship Id="rId3435" Type="http://schemas.openxmlformats.org/officeDocument/2006/relationships/hyperlink" Target="https://ref.ly/2Pet2:15" TargetMode="External"/><Relationship Id="rId3436" Type="http://schemas.openxmlformats.org/officeDocument/2006/relationships/hyperlink" Target="https://ref.ly/Num26:35" TargetMode="External"/><Relationship Id="rId3437" Type="http://schemas.openxmlformats.org/officeDocument/2006/relationships/hyperlink" Target="https://ref.ly/1Chr7:20" TargetMode="External"/><Relationship Id="rId3438" Type="http://schemas.openxmlformats.org/officeDocument/2006/relationships/hyperlink" Target="https://ref.ly/Gen16:14" TargetMode="External"/><Relationship Id="rId3439" Type="http://schemas.openxmlformats.org/officeDocument/2006/relationships/hyperlink" Target="https://ref.ly/1Macc9:4" TargetMode="External"/><Relationship Id="rId3440" Type="http://schemas.openxmlformats.org/officeDocument/2006/relationships/hyperlink" Target="https://ref.ly/Acts17:10-Acts17:15" TargetMode="External"/><Relationship Id="rId3441" Type="http://schemas.openxmlformats.org/officeDocument/2006/relationships/hyperlink" Target="https://ref.ly/Acts26:30" TargetMode="External"/><Relationship Id="rId3442" Type="http://schemas.openxmlformats.org/officeDocument/2006/relationships/hyperlink" Target="https://ref.ly/Num26:44" TargetMode="External"/><Relationship Id="rId3443" Type="http://schemas.openxmlformats.org/officeDocument/2006/relationships/hyperlink" Target="https://ref.ly/1Chr7:20-1Chr7:23" TargetMode="External"/><Relationship Id="rId3444" Type="http://schemas.openxmlformats.org/officeDocument/2006/relationships/hyperlink" Target="https://ref.ly/1Chr8:13" TargetMode="External"/><Relationship Id="rId3445" Type="http://schemas.openxmlformats.org/officeDocument/2006/relationships/hyperlink" Target="https://ref.ly/1Chr23:10-1Chr23:11" TargetMode="External"/><Relationship Id="rId3446" Type="http://schemas.openxmlformats.org/officeDocument/2006/relationships/hyperlink" Target="https://ref.ly/Exod28:20" TargetMode="External"/><Relationship Id="rId3447" Type="http://schemas.openxmlformats.org/officeDocument/2006/relationships/hyperlink" Target="https://ref.ly/Rev21:20" TargetMode="External"/><Relationship Id="rId3448" Type="http://schemas.openxmlformats.org/officeDocument/2006/relationships/hyperlink" Target="https://ref.ly/Gen26:23" TargetMode="External"/><Relationship Id="rId3449" Type="http://schemas.openxmlformats.org/officeDocument/2006/relationships/hyperlink" Target="https://ref.ly/Gen46:1" TargetMode="External"/><Relationship Id="rId3450" Type="http://schemas.openxmlformats.org/officeDocument/2006/relationships/hyperlink" Target="https://ref.ly/1Sam8:2" TargetMode="External"/><Relationship Id="rId3451" Type="http://schemas.openxmlformats.org/officeDocument/2006/relationships/hyperlink" Target="https://ref.ly/Ps36:6" TargetMode="External"/><Relationship Id="rId3452" Type="http://schemas.openxmlformats.org/officeDocument/2006/relationships/hyperlink" Target="https://ref.ly/Gen6:7" TargetMode="External"/><Relationship Id="rId3453" Type="http://schemas.openxmlformats.org/officeDocument/2006/relationships/hyperlink" Target="https://ref.ly/Lev11:2" TargetMode="External"/><Relationship Id="rId3454" Type="http://schemas.openxmlformats.org/officeDocument/2006/relationships/hyperlink" Target="https://ref.ly/Deut4:17" TargetMode="External"/><Relationship Id="rId3455" Type="http://schemas.openxmlformats.org/officeDocument/2006/relationships/hyperlink" Target="https://ref.ly/Job12:7" TargetMode="External"/><Relationship Id="rId3456" Type="http://schemas.openxmlformats.org/officeDocument/2006/relationships/hyperlink" Target="https://ref.ly/Job35:11" TargetMode="External"/><Relationship Id="rId3457" Type="http://schemas.openxmlformats.org/officeDocument/2006/relationships/hyperlink" Target="https://ref.ly/Zeph1:3" TargetMode="External"/><Relationship Id="rId3458" Type="http://schemas.openxmlformats.org/officeDocument/2006/relationships/hyperlink" Target="https://ref.ly/Exod19:13" TargetMode="External"/><Relationship Id="rId3459" Type="http://schemas.openxmlformats.org/officeDocument/2006/relationships/hyperlink" Target="https://ref.ly/Exod22:10" TargetMode="External"/><Relationship Id="rId3460" Type="http://schemas.openxmlformats.org/officeDocument/2006/relationships/hyperlink" Target="https://ref.ly/Num3:13" TargetMode="External"/><Relationship Id="rId3461" Type="http://schemas.openxmlformats.org/officeDocument/2006/relationships/hyperlink" Target="https://ref.ly/Num31:47" TargetMode="External"/><Relationship Id="rId3462" Type="http://schemas.openxmlformats.org/officeDocument/2006/relationships/hyperlink" Target="https://ref.ly/Judg20:48" TargetMode="External"/><Relationship Id="rId3463" Type="http://schemas.openxmlformats.org/officeDocument/2006/relationships/hyperlink" Target="https://ref.ly/Prov12:10" TargetMode="External"/><Relationship Id="rId3464" Type="http://schemas.openxmlformats.org/officeDocument/2006/relationships/hyperlink" Target="https://ref.ly/Jer21:6" TargetMode="External"/><Relationship Id="rId3465" Type="http://schemas.openxmlformats.org/officeDocument/2006/relationships/hyperlink" Target="https://ref.ly/Zech8:10" TargetMode="External"/><Relationship Id="rId3466" Type="http://schemas.openxmlformats.org/officeDocument/2006/relationships/hyperlink" Target="https://ref.ly/Gen37:20" TargetMode="External"/><Relationship Id="rId3467" Type="http://schemas.openxmlformats.org/officeDocument/2006/relationships/hyperlink" Target="https://ref.ly/Exod23:11" TargetMode="External"/><Relationship Id="rId3468" Type="http://schemas.openxmlformats.org/officeDocument/2006/relationships/hyperlink" Target="https://ref.ly/1Sam17:44" TargetMode="External"/><Relationship Id="rId3469" Type="http://schemas.openxmlformats.org/officeDocument/2006/relationships/hyperlink" Target="https://ref.ly/Ezek14:15" TargetMode="External"/><Relationship Id="rId3470" Type="http://schemas.openxmlformats.org/officeDocument/2006/relationships/hyperlink" Target="https://ref.ly/Dan7:1-Dan7:28" TargetMode="External"/><Relationship Id="rId3471" Type="http://schemas.openxmlformats.org/officeDocument/2006/relationships/hyperlink" Target="https://ref.ly/1John2:18,1John2:22" TargetMode="External"/><Relationship Id="rId3472" Type="http://schemas.openxmlformats.org/officeDocument/2006/relationships/hyperlink" Target="https://ref.ly/1John4:3" TargetMode="External"/><Relationship Id="rId3473" Type="http://schemas.openxmlformats.org/officeDocument/2006/relationships/hyperlink" Target="https://ref.ly/2John1:7" TargetMode="External"/><Relationship Id="rId3474" Type="http://schemas.openxmlformats.org/officeDocument/2006/relationships/hyperlink" Target="https://ref.ly/Josh13:27" TargetMode="External"/><Relationship Id="rId3475" Type="http://schemas.openxmlformats.org/officeDocument/2006/relationships/hyperlink" Target="https://ref.ly/Num32:36" TargetMode="External"/><Relationship Id="rId3476" Type="http://schemas.openxmlformats.org/officeDocument/2006/relationships/hyperlink" Target="https://ref.ly/Josh16:1-Josh16:2" TargetMode="External"/><Relationship Id="rId3477" Type="http://schemas.openxmlformats.org/officeDocument/2006/relationships/hyperlink" Target="https://ref.ly/Gen28:19" TargetMode="External"/><Relationship Id="rId3478" Type="http://schemas.openxmlformats.org/officeDocument/2006/relationships/hyperlink" Target="https://ref.ly/Judg1:26" TargetMode="External"/><Relationship Id="rId3479" Type="http://schemas.openxmlformats.org/officeDocument/2006/relationships/hyperlink" Target="https://ref.ly/Judg1:22-Judg1:26" TargetMode="External"/><Relationship Id="rId3480" Type="http://schemas.openxmlformats.org/officeDocument/2006/relationships/hyperlink" Target="https://ref.ly/Judg20:18-Judg20:28" TargetMode="External"/><Relationship Id="rId3481" Type="http://schemas.openxmlformats.org/officeDocument/2006/relationships/hyperlink" Target="https://ref.ly/Judg21:2-Judg21:4" TargetMode="External"/><Relationship Id="rId3482" Type="http://schemas.openxmlformats.org/officeDocument/2006/relationships/hyperlink" Target="https://ref.ly/1Sam12:1-1Sam14:52" TargetMode="External"/><Relationship Id="rId3483" Type="http://schemas.openxmlformats.org/officeDocument/2006/relationships/hyperlink" Target="https://ref.ly/1Kgs13:11" TargetMode="External"/><Relationship Id="rId3484" Type="http://schemas.openxmlformats.org/officeDocument/2006/relationships/hyperlink" Target="https://ref.ly/2Kgs2:2-2Kgs2:3" TargetMode="External"/><Relationship Id="rId3485" Type="http://schemas.openxmlformats.org/officeDocument/2006/relationships/hyperlink" Target="https://ref.ly/2Chr13:19" TargetMode="External"/><Relationship Id="rId3486" Type="http://schemas.openxmlformats.org/officeDocument/2006/relationships/hyperlink" Target="https://ref.ly/Amos7:10-Amos7:13" TargetMode="External"/><Relationship Id="rId3487" Type="http://schemas.openxmlformats.org/officeDocument/2006/relationships/hyperlink" Target="https://ref.ly/2Kgs17:28" TargetMode="External"/><Relationship Id="rId3488" Type="http://schemas.openxmlformats.org/officeDocument/2006/relationships/hyperlink" Target="https://ref.ly/2Kgs23:15-2Kgs23:20" TargetMode="External"/><Relationship Id="rId3489" Type="http://schemas.openxmlformats.org/officeDocument/2006/relationships/hyperlink" Target="https://ref.ly/Ezra2:28" TargetMode="External"/><Relationship Id="rId3490" Type="http://schemas.openxmlformats.org/officeDocument/2006/relationships/hyperlink" Target="https://ref.ly/1Sam30:27" TargetMode="External"/><Relationship Id="rId3491" Type="http://schemas.openxmlformats.org/officeDocument/2006/relationships/hyperlink" Target="https://ref.ly/Deut3:29" TargetMode="External"/><Relationship Id="rId3492" Type="http://schemas.openxmlformats.org/officeDocument/2006/relationships/hyperlink" Target="https://ref.ly/Deut4:46" TargetMode="External"/><Relationship Id="rId3493" Type="http://schemas.openxmlformats.org/officeDocument/2006/relationships/hyperlink" Target="https://ref.ly/Deut34:6" TargetMode="External"/><Relationship Id="rId3494" Type="http://schemas.openxmlformats.org/officeDocument/2006/relationships/hyperlink" Target="https://ref.ly/Num25:3-Num25:5" TargetMode="External"/><Relationship Id="rId3495" Type="http://schemas.openxmlformats.org/officeDocument/2006/relationships/hyperlink" Target="https://ref.ly/Judg18:28" TargetMode="External"/><Relationship Id="rId3496" Type="http://schemas.openxmlformats.org/officeDocument/2006/relationships/hyperlink" Target="https://ref.ly/2Sam10:6" TargetMode="External"/><Relationship Id="rId3497" Type="http://schemas.openxmlformats.org/officeDocument/2006/relationships/hyperlink" Target="https://ref.ly/Num13:21" TargetMode="External"/><Relationship Id="rId3498" Type="http://schemas.openxmlformats.org/officeDocument/2006/relationships/hyperlink" Target="https://ref.ly/2Sam10:8" TargetMode="External"/><Relationship Id="rId3499" Type="http://schemas.openxmlformats.org/officeDocument/2006/relationships/hyperlink" Target="https://ref.ly/1Sam31:10-1Sam31:13" TargetMode="External"/><Relationship Id="rId3500" Type="http://schemas.openxmlformats.org/officeDocument/2006/relationships/hyperlink" Target="https://ref.ly/2Sam21:12-2Sam21:14" TargetMode="External"/><Relationship Id="rId3501" Type="http://schemas.openxmlformats.org/officeDocument/2006/relationships/hyperlink" Target="https://ref.ly/1Chr10:8-1Chr10:10" TargetMode="External"/><Relationship Id="rId3502" Type="http://schemas.openxmlformats.org/officeDocument/2006/relationships/hyperlink" Target="https://ref.ly/Josh17:11" TargetMode="External"/><Relationship Id="rId3503" Type="http://schemas.openxmlformats.org/officeDocument/2006/relationships/hyperlink" Target="https://ref.ly/1Kgs4:12" TargetMode="External"/><Relationship Id="rId3504" Type="http://schemas.openxmlformats.org/officeDocument/2006/relationships/hyperlink" Target="https://ref.ly/Matt4:25" TargetMode="External"/><Relationship Id="rId3505" Type="http://schemas.openxmlformats.org/officeDocument/2006/relationships/hyperlink" Target="https://ref.ly/Mark7:31" TargetMode="External"/><Relationship Id="rId3506" Type="http://schemas.openxmlformats.org/officeDocument/2006/relationships/hyperlink" Target="https://ref.ly/John12:21" TargetMode="External"/><Relationship Id="rId3507" Type="http://schemas.openxmlformats.org/officeDocument/2006/relationships/hyperlink" Target="https://ref.ly/Matt11:21-Matt11:22" TargetMode="External"/><Relationship Id="rId3508" Type="http://schemas.openxmlformats.org/officeDocument/2006/relationships/hyperlink" Target="https://ref.ly/Luke10:13" TargetMode="External"/><Relationship Id="rId3509" Type="http://schemas.openxmlformats.org/officeDocument/2006/relationships/hyperlink" Target="https://ref.ly/Mark8:22-Mark8:26" TargetMode="External"/><Relationship Id="rId3510" Type="http://schemas.openxmlformats.org/officeDocument/2006/relationships/hyperlink" Target="https://ref.ly/Mark6:34-Mark6:45" TargetMode="External"/><Relationship Id="rId3511" Type="http://schemas.openxmlformats.org/officeDocument/2006/relationships/hyperlink" Target="https://ref.ly/Luke9:10-Luke9:17" TargetMode="External"/><Relationship Id="rId3512" Type="http://schemas.openxmlformats.org/officeDocument/2006/relationships/hyperlink" Target="https://ref.ly/Gen22:23" TargetMode="External"/><Relationship Id="rId3513" Type="http://schemas.openxmlformats.org/officeDocument/2006/relationships/hyperlink" Target="https://ref.ly/Gen24:15,Gen24:24" TargetMode="External"/><Relationship Id="rId3514" Type="http://schemas.openxmlformats.org/officeDocument/2006/relationships/hyperlink" Target="https://ref.ly/Gen25:20" TargetMode="External"/><Relationship Id="rId3515" Type="http://schemas.openxmlformats.org/officeDocument/2006/relationships/hyperlink" Target="https://ref.ly/Gen28:5" TargetMode="External"/><Relationship Id="rId3516" Type="http://schemas.openxmlformats.org/officeDocument/2006/relationships/hyperlink" Target="https://ref.ly/Gen11:3" TargetMode="External"/><Relationship Id="rId3517" Type="http://schemas.openxmlformats.org/officeDocument/2006/relationships/hyperlink" Target="https://ref.ly/Exod2:3" TargetMode="External"/><Relationship Id="rId3518" Type="http://schemas.openxmlformats.org/officeDocument/2006/relationships/hyperlink" Target="https://ref.ly/Gen14:10" TargetMode="External"/><Relationship Id="rId3519" Type="http://schemas.openxmlformats.org/officeDocument/2006/relationships/hyperlink" Target="https://ref.ly/Exod31:2" TargetMode="External"/><Relationship Id="rId3520" Type="http://schemas.openxmlformats.org/officeDocument/2006/relationships/hyperlink" Target="https://ref.ly/Exod35:30-Exod35:31" TargetMode="External"/><Relationship Id="rId3521" Type="http://schemas.openxmlformats.org/officeDocument/2006/relationships/hyperlink" Target="https://ref.ly/Exod38:22" TargetMode="External"/><Relationship Id="rId3522" Type="http://schemas.openxmlformats.org/officeDocument/2006/relationships/hyperlink" Target="https://ref.ly/1Chr2:20" TargetMode="External"/><Relationship Id="rId3523" Type="http://schemas.openxmlformats.org/officeDocument/2006/relationships/hyperlink" Target="https://ref.ly/2Chr1:5" TargetMode="External"/><Relationship Id="rId3524" Type="http://schemas.openxmlformats.org/officeDocument/2006/relationships/hyperlink" Target="https://ref.ly/Ezra10:30" TargetMode="External"/><Relationship Id="rId3525" Type="http://schemas.openxmlformats.org/officeDocument/2006/relationships/hyperlink" Target="https://ref.ly/Deut4:43" TargetMode="External"/><Relationship Id="rId3526" Type="http://schemas.openxmlformats.org/officeDocument/2006/relationships/hyperlink" Target="https://ref.ly/Josh20:8" TargetMode="External"/><Relationship Id="rId3527" Type="http://schemas.openxmlformats.org/officeDocument/2006/relationships/hyperlink" Target="https://ref.ly/Josh21:36" TargetMode="External"/><Relationship Id="rId3528" Type="http://schemas.openxmlformats.org/officeDocument/2006/relationships/hyperlink" Target="https://ref.ly/1Chr6:78" TargetMode="External"/><Relationship Id="rId3529" Type="http://schemas.openxmlformats.org/officeDocument/2006/relationships/hyperlink" Target="https://ref.ly/Jer48:24" TargetMode="External"/><Relationship Id="rId3530" Type="http://schemas.openxmlformats.org/officeDocument/2006/relationships/hyperlink" Target="https://ref.ly/Exod32:15-Exod32:20" TargetMode="External"/><Relationship Id="rId3531" Type="http://schemas.openxmlformats.org/officeDocument/2006/relationships/hyperlink" Target="https://ref.ly/Exod32:25-Exod32:29" TargetMode="External"/><Relationship Id="rId3532" Type="http://schemas.openxmlformats.org/officeDocument/2006/relationships/hyperlink" Target="https://ref.ly/Exod32:33-Exod32:35" TargetMode="External"/><Relationship Id="rId3533" Type="http://schemas.openxmlformats.org/officeDocument/2006/relationships/hyperlink" Target="https://ref.ly/Deut9:16,Deut9:21" TargetMode="External"/><Relationship Id="rId3534" Type="http://schemas.openxmlformats.org/officeDocument/2006/relationships/hyperlink" Target="https://ref.ly/Neh9:18" TargetMode="External"/><Relationship Id="rId3535" Type="http://schemas.openxmlformats.org/officeDocument/2006/relationships/hyperlink" Target="https://ref.ly/Ps106:19-Ps106:20" TargetMode="External"/><Relationship Id="rId3536" Type="http://schemas.openxmlformats.org/officeDocument/2006/relationships/hyperlink" Target="https://ref.ly/Acts7:39-Acts7:41" TargetMode="External"/><Relationship Id="rId3537" Type="http://schemas.openxmlformats.org/officeDocument/2006/relationships/hyperlink" Target="https://ref.ly/1Kgs12:26-1Kgs12:33" TargetMode="External"/><Relationship Id="rId3538" Type="http://schemas.openxmlformats.org/officeDocument/2006/relationships/hyperlink" Target="https://ref.ly/2Chr11:13-2Chr11:15" TargetMode="External"/><Relationship Id="rId3539" Type="http://schemas.openxmlformats.org/officeDocument/2006/relationships/hyperlink" Target="https://ref.ly/Hos10:5-Hos10:6" TargetMode="External"/><Relationship Id="rId3540" Type="http://schemas.openxmlformats.org/officeDocument/2006/relationships/hyperlink" Target="https://ref.ly/2Kgs17:16" TargetMode="External"/><Relationship Id="rId3541" Type="http://schemas.openxmlformats.org/officeDocument/2006/relationships/hyperlink" Target="https://ref.ly/Dan9:2" TargetMode="External"/><Relationship Id="rId3542" Type="http://schemas.openxmlformats.org/officeDocument/2006/relationships/hyperlink" Target="https://ref.ly/1Macc12:9" TargetMode="External"/><Relationship Id="rId3543" Type="http://schemas.openxmlformats.org/officeDocument/2006/relationships/hyperlink" Target="https://ref.ly/Matt21:42" TargetMode="External"/><Relationship Id="rId3544" Type="http://schemas.openxmlformats.org/officeDocument/2006/relationships/hyperlink" Target="https://ref.ly/Rom1:2" TargetMode="External"/><Relationship Id="rId3545" Type="http://schemas.openxmlformats.org/officeDocument/2006/relationships/hyperlink" Target="https://ref.ly/2Cor3:6,2Cor3:14" TargetMode="External"/><Relationship Id="rId3546" Type="http://schemas.openxmlformats.org/officeDocument/2006/relationships/hyperlink" Target="https://ref.ly/Heb9:11-Heb9:15" TargetMode="External"/><Relationship Id="rId3547" Type="http://schemas.openxmlformats.org/officeDocument/2006/relationships/hyperlink" Target="https://ref.ly/Ps8:5" TargetMode="External"/><Relationship Id="rId3548" Type="http://schemas.openxmlformats.org/officeDocument/2006/relationships/hyperlink" Target="https://ref.ly/Rom1:18-Rom1:20" TargetMode="External"/><Relationship Id="rId3549" Type="http://schemas.openxmlformats.org/officeDocument/2006/relationships/hyperlink" Target="https://ref.ly/Rom2:12-Rom2:15" TargetMode="External"/><Relationship Id="rId3550" Type="http://schemas.openxmlformats.org/officeDocument/2006/relationships/hyperlink" Target="https://ref.ly/Rom1:32" TargetMode="External"/><Relationship Id="rId3551" Type="http://schemas.openxmlformats.org/officeDocument/2006/relationships/hyperlink" Target="https://ref.ly/2Tim3:16" TargetMode="External"/><Relationship Id="rId3552" Type="http://schemas.openxmlformats.org/officeDocument/2006/relationships/hyperlink" Target="https://ref.ly/2Pet3:15-2Pet3:16" TargetMode="External"/><Relationship Id="rId3553" Type="http://schemas.openxmlformats.org/officeDocument/2006/relationships/hyperlink" Target="https://ref.ly/1Tim5:18" TargetMode="External"/><Relationship Id="rId3554" Type="http://schemas.openxmlformats.org/officeDocument/2006/relationships/hyperlink" Target="https://ref.ly/Luke10:7" TargetMode="External"/><Relationship Id="rId3555" Type="http://schemas.openxmlformats.org/officeDocument/2006/relationships/hyperlink" Target="https://ref.ly/1Cor9:9" TargetMode="External"/><Relationship Id="rId3556" Type="http://schemas.openxmlformats.org/officeDocument/2006/relationships/hyperlink" Target="https://ref.ly/Rev22:9-Rev22:10,Rev22:18" TargetMode="External"/><Relationship Id="rId3557" Type="http://schemas.openxmlformats.org/officeDocument/2006/relationships/hyperlink" Target="https://ref.ly/1Cor4:1" TargetMode="External"/><Relationship Id="rId3558" Type="http://schemas.openxmlformats.org/officeDocument/2006/relationships/hyperlink" Target="https://ref.ly/2Cor5:20" TargetMode="External"/><Relationship Id="rId3559" Type="http://schemas.openxmlformats.org/officeDocument/2006/relationships/hyperlink" Target="https://ref.ly/1Thess2:13" TargetMode="External"/><Relationship Id="rId3560" Type="http://schemas.openxmlformats.org/officeDocument/2006/relationships/hyperlink" Target="https://ref.ly/Rom10:11" TargetMode="External"/><Relationship Id="rId3561" Type="http://schemas.openxmlformats.org/officeDocument/2006/relationships/hyperlink" Target="https://ref.ly/Isa28:16" TargetMode="External"/><Relationship Id="rId3562" Type="http://schemas.openxmlformats.org/officeDocument/2006/relationships/hyperlink" Target="https://ref.ly/Rom10:13" TargetMode="External"/><Relationship Id="rId3563" Type="http://schemas.openxmlformats.org/officeDocument/2006/relationships/hyperlink" Target="https://ref.ly/Joel2:32" TargetMode="External"/><Relationship Id="rId3564" Type="http://schemas.openxmlformats.org/officeDocument/2006/relationships/hyperlink" Target="https://ref.ly/John1:14-John1:18" TargetMode="External"/><Relationship Id="rId3565" Type="http://schemas.openxmlformats.org/officeDocument/2006/relationships/hyperlink" Target="https://ref.ly/Exod33:17-Exod34:8" TargetMode="External"/><Relationship Id="rId3566" Type="http://schemas.openxmlformats.org/officeDocument/2006/relationships/hyperlink" Target="https://ref.ly/Matt16:19" TargetMode="External"/><Relationship Id="rId3567" Type="http://schemas.openxmlformats.org/officeDocument/2006/relationships/hyperlink" Target="https://ref.ly/Isa22:22" TargetMode="External"/><Relationship Id="rId3568" Type="http://schemas.openxmlformats.org/officeDocument/2006/relationships/hyperlink" Target="https://ref.ly/Matt2:15" TargetMode="External"/><Relationship Id="rId3569" Type="http://schemas.openxmlformats.org/officeDocument/2006/relationships/hyperlink" Target="https://ref.ly/Hos11:1" TargetMode="External"/><Relationship Id="rId3570" Type="http://schemas.openxmlformats.org/officeDocument/2006/relationships/hyperlink" Target="https://ref.ly/Matt2:18" TargetMode="External"/><Relationship Id="rId3571" Type="http://schemas.openxmlformats.org/officeDocument/2006/relationships/hyperlink" Target="https://ref.ly/Jer31:15" TargetMode="External"/><Relationship Id="rId3572" Type="http://schemas.openxmlformats.org/officeDocument/2006/relationships/hyperlink" Target="https://ref.ly/John12:40" TargetMode="External"/><Relationship Id="rId3573" Type="http://schemas.openxmlformats.org/officeDocument/2006/relationships/hyperlink" Target="https://ref.ly/Isa6:10" TargetMode="External"/><Relationship Id="rId3574" Type="http://schemas.openxmlformats.org/officeDocument/2006/relationships/hyperlink" Target="https://ref.ly/John7:38" TargetMode="External"/><Relationship Id="rId3575" Type="http://schemas.openxmlformats.org/officeDocument/2006/relationships/hyperlink" Target="https://ref.ly/Exod17:1" TargetMode="External"/><Relationship Id="rId3576" Type="http://schemas.openxmlformats.org/officeDocument/2006/relationships/hyperlink" Target="https://ref.ly/Isa58:11" TargetMode="External"/><Relationship Id="rId3577" Type="http://schemas.openxmlformats.org/officeDocument/2006/relationships/hyperlink" Target="https://ref.ly/Matt2:23" TargetMode="External"/><Relationship Id="rId3578" Type="http://schemas.openxmlformats.org/officeDocument/2006/relationships/hyperlink" Target="https://ref.ly/Isa11:1" TargetMode="External"/><Relationship Id="rId3579" Type="http://schemas.openxmlformats.org/officeDocument/2006/relationships/hyperlink" Target="https://ref.ly/1Cor14:34" TargetMode="External"/><Relationship Id="rId3580" Type="http://schemas.openxmlformats.org/officeDocument/2006/relationships/hyperlink" Target="https://ref.ly/Mark1:2-Mark1:3" TargetMode="External"/><Relationship Id="rId3581" Type="http://schemas.openxmlformats.org/officeDocument/2006/relationships/hyperlink" Target="https://ref.ly/Exod23:20" TargetMode="External"/><Relationship Id="rId3582" Type="http://schemas.openxmlformats.org/officeDocument/2006/relationships/hyperlink" Target="https://ref.ly/Mal3:1" TargetMode="External"/><Relationship Id="rId3583" Type="http://schemas.openxmlformats.org/officeDocument/2006/relationships/hyperlink" Target="https://ref.ly/Isa40:3" TargetMode="External"/><Relationship Id="rId3584" Type="http://schemas.openxmlformats.org/officeDocument/2006/relationships/hyperlink" Target="https://ref.ly/Matt27:9-Matt27:10" TargetMode="External"/><Relationship Id="rId3585" Type="http://schemas.openxmlformats.org/officeDocument/2006/relationships/hyperlink" Target="https://ref.ly/Zech11:13" TargetMode="External"/><Relationship Id="rId3586" Type="http://schemas.openxmlformats.org/officeDocument/2006/relationships/hyperlink" Target="https://ref.ly/Zech11:12-Zech11:13" TargetMode="External"/><Relationship Id="rId3587" Type="http://schemas.openxmlformats.org/officeDocument/2006/relationships/hyperlink" Target="https://ref.ly/Jer32:6-Jer32:9" TargetMode="External"/><Relationship Id="rId3588" Type="http://schemas.openxmlformats.org/officeDocument/2006/relationships/hyperlink" Target="https://ref.ly/Eph4:8" TargetMode="External"/><Relationship Id="rId3589" Type="http://schemas.openxmlformats.org/officeDocument/2006/relationships/hyperlink" Target="https://ref.ly/Ps68:18" TargetMode="External"/><Relationship Id="rId3590" Type="http://schemas.openxmlformats.org/officeDocument/2006/relationships/hyperlink" Target="https://ref.ly/Matt1:23" TargetMode="External"/><Relationship Id="rId3591" Type="http://schemas.openxmlformats.org/officeDocument/2006/relationships/hyperlink" Target="https://ref.ly/Isa7:14" TargetMode="External"/><Relationship Id="rId3592" Type="http://schemas.openxmlformats.org/officeDocument/2006/relationships/hyperlink" Target="https://ref.ly/Rom11:26-Rom11:27" TargetMode="External"/><Relationship Id="rId3593" Type="http://schemas.openxmlformats.org/officeDocument/2006/relationships/hyperlink" Target="https://ref.ly/Isa59:20-Isa59:21" TargetMode="External"/><Relationship Id="rId3594" Type="http://schemas.openxmlformats.org/officeDocument/2006/relationships/hyperlink" Target="https://ref.ly/Isa27:9" TargetMode="External"/><Relationship Id="rId3595" Type="http://schemas.openxmlformats.org/officeDocument/2006/relationships/hyperlink" Target="https://ref.ly/Ps14:7" TargetMode="External"/><Relationship Id="rId3596" Type="http://schemas.openxmlformats.org/officeDocument/2006/relationships/hyperlink" Target="https://ref.ly/Rom9:12-Rom9:19" TargetMode="External"/><Relationship Id="rId3597" Type="http://schemas.openxmlformats.org/officeDocument/2006/relationships/hyperlink" Target="https://ref.ly/Rom11:8-Rom11:10" TargetMode="External"/><Relationship Id="rId3598" Type="http://schemas.openxmlformats.org/officeDocument/2006/relationships/hyperlink" Target="https://ref.ly/1Pet2:6-1Pet2:8" TargetMode="External"/><Relationship Id="rId3599" Type="http://schemas.openxmlformats.org/officeDocument/2006/relationships/hyperlink" Target="https://ref.ly/Rom15:9-Rom15:12" TargetMode="External"/><Relationship Id="rId3600" Type="http://schemas.openxmlformats.org/officeDocument/2006/relationships/hyperlink" Target="https://ref.ly/Deut6:16" TargetMode="External"/><Relationship Id="rId3601" Type="http://schemas.openxmlformats.org/officeDocument/2006/relationships/hyperlink" Target="https://ref.ly/Deut6:13" TargetMode="External"/><Relationship Id="rId3602" Type="http://schemas.openxmlformats.org/officeDocument/2006/relationships/hyperlink" Target="https://ref.ly/Matt4:3-Matt4:10" TargetMode="External"/><Relationship Id="rId3603" Type="http://schemas.openxmlformats.org/officeDocument/2006/relationships/hyperlink" Target="https://ref.ly/Gen2:24" TargetMode="External"/><Relationship Id="rId3604" Type="http://schemas.openxmlformats.org/officeDocument/2006/relationships/hyperlink" Target="https://ref.ly/Matt19:5" TargetMode="External"/><Relationship Id="rId3605" Type="http://schemas.openxmlformats.org/officeDocument/2006/relationships/hyperlink" Target="https://ref.ly/Hab2:4" TargetMode="External"/><Relationship Id="rId3606" Type="http://schemas.openxmlformats.org/officeDocument/2006/relationships/hyperlink" Target="https://ref.ly/Rom4:3-Rom4:9" TargetMode="External"/><Relationship Id="rId3607" Type="http://schemas.openxmlformats.org/officeDocument/2006/relationships/hyperlink" Target="https://ref.ly/Matt2:4-Matt2:6" TargetMode="External"/><Relationship Id="rId3608" Type="http://schemas.openxmlformats.org/officeDocument/2006/relationships/hyperlink" Target="https://ref.ly/Heb8:7-Heb8:13" TargetMode="External"/><Relationship Id="rId3609" Type="http://schemas.openxmlformats.org/officeDocument/2006/relationships/hyperlink" Target="https://ref.ly/Acts2:17-Acts2:21" TargetMode="External"/><Relationship Id="rId3610" Type="http://schemas.openxmlformats.org/officeDocument/2006/relationships/hyperlink" Target="https://ref.ly/Isa52:13-Isa53:12" TargetMode="External"/><Relationship Id="rId3611" Type="http://schemas.openxmlformats.org/officeDocument/2006/relationships/hyperlink" Target="https://ref.ly/Josh7:1-Josh7:26" TargetMode="External"/><Relationship Id="rId3612" Type="http://schemas.openxmlformats.org/officeDocument/2006/relationships/hyperlink" Target="https://ref.ly/1Chr21:3-1Chr21:8" TargetMode="External"/><Relationship Id="rId3613" Type="http://schemas.openxmlformats.org/officeDocument/2006/relationships/hyperlink" Target="https://ref.ly/Isa11:15-Isa11:16" TargetMode="External"/><Relationship Id="rId3614" Type="http://schemas.openxmlformats.org/officeDocument/2006/relationships/hyperlink" Target="https://ref.ly/Ezek37:25" TargetMode="External"/><Relationship Id="rId3615" Type="http://schemas.openxmlformats.org/officeDocument/2006/relationships/hyperlink" Target="https://ref.ly/Jer31:17" TargetMode="External"/><Relationship Id="rId3616" Type="http://schemas.openxmlformats.org/officeDocument/2006/relationships/hyperlink" Target="https://ref.ly/Ps118:22" TargetMode="External"/><Relationship Id="rId3617" Type="http://schemas.openxmlformats.org/officeDocument/2006/relationships/hyperlink" Target="https://ref.ly/Acts4:11" TargetMode="External"/><Relationship Id="rId3618" Type="http://schemas.openxmlformats.org/officeDocument/2006/relationships/hyperlink" Target="https://ref.ly/Isa53:1-Isa53:12" TargetMode="External"/><Relationship Id="rId3619" Type="http://schemas.openxmlformats.org/officeDocument/2006/relationships/hyperlink" Target="https://ref.ly/Acts8:32-Acts8:35" TargetMode="External"/><Relationship Id="rId3620" Type="http://schemas.openxmlformats.org/officeDocument/2006/relationships/hyperlink" Target="https://ref.ly/1Pet2:22-1Pet2:25" TargetMode="External"/><Relationship Id="rId3621" Type="http://schemas.openxmlformats.org/officeDocument/2006/relationships/hyperlink" Target="https://ref.ly/Matt3:3" TargetMode="External"/><Relationship Id="rId3622" Type="http://schemas.openxmlformats.org/officeDocument/2006/relationships/hyperlink" Target="https://ref.ly/Luke3:4-Luke3:6" TargetMode="External"/><Relationship Id="rId3623" Type="http://schemas.openxmlformats.org/officeDocument/2006/relationships/hyperlink" Target="https://ref.ly/Luke10:1" TargetMode="External"/><Relationship Id="rId3624" Type="http://schemas.openxmlformats.org/officeDocument/2006/relationships/hyperlink" Target="https://ref.ly/1Pet2:4-1Pet2:5" TargetMode="External"/><Relationship Id="rId3625" Type="http://schemas.openxmlformats.org/officeDocument/2006/relationships/hyperlink" Target="https://ref.ly/Acts13:46-Acts13:47" TargetMode="External"/><Relationship Id="rId3626" Type="http://schemas.openxmlformats.org/officeDocument/2006/relationships/hyperlink" Target="https://ref.ly/Matt12:42" TargetMode="External"/><Relationship Id="rId3627" Type="http://schemas.openxmlformats.org/officeDocument/2006/relationships/hyperlink" Target="https://ref.ly/Acts13:33-Acts13:35" TargetMode="External"/><Relationship Id="rId3628" Type="http://schemas.openxmlformats.org/officeDocument/2006/relationships/hyperlink" Target="https://ref.ly/Mark7:6-Mark7:7" TargetMode="External"/><Relationship Id="rId3629" Type="http://schemas.openxmlformats.org/officeDocument/2006/relationships/hyperlink" Target="https://ref.ly/Rom11:7-Rom11:10" TargetMode="External"/><Relationship Id="rId3630" Type="http://schemas.openxmlformats.org/officeDocument/2006/relationships/hyperlink" Target="https://ref.ly/Rev1:12-Rev1:15" TargetMode="External"/><Relationship Id="rId3631" Type="http://schemas.openxmlformats.org/officeDocument/2006/relationships/hyperlink" Target="https://ref.ly/Deut24:1" TargetMode="External"/><Relationship Id="rId3632" Type="http://schemas.openxmlformats.org/officeDocument/2006/relationships/hyperlink" Target="https://ref.ly/Matt19:1-Matt19:12" TargetMode="External"/><Relationship Id="rId3633" Type="http://schemas.openxmlformats.org/officeDocument/2006/relationships/hyperlink" Target="https://ref.ly/Matt19:16-Matt19:22" TargetMode="External"/><Relationship Id="rId3634" Type="http://schemas.openxmlformats.org/officeDocument/2006/relationships/hyperlink" Target="https://ref.ly/Jer9:24" TargetMode="External"/><Relationship Id="rId3635" Type="http://schemas.openxmlformats.org/officeDocument/2006/relationships/hyperlink" Target="https://ref.ly/1Cor1:31" TargetMode="External"/><Relationship Id="rId3636" Type="http://schemas.openxmlformats.org/officeDocument/2006/relationships/hyperlink" Target="https://ref.ly/1Pet3:10-1Pet3:12" TargetMode="External"/><Relationship Id="rId3637" Type="http://schemas.openxmlformats.org/officeDocument/2006/relationships/hyperlink" Target="https://ref.ly/Ps34:12-Ps34:16" TargetMode="External"/><Relationship Id="rId3638" Type="http://schemas.openxmlformats.org/officeDocument/2006/relationships/hyperlink" Target="https://ref.ly/1Pet3:14-1Pet3:15" TargetMode="External"/><Relationship Id="rId3639" Type="http://schemas.openxmlformats.org/officeDocument/2006/relationships/hyperlink" Target="https://ref.ly/Isa8:12-Isa8:13" TargetMode="External"/><Relationship Id="rId3640" Type="http://schemas.openxmlformats.org/officeDocument/2006/relationships/hyperlink" Target="https://ref.ly/Eph6:14-Eph6:17" TargetMode="External"/><Relationship Id="rId3641" Type="http://schemas.openxmlformats.org/officeDocument/2006/relationships/hyperlink" Target="https://ref.ly/Rom9:25-Rom9:26" TargetMode="External"/><Relationship Id="rId3642" Type="http://schemas.openxmlformats.org/officeDocument/2006/relationships/hyperlink" Target="https://ref.ly/1Pet2:10" TargetMode="External"/><Relationship Id="rId3643" Type="http://schemas.openxmlformats.org/officeDocument/2006/relationships/hyperlink" Target="https://ref.ly/1Pet2:9" TargetMode="External"/><Relationship Id="rId3644" Type="http://schemas.openxmlformats.org/officeDocument/2006/relationships/hyperlink" Target="https://ref.ly/Rom10:8" TargetMode="External"/><Relationship Id="rId3645" Type="http://schemas.openxmlformats.org/officeDocument/2006/relationships/hyperlink" Target="https://ref.ly/1Pet1:24-1Pet1:25" TargetMode="External"/><Relationship Id="rId3646" Type="http://schemas.openxmlformats.org/officeDocument/2006/relationships/hyperlink" Target="https://ref.ly/Rom3:10-Rom3:20" TargetMode="External"/><Relationship Id="rId3647" Type="http://schemas.openxmlformats.org/officeDocument/2006/relationships/hyperlink" Target="https://ref.ly/John6:31-John6:33" TargetMode="External"/><Relationship Id="rId3648" Type="http://schemas.openxmlformats.org/officeDocument/2006/relationships/hyperlink" Target="https://ref.ly/Gal3:6-Gal3:13" TargetMode="External"/><Relationship Id="rId3649" Type="http://schemas.openxmlformats.org/officeDocument/2006/relationships/hyperlink" Target="https://ref.ly/Dan7:13-Dan7:14" TargetMode="External"/><Relationship Id="rId3650" Type="http://schemas.openxmlformats.org/officeDocument/2006/relationships/hyperlink" Target="https://ref.ly/Matt24:30" TargetMode="External"/><Relationship Id="rId3651" Type="http://schemas.openxmlformats.org/officeDocument/2006/relationships/hyperlink" Target="https://ref.ly/Acts4:24" TargetMode="External"/><Relationship Id="rId3652" Type="http://schemas.openxmlformats.org/officeDocument/2006/relationships/hyperlink" Target="https://ref.ly/Rom11:34-Rom11:35" TargetMode="External"/><Relationship Id="rId3653" Type="http://schemas.openxmlformats.org/officeDocument/2006/relationships/hyperlink" Target="https://ref.ly/Matt1:1-Matt1:9" TargetMode="External"/><Relationship Id="rId3654" Type="http://schemas.openxmlformats.org/officeDocument/2006/relationships/hyperlink" Target="https://ref.ly/John1:23-John1:31" TargetMode="External"/><Relationship Id="rId3655" Type="http://schemas.openxmlformats.org/officeDocument/2006/relationships/hyperlink" Target="https://ref.ly/John20:11-John20:17" TargetMode="External"/><Relationship Id="rId3656" Type="http://schemas.openxmlformats.org/officeDocument/2006/relationships/hyperlink" Target="https://ref.ly/John16:14-John16:30" TargetMode="External"/><Relationship Id="rId3657" Type="http://schemas.openxmlformats.org/officeDocument/2006/relationships/hyperlink" Target="https://ref.ly/Heb2:14-Heb5:5" TargetMode="External"/><Relationship Id="rId3658" Type="http://schemas.openxmlformats.org/officeDocument/2006/relationships/hyperlink" Target="https://ref.ly/Heb10:8-Heb10:22" TargetMode="External"/><Relationship Id="rId3659" Type="http://schemas.openxmlformats.org/officeDocument/2006/relationships/hyperlink" Target="https://ref.ly/Heb10:29-Heb11:13" TargetMode="External"/><Relationship Id="rId3660" Type="http://schemas.openxmlformats.org/officeDocument/2006/relationships/hyperlink" Target="https://ref.ly/Heb11:28-Heb12:7" TargetMode="External"/><Relationship Id="rId3661" Type="http://schemas.openxmlformats.org/officeDocument/2006/relationships/hyperlink" Target="https://ref.ly/Matt23:30-Matt23:39" TargetMode="External"/><Relationship Id="rId3662" Type="http://schemas.openxmlformats.org/officeDocument/2006/relationships/hyperlink" Target="https://ref.ly/John18:36-John19:7" TargetMode="External"/><Relationship Id="rId3663" Type="http://schemas.openxmlformats.org/officeDocument/2006/relationships/hyperlink" Target="https://ref.ly/Matt21:34-Matt21:37" TargetMode="External"/><Relationship Id="rId3664" Type="http://schemas.openxmlformats.org/officeDocument/2006/relationships/hyperlink" Target="https://ref.ly/Rev9:1-Rev17:18" TargetMode="External"/><Relationship Id="rId3665" Type="http://schemas.openxmlformats.org/officeDocument/2006/relationships/hyperlink" Target="https://ref.ly/Matt20:24-Matt20:32" TargetMode="External"/><Relationship Id="rId3666" Type="http://schemas.openxmlformats.org/officeDocument/2006/relationships/hyperlink" Target="https://ref.ly/Matt21:13-Matt21:19" TargetMode="External"/><Relationship Id="rId3667" Type="http://schemas.openxmlformats.org/officeDocument/2006/relationships/hyperlink" Target="https://ref.ly/Matt25:41-Matt26:39" TargetMode="External"/><Relationship Id="rId3668" Type="http://schemas.openxmlformats.org/officeDocument/2006/relationships/hyperlink" Target="https://ref.ly/Mark4:36-Mark9:31" TargetMode="External"/><Relationship Id="rId3669" Type="http://schemas.openxmlformats.org/officeDocument/2006/relationships/hyperlink" Target="https://ref.ly/Mark11:27-Mark12:28" TargetMode="External"/><Relationship Id="rId3670" Type="http://schemas.openxmlformats.org/officeDocument/2006/relationships/hyperlink" Target="https://ref.ly/Luke6:31-Luke7:7" TargetMode="External"/><Relationship Id="rId3671" Type="http://schemas.openxmlformats.org/officeDocument/2006/relationships/hyperlink" Target="https://ref.ly/Luke9:26-Luke14:33" TargetMode="External"/><Relationship Id="rId3672" Type="http://schemas.openxmlformats.org/officeDocument/2006/relationships/hyperlink" Target="https://ref.ly/John4:51-John5:2" TargetMode="External"/><Relationship Id="rId3673" Type="http://schemas.openxmlformats.org/officeDocument/2006/relationships/hyperlink" Target="https://ref.ly/John5:21-John5:25" TargetMode="External"/><Relationship Id="rId3674" Type="http://schemas.openxmlformats.org/officeDocument/2006/relationships/hyperlink" Target="https://ref.ly/John10:7-John10:25" TargetMode="External"/><Relationship Id="rId3675" Type="http://schemas.openxmlformats.org/officeDocument/2006/relationships/hyperlink" Target="https://ref.ly/John10:30-John11:10" TargetMode="External"/><Relationship Id="rId3676" Type="http://schemas.openxmlformats.org/officeDocument/2006/relationships/hyperlink" Target="https://ref.ly/John11:18-John11:36" TargetMode="External"/><Relationship Id="rId3677" Type="http://schemas.openxmlformats.org/officeDocument/2006/relationships/hyperlink" Target="https://ref.ly/Acts4:27-Acts17:17" TargetMode="External"/><Relationship Id="rId3678" Type="http://schemas.openxmlformats.org/officeDocument/2006/relationships/hyperlink" Target="https://ref.ly/Rom5:17-Rom6:14" TargetMode="External"/><Relationship Id="rId3679" Type="http://schemas.openxmlformats.org/officeDocument/2006/relationships/hyperlink" Target="https://ref.ly/Rom8:15-Rom15:9" TargetMode="External"/><Relationship Id="rId3680" Type="http://schemas.openxmlformats.org/officeDocument/2006/relationships/hyperlink" Target="https://ref.ly/Rom15:11-Rom16:27" TargetMode="External"/><Relationship Id="rId3681" Type="http://schemas.openxmlformats.org/officeDocument/2006/relationships/hyperlink" Target="https://ref.ly/Heb1:1-Heb13:25" TargetMode="External"/><Relationship Id="rId3682" Type="http://schemas.openxmlformats.org/officeDocument/2006/relationships/hyperlink" Target="https://ref.ly/1Cor1:1-1Cor16:22" TargetMode="External"/><Relationship Id="rId3683" Type="http://schemas.openxmlformats.org/officeDocument/2006/relationships/hyperlink" Target="https://ref.ly/2Cor1:1-2Cor13:13" TargetMode="External"/><Relationship Id="rId3684" Type="http://schemas.openxmlformats.org/officeDocument/2006/relationships/hyperlink" Target="https://ref.ly/Eph1:1-Eph6:24" TargetMode="External"/><Relationship Id="rId3685" Type="http://schemas.openxmlformats.org/officeDocument/2006/relationships/hyperlink" Target="https://ref.ly/Gal1:1-Gal6:18" TargetMode="External"/><Relationship Id="rId3686" Type="http://schemas.openxmlformats.org/officeDocument/2006/relationships/hyperlink" Target="https://ref.ly/Phil1:1-Phil4:23" TargetMode="External"/><Relationship Id="rId3687" Type="http://schemas.openxmlformats.org/officeDocument/2006/relationships/hyperlink" Target="https://ref.ly/Col1:1-Col4:18" TargetMode="External"/><Relationship Id="rId3688" Type="http://schemas.openxmlformats.org/officeDocument/2006/relationships/hyperlink" Target="https://ref.ly/1Thess1:1" TargetMode="External"/><Relationship Id="rId3689" Type="http://schemas.openxmlformats.org/officeDocument/2006/relationships/hyperlink" Target="https://ref.ly/1Thess1:9-1Thess2:3" TargetMode="External"/><Relationship Id="rId3690" Type="http://schemas.openxmlformats.org/officeDocument/2006/relationships/hyperlink" Target="https://ref.ly/1Thess5:5-1Thess5:9" TargetMode="External"/><Relationship Id="rId3691" Type="http://schemas.openxmlformats.org/officeDocument/2006/relationships/hyperlink" Target="https://ref.ly/Rev9:10-Rev17:2" TargetMode="External"/><Relationship Id="rId3692" Type="http://schemas.openxmlformats.org/officeDocument/2006/relationships/hyperlink" Target="https://ref.ly/Luke3:1-Luke3:38" TargetMode="External"/><Relationship Id="rId3693" Type="http://schemas.openxmlformats.org/officeDocument/2006/relationships/hyperlink" Target="https://ref.ly/John15:1-John15:27" TargetMode="External"/><Relationship Id="rId3694" Type="http://schemas.openxmlformats.org/officeDocument/2006/relationships/hyperlink" Target="https://ref.ly/John1:1-John6:11" TargetMode="External"/><Relationship Id="rId3695" Type="http://schemas.openxmlformats.org/officeDocument/2006/relationships/hyperlink" Target="https://ref.ly/John6:35-John14:26" TargetMode="External"/><Relationship Id="rId3696" Type="http://schemas.openxmlformats.org/officeDocument/2006/relationships/hyperlink" Target="https://ref.ly/John14:29-John14:30" TargetMode="External"/><Relationship Id="rId3697" Type="http://schemas.openxmlformats.org/officeDocument/2006/relationships/hyperlink" Target="https://ref.ly/John15:2-John15:26" TargetMode="External"/><Relationship Id="rId3698" Type="http://schemas.openxmlformats.org/officeDocument/2006/relationships/hyperlink" Target="https://ref.ly/John16:2-John16:4" TargetMode="External"/><Relationship Id="rId3699" Type="http://schemas.openxmlformats.org/officeDocument/2006/relationships/hyperlink" Target="https://ref.ly/John16:10-John20:20" TargetMode="External"/><Relationship Id="rId3700" Type="http://schemas.openxmlformats.org/officeDocument/2006/relationships/hyperlink" Target="https://ref.ly/John20:22-John20:23" TargetMode="External"/><Relationship Id="rId3701" Type="http://schemas.openxmlformats.org/officeDocument/2006/relationships/hyperlink" Target="https://ref.ly/John20:25-John21:9" TargetMode="External"/><Relationship Id="rId3702" Type="http://schemas.openxmlformats.org/officeDocument/2006/relationships/hyperlink" Target="https://ref.ly/John7:53-John8:11" TargetMode="External"/><Relationship Id="rId3703" Type="http://schemas.openxmlformats.org/officeDocument/2006/relationships/hyperlink" Target="https://ref.ly/John6:69" TargetMode="External"/><Relationship Id="rId3704" Type="http://schemas.openxmlformats.org/officeDocument/2006/relationships/hyperlink" Target="https://ref.ly/Matt16:16" TargetMode="External"/><Relationship Id="rId3705" Type="http://schemas.openxmlformats.org/officeDocument/2006/relationships/hyperlink" Target="https://ref.ly/John21:6" TargetMode="External"/><Relationship Id="rId3706" Type="http://schemas.openxmlformats.org/officeDocument/2006/relationships/hyperlink" Target="https://ref.ly/Luke5:5" TargetMode="External"/><Relationship Id="rId3707" Type="http://schemas.openxmlformats.org/officeDocument/2006/relationships/hyperlink" Target="https://ref.ly/1Pet1:1-1Pet5:14" TargetMode="External"/><Relationship Id="rId3708" Type="http://schemas.openxmlformats.org/officeDocument/2006/relationships/hyperlink" Target="https://ref.ly/2Pet1:1-2Pet3:18" TargetMode="External"/><Relationship Id="rId3709" Type="http://schemas.openxmlformats.org/officeDocument/2006/relationships/hyperlink" Target="https://ref.ly/Ps33:1-Ps33:22" TargetMode="External"/><Relationship Id="rId3710" Type="http://schemas.openxmlformats.org/officeDocument/2006/relationships/hyperlink" Target="https://ref.ly/Luke3:18-Luke4:2" TargetMode="External"/><Relationship Id="rId3711" Type="http://schemas.openxmlformats.org/officeDocument/2006/relationships/hyperlink" Target="https://ref.ly/Luke4:34-Luke5:10" TargetMode="External"/><Relationship Id="rId3712" Type="http://schemas.openxmlformats.org/officeDocument/2006/relationships/hyperlink" Target="https://ref.ly/Luke5:37-Luke18:18" TargetMode="External"/><Relationship Id="rId3713" Type="http://schemas.openxmlformats.org/officeDocument/2006/relationships/hyperlink" Target="https://ref.ly/Luke22:4-Luke24:53" TargetMode="External"/><Relationship Id="rId3714" Type="http://schemas.openxmlformats.org/officeDocument/2006/relationships/hyperlink" Target="https://ref.ly/John1:1-John11:45" TargetMode="External"/><Relationship Id="rId3715" Type="http://schemas.openxmlformats.org/officeDocument/2006/relationships/hyperlink" Target="https://ref.ly/John11:48-John11:57" TargetMode="External"/><Relationship Id="rId3716" Type="http://schemas.openxmlformats.org/officeDocument/2006/relationships/hyperlink" Target="https://ref.ly/John12:3-John13:1" TargetMode="External"/><Relationship Id="rId3717" Type="http://schemas.openxmlformats.org/officeDocument/2006/relationships/hyperlink" Target="https://ref.ly/John13:8-John13:9" TargetMode="External"/><Relationship Id="rId3718" Type="http://schemas.openxmlformats.org/officeDocument/2006/relationships/hyperlink" Target="https://ref.ly/John14:8-John14:30" TargetMode="External"/><Relationship Id="rId3719" Type="http://schemas.openxmlformats.org/officeDocument/2006/relationships/hyperlink" Target="https://ref.ly/John15:7-John15:8" TargetMode="External"/><Relationship Id="rId3720" Type="http://schemas.openxmlformats.org/officeDocument/2006/relationships/hyperlink" Target="https://ref.ly/Titus1:11-Titus1:15" TargetMode="External"/><Relationship Id="rId3721" Type="http://schemas.openxmlformats.org/officeDocument/2006/relationships/hyperlink" Target="https://ref.ly/Titus2:3-Titus2:8" TargetMode="External"/><Relationship Id="rId3722" Type="http://schemas.openxmlformats.org/officeDocument/2006/relationships/hyperlink" Target="https://ref.ly/John18:31-John18:34" TargetMode="External"/><Relationship Id="rId3723" Type="http://schemas.openxmlformats.org/officeDocument/2006/relationships/hyperlink" Target="https://ref.ly/1Cor10:8" TargetMode="External"/><Relationship Id="rId3724" Type="http://schemas.openxmlformats.org/officeDocument/2006/relationships/hyperlink" Target="https://ref.ly/Phlm1:25" TargetMode="External"/><Relationship Id="rId3725" Type="http://schemas.openxmlformats.org/officeDocument/2006/relationships/hyperlink" Target="https://ref.ly/Rom1:1-1Cor10:8" TargetMode="External"/><Relationship Id="rId3726" Type="http://schemas.openxmlformats.org/officeDocument/2006/relationships/hyperlink" Target="https://ref.ly/Gen1:1-Gen46:28" TargetMode="External"/><Relationship Id="rId3727" Type="http://schemas.openxmlformats.org/officeDocument/2006/relationships/hyperlink" Target="https://ref.ly/2Sam2:5-2Sam2:7" TargetMode="External"/><Relationship Id="rId3728" Type="http://schemas.openxmlformats.org/officeDocument/2006/relationships/hyperlink" Target="https://ref.ly/Ps106:27-Ps138:6" TargetMode="External"/><Relationship Id="rId3729" Type="http://schemas.openxmlformats.org/officeDocument/2006/relationships/hyperlink" Target="https://ref.ly/Heb9:14-Heb13:25" TargetMode="External"/><Relationship Id="rId3730" Type="http://schemas.openxmlformats.org/officeDocument/2006/relationships/hyperlink" Target="https://ref.ly/Mark1:1-Mark5:30" TargetMode="External"/><Relationship Id="rId3731" Type="http://schemas.openxmlformats.org/officeDocument/2006/relationships/hyperlink" Target="https://ref.ly/Mark5:31-Mark16:20" TargetMode="External"/><Relationship Id="rId3732" Type="http://schemas.openxmlformats.org/officeDocument/2006/relationships/hyperlink" Target="https://ref.ly/Luke1:1-Luke8:12" TargetMode="External"/><Relationship Id="rId3733" Type="http://schemas.openxmlformats.org/officeDocument/2006/relationships/hyperlink" Target="https://ref.ly/John1:1-John5:11" TargetMode="External"/><Relationship Id="rId3734" Type="http://schemas.openxmlformats.org/officeDocument/2006/relationships/hyperlink" Target="https://ref.ly/Rev22:21" TargetMode="External"/><Relationship Id="rId3735" Type="http://schemas.openxmlformats.org/officeDocument/2006/relationships/hyperlink" Target="https://ref.ly/2Pet1:20-2Pet1:21" TargetMode="External"/><Relationship Id="rId3736" Type="http://schemas.openxmlformats.org/officeDocument/2006/relationships/hyperlink" Target="https://ref.ly/Matt5:17-Matt5:19" TargetMode="External"/><Relationship Id="rId3737" Type="http://schemas.openxmlformats.org/officeDocument/2006/relationships/hyperlink" Target="https://ref.ly/Luke16:17" TargetMode="External"/><Relationship Id="rId3738" Type="http://schemas.openxmlformats.org/officeDocument/2006/relationships/hyperlink" Target="https://ref.ly/John10:35" TargetMode="External"/><Relationship Id="rId3739" Type="http://schemas.openxmlformats.org/officeDocument/2006/relationships/hyperlink" Target="https://ref.ly/Luke24:27" TargetMode="External"/><Relationship Id="rId3740" Type="http://schemas.openxmlformats.org/officeDocument/2006/relationships/hyperlink" Target="https://ref.ly/John14:26" TargetMode="External"/><Relationship Id="rId3741" Type="http://schemas.openxmlformats.org/officeDocument/2006/relationships/hyperlink" Target="https://ref.ly/John15:26" TargetMode="External"/><Relationship Id="rId3742" Type="http://schemas.openxmlformats.org/officeDocument/2006/relationships/hyperlink" Target="https://ref.ly/John16:13-John16:15" TargetMode="External"/><Relationship Id="rId3743" Type="http://schemas.openxmlformats.org/officeDocument/2006/relationships/hyperlink" Target="https://ref.ly/John1:14" TargetMode="External"/><Relationship Id="rId3744" Type="http://schemas.openxmlformats.org/officeDocument/2006/relationships/hyperlink" Target="https://ref.ly/1John1:1-1John1:2" TargetMode="External"/><Relationship Id="rId3745" Type="http://schemas.openxmlformats.org/officeDocument/2006/relationships/hyperlink" Target="https://ref.ly/1Cor15:8-1Cor15:10" TargetMode="External"/><Relationship Id="rId3746" Type="http://schemas.openxmlformats.org/officeDocument/2006/relationships/hyperlink" Target="https://ref.ly/2Pet1:16-2Pet1:18" TargetMode="External"/><Relationship Id="rId3747" Type="http://schemas.openxmlformats.org/officeDocument/2006/relationships/hyperlink" Target="https://ref.ly/1John1:1-1John1:4" TargetMode="External"/><Relationship Id="rId3748" Type="http://schemas.openxmlformats.org/officeDocument/2006/relationships/hyperlink" Target="https://ref.ly/1Cor15:7" TargetMode="External"/><Relationship Id="rId3749" Type="http://schemas.openxmlformats.org/officeDocument/2006/relationships/hyperlink" Target="https://ref.ly/Acts1:14" TargetMode="External"/><Relationship Id="rId3750" Type="http://schemas.openxmlformats.org/officeDocument/2006/relationships/hyperlink" Target="https://ref.ly/1Cor2:10-1Cor2:13" TargetMode="External"/><Relationship Id="rId3751" Type="http://schemas.openxmlformats.org/officeDocument/2006/relationships/hyperlink" Target="https://ref.ly/John1:4" TargetMode="External"/><Relationship Id="rId3752" Type="http://schemas.openxmlformats.org/officeDocument/2006/relationships/hyperlink" Target="https://ref.ly/John6:48" TargetMode="External"/><Relationship Id="rId3753" Type="http://schemas.openxmlformats.org/officeDocument/2006/relationships/hyperlink" Target="https://ref.ly/John8:12" TargetMode="External"/><Relationship Id="rId3754" Type="http://schemas.openxmlformats.org/officeDocument/2006/relationships/hyperlink" Target="https://ref.ly/John11:25" TargetMode="External"/><Relationship Id="rId3755" Type="http://schemas.openxmlformats.org/officeDocument/2006/relationships/hyperlink" Target="https://ref.ly/Col2:3" TargetMode="External"/><Relationship Id="rId3756" Type="http://schemas.openxmlformats.org/officeDocument/2006/relationships/hyperlink" Target="https://ref.ly/Eph3:8" TargetMode="External"/><Relationship Id="rId3757" Type="http://schemas.openxmlformats.org/officeDocument/2006/relationships/hyperlink" Target="https://ref.ly/Deut6:4" TargetMode="External"/><Relationship Id="rId3758" Type="http://schemas.openxmlformats.org/officeDocument/2006/relationships/hyperlink" Target="https://ref.ly/Jer42:1-Jer49:39" TargetMode="External"/><Relationship Id="rId3759" Type="http://schemas.openxmlformats.org/officeDocument/2006/relationships/hyperlink" Target="https://ref.ly/Jer7:1-Jer22:30" TargetMode="External"/><Relationship Id="rId3760" Type="http://schemas.openxmlformats.org/officeDocument/2006/relationships/hyperlink" Target="https://ref.ly/Dan11:30" TargetMode="External"/><Relationship Id="rId3761" Type="http://schemas.openxmlformats.org/officeDocument/2006/relationships/hyperlink" Target="https://ref.ly/Deut6:4-Deut6:25" TargetMode="External"/><Relationship Id="rId3762" Type="http://schemas.openxmlformats.org/officeDocument/2006/relationships/hyperlink" Target="https://ref.ly/Luke24:44" TargetMode="External"/><Relationship Id="rId3763" Type="http://schemas.openxmlformats.org/officeDocument/2006/relationships/hyperlink" Target="https://ref.ly/Eph2:12" TargetMode="External"/><Relationship Id="rId3764" Type="http://schemas.openxmlformats.org/officeDocument/2006/relationships/hyperlink" Target="https://ref.ly/Heb9:1,Heb9:15-Heb9:22" TargetMode="External"/><Relationship Id="rId3765" Type="http://schemas.openxmlformats.org/officeDocument/2006/relationships/hyperlink" Target="https://ref.ly/Deut4:2" TargetMode="External"/><Relationship Id="rId3766" Type="http://schemas.openxmlformats.org/officeDocument/2006/relationships/hyperlink" Target="https://ref.ly/Deut31:26" TargetMode="External"/><Relationship Id="rId3767" Type="http://schemas.openxmlformats.org/officeDocument/2006/relationships/hyperlink" Target="https://ref.ly/Mark12:26" TargetMode="External"/><Relationship Id="rId3768" Type="http://schemas.openxmlformats.org/officeDocument/2006/relationships/hyperlink" Target="https://ref.ly/John16:13" TargetMode="External"/><Relationship Id="rId3769" Type="http://schemas.openxmlformats.org/officeDocument/2006/relationships/hyperlink" Target="https://ref.ly/1Thess5:27" TargetMode="External"/><Relationship Id="rId3770" Type="http://schemas.openxmlformats.org/officeDocument/2006/relationships/hyperlink" Target="https://ref.ly/1Cor14:37" TargetMode="External"/><Relationship Id="rId3771" Type="http://schemas.openxmlformats.org/officeDocument/2006/relationships/hyperlink" Target="https://ref.ly/Col4:16" TargetMode="External"/><Relationship Id="rId3772" Type="http://schemas.openxmlformats.org/officeDocument/2006/relationships/hyperlink" Target="https://ref.ly/Matt22:14" TargetMode="External"/><Relationship Id="rId3773" Type="http://schemas.openxmlformats.org/officeDocument/2006/relationships/hyperlink" Target="https://ref.ly/Eph4:26" TargetMode="External"/><Relationship Id="rId3774" Type="http://schemas.openxmlformats.org/officeDocument/2006/relationships/hyperlink" Target="https://ref.ly/Ps4:4" TargetMode="External"/><Relationship Id="rId3775" Type="http://schemas.openxmlformats.org/officeDocument/2006/relationships/hyperlink" Target="https://ref.ly/Luke1:1-Luke1:80" TargetMode="External"/><Relationship Id="rId3776" Type="http://schemas.openxmlformats.org/officeDocument/2006/relationships/hyperlink" Target="https://ref.ly/Luke2:1-Luke2:52" TargetMode="External"/><Relationship Id="rId3777" Type="http://schemas.openxmlformats.org/officeDocument/2006/relationships/hyperlink" Target="https://ref.ly/1Cor14:29-1Cor14:30" TargetMode="External"/><Relationship Id="rId3778" Type="http://schemas.openxmlformats.org/officeDocument/2006/relationships/hyperlink" Target="https://ref.ly/Eph4:11" TargetMode="External"/><Relationship Id="rId3779" Type="http://schemas.openxmlformats.org/officeDocument/2006/relationships/hyperlink" Target="https://ref.ly/1Cor2:13" TargetMode="External"/><Relationship Id="rId3780" Type="http://schemas.openxmlformats.org/officeDocument/2006/relationships/hyperlink" Target="https://ref.ly/Gen29:29" TargetMode="External"/><Relationship Id="rId3781" Type="http://schemas.openxmlformats.org/officeDocument/2006/relationships/hyperlink" Target="https://ref.ly/Gen30:3-Gen30:8" TargetMode="External"/><Relationship Id="rId3782" Type="http://schemas.openxmlformats.org/officeDocument/2006/relationships/hyperlink" Target="https://ref.ly/Gen35:25" TargetMode="External"/><Relationship Id="rId3783" Type="http://schemas.openxmlformats.org/officeDocument/2006/relationships/hyperlink" Target="https://ref.ly/Gen46:25" TargetMode="External"/><Relationship Id="rId3784" Type="http://schemas.openxmlformats.org/officeDocument/2006/relationships/hyperlink" Target="https://ref.ly/Gen29:1-Gen29:35" TargetMode="External"/><Relationship Id="rId3785" Type="http://schemas.openxmlformats.org/officeDocument/2006/relationships/hyperlink" Target="https://ref.ly/Gen35:22" TargetMode="External"/><Relationship Id="rId3786" Type="http://schemas.openxmlformats.org/officeDocument/2006/relationships/hyperlink" Target="https://ref.ly/Job2:11" TargetMode="External"/><Relationship Id="rId3787" Type="http://schemas.openxmlformats.org/officeDocument/2006/relationships/hyperlink" Target="https://ref.ly/Gen25:1-Gen25:2" TargetMode="External"/><Relationship Id="rId3788" Type="http://schemas.openxmlformats.org/officeDocument/2006/relationships/hyperlink" Target="https://ref.ly/Job8:1-Job8:22" TargetMode="External"/><Relationship Id="rId3789" Type="http://schemas.openxmlformats.org/officeDocument/2006/relationships/hyperlink" Target="https://ref.ly/Job18:1-Job18:21" TargetMode="External"/><Relationship Id="rId3790" Type="http://schemas.openxmlformats.org/officeDocument/2006/relationships/hyperlink" Target="https://ref.ly/Job25:1-Job25:6" TargetMode="External"/><Relationship Id="rId3791" Type="http://schemas.openxmlformats.org/officeDocument/2006/relationships/hyperlink" Target="https://ref.ly/1Chr7:31" TargetMode="External"/><Relationship Id="rId3792" Type="http://schemas.openxmlformats.org/officeDocument/2006/relationships/hyperlink" Target="https://ref.ly/Num26:44-Num26:47" TargetMode="External"/><Relationship Id="rId3793" Type="http://schemas.openxmlformats.org/officeDocument/2006/relationships/hyperlink" Target="https://ref.ly/1Tim3:2-1Tim3:7" TargetMode="External"/><Relationship Id="rId3794" Type="http://schemas.openxmlformats.org/officeDocument/2006/relationships/hyperlink" Target="https://ref.ly/Titus1:6-Titus1:9" TargetMode="External"/><Relationship Id="rId3795" Type="http://schemas.openxmlformats.org/officeDocument/2006/relationships/hyperlink" Target="https://ref.ly/Titus1:9" TargetMode="External"/><Relationship Id="rId3796" Type="http://schemas.openxmlformats.org/officeDocument/2006/relationships/hyperlink" Target="https://ref.ly/1Tim3:2" TargetMode="External"/><Relationship Id="rId3797" Type="http://schemas.openxmlformats.org/officeDocument/2006/relationships/hyperlink" Target="https://ref.ly/Acts16:7" TargetMode="External"/><Relationship Id="rId3798" Type="http://schemas.openxmlformats.org/officeDocument/2006/relationships/hyperlink" Target="https://ref.ly/Lev24:10-Lev24:16" TargetMode="External"/><Relationship Id="rId3799" Type="http://schemas.openxmlformats.org/officeDocument/2006/relationships/hyperlink" Target="https://ref.ly/Num15:30" TargetMode="External"/><Relationship Id="rId3800" Type="http://schemas.openxmlformats.org/officeDocument/2006/relationships/hyperlink" Target="https://ref.ly/2Kgs19:4-2Kgs19:6" TargetMode="External"/><Relationship Id="rId3801" Type="http://schemas.openxmlformats.org/officeDocument/2006/relationships/hyperlink" Target="https://ref.ly/Isa52:5" TargetMode="External"/><Relationship Id="rId3802" Type="http://schemas.openxmlformats.org/officeDocument/2006/relationships/hyperlink" Target="https://ref.ly/Ezek35:12" TargetMode="External"/><Relationship Id="rId3803" Type="http://schemas.openxmlformats.org/officeDocument/2006/relationships/hyperlink" Target="https://ref.ly/Ps74:18" TargetMode="External"/><Relationship Id="rId3804" Type="http://schemas.openxmlformats.org/officeDocument/2006/relationships/hyperlink" Target="https://ref.ly/1Macc2:6" TargetMode="External"/><Relationship Id="rId3805" Type="http://schemas.openxmlformats.org/officeDocument/2006/relationships/hyperlink" Target="https://ref.ly/Matt15:19" TargetMode="External"/><Relationship Id="rId3806" Type="http://schemas.openxmlformats.org/officeDocument/2006/relationships/hyperlink" Target="https://ref.ly/Rom3:8" TargetMode="External"/><Relationship Id="rId3807" Type="http://schemas.openxmlformats.org/officeDocument/2006/relationships/hyperlink" Target="https://ref.ly/1Cor10:30" TargetMode="External"/><Relationship Id="rId3808" Type="http://schemas.openxmlformats.org/officeDocument/2006/relationships/hyperlink" Target="https://ref.ly/Eph4:31" TargetMode="External"/><Relationship Id="rId3809" Type="http://schemas.openxmlformats.org/officeDocument/2006/relationships/hyperlink" Target="https://ref.ly/Titus3:2" TargetMode="External"/><Relationship Id="rId3810" Type="http://schemas.openxmlformats.org/officeDocument/2006/relationships/hyperlink" Target="https://ref.ly/2Pet2:10-2Pet2:12" TargetMode="External"/><Relationship Id="rId3811" Type="http://schemas.openxmlformats.org/officeDocument/2006/relationships/hyperlink" Target="https://ref.ly/Jude1:8-Jude1:10" TargetMode="External"/><Relationship Id="rId3812" Type="http://schemas.openxmlformats.org/officeDocument/2006/relationships/hyperlink" Target="https://ref.ly/Rev13:6" TargetMode="External"/><Relationship Id="rId3813" Type="http://schemas.openxmlformats.org/officeDocument/2006/relationships/hyperlink" Target="https://ref.ly/Rev16:9" TargetMode="External"/><Relationship Id="rId3814" Type="http://schemas.openxmlformats.org/officeDocument/2006/relationships/hyperlink" Target="https://ref.ly/Titus2:5" TargetMode="External"/><Relationship Id="rId3815" Type="http://schemas.openxmlformats.org/officeDocument/2006/relationships/hyperlink" Target="https://ref.ly/Acts6:11" TargetMode="External"/><Relationship Id="rId3816" Type="http://schemas.openxmlformats.org/officeDocument/2006/relationships/hyperlink" Target="https://ref.ly/Mark2:7" TargetMode="External"/><Relationship Id="rId3817" Type="http://schemas.openxmlformats.org/officeDocument/2006/relationships/hyperlink" Target="https://ref.ly/John10:33-John10:36" TargetMode="External"/><Relationship Id="rId3818" Type="http://schemas.openxmlformats.org/officeDocument/2006/relationships/hyperlink" Target="https://ref.ly/John10:33" TargetMode="External"/><Relationship Id="rId3819" Type="http://schemas.openxmlformats.org/officeDocument/2006/relationships/hyperlink" Target="https://ref.ly/Mark14:64" TargetMode="External"/><Relationship Id="rId3820" Type="http://schemas.openxmlformats.org/officeDocument/2006/relationships/hyperlink" Target="https://ref.ly/Matt12:32" TargetMode="External"/><Relationship Id="rId3821" Type="http://schemas.openxmlformats.org/officeDocument/2006/relationships/hyperlink" Target="https://ref.ly/Mark3:28-Mark3:29" TargetMode="External"/><Relationship Id="rId3822" Type="http://schemas.openxmlformats.org/officeDocument/2006/relationships/hyperlink" Target="https://ref.ly/Acts12:20" TargetMode="External"/><Relationship Id="rId3823" Type="http://schemas.openxmlformats.org/officeDocument/2006/relationships/hyperlink" Target="https://ref.ly/Acts12:21-Acts12:23" TargetMode="External"/><Relationship Id="rId3824" Type="http://schemas.openxmlformats.org/officeDocument/2006/relationships/hyperlink" Target="https://ref.ly/Mark3:17" TargetMode="External"/><Relationship Id="rId3825" Type="http://schemas.openxmlformats.org/officeDocument/2006/relationships/hyperlink" Target="https://ref.ly/Luke9:54" TargetMode="External"/><Relationship Id="rId3826" Type="http://schemas.openxmlformats.org/officeDocument/2006/relationships/hyperlink" Target="https://ref.ly/Deut25:13" TargetMode="External"/><Relationship Id="rId3827" Type="http://schemas.openxmlformats.org/officeDocument/2006/relationships/hyperlink" Target="https://ref.ly/Prov1:14" TargetMode="External"/><Relationship Id="rId3828" Type="http://schemas.openxmlformats.org/officeDocument/2006/relationships/hyperlink" Target="https://ref.ly/Mic6:11" TargetMode="External"/><Relationship Id="rId3829" Type="http://schemas.openxmlformats.org/officeDocument/2006/relationships/hyperlink" Target="https://ref.ly/2Kgs5:23" TargetMode="External"/><Relationship Id="rId3830" Type="http://schemas.openxmlformats.org/officeDocument/2006/relationships/hyperlink" Target="https://ref.ly/Isa3:22" TargetMode="External"/><Relationship Id="rId3831" Type="http://schemas.openxmlformats.org/officeDocument/2006/relationships/hyperlink" Target="https://ref.ly/Gen42:35" TargetMode="External"/><Relationship Id="rId3832" Type="http://schemas.openxmlformats.org/officeDocument/2006/relationships/hyperlink" Target="https://ref.ly/Luke10:4" TargetMode="External"/><Relationship Id="rId3833" Type="http://schemas.openxmlformats.org/officeDocument/2006/relationships/hyperlink" Target="https://ref.ly/Luke22:35-Luke22:36" TargetMode="External"/><Relationship Id="rId3834" Type="http://schemas.openxmlformats.org/officeDocument/2006/relationships/hyperlink" Target="https://ref.ly/Matt10:9" TargetMode="External"/><Relationship Id="rId3835" Type="http://schemas.openxmlformats.org/officeDocument/2006/relationships/hyperlink" Target="https://ref.ly/Mark6:8" TargetMode="External"/><Relationship Id="rId3836" Type="http://schemas.openxmlformats.org/officeDocument/2006/relationships/hyperlink" Target="https://ref.ly/John12:6" TargetMode="External"/><Relationship Id="rId3837" Type="http://schemas.openxmlformats.org/officeDocument/2006/relationships/hyperlink" Target="https://ref.ly/John13:29" TargetMode="External"/><Relationship Id="rId3838" Type="http://schemas.openxmlformats.org/officeDocument/2006/relationships/hyperlink" Target="https://ref.ly/Gen40:14" TargetMode="External"/><Relationship Id="rId3839" Type="http://schemas.openxmlformats.org/officeDocument/2006/relationships/hyperlink" Target="https://ref.ly/Josh2:12" TargetMode="External"/><Relationship Id="rId3840" Type="http://schemas.openxmlformats.org/officeDocument/2006/relationships/hyperlink" Target="https://ref.ly/1Sam15:6" TargetMode="External"/><Relationship Id="rId3841" Type="http://schemas.openxmlformats.org/officeDocument/2006/relationships/hyperlink" Target="https://ref.ly/2Sam2:5" TargetMode="External"/><Relationship Id="rId3842" Type="http://schemas.openxmlformats.org/officeDocument/2006/relationships/hyperlink" Target="https://ref.ly/1Sam20:14-1Sam20:15" TargetMode="External"/><Relationship Id="rId3843" Type="http://schemas.openxmlformats.org/officeDocument/2006/relationships/hyperlink" Target="https://ref.ly/2Sam9:1-2Sam9:7" TargetMode="External"/><Relationship Id="rId3844" Type="http://schemas.openxmlformats.org/officeDocument/2006/relationships/hyperlink" Target="https://ref.ly/Gen21:23" TargetMode="External"/><Relationship Id="rId3845" Type="http://schemas.openxmlformats.org/officeDocument/2006/relationships/hyperlink" Target="https://ref.ly/2Sam3:8" TargetMode="External"/><Relationship Id="rId3846" Type="http://schemas.openxmlformats.org/officeDocument/2006/relationships/hyperlink" Target="https://ref.ly/2Sam10:2-2Sam10:19" TargetMode="External"/><Relationship Id="rId3847" Type="http://schemas.openxmlformats.org/officeDocument/2006/relationships/hyperlink" Target="https://ref.ly/2Sam16:17" TargetMode="External"/><Relationship Id="rId3848" Type="http://schemas.openxmlformats.org/officeDocument/2006/relationships/hyperlink" Target="https://ref.ly/2Chr24:22" TargetMode="External"/><Relationship Id="rId3849" Type="http://schemas.openxmlformats.org/officeDocument/2006/relationships/hyperlink" Target="https://ref.ly/Neh9:17-Neh9:31" TargetMode="External"/><Relationship Id="rId3850" Type="http://schemas.openxmlformats.org/officeDocument/2006/relationships/hyperlink" Target="https://ref.ly/Titus3:4" TargetMode="External"/><Relationship Id="rId3851" Type="http://schemas.openxmlformats.org/officeDocument/2006/relationships/hyperlink" Target="https://ref.ly/Eph2:7" TargetMode="External"/><Relationship Id="rId3852" Type="http://schemas.openxmlformats.org/officeDocument/2006/relationships/hyperlink" Target="https://ref.ly/Col3:12" TargetMode="External"/><Relationship Id="rId3853" Type="http://schemas.openxmlformats.org/officeDocument/2006/relationships/hyperlink" Target="https://ref.ly/Acts27:8" TargetMode="External"/><Relationship Id="rId3854" Type="http://schemas.openxmlformats.org/officeDocument/2006/relationships/hyperlink" Target="https://ref.ly/Exod26:1,Exod26:31" TargetMode="External"/><Relationship Id="rId3855" Type="http://schemas.openxmlformats.org/officeDocument/2006/relationships/hyperlink" Target="https://ref.ly/Exod28:6,Exod28:8" TargetMode="External"/><Relationship Id="rId3856" Type="http://schemas.openxmlformats.org/officeDocument/2006/relationships/hyperlink" Target="https://ref.ly/Exod39:2" TargetMode="External"/><Relationship Id="rId3857" Type="http://schemas.openxmlformats.org/officeDocument/2006/relationships/hyperlink" Target="https://ref.ly/Judg5:30" TargetMode="External"/><Relationship Id="rId3858" Type="http://schemas.openxmlformats.org/officeDocument/2006/relationships/hyperlink" Target="https://ref.ly/Exod27:16" TargetMode="External"/><Relationship Id="rId3859" Type="http://schemas.openxmlformats.org/officeDocument/2006/relationships/hyperlink" Target="https://ref.ly/Josh7:21" TargetMode="External"/><Relationship Id="rId3860" Type="http://schemas.openxmlformats.org/officeDocument/2006/relationships/hyperlink" Target="https://ref.ly/Exod34:13" TargetMode="External"/><Relationship Id="rId3861" Type="http://schemas.openxmlformats.org/officeDocument/2006/relationships/hyperlink" Target="https://ref.ly/Deut12:3" TargetMode="External"/><Relationship Id="rId3862" Type="http://schemas.openxmlformats.org/officeDocument/2006/relationships/hyperlink" Target="https://ref.ly/2Kgs17:7-2Kgs17:18" TargetMode="External"/><Relationship Id="rId3863" Type="http://schemas.openxmlformats.org/officeDocument/2006/relationships/hyperlink" Target="https://ref.ly/Gen21:33" TargetMode="External"/><Relationship Id="rId3864" Type="http://schemas.openxmlformats.org/officeDocument/2006/relationships/hyperlink" Target="https://ref.ly/Gen36:33" TargetMode="External"/><Relationship Id="rId3865" Type="http://schemas.openxmlformats.org/officeDocument/2006/relationships/hyperlink" Target="https://ref.ly/1Chr1:44" TargetMode="External"/><Relationship Id="rId3866" Type="http://schemas.openxmlformats.org/officeDocument/2006/relationships/hyperlink" Target="https://ref.ly/Isa34:6" TargetMode="External"/><Relationship Id="rId3867" Type="http://schemas.openxmlformats.org/officeDocument/2006/relationships/hyperlink" Target="https://ref.ly/Isa63:1" TargetMode="External"/><Relationship Id="rId3868" Type="http://schemas.openxmlformats.org/officeDocument/2006/relationships/hyperlink" Target="https://ref.ly/Jer49:13" TargetMode="External"/><Relationship Id="rId3869" Type="http://schemas.openxmlformats.org/officeDocument/2006/relationships/hyperlink" Target="https://ref.ly/Amos1:12" TargetMode="External"/><Relationship Id="rId3870" Type="http://schemas.openxmlformats.org/officeDocument/2006/relationships/hyperlink" Target="https://ref.ly/1Macc5:26,1Macc5:28" TargetMode="External"/><Relationship Id="rId3871" Type="http://schemas.openxmlformats.org/officeDocument/2006/relationships/hyperlink" Target="https://ref.ly/Acts27:28" TargetMode="External"/><Relationship Id="rId3872" Type="http://schemas.openxmlformats.org/officeDocument/2006/relationships/hyperlink" Target="https://ref.ly/Num34:22" TargetMode="External"/><Relationship Id="rId3873" Type="http://schemas.openxmlformats.org/officeDocument/2006/relationships/hyperlink" Target="https://ref.ly/1Chr6:5,1Chr6:51" TargetMode="External"/><Relationship Id="rId3874" Type="http://schemas.openxmlformats.org/officeDocument/2006/relationships/hyperlink" Target="https://ref.ly/Ezra7:1,Ezra7:4-Ezra7:5" TargetMode="External"/><Relationship Id="rId3875" Type="http://schemas.openxmlformats.org/officeDocument/2006/relationships/hyperlink" Target="https://ref.ly/Matt5:15" TargetMode="External"/><Relationship Id="rId3876" Type="http://schemas.openxmlformats.org/officeDocument/2006/relationships/hyperlink" Target="https://ref.ly/Mark4:21" TargetMode="External"/><Relationship Id="rId3877" Type="http://schemas.openxmlformats.org/officeDocument/2006/relationships/hyperlink" Target="https://ref.ly/Luke11:33" TargetMode="External"/><Relationship Id="rId3878" Type="http://schemas.openxmlformats.org/officeDocument/2006/relationships/hyperlink" Target="https://ref.ly/Gen33:17" TargetMode="External"/><Relationship Id="rId3879" Type="http://schemas.openxmlformats.org/officeDocument/2006/relationships/hyperlink" Target="https://ref.ly/Jonah4:5" TargetMode="External"/><Relationship Id="rId3880" Type="http://schemas.openxmlformats.org/officeDocument/2006/relationships/hyperlink" Target="https://ref.ly/Job27:18" TargetMode="External"/><Relationship Id="rId3881" Type="http://schemas.openxmlformats.org/officeDocument/2006/relationships/hyperlink" Target="https://ref.ly/Isa1:8" TargetMode="External"/><Relationship Id="rId3882" Type="http://schemas.openxmlformats.org/officeDocument/2006/relationships/hyperlink" Target="https://ref.ly/Ps140:9" TargetMode="External"/><Relationship Id="rId3883" Type="http://schemas.openxmlformats.org/officeDocument/2006/relationships/hyperlink" Target="https://ref.ly/Gen40:20" TargetMode="External"/><Relationship Id="rId3884" Type="http://schemas.openxmlformats.org/officeDocument/2006/relationships/hyperlink" Target="https://ref.ly/Ps3:3" TargetMode="External"/><Relationship Id="rId3885" Type="http://schemas.openxmlformats.org/officeDocument/2006/relationships/hyperlink" Target="https://ref.ly/Ps27:6" TargetMode="External"/><Relationship Id="rId3886" Type="http://schemas.openxmlformats.org/officeDocument/2006/relationships/hyperlink" Target="https://ref.ly/Isa58:5" TargetMode="External"/><Relationship Id="rId3887" Type="http://schemas.openxmlformats.org/officeDocument/2006/relationships/hyperlink" Target="https://ref.ly/Lam2:10" TargetMode="External"/><Relationship Id="rId3888" Type="http://schemas.openxmlformats.org/officeDocument/2006/relationships/hyperlink" Target="https://ref.ly/Gen8:5" TargetMode="External"/><Relationship Id="rId3889" Type="http://schemas.openxmlformats.org/officeDocument/2006/relationships/hyperlink" Target="https://ref.ly/Gen11:4" TargetMode="External"/><Relationship Id="rId3890" Type="http://schemas.openxmlformats.org/officeDocument/2006/relationships/hyperlink" Target="https://ref.ly/2Sam5:24" TargetMode="External"/><Relationship Id="rId3891" Type="http://schemas.openxmlformats.org/officeDocument/2006/relationships/hyperlink" Target="https://ref.ly/Gen2:10" TargetMode="External"/><Relationship Id="rId3892" Type="http://schemas.openxmlformats.org/officeDocument/2006/relationships/hyperlink" Target="https://ref.ly/Judg10:18" TargetMode="External"/><Relationship Id="rId3893" Type="http://schemas.openxmlformats.org/officeDocument/2006/relationships/hyperlink" Target="https://ref.ly/1Sam15:17" TargetMode="External"/><Relationship Id="rId3894" Type="http://schemas.openxmlformats.org/officeDocument/2006/relationships/hyperlink" Target="https://ref.ly/Ps18:43" TargetMode="External"/><Relationship Id="rId3895" Type="http://schemas.openxmlformats.org/officeDocument/2006/relationships/hyperlink" Target="https://ref.ly/Isa7:8-Isa7:9" TargetMode="External"/><Relationship Id="rId3896" Type="http://schemas.openxmlformats.org/officeDocument/2006/relationships/hyperlink" Target="https://ref.ly/Jer31:7" TargetMode="External"/><Relationship Id="rId3897" Type="http://schemas.openxmlformats.org/officeDocument/2006/relationships/hyperlink" Target="https://ref.ly/Hos1:11" TargetMode="External"/><Relationship Id="rId3898" Type="http://schemas.openxmlformats.org/officeDocument/2006/relationships/hyperlink" Target="https://ref.ly/Judg9:53" TargetMode="External"/><Relationship Id="rId3899" Type="http://schemas.openxmlformats.org/officeDocument/2006/relationships/hyperlink" Target="https://ref.ly/Ps68:21" TargetMode="External"/><Relationship Id="rId3900" Type="http://schemas.openxmlformats.org/officeDocument/2006/relationships/hyperlink" Target="https://ref.ly/Matt5:36" TargetMode="External"/><Relationship Id="rId3901" Type="http://schemas.openxmlformats.org/officeDocument/2006/relationships/hyperlink" Target="https://ref.ly/Matt6:17" TargetMode="External"/><Relationship Id="rId3902" Type="http://schemas.openxmlformats.org/officeDocument/2006/relationships/hyperlink" Target="https://ref.ly/Matt14:8" TargetMode="External"/><Relationship Id="rId3903" Type="http://schemas.openxmlformats.org/officeDocument/2006/relationships/hyperlink" Target="https://ref.ly/Matt26:7" TargetMode="External"/><Relationship Id="rId3904" Type="http://schemas.openxmlformats.org/officeDocument/2006/relationships/hyperlink" Target="https://ref.ly/Mark6:27" TargetMode="External"/><Relationship Id="rId3905" Type="http://schemas.openxmlformats.org/officeDocument/2006/relationships/hyperlink" Target="https://ref.ly/Mark14:3" TargetMode="External"/><Relationship Id="rId3906" Type="http://schemas.openxmlformats.org/officeDocument/2006/relationships/hyperlink" Target="https://ref.ly/Luke7:46" TargetMode="External"/><Relationship Id="rId3907" Type="http://schemas.openxmlformats.org/officeDocument/2006/relationships/hyperlink" Target="https://ref.ly/John13:9" TargetMode="External"/><Relationship Id="rId3908" Type="http://schemas.openxmlformats.org/officeDocument/2006/relationships/hyperlink" Target="https://ref.ly/John20:7" TargetMode="External"/><Relationship Id="rId3909" Type="http://schemas.openxmlformats.org/officeDocument/2006/relationships/hyperlink" Target="https://ref.ly/Rev4:4" TargetMode="External"/><Relationship Id="rId3910" Type="http://schemas.openxmlformats.org/officeDocument/2006/relationships/hyperlink" Target="https://ref.ly/Rev12:1" TargetMode="External"/><Relationship Id="rId3911" Type="http://schemas.openxmlformats.org/officeDocument/2006/relationships/hyperlink" Target="https://ref.ly/Rev9:7" TargetMode="External"/><Relationship Id="rId3912" Type="http://schemas.openxmlformats.org/officeDocument/2006/relationships/hyperlink" Target="https://ref.ly/Rev12:3" TargetMode="External"/><Relationship Id="rId3913" Type="http://schemas.openxmlformats.org/officeDocument/2006/relationships/hyperlink" Target="https://ref.ly/Rom12:20" TargetMode="External"/><Relationship Id="rId3914" Type="http://schemas.openxmlformats.org/officeDocument/2006/relationships/hyperlink" Target="https://ref.ly/Matt5:44" TargetMode="External"/><Relationship Id="rId3915" Type="http://schemas.openxmlformats.org/officeDocument/2006/relationships/hyperlink" Target="https://ref.ly/Acts21:24" TargetMode="External"/><Relationship Id="rId3916" Type="http://schemas.openxmlformats.org/officeDocument/2006/relationships/hyperlink" Target="https://ref.ly/Matt8:20" TargetMode="External"/><Relationship Id="rId3917" Type="http://schemas.openxmlformats.org/officeDocument/2006/relationships/hyperlink" Target="https://ref.ly/Luke9:58" TargetMode="External"/><Relationship Id="rId3918" Type="http://schemas.openxmlformats.org/officeDocument/2006/relationships/hyperlink" Target="https://ref.ly/1Cor11:3-1Cor11:16" TargetMode="External"/><Relationship Id="rId3919" Type="http://schemas.openxmlformats.org/officeDocument/2006/relationships/hyperlink" Target="https://ref.ly/Eph5:23" TargetMode="External"/><Relationship Id="rId3920" Type="http://schemas.openxmlformats.org/officeDocument/2006/relationships/hyperlink" Target="https://ref.ly/Eph1:21-Eph1:22" TargetMode="External"/><Relationship Id="rId3921" Type="http://schemas.openxmlformats.org/officeDocument/2006/relationships/hyperlink" Target="https://ref.ly/Col2:10" TargetMode="External"/><Relationship Id="rId3922" Type="http://schemas.openxmlformats.org/officeDocument/2006/relationships/hyperlink" Target="https://ref.ly/Eph4:15" TargetMode="External"/><Relationship Id="rId3923" Type="http://schemas.openxmlformats.org/officeDocument/2006/relationships/hyperlink" Target="https://ref.ly/1Cor12:12-1Cor12:27" TargetMode="External"/><Relationship Id="rId3924" Type="http://schemas.openxmlformats.org/officeDocument/2006/relationships/hyperlink" Target="https://ref.ly/1Cor11:15" TargetMode="External"/><Relationship Id="rId3925" Type="http://schemas.openxmlformats.org/officeDocument/2006/relationships/hyperlink" Target="https://ref.ly/1Pet3:3" TargetMode="External"/><Relationship Id="rId3926" Type="http://schemas.openxmlformats.org/officeDocument/2006/relationships/hyperlink" Target="https://ref.ly/Deut12:29-Deut12:30" TargetMode="External"/><Relationship Id="rId3927" Type="http://schemas.openxmlformats.org/officeDocument/2006/relationships/hyperlink" Target="https://ref.ly/Lev14:8-Lev14:9" TargetMode="External"/><Relationship Id="rId3928" Type="http://schemas.openxmlformats.org/officeDocument/2006/relationships/hyperlink" Target="https://ref.ly/Acts18:18" TargetMode="External"/><Relationship Id="rId3929" Type="http://schemas.openxmlformats.org/officeDocument/2006/relationships/hyperlink" Target="https://ref.ly/Isa15:2" TargetMode="External"/><Relationship Id="rId3930" Type="http://schemas.openxmlformats.org/officeDocument/2006/relationships/hyperlink" Target="https://ref.ly/Isa7:20" TargetMode="External"/><Relationship Id="rId3931" Type="http://schemas.openxmlformats.org/officeDocument/2006/relationships/hyperlink" Target="https://ref.ly/Jer41:5" TargetMode="External"/><Relationship Id="rId3932" Type="http://schemas.openxmlformats.org/officeDocument/2006/relationships/hyperlink" Target="https://ref.ly/Jer48:37" TargetMode="External"/><Relationship Id="rId3933" Type="http://schemas.openxmlformats.org/officeDocument/2006/relationships/hyperlink" Target="https://ref.ly/Gen10:9" TargetMode="External"/><Relationship Id="rId3934" Type="http://schemas.openxmlformats.org/officeDocument/2006/relationships/hyperlink" Target="https://ref.ly/Gen25:27" TargetMode="External"/><Relationship Id="rId3935" Type="http://schemas.openxmlformats.org/officeDocument/2006/relationships/hyperlink" Target="https://ref.ly/Deut14:4-Deut14:6" TargetMode="External"/><Relationship Id="rId3936" Type="http://schemas.openxmlformats.org/officeDocument/2006/relationships/hyperlink" Target="https://ref.ly/Prov12:27" TargetMode="External"/><Relationship Id="rId3937" Type="http://schemas.openxmlformats.org/officeDocument/2006/relationships/hyperlink" Target="https://ref.ly/Judg14:6" TargetMode="External"/><Relationship Id="rId3938" Type="http://schemas.openxmlformats.org/officeDocument/2006/relationships/hyperlink" Target="https://ref.ly/2Sam23:20" TargetMode="External"/><Relationship Id="rId3939" Type="http://schemas.openxmlformats.org/officeDocument/2006/relationships/hyperlink" Target="https://ref.ly/Ps23:4" TargetMode="External"/><Relationship Id="rId3940" Type="http://schemas.openxmlformats.org/officeDocument/2006/relationships/hyperlink" Target="https://ref.ly/Deut14:11-Deut14:18" TargetMode="External"/><Relationship Id="rId3941" Type="http://schemas.openxmlformats.org/officeDocument/2006/relationships/hyperlink" Target="https://ref.ly/Job41:29" TargetMode="External"/><Relationship Id="rId3942" Type="http://schemas.openxmlformats.org/officeDocument/2006/relationships/hyperlink" Target="https://ref.ly/Job19:6" TargetMode="External"/><Relationship Id="rId3943" Type="http://schemas.openxmlformats.org/officeDocument/2006/relationships/hyperlink" Target="https://ref.ly/Ps91:3" TargetMode="External"/><Relationship Id="rId3944" Type="http://schemas.openxmlformats.org/officeDocument/2006/relationships/hyperlink" Target="https://ref.ly/Ps7:15" TargetMode="External"/><Relationship Id="rId3945" Type="http://schemas.openxmlformats.org/officeDocument/2006/relationships/hyperlink" Target="https://ref.ly/Ps35:7" TargetMode="External"/><Relationship Id="rId3946" Type="http://schemas.openxmlformats.org/officeDocument/2006/relationships/hyperlink" Target="https://ref.ly/Prov22:14" TargetMode="External"/><Relationship Id="rId3947" Type="http://schemas.openxmlformats.org/officeDocument/2006/relationships/hyperlink" Target="https://ref.ly/Prov26:27" TargetMode="External"/><Relationship Id="rId3948" Type="http://schemas.openxmlformats.org/officeDocument/2006/relationships/hyperlink" Target="https://ref.ly/Isa24:17-Isa24:18" TargetMode="External"/><Relationship Id="rId3949" Type="http://schemas.openxmlformats.org/officeDocument/2006/relationships/hyperlink" Target="https://ref.ly/Amos3:5" TargetMode="External"/><Relationship Id="rId3950" Type="http://schemas.openxmlformats.org/officeDocument/2006/relationships/hyperlink" Target="https://ref.ly/Ps69:22" TargetMode="External"/><Relationship Id="rId3951" Type="http://schemas.openxmlformats.org/officeDocument/2006/relationships/hyperlink" Target="https://ref.ly/Hos9:8" TargetMode="External"/><Relationship Id="rId3952" Type="http://schemas.openxmlformats.org/officeDocument/2006/relationships/hyperlink" Target="https://ref.ly/Ps140:5" TargetMode="External"/><Relationship Id="rId3953" Type="http://schemas.openxmlformats.org/officeDocument/2006/relationships/hyperlink" Target="https://ref.ly/Jer5:26" TargetMode="External"/><Relationship Id="rId3954" Type="http://schemas.openxmlformats.org/officeDocument/2006/relationships/hyperlink" Target="https://ref.ly/Jer16:16" TargetMode="External"/><Relationship Id="rId3955" Type="http://schemas.openxmlformats.org/officeDocument/2006/relationships/hyperlink" Target="https://ref.ly/Ezek19:8" TargetMode="External"/><Relationship Id="rId3956" Type="http://schemas.openxmlformats.org/officeDocument/2006/relationships/hyperlink" Target="https://ref.ly/Prov1:17" TargetMode="External"/><Relationship Id="rId3957" Type="http://schemas.openxmlformats.org/officeDocument/2006/relationships/hyperlink" Target="https://ref.ly/Ezek12:13" TargetMode="External"/><Relationship Id="rId3958" Type="http://schemas.openxmlformats.org/officeDocument/2006/relationships/hyperlink" Target="https://ref.ly/Ezek17:20" TargetMode="External"/><Relationship Id="rId3959" Type="http://schemas.openxmlformats.org/officeDocument/2006/relationships/hyperlink" Target="https://ref.ly/Hos7:12" TargetMode="External"/><Relationship Id="rId3960" Type="http://schemas.openxmlformats.org/officeDocument/2006/relationships/hyperlink" Target="https://ref.ly/Jer5:26-Jer5:27" TargetMode="External"/><Relationship Id="rId3961" Type="http://schemas.openxmlformats.org/officeDocument/2006/relationships/hyperlink" Target="https://ref.ly/Ps124:7" TargetMode="External"/><Relationship Id="rId3962" Type="http://schemas.openxmlformats.org/officeDocument/2006/relationships/hyperlink" Target="https://ref.ly/Ps22:15" TargetMode="External"/><Relationship Id="rId3963" Type="http://schemas.openxmlformats.org/officeDocument/2006/relationships/hyperlink" Target="https://ref.ly/Isa30:14" TargetMode="External"/><Relationship Id="rId3964" Type="http://schemas.openxmlformats.org/officeDocument/2006/relationships/hyperlink" Target="https://ref.ly/Isa45:9" TargetMode="External"/><Relationship Id="rId3965" Type="http://schemas.openxmlformats.org/officeDocument/2006/relationships/hyperlink" Target="https://ref.ly/Ezek23:34" TargetMode="External"/><Relationship Id="rId3966" Type="http://schemas.openxmlformats.org/officeDocument/2006/relationships/hyperlink" Target="https://ref.ly/Deut32:51" TargetMode="External"/><Relationship Id="rId3967" Type="http://schemas.openxmlformats.org/officeDocument/2006/relationships/hyperlink" Target="https://ref.ly/Ezek47:19" TargetMode="External"/><Relationship Id="rId3968" Type="http://schemas.openxmlformats.org/officeDocument/2006/relationships/hyperlink" Target="https://ref.ly/Ezek48:28" TargetMode="External"/><Relationship Id="rId3969" Type="http://schemas.openxmlformats.org/officeDocument/2006/relationships/hyperlink" Target="https://ref.ly/Deut1:46" TargetMode="External"/><Relationship Id="rId3970" Type="http://schemas.openxmlformats.org/officeDocument/2006/relationships/hyperlink" Target="https://ref.ly/Gen14:7" TargetMode="External"/><Relationship Id="rId3971" Type="http://schemas.openxmlformats.org/officeDocument/2006/relationships/hyperlink" Target="https://ref.ly/Num20:1" TargetMode="External"/><Relationship Id="rId3972" Type="http://schemas.openxmlformats.org/officeDocument/2006/relationships/hyperlink" Target="https://ref.ly/Num20:2-Num20:24" TargetMode="External"/><Relationship Id="rId3973" Type="http://schemas.openxmlformats.org/officeDocument/2006/relationships/hyperlink" Target="https://ref.ly/Num16:1-Num17:13" TargetMode="External"/><Relationship Id="rId3974" Type="http://schemas.openxmlformats.org/officeDocument/2006/relationships/hyperlink" Target="https://ref.ly/Ps95:8-Ps95:11" TargetMode="External"/><Relationship Id="rId3975" Type="http://schemas.openxmlformats.org/officeDocument/2006/relationships/hyperlink" Target="https://ref.ly/Heb3:7-Heb3:19" TargetMode="External"/><Relationship Id="rId3976" Type="http://schemas.openxmlformats.org/officeDocument/2006/relationships/hyperlink" Target="https://ref.ly/Gen15:19" TargetMode="External"/><Relationship Id="rId3977" Type="http://schemas.openxmlformats.org/officeDocument/2006/relationships/hyperlink" Target="https://ref.ly/Gen25:6" TargetMode="External"/><Relationship Id="rId3978" Type="http://schemas.openxmlformats.org/officeDocument/2006/relationships/hyperlink" Target="https://ref.ly/Judg8:10" TargetMode="External"/><Relationship Id="rId3979" Type="http://schemas.openxmlformats.org/officeDocument/2006/relationships/hyperlink" Target="https://ref.ly/1Kgs4:30" TargetMode="External"/><Relationship Id="rId3980" Type="http://schemas.openxmlformats.org/officeDocument/2006/relationships/hyperlink" Target="https://ref.ly/Matt4:13" TargetMode="External"/><Relationship Id="rId3981" Type="http://schemas.openxmlformats.org/officeDocument/2006/relationships/hyperlink" Target="https://ref.ly/Matt8:5" TargetMode="External"/><Relationship Id="rId3982" Type="http://schemas.openxmlformats.org/officeDocument/2006/relationships/hyperlink" Target="https://ref.ly/Luke7:2" TargetMode="External"/><Relationship Id="rId3983" Type="http://schemas.openxmlformats.org/officeDocument/2006/relationships/hyperlink" Target="https://ref.ly/Luke5:27" TargetMode="External"/><Relationship Id="rId3984" Type="http://schemas.openxmlformats.org/officeDocument/2006/relationships/hyperlink" Target="https://ref.ly/Matt9:1" TargetMode="External"/><Relationship Id="rId3985" Type="http://schemas.openxmlformats.org/officeDocument/2006/relationships/hyperlink" Target="https://ref.ly/Mark2:1" TargetMode="External"/><Relationship Id="rId3986" Type="http://schemas.openxmlformats.org/officeDocument/2006/relationships/hyperlink" Target="https://ref.ly/Mark1:34" TargetMode="External"/><Relationship Id="rId3987" Type="http://schemas.openxmlformats.org/officeDocument/2006/relationships/hyperlink" Target="https://ref.ly/Mark1:31" TargetMode="External"/><Relationship Id="rId3988" Type="http://schemas.openxmlformats.org/officeDocument/2006/relationships/hyperlink" Target="https://ref.ly/Mark1:23" TargetMode="External"/><Relationship Id="rId3989" Type="http://schemas.openxmlformats.org/officeDocument/2006/relationships/hyperlink" Target="https://ref.ly/Luke4:33" TargetMode="External"/><Relationship Id="rId3990" Type="http://schemas.openxmlformats.org/officeDocument/2006/relationships/hyperlink" Target="https://ref.ly/Matt11:23" TargetMode="External"/><Relationship Id="rId3991" Type="http://schemas.openxmlformats.org/officeDocument/2006/relationships/hyperlink" Target="https://ref.ly/Gen10:13-Gen10:14" TargetMode="External"/><Relationship Id="rId3992" Type="http://schemas.openxmlformats.org/officeDocument/2006/relationships/hyperlink" Target="https://ref.ly/1Chr1:12" TargetMode="External"/><Relationship Id="rId3993" Type="http://schemas.openxmlformats.org/officeDocument/2006/relationships/hyperlink" Target="https://ref.ly/Jer47:4" TargetMode="External"/><Relationship Id="rId3994" Type="http://schemas.openxmlformats.org/officeDocument/2006/relationships/hyperlink" Target="https://ref.ly/Gen10:14" TargetMode="External"/><Relationship Id="rId3995" Type="http://schemas.openxmlformats.org/officeDocument/2006/relationships/hyperlink" Target="https://ref.ly/John11:1-John11:57" TargetMode="External"/><Relationship Id="rId3996" Type="http://schemas.openxmlformats.org/officeDocument/2006/relationships/hyperlink" Target="https://ref.ly/John11:48-John11:50" TargetMode="External"/><Relationship Id="rId3997" Type="http://schemas.openxmlformats.org/officeDocument/2006/relationships/hyperlink" Target="https://ref.ly/John11:51-John11:52" TargetMode="External"/><Relationship Id="rId3998" Type="http://schemas.openxmlformats.org/officeDocument/2006/relationships/hyperlink" Target="https://ref.ly/Matt26:3-Matt26:5" TargetMode="External"/><Relationship Id="rId3999" Type="http://schemas.openxmlformats.org/officeDocument/2006/relationships/hyperlink" Target="https://ref.ly/Matt26:57-Matt26:68" TargetMode="External"/><Relationship Id="rId4000" Type="http://schemas.openxmlformats.org/officeDocument/2006/relationships/hyperlink" Target="https://ref.ly/John18:13" TargetMode="External"/><Relationship Id="rId4001" Type="http://schemas.openxmlformats.org/officeDocument/2006/relationships/hyperlink" Target="https://ref.ly/Matt26:63-Matt26:66" TargetMode="External"/><Relationship Id="rId4002" Type="http://schemas.openxmlformats.org/officeDocument/2006/relationships/hyperlink" Target="https://ref.ly/Acts4:5-Acts4:6" TargetMode="External"/><Relationship Id="rId4003" Type="http://schemas.openxmlformats.org/officeDocument/2006/relationships/hyperlink" Target="https://ref.ly/John18:22" TargetMode="External"/><Relationship Id="rId4004" Type="http://schemas.openxmlformats.org/officeDocument/2006/relationships/hyperlink" Target="https://ref.ly/Jude1:11" TargetMode="External"/><Relationship Id="rId4005" Type="http://schemas.openxmlformats.org/officeDocument/2006/relationships/hyperlink" Target="https://ref.ly/Gen4:3-Gen4:4" TargetMode="External"/><Relationship Id="rId4006" Type="http://schemas.openxmlformats.org/officeDocument/2006/relationships/hyperlink" Target="https://ref.ly/Gen4:5-Gen4:8" TargetMode="External"/><Relationship Id="rId4007" Type="http://schemas.openxmlformats.org/officeDocument/2006/relationships/hyperlink" Target="https://ref.ly/1John3:12" TargetMode="External"/><Relationship Id="rId4008" Type="http://schemas.openxmlformats.org/officeDocument/2006/relationships/hyperlink" Target="https://ref.ly/Gen4:9-Gen4:16" TargetMode="External"/><Relationship Id="rId4009" Type="http://schemas.openxmlformats.org/officeDocument/2006/relationships/hyperlink" Target="https://ref.ly/Gen4:17" TargetMode="External"/><Relationship Id="rId4010" Type="http://schemas.openxmlformats.org/officeDocument/2006/relationships/hyperlink" Target="https://ref.ly/Gen4:18-Gen4:22" TargetMode="External"/><Relationship Id="rId4011" Type="http://schemas.openxmlformats.org/officeDocument/2006/relationships/hyperlink" Target="https://ref.ly/Num24:22" TargetMode="External"/><Relationship Id="rId4012" Type="http://schemas.openxmlformats.org/officeDocument/2006/relationships/hyperlink" Target="https://ref.ly/Judg4:11" TargetMode="External"/><Relationship Id="rId4013" Type="http://schemas.openxmlformats.org/officeDocument/2006/relationships/hyperlink" Target="https://ref.ly/Gen11:12-Gen11:13" TargetMode="External"/><Relationship Id="rId4014" Type="http://schemas.openxmlformats.org/officeDocument/2006/relationships/hyperlink" Target="https://ref.ly/Gen5:9-Gen5:14" TargetMode="External"/><Relationship Id="rId4015" Type="http://schemas.openxmlformats.org/officeDocument/2006/relationships/hyperlink" Target="https://ref.ly/1Chr1:2" TargetMode="External"/><Relationship Id="rId4016" Type="http://schemas.openxmlformats.org/officeDocument/2006/relationships/hyperlink" Target="https://ref.ly/Luke3:37" TargetMode="External"/><Relationship Id="rId4017" Type="http://schemas.openxmlformats.org/officeDocument/2006/relationships/hyperlink" Target="https://ref.ly/Gen10:11-Gen10:12" TargetMode="External"/><Relationship Id="rId4018" Type="http://schemas.openxmlformats.org/officeDocument/2006/relationships/hyperlink" Target="https://ref.ly/Isa7:1-Isa7:17" TargetMode="External"/><Relationship Id="rId4019" Type="http://schemas.openxmlformats.org/officeDocument/2006/relationships/hyperlink" Target="https://ref.ly/Exod30:23" TargetMode="External"/><Relationship Id="rId4020" Type="http://schemas.openxmlformats.org/officeDocument/2006/relationships/hyperlink" Target="https://ref.ly/Ezek27:19" TargetMode="External"/><Relationship Id="rId4021" Type="http://schemas.openxmlformats.org/officeDocument/2006/relationships/hyperlink" Target="https://ref.ly/Song4:14" TargetMode="External"/><Relationship Id="rId4022" Type="http://schemas.openxmlformats.org/officeDocument/2006/relationships/hyperlink" Target="https://ref.ly/Gen11:28" TargetMode="External"/><Relationship Id="rId4023" Type="http://schemas.openxmlformats.org/officeDocument/2006/relationships/hyperlink" Target="https://ref.ly/Job1:17" TargetMode="External"/><Relationship Id="rId4024" Type="http://schemas.openxmlformats.org/officeDocument/2006/relationships/hyperlink" Target="https://ref.ly/Gen14:1-Gen14:2" TargetMode="External"/><Relationship Id="rId4025" Type="http://schemas.openxmlformats.org/officeDocument/2006/relationships/hyperlink" Target="https://ref.ly/2Kgs20:12" TargetMode="External"/><Relationship Id="rId4026" Type="http://schemas.openxmlformats.org/officeDocument/2006/relationships/hyperlink" Target="https://ref.ly/2Chr35:20" TargetMode="External"/><Relationship Id="rId4027" Type="http://schemas.openxmlformats.org/officeDocument/2006/relationships/hyperlink" Target="https://ref.ly/2Kgs24:7" TargetMode="External"/><Relationship Id="rId4028" Type="http://schemas.openxmlformats.org/officeDocument/2006/relationships/hyperlink" Target="https://ref.ly/2Kgs24:1" TargetMode="External"/><Relationship Id="rId4029" Type="http://schemas.openxmlformats.org/officeDocument/2006/relationships/hyperlink" Target="https://ref.ly/2Chr36:5-2Chr36:7" TargetMode="External"/><Relationship Id="rId4030" Type="http://schemas.openxmlformats.org/officeDocument/2006/relationships/hyperlink" Target="https://ref.ly/Dan1:1-Dan1:4" TargetMode="External"/><Relationship Id="rId4031" Type="http://schemas.openxmlformats.org/officeDocument/2006/relationships/hyperlink" Target="https://ref.ly/2Kgs24:8-2Kgs24:16" TargetMode="External"/><Relationship Id="rId4032" Type="http://schemas.openxmlformats.org/officeDocument/2006/relationships/hyperlink" Target="https://ref.ly/2Kgs24:20-2Kgs25:12" TargetMode="External"/><Relationship Id="rId4033" Type="http://schemas.openxmlformats.org/officeDocument/2006/relationships/hyperlink" Target="https://ref.ly/2Chr36:11-2Chr36:21" TargetMode="External"/><Relationship Id="rId4034" Type="http://schemas.openxmlformats.org/officeDocument/2006/relationships/hyperlink" Target="https://ref.ly/Dan4:30-Dan4:33" TargetMode="External"/><Relationship Id="rId4035" Type="http://schemas.openxmlformats.org/officeDocument/2006/relationships/hyperlink" Target="https://ref.ly/2Kgs25:27" TargetMode="External"/><Relationship Id="rId4036" Type="http://schemas.openxmlformats.org/officeDocument/2006/relationships/hyperlink" Target="https://ref.ly/Jer52:31" TargetMode="External"/><Relationship Id="rId4037" Type="http://schemas.openxmlformats.org/officeDocument/2006/relationships/hyperlink" Target="https://ref.ly/Jer39:3" TargetMode="External"/><Relationship Id="rId4038" Type="http://schemas.openxmlformats.org/officeDocument/2006/relationships/hyperlink" Target="https://ref.ly/Dan5:1-Dan5:31" TargetMode="External"/><Relationship Id="rId4039" Type="http://schemas.openxmlformats.org/officeDocument/2006/relationships/hyperlink" Target="https://ref.ly/Num32:12" TargetMode="External"/><Relationship Id="rId4040" Type="http://schemas.openxmlformats.org/officeDocument/2006/relationships/hyperlink" Target="https://ref.ly/Josh14:6" TargetMode="External"/><Relationship Id="rId4041" Type="http://schemas.openxmlformats.org/officeDocument/2006/relationships/hyperlink" Target="https://ref.ly/Judg1:13" TargetMode="External"/><Relationship Id="rId4042" Type="http://schemas.openxmlformats.org/officeDocument/2006/relationships/hyperlink" Target="https://ref.ly/Num14:21-Num14:23,Num14:34-Num14:35" TargetMode="External"/><Relationship Id="rId4043" Type="http://schemas.openxmlformats.org/officeDocument/2006/relationships/hyperlink" Target="https://ref.ly/Josh14:6-Josh14:7,Josh14:10" TargetMode="External"/><Relationship Id="rId4044" Type="http://schemas.openxmlformats.org/officeDocument/2006/relationships/hyperlink" Target="https://ref.ly/Josh14:13-Josh14:14" TargetMode="External"/><Relationship Id="rId4045" Type="http://schemas.openxmlformats.org/officeDocument/2006/relationships/hyperlink" Target="https://ref.ly/Josh15:16-Josh15:17" TargetMode="External"/><Relationship Id="rId4046" Type="http://schemas.openxmlformats.org/officeDocument/2006/relationships/hyperlink" Target="https://ref.ly/Josh21:13" TargetMode="External"/><Relationship Id="rId4047" Type="http://schemas.openxmlformats.org/officeDocument/2006/relationships/hyperlink" Target="https://ref.ly/1Chr6:55-1Chr6:57" TargetMode="External"/><Relationship Id="rId4048" Type="http://schemas.openxmlformats.org/officeDocument/2006/relationships/hyperlink" Target="https://ref.ly/1Sam25:3" TargetMode="External"/><Relationship Id="rId4049" Type="http://schemas.openxmlformats.org/officeDocument/2006/relationships/hyperlink" Target="https://ref.ly/1Sam30:14" TargetMode="External"/><Relationship Id="rId4050" Type="http://schemas.openxmlformats.org/officeDocument/2006/relationships/hyperlink" Target="https://ref.ly/1Chr2:18,1Chr2:42" TargetMode="External"/><Relationship Id="rId4051" Type="http://schemas.openxmlformats.org/officeDocument/2006/relationships/hyperlink" Target="https://ref.ly/1Chr2:9" TargetMode="External"/><Relationship Id="rId4052" Type="http://schemas.openxmlformats.org/officeDocument/2006/relationships/hyperlink" Target="https://ref.ly/1Chr2:49" TargetMode="External"/><Relationship Id="rId4053" Type="http://schemas.openxmlformats.org/officeDocument/2006/relationships/hyperlink" Target="https://ref.ly/1Chr2:50" TargetMode="External"/><Relationship Id="rId4054" Type="http://schemas.openxmlformats.org/officeDocument/2006/relationships/hyperlink" Target="https://ref.ly/2Kgs20:9" TargetMode="External"/><Relationship Id="rId4055" Type="http://schemas.openxmlformats.org/officeDocument/2006/relationships/hyperlink" Target="https://ref.ly/Isa38:8" TargetMode="External"/><Relationship Id="rId4056" Type="http://schemas.openxmlformats.org/officeDocument/2006/relationships/hyperlink" Target="https://ref.ly/Neh1:1" TargetMode="External"/><Relationship Id="rId4057" Type="http://schemas.openxmlformats.org/officeDocument/2006/relationships/hyperlink" Target="https://ref.ly/Zech7:1" TargetMode="External"/><Relationship Id="rId4058" Type="http://schemas.openxmlformats.org/officeDocument/2006/relationships/hyperlink" Target="https://ref.ly/Esth2:16" TargetMode="External"/><Relationship Id="rId4059" Type="http://schemas.openxmlformats.org/officeDocument/2006/relationships/hyperlink" Target="https://ref.ly/Zech1:7" TargetMode="External"/><Relationship Id="rId4060" Type="http://schemas.openxmlformats.org/officeDocument/2006/relationships/hyperlink" Target="https://ref.ly/Esth3:7,Esth3:8" TargetMode="External"/><Relationship Id="rId4061" Type="http://schemas.openxmlformats.org/officeDocument/2006/relationships/hyperlink" Target="https://ref.ly/Neh2:1" TargetMode="External"/><Relationship Id="rId4062" Type="http://schemas.openxmlformats.org/officeDocument/2006/relationships/hyperlink" Target="https://ref.ly/Esth3:7" TargetMode="External"/><Relationship Id="rId4063" Type="http://schemas.openxmlformats.org/officeDocument/2006/relationships/hyperlink" Target="https://ref.ly/Esth8:9" TargetMode="External"/><Relationship Id="rId4064" Type="http://schemas.openxmlformats.org/officeDocument/2006/relationships/hyperlink" Target="https://ref.ly/Neh6:15" TargetMode="External"/><Relationship Id="rId4065" Type="http://schemas.openxmlformats.org/officeDocument/2006/relationships/hyperlink" Target="https://ref.ly/Exod13:4" TargetMode="External"/><Relationship Id="rId4066" Type="http://schemas.openxmlformats.org/officeDocument/2006/relationships/hyperlink" Target="https://ref.ly/1Kgs6:1,1Kgs6:37" TargetMode="External"/><Relationship Id="rId4067" Type="http://schemas.openxmlformats.org/officeDocument/2006/relationships/hyperlink" Target="https://ref.ly/1Kgs8:2" TargetMode="External"/><Relationship Id="rId4068" Type="http://schemas.openxmlformats.org/officeDocument/2006/relationships/hyperlink" Target="https://ref.ly/1Kgs6:38" TargetMode="External"/><Relationship Id="rId4069" Type="http://schemas.openxmlformats.org/officeDocument/2006/relationships/hyperlink" Target="https://ref.ly/Luke1:5" TargetMode="External"/><Relationship Id="rId4070" Type="http://schemas.openxmlformats.org/officeDocument/2006/relationships/hyperlink" Target="https://ref.ly/John12:1" TargetMode="External"/><Relationship Id="rId4071" Type="http://schemas.openxmlformats.org/officeDocument/2006/relationships/hyperlink" Target="https://ref.ly/Acts18:12" TargetMode="External"/><Relationship Id="rId4072" Type="http://schemas.openxmlformats.org/officeDocument/2006/relationships/hyperlink" Target="https://ref.ly/Lev23:10" TargetMode="External"/><Relationship Id="rId4073" Type="http://schemas.openxmlformats.org/officeDocument/2006/relationships/hyperlink" Target="https://ref.ly/Exod34:22" TargetMode="External"/><Relationship Id="rId4074" Type="http://schemas.openxmlformats.org/officeDocument/2006/relationships/hyperlink" Target="https://ref.ly/Lev23:15-Lev23:17" TargetMode="External"/><Relationship Id="rId4075" Type="http://schemas.openxmlformats.org/officeDocument/2006/relationships/hyperlink" Target="https://ref.ly/John7:37" TargetMode="External"/><Relationship Id="rId4076" Type="http://schemas.openxmlformats.org/officeDocument/2006/relationships/hyperlink" Target="https://ref.ly/Esth9:1-Esth9:32" TargetMode="External"/><Relationship Id="rId4077" Type="http://schemas.openxmlformats.org/officeDocument/2006/relationships/hyperlink" Target="https://ref.ly/Ps90:1-Ps90:17" TargetMode="External"/><Relationship Id="rId4078" Type="http://schemas.openxmlformats.org/officeDocument/2006/relationships/hyperlink" Target="https://ref.ly/Ps90:12" TargetMode="External"/><Relationship Id="rId4079" Type="http://schemas.openxmlformats.org/officeDocument/2006/relationships/hyperlink" Target="https://ref.ly/Jer16:7" TargetMode="External"/><Relationship Id="rId4080" Type="http://schemas.openxmlformats.org/officeDocument/2006/relationships/hyperlink" Target="https://ref.ly/1Cor10:21" TargetMode="External"/><Relationship Id="rId4081" Type="http://schemas.openxmlformats.org/officeDocument/2006/relationships/hyperlink" Target="https://ref.ly/Gen44:2" TargetMode="External"/><Relationship Id="rId4082" Type="http://schemas.openxmlformats.org/officeDocument/2006/relationships/hyperlink" Target="https://ref.ly/Prov23:31" TargetMode="External"/><Relationship Id="rId4083" Type="http://schemas.openxmlformats.org/officeDocument/2006/relationships/hyperlink" Target="https://ref.ly/Rev17:4" TargetMode="External"/><Relationship Id="rId4084" Type="http://schemas.openxmlformats.org/officeDocument/2006/relationships/hyperlink" Target="https://ref.ly/Rev18:6" TargetMode="External"/><Relationship Id="rId4085" Type="http://schemas.openxmlformats.org/officeDocument/2006/relationships/hyperlink" Target="https://ref.ly/Ps16:5" TargetMode="External"/><Relationship Id="rId4086" Type="http://schemas.openxmlformats.org/officeDocument/2006/relationships/hyperlink" Target="https://ref.ly/Ps11:6" TargetMode="External"/><Relationship Id="rId4087" Type="http://schemas.openxmlformats.org/officeDocument/2006/relationships/hyperlink" Target="https://ref.ly/Ps75:8" TargetMode="External"/><Relationship Id="rId4088" Type="http://schemas.openxmlformats.org/officeDocument/2006/relationships/hyperlink" Target="https://ref.ly/Isa51:17" TargetMode="External"/><Relationship Id="rId4089" Type="http://schemas.openxmlformats.org/officeDocument/2006/relationships/hyperlink" Target="https://ref.ly/Jer49:12" TargetMode="External"/><Relationship Id="rId4090" Type="http://schemas.openxmlformats.org/officeDocument/2006/relationships/hyperlink" Target="https://ref.ly/Ezek23:33" TargetMode="External"/><Relationship Id="rId4091" Type="http://schemas.openxmlformats.org/officeDocument/2006/relationships/hyperlink" Target="https://ref.ly/Zech12:2" TargetMode="External"/><Relationship Id="rId4092" Type="http://schemas.openxmlformats.org/officeDocument/2006/relationships/hyperlink" Target="https://ref.ly/Rev14:10" TargetMode="External"/><Relationship Id="rId4093" Type="http://schemas.openxmlformats.org/officeDocument/2006/relationships/hyperlink" Target="https://ref.ly/Rev16:19" TargetMode="External"/><Relationship Id="rId4094" Type="http://schemas.openxmlformats.org/officeDocument/2006/relationships/hyperlink" Target="https://ref.ly/Ps23:5" TargetMode="External"/><Relationship Id="rId4095" Type="http://schemas.openxmlformats.org/officeDocument/2006/relationships/hyperlink" Target="https://ref.ly/Ps116:13" TargetMode="External"/><Relationship Id="rId4096" Type="http://schemas.openxmlformats.org/officeDocument/2006/relationships/hyperlink" Target="https://ref.ly/Matt20:22" TargetMode="External"/><Relationship Id="rId4097" Type="http://schemas.openxmlformats.org/officeDocument/2006/relationships/hyperlink" Target="https://ref.ly/Matt26:39" TargetMode="External"/><Relationship Id="rId4098" Type="http://schemas.openxmlformats.org/officeDocument/2006/relationships/hyperlink" Target="https://ref.ly/Mark10:39" TargetMode="External"/><Relationship Id="rId4099" Type="http://schemas.openxmlformats.org/officeDocument/2006/relationships/hyperlink" Target="https://ref.ly/Mark14:36" TargetMode="External"/><Relationship Id="rId4100" Type="http://schemas.openxmlformats.org/officeDocument/2006/relationships/hyperlink" Target="https://ref.ly/Luke22:42" TargetMode="External"/><Relationship Id="rId4101" Type="http://schemas.openxmlformats.org/officeDocument/2006/relationships/hyperlink" Target="https://ref.ly/John18:11" TargetMode="External"/><Relationship Id="rId4102" Type="http://schemas.openxmlformats.org/officeDocument/2006/relationships/hyperlink" Target="https://ref.ly/1Cor10:16" TargetMode="External"/><Relationship Id="rId4103" Type="http://schemas.openxmlformats.org/officeDocument/2006/relationships/hyperlink" Target="https://ref.ly/Isa10:9" TargetMode="External"/><Relationship Id="rId4104" Type="http://schemas.openxmlformats.org/officeDocument/2006/relationships/hyperlink" Target="https://ref.ly/Amos6:2" TargetMode="External"/><Relationship Id="rId4105" Type="http://schemas.openxmlformats.org/officeDocument/2006/relationships/hyperlink" Target="https://ref.ly/Ezek27:23" TargetMode="External"/><Relationship Id="rId4106" Type="http://schemas.openxmlformats.org/officeDocument/2006/relationships/hyperlink" Target="https://ref.ly/Lev13:40-Lev13:42" TargetMode="External"/><Relationship Id="rId4107" Type="http://schemas.openxmlformats.org/officeDocument/2006/relationships/hyperlink" Target="https://ref.ly/Deut14:1" TargetMode="External"/><Relationship Id="rId4108" Type="http://schemas.openxmlformats.org/officeDocument/2006/relationships/hyperlink" Target="https://ref.ly/Lev21:5" TargetMode="External"/><Relationship Id="rId4109" Type="http://schemas.openxmlformats.org/officeDocument/2006/relationships/hyperlink" Target="https://ref.ly/Num6:1-Num6:5,Num6:18" TargetMode="External"/><Relationship Id="rId4110" Type="http://schemas.openxmlformats.org/officeDocument/2006/relationships/hyperlink" Target="https://ref.ly/Num6:1-Num6:5" TargetMode="External"/><Relationship Id="rId4111" Type="http://schemas.openxmlformats.org/officeDocument/2006/relationships/hyperlink" Target="https://ref.ly/Jer16:6" TargetMode="External"/><Relationship Id="rId4112" Type="http://schemas.openxmlformats.org/officeDocument/2006/relationships/hyperlink" Target="https://ref.ly/Ezek27:31" TargetMode="External"/><Relationship Id="rId4113" Type="http://schemas.openxmlformats.org/officeDocument/2006/relationships/hyperlink" Target="https://ref.ly/Mic1:16" TargetMode="External"/><Relationship Id="rId4114" Type="http://schemas.openxmlformats.org/officeDocument/2006/relationships/hyperlink" Target="https://ref.ly/Isa3:16-Isa3:24" TargetMode="External"/><Relationship Id="rId4115" Type="http://schemas.openxmlformats.org/officeDocument/2006/relationships/hyperlink" Target="https://ref.ly/Gen5:32" TargetMode="External"/><Relationship Id="rId4116" Type="http://schemas.openxmlformats.org/officeDocument/2006/relationships/hyperlink" Target="https://ref.ly/Gen6:10" TargetMode="External"/><Relationship Id="rId4117" Type="http://schemas.openxmlformats.org/officeDocument/2006/relationships/hyperlink" Target="https://ref.ly/Gen7:13" TargetMode="External"/><Relationship Id="rId4118" Type="http://schemas.openxmlformats.org/officeDocument/2006/relationships/hyperlink" Target="https://ref.ly/Gen9:18,Gen9:22" TargetMode="External"/><Relationship Id="rId4119" Type="http://schemas.openxmlformats.org/officeDocument/2006/relationships/hyperlink" Target="https://ref.ly/Gen10:1,Gen10:6,Gen10:20" TargetMode="External"/><Relationship Id="rId4120" Type="http://schemas.openxmlformats.org/officeDocument/2006/relationships/hyperlink" Target="https://ref.ly/Gen10:6" TargetMode="External"/><Relationship Id="rId4121" Type="http://schemas.openxmlformats.org/officeDocument/2006/relationships/hyperlink" Target="https://ref.ly/1Chr1:8" TargetMode="External"/><Relationship Id="rId4122" Type="http://schemas.openxmlformats.org/officeDocument/2006/relationships/hyperlink" Target="https://ref.ly/Gen9:20-Gen9:24" TargetMode="External"/><Relationship Id="rId4123" Type="http://schemas.openxmlformats.org/officeDocument/2006/relationships/hyperlink" Target="https://ref.ly/Gen9:24" TargetMode="External"/><Relationship Id="rId4124" Type="http://schemas.openxmlformats.org/officeDocument/2006/relationships/hyperlink" Target="https://ref.ly/Gen9:18" TargetMode="External"/><Relationship Id="rId4125" Type="http://schemas.openxmlformats.org/officeDocument/2006/relationships/hyperlink" Target="https://ref.ly/Gen10:1" TargetMode="External"/><Relationship Id="rId4126" Type="http://schemas.openxmlformats.org/officeDocument/2006/relationships/hyperlink" Target="https://ref.ly/Rom16:23" TargetMode="External"/><Relationship Id="rId4127" Type="http://schemas.openxmlformats.org/officeDocument/2006/relationships/hyperlink" Target="https://ref.ly/2Kgs23:11" TargetMode="External"/><Relationship Id="rId4128" Type="http://schemas.openxmlformats.org/officeDocument/2006/relationships/hyperlink" Target="https://ref.ly/Esth1:10,Esth1:12,Esth1:15" TargetMode="External"/><Relationship Id="rId4129" Type="http://schemas.openxmlformats.org/officeDocument/2006/relationships/hyperlink" Target="https://ref.ly/Esth2:3,Esth2:14-Esth2:15" TargetMode="External"/><Relationship Id="rId4130" Type="http://schemas.openxmlformats.org/officeDocument/2006/relationships/hyperlink" Target="https://ref.ly/Esth4:4-Esth4:5" TargetMode="External"/><Relationship Id="rId4131" Type="http://schemas.openxmlformats.org/officeDocument/2006/relationships/hyperlink" Target="https://ref.ly/Esth6:2,Esth6:14" TargetMode="External"/><Relationship Id="rId4132" Type="http://schemas.openxmlformats.org/officeDocument/2006/relationships/hyperlink" Target="https://ref.ly/Esth7:9" TargetMode="External"/><Relationship Id="rId4133" Type="http://schemas.openxmlformats.org/officeDocument/2006/relationships/hyperlink" Target="https://ref.ly/Gen20:16" TargetMode="External"/><Relationship Id="rId4134" Type="http://schemas.openxmlformats.org/officeDocument/2006/relationships/hyperlink" Target="https://ref.ly/Gen37:28" TargetMode="External"/><Relationship Id="rId4135" Type="http://schemas.openxmlformats.org/officeDocument/2006/relationships/hyperlink" Target="https://ref.ly/Judg17:2" TargetMode="External"/><Relationship Id="rId4136" Type="http://schemas.openxmlformats.org/officeDocument/2006/relationships/hyperlink" Target="https://ref.ly/Exod30:11-Exod30:16" TargetMode="External"/><Relationship Id="rId4137" Type="http://schemas.openxmlformats.org/officeDocument/2006/relationships/hyperlink" Target="https://ref.ly/Matt21:12-Matt21:13" TargetMode="External"/><Relationship Id="rId4138" Type="http://schemas.openxmlformats.org/officeDocument/2006/relationships/hyperlink" Target="https://ref.ly/Mark11:15-Mark11:16" TargetMode="External"/><Relationship Id="rId4139" Type="http://schemas.openxmlformats.org/officeDocument/2006/relationships/hyperlink" Target="https://ref.ly/Luke19:45-Luke19:46" TargetMode="External"/><Relationship Id="rId4140" Type="http://schemas.openxmlformats.org/officeDocument/2006/relationships/hyperlink" Target="https://ref.ly/John2:13-John2:22" TargetMode="External"/><Relationship Id="rId4141" Type="http://schemas.openxmlformats.org/officeDocument/2006/relationships/hyperlink" Target="https://ref.ly/Mark11:16" TargetMode="External"/><Relationship Id="rId4142" Type="http://schemas.openxmlformats.org/officeDocument/2006/relationships/hyperlink" Target="https://ref.ly/Matt8:4" TargetMode="External"/><Relationship Id="rId4143" Type="http://schemas.openxmlformats.org/officeDocument/2006/relationships/hyperlink" Target="https://ref.ly/Matt17:24-Matt17:26" TargetMode="External"/><Relationship Id="rId4144" Type="http://schemas.openxmlformats.org/officeDocument/2006/relationships/hyperlink" Target="https://ref.ly/Mark1:44" TargetMode="External"/><Relationship Id="rId4145" Type="http://schemas.openxmlformats.org/officeDocument/2006/relationships/hyperlink" Target="https://ref.ly/Luke5:14" TargetMode="External"/><Relationship Id="rId4146" Type="http://schemas.openxmlformats.org/officeDocument/2006/relationships/hyperlink" Target="https://ref.ly/Jer7:11" TargetMode="External"/><Relationship Id="rId4147" Type="http://schemas.openxmlformats.org/officeDocument/2006/relationships/hyperlink" Target="https://ref.ly/Gen49:17" TargetMode="External"/><Relationship Id="rId4148" Type="http://schemas.openxmlformats.org/officeDocument/2006/relationships/hyperlink" Target="https://ref.ly/Ps16:11" TargetMode="External"/><Relationship Id="rId4149" Type="http://schemas.openxmlformats.org/officeDocument/2006/relationships/hyperlink" Target="https://ref.ly/Ps139:3" TargetMode="External"/><Relationship Id="rId4150" Type="http://schemas.openxmlformats.org/officeDocument/2006/relationships/hyperlink" Target="https://ref.ly/Prov2:8" TargetMode="External"/><Relationship Id="rId4151" Type="http://schemas.openxmlformats.org/officeDocument/2006/relationships/hyperlink" Target="https://ref.ly/Isa59:7" TargetMode="External"/><Relationship Id="rId4152" Type="http://schemas.openxmlformats.org/officeDocument/2006/relationships/hyperlink" Target="https://ref.ly/Joel2:8" TargetMode="External"/><Relationship Id="rId4153" Type="http://schemas.openxmlformats.org/officeDocument/2006/relationships/hyperlink" Target="https://ref.ly/Job30:13" TargetMode="External"/><Relationship Id="rId4154" Type="http://schemas.openxmlformats.org/officeDocument/2006/relationships/hyperlink" Target="https://ref.ly/Ps119:35" TargetMode="External"/><Relationship Id="rId4155" Type="http://schemas.openxmlformats.org/officeDocument/2006/relationships/hyperlink" Target="https://ref.ly/Prov3:17" TargetMode="External"/><Relationship Id="rId4156" Type="http://schemas.openxmlformats.org/officeDocument/2006/relationships/hyperlink" Target="https://ref.ly/Ps77:19" TargetMode="External"/><Relationship Id="rId4157" Type="http://schemas.openxmlformats.org/officeDocument/2006/relationships/hyperlink" Target="https://ref.ly/Jer18:15" TargetMode="External"/><Relationship Id="rId4158" Type="http://schemas.openxmlformats.org/officeDocument/2006/relationships/hyperlink" Target="https://ref.ly/Ps65:11" TargetMode="External"/><Relationship Id="rId4159" Type="http://schemas.openxmlformats.org/officeDocument/2006/relationships/hyperlink" Target="https://ref.ly/Prov2:9" TargetMode="External"/><Relationship Id="rId4160" Type="http://schemas.openxmlformats.org/officeDocument/2006/relationships/hyperlink" Target="https://ref.ly/Num22:24" TargetMode="External"/><Relationship Id="rId4161" Type="http://schemas.openxmlformats.org/officeDocument/2006/relationships/hyperlink" Target="https://ref.ly/Mark1:3" TargetMode="External"/><Relationship Id="rId4162" Type="http://schemas.openxmlformats.org/officeDocument/2006/relationships/hyperlink" Target="https://ref.ly/Luke3:4" TargetMode="External"/><Relationship Id="rId4163" Type="http://schemas.openxmlformats.org/officeDocument/2006/relationships/hyperlink" Target="https://ref.ly/Heb12:13" TargetMode="External"/><Relationship Id="rId4164" Type="http://schemas.openxmlformats.org/officeDocument/2006/relationships/hyperlink" Target="https://ref.ly/Ps27:11" TargetMode="External"/><Relationship Id="rId4165" Type="http://schemas.openxmlformats.org/officeDocument/2006/relationships/hyperlink" Target="https://ref.ly/Prov4:14" TargetMode="External"/><Relationship Id="rId4166" Type="http://schemas.openxmlformats.org/officeDocument/2006/relationships/hyperlink" Target="https://ref.ly/Prov4:18" TargetMode="External"/><Relationship Id="rId4167" Type="http://schemas.openxmlformats.org/officeDocument/2006/relationships/hyperlink" Target="https://ref.ly/Isa40:14" TargetMode="External"/><Relationship Id="rId4168" Type="http://schemas.openxmlformats.org/officeDocument/2006/relationships/hyperlink" Target="https://ref.ly/Prov4:11" TargetMode="External"/><Relationship Id="rId4169" Type="http://schemas.openxmlformats.org/officeDocument/2006/relationships/hyperlink" Target="https://ref.ly/Gen10:15-Gen10:19" TargetMode="External"/><Relationship Id="rId4170" Type="http://schemas.openxmlformats.org/officeDocument/2006/relationships/hyperlink" Target="https://ref.ly/Num13:29" TargetMode="External"/><Relationship Id="rId4171" Type="http://schemas.openxmlformats.org/officeDocument/2006/relationships/hyperlink" Target="https://ref.ly/Josh5:1" TargetMode="External"/><Relationship Id="rId4172" Type="http://schemas.openxmlformats.org/officeDocument/2006/relationships/hyperlink" Target="https://ref.ly/Josh7:9" TargetMode="External"/><Relationship Id="rId4173" Type="http://schemas.openxmlformats.org/officeDocument/2006/relationships/hyperlink" Target="https://ref.ly/Judg1:27-Judg1:36" TargetMode="External"/><Relationship Id="rId4174" Type="http://schemas.openxmlformats.org/officeDocument/2006/relationships/hyperlink" Target="https://ref.ly/Gen12:5-Gen12:6" TargetMode="External"/><Relationship Id="rId4175" Type="http://schemas.openxmlformats.org/officeDocument/2006/relationships/hyperlink" Target="https://ref.ly/Gen15:18-Gen15:21" TargetMode="External"/><Relationship Id="rId4176" Type="http://schemas.openxmlformats.org/officeDocument/2006/relationships/hyperlink" Target="https://ref.ly/Matt15:21-Matt15:22" TargetMode="External"/><Relationship Id="rId4177" Type="http://schemas.openxmlformats.org/officeDocument/2006/relationships/hyperlink" Target="https://ref.ly/Mark7:24-Mark7:26" TargetMode="External"/><Relationship Id="rId4178" Type="http://schemas.openxmlformats.org/officeDocument/2006/relationships/hyperlink" Target="https://ref.ly/Exod23:24" TargetMode="External"/><Relationship Id="rId4179" Type="http://schemas.openxmlformats.org/officeDocument/2006/relationships/hyperlink" Target="https://ref.ly/Exod34:13-Exod34:16" TargetMode="External"/><Relationship Id="rId4180" Type="http://schemas.openxmlformats.org/officeDocument/2006/relationships/hyperlink" Target="https://ref.ly/1Sam2:22" TargetMode="External"/><Relationship Id="rId4181" Type="http://schemas.openxmlformats.org/officeDocument/2006/relationships/hyperlink" Target="https://ref.ly/2Sam22:16" TargetMode="External"/><Relationship Id="rId4182" Type="http://schemas.openxmlformats.org/officeDocument/2006/relationships/hyperlink" Target="https://ref.ly/Ps18:15" TargetMode="External"/><Relationship Id="rId4183" Type="http://schemas.openxmlformats.org/officeDocument/2006/relationships/hyperlink" Target="https://ref.ly/Acts8:27" TargetMode="External"/><Relationship Id="rId4184" Type="http://schemas.openxmlformats.org/officeDocument/2006/relationships/hyperlink" Target="https://ref.ly/Judg5:1-Judg5:31" TargetMode="External"/><Relationship Id="rId4185" Type="http://schemas.openxmlformats.org/officeDocument/2006/relationships/hyperlink" Target="https://ref.ly/Exod15:1-Exod15:18" TargetMode="External"/><Relationship Id="rId4186" Type="http://schemas.openxmlformats.org/officeDocument/2006/relationships/hyperlink" Target="https://ref.ly/Judg5:2" TargetMode="External"/><Relationship Id="rId4187" Type="http://schemas.openxmlformats.org/officeDocument/2006/relationships/hyperlink" Target="https://ref.ly/Judg5:4-Judg5:5" TargetMode="External"/><Relationship Id="rId4188" Type="http://schemas.openxmlformats.org/officeDocument/2006/relationships/hyperlink" Target="https://ref.ly/Judg5:5" TargetMode="External"/><Relationship Id="rId4189" Type="http://schemas.openxmlformats.org/officeDocument/2006/relationships/hyperlink" Target="https://ref.ly/Judg5:7" TargetMode="External"/><Relationship Id="rId4190" Type="http://schemas.openxmlformats.org/officeDocument/2006/relationships/hyperlink" Target="https://ref.ly/Judg5:8" TargetMode="External"/><Relationship Id="rId4191" Type="http://schemas.openxmlformats.org/officeDocument/2006/relationships/hyperlink" Target="https://ref.ly/1Sam13:19" TargetMode="External"/><Relationship Id="rId4192" Type="http://schemas.openxmlformats.org/officeDocument/2006/relationships/hyperlink" Target="https://ref.ly/Judg4:13" TargetMode="External"/><Relationship Id="rId4193" Type="http://schemas.openxmlformats.org/officeDocument/2006/relationships/hyperlink" Target="https://ref.ly/Judg4:14" TargetMode="External"/><Relationship Id="rId4194" Type="http://schemas.openxmlformats.org/officeDocument/2006/relationships/hyperlink" Target="https://ref.ly/Judg5:20-Judg5:21" TargetMode="External"/><Relationship Id="rId4195" Type="http://schemas.openxmlformats.org/officeDocument/2006/relationships/hyperlink" Target="https://ref.ly/Judg5:24-Judg5:27" TargetMode="External"/><Relationship Id="rId4196" Type="http://schemas.openxmlformats.org/officeDocument/2006/relationships/hyperlink" Target="https://ref.ly/Judg4:9" TargetMode="External"/><Relationship Id="rId4197" Type="http://schemas.openxmlformats.org/officeDocument/2006/relationships/hyperlink" Target="https://ref.ly/Judg5:24" TargetMode="External"/><Relationship Id="rId4198" Type="http://schemas.openxmlformats.org/officeDocument/2006/relationships/hyperlink" Target="https://ref.ly/Judg5:1-Judg5:3" TargetMode="External"/><Relationship Id="rId4199" Type="http://schemas.openxmlformats.org/officeDocument/2006/relationships/hyperlink" Target="https://ref.ly/Deut33:1-Deut33:29" TargetMode="External"/><Relationship Id="rId4200" Type="http://schemas.openxmlformats.org/officeDocument/2006/relationships/hyperlink" Target="https://ref.ly/Deut32:1-Deut32:52" TargetMode="External"/><Relationship Id="rId4201" Type="http://schemas.openxmlformats.org/officeDocument/2006/relationships/hyperlink" Target="https://ref.ly/Exod15:1-Exod15:27" TargetMode="External"/><Relationship Id="rId4202" Type="http://schemas.openxmlformats.org/officeDocument/2006/relationships/hyperlink" Target="https://ref.ly/Deut17:6" TargetMode="External"/><Relationship Id="rId4203" Type="http://schemas.openxmlformats.org/officeDocument/2006/relationships/hyperlink" Target="https://ref.ly/Deut31:19" TargetMode="External"/><Relationship Id="rId4204" Type="http://schemas.openxmlformats.org/officeDocument/2006/relationships/hyperlink" Target="https://ref.ly/Deut32:10-Deut32:14" TargetMode="External"/><Relationship Id="rId4205" Type="http://schemas.openxmlformats.org/officeDocument/2006/relationships/hyperlink" Target="https://ref.ly/Deut32:36" TargetMode="External"/><Relationship Id="rId4206" Type="http://schemas.openxmlformats.org/officeDocument/2006/relationships/hyperlink" Target="https://ref.ly/Ps78:1-Ps78:72" TargetMode="External"/><Relationship Id="rId4207" Type="http://schemas.openxmlformats.org/officeDocument/2006/relationships/hyperlink" Target="https://ref.ly/Rev15:3" TargetMode="External"/><Relationship Id="rId4208" Type="http://schemas.openxmlformats.org/officeDocument/2006/relationships/hyperlink" Target="https://ref.ly/Song1:1" TargetMode="External"/><Relationship Id="rId4209" Type="http://schemas.openxmlformats.org/officeDocument/2006/relationships/hyperlink" Target="https://ref.ly/Song8:6" TargetMode="External"/><Relationship Id="rId4210" Type="http://schemas.openxmlformats.org/officeDocument/2006/relationships/hyperlink" Target="https://ref.ly/Song1:2-Song1:7" TargetMode="External"/><Relationship Id="rId4211" Type="http://schemas.openxmlformats.org/officeDocument/2006/relationships/hyperlink" Target="https://ref.ly/Song1:8-Song2:7" TargetMode="External"/><Relationship Id="rId4212" Type="http://schemas.openxmlformats.org/officeDocument/2006/relationships/hyperlink" Target="https://ref.ly/Song2:8-Song2:13" TargetMode="External"/><Relationship Id="rId4213" Type="http://schemas.openxmlformats.org/officeDocument/2006/relationships/hyperlink" Target="https://ref.ly/Song2:14-Song3:5" TargetMode="External"/><Relationship Id="rId4214" Type="http://schemas.openxmlformats.org/officeDocument/2006/relationships/hyperlink" Target="https://ref.ly/Song3:4" TargetMode="External"/><Relationship Id="rId4215" Type="http://schemas.openxmlformats.org/officeDocument/2006/relationships/hyperlink" Target="https://ref.ly/Song3:6-Song3:11" TargetMode="External"/><Relationship Id="rId4216" Type="http://schemas.openxmlformats.org/officeDocument/2006/relationships/hyperlink" Target="https://ref.ly/Ps45:1-Ps45:17" TargetMode="External"/><Relationship Id="rId4217" Type="http://schemas.openxmlformats.org/officeDocument/2006/relationships/hyperlink" Target="https://ref.ly/Song4:1-Song5:1" TargetMode="External"/><Relationship Id="rId4218" Type="http://schemas.openxmlformats.org/officeDocument/2006/relationships/hyperlink" Target="https://ref.ly/Song4:4" TargetMode="External"/><Relationship Id="rId4219" Type="http://schemas.openxmlformats.org/officeDocument/2006/relationships/hyperlink" Target="https://ref.ly/Song4:10" TargetMode="External"/><Relationship Id="rId4220" Type="http://schemas.openxmlformats.org/officeDocument/2006/relationships/hyperlink" Target="https://ref.ly/Song4:16" TargetMode="External"/><Relationship Id="rId4221" Type="http://schemas.openxmlformats.org/officeDocument/2006/relationships/hyperlink" Target="https://ref.ly/Song5:2-Song6:3" TargetMode="External"/><Relationship Id="rId4222" Type="http://schemas.openxmlformats.org/officeDocument/2006/relationships/hyperlink" Target="https://ref.ly/Song5:4-Song5:8" TargetMode="External"/><Relationship Id="rId4223" Type="http://schemas.openxmlformats.org/officeDocument/2006/relationships/hyperlink" Target="https://ref.ly/Song5:10-Song5:16" TargetMode="External"/><Relationship Id="rId4224" Type="http://schemas.openxmlformats.org/officeDocument/2006/relationships/hyperlink" Target="https://ref.ly/Song6:4-Song7:9" TargetMode="External"/><Relationship Id="rId4225" Type="http://schemas.openxmlformats.org/officeDocument/2006/relationships/hyperlink" Target="https://ref.ly/Song6:4-Song6:10" TargetMode="External"/><Relationship Id="rId4226" Type="http://schemas.openxmlformats.org/officeDocument/2006/relationships/hyperlink" Target="https://ref.ly/Song7:1-Song7:9" TargetMode="External"/><Relationship Id="rId4227" Type="http://schemas.openxmlformats.org/officeDocument/2006/relationships/hyperlink" Target="https://ref.ly/Song7:10-Song8:14" TargetMode="External"/><Relationship Id="rId4228" Type="http://schemas.openxmlformats.org/officeDocument/2006/relationships/hyperlink" Target="https://ref.ly/Song8:8-Song8:14" TargetMode="External"/><Relationship Id="rId4229" Type="http://schemas.openxmlformats.org/officeDocument/2006/relationships/hyperlink" Target="https://ref.ly/Song7:10" TargetMode="External"/><Relationship Id="rId4230" Type="http://schemas.openxmlformats.org/officeDocument/2006/relationships/hyperlink" Target="https://ref.ly/Song8:6-Song8:7" TargetMode="External"/><Relationship Id="rId4231" Type="http://schemas.openxmlformats.org/officeDocument/2006/relationships/hyperlink" Target="https://ref.ly/Ps120:1-Ps134:3" TargetMode="External"/><Relationship Id="rId4232" Type="http://schemas.openxmlformats.org/officeDocument/2006/relationships/hyperlink" Target="https://ref.ly/1Chr9:33" TargetMode="External"/><Relationship Id="rId4233" Type="http://schemas.openxmlformats.org/officeDocument/2006/relationships/hyperlink" Target="https://ref.ly/1Chr15:16,1Chr15:19,1Chr15:27" TargetMode="External"/><Relationship Id="rId4234" Type="http://schemas.openxmlformats.org/officeDocument/2006/relationships/hyperlink" Target="https://ref.ly/2Chr5:12-2Chr5:13" TargetMode="External"/><Relationship Id="rId4235" Type="http://schemas.openxmlformats.org/officeDocument/2006/relationships/hyperlink" Target="https://ref.ly/2Chr20:21" TargetMode="External"/><Relationship Id="rId4236" Type="http://schemas.openxmlformats.org/officeDocument/2006/relationships/hyperlink" Target="https://ref.ly/2Chr23:13" TargetMode="External"/><Relationship Id="rId4237" Type="http://schemas.openxmlformats.org/officeDocument/2006/relationships/hyperlink" Target="https://ref.ly/Ezra2:41,Ezra2:70" TargetMode="External"/><Relationship Id="rId4238" Type="http://schemas.openxmlformats.org/officeDocument/2006/relationships/hyperlink" Target="https://ref.ly/Neh7:1,Neh7:44,Neh7:73" TargetMode="External"/><Relationship Id="rId4239" Type="http://schemas.openxmlformats.org/officeDocument/2006/relationships/hyperlink" Target="https://ref.ly/Neh10:28,Neh10:39" TargetMode="External"/><Relationship Id="rId4240" Type="http://schemas.openxmlformats.org/officeDocument/2006/relationships/hyperlink" Target="https://ref.ly/Ps68:25" TargetMode="External"/><Relationship Id="rId4241" Type="http://schemas.openxmlformats.org/officeDocument/2006/relationships/hyperlink" Target="https://ref.ly/Ps87:7" TargetMode="External"/><Relationship Id="rId4242" Type="http://schemas.openxmlformats.org/officeDocument/2006/relationships/hyperlink" Target="https://ref.ly/Gen1:1-Gen1:2,Gen1:6-Gen1:7" TargetMode="External"/><Relationship Id="rId4243" Type="http://schemas.openxmlformats.org/officeDocument/2006/relationships/hyperlink" Target="https://ref.ly/Acts2:5-Acts2:13" TargetMode="External"/><Relationship Id="rId4244" Type="http://schemas.openxmlformats.org/officeDocument/2006/relationships/hyperlink" Target="https://ref.ly/1Macc15:22" TargetMode="External"/><Relationship Id="rId4245" Type="http://schemas.openxmlformats.org/officeDocument/2006/relationships/hyperlink" Target="https://ref.ly/Exod1:11" TargetMode="External"/><Relationship Id="rId4246" Type="http://schemas.openxmlformats.org/officeDocument/2006/relationships/hyperlink" Target="https://ref.ly/Exod3:7" TargetMode="External"/><Relationship Id="rId4247" Type="http://schemas.openxmlformats.org/officeDocument/2006/relationships/hyperlink" Target="https://ref.ly/Exod5:6-Exod5:14" TargetMode="External"/><Relationship Id="rId4248" Type="http://schemas.openxmlformats.org/officeDocument/2006/relationships/hyperlink" Target="https://ref.ly/Job3:18" TargetMode="External"/><Relationship Id="rId4249" Type="http://schemas.openxmlformats.org/officeDocument/2006/relationships/hyperlink" Target="https://ref.ly/2Sam20:24" TargetMode="External"/><Relationship Id="rId4250" Type="http://schemas.openxmlformats.org/officeDocument/2006/relationships/hyperlink" Target="https://ref.ly/1Kgs4:6" TargetMode="External"/><Relationship Id="rId4251" Type="http://schemas.openxmlformats.org/officeDocument/2006/relationships/hyperlink" Target="https://ref.ly/1Kgs12:18" TargetMode="External"/><Relationship Id="rId4252" Type="http://schemas.openxmlformats.org/officeDocument/2006/relationships/hyperlink" Target="https://ref.ly/1Kgs12:3-1Kgs12:14" TargetMode="External"/><Relationship Id="rId4253" Type="http://schemas.openxmlformats.org/officeDocument/2006/relationships/hyperlink" Target="https://ref.ly/Exod36:38" TargetMode="External"/><Relationship Id="rId4254" Type="http://schemas.openxmlformats.org/officeDocument/2006/relationships/hyperlink" Target="https://ref.ly/1Kgs7:16-1Kgs7:22,1Kgs7:40-1Kgs7:42" TargetMode="External"/><Relationship Id="rId4255" Type="http://schemas.openxmlformats.org/officeDocument/2006/relationships/hyperlink" Target="https://ref.ly/1Kgs10:2" TargetMode="External"/><Relationship Id="rId4256" Type="http://schemas.openxmlformats.org/officeDocument/2006/relationships/hyperlink" Target="https://ref.ly/Judg6:3-Judg6:5" TargetMode="External"/><Relationship Id="rId4257" Type="http://schemas.openxmlformats.org/officeDocument/2006/relationships/hyperlink" Target="https://ref.ly/Exod28:17" TargetMode="External"/><Relationship Id="rId4258" Type="http://schemas.openxmlformats.org/officeDocument/2006/relationships/hyperlink" Target="https://ref.ly/Gen46:9" TargetMode="External"/><Relationship Id="rId4259" Type="http://schemas.openxmlformats.org/officeDocument/2006/relationships/hyperlink" Target="https://ref.ly/Exod6:14" TargetMode="External"/><Relationship Id="rId4260" Type="http://schemas.openxmlformats.org/officeDocument/2006/relationships/hyperlink" Target="https://ref.ly/1Chr5:3" TargetMode="External"/><Relationship Id="rId4261" Type="http://schemas.openxmlformats.org/officeDocument/2006/relationships/hyperlink" Target="https://ref.ly/Num26:5-Num26:7" TargetMode="External"/><Relationship Id="rId4262" Type="http://schemas.openxmlformats.org/officeDocument/2006/relationships/hyperlink" Target="https://ref.ly/Josh7:1,Josh7:18" TargetMode="External"/><Relationship Id="rId4263" Type="http://schemas.openxmlformats.org/officeDocument/2006/relationships/hyperlink" Target="https://ref.ly/1Chr2:7" TargetMode="External"/><Relationship Id="rId4264" Type="http://schemas.openxmlformats.org/officeDocument/2006/relationships/hyperlink" Target="https://ref.ly/1Chr4:1" TargetMode="External"/><Relationship Id="rId4265" Type="http://schemas.openxmlformats.org/officeDocument/2006/relationships/hyperlink" Target="https://ref.ly/Num26:6" TargetMode="External"/><Relationship Id="rId4266" Type="http://schemas.openxmlformats.org/officeDocument/2006/relationships/hyperlink" Target="https://ref.ly/Gen40:19" TargetMode="External"/><Relationship Id="rId4267" Type="http://schemas.openxmlformats.org/officeDocument/2006/relationships/hyperlink" Target="https://ref.ly/Prov14:30" TargetMode="External"/><Relationship Id="rId4268" Type="http://schemas.openxmlformats.org/officeDocument/2006/relationships/hyperlink" Target="https://ref.ly/Ps16:9" TargetMode="External"/><Relationship Id="rId4269" Type="http://schemas.openxmlformats.org/officeDocument/2006/relationships/hyperlink" Target="https://ref.ly/Judg9:2" TargetMode="External"/><Relationship Id="rId4270" Type="http://schemas.openxmlformats.org/officeDocument/2006/relationships/hyperlink" Target="https://ref.ly/Gen6:3" TargetMode="External"/><Relationship Id="rId4271" Type="http://schemas.openxmlformats.org/officeDocument/2006/relationships/hyperlink" Target="https://ref.ly/Ps78:39" TargetMode="External"/><Relationship Id="rId4272" Type="http://schemas.openxmlformats.org/officeDocument/2006/relationships/hyperlink" Target="https://ref.ly/2Chr32:8" TargetMode="External"/><Relationship Id="rId4273" Type="http://schemas.openxmlformats.org/officeDocument/2006/relationships/hyperlink" Target="https://ref.ly/Ps56:4" TargetMode="External"/><Relationship Id="rId4274" Type="http://schemas.openxmlformats.org/officeDocument/2006/relationships/hyperlink" Target="https://ref.ly/Jer17:5" TargetMode="External"/><Relationship Id="rId4275" Type="http://schemas.openxmlformats.org/officeDocument/2006/relationships/hyperlink" Target="https://ref.ly/Isa31:3" TargetMode="External"/><Relationship Id="rId4276" Type="http://schemas.openxmlformats.org/officeDocument/2006/relationships/hyperlink" Target="https://ref.ly/1Cor15:39" TargetMode="External"/><Relationship Id="rId4277" Type="http://schemas.openxmlformats.org/officeDocument/2006/relationships/hyperlink" Target="https://ref.ly/2Cor12:7" TargetMode="External"/><Relationship Id="rId4278" Type="http://schemas.openxmlformats.org/officeDocument/2006/relationships/hyperlink" Target="https://ref.ly/Rom2:28" TargetMode="External"/><Relationship Id="rId4279" Type="http://schemas.openxmlformats.org/officeDocument/2006/relationships/hyperlink" Target="https://ref.ly/1Cor15:50" TargetMode="External"/><Relationship Id="rId4280" Type="http://schemas.openxmlformats.org/officeDocument/2006/relationships/hyperlink" Target="https://ref.ly/Col1:22" TargetMode="External"/><Relationship Id="rId4281" Type="http://schemas.openxmlformats.org/officeDocument/2006/relationships/hyperlink" Target="https://ref.ly/1Cor5:3" TargetMode="External"/><Relationship Id="rId4282" Type="http://schemas.openxmlformats.org/officeDocument/2006/relationships/hyperlink" Target="https://ref.ly/Col2:5" TargetMode="External"/><Relationship Id="rId4283" Type="http://schemas.openxmlformats.org/officeDocument/2006/relationships/hyperlink" Target="https://ref.ly/2Cor4:10-2Cor4:11" TargetMode="External"/><Relationship Id="rId4284" Type="http://schemas.openxmlformats.org/officeDocument/2006/relationships/hyperlink" Target="https://ref.ly/1Cor6:16" TargetMode="External"/><Relationship Id="rId4285" Type="http://schemas.openxmlformats.org/officeDocument/2006/relationships/hyperlink" Target="https://ref.ly/Rom9:3" TargetMode="External"/><Relationship Id="rId4286" Type="http://schemas.openxmlformats.org/officeDocument/2006/relationships/hyperlink" Target="https://ref.ly/Rom11:14" TargetMode="External"/><Relationship Id="rId4287" Type="http://schemas.openxmlformats.org/officeDocument/2006/relationships/hyperlink" Target="https://ref.ly/Rom9:8" TargetMode="External"/><Relationship Id="rId4288" Type="http://schemas.openxmlformats.org/officeDocument/2006/relationships/hyperlink" Target="https://ref.ly/Rom1:3" TargetMode="External"/><Relationship Id="rId4289" Type="http://schemas.openxmlformats.org/officeDocument/2006/relationships/hyperlink" Target="https://ref.ly/Gal2:20" TargetMode="External"/><Relationship Id="rId4290" Type="http://schemas.openxmlformats.org/officeDocument/2006/relationships/hyperlink" Target="https://ref.ly/1Pet3:18" TargetMode="External"/><Relationship Id="rId4291" Type="http://schemas.openxmlformats.org/officeDocument/2006/relationships/hyperlink" Target="https://ref.ly/1John4:2" TargetMode="External"/><Relationship Id="rId4292" Type="http://schemas.openxmlformats.org/officeDocument/2006/relationships/hyperlink" Target="https://ref.ly/2Cor11:18" TargetMode="External"/><Relationship Id="rId4293" Type="http://schemas.openxmlformats.org/officeDocument/2006/relationships/hyperlink" Target="https://ref.ly/Gal6:11-Gal6:14" TargetMode="External"/><Relationship Id="rId4294" Type="http://schemas.openxmlformats.org/officeDocument/2006/relationships/hyperlink" Target="https://ref.ly/Eph6:5" TargetMode="External"/><Relationship Id="rId4295" Type="http://schemas.openxmlformats.org/officeDocument/2006/relationships/hyperlink" Target="https://ref.ly/Col3:22" TargetMode="External"/><Relationship Id="rId4296" Type="http://schemas.openxmlformats.org/officeDocument/2006/relationships/hyperlink" Target="https://ref.ly/Phlm1:16" TargetMode="External"/><Relationship Id="rId4297" Type="http://schemas.openxmlformats.org/officeDocument/2006/relationships/hyperlink" Target="https://ref.ly/1Cor7:28" TargetMode="External"/><Relationship Id="rId4298" Type="http://schemas.openxmlformats.org/officeDocument/2006/relationships/hyperlink" Target="https://ref.ly/2Cor5:16" TargetMode="External"/><Relationship Id="rId4299" Type="http://schemas.openxmlformats.org/officeDocument/2006/relationships/hyperlink" Target="https://ref.ly/1Cor15:53" TargetMode="External"/><Relationship Id="rId4300" Type="http://schemas.openxmlformats.org/officeDocument/2006/relationships/hyperlink" Target="https://ref.ly/Rom8:1-Rom8:39" TargetMode="External"/><Relationship Id="rId4301" Type="http://schemas.openxmlformats.org/officeDocument/2006/relationships/hyperlink" Target="https://ref.ly/Rom7:1-Rom8:39" TargetMode="External"/><Relationship Id="rId4302" Type="http://schemas.openxmlformats.org/officeDocument/2006/relationships/hyperlink" Target="https://ref.ly/Rom8:2" TargetMode="External"/><Relationship Id="rId4303" Type="http://schemas.openxmlformats.org/officeDocument/2006/relationships/hyperlink" Target="https://ref.ly/Rom8:6" TargetMode="External"/><Relationship Id="rId4304" Type="http://schemas.openxmlformats.org/officeDocument/2006/relationships/hyperlink" Target="https://ref.ly/Rom7:18" TargetMode="External"/><Relationship Id="rId4305" Type="http://schemas.openxmlformats.org/officeDocument/2006/relationships/hyperlink" Target="https://ref.ly/1Cor6:19" TargetMode="External"/><Relationship Id="rId4306" Type="http://schemas.openxmlformats.org/officeDocument/2006/relationships/hyperlink" Target="https://ref.ly/1Cor6:15" TargetMode="External"/><Relationship Id="rId4307" Type="http://schemas.openxmlformats.org/officeDocument/2006/relationships/hyperlink" Target="https://ref.ly/1Cor6:20" TargetMode="External"/><Relationship Id="rId4308" Type="http://schemas.openxmlformats.org/officeDocument/2006/relationships/hyperlink" Target="https://ref.ly/Gal5:17" TargetMode="External"/><Relationship Id="rId4309" Type="http://schemas.openxmlformats.org/officeDocument/2006/relationships/hyperlink" Target="https://ref.ly/1Cor2:14-1Cor3:3" TargetMode="External"/><Relationship Id="rId4310" Type="http://schemas.openxmlformats.org/officeDocument/2006/relationships/hyperlink" Target="https://ref.ly/1Cor3:1,1Cor3:3" TargetMode="External"/><Relationship Id="rId4311" Type="http://schemas.openxmlformats.org/officeDocument/2006/relationships/hyperlink" Target="https://ref.ly/1Cor3:1" TargetMode="External"/><Relationship Id="rId4312" Type="http://schemas.openxmlformats.org/officeDocument/2006/relationships/hyperlink" Target="https://ref.ly/Gal5:22-Gal5:23" TargetMode="External"/><Relationship Id="rId4313" Type="http://schemas.openxmlformats.org/officeDocument/2006/relationships/hyperlink" Target="https://ref.ly/1Cor3:3" TargetMode="External"/><Relationship Id="rId4314" Type="http://schemas.openxmlformats.org/officeDocument/2006/relationships/hyperlink" Target="https://ref.ly/Gal5:19-Gal5:23" TargetMode="External"/><Relationship Id="rId4315" Type="http://schemas.openxmlformats.org/officeDocument/2006/relationships/hyperlink" Target="https://ref.ly/Gal5:19-Gal5:21" TargetMode="External"/><Relationship Id="rId4316" Type="http://schemas.openxmlformats.org/officeDocument/2006/relationships/hyperlink" Target="https://ref.ly/Gal5:24" TargetMode="External"/><Relationship Id="rId4317" Type="http://schemas.openxmlformats.org/officeDocument/2006/relationships/hyperlink" Target="https://ref.ly/Rom6:6" TargetMode="External"/><Relationship Id="rId4318" Type="http://schemas.openxmlformats.org/officeDocument/2006/relationships/hyperlink" Target="https://ref.ly/Rom6:1-Rom6:4" TargetMode="External"/><Relationship Id="rId4319" Type="http://schemas.openxmlformats.org/officeDocument/2006/relationships/hyperlink" Target="https://ref.ly/Rom6:11" TargetMode="External"/><Relationship Id="rId4320" Type="http://schemas.openxmlformats.org/officeDocument/2006/relationships/hyperlink" Target="https://ref.ly/Rom8:13" TargetMode="External"/><Relationship Id="rId4321" Type="http://schemas.openxmlformats.org/officeDocument/2006/relationships/hyperlink" Target="https://ref.ly/Rom6:13" TargetMode="External"/><Relationship Id="rId4322" Type="http://schemas.openxmlformats.org/officeDocument/2006/relationships/hyperlink" Target="https://ref.ly/Col3:5" TargetMode="External"/><Relationship Id="rId4323" Type="http://schemas.openxmlformats.org/officeDocument/2006/relationships/hyperlink" Target="https://ref.ly/Gal5:16" TargetMode="External"/><Relationship Id="rId4324" Type="http://schemas.openxmlformats.org/officeDocument/2006/relationships/hyperlink" Target="https://ref.ly/Rom8:4" TargetMode="External"/><Relationship Id="rId4325" Type="http://schemas.openxmlformats.org/officeDocument/2006/relationships/hyperlink" Target="https://ref.ly/2Kgs12:11" TargetMode="External"/><Relationship Id="rId4326" Type="http://schemas.openxmlformats.org/officeDocument/2006/relationships/hyperlink" Target="https://ref.ly/2Kgs22:6" TargetMode="External"/><Relationship Id="rId4327" Type="http://schemas.openxmlformats.org/officeDocument/2006/relationships/hyperlink" Target="https://ref.ly/1Chr14:1" TargetMode="External"/><Relationship Id="rId4328" Type="http://schemas.openxmlformats.org/officeDocument/2006/relationships/hyperlink" Target="https://ref.ly/1Chr22:15" TargetMode="External"/><Relationship Id="rId4329" Type="http://schemas.openxmlformats.org/officeDocument/2006/relationships/hyperlink" Target="https://ref.ly/2Chr24:12" TargetMode="External"/><Relationship Id="rId4330" Type="http://schemas.openxmlformats.org/officeDocument/2006/relationships/hyperlink" Target="https://ref.ly/Ezra3:7" TargetMode="External"/><Relationship Id="rId4331" Type="http://schemas.openxmlformats.org/officeDocument/2006/relationships/hyperlink" Target="https://ref.ly/Mark6:3" TargetMode="External"/><Relationship Id="rId4332" Type="http://schemas.openxmlformats.org/officeDocument/2006/relationships/hyperlink" Target="https://ref.ly/Gal1:13" TargetMode="External"/><Relationship Id="rId4333" Type="http://schemas.openxmlformats.org/officeDocument/2006/relationships/hyperlink" Target="https://ref.ly/Gal1:15" TargetMode="External"/><Relationship Id="rId4334" Type="http://schemas.openxmlformats.org/officeDocument/2006/relationships/hyperlink" Target="https://ref.ly/Acts9:22" TargetMode="External"/><Relationship Id="rId4335" Type="http://schemas.openxmlformats.org/officeDocument/2006/relationships/hyperlink" Target="https://ref.ly/Gal1:21" TargetMode="External"/><Relationship Id="rId4336" Type="http://schemas.openxmlformats.org/officeDocument/2006/relationships/hyperlink" Target="https://ref.ly/Acts16:6" TargetMode="External"/><Relationship Id="rId4337" Type="http://schemas.openxmlformats.org/officeDocument/2006/relationships/hyperlink" Target="https://ref.ly/Acts18:23" TargetMode="External"/><Relationship Id="rId4338" Type="http://schemas.openxmlformats.org/officeDocument/2006/relationships/hyperlink" Target="https://ref.ly/Gal1:22" TargetMode="External"/><Relationship Id="rId4339" Type="http://schemas.openxmlformats.org/officeDocument/2006/relationships/hyperlink" Target="https://ref.ly/2Cor8:1" TargetMode="External"/><Relationship Id="rId4340" Type="http://schemas.openxmlformats.org/officeDocument/2006/relationships/hyperlink" Target="https://ref.ly/2Cor9:2" TargetMode="External"/><Relationship Id="rId4341" Type="http://schemas.openxmlformats.org/officeDocument/2006/relationships/hyperlink" Target="https://ref.ly/1Thess4:10" TargetMode="External"/><Relationship Id="rId4342" Type="http://schemas.openxmlformats.org/officeDocument/2006/relationships/hyperlink" Target="https://ref.ly/1Cor16:15" TargetMode="External"/><Relationship Id="rId4343" Type="http://schemas.openxmlformats.org/officeDocument/2006/relationships/hyperlink" Target="https://ref.ly/Rom15:26" TargetMode="External"/><Relationship Id="rId4344" Type="http://schemas.openxmlformats.org/officeDocument/2006/relationships/hyperlink" Target="https://ref.ly/1Thess1:7" TargetMode="External"/><Relationship Id="rId4345" Type="http://schemas.openxmlformats.org/officeDocument/2006/relationships/hyperlink" Target="https://ref.ly/Gal4:13" TargetMode="External"/><Relationship Id="rId4346" Type="http://schemas.openxmlformats.org/officeDocument/2006/relationships/hyperlink" Target="https://ref.ly/Gal2:1" TargetMode="External"/><Relationship Id="rId4347" Type="http://schemas.openxmlformats.org/officeDocument/2006/relationships/hyperlink" Target="https://ref.ly/Gal1:1-Gal2:21" TargetMode="External"/><Relationship Id="rId4348" Type="http://schemas.openxmlformats.org/officeDocument/2006/relationships/hyperlink" Target="https://ref.ly/Gal1:18" TargetMode="External"/><Relationship Id="rId4349" Type="http://schemas.openxmlformats.org/officeDocument/2006/relationships/hyperlink" Target="https://ref.ly/Acts9:26" TargetMode="External"/><Relationship Id="rId4350" Type="http://schemas.openxmlformats.org/officeDocument/2006/relationships/hyperlink" Target="https://ref.ly/Acts11:29-Acts11:30" TargetMode="External"/><Relationship Id="rId4351" Type="http://schemas.openxmlformats.org/officeDocument/2006/relationships/hyperlink" Target="https://ref.ly/Acts15:20" TargetMode="External"/><Relationship Id="rId4352" Type="http://schemas.openxmlformats.org/officeDocument/2006/relationships/hyperlink" Target="https://ref.ly/Gal2:10" TargetMode="External"/><Relationship Id="rId4353" Type="http://schemas.openxmlformats.org/officeDocument/2006/relationships/hyperlink" Target="https://ref.ly/Gal2:11-Gal2:14" TargetMode="External"/><Relationship Id="rId4354" Type="http://schemas.openxmlformats.org/officeDocument/2006/relationships/hyperlink" Target="https://ref.ly/Acts2:2" TargetMode="External"/><Relationship Id="rId4355" Type="http://schemas.openxmlformats.org/officeDocument/2006/relationships/hyperlink" Target="https://ref.ly/Gal5:13" TargetMode="External"/><Relationship Id="rId4356" Type="http://schemas.openxmlformats.org/officeDocument/2006/relationships/hyperlink" Target="https://ref.ly/Gal1:1-Gal1:5" TargetMode="External"/><Relationship Id="rId4357" Type="http://schemas.openxmlformats.org/officeDocument/2006/relationships/hyperlink" Target="https://ref.ly/Gal1:6-Gal1:10" TargetMode="External"/><Relationship Id="rId4358" Type="http://schemas.openxmlformats.org/officeDocument/2006/relationships/hyperlink" Target="https://ref.ly/Gal1:11-Gal2:14" TargetMode="External"/><Relationship Id="rId4359" Type="http://schemas.openxmlformats.org/officeDocument/2006/relationships/hyperlink" Target="https://ref.ly/Gal1:11-Gal1:12" TargetMode="External"/><Relationship Id="rId4360" Type="http://schemas.openxmlformats.org/officeDocument/2006/relationships/hyperlink" Target="https://ref.ly/Gal1:13-Gal1:17" TargetMode="External"/><Relationship Id="rId4361" Type="http://schemas.openxmlformats.org/officeDocument/2006/relationships/hyperlink" Target="https://ref.ly/Gal1:18-Gal2:10" TargetMode="External"/><Relationship Id="rId4362" Type="http://schemas.openxmlformats.org/officeDocument/2006/relationships/hyperlink" Target="https://ref.ly/Gal2:15-Gal4:31" TargetMode="External"/><Relationship Id="rId4363" Type="http://schemas.openxmlformats.org/officeDocument/2006/relationships/hyperlink" Target="https://ref.ly/Gal2:15-Gal2:21" TargetMode="External"/><Relationship Id="rId4364" Type="http://schemas.openxmlformats.org/officeDocument/2006/relationships/hyperlink" Target="https://ref.ly/Gal3:1-Gal3:5" TargetMode="External"/><Relationship Id="rId4365" Type="http://schemas.openxmlformats.org/officeDocument/2006/relationships/hyperlink" Target="https://ref.ly/Gal3:6-Gal3:9" TargetMode="External"/><Relationship Id="rId4366" Type="http://schemas.openxmlformats.org/officeDocument/2006/relationships/hyperlink" Target="https://ref.ly/Gal3:10-Gal3:14" TargetMode="External"/><Relationship Id="rId4367" Type="http://schemas.openxmlformats.org/officeDocument/2006/relationships/hyperlink" Target="https://ref.ly/Gal3:15-Gal3:18" TargetMode="External"/><Relationship Id="rId4368" Type="http://schemas.openxmlformats.org/officeDocument/2006/relationships/hyperlink" Target="https://ref.ly/Gal3:19-Gal3:29" TargetMode="External"/><Relationship Id="rId4369" Type="http://schemas.openxmlformats.org/officeDocument/2006/relationships/hyperlink" Target="https://ref.ly/Gal4:1-Gal4:7" TargetMode="External"/><Relationship Id="rId4370" Type="http://schemas.openxmlformats.org/officeDocument/2006/relationships/hyperlink" Target="https://ref.ly/Gal4:8-Gal4:20" TargetMode="External"/><Relationship Id="rId4371" Type="http://schemas.openxmlformats.org/officeDocument/2006/relationships/hyperlink" Target="https://ref.ly/Gal4:21-Gal4:31" TargetMode="External"/><Relationship Id="rId4372" Type="http://schemas.openxmlformats.org/officeDocument/2006/relationships/hyperlink" Target="https://ref.ly/Gal5:1-Gal6:10" TargetMode="External"/><Relationship Id="rId4373" Type="http://schemas.openxmlformats.org/officeDocument/2006/relationships/hyperlink" Target="https://ref.ly/Gal5:1-Gal5:6" TargetMode="External"/><Relationship Id="rId4374" Type="http://schemas.openxmlformats.org/officeDocument/2006/relationships/hyperlink" Target="https://ref.ly/Gal5:7-Gal5:12" TargetMode="External"/><Relationship Id="rId4375" Type="http://schemas.openxmlformats.org/officeDocument/2006/relationships/hyperlink" Target="https://ref.ly/Gal5:13-Gal5:26" TargetMode="External"/><Relationship Id="rId4376" Type="http://schemas.openxmlformats.org/officeDocument/2006/relationships/hyperlink" Target="https://ref.ly/Gal6:1-Gal6:10" TargetMode="External"/><Relationship Id="rId4377" Type="http://schemas.openxmlformats.org/officeDocument/2006/relationships/hyperlink" Target="https://ref.ly/Gal6:11-Gal6:18" TargetMode="External"/><Relationship Id="rId4378" Type="http://schemas.openxmlformats.org/officeDocument/2006/relationships/hyperlink" Target="https://ref.ly/Rom1:5,Rom1:10" TargetMode="External"/><Relationship Id="rId4379" Type="http://schemas.openxmlformats.org/officeDocument/2006/relationships/hyperlink" Target="https://ref.ly/Rom16:22" TargetMode="External"/><Relationship Id="rId4380" Type="http://schemas.openxmlformats.org/officeDocument/2006/relationships/hyperlink" Target="https://ref.ly/Rom1:7" TargetMode="External"/><Relationship Id="rId4381" Type="http://schemas.openxmlformats.org/officeDocument/2006/relationships/hyperlink" Target="https://ref.ly/2Tim4:20" TargetMode="External"/><Relationship Id="rId4382" Type="http://schemas.openxmlformats.org/officeDocument/2006/relationships/hyperlink" Target="https://ref.ly/1Cor1:14" TargetMode="External"/><Relationship Id="rId4383" Type="http://schemas.openxmlformats.org/officeDocument/2006/relationships/hyperlink" Target="https://ref.ly/Rom16:1" TargetMode="External"/><Relationship Id="rId4384" Type="http://schemas.openxmlformats.org/officeDocument/2006/relationships/hyperlink" Target="https://ref.ly/Rom15:23-Rom15:28" TargetMode="External"/><Relationship Id="rId4385" Type="http://schemas.openxmlformats.org/officeDocument/2006/relationships/hyperlink" Target="https://ref.ly/Acts20:2,Acts20:23" TargetMode="External"/><Relationship Id="rId4386" Type="http://schemas.openxmlformats.org/officeDocument/2006/relationships/hyperlink" Target="https://ref.ly/Acts24:17" TargetMode="External"/><Relationship Id="rId4387" Type="http://schemas.openxmlformats.org/officeDocument/2006/relationships/hyperlink" Target="https://ref.ly/Rom16:21,Rom16:23" TargetMode="External"/><Relationship Id="rId4388" Type="http://schemas.openxmlformats.org/officeDocument/2006/relationships/hyperlink" Target="https://ref.ly/Acts18:1,Acts18:11" TargetMode="External"/><Relationship Id="rId4389" Type="http://schemas.openxmlformats.org/officeDocument/2006/relationships/hyperlink" Target="https://ref.ly/Rom15:25-Rom15:29" TargetMode="External"/><Relationship Id="rId4390" Type="http://schemas.openxmlformats.org/officeDocument/2006/relationships/hyperlink" Target="https://ref.ly/1Cor16:1" TargetMode="External"/><Relationship Id="rId4391" Type="http://schemas.openxmlformats.org/officeDocument/2006/relationships/hyperlink" Target="https://ref.ly/2Cor9:5" TargetMode="External"/><Relationship Id="rId4392" Type="http://schemas.openxmlformats.org/officeDocument/2006/relationships/hyperlink" Target="https://ref.ly/1Cor1:11" TargetMode="External"/><Relationship Id="rId4393" Type="http://schemas.openxmlformats.org/officeDocument/2006/relationships/hyperlink" Target="https://ref.ly/1Cor7:1" TargetMode="External"/><Relationship Id="rId4394" Type="http://schemas.openxmlformats.org/officeDocument/2006/relationships/hyperlink" Target="https://ref.ly/Acts20:3" TargetMode="External"/><Relationship Id="rId4395" Type="http://schemas.openxmlformats.org/officeDocument/2006/relationships/hyperlink" Target="https://ref.ly/Rom15:23-Rom15:24" TargetMode="External"/><Relationship Id="rId4396" Type="http://schemas.openxmlformats.org/officeDocument/2006/relationships/hyperlink" Target="https://ref.ly/Rom15:24,Rom15:28" TargetMode="External"/><Relationship Id="rId4397" Type="http://schemas.openxmlformats.org/officeDocument/2006/relationships/hyperlink" Target="https://ref.ly/Acts2:10" TargetMode="External"/><Relationship Id="rId4398" Type="http://schemas.openxmlformats.org/officeDocument/2006/relationships/hyperlink" Target="https://ref.ly/Rom1:13,Rom1:15" TargetMode="External"/><Relationship Id="rId4399" Type="http://schemas.openxmlformats.org/officeDocument/2006/relationships/hyperlink" Target="https://ref.ly/Rom15:15-Rom15:16" TargetMode="External"/><Relationship Id="rId4400" Type="http://schemas.openxmlformats.org/officeDocument/2006/relationships/hyperlink" Target="https://ref.ly/Acts10:2" TargetMode="External"/><Relationship Id="rId4401" Type="http://schemas.openxmlformats.org/officeDocument/2006/relationships/hyperlink" Target="https://ref.ly/Rom3:21-Rom3:31" TargetMode="External"/><Relationship Id="rId4402" Type="http://schemas.openxmlformats.org/officeDocument/2006/relationships/hyperlink" Target="https://ref.ly/Rom3:29" TargetMode="External"/><Relationship Id="rId4403" Type="http://schemas.openxmlformats.org/officeDocument/2006/relationships/hyperlink" Target="https://ref.ly/Rom3:30" TargetMode="External"/><Relationship Id="rId4404" Type="http://schemas.openxmlformats.org/officeDocument/2006/relationships/hyperlink" Target="https://ref.ly/Rom5:2" TargetMode="External"/><Relationship Id="rId4405" Type="http://schemas.openxmlformats.org/officeDocument/2006/relationships/hyperlink" Target="https://ref.ly/Rom1:1-Rom3:31" TargetMode="External"/><Relationship Id="rId4406" Type="http://schemas.openxmlformats.org/officeDocument/2006/relationships/hyperlink" Target="https://ref.ly/Rom4:1-Rom8:39" TargetMode="External"/><Relationship Id="rId4407" Type="http://schemas.openxmlformats.org/officeDocument/2006/relationships/hyperlink" Target="https://ref.ly/Rom9:1-Rom11:36" TargetMode="External"/><Relationship Id="rId4408" Type="http://schemas.openxmlformats.org/officeDocument/2006/relationships/hyperlink" Target="https://ref.ly/Rom12:1-Rom15:33" TargetMode="External"/><Relationship Id="rId4409" Type="http://schemas.openxmlformats.org/officeDocument/2006/relationships/hyperlink" Target="https://ref.ly/Rom16:1-Rom16:27" TargetMode="External"/><Relationship Id="rId4410" Type="http://schemas.openxmlformats.org/officeDocument/2006/relationships/hyperlink" Target="https://ref.ly/Eph3:5-Eph3:6" TargetMode="External"/><Relationship Id="rId4411" Type="http://schemas.openxmlformats.org/officeDocument/2006/relationships/hyperlink" Target="https://ref.ly/Acts15:1" TargetMode="External"/><Relationship Id="rId4412" Type="http://schemas.openxmlformats.org/officeDocument/2006/relationships/hyperlink" Target="https://ref.ly/Eph3:6" TargetMode="External"/><Relationship Id="rId4413" Type="http://schemas.openxmlformats.org/officeDocument/2006/relationships/hyperlink" Target="https://ref.ly/Rom3:21-Rom3:22" TargetMode="External"/><Relationship Id="rId4414" Type="http://schemas.openxmlformats.org/officeDocument/2006/relationships/hyperlink" Target="https://ref.ly/Rom4:1-Rom4:25" TargetMode="External"/><Relationship Id="rId4415" Type="http://schemas.openxmlformats.org/officeDocument/2006/relationships/hyperlink" Target="https://ref.ly/Rom5:1-Rom8:39" TargetMode="External"/><Relationship Id="rId4416" Type="http://schemas.openxmlformats.org/officeDocument/2006/relationships/hyperlink" Target="https://ref.ly/Rom5:1-Rom5:21" TargetMode="External"/><Relationship Id="rId4417" Type="http://schemas.openxmlformats.org/officeDocument/2006/relationships/hyperlink" Target="https://ref.ly/Rom6:1-Rom6:23" TargetMode="External"/><Relationship Id="rId4418" Type="http://schemas.openxmlformats.org/officeDocument/2006/relationships/hyperlink" Target="https://ref.ly/Rom7:1-Rom7:25" TargetMode="External"/><Relationship Id="rId4419" Type="http://schemas.openxmlformats.org/officeDocument/2006/relationships/hyperlink" Target="https://ref.ly/Rom11:1-Rom11:2" TargetMode="External"/><Relationship Id="rId4420" Type="http://schemas.openxmlformats.org/officeDocument/2006/relationships/hyperlink" Target="https://ref.ly/Rom11:23" TargetMode="External"/><Relationship Id="rId4421" Type="http://schemas.openxmlformats.org/officeDocument/2006/relationships/hyperlink" Target="https://ref.ly/Rom12:1-Rom16:27" TargetMode="External"/><Relationship Id="rId4422" Type="http://schemas.openxmlformats.org/officeDocument/2006/relationships/hyperlink" Target="https://ref.ly/Rom15:1-Rom15:33" TargetMode="External"/><Relationship Id="rId4423" Type="http://schemas.openxmlformats.org/officeDocument/2006/relationships/hyperlink" Target="https://ref.ly/Rom1:18" TargetMode="External"/><Relationship Id="rId4424" Type="http://schemas.openxmlformats.org/officeDocument/2006/relationships/hyperlink" Target="https://ref.ly/Rom1:20-Rom1:23" TargetMode="External"/><Relationship Id="rId4425" Type="http://schemas.openxmlformats.org/officeDocument/2006/relationships/hyperlink" Target="https://ref.ly/Rom1:24" TargetMode="External"/><Relationship Id="rId4426" Type="http://schemas.openxmlformats.org/officeDocument/2006/relationships/hyperlink" Target="https://ref.ly/Rom1:26" TargetMode="External"/><Relationship Id="rId4427" Type="http://schemas.openxmlformats.org/officeDocument/2006/relationships/hyperlink" Target="https://ref.ly/Rom1:28" TargetMode="External"/><Relationship Id="rId4428" Type="http://schemas.openxmlformats.org/officeDocument/2006/relationships/hyperlink" Target="https://ref.ly/Acts17:30" TargetMode="External"/><Relationship Id="rId4429" Type="http://schemas.openxmlformats.org/officeDocument/2006/relationships/hyperlink" Target="https://ref.ly/Acts7:42" TargetMode="External"/><Relationship Id="rId4430" Type="http://schemas.openxmlformats.org/officeDocument/2006/relationships/hyperlink" Target="https://ref.ly/Rom2:17-Rom2:29" TargetMode="External"/><Relationship Id="rId4431" Type="http://schemas.openxmlformats.org/officeDocument/2006/relationships/hyperlink" Target="https://ref.ly/Rom2:14-Rom2:15" TargetMode="External"/><Relationship Id="rId4432" Type="http://schemas.openxmlformats.org/officeDocument/2006/relationships/hyperlink" Target="https://ref.ly/Rom2:29" TargetMode="External"/><Relationship Id="rId4433" Type="http://schemas.openxmlformats.org/officeDocument/2006/relationships/hyperlink" Target="https://ref.ly/Rom2:14,Rom2:27" TargetMode="External"/><Relationship Id="rId4434" Type="http://schemas.openxmlformats.org/officeDocument/2006/relationships/hyperlink" Target="https://ref.ly/Rom3:3" TargetMode="External"/><Relationship Id="rId4435" Type="http://schemas.openxmlformats.org/officeDocument/2006/relationships/hyperlink" Target="https://ref.ly/Rom3:1,Rom3:9" TargetMode="External"/><Relationship Id="rId4436" Type="http://schemas.openxmlformats.org/officeDocument/2006/relationships/hyperlink" Target="https://ref.ly/Rom3:23" TargetMode="External"/><Relationship Id="rId4437" Type="http://schemas.openxmlformats.org/officeDocument/2006/relationships/hyperlink" Target="https://ref.ly/Rom3:22" TargetMode="External"/><Relationship Id="rId4438" Type="http://schemas.openxmlformats.org/officeDocument/2006/relationships/hyperlink" Target="https://ref.ly/Rom7:12" TargetMode="External"/><Relationship Id="rId4439" Type="http://schemas.openxmlformats.org/officeDocument/2006/relationships/hyperlink" Target="https://ref.ly/Rom3:3,Rom3:22" TargetMode="External"/><Relationship Id="rId4440" Type="http://schemas.openxmlformats.org/officeDocument/2006/relationships/hyperlink" Target="https://ref.ly/Rom5:9" TargetMode="External"/><Relationship Id="rId4441" Type="http://schemas.openxmlformats.org/officeDocument/2006/relationships/hyperlink" Target="https://ref.ly/Rom4:11-Rom4:12" TargetMode="External"/><Relationship Id="rId4442" Type="http://schemas.openxmlformats.org/officeDocument/2006/relationships/hyperlink" Target="https://ref.ly/Rom4:16-Rom4:18" TargetMode="External"/><Relationship Id="rId4443" Type="http://schemas.openxmlformats.org/officeDocument/2006/relationships/hyperlink" Target="https://ref.ly/Rom4:11" TargetMode="External"/><Relationship Id="rId4444" Type="http://schemas.openxmlformats.org/officeDocument/2006/relationships/hyperlink" Target="https://ref.ly/Rom5:1,Rom5:9" TargetMode="External"/><Relationship Id="rId4445" Type="http://schemas.openxmlformats.org/officeDocument/2006/relationships/hyperlink" Target="https://ref.ly/Rom5:12" TargetMode="External"/><Relationship Id="rId4446" Type="http://schemas.openxmlformats.org/officeDocument/2006/relationships/hyperlink" Target="https://ref.ly/Rom5:16-Rom5:18" TargetMode="External"/><Relationship Id="rId4447" Type="http://schemas.openxmlformats.org/officeDocument/2006/relationships/hyperlink" Target="https://ref.ly/Rom5:20" TargetMode="External"/><Relationship Id="rId4448" Type="http://schemas.openxmlformats.org/officeDocument/2006/relationships/hyperlink" Target="https://ref.ly/Rom7:11" TargetMode="External"/><Relationship Id="rId4449" Type="http://schemas.openxmlformats.org/officeDocument/2006/relationships/hyperlink" Target="https://ref.ly/Rom6:1" TargetMode="External"/><Relationship Id="rId4450" Type="http://schemas.openxmlformats.org/officeDocument/2006/relationships/hyperlink" Target="https://ref.ly/Rom6:2,Rom6:6" TargetMode="External"/><Relationship Id="rId4451" Type="http://schemas.openxmlformats.org/officeDocument/2006/relationships/hyperlink" Target="https://ref.ly/Rom6:9,Rom6:14" TargetMode="External"/><Relationship Id="rId4452" Type="http://schemas.openxmlformats.org/officeDocument/2006/relationships/hyperlink" Target="https://ref.ly/Rom6:12" TargetMode="External"/><Relationship Id="rId4453" Type="http://schemas.openxmlformats.org/officeDocument/2006/relationships/hyperlink" Target="https://ref.ly/Rom6:17,Rom6:20" TargetMode="External"/><Relationship Id="rId4454" Type="http://schemas.openxmlformats.org/officeDocument/2006/relationships/hyperlink" Target="https://ref.ly/Rom8:2,Rom8:11" TargetMode="External"/><Relationship Id="rId4455" Type="http://schemas.openxmlformats.org/officeDocument/2006/relationships/hyperlink" Target="https://ref.ly/Rom8:6-Rom8:13" TargetMode="External"/><Relationship Id="rId4456" Type="http://schemas.openxmlformats.org/officeDocument/2006/relationships/hyperlink" Target="https://ref.ly/Rom8:38-Rom8:39" TargetMode="External"/><Relationship Id="rId4457" Type="http://schemas.openxmlformats.org/officeDocument/2006/relationships/hyperlink" Target="https://ref.ly/Rom8:14,Rom8:26,Rom8:34" TargetMode="External"/><Relationship Id="rId4458" Type="http://schemas.openxmlformats.org/officeDocument/2006/relationships/hyperlink" Target="https://ref.ly/Rom12:1-Rom12:21" TargetMode="External"/><Relationship Id="rId4459" Type="http://schemas.openxmlformats.org/officeDocument/2006/relationships/hyperlink" Target="https://ref.ly/Rom9:1-Rom9:5" TargetMode="External"/><Relationship Id="rId4460" Type="http://schemas.openxmlformats.org/officeDocument/2006/relationships/hyperlink" Target="https://ref.ly/Rom9:6-Rom9:26" TargetMode="External"/><Relationship Id="rId4461" Type="http://schemas.openxmlformats.org/officeDocument/2006/relationships/hyperlink" Target="https://ref.ly/Heb11:1-Heb11:40" TargetMode="External"/><Relationship Id="rId4462" Type="http://schemas.openxmlformats.org/officeDocument/2006/relationships/hyperlink" Target="https://ref.ly/Rom9:30-Rom10:21" TargetMode="External"/><Relationship Id="rId4463" Type="http://schemas.openxmlformats.org/officeDocument/2006/relationships/hyperlink" Target="https://ref.ly/Rom9:30-Rom9:33" TargetMode="External"/><Relationship Id="rId4464" Type="http://schemas.openxmlformats.org/officeDocument/2006/relationships/hyperlink" Target="https://ref.ly/Rom11:1-Rom11:16,Rom11:26" TargetMode="External"/><Relationship Id="rId4465" Type="http://schemas.openxmlformats.org/officeDocument/2006/relationships/hyperlink" Target="https://ref.ly/Rom11:17-Rom11:36" TargetMode="External"/><Relationship Id="rId4466" Type="http://schemas.openxmlformats.org/officeDocument/2006/relationships/hyperlink" Target="https://ref.ly/Rom11:17-Rom11:19" TargetMode="External"/><Relationship Id="rId4467" Type="http://schemas.openxmlformats.org/officeDocument/2006/relationships/hyperlink" Target="https://ref.ly/Rom11:11" TargetMode="External"/><Relationship Id="rId4468" Type="http://schemas.openxmlformats.org/officeDocument/2006/relationships/hyperlink" Target="https://ref.ly/Rom12:1" TargetMode="External"/><Relationship Id="rId4469" Type="http://schemas.openxmlformats.org/officeDocument/2006/relationships/hyperlink" Target="https://ref.ly/Rom13:1-Rom13:14" TargetMode="External"/><Relationship Id="rId4470" Type="http://schemas.openxmlformats.org/officeDocument/2006/relationships/hyperlink" Target="https://ref.ly/Rom13:4" TargetMode="External"/><Relationship Id="rId4471" Type="http://schemas.openxmlformats.org/officeDocument/2006/relationships/hyperlink" Target="https://ref.ly/Rom14:1-Rom14:23" TargetMode="External"/><Relationship Id="rId4472" Type="http://schemas.openxmlformats.org/officeDocument/2006/relationships/hyperlink" Target="https://ref.ly/Gen13:18" TargetMode="External"/><Relationship Id="rId4473" Type="http://schemas.openxmlformats.org/officeDocument/2006/relationships/hyperlink" Target="https://ref.ly/Isa47:14" TargetMode="External"/><Relationship Id="rId4474" Type="http://schemas.openxmlformats.org/officeDocument/2006/relationships/hyperlink" Target="https://ref.ly/John18:18" TargetMode="External"/><Relationship Id="rId4475" Type="http://schemas.openxmlformats.org/officeDocument/2006/relationships/hyperlink" Target="https://ref.ly/Isa44:19" TargetMode="External"/><Relationship Id="rId4476" Type="http://schemas.openxmlformats.org/officeDocument/2006/relationships/hyperlink" Target="https://ref.ly/John21:9" TargetMode="External"/><Relationship Id="rId4477" Type="http://schemas.openxmlformats.org/officeDocument/2006/relationships/hyperlink" Target="https://ref.ly/Isa54:16" TargetMode="External"/><Relationship Id="rId4478" Type="http://schemas.openxmlformats.org/officeDocument/2006/relationships/hyperlink" Target="https://ref.ly/Lev16:12" TargetMode="External"/><Relationship Id="rId4479" Type="http://schemas.openxmlformats.org/officeDocument/2006/relationships/hyperlink" Target="https://ref.ly/Isa6:6-Isa6:7" TargetMode="External"/><Relationship Id="rId4480" Type="http://schemas.openxmlformats.org/officeDocument/2006/relationships/hyperlink" Target="https://ref.ly/2Sam22:9,2Sam22:13" TargetMode="External"/><Relationship Id="rId4481" Type="http://schemas.openxmlformats.org/officeDocument/2006/relationships/hyperlink" Target="https://ref.ly/Ps18:8" TargetMode="External"/><Relationship Id="rId4482" Type="http://schemas.openxmlformats.org/officeDocument/2006/relationships/hyperlink" Target="https://ref.ly/Ps140:10" TargetMode="External"/><Relationship Id="rId4483" Type="http://schemas.openxmlformats.org/officeDocument/2006/relationships/hyperlink" Target="https://ref.ly/Ezek1:13" TargetMode="External"/><Relationship Id="rId4484" Type="http://schemas.openxmlformats.org/officeDocument/2006/relationships/hyperlink" Target="https://ref.ly/Ezek10:2" TargetMode="External"/><Relationship Id="rId4485" Type="http://schemas.openxmlformats.org/officeDocument/2006/relationships/hyperlink" Target="https://ref.ly/2Sam14:7" TargetMode="External"/><Relationship Id="rId4486" Type="http://schemas.openxmlformats.org/officeDocument/2006/relationships/hyperlink" Target="https://ref.ly/Job41:21" TargetMode="External"/><Relationship Id="rId4487" Type="http://schemas.openxmlformats.org/officeDocument/2006/relationships/hyperlink" Target="https://ref.ly/Prov6:28" TargetMode="External"/><Relationship Id="rId4488" Type="http://schemas.openxmlformats.org/officeDocument/2006/relationships/hyperlink" Target="https://ref.ly/Gen46:26" TargetMode="External"/><Relationship Id="rId4489" Type="http://schemas.openxmlformats.org/officeDocument/2006/relationships/hyperlink" Target="https://ref.ly/2Sam3:27" TargetMode="External"/><Relationship Id="rId4490" Type="http://schemas.openxmlformats.org/officeDocument/2006/relationships/hyperlink" Target="https://ref.ly/Gen17:23" TargetMode="External"/><Relationship Id="rId4491" Type="http://schemas.openxmlformats.org/officeDocument/2006/relationships/hyperlink" Target="https://ref.ly/Acts11:14" TargetMode="External"/><Relationship Id="rId4492" Type="http://schemas.openxmlformats.org/officeDocument/2006/relationships/hyperlink" Target="https://ref.ly/Phil4:22" TargetMode="External"/><Relationship Id="rId4493" Type="http://schemas.openxmlformats.org/officeDocument/2006/relationships/hyperlink" Target="https://ref.ly/Acts28:17,Acts28:31" TargetMode="External"/><Relationship Id="rId4494" Type="http://schemas.openxmlformats.org/officeDocument/2006/relationships/hyperlink" Target="https://ref.ly/Acts28:23-Acts28:24" TargetMode="External"/><Relationship Id="rId4495" Type="http://schemas.openxmlformats.org/officeDocument/2006/relationships/hyperlink" Target="https://ref.ly/Phil1:13" TargetMode="External"/><Relationship Id="rId4496" Type="http://schemas.openxmlformats.org/officeDocument/2006/relationships/hyperlink" Target="https://ref.ly/Deut23:18" TargetMode="External"/><Relationship Id="rId4497" Type="http://schemas.openxmlformats.org/officeDocument/2006/relationships/hyperlink" Target="https://ref.ly/1Chr6:31-1Chr6:32" TargetMode="External"/><Relationship Id="rId4498" Type="http://schemas.openxmlformats.org/officeDocument/2006/relationships/hyperlink" Target="https://ref.ly/1Kgs8:11-1Kgs8:20" TargetMode="External"/><Relationship Id="rId4499" Type="http://schemas.openxmlformats.org/officeDocument/2006/relationships/hyperlink" Target="https://ref.ly/1Kgs12:27" TargetMode="External"/><Relationship Id="rId4500" Type="http://schemas.openxmlformats.org/officeDocument/2006/relationships/hyperlink" Target="https://ref.ly/Jer20:1" TargetMode="External"/><Relationship Id="rId4501" Type="http://schemas.openxmlformats.org/officeDocument/2006/relationships/hyperlink" Target="https://ref.ly/Judg9:4" TargetMode="External"/><Relationship Id="rId4502" Type="http://schemas.openxmlformats.org/officeDocument/2006/relationships/hyperlink" Target="https://ref.ly/2Kgs10:21" TargetMode="External"/><Relationship Id="rId4503" Type="http://schemas.openxmlformats.org/officeDocument/2006/relationships/hyperlink" Target="https://ref.ly/Matt12:4" TargetMode="External"/><Relationship Id="rId4504" Type="http://schemas.openxmlformats.org/officeDocument/2006/relationships/hyperlink" Target="https://ref.ly/Mark11:17" TargetMode="External"/><Relationship Id="rId4505" Type="http://schemas.openxmlformats.org/officeDocument/2006/relationships/hyperlink" Target="https://ref.ly/Luke6:4" TargetMode="External"/><Relationship Id="rId4506" Type="http://schemas.openxmlformats.org/officeDocument/2006/relationships/hyperlink" Target="https://ref.ly/John2:16-John2:17" TargetMode="External"/><Relationship Id="rId4507" Type="http://schemas.openxmlformats.org/officeDocument/2006/relationships/hyperlink" Target="https://ref.ly/1Cor3:9" TargetMode="External"/><Relationship Id="rId4508" Type="http://schemas.openxmlformats.org/officeDocument/2006/relationships/hyperlink" Target="https://ref.ly/Heb3:6" TargetMode="External"/><Relationship Id="rId4509" Type="http://schemas.openxmlformats.org/officeDocument/2006/relationships/hyperlink" Target="https://ref.ly/1Pet2:5" TargetMode="External"/><Relationship Id="rId4510" Type="http://schemas.openxmlformats.org/officeDocument/2006/relationships/hyperlink" Target="https://ref.ly/1Pet4:17" TargetMode="External"/><Relationship Id="rId4511" Type="http://schemas.openxmlformats.org/officeDocument/2006/relationships/hyperlink" Target="https://ref.ly/2Cor6:14" TargetMode="External"/><Relationship Id="rId4512" Type="http://schemas.openxmlformats.org/officeDocument/2006/relationships/hyperlink" Target="https://ref.ly/Judg3:6" TargetMode="External"/><Relationship Id="rId4513" Type="http://schemas.openxmlformats.org/officeDocument/2006/relationships/hyperlink" Target="https://ref.ly/1Kgs11:1-1Kgs11:8" TargetMode="External"/><Relationship Id="rId4514" Type="http://schemas.openxmlformats.org/officeDocument/2006/relationships/hyperlink" Target="https://ref.ly/Num12:1" TargetMode="External"/><Relationship Id="rId4515" Type="http://schemas.openxmlformats.org/officeDocument/2006/relationships/hyperlink" Target="https://ref.ly/Deut23:7" TargetMode="External"/><Relationship Id="rId4516" Type="http://schemas.openxmlformats.org/officeDocument/2006/relationships/hyperlink" Target="https://ref.ly/Ruth1:4" TargetMode="External"/><Relationship Id="rId4517" Type="http://schemas.openxmlformats.org/officeDocument/2006/relationships/hyperlink" Target="https://ref.ly/Ezra9:1-Ezra9:4" TargetMode="External"/><Relationship Id="rId4518" Type="http://schemas.openxmlformats.org/officeDocument/2006/relationships/hyperlink" Target="https://ref.ly/Neh13:23-Neh13:27" TargetMode="External"/><Relationship Id="rId4519" Type="http://schemas.openxmlformats.org/officeDocument/2006/relationships/hyperlink" Target="https://ref.ly/Gen24:58-Gen24:59" TargetMode="External"/><Relationship Id="rId4520" Type="http://schemas.openxmlformats.org/officeDocument/2006/relationships/hyperlink" Target="https://ref.ly/Deut21:13" TargetMode="External"/><Relationship Id="rId4521" Type="http://schemas.openxmlformats.org/officeDocument/2006/relationships/hyperlink" Target="https://ref.ly/Gen5:10" TargetMode="External"/><Relationship Id="rId4522" Type="http://schemas.openxmlformats.org/officeDocument/2006/relationships/hyperlink" Target="https://ref.ly/Gen36:9-Gen36:43" TargetMode="External"/><Relationship Id="rId4523" Type="http://schemas.openxmlformats.org/officeDocument/2006/relationships/hyperlink" Target="https://ref.ly/Num1:1-Num1:15" TargetMode="External"/><Relationship Id="rId4524" Type="http://schemas.openxmlformats.org/officeDocument/2006/relationships/hyperlink" Target="https://ref.ly/1Chr1:1-1Chr1:9" TargetMode="External"/><Relationship Id="rId4525" Type="http://schemas.openxmlformats.org/officeDocument/2006/relationships/hyperlink" Target="https://ref.ly/Gen4:1" TargetMode="External"/><Relationship Id="rId4526" Type="http://schemas.openxmlformats.org/officeDocument/2006/relationships/hyperlink" Target="https://ref.ly/Gen5:29" TargetMode="External"/><Relationship Id="rId4527" Type="http://schemas.openxmlformats.org/officeDocument/2006/relationships/hyperlink" Target="https://ref.ly/1Sam1:20" TargetMode="External"/><Relationship Id="rId4528" Type="http://schemas.openxmlformats.org/officeDocument/2006/relationships/hyperlink" Target="https://ref.ly/1Sam4:21" TargetMode="External"/><Relationship Id="rId4529" Type="http://schemas.openxmlformats.org/officeDocument/2006/relationships/hyperlink" Target="https://ref.ly/Isa8:3" TargetMode="External"/><Relationship Id="rId4530" Type="http://schemas.openxmlformats.org/officeDocument/2006/relationships/hyperlink" Target="https://ref.ly/Hos1:4-Hos1:9" TargetMode="External"/><Relationship Id="rId4531" Type="http://schemas.openxmlformats.org/officeDocument/2006/relationships/hyperlink" Target="https://ref.ly/Deut5:21" TargetMode="External"/><Relationship Id="rId4532" Type="http://schemas.openxmlformats.org/officeDocument/2006/relationships/hyperlink" Target="https://ref.ly/Exod21:7" TargetMode="External"/><Relationship Id="rId4533" Type="http://schemas.openxmlformats.org/officeDocument/2006/relationships/hyperlink" Target="https://ref.ly/Neh5:5" TargetMode="External"/><Relationship Id="rId4534" Type="http://schemas.openxmlformats.org/officeDocument/2006/relationships/hyperlink" Target="https://ref.ly/Deut24:1-Deut24:4" TargetMode="External"/><Relationship Id="rId4535" Type="http://schemas.openxmlformats.org/officeDocument/2006/relationships/hyperlink" Target="https://ref.ly/Deut22:13-Deut22:21" TargetMode="External"/><Relationship Id="rId4536" Type="http://schemas.openxmlformats.org/officeDocument/2006/relationships/hyperlink" Target="https://ref.ly/Deut25:5-Deut25:10" TargetMode="External"/><Relationship Id="rId4537" Type="http://schemas.openxmlformats.org/officeDocument/2006/relationships/hyperlink" Target="https://ref.ly/Deut25:1-Deut25:19" TargetMode="External"/><Relationship Id="rId4538" Type="http://schemas.openxmlformats.org/officeDocument/2006/relationships/hyperlink" Target="https://ref.ly/Ruth2:20-Ruth4:10" TargetMode="External"/><Relationship Id="rId4539" Type="http://schemas.openxmlformats.org/officeDocument/2006/relationships/hyperlink" Target="https://ref.ly/Exod21:5" TargetMode="External"/><Relationship Id="rId4540" Type="http://schemas.openxmlformats.org/officeDocument/2006/relationships/hyperlink" Target="https://ref.ly/Lev18:8" TargetMode="External"/><Relationship Id="rId4541" Type="http://schemas.openxmlformats.org/officeDocument/2006/relationships/hyperlink" Target="https://ref.ly/Num5:12" TargetMode="External"/><Relationship Id="rId4542" Type="http://schemas.openxmlformats.org/officeDocument/2006/relationships/hyperlink" Target="https://ref.ly/Matt5:31-Matt5:32" TargetMode="External"/><Relationship Id="rId4543" Type="http://schemas.openxmlformats.org/officeDocument/2006/relationships/hyperlink" Target="https://ref.ly/Gen20:12" TargetMode="External"/><Relationship Id="rId4544" Type="http://schemas.openxmlformats.org/officeDocument/2006/relationships/hyperlink" Target="https://ref.ly/2Sam13:13" TargetMode="External"/><Relationship Id="rId4545" Type="http://schemas.openxmlformats.org/officeDocument/2006/relationships/hyperlink" Target="https://ref.ly/Lev20:17" TargetMode="External"/><Relationship Id="rId4546" Type="http://schemas.openxmlformats.org/officeDocument/2006/relationships/hyperlink" Target="https://ref.ly/Deut25:5" TargetMode="External"/><Relationship Id="rId4547" Type="http://schemas.openxmlformats.org/officeDocument/2006/relationships/hyperlink" Target="https://ref.ly/Lev18:16" TargetMode="External"/><Relationship Id="rId4548" Type="http://schemas.openxmlformats.org/officeDocument/2006/relationships/hyperlink" Target="https://ref.ly/Tob6:13" TargetMode="External"/><Relationship Id="rId4549" Type="http://schemas.openxmlformats.org/officeDocument/2006/relationships/hyperlink" Target="https://ref.ly/Tob7:11-Tob7:12" TargetMode="External"/><Relationship Id="rId4550" Type="http://schemas.openxmlformats.org/officeDocument/2006/relationships/hyperlink" Target="https://ref.ly/Exod6:20" TargetMode="External"/><Relationship Id="rId4551" Type="http://schemas.openxmlformats.org/officeDocument/2006/relationships/hyperlink" Target="https://ref.ly/Lev18:12-Lev18:13" TargetMode="External"/><Relationship Id="rId4552" Type="http://schemas.openxmlformats.org/officeDocument/2006/relationships/hyperlink" Target="https://ref.ly/Lev20:19" TargetMode="External"/><Relationship Id="rId4553" Type="http://schemas.openxmlformats.org/officeDocument/2006/relationships/hyperlink" Target="https://ref.ly/Gen29:30" TargetMode="External"/><Relationship Id="rId4554" Type="http://schemas.openxmlformats.org/officeDocument/2006/relationships/hyperlink" Target="https://ref.ly/1Kgs11:4" TargetMode="External"/><Relationship Id="rId4555" Type="http://schemas.openxmlformats.org/officeDocument/2006/relationships/hyperlink" Target="https://ref.ly/Exod34:15-Exod34:16" TargetMode="External"/><Relationship Id="rId4556" Type="http://schemas.openxmlformats.org/officeDocument/2006/relationships/hyperlink" Target="https://ref.ly/Deut7:3-Deut7:4" TargetMode="External"/><Relationship Id="rId4557" Type="http://schemas.openxmlformats.org/officeDocument/2006/relationships/hyperlink" Target="https://ref.ly/Deut21:10-Deut21:14" TargetMode="External"/><Relationship Id="rId4558" Type="http://schemas.openxmlformats.org/officeDocument/2006/relationships/hyperlink" Target="https://ref.ly/Judg14:8-Judg15:2" TargetMode="External"/><Relationship Id="rId4559" Type="http://schemas.openxmlformats.org/officeDocument/2006/relationships/hyperlink" Target="https://ref.ly/Ezra9:2" TargetMode="External"/><Relationship Id="rId4560" Type="http://schemas.openxmlformats.org/officeDocument/2006/relationships/hyperlink" Target="https://ref.ly/Ezra10:3" TargetMode="External"/><Relationship Id="rId4561" Type="http://schemas.openxmlformats.org/officeDocument/2006/relationships/hyperlink" Target="https://ref.ly/2Cor6:14-2Cor6:15" TargetMode="External"/><Relationship Id="rId4562" Type="http://schemas.openxmlformats.org/officeDocument/2006/relationships/hyperlink" Target="https://ref.ly/Gen29:26" TargetMode="External"/><Relationship Id="rId4563" Type="http://schemas.openxmlformats.org/officeDocument/2006/relationships/hyperlink" Target="https://ref.ly/Gen24:33-Gen24:53" TargetMode="External"/><Relationship Id="rId4564" Type="http://schemas.openxmlformats.org/officeDocument/2006/relationships/hyperlink" Target="https://ref.ly/Gen24:57-Gen24:58" TargetMode="External"/><Relationship Id="rId4565" Type="http://schemas.openxmlformats.org/officeDocument/2006/relationships/hyperlink" Target="https://ref.ly/Gen29:15-Gen29:30" TargetMode="External"/><Relationship Id="rId4566" Type="http://schemas.openxmlformats.org/officeDocument/2006/relationships/hyperlink" Target="https://ref.ly/1Sam18:25-1Sam18:27" TargetMode="External"/><Relationship Id="rId4567" Type="http://schemas.openxmlformats.org/officeDocument/2006/relationships/hyperlink" Target="https://ref.ly/Deut22:28-Deut22:29" TargetMode="External"/><Relationship Id="rId4568" Type="http://schemas.openxmlformats.org/officeDocument/2006/relationships/hyperlink" Target="https://ref.ly/1Kgs11:1" TargetMode="External"/><Relationship Id="rId4569" Type="http://schemas.openxmlformats.org/officeDocument/2006/relationships/hyperlink" Target="https://ref.ly/1Kgs16:31" TargetMode="External"/><Relationship Id="rId4570" Type="http://schemas.openxmlformats.org/officeDocument/2006/relationships/hyperlink" Target="https://ref.ly/Gen34:12" TargetMode="External"/><Relationship Id="rId4571" Type="http://schemas.openxmlformats.org/officeDocument/2006/relationships/hyperlink" Target="https://ref.ly/Exod22:16" TargetMode="External"/><Relationship Id="rId4572" Type="http://schemas.openxmlformats.org/officeDocument/2006/relationships/hyperlink" Target="https://ref.ly/Deut20:7" TargetMode="External"/><Relationship Id="rId4573" Type="http://schemas.openxmlformats.org/officeDocument/2006/relationships/hyperlink" Target="https://ref.ly/Deut22:23-Deut22:24" TargetMode="External"/><Relationship Id="rId4574" Type="http://schemas.openxmlformats.org/officeDocument/2006/relationships/hyperlink" Target="https://ref.ly/Deut28:30" TargetMode="External"/><Relationship Id="rId4575" Type="http://schemas.openxmlformats.org/officeDocument/2006/relationships/hyperlink" Target="https://ref.ly/2Sam3:14" TargetMode="External"/><Relationship Id="rId4576" Type="http://schemas.openxmlformats.org/officeDocument/2006/relationships/hyperlink" Target="https://ref.ly/Matt1:18" TargetMode="External"/><Relationship Id="rId4577" Type="http://schemas.openxmlformats.org/officeDocument/2006/relationships/hyperlink" Target="https://ref.ly/Luke1:27" TargetMode="External"/><Relationship Id="rId4578" Type="http://schemas.openxmlformats.org/officeDocument/2006/relationships/hyperlink" Target="https://ref.ly/Luke2:5" TargetMode="External"/><Relationship Id="rId4579" Type="http://schemas.openxmlformats.org/officeDocument/2006/relationships/hyperlink" Target="https://ref.ly/Gen19:14" TargetMode="External"/><Relationship Id="rId4580" Type="http://schemas.openxmlformats.org/officeDocument/2006/relationships/hyperlink" Target="https://ref.ly/Tob7:12" TargetMode="External"/><Relationship Id="rId4581" Type="http://schemas.openxmlformats.org/officeDocument/2006/relationships/hyperlink" Target="https://ref.ly/Gen29:27" TargetMode="External"/><Relationship Id="rId4582" Type="http://schemas.openxmlformats.org/officeDocument/2006/relationships/hyperlink" Target="https://ref.ly/Judg14:12" TargetMode="External"/><Relationship Id="rId4583" Type="http://schemas.openxmlformats.org/officeDocument/2006/relationships/hyperlink" Target="https://ref.ly/Judg14:20" TargetMode="External"/><Relationship Id="rId4584" Type="http://schemas.openxmlformats.org/officeDocument/2006/relationships/hyperlink" Target="https://ref.ly/Isa61:10" TargetMode="External"/><Relationship Id="rId4585" Type="http://schemas.openxmlformats.org/officeDocument/2006/relationships/hyperlink" Target="https://ref.ly/Ezek16:9-Ezek16:13" TargetMode="External"/><Relationship Id="rId4586" Type="http://schemas.openxmlformats.org/officeDocument/2006/relationships/hyperlink" Target="https://ref.ly/Ps45:14-Ps45:15" TargetMode="External"/><Relationship Id="rId4587" Type="http://schemas.openxmlformats.org/officeDocument/2006/relationships/hyperlink" Target="https://ref.ly/Song3:11" TargetMode="External"/><Relationship Id="rId4588" Type="http://schemas.openxmlformats.org/officeDocument/2006/relationships/hyperlink" Target="https://ref.ly/Gen24:65" TargetMode="External"/><Relationship Id="rId4589" Type="http://schemas.openxmlformats.org/officeDocument/2006/relationships/hyperlink" Target="https://ref.ly/Song4:3" TargetMode="External"/><Relationship Id="rId4590" Type="http://schemas.openxmlformats.org/officeDocument/2006/relationships/hyperlink" Target="https://ref.ly/Gen29:23-Gen29:25" TargetMode="External"/><Relationship Id="rId4591" Type="http://schemas.openxmlformats.org/officeDocument/2006/relationships/hyperlink" Target="https://ref.ly/Ruth3:9" TargetMode="External"/><Relationship Id="rId4592" Type="http://schemas.openxmlformats.org/officeDocument/2006/relationships/hyperlink" Target="https://ref.ly/Gen29:23" TargetMode="External"/><Relationship Id="rId4593" Type="http://schemas.openxmlformats.org/officeDocument/2006/relationships/hyperlink" Target="https://ref.ly/Tob8:1" TargetMode="External"/><Relationship Id="rId4594" Type="http://schemas.openxmlformats.org/officeDocument/2006/relationships/hyperlink" Target="https://ref.ly/Isa62:4-Isa62:5" TargetMode="External"/><Relationship Id="rId4595" Type="http://schemas.openxmlformats.org/officeDocument/2006/relationships/hyperlink" Target="https://ref.ly/Jer2:2" TargetMode="External"/><Relationship Id="rId4596" Type="http://schemas.openxmlformats.org/officeDocument/2006/relationships/hyperlink" Target="https://ref.ly/Jer7:34" TargetMode="External"/><Relationship Id="rId4597" Type="http://schemas.openxmlformats.org/officeDocument/2006/relationships/hyperlink" Target="https://ref.ly/Jer16:9" TargetMode="External"/><Relationship Id="rId4598" Type="http://schemas.openxmlformats.org/officeDocument/2006/relationships/hyperlink" Target="https://ref.ly/Jer25:10" TargetMode="External"/><Relationship Id="rId4599" Type="http://schemas.openxmlformats.org/officeDocument/2006/relationships/hyperlink" Target="https://ref.ly/Hos2:2" TargetMode="External"/><Relationship Id="rId4600" Type="http://schemas.openxmlformats.org/officeDocument/2006/relationships/hyperlink" Target="https://ref.ly/John3:29" TargetMode="External"/><Relationship Id="rId4601" Type="http://schemas.openxmlformats.org/officeDocument/2006/relationships/hyperlink" Target="https://ref.ly/Matt25:1-Matt25:12" TargetMode="External"/><Relationship Id="rId4602" Type="http://schemas.openxmlformats.org/officeDocument/2006/relationships/hyperlink" Target="https://ref.ly/Mark10:2-Mark10:9" TargetMode="External"/><Relationship Id="rId4603" Type="http://schemas.openxmlformats.org/officeDocument/2006/relationships/hyperlink" Target="https://ref.ly/Mark10:11" TargetMode="External"/><Relationship Id="rId4604" Type="http://schemas.openxmlformats.org/officeDocument/2006/relationships/hyperlink" Target="https://ref.ly/Matt19:10" TargetMode="External"/><Relationship Id="rId4605" Type="http://schemas.openxmlformats.org/officeDocument/2006/relationships/hyperlink" Target="https://ref.ly/Matt5:20" TargetMode="External"/><Relationship Id="rId4606" Type="http://schemas.openxmlformats.org/officeDocument/2006/relationships/hyperlink" Target="https://ref.ly/Matt19:12" TargetMode="External"/><Relationship Id="rId4607" Type="http://schemas.openxmlformats.org/officeDocument/2006/relationships/hyperlink" Target="https://ref.ly/1Cor7:11" TargetMode="External"/><Relationship Id="rId4608" Type="http://schemas.openxmlformats.org/officeDocument/2006/relationships/hyperlink" Target="https://ref.ly/1Sam25:1" TargetMode="External"/><Relationship Id="rId4609" Type="http://schemas.openxmlformats.org/officeDocument/2006/relationships/hyperlink" Target="https://ref.ly/1Kgs2:34" TargetMode="External"/><Relationship Id="rId4610" Type="http://schemas.openxmlformats.org/officeDocument/2006/relationships/hyperlink" Target="https://ref.ly/Matt7:25" TargetMode="External"/><Relationship Id="rId4611" Type="http://schemas.openxmlformats.org/officeDocument/2006/relationships/hyperlink" Target="https://ref.ly/Mark2:4" TargetMode="External"/><Relationship Id="rId4612" Type="http://schemas.openxmlformats.org/officeDocument/2006/relationships/hyperlink" Target="https://ref.ly/Matt10:27" TargetMode="External"/><Relationship Id="rId4613" Type="http://schemas.openxmlformats.org/officeDocument/2006/relationships/hyperlink" Target="https://ref.ly/Luke12:3" TargetMode="External"/><Relationship Id="rId4614" Type="http://schemas.openxmlformats.org/officeDocument/2006/relationships/hyperlink" Target="https://ref.ly/Luke15:8" TargetMode="External"/><Relationship Id="rId4615" Type="http://schemas.openxmlformats.org/officeDocument/2006/relationships/hyperlink" Target="https://ref.ly/Mark8:3" TargetMode="External"/><Relationship Id="rId4616" Type="http://schemas.openxmlformats.org/officeDocument/2006/relationships/hyperlink" Target="https://ref.ly/Luke10:5" TargetMode="External"/><Relationship Id="rId4617" Type="http://schemas.openxmlformats.org/officeDocument/2006/relationships/hyperlink" Target="https://ref.ly/Luke16:4" TargetMode="External"/><Relationship Id="rId4618" Type="http://schemas.openxmlformats.org/officeDocument/2006/relationships/hyperlink" Target="https://ref.ly/Luke19:9" TargetMode="External"/><Relationship Id="rId4619" Type="http://schemas.openxmlformats.org/officeDocument/2006/relationships/hyperlink" Target="https://ref.ly/John11:20" TargetMode="External"/><Relationship Id="rId4620" Type="http://schemas.openxmlformats.org/officeDocument/2006/relationships/hyperlink" Target="https://ref.ly/Acts4:34" TargetMode="External"/><Relationship Id="rId4621" Type="http://schemas.openxmlformats.org/officeDocument/2006/relationships/hyperlink" Target="https://ref.ly/Acts9:11" TargetMode="External"/><Relationship Id="rId4622" Type="http://schemas.openxmlformats.org/officeDocument/2006/relationships/hyperlink" Target="https://ref.ly/Acts10:32" TargetMode="External"/><Relationship Id="rId4623" Type="http://schemas.openxmlformats.org/officeDocument/2006/relationships/hyperlink" Target="https://ref.ly/Mark14:12-Mark14:15" TargetMode="External"/><Relationship Id="rId4624" Type="http://schemas.openxmlformats.org/officeDocument/2006/relationships/hyperlink" Target="https://ref.ly/Acts10:7" TargetMode="External"/><Relationship Id="rId4625" Type="http://schemas.openxmlformats.org/officeDocument/2006/relationships/hyperlink" Target="https://ref.ly/Mark14:14" TargetMode="External"/><Relationship Id="rId4626" Type="http://schemas.openxmlformats.org/officeDocument/2006/relationships/hyperlink" Target="https://ref.ly/Exod30:24" TargetMode="External"/><Relationship Id="rId4627" Type="http://schemas.openxmlformats.org/officeDocument/2006/relationships/hyperlink" Target="https://ref.ly/Ps45:8" TargetMode="External"/><Relationship Id="rId4628" Type="http://schemas.openxmlformats.org/officeDocument/2006/relationships/hyperlink" Target="https://ref.ly/Ezek31:8" TargetMode="External"/><Relationship Id="rId4629" Type="http://schemas.openxmlformats.org/officeDocument/2006/relationships/hyperlink" Target="https://ref.ly/Deut21:18" TargetMode="External"/><Relationship Id="rId4630" Type="http://schemas.openxmlformats.org/officeDocument/2006/relationships/hyperlink" Target="https://ref.ly/Job5:17" TargetMode="External"/><Relationship Id="rId4631" Type="http://schemas.openxmlformats.org/officeDocument/2006/relationships/hyperlink" Target="https://ref.ly/2Tim2:25" TargetMode="External"/><Relationship Id="rId4632" Type="http://schemas.openxmlformats.org/officeDocument/2006/relationships/hyperlink" Target="https://ref.ly/Acts27:16" TargetMode="External"/><Relationship Id="rId4633" Type="http://schemas.openxmlformats.org/officeDocument/2006/relationships/hyperlink" Target="https://ref.ly/John9:1-John9:3" TargetMode="External"/><Relationship Id="rId4634" Type="http://schemas.openxmlformats.org/officeDocument/2006/relationships/hyperlink" Target="https://ref.ly/Judg16:21" TargetMode="External"/><Relationship Id="rId4635" Type="http://schemas.openxmlformats.org/officeDocument/2006/relationships/hyperlink" Target="https://ref.ly/Gen27:1" TargetMode="External"/><Relationship Id="rId4636" Type="http://schemas.openxmlformats.org/officeDocument/2006/relationships/hyperlink" Target="https://ref.ly/1Sam4:15" TargetMode="External"/><Relationship Id="rId4637" Type="http://schemas.openxmlformats.org/officeDocument/2006/relationships/hyperlink" Target="https://ref.ly/1Kgs14:4" TargetMode="External"/><Relationship Id="rId4638" Type="http://schemas.openxmlformats.org/officeDocument/2006/relationships/hyperlink" Target="https://ref.ly/Lev19:14" TargetMode="External"/><Relationship Id="rId4639" Type="http://schemas.openxmlformats.org/officeDocument/2006/relationships/hyperlink" Target="https://ref.ly/Deut27:18" TargetMode="External"/><Relationship Id="rId4640" Type="http://schemas.openxmlformats.org/officeDocument/2006/relationships/hyperlink" Target="https://ref.ly/Lev21:18" TargetMode="External"/><Relationship Id="rId4641" Type="http://schemas.openxmlformats.org/officeDocument/2006/relationships/hyperlink" Target="https://ref.ly/Matt11:5" TargetMode="External"/><Relationship Id="rId4642" Type="http://schemas.openxmlformats.org/officeDocument/2006/relationships/hyperlink" Target="https://ref.ly/Matt9:27-Matt9:30" TargetMode="External"/><Relationship Id="rId4643" Type="http://schemas.openxmlformats.org/officeDocument/2006/relationships/hyperlink" Target="https://ref.ly/John9:1-John9:41" TargetMode="External"/><Relationship Id="rId4644" Type="http://schemas.openxmlformats.org/officeDocument/2006/relationships/hyperlink" Target="https://ref.ly/Matt20:30-Matt20:34" TargetMode="External"/><Relationship Id="rId4645" Type="http://schemas.openxmlformats.org/officeDocument/2006/relationships/hyperlink" Target="https://ref.ly/Luke18:35-Luke18:43" TargetMode="External"/><Relationship Id="rId4646" Type="http://schemas.openxmlformats.org/officeDocument/2006/relationships/hyperlink" Target="https://ref.ly/Mark10:52" TargetMode="External"/><Relationship Id="rId4647" Type="http://schemas.openxmlformats.org/officeDocument/2006/relationships/hyperlink" Target="https://ref.ly/John9:6-John9:11" TargetMode="External"/><Relationship Id="rId4648" Type="http://schemas.openxmlformats.org/officeDocument/2006/relationships/hyperlink" Target="https://ref.ly/Mark8:23" TargetMode="External"/><Relationship Id="rId4649" Type="http://schemas.openxmlformats.org/officeDocument/2006/relationships/hyperlink" Target="https://ref.ly/Acts9:1-Acts9:9" TargetMode="External"/><Relationship Id="rId4650" Type="http://schemas.openxmlformats.org/officeDocument/2006/relationships/hyperlink" Target="https://ref.ly/Acts13:11" TargetMode="External"/><Relationship Id="rId4651" Type="http://schemas.openxmlformats.org/officeDocument/2006/relationships/hyperlink" Target="https://ref.ly/1Cor11:20" TargetMode="External"/><Relationship Id="rId4652" Type="http://schemas.openxmlformats.org/officeDocument/2006/relationships/hyperlink" Target="https://ref.ly/Acts2:42" TargetMode="External"/><Relationship Id="rId4653" Type="http://schemas.openxmlformats.org/officeDocument/2006/relationships/hyperlink" Target="https://ref.ly/Acts20:7" TargetMode="External"/><Relationship Id="rId4654" Type="http://schemas.openxmlformats.org/officeDocument/2006/relationships/hyperlink" Target="https://ref.ly/Mark14:23" TargetMode="External"/><Relationship Id="rId4655" Type="http://schemas.openxmlformats.org/officeDocument/2006/relationships/hyperlink" Target="https://ref.ly/1Cor11:24-1Cor11:25" TargetMode="External"/><Relationship Id="rId4656" Type="http://schemas.openxmlformats.org/officeDocument/2006/relationships/hyperlink" Target="https://ref.ly/Matt26:26-Matt26:30" TargetMode="External"/><Relationship Id="rId4657" Type="http://schemas.openxmlformats.org/officeDocument/2006/relationships/hyperlink" Target="https://ref.ly/Mark14:22-Mark14:26" TargetMode="External"/><Relationship Id="rId4658" Type="http://schemas.openxmlformats.org/officeDocument/2006/relationships/hyperlink" Target="https://ref.ly/John13:1-John13:38" TargetMode="External"/><Relationship Id="rId4659" Type="http://schemas.openxmlformats.org/officeDocument/2006/relationships/hyperlink" Target="https://ref.ly/John6:1-John6:71" TargetMode="External"/><Relationship Id="rId4660" Type="http://schemas.openxmlformats.org/officeDocument/2006/relationships/hyperlink" Target="https://ref.ly/1Cor11:23-1Cor11:26" TargetMode="External"/><Relationship Id="rId4661" Type="http://schemas.openxmlformats.org/officeDocument/2006/relationships/hyperlink" Target="https://ref.ly/Luke22:17-Luke22:18" TargetMode="External"/><Relationship Id="rId4662" Type="http://schemas.openxmlformats.org/officeDocument/2006/relationships/hyperlink" Target="https://ref.ly/Matt26:17-Matt26:20" TargetMode="External"/><Relationship Id="rId4663" Type="http://schemas.openxmlformats.org/officeDocument/2006/relationships/hyperlink" Target="https://ref.ly/Mark14:12-Mark14:17" TargetMode="External"/><Relationship Id="rId4664" Type="http://schemas.openxmlformats.org/officeDocument/2006/relationships/hyperlink" Target="https://ref.ly/Luke22:7-Luke22:14" TargetMode="External"/><Relationship Id="rId4665" Type="http://schemas.openxmlformats.org/officeDocument/2006/relationships/hyperlink" Target="https://ref.ly/John13:1" TargetMode="External"/><Relationship Id="rId4666" Type="http://schemas.openxmlformats.org/officeDocument/2006/relationships/hyperlink" Target="https://ref.ly/John18:28" TargetMode="External"/><Relationship Id="rId4667" Type="http://schemas.openxmlformats.org/officeDocument/2006/relationships/hyperlink" Target="https://ref.ly/Luke22:15" TargetMode="External"/><Relationship Id="rId4668" Type="http://schemas.openxmlformats.org/officeDocument/2006/relationships/hyperlink" Target="https://ref.ly/1Cor5:7" TargetMode="External"/><Relationship Id="rId4669" Type="http://schemas.openxmlformats.org/officeDocument/2006/relationships/hyperlink" Target="https://ref.ly/Matt26:26" TargetMode="External"/><Relationship Id="rId4670" Type="http://schemas.openxmlformats.org/officeDocument/2006/relationships/hyperlink" Target="https://ref.ly/Mark14:22" TargetMode="External"/><Relationship Id="rId4671" Type="http://schemas.openxmlformats.org/officeDocument/2006/relationships/hyperlink" Target="https://ref.ly/Luke22:19" TargetMode="External"/><Relationship Id="rId4672" Type="http://schemas.openxmlformats.org/officeDocument/2006/relationships/hyperlink" Target="https://ref.ly/1Cor11:23-1Cor11:24" TargetMode="External"/><Relationship Id="rId4673" Type="http://schemas.openxmlformats.org/officeDocument/2006/relationships/hyperlink" Target="https://ref.ly/Mark6:41" TargetMode="External"/><Relationship Id="rId4674" Type="http://schemas.openxmlformats.org/officeDocument/2006/relationships/hyperlink" Target="https://ref.ly/Mark8:6" TargetMode="External"/><Relationship Id="rId4675" Type="http://schemas.openxmlformats.org/officeDocument/2006/relationships/hyperlink" Target="https://ref.ly/1Cor11:24" TargetMode="External"/><Relationship Id="rId4676" Type="http://schemas.openxmlformats.org/officeDocument/2006/relationships/hyperlink" Target="https://ref.ly/Ps98:3" TargetMode="External"/><Relationship Id="rId4677" Type="http://schemas.openxmlformats.org/officeDocument/2006/relationships/hyperlink" Target="https://ref.ly/Ps106:45" TargetMode="External"/><Relationship Id="rId4678" Type="http://schemas.openxmlformats.org/officeDocument/2006/relationships/hyperlink" Target="https://ref.ly/Ps112:6" TargetMode="External"/><Relationship Id="rId4679" Type="http://schemas.openxmlformats.org/officeDocument/2006/relationships/hyperlink" Target="https://ref.ly/Eccl12:1" TargetMode="External"/><Relationship Id="rId4680" Type="http://schemas.openxmlformats.org/officeDocument/2006/relationships/hyperlink" Target="https://ref.ly/Isa57:11" TargetMode="External"/><Relationship Id="rId4681" Type="http://schemas.openxmlformats.org/officeDocument/2006/relationships/hyperlink" Target="https://ref.ly/Heb8:1-Heb9:28" TargetMode="External"/><Relationship Id="rId4682" Type="http://schemas.openxmlformats.org/officeDocument/2006/relationships/hyperlink" Target="https://ref.ly/Isa53:10" TargetMode="External"/><Relationship Id="rId4683" Type="http://schemas.openxmlformats.org/officeDocument/2006/relationships/hyperlink" Target="https://ref.ly/Luke22:37" TargetMode="External"/><Relationship Id="rId4684" Type="http://schemas.openxmlformats.org/officeDocument/2006/relationships/hyperlink" Target="https://ref.ly/Isa53:12" TargetMode="External"/><Relationship Id="rId4685" Type="http://schemas.openxmlformats.org/officeDocument/2006/relationships/hyperlink" Target="https://ref.ly/Mark14:25" TargetMode="External"/><Relationship Id="rId4686" Type="http://schemas.openxmlformats.org/officeDocument/2006/relationships/hyperlink" Target="https://ref.ly/Matt26:29" TargetMode="External"/><Relationship Id="rId4687" Type="http://schemas.openxmlformats.org/officeDocument/2006/relationships/hyperlink" Target="https://ref.ly/Luke22:18" TargetMode="External"/><Relationship Id="rId4688" Type="http://schemas.openxmlformats.org/officeDocument/2006/relationships/hyperlink" Target="https://ref.ly/1Cor11:26" TargetMode="External"/><Relationship Id="rId4689" Type="http://schemas.openxmlformats.org/officeDocument/2006/relationships/hyperlink" Target="https://ref.ly/Acts2:46" TargetMode="External"/><Relationship Id="rId4690" Type="http://schemas.openxmlformats.org/officeDocument/2006/relationships/hyperlink" Target="https://ref.ly/1Cor10:1-1Cor10:33" TargetMode="External"/><Relationship Id="rId4691" Type="http://schemas.openxmlformats.org/officeDocument/2006/relationships/hyperlink" Target="https://ref.ly/Jude1:12" TargetMode="External"/><Relationship Id="rId4692" Type="http://schemas.openxmlformats.org/officeDocument/2006/relationships/hyperlink" Target="https://ref.ly/1Cor10:1-1Cor11:34" TargetMode="External"/><Relationship Id="rId4693" Type="http://schemas.openxmlformats.org/officeDocument/2006/relationships/hyperlink" Target="https://ref.ly/Luke24:30-Luke24:35" TargetMode="External"/><Relationship Id="rId4694" Type="http://schemas.openxmlformats.org/officeDocument/2006/relationships/hyperlink" Target="https://ref.ly/1Cor10:3-1Cor10:4" TargetMode="External"/><Relationship Id="rId4695" Type="http://schemas.openxmlformats.org/officeDocument/2006/relationships/hyperlink" Target="https://ref.ly/John6:35" TargetMode="External"/><Relationship Id="rId4696" Type="http://schemas.openxmlformats.org/officeDocument/2006/relationships/hyperlink" Target="https://ref.ly/Num3:15,Num3:39" TargetMode="External"/><Relationship Id="rId4697" Type="http://schemas.openxmlformats.org/officeDocument/2006/relationships/hyperlink" Target="https://ref.ly/Num4:46-Num4:48" TargetMode="External"/><Relationship Id="rId4698" Type="http://schemas.openxmlformats.org/officeDocument/2006/relationships/hyperlink" Target="https://ref.ly/Num26:1-Num26:65" TargetMode="External"/><Relationship Id="rId4699" Type="http://schemas.openxmlformats.org/officeDocument/2006/relationships/hyperlink" Target="https://ref.ly/Num26:51" TargetMode="External"/><Relationship Id="rId4700" Type="http://schemas.openxmlformats.org/officeDocument/2006/relationships/hyperlink" Target="https://ref.ly/Num26:62" TargetMode="External"/><Relationship Id="rId4701" Type="http://schemas.openxmlformats.org/officeDocument/2006/relationships/hyperlink" Target="https://ref.ly/2Sam24:1-2Sam24:17" TargetMode="External"/><Relationship Id="rId4702" Type="http://schemas.openxmlformats.org/officeDocument/2006/relationships/hyperlink" Target="https://ref.ly/1Chr21:1" TargetMode="External"/><Relationship Id="rId4703" Type="http://schemas.openxmlformats.org/officeDocument/2006/relationships/hyperlink" Target="https://ref.ly/1Chr21:6" TargetMode="External"/><Relationship Id="rId4704" Type="http://schemas.openxmlformats.org/officeDocument/2006/relationships/hyperlink" Target="https://ref.ly/1Chr27:23-1Chr27:24" TargetMode="External"/><Relationship Id="rId4705" Type="http://schemas.openxmlformats.org/officeDocument/2006/relationships/hyperlink" Target="https://ref.ly/2Sam24:9" TargetMode="External"/><Relationship Id="rId4706" Type="http://schemas.openxmlformats.org/officeDocument/2006/relationships/hyperlink" Target="https://ref.ly/1Chr21:5" TargetMode="External"/><Relationship Id="rId4707" Type="http://schemas.openxmlformats.org/officeDocument/2006/relationships/hyperlink" Target="https://ref.ly/1Chr23:3" TargetMode="External"/><Relationship Id="rId4708" Type="http://schemas.openxmlformats.org/officeDocument/2006/relationships/hyperlink" Target="https://ref.ly/Ezra2:1-Ezra2:70" TargetMode="External"/><Relationship Id="rId4709" Type="http://schemas.openxmlformats.org/officeDocument/2006/relationships/hyperlink" Target="https://ref.ly/Luke2:1-Luke2:3" TargetMode="External"/><Relationship Id="rId4710" Type="http://schemas.openxmlformats.org/officeDocument/2006/relationships/hyperlink" Target="https://ref.ly/Matt2:1-Matt2:23" TargetMode="External"/><Relationship Id="rId4711" Type="http://schemas.openxmlformats.org/officeDocument/2006/relationships/hyperlink" Target="https://ref.ly/Luke2:2" TargetMode="External"/><Relationship Id="rId4712" Type="http://schemas.openxmlformats.org/officeDocument/2006/relationships/hyperlink" Target="https://ref.ly/Acts5:37" TargetMode="External"/><Relationship Id="rId4713" Type="http://schemas.openxmlformats.org/officeDocument/2006/relationships/hyperlink" Target="https://ref.ly/Acts22:26" TargetMode="External"/><Relationship Id="rId4714" Type="http://schemas.openxmlformats.org/officeDocument/2006/relationships/hyperlink" Target="https://ref.ly/Matt27:54" TargetMode="External"/><Relationship Id="rId4715" Type="http://schemas.openxmlformats.org/officeDocument/2006/relationships/hyperlink" Target="https://ref.ly/Mark15:39,Mark15:44-Mark15:45" TargetMode="External"/><Relationship Id="rId4716" Type="http://schemas.openxmlformats.org/officeDocument/2006/relationships/hyperlink" Target="https://ref.ly/Luke23:47" TargetMode="External"/><Relationship Id="rId4717" Type="http://schemas.openxmlformats.org/officeDocument/2006/relationships/hyperlink" Target="https://ref.ly/Matt8:5-Matt8:13" TargetMode="External"/><Relationship Id="rId4718" Type="http://schemas.openxmlformats.org/officeDocument/2006/relationships/hyperlink" Target="https://ref.ly/Luke7:2-Luke7:10" TargetMode="External"/><Relationship Id="rId4719" Type="http://schemas.openxmlformats.org/officeDocument/2006/relationships/hyperlink" Target="https://ref.ly/Mark15:39" TargetMode="External"/><Relationship Id="rId4720" Type="http://schemas.openxmlformats.org/officeDocument/2006/relationships/hyperlink" Target="https://ref.ly/Acts22:25-Acts22:26" TargetMode="External"/><Relationship Id="rId4721" Type="http://schemas.openxmlformats.org/officeDocument/2006/relationships/hyperlink" Target="https://ref.ly/Acts23:17-Acts23:22" TargetMode="External"/><Relationship Id="rId4722" Type="http://schemas.openxmlformats.org/officeDocument/2006/relationships/hyperlink" Target="https://ref.ly/Acts27:42-Acts27:43" TargetMode="External"/><Relationship Id="rId4723" Type="http://schemas.openxmlformats.org/officeDocument/2006/relationships/hyperlink" Target="https://ref.ly/Acts24:1-Acts24:27" TargetMode="External"/><Relationship Id="rId4724" Type="http://schemas.openxmlformats.org/officeDocument/2006/relationships/hyperlink" Target="https://ref.ly/Acts25:1,Acts25:4-Acts25:6,Acts25:13" TargetMode="External"/><Relationship Id="rId4725" Type="http://schemas.openxmlformats.org/officeDocument/2006/relationships/hyperlink" Target="https://ref.ly/John19:1-John19:42" TargetMode="External"/><Relationship Id="rId4726" Type="http://schemas.openxmlformats.org/officeDocument/2006/relationships/hyperlink" Target="https://ref.ly/Acts10:1,Acts10:24" TargetMode="External"/><Relationship Id="rId4727" Type="http://schemas.openxmlformats.org/officeDocument/2006/relationships/hyperlink" Target="https://ref.ly/Acts21:8" TargetMode="External"/><Relationship Id="rId4728" Type="http://schemas.openxmlformats.org/officeDocument/2006/relationships/hyperlink" Target="https://ref.ly/Acts24:27-Acts25:1" TargetMode="External"/><Relationship Id="rId4729" Type="http://schemas.openxmlformats.org/officeDocument/2006/relationships/hyperlink" Target="https://ref.ly/Acts27:1-Acts27:44" TargetMode="External"/><Relationship Id="rId4730" Type="http://schemas.openxmlformats.org/officeDocument/2006/relationships/hyperlink" Target="https://ref.ly/Rom13:3" TargetMode="External"/><Relationship Id="rId4731" Type="http://schemas.openxmlformats.org/officeDocument/2006/relationships/hyperlink" Target="https://ref.ly/Matt16:13-Matt16:16" TargetMode="External"/><Relationship Id="rId4732" Type="http://schemas.openxmlformats.org/officeDocument/2006/relationships/hyperlink" Target="https://ref.ly/Mark8:27-Mark8:29" TargetMode="External"/><Relationship Id="rId4733" Type="http://schemas.openxmlformats.org/officeDocument/2006/relationships/hyperlink" Target="https://ref.ly/Gen49:10" TargetMode="External"/><Relationship Id="rId4734" Type="http://schemas.openxmlformats.org/officeDocument/2006/relationships/hyperlink" Target="https://ref.ly/Ps45:6" TargetMode="External"/><Relationship Id="rId4735" Type="http://schemas.openxmlformats.org/officeDocument/2006/relationships/hyperlink" Target="https://ref.ly/Heb1:8" TargetMode="External"/><Relationship Id="rId4736" Type="http://schemas.openxmlformats.org/officeDocument/2006/relationships/hyperlink" Target="https://ref.ly/Amos1:5,Amos1:8" TargetMode="External"/><Relationship Id="rId4737" Type="http://schemas.openxmlformats.org/officeDocument/2006/relationships/hyperlink" Target="https://ref.ly/Zech10:11" TargetMode="External"/><Relationship Id="rId4738" Type="http://schemas.openxmlformats.org/officeDocument/2006/relationships/hyperlink" Target="https://ref.ly/Esth4:11" TargetMode="External"/><Relationship Id="rId4739" Type="http://schemas.openxmlformats.org/officeDocument/2006/relationships/hyperlink" Target="https://ref.ly/Esth5:2" TargetMode="External"/><Relationship Id="rId4740" Type="http://schemas.openxmlformats.org/officeDocument/2006/relationships/hyperlink" Target="https://ref.ly/Esth8:4" TargetMode="External"/><Relationship Id="rId4741" Type="http://schemas.openxmlformats.org/officeDocument/2006/relationships/hyperlink" Target="https://ref.ly/Isa14:5" TargetMode="External"/><Relationship Id="rId4742" Type="http://schemas.openxmlformats.org/officeDocument/2006/relationships/hyperlink" Target="https://ref.ly/Ezek19:11,Ezek19:14" TargetMode="External"/><Relationship Id="rId4743" Type="http://schemas.openxmlformats.org/officeDocument/2006/relationships/hyperlink" Target="https://ref.ly/2Sam22:8" TargetMode="External"/><Relationship Id="rId4744" Type="http://schemas.openxmlformats.org/officeDocument/2006/relationships/hyperlink" Target="https://ref.ly/Ps78:23" TargetMode="External"/><Relationship Id="rId4745" Type="http://schemas.openxmlformats.org/officeDocument/2006/relationships/hyperlink" Target="https://ref.ly/Ps8:1-Ps8:9" TargetMode="External"/><Relationship Id="rId4746" Type="http://schemas.openxmlformats.org/officeDocument/2006/relationships/hyperlink" Target="https://ref.ly/Ps147:8" TargetMode="External"/><Relationship Id="rId4747" Type="http://schemas.openxmlformats.org/officeDocument/2006/relationships/hyperlink" Target="https://ref.ly/Zech2:6" TargetMode="External"/><Relationship Id="rId4748" Type="http://schemas.openxmlformats.org/officeDocument/2006/relationships/hyperlink" Target="https://ref.ly/Deut11:11" TargetMode="External"/><Relationship Id="rId4749" Type="http://schemas.openxmlformats.org/officeDocument/2006/relationships/hyperlink" Target="https://ref.ly/1Sam2:10" TargetMode="External"/><Relationship Id="rId4750" Type="http://schemas.openxmlformats.org/officeDocument/2006/relationships/hyperlink" Target="https://ref.ly/Deut33:13" TargetMode="External"/><Relationship Id="rId4751" Type="http://schemas.openxmlformats.org/officeDocument/2006/relationships/hyperlink" Target="https://ref.ly/Job38:29" TargetMode="External"/><Relationship Id="rId4752" Type="http://schemas.openxmlformats.org/officeDocument/2006/relationships/hyperlink" Target="https://ref.ly/Gen1:26,Gen1:30" TargetMode="External"/><Relationship Id="rId4753" Type="http://schemas.openxmlformats.org/officeDocument/2006/relationships/hyperlink" Target="https://ref.ly/Josh10:11" TargetMode="External"/><Relationship Id="rId4754" Type="http://schemas.openxmlformats.org/officeDocument/2006/relationships/hyperlink" Target="https://ref.ly/Gen19:24" TargetMode="External"/><Relationship Id="rId4755" Type="http://schemas.openxmlformats.org/officeDocument/2006/relationships/hyperlink" Target="https://ref.ly/Matt16:2" TargetMode="External"/><Relationship Id="rId4756" Type="http://schemas.openxmlformats.org/officeDocument/2006/relationships/hyperlink" Target="https://ref.ly/Gen1:14" TargetMode="External"/><Relationship Id="rId4757" Type="http://schemas.openxmlformats.org/officeDocument/2006/relationships/hyperlink" Target="https://ref.ly/Exod20:4" TargetMode="External"/><Relationship Id="rId4758" Type="http://schemas.openxmlformats.org/officeDocument/2006/relationships/hyperlink" Target="https://ref.ly/Jer44:17-Jer44:25" TargetMode="External"/><Relationship Id="rId4759" Type="http://schemas.openxmlformats.org/officeDocument/2006/relationships/hyperlink" Target="https://ref.ly/Isa47:13" TargetMode="External"/><Relationship Id="rId4760" Type="http://schemas.openxmlformats.org/officeDocument/2006/relationships/hyperlink" Target="https://ref.ly/Deut10:14" TargetMode="External"/><Relationship Id="rId4761" Type="http://schemas.openxmlformats.org/officeDocument/2006/relationships/hyperlink" Target="https://ref.ly/1Kgs8:27" TargetMode="External"/><Relationship Id="rId4762" Type="http://schemas.openxmlformats.org/officeDocument/2006/relationships/hyperlink" Target="https://ref.ly/Ps68:33" TargetMode="External"/><Relationship Id="rId4763" Type="http://schemas.openxmlformats.org/officeDocument/2006/relationships/hyperlink" Target="https://ref.ly/Ps148:4" TargetMode="External"/><Relationship Id="rId4764" Type="http://schemas.openxmlformats.org/officeDocument/2006/relationships/hyperlink" Target="https://ref.ly/2Cor12:2" TargetMode="External"/><Relationship Id="rId4765" Type="http://schemas.openxmlformats.org/officeDocument/2006/relationships/hyperlink" Target="https://ref.ly/Matt6:9" TargetMode="External"/><Relationship Id="rId4766" Type="http://schemas.openxmlformats.org/officeDocument/2006/relationships/hyperlink" Target="https://ref.ly/John3:13" TargetMode="External"/><Relationship Id="rId4767" Type="http://schemas.openxmlformats.org/officeDocument/2006/relationships/hyperlink" Target="https://ref.ly/John6:33-John6:51" TargetMode="External"/><Relationship Id="rId4768" Type="http://schemas.openxmlformats.org/officeDocument/2006/relationships/hyperlink" Target="https://ref.ly/Matt3:16-Matt3:17" TargetMode="External"/><Relationship Id="rId4769" Type="http://schemas.openxmlformats.org/officeDocument/2006/relationships/hyperlink" Target="https://ref.ly/Matt17:5" TargetMode="External"/><Relationship Id="rId4770" Type="http://schemas.openxmlformats.org/officeDocument/2006/relationships/hyperlink" Target="https://ref.ly/John12:28" TargetMode="External"/><Relationship Id="rId4771" Type="http://schemas.openxmlformats.org/officeDocument/2006/relationships/hyperlink" Target="https://ref.ly/Heb8:1-Heb8:5" TargetMode="External"/><Relationship Id="rId4772" Type="http://schemas.openxmlformats.org/officeDocument/2006/relationships/hyperlink" Target="https://ref.ly/Matt23:22" TargetMode="External"/><Relationship Id="rId4773" Type="http://schemas.openxmlformats.org/officeDocument/2006/relationships/hyperlink" Target="https://ref.ly/Luke15:18" TargetMode="External"/><Relationship Id="rId4774" Type="http://schemas.openxmlformats.org/officeDocument/2006/relationships/hyperlink" Target="https://ref.ly/Acts1:6-Acts1:11" TargetMode="External"/><Relationship Id="rId4775" Type="http://schemas.openxmlformats.org/officeDocument/2006/relationships/hyperlink" Target="https://ref.ly/1Cor15:1-1Cor15:11" TargetMode="External"/><Relationship Id="rId4776" Type="http://schemas.openxmlformats.org/officeDocument/2006/relationships/hyperlink" Target="https://ref.ly/Eph4:7-Eph4:16" TargetMode="External"/><Relationship Id="rId4777" Type="http://schemas.openxmlformats.org/officeDocument/2006/relationships/hyperlink" Target="https://ref.ly/Heb7:25" TargetMode="External"/><Relationship Id="rId4778" Type="http://schemas.openxmlformats.org/officeDocument/2006/relationships/hyperlink" Target="https://ref.ly/Mark14:62" TargetMode="External"/><Relationship Id="rId4779" Type="http://schemas.openxmlformats.org/officeDocument/2006/relationships/hyperlink" Target="https://ref.ly/Phil3:20-Phil3:21" TargetMode="External"/><Relationship Id="rId4780" Type="http://schemas.openxmlformats.org/officeDocument/2006/relationships/hyperlink" Target="https://ref.ly/Acts22:28" TargetMode="External"/><Relationship Id="rId4781" Type="http://schemas.openxmlformats.org/officeDocument/2006/relationships/hyperlink" Target="https://ref.ly/Col3:1" TargetMode="External"/><Relationship Id="rId4782" Type="http://schemas.openxmlformats.org/officeDocument/2006/relationships/hyperlink" Target="https://ref.ly/Eph1:3" TargetMode="External"/><Relationship Id="rId4783" Type="http://schemas.openxmlformats.org/officeDocument/2006/relationships/hyperlink" Target="https://ref.ly/Eph1:3,Eph1:20" TargetMode="External"/><Relationship Id="rId4784" Type="http://schemas.openxmlformats.org/officeDocument/2006/relationships/hyperlink" Target="https://ref.ly/Eph2:6" TargetMode="External"/><Relationship Id="rId4785" Type="http://schemas.openxmlformats.org/officeDocument/2006/relationships/hyperlink" Target="https://ref.ly/Eph3:10" TargetMode="External"/><Relationship Id="rId4786" Type="http://schemas.openxmlformats.org/officeDocument/2006/relationships/hyperlink" Target="https://ref.ly/Eph6:12" TargetMode="External"/><Relationship Id="rId4787" Type="http://schemas.openxmlformats.org/officeDocument/2006/relationships/hyperlink" Target="https://ref.ly/Heb3:1" TargetMode="External"/><Relationship Id="rId4788" Type="http://schemas.openxmlformats.org/officeDocument/2006/relationships/hyperlink" Target="https://ref.ly/Rev21:1-Rev21:4,Rev21:27" TargetMode="External"/><Relationship Id="rId4789" Type="http://schemas.openxmlformats.org/officeDocument/2006/relationships/hyperlink" Target="https://ref.ly/Rev22:1-Rev22:5" TargetMode="External"/><Relationship Id="rId4790" Type="http://schemas.openxmlformats.org/officeDocument/2006/relationships/hyperlink" Target="https://ref.ly/Luke20:27-Luke20:38" TargetMode="External"/><Relationship Id="rId4791" Type="http://schemas.openxmlformats.org/officeDocument/2006/relationships/hyperlink" Target="https://ref.ly/Gen5:22-Gen5:24" TargetMode="External"/><Relationship Id="rId4792" Type="http://schemas.openxmlformats.org/officeDocument/2006/relationships/hyperlink" Target="https://ref.ly/Heb11:5" TargetMode="External"/><Relationship Id="rId4793" Type="http://schemas.openxmlformats.org/officeDocument/2006/relationships/hyperlink" Target="https://ref.ly/2Kgs2:11" TargetMode="External"/><Relationship Id="rId4794" Type="http://schemas.openxmlformats.org/officeDocument/2006/relationships/hyperlink" Target="https://ref.ly/Rev19:1" TargetMode="External"/><Relationship Id="rId4795" Type="http://schemas.openxmlformats.org/officeDocument/2006/relationships/hyperlink" Target="https://ref.ly/1Thess4:16-1Thess4:17" TargetMode="External"/><Relationship Id="rId4796" Type="http://schemas.openxmlformats.org/officeDocument/2006/relationships/hyperlink" Target="https://ref.ly/Rev19:1-Rev19:4" TargetMode="External"/><Relationship Id="rId4797" Type="http://schemas.openxmlformats.org/officeDocument/2006/relationships/hyperlink" Target="https://ref.ly/Matt5:12" TargetMode="External"/><Relationship Id="rId4798" Type="http://schemas.openxmlformats.org/officeDocument/2006/relationships/hyperlink" Target="https://ref.ly/1Cor9:25" TargetMode="External"/><Relationship Id="rId4799" Type="http://schemas.openxmlformats.org/officeDocument/2006/relationships/hyperlink" Target="https://ref.ly/2Cor5:1" TargetMode="External"/><Relationship Id="rId4800" Type="http://schemas.openxmlformats.org/officeDocument/2006/relationships/hyperlink" Target="https://ref.ly/2Tim4:8" TargetMode="External"/><Relationship Id="rId4801" Type="http://schemas.openxmlformats.org/officeDocument/2006/relationships/hyperlink" Target="https://ref.ly/Jas1:12" TargetMode="External"/><Relationship Id="rId4802" Type="http://schemas.openxmlformats.org/officeDocument/2006/relationships/hyperlink" Target="https://ref.ly/1Pet1:4" TargetMode="External"/><Relationship Id="rId4803" Type="http://schemas.openxmlformats.org/officeDocument/2006/relationships/hyperlink" Target="https://ref.ly/1Pet5:4" TargetMode="External"/><Relationship Id="rId4804" Type="http://schemas.openxmlformats.org/officeDocument/2006/relationships/hyperlink" Target="https://ref.ly/Rev4:10" TargetMode="External"/><Relationship Id="rId4805" Type="http://schemas.openxmlformats.org/officeDocument/2006/relationships/hyperlink" Target="https://ref.ly/Acts19:14" TargetMode="External"/><Relationship Id="rId4806" Type="http://schemas.openxmlformats.org/officeDocument/2006/relationships/hyperlink" Target="https://ref.ly/Matt9:18-Matt9:26" TargetMode="External"/><Relationship Id="rId4807" Type="http://schemas.openxmlformats.org/officeDocument/2006/relationships/hyperlink" Target="https://ref.ly/Mark5:21-Mark5:43" TargetMode="External"/><Relationship Id="rId4808" Type="http://schemas.openxmlformats.org/officeDocument/2006/relationships/hyperlink" Target="https://ref.ly/Luke8:41-Luke8:56" TargetMode="External"/><Relationship Id="rId4809" Type="http://schemas.openxmlformats.org/officeDocument/2006/relationships/hyperlink" Target="https://ref.ly/Luke13:14" TargetMode="External"/><Relationship Id="rId4810" Type="http://schemas.openxmlformats.org/officeDocument/2006/relationships/hyperlink" Target="https://ref.ly/Acts13:15" TargetMode="External"/><Relationship Id="rId4811" Type="http://schemas.openxmlformats.org/officeDocument/2006/relationships/hyperlink" Target="https://ref.ly/Acts18:8" TargetMode="External"/><Relationship Id="rId4812" Type="http://schemas.openxmlformats.org/officeDocument/2006/relationships/hyperlink" Target="https://ref.ly/1Kgs22:11" TargetMode="External"/><Relationship Id="rId4813" Type="http://schemas.openxmlformats.org/officeDocument/2006/relationships/hyperlink" Target="https://ref.ly/Ezek34:21" TargetMode="External"/><Relationship Id="rId4814" Type="http://schemas.openxmlformats.org/officeDocument/2006/relationships/hyperlink" Target="https://ref.ly/Zech1:18-Zech1:21" TargetMode="External"/><Relationship Id="rId4815" Type="http://schemas.openxmlformats.org/officeDocument/2006/relationships/hyperlink" Target="https://ref.ly/2Chr18:10" TargetMode="External"/><Relationship Id="rId4816" Type="http://schemas.openxmlformats.org/officeDocument/2006/relationships/hyperlink" Target="https://ref.ly/2Sam22:3" TargetMode="External"/><Relationship Id="rId4817" Type="http://schemas.openxmlformats.org/officeDocument/2006/relationships/hyperlink" Target="https://ref.ly/Ps18:2" TargetMode="External"/><Relationship Id="rId4818" Type="http://schemas.openxmlformats.org/officeDocument/2006/relationships/hyperlink" Target="https://ref.ly/Ps132:17" TargetMode="External"/><Relationship Id="rId4819" Type="http://schemas.openxmlformats.org/officeDocument/2006/relationships/hyperlink" Target="https://ref.ly/Ps75:10" TargetMode="External"/><Relationship Id="rId4820" Type="http://schemas.openxmlformats.org/officeDocument/2006/relationships/hyperlink" Target="https://ref.ly/Dan7:1-Dan8:27" TargetMode="External"/><Relationship Id="rId4821" Type="http://schemas.openxmlformats.org/officeDocument/2006/relationships/hyperlink" Target="https://ref.ly/1Sam16:1,1Sam16:13" TargetMode="External"/><Relationship Id="rId4822" Type="http://schemas.openxmlformats.org/officeDocument/2006/relationships/hyperlink" Target="https://ref.ly/1Kgs1:39" TargetMode="External"/><Relationship Id="rId4823" Type="http://schemas.openxmlformats.org/officeDocument/2006/relationships/hyperlink" Target="https://ref.ly/Exod27:2" TargetMode="External"/><Relationship Id="rId4824" Type="http://schemas.openxmlformats.org/officeDocument/2006/relationships/hyperlink" Target="https://ref.ly/Exod30:2-Exod30:3" TargetMode="External"/><Relationship Id="rId4825" Type="http://schemas.openxmlformats.org/officeDocument/2006/relationships/hyperlink" Target="https://ref.ly/Exod29:12" TargetMode="External"/><Relationship Id="rId4826" Type="http://schemas.openxmlformats.org/officeDocument/2006/relationships/hyperlink" Target="https://ref.ly/Lev4:7,Lev4:18" TargetMode="External"/><Relationship Id="rId4827" Type="http://schemas.openxmlformats.org/officeDocument/2006/relationships/hyperlink" Target="https://ref.ly/1Kgs1:50-1Kgs1:51" TargetMode="External"/><Relationship Id="rId4828" Type="http://schemas.openxmlformats.org/officeDocument/2006/relationships/hyperlink" Target="https://ref.ly/Num24:24" TargetMode="External"/><Relationship Id="rId4829" Type="http://schemas.openxmlformats.org/officeDocument/2006/relationships/hyperlink" Target="https://ref.ly/Jer2:10" TargetMode="External"/><Relationship Id="rId4830" Type="http://schemas.openxmlformats.org/officeDocument/2006/relationships/hyperlink" Target="https://ref.ly/1Macc1:1" TargetMode="External"/><Relationship Id="rId4831" Type="http://schemas.openxmlformats.org/officeDocument/2006/relationships/hyperlink" Target="https://ref.ly/Isa23:1,Isa23:12" TargetMode="External"/><Relationship Id="rId4832" Type="http://schemas.openxmlformats.org/officeDocument/2006/relationships/hyperlink" Target="https://ref.ly/Acts4:36" TargetMode="External"/><Relationship Id="rId4833" Type="http://schemas.openxmlformats.org/officeDocument/2006/relationships/hyperlink" Target="https://ref.ly/Acts11:19-Acts11:20" TargetMode="External"/><Relationship Id="rId4834" Type="http://schemas.openxmlformats.org/officeDocument/2006/relationships/hyperlink" Target="https://ref.ly/Acts13:4-Acts13:13" TargetMode="External"/><Relationship Id="rId4835" Type="http://schemas.openxmlformats.org/officeDocument/2006/relationships/hyperlink" Target="https://ref.ly/Acts15:39" TargetMode="External"/><Relationship Id="rId4836" Type="http://schemas.openxmlformats.org/officeDocument/2006/relationships/hyperlink" Target="https://ref.ly/Acts21:3" TargetMode="External"/><Relationship Id="rId4837" Type="http://schemas.openxmlformats.org/officeDocument/2006/relationships/hyperlink" Target="https://ref.ly/Acts27:4" TargetMode="External"/><Relationship Id="rId4838" Type="http://schemas.openxmlformats.org/officeDocument/2006/relationships/hyperlink" Target="https://ref.ly/Deut11:14" TargetMode="External"/><Relationship Id="rId4839" Type="http://schemas.openxmlformats.org/officeDocument/2006/relationships/hyperlink" Target="https://ref.ly/Jer5:24" TargetMode="External"/><Relationship Id="rId4840" Type="http://schemas.openxmlformats.org/officeDocument/2006/relationships/hyperlink" Target="https://ref.ly/Jas5:7" TargetMode="External"/><Relationship Id="rId4841" Type="http://schemas.openxmlformats.org/officeDocument/2006/relationships/hyperlink" Target="https://ref.ly/Deut11:13-Deut11:17" TargetMode="External"/><Relationship Id="rId4842" Type="http://schemas.openxmlformats.org/officeDocument/2006/relationships/hyperlink" Target="https://ref.ly/Job29:23" TargetMode="External"/><Relationship Id="rId4843" Type="http://schemas.openxmlformats.org/officeDocument/2006/relationships/hyperlink" Target="https://ref.ly/Prov16:15" TargetMode="External"/><Relationship Id="rId4844" Type="http://schemas.openxmlformats.org/officeDocument/2006/relationships/hyperlink" Target="https://ref.ly/Jer3:3" TargetMode="External"/><Relationship Id="rId4845" Type="http://schemas.openxmlformats.org/officeDocument/2006/relationships/hyperlink" Target="https://ref.ly/Hos6:3" TargetMode="External"/><Relationship Id="rId4846" Type="http://schemas.openxmlformats.org/officeDocument/2006/relationships/hyperlink" Target="https://ref.ly/Joel2:23" TargetMode="External"/><Relationship Id="rId4847" Type="http://schemas.openxmlformats.org/officeDocument/2006/relationships/hyperlink" Target="https://ref.ly/Zech10:1" TargetMode="External"/><Relationship Id="rId4848" Type="http://schemas.openxmlformats.org/officeDocument/2006/relationships/hyperlink" Target="https://ref.ly/Acts21:39" TargetMode="External"/><Relationship Id="rId4849" Type="http://schemas.openxmlformats.org/officeDocument/2006/relationships/hyperlink" Target="https://ref.ly/Acts22:27-Acts22:28" TargetMode="External"/><Relationship Id="rId4850" Type="http://schemas.openxmlformats.org/officeDocument/2006/relationships/hyperlink" Target="https://ref.ly/Luke2:1" TargetMode="External"/><Relationship Id="rId4851" Type="http://schemas.openxmlformats.org/officeDocument/2006/relationships/hyperlink" Target="https://ref.ly/Acts16:38-Acts16:39" TargetMode="External"/><Relationship Id="rId4852" Type="http://schemas.openxmlformats.org/officeDocument/2006/relationships/hyperlink" Target="https://ref.ly/Acts22:24-Acts22:29" TargetMode="External"/><Relationship Id="rId4853" Type="http://schemas.openxmlformats.org/officeDocument/2006/relationships/hyperlink" Target="https://ref.ly/Lev25:29-Lev25:31" TargetMode="External"/><Relationship Id="rId4854" Type="http://schemas.openxmlformats.org/officeDocument/2006/relationships/hyperlink" Target="https://ref.ly/Josh19:35" TargetMode="External"/><Relationship Id="rId4855" Type="http://schemas.openxmlformats.org/officeDocument/2006/relationships/hyperlink" Target="https://ref.ly/Heb11:10" TargetMode="External"/><Relationship Id="rId4856" Type="http://schemas.openxmlformats.org/officeDocument/2006/relationships/hyperlink" Target="https://ref.ly/Gen4:12" TargetMode="External"/><Relationship Id="rId4857" Type="http://schemas.openxmlformats.org/officeDocument/2006/relationships/hyperlink" Target="https://ref.ly/Gen4:1-Gen4:26" TargetMode="External"/><Relationship Id="rId4858" Type="http://schemas.openxmlformats.org/officeDocument/2006/relationships/hyperlink" Target="https://ref.ly/Gen4:21" TargetMode="External"/><Relationship Id="rId4859" Type="http://schemas.openxmlformats.org/officeDocument/2006/relationships/hyperlink" Target="https://ref.ly/Ps125:2" TargetMode="External"/><Relationship Id="rId4860" Type="http://schemas.openxmlformats.org/officeDocument/2006/relationships/hyperlink" Target="https://ref.ly/2Sam5:6" TargetMode="External"/><Relationship Id="rId4861" Type="http://schemas.openxmlformats.org/officeDocument/2006/relationships/hyperlink" Target="https://ref.ly/Gen29:1-Gen29:12" TargetMode="External"/><Relationship Id="rId4862" Type="http://schemas.openxmlformats.org/officeDocument/2006/relationships/hyperlink" Target="https://ref.ly/1Kgs1:38-1Kgs1:39" TargetMode="External"/><Relationship Id="rId4863" Type="http://schemas.openxmlformats.org/officeDocument/2006/relationships/hyperlink" Target="https://ref.ly/2Chr32:30" TargetMode="External"/><Relationship Id="rId4864" Type="http://schemas.openxmlformats.org/officeDocument/2006/relationships/hyperlink" Target="https://ref.ly/Deut34:3" TargetMode="External"/><Relationship Id="rId4865" Type="http://schemas.openxmlformats.org/officeDocument/2006/relationships/hyperlink" Target="https://ref.ly/Gen13:10-Gen13:12" TargetMode="External"/><Relationship Id="rId4866" Type="http://schemas.openxmlformats.org/officeDocument/2006/relationships/hyperlink" Target="https://ref.ly/Gen18:22-Gen18:33" TargetMode="External"/><Relationship Id="rId4867" Type="http://schemas.openxmlformats.org/officeDocument/2006/relationships/hyperlink" Target="https://ref.ly/Isa3:9" TargetMode="External"/><Relationship Id="rId4868" Type="http://schemas.openxmlformats.org/officeDocument/2006/relationships/hyperlink" Target="https://ref.ly/Jer50:40" TargetMode="External"/><Relationship Id="rId4869" Type="http://schemas.openxmlformats.org/officeDocument/2006/relationships/hyperlink" Target="https://ref.ly/Ezek16:46-Ezek16:56" TargetMode="External"/><Relationship Id="rId4870" Type="http://schemas.openxmlformats.org/officeDocument/2006/relationships/hyperlink" Target="https://ref.ly/Matt10:15" TargetMode="External"/><Relationship Id="rId4871" Type="http://schemas.openxmlformats.org/officeDocument/2006/relationships/hyperlink" Target="https://ref.ly/Rom9:29" TargetMode="External"/><Relationship Id="rId4872" Type="http://schemas.openxmlformats.org/officeDocument/2006/relationships/hyperlink" Target="https://ref.ly/Num35:6" TargetMode="External"/><Relationship Id="rId4873" Type="http://schemas.openxmlformats.org/officeDocument/2006/relationships/hyperlink" Target="https://ref.ly/Josh20:7" TargetMode="External"/><Relationship Id="rId4874" Type="http://schemas.openxmlformats.org/officeDocument/2006/relationships/hyperlink" Target="https://ref.ly/Num35:19-Num35:21" TargetMode="External"/><Relationship Id="rId4875" Type="http://schemas.openxmlformats.org/officeDocument/2006/relationships/hyperlink" Target="https://ref.ly/Num35:31" TargetMode="External"/><Relationship Id="rId4876" Type="http://schemas.openxmlformats.org/officeDocument/2006/relationships/hyperlink" Target="https://ref.ly/Deut19:4-Deut19:6" TargetMode="External"/><Relationship Id="rId4877" Type="http://schemas.openxmlformats.org/officeDocument/2006/relationships/hyperlink" Target="https://ref.ly/Deut19:11-Deut19:12" TargetMode="External"/><Relationship Id="rId4878" Type="http://schemas.openxmlformats.org/officeDocument/2006/relationships/hyperlink" Target="https://ref.ly/Num35:22-Num35:28" TargetMode="External"/><Relationship Id="rId4879" Type="http://schemas.openxmlformats.org/officeDocument/2006/relationships/hyperlink" Target="https://ref.ly/Num18:20-Num18:24" TargetMode="External"/><Relationship Id="rId4880" Type="http://schemas.openxmlformats.org/officeDocument/2006/relationships/hyperlink" Target="https://ref.ly/Deut10:9" TargetMode="External"/><Relationship Id="rId4881" Type="http://schemas.openxmlformats.org/officeDocument/2006/relationships/hyperlink" Target="https://ref.ly/Deut18:1-Deut18:2" TargetMode="External"/><Relationship Id="rId4882" Type="http://schemas.openxmlformats.org/officeDocument/2006/relationships/hyperlink" Target="https://ref.ly/Josh18:7" TargetMode="External"/><Relationship Id="rId4883" Type="http://schemas.openxmlformats.org/officeDocument/2006/relationships/hyperlink" Target="https://ref.ly/Num35:6-Num35:7" TargetMode="External"/><Relationship Id="rId4884" Type="http://schemas.openxmlformats.org/officeDocument/2006/relationships/hyperlink" Target="https://ref.ly/Num35:3-Num35:5" TargetMode="External"/><Relationship Id="rId4885" Type="http://schemas.openxmlformats.org/officeDocument/2006/relationships/hyperlink" Target="https://ref.ly/Lev25:32-Lev25:34" TargetMode="External"/><Relationship Id="rId4886" Type="http://schemas.openxmlformats.org/officeDocument/2006/relationships/hyperlink" Target="https://ref.ly/Josh21:1-Josh21:45" TargetMode="External"/><Relationship Id="rId4887" Type="http://schemas.openxmlformats.org/officeDocument/2006/relationships/hyperlink" Target="https://ref.ly/1Chr6:54-1Chr6:81" TargetMode="External"/><Relationship Id="rId4888" Type="http://schemas.openxmlformats.org/officeDocument/2006/relationships/hyperlink" Target="https://ref.ly/Josh21:4" TargetMode="External"/><Relationship Id="rId4889" Type="http://schemas.openxmlformats.org/officeDocument/2006/relationships/hyperlink" Target="https://ref.ly/Judg1:27,Judg1:31" TargetMode="External"/><Relationship Id="rId4890" Type="http://schemas.openxmlformats.org/officeDocument/2006/relationships/hyperlink" Target="https://ref.ly/1Chr26:30-1Chr26:32" TargetMode="External"/><Relationship Id="rId4891" Type="http://schemas.openxmlformats.org/officeDocument/2006/relationships/hyperlink" Target="https://ref.ly/Num18:21" TargetMode="External"/><Relationship Id="rId4892" Type="http://schemas.openxmlformats.org/officeDocument/2006/relationships/hyperlink" Target="https://ref.ly/Deut14:28" TargetMode="External"/><Relationship Id="rId4893" Type="http://schemas.openxmlformats.org/officeDocument/2006/relationships/hyperlink" Target="https://ref.ly/1Chr26:29" TargetMode="External"/><Relationship Id="rId4894" Type="http://schemas.openxmlformats.org/officeDocument/2006/relationships/hyperlink" Target="https://ref.ly/2Chr17:8" TargetMode="External"/><Relationship Id="rId4895" Type="http://schemas.openxmlformats.org/officeDocument/2006/relationships/hyperlink" Target="https://ref.ly/2Chr19:8-2Chr19:10" TargetMode="External"/><Relationship Id="rId4896" Type="http://schemas.openxmlformats.org/officeDocument/2006/relationships/hyperlink" Target="https://ref.ly/1Chr26:1-1Chr26:19" TargetMode="External"/><Relationship Id="rId4897" Type="http://schemas.openxmlformats.org/officeDocument/2006/relationships/hyperlink" Target="https://ref.ly/1Chr26:22" TargetMode="External"/><Relationship Id="rId4898" Type="http://schemas.openxmlformats.org/officeDocument/2006/relationships/hyperlink" Target="https://ref.ly/1Chr27:1" TargetMode="External"/><Relationship Id="rId4899" Type="http://schemas.openxmlformats.org/officeDocument/2006/relationships/hyperlink" Target="https://ref.ly/1Chr26:29-1Chr26:32" TargetMode="External"/><Relationship Id="rId4900" Type="http://schemas.openxmlformats.org/officeDocument/2006/relationships/hyperlink" Target="https://ref.ly/2Chr11:13-2Chr11:14" TargetMode="External"/><Relationship Id="rId4901" Type="http://schemas.openxmlformats.org/officeDocument/2006/relationships/hyperlink" Target="https://ref.ly/Acts22:3" TargetMode="External"/><Relationship Id="rId4902" Type="http://schemas.openxmlformats.org/officeDocument/2006/relationships/hyperlink" Target="https://ref.ly/Acts16:37" TargetMode="External"/><Relationship Id="rId4903" Type="http://schemas.openxmlformats.org/officeDocument/2006/relationships/hyperlink" Target="https://ref.ly/Acts11:25-Acts11:26" TargetMode="External"/><Relationship Id="rId4904" Type="http://schemas.openxmlformats.org/officeDocument/2006/relationships/hyperlink" Target="https://ref.ly/Ezra1:1-Ezra1:11" TargetMode="External"/><Relationship Id="rId4905" Type="http://schemas.openxmlformats.org/officeDocument/2006/relationships/hyperlink" Target="https://ref.ly/2Sam6:5" TargetMode="External"/><Relationship Id="rId4906" Type="http://schemas.openxmlformats.org/officeDocument/2006/relationships/hyperlink" Target="https://ref.ly/Ezra3:10" TargetMode="External"/><Relationship Id="rId4907" Type="http://schemas.openxmlformats.org/officeDocument/2006/relationships/hyperlink" Target="https://ref.ly/Ps150:5" TargetMode="External"/><Relationship Id="rId4908" Type="http://schemas.openxmlformats.org/officeDocument/2006/relationships/hyperlink" Target="https://ref.ly/Lev1:16" TargetMode="External"/><Relationship Id="rId4909" Type="http://schemas.openxmlformats.org/officeDocument/2006/relationships/hyperlink" Target="https://ref.ly/Lev4:12" TargetMode="External"/><Relationship Id="rId4910" Type="http://schemas.openxmlformats.org/officeDocument/2006/relationships/hyperlink" Target="https://ref.ly/Lev6:10-Lev6:11" TargetMode="External"/><Relationship Id="rId4911" Type="http://schemas.openxmlformats.org/officeDocument/2006/relationships/hyperlink" Target="https://ref.ly/Heb9:13" TargetMode="External"/><Relationship Id="rId4912" Type="http://schemas.openxmlformats.org/officeDocument/2006/relationships/hyperlink" Target="https://ref.ly/1Kgs13:1-1Kgs13:5" TargetMode="External"/><Relationship Id="rId4913" Type="http://schemas.openxmlformats.org/officeDocument/2006/relationships/hyperlink" Target="https://ref.ly/2Kgs23:4" TargetMode="External"/><Relationship Id="rId4914" Type="http://schemas.openxmlformats.org/officeDocument/2006/relationships/hyperlink" Target="https://ref.ly/Exod9:8-Exod9:10" TargetMode="External"/><Relationship Id="rId4915" Type="http://schemas.openxmlformats.org/officeDocument/2006/relationships/hyperlink" Target="https://ref.ly/2Sam13:19" TargetMode="External"/><Relationship Id="rId4916" Type="http://schemas.openxmlformats.org/officeDocument/2006/relationships/hyperlink" Target="https://ref.ly/Esth4:1-Esth4:3" TargetMode="External"/><Relationship Id="rId4917" Type="http://schemas.openxmlformats.org/officeDocument/2006/relationships/hyperlink" Target="https://ref.ly/Dan9:3" TargetMode="External"/><Relationship Id="rId4918" Type="http://schemas.openxmlformats.org/officeDocument/2006/relationships/hyperlink" Target="https://ref.ly/Jonah3:6" TargetMode="External"/><Relationship Id="rId4919" Type="http://schemas.openxmlformats.org/officeDocument/2006/relationships/hyperlink" Target="https://ref.ly/Gen18:27" TargetMode="External"/><Relationship Id="rId4920" Type="http://schemas.openxmlformats.org/officeDocument/2006/relationships/hyperlink" Target="https://ref.ly/Job13:12" TargetMode="External"/><Relationship Id="rId4921" Type="http://schemas.openxmlformats.org/officeDocument/2006/relationships/hyperlink" Target="https://ref.ly/Job30:19" TargetMode="External"/><Relationship Id="rId4922" Type="http://schemas.openxmlformats.org/officeDocument/2006/relationships/hyperlink" Target="https://ref.ly/Isa44:20" TargetMode="External"/><Relationship Id="rId4923" Type="http://schemas.openxmlformats.org/officeDocument/2006/relationships/hyperlink" Target="https://ref.ly/Ezek28:18" TargetMode="External"/><Relationship Id="rId4924" Type="http://schemas.openxmlformats.org/officeDocument/2006/relationships/hyperlink" Target="https://ref.ly/2Pet2:6" TargetMode="External"/><Relationship Id="rId4925" Type="http://schemas.openxmlformats.org/officeDocument/2006/relationships/hyperlink" Target="https://ref.ly/Gen17:1-Gen17:14" TargetMode="External"/><Relationship Id="rId4926" Type="http://schemas.openxmlformats.org/officeDocument/2006/relationships/hyperlink" Target="https://ref.ly/Gen17:20" TargetMode="External"/><Relationship Id="rId4927" Type="http://schemas.openxmlformats.org/officeDocument/2006/relationships/hyperlink" Target="https://ref.ly/Gen17:25" TargetMode="External"/><Relationship Id="rId4928" Type="http://schemas.openxmlformats.org/officeDocument/2006/relationships/hyperlink" Target="https://ref.ly/Jer9:25-Jer9:26" TargetMode="External"/><Relationship Id="rId4929" Type="http://schemas.openxmlformats.org/officeDocument/2006/relationships/hyperlink" Target="https://ref.ly/Judg14:3" TargetMode="External"/><Relationship Id="rId4930" Type="http://schemas.openxmlformats.org/officeDocument/2006/relationships/hyperlink" Target="https://ref.ly/Judg15:18" TargetMode="External"/><Relationship Id="rId4931" Type="http://schemas.openxmlformats.org/officeDocument/2006/relationships/hyperlink" Target="https://ref.ly/1Sam14:6" TargetMode="External"/><Relationship Id="rId4932" Type="http://schemas.openxmlformats.org/officeDocument/2006/relationships/hyperlink" Target="https://ref.ly/1Sam17:26" TargetMode="External"/><Relationship Id="rId4933" Type="http://schemas.openxmlformats.org/officeDocument/2006/relationships/hyperlink" Target="https://ref.ly/1Sam18:25" TargetMode="External"/><Relationship Id="rId4934" Type="http://schemas.openxmlformats.org/officeDocument/2006/relationships/hyperlink" Target="https://ref.ly/1Sam31:4" TargetMode="External"/><Relationship Id="rId4935" Type="http://schemas.openxmlformats.org/officeDocument/2006/relationships/hyperlink" Target="https://ref.ly/2Sam1:20" TargetMode="External"/><Relationship Id="rId4936" Type="http://schemas.openxmlformats.org/officeDocument/2006/relationships/hyperlink" Target="https://ref.ly/1Chr10:4" TargetMode="External"/><Relationship Id="rId4937" Type="http://schemas.openxmlformats.org/officeDocument/2006/relationships/hyperlink" Target="https://ref.ly/Gen17:9-Gen17:13" TargetMode="External"/><Relationship Id="rId4938" Type="http://schemas.openxmlformats.org/officeDocument/2006/relationships/hyperlink" Target="https://ref.ly/Gen15:9-Gen15:17" TargetMode="External"/><Relationship Id="rId4939" Type="http://schemas.openxmlformats.org/officeDocument/2006/relationships/hyperlink" Target="https://ref.ly/Gen17:11" TargetMode="External"/><Relationship Id="rId4940" Type="http://schemas.openxmlformats.org/officeDocument/2006/relationships/hyperlink" Target="https://ref.ly/Gen17:10" TargetMode="External"/><Relationship Id="rId4941" Type="http://schemas.openxmlformats.org/officeDocument/2006/relationships/hyperlink" Target="https://ref.ly/Acts7:8" TargetMode="External"/><Relationship Id="rId4942" Type="http://schemas.openxmlformats.org/officeDocument/2006/relationships/hyperlink" Target="https://ref.ly/Lev12:1-Lev12:3" TargetMode="External"/><Relationship Id="rId4943" Type="http://schemas.openxmlformats.org/officeDocument/2006/relationships/hyperlink" Target="https://ref.ly/Gen21:4" TargetMode="External"/><Relationship Id="rId4944" Type="http://schemas.openxmlformats.org/officeDocument/2006/relationships/hyperlink" Target="https://ref.ly/Luke1:59" TargetMode="External"/><Relationship Id="rId4945" Type="http://schemas.openxmlformats.org/officeDocument/2006/relationships/hyperlink" Target="https://ref.ly/Luke2:21" TargetMode="External"/><Relationship Id="rId4946" Type="http://schemas.openxmlformats.org/officeDocument/2006/relationships/hyperlink" Target="https://ref.ly/Exod4:25" TargetMode="External"/><Relationship Id="rId4947" Type="http://schemas.openxmlformats.org/officeDocument/2006/relationships/hyperlink" Target="https://ref.ly/Josh5:2-Josh5:3" TargetMode="External"/><Relationship Id="rId4948" Type="http://schemas.openxmlformats.org/officeDocument/2006/relationships/hyperlink" Target="https://ref.ly/Gen17:9-Gen17:12" TargetMode="External"/><Relationship Id="rId4949" Type="http://schemas.openxmlformats.org/officeDocument/2006/relationships/hyperlink" Target="https://ref.ly/Gen17:8" TargetMode="External"/><Relationship Id="rId4950" Type="http://schemas.openxmlformats.org/officeDocument/2006/relationships/hyperlink" Target="https://ref.ly/Josh5:2-Josh5:9" TargetMode="External"/><Relationship Id="rId4951" Type="http://schemas.openxmlformats.org/officeDocument/2006/relationships/hyperlink" Target="https://ref.ly/Gen17:12-Gen17:13" TargetMode="External"/><Relationship Id="rId4952" Type="http://schemas.openxmlformats.org/officeDocument/2006/relationships/hyperlink" Target="https://ref.ly/Exod12:43-Exod12:49" TargetMode="External"/><Relationship Id="rId4953" Type="http://schemas.openxmlformats.org/officeDocument/2006/relationships/hyperlink" Target="https://ref.ly/John7:22-John7:23" TargetMode="External"/><Relationship Id="rId4954" Type="http://schemas.openxmlformats.org/officeDocument/2006/relationships/hyperlink" Target="https://ref.ly/Acts3:1" TargetMode="External"/><Relationship Id="rId4955" Type="http://schemas.openxmlformats.org/officeDocument/2006/relationships/hyperlink" Target="https://ref.ly/Acts5:21" TargetMode="External"/><Relationship Id="rId4956" Type="http://schemas.openxmlformats.org/officeDocument/2006/relationships/hyperlink" Target="https://ref.ly/Phil3:4-Phil3:6" TargetMode="External"/><Relationship Id="rId4957" Type="http://schemas.openxmlformats.org/officeDocument/2006/relationships/hyperlink" Target="https://ref.ly/John7:22" TargetMode="External"/><Relationship Id="rId4958" Type="http://schemas.openxmlformats.org/officeDocument/2006/relationships/hyperlink" Target="https://ref.ly/Acts10:45" TargetMode="External"/><Relationship Id="rId4959" Type="http://schemas.openxmlformats.org/officeDocument/2006/relationships/hyperlink" Target="https://ref.ly/Acts11:2" TargetMode="External"/><Relationship Id="rId4960" Type="http://schemas.openxmlformats.org/officeDocument/2006/relationships/hyperlink" Target="https://ref.ly/Rom15:8" TargetMode="External"/><Relationship Id="rId4961" Type="http://schemas.openxmlformats.org/officeDocument/2006/relationships/hyperlink" Target="https://ref.ly/Gal2:7-Gal2:9" TargetMode="External"/><Relationship Id="rId4962" Type="http://schemas.openxmlformats.org/officeDocument/2006/relationships/hyperlink" Target="https://ref.ly/Eph2:11" TargetMode="External"/><Relationship Id="rId4963" Type="http://schemas.openxmlformats.org/officeDocument/2006/relationships/hyperlink" Target="https://ref.ly/Titus1:10" TargetMode="External"/><Relationship Id="rId4964" Type="http://schemas.openxmlformats.org/officeDocument/2006/relationships/hyperlink" Target="https://ref.ly/Ezek28:10" TargetMode="External"/><Relationship Id="rId4965" Type="http://schemas.openxmlformats.org/officeDocument/2006/relationships/hyperlink" Target="https://ref.ly/Ezek31:18" TargetMode="External"/><Relationship Id="rId4966" Type="http://schemas.openxmlformats.org/officeDocument/2006/relationships/hyperlink" Target="https://ref.ly/Ezek32:19-Ezek32:32" TargetMode="External"/><Relationship Id="rId4967" Type="http://schemas.openxmlformats.org/officeDocument/2006/relationships/hyperlink" Target="https://ref.ly/Gal2:7" TargetMode="External"/><Relationship Id="rId4968" Type="http://schemas.openxmlformats.org/officeDocument/2006/relationships/hyperlink" Target="https://ref.ly/Acts10:44-Acts10:48" TargetMode="External"/><Relationship Id="rId4969" Type="http://schemas.openxmlformats.org/officeDocument/2006/relationships/hyperlink" Target="https://ref.ly/Ezek36:25-Ezek36:27" TargetMode="External"/><Relationship Id="rId4970" Type="http://schemas.openxmlformats.org/officeDocument/2006/relationships/hyperlink" Target="https://ref.ly/Joel2:28" TargetMode="External"/><Relationship Id="rId4971" Type="http://schemas.openxmlformats.org/officeDocument/2006/relationships/hyperlink" Target="https://ref.ly/Acts2:17" TargetMode="External"/><Relationship Id="rId4972" Type="http://schemas.openxmlformats.org/officeDocument/2006/relationships/hyperlink" Target="https://ref.ly/Acts11:1-Acts11:3" TargetMode="External"/><Relationship Id="rId4973" Type="http://schemas.openxmlformats.org/officeDocument/2006/relationships/hyperlink" Target="https://ref.ly/Acts15:11" TargetMode="External"/><Relationship Id="rId4974" Type="http://schemas.openxmlformats.org/officeDocument/2006/relationships/hyperlink" Target="https://ref.ly/Acts15:13-Acts15:21" TargetMode="External"/><Relationship Id="rId4975" Type="http://schemas.openxmlformats.org/officeDocument/2006/relationships/hyperlink" Target="https://ref.ly/1Cor9:19-1Cor9:23" TargetMode="External"/><Relationship Id="rId4976" Type="http://schemas.openxmlformats.org/officeDocument/2006/relationships/hyperlink" Target="https://ref.ly/Acts16:1-Acts16:2" TargetMode="External"/><Relationship Id="rId4977" Type="http://schemas.openxmlformats.org/officeDocument/2006/relationships/hyperlink" Target="https://ref.ly/Gal2:3" TargetMode="External"/><Relationship Id="rId4978" Type="http://schemas.openxmlformats.org/officeDocument/2006/relationships/hyperlink" Target="https://ref.ly/Gal6:12-Gal6:13" TargetMode="External"/><Relationship Id="rId4979" Type="http://schemas.openxmlformats.org/officeDocument/2006/relationships/hyperlink" Target="https://ref.ly/Gal5:11" TargetMode="External"/><Relationship Id="rId4980" Type="http://schemas.openxmlformats.org/officeDocument/2006/relationships/hyperlink" Target="https://ref.ly/Gal5:2-Gal5:3" TargetMode="External"/><Relationship Id="rId4981" Type="http://schemas.openxmlformats.org/officeDocument/2006/relationships/hyperlink" Target="https://ref.ly/Gal5:2-Gal5:4" TargetMode="External"/><Relationship Id="rId4982" Type="http://schemas.openxmlformats.org/officeDocument/2006/relationships/hyperlink" Target="https://ref.ly/Gal1:6-Gal1:7" TargetMode="External"/><Relationship Id="rId4983" Type="http://schemas.openxmlformats.org/officeDocument/2006/relationships/hyperlink" Target="https://ref.ly/Gal5:12" TargetMode="External"/><Relationship Id="rId4984" Type="http://schemas.openxmlformats.org/officeDocument/2006/relationships/hyperlink" Target="https://ref.ly/Phil3:2-Phil3:3" TargetMode="External"/><Relationship Id="rId4985" Type="http://schemas.openxmlformats.org/officeDocument/2006/relationships/hyperlink" Target="https://ref.ly/Rom3:1-Rom3:3" TargetMode="External"/><Relationship Id="rId4986" Type="http://schemas.openxmlformats.org/officeDocument/2006/relationships/hyperlink" Target="https://ref.ly/Eph2:11-Eph2:12" TargetMode="External"/><Relationship Id="rId4987" Type="http://schemas.openxmlformats.org/officeDocument/2006/relationships/hyperlink" Target="https://ref.ly/Col2:13" TargetMode="External"/><Relationship Id="rId4988" Type="http://schemas.openxmlformats.org/officeDocument/2006/relationships/hyperlink" Target="https://ref.ly/Rom2:25" TargetMode="External"/><Relationship Id="rId4989" Type="http://schemas.openxmlformats.org/officeDocument/2006/relationships/hyperlink" Target="https://ref.ly/Rom3:28-Rom3:30" TargetMode="External"/><Relationship Id="rId4990" Type="http://schemas.openxmlformats.org/officeDocument/2006/relationships/hyperlink" Target="https://ref.ly/Rom4:3" TargetMode="External"/><Relationship Id="rId4991" Type="http://schemas.openxmlformats.org/officeDocument/2006/relationships/hyperlink" Target="https://ref.ly/Rom4:9-Rom4:12" TargetMode="External"/><Relationship Id="rId4992" Type="http://schemas.openxmlformats.org/officeDocument/2006/relationships/hyperlink" Target="https://ref.ly/Matt27:32" TargetMode="External"/><Relationship Id="rId4993" Type="http://schemas.openxmlformats.org/officeDocument/2006/relationships/hyperlink" Target="https://ref.ly/Acts11:20" TargetMode="External"/><Relationship Id="rId4994" Type="http://schemas.openxmlformats.org/officeDocument/2006/relationships/hyperlink" Target="https://ref.ly/Acts13:1" TargetMode="External"/><Relationship Id="rId4995" Type="http://schemas.openxmlformats.org/officeDocument/2006/relationships/hyperlink" Target="https://ref.ly/Jer38:6" TargetMode="External"/><Relationship Id="rId4996" Type="http://schemas.openxmlformats.org/officeDocument/2006/relationships/hyperlink" Target="https://ref.ly/Jer41:4-Jer41:9" TargetMode="External"/><Relationship Id="rId4997" Type="http://schemas.openxmlformats.org/officeDocument/2006/relationships/hyperlink" Target="https://ref.ly/2Chr26:10" TargetMode="External"/><Relationship Id="rId4998" Type="http://schemas.openxmlformats.org/officeDocument/2006/relationships/hyperlink" Target="https://ref.ly/Isa36:16" TargetMode="External"/><Relationship Id="rId4999" Type="http://schemas.openxmlformats.org/officeDocument/2006/relationships/hyperlink" Target="https://ref.ly/2Kgs18:31" TargetMode="External"/><Relationship Id="rId5000" Type="http://schemas.openxmlformats.org/officeDocument/2006/relationships/hyperlink" Target="https://ref.ly/Deut6:11" TargetMode="External"/><Relationship Id="rId5001" Type="http://schemas.openxmlformats.org/officeDocument/2006/relationships/hyperlink" Target="https://ref.ly/Acts12:1-Acts12:5" TargetMode="External"/><Relationship Id="rId5002" Type="http://schemas.openxmlformats.org/officeDocument/2006/relationships/hyperlink" Target="https://ref.ly/Acts12:22" TargetMode="External"/><Relationship Id="rId5003" Type="http://schemas.openxmlformats.org/officeDocument/2006/relationships/hyperlink" Target="https://ref.ly/Acts21:40" TargetMode="External"/><Relationship Id="rId5004" Type="http://schemas.openxmlformats.org/officeDocument/2006/relationships/hyperlink" Target="https://ref.ly/Acts22:22-Acts22:29" TargetMode="External"/><Relationship Id="rId5005" Type="http://schemas.openxmlformats.org/officeDocument/2006/relationships/hyperlink" Target="https://ref.ly/Acts23:16-Acts23:35" TargetMode="External"/><Relationship Id="rId5006" Type="http://schemas.openxmlformats.org/officeDocument/2006/relationships/hyperlink" Target="https://ref.ly/EsthGr11:1" TargetMode="External"/><Relationship Id="rId5007" Type="http://schemas.openxmlformats.org/officeDocument/2006/relationships/hyperlink" Target="https://ref.ly/Esth9:20-Esth9:22" TargetMode="External"/><Relationship Id="rId5008" Type="http://schemas.openxmlformats.org/officeDocument/2006/relationships/hyperlink" Target="https://ref.ly/1Macc10:57-1Macc10:58" TargetMode="External"/><Relationship Id="rId5009" Type="http://schemas.openxmlformats.org/officeDocument/2006/relationships/hyperlink" Target="https://ref.ly/1Macc11:8-1Macc11:12" TargetMode="External"/><Relationship Id="rId5010" Type="http://schemas.openxmlformats.org/officeDocument/2006/relationships/hyperlink" Target="https://ref.ly/Luke24:18" TargetMode="External"/><Relationship Id="rId5011" Type="http://schemas.openxmlformats.org/officeDocument/2006/relationships/hyperlink" Target="https://ref.ly/Matt27:56" TargetMode="External"/><Relationship Id="rId5012" Type="http://schemas.openxmlformats.org/officeDocument/2006/relationships/hyperlink" Target="https://ref.ly/Mark15:40" TargetMode="External"/><Relationship Id="rId5013" Type="http://schemas.openxmlformats.org/officeDocument/2006/relationships/hyperlink" Target="https://ref.ly/Acts27:7" TargetMode="External"/><Relationship Id="rId5014" Type="http://schemas.openxmlformats.org/officeDocument/2006/relationships/hyperlink" Target="https://ref.ly/Gen46:11" TargetMode="External"/><Relationship Id="rId5015" Type="http://schemas.openxmlformats.org/officeDocument/2006/relationships/hyperlink" Target="https://ref.ly/Exod6:16" TargetMode="External"/><Relationship Id="rId5016" Type="http://schemas.openxmlformats.org/officeDocument/2006/relationships/hyperlink" Target="https://ref.ly/Exod6:18" TargetMode="External"/><Relationship Id="rId5017" Type="http://schemas.openxmlformats.org/officeDocument/2006/relationships/hyperlink" Target="https://ref.ly/Num3:19,Num3:27" TargetMode="External"/><Relationship Id="rId5018" Type="http://schemas.openxmlformats.org/officeDocument/2006/relationships/hyperlink" Target="https://ref.ly/1Chr6:2" TargetMode="External"/><Relationship Id="rId5019" Type="http://schemas.openxmlformats.org/officeDocument/2006/relationships/hyperlink" Target="https://ref.ly/Num3:31-Num3:32" TargetMode="External"/><Relationship Id="rId5020" Type="http://schemas.openxmlformats.org/officeDocument/2006/relationships/hyperlink" Target="https://ref.ly/1Chr23:13-1Chr23:17" TargetMode="External"/><Relationship Id="rId5021" Type="http://schemas.openxmlformats.org/officeDocument/2006/relationships/hyperlink" Target="https://ref.ly/Num3:17" TargetMode="External"/><Relationship Id="rId5022" Type="http://schemas.openxmlformats.org/officeDocument/2006/relationships/hyperlink" Target="https://ref.ly/1Chr6:1,1Chr6:16" TargetMode="External"/><Relationship Id="rId5023" Type="http://schemas.openxmlformats.org/officeDocument/2006/relationships/hyperlink" Target="https://ref.ly/1Chr23:6" TargetMode="External"/><Relationship Id="rId5024" Type="http://schemas.openxmlformats.org/officeDocument/2006/relationships/hyperlink" Target="https://ref.ly/1Chr6:16" TargetMode="External"/><Relationship Id="rId5025" Type="http://schemas.openxmlformats.org/officeDocument/2006/relationships/hyperlink" Target="https://ref.ly/2Chr29:12" TargetMode="External"/><Relationship Id="rId5026" Type="http://schemas.openxmlformats.org/officeDocument/2006/relationships/hyperlink" Target="https://ref.ly/Num3:19,Num3:27-Num3:30" TargetMode="External"/><Relationship Id="rId5027" Type="http://schemas.openxmlformats.org/officeDocument/2006/relationships/hyperlink" Target="https://ref.ly/Num4:2-Num4:4,Num4:15,Num4:18,Num4:34,Num4:37" TargetMode="External"/><Relationship Id="rId5028" Type="http://schemas.openxmlformats.org/officeDocument/2006/relationships/hyperlink" Target="https://ref.ly/Num7:9" TargetMode="External"/><Relationship Id="rId5029" Type="http://schemas.openxmlformats.org/officeDocument/2006/relationships/hyperlink" Target="https://ref.ly/Num10:21" TargetMode="External"/><Relationship Id="rId5030" Type="http://schemas.openxmlformats.org/officeDocument/2006/relationships/hyperlink" Target="https://ref.ly/Num26:57" TargetMode="External"/><Relationship Id="rId5031" Type="http://schemas.openxmlformats.org/officeDocument/2006/relationships/hyperlink" Target="https://ref.ly/Josh21:4-Josh21:5,Josh21:10,Josh21:20,Josh21:26" TargetMode="External"/><Relationship Id="rId5032" Type="http://schemas.openxmlformats.org/officeDocument/2006/relationships/hyperlink" Target="https://ref.ly/1Chr6:2,1Chr6:18,1Chr6:22,1Chr6:33,1Chr6:54,1Chr6:61,1Chr6:66,1Chr6:70" TargetMode="External"/><Relationship Id="rId5033" Type="http://schemas.openxmlformats.org/officeDocument/2006/relationships/hyperlink" Target="https://ref.ly/1Chr15:5" TargetMode="External"/><Relationship Id="rId5034" Type="http://schemas.openxmlformats.org/officeDocument/2006/relationships/hyperlink" Target="https://ref.ly/1Chr23:12" TargetMode="External"/><Relationship Id="rId5035" Type="http://schemas.openxmlformats.org/officeDocument/2006/relationships/hyperlink" Target="https://ref.ly/2Chr20:19" TargetMode="External"/><Relationship Id="rId5036" Type="http://schemas.openxmlformats.org/officeDocument/2006/relationships/hyperlink" Target="https://ref.ly/2Chr34:12" TargetMode="External"/><Relationship Id="rId5037" Type="http://schemas.openxmlformats.org/officeDocument/2006/relationships/hyperlink" Target="https://ref.ly/Num3:29" TargetMode="External"/><Relationship Id="rId5038" Type="http://schemas.openxmlformats.org/officeDocument/2006/relationships/hyperlink" Target="https://ref.ly/Num3:27-Num3:28" TargetMode="External"/><Relationship Id="rId5039" Type="http://schemas.openxmlformats.org/officeDocument/2006/relationships/hyperlink" Target="https://ref.ly/Num4:1-Num4:4,Num4:34-Num4:37" TargetMode="External"/><Relationship Id="rId5040" Type="http://schemas.openxmlformats.org/officeDocument/2006/relationships/hyperlink" Target="https://ref.ly/Josh21:4-Josh21:5,Josh21:20-Josh21:26" TargetMode="External"/><Relationship Id="rId5041" Type="http://schemas.openxmlformats.org/officeDocument/2006/relationships/hyperlink" Target="https://ref.ly/1Chr6:66-1Chr6:70" TargetMode="External"/><Relationship Id="rId5042" Type="http://schemas.openxmlformats.org/officeDocument/2006/relationships/hyperlink" Target="https://ref.ly/1Chr6:31" TargetMode="External"/><Relationship Id="rId5043" Type="http://schemas.openxmlformats.org/officeDocument/2006/relationships/hyperlink" Target="https://ref.ly/1Chr9:32" TargetMode="External"/><Relationship Id="rId5044" Type="http://schemas.openxmlformats.org/officeDocument/2006/relationships/hyperlink" Target="https://ref.ly/1Chr15:3-1Chr15:5" TargetMode="External"/><Relationship Id="rId5045" Type="http://schemas.openxmlformats.org/officeDocument/2006/relationships/hyperlink" Target="https://ref.ly/2Chr20:19-2Chr20:22" TargetMode="External"/><Relationship Id="rId5046" Type="http://schemas.openxmlformats.org/officeDocument/2006/relationships/hyperlink" Target="https://ref.ly/2Kgs18:1-2Kgs18:37" TargetMode="External"/><Relationship Id="rId5047" Type="http://schemas.openxmlformats.org/officeDocument/2006/relationships/hyperlink" Target="https://ref.ly/2Chr29:1-2Chr30:27" TargetMode="External"/><Relationship Id="rId5048" Type="http://schemas.openxmlformats.org/officeDocument/2006/relationships/hyperlink" Target="https://ref.ly/2Kgs22:1-2Kgs23:37" TargetMode="External"/><Relationship Id="rId5049" Type="http://schemas.openxmlformats.org/officeDocument/2006/relationships/hyperlink" Target="https://ref.ly/2Chr34:1-2Chr34:33" TargetMode="External"/><Relationship Id="rId5050" Type="http://schemas.openxmlformats.org/officeDocument/2006/relationships/hyperlink" Target="https://ref.ly/2Chr29:12-2Chr29:16" TargetMode="External"/><Relationship Id="rId5051" Type="http://schemas.openxmlformats.org/officeDocument/2006/relationships/hyperlink" Target="https://ref.ly/1Chr9:19,1Chr9:31-1Chr9:32" TargetMode="External"/><Relationship Id="rId5052" Type="http://schemas.openxmlformats.org/officeDocument/2006/relationships/hyperlink" Target="https://ref.ly/Ezra2:42" TargetMode="External"/><Relationship Id="rId5053" Type="http://schemas.openxmlformats.org/officeDocument/2006/relationships/hyperlink" Target="https://ref.ly/Neh12:25" TargetMode="External"/><Relationship Id="rId5054" Type="http://schemas.openxmlformats.org/officeDocument/2006/relationships/hyperlink" Target="https://ref.ly/Jdt4:4" TargetMode="External"/><Relationship Id="rId5055" Type="http://schemas.openxmlformats.org/officeDocument/2006/relationships/hyperlink" Target="https://ref.ly/Gen14:15" TargetMode="External"/><Relationship Id="rId5056" Type="http://schemas.openxmlformats.org/officeDocument/2006/relationships/hyperlink" Target="https://ref.ly/Jdt15:4-Jdt15:5" TargetMode="External"/><Relationship Id="rId5057" Type="http://schemas.openxmlformats.org/officeDocument/2006/relationships/hyperlink" Target="https://ref.ly/Isa3:23" TargetMode="External"/><Relationship Id="rId5058" Type="http://schemas.openxmlformats.org/officeDocument/2006/relationships/hyperlink" Target="https://ref.ly/Exod28:36" TargetMode="External"/><Relationship Id="rId5059" Type="http://schemas.openxmlformats.org/officeDocument/2006/relationships/hyperlink" Target="https://ref.ly/1Cor11:5-1Cor11:6" TargetMode="External"/><Relationship Id="rId5060" Type="http://schemas.openxmlformats.org/officeDocument/2006/relationships/hyperlink" Target="https://ref.ly/Luke15:8-Luke15:10" TargetMode="External"/><Relationship Id="rId5061" Type="http://schemas.openxmlformats.org/officeDocument/2006/relationships/hyperlink" Target="https://ref.ly/1Pet3:3-1Pet3:4" TargetMode="External"/><Relationship Id="rId5062" Type="http://schemas.openxmlformats.org/officeDocument/2006/relationships/hyperlink" Target="https://ref.ly/Prov21:26" TargetMode="External"/><Relationship Id="rId5063" Type="http://schemas.openxmlformats.org/officeDocument/2006/relationships/hyperlink" Target="https://ref.ly/Hab2:9" TargetMode="External"/><Relationship Id="rId5064" Type="http://schemas.openxmlformats.org/officeDocument/2006/relationships/hyperlink" Target="https://ref.ly/Mic2:2" TargetMode="External"/><Relationship Id="rId5065" Type="http://schemas.openxmlformats.org/officeDocument/2006/relationships/hyperlink" Target="https://ref.ly/Eph5:3" TargetMode="External"/><Relationship Id="rId5066" Type="http://schemas.openxmlformats.org/officeDocument/2006/relationships/hyperlink" Target="https://ref.ly/1Cor6:10" TargetMode="External"/><Relationship Id="rId5067" Type="http://schemas.openxmlformats.org/officeDocument/2006/relationships/hyperlink" Target="https://ref.ly/1Tim6:9-1Tim6:10" TargetMode="External"/><Relationship Id="rId5068" Type="http://schemas.openxmlformats.org/officeDocument/2006/relationships/hyperlink" Target="https://ref.ly/Prov15:27" TargetMode="External"/><Relationship Id="rId5069" Type="http://schemas.openxmlformats.org/officeDocument/2006/relationships/hyperlink" Target="https://ref.ly/Acts5:1-Acts5:3" TargetMode="External"/><Relationship Id="rId5070" Type="http://schemas.openxmlformats.org/officeDocument/2006/relationships/hyperlink" Target="https://ref.ly/Matt26:14-Matt26:15" TargetMode="External"/><Relationship Id="rId5071" Type="http://schemas.openxmlformats.org/officeDocument/2006/relationships/hyperlink" Target="https://ref.ly/Luke12:15" TargetMode="External"/><Relationship Id="rId5072" Type="http://schemas.openxmlformats.org/officeDocument/2006/relationships/hyperlink" Target="https://ref.ly/1Cor14:39" TargetMode="External"/><Relationship Id="rId5073" Type="http://schemas.openxmlformats.org/officeDocument/2006/relationships/hyperlink" Target="https://ref.ly/Luke15:16" TargetMode="External"/><Relationship Id="rId5074" Type="http://schemas.openxmlformats.org/officeDocument/2006/relationships/hyperlink" Target="https://ref.ly/Matt13:17" TargetMode="External"/><Relationship Id="rId5075" Type="http://schemas.openxmlformats.org/officeDocument/2006/relationships/hyperlink" Target="https://ref.ly/1Pet1:12" TargetMode="External"/><Relationship Id="rId5076" Type="http://schemas.openxmlformats.org/officeDocument/2006/relationships/hyperlink" Target="https://ref.ly/Phil1:23" TargetMode="External"/><Relationship Id="rId5077" Type="http://schemas.openxmlformats.org/officeDocument/2006/relationships/hyperlink" Target="https://ref.ly/Heb6:11" TargetMode="External"/><Relationship Id="rId5078" Type="http://schemas.openxmlformats.org/officeDocument/2006/relationships/hyperlink" Target="https://ref.ly/Matt5:28" TargetMode="External"/><Relationship Id="rId5079" Type="http://schemas.openxmlformats.org/officeDocument/2006/relationships/hyperlink" Target="https://ref.ly/1Thess4:5" TargetMode="External"/><Relationship Id="rId5080" Type="http://schemas.openxmlformats.org/officeDocument/2006/relationships/hyperlink" Target="https://ref.ly/1John2:17" TargetMode="External"/><Relationship Id="rId5081" Type="http://schemas.openxmlformats.org/officeDocument/2006/relationships/hyperlink" Target="https://ref.ly/John8:44" TargetMode="External"/><Relationship Id="rId5082" Type="http://schemas.openxmlformats.org/officeDocument/2006/relationships/hyperlink" Target="https://ref.ly/Rom7:7-Rom7:8" TargetMode="External"/><Relationship Id="rId5083" Type="http://schemas.openxmlformats.org/officeDocument/2006/relationships/hyperlink" Target="https://ref.ly/Rom13:14" TargetMode="External"/><Relationship Id="rId5084" Type="http://schemas.openxmlformats.org/officeDocument/2006/relationships/hyperlink" Target="https://ref.ly/Num21:4-Num21:9" TargetMode="External"/><Relationship Id="rId5085" Type="http://schemas.openxmlformats.org/officeDocument/2006/relationships/hyperlink" Target="https://ref.ly/Exod7:8-Exod7:12" TargetMode="External"/><Relationship Id="rId5086" Type="http://schemas.openxmlformats.org/officeDocument/2006/relationships/hyperlink" Target="https://ref.ly/Exod4:2-Exod4:5,Exod4:28-Exod4:30" TargetMode="External"/><Relationship Id="rId5087" Type="http://schemas.openxmlformats.org/officeDocument/2006/relationships/hyperlink" Target="https://ref.ly/Num21:1-Num21:35" TargetMode="External"/><Relationship Id="rId5088" Type="http://schemas.openxmlformats.org/officeDocument/2006/relationships/hyperlink" Target="https://ref.ly/1Cor10:9" TargetMode="External"/><Relationship Id="rId5089" Type="http://schemas.openxmlformats.org/officeDocument/2006/relationships/hyperlink" Target="https://ref.ly/Wis16:7" TargetMode="External"/><Relationship Id="rId5090" Type="http://schemas.openxmlformats.org/officeDocument/2006/relationships/hyperlink" Target="https://ref.ly/John3:14" TargetMode="External"/><Relationship Id="rId5091" Type="http://schemas.openxmlformats.org/officeDocument/2006/relationships/hyperlink" Target="https://ref.ly/Luke19:2-Luke19:10" TargetMode="External"/><Relationship Id="rId5092" Type="http://schemas.openxmlformats.org/officeDocument/2006/relationships/hyperlink" Target="https://ref.ly/Matt9:10-Matt9:11" TargetMode="External"/><Relationship Id="rId5093" Type="http://schemas.openxmlformats.org/officeDocument/2006/relationships/hyperlink" Target="https://ref.ly/Matt11:19" TargetMode="External"/><Relationship Id="rId5094" Type="http://schemas.openxmlformats.org/officeDocument/2006/relationships/hyperlink" Target="https://ref.ly/Mark2:15-Mark2:16" TargetMode="External"/><Relationship Id="rId5095" Type="http://schemas.openxmlformats.org/officeDocument/2006/relationships/hyperlink" Target="https://ref.ly/Luke5:30" TargetMode="External"/><Relationship Id="rId5096" Type="http://schemas.openxmlformats.org/officeDocument/2006/relationships/hyperlink" Target="https://ref.ly/Exod16:13" TargetMode="External"/><Relationship Id="rId5097" Type="http://schemas.openxmlformats.org/officeDocument/2006/relationships/hyperlink" Target="https://ref.ly/Num11:31-Num11:32" TargetMode="External"/><Relationship Id="rId5098" Type="http://schemas.openxmlformats.org/officeDocument/2006/relationships/hyperlink" Target="https://ref.ly/Ps105:40" TargetMode="External"/><Relationship Id="rId5099" Type="http://schemas.openxmlformats.org/officeDocument/2006/relationships/hyperlink" Target="https://ref.ly/Num11:31" TargetMode="External"/><Relationship Id="rId5100" Type="http://schemas.openxmlformats.org/officeDocument/2006/relationships/hyperlink" Target="https://ref.ly/Ps78:26-Ps78:28" TargetMode="External"/><Relationship Id="rId5101" Type="http://schemas.openxmlformats.org/officeDocument/2006/relationships/hyperlink" Target="https://ref.ly/Exod16:31" TargetMode="External"/><Relationship Id="rId5102" Type="http://schemas.openxmlformats.org/officeDocument/2006/relationships/hyperlink" Target="https://ref.ly/Lev27:28-Lev27:29" TargetMode="External"/><Relationship Id="rId5103" Type="http://schemas.openxmlformats.org/officeDocument/2006/relationships/hyperlink" Target="https://ref.ly/Num18:14" TargetMode="External"/><Relationship Id="rId5104" Type="http://schemas.openxmlformats.org/officeDocument/2006/relationships/hyperlink" Target="https://ref.ly/Judg15:1" TargetMode="External"/><Relationship Id="rId5105" Type="http://schemas.openxmlformats.org/officeDocument/2006/relationships/hyperlink" Target="https://ref.ly/Ruth1:22" TargetMode="External"/><Relationship Id="rId5106" Type="http://schemas.openxmlformats.org/officeDocument/2006/relationships/hyperlink" Target="https://ref.ly/Exod23:16" TargetMode="External"/><Relationship Id="rId5107" Type="http://schemas.openxmlformats.org/officeDocument/2006/relationships/hyperlink" Target="https://ref.ly/Deut8:7-Deut8:10" TargetMode="External"/><Relationship Id="rId5108" Type="http://schemas.openxmlformats.org/officeDocument/2006/relationships/hyperlink" Target="https://ref.ly/Lev23:10-Lev23:11" TargetMode="External"/><Relationship Id="rId5109" Type="http://schemas.openxmlformats.org/officeDocument/2006/relationships/hyperlink" Target="https://ref.ly/Lev19:9-Lev19:10" TargetMode="External"/><Relationship Id="rId5110" Type="http://schemas.openxmlformats.org/officeDocument/2006/relationships/hyperlink" Target="https://ref.ly/Lev23:22" TargetMode="External"/><Relationship Id="rId5111" Type="http://schemas.openxmlformats.org/officeDocument/2006/relationships/hyperlink" Target="https://ref.ly/Matt13:24-Matt13:30" TargetMode="External"/><Relationship Id="rId5112" Type="http://schemas.openxmlformats.org/officeDocument/2006/relationships/hyperlink" Target="https://ref.ly/Matt13:36-Matt13:43" TargetMode="External"/><Relationship Id="rId5113" Type="http://schemas.openxmlformats.org/officeDocument/2006/relationships/hyperlink" Target="https://ref.ly/Matt9:37-Matt9:38" TargetMode="External"/><Relationship Id="rId5114" Type="http://schemas.openxmlformats.org/officeDocument/2006/relationships/hyperlink" Target="https://ref.ly/Col4:3,Col4:10" TargetMode="External"/><Relationship Id="rId5115" Type="http://schemas.openxmlformats.org/officeDocument/2006/relationships/hyperlink" Target="https://ref.ly/Eph3:1" TargetMode="External"/><Relationship Id="rId5116" Type="http://schemas.openxmlformats.org/officeDocument/2006/relationships/hyperlink" Target="https://ref.ly/Eph4:1" TargetMode="External"/><Relationship Id="rId5117" Type="http://schemas.openxmlformats.org/officeDocument/2006/relationships/hyperlink" Target="https://ref.ly/Eph6:20" TargetMode="External"/><Relationship Id="rId5118" Type="http://schemas.openxmlformats.org/officeDocument/2006/relationships/hyperlink" Target="https://ref.ly/Phil1:12-Phil1:14" TargetMode="External"/><Relationship Id="rId5119" Type="http://schemas.openxmlformats.org/officeDocument/2006/relationships/hyperlink" Target="https://ref.ly/Phlm1:9-Phlm1:10" TargetMode="External"/><Relationship Id="rId5120" Type="http://schemas.openxmlformats.org/officeDocument/2006/relationships/hyperlink" Target="https://ref.ly/Col4:7-Col4:9" TargetMode="External"/><Relationship Id="rId5121" Type="http://schemas.openxmlformats.org/officeDocument/2006/relationships/hyperlink" Target="https://ref.ly/Eph6:21-Eph6:22" TargetMode="External"/><Relationship Id="rId5122" Type="http://schemas.openxmlformats.org/officeDocument/2006/relationships/hyperlink" Target="https://ref.ly/Col1:15-Col1:20" TargetMode="External"/><Relationship Id="rId5123" Type="http://schemas.openxmlformats.org/officeDocument/2006/relationships/hyperlink" Target="https://ref.ly/1Cor8:6" TargetMode="External"/><Relationship Id="rId5124" Type="http://schemas.openxmlformats.org/officeDocument/2006/relationships/hyperlink" Target="https://ref.ly/Phil2:6-Phil2:11" TargetMode="External"/><Relationship Id="rId5125" Type="http://schemas.openxmlformats.org/officeDocument/2006/relationships/hyperlink" Target="https://ref.ly/1Cor15:25" TargetMode="External"/><Relationship Id="rId5126" Type="http://schemas.openxmlformats.org/officeDocument/2006/relationships/hyperlink" Target="https://ref.ly/Col3:1-Col3:4" TargetMode="External"/><Relationship Id="rId5127" Type="http://schemas.openxmlformats.org/officeDocument/2006/relationships/hyperlink" Target="https://ref.ly/Col1:5" TargetMode="External"/><Relationship Id="rId5128" Type="http://schemas.openxmlformats.org/officeDocument/2006/relationships/hyperlink" Target="https://ref.ly/Rom6:1-Rom6:11" TargetMode="External"/><Relationship Id="rId5129" Type="http://schemas.openxmlformats.org/officeDocument/2006/relationships/hyperlink" Target="https://ref.ly/Col3:2-Col3:3" TargetMode="External"/><Relationship Id="rId5130" Type="http://schemas.openxmlformats.org/officeDocument/2006/relationships/hyperlink" Target="https://ref.ly/Col2:20" TargetMode="External"/><Relationship Id="rId5131" Type="http://schemas.openxmlformats.org/officeDocument/2006/relationships/hyperlink" Target="https://ref.ly/2Cor11:23" TargetMode="External"/><Relationship Id="rId5132" Type="http://schemas.openxmlformats.org/officeDocument/2006/relationships/hyperlink" Target="https://ref.ly/Acts19:1-Acts20:38" TargetMode="External"/><Relationship Id="rId5133" Type="http://schemas.openxmlformats.org/officeDocument/2006/relationships/hyperlink" Target="https://ref.ly/1Cor15:32" TargetMode="External"/><Relationship Id="rId5134" Type="http://schemas.openxmlformats.org/officeDocument/2006/relationships/hyperlink" Target="https://ref.ly/2Cor1:8-2Cor1:10" TargetMode="External"/><Relationship Id="rId5135" Type="http://schemas.openxmlformats.org/officeDocument/2006/relationships/hyperlink" Target="https://ref.ly/Col2:8" TargetMode="External"/><Relationship Id="rId5136" Type="http://schemas.openxmlformats.org/officeDocument/2006/relationships/hyperlink" Target="https://ref.ly/Col1:9-Col1:11" TargetMode="External"/><Relationship Id="rId5137" Type="http://schemas.openxmlformats.org/officeDocument/2006/relationships/hyperlink" Target="https://ref.ly/Col1:26-Col1:28" TargetMode="External"/><Relationship Id="rId5138" Type="http://schemas.openxmlformats.org/officeDocument/2006/relationships/hyperlink" Target="https://ref.ly/Col2:2-Col2:3" TargetMode="External"/><Relationship Id="rId5139" Type="http://schemas.openxmlformats.org/officeDocument/2006/relationships/hyperlink" Target="https://ref.ly/Heb5:12" TargetMode="External"/><Relationship Id="rId5140" Type="http://schemas.openxmlformats.org/officeDocument/2006/relationships/hyperlink" Target="https://ref.ly/Col2:15" TargetMode="External"/><Relationship Id="rId5141" Type="http://schemas.openxmlformats.org/officeDocument/2006/relationships/hyperlink" Target="https://ref.ly/Col1:16-Col1:20" TargetMode="External"/><Relationship Id="rId5142" Type="http://schemas.openxmlformats.org/officeDocument/2006/relationships/hyperlink" Target="https://ref.ly/Col1:19" TargetMode="External"/><Relationship Id="rId5143" Type="http://schemas.openxmlformats.org/officeDocument/2006/relationships/hyperlink" Target="https://ref.ly/Col2:9" TargetMode="External"/><Relationship Id="rId5144" Type="http://schemas.openxmlformats.org/officeDocument/2006/relationships/hyperlink" Target="https://ref.ly/Col2:16-Col2:18" TargetMode="External"/><Relationship Id="rId5145" Type="http://schemas.openxmlformats.org/officeDocument/2006/relationships/hyperlink" Target="https://ref.ly/Col2:18,Col2:21-Col2:23" TargetMode="External"/><Relationship Id="rId5146" Type="http://schemas.openxmlformats.org/officeDocument/2006/relationships/hyperlink" Target="https://ref.ly/Col2:21" TargetMode="External"/><Relationship Id="rId5147" Type="http://schemas.openxmlformats.org/officeDocument/2006/relationships/hyperlink" Target="https://ref.ly/Col3:5-Col3:11" TargetMode="External"/><Relationship Id="rId5148" Type="http://schemas.openxmlformats.org/officeDocument/2006/relationships/hyperlink" Target="https://ref.ly/Col1:7" TargetMode="External"/><Relationship Id="rId5149" Type="http://schemas.openxmlformats.org/officeDocument/2006/relationships/hyperlink" Target="https://ref.ly/Col4:12-Col4:13" TargetMode="External"/><Relationship Id="rId5150" Type="http://schemas.openxmlformats.org/officeDocument/2006/relationships/hyperlink" Target="https://ref.ly/Col1:12-Col1:14" TargetMode="External"/><Relationship Id="rId5151" Type="http://schemas.openxmlformats.org/officeDocument/2006/relationships/hyperlink" Target="https://ref.ly/Col2:18-Col2:19" TargetMode="External"/><Relationship Id="rId5152" Type="http://schemas.openxmlformats.org/officeDocument/2006/relationships/hyperlink" Target="https://ref.ly/Col2:9-Col2:10" TargetMode="External"/><Relationship Id="rId5153" Type="http://schemas.openxmlformats.org/officeDocument/2006/relationships/hyperlink" Target="https://ref.ly/Col1:1-Col1:29" TargetMode="External"/><Relationship Id="rId5154" Type="http://schemas.openxmlformats.org/officeDocument/2006/relationships/hyperlink" Target="https://ref.ly/Col1:20" TargetMode="External"/><Relationship Id="rId5155" Type="http://schemas.openxmlformats.org/officeDocument/2006/relationships/hyperlink" Target="https://ref.ly/Col1:21-Col1:22" TargetMode="External"/><Relationship Id="rId5156" Type="http://schemas.openxmlformats.org/officeDocument/2006/relationships/hyperlink" Target="https://ref.ly/Col2:14" TargetMode="External"/><Relationship Id="rId5157" Type="http://schemas.openxmlformats.org/officeDocument/2006/relationships/hyperlink" Target="https://ref.ly/Col1:18,Col1:24" TargetMode="External"/><Relationship Id="rId5158" Type="http://schemas.openxmlformats.org/officeDocument/2006/relationships/hyperlink" Target="https://ref.ly/Col2:19" TargetMode="External"/><Relationship Id="rId5159" Type="http://schemas.openxmlformats.org/officeDocument/2006/relationships/hyperlink" Target="https://ref.ly/Col1:13" TargetMode="External"/><Relationship Id="rId5160" Type="http://schemas.openxmlformats.org/officeDocument/2006/relationships/hyperlink" Target="https://ref.ly/Col1:1-Col1:2" TargetMode="External"/><Relationship Id="rId5161" Type="http://schemas.openxmlformats.org/officeDocument/2006/relationships/hyperlink" Target="https://ref.ly/Col1:3-Col1:8" TargetMode="External"/><Relationship Id="rId5162" Type="http://schemas.openxmlformats.org/officeDocument/2006/relationships/hyperlink" Target="https://ref.ly/Col1:12-Col1:23" TargetMode="External"/><Relationship Id="rId5163" Type="http://schemas.openxmlformats.org/officeDocument/2006/relationships/hyperlink" Target="https://ref.ly/Col1:21-Col1:23" TargetMode="External"/><Relationship Id="rId5164" Type="http://schemas.openxmlformats.org/officeDocument/2006/relationships/hyperlink" Target="https://ref.ly/Col1:24-Col2:5" TargetMode="External"/><Relationship Id="rId5165" Type="http://schemas.openxmlformats.org/officeDocument/2006/relationships/hyperlink" Target="https://ref.ly/Col1:24-Col1:29" TargetMode="External"/><Relationship Id="rId5166" Type="http://schemas.openxmlformats.org/officeDocument/2006/relationships/hyperlink" Target="https://ref.ly/Col2:1-Col2:5" TargetMode="External"/><Relationship Id="rId5167" Type="http://schemas.openxmlformats.org/officeDocument/2006/relationships/hyperlink" Target="https://ref.ly/Col2:6-Col2:23" TargetMode="External"/><Relationship Id="rId5168" Type="http://schemas.openxmlformats.org/officeDocument/2006/relationships/hyperlink" Target="https://ref.ly/Col2:6-Col2:7" TargetMode="External"/><Relationship Id="rId5169" Type="http://schemas.openxmlformats.org/officeDocument/2006/relationships/hyperlink" Target="https://ref.ly/Col2:11-Col2:15" TargetMode="External"/><Relationship Id="rId5170" Type="http://schemas.openxmlformats.org/officeDocument/2006/relationships/hyperlink" Target="https://ref.ly/Col2:16-Col2:23" TargetMode="External"/><Relationship Id="rId5171" Type="http://schemas.openxmlformats.org/officeDocument/2006/relationships/hyperlink" Target="https://ref.ly/Col3:1-Col4:6" TargetMode="External"/><Relationship Id="rId5172" Type="http://schemas.openxmlformats.org/officeDocument/2006/relationships/hyperlink" Target="https://ref.ly/Col3:12-Col3:14" TargetMode="External"/><Relationship Id="rId5173" Type="http://schemas.openxmlformats.org/officeDocument/2006/relationships/hyperlink" Target="https://ref.ly/Col3:15-Col4:1" TargetMode="External"/><Relationship Id="rId5174" Type="http://schemas.openxmlformats.org/officeDocument/2006/relationships/hyperlink" Target="https://ref.ly/Col3:18-Col4:1" TargetMode="External"/><Relationship Id="rId5175" Type="http://schemas.openxmlformats.org/officeDocument/2006/relationships/hyperlink" Target="https://ref.ly/Col3:15-Col3:17" TargetMode="External"/><Relationship Id="rId5176" Type="http://schemas.openxmlformats.org/officeDocument/2006/relationships/hyperlink" Target="https://ref.ly/Col4:2-Col4:6" TargetMode="External"/><Relationship Id="rId5177" Type="http://schemas.openxmlformats.org/officeDocument/2006/relationships/hyperlink" Target="https://ref.ly/Gal3:28" TargetMode="External"/><Relationship Id="rId5178" Type="http://schemas.openxmlformats.org/officeDocument/2006/relationships/hyperlink" Target="https://ref.ly/Col4:10-Col4:18" TargetMode="External"/><Relationship Id="rId5179" Type="http://schemas.openxmlformats.org/officeDocument/2006/relationships/hyperlink" Target="https://ref.ly/Col1:2" TargetMode="External"/><Relationship Id="rId5180" Type="http://schemas.openxmlformats.org/officeDocument/2006/relationships/hyperlink" Target="https://ref.ly/Col4:12" TargetMode="External"/><Relationship Id="rId5181" Type="http://schemas.openxmlformats.org/officeDocument/2006/relationships/hyperlink" Target="https://ref.ly/Phlm1:23" TargetMode="External"/><Relationship Id="rId5182" Type="http://schemas.openxmlformats.org/officeDocument/2006/relationships/hyperlink" Target="https://ref.ly/Gen23:16" TargetMode="External"/><Relationship Id="rId5183" Type="http://schemas.openxmlformats.org/officeDocument/2006/relationships/hyperlink" Target="https://ref.ly/Ezek27:16-Ezek27:18" TargetMode="External"/><Relationship Id="rId5184" Type="http://schemas.openxmlformats.org/officeDocument/2006/relationships/hyperlink" Target="https://ref.ly/Isa23:2,Isa23:8" TargetMode="External"/><Relationship Id="rId5185" Type="http://schemas.openxmlformats.org/officeDocument/2006/relationships/hyperlink" Target="https://ref.ly/Nah3:16" TargetMode="External"/><Relationship Id="rId5186" Type="http://schemas.openxmlformats.org/officeDocument/2006/relationships/hyperlink" Target="https://ref.ly/Neh13:16-Neh13:20" TargetMode="External"/><Relationship Id="rId5187" Type="http://schemas.openxmlformats.org/officeDocument/2006/relationships/hyperlink" Target="https://ref.ly/Ezek27:15,Ezek27:20-Ezek27:23" TargetMode="External"/><Relationship Id="rId5188" Type="http://schemas.openxmlformats.org/officeDocument/2006/relationships/hyperlink" Target="https://ref.ly/Ezek38:13" TargetMode="External"/><Relationship Id="rId5189" Type="http://schemas.openxmlformats.org/officeDocument/2006/relationships/hyperlink" Target="https://ref.ly/Neh3:31" TargetMode="External"/><Relationship Id="rId5190" Type="http://schemas.openxmlformats.org/officeDocument/2006/relationships/hyperlink" Target="https://ref.ly/Neh13:19-Neh13:20" TargetMode="External"/><Relationship Id="rId5191" Type="http://schemas.openxmlformats.org/officeDocument/2006/relationships/hyperlink" Target="https://ref.ly/Gen41:49" TargetMode="External"/><Relationship Id="rId5192" Type="http://schemas.openxmlformats.org/officeDocument/2006/relationships/hyperlink" Target="https://ref.ly/1Kgs9:19" TargetMode="External"/><Relationship Id="rId5193" Type="http://schemas.openxmlformats.org/officeDocument/2006/relationships/hyperlink" Target="https://ref.ly/Gen43:11" TargetMode="External"/><Relationship Id="rId5194" Type="http://schemas.openxmlformats.org/officeDocument/2006/relationships/hyperlink" Target="https://ref.ly/1Kgs9:26-1Kgs9:27" TargetMode="External"/><Relationship Id="rId5195" Type="http://schemas.openxmlformats.org/officeDocument/2006/relationships/hyperlink" Target="https://ref.ly/1Kgs10:28" TargetMode="External"/><Relationship Id="rId5196" Type="http://schemas.openxmlformats.org/officeDocument/2006/relationships/hyperlink" Target="https://ref.ly/Neh3:31-Neh3:32" TargetMode="External"/><Relationship Id="rId5197" Type="http://schemas.openxmlformats.org/officeDocument/2006/relationships/hyperlink" Target="https://ref.ly/2Kgs4:38" TargetMode="External"/><Relationship Id="rId5198" Type="http://schemas.openxmlformats.org/officeDocument/2006/relationships/hyperlink" Target="https://ref.ly/Jer14:1" TargetMode="External"/><Relationship Id="rId5199" Type="http://schemas.openxmlformats.org/officeDocument/2006/relationships/hyperlink" Target="https://ref.ly/Hag1:11" TargetMode="External"/><Relationship Id="rId5200" Type="http://schemas.openxmlformats.org/officeDocument/2006/relationships/hyperlink" Target="https://ref.ly/Hag2:17" TargetMode="External"/><Relationship Id="rId5201" Type="http://schemas.openxmlformats.org/officeDocument/2006/relationships/hyperlink" Target="https://ref.ly/2Kgs6:25" TargetMode="External"/><Relationship Id="rId5202" Type="http://schemas.openxmlformats.org/officeDocument/2006/relationships/hyperlink" Target="https://ref.ly/Lam4:9" TargetMode="External"/><Relationship Id="rId5203" Type="http://schemas.openxmlformats.org/officeDocument/2006/relationships/hyperlink" Target="https://ref.ly/Amos4:6-Amos4:9" TargetMode="External"/><Relationship Id="rId5204" Type="http://schemas.openxmlformats.org/officeDocument/2006/relationships/hyperlink" Target="https://ref.ly/Hab3:17-Hab3:18" TargetMode="External"/><Relationship Id="rId5205" Type="http://schemas.openxmlformats.org/officeDocument/2006/relationships/hyperlink" Target="https://ref.ly/Judg4:19" TargetMode="External"/><Relationship Id="rId5206" Type="http://schemas.openxmlformats.org/officeDocument/2006/relationships/hyperlink" Target="https://ref.ly/Job10:10" TargetMode="External"/><Relationship Id="rId5207" Type="http://schemas.openxmlformats.org/officeDocument/2006/relationships/hyperlink" Target="https://ref.ly/Exod9:31-Exod9:32" TargetMode="External"/><Relationship Id="rId5208" Type="http://schemas.openxmlformats.org/officeDocument/2006/relationships/hyperlink" Target="https://ref.ly/Gen18:6" TargetMode="External"/><Relationship Id="rId5209" Type="http://schemas.openxmlformats.org/officeDocument/2006/relationships/hyperlink" Target="https://ref.ly/Ezek16:13" TargetMode="External"/><Relationship Id="rId5210" Type="http://schemas.openxmlformats.org/officeDocument/2006/relationships/hyperlink" Target="https://ref.ly/2Kgs4:42" TargetMode="External"/><Relationship Id="rId5211" Type="http://schemas.openxmlformats.org/officeDocument/2006/relationships/hyperlink" Target="https://ref.ly/Ezek4:12" TargetMode="External"/><Relationship Id="rId5212" Type="http://schemas.openxmlformats.org/officeDocument/2006/relationships/hyperlink" Target="https://ref.ly/John6:9-John6:13" TargetMode="External"/><Relationship Id="rId5213" Type="http://schemas.openxmlformats.org/officeDocument/2006/relationships/hyperlink" Target="https://ref.ly/Luke6:1" TargetMode="External"/><Relationship Id="rId5214" Type="http://schemas.openxmlformats.org/officeDocument/2006/relationships/hyperlink" Target="https://ref.ly/Josh5:11" TargetMode="External"/><Relationship Id="rId5215" Type="http://schemas.openxmlformats.org/officeDocument/2006/relationships/hyperlink" Target="https://ref.ly/1Sam17:17" TargetMode="External"/><Relationship Id="rId5216" Type="http://schemas.openxmlformats.org/officeDocument/2006/relationships/hyperlink" Target="https://ref.ly/Ruth2:14" TargetMode="External"/><Relationship Id="rId5217" Type="http://schemas.openxmlformats.org/officeDocument/2006/relationships/hyperlink" Target="https://ref.ly/Gen9:3" TargetMode="External"/><Relationship Id="rId5218" Type="http://schemas.openxmlformats.org/officeDocument/2006/relationships/hyperlink" Target="https://ref.ly/Exod12:8" TargetMode="External"/><Relationship Id="rId5219" Type="http://schemas.openxmlformats.org/officeDocument/2006/relationships/hyperlink" Target="https://ref.ly/2Sam12:2-2Sam12:4" TargetMode="External"/><Relationship Id="rId5220" Type="http://schemas.openxmlformats.org/officeDocument/2006/relationships/hyperlink" Target="https://ref.ly/Lev22:28" TargetMode="External"/><Relationship Id="rId5221" Type="http://schemas.openxmlformats.org/officeDocument/2006/relationships/hyperlink" Target="https://ref.ly/Deut14:21" TargetMode="External"/><Relationship Id="rId5222" Type="http://schemas.openxmlformats.org/officeDocument/2006/relationships/hyperlink" Target="https://ref.ly/Lev17:11" TargetMode="External"/><Relationship Id="rId5223" Type="http://schemas.openxmlformats.org/officeDocument/2006/relationships/hyperlink" Target="https://ref.ly/Lev11:4-Lev11:8" TargetMode="External"/><Relationship Id="rId5224" Type="http://schemas.openxmlformats.org/officeDocument/2006/relationships/hyperlink" Target="https://ref.ly/Gen15:9" TargetMode="External"/><Relationship Id="rId5225" Type="http://schemas.openxmlformats.org/officeDocument/2006/relationships/hyperlink" Target="https://ref.ly/2Esd1:30" TargetMode="External"/><Relationship Id="rId5226" Type="http://schemas.openxmlformats.org/officeDocument/2006/relationships/hyperlink" Target="https://ref.ly/Deut22:6-Deut22:7" TargetMode="External"/><Relationship Id="rId5227" Type="http://schemas.openxmlformats.org/officeDocument/2006/relationships/hyperlink" Target="https://ref.ly/Isa10:14" TargetMode="External"/><Relationship Id="rId5228" Type="http://schemas.openxmlformats.org/officeDocument/2006/relationships/hyperlink" Target="https://ref.ly/Mark7:19" TargetMode="External"/><Relationship Id="rId5229" Type="http://schemas.openxmlformats.org/officeDocument/2006/relationships/hyperlink" Target="https://ref.ly/1Sam14:27" TargetMode="External"/><Relationship Id="rId5230" Type="http://schemas.openxmlformats.org/officeDocument/2006/relationships/hyperlink" Target="https://ref.ly/1Kgs14:3" TargetMode="External"/><Relationship Id="rId5231" Type="http://schemas.openxmlformats.org/officeDocument/2006/relationships/hyperlink" Target="https://ref.ly/Lev2:11" TargetMode="External"/><Relationship Id="rId5232" Type="http://schemas.openxmlformats.org/officeDocument/2006/relationships/hyperlink" Target="https://ref.ly/Gen25:34" TargetMode="External"/><Relationship Id="rId5233" Type="http://schemas.openxmlformats.org/officeDocument/2006/relationships/hyperlink" Target="https://ref.ly/Prov15:17" TargetMode="External"/><Relationship Id="rId5234" Type="http://schemas.openxmlformats.org/officeDocument/2006/relationships/hyperlink" Target="https://ref.ly/2Kgs4:38-2Kgs4:41" TargetMode="External"/><Relationship Id="rId5235" Type="http://schemas.openxmlformats.org/officeDocument/2006/relationships/hyperlink" Target="https://ref.ly/Num9:11" TargetMode="External"/><Relationship Id="rId5236" Type="http://schemas.openxmlformats.org/officeDocument/2006/relationships/hyperlink" Target="https://ref.ly/Matt23:23" TargetMode="External"/><Relationship Id="rId5237" Type="http://schemas.openxmlformats.org/officeDocument/2006/relationships/hyperlink" Target="https://ref.ly/Luke11:42" TargetMode="External"/><Relationship Id="rId5238" Type="http://schemas.openxmlformats.org/officeDocument/2006/relationships/hyperlink" Target="https://ref.ly/Ezek43:24" TargetMode="External"/><Relationship Id="rId5239" Type="http://schemas.openxmlformats.org/officeDocument/2006/relationships/hyperlink" Target="https://ref.ly/Matt13:31-Matt13:32" TargetMode="External"/><Relationship Id="rId5240" Type="http://schemas.openxmlformats.org/officeDocument/2006/relationships/hyperlink" Target="https://ref.ly/Mic6:15" TargetMode="External"/><Relationship Id="rId5241" Type="http://schemas.openxmlformats.org/officeDocument/2006/relationships/hyperlink" Target="https://ref.ly/Isa28:4" TargetMode="External"/><Relationship Id="rId5242" Type="http://schemas.openxmlformats.org/officeDocument/2006/relationships/hyperlink" Target="https://ref.ly/Mic7:1" TargetMode="External"/><Relationship Id="rId5243" Type="http://schemas.openxmlformats.org/officeDocument/2006/relationships/hyperlink" Target="https://ref.ly/Hos9:10" TargetMode="External"/><Relationship Id="rId5244" Type="http://schemas.openxmlformats.org/officeDocument/2006/relationships/hyperlink" Target="https://ref.ly/Jer24:1-Jer24:10" TargetMode="External"/><Relationship Id="rId5245" Type="http://schemas.openxmlformats.org/officeDocument/2006/relationships/hyperlink" Target="https://ref.ly/1Sam30:12" TargetMode="External"/><Relationship Id="rId5246" Type="http://schemas.openxmlformats.org/officeDocument/2006/relationships/hyperlink" Target="https://ref.ly/2Kgs20:7" TargetMode="External"/><Relationship Id="rId5247" Type="http://schemas.openxmlformats.org/officeDocument/2006/relationships/hyperlink" Target="https://ref.ly/Isa38:21" TargetMode="External"/><Relationship Id="rId5248" Type="http://schemas.openxmlformats.org/officeDocument/2006/relationships/hyperlink" Target="https://ref.ly/Amos7:14" TargetMode="External"/><Relationship Id="rId5249" Type="http://schemas.openxmlformats.org/officeDocument/2006/relationships/hyperlink" Target="https://ref.ly/Judg4:5" TargetMode="External"/><Relationship Id="rId5250" Type="http://schemas.openxmlformats.org/officeDocument/2006/relationships/hyperlink" Target="https://ref.ly/Ps92:12" TargetMode="External"/><Relationship Id="rId5251" Type="http://schemas.openxmlformats.org/officeDocument/2006/relationships/hyperlink" Target="https://ref.ly/Joel1:12" TargetMode="External"/><Relationship Id="rId5252" Type="http://schemas.openxmlformats.org/officeDocument/2006/relationships/hyperlink" Target="https://ref.ly/John12:13" TargetMode="External"/><Relationship Id="rId5253" Type="http://schemas.openxmlformats.org/officeDocument/2006/relationships/hyperlink" Target="https://ref.ly/Exod28:33" TargetMode="External"/><Relationship Id="rId5254" Type="http://schemas.openxmlformats.org/officeDocument/2006/relationships/hyperlink" Target="https://ref.ly/Song8:2" TargetMode="External"/><Relationship Id="rId5255" Type="http://schemas.openxmlformats.org/officeDocument/2006/relationships/hyperlink" Target="https://ref.ly/Prov25:11" TargetMode="External"/><Relationship Id="rId5256" Type="http://schemas.openxmlformats.org/officeDocument/2006/relationships/hyperlink" Target="https://ref.ly/Song2:5" TargetMode="External"/><Relationship Id="rId5257" Type="http://schemas.openxmlformats.org/officeDocument/2006/relationships/hyperlink" Target="https://ref.ly/Gen40:9-Gen40:13" TargetMode="External"/><Relationship Id="rId5258" Type="http://schemas.openxmlformats.org/officeDocument/2006/relationships/hyperlink" Target="https://ref.ly/Isa5:22" TargetMode="External"/><Relationship Id="rId5259" Type="http://schemas.openxmlformats.org/officeDocument/2006/relationships/hyperlink" Target="https://ref.ly/Gen43:34" TargetMode="External"/><Relationship Id="rId5260" Type="http://schemas.openxmlformats.org/officeDocument/2006/relationships/hyperlink" Target="https://ref.ly/Judg9:13" TargetMode="External"/><Relationship Id="rId5261" Type="http://schemas.openxmlformats.org/officeDocument/2006/relationships/hyperlink" Target="https://ref.ly/Luke5:34" TargetMode="External"/><Relationship Id="rId5262" Type="http://schemas.openxmlformats.org/officeDocument/2006/relationships/hyperlink" Target="https://ref.ly/Ps103:13" TargetMode="External"/><Relationship Id="rId5263" Type="http://schemas.openxmlformats.org/officeDocument/2006/relationships/hyperlink" Target="https://ref.ly/Matt14:14" TargetMode="External"/><Relationship Id="rId5264" Type="http://schemas.openxmlformats.org/officeDocument/2006/relationships/hyperlink" Target="https://ref.ly/Luke19:41" TargetMode="External"/><Relationship Id="rId5265" Type="http://schemas.openxmlformats.org/officeDocument/2006/relationships/hyperlink" Target="https://ref.ly/Matt5:4-Matt5:7" TargetMode="External"/><Relationship Id="rId5266" Type="http://schemas.openxmlformats.org/officeDocument/2006/relationships/hyperlink" Target="https://ref.ly/Jas2:8-Jas2:18" TargetMode="External"/><Relationship Id="rId5267" Type="http://schemas.openxmlformats.org/officeDocument/2006/relationships/hyperlink" Target="https://ref.ly/2Kgs13:23" TargetMode="External"/><Relationship Id="rId5268" Type="http://schemas.openxmlformats.org/officeDocument/2006/relationships/hyperlink" Target="https://ref.ly/2Chr36:15" TargetMode="External"/><Relationship Id="rId5269" Type="http://schemas.openxmlformats.org/officeDocument/2006/relationships/hyperlink" Target="https://ref.ly/Ps78:38" TargetMode="External"/><Relationship Id="rId5270" Type="http://schemas.openxmlformats.org/officeDocument/2006/relationships/hyperlink" Target="https://ref.ly/Ps145:9" TargetMode="External"/><Relationship Id="rId5271" Type="http://schemas.openxmlformats.org/officeDocument/2006/relationships/hyperlink" Target="https://ref.ly/Ps77:9" TargetMode="External"/><Relationship Id="rId5272" Type="http://schemas.openxmlformats.org/officeDocument/2006/relationships/hyperlink" Target="https://ref.ly/Isa27:11" TargetMode="External"/><Relationship Id="rId5273" Type="http://schemas.openxmlformats.org/officeDocument/2006/relationships/hyperlink" Target="https://ref.ly/Isa63:15" TargetMode="External"/><Relationship Id="rId5274" Type="http://schemas.openxmlformats.org/officeDocument/2006/relationships/hyperlink" Target="https://ref.ly/Jer13:14" TargetMode="External"/><Relationship Id="rId5275" Type="http://schemas.openxmlformats.org/officeDocument/2006/relationships/hyperlink" Target="https://ref.ly/Jer21:7" TargetMode="External"/><Relationship Id="rId5276" Type="http://schemas.openxmlformats.org/officeDocument/2006/relationships/hyperlink" Target="https://ref.ly/Deut30:3" TargetMode="External"/><Relationship Id="rId5277" Type="http://schemas.openxmlformats.org/officeDocument/2006/relationships/hyperlink" Target="https://ref.ly/Ps135:14" TargetMode="External"/><Relationship Id="rId5278" Type="http://schemas.openxmlformats.org/officeDocument/2006/relationships/hyperlink" Target="https://ref.ly/Isa14:1" TargetMode="External"/><Relationship Id="rId5279" Type="http://schemas.openxmlformats.org/officeDocument/2006/relationships/hyperlink" Target="https://ref.ly/Isa49:13" TargetMode="External"/><Relationship Id="rId5280" Type="http://schemas.openxmlformats.org/officeDocument/2006/relationships/hyperlink" Target="https://ref.ly/Isa54:7-Isa54:8" TargetMode="External"/><Relationship Id="rId5281" Type="http://schemas.openxmlformats.org/officeDocument/2006/relationships/hyperlink" Target="https://ref.ly/Jer12:15" TargetMode="External"/><Relationship Id="rId5282" Type="http://schemas.openxmlformats.org/officeDocument/2006/relationships/hyperlink" Target="https://ref.ly/Jer30:18" TargetMode="External"/><Relationship Id="rId5283" Type="http://schemas.openxmlformats.org/officeDocument/2006/relationships/hyperlink" Target="https://ref.ly/Mic7:19" TargetMode="External"/><Relationship Id="rId5284" Type="http://schemas.openxmlformats.org/officeDocument/2006/relationships/hyperlink" Target="https://ref.ly/Luke10:33" TargetMode="External"/><Relationship Id="rId5285" Type="http://schemas.openxmlformats.org/officeDocument/2006/relationships/hyperlink" Target="https://ref.ly/Luke15:20" TargetMode="External"/><Relationship Id="rId5286" Type="http://schemas.openxmlformats.org/officeDocument/2006/relationships/hyperlink" Target="https://ref.ly/Gen5:22,Gen5:24" TargetMode="External"/><Relationship Id="rId5287" Type="http://schemas.openxmlformats.org/officeDocument/2006/relationships/hyperlink" Target="https://ref.ly/Gen6:9" TargetMode="External"/><Relationship Id="rId5288" Type="http://schemas.openxmlformats.org/officeDocument/2006/relationships/hyperlink" Target="https://ref.ly/Jas2:23" TargetMode="External"/><Relationship Id="rId5289" Type="http://schemas.openxmlformats.org/officeDocument/2006/relationships/hyperlink" Target="https://ref.ly/Exod24:1-Exod24:18" TargetMode="External"/><Relationship Id="rId5290" Type="http://schemas.openxmlformats.org/officeDocument/2006/relationships/hyperlink" Target="https://ref.ly/Ps16:1-Ps16:11" TargetMode="External"/><Relationship Id="rId5291" Type="http://schemas.openxmlformats.org/officeDocument/2006/relationships/hyperlink" Target="https://ref.ly/Ps40:1-Ps40:17" TargetMode="External"/><Relationship Id="rId5292" Type="http://schemas.openxmlformats.org/officeDocument/2006/relationships/hyperlink" Target="https://ref.ly/Ps63:1-Ps63:11" TargetMode="External"/><Relationship Id="rId5293" Type="http://schemas.openxmlformats.org/officeDocument/2006/relationships/hyperlink" Target="https://ref.ly/John14:23" TargetMode="External"/><Relationship Id="rId5294" Type="http://schemas.openxmlformats.org/officeDocument/2006/relationships/hyperlink" Target="https://ref.ly/John14:20-John14:21" TargetMode="External"/><Relationship Id="rId5295" Type="http://schemas.openxmlformats.org/officeDocument/2006/relationships/hyperlink" Target="https://ref.ly/1Cor13:12" TargetMode="External"/><Relationship Id="rId5296" Type="http://schemas.openxmlformats.org/officeDocument/2006/relationships/hyperlink" Target="https://ref.ly/Rev21:3" TargetMode="External"/><Relationship Id="rId5297" Type="http://schemas.openxmlformats.org/officeDocument/2006/relationships/hyperlink" Target="https://ref.ly/Mark14:22-Mark14:25" TargetMode="External"/><Relationship Id="rId5298" Type="http://schemas.openxmlformats.org/officeDocument/2006/relationships/hyperlink" Target="https://ref.ly/Acts2:42,Acts2:46" TargetMode="External"/><Relationship Id="rId5299" Type="http://schemas.openxmlformats.org/officeDocument/2006/relationships/hyperlink" Target="https://ref.ly/Acts2:44-Acts2:45" TargetMode="External"/><Relationship Id="rId5300" Type="http://schemas.openxmlformats.org/officeDocument/2006/relationships/hyperlink" Target="https://ref.ly/Acts4:32-Acts4:35" TargetMode="External"/><Relationship Id="rId5301" Type="http://schemas.openxmlformats.org/officeDocument/2006/relationships/hyperlink" Target="https://ref.ly/1Thess4:9" TargetMode="External"/><Relationship Id="rId5302" Type="http://schemas.openxmlformats.org/officeDocument/2006/relationships/hyperlink" Target="https://ref.ly/1Pet1:22" TargetMode="External"/><Relationship Id="rId5303" Type="http://schemas.openxmlformats.org/officeDocument/2006/relationships/hyperlink" Target="https://ref.ly/Phil1:5" TargetMode="External"/><Relationship Id="rId5304" Type="http://schemas.openxmlformats.org/officeDocument/2006/relationships/hyperlink" Target="https://ref.ly/Phil4:14-Phil4:15" TargetMode="External"/><Relationship Id="rId5305" Type="http://schemas.openxmlformats.org/officeDocument/2006/relationships/hyperlink" Target="https://ref.ly/Eph2:19" TargetMode="External"/><Relationship Id="rId5306" Type="http://schemas.openxmlformats.org/officeDocument/2006/relationships/hyperlink" Target="https://ref.ly/1Tim3:15" TargetMode="External"/><Relationship Id="rId5307" Type="http://schemas.openxmlformats.org/officeDocument/2006/relationships/hyperlink" Target="https://ref.ly/Gal6:10" TargetMode="External"/><Relationship Id="rId5308" Type="http://schemas.openxmlformats.org/officeDocument/2006/relationships/hyperlink" Target="https://ref.ly/Heb13:1-Heb13:2" TargetMode="External"/><Relationship Id="rId5309" Type="http://schemas.openxmlformats.org/officeDocument/2006/relationships/hyperlink" Target="https://ref.ly/Eph3:15" TargetMode="External"/><Relationship Id="rId5310" Type="http://schemas.openxmlformats.org/officeDocument/2006/relationships/hyperlink" Target="https://ref.ly/Phil2:1-Phil2:4" TargetMode="External"/><Relationship Id="rId5311" Type="http://schemas.openxmlformats.org/officeDocument/2006/relationships/hyperlink" Target="https://ref.ly/Eph2:15-Eph2:16" TargetMode="External"/><Relationship Id="rId5312" Type="http://schemas.openxmlformats.org/officeDocument/2006/relationships/hyperlink" Target="https://ref.ly/Eph4:4-Eph4:6" TargetMode="External"/><Relationship Id="rId5313" Type="http://schemas.openxmlformats.org/officeDocument/2006/relationships/hyperlink" Target="https://ref.ly/1John1:7" TargetMode="External"/><Relationship Id="rId5314" Type="http://schemas.openxmlformats.org/officeDocument/2006/relationships/hyperlink" Target="https://ref.ly/2John1:9-2John1:11" TargetMode="External"/><Relationship Id="rId5315" Type="http://schemas.openxmlformats.org/officeDocument/2006/relationships/hyperlink" Target="https://ref.ly/1Cor5:11" TargetMode="External"/><Relationship Id="rId5316" Type="http://schemas.openxmlformats.org/officeDocument/2006/relationships/hyperlink" Target="https://ref.ly/John13:34-John13:35" TargetMode="External"/><Relationship Id="rId5317" Type="http://schemas.openxmlformats.org/officeDocument/2006/relationships/hyperlink" Target="https://ref.ly/John15:12" TargetMode="External"/><Relationship Id="rId5318" Type="http://schemas.openxmlformats.org/officeDocument/2006/relationships/hyperlink" Target="https://ref.ly/Heb13:1" TargetMode="External"/><Relationship Id="rId5319" Type="http://schemas.openxmlformats.org/officeDocument/2006/relationships/hyperlink" Target="https://ref.ly/Phil2:3-Phil2:5" TargetMode="External"/><Relationship Id="rId5320" Type="http://schemas.openxmlformats.org/officeDocument/2006/relationships/hyperlink" Target="https://ref.ly/2Cor9:13" TargetMode="External"/><Relationship Id="rId5321" Type="http://schemas.openxmlformats.org/officeDocument/2006/relationships/hyperlink" Target="https://ref.ly/Gal6:1" TargetMode="External"/><Relationship Id="rId5322" Type="http://schemas.openxmlformats.org/officeDocument/2006/relationships/hyperlink" Target="https://ref.ly/1Cor12:26" TargetMode="External"/><Relationship Id="rId5323" Type="http://schemas.openxmlformats.org/officeDocument/2006/relationships/hyperlink" Target="https://ref.ly/Eph6:18" TargetMode="External"/><Relationship Id="rId5324" Type="http://schemas.openxmlformats.org/officeDocument/2006/relationships/hyperlink" Target="https://ref.ly/Jer6:1" TargetMode="External"/><Relationship Id="rId5325" Type="http://schemas.openxmlformats.org/officeDocument/2006/relationships/hyperlink" Target="https://ref.ly/Jer34:7" TargetMode="External"/><Relationship Id="rId5326" Type="http://schemas.openxmlformats.org/officeDocument/2006/relationships/hyperlink" Target="https://ref.ly/Judg7:16" TargetMode="External"/><Relationship Id="rId5327" Type="http://schemas.openxmlformats.org/officeDocument/2006/relationships/hyperlink" Target="https://ref.ly/Hos8:1" TargetMode="External"/><Relationship Id="rId5328" Type="http://schemas.openxmlformats.org/officeDocument/2006/relationships/hyperlink" Target="https://ref.ly/Esth3:13" TargetMode="External"/><Relationship Id="rId5329" Type="http://schemas.openxmlformats.org/officeDocument/2006/relationships/hyperlink" Target="https://ref.ly/Acts15:22-Acts15:29" TargetMode="External"/><Relationship Id="rId5330" Type="http://schemas.openxmlformats.org/officeDocument/2006/relationships/hyperlink" Target="https://ref.ly/1Thess3:2" TargetMode="External"/><Relationship Id="rId5331" Type="http://schemas.openxmlformats.org/officeDocument/2006/relationships/hyperlink" Target="https://ref.ly/Col4:7" TargetMode="External"/><Relationship Id="rId5332" Type="http://schemas.openxmlformats.org/officeDocument/2006/relationships/hyperlink" Target="https://ref.ly/Phil4:18" TargetMode="External"/><Relationship Id="rId5333" Type="http://schemas.openxmlformats.org/officeDocument/2006/relationships/hyperlink" Target="https://ref.ly/Acts15:6-Acts15:29" TargetMode="External"/><Relationship Id="rId5334" Type="http://schemas.openxmlformats.org/officeDocument/2006/relationships/hyperlink" Target="https://ref.ly/Acts14:26-Acts15:1" TargetMode="External"/><Relationship Id="rId5335" Type="http://schemas.openxmlformats.org/officeDocument/2006/relationships/hyperlink" Target="https://ref.ly/Acts15:3-Acts15:5" TargetMode="External"/><Relationship Id="rId5336" Type="http://schemas.openxmlformats.org/officeDocument/2006/relationships/hyperlink" Target="https://ref.ly/Acts15:6" TargetMode="External"/><Relationship Id="rId5337" Type="http://schemas.openxmlformats.org/officeDocument/2006/relationships/hyperlink" Target="https://ref.ly/Acts15:7-Acts15:11" TargetMode="External"/><Relationship Id="rId5338" Type="http://schemas.openxmlformats.org/officeDocument/2006/relationships/hyperlink" Target="https://ref.ly/Acts15:12,Acts15:22-Acts15:26" TargetMode="External"/><Relationship Id="rId5339" Type="http://schemas.openxmlformats.org/officeDocument/2006/relationships/hyperlink" Target="https://ref.ly/Acts15:9" TargetMode="External"/><Relationship Id="rId5340" Type="http://schemas.openxmlformats.org/officeDocument/2006/relationships/hyperlink" Target="https://ref.ly/Acts15:9-Acts15:11" TargetMode="External"/><Relationship Id="rId5341" Type="http://schemas.openxmlformats.org/officeDocument/2006/relationships/hyperlink" Target="https://ref.ly/Acts15:8,Acts15:12" TargetMode="External"/><Relationship Id="rId5342" Type="http://schemas.openxmlformats.org/officeDocument/2006/relationships/hyperlink" Target="https://ref.ly/Acts15:15-Acts15:18" TargetMode="External"/><Relationship Id="rId5343" Type="http://schemas.openxmlformats.org/officeDocument/2006/relationships/hyperlink" Target="https://ref.ly/Acts15:23" TargetMode="External"/><Relationship Id="rId5344" Type="http://schemas.openxmlformats.org/officeDocument/2006/relationships/hyperlink" Target="https://ref.ly/Acts10:34-Acts10:35" TargetMode="External"/><Relationship Id="rId5345" Type="http://schemas.openxmlformats.org/officeDocument/2006/relationships/hyperlink" Target="https://ref.ly/Acts10:44" TargetMode="External"/><Relationship Id="rId5346" Type="http://schemas.openxmlformats.org/officeDocument/2006/relationships/hyperlink" Target="https://ref.ly/Acts10:45-Acts10:48" TargetMode="External"/><Relationship Id="rId5347" Type="http://schemas.openxmlformats.org/officeDocument/2006/relationships/hyperlink" Target="https://ref.ly/Acts11:1-Acts11:18" TargetMode="External"/><Relationship Id="rId5348" Type="http://schemas.openxmlformats.org/officeDocument/2006/relationships/hyperlink" Target="https://ref.ly/Gen22:24" TargetMode="External"/><Relationship Id="rId5349" Type="http://schemas.openxmlformats.org/officeDocument/2006/relationships/hyperlink" Target="https://ref.ly/Gen16:1-Gen16:3" TargetMode="External"/><Relationship Id="rId5350" Type="http://schemas.openxmlformats.org/officeDocument/2006/relationships/hyperlink" Target="https://ref.ly/Gen25:5-Gen25:6" TargetMode="External"/><Relationship Id="rId5351" Type="http://schemas.openxmlformats.org/officeDocument/2006/relationships/hyperlink" Target="https://ref.ly/1Chr1:32" TargetMode="External"/><Relationship Id="rId5352" Type="http://schemas.openxmlformats.org/officeDocument/2006/relationships/hyperlink" Target="https://ref.ly/Gen49:1-Gen49:28" TargetMode="External"/><Relationship Id="rId5353" Type="http://schemas.openxmlformats.org/officeDocument/2006/relationships/hyperlink" Target="https://ref.ly/Gen35:22-Gen35:26" TargetMode="External"/><Relationship Id="rId5354" Type="http://schemas.openxmlformats.org/officeDocument/2006/relationships/hyperlink" Target="https://ref.ly/Deut17:17" TargetMode="External"/><Relationship Id="rId5355" Type="http://schemas.openxmlformats.org/officeDocument/2006/relationships/hyperlink" Target="https://ref.ly/Deut21:15-Deut21:17" TargetMode="External"/><Relationship Id="rId5356" Type="http://schemas.openxmlformats.org/officeDocument/2006/relationships/hyperlink" Target="https://ref.ly/Judg19:1-Judg19:30" TargetMode="External"/><Relationship Id="rId5357" Type="http://schemas.openxmlformats.org/officeDocument/2006/relationships/hyperlink" Target="https://ref.ly/Judg20:1-Judg21:25" TargetMode="External"/><Relationship Id="rId5358" Type="http://schemas.openxmlformats.org/officeDocument/2006/relationships/hyperlink" Target="https://ref.ly/2Sam5:13" TargetMode="External"/><Relationship Id="rId5359" Type="http://schemas.openxmlformats.org/officeDocument/2006/relationships/hyperlink" Target="https://ref.ly/2Sam15:16" TargetMode="External"/><Relationship Id="rId5360" Type="http://schemas.openxmlformats.org/officeDocument/2006/relationships/hyperlink" Target="https://ref.ly/1Kgs11:3" TargetMode="External"/><Relationship Id="rId5361" Type="http://schemas.openxmlformats.org/officeDocument/2006/relationships/hyperlink" Target="https://ref.ly/2Chr11:21" TargetMode="External"/><Relationship Id="rId5362" Type="http://schemas.openxmlformats.org/officeDocument/2006/relationships/hyperlink" Target="https://ref.ly/Esth2:14" TargetMode="External"/><Relationship Id="rId5363" Type="http://schemas.openxmlformats.org/officeDocument/2006/relationships/hyperlink" Target="https://ref.ly/Dan5:2-Dan5:3" TargetMode="External"/><Relationship Id="rId5364" Type="http://schemas.openxmlformats.org/officeDocument/2006/relationships/hyperlink" Target="https://ref.ly/Eccl2:8" TargetMode="External"/><Relationship Id="rId5365" Type="http://schemas.openxmlformats.org/officeDocument/2006/relationships/hyperlink" Target="https://ref.ly/Matt19:1-Matt19:9" TargetMode="External"/><Relationship Id="rId5366" Type="http://schemas.openxmlformats.org/officeDocument/2006/relationships/hyperlink" Target="https://ref.ly/Lev5:5" TargetMode="External"/><Relationship Id="rId5367" Type="http://schemas.openxmlformats.org/officeDocument/2006/relationships/hyperlink" Target="https://ref.ly/1John1:9" TargetMode="External"/><Relationship Id="rId5368" Type="http://schemas.openxmlformats.org/officeDocument/2006/relationships/hyperlink" Target="https://ref.ly/Ps119:126" TargetMode="External"/><Relationship Id="rId5369" Type="http://schemas.openxmlformats.org/officeDocument/2006/relationships/hyperlink" Target="https://ref.ly/Rom6:23" TargetMode="External"/><Relationship Id="rId5370" Type="http://schemas.openxmlformats.org/officeDocument/2006/relationships/hyperlink" Target="https://ref.ly/Lev19:2" TargetMode="External"/><Relationship Id="rId5371" Type="http://schemas.openxmlformats.org/officeDocument/2006/relationships/hyperlink" Target="https://ref.ly/Matt5:48" TargetMode="External"/><Relationship Id="rId5372" Type="http://schemas.openxmlformats.org/officeDocument/2006/relationships/hyperlink" Target="https://ref.ly/Lev16:21" TargetMode="External"/><Relationship Id="rId5373" Type="http://schemas.openxmlformats.org/officeDocument/2006/relationships/hyperlink" Target="https://ref.ly/Lev26:40" TargetMode="External"/><Relationship Id="rId5374" Type="http://schemas.openxmlformats.org/officeDocument/2006/relationships/hyperlink" Target="https://ref.ly/2Chr7:14" TargetMode="External"/><Relationship Id="rId5375" Type="http://schemas.openxmlformats.org/officeDocument/2006/relationships/hyperlink" Target="https://ref.ly/Dan9:20" TargetMode="External"/><Relationship Id="rId5376" Type="http://schemas.openxmlformats.org/officeDocument/2006/relationships/hyperlink" Target="https://ref.ly/Ezra10:1" TargetMode="External"/><Relationship Id="rId5377" Type="http://schemas.openxmlformats.org/officeDocument/2006/relationships/hyperlink" Target="https://ref.ly/Neh1:6" TargetMode="External"/><Relationship Id="rId5378" Type="http://schemas.openxmlformats.org/officeDocument/2006/relationships/hyperlink" Target="https://ref.ly/1Chr29:10-1Chr29:13" TargetMode="External"/><Relationship Id="rId5379" Type="http://schemas.openxmlformats.org/officeDocument/2006/relationships/hyperlink" Target="https://ref.ly/Ps118:2-Ps118:4" TargetMode="External"/><Relationship Id="rId5380" Type="http://schemas.openxmlformats.org/officeDocument/2006/relationships/hyperlink" Target="https://ref.ly/Ps105:1-Ps105:6" TargetMode="External"/><Relationship Id="rId5381" Type="http://schemas.openxmlformats.org/officeDocument/2006/relationships/hyperlink" Target="https://ref.ly/Ps100:4" TargetMode="External"/><Relationship Id="rId5382" Type="http://schemas.openxmlformats.org/officeDocument/2006/relationships/hyperlink" Target="https://ref.ly/Ps30:1-Ps30:12" TargetMode="External"/><Relationship Id="rId5383" Type="http://schemas.openxmlformats.org/officeDocument/2006/relationships/hyperlink" Target="https://ref.ly/Ps32:1-Ps32:11" TargetMode="External"/><Relationship Id="rId5384" Type="http://schemas.openxmlformats.org/officeDocument/2006/relationships/hyperlink" Target="https://ref.ly/Ps116:1-Ps116:19" TargetMode="External"/><Relationship Id="rId5385" Type="http://schemas.openxmlformats.org/officeDocument/2006/relationships/hyperlink" Target="https://ref.ly/Matt10:32" TargetMode="External"/><Relationship Id="rId5386" Type="http://schemas.openxmlformats.org/officeDocument/2006/relationships/hyperlink" Target="https://ref.ly/Matt10:33" TargetMode="External"/><Relationship Id="rId5387" Type="http://schemas.openxmlformats.org/officeDocument/2006/relationships/hyperlink" Target="https://ref.ly/Luke12:8" TargetMode="External"/><Relationship Id="rId5388" Type="http://schemas.openxmlformats.org/officeDocument/2006/relationships/hyperlink" Target="https://ref.ly/2Tim2:11-2Tim2:13" TargetMode="External"/><Relationship Id="rId5389" Type="http://schemas.openxmlformats.org/officeDocument/2006/relationships/hyperlink" Target="https://ref.ly/Rev3:5" TargetMode="External"/><Relationship Id="rId5390" Type="http://schemas.openxmlformats.org/officeDocument/2006/relationships/hyperlink" Target="https://ref.ly/Rom10:9-Rom10:10" TargetMode="External"/><Relationship Id="rId5391" Type="http://schemas.openxmlformats.org/officeDocument/2006/relationships/hyperlink" Target="https://ref.ly/1Tim6:12" TargetMode="External"/><Relationship Id="rId5392" Type="http://schemas.openxmlformats.org/officeDocument/2006/relationships/hyperlink" Target="https://ref.ly/1John4:15" TargetMode="External"/><Relationship Id="rId5393" Type="http://schemas.openxmlformats.org/officeDocument/2006/relationships/hyperlink" Target="https://ref.ly/1Tim6:12-1Tim6:13" TargetMode="External"/><Relationship Id="rId5394" Type="http://schemas.openxmlformats.org/officeDocument/2006/relationships/hyperlink" Target="https://ref.ly/1John1:8-1John1:10" TargetMode="External"/><Relationship Id="rId5395" Type="http://schemas.openxmlformats.org/officeDocument/2006/relationships/hyperlink" Target="https://ref.ly/Exod3:6-Exod3:8,Exod3:15-Exod3:16" TargetMode="External"/><Relationship Id="rId5396" Type="http://schemas.openxmlformats.org/officeDocument/2006/relationships/hyperlink" Target="https://ref.ly/Exod12:6" TargetMode="External"/><Relationship Id="rId5397" Type="http://schemas.openxmlformats.org/officeDocument/2006/relationships/hyperlink" Target="https://ref.ly/Deut4:6-Deut4:14" TargetMode="External"/><Relationship Id="rId5398" Type="http://schemas.openxmlformats.org/officeDocument/2006/relationships/hyperlink" Target="https://ref.ly/Isa45:4" TargetMode="External"/><Relationship Id="rId5399" Type="http://schemas.openxmlformats.org/officeDocument/2006/relationships/hyperlink" Target="https://ref.ly/Isa65:9,Isa65:22" TargetMode="External"/><Relationship Id="rId5400" Type="http://schemas.openxmlformats.org/officeDocument/2006/relationships/hyperlink" Target="https://ref.ly/Num14:5" TargetMode="External"/><Relationship Id="rId5401" Type="http://schemas.openxmlformats.org/officeDocument/2006/relationships/hyperlink" Target="https://ref.ly/Lev4:13" TargetMode="External"/><Relationship Id="rId5402" Type="http://schemas.openxmlformats.org/officeDocument/2006/relationships/hyperlink" Target="https://ref.ly/Num16:3" TargetMode="External"/><Relationship Id="rId5403" Type="http://schemas.openxmlformats.org/officeDocument/2006/relationships/hyperlink" Target="https://ref.ly/Heb2:10-Heb2:13" TargetMode="External"/><Relationship Id="rId5404" Type="http://schemas.openxmlformats.org/officeDocument/2006/relationships/hyperlink" Target="https://ref.ly/1Pet2:9-1Pet2:10" TargetMode="External"/><Relationship Id="rId5405" Type="http://schemas.openxmlformats.org/officeDocument/2006/relationships/hyperlink" Target="https://ref.ly/Rom9:1-Rom9:8" TargetMode="External"/><Relationship Id="rId5406" Type="http://schemas.openxmlformats.org/officeDocument/2006/relationships/hyperlink" Target="https://ref.ly/Ps49:3" TargetMode="External"/><Relationship Id="rId5407" Type="http://schemas.openxmlformats.org/officeDocument/2006/relationships/hyperlink" Target="https://ref.ly/Isa1:3" TargetMode="External"/><Relationship Id="rId5408" Type="http://schemas.openxmlformats.org/officeDocument/2006/relationships/hyperlink" Target="https://ref.ly/John14:7" TargetMode="External"/><Relationship Id="rId5409" Type="http://schemas.openxmlformats.org/officeDocument/2006/relationships/hyperlink" Target="https://ref.ly/John17:3" TargetMode="External"/><Relationship Id="rId5410" Type="http://schemas.openxmlformats.org/officeDocument/2006/relationships/hyperlink" Target="https://ref.ly/1Cor2:12-1Cor2:16" TargetMode="External"/><Relationship Id="rId5411" Type="http://schemas.openxmlformats.org/officeDocument/2006/relationships/hyperlink" Target="https://ref.ly/Gen26:4" TargetMode="External"/><Relationship Id="rId5412" Type="http://schemas.openxmlformats.org/officeDocument/2006/relationships/hyperlink" Target="https://ref.ly/Gen28:13" TargetMode="External"/><Relationship Id="rId5413" Type="http://schemas.openxmlformats.org/officeDocument/2006/relationships/hyperlink" Target="https://ref.ly/Exod3:15-Exod3:17" TargetMode="External"/><Relationship Id="rId5414" Type="http://schemas.openxmlformats.org/officeDocument/2006/relationships/hyperlink" Target="https://ref.ly/1Kgs6:1" TargetMode="External"/><Relationship Id="rId5415" Type="http://schemas.openxmlformats.org/officeDocument/2006/relationships/hyperlink" Target="https://ref.ly/Judg11:26-Judg11:28" TargetMode="External"/><Relationship Id="rId5416" Type="http://schemas.openxmlformats.org/officeDocument/2006/relationships/hyperlink" Target="https://ref.ly/Acts13:20" TargetMode="External"/><Relationship Id="rId5417" Type="http://schemas.openxmlformats.org/officeDocument/2006/relationships/hyperlink" Target="https://ref.ly/Josh1:1-Josh12:24" TargetMode="External"/><Relationship Id="rId5418" Type="http://schemas.openxmlformats.org/officeDocument/2006/relationships/hyperlink" Target="https://ref.ly/Josh2:1-Josh8:35" TargetMode="External"/><Relationship Id="rId5419" Type="http://schemas.openxmlformats.org/officeDocument/2006/relationships/hyperlink" Target="https://ref.ly/Josh10:1-Josh10:43" TargetMode="External"/><Relationship Id="rId5420" Type="http://schemas.openxmlformats.org/officeDocument/2006/relationships/hyperlink" Target="https://ref.ly/Josh10:9-Josh10:12" TargetMode="External"/><Relationship Id="rId5421" Type="http://schemas.openxmlformats.org/officeDocument/2006/relationships/hyperlink" Target="https://ref.ly/Josh11:1-Josh11:23" TargetMode="External"/><Relationship Id="rId5422" Type="http://schemas.openxmlformats.org/officeDocument/2006/relationships/hyperlink" Target="https://ref.ly/Josh11:16-Josh11:23" TargetMode="External"/><Relationship Id="rId5423" Type="http://schemas.openxmlformats.org/officeDocument/2006/relationships/hyperlink" Target="https://ref.ly/Josh12:1-Josh12:24" TargetMode="External"/><Relationship Id="rId5424" Type="http://schemas.openxmlformats.org/officeDocument/2006/relationships/hyperlink" Target="https://ref.ly/Exod13:2" TargetMode="External"/><Relationship Id="rId5425" Type="http://schemas.openxmlformats.org/officeDocument/2006/relationships/hyperlink" Target="https://ref.ly/Lev8:10-Lev8:12" TargetMode="External"/><Relationship Id="rId5426" Type="http://schemas.openxmlformats.org/officeDocument/2006/relationships/hyperlink" Target="https://ref.ly/Deut15:19" TargetMode="External"/><Relationship Id="rId5427" Type="http://schemas.openxmlformats.org/officeDocument/2006/relationships/hyperlink" Target="https://ref.ly/Num6:9" TargetMode="External"/><Relationship Id="rId5428" Type="http://schemas.openxmlformats.org/officeDocument/2006/relationships/hyperlink" Target="https://ref.ly/Exod28:41" TargetMode="External"/><Relationship Id="rId5429" Type="http://schemas.openxmlformats.org/officeDocument/2006/relationships/hyperlink" Target="https://ref.ly/1Kgs13:33" TargetMode="External"/><Relationship Id="rId5430" Type="http://schemas.openxmlformats.org/officeDocument/2006/relationships/hyperlink" Target="https://ref.ly/John10:36" TargetMode="External"/><Relationship Id="rId5431" Type="http://schemas.openxmlformats.org/officeDocument/2006/relationships/hyperlink" Target="https://ref.ly/1Cor7:14" TargetMode="External"/><Relationship Id="rId5432" Type="http://schemas.openxmlformats.org/officeDocument/2006/relationships/hyperlink" Target="https://ref.ly/1Tim4:5" TargetMode="External"/><Relationship Id="rId5433" Type="http://schemas.openxmlformats.org/officeDocument/2006/relationships/hyperlink" Target="https://ref.ly/Rom12:1-Rom12:2" TargetMode="External"/><Relationship Id="rId5434" Type="http://schemas.openxmlformats.org/officeDocument/2006/relationships/hyperlink" Target="https://ref.ly/Gen3:8-Gen3:10" TargetMode="External"/><Relationship Id="rId5435" Type="http://schemas.openxmlformats.org/officeDocument/2006/relationships/hyperlink" Target="https://ref.ly/Prov20:27" TargetMode="External"/><Relationship Id="rId5436" Type="http://schemas.openxmlformats.org/officeDocument/2006/relationships/hyperlink" Target="https://ref.ly/Rom13:5" TargetMode="External"/><Relationship Id="rId5437" Type="http://schemas.openxmlformats.org/officeDocument/2006/relationships/hyperlink" Target="https://ref.ly/1Cor4:4" TargetMode="External"/><Relationship Id="rId5438" Type="http://schemas.openxmlformats.org/officeDocument/2006/relationships/hyperlink" Target="https://ref.ly/Rom9:1" TargetMode="External"/><Relationship Id="rId5439" Type="http://schemas.openxmlformats.org/officeDocument/2006/relationships/hyperlink" Target="https://ref.ly/2Cor1:12" TargetMode="External"/><Relationship Id="rId5440" Type="http://schemas.openxmlformats.org/officeDocument/2006/relationships/hyperlink" Target="https://ref.ly/2Cor4:1-2Cor4:2" TargetMode="External"/><Relationship Id="rId5441" Type="http://schemas.openxmlformats.org/officeDocument/2006/relationships/hyperlink" Target="https://ref.ly/2Cor5:11" TargetMode="External"/><Relationship Id="rId5442" Type="http://schemas.openxmlformats.org/officeDocument/2006/relationships/hyperlink" Target="https://ref.ly/1Tim1:5" TargetMode="External"/><Relationship Id="rId5443" Type="http://schemas.openxmlformats.org/officeDocument/2006/relationships/hyperlink" Target="https://ref.ly/1Tim4:2" TargetMode="External"/><Relationship Id="rId5444" Type="http://schemas.openxmlformats.org/officeDocument/2006/relationships/hyperlink" Target="https://ref.ly/1Cor8:1-1Cor10:33" TargetMode="External"/><Relationship Id="rId5445" Type="http://schemas.openxmlformats.org/officeDocument/2006/relationships/hyperlink" Target="https://ref.ly/1Cor8:7" TargetMode="External"/><Relationship Id="rId5446" Type="http://schemas.openxmlformats.org/officeDocument/2006/relationships/hyperlink" Target="https://ref.ly/Rom14:20" TargetMode="External"/><Relationship Id="rId5447" Type="http://schemas.openxmlformats.org/officeDocument/2006/relationships/hyperlink" Target="https://ref.ly/2Sam16:23" TargetMode="External"/><Relationship Id="rId5448" Type="http://schemas.openxmlformats.org/officeDocument/2006/relationships/hyperlink" Target="https://ref.ly/1Kgs12:6" TargetMode="External"/><Relationship Id="rId5449" Type="http://schemas.openxmlformats.org/officeDocument/2006/relationships/hyperlink" Target="https://ref.ly/1Kgs12:7-1Kgs12:8" TargetMode="External"/><Relationship Id="rId5450" Type="http://schemas.openxmlformats.org/officeDocument/2006/relationships/hyperlink" Target="https://ref.ly/2Chr26:16-2Chr26:21" TargetMode="External"/><Relationship Id="rId5451" Type="http://schemas.openxmlformats.org/officeDocument/2006/relationships/hyperlink" Target="https://ref.ly/Isa19:11" TargetMode="External"/><Relationship Id="rId5452" Type="http://schemas.openxmlformats.org/officeDocument/2006/relationships/hyperlink" Target="https://ref.ly/Dan3:2-Dan3:3" TargetMode="External"/><Relationship Id="rId5453" Type="http://schemas.openxmlformats.org/officeDocument/2006/relationships/hyperlink" Target="https://ref.ly/Prov15:22" TargetMode="External"/><Relationship Id="rId5454" Type="http://schemas.openxmlformats.org/officeDocument/2006/relationships/hyperlink" Target="https://ref.ly/Prov1:8" TargetMode="External"/><Relationship Id="rId5455" Type="http://schemas.openxmlformats.org/officeDocument/2006/relationships/hyperlink" Target="https://ref.ly/Ezek7:26" TargetMode="External"/><Relationship Id="rId5456" Type="http://schemas.openxmlformats.org/officeDocument/2006/relationships/hyperlink" Target="https://ref.ly/2Chr25:16" TargetMode="External"/><Relationship Id="rId5457" Type="http://schemas.openxmlformats.org/officeDocument/2006/relationships/hyperlink" Target="https://ref.ly/Jer18:18" TargetMode="External"/><Relationship Id="rId5458" Type="http://schemas.openxmlformats.org/officeDocument/2006/relationships/hyperlink" Target="https://ref.ly/Prov27:9" TargetMode="External"/><Relationship Id="rId5459" Type="http://schemas.openxmlformats.org/officeDocument/2006/relationships/hyperlink" Target="https://ref.ly/Prov12:5" TargetMode="External"/><Relationship Id="rId5460" Type="http://schemas.openxmlformats.org/officeDocument/2006/relationships/hyperlink" Target="https://ref.ly/Ps33:10" TargetMode="External"/><Relationship Id="rId5461" Type="http://schemas.openxmlformats.org/officeDocument/2006/relationships/hyperlink" Target="https://ref.ly/Ps33:11" TargetMode="External"/><Relationship Id="rId5462" Type="http://schemas.openxmlformats.org/officeDocument/2006/relationships/hyperlink" Target="https://ref.ly/Isa40:13" TargetMode="External"/><Relationship Id="rId5463" Type="http://schemas.openxmlformats.org/officeDocument/2006/relationships/hyperlink" Target="https://ref.ly/Isa9:6" TargetMode="External"/><Relationship Id="rId5464" Type="http://schemas.openxmlformats.org/officeDocument/2006/relationships/hyperlink" Target="https://ref.ly/John14:16-John14:17" TargetMode="External"/><Relationship Id="rId5465" Type="http://schemas.openxmlformats.org/officeDocument/2006/relationships/hyperlink" Target="https://ref.ly/Deut4:30" TargetMode="External"/><Relationship Id="rId5466" Type="http://schemas.openxmlformats.org/officeDocument/2006/relationships/hyperlink" Target="https://ref.ly/Ps22:27" TargetMode="External"/><Relationship Id="rId5467" Type="http://schemas.openxmlformats.org/officeDocument/2006/relationships/hyperlink" Target="https://ref.ly/Jer26:3" TargetMode="External"/><Relationship Id="rId5468" Type="http://schemas.openxmlformats.org/officeDocument/2006/relationships/hyperlink" Target="https://ref.ly/Jer36:3" TargetMode="External"/><Relationship Id="rId5469" Type="http://schemas.openxmlformats.org/officeDocument/2006/relationships/hyperlink" Target="https://ref.ly/Ezek18:21" TargetMode="External"/><Relationship Id="rId5470" Type="http://schemas.openxmlformats.org/officeDocument/2006/relationships/hyperlink" Target="https://ref.ly/Ezek33:9" TargetMode="External"/><Relationship Id="rId5471" Type="http://schemas.openxmlformats.org/officeDocument/2006/relationships/hyperlink" Target="https://ref.ly/Isa10:20-Isa10:21" TargetMode="External"/><Relationship Id="rId5472" Type="http://schemas.openxmlformats.org/officeDocument/2006/relationships/hyperlink" Target="https://ref.ly/Isa14:2" TargetMode="External"/><Relationship Id="rId5473" Type="http://schemas.openxmlformats.org/officeDocument/2006/relationships/hyperlink" Target="https://ref.ly/Jer34:15" TargetMode="External"/><Relationship Id="rId5474" Type="http://schemas.openxmlformats.org/officeDocument/2006/relationships/hyperlink" Target="https://ref.ly/Hos14:4" TargetMode="External"/><Relationship Id="rId5475" Type="http://schemas.openxmlformats.org/officeDocument/2006/relationships/hyperlink" Target="https://ref.ly/Matt3:8" TargetMode="External"/><Relationship Id="rId5476" Type="http://schemas.openxmlformats.org/officeDocument/2006/relationships/hyperlink" Target="https://ref.ly/Luke3:8" TargetMode="External"/><Relationship Id="rId5477" Type="http://schemas.openxmlformats.org/officeDocument/2006/relationships/hyperlink" Target="https://ref.ly/Matt4:17" TargetMode="External"/><Relationship Id="rId5478" Type="http://schemas.openxmlformats.org/officeDocument/2006/relationships/hyperlink" Target="https://ref.ly/Matt11:20" TargetMode="External"/><Relationship Id="rId5479" Type="http://schemas.openxmlformats.org/officeDocument/2006/relationships/hyperlink" Target="https://ref.ly/Luke13:3-Luke13:5" TargetMode="External"/><Relationship Id="rId5480" Type="http://schemas.openxmlformats.org/officeDocument/2006/relationships/hyperlink" Target="https://ref.ly/Matt18:3" TargetMode="External"/><Relationship Id="rId5481" Type="http://schemas.openxmlformats.org/officeDocument/2006/relationships/hyperlink" Target="https://ref.ly/Acts3:19" TargetMode="External"/><Relationship Id="rId5482" Type="http://schemas.openxmlformats.org/officeDocument/2006/relationships/hyperlink" Target="https://ref.ly/Acts8:22" TargetMode="External"/><Relationship Id="rId5483" Type="http://schemas.openxmlformats.org/officeDocument/2006/relationships/hyperlink" Target="https://ref.ly/Acts9:35" TargetMode="External"/><Relationship Id="rId5484" Type="http://schemas.openxmlformats.org/officeDocument/2006/relationships/hyperlink" Target="https://ref.ly/Acts11:21" TargetMode="External"/><Relationship Id="rId5485" Type="http://schemas.openxmlformats.org/officeDocument/2006/relationships/hyperlink" Target="https://ref.ly/Acts26:18-Acts26:20" TargetMode="External"/><Relationship Id="rId5486" Type="http://schemas.openxmlformats.org/officeDocument/2006/relationships/hyperlink" Target="https://ref.ly/2Cor3:16" TargetMode="External"/><Relationship Id="rId5487" Type="http://schemas.openxmlformats.org/officeDocument/2006/relationships/hyperlink" Target="https://ref.ly/Gal4:9" TargetMode="External"/><Relationship Id="rId5488" Type="http://schemas.openxmlformats.org/officeDocument/2006/relationships/hyperlink" Target="https://ref.ly/Jas5:19-Jas5:20" TargetMode="External"/><Relationship Id="rId5489" Type="http://schemas.openxmlformats.org/officeDocument/2006/relationships/hyperlink" Target="https://ref.ly/Rev3:19" TargetMode="External"/><Relationship Id="rId5490" Type="http://schemas.openxmlformats.org/officeDocument/2006/relationships/hyperlink" Target="https://ref.ly/1Thess1:9" TargetMode="External"/><Relationship Id="rId5491" Type="http://schemas.openxmlformats.org/officeDocument/2006/relationships/hyperlink" Target="https://ref.ly/Rev9:20-Rev9:21" TargetMode="External"/><Relationship Id="rId5492" Type="http://schemas.openxmlformats.org/officeDocument/2006/relationships/hyperlink" Target="https://ref.ly/Rev16:11" TargetMode="External"/><Relationship Id="rId5493" Type="http://schemas.openxmlformats.org/officeDocument/2006/relationships/hyperlink" Target="https://ref.ly/Rom2:4" TargetMode="External"/><Relationship Id="rId5494" Type="http://schemas.openxmlformats.org/officeDocument/2006/relationships/hyperlink" Target="https://ref.ly/2Cor7:10" TargetMode="External"/><Relationship Id="rId5495" Type="http://schemas.openxmlformats.org/officeDocument/2006/relationships/hyperlink" Target="https://ref.ly/2Pet3:9" TargetMode="External"/><Relationship Id="rId5496" Type="http://schemas.openxmlformats.org/officeDocument/2006/relationships/hyperlink" Target="https://ref.ly/Acts14:15" TargetMode="External"/><Relationship Id="rId5497" Type="http://schemas.openxmlformats.org/officeDocument/2006/relationships/hyperlink" Target="https://ref.ly/1Kgs10:5" TargetMode="External"/><Relationship Id="rId5498" Type="http://schemas.openxmlformats.org/officeDocument/2006/relationships/hyperlink" Target="https://ref.ly/Gen40:1-Gen40:23" TargetMode="External"/><Relationship Id="rId5499" Type="http://schemas.openxmlformats.org/officeDocument/2006/relationships/hyperlink" Target="https://ref.ly/2Chr9:4" TargetMode="External"/><Relationship Id="rId5500" Type="http://schemas.openxmlformats.org/officeDocument/2006/relationships/hyperlink" Target="https://ref.ly/Neh1:11-Neh2:1" TargetMode="External"/><Relationship Id="rId5501" Type="http://schemas.openxmlformats.org/officeDocument/2006/relationships/hyperlink" Target="https://ref.ly/2Kgs18:13-2Kgs18:19" TargetMode="External"/><Relationship Id="rId5502" Type="http://schemas.openxmlformats.org/officeDocument/2006/relationships/hyperlink" Target="https://ref.ly/Isa36:2" TargetMode="External"/><Relationship Id="rId5503" Type="http://schemas.openxmlformats.org/officeDocument/2006/relationships/hyperlink" Target="https://ref.ly/Lev13:55" TargetMode="External"/><Relationship Id="rId5504" Type="http://schemas.openxmlformats.org/officeDocument/2006/relationships/hyperlink" Target="https://ref.ly/Ezek1:4" TargetMode="External"/><Relationship Id="rId5505" Type="http://schemas.openxmlformats.org/officeDocument/2006/relationships/hyperlink" Target="https://ref.ly/Ezek8:2" TargetMode="External"/><Relationship Id="rId5506" Type="http://schemas.openxmlformats.org/officeDocument/2006/relationships/hyperlink" Target="https://ref.ly/Ezek10:9" TargetMode="External"/><Relationship Id="rId5507" Type="http://schemas.openxmlformats.org/officeDocument/2006/relationships/hyperlink" Target="https://ref.ly/Dan10:6" TargetMode="External"/><Relationship Id="rId5508" Type="http://schemas.openxmlformats.org/officeDocument/2006/relationships/hyperlink" Target="https://ref.ly/Dan5:6-Dan5:10" TargetMode="External"/><Relationship Id="rId5509" Type="http://schemas.openxmlformats.org/officeDocument/2006/relationships/hyperlink" Target="https://ref.ly/Dan7:28" TargetMode="External"/><Relationship Id="rId5510" Type="http://schemas.openxmlformats.org/officeDocument/2006/relationships/hyperlink" Target="https://ref.ly/Prov7:16" TargetMode="External"/><Relationship Id="rId5511" Type="http://schemas.openxmlformats.org/officeDocument/2006/relationships/hyperlink" Target="https://ref.ly/Ezek17:3" TargetMode="External"/><Relationship Id="rId5512" Type="http://schemas.openxmlformats.org/officeDocument/2006/relationships/hyperlink" Target="https://ref.ly/Ezek27:24" TargetMode="External"/><Relationship Id="rId5513" Type="http://schemas.openxmlformats.org/officeDocument/2006/relationships/hyperlink" Target="https://ref.ly/1Chr29:2" TargetMode="External"/><Relationship Id="rId5514" Type="http://schemas.openxmlformats.org/officeDocument/2006/relationships/hyperlink" Target="https://ref.ly/Gen37:3" TargetMode="External"/><Relationship Id="rId5515" Type="http://schemas.openxmlformats.org/officeDocument/2006/relationships/hyperlink" Target="https://ref.ly/2Sam13:18-2Sam13:19" TargetMode="External"/><Relationship Id="rId5516" Type="http://schemas.openxmlformats.org/officeDocument/2006/relationships/hyperlink" Target="https://ref.ly/Acts27:30" TargetMode="External"/><Relationship Id="rId5517" Type="http://schemas.openxmlformats.org/officeDocument/2006/relationships/hyperlink" Target="https://ref.ly/Gen30:32-Gen30:33" TargetMode="External"/><Relationship Id="rId5518" Type="http://schemas.openxmlformats.org/officeDocument/2006/relationships/hyperlink" Target="https://ref.ly/Lev13:31" TargetMode="External"/><Relationship Id="rId5519" Type="http://schemas.openxmlformats.org/officeDocument/2006/relationships/hyperlink" Target="https://ref.ly/Song5:11" TargetMode="External"/><Relationship Id="rId5520" Type="http://schemas.openxmlformats.org/officeDocument/2006/relationships/hyperlink" Target="https://ref.ly/Job30:30" TargetMode="External"/><Relationship Id="rId5521" Type="http://schemas.openxmlformats.org/officeDocument/2006/relationships/hyperlink" Target="https://ref.ly/Zech6:2" TargetMode="External"/><Relationship Id="rId5522" Type="http://schemas.openxmlformats.org/officeDocument/2006/relationships/hyperlink" Target="https://ref.ly/1Kgs18:45" TargetMode="External"/><Relationship Id="rId5523" Type="http://schemas.openxmlformats.org/officeDocument/2006/relationships/hyperlink" Target="https://ref.ly/Isa50:3" TargetMode="External"/><Relationship Id="rId5524" Type="http://schemas.openxmlformats.org/officeDocument/2006/relationships/hyperlink" Target="https://ref.ly/Jer4:28" TargetMode="External"/><Relationship Id="rId5525" Type="http://schemas.openxmlformats.org/officeDocument/2006/relationships/hyperlink" Target="https://ref.ly/Job3:5" TargetMode="External"/><Relationship Id="rId5526" Type="http://schemas.openxmlformats.org/officeDocument/2006/relationships/hyperlink" Target="https://ref.ly/Mic3:6" TargetMode="External"/><Relationship Id="rId5527" Type="http://schemas.openxmlformats.org/officeDocument/2006/relationships/hyperlink" Target="https://ref.ly/Rev6:12" TargetMode="External"/><Relationship Id="rId5528" Type="http://schemas.openxmlformats.org/officeDocument/2006/relationships/hyperlink" Target="https://ref.ly/Joel2:2" TargetMode="External"/><Relationship Id="rId5529" Type="http://schemas.openxmlformats.org/officeDocument/2006/relationships/hyperlink" Target="https://ref.ly/Job30:28" TargetMode="External"/><Relationship Id="rId5530" Type="http://schemas.openxmlformats.org/officeDocument/2006/relationships/hyperlink" Target="https://ref.ly/Exod26:1" TargetMode="External"/><Relationship Id="rId5531" Type="http://schemas.openxmlformats.org/officeDocument/2006/relationships/hyperlink" Target="https://ref.ly/Num4:6-Num4:9" TargetMode="External"/><Relationship Id="rId5532" Type="http://schemas.openxmlformats.org/officeDocument/2006/relationships/hyperlink" Target="https://ref.ly/2Chr3:14" TargetMode="External"/><Relationship Id="rId5533" Type="http://schemas.openxmlformats.org/officeDocument/2006/relationships/hyperlink" Target="https://ref.ly/Gen42:38" TargetMode="External"/><Relationship Id="rId5534" Type="http://schemas.openxmlformats.org/officeDocument/2006/relationships/hyperlink" Target="https://ref.ly/Gen44:29-Gen44:31" TargetMode="External"/><Relationship Id="rId5535" Type="http://schemas.openxmlformats.org/officeDocument/2006/relationships/hyperlink" Target="https://ref.ly/Deut32:25" TargetMode="External"/><Relationship Id="rId5536" Type="http://schemas.openxmlformats.org/officeDocument/2006/relationships/hyperlink" Target="https://ref.ly/1Sam12:2" TargetMode="External"/><Relationship Id="rId5537" Type="http://schemas.openxmlformats.org/officeDocument/2006/relationships/hyperlink" Target="https://ref.ly/1Kgs2:6" TargetMode="External"/><Relationship Id="rId5538" Type="http://schemas.openxmlformats.org/officeDocument/2006/relationships/hyperlink" Target="https://ref.ly/Job15:10" TargetMode="External"/><Relationship Id="rId5539" Type="http://schemas.openxmlformats.org/officeDocument/2006/relationships/hyperlink" Target="https://ref.ly/Ps71:18" TargetMode="External"/><Relationship Id="rId5540" Type="http://schemas.openxmlformats.org/officeDocument/2006/relationships/hyperlink" Target="https://ref.ly/Prov20:29" TargetMode="External"/><Relationship Id="rId5541" Type="http://schemas.openxmlformats.org/officeDocument/2006/relationships/hyperlink" Target="https://ref.ly/Isa46:4" TargetMode="External"/><Relationship Id="rId5542" Type="http://schemas.openxmlformats.org/officeDocument/2006/relationships/hyperlink" Target="https://ref.ly/Hos7:9" TargetMode="External"/><Relationship Id="rId5543" Type="http://schemas.openxmlformats.org/officeDocument/2006/relationships/hyperlink" Target="https://ref.ly/Zech6:3" TargetMode="External"/><Relationship Id="rId5544" Type="http://schemas.openxmlformats.org/officeDocument/2006/relationships/hyperlink" Target="https://ref.ly/Gen1:30" TargetMode="External"/><Relationship Id="rId5545" Type="http://schemas.openxmlformats.org/officeDocument/2006/relationships/hyperlink" Target="https://ref.ly/1Kgs14:23" TargetMode="External"/><Relationship Id="rId5546" Type="http://schemas.openxmlformats.org/officeDocument/2006/relationships/hyperlink" Target="https://ref.ly/Job15:32" TargetMode="External"/><Relationship Id="rId5547" Type="http://schemas.openxmlformats.org/officeDocument/2006/relationships/hyperlink" Target="https://ref.ly/Ps23:2" TargetMode="External"/><Relationship Id="rId5548" Type="http://schemas.openxmlformats.org/officeDocument/2006/relationships/hyperlink" Target="https://ref.ly/Joel2:22" TargetMode="External"/><Relationship Id="rId5549" Type="http://schemas.openxmlformats.org/officeDocument/2006/relationships/hyperlink" Target="https://ref.ly/Ps37:2" TargetMode="External"/><Relationship Id="rId5550" Type="http://schemas.openxmlformats.org/officeDocument/2006/relationships/hyperlink" Target="https://ref.ly/Ps52:8" TargetMode="External"/><Relationship Id="rId5551" Type="http://schemas.openxmlformats.org/officeDocument/2006/relationships/hyperlink" Target="https://ref.ly/Jer11:16" TargetMode="External"/><Relationship Id="rId5552" Type="http://schemas.openxmlformats.org/officeDocument/2006/relationships/hyperlink" Target="https://ref.ly/Ps58:9" TargetMode="External"/><Relationship Id="rId5553" Type="http://schemas.openxmlformats.org/officeDocument/2006/relationships/hyperlink" Target="https://ref.ly/Mark6:39" TargetMode="External"/><Relationship Id="rId5554" Type="http://schemas.openxmlformats.org/officeDocument/2006/relationships/hyperlink" Target="https://ref.ly/Rev8:7" TargetMode="External"/><Relationship Id="rId5555" Type="http://schemas.openxmlformats.org/officeDocument/2006/relationships/hyperlink" Target="https://ref.ly/Luke23:31" TargetMode="External"/><Relationship Id="rId5556" Type="http://schemas.openxmlformats.org/officeDocument/2006/relationships/hyperlink" Target="https://ref.ly/Ps68:13" TargetMode="External"/><Relationship Id="rId5557" Type="http://schemas.openxmlformats.org/officeDocument/2006/relationships/hyperlink" Target="https://ref.ly/Song1:16" TargetMode="External"/><Relationship Id="rId5558" Type="http://schemas.openxmlformats.org/officeDocument/2006/relationships/hyperlink" Target="https://ref.ly/Ps92:14" TargetMode="External"/><Relationship Id="rId5559" Type="http://schemas.openxmlformats.org/officeDocument/2006/relationships/hyperlink" Target="https://ref.ly/Deut12:2" TargetMode="External"/><Relationship Id="rId5560" Type="http://schemas.openxmlformats.org/officeDocument/2006/relationships/hyperlink" Target="https://ref.ly/2Kgs16:4" TargetMode="External"/><Relationship Id="rId5561" Type="http://schemas.openxmlformats.org/officeDocument/2006/relationships/hyperlink" Target="https://ref.ly/Isa57:5" TargetMode="External"/><Relationship Id="rId5562" Type="http://schemas.openxmlformats.org/officeDocument/2006/relationships/hyperlink" Target="https://ref.ly/Jer2:20" TargetMode="External"/><Relationship Id="rId5563" Type="http://schemas.openxmlformats.org/officeDocument/2006/relationships/hyperlink" Target="https://ref.ly/Ezek6:13" TargetMode="External"/><Relationship Id="rId5564" Type="http://schemas.openxmlformats.org/officeDocument/2006/relationships/hyperlink" Target="https://ref.ly/Lev13:49" TargetMode="External"/><Relationship Id="rId5565" Type="http://schemas.openxmlformats.org/officeDocument/2006/relationships/hyperlink" Target="https://ref.ly/Lev14:37" TargetMode="External"/><Relationship Id="rId5566" Type="http://schemas.openxmlformats.org/officeDocument/2006/relationships/hyperlink" Target="https://ref.ly/Exod28:5-Exod28:8" TargetMode="External"/><Relationship Id="rId5567" Type="http://schemas.openxmlformats.org/officeDocument/2006/relationships/hyperlink" Target="https://ref.ly/Judg8:26" TargetMode="External"/><Relationship Id="rId5568" Type="http://schemas.openxmlformats.org/officeDocument/2006/relationships/hyperlink" Target="https://ref.ly/Dan5:29" TargetMode="External"/><Relationship Id="rId5569" Type="http://schemas.openxmlformats.org/officeDocument/2006/relationships/hyperlink" Target="https://ref.ly/Ezek23:6" TargetMode="External"/><Relationship Id="rId5570" Type="http://schemas.openxmlformats.org/officeDocument/2006/relationships/hyperlink" Target="https://ref.ly/Jer10:9" TargetMode="External"/><Relationship Id="rId5571" Type="http://schemas.openxmlformats.org/officeDocument/2006/relationships/hyperlink" Target="https://ref.ly/Song7:5" TargetMode="External"/><Relationship Id="rId5572" Type="http://schemas.openxmlformats.org/officeDocument/2006/relationships/hyperlink" Target="https://ref.ly/Luke16:19" TargetMode="External"/><Relationship Id="rId5573" Type="http://schemas.openxmlformats.org/officeDocument/2006/relationships/hyperlink" Target="https://ref.ly/Mark15:17" TargetMode="External"/><Relationship Id="rId5574" Type="http://schemas.openxmlformats.org/officeDocument/2006/relationships/hyperlink" Target="https://ref.ly/John19:2" TargetMode="External"/><Relationship Id="rId5575" Type="http://schemas.openxmlformats.org/officeDocument/2006/relationships/hyperlink" Target="https://ref.ly/Matt27:28" TargetMode="External"/><Relationship Id="rId5576" Type="http://schemas.openxmlformats.org/officeDocument/2006/relationships/hyperlink" Target="https://ref.ly/Gen25:25" TargetMode="External"/><Relationship Id="rId5577" Type="http://schemas.openxmlformats.org/officeDocument/2006/relationships/hyperlink" Target="https://ref.ly/Gen25:30" TargetMode="External"/><Relationship Id="rId5578" Type="http://schemas.openxmlformats.org/officeDocument/2006/relationships/hyperlink" Target="https://ref.ly/Gen49:12" TargetMode="External"/><Relationship Id="rId5579" Type="http://schemas.openxmlformats.org/officeDocument/2006/relationships/hyperlink" Target="https://ref.ly/Num19:2" TargetMode="External"/><Relationship Id="rId5580" Type="http://schemas.openxmlformats.org/officeDocument/2006/relationships/hyperlink" Target="https://ref.ly/2Kgs3:22" TargetMode="External"/><Relationship Id="rId5581" Type="http://schemas.openxmlformats.org/officeDocument/2006/relationships/hyperlink" Target="https://ref.ly/Job16:16" TargetMode="External"/><Relationship Id="rId5582" Type="http://schemas.openxmlformats.org/officeDocument/2006/relationships/hyperlink" Target="https://ref.ly/Prov23:29" TargetMode="External"/><Relationship Id="rId5583" Type="http://schemas.openxmlformats.org/officeDocument/2006/relationships/hyperlink" Target="https://ref.ly/Isa63:2" TargetMode="External"/><Relationship Id="rId5584" Type="http://schemas.openxmlformats.org/officeDocument/2006/relationships/hyperlink" Target="https://ref.ly/Nah2:3" TargetMode="External"/><Relationship Id="rId5585" Type="http://schemas.openxmlformats.org/officeDocument/2006/relationships/hyperlink" Target="https://ref.ly/Lev13:19" TargetMode="External"/><Relationship Id="rId5586" Type="http://schemas.openxmlformats.org/officeDocument/2006/relationships/hyperlink" Target="https://ref.ly/Exod10:19" TargetMode="External"/><Relationship Id="rId5587" Type="http://schemas.openxmlformats.org/officeDocument/2006/relationships/hyperlink" Target="https://ref.ly/Exod15:4" TargetMode="External"/><Relationship Id="rId5588" Type="http://schemas.openxmlformats.org/officeDocument/2006/relationships/hyperlink" Target="https://ref.ly/Acts7:36" TargetMode="External"/><Relationship Id="rId5589" Type="http://schemas.openxmlformats.org/officeDocument/2006/relationships/hyperlink" Target="https://ref.ly/Heb11:29" TargetMode="External"/><Relationship Id="rId5590" Type="http://schemas.openxmlformats.org/officeDocument/2006/relationships/hyperlink" Target="https://ref.ly/Matt16:2-Matt16:3" TargetMode="External"/><Relationship Id="rId5591" Type="http://schemas.openxmlformats.org/officeDocument/2006/relationships/hyperlink" Target="https://ref.ly/Rev6:4" TargetMode="External"/><Relationship Id="rId5592" Type="http://schemas.openxmlformats.org/officeDocument/2006/relationships/hyperlink" Target="https://ref.ly/Rev18:12" TargetMode="External"/><Relationship Id="rId5593" Type="http://schemas.openxmlformats.org/officeDocument/2006/relationships/hyperlink" Target="https://ref.ly/Gen38:28" TargetMode="External"/><Relationship Id="rId5594" Type="http://schemas.openxmlformats.org/officeDocument/2006/relationships/hyperlink" Target="https://ref.ly/Josh2:18" TargetMode="External"/><Relationship Id="rId5595" Type="http://schemas.openxmlformats.org/officeDocument/2006/relationships/hyperlink" Target="https://ref.ly/2Sam1:24" TargetMode="External"/><Relationship Id="rId5596" Type="http://schemas.openxmlformats.org/officeDocument/2006/relationships/hyperlink" Target="https://ref.ly/Prov31:21" TargetMode="External"/><Relationship Id="rId5597" Type="http://schemas.openxmlformats.org/officeDocument/2006/relationships/hyperlink" Target="https://ref.ly/Jer4:30" TargetMode="External"/><Relationship Id="rId5598" Type="http://schemas.openxmlformats.org/officeDocument/2006/relationships/hyperlink" Target="https://ref.ly/Heb9:19" TargetMode="External"/><Relationship Id="rId5599" Type="http://schemas.openxmlformats.org/officeDocument/2006/relationships/hyperlink" Target="https://ref.ly/Lev14:4-Lev14:6" TargetMode="External"/><Relationship Id="rId5600" Type="http://schemas.openxmlformats.org/officeDocument/2006/relationships/hyperlink" Target="https://ref.ly/Lev14:49-Lev14:52" TargetMode="External"/><Relationship Id="rId5601" Type="http://schemas.openxmlformats.org/officeDocument/2006/relationships/hyperlink" Target="https://ref.ly/Num4:8" TargetMode="External"/><Relationship Id="rId5602" Type="http://schemas.openxmlformats.org/officeDocument/2006/relationships/hyperlink" Target="https://ref.ly/Num19:6" TargetMode="External"/><Relationship Id="rId5603" Type="http://schemas.openxmlformats.org/officeDocument/2006/relationships/hyperlink" Target="https://ref.ly/Rev17:3-Rev17:4" TargetMode="External"/><Relationship Id="rId5604" Type="http://schemas.openxmlformats.org/officeDocument/2006/relationships/hyperlink" Target="https://ref.ly/Rev18:16" TargetMode="External"/><Relationship Id="rId5605" Type="http://schemas.openxmlformats.org/officeDocument/2006/relationships/hyperlink" Target="https://ref.ly/Gen30:35" TargetMode="External"/><Relationship Id="rId5606" Type="http://schemas.openxmlformats.org/officeDocument/2006/relationships/hyperlink" Target="https://ref.ly/Lev13:10" TargetMode="External"/><Relationship Id="rId5607" Type="http://schemas.openxmlformats.org/officeDocument/2006/relationships/hyperlink" Target="https://ref.ly/Exod4:6" TargetMode="External"/><Relationship Id="rId5608" Type="http://schemas.openxmlformats.org/officeDocument/2006/relationships/hyperlink" Target="https://ref.ly/Lev13:4" TargetMode="External"/><Relationship Id="rId5609" Type="http://schemas.openxmlformats.org/officeDocument/2006/relationships/hyperlink" Target="https://ref.ly/2Kgs5:27" TargetMode="External"/><Relationship Id="rId5610" Type="http://schemas.openxmlformats.org/officeDocument/2006/relationships/hyperlink" Target="https://ref.ly/Rev6:2" TargetMode="External"/><Relationship Id="rId5611" Type="http://schemas.openxmlformats.org/officeDocument/2006/relationships/hyperlink" Target="https://ref.ly/Rev19:11" TargetMode="External"/><Relationship Id="rId5612" Type="http://schemas.openxmlformats.org/officeDocument/2006/relationships/hyperlink" Target="https://ref.ly/Judg5:10" TargetMode="External"/><Relationship Id="rId5613" Type="http://schemas.openxmlformats.org/officeDocument/2006/relationships/hyperlink" Target="https://ref.ly/Ezek27:18" TargetMode="External"/><Relationship Id="rId5614" Type="http://schemas.openxmlformats.org/officeDocument/2006/relationships/hyperlink" Target="https://ref.ly/Rev2:17" TargetMode="External"/><Relationship Id="rId5615" Type="http://schemas.openxmlformats.org/officeDocument/2006/relationships/hyperlink" Target="https://ref.ly/Matt17:2" TargetMode="External"/><Relationship Id="rId5616" Type="http://schemas.openxmlformats.org/officeDocument/2006/relationships/hyperlink" Target="https://ref.ly/Rev14:14" TargetMode="External"/><Relationship Id="rId5617" Type="http://schemas.openxmlformats.org/officeDocument/2006/relationships/hyperlink" Target="https://ref.ly/John4:35" TargetMode="External"/><Relationship Id="rId5618" Type="http://schemas.openxmlformats.org/officeDocument/2006/relationships/hyperlink" Target="https://ref.ly/Eccl9:8" TargetMode="External"/><Relationship Id="rId5619" Type="http://schemas.openxmlformats.org/officeDocument/2006/relationships/hyperlink" Target="https://ref.ly/Mark16:5" TargetMode="External"/><Relationship Id="rId5620" Type="http://schemas.openxmlformats.org/officeDocument/2006/relationships/hyperlink" Target="https://ref.ly/John20:12" TargetMode="External"/><Relationship Id="rId5621" Type="http://schemas.openxmlformats.org/officeDocument/2006/relationships/hyperlink" Target="https://ref.ly/Acts1:10" TargetMode="External"/><Relationship Id="rId5622" Type="http://schemas.openxmlformats.org/officeDocument/2006/relationships/hyperlink" Target="https://ref.ly/Rev20:11" TargetMode="External"/><Relationship Id="rId5623" Type="http://schemas.openxmlformats.org/officeDocument/2006/relationships/hyperlink" Target="https://ref.ly/Ps51:7" TargetMode="External"/><Relationship Id="rId5624" Type="http://schemas.openxmlformats.org/officeDocument/2006/relationships/hyperlink" Target="https://ref.ly/Dan12:10" TargetMode="External"/><Relationship Id="rId5625" Type="http://schemas.openxmlformats.org/officeDocument/2006/relationships/hyperlink" Target="https://ref.ly/Gen36:5,Gen36:14,Gen36:18" TargetMode="External"/><Relationship Id="rId5626" Type="http://schemas.openxmlformats.org/officeDocument/2006/relationships/hyperlink" Target="https://ref.ly/1Chr1:35" TargetMode="External"/><Relationship Id="rId5627" Type="http://schemas.openxmlformats.org/officeDocument/2006/relationships/hyperlink" Target="https://ref.ly/Gen36:16" TargetMode="External"/><Relationship Id="rId5628" Type="http://schemas.openxmlformats.org/officeDocument/2006/relationships/hyperlink" Target="https://ref.ly/Exod6:21,Exod6:24" TargetMode="External"/><Relationship Id="rId5629" Type="http://schemas.openxmlformats.org/officeDocument/2006/relationships/hyperlink" Target="https://ref.ly/Num16:1-Num16:3" TargetMode="External"/><Relationship Id="rId5630" Type="http://schemas.openxmlformats.org/officeDocument/2006/relationships/hyperlink" Target="https://ref.ly/Num16:1" TargetMode="External"/><Relationship Id="rId5631" Type="http://schemas.openxmlformats.org/officeDocument/2006/relationships/hyperlink" Target="https://ref.ly/Num16:12-Num16:14" TargetMode="External"/><Relationship Id="rId5632" Type="http://schemas.openxmlformats.org/officeDocument/2006/relationships/hyperlink" Target="https://ref.ly/Num16:4-Num16:10,Num16:15-Num16:17" TargetMode="External"/><Relationship Id="rId5633" Type="http://schemas.openxmlformats.org/officeDocument/2006/relationships/hyperlink" Target="https://ref.ly/Num16:11" TargetMode="External"/><Relationship Id="rId5634" Type="http://schemas.openxmlformats.org/officeDocument/2006/relationships/hyperlink" Target="https://ref.ly/Num16:19-Num16:24" TargetMode="External"/><Relationship Id="rId5635" Type="http://schemas.openxmlformats.org/officeDocument/2006/relationships/hyperlink" Target="https://ref.ly/Num16:31-Num16:35" TargetMode="External"/><Relationship Id="rId5636" Type="http://schemas.openxmlformats.org/officeDocument/2006/relationships/hyperlink" Target="https://ref.ly/Num26:11" TargetMode="External"/><Relationship Id="rId5637" Type="http://schemas.openxmlformats.org/officeDocument/2006/relationships/hyperlink" Target="https://ref.ly/Num16:36-Num16:40" TargetMode="External"/><Relationship Id="rId5638" Type="http://schemas.openxmlformats.org/officeDocument/2006/relationships/hyperlink" Target="https://ref.ly/Num16:41-Num16:50" TargetMode="External"/><Relationship Id="rId5639" Type="http://schemas.openxmlformats.org/officeDocument/2006/relationships/hyperlink" Target="https://ref.ly/1Chr2:43" TargetMode="External"/><Relationship Id="rId5640" Type="http://schemas.openxmlformats.org/officeDocument/2006/relationships/hyperlink" Target="https://ref.ly/1Sam25:37-1Sam25:39" TargetMode="External"/><Relationship Id="rId5641" Type="http://schemas.openxmlformats.org/officeDocument/2006/relationships/hyperlink" Target="https://ref.ly/Judg19:5" TargetMode="External"/><Relationship Id="rId5642" Type="http://schemas.openxmlformats.org/officeDocument/2006/relationships/hyperlink" Target="https://ref.ly/Ps104:15" TargetMode="External"/><Relationship Id="rId5643" Type="http://schemas.openxmlformats.org/officeDocument/2006/relationships/hyperlink" Target="https://ref.ly/Acts14:17" TargetMode="External"/><Relationship Id="rId5644" Type="http://schemas.openxmlformats.org/officeDocument/2006/relationships/hyperlink" Target="https://ref.ly/Jer12:11" TargetMode="External"/><Relationship Id="rId5645" Type="http://schemas.openxmlformats.org/officeDocument/2006/relationships/hyperlink" Target="https://ref.ly/1Kgs3:9" TargetMode="External"/><Relationship Id="rId5646" Type="http://schemas.openxmlformats.org/officeDocument/2006/relationships/hyperlink" Target="https://ref.ly/Mark2:6" TargetMode="External"/><Relationship Id="rId5647" Type="http://schemas.openxmlformats.org/officeDocument/2006/relationships/hyperlink" Target="https://ref.ly/Luke2:19" TargetMode="External"/><Relationship Id="rId5648" Type="http://schemas.openxmlformats.org/officeDocument/2006/relationships/hyperlink" Target="https://ref.ly/Luke2:51" TargetMode="External"/><Relationship Id="rId5649" Type="http://schemas.openxmlformats.org/officeDocument/2006/relationships/hyperlink" Target="https://ref.ly/Deut8:17" TargetMode="External"/><Relationship Id="rId5650" Type="http://schemas.openxmlformats.org/officeDocument/2006/relationships/hyperlink" Target="https://ref.ly/Luke1:51" TargetMode="External"/><Relationship Id="rId5651" Type="http://schemas.openxmlformats.org/officeDocument/2006/relationships/hyperlink" Target="https://ref.ly/Eccl1:17" TargetMode="External"/><Relationship Id="rId5652" Type="http://schemas.openxmlformats.org/officeDocument/2006/relationships/hyperlink" Target="https://ref.ly/Exod28:3" TargetMode="External"/><Relationship Id="rId5653" Type="http://schemas.openxmlformats.org/officeDocument/2006/relationships/hyperlink" Target="https://ref.ly/1Sam25:36" TargetMode="External"/><Relationship Id="rId5654" Type="http://schemas.openxmlformats.org/officeDocument/2006/relationships/hyperlink" Target="https://ref.ly/Isa30:29" TargetMode="External"/><Relationship Id="rId5655" Type="http://schemas.openxmlformats.org/officeDocument/2006/relationships/hyperlink" Target="https://ref.ly/John16:22" TargetMode="External"/><Relationship Id="rId5656" Type="http://schemas.openxmlformats.org/officeDocument/2006/relationships/hyperlink" Target="https://ref.ly/Neh2:2" TargetMode="External"/><Relationship Id="rId5657" Type="http://schemas.openxmlformats.org/officeDocument/2006/relationships/hyperlink" Target="https://ref.ly/Rom9:2" TargetMode="External"/><Relationship Id="rId5658" Type="http://schemas.openxmlformats.org/officeDocument/2006/relationships/hyperlink" Target="https://ref.ly/Prov14:10" TargetMode="External"/><Relationship Id="rId5659" Type="http://schemas.openxmlformats.org/officeDocument/2006/relationships/hyperlink" Target="https://ref.ly/1Sam4:13" TargetMode="External"/><Relationship Id="rId5660" Type="http://schemas.openxmlformats.org/officeDocument/2006/relationships/hyperlink" Target="https://ref.ly/Eccl2:20" TargetMode="External"/><Relationship Id="rId5661" Type="http://schemas.openxmlformats.org/officeDocument/2006/relationships/hyperlink" Target="https://ref.ly/2Sam14:1" TargetMode="External"/><Relationship Id="rId5662" Type="http://schemas.openxmlformats.org/officeDocument/2006/relationships/hyperlink" Target="https://ref.ly/Ps112:7" TargetMode="External"/><Relationship Id="rId5663" Type="http://schemas.openxmlformats.org/officeDocument/2006/relationships/hyperlink" Target="https://ref.ly/2Cor7:3" TargetMode="External"/><Relationship Id="rId5664" Type="http://schemas.openxmlformats.org/officeDocument/2006/relationships/hyperlink" Target="https://ref.ly/Mark3:5" TargetMode="External"/><Relationship Id="rId5665" Type="http://schemas.openxmlformats.org/officeDocument/2006/relationships/hyperlink" Target="https://ref.ly/Lev19:17" TargetMode="External"/><Relationship Id="rId5666" Type="http://schemas.openxmlformats.org/officeDocument/2006/relationships/hyperlink" Target="https://ref.ly/Gen42:28" TargetMode="External"/><Relationship Id="rId5667" Type="http://schemas.openxmlformats.org/officeDocument/2006/relationships/hyperlink" Target="https://ref.ly/Jas3:14" TargetMode="External"/><Relationship Id="rId5668" Type="http://schemas.openxmlformats.org/officeDocument/2006/relationships/hyperlink" Target="https://ref.ly/Rom10:1" TargetMode="External"/><Relationship Id="rId5669" Type="http://schemas.openxmlformats.org/officeDocument/2006/relationships/hyperlink" Target="https://ref.ly/Num32:9" TargetMode="External"/><Relationship Id="rId5670" Type="http://schemas.openxmlformats.org/officeDocument/2006/relationships/hyperlink" Target="https://ref.ly/Exod23:9" TargetMode="External"/><Relationship Id="rId5671" Type="http://schemas.openxmlformats.org/officeDocument/2006/relationships/hyperlink" Target="https://ref.ly/Deut19:6" TargetMode="External"/><Relationship Id="rId5672" Type="http://schemas.openxmlformats.org/officeDocument/2006/relationships/hyperlink" Target="https://ref.ly/2Chr13:7" TargetMode="External"/><Relationship Id="rId5673" Type="http://schemas.openxmlformats.org/officeDocument/2006/relationships/hyperlink" Target="https://ref.ly/1Cor4:5" TargetMode="External"/><Relationship Id="rId5674" Type="http://schemas.openxmlformats.org/officeDocument/2006/relationships/hyperlink" Target="https://ref.ly/1Sam14:7" TargetMode="External"/><Relationship Id="rId5675" Type="http://schemas.openxmlformats.org/officeDocument/2006/relationships/hyperlink" Target="https://ref.ly/2Kgs12:4" TargetMode="External"/><Relationship Id="rId5676" Type="http://schemas.openxmlformats.org/officeDocument/2006/relationships/hyperlink" Target="https://ref.ly/Prov4:23" TargetMode="External"/><Relationship Id="rId5677" Type="http://schemas.openxmlformats.org/officeDocument/2006/relationships/hyperlink" Target="https://ref.ly/Acts11:23" TargetMode="External"/><Relationship Id="rId5678" Type="http://schemas.openxmlformats.org/officeDocument/2006/relationships/hyperlink" Target="https://ref.ly/Exod35:22" TargetMode="External"/><Relationship Id="rId5679" Type="http://schemas.openxmlformats.org/officeDocument/2006/relationships/hyperlink" Target="https://ref.ly/Acts5:4" TargetMode="External"/><Relationship Id="rId5680" Type="http://schemas.openxmlformats.org/officeDocument/2006/relationships/hyperlink" Target="https://ref.ly/Matt6:21" TargetMode="External"/><Relationship Id="rId5681" Type="http://schemas.openxmlformats.org/officeDocument/2006/relationships/hyperlink" Target="https://ref.ly/1Thess3:13" TargetMode="External"/><Relationship Id="rId5682" Type="http://schemas.openxmlformats.org/officeDocument/2006/relationships/hyperlink" Target="https://ref.ly/Neh9:8" TargetMode="External"/><Relationship Id="rId5683" Type="http://schemas.openxmlformats.org/officeDocument/2006/relationships/hyperlink" Target="https://ref.ly/Ps97:11" TargetMode="External"/><Relationship Id="rId5684" Type="http://schemas.openxmlformats.org/officeDocument/2006/relationships/hyperlink" Target="https://ref.ly/Jas4:8" TargetMode="External"/><Relationship Id="rId5685" Type="http://schemas.openxmlformats.org/officeDocument/2006/relationships/hyperlink" Target="https://ref.ly/Acts15:8" TargetMode="External"/><Relationship Id="rId5686" Type="http://schemas.openxmlformats.org/officeDocument/2006/relationships/hyperlink" Target="https://ref.ly/Ezek11:19" TargetMode="External"/><Relationship Id="rId5687" Type="http://schemas.openxmlformats.org/officeDocument/2006/relationships/hyperlink" Target="https://ref.ly/Gen6:5" TargetMode="External"/><Relationship Id="rId5688" Type="http://schemas.openxmlformats.org/officeDocument/2006/relationships/hyperlink" Target="https://ref.ly/Jas1:26" TargetMode="External"/><Relationship Id="rId5689" Type="http://schemas.openxmlformats.org/officeDocument/2006/relationships/hyperlink" Target="https://ref.ly/Jer17:9" TargetMode="External"/><Relationship Id="rId5690" Type="http://schemas.openxmlformats.org/officeDocument/2006/relationships/hyperlink" Target="https://ref.ly/Matt6:19-Matt6:21" TargetMode="External"/><Relationship Id="rId5691" Type="http://schemas.openxmlformats.org/officeDocument/2006/relationships/hyperlink" Target="https://ref.ly/Isa9:9" TargetMode="External"/><Relationship Id="rId5692" Type="http://schemas.openxmlformats.org/officeDocument/2006/relationships/hyperlink" Target="https://ref.ly/Acts7:51" TargetMode="External"/><Relationship Id="rId5693" Type="http://schemas.openxmlformats.org/officeDocument/2006/relationships/hyperlink" Target="https://ref.ly/Ps101:4" TargetMode="External"/><Relationship Id="rId5694" Type="http://schemas.openxmlformats.org/officeDocument/2006/relationships/hyperlink" Target="https://ref.ly/Rom2:5" TargetMode="External"/><Relationship Id="rId5695" Type="http://schemas.openxmlformats.org/officeDocument/2006/relationships/hyperlink" Target="https://ref.ly/Mark7:18-Mark7:19" TargetMode="External"/><Relationship Id="rId5696" Type="http://schemas.openxmlformats.org/officeDocument/2006/relationships/hyperlink" Target="https://ref.ly/Luke6:45" TargetMode="External"/><Relationship Id="rId5697" Type="http://schemas.openxmlformats.org/officeDocument/2006/relationships/hyperlink" Target="https://ref.ly/Luke8:15" TargetMode="External"/><Relationship Id="rId5698" Type="http://schemas.openxmlformats.org/officeDocument/2006/relationships/hyperlink" Target="https://ref.ly/1Kgs8:18" TargetMode="External"/><Relationship Id="rId5699" Type="http://schemas.openxmlformats.org/officeDocument/2006/relationships/hyperlink" Target="https://ref.ly/Gen20:5" TargetMode="External"/><Relationship Id="rId5700" Type="http://schemas.openxmlformats.org/officeDocument/2006/relationships/hyperlink" Target="https://ref.ly/Ps86:11" TargetMode="External"/><Relationship Id="rId5701" Type="http://schemas.openxmlformats.org/officeDocument/2006/relationships/hyperlink" Target="https://ref.ly/Acts8:37" TargetMode="External"/><Relationship Id="rId5702" Type="http://schemas.openxmlformats.org/officeDocument/2006/relationships/hyperlink" Target="https://ref.ly/1Pet3:4" TargetMode="External"/><Relationship Id="rId5703" Type="http://schemas.openxmlformats.org/officeDocument/2006/relationships/hyperlink" Target="https://ref.ly/Ps62:8" TargetMode="External"/><Relationship Id="rId5704" Type="http://schemas.openxmlformats.org/officeDocument/2006/relationships/hyperlink" Target="https://ref.ly/Matt15:18-Matt15:19" TargetMode="External"/><Relationship Id="rId5705" Type="http://schemas.openxmlformats.org/officeDocument/2006/relationships/hyperlink" Target="https://ref.ly/1Sam16:7" TargetMode="External"/><Relationship Id="rId5706" Type="http://schemas.openxmlformats.org/officeDocument/2006/relationships/hyperlink" Target="https://ref.ly/2Cor5:12" TargetMode="External"/><Relationship Id="rId5707" Type="http://schemas.openxmlformats.org/officeDocument/2006/relationships/hyperlink" Target="https://ref.ly/1Thess2:17" TargetMode="External"/><Relationship Id="rId5708" Type="http://schemas.openxmlformats.org/officeDocument/2006/relationships/hyperlink" Target="https://ref.ly/Dan4:16" TargetMode="External"/><Relationship Id="rId5709" Type="http://schemas.openxmlformats.org/officeDocument/2006/relationships/hyperlink" Target="https://ref.ly/Matt12:33-Matt12:37" TargetMode="External"/><Relationship Id="rId5710" Type="http://schemas.openxmlformats.org/officeDocument/2006/relationships/hyperlink" Target="https://ref.ly/Jer17:10" TargetMode="External"/><Relationship Id="rId5711" Type="http://schemas.openxmlformats.org/officeDocument/2006/relationships/hyperlink" Target="https://ref.ly/Luke9:47" TargetMode="External"/><Relationship Id="rId5712" Type="http://schemas.openxmlformats.org/officeDocument/2006/relationships/hyperlink" Target="https://ref.ly/Rom8:27" TargetMode="External"/><Relationship Id="rId5713" Type="http://schemas.openxmlformats.org/officeDocument/2006/relationships/hyperlink" Target="https://ref.ly/2Cor4:6" TargetMode="External"/><Relationship Id="rId5714" Type="http://schemas.openxmlformats.org/officeDocument/2006/relationships/hyperlink" Target="https://ref.ly/Matt5:8" TargetMode="External"/><Relationship Id="rId5715" Type="http://schemas.openxmlformats.org/officeDocument/2006/relationships/hyperlink" Target="https://ref.ly/Ps27:8" TargetMode="External"/><Relationship Id="rId5716" Type="http://schemas.openxmlformats.org/officeDocument/2006/relationships/hyperlink" Target="https://ref.ly/Gal4:6" TargetMode="External"/><Relationship Id="rId5717" Type="http://schemas.openxmlformats.org/officeDocument/2006/relationships/hyperlink" Target="https://ref.ly/Eph3:17" TargetMode="External"/><Relationship Id="rId5718" Type="http://schemas.openxmlformats.org/officeDocument/2006/relationships/hyperlink" Target="https://ref.ly/Deut29:18-Deut29:19" TargetMode="External"/><Relationship Id="rId5719" Type="http://schemas.openxmlformats.org/officeDocument/2006/relationships/hyperlink" Target="https://ref.ly/Matt15:8" TargetMode="External"/><Relationship Id="rId5720" Type="http://schemas.openxmlformats.org/officeDocument/2006/relationships/hyperlink" Target="https://ref.ly/Acts8:21" TargetMode="External"/><Relationship Id="rId5721" Type="http://schemas.openxmlformats.org/officeDocument/2006/relationships/hyperlink" Target="https://ref.ly/Rom1:21" TargetMode="External"/><Relationship Id="rId5722" Type="http://schemas.openxmlformats.org/officeDocument/2006/relationships/hyperlink" Target="https://ref.ly/Ps51:17" TargetMode="External"/><Relationship Id="rId5723" Type="http://schemas.openxmlformats.org/officeDocument/2006/relationships/hyperlink" Target="https://ref.ly/Deut4:29" TargetMode="External"/><Relationship Id="rId5724" Type="http://schemas.openxmlformats.org/officeDocument/2006/relationships/hyperlink" Target="https://ref.ly/2Kgs23:25" TargetMode="External"/><Relationship Id="rId5725" Type="http://schemas.openxmlformats.org/officeDocument/2006/relationships/hyperlink" Target="https://ref.ly/Ps51:10" TargetMode="External"/><Relationship Id="rId5726" Type="http://schemas.openxmlformats.org/officeDocument/2006/relationships/hyperlink" Target="https://ref.ly/Joel2:13" TargetMode="External"/><Relationship Id="rId5727" Type="http://schemas.openxmlformats.org/officeDocument/2006/relationships/hyperlink" Target="https://ref.ly/Jer31:33" TargetMode="External"/><Relationship Id="rId5728" Type="http://schemas.openxmlformats.org/officeDocument/2006/relationships/hyperlink" Target="https://ref.ly/Heb8:10" TargetMode="External"/><Relationship Id="rId5729" Type="http://schemas.openxmlformats.org/officeDocument/2006/relationships/hyperlink" Target="https://ref.ly/2Cor3:2-2Cor3:3" TargetMode="External"/><Relationship Id="rId5730" Type="http://schemas.openxmlformats.org/officeDocument/2006/relationships/hyperlink" Target="https://ref.ly/Rom10:9" TargetMode="External"/><Relationship Id="rId5731" Type="http://schemas.openxmlformats.org/officeDocument/2006/relationships/hyperlink" Target="https://ref.ly/Luke10:27" TargetMode="External"/><Relationship Id="rId5732" Type="http://schemas.openxmlformats.org/officeDocument/2006/relationships/hyperlink" Target="https://ref.ly/Ps73:26" TargetMode="External"/><Relationship Id="rId5733" Type="http://schemas.openxmlformats.org/officeDocument/2006/relationships/hyperlink" Target="https://ref.ly/Isa57:15" TargetMode="External"/><Relationship Id="rId5734" Type="http://schemas.openxmlformats.org/officeDocument/2006/relationships/hyperlink" Target="https://ref.ly/Heb13:9" TargetMode="External"/><Relationship Id="rId5735" Type="http://schemas.openxmlformats.org/officeDocument/2006/relationships/hyperlink" Target="https://ref.ly/1Sam13:14" TargetMode="External"/><Relationship Id="rId5736" Type="http://schemas.openxmlformats.org/officeDocument/2006/relationships/hyperlink" Target="https://ref.ly/Acts13:22" TargetMode="External"/><Relationship Id="rId5737" Type="http://schemas.openxmlformats.org/officeDocument/2006/relationships/hyperlink" Target="https://ref.ly/Exod6:18,Exod6:21" TargetMode="External"/><Relationship Id="rId5738" Type="http://schemas.openxmlformats.org/officeDocument/2006/relationships/hyperlink" Target="https://ref.ly/Num26:58" TargetMode="External"/><Relationship Id="rId5739" Type="http://schemas.openxmlformats.org/officeDocument/2006/relationships/hyperlink" Target="https://ref.ly/Ps42:1-Ps42:11" TargetMode="External"/><Relationship Id="rId5740" Type="http://schemas.openxmlformats.org/officeDocument/2006/relationships/hyperlink" Target="https://ref.ly/Ps44:1-Ps49:20" TargetMode="External"/><Relationship Id="rId5741" Type="http://schemas.openxmlformats.org/officeDocument/2006/relationships/hyperlink" Target="https://ref.ly/Ps84:1-Ps85:13" TargetMode="External"/><Relationship Id="rId5742" Type="http://schemas.openxmlformats.org/officeDocument/2006/relationships/hyperlink" Target="https://ref.ly/Ps87:1-Ps88:18" TargetMode="External"/><Relationship Id="rId5743" Type="http://schemas.openxmlformats.org/officeDocument/2006/relationships/hyperlink" Target="https://ref.ly/1Chr6:31-1Chr6:33" TargetMode="External"/><Relationship Id="rId5744" Type="http://schemas.openxmlformats.org/officeDocument/2006/relationships/hyperlink" Target="https://ref.ly/1Chr9:19" TargetMode="External"/><Relationship Id="rId5745" Type="http://schemas.openxmlformats.org/officeDocument/2006/relationships/hyperlink" Target="https://ref.ly/1Chr26:19" TargetMode="External"/><Relationship Id="rId5746" Type="http://schemas.openxmlformats.org/officeDocument/2006/relationships/hyperlink" Target="https://ref.ly/1Chr9:31" TargetMode="External"/><Relationship Id="rId5747" Type="http://schemas.openxmlformats.org/officeDocument/2006/relationships/hyperlink" Target="https://ref.ly/Exod25:5" TargetMode="External"/><Relationship Id="rId5748" Type="http://schemas.openxmlformats.org/officeDocument/2006/relationships/hyperlink" Target="https://ref.ly/Mark7:11" TargetMode="External"/><Relationship Id="rId5749" Type="http://schemas.openxmlformats.org/officeDocument/2006/relationships/hyperlink" Target="https://ref.ly/Mark7:1-Mark7:37" TargetMode="External"/><Relationship Id="rId5750" Type="http://schemas.openxmlformats.org/officeDocument/2006/relationships/hyperlink" Target="https://ref.ly/Exod20:12" TargetMode="External"/><Relationship Id="rId5751" Type="http://schemas.openxmlformats.org/officeDocument/2006/relationships/hyperlink" Target="https://ref.ly/Mark7:12" TargetMode="External"/><Relationship Id="rId5752" Type="http://schemas.openxmlformats.org/officeDocument/2006/relationships/hyperlink" Target="https://ref.ly/Num30:1-Num30:2" TargetMode="External"/><Relationship Id="rId5753" Type="http://schemas.openxmlformats.org/officeDocument/2006/relationships/hyperlink" Target="https://ref.ly/John1:29,John1:36" TargetMode="External"/><Relationship Id="rId5754" Type="http://schemas.openxmlformats.org/officeDocument/2006/relationships/hyperlink" Target="https://ref.ly/Exod12:21" TargetMode="External"/><Relationship Id="rId5755" Type="http://schemas.openxmlformats.org/officeDocument/2006/relationships/hyperlink" Target="https://ref.ly/1Cor5:9-1Cor5:11" TargetMode="External"/><Relationship Id="rId5756" Type="http://schemas.openxmlformats.org/officeDocument/2006/relationships/hyperlink" Target="https://ref.ly/1Cor16:17" TargetMode="External"/><Relationship Id="rId5757" Type="http://schemas.openxmlformats.org/officeDocument/2006/relationships/hyperlink" Target="https://ref.ly/2Cor2:2-2Cor2:3" TargetMode="External"/><Relationship Id="rId5758" Type="http://schemas.openxmlformats.org/officeDocument/2006/relationships/hyperlink" Target="https://ref.ly/Acts18:4" TargetMode="External"/><Relationship Id="rId5759" Type="http://schemas.openxmlformats.org/officeDocument/2006/relationships/hyperlink" Target="https://ref.ly/Acts18:17" TargetMode="External"/><Relationship Id="rId5760" Type="http://schemas.openxmlformats.org/officeDocument/2006/relationships/hyperlink" Target="https://ref.ly/1Cor1:18" TargetMode="External"/><Relationship Id="rId5761" Type="http://schemas.openxmlformats.org/officeDocument/2006/relationships/hyperlink" Target="https://ref.ly/1Cor1:26-1Cor1:31" TargetMode="External"/><Relationship Id="rId5762" Type="http://schemas.openxmlformats.org/officeDocument/2006/relationships/hyperlink" Target="https://ref.ly/1Cor2:4" TargetMode="External"/><Relationship Id="rId5763" Type="http://schemas.openxmlformats.org/officeDocument/2006/relationships/hyperlink" Target="https://ref.ly/1Cor3:17" TargetMode="External"/><Relationship Id="rId5764" Type="http://schemas.openxmlformats.org/officeDocument/2006/relationships/hyperlink" Target="https://ref.ly/1Cor6:1-1Cor6:20" TargetMode="External"/><Relationship Id="rId5765" Type="http://schemas.openxmlformats.org/officeDocument/2006/relationships/hyperlink" Target="https://ref.ly/1Cor4:8-1Cor4:13" TargetMode="External"/><Relationship Id="rId5766" Type="http://schemas.openxmlformats.org/officeDocument/2006/relationships/hyperlink" Target="https://ref.ly/1Cor4:14-1Cor4:16" TargetMode="External"/><Relationship Id="rId5767" Type="http://schemas.openxmlformats.org/officeDocument/2006/relationships/hyperlink" Target="https://ref.ly/1Cor4:18" TargetMode="External"/><Relationship Id="rId5768" Type="http://schemas.openxmlformats.org/officeDocument/2006/relationships/hyperlink" Target="https://ref.ly/1Cor5:12-1Cor5:13" TargetMode="External"/><Relationship Id="rId5769" Type="http://schemas.openxmlformats.org/officeDocument/2006/relationships/hyperlink" Target="https://ref.ly/1Cor5:6-1Cor5:8" TargetMode="External"/><Relationship Id="rId5770" Type="http://schemas.openxmlformats.org/officeDocument/2006/relationships/hyperlink" Target="https://ref.ly/1Cor5:9-1Cor5:13" TargetMode="External"/><Relationship Id="rId5771" Type="http://schemas.openxmlformats.org/officeDocument/2006/relationships/hyperlink" Target="https://ref.ly/1Cor7:12-1Cor7:16" TargetMode="External"/><Relationship Id="rId5772" Type="http://schemas.openxmlformats.org/officeDocument/2006/relationships/hyperlink" Target="https://ref.ly/1Cor6:1-1Cor6:11" TargetMode="External"/><Relationship Id="rId5773" Type="http://schemas.openxmlformats.org/officeDocument/2006/relationships/hyperlink" Target="https://ref.ly/1Cor6:4" TargetMode="External"/><Relationship Id="rId5774" Type="http://schemas.openxmlformats.org/officeDocument/2006/relationships/hyperlink" Target="https://ref.ly/1Cor6:7" TargetMode="External"/><Relationship Id="rId5775" Type="http://schemas.openxmlformats.org/officeDocument/2006/relationships/hyperlink" Target="https://ref.ly/Matt5:38-Matt5:42" TargetMode="External"/><Relationship Id="rId5776" Type="http://schemas.openxmlformats.org/officeDocument/2006/relationships/hyperlink" Target="https://ref.ly/1Cor6:9-1Cor6:11" TargetMode="External"/><Relationship Id="rId5777" Type="http://schemas.openxmlformats.org/officeDocument/2006/relationships/hyperlink" Target="https://ref.ly/1Cor6:12-1Cor6:20" TargetMode="External"/><Relationship Id="rId5778" Type="http://schemas.openxmlformats.org/officeDocument/2006/relationships/hyperlink" Target="https://ref.ly/1Cor6:12" TargetMode="External"/><Relationship Id="rId5779" Type="http://schemas.openxmlformats.org/officeDocument/2006/relationships/hyperlink" Target="https://ref.ly/1Cor6:13-1Cor6:14" TargetMode="External"/><Relationship Id="rId5780" Type="http://schemas.openxmlformats.org/officeDocument/2006/relationships/hyperlink" Target="https://ref.ly/1Cor6:15-1Cor6:17" TargetMode="External"/><Relationship Id="rId5781" Type="http://schemas.openxmlformats.org/officeDocument/2006/relationships/hyperlink" Target="https://ref.ly/1Cor7:1-1Cor7:24" TargetMode="External"/><Relationship Id="rId5782" Type="http://schemas.openxmlformats.org/officeDocument/2006/relationships/hyperlink" Target="https://ref.ly/1Cor7:2" TargetMode="External"/><Relationship Id="rId5783" Type="http://schemas.openxmlformats.org/officeDocument/2006/relationships/hyperlink" Target="https://ref.ly/1Cor7:3-1Cor7:4" TargetMode="External"/><Relationship Id="rId5784" Type="http://schemas.openxmlformats.org/officeDocument/2006/relationships/hyperlink" Target="https://ref.ly/1Cor7:5" TargetMode="External"/><Relationship Id="rId5785" Type="http://schemas.openxmlformats.org/officeDocument/2006/relationships/hyperlink" Target="https://ref.ly/1Cor7:25-1Cor7:40" TargetMode="External"/><Relationship Id="rId5786" Type="http://schemas.openxmlformats.org/officeDocument/2006/relationships/hyperlink" Target="https://ref.ly/1Cor7:7-1Cor7:9" TargetMode="External"/><Relationship Id="rId5787" Type="http://schemas.openxmlformats.org/officeDocument/2006/relationships/hyperlink" Target="https://ref.ly/Mark10:11-Mark10:12" TargetMode="External"/><Relationship Id="rId5788" Type="http://schemas.openxmlformats.org/officeDocument/2006/relationships/hyperlink" Target="https://ref.ly/Luke16:18" TargetMode="External"/><Relationship Id="rId5789" Type="http://schemas.openxmlformats.org/officeDocument/2006/relationships/hyperlink" Target="https://ref.ly/1Cor7:10-1Cor7:11" TargetMode="External"/><Relationship Id="rId5790" Type="http://schemas.openxmlformats.org/officeDocument/2006/relationships/hyperlink" Target="https://ref.ly/1Cor7:12-1Cor7:13" TargetMode="External"/><Relationship Id="rId5791" Type="http://schemas.openxmlformats.org/officeDocument/2006/relationships/hyperlink" Target="https://ref.ly/1Cor6:12-1Cor6:13" TargetMode="External"/><Relationship Id="rId5792" Type="http://schemas.openxmlformats.org/officeDocument/2006/relationships/hyperlink" Target="https://ref.ly/1Cor7:15" TargetMode="External"/><Relationship Id="rId5793" Type="http://schemas.openxmlformats.org/officeDocument/2006/relationships/hyperlink" Target="https://ref.ly/1Cor7:17-1Cor7:24" TargetMode="External"/><Relationship Id="rId5794" Type="http://schemas.openxmlformats.org/officeDocument/2006/relationships/hyperlink" Target="https://ref.ly/1Cor7:21-1Cor7:23" TargetMode="External"/><Relationship Id="rId5795" Type="http://schemas.openxmlformats.org/officeDocument/2006/relationships/hyperlink" Target="https://ref.ly/1Cor7:25-1Cor7:31" TargetMode="External"/><Relationship Id="rId5796" Type="http://schemas.openxmlformats.org/officeDocument/2006/relationships/hyperlink" Target="https://ref.ly/1Cor7:32-1Cor7:35" TargetMode="External"/><Relationship Id="rId5797" Type="http://schemas.openxmlformats.org/officeDocument/2006/relationships/hyperlink" Target="https://ref.ly/1Cor7:36-1Cor7:38" TargetMode="External"/><Relationship Id="rId5798" Type="http://schemas.openxmlformats.org/officeDocument/2006/relationships/hyperlink" Target="https://ref.ly/1Cor7:39-1Cor7:40" TargetMode="External"/><Relationship Id="rId5799" Type="http://schemas.openxmlformats.org/officeDocument/2006/relationships/hyperlink" Target="https://ref.ly/1Cor8:1-1Cor11:1" TargetMode="External"/><Relationship Id="rId5800" Type="http://schemas.openxmlformats.org/officeDocument/2006/relationships/hyperlink" Target="https://ref.ly/1Cor8:1-1Cor8:13" TargetMode="External"/><Relationship Id="rId5801" Type="http://schemas.openxmlformats.org/officeDocument/2006/relationships/hyperlink" Target="https://ref.ly/1Cor8:1" TargetMode="External"/><Relationship Id="rId5802" Type="http://schemas.openxmlformats.org/officeDocument/2006/relationships/hyperlink" Target="https://ref.ly/1Cor9:1-1Cor9:23" TargetMode="External"/><Relationship Id="rId5803" Type="http://schemas.openxmlformats.org/officeDocument/2006/relationships/hyperlink" Target="https://ref.ly/Luke10:5-Luke10:7" TargetMode="External"/><Relationship Id="rId5804" Type="http://schemas.openxmlformats.org/officeDocument/2006/relationships/hyperlink" Target="https://ref.ly/1Cor9:12" TargetMode="External"/><Relationship Id="rId5805" Type="http://schemas.openxmlformats.org/officeDocument/2006/relationships/hyperlink" Target="https://ref.ly/1Cor9:16-1Cor9:17" TargetMode="External"/><Relationship Id="rId5806" Type="http://schemas.openxmlformats.org/officeDocument/2006/relationships/hyperlink" Target="https://ref.ly/1Cor9:24-1Cor10:22" TargetMode="External"/><Relationship Id="rId5807" Type="http://schemas.openxmlformats.org/officeDocument/2006/relationships/hyperlink" Target="https://ref.ly/1Cor9:24-1Cor9:27" TargetMode="External"/><Relationship Id="rId5808" Type="http://schemas.openxmlformats.org/officeDocument/2006/relationships/hyperlink" Target="https://ref.ly/1Cor10:2-1Cor10:4" TargetMode="External"/><Relationship Id="rId5809" Type="http://schemas.openxmlformats.org/officeDocument/2006/relationships/hyperlink" Target="https://ref.ly/1Cor10:12" TargetMode="External"/><Relationship Id="rId5810" Type="http://schemas.openxmlformats.org/officeDocument/2006/relationships/hyperlink" Target="https://ref.ly/1Cor10:13" TargetMode="External"/><Relationship Id="rId5811" Type="http://schemas.openxmlformats.org/officeDocument/2006/relationships/hyperlink" Target="https://ref.ly/1Cor10:14-1Cor10:22" TargetMode="External"/><Relationship Id="rId5812" Type="http://schemas.openxmlformats.org/officeDocument/2006/relationships/hyperlink" Target="https://ref.ly/1Cor10:22" TargetMode="External"/><Relationship Id="rId5813" Type="http://schemas.openxmlformats.org/officeDocument/2006/relationships/hyperlink" Target="https://ref.ly/1Cor10:23-1Cor11:1" TargetMode="External"/><Relationship Id="rId5814" Type="http://schemas.openxmlformats.org/officeDocument/2006/relationships/hyperlink" Target="https://ref.ly/1Cor10:25-1Cor10:26" TargetMode="External"/><Relationship Id="rId5815" Type="http://schemas.openxmlformats.org/officeDocument/2006/relationships/hyperlink" Target="https://ref.ly/1Cor10:27-1Cor10:30" TargetMode="External"/><Relationship Id="rId5816" Type="http://schemas.openxmlformats.org/officeDocument/2006/relationships/hyperlink" Target="https://ref.ly/1Cor10:31" TargetMode="External"/><Relationship Id="rId5817" Type="http://schemas.openxmlformats.org/officeDocument/2006/relationships/hyperlink" Target="https://ref.ly/1Cor10:32" TargetMode="External"/><Relationship Id="rId5818" Type="http://schemas.openxmlformats.org/officeDocument/2006/relationships/hyperlink" Target="https://ref.ly/1Cor11:2-1Cor14:40" TargetMode="External"/><Relationship Id="rId5819" Type="http://schemas.openxmlformats.org/officeDocument/2006/relationships/hyperlink" Target="https://ref.ly/1Cor11:1-1Cor11:16" TargetMode="External"/><Relationship Id="rId5820" Type="http://schemas.openxmlformats.org/officeDocument/2006/relationships/hyperlink" Target="https://ref.ly/Mark12:25" TargetMode="External"/><Relationship Id="rId5821" Type="http://schemas.openxmlformats.org/officeDocument/2006/relationships/hyperlink" Target="https://ref.ly/1Cor11:3" TargetMode="External"/><Relationship Id="rId5822" Type="http://schemas.openxmlformats.org/officeDocument/2006/relationships/hyperlink" Target="https://ref.ly/1Cor11:17-1Cor11:34" TargetMode="External"/><Relationship Id="rId5823" Type="http://schemas.openxmlformats.org/officeDocument/2006/relationships/hyperlink" Target="https://ref.ly/1Cor11:21" TargetMode="External"/><Relationship Id="rId5824" Type="http://schemas.openxmlformats.org/officeDocument/2006/relationships/hyperlink" Target="https://ref.ly/1Cor11:22" TargetMode="External"/><Relationship Id="rId5825" Type="http://schemas.openxmlformats.org/officeDocument/2006/relationships/hyperlink" Target="https://ref.ly/1Cor10:16-1Cor10:17" TargetMode="External"/><Relationship Id="rId5826" Type="http://schemas.openxmlformats.org/officeDocument/2006/relationships/hyperlink" Target="https://ref.ly/1Cor11:29" TargetMode="External"/><Relationship Id="rId5827" Type="http://schemas.openxmlformats.org/officeDocument/2006/relationships/hyperlink" Target="https://ref.ly/1Cor12:1-1Cor14:40" TargetMode="External"/><Relationship Id="rId5828" Type="http://schemas.openxmlformats.org/officeDocument/2006/relationships/hyperlink" Target="https://ref.ly/1Cor12:4-1Cor12:6" TargetMode="External"/><Relationship Id="rId5829" Type="http://schemas.openxmlformats.org/officeDocument/2006/relationships/hyperlink" Target="https://ref.ly/1Cor12:7" TargetMode="External"/><Relationship Id="rId5830" Type="http://schemas.openxmlformats.org/officeDocument/2006/relationships/hyperlink" Target="https://ref.ly/1Cor12:12-1Cor12:13" TargetMode="External"/><Relationship Id="rId5831" Type="http://schemas.openxmlformats.org/officeDocument/2006/relationships/hyperlink" Target="https://ref.ly/1Cor12:14-1Cor12:26" TargetMode="External"/><Relationship Id="rId5832" Type="http://schemas.openxmlformats.org/officeDocument/2006/relationships/hyperlink" Target="https://ref.ly/1Cor12:27-1Cor12:31" TargetMode="External"/><Relationship Id="rId5833" Type="http://schemas.openxmlformats.org/officeDocument/2006/relationships/hyperlink" Target="https://ref.ly/1Cor13:1-1Cor13:13" TargetMode="External"/><Relationship Id="rId5834" Type="http://schemas.openxmlformats.org/officeDocument/2006/relationships/hyperlink" Target="https://ref.ly/1Cor13:4-1Cor13:7" TargetMode="External"/><Relationship Id="rId5835" Type="http://schemas.openxmlformats.org/officeDocument/2006/relationships/hyperlink" Target="https://ref.ly/1Cor13:10" TargetMode="External"/><Relationship Id="rId5836" Type="http://schemas.openxmlformats.org/officeDocument/2006/relationships/hyperlink" Target="https://ref.ly/1Cor13:13" TargetMode="External"/><Relationship Id="rId5837" Type="http://schemas.openxmlformats.org/officeDocument/2006/relationships/hyperlink" Target="https://ref.ly/1Cor14:1-1Cor14:25" TargetMode="External"/><Relationship Id="rId5838" Type="http://schemas.openxmlformats.org/officeDocument/2006/relationships/hyperlink" Target="https://ref.ly/1Cor14:21" TargetMode="External"/><Relationship Id="rId5839" Type="http://schemas.openxmlformats.org/officeDocument/2006/relationships/hyperlink" Target="https://ref.ly/1Cor14:18" TargetMode="External"/><Relationship Id="rId5840" Type="http://schemas.openxmlformats.org/officeDocument/2006/relationships/hyperlink" Target="https://ref.ly/1Cor14:26-1Cor14:40" TargetMode="External"/><Relationship Id="rId5841" Type="http://schemas.openxmlformats.org/officeDocument/2006/relationships/hyperlink" Target="https://ref.ly/1Cor14:26" TargetMode="External"/><Relationship Id="rId5842" Type="http://schemas.openxmlformats.org/officeDocument/2006/relationships/hyperlink" Target="https://ref.ly/1Cor14:27-1Cor14:33" TargetMode="External"/><Relationship Id="rId5843" Type="http://schemas.openxmlformats.org/officeDocument/2006/relationships/hyperlink" Target="https://ref.ly/1Cor14:34-1Cor14:36" TargetMode="External"/><Relationship Id="rId5844" Type="http://schemas.openxmlformats.org/officeDocument/2006/relationships/hyperlink" Target="https://ref.ly/1Cor14:37-1Cor14:40" TargetMode="External"/><Relationship Id="rId5845" Type="http://schemas.openxmlformats.org/officeDocument/2006/relationships/hyperlink" Target="https://ref.ly/1Cor15:1-1Cor15:58" TargetMode="External"/><Relationship Id="rId5846" Type="http://schemas.openxmlformats.org/officeDocument/2006/relationships/hyperlink" Target="https://ref.ly/1Cor5:1-1Cor6:20" TargetMode="External"/><Relationship Id="rId5847" Type="http://schemas.openxmlformats.org/officeDocument/2006/relationships/hyperlink" Target="https://ref.ly/1Cor15:1-1Cor15:19" TargetMode="External"/><Relationship Id="rId5848" Type="http://schemas.openxmlformats.org/officeDocument/2006/relationships/hyperlink" Target="https://ref.ly/1Cor15:3-1Cor15:11" TargetMode="External"/><Relationship Id="rId5849" Type="http://schemas.openxmlformats.org/officeDocument/2006/relationships/hyperlink" Target="https://ref.ly/1Cor15:12-1Cor15:19" TargetMode="External"/><Relationship Id="rId5850" Type="http://schemas.openxmlformats.org/officeDocument/2006/relationships/hyperlink" Target="https://ref.ly/1Cor15:20-1Cor15:28" TargetMode="External"/><Relationship Id="rId5851" Type="http://schemas.openxmlformats.org/officeDocument/2006/relationships/hyperlink" Target="https://ref.ly/1Cor15:23-1Cor15:28" TargetMode="External"/><Relationship Id="rId5852" Type="http://schemas.openxmlformats.org/officeDocument/2006/relationships/hyperlink" Target="https://ref.ly/1Cor15:30-1Cor15:32" TargetMode="External"/><Relationship Id="rId5853" Type="http://schemas.openxmlformats.org/officeDocument/2006/relationships/hyperlink" Target="https://ref.ly/1Cor15:35-1Cor15:50" TargetMode="External"/><Relationship Id="rId5854" Type="http://schemas.openxmlformats.org/officeDocument/2006/relationships/hyperlink" Target="https://ref.ly/1Cor15:51-1Cor15:58" TargetMode="External"/><Relationship Id="rId5855" Type="http://schemas.openxmlformats.org/officeDocument/2006/relationships/hyperlink" Target="https://ref.ly/1Cor15:54-1Cor15:57" TargetMode="External"/><Relationship Id="rId5856" Type="http://schemas.openxmlformats.org/officeDocument/2006/relationships/hyperlink" Target="https://ref.ly/1Cor15:58" TargetMode="External"/><Relationship Id="rId5857" Type="http://schemas.openxmlformats.org/officeDocument/2006/relationships/hyperlink" Target="https://ref.ly/1Cor16:1-1Cor16:4" TargetMode="External"/><Relationship Id="rId5858" Type="http://schemas.openxmlformats.org/officeDocument/2006/relationships/hyperlink" Target="https://ref.ly/1Cor16:2" TargetMode="External"/><Relationship Id="rId5859" Type="http://schemas.openxmlformats.org/officeDocument/2006/relationships/hyperlink" Target="https://ref.ly/2Cor8:1-2Cor9:15" TargetMode="External"/><Relationship Id="rId5860" Type="http://schemas.openxmlformats.org/officeDocument/2006/relationships/hyperlink" Target="https://ref.ly/2Cor1:1-2Cor1:24" TargetMode="External"/><Relationship Id="rId5861" Type="http://schemas.openxmlformats.org/officeDocument/2006/relationships/hyperlink" Target="https://ref.ly/1Cor16:15-1Cor16:18" TargetMode="External"/><Relationship Id="rId5862" Type="http://schemas.openxmlformats.org/officeDocument/2006/relationships/hyperlink" Target="https://ref.ly/Acts18:2-Acts18:3" TargetMode="External"/><Relationship Id="rId5863" Type="http://schemas.openxmlformats.org/officeDocument/2006/relationships/hyperlink" Target="https://ref.ly/1Cor16:21-1Cor16:24" TargetMode="External"/><Relationship Id="rId5864" Type="http://schemas.openxmlformats.org/officeDocument/2006/relationships/hyperlink" Target="https://ref.ly/2Cor2:14-2Cor7:4" TargetMode="External"/><Relationship Id="rId5865" Type="http://schemas.openxmlformats.org/officeDocument/2006/relationships/hyperlink" Target="https://ref.ly/2Cor10:1-2Cor13:14" TargetMode="External"/><Relationship Id="rId5866" Type="http://schemas.openxmlformats.org/officeDocument/2006/relationships/hyperlink" Target="https://ref.ly/2Cor7:2" TargetMode="External"/><Relationship Id="rId5867" Type="http://schemas.openxmlformats.org/officeDocument/2006/relationships/hyperlink" Target="https://ref.ly/2Cor6:13" TargetMode="External"/><Relationship Id="rId5868" Type="http://schemas.openxmlformats.org/officeDocument/2006/relationships/hyperlink" Target="https://ref.ly/1Cor5:9" TargetMode="External"/><Relationship Id="rId5869" Type="http://schemas.openxmlformats.org/officeDocument/2006/relationships/hyperlink" Target="https://ref.ly/2Cor2:1,2Cor2:5" TargetMode="External"/><Relationship Id="rId5870" Type="http://schemas.openxmlformats.org/officeDocument/2006/relationships/hyperlink" Target="https://ref.ly/2Cor7:8,2Cor7:12" TargetMode="External"/><Relationship Id="rId5871" Type="http://schemas.openxmlformats.org/officeDocument/2006/relationships/hyperlink" Target="https://ref.ly/2Cor1:8-2Cor1:9" TargetMode="External"/><Relationship Id="rId5872" Type="http://schemas.openxmlformats.org/officeDocument/2006/relationships/hyperlink" Target="https://ref.ly/2Cor1:1-2Cor9:15" TargetMode="External"/><Relationship Id="rId5873" Type="http://schemas.openxmlformats.org/officeDocument/2006/relationships/hyperlink" Target="https://ref.ly/Acts20:2-Acts20:3" TargetMode="External"/><Relationship Id="rId5874" Type="http://schemas.openxmlformats.org/officeDocument/2006/relationships/hyperlink" Target="https://ref.ly/1Cor1:1-1Cor1:31" TargetMode="External"/><Relationship Id="rId5875" Type="http://schemas.openxmlformats.org/officeDocument/2006/relationships/hyperlink" Target="https://ref.ly/2Cor1:1-2Cor1:7" TargetMode="External"/><Relationship Id="rId5876" Type="http://schemas.openxmlformats.org/officeDocument/2006/relationships/hyperlink" Target="https://ref.ly/2Cor1:1-2Cor1:2" TargetMode="External"/><Relationship Id="rId5877" Type="http://schemas.openxmlformats.org/officeDocument/2006/relationships/hyperlink" Target="https://ref.ly/2Cor1:3-2Cor1:7" TargetMode="External"/><Relationship Id="rId5878" Type="http://schemas.openxmlformats.org/officeDocument/2006/relationships/hyperlink" Target="https://ref.ly/2Cor1:1-2Cor7:16" TargetMode="External"/><Relationship Id="rId5879" Type="http://schemas.openxmlformats.org/officeDocument/2006/relationships/hyperlink" Target="https://ref.ly/2Cor1:8-2Cor2:13" TargetMode="External"/><Relationship Id="rId5880" Type="http://schemas.openxmlformats.org/officeDocument/2006/relationships/hyperlink" Target="https://ref.ly/2Cor1:8-2Cor1:11" TargetMode="External"/><Relationship Id="rId5881" Type="http://schemas.openxmlformats.org/officeDocument/2006/relationships/hyperlink" Target="https://ref.ly/2Cor1:12-2Cor1:14" TargetMode="External"/><Relationship Id="rId5882" Type="http://schemas.openxmlformats.org/officeDocument/2006/relationships/hyperlink" Target="https://ref.ly/1Cor16:5-1Cor16:6" TargetMode="External"/><Relationship Id="rId5883" Type="http://schemas.openxmlformats.org/officeDocument/2006/relationships/hyperlink" Target="https://ref.ly/2Cor1:15-2Cor2:4" TargetMode="External"/><Relationship Id="rId5884" Type="http://schemas.openxmlformats.org/officeDocument/2006/relationships/hyperlink" Target="https://ref.ly/Jas5:12" TargetMode="External"/><Relationship Id="rId5885" Type="http://schemas.openxmlformats.org/officeDocument/2006/relationships/hyperlink" Target="https://ref.ly/1Cor5:1-1Cor5:13" TargetMode="External"/><Relationship Id="rId5886" Type="http://schemas.openxmlformats.org/officeDocument/2006/relationships/hyperlink" Target="https://ref.ly/2Cor2:5-2Cor2:11" TargetMode="External"/><Relationship Id="rId5887" Type="http://schemas.openxmlformats.org/officeDocument/2006/relationships/hyperlink" Target="https://ref.ly/2Cor2:12-2Cor2:13" TargetMode="External"/><Relationship Id="rId5888" Type="http://schemas.openxmlformats.org/officeDocument/2006/relationships/hyperlink" Target="https://ref.ly/2Cor2:14-2Cor2:17" TargetMode="External"/><Relationship Id="rId5889" Type="http://schemas.openxmlformats.org/officeDocument/2006/relationships/hyperlink" Target="https://ref.ly/2Cor3:1-2Cor3:3" TargetMode="External"/><Relationship Id="rId5890" Type="http://schemas.openxmlformats.org/officeDocument/2006/relationships/hyperlink" Target="https://ref.ly/Exod34:29-Exod34:35" TargetMode="External"/><Relationship Id="rId5891" Type="http://schemas.openxmlformats.org/officeDocument/2006/relationships/hyperlink" Target="https://ref.ly/2Cor3:4-2Cor4:6" TargetMode="External"/><Relationship Id="rId5892" Type="http://schemas.openxmlformats.org/officeDocument/2006/relationships/hyperlink" Target="https://ref.ly/2Cor4:7-2Cor4:15" TargetMode="External"/><Relationship Id="rId5893" Type="http://schemas.openxmlformats.org/officeDocument/2006/relationships/hyperlink" Target="https://ref.ly/2Cor4:16-2Cor4:18" TargetMode="External"/><Relationship Id="rId5894" Type="http://schemas.openxmlformats.org/officeDocument/2006/relationships/hyperlink" Target="https://ref.ly/2Cor5:1-2Cor5:5" TargetMode="External"/><Relationship Id="rId5895" Type="http://schemas.openxmlformats.org/officeDocument/2006/relationships/hyperlink" Target="https://ref.ly/2Cor5:6-2Cor5:10" TargetMode="External"/><Relationship Id="rId5896" Type="http://schemas.openxmlformats.org/officeDocument/2006/relationships/hyperlink" Target="https://ref.ly/2Cor5:11-2Cor5:15" TargetMode="External"/><Relationship Id="rId5897" Type="http://schemas.openxmlformats.org/officeDocument/2006/relationships/hyperlink" Target="https://ref.ly/2Cor5:16-2Cor5:20" TargetMode="External"/><Relationship Id="rId5898" Type="http://schemas.openxmlformats.org/officeDocument/2006/relationships/hyperlink" Target="https://ref.ly/2Cor6:1-2Cor6:10" TargetMode="External"/><Relationship Id="rId5899" Type="http://schemas.openxmlformats.org/officeDocument/2006/relationships/hyperlink" Target="https://ref.ly/2Cor6:11-2Cor6:13" TargetMode="External"/><Relationship Id="rId5900" Type="http://schemas.openxmlformats.org/officeDocument/2006/relationships/hyperlink" Target="https://ref.ly/Exod25:8" TargetMode="External"/><Relationship Id="rId5901" Type="http://schemas.openxmlformats.org/officeDocument/2006/relationships/hyperlink" Target="https://ref.ly/Lev26:11-Lev26:12" TargetMode="External"/><Relationship Id="rId5902" Type="http://schemas.openxmlformats.org/officeDocument/2006/relationships/hyperlink" Target="https://ref.ly/Isa52:11" TargetMode="External"/><Relationship Id="rId5903" Type="http://schemas.openxmlformats.org/officeDocument/2006/relationships/hyperlink" Target="https://ref.ly/Ezek37:27" TargetMode="External"/><Relationship Id="rId5904" Type="http://schemas.openxmlformats.org/officeDocument/2006/relationships/hyperlink" Target="https://ref.ly/Hos1:10" TargetMode="External"/><Relationship Id="rId5905" Type="http://schemas.openxmlformats.org/officeDocument/2006/relationships/hyperlink" Target="https://ref.ly/2Cor7:2-2Cor7:4" TargetMode="External"/><Relationship Id="rId5906" Type="http://schemas.openxmlformats.org/officeDocument/2006/relationships/hyperlink" Target="https://ref.ly/2Cor7:5-2Cor7:16" TargetMode="External"/><Relationship Id="rId5907" Type="http://schemas.openxmlformats.org/officeDocument/2006/relationships/hyperlink" Target="https://ref.ly/2Cor2:13" TargetMode="External"/><Relationship Id="rId5908" Type="http://schemas.openxmlformats.org/officeDocument/2006/relationships/hyperlink" Target="https://ref.ly/Acts11:27-Acts11:30" TargetMode="External"/><Relationship Id="rId5909" Type="http://schemas.openxmlformats.org/officeDocument/2006/relationships/hyperlink" Target="https://ref.ly/2Cor8:1-2Cor8:7" TargetMode="External"/><Relationship Id="rId5910" Type="http://schemas.openxmlformats.org/officeDocument/2006/relationships/hyperlink" Target="https://ref.ly/Exod16:18" TargetMode="External"/><Relationship Id="rId5911" Type="http://schemas.openxmlformats.org/officeDocument/2006/relationships/hyperlink" Target="https://ref.ly/2Cor8:8-2Cor8:15" TargetMode="External"/><Relationship Id="rId5912" Type="http://schemas.openxmlformats.org/officeDocument/2006/relationships/hyperlink" Target="https://ref.ly/2Cor8:16-2Cor8:24" TargetMode="External"/><Relationship Id="rId5913" Type="http://schemas.openxmlformats.org/officeDocument/2006/relationships/hyperlink" Target="https://ref.ly/2Cor9:1-2Cor9:5" TargetMode="External"/><Relationship Id="rId5914" Type="http://schemas.openxmlformats.org/officeDocument/2006/relationships/hyperlink" Target="https://ref.ly/2Cor9:6-2Cor9:15" TargetMode="External"/><Relationship Id="rId5915" Type="http://schemas.openxmlformats.org/officeDocument/2006/relationships/hyperlink" Target="https://ref.ly/2Cor9:15" TargetMode="External"/><Relationship Id="rId5916" Type="http://schemas.openxmlformats.org/officeDocument/2006/relationships/hyperlink" Target="https://ref.ly/2Cor10:1" TargetMode="External"/><Relationship Id="rId5917" Type="http://schemas.openxmlformats.org/officeDocument/2006/relationships/hyperlink" Target="https://ref.ly/2Cor10:1-2Cor10:11" TargetMode="External"/><Relationship Id="rId5918" Type="http://schemas.openxmlformats.org/officeDocument/2006/relationships/hyperlink" Target="https://ref.ly/2Cor10:13-2Cor10:18" TargetMode="External"/><Relationship Id="rId5919" Type="http://schemas.openxmlformats.org/officeDocument/2006/relationships/hyperlink" Target="https://ref.ly/2Cor11:1-2Cor11:6" TargetMode="External"/><Relationship Id="rId5920" Type="http://schemas.openxmlformats.org/officeDocument/2006/relationships/hyperlink" Target="https://ref.ly/1Cor9:1-1Cor9:27" TargetMode="External"/><Relationship Id="rId5921" Type="http://schemas.openxmlformats.org/officeDocument/2006/relationships/hyperlink" Target="https://ref.ly/2Cor11:7-2Cor11:21" TargetMode="External"/><Relationship Id="rId5922" Type="http://schemas.openxmlformats.org/officeDocument/2006/relationships/hyperlink" Target="https://ref.ly/2Cor11:21-2Cor11:29" TargetMode="External"/><Relationship Id="rId5923" Type="http://schemas.openxmlformats.org/officeDocument/2006/relationships/hyperlink" Target="https://ref.ly/2Cor11:30-2Cor11:33" TargetMode="External"/><Relationship Id="rId5924" Type="http://schemas.openxmlformats.org/officeDocument/2006/relationships/hyperlink" Target="https://ref.ly/Acts9:30" TargetMode="External"/><Relationship Id="rId5925" Type="http://schemas.openxmlformats.org/officeDocument/2006/relationships/hyperlink" Target="https://ref.ly/Acts11:25" TargetMode="External"/><Relationship Id="rId5926" Type="http://schemas.openxmlformats.org/officeDocument/2006/relationships/hyperlink" Target="https://ref.ly/Num33:55" TargetMode="External"/><Relationship Id="rId5927" Type="http://schemas.openxmlformats.org/officeDocument/2006/relationships/hyperlink" Target="https://ref.ly/Josh23:13" TargetMode="External"/><Relationship Id="rId5928" Type="http://schemas.openxmlformats.org/officeDocument/2006/relationships/hyperlink" Target="https://ref.ly/2Cor12:10" TargetMode="External"/><Relationship Id="rId5929" Type="http://schemas.openxmlformats.org/officeDocument/2006/relationships/hyperlink" Target="https://ref.ly/2Cor12:1-2Cor12:10" TargetMode="External"/><Relationship Id="rId5930" Type="http://schemas.openxmlformats.org/officeDocument/2006/relationships/hyperlink" Target="https://ref.ly/2Cor12:11-2Cor12:13" TargetMode="External"/><Relationship Id="rId5931" Type="http://schemas.openxmlformats.org/officeDocument/2006/relationships/hyperlink" Target="https://ref.ly/2Cor12:14-2Cor12:18" TargetMode="External"/><Relationship Id="rId5932" Type="http://schemas.openxmlformats.org/officeDocument/2006/relationships/hyperlink" Target="https://ref.ly/2Cor12:19-2Cor13:4" TargetMode="External"/><Relationship Id="rId5933" Type="http://schemas.openxmlformats.org/officeDocument/2006/relationships/hyperlink" Target="https://ref.ly/2Cor13:5-2Cor13:10" TargetMode="External"/><Relationship Id="rId5934" Type="http://schemas.openxmlformats.org/officeDocument/2006/relationships/hyperlink" Target="https://ref.ly/2Cor13:11-2Cor13:13" TargetMode="External"/><Relationship Id="rId5935" Type="http://schemas.openxmlformats.org/officeDocument/2006/relationships/hyperlink" Target="https://ref.ly/Acts18:1-Acts18:28" TargetMode="External"/><Relationship Id="rId5936" Type="http://schemas.openxmlformats.org/officeDocument/2006/relationships/hyperlink" Target="https://ref.ly/Acts18:6" TargetMode="External"/><Relationship Id="rId5937" Type="http://schemas.openxmlformats.org/officeDocument/2006/relationships/hyperlink" Target="https://ref.ly/Acts10:1-Acts11:18" TargetMode="External"/><Relationship Id="rId5938" Type="http://schemas.openxmlformats.org/officeDocument/2006/relationships/hyperlink" Target="https://ref.ly/Ps8:1" TargetMode="External"/><Relationship Id="rId5939" Type="http://schemas.openxmlformats.org/officeDocument/2006/relationships/hyperlink" Target="https://ref.ly/Ezek32:16" TargetMode="External"/><Relationship Id="rId5940" Type="http://schemas.openxmlformats.org/officeDocument/2006/relationships/hyperlink" Target="https://ref.ly/Exod29:6" TargetMode="External"/><Relationship Id="rId5941" Type="http://schemas.openxmlformats.org/officeDocument/2006/relationships/hyperlink" Target="https://ref.ly/Exod39:30" TargetMode="External"/><Relationship Id="rId5942" Type="http://schemas.openxmlformats.org/officeDocument/2006/relationships/hyperlink" Target="https://ref.ly/2Sam1:10" TargetMode="External"/><Relationship Id="rId5943" Type="http://schemas.openxmlformats.org/officeDocument/2006/relationships/hyperlink" Target="https://ref.ly/2Kgs11:12" TargetMode="External"/><Relationship Id="rId5944" Type="http://schemas.openxmlformats.org/officeDocument/2006/relationships/hyperlink" Target="https://ref.ly/Ps89:39" TargetMode="External"/><Relationship Id="rId5945" Type="http://schemas.openxmlformats.org/officeDocument/2006/relationships/hyperlink" Target="https://ref.ly/Ps132:18" TargetMode="External"/><Relationship Id="rId5946" Type="http://schemas.openxmlformats.org/officeDocument/2006/relationships/hyperlink" Target="https://ref.ly/Esth1:11" TargetMode="External"/><Relationship Id="rId5947" Type="http://schemas.openxmlformats.org/officeDocument/2006/relationships/hyperlink" Target="https://ref.ly/Zech6:11,Zech6:14" TargetMode="External"/><Relationship Id="rId5948" Type="http://schemas.openxmlformats.org/officeDocument/2006/relationships/hyperlink" Target="https://ref.ly/Isa28:1" TargetMode="External"/><Relationship Id="rId5949" Type="http://schemas.openxmlformats.org/officeDocument/2006/relationships/hyperlink" Target="https://ref.ly/Wis2:8" TargetMode="External"/><Relationship Id="rId5950" Type="http://schemas.openxmlformats.org/officeDocument/2006/relationships/hyperlink" Target="https://ref.ly/Nah3:17" TargetMode="External"/><Relationship Id="rId5951" Type="http://schemas.openxmlformats.org/officeDocument/2006/relationships/hyperlink" Target="https://ref.ly/Job19:9" TargetMode="External"/><Relationship Id="rId5952" Type="http://schemas.openxmlformats.org/officeDocument/2006/relationships/hyperlink" Target="https://ref.ly/Ezek16:12" TargetMode="External"/><Relationship Id="rId5953" Type="http://schemas.openxmlformats.org/officeDocument/2006/relationships/hyperlink" Target="https://ref.ly/Ezek23:42" TargetMode="External"/><Relationship Id="rId5954" Type="http://schemas.openxmlformats.org/officeDocument/2006/relationships/hyperlink" Target="https://ref.ly/Job31:36" TargetMode="External"/><Relationship Id="rId5955" Type="http://schemas.openxmlformats.org/officeDocument/2006/relationships/hyperlink" Target="https://ref.ly/Isa28:3" TargetMode="External"/><Relationship Id="rId5956" Type="http://schemas.openxmlformats.org/officeDocument/2006/relationships/hyperlink" Target="https://ref.ly/2Tim2:5" TargetMode="External"/><Relationship Id="rId5957" Type="http://schemas.openxmlformats.org/officeDocument/2006/relationships/hyperlink" Target="https://ref.ly/Phil4:1" TargetMode="External"/><Relationship Id="rId5958" Type="http://schemas.openxmlformats.org/officeDocument/2006/relationships/hyperlink" Target="https://ref.ly/1Thess2:19" TargetMode="External"/><Relationship Id="rId5959" Type="http://schemas.openxmlformats.org/officeDocument/2006/relationships/hyperlink" Target="https://ref.ly/Rev3:11" TargetMode="External"/><Relationship Id="rId5960" Type="http://schemas.openxmlformats.org/officeDocument/2006/relationships/hyperlink" Target="https://ref.ly/Rev13:1" TargetMode="External"/><Relationship Id="rId5961" Type="http://schemas.openxmlformats.org/officeDocument/2006/relationships/hyperlink" Target="https://ref.ly/Rev19:12" TargetMode="External"/><Relationship Id="rId5962" Type="http://schemas.openxmlformats.org/officeDocument/2006/relationships/hyperlink" Target="https://ref.ly/Mark15:17-Mark15:18" TargetMode="External"/><Relationship Id="rId5963" Type="http://schemas.openxmlformats.org/officeDocument/2006/relationships/hyperlink" Target="https://ref.ly/Matt27:27-Matt27:29" TargetMode="External"/><Relationship Id="rId5964" Type="http://schemas.openxmlformats.org/officeDocument/2006/relationships/hyperlink" Target="https://ref.ly/Mark15:26" TargetMode="External"/><Relationship Id="rId5965" Type="http://schemas.openxmlformats.org/officeDocument/2006/relationships/hyperlink" Target="https://ref.ly/Ezek1:11" TargetMode="External"/><Relationship Id="rId5966" Type="http://schemas.openxmlformats.org/officeDocument/2006/relationships/hyperlink" Target="https://ref.ly/Jer10:1-Jer10:16" TargetMode="External"/><Relationship Id="rId5967" Type="http://schemas.openxmlformats.org/officeDocument/2006/relationships/hyperlink" Target="https://ref.ly/Mark15:43" TargetMode="External"/><Relationship Id="rId5968" Type="http://schemas.openxmlformats.org/officeDocument/2006/relationships/hyperlink" Target="https://ref.ly/Mark5:29" TargetMode="External"/><Relationship Id="rId5969" Type="http://schemas.openxmlformats.org/officeDocument/2006/relationships/hyperlink" Target="https://ref.ly/Jas2:16" TargetMode="External"/><Relationship Id="rId5970" Type="http://schemas.openxmlformats.org/officeDocument/2006/relationships/hyperlink" Target="https://ref.ly/Matt6:25" TargetMode="External"/><Relationship Id="rId5971" Type="http://schemas.openxmlformats.org/officeDocument/2006/relationships/hyperlink" Target="https://ref.ly/Rom7:24" TargetMode="External"/><Relationship Id="rId5972" Type="http://schemas.openxmlformats.org/officeDocument/2006/relationships/hyperlink" Target="https://ref.ly/Rom7:25-Rom8:4" TargetMode="External"/><Relationship Id="rId5973" Type="http://schemas.openxmlformats.org/officeDocument/2006/relationships/hyperlink" Target="https://ref.ly/John17:11" TargetMode="External"/><Relationship Id="rId5974" Type="http://schemas.openxmlformats.org/officeDocument/2006/relationships/hyperlink" Target="https://ref.ly/Rom8:23" TargetMode="External"/><Relationship Id="rId5975" Type="http://schemas.openxmlformats.org/officeDocument/2006/relationships/hyperlink" Target="https://ref.ly/Phil3:21" TargetMode="External"/><Relationship Id="rId5976" Type="http://schemas.openxmlformats.org/officeDocument/2006/relationships/hyperlink" Target="https://ref.ly/1Cor15:35-1Cor15:57" TargetMode="External"/><Relationship Id="rId5977" Type="http://schemas.openxmlformats.org/officeDocument/2006/relationships/hyperlink" Target="https://ref.ly/1Cor15:44" TargetMode="External"/><Relationship Id="rId5978" Type="http://schemas.openxmlformats.org/officeDocument/2006/relationships/hyperlink" Target="https://ref.ly/1Cor15:54" TargetMode="External"/><Relationship Id="rId5979" Type="http://schemas.openxmlformats.org/officeDocument/2006/relationships/hyperlink" Target="https://ref.ly/Heb10:5" TargetMode="External"/><Relationship Id="rId5980" Type="http://schemas.openxmlformats.org/officeDocument/2006/relationships/hyperlink" Target="https://ref.ly/Matt1:20" TargetMode="External"/><Relationship Id="rId5981" Type="http://schemas.openxmlformats.org/officeDocument/2006/relationships/hyperlink" Target="https://ref.ly/1John4:2-1John4:3" TargetMode="External"/><Relationship Id="rId5982" Type="http://schemas.openxmlformats.org/officeDocument/2006/relationships/hyperlink" Target="https://ref.ly/Isa53:1-Isa53:4" TargetMode="External"/><Relationship Id="rId5983" Type="http://schemas.openxmlformats.org/officeDocument/2006/relationships/hyperlink" Target="https://ref.ly/John11:35" TargetMode="External"/><Relationship Id="rId5984" Type="http://schemas.openxmlformats.org/officeDocument/2006/relationships/hyperlink" Target="https://ref.ly/Heb5:7-Heb5:8" TargetMode="External"/><Relationship Id="rId5985" Type="http://schemas.openxmlformats.org/officeDocument/2006/relationships/hyperlink" Target="https://ref.ly/John4:6" TargetMode="External"/><Relationship Id="rId5986" Type="http://schemas.openxmlformats.org/officeDocument/2006/relationships/hyperlink" Target="https://ref.ly/John19:28" TargetMode="External"/><Relationship Id="rId5987" Type="http://schemas.openxmlformats.org/officeDocument/2006/relationships/hyperlink" Target="https://ref.ly/John19:1-John19:3" TargetMode="External"/><Relationship Id="rId5988" Type="http://schemas.openxmlformats.org/officeDocument/2006/relationships/hyperlink" Target="https://ref.ly/John19:30,John19:33" TargetMode="External"/><Relationship Id="rId5989" Type="http://schemas.openxmlformats.org/officeDocument/2006/relationships/hyperlink" Target="https://ref.ly/1Pet2:24" TargetMode="External"/><Relationship Id="rId5990" Type="http://schemas.openxmlformats.org/officeDocument/2006/relationships/hyperlink" Target="https://ref.ly/Isa53:5-Isa53:6" TargetMode="External"/><Relationship Id="rId5991" Type="http://schemas.openxmlformats.org/officeDocument/2006/relationships/hyperlink" Target="https://ref.ly/Heb9:12-Heb9:14,Heb9:26-Heb9:28" TargetMode="External"/><Relationship Id="rId5992" Type="http://schemas.openxmlformats.org/officeDocument/2006/relationships/hyperlink" Target="https://ref.ly/Heb10:10" TargetMode="External"/><Relationship Id="rId5993" Type="http://schemas.openxmlformats.org/officeDocument/2006/relationships/hyperlink" Target="https://ref.ly/Matt27:59" TargetMode="External"/><Relationship Id="rId5994" Type="http://schemas.openxmlformats.org/officeDocument/2006/relationships/hyperlink" Target="https://ref.ly/Mark15:46" TargetMode="External"/><Relationship Id="rId5995" Type="http://schemas.openxmlformats.org/officeDocument/2006/relationships/hyperlink" Target="https://ref.ly/Luke23:53,Luke23:56" TargetMode="External"/><Relationship Id="rId5996" Type="http://schemas.openxmlformats.org/officeDocument/2006/relationships/hyperlink" Target="https://ref.ly/Luke24:1" TargetMode="External"/><Relationship Id="rId5997" Type="http://schemas.openxmlformats.org/officeDocument/2006/relationships/hyperlink" Target="https://ref.ly/John19:39-John19:40" TargetMode="External"/><Relationship Id="rId5998" Type="http://schemas.openxmlformats.org/officeDocument/2006/relationships/hyperlink" Target="https://ref.ly/Matt27:57-Matt27:60" TargetMode="External"/><Relationship Id="rId5999" Type="http://schemas.openxmlformats.org/officeDocument/2006/relationships/hyperlink" Target="https://ref.ly/John19:41" TargetMode="External"/><Relationship Id="rId6000" Type="http://schemas.openxmlformats.org/officeDocument/2006/relationships/hyperlink" Target="https://ref.ly/Matt28:9" TargetMode="External"/><Relationship Id="rId6001" Type="http://schemas.openxmlformats.org/officeDocument/2006/relationships/hyperlink" Target="https://ref.ly/Luke24:31,Luke24:36" TargetMode="External"/><Relationship Id="rId6002" Type="http://schemas.openxmlformats.org/officeDocument/2006/relationships/hyperlink" Target="https://ref.ly/John20:10-John20:19,John20:26" TargetMode="External"/><Relationship Id="rId6003" Type="http://schemas.openxmlformats.org/officeDocument/2006/relationships/hyperlink" Target="https://ref.ly/Luke24:39" TargetMode="External"/><Relationship Id="rId6004" Type="http://schemas.openxmlformats.org/officeDocument/2006/relationships/hyperlink" Target="https://ref.ly/1John1:1" TargetMode="External"/><Relationship Id="rId6005" Type="http://schemas.openxmlformats.org/officeDocument/2006/relationships/hyperlink" Target="https://ref.ly/Luke24:42-Luke24:43" TargetMode="External"/><Relationship Id="rId6006" Type="http://schemas.openxmlformats.org/officeDocument/2006/relationships/hyperlink" Target="https://ref.ly/John20:19,John20:26" TargetMode="External"/><Relationship Id="rId6007" Type="http://schemas.openxmlformats.org/officeDocument/2006/relationships/hyperlink" Target="https://ref.ly/1Cor15:20-1Cor15:23,1Cor15:50-1Cor15:57" TargetMode="External"/><Relationship Id="rId6008" Type="http://schemas.openxmlformats.org/officeDocument/2006/relationships/hyperlink" Target="https://ref.ly/Matt26:26-Matt26:29" TargetMode="External"/><Relationship Id="rId6009" Type="http://schemas.openxmlformats.org/officeDocument/2006/relationships/hyperlink" Target="https://ref.ly/Luke22:15-Luke22:20" TargetMode="External"/><Relationship Id="rId6010" Type="http://schemas.openxmlformats.org/officeDocument/2006/relationships/hyperlink" Target="https://ref.ly/Matt26:26,Matt26:28" TargetMode="External"/><Relationship Id="rId6011" Type="http://schemas.openxmlformats.org/officeDocument/2006/relationships/hyperlink" Target="https://ref.ly/Luke23:33" TargetMode="External"/><Relationship Id="rId6012" Type="http://schemas.openxmlformats.org/officeDocument/2006/relationships/hyperlink" Target="https://ref.ly/John19:1-John19:2" TargetMode="External"/><Relationship Id="rId6013" Type="http://schemas.openxmlformats.org/officeDocument/2006/relationships/hyperlink" Target="https://ref.ly/Matt8:17" TargetMode="External"/><Relationship Id="rId6014" Type="http://schemas.openxmlformats.org/officeDocument/2006/relationships/hyperlink" Target="https://ref.ly/Isa53:4-Isa53:5" TargetMode="External"/><Relationship Id="rId6015" Type="http://schemas.openxmlformats.org/officeDocument/2006/relationships/hyperlink" Target="https://ref.ly/1Cor11:25-1Cor11:26" TargetMode="External"/><Relationship Id="rId6016" Type="http://schemas.openxmlformats.org/officeDocument/2006/relationships/hyperlink" Target="https://ref.ly/Phil3:10" TargetMode="External"/><Relationship Id="rId6017" Type="http://schemas.openxmlformats.org/officeDocument/2006/relationships/hyperlink" Target="https://ref.ly/1Cor12:27" TargetMode="External"/><Relationship Id="rId6018" Type="http://schemas.openxmlformats.org/officeDocument/2006/relationships/hyperlink" Target="https://ref.ly/Eph5:25,Eph5:29" TargetMode="External"/><Relationship Id="rId6019" Type="http://schemas.openxmlformats.org/officeDocument/2006/relationships/hyperlink" Target="https://ref.ly/Ps80:8" TargetMode="External"/><Relationship Id="rId6020" Type="http://schemas.openxmlformats.org/officeDocument/2006/relationships/hyperlink" Target="https://ref.ly/1Cor3:16-1Cor3:17" TargetMode="External"/><Relationship Id="rId6021" Type="http://schemas.openxmlformats.org/officeDocument/2006/relationships/hyperlink" Target="https://ref.ly/Eph5:30" TargetMode="External"/><Relationship Id="rId6022" Type="http://schemas.openxmlformats.org/officeDocument/2006/relationships/hyperlink" Target="https://ref.ly/Eph4:4" TargetMode="External"/><Relationship Id="rId6023" Type="http://schemas.openxmlformats.org/officeDocument/2006/relationships/hyperlink" Target="https://ref.ly/Eph4:15-Eph4:16" TargetMode="External"/><Relationship Id="rId6024" Type="http://schemas.openxmlformats.org/officeDocument/2006/relationships/hyperlink" Target="https://ref.ly/Rom12:6" TargetMode="External"/><Relationship Id="rId6025" Type="http://schemas.openxmlformats.org/officeDocument/2006/relationships/hyperlink" Target="https://ref.ly/1Cor12:11" TargetMode="External"/><Relationship Id="rId6026" Type="http://schemas.openxmlformats.org/officeDocument/2006/relationships/hyperlink" Target="https://ref.ly/Rom12:7-Rom12:8" TargetMode="External"/><Relationship Id="rId6027" Type="http://schemas.openxmlformats.org/officeDocument/2006/relationships/hyperlink" Target="https://ref.ly/2Cor8:1-2Cor8:5" TargetMode="External"/><Relationship Id="rId6028" Type="http://schemas.openxmlformats.org/officeDocument/2006/relationships/hyperlink" Target="https://ref.ly/Eph1:15-Eph1:23" TargetMode="External"/><Relationship Id="rId6029" Type="http://schemas.openxmlformats.org/officeDocument/2006/relationships/hyperlink" Target="https://ref.ly/Eph3:14-Eph3:19" TargetMode="External"/><Relationship Id="rId6030" Type="http://schemas.openxmlformats.org/officeDocument/2006/relationships/hyperlink" Target="https://ref.ly/Eph6:18-Eph6:20" TargetMode="External"/><Relationship Id="rId6031" Type="http://schemas.openxmlformats.org/officeDocument/2006/relationships/hyperlink" Target="https://ref.ly/Eph4:12-Eph4:13" TargetMode="External"/><Relationship Id="rId6032" Type="http://schemas.openxmlformats.org/officeDocument/2006/relationships/hyperlink" Target="https://ref.ly/Ps102:6" TargetMode="External"/><Relationship Id="rId6033" Type="http://schemas.openxmlformats.org/officeDocument/2006/relationships/hyperlink" Target="https://ref.ly/Lev11:17" TargetMode="External"/><Relationship Id="rId6034" Type="http://schemas.openxmlformats.org/officeDocument/2006/relationships/hyperlink" Target="https://ref.ly/Deut14:16" TargetMode="External"/><Relationship Id="rId6035" Type="http://schemas.openxmlformats.org/officeDocument/2006/relationships/hyperlink" Target="https://ref.ly/Deut14:17" TargetMode="External"/><Relationship Id="rId6036" Type="http://schemas.openxmlformats.org/officeDocument/2006/relationships/hyperlink" Target="https://ref.ly/Acts21:1" TargetMode="External"/><Relationship Id="rId6037" Type="http://schemas.openxmlformats.org/officeDocument/2006/relationships/hyperlink" Target="https://ref.ly/Num25:15-Num25:18" TargetMode="External"/><Relationship Id="rId6038" Type="http://schemas.openxmlformats.org/officeDocument/2006/relationships/hyperlink" Target="https://ref.ly/1Kgs11:15" TargetMode="External"/><Relationship Id="rId6039" Type="http://schemas.openxmlformats.org/officeDocument/2006/relationships/hyperlink" Target="https://ref.ly/Deut21:23" TargetMode="External"/><Relationship Id="rId6040" Type="http://schemas.openxmlformats.org/officeDocument/2006/relationships/hyperlink" Target="https://ref.ly/John11:44" TargetMode="External"/><Relationship Id="rId6041" Type="http://schemas.openxmlformats.org/officeDocument/2006/relationships/hyperlink" Target="https://ref.ly/Matt11:17" TargetMode="External"/><Relationship Id="rId6042" Type="http://schemas.openxmlformats.org/officeDocument/2006/relationships/hyperlink" Target="https://ref.ly/2Chr35:25" TargetMode="External"/><Relationship Id="rId6043" Type="http://schemas.openxmlformats.org/officeDocument/2006/relationships/hyperlink" Target="https://ref.ly/Jer9:17-Jer9:22" TargetMode="External"/><Relationship Id="rId6044" Type="http://schemas.openxmlformats.org/officeDocument/2006/relationships/hyperlink" Target="https://ref.ly/Ps91:16" TargetMode="External"/><Relationship Id="rId6045" Type="http://schemas.openxmlformats.org/officeDocument/2006/relationships/hyperlink" Target="https://ref.ly/Ps16:9-Ps16:11" TargetMode="External"/><Relationship Id="rId6046" Type="http://schemas.openxmlformats.org/officeDocument/2006/relationships/hyperlink" Target="https://ref.ly/Job14:13" TargetMode="External"/><Relationship Id="rId6047" Type="http://schemas.openxmlformats.org/officeDocument/2006/relationships/hyperlink" Target="https://ref.ly/Ezek37:1-Ezek37:28" TargetMode="External"/><Relationship Id="rId6048" Type="http://schemas.openxmlformats.org/officeDocument/2006/relationships/hyperlink" Target="https://ref.ly/Gen3:21" TargetMode="External"/><Relationship Id="rId6049" Type="http://schemas.openxmlformats.org/officeDocument/2006/relationships/hyperlink" Target="https://ref.ly/2Kgs1:8" TargetMode="External"/><Relationship Id="rId6050" Type="http://schemas.openxmlformats.org/officeDocument/2006/relationships/hyperlink" Target="https://ref.ly/1Kgs19:13" TargetMode="External"/><Relationship Id="rId6051" Type="http://schemas.openxmlformats.org/officeDocument/2006/relationships/hyperlink" Target="https://ref.ly/2Kgs2:8" TargetMode="External"/><Relationship Id="rId6052" Type="http://schemas.openxmlformats.org/officeDocument/2006/relationships/hyperlink" Target="https://ref.ly/Ezek16:10" TargetMode="External"/><Relationship Id="rId6053" Type="http://schemas.openxmlformats.org/officeDocument/2006/relationships/hyperlink" Target="https://ref.ly/Lev13:48" TargetMode="External"/><Relationship Id="rId6054" Type="http://schemas.openxmlformats.org/officeDocument/2006/relationships/hyperlink" Target="https://ref.ly/Mark2:22" TargetMode="External"/><Relationship Id="rId6055" Type="http://schemas.openxmlformats.org/officeDocument/2006/relationships/hyperlink" Target="https://ref.ly/Isa21:5" TargetMode="External"/><Relationship Id="rId6056" Type="http://schemas.openxmlformats.org/officeDocument/2006/relationships/hyperlink" Target="https://ref.ly/Ps40:7" TargetMode="External"/><Relationship Id="rId6057" Type="http://schemas.openxmlformats.org/officeDocument/2006/relationships/hyperlink" Target="https://ref.ly/Jer36:1-Jer36:32" TargetMode="External"/><Relationship Id="rId6058" Type="http://schemas.openxmlformats.org/officeDocument/2006/relationships/hyperlink" Target="https://ref.ly/Ezek2:9-Ezek3:3" TargetMode="External"/><Relationship Id="rId6059" Type="http://schemas.openxmlformats.org/officeDocument/2006/relationships/hyperlink" Target="https://ref.ly/2John1:12" TargetMode="External"/><Relationship Id="rId6060" Type="http://schemas.openxmlformats.org/officeDocument/2006/relationships/hyperlink" Target="https://ref.ly/Isa38:17-Isa38:18" TargetMode="External"/><Relationship Id="rId6061" Type="http://schemas.openxmlformats.org/officeDocument/2006/relationships/hyperlink" Target="https://ref.ly/Job17:13-Job17:16" TargetMode="External"/><Relationship Id="rId6062" Type="http://schemas.openxmlformats.org/officeDocument/2006/relationships/hyperlink" Target="https://ref.ly/Job33:22" TargetMode="External"/><Relationship Id="rId6063" Type="http://schemas.openxmlformats.org/officeDocument/2006/relationships/hyperlink" Target="https://ref.ly/Ps28:1" TargetMode="External"/><Relationship Id="rId6064" Type="http://schemas.openxmlformats.org/officeDocument/2006/relationships/hyperlink" Target="https://ref.ly/Ps30:3" TargetMode="External"/><Relationship Id="rId6065" Type="http://schemas.openxmlformats.org/officeDocument/2006/relationships/hyperlink" Target="https://ref.ly/Ps55:23" TargetMode="External"/><Relationship Id="rId6066" Type="http://schemas.openxmlformats.org/officeDocument/2006/relationships/hyperlink" Target="https://ref.ly/Ps88:4-Ps88:6" TargetMode="External"/><Relationship Id="rId6067" Type="http://schemas.openxmlformats.org/officeDocument/2006/relationships/hyperlink" Target="https://ref.ly/Deut23:19-Deut23:20" TargetMode="External"/><Relationship Id="rId6068" Type="http://schemas.openxmlformats.org/officeDocument/2006/relationships/hyperlink" Target="https://ref.ly/Acts5:14" TargetMode="External"/><Relationship Id="rId6069" Type="http://schemas.openxmlformats.org/officeDocument/2006/relationships/hyperlink" Target="https://ref.ly/Acts19:18" TargetMode="External"/><Relationship Id="rId6070" Type="http://schemas.openxmlformats.org/officeDocument/2006/relationships/hyperlink" Target="https://ref.ly/1Tim4:12" TargetMode="External"/><Relationship Id="rId6071" Type="http://schemas.openxmlformats.org/officeDocument/2006/relationships/hyperlink" Target="https://ref.ly/Acts2:44" TargetMode="External"/><Relationship Id="rId6072" Type="http://schemas.openxmlformats.org/officeDocument/2006/relationships/hyperlink" Target="https://ref.ly/Acts15:5" TargetMode="External"/><Relationship Id="rId6073" Type="http://schemas.openxmlformats.org/officeDocument/2006/relationships/hyperlink" Target="https://ref.ly/Acts18:27" TargetMode="External"/><Relationship Id="rId6074" Type="http://schemas.openxmlformats.org/officeDocument/2006/relationships/hyperlink" Target="https://ref.ly/1Tim4:3" TargetMode="External"/><Relationship Id="rId6075" Type="http://schemas.openxmlformats.org/officeDocument/2006/relationships/hyperlink" Target="https://ref.ly/Acts27:12" TargetMode="External"/><Relationship Id="rId6076" Type="http://schemas.openxmlformats.org/officeDocument/2006/relationships/hyperlink" Target="https://ref.ly/2Tim4:6" TargetMode="External"/><Relationship Id="rId6077" Type="http://schemas.openxmlformats.org/officeDocument/2006/relationships/hyperlink" Target="https://ref.ly/Titus1:12" TargetMode="External"/><Relationship Id="rId6078" Type="http://schemas.openxmlformats.org/officeDocument/2006/relationships/hyperlink" Target="https://ref.ly/Heb11:3" TargetMode="External"/><Relationship Id="rId6079" Type="http://schemas.openxmlformats.org/officeDocument/2006/relationships/hyperlink" Target="https://ref.ly/Gen1:4" TargetMode="External"/><Relationship Id="rId6080" Type="http://schemas.openxmlformats.org/officeDocument/2006/relationships/hyperlink" Target="https://ref.ly/Rom8:18-Rom8:25" TargetMode="External"/><Relationship Id="rId6081" Type="http://schemas.openxmlformats.org/officeDocument/2006/relationships/hyperlink" Target="https://ref.ly/Eph4:6" TargetMode="External"/><Relationship Id="rId6082" Type="http://schemas.openxmlformats.org/officeDocument/2006/relationships/hyperlink" Target="https://ref.ly/Ps90:1-Ps90:4" TargetMode="External"/><Relationship Id="rId6083" Type="http://schemas.openxmlformats.org/officeDocument/2006/relationships/hyperlink" Target="https://ref.ly/John1:3" TargetMode="External"/><Relationship Id="rId6084" Type="http://schemas.openxmlformats.org/officeDocument/2006/relationships/hyperlink" Target="https://ref.ly/Col1:16-Col1:17" TargetMode="External"/><Relationship Id="rId6085" Type="http://schemas.openxmlformats.org/officeDocument/2006/relationships/hyperlink" Target="https://ref.ly/Ps19:1-Ps19:14" TargetMode="External"/><Relationship Id="rId6086" Type="http://schemas.openxmlformats.org/officeDocument/2006/relationships/hyperlink" Target="https://ref.ly/Rom1:20" TargetMode="External"/><Relationship Id="rId6087" Type="http://schemas.openxmlformats.org/officeDocument/2006/relationships/hyperlink" Target="https://ref.ly/Gen1:26-Gen1:27" TargetMode="External"/><Relationship Id="rId6088" Type="http://schemas.openxmlformats.org/officeDocument/2006/relationships/hyperlink" Target="https://ref.ly/Gen1:28" TargetMode="External"/><Relationship Id="rId6089" Type="http://schemas.openxmlformats.org/officeDocument/2006/relationships/hyperlink" Target="https://ref.ly/Gen2:15" TargetMode="External"/><Relationship Id="rId6090" Type="http://schemas.openxmlformats.org/officeDocument/2006/relationships/hyperlink" Target="https://ref.ly/1Cor7:1-1Cor7:5" TargetMode="External"/><Relationship Id="rId6091" Type="http://schemas.openxmlformats.org/officeDocument/2006/relationships/hyperlink" Target="https://ref.ly/Eph5:25-Eph5:31" TargetMode="External"/><Relationship Id="rId6092" Type="http://schemas.openxmlformats.org/officeDocument/2006/relationships/hyperlink" Target="https://ref.ly/Matt6:5-Matt6:13" TargetMode="External"/><Relationship Id="rId6093" Type="http://schemas.openxmlformats.org/officeDocument/2006/relationships/hyperlink" Target="https://ref.ly/Col4:2" TargetMode="External"/><Relationship Id="rId6094" Type="http://schemas.openxmlformats.org/officeDocument/2006/relationships/hyperlink" Target="https://ref.ly/1Pet5:6-1Pet5:7" TargetMode="External"/><Relationship Id="rId6095" Type="http://schemas.openxmlformats.org/officeDocument/2006/relationships/hyperlink" Target="https://ref.ly/Rev8:3" TargetMode="External"/><Relationship Id="rId6096" Type="http://schemas.openxmlformats.org/officeDocument/2006/relationships/hyperlink" Target="https://ref.ly/Rom1:18-Rom1:19" TargetMode="External"/><Relationship Id="rId6097" Type="http://schemas.openxmlformats.org/officeDocument/2006/relationships/hyperlink" Target="https://ref.ly/John1:1-John1:2" TargetMode="External"/><Relationship Id="rId6098" Type="http://schemas.openxmlformats.org/officeDocument/2006/relationships/hyperlink" Target="https://ref.ly/Acts18:8,Acts18:11" TargetMode="External"/><Relationship Id="rId6099" Type="http://schemas.openxmlformats.org/officeDocument/2006/relationships/hyperlink" Target="https://ref.ly/Acts26:28" TargetMode="External"/><Relationship Id="rId6100" Type="http://schemas.openxmlformats.org/officeDocument/2006/relationships/hyperlink" Target="https://ref.ly/1Pet4:16" TargetMode="External"/><Relationship Id="rId6101" Type="http://schemas.openxmlformats.org/officeDocument/2006/relationships/hyperlink" Target="https://ref.ly/John1:41" TargetMode="External"/><Relationship Id="rId6102" Type="http://schemas.openxmlformats.org/officeDocument/2006/relationships/hyperlink" Target="https://ref.ly/Mark1:1" TargetMode="External"/><Relationship Id="rId6103" Type="http://schemas.openxmlformats.org/officeDocument/2006/relationships/hyperlink" Target="https://ref.ly/Rom1:4" TargetMode="External"/><Relationship Id="rId6104" Type="http://schemas.openxmlformats.org/officeDocument/2006/relationships/hyperlink" Target="https://ref.ly/Rom1:1" TargetMode="External"/><Relationship Id="rId6105" Type="http://schemas.openxmlformats.org/officeDocument/2006/relationships/hyperlink" Target="https://ref.ly/Rom7:4" TargetMode="External"/><Relationship Id="rId6106" Type="http://schemas.openxmlformats.org/officeDocument/2006/relationships/hyperlink" Target="https://ref.ly/Rom16:18" TargetMode="External"/><Relationship Id="rId6107" Type="http://schemas.openxmlformats.org/officeDocument/2006/relationships/hyperlink" Target="https://ref.ly/John20:31" TargetMode="External"/><Relationship Id="rId6108" Type="http://schemas.openxmlformats.org/officeDocument/2006/relationships/hyperlink" Target="https://ref.ly/Rom15:3" TargetMode="External"/><Relationship Id="rId6109" Type="http://schemas.openxmlformats.org/officeDocument/2006/relationships/hyperlink" Target="https://ref.ly/Heb5:5" TargetMode="External"/><Relationship Id="rId6110" Type="http://schemas.openxmlformats.org/officeDocument/2006/relationships/hyperlink" Target="https://ref.ly/1Pet1:11" TargetMode="External"/><Relationship Id="rId6111" Type="http://schemas.openxmlformats.org/officeDocument/2006/relationships/hyperlink" Target="https://ref.ly/Matt11:14" TargetMode="External"/><Relationship Id="rId6112" Type="http://schemas.openxmlformats.org/officeDocument/2006/relationships/hyperlink" Target="https://ref.ly/Matt3:16-Matt4:17" TargetMode="External"/><Relationship Id="rId6113" Type="http://schemas.openxmlformats.org/officeDocument/2006/relationships/hyperlink" Target="https://ref.ly/John1:20" TargetMode="External"/><Relationship Id="rId6114" Type="http://schemas.openxmlformats.org/officeDocument/2006/relationships/hyperlink" Target="https://ref.ly/Luke3:14-Luke3:17" TargetMode="External"/><Relationship Id="rId6115" Type="http://schemas.openxmlformats.org/officeDocument/2006/relationships/hyperlink" Target="https://ref.ly/Mark1:24" TargetMode="External"/><Relationship Id="rId6116" Type="http://schemas.openxmlformats.org/officeDocument/2006/relationships/hyperlink" Target="https://ref.ly/Matt8:29" TargetMode="External"/><Relationship Id="rId6117" Type="http://schemas.openxmlformats.org/officeDocument/2006/relationships/hyperlink" Target="https://ref.ly/John6:14" TargetMode="External"/><Relationship Id="rId6118" Type="http://schemas.openxmlformats.org/officeDocument/2006/relationships/hyperlink" Target="https://ref.ly/Matt26:63-Matt26:64" TargetMode="External"/><Relationship Id="rId6119" Type="http://schemas.openxmlformats.org/officeDocument/2006/relationships/hyperlink" Target="https://ref.ly/Matt27:11" TargetMode="External"/><Relationship Id="rId6120" Type="http://schemas.openxmlformats.org/officeDocument/2006/relationships/hyperlink" Target="https://ref.ly/Acts2:36" TargetMode="External"/><Relationship Id="rId6121" Type="http://schemas.openxmlformats.org/officeDocument/2006/relationships/hyperlink" Target="https://ref.ly/Acts3:18-Acts3:20" TargetMode="External"/><Relationship Id="rId6122" Type="http://schemas.openxmlformats.org/officeDocument/2006/relationships/hyperlink" Target="https://ref.ly/Acts28:23" TargetMode="External"/><Relationship Id="rId6123" Type="http://schemas.openxmlformats.org/officeDocument/2006/relationships/hyperlink" Target="https://ref.ly/1Cor1:23" TargetMode="External"/><Relationship Id="rId6124" Type="http://schemas.openxmlformats.org/officeDocument/2006/relationships/hyperlink" Target="https://ref.ly/1John5:1" TargetMode="External"/><Relationship Id="rId6125" Type="http://schemas.openxmlformats.org/officeDocument/2006/relationships/hyperlink" Target="https://ref.ly/Luke7:16" TargetMode="External"/><Relationship Id="rId6126" Type="http://schemas.openxmlformats.org/officeDocument/2006/relationships/hyperlink" Target="https://ref.ly/Heb7:22-Heb7:28" TargetMode="External"/><Relationship Id="rId6127" Type="http://schemas.openxmlformats.org/officeDocument/2006/relationships/hyperlink" Target="https://ref.ly/Rev19:16" TargetMode="External"/><Relationship Id="rId6128" Type="http://schemas.openxmlformats.org/officeDocument/2006/relationships/hyperlink" Target="https://ref.ly/Acts13:33" TargetMode="External"/><Relationship Id="rId6129" Type="http://schemas.openxmlformats.org/officeDocument/2006/relationships/hyperlink" Target="https://ref.ly/John8:58" TargetMode="External"/><Relationship Id="rId6130" Type="http://schemas.openxmlformats.org/officeDocument/2006/relationships/hyperlink" Target="https://ref.ly/John17:4-John17:5" TargetMode="External"/><Relationship Id="rId6131" Type="http://schemas.openxmlformats.org/officeDocument/2006/relationships/hyperlink" Target="https://ref.ly/Phil2:6-Phil2:8" TargetMode="External"/><Relationship Id="rId6132" Type="http://schemas.openxmlformats.org/officeDocument/2006/relationships/hyperlink" Target="https://ref.ly/1Chr1:1-1Chr9:44" TargetMode="External"/><Relationship Id="rId6133" Type="http://schemas.openxmlformats.org/officeDocument/2006/relationships/hyperlink" Target="https://ref.ly/1Chr23:1-1Chr27:34" TargetMode="External"/><Relationship Id="rId6134" Type="http://schemas.openxmlformats.org/officeDocument/2006/relationships/hyperlink" Target="https://ref.ly/1Chr9:1" TargetMode="External"/><Relationship Id="rId6135" Type="http://schemas.openxmlformats.org/officeDocument/2006/relationships/hyperlink" Target="https://ref.ly/1Chr27:24" TargetMode="External"/><Relationship Id="rId6136" Type="http://schemas.openxmlformats.org/officeDocument/2006/relationships/hyperlink" Target="https://ref.ly/2Chr16:11" TargetMode="External"/><Relationship Id="rId6137" Type="http://schemas.openxmlformats.org/officeDocument/2006/relationships/hyperlink" Target="https://ref.ly/2Chr20:34" TargetMode="External"/><Relationship Id="rId6138" Type="http://schemas.openxmlformats.org/officeDocument/2006/relationships/hyperlink" Target="https://ref.ly/2Chr25:26" TargetMode="External"/><Relationship Id="rId6139" Type="http://schemas.openxmlformats.org/officeDocument/2006/relationships/hyperlink" Target="https://ref.ly/2Chr27:7" TargetMode="External"/><Relationship Id="rId6140" Type="http://schemas.openxmlformats.org/officeDocument/2006/relationships/hyperlink" Target="https://ref.ly/2Chr28:26" TargetMode="External"/><Relationship Id="rId6141" Type="http://schemas.openxmlformats.org/officeDocument/2006/relationships/hyperlink" Target="https://ref.ly/2Chr32:32" TargetMode="External"/><Relationship Id="rId6142" Type="http://schemas.openxmlformats.org/officeDocument/2006/relationships/hyperlink" Target="https://ref.ly/2Chr33:18" TargetMode="External"/><Relationship Id="rId6143" Type="http://schemas.openxmlformats.org/officeDocument/2006/relationships/hyperlink" Target="https://ref.ly/2Chr35:27" TargetMode="External"/><Relationship Id="rId6144" Type="http://schemas.openxmlformats.org/officeDocument/2006/relationships/hyperlink" Target="https://ref.ly/2Chr36:8" TargetMode="External"/><Relationship Id="rId6145" Type="http://schemas.openxmlformats.org/officeDocument/2006/relationships/hyperlink" Target="https://ref.ly/1Chr29:29" TargetMode="External"/><Relationship Id="rId6146" Type="http://schemas.openxmlformats.org/officeDocument/2006/relationships/hyperlink" Target="https://ref.ly/2Chr9:29" TargetMode="External"/><Relationship Id="rId6147" Type="http://schemas.openxmlformats.org/officeDocument/2006/relationships/hyperlink" Target="https://ref.ly/2Chr12:15" TargetMode="External"/><Relationship Id="rId6148" Type="http://schemas.openxmlformats.org/officeDocument/2006/relationships/hyperlink" Target="https://ref.ly/2Chr13:22" TargetMode="External"/><Relationship Id="rId6149" Type="http://schemas.openxmlformats.org/officeDocument/2006/relationships/hyperlink" Target="https://ref.ly/2Chr26:22" TargetMode="External"/><Relationship Id="rId6150" Type="http://schemas.openxmlformats.org/officeDocument/2006/relationships/hyperlink" Target="https://ref.ly/2Chr33:19" TargetMode="External"/><Relationship Id="rId6151" Type="http://schemas.openxmlformats.org/officeDocument/2006/relationships/hyperlink" Target="https://ref.ly/1Chr3:10-1Chr3:24" TargetMode="External"/><Relationship Id="rId6152" Type="http://schemas.openxmlformats.org/officeDocument/2006/relationships/hyperlink" Target="https://ref.ly/1Chr29:7" TargetMode="External"/><Relationship Id="rId6153" Type="http://schemas.openxmlformats.org/officeDocument/2006/relationships/hyperlink" Target="https://ref.ly/2Chr24:27" TargetMode="External"/><Relationship Id="rId6154" Type="http://schemas.openxmlformats.org/officeDocument/2006/relationships/hyperlink" Target="https://ref.ly/2Chr11:1-2Chr29:36" TargetMode="External"/><Relationship Id="rId6155" Type="http://schemas.openxmlformats.org/officeDocument/2006/relationships/hyperlink" Target="https://ref.ly/2Chr10:19" TargetMode="External"/><Relationship Id="rId6156" Type="http://schemas.openxmlformats.org/officeDocument/2006/relationships/hyperlink" Target="https://ref.ly/1Chr29:11-1Chr29:12" TargetMode="External"/><Relationship Id="rId6157" Type="http://schemas.openxmlformats.org/officeDocument/2006/relationships/hyperlink" Target="https://ref.ly/2Chr20:20" TargetMode="External"/><Relationship Id="rId6158" Type="http://schemas.openxmlformats.org/officeDocument/2006/relationships/hyperlink" Target="https://ref.ly/2Chr5:1-2Chr6:42" TargetMode="External"/><Relationship Id="rId6159" Type="http://schemas.openxmlformats.org/officeDocument/2006/relationships/hyperlink" Target="https://ref.ly/1Chr28:19" TargetMode="External"/><Relationship Id="rId6160" Type="http://schemas.openxmlformats.org/officeDocument/2006/relationships/hyperlink" Target="https://ref.ly/2Chr6:19-2Chr7:3" TargetMode="External"/><Relationship Id="rId6161" Type="http://schemas.openxmlformats.org/officeDocument/2006/relationships/hyperlink" Target="https://ref.ly/1Chr10:1-1Chr29:30" TargetMode="External"/><Relationship Id="rId6162" Type="http://schemas.openxmlformats.org/officeDocument/2006/relationships/hyperlink" Target="https://ref.ly/2Chr1:1-2Chr9:31" TargetMode="External"/><Relationship Id="rId6163" Type="http://schemas.openxmlformats.org/officeDocument/2006/relationships/hyperlink" Target="https://ref.ly/2Chr10:1-2Chr36:21" TargetMode="External"/><Relationship Id="rId6164" Type="http://schemas.openxmlformats.org/officeDocument/2006/relationships/hyperlink" Target="https://ref.ly/2Chr36:22-2Chr36:23" TargetMode="External"/><Relationship Id="rId6165" Type="http://schemas.openxmlformats.org/officeDocument/2006/relationships/hyperlink" Target="https://ref.ly/Ps96:4-Ps96:5" TargetMode="External"/><Relationship Id="rId6166" Type="http://schemas.openxmlformats.org/officeDocument/2006/relationships/hyperlink" Target="https://ref.ly/1Chr16:25-1Chr16:26" TargetMode="External"/><Relationship Id="rId6167" Type="http://schemas.openxmlformats.org/officeDocument/2006/relationships/hyperlink" Target="https://ref.ly/1Chr17:20" TargetMode="External"/><Relationship Id="rId6168" Type="http://schemas.openxmlformats.org/officeDocument/2006/relationships/hyperlink" Target="https://ref.ly/2Chr6:14" TargetMode="External"/><Relationship Id="rId6169" Type="http://schemas.openxmlformats.org/officeDocument/2006/relationships/hyperlink" Target="https://ref.ly/2Chr2:5" TargetMode="External"/><Relationship Id="rId6170" Type="http://schemas.openxmlformats.org/officeDocument/2006/relationships/hyperlink" Target="https://ref.ly/2Chr32:1-2Chr32:33" TargetMode="External"/><Relationship Id="rId6171" Type="http://schemas.openxmlformats.org/officeDocument/2006/relationships/hyperlink" Target="https://ref.ly/1Chr17:21" TargetMode="External"/><Relationship Id="rId6172" Type="http://schemas.openxmlformats.org/officeDocument/2006/relationships/hyperlink" Target="https://ref.ly/2Chr20:6" TargetMode="External"/><Relationship Id="rId6173" Type="http://schemas.openxmlformats.org/officeDocument/2006/relationships/hyperlink" Target="https://ref.ly/2Chr6:5" TargetMode="External"/><Relationship Id="rId6174" Type="http://schemas.openxmlformats.org/officeDocument/2006/relationships/hyperlink" Target="https://ref.ly/2Chr20:7" TargetMode="External"/><Relationship Id="rId6175" Type="http://schemas.openxmlformats.org/officeDocument/2006/relationships/hyperlink" Target="https://ref.ly/2Chr22:7" TargetMode="External"/><Relationship Id="rId6176" Type="http://schemas.openxmlformats.org/officeDocument/2006/relationships/hyperlink" Target="https://ref.ly/1Chr10:13-1Chr10:14" TargetMode="External"/><Relationship Id="rId6177" Type="http://schemas.openxmlformats.org/officeDocument/2006/relationships/hyperlink" Target="https://ref.ly/1Chr18:6" TargetMode="External"/><Relationship Id="rId6178" Type="http://schemas.openxmlformats.org/officeDocument/2006/relationships/hyperlink" Target="https://ref.ly/2Chr12:2" TargetMode="External"/><Relationship Id="rId6179" Type="http://schemas.openxmlformats.org/officeDocument/2006/relationships/hyperlink" Target="https://ref.ly/2Chr13:15" TargetMode="External"/><Relationship Id="rId6180" Type="http://schemas.openxmlformats.org/officeDocument/2006/relationships/hyperlink" Target="https://ref.ly/2Chr20:15" TargetMode="External"/><Relationship Id="rId6181" Type="http://schemas.openxmlformats.org/officeDocument/2006/relationships/hyperlink" Target="https://ref.ly/2Chr21:11-2Chr21:14" TargetMode="External"/><Relationship Id="rId6182" Type="http://schemas.openxmlformats.org/officeDocument/2006/relationships/hyperlink" Target="https://ref.ly/2Chr24:18" TargetMode="External"/><Relationship Id="rId6183" Type="http://schemas.openxmlformats.org/officeDocument/2006/relationships/hyperlink" Target="https://ref.ly/2Chr28:1,2Chr28:5-2Chr28:6,2Chr28:19" TargetMode="External"/><Relationship Id="rId6184" Type="http://schemas.openxmlformats.org/officeDocument/2006/relationships/hyperlink" Target="https://ref.ly/2Chr12:6" TargetMode="External"/><Relationship Id="rId6185" Type="http://schemas.openxmlformats.org/officeDocument/2006/relationships/hyperlink" Target="https://ref.ly/2Chr19:7" TargetMode="External"/><Relationship Id="rId6186" Type="http://schemas.openxmlformats.org/officeDocument/2006/relationships/hyperlink" Target="https://ref.ly/2Chr24:20" TargetMode="External"/><Relationship Id="rId6187" Type="http://schemas.openxmlformats.org/officeDocument/2006/relationships/hyperlink" Target="https://ref.ly/1Chr29:14" TargetMode="External"/><Relationship Id="rId6188" Type="http://schemas.openxmlformats.org/officeDocument/2006/relationships/hyperlink" Target="https://ref.ly/2Chr20:12" TargetMode="External"/><Relationship Id="rId6189" Type="http://schemas.openxmlformats.org/officeDocument/2006/relationships/hyperlink" Target="https://ref.ly/1Chr29:17" TargetMode="External"/><Relationship Id="rId6190" Type="http://schemas.openxmlformats.org/officeDocument/2006/relationships/hyperlink" Target="https://ref.ly/2Chr6:30" TargetMode="External"/><Relationship Id="rId6191" Type="http://schemas.openxmlformats.org/officeDocument/2006/relationships/hyperlink" Target="https://ref.ly/2Chr20:35-2Chr20:37" TargetMode="External"/><Relationship Id="rId6192" Type="http://schemas.openxmlformats.org/officeDocument/2006/relationships/hyperlink" Target="https://ref.ly/2Chr32:31" TargetMode="External"/><Relationship Id="rId6193" Type="http://schemas.openxmlformats.org/officeDocument/2006/relationships/hyperlink" Target="https://ref.ly/2Chr35:21-2Chr35:24" TargetMode="External"/><Relationship Id="rId6194" Type="http://schemas.openxmlformats.org/officeDocument/2006/relationships/hyperlink" Target="https://ref.ly/2Chr6:36" TargetMode="External"/><Relationship Id="rId6195" Type="http://schemas.openxmlformats.org/officeDocument/2006/relationships/hyperlink" Target="https://ref.ly/2Chr6:38" TargetMode="External"/><Relationship Id="rId6196" Type="http://schemas.openxmlformats.org/officeDocument/2006/relationships/hyperlink" Target="https://ref.ly/2Chr29:20-2Chr29:30" TargetMode="External"/><Relationship Id="rId6197" Type="http://schemas.openxmlformats.org/officeDocument/2006/relationships/hyperlink" Target="https://ref.ly/2Chr29:27-2Chr29:30" TargetMode="External"/><Relationship Id="rId6198" Type="http://schemas.openxmlformats.org/officeDocument/2006/relationships/hyperlink" Target="https://ref.ly/Gen1:1-Gen2:13" TargetMode="External"/><Relationship Id="rId6199" Type="http://schemas.openxmlformats.org/officeDocument/2006/relationships/hyperlink" Target="https://ref.ly/Gen3:1-Gen3:10" TargetMode="External"/><Relationship Id="rId6200" Type="http://schemas.openxmlformats.org/officeDocument/2006/relationships/hyperlink" Target="https://ref.ly/Gen4:1-Gen4:14" TargetMode="External"/><Relationship Id="rId6201" Type="http://schemas.openxmlformats.org/officeDocument/2006/relationships/hyperlink" Target="https://ref.ly/Gen6:1-Gen9:29" TargetMode="External"/><Relationship Id="rId6202" Type="http://schemas.openxmlformats.org/officeDocument/2006/relationships/hyperlink" Target="https://ref.ly/Gen11:1-Gen11:17" TargetMode="External"/><Relationship Id="rId6203" Type="http://schemas.openxmlformats.org/officeDocument/2006/relationships/hyperlink" Target="https://ref.ly/Gen5:1-Gen5:32" TargetMode="External"/><Relationship Id="rId6204" Type="http://schemas.openxmlformats.org/officeDocument/2006/relationships/hyperlink" Target="https://ref.ly/Gen11:13" TargetMode="External"/><Relationship Id="rId6205" Type="http://schemas.openxmlformats.org/officeDocument/2006/relationships/hyperlink" Target="https://ref.ly/1Chr1:1-1Chr8:40" TargetMode="External"/><Relationship Id="rId6206" Type="http://schemas.openxmlformats.org/officeDocument/2006/relationships/hyperlink" Target="https://ref.ly/Gen1:1-Gen11:32" TargetMode="External"/><Relationship Id="rId6207" Type="http://schemas.openxmlformats.org/officeDocument/2006/relationships/hyperlink" Target="https://ref.ly/Gen15:13" TargetMode="External"/><Relationship Id="rId6208" Type="http://schemas.openxmlformats.org/officeDocument/2006/relationships/hyperlink" Target="https://ref.ly/Exod12:40" TargetMode="External"/><Relationship Id="rId6209" Type="http://schemas.openxmlformats.org/officeDocument/2006/relationships/hyperlink" Target="https://ref.ly/Gen12:4" TargetMode="External"/><Relationship Id="rId6210" Type="http://schemas.openxmlformats.org/officeDocument/2006/relationships/hyperlink" Target="https://ref.ly/Gen21:5" TargetMode="External"/><Relationship Id="rId6211" Type="http://schemas.openxmlformats.org/officeDocument/2006/relationships/hyperlink" Target="https://ref.ly/Gen25:26" TargetMode="External"/><Relationship Id="rId6212" Type="http://schemas.openxmlformats.org/officeDocument/2006/relationships/hyperlink" Target="https://ref.ly/Gen47:9" TargetMode="External"/><Relationship Id="rId6213" Type="http://schemas.openxmlformats.org/officeDocument/2006/relationships/hyperlink" Target="https://ref.ly/Num3:17-Num3:19" TargetMode="External"/><Relationship Id="rId6214" Type="http://schemas.openxmlformats.org/officeDocument/2006/relationships/hyperlink" Target="https://ref.ly/1Chr6:1-1Chr6:3" TargetMode="External"/><Relationship Id="rId6215" Type="http://schemas.openxmlformats.org/officeDocument/2006/relationships/hyperlink" Target="https://ref.ly/Gen15:16" TargetMode="External"/><Relationship Id="rId6216" Type="http://schemas.openxmlformats.org/officeDocument/2006/relationships/hyperlink" Target="https://ref.ly/Gen11:31-Gen12:3" TargetMode="External"/><Relationship Id="rId6217" Type="http://schemas.openxmlformats.org/officeDocument/2006/relationships/hyperlink" Target="https://ref.ly/Gen14:1" TargetMode="External"/><Relationship Id="rId6218" Type="http://schemas.openxmlformats.org/officeDocument/2006/relationships/hyperlink" Target="https://ref.ly/1Kgs5:18" TargetMode="External"/><Relationship Id="rId6219" Type="http://schemas.openxmlformats.org/officeDocument/2006/relationships/hyperlink" Target="https://ref.ly/1Chr6:3-1Chr6:8" TargetMode="External"/><Relationship Id="rId6220" Type="http://schemas.openxmlformats.org/officeDocument/2006/relationships/hyperlink" Target="https://ref.ly/1Kgs22:51" TargetMode="External"/><Relationship Id="rId6221" Type="http://schemas.openxmlformats.org/officeDocument/2006/relationships/hyperlink" Target="https://ref.ly/2Kgs3:1" TargetMode="External"/><Relationship Id="rId6222" Type="http://schemas.openxmlformats.org/officeDocument/2006/relationships/hyperlink" Target="https://ref.ly/2Kgs9:24-2Kgs9:27" TargetMode="External"/><Relationship Id="rId6223" Type="http://schemas.openxmlformats.org/officeDocument/2006/relationships/hyperlink" Target="https://ref.ly/1Kgs16:15-1Kgs16:18" TargetMode="External"/><Relationship Id="rId6224" Type="http://schemas.openxmlformats.org/officeDocument/2006/relationships/hyperlink" Target="https://ref.ly/1Kgs11:42" TargetMode="External"/><Relationship Id="rId6225" Type="http://schemas.openxmlformats.org/officeDocument/2006/relationships/hyperlink" Target="https://ref.ly/2Kgs18:13-2Kgs18:16" TargetMode="External"/><Relationship Id="rId6226" Type="http://schemas.openxmlformats.org/officeDocument/2006/relationships/hyperlink" Target="https://ref.ly/2Kgs18:13" TargetMode="External"/><Relationship Id="rId6227" Type="http://schemas.openxmlformats.org/officeDocument/2006/relationships/hyperlink" Target="https://ref.ly/2Kgs19:9" TargetMode="External"/><Relationship Id="rId6228" Type="http://schemas.openxmlformats.org/officeDocument/2006/relationships/hyperlink" Target="https://ref.ly/2Kgs19:35-2Kgs19:37" TargetMode="External"/><Relationship Id="rId6229" Type="http://schemas.openxmlformats.org/officeDocument/2006/relationships/hyperlink" Target="https://ref.ly/2Kgs18:10" TargetMode="External"/><Relationship Id="rId6230" Type="http://schemas.openxmlformats.org/officeDocument/2006/relationships/hyperlink" Target="https://ref.ly/Isa36:1" TargetMode="External"/><Relationship Id="rId6231" Type="http://schemas.openxmlformats.org/officeDocument/2006/relationships/hyperlink" Target="https://ref.ly/2Kgs21:1" TargetMode="External"/><Relationship Id="rId6232" Type="http://schemas.openxmlformats.org/officeDocument/2006/relationships/hyperlink" Target="https://ref.ly/2Kgs18:2" TargetMode="External"/><Relationship Id="rId6233" Type="http://schemas.openxmlformats.org/officeDocument/2006/relationships/hyperlink" Target="https://ref.ly/2Kgs24:18" TargetMode="External"/><Relationship Id="rId6234" Type="http://schemas.openxmlformats.org/officeDocument/2006/relationships/hyperlink" Target="https://ref.ly/2Kgs25:1" TargetMode="External"/><Relationship Id="rId6235" Type="http://schemas.openxmlformats.org/officeDocument/2006/relationships/hyperlink" Target="https://ref.ly/2Kgs25:3-2Kgs25:4" TargetMode="External"/><Relationship Id="rId6236" Type="http://schemas.openxmlformats.org/officeDocument/2006/relationships/hyperlink" Target="https://ref.ly/Jer52:30" TargetMode="External"/><Relationship Id="rId6237" Type="http://schemas.openxmlformats.org/officeDocument/2006/relationships/hyperlink" Target="https://ref.ly/Ezra1:1" TargetMode="External"/><Relationship Id="rId6238" Type="http://schemas.openxmlformats.org/officeDocument/2006/relationships/hyperlink" Target="https://ref.ly/Ezra3:6" TargetMode="External"/><Relationship Id="rId6239" Type="http://schemas.openxmlformats.org/officeDocument/2006/relationships/hyperlink" Target="https://ref.ly/Ezra3:8" TargetMode="External"/><Relationship Id="rId6240" Type="http://schemas.openxmlformats.org/officeDocument/2006/relationships/hyperlink" Target="https://ref.ly/Ezra4:24" TargetMode="External"/><Relationship Id="rId6241" Type="http://schemas.openxmlformats.org/officeDocument/2006/relationships/hyperlink" Target="https://ref.ly/Hag1:1,Hag1:15" TargetMode="External"/><Relationship Id="rId6242" Type="http://schemas.openxmlformats.org/officeDocument/2006/relationships/hyperlink" Target="https://ref.ly/Ezra6:15" TargetMode="External"/><Relationship Id="rId6243" Type="http://schemas.openxmlformats.org/officeDocument/2006/relationships/hyperlink" Target="https://ref.ly/Matt2:1" TargetMode="External"/><Relationship Id="rId6244" Type="http://schemas.openxmlformats.org/officeDocument/2006/relationships/hyperlink" Target="https://ref.ly/Luke2:1-Luke2:2" TargetMode="External"/><Relationship Id="rId6245" Type="http://schemas.openxmlformats.org/officeDocument/2006/relationships/hyperlink" Target="https://ref.ly/Matt2:16" TargetMode="External"/><Relationship Id="rId6246" Type="http://schemas.openxmlformats.org/officeDocument/2006/relationships/hyperlink" Target="https://ref.ly/Luke3:23" TargetMode="External"/><Relationship Id="rId6247" Type="http://schemas.openxmlformats.org/officeDocument/2006/relationships/hyperlink" Target="https://ref.ly/Luke3:1-Luke3:3" TargetMode="External"/><Relationship Id="rId6248" Type="http://schemas.openxmlformats.org/officeDocument/2006/relationships/hyperlink" Target="https://ref.ly/Matt28:1" TargetMode="External"/><Relationship Id="rId6249" Type="http://schemas.openxmlformats.org/officeDocument/2006/relationships/hyperlink" Target="https://ref.ly/Mark16:1" TargetMode="External"/><Relationship Id="rId6250" Type="http://schemas.openxmlformats.org/officeDocument/2006/relationships/hyperlink" Target="https://ref.ly/1Cor15:4" TargetMode="External"/><Relationship Id="rId6251" Type="http://schemas.openxmlformats.org/officeDocument/2006/relationships/hyperlink" Target="https://ref.ly/Matt26:19" TargetMode="External"/><Relationship Id="rId6252" Type="http://schemas.openxmlformats.org/officeDocument/2006/relationships/hyperlink" Target="https://ref.ly/Mark14:12" TargetMode="External"/><Relationship Id="rId6253" Type="http://schemas.openxmlformats.org/officeDocument/2006/relationships/hyperlink" Target="https://ref.ly/Exod12:1-Exod15:27" TargetMode="External"/><Relationship Id="rId6254" Type="http://schemas.openxmlformats.org/officeDocument/2006/relationships/hyperlink" Target="https://ref.ly/John19:14" TargetMode="External"/><Relationship Id="rId6255" Type="http://schemas.openxmlformats.org/officeDocument/2006/relationships/hyperlink" Target="https://ref.ly/John19:36" TargetMode="External"/><Relationship Id="rId6256" Type="http://schemas.openxmlformats.org/officeDocument/2006/relationships/hyperlink" Target="https://ref.ly/John2:13" TargetMode="External"/><Relationship Id="rId6257" Type="http://schemas.openxmlformats.org/officeDocument/2006/relationships/hyperlink" Target="https://ref.ly/John6:4" TargetMode="External"/><Relationship Id="rId6258" Type="http://schemas.openxmlformats.org/officeDocument/2006/relationships/hyperlink" Target="https://ref.ly/John5:1" TargetMode="External"/><Relationship Id="rId6259" Type="http://schemas.openxmlformats.org/officeDocument/2006/relationships/hyperlink" Target="https://ref.ly/Acts1:3" TargetMode="External"/><Relationship Id="rId6260" Type="http://schemas.openxmlformats.org/officeDocument/2006/relationships/hyperlink" Target="https://ref.ly/Acts2:1" TargetMode="External"/><Relationship Id="rId6261" Type="http://schemas.openxmlformats.org/officeDocument/2006/relationships/hyperlink" Target="https://ref.ly/Deut16:9-Deut16:12" TargetMode="External"/><Relationship Id="rId6262" Type="http://schemas.openxmlformats.org/officeDocument/2006/relationships/hyperlink" Target="https://ref.ly/Acts11:28-Acts11:29" TargetMode="External"/><Relationship Id="rId6263" Type="http://schemas.openxmlformats.org/officeDocument/2006/relationships/hyperlink" Target="https://ref.ly/Lev25:2-Lev25:7" TargetMode="External"/><Relationship Id="rId6264" Type="http://schemas.openxmlformats.org/officeDocument/2006/relationships/hyperlink" Target="https://ref.ly/Acts12:1-Acts12:24" TargetMode="External"/><Relationship Id="rId6265" Type="http://schemas.openxmlformats.org/officeDocument/2006/relationships/hyperlink" Target="https://ref.ly/Acts12:2" TargetMode="External"/><Relationship Id="rId6266" Type="http://schemas.openxmlformats.org/officeDocument/2006/relationships/hyperlink" Target="https://ref.ly/Acts12:3" TargetMode="External"/><Relationship Id="rId6267" Type="http://schemas.openxmlformats.org/officeDocument/2006/relationships/hyperlink" Target="https://ref.ly/Acts12:3-Acts12:17" TargetMode="External"/><Relationship Id="rId6268" Type="http://schemas.openxmlformats.org/officeDocument/2006/relationships/hyperlink" Target="https://ref.ly/Acts9:26-Acts0:30" TargetMode="External"/><Relationship Id="rId6269" Type="http://schemas.openxmlformats.org/officeDocument/2006/relationships/hyperlink" Target="https://ref.ly/Acts0:15" TargetMode="External"/><Relationship Id="rId6270" Type="http://schemas.openxmlformats.org/officeDocument/2006/relationships/hyperlink" Target="https://ref.ly/Gal1:15-Gal2:10" TargetMode="External"/><Relationship Id="rId6271" Type="http://schemas.openxmlformats.org/officeDocument/2006/relationships/hyperlink" Target="https://ref.ly/Gal2:1-Gal2:10" TargetMode="External"/><Relationship Id="rId6272" Type="http://schemas.openxmlformats.org/officeDocument/2006/relationships/hyperlink" Target="https://ref.ly/Acts9:26-Acts9:30" TargetMode="External"/><Relationship Id="rId6273" Type="http://schemas.openxmlformats.org/officeDocument/2006/relationships/hyperlink" Target="https://ref.ly/Gal1:15-Gal1:24" TargetMode="External"/><Relationship Id="rId6274" Type="http://schemas.openxmlformats.org/officeDocument/2006/relationships/hyperlink" Target="https://ref.ly/Gal2:11-Gal2:21" TargetMode="External"/><Relationship Id="rId6275" Type="http://schemas.openxmlformats.org/officeDocument/2006/relationships/hyperlink" Target="https://ref.ly/Gal1:6" TargetMode="External"/><Relationship Id="rId6276" Type="http://schemas.openxmlformats.org/officeDocument/2006/relationships/hyperlink" Target="https://ref.ly/Acts15:1-Acts15:20" TargetMode="External"/><Relationship Id="rId6277" Type="http://schemas.openxmlformats.org/officeDocument/2006/relationships/hyperlink" Target="https://ref.ly/Gal2:3-Gal2:5" TargetMode="External"/><Relationship Id="rId6278" Type="http://schemas.openxmlformats.org/officeDocument/2006/relationships/hyperlink" Target="https://ref.ly/Acts15:1,Acts15:5" TargetMode="External"/><Relationship Id="rId6279" Type="http://schemas.openxmlformats.org/officeDocument/2006/relationships/hyperlink" Target="https://ref.ly/Acts13:1-Acts13:2,Acts13:7" TargetMode="External"/><Relationship Id="rId6280" Type="http://schemas.openxmlformats.org/officeDocument/2006/relationships/hyperlink" Target="https://ref.ly/Acts13:9,Acts13:13,Acts13:43,Acts13:46,Acts13:50" TargetMode="External"/><Relationship Id="rId6281" Type="http://schemas.openxmlformats.org/officeDocument/2006/relationships/hyperlink" Target="https://ref.ly/Gal2:7-Gal2:8" TargetMode="External"/><Relationship Id="rId6282" Type="http://schemas.openxmlformats.org/officeDocument/2006/relationships/hyperlink" Target="https://ref.ly/Acts18:1" TargetMode="External"/><Relationship Id="rId6283" Type="http://schemas.openxmlformats.org/officeDocument/2006/relationships/hyperlink" Target="https://ref.ly/Acts24:27" TargetMode="External"/><Relationship Id="rId6284" Type="http://schemas.openxmlformats.org/officeDocument/2006/relationships/hyperlink" Target="https://ref.ly/Acts21:33" TargetMode="External"/><Relationship Id="rId6285" Type="http://schemas.openxmlformats.org/officeDocument/2006/relationships/hyperlink" Target="https://ref.ly/Acts20:16" TargetMode="External"/><Relationship Id="rId6286" Type="http://schemas.openxmlformats.org/officeDocument/2006/relationships/hyperlink" Target="https://ref.ly/Acts20:16-Acts21:33" TargetMode="External"/><Relationship Id="rId6287" Type="http://schemas.openxmlformats.org/officeDocument/2006/relationships/hyperlink" Target="https://ref.ly/1Cor16:6" TargetMode="External"/><Relationship Id="rId6288" Type="http://schemas.openxmlformats.org/officeDocument/2006/relationships/hyperlink" Target="https://ref.ly/Acts19:1-Acts20:16" TargetMode="External"/><Relationship Id="rId6289" Type="http://schemas.openxmlformats.org/officeDocument/2006/relationships/hyperlink" Target="https://ref.ly/Acts25:1-Acts25:12" TargetMode="External"/><Relationship Id="rId6290" Type="http://schemas.openxmlformats.org/officeDocument/2006/relationships/hyperlink" Target="https://ref.ly/Acts25:12" TargetMode="External"/><Relationship Id="rId6291" Type="http://schemas.openxmlformats.org/officeDocument/2006/relationships/hyperlink" Target="https://ref.ly/Acts27:8-Acts27:9" TargetMode="External"/><Relationship Id="rId6292" Type="http://schemas.openxmlformats.org/officeDocument/2006/relationships/hyperlink" Target="https://ref.ly/Acts27:27-Acts27:44" TargetMode="External"/><Relationship Id="rId6293" Type="http://schemas.openxmlformats.org/officeDocument/2006/relationships/hyperlink" Target="https://ref.ly/Acts28:15" TargetMode="External"/><Relationship Id="rId6294" Type="http://schemas.openxmlformats.org/officeDocument/2006/relationships/hyperlink" Target="https://ref.ly/2Tim2:9" TargetMode="External"/><Relationship Id="rId6295" Type="http://schemas.openxmlformats.org/officeDocument/2006/relationships/hyperlink" Target="https://ref.ly/Mark13:2" TargetMode="External"/><Relationship Id="rId6296" Type="http://schemas.openxmlformats.org/officeDocument/2006/relationships/hyperlink" Target="https://ref.ly/Luke21:24" TargetMode="External"/><Relationship Id="rId6297" Type="http://schemas.openxmlformats.org/officeDocument/2006/relationships/hyperlink" Target="https://ref.ly/1Sam31:9-1Sam31:10" TargetMode="External"/><Relationship Id="rId6298" Type="http://schemas.openxmlformats.org/officeDocument/2006/relationships/hyperlink" Target="https://ref.ly/Ezra6:11" TargetMode="External"/><Relationship Id="rId6299" Type="http://schemas.openxmlformats.org/officeDocument/2006/relationships/hyperlink" Target="https://ref.ly/Deut21:22-Deut21:23" TargetMode="External"/><Relationship Id="rId6300" Type="http://schemas.openxmlformats.org/officeDocument/2006/relationships/hyperlink" Target="https://ref.ly/Gal3:13" TargetMode="External"/><Relationship Id="rId6301" Type="http://schemas.openxmlformats.org/officeDocument/2006/relationships/hyperlink" Target="https://ref.ly/Mark8:31" TargetMode="External"/><Relationship Id="rId6302" Type="http://schemas.openxmlformats.org/officeDocument/2006/relationships/hyperlink" Target="https://ref.ly/Mark9:31" TargetMode="External"/><Relationship Id="rId6303" Type="http://schemas.openxmlformats.org/officeDocument/2006/relationships/hyperlink" Target="https://ref.ly/Mark10:33-Mark10:34" TargetMode="External"/><Relationship Id="rId6304" Type="http://schemas.openxmlformats.org/officeDocument/2006/relationships/hyperlink" Target="https://ref.ly/John8:28" TargetMode="External"/><Relationship Id="rId6305" Type="http://schemas.openxmlformats.org/officeDocument/2006/relationships/hyperlink" Target="https://ref.ly/John12:32-John12:33" TargetMode="External"/><Relationship Id="rId6306" Type="http://schemas.openxmlformats.org/officeDocument/2006/relationships/hyperlink" Target="https://ref.ly/Matt23:29-Matt23:30" TargetMode="External"/><Relationship Id="rId6307" Type="http://schemas.openxmlformats.org/officeDocument/2006/relationships/hyperlink" Target="https://ref.ly/Luke13:33" TargetMode="External"/><Relationship Id="rId6308" Type="http://schemas.openxmlformats.org/officeDocument/2006/relationships/hyperlink" Target="https://ref.ly/Mark12:1-Mark12:10" TargetMode="External"/><Relationship Id="rId6309" Type="http://schemas.openxmlformats.org/officeDocument/2006/relationships/hyperlink" Target="https://ref.ly/Matt10:24-Matt10:28" TargetMode="External"/><Relationship Id="rId6310" Type="http://schemas.openxmlformats.org/officeDocument/2006/relationships/hyperlink" Target="https://ref.ly/Mark8:34-Mark8:35" TargetMode="External"/><Relationship Id="rId6311" Type="http://schemas.openxmlformats.org/officeDocument/2006/relationships/hyperlink" Target="https://ref.ly/John15:18-John15:25" TargetMode="External"/><Relationship Id="rId6312" Type="http://schemas.openxmlformats.org/officeDocument/2006/relationships/hyperlink" Target="https://ref.ly/Mark14:43" TargetMode="External"/><Relationship Id="rId6313" Type="http://schemas.openxmlformats.org/officeDocument/2006/relationships/hyperlink" Target="https://ref.ly/Mark14:53-Mark14:64" TargetMode="External"/><Relationship Id="rId6314" Type="http://schemas.openxmlformats.org/officeDocument/2006/relationships/hyperlink" Target="https://ref.ly/Matt27:24" TargetMode="External"/><Relationship Id="rId6315" Type="http://schemas.openxmlformats.org/officeDocument/2006/relationships/hyperlink" Target="https://ref.ly/Mark15:23" TargetMode="External"/><Relationship Id="rId6316" Type="http://schemas.openxmlformats.org/officeDocument/2006/relationships/hyperlink" Target="https://ref.ly/John19:31" TargetMode="External"/><Relationship Id="rId6317" Type="http://schemas.openxmlformats.org/officeDocument/2006/relationships/hyperlink" Target="https://ref.ly/Mark15:29-Mark15:31" TargetMode="External"/><Relationship Id="rId6318" Type="http://schemas.openxmlformats.org/officeDocument/2006/relationships/hyperlink" Target="https://ref.ly/Mark15:33-Mark15:36" TargetMode="External"/><Relationship Id="rId6319" Type="http://schemas.openxmlformats.org/officeDocument/2006/relationships/hyperlink" Target="https://ref.ly/Matt27:34" TargetMode="External"/><Relationship Id="rId6320" Type="http://schemas.openxmlformats.org/officeDocument/2006/relationships/hyperlink" Target="https://ref.ly/Matt27:50" TargetMode="External"/><Relationship Id="rId6321" Type="http://schemas.openxmlformats.org/officeDocument/2006/relationships/hyperlink" Target="https://ref.ly/Matt27:51" TargetMode="External"/><Relationship Id="rId6322" Type="http://schemas.openxmlformats.org/officeDocument/2006/relationships/hyperlink" Target="https://ref.ly/Matt27:52-Matt27:53" TargetMode="External"/><Relationship Id="rId6323" Type="http://schemas.openxmlformats.org/officeDocument/2006/relationships/hyperlink" Target="https://ref.ly/Luke23:48" TargetMode="External"/><Relationship Id="rId6324" Type="http://schemas.openxmlformats.org/officeDocument/2006/relationships/hyperlink" Target="https://ref.ly/Exod12:22" TargetMode="External"/><Relationship Id="rId6325" Type="http://schemas.openxmlformats.org/officeDocument/2006/relationships/hyperlink" Target="https://ref.ly/John19:29-John19:30" TargetMode="External"/><Relationship Id="rId6326" Type="http://schemas.openxmlformats.org/officeDocument/2006/relationships/hyperlink" Target="https://ref.ly/John19:31-John19:37" TargetMode="External"/><Relationship Id="rId6327" Type="http://schemas.openxmlformats.org/officeDocument/2006/relationships/hyperlink" Target="https://ref.ly/Gal3:1" TargetMode="External"/><Relationship Id="rId6328" Type="http://schemas.openxmlformats.org/officeDocument/2006/relationships/hyperlink" Target="https://ref.ly/1Cor1:17-1Cor2:5" TargetMode="External"/><Relationship Id="rId6329" Type="http://schemas.openxmlformats.org/officeDocument/2006/relationships/hyperlink" Target="https://ref.ly/Gal6:12-Gal6:15" TargetMode="External"/><Relationship Id="rId6330" Type="http://schemas.openxmlformats.org/officeDocument/2006/relationships/hyperlink" Target="https://ref.ly/1Cor1:26-1Cor1:30" TargetMode="External"/><Relationship Id="rId6331" Type="http://schemas.openxmlformats.org/officeDocument/2006/relationships/hyperlink" Target="https://ref.ly/1Cor2:1-1Cor2:5" TargetMode="External"/><Relationship Id="rId6332" Type="http://schemas.openxmlformats.org/officeDocument/2006/relationships/hyperlink" Target="https://ref.ly/Eph2:16" TargetMode="External"/><Relationship Id="rId6333" Type="http://schemas.openxmlformats.org/officeDocument/2006/relationships/hyperlink" Target="https://ref.ly/Acts3:19-Acts3:26" TargetMode="External"/><Relationship Id="rId6334" Type="http://schemas.openxmlformats.org/officeDocument/2006/relationships/hyperlink" Target="https://ref.ly/Acts13:37-Acts13:39" TargetMode="External"/><Relationship Id="rId6335" Type="http://schemas.openxmlformats.org/officeDocument/2006/relationships/hyperlink" Target="https://ref.ly/Rom4:25" TargetMode="External"/><Relationship Id="rId6336" Type="http://schemas.openxmlformats.org/officeDocument/2006/relationships/hyperlink" Target="https://ref.ly/Isa53:10-Isa53:12" TargetMode="External"/><Relationship Id="rId6337" Type="http://schemas.openxmlformats.org/officeDocument/2006/relationships/hyperlink" Target="https://ref.ly/Titus2:14" TargetMode="External"/><Relationship Id="rId6338" Type="http://schemas.openxmlformats.org/officeDocument/2006/relationships/hyperlink" Target="https://ref.ly/1Pet1:18" TargetMode="External"/><Relationship Id="rId6339" Type="http://schemas.openxmlformats.org/officeDocument/2006/relationships/hyperlink" Target="https://ref.ly/Rom5:10-Rom5:11" TargetMode="External"/><Relationship Id="rId6340" Type="http://schemas.openxmlformats.org/officeDocument/2006/relationships/hyperlink" Target="https://ref.ly/Eph1:7" TargetMode="External"/><Relationship Id="rId6341" Type="http://schemas.openxmlformats.org/officeDocument/2006/relationships/hyperlink" Target="https://ref.ly/Eph2:13" TargetMode="External"/><Relationship Id="rId6342" Type="http://schemas.openxmlformats.org/officeDocument/2006/relationships/hyperlink" Target="https://ref.ly/Gal2:19-Gal2:21" TargetMode="External"/><Relationship Id="rId6343" Type="http://schemas.openxmlformats.org/officeDocument/2006/relationships/hyperlink" Target="https://ref.ly/1Pet1:18-1Pet1:21" TargetMode="External"/><Relationship Id="rId6344" Type="http://schemas.openxmlformats.org/officeDocument/2006/relationships/hyperlink" Target="https://ref.ly/Eph2:13-Eph2:16" TargetMode="External"/><Relationship Id="rId6345" Type="http://schemas.openxmlformats.org/officeDocument/2006/relationships/hyperlink" Target="https://ref.ly/Matt10:38" TargetMode="External"/><Relationship Id="rId6346" Type="http://schemas.openxmlformats.org/officeDocument/2006/relationships/hyperlink" Target="https://ref.ly/Luke14:27" TargetMode="External"/><Relationship Id="rId6347" Type="http://schemas.openxmlformats.org/officeDocument/2006/relationships/hyperlink" Target="https://ref.ly/Matt16:24" TargetMode="External"/><Relationship Id="rId6348" Type="http://schemas.openxmlformats.org/officeDocument/2006/relationships/hyperlink" Target="https://ref.ly/Mark8:34" TargetMode="External"/><Relationship Id="rId6349" Type="http://schemas.openxmlformats.org/officeDocument/2006/relationships/hyperlink" Target="https://ref.ly/Rom6:1-Rom6:8" TargetMode="External"/><Relationship Id="rId6350" Type="http://schemas.openxmlformats.org/officeDocument/2006/relationships/hyperlink" Target="https://ref.ly/2Cor5:14-2Cor5:17" TargetMode="External"/><Relationship Id="rId6351" Type="http://schemas.openxmlformats.org/officeDocument/2006/relationships/hyperlink" Target="https://ref.ly/Gal6:14" TargetMode="External"/><Relationship Id="rId6352" Type="http://schemas.openxmlformats.org/officeDocument/2006/relationships/hyperlink" Target="https://ref.ly/Exod22:2-Exod22:3" TargetMode="External"/><Relationship Id="rId6353" Type="http://schemas.openxmlformats.org/officeDocument/2006/relationships/hyperlink" Target="https://ref.ly/Lev17:4" TargetMode="External"/><Relationship Id="rId6354" Type="http://schemas.openxmlformats.org/officeDocument/2006/relationships/hyperlink" Target="https://ref.ly/1Sam25:26,1Sam25:33" TargetMode="External"/><Relationship Id="rId6355" Type="http://schemas.openxmlformats.org/officeDocument/2006/relationships/hyperlink" Target="https://ref.ly/Hos12:14" TargetMode="External"/><Relationship Id="rId6356" Type="http://schemas.openxmlformats.org/officeDocument/2006/relationships/hyperlink" Target="https://ref.ly/Ps51:14" TargetMode="External"/><Relationship Id="rId6357" Type="http://schemas.openxmlformats.org/officeDocument/2006/relationships/hyperlink" Target="https://ref.ly/Jonah1:14" TargetMode="External"/><Relationship Id="rId6358" Type="http://schemas.openxmlformats.org/officeDocument/2006/relationships/hyperlink" Target="https://ref.ly/Gen9:6" TargetMode="External"/><Relationship Id="rId6359" Type="http://schemas.openxmlformats.org/officeDocument/2006/relationships/hyperlink" Target="https://ref.ly/Deut19:11-Deut19:13" TargetMode="External"/><Relationship Id="rId6360" Type="http://schemas.openxmlformats.org/officeDocument/2006/relationships/hyperlink" Target="https://ref.ly/2Kgs24:4" TargetMode="External"/><Relationship Id="rId6361" Type="http://schemas.openxmlformats.org/officeDocument/2006/relationships/hyperlink" Target="https://ref.ly/Ezek33:6" TargetMode="External"/><Relationship Id="rId6362" Type="http://schemas.openxmlformats.org/officeDocument/2006/relationships/hyperlink" Target="https://ref.ly/Num35:9-Num35:28" TargetMode="External"/><Relationship Id="rId6363" Type="http://schemas.openxmlformats.org/officeDocument/2006/relationships/hyperlink" Target="https://ref.ly/Deut19:4-Deut19:10" TargetMode="External"/><Relationship Id="rId6364" Type="http://schemas.openxmlformats.org/officeDocument/2006/relationships/hyperlink" Target="https://ref.ly/Deut21:1-Deut21:9" TargetMode="External"/><Relationship Id="rId6365" Type="http://schemas.openxmlformats.org/officeDocument/2006/relationships/hyperlink" Target="https://ref.ly/Lev17:3-Lev17:4,Lev17:10-Lev17:11" TargetMode="External"/><Relationship Id="rId6366" Type="http://schemas.openxmlformats.org/officeDocument/2006/relationships/hyperlink" Target="https://ref.ly/Exod21:28-Exod21:29" TargetMode="External"/><Relationship Id="rId6367" Type="http://schemas.openxmlformats.org/officeDocument/2006/relationships/hyperlink" Target="https://ref.ly/Exod22:2" TargetMode="External"/><Relationship Id="rId6368" Type="http://schemas.openxmlformats.org/officeDocument/2006/relationships/hyperlink" Target="https://ref.ly/Lev20:9-Lev20:16" TargetMode="External"/><Relationship Id="rId6369" Type="http://schemas.openxmlformats.org/officeDocument/2006/relationships/hyperlink" Target="https://ref.ly/1Kgs2:5-1Kgs2:6" TargetMode="External"/><Relationship Id="rId6370" Type="http://schemas.openxmlformats.org/officeDocument/2006/relationships/hyperlink" Target="https://ref.ly/Isa1:15" TargetMode="External"/><Relationship Id="rId6371" Type="http://schemas.openxmlformats.org/officeDocument/2006/relationships/hyperlink" Target="https://ref.ly/Ezek7:23" TargetMode="External"/><Relationship Id="rId6372" Type="http://schemas.openxmlformats.org/officeDocument/2006/relationships/hyperlink" Target="https://ref.ly/Ezek9:9" TargetMode="External"/><Relationship Id="rId6373" Type="http://schemas.openxmlformats.org/officeDocument/2006/relationships/hyperlink" Target="https://ref.ly/Hos4:2" TargetMode="External"/><Relationship Id="rId6374" Type="http://schemas.openxmlformats.org/officeDocument/2006/relationships/hyperlink" Target="https://ref.ly/Mic3:10" TargetMode="External"/><Relationship Id="rId6375" Type="http://schemas.openxmlformats.org/officeDocument/2006/relationships/hyperlink" Target="https://ref.ly/Hab2:8,Hab2:12,Hab2:17" TargetMode="External"/><Relationship Id="rId6376" Type="http://schemas.openxmlformats.org/officeDocument/2006/relationships/hyperlink" Target="https://ref.ly/Ezek18:10-Ezek18:13" TargetMode="External"/><Relationship Id="rId6377" Type="http://schemas.openxmlformats.org/officeDocument/2006/relationships/hyperlink" Target="https://ref.ly/Gen4:10-Gen4:12" TargetMode="External"/><Relationship Id="rId6378" Type="http://schemas.openxmlformats.org/officeDocument/2006/relationships/hyperlink" Target="https://ref.ly/Isa26:21" TargetMode="External"/><Relationship Id="rId6379" Type="http://schemas.openxmlformats.org/officeDocument/2006/relationships/hyperlink" Target="https://ref.ly/Ezek24:6-Ezek24:9" TargetMode="External"/><Relationship Id="rId6380" Type="http://schemas.openxmlformats.org/officeDocument/2006/relationships/hyperlink" Target="https://ref.ly/Exod15:22-Exod15:26" TargetMode="External"/><Relationship Id="rId6381" Type="http://schemas.openxmlformats.org/officeDocument/2006/relationships/hyperlink" Target="https://ref.ly/Deut32:39" TargetMode="External"/><Relationship Id="rId6382" Type="http://schemas.openxmlformats.org/officeDocument/2006/relationships/hyperlink" Target="https://ref.ly/Ps6:2" TargetMode="External"/><Relationship Id="rId6383" Type="http://schemas.openxmlformats.org/officeDocument/2006/relationships/hyperlink" Target="https://ref.ly/Ps41:4" TargetMode="External"/><Relationship Id="rId6384" Type="http://schemas.openxmlformats.org/officeDocument/2006/relationships/hyperlink" Target="https://ref.ly/Ps103:3" TargetMode="External"/><Relationship Id="rId6385" Type="http://schemas.openxmlformats.org/officeDocument/2006/relationships/hyperlink" Target="https://ref.ly/Isa19:22" TargetMode="External"/><Relationship Id="rId6386" Type="http://schemas.openxmlformats.org/officeDocument/2006/relationships/hyperlink" Target="https://ref.ly/Jer17:14" TargetMode="External"/><Relationship Id="rId6387" Type="http://schemas.openxmlformats.org/officeDocument/2006/relationships/hyperlink" Target="https://ref.ly/Hos7:1" TargetMode="External"/><Relationship Id="rId6388" Type="http://schemas.openxmlformats.org/officeDocument/2006/relationships/hyperlink" Target="https://ref.ly/Zech11:16" TargetMode="External"/><Relationship Id="rId6389" Type="http://schemas.openxmlformats.org/officeDocument/2006/relationships/hyperlink" Target="https://ref.ly/Mark1:21-Mark1:45" TargetMode="External"/><Relationship Id="rId6390" Type="http://schemas.openxmlformats.org/officeDocument/2006/relationships/hyperlink" Target="https://ref.ly/Mark2:1-Mark2:12" TargetMode="External"/><Relationship Id="rId6391" Type="http://schemas.openxmlformats.org/officeDocument/2006/relationships/hyperlink" Target="https://ref.ly/Mark3:1-Mark3:6" TargetMode="External"/><Relationship Id="rId6392" Type="http://schemas.openxmlformats.org/officeDocument/2006/relationships/hyperlink" Target="https://ref.ly/Mark3:7-Mark3:12" TargetMode="External"/><Relationship Id="rId6393" Type="http://schemas.openxmlformats.org/officeDocument/2006/relationships/hyperlink" Target="https://ref.ly/Mark5:1-Mark5:20" TargetMode="External"/><Relationship Id="rId6394" Type="http://schemas.openxmlformats.org/officeDocument/2006/relationships/hyperlink" Target="https://ref.ly/Mark6:53-Mark6:56" TargetMode="External"/><Relationship Id="rId6395" Type="http://schemas.openxmlformats.org/officeDocument/2006/relationships/hyperlink" Target="https://ref.ly/Mark7:24-Mark7:30" TargetMode="External"/><Relationship Id="rId6396" Type="http://schemas.openxmlformats.org/officeDocument/2006/relationships/hyperlink" Target="https://ref.ly/Mark7:31-Mark7:37" TargetMode="External"/><Relationship Id="rId6397" Type="http://schemas.openxmlformats.org/officeDocument/2006/relationships/hyperlink" Target="https://ref.ly/Mark9:14-Mark9:20" TargetMode="External"/><Relationship Id="rId6398" Type="http://schemas.openxmlformats.org/officeDocument/2006/relationships/hyperlink" Target="https://ref.ly/Mark2:10" TargetMode="External"/><Relationship Id="rId6399" Type="http://schemas.openxmlformats.org/officeDocument/2006/relationships/hyperlink" Target="https://ref.ly/Mark10:32-Mark10:34" TargetMode="External"/><Relationship Id="rId6400" Type="http://schemas.openxmlformats.org/officeDocument/2006/relationships/hyperlink" Target="https://ref.ly/Mark10:35-Mark10:45" TargetMode="External"/><Relationship Id="rId6401" Type="http://schemas.openxmlformats.org/officeDocument/2006/relationships/hyperlink" Target="https://ref.ly/Matt4:23-Matt4:25" TargetMode="External"/><Relationship Id="rId6402" Type="http://schemas.openxmlformats.org/officeDocument/2006/relationships/hyperlink" Target="https://ref.ly/Mark1:23-Mark1:28" TargetMode="External"/><Relationship Id="rId6403" Type="http://schemas.openxmlformats.org/officeDocument/2006/relationships/hyperlink" Target="https://ref.ly/Matt8:1-Matt9:38" TargetMode="External"/><Relationship Id="rId6404" Type="http://schemas.openxmlformats.org/officeDocument/2006/relationships/hyperlink" Target="https://ref.ly/Matt5:1-Matt7:29" TargetMode="External"/><Relationship Id="rId6405" Type="http://schemas.openxmlformats.org/officeDocument/2006/relationships/hyperlink" Target="https://ref.ly/Matt8:16" TargetMode="External"/><Relationship Id="rId6406" Type="http://schemas.openxmlformats.org/officeDocument/2006/relationships/hyperlink" Target="https://ref.ly/Isa53:4" TargetMode="External"/><Relationship Id="rId6407" Type="http://schemas.openxmlformats.org/officeDocument/2006/relationships/hyperlink" Target="https://ref.ly/Matt12:15-Matt12:21" TargetMode="External"/><Relationship Id="rId6408" Type="http://schemas.openxmlformats.org/officeDocument/2006/relationships/hyperlink" Target="https://ref.ly/Isa42:1-Isa42:4" TargetMode="External"/><Relationship Id="rId6409" Type="http://schemas.openxmlformats.org/officeDocument/2006/relationships/hyperlink" Target="https://ref.ly/Isa6:9-Isa6:10" TargetMode="External"/><Relationship Id="rId6410" Type="http://schemas.openxmlformats.org/officeDocument/2006/relationships/hyperlink" Target="https://ref.ly/Matt13:14-Matt13:15" TargetMode="External"/><Relationship Id="rId6411" Type="http://schemas.openxmlformats.org/officeDocument/2006/relationships/hyperlink" Target="https://ref.ly/Luke4:16-Luke4:30" TargetMode="External"/><Relationship Id="rId6412" Type="http://schemas.openxmlformats.org/officeDocument/2006/relationships/hyperlink" Target="https://ref.ly/Isa61:1-Isa61:2" TargetMode="External"/><Relationship Id="rId6413" Type="http://schemas.openxmlformats.org/officeDocument/2006/relationships/hyperlink" Target="https://ref.ly/Mark6:45-Mark8:26" TargetMode="External"/><Relationship Id="rId6414" Type="http://schemas.openxmlformats.org/officeDocument/2006/relationships/hyperlink" Target="https://ref.ly/Luke10:1-Luke10:12" TargetMode="External"/><Relationship Id="rId6415" Type="http://schemas.openxmlformats.org/officeDocument/2006/relationships/hyperlink" Target="https://ref.ly/Luke10:8-Luke10:9" TargetMode="External"/><Relationship Id="rId6416" Type="http://schemas.openxmlformats.org/officeDocument/2006/relationships/hyperlink" Target="https://ref.ly/John4:46-John4:54" TargetMode="External"/><Relationship Id="rId6417" Type="http://schemas.openxmlformats.org/officeDocument/2006/relationships/hyperlink" Target="https://ref.ly/John5:1-John5:18" TargetMode="External"/><Relationship Id="rId6418" Type="http://schemas.openxmlformats.org/officeDocument/2006/relationships/hyperlink" Target="https://ref.ly/John11:1-John11:44" TargetMode="External"/><Relationship Id="rId6419" Type="http://schemas.openxmlformats.org/officeDocument/2006/relationships/hyperlink" Target="https://ref.ly/Acts3:1-Acts3:16" TargetMode="External"/><Relationship Id="rId6420" Type="http://schemas.openxmlformats.org/officeDocument/2006/relationships/hyperlink" Target="https://ref.ly/Acts4:8-Acts4:16" TargetMode="External"/><Relationship Id="rId6421" Type="http://schemas.openxmlformats.org/officeDocument/2006/relationships/hyperlink" Target="https://ref.ly/Acts3:12-Acts3:26" TargetMode="External"/><Relationship Id="rId6422" Type="http://schemas.openxmlformats.org/officeDocument/2006/relationships/hyperlink" Target="https://ref.ly/Acts4:29-Acts4:30" TargetMode="External"/><Relationship Id="rId6423" Type="http://schemas.openxmlformats.org/officeDocument/2006/relationships/hyperlink" Target="https://ref.ly/Acts8:5" TargetMode="External"/><Relationship Id="rId6424" Type="http://schemas.openxmlformats.org/officeDocument/2006/relationships/hyperlink" Target="https://ref.ly/Acts8:7" TargetMode="External"/><Relationship Id="rId6425" Type="http://schemas.openxmlformats.org/officeDocument/2006/relationships/hyperlink" Target="https://ref.ly/Acts9:34" TargetMode="External"/><Relationship Id="rId6426" Type="http://schemas.openxmlformats.org/officeDocument/2006/relationships/hyperlink" Target="https://ref.ly/Acts17:2-Acts17:3" TargetMode="External"/><Relationship Id="rId6427" Type="http://schemas.openxmlformats.org/officeDocument/2006/relationships/hyperlink" Target="https://ref.ly/Acts14:8-Acts14:11" TargetMode="External"/><Relationship Id="rId6428" Type="http://schemas.openxmlformats.org/officeDocument/2006/relationships/hyperlink" Target="https://ref.ly/Acts28:8" TargetMode="External"/><Relationship Id="rId6429" Type="http://schemas.openxmlformats.org/officeDocument/2006/relationships/hyperlink" Target="https://ref.ly/Acts16:18" TargetMode="External"/><Relationship Id="rId6430" Type="http://schemas.openxmlformats.org/officeDocument/2006/relationships/hyperlink" Target="https://ref.ly/Acts20:9-Acts20:10" TargetMode="External"/><Relationship Id="rId6431" Type="http://schemas.openxmlformats.org/officeDocument/2006/relationships/hyperlink" Target="https://ref.ly/1Cor12:9" TargetMode="External"/><Relationship Id="rId6432" Type="http://schemas.openxmlformats.org/officeDocument/2006/relationships/hyperlink" Target="https://ref.ly/1Cor12:30" TargetMode="External"/><Relationship Id="rId6433" Type="http://schemas.openxmlformats.org/officeDocument/2006/relationships/hyperlink" Target="https://ref.ly/Jas5:14-Jas5:16" TargetMode="External"/><Relationship Id="rId6434" Type="http://schemas.openxmlformats.org/officeDocument/2006/relationships/hyperlink" Target="https://ref.ly/Exod26:14" TargetMode="External"/><Relationship Id="rId6435" Type="http://schemas.openxmlformats.org/officeDocument/2006/relationships/hyperlink" Target="https://ref.ly/Exod35:7,Exod35:23" TargetMode="External"/><Relationship Id="rId6436" Type="http://schemas.openxmlformats.org/officeDocument/2006/relationships/hyperlink" Target="https://ref.ly/Exod36:19" TargetMode="External"/><Relationship Id="rId6437" Type="http://schemas.openxmlformats.org/officeDocument/2006/relationships/hyperlink" Target="https://ref.ly/Exod39:34" TargetMode="External"/><Relationship Id="rId6438" Type="http://schemas.openxmlformats.org/officeDocument/2006/relationships/hyperlink" Target="https://ref.ly/Acts9:43" TargetMode="External"/><Relationship Id="rId6439" Type="http://schemas.openxmlformats.org/officeDocument/2006/relationships/hyperlink" Target="https://ref.ly/Acts10:6,Acts10:32" TargetMode="External"/><Relationship Id="rId6440" Type="http://schemas.openxmlformats.org/officeDocument/2006/relationships/hyperlink" Target="https://ref.ly/Gen2:13" TargetMode="External"/><Relationship Id="rId6441" Type="http://schemas.openxmlformats.org/officeDocument/2006/relationships/hyperlink" Target="https://ref.ly/Gen10:6-Gen10:8" TargetMode="External"/><Relationship Id="rId6442" Type="http://schemas.openxmlformats.org/officeDocument/2006/relationships/hyperlink" Target="https://ref.ly/Gen10:6-Gen10:7" TargetMode="External"/><Relationship Id="rId6443" Type="http://schemas.openxmlformats.org/officeDocument/2006/relationships/hyperlink" Target="https://ref.ly/Gen10:9-Gen10:12" TargetMode="External"/><Relationship Id="rId6444" Type="http://schemas.openxmlformats.org/officeDocument/2006/relationships/hyperlink" Target="https://ref.ly/Gen10:8" TargetMode="External"/><Relationship Id="rId6445" Type="http://schemas.openxmlformats.org/officeDocument/2006/relationships/hyperlink" Target="https://ref.ly/2Sam18:21-2Sam18:32" TargetMode="External"/><Relationship Id="rId6446" Type="http://schemas.openxmlformats.org/officeDocument/2006/relationships/hyperlink" Target="https://ref.ly/Judg18:7" TargetMode="External"/><Relationship Id="rId6447" Type="http://schemas.openxmlformats.org/officeDocument/2006/relationships/hyperlink" Target="https://ref.ly/Josh19:47" TargetMode="External"/><Relationship Id="rId6448" Type="http://schemas.openxmlformats.org/officeDocument/2006/relationships/hyperlink" Target="https://ref.ly/Judg20:1" TargetMode="External"/><Relationship Id="rId6449" Type="http://schemas.openxmlformats.org/officeDocument/2006/relationships/hyperlink" Target="https://ref.ly/2Sam3:10" TargetMode="External"/><Relationship Id="rId6450" Type="http://schemas.openxmlformats.org/officeDocument/2006/relationships/hyperlink" Target="https://ref.ly/2Kgs10:28-2Kgs10:31" TargetMode="External"/><Relationship Id="rId6451" Type="http://schemas.openxmlformats.org/officeDocument/2006/relationships/hyperlink" Target="https://ref.ly/2Kgs10:32" TargetMode="External"/><Relationship Id="rId6452" Type="http://schemas.openxmlformats.org/officeDocument/2006/relationships/hyperlink" Target="https://ref.ly/Jer4:15" TargetMode="External"/><Relationship Id="rId6453" Type="http://schemas.openxmlformats.org/officeDocument/2006/relationships/hyperlink" Target="https://ref.ly/Jer8:16" TargetMode="External"/><Relationship Id="rId6454" Type="http://schemas.openxmlformats.org/officeDocument/2006/relationships/hyperlink" Target="https://ref.ly/Gen30:7-Gen30:8" TargetMode="External"/><Relationship Id="rId6455" Type="http://schemas.openxmlformats.org/officeDocument/2006/relationships/hyperlink" Target="https://ref.ly/Josh19:32-Josh19:48" TargetMode="External"/><Relationship Id="rId6456" Type="http://schemas.openxmlformats.org/officeDocument/2006/relationships/hyperlink" Target="https://ref.ly/Exod1:4" TargetMode="External"/><Relationship Id="rId6457" Type="http://schemas.openxmlformats.org/officeDocument/2006/relationships/hyperlink" Target="https://ref.ly/Gen30:6" TargetMode="External"/><Relationship Id="rId6458" Type="http://schemas.openxmlformats.org/officeDocument/2006/relationships/hyperlink" Target="https://ref.ly/Gen46:23" TargetMode="External"/><Relationship Id="rId6459" Type="http://schemas.openxmlformats.org/officeDocument/2006/relationships/hyperlink" Target="https://ref.ly/Num26:42-Num26:43" TargetMode="External"/><Relationship Id="rId6460" Type="http://schemas.openxmlformats.org/officeDocument/2006/relationships/hyperlink" Target="https://ref.ly/Gen49:16-Gen49:17" TargetMode="External"/><Relationship Id="rId6461" Type="http://schemas.openxmlformats.org/officeDocument/2006/relationships/hyperlink" Target="https://ref.ly/Lev24:11" TargetMode="External"/><Relationship Id="rId6462" Type="http://schemas.openxmlformats.org/officeDocument/2006/relationships/hyperlink" Target="https://ref.ly/Num1:38-Num1:39" TargetMode="External"/><Relationship Id="rId6463" Type="http://schemas.openxmlformats.org/officeDocument/2006/relationships/hyperlink" Target="https://ref.ly/Num2:25-Num2:31" TargetMode="External"/><Relationship Id="rId6464" Type="http://schemas.openxmlformats.org/officeDocument/2006/relationships/hyperlink" Target="https://ref.ly/Num2:31" TargetMode="External"/><Relationship Id="rId6465" Type="http://schemas.openxmlformats.org/officeDocument/2006/relationships/hyperlink" Target="https://ref.ly/Deut2:16-Deut3:29" TargetMode="External"/><Relationship Id="rId6466" Type="http://schemas.openxmlformats.org/officeDocument/2006/relationships/hyperlink" Target="https://ref.ly/Josh1:1-Josh24:33" TargetMode="External"/><Relationship Id="rId6467" Type="http://schemas.openxmlformats.org/officeDocument/2006/relationships/hyperlink" Target="https://ref.ly/Judg1:1-Judg1:36" TargetMode="External"/><Relationship Id="rId6468" Type="http://schemas.openxmlformats.org/officeDocument/2006/relationships/hyperlink" Target="https://ref.ly/Deut27:13" TargetMode="External"/><Relationship Id="rId6469" Type="http://schemas.openxmlformats.org/officeDocument/2006/relationships/hyperlink" Target="https://ref.ly/Josh8:30-Josh8:33" TargetMode="External"/><Relationship Id="rId6470" Type="http://schemas.openxmlformats.org/officeDocument/2006/relationships/hyperlink" Target="https://ref.ly/Deut33:22" TargetMode="External"/><Relationship Id="rId6471" Type="http://schemas.openxmlformats.org/officeDocument/2006/relationships/hyperlink" Target="https://ref.ly/Josh19:40-Josh19:48" TargetMode="External"/><Relationship Id="rId6472" Type="http://schemas.openxmlformats.org/officeDocument/2006/relationships/hyperlink" Target="https://ref.ly/Judg18:1-Judg18:31" TargetMode="External"/><Relationship Id="rId6473" Type="http://schemas.openxmlformats.org/officeDocument/2006/relationships/hyperlink" Target="https://ref.ly/Josh19:40-Josh19:46" TargetMode="External"/><Relationship Id="rId6474" Type="http://schemas.openxmlformats.org/officeDocument/2006/relationships/hyperlink" Target="https://ref.ly/Judg13:25" TargetMode="External"/><Relationship Id="rId6475" Type="http://schemas.openxmlformats.org/officeDocument/2006/relationships/hyperlink" Target="https://ref.ly/Judg18:2" TargetMode="External"/><Relationship Id="rId6476" Type="http://schemas.openxmlformats.org/officeDocument/2006/relationships/hyperlink" Target="https://ref.ly/Judg18:27-Judg18:29" TargetMode="External"/><Relationship Id="rId6477" Type="http://schemas.openxmlformats.org/officeDocument/2006/relationships/hyperlink" Target="https://ref.ly/Judg13:1-Judg16:31" TargetMode="External"/><Relationship Id="rId6478" Type="http://schemas.openxmlformats.org/officeDocument/2006/relationships/hyperlink" Target="https://ref.ly/1Chr12:35" TargetMode="External"/><Relationship Id="rId6479" Type="http://schemas.openxmlformats.org/officeDocument/2006/relationships/hyperlink" Target="https://ref.ly/1Chr27:22" TargetMode="External"/><Relationship Id="rId6480" Type="http://schemas.openxmlformats.org/officeDocument/2006/relationships/hyperlink" Target="https://ref.ly/Josh13:4-Josh13:5" TargetMode="External"/><Relationship Id="rId6481" Type="http://schemas.openxmlformats.org/officeDocument/2006/relationships/hyperlink" Target="https://ref.ly/Judg1:34-Judg1:35" TargetMode="External"/><Relationship Id="rId6482" Type="http://schemas.openxmlformats.org/officeDocument/2006/relationships/hyperlink" Target="https://ref.ly/Josh18:1-Josh18:4" TargetMode="External"/><Relationship Id="rId6483" Type="http://schemas.openxmlformats.org/officeDocument/2006/relationships/hyperlink" Target="https://ref.ly/Judg18:30-Judg18:31" TargetMode="External"/><Relationship Id="rId6484" Type="http://schemas.openxmlformats.org/officeDocument/2006/relationships/hyperlink" Target="https://ref.ly/1Kgs12:28-1Kgs12:29" TargetMode="External"/><Relationship Id="rId6485" Type="http://schemas.openxmlformats.org/officeDocument/2006/relationships/hyperlink" Target="https://ref.ly/2Kgs10:29" TargetMode="External"/><Relationship Id="rId6486" Type="http://schemas.openxmlformats.org/officeDocument/2006/relationships/hyperlink" Target="https://ref.ly/2Kgs17:1-2Kgs17:23" TargetMode="External"/><Relationship Id="rId6487" Type="http://schemas.openxmlformats.org/officeDocument/2006/relationships/hyperlink" Target="https://ref.ly/Ezek48:1-Ezek48:2,Ezek48:32" TargetMode="External"/><Relationship Id="rId6488" Type="http://schemas.openxmlformats.org/officeDocument/2006/relationships/hyperlink" Target="https://ref.ly/Ezek48:1-Ezek48:2" TargetMode="External"/><Relationship Id="rId6489" Type="http://schemas.openxmlformats.org/officeDocument/2006/relationships/hyperlink" Target="https://ref.ly/Rev7:4-Rev7:8" TargetMode="External"/><Relationship Id="rId6490" Type="http://schemas.openxmlformats.org/officeDocument/2006/relationships/hyperlink" Target="https://ref.ly/Judg16:1-Judg16:31" TargetMode="External"/><Relationship Id="rId6491" Type="http://schemas.openxmlformats.org/officeDocument/2006/relationships/hyperlink" Target="https://ref.ly/Judg14:1" TargetMode="External"/><Relationship Id="rId6492" Type="http://schemas.openxmlformats.org/officeDocument/2006/relationships/hyperlink" Target="https://ref.ly/Num6:1-Num6:8" TargetMode="External"/><Relationship Id="rId6493" Type="http://schemas.openxmlformats.org/officeDocument/2006/relationships/hyperlink" Target="https://ref.ly/Judg13:5" TargetMode="External"/><Relationship Id="rId6494" Type="http://schemas.openxmlformats.org/officeDocument/2006/relationships/hyperlink" Target="https://ref.ly/Mark8:10" TargetMode="External"/><Relationship Id="rId6495" Type="http://schemas.openxmlformats.org/officeDocument/2006/relationships/hyperlink" Target="https://ref.ly/Mark8:12" TargetMode="External"/><Relationship Id="rId6496" Type="http://schemas.openxmlformats.org/officeDocument/2006/relationships/hyperlink" Target="https://ref.ly/Matt15:39" TargetMode="External"/><Relationship Id="rId6497" Type="http://schemas.openxmlformats.org/officeDocument/2006/relationships/hyperlink" Target="https://ref.ly/Acts17:12" TargetMode="External"/><Relationship Id="rId6498" Type="http://schemas.openxmlformats.org/officeDocument/2006/relationships/hyperlink" Target="https://ref.ly/2Kgs5:1-2Kgs5:27" TargetMode="External"/><Relationship Id="rId6499" Type="http://schemas.openxmlformats.org/officeDocument/2006/relationships/hyperlink" Target="https://ref.ly/1Sam14:47" TargetMode="External"/><Relationship Id="rId6500" Type="http://schemas.openxmlformats.org/officeDocument/2006/relationships/hyperlink" Target="https://ref.ly/1Kgs11:23-1Kgs11:25" TargetMode="External"/><Relationship Id="rId6501" Type="http://schemas.openxmlformats.org/officeDocument/2006/relationships/hyperlink" Target="https://ref.ly/2Kgs12:17-2Kgs12:18" TargetMode="External"/><Relationship Id="rId6502" Type="http://schemas.openxmlformats.org/officeDocument/2006/relationships/hyperlink" Target="https://ref.ly/2Kgs14:28" TargetMode="External"/><Relationship Id="rId6503" Type="http://schemas.openxmlformats.org/officeDocument/2006/relationships/hyperlink" Target="https://ref.ly/2Kgs16:5-2Kgs16:6" TargetMode="External"/><Relationship Id="rId6504" Type="http://schemas.openxmlformats.org/officeDocument/2006/relationships/hyperlink" Target="https://ref.ly/2Chr28:5" TargetMode="External"/><Relationship Id="rId6505" Type="http://schemas.openxmlformats.org/officeDocument/2006/relationships/hyperlink" Target="https://ref.ly/Isa8:4" TargetMode="External"/><Relationship Id="rId6506" Type="http://schemas.openxmlformats.org/officeDocument/2006/relationships/hyperlink" Target="https://ref.ly/Isa17:1" TargetMode="External"/><Relationship Id="rId6507" Type="http://schemas.openxmlformats.org/officeDocument/2006/relationships/hyperlink" Target="https://ref.ly/Amos1:3-Amos1:5" TargetMode="External"/><Relationship Id="rId6508" Type="http://schemas.openxmlformats.org/officeDocument/2006/relationships/hyperlink" Target="https://ref.ly/Jer49:23-Jer49:27" TargetMode="External"/><Relationship Id="rId6509" Type="http://schemas.openxmlformats.org/officeDocument/2006/relationships/hyperlink" Target="https://ref.ly/2Cor11:32" TargetMode="External"/><Relationship Id="rId6510" Type="http://schemas.openxmlformats.org/officeDocument/2006/relationships/hyperlink" Target="https://ref.ly/Acts22:5-Acts22:21" TargetMode="External"/><Relationship Id="rId6511" Type="http://schemas.openxmlformats.org/officeDocument/2006/relationships/hyperlink" Target="https://ref.ly/Acts26:11-Acts26:23" TargetMode="External"/><Relationship Id="rId6512" Type="http://schemas.openxmlformats.org/officeDocument/2006/relationships/hyperlink" Target="https://ref.ly/2Kgs6:18-2Kgs6:23" TargetMode="External"/><Relationship Id="rId6513" Type="http://schemas.openxmlformats.org/officeDocument/2006/relationships/hyperlink" Target="https://ref.ly/Acts9:23-Acts9:25" TargetMode="External"/><Relationship Id="rId6514" Type="http://schemas.openxmlformats.org/officeDocument/2006/relationships/hyperlink" Target="https://ref.ly/Dan3:23" TargetMode="External"/><Relationship Id="rId6515" Type="http://schemas.openxmlformats.org/officeDocument/2006/relationships/hyperlink" Target="https://ref.ly/Dan3:24" TargetMode="External"/><Relationship Id="rId6516" Type="http://schemas.openxmlformats.org/officeDocument/2006/relationships/hyperlink" Target="https://ref.ly/Dan12:1-Dan12:13" TargetMode="External"/><Relationship Id="rId6517" Type="http://schemas.openxmlformats.org/officeDocument/2006/relationships/hyperlink" Target="https://ref.ly/Dan1:1-Dan1:21" TargetMode="External"/><Relationship Id="rId6518" Type="http://schemas.openxmlformats.org/officeDocument/2006/relationships/hyperlink" Target="https://ref.ly/Dan1:1-Dan1:6" TargetMode="External"/><Relationship Id="rId6519" Type="http://schemas.openxmlformats.org/officeDocument/2006/relationships/hyperlink" Target="https://ref.ly/Dan1:7" TargetMode="External"/><Relationship Id="rId6520" Type="http://schemas.openxmlformats.org/officeDocument/2006/relationships/hyperlink" Target="https://ref.ly/Dan3:1-Dan3:23" TargetMode="External"/><Relationship Id="rId6521" Type="http://schemas.openxmlformats.org/officeDocument/2006/relationships/hyperlink" Target="https://ref.ly/Dan3:24-Dan3:27" TargetMode="External"/><Relationship Id="rId6522" Type="http://schemas.openxmlformats.org/officeDocument/2006/relationships/hyperlink" Target="https://ref.ly/Dan3:28-Dan3:30" TargetMode="External"/><Relationship Id="rId6523" Type="http://schemas.openxmlformats.org/officeDocument/2006/relationships/hyperlink" Target="https://ref.ly/Dan9:3-Dan9:19" TargetMode="External"/><Relationship Id="rId6524" Type="http://schemas.openxmlformats.org/officeDocument/2006/relationships/hyperlink" Target="https://ref.ly/Ps148:1-Ps148:14" TargetMode="External"/><Relationship Id="rId6525" Type="http://schemas.openxmlformats.org/officeDocument/2006/relationships/hyperlink" Target="https://ref.ly/Dan8:27" TargetMode="External"/><Relationship Id="rId6526" Type="http://schemas.openxmlformats.org/officeDocument/2006/relationships/hyperlink" Target="https://ref.ly/Dan1:1-Dan6:28" TargetMode="External"/><Relationship Id="rId6527" Type="http://schemas.openxmlformats.org/officeDocument/2006/relationships/hyperlink" Target="https://ref.ly/Dan7:2" TargetMode="External"/><Relationship Id="rId6528" Type="http://schemas.openxmlformats.org/officeDocument/2006/relationships/hyperlink" Target="https://ref.ly/Matt24:15" TargetMode="External"/><Relationship Id="rId6529" Type="http://schemas.openxmlformats.org/officeDocument/2006/relationships/hyperlink" Target="https://ref.ly/Dan1:4-Dan1:5" TargetMode="External"/><Relationship Id="rId6530" Type="http://schemas.openxmlformats.org/officeDocument/2006/relationships/hyperlink" Target="https://ref.ly/Dan5:30-Dan5:31" TargetMode="External"/><Relationship Id="rId6531" Type="http://schemas.openxmlformats.org/officeDocument/2006/relationships/hyperlink" Target="https://ref.ly/Dan6:28" TargetMode="External"/><Relationship Id="rId6532" Type="http://schemas.openxmlformats.org/officeDocument/2006/relationships/hyperlink" Target="https://ref.ly/Dan1:1-Dan2:4" TargetMode="External"/><Relationship Id="rId6533" Type="http://schemas.openxmlformats.org/officeDocument/2006/relationships/hyperlink" Target="https://ref.ly/Dan8:1-Dan12:13" TargetMode="External"/><Relationship Id="rId6534" Type="http://schemas.openxmlformats.org/officeDocument/2006/relationships/hyperlink" Target="https://ref.ly/Dan12:9" TargetMode="External"/><Relationship Id="rId6535" Type="http://schemas.openxmlformats.org/officeDocument/2006/relationships/hyperlink" Target="https://ref.ly/Dan12:13" TargetMode="External"/><Relationship Id="rId6536" Type="http://schemas.openxmlformats.org/officeDocument/2006/relationships/hyperlink" Target="https://ref.ly/Deut14:1-Deut14:29" TargetMode="External"/><Relationship Id="rId6537" Type="http://schemas.openxmlformats.org/officeDocument/2006/relationships/hyperlink" Target="https://ref.ly/Dan2:1-Dan2:49" TargetMode="External"/><Relationship Id="rId6538" Type="http://schemas.openxmlformats.org/officeDocument/2006/relationships/hyperlink" Target="https://ref.ly/Dan2:44" TargetMode="External"/><Relationship Id="rId6539" Type="http://schemas.openxmlformats.org/officeDocument/2006/relationships/hyperlink" Target="https://ref.ly/Dan3:1-Dan3:30" TargetMode="External"/><Relationship Id="rId6540" Type="http://schemas.openxmlformats.org/officeDocument/2006/relationships/hyperlink" Target="https://ref.ly/Deut5:7" TargetMode="External"/><Relationship Id="rId6541" Type="http://schemas.openxmlformats.org/officeDocument/2006/relationships/hyperlink" Target="https://ref.ly/Dan3:17-Dan3:18" TargetMode="External"/><Relationship Id="rId6542" Type="http://schemas.openxmlformats.org/officeDocument/2006/relationships/hyperlink" Target="https://ref.ly/Dan4:1-Dan4:37" TargetMode="External"/><Relationship Id="rId6543" Type="http://schemas.openxmlformats.org/officeDocument/2006/relationships/hyperlink" Target="https://ref.ly/Dan2:47" TargetMode="External"/><Relationship Id="rId6544" Type="http://schemas.openxmlformats.org/officeDocument/2006/relationships/hyperlink" Target="https://ref.ly/Dan4:37" TargetMode="External"/><Relationship Id="rId6545" Type="http://schemas.openxmlformats.org/officeDocument/2006/relationships/hyperlink" Target="https://ref.ly/Dan4:30" TargetMode="External"/><Relationship Id="rId6546" Type="http://schemas.openxmlformats.org/officeDocument/2006/relationships/hyperlink" Target="https://ref.ly/Dan5:26-Dan5:28" TargetMode="External"/><Relationship Id="rId6547" Type="http://schemas.openxmlformats.org/officeDocument/2006/relationships/hyperlink" Target="https://ref.ly/Dan5:18-Dan5:22" TargetMode="External"/><Relationship Id="rId6548" Type="http://schemas.openxmlformats.org/officeDocument/2006/relationships/hyperlink" Target="https://ref.ly/Dan6:1-Dan6:28" TargetMode="External"/><Relationship Id="rId6549" Type="http://schemas.openxmlformats.org/officeDocument/2006/relationships/hyperlink" Target="https://ref.ly/Dan6:25-Dan6:27" TargetMode="External"/><Relationship Id="rId6550" Type="http://schemas.openxmlformats.org/officeDocument/2006/relationships/hyperlink" Target="https://ref.ly/Dan7:1" TargetMode="External"/><Relationship Id="rId6551" Type="http://schemas.openxmlformats.org/officeDocument/2006/relationships/hyperlink" Target="https://ref.ly/Dan10:1" TargetMode="External"/><Relationship Id="rId6552" Type="http://schemas.openxmlformats.org/officeDocument/2006/relationships/hyperlink" Target="https://ref.ly/Dan8:1-Dan8:27" TargetMode="External"/><Relationship Id="rId6553" Type="http://schemas.openxmlformats.org/officeDocument/2006/relationships/hyperlink" Target="https://ref.ly/Dan9:1-Dan9:27" TargetMode="External"/><Relationship Id="rId6554" Type="http://schemas.openxmlformats.org/officeDocument/2006/relationships/hyperlink" Target="https://ref.ly/Dan10:1-Dan12:13" TargetMode="External"/><Relationship Id="rId6555" Type="http://schemas.openxmlformats.org/officeDocument/2006/relationships/hyperlink" Target="https://ref.ly/Dan7:13" TargetMode="External"/><Relationship Id="rId6556" Type="http://schemas.openxmlformats.org/officeDocument/2006/relationships/hyperlink" Target="https://ref.ly/Num16:1-Num16:27" TargetMode="External"/><Relationship Id="rId6557" Type="http://schemas.openxmlformats.org/officeDocument/2006/relationships/hyperlink" Target="https://ref.ly/Num26:9" TargetMode="External"/><Relationship Id="rId6558" Type="http://schemas.openxmlformats.org/officeDocument/2006/relationships/hyperlink" Target="https://ref.ly/Ps106:17" TargetMode="External"/><Relationship Id="rId6559" Type="http://schemas.openxmlformats.org/officeDocument/2006/relationships/hyperlink" Target="https://ref.ly/1Sam16:1-1Sam16:23" TargetMode="External"/><Relationship Id="rId6560" Type="http://schemas.openxmlformats.org/officeDocument/2006/relationships/hyperlink" Target="https://ref.ly/1Chr2:3-1Chr2:15" TargetMode="External"/><Relationship Id="rId6561" Type="http://schemas.openxmlformats.org/officeDocument/2006/relationships/hyperlink" Target="https://ref.ly/Matt1:3-Matt1:6" TargetMode="External"/><Relationship Id="rId6562" Type="http://schemas.openxmlformats.org/officeDocument/2006/relationships/hyperlink" Target="https://ref.ly/Luke3:31-Luke3:33" TargetMode="External"/><Relationship Id="rId6563" Type="http://schemas.openxmlformats.org/officeDocument/2006/relationships/hyperlink" Target="https://ref.ly/1Sam16:1-1Sam16:13" TargetMode="External"/><Relationship Id="rId6564" Type="http://schemas.openxmlformats.org/officeDocument/2006/relationships/hyperlink" Target="https://ref.ly/1Sam17:12-1Sam17:58" TargetMode="External"/><Relationship Id="rId6565" Type="http://schemas.openxmlformats.org/officeDocument/2006/relationships/hyperlink" Target="https://ref.ly/1Sam18:6-1Sam18:30" TargetMode="External"/><Relationship Id="rId6566" Type="http://schemas.openxmlformats.org/officeDocument/2006/relationships/hyperlink" Target="https://ref.ly/1Sam19:1-1Sam19:24" TargetMode="External"/><Relationship Id="rId6567" Type="http://schemas.openxmlformats.org/officeDocument/2006/relationships/hyperlink" Target="https://ref.ly/1Sam20:1-1Sam20:42" TargetMode="External"/><Relationship Id="rId6568" Type="http://schemas.openxmlformats.org/officeDocument/2006/relationships/hyperlink" Target="https://ref.ly/1Sam21:1-1Sam21:15" TargetMode="External"/><Relationship Id="rId6569" Type="http://schemas.openxmlformats.org/officeDocument/2006/relationships/hyperlink" Target="https://ref.ly/1Sam22:1-1Sam22:5" TargetMode="External"/><Relationship Id="rId6570" Type="http://schemas.openxmlformats.org/officeDocument/2006/relationships/hyperlink" Target="https://ref.ly/1Sam22:6-1Sam22:23" TargetMode="External"/><Relationship Id="rId6571" Type="http://schemas.openxmlformats.org/officeDocument/2006/relationships/hyperlink" Target="https://ref.ly/1Sam23:1-1Sam23:29" TargetMode="External"/><Relationship Id="rId6572" Type="http://schemas.openxmlformats.org/officeDocument/2006/relationships/hyperlink" Target="https://ref.ly/1Sam24:1-1Sam24:22" TargetMode="External"/><Relationship Id="rId6573" Type="http://schemas.openxmlformats.org/officeDocument/2006/relationships/hyperlink" Target="https://ref.ly/1Sam25:1-1Sam25:44" TargetMode="External"/><Relationship Id="rId6574" Type="http://schemas.openxmlformats.org/officeDocument/2006/relationships/hyperlink" Target="https://ref.ly/1Sam26:1-1Sam26:25" TargetMode="External"/><Relationship Id="rId6575" Type="http://schemas.openxmlformats.org/officeDocument/2006/relationships/hyperlink" Target="https://ref.ly/1Sam27:1-1Sam27:12" TargetMode="External"/><Relationship Id="rId6576" Type="http://schemas.openxmlformats.org/officeDocument/2006/relationships/hyperlink" Target="https://ref.ly/1Chr12:19-1Chr12:22" TargetMode="External"/><Relationship Id="rId6577" Type="http://schemas.openxmlformats.org/officeDocument/2006/relationships/hyperlink" Target="https://ref.ly/1Sam29:1-1Sam30:31" TargetMode="External"/><Relationship Id="rId6578" Type="http://schemas.openxmlformats.org/officeDocument/2006/relationships/hyperlink" Target="https://ref.ly/1Sam31:1-1Sam31:13" TargetMode="External"/><Relationship Id="rId6579" Type="http://schemas.openxmlformats.org/officeDocument/2006/relationships/hyperlink" Target="https://ref.ly/2Sam1:1-2Sam1:27" TargetMode="External"/><Relationship Id="rId6580" Type="http://schemas.openxmlformats.org/officeDocument/2006/relationships/hyperlink" Target="https://ref.ly/2Sam2:1-2Sam4:12" TargetMode="External"/><Relationship Id="rId6581" Type="http://schemas.openxmlformats.org/officeDocument/2006/relationships/hyperlink" Target="https://ref.ly/2Sam5:1-2Sam5:25" TargetMode="External"/><Relationship Id="rId6582" Type="http://schemas.openxmlformats.org/officeDocument/2006/relationships/hyperlink" Target="https://ref.ly/1Chr14:8-1Chr14:17" TargetMode="External"/><Relationship Id="rId6583" Type="http://schemas.openxmlformats.org/officeDocument/2006/relationships/hyperlink" Target="https://ref.ly/1Chr11:4-1Chr11:9" TargetMode="External"/><Relationship Id="rId6584" Type="http://schemas.openxmlformats.org/officeDocument/2006/relationships/hyperlink" Target="https://ref.ly/1Chr11:1-1Chr12:22" TargetMode="External"/><Relationship Id="rId6585" Type="http://schemas.openxmlformats.org/officeDocument/2006/relationships/hyperlink" Target="https://ref.ly/1Chr12:23-1Chr12:40" TargetMode="External"/><Relationship Id="rId6586" Type="http://schemas.openxmlformats.org/officeDocument/2006/relationships/hyperlink" Target="https://ref.ly/1Chr14:1-1Chr14:2" TargetMode="External"/><Relationship Id="rId6587" Type="http://schemas.openxmlformats.org/officeDocument/2006/relationships/hyperlink" Target="https://ref.ly/2Sam6:1-2Sam6:23" TargetMode="External"/><Relationship Id="rId6588" Type="http://schemas.openxmlformats.org/officeDocument/2006/relationships/hyperlink" Target="https://ref.ly/1Chr13:1-1Chr16:43" TargetMode="External"/><Relationship Id="rId6589" Type="http://schemas.openxmlformats.org/officeDocument/2006/relationships/hyperlink" Target="https://ref.ly/2Sam7:1-2Sam7:29" TargetMode="External"/><Relationship Id="rId6590" Type="http://schemas.openxmlformats.org/officeDocument/2006/relationships/hyperlink" Target="https://ref.ly/1Chr17:1-1Chr17:27" TargetMode="External"/><Relationship Id="rId6591" Type="http://schemas.openxmlformats.org/officeDocument/2006/relationships/hyperlink" Target="https://ref.ly/1Sam13:19-1Sam13:21" TargetMode="External"/><Relationship Id="rId6592" Type="http://schemas.openxmlformats.org/officeDocument/2006/relationships/hyperlink" Target="https://ref.ly/1Chr22:3" TargetMode="External"/><Relationship Id="rId6593" Type="http://schemas.openxmlformats.org/officeDocument/2006/relationships/hyperlink" Target="https://ref.ly/2Sam8:1-2Sam10:19" TargetMode="External"/><Relationship Id="rId6594" Type="http://schemas.openxmlformats.org/officeDocument/2006/relationships/hyperlink" Target="https://ref.ly/2Sam22:1-2Sam22:51" TargetMode="External"/><Relationship Id="rId6595" Type="http://schemas.openxmlformats.org/officeDocument/2006/relationships/hyperlink" Target="https://ref.ly/Ps18:1-Ps18:50" TargetMode="External"/><Relationship Id="rId6596" Type="http://schemas.openxmlformats.org/officeDocument/2006/relationships/hyperlink" Target="https://ref.ly/2Sam11:1-2Sam20:26" TargetMode="External"/><Relationship Id="rId6597" Type="http://schemas.openxmlformats.org/officeDocument/2006/relationships/hyperlink" Target="https://ref.ly/1Chr21:1-1Chr29:30" TargetMode="External"/><Relationship Id="rId6598" Type="http://schemas.openxmlformats.org/officeDocument/2006/relationships/hyperlink" Target="https://ref.ly/1Chr27:25-1Chr27:31" TargetMode="External"/><Relationship Id="rId6599" Type="http://schemas.openxmlformats.org/officeDocument/2006/relationships/hyperlink" Target="https://ref.ly/2Sam24:1-2Sam24:25" TargetMode="External"/><Relationship Id="rId6600" Type="http://schemas.openxmlformats.org/officeDocument/2006/relationships/hyperlink" Target="https://ref.ly/1Chr21:1-1Chr21:30" TargetMode="External"/><Relationship Id="rId6601" Type="http://schemas.openxmlformats.org/officeDocument/2006/relationships/hyperlink" Target="https://ref.ly/1Chr21:28-1Chr22:1" TargetMode="External"/><Relationship Id="rId6602" Type="http://schemas.openxmlformats.org/officeDocument/2006/relationships/hyperlink" Target="https://ref.ly/2Chr29:30" TargetMode="External"/><Relationship Id="rId6603" Type="http://schemas.openxmlformats.org/officeDocument/2006/relationships/hyperlink" Target="https://ref.ly/Ps1:1-Ps41:13" TargetMode="External"/><Relationship Id="rId6604" Type="http://schemas.openxmlformats.org/officeDocument/2006/relationships/hyperlink" Target="https://ref.ly/Ps90:1-Ps106:48" TargetMode="External"/><Relationship Id="rId6605" Type="http://schemas.openxmlformats.org/officeDocument/2006/relationships/hyperlink" Target="https://ref.ly/Ps51:1-Ps71:24" TargetMode="External"/><Relationship Id="rId6606" Type="http://schemas.openxmlformats.org/officeDocument/2006/relationships/hyperlink" Target="https://ref.ly/Ps42:1-Ps72:20" TargetMode="External"/><Relationship Id="rId6607" Type="http://schemas.openxmlformats.org/officeDocument/2006/relationships/hyperlink" Target="https://ref.ly/2Chr7:6" TargetMode="External"/><Relationship Id="rId6608" Type="http://schemas.openxmlformats.org/officeDocument/2006/relationships/hyperlink" Target="https://ref.ly/2Chr8:14" TargetMode="External"/><Relationship Id="rId6609" Type="http://schemas.openxmlformats.org/officeDocument/2006/relationships/hyperlink" Target="https://ref.ly/Isa7:2" TargetMode="External"/><Relationship Id="rId6610" Type="http://schemas.openxmlformats.org/officeDocument/2006/relationships/hyperlink" Target="https://ref.ly/Isa9:7" TargetMode="External"/><Relationship Id="rId6611" Type="http://schemas.openxmlformats.org/officeDocument/2006/relationships/hyperlink" Target="https://ref.ly/Jer33:15" TargetMode="External"/><Relationship Id="rId6612" Type="http://schemas.openxmlformats.org/officeDocument/2006/relationships/hyperlink" Target="https://ref.ly/Isa11:1-Isa11:10" TargetMode="External"/><Relationship Id="rId6613" Type="http://schemas.openxmlformats.org/officeDocument/2006/relationships/hyperlink" Target="https://ref.ly/Isa2:1-Isa2:4" TargetMode="External"/><Relationship Id="rId6614" Type="http://schemas.openxmlformats.org/officeDocument/2006/relationships/hyperlink" Target="https://ref.ly/Ezek37:24-Ezek37:25" TargetMode="External"/><Relationship Id="rId6615" Type="http://schemas.openxmlformats.org/officeDocument/2006/relationships/hyperlink" Target="https://ref.ly/Ezek34:23" TargetMode="External"/><Relationship Id="rId6616" Type="http://schemas.openxmlformats.org/officeDocument/2006/relationships/hyperlink" Target="https://ref.ly/Hos3:5" TargetMode="External"/><Relationship Id="rId6617" Type="http://schemas.openxmlformats.org/officeDocument/2006/relationships/hyperlink" Target="https://ref.ly/Amos9:11" TargetMode="External"/><Relationship Id="rId6618" Type="http://schemas.openxmlformats.org/officeDocument/2006/relationships/hyperlink" Target="https://ref.ly/Zech12:1-Zech13:9" TargetMode="External"/><Relationship Id="rId6619" Type="http://schemas.openxmlformats.org/officeDocument/2006/relationships/hyperlink" Target="https://ref.ly/Matt9:27" TargetMode="External"/><Relationship Id="rId6620" Type="http://schemas.openxmlformats.org/officeDocument/2006/relationships/hyperlink" Target="https://ref.ly/Matt12:23" TargetMode="External"/><Relationship Id="rId6621" Type="http://schemas.openxmlformats.org/officeDocument/2006/relationships/hyperlink" Target="https://ref.ly/Mark10:48" TargetMode="External"/><Relationship Id="rId6622" Type="http://schemas.openxmlformats.org/officeDocument/2006/relationships/hyperlink" Target="https://ref.ly/Mark12:35" TargetMode="External"/><Relationship Id="rId6623" Type="http://schemas.openxmlformats.org/officeDocument/2006/relationships/hyperlink" Target="https://ref.ly/Luke18:38-Luke18:39" TargetMode="External"/><Relationship Id="rId6624" Type="http://schemas.openxmlformats.org/officeDocument/2006/relationships/hyperlink" Target="https://ref.ly/Luke20:41" TargetMode="External"/><Relationship Id="rId6625" Type="http://schemas.openxmlformats.org/officeDocument/2006/relationships/hyperlink" Target="https://ref.ly/Mark11:10" TargetMode="External"/><Relationship Id="rId6626" Type="http://schemas.openxmlformats.org/officeDocument/2006/relationships/hyperlink" Target="https://ref.ly/Matt22:41-Matt22:45" TargetMode="External"/><Relationship Id="rId6627" Type="http://schemas.openxmlformats.org/officeDocument/2006/relationships/hyperlink" Target="https://ref.ly/Mark12:35-Mark12:37" TargetMode="External"/><Relationship Id="rId6628" Type="http://schemas.openxmlformats.org/officeDocument/2006/relationships/hyperlink" Target="https://ref.ly/Luke20:41-Luke20:44" TargetMode="External"/><Relationship Id="rId6629" Type="http://schemas.openxmlformats.org/officeDocument/2006/relationships/hyperlink" Target="https://ref.ly/Acts1:16" TargetMode="External"/><Relationship Id="rId6630" Type="http://schemas.openxmlformats.org/officeDocument/2006/relationships/hyperlink" Target="https://ref.ly/Acts2:22-Acts2:36" TargetMode="External"/><Relationship Id="rId6631" Type="http://schemas.openxmlformats.org/officeDocument/2006/relationships/hyperlink" Target="https://ref.ly/Acts4:25" TargetMode="External"/><Relationship Id="rId6632" Type="http://schemas.openxmlformats.org/officeDocument/2006/relationships/hyperlink" Target="https://ref.ly/Acts13:26-Acts13:39" TargetMode="External"/><Relationship Id="rId6633" Type="http://schemas.openxmlformats.org/officeDocument/2006/relationships/hyperlink" Target="https://ref.ly/Rev3:7" TargetMode="External"/><Relationship Id="rId6634" Type="http://schemas.openxmlformats.org/officeDocument/2006/relationships/hyperlink" Target="https://ref.ly/Rev22:16" TargetMode="External"/><Relationship Id="rId6635" Type="http://schemas.openxmlformats.org/officeDocument/2006/relationships/hyperlink" Target="https://ref.ly/Gen24:59-Gen24:61" TargetMode="External"/><Relationship Id="rId6636" Type="http://schemas.openxmlformats.org/officeDocument/2006/relationships/hyperlink" Target="https://ref.ly/Judg4:1-Judg5:31" TargetMode="External"/><Relationship Id="rId6637" Type="http://schemas.openxmlformats.org/officeDocument/2006/relationships/hyperlink" Target="https://ref.ly/Exod15:20" TargetMode="External"/><Relationship Id="rId6638" Type="http://schemas.openxmlformats.org/officeDocument/2006/relationships/hyperlink" Target="https://ref.ly/2Kgs22:14" TargetMode="External"/><Relationship Id="rId6639" Type="http://schemas.openxmlformats.org/officeDocument/2006/relationships/hyperlink" Target="https://ref.ly/Luke2:36" TargetMode="External"/><Relationship Id="rId6640" Type="http://schemas.openxmlformats.org/officeDocument/2006/relationships/hyperlink" Target="https://ref.ly/Judg4:4" TargetMode="External"/><Relationship Id="rId6641" Type="http://schemas.openxmlformats.org/officeDocument/2006/relationships/hyperlink" Target="https://ref.ly/Judg5:14-Judg5:15" TargetMode="External"/><Relationship Id="rId6642" Type="http://schemas.openxmlformats.org/officeDocument/2006/relationships/hyperlink" Target="https://ref.ly/Judg4:15" TargetMode="External"/><Relationship Id="rId6643" Type="http://schemas.openxmlformats.org/officeDocument/2006/relationships/hyperlink" Target="https://ref.ly/Judg5:21-Judg5:22" TargetMode="External"/><Relationship Id="rId6644" Type="http://schemas.openxmlformats.org/officeDocument/2006/relationships/hyperlink" Target="https://ref.ly/Judg5:19" TargetMode="External"/><Relationship Id="rId6645" Type="http://schemas.openxmlformats.org/officeDocument/2006/relationships/hyperlink" Target="https://ref.ly/Mark5:20" TargetMode="External"/><Relationship Id="rId6646" Type="http://schemas.openxmlformats.org/officeDocument/2006/relationships/hyperlink" Target="https://ref.ly/Gen10:7" TargetMode="External"/><Relationship Id="rId6647" Type="http://schemas.openxmlformats.org/officeDocument/2006/relationships/hyperlink" Target="https://ref.ly/1Chr1:9" TargetMode="External"/><Relationship Id="rId6648" Type="http://schemas.openxmlformats.org/officeDocument/2006/relationships/hyperlink" Target="https://ref.ly/Lev1:3" TargetMode="External"/><Relationship Id="rId6649" Type="http://schemas.openxmlformats.org/officeDocument/2006/relationships/hyperlink" Target="https://ref.ly/Lev4:3" TargetMode="External"/><Relationship Id="rId6650" Type="http://schemas.openxmlformats.org/officeDocument/2006/relationships/hyperlink" Target="https://ref.ly/Lev21:1-Lev21:24" TargetMode="External"/><Relationship Id="rId6651" Type="http://schemas.openxmlformats.org/officeDocument/2006/relationships/hyperlink" Target="https://ref.ly/Lev21:17-Lev21:20" TargetMode="External"/><Relationship Id="rId6652" Type="http://schemas.openxmlformats.org/officeDocument/2006/relationships/hyperlink" Target="https://ref.ly/Zech11:17" TargetMode="External"/><Relationship Id="rId6653" Type="http://schemas.openxmlformats.org/officeDocument/2006/relationships/hyperlink" Target="https://ref.ly/Matt12:10" TargetMode="External"/><Relationship Id="rId6654" Type="http://schemas.openxmlformats.org/officeDocument/2006/relationships/hyperlink" Target="https://ref.ly/Mark3:1" TargetMode="External"/><Relationship Id="rId6655" Type="http://schemas.openxmlformats.org/officeDocument/2006/relationships/hyperlink" Target="https://ref.ly/Luke6:6" TargetMode="External"/><Relationship Id="rId6656" Type="http://schemas.openxmlformats.org/officeDocument/2006/relationships/hyperlink" Target="https://ref.ly/1Macc7:1-1Macc7:10" TargetMode="External"/><Relationship Id="rId6657" Type="http://schemas.openxmlformats.org/officeDocument/2006/relationships/hyperlink" Target="https://ref.ly/2Macc14:1-2Macc14:15,2Macc14:26-2Macc14:28" TargetMode="External"/><Relationship Id="rId6658" Type="http://schemas.openxmlformats.org/officeDocument/2006/relationships/hyperlink" Target="https://ref.ly/1Macc10:46-1Macc10:50" TargetMode="External"/><Relationship Id="rId6659" Type="http://schemas.openxmlformats.org/officeDocument/2006/relationships/hyperlink" Target="https://ref.ly/1Macc11:32-1Macc11:37" TargetMode="External"/><Relationship Id="rId6660" Type="http://schemas.openxmlformats.org/officeDocument/2006/relationships/hyperlink" Target="https://ref.ly/1Macc11:54-1Macc11:55" TargetMode="External"/><Relationship Id="rId6661" Type="http://schemas.openxmlformats.org/officeDocument/2006/relationships/hyperlink" Target="https://ref.ly/1Macc13:34-1Macc13:42" TargetMode="External"/><Relationship Id="rId6662" Type="http://schemas.openxmlformats.org/officeDocument/2006/relationships/hyperlink" Target="https://ref.ly/1Macc14:1-1Macc14:3" TargetMode="External"/><Relationship Id="rId6663" Type="http://schemas.openxmlformats.org/officeDocument/2006/relationships/hyperlink" Target="https://ref.ly/3John1:12" TargetMode="External"/><Relationship Id="rId6664" Type="http://schemas.openxmlformats.org/officeDocument/2006/relationships/hyperlink" Target="https://ref.ly/2Cor2:11" TargetMode="External"/><Relationship Id="rId6665" Type="http://schemas.openxmlformats.org/officeDocument/2006/relationships/hyperlink" Target="https://ref.ly/1Cor10:20" TargetMode="External"/><Relationship Id="rId6666" Type="http://schemas.openxmlformats.org/officeDocument/2006/relationships/hyperlink" Target="https://ref.ly/Acts19:12-Acts19:13" TargetMode="External"/><Relationship Id="rId6667" Type="http://schemas.openxmlformats.org/officeDocument/2006/relationships/hyperlink" Target="https://ref.ly/Matt10:1" TargetMode="External"/><Relationship Id="rId6668" Type="http://schemas.openxmlformats.org/officeDocument/2006/relationships/hyperlink" Target="https://ref.ly/Acts5:16" TargetMode="External"/><Relationship Id="rId6669" Type="http://schemas.openxmlformats.org/officeDocument/2006/relationships/hyperlink" Target="https://ref.ly/Luke13:11" TargetMode="External"/><Relationship Id="rId6670" Type="http://schemas.openxmlformats.org/officeDocument/2006/relationships/hyperlink" Target="https://ref.ly/Mark9:25" TargetMode="External"/><Relationship Id="rId6671" Type="http://schemas.openxmlformats.org/officeDocument/2006/relationships/hyperlink" Target="https://ref.ly/Judg9:23" TargetMode="External"/><Relationship Id="rId6672" Type="http://schemas.openxmlformats.org/officeDocument/2006/relationships/hyperlink" Target="https://ref.ly/1Sam16:14-1Sam16:23" TargetMode="External"/><Relationship Id="rId6673" Type="http://schemas.openxmlformats.org/officeDocument/2006/relationships/hyperlink" Target="https://ref.ly/1Sam18:10" TargetMode="External"/><Relationship Id="rId6674" Type="http://schemas.openxmlformats.org/officeDocument/2006/relationships/hyperlink" Target="https://ref.ly/1Sam19:9" TargetMode="External"/><Relationship Id="rId6675" Type="http://schemas.openxmlformats.org/officeDocument/2006/relationships/hyperlink" Target="https://ref.ly/1Kgs22:22-1Kgs22:23" TargetMode="External"/><Relationship Id="rId6676" Type="http://schemas.openxmlformats.org/officeDocument/2006/relationships/hyperlink" Target="https://ref.ly/2Chr18:20-2Chr18:22" TargetMode="External"/><Relationship Id="rId6677" Type="http://schemas.openxmlformats.org/officeDocument/2006/relationships/hyperlink" Target="https://ref.ly/1Chr10:13" TargetMode="External"/><Relationship Id="rId6678" Type="http://schemas.openxmlformats.org/officeDocument/2006/relationships/hyperlink" Target="https://ref.ly/2Chr33:6" TargetMode="External"/><Relationship Id="rId6679" Type="http://schemas.openxmlformats.org/officeDocument/2006/relationships/hyperlink" Target="https://ref.ly/Isa19:14" TargetMode="External"/><Relationship Id="rId6680" Type="http://schemas.openxmlformats.org/officeDocument/2006/relationships/hyperlink" Target="https://ref.ly/Isa29:10" TargetMode="External"/><Relationship Id="rId6681" Type="http://schemas.openxmlformats.org/officeDocument/2006/relationships/hyperlink" Target="https://ref.ly/Hos4:12" TargetMode="External"/><Relationship Id="rId6682" Type="http://schemas.openxmlformats.org/officeDocument/2006/relationships/hyperlink" Target="https://ref.ly/Hos5:4" TargetMode="External"/><Relationship Id="rId6683" Type="http://schemas.openxmlformats.org/officeDocument/2006/relationships/hyperlink" Target="https://ref.ly/Rev12:4" TargetMode="External"/><Relationship Id="rId6684" Type="http://schemas.openxmlformats.org/officeDocument/2006/relationships/hyperlink" Target="https://ref.ly/Heb1:14" TargetMode="External"/><Relationship Id="rId6685" Type="http://schemas.openxmlformats.org/officeDocument/2006/relationships/hyperlink" Target="https://ref.ly/Matt13:3-Matt13:9" TargetMode="External"/><Relationship Id="rId6686" Type="http://schemas.openxmlformats.org/officeDocument/2006/relationships/hyperlink" Target="https://ref.ly/Mark4:1-Mark4:20" TargetMode="External"/><Relationship Id="rId6687" Type="http://schemas.openxmlformats.org/officeDocument/2006/relationships/hyperlink" Target="https://ref.ly/Luke8:4-Luke8:15" TargetMode="External"/><Relationship Id="rId6688" Type="http://schemas.openxmlformats.org/officeDocument/2006/relationships/hyperlink" Target="https://ref.ly/Mark4:15" TargetMode="External"/><Relationship Id="rId6689" Type="http://schemas.openxmlformats.org/officeDocument/2006/relationships/hyperlink" Target="https://ref.ly/Mark4:17" TargetMode="External"/><Relationship Id="rId6690" Type="http://schemas.openxmlformats.org/officeDocument/2006/relationships/hyperlink" Target="https://ref.ly/Mark4:19" TargetMode="External"/><Relationship Id="rId6691" Type="http://schemas.openxmlformats.org/officeDocument/2006/relationships/hyperlink" Target="https://ref.ly/Gen3:1-Gen3:5" TargetMode="External"/><Relationship Id="rId6692" Type="http://schemas.openxmlformats.org/officeDocument/2006/relationships/hyperlink" Target="https://ref.ly/Matt25:41" TargetMode="External"/><Relationship Id="rId6693" Type="http://schemas.openxmlformats.org/officeDocument/2006/relationships/hyperlink" Target="https://ref.ly/Rev20:10" TargetMode="External"/><Relationship Id="rId6694" Type="http://schemas.openxmlformats.org/officeDocument/2006/relationships/hyperlink" Target="https://ref.ly/Rev20:12-Rev20:15" TargetMode="External"/><Relationship Id="rId6695" Type="http://schemas.openxmlformats.org/officeDocument/2006/relationships/hyperlink" Target="https://ref.ly/Acts14:6" TargetMode="External"/><Relationship Id="rId6696" Type="http://schemas.openxmlformats.org/officeDocument/2006/relationships/hyperlink" Target="https://ref.ly/Acts14:20" TargetMode="External"/><Relationship Id="rId6697" Type="http://schemas.openxmlformats.org/officeDocument/2006/relationships/hyperlink" Target="https://ref.ly/Acts16:1" TargetMode="External"/><Relationship Id="rId6698" Type="http://schemas.openxmlformats.org/officeDocument/2006/relationships/hyperlink" Target="https://ref.ly/Gen2:2" TargetMode="External"/><Relationship Id="rId6699" Type="http://schemas.openxmlformats.org/officeDocument/2006/relationships/hyperlink" Target="https://ref.ly/Num14:26-Num14:35" TargetMode="External"/><Relationship Id="rId6700" Type="http://schemas.openxmlformats.org/officeDocument/2006/relationships/hyperlink" Target="https://ref.ly/Ps95:7-Ps95:11" TargetMode="External"/><Relationship Id="rId6701" Type="http://schemas.openxmlformats.org/officeDocument/2006/relationships/hyperlink" Target="https://ref.ly/Heb3:7-Heb3:8" TargetMode="External"/><Relationship Id="rId6702" Type="http://schemas.openxmlformats.org/officeDocument/2006/relationships/hyperlink" Target="https://ref.ly/Heb4:7" TargetMode="External"/><Relationship Id="rId6703" Type="http://schemas.openxmlformats.org/officeDocument/2006/relationships/hyperlink" Target="https://ref.ly/Heb4:8-Heb4:9" TargetMode="External"/><Relationship Id="rId6704" Type="http://schemas.openxmlformats.org/officeDocument/2006/relationships/hyperlink" Target="https://ref.ly/Matt11:28" TargetMode="External"/><Relationship Id="rId6705" Type="http://schemas.openxmlformats.org/officeDocument/2006/relationships/hyperlink" Target="https://ref.ly/Rev14:13" TargetMode="External"/><Relationship Id="rId6706" Type="http://schemas.openxmlformats.org/officeDocument/2006/relationships/hyperlink" Target="https://ref.ly/1John3:2" TargetMode="External"/><Relationship Id="rId6707" Type="http://schemas.openxmlformats.org/officeDocument/2006/relationships/hyperlink" Target="https://ref.ly/2Cor5:1-2Cor5:21" TargetMode="External"/><Relationship Id="rId6708" Type="http://schemas.openxmlformats.org/officeDocument/2006/relationships/hyperlink" Target="https://ref.ly/2Pet3:13" TargetMode="External"/><Relationship Id="rId6709" Type="http://schemas.openxmlformats.org/officeDocument/2006/relationships/hyperlink" Target="https://ref.ly/Rev21:1-Rev21:7" TargetMode="External"/><Relationship Id="rId6710" Type="http://schemas.openxmlformats.org/officeDocument/2006/relationships/hyperlink" Target="https://ref.ly/Rom8:19-Rom8:25" TargetMode="External"/><Relationship Id="rId6711" Type="http://schemas.openxmlformats.org/officeDocument/2006/relationships/hyperlink" Target="https://ref.ly/John5:17" TargetMode="External"/><Relationship Id="rId6712" Type="http://schemas.openxmlformats.org/officeDocument/2006/relationships/hyperlink" Target="https://ref.ly/Rev4:8-Rev4:11" TargetMode="External"/><Relationship Id="rId6713" Type="http://schemas.openxmlformats.org/officeDocument/2006/relationships/hyperlink" Target="https://ref.ly/Rev5:8-Rev5:14" TargetMode="External"/><Relationship Id="rId6714" Type="http://schemas.openxmlformats.org/officeDocument/2006/relationships/hyperlink" Target="https://ref.ly/Rev7:9-Rev7:12" TargetMode="External"/><Relationship Id="rId6715" Type="http://schemas.openxmlformats.org/officeDocument/2006/relationships/hyperlink" Target="https://ref.ly/Heb4:11" TargetMode="External"/><Relationship Id="rId6716" Type="http://schemas.openxmlformats.org/officeDocument/2006/relationships/hyperlink" Target="https://ref.ly/Luke7:34" TargetMode="External"/><Relationship Id="rId6717" Type="http://schemas.openxmlformats.org/officeDocument/2006/relationships/hyperlink" Target="https://ref.ly/John2:1-John2:11" TargetMode="External"/><Relationship Id="rId6718" Type="http://schemas.openxmlformats.org/officeDocument/2006/relationships/hyperlink" Target="https://ref.ly/1Sam15:23" TargetMode="External"/><Relationship Id="rId6719" Type="http://schemas.openxmlformats.org/officeDocument/2006/relationships/hyperlink" Target="https://ref.ly/Ps37:4" TargetMode="External"/><Relationship Id="rId6720" Type="http://schemas.openxmlformats.org/officeDocument/2006/relationships/hyperlink" Target="https://ref.ly/Ps145:16" TargetMode="External"/><Relationship Id="rId6721" Type="http://schemas.openxmlformats.org/officeDocument/2006/relationships/hyperlink" Target="https://ref.ly/Prov10:24" TargetMode="External"/><Relationship Id="rId6722" Type="http://schemas.openxmlformats.org/officeDocument/2006/relationships/hyperlink" Target="https://ref.ly/Matt6:33" TargetMode="External"/><Relationship Id="rId6723" Type="http://schemas.openxmlformats.org/officeDocument/2006/relationships/hyperlink" Target="https://ref.ly/Deut32:10" TargetMode="External"/><Relationship Id="rId6724" Type="http://schemas.openxmlformats.org/officeDocument/2006/relationships/hyperlink" Target="https://ref.ly/Exod3:1" TargetMode="External"/><Relationship Id="rId6725" Type="http://schemas.openxmlformats.org/officeDocument/2006/relationships/hyperlink" Target="https://ref.ly/Ps65:12" TargetMode="External"/><Relationship Id="rId6726" Type="http://schemas.openxmlformats.org/officeDocument/2006/relationships/hyperlink" Target="https://ref.ly/Jer23:10" TargetMode="External"/><Relationship Id="rId6727" Type="http://schemas.openxmlformats.org/officeDocument/2006/relationships/hyperlink" Target="https://ref.ly/Gen16:7" TargetMode="External"/><Relationship Id="rId6728" Type="http://schemas.openxmlformats.org/officeDocument/2006/relationships/hyperlink" Target="https://ref.ly/1Sam17:28" TargetMode="External"/><Relationship Id="rId6729" Type="http://schemas.openxmlformats.org/officeDocument/2006/relationships/hyperlink" Target="https://ref.ly/Matt3:1" TargetMode="External"/><Relationship Id="rId6730" Type="http://schemas.openxmlformats.org/officeDocument/2006/relationships/hyperlink" Target="https://ref.ly/Mark1:13" TargetMode="External"/><Relationship Id="rId6731" Type="http://schemas.openxmlformats.org/officeDocument/2006/relationships/hyperlink" Target="https://ref.ly/Luke15:4" TargetMode="External"/><Relationship Id="rId6732" Type="http://schemas.openxmlformats.org/officeDocument/2006/relationships/hyperlink" Target="https://ref.ly/Num14:33" TargetMode="External"/><Relationship Id="rId6733" Type="http://schemas.openxmlformats.org/officeDocument/2006/relationships/hyperlink" Target="https://ref.ly/Job38:26" TargetMode="External"/><Relationship Id="rId6734" Type="http://schemas.openxmlformats.org/officeDocument/2006/relationships/hyperlink" Target="https://ref.ly/Prov21:19" TargetMode="External"/><Relationship Id="rId6735" Type="http://schemas.openxmlformats.org/officeDocument/2006/relationships/hyperlink" Target="https://ref.ly/Jer9:2" TargetMode="External"/><Relationship Id="rId6736" Type="http://schemas.openxmlformats.org/officeDocument/2006/relationships/hyperlink" Target="https://ref.ly/Hos2:3" TargetMode="External"/><Relationship Id="rId6737" Type="http://schemas.openxmlformats.org/officeDocument/2006/relationships/hyperlink" Target="https://ref.ly/Jer2:31" TargetMode="External"/><Relationship Id="rId6738" Type="http://schemas.openxmlformats.org/officeDocument/2006/relationships/hyperlink" Target="https://ref.ly/Isa33:9" TargetMode="External"/><Relationship Id="rId6739" Type="http://schemas.openxmlformats.org/officeDocument/2006/relationships/hyperlink" Target="https://ref.ly/Jer51:43" TargetMode="External"/><Relationship Id="rId6740" Type="http://schemas.openxmlformats.org/officeDocument/2006/relationships/hyperlink" Target="https://ref.ly/Num22:1" TargetMode="External"/><Relationship Id="rId6741" Type="http://schemas.openxmlformats.org/officeDocument/2006/relationships/hyperlink" Target="https://ref.ly/Num26:3" TargetMode="External"/><Relationship Id="rId6742" Type="http://schemas.openxmlformats.org/officeDocument/2006/relationships/hyperlink" Target="https://ref.ly/Deut34:1" TargetMode="External"/><Relationship Id="rId6743" Type="http://schemas.openxmlformats.org/officeDocument/2006/relationships/hyperlink" Target="https://ref.ly/Josh4:13" TargetMode="External"/><Relationship Id="rId6744" Type="http://schemas.openxmlformats.org/officeDocument/2006/relationships/hyperlink" Target="https://ref.ly/Josh5:10" TargetMode="External"/><Relationship Id="rId6745" Type="http://schemas.openxmlformats.org/officeDocument/2006/relationships/hyperlink" Target="https://ref.ly/2Kgs25:5" TargetMode="External"/><Relationship Id="rId6746" Type="http://schemas.openxmlformats.org/officeDocument/2006/relationships/hyperlink" Target="https://ref.ly/Isa1:7" TargetMode="External"/><Relationship Id="rId6747" Type="http://schemas.openxmlformats.org/officeDocument/2006/relationships/hyperlink" Target="https://ref.ly/Isa5:9" TargetMode="External"/><Relationship Id="rId6748" Type="http://schemas.openxmlformats.org/officeDocument/2006/relationships/hyperlink" Target="https://ref.ly/Isa6:11" TargetMode="External"/><Relationship Id="rId6749" Type="http://schemas.openxmlformats.org/officeDocument/2006/relationships/hyperlink" Target="https://ref.ly/Jer42:18" TargetMode="External"/><Relationship Id="rId6750" Type="http://schemas.openxmlformats.org/officeDocument/2006/relationships/hyperlink" Target="https://ref.ly/Ezek35:7" TargetMode="External"/><Relationship Id="rId6751" Type="http://schemas.openxmlformats.org/officeDocument/2006/relationships/hyperlink" Target="https://ref.ly/Lev26:31" TargetMode="External"/><Relationship Id="rId6752" Type="http://schemas.openxmlformats.org/officeDocument/2006/relationships/hyperlink" Target="https://ref.ly/Job3:14" TargetMode="External"/><Relationship Id="rId6753" Type="http://schemas.openxmlformats.org/officeDocument/2006/relationships/hyperlink" Target="https://ref.ly/Ps9:6" TargetMode="External"/><Relationship Id="rId6754" Type="http://schemas.openxmlformats.org/officeDocument/2006/relationships/hyperlink" Target="https://ref.ly/Ps109:10" TargetMode="External"/><Relationship Id="rId6755" Type="http://schemas.openxmlformats.org/officeDocument/2006/relationships/hyperlink" Target="https://ref.ly/Isa5:17" TargetMode="External"/><Relationship Id="rId6756" Type="http://schemas.openxmlformats.org/officeDocument/2006/relationships/hyperlink" Target="https://ref.ly/Isa44:26" TargetMode="External"/><Relationship Id="rId6757" Type="http://schemas.openxmlformats.org/officeDocument/2006/relationships/hyperlink" Target="https://ref.ly/Isa51:3" TargetMode="External"/><Relationship Id="rId6758" Type="http://schemas.openxmlformats.org/officeDocument/2006/relationships/hyperlink" Target="https://ref.ly/Isa52:9" TargetMode="External"/><Relationship Id="rId6759" Type="http://schemas.openxmlformats.org/officeDocument/2006/relationships/hyperlink" Target="https://ref.ly/Ezek5:14" TargetMode="External"/><Relationship Id="rId6760" Type="http://schemas.openxmlformats.org/officeDocument/2006/relationships/hyperlink" Target="https://ref.ly/Isa48:21" TargetMode="External"/><Relationship Id="rId6761" Type="http://schemas.openxmlformats.org/officeDocument/2006/relationships/hyperlink" Target="https://ref.ly/Ps78:40" TargetMode="External"/><Relationship Id="rId6762" Type="http://schemas.openxmlformats.org/officeDocument/2006/relationships/hyperlink" Target="https://ref.ly/Isa43:19-Isa43:20" TargetMode="External"/><Relationship Id="rId6763" Type="http://schemas.openxmlformats.org/officeDocument/2006/relationships/hyperlink" Target="https://ref.ly/Num21:20" TargetMode="External"/><Relationship Id="rId6764" Type="http://schemas.openxmlformats.org/officeDocument/2006/relationships/hyperlink" Target="https://ref.ly/1Sam23:24" TargetMode="External"/><Relationship Id="rId6765" Type="http://schemas.openxmlformats.org/officeDocument/2006/relationships/hyperlink" Target="https://ref.ly/1Sam26:1" TargetMode="External"/><Relationship Id="rId6766" Type="http://schemas.openxmlformats.org/officeDocument/2006/relationships/hyperlink" Target="https://ref.ly/Matt24:26" TargetMode="External"/><Relationship Id="rId6767" Type="http://schemas.openxmlformats.org/officeDocument/2006/relationships/hyperlink" Target="https://ref.ly/Luke5:16" TargetMode="External"/><Relationship Id="rId6768" Type="http://schemas.openxmlformats.org/officeDocument/2006/relationships/hyperlink" Target="https://ref.ly/John6:31" TargetMode="External"/><Relationship Id="rId6769" Type="http://schemas.openxmlformats.org/officeDocument/2006/relationships/hyperlink" Target="https://ref.ly/Deut32:17" TargetMode="External"/><Relationship Id="rId6770" Type="http://schemas.openxmlformats.org/officeDocument/2006/relationships/hyperlink" Target="https://ref.ly/Isa34:13-Isa34:14" TargetMode="External"/><Relationship Id="rId6771" Type="http://schemas.openxmlformats.org/officeDocument/2006/relationships/hyperlink" Target="https://ref.ly/Job26:7" TargetMode="External"/><Relationship Id="rId6772" Type="http://schemas.openxmlformats.org/officeDocument/2006/relationships/hyperlink" Target="https://ref.ly/Isa41:18-Isa41:20" TargetMode="External"/><Relationship Id="rId6773" Type="http://schemas.openxmlformats.org/officeDocument/2006/relationships/hyperlink" Target="https://ref.ly/Deut32:10-Deut32:12" TargetMode="External"/><Relationship Id="rId6774" Type="http://schemas.openxmlformats.org/officeDocument/2006/relationships/hyperlink" Target="https://ref.ly/Hos2:14-Hos2:15" TargetMode="External"/><Relationship Id="rId6775" Type="http://schemas.openxmlformats.org/officeDocument/2006/relationships/hyperlink" Target="https://ref.ly/Ps91:1-Ps91:16" TargetMode="External"/><Relationship Id="rId6776" Type="http://schemas.openxmlformats.org/officeDocument/2006/relationships/hyperlink" Target="https://ref.ly/1Kgs19:4-1Kgs19:8" TargetMode="External"/><Relationship Id="rId6777" Type="http://schemas.openxmlformats.org/officeDocument/2006/relationships/hyperlink" Target="https://ref.ly/Matt3:1-Matt3:6" TargetMode="External"/><Relationship Id="rId6778" Type="http://schemas.openxmlformats.org/officeDocument/2006/relationships/hyperlink" Target="https://ref.ly/Exod16:1" TargetMode="External"/><Relationship Id="rId6779" Type="http://schemas.openxmlformats.org/officeDocument/2006/relationships/hyperlink" Target="https://ref.ly/Num33:11-Num33:12" TargetMode="External"/><Relationship Id="rId6780" Type="http://schemas.openxmlformats.org/officeDocument/2006/relationships/hyperlink" Target="https://ref.ly/Isa65:11" TargetMode="External"/><Relationship Id="rId6781" Type="http://schemas.openxmlformats.org/officeDocument/2006/relationships/hyperlink" Target="https://ref.ly/Exod19:5-Exod19:6" TargetMode="External"/><Relationship Id="rId6782" Type="http://schemas.openxmlformats.org/officeDocument/2006/relationships/hyperlink" Target="https://ref.ly/Acts17:30-Acts17:31" TargetMode="External"/><Relationship Id="rId6783" Type="http://schemas.openxmlformats.org/officeDocument/2006/relationships/hyperlink" Target="https://ref.ly/1John5:1-1John5:5" TargetMode="External"/><Relationship Id="rId6784" Type="http://schemas.openxmlformats.org/officeDocument/2006/relationships/hyperlink" Target="https://ref.ly/Num1:14" TargetMode="External"/><Relationship Id="rId6785" Type="http://schemas.openxmlformats.org/officeDocument/2006/relationships/hyperlink" Target="https://ref.ly/Num7:42,Num7:47" TargetMode="External"/><Relationship Id="rId6786" Type="http://schemas.openxmlformats.org/officeDocument/2006/relationships/hyperlink" Target="https://ref.ly/Num10:20" TargetMode="External"/><Relationship Id="rId6787" Type="http://schemas.openxmlformats.org/officeDocument/2006/relationships/hyperlink" Target="https://ref.ly/Num2:14" TargetMode="External"/><Relationship Id="rId6788" Type="http://schemas.openxmlformats.org/officeDocument/2006/relationships/hyperlink" Target="https://ref.ly/Matt5:45" TargetMode="External"/><Relationship Id="rId6789" Type="http://schemas.openxmlformats.org/officeDocument/2006/relationships/hyperlink" Target="https://ref.ly/Luke6:35" TargetMode="External"/><Relationship Id="rId6790" Type="http://schemas.openxmlformats.org/officeDocument/2006/relationships/hyperlink" Target="https://ref.ly/Acts14:16-Acts14:17" TargetMode="External"/><Relationship Id="rId6791" Type="http://schemas.openxmlformats.org/officeDocument/2006/relationships/hyperlink" Target="https://ref.ly/Gen2:4" TargetMode="External"/><Relationship Id="rId6792" Type="http://schemas.openxmlformats.org/officeDocument/2006/relationships/hyperlink" Target="https://ref.ly/Exod6:2-Exod6:5" TargetMode="External"/><Relationship Id="rId6793" Type="http://schemas.openxmlformats.org/officeDocument/2006/relationships/hyperlink" Target="https://ref.ly/Exod3:15" TargetMode="External"/><Relationship Id="rId6794" Type="http://schemas.openxmlformats.org/officeDocument/2006/relationships/hyperlink" Target="https://ref.ly/Exod5:1-Exod5:3" TargetMode="External"/><Relationship Id="rId6795" Type="http://schemas.openxmlformats.org/officeDocument/2006/relationships/hyperlink" Target="https://ref.ly/Num14:18" TargetMode="External"/><Relationship Id="rId6796" Type="http://schemas.openxmlformats.org/officeDocument/2006/relationships/hyperlink" Target="https://ref.ly/Neh9:17" TargetMode="External"/><Relationship Id="rId6797" Type="http://schemas.openxmlformats.org/officeDocument/2006/relationships/hyperlink" Target="https://ref.ly/Ps103:8" TargetMode="External"/><Relationship Id="rId6798" Type="http://schemas.openxmlformats.org/officeDocument/2006/relationships/hyperlink" Target="https://ref.ly/Jer32:18" TargetMode="External"/><Relationship Id="rId6799" Type="http://schemas.openxmlformats.org/officeDocument/2006/relationships/hyperlink" Target="https://ref.ly/Jonah4:2" TargetMode="External"/><Relationship Id="rId6800" Type="http://schemas.openxmlformats.org/officeDocument/2006/relationships/hyperlink" Target="https://ref.ly/Ps139:6" TargetMode="External"/><Relationship Id="rId6801" Type="http://schemas.openxmlformats.org/officeDocument/2006/relationships/hyperlink" Target="https://ref.ly/Ps145:3" TargetMode="External"/><Relationship Id="rId6802" Type="http://schemas.openxmlformats.org/officeDocument/2006/relationships/hyperlink" Target="https://ref.ly/Isa40:28" TargetMode="External"/><Relationship Id="rId6803" Type="http://schemas.openxmlformats.org/officeDocument/2006/relationships/hyperlink" Target="https://ref.ly/Isa55:8-Isa55:9" TargetMode="External"/><Relationship Id="rId6804" Type="http://schemas.openxmlformats.org/officeDocument/2006/relationships/hyperlink" Target="https://ref.ly/Matt11:25-Matt11:27" TargetMode="External"/><Relationship Id="rId6805" Type="http://schemas.openxmlformats.org/officeDocument/2006/relationships/hyperlink" Target="https://ref.ly/Rom11:33-Rom11:36" TargetMode="External"/><Relationship Id="rId6806" Type="http://schemas.openxmlformats.org/officeDocument/2006/relationships/hyperlink" Target="https://ref.ly/1Cor2:6-1Cor2:16" TargetMode="External"/><Relationship Id="rId6807" Type="http://schemas.openxmlformats.org/officeDocument/2006/relationships/hyperlink" Target="https://ref.ly/1Cor13:8-1Cor13:13" TargetMode="External"/><Relationship Id="rId6808" Type="http://schemas.openxmlformats.org/officeDocument/2006/relationships/hyperlink" Target="https://ref.ly/Mark12:29" TargetMode="External"/><Relationship Id="rId6809" Type="http://schemas.openxmlformats.org/officeDocument/2006/relationships/hyperlink" Target="https://ref.ly/Exod20:3" TargetMode="External"/><Relationship Id="rId6810" Type="http://schemas.openxmlformats.org/officeDocument/2006/relationships/hyperlink" Target="https://ref.ly/Exod33:20" TargetMode="External"/><Relationship Id="rId6811" Type="http://schemas.openxmlformats.org/officeDocument/2006/relationships/hyperlink" Target="https://ref.ly/John4:24" TargetMode="External"/><Relationship Id="rId6812" Type="http://schemas.openxmlformats.org/officeDocument/2006/relationships/hyperlink" Target="https://ref.ly/John5:26" TargetMode="External"/><Relationship Id="rId6813" Type="http://schemas.openxmlformats.org/officeDocument/2006/relationships/hyperlink" Target="https://ref.ly/Acts17:25" TargetMode="External"/><Relationship Id="rId6814" Type="http://schemas.openxmlformats.org/officeDocument/2006/relationships/hyperlink" Target="https://ref.ly/Exod3:14" TargetMode="External"/><Relationship Id="rId6815" Type="http://schemas.openxmlformats.org/officeDocument/2006/relationships/hyperlink" Target="https://ref.ly/Jas1:17" TargetMode="External"/><Relationship Id="rId6816" Type="http://schemas.openxmlformats.org/officeDocument/2006/relationships/hyperlink" Target="https://ref.ly/Heb6:17" TargetMode="External"/><Relationship Id="rId6817" Type="http://schemas.openxmlformats.org/officeDocument/2006/relationships/hyperlink" Target="https://ref.ly/1Sam15:29" TargetMode="External"/><Relationship Id="rId6818" Type="http://schemas.openxmlformats.org/officeDocument/2006/relationships/hyperlink" Target="https://ref.ly/Num23:19" TargetMode="External"/><Relationship Id="rId6819" Type="http://schemas.openxmlformats.org/officeDocument/2006/relationships/hyperlink" Target="https://ref.ly/Mal3:6" TargetMode="External"/><Relationship Id="rId6820" Type="http://schemas.openxmlformats.org/officeDocument/2006/relationships/hyperlink" Target="https://ref.ly/Heb13:8-Heb13:9" TargetMode="External"/><Relationship Id="rId6821" Type="http://schemas.openxmlformats.org/officeDocument/2006/relationships/hyperlink" Target="https://ref.ly/Gen6:6-Gen6:7" TargetMode="External"/><Relationship Id="rId6822" Type="http://schemas.openxmlformats.org/officeDocument/2006/relationships/hyperlink" Target="https://ref.ly/1Sam15:11" TargetMode="External"/><Relationship Id="rId6823" Type="http://schemas.openxmlformats.org/officeDocument/2006/relationships/hyperlink" Target="https://ref.ly/Jonah3:10" TargetMode="External"/><Relationship Id="rId6824" Type="http://schemas.openxmlformats.org/officeDocument/2006/relationships/hyperlink" Target="https://ref.ly/Ps110:4" TargetMode="External"/><Relationship Id="rId6825" Type="http://schemas.openxmlformats.org/officeDocument/2006/relationships/hyperlink" Target="https://ref.ly/Isa46:10" TargetMode="External"/><Relationship Id="rId6826" Type="http://schemas.openxmlformats.org/officeDocument/2006/relationships/hyperlink" Target="https://ref.ly/Jer18:7-Jer18:10" TargetMode="External"/><Relationship Id="rId6827" Type="http://schemas.openxmlformats.org/officeDocument/2006/relationships/hyperlink" Target="https://ref.ly/Eph1:11" TargetMode="External"/><Relationship Id="rId6828" Type="http://schemas.openxmlformats.org/officeDocument/2006/relationships/hyperlink" Target="https://ref.ly/Deut33:27" TargetMode="External"/><Relationship Id="rId6829" Type="http://schemas.openxmlformats.org/officeDocument/2006/relationships/hyperlink" Target="https://ref.ly/1Tim1:17" TargetMode="External"/><Relationship Id="rId6830" Type="http://schemas.openxmlformats.org/officeDocument/2006/relationships/hyperlink" Target="https://ref.ly/Ps102:27" TargetMode="External"/><Relationship Id="rId6831" Type="http://schemas.openxmlformats.org/officeDocument/2006/relationships/hyperlink" Target="https://ref.ly/2Pet3:8" TargetMode="External"/><Relationship Id="rId6832" Type="http://schemas.openxmlformats.org/officeDocument/2006/relationships/hyperlink" Target="https://ref.ly/Gal4:4" TargetMode="External"/><Relationship Id="rId6833" Type="http://schemas.openxmlformats.org/officeDocument/2006/relationships/hyperlink" Target="https://ref.ly/Jer23:23-Jer23:24" TargetMode="External"/><Relationship Id="rId6834" Type="http://schemas.openxmlformats.org/officeDocument/2006/relationships/hyperlink" Target="https://ref.ly/Isa66:1" TargetMode="External"/><Relationship Id="rId6835" Type="http://schemas.openxmlformats.org/officeDocument/2006/relationships/hyperlink" Target="https://ref.ly/Acts17:24" TargetMode="External"/><Relationship Id="rId6836" Type="http://schemas.openxmlformats.org/officeDocument/2006/relationships/hyperlink" Target="https://ref.ly/Ps139:6-Ps139:12" TargetMode="External"/><Relationship Id="rId6837" Type="http://schemas.openxmlformats.org/officeDocument/2006/relationships/hyperlink" Target="https://ref.ly/1John3:20" TargetMode="External"/><Relationship Id="rId6838" Type="http://schemas.openxmlformats.org/officeDocument/2006/relationships/hyperlink" Target="https://ref.ly/Ps139:4" TargetMode="External"/><Relationship Id="rId6839" Type="http://schemas.openxmlformats.org/officeDocument/2006/relationships/hyperlink" Target="https://ref.ly/Ps94:11" TargetMode="External"/><Relationship Id="rId6840" Type="http://schemas.openxmlformats.org/officeDocument/2006/relationships/hyperlink" Target="https://ref.ly/Ps139:1-Ps139:5" TargetMode="External"/><Relationship Id="rId6841" Type="http://schemas.openxmlformats.org/officeDocument/2006/relationships/hyperlink" Target="https://ref.ly/2Cor10:5" TargetMode="External"/><Relationship Id="rId6842" Type="http://schemas.openxmlformats.org/officeDocument/2006/relationships/hyperlink" Target="https://ref.ly/Col3:10" TargetMode="External"/><Relationship Id="rId6843" Type="http://schemas.openxmlformats.org/officeDocument/2006/relationships/hyperlink" Target="https://ref.ly/Ps104:24" TargetMode="External"/><Relationship Id="rId6844" Type="http://schemas.openxmlformats.org/officeDocument/2006/relationships/hyperlink" Target="https://ref.ly/Prov3:19" TargetMode="External"/><Relationship Id="rId6845" Type="http://schemas.openxmlformats.org/officeDocument/2006/relationships/hyperlink" Target="https://ref.ly/Gen50:20" TargetMode="External"/><Relationship Id="rId6846" Type="http://schemas.openxmlformats.org/officeDocument/2006/relationships/hyperlink" Target="https://ref.ly/1Cor1:24" TargetMode="External"/><Relationship Id="rId6847" Type="http://schemas.openxmlformats.org/officeDocument/2006/relationships/hyperlink" Target="https://ref.ly/Prov3:21" TargetMode="External"/><Relationship Id="rId6848" Type="http://schemas.openxmlformats.org/officeDocument/2006/relationships/hyperlink" Target="https://ref.ly/Job28:28" TargetMode="External"/><Relationship Id="rId6849" Type="http://schemas.openxmlformats.org/officeDocument/2006/relationships/hyperlink" Target="https://ref.ly/Ps111:10" TargetMode="External"/><Relationship Id="rId6850" Type="http://schemas.openxmlformats.org/officeDocument/2006/relationships/hyperlink" Target="https://ref.ly/Prov9:10" TargetMode="External"/><Relationship Id="rId6851" Type="http://schemas.openxmlformats.org/officeDocument/2006/relationships/hyperlink" Target="https://ref.ly/1Cor4:10" TargetMode="External"/><Relationship Id="rId6852" Type="http://schemas.openxmlformats.org/officeDocument/2006/relationships/hyperlink" Target="https://ref.ly/2Tim2:13" TargetMode="External"/><Relationship Id="rId6853" Type="http://schemas.openxmlformats.org/officeDocument/2006/relationships/hyperlink" Target="https://ref.ly/1John1:5" TargetMode="External"/><Relationship Id="rId6854" Type="http://schemas.openxmlformats.org/officeDocument/2006/relationships/hyperlink" Target="https://ref.ly/1John1:6-1John1:7" TargetMode="External"/><Relationship Id="rId6855" Type="http://schemas.openxmlformats.org/officeDocument/2006/relationships/hyperlink" Target="https://ref.ly/Mark10:18" TargetMode="External"/><Relationship Id="rId6856" Type="http://schemas.openxmlformats.org/officeDocument/2006/relationships/hyperlink" Target="https://ref.ly/Luke18:19" TargetMode="External"/><Relationship Id="rId6857" Type="http://schemas.openxmlformats.org/officeDocument/2006/relationships/hyperlink" Target="https://ref.ly/1Chr16:34" TargetMode="External"/><Relationship Id="rId6858" Type="http://schemas.openxmlformats.org/officeDocument/2006/relationships/hyperlink" Target="https://ref.ly/2Chr5:13" TargetMode="External"/><Relationship Id="rId6859" Type="http://schemas.openxmlformats.org/officeDocument/2006/relationships/hyperlink" Target="https://ref.ly/Ps106:1" TargetMode="External"/><Relationship Id="rId6860" Type="http://schemas.openxmlformats.org/officeDocument/2006/relationships/hyperlink" Target="https://ref.ly/Ps107:1" TargetMode="External"/><Relationship Id="rId6861" Type="http://schemas.openxmlformats.org/officeDocument/2006/relationships/hyperlink" Target="https://ref.ly/Ps118:1" TargetMode="External"/><Relationship Id="rId6862" Type="http://schemas.openxmlformats.org/officeDocument/2006/relationships/hyperlink" Target="https://ref.ly/Ps136:1" TargetMode="External"/><Relationship Id="rId6863" Type="http://schemas.openxmlformats.org/officeDocument/2006/relationships/hyperlink" Target="https://ref.ly/Jer33:11" TargetMode="External"/><Relationship Id="rId6864" Type="http://schemas.openxmlformats.org/officeDocument/2006/relationships/hyperlink" Target="https://ref.ly/Luke6:27-Luke6:36" TargetMode="External"/><Relationship Id="rId6865" Type="http://schemas.openxmlformats.org/officeDocument/2006/relationships/hyperlink" Target="https://ref.ly/John3:35" TargetMode="External"/><Relationship Id="rId6866" Type="http://schemas.openxmlformats.org/officeDocument/2006/relationships/hyperlink" Target="https://ref.ly/John17:24" TargetMode="External"/><Relationship Id="rId6867" Type="http://schemas.openxmlformats.org/officeDocument/2006/relationships/hyperlink" Target="https://ref.ly/Eph1:6-Eph1:8" TargetMode="External"/><Relationship Id="rId6868" Type="http://schemas.openxmlformats.org/officeDocument/2006/relationships/hyperlink" Target="https://ref.ly/Eph2:7-Eph2:9" TargetMode="External"/><Relationship Id="rId6869" Type="http://schemas.openxmlformats.org/officeDocument/2006/relationships/hyperlink" Target="https://ref.ly/Heb7:26" TargetMode="External"/><Relationship Id="rId6870" Type="http://schemas.openxmlformats.org/officeDocument/2006/relationships/hyperlink" Target="https://ref.ly/Ps78:41" TargetMode="External"/><Relationship Id="rId6871" Type="http://schemas.openxmlformats.org/officeDocument/2006/relationships/hyperlink" Target="https://ref.ly/Ps89:18" TargetMode="External"/><Relationship Id="rId6872" Type="http://schemas.openxmlformats.org/officeDocument/2006/relationships/hyperlink" Target="https://ref.ly/Ps99:3" TargetMode="External"/><Relationship Id="rId6873" Type="http://schemas.openxmlformats.org/officeDocument/2006/relationships/hyperlink" Target="https://ref.ly/Ps111:9" TargetMode="External"/><Relationship Id="rId6874" Type="http://schemas.openxmlformats.org/officeDocument/2006/relationships/hyperlink" Target="https://ref.ly/Isa12:6" TargetMode="External"/><Relationship Id="rId6875" Type="http://schemas.openxmlformats.org/officeDocument/2006/relationships/hyperlink" Target="https://ref.ly/Jer51:5" TargetMode="External"/><Relationship Id="rId6876" Type="http://schemas.openxmlformats.org/officeDocument/2006/relationships/hyperlink" Target="https://ref.ly/Rev15:4" TargetMode="External"/><Relationship Id="rId6877" Type="http://schemas.openxmlformats.org/officeDocument/2006/relationships/hyperlink" Target="https://ref.ly/Isa6:3" TargetMode="External"/><Relationship Id="rId6878" Type="http://schemas.openxmlformats.org/officeDocument/2006/relationships/hyperlink" Target="https://ref.ly/Rev4:8" TargetMode="External"/><Relationship Id="rId6879" Type="http://schemas.openxmlformats.org/officeDocument/2006/relationships/hyperlink" Target="https://ref.ly/Lev11:44-Lev11:45" TargetMode="External"/><Relationship Id="rId6880" Type="http://schemas.openxmlformats.org/officeDocument/2006/relationships/hyperlink" Target="https://ref.ly/1Pet1:14-1Pet1:15" TargetMode="External"/><Relationship Id="rId6881" Type="http://schemas.openxmlformats.org/officeDocument/2006/relationships/hyperlink" Target="https://ref.ly/Heb12:10" TargetMode="External"/><Relationship Id="rId6882" Type="http://schemas.openxmlformats.org/officeDocument/2006/relationships/hyperlink" Target="https://ref.ly/Matt28:18" TargetMode="External"/><Relationship Id="rId6883" Type="http://schemas.openxmlformats.org/officeDocument/2006/relationships/hyperlink" Target="https://ref.ly/1Tim6:15" TargetMode="External"/><Relationship Id="rId6884" Type="http://schemas.openxmlformats.org/officeDocument/2006/relationships/hyperlink" Target="https://ref.ly/Deut6:4-Deut6:5" TargetMode="External"/><Relationship Id="rId6885" Type="http://schemas.openxmlformats.org/officeDocument/2006/relationships/hyperlink" Target="https://ref.ly/Matt22:37-Matt22:40" TargetMode="External"/><Relationship Id="rId6886" Type="http://schemas.openxmlformats.org/officeDocument/2006/relationships/hyperlink" Target="https://ref.ly/1John5:3" TargetMode="External"/><Relationship Id="rId6887" Type="http://schemas.openxmlformats.org/officeDocument/2006/relationships/hyperlink" Target="https://ref.ly/Gen18:14" TargetMode="External"/><Relationship Id="rId6888" Type="http://schemas.openxmlformats.org/officeDocument/2006/relationships/hyperlink" Target="https://ref.ly/Jer32:27" TargetMode="External"/><Relationship Id="rId6889" Type="http://schemas.openxmlformats.org/officeDocument/2006/relationships/hyperlink" Target="https://ref.ly/Matt19:26" TargetMode="External"/><Relationship Id="rId6890" Type="http://schemas.openxmlformats.org/officeDocument/2006/relationships/hyperlink" Target="https://ref.ly/Luke1:37" TargetMode="External"/><Relationship Id="rId6891" Type="http://schemas.openxmlformats.org/officeDocument/2006/relationships/hyperlink" Target="https://ref.ly/Heb6:18" TargetMode="External"/><Relationship Id="rId6892" Type="http://schemas.openxmlformats.org/officeDocument/2006/relationships/hyperlink" Target="https://ref.ly/Eph1:19-Eph1:20" TargetMode="External"/><Relationship Id="rId6893" Type="http://schemas.openxmlformats.org/officeDocument/2006/relationships/hyperlink" Target="https://ref.ly/Acts7:2" TargetMode="External"/><Relationship Id="rId6894" Type="http://schemas.openxmlformats.org/officeDocument/2006/relationships/hyperlink" Target="https://ref.ly/Exod33:18-Exod33:19" TargetMode="External"/><Relationship Id="rId6895" Type="http://schemas.openxmlformats.org/officeDocument/2006/relationships/hyperlink" Target="https://ref.ly/Eph1:17" TargetMode="External"/><Relationship Id="rId6896" Type="http://schemas.openxmlformats.org/officeDocument/2006/relationships/hyperlink" Target="https://ref.ly/Ps19:1" TargetMode="External"/><Relationship Id="rId6897" Type="http://schemas.openxmlformats.org/officeDocument/2006/relationships/hyperlink" Target="https://ref.ly/Phil2:11" TargetMode="External"/><Relationship Id="rId6898" Type="http://schemas.openxmlformats.org/officeDocument/2006/relationships/hyperlink" Target="https://ref.ly/Isa45:18,Isa45:21-Isa45:22" TargetMode="External"/><Relationship Id="rId6899" Type="http://schemas.openxmlformats.org/officeDocument/2006/relationships/hyperlink" Target="https://ref.ly/Mark12:32" TargetMode="External"/><Relationship Id="rId6900" Type="http://schemas.openxmlformats.org/officeDocument/2006/relationships/hyperlink" Target="https://ref.ly/1Sam7:3" TargetMode="External"/><Relationship Id="rId6901" Type="http://schemas.openxmlformats.org/officeDocument/2006/relationships/hyperlink" Target="https://ref.ly/Isa46:1" TargetMode="External"/><Relationship Id="rId6902" Type="http://schemas.openxmlformats.org/officeDocument/2006/relationships/hyperlink" Target="https://ref.ly/Jer50:2" TargetMode="External"/><Relationship Id="rId6903" Type="http://schemas.openxmlformats.org/officeDocument/2006/relationships/hyperlink" Target="https://ref.ly/Jer51:44" TargetMode="External"/><Relationship Id="rId6904" Type="http://schemas.openxmlformats.org/officeDocument/2006/relationships/hyperlink" Target="https://ref.ly/Amos5:26" TargetMode="External"/><Relationship Id="rId6905" Type="http://schemas.openxmlformats.org/officeDocument/2006/relationships/hyperlink" Target="https://ref.ly/2Kgs17:30" TargetMode="External"/><Relationship Id="rId6906" Type="http://schemas.openxmlformats.org/officeDocument/2006/relationships/hyperlink" Target="https://ref.ly/Acts7:43" TargetMode="External"/><Relationship Id="rId6907" Type="http://schemas.openxmlformats.org/officeDocument/2006/relationships/hyperlink" Target="https://ref.ly/Ezek8:14" TargetMode="External"/><Relationship Id="rId6908" Type="http://schemas.openxmlformats.org/officeDocument/2006/relationships/hyperlink" Target="https://ref.ly/2Kgs5:18" TargetMode="External"/><Relationship Id="rId6909" Type="http://schemas.openxmlformats.org/officeDocument/2006/relationships/hyperlink" Target="https://ref.ly/Zech12:11" TargetMode="External"/><Relationship Id="rId6910" Type="http://schemas.openxmlformats.org/officeDocument/2006/relationships/hyperlink" Target="https://ref.ly/1Kgs11:5-1Kgs11:7,1Kgs11:33" TargetMode="External"/><Relationship Id="rId6911" Type="http://schemas.openxmlformats.org/officeDocument/2006/relationships/hyperlink" Target="https://ref.ly/2Kgs23:13" TargetMode="External"/><Relationship Id="rId6912" Type="http://schemas.openxmlformats.org/officeDocument/2006/relationships/hyperlink" Target="https://ref.ly/2Kgs1:2-2Kgs1:3,2Kgs1:6,2Kgs1:16" TargetMode="External"/><Relationship Id="rId6913" Type="http://schemas.openxmlformats.org/officeDocument/2006/relationships/hyperlink" Target="https://ref.ly/2Kgs1:2-2Kgs1:3" TargetMode="External"/><Relationship Id="rId6914" Type="http://schemas.openxmlformats.org/officeDocument/2006/relationships/hyperlink" Target="https://ref.ly/Luke11:15" TargetMode="External"/><Relationship Id="rId6915" Type="http://schemas.openxmlformats.org/officeDocument/2006/relationships/hyperlink" Target="https://ref.ly/Jer7:18" TargetMode="External"/><Relationship Id="rId6916" Type="http://schemas.openxmlformats.org/officeDocument/2006/relationships/hyperlink" Target="https://ref.ly/Jer44:17-Jer44:19,Jer44:25" TargetMode="External"/><Relationship Id="rId6917" Type="http://schemas.openxmlformats.org/officeDocument/2006/relationships/hyperlink" Target="https://ref.ly/Jer46:25" TargetMode="External"/><Relationship Id="rId6918" Type="http://schemas.openxmlformats.org/officeDocument/2006/relationships/hyperlink" Target="https://ref.ly/Acts19:24-Acts19:28,Acts19:34-Acts19:35" TargetMode="External"/><Relationship Id="rId6919" Type="http://schemas.openxmlformats.org/officeDocument/2006/relationships/hyperlink" Target="https://ref.ly/Acts14:12-Acts14:13" TargetMode="External"/><Relationship Id="rId6920" Type="http://schemas.openxmlformats.org/officeDocument/2006/relationships/hyperlink" Target="https://ref.ly/Jer2:11" TargetMode="External"/><Relationship Id="rId6921" Type="http://schemas.openxmlformats.org/officeDocument/2006/relationships/hyperlink" Target="https://ref.ly/Jer2:28" TargetMode="External"/><Relationship Id="rId6922" Type="http://schemas.openxmlformats.org/officeDocument/2006/relationships/hyperlink" Target="https://ref.ly/Jer16:20" TargetMode="External"/><Relationship Id="rId6923" Type="http://schemas.openxmlformats.org/officeDocument/2006/relationships/hyperlink" Target="https://ref.ly/Jer5:7" TargetMode="External"/><Relationship Id="rId6924" Type="http://schemas.openxmlformats.org/officeDocument/2006/relationships/hyperlink" Target="https://ref.ly/1Cor8:4" TargetMode="External"/><Relationship Id="rId6925" Type="http://schemas.openxmlformats.org/officeDocument/2006/relationships/hyperlink" Target="https://ref.ly/Acts19:26" TargetMode="External"/><Relationship Id="rId6926" Type="http://schemas.openxmlformats.org/officeDocument/2006/relationships/hyperlink" Target="https://ref.ly/Exod15:11" TargetMode="External"/><Relationship Id="rId6927" Type="http://schemas.openxmlformats.org/officeDocument/2006/relationships/hyperlink" Target="https://ref.ly/Exod18:11" TargetMode="External"/><Relationship Id="rId6928" Type="http://schemas.openxmlformats.org/officeDocument/2006/relationships/hyperlink" Target="https://ref.ly/Deut10:17" TargetMode="External"/><Relationship Id="rId6929" Type="http://schemas.openxmlformats.org/officeDocument/2006/relationships/hyperlink" Target="https://ref.ly/1Chr16:25" TargetMode="External"/><Relationship Id="rId6930" Type="http://schemas.openxmlformats.org/officeDocument/2006/relationships/hyperlink" Target="https://ref.ly/Ps86:8" TargetMode="External"/><Relationship Id="rId6931" Type="http://schemas.openxmlformats.org/officeDocument/2006/relationships/hyperlink" Target="https://ref.ly/Ps95:3" TargetMode="External"/><Relationship Id="rId6932" Type="http://schemas.openxmlformats.org/officeDocument/2006/relationships/hyperlink" Target="https://ref.ly/Ps97:7-Ps97:9" TargetMode="External"/><Relationship Id="rId6933" Type="http://schemas.openxmlformats.org/officeDocument/2006/relationships/hyperlink" Target="https://ref.ly/Ps135:5,Ps135:136" TargetMode="External"/><Relationship Id="rId6934" Type="http://schemas.openxmlformats.org/officeDocument/2006/relationships/hyperlink" Target="https://ref.ly/Zeph2:11" TargetMode="External"/><Relationship Id="rId6935" Type="http://schemas.openxmlformats.org/officeDocument/2006/relationships/hyperlink" Target="https://ref.ly/1Kgs11:5,1Kgs11:33" TargetMode="External"/><Relationship Id="rId6936" Type="http://schemas.openxmlformats.org/officeDocument/2006/relationships/hyperlink" Target="https://ref.ly/Exod20:4,Exod20:23" TargetMode="External"/><Relationship Id="rId6937" Type="http://schemas.openxmlformats.org/officeDocument/2006/relationships/hyperlink" Target="https://ref.ly/Lev19:4" TargetMode="External"/><Relationship Id="rId6938" Type="http://schemas.openxmlformats.org/officeDocument/2006/relationships/hyperlink" Target="https://ref.ly/Deut5:8" TargetMode="External"/><Relationship Id="rId6939" Type="http://schemas.openxmlformats.org/officeDocument/2006/relationships/hyperlink" Target="https://ref.ly/Exod23:13" TargetMode="External"/><Relationship Id="rId6940" Type="http://schemas.openxmlformats.org/officeDocument/2006/relationships/hyperlink" Target="https://ref.ly/Josh23:7" TargetMode="External"/><Relationship Id="rId6941" Type="http://schemas.openxmlformats.org/officeDocument/2006/relationships/hyperlink" Target="https://ref.ly/Gen31:32" TargetMode="External"/><Relationship Id="rId6942" Type="http://schemas.openxmlformats.org/officeDocument/2006/relationships/hyperlink" Target="https://ref.ly/Exod32:1-Exod32:4,Exod32:8,Exod32:23,Exod32:31" TargetMode="External"/><Relationship Id="rId6943" Type="http://schemas.openxmlformats.org/officeDocument/2006/relationships/hyperlink" Target="https://ref.ly/Exod34:15" TargetMode="External"/><Relationship Id="rId6944" Type="http://schemas.openxmlformats.org/officeDocument/2006/relationships/hyperlink" Target="https://ref.ly/Hos11:2" TargetMode="External"/><Relationship Id="rId6945" Type="http://schemas.openxmlformats.org/officeDocument/2006/relationships/hyperlink" Target="https://ref.ly/2Kgs22:17" TargetMode="External"/><Relationship Id="rId6946" Type="http://schemas.openxmlformats.org/officeDocument/2006/relationships/hyperlink" Target="https://ref.ly/Deut29:25-Deut29:28" TargetMode="External"/><Relationship Id="rId6947" Type="http://schemas.openxmlformats.org/officeDocument/2006/relationships/hyperlink" Target="https://ref.ly/Josh24:15" TargetMode="External"/><Relationship Id="rId6948" Type="http://schemas.openxmlformats.org/officeDocument/2006/relationships/hyperlink" Target="https://ref.ly/Deut1:1-Deut1:5" TargetMode="External"/><Relationship Id="rId6949" Type="http://schemas.openxmlformats.org/officeDocument/2006/relationships/hyperlink" Target="https://ref.ly/Exod20:1" TargetMode="External"/><Relationship Id="rId6950" Type="http://schemas.openxmlformats.org/officeDocument/2006/relationships/hyperlink" Target="https://ref.ly/Deut1:6-Deut4:49" TargetMode="External"/><Relationship Id="rId6951" Type="http://schemas.openxmlformats.org/officeDocument/2006/relationships/hyperlink" Target="https://ref.ly/Exod20:2" TargetMode="External"/><Relationship Id="rId6952" Type="http://schemas.openxmlformats.org/officeDocument/2006/relationships/hyperlink" Target="https://ref.ly/Deut5:1-Deut26:19" TargetMode="External"/><Relationship Id="rId6953" Type="http://schemas.openxmlformats.org/officeDocument/2006/relationships/hyperlink" Target="https://ref.ly/Deut5:1-Deut11:32" TargetMode="External"/><Relationship Id="rId6954" Type="http://schemas.openxmlformats.org/officeDocument/2006/relationships/hyperlink" Target="https://ref.ly/Exod20:3-Exod20:17" TargetMode="External"/><Relationship Id="rId6955" Type="http://schemas.openxmlformats.org/officeDocument/2006/relationships/hyperlink" Target="https://ref.ly/Deut12:1-Deut16:17" TargetMode="External"/><Relationship Id="rId6956" Type="http://schemas.openxmlformats.org/officeDocument/2006/relationships/hyperlink" Target="https://ref.ly/Deut16:18-Deut21:23" TargetMode="External"/><Relationship Id="rId6957" Type="http://schemas.openxmlformats.org/officeDocument/2006/relationships/hyperlink" Target="https://ref.ly/Deut22:1-Deut25:19" TargetMode="External"/><Relationship Id="rId6958" Type="http://schemas.openxmlformats.org/officeDocument/2006/relationships/hyperlink" Target="https://ref.ly/Deut26:1-Deut26:19" TargetMode="External"/><Relationship Id="rId6959" Type="http://schemas.openxmlformats.org/officeDocument/2006/relationships/hyperlink" Target="https://ref.ly/Deut27:1-Deut27:26" TargetMode="External"/><Relationship Id="rId6960" Type="http://schemas.openxmlformats.org/officeDocument/2006/relationships/hyperlink" Target="https://ref.ly/Deut31:1-Deut34:12" TargetMode="External"/><Relationship Id="rId6961" Type="http://schemas.openxmlformats.org/officeDocument/2006/relationships/hyperlink" Target="https://ref.ly/Exod1:1-Exod19:25" TargetMode="External"/><Relationship Id="rId6962" Type="http://schemas.openxmlformats.org/officeDocument/2006/relationships/hyperlink" Target="https://ref.ly/Exod20:1-Exod40:38" TargetMode="External"/><Relationship Id="rId6963" Type="http://schemas.openxmlformats.org/officeDocument/2006/relationships/hyperlink" Target="https://ref.ly/Lev1:1-Lev27:34" TargetMode="External"/><Relationship Id="rId6964" Type="http://schemas.openxmlformats.org/officeDocument/2006/relationships/hyperlink" Target="https://ref.ly/Num1:1-Num9:23" TargetMode="External"/><Relationship Id="rId6965" Type="http://schemas.openxmlformats.org/officeDocument/2006/relationships/hyperlink" Target="https://ref.ly/Num10:1-Num21:35" TargetMode="External"/><Relationship Id="rId6966" Type="http://schemas.openxmlformats.org/officeDocument/2006/relationships/hyperlink" Target="https://ref.ly/Num20:1-Num36:13" TargetMode="External"/><Relationship Id="rId6967" Type="http://schemas.openxmlformats.org/officeDocument/2006/relationships/hyperlink" Target="https://ref.ly/Deut5:1" TargetMode="External"/><Relationship Id="rId6968" Type="http://schemas.openxmlformats.org/officeDocument/2006/relationships/hyperlink" Target="https://ref.ly/Deut29:1" TargetMode="External"/><Relationship Id="rId6969" Type="http://schemas.openxmlformats.org/officeDocument/2006/relationships/hyperlink" Target="https://ref.ly/Deut10:19" TargetMode="External"/><Relationship Id="rId6970" Type="http://schemas.openxmlformats.org/officeDocument/2006/relationships/hyperlink" Target="https://ref.ly/Deut6:13,Deut6:16" TargetMode="External"/><Relationship Id="rId6971" Type="http://schemas.openxmlformats.org/officeDocument/2006/relationships/hyperlink" Target="https://ref.ly/Matt4:4-Matt4:10" TargetMode="External"/><Relationship Id="rId6972" Type="http://schemas.openxmlformats.org/officeDocument/2006/relationships/hyperlink" Target="https://ref.ly/Luke10:25-Luke10:28" TargetMode="External"/><Relationship Id="rId6973" Type="http://schemas.openxmlformats.org/officeDocument/2006/relationships/hyperlink" Target="https://ref.ly/Deut28:1,Deut28:58" TargetMode="External"/><Relationship Id="rId6974" Type="http://schemas.openxmlformats.org/officeDocument/2006/relationships/hyperlink" Target="https://ref.ly/Deut1:1-Deut4:43" TargetMode="External"/><Relationship Id="rId6975" Type="http://schemas.openxmlformats.org/officeDocument/2006/relationships/hyperlink" Target="https://ref.ly/Deut4:1-Deut4:40" TargetMode="External"/><Relationship Id="rId6976" Type="http://schemas.openxmlformats.org/officeDocument/2006/relationships/hyperlink" Target="https://ref.ly/Deut4:44-Deut26:19" TargetMode="External"/><Relationship Id="rId6977" Type="http://schemas.openxmlformats.org/officeDocument/2006/relationships/hyperlink" Target="https://ref.ly/Deut4:44-Deut4:49" TargetMode="External"/><Relationship Id="rId6978" Type="http://schemas.openxmlformats.org/officeDocument/2006/relationships/hyperlink" Target="https://ref.ly/Deut5:6" TargetMode="External"/><Relationship Id="rId6979" Type="http://schemas.openxmlformats.org/officeDocument/2006/relationships/hyperlink" Target="https://ref.ly/Deut5:9" TargetMode="External"/><Relationship Id="rId6980" Type="http://schemas.openxmlformats.org/officeDocument/2006/relationships/hyperlink" Target="https://ref.ly/Deut6:1-Deut6:25" TargetMode="External"/><Relationship Id="rId6981" Type="http://schemas.openxmlformats.org/officeDocument/2006/relationships/hyperlink" Target="https://ref.ly/Deut7:1-Deut7:26" TargetMode="External"/><Relationship Id="rId6982" Type="http://schemas.openxmlformats.org/officeDocument/2006/relationships/hyperlink" Target="https://ref.ly/Deut8:1-Deut8:20" TargetMode="External"/><Relationship Id="rId6983" Type="http://schemas.openxmlformats.org/officeDocument/2006/relationships/hyperlink" Target="https://ref.ly/Deut9:1-Deut10:11" TargetMode="External"/><Relationship Id="rId6984" Type="http://schemas.openxmlformats.org/officeDocument/2006/relationships/hyperlink" Target="https://ref.ly/Deut10:12-Deut11:32" TargetMode="External"/><Relationship Id="rId6985" Type="http://schemas.openxmlformats.org/officeDocument/2006/relationships/hyperlink" Target="https://ref.ly/Deut6:5,Deut6:13,Deut6:24" TargetMode="External"/><Relationship Id="rId6986" Type="http://schemas.openxmlformats.org/officeDocument/2006/relationships/hyperlink" Target="https://ref.ly/Lev26:40-Lev26:41" TargetMode="External"/><Relationship Id="rId6987" Type="http://schemas.openxmlformats.org/officeDocument/2006/relationships/hyperlink" Target="https://ref.ly/Jer9:25" TargetMode="External"/><Relationship Id="rId6988" Type="http://schemas.openxmlformats.org/officeDocument/2006/relationships/hyperlink" Target="https://ref.ly/Lev19:9-Lev19:18" TargetMode="External"/><Relationship Id="rId6989" Type="http://schemas.openxmlformats.org/officeDocument/2006/relationships/hyperlink" Target="https://ref.ly/Matt22:37-Matt22:39" TargetMode="External"/><Relationship Id="rId6990" Type="http://schemas.openxmlformats.org/officeDocument/2006/relationships/hyperlink" Target="https://ref.ly/Mark12:29-Mark12:31" TargetMode="External"/><Relationship Id="rId6991" Type="http://schemas.openxmlformats.org/officeDocument/2006/relationships/hyperlink" Target="https://ref.ly/Luke10:27-Luke10:28" TargetMode="External"/><Relationship Id="rId6992" Type="http://schemas.openxmlformats.org/officeDocument/2006/relationships/hyperlink" Target="https://ref.ly/Deut12:1-Deut14:21" TargetMode="External"/><Relationship Id="rId6993" Type="http://schemas.openxmlformats.org/officeDocument/2006/relationships/hyperlink" Target="https://ref.ly/Deut14:22-Deut15:23" TargetMode="External"/><Relationship Id="rId6994" Type="http://schemas.openxmlformats.org/officeDocument/2006/relationships/hyperlink" Target="https://ref.ly/Deut16:1-Deut16:17" TargetMode="External"/><Relationship Id="rId6995" Type="http://schemas.openxmlformats.org/officeDocument/2006/relationships/hyperlink" Target="https://ref.ly/Deut22:1-Deut26:19" TargetMode="External"/><Relationship Id="rId6996" Type="http://schemas.openxmlformats.org/officeDocument/2006/relationships/hyperlink" Target="https://ref.ly/Deut27:1-Deut30:20" TargetMode="External"/><Relationship Id="rId6997" Type="http://schemas.openxmlformats.org/officeDocument/2006/relationships/hyperlink" Target="https://ref.ly/Deut28:1-Deut28:68" TargetMode="External"/><Relationship Id="rId6998" Type="http://schemas.openxmlformats.org/officeDocument/2006/relationships/hyperlink" Target="https://ref.ly/Deut29:1-Deut29:29" TargetMode="External"/><Relationship Id="rId6999" Type="http://schemas.openxmlformats.org/officeDocument/2006/relationships/hyperlink" Target="https://ref.ly/Deut30:1-Deut30:20" TargetMode="External"/><Relationship Id="rId7000" Type="http://schemas.openxmlformats.org/officeDocument/2006/relationships/hyperlink" Target="https://ref.ly/Deut31:1-Deut31:29" TargetMode="External"/><Relationship Id="rId7001" Type="http://schemas.openxmlformats.org/officeDocument/2006/relationships/hyperlink" Target="https://ref.ly/Deut32:1-Deut32:47" TargetMode="External"/><Relationship Id="rId7002" Type="http://schemas.openxmlformats.org/officeDocument/2006/relationships/hyperlink" Target="https://ref.ly/Deut32:48-Deut32:52" TargetMode="External"/><Relationship Id="rId7003" Type="http://schemas.openxmlformats.org/officeDocument/2006/relationships/hyperlink" Target="https://ref.ly/Deut34:1-Deut34:12" TargetMode="External"/><Relationship Id="rId7004" Type="http://schemas.openxmlformats.org/officeDocument/2006/relationships/hyperlink" Target="https://ref.ly/Gen1:14,Gen1:19" TargetMode="External"/><Relationship Id="rId7005" Type="http://schemas.openxmlformats.org/officeDocument/2006/relationships/hyperlink" Target="https://ref.ly/Ps55:17" TargetMode="External"/><Relationship Id="rId7006" Type="http://schemas.openxmlformats.org/officeDocument/2006/relationships/hyperlink" Target="https://ref.ly/Job3:9" TargetMode="External"/><Relationship Id="rId7007" Type="http://schemas.openxmlformats.org/officeDocument/2006/relationships/hyperlink" Target="https://ref.ly/1Sam11:11" TargetMode="External"/><Relationship Id="rId7008" Type="http://schemas.openxmlformats.org/officeDocument/2006/relationships/hyperlink" Target="https://ref.ly/Gen43:16" TargetMode="External"/><Relationship Id="rId7009" Type="http://schemas.openxmlformats.org/officeDocument/2006/relationships/hyperlink" Target="https://ref.ly/Exod16:12" TargetMode="External"/><Relationship Id="rId7010" Type="http://schemas.openxmlformats.org/officeDocument/2006/relationships/hyperlink" Target="https://ref.ly/Neh9:3" TargetMode="External"/><Relationship Id="rId7011" Type="http://schemas.openxmlformats.org/officeDocument/2006/relationships/hyperlink" Target="https://ref.ly/Joel1:15" TargetMode="External"/><Relationship Id="rId7012" Type="http://schemas.openxmlformats.org/officeDocument/2006/relationships/hyperlink" Target="https://ref.ly/Ps20:1" TargetMode="External"/><Relationship Id="rId7013" Type="http://schemas.openxmlformats.org/officeDocument/2006/relationships/hyperlink" Target="https://ref.ly/Job20:28" TargetMode="External"/><Relationship Id="rId7014" Type="http://schemas.openxmlformats.org/officeDocument/2006/relationships/hyperlink" Target="https://ref.ly/1Kgs10:21" TargetMode="External"/><Relationship Id="rId7015" Type="http://schemas.openxmlformats.org/officeDocument/2006/relationships/hyperlink" Target="https://ref.ly/Gen5:4" TargetMode="External"/><Relationship Id="rId7016" Type="http://schemas.openxmlformats.org/officeDocument/2006/relationships/hyperlink" Target="https://ref.ly/1Kgs3:14" TargetMode="External"/><Relationship Id="rId7017" Type="http://schemas.openxmlformats.org/officeDocument/2006/relationships/hyperlink" Target="https://ref.ly/Dan7:9,Dan7:13" TargetMode="External"/><Relationship Id="rId7018" Type="http://schemas.openxmlformats.org/officeDocument/2006/relationships/hyperlink" Target="https://ref.ly/Gen2:3" TargetMode="External"/><Relationship Id="rId7019" Type="http://schemas.openxmlformats.org/officeDocument/2006/relationships/hyperlink" Target="https://ref.ly/Exod12:14" TargetMode="External"/><Relationship Id="rId7020" Type="http://schemas.openxmlformats.org/officeDocument/2006/relationships/hyperlink" Target="https://ref.ly/Lev23:5" TargetMode="External"/><Relationship Id="rId7021" Type="http://schemas.openxmlformats.org/officeDocument/2006/relationships/hyperlink" Target="https://ref.ly/Lev16:29-Lev16:31" TargetMode="External"/><Relationship Id="rId7022" Type="http://schemas.openxmlformats.org/officeDocument/2006/relationships/hyperlink" Target="https://ref.ly/John11:9" TargetMode="External"/><Relationship Id="rId7023" Type="http://schemas.openxmlformats.org/officeDocument/2006/relationships/hyperlink" Target="https://ref.ly/2Cor6:2" TargetMode="External"/><Relationship Id="rId7024" Type="http://schemas.openxmlformats.org/officeDocument/2006/relationships/hyperlink" Target="https://ref.ly/Phil1:6" TargetMode="External"/><Relationship Id="rId7025" Type="http://schemas.openxmlformats.org/officeDocument/2006/relationships/hyperlink" Target="https://ref.ly/Luke1:23" TargetMode="External"/><Relationship Id="rId7026" Type="http://schemas.openxmlformats.org/officeDocument/2006/relationships/hyperlink" Target="https://ref.ly/John9:4" TargetMode="External"/><Relationship Id="rId7027" Type="http://schemas.openxmlformats.org/officeDocument/2006/relationships/hyperlink" Target="https://ref.ly/1Thess5:5" TargetMode="External"/><Relationship Id="rId7028" Type="http://schemas.openxmlformats.org/officeDocument/2006/relationships/hyperlink" Target="https://ref.ly/Eph5:16" TargetMode="External"/><Relationship Id="rId7029" Type="http://schemas.openxmlformats.org/officeDocument/2006/relationships/hyperlink" Target="https://ref.ly/Eph6:13" TargetMode="External"/><Relationship Id="rId7030" Type="http://schemas.openxmlformats.org/officeDocument/2006/relationships/hyperlink" Target="https://ref.ly/Heb5:7" TargetMode="External"/><Relationship Id="rId7031" Type="http://schemas.openxmlformats.org/officeDocument/2006/relationships/hyperlink" Target="https://ref.ly/Luke17:30" TargetMode="External"/><Relationship Id="rId7032" Type="http://schemas.openxmlformats.org/officeDocument/2006/relationships/hyperlink" Target="https://ref.ly/John6:39-John6:44" TargetMode="External"/><Relationship Id="rId7033" Type="http://schemas.openxmlformats.org/officeDocument/2006/relationships/hyperlink" Target="https://ref.ly/1Cor5:5" TargetMode="External"/><Relationship Id="rId7034" Type="http://schemas.openxmlformats.org/officeDocument/2006/relationships/hyperlink" Target="https://ref.ly/1Thess5:2" TargetMode="External"/><Relationship Id="rId7035" Type="http://schemas.openxmlformats.org/officeDocument/2006/relationships/hyperlink" Target="https://ref.ly/2Pet2:9" TargetMode="External"/><Relationship Id="rId7036" Type="http://schemas.openxmlformats.org/officeDocument/2006/relationships/hyperlink" Target="https://ref.ly/2Pet3:7,2Pet3:12" TargetMode="External"/><Relationship Id="rId7037" Type="http://schemas.openxmlformats.org/officeDocument/2006/relationships/hyperlink" Target="https://ref.ly/1John4:17" TargetMode="External"/><Relationship Id="rId7038" Type="http://schemas.openxmlformats.org/officeDocument/2006/relationships/hyperlink" Target="https://ref.ly/Rev16:14" TargetMode="External"/><Relationship Id="rId7039" Type="http://schemas.openxmlformats.org/officeDocument/2006/relationships/hyperlink" Target="https://ref.ly/2Pet3:18" TargetMode="External"/><Relationship Id="rId7040" Type="http://schemas.openxmlformats.org/officeDocument/2006/relationships/hyperlink" Target="https://ref.ly/Rev21:25" TargetMode="External"/><Relationship Id="rId7041" Type="http://schemas.openxmlformats.org/officeDocument/2006/relationships/hyperlink" Target="https://ref.ly/Acts27:9" TargetMode="External"/><Relationship Id="rId7042" Type="http://schemas.openxmlformats.org/officeDocument/2006/relationships/hyperlink" Target="https://ref.ly/Exod30:10" TargetMode="External"/><Relationship Id="rId7043" Type="http://schemas.openxmlformats.org/officeDocument/2006/relationships/hyperlink" Target="https://ref.ly/Lev23:26-Lev23:32" TargetMode="External"/><Relationship Id="rId7044" Type="http://schemas.openxmlformats.org/officeDocument/2006/relationships/hyperlink" Target="https://ref.ly/Lev25:9-Lev25:16" TargetMode="External"/><Relationship Id="rId7045" Type="http://schemas.openxmlformats.org/officeDocument/2006/relationships/hyperlink" Target="https://ref.ly/Num29:7-Num29:11" TargetMode="External"/><Relationship Id="rId7046" Type="http://schemas.openxmlformats.org/officeDocument/2006/relationships/hyperlink" Target="https://ref.ly/Lev23:27-Lev23:32" TargetMode="External"/><Relationship Id="rId7047" Type="http://schemas.openxmlformats.org/officeDocument/2006/relationships/hyperlink" Target="https://ref.ly/Ps35:13" TargetMode="External"/><Relationship Id="rId7048" Type="http://schemas.openxmlformats.org/officeDocument/2006/relationships/hyperlink" Target="https://ref.ly/Isa58:3-Isa58:5,Isa58:10" TargetMode="External"/><Relationship Id="rId7049" Type="http://schemas.openxmlformats.org/officeDocument/2006/relationships/hyperlink" Target="https://ref.ly/Isa58:3-Isa58:5" TargetMode="External"/><Relationship Id="rId7050" Type="http://schemas.openxmlformats.org/officeDocument/2006/relationships/hyperlink" Target="https://ref.ly/Lev16:31" TargetMode="External"/><Relationship Id="rId7051" Type="http://schemas.openxmlformats.org/officeDocument/2006/relationships/hyperlink" Target="https://ref.ly/Lev23:32" TargetMode="External"/><Relationship Id="rId7052" Type="http://schemas.openxmlformats.org/officeDocument/2006/relationships/hyperlink" Target="https://ref.ly/Lev16:33" TargetMode="External"/><Relationship Id="rId7053" Type="http://schemas.openxmlformats.org/officeDocument/2006/relationships/hyperlink" Target="https://ref.ly/Zeph2:2" TargetMode="External"/><Relationship Id="rId7054" Type="http://schemas.openxmlformats.org/officeDocument/2006/relationships/hyperlink" Target="https://ref.ly/Lam2:22" TargetMode="External"/><Relationship Id="rId7055" Type="http://schemas.openxmlformats.org/officeDocument/2006/relationships/hyperlink" Target="https://ref.ly/Joel3:14-Joel3:21" TargetMode="External"/><Relationship Id="rId7056" Type="http://schemas.openxmlformats.org/officeDocument/2006/relationships/hyperlink" Target="https://ref.ly/Mal4:5" TargetMode="External"/><Relationship Id="rId7057" Type="http://schemas.openxmlformats.org/officeDocument/2006/relationships/hyperlink" Target="https://ref.ly/Isa13:5-Isa13:10" TargetMode="External"/><Relationship Id="rId7058" Type="http://schemas.openxmlformats.org/officeDocument/2006/relationships/hyperlink" Target="https://ref.ly/Mark13:24-Mark13:37" TargetMode="External"/><Relationship Id="rId7059" Type="http://schemas.openxmlformats.org/officeDocument/2006/relationships/hyperlink" Target="https://ref.ly/Joel1:15-Joel2:11" TargetMode="External"/><Relationship Id="rId7060" Type="http://schemas.openxmlformats.org/officeDocument/2006/relationships/hyperlink" Target="https://ref.ly/Joel2:14-Joel2:17,Joel2:31" TargetMode="External"/><Relationship Id="rId7061" Type="http://schemas.openxmlformats.org/officeDocument/2006/relationships/hyperlink" Target="https://ref.ly/Acts2:16-Acts2:21" TargetMode="External"/><Relationship Id="rId7062" Type="http://schemas.openxmlformats.org/officeDocument/2006/relationships/hyperlink" Target="https://ref.ly/Rev6:12-Rev6:13" TargetMode="External"/><Relationship Id="rId7063" Type="http://schemas.openxmlformats.org/officeDocument/2006/relationships/hyperlink" Target="https://ref.ly/Isa13:10" TargetMode="External"/><Relationship Id="rId7064" Type="http://schemas.openxmlformats.org/officeDocument/2006/relationships/hyperlink" Target="https://ref.ly/Joel3:15" TargetMode="External"/><Relationship Id="rId7065" Type="http://schemas.openxmlformats.org/officeDocument/2006/relationships/hyperlink" Target="https://ref.ly/Joel3:19" TargetMode="External"/><Relationship Id="rId7066" Type="http://schemas.openxmlformats.org/officeDocument/2006/relationships/hyperlink" Target="https://ref.ly/Ps2:1-Ps2:12" TargetMode="External"/><Relationship Id="rId7067" Type="http://schemas.openxmlformats.org/officeDocument/2006/relationships/hyperlink" Target="https://ref.ly/Amos5:18-Amos5:20" TargetMode="External"/><Relationship Id="rId7068" Type="http://schemas.openxmlformats.org/officeDocument/2006/relationships/hyperlink" Target="https://ref.ly/Zech12:10" TargetMode="External"/><Relationship Id="rId7069" Type="http://schemas.openxmlformats.org/officeDocument/2006/relationships/hyperlink" Target="https://ref.ly/Joel3:18-Joel3:21" TargetMode="External"/><Relationship Id="rId7070" Type="http://schemas.openxmlformats.org/officeDocument/2006/relationships/hyperlink" Target="https://ref.ly/1Cor1:8" TargetMode="External"/><Relationship Id="rId7071" Type="http://schemas.openxmlformats.org/officeDocument/2006/relationships/hyperlink" Target="https://ref.ly/2Cor1:14" TargetMode="External"/><Relationship Id="rId7072" Type="http://schemas.openxmlformats.org/officeDocument/2006/relationships/hyperlink" Target="https://ref.ly/Phil1:10" TargetMode="External"/><Relationship Id="rId7073" Type="http://schemas.openxmlformats.org/officeDocument/2006/relationships/hyperlink" Target="https://ref.ly/Phil2:16" TargetMode="External"/><Relationship Id="rId7074" Type="http://schemas.openxmlformats.org/officeDocument/2006/relationships/hyperlink" Target="https://ref.ly/1Thess5:9" TargetMode="External"/><Relationship Id="rId7075" Type="http://schemas.openxmlformats.org/officeDocument/2006/relationships/hyperlink" Target="https://ref.ly/2Pet3:10-2Pet3:13" TargetMode="External"/><Relationship Id="rId7076" Type="http://schemas.openxmlformats.org/officeDocument/2006/relationships/hyperlink" Target="https://ref.ly/John2:5" TargetMode="External"/><Relationship Id="rId7077" Type="http://schemas.openxmlformats.org/officeDocument/2006/relationships/hyperlink" Target="https://ref.ly/Matt22:13" TargetMode="External"/><Relationship Id="rId7078" Type="http://schemas.openxmlformats.org/officeDocument/2006/relationships/hyperlink" Target="https://ref.ly/2Cor11:15" TargetMode="External"/><Relationship Id="rId7079" Type="http://schemas.openxmlformats.org/officeDocument/2006/relationships/hyperlink" Target="https://ref.ly/2Cor6:4" TargetMode="External"/><Relationship Id="rId7080" Type="http://schemas.openxmlformats.org/officeDocument/2006/relationships/hyperlink" Target="https://ref.ly/Col1:24-Col1:25" TargetMode="External"/><Relationship Id="rId7081" Type="http://schemas.openxmlformats.org/officeDocument/2006/relationships/hyperlink" Target="https://ref.ly/Matt20:26-Matt20:28" TargetMode="External"/><Relationship Id="rId7082" Type="http://schemas.openxmlformats.org/officeDocument/2006/relationships/hyperlink" Target="https://ref.ly/Luke22:26-Luke22:27" TargetMode="External"/><Relationship Id="rId7083" Type="http://schemas.openxmlformats.org/officeDocument/2006/relationships/hyperlink" Target="https://ref.ly/Matt25:45" TargetMode="External"/><Relationship Id="rId7084" Type="http://schemas.openxmlformats.org/officeDocument/2006/relationships/hyperlink" Target="https://ref.ly/Luke4:20" TargetMode="External"/><Relationship Id="rId7085" Type="http://schemas.openxmlformats.org/officeDocument/2006/relationships/hyperlink" Target="https://ref.ly/1Tim3:8-1Tim3:13" TargetMode="External"/><Relationship Id="rId7086" Type="http://schemas.openxmlformats.org/officeDocument/2006/relationships/hyperlink" Target="https://ref.ly/Acts6:3" TargetMode="External"/><Relationship Id="rId7087" Type="http://schemas.openxmlformats.org/officeDocument/2006/relationships/hyperlink" Target="https://ref.ly/Acts6:2" TargetMode="External"/><Relationship Id="rId7088" Type="http://schemas.openxmlformats.org/officeDocument/2006/relationships/hyperlink" Target="https://ref.ly/Acts6:4" TargetMode="External"/><Relationship Id="rId7089" Type="http://schemas.openxmlformats.org/officeDocument/2006/relationships/hyperlink" Target="https://ref.ly/Acts6:8" TargetMode="External"/><Relationship Id="rId7090" Type="http://schemas.openxmlformats.org/officeDocument/2006/relationships/hyperlink" Target="https://ref.ly/Acts8:12" TargetMode="External"/><Relationship Id="rId7091" Type="http://schemas.openxmlformats.org/officeDocument/2006/relationships/hyperlink" Target="https://ref.ly/Acts8:38" TargetMode="External"/><Relationship Id="rId7092" Type="http://schemas.openxmlformats.org/officeDocument/2006/relationships/hyperlink" Target="https://ref.ly/Phil4:14-Phil4:18" TargetMode="External"/><Relationship Id="rId7093" Type="http://schemas.openxmlformats.org/officeDocument/2006/relationships/hyperlink" Target="https://ref.ly/1Tim3:11" TargetMode="External"/><Relationship Id="rId7094" Type="http://schemas.openxmlformats.org/officeDocument/2006/relationships/hyperlink" Target="https://ref.ly/1Tim3:13" TargetMode="External"/><Relationship Id="rId7095" Type="http://schemas.openxmlformats.org/officeDocument/2006/relationships/hyperlink" Target="https://ref.ly/Deut29:10" TargetMode="External"/><Relationship Id="rId7096" Type="http://schemas.openxmlformats.org/officeDocument/2006/relationships/hyperlink" Target="https://ref.ly/Rom16:2" TargetMode="External"/><Relationship Id="rId7097" Type="http://schemas.openxmlformats.org/officeDocument/2006/relationships/hyperlink" Target="https://ref.ly/1Tim3:4-1Tim3:5" TargetMode="External"/><Relationship Id="rId7098" Type="http://schemas.openxmlformats.org/officeDocument/2006/relationships/hyperlink" Target="https://ref.ly/Acts17:4" TargetMode="External"/><Relationship Id="rId7099" Type="http://schemas.openxmlformats.org/officeDocument/2006/relationships/hyperlink" Target="https://ref.ly/Acts19:35" TargetMode="External"/><Relationship Id="rId7100" Type="http://schemas.openxmlformats.org/officeDocument/2006/relationships/hyperlink" Target="https://ref.ly/Acts19:23-Acts20:1" TargetMode="External"/><Relationship Id="rId7101" Type="http://schemas.openxmlformats.org/officeDocument/2006/relationships/hyperlink" Target="https://ref.ly/Acts19:28,Acts19:34" TargetMode="External"/><Relationship Id="rId7102" Type="http://schemas.openxmlformats.org/officeDocument/2006/relationships/hyperlink" Target="https://ref.ly/Jer25:34" TargetMode="External"/><Relationship Id="rId7103" Type="http://schemas.openxmlformats.org/officeDocument/2006/relationships/hyperlink" Target="https://ref.ly/Ezek20:23" TargetMode="External"/><Relationship Id="rId7104" Type="http://schemas.openxmlformats.org/officeDocument/2006/relationships/hyperlink" Target="https://ref.ly/Zeph3:10" TargetMode="External"/><Relationship Id="rId7105" Type="http://schemas.openxmlformats.org/officeDocument/2006/relationships/hyperlink" Target="https://ref.ly/Jas1:1" TargetMode="External"/><Relationship Id="rId7106" Type="http://schemas.openxmlformats.org/officeDocument/2006/relationships/hyperlink" Target="https://ref.ly/2Kgs17:14-2Kgs17:18" TargetMode="External"/><Relationship Id="rId7107" Type="http://schemas.openxmlformats.org/officeDocument/2006/relationships/hyperlink" Target="https://ref.ly/2Kgs10:31" TargetMode="External"/><Relationship Id="rId7108" Type="http://schemas.openxmlformats.org/officeDocument/2006/relationships/hyperlink" Target="https://ref.ly/2Kgs13:11" TargetMode="External"/><Relationship Id="rId7109" Type="http://schemas.openxmlformats.org/officeDocument/2006/relationships/hyperlink" Target="https://ref.ly/2Kgs14:24" TargetMode="External"/><Relationship Id="rId7110" Type="http://schemas.openxmlformats.org/officeDocument/2006/relationships/hyperlink" Target="https://ref.ly/2Kgs15:9,2Kgs15:18,2Kgs15:24,2Kgs15:28" TargetMode="External"/><Relationship Id="rId7111" Type="http://schemas.openxmlformats.org/officeDocument/2006/relationships/hyperlink" Target="https://ref.ly/2Kgs17:23" TargetMode="External"/><Relationship Id="rId7112" Type="http://schemas.openxmlformats.org/officeDocument/2006/relationships/hyperlink" Target="https://ref.ly/2Kgs17:6,2Kgs17:24" TargetMode="External"/><Relationship Id="rId7113" Type="http://schemas.openxmlformats.org/officeDocument/2006/relationships/hyperlink" Target="https://ref.ly/2Kgs24:12-2Kgs24:14" TargetMode="External"/><Relationship Id="rId7114" Type="http://schemas.openxmlformats.org/officeDocument/2006/relationships/hyperlink" Target="https://ref.ly/2Chr36:10" TargetMode="External"/><Relationship Id="rId7115" Type="http://schemas.openxmlformats.org/officeDocument/2006/relationships/hyperlink" Target="https://ref.ly/Jer52:29-Jer52:30" TargetMode="External"/><Relationship Id="rId7116" Type="http://schemas.openxmlformats.org/officeDocument/2006/relationships/hyperlink" Target="https://ref.ly/2Kgs25:1,2Kgs25:6-2Kgs25:7" TargetMode="External"/><Relationship Id="rId7117" Type="http://schemas.openxmlformats.org/officeDocument/2006/relationships/hyperlink" Target="https://ref.ly/Jer52:4-Jer52:11" TargetMode="External"/><Relationship Id="rId7118" Type="http://schemas.openxmlformats.org/officeDocument/2006/relationships/hyperlink" Target="https://ref.ly/2Kgs25:8-2Kgs25:21" TargetMode="External"/><Relationship Id="rId7119" Type="http://schemas.openxmlformats.org/officeDocument/2006/relationships/hyperlink" Target="https://ref.ly/Jer52:12-Jer52:16" TargetMode="External"/><Relationship Id="rId7120" Type="http://schemas.openxmlformats.org/officeDocument/2006/relationships/hyperlink" Target="https://ref.ly/1Kgs14:25-1Kgs14:26" TargetMode="External"/><Relationship Id="rId7121" Type="http://schemas.openxmlformats.org/officeDocument/2006/relationships/hyperlink" Target="https://ref.ly/2Chr12:9" TargetMode="External"/><Relationship Id="rId7122" Type="http://schemas.openxmlformats.org/officeDocument/2006/relationships/hyperlink" Target="https://ref.ly/Jer43:5-Jer44:30" TargetMode="External"/><Relationship Id="rId7123" Type="http://schemas.openxmlformats.org/officeDocument/2006/relationships/hyperlink" Target="https://ref.ly/Isa19:18-Isa19:19" TargetMode="External"/><Relationship Id="rId7124" Type="http://schemas.openxmlformats.org/officeDocument/2006/relationships/hyperlink" Target="https://ref.ly/Acts2:9-Acts2:11" TargetMode="External"/><Relationship Id="rId7125" Type="http://schemas.openxmlformats.org/officeDocument/2006/relationships/hyperlink" Target="https://ref.ly/Acts17:1,Acts17:10" TargetMode="External"/><Relationship Id="rId7126" Type="http://schemas.openxmlformats.org/officeDocument/2006/relationships/hyperlink" Target="https://ref.ly/Acts18:2-Acts18:4" TargetMode="External"/><Relationship Id="rId7127" Type="http://schemas.openxmlformats.org/officeDocument/2006/relationships/hyperlink" Target="https://ref.ly/Exod23:12-Exod23:17" TargetMode="External"/><Relationship Id="rId7128" Type="http://schemas.openxmlformats.org/officeDocument/2006/relationships/hyperlink" Target="https://ref.ly/Rom1:11-Rom1:15" TargetMode="External"/><Relationship Id="rId7129" Type="http://schemas.openxmlformats.org/officeDocument/2006/relationships/hyperlink" Target="https://ref.ly/1Cor10:11-1Cor10:12" TargetMode="External"/><Relationship Id="rId7130" Type="http://schemas.openxmlformats.org/officeDocument/2006/relationships/hyperlink" Target="https://ref.ly/Ezek6:14" TargetMode="External"/><Relationship Id="rId7131" Type="http://schemas.openxmlformats.org/officeDocument/2006/relationships/hyperlink" Target="https://ref.ly/Jer52:9-Jer52:27" TargetMode="External"/><Relationship Id="rId7132" Type="http://schemas.openxmlformats.org/officeDocument/2006/relationships/hyperlink" Target="https://ref.ly/Num21:30" TargetMode="External"/><Relationship Id="rId7133" Type="http://schemas.openxmlformats.org/officeDocument/2006/relationships/hyperlink" Target="https://ref.ly/Num32:3,Num32:34" TargetMode="External"/><Relationship Id="rId7134" Type="http://schemas.openxmlformats.org/officeDocument/2006/relationships/hyperlink" Target="https://ref.ly/Num33:45-Num33:46" TargetMode="External"/><Relationship Id="rId7135" Type="http://schemas.openxmlformats.org/officeDocument/2006/relationships/hyperlink" Target="https://ref.ly/Judg3:12-Judg3:30" TargetMode="External"/><Relationship Id="rId7136" Type="http://schemas.openxmlformats.org/officeDocument/2006/relationships/hyperlink" Target="https://ref.ly/2Sam8:2" TargetMode="External"/><Relationship Id="rId7137" Type="http://schemas.openxmlformats.org/officeDocument/2006/relationships/hyperlink" Target="https://ref.ly/Jer48:18,Jer48:22" TargetMode="External"/><Relationship Id="rId7138" Type="http://schemas.openxmlformats.org/officeDocument/2006/relationships/hyperlink" Target="https://ref.ly/Isa15:9" TargetMode="External"/><Relationship Id="rId7139" Type="http://schemas.openxmlformats.org/officeDocument/2006/relationships/hyperlink" Target="https://ref.ly/Neh11:25" TargetMode="External"/><Relationship Id="rId7140" Type="http://schemas.openxmlformats.org/officeDocument/2006/relationships/hyperlink" Target="https://ref.ly/Lev24:10-Lev24:11" TargetMode="External"/><Relationship Id="rId7141" Type="http://schemas.openxmlformats.org/officeDocument/2006/relationships/hyperlink" Target="https://ref.ly/Deut30:15" TargetMode="External"/><Relationship Id="rId7142" Type="http://schemas.openxmlformats.org/officeDocument/2006/relationships/hyperlink" Target="https://ref.ly/Gen10:1,Gen10:32" TargetMode="External"/><Relationship Id="rId7143" Type="http://schemas.openxmlformats.org/officeDocument/2006/relationships/hyperlink" Target="https://ref.ly/Matt24:38-Matt24:39" TargetMode="External"/><Relationship Id="rId7144" Type="http://schemas.openxmlformats.org/officeDocument/2006/relationships/hyperlink" Target="https://ref.ly/Luke17:27" TargetMode="External"/><Relationship Id="rId7145" Type="http://schemas.openxmlformats.org/officeDocument/2006/relationships/hyperlink" Target="https://ref.ly/2Pet2:5" TargetMode="External"/><Relationship Id="rId7146" Type="http://schemas.openxmlformats.org/officeDocument/2006/relationships/hyperlink" Target="https://ref.ly/Gen1:26-Gen1:28" TargetMode="External"/><Relationship Id="rId7147" Type="http://schemas.openxmlformats.org/officeDocument/2006/relationships/hyperlink" Target="https://ref.ly/Heb11:7" TargetMode="External"/><Relationship Id="rId7148" Type="http://schemas.openxmlformats.org/officeDocument/2006/relationships/hyperlink" Target="https://ref.ly/Gen7:11" TargetMode="External"/><Relationship Id="rId7149" Type="http://schemas.openxmlformats.org/officeDocument/2006/relationships/hyperlink" Target="https://ref.ly/Gen7:6-Gen7:12,Gen7:24" TargetMode="External"/><Relationship Id="rId7150" Type="http://schemas.openxmlformats.org/officeDocument/2006/relationships/hyperlink" Target="https://ref.ly/Gen8:3-Gen8:6,Gen8:10-Gen8:14" TargetMode="External"/><Relationship Id="rId7151" Type="http://schemas.openxmlformats.org/officeDocument/2006/relationships/hyperlink" Target="https://ref.ly/Gen7:17-Gen7:20" TargetMode="External"/><Relationship Id="rId7152" Type="http://schemas.openxmlformats.org/officeDocument/2006/relationships/hyperlink" Target="https://ref.ly/Gen7:19" TargetMode="External"/><Relationship Id="rId7153" Type="http://schemas.openxmlformats.org/officeDocument/2006/relationships/hyperlink" Target="https://ref.ly/Gen47:13" TargetMode="External"/><Relationship Id="rId7154" Type="http://schemas.openxmlformats.org/officeDocument/2006/relationships/hyperlink" Target="https://ref.ly/Gen23:15" TargetMode="External"/><Relationship Id="rId7155" Type="http://schemas.openxmlformats.org/officeDocument/2006/relationships/hyperlink" Target="https://ref.ly/Gen30:21" TargetMode="External"/><Relationship Id="rId7156" Type="http://schemas.openxmlformats.org/officeDocument/2006/relationships/hyperlink" Target="https://ref.ly/Gen33:18" TargetMode="External"/><Relationship Id="rId7157" Type="http://schemas.openxmlformats.org/officeDocument/2006/relationships/hyperlink" Target="https://ref.ly/Gen34:1" TargetMode="External"/><Relationship Id="rId7158" Type="http://schemas.openxmlformats.org/officeDocument/2006/relationships/hyperlink" Target="https://ref.ly/Gen34:27-Gen34:31" TargetMode="External"/><Relationship Id="rId7159" Type="http://schemas.openxmlformats.org/officeDocument/2006/relationships/hyperlink" Target="https://ref.ly/Gen49:5" TargetMode="External"/><Relationship Id="rId7160" Type="http://schemas.openxmlformats.org/officeDocument/2006/relationships/hyperlink" Target="https://ref.ly/1Chr1:43" TargetMode="External"/><Relationship Id="rId7161" Type="http://schemas.openxmlformats.org/officeDocument/2006/relationships/hyperlink" Target="https://ref.ly/1Sam8:15" TargetMode="External"/><Relationship Id="rId7162" Type="http://schemas.openxmlformats.org/officeDocument/2006/relationships/hyperlink" Target="https://ref.ly/Ezek45:13-Ezek45:16" TargetMode="External"/><Relationship Id="rId7163" Type="http://schemas.openxmlformats.org/officeDocument/2006/relationships/hyperlink" Target="https://ref.ly/1Kgs5:11" TargetMode="External"/><Relationship Id="rId7164" Type="http://schemas.openxmlformats.org/officeDocument/2006/relationships/hyperlink" Target="https://ref.ly/Gen20:14-Gen20:16" TargetMode="External"/><Relationship Id="rId7165" Type="http://schemas.openxmlformats.org/officeDocument/2006/relationships/hyperlink" Target="https://ref.ly/Gen23:15-Gen23:16" TargetMode="External"/><Relationship Id="rId7166" Type="http://schemas.openxmlformats.org/officeDocument/2006/relationships/hyperlink" Target="https://ref.ly/Jer32:9-Jer32:10" TargetMode="External"/><Relationship Id="rId7167" Type="http://schemas.openxmlformats.org/officeDocument/2006/relationships/hyperlink" Target="https://ref.ly/Gen33:19" TargetMode="External"/><Relationship Id="rId7168" Type="http://schemas.openxmlformats.org/officeDocument/2006/relationships/hyperlink" Target="https://ref.ly/Josh24:32" TargetMode="External"/><Relationship Id="rId7169" Type="http://schemas.openxmlformats.org/officeDocument/2006/relationships/hyperlink" Target="https://ref.ly/Job42:11" TargetMode="External"/><Relationship Id="rId7170" Type="http://schemas.openxmlformats.org/officeDocument/2006/relationships/hyperlink" Target="https://ref.ly/Num31:50" TargetMode="External"/><Relationship Id="rId7171" Type="http://schemas.openxmlformats.org/officeDocument/2006/relationships/hyperlink" Target="https://ref.ly/Gen24:22" TargetMode="External"/><Relationship Id="rId7172" Type="http://schemas.openxmlformats.org/officeDocument/2006/relationships/hyperlink" Target="https://ref.ly/Deut14:25" TargetMode="External"/><Relationship Id="rId7173" Type="http://schemas.openxmlformats.org/officeDocument/2006/relationships/hyperlink" Target="https://ref.ly/Lev27:16" TargetMode="External"/><Relationship Id="rId7174" Type="http://schemas.openxmlformats.org/officeDocument/2006/relationships/hyperlink" Target="https://ref.ly/2Kgs7:16" TargetMode="External"/><Relationship Id="rId7175" Type="http://schemas.openxmlformats.org/officeDocument/2006/relationships/hyperlink" Target="https://ref.ly/1Macc15:6" TargetMode="External"/><Relationship Id="rId7176" Type="http://schemas.openxmlformats.org/officeDocument/2006/relationships/hyperlink" Target="https://ref.ly/Gen37:19-Gen37:22,Gen37:28-Gen37:30" TargetMode="External"/><Relationship Id="rId7177" Type="http://schemas.openxmlformats.org/officeDocument/2006/relationships/hyperlink" Target="https://ref.ly/Gen49:1-Gen49:4" TargetMode="External"/><Relationship Id="rId7178" Type="http://schemas.openxmlformats.org/officeDocument/2006/relationships/hyperlink" Target="https://ref.ly/Gen29:31-Gen29:35" TargetMode="External"/><Relationship Id="rId7179" Type="http://schemas.openxmlformats.org/officeDocument/2006/relationships/hyperlink" Target="https://ref.ly/Gen49:5-Gen49:7" TargetMode="External"/><Relationship Id="rId7180" Type="http://schemas.openxmlformats.org/officeDocument/2006/relationships/hyperlink" Target="https://ref.ly/Gen49:8-Gen49:10" TargetMode="External"/><Relationship Id="rId7181" Type="http://schemas.openxmlformats.org/officeDocument/2006/relationships/hyperlink" Target="https://ref.ly/Gen49:22-Gen49:26" TargetMode="External"/><Relationship Id="rId7182" Type="http://schemas.openxmlformats.org/officeDocument/2006/relationships/hyperlink" Target="https://ref.ly/1Chr5:1-1Chr5:2" TargetMode="External"/><Relationship Id="rId7183" Type="http://schemas.openxmlformats.org/officeDocument/2006/relationships/hyperlink" Target="https://ref.ly/Gen37:2-Gen37:4" TargetMode="External"/><Relationship Id="rId7184" Type="http://schemas.openxmlformats.org/officeDocument/2006/relationships/hyperlink" Target="https://ref.ly/Gen25:19-Gen25:34" TargetMode="External"/><Relationship Id="rId7185" Type="http://schemas.openxmlformats.org/officeDocument/2006/relationships/hyperlink" Target="https://ref.ly/Gen31:19,Gen31:32,Gen31:34" TargetMode="External"/><Relationship Id="rId7186" Type="http://schemas.openxmlformats.org/officeDocument/2006/relationships/hyperlink" Target="https://ref.ly/Gen21:9-Gen21:13" TargetMode="External"/><Relationship Id="rId7187" Type="http://schemas.openxmlformats.org/officeDocument/2006/relationships/hyperlink" Target="https://ref.ly/Judg11:1-Judg11:2" TargetMode="External"/><Relationship Id="rId7188" Type="http://schemas.openxmlformats.org/officeDocument/2006/relationships/hyperlink" Target="https://ref.ly/2Chr21:1-2Chr21:3" TargetMode="External"/><Relationship Id="rId7189" Type="http://schemas.openxmlformats.org/officeDocument/2006/relationships/hyperlink" Target="https://ref.ly/2Chr11:18-2Chr11:23" TargetMode="External"/><Relationship Id="rId7190" Type="http://schemas.openxmlformats.org/officeDocument/2006/relationships/hyperlink" Target="https://ref.ly/2Chr12:16" TargetMode="External"/><Relationship Id="rId7191" Type="http://schemas.openxmlformats.org/officeDocument/2006/relationships/hyperlink" Target="https://ref.ly/Heb12:16-Heb12:17" TargetMode="External"/><Relationship Id="rId7192" Type="http://schemas.openxmlformats.org/officeDocument/2006/relationships/hyperlink" Target="https://ref.ly/Gen27:1-Gen27:46" TargetMode="External"/><Relationship Id="rId7193" Type="http://schemas.openxmlformats.org/officeDocument/2006/relationships/hyperlink" Target="https://ref.ly/Exod19:1-Exod24:18" TargetMode="External"/><Relationship Id="rId7194" Type="http://schemas.openxmlformats.org/officeDocument/2006/relationships/hyperlink" Target="https://ref.ly/Exod20:4-Exod20:5" TargetMode="External"/><Relationship Id="rId7195" Type="http://schemas.openxmlformats.org/officeDocument/2006/relationships/hyperlink" Target="https://ref.ly/Lev20:2" TargetMode="External"/><Relationship Id="rId7196" Type="http://schemas.openxmlformats.org/officeDocument/2006/relationships/hyperlink" Target="https://ref.ly/Lev24:11-Lev24:16" TargetMode="External"/><Relationship Id="rId7197" Type="http://schemas.openxmlformats.org/officeDocument/2006/relationships/hyperlink" Target="https://ref.ly/Jer26:8-Jer26:9" TargetMode="External"/><Relationship Id="rId7198" Type="http://schemas.openxmlformats.org/officeDocument/2006/relationships/hyperlink" Target="https://ref.ly/Exod16:23" TargetMode="External"/><Relationship Id="rId7199" Type="http://schemas.openxmlformats.org/officeDocument/2006/relationships/hyperlink" Target="https://ref.ly/Num15:32-Num15:36" TargetMode="External"/><Relationship Id="rId7200" Type="http://schemas.openxmlformats.org/officeDocument/2006/relationships/hyperlink" Target="https://ref.ly/Exod22:29-Exod22:30" TargetMode="External"/><Relationship Id="rId7201" Type="http://schemas.openxmlformats.org/officeDocument/2006/relationships/hyperlink" Target="https://ref.ly/Exod21:12" TargetMode="External"/><Relationship Id="rId7202" Type="http://schemas.openxmlformats.org/officeDocument/2006/relationships/hyperlink" Target="https://ref.ly/Num35:10-Num35:28" TargetMode="External"/><Relationship Id="rId7203" Type="http://schemas.openxmlformats.org/officeDocument/2006/relationships/hyperlink" Target="https://ref.ly/Exod20:13" TargetMode="External"/><Relationship Id="rId7204" Type="http://schemas.openxmlformats.org/officeDocument/2006/relationships/hyperlink" Target="https://ref.ly/Num35:30" TargetMode="External"/><Relationship Id="rId7205" Type="http://schemas.openxmlformats.org/officeDocument/2006/relationships/hyperlink" Target="https://ref.ly/Deut19:15" TargetMode="External"/><Relationship Id="rId7206" Type="http://schemas.openxmlformats.org/officeDocument/2006/relationships/hyperlink" Target="https://ref.ly/Exod21:18-Exod21:19" TargetMode="External"/><Relationship Id="rId7207" Type="http://schemas.openxmlformats.org/officeDocument/2006/relationships/hyperlink" Target="https://ref.ly/Exod21:16" TargetMode="External"/><Relationship Id="rId7208" Type="http://schemas.openxmlformats.org/officeDocument/2006/relationships/hyperlink" Target="https://ref.ly/Exod22:6" TargetMode="External"/><Relationship Id="rId7209" Type="http://schemas.openxmlformats.org/officeDocument/2006/relationships/hyperlink" Target="https://ref.ly/Exod21:28-Exod21:32" TargetMode="External"/><Relationship Id="rId7210" Type="http://schemas.openxmlformats.org/officeDocument/2006/relationships/hyperlink" Target="https://ref.ly/Exod21:33-Exod21:36" TargetMode="External"/><Relationship Id="rId7211" Type="http://schemas.openxmlformats.org/officeDocument/2006/relationships/hyperlink" Target="https://ref.ly/Exod21:2-Exod21:7" TargetMode="External"/><Relationship Id="rId7212" Type="http://schemas.openxmlformats.org/officeDocument/2006/relationships/hyperlink" Target="https://ref.ly/Neh5:5-Neh5:8" TargetMode="External"/><Relationship Id="rId7213" Type="http://schemas.openxmlformats.org/officeDocument/2006/relationships/hyperlink" Target="https://ref.ly/Deut21:18-Deut21:21" TargetMode="External"/><Relationship Id="rId7214" Type="http://schemas.openxmlformats.org/officeDocument/2006/relationships/hyperlink" Target="https://ref.ly/Num27:8" TargetMode="External"/><Relationship Id="rId7215" Type="http://schemas.openxmlformats.org/officeDocument/2006/relationships/hyperlink" Target="https://ref.ly/Num5:12-Num5:31" TargetMode="External"/><Relationship Id="rId7216" Type="http://schemas.openxmlformats.org/officeDocument/2006/relationships/hyperlink" Target="https://ref.ly/Exod21:20-Exod21:21" TargetMode="External"/><Relationship Id="rId7217" Type="http://schemas.openxmlformats.org/officeDocument/2006/relationships/hyperlink" Target="https://ref.ly/Exod21:26-Exod21:27" TargetMode="External"/><Relationship Id="rId7218" Type="http://schemas.openxmlformats.org/officeDocument/2006/relationships/hyperlink" Target="https://ref.ly/Lev6:2-Lev6:7" TargetMode="External"/><Relationship Id="rId7219" Type="http://schemas.openxmlformats.org/officeDocument/2006/relationships/hyperlink" Target="https://ref.ly/Exod22:1-Exod22:4" TargetMode="External"/><Relationship Id="rId7220" Type="http://schemas.openxmlformats.org/officeDocument/2006/relationships/hyperlink" Target="https://ref.ly/Deut19:14" TargetMode="External"/><Relationship Id="rId7221" Type="http://schemas.openxmlformats.org/officeDocument/2006/relationships/hyperlink" Target="https://ref.ly/Lev19:35" TargetMode="External"/><Relationship Id="rId7222" Type="http://schemas.openxmlformats.org/officeDocument/2006/relationships/hyperlink" Target="https://ref.ly/Deut25:15" TargetMode="External"/><Relationship Id="rId7223" Type="http://schemas.openxmlformats.org/officeDocument/2006/relationships/hyperlink" Target="https://ref.ly/Exod23:8" TargetMode="External"/><Relationship Id="rId7224" Type="http://schemas.openxmlformats.org/officeDocument/2006/relationships/hyperlink" Target="https://ref.ly/Exod23:1" TargetMode="External"/><Relationship Id="rId7225" Type="http://schemas.openxmlformats.org/officeDocument/2006/relationships/hyperlink" Target="https://ref.ly/Exod22:21-Exod22:27" TargetMode="External"/><Relationship Id="rId7226" Type="http://schemas.openxmlformats.org/officeDocument/2006/relationships/hyperlink" Target="https://ref.ly/Deut23:19" TargetMode="External"/><Relationship Id="rId7227" Type="http://schemas.openxmlformats.org/officeDocument/2006/relationships/hyperlink" Target="https://ref.ly/Deut24:17" TargetMode="External"/><Relationship Id="rId7228" Type="http://schemas.openxmlformats.org/officeDocument/2006/relationships/hyperlink" Target="https://ref.ly/Exod21:17" TargetMode="External"/><Relationship Id="rId7229" Type="http://schemas.openxmlformats.org/officeDocument/2006/relationships/hyperlink" Target="https://ref.ly/Lev20:9" TargetMode="External"/><Relationship Id="rId7230" Type="http://schemas.openxmlformats.org/officeDocument/2006/relationships/hyperlink" Target="https://ref.ly/Deut27:16" TargetMode="External"/><Relationship Id="rId7231" Type="http://schemas.openxmlformats.org/officeDocument/2006/relationships/hyperlink" Target="https://ref.ly/Prov20:20" TargetMode="External"/><Relationship Id="rId7232" Type="http://schemas.openxmlformats.org/officeDocument/2006/relationships/hyperlink" Target="https://ref.ly/Prov30:17" TargetMode="External"/><Relationship Id="rId7233" Type="http://schemas.openxmlformats.org/officeDocument/2006/relationships/hyperlink" Target="https://ref.ly/Josh7:20-Josh7:26" TargetMode="External"/><Relationship Id="rId7234" Type="http://schemas.openxmlformats.org/officeDocument/2006/relationships/hyperlink" Target="https://ref.ly/2Sam3:29" TargetMode="External"/><Relationship Id="rId7235" Type="http://schemas.openxmlformats.org/officeDocument/2006/relationships/hyperlink" Target="https://ref.ly/2Sam21:1-2Sam21:9" TargetMode="External"/><Relationship Id="rId7236" Type="http://schemas.openxmlformats.org/officeDocument/2006/relationships/hyperlink" Target="https://ref.ly/Lam5:7" TargetMode="External"/><Relationship Id="rId7237" Type="http://schemas.openxmlformats.org/officeDocument/2006/relationships/hyperlink" Target="https://ref.ly/Exod22:18" TargetMode="External"/><Relationship Id="rId7238" Type="http://schemas.openxmlformats.org/officeDocument/2006/relationships/hyperlink" Target="https://ref.ly/Lev20:17-Lev20:21" TargetMode="External"/><Relationship Id="rId7239" Type="http://schemas.openxmlformats.org/officeDocument/2006/relationships/hyperlink" Target="https://ref.ly/Exod21:20" TargetMode="External"/><Relationship Id="rId7240" Type="http://schemas.openxmlformats.org/officeDocument/2006/relationships/hyperlink" Target="https://ref.ly/Prov13:24" TargetMode="External"/><Relationship Id="rId7241" Type="http://schemas.openxmlformats.org/officeDocument/2006/relationships/hyperlink" Target="https://ref.ly/Prov26:3" TargetMode="External"/><Relationship Id="rId7242" Type="http://schemas.openxmlformats.org/officeDocument/2006/relationships/hyperlink" Target="https://ref.ly/1Kgs12:11,1Kgs12:14" TargetMode="External"/><Relationship Id="rId7243" Type="http://schemas.openxmlformats.org/officeDocument/2006/relationships/hyperlink" Target="https://ref.ly/Deut25:1-Deut25:3" TargetMode="External"/><Relationship Id="rId7244" Type="http://schemas.openxmlformats.org/officeDocument/2006/relationships/hyperlink" Target="https://ref.ly/2Cor11:24" TargetMode="External"/><Relationship Id="rId7245" Type="http://schemas.openxmlformats.org/officeDocument/2006/relationships/hyperlink" Target="https://ref.ly/Matt10:17" TargetMode="External"/><Relationship Id="rId7246" Type="http://schemas.openxmlformats.org/officeDocument/2006/relationships/hyperlink" Target="https://ref.ly/Deut22:18" TargetMode="External"/><Relationship Id="rId7247" Type="http://schemas.openxmlformats.org/officeDocument/2006/relationships/hyperlink" Target="https://ref.ly/Acts22:24" TargetMode="External"/><Relationship Id="rId7248" Type="http://schemas.openxmlformats.org/officeDocument/2006/relationships/hyperlink" Target="https://ref.ly/Luke23:16,Luke23:22" TargetMode="External"/><Relationship Id="rId7249" Type="http://schemas.openxmlformats.org/officeDocument/2006/relationships/hyperlink" Target="https://ref.ly/John19:1" TargetMode="External"/><Relationship Id="rId7250" Type="http://schemas.openxmlformats.org/officeDocument/2006/relationships/hyperlink" Target="https://ref.ly/Acts22:25" TargetMode="External"/><Relationship Id="rId7251" Type="http://schemas.openxmlformats.org/officeDocument/2006/relationships/hyperlink" Target="https://ref.ly/2Kgs25:7" TargetMode="External"/><Relationship Id="rId7252" Type="http://schemas.openxmlformats.org/officeDocument/2006/relationships/hyperlink" Target="https://ref.ly/1Sam11:1-1Sam11:4" TargetMode="External"/><Relationship Id="rId7253" Type="http://schemas.openxmlformats.org/officeDocument/2006/relationships/hyperlink" Target="https://ref.ly/2Chr16:10" TargetMode="External"/><Relationship Id="rId7254" Type="http://schemas.openxmlformats.org/officeDocument/2006/relationships/hyperlink" Target="https://ref.ly/Jer20:2-Jer20:3" TargetMode="External"/><Relationship Id="rId7255" Type="http://schemas.openxmlformats.org/officeDocument/2006/relationships/hyperlink" Target="https://ref.ly/Acts16:24" TargetMode="External"/><Relationship Id="rId7256" Type="http://schemas.openxmlformats.org/officeDocument/2006/relationships/hyperlink" Target="https://ref.ly/2Kgs6:31-2Kgs6:32" TargetMode="External"/><Relationship Id="rId7257" Type="http://schemas.openxmlformats.org/officeDocument/2006/relationships/hyperlink" Target="https://ref.ly/Exod32:27" TargetMode="External"/><Relationship Id="rId7258" Type="http://schemas.openxmlformats.org/officeDocument/2006/relationships/hyperlink" Target="https://ref.ly/Deut13:15" TargetMode="External"/><Relationship Id="rId7259" Type="http://schemas.openxmlformats.org/officeDocument/2006/relationships/hyperlink" Target="https://ref.ly/Lev20:14" TargetMode="External"/><Relationship Id="rId7260" Type="http://schemas.openxmlformats.org/officeDocument/2006/relationships/hyperlink" Target="https://ref.ly/Lev21:9" TargetMode="External"/><Relationship Id="rId7261" Type="http://schemas.openxmlformats.org/officeDocument/2006/relationships/hyperlink" Target="https://ref.ly/Gen38:24" TargetMode="External"/><Relationship Id="rId7262" Type="http://schemas.openxmlformats.org/officeDocument/2006/relationships/hyperlink" Target="https://ref.ly/Num25:4" TargetMode="External"/><Relationship Id="rId7263" Type="http://schemas.openxmlformats.org/officeDocument/2006/relationships/hyperlink" Target="https://ref.ly/Josh8:29" TargetMode="External"/><Relationship Id="rId7264" Type="http://schemas.openxmlformats.org/officeDocument/2006/relationships/hyperlink" Target="https://ref.ly/2Sam21:6,2Sam21:9" TargetMode="External"/><Relationship Id="rId7265" Type="http://schemas.openxmlformats.org/officeDocument/2006/relationships/hyperlink" Target="https://ref.ly/Esth9:14" TargetMode="External"/><Relationship Id="rId7266" Type="http://schemas.openxmlformats.org/officeDocument/2006/relationships/hyperlink" Target="https://ref.ly/Ezra6:11-Ezra6:12" TargetMode="External"/><Relationship Id="rId7267" Type="http://schemas.openxmlformats.org/officeDocument/2006/relationships/hyperlink" Target="https://ref.ly/Esth7:9-Esth7:10" TargetMode="External"/><Relationship Id="rId7268" Type="http://schemas.openxmlformats.org/officeDocument/2006/relationships/hyperlink" Target="https://ref.ly/Josh10:26" TargetMode="External"/><Relationship Id="rId7269" Type="http://schemas.openxmlformats.org/officeDocument/2006/relationships/hyperlink" Target="https://ref.ly/2Sam4:12" TargetMode="External"/><Relationship Id="rId7270" Type="http://schemas.openxmlformats.org/officeDocument/2006/relationships/hyperlink" Target="https://ref.ly/Matt27:37" TargetMode="External"/><Relationship Id="rId7271" Type="http://schemas.openxmlformats.org/officeDocument/2006/relationships/hyperlink" Target="https://ref.ly/Lev24:16" TargetMode="External"/><Relationship Id="rId7272" Type="http://schemas.openxmlformats.org/officeDocument/2006/relationships/hyperlink" Target="https://ref.ly/Deut13:1-Deut13:10" TargetMode="External"/><Relationship Id="rId7273" Type="http://schemas.openxmlformats.org/officeDocument/2006/relationships/hyperlink" Target="https://ref.ly/Deut17:2-Deut17:5" TargetMode="External"/><Relationship Id="rId7274" Type="http://schemas.openxmlformats.org/officeDocument/2006/relationships/hyperlink" Target="https://ref.ly/Lev20:27" TargetMode="External"/><Relationship Id="rId7275" Type="http://schemas.openxmlformats.org/officeDocument/2006/relationships/hyperlink" Target="https://ref.ly/Acts7:58-Acts7:59" TargetMode="External"/><Relationship Id="rId7276" Type="http://schemas.openxmlformats.org/officeDocument/2006/relationships/hyperlink" Target="https://ref.ly/1Cor15:3" TargetMode="External"/><Relationship Id="rId7277" Type="http://schemas.openxmlformats.org/officeDocument/2006/relationships/hyperlink" Target="https://ref.ly/Gen36:21" TargetMode="External"/><Relationship Id="rId7278" Type="http://schemas.openxmlformats.org/officeDocument/2006/relationships/hyperlink" Target="https://ref.ly/1Chr1:38" TargetMode="External"/><Relationship Id="rId7279" Type="http://schemas.openxmlformats.org/officeDocument/2006/relationships/hyperlink" Target="https://ref.ly/Deut2:12" TargetMode="External"/><Relationship Id="rId7280" Type="http://schemas.openxmlformats.org/officeDocument/2006/relationships/hyperlink" Target="https://ref.ly/Deut27:26" TargetMode="External"/><Relationship Id="rId7281" Type="http://schemas.openxmlformats.org/officeDocument/2006/relationships/hyperlink" Target="https://ref.ly/Lev26:23" TargetMode="External"/><Relationship Id="rId7282" Type="http://schemas.openxmlformats.org/officeDocument/2006/relationships/hyperlink" Target="https://ref.ly/Deut4:36" TargetMode="External"/><Relationship Id="rId7283" Type="http://schemas.openxmlformats.org/officeDocument/2006/relationships/hyperlink" Target="https://ref.ly/Deut8:5" TargetMode="External"/><Relationship Id="rId7284" Type="http://schemas.openxmlformats.org/officeDocument/2006/relationships/hyperlink" Target="https://ref.ly/Jer31:18" TargetMode="External"/><Relationship Id="rId7285" Type="http://schemas.openxmlformats.org/officeDocument/2006/relationships/hyperlink" Target="https://ref.ly/Ps94:10" TargetMode="External"/><Relationship Id="rId7286" Type="http://schemas.openxmlformats.org/officeDocument/2006/relationships/hyperlink" Target="https://ref.ly/Ps94:10,Ps94:12" TargetMode="External"/><Relationship Id="rId7287" Type="http://schemas.openxmlformats.org/officeDocument/2006/relationships/hyperlink" Target="https://ref.ly/Heb12:5-Heb12:11" TargetMode="External"/><Relationship Id="rId7288" Type="http://schemas.openxmlformats.org/officeDocument/2006/relationships/hyperlink" Target="https://ref.ly/Prov19:18" TargetMode="External"/><Relationship Id="rId7289" Type="http://schemas.openxmlformats.org/officeDocument/2006/relationships/hyperlink" Target="https://ref.ly/Prov22:15" TargetMode="External"/><Relationship Id="rId7290" Type="http://schemas.openxmlformats.org/officeDocument/2006/relationships/hyperlink" Target="https://ref.ly/Prov23:13" TargetMode="External"/><Relationship Id="rId7291" Type="http://schemas.openxmlformats.org/officeDocument/2006/relationships/hyperlink" Target="https://ref.ly/Prov29:17" TargetMode="External"/><Relationship Id="rId7292" Type="http://schemas.openxmlformats.org/officeDocument/2006/relationships/hyperlink" Target="https://ref.ly/Eph6:4" TargetMode="External"/><Relationship Id="rId7293" Type="http://schemas.openxmlformats.org/officeDocument/2006/relationships/hyperlink" Target="https://ref.ly/Heb12:7-Heb12:10" TargetMode="External"/><Relationship Id="rId7294" Type="http://schemas.openxmlformats.org/officeDocument/2006/relationships/hyperlink" Target="https://ref.ly/Ps6:1" TargetMode="External"/><Relationship Id="rId7295" Type="http://schemas.openxmlformats.org/officeDocument/2006/relationships/hyperlink" Target="https://ref.ly/Deut11:2-Deut11:3" TargetMode="External"/><Relationship Id="rId7296" Type="http://schemas.openxmlformats.org/officeDocument/2006/relationships/hyperlink" Target="https://ref.ly/Prov3:11" TargetMode="External"/><Relationship Id="rId7297" Type="http://schemas.openxmlformats.org/officeDocument/2006/relationships/hyperlink" Target="https://ref.ly/Heb12:5" TargetMode="External"/><Relationship Id="rId7298" Type="http://schemas.openxmlformats.org/officeDocument/2006/relationships/hyperlink" Target="https://ref.ly/Ps50:17" TargetMode="External"/><Relationship Id="rId7299" Type="http://schemas.openxmlformats.org/officeDocument/2006/relationships/hyperlink" Target="https://ref.ly/Prov5:12" TargetMode="External"/><Relationship Id="rId7300" Type="http://schemas.openxmlformats.org/officeDocument/2006/relationships/hyperlink" Target="https://ref.ly/Prov3:11-Prov3:12" TargetMode="External"/><Relationship Id="rId7301" Type="http://schemas.openxmlformats.org/officeDocument/2006/relationships/hyperlink" Target="https://ref.ly/Heb12:5-Heb12:7" TargetMode="External"/><Relationship Id="rId7302" Type="http://schemas.openxmlformats.org/officeDocument/2006/relationships/hyperlink" Target="https://ref.ly/Prov12:1" TargetMode="External"/><Relationship Id="rId7303" Type="http://schemas.openxmlformats.org/officeDocument/2006/relationships/hyperlink" Target="https://ref.ly/2Tim1:7" TargetMode="External"/><Relationship Id="rId7304" Type="http://schemas.openxmlformats.org/officeDocument/2006/relationships/hyperlink" Target="https://ref.ly/Heb12:5,Heb12:9" TargetMode="External"/><Relationship Id="rId7305" Type="http://schemas.openxmlformats.org/officeDocument/2006/relationships/hyperlink" Target="https://ref.ly/Ps94:12" TargetMode="External"/><Relationship Id="rId7306" Type="http://schemas.openxmlformats.org/officeDocument/2006/relationships/hyperlink" Target="https://ref.ly/Job36:10" TargetMode="External"/><Relationship Id="rId7307" Type="http://schemas.openxmlformats.org/officeDocument/2006/relationships/hyperlink" Target="https://ref.ly/Prov6:23" TargetMode="External"/><Relationship Id="rId7308" Type="http://schemas.openxmlformats.org/officeDocument/2006/relationships/hyperlink" Target="https://ref.ly/1Cor11:32" TargetMode="External"/><Relationship Id="rId7309" Type="http://schemas.openxmlformats.org/officeDocument/2006/relationships/hyperlink" Target="https://ref.ly/Heb12:7" TargetMode="External"/><Relationship Id="rId7310" Type="http://schemas.openxmlformats.org/officeDocument/2006/relationships/hyperlink" Target="https://ref.ly/Heb12:11" TargetMode="External"/><Relationship Id="rId7311" Type="http://schemas.openxmlformats.org/officeDocument/2006/relationships/hyperlink" Target="https://ref.ly/Lev26:23-Lev26:24" TargetMode="External"/><Relationship Id="rId7312" Type="http://schemas.openxmlformats.org/officeDocument/2006/relationships/hyperlink" Target="https://ref.ly/Prov5:23" TargetMode="External"/><Relationship Id="rId7313" Type="http://schemas.openxmlformats.org/officeDocument/2006/relationships/hyperlink" Target="https://ref.ly/Prov5:12-Prov5:23" TargetMode="External"/><Relationship Id="rId7314" Type="http://schemas.openxmlformats.org/officeDocument/2006/relationships/hyperlink" Target="https://ref.ly/Prov6:23-Prov6:24" TargetMode="External"/><Relationship Id="rId7315" Type="http://schemas.openxmlformats.org/officeDocument/2006/relationships/hyperlink" Target="https://ref.ly/Matt5:17-Matt5:48" TargetMode="External"/><Relationship Id="rId7316" Type="http://schemas.openxmlformats.org/officeDocument/2006/relationships/hyperlink" Target="https://ref.ly/Rom8:1-Rom8:8" TargetMode="External"/><Relationship Id="rId7317" Type="http://schemas.openxmlformats.org/officeDocument/2006/relationships/hyperlink" Target="https://ref.ly/Rom12:2" TargetMode="External"/><Relationship Id="rId7318" Type="http://schemas.openxmlformats.org/officeDocument/2006/relationships/hyperlink" Target="https://ref.ly/Deut6:7" TargetMode="External"/><Relationship Id="rId7319" Type="http://schemas.openxmlformats.org/officeDocument/2006/relationships/hyperlink" Target="https://ref.ly/Prov22:6" TargetMode="External"/><Relationship Id="rId7320" Type="http://schemas.openxmlformats.org/officeDocument/2006/relationships/hyperlink" Target="https://ref.ly/Ps51:5" TargetMode="External"/><Relationship Id="rId7321" Type="http://schemas.openxmlformats.org/officeDocument/2006/relationships/hyperlink" Target="https://ref.ly/Eph4:25-Eph4:32" TargetMode="External"/><Relationship Id="rId7322" Type="http://schemas.openxmlformats.org/officeDocument/2006/relationships/hyperlink" Target="https://ref.ly/Eph5:1-Eph5:21" TargetMode="External"/><Relationship Id="rId7323" Type="http://schemas.openxmlformats.org/officeDocument/2006/relationships/hyperlink" Target="https://ref.ly/Matt18:15-Matt18:18" TargetMode="External"/><Relationship Id="rId7324" Type="http://schemas.openxmlformats.org/officeDocument/2006/relationships/hyperlink" Target="https://ref.ly/1Cor5:3-1Cor5:13" TargetMode="External"/><Relationship Id="rId7325" Type="http://schemas.openxmlformats.org/officeDocument/2006/relationships/hyperlink" Target="https://ref.ly/2Thess3:14-2Thess3:15" TargetMode="External"/><Relationship Id="rId7326" Type="http://schemas.openxmlformats.org/officeDocument/2006/relationships/hyperlink" Target="https://ref.ly/Isa8:16" TargetMode="External"/><Relationship Id="rId7327" Type="http://schemas.openxmlformats.org/officeDocument/2006/relationships/hyperlink" Target="https://ref.ly/Isa50:4" TargetMode="External"/><Relationship Id="rId7328" Type="http://schemas.openxmlformats.org/officeDocument/2006/relationships/hyperlink" Target="https://ref.ly/Isa54:13" TargetMode="External"/><Relationship Id="rId7329" Type="http://schemas.openxmlformats.org/officeDocument/2006/relationships/hyperlink" Target="https://ref.ly/Mark2:18" TargetMode="External"/><Relationship Id="rId7330" Type="http://schemas.openxmlformats.org/officeDocument/2006/relationships/hyperlink" Target="https://ref.ly/Luke5:33" TargetMode="External"/><Relationship Id="rId7331" Type="http://schemas.openxmlformats.org/officeDocument/2006/relationships/hyperlink" Target="https://ref.ly/Matt9:14" TargetMode="External"/><Relationship Id="rId7332" Type="http://schemas.openxmlformats.org/officeDocument/2006/relationships/hyperlink" Target="https://ref.ly/Luke11:1" TargetMode="External"/><Relationship Id="rId7333" Type="http://schemas.openxmlformats.org/officeDocument/2006/relationships/hyperlink" Target="https://ref.ly/Mark10:21" TargetMode="External"/><Relationship Id="rId7334" Type="http://schemas.openxmlformats.org/officeDocument/2006/relationships/hyperlink" Target="https://ref.ly/John16:12" TargetMode="External"/><Relationship Id="rId7335" Type="http://schemas.openxmlformats.org/officeDocument/2006/relationships/hyperlink" Target="https://ref.ly/Matt26:20" TargetMode="External"/><Relationship Id="rId7336" Type="http://schemas.openxmlformats.org/officeDocument/2006/relationships/hyperlink" Target="https://ref.ly/Luke10:1-Luke10:11" TargetMode="External"/><Relationship Id="rId7337" Type="http://schemas.openxmlformats.org/officeDocument/2006/relationships/hyperlink" Target="https://ref.ly/Acts1:26" TargetMode="External"/><Relationship Id="rId7338" Type="http://schemas.openxmlformats.org/officeDocument/2006/relationships/hyperlink" Target="https://ref.ly/Matt28:16-Matt28:20" TargetMode="External"/><Relationship Id="rId7339" Type="http://schemas.openxmlformats.org/officeDocument/2006/relationships/hyperlink" Target="https://ref.ly/Luke22:24-Luke22:30" TargetMode="External"/><Relationship Id="rId7340" Type="http://schemas.openxmlformats.org/officeDocument/2006/relationships/hyperlink" Target="https://ref.ly/Acts6:1-Acts6:2" TargetMode="External"/><Relationship Id="rId7341" Type="http://schemas.openxmlformats.org/officeDocument/2006/relationships/hyperlink" Target="https://ref.ly/Acts9:36" TargetMode="External"/><Relationship Id="rId7342" Type="http://schemas.openxmlformats.org/officeDocument/2006/relationships/hyperlink" Target="https://ref.ly/1John2:3-1John2:6" TargetMode="External"/><Relationship Id="rId7343" Type="http://schemas.openxmlformats.org/officeDocument/2006/relationships/hyperlink" Target="https://ref.ly/1John3:10-1John3:11" TargetMode="External"/><Relationship Id="rId7344" Type="http://schemas.openxmlformats.org/officeDocument/2006/relationships/hyperlink" Target="https://ref.ly/John21:20-John21:24" TargetMode="External"/><Relationship Id="rId7345" Type="http://schemas.openxmlformats.org/officeDocument/2006/relationships/hyperlink" Target="https://ref.ly/John13:21-John13:26" TargetMode="External"/><Relationship Id="rId7346" Type="http://schemas.openxmlformats.org/officeDocument/2006/relationships/hyperlink" Target="https://ref.ly/John19:25-John19:27" TargetMode="External"/><Relationship Id="rId7347" Type="http://schemas.openxmlformats.org/officeDocument/2006/relationships/hyperlink" Target="https://ref.ly/John20:2" TargetMode="External"/><Relationship Id="rId7348" Type="http://schemas.openxmlformats.org/officeDocument/2006/relationships/hyperlink" Target="https://ref.ly/John21:7" TargetMode="External"/><Relationship Id="rId7349" Type="http://schemas.openxmlformats.org/officeDocument/2006/relationships/hyperlink" Target="https://ref.ly/John21:20-John21:23" TargetMode="External"/><Relationship Id="rId7350" Type="http://schemas.openxmlformats.org/officeDocument/2006/relationships/hyperlink" Target="https://ref.ly/Mark14:17-Mark14:20" TargetMode="External"/><Relationship Id="rId7351" Type="http://schemas.openxmlformats.org/officeDocument/2006/relationships/hyperlink" Target="https://ref.ly/Luke22:14" TargetMode="External"/><Relationship Id="rId7352" Type="http://schemas.openxmlformats.org/officeDocument/2006/relationships/hyperlink" Target="https://ref.ly/John13:23-John13:24" TargetMode="External"/><Relationship Id="rId7353" Type="http://schemas.openxmlformats.org/officeDocument/2006/relationships/hyperlink" Target="https://ref.ly/Acts8:14" TargetMode="External"/><Relationship Id="rId7354" Type="http://schemas.openxmlformats.org/officeDocument/2006/relationships/hyperlink" Target="https://ref.ly/Gal2:9" TargetMode="External"/><Relationship Id="rId7355" Type="http://schemas.openxmlformats.org/officeDocument/2006/relationships/hyperlink" Target="https://ref.ly/2Chr21:14-2Chr21:19" TargetMode="External"/><Relationship Id="rId7356" Type="http://schemas.openxmlformats.org/officeDocument/2006/relationships/hyperlink" Target="https://ref.ly/Gen36:25" TargetMode="External"/><Relationship Id="rId7357" Type="http://schemas.openxmlformats.org/officeDocument/2006/relationships/hyperlink" Target="https://ref.ly/1Chr1:41" TargetMode="External"/><Relationship Id="rId7358" Type="http://schemas.openxmlformats.org/officeDocument/2006/relationships/hyperlink" Target="https://ref.ly/Prov16:33" TargetMode="External"/><Relationship Id="rId7359" Type="http://schemas.openxmlformats.org/officeDocument/2006/relationships/hyperlink" Target="https://ref.ly/Num26:52-Num26:56" TargetMode="External"/><Relationship Id="rId7360" Type="http://schemas.openxmlformats.org/officeDocument/2006/relationships/hyperlink" Target="https://ref.ly/Num34:1-Num34:29" TargetMode="External"/><Relationship Id="rId7361" Type="http://schemas.openxmlformats.org/officeDocument/2006/relationships/hyperlink" Target="https://ref.ly/Josh13:1-Josh19:22" TargetMode="External"/><Relationship Id="rId7362" Type="http://schemas.openxmlformats.org/officeDocument/2006/relationships/hyperlink" Target="https://ref.ly/Josh19:1-Josh19:51" TargetMode="External"/><Relationship Id="rId7363" Type="http://schemas.openxmlformats.org/officeDocument/2006/relationships/hyperlink" Target="https://ref.ly/2Kgs4:1-2Kgs4:7" TargetMode="External"/><Relationship Id="rId7364" Type="http://schemas.openxmlformats.org/officeDocument/2006/relationships/hyperlink" Target="https://ref.ly/Lev25:37" TargetMode="External"/><Relationship Id="rId7365" Type="http://schemas.openxmlformats.org/officeDocument/2006/relationships/hyperlink" Target="https://ref.ly/Lev25:35-Lev25:37" TargetMode="External"/><Relationship Id="rId7366" Type="http://schemas.openxmlformats.org/officeDocument/2006/relationships/hyperlink" Target="https://ref.ly/Deut15:6" TargetMode="External"/><Relationship Id="rId7367" Type="http://schemas.openxmlformats.org/officeDocument/2006/relationships/hyperlink" Target="https://ref.ly/Deut28:12" TargetMode="External"/><Relationship Id="rId7368" Type="http://schemas.openxmlformats.org/officeDocument/2006/relationships/hyperlink" Target="https://ref.ly/Lev26:14,Lev26:20" TargetMode="External"/><Relationship Id="rId7369" Type="http://schemas.openxmlformats.org/officeDocument/2006/relationships/hyperlink" Target="https://ref.ly/1Sam22:2" TargetMode="External"/><Relationship Id="rId7370" Type="http://schemas.openxmlformats.org/officeDocument/2006/relationships/hyperlink" Target="https://ref.ly/Ezek18:5-Ezek18:18" TargetMode="External"/><Relationship Id="rId7371" Type="http://schemas.openxmlformats.org/officeDocument/2006/relationships/hyperlink" Target="https://ref.ly/Prov28:8" TargetMode="External"/><Relationship Id="rId7372" Type="http://schemas.openxmlformats.org/officeDocument/2006/relationships/hyperlink" Target="https://ref.ly/Amos5:11" TargetMode="External"/><Relationship Id="rId7373" Type="http://schemas.openxmlformats.org/officeDocument/2006/relationships/hyperlink" Target="https://ref.ly/Deut24:6" TargetMode="External"/><Relationship Id="rId7374" Type="http://schemas.openxmlformats.org/officeDocument/2006/relationships/hyperlink" Target="https://ref.ly/Deut24:10-Deut24:13" TargetMode="External"/><Relationship Id="rId7375" Type="http://schemas.openxmlformats.org/officeDocument/2006/relationships/hyperlink" Target="https://ref.ly/Prov6:1-Prov6:3" TargetMode="External"/><Relationship Id="rId7376" Type="http://schemas.openxmlformats.org/officeDocument/2006/relationships/hyperlink" Target="https://ref.ly/Prov11:15" TargetMode="External"/><Relationship Id="rId7377" Type="http://schemas.openxmlformats.org/officeDocument/2006/relationships/hyperlink" Target="https://ref.ly/Prov17:18" TargetMode="External"/><Relationship Id="rId7378" Type="http://schemas.openxmlformats.org/officeDocument/2006/relationships/hyperlink" Target="https://ref.ly/Prov22:26" TargetMode="External"/><Relationship Id="rId7379" Type="http://schemas.openxmlformats.org/officeDocument/2006/relationships/hyperlink" Target="https://ref.ly/Prov27:13" TargetMode="External"/><Relationship Id="rId7380" Type="http://schemas.openxmlformats.org/officeDocument/2006/relationships/hyperlink" Target="https://ref.ly/Deut15:1-Deut15:12" TargetMode="External"/><Relationship Id="rId7381" Type="http://schemas.openxmlformats.org/officeDocument/2006/relationships/hyperlink" Target="https://ref.ly/Exod21:2" TargetMode="External"/><Relationship Id="rId7382" Type="http://schemas.openxmlformats.org/officeDocument/2006/relationships/hyperlink" Target="https://ref.ly/Exod23:10-Exod23:11" TargetMode="External"/><Relationship Id="rId7383" Type="http://schemas.openxmlformats.org/officeDocument/2006/relationships/hyperlink" Target="https://ref.ly/Lev25:13-Lev25:17" TargetMode="External"/><Relationship Id="rId7384" Type="http://schemas.openxmlformats.org/officeDocument/2006/relationships/hyperlink" Target="https://ref.ly/Matt18:23-Matt18:35" TargetMode="External"/><Relationship Id="rId7385" Type="http://schemas.openxmlformats.org/officeDocument/2006/relationships/hyperlink" Target="https://ref.ly/Matt25:14-Matt25:28" TargetMode="External"/><Relationship Id="rId7386" Type="http://schemas.openxmlformats.org/officeDocument/2006/relationships/hyperlink" Target="https://ref.ly/Luke19:12-Luke19:24" TargetMode="External"/><Relationship Id="rId7387" Type="http://schemas.openxmlformats.org/officeDocument/2006/relationships/hyperlink" Target="https://ref.ly/Rom13:8" TargetMode="External"/><Relationship Id="rId7388" Type="http://schemas.openxmlformats.org/officeDocument/2006/relationships/hyperlink" Target="https://ref.ly/Matt5:42" TargetMode="External"/><Relationship Id="rId7389" Type="http://schemas.openxmlformats.org/officeDocument/2006/relationships/hyperlink" Target="https://ref.ly/Luke13:2" TargetMode="External"/><Relationship Id="rId7390" Type="http://schemas.openxmlformats.org/officeDocument/2006/relationships/hyperlink" Target="https://ref.ly/Luke13:4" TargetMode="External"/><Relationship Id="rId7391" Type="http://schemas.openxmlformats.org/officeDocument/2006/relationships/hyperlink" Target="https://ref.ly/Matt6:12" TargetMode="External"/><Relationship Id="rId7392" Type="http://schemas.openxmlformats.org/officeDocument/2006/relationships/hyperlink" Target="https://ref.ly/Luke11:4" TargetMode="External"/><Relationship Id="rId7393" Type="http://schemas.openxmlformats.org/officeDocument/2006/relationships/hyperlink" Target="https://ref.ly/John8:34" TargetMode="External"/><Relationship Id="rId7394" Type="http://schemas.openxmlformats.org/officeDocument/2006/relationships/hyperlink" Target="https://ref.ly/John3:16-John3:18" TargetMode="External"/><Relationship Id="rId7395" Type="http://schemas.openxmlformats.org/officeDocument/2006/relationships/hyperlink" Target="https://ref.ly/Heb7:22" TargetMode="External"/><Relationship Id="rId7396" Type="http://schemas.openxmlformats.org/officeDocument/2006/relationships/hyperlink" Target="https://ref.ly/Rom1:14-Rom1:15" TargetMode="External"/><Relationship Id="rId7397" Type="http://schemas.openxmlformats.org/officeDocument/2006/relationships/hyperlink" Target="https://ref.ly/Rom15:26-Rom15:27" TargetMode="External"/><Relationship Id="rId7398" Type="http://schemas.openxmlformats.org/officeDocument/2006/relationships/hyperlink" Target="https://ref.ly/1Sam5:1-1Sam5:7" TargetMode="External"/><Relationship Id="rId7399" Type="http://schemas.openxmlformats.org/officeDocument/2006/relationships/hyperlink" Target="https://ref.ly/Judg2:13" TargetMode="External"/><Relationship Id="rId7400" Type="http://schemas.openxmlformats.org/officeDocument/2006/relationships/hyperlink" Target="https://ref.ly/2Kgs3:27" TargetMode="External"/><Relationship Id="rId7401" Type="http://schemas.openxmlformats.org/officeDocument/2006/relationships/hyperlink" Target="https://ref.ly/Matt19:6" TargetMode="External"/><Relationship Id="rId7402" Type="http://schemas.openxmlformats.org/officeDocument/2006/relationships/hyperlink" Target="https://ref.ly/Gen2:22" TargetMode="External"/><Relationship Id="rId7403" Type="http://schemas.openxmlformats.org/officeDocument/2006/relationships/hyperlink" Target="https://ref.ly/Gen1:27" TargetMode="External"/><Relationship Id="rId7404" Type="http://schemas.openxmlformats.org/officeDocument/2006/relationships/hyperlink" Target="https://ref.ly/Gen4:19" TargetMode="External"/><Relationship Id="rId7405" Type="http://schemas.openxmlformats.org/officeDocument/2006/relationships/hyperlink" Target="https://ref.ly/Gen16:3" TargetMode="External"/><Relationship Id="rId7406" Type="http://schemas.openxmlformats.org/officeDocument/2006/relationships/hyperlink" Target="https://ref.ly/Matt19:8" TargetMode="External"/><Relationship Id="rId7407" Type="http://schemas.openxmlformats.org/officeDocument/2006/relationships/hyperlink" Target="https://ref.ly/Deut24:4" TargetMode="External"/><Relationship Id="rId7408" Type="http://schemas.openxmlformats.org/officeDocument/2006/relationships/hyperlink" Target="https://ref.ly/Mal2:16" TargetMode="External"/><Relationship Id="rId7409" Type="http://schemas.openxmlformats.org/officeDocument/2006/relationships/hyperlink" Target="https://ref.ly/Eph5:25" TargetMode="External"/><Relationship Id="rId7410" Type="http://schemas.openxmlformats.org/officeDocument/2006/relationships/hyperlink" Target="https://ref.ly/1Tim5:8" TargetMode="External"/><Relationship Id="rId7411" Type="http://schemas.openxmlformats.org/officeDocument/2006/relationships/hyperlink" Target="https://ref.ly/1Cor7:39" TargetMode="External"/><Relationship Id="rId7412" Type="http://schemas.openxmlformats.org/officeDocument/2006/relationships/hyperlink" Target="https://ref.ly/1Cor7:9" TargetMode="External"/><Relationship Id="rId7413" Type="http://schemas.openxmlformats.org/officeDocument/2006/relationships/hyperlink" Target="https://ref.ly/Matt5:31" TargetMode="External"/><Relationship Id="rId7414" Type="http://schemas.openxmlformats.org/officeDocument/2006/relationships/hyperlink" Target="https://ref.ly/Matt19:7" TargetMode="External"/><Relationship Id="rId7415" Type="http://schemas.openxmlformats.org/officeDocument/2006/relationships/hyperlink" Target="https://ref.ly/Mark10:4" TargetMode="External"/><Relationship Id="rId7416" Type="http://schemas.openxmlformats.org/officeDocument/2006/relationships/hyperlink" Target="https://ref.ly/Jer3:8" TargetMode="External"/><Relationship Id="rId7417" Type="http://schemas.openxmlformats.org/officeDocument/2006/relationships/hyperlink" Target="https://ref.ly/Gen14:20" TargetMode="External"/><Relationship Id="rId7418" Type="http://schemas.openxmlformats.org/officeDocument/2006/relationships/hyperlink" Target="https://ref.ly/Deut12:2-Deut12:7,Deut12:17-Deut12:19" TargetMode="External"/><Relationship Id="rId7419" Type="http://schemas.openxmlformats.org/officeDocument/2006/relationships/hyperlink" Target="https://ref.ly/Deut12:2-Deut12:7" TargetMode="External"/><Relationship Id="rId7420" Type="http://schemas.openxmlformats.org/officeDocument/2006/relationships/hyperlink" Target="https://ref.ly/Deut14:22-Deut14:29" TargetMode="External"/><Relationship Id="rId7421" Type="http://schemas.openxmlformats.org/officeDocument/2006/relationships/hyperlink" Target="https://ref.ly/Deut26:12" TargetMode="External"/><Relationship Id="rId7422" Type="http://schemas.openxmlformats.org/officeDocument/2006/relationships/hyperlink" Target="https://ref.ly/Mal3:8-Mal3:10" TargetMode="External"/><Relationship Id="rId7423" Type="http://schemas.openxmlformats.org/officeDocument/2006/relationships/hyperlink" Target="https://ref.ly/Gen28:22" TargetMode="External"/><Relationship Id="rId7424" Type="http://schemas.openxmlformats.org/officeDocument/2006/relationships/hyperlink" Target="https://ref.ly/Heb7:1-Heb7:28" TargetMode="External"/><Relationship Id="rId7425" Type="http://schemas.openxmlformats.org/officeDocument/2006/relationships/hyperlink" Target="https://ref.ly/Luke18:12" TargetMode="External"/><Relationship Id="rId7426" Type="http://schemas.openxmlformats.org/officeDocument/2006/relationships/hyperlink" Target="https://ref.ly/Gen10:4" TargetMode="External"/><Relationship Id="rId7427" Type="http://schemas.openxmlformats.org/officeDocument/2006/relationships/hyperlink" Target="https://ref.ly/1Chr1:7" TargetMode="External"/><Relationship Id="rId7428" Type="http://schemas.openxmlformats.org/officeDocument/2006/relationships/hyperlink" Target="https://ref.ly/1Sam21:7" TargetMode="External"/><Relationship Id="rId7429" Type="http://schemas.openxmlformats.org/officeDocument/2006/relationships/hyperlink" Target="https://ref.ly/Num6:13" TargetMode="External"/><Relationship Id="rId7430" Type="http://schemas.openxmlformats.org/officeDocument/2006/relationships/hyperlink" Target="https://ref.ly/1Sam21:9" TargetMode="External"/><Relationship Id="rId7431" Type="http://schemas.openxmlformats.org/officeDocument/2006/relationships/hyperlink" Target="https://ref.ly/1Sam22:9-1Sam22:10" TargetMode="External"/><Relationship Id="rId7432" Type="http://schemas.openxmlformats.org/officeDocument/2006/relationships/hyperlink" Target="https://ref.ly/Ps52:1" TargetMode="External"/><Relationship Id="rId7433" Type="http://schemas.openxmlformats.org/officeDocument/2006/relationships/hyperlink" Target="https://ref.ly/1Sam22:18-1Sam22:19" TargetMode="External"/><Relationship Id="rId7434" Type="http://schemas.openxmlformats.org/officeDocument/2006/relationships/hyperlink" Target="https://ref.ly/John5:7" TargetMode="External"/><Relationship Id="rId7435" Type="http://schemas.openxmlformats.org/officeDocument/2006/relationships/hyperlink" Target="https://ref.ly/Isa45:21" TargetMode="External"/><Relationship Id="rId7436" Type="http://schemas.openxmlformats.org/officeDocument/2006/relationships/hyperlink" Target="https://ref.ly/Isa45:7" TargetMode="External"/><Relationship Id="rId7437" Type="http://schemas.openxmlformats.org/officeDocument/2006/relationships/hyperlink" Target="https://ref.ly/2Sam24:1" TargetMode="External"/><Relationship Id="rId7438" Type="http://schemas.openxmlformats.org/officeDocument/2006/relationships/hyperlink" Target="https://ref.ly/Num12:1-Num12:16" TargetMode="External"/><Relationship Id="rId7439" Type="http://schemas.openxmlformats.org/officeDocument/2006/relationships/hyperlink" Target="https://ref.ly/2Kgs19:34-2Kgs19:36" TargetMode="External"/><Relationship Id="rId7440" Type="http://schemas.openxmlformats.org/officeDocument/2006/relationships/hyperlink" Target="https://ref.ly/Job1:12" TargetMode="External"/><Relationship Id="rId7441" Type="http://schemas.openxmlformats.org/officeDocument/2006/relationships/hyperlink" Target="https://ref.ly/Exod20:5" TargetMode="External"/><Relationship Id="rId7442" Type="http://schemas.openxmlformats.org/officeDocument/2006/relationships/hyperlink" Target="https://ref.ly/Lev26:29" TargetMode="External"/><Relationship Id="rId7443" Type="http://schemas.openxmlformats.org/officeDocument/2006/relationships/hyperlink" Target="https://ref.ly/1Kgs17:18" TargetMode="External"/><Relationship Id="rId7444" Type="http://schemas.openxmlformats.org/officeDocument/2006/relationships/hyperlink" Target="https://ref.ly/Job21:19" TargetMode="External"/><Relationship Id="rId7445" Type="http://schemas.openxmlformats.org/officeDocument/2006/relationships/hyperlink" Target="https://ref.ly/2Sam12:15" TargetMode="External"/><Relationship Id="rId7446" Type="http://schemas.openxmlformats.org/officeDocument/2006/relationships/hyperlink" Target="https://ref.ly/John9:2" TargetMode="External"/><Relationship Id="rId7447" Type="http://schemas.openxmlformats.org/officeDocument/2006/relationships/hyperlink" Target="https://ref.ly/Exod15:26" TargetMode="External"/><Relationship Id="rId7448" Type="http://schemas.openxmlformats.org/officeDocument/2006/relationships/hyperlink" Target="https://ref.ly/Prov3:1-Prov3:2" TargetMode="External"/><Relationship Id="rId7449" Type="http://schemas.openxmlformats.org/officeDocument/2006/relationships/hyperlink" Target="https://ref.ly/Gen50:2" TargetMode="External"/><Relationship Id="rId7450" Type="http://schemas.openxmlformats.org/officeDocument/2006/relationships/hyperlink" Target="https://ref.ly/2Chr16:12" TargetMode="External"/><Relationship Id="rId7451" Type="http://schemas.openxmlformats.org/officeDocument/2006/relationships/hyperlink" Target="https://ref.ly/Jer8:22" TargetMode="External"/><Relationship Id="rId7452" Type="http://schemas.openxmlformats.org/officeDocument/2006/relationships/hyperlink" Target="https://ref.ly/Mark5:26" TargetMode="External"/><Relationship Id="rId7453" Type="http://schemas.openxmlformats.org/officeDocument/2006/relationships/hyperlink" Target="https://ref.ly/Matt9:12" TargetMode="External"/><Relationship Id="rId7454" Type="http://schemas.openxmlformats.org/officeDocument/2006/relationships/hyperlink" Target="https://ref.ly/Prov31:6" TargetMode="External"/><Relationship Id="rId7455" Type="http://schemas.openxmlformats.org/officeDocument/2006/relationships/hyperlink" Target="https://ref.ly/1Tim5:23" TargetMode="External"/><Relationship Id="rId7456" Type="http://schemas.openxmlformats.org/officeDocument/2006/relationships/hyperlink" Target="https://ref.ly/Luke13:16" TargetMode="External"/><Relationship Id="rId7457" Type="http://schemas.openxmlformats.org/officeDocument/2006/relationships/hyperlink" Target="https://ref.ly/Luke7:19-Luke7:23" TargetMode="External"/><Relationship Id="rId7458" Type="http://schemas.openxmlformats.org/officeDocument/2006/relationships/hyperlink" Target="https://ref.ly/John10:10" TargetMode="External"/><Relationship Id="rId7459" Type="http://schemas.openxmlformats.org/officeDocument/2006/relationships/hyperlink" Target="https://ref.ly/John9:3" TargetMode="External"/><Relationship Id="rId7460" Type="http://schemas.openxmlformats.org/officeDocument/2006/relationships/hyperlink" Target="https://ref.ly/Luke5:12-Luke5:13" TargetMode="External"/><Relationship Id="rId7461" Type="http://schemas.openxmlformats.org/officeDocument/2006/relationships/hyperlink" Target="https://ref.ly/John4:5-John4:30" TargetMode="External"/><Relationship Id="rId7462" Type="http://schemas.openxmlformats.org/officeDocument/2006/relationships/hyperlink" Target="https://ref.ly/Lev21:20" TargetMode="External"/><Relationship Id="rId7463" Type="http://schemas.openxmlformats.org/officeDocument/2006/relationships/hyperlink" Target="https://ref.ly/Lev22:22" TargetMode="External"/><Relationship Id="rId7464" Type="http://schemas.openxmlformats.org/officeDocument/2006/relationships/hyperlink" Target="https://ref.ly/Deut28:27" TargetMode="External"/><Relationship Id="rId7465" Type="http://schemas.openxmlformats.org/officeDocument/2006/relationships/hyperlink" Target="https://ref.ly/2Chr21:15-2Chr21:19" TargetMode="External"/><Relationship Id="rId7466" Type="http://schemas.openxmlformats.org/officeDocument/2006/relationships/hyperlink" Target="https://ref.ly/Num33:12-Num33:13" TargetMode="External"/><Relationship Id="rId7467" Type="http://schemas.openxmlformats.org/officeDocument/2006/relationships/hyperlink" Target="https://ref.ly/Acts9:36-Acts9:41" TargetMode="External"/><Relationship Id="rId7468" Type="http://schemas.openxmlformats.org/officeDocument/2006/relationships/hyperlink" Target="https://ref.ly/Ps4:8" TargetMode="External"/><Relationship Id="rId7469" Type="http://schemas.openxmlformats.org/officeDocument/2006/relationships/hyperlink" Target="https://ref.ly/Ps127:2" TargetMode="External"/><Relationship Id="rId7470" Type="http://schemas.openxmlformats.org/officeDocument/2006/relationships/hyperlink" Target="https://ref.ly/Esth6:1" TargetMode="External"/><Relationship Id="rId7471" Type="http://schemas.openxmlformats.org/officeDocument/2006/relationships/hyperlink" Target="https://ref.ly/Dan6:18" TargetMode="External"/><Relationship Id="rId7472" Type="http://schemas.openxmlformats.org/officeDocument/2006/relationships/hyperlink" Target="https://ref.ly/Gen2:21" TargetMode="External"/><Relationship Id="rId7473" Type="http://schemas.openxmlformats.org/officeDocument/2006/relationships/hyperlink" Target="https://ref.ly/Gen15:12" TargetMode="External"/><Relationship Id="rId7474" Type="http://schemas.openxmlformats.org/officeDocument/2006/relationships/hyperlink" Target="https://ref.ly/1Sam26:12" TargetMode="External"/><Relationship Id="rId7475" Type="http://schemas.openxmlformats.org/officeDocument/2006/relationships/hyperlink" Target="https://ref.ly/Gen28:11-Gen28:16" TargetMode="External"/><Relationship Id="rId7476" Type="http://schemas.openxmlformats.org/officeDocument/2006/relationships/hyperlink" Target="https://ref.ly/Job4:13-Job4:17" TargetMode="External"/><Relationship Id="rId7477" Type="http://schemas.openxmlformats.org/officeDocument/2006/relationships/hyperlink" Target="https://ref.ly/Matt1:20-Matt1:24" TargetMode="External"/><Relationship Id="rId7478" Type="http://schemas.openxmlformats.org/officeDocument/2006/relationships/hyperlink" Target="https://ref.ly/Prov20:13" TargetMode="External"/><Relationship Id="rId7479" Type="http://schemas.openxmlformats.org/officeDocument/2006/relationships/hyperlink" Target="https://ref.ly/Prov6:9-Prov6:11" TargetMode="External"/><Relationship Id="rId7480" Type="http://schemas.openxmlformats.org/officeDocument/2006/relationships/hyperlink" Target="https://ref.ly/Prov10:5" TargetMode="External"/><Relationship Id="rId7481" Type="http://schemas.openxmlformats.org/officeDocument/2006/relationships/hyperlink" Target="https://ref.ly/Prov24:32-Prov24:34" TargetMode="External"/><Relationship Id="rId7482" Type="http://schemas.openxmlformats.org/officeDocument/2006/relationships/hyperlink" Target="https://ref.ly/Mark13:35-Mark13:37" TargetMode="External"/><Relationship Id="rId7483" Type="http://schemas.openxmlformats.org/officeDocument/2006/relationships/hyperlink" Target="https://ref.ly/Matt25:1-Matt25:13" TargetMode="External"/><Relationship Id="rId7484" Type="http://schemas.openxmlformats.org/officeDocument/2006/relationships/hyperlink" Target="https://ref.ly/Matt26:40-Matt26:46" TargetMode="External"/><Relationship Id="rId7485" Type="http://schemas.openxmlformats.org/officeDocument/2006/relationships/hyperlink" Target="https://ref.ly/Eph5:14" TargetMode="External"/><Relationship Id="rId7486" Type="http://schemas.openxmlformats.org/officeDocument/2006/relationships/hyperlink" Target="https://ref.ly/1Thess5:6" TargetMode="External"/><Relationship Id="rId7487" Type="http://schemas.openxmlformats.org/officeDocument/2006/relationships/hyperlink" Target="https://ref.ly/Deut31:16" TargetMode="External"/><Relationship Id="rId7488" Type="http://schemas.openxmlformats.org/officeDocument/2006/relationships/hyperlink" Target="https://ref.ly/2Sam7:12" TargetMode="External"/><Relationship Id="rId7489" Type="http://schemas.openxmlformats.org/officeDocument/2006/relationships/hyperlink" Target="https://ref.ly/Matt9:24" TargetMode="External"/><Relationship Id="rId7490" Type="http://schemas.openxmlformats.org/officeDocument/2006/relationships/hyperlink" Target="https://ref.ly/John11:11" TargetMode="External"/><Relationship Id="rId7491" Type="http://schemas.openxmlformats.org/officeDocument/2006/relationships/hyperlink" Target="https://ref.ly/1Cor11:30" TargetMode="External"/><Relationship Id="rId7492" Type="http://schemas.openxmlformats.org/officeDocument/2006/relationships/hyperlink" Target="https://ref.ly/1Cor15:20,1Cor15:51" TargetMode="External"/><Relationship Id="rId7493" Type="http://schemas.openxmlformats.org/officeDocument/2006/relationships/hyperlink" Target="https://ref.ly/1Thess4:13-1Thess4:14" TargetMode="External"/><Relationship Id="rId7494" Type="http://schemas.openxmlformats.org/officeDocument/2006/relationships/hyperlink" Target="https://ref.ly/Luke23:43" TargetMode="External"/><Relationship Id="rId7495" Type="http://schemas.openxmlformats.org/officeDocument/2006/relationships/hyperlink" Target="https://ref.ly/2Cor5:8" TargetMode="External"/><Relationship Id="rId7496" Type="http://schemas.openxmlformats.org/officeDocument/2006/relationships/hyperlink" Target="https://ref.ly/1Thess5:13-1Thess5:14" TargetMode="External"/><Relationship Id="rId7497" Type="http://schemas.openxmlformats.org/officeDocument/2006/relationships/hyperlink" Target="https://ref.ly/Gen37:1-Gen37:36" TargetMode="External"/><Relationship Id="rId7498" Type="http://schemas.openxmlformats.org/officeDocument/2006/relationships/hyperlink" Target="https://ref.ly/2Kgs6:8-2Kgs6:14" TargetMode="External"/><Relationship Id="rId7499" Type="http://schemas.openxmlformats.org/officeDocument/2006/relationships/hyperlink" Target="https://ref.ly/Luke5:17" TargetMode="External"/><Relationship Id="rId7500" Type="http://schemas.openxmlformats.org/officeDocument/2006/relationships/hyperlink" Target="https://ref.ly/Acts5:34" TargetMode="External"/><Relationship Id="rId7501" Type="http://schemas.openxmlformats.org/officeDocument/2006/relationships/hyperlink" Target="https://ref.ly/Acts24:24" TargetMode="External"/><Relationship Id="rId7502" Type="http://schemas.openxmlformats.org/officeDocument/2006/relationships/hyperlink" Target="https://ref.ly/Josh15:52" TargetMode="External"/><Relationship Id="rId7503" Type="http://schemas.openxmlformats.org/officeDocument/2006/relationships/hyperlink" Target="https://ref.ly/Ps94:17" TargetMode="External"/><Relationship Id="rId7504" Type="http://schemas.openxmlformats.org/officeDocument/2006/relationships/hyperlink" Target="https://ref.ly/Ps115:17" TargetMode="External"/><Relationship Id="rId7505" Type="http://schemas.openxmlformats.org/officeDocument/2006/relationships/hyperlink" Target="https://ref.ly/Isa21:11" TargetMode="External"/><Relationship Id="rId7506" Type="http://schemas.openxmlformats.org/officeDocument/2006/relationships/hyperlink" Target="https://ref.ly/Rom9:17-Rom9:24" TargetMode="External"/><Relationship Id="rId7507" Type="http://schemas.openxmlformats.org/officeDocument/2006/relationships/hyperlink" Target="https://ref.ly/Exod4:21" TargetMode="External"/><Relationship Id="rId7508" Type="http://schemas.openxmlformats.org/officeDocument/2006/relationships/hyperlink" Target="https://ref.ly/Exod7:3" TargetMode="External"/><Relationship Id="rId7509" Type="http://schemas.openxmlformats.org/officeDocument/2006/relationships/hyperlink" Target="https://ref.ly/Exod14:4" TargetMode="External"/><Relationship Id="rId7510" Type="http://schemas.openxmlformats.org/officeDocument/2006/relationships/hyperlink" Target="https://ref.ly/Exod7:13-Exod7:14" TargetMode="External"/><Relationship Id="rId7511" Type="http://schemas.openxmlformats.org/officeDocument/2006/relationships/hyperlink" Target="https://ref.ly/Exod9:16" TargetMode="External"/><Relationship Id="rId7512" Type="http://schemas.openxmlformats.org/officeDocument/2006/relationships/hyperlink" Target="https://ref.ly/Josh11:20" TargetMode="External"/><Relationship Id="rId7513" Type="http://schemas.openxmlformats.org/officeDocument/2006/relationships/hyperlink" Target="https://ref.ly/Rom9:17-Rom9:18" TargetMode="External"/><Relationship Id="rId7514" Type="http://schemas.openxmlformats.org/officeDocument/2006/relationships/hyperlink" Target="https://ref.ly/Exod8:15" TargetMode="External"/><Relationship Id="rId7515" Type="http://schemas.openxmlformats.org/officeDocument/2006/relationships/hyperlink" Target="https://ref.ly/Exod9:34" TargetMode="External"/><Relationship Id="rId7516" Type="http://schemas.openxmlformats.org/officeDocument/2006/relationships/hyperlink" Target="https://ref.ly/Exod13:15" TargetMode="External"/><Relationship Id="rId7517" Type="http://schemas.openxmlformats.org/officeDocument/2006/relationships/hyperlink" Target="https://ref.ly/Rom1:18-Rom1:32" TargetMode="External"/><Relationship Id="rId7518" Type="http://schemas.openxmlformats.org/officeDocument/2006/relationships/hyperlink" Target="https://ref.ly/Rom2:14-Rom2:16" TargetMode="External"/><Relationship Id="rId7519" Type="http://schemas.openxmlformats.org/officeDocument/2006/relationships/hyperlink" Target="https://ref.ly/Deut15:7" TargetMode="External"/><Relationship Id="rId7520" Type="http://schemas.openxmlformats.org/officeDocument/2006/relationships/hyperlink" Target="https://ref.ly/Heb3:8" TargetMode="External"/><Relationship Id="rId7521" Type="http://schemas.openxmlformats.org/officeDocument/2006/relationships/hyperlink" Target="https://ref.ly/Mark16:14" TargetMode="External"/><Relationship Id="rId7522" Type="http://schemas.openxmlformats.org/officeDocument/2006/relationships/hyperlink" Target="https://ref.ly/Matt13:13-Matt13:15" TargetMode="External"/><Relationship Id="rId7523" Type="http://schemas.openxmlformats.org/officeDocument/2006/relationships/hyperlink" Target="https://ref.ly/John12:39-John12:41" TargetMode="External"/><Relationship Id="rId7524" Type="http://schemas.openxmlformats.org/officeDocument/2006/relationships/hyperlink" Target="https://ref.ly/Ps95:8" TargetMode="External"/><Relationship Id="rId7525" Type="http://schemas.openxmlformats.org/officeDocument/2006/relationships/hyperlink" Target="https://ref.ly/2Kgs17:14" TargetMode="External"/><Relationship Id="rId7526" Type="http://schemas.openxmlformats.org/officeDocument/2006/relationships/hyperlink" Target="https://ref.ly/Neh9:16-Neh9:17" TargetMode="External"/><Relationship Id="rId7527" Type="http://schemas.openxmlformats.org/officeDocument/2006/relationships/hyperlink" Target="https://ref.ly/Gen10:21-Gen10:25" TargetMode="External"/><Relationship Id="rId7528" Type="http://schemas.openxmlformats.org/officeDocument/2006/relationships/hyperlink" Target="https://ref.ly/Gen11:14-Gen11:17" TargetMode="External"/><Relationship Id="rId7529" Type="http://schemas.openxmlformats.org/officeDocument/2006/relationships/hyperlink" Target="https://ref.ly/1Chr1:18-1Chr1:25" TargetMode="External"/><Relationship Id="rId7530" Type="http://schemas.openxmlformats.org/officeDocument/2006/relationships/hyperlink" Target="https://ref.ly/Luke3:35" TargetMode="External"/><Relationship Id="rId7531" Type="http://schemas.openxmlformats.org/officeDocument/2006/relationships/hyperlink" Target="https://ref.ly/1Chr5:13" TargetMode="External"/><Relationship Id="rId7532" Type="http://schemas.openxmlformats.org/officeDocument/2006/relationships/hyperlink" Target="https://ref.ly/1Chr8:12" TargetMode="External"/><Relationship Id="rId7533" Type="http://schemas.openxmlformats.org/officeDocument/2006/relationships/hyperlink" Target="https://ref.ly/1Chr8:22" TargetMode="External"/><Relationship Id="rId7534" Type="http://schemas.openxmlformats.org/officeDocument/2006/relationships/hyperlink" Target="https://ref.ly/Neh12:20" TargetMode="External"/><Relationship Id="rId7535" Type="http://schemas.openxmlformats.org/officeDocument/2006/relationships/hyperlink" Target="https://ref.ly/Gen2:8,Gen2:15" TargetMode="External"/><Relationship Id="rId7536" Type="http://schemas.openxmlformats.org/officeDocument/2006/relationships/hyperlink" Target="https://ref.ly/Gen35:21" TargetMode="External"/><Relationship Id="rId7537" Type="http://schemas.openxmlformats.org/officeDocument/2006/relationships/hyperlink" Target="https://ref.ly/Josh15:21" TargetMode="External"/><Relationship Id="rId7538" Type="http://schemas.openxmlformats.org/officeDocument/2006/relationships/hyperlink" Target="https://ref.ly/2Kgs12:12" TargetMode="External"/><Relationship Id="rId7539" Type="http://schemas.openxmlformats.org/officeDocument/2006/relationships/hyperlink" Target="https://ref.ly/1Chr22:2,1Chr22:15" TargetMode="External"/><Relationship Id="rId7540" Type="http://schemas.openxmlformats.org/officeDocument/2006/relationships/hyperlink" Target="https://ref.ly/Exod28:11" TargetMode="External"/><Relationship Id="rId7541" Type="http://schemas.openxmlformats.org/officeDocument/2006/relationships/hyperlink" Target="https://ref.ly/Gen36:1,Gen36:8,Gen36:19" TargetMode="External"/><Relationship Id="rId7542" Type="http://schemas.openxmlformats.org/officeDocument/2006/relationships/hyperlink" Target="https://ref.ly/Gen32:3" TargetMode="External"/><Relationship Id="rId7543" Type="http://schemas.openxmlformats.org/officeDocument/2006/relationships/hyperlink" Target="https://ref.ly/Gen36:30" TargetMode="External"/><Relationship Id="rId7544" Type="http://schemas.openxmlformats.org/officeDocument/2006/relationships/hyperlink" Target="https://ref.ly/Num24:18" TargetMode="External"/><Relationship Id="rId7545" Type="http://schemas.openxmlformats.org/officeDocument/2006/relationships/hyperlink" Target="https://ref.ly/Isa15:7" TargetMode="External"/><Relationship Id="rId7546" Type="http://schemas.openxmlformats.org/officeDocument/2006/relationships/hyperlink" Target="https://ref.ly/Num21:22" TargetMode="External"/><Relationship Id="rId7547" Type="http://schemas.openxmlformats.org/officeDocument/2006/relationships/hyperlink" Target="https://ref.ly/Gen10:1-Gen10:32" TargetMode="External"/><Relationship Id="rId7548" Type="http://schemas.openxmlformats.org/officeDocument/2006/relationships/hyperlink" Target="https://ref.ly/Gen36:1-Gen36:43" TargetMode="External"/><Relationship Id="rId7549" Type="http://schemas.openxmlformats.org/officeDocument/2006/relationships/hyperlink" Target="https://ref.ly/Num20:14,Num20:18,Num20:20-Num20:23" TargetMode="External"/><Relationship Id="rId7550" Type="http://schemas.openxmlformats.org/officeDocument/2006/relationships/hyperlink" Target="https://ref.ly/Num33:37" TargetMode="External"/><Relationship Id="rId7551" Type="http://schemas.openxmlformats.org/officeDocument/2006/relationships/hyperlink" Target="https://ref.ly/Num34:3" TargetMode="External"/><Relationship Id="rId7552" Type="http://schemas.openxmlformats.org/officeDocument/2006/relationships/hyperlink" Target="https://ref.ly/Judg5:4" TargetMode="External"/><Relationship Id="rId7553" Type="http://schemas.openxmlformats.org/officeDocument/2006/relationships/hyperlink" Target="https://ref.ly/Judg11:17-Judg11:18" TargetMode="External"/><Relationship Id="rId7554" Type="http://schemas.openxmlformats.org/officeDocument/2006/relationships/hyperlink" Target="https://ref.ly/1Sam22:9,1Sam22:18-1Sam22:22" TargetMode="External"/><Relationship Id="rId7555" Type="http://schemas.openxmlformats.org/officeDocument/2006/relationships/hyperlink" Target="https://ref.ly/2Sam8:13" TargetMode="External"/><Relationship Id="rId7556" Type="http://schemas.openxmlformats.org/officeDocument/2006/relationships/hyperlink" Target="https://ref.ly/2Sam8:14" TargetMode="External"/><Relationship Id="rId7557" Type="http://schemas.openxmlformats.org/officeDocument/2006/relationships/hyperlink" Target="https://ref.ly/1Chr18:12" TargetMode="External"/><Relationship Id="rId7558" Type="http://schemas.openxmlformats.org/officeDocument/2006/relationships/hyperlink" Target="https://ref.ly/1Kgs11:14-1Kgs11:17" TargetMode="External"/><Relationship Id="rId7559" Type="http://schemas.openxmlformats.org/officeDocument/2006/relationships/hyperlink" Target="https://ref.ly/1Kgs11:18-1Kgs11:20" TargetMode="External"/><Relationship Id="rId7560" Type="http://schemas.openxmlformats.org/officeDocument/2006/relationships/hyperlink" Target="https://ref.ly/1Kgs9:26" TargetMode="External"/><Relationship Id="rId7561" Type="http://schemas.openxmlformats.org/officeDocument/2006/relationships/hyperlink" Target="https://ref.ly/2Chr20:36-2Chr20:37" TargetMode="External"/><Relationship Id="rId7562" Type="http://schemas.openxmlformats.org/officeDocument/2006/relationships/hyperlink" Target="https://ref.ly/2Kgs3:4-2Kgs3:27" TargetMode="External"/><Relationship Id="rId7563" Type="http://schemas.openxmlformats.org/officeDocument/2006/relationships/hyperlink" Target="https://ref.ly/2Kgs8:20-2Kgs8:22" TargetMode="External"/><Relationship Id="rId7564" Type="http://schemas.openxmlformats.org/officeDocument/2006/relationships/hyperlink" Target="https://ref.ly/2Kgs14:7" TargetMode="External"/><Relationship Id="rId7565" Type="http://schemas.openxmlformats.org/officeDocument/2006/relationships/hyperlink" Target="https://ref.ly/2Chr25:11-2Chr25:13" TargetMode="External"/><Relationship Id="rId7566" Type="http://schemas.openxmlformats.org/officeDocument/2006/relationships/hyperlink" Target="https://ref.ly/2Kgs14:22" TargetMode="External"/><Relationship Id="rId7567" Type="http://schemas.openxmlformats.org/officeDocument/2006/relationships/hyperlink" Target="https://ref.ly/2Chr26:1-2Chr26:2" TargetMode="External"/><Relationship Id="rId7568" Type="http://schemas.openxmlformats.org/officeDocument/2006/relationships/hyperlink" Target="https://ref.ly/2Kgs16:6" TargetMode="External"/><Relationship Id="rId7569" Type="http://schemas.openxmlformats.org/officeDocument/2006/relationships/hyperlink" Target="https://ref.ly/Jer27:1-Jer27:22" TargetMode="External"/><Relationship Id="rId7570" Type="http://schemas.openxmlformats.org/officeDocument/2006/relationships/hyperlink" Target="https://ref.ly/Obad1:11" TargetMode="External"/><Relationship Id="rId7571" Type="http://schemas.openxmlformats.org/officeDocument/2006/relationships/hyperlink" Target="https://ref.ly/Ezek35:1-Ezek35:15" TargetMode="External"/><Relationship Id="rId7572" Type="http://schemas.openxmlformats.org/officeDocument/2006/relationships/hyperlink" Target="https://ref.ly/Isa11:14" TargetMode="External"/><Relationship Id="rId7573" Type="http://schemas.openxmlformats.org/officeDocument/2006/relationships/hyperlink" Target="https://ref.ly/Isa34:5-Isa34:17" TargetMode="External"/><Relationship Id="rId7574" Type="http://schemas.openxmlformats.org/officeDocument/2006/relationships/hyperlink" Target="https://ref.ly/Ezek32:29" TargetMode="External"/><Relationship Id="rId7575" Type="http://schemas.openxmlformats.org/officeDocument/2006/relationships/hyperlink" Target="https://ref.ly/Amos1:11-Amos1:12" TargetMode="External"/><Relationship Id="rId7576" Type="http://schemas.openxmlformats.org/officeDocument/2006/relationships/hyperlink" Target="https://ref.ly/Mal1:2-Mal1:4" TargetMode="External"/><Relationship Id="rId7577" Type="http://schemas.openxmlformats.org/officeDocument/2006/relationships/hyperlink" Target="https://ref.ly/Deut3:10" TargetMode="External"/><Relationship Id="rId7578" Type="http://schemas.openxmlformats.org/officeDocument/2006/relationships/hyperlink" Target="https://ref.ly/Josh13:12" TargetMode="External"/><Relationship Id="rId7579" Type="http://schemas.openxmlformats.org/officeDocument/2006/relationships/hyperlink" Target="https://ref.ly/Deut3:1-Deut3:6" TargetMode="External"/><Relationship Id="rId7580" Type="http://schemas.openxmlformats.org/officeDocument/2006/relationships/hyperlink" Target="https://ref.ly/Josh13:31" TargetMode="External"/><Relationship Id="rId7581" Type="http://schemas.openxmlformats.org/officeDocument/2006/relationships/hyperlink" Target="https://ref.ly/Josh19:37" TargetMode="External"/><Relationship Id="rId7582" Type="http://schemas.openxmlformats.org/officeDocument/2006/relationships/hyperlink" Target="https://ref.ly/Ps127:3-Ps127:5" TargetMode="External"/><Relationship Id="rId7583" Type="http://schemas.openxmlformats.org/officeDocument/2006/relationships/hyperlink" Target="https://ref.ly/Exod12:26" TargetMode="External"/><Relationship Id="rId7584" Type="http://schemas.openxmlformats.org/officeDocument/2006/relationships/hyperlink" Target="https://ref.ly/Judg4:4-Judg4:5" TargetMode="External"/><Relationship Id="rId7585" Type="http://schemas.openxmlformats.org/officeDocument/2006/relationships/hyperlink" Target="https://ref.ly/Judg4:18-Judg4:24" TargetMode="External"/><Relationship Id="rId7586" Type="http://schemas.openxmlformats.org/officeDocument/2006/relationships/hyperlink" Target="https://ref.ly/2Sam14:2-2Sam14:20" TargetMode="External"/><Relationship Id="rId7587" Type="http://schemas.openxmlformats.org/officeDocument/2006/relationships/hyperlink" Target="https://ref.ly/2Sam20:16-2Sam20:22" TargetMode="External"/><Relationship Id="rId7588" Type="http://schemas.openxmlformats.org/officeDocument/2006/relationships/hyperlink" Target="https://ref.ly/2Tim1:5" TargetMode="External"/><Relationship Id="rId7589" Type="http://schemas.openxmlformats.org/officeDocument/2006/relationships/hyperlink" Target="https://ref.ly/Lev23:6" TargetMode="External"/><Relationship Id="rId7590" Type="http://schemas.openxmlformats.org/officeDocument/2006/relationships/hyperlink" Target="https://ref.ly/Lev23:9-Lev23:11" TargetMode="External"/><Relationship Id="rId7591" Type="http://schemas.openxmlformats.org/officeDocument/2006/relationships/hyperlink" Target="https://ref.ly/1Kgs4:33" TargetMode="External"/><Relationship Id="rId7592" Type="http://schemas.openxmlformats.org/officeDocument/2006/relationships/hyperlink" Target="https://ref.ly/Deut33:10" TargetMode="External"/><Relationship Id="rId7593" Type="http://schemas.openxmlformats.org/officeDocument/2006/relationships/hyperlink" Target="https://ref.ly/2Chr35:3" TargetMode="External"/><Relationship Id="rId7594" Type="http://schemas.openxmlformats.org/officeDocument/2006/relationships/hyperlink" Target="https://ref.ly/Matt22:35" TargetMode="External"/><Relationship Id="rId7595" Type="http://schemas.openxmlformats.org/officeDocument/2006/relationships/hyperlink" Target="https://ref.ly/Matt23:8" TargetMode="External"/><Relationship Id="rId7596" Type="http://schemas.openxmlformats.org/officeDocument/2006/relationships/hyperlink" Target="https://ref.ly/Matt15:2-Matt15:6" TargetMode="External"/><Relationship Id="rId7597" Type="http://schemas.openxmlformats.org/officeDocument/2006/relationships/hyperlink" Target="https://ref.ly/Matt23:1-Matt23:2" TargetMode="External"/><Relationship Id="rId7598" Type="http://schemas.openxmlformats.org/officeDocument/2006/relationships/hyperlink" Target="https://ref.ly/Acts6:12" TargetMode="External"/><Relationship Id="rId7599" Type="http://schemas.openxmlformats.org/officeDocument/2006/relationships/hyperlink" Target="https://ref.ly/Mark4:1-Mark4:2" TargetMode="External"/><Relationship Id="rId7600" Type="http://schemas.openxmlformats.org/officeDocument/2006/relationships/hyperlink" Target="https://ref.ly/Luke2:46-Luke2:47" TargetMode="External"/><Relationship Id="rId7601" Type="http://schemas.openxmlformats.org/officeDocument/2006/relationships/hyperlink" Target="https://ref.ly/Ps94:8-Ps94:13" TargetMode="External"/><Relationship Id="rId7602" Type="http://schemas.openxmlformats.org/officeDocument/2006/relationships/hyperlink" Target="https://ref.ly/Jer5:3" TargetMode="External"/><Relationship Id="rId7603" Type="http://schemas.openxmlformats.org/officeDocument/2006/relationships/hyperlink" Target="https://ref.ly/Sir30:8" TargetMode="External"/><Relationship Id="rId7604" Type="http://schemas.openxmlformats.org/officeDocument/2006/relationships/hyperlink" Target="https://ref.ly/Josh18:4-Josh18:9" TargetMode="External"/><Relationship Id="rId7605" Type="http://schemas.openxmlformats.org/officeDocument/2006/relationships/hyperlink" Target="https://ref.ly/Judg8:14" TargetMode="External"/><Relationship Id="rId7606" Type="http://schemas.openxmlformats.org/officeDocument/2006/relationships/hyperlink" Target="https://ref.ly/Deut6:9" TargetMode="External"/><Relationship Id="rId7607" Type="http://schemas.openxmlformats.org/officeDocument/2006/relationships/hyperlink" Target="https://ref.ly/Deut27:2-Deut27:8" TargetMode="External"/><Relationship Id="rId7608" Type="http://schemas.openxmlformats.org/officeDocument/2006/relationships/hyperlink" Target="https://ref.ly/2Chr4:2" TargetMode="External"/><Relationship Id="rId7609" Type="http://schemas.openxmlformats.org/officeDocument/2006/relationships/hyperlink" Target="https://ref.ly/Num17:7-Num17:8" TargetMode="External"/><Relationship Id="rId7610" Type="http://schemas.openxmlformats.org/officeDocument/2006/relationships/hyperlink" Target="https://ref.ly/Num18:2" TargetMode="External"/><Relationship Id="rId7611" Type="http://schemas.openxmlformats.org/officeDocument/2006/relationships/hyperlink" Target="https://ref.ly/2Chr24:6" TargetMode="External"/><Relationship Id="rId7612" Type="http://schemas.openxmlformats.org/officeDocument/2006/relationships/hyperlink" Target="https://ref.ly/Ps19:8" TargetMode="External"/><Relationship Id="rId7613" Type="http://schemas.openxmlformats.org/officeDocument/2006/relationships/hyperlink" Target="https://ref.ly/Gen25:4" TargetMode="External"/><Relationship Id="rId7614" Type="http://schemas.openxmlformats.org/officeDocument/2006/relationships/hyperlink" Target="https://ref.ly/Isa60:6" TargetMode="External"/><Relationship Id="rId7615" Type="http://schemas.openxmlformats.org/officeDocument/2006/relationships/hyperlink" Target="https://ref.ly/1Chr2:46" TargetMode="External"/><Relationship Id="rId7616" Type="http://schemas.openxmlformats.org/officeDocument/2006/relationships/hyperlink" Target="https://ref.ly/1Chr2:47" TargetMode="External"/><Relationship Id="rId7617" Type="http://schemas.openxmlformats.org/officeDocument/2006/relationships/hyperlink" Target="https://ref.ly/Mark7:34" TargetMode="External"/><Relationship Id="rId7618" Type="http://schemas.openxmlformats.org/officeDocument/2006/relationships/hyperlink" Target="https://ref.ly/1Chr4:17" TargetMode="External"/><Relationship Id="rId7619" Type="http://schemas.openxmlformats.org/officeDocument/2006/relationships/hyperlink" Target="https://ref.ly/1Chr5:24" TargetMode="External"/><Relationship Id="rId7620" Type="http://schemas.openxmlformats.org/officeDocument/2006/relationships/hyperlink" Target="https://ref.ly/Eph3:7,Eph3:13" TargetMode="External"/><Relationship Id="rId7621" Type="http://schemas.openxmlformats.org/officeDocument/2006/relationships/hyperlink" Target="https://ref.ly/Eph6:19-Eph6:20" TargetMode="External"/><Relationship Id="rId7622" Type="http://schemas.openxmlformats.org/officeDocument/2006/relationships/hyperlink" Target="https://ref.ly/Eph6:23" TargetMode="External"/><Relationship Id="rId7623" Type="http://schemas.openxmlformats.org/officeDocument/2006/relationships/hyperlink" Target="https://ref.ly/Acts20:31" TargetMode="External"/><Relationship Id="rId7624" Type="http://schemas.openxmlformats.org/officeDocument/2006/relationships/hyperlink" Target="https://ref.ly/Eph1:15" TargetMode="External"/><Relationship Id="rId7625" Type="http://schemas.openxmlformats.org/officeDocument/2006/relationships/hyperlink" Target="https://ref.ly/Acts23:23-Acts23:24,Acts23:33" TargetMode="External"/><Relationship Id="rId7626" Type="http://schemas.openxmlformats.org/officeDocument/2006/relationships/hyperlink" Target="https://ref.ly/Acts28:16,Acts28:30" TargetMode="External"/><Relationship Id="rId7627" Type="http://schemas.openxmlformats.org/officeDocument/2006/relationships/hyperlink" Target="https://ref.ly/Acts18:24-Acts18:26" TargetMode="External"/><Relationship Id="rId7628" Type="http://schemas.openxmlformats.org/officeDocument/2006/relationships/hyperlink" Target="https://ref.ly/Acts18:26" TargetMode="External"/><Relationship Id="rId7629" Type="http://schemas.openxmlformats.org/officeDocument/2006/relationships/hyperlink" Target="https://ref.ly/Acts20:18-Acts20:35" TargetMode="External"/><Relationship Id="rId7630" Type="http://schemas.openxmlformats.org/officeDocument/2006/relationships/hyperlink" Target="https://ref.ly/Eph1:6,Eph1:12,Eph1:14" TargetMode="External"/><Relationship Id="rId7631" Type="http://schemas.openxmlformats.org/officeDocument/2006/relationships/hyperlink" Target="https://ref.ly/Eph1:19-Eph1:23" TargetMode="External"/><Relationship Id="rId7632" Type="http://schemas.openxmlformats.org/officeDocument/2006/relationships/hyperlink" Target="https://ref.ly/2Cor10:3-2Cor10:4" TargetMode="External"/><Relationship Id="rId7633" Type="http://schemas.openxmlformats.org/officeDocument/2006/relationships/hyperlink" Target="https://ref.ly/Eph4:8-Eph4:10" TargetMode="External"/><Relationship Id="rId7634" Type="http://schemas.openxmlformats.org/officeDocument/2006/relationships/hyperlink" Target="https://ref.ly/Eph1:10" TargetMode="External"/><Relationship Id="rId7635" Type="http://schemas.openxmlformats.org/officeDocument/2006/relationships/hyperlink" Target="https://ref.ly/Eph3:1-Eph3:21" TargetMode="External"/><Relationship Id="rId7636" Type="http://schemas.openxmlformats.org/officeDocument/2006/relationships/hyperlink" Target="https://ref.ly/Eph2:19-Eph2:22" TargetMode="External"/><Relationship Id="rId7637" Type="http://schemas.openxmlformats.org/officeDocument/2006/relationships/hyperlink" Target="https://ref.ly/Eph2:11-Eph2:18" TargetMode="External"/><Relationship Id="rId7638" Type="http://schemas.openxmlformats.org/officeDocument/2006/relationships/hyperlink" Target="https://ref.ly/Eph3:2-Eph3:6" TargetMode="External"/><Relationship Id="rId7639" Type="http://schemas.openxmlformats.org/officeDocument/2006/relationships/hyperlink" Target="https://ref.ly/Eph4:1-Eph4:32" TargetMode="External"/><Relationship Id="rId7640" Type="http://schemas.openxmlformats.org/officeDocument/2006/relationships/hyperlink" Target="https://ref.ly/Eph5:22-Eph5:33" TargetMode="External"/><Relationship Id="rId7641" Type="http://schemas.openxmlformats.org/officeDocument/2006/relationships/hyperlink" Target="https://ref.ly/Eph1:22" TargetMode="External"/><Relationship Id="rId7642" Type="http://schemas.openxmlformats.org/officeDocument/2006/relationships/hyperlink" Target="https://ref.ly/Ps8:6" TargetMode="External"/><Relationship Id="rId7643" Type="http://schemas.openxmlformats.org/officeDocument/2006/relationships/hyperlink" Target="https://ref.ly/Matt13:11" TargetMode="External"/><Relationship Id="rId7644" Type="http://schemas.openxmlformats.org/officeDocument/2006/relationships/hyperlink" Target="https://ref.ly/1Cor1:18-1Cor2:16" TargetMode="External"/><Relationship Id="rId7645" Type="http://schemas.openxmlformats.org/officeDocument/2006/relationships/hyperlink" Target="https://ref.ly/Rom11:25" TargetMode="External"/><Relationship Id="rId7646" Type="http://schemas.openxmlformats.org/officeDocument/2006/relationships/hyperlink" Target="https://ref.ly/Rev10:6-Rev10:7" TargetMode="External"/><Relationship Id="rId7647" Type="http://schemas.openxmlformats.org/officeDocument/2006/relationships/hyperlink" Target="https://ref.ly/Eph3:3-Eph3:6" TargetMode="External"/><Relationship Id="rId7648" Type="http://schemas.openxmlformats.org/officeDocument/2006/relationships/hyperlink" Target="https://ref.ly/Eph1:1-Eph1:14" TargetMode="External"/><Relationship Id="rId7649" Type="http://schemas.openxmlformats.org/officeDocument/2006/relationships/hyperlink" Target="https://ref.ly/Eph1:4" TargetMode="External"/><Relationship Id="rId7650" Type="http://schemas.openxmlformats.org/officeDocument/2006/relationships/hyperlink" Target="https://ref.ly/Eph1:5" TargetMode="External"/><Relationship Id="rId7651" Type="http://schemas.openxmlformats.org/officeDocument/2006/relationships/hyperlink" Target="https://ref.ly/Eph1:4-Eph1:10" TargetMode="External"/><Relationship Id="rId7652" Type="http://schemas.openxmlformats.org/officeDocument/2006/relationships/hyperlink" Target="https://ref.ly/Eph1:11-Eph1:12" TargetMode="External"/><Relationship Id="rId7653" Type="http://schemas.openxmlformats.org/officeDocument/2006/relationships/hyperlink" Target="https://ref.ly/Eph2:1-Eph3:21" TargetMode="External"/><Relationship Id="rId7654" Type="http://schemas.openxmlformats.org/officeDocument/2006/relationships/hyperlink" Target="https://ref.ly/Eph2:1-Eph2:10" TargetMode="External"/><Relationship Id="rId7655" Type="http://schemas.openxmlformats.org/officeDocument/2006/relationships/hyperlink" Target="https://ref.ly/Eph2:14-Eph2:17" TargetMode="External"/><Relationship Id="rId7656" Type="http://schemas.openxmlformats.org/officeDocument/2006/relationships/hyperlink" Target="https://ref.ly/Eph3:1-Eph3:13" TargetMode="External"/><Relationship Id="rId7657" Type="http://schemas.openxmlformats.org/officeDocument/2006/relationships/hyperlink" Target="https://ref.ly/Eph3:14-Eph3:21" TargetMode="External"/><Relationship Id="rId7658" Type="http://schemas.openxmlformats.org/officeDocument/2006/relationships/hyperlink" Target="https://ref.ly/Eph4:1-Eph6:20" TargetMode="External"/><Relationship Id="rId7659" Type="http://schemas.openxmlformats.org/officeDocument/2006/relationships/hyperlink" Target="https://ref.ly/Eph3:20-Eph3:21" TargetMode="External"/><Relationship Id="rId7660" Type="http://schemas.openxmlformats.org/officeDocument/2006/relationships/hyperlink" Target="https://ref.ly/Eph4:5-Eph4:6" TargetMode="External"/><Relationship Id="rId7661" Type="http://schemas.openxmlformats.org/officeDocument/2006/relationships/hyperlink" Target="https://ref.ly/Eph4:7-Eph4:8" TargetMode="External"/><Relationship Id="rId7662" Type="http://schemas.openxmlformats.org/officeDocument/2006/relationships/hyperlink" Target="https://ref.ly/Eph4:16" TargetMode="External"/><Relationship Id="rId7663" Type="http://schemas.openxmlformats.org/officeDocument/2006/relationships/hyperlink" Target="https://ref.ly/Eph4:17-Eph5:21" TargetMode="External"/><Relationship Id="rId7664" Type="http://schemas.openxmlformats.org/officeDocument/2006/relationships/hyperlink" Target="https://ref.ly/Eph4:20-Eph4:21,Eph4:32" TargetMode="External"/><Relationship Id="rId7665" Type="http://schemas.openxmlformats.org/officeDocument/2006/relationships/hyperlink" Target="https://ref.ly/Eph5:1-Eph5:2" TargetMode="External"/><Relationship Id="rId7666" Type="http://schemas.openxmlformats.org/officeDocument/2006/relationships/hyperlink" Target="https://ref.ly/Eph5:18" TargetMode="External"/><Relationship Id="rId7667" Type="http://schemas.openxmlformats.org/officeDocument/2006/relationships/hyperlink" Target="https://ref.ly/Eph5:22-Eph6:9" TargetMode="External"/><Relationship Id="rId7668" Type="http://schemas.openxmlformats.org/officeDocument/2006/relationships/hyperlink" Target="https://ref.ly/Eph5:21" TargetMode="External"/><Relationship Id="rId7669" Type="http://schemas.openxmlformats.org/officeDocument/2006/relationships/hyperlink" Target="https://ref.ly/Eph5:31" TargetMode="External"/><Relationship Id="rId7670" Type="http://schemas.openxmlformats.org/officeDocument/2006/relationships/hyperlink" Target="https://ref.ly/1Pet3:1-1Pet3:7" TargetMode="External"/><Relationship Id="rId7671" Type="http://schemas.openxmlformats.org/officeDocument/2006/relationships/hyperlink" Target="https://ref.ly/Eph6:1-Eph6:4" TargetMode="External"/><Relationship Id="rId7672" Type="http://schemas.openxmlformats.org/officeDocument/2006/relationships/hyperlink" Target="https://ref.ly/Eph6:10-Eph6:20" TargetMode="External"/><Relationship Id="rId7673" Type="http://schemas.openxmlformats.org/officeDocument/2006/relationships/hyperlink" Target="https://ref.ly/Eph6:21-Eph6:24" TargetMode="External"/><Relationship Id="rId7674" Type="http://schemas.openxmlformats.org/officeDocument/2006/relationships/hyperlink" Target="https://ref.ly/Acts19:34" TargetMode="External"/><Relationship Id="rId7675" Type="http://schemas.openxmlformats.org/officeDocument/2006/relationships/hyperlink" Target="https://ref.ly/Acts19:24,Acts19:30-Acts19:31" TargetMode="External"/><Relationship Id="rId7676" Type="http://schemas.openxmlformats.org/officeDocument/2006/relationships/hyperlink" Target="https://ref.ly/Acts18:18-Acts18:19" TargetMode="External"/><Relationship Id="rId7677" Type="http://schemas.openxmlformats.org/officeDocument/2006/relationships/hyperlink" Target="https://ref.ly/1Tim1:3" TargetMode="External"/><Relationship Id="rId7678" Type="http://schemas.openxmlformats.org/officeDocument/2006/relationships/hyperlink" Target="https://ref.ly/Acts19:22" TargetMode="External"/><Relationship Id="rId7679" Type="http://schemas.openxmlformats.org/officeDocument/2006/relationships/hyperlink" Target="https://ref.ly/Num34:23" TargetMode="External"/><Relationship Id="rId7680" Type="http://schemas.openxmlformats.org/officeDocument/2006/relationships/hyperlink" Target="https://ref.ly/Exod28:31" TargetMode="External"/><Relationship Id="rId7681" Type="http://schemas.openxmlformats.org/officeDocument/2006/relationships/hyperlink" Target="https://ref.ly/1Sam2:28" TargetMode="External"/><Relationship Id="rId7682" Type="http://schemas.openxmlformats.org/officeDocument/2006/relationships/hyperlink" Target="https://ref.ly/1Sam23:6,1Sam23:9" TargetMode="External"/><Relationship Id="rId7683" Type="http://schemas.openxmlformats.org/officeDocument/2006/relationships/hyperlink" Target="https://ref.ly/1Sam30:7" TargetMode="External"/><Relationship Id="rId7684" Type="http://schemas.openxmlformats.org/officeDocument/2006/relationships/hyperlink" Target="https://ref.ly/Exod28:22-Exod28:29" TargetMode="External"/><Relationship Id="rId7685" Type="http://schemas.openxmlformats.org/officeDocument/2006/relationships/hyperlink" Target="https://ref.ly/1Sam23:6-1Sam23:9" TargetMode="External"/><Relationship Id="rId7686" Type="http://schemas.openxmlformats.org/officeDocument/2006/relationships/hyperlink" Target="https://ref.ly/Judg8:27" TargetMode="External"/><Relationship Id="rId7687" Type="http://schemas.openxmlformats.org/officeDocument/2006/relationships/hyperlink" Target="https://ref.ly/Judg17:5" TargetMode="External"/><Relationship Id="rId7688" Type="http://schemas.openxmlformats.org/officeDocument/2006/relationships/hyperlink" Target="https://ref.ly/Judg18:30" TargetMode="External"/><Relationship Id="rId7689" Type="http://schemas.openxmlformats.org/officeDocument/2006/relationships/hyperlink" Target="https://ref.ly/Judg18:14" TargetMode="External"/><Relationship Id="rId7690" Type="http://schemas.openxmlformats.org/officeDocument/2006/relationships/hyperlink" Target="https://ref.ly/Judg18:17" TargetMode="External"/><Relationship Id="rId7691" Type="http://schemas.openxmlformats.org/officeDocument/2006/relationships/hyperlink" Target="https://ref.ly/Judg18:20" TargetMode="External"/><Relationship Id="rId7692" Type="http://schemas.openxmlformats.org/officeDocument/2006/relationships/hyperlink" Target="https://ref.ly/Hos3:4" TargetMode="External"/><Relationship Id="rId7693" Type="http://schemas.openxmlformats.org/officeDocument/2006/relationships/hyperlink" Target="https://ref.ly/1Sam22:18" TargetMode="External"/><Relationship Id="rId7694" Type="http://schemas.openxmlformats.org/officeDocument/2006/relationships/hyperlink" Target="https://ref.ly/1Sam2:18" TargetMode="External"/><Relationship Id="rId7695" Type="http://schemas.openxmlformats.org/officeDocument/2006/relationships/hyperlink" Target="https://ref.ly/2Sam6:14" TargetMode="External"/><Relationship Id="rId7696" Type="http://schemas.openxmlformats.org/officeDocument/2006/relationships/hyperlink" Target="https://ref.ly/Ezra2:63" TargetMode="External"/><Relationship Id="rId7697" Type="http://schemas.openxmlformats.org/officeDocument/2006/relationships/hyperlink" Target="https://ref.ly/Neh7:65" TargetMode="External"/><Relationship Id="rId7698" Type="http://schemas.openxmlformats.org/officeDocument/2006/relationships/hyperlink" Target="https://ref.ly/Deut18:15-Deut18:22" TargetMode="External"/><Relationship Id="rId7699" Type="http://schemas.openxmlformats.org/officeDocument/2006/relationships/hyperlink" Target="https://ref.ly/Josh16:5-Josh16:8" TargetMode="External"/><Relationship Id="rId7700" Type="http://schemas.openxmlformats.org/officeDocument/2006/relationships/hyperlink" Target="https://ref.ly/Josh17:7-Josh17:11" TargetMode="External"/><Relationship Id="rId7701" Type="http://schemas.openxmlformats.org/officeDocument/2006/relationships/hyperlink" Target="https://ref.ly/Josh16:4" TargetMode="External"/><Relationship Id="rId7702" Type="http://schemas.openxmlformats.org/officeDocument/2006/relationships/hyperlink" Target="https://ref.ly/1Sam1:1" TargetMode="External"/><Relationship Id="rId7703" Type="http://schemas.openxmlformats.org/officeDocument/2006/relationships/hyperlink" Target="https://ref.ly/1Sam4:1-1Sam4:22" TargetMode="External"/><Relationship Id="rId7704" Type="http://schemas.openxmlformats.org/officeDocument/2006/relationships/hyperlink" Target="https://ref.ly/Josh16:9" TargetMode="External"/><Relationship Id="rId7705" Type="http://schemas.openxmlformats.org/officeDocument/2006/relationships/hyperlink" Target="https://ref.ly/Hos4:17" TargetMode="External"/><Relationship Id="rId7706" Type="http://schemas.openxmlformats.org/officeDocument/2006/relationships/hyperlink" Target="https://ref.ly/Hos5:3,Hos5:11-Hos5:14" TargetMode="External"/><Relationship Id="rId7707" Type="http://schemas.openxmlformats.org/officeDocument/2006/relationships/hyperlink" Target="https://ref.ly/Hos6:4,Hos6:10" TargetMode="External"/><Relationship Id="rId7708" Type="http://schemas.openxmlformats.org/officeDocument/2006/relationships/hyperlink" Target="https://ref.ly/Josh17:1-Josh17:11" TargetMode="External"/><Relationship Id="rId7709" Type="http://schemas.openxmlformats.org/officeDocument/2006/relationships/hyperlink" Target="https://ref.ly/Deut33:14-Deut33:17" TargetMode="External"/><Relationship Id="rId7710" Type="http://schemas.openxmlformats.org/officeDocument/2006/relationships/hyperlink" Target="https://ref.ly/John11:54" TargetMode="External"/><Relationship Id="rId7711" Type="http://schemas.openxmlformats.org/officeDocument/2006/relationships/hyperlink" Target="https://ref.ly/Gen41:52" TargetMode="External"/><Relationship Id="rId7712" Type="http://schemas.openxmlformats.org/officeDocument/2006/relationships/hyperlink" Target="https://ref.ly/Isa7:5,Isa7:8" TargetMode="External"/><Relationship Id="rId7713" Type="http://schemas.openxmlformats.org/officeDocument/2006/relationships/hyperlink" Target="https://ref.ly/Jer31:18-Jer31:20" TargetMode="External"/><Relationship Id="rId7714" Type="http://schemas.openxmlformats.org/officeDocument/2006/relationships/hyperlink" Target="https://ref.ly/Hos5:3-Hos5:5" TargetMode="External"/><Relationship Id="rId7715" Type="http://schemas.openxmlformats.org/officeDocument/2006/relationships/hyperlink" Target="https://ref.ly/Gen48:5" TargetMode="External"/><Relationship Id="rId7716" Type="http://schemas.openxmlformats.org/officeDocument/2006/relationships/hyperlink" Target="https://ref.ly/Josh16:5-Josh16:9" TargetMode="External"/><Relationship Id="rId7717" Type="http://schemas.openxmlformats.org/officeDocument/2006/relationships/hyperlink" Target="https://ref.ly/Num1:33" TargetMode="External"/><Relationship Id="rId7718" Type="http://schemas.openxmlformats.org/officeDocument/2006/relationships/hyperlink" Target="https://ref.ly/Num26:37" TargetMode="External"/><Relationship Id="rId7719" Type="http://schemas.openxmlformats.org/officeDocument/2006/relationships/hyperlink" Target="https://ref.ly/Num2:18-Num2:24" TargetMode="External"/><Relationship Id="rId7720" Type="http://schemas.openxmlformats.org/officeDocument/2006/relationships/hyperlink" Target="https://ref.ly/Num13:8" TargetMode="External"/><Relationship Id="rId7721" Type="http://schemas.openxmlformats.org/officeDocument/2006/relationships/hyperlink" Target="https://ref.ly/Josh16:1-Josh16:10" TargetMode="External"/><Relationship Id="rId7722" Type="http://schemas.openxmlformats.org/officeDocument/2006/relationships/hyperlink" Target="https://ref.ly/Judg8:1-Judg8:6" TargetMode="External"/><Relationship Id="rId7723" Type="http://schemas.openxmlformats.org/officeDocument/2006/relationships/hyperlink" Target="https://ref.ly/Judg12:1-Judg12:6" TargetMode="External"/><Relationship Id="rId7724" Type="http://schemas.openxmlformats.org/officeDocument/2006/relationships/hyperlink" Target="https://ref.ly/Judg12:13" TargetMode="External"/><Relationship Id="rId7725" Type="http://schemas.openxmlformats.org/officeDocument/2006/relationships/hyperlink" Target="https://ref.ly/Judg17:1" TargetMode="External"/><Relationship Id="rId7726" Type="http://schemas.openxmlformats.org/officeDocument/2006/relationships/hyperlink" Target="https://ref.ly/2Sam18:1-2Sam18:33" TargetMode="External"/><Relationship Id="rId7727" Type="http://schemas.openxmlformats.org/officeDocument/2006/relationships/hyperlink" Target="https://ref.ly/2Sam19:41-2Sam20:22" TargetMode="External"/><Relationship Id="rId7728" Type="http://schemas.openxmlformats.org/officeDocument/2006/relationships/hyperlink" Target="https://ref.ly/1Kgs11:26-1Kgs11:40" TargetMode="External"/><Relationship Id="rId7729" Type="http://schemas.openxmlformats.org/officeDocument/2006/relationships/hyperlink" Target="https://ref.ly/Gen35:16-Gen35:19" TargetMode="External"/><Relationship Id="rId7730" Type="http://schemas.openxmlformats.org/officeDocument/2006/relationships/hyperlink" Target="https://ref.ly/Ruth1:2" TargetMode="External"/><Relationship Id="rId7731" Type="http://schemas.openxmlformats.org/officeDocument/2006/relationships/hyperlink" Target="https://ref.ly/Ruth4:11" TargetMode="External"/><Relationship Id="rId7732" Type="http://schemas.openxmlformats.org/officeDocument/2006/relationships/hyperlink" Target="https://ref.ly/Ps132:6" TargetMode="External"/><Relationship Id="rId7733" Type="http://schemas.openxmlformats.org/officeDocument/2006/relationships/hyperlink" Target="https://ref.ly/Gen23:8-Gen23:17" TargetMode="External"/><Relationship Id="rId7734" Type="http://schemas.openxmlformats.org/officeDocument/2006/relationships/hyperlink" Target="https://ref.ly/Gen25:9" TargetMode="External"/><Relationship Id="rId7735" Type="http://schemas.openxmlformats.org/officeDocument/2006/relationships/hyperlink" Target="https://ref.ly/Gen50:13" TargetMode="External"/><Relationship Id="rId7736" Type="http://schemas.openxmlformats.org/officeDocument/2006/relationships/hyperlink" Target="https://ref.ly/Jer43:6-Jer43:7" TargetMode="External"/><Relationship Id="rId7737" Type="http://schemas.openxmlformats.org/officeDocument/2006/relationships/hyperlink" Target="https://ref.ly/Matt2:13-Matt2:23" TargetMode="External"/><Relationship Id="rId7738" Type="http://schemas.openxmlformats.org/officeDocument/2006/relationships/hyperlink" Target="https://ref.ly/1Kgs14:25-1Kgs14:28" TargetMode="External"/><Relationship Id="rId7739" Type="http://schemas.openxmlformats.org/officeDocument/2006/relationships/hyperlink" Target="https://ref.ly/Gen47:13-Gen47:26" TargetMode="External"/><Relationship Id="rId7740" Type="http://schemas.openxmlformats.org/officeDocument/2006/relationships/hyperlink" Target="https://ref.ly/Heb11:26" TargetMode="External"/><Relationship Id="rId7741" Type="http://schemas.openxmlformats.org/officeDocument/2006/relationships/hyperlink" Target="https://ref.ly/2Kgs23:28-2Kgs23:30" TargetMode="External"/><Relationship Id="rId7742" Type="http://schemas.openxmlformats.org/officeDocument/2006/relationships/hyperlink" Target="https://ref.ly/Jer44:30" TargetMode="External"/><Relationship Id="rId7743" Type="http://schemas.openxmlformats.org/officeDocument/2006/relationships/hyperlink" Target="https://ref.ly/Gen14:18-Gen14:24" TargetMode="External"/><Relationship Id="rId7744" Type="http://schemas.openxmlformats.org/officeDocument/2006/relationships/hyperlink" Target="https://ref.ly/Gen16:13" TargetMode="External"/><Relationship Id="rId7745" Type="http://schemas.openxmlformats.org/officeDocument/2006/relationships/hyperlink" Target="https://ref.ly/Neh9:31" TargetMode="External"/><Relationship Id="rId7746" Type="http://schemas.openxmlformats.org/officeDocument/2006/relationships/hyperlink" Target="https://ref.ly/Ps68:14" TargetMode="External"/><Relationship Id="rId7747" Type="http://schemas.openxmlformats.org/officeDocument/2006/relationships/hyperlink" Target="https://ref.ly/Gen36:41" TargetMode="External"/><Relationship Id="rId7748" Type="http://schemas.openxmlformats.org/officeDocument/2006/relationships/hyperlink" Target="https://ref.ly/1Chr1:52" TargetMode="External"/><Relationship Id="rId7749" Type="http://schemas.openxmlformats.org/officeDocument/2006/relationships/hyperlink" Target="https://ref.ly/1Kgs16:8-1Kgs16:14" TargetMode="External"/><Relationship Id="rId7750" Type="http://schemas.openxmlformats.org/officeDocument/2006/relationships/hyperlink" Target="https://ref.ly/2Kgs15:30" TargetMode="External"/><Relationship Id="rId7751" Type="http://schemas.openxmlformats.org/officeDocument/2006/relationships/hyperlink" Target="https://ref.ly/2Kgs17:1" TargetMode="External"/><Relationship Id="rId7752" Type="http://schemas.openxmlformats.org/officeDocument/2006/relationships/hyperlink" Target="https://ref.ly/2Kgs18:1,2Kgs18:9" TargetMode="External"/><Relationship Id="rId7753" Type="http://schemas.openxmlformats.org/officeDocument/2006/relationships/hyperlink" Target="https://ref.ly/1Chr4:15" TargetMode="External"/><Relationship Id="rId7754" Type="http://schemas.openxmlformats.org/officeDocument/2006/relationships/hyperlink" Target="https://ref.ly/1Chr9:8" TargetMode="External"/><Relationship Id="rId7755" Type="http://schemas.openxmlformats.org/officeDocument/2006/relationships/hyperlink" Target="https://ref.ly/Neh11:1-Neh11:36" TargetMode="External"/><Relationship Id="rId7756" Type="http://schemas.openxmlformats.org/officeDocument/2006/relationships/hyperlink" Target="https://ref.ly/1Chr8:24" TargetMode="External"/><Relationship Id="rId7757" Type="http://schemas.openxmlformats.org/officeDocument/2006/relationships/hyperlink" Target="https://ref.ly/1Chr26:3" TargetMode="External"/><Relationship Id="rId7758" Type="http://schemas.openxmlformats.org/officeDocument/2006/relationships/hyperlink" Target="https://ref.ly/Ezra2:7" TargetMode="External"/><Relationship Id="rId7759" Type="http://schemas.openxmlformats.org/officeDocument/2006/relationships/hyperlink" Target="https://ref.ly/Neh7:12" TargetMode="External"/><Relationship Id="rId7760" Type="http://schemas.openxmlformats.org/officeDocument/2006/relationships/hyperlink" Target="https://ref.ly/Ezra8:7" TargetMode="External"/><Relationship Id="rId7761" Type="http://schemas.openxmlformats.org/officeDocument/2006/relationships/hyperlink" Target="https://ref.ly/Ezra10:2" TargetMode="External"/><Relationship Id="rId7762" Type="http://schemas.openxmlformats.org/officeDocument/2006/relationships/hyperlink" Target="https://ref.ly/Ezra10:26" TargetMode="External"/><Relationship Id="rId7763" Type="http://schemas.openxmlformats.org/officeDocument/2006/relationships/hyperlink" Target="https://ref.ly/Ezra2:31" TargetMode="External"/><Relationship Id="rId7764" Type="http://schemas.openxmlformats.org/officeDocument/2006/relationships/hyperlink" Target="https://ref.ly/Neh7:34" TargetMode="External"/><Relationship Id="rId7765" Type="http://schemas.openxmlformats.org/officeDocument/2006/relationships/hyperlink" Target="https://ref.ly/Neh10:14" TargetMode="External"/><Relationship Id="rId7766" Type="http://schemas.openxmlformats.org/officeDocument/2006/relationships/hyperlink" Target="https://ref.ly/Neh12:42" TargetMode="External"/><Relationship Id="rId7767" Type="http://schemas.openxmlformats.org/officeDocument/2006/relationships/hyperlink" Target="https://ref.ly/Acts2:9" TargetMode="External"/><Relationship Id="rId7768" Type="http://schemas.openxmlformats.org/officeDocument/2006/relationships/hyperlink" Target="https://ref.ly/Isa11:11" TargetMode="External"/><Relationship Id="rId7769" Type="http://schemas.openxmlformats.org/officeDocument/2006/relationships/hyperlink" Target="https://ref.ly/Dan8:2" TargetMode="External"/><Relationship Id="rId7770" Type="http://schemas.openxmlformats.org/officeDocument/2006/relationships/hyperlink" Target="https://ref.ly/Isa21:2" TargetMode="External"/><Relationship Id="rId7771" Type="http://schemas.openxmlformats.org/officeDocument/2006/relationships/hyperlink" Target="https://ref.ly/Jer25:15-Jer25:26" TargetMode="External"/><Relationship Id="rId7772" Type="http://schemas.openxmlformats.org/officeDocument/2006/relationships/hyperlink" Target="https://ref.ly/Isa22:6-Isa22:12" TargetMode="External"/><Relationship Id="rId7773" Type="http://schemas.openxmlformats.org/officeDocument/2006/relationships/hyperlink" Target="https://ref.ly/Jer49:35" TargetMode="External"/><Relationship Id="rId7774" Type="http://schemas.openxmlformats.org/officeDocument/2006/relationships/hyperlink" Target="https://ref.ly/Ezek32:24" TargetMode="External"/><Relationship Id="rId7775" Type="http://schemas.openxmlformats.org/officeDocument/2006/relationships/hyperlink" Target="https://ref.ly/Ezek32:24-Ezek32:25" TargetMode="External"/><Relationship Id="rId7776" Type="http://schemas.openxmlformats.org/officeDocument/2006/relationships/hyperlink" Target="https://ref.ly/Jer49:38" TargetMode="External"/><Relationship Id="rId7777" Type="http://schemas.openxmlformats.org/officeDocument/2006/relationships/hyperlink" Target="https://ref.ly/Jer49:39" TargetMode="External"/><Relationship Id="rId7778" Type="http://schemas.openxmlformats.org/officeDocument/2006/relationships/hyperlink" Target="https://ref.ly/Gen14:1,Gen14:9" TargetMode="External"/><Relationship Id="rId7779" Type="http://schemas.openxmlformats.org/officeDocument/2006/relationships/hyperlink" Target="https://ref.ly/Gen14:6" TargetMode="External"/><Relationship Id="rId7780" Type="http://schemas.openxmlformats.org/officeDocument/2006/relationships/hyperlink" Target="https://ref.ly/Gen14:5-Gen14:6" TargetMode="External"/><Relationship Id="rId7781" Type="http://schemas.openxmlformats.org/officeDocument/2006/relationships/hyperlink" Target="https://ref.ly/Exod6:21" TargetMode="External"/><Relationship Id="rId7782" Type="http://schemas.openxmlformats.org/officeDocument/2006/relationships/hyperlink" Target="https://ref.ly/1Chr6:23" TargetMode="External"/><Relationship Id="rId7783" Type="http://schemas.openxmlformats.org/officeDocument/2006/relationships/hyperlink" Target="https://ref.ly/1Sam1:19" TargetMode="External"/><Relationship Id="rId7784" Type="http://schemas.openxmlformats.org/officeDocument/2006/relationships/hyperlink" Target="https://ref.ly/1Sam1:2" TargetMode="External"/><Relationship Id="rId7785" Type="http://schemas.openxmlformats.org/officeDocument/2006/relationships/hyperlink" Target="https://ref.ly/1Sam2:21" TargetMode="External"/><Relationship Id="rId7786" Type="http://schemas.openxmlformats.org/officeDocument/2006/relationships/hyperlink" Target="https://ref.ly/1Chr6:26,1Chr6:35" TargetMode="External"/><Relationship Id="rId7787" Type="http://schemas.openxmlformats.org/officeDocument/2006/relationships/hyperlink" Target="https://ref.ly/1Chr9:16" TargetMode="External"/><Relationship Id="rId7788" Type="http://schemas.openxmlformats.org/officeDocument/2006/relationships/hyperlink" Target="https://ref.ly/1Chr12:6" TargetMode="External"/><Relationship Id="rId7789" Type="http://schemas.openxmlformats.org/officeDocument/2006/relationships/hyperlink" Target="https://ref.ly/1Chr15:23" TargetMode="External"/><Relationship Id="rId7790" Type="http://schemas.openxmlformats.org/officeDocument/2006/relationships/hyperlink" Target="https://ref.ly/2Chr28:7" TargetMode="External"/><Relationship Id="rId7791" Type="http://schemas.openxmlformats.org/officeDocument/2006/relationships/hyperlink" Target="https://ref.ly/Num11:26-Num11:27" TargetMode="External"/><Relationship Id="rId7792" Type="http://schemas.openxmlformats.org/officeDocument/2006/relationships/hyperlink" Target="https://ref.ly/Num11:29" TargetMode="External"/><Relationship Id="rId7793" Type="http://schemas.openxmlformats.org/officeDocument/2006/relationships/hyperlink" Target="https://ref.ly/Num32:3,Num32:37" TargetMode="External"/><Relationship Id="rId7794" Type="http://schemas.openxmlformats.org/officeDocument/2006/relationships/hyperlink" Target="https://ref.ly/Isa15:4" TargetMode="External"/><Relationship Id="rId7795" Type="http://schemas.openxmlformats.org/officeDocument/2006/relationships/hyperlink" Target="https://ref.ly/Isa16:9" TargetMode="External"/><Relationship Id="rId7796" Type="http://schemas.openxmlformats.org/officeDocument/2006/relationships/hyperlink" Target="https://ref.ly/Jer48:34" TargetMode="External"/><Relationship Id="rId7797" Type="http://schemas.openxmlformats.org/officeDocument/2006/relationships/hyperlink" Target="https://ref.ly/Lev8:2,Lev8:13" TargetMode="External"/><Relationship Id="rId7798" Type="http://schemas.openxmlformats.org/officeDocument/2006/relationships/hyperlink" Target="https://ref.ly/Lev10:1-Lev10:7" TargetMode="External"/><Relationship Id="rId7799" Type="http://schemas.openxmlformats.org/officeDocument/2006/relationships/hyperlink" Target="https://ref.ly/Num3:1-Num3:4" TargetMode="External"/><Relationship Id="rId7800" Type="http://schemas.openxmlformats.org/officeDocument/2006/relationships/hyperlink" Target="https://ref.ly/Num3:32" TargetMode="External"/><Relationship Id="rId7801" Type="http://schemas.openxmlformats.org/officeDocument/2006/relationships/hyperlink" Target="https://ref.ly/Num4:16" TargetMode="External"/><Relationship Id="rId7802" Type="http://schemas.openxmlformats.org/officeDocument/2006/relationships/hyperlink" Target="https://ref.ly/Num16:37-Num16:39" TargetMode="External"/><Relationship Id="rId7803" Type="http://schemas.openxmlformats.org/officeDocument/2006/relationships/hyperlink" Target="https://ref.ly/Num19:3-Num19:4" TargetMode="External"/><Relationship Id="rId7804" Type="http://schemas.openxmlformats.org/officeDocument/2006/relationships/hyperlink" Target="https://ref.ly/Num20:25-Num20:28" TargetMode="External"/><Relationship Id="rId7805" Type="http://schemas.openxmlformats.org/officeDocument/2006/relationships/hyperlink" Target="https://ref.ly/Num26:1-Num26:3,Num26:63" TargetMode="External"/><Relationship Id="rId7806" Type="http://schemas.openxmlformats.org/officeDocument/2006/relationships/hyperlink" Target="https://ref.ly/Num26:1-Num26:3" TargetMode="External"/><Relationship Id="rId7807" Type="http://schemas.openxmlformats.org/officeDocument/2006/relationships/hyperlink" Target="https://ref.ly/Num27:2,Num27:21" TargetMode="External"/><Relationship Id="rId7808" Type="http://schemas.openxmlformats.org/officeDocument/2006/relationships/hyperlink" Target="https://ref.ly/Num27:18-Num27:23" TargetMode="External"/><Relationship Id="rId7809" Type="http://schemas.openxmlformats.org/officeDocument/2006/relationships/hyperlink" Target="https://ref.ly/Num27:21" TargetMode="External"/><Relationship Id="rId7810" Type="http://schemas.openxmlformats.org/officeDocument/2006/relationships/hyperlink" Target="https://ref.ly/Num34:17" TargetMode="External"/><Relationship Id="rId7811" Type="http://schemas.openxmlformats.org/officeDocument/2006/relationships/hyperlink" Target="https://ref.ly/Josh14:1" TargetMode="External"/><Relationship Id="rId7812" Type="http://schemas.openxmlformats.org/officeDocument/2006/relationships/hyperlink" Target="https://ref.ly/Josh17:4" TargetMode="External"/><Relationship Id="rId7813" Type="http://schemas.openxmlformats.org/officeDocument/2006/relationships/hyperlink" Target="https://ref.ly/Josh19:51" TargetMode="External"/><Relationship Id="rId7814" Type="http://schemas.openxmlformats.org/officeDocument/2006/relationships/hyperlink" Target="https://ref.ly/Josh21:1" TargetMode="External"/><Relationship Id="rId7815" Type="http://schemas.openxmlformats.org/officeDocument/2006/relationships/hyperlink" Target="https://ref.ly/Josh24:33" TargetMode="External"/><Relationship Id="rId7816" Type="http://schemas.openxmlformats.org/officeDocument/2006/relationships/hyperlink" Target="https://ref.ly/1Chr24:1-1Chr24:31" TargetMode="External"/><Relationship Id="rId7817" Type="http://schemas.openxmlformats.org/officeDocument/2006/relationships/hyperlink" Target="https://ref.ly/1Chr6:3-1Chr6:15,1Chr6:50-1Chr6:53" TargetMode="External"/><Relationship Id="rId7818" Type="http://schemas.openxmlformats.org/officeDocument/2006/relationships/hyperlink" Target="https://ref.ly/1Chr6:3-1Chr6:15" TargetMode="External"/><Relationship Id="rId7819" Type="http://schemas.openxmlformats.org/officeDocument/2006/relationships/hyperlink" Target="https://ref.ly/1Chr24:3" TargetMode="External"/><Relationship Id="rId7820" Type="http://schemas.openxmlformats.org/officeDocument/2006/relationships/hyperlink" Target="https://ref.ly/Ezra7:1-Ezra7:5" TargetMode="External"/><Relationship Id="rId7821" Type="http://schemas.openxmlformats.org/officeDocument/2006/relationships/hyperlink" Target="https://ref.ly/1Kgs2:26-1Kgs2:27,1Kgs2:35" TargetMode="External"/><Relationship Id="rId7822" Type="http://schemas.openxmlformats.org/officeDocument/2006/relationships/hyperlink" Target="https://ref.ly/Ezek44:15" TargetMode="External"/><Relationship Id="rId7823" Type="http://schemas.openxmlformats.org/officeDocument/2006/relationships/hyperlink" Target="https://ref.ly/1Sam7:1" TargetMode="External"/><Relationship Id="rId7824" Type="http://schemas.openxmlformats.org/officeDocument/2006/relationships/hyperlink" Target="https://ref.ly/2Sam23:9" TargetMode="External"/><Relationship Id="rId7825" Type="http://schemas.openxmlformats.org/officeDocument/2006/relationships/hyperlink" Target="https://ref.ly/1Chr11:12" TargetMode="External"/><Relationship Id="rId7826" Type="http://schemas.openxmlformats.org/officeDocument/2006/relationships/hyperlink" Target="https://ref.ly/1Chr23:21-1Chr23:22" TargetMode="External"/><Relationship Id="rId7827" Type="http://schemas.openxmlformats.org/officeDocument/2006/relationships/hyperlink" Target="https://ref.ly/1Chr24:28" TargetMode="External"/><Relationship Id="rId7828" Type="http://schemas.openxmlformats.org/officeDocument/2006/relationships/hyperlink" Target="https://ref.ly/Ezra8:33" TargetMode="External"/><Relationship Id="rId7829" Type="http://schemas.openxmlformats.org/officeDocument/2006/relationships/hyperlink" Target="https://ref.ly/Ezra10:25" TargetMode="External"/><Relationship Id="rId7830" Type="http://schemas.openxmlformats.org/officeDocument/2006/relationships/hyperlink" Target="https://ref.ly/Matt1:15" TargetMode="External"/><Relationship Id="rId7831" Type="http://schemas.openxmlformats.org/officeDocument/2006/relationships/hyperlink" Target="https://ref.ly/Acts13:17" TargetMode="External"/><Relationship Id="rId7832" Type="http://schemas.openxmlformats.org/officeDocument/2006/relationships/hyperlink" Target="https://ref.ly/Deut7:7-Deut7:8" TargetMode="External"/><Relationship Id="rId7833" Type="http://schemas.openxmlformats.org/officeDocument/2006/relationships/hyperlink" Target="https://ref.ly/1Sam10:24" TargetMode="External"/><Relationship Id="rId7834" Type="http://schemas.openxmlformats.org/officeDocument/2006/relationships/hyperlink" Target="https://ref.ly/2Sam6:21" TargetMode="External"/><Relationship Id="rId7835" Type="http://schemas.openxmlformats.org/officeDocument/2006/relationships/hyperlink" Target="https://ref.ly/Mark13:20" TargetMode="External"/><Relationship Id="rId7836" Type="http://schemas.openxmlformats.org/officeDocument/2006/relationships/hyperlink" Target="https://ref.ly/Luke18:7" TargetMode="External"/><Relationship Id="rId7837" Type="http://schemas.openxmlformats.org/officeDocument/2006/relationships/hyperlink" Target="https://ref.ly/Isa43:20" TargetMode="External"/><Relationship Id="rId7838" Type="http://schemas.openxmlformats.org/officeDocument/2006/relationships/hyperlink" Target="https://ref.ly/Rom11:5-Rom11:7" TargetMode="External"/><Relationship Id="rId7839" Type="http://schemas.openxmlformats.org/officeDocument/2006/relationships/hyperlink" Target="https://ref.ly/Rom8:33" TargetMode="External"/><Relationship Id="rId7840" Type="http://schemas.openxmlformats.org/officeDocument/2006/relationships/hyperlink" Target="https://ref.ly/1Thess1:4" TargetMode="External"/><Relationship Id="rId7841" Type="http://schemas.openxmlformats.org/officeDocument/2006/relationships/hyperlink" Target="https://ref.ly/2Tim2:10" TargetMode="External"/><Relationship Id="rId7842" Type="http://schemas.openxmlformats.org/officeDocument/2006/relationships/hyperlink" Target="https://ref.ly/Titus1:1" TargetMode="External"/><Relationship Id="rId7843" Type="http://schemas.openxmlformats.org/officeDocument/2006/relationships/hyperlink" Target="https://ref.ly/1Pet1:1-1Pet1:2" TargetMode="External"/><Relationship Id="rId7844" Type="http://schemas.openxmlformats.org/officeDocument/2006/relationships/hyperlink" Target="https://ref.ly/2Pet1:10" TargetMode="External"/><Relationship Id="rId7845" Type="http://schemas.openxmlformats.org/officeDocument/2006/relationships/hyperlink" Target="https://ref.ly/Rev17:14" TargetMode="External"/><Relationship Id="rId7846" Type="http://schemas.openxmlformats.org/officeDocument/2006/relationships/hyperlink" Target="https://ref.ly/Rom16:13" TargetMode="External"/><Relationship Id="rId7847" Type="http://schemas.openxmlformats.org/officeDocument/2006/relationships/hyperlink" Target="https://ref.ly/2John1:13" TargetMode="External"/><Relationship Id="rId7848" Type="http://schemas.openxmlformats.org/officeDocument/2006/relationships/hyperlink" Target="https://ref.ly/John15:16" TargetMode="External"/><Relationship Id="rId7849" Type="http://schemas.openxmlformats.org/officeDocument/2006/relationships/hyperlink" Target="https://ref.ly/1Cor1:27-1Cor1:28" TargetMode="External"/><Relationship Id="rId7850" Type="http://schemas.openxmlformats.org/officeDocument/2006/relationships/hyperlink" Target="https://ref.ly/1Thess1:4-1Thess1:5" TargetMode="External"/><Relationship Id="rId7851" Type="http://schemas.openxmlformats.org/officeDocument/2006/relationships/hyperlink" Target="https://ref.ly/Luke6:13" TargetMode="External"/><Relationship Id="rId7852" Type="http://schemas.openxmlformats.org/officeDocument/2006/relationships/hyperlink" Target="https://ref.ly/Acts1:2" TargetMode="External"/><Relationship Id="rId7853" Type="http://schemas.openxmlformats.org/officeDocument/2006/relationships/hyperlink" Target="https://ref.ly/John6:70" TargetMode="External"/><Relationship Id="rId7854" Type="http://schemas.openxmlformats.org/officeDocument/2006/relationships/hyperlink" Target="https://ref.ly/John13:18" TargetMode="External"/><Relationship Id="rId7855" Type="http://schemas.openxmlformats.org/officeDocument/2006/relationships/hyperlink" Target="https://ref.ly/Acts1:24" TargetMode="External"/><Relationship Id="rId7856" Type="http://schemas.openxmlformats.org/officeDocument/2006/relationships/hyperlink" Target="https://ref.ly/Acts15:7" TargetMode="External"/><Relationship Id="rId7857" Type="http://schemas.openxmlformats.org/officeDocument/2006/relationships/hyperlink" Target="https://ref.ly/Gen35:14,Gen35:20" TargetMode="External"/><Relationship Id="rId7858" Type="http://schemas.openxmlformats.org/officeDocument/2006/relationships/hyperlink" Target="https://ref.ly/Gen14:18" TargetMode="External"/><Relationship Id="rId7859" Type="http://schemas.openxmlformats.org/officeDocument/2006/relationships/hyperlink" Target="https://ref.ly/1Sam1:3,1Sam1:9" TargetMode="External"/><Relationship Id="rId7860" Type="http://schemas.openxmlformats.org/officeDocument/2006/relationships/hyperlink" Target="https://ref.ly/1Kgs2:27" TargetMode="External"/><Relationship Id="rId7861" Type="http://schemas.openxmlformats.org/officeDocument/2006/relationships/hyperlink" Target="https://ref.ly/Exod6:23-Exod6:25" TargetMode="External"/><Relationship Id="rId7862" Type="http://schemas.openxmlformats.org/officeDocument/2006/relationships/hyperlink" Target="https://ref.ly/2Esd1:2-2Esd1:3" TargetMode="External"/><Relationship Id="rId7863" Type="http://schemas.openxmlformats.org/officeDocument/2006/relationships/hyperlink" Target="https://ref.ly/1Sam1:1-1Sam1:28" TargetMode="External"/><Relationship Id="rId7864" Type="http://schemas.openxmlformats.org/officeDocument/2006/relationships/hyperlink" Target="https://ref.ly/1Sam2:27,1Sam2:36" TargetMode="External"/><Relationship Id="rId7865" Type="http://schemas.openxmlformats.org/officeDocument/2006/relationships/hyperlink" Target="https://ref.ly/1Sam2:34" TargetMode="External"/><Relationship Id="rId7866" Type="http://schemas.openxmlformats.org/officeDocument/2006/relationships/hyperlink" Target="https://ref.ly/1Sam4:11,1Sam4:17" TargetMode="External"/><Relationship Id="rId7867" Type="http://schemas.openxmlformats.org/officeDocument/2006/relationships/hyperlink" Target="https://ref.ly/1Sam4:15-1Sam4:18" TargetMode="External"/><Relationship Id="rId7868" Type="http://schemas.openxmlformats.org/officeDocument/2006/relationships/hyperlink" Target="https://ref.ly/1Sam4:19-1Sam4:22" TargetMode="External"/><Relationship Id="rId7869" Type="http://schemas.openxmlformats.org/officeDocument/2006/relationships/hyperlink" Target="https://ref.ly/Matt27:46" TargetMode="External"/><Relationship Id="rId7870" Type="http://schemas.openxmlformats.org/officeDocument/2006/relationships/hyperlink" Target="https://ref.ly/Mark15:34" TargetMode="External"/><Relationship Id="rId7871" Type="http://schemas.openxmlformats.org/officeDocument/2006/relationships/hyperlink" Target="https://ref.ly/Ps22:1" TargetMode="External"/><Relationship Id="rId7872" Type="http://schemas.openxmlformats.org/officeDocument/2006/relationships/hyperlink" Target="https://ref.ly/Matt27:47" TargetMode="External"/><Relationship Id="rId7873" Type="http://schemas.openxmlformats.org/officeDocument/2006/relationships/hyperlink" Target="https://ref.ly/Mark15:35" TargetMode="External"/><Relationship Id="rId7874" Type="http://schemas.openxmlformats.org/officeDocument/2006/relationships/hyperlink" Target="https://ref.ly/Luke23:46" TargetMode="External"/><Relationship Id="rId7875" Type="http://schemas.openxmlformats.org/officeDocument/2006/relationships/hyperlink" Target="https://ref.ly/Matt26:36-Matt26:46" TargetMode="External"/><Relationship Id="rId7876" Type="http://schemas.openxmlformats.org/officeDocument/2006/relationships/hyperlink" Target="https://ref.ly/Mark14:32-Mark14:42" TargetMode="External"/><Relationship Id="rId7877" Type="http://schemas.openxmlformats.org/officeDocument/2006/relationships/hyperlink" Target="https://ref.ly/Luke22:39-Luke22:46" TargetMode="External"/><Relationship Id="rId7878" Type="http://schemas.openxmlformats.org/officeDocument/2006/relationships/hyperlink" Target="https://ref.ly/Phil2:8" TargetMode="External"/><Relationship Id="rId7879" Type="http://schemas.openxmlformats.org/officeDocument/2006/relationships/hyperlink" Target="https://ref.ly/Num1:9" TargetMode="External"/><Relationship Id="rId7880" Type="http://schemas.openxmlformats.org/officeDocument/2006/relationships/hyperlink" Target="https://ref.ly/Num2:7" TargetMode="External"/><Relationship Id="rId7881" Type="http://schemas.openxmlformats.org/officeDocument/2006/relationships/hyperlink" Target="https://ref.ly/Num10:16" TargetMode="External"/><Relationship Id="rId7882" Type="http://schemas.openxmlformats.org/officeDocument/2006/relationships/hyperlink" Target="https://ref.ly/Num7:24,Num7:29" TargetMode="External"/><Relationship Id="rId7883" Type="http://schemas.openxmlformats.org/officeDocument/2006/relationships/hyperlink" Target="https://ref.ly/Num16:1,Num16:12" TargetMode="External"/><Relationship Id="rId7884" Type="http://schemas.openxmlformats.org/officeDocument/2006/relationships/hyperlink" Target="https://ref.ly/Num26:8-Num26:9" TargetMode="External"/><Relationship Id="rId7885" Type="http://schemas.openxmlformats.org/officeDocument/2006/relationships/hyperlink" Target="https://ref.ly/Deut11:6" TargetMode="External"/><Relationship Id="rId7886" Type="http://schemas.openxmlformats.org/officeDocument/2006/relationships/hyperlink" Target="https://ref.ly/1Sam16:6" TargetMode="External"/><Relationship Id="rId7887" Type="http://schemas.openxmlformats.org/officeDocument/2006/relationships/hyperlink" Target="https://ref.ly/1Chr2:13" TargetMode="External"/><Relationship Id="rId7888" Type="http://schemas.openxmlformats.org/officeDocument/2006/relationships/hyperlink" Target="https://ref.ly/1Sam17:13,1Sam17:28" TargetMode="External"/><Relationship Id="rId7889" Type="http://schemas.openxmlformats.org/officeDocument/2006/relationships/hyperlink" Target="https://ref.ly/1Chr27:18" TargetMode="External"/><Relationship Id="rId7890" Type="http://schemas.openxmlformats.org/officeDocument/2006/relationships/hyperlink" Target="https://ref.ly/1Chr6:27" TargetMode="External"/><Relationship Id="rId7891" Type="http://schemas.openxmlformats.org/officeDocument/2006/relationships/hyperlink" Target="https://ref.ly/1Chr12:9" TargetMode="External"/><Relationship Id="rId7892" Type="http://schemas.openxmlformats.org/officeDocument/2006/relationships/hyperlink" Target="https://ref.ly/1Chr15:18" TargetMode="External"/><Relationship Id="rId7893" Type="http://schemas.openxmlformats.org/officeDocument/2006/relationships/hyperlink" Target="https://ref.ly/1Chr16:5" TargetMode="External"/><Relationship Id="rId7894" Type="http://schemas.openxmlformats.org/officeDocument/2006/relationships/hyperlink" Target="https://ref.ly/1Kgs17:1-1Kgs17:24" TargetMode="External"/><Relationship Id="rId7895" Type="http://schemas.openxmlformats.org/officeDocument/2006/relationships/hyperlink" Target="https://ref.ly/2Kgs2:1-2Kgs2:25" TargetMode="External"/><Relationship Id="rId7896" Type="http://schemas.openxmlformats.org/officeDocument/2006/relationships/hyperlink" Target="https://ref.ly/Lev26:14-Lev26:39" TargetMode="External"/><Relationship Id="rId7897" Type="http://schemas.openxmlformats.org/officeDocument/2006/relationships/hyperlink" Target="https://ref.ly/1Kgs18:17-1Kgs18:18" TargetMode="External"/><Relationship Id="rId7898" Type="http://schemas.openxmlformats.org/officeDocument/2006/relationships/hyperlink" Target="https://ref.ly/1Kgs18:21" TargetMode="External"/><Relationship Id="rId7899" Type="http://schemas.openxmlformats.org/officeDocument/2006/relationships/hyperlink" Target="https://ref.ly/1Kgs18:38" TargetMode="External"/><Relationship Id="rId7900" Type="http://schemas.openxmlformats.org/officeDocument/2006/relationships/hyperlink" Target="https://ref.ly/1Kgs18:39" TargetMode="External"/><Relationship Id="rId7901" Type="http://schemas.openxmlformats.org/officeDocument/2006/relationships/hyperlink" Target="https://ref.ly/1Kgs19:2" TargetMode="External"/><Relationship Id="rId7902" Type="http://schemas.openxmlformats.org/officeDocument/2006/relationships/hyperlink" Target="https://ref.ly/1Kgs21:19" TargetMode="External"/><Relationship Id="rId7903" Type="http://schemas.openxmlformats.org/officeDocument/2006/relationships/hyperlink" Target="https://ref.ly/2Chr21:12-2Chr21:15" TargetMode="External"/><Relationship Id="rId7904" Type="http://schemas.openxmlformats.org/officeDocument/2006/relationships/hyperlink" Target="https://ref.ly/Deut21:17" TargetMode="External"/><Relationship Id="rId7905" Type="http://schemas.openxmlformats.org/officeDocument/2006/relationships/hyperlink" Target="https://ref.ly/2Kgs10:18-2Kgs10:28" TargetMode="External"/><Relationship Id="rId7906" Type="http://schemas.openxmlformats.org/officeDocument/2006/relationships/hyperlink" Target="https://ref.ly/Mal4:5-Mal4:6" TargetMode="External"/><Relationship Id="rId7907" Type="http://schemas.openxmlformats.org/officeDocument/2006/relationships/hyperlink" Target="https://ref.ly/Sir48:10" TargetMode="External"/><Relationship Id="rId7908" Type="http://schemas.openxmlformats.org/officeDocument/2006/relationships/hyperlink" Target="https://ref.ly/Luke1:17" TargetMode="External"/><Relationship Id="rId7909" Type="http://schemas.openxmlformats.org/officeDocument/2006/relationships/hyperlink" Target="https://ref.ly/Matt17:10-Matt17:13" TargetMode="External"/><Relationship Id="rId7910" Type="http://schemas.openxmlformats.org/officeDocument/2006/relationships/hyperlink" Target="https://ref.ly/Luke4:25-Luke4:26" TargetMode="External"/><Relationship Id="rId7911" Type="http://schemas.openxmlformats.org/officeDocument/2006/relationships/hyperlink" Target="https://ref.ly/Rom11:2" TargetMode="External"/><Relationship Id="rId7912" Type="http://schemas.openxmlformats.org/officeDocument/2006/relationships/hyperlink" Target="https://ref.ly/Matt17:1-Matt17:13" TargetMode="External"/><Relationship Id="rId7913" Type="http://schemas.openxmlformats.org/officeDocument/2006/relationships/hyperlink" Target="https://ref.ly/Luke9:28-Luke9:36" TargetMode="External"/><Relationship Id="rId7914" Type="http://schemas.openxmlformats.org/officeDocument/2006/relationships/hyperlink" Target="https://ref.ly/Rev11:3-Rev11:12" TargetMode="External"/><Relationship Id="rId7915" Type="http://schemas.openxmlformats.org/officeDocument/2006/relationships/hyperlink" Target="https://ref.ly/1Chr8:27" TargetMode="External"/><Relationship Id="rId7916" Type="http://schemas.openxmlformats.org/officeDocument/2006/relationships/hyperlink" Target="https://ref.ly/Ezra10:21" TargetMode="External"/><Relationship Id="rId7917" Type="http://schemas.openxmlformats.org/officeDocument/2006/relationships/hyperlink" Target="https://ref.ly/Num3:24-Num3:25" TargetMode="External"/><Relationship Id="rId7918" Type="http://schemas.openxmlformats.org/officeDocument/2006/relationships/hyperlink" Target="https://ref.ly/Num34:21" TargetMode="External"/><Relationship Id="rId7919" Type="http://schemas.openxmlformats.org/officeDocument/2006/relationships/hyperlink" Target="https://ref.ly/Exod18:4" TargetMode="External"/><Relationship Id="rId7920" Type="http://schemas.openxmlformats.org/officeDocument/2006/relationships/hyperlink" Target="https://ref.ly/1Chr23:15-1Chr23:17" TargetMode="External"/><Relationship Id="rId7921" Type="http://schemas.openxmlformats.org/officeDocument/2006/relationships/hyperlink" Target="https://ref.ly/1Chr7:8" TargetMode="External"/><Relationship Id="rId7922" Type="http://schemas.openxmlformats.org/officeDocument/2006/relationships/hyperlink" Target="https://ref.ly/1Chr15:24" TargetMode="External"/><Relationship Id="rId7923" Type="http://schemas.openxmlformats.org/officeDocument/2006/relationships/hyperlink" Target="https://ref.ly/1Chr27:16" TargetMode="External"/><Relationship Id="rId7924" Type="http://schemas.openxmlformats.org/officeDocument/2006/relationships/hyperlink" Target="https://ref.ly/2Chr20:37" TargetMode="External"/><Relationship Id="rId7925" Type="http://schemas.openxmlformats.org/officeDocument/2006/relationships/hyperlink" Target="https://ref.ly/Ezra8:16" TargetMode="External"/><Relationship Id="rId7926" Type="http://schemas.openxmlformats.org/officeDocument/2006/relationships/hyperlink" Target="https://ref.ly/Ezra10:18,Ezra10:23,Ezra10:31" TargetMode="External"/><Relationship Id="rId7927" Type="http://schemas.openxmlformats.org/officeDocument/2006/relationships/hyperlink" Target="https://ref.ly/Luke3:29" TargetMode="External"/><Relationship Id="rId7928" Type="http://schemas.openxmlformats.org/officeDocument/2006/relationships/hyperlink" Target="https://ref.ly/Gen36:4-Gen36:16" TargetMode="External"/><Relationship Id="rId7929" Type="http://schemas.openxmlformats.org/officeDocument/2006/relationships/hyperlink" Target="https://ref.ly/1Chr1:35-1Chr1:36" TargetMode="External"/><Relationship Id="rId7930" Type="http://schemas.openxmlformats.org/officeDocument/2006/relationships/hyperlink" Target="https://ref.ly/Jer49:7" TargetMode="External"/><Relationship Id="rId7931" Type="http://schemas.openxmlformats.org/officeDocument/2006/relationships/hyperlink" Target="https://ref.ly/Job4:1-Job4:21" TargetMode="External"/><Relationship Id="rId7932" Type="http://schemas.openxmlformats.org/officeDocument/2006/relationships/hyperlink" Target="https://ref.ly/Job15:1-Job15:35" TargetMode="External"/><Relationship Id="rId7933" Type="http://schemas.openxmlformats.org/officeDocument/2006/relationships/hyperlink" Target="https://ref.ly/Job22:1-Job22:30" TargetMode="External"/><Relationship Id="rId7934" Type="http://schemas.openxmlformats.org/officeDocument/2006/relationships/hyperlink" Target="https://ref.ly/Exod15:27" TargetMode="External"/><Relationship Id="rId7935" Type="http://schemas.openxmlformats.org/officeDocument/2006/relationships/hyperlink" Target="https://ref.ly/Num33:9-Num33:10" TargetMode="External"/><Relationship Id="rId7936" Type="http://schemas.openxmlformats.org/officeDocument/2006/relationships/hyperlink" Target="https://ref.ly/Gen10:5" TargetMode="External"/><Relationship Id="rId7937" Type="http://schemas.openxmlformats.org/officeDocument/2006/relationships/hyperlink" Target="https://ref.ly/Ezek27:6-Ezek27:7" TargetMode="External"/><Relationship Id="rId7938" Type="http://schemas.openxmlformats.org/officeDocument/2006/relationships/hyperlink" Target="https://ref.ly/Num2:18" TargetMode="External"/><Relationship Id="rId7939" Type="http://schemas.openxmlformats.org/officeDocument/2006/relationships/hyperlink" Target="https://ref.ly/Num7:48,Num7:53" TargetMode="External"/><Relationship Id="rId7940" Type="http://schemas.openxmlformats.org/officeDocument/2006/relationships/hyperlink" Target="https://ref.ly/Num10:22" TargetMode="External"/><Relationship Id="rId7941" Type="http://schemas.openxmlformats.org/officeDocument/2006/relationships/hyperlink" Target="https://ref.ly/2Sam5:16" TargetMode="External"/><Relationship Id="rId7942" Type="http://schemas.openxmlformats.org/officeDocument/2006/relationships/hyperlink" Target="https://ref.ly/1Chr3:8" TargetMode="External"/><Relationship Id="rId7943" Type="http://schemas.openxmlformats.org/officeDocument/2006/relationships/hyperlink" Target="https://ref.ly/1Chr14:7" TargetMode="External"/><Relationship Id="rId7944" Type="http://schemas.openxmlformats.org/officeDocument/2006/relationships/hyperlink" Target="https://ref.ly/2Kgs25:25" TargetMode="External"/><Relationship Id="rId7945" Type="http://schemas.openxmlformats.org/officeDocument/2006/relationships/hyperlink" Target="https://ref.ly/Jer41:1" TargetMode="External"/><Relationship Id="rId7946" Type="http://schemas.openxmlformats.org/officeDocument/2006/relationships/hyperlink" Target="https://ref.ly/1Chr2:41" TargetMode="External"/><Relationship Id="rId7947" Type="http://schemas.openxmlformats.org/officeDocument/2006/relationships/hyperlink" Target="https://ref.ly/1Chr3:6" TargetMode="External"/><Relationship Id="rId7948" Type="http://schemas.openxmlformats.org/officeDocument/2006/relationships/hyperlink" Target="https://ref.ly/2Sam5:15" TargetMode="External"/><Relationship Id="rId7949" Type="http://schemas.openxmlformats.org/officeDocument/2006/relationships/hyperlink" Target="https://ref.ly/1Chr14:5" TargetMode="External"/><Relationship Id="rId7950" Type="http://schemas.openxmlformats.org/officeDocument/2006/relationships/hyperlink" Target="https://ref.ly/Jer36:20-Jer36:21" TargetMode="External"/><Relationship Id="rId7951" Type="http://schemas.openxmlformats.org/officeDocument/2006/relationships/hyperlink" Target="https://ref.ly/Num20:28" TargetMode="External"/><Relationship Id="rId7952" Type="http://schemas.openxmlformats.org/officeDocument/2006/relationships/hyperlink" Target="https://ref.ly/1Kgs19:16" TargetMode="External"/><Relationship Id="rId7953" Type="http://schemas.openxmlformats.org/officeDocument/2006/relationships/hyperlink" Target="https://ref.ly/1Kgs19:20" TargetMode="External"/><Relationship Id="rId7954" Type="http://schemas.openxmlformats.org/officeDocument/2006/relationships/hyperlink" Target="https://ref.ly/Matt8:21-Matt8:22" TargetMode="External"/><Relationship Id="rId7955" Type="http://schemas.openxmlformats.org/officeDocument/2006/relationships/hyperlink" Target="https://ref.ly/Luke9:61-Luke9:62" TargetMode="External"/><Relationship Id="rId7956" Type="http://schemas.openxmlformats.org/officeDocument/2006/relationships/hyperlink" Target="https://ref.ly/1Sam10:5,1Sam10:10" TargetMode="External"/><Relationship Id="rId7957" Type="http://schemas.openxmlformats.org/officeDocument/2006/relationships/hyperlink" Target="https://ref.ly/2Kgs2:1-2Kgs2:4" TargetMode="External"/><Relationship Id="rId7958" Type="http://schemas.openxmlformats.org/officeDocument/2006/relationships/hyperlink" Target="https://ref.ly/2Kgs2:9" TargetMode="External"/><Relationship Id="rId7959" Type="http://schemas.openxmlformats.org/officeDocument/2006/relationships/hyperlink" Target="https://ref.ly/2Kgs2:14" TargetMode="External"/><Relationship Id="rId7960" Type="http://schemas.openxmlformats.org/officeDocument/2006/relationships/hyperlink" Target="https://ref.ly/2Kgs2:19-2Kgs2:22" TargetMode="External"/><Relationship Id="rId7961" Type="http://schemas.openxmlformats.org/officeDocument/2006/relationships/hyperlink" Target="https://ref.ly/2Kgs2:23-2Kgs2:24" TargetMode="External"/><Relationship Id="rId7962" Type="http://schemas.openxmlformats.org/officeDocument/2006/relationships/hyperlink" Target="https://ref.ly/Exod24:3-Exod24:8" TargetMode="External"/><Relationship Id="rId7963" Type="http://schemas.openxmlformats.org/officeDocument/2006/relationships/hyperlink" Target="https://ref.ly/2Kgs3:1-2Kgs3:27" TargetMode="External"/><Relationship Id="rId7964" Type="http://schemas.openxmlformats.org/officeDocument/2006/relationships/hyperlink" Target="https://ref.ly/2Kgs4:8-2Kgs4:17" TargetMode="External"/><Relationship Id="rId7965" Type="http://schemas.openxmlformats.org/officeDocument/2006/relationships/hyperlink" Target="https://ref.ly/2Kgs4:18-2Kgs4:37" TargetMode="External"/><Relationship Id="rId7966" Type="http://schemas.openxmlformats.org/officeDocument/2006/relationships/hyperlink" Target="https://ref.ly/Matt14:16-Matt14:21" TargetMode="External"/><Relationship Id="rId7967" Type="http://schemas.openxmlformats.org/officeDocument/2006/relationships/hyperlink" Target="https://ref.ly/Matt15:32-Matt15:38" TargetMode="External"/><Relationship Id="rId7968" Type="http://schemas.openxmlformats.org/officeDocument/2006/relationships/hyperlink" Target="https://ref.ly/2Kgs4:42-2Kgs4:44" TargetMode="External"/><Relationship Id="rId7969" Type="http://schemas.openxmlformats.org/officeDocument/2006/relationships/hyperlink" Target="https://ref.ly/2Kgs5:1-2Kgs5:19" TargetMode="External"/><Relationship Id="rId7970" Type="http://schemas.openxmlformats.org/officeDocument/2006/relationships/hyperlink" Target="https://ref.ly/2Kgs6:8-2Kgs6:23" TargetMode="External"/><Relationship Id="rId7971" Type="http://schemas.openxmlformats.org/officeDocument/2006/relationships/hyperlink" Target="https://ref.ly/2Kgs6:24-2Kgs7:20" TargetMode="External"/><Relationship Id="rId7972" Type="http://schemas.openxmlformats.org/officeDocument/2006/relationships/hyperlink" Target="https://ref.ly/2Kgs8:7-2Kgs8:13" TargetMode="External"/><Relationship Id="rId7973" Type="http://schemas.openxmlformats.org/officeDocument/2006/relationships/hyperlink" Target="https://ref.ly/2Kgs9:1-2Kgs9:28" TargetMode="External"/><Relationship Id="rId7974" Type="http://schemas.openxmlformats.org/officeDocument/2006/relationships/hyperlink" Target="https://ref.ly/2Kgs13:14-2Kgs13:19" TargetMode="External"/><Relationship Id="rId7975" Type="http://schemas.openxmlformats.org/officeDocument/2006/relationships/hyperlink" Target="https://ref.ly/2Kgs8:1-2Kgs8:6" TargetMode="External"/><Relationship Id="rId7976" Type="http://schemas.openxmlformats.org/officeDocument/2006/relationships/hyperlink" Target="https://ref.ly/2Kgs13:21" TargetMode="External"/><Relationship Id="rId7977" Type="http://schemas.openxmlformats.org/officeDocument/2006/relationships/hyperlink" Target="https://ref.ly/Luke4:27" TargetMode="External"/><Relationship Id="rId7978" Type="http://schemas.openxmlformats.org/officeDocument/2006/relationships/hyperlink" Target="https://ref.ly/Num1:5" TargetMode="External"/><Relationship Id="rId7979" Type="http://schemas.openxmlformats.org/officeDocument/2006/relationships/hyperlink" Target="https://ref.ly/Num2:10" TargetMode="External"/><Relationship Id="rId7980" Type="http://schemas.openxmlformats.org/officeDocument/2006/relationships/hyperlink" Target="https://ref.ly/Num7:30-Num7:35" TargetMode="External"/><Relationship Id="rId7981" Type="http://schemas.openxmlformats.org/officeDocument/2006/relationships/hyperlink" Target="https://ref.ly/Num10:18" TargetMode="External"/><Relationship Id="rId7982" Type="http://schemas.openxmlformats.org/officeDocument/2006/relationships/hyperlink" Target="https://ref.ly/Ps82:1,Ps82:6" TargetMode="External"/><Relationship Id="rId7983" Type="http://schemas.openxmlformats.org/officeDocument/2006/relationships/hyperlink" Target="https://ref.ly/Exod21:6" TargetMode="External"/><Relationship Id="rId7984" Type="http://schemas.openxmlformats.org/officeDocument/2006/relationships/hyperlink" Target="https://ref.ly/John10:34-John10:36" TargetMode="External"/><Relationship Id="rId7985" Type="http://schemas.openxmlformats.org/officeDocument/2006/relationships/hyperlink" Target="https://ref.ly/Heb2:7" TargetMode="External"/><Relationship Id="rId7986" Type="http://schemas.openxmlformats.org/officeDocument/2006/relationships/hyperlink" Target="https://ref.ly/Job1:6" TargetMode="External"/><Relationship Id="rId7987" Type="http://schemas.openxmlformats.org/officeDocument/2006/relationships/hyperlink" Target="https://ref.ly/Gen46:14" TargetMode="External"/><Relationship Id="rId7988" Type="http://schemas.openxmlformats.org/officeDocument/2006/relationships/hyperlink" Target="https://ref.ly/Num26:26" TargetMode="External"/><Relationship Id="rId7989" Type="http://schemas.openxmlformats.org/officeDocument/2006/relationships/hyperlink" Target="https://ref.ly/Judg12:11-Judg12:12" TargetMode="External"/><Relationship Id="rId7990" Type="http://schemas.openxmlformats.org/officeDocument/2006/relationships/hyperlink" Target="https://ref.ly/Num3:29-Num3:30" TargetMode="External"/><Relationship Id="rId7991" Type="http://schemas.openxmlformats.org/officeDocument/2006/relationships/hyperlink" Target="https://ref.ly/Lev10:4" TargetMode="External"/><Relationship Id="rId7992" Type="http://schemas.openxmlformats.org/officeDocument/2006/relationships/hyperlink" Target="https://ref.ly/1Chr15:8" TargetMode="External"/><Relationship Id="rId7993" Type="http://schemas.openxmlformats.org/officeDocument/2006/relationships/hyperlink" Target="https://ref.ly/2Chr29:13" TargetMode="External"/><Relationship Id="rId7994" Type="http://schemas.openxmlformats.org/officeDocument/2006/relationships/hyperlink" Target="https://ref.ly/Exod6:22" TargetMode="External"/><Relationship Id="rId7995" Type="http://schemas.openxmlformats.org/officeDocument/2006/relationships/hyperlink" Target="https://ref.ly/Num34:25" TargetMode="External"/><Relationship Id="rId7996" Type="http://schemas.openxmlformats.org/officeDocument/2006/relationships/hyperlink" Target="https://ref.ly/Gen41:45,Gen41:50" TargetMode="External"/><Relationship Id="rId7997" Type="http://schemas.openxmlformats.org/officeDocument/2006/relationships/hyperlink" Target="https://ref.ly/Deut2:10-Deut2:11" TargetMode="External"/><Relationship Id="rId7998" Type="http://schemas.openxmlformats.org/officeDocument/2006/relationships/hyperlink" Target="https://ref.ly/Matt9:20" TargetMode="External"/><Relationship Id="rId7999" Type="http://schemas.openxmlformats.org/officeDocument/2006/relationships/hyperlink" Target="https://ref.ly/Mark5:25" TargetMode="External"/><Relationship Id="rId8000" Type="http://schemas.openxmlformats.org/officeDocument/2006/relationships/hyperlink" Target="https://ref.ly/Deut21:22" TargetMode="External"/><Relationship Id="rId8001" Type="http://schemas.openxmlformats.org/officeDocument/2006/relationships/hyperlink" Target="https://ref.ly/Esth2:23" TargetMode="External"/><Relationship Id="rId8002" Type="http://schemas.openxmlformats.org/officeDocument/2006/relationships/hyperlink" Target="https://ref.ly/2Sam21:6-2Sam21:13" TargetMode="External"/><Relationship Id="rId8003" Type="http://schemas.openxmlformats.org/officeDocument/2006/relationships/hyperlink" Target="https://ref.ly/Gen29:1-Gen30:43" TargetMode="External"/><Relationship Id="rId8004" Type="http://schemas.openxmlformats.org/officeDocument/2006/relationships/hyperlink" Target="https://ref.ly/Gen24:16" TargetMode="External"/><Relationship Id="rId8005" Type="http://schemas.openxmlformats.org/officeDocument/2006/relationships/hyperlink" Target="https://ref.ly/Jer31:21" TargetMode="External"/><Relationship Id="rId8006" Type="http://schemas.openxmlformats.org/officeDocument/2006/relationships/hyperlink" Target="https://ref.ly/Amos5:2" TargetMode="External"/><Relationship Id="rId8007" Type="http://schemas.openxmlformats.org/officeDocument/2006/relationships/hyperlink" Target="https://ref.ly/Esth2:4" TargetMode="External"/><Relationship Id="rId8008" Type="http://schemas.openxmlformats.org/officeDocument/2006/relationships/hyperlink" Target="https://ref.ly/Esth4:4" TargetMode="External"/><Relationship Id="rId8009" Type="http://schemas.openxmlformats.org/officeDocument/2006/relationships/hyperlink" Target="https://ref.ly/Ruth2:23" TargetMode="External"/><Relationship Id="rId8010" Type="http://schemas.openxmlformats.org/officeDocument/2006/relationships/hyperlink" Target="https://ref.ly/1Chr4:5-1Chr4:6" TargetMode="External"/><Relationship Id="rId8011" Type="http://schemas.openxmlformats.org/officeDocument/2006/relationships/hyperlink" Target="https://ref.ly/Matt9:24-Matt9:25" TargetMode="External"/><Relationship Id="rId8012" Type="http://schemas.openxmlformats.org/officeDocument/2006/relationships/hyperlink" Target="https://ref.ly/Mark14:66" TargetMode="External"/><Relationship Id="rId8013" Type="http://schemas.openxmlformats.org/officeDocument/2006/relationships/hyperlink" Target="https://ref.ly/Luke12:45" TargetMode="External"/><Relationship Id="rId8014" Type="http://schemas.openxmlformats.org/officeDocument/2006/relationships/hyperlink" Target="https://ref.ly/Luke8:51,Luke8:54" TargetMode="External"/><Relationship Id="rId8015" Type="http://schemas.openxmlformats.org/officeDocument/2006/relationships/hyperlink" Target="https://ref.ly/Luke12:53" TargetMode="External"/><Relationship Id="rId8016" Type="http://schemas.openxmlformats.org/officeDocument/2006/relationships/hyperlink" Target="https://ref.ly/Num34:9" TargetMode="External"/><Relationship Id="rId8017" Type="http://schemas.openxmlformats.org/officeDocument/2006/relationships/hyperlink" Target="https://ref.ly/Ezek47:17" TargetMode="External"/><Relationship Id="rId8018" Type="http://schemas.openxmlformats.org/officeDocument/2006/relationships/hyperlink" Target="https://ref.ly/Ezek48:1" TargetMode="External"/><Relationship Id="rId8019" Type="http://schemas.openxmlformats.org/officeDocument/2006/relationships/hyperlink" Target="https://ref.ly/Num23:23" TargetMode="External"/><Relationship Id="rId8020" Type="http://schemas.openxmlformats.org/officeDocument/2006/relationships/hyperlink" Target="https://ref.ly/Dan1:20" TargetMode="External"/><Relationship Id="rId8021" Type="http://schemas.openxmlformats.org/officeDocument/2006/relationships/hyperlink" Target="https://ref.ly/Dan2:2-Dan2:27" TargetMode="External"/><Relationship Id="rId8022" Type="http://schemas.openxmlformats.org/officeDocument/2006/relationships/hyperlink" Target="https://ref.ly/Dan4:7" TargetMode="External"/><Relationship Id="rId8023" Type="http://schemas.openxmlformats.org/officeDocument/2006/relationships/hyperlink" Target="https://ref.ly/Dan5:7-Dan5:15" TargetMode="External"/><Relationship Id="rId8024" Type="http://schemas.openxmlformats.org/officeDocument/2006/relationships/hyperlink" Target="https://ref.ly/Isa47:9,Isa47:12" TargetMode="External"/><Relationship Id="rId8025" Type="http://schemas.openxmlformats.org/officeDocument/2006/relationships/hyperlink" Target="https://ref.ly/Ps58:5" TargetMode="External"/><Relationship Id="rId8026" Type="http://schemas.openxmlformats.org/officeDocument/2006/relationships/hyperlink" Target="https://ref.ly/Mark9:7" TargetMode="External"/><Relationship Id="rId8027" Type="http://schemas.openxmlformats.org/officeDocument/2006/relationships/hyperlink" Target="https://ref.ly/Mark3:11" TargetMode="External"/><Relationship Id="rId8028" Type="http://schemas.openxmlformats.org/officeDocument/2006/relationships/hyperlink" Target="https://ref.ly/Mark5:7" TargetMode="External"/><Relationship Id="rId8029" Type="http://schemas.openxmlformats.org/officeDocument/2006/relationships/hyperlink" Target="https://ref.ly/Mark14:61-Mark14:62" TargetMode="External"/><Relationship Id="rId8030" Type="http://schemas.openxmlformats.org/officeDocument/2006/relationships/hyperlink" Target="https://ref.ly/Matt23:6-Matt23:10" TargetMode="External"/><Relationship Id="rId8031" Type="http://schemas.openxmlformats.org/officeDocument/2006/relationships/hyperlink" Target="https://ref.ly/Matt24:14" TargetMode="External"/><Relationship Id="rId8032" Type="http://schemas.openxmlformats.org/officeDocument/2006/relationships/hyperlink" Target="https://ref.ly/Matt28:18-Matt28:20" TargetMode="External"/><Relationship Id="rId8033" Type="http://schemas.openxmlformats.org/officeDocument/2006/relationships/hyperlink" Target="https://ref.ly/Luke2:11" TargetMode="External"/><Relationship Id="rId8034" Type="http://schemas.openxmlformats.org/officeDocument/2006/relationships/hyperlink" Target="https://ref.ly/John1:1-John1:18" TargetMode="External"/><Relationship Id="rId8035" Type="http://schemas.openxmlformats.org/officeDocument/2006/relationships/hyperlink" Target="https://ref.ly/John10:29-John10:30" TargetMode="External"/><Relationship Id="rId8036" Type="http://schemas.openxmlformats.org/officeDocument/2006/relationships/hyperlink" Target="https://ref.ly/John14:8-John14:11" TargetMode="External"/><Relationship Id="rId8037" Type="http://schemas.openxmlformats.org/officeDocument/2006/relationships/hyperlink" Target="https://ref.ly/1John2:23" TargetMode="External"/><Relationship Id="rId8038" Type="http://schemas.openxmlformats.org/officeDocument/2006/relationships/hyperlink" Target="https://ref.ly/John1:4-John1:5" TargetMode="External"/><Relationship Id="rId8039" Type="http://schemas.openxmlformats.org/officeDocument/2006/relationships/hyperlink" Target="https://ref.ly/John1:5" TargetMode="External"/><Relationship Id="rId8040" Type="http://schemas.openxmlformats.org/officeDocument/2006/relationships/hyperlink" Target="https://ref.ly/John3:14-John3:18" TargetMode="External"/><Relationship Id="rId8041" Type="http://schemas.openxmlformats.org/officeDocument/2006/relationships/hyperlink" Target="https://ref.ly/1John1:1-1John1:3" TargetMode="External"/><Relationship Id="rId8042" Type="http://schemas.openxmlformats.org/officeDocument/2006/relationships/hyperlink" Target="https://ref.ly/1John4:9" TargetMode="External"/><Relationship Id="rId8043" Type="http://schemas.openxmlformats.org/officeDocument/2006/relationships/hyperlink" Target="https://ref.ly/Gal4:4-Gal4:5" TargetMode="External"/><Relationship Id="rId8044" Type="http://schemas.openxmlformats.org/officeDocument/2006/relationships/hyperlink" Target="https://ref.ly/1Cor15:45-1Cor15:47" TargetMode="External"/><Relationship Id="rId8045" Type="http://schemas.openxmlformats.org/officeDocument/2006/relationships/hyperlink" Target="https://ref.ly/1Tim1:15" TargetMode="External"/><Relationship Id="rId8046" Type="http://schemas.openxmlformats.org/officeDocument/2006/relationships/hyperlink" Target="https://ref.ly/Rom6:4-Rom6:6" TargetMode="External"/><Relationship Id="rId8047" Type="http://schemas.openxmlformats.org/officeDocument/2006/relationships/hyperlink" Target="https://ref.ly/2Cor3:17-2Cor3:18" TargetMode="External"/><Relationship Id="rId8048" Type="http://schemas.openxmlformats.org/officeDocument/2006/relationships/hyperlink" Target="https://ref.ly/Rom1:3-Rom1:4" TargetMode="External"/><Relationship Id="rId8049" Type="http://schemas.openxmlformats.org/officeDocument/2006/relationships/hyperlink" Target="https://ref.ly/Heb1:1-Heb1:3" TargetMode="External"/><Relationship Id="rId8050" Type="http://schemas.openxmlformats.org/officeDocument/2006/relationships/hyperlink" Target="https://ref.ly/Heb1:4-Heb1:9" TargetMode="External"/><Relationship Id="rId8051" Type="http://schemas.openxmlformats.org/officeDocument/2006/relationships/hyperlink" Target="https://ref.ly/Heb2:9" TargetMode="External"/><Relationship Id="rId8052" Type="http://schemas.openxmlformats.org/officeDocument/2006/relationships/hyperlink" Target="https://ref.ly/Heb5:7-Heb5:9" TargetMode="External"/><Relationship Id="rId8053" Type="http://schemas.openxmlformats.org/officeDocument/2006/relationships/hyperlink" Target="https://ref.ly/Heb2:18" TargetMode="External"/><Relationship Id="rId8054" Type="http://schemas.openxmlformats.org/officeDocument/2006/relationships/hyperlink" Target="https://ref.ly/Heb5:9" TargetMode="External"/><Relationship Id="rId8055" Type="http://schemas.openxmlformats.org/officeDocument/2006/relationships/hyperlink" Target="https://ref.ly/Heb7:28" TargetMode="External"/><Relationship Id="rId8056" Type="http://schemas.openxmlformats.org/officeDocument/2006/relationships/hyperlink" Target="https://ref.ly/Heb9:26" TargetMode="External"/><Relationship Id="rId8057" Type="http://schemas.openxmlformats.org/officeDocument/2006/relationships/hyperlink" Target="https://ref.ly/Phil2:7" TargetMode="External"/><Relationship Id="rId8058" Type="http://schemas.openxmlformats.org/officeDocument/2006/relationships/hyperlink" Target="https://ref.ly/Luke1:1-Luke1:5" TargetMode="External"/><Relationship Id="rId8059" Type="http://schemas.openxmlformats.org/officeDocument/2006/relationships/hyperlink" Target="https://ref.ly/John19:35" TargetMode="External"/><Relationship Id="rId8060" Type="http://schemas.openxmlformats.org/officeDocument/2006/relationships/hyperlink" Target="https://ref.ly/John21:24" TargetMode="External"/><Relationship Id="rId8061" Type="http://schemas.openxmlformats.org/officeDocument/2006/relationships/hyperlink" Target="https://ref.ly/Ps83:9-Ps83:10" TargetMode="External"/><Relationship Id="rId8062" Type="http://schemas.openxmlformats.org/officeDocument/2006/relationships/hyperlink" Target="https://ref.ly/1Sam28:7" TargetMode="External"/><Relationship Id="rId8063" Type="http://schemas.openxmlformats.org/officeDocument/2006/relationships/hyperlink" Target="https://ref.ly/Acts9:33-Acts9:35" TargetMode="External"/><Relationship Id="rId8064" Type="http://schemas.openxmlformats.org/officeDocument/2006/relationships/hyperlink" Target="https://ref.ly/Josh15:62" TargetMode="External"/><Relationship Id="rId8065" Type="http://schemas.openxmlformats.org/officeDocument/2006/relationships/hyperlink" Target="https://ref.ly/Song1:14" TargetMode="External"/><Relationship Id="rId8066" Type="http://schemas.openxmlformats.org/officeDocument/2006/relationships/hyperlink" Target="https://ref.ly/2Chr20:2" TargetMode="External"/><Relationship Id="rId8067" Type="http://schemas.openxmlformats.org/officeDocument/2006/relationships/hyperlink" Target="https://ref.ly/1Sam23:29" TargetMode="External"/><Relationship Id="rId8068" Type="http://schemas.openxmlformats.org/officeDocument/2006/relationships/hyperlink" Target="https://ref.ly/Judg9:7-Judg9:15" TargetMode="External"/><Relationship Id="rId8069" Type="http://schemas.openxmlformats.org/officeDocument/2006/relationships/hyperlink" Target="https://ref.ly/Ezek17:1-Ezek17:24" TargetMode="External"/><Relationship Id="rId8070" Type="http://schemas.openxmlformats.org/officeDocument/2006/relationships/hyperlink" Target="https://ref.ly/Judg14:1-Judg14:20" TargetMode="External"/><Relationship Id="rId8071" Type="http://schemas.openxmlformats.org/officeDocument/2006/relationships/hyperlink" Target="https://ref.ly/Judg14:12-Judg14:13" TargetMode="External"/><Relationship Id="rId8072" Type="http://schemas.openxmlformats.org/officeDocument/2006/relationships/hyperlink" Target="https://ref.ly/Judg14:14" TargetMode="External"/><Relationship Id="rId8073" Type="http://schemas.openxmlformats.org/officeDocument/2006/relationships/hyperlink" Target="https://ref.ly/1Kgs10:1-1Kgs10:4" TargetMode="External"/><Relationship Id="rId8074" Type="http://schemas.openxmlformats.org/officeDocument/2006/relationships/hyperlink" Target="https://ref.ly/Sir47:15" TargetMode="External"/><Relationship Id="rId8075" Type="http://schemas.openxmlformats.org/officeDocument/2006/relationships/hyperlink" Target="https://ref.ly/Ps49:4" TargetMode="External"/><Relationship Id="rId8076" Type="http://schemas.openxmlformats.org/officeDocument/2006/relationships/hyperlink" Target="https://ref.ly/Prov1:6" TargetMode="External"/><Relationship Id="rId8077" Type="http://schemas.openxmlformats.org/officeDocument/2006/relationships/hyperlink" Target="https://ref.ly/Dan8:23-Dan8:24" TargetMode="External"/><Relationship Id="rId8078" Type="http://schemas.openxmlformats.org/officeDocument/2006/relationships/hyperlink" Target="https://ref.ly/Dan5:12" TargetMode="External"/><Relationship Id="rId8079" Type="http://schemas.openxmlformats.org/officeDocument/2006/relationships/hyperlink" Target="https://ref.ly/John6:60" TargetMode="External"/><Relationship Id="rId8080" Type="http://schemas.openxmlformats.org/officeDocument/2006/relationships/hyperlink" Target="https://ref.ly/Rev13:18" TargetMode="External"/><Relationship Id="rId8081" Type="http://schemas.openxmlformats.org/officeDocument/2006/relationships/hyperlink" Target="https://ref.ly/Deut7:25" TargetMode="External"/><Relationship Id="rId8082" Type="http://schemas.openxmlformats.org/officeDocument/2006/relationships/hyperlink" Target="https://ref.ly/Eccl7:26" TargetMode="External"/><Relationship Id="rId8083" Type="http://schemas.openxmlformats.org/officeDocument/2006/relationships/hyperlink" Target="https://ref.ly/Num26:5" TargetMode="External"/><Relationship Id="rId8084" Type="http://schemas.openxmlformats.org/officeDocument/2006/relationships/hyperlink" Target="https://ref.ly/Gen4:17,Gen4:19" TargetMode="External"/><Relationship Id="rId8085" Type="http://schemas.openxmlformats.org/officeDocument/2006/relationships/hyperlink" Target="https://ref.ly/Gen5:18-Gen5:24" TargetMode="External"/><Relationship Id="rId8086" Type="http://schemas.openxmlformats.org/officeDocument/2006/relationships/hyperlink" Target="https://ref.ly/1Chr1:3" TargetMode="External"/><Relationship Id="rId8087" Type="http://schemas.openxmlformats.org/officeDocument/2006/relationships/hyperlink" Target="https://ref.ly/Gen4:26" TargetMode="External"/><Relationship Id="rId8088" Type="http://schemas.openxmlformats.org/officeDocument/2006/relationships/hyperlink" Target="https://ref.ly/Gen5:6-Gen5:11" TargetMode="External"/><Relationship Id="rId8089" Type="http://schemas.openxmlformats.org/officeDocument/2006/relationships/hyperlink" Target="https://ref.ly/Job18:15" TargetMode="External"/><Relationship Id="rId8090" Type="http://schemas.openxmlformats.org/officeDocument/2006/relationships/hyperlink" Target="https://ref.ly/Ezek38:22" TargetMode="External"/><Relationship Id="rId8091" Type="http://schemas.openxmlformats.org/officeDocument/2006/relationships/hyperlink" Target="https://ref.ly/Luke17:29" TargetMode="External"/><Relationship Id="rId8092" Type="http://schemas.openxmlformats.org/officeDocument/2006/relationships/hyperlink" Target="https://ref.ly/Rev9:17-Rev9:18" TargetMode="External"/><Relationship Id="rId8093" Type="http://schemas.openxmlformats.org/officeDocument/2006/relationships/hyperlink" Target="https://ref.ly/Rev19:20" TargetMode="External"/><Relationship Id="rId8094" Type="http://schemas.openxmlformats.org/officeDocument/2006/relationships/hyperlink" Target="https://ref.ly/Acts17:18" TargetMode="External"/><Relationship Id="rId8095" Type="http://schemas.openxmlformats.org/officeDocument/2006/relationships/hyperlink" Target="https://ref.ly/Phil4:5" TargetMode="External"/><Relationship Id="rId8096" Type="http://schemas.openxmlformats.org/officeDocument/2006/relationships/hyperlink" Target="https://ref.ly/Prov3:13-Prov3:18" TargetMode="External"/><Relationship Id="rId8097" Type="http://schemas.openxmlformats.org/officeDocument/2006/relationships/hyperlink" Target="https://ref.ly/Phil4:6-Phil4:7" TargetMode="External"/><Relationship Id="rId8098" Type="http://schemas.openxmlformats.org/officeDocument/2006/relationships/hyperlink" Target="https://ref.ly/Matt17:14-Matt17:18" TargetMode="External"/><Relationship Id="rId8099" Type="http://schemas.openxmlformats.org/officeDocument/2006/relationships/hyperlink" Target="https://ref.ly/Mark9:17-Mark9:27" TargetMode="External"/><Relationship Id="rId8100" Type="http://schemas.openxmlformats.org/officeDocument/2006/relationships/hyperlink" Target="https://ref.ly/Luke9:37-Luke9:42" TargetMode="External"/><Relationship Id="rId8101" Type="http://schemas.openxmlformats.org/officeDocument/2006/relationships/hyperlink" Target="https://ref.ly/Gen38:3" TargetMode="External"/><Relationship Id="rId8102" Type="http://schemas.openxmlformats.org/officeDocument/2006/relationships/hyperlink" Target="https://ref.ly/Gen38:7" TargetMode="External"/><Relationship Id="rId8103" Type="http://schemas.openxmlformats.org/officeDocument/2006/relationships/hyperlink" Target="https://ref.ly/Gen46:12" TargetMode="External"/><Relationship Id="rId8104" Type="http://schemas.openxmlformats.org/officeDocument/2006/relationships/hyperlink" Target="https://ref.ly/1Chr4:21" TargetMode="External"/><Relationship Id="rId8105" Type="http://schemas.openxmlformats.org/officeDocument/2006/relationships/hyperlink" Target="https://ref.ly/Luke3:28" TargetMode="External"/><Relationship Id="rId8106" Type="http://schemas.openxmlformats.org/officeDocument/2006/relationships/hyperlink" Target="https://ref.ly/1Cor2:7" TargetMode="External"/><Relationship Id="rId8107" Type="http://schemas.openxmlformats.org/officeDocument/2006/relationships/hyperlink" Target="https://ref.ly/Eph3:11" TargetMode="External"/><Relationship Id="rId8108" Type="http://schemas.openxmlformats.org/officeDocument/2006/relationships/hyperlink" Target="https://ref.ly/Matt13:39-Matt13:49" TargetMode="External"/><Relationship Id="rId8109" Type="http://schemas.openxmlformats.org/officeDocument/2006/relationships/hyperlink" Target="https://ref.ly/Gal1:4" TargetMode="External"/><Relationship Id="rId8110" Type="http://schemas.openxmlformats.org/officeDocument/2006/relationships/hyperlink" Target="https://ref.ly/Mark10:30" TargetMode="External"/><Relationship Id="rId8111" Type="http://schemas.openxmlformats.org/officeDocument/2006/relationships/hyperlink" Target="https://ref.ly/1Cor10:11" TargetMode="External"/><Relationship Id="rId8112" Type="http://schemas.openxmlformats.org/officeDocument/2006/relationships/hyperlink" Target="https://ref.ly/Heb6:5" TargetMode="External"/><Relationship Id="rId8113" Type="http://schemas.openxmlformats.org/officeDocument/2006/relationships/hyperlink" Target="https://ref.ly/Col1:26" TargetMode="External"/><Relationship Id="rId8114" Type="http://schemas.openxmlformats.org/officeDocument/2006/relationships/hyperlink" Target="https://ref.ly/Heb1:2" TargetMode="External"/><Relationship Id="rId8115" Type="http://schemas.openxmlformats.org/officeDocument/2006/relationships/hyperlink" Target="https://ref.ly/Job12:12" TargetMode="External"/><Relationship Id="rId8116" Type="http://schemas.openxmlformats.org/officeDocument/2006/relationships/hyperlink" Target="https://ref.ly/Eccl4:13" TargetMode="External"/><Relationship Id="rId8117" Type="http://schemas.openxmlformats.org/officeDocument/2006/relationships/hyperlink" Target="https://ref.ly/Lev19:32" TargetMode="External"/><Relationship Id="rId8118" Type="http://schemas.openxmlformats.org/officeDocument/2006/relationships/hyperlink" Target="https://ref.ly/Prov16:31" TargetMode="External"/><Relationship Id="rId8119" Type="http://schemas.openxmlformats.org/officeDocument/2006/relationships/hyperlink" Target="https://ref.ly/Eccl12:1-Eccl12:6" TargetMode="External"/><Relationship Id="rId8120" Type="http://schemas.openxmlformats.org/officeDocument/2006/relationships/hyperlink" Target="https://ref.ly/Ps90:10" TargetMode="External"/><Relationship Id="rId8121" Type="http://schemas.openxmlformats.org/officeDocument/2006/relationships/hyperlink" Target="https://ref.ly/Num26:36" TargetMode="External"/><Relationship Id="rId8122" Type="http://schemas.openxmlformats.org/officeDocument/2006/relationships/hyperlink" Target="https://ref.ly/Ezra4:9" TargetMode="External"/><Relationship Id="rId8123" Type="http://schemas.openxmlformats.org/officeDocument/2006/relationships/hyperlink" Target="https://ref.ly/Num26:16" TargetMode="External"/><Relationship Id="rId8124" Type="http://schemas.openxmlformats.org/officeDocument/2006/relationships/hyperlink" Target="https://ref.ly/Ps83:13" TargetMode="External"/><Relationship Id="rId8125" Type="http://schemas.openxmlformats.org/officeDocument/2006/relationships/hyperlink" Target="https://ref.ly/Isa17:13" TargetMode="External"/><Relationship Id="rId8126" Type="http://schemas.openxmlformats.org/officeDocument/2006/relationships/hyperlink" Target="https://ref.ly/Exod12:8-Exod12:11" TargetMode="External"/><Relationship Id="rId8127" Type="http://schemas.openxmlformats.org/officeDocument/2006/relationships/hyperlink" Target="https://ref.ly/Gen25:24-Gen25:26" TargetMode="External"/><Relationship Id="rId8128" Type="http://schemas.openxmlformats.org/officeDocument/2006/relationships/hyperlink" Target="https://ref.ly/Gen25:29-Gen25:34" TargetMode="External"/><Relationship Id="rId8129" Type="http://schemas.openxmlformats.org/officeDocument/2006/relationships/hyperlink" Target="https://ref.ly/Gen26:34-Gen26:35" TargetMode="External"/><Relationship Id="rId8130" Type="http://schemas.openxmlformats.org/officeDocument/2006/relationships/hyperlink" Target="https://ref.ly/Gen33:4-Gen33:16" TargetMode="External"/><Relationship Id="rId8131" Type="http://schemas.openxmlformats.org/officeDocument/2006/relationships/hyperlink" Target="https://ref.ly/2Sam8:11-2Sam8:15" TargetMode="External"/><Relationship Id="rId8132" Type="http://schemas.openxmlformats.org/officeDocument/2006/relationships/hyperlink" Target="https://ref.ly/1Chr18:13" TargetMode="External"/><Relationship Id="rId8133" Type="http://schemas.openxmlformats.org/officeDocument/2006/relationships/hyperlink" Target="https://ref.ly/2Chr21:8-2Chr21:10" TargetMode="External"/><Relationship Id="rId8134" Type="http://schemas.openxmlformats.org/officeDocument/2006/relationships/hyperlink" Target="https://ref.ly/Gen36:26" TargetMode="External"/><Relationship Id="rId8135" Type="http://schemas.openxmlformats.org/officeDocument/2006/relationships/hyperlink" Target="https://ref.ly/1Chr7:7" TargetMode="External"/><Relationship Id="rId8136" Type="http://schemas.openxmlformats.org/officeDocument/2006/relationships/hyperlink" Target="https://ref.ly/1Chr7:6-1Chr7:11" TargetMode="External"/><Relationship Id="rId8137" Type="http://schemas.openxmlformats.org/officeDocument/2006/relationships/hyperlink" Target="https://ref.ly/1Thess4:17" TargetMode="External"/><Relationship Id="rId8138" Type="http://schemas.openxmlformats.org/officeDocument/2006/relationships/hyperlink" Target="https://ref.ly/Acts1:11" TargetMode="External"/><Relationship Id="rId8139" Type="http://schemas.openxmlformats.org/officeDocument/2006/relationships/hyperlink" Target="https://ref.ly/Luke12:39-Luke12:40" TargetMode="External"/><Relationship Id="rId8140" Type="http://schemas.openxmlformats.org/officeDocument/2006/relationships/hyperlink" Target="https://ref.ly/1Cor15:35-1Cor15:56" TargetMode="External"/><Relationship Id="rId8141" Type="http://schemas.openxmlformats.org/officeDocument/2006/relationships/hyperlink" Target="https://ref.ly/John5:28-John5:29" TargetMode="External"/><Relationship Id="rId8142" Type="http://schemas.openxmlformats.org/officeDocument/2006/relationships/hyperlink" Target="https://ref.ly/Rev20:4-Rev20:7" TargetMode="External"/><Relationship Id="rId8143" Type="http://schemas.openxmlformats.org/officeDocument/2006/relationships/hyperlink" Target="https://ref.ly/Rev20:1-Rev20:15" TargetMode="External"/><Relationship Id="rId8144" Type="http://schemas.openxmlformats.org/officeDocument/2006/relationships/hyperlink" Target="https://ref.ly/Dan9:24-Dan9:27" TargetMode="External"/><Relationship Id="rId8145" Type="http://schemas.openxmlformats.org/officeDocument/2006/relationships/hyperlink" Target="https://ref.ly/Num13:23-Num13:24" TargetMode="External"/><Relationship Id="rId8146" Type="http://schemas.openxmlformats.org/officeDocument/2006/relationships/hyperlink" Target="https://ref.ly/Deut1:24" TargetMode="External"/><Relationship Id="rId8147" Type="http://schemas.openxmlformats.org/officeDocument/2006/relationships/hyperlink" Target="https://ref.ly/Lev25:6" TargetMode="External"/><Relationship Id="rId8148" Type="http://schemas.openxmlformats.org/officeDocument/2006/relationships/hyperlink" Target="https://ref.ly/Deut15:12-Deut15:15" TargetMode="External"/><Relationship Id="rId8149" Type="http://schemas.openxmlformats.org/officeDocument/2006/relationships/hyperlink" Target="https://ref.ly/Gen30:3" TargetMode="External"/><Relationship Id="rId8150" Type="http://schemas.openxmlformats.org/officeDocument/2006/relationships/hyperlink" Target="https://ref.ly/Exod13:3" TargetMode="External"/><Relationship Id="rId8151" Type="http://schemas.openxmlformats.org/officeDocument/2006/relationships/hyperlink" Target="https://ref.ly/Josh24:17" TargetMode="External"/><Relationship Id="rId8152" Type="http://schemas.openxmlformats.org/officeDocument/2006/relationships/hyperlink" Target="https://ref.ly/Gen14:21" TargetMode="External"/><Relationship Id="rId8153" Type="http://schemas.openxmlformats.org/officeDocument/2006/relationships/hyperlink" Target="https://ref.ly/Deut20:14" TargetMode="External"/><Relationship Id="rId8154" Type="http://schemas.openxmlformats.org/officeDocument/2006/relationships/hyperlink" Target="https://ref.ly/1Sam4:9" TargetMode="External"/><Relationship Id="rId8155" Type="http://schemas.openxmlformats.org/officeDocument/2006/relationships/hyperlink" Target="https://ref.ly/2Kgs5:2" TargetMode="External"/><Relationship Id="rId8156" Type="http://schemas.openxmlformats.org/officeDocument/2006/relationships/hyperlink" Target="https://ref.ly/2Chr28:8" TargetMode="External"/><Relationship Id="rId8157" Type="http://schemas.openxmlformats.org/officeDocument/2006/relationships/hyperlink" Target="https://ref.ly/Joel3:4-Joel3:8" TargetMode="External"/><Relationship Id="rId8158" Type="http://schemas.openxmlformats.org/officeDocument/2006/relationships/hyperlink" Target="https://ref.ly/Gen37:36" TargetMode="External"/><Relationship Id="rId8159" Type="http://schemas.openxmlformats.org/officeDocument/2006/relationships/hyperlink" Target="https://ref.ly/Gen39:1" TargetMode="External"/><Relationship Id="rId8160" Type="http://schemas.openxmlformats.org/officeDocument/2006/relationships/hyperlink" Target="https://ref.ly/Deut15:18" TargetMode="External"/><Relationship Id="rId8161" Type="http://schemas.openxmlformats.org/officeDocument/2006/relationships/hyperlink" Target="https://ref.ly/Lev25:47-Lev25:48" TargetMode="External"/><Relationship Id="rId8162" Type="http://schemas.openxmlformats.org/officeDocument/2006/relationships/hyperlink" Target="https://ref.ly/Gen37:27-Gen37:28" TargetMode="External"/><Relationship Id="rId8163" Type="http://schemas.openxmlformats.org/officeDocument/2006/relationships/hyperlink" Target="https://ref.ly/Exod21:11" TargetMode="External"/><Relationship Id="rId8164" Type="http://schemas.openxmlformats.org/officeDocument/2006/relationships/hyperlink" Target="https://ref.ly/Deut24:7" TargetMode="External"/><Relationship Id="rId8165" Type="http://schemas.openxmlformats.org/officeDocument/2006/relationships/hyperlink" Target="https://ref.ly/Lev25:10-Lev25:13" TargetMode="External"/><Relationship Id="rId8166" Type="http://schemas.openxmlformats.org/officeDocument/2006/relationships/hyperlink" Target="https://ref.ly/Deut15:12-Deut15:14" TargetMode="External"/><Relationship Id="rId8167" Type="http://schemas.openxmlformats.org/officeDocument/2006/relationships/hyperlink" Target="https://ref.ly/Gen16:2-Gen16:4" TargetMode="External"/><Relationship Id="rId8168" Type="http://schemas.openxmlformats.org/officeDocument/2006/relationships/hyperlink" Target="https://ref.ly/Exod21:7-Exod21:11" TargetMode="External"/><Relationship Id="rId8169" Type="http://schemas.openxmlformats.org/officeDocument/2006/relationships/hyperlink" Target="https://ref.ly/1Kgs9:15,1Kgs9:21-1Kgs9:23" TargetMode="External"/><Relationship Id="rId8170" Type="http://schemas.openxmlformats.org/officeDocument/2006/relationships/hyperlink" Target="https://ref.ly/1Kgs5:13-1Kgs5:18" TargetMode="External"/><Relationship Id="rId8171" Type="http://schemas.openxmlformats.org/officeDocument/2006/relationships/hyperlink" Target="https://ref.ly/Num31:28-Num31:30,Num31:47" TargetMode="External"/><Relationship Id="rId8172" Type="http://schemas.openxmlformats.org/officeDocument/2006/relationships/hyperlink" Target="https://ref.ly/Josh9:23-Josh9:25" TargetMode="External"/><Relationship Id="rId8173" Type="http://schemas.openxmlformats.org/officeDocument/2006/relationships/hyperlink" Target="https://ref.ly/Ezra2:58" TargetMode="External"/><Relationship Id="rId8174" Type="http://schemas.openxmlformats.org/officeDocument/2006/relationships/hyperlink" Target="https://ref.ly/Ezra8:20" TargetMode="External"/><Relationship Id="rId8175" Type="http://schemas.openxmlformats.org/officeDocument/2006/relationships/hyperlink" Target="https://ref.ly/Neh3:26,Neh3:31" TargetMode="External"/><Relationship Id="rId8176" Type="http://schemas.openxmlformats.org/officeDocument/2006/relationships/hyperlink" Target="https://ref.ly/Eph6:9" TargetMode="External"/><Relationship Id="rId8177" Type="http://schemas.openxmlformats.org/officeDocument/2006/relationships/hyperlink" Target="https://ref.ly/Col4:1" TargetMode="External"/><Relationship Id="rId8178" Type="http://schemas.openxmlformats.org/officeDocument/2006/relationships/hyperlink" Target="https://ref.ly/1Tim6:2" TargetMode="External"/><Relationship Id="rId8179" Type="http://schemas.openxmlformats.org/officeDocument/2006/relationships/hyperlink" Target="https://ref.ly/Jer32:12" TargetMode="External"/><Relationship Id="rId8180" Type="http://schemas.openxmlformats.org/officeDocument/2006/relationships/hyperlink" Target="https://ref.ly/2Chr26:11" TargetMode="External"/><Relationship Id="rId8181" Type="http://schemas.openxmlformats.org/officeDocument/2006/relationships/hyperlink" Target="https://ref.ly/Jer36:18" TargetMode="External"/><Relationship Id="rId8182" Type="http://schemas.openxmlformats.org/officeDocument/2006/relationships/hyperlink" Target="https://ref.ly/1Kgs4:3" TargetMode="External"/><Relationship Id="rId8183" Type="http://schemas.openxmlformats.org/officeDocument/2006/relationships/hyperlink" Target="https://ref.ly/2Chr24:11" TargetMode="External"/><Relationship Id="rId8184" Type="http://schemas.openxmlformats.org/officeDocument/2006/relationships/hyperlink" Target="https://ref.ly/2Sam8:16-2Sam8:17" TargetMode="External"/><Relationship Id="rId8185" Type="http://schemas.openxmlformats.org/officeDocument/2006/relationships/hyperlink" Target="https://ref.ly/2Kgs18:18" TargetMode="External"/><Relationship Id="rId8186" Type="http://schemas.openxmlformats.org/officeDocument/2006/relationships/hyperlink" Target="https://ref.ly/2Kgs22:12" TargetMode="External"/><Relationship Id="rId8187" Type="http://schemas.openxmlformats.org/officeDocument/2006/relationships/hyperlink" Target="https://ref.ly/1Chr27:32" TargetMode="External"/><Relationship Id="rId8188" Type="http://schemas.openxmlformats.org/officeDocument/2006/relationships/hyperlink" Target="https://ref.ly/Isa36:3" TargetMode="External"/><Relationship Id="rId8189" Type="http://schemas.openxmlformats.org/officeDocument/2006/relationships/hyperlink" Target="https://ref.ly/2Kgs22:3-2Kgs22:4" TargetMode="External"/><Relationship Id="rId8190" Type="http://schemas.openxmlformats.org/officeDocument/2006/relationships/hyperlink" Target="https://ref.ly/2Chr34:13-2Chr34:15" TargetMode="External"/><Relationship Id="rId8191" Type="http://schemas.openxmlformats.org/officeDocument/2006/relationships/hyperlink" Target="https://ref.ly/Ezra7:11" TargetMode="External"/><Relationship Id="rId8192" Type="http://schemas.openxmlformats.org/officeDocument/2006/relationships/hyperlink" Target="https://ref.ly/Sir38:24-Sir38:34" TargetMode="External"/><Relationship Id="rId8193" Type="http://schemas.openxmlformats.org/officeDocument/2006/relationships/hyperlink" Target="https://ref.ly/Sir39:1" TargetMode="External"/><Relationship Id="rId8194" Type="http://schemas.openxmlformats.org/officeDocument/2006/relationships/hyperlink" Target="https://ref.ly/Sir39:2-Sir39:3" TargetMode="External"/><Relationship Id="rId8195" Type="http://schemas.openxmlformats.org/officeDocument/2006/relationships/hyperlink" Target="https://ref.ly/Sir38:33" TargetMode="External"/><Relationship Id="rId8196" Type="http://schemas.openxmlformats.org/officeDocument/2006/relationships/hyperlink" Target="https://ref.ly/Sir39:4-Sir39:8" TargetMode="External"/><Relationship Id="rId8197" Type="http://schemas.openxmlformats.org/officeDocument/2006/relationships/hyperlink" Target="https://ref.ly/Sir39:9" TargetMode="External"/><Relationship Id="rId8198" Type="http://schemas.openxmlformats.org/officeDocument/2006/relationships/hyperlink" Target="https://ref.ly/1Macc7:12" TargetMode="External"/><Relationship Id="rId8199" Type="http://schemas.openxmlformats.org/officeDocument/2006/relationships/hyperlink" Target="https://ref.ly/Matt12:38" TargetMode="External"/><Relationship Id="rId8200" Type="http://schemas.openxmlformats.org/officeDocument/2006/relationships/hyperlink" Target="https://ref.ly/Matt15:1" TargetMode="External"/><Relationship Id="rId8201" Type="http://schemas.openxmlformats.org/officeDocument/2006/relationships/hyperlink" Target="https://ref.ly/Mark7:5" TargetMode="External"/><Relationship Id="rId8202" Type="http://schemas.openxmlformats.org/officeDocument/2006/relationships/hyperlink" Target="https://ref.ly/Luke6:7" TargetMode="External"/><Relationship Id="rId8203" Type="http://schemas.openxmlformats.org/officeDocument/2006/relationships/hyperlink" Target="https://ref.ly/1Chr2:55" TargetMode="External"/><Relationship Id="rId8204" Type="http://schemas.openxmlformats.org/officeDocument/2006/relationships/hyperlink" Target="https://ref.ly/Mark7:6-Mark7:13" TargetMode="External"/><Relationship Id="rId8205" Type="http://schemas.openxmlformats.org/officeDocument/2006/relationships/hyperlink" Target="https://ref.ly/Luke22:66" TargetMode="External"/><Relationship Id="rId8206" Type="http://schemas.openxmlformats.org/officeDocument/2006/relationships/hyperlink" Target="https://ref.ly/Acts23:9" TargetMode="External"/><Relationship Id="rId8207" Type="http://schemas.openxmlformats.org/officeDocument/2006/relationships/hyperlink" Target="https://ref.ly/Luke2:46" TargetMode="External"/><Relationship Id="rId8208" Type="http://schemas.openxmlformats.org/officeDocument/2006/relationships/hyperlink" Target="https://ref.ly/Mark12:38" TargetMode="External"/><Relationship Id="rId8209" Type="http://schemas.openxmlformats.org/officeDocument/2006/relationships/hyperlink" Target="https://ref.ly/Matt23:5" TargetMode="External"/><Relationship Id="rId8210" Type="http://schemas.openxmlformats.org/officeDocument/2006/relationships/hyperlink" Target="https://ref.ly/Matt23:7" TargetMode="External"/><Relationship Id="rId8211" Type="http://schemas.openxmlformats.org/officeDocument/2006/relationships/hyperlink" Target="https://ref.ly/Matt23:2" TargetMode="External"/><Relationship Id="rId8212" Type="http://schemas.openxmlformats.org/officeDocument/2006/relationships/hyperlink" Target="https://ref.ly/Mark12:39" TargetMode="External"/><Relationship Id="rId8213" Type="http://schemas.openxmlformats.org/officeDocument/2006/relationships/hyperlink" Target="https://ref.ly/Luke20:46" TargetMode="External"/><Relationship Id="rId8214" Type="http://schemas.openxmlformats.org/officeDocument/2006/relationships/hyperlink" Target="https://ref.ly/Matt9:1-Matt9:3" TargetMode="External"/><Relationship Id="rId8215" Type="http://schemas.openxmlformats.org/officeDocument/2006/relationships/hyperlink" Target="https://ref.ly/Luke5:17-Luke5:26" TargetMode="External"/><Relationship Id="rId8216" Type="http://schemas.openxmlformats.org/officeDocument/2006/relationships/hyperlink" Target="https://ref.ly/Luke6:1-Luke6:2" TargetMode="External"/><Relationship Id="rId8217" Type="http://schemas.openxmlformats.org/officeDocument/2006/relationships/hyperlink" Target="https://ref.ly/Luke6:6-Luke6:11" TargetMode="External"/><Relationship Id="rId8218" Type="http://schemas.openxmlformats.org/officeDocument/2006/relationships/hyperlink" Target="https://ref.ly/Mark7:2-Mark7:5" TargetMode="External"/><Relationship Id="rId8219" Type="http://schemas.openxmlformats.org/officeDocument/2006/relationships/hyperlink" Target="https://ref.ly/Luke5:33-Luke5:39" TargetMode="External"/><Relationship Id="rId8220" Type="http://schemas.openxmlformats.org/officeDocument/2006/relationships/hyperlink" Target="https://ref.ly/Mark2:16-Mark2:17" TargetMode="External"/><Relationship Id="rId8221" Type="http://schemas.openxmlformats.org/officeDocument/2006/relationships/hyperlink" Target="https://ref.ly/Luke15:1-Luke15:2" TargetMode="External"/><Relationship Id="rId8222" Type="http://schemas.openxmlformats.org/officeDocument/2006/relationships/hyperlink" Target="https://ref.ly/Mark12:28" TargetMode="External"/><Relationship Id="rId8223" Type="http://schemas.openxmlformats.org/officeDocument/2006/relationships/hyperlink" Target="https://ref.ly/Luke11:53" TargetMode="External"/><Relationship Id="rId8224" Type="http://schemas.openxmlformats.org/officeDocument/2006/relationships/hyperlink" Target="https://ref.ly/John8:3-John8:4" TargetMode="External"/><Relationship Id="rId8225" Type="http://schemas.openxmlformats.org/officeDocument/2006/relationships/hyperlink" Target="https://ref.ly/Mark3:22" TargetMode="External"/><Relationship Id="rId8226" Type="http://schemas.openxmlformats.org/officeDocument/2006/relationships/hyperlink" Target="https://ref.ly/Luke20:1-Luke20:4" TargetMode="External"/><Relationship Id="rId8227" Type="http://schemas.openxmlformats.org/officeDocument/2006/relationships/hyperlink" Target="https://ref.ly/Matt8:19" TargetMode="External"/><Relationship Id="rId8228" Type="http://schemas.openxmlformats.org/officeDocument/2006/relationships/hyperlink" Target="https://ref.ly/Matt13:52" TargetMode="External"/><Relationship Id="rId8229" Type="http://schemas.openxmlformats.org/officeDocument/2006/relationships/hyperlink" Target="https://ref.ly/John3:1-John3:2" TargetMode="External"/><Relationship Id="rId8230" Type="http://schemas.openxmlformats.org/officeDocument/2006/relationships/hyperlink" Target="https://ref.ly/Matt7:29" TargetMode="External"/><Relationship Id="rId8231" Type="http://schemas.openxmlformats.org/officeDocument/2006/relationships/hyperlink" Target="https://ref.ly/Matt21:15" TargetMode="External"/><Relationship Id="rId8232" Type="http://schemas.openxmlformats.org/officeDocument/2006/relationships/hyperlink" Target="https://ref.ly/Mark11:18" TargetMode="External"/><Relationship Id="rId8233" Type="http://schemas.openxmlformats.org/officeDocument/2006/relationships/hyperlink" Target="https://ref.ly/Matt23:5-Matt23:7" TargetMode="External"/><Relationship Id="rId8234" Type="http://schemas.openxmlformats.org/officeDocument/2006/relationships/hyperlink" Target="https://ref.ly/Mark12:38-Mark12:39" TargetMode="External"/><Relationship Id="rId8235" Type="http://schemas.openxmlformats.org/officeDocument/2006/relationships/hyperlink" Target="https://ref.ly/Luke11:43" TargetMode="External"/><Relationship Id="rId8236" Type="http://schemas.openxmlformats.org/officeDocument/2006/relationships/hyperlink" Target="https://ref.ly/Matt23:25-Matt23:28" TargetMode="External"/><Relationship Id="rId8237" Type="http://schemas.openxmlformats.org/officeDocument/2006/relationships/hyperlink" Target="https://ref.ly/Luke11:39-Luke11:41" TargetMode="External"/><Relationship Id="rId8238" Type="http://schemas.openxmlformats.org/officeDocument/2006/relationships/hyperlink" Target="https://ref.ly/Matt23:2-Matt23:4" TargetMode="External"/><Relationship Id="rId8239" Type="http://schemas.openxmlformats.org/officeDocument/2006/relationships/hyperlink" Target="https://ref.ly/Luke11:46" TargetMode="External"/><Relationship Id="rId8240" Type="http://schemas.openxmlformats.org/officeDocument/2006/relationships/hyperlink" Target="https://ref.ly/Matt23:23-Matt23:24" TargetMode="External"/><Relationship Id="rId8241" Type="http://schemas.openxmlformats.org/officeDocument/2006/relationships/hyperlink" Target="https://ref.ly/Mark12:40" TargetMode="External"/><Relationship Id="rId8242" Type="http://schemas.openxmlformats.org/officeDocument/2006/relationships/hyperlink" Target="https://ref.ly/Matt23:29-Matt23:36" TargetMode="External"/><Relationship Id="rId8243" Type="http://schemas.openxmlformats.org/officeDocument/2006/relationships/hyperlink" Target="https://ref.ly/Luke20:9-Luke20:19" TargetMode="External"/><Relationship Id="rId8244" Type="http://schemas.openxmlformats.org/officeDocument/2006/relationships/hyperlink" Target="https://ref.ly/Mark14:1" TargetMode="External"/><Relationship Id="rId8245" Type="http://schemas.openxmlformats.org/officeDocument/2006/relationships/hyperlink" Target="https://ref.ly/Matt26:57-Matt26:66" TargetMode="External"/><Relationship Id="rId8246" Type="http://schemas.openxmlformats.org/officeDocument/2006/relationships/hyperlink" Target="https://ref.ly/Luke23:10" TargetMode="External"/><Relationship Id="rId8247" Type="http://schemas.openxmlformats.org/officeDocument/2006/relationships/hyperlink" Target="https://ref.ly/Matt27:41-Matt27:43" TargetMode="External"/><Relationship Id="rId8248" Type="http://schemas.openxmlformats.org/officeDocument/2006/relationships/hyperlink" Target="https://ref.ly/Acts6:12-Acts6:14" TargetMode="External"/><Relationship Id="rId8249" Type="http://schemas.openxmlformats.org/officeDocument/2006/relationships/hyperlink" Target="https://ref.ly/Luke1:63" TargetMode="External"/><Relationship Id="rId8250" Type="http://schemas.openxmlformats.org/officeDocument/2006/relationships/hyperlink" Target="https://ref.ly/Jer32:14" TargetMode="External"/><Relationship Id="rId8251" Type="http://schemas.openxmlformats.org/officeDocument/2006/relationships/hyperlink" Target="https://ref.ly/Rev5:1" TargetMode="External"/><Relationship Id="rId8252" Type="http://schemas.openxmlformats.org/officeDocument/2006/relationships/hyperlink" Target="https://ref.ly/3John1:13" TargetMode="External"/><Relationship Id="rId8253" Type="http://schemas.openxmlformats.org/officeDocument/2006/relationships/hyperlink" Target="https://ref.ly/Num5:23" TargetMode="External"/><Relationship Id="rId8254" Type="http://schemas.openxmlformats.org/officeDocument/2006/relationships/hyperlink" Target="https://ref.ly/Jer36:23" TargetMode="External"/><Relationship Id="rId8255" Type="http://schemas.openxmlformats.org/officeDocument/2006/relationships/hyperlink" Target="https://ref.ly/2Sam11:14-2Sam11:15" TargetMode="External"/><Relationship Id="rId8256" Type="http://schemas.openxmlformats.org/officeDocument/2006/relationships/hyperlink" Target="https://ref.ly/1Kgs21:8-1Kgs21:9" TargetMode="External"/><Relationship Id="rId8257" Type="http://schemas.openxmlformats.org/officeDocument/2006/relationships/hyperlink" Target="https://ref.ly/2Kgs5:5-2Kgs5:7" TargetMode="External"/><Relationship Id="rId8258" Type="http://schemas.openxmlformats.org/officeDocument/2006/relationships/hyperlink" Target="https://ref.ly/Ezra4:11-Ezra4:23" TargetMode="External"/><Relationship Id="rId8259" Type="http://schemas.openxmlformats.org/officeDocument/2006/relationships/hyperlink" Target="https://ref.ly/Ezra5:7-Ezra5:17" TargetMode="External"/><Relationship Id="rId8260" Type="http://schemas.openxmlformats.org/officeDocument/2006/relationships/hyperlink" Target="https://ref.ly/Ezra7:11-Ezra7:26" TargetMode="External"/><Relationship Id="rId8261" Type="http://schemas.openxmlformats.org/officeDocument/2006/relationships/hyperlink" Target="https://ref.ly/Neh6:5-Neh6:7" TargetMode="External"/><Relationship Id="rId8262" Type="http://schemas.openxmlformats.org/officeDocument/2006/relationships/hyperlink" Target="https://ref.ly/Esth9:20-Esth9:31" TargetMode="External"/><Relationship Id="rId8263" Type="http://schemas.openxmlformats.org/officeDocument/2006/relationships/hyperlink" Target="https://ref.ly/Rev2:1-Rev2:29" TargetMode="External"/><Relationship Id="rId8264" Type="http://schemas.openxmlformats.org/officeDocument/2006/relationships/hyperlink" Target="https://ref.ly/Rev3:1-Rev3:22" TargetMode="External"/><Relationship Id="rId8265" Type="http://schemas.openxmlformats.org/officeDocument/2006/relationships/hyperlink" Target="https://ref.ly/Gen1:2,Gen1:4-Gen1:5,Gen1:18" TargetMode="External"/><Relationship Id="rId8266" Type="http://schemas.openxmlformats.org/officeDocument/2006/relationships/hyperlink" Target="https://ref.ly/Exod10:21-Exod10:23" TargetMode="External"/><Relationship Id="rId8267" Type="http://schemas.openxmlformats.org/officeDocument/2006/relationships/hyperlink" Target="https://ref.ly/Exod14:20" TargetMode="External"/><Relationship Id="rId8268" Type="http://schemas.openxmlformats.org/officeDocument/2006/relationships/hyperlink" Target="https://ref.ly/Job24:16-Job24:17" TargetMode="External"/><Relationship Id="rId8269" Type="http://schemas.openxmlformats.org/officeDocument/2006/relationships/hyperlink" Target="https://ref.ly/Matt27:45" TargetMode="External"/><Relationship Id="rId8270" Type="http://schemas.openxmlformats.org/officeDocument/2006/relationships/hyperlink" Target="https://ref.ly/Mark15:33" TargetMode="External"/><Relationship Id="rId8271" Type="http://schemas.openxmlformats.org/officeDocument/2006/relationships/hyperlink" Target="https://ref.ly/Luke23:44" TargetMode="External"/><Relationship Id="rId8272" Type="http://schemas.openxmlformats.org/officeDocument/2006/relationships/hyperlink" Target="https://ref.ly/Exod20:21" TargetMode="External"/><Relationship Id="rId8273" Type="http://schemas.openxmlformats.org/officeDocument/2006/relationships/hyperlink" Target="https://ref.ly/Deut4:11" TargetMode="External"/><Relationship Id="rId8274" Type="http://schemas.openxmlformats.org/officeDocument/2006/relationships/hyperlink" Target="https://ref.ly/Deut5:23" TargetMode="External"/><Relationship Id="rId8275" Type="http://schemas.openxmlformats.org/officeDocument/2006/relationships/hyperlink" Target="https://ref.ly/2Sam22:12" TargetMode="External"/><Relationship Id="rId8276" Type="http://schemas.openxmlformats.org/officeDocument/2006/relationships/hyperlink" Target="https://ref.ly/Ps18:11" TargetMode="External"/><Relationship Id="rId8277" Type="http://schemas.openxmlformats.org/officeDocument/2006/relationships/hyperlink" Target="https://ref.ly/Ps97:2" TargetMode="External"/><Relationship Id="rId8278" Type="http://schemas.openxmlformats.org/officeDocument/2006/relationships/hyperlink" Target="https://ref.ly/Job26:10" TargetMode="External"/><Relationship Id="rId8279" Type="http://schemas.openxmlformats.org/officeDocument/2006/relationships/hyperlink" Target="https://ref.ly/Ps104:20" TargetMode="External"/><Relationship Id="rId8280" Type="http://schemas.openxmlformats.org/officeDocument/2006/relationships/hyperlink" Target="https://ref.ly/Ps105:28" TargetMode="External"/><Relationship Id="rId8281" Type="http://schemas.openxmlformats.org/officeDocument/2006/relationships/hyperlink" Target="https://ref.ly/1Kgs8:12" TargetMode="External"/><Relationship Id="rId8282" Type="http://schemas.openxmlformats.org/officeDocument/2006/relationships/hyperlink" Target="https://ref.ly/2Chr6:1" TargetMode="External"/><Relationship Id="rId8283" Type="http://schemas.openxmlformats.org/officeDocument/2006/relationships/hyperlink" Target="https://ref.ly/2Sam22:10" TargetMode="External"/><Relationship Id="rId8284" Type="http://schemas.openxmlformats.org/officeDocument/2006/relationships/hyperlink" Target="https://ref.ly/Ps18:9" TargetMode="External"/><Relationship Id="rId8285" Type="http://schemas.openxmlformats.org/officeDocument/2006/relationships/hyperlink" Target="https://ref.ly/Job12:24-Job12:25" TargetMode="External"/><Relationship Id="rId8286" Type="http://schemas.openxmlformats.org/officeDocument/2006/relationships/hyperlink" Target="https://ref.ly/Matt4:16" TargetMode="External"/><Relationship Id="rId8287" Type="http://schemas.openxmlformats.org/officeDocument/2006/relationships/hyperlink" Target="https://ref.ly/John12:35,John12:46" TargetMode="External"/><Relationship Id="rId8288" Type="http://schemas.openxmlformats.org/officeDocument/2006/relationships/hyperlink" Target="https://ref.ly/1John2:8-1John2:9,1John2:11" TargetMode="External"/><Relationship Id="rId8289" Type="http://schemas.openxmlformats.org/officeDocument/2006/relationships/hyperlink" Target="https://ref.ly/Job3:4-Job3:6" TargetMode="External"/><Relationship Id="rId8290" Type="http://schemas.openxmlformats.org/officeDocument/2006/relationships/hyperlink" Target="https://ref.ly/Job10:21-Job10:22" TargetMode="External"/><Relationship Id="rId8291" Type="http://schemas.openxmlformats.org/officeDocument/2006/relationships/hyperlink" Target="https://ref.ly/Job15:24" TargetMode="External"/><Relationship Id="rId8292" Type="http://schemas.openxmlformats.org/officeDocument/2006/relationships/hyperlink" Target="https://ref.ly/Job17:12-Job17:13" TargetMode="External"/><Relationship Id="rId8293" Type="http://schemas.openxmlformats.org/officeDocument/2006/relationships/hyperlink" Target="https://ref.ly/Job18:18" TargetMode="External"/><Relationship Id="rId8294" Type="http://schemas.openxmlformats.org/officeDocument/2006/relationships/hyperlink" Target="https://ref.ly/Eccl6:4" TargetMode="External"/><Relationship Id="rId8295" Type="http://schemas.openxmlformats.org/officeDocument/2006/relationships/hyperlink" Target="https://ref.ly/Eccl11:8" TargetMode="External"/><Relationship Id="rId8296" Type="http://schemas.openxmlformats.org/officeDocument/2006/relationships/hyperlink" Target="https://ref.ly/Job5:14" TargetMode="External"/><Relationship Id="rId8297" Type="http://schemas.openxmlformats.org/officeDocument/2006/relationships/hyperlink" Target="https://ref.ly/Job12:25" TargetMode="External"/><Relationship Id="rId8298" Type="http://schemas.openxmlformats.org/officeDocument/2006/relationships/hyperlink" Target="https://ref.ly/Job15:22,Job15:30" TargetMode="External"/><Relationship Id="rId8299" Type="http://schemas.openxmlformats.org/officeDocument/2006/relationships/hyperlink" Target="https://ref.ly/Job19:8" TargetMode="External"/><Relationship Id="rId8300" Type="http://schemas.openxmlformats.org/officeDocument/2006/relationships/hyperlink" Target="https://ref.ly/Job22:11" TargetMode="External"/><Relationship Id="rId8301" Type="http://schemas.openxmlformats.org/officeDocument/2006/relationships/hyperlink" Target="https://ref.ly/Ps35:6" TargetMode="External"/><Relationship Id="rId8302" Type="http://schemas.openxmlformats.org/officeDocument/2006/relationships/hyperlink" Target="https://ref.ly/Ps107:10,Ps107:14" TargetMode="External"/><Relationship Id="rId8303" Type="http://schemas.openxmlformats.org/officeDocument/2006/relationships/hyperlink" Target="https://ref.ly/Eccl5:17" TargetMode="External"/><Relationship Id="rId8304" Type="http://schemas.openxmlformats.org/officeDocument/2006/relationships/hyperlink" Target="https://ref.ly/Isa5:30" TargetMode="External"/><Relationship Id="rId8305" Type="http://schemas.openxmlformats.org/officeDocument/2006/relationships/hyperlink" Target="https://ref.ly/Prov2:13" TargetMode="External"/><Relationship Id="rId8306" Type="http://schemas.openxmlformats.org/officeDocument/2006/relationships/hyperlink" Target="https://ref.ly/Prov4:19" TargetMode="External"/><Relationship Id="rId8307" Type="http://schemas.openxmlformats.org/officeDocument/2006/relationships/hyperlink" Target="https://ref.ly/Isa5:20" TargetMode="External"/><Relationship Id="rId8308" Type="http://schemas.openxmlformats.org/officeDocument/2006/relationships/hyperlink" Target="https://ref.ly/Isa60:2" TargetMode="External"/><Relationship Id="rId8309" Type="http://schemas.openxmlformats.org/officeDocument/2006/relationships/hyperlink" Target="https://ref.ly/Matt6:23" TargetMode="External"/><Relationship Id="rId8310" Type="http://schemas.openxmlformats.org/officeDocument/2006/relationships/hyperlink" Target="https://ref.ly/Luke1:79" TargetMode="External"/><Relationship Id="rId8311" Type="http://schemas.openxmlformats.org/officeDocument/2006/relationships/hyperlink" Target="https://ref.ly/Luke11:35" TargetMode="External"/><Relationship Id="rId8312" Type="http://schemas.openxmlformats.org/officeDocument/2006/relationships/hyperlink" Target="https://ref.ly/Luke22:53" TargetMode="External"/><Relationship Id="rId8313" Type="http://schemas.openxmlformats.org/officeDocument/2006/relationships/hyperlink" Target="https://ref.ly/Rom2:19" TargetMode="External"/><Relationship Id="rId8314" Type="http://schemas.openxmlformats.org/officeDocument/2006/relationships/hyperlink" Target="https://ref.ly/Ezek32:8" TargetMode="External"/><Relationship Id="rId8315" Type="http://schemas.openxmlformats.org/officeDocument/2006/relationships/hyperlink" Target="https://ref.ly/Joel2:2,Joel2:31" TargetMode="External"/><Relationship Id="rId8316" Type="http://schemas.openxmlformats.org/officeDocument/2006/relationships/hyperlink" Target="https://ref.ly/Amos5:18,Amos5:20" TargetMode="External"/><Relationship Id="rId8317" Type="http://schemas.openxmlformats.org/officeDocument/2006/relationships/hyperlink" Target="https://ref.ly/Zeph1:15" TargetMode="External"/><Relationship Id="rId8318" Type="http://schemas.openxmlformats.org/officeDocument/2006/relationships/hyperlink" Target="https://ref.ly/Matt8:12" TargetMode="External"/><Relationship Id="rId8319" Type="http://schemas.openxmlformats.org/officeDocument/2006/relationships/hyperlink" Target="https://ref.ly/Matt25:30" TargetMode="External"/><Relationship Id="rId8320" Type="http://schemas.openxmlformats.org/officeDocument/2006/relationships/hyperlink" Target="https://ref.ly/2Pet2:17" TargetMode="External"/><Relationship Id="rId8321" Type="http://schemas.openxmlformats.org/officeDocument/2006/relationships/hyperlink" Target="https://ref.ly/Jude1:6,Jude1:13" TargetMode="External"/><Relationship Id="rId8322" Type="http://schemas.openxmlformats.org/officeDocument/2006/relationships/hyperlink" Target="https://ref.ly/Isa9:2" TargetMode="External"/><Relationship Id="rId8323" Type="http://schemas.openxmlformats.org/officeDocument/2006/relationships/hyperlink" Target="https://ref.ly/Isa29:18" TargetMode="External"/><Relationship Id="rId8324" Type="http://schemas.openxmlformats.org/officeDocument/2006/relationships/hyperlink" Target="https://ref.ly/Isa42:7" TargetMode="External"/><Relationship Id="rId8325" Type="http://schemas.openxmlformats.org/officeDocument/2006/relationships/hyperlink" Target="https://ref.ly/Job34:22" TargetMode="External"/><Relationship Id="rId8326" Type="http://schemas.openxmlformats.org/officeDocument/2006/relationships/hyperlink" Target="https://ref.ly/Ps139:11-Ps139:12" TargetMode="External"/><Relationship Id="rId8327" Type="http://schemas.openxmlformats.org/officeDocument/2006/relationships/hyperlink" Target="https://ref.ly/Isa29:15" TargetMode="External"/><Relationship Id="rId8328" Type="http://schemas.openxmlformats.org/officeDocument/2006/relationships/hyperlink" Target="https://ref.ly/Gen26:20" TargetMode="External"/><Relationship Id="rId8329" Type="http://schemas.openxmlformats.org/officeDocument/2006/relationships/hyperlink" Target="https://ref.ly/Deut15:7-Deut15:11" TargetMode="External"/><Relationship Id="rId8330" Type="http://schemas.openxmlformats.org/officeDocument/2006/relationships/hyperlink" Target="https://ref.ly/Deut14:28-Deut14:29" TargetMode="External"/><Relationship Id="rId8331" Type="http://schemas.openxmlformats.org/officeDocument/2006/relationships/hyperlink" Target="https://ref.ly/Lev19:9" TargetMode="External"/><Relationship Id="rId8332" Type="http://schemas.openxmlformats.org/officeDocument/2006/relationships/hyperlink" Target="https://ref.ly/Lev19:10" TargetMode="External"/><Relationship Id="rId8333" Type="http://schemas.openxmlformats.org/officeDocument/2006/relationships/hyperlink" Target="https://ref.ly/Deut24:20-Deut24:21" TargetMode="External"/><Relationship Id="rId8334" Type="http://schemas.openxmlformats.org/officeDocument/2006/relationships/hyperlink" Target="https://ref.ly/Deut16:11-Deut16:14" TargetMode="External"/><Relationship Id="rId8335" Type="http://schemas.openxmlformats.org/officeDocument/2006/relationships/hyperlink" Target="https://ref.ly/Isa1:23" TargetMode="External"/><Relationship Id="rId8336" Type="http://schemas.openxmlformats.org/officeDocument/2006/relationships/hyperlink" Target="https://ref.ly/Isa3:15" TargetMode="External"/><Relationship Id="rId8337" Type="http://schemas.openxmlformats.org/officeDocument/2006/relationships/hyperlink" Target="https://ref.ly/Isa10:1-Isa10:2" TargetMode="External"/><Relationship Id="rId8338" Type="http://schemas.openxmlformats.org/officeDocument/2006/relationships/hyperlink" Target="https://ref.ly/Isa11:4-Isa11:5" TargetMode="External"/><Relationship Id="rId8339" Type="http://schemas.openxmlformats.org/officeDocument/2006/relationships/hyperlink" Target="https://ref.ly/Isa58:5-Isa58:10" TargetMode="External"/><Relationship Id="rId8340" Type="http://schemas.openxmlformats.org/officeDocument/2006/relationships/hyperlink" Target="https://ref.ly/Amos2:6-Amos2:8" TargetMode="External"/><Relationship Id="rId8341" Type="http://schemas.openxmlformats.org/officeDocument/2006/relationships/hyperlink" Target="https://ref.ly/Amos8:4" TargetMode="External"/><Relationship Id="rId8342" Type="http://schemas.openxmlformats.org/officeDocument/2006/relationships/hyperlink" Target="https://ref.ly/Sir3:30" TargetMode="External"/><Relationship Id="rId8343" Type="http://schemas.openxmlformats.org/officeDocument/2006/relationships/hyperlink" Target="https://ref.ly/Tob4:10" TargetMode="External"/><Relationship Id="rId8344" Type="http://schemas.openxmlformats.org/officeDocument/2006/relationships/hyperlink" Target="https://ref.ly/Tob12:8-Tob12:9" TargetMode="External"/><Relationship Id="rId8345" Type="http://schemas.openxmlformats.org/officeDocument/2006/relationships/hyperlink" Target="https://ref.ly/Exod38:8" TargetMode="External"/><Relationship Id="rId8346" Type="http://schemas.openxmlformats.org/officeDocument/2006/relationships/hyperlink" Target="https://ref.ly/Exod9:32" TargetMode="External"/><Relationship Id="rId8347" Type="http://schemas.openxmlformats.org/officeDocument/2006/relationships/hyperlink" Target="https://ref.ly/Gen8:1" TargetMode="External"/><Relationship Id="rId8348" Type="http://schemas.openxmlformats.org/officeDocument/2006/relationships/hyperlink" Target="https://ref.ly/Exod10:13" TargetMode="External"/><Relationship Id="rId8349" Type="http://schemas.openxmlformats.org/officeDocument/2006/relationships/hyperlink" Target="https://ref.ly/Exod14:21" TargetMode="External"/><Relationship Id="rId8350" Type="http://schemas.openxmlformats.org/officeDocument/2006/relationships/hyperlink" Target="https://ref.ly/Job33:4" TargetMode="External"/><Relationship Id="rId8351" Type="http://schemas.openxmlformats.org/officeDocument/2006/relationships/hyperlink" Target="https://ref.ly/Job34:14-Job34:15" TargetMode="External"/><Relationship Id="rId8352" Type="http://schemas.openxmlformats.org/officeDocument/2006/relationships/hyperlink" Target="https://ref.ly/Ps104:29-Ps104:30" TargetMode="External"/><Relationship Id="rId8353" Type="http://schemas.openxmlformats.org/officeDocument/2006/relationships/hyperlink" Target="https://ref.ly/Gen7:15" TargetMode="External"/><Relationship Id="rId8354" Type="http://schemas.openxmlformats.org/officeDocument/2006/relationships/hyperlink" Target="https://ref.ly/Eccl3:19-Eccl3:21" TargetMode="External"/><Relationship Id="rId8355" Type="http://schemas.openxmlformats.org/officeDocument/2006/relationships/hyperlink" Target="https://ref.ly/Judg3:10" TargetMode="External"/><Relationship Id="rId8356" Type="http://schemas.openxmlformats.org/officeDocument/2006/relationships/hyperlink" Target="https://ref.ly/Judg11:29" TargetMode="External"/><Relationship Id="rId8357" Type="http://schemas.openxmlformats.org/officeDocument/2006/relationships/hyperlink" Target="https://ref.ly/1Sam11:6" TargetMode="External"/><Relationship Id="rId8358" Type="http://schemas.openxmlformats.org/officeDocument/2006/relationships/hyperlink" Target="https://ref.ly/1Sam19:20-1Sam19:24" TargetMode="External"/><Relationship Id="rId8359" Type="http://schemas.openxmlformats.org/officeDocument/2006/relationships/hyperlink" Target="https://ref.ly/1Sam16:14-1Sam16:16" TargetMode="External"/><Relationship Id="rId8360" Type="http://schemas.openxmlformats.org/officeDocument/2006/relationships/hyperlink" Target="https://ref.ly/1Kgs22:19-1Kgs22:23" TargetMode="External"/><Relationship Id="rId8361" Type="http://schemas.openxmlformats.org/officeDocument/2006/relationships/hyperlink" Target="https://ref.ly/Ps51:11" TargetMode="External"/><Relationship Id="rId8362" Type="http://schemas.openxmlformats.org/officeDocument/2006/relationships/hyperlink" Target="https://ref.ly/Isa63:10-Isa63:11" TargetMode="External"/><Relationship Id="rId8363" Type="http://schemas.openxmlformats.org/officeDocument/2006/relationships/hyperlink" Target="https://ref.ly/Deut13:1-Deut13:5" TargetMode="External"/><Relationship Id="rId8364" Type="http://schemas.openxmlformats.org/officeDocument/2006/relationships/hyperlink" Target="https://ref.ly/Deut18:22" TargetMode="External"/><Relationship Id="rId8365" Type="http://schemas.openxmlformats.org/officeDocument/2006/relationships/hyperlink" Target="https://ref.ly/Jer23:14" TargetMode="External"/><Relationship Id="rId8366" Type="http://schemas.openxmlformats.org/officeDocument/2006/relationships/hyperlink" Target="https://ref.ly/Mic3:5" TargetMode="External"/><Relationship Id="rId8367" Type="http://schemas.openxmlformats.org/officeDocument/2006/relationships/hyperlink" Target="https://ref.ly/Ezek3:1-Ezek3:4" TargetMode="External"/><Relationship Id="rId8368" Type="http://schemas.openxmlformats.org/officeDocument/2006/relationships/hyperlink" Target="https://ref.ly/Zech4:6" TargetMode="External"/><Relationship Id="rId8369" Type="http://schemas.openxmlformats.org/officeDocument/2006/relationships/hyperlink" Target="https://ref.ly/Zech7:12" TargetMode="External"/><Relationship Id="rId8370" Type="http://schemas.openxmlformats.org/officeDocument/2006/relationships/hyperlink" Target="https://ref.ly/Isa32:15" TargetMode="External"/><Relationship Id="rId8371" Type="http://schemas.openxmlformats.org/officeDocument/2006/relationships/hyperlink" Target="https://ref.ly/Isa44:3-Isa44:4" TargetMode="External"/><Relationship Id="rId8372" Type="http://schemas.openxmlformats.org/officeDocument/2006/relationships/hyperlink" Target="https://ref.ly/Isa11:2" TargetMode="External"/><Relationship Id="rId8373" Type="http://schemas.openxmlformats.org/officeDocument/2006/relationships/hyperlink" Target="https://ref.ly/Isa61:1" TargetMode="External"/><Relationship Id="rId8374" Type="http://schemas.openxmlformats.org/officeDocument/2006/relationships/hyperlink" Target="https://ref.ly/1Macc4:44-1Macc4:46" TargetMode="External"/><Relationship Id="rId8375" Type="http://schemas.openxmlformats.org/officeDocument/2006/relationships/hyperlink" Target="https://ref.ly/1Macc9:27" TargetMode="External"/><Relationship Id="rId8376" Type="http://schemas.openxmlformats.org/officeDocument/2006/relationships/hyperlink" Target="https://ref.ly/Ps74:9" TargetMode="External"/><Relationship Id="rId8377" Type="http://schemas.openxmlformats.org/officeDocument/2006/relationships/hyperlink" Target="https://ref.ly/Zech13:2-Zech13:6" TargetMode="External"/><Relationship Id="rId8378" Type="http://schemas.openxmlformats.org/officeDocument/2006/relationships/hyperlink" Target="https://ref.ly/John3:8" TargetMode="External"/><Relationship Id="rId8379" Type="http://schemas.openxmlformats.org/officeDocument/2006/relationships/hyperlink" Target="https://ref.ly/Rev11:11" TargetMode="External"/><Relationship Id="rId8380" Type="http://schemas.openxmlformats.org/officeDocument/2006/relationships/hyperlink" Target="https://ref.ly/Acts8:39" TargetMode="External"/><Relationship Id="rId8381" Type="http://schemas.openxmlformats.org/officeDocument/2006/relationships/hyperlink" Target="https://ref.ly/Rev17:3" TargetMode="External"/><Relationship Id="rId8382" Type="http://schemas.openxmlformats.org/officeDocument/2006/relationships/hyperlink" Target="https://ref.ly/Rev21:10" TargetMode="External"/><Relationship Id="rId8383" Type="http://schemas.openxmlformats.org/officeDocument/2006/relationships/hyperlink" Target="https://ref.ly/1Kgs18:12" TargetMode="External"/><Relationship Id="rId8384" Type="http://schemas.openxmlformats.org/officeDocument/2006/relationships/hyperlink" Target="https://ref.ly/2Kgs2:16" TargetMode="External"/><Relationship Id="rId8385" Type="http://schemas.openxmlformats.org/officeDocument/2006/relationships/hyperlink" Target="https://ref.ly/Ezek3:14" TargetMode="External"/><Relationship Id="rId8386" Type="http://schemas.openxmlformats.org/officeDocument/2006/relationships/hyperlink" Target="https://ref.ly/Mark12:36" TargetMode="External"/><Relationship Id="rId8387" Type="http://schemas.openxmlformats.org/officeDocument/2006/relationships/hyperlink" Target="https://ref.ly/Acts28:25" TargetMode="External"/><Relationship Id="rId8388" Type="http://schemas.openxmlformats.org/officeDocument/2006/relationships/hyperlink" Target="https://ref.ly/Heb3:7" TargetMode="External"/><Relationship Id="rId8389" Type="http://schemas.openxmlformats.org/officeDocument/2006/relationships/hyperlink" Target="https://ref.ly/2Pet1:21" TargetMode="External"/><Relationship Id="rId8390" Type="http://schemas.openxmlformats.org/officeDocument/2006/relationships/hyperlink" Target="https://ref.ly/Matt12:41-Matt12:42" TargetMode="External"/><Relationship Id="rId8391" Type="http://schemas.openxmlformats.org/officeDocument/2006/relationships/hyperlink" Target="https://ref.ly/Matt13:16-Matt13:17" TargetMode="External"/><Relationship Id="rId8392" Type="http://schemas.openxmlformats.org/officeDocument/2006/relationships/hyperlink" Target="https://ref.ly/Luke17:20-Luke17:21" TargetMode="External"/><Relationship Id="rId8393" Type="http://schemas.openxmlformats.org/officeDocument/2006/relationships/hyperlink" Target="https://ref.ly/Matt5:3-Matt5:6" TargetMode="External"/><Relationship Id="rId8394" Type="http://schemas.openxmlformats.org/officeDocument/2006/relationships/hyperlink" Target="https://ref.ly/Luke4:17-Luke4:19" TargetMode="External"/><Relationship Id="rId8395" Type="http://schemas.openxmlformats.org/officeDocument/2006/relationships/hyperlink" Target="https://ref.ly/Matt12:27-Matt12:28" TargetMode="External"/><Relationship Id="rId8396" Type="http://schemas.openxmlformats.org/officeDocument/2006/relationships/hyperlink" Target="https://ref.ly/Mark3:22-Mark3:26" TargetMode="External"/><Relationship Id="rId8397" Type="http://schemas.openxmlformats.org/officeDocument/2006/relationships/hyperlink" Target="https://ref.ly/Luke2:25-Luke2:27" TargetMode="External"/><Relationship Id="rId8398" Type="http://schemas.openxmlformats.org/officeDocument/2006/relationships/hyperlink" Target="https://ref.ly/Mark1:9-Mark1:10" TargetMode="External"/><Relationship Id="rId8399" Type="http://schemas.openxmlformats.org/officeDocument/2006/relationships/hyperlink" Target="https://ref.ly/Acts10:38" TargetMode="External"/><Relationship Id="rId8400" Type="http://schemas.openxmlformats.org/officeDocument/2006/relationships/hyperlink" Target="https://ref.ly/Matt4:1" TargetMode="External"/><Relationship Id="rId8401" Type="http://schemas.openxmlformats.org/officeDocument/2006/relationships/hyperlink" Target="https://ref.ly/Matt12:18" TargetMode="External"/><Relationship Id="rId8402" Type="http://schemas.openxmlformats.org/officeDocument/2006/relationships/hyperlink" Target="https://ref.ly/Mark1:12" TargetMode="External"/><Relationship Id="rId8403" Type="http://schemas.openxmlformats.org/officeDocument/2006/relationships/hyperlink" Target="https://ref.ly/Luke10:21" TargetMode="External"/><Relationship Id="rId8404" Type="http://schemas.openxmlformats.org/officeDocument/2006/relationships/hyperlink" Target="https://ref.ly/John3:34" TargetMode="External"/><Relationship Id="rId8405" Type="http://schemas.openxmlformats.org/officeDocument/2006/relationships/hyperlink" Target="https://ref.ly/John20:22" TargetMode="External"/><Relationship Id="rId8406" Type="http://schemas.openxmlformats.org/officeDocument/2006/relationships/hyperlink" Target="https://ref.ly/Acts2:2-Acts2:5" TargetMode="External"/><Relationship Id="rId8407" Type="http://schemas.openxmlformats.org/officeDocument/2006/relationships/hyperlink" Target="https://ref.ly/Heb6:4-Heb6:5" TargetMode="External"/><Relationship Id="rId8408" Type="http://schemas.openxmlformats.org/officeDocument/2006/relationships/hyperlink" Target="https://ref.ly/Rom8:15-Rom8:17" TargetMode="External"/><Relationship Id="rId8409" Type="http://schemas.openxmlformats.org/officeDocument/2006/relationships/hyperlink" Target="https://ref.ly/1Cor15:42-1Cor15:50" TargetMode="External"/><Relationship Id="rId8410" Type="http://schemas.openxmlformats.org/officeDocument/2006/relationships/hyperlink" Target="https://ref.ly/Gal4:6-Gal4:7" TargetMode="External"/><Relationship Id="rId8411" Type="http://schemas.openxmlformats.org/officeDocument/2006/relationships/hyperlink" Target="https://ref.ly/Gal5:16-Gal5:18" TargetMode="External"/><Relationship Id="rId8412" Type="http://schemas.openxmlformats.org/officeDocument/2006/relationships/hyperlink" Target="https://ref.ly/Rom8:11" TargetMode="External"/><Relationship Id="rId8413" Type="http://schemas.openxmlformats.org/officeDocument/2006/relationships/hyperlink" Target="https://ref.ly/1Cor15:44-1Cor15:49" TargetMode="External"/><Relationship Id="rId8414" Type="http://schemas.openxmlformats.org/officeDocument/2006/relationships/hyperlink" Target="https://ref.ly/2Cor5:2-2Cor5:4" TargetMode="External"/><Relationship Id="rId8415" Type="http://schemas.openxmlformats.org/officeDocument/2006/relationships/hyperlink" Target="https://ref.ly/Acts2:38-Acts2:39" TargetMode="External"/><Relationship Id="rId8416" Type="http://schemas.openxmlformats.org/officeDocument/2006/relationships/hyperlink" Target="https://ref.ly/Acts11:15-Acts11:18" TargetMode="External"/><Relationship Id="rId8417" Type="http://schemas.openxmlformats.org/officeDocument/2006/relationships/hyperlink" Target="https://ref.ly/Acts15:7-Acts15:9" TargetMode="External"/><Relationship Id="rId8418" Type="http://schemas.openxmlformats.org/officeDocument/2006/relationships/hyperlink" Target="https://ref.ly/Acts19:1-Acts19:6" TargetMode="External"/><Relationship Id="rId8419" Type="http://schemas.openxmlformats.org/officeDocument/2006/relationships/hyperlink" Target="https://ref.ly/Acts19:2" TargetMode="External"/><Relationship Id="rId8420" Type="http://schemas.openxmlformats.org/officeDocument/2006/relationships/hyperlink" Target="https://ref.ly/Gal3:2-Gal3:3" TargetMode="External"/><Relationship Id="rId8421" Type="http://schemas.openxmlformats.org/officeDocument/2006/relationships/hyperlink" Target="https://ref.ly/Rom8:9-Rom8:11" TargetMode="External"/><Relationship Id="rId8422" Type="http://schemas.openxmlformats.org/officeDocument/2006/relationships/hyperlink" Target="https://ref.ly/Rom8:14-Rom8:17" TargetMode="External"/><Relationship Id="rId8423" Type="http://schemas.openxmlformats.org/officeDocument/2006/relationships/hyperlink" Target="https://ref.ly/1Cor15:45" TargetMode="External"/><Relationship Id="rId8424" Type="http://schemas.openxmlformats.org/officeDocument/2006/relationships/hyperlink" Target="https://ref.ly/Gal5:25" TargetMode="External"/><Relationship Id="rId8425" Type="http://schemas.openxmlformats.org/officeDocument/2006/relationships/hyperlink" Target="https://ref.ly/John6:63" TargetMode="External"/><Relationship Id="rId8426" Type="http://schemas.openxmlformats.org/officeDocument/2006/relationships/hyperlink" Target="https://ref.ly/John3:3-John3:8" TargetMode="External"/><Relationship Id="rId8427" Type="http://schemas.openxmlformats.org/officeDocument/2006/relationships/hyperlink" Target="https://ref.ly/1John3:9" TargetMode="External"/><Relationship Id="rId8428" Type="http://schemas.openxmlformats.org/officeDocument/2006/relationships/hyperlink" Target="https://ref.ly/John7:37-John7:39" TargetMode="External"/><Relationship Id="rId8429" Type="http://schemas.openxmlformats.org/officeDocument/2006/relationships/hyperlink" Target="https://ref.ly/John4:10" TargetMode="External"/><Relationship Id="rId8430" Type="http://schemas.openxmlformats.org/officeDocument/2006/relationships/hyperlink" Target="https://ref.ly/1John3:24" TargetMode="External"/><Relationship Id="rId8431" Type="http://schemas.openxmlformats.org/officeDocument/2006/relationships/hyperlink" Target="https://ref.ly/1John4:13" TargetMode="External"/><Relationship Id="rId8432" Type="http://schemas.openxmlformats.org/officeDocument/2006/relationships/hyperlink" Target="https://ref.ly/2Cor3:17" TargetMode="External"/><Relationship Id="rId8433" Type="http://schemas.openxmlformats.org/officeDocument/2006/relationships/hyperlink" Target="https://ref.ly/1Tim3:5-1Tim3:6" TargetMode="External"/><Relationship Id="rId8434" Type="http://schemas.openxmlformats.org/officeDocument/2006/relationships/hyperlink" Target="https://ref.ly/Acts2:24" TargetMode="External"/><Relationship Id="rId8435" Type="http://schemas.openxmlformats.org/officeDocument/2006/relationships/hyperlink" Target="https://ref.ly/Acts10:43-Acts10:47" TargetMode="External"/><Relationship Id="rId8436" Type="http://schemas.openxmlformats.org/officeDocument/2006/relationships/hyperlink" Target="https://ref.ly/Acts19:6" TargetMode="External"/><Relationship Id="rId8437" Type="http://schemas.openxmlformats.org/officeDocument/2006/relationships/hyperlink" Target="https://ref.ly/Acts10:10" TargetMode="External"/><Relationship Id="rId8438" Type="http://schemas.openxmlformats.org/officeDocument/2006/relationships/hyperlink" Target="https://ref.ly/Acts22:17" TargetMode="External"/><Relationship Id="rId8439" Type="http://schemas.openxmlformats.org/officeDocument/2006/relationships/hyperlink" Target="https://ref.ly/Rev1:10" TargetMode="External"/><Relationship Id="rId8440" Type="http://schemas.openxmlformats.org/officeDocument/2006/relationships/hyperlink" Target="https://ref.ly/Acts13:52" TargetMode="External"/><Relationship Id="rId8441" Type="http://schemas.openxmlformats.org/officeDocument/2006/relationships/hyperlink" Target="https://ref.ly/1Thess1:6" TargetMode="External"/><Relationship Id="rId8442" Type="http://schemas.openxmlformats.org/officeDocument/2006/relationships/hyperlink" Target="https://ref.ly/Phil2:1-Phil2:2" TargetMode="External"/><Relationship Id="rId8443" Type="http://schemas.openxmlformats.org/officeDocument/2006/relationships/hyperlink" Target="https://ref.ly/2Cor3:14-2Cor3:17" TargetMode="External"/><Relationship Id="rId8444" Type="http://schemas.openxmlformats.org/officeDocument/2006/relationships/hyperlink" Target="https://ref.ly/Eph1:17-Eph1:18" TargetMode="External"/><Relationship Id="rId8445" Type="http://schemas.openxmlformats.org/officeDocument/2006/relationships/hyperlink" Target="https://ref.ly/1John2:20-1John2:21" TargetMode="External"/><Relationship Id="rId8446" Type="http://schemas.openxmlformats.org/officeDocument/2006/relationships/hyperlink" Target="https://ref.ly/1Cor12:8-1Cor12:10" TargetMode="External"/><Relationship Id="rId8447" Type="http://schemas.openxmlformats.org/officeDocument/2006/relationships/hyperlink" Target="https://ref.ly/1Thess1:5" TargetMode="External"/><Relationship Id="rId8448" Type="http://schemas.openxmlformats.org/officeDocument/2006/relationships/hyperlink" Target="https://ref.ly/Gal3:5" TargetMode="External"/><Relationship Id="rId8449" Type="http://schemas.openxmlformats.org/officeDocument/2006/relationships/hyperlink" Target="https://ref.ly/Heb2:4" TargetMode="External"/><Relationship Id="rId8450" Type="http://schemas.openxmlformats.org/officeDocument/2006/relationships/hyperlink" Target="https://ref.ly/1Cor14:6-1Cor14:19" TargetMode="External"/><Relationship Id="rId8451" Type="http://schemas.openxmlformats.org/officeDocument/2006/relationships/hyperlink" Target="https://ref.ly/Mark8:11-Mark8:13" TargetMode="External"/><Relationship Id="rId8452" Type="http://schemas.openxmlformats.org/officeDocument/2006/relationships/hyperlink" Target="https://ref.ly/Acts6:3-Acts6:5" TargetMode="External"/><Relationship Id="rId8453" Type="http://schemas.openxmlformats.org/officeDocument/2006/relationships/hyperlink" Target="https://ref.ly/Ezek37:9-Ezek37:10" TargetMode="External"/><Relationship Id="rId8454" Type="http://schemas.openxmlformats.org/officeDocument/2006/relationships/hyperlink" Target="https://ref.ly/Phil2:1" TargetMode="External"/><Relationship Id="rId8455" Type="http://schemas.openxmlformats.org/officeDocument/2006/relationships/hyperlink" Target="https://ref.ly/1Cor1:4-1Cor1:9" TargetMode="External"/><Relationship Id="rId8456" Type="http://schemas.openxmlformats.org/officeDocument/2006/relationships/hyperlink" Target="https://ref.ly/Eph4:3-Eph4:4" TargetMode="External"/><Relationship Id="rId8457" Type="http://schemas.openxmlformats.org/officeDocument/2006/relationships/hyperlink" Target="https://ref.ly/Rom12:4-Rom12:8" TargetMode="External"/><Relationship Id="rId8458" Type="http://schemas.openxmlformats.org/officeDocument/2006/relationships/hyperlink" Target="https://ref.ly/1Cor12:12-1Cor12:17" TargetMode="External"/><Relationship Id="rId8459" Type="http://schemas.openxmlformats.org/officeDocument/2006/relationships/hyperlink" Target="https://ref.ly/Eph4:4-Eph4:16" TargetMode="External"/><Relationship Id="rId8460" Type="http://schemas.openxmlformats.org/officeDocument/2006/relationships/hyperlink" Target="https://ref.ly/Phil1:19" TargetMode="External"/><Relationship Id="rId8461" Type="http://schemas.openxmlformats.org/officeDocument/2006/relationships/hyperlink" Target="https://ref.ly/John19:30" TargetMode="External"/><Relationship Id="rId8462" Type="http://schemas.openxmlformats.org/officeDocument/2006/relationships/hyperlink" Target="https://ref.ly/Rev5:6" TargetMode="External"/><Relationship Id="rId8463" Type="http://schemas.openxmlformats.org/officeDocument/2006/relationships/hyperlink" Target="https://ref.ly/Acts5:32" TargetMode="External"/><Relationship Id="rId8464" Type="http://schemas.openxmlformats.org/officeDocument/2006/relationships/hyperlink" Target="https://ref.ly/1Cor12:3" TargetMode="External"/><Relationship Id="rId8465" Type="http://schemas.openxmlformats.org/officeDocument/2006/relationships/hyperlink" Target="https://ref.ly/1John5:7-1John5:8" TargetMode="External"/><Relationship Id="rId8466" Type="http://schemas.openxmlformats.org/officeDocument/2006/relationships/hyperlink" Target="https://ref.ly/John14:16-John14:18" TargetMode="External"/><Relationship Id="rId8467" Type="http://schemas.openxmlformats.org/officeDocument/2006/relationships/hyperlink" Target="https://ref.ly/Rom8:9-Rom8:10" TargetMode="External"/><Relationship Id="rId8468" Type="http://schemas.openxmlformats.org/officeDocument/2006/relationships/hyperlink" Target="https://ref.ly/1Cor6:17" TargetMode="External"/><Relationship Id="rId8469" Type="http://schemas.openxmlformats.org/officeDocument/2006/relationships/hyperlink" Target="https://ref.ly/John7:39" TargetMode="External"/><Relationship Id="rId8470" Type="http://schemas.openxmlformats.org/officeDocument/2006/relationships/hyperlink" Target="https://ref.ly/John7:1-John7:53" TargetMode="External"/><Relationship Id="rId8471" Type="http://schemas.openxmlformats.org/officeDocument/2006/relationships/hyperlink" Target="https://ref.ly/John14:20" TargetMode="External"/><Relationship Id="rId8472" Type="http://schemas.openxmlformats.org/officeDocument/2006/relationships/hyperlink" Target="https://ref.ly/2Cor5:15-2Cor5:16" TargetMode="External"/><Relationship Id="rId8473" Type="http://schemas.openxmlformats.org/officeDocument/2006/relationships/hyperlink" Target="https://ref.ly/Phil2:6" TargetMode="External"/><Relationship Id="rId8474" Type="http://schemas.openxmlformats.org/officeDocument/2006/relationships/hyperlink" Target="https://ref.ly/2Cor3:8" TargetMode="External"/><Relationship Id="rId8475" Type="http://schemas.openxmlformats.org/officeDocument/2006/relationships/hyperlink" Target="https://ref.ly/2Cor3:3,2Cor3:14,2Cor3:16-2Cor3:18" TargetMode="External"/><Relationship Id="rId8476" Type="http://schemas.openxmlformats.org/officeDocument/2006/relationships/hyperlink" Target="https://ref.ly/2Cor4:4-2Cor4:6" TargetMode="External"/><Relationship Id="rId8477" Type="http://schemas.openxmlformats.org/officeDocument/2006/relationships/hyperlink" Target="https://ref.ly/1Pet3:18-1Pet3:20" TargetMode="External"/><Relationship Id="rId8478" Type="http://schemas.openxmlformats.org/officeDocument/2006/relationships/hyperlink" Target="https://ref.ly/Gen6:1-Gen6:4" TargetMode="External"/><Relationship Id="rId8479" Type="http://schemas.openxmlformats.org/officeDocument/2006/relationships/hyperlink" Target="https://ref.ly/Ps88:12" TargetMode="External"/><Relationship Id="rId8480" Type="http://schemas.openxmlformats.org/officeDocument/2006/relationships/hyperlink" Target="https://ref.ly/Eccl9:5-Eccl9:6" TargetMode="External"/><Relationship Id="rId8481" Type="http://schemas.openxmlformats.org/officeDocument/2006/relationships/hyperlink" Target="https://ref.ly/Job14:21-Job14:22" TargetMode="External"/><Relationship Id="rId8482" Type="http://schemas.openxmlformats.org/officeDocument/2006/relationships/hyperlink" Target="https://ref.ly/Acts26:5" TargetMode="External"/><Relationship Id="rId8483" Type="http://schemas.openxmlformats.org/officeDocument/2006/relationships/hyperlink" Target="https://ref.ly/Acts5:17" TargetMode="External"/><Relationship Id="rId8484" Type="http://schemas.openxmlformats.org/officeDocument/2006/relationships/hyperlink" Target="https://ref.ly/Acts24:5,Acts24:14" TargetMode="External"/><Relationship Id="rId8485" Type="http://schemas.openxmlformats.org/officeDocument/2006/relationships/hyperlink" Target="https://ref.ly/Acts28:22" TargetMode="External"/><Relationship Id="rId8486" Type="http://schemas.openxmlformats.org/officeDocument/2006/relationships/hyperlink" Target="https://ref.ly/1Macc1:15" TargetMode="External"/><Relationship Id="rId8487" Type="http://schemas.openxmlformats.org/officeDocument/2006/relationships/hyperlink" Target="https://ref.ly/1Macc2:42" TargetMode="External"/><Relationship Id="rId8488" Type="http://schemas.openxmlformats.org/officeDocument/2006/relationships/hyperlink" Target="https://ref.ly/Job19:25" TargetMode="External"/><Relationship Id="rId8489" Type="http://schemas.openxmlformats.org/officeDocument/2006/relationships/hyperlink" Target="https://ref.ly/Matt22:32" TargetMode="External"/><Relationship Id="rId8490" Type="http://schemas.openxmlformats.org/officeDocument/2006/relationships/hyperlink" Target="https://ref.ly/Matt22:30-Matt22:32" TargetMode="External"/><Relationship Id="rId8491" Type="http://schemas.openxmlformats.org/officeDocument/2006/relationships/hyperlink" Target="https://ref.ly/1Cor15:50-1Cor15:58" TargetMode="External"/><Relationship Id="rId8492" Type="http://schemas.openxmlformats.org/officeDocument/2006/relationships/hyperlink" Target="https://ref.ly/1Pet3:19-1Pet3:20" TargetMode="External"/><Relationship Id="rId8493" Type="http://schemas.openxmlformats.org/officeDocument/2006/relationships/hyperlink" Target="https://ref.ly/Luke16:19-Luke16:31" TargetMode="External"/><Relationship Id="rId8494" Type="http://schemas.openxmlformats.org/officeDocument/2006/relationships/hyperlink" Target="https://ref.ly/John5:29" TargetMode="External"/><Relationship Id="rId8495" Type="http://schemas.openxmlformats.org/officeDocument/2006/relationships/hyperlink" Target="https://ref.ly/1Cor15:23" TargetMode="External"/><Relationship Id="rId8496" Type="http://schemas.openxmlformats.org/officeDocument/2006/relationships/hyperlink" Target="https://ref.ly/Rom8:35-Rom8:39" TargetMode="External"/><Relationship Id="rId8497" Type="http://schemas.openxmlformats.org/officeDocument/2006/relationships/hyperlink" Target="https://ref.ly/1Thess4:14" TargetMode="External"/><Relationship Id="rId8498" Type="http://schemas.openxmlformats.org/officeDocument/2006/relationships/hyperlink" Target="https://ref.ly/Heb9:28" TargetMode="External"/><Relationship Id="rId8499" Type="http://schemas.openxmlformats.org/officeDocument/2006/relationships/hyperlink" Target="https://ref.ly/Luke17:10" TargetMode="External"/><Relationship Id="rId8500" Type="http://schemas.openxmlformats.org/officeDocument/2006/relationships/hyperlink" Target="https://ref.ly/Gen42:27" TargetMode="External"/><Relationship Id="rId8501" Type="http://schemas.openxmlformats.org/officeDocument/2006/relationships/hyperlink" Target="https://ref.ly/Gen43:21" TargetMode="External"/><Relationship Id="rId8502" Type="http://schemas.openxmlformats.org/officeDocument/2006/relationships/hyperlink" Target="https://ref.ly/Exod4:24" TargetMode="External"/><Relationship Id="rId8503" Type="http://schemas.openxmlformats.org/officeDocument/2006/relationships/hyperlink" Target="https://ref.ly/Gen19:1-Gen19:3" TargetMode="External"/><Relationship Id="rId8504" Type="http://schemas.openxmlformats.org/officeDocument/2006/relationships/hyperlink" Target="https://ref.ly/Judg19:15-Judg19:21" TargetMode="External"/><Relationship Id="rId8505" Type="http://schemas.openxmlformats.org/officeDocument/2006/relationships/hyperlink" Target="https://ref.ly/Gen28:11" TargetMode="External"/><Relationship Id="rId8506" Type="http://schemas.openxmlformats.org/officeDocument/2006/relationships/hyperlink" Target="https://ref.ly/Josh9:11-Josh9:13" TargetMode="External"/><Relationship Id="rId8507" Type="http://schemas.openxmlformats.org/officeDocument/2006/relationships/hyperlink" Target="https://ref.ly/Josh2:1" TargetMode="External"/><Relationship Id="rId8508" Type="http://schemas.openxmlformats.org/officeDocument/2006/relationships/hyperlink" Target="https://ref.ly/Luke10:34-Luke10:35" TargetMode="External"/><Relationship Id="rId8509" Type="http://schemas.openxmlformats.org/officeDocument/2006/relationships/hyperlink" Target="https://ref.ly/Luke2:7" TargetMode="External"/><Relationship Id="rId8510" Type="http://schemas.openxmlformats.org/officeDocument/2006/relationships/hyperlink" Target="https://ref.ly/Luke22:11" TargetMode="External"/><Relationship Id="rId8511" Type="http://schemas.openxmlformats.org/officeDocument/2006/relationships/hyperlink" Target="https://ref.ly/Acts2:6-Acts2:11" TargetMode="External"/><Relationship Id="rId8512" Type="http://schemas.openxmlformats.org/officeDocument/2006/relationships/hyperlink" Target="https://ref.ly/Gen9:1" TargetMode="External"/><Relationship Id="rId8513" Type="http://schemas.openxmlformats.org/officeDocument/2006/relationships/hyperlink" Target="https://ref.ly/Jer29:6" TargetMode="External"/><Relationship Id="rId8514" Type="http://schemas.openxmlformats.org/officeDocument/2006/relationships/hyperlink" Target="https://ref.ly/Gen16:4" TargetMode="External"/><Relationship Id="rId8515" Type="http://schemas.openxmlformats.org/officeDocument/2006/relationships/hyperlink" Target="https://ref.ly/Gen30:1" TargetMode="External"/><Relationship Id="rId8516" Type="http://schemas.openxmlformats.org/officeDocument/2006/relationships/hyperlink" Target="https://ref.ly/Gen16:1-Gen16:2" TargetMode="External"/><Relationship Id="rId8517" Type="http://schemas.openxmlformats.org/officeDocument/2006/relationships/hyperlink" Target="https://ref.ly/Gen38:8" TargetMode="External"/><Relationship Id="rId8518" Type="http://schemas.openxmlformats.org/officeDocument/2006/relationships/hyperlink" Target="https://ref.ly/Hos9:11" TargetMode="External"/><Relationship Id="rId8519" Type="http://schemas.openxmlformats.org/officeDocument/2006/relationships/hyperlink" Target="https://ref.ly/Gen20:17-Gen20:18" TargetMode="External"/><Relationship Id="rId8520" Type="http://schemas.openxmlformats.org/officeDocument/2006/relationships/hyperlink" Target="https://ref.ly/Gen25:21" TargetMode="External"/><Relationship Id="rId8521" Type="http://schemas.openxmlformats.org/officeDocument/2006/relationships/hyperlink" Target="https://ref.ly/1Sam1:16,1Sam1:20" TargetMode="External"/><Relationship Id="rId8522" Type="http://schemas.openxmlformats.org/officeDocument/2006/relationships/hyperlink" Target="https://ref.ly/2Kgs4:16" TargetMode="External"/><Relationship Id="rId8523" Type="http://schemas.openxmlformats.org/officeDocument/2006/relationships/hyperlink" Target="https://ref.ly/Gen30:14-Gen30:21" TargetMode="External"/><Relationship Id="rId8524" Type="http://schemas.openxmlformats.org/officeDocument/2006/relationships/hyperlink" Target="https://ref.ly/Deut7:14" TargetMode="External"/><Relationship Id="rId8525" Type="http://schemas.openxmlformats.org/officeDocument/2006/relationships/hyperlink" Target="https://ref.ly/Luke23:29" TargetMode="External"/><Relationship Id="rId8526" Type="http://schemas.openxmlformats.org/officeDocument/2006/relationships/hyperlink" Target="https://ref.ly/Acts7:1-Acts7:53" TargetMode="External"/><Relationship Id="rId8527" Type="http://schemas.openxmlformats.org/officeDocument/2006/relationships/hyperlink" Target="https://ref.ly/Acts6:10-Acts7:60" TargetMode="External"/><Relationship Id="rId8528" Type="http://schemas.openxmlformats.org/officeDocument/2006/relationships/hyperlink" Target="https://ref.ly/Acts7:54-Acts7:60" TargetMode="External"/><Relationship Id="rId8529" Type="http://schemas.openxmlformats.org/officeDocument/2006/relationships/hyperlink" Target="https://ref.ly/Acts7:59-Acts7:60" TargetMode="External"/><Relationship Id="rId8530" Type="http://schemas.openxmlformats.org/officeDocument/2006/relationships/hyperlink" Target="https://ref.ly/Acts8:1-Acts8:3" TargetMode="External"/><Relationship Id="rId8531" Type="http://schemas.openxmlformats.org/officeDocument/2006/relationships/hyperlink" Target="https://ref.ly/Num20:17" TargetMode="External"/><Relationship Id="rId8532" Type="http://schemas.openxmlformats.org/officeDocument/2006/relationships/hyperlink" Target="https://ref.ly/Num20:19" TargetMode="External"/><Relationship Id="rId8533" Type="http://schemas.openxmlformats.org/officeDocument/2006/relationships/hyperlink" Target="https://ref.ly/Num21:33" TargetMode="External"/><Relationship Id="rId8534" Type="http://schemas.openxmlformats.org/officeDocument/2006/relationships/hyperlink" Target="https://ref.ly/Deut3:1" TargetMode="External"/><Relationship Id="rId8535" Type="http://schemas.openxmlformats.org/officeDocument/2006/relationships/hyperlink" Target="https://ref.ly/Ezek27:22" TargetMode="External"/><Relationship Id="rId8536" Type="http://schemas.openxmlformats.org/officeDocument/2006/relationships/hyperlink" Target="https://ref.ly/Gen31:21" TargetMode="External"/><Relationship Id="rId8537" Type="http://schemas.openxmlformats.org/officeDocument/2006/relationships/hyperlink" Target="https://ref.ly/2Chr9:18" TargetMode="External"/><Relationship Id="rId8538" Type="http://schemas.openxmlformats.org/officeDocument/2006/relationships/hyperlink" Target="https://ref.ly/1Chr28:2" TargetMode="External"/><Relationship Id="rId8539" Type="http://schemas.openxmlformats.org/officeDocument/2006/relationships/hyperlink" Target="https://ref.ly/Ps99:5" TargetMode="External"/><Relationship Id="rId8540" Type="http://schemas.openxmlformats.org/officeDocument/2006/relationships/hyperlink" Target="https://ref.ly/Ps132:7" TargetMode="External"/><Relationship Id="rId8541" Type="http://schemas.openxmlformats.org/officeDocument/2006/relationships/hyperlink" Target="https://ref.ly/Lam2:1" TargetMode="External"/><Relationship Id="rId8542" Type="http://schemas.openxmlformats.org/officeDocument/2006/relationships/hyperlink" Target="https://ref.ly/Matt22:44" TargetMode="External"/><Relationship Id="rId8543" Type="http://schemas.openxmlformats.org/officeDocument/2006/relationships/hyperlink" Target="https://ref.ly/Luke20:43" TargetMode="External"/><Relationship Id="rId8544" Type="http://schemas.openxmlformats.org/officeDocument/2006/relationships/hyperlink" Target="https://ref.ly/Acts2:35" TargetMode="External"/><Relationship Id="rId8545" Type="http://schemas.openxmlformats.org/officeDocument/2006/relationships/hyperlink" Target="https://ref.ly/Heb1:13" TargetMode="External"/><Relationship Id="rId8546" Type="http://schemas.openxmlformats.org/officeDocument/2006/relationships/hyperlink" Target="https://ref.ly/Heb10:13" TargetMode="External"/><Relationship Id="rId8547" Type="http://schemas.openxmlformats.org/officeDocument/2006/relationships/hyperlink" Target="https://ref.ly/Deut15:3" TargetMode="External"/><Relationship Id="rId8548" Type="http://schemas.openxmlformats.org/officeDocument/2006/relationships/hyperlink" Target="https://ref.ly/Job19:15" TargetMode="External"/><Relationship Id="rId8549" Type="http://schemas.openxmlformats.org/officeDocument/2006/relationships/hyperlink" Target="https://ref.ly/Ps69:8" TargetMode="External"/><Relationship Id="rId8550" Type="http://schemas.openxmlformats.org/officeDocument/2006/relationships/hyperlink" Target="https://ref.ly/Lam5:2" TargetMode="External"/><Relationship Id="rId8551" Type="http://schemas.openxmlformats.org/officeDocument/2006/relationships/hyperlink" Target="https://ref.ly/Exod2:22" TargetMode="External"/><Relationship Id="rId8552" Type="http://schemas.openxmlformats.org/officeDocument/2006/relationships/hyperlink" Target="https://ref.ly/Lev25:35" TargetMode="External"/><Relationship Id="rId8553" Type="http://schemas.openxmlformats.org/officeDocument/2006/relationships/hyperlink" Target="https://ref.ly/1Chr29:15" TargetMode="External"/><Relationship Id="rId8554" Type="http://schemas.openxmlformats.org/officeDocument/2006/relationships/hyperlink" Target="https://ref.ly/Ps39:12" TargetMode="External"/><Relationship Id="rId8555" Type="http://schemas.openxmlformats.org/officeDocument/2006/relationships/hyperlink" Target="https://ref.ly/2Sam4:3" TargetMode="External"/><Relationship Id="rId8556" Type="http://schemas.openxmlformats.org/officeDocument/2006/relationships/hyperlink" Target="https://ref.ly/2Chr2:17" TargetMode="External"/><Relationship Id="rId8557" Type="http://schemas.openxmlformats.org/officeDocument/2006/relationships/hyperlink" Target="https://ref.ly/Gen23:4" TargetMode="External"/><Relationship Id="rId8558" Type="http://schemas.openxmlformats.org/officeDocument/2006/relationships/hyperlink" Target="https://ref.ly/Gen26:3" TargetMode="External"/><Relationship Id="rId8559" Type="http://schemas.openxmlformats.org/officeDocument/2006/relationships/hyperlink" Target="https://ref.ly/Gen47:4" TargetMode="External"/><Relationship Id="rId8560" Type="http://schemas.openxmlformats.org/officeDocument/2006/relationships/hyperlink" Target="https://ref.ly/Ruth1:1" TargetMode="External"/><Relationship Id="rId8561" Type="http://schemas.openxmlformats.org/officeDocument/2006/relationships/hyperlink" Target="https://ref.ly/Lev17:8" TargetMode="External"/><Relationship Id="rId8562" Type="http://schemas.openxmlformats.org/officeDocument/2006/relationships/hyperlink" Target="https://ref.ly/Lev22:18" TargetMode="External"/><Relationship Id="rId8563" Type="http://schemas.openxmlformats.org/officeDocument/2006/relationships/hyperlink" Target="https://ref.ly/Ezek44:9" TargetMode="External"/><Relationship Id="rId8564" Type="http://schemas.openxmlformats.org/officeDocument/2006/relationships/hyperlink" Target="https://ref.ly/Deut16:11,Deut16:14" TargetMode="External"/><Relationship Id="rId8565" Type="http://schemas.openxmlformats.org/officeDocument/2006/relationships/hyperlink" Target="https://ref.ly/Exod12:43,Exod12:48" TargetMode="External"/><Relationship Id="rId8566" Type="http://schemas.openxmlformats.org/officeDocument/2006/relationships/hyperlink" Target="https://ref.ly/Deut14:29" TargetMode="External"/><Relationship Id="rId8567" Type="http://schemas.openxmlformats.org/officeDocument/2006/relationships/hyperlink" Target="https://ref.ly/Exod20:10" TargetMode="External"/><Relationship Id="rId8568" Type="http://schemas.openxmlformats.org/officeDocument/2006/relationships/hyperlink" Target="https://ref.ly/Exod23:12" TargetMode="External"/><Relationship Id="rId8569" Type="http://schemas.openxmlformats.org/officeDocument/2006/relationships/hyperlink" Target="https://ref.ly/Lev16:29" TargetMode="External"/><Relationship Id="rId8570" Type="http://schemas.openxmlformats.org/officeDocument/2006/relationships/hyperlink" Target="https://ref.ly/Lev17:10-Lev17:12" TargetMode="External"/><Relationship Id="rId8571" Type="http://schemas.openxmlformats.org/officeDocument/2006/relationships/hyperlink" Target="https://ref.ly/Lev18:26" TargetMode="External"/><Relationship Id="rId8572" Type="http://schemas.openxmlformats.org/officeDocument/2006/relationships/hyperlink" Target="https://ref.ly/Gen34:14" TargetMode="External"/><Relationship Id="rId8573" Type="http://schemas.openxmlformats.org/officeDocument/2006/relationships/hyperlink" Target="https://ref.ly/Exod34:12,Exod34:16" TargetMode="External"/><Relationship Id="rId8574" Type="http://schemas.openxmlformats.org/officeDocument/2006/relationships/hyperlink" Target="https://ref.ly/Josh23:12" TargetMode="External"/><Relationship Id="rId8575" Type="http://schemas.openxmlformats.org/officeDocument/2006/relationships/hyperlink" Target="https://ref.ly/Exod12:49" TargetMode="External"/><Relationship Id="rId8576" Type="http://schemas.openxmlformats.org/officeDocument/2006/relationships/hyperlink" Target="https://ref.ly/Lev24:22" TargetMode="External"/><Relationship Id="rId8577" Type="http://schemas.openxmlformats.org/officeDocument/2006/relationships/hyperlink" Target="https://ref.ly/Lev24:16,Lev24:22" TargetMode="External"/><Relationship Id="rId8578" Type="http://schemas.openxmlformats.org/officeDocument/2006/relationships/hyperlink" Target="https://ref.ly/Deut1:16" TargetMode="External"/><Relationship Id="rId8579" Type="http://schemas.openxmlformats.org/officeDocument/2006/relationships/hyperlink" Target="https://ref.ly/Exod22:21" TargetMode="External"/><Relationship Id="rId8580" Type="http://schemas.openxmlformats.org/officeDocument/2006/relationships/hyperlink" Target="https://ref.ly/Lev19:34" TargetMode="External"/><Relationship Id="rId8581" Type="http://schemas.openxmlformats.org/officeDocument/2006/relationships/hyperlink" Target="https://ref.ly/Deut10:18-Deut10:19" TargetMode="External"/><Relationship Id="rId8582" Type="http://schemas.openxmlformats.org/officeDocument/2006/relationships/hyperlink" Target="https://ref.ly/Deut24:19-Deut24:22" TargetMode="External"/><Relationship Id="rId8583" Type="http://schemas.openxmlformats.org/officeDocument/2006/relationships/hyperlink" Target="https://ref.ly/Num35:15" TargetMode="External"/><Relationship Id="rId8584" Type="http://schemas.openxmlformats.org/officeDocument/2006/relationships/hyperlink" Target="https://ref.ly/Josh20:9" TargetMode="External"/><Relationship Id="rId8585" Type="http://schemas.openxmlformats.org/officeDocument/2006/relationships/hyperlink" Target="https://ref.ly/Deut24:14" TargetMode="External"/><Relationship Id="rId8586" Type="http://schemas.openxmlformats.org/officeDocument/2006/relationships/hyperlink" Target="https://ref.ly/Deut17:15" TargetMode="External"/><Relationship Id="rId8587" Type="http://schemas.openxmlformats.org/officeDocument/2006/relationships/hyperlink" Target="https://ref.ly/Ezek47:22-Ezek47:23" TargetMode="External"/><Relationship Id="rId8588" Type="http://schemas.openxmlformats.org/officeDocument/2006/relationships/hyperlink" Target="https://ref.ly/Eph2:11-Eph2:19" TargetMode="External"/><Relationship Id="rId8589" Type="http://schemas.openxmlformats.org/officeDocument/2006/relationships/hyperlink" Target="https://ref.ly/Heb11:13" TargetMode="External"/><Relationship Id="rId8590" Type="http://schemas.openxmlformats.org/officeDocument/2006/relationships/hyperlink" Target="https://ref.ly/1Pet2:11" TargetMode="External"/><Relationship Id="rId8591" Type="http://schemas.openxmlformats.org/officeDocument/2006/relationships/hyperlink" Target="https://ref.ly/Acts15:20,Acts15:29" TargetMode="External"/><Relationship Id="rId8592" Type="http://schemas.openxmlformats.org/officeDocument/2006/relationships/hyperlink" Target="https://ref.ly/Acts21:25" TargetMode="External"/><Relationship Id="rId8593" Type="http://schemas.openxmlformats.org/officeDocument/2006/relationships/hyperlink" Target="https://ref.ly/Matt2:2,Matt2:7-Matt2:10" TargetMode="External"/><Relationship Id="rId8594" Type="http://schemas.openxmlformats.org/officeDocument/2006/relationships/hyperlink" Target="https://ref.ly/Matt2:2" TargetMode="External"/><Relationship Id="rId8595" Type="http://schemas.openxmlformats.org/officeDocument/2006/relationships/hyperlink" Target="https://ref.ly/Gen34:2-Gen34:7" TargetMode="External"/><Relationship Id="rId8596" Type="http://schemas.openxmlformats.org/officeDocument/2006/relationships/hyperlink" Target="https://ref.ly/2Sam13:14" TargetMode="External"/><Relationship Id="rId8597" Type="http://schemas.openxmlformats.org/officeDocument/2006/relationships/hyperlink" Target="https://ref.ly/Exod13:20" TargetMode="External"/><Relationship Id="rId8598" Type="http://schemas.openxmlformats.org/officeDocument/2006/relationships/hyperlink" Target="https://ref.ly/Exod15:22" TargetMode="External"/><Relationship Id="rId8599" Type="http://schemas.openxmlformats.org/officeDocument/2006/relationships/hyperlink" Target="https://ref.ly/Num33:6-Num33:8" TargetMode="External"/><Relationship Id="rId8600" Type="http://schemas.openxmlformats.org/officeDocument/2006/relationships/hyperlink" Target="https://ref.ly/Ps89:1-Ps89:52" TargetMode="External"/><Relationship Id="rId8601" Type="http://schemas.openxmlformats.org/officeDocument/2006/relationships/hyperlink" Target="https://ref.ly/1Chr2:6" TargetMode="External"/><Relationship Id="rId8602" Type="http://schemas.openxmlformats.org/officeDocument/2006/relationships/hyperlink" Target="https://ref.ly/1Chr6:42" TargetMode="External"/><Relationship Id="rId8603" Type="http://schemas.openxmlformats.org/officeDocument/2006/relationships/hyperlink" Target="https://ref.ly/1Chr6:44" TargetMode="External"/><Relationship Id="rId8604" Type="http://schemas.openxmlformats.org/officeDocument/2006/relationships/hyperlink" Target="https://ref.ly/1Chr15:17" TargetMode="External"/><Relationship Id="rId8605" Type="http://schemas.openxmlformats.org/officeDocument/2006/relationships/hyperlink" Target="https://ref.ly/1Chr15:16-1Chr15:19" TargetMode="External"/><Relationship Id="rId8606" Type="http://schemas.openxmlformats.org/officeDocument/2006/relationships/hyperlink" Target="https://ref.ly/Ps39:1-Ps39:13" TargetMode="External"/><Relationship Id="rId8607" Type="http://schemas.openxmlformats.org/officeDocument/2006/relationships/hyperlink" Target="https://ref.ly/1Chr16:41" TargetMode="External"/><Relationship Id="rId8608" Type="http://schemas.openxmlformats.org/officeDocument/2006/relationships/hyperlink" Target="https://ref.ly/Isa26:4" TargetMode="External"/><Relationship Id="rId8609" Type="http://schemas.openxmlformats.org/officeDocument/2006/relationships/hyperlink" Target="https://ref.ly/Rom16:26" TargetMode="External"/><Relationship Id="rId8610" Type="http://schemas.openxmlformats.org/officeDocument/2006/relationships/hyperlink" Target="https://ref.ly/John9:32" TargetMode="External"/><Relationship Id="rId8611" Type="http://schemas.openxmlformats.org/officeDocument/2006/relationships/hyperlink" Target="https://ref.ly/Luke1:70" TargetMode="External"/><Relationship Id="rId8612" Type="http://schemas.openxmlformats.org/officeDocument/2006/relationships/hyperlink" Target="https://ref.ly/Rev1:4" TargetMode="External"/><Relationship Id="rId8613" Type="http://schemas.openxmlformats.org/officeDocument/2006/relationships/hyperlink" Target="https://ref.ly/1Chr1:8-1Chr1:10" TargetMode="External"/><Relationship Id="rId8614" Type="http://schemas.openxmlformats.org/officeDocument/2006/relationships/hyperlink" Target="https://ref.ly/2Sam18:21-2Sam18:23,2Sam18:31-2Sam18:32" TargetMode="External"/><Relationship Id="rId8615" Type="http://schemas.openxmlformats.org/officeDocument/2006/relationships/hyperlink" Target="https://ref.ly/Ezek29:10" TargetMode="External"/><Relationship Id="rId8616" Type="http://schemas.openxmlformats.org/officeDocument/2006/relationships/hyperlink" Target="https://ref.ly/Esth1:1" TargetMode="External"/><Relationship Id="rId8617" Type="http://schemas.openxmlformats.org/officeDocument/2006/relationships/hyperlink" Target="https://ref.ly/Isa18:1" TargetMode="External"/><Relationship Id="rId8618" Type="http://schemas.openxmlformats.org/officeDocument/2006/relationships/hyperlink" Target="https://ref.ly/Job28:19" TargetMode="External"/><Relationship Id="rId8619" Type="http://schemas.openxmlformats.org/officeDocument/2006/relationships/hyperlink" Target="https://ref.ly/Isa45:14" TargetMode="External"/><Relationship Id="rId8620" Type="http://schemas.openxmlformats.org/officeDocument/2006/relationships/hyperlink" Target="https://ref.ly/Ps87:4" TargetMode="External"/><Relationship Id="rId8621" Type="http://schemas.openxmlformats.org/officeDocument/2006/relationships/hyperlink" Target="https://ref.ly/Isa20:3" TargetMode="External"/><Relationship Id="rId8622" Type="http://schemas.openxmlformats.org/officeDocument/2006/relationships/hyperlink" Target="https://ref.ly/Ezek30:4" TargetMode="External"/><Relationship Id="rId8623" Type="http://schemas.openxmlformats.org/officeDocument/2006/relationships/hyperlink" Target="https://ref.ly/Zeph2:12" TargetMode="External"/><Relationship Id="rId8624" Type="http://schemas.openxmlformats.org/officeDocument/2006/relationships/hyperlink" Target="https://ref.ly/Ps68:31" TargetMode="External"/><Relationship Id="rId8625" Type="http://schemas.openxmlformats.org/officeDocument/2006/relationships/hyperlink" Target="https://ref.ly/2Tim3:15" TargetMode="External"/><Relationship Id="rId8626" Type="http://schemas.openxmlformats.org/officeDocument/2006/relationships/hyperlink" Target="https://ref.ly/1Chr28:1" TargetMode="External"/><Relationship Id="rId8627" Type="http://schemas.openxmlformats.org/officeDocument/2006/relationships/hyperlink" Target="https://ref.ly/Esth2:3" TargetMode="External"/><Relationship Id="rId8628" Type="http://schemas.openxmlformats.org/officeDocument/2006/relationships/hyperlink" Target="https://ref.ly/Jer38:7" TargetMode="External"/><Relationship Id="rId8629" Type="http://schemas.openxmlformats.org/officeDocument/2006/relationships/hyperlink" Target="https://ref.ly/Dan1:3" TargetMode="External"/><Relationship Id="rId8630" Type="http://schemas.openxmlformats.org/officeDocument/2006/relationships/hyperlink" Target="https://ref.ly/Deut23:1" TargetMode="External"/><Relationship Id="rId8631" Type="http://schemas.openxmlformats.org/officeDocument/2006/relationships/hyperlink" Target="https://ref.ly/Isa56:3-Isa56:5" TargetMode="External"/><Relationship Id="rId8632" Type="http://schemas.openxmlformats.org/officeDocument/2006/relationships/hyperlink" Target="https://ref.ly/Acts8:27-Acts8:39" TargetMode="External"/><Relationship Id="rId8633" Type="http://schemas.openxmlformats.org/officeDocument/2006/relationships/hyperlink" Target="https://ref.ly/Acts27:14" TargetMode="External"/><Relationship Id="rId8634" Type="http://schemas.openxmlformats.org/officeDocument/2006/relationships/hyperlink" Target="https://ref.ly/Acts20:9" TargetMode="External"/><Relationship Id="rId8635" Type="http://schemas.openxmlformats.org/officeDocument/2006/relationships/hyperlink" Target="https://ref.ly/Acts20:7-Acts20:12" TargetMode="External"/><Relationship Id="rId8636" Type="http://schemas.openxmlformats.org/officeDocument/2006/relationships/hyperlink" Target="https://ref.ly/Gen3:20" TargetMode="External"/><Relationship Id="rId8637" Type="http://schemas.openxmlformats.org/officeDocument/2006/relationships/hyperlink" Target="https://ref.ly/Gen2:18" TargetMode="External"/><Relationship Id="rId8638" Type="http://schemas.openxmlformats.org/officeDocument/2006/relationships/hyperlink" Target="https://ref.ly/Gen2:21-Gen2:25" TargetMode="External"/><Relationship Id="rId8639" Type="http://schemas.openxmlformats.org/officeDocument/2006/relationships/hyperlink" Target="https://ref.ly/Gen2:23" TargetMode="External"/><Relationship Id="rId8640" Type="http://schemas.openxmlformats.org/officeDocument/2006/relationships/hyperlink" Target="https://ref.ly/Gen3:3" TargetMode="External"/><Relationship Id="rId8641" Type="http://schemas.openxmlformats.org/officeDocument/2006/relationships/hyperlink" Target="https://ref.ly/Gen4:1-Gen4:2,Gen4:25" TargetMode="External"/><Relationship Id="rId8642" Type="http://schemas.openxmlformats.org/officeDocument/2006/relationships/hyperlink" Target="https://ref.ly/1Tim2:13" TargetMode="External"/><Relationship Id="rId8643" Type="http://schemas.openxmlformats.org/officeDocument/2006/relationships/hyperlink" Target="https://ref.ly/2Cor11:3" TargetMode="External"/><Relationship Id="rId8644" Type="http://schemas.openxmlformats.org/officeDocument/2006/relationships/hyperlink" Target="https://ref.ly/Isa40:2" TargetMode="External"/><Relationship Id="rId8645" Type="http://schemas.openxmlformats.org/officeDocument/2006/relationships/hyperlink" Target="https://ref.ly/Isa42:25" TargetMode="External"/><Relationship Id="rId8646" Type="http://schemas.openxmlformats.org/officeDocument/2006/relationships/hyperlink" Target="https://ref.ly/Isa46:12-Isa46:13" TargetMode="External"/><Relationship Id="rId8647" Type="http://schemas.openxmlformats.org/officeDocument/2006/relationships/hyperlink" Target="https://ref.ly/Isa48:1" TargetMode="External"/><Relationship Id="rId8648" Type="http://schemas.openxmlformats.org/officeDocument/2006/relationships/hyperlink" Target="https://ref.ly/Isa55:1-Isa55:7" TargetMode="External"/><Relationship Id="rId8649" Type="http://schemas.openxmlformats.org/officeDocument/2006/relationships/hyperlink" Target="https://ref.ly/Isa41:10" TargetMode="External"/><Relationship Id="rId8650" Type="http://schemas.openxmlformats.org/officeDocument/2006/relationships/hyperlink" Target="https://ref.ly/Isa45:24" TargetMode="External"/><Relationship Id="rId8651" Type="http://schemas.openxmlformats.org/officeDocument/2006/relationships/hyperlink" Target="https://ref.ly/Isa46:13" TargetMode="External"/><Relationship Id="rId8652" Type="http://schemas.openxmlformats.org/officeDocument/2006/relationships/hyperlink" Target="https://ref.ly/Isa51:5-Isa51:6" TargetMode="External"/><Relationship Id="rId8653" Type="http://schemas.openxmlformats.org/officeDocument/2006/relationships/hyperlink" Target="https://ref.ly/Isa45:8" TargetMode="External"/><Relationship Id="rId8654" Type="http://schemas.openxmlformats.org/officeDocument/2006/relationships/hyperlink" Target="https://ref.ly/Isa53:4-Isa53:12" TargetMode="External"/><Relationship Id="rId8655" Type="http://schemas.openxmlformats.org/officeDocument/2006/relationships/hyperlink" Target="https://ref.ly/Isa53:11" TargetMode="External"/><Relationship Id="rId8656" Type="http://schemas.openxmlformats.org/officeDocument/2006/relationships/hyperlink" Target="https://ref.ly/Isa61:1-Isa61:11" TargetMode="External"/><Relationship Id="rId8657" Type="http://schemas.openxmlformats.org/officeDocument/2006/relationships/hyperlink" Target="https://ref.ly/Isa61:2" TargetMode="External"/><Relationship Id="rId8658" Type="http://schemas.openxmlformats.org/officeDocument/2006/relationships/hyperlink" Target="https://ref.ly/Gal3:8" TargetMode="External"/><Relationship Id="rId8659" Type="http://schemas.openxmlformats.org/officeDocument/2006/relationships/hyperlink" Target="https://ref.ly/Heb4:2" TargetMode="External"/><Relationship Id="rId8660" Type="http://schemas.openxmlformats.org/officeDocument/2006/relationships/hyperlink" Target="https://ref.ly/Mark1:1-Mark1:4" TargetMode="External"/><Relationship Id="rId8661" Type="http://schemas.openxmlformats.org/officeDocument/2006/relationships/hyperlink" Target="https://ref.ly/Rom1:1-Rom1:5" TargetMode="External"/><Relationship Id="rId8662" Type="http://schemas.openxmlformats.org/officeDocument/2006/relationships/hyperlink" Target="https://ref.ly/Acts13:32-Acts13:33" TargetMode="External"/><Relationship Id="rId8663" Type="http://schemas.openxmlformats.org/officeDocument/2006/relationships/hyperlink" Target="https://ref.ly/Luke1:19" TargetMode="External"/><Relationship Id="rId8664" Type="http://schemas.openxmlformats.org/officeDocument/2006/relationships/hyperlink" Target="https://ref.ly/Luke1:7" TargetMode="External"/><Relationship Id="rId8665" Type="http://schemas.openxmlformats.org/officeDocument/2006/relationships/hyperlink" Target="https://ref.ly/Luke1:14-Luke1:17" TargetMode="External"/><Relationship Id="rId8666" Type="http://schemas.openxmlformats.org/officeDocument/2006/relationships/hyperlink" Target="https://ref.ly/Luke3:18" TargetMode="External"/><Relationship Id="rId8667" Type="http://schemas.openxmlformats.org/officeDocument/2006/relationships/hyperlink" Target="https://ref.ly/Luke3:3-Luke3:17" TargetMode="External"/><Relationship Id="rId8668" Type="http://schemas.openxmlformats.org/officeDocument/2006/relationships/hyperlink" Target="https://ref.ly/Luke3:7-Luke3:9" TargetMode="External"/><Relationship Id="rId8669" Type="http://schemas.openxmlformats.org/officeDocument/2006/relationships/hyperlink" Target="https://ref.ly/Luke3:17" TargetMode="External"/><Relationship Id="rId8670" Type="http://schemas.openxmlformats.org/officeDocument/2006/relationships/hyperlink" Target="https://ref.ly/Luke2:10-Luke2:11" TargetMode="External"/><Relationship Id="rId8671" Type="http://schemas.openxmlformats.org/officeDocument/2006/relationships/hyperlink" Target="https://ref.ly/Mark1:14" TargetMode="External"/><Relationship Id="rId8672" Type="http://schemas.openxmlformats.org/officeDocument/2006/relationships/hyperlink" Target="https://ref.ly/Matt4:23" TargetMode="External"/><Relationship Id="rId8673" Type="http://schemas.openxmlformats.org/officeDocument/2006/relationships/hyperlink" Target="https://ref.ly/Matt9:35" TargetMode="External"/><Relationship Id="rId8674" Type="http://schemas.openxmlformats.org/officeDocument/2006/relationships/hyperlink" Target="https://ref.ly/Matt26:13" TargetMode="External"/><Relationship Id="rId8675" Type="http://schemas.openxmlformats.org/officeDocument/2006/relationships/hyperlink" Target="https://ref.ly/Mark8:35" TargetMode="External"/><Relationship Id="rId8676" Type="http://schemas.openxmlformats.org/officeDocument/2006/relationships/hyperlink" Target="https://ref.ly/Mark10:29" TargetMode="External"/><Relationship Id="rId8677" Type="http://schemas.openxmlformats.org/officeDocument/2006/relationships/hyperlink" Target="https://ref.ly/Mark13:10" TargetMode="External"/><Relationship Id="rId8678" Type="http://schemas.openxmlformats.org/officeDocument/2006/relationships/hyperlink" Target="https://ref.ly/Mark14:9" TargetMode="External"/><Relationship Id="rId8679" Type="http://schemas.openxmlformats.org/officeDocument/2006/relationships/hyperlink" Target="https://ref.ly/Luke4:43" TargetMode="External"/><Relationship Id="rId8680" Type="http://schemas.openxmlformats.org/officeDocument/2006/relationships/hyperlink" Target="https://ref.ly/Luke8:1" TargetMode="External"/><Relationship Id="rId8681" Type="http://schemas.openxmlformats.org/officeDocument/2006/relationships/hyperlink" Target="https://ref.ly/Luke16:16" TargetMode="External"/><Relationship Id="rId8682" Type="http://schemas.openxmlformats.org/officeDocument/2006/relationships/hyperlink" Target="https://ref.ly/Luke4:18-Luke4:19" TargetMode="External"/><Relationship Id="rId8683" Type="http://schemas.openxmlformats.org/officeDocument/2006/relationships/hyperlink" Target="https://ref.ly/Luke4:21" TargetMode="External"/><Relationship Id="rId8684" Type="http://schemas.openxmlformats.org/officeDocument/2006/relationships/hyperlink" Target="https://ref.ly/Luke4:23" TargetMode="External"/><Relationship Id="rId8685" Type="http://schemas.openxmlformats.org/officeDocument/2006/relationships/hyperlink" Target="https://ref.ly/Luke7:21-Luke7:22" TargetMode="External"/><Relationship Id="rId8686" Type="http://schemas.openxmlformats.org/officeDocument/2006/relationships/hyperlink" Target="https://ref.ly/Luke9:6" TargetMode="External"/><Relationship Id="rId8687" Type="http://schemas.openxmlformats.org/officeDocument/2006/relationships/hyperlink" Target="https://ref.ly/Matt12:22-Matt12:29" TargetMode="External"/><Relationship Id="rId8688" Type="http://schemas.openxmlformats.org/officeDocument/2006/relationships/hyperlink" Target="https://ref.ly/Luke13:11-Luke13:16" TargetMode="External"/><Relationship Id="rId8689" Type="http://schemas.openxmlformats.org/officeDocument/2006/relationships/hyperlink" Target="https://ref.ly/Luke6:20-Luke6:21" TargetMode="External"/><Relationship Id="rId8690" Type="http://schemas.openxmlformats.org/officeDocument/2006/relationships/hyperlink" Target="https://ref.ly/Matt5:3" TargetMode="External"/><Relationship Id="rId8691" Type="http://schemas.openxmlformats.org/officeDocument/2006/relationships/hyperlink" Target="https://ref.ly/Matt5:3-Matt5:10" TargetMode="External"/><Relationship Id="rId8692" Type="http://schemas.openxmlformats.org/officeDocument/2006/relationships/hyperlink" Target="https://ref.ly/Mark2:5" TargetMode="External"/><Relationship Id="rId8693" Type="http://schemas.openxmlformats.org/officeDocument/2006/relationships/hyperlink" Target="https://ref.ly/Luke4:18-Luke4:21" TargetMode="External"/><Relationship Id="rId8694" Type="http://schemas.openxmlformats.org/officeDocument/2006/relationships/hyperlink" Target="https://ref.ly/Luke7:48-Luke7:49" TargetMode="External"/><Relationship Id="rId8695" Type="http://schemas.openxmlformats.org/officeDocument/2006/relationships/hyperlink" Target="https://ref.ly/Luke19:10" TargetMode="External"/><Relationship Id="rId8696" Type="http://schemas.openxmlformats.org/officeDocument/2006/relationships/hyperlink" Target="https://ref.ly/Luke12:32" TargetMode="External"/><Relationship Id="rId8697" Type="http://schemas.openxmlformats.org/officeDocument/2006/relationships/hyperlink" Target="https://ref.ly/Luke15:11-Luke15:32" TargetMode="External"/><Relationship Id="rId8698" Type="http://schemas.openxmlformats.org/officeDocument/2006/relationships/hyperlink" Target="https://ref.ly/Matt20:1-Matt20:16" TargetMode="External"/><Relationship Id="rId8699" Type="http://schemas.openxmlformats.org/officeDocument/2006/relationships/hyperlink" Target="https://ref.ly/Luke18:13-Luke18:14" TargetMode="External"/><Relationship Id="rId8700" Type="http://schemas.openxmlformats.org/officeDocument/2006/relationships/hyperlink" Target="https://ref.ly/Matt5:7-Matt5:10" TargetMode="External"/><Relationship Id="rId8701" Type="http://schemas.openxmlformats.org/officeDocument/2006/relationships/hyperlink" Target="https://ref.ly/Luke17:7-Luke17:10" TargetMode="External"/><Relationship Id="rId8702" Type="http://schemas.openxmlformats.org/officeDocument/2006/relationships/hyperlink" Target="https://ref.ly/Matt5:7" TargetMode="External"/><Relationship Id="rId8703" Type="http://schemas.openxmlformats.org/officeDocument/2006/relationships/hyperlink" Target="https://ref.ly/Matt11:28-Matt11:30" TargetMode="External"/><Relationship Id="rId8704" Type="http://schemas.openxmlformats.org/officeDocument/2006/relationships/hyperlink" Target="https://ref.ly/Luke14:12-Luke14:14" TargetMode="External"/><Relationship Id="rId8705" Type="http://schemas.openxmlformats.org/officeDocument/2006/relationships/hyperlink" Target="https://ref.ly/Matt1:21" TargetMode="External"/><Relationship Id="rId8706" Type="http://schemas.openxmlformats.org/officeDocument/2006/relationships/hyperlink" Target="https://ref.ly/Luke1:77" TargetMode="External"/><Relationship Id="rId8707" Type="http://schemas.openxmlformats.org/officeDocument/2006/relationships/hyperlink" Target="https://ref.ly/Matt15:24" TargetMode="External"/><Relationship Id="rId8708" Type="http://schemas.openxmlformats.org/officeDocument/2006/relationships/hyperlink" Target="https://ref.ly/Luke20:1" TargetMode="External"/><Relationship Id="rId8709" Type="http://schemas.openxmlformats.org/officeDocument/2006/relationships/hyperlink" Target="https://ref.ly/Luke14:16-Luke14:24" TargetMode="External"/><Relationship Id="rId8710" Type="http://schemas.openxmlformats.org/officeDocument/2006/relationships/hyperlink" Target="https://ref.ly/Mark10:15" TargetMode="External"/><Relationship Id="rId8711" Type="http://schemas.openxmlformats.org/officeDocument/2006/relationships/hyperlink" Target="https://ref.ly/Matt13:44-Matt13:46" TargetMode="External"/><Relationship Id="rId8712" Type="http://schemas.openxmlformats.org/officeDocument/2006/relationships/hyperlink" Target="https://ref.ly/Matt11:20-Matt11:24" TargetMode="External"/><Relationship Id="rId8713" Type="http://schemas.openxmlformats.org/officeDocument/2006/relationships/hyperlink" Target="https://ref.ly/Mark8:34-Mark8:39" TargetMode="External"/><Relationship Id="rId8714" Type="http://schemas.openxmlformats.org/officeDocument/2006/relationships/hyperlink" Target="https://ref.ly/Luke14:24" TargetMode="External"/><Relationship Id="rId8715" Type="http://schemas.openxmlformats.org/officeDocument/2006/relationships/hyperlink" Target="https://ref.ly/Luke6:24-Luke6:26" TargetMode="External"/><Relationship Id="rId8716" Type="http://schemas.openxmlformats.org/officeDocument/2006/relationships/hyperlink" Target="https://ref.ly/Matt11:6" TargetMode="External"/><Relationship Id="rId8717" Type="http://schemas.openxmlformats.org/officeDocument/2006/relationships/hyperlink" Target="https://ref.ly/Matt7:21-Matt7:27" TargetMode="External"/><Relationship Id="rId8718" Type="http://schemas.openxmlformats.org/officeDocument/2006/relationships/hyperlink" Target="https://ref.ly/Matt10:5-Matt10:6" TargetMode="External"/><Relationship Id="rId8719" Type="http://schemas.openxmlformats.org/officeDocument/2006/relationships/hyperlink" Target="https://ref.ly/Mark16:15" TargetMode="External"/><Relationship Id="rId8720" Type="http://schemas.openxmlformats.org/officeDocument/2006/relationships/hyperlink" Target="https://ref.ly/Mark14:1-Mark14:72" TargetMode="External"/><Relationship Id="rId8721" Type="http://schemas.openxmlformats.org/officeDocument/2006/relationships/hyperlink" Target="https://ref.ly/Mark14:8" TargetMode="External"/><Relationship Id="rId8722" Type="http://schemas.openxmlformats.org/officeDocument/2006/relationships/hyperlink" Target="https://ref.ly/Mark14:22-Mark14:24" TargetMode="External"/><Relationship Id="rId8723" Type="http://schemas.openxmlformats.org/officeDocument/2006/relationships/hyperlink" Target="https://ref.ly/Eph2:16-Eph2:17" TargetMode="External"/><Relationship Id="rId8724" Type="http://schemas.openxmlformats.org/officeDocument/2006/relationships/hyperlink" Target="https://ref.ly/Rom15:16-Rom15:18" TargetMode="External"/><Relationship Id="rId8725" Type="http://schemas.openxmlformats.org/officeDocument/2006/relationships/hyperlink" Target="https://ref.ly/1Cor9:12-1Cor9:18" TargetMode="External"/><Relationship Id="rId8726" Type="http://schemas.openxmlformats.org/officeDocument/2006/relationships/hyperlink" Target="https://ref.ly/Gal4:13-Gal4:14" TargetMode="External"/><Relationship Id="rId8727" Type="http://schemas.openxmlformats.org/officeDocument/2006/relationships/hyperlink" Target="https://ref.ly/2Tim1:9-2Tim1:11" TargetMode="External"/><Relationship Id="rId8728" Type="http://schemas.openxmlformats.org/officeDocument/2006/relationships/hyperlink" Target="https://ref.ly/Acts5:42" TargetMode="External"/><Relationship Id="rId8729" Type="http://schemas.openxmlformats.org/officeDocument/2006/relationships/hyperlink" Target="https://ref.ly/Acts8:4-Acts8:5" TargetMode="External"/><Relationship Id="rId8730" Type="http://schemas.openxmlformats.org/officeDocument/2006/relationships/hyperlink" Target="https://ref.ly/Rom1:1-Rom1:4" TargetMode="External"/><Relationship Id="rId8731" Type="http://schemas.openxmlformats.org/officeDocument/2006/relationships/hyperlink" Target="https://ref.ly/Rom10:8-Rom10:17" TargetMode="External"/><Relationship Id="rId8732" Type="http://schemas.openxmlformats.org/officeDocument/2006/relationships/hyperlink" Target="https://ref.ly/Rom15:19-Rom15:20" TargetMode="External"/><Relationship Id="rId8733" Type="http://schemas.openxmlformats.org/officeDocument/2006/relationships/hyperlink" Target="https://ref.ly/2Cor11:4" TargetMode="External"/><Relationship Id="rId8734" Type="http://schemas.openxmlformats.org/officeDocument/2006/relationships/hyperlink" Target="https://ref.ly/Gal1:16" TargetMode="External"/><Relationship Id="rId8735" Type="http://schemas.openxmlformats.org/officeDocument/2006/relationships/hyperlink" Target="https://ref.ly/Phil1:15-Phil1:18" TargetMode="External"/><Relationship Id="rId8736" Type="http://schemas.openxmlformats.org/officeDocument/2006/relationships/hyperlink" Target="https://ref.ly/2Tim2:8" TargetMode="External"/><Relationship Id="rId8737" Type="http://schemas.openxmlformats.org/officeDocument/2006/relationships/hyperlink" Target="https://ref.ly/Rom1:1-Rom1:17" TargetMode="External"/><Relationship Id="rId8738" Type="http://schemas.openxmlformats.org/officeDocument/2006/relationships/hyperlink" Target="https://ref.ly/2Thess2:13-2Thess2:14" TargetMode="External"/><Relationship Id="rId8739" Type="http://schemas.openxmlformats.org/officeDocument/2006/relationships/hyperlink" Target="https://ref.ly/Gal1:7" TargetMode="External"/><Relationship Id="rId8740" Type="http://schemas.openxmlformats.org/officeDocument/2006/relationships/hyperlink" Target="https://ref.ly/Gal1:6-Gal1:9" TargetMode="External"/><Relationship Id="rId8741" Type="http://schemas.openxmlformats.org/officeDocument/2006/relationships/hyperlink" Target="https://ref.ly/Acts11:20-Acts11:21" TargetMode="External"/><Relationship Id="rId8742" Type="http://schemas.openxmlformats.org/officeDocument/2006/relationships/hyperlink" Target="https://ref.ly/Gal2:14-Gal2:16" TargetMode="External"/><Relationship Id="rId8743" Type="http://schemas.openxmlformats.org/officeDocument/2006/relationships/hyperlink" Target="https://ref.ly/Acts10:36-Acts10:38" TargetMode="External"/><Relationship Id="rId8744" Type="http://schemas.openxmlformats.org/officeDocument/2006/relationships/hyperlink" Target="https://ref.ly/1Thess1:5-1Thess1:10" TargetMode="External"/><Relationship Id="rId8745" Type="http://schemas.openxmlformats.org/officeDocument/2006/relationships/hyperlink" Target="https://ref.ly/Rom2:16" TargetMode="External"/><Relationship Id="rId8746" Type="http://schemas.openxmlformats.org/officeDocument/2006/relationships/hyperlink" Target="https://ref.ly/Mark15:1-Mark16:20" TargetMode="External"/><Relationship Id="rId8747" Type="http://schemas.openxmlformats.org/officeDocument/2006/relationships/hyperlink" Target="https://ref.ly/Mark12:6-Mark12:8" TargetMode="External"/><Relationship Id="rId8748" Type="http://schemas.openxmlformats.org/officeDocument/2006/relationships/hyperlink" Target="https://ref.ly/Mark14:3-Mark14:9" TargetMode="External"/><Relationship Id="rId8749" Type="http://schemas.openxmlformats.org/officeDocument/2006/relationships/hyperlink" Target="https://ref.ly/1Cor15:1-1Cor15:4" TargetMode="External"/><Relationship Id="rId8750" Type="http://schemas.openxmlformats.org/officeDocument/2006/relationships/hyperlink" Target="https://ref.ly/1Cor15:14" TargetMode="External"/><Relationship Id="rId8751" Type="http://schemas.openxmlformats.org/officeDocument/2006/relationships/hyperlink" Target="https://ref.ly/Rom6:3-Rom6:11" TargetMode="External"/><Relationship Id="rId8752" Type="http://schemas.openxmlformats.org/officeDocument/2006/relationships/hyperlink" Target="https://ref.ly/Rom3:21-Rom3:26" TargetMode="External"/><Relationship Id="rId8753" Type="http://schemas.openxmlformats.org/officeDocument/2006/relationships/hyperlink" Target="https://ref.ly/Rom5:6-Rom5:11" TargetMode="External"/><Relationship Id="rId8754" Type="http://schemas.openxmlformats.org/officeDocument/2006/relationships/hyperlink" Target="https://ref.ly/2Cor5:14-2Cor5:21" TargetMode="External"/><Relationship Id="rId8755" Type="http://schemas.openxmlformats.org/officeDocument/2006/relationships/hyperlink" Target="https://ref.ly/Acts8:25" TargetMode="External"/><Relationship Id="rId8756" Type="http://schemas.openxmlformats.org/officeDocument/2006/relationships/hyperlink" Target="https://ref.ly/Acts20:24" TargetMode="External"/><Relationship Id="rId8757" Type="http://schemas.openxmlformats.org/officeDocument/2006/relationships/hyperlink" Target="https://ref.ly/Acts10:36-Acts10:43" TargetMode="External"/><Relationship Id="rId8758" Type="http://schemas.openxmlformats.org/officeDocument/2006/relationships/hyperlink" Target="https://ref.ly/1Pet1:18-1Pet1:19" TargetMode="External"/><Relationship Id="rId8759" Type="http://schemas.openxmlformats.org/officeDocument/2006/relationships/hyperlink" Target="https://ref.ly/1Pet2:21-1Pet2:24" TargetMode="External"/><Relationship Id="rId8760" Type="http://schemas.openxmlformats.org/officeDocument/2006/relationships/hyperlink" Target="https://ref.ly/1Pet3:18-1Pet3:22" TargetMode="External"/><Relationship Id="rId8761" Type="http://schemas.openxmlformats.org/officeDocument/2006/relationships/hyperlink" Target="https://ref.ly/1Cor1:17-1Cor1:18" TargetMode="External"/><Relationship Id="rId8762" Type="http://schemas.openxmlformats.org/officeDocument/2006/relationships/hyperlink" Target="https://ref.ly/2Tim2:8-2Tim2:9" TargetMode="External"/><Relationship Id="rId8763" Type="http://schemas.openxmlformats.org/officeDocument/2006/relationships/hyperlink" Target="https://ref.ly/Rom15:18-Rom15:19" TargetMode="External"/><Relationship Id="rId8764" Type="http://schemas.openxmlformats.org/officeDocument/2006/relationships/hyperlink" Target="https://ref.ly/1Cor15:1-1Cor15:2" TargetMode="External"/><Relationship Id="rId8765" Type="http://schemas.openxmlformats.org/officeDocument/2006/relationships/hyperlink" Target="https://ref.ly/2Tim1:8-2Tim1:11" TargetMode="External"/><Relationship Id="rId8766" Type="http://schemas.openxmlformats.org/officeDocument/2006/relationships/hyperlink" Target="https://ref.ly/1Pet1:23-1Pet1:25" TargetMode="External"/><Relationship Id="rId8767" Type="http://schemas.openxmlformats.org/officeDocument/2006/relationships/hyperlink" Target="https://ref.ly/Acts10:36-Acts10:44" TargetMode="External"/><Relationship Id="rId8768" Type="http://schemas.openxmlformats.org/officeDocument/2006/relationships/hyperlink" Target="https://ref.ly/Acts15:7-Acts15:8" TargetMode="External"/><Relationship Id="rId8769" Type="http://schemas.openxmlformats.org/officeDocument/2006/relationships/hyperlink" Target="https://ref.ly/Gal3:1-Gal3:2" TargetMode="External"/><Relationship Id="rId8770" Type="http://schemas.openxmlformats.org/officeDocument/2006/relationships/hyperlink" Target="https://ref.ly/Rom3:26" TargetMode="External"/><Relationship Id="rId8771" Type="http://schemas.openxmlformats.org/officeDocument/2006/relationships/hyperlink" Target="https://ref.ly/Rom3:25-Rom3:26" TargetMode="External"/><Relationship Id="rId8772" Type="http://schemas.openxmlformats.org/officeDocument/2006/relationships/hyperlink" Target="https://ref.ly/Rom5:6" TargetMode="External"/><Relationship Id="rId8773" Type="http://schemas.openxmlformats.org/officeDocument/2006/relationships/hyperlink" Target="https://ref.ly/Rom3:24" TargetMode="External"/><Relationship Id="rId8774" Type="http://schemas.openxmlformats.org/officeDocument/2006/relationships/hyperlink" Target="https://ref.ly/2Cor8:9" TargetMode="External"/><Relationship Id="rId8775" Type="http://schemas.openxmlformats.org/officeDocument/2006/relationships/hyperlink" Target="https://ref.ly/Rom4:5" TargetMode="External"/><Relationship Id="rId8776" Type="http://schemas.openxmlformats.org/officeDocument/2006/relationships/hyperlink" Target="https://ref.ly/1Cor1:30" TargetMode="External"/><Relationship Id="rId8777" Type="http://schemas.openxmlformats.org/officeDocument/2006/relationships/hyperlink" Target="https://ref.ly/Phil3:9" TargetMode="External"/><Relationship Id="rId8778" Type="http://schemas.openxmlformats.org/officeDocument/2006/relationships/hyperlink" Target="https://ref.ly/Rom1:16-Rom1:17" TargetMode="External"/><Relationship Id="rId8779" Type="http://schemas.openxmlformats.org/officeDocument/2006/relationships/hyperlink" Target="https://ref.ly/Rom3:28" TargetMode="External"/><Relationship Id="rId8780" Type="http://schemas.openxmlformats.org/officeDocument/2006/relationships/hyperlink" Target="https://ref.ly/Gal2:16" TargetMode="External"/><Relationship Id="rId8781" Type="http://schemas.openxmlformats.org/officeDocument/2006/relationships/hyperlink" Target="https://ref.ly/Rom4:24" TargetMode="External"/><Relationship Id="rId8782" Type="http://schemas.openxmlformats.org/officeDocument/2006/relationships/hyperlink" Target="https://ref.ly/1Thess1:8-1Thess1:9" TargetMode="External"/><Relationship Id="rId8783" Type="http://schemas.openxmlformats.org/officeDocument/2006/relationships/hyperlink" Target="https://ref.ly/1Cor1:17-1Cor1:24" TargetMode="External"/><Relationship Id="rId8784" Type="http://schemas.openxmlformats.org/officeDocument/2006/relationships/hyperlink" Target="https://ref.ly/Rom1:5" TargetMode="External"/><Relationship Id="rId8785" Type="http://schemas.openxmlformats.org/officeDocument/2006/relationships/hyperlink" Target="https://ref.ly/Heb4:6" TargetMode="External"/><Relationship Id="rId8786" Type="http://schemas.openxmlformats.org/officeDocument/2006/relationships/hyperlink" Target="https://ref.ly/2Thess1:5-2Thess1:10" TargetMode="External"/><Relationship Id="rId8787" Type="http://schemas.openxmlformats.org/officeDocument/2006/relationships/hyperlink" Target="https://ref.ly/Rom1:15" TargetMode="External"/><Relationship Id="rId8788" Type="http://schemas.openxmlformats.org/officeDocument/2006/relationships/hyperlink" Target="https://ref.ly/Col1:23" TargetMode="External"/><Relationship Id="rId8789" Type="http://schemas.openxmlformats.org/officeDocument/2006/relationships/hyperlink" Target="https://ref.ly/2Thess2:14-2Thess2:16" TargetMode="External"/><Relationship Id="rId8790" Type="http://schemas.openxmlformats.org/officeDocument/2006/relationships/hyperlink" Target="https://ref.ly/1Thess1:10" TargetMode="External"/><Relationship Id="rId8791" Type="http://schemas.openxmlformats.org/officeDocument/2006/relationships/hyperlink" Target="https://ref.ly/Rom8:1" TargetMode="External"/><Relationship Id="rId8792" Type="http://schemas.openxmlformats.org/officeDocument/2006/relationships/hyperlink" Target="https://ref.ly/Gal5:5" TargetMode="External"/><Relationship Id="rId8793" Type="http://schemas.openxmlformats.org/officeDocument/2006/relationships/hyperlink" Target="https://ref.ly/1Pet4:5-1Pet4:6" TargetMode="External"/><Relationship Id="rId8794" Type="http://schemas.openxmlformats.org/officeDocument/2006/relationships/hyperlink" Target="https://ref.ly/Eph4:1-Eph4:12" TargetMode="External"/><Relationship Id="rId8795" Type="http://schemas.openxmlformats.org/officeDocument/2006/relationships/hyperlink" Target="https://ref.ly/Eph4:3" TargetMode="External"/><Relationship Id="rId8796" Type="http://schemas.openxmlformats.org/officeDocument/2006/relationships/hyperlink" Target="https://ref.ly/2Tim4:5" TargetMode="External"/><Relationship Id="rId8797" Type="http://schemas.openxmlformats.org/officeDocument/2006/relationships/hyperlink" Target="https://ref.ly/Josh13:21" TargetMode="External"/><Relationship Id="rId8798" Type="http://schemas.openxmlformats.org/officeDocument/2006/relationships/hyperlink" Target="https://ref.ly/John6:51" TargetMode="External"/><Relationship Id="rId8799" Type="http://schemas.openxmlformats.org/officeDocument/2006/relationships/hyperlink" Target="https://ref.ly/John10:11" TargetMode="External"/><Relationship Id="rId8800" Type="http://schemas.openxmlformats.org/officeDocument/2006/relationships/hyperlink" Target="https://ref.ly/Luke24:26" TargetMode="External"/><Relationship Id="rId8801" Type="http://schemas.openxmlformats.org/officeDocument/2006/relationships/hyperlink" Target="https://ref.ly/John17:5" TargetMode="External"/><Relationship Id="rId8802" Type="http://schemas.openxmlformats.org/officeDocument/2006/relationships/hyperlink" Target="https://ref.ly/John12:20-John12:36" TargetMode="External"/><Relationship Id="rId8803" Type="http://schemas.openxmlformats.org/officeDocument/2006/relationships/hyperlink" Target="https://ref.ly/John12:23" TargetMode="External"/><Relationship Id="rId8804" Type="http://schemas.openxmlformats.org/officeDocument/2006/relationships/hyperlink" Target="https://ref.ly/Acts2:24,Acts2:32" TargetMode="External"/><Relationship Id="rId8805" Type="http://schemas.openxmlformats.org/officeDocument/2006/relationships/hyperlink" Target="https://ref.ly/Acts3:15" TargetMode="External"/><Relationship Id="rId8806" Type="http://schemas.openxmlformats.org/officeDocument/2006/relationships/hyperlink" Target="https://ref.ly/Acts4:10" TargetMode="External"/><Relationship Id="rId8807" Type="http://schemas.openxmlformats.org/officeDocument/2006/relationships/hyperlink" Target="https://ref.ly/John2:19" TargetMode="External"/><Relationship Id="rId8808" Type="http://schemas.openxmlformats.org/officeDocument/2006/relationships/hyperlink" Target="https://ref.ly/Matt17:22-Matt17:23" TargetMode="External"/><Relationship Id="rId8809" Type="http://schemas.openxmlformats.org/officeDocument/2006/relationships/hyperlink" Target="https://ref.ly/1Cor15:54-1Cor15:56" TargetMode="External"/><Relationship Id="rId8810" Type="http://schemas.openxmlformats.org/officeDocument/2006/relationships/hyperlink" Target="https://ref.ly/Phil2:8-Phil2:9" TargetMode="External"/><Relationship Id="rId8811" Type="http://schemas.openxmlformats.org/officeDocument/2006/relationships/hyperlink" Target="https://ref.ly/1Pet1:3" TargetMode="External"/><Relationship Id="rId8812" Type="http://schemas.openxmlformats.org/officeDocument/2006/relationships/hyperlink" Target="https://ref.ly/1Cor15:22-1Cor15:24" TargetMode="External"/><Relationship Id="rId8813" Type="http://schemas.openxmlformats.org/officeDocument/2006/relationships/hyperlink" Target="https://ref.ly/Acts2:32" TargetMode="External"/><Relationship Id="rId8814" Type="http://schemas.openxmlformats.org/officeDocument/2006/relationships/hyperlink" Target="https://ref.ly/John10:17-John10:18" TargetMode="External"/><Relationship Id="rId8815" Type="http://schemas.openxmlformats.org/officeDocument/2006/relationships/hyperlink" Target="https://ref.ly/John6:62" TargetMode="External"/><Relationship Id="rId8816" Type="http://schemas.openxmlformats.org/officeDocument/2006/relationships/hyperlink" Target="https://ref.ly/John14:12" TargetMode="External"/><Relationship Id="rId8817" Type="http://schemas.openxmlformats.org/officeDocument/2006/relationships/hyperlink" Target="https://ref.ly/Acts2:33" TargetMode="External"/><Relationship Id="rId8818" Type="http://schemas.openxmlformats.org/officeDocument/2006/relationships/hyperlink" Target="https://ref.ly/Acts7:55-Acts7:56" TargetMode="External"/><Relationship Id="rId8819" Type="http://schemas.openxmlformats.org/officeDocument/2006/relationships/hyperlink" Target="https://ref.ly/Isa6:1-Isa6:4" TargetMode="External"/><Relationship Id="rId8820" Type="http://schemas.openxmlformats.org/officeDocument/2006/relationships/hyperlink" Target="https://ref.ly/Ps47:8" TargetMode="External"/><Relationship Id="rId8821" Type="http://schemas.openxmlformats.org/officeDocument/2006/relationships/hyperlink" Target="https://ref.ly/1Kgs2:19" TargetMode="External"/><Relationship Id="rId8822" Type="http://schemas.openxmlformats.org/officeDocument/2006/relationships/hyperlink" Target="https://ref.ly/Heb2:8" TargetMode="External"/><Relationship Id="rId8823" Type="http://schemas.openxmlformats.org/officeDocument/2006/relationships/hyperlink" Target="https://ref.ly/Heb8:1-Heb8:2" TargetMode="External"/><Relationship Id="rId8824" Type="http://schemas.openxmlformats.org/officeDocument/2006/relationships/hyperlink" Target="https://ref.ly/Heb10:11-Heb10:18" TargetMode="External"/><Relationship Id="rId8825" Type="http://schemas.openxmlformats.org/officeDocument/2006/relationships/hyperlink" Target="https://ref.ly/Ps147:2" TargetMode="External"/><Relationship Id="rId8826" Type="http://schemas.openxmlformats.org/officeDocument/2006/relationships/hyperlink" Target="https://ref.ly/Isa56:8" TargetMode="External"/><Relationship Id="rId8827" Type="http://schemas.openxmlformats.org/officeDocument/2006/relationships/hyperlink" Target="https://ref.ly/Jer30:17" TargetMode="External"/><Relationship Id="rId8828" Type="http://schemas.openxmlformats.org/officeDocument/2006/relationships/hyperlink" Target="https://ref.ly/Isa16:3-Isa16:4" TargetMode="External"/><Relationship Id="rId8829" Type="http://schemas.openxmlformats.org/officeDocument/2006/relationships/hyperlink" Target="https://ref.ly/Jer49:36" TargetMode="External"/><Relationship Id="rId8830" Type="http://schemas.openxmlformats.org/officeDocument/2006/relationships/hyperlink" Target="https://ref.ly/Exod12:37" TargetMode="External"/><Relationship Id="rId8831" Type="http://schemas.openxmlformats.org/officeDocument/2006/relationships/hyperlink" Target="https://ref.ly/Num33:5" TargetMode="External"/><Relationship Id="rId8832" Type="http://schemas.openxmlformats.org/officeDocument/2006/relationships/hyperlink" Target="https://ref.ly/Exod14:19-Exod14:20" TargetMode="External"/><Relationship Id="rId8833" Type="http://schemas.openxmlformats.org/officeDocument/2006/relationships/hyperlink" Target="https://ref.ly/Exod15:1-Exod15:21" TargetMode="External"/><Relationship Id="rId8834" Type="http://schemas.openxmlformats.org/officeDocument/2006/relationships/hyperlink" Target="https://ref.ly/Exod15:22-Exod15:25" TargetMode="External"/><Relationship Id="rId8835" Type="http://schemas.openxmlformats.org/officeDocument/2006/relationships/hyperlink" Target="https://ref.ly/Num33:8" TargetMode="External"/><Relationship Id="rId8836" Type="http://schemas.openxmlformats.org/officeDocument/2006/relationships/hyperlink" Target="https://ref.ly/Exod13:17" TargetMode="External"/><Relationship Id="rId8837" Type="http://schemas.openxmlformats.org/officeDocument/2006/relationships/hyperlink" Target="https://ref.ly/Num33:9-Num33:15" TargetMode="External"/><Relationship Id="rId8838" Type="http://schemas.openxmlformats.org/officeDocument/2006/relationships/hyperlink" Target="https://ref.ly/Exod12:12-Exod12:14" TargetMode="External"/><Relationship Id="rId8839" Type="http://schemas.openxmlformats.org/officeDocument/2006/relationships/hyperlink" Target="https://ref.ly/Deut26:19" TargetMode="External"/><Relationship Id="rId8840" Type="http://schemas.openxmlformats.org/officeDocument/2006/relationships/hyperlink" Target="https://ref.ly/Ps105:1-Ps105:45" TargetMode="External"/><Relationship Id="rId8841" Type="http://schemas.openxmlformats.org/officeDocument/2006/relationships/hyperlink" Target="https://ref.ly/Ps106:1-Ps106:48" TargetMode="External"/><Relationship Id="rId8842" Type="http://schemas.openxmlformats.org/officeDocument/2006/relationships/hyperlink" Target="https://ref.ly/Ps137:1" TargetMode="External"/><Relationship Id="rId8843" Type="http://schemas.openxmlformats.org/officeDocument/2006/relationships/hyperlink" Target="https://ref.ly/Ps137:8" TargetMode="External"/><Relationship Id="rId8844" Type="http://schemas.openxmlformats.org/officeDocument/2006/relationships/hyperlink" Target="https://ref.ly/1Cor10:1-1Cor10:5" TargetMode="External"/><Relationship Id="rId8845" Type="http://schemas.openxmlformats.org/officeDocument/2006/relationships/hyperlink" Target="https://ref.ly/1Cor9:27" TargetMode="External"/><Relationship Id="rId8846" Type="http://schemas.openxmlformats.org/officeDocument/2006/relationships/hyperlink" Target="https://ref.ly/Heb11:27-Heb11:29" TargetMode="External"/><Relationship Id="rId8847" Type="http://schemas.openxmlformats.org/officeDocument/2006/relationships/hyperlink" Target="https://ref.ly/Acts19:13" TargetMode="External"/><Relationship Id="rId8848" Type="http://schemas.openxmlformats.org/officeDocument/2006/relationships/hyperlink" Target="https://ref.ly/Luke3:7-Luke3:18" TargetMode="External"/><Relationship Id="rId8849" Type="http://schemas.openxmlformats.org/officeDocument/2006/relationships/hyperlink" Target="https://ref.ly/1Cor14:3" TargetMode="External"/><Relationship Id="rId8850" Type="http://schemas.openxmlformats.org/officeDocument/2006/relationships/hyperlink" Target="https://ref.ly/1Tim4:13" TargetMode="External"/><Relationship Id="rId8851" Type="http://schemas.openxmlformats.org/officeDocument/2006/relationships/hyperlink" Target="https://ref.ly/1Thess4:18" TargetMode="External"/><Relationship Id="rId8852" Type="http://schemas.openxmlformats.org/officeDocument/2006/relationships/hyperlink" Target="https://ref.ly/Isa53:6" TargetMode="External"/><Relationship Id="rId8853" Type="http://schemas.openxmlformats.org/officeDocument/2006/relationships/hyperlink" Target="https://ref.ly/Ps14:3" TargetMode="External"/><Relationship Id="rId8854" Type="http://schemas.openxmlformats.org/officeDocument/2006/relationships/hyperlink" Target="https://ref.ly/Rom5:10" TargetMode="External"/><Relationship Id="rId8855" Type="http://schemas.openxmlformats.org/officeDocument/2006/relationships/hyperlink" Target="https://ref.ly/Rom8:7" TargetMode="External"/><Relationship Id="rId8856" Type="http://schemas.openxmlformats.org/officeDocument/2006/relationships/hyperlink" Target="https://ref.ly/Col1:21" TargetMode="External"/><Relationship Id="rId8857" Type="http://schemas.openxmlformats.org/officeDocument/2006/relationships/hyperlink" Target="https://ref.ly/Isa6:1-Isa6:5" TargetMode="External"/><Relationship Id="rId8858" Type="http://schemas.openxmlformats.org/officeDocument/2006/relationships/hyperlink" Target="https://ref.ly/Exod30:16" TargetMode="External"/><Relationship Id="rId8859" Type="http://schemas.openxmlformats.org/officeDocument/2006/relationships/hyperlink" Target="https://ref.ly/Num16:47" TargetMode="External"/><Relationship Id="rId8860" Type="http://schemas.openxmlformats.org/officeDocument/2006/relationships/hyperlink" Target="https://ref.ly/Heb9:22" TargetMode="External"/><Relationship Id="rId8861" Type="http://schemas.openxmlformats.org/officeDocument/2006/relationships/hyperlink" Target="https://ref.ly/1John4:10" TargetMode="External"/><Relationship Id="rId8862" Type="http://schemas.openxmlformats.org/officeDocument/2006/relationships/hyperlink" Target="https://ref.ly/Num35:33" TargetMode="External"/><Relationship Id="rId8863" Type="http://schemas.openxmlformats.org/officeDocument/2006/relationships/hyperlink" Target="https://ref.ly/Deut32:43" TargetMode="External"/><Relationship Id="rId8864" Type="http://schemas.openxmlformats.org/officeDocument/2006/relationships/hyperlink" Target="https://ref.ly/1Sam3:14" TargetMode="External"/><Relationship Id="rId8865" Type="http://schemas.openxmlformats.org/officeDocument/2006/relationships/hyperlink" Target="https://ref.ly/2Kgs18:1-2Kgs20:21" TargetMode="External"/><Relationship Id="rId8866" Type="http://schemas.openxmlformats.org/officeDocument/2006/relationships/hyperlink" Target="https://ref.ly/2Chr29:1-2Chr32:33" TargetMode="External"/><Relationship Id="rId8867" Type="http://schemas.openxmlformats.org/officeDocument/2006/relationships/hyperlink" Target="https://ref.ly/Isa36:1-Isa39:8" TargetMode="External"/><Relationship Id="rId8868" Type="http://schemas.openxmlformats.org/officeDocument/2006/relationships/hyperlink" Target="https://ref.ly/2Chr29:1" TargetMode="External"/><Relationship Id="rId8869" Type="http://schemas.openxmlformats.org/officeDocument/2006/relationships/hyperlink" Target="https://ref.ly/2Kgs18:9-2Kgs18:10" TargetMode="External"/><Relationship Id="rId8870" Type="http://schemas.openxmlformats.org/officeDocument/2006/relationships/hyperlink" Target="https://ref.ly/2Chr29:1-2Chr29:36" TargetMode="External"/><Relationship Id="rId8871" Type="http://schemas.openxmlformats.org/officeDocument/2006/relationships/hyperlink" Target="https://ref.ly/2Chr30:1-2Chr30:27" TargetMode="External"/><Relationship Id="rId8872" Type="http://schemas.openxmlformats.org/officeDocument/2006/relationships/hyperlink" Target="https://ref.ly/2Chr31:1" TargetMode="External"/><Relationship Id="rId8873" Type="http://schemas.openxmlformats.org/officeDocument/2006/relationships/hyperlink" Target="https://ref.ly/Num21:6-Num21:9" TargetMode="External"/><Relationship Id="rId8874" Type="http://schemas.openxmlformats.org/officeDocument/2006/relationships/hyperlink" Target="https://ref.ly/2Kgs18:5" TargetMode="External"/><Relationship Id="rId8875" Type="http://schemas.openxmlformats.org/officeDocument/2006/relationships/hyperlink" Target="https://ref.ly/2Kgs18:8" TargetMode="External"/><Relationship Id="rId8876" Type="http://schemas.openxmlformats.org/officeDocument/2006/relationships/hyperlink" Target="https://ref.ly/2Chr32:5" TargetMode="External"/><Relationship Id="rId8877" Type="http://schemas.openxmlformats.org/officeDocument/2006/relationships/hyperlink" Target="https://ref.ly/2Chr32:3-2Chr32:4" TargetMode="External"/><Relationship Id="rId8878" Type="http://schemas.openxmlformats.org/officeDocument/2006/relationships/hyperlink" Target="https://ref.ly/2Chr32:1-2Chr32:22" TargetMode="External"/><Relationship Id="rId8879" Type="http://schemas.openxmlformats.org/officeDocument/2006/relationships/hyperlink" Target="https://ref.ly/2Kgs18:14-2Kgs18:16" TargetMode="External"/><Relationship Id="rId8880" Type="http://schemas.openxmlformats.org/officeDocument/2006/relationships/hyperlink" Target="https://ref.ly/2Kgs18:17-2Kgs19:37" TargetMode="External"/><Relationship Id="rId8881" Type="http://schemas.openxmlformats.org/officeDocument/2006/relationships/hyperlink" Target="https://ref.ly/2Kgs19:1-2Kgs19:7" TargetMode="External"/><Relationship Id="rId8882" Type="http://schemas.openxmlformats.org/officeDocument/2006/relationships/hyperlink" Target="https://ref.ly/2Chr32:23" TargetMode="External"/><Relationship Id="rId8883" Type="http://schemas.openxmlformats.org/officeDocument/2006/relationships/hyperlink" Target="https://ref.ly/2Kgs19:7,2Kgs19:37" TargetMode="External"/><Relationship Id="rId8884" Type="http://schemas.openxmlformats.org/officeDocument/2006/relationships/hyperlink" Target="https://ref.ly/2Kgs20:1-2Kgs20:11" TargetMode="External"/><Relationship Id="rId8885" Type="http://schemas.openxmlformats.org/officeDocument/2006/relationships/hyperlink" Target="https://ref.ly/Prov25:1-Prov29:27" TargetMode="External"/><Relationship Id="rId8886" Type="http://schemas.openxmlformats.org/officeDocument/2006/relationships/hyperlink" Target="https://ref.ly/Ezra2:16" TargetMode="External"/><Relationship Id="rId8887" Type="http://schemas.openxmlformats.org/officeDocument/2006/relationships/hyperlink" Target="https://ref.ly/Neh7:21" TargetMode="External"/><Relationship Id="rId8888" Type="http://schemas.openxmlformats.org/officeDocument/2006/relationships/hyperlink" Target="https://ref.ly/Neh10:17" TargetMode="External"/><Relationship Id="rId8889" Type="http://schemas.openxmlformats.org/officeDocument/2006/relationships/hyperlink" Target="https://ref.ly/Zeph1:1" TargetMode="External"/><Relationship Id="rId8890" Type="http://schemas.openxmlformats.org/officeDocument/2006/relationships/hyperlink" Target="https://ref.ly/Ezek1:3" TargetMode="External"/><Relationship Id="rId8891" Type="http://schemas.openxmlformats.org/officeDocument/2006/relationships/hyperlink" Target="https://ref.ly/Ezek13:4" TargetMode="External"/><Relationship Id="rId8892" Type="http://schemas.openxmlformats.org/officeDocument/2006/relationships/hyperlink" Target="https://ref.ly/Ezek13:6" TargetMode="External"/><Relationship Id="rId8893" Type="http://schemas.openxmlformats.org/officeDocument/2006/relationships/hyperlink" Target="https://ref.ly/Ezek13:10" TargetMode="External"/><Relationship Id="rId8894" Type="http://schemas.openxmlformats.org/officeDocument/2006/relationships/hyperlink" Target="https://ref.ly/Ezek12:22" TargetMode="External"/><Relationship Id="rId8895" Type="http://schemas.openxmlformats.org/officeDocument/2006/relationships/hyperlink" Target="https://ref.ly/Ezek12:23" TargetMode="External"/><Relationship Id="rId8896" Type="http://schemas.openxmlformats.org/officeDocument/2006/relationships/hyperlink" Target="https://ref.ly/Ezek1:1" TargetMode="External"/><Relationship Id="rId8897" Type="http://schemas.openxmlformats.org/officeDocument/2006/relationships/hyperlink" Target="https://ref.ly/2Kgs21:10-2Kgs21:15" TargetMode="External"/><Relationship Id="rId8898" Type="http://schemas.openxmlformats.org/officeDocument/2006/relationships/hyperlink" Target="https://ref.ly/2Kgs22:1-2Kgs22:20" TargetMode="External"/><Relationship Id="rId8899" Type="http://schemas.openxmlformats.org/officeDocument/2006/relationships/hyperlink" Target="https://ref.ly/2Kgs23:26-2Kgs23:27" TargetMode="External"/><Relationship Id="rId8900" Type="http://schemas.openxmlformats.org/officeDocument/2006/relationships/hyperlink" Target="https://ref.ly/2Kgs23:29" TargetMode="External"/><Relationship Id="rId8901" Type="http://schemas.openxmlformats.org/officeDocument/2006/relationships/hyperlink" Target="https://ref.ly/2Kgs24:10-2Kgs24:17" TargetMode="External"/><Relationship Id="rId8902" Type="http://schemas.openxmlformats.org/officeDocument/2006/relationships/hyperlink" Target="https://ref.ly/Ezek8:11" TargetMode="External"/><Relationship Id="rId8903" Type="http://schemas.openxmlformats.org/officeDocument/2006/relationships/hyperlink" Target="https://ref.ly/Ezek1:1-Ezek1:3" TargetMode="External"/><Relationship Id="rId8904" Type="http://schemas.openxmlformats.org/officeDocument/2006/relationships/hyperlink" Target="https://ref.ly/Ezek11:24-Ezek11:25" TargetMode="External"/><Relationship Id="rId8905" Type="http://schemas.openxmlformats.org/officeDocument/2006/relationships/hyperlink" Target="https://ref.ly/Ezek1:1-Ezek24:27" TargetMode="External"/><Relationship Id="rId8906" Type="http://schemas.openxmlformats.org/officeDocument/2006/relationships/hyperlink" Target="https://ref.ly/Ezek33:1-Ezek48:35" TargetMode="External"/><Relationship Id="rId8907" Type="http://schemas.openxmlformats.org/officeDocument/2006/relationships/hyperlink" Target="https://ref.ly/Ezek25:1-Ezek32:32" TargetMode="External"/><Relationship Id="rId8908" Type="http://schemas.openxmlformats.org/officeDocument/2006/relationships/hyperlink" Target="https://ref.ly/Ezek1:1-Ezek3:21" TargetMode="External"/><Relationship Id="rId8909" Type="http://schemas.openxmlformats.org/officeDocument/2006/relationships/hyperlink" Target="https://ref.ly/Ezek3:22-Ezek24:27" TargetMode="External"/><Relationship Id="rId8910" Type="http://schemas.openxmlformats.org/officeDocument/2006/relationships/hyperlink" Target="https://ref.ly/Jer1:11-Jer1:15" TargetMode="External"/><Relationship Id="rId8911" Type="http://schemas.openxmlformats.org/officeDocument/2006/relationships/hyperlink" Target="https://ref.ly/1Kgs8:10-1Kgs8:11" TargetMode="External"/><Relationship Id="rId8912" Type="http://schemas.openxmlformats.org/officeDocument/2006/relationships/hyperlink" Target="https://ref.ly/Isa66:15-Isa66:16" TargetMode="External"/><Relationship Id="rId8913" Type="http://schemas.openxmlformats.org/officeDocument/2006/relationships/hyperlink" Target="https://ref.ly/Ezek1:28" TargetMode="External"/><Relationship Id="rId8914" Type="http://schemas.openxmlformats.org/officeDocument/2006/relationships/hyperlink" Target="https://ref.ly/Ezek2:3" TargetMode="External"/><Relationship Id="rId8915" Type="http://schemas.openxmlformats.org/officeDocument/2006/relationships/hyperlink" Target="https://ref.ly/Ezek3:11" TargetMode="External"/><Relationship Id="rId8916" Type="http://schemas.openxmlformats.org/officeDocument/2006/relationships/hyperlink" Target="https://ref.ly/Ezek3:17" TargetMode="External"/><Relationship Id="rId8917" Type="http://schemas.openxmlformats.org/officeDocument/2006/relationships/hyperlink" Target="https://ref.ly/Ezek33:1-Ezek33:9" TargetMode="External"/><Relationship Id="rId8918" Type="http://schemas.openxmlformats.org/officeDocument/2006/relationships/hyperlink" Target="https://ref.ly/Ezek2:9-Ezek2:10" TargetMode="External"/><Relationship Id="rId8919" Type="http://schemas.openxmlformats.org/officeDocument/2006/relationships/hyperlink" Target="https://ref.ly/Ezek3:1-Ezek3:3" TargetMode="External"/><Relationship Id="rId8920" Type="http://schemas.openxmlformats.org/officeDocument/2006/relationships/hyperlink" Target="https://ref.ly/Ezek2:6-Ezek2:7" TargetMode="External"/><Relationship Id="rId8921" Type="http://schemas.openxmlformats.org/officeDocument/2006/relationships/hyperlink" Target="https://ref.ly/Ezek3:16-Ezek3:17" TargetMode="External"/><Relationship Id="rId8922" Type="http://schemas.openxmlformats.org/officeDocument/2006/relationships/hyperlink" Target="https://ref.ly/Ezek3:18-Ezek3:19" TargetMode="External"/><Relationship Id="rId8923" Type="http://schemas.openxmlformats.org/officeDocument/2006/relationships/hyperlink" Target="https://ref.ly/Ezek3:24-Ezek3:25" TargetMode="External"/><Relationship Id="rId8924" Type="http://schemas.openxmlformats.org/officeDocument/2006/relationships/hyperlink" Target="https://ref.ly/Ezek3:26" TargetMode="External"/><Relationship Id="rId8925" Type="http://schemas.openxmlformats.org/officeDocument/2006/relationships/hyperlink" Target="https://ref.ly/Ezek3:27" TargetMode="External"/><Relationship Id="rId8926" Type="http://schemas.openxmlformats.org/officeDocument/2006/relationships/hyperlink" Target="https://ref.ly/Matt11:15" TargetMode="External"/><Relationship Id="rId8927" Type="http://schemas.openxmlformats.org/officeDocument/2006/relationships/hyperlink" Target="https://ref.ly/Matt13:43" TargetMode="External"/><Relationship Id="rId8928" Type="http://schemas.openxmlformats.org/officeDocument/2006/relationships/hyperlink" Target="https://ref.ly/Ezek4:1-Ezek4:17" TargetMode="External"/><Relationship Id="rId8929" Type="http://schemas.openxmlformats.org/officeDocument/2006/relationships/hyperlink" Target="https://ref.ly/Ezek5:1-Ezek5:17" TargetMode="External"/><Relationship Id="rId8930" Type="http://schemas.openxmlformats.org/officeDocument/2006/relationships/hyperlink" Target="https://ref.ly/Ezek4:1-Ezek4:3" TargetMode="External"/><Relationship Id="rId8931" Type="http://schemas.openxmlformats.org/officeDocument/2006/relationships/hyperlink" Target="https://ref.ly/Ezek4:4-Ezek4:8" TargetMode="External"/><Relationship Id="rId8932" Type="http://schemas.openxmlformats.org/officeDocument/2006/relationships/hyperlink" Target="https://ref.ly/Ezek4:9-Ezek4:17" TargetMode="External"/><Relationship Id="rId8933" Type="http://schemas.openxmlformats.org/officeDocument/2006/relationships/hyperlink" Target="https://ref.ly/Ezek5:1-Ezek5:4" TargetMode="External"/><Relationship Id="rId8934" Type="http://schemas.openxmlformats.org/officeDocument/2006/relationships/hyperlink" Target="https://ref.ly/Ezek5:6-Ezek5:7" TargetMode="External"/><Relationship Id="rId8935" Type="http://schemas.openxmlformats.org/officeDocument/2006/relationships/hyperlink" Target="https://ref.ly/Ezek5:8-Ezek5:12" TargetMode="External"/><Relationship Id="rId8936" Type="http://schemas.openxmlformats.org/officeDocument/2006/relationships/hyperlink" Target="https://ref.ly/Ezek5:13" TargetMode="External"/><Relationship Id="rId8937" Type="http://schemas.openxmlformats.org/officeDocument/2006/relationships/hyperlink" Target="https://ref.ly/Ezek6:1-Ezek6:14" TargetMode="External"/><Relationship Id="rId8938" Type="http://schemas.openxmlformats.org/officeDocument/2006/relationships/hyperlink" Target="https://ref.ly/Ezek7:1-Ezek7:27" TargetMode="External"/><Relationship Id="rId8939" Type="http://schemas.openxmlformats.org/officeDocument/2006/relationships/hyperlink" Target="https://ref.ly/Ezek6:3-Ezek6:6" TargetMode="External"/><Relationship Id="rId8940" Type="http://schemas.openxmlformats.org/officeDocument/2006/relationships/hyperlink" Target="https://ref.ly/Ezek7:2-Ezek7:3,Ezek7:10-Ezek7:11,Ezek7:23" TargetMode="External"/><Relationship Id="rId8941" Type="http://schemas.openxmlformats.org/officeDocument/2006/relationships/hyperlink" Target="https://ref.ly/Ezek7:27" TargetMode="External"/><Relationship Id="rId8942" Type="http://schemas.openxmlformats.org/officeDocument/2006/relationships/hyperlink" Target="https://ref.ly/Ezek8:1-Ezek11:25" TargetMode="External"/><Relationship Id="rId8943" Type="http://schemas.openxmlformats.org/officeDocument/2006/relationships/hyperlink" Target="https://ref.ly/Ezek1:1-Ezek7:27" TargetMode="External"/><Relationship Id="rId8944" Type="http://schemas.openxmlformats.org/officeDocument/2006/relationships/hyperlink" Target="https://ref.ly/Ezek8:3-Ezek8:5" TargetMode="External"/><Relationship Id="rId8945" Type="http://schemas.openxmlformats.org/officeDocument/2006/relationships/hyperlink" Target="https://ref.ly/Ezek8:11-Ezek8:12" TargetMode="External"/><Relationship Id="rId8946" Type="http://schemas.openxmlformats.org/officeDocument/2006/relationships/hyperlink" Target="https://ref.ly/Ezek8:16" TargetMode="External"/><Relationship Id="rId8947" Type="http://schemas.openxmlformats.org/officeDocument/2006/relationships/hyperlink" Target="https://ref.ly/Ezek9:4-Ezek9:6" TargetMode="External"/><Relationship Id="rId8948" Type="http://schemas.openxmlformats.org/officeDocument/2006/relationships/hyperlink" Target="https://ref.ly/Ezek10:1-Ezek10:22" TargetMode="External"/><Relationship Id="rId8949" Type="http://schemas.openxmlformats.org/officeDocument/2006/relationships/hyperlink" Target="https://ref.ly/Ezek11:23" TargetMode="External"/><Relationship Id="rId8950" Type="http://schemas.openxmlformats.org/officeDocument/2006/relationships/hyperlink" Target="https://ref.ly/Ezek11:9" TargetMode="External"/><Relationship Id="rId8951" Type="http://schemas.openxmlformats.org/officeDocument/2006/relationships/hyperlink" Target="https://ref.ly/Ezek11:17" TargetMode="External"/><Relationship Id="rId8952" Type="http://schemas.openxmlformats.org/officeDocument/2006/relationships/hyperlink" Target="https://ref.ly/Ezek11:18" TargetMode="External"/><Relationship Id="rId8953" Type="http://schemas.openxmlformats.org/officeDocument/2006/relationships/hyperlink" Target="https://ref.ly/Ezek11:19-Ezek11:20" TargetMode="External"/><Relationship Id="rId8954" Type="http://schemas.openxmlformats.org/officeDocument/2006/relationships/hyperlink" Target="https://ref.ly/Ezek11:1-Ezek11:25" TargetMode="External"/><Relationship Id="rId8955" Type="http://schemas.openxmlformats.org/officeDocument/2006/relationships/hyperlink" Target="https://ref.ly/2Kgs25:1-2Kgs25:30" TargetMode="External"/><Relationship Id="rId8956" Type="http://schemas.openxmlformats.org/officeDocument/2006/relationships/hyperlink" Target="https://ref.ly/Ezek12:15-Ezek12:16" TargetMode="External"/><Relationship Id="rId8957" Type="http://schemas.openxmlformats.org/officeDocument/2006/relationships/hyperlink" Target="https://ref.ly/Ezek12:27" TargetMode="External"/><Relationship Id="rId8958" Type="http://schemas.openxmlformats.org/officeDocument/2006/relationships/hyperlink" Target="https://ref.ly/Ezek13:1-Ezek13:23" TargetMode="External"/><Relationship Id="rId8959" Type="http://schemas.openxmlformats.org/officeDocument/2006/relationships/hyperlink" Target="https://ref.ly/Ezek13:8-Ezek13:10" TargetMode="External"/><Relationship Id="rId8960" Type="http://schemas.openxmlformats.org/officeDocument/2006/relationships/hyperlink" Target="https://ref.ly/Ezek13:22" TargetMode="External"/><Relationship Id="rId8961" Type="http://schemas.openxmlformats.org/officeDocument/2006/relationships/hyperlink" Target="https://ref.ly/Ezek13:23" TargetMode="External"/><Relationship Id="rId8962" Type="http://schemas.openxmlformats.org/officeDocument/2006/relationships/hyperlink" Target="https://ref.ly/Ezek14:3" TargetMode="External"/><Relationship Id="rId8963" Type="http://schemas.openxmlformats.org/officeDocument/2006/relationships/hyperlink" Target="https://ref.ly/Ezek14:21" TargetMode="External"/><Relationship Id="rId8964" Type="http://schemas.openxmlformats.org/officeDocument/2006/relationships/hyperlink" Target="https://ref.ly/Ezek14:23" TargetMode="External"/><Relationship Id="rId8965" Type="http://schemas.openxmlformats.org/officeDocument/2006/relationships/hyperlink" Target="https://ref.ly/Ezek15:1-Ezek17:24" TargetMode="External"/><Relationship Id="rId8966" Type="http://schemas.openxmlformats.org/officeDocument/2006/relationships/hyperlink" Target="https://ref.ly/Ezek15:1-Ezek15:8" TargetMode="External"/><Relationship Id="rId8967" Type="http://schemas.openxmlformats.org/officeDocument/2006/relationships/hyperlink" Target="https://ref.ly/Ezek15:7-Ezek15:8" TargetMode="External"/><Relationship Id="rId8968" Type="http://schemas.openxmlformats.org/officeDocument/2006/relationships/hyperlink" Target="https://ref.ly/Ezek16:3-Ezek16:5" TargetMode="External"/><Relationship Id="rId8969" Type="http://schemas.openxmlformats.org/officeDocument/2006/relationships/hyperlink" Target="https://ref.ly/Ezek16:6-Ezek16:7" TargetMode="External"/><Relationship Id="rId8970" Type="http://schemas.openxmlformats.org/officeDocument/2006/relationships/hyperlink" Target="https://ref.ly/Ezek16:8" TargetMode="External"/><Relationship Id="rId8971" Type="http://schemas.openxmlformats.org/officeDocument/2006/relationships/hyperlink" Target="https://ref.ly/Ezek16:14" TargetMode="External"/><Relationship Id="rId8972" Type="http://schemas.openxmlformats.org/officeDocument/2006/relationships/hyperlink" Target="https://ref.ly/Ezek16:15-Ezek16:34" TargetMode="External"/><Relationship Id="rId8973" Type="http://schemas.openxmlformats.org/officeDocument/2006/relationships/hyperlink" Target="https://ref.ly/Ezek16:46" TargetMode="External"/><Relationship Id="rId8974" Type="http://schemas.openxmlformats.org/officeDocument/2006/relationships/hyperlink" Target="https://ref.ly/Ezek16:48-Ezek16:51" TargetMode="External"/><Relationship Id="rId8975" Type="http://schemas.openxmlformats.org/officeDocument/2006/relationships/hyperlink" Target="https://ref.ly/Ezek16:62-Ezek16:63" TargetMode="External"/><Relationship Id="rId8976" Type="http://schemas.openxmlformats.org/officeDocument/2006/relationships/hyperlink" Target="https://ref.ly/Ezek17:3-Ezek17:4" TargetMode="External"/><Relationship Id="rId8977" Type="http://schemas.openxmlformats.org/officeDocument/2006/relationships/hyperlink" Target="https://ref.ly/Ezek17:7" TargetMode="External"/><Relationship Id="rId8978" Type="http://schemas.openxmlformats.org/officeDocument/2006/relationships/hyperlink" Target="https://ref.ly/Ezek17:9-Ezek17:10" TargetMode="External"/><Relationship Id="rId8979" Type="http://schemas.openxmlformats.org/officeDocument/2006/relationships/hyperlink" Target="https://ref.ly/Ezek17:13-Ezek17:18" TargetMode="External"/><Relationship Id="rId8980" Type="http://schemas.openxmlformats.org/officeDocument/2006/relationships/hyperlink" Target="https://ref.ly/Ezek17:22" TargetMode="External"/><Relationship Id="rId8981" Type="http://schemas.openxmlformats.org/officeDocument/2006/relationships/hyperlink" Target="https://ref.ly/Ezek17:24" TargetMode="External"/><Relationship Id="rId8982" Type="http://schemas.openxmlformats.org/officeDocument/2006/relationships/hyperlink" Target="https://ref.ly/Ezek18:1-Ezek22:31" TargetMode="External"/><Relationship Id="rId8983" Type="http://schemas.openxmlformats.org/officeDocument/2006/relationships/hyperlink" Target="https://ref.ly/Ezek18:25-Ezek18:29" TargetMode="External"/><Relationship Id="rId8984" Type="http://schemas.openxmlformats.org/officeDocument/2006/relationships/hyperlink" Target="https://ref.ly/Ezek18:5-Ezek18:9" TargetMode="External"/><Relationship Id="rId8985" Type="http://schemas.openxmlformats.org/officeDocument/2006/relationships/hyperlink" Target="https://ref.ly/Ezek18:14-Ezek18:18" TargetMode="External"/><Relationship Id="rId8986" Type="http://schemas.openxmlformats.org/officeDocument/2006/relationships/hyperlink" Target="https://ref.ly/Ezek18:27" TargetMode="External"/><Relationship Id="rId8987" Type="http://schemas.openxmlformats.org/officeDocument/2006/relationships/hyperlink" Target="https://ref.ly/Ezek18:31-Ezek18:32" TargetMode="External"/><Relationship Id="rId8988" Type="http://schemas.openxmlformats.org/officeDocument/2006/relationships/hyperlink" Target="https://ref.ly/Ezek19:1-Ezek19:14" TargetMode="External"/><Relationship Id="rId8989" Type="http://schemas.openxmlformats.org/officeDocument/2006/relationships/hyperlink" Target="https://ref.ly/2Kgs23:31" TargetMode="External"/><Relationship Id="rId8990" Type="http://schemas.openxmlformats.org/officeDocument/2006/relationships/hyperlink" Target="https://ref.ly/Ezek19:3-Ezek19:4" TargetMode="External"/><Relationship Id="rId8991" Type="http://schemas.openxmlformats.org/officeDocument/2006/relationships/hyperlink" Target="https://ref.ly/2Kgs23:31-2Kgs23:34" TargetMode="External"/><Relationship Id="rId8992" Type="http://schemas.openxmlformats.org/officeDocument/2006/relationships/hyperlink" Target="https://ref.ly/Ezek19:7-Ezek19:9" TargetMode="External"/><Relationship Id="rId8993" Type="http://schemas.openxmlformats.org/officeDocument/2006/relationships/hyperlink" Target="https://ref.ly/Ezek19:10" TargetMode="External"/><Relationship Id="rId8994" Type="http://schemas.openxmlformats.org/officeDocument/2006/relationships/hyperlink" Target="https://ref.ly/Ezek19:13-Ezek19:14" TargetMode="External"/><Relationship Id="rId8995" Type="http://schemas.openxmlformats.org/officeDocument/2006/relationships/hyperlink" Target="https://ref.ly/Ezek20:1-Ezek20:49" TargetMode="External"/><Relationship Id="rId8996" Type="http://schemas.openxmlformats.org/officeDocument/2006/relationships/hyperlink" Target="https://ref.ly/Ezek20:5-Ezek20:6" TargetMode="External"/><Relationship Id="rId8997" Type="http://schemas.openxmlformats.org/officeDocument/2006/relationships/hyperlink" Target="https://ref.ly/Ezek20:8" TargetMode="External"/><Relationship Id="rId8998" Type="http://schemas.openxmlformats.org/officeDocument/2006/relationships/hyperlink" Target="https://ref.ly/Ezek20:13,Ezek20:21" TargetMode="External"/><Relationship Id="rId8999" Type="http://schemas.openxmlformats.org/officeDocument/2006/relationships/hyperlink" Target="https://ref.ly/Ezek20:32" TargetMode="External"/><Relationship Id="rId9000" Type="http://schemas.openxmlformats.org/officeDocument/2006/relationships/hyperlink" Target="https://ref.ly/Ezek20:12" TargetMode="External"/><Relationship Id="rId9001" Type="http://schemas.openxmlformats.org/officeDocument/2006/relationships/hyperlink" Target="https://ref.ly/Ezek20:35" TargetMode="External"/><Relationship Id="rId9002" Type="http://schemas.openxmlformats.org/officeDocument/2006/relationships/hyperlink" Target="https://ref.ly/Ezek20:37-Ezek20:44" TargetMode="External"/><Relationship Id="rId9003" Type="http://schemas.openxmlformats.org/officeDocument/2006/relationships/hyperlink" Target="https://ref.ly/Ezek20:41" TargetMode="External"/><Relationship Id="rId9004" Type="http://schemas.openxmlformats.org/officeDocument/2006/relationships/hyperlink" Target="https://ref.ly/Ezek20:45-Ezek21:32" TargetMode="External"/><Relationship Id="rId9005" Type="http://schemas.openxmlformats.org/officeDocument/2006/relationships/hyperlink" Target="https://ref.ly/Ezek20:45-Ezek20:49" TargetMode="External"/><Relationship Id="rId9006" Type="http://schemas.openxmlformats.org/officeDocument/2006/relationships/hyperlink" Target="https://ref.ly/Ezek21:2-Ezek21:17,Ezek21:20-Ezek21:27" TargetMode="External"/><Relationship Id="rId9007" Type="http://schemas.openxmlformats.org/officeDocument/2006/relationships/hyperlink" Target="https://ref.ly/Ezek21:28-Ezek21:32" TargetMode="External"/><Relationship Id="rId9008" Type="http://schemas.openxmlformats.org/officeDocument/2006/relationships/hyperlink" Target="https://ref.ly/Ezek21:19" TargetMode="External"/><Relationship Id="rId9009" Type="http://schemas.openxmlformats.org/officeDocument/2006/relationships/hyperlink" Target="https://ref.ly/Ezek21:27,Ezek21:32" TargetMode="External"/><Relationship Id="rId9010" Type="http://schemas.openxmlformats.org/officeDocument/2006/relationships/hyperlink" Target="https://ref.ly/Ezek25:1-Ezek29:21" TargetMode="External"/><Relationship Id="rId9011" Type="http://schemas.openxmlformats.org/officeDocument/2006/relationships/hyperlink" Target="https://ref.ly/Ezek22:1-Ezek24:27" TargetMode="External"/><Relationship Id="rId9012" Type="http://schemas.openxmlformats.org/officeDocument/2006/relationships/hyperlink" Target="https://ref.ly/Ezek22:25-Ezek22:30" TargetMode="External"/><Relationship Id="rId9013" Type="http://schemas.openxmlformats.org/officeDocument/2006/relationships/hyperlink" Target="https://ref.ly/Ezek23:1-Ezek23:49" TargetMode="External"/><Relationship Id="rId9014" Type="http://schemas.openxmlformats.org/officeDocument/2006/relationships/hyperlink" Target="https://ref.ly/Ezek24:1-Ezek24:27" TargetMode="External"/><Relationship Id="rId9015" Type="http://schemas.openxmlformats.org/officeDocument/2006/relationships/hyperlink" Target="https://ref.ly/Ezek24:21" TargetMode="External"/><Relationship Id="rId9016" Type="http://schemas.openxmlformats.org/officeDocument/2006/relationships/hyperlink" Target="https://ref.ly/Ezek25:3-Ezek25:12" TargetMode="External"/><Relationship Id="rId9017" Type="http://schemas.openxmlformats.org/officeDocument/2006/relationships/hyperlink" Target="https://ref.ly/Ezek25:4-Ezek25:14" TargetMode="External"/><Relationship Id="rId9018" Type="http://schemas.openxmlformats.org/officeDocument/2006/relationships/hyperlink" Target="https://ref.ly/Ezek25:15" TargetMode="External"/><Relationship Id="rId9019" Type="http://schemas.openxmlformats.org/officeDocument/2006/relationships/hyperlink" Target="https://ref.ly/Ezek26:2" TargetMode="External"/><Relationship Id="rId9020" Type="http://schemas.openxmlformats.org/officeDocument/2006/relationships/hyperlink" Target="https://ref.ly/Ezek27:1-Ezek27:36" TargetMode="External"/><Relationship Id="rId9021" Type="http://schemas.openxmlformats.org/officeDocument/2006/relationships/hyperlink" Target="https://ref.ly/Ezek27:26" TargetMode="External"/><Relationship Id="rId9022" Type="http://schemas.openxmlformats.org/officeDocument/2006/relationships/hyperlink" Target="https://ref.ly/Ezek28:1-Ezek28:26" TargetMode="External"/><Relationship Id="rId9023" Type="http://schemas.openxmlformats.org/officeDocument/2006/relationships/hyperlink" Target="https://ref.ly/Ezek28:12" TargetMode="External"/><Relationship Id="rId9024" Type="http://schemas.openxmlformats.org/officeDocument/2006/relationships/hyperlink" Target="https://ref.ly/Ezek28:13-Ezek28:15" TargetMode="External"/><Relationship Id="rId9025" Type="http://schemas.openxmlformats.org/officeDocument/2006/relationships/hyperlink" Target="https://ref.ly/Ezek28:13" TargetMode="External"/><Relationship Id="rId9026" Type="http://schemas.openxmlformats.org/officeDocument/2006/relationships/hyperlink" Target="https://ref.ly/Ezek28:13-Ezek28:14" TargetMode="External"/><Relationship Id="rId9027" Type="http://schemas.openxmlformats.org/officeDocument/2006/relationships/hyperlink" Target="https://ref.ly/Ezek28:16-Ezek28:18" TargetMode="External"/><Relationship Id="rId9028" Type="http://schemas.openxmlformats.org/officeDocument/2006/relationships/hyperlink" Target="https://ref.ly/Ezek28:18-Ezek28:19" TargetMode="External"/><Relationship Id="rId9029" Type="http://schemas.openxmlformats.org/officeDocument/2006/relationships/hyperlink" Target="https://ref.ly/Ezek29:18" TargetMode="External"/><Relationship Id="rId9030" Type="http://schemas.openxmlformats.org/officeDocument/2006/relationships/hyperlink" Target="https://ref.ly/Ezek28:22-Ezek28:23" TargetMode="External"/><Relationship Id="rId9031" Type="http://schemas.openxmlformats.org/officeDocument/2006/relationships/hyperlink" Target="https://ref.ly/Ezek28:24" TargetMode="External"/><Relationship Id="rId9032" Type="http://schemas.openxmlformats.org/officeDocument/2006/relationships/hyperlink" Target="https://ref.ly/Ezek28:25-Ezek28:26" TargetMode="External"/><Relationship Id="rId9033" Type="http://schemas.openxmlformats.org/officeDocument/2006/relationships/hyperlink" Target="https://ref.ly/Ezek29:9-Ezek29:16" TargetMode="External"/><Relationship Id="rId9034" Type="http://schemas.openxmlformats.org/officeDocument/2006/relationships/hyperlink" Target="https://ref.ly/Ezek23:1-Ezek32:21" TargetMode="External"/><Relationship Id="rId9035" Type="http://schemas.openxmlformats.org/officeDocument/2006/relationships/hyperlink" Target="https://ref.ly/Ezek32:22-Ezek32:23" TargetMode="External"/><Relationship Id="rId9036" Type="http://schemas.openxmlformats.org/officeDocument/2006/relationships/hyperlink" Target="https://ref.ly/Ezek32:26-Ezek32:28" TargetMode="External"/><Relationship Id="rId9037" Type="http://schemas.openxmlformats.org/officeDocument/2006/relationships/hyperlink" Target="https://ref.ly/Ezek32:30" TargetMode="External"/><Relationship Id="rId9038" Type="http://schemas.openxmlformats.org/officeDocument/2006/relationships/hyperlink" Target="https://ref.ly/Ezek33:10" TargetMode="External"/><Relationship Id="rId9039" Type="http://schemas.openxmlformats.org/officeDocument/2006/relationships/hyperlink" Target="https://ref.ly/Ezek33:21" TargetMode="External"/><Relationship Id="rId9040" Type="http://schemas.openxmlformats.org/officeDocument/2006/relationships/hyperlink" Target="https://ref.ly/Ezek33:11-Ezek33:16" TargetMode="External"/><Relationship Id="rId9041" Type="http://schemas.openxmlformats.org/officeDocument/2006/relationships/hyperlink" Target="https://ref.ly/Ezek33:32" TargetMode="External"/><Relationship Id="rId9042" Type="http://schemas.openxmlformats.org/officeDocument/2006/relationships/hyperlink" Target="https://ref.ly/Ezek33:33" TargetMode="External"/><Relationship Id="rId9043" Type="http://schemas.openxmlformats.org/officeDocument/2006/relationships/hyperlink" Target="https://ref.ly/Ezek34:2-Ezek34:3" TargetMode="External"/><Relationship Id="rId9044" Type="http://schemas.openxmlformats.org/officeDocument/2006/relationships/hyperlink" Target="https://ref.ly/Ezek34:4" TargetMode="External"/><Relationship Id="rId9045" Type="http://schemas.openxmlformats.org/officeDocument/2006/relationships/hyperlink" Target="https://ref.ly/Ezek34:5-Ezek34:6" TargetMode="External"/><Relationship Id="rId9046" Type="http://schemas.openxmlformats.org/officeDocument/2006/relationships/hyperlink" Target="https://ref.ly/Ezek34:11-Ezek34:15" TargetMode="External"/><Relationship Id="rId9047" Type="http://schemas.openxmlformats.org/officeDocument/2006/relationships/hyperlink" Target="https://ref.ly/Ps23:1-Ps23:6" TargetMode="External"/><Relationship Id="rId9048" Type="http://schemas.openxmlformats.org/officeDocument/2006/relationships/hyperlink" Target="https://ref.ly/Ezek34:20-Ezek34:22" TargetMode="External"/><Relationship Id="rId9049" Type="http://schemas.openxmlformats.org/officeDocument/2006/relationships/hyperlink" Target="https://ref.ly/Ezek34:24" TargetMode="External"/><Relationship Id="rId9050" Type="http://schemas.openxmlformats.org/officeDocument/2006/relationships/hyperlink" Target="https://ref.ly/Ezek34:26-Ezek34:27" TargetMode="External"/><Relationship Id="rId9051" Type="http://schemas.openxmlformats.org/officeDocument/2006/relationships/hyperlink" Target="https://ref.ly/Ezek34:25-Ezek34:28" TargetMode="External"/><Relationship Id="rId9052" Type="http://schemas.openxmlformats.org/officeDocument/2006/relationships/hyperlink" Target="https://ref.ly/Ezek34:27-Ezek34:29" TargetMode="External"/><Relationship Id="rId9053" Type="http://schemas.openxmlformats.org/officeDocument/2006/relationships/hyperlink" Target="https://ref.ly/John10:1-John10:42" TargetMode="External"/><Relationship Id="rId9054" Type="http://schemas.openxmlformats.org/officeDocument/2006/relationships/hyperlink" Target="https://ref.ly/Ezek34:1-Ezek34:31" TargetMode="External"/><Relationship Id="rId9055" Type="http://schemas.openxmlformats.org/officeDocument/2006/relationships/hyperlink" Target="https://ref.ly/Ezek11:20" TargetMode="External"/><Relationship Id="rId9056" Type="http://schemas.openxmlformats.org/officeDocument/2006/relationships/hyperlink" Target="https://ref.ly/Ezek34:30" TargetMode="External"/><Relationship Id="rId9057" Type="http://schemas.openxmlformats.org/officeDocument/2006/relationships/hyperlink" Target="https://ref.ly/Ezek36:28" TargetMode="External"/><Relationship Id="rId9058" Type="http://schemas.openxmlformats.org/officeDocument/2006/relationships/hyperlink" Target="https://ref.ly/Ezek36:20-Ezek36:36" TargetMode="External"/><Relationship Id="rId9059" Type="http://schemas.openxmlformats.org/officeDocument/2006/relationships/hyperlink" Target="https://ref.ly/Ezek37:23-Ezek37:26" TargetMode="External"/><Relationship Id="rId9060" Type="http://schemas.openxmlformats.org/officeDocument/2006/relationships/hyperlink" Target="https://ref.ly/Ezek39:25" TargetMode="External"/><Relationship Id="rId9061" Type="http://schemas.openxmlformats.org/officeDocument/2006/relationships/hyperlink" Target="https://ref.ly/Ezek36:1-Ezek36:15,Ezek36:24" TargetMode="External"/><Relationship Id="rId9062" Type="http://schemas.openxmlformats.org/officeDocument/2006/relationships/hyperlink" Target="https://ref.ly/Ezek37:14-Ezek37:23" TargetMode="External"/><Relationship Id="rId9063" Type="http://schemas.openxmlformats.org/officeDocument/2006/relationships/hyperlink" Target="https://ref.ly/Ezek39:27" TargetMode="External"/><Relationship Id="rId9064" Type="http://schemas.openxmlformats.org/officeDocument/2006/relationships/hyperlink" Target="https://ref.ly/Ezek37:14" TargetMode="External"/><Relationship Id="rId9065" Type="http://schemas.openxmlformats.org/officeDocument/2006/relationships/hyperlink" Target="https://ref.ly/Ezek36:8-Ezek36:12,Ezek36:29-Ezek36:38" TargetMode="External"/><Relationship Id="rId9066" Type="http://schemas.openxmlformats.org/officeDocument/2006/relationships/hyperlink" Target="https://ref.ly/Ezek39:9-Ezek39:10,Ezek39:26" TargetMode="External"/><Relationship Id="rId9067" Type="http://schemas.openxmlformats.org/officeDocument/2006/relationships/hyperlink" Target="https://ref.ly/Ezek36:36" TargetMode="External"/><Relationship Id="rId9068" Type="http://schemas.openxmlformats.org/officeDocument/2006/relationships/hyperlink" Target="https://ref.ly/Ezek37:28" TargetMode="External"/><Relationship Id="rId9069" Type="http://schemas.openxmlformats.org/officeDocument/2006/relationships/hyperlink" Target="https://ref.ly/Ezek38:1-Ezek39:24" TargetMode="External"/><Relationship Id="rId9070" Type="http://schemas.openxmlformats.org/officeDocument/2006/relationships/hyperlink" Target="https://ref.ly/Ezek37:26-Ezek37:27" TargetMode="External"/><Relationship Id="rId9071" Type="http://schemas.openxmlformats.org/officeDocument/2006/relationships/hyperlink" Target="https://ref.ly/Ezek37:11" TargetMode="External"/><Relationship Id="rId9072" Type="http://schemas.openxmlformats.org/officeDocument/2006/relationships/hyperlink" Target="https://ref.ly/Ezek37:12" TargetMode="External"/><Relationship Id="rId9073" Type="http://schemas.openxmlformats.org/officeDocument/2006/relationships/hyperlink" Target="https://ref.ly/Ezek39:7,Ezek39:25-Ezek39:27" TargetMode="External"/><Relationship Id="rId9074" Type="http://schemas.openxmlformats.org/officeDocument/2006/relationships/hyperlink" Target="https://ref.ly/Ezek47:1-Ezek48:35" TargetMode="External"/><Relationship Id="rId9075" Type="http://schemas.openxmlformats.org/officeDocument/2006/relationships/hyperlink" Target="https://ref.ly/Ezek48:8-Ezek48:35" TargetMode="External"/><Relationship Id="rId9076" Type="http://schemas.openxmlformats.org/officeDocument/2006/relationships/hyperlink" Target="https://ref.ly/John3:8,John3:16" TargetMode="External"/><Relationship Id="rId9077" Type="http://schemas.openxmlformats.org/officeDocument/2006/relationships/hyperlink" Target="https://ref.ly/Rom8:2-Rom8:4,Rom8:15" TargetMode="External"/><Relationship Id="rId9078" Type="http://schemas.openxmlformats.org/officeDocument/2006/relationships/hyperlink" Target="https://ref.ly/Ezek37:15-Ezek37:25" TargetMode="External"/><Relationship Id="rId9079" Type="http://schemas.openxmlformats.org/officeDocument/2006/relationships/hyperlink" Target="https://ref.ly/Ezek40:1-Ezek46:24" TargetMode="External"/><Relationship Id="rId9080" Type="http://schemas.openxmlformats.org/officeDocument/2006/relationships/hyperlink" Target="https://ref.ly/Ezek1:1-Ezek1:28" TargetMode="External"/><Relationship Id="rId9081" Type="http://schemas.openxmlformats.org/officeDocument/2006/relationships/hyperlink" Target="https://ref.ly/Ezek10:1-Ezek11:25" TargetMode="External"/><Relationship Id="rId9082" Type="http://schemas.openxmlformats.org/officeDocument/2006/relationships/hyperlink" Target="https://ref.ly/Ezek43:2-Ezek43:5" TargetMode="External"/><Relationship Id="rId9083" Type="http://schemas.openxmlformats.org/officeDocument/2006/relationships/hyperlink" Target="https://ref.ly/Ezek48:35" TargetMode="External"/><Relationship Id="rId9084" Type="http://schemas.openxmlformats.org/officeDocument/2006/relationships/hyperlink" Target="https://ref.ly/John2:21" TargetMode="External"/><Relationship Id="rId9085" Type="http://schemas.openxmlformats.org/officeDocument/2006/relationships/hyperlink" Target="https://ref.ly/Rev21:22" TargetMode="External"/><Relationship Id="rId9086" Type="http://schemas.openxmlformats.org/officeDocument/2006/relationships/hyperlink" Target="https://ref.ly/Ezek34:1-Ezek48:35" TargetMode="External"/><Relationship Id="rId9087" Type="http://schemas.openxmlformats.org/officeDocument/2006/relationships/hyperlink" Target="https://ref.ly/Ezra1:1-Ezra1:3" TargetMode="External"/><Relationship Id="rId9088" Type="http://schemas.openxmlformats.org/officeDocument/2006/relationships/hyperlink" Target="https://ref.ly/Rom4:11-Rom4:13" TargetMode="External"/><Relationship Id="rId9089" Type="http://schemas.openxmlformats.org/officeDocument/2006/relationships/hyperlink" Target="https://ref.ly/Gal3:6-Gal3:9,Gal3:29" TargetMode="External"/><Relationship Id="rId9090" Type="http://schemas.openxmlformats.org/officeDocument/2006/relationships/hyperlink" Target="https://ref.ly/Gal3:28-Gal3:29" TargetMode="External"/><Relationship Id="rId9091" Type="http://schemas.openxmlformats.org/officeDocument/2006/relationships/hyperlink" Target="https://ref.ly/1Pet1:10-1Pet1:11" TargetMode="External"/><Relationship Id="rId9092" Type="http://schemas.openxmlformats.org/officeDocument/2006/relationships/hyperlink" Target="https://ref.ly/1Chr7:21" TargetMode="External"/><Relationship Id="rId9093" Type="http://schemas.openxmlformats.org/officeDocument/2006/relationships/hyperlink" Target="https://ref.ly/1Chr4:4" TargetMode="External"/><Relationship Id="rId9094" Type="http://schemas.openxmlformats.org/officeDocument/2006/relationships/hyperlink" Target="https://ref.ly/Neh3:19" TargetMode="External"/><Relationship Id="rId9095" Type="http://schemas.openxmlformats.org/officeDocument/2006/relationships/hyperlink" Target="https://ref.ly/Num33:35-Num33:36" TargetMode="External"/><Relationship Id="rId9096" Type="http://schemas.openxmlformats.org/officeDocument/2006/relationships/hyperlink" Target="https://ref.ly/1Kgs10:11-1Kgs10:12" TargetMode="External"/><Relationship Id="rId9097" Type="http://schemas.openxmlformats.org/officeDocument/2006/relationships/hyperlink" Target="https://ref.ly/Ps89:1" TargetMode="External"/><Relationship Id="rId9098" Type="http://schemas.openxmlformats.org/officeDocument/2006/relationships/hyperlink" Target="https://ref.ly/Ps88:1" TargetMode="External"/><Relationship Id="rId9099" Type="http://schemas.openxmlformats.org/officeDocument/2006/relationships/hyperlink" Target="https://ref.ly/Acts18:3" TargetMode="External"/><Relationship Id="rId9100" Type="http://schemas.openxmlformats.org/officeDocument/2006/relationships/hyperlink" Target="https://ref.ly/2Cor11:7-2Cor11:10" TargetMode="External"/><Relationship Id="rId9101" Type="http://schemas.openxmlformats.org/officeDocument/2006/relationships/hyperlink" Target="https://ref.ly/1Thess2:9" TargetMode="External"/><Relationship Id="rId9102" Type="http://schemas.openxmlformats.org/officeDocument/2006/relationships/hyperlink" Target="https://ref.ly/2Thess3:8" TargetMode="External"/><Relationship Id="rId9103" Type="http://schemas.openxmlformats.org/officeDocument/2006/relationships/hyperlink" Target="https://ref.ly/Lev11:14" TargetMode="External"/><Relationship Id="rId9104" Type="http://schemas.openxmlformats.org/officeDocument/2006/relationships/hyperlink" Target="https://ref.ly/Job28:7" TargetMode="External"/><Relationship Id="rId9105" Type="http://schemas.openxmlformats.org/officeDocument/2006/relationships/hyperlink" Target="https://ref.ly/Gen12:15" TargetMode="External"/><Relationship Id="rId9106" Type="http://schemas.openxmlformats.org/officeDocument/2006/relationships/hyperlink" Target="https://ref.ly/Exod1:8" TargetMode="External"/><Relationship Id="rId9107" Type="http://schemas.openxmlformats.org/officeDocument/2006/relationships/hyperlink" Target="https://ref.ly/Exod2:23" TargetMode="External"/><Relationship Id="rId9108" Type="http://schemas.openxmlformats.org/officeDocument/2006/relationships/hyperlink" Target="https://ref.ly/1Kgs11:14-1Kgs11:22" TargetMode="External"/><Relationship Id="rId9109" Type="http://schemas.openxmlformats.org/officeDocument/2006/relationships/hyperlink" Target="https://ref.ly/1Kgs3:1-1Kgs3:2" TargetMode="External"/><Relationship Id="rId9110" Type="http://schemas.openxmlformats.org/officeDocument/2006/relationships/hyperlink" Target="https://ref.ly/Ezek29:3,Ezek29:15" TargetMode="External"/><Relationship Id="rId9111" Type="http://schemas.openxmlformats.org/officeDocument/2006/relationships/hyperlink" Target="https://ref.ly/Luke18:9-Luke18:14" TargetMode="External"/><Relationship Id="rId9112" Type="http://schemas.openxmlformats.org/officeDocument/2006/relationships/hyperlink" Target="https://ref.ly/Mark7:1-Mark7:4" TargetMode="External"/><Relationship Id="rId9113" Type="http://schemas.openxmlformats.org/officeDocument/2006/relationships/hyperlink" Target="https://ref.ly/Gal1:14" TargetMode="External"/><Relationship Id="rId9114" Type="http://schemas.openxmlformats.org/officeDocument/2006/relationships/hyperlink" Target="https://ref.ly/Mark7:8" TargetMode="External"/><Relationship Id="rId9115" Type="http://schemas.openxmlformats.org/officeDocument/2006/relationships/hyperlink" Target="https://ref.ly/Mark7:13" TargetMode="External"/><Relationship Id="rId9116" Type="http://schemas.openxmlformats.org/officeDocument/2006/relationships/hyperlink" Target="https://ref.ly/Matt15:1-Matt15:6" TargetMode="External"/><Relationship Id="rId9117" Type="http://schemas.openxmlformats.org/officeDocument/2006/relationships/hyperlink" Target="https://ref.ly/Mark7:10-Mark7:12" TargetMode="External"/><Relationship Id="rId9118" Type="http://schemas.openxmlformats.org/officeDocument/2006/relationships/hyperlink" Target="https://ref.ly/Phil3:6" TargetMode="External"/><Relationship Id="rId9119" Type="http://schemas.openxmlformats.org/officeDocument/2006/relationships/hyperlink" Target="https://ref.ly/Col2:7" TargetMode="External"/><Relationship Id="rId9120" Type="http://schemas.openxmlformats.org/officeDocument/2006/relationships/hyperlink" Target="https://ref.ly/2Tim4:7" TargetMode="External"/><Relationship Id="rId9121" Type="http://schemas.openxmlformats.org/officeDocument/2006/relationships/hyperlink" Target="https://ref.ly/Exod24:6-Exod24:7" TargetMode="External"/><Relationship Id="rId9122" Type="http://schemas.openxmlformats.org/officeDocument/2006/relationships/hyperlink" Target="https://ref.ly/Matt17:20" TargetMode="External"/><Relationship Id="rId9123" Type="http://schemas.openxmlformats.org/officeDocument/2006/relationships/hyperlink" Target="https://ref.ly/Luke7:50" TargetMode="External"/><Relationship Id="rId9124" Type="http://schemas.openxmlformats.org/officeDocument/2006/relationships/hyperlink" Target="https://ref.ly/Matt12:38-Matt12:39" TargetMode="External"/><Relationship Id="rId9125" Type="http://schemas.openxmlformats.org/officeDocument/2006/relationships/hyperlink" Target="https://ref.ly/Mark9:24" TargetMode="External"/><Relationship Id="rId9126" Type="http://schemas.openxmlformats.org/officeDocument/2006/relationships/hyperlink" Target="https://ref.ly/Matt11:2-Matt11:15" TargetMode="External"/><Relationship Id="rId9127" Type="http://schemas.openxmlformats.org/officeDocument/2006/relationships/hyperlink" Target="https://ref.ly/John14:11" TargetMode="External"/><Relationship Id="rId9128" Type="http://schemas.openxmlformats.org/officeDocument/2006/relationships/hyperlink" Target="https://ref.ly/John5:46" TargetMode="External"/><Relationship Id="rId9129" Type="http://schemas.openxmlformats.org/officeDocument/2006/relationships/hyperlink" Target="https://ref.ly/John1:12" TargetMode="External"/><Relationship Id="rId9130" Type="http://schemas.openxmlformats.org/officeDocument/2006/relationships/hyperlink" Target="https://ref.ly/John11:15" TargetMode="External"/><Relationship Id="rId9131" Type="http://schemas.openxmlformats.org/officeDocument/2006/relationships/hyperlink" Target="https://ref.ly/John1:7" TargetMode="External"/><Relationship Id="rId9132" Type="http://schemas.openxmlformats.org/officeDocument/2006/relationships/hyperlink" Target="https://ref.ly/John1:18" TargetMode="External"/><Relationship Id="rId9133" Type="http://schemas.openxmlformats.org/officeDocument/2006/relationships/hyperlink" Target="https://ref.ly/John14:9" TargetMode="External"/><Relationship Id="rId9134" Type="http://schemas.openxmlformats.org/officeDocument/2006/relationships/hyperlink" Target="https://ref.ly/John17:4" TargetMode="External"/><Relationship Id="rId9135" Type="http://schemas.openxmlformats.org/officeDocument/2006/relationships/hyperlink" Target="https://ref.ly/Rom1:1-Rom4:25" TargetMode="External"/><Relationship Id="rId9136" Type="http://schemas.openxmlformats.org/officeDocument/2006/relationships/hyperlink" Target="https://ref.ly/Gal1:1-Gal4:31" TargetMode="External"/><Relationship Id="rId9137" Type="http://schemas.openxmlformats.org/officeDocument/2006/relationships/hyperlink" Target="https://ref.ly/Gal3:6" TargetMode="External"/><Relationship Id="rId9138" Type="http://schemas.openxmlformats.org/officeDocument/2006/relationships/hyperlink" Target="https://ref.ly/Rom3:21" TargetMode="External"/><Relationship Id="rId9139" Type="http://schemas.openxmlformats.org/officeDocument/2006/relationships/hyperlink" Target="https://ref.ly/2Cor5:18" TargetMode="External"/><Relationship Id="rId9140" Type="http://schemas.openxmlformats.org/officeDocument/2006/relationships/hyperlink" Target="https://ref.ly/Eph2:5" TargetMode="External"/><Relationship Id="rId9141" Type="http://schemas.openxmlformats.org/officeDocument/2006/relationships/hyperlink" Target="https://ref.ly/Rom8:15-Rom8:16" TargetMode="External"/><Relationship Id="rId9142" Type="http://schemas.openxmlformats.org/officeDocument/2006/relationships/hyperlink" Target="https://ref.ly/Gal5:1" TargetMode="External"/><Relationship Id="rId9143" Type="http://schemas.openxmlformats.org/officeDocument/2006/relationships/hyperlink" Target="https://ref.ly/1Cor13:2" TargetMode="External"/><Relationship Id="rId9144" Type="http://schemas.openxmlformats.org/officeDocument/2006/relationships/hyperlink" Target="https://ref.ly/Jas2:22" TargetMode="External"/><Relationship Id="rId9145" Type="http://schemas.openxmlformats.org/officeDocument/2006/relationships/hyperlink" Target="https://ref.ly/Jas2:20" TargetMode="External"/><Relationship Id="rId9146" Type="http://schemas.openxmlformats.org/officeDocument/2006/relationships/hyperlink" Target="https://ref.ly/Heb11:1" TargetMode="External"/><Relationship Id="rId9147" Type="http://schemas.openxmlformats.org/officeDocument/2006/relationships/hyperlink" Target="https://ref.ly/Heb12:1" TargetMode="External"/><Relationship Id="rId9148" Type="http://schemas.openxmlformats.org/officeDocument/2006/relationships/hyperlink" Target="https://ref.ly/Deut28:22" TargetMode="External"/><Relationship Id="rId9149" Type="http://schemas.openxmlformats.org/officeDocument/2006/relationships/hyperlink" Target="https://ref.ly/Lev26:16" TargetMode="External"/><Relationship Id="rId9150" Type="http://schemas.openxmlformats.org/officeDocument/2006/relationships/hyperlink" Target="https://ref.ly/Exod7:11" TargetMode="External"/><Relationship Id="rId9151" Type="http://schemas.openxmlformats.org/officeDocument/2006/relationships/hyperlink" Target="https://ref.ly/Nah3:4" TargetMode="External"/><Relationship Id="rId9152" Type="http://schemas.openxmlformats.org/officeDocument/2006/relationships/hyperlink" Target="https://ref.ly/Dan2:2" TargetMode="External"/><Relationship Id="rId9153" Type="http://schemas.openxmlformats.org/officeDocument/2006/relationships/hyperlink" Target="https://ref.ly/Deut18:10" TargetMode="External"/><Relationship Id="rId9154" Type="http://schemas.openxmlformats.org/officeDocument/2006/relationships/hyperlink" Target="https://ref.ly/2Kgs17:17" TargetMode="External"/><Relationship Id="rId9155" Type="http://schemas.openxmlformats.org/officeDocument/2006/relationships/hyperlink" Target="https://ref.ly/Mic5:12" TargetMode="External"/><Relationship Id="rId9156" Type="http://schemas.openxmlformats.org/officeDocument/2006/relationships/hyperlink" Target="https://ref.ly/Isa57:3" TargetMode="External"/><Relationship Id="rId9157" Type="http://schemas.openxmlformats.org/officeDocument/2006/relationships/hyperlink" Target="https://ref.ly/Gal5:20" TargetMode="External"/><Relationship Id="rId9158" Type="http://schemas.openxmlformats.org/officeDocument/2006/relationships/hyperlink" Target="https://ref.ly/Job20:25" TargetMode="External"/><Relationship Id="rId9159" Type="http://schemas.openxmlformats.org/officeDocument/2006/relationships/hyperlink" Target="https://ref.ly/Deut29:18" TargetMode="External"/><Relationship Id="rId9160" Type="http://schemas.openxmlformats.org/officeDocument/2006/relationships/hyperlink" Target="https://ref.ly/Job20:14,Job20:16" TargetMode="External"/><Relationship Id="rId9161" Type="http://schemas.openxmlformats.org/officeDocument/2006/relationships/hyperlink" Target="https://ref.ly/Ps69:21" TargetMode="External"/><Relationship Id="rId9162" Type="http://schemas.openxmlformats.org/officeDocument/2006/relationships/hyperlink" Target="https://ref.ly/Jer8:14" TargetMode="External"/><Relationship Id="rId9163" Type="http://schemas.openxmlformats.org/officeDocument/2006/relationships/hyperlink" Target="https://ref.ly/Lam3:5,Lam3:19" TargetMode="External"/><Relationship Id="rId9164" Type="http://schemas.openxmlformats.org/officeDocument/2006/relationships/hyperlink" Target="https://ref.ly/Hos10:4" TargetMode="External"/><Relationship Id="rId9165" Type="http://schemas.openxmlformats.org/officeDocument/2006/relationships/hyperlink" Target="https://ref.ly/Acts8:23" TargetMode="External"/><Relationship Id="rId9166" Type="http://schemas.openxmlformats.org/officeDocument/2006/relationships/hyperlink" Target="https://ref.ly/Acts23:24-Acts24:27" TargetMode="External"/><Relationship Id="rId9167" Type="http://schemas.openxmlformats.org/officeDocument/2006/relationships/hyperlink" Target="https://ref.ly/Acts24:25" TargetMode="External"/><Relationship Id="rId9168" Type="http://schemas.openxmlformats.org/officeDocument/2006/relationships/hyperlink" Target="https://ref.ly/Isa23:3-Isa23:8" TargetMode="External"/><Relationship Id="rId9169" Type="http://schemas.openxmlformats.org/officeDocument/2006/relationships/hyperlink" Target="https://ref.ly/1Kgs11:5" TargetMode="External"/><Relationship Id="rId9170" Type="http://schemas.openxmlformats.org/officeDocument/2006/relationships/hyperlink" Target="https://ref.ly/1Kgs9:10-1Kgs9:28" TargetMode="External"/><Relationship Id="rId9171" Type="http://schemas.openxmlformats.org/officeDocument/2006/relationships/hyperlink" Target="https://ref.ly/Isa23:1-Isa23:18" TargetMode="External"/><Relationship Id="rId9172" Type="http://schemas.openxmlformats.org/officeDocument/2006/relationships/hyperlink" Target="https://ref.ly/Ezek26:2-Ezek26:19" TargetMode="External"/><Relationship Id="rId9173" Type="http://schemas.openxmlformats.org/officeDocument/2006/relationships/hyperlink" Target="https://ref.ly/Ezek28:1-Ezek28:23" TargetMode="External"/><Relationship Id="rId9174" Type="http://schemas.openxmlformats.org/officeDocument/2006/relationships/hyperlink" Target="https://ref.ly/Acts21:2-Acts21:7" TargetMode="External"/><Relationship Id="rId9175" Type="http://schemas.openxmlformats.org/officeDocument/2006/relationships/hyperlink" Target="https://ref.ly/Acts27:9-Acts27:17" TargetMode="External"/><Relationship Id="rId9176" Type="http://schemas.openxmlformats.org/officeDocument/2006/relationships/hyperlink" Target="https://ref.ly/Gen15:20" TargetMode="External"/><Relationship Id="rId9177" Type="http://schemas.openxmlformats.org/officeDocument/2006/relationships/hyperlink" Target="https://ref.ly/Exod34:11" TargetMode="External"/><Relationship Id="rId9178" Type="http://schemas.openxmlformats.org/officeDocument/2006/relationships/hyperlink" Target="https://ref.ly/Deut7:1" TargetMode="External"/><Relationship Id="rId9179" Type="http://schemas.openxmlformats.org/officeDocument/2006/relationships/hyperlink" Target="https://ref.ly/Deut20:17" TargetMode="External"/><Relationship Id="rId9180" Type="http://schemas.openxmlformats.org/officeDocument/2006/relationships/hyperlink" Target="https://ref.ly/Josh3:10" TargetMode="External"/><Relationship Id="rId9181" Type="http://schemas.openxmlformats.org/officeDocument/2006/relationships/hyperlink" Target="https://ref.ly/Josh9:1" TargetMode="External"/><Relationship Id="rId9182" Type="http://schemas.openxmlformats.org/officeDocument/2006/relationships/hyperlink" Target="https://ref.ly/Josh11:3" TargetMode="External"/><Relationship Id="rId9183" Type="http://schemas.openxmlformats.org/officeDocument/2006/relationships/hyperlink" Target="https://ref.ly/Josh12:8" TargetMode="External"/><Relationship Id="rId9184" Type="http://schemas.openxmlformats.org/officeDocument/2006/relationships/hyperlink" Target="https://ref.ly/Josh24:11" TargetMode="External"/><Relationship Id="rId9185" Type="http://schemas.openxmlformats.org/officeDocument/2006/relationships/hyperlink" Target="https://ref.ly/1Kgs9:20" TargetMode="External"/><Relationship Id="rId9186" Type="http://schemas.openxmlformats.org/officeDocument/2006/relationships/hyperlink" Target="https://ref.ly/2Chr8:7" TargetMode="External"/><Relationship Id="rId9187" Type="http://schemas.openxmlformats.org/officeDocument/2006/relationships/hyperlink" Target="https://ref.ly/Ezra9:1" TargetMode="External"/><Relationship Id="rId9188" Type="http://schemas.openxmlformats.org/officeDocument/2006/relationships/hyperlink" Target="https://ref.ly/Gen13:7" TargetMode="External"/><Relationship Id="rId9189" Type="http://schemas.openxmlformats.org/officeDocument/2006/relationships/hyperlink" Target="https://ref.ly/Gen34:30" TargetMode="External"/><Relationship Id="rId9190" Type="http://schemas.openxmlformats.org/officeDocument/2006/relationships/hyperlink" Target="https://ref.ly/Judg1:4-Judg1:5" TargetMode="External"/><Relationship Id="rId9191" Type="http://schemas.openxmlformats.org/officeDocument/2006/relationships/hyperlink" Target="https://ref.ly/Josh17:15" TargetMode="External"/><Relationship Id="rId9192" Type="http://schemas.openxmlformats.org/officeDocument/2006/relationships/hyperlink" Target="https://ref.ly/Esth9:19" TargetMode="External"/><Relationship Id="rId9193" Type="http://schemas.openxmlformats.org/officeDocument/2006/relationships/hyperlink" Target="https://ref.ly/Ezek38:11" TargetMode="External"/><Relationship Id="rId9194" Type="http://schemas.openxmlformats.org/officeDocument/2006/relationships/hyperlink" Target="https://ref.ly/Zech2:4" TargetMode="External"/><Relationship Id="rId9195" Type="http://schemas.openxmlformats.org/officeDocument/2006/relationships/hyperlink" Target="https://ref.ly/Deut3:5" TargetMode="External"/><Relationship Id="rId9196" Type="http://schemas.openxmlformats.org/officeDocument/2006/relationships/hyperlink" Target="https://ref.ly/1Sam6:18" TargetMode="External"/><Relationship Id="rId9197" Type="http://schemas.openxmlformats.org/officeDocument/2006/relationships/hyperlink" Target="https://ref.ly/Hos7:4" TargetMode="External"/><Relationship Id="rId9198" Type="http://schemas.openxmlformats.org/officeDocument/2006/relationships/hyperlink" Target="https://ref.ly/Exod13:7" TargetMode="External"/><Relationship Id="rId9199" Type="http://schemas.openxmlformats.org/officeDocument/2006/relationships/hyperlink" Target="https://ref.ly/Exod12:34-Exod12:39" TargetMode="External"/><Relationship Id="rId9200" Type="http://schemas.openxmlformats.org/officeDocument/2006/relationships/hyperlink" Target="https://ref.ly/Deut16:3" TargetMode="External"/><Relationship Id="rId9201" Type="http://schemas.openxmlformats.org/officeDocument/2006/relationships/hyperlink" Target="https://ref.ly/Exod23:18" TargetMode="External"/><Relationship Id="rId9202" Type="http://schemas.openxmlformats.org/officeDocument/2006/relationships/hyperlink" Target="https://ref.ly/Exod34:25" TargetMode="External"/><Relationship Id="rId9203" Type="http://schemas.openxmlformats.org/officeDocument/2006/relationships/hyperlink" Target="https://ref.ly/Lev6:17" TargetMode="External"/><Relationship Id="rId9204" Type="http://schemas.openxmlformats.org/officeDocument/2006/relationships/hyperlink" Target="https://ref.ly/Lev7:13" TargetMode="External"/><Relationship Id="rId9205" Type="http://schemas.openxmlformats.org/officeDocument/2006/relationships/hyperlink" Target="https://ref.ly/Lev23:17" TargetMode="External"/><Relationship Id="rId9206" Type="http://schemas.openxmlformats.org/officeDocument/2006/relationships/hyperlink" Target="https://ref.ly/1Cor5:6" TargetMode="External"/><Relationship Id="rId9207" Type="http://schemas.openxmlformats.org/officeDocument/2006/relationships/hyperlink" Target="https://ref.ly/Gal5:9" TargetMode="External"/><Relationship Id="rId9208" Type="http://schemas.openxmlformats.org/officeDocument/2006/relationships/hyperlink" Target="https://ref.ly/Matt16:6" TargetMode="External"/><Relationship Id="rId9209" Type="http://schemas.openxmlformats.org/officeDocument/2006/relationships/hyperlink" Target="https://ref.ly/Mark8:15" TargetMode="External"/><Relationship Id="rId9210" Type="http://schemas.openxmlformats.org/officeDocument/2006/relationships/hyperlink" Target="https://ref.ly/Luke12:1" TargetMode="External"/><Relationship Id="rId9211" Type="http://schemas.openxmlformats.org/officeDocument/2006/relationships/hyperlink" Target="https://ref.ly/Matt23:28" TargetMode="External"/><Relationship Id="rId9212" Type="http://schemas.openxmlformats.org/officeDocument/2006/relationships/hyperlink" Target="https://ref.ly/Matt13:33" TargetMode="External"/><Relationship Id="rId9213" Type="http://schemas.openxmlformats.org/officeDocument/2006/relationships/hyperlink" Target="https://ref.ly/Luke13:20-Luke13:21" TargetMode="External"/><Relationship Id="rId9214" Type="http://schemas.openxmlformats.org/officeDocument/2006/relationships/hyperlink" Target="https://ref.ly/Exod26:11,Exod26:37" TargetMode="External"/><Relationship Id="rId9215" Type="http://schemas.openxmlformats.org/officeDocument/2006/relationships/hyperlink" Target="https://ref.ly/Exod27:2-Exod27:10" TargetMode="External"/><Relationship Id="rId9216" Type="http://schemas.openxmlformats.org/officeDocument/2006/relationships/hyperlink" Target="https://ref.ly/Josh6:19,Josh6:24" TargetMode="External"/><Relationship Id="rId9217" Type="http://schemas.openxmlformats.org/officeDocument/2006/relationships/hyperlink" Target="https://ref.ly/1Sam17:5-1Sam17:6" TargetMode="External"/><Relationship Id="rId9218" Type="http://schemas.openxmlformats.org/officeDocument/2006/relationships/hyperlink" Target="https://ref.ly/2Sam8:8" TargetMode="External"/><Relationship Id="rId9219" Type="http://schemas.openxmlformats.org/officeDocument/2006/relationships/hyperlink" Target="https://ref.ly/Isa44:12" TargetMode="External"/><Relationship Id="rId9220" Type="http://schemas.openxmlformats.org/officeDocument/2006/relationships/hyperlink" Target="https://ref.ly/Josh17:16" TargetMode="External"/><Relationship Id="rId9221" Type="http://schemas.openxmlformats.org/officeDocument/2006/relationships/hyperlink" Target="https://ref.ly/Judg1:19" TargetMode="External"/><Relationship Id="rId9222" Type="http://schemas.openxmlformats.org/officeDocument/2006/relationships/hyperlink" Target="https://ref.ly/Judg4:3,Judg4:13" TargetMode="External"/><Relationship Id="rId9223" Type="http://schemas.openxmlformats.org/officeDocument/2006/relationships/hyperlink" Target="https://ref.ly/Judg17:4" TargetMode="External"/><Relationship Id="rId9224" Type="http://schemas.openxmlformats.org/officeDocument/2006/relationships/hyperlink" Target="https://ref.ly/Acts19:24" TargetMode="External"/><Relationship Id="rId9225" Type="http://schemas.openxmlformats.org/officeDocument/2006/relationships/hyperlink" Target="https://ref.ly/2Kgs24:14-2Kgs24:16" TargetMode="External"/><Relationship Id="rId9226" Type="http://schemas.openxmlformats.org/officeDocument/2006/relationships/hyperlink" Target="https://ref.ly/Jer24:1" TargetMode="External"/><Relationship Id="rId9227" Type="http://schemas.openxmlformats.org/officeDocument/2006/relationships/hyperlink" Target="https://ref.ly/Jer29:2" TargetMode="External"/><Relationship Id="rId9228" Type="http://schemas.openxmlformats.org/officeDocument/2006/relationships/hyperlink" Target="https://ref.ly/Prov25:4" TargetMode="External"/><Relationship Id="rId9229" Type="http://schemas.openxmlformats.org/officeDocument/2006/relationships/hyperlink" Target="https://ref.ly/Zech1:20" TargetMode="External"/><Relationship Id="rId9230" Type="http://schemas.openxmlformats.org/officeDocument/2006/relationships/hyperlink" Target="https://ref.ly/Judg14:17" TargetMode="External"/><Relationship Id="rId9231" Type="http://schemas.openxmlformats.org/officeDocument/2006/relationships/hyperlink" Target="https://ref.ly/1Kgs3:15" TargetMode="External"/><Relationship Id="rId9232" Type="http://schemas.openxmlformats.org/officeDocument/2006/relationships/hyperlink" Target="https://ref.ly/1Kgs8:65" TargetMode="External"/><Relationship Id="rId9233" Type="http://schemas.openxmlformats.org/officeDocument/2006/relationships/hyperlink" Target="https://ref.ly/Esth1:3" TargetMode="External"/><Relationship Id="rId9234" Type="http://schemas.openxmlformats.org/officeDocument/2006/relationships/hyperlink" Target="https://ref.ly/Esth5:4" TargetMode="External"/><Relationship Id="rId9235" Type="http://schemas.openxmlformats.org/officeDocument/2006/relationships/hyperlink" Target="https://ref.ly/Esth7:2" TargetMode="External"/><Relationship Id="rId9236" Type="http://schemas.openxmlformats.org/officeDocument/2006/relationships/hyperlink" Target="https://ref.ly/Dan5:1" TargetMode="External"/><Relationship Id="rId9237" Type="http://schemas.openxmlformats.org/officeDocument/2006/relationships/hyperlink" Target="https://ref.ly/Deut18:4" TargetMode="External"/><Relationship Id="rId9238" Type="http://schemas.openxmlformats.org/officeDocument/2006/relationships/hyperlink" Target="https://ref.ly/Lev23:2" TargetMode="External"/><Relationship Id="rId9239" Type="http://schemas.openxmlformats.org/officeDocument/2006/relationships/hyperlink" Target="https://ref.ly/Exod31:17" TargetMode="External"/><Relationship Id="rId9240" Type="http://schemas.openxmlformats.org/officeDocument/2006/relationships/hyperlink" Target="https://ref.ly/Exod35:3" TargetMode="External"/><Relationship Id="rId9241" Type="http://schemas.openxmlformats.org/officeDocument/2006/relationships/hyperlink" Target="https://ref.ly/Num15:32-Num15:33" TargetMode="External"/><Relationship Id="rId9242" Type="http://schemas.openxmlformats.org/officeDocument/2006/relationships/hyperlink" Target="https://ref.ly/Num28:9-Num28:10" TargetMode="External"/><Relationship Id="rId9243" Type="http://schemas.openxmlformats.org/officeDocument/2006/relationships/hyperlink" Target="https://ref.ly/Lev24:5-Lev24:8" TargetMode="External"/><Relationship Id="rId9244" Type="http://schemas.openxmlformats.org/officeDocument/2006/relationships/hyperlink" Target="https://ref.ly/Isa58:13-Isa58:14" TargetMode="External"/><Relationship Id="rId9245" Type="http://schemas.openxmlformats.org/officeDocument/2006/relationships/hyperlink" Target="https://ref.ly/Num10:10" TargetMode="External"/><Relationship Id="rId9246" Type="http://schemas.openxmlformats.org/officeDocument/2006/relationships/hyperlink" Target="https://ref.ly/1Chr23:29-1Chr23:31" TargetMode="External"/><Relationship Id="rId9247" Type="http://schemas.openxmlformats.org/officeDocument/2006/relationships/hyperlink" Target="https://ref.ly/2Kgs4:23" TargetMode="External"/><Relationship Id="rId9248" Type="http://schemas.openxmlformats.org/officeDocument/2006/relationships/hyperlink" Target="https://ref.ly/Hos2:11" TargetMode="External"/><Relationship Id="rId9249" Type="http://schemas.openxmlformats.org/officeDocument/2006/relationships/hyperlink" Target="https://ref.ly/Neh10:33" TargetMode="External"/><Relationship Id="rId9250" Type="http://schemas.openxmlformats.org/officeDocument/2006/relationships/hyperlink" Target="https://ref.ly/Isa66:22-Isa66:23" TargetMode="External"/><Relationship Id="rId9251" Type="http://schemas.openxmlformats.org/officeDocument/2006/relationships/hyperlink" Target="https://ref.ly/Ezek45:17" TargetMode="External"/><Relationship Id="rId9252" Type="http://schemas.openxmlformats.org/officeDocument/2006/relationships/hyperlink" Target="https://ref.ly/Ps104:19" TargetMode="External"/><Relationship Id="rId9253" Type="http://schemas.openxmlformats.org/officeDocument/2006/relationships/hyperlink" Target="https://ref.ly/Lev23:24" TargetMode="External"/><Relationship Id="rId9254" Type="http://schemas.openxmlformats.org/officeDocument/2006/relationships/hyperlink" Target="https://ref.ly/Num29:2-Num29:6" TargetMode="External"/><Relationship Id="rId9255" Type="http://schemas.openxmlformats.org/officeDocument/2006/relationships/hyperlink" Target="https://ref.ly/Num28:11" TargetMode="External"/><Relationship Id="rId9256" Type="http://schemas.openxmlformats.org/officeDocument/2006/relationships/hyperlink" Target="https://ref.ly/Lev23:33" TargetMode="External"/><Relationship Id="rId9257" Type="http://schemas.openxmlformats.org/officeDocument/2006/relationships/hyperlink" Target="https://ref.ly/Exod16:5" TargetMode="External"/><Relationship Id="rId9258" Type="http://schemas.openxmlformats.org/officeDocument/2006/relationships/hyperlink" Target="https://ref.ly/Exod21:2-Exod21:6" TargetMode="External"/><Relationship Id="rId9259" Type="http://schemas.openxmlformats.org/officeDocument/2006/relationships/hyperlink" Target="https://ref.ly/Deut15:1-Deut15:6" TargetMode="External"/><Relationship Id="rId9260" Type="http://schemas.openxmlformats.org/officeDocument/2006/relationships/hyperlink" Target="https://ref.ly/Jer34:8-Jer34:22" TargetMode="External"/><Relationship Id="rId9261" Type="http://schemas.openxmlformats.org/officeDocument/2006/relationships/hyperlink" Target="https://ref.ly/Neh10:31" TargetMode="External"/><Relationship Id="rId9262" Type="http://schemas.openxmlformats.org/officeDocument/2006/relationships/hyperlink" Target="https://ref.ly/Neh8:13-Neh8:18" TargetMode="External"/><Relationship Id="rId9263" Type="http://schemas.openxmlformats.org/officeDocument/2006/relationships/hyperlink" Target="https://ref.ly/Lev25:8-Lev25:55" TargetMode="External"/><Relationship Id="rId9264" Type="http://schemas.openxmlformats.org/officeDocument/2006/relationships/hyperlink" Target="https://ref.ly/Lev27:17-Lev27:24" TargetMode="External"/><Relationship Id="rId9265" Type="http://schemas.openxmlformats.org/officeDocument/2006/relationships/hyperlink" Target="https://ref.ly/Lev25:14-Lev25:17" TargetMode="External"/><Relationship Id="rId9266" Type="http://schemas.openxmlformats.org/officeDocument/2006/relationships/hyperlink" Target="https://ref.ly/Exod23:14-Exod23:17" TargetMode="External"/><Relationship Id="rId9267" Type="http://schemas.openxmlformats.org/officeDocument/2006/relationships/hyperlink" Target="https://ref.ly/Exod12:11-Exod12:30" TargetMode="External"/><Relationship Id="rId9268" Type="http://schemas.openxmlformats.org/officeDocument/2006/relationships/hyperlink" Target="https://ref.ly/Num9:1-Num9:5" TargetMode="External"/><Relationship Id="rId9269" Type="http://schemas.openxmlformats.org/officeDocument/2006/relationships/hyperlink" Target="https://ref.ly/Deut16:1" TargetMode="External"/><Relationship Id="rId9270" Type="http://schemas.openxmlformats.org/officeDocument/2006/relationships/hyperlink" Target="https://ref.ly/Exod12:16" TargetMode="External"/><Relationship Id="rId9271" Type="http://schemas.openxmlformats.org/officeDocument/2006/relationships/hyperlink" Target="https://ref.ly/Deut16:9" TargetMode="External"/><Relationship Id="rId9272" Type="http://schemas.openxmlformats.org/officeDocument/2006/relationships/hyperlink" Target="https://ref.ly/Luke22:1" TargetMode="External"/><Relationship Id="rId9273" Type="http://schemas.openxmlformats.org/officeDocument/2006/relationships/hyperlink" Target="https://ref.ly/Deut16:12" TargetMode="External"/><Relationship Id="rId9274" Type="http://schemas.openxmlformats.org/officeDocument/2006/relationships/hyperlink" Target="https://ref.ly/2Kgs23:21-2Kgs23:23" TargetMode="External"/><Relationship Id="rId9275" Type="http://schemas.openxmlformats.org/officeDocument/2006/relationships/hyperlink" Target="https://ref.ly/2Chr35:1-2Chr35:19" TargetMode="External"/><Relationship Id="rId9276" Type="http://schemas.openxmlformats.org/officeDocument/2006/relationships/hyperlink" Target="https://ref.ly/Num28:26" TargetMode="External"/><Relationship Id="rId9277" Type="http://schemas.openxmlformats.org/officeDocument/2006/relationships/hyperlink" Target="https://ref.ly/Lev23:15-Lev23:20" TargetMode="External"/><Relationship Id="rId9278" Type="http://schemas.openxmlformats.org/officeDocument/2006/relationships/hyperlink" Target="https://ref.ly/Deut16:10-Deut16:11" TargetMode="External"/><Relationship Id="rId9279" Type="http://schemas.openxmlformats.org/officeDocument/2006/relationships/hyperlink" Target="https://ref.ly/Lev23:34" TargetMode="External"/><Relationship Id="rId9280" Type="http://schemas.openxmlformats.org/officeDocument/2006/relationships/hyperlink" Target="https://ref.ly/Deut16:13" TargetMode="External"/><Relationship Id="rId9281" Type="http://schemas.openxmlformats.org/officeDocument/2006/relationships/hyperlink" Target="https://ref.ly/Judg21:19" TargetMode="External"/><Relationship Id="rId9282" Type="http://schemas.openxmlformats.org/officeDocument/2006/relationships/hyperlink" Target="https://ref.ly/Zech14:16-Zech14:19" TargetMode="External"/><Relationship Id="rId9283" Type="http://schemas.openxmlformats.org/officeDocument/2006/relationships/hyperlink" Target="https://ref.ly/Esth9:21" TargetMode="External"/><Relationship Id="rId9284" Type="http://schemas.openxmlformats.org/officeDocument/2006/relationships/hyperlink" Target="https://ref.ly/Esth9:24-Esth9:26" TargetMode="External"/><Relationship Id="rId9285" Type="http://schemas.openxmlformats.org/officeDocument/2006/relationships/hyperlink" Target="https://ref.ly/1Macc4:52-1Macc4:59" TargetMode="External"/><Relationship Id="rId9286" Type="http://schemas.openxmlformats.org/officeDocument/2006/relationships/hyperlink" Target="https://ref.ly/2Macc10:6-2Macc10:8" TargetMode="External"/><Relationship Id="rId9287" Type="http://schemas.openxmlformats.org/officeDocument/2006/relationships/hyperlink" Target="https://ref.ly/Luke4:16" TargetMode="External"/><Relationship Id="rId9288" Type="http://schemas.openxmlformats.org/officeDocument/2006/relationships/hyperlink" Target="https://ref.ly/Acts13:14" TargetMode="External"/><Relationship Id="rId9289" Type="http://schemas.openxmlformats.org/officeDocument/2006/relationships/hyperlink" Target="https://ref.ly/Matt12:1-Matt12:4" TargetMode="External"/><Relationship Id="rId9290" Type="http://schemas.openxmlformats.org/officeDocument/2006/relationships/hyperlink" Target="https://ref.ly/Mark3:1-Mark3:5" TargetMode="External"/><Relationship Id="rId9291" Type="http://schemas.openxmlformats.org/officeDocument/2006/relationships/hyperlink" Target="https://ref.ly/Luke13:10-Luke13:17" TargetMode="External"/><Relationship Id="rId9292" Type="http://schemas.openxmlformats.org/officeDocument/2006/relationships/hyperlink" Target="https://ref.ly/1Cor16:8" TargetMode="External"/><Relationship Id="rId9293" Type="http://schemas.openxmlformats.org/officeDocument/2006/relationships/hyperlink" Target="https://ref.ly/Acts2:1-Acts2:4" TargetMode="External"/><Relationship Id="rId9294" Type="http://schemas.openxmlformats.org/officeDocument/2006/relationships/hyperlink" Target="https://ref.ly/John4:45" TargetMode="External"/><Relationship Id="rId9295" Type="http://schemas.openxmlformats.org/officeDocument/2006/relationships/hyperlink" Target="https://ref.ly/John12:1-John12:26" TargetMode="External"/><Relationship Id="rId9296" Type="http://schemas.openxmlformats.org/officeDocument/2006/relationships/hyperlink" Target="https://ref.ly/John12:20" TargetMode="External"/><Relationship Id="rId9297" Type="http://schemas.openxmlformats.org/officeDocument/2006/relationships/hyperlink" Target="https://ref.ly/Matt27:15" TargetMode="External"/><Relationship Id="rId9298" Type="http://schemas.openxmlformats.org/officeDocument/2006/relationships/hyperlink" Target="https://ref.ly/Mark15:6" TargetMode="External"/><Relationship Id="rId9299" Type="http://schemas.openxmlformats.org/officeDocument/2006/relationships/hyperlink" Target="https://ref.ly/Luke2:42" TargetMode="External"/><Relationship Id="rId9300" Type="http://schemas.openxmlformats.org/officeDocument/2006/relationships/hyperlink" Target="https://ref.ly/Luke22:4-Luke22:6" TargetMode="External"/><Relationship Id="rId9301" Type="http://schemas.openxmlformats.org/officeDocument/2006/relationships/hyperlink" Target="https://ref.ly/1Cor11:24-1Cor11:26" TargetMode="External"/><Relationship Id="rId9302" Type="http://schemas.openxmlformats.org/officeDocument/2006/relationships/hyperlink" Target="https://ref.ly/John7:10" TargetMode="External"/><Relationship Id="rId9303" Type="http://schemas.openxmlformats.org/officeDocument/2006/relationships/hyperlink" Target="https://ref.ly/John10:22" TargetMode="External"/><Relationship Id="rId9304" Type="http://schemas.openxmlformats.org/officeDocument/2006/relationships/hyperlink" Target="https://ref.ly/Luke5:29" TargetMode="External"/><Relationship Id="rId9305" Type="http://schemas.openxmlformats.org/officeDocument/2006/relationships/hyperlink" Target="https://ref.ly/John2:8-John2:10" TargetMode="External"/><Relationship Id="rId9306" Type="http://schemas.openxmlformats.org/officeDocument/2006/relationships/hyperlink" Target="https://ref.ly/Matt23:6" TargetMode="External"/><Relationship Id="rId9307" Type="http://schemas.openxmlformats.org/officeDocument/2006/relationships/hyperlink" Target="https://ref.ly/Luke14:13" TargetMode="External"/><Relationship Id="rId9308" Type="http://schemas.openxmlformats.org/officeDocument/2006/relationships/hyperlink" Target="https://ref.ly/Rom11:16" TargetMode="External"/><Relationship Id="rId9309" Type="http://schemas.openxmlformats.org/officeDocument/2006/relationships/hyperlink" Target="https://ref.ly/Jas1:18" TargetMode="External"/><Relationship Id="rId9310" Type="http://schemas.openxmlformats.org/officeDocument/2006/relationships/hyperlink" Target="https://ref.ly/1Cor15:20" TargetMode="External"/><Relationship Id="rId9311" Type="http://schemas.openxmlformats.org/officeDocument/2006/relationships/hyperlink" Target="https://ref.ly/Col2:16-Col2:17" TargetMode="External"/><Relationship Id="rId9312" Type="http://schemas.openxmlformats.org/officeDocument/2006/relationships/hyperlink" Target="https://ref.ly/1Cor5:7-1Cor5:8" TargetMode="External"/><Relationship Id="rId9313" Type="http://schemas.openxmlformats.org/officeDocument/2006/relationships/hyperlink" Target="https://ref.ly/Lev23:23-Lev23:25" TargetMode="External"/><Relationship Id="rId9314" Type="http://schemas.openxmlformats.org/officeDocument/2006/relationships/hyperlink" Target="https://ref.ly/Acts25:1" TargetMode="External"/><Relationship Id="rId9315" Type="http://schemas.openxmlformats.org/officeDocument/2006/relationships/hyperlink" Target="https://ref.ly/Acts25:6" TargetMode="External"/><Relationship Id="rId9316" Type="http://schemas.openxmlformats.org/officeDocument/2006/relationships/hyperlink" Target="https://ref.ly/Acts25:11-Acts25:12" TargetMode="External"/><Relationship Id="rId9317" Type="http://schemas.openxmlformats.org/officeDocument/2006/relationships/hyperlink" Target="https://ref.ly/Acts26:24" TargetMode="External"/><Relationship Id="rId9318" Type="http://schemas.openxmlformats.org/officeDocument/2006/relationships/hyperlink" Target="https://ref.ly/Exod35:25-Exod35:26" TargetMode="External"/><Relationship Id="rId9319" Type="http://schemas.openxmlformats.org/officeDocument/2006/relationships/hyperlink" Target="https://ref.ly/Prov31:1-Prov31:31" TargetMode="External"/><Relationship Id="rId9320" Type="http://schemas.openxmlformats.org/officeDocument/2006/relationships/hyperlink" Target="https://ref.ly/Matt6:28" TargetMode="External"/><Relationship Id="rId9321" Type="http://schemas.openxmlformats.org/officeDocument/2006/relationships/hyperlink" Target="https://ref.ly/Luke12:27" TargetMode="External"/><Relationship Id="rId9322" Type="http://schemas.openxmlformats.org/officeDocument/2006/relationships/hyperlink" Target="https://ref.ly/Gen21:22,Gen21:32" TargetMode="External"/><Relationship Id="rId9323" Type="http://schemas.openxmlformats.org/officeDocument/2006/relationships/hyperlink" Target="https://ref.ly/2Kgs18:16" TargetMode="External"/><Relationship Id="rId9324" Type="http://schemas.openxmlformats.org/officeDocument/2006/relationships/hyperlink" Target="https://ref.ly/Deut7:9" TargetMode="External"/><Relationship Id="rId9325" Type="http://schemas.openxmlformats.org/officeDocument/2006/relationships/hyperlink" Target="https://ref.ly/Isa49:7" TargetMode="External"/><Relationship Id="rId9326" Type="http://schemas.openxmlformats.org/officeDocument/2006/relationships/hyperlink" Target="https://ref.ly/Ps71:22" TargetMode="External"/><Relationship Id="rId9327" Type="http://schemas.openxmlformats.org/officeDocument/2006/relationships/hyperlink" Target="https://ref.ly/Isa61:8" TargetMode="External"/><Relationship Id="rId9328" Type="http://schemas.openxmlformats.org/officeDocument/2006/relationships/hyperlink" Target="https://ref.ly/Deut32:20" TargetMode="External"/><Relationship Id="rId9329" Type="http://schemas.openxmlformats.org/officeDocument/2006/relationships/hyperlink" Target="https://ref.ly/Lam3:23" TargetMode="External"/><Relationship Id="rId9330" Type="http://schemas.openxmlformats.org/officeDocument/2006/relationships/hyperlink" Target="https://ref.ly/Heb3:2" TargetMode="External"/><Relationship Id="rId9331" Type="http://schemas.openxmlformats.org/officeDocument/2006/relationships/hyperlink" Target="https://ref.ly/Rev1:5" TargetMode="External"/><Relationship Id="rId9332" Type="http://schemas.openxmlformats.org/officeDocument/2006/relationships/hyperlink" Target="https://ref.ly/Heb11:8-Heb11:10" TargetMode="External"/><Relationship Id="rId9333" Type="http://schemas.openxmlformats.org/officeDocument/2006/relationships/hyperlink" Target="https://ref.ly/Prov7:23" TargetMode="External"/><Relationship Id="rId9334" Type="http://schemas.openxmlformats.org/officeDocument/2006/relationships/hyperlink" Target="https://ref.ly/Exod29:13,Exod29:22" TargetMode="External"/><Relationship Id="rId9335" Type="http://schemas.openxmlformats.org/officeDocument/2006/relationships/hyperlink" Target="https://ref.ly/Lev3:4,Lev3:10,Lev3:15" TargetMode="External"/><Relationship Id="rId9336" Type="http://schemas.openxmlformats.org/officeDocument/2006/relationships/hyperlink" Target="https://ref.ly/Ezek21:21" TargetMode="External"/><Relationship Id="rId9337" Type="http://schemas.openxmlformats.org/officeDocument/2006/relationships/hyperlink" Target="https://ref.ly/Exod13:1-Exod13:10,Exod13:11-Exod13:16" TargetMode="External"/><Relationship Id="rId9338" Type="http://schemas.openxmlformats.org/officeDocument/2006/relationships/hyperlink" Target="https://ref.ly/Exod13:1-Exod13:10" TargetMode="External"/><Relationship Id="rId9339" Type="http://schemas.openxmlformats.org/officeDocument/2006/relationships/hyperlink" Target="https://ref.ly/Deut11:13-Deut11:21" TargetMode="External"/><Relationship Id="rId9340" Type="http://schemas.openxmlformats.org/officeDocument/2006/relationships/hyperlink" Target="https://ref.ly/Col4:17" TargetMode="External"/><Relationship Id="rId9341" Type="http://schemas.openxmlformats.org/officeDocument/2006/relationships/hyperlink" Target="https://ref.ly/Phlm1:2" TargetMode="External"/><Relationship Id="rId9342" Type="http://schemas.openxmlformats.org/officeDocument/2006/relationships/hyperlink" Target="https://ref.ly/Col2:1" TargetMode="External"/><Relationship Id="rId9343" Type="http://schemas.openxmlformats.org/officeDocument/2006/relationships/hyperlink" Target="https://ref.ly/Phlm1:1" TargetMode="External"/><Relationship Id="rId9344" Type="http://schemas.openxmlformats.org/officeDocument/2006/relationships/hyperlink" Target="https://ref.ly/Acts19:8-Acts19:10" TargetMode="External"/><Relationship Id="rId9345" Type="http://schemas.openxmlformats.org/officeDocument/2006/relationships/hyperlink" Target="https://ref.ly/Col4:7-Col4:14" TargetMode="External"/><Relationship Id="rId9346" Type="http://schemas.openxmlformats.org/officeDocument/2006/relationships/hyperlink" Target="https://ref.ly/Phlm1:23-Phlm1:24" TargetMode="External"/><Relationship Id="rId9347" Type="http://schemas.openxmlformats.org/officeDocument/2006/relationships/hyperlink" Target="https://ref.ly/Phlm1:22" TargetMode="External"/><Relationship Id="rId9348" Type="http://schemas.openxmlformats.org/officeDocument/2006/relationships/hyperlink" Target="https://ref.ly/Acts20:19" TargetMode="External"/><Relationship Id="rId9349" Type="http://schemas.openxmlformats.org/officeDocument/2006/relationships/hyperlink" Target="https://ref.ly/Phlm1:1-Phlm1:2" TargetMode="External"/><Relationship Id="rId9350" Type="http://schemas.openxmlformats.org/officeDocument/2006/relationships/hyperlink" Target="https://ref.ly/Matt18:15-Matt18:20" TargetMode="External"/><Relationship Id="rId9351" Type="http://schemas.openxmlformats.org/officeDocument/2006/relationships/hyperlink" Target="https://ref.ly/Phlm1:5-Phlm1:7" TargetMode="External"/><Relationship Id="rId9352" Type="http://schemas.openxmlformats.org/officeDocument/2006/relationships/hyperlink" Target="https://ref.ly/Phlm1:9" TargetMode="External"/><Relationship Id="rId9353" Type="http://schemas.openxmlformats.org/officeDocument/2006/relationships/hyperlink" Target="https://ref.ly/Phlm1:17" TargetMode="External"/><Relationship Id="rId9354" Type="http://schemas.openxmlformats.org/officeDocument/2006/relationships/hyperlink" Target="https://ref.ly/Phlm1:19" TargetMode="External"/><Relationship Id="rId9355" Type="http://schemas.openxmlformats.org/officeDocument/2006/relationships/hyperlink" Target="https://ref.ly/Phlm1:21" TargetMode="External"/><Relationship Id="rId9356" Type="http://schemas.openxmlformats.org/officeDocument/2006/relationships/hyperlink" Target="https://ref.ly/Phlm1:18" TargetMode="External"/><Relationship Id="rId9357" Type="http://schemas.openxmlformats.org/officeDocument/2006/relationships/hyperlink" Target="https://ref.ly/Phlm1:10" TargetMode="External"/><Relationship Id="rId9358" Type="http://schemas.openxmlformats.org/officeDocument/2006/relationships/hyperlink" Target="https://ref.ly/Phlm1:12" TargetMode="External"/><Relationship Id="rId9359" Type="http://schemas.openxmlformats.org/officeDocument/2006/relationships/hyperlink" Target="https://ref.ly/Phlm1:13" TargetMode="External"/><Relationship Id="rId9360" Type="http://schemas.openxmlformats.org/officeDocument/2006/relationships/hyperlink" Target="https://ref.ly/Col4:9" TargetMode="External"/><Relationship Id="rId9361" Type="http://schemas.openxmlformats.org/officeDocument/2006/relationships/hyperlink" Target="https://ref.ly/Phlm1:13-Phlm1:14" TargetMode="External"/><Relationship Id="rId9362" Type="http://schemas.openxmlformats.org/officeDocument/2006/relationships/hyperlink" Target="https://ref.ly/Phlm1:11" TargetMode="External"/><Relationship Id="rId9363" Type="http://schemas.openxmlformats.org/officeDocument/2006/relationships/hyperlink" Target="https://ref.ly/Phlm1:20" TargetMode="External"/><Relationship Id="rId9364" Type="http://schemas.openxmlformats.org/officeDocument/2006/relationships/hyperlink" Target="https://ref.ly/Mark10:42-Mark10:45" TargetMode="External"/><Relationship Id="rId9365" Type="http://schemas.openxmlformats.org/officeDocument/2006/relationships/hyperlink" Target="https://ref.ly/1Cor7:21" TargetMode="External"/><Relationship Id="rId9366" Type="http://schemas.openxmlformats.org/officeDocument/2006/relationships/hyperlink" Target="https://ref.ly/1Cor7:23" TargetMode="External"/><Relationship Id="rId9367" Type="http://schemas.openxmlformats.org/officeDocument/2006/relationships/hyperlink" Target="https://ref.ly/Phlm1:4-Phlm1:7" TargetMode="External"/><Relationship Id="rId9368" Type="http://schemas.openxmlformats.org/officeDocument/2006/relationships/hyperlink" Target="https://ref.ly/Phlm1:14" TargetMode="External"/><Relationship Id="rId9369" Type="http://schemas.openxmlformats.org/officeDocument/2006/relationships/hyperlink" Target="https://ref.ly/Exod2:5-Exod2:10" TargetMode="External"/><Relationship Id="rId9370" Type="http://schemas.openxmlformats.org/officeDocument/2006/relationships/hyperlink" Target="https://ref.ly/Acts7:21" TargetMode="External"/><Relationship Id="rId9371" Type="http://schemas.openxmlformats.org/officeDocument/2006/relationships/hyperlink" Target="https://ref.ly/Heb11:24" TargetMode="External"/><Relationship Id="rId9372" Type="http://schemas.openxmlformats.org/officeDocument/2006/relationships/hyperlink" Target="https://ref.ly/1Kgs3:1" TargetMode="External"/><Relationship Id="rId9373" Type="http://schemas.openxmlformats.org/officeDocument/2006/relationships/hyperlink" Target="https://ref.ly/1Kgs7:8" TargetMode="External"/><Relationship Id="rId9374" Type="http://schemas.openxmlformats.org/officeDocument/2006/relationships/hyperlink" Target="https://ref.ly/1Kgs9:24" TargetMode="External"/><Relationship Id="rId9375" Type="http://schemas.openxmlformats.org/officeDocument/2006/relationships/hyperlink" Target="https://ref.ly/2Chr8:11" TargetMode="External"/><Relationship Id="rId9376" Type="http://schemas.openxmlformats.org/officeDocument/2006/relationships/hyperlink" Target="https://ref.ly/Job2:1" TargetMode="External"/><Relationship Id="rId9377" Type="http://schemas.openxmlformats.org/officeDocument/2006/relationships/hyperlink" Target="https://ref.ly/Ps29:1" TargetMode="External"/><Relationship Id="rId9378" Type="http://schemas.openxmlformats.org/officeDocument/2006/relationships/hyperlink" Target="https://ref.ly/Ps82:6" TargetMode="External"/><Relationship Id="rId9379" Type="http://schemas.openxmlformats.org/officeDocument/2006/relationships/hyperlink" Target="https://ref.ly/Ps89:6" TargetMode="External"/><Relationship Id="rId9380" Type="http://schemas.openxmlformats.org/officeDocument/2006/relationships/hyperlink" Target="https://ref.ly/Exod4:22" TargetMode="External"/><Relationship Id="rId9381" Type="http://schemas.openxmlformats.org/officeDocument/2006/relationships/hyperlink" Target="https://ref.ly/Jer31:9" TargetMode="External"/><Relationship Id="rId9382" Type="http://schemas.openxmlformats.org/officeDocument/2006/relationships/hyperlink" Target="https://ref.ly/Matt3:17" TargetMode="External"/><Relationship Id="rId9383" Type="http://schemas.openxmlformats.org/officeDocument/2006/relationships/hyperlink" Target="https://ref.ly/Heb1:5" TargetMode="External"/><Relationship Id="rId9384" Type="http://schemas.openxmlformats.org/officeDocument/2006/relationships/hyperlink" Target="https://ref.ly/Isa7:13-Isa7:14" TargetMode="External"/><Relationship Id="rId9385" Type="http://schemas.openxmlformats.org/officeDocument/2006/relationships/hyperlink" Target="https://ref.ly/Isa9:6-Isa9:7" TargetMode="External"/><Relationship Id="rId9386" Type="http://schemas.openxmlformats.org/officeDocument/2006/relationships/hyperlink" Target="https://ref.ly/Matt21:4-Matt21:10" TargetMode="External"/><Relationship Id="rId9387" Type="http://schemas.openxmlformats.org/officeDocument/2006/relationships/hyperlink" Target="https://ref.ly/John8:38" TargetMode="External"/><Relationship Id="rId9388" Type="http://schemas.openxmlformats.org/officeDocument/2006/relationships/hyperlink" Target="https://ref.ly/John17:1-John17:26" TargetMode="External"/><Relationship Id="rId9389" Type="http://schemas.openxmlformats.org/officeDocument/2006/relationships/hyperlink" Target="https://ref.ly/Phil2:6-Phil2:7" TargetMode="External"/><Relationship Id="rId9390" Type="http://schemas.openxmlformats.org/officeDocument/2006/relationships/hyperlink" Target="https://ref.ly/Luke1:31" TargetMode="External"/><Relationship Id="rId9391" Type="http://schemas.openxmlformats.org/officeDocument/2006/relationships/hyperlink" Target="https://ref.ly/Luke9:35" TargetMode="External"/><Relationship Id="rId9392" Type="http://schemas.openxmlformats.org/officeDocument/2006/relationships/hyperlink" Target="https://ref.ly/1Cor15:28" TargetMode="External"/><Relationship Id="rId9393" Type="http://schemas.openxmlformats.org/officeDocument/2006/relationships/hyperlink" Target="https://ref.ly/Rom8:3" TargetMode="External"/><Relationship Id="rId9394" Type="http://schemas.openxmlformats.org/officeDocument/2006/relationships/hyperlink" Target="https://ref.ly/1Cor1:9" TargetMode="External"/><Relationship Id="rId9395" Type="http://schemas.openxmlformats.org/officeDocument/2006/relationships/hyperlink" Target="https://ref.ly/Acts9:20" TargetMode="External"/><Relationship Id="rId9396" Type="http://schemas.openxmlformats.org/officeDocument/2006/relationships/hyperlink" Target="https://ref.ly/Heb1:2-Heb1:12" TargetMode="External"/><Relationship Id="rId9397" Type="http://schemas.openxmlformats.org/officeDocument/2006/relationships/hyperlink" Target="https://ref.ly/Heb6:6" TargetMode="External"/><Relationship Id="rId9398" Type="http://schemas.openxmlformats.org/officeDocument/2006/relationships/hyperlink" Target="https://ref.ly/Heb7:3" TargetMode="External"/><Relationship Id="rId9399" Type="http://schemas.openxmlformats.org/officeDocument/2006/relationships/hyperlink" Target="https://ref.ly/1John4:1-1John4:21" TargetMode="External"/><Relationship Id="rId9400" Type="http://schemas.openxmlformats.org/officeDocument/2006/relationships/hyperlink" Target="https://ref.ly/1John5:1-1John5:21" TargetMode="External"/><Relationship Id="rId9401" Type="http://schemas.openxmlformats.org/officeDocument/2006/relationships/hyperlink" Target="https://ref.ly/Ezek2:1" TargetMode="External"/><Relationship Id="rId9402" Type="http://schemas.openxmlformats.org/officeDocument/2006/relationships/hyperlink" Target="https://ref.ly/Ezek22:1-Ezek22:31" TargetMode="External"/><Relationship Id="rId9403" Type="http://schemas.openxmlformats.org/officeDocument/2006/relationships/hyperlink" Target="https://ref.ly/Matt23:1-Matt24:51" TargetMode="External"/><Relationship Id="rId9404" Type="http://schemas.openxmlformats.org/officeDocument/2006/relationships/hyperlink" Target="https://ref.ly/Acts1:6-Acts1:8" TargetMode="External"/><Relationship Id="rId9405" Type="http://schemas.openxmlformats.org/officeDocument/2006/relationships/hyperlink" Target="https://ref.ly/Matt16:27" TargetMode="External"/><Relationship Id="rId9406" Type="http://schemas.openxmlformats.org/officeDocument/2006/relationships/hyperlink" Target="https://ref.ly/Matt19:28" TargetMode="External"/><Relationship Id="rId9407" Type="http://schemas.openxmlformats.org/officeDocument/2006/relationships/hyperlink" Target="https://ref.ly/Matt25:31" TargetMode="External"/><Relationship Id="rId9408" Type="http://schemas.openxmlformats.org/officeDocument/2006/relationships/hyperlink" Target="https://ref.ly/Matt26:64" TargetMode="External"/><Relationship Id="rId9409" Type="http://schemas.openxmlformats.org/officeDocument/2006/relationships/hyperlink" Target="https://ref.ly/John12:34" TargetMode="External"/><Relationship Id="rId9410" Type="http://schemas.openxmlformats.org/officeDocument/2006/relationships/hyperlink" Target="https://ref.ly/Matt16:13" TargetMode="External"/><Relationship Id="rId9411" Type="http://schemas.openxmlformats.org/officeDocument/2006/relationships/hyperlink" Target="https://ref.ly/Acts7:56" TargetMode="External"/><Relationship Id="rId9412" Type="http://schemas.openxmlformats.org/officeDocument/2006/relationships/hyperlink" Target="https://ref.ly/Heb2:6" TargetMode="External"/><Relationship Id="rId9413" Type="http://schemas.openxmlformats.org/officeDocument/2006/relationships/hyperlink" Target="https://ref.ly/Rev1:13" TargetMode="External"/><Relationship Id="rId9414" Type="http://schemas.openxmlformats.org/officeDocument/2006/relationships/hyperlink" Target="https://ref.ly/Phil2:5-Phil2:11" TargetMode="External"/><Relationship Id="rId9415" Type="http://schemas.openxmlformats.org/officeDocument/2006/relationships/hyperlink" Target="https://ref.ly/Matt12:8" TargetMode="External"/><Relationship Id="rId9416" Type="http://schemas.openxmlformats.org/officeDocument/2006/relationships/hyperlink" Target="https://ref.ly/Mark2:28" TargetMode="External"/><Relationship Id="rId9417" Type="http://schemas.openxmlformats.org/officeDocument/2006/relationships/hyperlink" Target="https://ref.ly/Luke6:5" TargetMode="External"/><Relationship Id="rId9418" Type="http://schemas.openxmlformats.org/officeDocument/2006/relationships/hyperlink" Target="https://ref.ly/Matt9:6" TargetMode="External"/><Relationship Id="rId9419" Type="http://schemas.openxmlformats.org/officeDocument/2006/relationships/hyperlink" Target="https://ref.ly/Luke5:24" TargetMode="External"/><Relationship Id="rId9420" Type="http://schemas.openxmlformats.org/officeDocument/2006/relationships/hyperlink" Target="https://ref.ly/Mark8:31-Mark8:32" TargetMode="External"/><Relationship Id="rId9421" Type="http://schemas.openxmlformats.org/officeDocument/2006/relationships/hyperlink" Target="https://ref.ly/Matt17:12" TargetMode="External"/><Relationship Id="rId9422" Type="http://schemas.openxmlformats.org/officeDocument/2006/relationships/hyperlink" Target="https://ref.ly/Matt20:18" TargetMode="External"/><Relationship Id="rId9423" Type="http://schemas.openxmlformats.org/officeDocument/2006/relationships/hyperlink" Target="https://ref.ly/Luke9:22" TargetMode="External"/><Relationship Id="rId9424" Type="http://schemas.openxmlformats.org/officeDocument/2006/relationships/hyperlink" Target="https://ref.ly/Matt17:22" TargetMode="External"/><Relationship Id="rId9425" Type="http://schemas.openxmlformats.org/officeDocument/2006/relationships/hyperlink" Target="https://ref.ly/Matt26:24-Matt26:25" TargetMode="External"/><Relationship Id="rId9426" Type="http://schemas.openxmlformats.org/officeDocument/2006/relationships/hyperlink" Target="https://ref.ly/Mark14:21" TargetMode="External"/><Relationship Id="rId9427" Type="http://schemas.openxmlformats.org/officeDocument/2006/relationships/hyperlink" Target="https://ref.ly/Matt20:19" TargetMode="External"/><Relationship Id="rId9428" Type="http://schemas.openxmlformats.org/officeDocument/2006/relationships/hyperlink" Target="https://ref.ly/Mark9:12" TargetMode="External"/><Relationship Id="rId9429" Type="http://schemas.openxmlformats.org/officeDocument/2006/relationships/hyperlink" Target="https://ref.ly/Mark10:33" TargetMode="External"/><Relationship Id="rId9430" Type="http://schemas.openxmlformats.org/officeDocument/2006/relationships/hyperlink" Target="https://ref.ly/Luke11:30" TargetMode="External"/><Relationship Id="rId9431" Type="http://schemas.openxmlformats.org/officeDocument/2006/relationships/hyperlink" Target="https://ref.ly/Luke9:26" TargetMode="External"/><Relationship Id="rId9432" Type="http://schemas.openxmlformats.org/officeDocument/2006/relationships/hyperlink" Target="https://ref.ly/Luke22:69" TargetMode="External"/><Relationship Id="rId9433" Type="http://schemas.openxmlformats.org/officeDocument/2006/relationships/hyperlink" Target="https://ref.ly/Mark13:26" TargetMode="External"/><Relationship Id="rId9434" Type="http://schemas.openxmlformats.org/officeDocument/2006/relationships/hyperlink" Target="https://ref.ly/Luke21:27" TargetMode="External"/><Relationship Id="rId9435" Type="http://schemas.openxmlformats.org/officeDocument/2006/relationships/hyperlink" Target="https://ref.ly/Matt24:27" TargetMode="External"/><Relationship Id="rId9436" Type="http://schemas.openxmlformats.org/officeDocument/2006/relationships/hyperlink" Target="https://ref.ly/Luke12:40" TargetMode="External"/><Relationship Id="rId9437" Type="http://schemas.openxmlformats.org/officeDocument/2006/relationships/hyperlink" Target="https://ref.ly/Matt24:37" TargetMode="External"/><Relationship Id="rId9438" Type="http://schemas.openxmlformats.org/officeDocument/2006/relationships/hyperlink" Target="https://ref.ly/Luke17:24" TargetMode="External"/><Relationship Id="rId9439" Type="http://schemas.openxmlformats.org/officeDocument/2006/relationships/hyperlink" Target="https://ref.ly/Matt25:32" TargetMode="External"/><Relationship Id="rId9440" Type="http://schemas.openxmlformats.org/officeDocument/2006/relationships/hyperlink" Target="https://ref.ly/Matt25:46" TargetMode="External"/><Relationship Id="rId9441" Type="http://schemas.openxmlformats.org/officeDocument/2006/relationships/hyperlink" Target="https://ref.ly/Acts17:31" TargetMode="External"/><Relationship Id="rId9442" Type="http://schemas.openxmlformats.org/officeDocument/2006/relationships/hyperlink" Target="https://ref.ly/John1:51" TargetMode="External"/><Relationship Id="rId9443" Type="http://schemas.openxmlformats.org/officeDocument/2006/relationships/hyperlink" Target="https://ref.ly/John3:18" TargetMode="External"/><Relationship Id="rId9444" Type="http://schemas.openxmlformats.org/officeDocument/2006/relationships/hyperlink" Target="https://ref.ly/John5:25-John5:27" TargetMode="External"/><Relationship Id="rId9445" Type="http://schemas.openxmlformats.org/officeDocument/2006/relationships/hyperlink" Target="https://ref.ly/2Cor6:18" TargetMode="External"/><Relationship Id="rId9446" Type="http://schemas.openxmlformats.org/officeDocument/2006/relationships/hyperlink" Target="https://ref.ly/Prov8:1-Prov8:36" TargetMode="External"/><Relationship Id="rId9447" Type="http://schemas.openxmlformats.org/officeDocument/2006/relationships/hyperlink" Target="https://ref.ly/Eph1:5,Eph1:9" TargetMode="External"/><Relationship Id="rId9448" Type="http://schemas.openxmlformats.org/officeDocument/2006/relationships/hyperlink" Target="https://ref.ly/Eph1:9" TargetMode="External"/><Relationship Id="rId9449" Type="http://schemas.openxmlformats.org/officeDocument/2006/relationships/hyperlink" Target="https://ref.ly/Rom8:26-Rom8:28" TargetMode="External"/><Relationship Id="rId9450" Type="http://schemas.openxmlformats.org/officeDocument/2006/relationships/hyperlink" Target="https://ref.ly/Eph1:4-Eph1:5" TargetMode="External"/><Relationship Id="rId9451" Type="http://schemas.openxmlformats.org/officeDocument/2006/relationships/hyperlink" Target="https://ref.ly/Eph1:1-Eph1:23" TargetMode="External"/><Relationship Id="rId9452" Type="http://schemas.openxmlformats.org/officeDocument/2006/relationships/hyperlink" Target="https://ref.ly/Eph1:6" TargetMode="External"/><Relationship Id="rId9453" Type="http://schemas.openxmlformats.org/officeDocument/2006/relationships/hyperlink" Target="https://ref.ly/Luke6:14" TargetMode="External"/><Relationship Id="rId9454" Type="http://schemas.openxmlformats.org/officeDocument/2006/relationships/hyperlink" Target="https://ref.ly/John1:35-John1:51" TargetMode="External"/><Relationship Id="rId9455" Type="http://schemas.openxmlformats.org/officeDocument/2006/relationships/hyperlink" Target="https://ref.ly/John6:5-John6:7" TargetMode="External"/><Relationship Id="rId9456" Type="http://schemas.openxmlformats.org/officeDocument/2006/relationships/hyperlink" Target="https://ref.ly/Exod33:18" TargetMode="External"/><Relationship Id="rId9457" Type="http://schemas.openxmlformats.org/officeDocument/2006/relationships/hyperlink" Target="https://ref.ly/John14:8-John14:10" TargetMode="External"/><Relationship Id="rId9458" Type="http://schemas.openxmlformats.org/officeDocument/2006/relationships/hyperlink" Target="https://ref.ly/Acts6:1-Acts6:7" TargetMode="External"/><Relationship Id="rId9459" Type="http://schemas.openxmlformats.org/officeDocument/2006/relationships/hyperlink" Target="https://ref.ly/Acts8:25-Acts8:40" TargetMode="External"/><Relationship Id="rId9460" Type="http://schemas.openxmlformats.org/officeDocument/2006/relationships/hyperlink" Target="https://ref.ly/Acts21:8-Acts21:9" TargetMode="External"/><Relationship Id="rId9461" Type="http://schemas.openxmlformats.org/officeDocument/2006/relationships/hyperlink" Target="https://ref.ly/Acts23:31-Acts23:35" TargetMode="External"/><Relationship Id="rId9462" Type="http://schemas.openxmlformats.org/officeDocument/2006/relationships/hyperlink" Target="https://ref.ly/Acts24:23" TargetMode="External"/><Relationship Id="rId9463" Type="http://schemas.openxmlformats.org/officeDocument/2006/relationships/hyperlink" Target="https://ref.ly/Luke3:1" TargetMode="External"/><Relationship Id="rId9464" Type="http://schemas.openxmlformats.org/officeDocument/2006/relationships/hyperlink" Target="https://ref.ly/Matt14:3-Matt14:12" TargetMode="External"/><Relationship Id="rId9465" Type="http://schemas.openxmlformats.org/officeDocument/2006/relationships/hyperlink" Target="https://ref.ly/Mark6:17-Mark6:29" TargetMode="External"/><Relationship Id="rId9466" Type="http://schemas.openxmlformats.org/officeDocument/2006/relationships/hyperlink" Target="https://ref.ly/Luke3:19-Luke3:20" TargetMode="External"/><Relationship Id="rId9467" Type="http://schemas.openxmlformats.org/officeDocument/2006/relationships/hyperlink" Target="https://ref.ly/Phil1:12-Phil1:13" TargetMode="External"/><Relationship Id="rId9468" Type="http://schemas.openxmlformats.org/officeDocument/2006/relationships/hyperlink" Target="https://ref.ly/Phil4:14" TargetMode="External"/><Relationship Id="rId9469" Type="http://schemas.openxmlformats.org/officeDocument/2006/relationships/hyperlink" Target="https://ref.ly/Phil2:25-Phil2:26" TargetMode="External"/><Relationship Id="rId9470" Type="http://schemas.openxmlformats.org/officeDocument/2006/relationships/hyperlink" Target="https://ref.ly/Acts23:33-Acts23:35" TargetMode="External"/><Relationship Id="rId9471" Type="http://schemas.openxmlformats.org/officeDocument/2006/relationships/hyperlink" Target="https://ref.ly/Acts19:30-Acts19:31" TargetMode="External"/><Relationship Id="rId9472" Type="http://schemas.openxmlformats.org/officeDocument/2006/relationships/hyperlink" Target="https://ref.ly/Acts16:12" TargetMode="External"/><Relationship Id="rId9473" Type="http://schemas.openxmlformats.org/officeDocument/2006/relationships/hyperlink" Target="https://ref.ly/Phil3:20" TargetMode="External"/><Relationship Id="rId9474" Type="http://schemas.openxmlformats.org/officeDocument/2006/relationships/hyperlink" Target="https://ref.ly/Phil4:12" TargetMode="External"/><Relationship Id="rId9475" Type="http://schemas.openxmlformats.org/officeDocument/2006/relationships/hyperlink" Target="https://ref.ly/Phil3:4-Phil3:16" TargetMode="External"/><Relationship Id="rId9476" Type="http://schemas.openxmlformats.org/officeDocument/2006/relationships/hyperlink" Target="https://ref.ly/Phil2:1-Phil2:30" TargetMode="External"/><Relationship Id="rId9477" Type="http://schemas.openxmlformats.org/officeDocument/2006/relationships/hyperlink" Target="https://ref.ly/Phil1:1-Phil1:11" TargetMode="External"/><Relationship Id="rId9478" Type="http://schemas.openxmlformats.org/officeDocument/2006/relationships/hyperlink" Target="https://ref.ly/Phil1:7-Phil1:8" TargetMode="External"/><Relationship Id="rId9479" Type="http://schemas.openxmlformats.org/officeDocument/2006/relationships/hyperlink" Target="https://ref.ly/Phil1:1-Phil1:2" TargetMode="External"/><Relationship Id="rId9480" Type="http://schemas.openxmlformats.org/officeDocument/2006/relationships/hyperlink" Target="https://ref.ly/Phil4:21-Phil4:23" TargetMode="External"/><Relationship Id="rId9481" Type="http://schemas.openxmlformats.org/officeDocument/2006/relationships/hyperlink" Target="https://ref.ly/Phil1:9" TargetMode="External"/><Relationship Id="rId9482" Type="http://schemas.openxmlformats.org/officeDocument/2006/relationships/hyperlink" Target="https://ref.ly/Phil1:7" TargetMode="External"/><Relationship Id="rId9483" Type="http://schemas.openxmlformats.org/officeDocument/2006/relationships/hyperlink" Target="https://ref.ly/Phil1:10-Phil1:11" TargetMode="External"/><Relationship Id="rId9484" Type="http://schemas.openxmlformats.org/officeDocument/2006/relationships/hyperlink" Target="https://ref.ly/Phil1:4" TargetMode="External"/><Relationship Id="rId9485" Type="http://schemas.openxmlformats.org/officeDocument/2006/relationships/hyperlink" Target="https://ref.ly/Phil1:12-Phil1:26" TargetMode="External"/><Relationship Id="rId9486" Type="http://schemas.openxmlformats.org/officeDocument/2006/relationships/hyperlink" Target="https://ref.ly/Phil1:21" TargetMode="External"/><Relationship Id="rId9487" Type="http://schemas.openxmlformats.org/officeDocument/2006/relationships/hyperlink" Target="https://ref.ly/Phil4:9" TargetMode="External"/><Relationship Id="rId9488" Type="http://schemas.openxmlformats.org/officeDocument/2006/relationships/hyperlink" Target="https://ref.ly/Phil1:12-Phil1:18" TargetMode="External"/><Relationship Id="rId9489" Type="http://schemas.openxmlformats.org/officeDocument/2006/relationships/hyperlink" Target="https://ref.ly/Phil1:18" TargetMode="External"/><Relationship Id="rId9490" Type="http://schemas.openxmlformats.org/officeDocument/2006/relationships/hyperlink" Target="https://ref.ly/Phil1:14" TargetMode="External"/><Relationship Id="rId9491" Type="http://schemas.openxmlformats.org/officeDocument/2006/relationships/hyperlink" Target="https://ref.ly/Phil1:19-Phil1:26" TargetMode="External"/><Relationship Id="rId9492" Type="http://schemas.openxmlformats.org/officeDocument/2006/relationships/hyperlink" Target="https://ref.ly/Phil1:19-Phil1:21" TargetMode="External"/><Relationship Id="rId9493" Type="http://schemas.openxmlformats.org/officeDocument/2006/relationships/hyperlink" Target="https://ref.ly/Phil1:22" TargetMode="External"/><Relationship Id="rId9494" Type="http://schemas.openxmlformats.org/officeDocument/2006/relationships/hyperlink" Target="https://ref.ly/Phil1:25" TargetMode="External"/><Relationship Id="rId9495" Type="http://schemas.openxmlformats.org/officeDocument/2006/relationships/hyperlink" Target="https://ref.ly/Phil1:19-Phil1:20" TargetMode="External"/><Relationship Id="rId9496" Type="http://schemas.openxmlformats.org/officeDocument/2006/relationships/hyperlink" Target="https://ref.ly/Phil1:27-Phil2:18" TargetMode="External"/><Relationship Id="rId9497" Type="http://schemas.openxmlformats.org/officeDocument/2006/relationships/hyperlink" Target="https://ref.ly/Phil1:27-Phil1:30" TargetMode="External"/><Relationship Id="rId9498" Type="http://schemas.openxmlformats.org/officeDocument/2006/relationships/hyperlink" Target="https://ref.ly/Phil2:12-Phil2:18" TargetMode="External"/><Relationship Id="rId9499" Type="http://schemas.openxmlformats.org/officeDocument/2006/relationships/hyperlink" Target="https://ref.ly/Phil1:30" TargetMode="External"/><Relationship Id="rId9500" Type="http://schemas.openxmlformats.org/officeDocument/2006/relationships/hyperlink" Target="https://ref.ly/Phil1:29" TargetMode="External"/><Relationship Id="rId9501" Type="http://schemas.openxmlformats.org/officeDocument/2006/relationships/hyperlink" Target="https://ref.ly/Phil2:2" TargetMode="External"/><Relationship Id="rId9502" Type="http://schemas.openxmlformats.org/officeDocument/2006/relationships/hyperlink" Target="https://ref.ly/Phil2:19-Phil2:30" TargetMode="External"/><Relationship Id="rId9503" Type="http://schemas.openxmlformats.org/officeDocument/2006/relationships/hyperlink" Target="https://ref.ly/Phil2:20" TargetMode="External"/><Relationship Id="rId9504" Type="http://schemas.openxmlformats.org/officeDocument/2006/relationships/hyperlink" Target="https://ref.ly/Phil2:21" TargetMode="External"/><Relationship Id="rId9505" Type="http://schemas.openxmlformats.org/officeDocument/2006/relationships/hyperlink" Target="https://ref.ly/Phil2:22" TargetMode="External"/><Relationship Id="rId9506" Type="http://schemas.openxmlformats.org/officeDocument/2006/relationships/hyperlink" Target="https://ref.ly/Phil2:27" TargetMode="External"/><Relationship Id="rId9507" Type="http://schemas.openxmlformats.org/officeDocument/2006/relationships/hyperlink" Target="https://ref.ly/Phil3:1-Phil4:1" TargetMode="External"/><Relationship Id="rId9508" Type="http://schemas.openxmlformats.org/officeDocument/2006/relationships/hyperlink" Target="https://ref.ly/Phil3:1" TargetMode="External"/><Relationship Id="rId9509" Type="http://schemas.openxmlformats.org/officeDocument/2006/relationships/hyperlink" Target="https://ref.ly/Phil3:17" TargetMode="External"/><Relationship Id="rId9510" Type="http://schemas.openxmlformats.org/officeDocument/2006/relationships/hyperlink" Target="https://ref.ly/Phil1:28" TargetMode="External"/><Relationship Id="rId9511" Type="http://schemas.openxmlformats.org/officeDocument/2006/relationships/hyperlink" Target="https://ref.ly/Acts17:5" TargetMode="External"/><Relationship Id="rId9512" Type="http://schemas.openxmlformats.org/officeDocument/2006/relationships/hyperlink" Target="https://ref.ly/Phil3:4" TargetMode="External"/><Relationship Id="rId9513" Type="http://schemas.openxmlformats.org/officeDocument/2006/relationships/hyperlink" Target="https://ref.ly/Phil3:8" TargetMode="External"/><Relationship Id="rId9514" Type="http://schemas.openxmlformats.org/officeDocument/2006/relationships/hyperlink" Target="https://ref.ly/Phil3:7" TargetMode="External"/><Relationship Id="rId9515" Type="http://schemas.openxmlformats.org/officeDocument/2006/relationships/hyperlink" Target="https://ref.ly/Phil4:2-Phil4:23" TargetMode="External"/><Relationship Id="rId9516" Type="http://schemas.openxmlformats.org/officeDocument/2006/relationships/hyperlink" Target="https://ref.ly/Phil4:2" TargetMode="External"/><Relationship Id="rId9517" Type="http://schemas.openxmlformats.org/officeDocument/2006/relationships/hyperlink" Target="https://ref.ly/Phil4:10" TargetMode="External"/><Relationship Id="rId9518" Type="http://schemas.openxmlformats.org/officeDocument/2006/relationships/hyperlink" Target="https://ref.ly/Phil3:18" TargetMode="External"/><Relationship Id="rId9519" Type="http://schemas.openxmlformats.org/officeDocument/2006/relationships/hyperlink" Target="https://ref.ly/Phil4:3" TargetMode="External"/><Relationship Id="rId9520" Type="http://schemas.openxmlformats.org/officeDocument/2006/relationships/hyperlink" Target="https://ref.ly/Phil4:4-Phil4:9" TargetMode="External"/><Relationship Id="rId9521" Type="http://schemas.openxmlformats.org/officeDocument/2006/relationships/hyperlink" Target="https://ref.ly/Phil4:8" TargetMode="External"/><Relationship Id="rId9522" Type="http://schemas.openxmlformats.org/officeDocument/2006/relationships/hyperlink" Target="https://ref.ly/Phil4:19" TargetMode="External"/><Relationship Id="rId9523" Type="http://schemas.openxmlformats.org/officeDocument/2006/relationships/hyperlink" Target="https://ref.ly/Acts16:21" TargetMode="External"/><Relationship Id="rId9524" Type="http://schemas.openxmlformats.org/officeDocument/2006/relationships/hyperlink" Target="https://ref.ly/Acts16:20-Acts16:22,Acts16:38" TargetMode="External"/><Relationship Id="rId9525" Type="http://schemas.openxmlformats.org/officeDocument/2006/relationships/hyperlink" Target="https://ref.ly/Acts16:14-Acts16:15,Acts16:40" TargetMode="External"/><Relationship Id="rId9526" Type="http://schemas.openxmlformats.org/officeDocument/2006/relationships/hyperlink" Target="https://ref.ly/Acts16:10,Acts16:40" TargetMode="External"/><Relationship Id="rId9527" Type="http://schemas.openxmlformats.org/officeDocument/2006/relationships/hyperlink" Target="https://ref.ly/Acts20:6" TargetMode="External"/><Relationship Id="rId9528" Type="http://schemas.openxmlformats.org/officeDocument/2006/relationships/hyperlink" Target="https://ref.ly/Judg15:1-Judg15:5" TargetMode="External"/><Relationship Id="rId9529" Type="http://schemas.openxmlformats.org/officeDocument/2006/relationships/hyperlink" Target="https://ref.ly/1Sam31:10" TargetMode="External"/><Relationship Id="rId9530" Type="http://schemas.openxmlformats.org/officeDocument/2006/relationships/hyperlink" Target="https://ref.ly/2Sam15:19" TargetMode="External"/><Relationship Id="rId9531" Type="http://schemas.openxmlformats.org/officeDocument/2006/relationships/hyperlink" Target="https://ref.ly/2Sam20:7,2Sam20:23" TargetMode="External"/><Relationship Id="rId9532" Type="http://schemas.openxmlformats.org/officeDocument/2006/relationships/hyperlink" Target="https://ref.ly/1Chr18:17" TargetMode="External"/><Relationship Id="rId9533" Type="http://schemas.openxmlformats.org/officeDocument/2006/relationships/hyperlink" Target="https://ref.ly/1Sam5:11" TargetMode="External"/><Relationship Id="rId9534" Type="http://schemas.openxmlformats.org/officeDocument/2006/relationships/hyperlink" Target="https://ref.ly/1Sam6:12" TargetMode="External"/><Relationship Id="rId9535" Type="http://schemas.openxmlformats.org/officeDocument/2006/relationships/hyperlink" Target="https://ref.ly/1Sam29:2" TargetMode="External"/><Relationship Id="rId9536" Type="http://schemas.openxmlformats.org/officeDocument/2006/relationships/hyperlink" Target="https://ref.ly/1Sam6:17" TargetMode="External"/><Relationship Id="rId9537" Type="http://schemas.openxmlformats.org/officeDocument/2006/relationships/hyperlink" Target="https://ref.ly/1Sam5:6-1Sam5:12" TargetMode="External"/><Relationship Id="rId9538" Type="http://schemas.openxmlformats.org/officeDocument/2006/relationships/hyperlink" Target="https://ref.ly/1Sam29:1-1Sam29:11" TargetMode="External"/><Relationship Id="rId9539" Type="http://schemas.openxmlformats.org/officeDocument/2006/relationships/hyperlink" Target="https://ref.ly/Judg16:23-Judg16:30" TargetMode="External"/><Relationship Id="rId9540" Type="http://schemas.openxmlformats.org/officeDocument/2006/relationships/hyperlink" Target="https://ref.ly/1Sam5:1-1Sam5:5" TargetMode="External"/><Relationship Id="rId9541" Type="http://schemas.openxmlformats.org/officeDocument/2006/relationships/hyperlink" Target="https://ref.ly/Gen26:1-Gen26:35" TargetMode="External"/><Relationship Id="rId9542" Type="http://schemas.openxmlformats.org/officeDocument/2006/relationships/hyperlink" Target="https://ref.ly/Gen26:33" TargetMode="External"/><Relationship Id="rId9543" Type="http://schemas.openxmlformats.org/officeDocument/2006/relationships/hyperlink" Target="https://ref.ly/1Sam13:22" TargetMode="External"/><Relationship Id="rId9544" Type="http://schemas.openxmlformats.org/officeDocument/2006/relationships/hyperlink" Target="https://ref.ly/Judg3:31" TargetMode="External"/><Relationship Id="rId9545" Type="http://schemas.openxmlformats.org/officeDocument/2006/relationships/hyperlink" Target="https://ref.ly/1Sam4:17" TargetMode="External"/><Relationship Id="rId9546" Type="http://schemas.openxmlformats.org/officeDocument/2006/relationships/hyperlink" Target="https://ref.ly/1Sam7:12" TargetMode="External"/><Relationship Id="rId9547" Type="http://schemas.openxmlformats.org/officeDocument/2006/relationships/hyperlink" Target="https://ref.ly/1Sam10:5" TargetMode="External"/><Relationship Id="rId9548" Type="http://schemas.openxmlformats.org/officeDocument/2006/relationships/hyperlink" Target="https://ref.ly/1Sam13:3" TargetMode="External"/><Relationship Id="rId9549" Type="http://schemas.openxmlformats.org/officeDocument/2006/relationships/hyperlink" Target="https://ref.ly/1Sam14:1-1Sam14:15" TargetMode="External"/><Relationship Id="rId9550" Type="http://schemas.openxmlformats.org/officeDocument/2006/relationships/hyperlink" Target="https://ref.ly/1Sam17:1-1Sam17:11" TargetMode="External"/><Relationship Id="rId9551" Type="http://schemas.openxmlformats.org/officeDocument/2006/relationships/hyperlink" Target="https://ref.ly/1Sam23:1-1Sam23:5" TargetMode="External"/><Relationship Id="rId9552" Type="http://schemas.openxmlformats.org/officeDocument/2006/relationships/hyperlink" Target="https://ref.ly/1Sam28:1-1Sam28:2" TargetMode="External"/><Relationship Id="rId9553" Type="http://schemas.openxmlformats.org/officeDocument/2006/relationships/hyperlink" Target="https://ref.ly/1Sam31:1-1Sam31:7" TargetMode="External"/><Relationship Id="rId9554" Type="http://schemas.openxmlformats.org/officeDocument/2006/relationships/hyperlink" Target="https://ref.ly/1Sam31:8-1Sam31:11" TargetMode="External"/><Relationship Id="rId9555" Type="http://schemas.openxmlformats.org/officeDocument/2006/relationships/hyperlink" Target="https://ref.ly/2Sam5:17-2Sam5:25" TargetMode="External"/><Relationship Id="rId9556" Type="http://schemas.openxmlformats.org/officeDocument/2006/relationships/hyperlink" Target="https://ref.ly/2Sam21:15-2Sam21:21" TargetMode="External"/><Relationship Id="rId9557" Type="http://schemas.openxmlformats.org/officeDocument/2006/relationships/hyperlink" Target="https://ref.ly/2Chr26:6-2Chr26:7" TargetMode="External"/><Relationship Id="rId9558" Type="http://schemas.openxmlformats.org/officeDocument/2006/relationships/hyperlink" Target="https://ref.ly/2Chr28:18" TargetMode="External"/><Relationship Id="rId9559" Type="http://schemas.openxmlformats.org/officeDocument/2006/relationships/hyperlink" Target="https://ref.ly/Jer47:1-Jer47:7" TargetMode="External"/><Relationship Id="rId9560" Type="http://schemas.openxmlformats.org/officeDocument/2006/relationships/hyperlink" Target="https://ref.ly/John1:1-John1:4" TargetMode="External"/><Relationship Id="rId9561" Type="http://schemas.openxmlformats.org/officeDocument/2006/relationships/hyperlink" Target="https://ref.ly/Gen1:26" TargetMode="External"/><Relationship Id="rId9562" Type="http://schemas.openxmlformats.org/officeDocument/2006/relationships/hyperlink" Target="https://ref.ly/Col2:8-Col2:10" TargetMode="External"/><Relationship Id="rId9563" Type="http://schemas.openxmlformats.org/officeDocument/2006/relationships/hyperlink" Target="https://ref.ly/Acts17:21" TargetMode="External"/><Relationship Id="rId9564" Type="http://schemas.openxmlformats.org/officeDocument/2006/relationships/hyperlink" Target="https://ref.ly/Exod6:25" TargetMode="External"/><Relationship Id="rId9565" Type="http://schemas.openxmlformats.org/officeDocument/2006/relationships/hyperlink" Target="https://ref.ly/1Chr6:4,1Chr6:50" TargetMode="External"/><Relationship Id="rId9566" Type="http://schemas.openxmlformats.org/officeDocument/2006/relationships/hyperlink" Target="https://ref.ly/1Chr9:20" TargetMode="External"/><Relationship Id="rId9567" Type="http://schemas.openxmlformats.org/officeDocument/2006/relationships/hyperlink" Target="https://ref.ly/Num25:7" TargetMode="External"/><Relationship Id="rId9568" Type="http://schemas.openxmlformats.org/officeDocument/2006/relationships/hyperlink" Target="https://ref.ly/Num25:11-Num25:13" TargetMode="External"/><Relationship Id="rId9569" Type="http://schemas.openxmlformats.org/officeDocument/2006/relationships/hyperlink" Target="https://ref.ly/Ps106:30" TargetMode="External"/><Relationship Id="rId9570" Type="http://schemas.openxmlformats.org/officeDocument/2006/relationships/hyperlink" Target="https://ref.ly/1Sam1:1-1Sam3:21" TargetMode="External"/><Relationship Id="rId9571" Type="http://schemas.openxmlformats.org/officeDocument/2006/relationships/hyperlink" Target="https://ref.ly/1Sam14:3" TargetMode="External"/><Relationship Id="rId9572" Type="http://schemas.openxmlformats.org/officeDocument/2006/relationships/hyperlink" Target="https://ref.ly/Num31:6" TargetMode="External"/><Relationship Id="rId9573" Type="http://schemas.openxmlformats.org/officeDocument/2006/relationships/hyperlink" Target="https://ref.ly/Josh22:13,Josh22:30-Josh22:32" TargetMode="External"/><Relationship Id="rId9574" Type="http://schemas.openxmlformats.org/officeDocument/2006/relationships/hyperlink" Target="https://ref.ly/Judg20:28" TargetMode="External"/><Relationship Id="rId9575" Type="http://schemas.openxmlformats.org/officeDocument/2006/relationships/hyperlink" Target="https://ref.ly/Ezra7:5" TargetMode="External"/><Relationship Id="rId9576" Type="http://schemas.openxmlformats.org/officeDocument/2006/relationships/hyperlink" Target="https://ref.ly/Ezra8:2" TargetMode="External"/><Relationship Id="rId9577" Type="http://schemas.openxmlformats.org/officeDocument/2006/relationships/hyperlink" Target="https://ref.ly/1Sam2:12-1Sam2:17" TargetMode="External"/><Relationship Id="rId9578" Type="http://schemas.openxmlformats.org/officeDocument/2006/relationships/hyperlink" Target="https://ref.ly/1Sam2:25" TargetMode="External"/><Relationship Id="rId9579" Type="http://schemas.openxmlformats.org/officeDocument/2006/relationships/hyperlink" Target="https://ref.ly/1Sam4:11,1Sam4:17-1Sam4:19" TargetMode="External"/><Relationship Id="rId9580" Type="http://schemas.openxmlformats.org/officeDocument/2006/relationships/hyperlink" Target="https://ref.ly/Gen1:6-Gen1:8" TargetMode="External"/><Relationship Id="rId9581" Type="http://schemas.openxmlformats.org/officeDocument/2006/relationships/hyperlink" Target="https://ref.ly/Ps150:1" TargetMode="External"/><Relationship Id="rId9582" Type="http://schemas.openxmlformats.org/officeDocument/2006/relationships/hyperlink" Target="https://ref.ly/Ezek1:22-Ezek1:26" TargetMode="External"/><Relationship Id="rId9583" Type="http://schemas.openxmlformats.org/officeDocument/2006/relationships/hyperlink" Target="https://ref.ly/Ezek10:1" TargetMode="External"/><Relationship Id="rId9584" Type="http://schemas.openxmlformats.org/officeDocument/2006/relationships/hyperlink" Target="https://ref.ly/Dan12:3" TargetMode="External"/><Relationship Id="rId9585" Type="http://schemas.openxmlformats.org/officeDocument/2006/relationships/hyperlink" Target="https://ref.ly/Lev15:1-Lev15:33" TargetMode="External"/><Relationship Id="rId9586" Type="http://schemas.openxmlformats.org/officeDocument/2006/relationships/hyperlink" Target="https://ref.ly/Lev15:19-Lev15:28" TargetMode="External"/><Relationship Id="rId9587" Type="http://schemas.openxmlformats.org/officeDocument/2006/relationships/hyperlink" Target="https://ref.ly/Lev15:29-Lev15:30" TargetMode="External"/><Relationship Id="rId9588" Type="http://schemas.openxmlformats.org/officeDocument/2006/relationships/hyperlink" Target="https://ref.ly/Matt9:20-Matt9:22" TargetMode="External"/><Relationship Id="rId9589" Type="http://schemas.openxmlformats.org/officeDocument/2006/relationships/hyperlink" Target="https://ref.ly/Mark5:25-Mark5:34" TargetMode="External"/><Relationship Id="rId9590" Type="http://schemas.openxmlformats.org/officeDocument/2006/relationships/hyperlink" Target="https://ref.ly/Luke8:43-Luke8:48" TargetMode="External"/><Relationship Id="rId9591" Type="http://schemas.openxmlformats.org/officeDocument/2006/relationships/hyperlink" Target="https://ref.ly/Lev26:19" TargetMode="External"/><Relationship Id="rId9592" Type="http://schemas.openxmlformats.org/officeDocument/2006/relationships/hyperlink" Target="https://ref.ly/Amos4:7-Amos4:8" TargetMode="External"/><Relationship Id="rId9593" Type="http://schemas.openxmlformats.org/officeDocument/2006/relationships/hyperlink" Target="https://ref.ly/Gen12:10" TargetMode="External"/><Relationship Id="rId9594" Type="http://schemas.openxmlformats.org/officeDocument/2006/relationships/hyperlink" Target="https://ref.ly/Gen26:1" TargetMode="External"/><Relationship Id="rId9595" Type="http://schemas.openxmlformats.org/officeDocument/2006/relationships/hyperlink" Target="https://ref.ly/Gen41:1-Gen47:31" TargetMode="External"/><Relationship Id="rId9596" Type="http://schemas.openxmlformats.org/officeDocument/2006/relationships/hyperlink" Target="https://ref.ly/Exod9:28" TargetMode="External"/><Relationship Id="rId9597" Type="http://schemas.openxmlformats.org/officeDocument/2006/relationships/hyperlink" Target="https://ref.ly/1Sam12:17" TargetMode="External"/><Relationship Id="rId9598" Type="http://schemas.openxmlformats.org/officeDocument/2006/relationships/hyperlink" Target="https://ref.ly/Exod10:15" TargetMode="External"/><Relationship Id="rId9599" Type="http://schemas.openxmlformats.org/officeDocument/2006/relationships/hyperlink" Target="https://ref.ly/Amos4:9" TargetMode="External"/><Relationship Id="rId9600" Type="http://schemas.openxmlformats.org/officeDocument/2006/relationships/hyperlink" Target="https://ref.ly/Deut28:53" TargetMode="External"/><Relationship Id="rId9601" Type="http://schemas.openxmlformats.org/officeDocument/2006/relationships/hyperlink" Target="https://ref.ly/2Kgs25:3" TargetMode="External"/><Relationship Id="rId9602" Type="http://schemas.openxmlformats.org/officeDocument/2006/relationships/hyperlink" Target="https://ref.ly/Lam4:9-Lam4:10" TargetMode="External"/><Relationship Id="rId9603" Type="http://schemas.openxmlformats.org/officeDocument/2006/relationships/hyperlink" Target="https://ref.ly/Jer14:12" TargetMode="External"/><Relationship Id="rId9604" Type="http://schemas.openxmlformats.org/officeDocument/2006/relationships/hyperlink" Target="https://ref.ly/Jer21:9" TargetMode="External"/><Relationship Id="rId9605" Type="http://schemas.openxmlformats.org/officeDocument/2006/relationships/hyperlink" Target="https://ref.ly/2Sam21:1" TargetMode="External"/><Relationship Id="rId9606" Type="http://schemas.openxmlformats.org/officeDocument/2006/relationships/hyperlink" Target="https://ref.ly/2Kgs25:2-2Kgs25:3" TargetMode="External"/><Relationship Id="rId9607" Type="http://schemas.openxmlformats.org/officeDocument/2006/relationships/hyperlink" Target="https://ref.ly/Jer14:12,Jer14:15" TargetMode="External"/><Relationship Id="rId9608" Type="http://schemas.openxmlformats.org/officeDocument/2006/relationships/hyperlink" Target="https://ref.ly/Mark13:8" TargetMode="External"/><Relationship Id="rId9609" Type="http://schemas.openxmlformats.org/officeDocument/2006/relationships/hyperlink" Target="https://ref.ly/Rev18:8" TargetMode="External"/><Relationship Id="rId9610" Type="http://schemas.openxmlformats.org/officeDocument/2006/relationships/hyperlink" Target="https://ref.ly/Prov6:6" TargetMode="External"/><Relationship Id="rId9611" Type="http://schemas.openxmlformats.org/officeDocument/2006/relationships/hyperlink" Target="https://ref.ly/Prov30:25" TargetMode="External"/><Relationship Id="rId9612" Type="http://schemas.openxmlformats.org/officeDocument/2006/relationships/hyperlink" Target="https://ref.ly/Gen19:28" TargetMode="External"/><Relationship Id="rId9613" Type="http://schemas.openxmlformats.org/officeDocument/2006/relationships/hyperlink" Target="https://ref.ly/Exod9:8" TargetMode="External"/><Relationship Id="rId9614" Type="http://schemas.openxmlformats.org/officeDocument/2006/relationships/hyperlink" Target="https://ref.ly/Exod19:18" TargetMode="External"/><Relationship Id="rId9615" Type="http://schemas.openxmlformats.org/officeDocument/2006/relationships/hyperlink" Target="https://ref.ly/Deut4:20" TargetMode="External"/><Relationship Id="rId9616" Type="http://schemas.openxmlformats.org/officeDocument/2006/relationships/hyperlink" Target="https://ref.ly/1Kgs8:51" TargetMode="External"/><Relationship Id="rId9617" Type="http://schemas.openxmlformats.org/officeDocument/2006/relationships/hyperlink" Target="https://ref.ly/Prov17:3" TargetMode="External"/><Relationship Id="rId9618" Type="http://schemas.openxmlformats.org/officeDocument/2006/relationships/hyperlink" Target="https://ref.ly/Prov27:21" TargetMode="External"/><Relationship Id="rId9619" Type="http://schemas.openxmlformats.org/officeDocument/2006/relationships/hyperlink" Target="https://ref.ly/Isa48:10" TargetMode="External"/><Relationship Id="rId9620" Type="http://schemas.openxmlformats.org/officeDocument/2006/relationships/hyperlink" Target="https://ref.ly/Jer11:4" TargetMode="External"/><Relationship Id="rId9621" Type="http://schemas.openxmlformats.org/officeDocument/2006/relationships/hyperlink" Target="https://ref.ly/Ezek22:18-Ezek22:22" TargetMode="External"/><Relationship Id="rId9622" Type="http://schemas.openxmlformats.org/officeDocument/2006/relationships/hyperlink" Target="https://ref.ly/Jer6:27-Jer6:30" TargetMode="External"/><Relationship Id="rId9623" Type="http://schemas.openxmlformats.org/officeDocument/2006/relationships/hyperlink" Target="https://ref.ly/Matt13:42" TargetMode="External"/><Relationship Id="rId9624" Type="http://schemas.openxmlformats.org/officeDocument/2006/relationships/hyperlink" Target="https://ref.ly/1Pet1:7" TargetMode="External"/><Relationship Id="rId9625" Type="http://schemas.openxmlformats.org/officeDocument/2006/relationships/hyperlink" Target="https://ref.ly/Rev1:15" TargetMode="External"/><Relationship Id="rId9626" Type="http://schemas.openxmlformats.org/officeDocument/2006/relationships/hyperlink" Target="https://ref.ly/1Cor5:1" TargetMode="External"/><Relationship Id="rId9627" Type="http://schemas.openxmlformats.org/officeDocument/2006/relationships/hyperlink" Target="https://ref.ly/Rom1:29" TargetMode="External"/><Relationship Id="rId9628" Type="http://schemas.openxmlformats.org/officeDocument/2006/relationships/hyperlink" Target="https://ref.ly/1Cor6:13" TargetMode="External"/><Relationship Id="rId9629" Type="http://schemas.openxmlformats.org/officeDocument/2006/relationships/hyperlink" Target="https://ref.ly/Mark7:21" TargetMode="External"/><Relationship Id="rId9630" Type="http://schemas.openxmlformats.org/officeDocument/2006/relationships/hyperlink" Target="https://ref.ly/Jer2:1-Jer2:37" TargetMode="External"/><Relationship Id="rId9631" Type="http://schemas.openxmlformats.org/officeDocument/2006/relationships/hyperlink" Target="https://ref.ly/Rev14:8" TargetMode="External"/><Relationship Id="rId9632" Type="http://schemas.openxmlformats.org/officeDocument/2006/relationships/hyperlink" Target="https://ref.ly/Rev17:2-Rev17:4" TargetMode="External"/><Relationship Id="rId9633" Type="http://schemas.openxmlformats.org/officeDocument/2006/relationships/hyperlink" Target="https://ref.ly/Rev18:3" TargetMode="External"/><Relationship Id="rId9634" Type="http://schemas.openxmlformats.org/officeDocument/2006/relationships/hyperlink" Target="https://ref.ly/Rev19:2" TargetMode="External"/><Relationship Id="rId9635" Type="http://schemas.openxmlformats.org/officeDocument/2006/relationships/hyperlink" Target="https://ref.ly/2Sam22:2-2Sam22:3,2Sam22:33" TargetMode="External"/><Relationship Id="rId9636" Type="http://schemas.openxmlformats.org/officeDocument/2006/relationships/hyperlink" Target="https://ref.ly/Prov10:29" TargetMode="External"/><Relationship Id="rId9637" Type="http://schemas.openxmlformats.org/officeDocument/2006/relationships/hyperlink" Target="https://ref.ly/Isa25:4" TargetMode="External"/><Relationship Id="rId9638" Type="http://schemas.openxmlformats.org/officeDocument/2006/relationships/hyperlink" Target="https://ref.ly/Jer16:19" TargetMode="External"/><Relationship Id="rId9639" Type="http://schemas.openxmlformats.org/officeDocument/2006/relationships/hyperlink" Target="https://ref.ly/Hos8:14" TargetMode="External"/><Relationship Id="rId9640" Type="http://schemas.openxmlformats.org/officeDocument/2006/relationships/hyperlink" Target="https://ref.ly/Joel3:16" TargetMode="External"/><Relationship Id="rId9641" Type="http://schemas.openxmlformats.org/officeDocument/2006/relationships/hyperlink" Target="https://ref.ly/Nah1:7" TargetMode="External"/><Relationship Id="rId9642" Type="http://schemas.openxmlformats.org/officeDocument/2006/relationships/hyperlink" Target="https://ref.ly/Deut22:12" TargetMode="External"/><Relationship Id="rId9643" Type="http://schemas.openxmlformats.org/officeDocument/2006/relationships/hyperlink" Target="https://ref.ly/Acts2:8-Acts2:11" TargetMode="External"/><Relationship Id="rId9644" Type="http://schemas.openxmlformats.org/officeDocument/2006/relationships/hyperlink" Target="https://ref.ly/Exod13:16" TargetMode="External"/><Relationship Id="rId9645" Type="http://schemas.openxmlformats.org/officeDocument/2006/relationships/hyperlink" Target="https://ref.ly/Deut6:8" TargetMode="External"/><Relationship Id="rId9646" Type="http://schemas.openxmlformats.org/officeDocument/2006/relationships/hyperlink" Target="https://ref.ly/Deut11:18" TargetMode="External"/><Relationship Id="rId9647" Type="http://schemas.openxmlformats.org/officeDocument/2006/relationships/hyperlink" Target="https://ref.ly/Exod13:11-Exod13:16" TargetMode="External"/><Relationship Id="rId9648" Type="http://schemas.openxmlformats.org/officeDocument/2006/relationships/hyperlink" Target="https://ref.ly/Exod9:9-Exod9:11" TargetMode="External"/><Relationship Id="rId9649" Type="http://schemas.openxmlformats.org/officeDocument/2006/relationships/hyperlink" Target="https://ref.ly/Deut28:27,Deut28:35" TargetMode="External"/><Relationship Id="rId9650" Type="http://schemas.openxmlformats.org/officeDocument/2006/relationships/hyperlink" Target="https://ref.ly/Lev13:1-Lev13:8,Lev13:18-Lev13:23" TargetMode="External"/><Relationship Id="rId9651" Type="http://schemas.openxmlformats.org/officeDocument/2006/relationships/hyperlink" Target="https://ref.ly/Job2:7-Job2:8,Job2:12" TargetMode="External"/><Relationship Id="rId9652" Type="http://schemas.openxmlformats.org/officeDocument/2006/relationships/hyperlink" Target="https://ref.ly/2Kgs20:1-2Kgs20:7" TargetMode="External"/><Relationship Id="rId9653" Type="http://schemas.openxmlformats.org/officeDocument/2006/relationships/hyperlink" Target="https://ref.ly/Ezek27:10" TargetMode="External"/><Relationship Id="rId9654" Type="http://schemas.openxmlformats.org/officeDocument/2006/relationships/hyperlink" Target="https://ref.ly/Ps94:3-Ps94:4" TargetMode="External"/><Relationship Id="rId9655" Type="http://schemas.openxmlformats.org/officeDocument/2006/relationships/hyperlink" Target="https://ref.ly/Deut32:27" TargetMode="External"/><Relationship Id="rId9656" Type="http://schemas.openxmlformats.org/officeDocument/2006/relationships/hyperlink" Target="https://ref.ly/Ps10:3" TargetMode="External"/><Relationship Id="rId9657" Type="http://schemas.openxmlformats.org/officeDocument/2006/relationships/hyperlink" Target="https://ref.ly/Ps35:26" TargetMode="External"/><Relationship Id="rId9658" Type="http://schemas.openxmlformats.org/officeDocument/2006/relationships/hyperlink" Target="https://ref.ly/Ps73:9" TargetMode="External"/><Relationship Id="rId9659" Type="http://schemas.openxmlformats.org/officeDocument/2006/relationships/hyperlink" Target="https://ref.ly/Ps49:6" TargetMode="External"/><Relationship Id="rId9660" Type="http://schemas.openxmlformats.org/officeDocument/2006/relationships/hyperlink" Target="https://ref.ly/Luke18:10-Luke18:14" TargetMode="External"/><Relationship Id="rId9661" Type="http://schemas.openxmlformats.org/officeDocument/2006/relationships/hyperlink" Target="https://ref.ly/Rom3:27-Rom3:28" TargetMode="External"/><Relationship Id="rId9662" Type="http://schemas.openxmlformats.org/officeDocument/2006/relationships/hyperlink" Target="https://ref.ly/2Cor10:17" TargetMode="External"/><Relationship Id="rId9663" Type="http://schemas.openxmlformats.org/officeDocument/2006/relationships/hyperlink" Target="https://ref.ly/Rom1:30" TargetMode="External"/><Relationship Id="rId9664" Type="http://schemas.openxmlformats.org/officeDocument/2006/relationships/hyperlink" Target="https://ref.ly/Rom2:17" TargetMode="External"/><Relationship Id="rId9665" Type="http://schemas.openxmlformats.org/officeDocument/2006/relationships/hyperlink" Target="https://ref.ly/Eph2:9" TargetMode="External"/><Relationship Id="rId9666" Type="http://schemas.openxmlformats.org/officeDocument/2006/relationships/hyperlink" Target="https://ref.ly/2Tim3:2" TargetMode="External"/><Relationship Id="rId9667" Type="http://schemas.openxmlformats.org/officeDocument/2006/relationships/hyperlink" Target="https://ref.ly/Rom5:11" TargetMode="External"/><Relationship Id="rId9668" Type="http://schemas.openxmlformats.org/officeDocument/2006/relationships/hyperlink" Target="https://ref.ly/Rom5:3" TargetMode="External"/><Relationship Id="rId9669" Type="http://schemas.openxmlformats.org/officeDocument/2006/relationships/hyperlink" Target="https://ref.ly/2Cor3:2-2Cor3:6" TargetMode="External"/><Relationship Id="rId9670" Type="http://schemas.openxmlformats.org/officeDocument/2006/relationships/hyperlink" Target="https://ref.ly/2Cor10:18" TargetMode="External"/><Relationship Id="rId9671" Type="http://schemas.openxmlformats.org/officeDocument/2006/relationships/hyperlink" Target="https://ref.ly/2Cor12:5" TargetMode="External"/><Relationship Id="rId9672" Type="http://schemas.openxmlformats.org/officeDocument/2006/relationships/hyperlink" Target="https://ref.ly/2Cor7:4" TargetMode="External"/><Relationship Id="rId9673" Type="http://schemas.openxmlformats.org/officeDocument/2006/relationships/hyperlink" Target="https://ref.ly/2Cor8:24" TargetMode="External"/><Relationship Id="rId9674" Type="http://schemas.openxmlformats.org/officeDocument/2006/relationships/hyperlink" Target="https://ref.ly/2Cor9:2-2Cor9:3" TargetMode="External"/><Relationship Id="rId9675" Type="http://schemas.openxmlformats.org/officeDocument/2006/relationships/hyperlink" Target="https://ref.ly/2Cor12:11" TargetMode="External"/><Relationship Id="rId9676" Type="http://schemas.openxmlformats.org/officeDocument/2006/relationships/hyperlink" Target="https://ref.ly/Matt8:28" TargetMode="External"/><Relationship Id="rId9677" Type="http://schemas.openxmlformats.org/officeDocument/2006/relationships/hyperlink" Target="https://ref.ly/Mark5:1" TargetMode="External"/><Relationship Id="rId9678" Type="http://schemas.openxmlformats.org/officeDocument/2006/relationships/hyperlink" Target="https://ref.ly/Luke8:26" TargetMode="External"/><Relationship Id="rId9679" Type="http://schemas.openxmlformats.org/officeDocument/2006/relationships/hyperlink" Target="https://ref.ly/Gen35:26" TargetMode="External"/><Relationship Id="rId9680" Type="http://schemas.openxmlformats.org/officeDocument/2006/relationships/hyperlink" Target="https://ref.ly/1Chr2:2" TargetMode="External"/><Relationship Id="rId9681" Type="http://schemas.openxmlformats.org/officeDocument/2006/relationships/hyperlink" Target="https://ref.ly/Gen30:11" TargetMode="External"/><Relationship Id="rId9682" Type="http://schemas.openxmlformats.org/officeDocument/2006/relationships/hyperlink" Target="https://ref.ly/Gen49:19" TargetMode="External"/><Relationship Id="rId9683" Type="http://schemas.openxmlformats.org/officeDocument/2006/relationships/hyperlink" Target="https://ref.ly/1Sam22:5" TargetMode="External"/><Relationship Id="rId9684" Type="http://schemas.openxmlformats.org/officeDocument/2006/relationships/hyperlink" Target="https://ref.ly/2Sam24:11-2Sam24:14,2Sam24:18-2Sam24:19" TargetMode="External"/><Relationship Id="rId9685" Type="http://schemas.openxmlformats.org/officeDocument/2006/relationships/hyperlink" Target="https://ref.ly/1Chr21:9-1Chr21:19" TargetMode="External"/><Relationship Id="rId9686" Type="http://schemas.openxmlformats.org/officeDocument/2006/relationships/hyperlink" Target="https://ref.ly/2Chr29:25" TargetMode="External"/><Relationship Id="rId9687" Type="http://schemas.openxmlformats.org/officeDocument/2006/relationships/hyperlink" Target="https://ref.ly/Num1:24-Num1:25" TargetMode="External"/><Relationship Id="rId9688" Type="http://schemas.openxmlformats.org/officeDocument/2006/relationships/hyperlink" Target="https://ref.ly/Deut33:20" TargetMode="External"/><Relationship Id="rId9689" Type="http://schemas.openxmlformats.org/officeDocument/2006/relationships/hyperlink" Target="https://ref.ly/Num7:42" TargetMode="External"/><Relationship Id="rId9690" Type="http://schemas.openxmlformats.org/officeDocument/2006/relationships/hyperlink" Target="https://ref.ly/Num2:14-Num2:15" TargetMode="External"/><Relationship Id="rId9691" Type="http://schemas.openxmlformats.org/officeDocument/2006/relationships/hyperlink" Target="https://ref.ly/Num7:42-Num7:47" TargetMode="External"/><Relationship Id="rId9692" Type="http://schemas.openxmlformats.org/officeDocument/2006/relationships/hyperlink" Target="https://ref.ly/Num26:15" TargetMode="External"/><Relationship Id="rId9693" Type="http://schemas.openxmlformats.org/officeDocument/2006/relationships/hyperlink" Target="https://ref.ly/Num13:15" TargetMode="External"/><Relationship Id="rId9694" Type="http://schemas.openxmlformats.org/officeDocument/2006/relationships/hyperlink" Target="https://ref.ly/Num32:1-Num32:2" TargetMode="External"/><Relationship Id="rId9695" Type="http://schemas.openxmlformats.org/officeDocument/2006/relationships/hyperlink" Target="https://ref.ly/Num32:20-Num32:22" TargetMode="External"/><Relationship Id="rId9696" Type="http://schemas.openxmlformats.org/officeDocument/2006/relationships/hyperlink" Target="https://ref.ly/Josh1:12-Josh1:18" TargetMode="External"/><Relationship Id="rId9697" Type="http://schemas.openxmlformats.org/officeDocument/2006/relationships/hyperlink" Target="https://ref.ly/Josh4:12" TargetMode="External"/><Relationship Id="rId9698" Type="http://schemas.openxmlformats.org/officeDocument/2006/relationships/hyperlink" Target="https://ref.ly/Num34:13-Num34:14" TargetMode="External"/><Relationship Id="rId9699" Type="http://schemas.openxmlformats.org/officeDocument/2006/relationships/hyperlink" Target="https://ref.ly/Josh12:6" TargetMode="External"/><Relationship Id="rId9700" Type="http://schemas.openxmlformats.org/officeDocument/2006/relationships/hyperlink" Target="https://ref.ly/Josh13:8" TargetMode="External"/><Relationship Id="rId9701" Type="http://schemas.openxmlformats.org/officeDocument/2006/relationships/hyperlink" Target="https://ref.ly/Deut3:12-Deut3:13" TargetMode="External"/><Relationship Id="rId9702" Type="http://schemas.openxmlformats.org/officeDocument/2006/relationships/hyperlink" Target="https://ref.ly/Josh12:1-Josh12:6" TargetMode="External"/><Relationship Id="rId9703" Type="http://schemas.openxmlformats.org/officeDocument/2006/relationships/hyperlink" Target="https://ref.ly/Josh13:24-Josh13:28" TargetMode="External"/><Relationship Id="rId9704" Type="http://schemas.openxmlformats.org/officeDocument/2006/relationships/hyperlink" Target="https://ref.ly/1Chr12:14" TargetMode="External"/><Relationship Id="rId9705" Type="http://schemas.openxmlformats.org/officeDocument/2006/relationships/hyperlink" Target="https://ref.ly/1Chr5:26-1Chr5:27" TargetMode="External"/><Relationship Id="rId9706" Type="http://schemas.openxmlformats.org/officeDocument/2006/relationships/hyperlink" Target="https://ref.ly/Jer49:1" TargetMode="External"/><Relationship Id="rId9707" Type="http://schemas.openxmlformats.org/officeDocument/2006/relationships/hyperlink" Target="https://ref.ly/Rev7:5" TargetMode="External"/><Relationship Id="rId9708" Type="http://schemas.openxmlformats.org/officeDocument/2006/relationships/hyperlink" Target="https://ref.ly/Num13:11" TargetMode="External"/><Relationship Id="rId9709" Type="http://schemas.openxmlformats.org/officeDocument/2006/relationships/hyperlink" Target="https://ref.ly/Num13:10" TargetMode="External"/><Relationship Id="rId9710" Type="http://schemas.openxmlformats.org/officeDocument/2006/relationships/hyperlink" Target="https://ref.ly/Gen36:11,Gen36:16" TargetMode="External"/><Relationship Id="rId9711" Type="http://schemas.openxmlformats.org/officeDocument/2006/relationships/hyperlink" Target="https://ref.ly/3John1:1" TargetMode="External"/><Relationship Id="rId9712" Type="http://schemas.openxmlformats.org/officeDocument/2006/relationships/hyperlink" Target="https://ref.ly/Lev11:16" TargetMode="External"/><Relationship Id="rId9713" Type="http://schemas.openxmlformats.org/officeDocument/2006/relationships/hyperlink" Target="https://ref.ly/Deut14:15" TargetMode="External"/><Relationship Id="rId9714" Type="http://schemas.openxmlformats.org/officeDocument/2006/relationships/hyperlink" Target="https://ref.ly/2Tim4:10" TargetMode="External"/><Relationship Id="rId9715" Type="http://schemas.openxmlformats.org/officeDocument/2006/relationships/hyperlink" Target="https://ref.ly/Sir24:15" TargetMode="External"/><Relationship Id="rId9716" Type="http://schemas.openxmlformats.org/officeDocument/2006/relationships/hyperlink" Target="https://ref.ly/Gen31:47-Gen31:48" TargetMode="External"/><Relationship Id="rId9717" Type="http://schemas.openxmlformats.org/officeDocument/2006/relationships/hyperlink" Target="https://ref.ly/Josh21:32" TargetMode="External"/><Relationship Id="rId9718" Type="http://schemas.openxmlformats.org/officeDocument/2006/relationships/hyperlink" Target="https://ref.ly/1Chr6:76" TargetMode="External"/><Relationship Id="rId9719" Type="http://schemas.openxmlformats.org/officeDocument/2006/relationships/hyperlink" Target="https://ref.ly/Isa9:1" TargetMode="External"/><Relationship Id="rId9720" Type="http://schemas.openxmlformats.org/officeDocument/2006/relationships/hyperlink" Target="https://ref.ly/Josh19:27" TargetMode="External"/><Relationship Id="rId9721" Type="http://schemas.openxmlformats.org/officeDocument/2006/relationships/hyperlink" Target="https://ref.ly/1Kgs9:11-1Kgs9:13" TargetMode="External"/><Relationship Id="rId9722" Type="http://schemas.openxmlformats.org/officeDocument/2006/relationships/hyperlink" Target="https://ref.ly/Judg1:30-Judg1:33" TargetMode="External"/><Relationship Id="rId9723" Type="http://schemas.openxmlformats.org/officeDocument/2006/relationships/hyperlink" Target="https://ref.ly/Judg2:1-Judg2:4" TargetMode="External"/><Relationship Id="rId9724" Type="http://schemas.openxmlformats.org/officeDocument/2006/relationships/hyperlink" Target="https://ref.ly/1Kgs9:11" TargetMode="External"/><Relationship Id="rId9725" Type="http://schemas.openxmlformats.org/officeDocument/2006/relationships/hyperlink" Target="https://ref.ly/Matt4:15" TargetMode="External"/><Relationship Id="rId9726" Type="http://schemas.openxmlformats.org/officeDocument/2006/relationships/hyperlink" Target="https://ref.ly/1Macc5:15" TargetMode="External"/><Relationship Id="rId9727" Type="http://schemas.openxmlformats.org/officeDocument/2006/relationships/hyperlink" Target="https://ref.ly/1Kgs15:20" TargetMode="External"/><Relationship Id="rId9728" Type="http://schemas.openxmlformats.org/officeDocument/2006/relationships/hyperlink" Target="https://ref.ly/2Kgs12:18" TargetMode="External"/><Relationship Id="rId9729" Type="http://schemas.openxmlformats.org/officeDocument/2006/relationships/hyperlink" Target="https://ref.ly/2Kgs13:22" TargetMode="External"/><Relationship Id="rId9730" Type="http://schemas.openxmlformats.org/officeDocument/2006/relationships/hyperlink" Target="https://ref.ly/2Kgs14:23-2Kgs14:25" TargetMode="External"/><Relationship Id="rId9731" Type="http://schemas.openxmlformats.org/officeDocument/2006/relationships/hyperlink" Target="https://ref.ly/1Macc5:21-1Macc5:23" TargetMode="External"/><Relationship Id="rId9732" Type="http://schemas.openxmlformats.org/officeDocument/2006/relationships/hyperlink" Target="https://ref.ly/1Macc10:30" TargetMode="External"/><Relationship Id="rId9733" Type="http://schemas.openxmlformats.org/officeDocument/2006/relationships/hyperlink" Target="https://ref.ly/1Macc12:47-1Macc12:49" TargetMode="External"/><Relationship Id="rId9734" Type="http://schemas.openxmlformats.org/officeDocument/2006/relationships/hyperlink" Target="https://ref.ly/Jdt1:8" TargetMode="External"/><Relationship Id="rId9735" Type="http://schemas.openxmlformats.org/officeDocument/2006/relationships/hyperlink" Target="https://ref.ly/1Macc12:49" TargetMode="External"/><Relationship Id="rId9736" Type="http://schemas.openxmlformats.org/officeDocument/2006/relationships/hyperlink" Target="https://ref.ly/Josh11:10" TargetMode="External"/><Relationship Id="rId9737" Type="http://schemas.openxmlformats.org/officeDocument/2006/relationships/hyperlink" Target="https://ref.ly/1Kgs9:15" TargetMode="External"/><Relationship Id="rId9738" Type="http://schemas.openxmlformats.org/officeDocument/2006/relationships/hyperlink" Target="https://ref.ly/Matt11:21" TargetMode="External"/><Relationship Id="rId9739" Type="http://schemas.openxmlformats.org/officeDocument/2006/relationships/hyperlink" Target="https://ref.ly/Mark9:33" TargetMode="External"/><Relationship Id="rId9740" Type="http://schemas.openxmlformats.org/officeDocument/2006/relationships/hyperlink" Target="https://ref.ly/Matt2:22-Matt2:23" TargetMode="External"/><Relationship Id="rId9741" Type="http://schemas.openxmlformats.org/officeDocument/2006/relationships/hyperlink" Target="https://ref.ly/Luke2:39" TargetMode="External"/><Relationship Id="rId9742" Type="http://schemas.openxmlformats.org/officeDocument/2006/relationships/hyperlink" Target="https://ref.ly/Luke7:11-Luke7:17" TargetMode="External"/><Relationship Id="rId9743" Type="http://schemas.openxmlformats.org/officeDocument/2006/relationships/hyperlink" Target="https://ref.ly/Matt26:69" TargetMode="External"/><Relationship Id="rId9744" Type="http://schemas.openxmlformats.org/officeDocument/2006/relationships/hyperlink" Target="https://ref.ly/John1:46" TargetMode="External"/><Relationship Id="rId9745" Type="http://schemas.openxmlformats.org/officeDocument/2006/relationships/hyperlink" Target="https://ref.ly/John7:41" TargetMode="External"/><Relationship Id="rId9746" Type="http://schemas.openxmlformats.org/officeDocument/2006/relationships/hyperlink" Target="https://ref.ly/Matt14:1" TargetMode="External"/><Relationship Id="rId9747" Type="http://schemas.openxmlformats.org/officeDocument/2006/relationships/hyperlink" Target="https://ref.ly/Luke23:5-Luke23:7" TargetMode="External"/><Relationship Id="rId9748" Type="http://schemas.openxmlformats.org/officeDocument/2006/relationships/hyperlink" Target="https://ref.ly/Mark1:14-Mark1:20" TargetMode="External"/><Relationship Id="rId9749" Type="http://schemas.openxmlformats.org/officeDocument/2006/relationships/hyperlink" Target="https://ref.ly/Matt20:1-Matt20:8" TargetMode="External"/><Relationship Id="rId9750" Type="http://schemas.openxmlformats.org/officeDocument/2006/relationships/hyperlink" Target="https://ref.ly/Matt21:33" TargetMode="External"/><Relationship Id="rId9751" Type="http://schemas.openxmlformats.org/officeDocument/2006/relationships/hyperlink" Target="https://ref.ly/Mark4:3" TargetMode="External"/><Relationship Id="rId9752" Type="http://schemas.openxmlformats.org/officeDocument/2006/relationships/hyperlink" Target="https://ref.ly/Luke13:6-Luke13:9" TargetMode="External"/><Relationship Id="rId9753" Type="http://schemas.openxmlformats.org/officeDocument/2006/relationships/hyperlink" Target="https://ref.ly/Matt27:55" TargetMode="External"/><Relationship Id="rId9754" Type="http://schemas.openxmlformats.org/officeDocument/2006/relationships/hyperlink" Target="https://ref.ly/John21:1-John21:23" TargetMode="External"/><Relationship Id="rId9755" Type="http://schemas.openxmlformats.org/officeDocument/2006/relationships/hyperlink" Target="https://ref.ly/John1:45" TargetMode="External"/><Relationship Id="rId9756" Type="http://schemas.openxmlformats.org/officeDocument/2006/relationships/hyperlink" Target="https://ref.ly/Luke22:59" TargetMode="External"/><Relationship Id="rId9757" Type="http://schemas.openxmlformats.org/officeDocument/2006/relationships/hyperlink" Target="https://ref.ly/Acts2:7" TargetMode="External"/><Relationship Id="rId9758" Type="http://schemas.openxmlformats.org/officeDocument/2006/relationships/hyperlink" Target="https://ref.ly/Num10:23" TargetMode="External"/><Relationship Id="rId9759" Type="http://schemas.openxmlformats.org/officeDocument/2006/relationships/hyperlink" Target="https://ref.ly/Num2:20" TargetMode="External"/><Relationship Id="rId9760" Type="http://schemas.openxmlformats.org/officeDocument/2006/relationships/hyperlink" Target="https://ref.ly/Num7:54,Num7:59" TargetMode="External"/><Relationship Id="rId9761" Type="http://schemas.openxmlformats.org/officeDocument/2006/relationships/hyperlink" Target="https://ref.ly/Acts5:27-Acts5:40" TargetMode="External"/><Relationship Id="rId9762" Type="http://schemas.openxmlformats.org/officeDocument/2006/relationships/hyperlink" Target="https://ref.ly/2Tim2:17" TargetMode="External"/><Relationship Id="rId9763" Type="http://schemas.openxmlformats.org/officeDocument/2006/relationships/hyperlink" Target="https://ref.ly/Num12:12" TargetMode="External"/><Relationship Id="rId9764" Type="http://schemas.openxmlformats.org/officeDocument/2006/relationships/hyperlink" Target="https://ref.ly/1Chr4:19" TargetMode="External"/><Relationship Id="rId9765" Type="http://schemas.openxmlformats.org/officeDocument/2006/relationships/hyperlink" Target="https://ref.ly/Job40:18" TargetMode="External"/><Relationship Id="rId9766" Type="http://schemas.openxmlformats.org/officeDocument/2006/relationships/hyperlink" Target="https://ref.ly/Prov25:15" TargetMode="External"/><Relationship Id="rId9767" Type="http://schemas.openxmlformats.org/officeDocument/2006/relationships/hyperlink" Target="https://ref.ly/Deut4:41" TargetMode="External"/><Relationship Id="rId9768" Type="http://schemas.openxmlformats.org/officeDocument/2006/relationships/hyperlink" Target="https://ref.ly/Josh21:27" TargetMode="External"/><Relationship Id="rId9769" Type="http://schemas.openxmlformats.org/officeDocument/2006/relationships/hyperlink" Target="https://ref.ly/Mark6:45" TargetMode="External"/><Relationship Id="rId9770" Type="http://schemas.openxmlformats.org/officeDocument/2006/relationships/hyperlink" Target="https://ref.ly/Mark8:22" TargetMode="External"/><Relationship Id="rId9771" Type="http://schemas.openxmlformats.org/officeDocument/2006/relationships/hyperlink" Target="https://ref.ly/Jer47:1,Jer47:5" TargetMode="External"/><Relationship Id="rId9772" Type="http://schemas.openxmlformats.org/officeDocument/2006/relationships/hyperlink" Target="https://ref.ly/Josh10:41" TargetMode="External"/><Relationship Id="rId9773" Type="http://schemas.openxmlformats.org/officeDocument/2006/relationships/hyperlink" Target="https://ref.ly/Josh11:22" TargetMode="External"/><Relationship Id="rId9774" Type="http://schemas.openxmlformats.org/officeDocument/2006/relationships/hyperlink" Target="https://ref.ly/Josh15:47" TargetMode="External"/><Relationship Id="rId9775" Type="http://schemas.openxmlformats.org/officeDocument/2006/relationships/hyperlink" Target="https://ref.ly/Judg1:18-Judg1:19" TargetMode="External"/><Relationship Id="rId9776" Type="http://schemas.openxmlformats.org/officeDocument/2006/relationships/hyperlink" Target="https://ref.ly/Judg6:4" TargetMode="External"/><Relationship Id="rId9777" Type="http://schemas.openxmlformats.org/officeDocument/2006/relationships/hyperlink" Target="https://ref.ly/Judg16:1" TargetMode="External"/><Relationship Id="rId9778" Type="http://schemas.openxmlformats.org/officeDocument/2006/relationships/hyperlink" Target="https://ref.ly/1Kgs4:24" TargetMode="External"/><Relationship Id="rId9779" Type="http://schemas.openxmlformats.org/officeDocument/2006/relationships/hyperlink" Target="https://ref.ly/Jer47:1" TargetMode="External"/><Relationship Id="rId9780" Type="http://schemas.openxmlformats.org/officeDocument/2006/relationships/hyperlink" Target="https://ref.ly/Jer47:5" TargetMode="External"/><Relationship Id="rId9781" Type="http://schemas.openxmlformats.org/officeDocument/2006/relationships/hyperlink" Target="https://ref.ly/Amos1:6-Amos1:7" TargetMode="External"/><Relationship Id="rId9782" Type="http://schemas.openxmlformats.org/officeDocument/2006/relationships/hyperlink" Target="https://ref.ly/Zech9:1-Zech9:17" TargetMode="External"/><Relationship Id="rId9783" Type="http://schemas.openxmlformats.org/officeDocument/2006/relationships/hyperlink" Target="https://ref.ly/Ps78:47" TargetMode="External"/><Relationship Id="rId9784" Type="http://schemas.openxmlformats.org/officeDocument/2006/relationships/hyperlink" Target="https://ref.ly/Ps148:8" TargetMode="External"/><Relationship Id="rId9785" Type="http://schemas.openxmlformats.org/officeDocument/2006/relationships/hyperlink" Target="https://ref.ly/Jer36:30" TargetMode="External"/><Relationship Id="rId9786" Type="http://schemas.openxmlformats.org/officeDocument/2006/relationships/hyperlink" Target="https://ref.ly/Zech14:6" TargetMode="External"/><Relationship Id="rId9787" Type="http://schemas.openxmlformats.org/officeDocument/2006/relationships/hyperlink" Target="https://ref.ly/Josh13:5" TargetMode="External"/><Relationship Id="rId9788" Type="http://schemas.openxmlformats.org/officeDocument/2006/relationships/hyperlink" Target="https://ref.ly/Josh15:8" TargetMode="External"/><Relationship Id="rId9789" Type="http://schemas.openxmlformats.org/officeDocument/2006/relationships/hyperlink" Target="https://ref.ly/Josh18:16" TargetMode="External"/><Relationship Id="rId9790" Type="http://schemas.openxmlformats.org/officeDocument/2006/relationships/hyperlink" Target="https://ref.ly/2Kgs21:6" TargetMode="External"/><Relationship Id="rId9791" Type="http://schemas.openxmlformats.org/officeDocument/2006/relationships/hyperlink" Target="https://ref.ly/2Chr28:3" TargetMode="External"/><Relationship Id="rId9792" Type="http://schemas.openxmlformats.org/officeDocument/2006/relationships/hyperlink" Target="https://ref.ly/Jer19:6" TargetMode="External"/><Relationship Id="rId9793" Type="http://schemas.openxmlformats.org/officeDocument/2006/relationships/hyperlink" Target="https://ref.ly/Jer32:35" TargetMode="External"/><Relationship Id="rId9794" Type="http://schemas.openxmlformats.org/officeDocument/2006/relationships/hyperlink" Target="https://ref.ly/2Kgs23:10" TargetMode="External"/><Relationship Id="rId9795" Type="http://schemas.openxmlformats.org/officeDocument/2006/relationships/hyperlink" Target="https://ref.ly/Jer2:23" TargetMode="External"/><Relationship Id="rId9796" Type="http://schemas.openxmlformats.org/officeDocument/2006/relationships/hyperlink" Target="https://ref.ly/Jer7:30-Jer7:32" TargetMode="External"/><Relationship Id="rId9797" Type="http://schemas.openxmlformats.org/officeDocument/2006/relationships/hyperlink" Target="https://ref.ly/Jer19:5-Jer19:6" TargetMode="External"/><Relationship Id="rId9798" Type="http://schemas.openxmlformats.org/officeDocument/2006/relationships/hyperlink" Target="https://ref.ly/2Esd7:36" TargetMode="External"/><Relationship Id="rId9799" Type="http://schemas.openxmlformats.org/officeDocument/2006/relationships/hyperlink" Target="https://ref.ly/Isa30:33" TargetMode="External"/><Relationship Id="rId9800" Type="http://schemas.openxmlformats.org/officeDocument/2006/relationships/hyperlink" Target="https://ref.ly/Isa66:24" TargetMode="External"/><Relationship Id="rId9801" Type="http://schemas.openxmlformats.org/officeDocument/2006/relationships/hyperlink" Target="https://ref.ly/Matt5:22" TargetMode="External"/><Relationship Id="rId9802" Type="http://schemas.openxmlformats.org/officeDocument/2006/relationships/hyperlink" Target="https://ref.ly/Matt18:9" TargetMode="External"/><Relationship Id="rId9803" Type="http://schemas.openxmlformats.org/officeDocument/2006/relationships/hyperlink" Target="https://ref.ly/Mark9:43" TargetMode="External"/><Relationship Id="rId9804" Type="http://schemas.openxmlformats.org/officeDocument/2006/relationships/hyperlink" Target="https://ref.ly/Rev20:14-Rev20:15" TargetMode="External"/><Relationship Id="rId9805" Type="http://schemas.openxmlformats.org/officeDocument/2006/relationships/hyperlink" Target="https://ref.ly/Matt23:15" TargetMode="External"/><Relationship Id="rId9806" Type="http://schemas.openxmlformats.org/officeDocument/2006/relationships/hyperlink" Target="https://ref.ly/Ps49:14-Ps49:15" TargetMode="External"/><Relationship Id="rId9807" Type="http://schemas.openxmlformats.org/officeDocument/2006/relationships/hyperlink" Target="https://ref.ly/Gen14:14" TargetMode="External"/><Relationship Id="rId9808" Type="http://schemas.openxmlformats.org/officeDocument/2006/relationships/hyperlink" Target="https://ref.ly/Jer25:26" TargetMode="External"/><Relationship Id="rId9809" Type="http://schemas.openxmlformats.org/officeDocument/2006/relationships/hyperlink" Target="https://ref.ly/Jer51:41" TargetMode="External"/><Relationship Id="rId9810" Type="http://schemas.openxmlformats.org/officeDocument/2006/relationships/hyperlink" Target="https://ref.ly/Neh7:5" TargetMode="External"/><Relationship Id="rId9811" Type="http://schemas.openxmlformats.org/officeDocument/2006/relationships/hyperlink" Target="https://ref.ly/1Tim1:4" TargetMode="External"/><Relationship Id="rId9812" Type="http://schemas.openxmlformats.org/officeDocument/2006/relationships/hyperlink" Target="https://ref.ly/Titus3:9" TargetMode="External"/><Relationship Id="rId9813" Type="http://schemas.openxmlformats.org/officeDocument/2006/relationships/hyperlink" Target="https://ref.ly/Num1:2-Num1:3" TargetMode="External"/><Relationship Id="rId9814" Type="http://schemas.openxmlformats.org/officeDocument/2006/relationships/hyperlink" Target="https://ref.ly/Num2:2" TargetMode="External"/><Relationship Id="rId9815" Type="http://schemas.openxmlformats.org/officeDocument/2006/relationships/hyperlink" Target="https://ref.ly/Num10:11-Num10:28" TargetMode="External"/><Relationship Id="rId9816" Type="http://schemas.openxmlformats.org/officeDocument/2006/relationships/hyperlink" Target="https://ref.ly/Deut23:1-Deut23:8" TargetMode="External"/><Relationship Id="rId9817" Type="http://schemas.openxmlformats.org/officeDocument/2006/relationships/hyperlink" Target="https://ref.ly/Ezra2:59-Ezra2:63" TargetMode="External"/><Relationship Id="rId9818" Type="http://schemas.openxmlformats.org/officeDocument/2006/relationships/hyperlink" Target="https://ref.ly/Ezra10:9-Ezra10:44" TargetMode="External"/><Relationship Id="rId9819" Type="http://schemas.openxmlformats.org/officeDocument/2006/relationships/hyperlink" Target="https://ref.ly/Neh13:23-Neh13:28" TargetMode="External"/><Relationship Id="rId9820" Type="http://schemas.openxmlformats.org/officeDocument/2006/relationships/hyperlink" Target="https://ref.ly/Gen11:29" TargetMode="External"/><Relationship Id="rId9821" Type="http://schemas.openxmlformats.org/officeDocument/2006/relationships/hyperlink" Target="https://ref.ly/Num26:33-Num27:11" TargetMode="External"/><Relationship Id="rId9822" Type="http://schemas.openxmlformats.org/officeDocument/2006/relationships/hyperlink" Target="https://ref.ly/Matt1:1-Matt1:25" TargetMode="External"/><Relationship Id="rId9823" Type="http://schemas.openxmlformats.org/officeDocument/2006/relationships/hyperlink" Target="https://ref.ly/Gen4:17-Gen4:22" TargetMode="External"/><Relationship Id="rId9824" Type="http://schemas.openxmlformats.org/officeDocument/2006/relationships/hyperlink" Target="https://ref.ly/Gen4:25-Gen4:26" TargetMode="External"/><Relationship Id="rId9825" Type="http://schemas.openxmlformats.org/officeDocument/2006/relationships/hyperlink" Target="https://ref.ly/1Chr1:1-1Chr1:4" TargetMode="External"/><Relationship Id="rId9826" Type="http://schemas.openxmlformats.org/officeDocument/2006/relationships/hyperlink" Target="https://ref.ly/1Chr1:4-1Chr1:23" TargetMode="External"/><Relationship Id="rId9827" Type="http://schemas.openxmlformats.org/officeDocument/2006/relationships/hyperlink" Target="https://ref.ly/Gen11:10-Gen11:26" TargetMode="External"/><Relationship Id="rId9828" Type="http://schemas.openxmlformats.org/officeDocument/2006/relationships/hyperlink" Target="https://ref.ly/1Chr1:24-1Chr1:27" TargetMode="External"/><Relationship Id="rId9829" Type="http://schemas.openxmlformats.org/officeDocument/2006/relationships/hyperlink" Target="https://ref.ly/Gen11:27-Gen11:30" TargetMode="External"/><Relationship Id="rId9830" Type="http://schemas.openxmlformats.org/officeDocument/2006/relationships/hyperlink" Target="https://ref.ly/Gen22:20-Gen22:24" TargetMode="External"/><Relationship Id="rId9831" Type="http://schemas.openxmlformats.org/officeDocument/2006/relationships/hyperlink" Target="https://ref.ly/Gen16:15" TargetMode="External"/><Relationship Id="rId9832" Type="http://schemas.openxmlformats.org/officeDocument/2006/relationships/hyperlink" Target="https://ref.ly/Gen21:1-Gen21:3" TargetMode="External"/><Relationship Id="rId9833" Type="http://schemas.openxmlformats.org/officeDocument/2006/relationships/hyperlink" Target="https://ref.ly/Gen25:1-Gen25:4" TargetMode="External"/><Relationship Id="rId9834" Type="http://schemas.openxmlformats.org/officeDocument/2006/relationships/hyperlink" Target="https://ref.ly/1Chr1:28-1Chr1:34" TargetMode="External"/><Relationship Id="rId9835" Type="http://schemas.openxmlformats.org/officeDocument/2006/relationships/hyperlink" Target="https://ref.ly/Gen19:37-Gen19:38" TargetMode="External"/><Relationship Id="rId9836" Type="http://schemas.openxmlformats.org/officeDocument/2006/relationships/hyperlink" Target="https://ref.ly/Gen29:31-Gen30:24" TargetMode="External"/><Relationship Id="rId9837" Type="http://schemas.openxmlformats.org/officeDocument/2006/relationships/hyperlink" Target="https://ref.ly/Gen35:16-Gen35:26" TargetMode="External"/><Relationship Id="rId9838" Type="http://schemas.openxmlformats.org/officeDocument/2006/relationships/hyperlink" Target="https://ref.ly/1Chr1:35-1Chr1:54" TargetMode="External"/><Relationship Id="rId9839" Type="http://schemas.openxmlformats.org/officeDocument/2006/relationships/hyperlink" Target="https://ref.ly/Gen46:1-Gen46:27" TargetMode="External"/><Relationship Id="rId9840" Type="http://schemas.openxmlformats.org/officeDocument/2006/relationships/hyperlink" Target="https://ref.ly/Exod6:14-Exod6:16" TargetMode="External"/><Relationship Id="rId9841" Type="http://schemas.openxmlformats.org/officeDocument/2006/relationships/hyperlink" Target="https://ref.ly/Num26:1-Num26:51" TargetMode="External"/><Relationship Id="rId9842" Type="http://schemas.openxmlformats.org/officeDocument/2006/relationships/hyperlink" Target="https://ref.ly/1Chr2:1-1Chr8:40" TargetMode="External"/><Relationship Id="rId9843" Type="http://schemas.openxmlformats.org/officeDocument/2006/relationships/hyperlink" Target="https://ref.ly/Num1:4-Num1:54" TargetMode="External"/><Relationship Id="rId9844" Type="http://schemas.openxmlformats.org/officeDocument/2006/relationships/hyperlink" Target="https://ref.ly/Num2:2-Num2:33" TargetMode="External"/><Relationship Id="rId9845" Type="http://schemas.openxmlformats.org/officeDocument/2006/relationships/hyperlink" Target="https://ref.ly/Num3:1-Num3:39" TargetMode="External"/><Relationship Id="rId9846" Type="http://schemas.openxmlformats.org/officeDocument/2006/relationships/hyperlink" Target="https://ref.ly/Num13:4-Num13:16" TargetMode="External"/><Relationship Id="rId9847" Type="http://schemas.openxmlformats.org/officeDocument/2006/relationships/hyperlink" Target="https://ref.ly/Num26:4-Num26:51" TargetMode="External"/><Relationship Id="rId9848" Type="http://schemas.openxmlformats.org/officeDocument/2006/relationships/hyperlink" Target="https://ref.ly/Num34:16-Num34:29" TargetMode="External"/><Relationship Id="rId9849" Type="http://schemas.openxmlformats.org/officeDocument/2006/relationships/hyperlink" Target="https://ref.ly/1Chr11:1-2Chr36:21" TargetMode="External"/><Relationship Id="rId9850" Type="http://schemas.openxmlformats.org/officeDocument/2006/relationships/hyperlink" Target="https://ref.ly/2Sam3:2-2Sam3:5" TargetMode="External"/><Relationship Id="rId9851" Type="http://schemas.openxmlformats.org/officeDocument/2006/relationships/hyperlink" Target="https://ref.ly/2Sam5:14-2Sam5:16" TargetMode="External"/><Relationship Id="rId9852" Type="http://schemas.openxmlformats.org/officeDocument/2006/relationships/hyperlink" Target="https://ref.ly/1Chr14:4-1Chr14:7" TargetMode="External"/><Relationship Id="rId9853" Type="http://schemas.openxmlformats.org/officeDocument/2006/relationships/hyperlink" Target="https://ref.ly/2Sam23:8-2Sam23:39" TargetMode="External"/><Relationship Id="rId9854" Type="http://schemas.openxmlformats.org/officeDocument/2006/relationships/hyperlink" Target="https://ref.ly/1Chr11:10-1Chr11:47" TargetMode="External"/><Relationship Id="rId9855" Type="http://schemas.openxmlformats.org/officeDocument/2006/relationships/hyperlink" Target="https://ref.ly/1Chr12:1-1Chr12:22" TargetMode="External"/><Relationship Id="rId9856" Type="http://schemas.openxmlformats.org/officeDocument/2006/relationships/hyperlink" Target="https://ref.ly/1Chr15:1-1Chr15:24" TargetMode="External"/><Relationship Id="rId9857" Type="http://schemas.openxmlformats.org/officeDocument/2006/relationships/hyperlink" Target="https://ref.ly/1Chr16:5-1Chr16:6" TargetMode="External"/><Relationship Id="rId9858" Type="http://schemas.openxmlformats.org/officeDocument/2006/relationships/hyperlink" Target="https://ref.ly/1Kgs4:1-1Kgs4:19" TargetMode="External"/><Relationship Id="rId9859" Type="http://schemas.openxmlformats.org/officeDocument/2006/relationships/hyperlink" Target="https://ref.ly/Neh7:6-Neh7:73" TargetMode="External"/><Relationship Id="rId9860" Type="http://schemas.openxmlformats.org/officeDocument/2006/relationships/hyperlink" Target="https://ref.ly/Ezra8:1-Ezra8:20" TargetMode="External"/><Relationship Id="rId9861" Type="http://schemas.openxmlformats.org/officeDocument/2006/relationships/hyperlink" Target="https://ref.ly/Ezra10:18-Ezra10:44" TargetMode="External"/><Relationship Id="rId9862" Type="http://schemas.openxmlformats.org/officeDocument/2006/relationships/hyperlink" Target="https://ref.ly/Neh8:4-Neh8:7" TargetMode="External"/><Relationship Id="rId9863" Type="http://schemas.openxmlformats.org/officeDocument/2006/relationships/hyperlink" Target="https://ref.ly/Neh10:1-Neh10:27" TargetMode="External"/><Relationship Id="rId9864" Type="http://schemas.openxmlformats.org/officeDocument/2006/relationships/hyperlink" Target="https://ref.ly/Neh11:3-Neh11:36" TargetMode="External"/><Relationship Id="rId9865" Type="http://schemas.openxmlformats.org/officeDocument/2006/relationships/hyperlink" Target="https://ref.ly/Neh12:1-Neh12:9" TargetMode="External"/><Relationship Id="rId9866" Type="http://schemas.openxmlformats.org/officeDocument/2006/relationships/hyperlink" Target="https://ref.ly/Neh12:10-Neh12:11" TargetMode="External"/><Relationship Id="rId9867" Type="http://schemas.openxmlformats.org/officeDocument/2006/relationships/hyperlink" Target="https://ref.ly/Neh12:12-Neh12:21" TargetMode="External"/><Relationship Id="rId9868" Type="http://schemas.openxmlformats.org/officeDocument/2006/relationships/hyperlink" Target="https://ref.ly/Neh12:22-Neh12:26" TargetMode="External"/><Relationship Id="rId9869" Type="http://schemas.openxmlformats.org/officeDocument/2006/relationships/hyperlink" Target="https://ref.ly/Neh12:31-Neh12:42" TargetMode="External"/><Relationship Id="rId9870" Type="http://schemas.openxmlformats.org/officeDocument/2006/relationships/hyperlink" Target="https://ref.ly/Matt1:1-Matt1:17" TargetMode="External"/><Relationship Id="rId9871" Type="http://schemas.openxmlformats.org/officeDocument/2006/relationships/hyperlink" Target="https://ref.ly/Luke3:23-Luke3:38" TargetMode="External"/><Relationship Id="rId9872" Type="http://schemas.openxmlformats.org/officeDocument/2006/relationships/hyperlink" Target="https://ref.ly/Matt1:16" TargetMode="External"/><Relationship Id="rId9873" Type="http://schemas.openxmlformats.org/officeDocument/2006/relationships/hyperlink" Target="https://ref.ly/Matt1:17" TargetMode="External"/><Relationship Id="rId9874" Type="http://schemas.openxmlformats.org/officeDocument/2006/relationships/hyperlink" Target="https://ref.ly/Matt1:8" TargetMode="External"/><Relationship Id="rId9875" Type="http://schemas.openxmlformats.org/officeDocument/2006/relationships/hyperlink" Target="https://ref.ly/Matt1:11" TargetMode="External"/><Relationship Id="rId9876" Type="http://schemas.openxmlformats.org/officeDocument/2006/relationships/hyperlink" Target="https://ref.ly/Matt1:18-Matt1:25" TargetMode="External"/><Relationship Id="rId9877" Type="http://schemas.openxmlformats.org/officeDocument/2006/relationships/hyperlink" Target="https://ref.ly/Matt1:2" TargetMode="External"/><Relationship Id="rId9878" Type="http://schemas.openxmlformats.org/officeDocument/2006/relationships/hyperlink" Target="https://ref.ly/1Chr1:27-1Chr2:15" TargetMode="External"/><Relationship Id="rId9879" Type="http://schemas.openxmlformats.org/officeDocument/2006/relationships/hyperlink" Target="https://ref.ly/Jer22:30" TargetMode="External"/><Relationship Id="rId9880" Type="http://schemas.openxmlformats.org/officeDocument/2006/relationships/hyperlink" Target="https://ref.ly/1Chr1:1-1Chr3:24" TargetMode="External"/><Relationship Id="rId9881" Type="http://schemas.openxmlformats.org/officeDocument/2006/relationships/hyperlink" Target="https://ref.ly/Luke1:27,Luke1:32,Luke1:69" TargetMode="External"/><Relationship Id="rId9882" Type="http://schemas.openxmlformats.org/officeDocument/2006/relationships/hyperlink" Target="https://ref.ly/Luke2:4,Luke2:11" TargetMode="External"/><Relationship Id="rId9883" Type="http://schemas.openxmlformats.org/officeDocument/2006/relationships/hyperlink" Target="https://ref.ly/Num27:1-Num27:11" TargetMode="External"/><Relationship Id="rId9884" Type="http://schemas.openxmlformats.org/officeDocument/2006/relationships/hyperlink" Target="https://ref.ly/Num36:1-Num36:12" TargetMode="External"/><Relationship Id="rId9885" Type="http://schemas.openxmlformats.org/officeDocument/2006/relationships/hyperlink" Target="https://ref.ly/Luke3:24" TargetMode="External"/><Relationship Id="rId9886" Type="http://schemas.openxmlformats.org/officeDocument/2006/relationships/hyperlink" Target="https://ref.ly/Matt14:34" TargetMode="External"/><Relationship Id="rId9887" Type="http://schemas.openxmlformats.org/officeDocument/2006/relationships/hyperlink" Target="https://ref.ly/Mark6:53" TargetMode="External"/><Relationship Id="rId9888" Type="http://schemas.openxmlformats.org/officeDocument/2006/relationships/hyperlink" Target="https://ref.ly/Luke5:1" TargetMode="External"/><Relationship Id="rId9889" Type="http://schemas.openxmlformats.org/officeDocument/2006/relationships/hyperlink" Target="https://ref.ly/Num26:38-Num26:41" TargetMode="External"/><Relationship Id="rId9890" Type="http://schemas.openxmlformats.org/officeDocument/2006/relationships/hyperlink" Target="https://ref.ly/2Sam16:5" TargetMode="External"/><Relationship Id="rId9891" Type="http://schemas.openxmlformats.org/officeDocument/2006/relationships/hyperlink" Target="https://ref.ly/2Sam19:16-2Sam19:18" TargetMode="External"/><Relationship Id="rId9892" Type="http://schemas.openxmlformats.org/officeDocument/2006/relationships/hyperlink" Target="https://ref.ly/1Kgs2:8" TargetMode="External"/><Relationship Id="rId9893" Type="http://schemas.openxmlformats.org/officeDocument/2006/relationships/hyperlink" Target="https://ref.ly/1Chr8:3,1Chr8:5" TargetMode="External"/><Relationship Id="rId9894" Type="http://schemas.openxmlformats.org/officeDocument/2006/relationships/hyperlink" Target="https://ref.ly/Gen20:1-Gen20:2" TargetMode="External"/><Relationship Id="rId9895" Type="http://schemas.openxmlformats.org/officeDocument/2006/relationships/hyperlink" Target="https://ref.ly/Gen26:1-Gen26:26" TargetMode="External"/><Relationship Id="rId9896" Type="http://schemas.openxmlformats.org/officeDocument/2006/relationships/hyperlink" Target="https://ref.ly/Gen20:2" TargetMode="External"/><Relationship Id="rId9897" Type="http://schemas.openxmlformats.org/officeDocument/2006/relationships/hyperlink" Target="https://ref.ly/Gen26:8" TargetMode="External"/><Relationship Id="rId9898" Type="http://schemas.openxmlformats.org/officeDocument/2006/relationships/hyperlink" Target="https://ref.ly/Josh13:2-Josh13:3" TargetMode="External"/><Relationship Id="rId9899" Type="http://schemas.openxmlformats.org/officeDocument/2006/relationships/hyperlink" Target="https://ref.ly/Josh15:21-Josh15:22" TargetMode="External"/><Relationship Id="rId9900" Type="http://schemas.openxmlformats.org/officeDocument/2006/relationships/hyperlink" Target="https://ref.ly/2Chr14:13-2Chr14:14" TargetMode="External"/><Relationship Id="rId9901" Type="http://schemas.openxmlformats.org/officeDocument/2006/relationships/hyperlink" Target="https://ref.ly/1Chr4:39" TargetMode="External"/><Relationship Id="rId9902" Type="http://schemas.openxmlformats.org/officeDocument/2006/relationships/hyperlink" Target="https://ref.ly/Gen26:17" TargetMode="External"/><Relationship Id="rId9903" Type="http://schemas.openxmlformats.org/officeDocument/2006/relationships/hyperlink" Target="https://ref.ly/Luke8:26-Luke8:37" TargetMode="External"/><Relationship Id="rId9904" Type="http://schemas.openxmlformats.org/officeDocument/2006/relationships/hyperlink" Target="https://ref.ly/Deut11:29" TargetMode="External"/><Relationship Id="rId9905" Type="http://schemas.openxmlformats.org/officeDocument/2006/relationships/hyperlink" Target="https://ref.ly/Deut27:11-Deut28:68" TargetMode="External"/><Relationship Id="rId9906" Type="http://schemas.openxmlformats.org/officeDocument/2006/relationships/hyperlink" Target="https://ref.ly/Josh8:33-Josh8:35" TargetMode="External"/><Relationship Id="rId9907" Type="http://schemas.openxmlformats.org/officeDocument/2006/relationships/hyperlink" Target="https://ref.ly/John4:20-John4:23" TargetMode="External"/><Relationship Id="rId9908" Type="http://schemas.openxmlformats.org/officeDocument/2006/relationships/hyperlink" Target="https://ref.ly/Gen12:6-Gen12:7" TargetMode="External"/><Relationship Id="rId9909" Type="http://schemas.openxmlformats.org/officeDocument/2006/relationships/hyperlink" Target="https://ref.ly/Gen33:18-Gen33:20" TargetMode="External"/><Relationship Id="rId9910" Type="http://schemas.openxmlformats.org/officeDocument/2006/relationships/hyperlink" Target="https://ref.ly/Josh24:25-Josh24:27" TargetMode="External"/><Relationship Id="rId9911" Type="http://schemas.openxmlformats.org/officeDocument/2006/relationships/hyperlink" Target="https://ref.ly/Exod18:3" TargetMode="External"/><Relationship Id="rId9912" Type="http://schemas.openxmlformats.org/officeDocument/2006/relationships/hyperlink" Target="https://ref.ly/1Chr23:15-1Chr23:16" TargetMode="External"/><Relationship Id="rId9913" Type="http://schemas.openxmlformats.org/officeDocument/2006/relationships/hyperlink" Target="https://ref.ly/1Chr6:1,1Chr6:16-1Chr6:17,1Chr6:20,1Chr6:43" TargetMode="External"/><Relationship Id="rId9914" Type="http://schemas.openxmlformats.org/officeDocument/2006/relationships/hyperlink" Target="https://ref.ly/1Chr23:6-1Chr23:7" TargetMode="External"/><Relationship Id="rId9915" Type="http://schemas.openxmlformats.org/officeDocument/2006/relationships/hyperlink" Target="https://ref.ly/1Chr26:24" TargetMode="External"/><Relationship Id="rId9916" Type="http://schemas.openxmlformats.org/officeDocument/2006/relationships/hyperlink" Target="https://ref.ly/1Chr6:1" TargetMode="External"/><Relationship Id="rId9917" Type="http://schemas.openxmlformats.org/officeDocument/2006/relationships/hyperlink" Target="https://ref.ly/Exod6:16-Exod6:17" TargetMode="External"/><Relationship Id="rId9918" Type="http://schemas.openxmlformats.org/officeDocument/2006/relationships/hyperlink" Target="https://ref.ly/Num3:18,Num3:21" TargetMode="External"/><Relationship Id="rId9919" Type="http://schemas.openxmlformats.org/officeDocument/2006/relationships/hyperlink" Target="https://ref.ly/Josh21:1-Josh21:7" TargetMode="External"/><Relationship Id="rId9920" Type="http://schemas.openxmlformats.org/officeDocument/2006/relationships/hyperlink" Target="https://ref.ly/Num3:23" TargetMode="External"/><Relationship Id="rId9921" Type="http://schemas.openxmlformats.org/officeDocument/2006/relationships/hyperlink" Target="https://ref.ly/Num3:22" TargetMode="External"/><Relationship Id="rId9922" Type="http://schemas.openxmlformats.org/officeDocument/2006/relationships/hyperlink" Target="https://ref.ly/Num4:39-Num4:40" TargetMode="External"/><Relationship Id="rId9923" Type="http://schemas.openxmlformats.org/officeDocument/2006/relationships/hyperlink" Target="https://ref.ly/Num3:25-Num3:26" TargetMode="External"/><Relationship Id="rId9924" Type="http://schemas.openxmlformats.org/officeDocument/2006/relationships/hyperlink" Target="https://ref.ly/Num4:24,Num4:27-Num4:28" TargetMode="External"/><Relationship Id="rId9925" Type="http://schemas.openxmlformats.org/officeDocument/2006/relationships/hyperlink" Target="https://ref.ly/Num4:27" TargetMode="External"/><Relationship Id="rId9926" Type="http://schemas.openxmlformats.org/officeDocument/2006/relationships/hyperlink" Target="https://ref.ly/Josh21:6" TargetMode="External"/><Relationship Id="rId9927" Type="http://schemas.openxmlformats.org/officeDocument/2006/relationships/hyperlink" Target="https://ref.ly/1Chr23:6-1Chr23:11" TargetMode="External"/><Relationship Id="rId9928" Type="http://schemas.openxmlformats.org/officeDocument/2006/relationships/hyperlink" Target="https://ref.ly/1Chr26:20-1Chr26:22" TargetMode="External"/><Relationship Id="rId9929" Type="http://schemas.openxmlformats.org/officeDocument/2006/relationships/hyperlink" Target="https://ref.ly/2Chr29:1-2Chr29:6,2Chr29:12" TargetMode="External"/><Relationship Id="rId9930" Type="http://schemas.openxmlformats.org/officeDocument/2006/relationships/hyperlink" Target="https://ref.ly/Neh12:31-Neh12:36" TargetMode="External"/><Relationship Id="rId9931" Type="http://schemas.openxmlformats.org/officeDocument/2006/relationships/hyperlink" Target="https://ref.ly/Josh13:11" TargetMode="External"/><Relationship Id="rId9932" Type="http://schemas.openxmlformats.org/officeDocument/2006/relationships/hyperlink" Target="https://ref.ly/Josh13:13" TargetMode="External"/><Relationship Id="rId9933" Type="http://schemas.openxmlformats.org/officeDocument/2006/relationships/hyperlink" Target="https://ref.ly/1Chr2:23" TargetMode="External"/><Relationship Id="rId9934" Type="http://schemas.openxmlformats.org/officeDocument/2006/relationships/hyperlink" Target="https://ref.ly/1Chr3:2" TargetMode="External"/><Relationship Id="rId9935" Type="http://schemas.openxmlformats.org/officeDocument/2006/relationships/hyperlink" Target="https://ref.ly/Gen10:23" TargetMode="External"/><Relationship Id="rId9936" Type="http://schemas.openxmlformats.org/officeDocument/2006/relationships/hyperlink" Target="https://ref.ly/Num10:24" TargetMode="External"/><Relationship Id="rId9937" Type="http://schemas.openxmlformats.org/officeDocument/2006/relationships/hyperlink" Target="https://ref.ly/Job16:14" TargetMode="External"/><Relationship Id="rId9938" Type="http://schemas.openxmlformats.org/officeDocument/2006/relationships/hyperlink" Target="https://ref.ly/Gen6:4" TargetMode="External"/><Relationship Id="rId9939" Type="http://schemas.openxmlformats.org/officeDocument/2006/relationships/hyperlink" Target="https://ref.ly/Num13:33" TargetMode="External"/><Relationship Id="rId9940" Type="http://schemas.openxmlformats.org/officeDocument/2006/relationships/hyperlink" Target="https://ref.ly/Deut2:20" TargetMode="External"/><Relationship Id="rId9941" Type="http://schemas.openxmlformats.org/officeDocument/2006/relationships/hyperlink" Target="https://ref.ly/Deut2:11" TargetMode="External"/><Relationship Id="rId9942" Type="http://schemas.openxmlformats.org/officeDocument/2006/relationships/hyperlink" Target="https://ref.ly/Deut2:10" TargetMode="External"/><Relationship Id="rId9943" Type="http://schemas.openxmlformats.org/officeDocument/2006/relationships/hyperlink" Target="https://ref.ly/2Sam21:16-2Sam21:22" TargetMode="External"/><Relationship Id="rId9944" Type="http://schemas.openxmlformats.org/officeDocument/2006/relationships/hyperlink" Target="https://ref.ly/1Chr20:4-1Chr20:8" TargetMode="External"/><Relationship Id="rId9945" Type="http://schemas.openxmlformats.org/officeDocument/2006/relationships/hyperlink" Target="https://ref.ly/1Sam17:1-1Sam17:58" TargetMode="External"/><Relationship Id="rId9946" Type="http://schemas.openxmlformats.org/officeDocument/2006/relationships/hyperlink" Target="https://ref.ly/1Sam18:5-1Sam18:7" TargetMode="External"/><Relationship Id="rId9947" Type="http://schemas.openxmlformats.org/officeDocument/2006/relationships/hyperlink" Target="https://ref.ly/Jer50:19" TargetMode="External"/><Relationship Id="rId9948" Type="http://schemas.openxmlformats.org/officeDocument/2006/relationships/hyperlink" Target="https://ref.ly/Zech10:10" TargetMode="External"/><Relationship Id="rId9949" Type="http://schemas.openxmlformats.org/officeDocument/2006/relationships/hyperlink" Target="https://ref.ly/Jer46:11" TargetMode="External"/><Relationship Id="rId9950" Type="http://schemas.openxmlformats.org/officeDocument/2006/relationships/hyperlink" Target="https://ref.ly/Hos2:8" TargetMode="External"/><Relationship Id="rId9951" Type="http://schemas.openxmlformats.org/officeDocument/2006/relationships/hyperlink" Target="https://ref.ly/Jer22:6" TargetMode="External"/><Relationship Id="rId9952" Type="http://schemas.openxmlformats.org/officeDocument/2006/relationships/hyperlink" Target="https://ref.ly/1Sam13:7" TargetMode="External"/><Relationship Id="rId9953" Type="http://schemas.openxmlformats.org/officeDocument/2006/relationships/hyperlink" Target="https://ref.ly/Judg6:1-Judg7:25" TargetMode="External"/><Relationship Id="rId9954" Type="http://schemas.openxmlformats.org/officeDocument/2006/relationships/hyperlink" Target="https://ref.ly/Judg10:1-Judg11:40" TargetMode="External"/><Relationship Id="rId9955" Type="http://schemas.openxmlformats.org/officeDocument/2006/relationships/hyperlink" Target="https://ref.ly/1Sam31:8-1Sam31:13" TargetMode="External"/><Relationship Id="rId9956" Type="http://schemas.openxmlformats.org/officeDocument/2006/relationships/hyperlink" Target="https://ref.ly/2Sam2:1-2Sam2:7" TargetMode="External"/><Relationship Id="rId9957" Type="http://schemas.openxmlformats.org/officeDocument/2006/relationships/hyperlink" Target="https://ref.ly/2Sam2:8-2Sam2:9" TargetMode="External"/><Relationship Id="rId9958" Type="http://schemas.openxmlformats.org/officeDocument/2006/relationships/hyperlink" Target="https://ref.ly/2Sam10:1-2Sam10:19" TargetMode="External"/><Relationship Id="rId9959" Type="http://schemas.openxmlformats.org/officeDocument/2006/relationships/hyperlink" Target="https://ref.ly/2Sam15:1-2Sam17:29" TargetMode="External"/><Relationship Id="rId9960" Type="http://schemas.openxmlformats.org/officeDocument/2006/relationships/hyperlink" Target="https://ref.ly/2Sam18:1-2Sam19:43" TargetMode="External"/><Relationship Id="rId9961" Type="http://schemas.openxmlformats.org/officeDocument/2006/relationships/hyperlink" Target="https://ref.ly/1Kgs20:23-1Kgs20:43" TargetMode="External"/><Relationship Id="rId9962" Type="http://schemas.openxmlformats.org/officeDocument/2006/relationships/hyperlink" Target="https://ref.ly/1Kgs22:1-1Kgs22:4,1Kgs22:29-1Kgs22:40" TargetMode="External"/><Relationship Id="rId9963" Type="http://schemas.openxmlformats.org/officeDocument/2006/relationships/hyperlink" Target="https://ref.ly/2Kgs15:27-2Kgs15:31" TargetMode="External"/><Relationship Id="rId9964" Type="http://schemas.openxmlformats.org/officeDocument/2006/relationships/hyperlink" Target="https://ref.ly/Hos6:8" TargetMode="External"/><Relationship Id="rId9965" Type="http://schemas.openxmlformats.org/officeDocument/2006/relationships/hyperlink" Target="https://ref.ly/Judg10:17-Judg10:18" TargetMode="External"/><Relationship Id="rId9966" Type="http://schemas.openxmlformats.org/officeDocument/2006/relationships/hyperlink" Target="https://ref.ly/Num26:29-Num26:33" TargetMode="External"/><Relationship Id="rId9967" Type="http://schemas.openxmlformats.org/officeDocument/2006/relationships/hyperlink" Target="https://ref.ly/Num26:29" TargetMode="External"/><Relationship Id="rId9968" Type="http://schemas.openxmlformats.org/officeDocument/2006/relationships/hyperlink" Target="https://ref.ly/Num27:1" TargetMode="External"/><Relationship Id="rId9969" Type="http://schemas.openxmlformats.org/officeDocument/2006/relationships/hyperlink" Target="https://ref.ly/Num36:1" TargetMode="External"/><Relationship Id="rId9970" Type="http://schemas.openxmlformats.org/officeDocument/2006/relationships/hyperlink" Target="https://ref.ly/Josh4:19" TargetMode="External"/><Relationship Id="rId9971" Type="http://schemas.openxmlformats.org/officeDocument/2006/relationships/hyperlink" Target="https://ref.ly/Josh5:12" TargetMode="External"/><Relationship Id="rId9972" Type="http://schemas.openxmlformats.org/officeDocument/2006/relationships/hyperlink" Target="https://ref.ly/Josh5:13-Josh5:15" TargetMode="External"/><Relationship Id="rId9973" Type="http://schemas.openxmlformats.org/officeDocument/2006/relationships/hyperlink" Target="https://ref.ly/Josh6:1-Josh6:27" TargetMode="External"/><Relationship Id="rId9974" Type="http://schemas.openxmlformats.org/officeDocument/2006/relationships/hyperlink" Target="https://ref.ly/Josh8:3" TargetMode="External"/><Relationship Id="rId9975" Type="http://schemas.openxmlformats.org/officeDocument/2006/relationships/hyperlink" Target="https://ref.ly/Josh9:3-Josh9:15" TargetMode="External"/><Relationship Id="rId9976" Type="http://schemas.openxmlformats.org/officeDocument/2006/relationships/hyperlink" Target="https://ref.ly/Josh10:6-Josh10:43" TargetMode="External"/><Relationship Id="rId9977" Type="http://schemas.openxmlformats.org/officeDocument/2006/relationships/hyperlink" Target="https://ref.ly/Josh15:1-Josh17:18" TargetMode="External"/><Relationship Id="rId9978" Type="http://schemas.openxmlformats.org/officeDocument/2006/relationships/hyperlink" Target="https://ref.ly/1Sam7:16" TargetMode="External"/><Relationship Id="rId9979" Type="http://schemas.openxmlformats.org/officeDocument/2006/relationships/hyperlink" Target="https://ref.ly/1Sam10:8" TargetMode="External"/><Relationship Id="rId9980" Type="http://schemas.openxmlformats.org/officeDocument/2006/relationships/hyperlink" Target="https://ref.ly/1Sam13:9-1Sam13:10" TargetMode="External"/><Relationship Id="rId9981" Type="http://schemas.openxmlformats.org/officeDocument/2006/relationships/hyperlink" Target="https://ref.ly/1Sam15:21" TargetMode="External"/><Relationship Id="rId9982" Type="http://schemas.openxmlformats.org/officeDocument/2006/relationships/hyperlink" Target="https://ref.ly/1Sam11:14-1Sam11:15" TargetMode="External"/><Relationship Id="rId9983" Type="http://schemas.openxmlformats.org/officeDocument/2006/relationships/hyperlink" Target="https://ref.ly/1Sam13:4-1Sam13:15" TargetMode="External"/><Relationship Id="rId9984" Type="http://schemas.openxmlformats.org/officeDocument/2006/relationships/hyperlink" Target="https://ref.ly/1Sam15:17-1Sam15:31" TargetMode="External"/><Relationship Id="rId9985" Type="http://schemas.openxmlformats.org/officeDocument/2006/relationships/hyperlink" Target="https://ref.ly/2Sam19:15" TargetMode="External"/><Relationship Id="rId9986" Type="http://schemas.openxmlformats.org/officeDocument/2006/relationships/hyperlink" Target="https://ref.ly/Hos4:15" TargetMode="External"/><Relationship Id="rId9987" Type="http://schemas.openxmlformats.org/officeDocument/2006/relationships/hyperlink" Target="https://ref.ly/Hos9:15" TargetMode="External"/><Relationship Id="rId9988" Type="http://schemas.openxmlformats.org/officeDocument/2006/relationships/hyperlink" Target="https://ref.ly/Hos12:11" TargetMode="External"/><Relationship Id="rId9989" Type="http://schemas.openxmlformats.org/officeDocument/2006/relationships/hyperlink" Target="https://ref.ly/Deut11:30" TargetMode="External"/><Relationship Id="rId9990" Type="http://schemas.openxmlformats.org/officeDocument/2006/relationships/hyperlink" Target="https://ref.ly/Josh15:7" TargetMode="External"/><Relationship Id="rId9991" Type="http://schemas.openxmlformats.org/officeDocument/2006/relationships/hyperlink" Target="https://ref.ly/Josh18:17" TargetMode="External"/><Relationship Id="rId9992" Type="http://schemas.openxmlformats.org/officeDocument/2006/relationships/hyperlink" Target="https://ref.ly/2Kgs2:1" TargetMode="External"/><Relationship Id="rId9993" Type="http://schemas.openxmlformats.org/officeDocument/2006/relationships/hyperlink" Target="https://ref.ly/1Chr1:14" TargetMode="External"/><Relationship Id="rId9994" Type="http://schemas.openxmlformats.org/officeDocument/2006/relationships/hyperlink" Target="https://ref.ly/Gen15:21" TargetMode="External"/><Relationship Id="rId9995" Type="http://schemas.openxmlformats.org/officeDocument/2006/relationships/hyperlink" Target="https://ref.ly/Ps81:1-Ps81:16" TargetMode="External"/><Relationship Id="rId9996" Type="http://schemas.openxmlformats.org/officeDocument/2006/relationships/hyperlink" Target="https://ref.ly/Neh9:5" TargetMode="External"/><Relationship Id="rId9997" Type="http://schemas.openxmlformats.org/officeDocument/2006/relationships/hyperlink" Target="https://ref.ly/Ps24:1-Ps24:10" TargetMode="External"/><Relationship Id="rId9998" Type="http://schemas.openxmlformats.org/officeDocument/2006/relationships/hyperlink" Target="https://ref.ly/Ps57:5" TargetMode="External"/><Relationship Id="rId9999" Type="http://schemas.openxmlformats.org/officeDocument/2006/relationships/hyperlink" Target="https://ref.ly/Ps108:5" TargetMode="External"/><Relationship Id="rId10000" Type="http://schemas.openxmlformats.org/officeDocument/2006/relationships/hyperlink" Target="https://ref.ly/Ps113:4" TargetMode="External"/><Relationship Id="rId10001" Type="http://schemas.openxmlformats.org/officeDocument/2006/relationships/hyperlink" Target="https://ref.ly/Isa42:8" TargetMode="External"/><Relationship Id="rId10002" Type="http://schemas.openxmlformats.org/officeDocument/2006/relationships/hyperlink" Target="https://ref.ly/Ps79:9" TargetMode="External"/><Relationship Id="rId10003" Type="http://schemas.openxmlformats.org/officeDocument/2006/relationships/hyperlink" Target="https://ref.ly/Isa48:11" TargetMode="External"/><Relationship Id="rId10004" Type="http://schemas.openxmlformats.org/officeDocument/2006/relationships/hyperlink" Target="https://ref.ly/Ps97:6" TargetMode="External"/><Relationship Id="rId10005" Type="http://schemas.openxmlformats.org/officeDocument/2006/relationships/hyperlink" Target="https://ref.ly/1Chr16:24" TargetMode="External"/><Relationship Id="rId10006" Type="http://schemas.openxmlformats.org/officeDocument/2006/relationships/hyperlink" Target="https://ref.ly/Ps72:18-Ps72:19" TargetMode="External"/><Relationship Id="rId10007" Type="http://schemas.openxmlformats.org/officeDocument/2006/relationships/hyperlink" Target="https://ref.ly/Ps96:3" TargetMode="External"/><Relationship Id="rId10008" Type="http://schemas.openxmlformats.org/officeDocument/2006/relationships/hyperlink" Target="https://ref.ly/Ps145:10-Ps145:12" TargetMode="External"/><Relationship Id="rId10009" Type="http://schemas.openxmlformats.org/officeDocument/2006/relationships/hyperlink" Target="https://ref.ly/John11:4" TargetMode="External"/><Relationship Id="rId10010" Type="http://schemas.openxmlformats.org/officeDocument/2006/relationships/hyperlink" Target="https://ref.ly/1Chr16:24-1Chr16:29" TargetMode="External"/><Relationship Id="rId10011" Type="http://schemas.openxmlformats.org/officeDocument/2006/relationships/hyperlink" Target="https://ref.ly/Ps29:1-Ps29:2" TargetMode="External"/><Relationship Id="rId10012" Type="http://schemas.openxmlformats.org/officeDocument/2006/relationships/hyperlink" Target="https://ref.ly/Ps66:1-Ps66:2" TargetMode="External"/><Relationship Id="rId10013" Type="http://schemas.openxmlformats.org/officeDocument/2006/relationships/hyperlink" Target="https://ref.ly/Ps96:7-Ps96:8" TargetMode="External"/><Relationship Id="rId10014" Type="http://schemas.openxmlformats.org/officeDocument/2006/relationships/hyperlink" Target="https://ref.ly/Ps115:1" TargetMode="External"/><Relationship Id="rId10015" Type="http://schemas.openxmlformats.org/officeDocument/2006/relationships/hyperlink" Target="https://ref.ly/Isa42:12" TargetMode="External"/><Relationship Id="rId10016" Type="http://schemas.openxmlformats.org/officeDocument/2006/relationships/hyperlink" Target="https://ref.ly/Rom4:20" TargetMode="External"/><Relationship Id="rId10017" Type="http://schemas.openxmlformats.org/officeDocument/2006/relationships/hyperlink" Target="https://ref.ly/Exod13:21-Exod13:22" TargetMode="External"/><Relationship Id="rId10018" Type="http://schemas.openxmlformats.org/officeDocument/2006/relationships/hyperlink" Target="https://ref.ly/Neh9:11-Neh9:12" TargetMode="External"/><Relationship Id="rId10019" Type="http://schemas.openxmlformats.org/officeDocument/2006/relationships/hyperlink" Target="https://ref.ly/Exod19:9" TargetMode="External"/><Relationship Id="rId10020" Type="http://schemas.openxmlformats.org/officeDocument/2006/relationships/hyperlink" Target="https://ref.ly/Exod24:15-Exod24:18" TargetMode="External"/><Relationship Id="rId10021" Type="http://schemas.openxmlformats.org/officeDocument/2006/relationships/hyperlink" Target="https://ref.ly/Deut5:5" TargetMode="External"/><Relationship Id="rId10022" Type="http://schemas.openxmlformats.org/officeDocument/2006/relationships/hyperlink" Target="https://ref.ly/Exod33:18-Exod33:23" TargetMode="External"/><Relationship Id="rId10023" Type="http://schemas.openxmlformats.org/officeDocument/2006/relationships/hyperlink" Target="https://ref.ly/2Cor3:7-2Cor3:18" TargetMode="External"/><Relationship Id="rId10024" Type="http://schemas.openxmlformats.org/officeDocument/2006/relationships/hyperlink" Target="https://ref.ly/Exod40:34-Exod40:38" TargetMode="External"/><Relationship Id="rId10025" Type="http://schemas.openxmlformats.org/officeDocument/2006/relationships/hyperlink" Target="https://ref.ly/Num10:11-Num10:12" TargetMode="External"/><Relationship Id="rId10026" Type="http://schemas.openxmlformats.org/officeDocument/2006/relationships/hyperlink" Target="https://ref.ly/Num1:50-Num2:2" TargetMode="External"/><Relationship Id="rId10027" Type="http://schemas.openxmlformats.org/officeDocument/2006/relationships/hyperlink" Target="https://ref.ly/2Chr5:13-2Chr6:1" TargetMode="External"/><Relationship Id="rId10028" Type="http://schemas.openxmlformats.org/officeDocument/2006/relationships/hyperlink" Target="https://ref.ly/2Chr7:1-2Chr7:3" TargetMode="External"/><Relationship Id="rId10029" Type="http://schemas.openxmlformats.org/officeDocument/2006/relationships/hyperlink" Target="https://ref.ly/Ps26:8" TargetMode="External"/><Relationship Id="rId10030" Type="http://schemas.openxmlformats.org/officeDocument/2006/relationships/hyperlink" Target="https://ref.ly/Ps63:2" TargetMode="External"/><Relationship Id="rId10031" Type="http://schemas.openxmlformats.org/officeDocument/2006/relationships/hyperlink" Target="https://ref.ly/Ps85:9" TargetMode="External"/><Relationship Id="rId10032" Type="http://schemas.openxmlformats.org/officeDocument/2006/relationships/hyperlink" Target="https://ref.ly/Isa3:8" TargetMode="External"/><Relationship Id="rId10033" Type="http://schemas.openxmlformats.org/officeDocument/2006/relationships/hyperlink" Target="https://ref.ly/Jer2:10-Jer2:11" TargetMode="External"/><Relationship Id="rId10034" Type="http://schemas.openxmlformats.org/officeDocument/2006/relationships/hyperlink" Target="https://ref.ly/Rom1:23" TargetMode="External"/><Relationship Id="rId10035" Type="http://schemas.openxmlformats.org/officeDocument/2006/relationships/hyperlink" Target="https://ref.ly/Ezek10:4" TargetMode="External"/><Relationship Id="rId10036" Type="http://schemas.openxmlformats.org/officeDocument/2006/relationships/hyperlink" Target="https://ref.ly/Ezek11:22" TargetMode="External"/><Relationship Id="rId10037" Type="http://schemas.openxmlformats.org/officeDocument/2006/relationships/hyperlink" Target="https://ref.ly/Ezek12:1-Ezek12:15" TargetMode="External"/><Relationship Id="rId10038" Type="http://schemas.openxmlformats.org/officeDocument/2006/relationships/hyperlink" Target="https://ref.ly/Ezek43:2-Ezek43:9" TargetMode="External"/><Relationship Id="rId10039" Type="http://schemas.openxmlformats.org/officeDocument/2006/relationships/hyperlink" Target="https://ref.ly/Hag2:3-Hag2:9" TargetMode="External"/><Relationship Id="rId10040" Type="http://schemas.openxmlformats.org/officeDocument/2006/relationships/hyperlink" Target="https://ref.ly/Zech2:5" TargetMode="External"/><Relationship Id="rId10041" Type="http://schemas.openxmlformats.org/officeDocument/2006/relationships/hyperlink" Target="https://ref.ly/Luke2:30-Luke2:32" TargetMode="External"/><Relationship Id="rId10042" Type="http://schemas.openxmlformats.org/officeDocument/2006/relationships/hyperlink" Target="https://ref.ly/Matt17:1-Matt17:8" TargetMode="External"/><Relationship Id="rId10043" Type="http://schemas.openxmlformats.org/officeDocument/2006/relationships/hyperlink" Target="https://ref.ly/2Pet1:16-2Pet1:17" TargetMode="External"/><Relationship Id="rId10044" Type="http://schemas.openxmlformats.org/officeDocument/2006/relationships/hyperlink" Target="https://ref.ly/1Cor15:39-1Cor15:43" TargetMode="External"/><Relationship Id="rId10045" Type="http://schemas.openxmlformats.org/officeDocument/2006/relationships/hyperlink" Target="https://ref.ly/Acts7:55" TargetMode="External"/><Relationship Id="rId10046" Type="http://schemas.openxmlformats.org/officeDocument/2006/relationships/hyperlink" Target="https://ref.ly/Acts9:3" TargetMode="External"/><Relationship Id="rId10047" Type="http://schemas.openxmlformats.org/officeDocument/2006/relationships/hyperlink" Target="https://ref.ly/2Thess2:9-2Thess2:10" TargetMode="External"/><Relationship Id="rId10048" Type="http://schemas.openxmlformats.org/officeDocument/2006/relationships/hyperlink" Target="https://ref.ly/Hab2:14" TargetMode="External"/><Relationship Id="rId10049" Type="http://schemas.openxmlformats.org/officeDocument/2006/relationships/hyperlink" Target="https://ref.ly/Rev21:10-Rev21:11" TargetMode="External"/><Relationship Id="rId10050" Type="http://schemas.openxmlformats.org/officeDocument/2006/relationships/hyperlink" Target="https://ref.ly/John16:7-John16:14" TargetMode="External"/><Relationship Id="rId10051" Type="http://schemas.openxmlformats.org/officeDocument/2006/relationships/hyperlink" Target="https://ref.ly/1Pet4:14" TargetMode="External"/><Relationship Id="rId10052" Type="http://schemas.openxmlformats.org/officeDocument/2006/relationships/hyperlink" Target="https://ref.ly/Rom8:16-Rom8:17" TargetMode="External"/><Relationship Id="rId10053" Type="http://schemas.openxmlformats.org/officeDocument/2006/relationships/hyperlink" Target="https://ref.ly/Col1:27" TargetMode="External"/><Relationship Id="rId10054" Type="http://schemas.openxmlformats.org/officeDocument/2006/relationships/hyperlink" Target="https://ref.ly/Jude1:24-Jude1:25" TargetMode="External"/><Relationship Id="rId10055" Type="http://schemas.openxmlformats.org/officeDocument/2006/relationships/hyperlink" Target="https://ref.ly/Rom8:30" TargetMode="External"/><Relationship Id="rId10056" Type="http://schemas.openxmlformats.org/officeDocument/2006/relationships/hyperlink" Target="https://ref.ly/Rom9:23" TargetMode="External"/><Relationship Id="rId10057" Type="http://schemas.openxmlformats.org/officeDocument/2006/relationships/hyperlink" Target="https://ref.ly/Col3:4" TargetMode="External"/><Relationship Id="rId10058" Type="http://schemas.openxmlformats.org/officeDocument/2006/relationships/hyperlink" Target="https://ref.ly/2Thess2:14" TargetMode="External"/><Relationship Id="rId10059" Type="http://schemas.openxmlformats.org/officeDocument/2006/relationships/hyperlink" Target="https://ref.ly/Rom8:18" TargetMode="External"/><Relationship Id="rId10060" Type="http://schemas.openxmlformats.org/officeDocument/2006/relationships/hyperlink" Target="https://ref.ly/2Cor4:17" TargetMode="External"/><Relationship Id="rId10061" Type="http://schemas.openxmlformats.org/officeDocument/2006/relationships/hyperlink" Target="https://ref.ly/Rom8:21" TargetMode="External"/><Relationship Id="rId10062" Type="http://schemas.openxmlformats.org/officeDocument/2006/relationships/hyperlink" Target="https://ref.ly/1John3:3" TargetMode="External"/><Relationship Id="rId10063" Type="http://schemas.openxmlformats.org/officeDocument/2006/relationships/hyperlink" Target="https://ref.ly/Exod25:1-Exod27:21" TargetMode="External"/><Relationship Id="rId10064" Type="http://schemas.openxmlformats.org/officeDocument/2006/relationships/hyperlink" Target="https://ref.ly/Exod33:19" TargetMode="External"/><Relationship Id="rId10065" Type="http://schemas.openxmlformats.org/officeDocument/2006/relationships/hyperlink" Target="https://ref.ly/1Cor2:8" TargetMode="External"/><Relationship Id="rId10066" Type="http://schemas.openxmlformats.org/officeDocument/2006/relationships/hyperlink" Target="https://ref.ly/John11:40" TargetMode="External"/><Relationship Id="rId10067" Type="http://schemas.openxmlformats.org/officeDocument/2006/relationships/hyperlink" Target="https://ref.ly/Rom8:28-Rom8:30" TargetMode="External"/><Relationship Id="rId10068" Type="http://schemas.openxmlformats.org/officeDocument/2006/relationships/hyperlink" Target="https://ref.ly/Eph5:27" TargetMode="External"/><Relationship Id="rId10069" Type="http://schemas.openxmlformats.org/officeDocument/2006/relationships/hyperlink" Target="https://ref.ly/Gen14:3" TargetMode="External"/><Relationship Id="rId10070" Type="http://schemas.openxmlformats.org/officeDocument/2006/relationships/hyperlink" Target="https://ref.ly/Gen14:12" TargetMode="External"/><Relationship Id="rId10071" Type="http://schemas.openxmlformats.org/officeDocument/2006/relationships/hyperlink" Target="https://ref.ly/Gen14:13-Gen14:16" TargetMode="External"/><Relationship Id="rId10072" Type="http://schemas.openxmlformats.org/officeDocument/2006/relationships/hyperlink" Target="https://ref.ly/Josh12:23" TargetMode="External"/><Relationship Id="rId10073" Type="http://schemas.openxmlformats.org/officeDocument/2006/relationships/hyperlink" Target="https://ref.ly/Gen10:2" TargetMode="External"/><Relationship Id="rId10074" Type="http://schemas.openxmlformats.org/officeDocument/2006/relationships/hyperlink" Target="https://ref.ly/1Chr1:5" TargetMode="External"/><Relationship Id="rId10075" Type="http://schemas.openxmlformats.org/officeDocument/2006/relationships/hyperlink" Target="https://ref.ly/Gen10:3" TargetMode="External"/><Relationship Id="rId10076" Type="http://schemas.openxmlformats.org/officeDocument/2006/relationships/hyperlink" Target="https://ref.ly/Ezek38:6" TargetMode="External"/><Relationship Id="rId10077" Type="http://schemas.openxmlformats.org/officeDocument/2006/relationships/hyperlink" Target="https://ref.ly/Exod16:16,Exod16:18,Exod16:22,Exod16:36" TargetMode="External"/><Relationship Id="rId10078" Type="http://schemas.openxmlformats.org/officeDocument/2006/relationships/hyperlink" Target="https://ref.ly/1Macc15:19" TargetMode="External"/><Relationship Id="rId10079" Type="http://schemas.openxmlformats.org/officeDocument/2006/relationships/hyperlink" Target="https://ref.ly/Gen46:1-Gen47:31" TargetMode="External"/><Relationship Id="rId10080" Type="http://schemas.openxmlformats.org/officeDocument/2006/relationships/hyperlink" Target="https://ref.ly/Gen47:6,Gen47:11" TargetMode="External"/><Relationship Id="rId10081" Type="http://schemas.openxmlformats.org/officeDocument/2006/relationships/hyperlink" Target="https://ref.ly/Gen45:10" TargetMode="External"/><Relationship Id="rId10082" Type="http://schemas.openxmlformats.org/officeDocument/2006/relationships/hyperlink" Target="https://ref.ly/Gen46:34" TargetMode="External"/><Relationship Id="rId10083" Type="http://schemas.openxmlformats.org/officeDocument/2006/relationships/hyperlink" Target="https://ref.ly/Josh15:51" TargetMode="External"/><Relationship Id="rId10084" Type="http://schemas.openxmlformats.org/officeDocument/2006/relationships/hyperlink" Target="https://ref.ly/Gen42:6" TargetMode="External"/><Relationship Id="rId10085" Type="http://schemas.openxmlformats.org/officeDocument/2006/relationships/hyperlink" Target="https://ref.ly/Jer40:5" TargetMode="External"/><Relationship Id="rId10086" Type="http://schemas.openxmlformats.org/officeDocument/2006/relationships/hyperlink" Target="https://ref.ly/Dan2:48" TargetMode="External"/><Relationship Id="rId10087" Type="http://schemas.openxmlformats.org/officeDocument/2006/relationships/hyperlink" Target="https://ref.ly/2Kgs18:24" TargetMode="External"/><Relationship Id="rId10088" Type="http://schemas.openxmlformats.org/officeDocument/2006/relationships/hyperlink" Target="https://ref.ly/Jer51:23" TargetMode="External"/><Relationship Id="rId10089" Type="http://schemas.openxmlformats.org/officeDocument/2006/relationships/hyperlink" Target="https://ref.ly/1Kgs22:26" TargetMode="External"/><Relationship Id="rId10090" Type="http://schemas.openxmlformats.org/officeDocument/2006/relationships/hyperlink" Target="https://ref.ly/2Chr34:8" TargetMode="External"/><Relationship Id="rId10091" Type="http://schemas.openxmlformats.org/officeDocument/2006/relationships/hyperlink" Target="https://ref.ly/Ps22:28" TargetMode="External"/><Relationship Id="rId10092" Type="http://schemas.openxmlformats.org/officeDocument/2006/relationships/hyperlink" Target="https://ref.ly/1Macc14:47" TargetMode="External"/><Relationship Id="rId10093" Type="http://schemas.openxmlformats.org/officeDocument/2006/relationships/hyperlink" Target="https://ref.ly/Matt10:18" TargetMode="External"/><Relationship Id="rId10094" Type="http://schemas.openxmlformats.org/officeDocument/2006/relationships/hyperlink" Target="https://ref.ly/Acts23:24" TargetMode="External"/><Relationship Id="rId10095" Type="http://schemas.openxmlformats.org/officeDocument/2006/relationships/hyperlink" Target="https://ref.ly/1Pet2:14" TargetMode="External"/><Relationship Id="rId10096" Type="http://schemas.openxmlformats.org/officeDocument/2006/relationships/hyperlink" Target="https://ref.ly/Jas3:4" TargetMode="External"/><Relationship Id="rId10097" Type="http://schemas.openxmlformats.org/officeDocument/2006/relationships/hyperlink" Target="https://ref.ly/2Chr7:18" TargetMode="External"/><Relationship Id="rId10098" Type="http://schemas.openxmlformats.org/officeDocument/2006/relationships/hyperlink" Target="https://ref.ly/Ps105:20" TargetMode="External"/><Relationship Id="rId10099" Type="http://schemas.openxmlformats.org/officeDocument/2006/relationships/hyperlink" Target="https://ref.ly/Prov23:1" TargetMode="External"/><Relationship Id="rId10100" Type="http://schemas.openxmlformats.org/officeDocument/2006/relationships/hyperlink" Target="https://ref.ly/Eccl10:4" TargetMode="External"/><Relationship Id="rId10101" Type="http://schemas.openxmlformats.org/officeDocument/2006/relationships/hyperlink" Target="https://ref.ly/Isa16:1" TargetMode="External"/><Relationship Id="rId10102" Type="http://schemas.openxmlformats.org/officeDocument/2006/relationships/hyperlink" Target="https://ref.ly/Jer33:26" TargetMode="External"/><Relationship Id="rId10103" Type="http://schemas.openxmlformats.org/officeDocument/2006/relationships/hyperlink" Target="https://ref.ly/Jer51:46" TargetMode="External"/><Relationship Id="rId10104" Type="http://schemas.openxmlformats.org/officeDocument/2006/relationships/hyperlink" Target="https://ref.ly/Judg15:11" TargetMode="External"/><Relationship Id="rId10105" Type="http://schemas.openxmlformats.org/officeDocument/2006/relationships/hyperlink" Target="https://ref.ly/1Sam9:16" TargetMode="External"/><Relationship Id="rId10106" Type="http://schemas.openxmlformats.org/officeDocument/2006/relationships/hyperlink" Target="https://ref.ly/1Sam25:30" TargetMode="External"/><Relationship Id="rId10107" Type="http://schemas.openxmlformats.org/officeDocument/2006/relationships/hyperlink" Target="https://ref.ly/2Sam5:2" TargetMode="External"/><Relationship Id="rId10108" Type="http://schemas.openxmlformats.org/officeDocument/2006/relationships/hyperlink" Target="https://ref.ly/2Sam7:8" TargetMode="External"/><Relationship Id="rId10109" Type="http://schemas.openxmlformats.org/officeDocument/2006/relationships/hyperlink" Target="https://ref.ly/Matt9:18,Matt9:23" TargetMode="External"/><Relationship Id="rId10110" Type="http://schemas.openxmlformats.org/officeDocument/2006/relationships/hyperlink" Target="https://ref.ly/Luke8:41" TargetMode="External"/><Relationship Id="rId10111" Type="http://schemas.openxmlformats.org/officeDocument/2006/relationships/hyperlink" Target="https://ref.ly/Luke18:18" TargetMode="External"/><Relationship Id="rId10112" Type="http://schemas.openxmlformats.org/officeDocument/2006/relationships/hyperlink" Target="https://ref.ly/Luke23:35" TargetMode="External"/><Relationship Id="rId10113" Type="http://schemas.openxmlformats.org/officeDocument/2006/relationships/hyperlink" Target="https://ref.ly/Luke24:20" TargetMode="External"/><Relationship Id="rId10114" Type="http://schemas.openxmlformats.org/officeDocument/2006/relationships/hyperlink" Target="https://ref.ly/John3:1" TargetMode="External"/><Relationship Id="rId10115" Type="http://schemas.openxmlformats.org/officeDocument/2006/relationships/hyperlink" Target="https://ref.ly/John7:26,John7:48" TargetMode="External"/><Relationship Id="rId10116" Type="http://schemas.openxmlformats.org/officeDocument/2006/relationships/hyperlink" Target="https://ref.ly/Acts3:17" TargetMode="External"/><Relationship Id="rId10117" Type="http://schemas.openxmlformats.org/officeDocument/2006/relationships/hyperlink" Target="https://ref.ly/Acts4:5,Acts4:26" TargetMode="External"/><Relationship Id="rId10118" Type="http://schemas.openxmlformats.org/officeDocument/2006/relationships/hyperlink" Target="https://ref.ly/Acts7:27,Acts7:35" TargetMode="External"/><Relationship Id="rId10119" Type="http://schemas.openxmlformats.org/officeDocument/2006/relationships/hyperlink" Target="https://ref.ly/Acts13:27" TargetMode="External"/><Relationship Id="rId10120" Type="http://schemas.openxmlformats.org/officeDocument/2006/relationships/hyperlink" Target="https://ref.ly/Acts14:5" TargetMode="External"/><Relationship Id="rId10121" Type="http://schemas.openxmlformats.org/officeDocument/2006/relationships/hyperlink" Target="https://ref.ly/Acts16:19" TargetMode="External"/><Relationship Id="rId10122" Type="http://schemas.openxmlformats.org/officeDocument/2006/relationships/hyperlink" Target="https://ref.ly/Acts23:5" TargetMode="External"/><Relationship Id="rId10123" Type="http://schemas.openxmlformats.org/officeDocument/2006/relationships/hyperlink" Target="https://ref.ly/Exod34:6" TargetMode="External"/><Relationship Id="rId10124" Type="http://schemas.openxmlformats.org/officeDocument/2006/relationships/hyperlink" Target="https://ref.ly/Exod34:9" TargetMode="External"/><Relationship Id="rId10125" Type="http://schemas.openxmlformats.org/officeDocument/2006/relationships/hyperlink" Target="https://ref.ly/Gen12:2-Gen12:3" TargetMode="External"/><Relationship Id="rId10126" Type="http://schemas.openxmlformats.org/officeDocument/2006/relationships/hyperlink" Target="https://ref.ly/Gen17:4" TargetMode="External"/><Relationship Id="rId10127" Type="http://schemas.openxmlformats.org/officeDocument/2006/relationships/hyperlink" Target="https://ref.ly/Rom4:16" TargetMode="External"/><Relationship Id="rId10128" Type="http://schemas.openxmlformats.org/officeDocument/2006/relationships/hyperlink" Target="https://ref.ly/1Pet1:10-1Pet1:12" TargetMode="External"/><Relationship Id="rId10129" Type="http://schemas.openxmlformats.org/officeDocument/2006/relationships/hyperlink" Target="https://ref.ly/Heb8:6-Heb8:7" TargetMode="External"/><Relationship Id="rId10130" Type="http://schemas.openxmlformats.org/officeDocument/2006/relationships/hyperlink" Target="https://ref.ly/Gal3:23-Gal3:29" TargetMode="External"/><Relationship Id="rId10131" Type="http://schemas.openxmlformats.org/officeDocument/2006/relationships/hyperlink" Target="https://ref.ly/Heb10:1" TargetMode="External"/><Relationship Id="rId10132" Type="http://schemas.openxmlformats.org/officeDocument/2006/relationships/hyperlink" Target="https://ref.ly/Titus3:7" TargetMode="External"/><Relationship Id="rId10133" Type="http://schemas.openxmlformats.org/officeDocument/2006/relationships/hyperlink" Target="https://ref.ly/Gal4:4-Gal4:6" TargetMode="External"/><Relationship Id="rId10134" Type="http://schemas.openxmlformats.org/officeDocument/2006/relationships/hyperlink" Target="https://ref.ly/Rom12:6-Rom12:8" TargetMode="External"/><Relationship Id="rId10135" Type="http://schemas.openxmlformats.org/officeDocument/2006/relationships/hyperlink" Target="https://ref.ly/Eph2:20" TargetMode="External"/><Relationship Id="rId10136" Type="http://schemas.openxmlformats.org/officeDocument/2006/relationships/hyperlink" Target="https://ref.ly/Eph1:7-Eph1:8" TargetMode="External"/><Relationship Id="rId10137" Type="http://schemas.openxmlformats.org/officeDocument/2006/relationships/hyperlink" Target="https://ref.ly/Jas4:6" TargetMode="External"/><Relationship Id="rId10138" Type="http://schemas.openxmlformats.org/officeDocument/2006/relationships/hyperlink" Target="https://ref.ly/1Pet5:5" TargetMode="External"/><Relationship Id="rId10139" Type="http://schemas.openxmlformats.org/officeDocument/2006/relationships/hyperlink" Target="https://ref.ly/Phil2:3-Phil2:4" TargetMode="External"/><Relationship Id="rId10140" Type="http://schemas.openxmlformats.org/officeDocument/2006/relationships/hyperlink" Target="https://ref.ly/Col4:6" TargetMode="External"/><Relationship Id="rId10141" Type="http://schemas.openxmlformats.org/officeDocument/2006/relationships/hyperlink" Target="https://ref.ly/Jude1:4" TargetMode="External"/><Relationship Id="rId10142" Type="http://schemas.openxmlformats.org/officeDocument/2006/relationships/hyperlink" Target="https://ref.ly/Titus2:11-Titus2:12" TargetMode="External"/><Relationship Id="rId10143" Type="http://schemas.openxmlformats.org/officeDocument/2006/relationships/hyperlink" Target="https://ref.ly/Heb4:16" TargetMode="External"/><Relationship Id="rId10144" Type="http://schemas.openxmlformats.org/officeDocument/2006/relationships/hyperlink" Target="https://ref.ly/2Thess3:18" TargetMode="External"/><Relationship Id="rId10145" Type="http://schemas.openxmlformats.org/officeDocument/2006/relationships/hyperlink" Target="https://ref.ly/Ps19:1-Ps19:4" TargetMode="External"/><Relationship Id="rId10146" Type="http://schemas.openxmlformats.org/officeDocument/2006/relationships/hyperlink" Target="https://ref.ly/Ps33:6-Ps33:9" TargetMode="External"/><Relationship Id="rId10147" Type="http://schemas.openxmlformats.org/officeDocument/2006/relationships/hyperlink" Target="https://ref.ly/Ps104:1-Ps104:24" TargetMode="External"/><Relationship Id="rId10148" Type="http://schemas.openxmlformats.org/officeDocument/2006/relationships/hyperlink" Target="https://ref.ly/1Chr16:8-1Chr16:12" TargetMode="External"/><Relationship Id="rId10149" Type="http://schemas.openxmlformats.org/officeDocument/2006/relationships/hyperlink" Target="https://ref.ly/Job1:21" TargetMode="External"/><Relationship Id="rId10150" Type="http://schemas.openxmlformats.org/officeDocument/2006/relationships/hyperlink" Target="https://ref.ly/Ps18:17" TargetMode="External"/><Relationship Id="rId10151" Type="http://schemas.openxmlformats.org/officeDocument/2006/relationships/hyperlink" Target="https://ref.ly/Ps30:1" TargetMode="External"/><Relationship Id="rId10152" Type="http://schemas.openxmlformats.org/officeDocument/2006/relationships/hyperlink" Target="https://ref.ly/Ps44:1-Ps44:8" TargetMode="External"/><Relationship Id="rId10153" Type="http://schemas.openxmlformats.org/officeDocument/2006/relationships/hyperlink" Target="https://ref.ly/Ps30:8-Ps30:12" TargetMode="External"/><Relationship Id="rId10154" Type="http://schemas.openxmlformats.org/officeDocument/2006/relationships/hyperlink" Target="https://ref.ly/Isa38:18-Isa38:20" TargetMode="External"/><Relationship Id="rId10155" Type="http://schemas.openxmlformats.org/officeDocument/2006/relationships/hyperlink" Target="https://ref.ly/Ps32:5" TargetMode="External"/><Relationship Id="rId10156" Type="http://schemas.openxmlformats.org/officeDocument/2006/relationships/hyperlink" Target="https://ref.ly/Ps99:8" TargetMode="External"/><Relationship Id="rId10157" Type="http://schemas.openxmlformats.org/officeDocument/2006/relationships/hyperlink" Target="https://ref.ly/Isa12:1" TargetMode="External"/><Relationship Id="rId10158" Type="http://schemas.openxmlformats.org/officeDocument/2006/relationships/hyperlink" Target="https://ref.ly/Ps28:6" TargetMode="External"/><Relationship Id="rId10159" Type="http://schemas.openxmlformats.org/officeDocument/2006/relationships/hyperlink" Target="https://ref.ly/Ps66:19" TargetMode="External"/><Relationship Id="rId10160" Type="http://schemas.openxmlformats.org/officeDocument/2006/relationships/hyperlink" Target="https://ref.ly/Ps34:2" TargetMode="External"/><Relationship Id="rId10161" Type="http://schemas.openxmlformats.org/officeDocument/2006/relationships/hyperlink" Target="https://ref.ly/Ps72:12" TargetMode="External"/><Relationship Id="rId10162" Type="http://schemas.openxmlformats.org/officeDocument/2006/relationships/hyperlink" Target="https://ref.ly/Deut32:4" TargetMode="External"/><Relationship Id="rId10163" Type="http://schemas.openxmlformats.org/officeDocument/2006/relationships/hyperlink" Target="https://ref.ly/Ps99:4" TargetMode="External"/><Relationship Id="rId10164" Type="http://schemas.openxmlformats.org/officeDocument/2006/relationships/hyperlink" Target="https://ref.ly/Ps32:8" TargetMode="External"/><Relationship Id="rId10165" Type="http://schemas.openxmlformats.org/officeDocument/2006/relationships/hyperlink" Target="https://ref.ly/Isa30:20-Isa30:21" TargetMode="External"/><Relationship Id="rId10166" Type="http://schemas.openxmlformats.org/officeDocument/2006/relationships/hyperlink" Target="https://ref.ly/Lev7:12-Lev7:13" TargetMode="External"/><Relationship Id="rId10167" Type="http://schemas.openxmlformats.org/officeDocument/2006/relationships/hyperlink" Target="https://ref.ly/Lev22:29" TargetMode="External"/><Relationship Id="rId10168" Type="http://schemas.openxmlformats.org/officeDocument/2006/relationships/hyperlink" Target="https://ref.ly/Ps50:14" TargetMode="External"/><Relationship Id="rId10169" Type="http://schemas.openxmlformats.org/officeDocument/2006/relationships/hyperlink" Target="https://ref.ly/Ps42:4" TargetMode="External"/><Relationship Id="rId10170" Type="http://schemas.openxmlformats.org/officeDocument/2006/relationships/hyperlink" Target="https://ref.ly/Ps145:7" TargetMode="External"/><Relationship Id="rId10171" Type="http://schemas.openxmlformats.org/officeDocument/2006/relationships/hyperlink" Target="https://ref.ly/Ps149:1" TargetMode="External"/><Relationship Id="rId10172" Type="http://schemas.openxmlformats.org/officeDocument/2006/relationships/hyperlink" Target="https://ref.ly/Ps150:3-Ps150:5" TargetMode="External"/><Relationship Id="rId10173" Type="http://schemas.openxmlformats.org/officeDocument/2006/relationships/hyperlink" Target="https://ref.ly/Deut16:9-Deut16:15" TargetMode="External"/><Relationship Id="rId10174" Type="http://schemas.openxmlformats.org/officeDocument/2006/relationships/hyperlink" Target="https://ref.ly/2Chr30:21-2Chr30:22" TargetMode="External"/><Relationship Id="rId10175" Type="http://schemas.openxmlformats.org/officeDocument/2006/relationships/hyperlink" Target="https://ref.ly/1Chr16:4" TargetMode="External"/><Relationship Id="rId10176" Type="http://schemas.openxmlformats.org/officeDocument/2006/relationships/hyperlink" Target="https://ref.ly/2Chr31:2" TargetMode="External"/><Relationship Id="rId10177" Type="http://schemas.openxmlformats.org/officeDocument/2006/relationships/hyperlink" Target="https://ref.ly/Neh11:17" TargetMode="External"/><Relationship Id="rId10178" Type="http://schemas.openxmlformats.org/officeDocument/2006/relationships/hyperlink" Target="https://ref.ly/Neh12:24,Neh12:27" TargetMode="External"/><Relationship Id="rId10179" Type="http://schemas.openxmlformats.org/officeDocument/2006/relationships/hyperlink" Target="https://ref.ly/1Cor1:4" TargetMode="External"/><Relationship Id="rId10180" Type="http://schemas.openxmlformats.org/officeDocument/2006/relationships/hyperlink" Target="https://ref.ly/2Cor2:14" TargetMode="External"/><Relationship Id="rId10181" Type="http://schemas.openxmlformats.org/officeDocument/2006/relationships/hyperlink" Target="https://ref.ly/1Tim1:12" TargetMode="External"/><Relationship Id="rId10182" Type="http://schemas.openxmlformats.org/officeDocument/2006/relationships/hyperlink" Target="https://ref.ly/Rom6:17" TargetMode="External"/><Relationship Id="rId10183" Type="http://schemas.openxmlformats.org/officeDocument/2006/relationships/hyperlink" Target="https://ref.ly/Eph1:15-Eph1:16" TargetMode="External"/><Relationship Id="rId10184" Type="http://schemas.openxmlformats.org/officeDocument/2006/relationships/hyperlink" Target="https://ref.ly/Phil1:3-Phil1:5" TargetMode="External"/><Relationship Id="rId10185" Type="http://schemas.openxmlformats.org/officeDocument/2006/relationships/hyperlink" Target="https://ref.ly/Col1:3-Col1:4" TargetMode="External"/><Relationship Id="rId10186" Type="http://schemas.openxmlformats.org/officeDocument/2006/relationships/hyperlink" Target="https://ref.ly/1Thess1:2-1Thess1:3" TargetMode="External"/><Relationship Id="rId10187" Type="http://schemas.openxmlformats.org/officeDocument/2006/relationships/hyperlink" Target="https://ref.ly/Rom14:6" TargetMode="External"/><Relationship Id="rId10188" Type="http://schemas.openxmlformats.org/officeDocument/2006/relationships/hyperlink" Target="https://ref.ly/1Thess5:18" TargetMode="External"/><Relationship Id="rId10189" Type="http://schemas.openxmlformats.org/officeDocument/2006/relationships/hyperlink" Target="https://ref.ly/Phil4:6" TargetMode="External"/><Relationship Id="rId10190" Type="http://schemas.openxmlformats.org/officeDocument/2006/relationships/hyperlink" Target="https://ref.ly/Eph5:20" TargetMode="External"/><Relationship Id="rId10191" Type="http://schemas.openxmlformats.org/officeDocument/2006/relationships/hyperlink" Target="https://ref.ly/Isa66:19" TargetMode="External"/><Relationship Id="rId10192" Type="http://schemas.openxmlformats.org/officeDocument/2006/relationships/hyperlink" Target="https://ref.ly/Ezek27:13" TargetMode="External"/><Relationship Id="rId10193" Type="http://schemas.openxmlformats.org/officeDocument/2006/relationships/hyperlink" Target="https://ref.ly/Dan8:21" TargetMode="External"/><Relationship Id="rId10194" Type="http://schemas.openxmlformats.org/officeDocument/2006/relationships/hyperlink" Target="https://ref.ly/Dan10:20" TargetMode="External"/><Relationship Id="rId10195" Type="http://schemas.openxmlformats.org/officeDocument/2006/relationships/hyperlink" Target="https://ref.ly/Dan11:2" TargetMode="External"/><Relationship Id="rId10196" Type="http://schemas.openxmlformats.org/officeDocument/2006/relationships/hyperlink" Target="https://ref.ly/Zech9:13" TargetMode="External"/><Relationship Id="rId10197" Type="http://schemas.openxmlformats.org/officeDocument/2006/relationships/hyperlink" Target="https://ref.ly/Joel3:6" TargetMode="External"/><Relationship Id="rId10198" Type="http://schemas.openxmlformats.org/officeDocument/2006/relationships/hyperlink" Target="https://ref.ly/Acts6:1" TargetMode="External"/><Relationship Id="rId10199" Type="http://schemas.openxmlformats.org/officeDocument/2006/relationships/hyperlink" Target="https://ref.ly/Acts9:29" TargetMode="External"/><Relationship Id="rId10200" Type="http://schemas.openxmlformats.org/officeDocument/2006/relationships/hyperlink" Target="https://ref.ly/Acts14:1" TargetMode="External"/><Relationship Id="rId10201" Type="http://schemas.openxmlformats.org/officeDocument/2006/relationships/hyperlink" Target="https://ref.ly/Acts16:1-Acts16:3" TargetMode="External"/><Relationship Id="rId10202" Type="http://schemas.openxmlformats.org/officeDocument/2006/relationships/hyperlink" Target="https://ref.ly/Rom10:12" TargetMode="External"/><Relationship Id="rId10203" Type="http://schemas.openxmlformats.org/officeDocument/2006/relationships/hyperlink" Target="https://ref.ly/1Cor1:22" TargetMode="External"/><Relationship Id="rId10204" Type="http://schemas.openxmlformats.org/officeDocument/2006/relationships/hyperlink" Target="https://ref.ly/John19:20" TargetMode="External"/><Relationship Id="rId10205" Type="http://schemas.openxmlformats.org/officeDocument/2006/relationships/hyperlink" Target="https://ref.ly/Acts21:37" TargetMode="External"/><Relationship Id="rId10206" Type="http://schemas.openxmlformats.org/officeDocument/2006/relationships/hyperlink" Target="https://ref.ly/Mark7:26" TargetMode="External"/><Relationship Id="rId10207" Type="http://schemas.openxmlformats.org/officeDocument/2006/relationships/hyperlink" Target="https://ref.ly/Exod27:4" TargetMode="External"/><Relationship Id="rId10208" Type="http://schemas.openxmlformats.org/officeDocument/2006/relationships/hyperlink" Target="https://ref.ly/Deut10:7" TargetMode="External"/><Relationship Id="rId10209" Type="http://schemas.openxmlformats.org/officeDocument/2006/relationships/hyperlink" Target="https://ref.ly/Judg9:1-Judg9:57" TargetMode="External"/><Relationship Id="rId10210" Type="http://schemas.openxmlformats.org/officeDocument/2006/relationships/hyperlink" Target="https://ref.ly/Judg9:32-Judg9:35" TargetMode="External"/><Relationship Id="rId10211" Type="http://schemas.openxmlformats.org/officeDocument/2006/relationships/hyperlink" Target="https://ref.ly/Judg9:43-Judg9:44" TargetMode="External"/><Relationship Id="rId10212" Type="http://schemas.openxmlformats.org/officeDocument/2006/relationships/hyperlink" Target="https://ref.ly/Judg9:48-Judg9:49" TargetMode="External"/><Relationship Id="rId10213" Type="http://schemas.openxmlformats.org/officeDocument/2006/relationships/hyperlink" Target="https://ref.ly/Judg9:50-Judg9:53" TargetMode="External"/><Relationship Id="rId10214" Type="http://schemas.openxmlformats.org/officeDocument/2006/relationships/hyperlink" Target="https://ref.ly/2Sam11:19-2Sam11:21" TargetMode="External"/><Relationship Id="rId10215" Type="http://schemas.openxmlformats.org/officeDocument/2006/relationships/hyperlink" Target="https://ref.ly/Num13:17-Num13:20" TargetMode="External"/><Relationship Id="rId10216" Type="http://schemas.openxmlformats.org/officeDocument/2006/relationships/hyperlink" Target="https://ref.ly/Josh7:2" TargetMode="External"/><Relationship Id="rId10217" Type="http://schemas.openxmlformats.org/officeDocument/2006/relationships/hyperlink" Target="https://ref.ly/2Sam20:15" TargetMode="External"/><Relationship Id="rId10218" Type="http://schemas.openxmlformats.org/officeDocument/2006/relationships/hyperlink" Target="https://ref.ly/Ezek21:22" TargetMode="External"/><Relationship Id="rId10219" Type="http://schemas.openxmlformats.org/officeDocument/2006/relationships/hyperlink" Target="https://ref.ly/Ezek26:8-Ezek26:9" TargetMode="External"/><Relationship Id="rId10220" Type="http://schemas.openxmlformats.org/officeDocument/2006/relationships/hyperlink" Target="https://ref.ly/2Kgs6:26-2Kgs6:29" TargetMode="External"/><Relationship Id="rId10221" Type="http://schemas.openxmlformats.org/officeDocument/2006/relationships/hyperlink" Target="https://ref.ly/2Kgs7:12" TargetMode="External"/><Relationship Id="rId10222" Type="http://schemas.openxmlformats.org/officeDocument/2006/relationships/hyperlink" Target="https://ref.ly/Josh8:3-Josh8:8" TargetMode="External"/><Relationship Id="rId10223" Type="http://schemas.openxmlformats.org/officeDocument/2006/relationships/hyperlink" Target="https://ref.ly/2Kgs18:1-2Kgs19:37" TargetMode="External"/><Relationship Id="rId10224" Type="http://schemas.openxmlformats.org/officeDocument/2006/relationships/hyperlink" Target="https://ref.ly/Josh8:1-Josh8:23" TargetMode="External"/><Relationship Id="rId10225" Type="http://schemas.openxmlformats.org/officeDocument/2006/relationships/hyperlink" Target="https://ref.ly/Judg9:45-Judg9:51" TargetMode="External"/><Relationship Id="rId10226" Type="http://schemas.openxmlformats.org/officeDocument/2006/relationships/hyperlink" Target="https://ref.ly/1Kgs16:17-1Kgs16:18" TargetMode="External"/><Relationship Id="rId10227" Type="http://schemas.openxmlformats.org/officeDocument/2006/relationships/hyperlink" Target="https://ref.ly/2Chr11:5-2Chr11:11" TargetMode="External"/><Relationship Id="rId10228" Type="http://schemas.openxmlformats.org/officeDocument/2006/relationships/hyperlink" Target="https://ref.ly/Sir48:17" TargetMode="External"/><Relationship Id="rId10229" Type="http://schemas.openxmlformats.org/officeDocument/2006/relationships/hyperlink" Target="https://ref.ly/Isa22:11" TargetMode="External"/><Relationship Id="rId10230" Type="http://schemas.openxmlformats.org/officeDocument/2006/relationships/hyperlink" Target="https://ref.ly/Num31:14" TargetMode="External"/><Relationship Id="rId10231" Type="http://schemas.openxmlformats.org/officeDocument/2006/relationships/hyperlink" Target="https://ref.ly/Num2:33" TargetMode="External"/><Relationship Id="rId10232" Type="http://schemas.openxmlformats.org/officeDocument/2006/relationships/hyperlink" Target="https://ref.ly/Deut20:5-Deut20:9" TargetMode="External"/><Relationship Id="rId10233" Type="http://schemas.openxmlformats.org/officeDocument/2006/relationships/hyperlink" Target="https://ref.ly/Deut24:5" TargetMode="External"/><Relationship Id="rId10234" Type="http://schemas.openxmlformats.org/officeDocument/2006/relationships/hyperlink" Target="https://ref.ly/Judg7:3" TargetMode="External"/><Relationship Id="rId10235" Type="http://schemas.openxmlformats.org/officeDocument/2006/relationships/hyperlink" Target="https://ref.ly/1Sam17:18" TargetMode="External"/><Relationship Id="rId10236" Type="http://schemas.openxmlformats.org/officeDocument/2006/relationships/hyperlink" Target="https://ref.ly/1Sam18:13" TargetMode="External"/><Relationship Id="rId10237" Type="http://schemas.openxmlformats.org/officeDocument/2006/relationships/hyperlink" Target="https://ref.ly/1Chr12:24-1Chr12:38" TargetMode="External"/><Relationship Id="rId10238" Type="http://schemas.openxmlformats.org/officeDocument/2006/relationships/hyperlink" Target="https://ref.ly/Judg20:9-Judg20:10" TargetMode="External"/><Relationship Id="rId10239" Type="http://schemas.openxmlformats.org/officeDocument/2006/relationships/hyperlink" Target="https://ref.ly/1Sam30:21-1Sam30:25" TargetMode="External"/><Relationship Id="rId10240" Type="http://schemas.openxmlformats.org/officeDocument/2006/relationships/hyperlink" Target="https://ref.ly/1Sam13:2" TargetMode="External"/><Relationship Id="rId10241" Type="http://schemas.openxmlformats.org/officeDocument/2006/relationships/hyperlink" Target="https://ref.ly/1Sam24:2" TargetMode="External"/><Relationship Id="rId10242" Type="http://schemas.openxmlformats.org/officeDocument/2006/relationships/hyperlink" Target="https://ref.ly/1Sam8:14" TargetMode="External"/><Relationship Id="rId10243" Type="http://schemas.openxmlformats.org/officeDocument/2006/relationships/hyperlink" Target="https://ref.ly/1Sam17:55" TargetMode="External"/><Relationship Id="rId10244" Type="http://schemas.openxmlformats.org/officeDocument/2006/relationships/hyperlink" Target="https://ref.ly/1Chr27:1-1Chr27:15" TargetMode="External"/><Relationship Id="rId10245" Type="http://schemas.openxmlformats.org/officeDocument/2006/relationships/hyperlink" Target="https://ref.ly/1Sam22:1-1Sam22:2" TargetMode="External"/><Relationship Id="rId10246" Type="http://schemas.openxmlformats.org/officeDocument/2006/relationships/hyperlink" Target="https://ref.ly/1Sam23:13" TargetMode="External"/><Relationship Id="rId10247" Type="http://schemas.openxmlformats.org/officeDocument/2006/relationships/hyperlink" Target="https://ref.ly/1Sam27:2" TargetMode="External"/><Relationship Id="rId10248" Type="http://schemas.openxmlformats.org/officeDocument/2006/relationships/hyperlink" Target="https://ref.ly/2Sam8:18" TargetMode="External"/><Relationship Id="rId10249" Type="http://schemas.openxmlformats.org/officeDocument/2006/relationships/hyperlink" Target="https://ref.ly/2Sam15:19-2Sam15:22" TargetMode="External"/><Relationship Id="rId10250" Type="http://schemas.openxmlformats.org/officeDocument/2006/relationships/hyperlink" Target="https://ref.ly/2Sam23:22-2Sam23:23" TargetMode="External"/><Relationship Id="rId10251" Type="http://schemas.openxmlformats.org/officeDocument/2006/relationships/hyperlink" Target="https://ref.ly/1Kgs10:26-1Kgs10:29" TargetMode="External"/><Relationship Id="rId10252" Type="http://schemas.openxmlformats.org/officeDocument/2006/relationships/hyperlink" Target="https://ref.ly/1Kgs12:4-1Kgs12:19" TargetMode="External"/><Relationship Id="rId10253" Type="http://schemas.openxmlformats.org/officeDocument/2006/relationships/hyperlink" Target="https://ref.ly/1Kgs20:15-1Kgs20:20" TargetMode="External"/><Relationship Id="rId10254" Type="http://schemas.openxmlformats.org/officeDocument/2006/relationships/hyperlink" Target="https://ref.ly/Deut20:1-Deut20:20" TargetMode="External"/><Relationship Id="rId10255" Type="http://schemas.openxmlformats.org/officeDocument/2006/relationships/hyperlink" Target="https://ref.ly/1Sam17:47" TargetMode="External"/><Relationship Id="rId10256" Type="http://schemas.openxmlformats.org/officeDocument/2006/relationships/hyperlink" Target="https://ref.ly/1Sam18:17" TargetMode="External"/><Relationship Id="rId10257" Type="http://schemas.openxmlformats.org/officeDocument/2006/relationships/hyperlink" Target="https://ref.ly/1Sam25:28" TargetMode="External"/><Relationship Id="rId10258" Type="http://schemas.openxmlformats.org/officeDocument/2006/relationships/hyperlink" Target="https://ref.ly/Exod17:16" TargetMode="External"/><Relationship Id="rId10259" Type="http://schemas.openxmlformats.org/officeDocument/2006/relationships/hyperlink" Target="https://ref.ly/Num31:3" TargetMode="External"/><Relationship Id="rId10260" Type="http://schemas.openxmlformats.org/officeDocument/2006/relationships/hyperlink" Target="https://ref.ly/Josh10:10-Josh10:14" TargetMode="External"/><Relationship Id="rId10261" Type="http://schemas.openxmlformats.org/officeDocument/2006/relationships/hyperlink" Target="https://ref.ly/Judg4:12-Judg4:16" TargetMode="External"/><Relationship Id="rId10262" Type="http://schemas.openxmlformats.org/officeDocument/2006/relationships/hyperlink" Target="https://ref.ly/2Sam5:24-2Sam5:25" TargetMode="External"/><Relationship Id="rId10263" Type="http://schemas.openxmlformats.org/officeDocument/2006/relationships/hyperlink" Target="https://ref.ly/2Kgs6:15-2Kgs6:23" TargetMode="External"/><Relationship Id="rId10264" Type="http://schemas.openxmlformats.org/officeDocument/2006/relationships/hyperlink" Target="https://ref.ly/1Kgs22:5-1Kgs22:23" TargetMode="External"/><Relationship Id="rId10265" Type="http://schemas.openxmlformats.org/officeDocument/2006/relationships/hyperlink" Target="https://ref.ly/Exod28:30" TargetMode="External"/><Relationship Id="rId10266" Type="http://schemas.openxmlformats.org/officeDocument/2006/relationships/hyperlink" Target="https://ref.ly/Lev8:8" TargetMode="External"/><Relationship Id="rId10267" Type="http://schemas.openxmlformats.org/officeDocument/2006/relationships/hyperlink" Target="https://ref.ly/2Sam5:19-2Sam5:23" TargetMode="External"/><Relationship Id="rId10268" Type="http://schemas.openxmlformats.org/officeDocument/2006/relationships/hyperlink" Target="https://ref.ly/Josh6:17-Josh6:18" TargetMode="External"/><Relationship Id="rId10269" Type="http://schemas.openxmlformats.org/officeDocument/2006/relationships/hyperlink" Target="https://ref.ly/Josh6:17-Josh6:21" TargetMode="External"/><Relationship Id="rId10270" Type="http://schemas.openxmlformats.org/officeDocument/2006/relationships/hyperlink" Target="https://ref.ly/1Sam15:3" TargetMode="External"/><Relationship Id="rId10271" Type="http://schemas.openxmlformats.org/officeDocument/2006/relationships/hyperlink" Target="https://ref.ly/Isa2:4" TargetMode="External"/><Relationship Id="rId10272" Type="http://schemas.openxmlformats.org/officeDocument/2006/relationships/hyperlink" Target="https://ref.ly/Mic4:3" TargetMode="External"/><Relationship Id="rId10273" Type="http://schemas.openxmlformats.org/officeDocument/2006/relationships/hyperlink" Target="https://ref.ly/Ps110:1-Ps110:7" TargetMode="External"/><Relationship Id="rId10274" Type="http://schemas.openxmlformats.org/officeDocument/2006/relationships/hyperlink" Target="https://ref.ly/Zech14:1-Zech14:21" TargetMode="External"/><Relationship Id="rId10275" Type="http://schemas.openxmlformats.org/officeDocument/2006/relationships/hyperlink" Target="https://ref.ly/Gen46:24" TargetMode="External"/><Relationship Id="rId10276" Type="http://schemas.openxmlformats.org/officeDocument/2006/relationships/hyperlink" Target="https://ref.ly/1Chr7:13" TargetMode="External"/><Relationship Id="rId10277" Type="http://schemas.openxmlformats.org/officeDocument/2006/relationships/hyperlink" Target="https://ref.ly/1Chr5:15" TargetMode="External"/><Relationship Id="rId10278" Type="http://schemas.openxmlformats.org/officeDocument/2006/relationships/hyperlink" Target="https://ref.ly/Num26:48" TargetMode="External"/><Relationship Id="rId10279" Type="http://schemas.openxmlformats.org/officeDocument/2006/relationships/hyperlink" Target="https://ref.ly/Gen25:15" TargetMode="External"/><Relationship Id="rId10280" Type="http://schemas.openxmlformats.org/officeDocument/2006/relationships/hyperlink" Target="https://ref.ly/Gen36:35-Gen36:36" TargetMode="External"/><Relationship Id="rId10281" Type="http://schemas.openxmlformats.org/officeDocument/2006/relationships/hyperlink" Target="https://ref.ly/1Chr1:46-1Chr1:47" TargetMode="External"/><Relationship Id="rId10282" Type="http://schemas.openxmlformats.org/officeDocument/2006/relationships/hyperlink" Target="https://ref.ly/Gen36:39" TargetMode="External"/><Relationship Id="rId10283" Type="http://schemas.openxmlformats.org/officeDocument/2006/relationships/hyperlink" Target="https://ref.ly/1Chr1:50-1Chr1:51" TargetMode="External"/><Relationship Id="rId10284" Type="http://schemas.openxmlformats.org/officeDocument/2006/relationships/hyperlink" Target="https://ref.ly/1Kgs11:14-1Kgs11:25" TargetMode="External"/><Relationship Id="rId10285" Type="http://schemas.openxmlformats.org/officeDocument/2006/relationships/hyperlink" Target="https://ref.ly/Gen37:35" TargetMode="External"/><Relationship Id="rId10286" Type="http://schemas.openxmlformats.org/officeDocument/2006/relationships/hyperlink" Target="https://ref.ly/Prov5:5" TargetMode="External"/><Relationship Id="rId10287" Type="http://schemas.openxmlformats.org/officeDocument/2006/relationships/hyperlink" Target="https://ref.ly/Prov7:27" TargetMode="External"/><Relationship Id="rId10288" Type="http://schemas.openxmlformats.org/officeDocument/2006/relationships/hyperlink" Target="https://ref.ly/Job38:17" TargetMode="External"/><Relationship Id="rId10289" Type="http://schemas.openxmlformats.org/officeDocument/2006/relationships/hyperlink" Target="https://ref.ly/Isa14:9" TargetMode="External"/><Relationship Id="rId10290" Type="http://schemas.openxmlformats.org/officeDocument/2006/relationships/hyperlink" Target="https://ref.ly/Job26:5-Job26:6" TargetMode="External"/><Relationship Id="rId10291" Type="http://schemas.openxmlformats.org/officeDocument/2006/relationships/hyperlink" Target="https://ref.ly/Job17:16" TargetMode="External"/><Relationship Id="rId10292" Type="http://schemas.openxmlformats.org/officeDocument/2006/relationships/hyperlink" Target="https://ref.ly/Jonah2:2-Jonah2:3" TargetMode="External"/><Relationship Id="rId10293" Type="http://schemas.openxmlformats.org/officeDocument/2006/relationships/hyperlink" Target="https://ref.ly/Wis2:1" TargetMode="External"/><Relationship Id="rId10294" Type="http://schemas.openxmlformats.org/officeDocument/2006/relationships/hyperlink" Target="https://ref.ly/Wis3:1" TargetMode="External"/><Relationship Id="rId10295" Type="http://schemas.openxmlformats.org/officeDocument/2006/relationships/hyperlink" Target="https://ref.ly/Luke10:15" TargetMode="External"/><Relationship Id="rId10296" Type="http://schemas.openxmlformats.org/officeDocument/2006/relationships/hyperlink" Target="https://ref.ly/Rev6:8" TargetMode="External"/><Relationship Id="rId10297" Type="http://schemas.openxmlformats.org/officeDocument/2006/relationships/hyperlink" Target="https://ref.ly/Prov1:12" TargetMode="External"/><Relationship Id="rId10298" Type="http://schemas.openxmlformats.org/officeDocument/2006/relationships/hyperlink" Target="https://ref.ly/Prov30:16" TargetMode="External"/><Relationship Id="rId10299" Type="http://schemas.openxmlformats.org/officeDocument/2006/relationships/hyperlink" Target="https://ref.ly/Isa5:14" TargetMode="External"/><Relationship Id="rId10300" Type="http://schemas.openxmlformats.org/officeDocument/2006/relationships/hyperlink" Target="https://ref.ly/Isa28:15,Isa28:18" TargetMode="External"/><Relationship Id="rId10301" Type="http://schemas.openxmlformats.org/officeDocument/2006/relationships/hyperlink" Target="https://ref.ly/Hab2:5" TargetMode="External"/><Relationship Id="rId10302" Type="http://schemas.openxmlformats.org/officeDocument/2006/relationships/hyperlink" Target="https://ref.ly/Matt16:18" TargetMode="External"/><Relationship Id="rId10303" Type="http://schemas.openxmlformats.org/officeDocument/2006/relationships/hyperlink" Target="https://ref.ly/Acts2:27" TargetMode="External"/><Relationship Id="rId10304" Type="http://schemas.openxmlformats.org/officeDocument/2006/relationships/hyperlink" Target="https://ref.ly/Rev1:18" TargetMode="External"/><Relationship Id="rId10305" Type="http://schemas.openxmlformats.org/officeDocument/2006/relationships/hyperlink" Target="https://ref.ly/Rev20:13-Rev20:14" TargetMode="External"/><Relationship Id="rId10306" Type="http://schemas.openxmlformats.org/officeDocument/2006/relationships/hyperlink" Target="https://ref.ly/Luke16:23" TargetMode="External"/><Relationship Id="rId10307" Type="http://schemas.openxmlformats.org/officeDocument/2006/relationships/hyperlink" Target="https://ref.ly/1Chr5:10" TargetMode="External"/><Relationship Id="rId10308" Type="http://schemas.openxmlformats.org/officeDocument/2006/relationships/hyperlink" Target="https://ref.ly/1Chr5:19-1Chr5:20" TargetMode="External"/><Relationship Id="rId10309" Type="http://schemas.openxmlformats.org/officeDocument/2006/relationships/hyperlink" Target="https://ref.ly/Ps83:6" TargetMode="External"/><Relationship Id="rId10310" Type="http://schemas.openxmlformats.org/officeDocument/2006/relationships/hyperlink" Target="https://ref.ly/1Chr27:31" TargetMode="External"/><Relationship Id="rId10311" Type="http://schemas.openxmlformats.org/officeDocument/2006/relationships/hyperlink" Target="https://ref.ly/Exod18:20" TargetMode="External"/><Relationship Id="rId10312" Type="http://schemas.openxmlformats.org/officeDocument/2006/relationships/hyperlink" Target="https://ref.ly/Ps113:1-Ps114:8" TargetMode="External"/><Relationship Id="rId10313" Type="http://schemas.openxmlformats.org/officeDocument/2006/relationships/hyperlink" Target="https://ref.ly/Ps120:1-Ps136:26" TargetMode="External"/><Relationship Id="rId10314" Type="http://schemas.openxmlformats.org/officeDocument/2006/relationships/hyperlink" Target="https://ref.ly/Ps146:1-Ps148:14" TargetMode="External"/><Relationship Id="rId10315" Type="http://schemas.openxmlformats.org/officeDocument/2006/relationships/hyperlink" Target="https://ref.ly/Num34:7-Num34:8" TargetMode="External"/><Relationship Id="rId10316" Type="http://schemas.openxmlformats.org/officeDocument/2006/relationships/hyperlink" Target="https://ref.ly/2Sam8:9-2Sam8:10" TargetMode="External"/><Relationship Id="rId10317" Type="http://schemas.openxmlformats.org/officeDocument/2006/relationships/hyperlink" Target="https://ref.ly/2Chr8:4" TargetMode="External"/><Relationship Id="rId10318" Type="http://schemas.openxmlformats.org/officeDocument/2006/relationships/hyperlink" Target="https://ref.ly/2Kgs18:34" TargetMode="External"/><Relationship Id="rId10319" Type="http://schemas.openxmlformats.org/officeDocument/2006/relationships/hyperlink" Target="https://ref.ly/2Kgs19:13" TargetMode="External"/><Relationship Id="rId10320" Type="http://schemas.openxmlformats.org/officeDocument/2006/relationships/hyperlink" Target="https://ref.ly/Isa36:19" TargetMode="External"/><Relationship Id="rId10321" Type="http://schemas.openxmlformats.org/officeDocument/2006/relationships/hyperlink" Target="https://ref.ly/Isa37:13" TargetMode="External"/><Relationship Id="rId10322" Type="http://schemas.openxmlformats.org/officeDocument/2006/relationships/hyperlink" Target="https://ref.ly/Jer49:23" TargetMode="External"/><Relationship Id="rId10323" Type="http://schemas.openxmlformats.org/officeDocument/2006/relationships/hyperlink" Target="https://ref.ly/Ezek47:16-Ezek47:17" TargetMode="External"/><Relationship Id="rId10324" Type="http://schemas.openxmlformats.org/officeDocument/2006/relationships/hyperlink" Target="https://ref.ly/Zech9:2" TargetMode="External"/><Relationship Id="rId10325" Type="http://schemas.openxmlformats.org/officeDocument/2006/relationships/hyperlink" Target="https://ref.ly/1Macc12:25" TargetMode="External"/><Relationship Id="rId10326" Type="http://schemas.openxmlformats.org/officeDocument/2006/relationships/hyperlink" Target="https://ref.ly/2Chr8:3" TargetMode="External"/><Relationship Id="rId10327" Type="http://schemas.openxmlformats.org/officeDocument/2006/relationships/hyperlink" Target="https://ref.ly/Num34:8" TargetMode="External"/><Relationship Id="rId10328" Type="http://schemas.openxmlformats.org/officeDocument/2006/relationships/hyperlink" Target="https://ref.ly/1Chr13:5" TargetMode="External"/><Relationship Id="rId10329" Type="http://schemas.openxmlformats.org/officeDocument/2006/relationships/hyperlink" Target="https://ref.ly/2Chr7:8" TargetMode="External"/><Relationship Id="rId10330" Type="http://schemas.openxmlformats.org/officeDocument/2006/relationships/hyperlink" Target="https://ref.ly/Amos6:14" TargetMode="External"/><Relationship Id="rId10331" Type="http://schemas.openxmlformats.org/officeDocument/2006/relationships/hyperlink" Target="https://ref.ly/Ezek47:15-Ezek47:20" TargetMode="External"/><Relationship Id="rId10332" Type="http://schemas.openxmlformats.org/officeDocument/2006/relationships/hyperlink" Target="https://ref.ly/Gen34:2" TargetMode="External"/><Relationship Id="rId10333" Type="http://schemas.openxmlformats.org/officeDocument/2006/relationships/hyperlink" Target="https://ref.ly/Gen49:14" TargetMode="External"/><Relationship Id="rId10334" Type="http://schemas.openxmlformats.org/officeDocument/2006/relationships/hyperlink" Target="https://ref.ly/Judg15:15" TargetMode="External"/><Relationship Id="rId10335" Type="http://schemas.openxmlformats.org/officeDocument/2006/relationships/hyperlink" Target="https://ref.ly/Zech9:9" TargetMode="External"/><Relationship Id="rId10336" Type="http://schemas.openxmlformats.org/officeDocument/2006/relationships/hyperlink" Target="https://ref.ly/1Chr2:5" TargetMode="External"/><Relationship Id="rId10337" Type="http://schemas.openxmlformats.org/officeDocument/2006/relationships/hyperlink" Target="https://ref.ly/Num26:21" TargetMode="External"/><Relationship Id="rId10338" Type="http://schemas.openxmlformats.org/officeDocument/2006/relationships/hyperlink" Target="https://ref.ly/Exod21:23-Exod21:25" TargetMode="External"/><Relationship Id="rId10339" Type="http://schemas.openxmlformats.org/officeDocument/2006/relationships/hyperlink" Target="https://ref.ly/Deut19:21" TargetMode="External"/><Relationship Id="rId10340" Type="http://schemas.openxmlformats.org/officeDocument/2006/relationships/hyperlink" Target="https://ref.ly/1Chr7:39" TargetMode="External"/><Relationship Id="rId10341" Type="http://schemas.openxmlformats.org/officeDocument/2006/relationships/hyperlink" Target="https://ref.ly/Gen27:42-Gen27:43" TargetMode="External"/><Relationship Id="rId10342" Type="http://schemas.openxmlformats.org/officeDocument/2006/relationships/hyperlink" Target="https://ref.ly/Gen30:43" TargetMode="External"/><Relationship Id="rId10343" Type="http://schemas.openxmlformats.org/officeDocument/2006/relationships/hyperlink" Target="https://ref.ly/Gen11:27-Gen11:29" TargetMode="External"/><Relationship Id="rId10344" Type="http://schemas.openxmlformats.org/officeDocument/2006/relationships/hyperlink" Target="https://ref.ly/Gen24:10" TargetMode="External"/><Relationship Id="rId10345" Type="http://schemas.openxmlformats.org/officeDocument/2006/relationships/hyperlink" Target="https://ref.ly/Gen27:43" TargetMode="External"/><Relationship Id="rId10346" Type="http://schemas.openxmlformats.org/officeDocument/2006/relationships/hyperlink" Target="https://ref.ly/Acts7:2,Acts7:4" TargetMode="External"/><Relationship Id="rId10347" Type="http://schemas.openxmlformats.org/officeDocument/2006/relationships/hyperlink" Target="https://ref.ly/Gen11:26-Gen11:31" TargetMode="External"/><Relationship Id="rId10348" Type="http://schemas.openxmlformats.org/officeDocument/2006/relationships/hyperlink" Target="https://ref.ly/1Chr23:9" TargetMode="External"/><Relationship Id="rId10349" Type="http://schemas.openxmlformats.org/officeDocument/2006/relationships/hyperlink" Target="https://ref.ly/Num33:24-Num33:25" TargetMode="External"/><Relationship Id="rId10350" Type="http://schemas.openxmlformats.org/officeDocument/2006/relationships/hyperlink" Target="https://ref.ly/Num33:29-Num33:30" TargetMode="External"/><Relationship Id="rId10351" Type="http://schemas.openxmlformats.org/officeDocument/2006/relationships/hyperlink" Target="https://ref.ly/Gen2:11-Gen2:12" TargetMode="External"/><Relationship Id="rId10352" Type="http://schemas.openxmlformats.org/officeDocument/2006/relationships/hyperlink" Target="https://ref.ly/1Sam15:7" TargetMode="External"/><Relationship Id="rId10353" Type="http://schemas.openxmlformats.org/officeDocument/2006/relationships/hyperlink" Target="https://ref.ly/Gen10:29" TargetMode="External"/><Relationship Id="rId10354" Type="http://schemas.openxmlformats.org/officeDocument/2006/relationships/hyperlink" Target="https://ref.ly/1Chr1:23" TargetMode="External"/><Relationship Id="rId10355" Type="http://schemas.openxmlformats.org/officeDocument/2006/relationships/hyperlink" Target="https://ref.ly/Num32:41" TargetMode="External"/><Relationship Id="rId10356" Type="http://schemas.openxmlformats.org/officeDocument/2006/relationships/hyperlink" Target="https://ref.ly/1Chr2:22-1Chr2:23" TargetMode="External"/><Relationship Id="rId10357" Type="http://schemas.openxmlformats.org/officeDocument/2006/relationships/hyperlink" Target="https://ref.ly/Judg10:4" TargetMode="External"/><Relationship Id="rId10358" Type="http://schemas.openxmlformats.org/officeDocument/2006/relationships/hyperlink" Target="https://ref.ly/1Chr2:21-1Chr2:24" TargetMode="External"/><Relationship Id="rId10359" Type="http://schemas.openxmlformats.org/officeDocument/2006/relationships/hyperlink" Target="https://ref.ly/Josh15:3-Josh15:4" TargetMode="External"/><Relationship Id="rId10360" Type="http://schemas.openxmlformats.org/officeDocument/2006/relationships/hyperlink" Target="https://ref.ly/Num34:9-Num34:10" TargetMode="External"/><Relationship Id="rId10361" Type="http://schemas.openxmlformats.org/officeDocument/2006/relationships/hyperlink" Target="https://ref.ly/Ezek47:17-Ezek47:18" TargetMode="External"/><Relationship Id="rId10362" Type="http://schemas.openxmlformats.org/officeDocument/2006/relationships/hyperlink" Target="https://ref.ly/Gen10:30" TargetMode="External"/><Relationship Id="rId10363" Type="http://schemas.openxmlformats.org/officeDocument/2006/relationships/hyperlink" Target="https://ref.ly/1Kgs9:18" TargetMode="External"/><Relationship Id="rId10364" Type="http://schemas.openxmlformats.org/officeDocument/2006/relationships/hyperlink" Target="https://ref.ly/Ezek47:18-Ezek47:19" TargetMode="External"/><Relationship Id="rId10365" Type="http://schemas.openxmlformats.org/officeDocument/2006/relationships/hyperlink" Target="https://ref.ly/Ezek47:16" TargetMode="External"/><Relationship Id="rId10366" Type="http://schemas.openxmlformats.org/officeDocument/2006/relationships/hyperlink" Target="https://ref.ly/Num11:35" TargetMode="External"/><Relationship Id="rId10367" Type="http://schemas.openxmlformats.org/officeDocument/2006/relationships/hyperlink" Target="https://ref.ly/Num12:16" TargetMode="External"/><Relationship Id="rId10368" Type="http://schemas.openxmlformats.org/officeDocument/2006/relationships/hyperlink" Target="https://ref.ly/Num33:17-Num33:18" TargetMode="External"/><Relationship Id="rId10369" Type="http://schemas.openxmlformats.org/officeDocument/2006/relationships/hyperlink" Target="https://ref.ly/Num12:1-Num12:2" TargetMode="External"/><Relationship Id="rId10370" Type="http://schemas.openxmlformats.org/officeDocument/2006/relationships/hyperlink" Target="https://ref.ly/Gen22:22" TargetMode="External"/><Relationship Id="rId10371" Type="http://schemas.openxmlformats.org/officeDocument/2006/relationships/hyperlink" Target="https://ref.ly/Num26:45" TargetMode="External"/><Relationship Id="rId10372" Type="http://schemas.openxmlformats.org/officeDocument/2006/relationships/hyperlink" Target="https://ref.ly/1Chr7:31-1Chr7:32" TargetMode="External"/><Relationship Id="rId10373" Type="http://schemas.openxmlformats.org/officeDocument/2006/relationships/hyperlink" Target="https://ref.ly/Judg4:11-Judg4:21" TargetMode="External"/><Relationship Id="rId10374" Type="http://schemas.openxmlformats.org/officeDocument/2006/relationships/hyperlink" Target="https://ref.ly/1Chr4:18" TargetMode="External"/><Relationship Id="rId10375" Type="http://schemas.openxmlformats.org/officeDocument/2006/relationships/hyperlink" Target="https://ref.ly/1Chr8:17" TargetMode="External"/><Relationship Id="rId10376" Type="http://schemas.openxmlformats.org/officeDocument/2006/relationships/hyperlink" Target="https://ref.ly/Heb13:22" TargetMode="External"/><Relationship Id="rId10377" Type="http://schemas.openxmlformats.org/officeDocument/2006/relationships/hyperlink" Target="https://ref.ly/Heb13:22-Heb13:25" TargetMode="External"/><Relationship Id="rId10378" Type="http://schemas.openxmlformats.org/officeDocument/2006/relationships/hyperlink" Target="https://ref.ly/Heb2:1" TargetMode="External"/><Relationship Id="rId10379" Type="http://schemas.openxmlformats.org/officeDocument/2006/relationships/hyperlink" Target="https://ref.ly/Heb4:1" TargetMode="External"/><Relationship Id="rId10380" Type="http://schemas.openxmlformats.org/officeDocument/2006/relationships/hyperlink" Target="https://ref.ly/Heb2:3" TargetMode="External"/><Relationship Id="rId10381" Type="http://schemas.openxmlformats.org/officeDocument/2006/relationships/hyperlink" Target="https://ref.ly/1Pet5:12-1Pet5:13" TargetMode="External"/><Relationship Id="rId10382" Type="http://schemas.openxmlformats.org/officeDocument/2006/relationships/hyperlink" Target="https://ref.ly/Heb10:32-Heb10:36" TargetMode="External"/><Relationship Id="rId10383" Type="http://schemas.openxmlformats.org/officeDocument/2006/relationships/hyperlink" Target="https://ref.ly/Heb12:4" TargetMode="External"/><Relationship Id="rId10384" Type="http://schemas.openxmlformats.org/officeDocument/2006/relationships/hyperlink" Target="https://ref.ly/Heb6:10" TargetMode="External"/><Relationship Id="rId10385" Type="http://schemas.openxmlformats.org/officeDocument/2006/relationships/hyperlink" Target="https://ref.ly/Heb10:34" TargetMode="External"/><Relationship Id="rId10386" Type="http://schemas.openxmlformats.org/officeDocument/2006/relationships/hyperlink" Target="https://ref.ly/Heb5:11-Heb5:13" TargetMode="External"/><Relationship Id="rId10387" Type="http://schemas.openxmlformats.org/officeDocument/2006/relationships/hyperlink" Target="https://ref.ly/Heb10:25" TargetMode="External"/><Relationship Id="rId10388" Type="http://schemas.openxmlformats.org/officeDocument/2006/relationships/hyperlink" Target="https://ref.ly/Heb13:17" TargetMode="External"/><Relationship Id="rId10389" Type="http://schemas.openxmlformats.org/officeDocument/2006/relationships/hyperlink" Target="https://ref.ly/Heb6:4-Heb6:6" TargetMode="External"/><Relationship Id="rId10390" Type="http://schemas.openxmlformats.org/officeDocument/2006/relationships/hyperlink" Target="https://ref.ly/Heb10:26-Heb10:31" TargetMode="External"/><Relationship Id="rId10391" Type="http://schemas.openxmlformats.org/officeDocument/2006/relationships/hyperlink" Target="https://ref.ly/Heb13:12-Heb13:19" TargetMode="External"/><Relationship Id="rId10392" Type="http://schemas.openxmlformats.org/officeDocument/2006/relationships/hyperlink" Target="https://ref.ly/Heb13:23" TargetMode="External"/><Relationship Id="rId10393" Type="http://schemas.openxmlformats.org/officeDocument/2006/relationships/hyperlink" Target="https://ref.ly/Heb9:6-Heb9:10" TargetMode="External"/><Relationship Id="rId10394" Type="http://schemas.openxmlformats.org/officeDocument/2006/relationships/hyperlink" Target="https://ref.ly/Heb10:1-Heb10:4,Heb10:11-Heb10:14" TargetMode="External"/><Relationship Id="rId10395" Type="http://schemas.openxmlformats.org/officeDocument/2006/relationships/hyperlink" Target="https://ref.ly/Heb13:24" TargetMode="External"/><Relationship Id="rId10396" Type="http://schemas.openxmlformats.org/officeDocument/2006/relationships/hyperlink" Target="https://ref.ly/Heb13:16" TargetMode="External"/><Relationship Id="rId10397" Type="http://schemas.openxmlformats.org/officeDocument/2006/relationships/hyperlink" Target="https://ref.ly/Rom11:13,Rom11:18" TargetMode="External"/><Relationship Id="rId10398" Type="http://schemas.openxmlformats.org/officeDocument/2006/relationships/hyperlink" Target="https://ref.ly/Heb10:32-Heb10:33" TargetMode="External"/><Relationship Id="rId10399" Type="http://schemas.openxmlformats.org/officeDocument/2006/relationships/hyperlink" Target="https://ref.ly/Heb13:7,Heb13:24" TargetMode="External"/><Relationship Id="rId10400" Type="http://schemas.openxmlformats.org/officeDocument/2006/relationships/hyperlink" Target="https://ref.ly/Rom16:5,Rom16:14-Rom16:15" TargetMode="External"/><Relationship Id="rId10401" Type="http://schemas.openxmlformats.org/officeDocument/2006/relationships/hyperlink" Target="https://ref.ly/Heb12:28" TargetMode="External"/><Relationship Id="rId10402" Type="http://schemas.openxmlformats.org/officeDocument/2006/relationships/hyperlink" Target="https://ref.ly/Heb12:29" TargetMode="External"/><Relationship Id="rId10403" Type="http://schemas.openxmlformats.org/officeDocument/2006/relationships/hyperlink" Target="https://ref.ly/Heb1:1-Heb1:4" TargetMode="External"/><Relationship Id="rId10404" Type="http://schemas.openxmlformats.org/officeDocument/2006/relationships/hyperlink" Target="https://ref.ly/Heb8:1" TargetMode="External"/><Relationship Id="rId10405" Type="http://schemas.openxmlformats.org/officeDocument/2006/relationships/hyperlink" Target="https://ref.ly/Heb1:4" TargetMode="External"/><Relationship Id="rId10406" Type="http://schemas.openxmlformats.org/officeDocument/2006/relationships/hyperlink" Target="https://ref.ly/Heb1:5-Heb2:18" TargetMode="External"/><Relationship Id="rId10407" Type="http://schemas.openxmlformats.org/officeDocument/2006/relationships/hyperlink" Target="https://ref.ly/Heb1:6" TargetMode="External"/><Relationship Id="rId10408" Type="http://schemas.openxmlformats.org/officeDocument/2006/relationships/hyperlink" Target="https://ref.ly/Heb1:8,Heb1:11-Heb1:12" TargetMode="External"/><Relationship Id="rId10409" Type="http://schemas.openxmlformats.org/officeDocument/2006/relationships/hyperlink" Target="https://ref.ly/Heb2:1-Heb2:4" TargetMode="External"/><Relationship Id="rId10410" Type="http://schemas.openxmlformats.org/officeDocument/2006/relationships/hyperlink" Target="https://ref.ly/Heb2:5-Heb2:18" TargetMode="External"/><Relationship Id="rId10411" Type="http://schemas.openxmlformats.org/officeDocument/2006/relationships/hyperlink" Target="https://ref.ly/Heb2:10" TargetMode="External"/><Relationship Id="rId10412" Type="http://schemas.openxmlformats.org/officeDocument/2006/relationships/hyperlink" Target="https://ref.ly/Heb2:14" TargetMode="External"/><Relationship Id="rId10413" Type="http://schemas.openxmlformats.org/officeDocument/2006/relationships/hyperlink" Target="https://ref.ly/Heb2:15" TargetMode="External"/><Relationship Id="rId10414" Type="http://schemas.openxmlformats.org/officeDocument/2006/relationships/hyperlink" Target="https://ref.ly/Heb3:1-Heb4:13" TargetMode="External"/><Relationship Id="rId10415" Type="http://schemas.openxmlformats.org/officeDocument/2006/relationships/hyperlink" Target="https://ref.ly/Heb3:10-Heb3:11,Heb3:18" TargetMode="External"/><Relationship Id="rId10416" Type="http://schemas.openxmlformats.org/officeDocument/2006/relationships/hyperlink" Target="https://ref.ly/Heb4:3-Heb4:4" TargetMode="External"/><Relationship Id="rId10417" Type="http://schemas.openxmlformats.org/officeDocument/2006/relationships/hyperlink" Target="https://ref.ly/Heb4:10" TargetMode="External"/><Relationship Id="rId10418" Type="http://schemas.openxmlformats.org/officeDocument/2006/relationships/hyperlink" Target="https://ref.ly/Heb4:9" TargetMode="External"/><Relationship Id="rId10419" Type="http://schemas.openxmlformats.org/officeDocument/2006/relationships/hyperlink" Target="https://ref.ly/Heb4:14-Heb7:28" TargetMode="External"/><Relationship Id="rId10420" Type="http://schemas.openxmlformats.org/officeDocument/2006/relationships/hyperlink" Target="https://ref.ly/Heb5:6" TargetMode="External"/><Relationship Id="rId10421" Type="http://schemas.openxmlformats.org/officeDocument/2006/relationships/hyperlink" Target="https://ref.ly/Heb7:11" TargetMode="External"/><Relationship Id="rId10422" Type="http://schemas.openxmlformats.org/officeDocument/2006/relationships/hyperlink" Target="https://ref.ly/Heb5:1-Heb5:2" TargetMode="External"/><Relationship Id="rId10423" Type="http://schemas.openxmlformats.org/officeDocument/2006/relationships/hyperlink" Target="https://ref.ly/Heb5:4" TargetMode="External"/><Relationship Id="rId10424" Type="http://schemas.openxmlformats.org/officeDocument/2006/relationships/hyperlink" Target="https://ref.ly/Heb5:5-Heb5:6" TargetMode="External"/><Relationship Id="rId10425" Type="http://schemas.openxmlformats.org/officeDocument/2006/relationships/hyperlink" Target="https://ref.ly/Heb5:8" TargetMode="External"/><Relationship Id="rId10426" Type="http://schemas.openxmlformats.org/officeDocument/2006/relationships/hyperlink" Target="https://ref.ly/Heb5:10" TargetMode="External"/><Relationship Id="rId10427" Type="http://schemas.openxmlformats.org/officeDocument/2006/relationships/hyperlink" Target="https://ref.ly/Heb6:4-Heb6:8" TargetMode="External"/><Relationship Id="rId10428" Type="http://schemas.openxmlformats.org/officeDocument/2006/relationships/hyperlink" Target="https://ref.ly/Acts8:9-Acts8:24" TargetMode="External"/><Relationship Id="rId10429" Type="http://schemas.openxmlformats.org/officeDocument/2006/relationships/hyperlink" Target="https://ref.ly/Heb6:9" TargetMode="External"/><Relationship Id="rId10430" Type="http://schemas.openxmlformats.org/officeDocument/2006/relationships/hyperlink" Target="https://ref.ly/Heb10:31" TargetMode="External"/><Relationship Id="rId10431" Type="http://schemas.openxmlformats.org/officeDocument/2006/relationships/hyperlink" Target="https://ref.ly/Heb6:13-Heb6:18" TargetMode="External"/><Relationship Id="rId10432" Type="http://schemas.openxmlformats.org/officeDocument/2006/relationships/hyperlink" Target="https://ref.ly/Gen14:18-Gen14:20" TargetMode="External"/><Relationship Id="rId10433" Type="http://schemas.openxmlformats.org/officeDocument/2006/relationships/hyperlink" Target="https://ref.ly/Heb7:2" TargetMode="External"/><Relationship Id="rId10434" Type="http://schemas.openxmlformats.org/officeDocument/2006/relationships/hyperlink" Target="https://ref.ly/Heb7:1,Heb7:7" TargetMode="External"/><Relationship Id="rId10435" Type="http://schemas.openxmlformats.org/officeDocument/2006/relationships/hyperlink" Target="https://ref.ly/Heb7:2-Heb7:6" TargetMode="External"/><Relationship Id="rId10436" Type="http://schemas.openxmlformats.org/officeDocument/2006/relationships/hyperlink" Target="https://ref.ly/Heb7:8" TargetMode="External"/><Relationship Id="rId10437" Type="http://schemas.openxmlformats.org/officeDocument/2006/relationships/hyperlink" Target="https://ref.ly/Heb7:10" TargetMode="External"/><Relationship Id="rId10438" Type="http://schemas.openxmlformats.org/officeDocument/2006/relationships/hyperlink" Target="https://ref.ly/Heb7:15" TargetMode="External"/><Relationship Id="rId10439" Type="http://schemas.openxmlformats.org/officeDocument/2006/relationships/hyperlink" Target="https://ref.ly/Heb7:18" TargetMode="External"/><Relationship Id="rId10440" Type="http://schemas.openxmlformats.org/officeDocument/2006/relationships/hyperlink" Target="https://ref.ly/Heb7:16,Heb7:21,Heb7:24-Heb7:27" TargetMode="External"/><Relationship Id="rId10441" Type="http://schemas.openxmlformats.org/officeDocument/2006/relationships/hyperlink" Target="https://ref.ly/Heb8:1-Heb10:39" TargetMode="External"/><Relationship Id="rId10442" Type="http://schemas.openxmlformats.org/officeDocument/2006/relationships/hyperlink" Target="https://ref.ly/Heb8:2,Heb8:5" TargetMode="External"/><Relationship Id="rId10443" Type="http://schemas.openxmlformats.org/officeDocument/2006/relationships/hyperlink" Target="https://ref.ly/Heb8:1,Heb8:6" TargetMode="External"/><Relationship Id="rId10444" Type="http://schemas.openxmlformats.org/officeDocument/2006/relationships/hyperlink" Target="https://ref.ly/Heb8:3" TargetMode="External"/><Relationship Id="rId10445" Type="http://schemas.openxmlformats.org/officeDocument/2006/relationships/hyperlink" Target="https://ref.ly/Heb8:6-Heb8:13" TargetMode="External"/><Relationship Id="rId10446" Type="http://schemas.openxmlformats.org/officeDocument/2006/relationships/hyperlink" Target="https://ref.ly/Heb8:11" TargetMode="External"/><Relationship Id="rId10447" Type="http://schemas.openxmlformats.org/officeDocument/2006/relationships/hyperlink" Target="https://ref.ly/Heb8:12" TargetMode="External"/><Relationship Id="rId10448" Type="http://schemas.openxmlformats.org/officeDocument/2006/relationships/hyperlink" Target="https://ref.ly/Heb9:1-Heb9:28" TargetMode="External"/><Relationship Id="rId10449" Type="http://schemas.openxmlformats.org/officeDocument/2006/relationships/hyperlink" Target="https://ref.ly/Heb9:1-Heb9:5" TargetMode="External"/><Relationship Id="rId10450" Type="http://schemas.openxmlformats.org/officeDocument/2006/relationships/hyperlink" Target="https://ref.ly/Heb9:6" TargetMode="External"/><Relationship Id="rId10451" Type="http://schemas.openxmlformats.org/officeDocument/2006/relationships/hyperlink" Target="https://ref.ly/Heb9:7" TargetMode="External"/><Relationship Id="rId10452" Type="http://schemas.openxmlformats.org/officeDocument/2006/relationships/hyperlink" Target="https://ref.ly/Heb9:9-Heb9:10" TargetMode="External"/><Relationship Id="rId10453" Type="http://schemas.openxmlformats.org/officeDocument/2006/relationships/hyperlink" Target="https://ref.ly/Heb9:10" TargetMode="External"/><Relationship Id="rId10454" Type="http://schemas.openxmlformats.org/officeDocument/2006/relationships/hyperlink" Target="https://ref.ly/Heb9:15-Heb9:23" TargetMode="External"/><Relationship Id="rId10455" Type="http://schemas.openxmlformats.org/officeDocument/2006/relationships/hyperlink" Target="https://ref.ly/Heb9:24-Heb9:28" TargetMode="External"/><Relationship Id="rId10456" Type="http://schemas.openxmlformats.org/officeDocument/2006/relationships/hyperlink" Target="https://ref.ly/Heb10:1-Heb10:39" TargetMode="External"/><Relationship Id="rId10457" Type="http://schemas.openxmlformats.org/officeDocument/2006/relationships/hyperlink" Target="https://ref.ly/Heb9:6-Heb9:14" TargetMode="External"/><Relationship Id="rId10458" Type="http://schemas.openxmlformats.org/officeDocument/2006/relationships/hyperlink" Target="https://ref.ly/Heb10:1-Heb10:4" TargetMode="External"/><Relationship Id="rId10459" Type="http://schemas.openxmlformats.org/officeDocument/2006/relationships/hyperlink" Target="https://ref.ly/Ps40:6-Ps40:8" TargetMode="External"/><Relationship Id="rId10460" Type="http://schemas.openxmlformats.org/officeDocument/2006/relationships/hyperlink" Target="https://ref.ly/Heb10:5-Heb10:10" TargetMode="External"/><Relationship Id="rId10461" Type="http://schemas.openxmlformats.org/officeDocument/2006/relationships/hyperlink" Target="https://ref.ly/Heb10:11" TargetMode="External"/><Relationship Id="rId10462" Type="http://schemas.openxmlformats.org/officeDocument/2006/relationships/hyperlink" Target="https://ref.ly/Heb10:18" TargetMode="External"/><Relationship Id="rId10463" Type="http://schemas.openxmlformats.org/officeDocument/2006/relationships/hyperlink" Target="https://ref.ly/Heb10:19-Heb10:39" TargetMode="External"/><Relationship Id="rId10464" Type="http://schemas.openxmlformats.org/officeDocument/2006/relationships/hyperlink" Target="https://ref.ly/Heb10:23-Heb10:24" TargetMode="External"/><Relationship Id="rId10465" Type="http://schemas.openxmlformats.org/officeDocument/2006/relationships/hyperlink" Target="https://ref.ly/Heb11:1-Heb12:29" TargetMode="External"/><Relationship Id="rId10466" Type="http://schemas.openxmlformats.org/officeDocument/2006/relationships/hyperlink" Target="https://ref.ly/Heb10:36-Heb10:38" TargetMode="External"/><Relationship Id="rId10467" Type="http://schemas.openxmlformats.org/officeDocument/2006/relationships/hyperlink" Target="https://ref.ly/Heb11:39-Heb11:40" TargetMode="External"/><Relationship Id="rId10468" Type="http://schemas.openxmlformats.org/officeDocument/2006/relationships/hyperlink" Target="https://ref.ly/Heb11:40" TargetMode="External"/><Relationship Id="rId10469" Type="http://schemas.openxmlformats.org/officeDocument/2006/relationships/hyperlink" Target="https://ref.ly/Heb12:5-Heb12:10" TargetMode="External"/><Relationship Id="rId10470" Type="http://schemas.openxmlformats.org/officeDocument/2006/relationships/hyperlink" Target="https://ref.ly/Heb12:15" TargetMode="External"/><Relationship Id="rId10471" Type="http://schemas.openxmlformats.org/officeDocument/2006/relationships/hyperlink" Target="https://ref.ly/Heb13:1-Heb13:25" TargetMode="External"/><Relationship Id="rId10472" Type="http://schemas.openxmlformats.org/officeDocument/2006/relationships/hyperlink" Target="https://ref.ly/Heb13:1-Heb13:7" TargetMode="External"/><Relationship Id="rId10473" Type="http://schemas.openxmlformats.org/officeDocument/2006/relationships/hyperlink" Target="https://ref.ly/Heb13:8" TargetMode="External"/><Relationship Id="rId10474" Type="http://schemas.openxmlformats.org/officeDocument/2006/relationships/hyperlink" Target="https://ref.ly/Heb13:12" TargetMode="External"/><Relationship Id="rId10475" Type="http://schemas.openxmlformats.org/officeDocument/2006/relationships/hyperlink" Target="https://ref.ly/Heb13:13" TargetMode="External"/><Relationship Id="rId10476" Type="http://schemas.openxmlformats.org/officeDocument/2006/relationships/hyperlink" Target="https://ref.ly/Heb13:14" TargetMode="External"/><Relationship Id="rId10477" Type="http://schemas.openxmlformats.org/officeDocument/2006/relationships/hyperlink" Target="https://ref.ly/Heb13:21" TargetMode="External"/><Relationship Id="rId10478" Type="http://schemas.openxmlformats.org/officeDocument/2006/relationships/hyperlink" Target="https://ref.ly/Gen23:2" TargetMode="External"/><Relationship Id="rId10479" Type="http://schemas.openxmlformats.org/officeDocument/2006/relationships/hyperlink" Target="https://ref.ly/Gen14:12-Gen14:16" TargetMode="External"/><Relationship Id="rId10480" Type="http://schemas.openxmlformats.org/officeDocument/2006/relationships/hyperlink" Target="https://ref.ly/Gen23:8-Gen23:9,Gen23:17" TargetMode="External"/><Relationship Id="rId10481" Type="http://schemas.openxmlformats.org/officeDocument/2006/relationships/hyperlink" Target="https://ref.ly/Gen25:9-Gen25:10" TargetMode="External"/><Relationship Id="rId10482" Type="http://schemas.openxmlformats.org/officeDocument/2006/relationships/hyperlink" Target="https://ref.ly/Gen49:29-Gen49:32" TargetMode="External"/><Relationship Id="rId10483" Type="http://schemas.openxmlformats.org/officeDocument/2006/relationships/hyperlink" Target="https://ref.ly/Gen50:12-Gen50:13" TargetMode="External"/><Relationship Id="rId10484" Type="http://schemas.openxmlformats.org/officeDocument/2006/relationships/hyperlink" Target="https://ref.ly/Num13:17-Num13:21" TargetMode="External"/><Relationship Id="rId10485" Type="http://schemas.openxmlformats.org/officeDocument/2006/relationships/hyperlink" Target="https://ref.ly/Josh14:9,Josh14:13" TargetMode="External"/><Relationship Id="rId10486" Type="http://schemas.openxmlformats.org/officeDocument/2006/relationships/hyperlink" Target="https://ref.ly/Num14:36-Num14:37" TargetMode="External"/><Relationship Id="rId10487" Type="http://schemas.openxmlformats.org/officeDocument/2006/relationships/hyperlink" Target="https://ref.ly/2Sam2:1" TargetMode="External"/><Relationship Id="rId10488" Type="http://schemas.openxmlformats.org/officeDocument/2006/relationships/hyperlink" Target="https://ref.ly/2Sam15:7-2Sam15:12" TargetMode="External"/><Relationship Id="rId10489" Type="http://schemas.openxmlformats.org/officeDocument/2006/relationships/hyperlink" Target="https://ref.ly/2Chr11:1-2Chr11:12" TargetMode="External"/><Relationship Id="rId10490" Type="http://schemas.openxmlformats.org/officeDocument/2006/relationships/hyperlink" Target="https://ref.ly/Num3:19" TargetMode="External"/><Relationship Id="rId10491" Type="http://schemas.openxmlformats.org/officeDocument/2006/relationships/hyperlink" Target="https://ref.ly/1Chr6:2,1Chr6:18" TargetMode="External"/><Relationship Id="rId10492" Type="http://schemas.openxmlformats.org/officeDocument/2006/relationships/hyperlink" Target="https://ref.ly/1Chr23:19" TargetMode="External"/><Relationship Id="rId10493" Type="http://schemas.openxmlformats.org/officeDocument/2006/relationships/hyperlink" Target="https://ref.ly/1Chr15:9" TargetMode="External"/><Relationship Id="rId10494" Type="http://schemas.openxmlformats.org/officeDocument/2006/relationships/hyperlink" Target="https://ref.ly/1Chr26:23,1Chr26:30-1Chr26:31" TargetMode="External"/><Relationship Id="rId10495" Type="http://schemas.openxmlformats.org/officeDocument/2006/relationships/hyperlink" Target="https://ref.ly/1Chr2:42-1Chr2:43" TargetMode="External"/><Relationship Id="rId10496" Type="http://schemas.openxmlformats.org/officeDocument/2006/relationships/hyperlink" Target="https://ref.ly/Num26:32" TargetMode="External"/><Relationship Id="rId10497" Type="http://schemas.openxmlformats.org/officeDocument/2006/relationships/hyperlink" Target="https://ref.ly/1Chr4:6" TargetMode="External"/><Relationship Id="rId10498" Type="http://schemas.openxmlformats.org/officeDocument/2006/relationships/hyperlink" Target="https://ref.ly/1Chr11:36" TargetMode="External"/><Relationship Id="rId10499" Type="http://schemas.openxmlformats.org/officeDocument/2006/relationships/hyperlink" Target="https://ref.ly/Acts6:1-Acts7:60" TargetMode="External"/><Relationship Id="rId10500" Type="http://schemas.openxmlformats.org/officeDocument/2006/relationships/hyperlink" Target="https://ref.ly/Col1:15-Col1:22" TargetMode="External"/><Relationship Id="rId10501" Type="http://schemas.openxmlformats.org/officeDocument/2006/relationships/hyperlink" Target="https://ref.ly/Acts6:1,Acts6:9" TargetMode="External"/><Relationship Id="rId10502" Type="http://schemas.openxmlformats.org/officeDocument/2006/relationships/hyperlink" Target="https://ref.ly/Ezek30:17" TargetMode="External"/><Relationship Id="rId10503" Type="http://schemas.openxmlformats.org/officeDocument/2006/relationships/hyperlink" Target="https://ref.ly/Amos1:5" TargetMode="External"/><Relationship Id="rId10504" Type="http://schemas.openxmlformats.org/officeDocument/2006/relationships/hyperlink" Target="https://ref.ly/Jer43:13" TargetMode="External"/><Relationship Id="rId10505" Type="http://schemas.openxmlformats.org/officeDocument/2006/relationships/hyperlink" Target="https://ref.ly/Isa19:18" TargetMode="External"/><Relationship Id="rId10506" Type="http://schemas.openxmlformats.org/officeDocument/2006/relationships/hyperlink" Target="https://ref.ly/Prov30:33" TargetMode="External"/><Relationship Id="rId10507" Type="http://schemas.openxmlformats.org/officeDocument/2006/relationships/hyperlink" Target="https://ref.ly/Lev15:19-Lev15:30" TargetMode="External"/><Relationship Id="rId10508" Type="http://schemas.openxmlformats.org/officeDocument/2006/relationships/hyperlink" Target="https://ref.ly/1Sam6:4-1Sam6:17" TargetMode="External"/><Relationship Id="rId10509" Type="http://schemas.openxmlformats.org/officeDocument/2006/relationships/hyperlink" Target="https://ref.ly/Gen17:15-Gen17:21" TargetMode="External"/><Relationship Id="rId10510" Type="http://schemas.openxmlformats.org/officeDocument/2006/relationships/hyperlink" Target="https://ref.ly/Gen25:23" TargetMode="External"/><Relationship Id="rId10511" Type="http://schemas.openxmlformats.org/officeDocument/2006/relationships/hyperlink" Target="https://ref.ly/Gen49:3-Gen49:4" TargetMode="External"/><Relationship Id="rId10512" Type="http://schemas.openxmlformats.org/officeDocument/2006/relationships/hyperlink" Target="https://ref.ly/Gen15:2-Gen15:5" TargetMode="External"/><Relationship Id="rId10513" Type="http://schemas.openxmlformats.org/officeDocument/2006/relationships/hyperlink" Target="https://ref.ly/Ruth4:5" TargetMode="External"/><Relationship Id="rId10514" Type="http://schemas.openxmlformats.org/officeDocument/2006/relationships/hyperlink" Target="https://ref.ly/Num36:1-Num36:13" TargetMode="External"/><Relationship Id="rId10515" Type="http://schemas.openxmlformats.org/officeDocument/2006/relationships/hyperlink" Target="https://ref.ly/Lev25:25-Lev25:28" TargetMode="External"/><Relationship Id="rId10516" Type="http://schemas.openxmlformats.org/officeDocument/2006/relationships/hyperlink" Target="https://ref.ly/Lev27:14-Lev27:25" TargetMode="External"/><Relationship Id="rId10517" Type="http://schemas.openxmlformats.org/officeDocument/2006/relationships/hyperlink" Target="https://ref.ly/Matt22:23-Matt22:33" TargetMode="External"/><Relationship Id="rId10518" Type="http://schemas.openxmlformats.org/officeDocument/2006/relationships/hyperlink" Target="https://ref.ly/Mark12:18-Mark12:27" TargetMode="External"/><Relationship Id="rId10519" Type="http://schemas.openxmlformats.org/officeDocument/2006/relationships/hyperlink" Target="https://ref.ly/Luke20:27-Luke20:40" TargetMode="External"/><Relationship Id="rId10520" Type="http://schemas.openxmlformats.org/officeDocument/2006/relationships/hyperlink" Target="https://ref.ly/Luke15:12" TargetMode="External"/><Relationship Id="rId10521" Type="http://schemas.openxmlformats.org/officeDocument/2006/relationships/hyperlink" Target="https://ref.ly/Gal4:1-Gal4:2" TargetMode="External"/><Relationship Id="rId10522" Type="http://schemas.openxmlformats.org/officeDocument/2006/relationships/hyperlink" Target="https://ref.ly/Exod15:17" TargetMode="External"/><Relationship Id="rId10523" Type="http://schemas.openxmlformats.org/officeDocument/2006/relationships/hyperlink" Target="https://ref.ly/Josh22:27" TargetMode="External"/><Relationship Id="rId10524" Type="http://schemas.openxmlformats.org/officeDocument/2006/relationships/hyperlink" Target="https://ref.ly/Ezek38:16" TargetMode="External"/><Relationship Id="rId10525" Type="http://schemas.openxmlformats.org/officeDocument/2006/relationships/hyperlink" Target="https://ref.ly/Joel1:6" TargetMode="External"/><Relationship Id="rId10526" Type="http://schemas.openxmlformats.org/officeDocument/2006/relationships/hyperlink" Target="https://ref.ly/Heb11:8" TargetMode="External"/><Relationship Id="rId10527" Type="http://schemas.openxmlformats.org/officeDocument/2006/relationships/hyperlink" Target="https://ref.ly/Gen15:12-Gen15:21" TargetMode="External"/><Relationship Id="rId10528" Type="http://schemas.openxmlformats.org/officeDocument/2006/relationships/hyperlink" Target="https://ref.ly/Acts7:5" TargetMode="External"/><Relationship Id="rId10529" Type="http://schemas.openxmlformats.org/officeDocument/2006/relationships/hyperlink" Target="https://ref.ly/Josh1:1-Josh1:9" TargetMode="External"/><Relationship Id="rId10530" Type="http://schemas.openxmlformats.org/officeDocument/2006/relationships/hyperlink" Target="https://ref.ly/Judg7:2" TargetMode="External"/><Relationship Id="rId10531" Type="http://schemas.openxmlformats.org/officeDocument/2006/relationships/hyperlink" Target="https://ref.ly/Ps44:1-Ps44:3" TargetMode="External"/><Relationship Id="rId10532" Type="http://schemas.openxmlformats.org/officeDocument/2006/relationships/hyperlink" Target="https://ref.ly/Acts13:19" TargetMode="External"/><Relationship Id="rId10533" Type="http://schemas.openxmlformats.org/officeDocument/2006/relationships/hyperlink" Target="https://ref.ly/Num26:52-Num26:54" TargetMode="External"/><Relationship Id="rId10534" Type="http://schemas.openxmlformats.org/officeDocument/2006/relationships/hyperlink" Target="https://ref.ly/Num26:55-Num26:56" TargetMode="External"/><Relationship Id="rId10535" Type="http://schemas.openxmlformats.org/officeDocument/2006/relationships/hyperlink" Target="https://ref.ly/Isa60:21" TargetMode="External"/><Relationship Id="rId10536" Type="http://schemas.openxmlformats.org/officeDocument/2006/relationships/hyperlink" Target="https://ref.ly/Ezek45:1-Ezek45:8" TargetMode="External"/><Relationship Id="rId10537" Type="http://schemas.openxmlformats.org/officeDocument/2006/relationships/hyperlink" Target="https://ref.ly/Ezek47:13-Ezek48:29" TargetMode="External"/><Relationship Id="rId10538" Type="http://schemas.openxmlformats.org/officeDocument/2006/relationships/hyperlink" Target="https://ref.ly/Num18:8-Num18:24" TargetMode="External"/><Relationship Id="rId10539" Type="http://schemas.openxmlformats.org/officeDocument/2006/relationships/hyperlink" Target="https://ref.ly/Ps16:5-Ps16:6" TargetMode="External"/><Relationship Id="rId10540" Type="http://schemas.openxmlformats.org/officeDocument/2006/relationships/hyperlink" Target="https://ref.ly/Ps73:25-Ps73:26" TargetMode="External"/><Relationship Id="rId10541" Type="http://schemas.openxmlformats.org/officeDocument/2006/relationships/hyperlink" Target="https://ref.ly/Ps142:5" TargetMode="External"/><Relationship Id="rId10542" Type="http://schemas.openxmlformats.org/officeDocument/2006/relationships/hyperlink" Target="https://ref.ly/Isa58:14" TargetMode="External"/><Relationship Id="rId10543" Type="http://schemas.openxmlformats.org/officeDocument/2006/relationships/hyperlink" Target="https://ref.ly/Lam3:24" TargetMode="External"/><Relationship Id="rId10544" Type="http://schemas.openxmlformats.org/officeDocument/2006/relationships/hyperlink" Target="https://ref.ly/Job27:13" TargetMode="External"/><Relationship Id="rId10545" Type="http://schemas.openxmlformats.org/officeDocument/2006/relationships/hyperlink" Target="https://ref.ly/Matt19:29" TargetMode="External"/><Relationship Id="rId10546" Type="http://schemas.openxmlformats.org/officeDocument/2006/relationships/hyperlink" Target="https://ref.ly/Matt25:34" TargetMode="External"/><Relationship Id="rId10547" Type="http://schemas.openxmlformats.org/officeDocument/2006/relationships/hyperlink" Target="https://ref.ly/Luke10:25" TargetMode="External"/><Relationship Id="rId10548" Type="http://schemas.openxmlformats.org/officeDocument/2006/relationships/hyperlink" Target="https://ref.ly/1Cor6:9-1Cor6:10" TargetMode="External"/><Relationship Id="rId10549" Type="http://schemas.openxmlformats.org/officeDocument/2006/relationships/hyperlink" Target="https://ref.ly/Gal5:21" TargetMode="External"/><Relationship Id="rId10550" Type="http://schemas.openxmlformats.org/officeDocument/2006/relationships/hyperlink" Target="https://ref.ly/Eph5:5" TargetMode="External"/><Relationship Id="rId10551" Type="http://schemas.openxmlformats.org/officeDocument/2006/relationships/hyperlink" Target="https://ref.ly/Jas2:5" TargetMode="External"/><Relationship Id="rId10552" Type="http://schemas.openxmlformats.org/officeDocument/2006/relationships/hyperlink" Target="https://ref.ly/Acts20:32" TargetMode="External"/><Relationship Id="rId10553" Type="http://schemas.openxmlformats.org/officeDocument/2006/relationships/hyperlink" Target="https://ref.ly/Col1:12" TargetMode="External"/><Relationship Id="rId10554" Type="http://schemas.openxmlformats.org/officeDocument/2006/relationships/hyperlink" Target="https://ref.ly/John17:17" TargetMode="External"/><Relationship Id="rId10555" Type="http://schemas.openxmlformats.org/officeDocument/2006/relationships/hyperlink" Target="https://ref.ly/Col3:23-Col3:24" TargetMode="External"/><Relationship Id="rId10556" Type="http://schemas.openxmlformats.org/officeDocument/2006/relationships/hyperlink" Target="https://ref.ly/Matt5:5" TargetMode="External"/><Relationship Id="rId10557" Type="http://schemas.openxmlformats.org/officeDocument/2006/relationships/hyperlink" Target="https://ref.ly/Ps37:11" TargetMode="External"/><Relationship Id="rId10558" Type="http://schemas.openxmlformats.org/officeDocument/2006/relationships/hyperlink" Target="https://ref.ly/Rom4:13" TargetMode="External"/><Relationship Id="rId10559" Type="http://schemas.openxmlformats.org/officeDocument/2006/relationships/hyperlink" Target="https://ref.ly/Heb6:12-Heb6:17" TargetMode="External"/><Relationship Id="rId10560" Type="http://schemas.openxmlformats.org/officeDocument/2006/relationships/hyperlink" Target="https://ref.ly/Gal3:7-Gal4:7" TargetMode="External"/><Relationship Id="rId10561" Type="http://schemas.openxmlformats.org/officeDocument/2006/relationships/hyperlink" Target="https://ref.ly/Gal3:7" TargetMode="External"/><Relationship Id="rId10562" Type="http://schemas.openxmlformats.org/officeDocument/2006/relationships/hyperlink" Target="https://ref.ly/Acts26:16-Acts26:18" TargetMode="External"/><Relationship Id="rId10563" Type="http://schemas.openxmlformats.org/officeDocument/2006/relationships/hyperlink" Target="https://ref.ly/Gal3:14" TargetMode="External"/><Relationship Id="rId10564" Type="http://schemas.openxmlformats.org/officeDocument/2006/relationships/hyperlink" Target="https://ref.ly/Gal3:18" TargetMode="External"/><Relationship Id="rId10565" Type="http://schemas.openxmlformats.org/officeDocument/2006/relationships/hyperlink" Target="https://ref.ly/Gal3:27-Gal3:29" TargetMode="External"/><Relationship Id="rId10566" Type="http://schemas.openxmlformats.org/officeDocument/2006/relationships/hyperlink" Target="https://ref.ly/Gal3:26" TargetMode="External"/><Relationship Id="rId10567" Type="http://schemas.openxmlformats.org/officeDocument/2006/relationships/hyperlink" Target="https://ref.ly/Gal4:4-Gal4:7" TargetMode="External"/><Relationship Id="rId10568" Type="http://schemas.openxmlformats.org/officeDocument/2006/relationships/hyperlink" Target="https://ref.ly/Matt21:38" TargetMode="External"/><Relationship Id="rId10569" Type="http://schemas.openxmlformats.org/officeDocument/2006/relationships/hyperlink" Target="https://ref.ly/Mark12:7" TargetMode="External"/><Relationship Id="rId10570" Type="http://schemas.openxmlformats.org/officeDocument/2006/relationships/hyperlink" Target="https://ref.ly/Luke20:14" TargetMode="External"/><Relationship Id="rId10571" Type="http://schemas.openxmlformats.org/officeDocument/2006/relationships/hyperlink" Target="https://ref.ly/Phil2:9" TargetMode="External"/><Relationship Id="rId10572" Type="http://schemas.openxmlformats.org/officeDocument/2006/relationships/hyperlink" Target="https://ref.ly/Ps2:7-Ps2:8" TargetMode="External"/><Relationship Id="rId10573" Type="http://schemas.openxmlformats.org/officeDocument/2006/relationships/hyperlink" Target="https://ref.ly/Rom8:17" TargetMode="External"/><Relationship Id="rId10574" Type="http://schemas.openxmlformats.org/officeDocument/2006/relationships/hyperlink" Target="https://ref.ly/Deut32:6" TargetMode="External"/><Relationship Id="rId10575" Type="http://schemas.openxmlformats.org/officeDocument/2006/relationships/hyperlink" Target="https://ref.ly/Deut32:8" TargetMode="External"/><Relationship Id="rId10576" Type="http://schemas.openxmlformats.org/officeDocument/2006/relationships/hyperlink" Target="https://ref.ly/Deut32:9" TargetMode="External"/><Relationship Id="rId10577" Type="http://schemas.openxmlformats.org/officeDocument/2006/relationships/hyperlink" Target="https://ref.ly/Deut9:26-Deut9:29" TargetMode="External"/><Relationship Id="rId10578" Type="http://schemas.openxmlformats.org/officeDocument/2006/relationships/hyperlink" Target="https://ref.ly/1Kgs8:51-1Kgs8:53" TargetMode="External"/><Relationship Id="rId10579" Type="http://schemas.openxmlformats.org/officeDocument/2006/relationships/hyperlink" Target="https://ref.ly/Ps28:9" TargetMode="External"/><Relationship Id="rId10580" Type="http://schemas.openxmlformats.org/officeDocument/2006/relationships/hyperlink" Target="https://ref.ly/Ps33:12" TargetMode="External"/><Relationship Id="rId10581" Type="http://schemas.openxmlformats.org/officeDocument/2006/relationships/hyperlink" Target="https://ref.ly/Ps74:2" TargetMode="External"/><Relationship Id="rId10582" Type="http://schemas.openxmlformats.org/officeDocument/2006/relationships/hyperlink" Target="https://ref.ly/Isa19:25" TargetMode="External"/><Relationship Id="rId10583" Type="http://schemas.openxmlformats.org/officeDocument/2006/relationships/hyperlink" Target="https://ref.ly/Jer10:16" TargetMode="External"/><Relationship Id="rId10584" Type="http://schemas.openxmlformats.org/officeDocument/2006/relationships/hyperlink" Target="https://ref.ly/Zech2:12" TargetMode="External"/><Relationship Id="rId10585" Type="http://schemas.openxmlformats.org/officeDocument/2006/relationships/hyperlink" Target="https://ref.ly/Exod19:5" TargetMode="External"/><Relationship Id="rId10586" Type="http://schemas.openxmlformats.org/officeDocument/2006/relationships/hyperlink" Target="https://ref.ly/Deut7:6" TargetMode="External"/><Relationship Id="rId10587" Type="http://schemas.openxmlformats.org/officeDocument/2006/relationships/hyperlink" Target="https://ref.ly/Eph1:14" TargetMode="External"/><Relationship Id="rId10588" Type="http://schemas.openxmlformats.org/officeDocument/2006/relationships/hyperlink" Target="https://ref.ly/Eph1:18" TargetMode="External"/><Relationship Id="rId10589" Type="http://schemas.openxmlformats.org/officeDocument/2006/relationships/hyperlink" Target="https://ref.ly/Rev21:7" TargetMode="External"/><Relationship Id="rId10590" Type="http://schemas.openxmlformats.org/officeDocument/2006/relationships/hyperlink" Target="https://ref.ly/Gen15:3-Gen15:4" TargetMode="External"/><Relationship Id="rId10591" Type="http://schemas.openxmlformats.org/officeDocument/2006/relationships/hyperlink" Target="https://ref.ly/Gen21:10" TargetMode="External"/><Relationship Id="rId10592" Type="http://schemas.openxmlformats.org/officeDocument/2006/relationships/hyperlink" Target="https://ref.ly/Matt21:33-Matt21:43" TargetMode="External"/><Relationship Id="rId10593" Type="http://schemas.openxmlformats.org/officeDocument/2006/relationships/hyperlink" Target="https://ref.ly/Heb6:14" TargetMode="External"/><Relationship Id="rId10594" Type="http://schemas.openxmlformats.org/officeDocument/2006/relationships/hyperlink" Target="https://ref.ly/Num27:9-Num27:11" TargetMode="External"/><Relationship Id="rId10595" Type="http://schemas.openxmlformats.org/officeDocument/2006/relationships/hyperlink" Target="https://ref.ly/Acts24:5" TargetMode="External"/><Relationship Id="rId10596" Type="http://schemas.openxmlformats.org/officeDocument/2006/relationships/hyperlink" Target="https://ref.ly/1Cor11:19" TargetMode="External"/><Relationship Id="rId10597" Type="http://schemas.openxmlformats.org/officeDocument/2006/relationships/hyperlink" Target="https://ref.ly/2Pet2:1" TargetMode="External"/><Relationship Id="rId10598" Type="http://schemas.openxmlformats.org/officeDocument/2006/relationships/hyperlink" Target="https://ref.ly/Acts14:11-Acts14:12" TargetMode="External"/><Relationship Id="rId10599" Type="http://schemas.openxmlformats.org/officeDocument/2006/relationships/hyperlink" Target="https://ref.ly/Rom16:14" TargetMode="External"/><Relationship Id="rId10600" Type="http://schemas.openxmlformats.org/officeDocument/2006/relationships/hyperlink" Target="https://ref.ly/Deut3:8" TargetMode="External"/><Relationship Id="rId10601" Type="http://schemas.openxmlformats.org/officeDocument/2006/relationships/hyperlink" Target="https://ref.ly/Josh11:17" TargetMode="External"/><Relationship Id="rId10602" Type="http://schemas.openxmlformats.org/officeDocument/2006/relationships/hyperlink" Target="https://ref.ly/Josh12:1,Josh12:5" TargetMode="External"/><Relationship Id="rId10603" Type="http://schemas.openxmlformats.org/officeDocument/2006/relationships/hyperlink" Target="https://ref.ly/Josh11:3,Josh11:8" TargetMode="External"/><Relationship Id="rId10604" Type="http://schemas.openxmlformats.org/officeDocument/2006/relationships/hyperlink" Target="https://ref.ly/Ps133:3" TargetMode="External"/><Relationship Id="rId10605" Type="http://schemas.openxmlformats.org/officeDocument/2006/relationships/hyperlink" Target="https://ref.ly/Ps89:12" TargetMode="External"/><Relationship Id="rId10606" Type="http://schemas.openxmlformats.org/officeDocument/2006/relationships/hyperlink" Target="https://ref.ly/Acts26:1-Acts26:32" TargetMode="External"/><Relationship Id="rId10607" Type="http://schemas.openxmlformats.org/officeDocument/2006/relationships/hyperlink" Target="https://ref.ly/Matt2:22" TargetMode="External"/><Relationship Id="rId10608" Type="http://schemas.openxmlformats.org/officeDocument/2006/relationships/hyperlink" Target="https://ref.ly/Lev20:21" TargetMode="External"/><Relationship Id="rId10609" Type="http://schemas.openxmlformats.org/officeDocument/2006/relationships/hyperlink" Target="https://ref.ly/Mark12:19" TargetMode="External"/><Relationship Id="rId10610" Type="http://schemas.openxmlformats.org/officeDocument/2006/relationships/hyperlink" Target="https://ref.ly/Matt14:1-Matt14:2" TargetMode="External"/><Relationship Id="rId10611" Type="http://schemas.openxmlformats.org/officeDocument/2006/relationships/hyperlink" Target="https://ref.ly/Mark6:14-Mark6:16" TargetMode="External"/><Relationship Id="rId10612" Type="http://schemas.openxmlformats.org/officeDocument/2006/relationships/hyperlink" Target="https://ref.ly/Luke9:7-Luke9:9" TargetMode="External"/><Relationship Id="rId10613" Type="http://schemas.openxmlformats.org/officeDocument/2006/relationships/hyperlink" Target="https://ref.ly/Luke13:31-Luke13:33" TargetMode="External"/><Relationship Id="rId10614" Type="http://schemas.openxmlformats.org/officeDocument/2006/relationships/hyperlink" Target="https://ref.ly/Luke23:6-Luke23:12" TargetMode="External"/><Relationship Id="rId10615" Type="http://schemas.openxmlformats.org/officeDocument/2006/relationships/hyperlink" Target="https://ref.ly/Luke13:1" TargetMode="External"/><Relationship Id="rId10616" Type="http://schemas.openxmlformats.org/officeDocument/2006/relationships/hyperlink" Target="https://ref.ly/Matt16:13-Matt16:20" TargetMode="External"/><Relationship Id="rId10617" Type="http://schemas.openxmlformats.org/officeDocument/2006/relationships/hyperlink" Target="https://ref.ly/Mark8:27-Mark8:30" TargetMode="External"/><Relationship Id="rId10618" Type="http://schemas.openxmlformats.org/officeDocument/2006/relationships/hyperlink" Target="https://ref.ly/Acts12:1-Acts12:19" TargetMode="External"/><Relationship Id="rId10619" Type="http://schemas.openxmlformats.org/officeDocument/2006/relationships/hyperlink" Target="https://ref.ly/Acts25:1-Acts26:32" TargetMode="External"/><Relationship Id="rId10620" Type="http://schemas.openxmlformats.org/officeDocument/2006/relationships/hyperlink" Target="https://ref.ly/Mark3:6" TargetMode="External"/><Relationship Id="rId10621" Type="http://schemas.openxmlformats.org/officeDocument/2006/relationships/hyperlink" Target="https://ref.ly/Matt22:16" TargetMode="External"/><Relationship Id="rId10622" Type="http://schemas.openxmlformats.org/officeDocument/2006/relationships/hyperlink" Target="https://ref.ly/Mark12:13" TargetMode="External"/><Relationship Id="rId10623" Type="http://schemas.openxmlformats.org/officeDocument/2006/relationships/hyperlink" Target="https://ref.ly/Matt16:12" TargetMode="External"/><Relationship Id="rId10624" Type="http://schemas.openxmlformats.org/officeDocument/2006/relationships/hyperlink" Target="https://ref.ly/Num21:25-Num21:30" TargetMode="External"/><Relationship Id="rId10625" Type="http://schemas.openxmlformats.org/officeDocument/2006/relationships/hyperlink" Target="https://ref.ly/Num32:37" TargetMode="External"/><Relationship Id="rId10626" Type="http://schemas.openxmlformats.org/officeDocument/2006/relationships/hyperlink" Target="https://ref.ly/Josh13:26" TargetMode="External"/><Relationship Id="rId10627" Type="http://schemas.openxmlformats.org/officeDocument/2006/relationships/hyperlink" Target="https://ref.ly/Judg3:12" TargetMode="External"/><Relationship Id="rId10628" Type="http://schemas.openxmlformats.org/officeDocument/2006/relationships/hyperlink" Target="https://ref.ly/1Sam12:9-1Sam12:11" TargetMode="External"/><Relationship Id="rId10629" Type="http://schemas.openxmlformats.org/officeDocument/2006/relationships/hyperlink" Target="https://ref.ly/Isa16:8-Isa16:9" TargetMode="External"/><Relationship Id="rId10630" Type="http://schemas.openxmlformats.org/officeDocument/2006/relationships/hyperlink" Target="https://ref.ly/Jer48:2,Jer48:33-Jer48:34" TargetMode="External"/><Relationship Id="rId10631" Type="http://schemas.openxmlformats.org/officeDocument/2006/relationships/hyperlink" Target="https://ref.ly/Jer49:3" TargetMode="External"/><Relationship Id="rId10632" Type="http://schemas.openxmlformats.org/officeDocument/2006/relationships/hyperlink" Target="https://ref.ly/Gen10:15" TargetMode="External"/><Relationship Id="rId10633" Type="http://schemas.openxmlformats.org/officeDocument/2006/relationships/hyperlink" Target="https://ref.ly/1Chr1:13" TargetMode="External"/><Relationship Id="rId10634" Type="http://schemas.openxmlformats.org/officeDocument/2006/relationships/hyperlink" Target="https://ref.ly/Judg3:3" TargetMode="External"/><Relationship Id="rId10635" Type="http://schemas.openxmlformats.org/officeDocument/2006/relationships/hyperlink" Target="https://ref.ly/2Sam24:7" TargetMode="External"/><Relationship Id="rId10636" Type="http://schemas.openxmlformats.org/officeDocument/2006/relationships/hyperlink" Target="https://ref.ly/Gen36:20" TargetMode="External"/><Relationship Id="rId10637" Type="http://schemas.openxmlformats.org/officeDocument/2006/relationships/hyperlink" Target="https://ref.ly/Gen36:29" TargetMode="External"/><Relationship Id="rId10638" Type="http://schemas.openxmlformats.org/officeDocument/2006/relationships/hyperlink" Target="https://ref.ly/Josh9:7" TargetMode="External"/><Relationship Id="rId10639" Type="http://schemas.openxmlformats.org/officeDocument/2006/relationships/hyperlink" Target="https://ref.ly/Gen37:27-Gen37:28,Gen37:36" TargetMode="External"/><Relationship Id="rId10640" Type="http://schemas.openxmlformats.org/officeDocument/2006/relationships/hyperlink" Target="https://ref.ly/Judg3:3-Judg3:8" TargetMode="External"/><Relationship Id="rId10641" Type="http://schemas.openxmlformats.org/officeDocument/2006/relationships/hyperlink" Target="https://ref.ly/1Kgs9:20-1Kgs9:21" TargetMode="External"/><Relationship Id="rId10642" Type="http://schemas.openxmlformats.org/officeDocument/2006/relationships/hyperlink" Target="https://ref.ly/Ruth4:18-Ruth4:19" TargetMode="External"/><Relationship Id="rId10643" Type="http://schemas.openxmlformats.org/officeDocument/2006/relationships/hyperlink" Target="https://ref.ly/1Chr2:5-1Chr2:25" TargetMode="External"/><Relationship Id="rId10644" Type="http://schemas.openxmlformats.org/officeDocument/2006/relationships/hyperlink" Target="https://ref.ly/Matt1:3" TargetMode="External"/><Relationship Id="rId10645" Type="http://schemas.openxmlformats.org/officeDocument/2006/relationships/hyperlink" Target="https://ref.ly/Exod1:9-Exod1:14" TargetMode="External"/><Relationship Id="rId10646" Type="http://schemas.openxmlformats.org/officeDocument/2006/relationships/hyperlink" Target="https://ref.ly/Exod1:9" TargetMode="External"/><Relationship Id="rId10647" Type="http://schemas.openxmlformats.org/officeDocument/2006/relationships/hyperlink" Target="https://ref.ly/Exod1:10" TargetMode="External"/><Relationship Id="rId10648" Type="http://schemas.openxmlformats.org/officeDocument/2006/relationships/hyperlink" Target="https://ref.ly/Exod1:15" TargetMode="External"/><Relationship Id="rId10649" Type="http://schemas.openxmlformats.org/officeDocument/2006/relationships/hyperlink" Target="https://ref.ly/Exod1:14" TargetMode="External"/><Relationship Id="rId10650" Type="http://schemas.openxmlformats.org/officeDocument/2006/relationships/hyperlink" Target="https://ref.ly/Dan10:4" TargetMode="External"/><Relationship Id="rId10651" Type="http://schemas.openxmlformats.org/officeDocument/2006/relationships/hyperlink" Target="https://ref.ly/Luke14:2" TargetMode="External"/><Relationship Id="rId10652" Type="http://schemas.openxmlformats.org/officeDocument/2006/relationships/hyperlink" Target="https://ref.ly/Deut8:4" TargetMode="External"/><Relationship Id="rId10653" Type="http://schemas.openxmlformats.org/officeDocument/2006/relationships/hyperlink" Target="https://ref.ly/Ps9:16" TargetMode="External"/><Relationship Id="rId10654" Type="http://schemas.openxmlformats.org/officeDocument/2006/relationships/hyperlink" Target="https://ref.ly/Mark12:15" TargetMode="External"/><Relationship Id="rId10655" Type="http://schemas.openxmlformats.org/officeDocument/2006/relationships/hyperlink" Target="https://ref.ly/Matt7:5" TargetMode="External"/><Relationship Id="rId10656" Type="http://schemas.openxmlformats.org/officeDocument/2006/relationships/hyperlink" Target="https://ref.ly/Matt24:51" TargetMode="External"/><Relationship Id="rId10657" Type="http://schemas.openxmlformats.org/officeDocument/2006/relationships/hyperlink" Target="https://ref.ly/Luke6:42" TargetMode="External"/><Relationship Id="rId10658" Type="http://schemas.openxmlformats.org/officeDocument/2006/relationships/hyperlink" Target="https://ref.ly/Luke11:38" TargetMode="External"/><Relationship Id="rId10659" Type="http://schemas.openxmlformats.org/officeDocument/2006/relationships/hyperlink" Target="https://ref.ly/Mark7:1-Mark7:13" TargetMode="External"/><Relationship Id="rId10660" Type="http://schemas.openxmlformats.org/officeDocument/2006/relationships/hyperlink" Target="https://ref.ly/Luke11:39" TargetMode="External"/><Relationship Id="rId10661" Type="http://schemas.openxmlformats.org/officeDocument/2006/relationships/hyperlink" Target="https://ref.ly/Matt23:2-Matt23:7" TargetMode="External"/><Relationship Id="rId10662" Type="http://schemas.openxmlformats.org/officeDocument/2006/relationships/hyperlink" Target="https://ref.ly/Luke11:52" TargetMode="External"/><Relationship Id="rId10663" Type="http://schemas.openxmlformats.org/officeDocument/2006/relationships/hyperlink" Target="https://ref.ly/Matt23:13" TargetMode="External"/><Relationship Id="rId10664" Type="http://schemas.openxmlformats.org/officeDocument/2006/relationships/hyperlink" Target="https://ref.ly/Gen38:1" TargetMode="External"/><Relationship Id="rId10665" Type="http://schemas.openxmlformats.org/officeDocument/2006/relationships/hyperlink" Target="https://ref.ly/Gen38:12" TargetMode="External"/><Relationship Id="rId10666" Type="http://schemas.openxmlformats.org/officeDocument/2006/relationships/hyperlink" Target="https://ref.ly/Gen38:20" TargetMode="External"/><Relationship Id="rId10667" Type="http://schemas.openxmlformats.org/officeDocument/2006/relationships/hyperlink" Target="https://ref.ly/1Kgs5:1" TargetMode="External"/><Relationship Id="rId10668" Type="http://schemas.openxmlformats.org/officeDocument/2006/relationships/hyperlink" Target="https://ref.ly/1Kgs5:1-1Kgs5:11" TargetMode="External"/><Relationship Id="rId10669" Type="http://schemas.openxmlformats.org/officeDocument/2006/relationships/hyperlink" Target="https://ref.ly/1Kgs9:10-1Kgs9:14" TargetMode="External"/><Relationship Id="rId10670" Type="http://schemas.openxmlformats.org/officeDocument/2006/relationships/hyperlink" Target="https://ref.ly/1Kgs7:13-1Kgs7:14" TargetMode="External"/><Relationship Id="rId10671" Type="http://schemas.openxmlformats.org/officeDocument/2006/relationships/hyperlink" Target="https://ref.ly/2Chr2:14" TargetMode="External"/><Relationship Id="rId10672" Type="http://schemas.openxmlformats.org/officeDocument/2006/relationships/hyperlink" Target="https://ref.ly/2Chr4:11" TargetMode="External"/><Relationship Id="rId10673" Type="http://schemas.openxmlformats.org/officeDocument/2006/relationships/hyperlink" Target="https://ref.ly/2Chr2:13" TargetMode="External"/><Relationship Id="rId10674" Type="http://schemas.openxmlformats.org/officeDocument/2006/relationships/hyperlink" Target="https://ref.ly/2Chr4:16" TargetMode="External"/><Relationship Id="rId10675" Type="http://schemas.openxmlformats.org/officeDocument/2006/relationships/hyperlink" Target="https://ref.ly/Lev14:4" TargetMode="External"/><Relationship Id="rId10676" Type="http://schemas.openxmlformats.org/officeDocument/2006/relationships/hyperlink" Target="https://ref.ly/Gen27:46" TargetMode="External"/><Relationship Id="rId10677" Type="http://schemas.openxmlformats.org/officeDocument/2006/relationships/hyperlink" Target="https://ref.ly/2Sam11:1-2Sam12:31" TargetMode="External"/><Relationship Id="rId10678" Type="http://schemas.openxmlformats.org/officeDocument/2006/relationships/hyperlink" Target="https://ref.ly/1Kgs10:29" TargetMode="External"/><Relationship Id="rId10679" Type="http://schemas.openxmlformats.org/officeDocument/2006/relationships/hyperlink" Target="https://ref.ly/Ezek16:3,Ezek16:45" TargetMode="External"/><Relationship Id="rId10680" Type="http://schemas.openxmlformats.org/officeDocument/2006/relationships/hyperlink" Target="https://ref.ly/Num10:29" TargetMode="External"/><Relationship Id="rId10681" Type="http://schemas.openxmlformats.org/officeDocument/2006/relationships/hyperlink" Target="https://ref.ly/Exod4:18" TargetMode="External"/><Relationship Id="rId10682" Type="http://schemas.openxmlformats.org/officeDocument/2006/relationships/hyperlink" Target="https://ref.ly/Exod18:1-Exod18:12" TargetMode="External"/><Relationship Id="rId10683" Type="http://schemas.openxmlformats.org/officeDocument/2006/relationships/hyperlink" Target="https://ref.ly/Exod2:18" TargetMode="External"/><Relationship Id="rId10684" Type="http://schemas.openxmlformats.org/officeDocument/2006/relationships/hyperlink" Target="https://ref.ly/Num26:33" TargetMode="External"/><Relationship Id="rId10685" Type="http://schemas.openxmlformats.org/officeDocument/2006/relationships/hyperlink" Target="https://ref.ly/Josh17:3" TargetMode="External"/><Relationship Id="rId10686" Type="http://schemas.openxmlformats.org/officeDocument/2006/relationships/hyperlink" Target="https://ref.ly/Num36:11-Num36:12" TargetMode="External"/><Relationship Id="rId10687" Type="http://schemas.openxmlformats.org/officeDocument/2006/relationships/hyperlink" Target="https://ref.ly/Gen36:22" TargetMode="External"/><Relationship Id="rId10688" Type="http://schemas.openxmlformats.org/officeDocument/2006/relationships/hyperlink" Target="https://ref.ly/Ps88:1-Ps88:18" TargetMode="External"/><Relationship Id="rId10689" Type="http://schemas.openxmlformats.org/officeDocument/2006/relationships/hyperlink" Target="https://ref.ly/1Chr15:19" TargetMode="External"/><Relationship Id="rId10690" Type="http://schemas.openxmlformats.org/officeDocument/2006/relationships/hyperlink" Target="https://ref.ly/2Chr5:12" TargetMode="External"/><Relationship Id="rId10691" Type="http://schemas.openxmlformats.org/officeDocument/2006/relationships/hyperlink" Target="https://ref.ly/1Chr25:1-1Chr25:6" TargetMode="External"/><Relationship Id="rId10692" Type="http://schemas.openxmlformats.org/officeDocument/2006/relationships/hyperlink" Target="https://ref.ly/2Chr29:14" TargetMode="External"/><Relationship Id="rId10693" Type="http://schemas.openxmlformats.org/officeDocument/2006/relationships/hyperlink" Target="https://ref.ly/Gen1:5,Gen1:8,Gen1:13" TargetMode="External"/><Relationship Id="rId10694" Type="http://schemas.openxmlformats.org/officeDocument/2006/relationships/hyperlink" Target="https://ref.ly/Gen2:1-Gen2:25" TargetMode="External"/><Relationship Id="rId10695" Type="http://schemas.openxmlformats.org/officeDocument/2006/relationships/hyperlink" Target="https://ref.ly/John4:21-John4:24" TargetMode="External"/><Relationship Id="rId10696" Type="http://schemas.openxmlformats.org/officeDocument/2006/relationships/hyperlink" Target="https://ref.ly/1Cor15:35-1Cor15:49" TargetMode="External"/><Relationship Id="rId10697" Type="http://schemas.openxmlformats.org/officeDocument/2006/relationships/hyperlink" Target="https://ref.ly/Heb2:16" TargetMode="External"/><Relationship Id="rId10698" Type="http://schemas.openxmlformats.org/officeDocument/2006/relationships/hyperlink" Target="https://ref.ly/Jas3:15" TargetMode="External"/><Relationship Id="rId10699" Type="http://schemas.openxmlformats.org/officeDocument/2006/relationships/hyperlink" Target="https://ref.ly/Jude1:19" TargetMode="External"/><Relationship Id="rId10700" Type="http://schemas.openxmlformats.org/officeDocument/2006/relationships/hyperlink" Target="https://ref.ly/Rom7:14" TargetMode="External"/><Relationship Id="rId10701" Type="http://schemas.openxmlformats.org/officeDocument/2006/relationships/hyperlink" Target="https://ref.ly/1Cor12:1" TargetMode="External"/><Relationship Id="rId10702" Type="http://schemas.openxmlformats.org/officeDocument/2006/relationships/hyperlink" Target="https://ref.ly/1Cor2:15" TargetMode="External"/><Relationship Id="rId10703" Type="http://schemas.openxmlformats.org/officeDocument/2006/relationships/hyperlink" Target="https://ref.ly/1Cor2:14-1Cor2:15" TargetMode="External"/><Relationship Id="rId10704" Type="http://schemas.openxmlformats.org/officeDocument/2006/relationships/hyperlink" Target="https://ref.ly/1Cor1:21" TargetMode="External"/><Relationship Id="rId10705" Type="http://schemas.openxmlformats.org/officeDocument/2006/relationships/hyperlink" Target="https://ref.ly/1Cor15:44-1Cor15:46" TargetMode="External"/><Relationship Id="rId10706" Type="http://schemas.openxmlformats.org/officeDocument/2006/relationships/hyperlink" Target="https://ref.ly/Gen1:31" TargetMode="External"/><Relationship Id="rId10707" Type="http://schemas.openxmlformats.org/officeDocument/2006/relationships/hyperlink" Target="https://ref.ly/Rom8:19-Rom8:22" TargetMode="External"/><Relationship Id="rId10708" Type="http://schemas.openxmlformats.org/officeDocument/2006/relationships/hyperlink" Target="https://ref.ly/Gen2:15-Gen2:17" TargetMode="External"/><Relationship Id="rId10709" Type="http://schemas.openxmlformats.org/officeDocument/2006/relationships/hyperlink" Target="https://ref.ly/Gen3:1-Gen3:7" TargetMode="External"/><Relationship Id="rId10710" Type="http://schemas.openxmlformats.org/officeDocument/2006/relationships/hyperlink" Target="https://ref.ly/Eph2:1-Eph2:3" TargetMode="External"/><Relationship Id="rId10711" Type="http://schemas.openxmlformats.org/officeDocument/2006/relationships/hyperlink" Target="https://ref.ly/Ezek18:31" TargetMode="External"/><Relationship Id="rId10712" Type="http://schemas.openxmlformats.org/officeDocument/2006/relationships/hyperlink" Target="https://ref.ly/Ezek36:26" TargetMode="External"/><Relationship Id="rId10713" Type="http://schemas.openxmlformats.org/officeDocument/2006/relationships/hyperlink" Target="https://ref.ly/Rom6:5-Rom6:11" TargetMode="External"/><Relationship Id="rId10714" Type="http://schemas.openxmlformats.org/officeDocument/2006/relationships/hyperlink" Target="https://ref.ly/Eph4:22-Eph4:24" TargetMode="External"/><Relationship Id="rId10715" Type="http://schemas.openxmlformats.org/officeDocument/2006/relationships/hyperlink" Target="https://ref.ly/John3:6" TargetMode="External"/><Relationship Id="rId10716" Type="http://schemas.openxmlformats.org/officeDocument/2006/relationships/hyperlink" Target="https://ref.ly/Eph2:8" TargetMode="External"/><Relationship Id="rId10717" Type="http://schemas.openxmlformats.org/officeDocument/2006/relationships/hyperlink" Target="https://ref.ly/1Cor15:42-1Cor15:45" TargetMode="External"/><Relationship Id="rId10718" Type="http://schemas.openxmlformats.org/officeDocument/2006/relationships/hyperlink" Target="https://ref.ly/Rev21:5" TargetMode="External"/><Relationship Id="rId10719" Type="http://schemas.openxmlformats.org/officeDocument/2006/relationships/hyperlink" Target="https://ref.ly/Eph6:1-Eph6:2" TargetMode="External"/><Relationship Id="rId10720" Type="http://schemas.openxmlformats.org/officeDocument/2006/relationships/hyperlink" Target="https://ref.ly/Rev4:11" TargetMode="External"/><Relationship Id="rId10721" Type="http://schemas.openxmlformats.org/officeDocument/2006/relationships/hyperlink" Target="https://ref.ly/Prov3:9" TargetMode="External"/><Relationship Id="rId10722" Type="http://schemas.openxmlformats.org/officeDocument/2006/relationships/hyperlink" Target="https://ref.ly/Heb5:4-Heb5:5" TargetMode="External"/><Relationship Id="rId10723" Type="http://schemas.openxmlformats.org/officeDocument/2006/relationships/hyperlink" Target="https://ref.ly/John12:26" TargetMode="External"/><Relationship Id="rId10724" Type="http://schemas.openxmlformats.org/officeDocument/2006/relationships/hyperlink" Target="https://ref.ly/John15:23" TargetMode="External"/><Relationship Id="rId10725" Type="http://schemas.openxmlformats.org/officeDocument/2006/relationships/hyperlink" Target="https://ref.ly/Rom12:10" TargetMode="External"/><Relationship Id="rId10726" Type="http://schemas.openxmlformats.org/officeDocument/2006/relationships/hyperlink" Target="https://ref.ly/1Pet3:7" TargetMode="External"/><Relationship Id="rId10727" Type="http://schemas.openxmlformats.org/officeDocument/2006/relationships/hyperlink" Target="https://ref.ly/1Tim6:1" TargetMode="External"/><Relationship Id="rId10728" Type="http://schemas.openxmlformats.org/officeDocument/2006/relationships/hyperlink" Target="https://ref.ly/Rom13:7" TargetMode="External"/><Relationship Id="rId10729" Type="http://schemas.openxmlformats.org/officeDocument/2006/relationships/hyperlink" Target="https://ref.ly/1Pet2:17" TargetMode="External"/><Relationship Id="rId10730" Type="http://schemas.openxmlformats.org/officeDocument/2006/relationships/hyperlink" Target="https://ref.ly/Num20:23" TargetMode="External"/><Relationship Id="rId10731" Type="http://schemas.openxmlformats.org/officeDocument/2006/relationships/hyperlink" Target="https://ref.ly/Num20:22" TargetMode="External"/><Relationship Id="rId10732" Type="http://schemas.openxmlformats.org/officeDocument/2006/relationships/hyperlink" Target="https://ref.ly/Deut2:14" TargetMode="External"/><Relationship Id="rId10733" Type="http://schemas.openxmlformats.org/officeDocument/2006/relationships/hyperlink" Target="https://ref.ly/Num20:7-Num20:13,Num20:24" TargetMode="External"/><Relationship Id="rId10734" Type="http://schemas.openxmlformats.org/officeDocument/2006/relationships/hyperlink" Target="https://ref.ly/Num20:25-Num20:29" TargetMode="External"/><Relationship Id="rId10735" Type="http://schemas.openxmlformats.org/officeDocument/2006/relationships/hyperlink" Target="https://ref.ly/Deut32:49-Deut32:51" TargetMode="External"/><Relationship Id="rId10736" Type="http://schemas.openxmlformats.org/officeDocument/2006/relationships/hyperlink" Target="https://ref.ly/Num33:30-Num33:31" TargetMode="External"/><Relationship Id="rId10737" Type="http://schemas.openxmlformats.org/officeDocument/2006/relationships/hyperlink" Target="https://ref.ly/Gen49:26" TargetMode="External"/><Relationship Id="rId10738" Type="http://schemas.openxmlformats.org/officeDocument/2006/relationships/hyperlink" Target="https://ref.ly/Gen36:29-Gen36:30" TargetMode="External"/><Relationship Id="rId10739" Type="http://schemas.openxmlformats.org/officeDocument/2006/relationships/hyperlink" Target="https://ref.ly/Deut2:12,Deut2:22" TargetMode="External"/><Relationship Id="rId10740" Type="http://schemas.openxmlformats.org/officeDocument/2006/relationships/hyperlink" Target="https://ref.ly/Gen36:20-Gen36:30" TargetMode="External"/><Relationship Id="rId10741" Type="http://schemas.openxmlformats.org/officeDocument/2006/relationships/hyperlink" Target="https://ref.ly/Isa17:9" TargetMode="External"/><Relationship Id="rId10742" Type="http://schemas.openxmlformats.org/officeDocument/2006/relationships/hyperlink" Target="https://ref.ly/Num33:32-Num33:33" TargetMode="External"/><Relationship Id="rId10743" Type="http://schemas.openxmlformats.org/officeDocument/2006/relationships/hyperlink" Target="https://ref.ly/1Chr1:39" TargetMode="External"/><Relationship Id="rId10744" Type="http://schemas.openxmlformats.org/officeDocument/2006/relationships/hyperlink" Target="https://ref.ly/Num13:5" TargetMode="External"/><Relationship Id="rId10745" Type="http://schemas.openxmlformats.org/officeDocument/2006/relationships/hyperlink" Target="https://ref.ly/Josh15:30" TargetMode="External"/><Relationship Id="rId10746" Type="http://schemas.openxmlformats.org/officeDocument/2006/relationships/hyperlink" Target="https://ref.ly/Josh19:4,Josh19:9" TargetMode="External"/><Relationship Id="rId10747" Type="http://schemas.openxmlformats.org/officeDocument/2006/relationships/hyperlink" Target="https://ref.ly/Judg1:17" TargetMode="External"/><Relationship Id="rId10748" Type="http://schemas.openxmlformats.org/officeDocument/2006/relationships/hyperlink" Target="https://ref.ly/1Sam30:1-1Sam30:31" TargetMode="External"/><Relationship Id="rId10749" Type="http://schemas.openxmlformats.org/officeDocument/2006/relationships/hyperlink" Target="https://ref.ly/Num14:45" TargetMode="External"/><Relationship Id="rId10750" Type="http://schemas.openxmlformats.org/officeDocument/2006/relationships/hyperlink" Target="https://ref.ly/Ps118:25" TargetMode="External"/><Relationship Id="rId10751" Type="http://schemas.openxmlformats.org/officeDocument/2006/relationships/hyperlink" Target="https://ref.ly/2Macc10:6-2Macc10:7" TargetMode="External"/><Relationship Id="rId10752" Type="http://schemas.openxmlformats.org/officeDocument/2006/relationships/hyperlink" Target="https://ref.ly/Matt21:9" TargetMode="External"/><Relationship Id="rId10753" Type="http://schemas.openxmlformats.org/officeDocument/2006/relationships/hyperlink" Target="https://ref.ly/Mark11:9-Mark11:10" TargetMode="External"/><Relationship Id="rId10754" Type="http://schemas.openxmlformats.org/officeDocument/2006/relationships/hyperlink" Target="https://ref.ly/Ps118:26" TargetMode="External"/><Relationship Id="rId10755" Type="http://schemas.openxmlformats.org/officeDocument/2006/relationships/hyperlink" Target="https://ref.ly/Gen18:2-Gen18:8" TargetMode="External"/><Relationship Id="rId10756" Type="http://schemas.openxmlformats.org/officeDocument/2006/relationships/hyperlink" Target="https://ref.ly/Gen24:15-Gen24:61" TargetMode="External"/><Relationship Id="rId10757" Type="http://schemas.openxmlformats.org/officeDocument/2006/relationships/hyperlink" Target="https://ref.ly/Judg13:15" TargetMode="External"/><Relationship Id="rId10758" Type="http://schemas.openxmlformats.org/officeDocument/2006/relationships/hyperlink" Target="https://ref.ly/Gen19:1-Gen19:8" TargetMode="External"/><Relationship Id="rId10759" Type="http://schemas.openxmlformats.org/officeDocument/2006/relationships/hyperlink" Target="https://ref.ly/Judg19:14-Judg19:24" TargetMode="External"/><Relationship Id="rId10760" Type="http://schemas.openxmlformats.org/officeDocument/2006/relationships/hyperlink" Target="https://ref.ly/2Kgs4:10" TargetMode="External"/><Relationship Id="rId10761" Type="http://schemas.openxmlformats.org/officeDocument/2006/relationships/hyperlink" Target="https://ref.ly/Heb13:2" TargetMode="External"/><Relationship Id="rId10762" Type="http://schemas.openxmlformats.org/officeDocument/2006/relationships/hyperlink" Target="https://ref.ly/1Pet4:9" TargetMode="External"/><Relationship Id="rId10763" Type="http://schemas.openxmlformats.org/officeDocument/2006/relationships/hyperlink" Target="https://ref.ly/3John1:5-3John1:8" TargetMode="External"/><Relationship Id="rId10764" Type="http://schemas.openxmlformats.org/officeDocument/2006/relationships/hyperlink" Target="https://ref.ly/Titus1:8" TargetMode="External"/><Relationship Id="rId10765" Type="http://schemas.openxmlformats.org/officeDocument/2006/relationships/hyperlink" Target="https://ref.ly/Matt25:43-Matt25:46" TargetMode="External"/><Relationship Id="rId10766" Type="http://schemas.openxmlformats.org/officeDocument/2006/relationships/hyperlink" Target="https://ref.ly/2Kgs18:17" TargetMode="External"/><Relationship Id="rId10767" Type="http://schemas.openxmlformats.org/officeDocument/2006/relationships/hyperlink" Target="https://ref.ly/Deut4:19" TargetMode="External"/><Relationship Id="rId10768" Type="http://schemas.openxmlformats.org/officeDocument/2006/relationships/hyperlink" Target="https://ref.ly/Judg5:20" TargetMode="External"/><Relationship Id="rId10769" Type="http://schemas.openxmlformats.org/officeDocument/2006/relationships/hyperlink" Target="https://ref.ly/Jer19:13" TargetMode="External"/><Relationship Id="rId10770" Type="http://schemas.openxmlformats.org/officeDocument/2006/relationships/hyperlink" Target="https://ref.ly/Deut17:3" TargetMode="External"/><Relationship Id="rId10771" Type="http://schemas.openxmlformats.org/officeDocument/2006/relationships/hyperlink" Target="https://ref.ly/2Kgs21:3-2Kgs21:5" TargetMode="External"/><Relationship Id="rId10772" Type="http://schemas.openxmlformats.org/officeDocument/2006/relationships/hyperlink" Target="https://ref.ly/2Chr33:3-2Chr33:5" TargetMode="External"/><Relationship Id="rId10773" Type="http://schemas.openxmlformats.org/officeDocument/2006/relationships/hyperlink" Target="https://ref.ly/Jer8:2" TargetMode="External"/><Relationship Id="rId10774" Type="http://schemas.openxmlformats.org/officeDocument/2006/relationships/hyperlink" Target="https://ref.ly/Zeph1:5" TargetMode="External"/><Relationship Id="rId10775" Type="http://schemas.openxmlformats.org/officeDocument/2006/relationships/hyperlink" Target="https://ref.ly/Gen2:1" TargetMode="External"/><Relationship Id="rId10776" Type="http://schemas.openxmlformats.org/officeDocument/2006/relationships/hyperlink" Target="https://ref.ly/Neh9:6" TargetMode="External"/><Relationship Id="rId10777" Type="http://schemas.openxmlformats.org/officeDocument/2006/relationships/hyperlink" Target="https://ref.ly/Ps33:6" TargetMode="External"/><Relationship Id="rId10778" Type="http://schemas.openxmlformats.org/officeDocument/2006/relationships/hyperlink" Target="https://ref.ly/Ps103:21" TargetMode="External"/><Relationship Id="rId10779" Type="http://schemas.openxmlformats.org/officeDocument/2006/relationships/hyperlink" Target="https://ref.ly/Isa40:26" TargetMode="External"/><Relationship Id="rId10780" Type="http://schemas.openxmlformats.org/officeDocument/2006/relationships/hyperlink" Target="https://ref.ly/Isa45:12" TargetMode="External"/><Relationship Id="rId10781" Type="http://schemas.openxmlformats.org/officeDocument/2006/relationships/hyperlink" Target="https://ref.ly/Jer5:14" TargetMode="External"/><Relationship Id="rId10782" Type="http://schemas.openxmlformats.org/officeDocument/2006/relationships/hyperlink" Target="https://ref.ly/Jer38:17" TargetMode="External"/><Relationship Id="rId10783" Type="http://schemas.openxmlformats.org/officeDocument/2006/relationships/hyperlink" Target="https://ref.ly/Jer44:7" TargetMode="External"/><Relationship Id="rId10784" Type="http://schemas.openxmlformats.org/officeDocument/2006/relationships/hyperlink" Target="https://ref.ly/Hos12:5" TargetMode="External"/><Relationship Id="rId10785" Type="http://schemas.openxmlformats.org/officeDocument/2006/relationships/hyperlink" Target="https://ref.ly/Ps82:1-Ps82:8" TargetMode="External"/><Relationship Id="rId10786" Type="http://schemas.openxmlformats.org/officeDocument/2006/relationships/hyperlink" Target="https://ref.ly/Gen28:12-Gen28:15" TargetMode="External"/><Relationship Id="rId10787" Type="http://schemas.openxmlformats.org/officeDocument/2006/relationships/hyperlink" Target="https://ref.ly/Luke2:13" TargetMode="External"/><Relationship Id="rId10788" Type="http://schemas.openxmlformats.org/officeDocument/2006/relationships/hyperlink" Target="https://ref.ly/Dan8:10-Dan8:11" TargetMode="External"/><Relationship Id="rId10789" Type="http://schemas.openxmlformats.org/officeDocument/2006/relationships/hyperlink" Target="https://ref.ly/Jas5:4" TargetMode="External"/><Relationship Id="rId10790" Type="http://schemas.openxmlformats.org/officeDocument/2006/relationships/hyperlink" Target="https://ref.ly/Num26:39" TargetMode="External"/><Relationship Id="rId10791" Type="http://schemas.openxmlformats.org/officeDocument/2006/relationships/hyperlink" Target="https://ref.ly/1Chr7:12,1Chr7:15" TargetMode="External"/><Relationship Id="rId10792" Type="http://schemas.openxmlformats.org/officeDocument/2006/relationships/hyperlink" Target="https://ref.ly/1Chr8:5" TargetMode="External"/><Relationship Id="rId10793" Type="http://schemas.openxmlformats.org/officeDocument/2006/relationships/hyperlink" Target="https://ref.ly/1Sam2:7" TargetMode="External"/><Relationship Id="rId10794" Type="http://schemas.openxmlformats.org/officeDocument/2006/relationships/hyperlink" Target="https://ref.ly/2Sam22:28" TargetMode="External"/><Relationship Id="rId10795" Type="http://schemas.openxmlformats.org/officeDocument/2006/relationships/hyperlink" Target="https://ref.ly/Jer9:23-Jer9:24" TargetMode="External"/><Relationship Id="rId10796" Type="http://schemas.openxmlformats.org/officeDocument/2006/relationships/hyperlink" Target="https://ref.ly/Exod23:6" TargetMode="External"/><Relationship Id="rId10797" Type="http://schemas.openxmlformats.org/officeDocument/2006/relationships/hyperlink" Target="https://ref.ly/Deut15:4" TargetMode="External"/><Relationship Id="rId10798" Type="http://schemas.openxmlformats.org/officeDocument/2006/relationships/hyperlink" Target="https://ref.ly/Ps22:26" TargetMode="External"/><Relationship Id="rId10799" Type="http://schemas.openxmlformats.org/officeDocument/2006/relationships/hyperlink" Target="https://ref.ly/Ps25:9" TargetMode="External"/><Relationship Id="rId10800" Type="http://schemas.openxmlformats.org/officeDocument/2006/relationships/hyperlink" Target="https://ref.ly/Ps147:6" TargetMode="External"/><Relationship Id="rId10801" Type="http://schemas.openxmlformats.org/officeDocument/2006/relationships/hyperlink" Target="https://ref.ly/Isa6:5" TargetMode="External"/><Relationship Id="rId10802" Type="http://schemas.openxmlformats.org/officeDocument/2006/relationships/hyperlink" Target="https://ref.ly/Matt21:4-Matt21:5" TargetMode="External"/><Relationship Id="rId10803" Type="http://schemas.openxmlformats.org/officeDocument/2006/relationships/hyperlink" Target="https://ref.ly/Phil2:5-Phil2:8" TargetMode="External"/><Relationship Id="rId10804" Type="http://schemas.openxmlformats.org/officeDocument/2006/relationships/hyperlink" Target="https://ref.ly/Luke14:11" TargetMode="External"/><Relationship Id="rId10805" Type="http://schemas.openxmlformats.org/officeDocument/2006/relationships/hyperlink" Target="https://ref.ly/Matt23:12" TargetMode="External"/><Relationship Id="rId10806" Type="http://schemas.openxmlformats.org/officeDocument/2006/relationships/hyperlink" Target="https://ref.ly/Luke22:27" TargetMode="External"/><Relationship Id="rId10807" Type="http://schemas.openxmlformats.org/officeDocument/2006/relationships/hyperlink" Target="https://ref.ly/John5:19" TargetMode="External"/><Relationship Id="rId10808" Type="http://schemas.openxmlformats.org/officeDocument/2006/relationships/hyperlink" Target="https://ref.ly/John6:38" TargetMode="External"/><Relationship Id="rId10809" Type="http://schemas.openxmlformats.org/officeDocument/2006/relationships/hyperlink" Target="https://ref.ly/John7:15" TargetMode="External"/><Relationship Id="rId10810" Type="http://schemas.openxmlformats.org/officeDocument/2006/relationships/hyperlink" Target="https://ref.ly/John14:10" TargetMode="External"/><Relationship Id="rId10811" Type="http://schemas.openxmlformats.org/officeDocument/2006/relationships/hyperlink" Target="https://ref.ly/John13:1-John13:20" TargetMode="External"/><Relationship Id="rId10812" Type="http://schemas.openxmlformats.org/officeDocument/2006/relationships/hyperlink" Target="https://ref.ly/Exod17:8-Exod17:13" TargetMode="External"/><Relationship Id="rId10813" Type="http://schemas.openxmlformats.org/officeDocument/2006/relationships/hyperlink" Target="https://ref.ly/Exod24:14" TargetMode="External"/><Relationship Id="rId10814" Type="http://schemas.openxmlformats.org/officeDocument/2006/relationships/hyperlink" Target="https://ref.ly/1Kgs4:8" TargetMode="External"/><Relationship Id="rId10815" Type="http://schemas.openxmlformats.org/officeDocument/2006/relationships/hyperlink" Target="https://ref.ly/1Chr2:19-1Chr2:20" TargetMode="External"/><Relationship Id="rId10816" Type="http://schemas.openxmlformats.org/officeDocument/2006/relationships/hyperlink" Target="https://ref.ly/Neh3:9" TargetMode="External"/><Relationship Id="rId10817" Type="http://schemas.openxmlformats.org/officeDocument/2006/relationships/hyperlink" Target="https://ref.ly/2Chr2:3,2Chr2:11-2Chr2:12" TargetMode="External"/><Relationship Id="rId10818" Type="http://schemas.openxmlformats.org/officeDocument/2006/relationships/hyperlink" Target="https://ref.ly/2Chr8:2,2Chr8:18" TargetMode="External"/><Relationship Id="rId10819" Type="http://schemas.openxmlformats.org/officeDocument/2006/relationships/hyperlink" Target="https://ref.ly/2Chr9:10,2Chr9:21" TargetMode="External"/><Relationship Id="rId10820" Type="http://schemas.openxmlformats.org/officeDocument/2006/relationships/hyperlink" Target="https://ref.ly/Gen36:34-Gen36:35" TargetMode="External"/><Relationship Id="rId10821" Type="http://schemas.openxmlformats.org/officeDocument/2006/relationships/hyperlink" Target="https://ref.ly/1Chr1:45-1Chr1:46" TargetMode="External"/><Relationship Id="rId10822" Type="http://schemas.openxmlformats.org/officeDocument/2006/relationships/hyperlink" Target="https://ref.ly/Num26:42" TargetMode="External"/><Relationship Id="rId10823" Type="http://schemas.openxmlformats.org/officeDocument/2006/relationships/hyperlink" Target="https://ref.ly/1Chr8:8-1Chr8:11" TargetMode="External"/><Relationship Id="rId10824" Type="http://schemas.openxmlformats.org/officeDocument/2006/relationships/hyperlink" Target="https://ref.ly/Num22:39" TargetMode="External"/><Relationship Id="rId10825" Type="http://schemas.openxmlformats.org/officeDocument/2006/relationships/hyperlink" Target="https://ref.ly/Acts13:51" TargetMode="External"/><Relationship Id="rId10826" Type="http://schemas.openxmlformats.org/officeDocument/2006/relationships/hyperlink" Target="https://ref.ly/Acts14:1-Acts14:7" TargetMode="External"/><Relationship Id="rId10827" Type="http://schemas.openxmlformats.org/officeDocument/2006/relationships/hyperlink" Target="https://ref.ly/Acts14:20-Acts14:23" TargetMode="External"/><Relationship Id="rId10828" Type="http://schemas.openxmlformats.org/officeDocument/2006/relationships/hyperlink" Target="https://ref.ly/1Kgs18:26-1Kgs18:29" TargetMode="External"/><Relationship Id="rId10829" Type="http://schemas.openxmlformats.org/officeDocument/2006/relationships/hyperlink" Target="https://ref.ly/Josh24:2" TargetMode="External"/><Relationship Id="rId10830" Type="http://schemas.openxmlformats.org/officeDocument/2006/relationships/hyperlink" Target="https://ref.ly/Exod32:1-Exod32:6" TargetMode="External"/><Relationship Id="rId10831" Type="http://schemas.openxmlformats.org/officeDocument/2006/relationships/hyperlink" Target="https://ref.ly/1Kgs11:40" TargetMode="External"/><Relationship Id="rId10832" Type="http://schemas.openxmlformats.org/officeDocument/2006/relationships/hyperlink" Target="https://ref.ly/2Kgs3:3" TargetMode="External"/><Relationship Id="rId10833" Type="http://schemas.openxmlformats.org/officeDocument/2006/relationships/hyperlink" Target="https://ref.ly/Gen31:34" TargetMode="External"/><Relationship Id="rId10834" Type="http://schemas.openxmlformats.org/officeDocument/2006/relationships/hyperlink" Target="https://ref.ly/1Sam19:11-1Sam19:16" TargetMode="External"/><Relationship Id="rId10835" Type="http://schemas.openxmlformats.org/officeDocument/2006/relationships/hyperlink" Target="https://ref.ly/Exod34:17" TargetMode="External"/><Relationship Id="rId10836" Type="http://schemas.openxmlformats.org/officeDocument/2006/relationships/hyperlink" Target="https://ref.ly/Lev26:1" TargetMode="External"/><Relationship Id="rId10837" Type="http://schemas.openxmlformats.org/officeDocument/2006/relationships/hyperlink" Target="https://ref.ly/Deut4:15-Deut4:19" TargetMode="External"/><Relationship Id="rId10838" Type="http://schemas.openxmlformats.org/officeDocument/2006/relationships/hyperlink" Target="https://ref.ly/Deut27:1-Deut27:5" TargetMode="External"/><Relationship Id="rId10839" Type="http://schemas.openxmlformats.org/officeDocument/2006/relationships/hyperlink" Target="https://ref.ly/Exod34:16" TargetMode="External"/><Relationship Id="rId10840" Type="http://schemas.openxmlformats.org/officeDocument/2006/relationships/hyperlink" Target="https://ref.ly/1Cor15:33" TargetMode="External"/><Relationship Id="rId10841" Type="http://schemas.openxmlformats.org/officeDocument/2006/relationships/hyperlink" Target="https://ref.ly/Judg17:1-Judg18:31" TargetMode="External"/><Relationship Id="rId10842" Type="http://schemas.openxmlformats.org/officeDocument/2006/relationships/hyperlink" Target="https://ref.ly/1Kgs15:12" TargetMode="External"/><Relationship Id="rId10843" Type="http://schemas.openxmlformats.org/officeDocument/2006/relationships/hyperlink" Target="https://ref.ly/1Kgs15:13" TargetMode="External"/><Relationship Id="rId10844" Type="http://schemas.openxmlformats.org/officeDocument/2006/relationships/hyperlink" Target="https://ref.ly/1Kgs21:26" TargetMode="External"/><Relationship Id="rId10845" Type="http://schemas.openxmlformats.org/officeDocument/2006/relationships/hyperlink" Target="https://ref.ly/Num21:9" TargetMode="External"/><Relationship Id="rId10846" Type="http://schemas.openxmlformats.org/officeDocument/2006/relationships/hyperlink" Target="https://ref.ly/Isa40:19-Isa40:20" TargetMode="External"/><Relationship Id="rId10847" Type="http://schemas.openxmlformats.org/officeDocument/2006/relationships/hyperlink" Target="https://ref.ly/Isa44:9-Isa44:17" TargetMode="External"/><Relationship Id="rId10848" Type="http://schemas.openxmlformats.org/officeDocument/2006/relationships/hyperlink" Target="https://ref.ly/Isa40:19" TargetMode="External"/><Relationship Id="rId10849" Type="http://schemas.openxmlformats.org/officeDocument/2006/relationships/hyperlink" Target="https://ref.ly/Isa44:10" TargetMode="External"/><Relationship Id="rId10850" Type="http://schemas.openxmlformats.org/officeDocument/2006/relationships/hyperlink" Target="https://ref.ly/Isa44:13-Isa44:17" TargetMode="External"/><Relationship Id="rId10851" Type="http://schemas.openxmlformats.org/officeDocument/2006/relationships/hyperlink" Target="https://ref.ly/Ps96:5" TargetMode="External"/><Relationship Id="rId10852" Type="http://schemas.openxmlformats.org/officeDocument/2006/relationships/hyperlink" Target="https://ref.ly/Ps97:7" TargetMode="External"/><Relationship Id="rId10853" Type="http://schemas.openxmlformats.org/officeDocument/2006/relationships/hyperlink" Target="https://ref.ly/Ps106:34-Ps106:39" TargetMode="External"/><Relationship Id="rId10854" Type="http://schemas.openxmlformats.org/officeDocument/2006/relationships/hyperlink" Target="https://ref.ly/Ps115:4-Ps115:8" TargetMode="External"/><Relationship Id="rId10855" Type="http://schemas.openxmlformats.org/officeDocument/2006/relationships/hyperlink" Target="https://ref.ly/Ps135:15-Ps135:18" TargetMode="External"/><Relationship Id="rId10856" Type="http://schemas.openxmlformats.org/officeDocument/2006/relationships/hyperlink" Target="https://ref.ly/1Cor5:10-1Cor5:11,1Cor5:6,1Cor5:10" TargetMode="External"/><Relationship Id="rId10857" Type="http://schemas.openxmlformats.org/officeDocument/2006/relationships/hyperlink" Target="https://ref.ly/1Cor10:14" TargetMode="External"/><Relationship Id="rId10858" Type="http://schemas.openxmlformats.org/officeDocument/2006/relationships/hyperlink" Target="https://ref.ly/1Cor10:19" TargetMode="External"/><Relationship Id="rId10859" Type="http://schemas.openxmlformats.org/officeDocument/2006/relationships/hyperlink" Target="https://ref.ly/1Cor12:2" TargetMode="External"/><Relationship Id="rId10860" Type="http://schemas.openxmlformats.org/officeDocument/2006/relationships/hyperlink" Target="https://ref.ly/1Cor8:1,1Cor8:4,1Cor8:7" TargetMode="External"/><Relationship Id="rId10861" Type="http://schemas.openxmlformats.org/officeDocument/2006/relationships/hyperlink" Target="https://ref.ly/1Cor10:19-1Cor10:21" TargetMode="External"/><Relationship Id="rId10862" Type="http://schemas.openxmlformats.org/officeDocument/2006/relationships/hyperlink" Target="https://ref.ly/1Cor10:25-1Cor10:29" TargetMode="External"/><Relationship Id="rId10863" Type="http://schemas.openxmlformats.org/officeDocument/2006/relationships/hyperlink" Target="https://ref.ly/Gal5:19-Gal5:20" TargetMode="External"/><Relationship Id="rId10864" Type="http://schemas.openxmlformats.org/officeDocument/2006/relationships/hyperlink" Target="https://ref.ly/1Macc4:15,1Macc4:22,1Macc4:61" TargetMode="External"/><Relationship Id="rId10865" Type="http://schemas.openxmlformats.org/officeDocument/2006/relationships/hyperlink" Target="https://ref.ly/1Macc5:65" TargetMode="External"/><Relationship Id="rId10866" Type="http://schemas.openxmlformats.org/officeDocument/2006/relationships/hyperlink" Target="https://ref.ly/Gen27:1-Gen27:45" TargetMode="External"/><Relationship Id="rId10867" Type="http://schemas.openxmlformats.org/officeDocument/2006/relationships/hyperlink" Target="https://ref.ly/Num13:7" TargetMode="External"/><Relationship Id="rId10868" Type="http://schemas.openxmlformats.org/officeDocument/2006/relationships/hyperlink" Target="https://ref.ly/2Sam23:36" TargetMode="External"/><Relationship Id="rId10869" Type="http://schemas.openxmlformats.org/officeDocument/2006/relationships/hyperlink" Target="https://ref.ly/1Chr11:38" TargetMode="External"/><Relationship Id="rId10870" Type="http://schemas.openxmlformats.org/officeDocument/2006/relationships/hyperlink" Target="https://ref.ly/1Chr3:22" TargetMode="External"/><Relationship Id="rId10871" Type="http://schemas.openxmlformats.org/officeDocument/2006/relationships/hyperlink" Target="https://ref.ly/Matt18:17" TargetMode="External"/><Relationship Id="rId10872" Type="http://schemas.openxmlformats.org/officeDocument/2006/relationships/hyperlink" Target="https://ref.ly/Acts9:31" TargetMode="External"/><Relationship Id="rId10873" Type="http://schemas.openxmlformats.org/officeDocument/2006/relationships/hyperlink" Target="https://ref.ly/Acts15:41" TargetMode="External"/><Relationship Id="rId10874" Type="http://schemas.openxmlformats.org/officeDocument/2006/relationships/hyperlink" Target="https://ref.ly/Acts16:5" TargetMode="External"/><Relationship Id="rId10875" Type="http://schemas.openxmlformats.org/officeDocument/2006/relationships/hyperlink" Target="https://ref.ly/Acts19:32,Acts19:39,Acts19:41" TargetMode="External"/><Relationship Id="rId10876" Type="http://schemas.openxmlformats.org/officeDocument/2006/relationships/hyperlink" Target="https://ref.ly/1Cor11:18" TargetMode="External"/><Relationship Id="rId10877" Type="http://schemas.openxmlformats.org/officeDocument/2006/relationships/hyperlink" Target="https://ref.ly/Acts5:11" TargetMode="External"/><Relationship Id="rId10878" Type="http://schemas.openxmlformats.org/officeDocument/2006/relationships/hyperlink" Target="https://ref.ly/1Cor4:17" TargetMode="External"/><Relationship Id="rId10879" Type="http://schemas.openxmlformats.org/officeDocument/2006/relationships/hyperlink" Target="https://ref.ly/Phil4:15" TargetMode="External"/><Relationship Id="rId10880" Type="http://schemas.openxmlformats.org/officeDocument/2006/relationships/hyperlink" Target="https://ref.ly/Acts8:1" TargetMode="External"/><Relationship Id="rId10881" Type="http://schemas.openxmlformats.org/officeDocument/2006/relationships/hyperlink" Target="https://ref.ly/1Cor1:2" TargetMode="External"/><Relationship Id="rId10882" Type="http://schemas.openxmlformats.org/officeDocument/2006/relationships/hyperlink" Target="https://ref.ly/Eph2:11-Eph2:22" TargetMode="External"/><Relationship Id="rId10883" Type="http://schemas.openxmlformats.org/officeDocument/2006/relationships/hyperlink" Target="https://ref.ly/Isa49:6" TargetMode="External"/><Relationship Id="rId10884" Type="http://schemas.openxmlformats.org/officeDocument/2006/relationships/hyperlink" Target="https://ref.ly/Rom11:1-Rom11:5" TargetMode="External"/><Relationship Id="rId10885" Type="http://schemas.openxmlformats.org/officeDocument/2006/relationships/hyperlink" Target="https://ref.ly/Gal6:15-Gal6:16" TargetMode="External"/><Relationship Id="rId10886" Type="http://schemas.openxmlformats.org/officeDocument/2006/relationships/hyperlink" Target="https://ref.ly/Rom12:5" TargetMode="External"/><Relationship Id="rId10887" Type="http://schemas.openxmlformats.org/officeDocument/2006/relationships/hyperlink" Target="https://ref.ly/Eph4:12" TargetMode="External"/><Relationship Id="rId10888" Type="http://schemas.openxmlformats.org/officeDocument/2006/relationships/hyperlink" Target="https://ref.ly/Acts9:3-Acts9:7" TargetMode="External"/><Relationship Id="rId10889" Type="http://schemas.openxmlformats.org/officeDocument/2006/relationships/hyperlink" Target="https://ref.ly/Acts22:6-Acts22:11" TargetMode="External"/><Relationship Id="rId10890" Type="http://schemas.openxmlformats.org/officeDocument/2006/relationships/hyperlink" Target="https://ref.ly/Isa42:1-Isa53:12" TargetMode="External"/><Relationship Id="rId10891" Type="http://schemas.openxmlformats.org/officeDocument/2006/relationships/hyperlink" Target="https://ref.ly/Isa49:1-Isa49:6" TargetMode="External"/><Relationship Id="rId10892" Type="http://schemas.openxmlformats.org/officeDocument/2006/relationships/hyperlink" Target="https://ref.ly/1Cor15:45-1Cor15:49" TargetMode="External"/><Relationship Id="rId10893" Type="http://schemas.openxmlformats.org/officeDocument/2006/relationships/hyperlink" Target="https://ref.ly/Josh15:29" TargetMode="External"/><Relationship Id="rId10894" Type="http://schemas.openxmlformats.org/officeDocument/2006/relationships/hyperlink" Target="https://ref.ly/Num21:11" TargetMode="External"/><Relationship Id="rId10895" Type="http://schemas.openxmlformats.org/officeDocument/2006/relationships/hyperlink" Target="https://ref.ly/Num33:44" TargetMode="External"/><Relationship Id="rId10896" Type="http://schemas.openxmlformats.org/officeDocument/2006/relationships/hyperlink" Target="https://ref.ly/Num33:45" TargetMode="External"/><Relationship Id="rId10897" Type="http://schemas.openxmlformats.org/officeDocument/2006/relationships/hyperlink" Target="https://ref.ly/Rom15:19" TargetMode="External"/><Relationship Id="rId10898" Type="http://schemas.openxmlformats.org/officeDocument/2006/relationships/hyperlink" Target="https://ref.ly/Acts20:1-Acts20:2" TargetMode="External"/><Relationship Id="rId10899" Type="http://schemas.openxmlformats.org/officeDocument/2006/relationships/hyperlink" Target="https://ref.ly/Rom15:28" TargetMode="External"/><Relationship Id="rId10900" Type="http://schemas.openxmlformats.org/officeDocument/2006/relationships/hyperlink" Target="https://ref.ly/Gen5:1" TargetMode="External"/><Relationship Id="rId10901" Type="http://schemas.openxmlformats.org/officeDocument/2006/relationships/hyperlink" Target="https://ref.ly/1Cor11:7" TargetMode="External"/><Relationship Id="rId10902" Type="http://schemas.openxmlformats.org/officeDocument/2006/relationships/hyperlink" Target="https://ref.ly/Jas3:9" TargetMode="External"/><Relationship Id="rId10903" Type="http://schemas.openxmlformats.org/officeDocument/2006/relationships/hyperlink" Target="https://ref.ly/Acts17:28-Acts17:29" TargetMode="External"/><Relationship Id="rId10904" Type="http://schemas.openxmlformats.org/officeDocument/2006/relationships/hyperlink" Target="https://ref.ly/Col1:15" TargetMode="External"/><Relationship Id="rId10905" Type="http://schemas.openxmlformats.org/officeDocument/2006/relationships/hyperlink" Target="https://ref.ly/Gal4:19" TargetMode="External"/><Relationship Id="rId10906" Type="http://schemas.openxmlformats.org/officeDocument/2006/relationships/hyperlink" Target="https://ref.ly/2Chr31:14" TargetMode="External"/><Relationship Id="rId10907" Type="http://schemas.openxmlformats.org/officeDocument/2006/relationships/hyperlink" Target="https://ref.ly/Jas5:6" TargetMode="External"/><Relationship Id="rId10908" Type="http://schemas.openxmlformats.org/officeDocument/2006/relationships/hyperlink" Target="https://ref.ly/1John3:5" TargetMode="External"/><Relationship Id="rId10909" Type="http://schemas.openxmlformats.org/officeDocument/2006/relationships/hyperlink" Target="https://ref.ly/John8:46" TargetMode="External"/><Relationship Id="rId10910" Type="http://schemas.openxmlformats.org/officeDocument/2006/relationships/hyperlink" Target="https://ref.ly/Rom10:4" TargetMode="External"/><Relationship Id="rId10911" Type="http://schemas.openxmlformats.org/officeDocument/2006/relationships/hyperlink" Target="https://ref.ly/Matt27:19,Matt27:24" TargetMode="External"/><Relationship Id="rId10912" Type="http://schemas.openxmlformats.org/officeDocument/2006/relationships/hyperlink" Target="https://ref.ly/Matt27:4" TargetMode="External"/><Relationship Id="rId10913" Type="http://schemas.openxmlformats.org/officeDocument/2006/relationships/hyperlink" Target="https://ref.ly/Luke22:28,Luke22:39-Luke22:46" TargetMode="External"/><Relationship Id="rId10914" Type="http://schemas.openxmlformats.org/officeDocument/2006/relationships/hyperlink" Target="https://ref.ly/Heb4:15-Heb4:16" TargetMode="External"/><Relationship Id="rId10915" Type="http://schemas.openxmlformats.org/officeDocument/2006/relationships/hyperlink" Target="https://ref.ly/Gen49:15" TargetMode="External"/><Relationship Id="rId10916" Type="http://schemas.openxmlformats.org/officeDocument/2006/relationships/hyperlink" Target="https://ref.ly/Num31:28" TargetMode="External"/><Relationship Id="rId10917" Type="http://schemas.openxmlformats.org/officeDocument/2006/relationships/hyperlink" Target="https://ref.ly/Deut16:10" TargetMode="External"/><Relationship Id="rId10918" Type="http://schemas.openxmlformats.org/officeDocument/2006/relationships/hyperlink" Target="https://ref.ly/Gen41:25-Gen42:5" TargetMode="External"/><Relationship Id="rId10919" Type="http://schemas.openxmlformats.org/officeDocument/2006/relationships/hyperlink" Target="https://ref.ly/2Sam8:6-2Sam8:14" TargetMode="External"/><Relationship Id="rId10920" Type="http://schemas.openxmlformats.org/officeDocument/2006/relationships/hyperlink" Target="https://ref.ly/1Kgs4:7" TargetMode="External"/><Relationship Id="rId10921" Type="http://schemas.openxmlformats.org/officeDocument/2006/relationships/hyperlink" Target="https://ref.ly/1Kgs5:13" TargetMode="External"/><Relationship Id="rId10922" Type="http://schemas.openxmlformats.org/officeDocument/2006/relationships/hyperlink" Target="https://ref.ly/2Chr8:7-2Chr8:8" TargetMode="External"/><Relationship Id="rId10923" Type="http://schemas.openxmlformats.org/officeDocument/2006/relationships/hyperlink" Target="https://ref.ly/2Chr17:5" TargetMode="External"/><Relationship Id="rId10924" Type="http://schemas.openxmlformats.org/officeDocument/2006/relationships/hyperlink" Target="https://ref.ly/2Chr17:11-2Chr17:12" TargetMode="External"/><Relationship Id="rId10925" Type="http://schemas.openxmlformats.org/officeDocument/2006/relationships/hyperlink" Target="https://ref.ly/2Kgs23:33" TargetMode="External"/><Relationship Id="rId10926" Type="http://schemas.openxmlformats.org/officeDocument/2006/relationships/hyperlink" Target="https://ref.ly/2Kgs24:13-2Kgs24:16" TargetMode="External"/><Relationship Id="rId10927" Type="http://schemas.openxmlformats.org/officeDocument/2006/relationships/hyperlink" Target="https://ref.ly/Esth10:1" TargetMode="External"/><Relationship Id="rId10928" Type="http://schemas.openxmlformats.org/officeDocument/2006/relationships/hyperlink" Target="https://ref.ly/Ezra7:24" TargetMode="External"/><Relationship Id="rId10929" Type="http://schemas.openxmlformats.org/officeDocument/2006/relationships/hyperlink" Target="https://ref.ly/Neh5:14-Neh5:15" TargetMode="External"/><Relationship Id="rId10930" Type="http://schemas.openxmlformats.org/officeDocument/2006/relationships/hyperlink" Target="https://ref.ly/Ezra6:7-Ezra6:10" TargetMode="External"/><Relationship Id="rId10931" Type="http://schemas.openxmlformats.org/officeDocument/2006/relationships/hyperlink" Target="https://ref.ly/Matt17:25" TargetMode="External"/><Relationship Id="rId10932" Type="http://schemas.openxmlformats.org/officeDocument/2006/relationships/hyperlink" Target="https://ref.ly/Matt22:17" TargetMode="External"/><Relationship Id="rId10933" Type="http://schemas.openxmlformats.org/officeDocument/2006/relationships/hyperlink" Target="https://ref.ly/Mark12:14-Mark12:15" TargetMode="External"/><Relationship Id="rId10934" Type="http://schemas.openxmlformats.org/officeDocument/2006/relationships/hyperlink" Target="https://ref.ly/Luke20:22" TargetMode="External"/><Relationship Id="rId10935" Type="http://schemas.openxmlformats.org/officeDocument/2006/relationships/hyperlink" Target="https://ref.ly/Matt22:21" TargetMode="External"/><Relationship Id="rId10936" Type="http://schemas.openxmlformats.org/officeDocument/2006/relationships/hyperlink" Target="https://ref.ly/Mark12:17" TargetMode="External"/><Relationship Id="rId10937" Type="http://schemas.openxmlformats.org/officeDocument/2006/relationships/hyperlink" Target="https://ref.ly/Luke20:25" TargetMode="External"/><Relationship Id="rId10938" Type="http://schemas.openxmlformats.org/officeDocument/2006/relationships/hyperlink" Target="https://ref.ly/Luke23:2" TargetMode="External"/><Relationship Id="rId10939" Type="http://schemas.openxmlformats.org/officeDocument/2006/relationships/hyperlink" Target="https://ref.ly/Rom13:5-Rom13:7" TargetMode="External"/><Relationship Id="rId10940" Type="http://schemas.openxmlformats.org/officeDocument/2006/relationships/hyperlink" Target="https://ref.ly/Ps32:2" TargetMode="External"/><Relationship Id="rId10941" Type="http://schemas.openxmlformats.org/officeDocument/2006/relationships/hyperlink" Target="https://ref.ly/1Sam22:15" TargetMode="External"/><Relationship Id="rId10942" Type="http://schemas.openxmlformats.org/officeDocument/2006/relationships/hyperlink" Target="https://ref.ly/Ps106:30-Ps106:31" TargetMode="External"/><Relationship Id="rId10943" Type="http://schemas.openxmlformats.org/officeDocument/2006/relationships/hyperlink" Target="https://ref.ly/Lev17:3-Lev17:4" TargetMode="External"/><Relationship Id="rId10944" Type="http://schemas.openxmlformats.org/officeDocument/2006/relationships/hyperlink" Target="https://ref.ly/Ps130:3" TargetMode="External"/><Relationship Id="rId10945" Type="http://schemas.openxmlformats.org/officeDocument/2006/relationships/hyperlink" Target="https://ref.ly/Isa64:6" TargetMode="External"/><Relationship Id="rId10946" Type="http://schemas.openxmlformats.org/officeDocument/2006/relationships/hyperlink" Target="https://ref.ly/Rom3:10" TargetMode="External"/><Relationship Id="rId10947" Type="http://schemas.openxmlformats.org/officeDocument/2006/relationships/hyperlink" Target="https://ref.ly/Isa54:17" TargetMode="External"/><Relationship Id="rId10948" Type="http://schemas.openxmlformats.org/officeDocument/2006/relationships/hyperlink" Target="https://ref.ly/Hos10:12" TargetMode="External"/><Relationship Id="rId10949" Type="http://schemas.openxmlformats.org/officeDocument/2006/relationships/hyperlink" Target="https://ref.ly/Rom3:21-Rom5:21" TargetMode="External"/><Relationship Id="rId10950" Type="http://schemas.openxmlformats.org/officeDocument/2006/relationships/hyperlink" Target="https://ref.ly/Rom4:6" TargetMode="External"/><Relationship Id="rId10951" Type="http://schemas.openxmlformats.org/officeDocument/2006/relationships/hyperlink" Target="https://ref.ly/Rom5:18" TargetMode="External"/><Relationship Id="rId10952" Type="http://schemas.openxmlformats.org/officeDocument/2006/relationships/hyperlink" Target="https://ref.ly/Num16:39" TargetMode="External"/><Relationship Id="rId10953" Type="http://schemas.openxmlformats.org/officeDocument/2006/relationships/hyperlink" Target="https://ref.ly/Rev8:3-Rev8:5" TargetMode="External"/><Relationship Id="rId10954" Type="http://schemas.openxmlformats.org/officeDocument/2006/relationships/hyperlink" Target="https://ref.ly/Song3:6" TargetMode="External"/><Relationship Id="rId10955" Type="http://schemas.openxmlformats.org/officeDocument/2006/relationships/hyperlink" Target="https://ref.ly/Song4:6" TargetMode="External"/><Relationship Id="rId10956" Type="http://schemas.openxmlformats.org/officeDocument/2006/relationships/hyperlink" Target="https://ref.ly/Matt2:11" TargetMode="External"/><Relationship Id="rId10957" Type="http://schemas.openxmlformats.org/officeDocument/2006/relationships/hyperlink" Target="https://ref.ly/Jer6:20" TargetMode="External"/><Relationship Id="rId10958" Type="http://schemas.openxmlformats.org/officeDocument/2006/relationships/hyperlink" Target="https://ref.ly/Sir50:8" TargetMode="External"/><Relationship Id="rId10959" Type="http://schemas.openxmlformats.org/officeDocument/2006/relationships/hyperlink" Target="https://ref.ly/Lev24:7" TargetMode="External"/><Relationship Id="rId10960" Type="http://schemas.openxmlformats.org/officeDocument/2006/relationships/hyperlink" Target="https://ref.ly/Lev2:1-Lev2:2,Lev2:14-Lev2:16" TargetMode="External"/><Relationship Id="rId10961" Type="http://schemas.openxmlformats.org/officeDocument/2006/relationships/hyperlink" Target="https://ref.ly/Lev2:1-Lev2:2" TargetMode="External"/><Relationship Id="rId10962" Type="http://schemas.openxmlformats.org/officeDocument/2006/relationships/hyperlink" Target="https://ref.ly/Lev6:15" TargetMode="External"/><Relationship Id="rId10963" Type="http://schemas.openxmlformats.org/officeDocument/2006/relationships/hyperlink" Target="https://ref.ly/Neh13:5,Neh13:9" TargetMode="External"/><Relationship Id="rId10964" Type="http://schemas.openxmlformats.org/officeDocument/2006/relationships/hyperlink" Target="https://ref.ly/2Kgs20:13" TargetMode="External"/><Relationship Id="rId10965" Type="http://schemas.openxmlformats.org/officeDocument/2006/relationships/hyperlink" Target="https://ref.ly/Song1:13" TargetMode="External"/><Relationship Id="rId10966" Type="http://schemas.openxmlformats.org/officeDocument/2006/relationships/hyperlink" Target="https://ref.ly/Song1:12" TargetMode="External"/><Relationship Id="rId10967" Type="http://schemas.openxmlformats.org/officeDocument/2006/relationships/hyperlink" Target="https://ref.ly/Song4:10-Song4:14" TargetMode="External"/><Relationship Id="rId10968" Type="http://schemas.openxmlformats.org/officeDocument/2006/relationships/hyperlink" Target="https://ref.ly/Exod30:31" TargetMode="External"/><Relationship Id="rId10969" Type="http://schemas.openxmlformats.org/officeDocument/2006/relationships/hyperlink" Target="https://ref.ly/Exod30:34-Exod30:37" TargetMode="External"/><Relationship Id="rId10970" Type="http://schemas.openxmlformats.org/officeDocument/2006/relationships/hyperlink" Target="https://ref.ly/Num7:14-Num7:86" TargetMode="External"/><Relationship Id="rId10971" Type="http://schemas.openxmlformats.org/officeDocument/2006/relationships/hyperlink" Target="https://ref.ly/Jer17:26" TargetMode="External"/><Relationship Id="rId10972" Type="http://schemas.openxmlformats.org/officeDocument/2006/relationships/hyperlink" Target="https://ref.ly/Exod30:26-Exod30:29" TargetMode="External"/><Relationship Id="rId10973" Type="http://schemas.openxmlformats.org/officeDocument/2006/relationships/hyperlink" Target="https://ref.ly/Num16:46-Num16:47" TargetMode="External"/><Relationship Id="rId10974" Type="http://schemas.openxmlformats.org/officeDocument/2006/relationships/hyperlink" Target="https://ref.ly/Lev16:12-Lev16:13" TargetMode="External"/><Relationship Id="rId10975" Type="http://schemas.openxmlformats.org/officeDocument/2006/relationships/hyperlink" Target="https://ref.ly/Lev2:1,Lev2:15-Lev2:16" TargetMode="External"/><Relationship Id="rId10976" Type="http://schemas.openxmlformats.org/officeDocument/2006/relationships/hyperlink" Target="https://ref.ly/Lev4:7" TargetMode="External"/><Relationship Id="rId10977" Type="http://schemas.openxmlformats.org/officeDocument/2006/relationships/hyperlink" Target="https://ref.ly/Exod30:9" TargetMode="External"/><Relationship Id="rId10978" Type="http://schemas.openxmlformats.org/officeDocument/2006/relationships/hyperlink" Target="https://ref.ly/Exod30:7-Exod30:8" TargetMode="External"/><Relationship Id="rId10979" Type="http://schemas.openxmlformats.org/officeDocument/2006/relationships/hyperlink" Target="https://ref.ly/Lev10:1-Lev10:2" TargetMode="External"/><Relationship Id="rId10980" Type="http://schemas.openxmlformats.org/officeDocument/2006/relationships/hyperlink" Target="https://ref.ly/Num16:6-Num16:50" TargetMode="External"/><Relationship Id="rId10981" Type="http://schemas.openxmlformats.org/officeDocument/2006/relationships/hyperlink" Target="https://ref.ly/1Kgs22:43" TargetMode="External"/><Relationship Id="rId10982" Type="http://schemas.openxmlformats.org/officeDocument/2006/relationships/hyperlink" Target="https://ref.ly/Isa1:13" TargetMode="External"/><Relationship Id="rId10983" Type="http://schemas.openxmlformats.org/officeDocument/2006/relationships/hyperlink" Target="https://ref.ly/Mal1:11" TargetMode="External"/><Relationship Id="rId10984" Type="http://schemas.openxmlformats.org/officeDocument/2006/relationships/hyperlink" Target="https://ref.ly/Ps141:2" TargetMode="External"/><Relationship Id="rId10985" Type="http://schemas.openxmlformats.org/officeDocument/2006/relationships/hyperlink" Target="https://ref.ly/Luke1:10" TargetMode="External"/><Relationship Id="rId10986" Type="http://schemas.openxmlformats.org/officeDocument/2006/relationships/hyperlink" Target="https://ref.ly/Rev5:8" TargetMode="External"/><Relationship Id="rId10987" Type="http://schemas.openxmlformats.org/officeDocument/2006/relationships/hyperlink" Target="https://ref.ly/Rev8:3-Rev8:4" TargetMode="External"/><Relationship Id="rId10988" Type="http://schemas.openxmlformats.org/officeDocument/2006/relationships/hyperlink" Target="https://ref.ly/Exod33:9-Exod33:10" TargetMode="External"/><Relationship Id="rId10989" Type="http://schemas.openxmlformats.org/officeDocument/2006/relationships/hyperlink" Target="https://ref.ly/Num11:25" TargetMode="External"/><Relationship Id="rId10990" Type="http://schemas.openxmlformats.org/officeDocument/2006/relationships/hyperlink" Target="https://ref.ly/Isa6:1-Isa6:7" TargetMode="External"/><Relationship Id="rId10991" Type="http://schemas.openxmlformats.org/officeDocument/2006/relationships/hyperlink" Target="https://ref.ly/2Cor2:14-2Cor2:15" TargetMode="External"/><Relationship Id="rId10992" Type="http://schemas.openxmlformats.org/officeDocument/2006/relationships/hyperlink" Target="https://ref.ly/Lev20:1-Lev20:27" TargetMode="External"/><Relationship Id="rId10993" Type="http://schemas.openxmlformats.org/officeDocument/2006/relationships/hyperlink" Target="https://ref.ly/Gen19:30-Gen19:38" TargetMode="External"/><Relationship Id="rId10994" Type="http://schemas.openxmlformats.org/officeDocument/2006/relationships/hyperlink" Target="https://ref.ly/2Sam13:1-2Sam13:22" TargetMode="External"/><Relationship Id="rId10995" Type="http://schemas.openxmlformats.org/officeDocument/2006/relationships/hyperlink" Target="https://ref.ly/1Cor5:1-1Cor5:5" TargetMode="External"/><Relationship Id="rId10996" Type="http://schemas.openxmlformats.org/officeDocument/2006/relationships/hyperlink" Target="https://ref.ly/Exod12:48" TargetMode="External"/><Relationship Id="rId10997" Type="http://schemas.openxmlformats.org/officeDocument/2006/relationships/hyperlink" Target="https://ref.ly/Lev12:3" TargetMode="External"/><Relationship Id="rId10998" Type="http://schemas.openxmlformats.org/officeDocument/2006/relationships/hyperlink" Target="https://ref.ly/Rom2:25-Rom2:27" TargetMode="External"/><Relationship Id="rId10999" Type="http://schemas.openxmlformats.org/officeDocument/2006/relationships/hyperlink" Target="https://ref.ly/Col2:8-Col2:15" TargetMode="External"/><Relationship Id="rId11000" Type="http://schemas.openxmlformats.org/officeDocument/2006/relationships/hyperlink" Target="https://ref.ly/Gen2:11" TargetMode="External"/><Relationship Id="rId11001" Type="http://schemas.openxmlformats.org/officeDocument/2006/relationships/hyperlink" Target="https://ref.ly/1Kgs10:11" TargetMode="External"/><Relationship Id="rId11002" Type="http://schemas.openxmlformats.org/officeDocument/2006/relationships/hyperlink" Target="https://ref.ly/2Chr2:8" TargetMode="External"/><Relationship Id="rId11003" Type="http://schemas.openxmlformats.org/officeDocument/2006/relationships/hyperlink" Target="https://ref.ly/Ezek27:15" TargetMode="External"/><Relationship Id="rId11004" Type="http://schemas.openxmlformats.org/officeDocument/2006/relationships/hyperlink" Target="https://ref.ly/1Macc6:37" TargetMode="External"/><Relationship Id="rId11005" Type="http://schemas.openxmlformats.org/officeDocument/2006/relationships/hyperlink" Target="https://ref.ly/1Macc8:8" TargetMode="External"/><Relationship Id="rId11006" Type="http://schemas.openxmlformats.org/officeDocument/2006/relationships/hyperlink" Target="https://ref.ly/2Thess1:9" TargetMode="External"/><Relationship Id="rId11007" Type="http://schemas.openxmlformats.org/officeDocument/2006/relationships/hyperlink" Target="https://ref.ly/Rev14:10-Rev14:11" TargetMode="External"/><Relationship Id="rId11008" Type="http://schemas.openxmlformats.org/officeDocument/2006/relationships/hyperlink" Target="https://ref.ly/Gen3:17-Gen3:19" TargetMode="External"/><Relationship Id="rId11009" Type="http://schemas.openxmlformats.org/officeDocument/2006/relationships/hyperlink" Target="https://ref.ly/Gen4:13" TargetMode="External"/><Relationship Id="rId11010" Type="http://schemas.openxmlformats.org/officeDocument/2006/relationships/hyperlink" Target="https://ref.ly/Lev26:27-Lev26:33" TargetMode="External"/><Relationship Id="rId11011" Type="http://schemas.openxmlformats.org/officeDocument/2006/relationships/hyperlink" Target="https://ref.ly/Ps149:7" TargetMode="External"/><Relationship Id="rId11012" Type="http://schemas.openxmlformats.org/officeDocument/2006/relationships/hyperlink" Target="https://ref.ly/Isa3:11" TargetMode="External"/><Relationship Id="rId11013" Type="http://schemas.openxmlformats.org/officeDocument/2006/relationships/hyperlink" Target="https://ref.ly/Ezek14:10" TargetMode="External"/><Relationship Id="rId11014" Type="http://schemas.openxmlformats.org/officeDocument/2006/relationships/hyperlink" Target="https://ref.ly/Amos1:2-Amos2:16" TargetMode="External"/><Relationship Id="rId11015" Type="http://schemas.openxmlformats.org/officeDocument/2006/relationships/hyperlink" Target="https://ref.ly/Zech14:19" TargetMode="External"/><Relationship Id="rId11016" Type="http://schemas.openxmlformats.org/officeDocument/2006/relationships/hyperlink" Target="https://ref.ly/Luke16:23-Luke16:24" TargetMode="External"/><Relationship Id="rId11017" Type="http://schemas.openxmlformats.org/officeDocument/2006/relationships/hyperlink" Target="https://ref.ly/Rom2:5-Rom2:12" TargetMode="External"/><Relationship Id="rId11018" Type="http://schemas.openxmlformats.org/officeDocument/2006/relationships/hyperlink" Target="https://ref.ly/Gal6:7-Gal6:8" TargetMode="External"/><Relationship Id="rId11019" Type="http://schemas.openxmlformats.org/officeDocument/2006/relationships/hyperlink" Target="https://ref.ly/Heb10:29-Heb10:31" TargetMode="External"/><Relationship Id="rId11020" Type="http://schemas.openxmlformats.org/officeDocument/2006/relationships/hyperlink" Target="https://ref.ly/Job7:9" TargetMode="External"/><Relationship Id="rId11021" Type="http://schemas.openxmlformats.org/officeDocument/2006/relationships/hyperlink" Target="https://ref.ly/Ps6:5" TargetMode="External"/><Relationship Id="rId11022" Type="http://schemas.openxmlformats.org/officeDocument/2006/relationships/hyperlink" Target="https://ref.ly/Ps55:15" TargetMode="External"/><Relationship Id="rId11023" Type="http://schemas.openxmlformats.org/officeDocument/2006/relationships/hyperlink" Target="https://ref.ly/Prov9:18" TargetMode="External"/><Relationship Id="rId11024" Type="http://schemas.openxmlformats.org/officeDocument/2006/relationships/hyperlink" Target="https://ref.ly/Eccl9:10" TargetMode="External"/><Relationship Id="rId11025" Type="http://schemas.openxmlformats.org/officeDocument/2006/relationships/hyperlink" Target="https://ref.ly/Isa38:10-Isa38:12" TargetMode="External"/><Relationship Id="rId11026" Type="http://schemas.openxmlformats.org/officeDocument/2006/relationships/hyperlink" Target="https://ref.ly/Job10:20-Job10:22" TargetMode="External"/><Relationship Id="rId11027" Type="http://schemas.openxmlformats.org/officeDocument/2006/relationships/hyperlink" Target="https://ref.ly/Ps88:3-Ps88:6" TargetMode="External"/><Relationship Id="rId11028" Type="http://schemas.openxmlformats.org/officeDocument/2006/relationships/hyperlink" Target="https://ref.ly/Ps138:8" TargetMode="External"/><Relationship Id="rId11029" Type="http://schemas.openxmlformats.org/officeDocument/2006/relationships/hyperlink" Target="https://ref.ly/Amos9:2" TargetMode="External"/><Relationship Id="rId11030" Type="http://schemas.openxmlformats.org/officeDocument/2006/relationships/hyperlink" Target="https://ref.ly/Job3:17" TargetMode="External"/><Relationship Id="rId11031" Type="http://schemas.openxmlformats.org/officeDocument/2006/relationships/hyperlink" Target="https://ref.ly/Job14:13-Job14:15" TargetMode="External"/><Relationship Id="rId11032" Type="http://schemas.openxmlformats.org/officeDocument/2006/relationships/hyperlink" Target="https://ref.ly/Job19:25-Job19:27" TargetMode="External"/><Relationship Id="rId11033" Type="http://schemas.openxmlformats.org/officeDocument/2006/relationships/hyperlink" Target="https://ref.ly/Isa14:9-Isa14:10" TargetMode="External"/><Relationship Id="rId11034" Type="http://schemas.openxmlformats.org/officeDocument/2006/relationships/hyperlink" Target="https://ref.ly/Ezek32:21" TargetMode="External"/><Relationship Id="rId11035" Type="http://schemas.openxmlformats.org/officeDocument/2006/relationships/hyperlink" Target="https://ref.ly/Ps9:17" TargetMode="External"/><Relationship Id="rId11036" Type="http://schemas.openxmlformats.org/officeDocument/2006/relationships/hyperlink" Target="https://ref.ly/Deut32:22" TargetMode="External"/><Relationship Id="rId11037" Type="http://schemas.openxmlformats.org/officeDocument/2006/relationships/hyperlink" Target="https://ref.ly/Isa38:18" TargetMode="External"/><Relationship Id="rId11038" Type="http://schemas.openxmlformats.org/officeDocument/2006/relationships/hyperlink" Target="https://ref.ly/Jas3:6" TargetMode="External"/><Relationship Id="rId11039" Type="http://schemas.openxmlformats.org/officeDocument/2006/relationships/hyperlink" Target="https://ref.ly/2Kgs23:10-2Kgs23:14" TargetMode="External"/><Relationship Id="rId11040" Type="http://schemas.openxmlformats.org/officeDocument/2006/relationships/hyperlink" Target="https://ref.ly/Jer7:31-Jer7:34" TargetMode="External"/><Relationship Id="rId11041" Type="http://schemas.openxmlformats.org/officeDocument/2006/relationships/hyperlink" Target="https://ref.ly/Mark3:29" TargetMode="External"/><Relationship Id="rId11042" Type="http://schemas.openxmlformats.org/officeDocument/2006/relationships/hyperlink" Target="https://ref.ly/Rev22:11" TargetMode="External"/><Relationship Id="rId11043" Type="http://schemas.openxmlformats.org/officeDocument/2006/relationships/hyperlink" Target="https://ref.ly/Luke12:47-Luke12:48" TargetMode="External"/><Relationship Id="rId11044" Type="http://schemas.openxmlformats.org/officeDocument/2006/relationships/hyperlink" Target="https://ref.ly/Rev20:12-Rev20:13" TargetMode="External"/><Relationship Id="rId11045" Type="http://schemas.openxmlformats.org/officeDocument/2006/relationships/hyperlink" Target="https://ref.ly/Ezek16:48-Ezek16:61" TargetMode="External"/><Relationship Id="rId11046" Type="http://schemas.openxmlformats.org/officeDocument/2006/relationships/hyperlink" Target="https://ref.ly/Josh8:32" TargetMode="External"/><Relationship Id="rId11047" Type="http://schemas.openxmlformats.org/officeDocument/2006/relationships/hyperlink" Target="https://ref.ly/Dan5:5,Dan5:24" TargetMode="External"/><Relationship Id="rId11048" Type="http://schemas.openxmlformats.org/officeDocument/2006/relationships/hyperlink" Target="https://ref.ly/Acts17:23" TargetMode="External"/><Relationship Id="rId11049" Type="http://schemas.openxmlformats.org/officeDocument/2006/relationships/hyperlink" Target="https://ref.ly/Rev21:12" TargetMode="External"/><Relationship Id="rId11050" Type="http://schemas.openxmlformats.org/officeDocument/2006/relationships/hyperlink" Target="https://ref.ly/1Kgs16:16-1Kgs16:30" TargetMode="External"/><Relationship Id="rId11051" Type="http://schemas.openxmlformats.org/officeDocument/2006/relationships/hyperlink" Target="https://ref.ly/Ezra1:2-Ezra1:4" TargetMode="External"/><Relationship Id="rId11052" Type="http://schemas.openxmlformats.org/officeDocument/2006/relationships/hyperlink" Target="https://ref.ly/2Chr12:2-2Chr12:10" TargetMode="External"/><Relationship Id="rId11053" Type="http://schemas.openxmlformats.org/officeDocument/2006/relationships/hyperlink" Target="https://ref.ly/Acts17:6" TargetMode="External"/><Relationship Id="rId11054" Type="http://schemas.openxmlformats.org/officeDocument/2006/relationships/hyperlink" Target="https://ref.ly/Ps150:4" TargetMode="External"/><Relationship Id="rId11055" Type="http://schemas.openxmlformats.org/officeDocument/2006/relationships/hyperlink" Target="https://ref.ly/Ps33:2" TargetMode="External"/><Relationship Id="rId11056" Type="http://schemas.openxmlformats.org/officeDocument/2006/relationships/hyperlink" Target="https://ref.ly/Ps92:3" TargetMode="External"/><Relationship Id="rId11057" Type="http://schemas.openxmlformats.org/officeDocument/2006/relationships/hyperlink" Target="https://ref.ly/Ps144:9" TargetMode="External"/><Relationship Id="rId11058" Type="http://schemas.openxmlformats.org/officeDocument/2006/relationships/hyperlink" Target="https://ref.ly/Dan3:5" TargetMode="External"/><Relationship Id="rId11059" Type="http://schemas.openxmlformats.org/officeDocument/2006/relationships/hyperlink" Target="https://ref.ly/1Sam16:23" TargetMode="External"/><Relationship Id="rId11060" Type="http://schemas.openxmlformats.org/officeDocument/2006/relationships/hyperlink" Target="https://ref.ly/Ps81:2" TargetMode="External"/><Relationship Id="rId11061" Type="http://schemas.openxmlformats.org/officeDocument/2006/relationships/hyperlink" Target="https://ref.ly/Isa5:12" TargetMode="External"/><Relationship Id="rId11062" Type="http://schemas.openxmlformats.org/officeDocument/2006/relationships/hyperlink" Target="https://ref.ly/1Sam16:16" TargetMode="External"/><Relationship Id="rId11063" Type="http://schemas.openxmlformats.org/officeDocument/2006/relationships/hyperlink" Target="https://ref.ly/1Kgs10:12" TargetMode="External"/><Relationship Id="rId11064" Type="http://schemas.openxmlformats.org/officeDocument/2006/relationships/hyperlink" Target="https://ref.ly/Neh12:27" TargetMode="External"/><Relationship Id="rId11065" Type="http://schemas.openxmlformats.org/officeDocument/2006/relationships/hyperlink" Target="https://ref.ly/Ps57:8" TargetMode="External"/><Relationship Id="rId11066" Type="http://schemas.openxmlformats.org/officeDocument/2006/relationships/hyperlink" Target="https://ref.ly/Amos5:23" TargetMode="External"/><Relationship Id="rId11067" Type="http://schemas.openxmlformats.org/officeDocument/2006/relationships/hyperlink" Target="https://ref.ly/Dan3:5-Dan3:15" TargetMode="External"/><Relationship Id="rId11068" Type="http://schemas.openxmlformats.org/officeDocument/2006/relationships/hyperlink" Target="https://ref.ly/Matt9:23" TargetMode="External"/><Relationship Id="rId11069" Type="http://schemas.openxmlformats.org/officeDocument/2006/relationships/hyperlink" Target="https://ref.ly/1Cor14:7" TargetMode="External"/><Relationship Id="rId11070" Type="http://schemas.openxmlformats.org/officeDocument/2006/relationships/hyperlink" Target="https://ref.ly/Rev18:22" TargetMode="External"/><Relationship Id="rId11071" Type="http://schemas.openxmlformats.org/officeDocument/2006/relationships/hyperlink" Target="https://ref.ly/Jer48:36" TargetMode="External"/><Relationship Id="rId11072" Type="http://schemas.openxmlformats.org/officeDocument/2006/relationships/hyperlink" Target="https://ref.ly/Num10:2" TargetMode="External"/><Relationship Id="rId11073" Type="http://schemas.openxmlformats.org/officeDocument/2006/relationships/hyperlink" Target="https://ref.ly/1Chr15:28" TargetMode="External"/><Relationship Id="rId11074" Type="http://schemas.openxmlformats.org/officeDocument/2006/relationships/hyperlink" Target="https://ref.ly/2Chr15:14" TargetMode="External"/><Relationship Id="rId11075" Type="http://schemas.openxmlformats.org/officeDocument/2006/relationships/hyperlink" Target="https://ref.ly/Ps98:6" TargetMode="External"/><Relationship Id="rId11076" Type="http://schemas.openxmlformats.org/officeDocument/2006/relationships/hyperlink" Target="https://ref.ly/Hos5:8" TargetMode="External"/><Relationship Id="rId11077" Type="http://schemas.openxmlformats.org/officeDocument/2006/relationships/hyperlink" Target="https://ref.ly/2Sam6:15" TargetMode="External"/><Relationship Id="rId11078" Type="http://schemas.openxmlformats.org/officeDocument/2006/relationships/hyperlink" Target="https://ref.ly/Ps150:3" TargetMode="External"/><Relationship Id="rId11079" Type="http://schemas.openxmlformats.org/officeDocument/2006/relationships/hyperlink" Target="https://ref.ly/2Sam15:10" TargetMode="External"/><Relationship Id="rId11080" Type="http://schemas.openxmlformats.org/officeDocument/2006/relationships/hyperlink" Target="https://ref.ly/1Kgs1:34" TargetMode="External"/><Relationship Id="rId11081" Type="http://schemas.openxmlformats.org/officeDocument/2006/relationships/hyperlink" Target="https://ref.ly/2Kgs9:13" TargetMode="External"/><Relationship Id="rId11082" Type="http://schemas.openxmlformats.org/officeDocument/2006/relationships/hyperlink" Target="https://ref.ly/Luke15:25" TargetMode="External"/><Relationship Id="rId11083" Type="http://schemas.openxmlformats.org/officeDocument/2006/relationships/hyperlink" Target="https://ref.ly/Job21:12" TargetMode="External"/><Relationship Id="rId11084" Type="http://schemas.openxmlformats.org/officeDocument/2006/relationships/hyperlink" Target="https://ref.ly/Job30:31" TargetMode="External"/><Relationship Id="rId11085" Type="http://schemas.openxmlformats.org/officeDocument/2006/relationships/hyperlink" Target="https://ref.ly/Exod28:33-Exod28:34" TargetMode="External"/><Relationship Id="rId11086" Type="http://schemas.openxmlformats.org/officeDocument/2006/relationships/hyperlink" Target="https://ref.ly/Exod39:25-Exod39:26" TargetMode="External"/><Relationship Id="rId11087" Type="http://schemas.openxmlformats.org/officeDocument/2006/relationships/hyperlink" Target="https://ref.ly/1Chr13:8" TargetMode="External"/><Relationship Id="rId11088" Type="http://schemas.openxmlformats.org/officeDocument/2006/relationships/hyperlink" Target="https://ref.ly/2Macc4:8" TargetMode="External"/><Relationship Id="rId11089" Type="http://schemas.openxmlformats.org/officeDocument/2006/relationships/hyperlink" Target="https://ref.ly/1Tim2:1" TargetMode="External"/><Relationship Id="rId11090" Type="http://schemas.openxmlformats.org/officeDocument/2006/relationships/hyperlink" Target="https://ref.ly/1Tim2:5-1Tim2:6" TargetMode="External"/><Relationship Id="rId11091" Type="http://schemas.openxmlformats.org/officeDocument/2006/relationships/hyperlink" Target="https://ref.ly/Lev16:11-Lev16:19" TargetMode="External"/><Relationship Id="rId11092" Type="http://schemas.openxmlformats.org/officeDocument/2006/relationships/hyperlink" Target="https://ref.ly/Luke18:1" TargetMode="External"/><Relationship Id="rId11093" Type="http://schemas.openxmlformats.org/officeDocument/2006/relationships/hyperlink" Target="https://ref.ly/John11:41-John11:42" TargetMode="External"/><Relationship Id="rId11094" Type="http://schemas.openxmlformats.org/officeDocument/2006/relationships/hyperlink" Target="https://ref.ly/Luke6:12-Luke6:13" TargetMode="External"/><Relationship Id="rId11095" Type="http://schemas.openxmlformats.org/officeDocument/2006/relationships/hyperlink" Target="https://ref.ly/Luke22:32" TargetMode="External"/><Relationship Id="rId11096" Type="http://schemas.openxmlformats.org/officeDocument/2006/relationships/hyperlink" Target="https://ref.ly/Luke23:34" TargetMode="External"/><Relationship Id="rId11097" Type="http://schemas.openxmlformats.org/officeDocument/2006/relationships/hyperlink" Target="https://ref.ly/John17:1-John17:5" TargetMode="External"/><Relationship Id="rId11098" Type="http://schemas.openxmlformats.org/officeDocument/2006/relationships/hyperlink" Target="https://ref.ly/John17:8-John17:9" TargetMode="External"/><Relationship Id="rId11099" Type="http://schemas.openxmlformats.org/officeDocument/2006/relationships/hyperlink" Target="https://ref.ly/John17:20" TargetMode="External"/><Relationship Id="rId11100" Type="http://schemas.openxmlformats.org/officeDocument/2006/relationships/hyperlink" Target="https://ref.ly/John17:13" TargetMode="External"/><Relationship Id="rId11101" Type="http://schemas.openxmlformats.org/officeDocument/2006/relationships/hyperlink" Target="https://ref.ly/John17:15" TargetMode="External"/><Relationship Id="rId11102" Type="http://schemas.openxmlformats.org/officeDocument/2006/relationships/hyperlink" Target="https://ref.ly/Heb10:10-Heb10:18" TargetMode="External"/><Relationship Id="rId11103" Type="http://schemas.openxmlformats.org/officeDocument/2006/relationships/hyperlink" Target="https://ref.ly/Rom1:8" TargetMode="External"/><Relationship Id="rId11104" Type="http://schemas.openxmlformats.org/officeDocument/2006/relationships/hyperlink" Target="https://ref.ly/Rom16:27" TargetMode="External"/><Relationship Id="rId11105" Type="http://schemas.openxmlformats.org/officeDocument/2006/relationships/hyperlink" Target="https://ref.ly/Col3:17" TargetMode="External"/><Relationship Id="rId11106" Type="http://schemas.openxmlformats.org/officeDocument/2006/relationships/hyperlink" Target="https://ref.ly/Heb13:15" TargetMode="External"/><Relationship Id="rId11107" Type="http://schemas.openxmlformats.org/officeDocument/2006/relationships/hyperlink" Target="https://ref.ly/Rom8:34" TargetMode="External"/><Relationship Id="rId11108" Type="http://schemas.openxmlformats.org/officeDocument/2006/relationships/hyperlink" Target="https://ref.ly/Rev12:10" TargetMode="External"/><Relationship Id="rId11109" Type="http://schemas.openxmlformats.org/officeDocument/2006/relationships/hyperlink" Target="https://ref.ly/John14:16" TargetMode="External"/><Relationship Id="rId11110" Type="http://schemas.openxmlformats.org/officeDocument/2006/relationships/hyperlink" Target="https://ref.ly/John17:9" TargetMode="External"/><Relationship Id="rId11111" Type="http://schemas.openxmlformats.org/officeDocument/2006/relationships/hyperlink" Target="https://ref.ly/Luke22:31-Luke22:32" TargetMode="External"/><Relationship Id="rId11112" Type="http://schemas.openxmlformats.org/officeDocument/2006/relationships/hyperlink" Target="https://ref.ly/Gen42:23" TargetMode="External"/><Relationship Id="rId11113" Type="http://schemas.openxmlformats.org/officeDocument/2006/relationships/hyperlink" Target="https://ref.ly/Gen40:8" TargetMode="External"/><Relationship Id="rId11114" Type="http://schemas.openxmlformats.org/officeDocument/2006/relationships/hyperlink" Target="https://ref.ly/Gen41:15-Gen41:16" TargetMode="External"/><Relationship Id="rId11115" Type="http://schemas.openxmlformats.org/officeDocument/2006/relationships/hyperlink" Target="https://ref.ly/Dan4:6-Dan4:9,Dan4:18-Dan4:24" TargetMode="External"/><Relationship Id="rId11116" Type="http://schemas.openxmlformats.org/officeDocument/2006/relationships/hyperlink" Target="https://ref.ly/Dan4:6-Dan4:9" TargetMode="External"/><Relationship Id="rId11117" Type="http://schemas.openxmlformats.org/officeDocument/2006/relationships/hyperlink" Target="https://ref.ly/Dan5:7-Dan5:8,Dan5:12-Dan5:17" TargetMode="External"/><Relationship Id="rId11118" Type="http://schemas.openxmlformats.org/officeDocument/2006/relationships/hyperlink" Target="https://ref.ly/Dan5:7-Dan5:8" TargetMode="External"/><Relationship Id="rId11119" Type="http://schemas.openxmlformats.org/officeDocument/2006/relationships/hyperlink" Target="https://ref.ly/Dan7:16" TargetMode="External"/><Relationship Id="rId11120" Type="http://schemas.openxmlformats.org/officeDocument/2006/relationships/hyperlink" Target="https://ref.ly/Job33:23" TargetMode="External"/><Relationship Id="rId11121" Type="http://schemas.openxmlformats.org/officeDocument/2006/relationships/hyperlink" Target="https://ref.ly/Neh8:8-Neh8:9" TargetMode="External"/><Relationship Id="rId11122" Type="http://schemas.openxmlformats.org/officeDocument/2006/relationships/hyperlink" Target="https://ref.ly/1Cor14:28" TargetMode="External"/><Relationship Id="rId11123" Type="http://schemas.openxmlformats.org/officeDocument/2006/relationships/hyperlink" Target="https://ref.ly/Acts2:6" TargetMode="External"/><Relationship Id="rId11124" Type="http://schemas.openxmlformats.org/officeDocument/2006/relationships/hyperlink" Target="https://ref.ly/Num24:19" TargetMode="External"/><Relationship Id="rId11125" Type="http://schemas.openxmlformats.org/officeDocument/2006/relationships/hyperlink" Target="https://ref.ly/Gen36:43" TargetMode="External"/><Relationship Id="rId11126" Type="http://schemas.openxmlformats.org/officeDocument/2006/relationships/hyperlink" Target="https://ref.ly/1Chr1:54" TargetMode="External"/><Relationship Id="rId11127" Type="http://schemas.openxmlformats.org/officeDocument/2006/relationships/hyperlink" Target="https://ref.ly/Num11:10" TargetMode="External"/><Relationship Id="rId11128" Type="http://schemas.openxmlformats.org/officeDocument/2006/relationships/hyperlink" Target="https://ref.ly/Num12:9" TargetMode="External"/><Relationship Id="rId11129" Type="http://schemas.openxmlformats.org/officeDocument/2006/relationships/hyperlink" Target="https://ref.ly/Num32:10-Num32:14" TargetMode="External"/><Relationship Id="rId11130" Type="http://schemas.openxmlformats.org/officeDocument/2006/relationships/hyperlink" Target="https://ref.ly/Deut2:15" TargetMode="External"/><Relationship Id="rId11131" Type="http://schemas.openxmlformats.org/officeDocument/2006/relationships/hyperlink" Target="https://ref.ly/Deut4:25" TargetMode="External"/><Relationship Id="rId11132" Type="http://schemas.openxmlformats.org/officeDocument/2006/relationships/hyperlink" Target="https://ref.ly/Deut9:7-Deut9:8,Deut9:19" TargetMode="External"/><Relationship Id="rId11133" Type="http://schemas.openxmlformats.org/officeDocument/2006/relationships/hyperlink" Target="https://ref.ly/Deut9:7-Deut9:8" TargetMode="External"/><Relationship Id="rId11134" Type="http://schemas.openxmlformats.org/officeDocument/2006/relationships/hyperlink" Target="https://ref.ly/Judg2:14" TargetMode="External"/><Relationship Id="rId11135" Type="http://schemas.openxmlformats.org/officeDocument/2006/relationships/hyperlink" Target="https://ref.ly/1Kgs11:9" TargetMode="External"/><Relationship Id="rId11136" Type="http://schemas.openxmlformats.org/officeDocument/2006/relationships/hyperlink" Target="https://ref.ly/1Kgs14:9,1Kgs14:15" TargetMode="External"/><Relationship Id="rId11137" Type="http://schemas.openxmlformats.org/officeDocument/2006/relationships/hyperlink" Target="https://ref.ly/2Kgs17:18" TargetMode="External"/><Relationship Id="rId11138" Type="http://schemas.openxmlformats.org/officeDocument/2006/relationships/hyperlink" Target="https://ref.ly/Isa1:10-Isa1:17" TargetMode="External"/><Relationship Id="rId11139" Type="http://schemas.openxmlformats.org/officeDocument/2006/relationships/hyperlink" Target="https://ref.ly/Amos5:21-Amos5:27" TargetMode="External"/><Relationship Id="rId11140" Type="http://schemas.openxmlformats.org/officeDocument/2006/relationships/hyperlink" Target="https://ref.ly/1Kgs8:46" TargetMode="External"/><Relationship Id="rId11141" Type="http://schemas.openxmlformats.org/officeDocument/2006/relationships/hyperlink" Target="https://ref.ly/Num11:33" TargetMode="External"/><Relationship Id="rId11142" Type="http://schemas.openxmlformats.org/officeDocument/2006/relationships/hyperlink" Target="https://ref.ly/Num14:11,Num14:33" TargetMode="External"/><Relationship Id="rId11143" Type="http://schemas.openxmlformats.org/officeDocument/2006/relationships/hyperlink" Target="https://ref.ly/Ps95:10-Ps95:11" TargetMode="External"/><Relationship Id="rId11144" Type="http://schemas.openxmlformats.org/officeDocument/2006/relationships/hyperlink" Target="https://ref.ly/Exod22:22-Exod22:24" TargetMode="External"/><Relationship Id="rId11145" Type="http://schemas.openxmlformats.org/officeDocument/2006/relationships/hyperlink" Target="https://ref.ly/Isa1:15-Isa1:17" TargetMode="External"/><Relationship Id="rId11146" Type="http://schemas.openxmlformats.org/officeDocument/2006/relationships/hyperlink" Target="https://ref.ly/Amos5:7-Amos5:12" TargetMode="External"/><Relationship Id="rId11147" Type="http://schemas.openxmlformats.org/officeDocument/2006/relationships/hyperlink" Target="https://ref.ly/Mic3:1" TargetMode="External"/><Relationship Id="rId11148" Type="http://schemas.openxmlformats.org/officeDocument/2006/relationships/hyperlink" Target="https://ref.ly/Nah1:2" TargetMode="External"/><Relationship Id="rId11149" Type="http://schemas.openxmlformats.org/officeDocument/2006/relationships/hyperlink" Target="https://ref.ly/Ps30:5" TargetMode="External"/><Relationship Id="rId11150" Type="http://schemas.openxmlformats.org/officeDocument/2006/relationships/hyperlink" Target="https://ref.ly/Mic7:18" TargetMode="External"/><Relationship Id="rId11151" Type="http://schemas.openxmlformats.org/officeDocument/2006/relationships/hyperlink" Target="https://ref.ly/Ps89:46" TargetMode="External"/><Relationship Id="rId11152" Type="http://schemas.openxmlformats.org/officeDocument/2006/relationships/hyperlink" Target="https://ref.ly/Jer3:5" TargetMode="External"/><Relationship Id="rId11153" Type="http://schemas.openxmlformats.org/officeDocument/2006/relationships/hyperlink" Target="https://ref.ly/Ps103:8-Ps103:13" TargetMode="External"/><Relationship Id="rId11154" Type="http://schemas.openxmlformats.org/officeDocument/2006/relationships/hyperlink" Target="https://ref.ly/Hos11:9" TargetMode="External"/><Relationship Id="rId11155" Type="http://schemas.openxmlformats.org/officeDocument/2006/relationships/hyperlink" Target="https://ref.ly/Joel2:13-Joel2:14" TargetMode="External"/><Relationship Id="rId11156" Type="http://schemas.openxmlformats.org/officeDocument/2006/relationships/hyperlink" Target="https://ref.ly/Isa11:9" TargetMode="External"/><Relationship Id="rId11157" Type="http://schemas.openxmlformats.org/officeDocument/2006/relationships/hyperlink" Target="https://ref.ly/Luke21:23" TargetMode="External"/><Relationship Id="rId11158" Type="http://schemas.openxmlformats.org/officeDocument/2006/relationships/hyperlink" Target="https://ref.ly/John3:36" TargetMode="External"/><Relationship Id="rId11159" Type="http://schemas.openxmlformats.org/officeDocument/2006/relationships/hyperlink" Target="https://ref.ly/Eph5:6" TargetMode="External"/><Relationship Id="rId11160" Type="http://schemas.openxmlformats.org/officeDocument/2006/relationships/hyperlink" Target="https://ref.ly/Eph2:3" TargetMode="External"/><Relationship Id="rId11161" Type="http://schemas.openxmlformats.org/officeDocument/2006/relationships/hyperlink" Target="https://ref.ly/Gen4:18" TargetMode="External"/><Relationship Id="rId11162" Type="http://schemas.openxmlformats.org/officeDocument/2006/relationships/hyperlink" Target="https://ref.ly/Gen35:24" TargetMode="External"/><Relationship Id="rId11163" Type="http://schemas.openxmlformats.org/officeDocument/2006/relationships/hyperlink" Target="https://ref.ly/Gen4:8" TargetMode="External"/><Relationship Id="rId11164" Type="http://schemas.openxmlformats.org/officeDocument/2006/relationships/hyperlink" Target="https://ref.ly/Deut13:6-Deut13:7" TargetMode="External"/><Relationship Id="rId11165" Type="http://schemas.openxmlformats.org/officeDocument/2006/relationships/hyperlink" Target="https://ref.ly/Prov17:17" TargetMode="External"/><Relationship Id="rId11166" Type="http://schemas.openxmlformats.org/officeDocument/2006/relationships/hyperlink" Target="https://ref.ly/2Sam1:26" TargetMode="External"/><Relationship Id="rId11167" Type="http://schemas.openxmlformats.org/officeDocument/2006/relationships/hyperlink" Target="https://ref.ly/Lev25:35-Lev25:43" TargetMode="External"/><Relationship Id="rId11168" Type="http://schemas.openxmlformats.org/officeDocument/2006/relationships/hyperlink" Target="https://ref.ly/John7:5" TargetMode="External"/><Relationship Id="rId11169" Type="http://schemas.openxmlformats.org/officeDocument/2006/relationships/hyperlink" Target="https://ref.ly/Matt23:8-Matt23:9" TargetMode="External"/><Relationship Id="rId11170" Type="http://schemas.openxmlformats.org/officeDocument/2006/relationships/hyperlink" Target="https://ref.ly/Matt28:10" TargetMode="External"/><Relationship Id="rId11171" Type="http://schemas.openxmlformats.org/officeDocument/2006/relationships/hyperlink" Target="https://ref.ly/1Pet5:9" TargetMode="External"/><Relationship Id="rId11172" Type="http://schemas.openxmlformats.org/officeDocument/2006/relationships/hyperlink" Target="https://ref.ly/1Thess4:6" TargetMode="External"/><Relationship Id="rId11173" Type="http://schemas.openxmlformats.org/officeDocument/2006/relationships/hyperlink" Target="https://ref.ly/Jas2:15-Jas2:16" TargetMode="External"/><Relationship Id="rId11174" Type="http://schemas.openxmlformats.org/officeDocument/2006/relationships/hyperlink" Target="https://ref.ly/Rom14:13" TargetMode="External"/><Relationship Id="rId11175" Type="http://schemas.openxmlformats.org/officeDocument/2006/relationships/hyperlink" Target="https://ref.ly/1Cor6:5-1Cor6:6" TargetMode="External"/><Relationship Id="rId11176" Type="http://schemas.openxmlformats.org/officeDocument/2006/relationships/hyperlink" Target="https://ref.ly/Matt18:15-Matt18:17" TargetMode="External"/><Relationship Id="rId11177" Type="http://schemas.openxmlformats.org/officeDocument/2006/relationships/hyperlink" Target="https://ref.ly/Acts2:29" TargetMode="External"/><Relationship Id="rId11178" Type="http://schemas.openxmlformats.org/officeDocument/2006/relationships/hyperlink" Target="https://ref.ly/Acts22:5" TargetMode="External"/><Relationship Id="rId11179" Type="http://schemas.openxmlformats.org/officeDocument/2006/relationships/hyperlink" Target="https://ref.ly/Acts28:21" TargetMode="External"/><Relationship Id="rId11180" Type="http://schemas.openxmlformats.org/officeDocument/2006/relationships/hyperlink" Target="https://ref.ly/Acts1:15-Acts1:16" TargetMode="External"/><Relationship Id="rId11181" Type="http://schemas.openxmlformats.org/officeDocument/2006/relationships/hyperlink" Target="https://ref.ly/Acts11:1" TargetMode="External"/><Relationship Id="rId11182" Type="http://schemas.openxmlformats.org/officeDocument/2006/relationships/hyperlink" Target="https://ref.ly/Acts17:14" TargetMode="External"/><Relationship Id="rId11183" Type="http://schemas.openxmlformats.org/officeDocument/2006/relationships/hyperlink" Target="https://ref.ly/Rom1:13" TargetMode="External"/><Relationship Id="rId11184" Type="http://schemas.openxmlformats.org/officeDocument/2006/relationships/hyperlink" Target="https://ref.ly/Mark10:23-Mark10:31" TargetMode="External"/><Relationship Id="rId11185" Type="http://schemas.openxmlformats.org/officeDocument/2006/relationships/hyperlink" Target="https://ref.ly/Jas2:15" TargetMode="External"/><Relationship Id="rId11186" Type="http://schemas.openxmlformats.org/officeDocument/2006/relationships/hyperlink" Target="https://ref.ly/1John3:10-1John3:18" TargetMode="External"/><Relationship Id="rId11187" Type="http://schemas.openxmlformats.org/officeDocument/2006/relationships/hyperlink" Target="https://ref.ly/1John4:20-1John4:21" TargetMode="External"/><Relationship Id="rId11188" Type="http://schemas.openxmlformats.org/officeDocument/2006/relationships/hyperlink" Target="https://ref.ly/Matt12:47-Matt12:50" TargetMode="External"/><Relationship Id="rId11189" Type="http://schemas.openxmlformats.org/officeDocument/2006/relationships/hyperlink" Target="https://ref.ly/Mark3:34-Mark3:35" TargetMode="External"/><Relationship Id="rId11190" Type="http://schemas.openxmlformats.org/officeDocument/2006/relationships/hyperlink" Target="https://ref.ly/Luke8:19-Luke8:21" TargetMode="External"/><Relationship Id="rId11191" Type="http://schemas.openxmlformats.org/officeDocument/2006/relationships/hyperlink" Target="https://ref.ly/John2:12" TargetMode="External"/><Relationship Id="rId11192" Type="http://schemas.openxmlformats.org/officeDocument/2006/relationships/hyperlink" Target="https://ref.ly/John7:4" TargetMode="External"/><Relationship Id="rId11193" Type="http://schemas.openxmlformats.org/officeDocument/2006/relationships/hyperlink" Target="https://ref.ly/Matt13:57" TargetMode="External"/><Relationship Id="rId11194" Type="http://schemas.openxmlformats.org/officeDocument/2006/relationships/hyperlink" Target="https://ref.ly/Mark3:21" TargetMode="External"/><Relationship Id="rId11195" Type="http://schemas.openxmlformats.org/officeDocument/2006/relationships/hyperlink" Target="https://ref.ly/Gal1:19" TargetMode="External"/><Relationship Id="rId11196" Type="http://schemas.openxmlformats.org/officeDocument/2006/relationships/hyperlink" Target="https://ref.ly/Acts12:17" TargetMode="External"/><Relationship Id="rId11197" Type="http://schemas.openxmlformats.org/officeDocument/2006/relationships/hyperlink" Target="https://ref.ly/1Cor9:5" TargetMode="External"/><Relationship Id="rId11198" Type="http://schemas.openxmlformats.org/officeDocument/2006/relationships/hyperlink" Target="https://ref.ly/Acts1:13-Acts1:14" TargetMode="External"/><Relationship Id="rId11199" Type="http://schemas.openxmlformats.org/officeDocument/2006/relationships/hyperlink" Target="https://ref.ly/Luke1:36" TargetMode="External"/><Relationship Id="rId11200" Type="http://schemas.openxmlformats.org/officeDocument/2006/relationships/hyperlink" Target="https://ref.ly/Luke1:6" TargetMode="External"/><Relationship Id="rId11201" Type="http://schemas.openxmlformats.org/officeDocument/2006/relationships/hyperlink" Target="https://ref.ly/Gen30:22-Gen30:23" TargetMode="External"/><Relationship Id="rId11202" Type="http://schemas.openxmlformats.org/officeDocument/2006/relationships/hyperlink" Target="https://ref.ly/Luke1:25" TargetMode="External"/><Relationship Id="rId11203" Type="http://schemas.openxmlformats.org/officeDocument/2006/relationships/hyperlink" Target="https://ref.ly/Luke1:13-Luke1:17" TargetMode="External"/><Relationship Id="rId11204" Type="http://schemas.openxmlformats.org/officeDocument/2006/relationships/hyperlink" Target="https://ref.ly/Isa7:1-Isa7:25" TargetMode="External"/><Relationship Id="rId11205" Type="http://schemas.openxmlformats.org/officeDocument/2006/relationships/hyperlink" Target="https://ref.ly/Isa8:1-Isa8:22" TargetMode="External"/><Relationship Id="rId11206" Type="http://schemas.openxmlformats.org/officeDocument/2006/relationships/hyperlink" Target="https://ref.ly/Isa7:4-Isa7:17" TargetMode="External"/><Relationship Id="rId11207" Type="http://schemas.openxmlformats.org/officeDocument/2006/relationships/hyperlink" Target="https://ref.ly/Isa5:10-Isa5:12" TargetMode="External"/><Relationship Id="rId11208" Type="http://schemas.openxmlformats.org/officeDocument/2006/relationships/hyperlink" Target="https://ref.ly/Isa28:9-Isa28:10" TargetMode="External"/><Relationship Id="rId11209" Type="http://schemas.openxmlformats.org/officeDocument/2006/relationships/hyperlink" Target="https://ref.ly/Isa37:1-Isa37:7,Isa37:21-Isa37:35" TargetMode="External"/><Relationship Id="rId11210" Type="http://schemas.openxmlformats.org/officeDocument/2006/relationships/hyperlink" Target="https://ref.ly/Isa40:1-Isa66:24" TargetMode="External"/><Relationship Id="rId11211" Type="http://schemas.openxmlformats.org/officeDocument/2006/relationships/hyperlink" Target="https://ref.ly/Isa1:1-Isa39:8" TargetMode="External"/><Relationship Id="rId11212" Type="http://schemas.openxmlformats.org/officeDocument/2006/relationships/hyperlink" Target="https://ref.ly/Isa10:16,Isa10:24-Isa10:34" TargetMode="External"/><Relationship Id="rId11213" Type="http://schemas.openxmlformats.org/officeDocument/2006/relationships/hyperlink" Target="https://ref.ly/Isa30:31-Isa30:33" TargetMode="External"/><Relationship Id="rId11214" Type="http://schemas.openxmlformats.org/officeDocument/2006/relationships/hyperlink" Target="https://ref.ly/Isa7:1" TargetMode="External"/><Relationship Id="rId11215" Type="http://schemas.openxmlformats.org/officeDocument/2006/relationships/hyperlink" Target="https://ref.ly/Isa37:36-Isa37:37" TargetMode="External"/><Relationship Id="rId11216" Type="http://schemas.openxmlformats.org/officeDocument/2006/relationships/hyperlink" Target="https://ref.ly/Isa39:1-Isa39:4" TargetMode="External"/><Relationship Id="rId11217" Type="http://schemas.openxmlformats.org/officeDocument/2006/relationships/hyperlink" Target="https://ref.ly/Isa39:5-Isa39:7" TargetMode="External"/><Relationship Id="rId11218" Type="http://schemas.openxmlformats.org/officeDocument/2006/relationships/hyperlink" Target="https://ref.ly/Isa6:11-Isa6:12" TargetMode="External"/><Relationship Id="rId11219" Type="http://schemas.openxmlformats.org/officeDocument/2006/relationships/hyperlink" Target="https://ref.ly/Isa48:20" TargetMode="External"/><Relationship Id="rId11220" Type="http://schemas.openxmlformats.org/officeDocument/2006/relationships/hyperlink" Target="https://ref.ly/Isa44:28" TargetMode="External"/><Relationship Id="rId11221" Type="http://schemas.openxmlformats.org/officeDocument/2006/relationships/hyperlink" Target="https://ref.ly/Isa13:17" TargetMode="External"/><Relationship Id="rId11222" Type="http://schemas.openxmlformats.org/officeDocument/2006/relationships/hyperlink" Target="https://ref.ly/Isa45:1-Isa45:5" TargetMode="External"/><Relationship Id="rId11223" Type="http://schemas.openxmlformats.org/officeDocument/2006/relationships/hyperlink" Target="https://ref.ly/Isa40:1-Isa40:31" TargetMode="External"/><Relationship Id="rId11224" Type="http://schemas.openxmlformats.org/officeDocument/2006/relationships/hyperlink" Target="https://ref.ly/Isa55:1-Isa55:13" TargetMode="External"/><Relationship Id="rId11225" Type="http://schemas.openxmlformats.org/officeDocument/2006/relationships/hyperlink" Target="https://ref.ly/Isa1:1-Isa35:10" TargetMode="External"/><Relationship Id="rId11226" Type="http://schemas.openxmlformats.org/officeDocument/2006/relationships/hyperlink" Target="https://ref.ly/Isa38:1-Isa39:8" TargetMode="External"/><Relationship Id="rId11227" Type="http://schemas.openxmlformats.org/officeDocument/2006/relationships/hyperlink" Target="https://ref.ly/Isa14:1-Isa14:32" TargetMode="External"/><Relationship Id="rId11228" Type="http://schemas.openxmlformats.org/officeDocument/2006/relationships/hyperlink" Target="https://ref.ly/Isa1:1-Isa6:13" TargetMode="External"/><Relationship Id="rId11229" Type="http://schemas.openxmlformats.org/officeDocument/2006/relationships/hyperlink" Target="https://ref.ly/Isa1:5-Isa1:6" TargetMode="External"/><Relationship Id="rId11230" Type="http://schemas.openxmlformats.org/officeDocument/2006/relationships/hyperlink" Target="https://ref.ly/Isa52:13" TargetMode="External"/><Relationship Id="rId11231" Type="http://schemas.openxmlformats.org/officeDocument/2006/relationships/hyperlink" Target="https://ref.ly/Isa2:12" TargetMode="External"/><Relationship Id="rId11232" Type="http://schemas.openxmlformats.org/officeDocument/2006/relationships/hyperlink" Target="https://ref.ly/Isa6:1" TargetMode="External"/><Relationship Id="rId11233" Type="http://schemas.openxmlformats.org/officeDocument/2006/relationships/hyperlink" Target="https://ref.ly/Isa1:4" TargetMode="External"/><Relationship Id="rId11234" Type="http://schemas.openxmlformats.org/officeDocument/2006/relationships/hyperlink" Target="https://ref.ly/Isa2:11,Isa2:17,Isa2:20" TargetMode="External"/><Relationship Id="rId11235" Type="http://schemas.openxmlformats.org/officeDocument/2006/relationships/hyperlink" Target="https://ref.ly/Isa5:25" TargetMode="External"/><Relationship Id="rId11236" Type="http://schemas.openxmlformats.org/officeDocument/2006/relationships/hyperlink" Target="https://ref.ly/Isa13:3-Isa13:5" TargetMode="External"/><Relationship Id="rId11237" Type="http://schemas.openxmlformats.org/officeDocument/2006/relationships/hyperlink" Target="https://ref.ly/Isa34:2" TargetMode="External"/><Relationship Id="rId11238" Type="http://schemas.openxmlformats.org/officeDocument/2006/relationships/hyperlink" Target="https://ref.ly/Isa10:27" TargetMode="External"/><Relationship Id="rId11239" Type="http://schemas.openxmlformats.org/officeDocument/2006/relationships/hyperlink" Target="https://ref.ly/Isa63:4" TargetMode="External"/><Relationship Id="rId11240" Type="http://schemas.openxmlformats.org/officeDocument/2006/relationships/hyperlink" Target="https://ref.ly/Isa49:4" TargetMode="External"/><Relationship Id="rId11241" Type="http://schemas.openxmlformats.org/officeDocument/2006/relationships/hyperlink" Target="https://ref.ly/Isa50:6-Isa50:7" TargetMode="External"/><Relationship Id="rId11242" Type="http://schemas.openxmlformats.org/officeDocument/2006/relationships/hyperlink" Target="https://ref.ly/Isa48:13" TargetMode="External"/><Relationship Id="rId11243" Type="http://schemas.openxmlformats.org/officeDocument/2006/relationships/hyperlink" Target="https://ref.ly/Isa6:1,Isa6:5" TargetMode="External"/><Relationship Id="rId11244" Type="http://schemas.openxmlformats.org/officeDocument/2006/relationships/hyperlink" Target="https://ref.ly/Isa13:4" TargetMode="External"/><Relationship Id="rId11245" Type="http://schemas.openxmlformats.org/officeDocument/2006/relationships/hyperlink" Target="https://ref.ly/Isa40:23-Isa40:24" TargetMode="External"/><Relationship Id="rId11246" Type="http://schemas.openxmlformats.org/officeDocument/2006/relationships/hyperlink" Target="https://ref.ly/Isa40:15" TargetMode="External"/><Relationship Id="rId11247" Type="http://schemas.openxmlformats.org/officeDocument/2006/relationships/hyperlink" Target="https://ref.ly/Isa41:29" TargetMode="External"/><Relationship Id="rId11248" Type="http://schemas.openxmlformats.org/officeDocument/2006/relationships/hyperlink" Target="https://ref.ly/Isa44:6" TargetMode="External"/><Relationship Id="rId11249" Type="http://schemas.openxmlformats.org/officeDocument/2006/relationships/hyperlink" Target="https://ref.ly/Isa66:14" TargetMode="External"/><Relationship Id="rId11250" Type="http://schemas.openxmlformats.org/officeDocument/2006/relationships/hyperlink" Target="https://ref.ly/Isa1:1-Isa12:6" TargetMode="External"/><Relationship Id="rId11251" Type="http://schemas.openxmlformats.org/officeDocument/2006/relationships/hyperlink" Target="https://ref.ly/Isa2:2-Isa2:3" TargetMode="External"/><Relationship Id="rId11252" Type="http://schemas.openxmlformats.org/officeDocument/2006/relationships/hyperlink" Target="https://ref.ly/Isa3:1-Isa3:26" TargetMode="External"/><Relationship Id="rId11253" Type="http://schemas.openxmlformats.org/officeDocument/2006/relationships/hyperlink" Target="https://ref.ly/Isa4:2-Isa4:6" TargetMode="External"/><Relationship Id="rId11254" Type="http://schemas.openxmlformats.org/officeDocument/2006/relationships/hyperlink" Target="https://ref.ly/Isa5:1-Isa5:7" TargetMode="External"/><Relationship Id="rId11255" Type="http://schemas.openxmlformats.org/officeDocument/2006/relationships/hyperlink" Target="https://ref.ly/Isa8:1" TargetMode="External"/><Relationship Id="rId11256" Type="http://schemas.openxmlformats.org/officeDocument/2006/relationships/hyperlink" Target="https://ref.ly/Isa8:10" TargetMode="External"/><Relationship Id="rId11257" Type="http://schemas.openxmlformats.org/officeDocument/2006/relationships/hyperlink" Target="https://ref.ly/Isa7:17-Isa7:25" TargetMode="External"/><Relationship Id="rId11258" Type="http://schemas.openxmlformats.org/officeDocument/2006/relationships/hyperlink" Target="https://ref.ly/Isa8:6-Isa8:8" TargetMode="External"/><Relationship Id="rId11259" Type="http://schemas.openxmlformats.org/officeDocument/2006/relationships/hyperlink" Target="https://ref.ly/Isa8:21-Isa8:22" TargetMode="External"/><Relationship Id="rId11260" Type="http://schemas.openxmlformats.org/officeDocument/2006/relationships/hyperlink" Target="https://ref.ly/Isa9:1-Isa9:5" TargetMode="External"/><Relationship Id="rId11261" Type="http://schemas.openxmlformats.org/officeDocument/2006/relationships/hyperlink" Target="https://ref.ly/Isa2:2-Isa2:4" TargetMode="External"/><Relationship Id="rId11262" Type="http://schemas.openxmlformats.org/officeDocument/2006/relationships/hyperlink" Target="https://ref.ly/Isa9:8-Isa10:4" TargetMode="External"/><Relationship Id="rId11263" Type="http://schemas.openxmlformats.org/officeDocument/2006/relationships/hyperlink" Target="https://ref.ly/Isa10:26-Isa10:34" TargetMode="External"/><Relationship Id="rId11264" Type="http://schemas.openxmlformats.org/officeDocument/2006/relationships/hyperlink" Target="https://ref.ly/Isa11:1-Isa11:16" TargetMode="External"/><Relationship Id="rId11265" Type="http://schemas.openxmlformats.org/officeDocument/2006/relationships/hyperlink" Target="https://ref.ly/Isa12:1-Isa12:6" TargetMode="External"/><Relationship Id="rId11266" Type="http://schemas.openxmlformats.org/officeDocument/2006/relationships/hyperlink" Target="https://ref.ly/Isa13:1-Isa23:18" TargetMode="External"/><Relationship Id="rId11267" Type="http://schemas.openxmlformats.org/officeDocument/2006/relationships/hyperlink" Target="https://ref.ly/Isa15:1-Isa15:9" TargetMode="External"/><Relationship Id="rId11268" Type="http://schemas.openxmlformats.org/officeDocument/2006/relationships/hyperlink" Target="https://ref.ly/Isa16:1-Isa16:5" TargetMode="External"/><Relationship Id="rId11269" Type="http://schemas.openxmlformats.org/officeDocument/2006/relationships/hyperlink" Target="https://ref.ly/Isa17:1-Isa17:14" TargetMode="External"/><Relationship Id="rId11270" Type="http://schemas.openxmlformats.org/officeDocument/2006/relationships/hyperlink" Target="https://ref.ly/Isa17:10" TargetMode="External"/><Relationship Id="rId11271" Type="http://schemas.openxmlformats.org/officeDocument/2006/relationships/hyperlink" Target="https://ref.ly/Isa18:1-Isa18:7" TargetMode="External"/><Relationship Id="rId11272" Type="http://schemas.openxmlformats.org/officeDocument/2006/relationships/hyperlink" Target="https://ref.ly/Isa19:1-Isa19:25" TargetMode="External"/><Relationship Id="rId11273" Type="http://schemas.openxmlformats.org/officeDocument/2006/relationships/hyperlink" Target="https://ref.ly/Isa19:5-Isa19:15" TargetMode="External"/><Relationship Id="rId11274" Type="http://schemas.openxmlformats.org/officeDocument/2006/relationships/hyperlink" Target="https://ref.ly/Isa19:24" TargetMode="External"/><Relationship Id="rId11275" Type="http://schemas.openxmlformats.org/officeDocument/2006/relationships/hyperlink" Target="https://ref.ly/Isa11:6-Isa11:9" TargetMode="External"/><Relationship Id="rId11276" Type="http://schemas.openxmlformats.org/officeDocument/2006/relationships/hyperlink" Target="https://ref.ly/Isa13:1-Isa14:23" TargetMode="External"/><Relationship Id="rId11277" Type="http://schemas.openxmlformats.org/officeDocument/2006/relationships/hyperlink" Target="https://ref.ly/Isa21:1-Isa21:17" TargetMode="External"/><Relationship Id="rId11278" Type="http://schemas.openxmlformats.org/officeDocument/2006/relationships/hyperlink" Target="https://ref.ly/Isa21:3-Isa21:4" TargetMode="External"/><Relationship Id="rId11279" Type="http://schemas.openxmlformats.org/officeDocument/2006/relationships/hyperlink" Target="https://ref.ly/Isa21:9" TargetMode="External"/><Relationship Id="rId11280" Type="http://schemas.openxmlformats.org/officeDocument/2006/relationships/hyperlink" Target="https://ref.ly/Rev18:2" TargetMode="External"/><Relationship Id="rId11281" Type="http://schemas.openxmlformats.org/officeDocument/2006/relationships/hyperlink" Target="https://ref.ly/Isa22:1-Isa22:25" TargetMode="External"/><Relationship Id="rId11282" Type="http://schemas.openxmlformats.org/officeDocument/2006/relationships/hyperlink" Target="https://ref.ly/Isa22:2" TargetMode="External"/><Relationship Id="rId11283" Type="http://schemas.openxmlformats.org/officeDocument/2006/relationships/hyperlink" Target="https://ref.ly/Isa22:15-Isa22:23" TargetMode="External"/><Relationship Id="rId11284" Type="http://schemas.openxmlformats.org/officeDocument/2006/relationships/hyperlink" Target="https://ref.ly/Isa24:1-Isa27:13" TargetMode="External"/><Relationship Id="rId11285" Type="http://schemas.openxmlformats.org/officeDocument/2006/relationships/hyperlink" Target="https://ref.ly/Isa24:5-Isa24:6" TargetMode="External"/><Relationship Id="rId11286" Type="http://schemas.openxmlformats.org/officeDocument/2006/relationships/hyperlink" Target="https://ref.ly/Isa24:21-Isa24:22" TargetMode="External"/><Relationship Id="rId11287" Type="http://schemas.openxmlformats.org/officeDocument/2006/relationships/hyperlink" Target="https://ref.ly/Isa25:1-Isa25:12" TargetMode="External"/><Relationship Id="rId11288" Type="http://schemas.openxmlformats.org/officeDocument/2006/relationships/hyperlink" Target="https://ref.ly/Isa25:10-Isa25:12" TargetMode="External"/><Relationship Id="rId11289" Type="http://schemas.openxmlformats.org/officeDocument/2006/relationships/hyperlink" Target="https://ref.ly/Isa26:1-Isa26:3" TargetMode="External"/><Relationship Id="rId11290" Type="http://schemas.openxmlformats.org/officeDocument/2006/relationships/hyperlink" Target="https://ref.ly/Isa26:7-Isa26:19" TargetMode="External"/><Relationship Id="rId11291" Type="http://schemas.openxmlformats.org/officeDocument/2006/relationships/hyperlink" Target="https://ref.ly/Isa20:1-Isa21:27" TargetMode="External"/><Relationship Id="rId11292" Type="http://schemas.openxmlformats.org/officeDocument/2006/relationships/hyperlink" Target="https://ref.ly/Isa27:2-Isa27:6" TargetMode="External"/><Relationship Id="rId11293" Type="http://schemas.openxmlformats.org/officeDocument/2006/relationships/hyperlink" Target="https://ref.ly/Isa28:1-Isa33:24" TargetMode="External"/><Relationship Id="rId11294" Type="http://schemas.openxmlformats.org/officeDocument/2006/relationships/hyperlink" Target="https://ref.ly/Isa33:1-Isa33:24" TargetMode="External"/><Relationship Id="rId11295" Type="http://schemas.openxmlformats.org/officeDocument/2006/relationships/hyperlink" Target="https://ref.ly/Isa28:1-Isa28:29" TargetMode="External"/><Relationship Id="rId11296" Type="http://schemas.openxmlformats.org/officeDocument/2006/relationships/hyperlink" Target="https://ref.ly/Isa7:1-Isa7:10" TargetMode="External"/><Relationship Id="rId11297" Type="http://schemas.openxmlformats.org/officeDocument/2006/relationships/hyperlink" Target="https://ref.ly/Isa7:15,Isa7:18" TargetMode="External"/><Relationship Id="rId11298" Type="http://schemas.openxmlformats.org/officeDocument/2006/relationships/hyperlink" Target="https://ref.ly/Isa7:21-Isa7:22" TargetMode="External"/><Relationship Id="rId11299" Type="http://schemas.openxmlformats.org/officeDocument/2006/relationships/hyperlink" Target="https://ref.ly/Isa29:1-Isa29:8" TargetMode="External"/><Relationship Id="rId11300" Type="http://schemas.openxmlformats.org/officeDocument/2006/relationships/hyperlink" Target="https://ref.ly/Isa29:17-Isa29:24" TargetMode="External"/><Relationship Id="rId11301" Type="http://schemas.openxmlformats.org/officeDocument/2006/relationships/hyperlink" Target="https://ref.ly/Isa30:1-Isa30:33" TargetMode="External"/><Relationship Id="rId11302" Type="http://schemas.openxmlformats.org/officeDocument/2006/relationships/hyperlink" Target="https://ref.ly/Isa31:1-Isa31:9" TargetMode="External"/><Relationship Id="rId11303" Type="http://schemas.openxmlformats.org/officeDocument/2006/relationships/hyperlink" Target="https://ref.ly/Isa30:18" TargetMode="External"/><Relationship Id="rId11304" Type="http://schemas.openxmlformats.org/officeDocument/2006/relationships/hyperlink" Target="https://ref.ly/Isa31:5" TargetMode="External"/><Relationship Id="rId11305" Type="http://schemas.openxmlformats.org/officeDocument/2006/relationships/hyperlink" Target="https://ref.ly/Isa31:8-Isa31:9" TargetMode="External"/><Relationship Id="rId11306" Type="http://schemas.openxmlformats.org/officeDocument/2006/relationships/hyperlink" Target="https://ref.ly/Isa32:1-Isa32:20" TargetMode="External"/><Relationship Id="rId11307" Type="http://schemas.openxmlformats.org/officeDocument/2006/relationships/hyperlink" Target="https://ref.ly/Isa32:2,Isa32:17-Isa32:18" TargetMode="External"/><Relationship Id="rId11308" Type="http://schemas.openxmlformats.org/officeDocument/2006/relationships/hyperlink" Target="https://ref.ly/Isa33:6" TargetMode="External"/><Relationship Id="rId11309" Type="http://schemas.openxmlformats.org/officeDocument/2006/relationships/hyperlink" Target="https://ref.ly/Isa32:9" TargetMode="External"/><Relationship Id="rId11310" Type="http://schemas.openxmlformats.org/officeDocument/2006/relationships/hyperlink" Target="https://ref.ly/Isa33:1" TargetMode="External"/><Relationship Id="rId11311" Type="http://schemas.openxmlformats.org/officeDocument/2006/relationships/hyperlink" Target="https://ref.ly/Isa33:2-Isa33:9" TargetMode="External"/><Relationship Id="rId11312" Type="http://schemas.openxmlformats.org/officeDocument/2006/relationships/hyperlink" Target="https://ref.ly/Isa33:10-Isa33:12" TargetMode="External"/><Relationship Id="rId11313" Type="http://schemas.openxmlformats.org/officeDocument/2006/relationships/hyperlink" Target="https://ref.ly/Isa34:1-Isa35:10" TargetMode="External"/><Relationship Id="rId11314" Type="http://schemas.openxmlformats.org/officeDocument/2006/relationships/hyperlink" Target="https://ref.ly/Isa34:1-Isa34:17" TargetMode="External"/><Relationship Id="rId11315" Type="http://schemas.openxmlformats.org/officeDocument/2006/relationships/hyperlink" Target="https://ref.ly/Isa34:4" TargetMode="External"/><Relationship Id="rId11316" Type="http://schemas.openxmlformats.org/officeDocument/2006/relationships/hyperlink" Target="https://ref.ly/Rev6:13-Rev6:14" TargetMode="External"/><Relationship Id="rId11317" Type="http://schemas.openxmlformats.org/officeDocument/2006/relationships/hyperlink" Target="https://ref.ly/Isa35:1-Isa35:10" TargetMode="External"/><Relationship Id="rId11318" Type="http://schemas.openxmlformats.org/officeDocument/2006/relationships/hyperlink" Target="https://ref.ly/Isa36:1-Isa36:22" TargetMode="External"/><Relationship Id="rId11319" Type="http://schemas.openxmlformats.org/officeDocument/2006/relationships/hyperlink" Target="https://ref.ly/Isa37:1-Isa37:38" TargetMode="External"/><Relationship Id="rId11320" Type="http://schemas.openxmlformats.org/officeDocument/2006/relationships/hyperlink" Target="https://ref.ly/Isa38:1-Isa38:22" TargetMode="External"/><Relationship Id="rId11321" Type="http://schemas.openxmlformats.org/officeDocument/2006/relationships/hyperlink" Target="https://ref.ly/Isa39:1-Isa39:8" TargetMode="External"/><Relationship Id="rId11322" Type="http://schemas.openxmlformats.org/officeDocument/2006/relationships/hyperlink" Target="https://ref.ly/Isa40:1-Isa48:22" TargetMode="External"/><Relationship Id="rId11323" Type="http://schemas.openxmlformats.org/officeDocument/2006/relationships/hyperlink" Target="https://ref.ly/Isa41:2,Isa41:25" TargetMode="External"/><Relationship Id="rId11324" Type="http://schemas.openxmlformats.org/officeDocument/2006/relationships/hyperlink" Target="https://ref.ly/Isa42:1-Isa42:25" TargetMode="External"/><Relationship Id="rId11325" Type="http://schemas.openxmlformats.org/officeDocument/2006/relationships/hyperlink" Target="https://ref.ly/Isa42:1-Isa42:7" TargetMode="External"/><Relationship Id="rId11326" Type="http://schemas.openxmlformats.org/officeDocument/2006/relationships/hyperlink" Target="https://ref.ly/Isa42:6" TargetMode="External"/><Relationship Id="rId11327" Type="http://schemas.openxmlformats.org/officeDocument/2006/relationships/hyperlink" Target="https://ref.ly/Isa43:1-Isa43:28" TargetMode="External"/><Relationship Id="rId11328" Type="http://schemas.openxmlformats.org/officeDocument/2006/relationships/hyperlink" Target="https://ref.ly/Isa44:6-Isa44:20" TargetMode="External"/><Relationship Id="rId11329" Type="http://schemas.openxmlformats.org/officeDocument/2006/relationships/hyperlink" Target="https://ref.ly/Isa46:1-Isa46:13" TargetMode="External"/><Relationship Id="rId11330" Type="http://schemas.openxmlformats.org/officeDocument/2006/relationships/hyperlink" Target="https://ref.ly/Isa47:1-Isa47:15" TargetMode="External"/><Relationship Id="rId11331" Type="http://schemas.openxmlformats.org/officeDocument/2006/relationships/hyperlink" Target="https://ref.ly/Isa47:5" TargetMode="External"/><Relationship Id="rId11332" Type="http://schemas.openxmlformats.org/officeDocument/2006/relationships/hyperlink" Target="https://ref.ly/Isa48:1-Isa48:22" TargetMode="External"/><Relationship Id="rId11333" Type="http://schemas.openxmlformats.org/officeDocument/2006/relationships/hyperlink" Target="https://ref.ly/Isa49:1-Isa57:21" TargetMode="External"/><Relationship Id="rId11334" Type="http://schemas.openxmlformats.org/officeDocument/2006/relationships/hyperlink" Target="https://ref.ly/Isa49:1-Isa53:12" TargetMode="External"/><Relationship Id="rId11335" Type="http://schemas.openxmlformats.org/officeDocument/2006/relationships/hyperlink" Target="https://ref.ly/Isa49:1-Isa49:7" TargetMode="External"/><Relationship Id="rId11336" Type="http://schemas.openxmlformats.org/officeDocument/2006/relationships/hyperlink" Target="https://ref.ly/Isa49:1-Isa49:26" TargetMode="External"/><Relationship Id="rId11337" Type="http://schemas.openxmlformats.org/officeDocument/2006/relationships/hyperlink" Target="https://ref.ly/Isa49:19-Isa49:21" TargetMode="External"/><Relationship Id="rId11338" Type="http://schemas.openxmlformats.org/officeDocument/2006/relationships/hyperlink" Target="https://ref.ly/Isa49:22-Isa49:23" TargetMode="External"/><Relationship Id="rId11339" Type="http://schemas.openxmlformats.org/officeDocument/2006/relationships/hyperlink" Target="https://ref.ly/Isa50:1-Isa50:3" TargetMode="External"/><Relationship Id="rId11340" Type="http://schemas.openxmlformats.org/officeDocument/2006/relationships/hyperlink" Target="https://ref.ly/Isa50:4-Isa50:11" TargetMode="External"/><Relationship Id="rId11341" Type="http://schemas.openxmlformats.org/officeDocument/2006/relationships/hyperlink" Target="https://ref.ly/Isa50:6" TargetMode="External"/><Relationship Id="rId11342" Type="http://schemas.openxmlformats.org/officeDocument/2006/relationships/hyperlink" Target="https://ref.ly/Matt27:26,Matt27:30" TargetMode="External"/><Relationship Id="rId11343" Type="http://schemas.openxmlformats.org/officeDocument/2006/relationships/hyperlink" Target="https://ref.ly/Isa50:10-Isa50:11" TargetMode="External"/><Relationship Id="rId11344" Type="http://schemas.openxmlformats.org/officeDocument/2006/relationships/hyperlink" Target="https://ref.ly/Isa50:1-Isa50:11" TargetMode="External"/><Relationship Id="rId11345" Type="http://schemas.openxmlformats.org/officeDocument/2006/relationships/hyperlink" Target="https://ref.ly/Isa51:1-Isa51:8" TargetMode="External"/><Relationship Id="rId11346" Type="http://schemas.openxmlformats.org/officeDocument/2006/relationships/hyperlink" Target="https://ref.ly/Isa51:17,Isa51:22" TargetMode="External"/><Relationship Id="rId11347" Type="http://schemas.openxmlformats.org/officeDocument/2006/relationships/hyperlink" Target="https://ref.ly/Isa52:7-Isa52:10" TargetMode="External"/><Relationship Id="rId11348" Type="http://schemas.openxmlformats.org/officeDocument/2006/relationships/hyperlink" Target="https://ref.ly/Isa52:14" TargetMode="External"/><Relationship Id="rId11349" Type="http://schemas.openxmlformats.org/officeDocument/2006/relationships/hyperlink" Target="https://ref.ly/Isa53:5" TargetMode="External"/><Relationship Id="rId11350" Type="http://schemas.openxmlformats.org/officeDocument/2006/relationships/hyperlink" Target="https://ref.ly/Isa52:13-Isa52:15" TargetMode="External"/><Relationship Id="rId11351" Type="http://schemas.openxmlformats.org/officeDocument/2006/relationships/hyperlink" Target="https://ref.ly/Isa54:1-Isa54:17" TargetMode="External"/><Relationship Id="rId11352" Type="http://schemas.openxmlformats.org/officeDocument/2006/relationships/hyperlink" Target="https://ref.ly/Isa65:8-Isa65:9,Isa65:13-Isa65:15" TargetMode="External"/><Relationship Id="rId11353" Type="http://schemas.openxmlformats.org/officeDocument/2006/relationships/hyperlink" Target="https://ref.ly/Isa56:1-Isa56:8" TargetMode="External"/><Relationship Id="rId11354" Type="http://schemas.openxmlformats.org/officeDocument/2006/relationships/hyperlink" Target="https://ref.ly/Isa56:7" TargetMode="External"/><Relationship Id="rId11355" Type="http://schemas.openxmlformats.org/officeDocument/2006/relationships/hyperlink" Target="https://ref.ly/Matt21:13" TargetMode="External"/><Relationship Id="rId11356" Type="http://schemas.openxmlformats.org/officeDocument/2006/relationships/hyperlink" Target="https://ref.ly/Isa56:9-Isa57:13" TargetMode="External"/><Relationship Id="rId11357" Type="http://schemas.openxmlformats.org/officeDocument/2006/relationships/hyperlink" Target="https://ref.ly/Isa58:1-Isa66:24" TargetMode="External"/><Relationship Id="rId11358" Type="http://schemas.openxmlformats.org/officeDocument/2006/relationships/hyperlink" Target="https://ref.ly/Isa59:1-Isa59:21" TargetMode="External"/><Relationship Id="rId11359" Type="http://schemas.openxmlformats.org/officeDocument/2006/relationships/hyperlink" Target="https://ref.ly/Isa59:12-Isa59:13" TargetMode="External"/><Relationship Id="rId11360" Type="http://schemas.openxmlformats.org/officeDocument/2006/relationships/hyperlink" Target="https://ref.ly/Rev21:23" TargetMode="External"/><Relationship Id="rId11361" Type="http://schemas.openxmlformats.org/officeDocument/2006/relationships/hyperlink" Target="https://ref.ly/Isa61:4" TargetMode="External"/><Relationship Id="rId11362" Type="http://schemas.openxmlformats.org/officeDocument/2006/relationships/hyperlink" Target="https://ref.ly/Isa55:3" TargetMode="External"/><Relationship Id="rId11363" Type="http://schemas.openxmlformats.org/officeDocument/2006/relationships/hyperlink" Target="https://ref.ly/Isa62:12" TargetMode="External"/><Relationship Id="rId11364" Type="http://schemas.openxmlformats.org/officeDocument/2006/relationships/hyperlink" Target="https://ref.ly/Isa62:4" TargetMode="External"/><Relationship Id="rId11365" Type="http://schemas.openxmlformats.org/officeDocument/2006/relationships/hyperlink" Target="https://ref.ly/Isa63:2-Isa63:3" TargetMode="External"/><Relationship Id="rId11366" Type="http://schemas.openxmlformats.org/officeDocument/2006/relationships/hyperlink" Target="https://ref.ly/Isa13:3" TargetMode="External"/><Relationship Id="rId11367" Type="http://schemas.openxmlformats.org/officeDocument/2006/relationships/hyperlink" Target="https://ref.ly/Isa63:7-Isa64:12" TargetMode="External"/><Relationship Id="rId11368" Type="http://schemas.openxmlformats.org/officeDocument/2006/relationships/hyperlink" Target="https://ref.ly/Isa65:17-Isa65:25" TargetMode="External"/><Relationship Id="rId11369" Type="http://schemas.openxmlformats.org/officeDocument/2006/relationships/hyperlink" Target="https://ref.ly/Isa66:1-Isa66:24" TargetMode="External"/><Relationship Id="rId11370" Type="http://schemas.openxmlformats.org/officeDocument/2006/relationships/hyperlink" Target="https://ref.ly/Gen18:12" TargetMode="External"/><Relationship Id="rId11371" Type="http://schemas.openxmlformats.org/officeDocument/2006/relationships/hyperlink" Target="https://ref.ly/Gen17:10-Gen17:14" TargetMode="External"/><Relationship Id="rId11372" Type="http://schemas.openxmlformats.org/officeDocument/2006/relationships/hyperlink" Target="https://ref.ly/Gen21:8-Gen21:10" TargetMode="External"/><Relationship Id="rId11373" Type="http://schemas.openxmlformats.org/officeDocument/2006/relationships/hyperlink" Target="https://ref.ly/Gen21:34" TargetMode="External"/><Relationship Id="rId11374" Type="http://schemas.openxmlformats.org/officeDocument/2006/relationships/hyperlink" Target="https://ref.ly/Gen24:1-Gen24:67" TargetMode="External"/><Relationship Id="rId11375" Type="http://schemas.openxmlformats.org/officeDocument/2006/relationships/hyperlink" Target="https://ref.ly/Gen25:8-Gen25:9" TargetMode="External"/><Relationship Id="rId11376" Type="http://schemas.openxmlformats.org/officeDocument/2006/relationships/hyperlink" Target="https://ref.ly/Gen26:2" TargetMode="External"/><Relationship Id="rId11377" Type="http://schemas.openxmlformats.org/officeDocument/2006/relationships/hyperlink" Target="https://ref.ly/Gen35:27-Gen35:29" TargetMode="External"/><Relationship Id="rId11378" Type="http://schemas.openxmlformats.org/officeDocument/2006/relationships/hyperlink" Target="https://ref.ly/Rom9:7" TargetMode="External"/><Relationship Id="rId11379" Type="http://schemas.openxmlformats.org/officeDocument/2006/relationships/hyperlink" Target="https://ref.ly/Heb11:9-Heb11:20" TargetMode="External"/><Relationship Id="rId11380" Type="http://schemas.openxmlformats.org/officeDocument/2006/relationships/hyperlink" Target="https://ref.ly/1Chr6:2,1Chr6:18,1Chr6:38" TargetMode="External"/><Relationship Id="rId11381" Type="http://schemas.openxmlformats.org/officeDocument/2006/relationships/hyperlink" Target="https://ref.ly/1Chr23:12,1Chr23:18" TargetMode="External"/><Relationship Id="rId11382" Type="http://schemas.openxmlformats.org/officeDocument/2006/relationships/hyperlink" Target="https://ref.ly/1Chr24:22" TargetMode="External"/><Relationship Id="rId11383" Type="http://schemas.openxmlformats.org/officeDocument/2006/relationships/hyperlink" Target="https://ref.ly/1Chr26:23,1Chr26:29" TargetMode="External"/><Relationship Id="rId11384" Type="http://schemas.openxmlformats.org/officeDocument/2006/relationships/hyperlink" Target="https://ref.ly/Num16:1-Num16:11" TargetMode="External"/><Relationship Id="rId11385" Type="http://schemas.openxmlformats.org/officeDocument/2006/relationships/hyperlink" Target="https://ref.ly/1Chr4:7" TargetMode="External"/><Relationship Id="rId11386" Type="http://schemas.openxmlformats.org/officeDocument/2006/relationships/hyperlink" Target="https://ref.ly/Gen25:2" TargetMode="External"/><Relationship Id="rId11387" Type="http://schemas.openxmlformats.org/officeDocument/2006/relationships/hyperlink" Target="https://ref.ly/Gen16:9-Gen16:11" TargetMode="External"/><Relationship Id="rId11388" Type="http://schemas.openxmlformats.org/officeDocument/2006/relationships/hyperlink" Target="https://ref.ly/Gen16:16" TargetMode="External"/><Relationship Id="rId11389" Type="http://schemas.openxmlformats.org/officeDocument/2006/relationships/hyperlink" Target="https://ref.ly/Gen17:18" TargetMode="External"/><Relationship Id="rId11390" Type="http://schemas.openxmlformats.org/officeDocument/2006/relationships/hyperlink" Target="https://ref.ly/Gen17:9-Gen17:14,Gen17:22-Gen17:27" TargetMode="External"/><Relationship Id="rId11391" Type="http://schemas.openxmlformats.org/officeDocument/2006/relationships/hyperlink" Target="https://ref.ly/Gen17:20-Gen17:21" TargetMode="External"/><Relationship Id="rId11392" Type="http://schemas.openxmlformats.org/officeDocument/2006/relationships/hyperlink" Target="https://ref.ly/Gen21:20-Gen21:21" TargetMode="External"/><Relationship Id="rId11393" Type="http://schemas.openxmlformats.org/officeDocument/2006/relationships/hyperlink" Target="https://ref.ly/Gen25:17" TargetMode="External"/><Relationship Id="rId11394" Type="http://schemas.openxmlformats.org/officeDocument/2006/relationships/hyperlink" Target="https://ref.ly/Gen25:13-Gen25:16" TargetMode="External"/><Relationship Id="rId11395" Type="http://schemas.openxmlformats.org/officeDocument/2006/relationships/hyperlink" Target="https://ref.ly/Judg8:22-Judg8:24" TargetMode="External"/><Relationship Id="rId11396" Type="http://schemas.openxmlformats.org/officeDocument/2006/relationships/hyperlink" Target="https://ref.ly/Gal4:22" TargetMode="External"/><Relationship Id="rId11397" Type="http://schemas.openxmlformats.org/officeDocument/2006/relationships/hyperlink" Target="https://ref.ly/Gal4:30" TargetMode="External"/><Relationship Id="rId11398" Type="http://schemas.openxmlformats.org/officeDocument/2006/relationships/hyperlink" Target="https://ref.ly/Jer40:14-Jer40:16" TargetMode="External"/><Relationship Id="rId11399" Type="http://schemas.openxmlformats.org/officeDocument/2006/relationships/hyperlink" Target="https://ref.ly/Jer41:1-Jer41:18" TargetMode="External"/><Relationship Id="rId11400" Type="http://schemas.openxmlformats.org/officeDocument/2006/relationships/hyperlink" Target="https://ref.ly/1Chr8:38" TargetMode="External"/><Relationship Id="rId11401" Type="http://schemas.openxmlformats.org/officeDocument/2006/relationships/hyperlink" Target="https://ref.ly/1Chr9:44" TargetMode="External"/><Relationship Id="rId11402" Type="http://schemas.openxmlformats.org/officeDocument/2006/relationships/hyperlink" Target="https://ref.ly/2Chr19:11" TargetMode="External"/><Relationship Id="rId11403" Type="http://schemas.openxmlformats.org/officeDocument/2006/relationships/hyperlink" Target="https://ref.ly/2Chr23:1" TargetMode="External"/><Relationship Id="rId11404" Type="http://schemas.openxmlformats.org/officeDocument/2006/relationships/hyperlink" Target="https://ref.ly/Ezra10:22" TargetMode="External"/><Relationship Id="rId11405" Type="http://schemas.openxmlformats.org/officeDocument/2006/relationships/hyperlink" Target="https://ref.ly/Gen32:28" TargetMode="External"/><Relationship Id="rId11406" Type="http://schemas.openxmlformats.org/officeDocument/2006/relationships/hyperlink" Target="https://ref.ly/Gen35:9-Gen35:12" TargetMode="External"/><Relationship Id="rId11407" Type="http://schemas.openxmlformats.org/officeDocument/2006/relationships/hyperlink" Target="https://ref.ly/Deut6:1-Deut6:4" TargetMode="External"/><Relationship Id="rId11408" Type="http://schemas.openxmlformats.org/officeDocument/2006/relationships/hyperlink" Target="https://ref.ly/Gen12:4-Gen12:8" TargetMode="External"/><Relationship Id="rId11409" Type="http://schemas.openxmlformats.org/officeDocument/2006/relationships/hyperlink" Target="https://ref.ly/Gen17:6-Gen17:8" TargetMode="External"/><Relationship Id="rId11410" Type="http://schemas.openxmlformats.org/officeDocument/2006/relationships/hyperlink" Target="https://ref.ly/Gen28:1-Gen28:22" TargetMode="External"/><Relationship Id="rId11411" Type="http://schemas.openxmlformats.org/officeDocument/2006/relationships/hyperlink" Target="https://ref.ly/Gen32:1-Gen32:32" TargetMode="External"/><Relationship Id="rId11412" Type="http://schemas.openxmlformats.org/officeDocument/2006/relationships/hyperlink" Target="https://ref.ly/Exod1:12" TargetMode="External"/><Relationship Id="rId11413" Type="http://schemas.openxmlformats.org/officeDocument/2006/relationships/hyperlink" Target="https://ref.ly/Exod7:1-Exod12:51" TargetMode="External"/><Relationship Id="rId11414" Type="http://schemas.openxmlformats.org/officeDocument/2006/relationships/hyperlink" Target="https://ref.ly/Exod12:12" TargetMode="External"/><Relationship Id="rId11415" Type="http://schemas.openxmlformats.org/officeDocument/2006/relationships/hyperlink" Target="https://ref.ly/Exod19:2-Exod24:18" TargetMode="External"/><Relationship Id="rId11416" Type="http://schemas.openxmlformats.org/officeDocument/2006/relationships/hyperlink" Target="https://ref.ly/Exod24:3" TargetMode="External"/><Relationship Id="rId11417" Type="http://schemas.openxmlformats.org/officeDocument/2006/relationships/hyperlink" Target="https://ref.ly/Exod30:1-Exod31:18" TargetMode="External"/><Relationship Id="rId11418" Type="http://schemas.openxmlformats.org/officeDocument/2006/relationships/hyperlink" Target="https://ref.ly/Exod35:1-Exod40:38" TargetMode="External"/><Relationship Id="rId11419" Type="http://schemas.openxmlformats.org/officeDocument/2006/relationships/hyperlink" Target="https://ref.ly/Exod28:1-Exod29:46" TargetMode="External"/><Relationship Id="rId11420" Type="http://schemas.openxmlformats.org/officeDocument/2006/relationships/hyperlink" Target="https://ref.ly/Exod32:1-Exod34:35" TargetMode="External"/><Relationship Id="rId11421" Type="http://schemas.openxmlformats.org/officeDocument/2006/relationships/hyperlink" Target="https://ref.ly/Exod32:9-Exod32:14" TargetMode="External"/><Relationship Id="rId11422" Type="http://schemas.openxmlformats.org/officeDocument/2006/relationships/hyperlink" Target="https://ref.ly/Num14:26-Num14:30" TargetMode="External"/><Relationship Id="rId11423" Type="http://schemas.openxmlformats.org/officeDocument/2006/relationships/hyperlink" Target="https://ref.ly/Josh14:7-Josh14:10" TargetMode="External"/><Relationship Id="rId11424" Type="http://schemas.openxmlformats.org/officeDocument/2006/relationships/hyperlink" Target="https://ref.ly/Josh10:7-Josh10:11" TargetMode="External"/><Relationship Id="rId11425" Type="http://schemas.openxmlformats.org/officeDocument/2006/relationships/hyperlink" Target="https://ref.ly/1Sam4:18" TargetMode="External"/><Relationship Id="rId11426" Type="http://schemas.openxmlformats.org/officeDocument/2006/relationships/hyperlink" Target="https://ref.ly/1Sam8:9-1Sam8:21" TargetMode="External"/><Relationship Id="rId11427" Type="http://schemas.openxmlformats.org/officeDocument/2006/relationships/hyperlink" Target="https://ref.ly/Deut17:14-Deut17:20" TargetMode="External"/><Relationship Id="rId11428" Type="http://schemas.openxmlformats.org/officeDocument/2006/relationships/hyperlink" Target="https://ref.ly/2Sam5:5" TargetMode="External"/><Relationship Id="rId11429" Type="http://schemas.openxmlformats.org/officeDocument/2006/relationships/hyperlink" Target="https://ref.ly/1Sam13:8-1Sam13:14" TargetMode="External"/><Relationship Id="rId11430" Type="http://schemas.openxmlformats.org/officeDocument/2006/relationships/hyperlink" Target="https://ref.ly/2Sam2:2-2Sam2:11" TargetMode="External"/><Relationship Id="rId11431" Type="http://schemas.openxmlformats.org/officeDocument/2006/relationships/hyperlink" Target="https://ref.ly/2Sam8:10" TargetMode="External"/><Relationship Id="rId11432" Type="http://schemas.openxmlformats.org/officeDocument/2006/relationships/hyperlink" Target="https://ref.ly/1Chr18:1-1Chr19:19" TargetMode="External"/><Relationship Id="rId11433" Type="http://schemas.openxmlformats.org/officeDocument/2006/relationships/hyperlink" Target="https://ref.ly/Luke1:31-Luke1:33" TargetMode="External"/><Relationship Id="rId11434" Type="http://schemas.openxmlformats.org/officeDocument/2006/relationships/hyperlink" Target="https://ref.ly/Acts2:29-Acts2:36" TargetMode="External"/><Relationship Id="rId11435" Type="http://schemas.openxmlformats.org/officeDocument/2006/relationships/hyperlink" Target="https://ref.ly/Acts13:32-Acts13:39" TargetMode="External"/><Relationship Id="rId11436" Type="http://schemas.openxmlformats.org/officeDocument/2006/relationships/hyperlink" Target="https://ref.ly/Acts15:14-Acts15:17" TargetMode="External"/><Relationship Id="rId11437" Type="http://schemas.openxmlformats.org/officeDocument/2006/relationships/hyperlink" Target="https://ref.ly/1Kgs11:9-1Kgs11:13" TargetMode="External"/><Relationship Id="rId11438" Type="http://schemas.openxmlformats.org/officeDocument/2006/relationships/hyperlink" Target="https://ref.ly/2Kgs21:9" TargetMode="External"/><Relationship Id="rId11439" Type="http://schemas.openxmlformats.org/officeDocument/2006/relationships/hyperlink" Target="https://ref.ly/Dan1:1" TargetMode="External"/><Relationship Id="rId11440" Type="http://schemas.openxmlformats.org/officeDocument/2006/relationships/hyperlink" Target="https://ref.ly/Ezra2:64-Ezra2:65" TargetMode="External"/><Relationship Id="rId11441" Type="http://schemas.openxmlformats.org/officeDocument/2006/relationships/hyperlink" Target="https://ref.ly/Ezra5:1" TargetMode="External"/><Relationship Id="rId11442" Type="http://schemas.openxmlformats.org/officeDocument/2006/relationships/hyperlink" Target="https://ref.ly/Zech1:1" TargetMode="External"/><Relationship Id="rId11443" Type="http://schemas.openxmlformats.org/officeDocument/2006/relationships/hyperlink" Target="https://ref.ly/Ezra7:7" TargetMode="External"/><Relationship Id="rId11444" Type="http://schemas.openxmlformats.org/officeDocument/2006/relationships/hyperlink" Target="https://ref.ly/1Macc4:36-1Macc4:59" TargetMode="External"/><Relationship Id="rId11445" Type="http://schemas.openxmlformats.org/officeDocument/2006/relationships/hyperlink" Target="https://ref.ly/Acts23:23-Acts24:27" TargetMode="External"/><Relationship Id="rId11446" Type="http://schemas.openxmlformats.org/officeDocument/2006/relationships/hyperlink" Target="https://ref.ly/Acts25:1-Acts25:27" TargetMode="External"/><Relationship Id="rId11447" Type="http://schemas.openxmlformats.org/officeDocument/2006/relationships/hyperlink" Target="https://ref.ly/Gen30:17-Gen30:18" TargetMode="External"/><Relationship Id="rId11448" Type="http://schemas.openxmlformats.org/officeDocument/2006/relationships/hyperlink" Target="https://ref.ly/Gen46:13" TargetMode="External"/><Relationship Id="rId11449" Type="http://schemas.openxmlformats.org/officeDocument/2006/relationships/hyperlink" Target="https://ref.ly/1Chr7:1-1Chr7:5" TargetMode="External"/><Relationship Id="rId11450" Type="http://schemas.openxmlformats.org/officeDocument/2006/relationships/hyperlink" Target="https://ref.ly/Acts7:16" TargetMode="External"/><Relationship Id="rId11451" Type="http://schemas.openxmlformats.org/officeDocument/2006/relationships/hyperlink" Target="https://ref.ly/Num1:29" TargetMode="External"/><Relationship Id="rId11452" Type="http://schemas.openxmlformats.org/officeDocument/2006/relationships/hyperlink" Target="https://ref.ly/Num26:25" TargetMode="External"/><Relationship Id="rId11453" Type="http://schemas.openxmlformats.org/officeDocument/2006/relationships/hyperlink" Target="https://ref.ly/1Chr7:5" TargetMode="External"/><Relationship Id="rId11454" Type="http://schemas.openxmlformats.org/officeDocument/2006/relationships/hyperlink" Target="https://ref.ly/Judg5:15" TargetMode="External"/><Relationship Id="rId11455" Type="http://schemas.openxmlformats.org/officeDocument/2006/relationships/hyperlink" Target="https://ref.ly/1Chr12:32" TargetMode="External"/><Relationship Id="rId11456" Type="http://schemas.openxmlformats.org/officeDocument/2006/relationships/hyperlink" Target="https://ref.ly/Josh19:17" TargetMode="External"/><Relationship Id="rId11457" Type="http://schemas.openxmlformats.org/officeDocument/2006/relationships/hyperlink" Target="https://ref.ly/1Chr26:5" TargetMode="External"/><Relationship Id="rId11458" Type="http://schemas.openxmlformats.org/officeDocument/2006/relationships/hyperlink" Target="https://ref.ly/1Sam14:49" TargetMode="External"/><Relationship Id="rId11459" Type="http://schemas.openxmlformats.org/officeDocument/2006/relationships/hyperlink" Target="https://ref.ly/Acts27:1,Acts27:6" TargetMode="External"/><Relationship Id="rId11460" Type="http://schemas.openxmlformats.org/officeDocument/2006/relationships/hyperlink" Target="https://ref.ly/1Chr24:2" TargetMode="External"/><Relationship Id="rId11461" Type="http://schemas.openxmlformats.org/officeDocument/2006/relationships/hyperlink" Target="https://ref.ly/Num4:28,Num4:33" TargetMode="External"/><Relationship Id="rId11462" Type="http://schemas.openxmlformats.org/officeDocument/2006/relationships/hyperlink" Target="https://ref.ly/Num7:8" TargetMode="External"/><Relationship Id="rId11463" Type="http://schemas.openxmlformats.org/officeDocument/2006/relationships/hyperlink" Target="https://ref.ly/1Chr24:3-1Chr24:6" TargetMode="External"/><Relationship Id="rId11464" Type="http://schemas.openxmlformats.org/officeDocument/2006/relationships/hyperlink" Target="https://ref.ly/Neh11:7" TargetMode="External"/><Relationship Id="rId11465" Type="http://schemas.openxmlformats.org/officeDocument/2006/relationships/hyperlink" Target="https://ref.ly/1Chr7:37" TargetMode="External"/><Relationship Id="rId11466" Type="http://schemas.openxmlformats.org/officeDocument/2006/relationships/hyperlink" Target="https://ref.ly/1Chr7:38" TargetMode="External"/><Relationship Id="rId11467" Type="http://schemas.openxmlformats.org/officeDocument/2006/relationships/hyperlink" Target="https://ref.ly/Isa10:18" TargetMode="External"/><Relationship Id="rId11468" Type="http://schemas.openxmlformats.org/officeDocument/2006/relationships/hyperlink" Target="https://ref.ly/2Sam18:6" TargetMode="External"/><Relationship Id="rId11469" Type="http://schemas.openxmlformats.org/officeDocument/2006/relationships/hyperlink" Target="https://ref.ly/1Kgs7:2" TargetMode="External"/><Relationship Id="rId11470" Type="http://schemas.openxmlformats.org/officeDocument/2006/relationships/hyperlink" Target="https://ref.ly/Josh11:1-Josh11:14" TargetMode="External"/><Relationship Id="rId11471" Type="http://schemas.openxmlformats.org/officeDocument/2006/relationships/hyperlink" Target="https://ref.ly/Judg4:24" TargetMode="External"/><Relationship Id="rId11472" Type="http://schemas.openxmlformats.org/officeDocument/2006/relationships/hyperlink" Target="https://ref.ly/Ps83:9" TargetMode="External"/><Relationship Id="rId11473" Type="http://schemas.openxmlformats.org/officeDocument/2006/relationships/hyperlink" Target="https://ref.ly/Judg11:19-Judg11:22" TargetMode="External"/><Relationship Id="rId11474" Type="http://schemas.openxmlformats.org/officeDocument/2006/relationships/hyperlink" Target="https://ref.ly/Deut3:1-Deut3:2,Deut3:8-Deut3:10" TargetMode="External"/><Relationship Id="rId11475" Type="http://schemas.openxmlformats.org/officeDocument/2006/relationships/hyperlink" Target="https://ref.ly/Josh12:2-Josh12:6" TargetMode="External"/><Relationship Id="rId11476" Type="http://schemas.openxmlformats.org/officeDocument/2006/relationships/hyperlink" Target="https://ref.ly/Gen36:1" TargetMode="External"/><Relationship Id="rId11477" Type="http://schemas.openxmlformats.org/officeDocument/2006/relationships/hyperlink" Target="https://ref.ly/Hos12:3" TargetMode="External"/><Relationship Id="rId11478" Type="http://schemas.openxmlformats.org/officeDocument/2006/relationships/hyperlink" Target="https://ref.ly/Heb12:16" TargetMode="External"/><Relationship Id="rId11479" Type="http://schemas.openxmlformats.org/officeDocument/2006/relationships/hyperlink" Target="https://ref.ly/Gen27:6-Gen27:7" TargetMode="External"/><Relationship Id="rId11480" Type="http://schemas.openxmlformats.org/officeDocument/2006/relationships/hyperlink" Target="https://ref.ly/Gen25:28" TargetMode="External"/><Relationship Id="rId11481" Type="http://schemas.openxmlformats.org/officeDocument/2006/relationships/hyperlink" Target="https://ref.ly/Gen27:16" TargetMode="External"/><Relationship Id="rId11482" Type="http://schemas.openxmlformats.org/officeDocument/2006/relationships/hyperlink" Target="https://ref.ly/Gen27:33" TargetMode="External"/><Relationship Id="rId11483" Type="http://schemas.openxmlformats.org/officeDocument/2006/relationships/hyperlink" Target="https://ref.ly/Heb12:17" TargetMode="External"/><Relationship Id="rId11484" Type="http://schemas.openxmlformats.org/officeDocument/2006/relationships/hyperlink" Target="https://ref.ly/Gen27:39-Gen27:40" TargetMode="External"/><Relationship Id="rId11485" Type="http://schemas.openxmlformats.org/officeDocument/2006/relationships/hyperlink" Target="https://ref.ly/Gen27:42-Gen27:45" TargetMode="External"/><Relationship Id="rId11486" Type="http://schemas.openxmlformats.org/officeDocument/2006/relationships/hyperlink" Target="https://ref.ly/Gen27:46-Gen28:4" TargetMode="External"/><Relationship Id="rId11487" Type="http://schemas.openxmlformats.org/officeDocument/2006/relationships/hyperlink" Target="https://ref.ly/Gen29:1-Gen29:10" TargetMode="External"/><Relationship Id="rId11488" Type="http://schemas.openxmlformats.org/officeDocument/2006/relationships/hyperlink" Target="https://ref.ly/Gen29:15-Gen29:20" TargetMode="External"/><Relationship Id="rId11489" Type="http://schemas.openxmlformats.org/officeDocument/2006/relationships/hyperlink" Target="https://ref.ly/Gen29:21-Gen29:30" TargetMode="External"/><Relationship Id="rId11490" Type="http://schemas.openxmlformats.org/officeDocument/2006/relationships/hyperlink" Target="https://ref.ly/Gen30:1-Gen30:43" TargetMode="External"/><Relationship Id="rId11491" Type="http://schemas.openxmlformats.org/officeDocument/2006/relationships/hyperlink" Target="https://ref.ly/Gen30:1-Gen30:8" TargetMode="External"/><Relationship Id="rId11492" Type="http://schemas.openxmlformats.org/officeDocument/2006/relationships/hyperlink" Target="https://ref.ly/Gen30:27" TargetMode="External"/><Relationship Id="rId11493" Type="http://schemas.openxmlformats.org/officeDocument/2006/relationships/hyperlink" Target="https://ref.ly/Gen30:35-Gen30:36" TargetMode="External"/><Relationship Id="rId11494" Type="http://schemas.openxmlformats.org/officeDocument/2006/relationships/hyperlink" Target="https://ref.ly/Gen30:37-Gen30:43" TargetMode="External"/><Relationship Id="rId11495" Type="http://schemas.openxmlformats.org/officeDocument/2006/relationships/hyperlink" Target="https://ref.ly/Gen31:3-Gen31:16" TargetMode="External"/><Relationship Id="rId11496" Type="http://schemas.openxmlformats.org/officeDocument/2006/relationships/hyperlink" Target="https://ref.ly/Gen32:2" TargetMode="External"/><Relationship Id="rId11497" Type="http://schemas.openxmlformats.org/officeDocument/2006/relationships/hyperlink" Target="https://ref.ly/Gen32:30" TargetMode="External"/><Relationship Id="rId11498" Type="http://schemas.openxmlformats.org/officeDocument/2006/relationships/hyperlink" Target="https://ref.ly/Gen35:9-Gen35:15" TargetMode="External"/><Relationship Id="rId11499" Type="http://schemas.openxmlformats.org/officeDocument/2006/relationships/hyperlink" Target="https://ref.ly/Gen35:16-Gen35:20" TargetMode="External"/><Relationship Id="rId11500" Type="http://schemas.openxmlformats.org/officeDocument/2006/relationships/hyperlink" Target="https://ref.ly/Gen37:1-Gen50:26" TargetMode="External"/><Relationship Id="rId11501" Type="http://schemas.openxmlformats.org/officeDocument/2006/relationships/hyperlink" Target="https://ref.ly/Gen37:9-Gen37:28" TargetMode="External"/><Relationship Id="rId11502" Type="http://schemas.openxmlformats.org/officeDocument/2006/relationships/hyperlink" Target="https://ref.ly/Gen42:1-Gen42:5" TargetMode="External"/><Relationship Id="rId11503" Type="http://schemas.openxmlformats.org/officeDocument/2006/relationships/hyperlink" Target="https://ref.ly/Gen43:11-Gen43:14" TargetMode="External"/><Relationship Id="rId11504" Type="http://schemas.openxmlformats.org/officeDocument/2006/relationships/hyperlink" Target="https://ref.ly/Gen45:21-Gen45:28" TargetMode="External"/><Relationship Id="rId11505" Type="http://schemas.openxmlformats.org/officeDocument/2006/relationships/hyperlink" Target="https://ref.ly/Gen46:28-Gen46:30" TargetMode="External"/><Relationship Id="rId11506" Type="http://schemas.openxmlformats.org/officeDocument/2006/relationships/hyperlink" Target="https://ref.ly/Gen47:1" TargetMode="External"/><Relationship Id="rId11507" Type="http://schemas.openxmlformats.org/officeDocument/2006/relationships/hyperlink" Target="https://ref.ly/Gen48:13-Gen48:20" TargetMode="External"/><Relationship Id="rId11508" Type="http://schemas.openxmlformats.org/officeDocument/2006/relationships/hyperlink" Target="https://ref.ly/Gen49:8-Gen49:12" TargetMode="External"/><Relationship Id="rId11509" Type="http://schemas.openxmlformats.org/officeDocument/2006/relationships/hyperlink" Target="https://ref.ly/Gen50:1-Gen50:3" TargetMode="External"/><Relationship Id="rId11510" Type="http://schemas.openxmlformats.org/officeDocument/2006/relationships/hyperlink" Target="https://ref.ly/Gen50:15-Gen50:21" TargetMode="External"/><Relationship Id="rId11511" Type="http://schemas.openxmlformats.org/officeDocument/2006/relationships/hyperlink" Target="https://ref.ly/Num24:5,Num24:19" TargetMode="External"/><Relationship Id="rId11512" Type="http://schemas.openxmlformats.org/officeDocument/2006/relationships/hyperlink" Target="https://ref.ly/Ps59:13" TargetMode="External"/><Relationship Id="rId11513" Type="http://schemas.openxmlformats.org/officeDocument/2006/relationships/hyperlink" Target="https://ref.ly/Num23:7" TargetMode="External"/><Relationship Id="rId11514" Type="http://schemas.openxmlformats.org/officeDocument/2006/relationships/hyperlink" Target="https://ref.ly/Amos7:2,Amos7:5" TargetMode="External"/><Relationship Id="rId11515" Type="http://schemas.openxmlformats.org/officeDocument/2006/relationships/hyperlink" Target="https://ref.ly/Isa41:21" TargetMode="External"/><Relationship Id="rId11516" Type="http://schemas.openxmlformats.org/officeDocument/2006/relationships/hyperlink" Target="https://ref.ly/Gen9:18,Gen9:23,Gen9:27" TargetMode="External"/><Relationship Id="rId11517" Type="http://schemas.openxmlformats.org/officeDocument/2006/relationships/hyperlink" Target="https://ref.ly/Gen10:1-Gen10:5" TargetMode="External"/><Relationship Id="rId11518" Type="http://schemas.openxmlformats.org/officeDocument/2006/relationships/hyperlink" Target="https://ref.ly/1Chr1:4-1Chr1:5" TargetMode="External"/><Relationship Id="rId11519" Type="http://schemas.openxmlformats.org/officeDocument/2006/relationships/hyperlink" Target="https://ref.ly/Gen9:20-Gen9:23" TargetMode="External"/><Relationship Id="rId11520" Type="http://schemas.openxmlformats.org/officeDocument/2006/relationships/hyperlink" Target="https://ref.ly/Gen9:26-Gen9:27" TargetMode="External"/><Relationship Id="rId11521" Type="http://schemas.openxmlformats.org/officeDocument/2006/relationships/hyperlink" Target="https://ref.ly/Josh13:30" TargetMode="External"/><Relationship Id="rId11522" Type="http://schemas.openxmlformats.org/officeDocument/2006/relationships/hyperlink" Target="https://ref.ly/Judg10:3-Judg10:5" TargetMode="External"/><Relationship Id="rId11523" Type="http://schemas.openxmlformats.org/officeDocument/2006/relationships/hyperlink" Target="https://ref.ly/1Chr20:5" TargetMode="External"/><Relationship Id="rId11524" Type="http://schemas.openxmlformats.org/officeDocument/2006/relationships/hyperlink" Target="https://ref.ly/2Sam21:19" TargetMode="External"/><Relationship Id="rId11525" Type="http://schemas.openxmlformats.org/officeDocument/2006/relationships/hyperlink" Target="https://ref.ly/Mark5:22" TargetMode="External"/><Relationship Id="rId11526" Type="http://schemas.openxmlformats.org/officeDocument/2006/relationships/hyperlink" Target="https://ref.ly/Gen46:10" TargetMode="External"/><Relationship Id="rId11527" Type="http://schemas.openxmlformats.org/officeDocument/2006/relationships/hyperlink" Target="https://ref.ly/Exod6:15" TargetMode="External"/><Relationship Id="rId11528" Type="http://schemas.openxmlformats.org/officeDocument/2006/relationships/hyperlink" Target="https://ref.ly/1Chr4:24" TargetMode="External"/><Relationship Id="rId11529" Type="http://schemas.openxmlformats.org/officeDocument/2006/relationships/hyperlink" Target="https://ref.ly/Num26:12" TargetMode="External"/><Relationship Id="rId11530" Type="http://schemas.openxmlformats.org/officeDocument/2006/relationships/hyperlink" Target="https://ref.ly/1Chr2:27" TargetMode="External"/><Relationship Id="rId11531" Type="http://schemas.openxmlformats.org/officeDocument/2006/relationships/hyperlink" Target="https://ref.ly/Neh8:7" TargetMode="External"/><Relationship Id="rId11532" Type="http://schemas.openxmlformats.org/officeDocument/2006/relationships/hyperlink" Target="https://ref.ly/Exod7:1-Exod9:35" TargetMode="External"/><Relationship Id="rId11533" Type="http://schemas.openxmlformats.org/officeDocument/2006/relationships/hyperlink" Target="https://ref.ly/2Tim3:6-2Tim3:8" TargetMode="External"/><Relationship Id="rId11534" Type="http://schemas.openxmlformats.org/officeDocument/2006/relationships/hyperlink" Target="https://ref.ly/2Tim3:8" TargetMode="External"/><Relationship Id="rId11535" Type="http://schemas.openxmlformats.org/officeDocument/2006/relationships/hyperlink" Target="https://ref.ly/1Chr9:10" TargetMode="External"/><Relationship Id="rId11536" Type="http://schemas.openxmlformats.org/officeDocument/2006/relationships/hyperlink" Target="https://ref.ly/Neh11:10" TargetMode="External"/><Relationship Id="rId11537" Type="http://schemas.openxmlformats.org/officeDocument/2006/relationships/hyperlink" Target="https://ref.ly/1Chr24:17" TargetMode="External"/><Relationship Id="rId11538" Type="http://schemas.openxmlformats.org/officeDocument/2006/relationships/hyperlink" Target="https://ref.ly/Gen2:8" TargetMode="External"/><Relationship Id="rId11539" Type="http://schemas.openxmlformats.org/officeDocument/2006/relationships/hyperlink" Target="https://ref.ly/Gen2:8-Gen2:10" TargetMode="External"/><Relationship Id="rId11540" Type="http://schemas.openxmlformats.org/officeDocument/2006/relationships/hyperlink" Target="https://ref.ly/Gen5:15-Gen5:20" TargetMode="External"/><Relationship Id="rId11541" Type="http://schemas.openxmlformats.org/officeDocument/2006/relationships/hyperlink" Target="https://ref.ly/2Macc4:9-2Macc4:50" TargetMode="External"/><Relationship Id="rId11542" Type="http://schemas.openxmlformats.org/officeDocument/2006/relationships/hyperlink" Target="https://ref.ly/2Macc5:10" TargetMode="External"/><Relationship Id="rId11543" Type="http://schemas.openxmlformats.org/officeDocument/2006/relationships/hyperlink" Target="https://ref.ly/Acts17:1,Acts17:5-Acts17:9" TargetMode="External"/><Relationship Id="rId11544" Type="http://schemas.openxmlformats.org/officeDocument/2006/relationships/hyperlink" Target="https://ref.ly/Rom16:21" TargetMode="External"/><Relationship Id="rId11545" Type="http://schemas.openxmlformats.org/officeDocument/2006/relationships/hyperlink" Target="https://ref.ly/1Chr7:1" TargetMode="External"/><Relationship Id="rId11546" Type="http://schemas.openxmlformats.org/officeDocument/2006/relationships/hyperlink" Target="https://ref.ly/Num26:24" TargetMode="External"/><Relationship Id="rId11547" Type="http://schemas.openxmlformats.org/officeDocument/2006/relationships/hyperlink" Target="https://ref.ly/Ezra10:29" TargetMode="External"/><Relationship Id="rId11548" Type="http://schemas.openxmlformats.org/officeDocument/2006/relationships/hyperlink" Target="https://ref.ly/Dan10:13,Dan10:20" TargetMode="External"/><Relationship Id="rId11549" Type="http://schemas.openxmlformats.org/officeDocument/2006/relationships/hyperlink" Target="https://ref.ly/Gen10:2-Gen10:4" TargetMode="External"/><Relationship Id="rId11550" Type="http://schemas.openxmlformats.org/officeDocument/2006/relationships/hyperlink" Target="https://ref.ly/1Chr1:5-1Chr1:7" TargetMode="External"/><Relationship Id="rId11551" Type="http://schemas.openxmlformats.org/officeDocument/2006/relationships/hyperlink" Target="https://ref.ly/Num21:23" TargetMode="External"/><Relationship Id="rId11552" Type="http://schemas.openxmlformats.org/officeDocument/2006/relationships/hyperlink" Target="https://ref.ly/Deut2:32" TargetMode="External"/><Relationship Id="rId11553" Type="http://schemas.openxmlformats.org/officeDocument/2006/relationships/hyperlink" Target="https://ref.ly/Judg11:20" TargetMode="External"/><Relationship Id="rId11554" Type="http://schemas.openxmlformats.org/officeDocument/2006/relationships/hyperlink" Target="https://ref.ly/Josh13:18" TargetMode="External"/><Relationship Id="rId11555" Type="http://schemas.openxmlformats.org/officeDocument/2006/relationships/hyperlink" Target="https://ref.ly/Jer48:21" TargetMode="External"/><Relationship Id="rId11556" Type="http://schemas.openxmlformats.org/officeDocument/2006/relationships/hyperlink" Target="https://ref.ly/Num21:32" TargetMode="External"/><Relationship Id="rId11557" Type="http://schemas.openxmlformats.org/officeDocument/2006/relationships/hyperlink" Target="https://ref.ly/Num32:1-Num32:5" TargetMode="External"/><Relationship Id="rId11558" Type="http://schemas.openxmlformats.org/officeDocument/2006/relationships/hyperlink" Target="https://ref.ly/Num32:6-Num32:27" TargetMode="External"/><Relationship Id="rId11559" Type="http://schemas.openxmlformats.org/officeDocument/2006/relationships/hyperlink" Target="https://ref.ly/Josh21:39" TargetMode="External"/><Relationship Id="rId11560" Type="http://schemas.openxmlformats.org/officeDocument/2006/relationships/hyperlink" Target="https://ref.ly/1Chr6:81" TargetMode="External"/><Relationship Id="rId11561" Type="http://schemas.openxmlformats.org/officeDocument/2006/relationships/hyperlink" Target="https://ref.ly/1Chr26:31" TargetMode="External"/><Relationship Id="rId11562" Type="http://schemas.openxmlformats.org/officeDocument/2006/relationships/hyperlink" Target="https://ref.ly/Isa16:6-Isa16:9" TargetMode="External"/><Relationship Id="rId11563" Type="http://schemas.openxmlformats.org/officeDocument/2006/relationships/hyperlink" Target="https://ref.ly/Jer48:32" TargetMode="External"/><Relationship Id="rId11564" Type="http://schemas.openxmlformats.org/officeDocument/2006/relationships/hyperlink" Target="https://ref.ly/Gen10:15-Gen10:16" TargetMode="External"/><Relationship Id="rId11565" Type="http://schemas.openxmlformats.org/officeDocument/2006/relationships/hyperlink" Target="https://ref.ly/Josh18:28" TargetMode="External"/><Relationship Id="rId11566" Type="http://schemas.openxmlformats.org/officeDocument/2006/relationships/hyperlink" Target="https://ref.ly/1Chr11:5" TargetMode="External"/><Relationship Id="rId11567" Type="http://schemas.openxmlformats.org/officeDocument/2006/relationships/hyperlink" Target="https://ref.ly/2Sam5:8" TargetMode="External"/><Relationship Id="rId11568" Type="http://schemas.openxmlformats.org/officeDocument/2006/relationships/hyperlink" Target="https://ref.ly/1Chr7:6,1Chr7:10-1Chr7:11" TargetMode="External"/><Relationship Id="rId11569" Type="http://schemas.openxmlformats.org/officeDocument/2006/relationships/hyperlink" Target="https://ref.ly/1Chr11:45" TargetMode="External"/><Relationship Id="rId11570" Type="http://schemas.openxmlformats.org/officeDocument/2006/relationships/hyperlink" Target="https://ref.ly/1Chr12:20" TargetMode="External"/><Relationship Id="rId11571" Type="http://schemas.openxmlformats.org/officeDocument/2006/relationships/hyperlink" Target="https://ref.ly/1Chr26:2" TargetMode="External"/><Relationship Id="rId11572" Type="http://schemas.openxmlformats.org/officeDocument/2006/relationships/hyperlink" Target="https://ref.ly/Ps62:1-Ps62:12" TargetMode="External"/><Relationship Id="rId11573" Type="http://schemas.openxmlformats.org/officeDocument/2006/relationships/hyperlink" Target="https://ref.ly/Ps77:1-Ps77:20" TargetMode="External"/><Relationship Id="rId11574" Type="http://schemas.openxmlformats.org/officeDocument/2006/relationships/hyperlink" Target="https://ref.ly/1Chr25:1-1Chr25:3" TargetMode="External"/><Relationship Id="rId11575" Type="http://schemas.openxmlformats.org/officeDocument/2006/relationships/hyperlink" Target="https://ref.ly/1Chr16:38" TargetMode="External"/><Relationship Id="rId11576" Type="http://schemas.openxmlformats.org/officeDocument/2006/relationships/hyperlink" Target="https://ref.ly/1Chr16:42" TargetMode="External"/><Relationship Id="rId11577" Type="http://schemas.openxmlformats.org/officeDocument/2006/relationships/hyperlink" Target="https://ref.ly/Num13:6" TargetMode="External"/><Relationship Id="rId11578" Type="http://schemas.openxmlformats.org/officeDocument/2006/relationships/hyperlink" Target="https://ref.ly/Num14:6" TargetMode="External"/><Relationship Id="rId11579" Type="http://schemas.openxmlformats.org/officeDocument/2006/relationships/hyperlink" Target="https://ref.ly/Num26:65" TargetMode="External"/><Relationship Id="rId11580" Type="http://schemas.openxmlformats.org/officeDocument/2006/relationships/hyperlink" Target="https://ref.ly/1Chr6:56" TargetMode="External"/><Relationship Id="rId11581" Type="http://schemas.openxmlformats.org/officeDocument/2006/relationships/hyperlink" Target="https://ref.ly/Gen10:25-Gen10:26" TargetMode="External"/><Relationship Id="rId11582" Type="http://schemas.openxmlformats.org/officeDocument/2006/relationships/hyperlink" Target="https://ref.ly/2Chr28:15" TargetMode="External"/><Relationship Id="rId11583" Type="http://schemas.openxmlformats.org/officeDocument/2006/relationships/hyperlink" Target="https://ref.ly/Luke10:30" TargetMode="External"/><Relationship Id="rId11584" Type="http://schemas.openxmlformats.org/officeDocument/2006/relationships/hyperlink" Target="https://ref.ly/2Kgs2:18-2Kgs2:22" TargetMode="External"/><Relationship Id="rId11585" Type="http://schemas.openxmlformats.org/officeDocument/2006/relationships/hyperlink" Target="https://ref.ly/Josh2:1-Josh2:24" TargetMode="External"/><Relationship Id="rId11586" Type="http://schemas.openxmlformats.org/officeDocument/2006/relationships/hyperlink" Target="https://ref.ly/Josh16:1" TargetMode="External"/><Relationship Id="rId11587" Type="http://schemas.openxmlformats.org/officeDocument/2006/relationships/hyperlink" Target="https://ref.ly/Josh18:12" TargetMode="External"/><Relationship Id="rId11588" Type="http://schemas.openxmlformats.org/officeDocument/2006/relationships/hyperlink" Target="https://ref.ly/2Sam10:5" TargetMode="External"/><Relationship Id="rId11589" Type="http://schemas.openxmlformats.org/officeDocument/2006/relationships/hyperlink" Target="https://ref.ly/1Chr19:5" TargetMode="External"/><Relationship Id="rId11590" Type="http://schemas.openxmlformats.org/officeDocument/2006/relationships/hyperlink" Target="https://ref.ly/2Kgs2:5" TargetMode="External"/><Relationship Id="rId11591" Type="http://schemas.openxmlformats.org/officeDocument/2006/relationships/hyperlink" Target="https://ref.ly/Jer39:5" TargetMode="External"/><Relationship Id="rId11592" Type="http://schemas.openxmlformats.org/officeDocument/2006/relationships/hyperlink" Target="https://ref.ly/Jer52:8" TargetMode="External"/><Relationship Id="rId11593" Type="http://schemas.openxmlformats.org/officeDocument/2006/relationships/hyperlink" Target="https://ref.ly/Ezra2:34" TargetMode="External"/><Relationship Id="rId11594" Type="http://schemas.openxmlformats.org/officeDocument/2006/relationships/hyperlink" Target="https://ref.ly/Neh7:36" TargetMode="External"/><Relationship Id="rId11595" Type="http://schemas.openxmlformats.org/officeDocument/2006/relationships/hyperlink" Target="https://ref.ly/Neh3:2" TargetMode="External"/><Relationship Id="rId11596" Type="http://schemas.openxmlformats.org/officeDocument/2006/relationships/hyperlink" Target="https://ref.ly/Matt20:29" TargetMode="External"/><Relationship Id="rId11597" Type="http://schemas.openxmlformats.org/officeDocument/2006/relationships/hyperlink" Target="https://ref.ly/Mark10:46" TargetMode="External"/><Relationship Id="rId11598" Type="http://schemas.openxmlformats.org/officeDocument/2006/relationships/hyperlink" Target="https://ref.ly/Luke18:35" TargetMode="External"/><Relationship Id="rId11599" Type="http://schemas.openxmlformats.org/officeDocument/2006/relationships/hyperlink" Target="https://ref.ly/Luke19:1" TargetMode="External"/><Relationship Id="rId11600" Type="http://schemas.openxmlformats.org/officeDocument/2006/relationships/hyperlink" Target="https://ref.ly/Luke10:30-Luke10:37" TargetMode="External"/><Relationship Id="rId11601" Type="http://schemas.openxmlformats.org/officeDocument/2006/relationships/hyperlink" Target="https://ref.ly/1Kgs11:26" TargetMode="External"/><Relationship Id="rId11602" Type="http://schemas.openxmlformats.org/officeDocument/2006/relationships/hyperlink" Target="https://ref.ly/1Kgs11:27-1Kgs11:28" TargetMode="External"/><Relationship Id="rId11603" Type="http://schemas.openxmlformats.org/officeDocument/2006/relationships/hyperlink" Target="https://ref.ly/1Kgs11:29-1Kgs11:30" TargetMode="External"/><Relationship Id="rId11604" Type="http://schemas.openxmlformats.org/officeDocument/2006/relationships/hyperlink" Target="https://ref.ly/1Kgs11:31-1Kgs11:39" TargetMode="External"/><Relationship Id="rId11605" Type="http://schemas.openxmlformats.org/officeDocument/2006/relationships/hyperlink" Target="https://ref.ly/1Kgs11:33" TargetMode="External"/><Relationship Id="rId11606" Type="http://schemas.openxmlformats.org/officeDocument/2006/relationships/hyperlink" Target="https://ref.ly/1Kgs11:7" TargetMode="External"/><Relationship Id="rId11607" Type="http://schemas.openxmlformats.org/officeDocument/2006/relationships/hyperlink" Target="https://ref.ly/1Kgs12:1-1Kgs12:4" TargetMode="External"/><Relationship Id="rId11608" Type="http://schemas.openxmlformats.org/officeDocument/2006/relationships/hyperlink" Target="https://ref.ly/1Kgs12:5-1Kgs12:11" TargetMode="External"/><Relationship Id="rId11609" Type="http://schemas.openxmlformats.org/officeDocument/2006/relationships/hyperlink" Target="https://ref.ly/1Kgs12:12-1Kgs12:14" TargetMode="External"/><Relationship Id="rId11610" Type="http://schemas.openxmlformats.org/officeDocument/2006/relationships/hyperlink" Target="https://ref.ly/1Kgs12:20" TargetMode="External"/><Relationship Id="rId11611" Type="http://schemas.openxmlformats.org/officeDocument/2006/relationships/hyperlink" Target="https://ref.ly/Gen12:6-Gen12:8" TargetMode="External"/><Relationship Id="rId11612" Type="http://schemas.openxmlformats.org/officeDocument/2006/relationships/hyperlink" Target="https://ref.ly/Judg8:17" TargetMode="External"/><Relationship Id="rId11613" Type="http://schemas.openxmlformats.org/officeDocument/2006/relationships/hyperlink" Target="https://ref.ly/1Kgs12:25" TargetMode="External"/><Relationship Id="rId11614" Type="http://schemas.openxmlformats.org/officeDocument/2006/relationships/hyperlink" Target="https://ref.ly/1Kgs12:29" TargetMode="External"/><Relationship Id="rId11615" Type="http://schemas.openxmlformats.org/officeDocument/2006/relationships/hyperlink" Target="https://ref.ly/Gen31:13" TargetMode="External"/><Relationship Id="rId11616" Type="http://schemas.openxmlformats.org/officeDocument/2006/relationships/hyperlink" Target="https://ref.ly/Gen35:1-Gen35:7" TargetMode="External"/><Relationship Id="rId11617" Type="http://schemas.openxmlformats.org/officeDocument/2006/relationships/hyperlink" Target="https://ref.ly/1Kgs12:28" TargetMode="External"/><Relationship Id="rId11618" Type="http://schemas.openxmlformats.org/officeDocument/2006/relationships/hyperlink" Target="https://ref.ly/Exod32:4-Exod32:5" TargetMode="External"/><Relationship Id="rId11619" Type="http://schemas.openxmlformats.org/officeDocument/2006/relationships/hyperlink" Target="https://ref.ly/1Kgs13:33-1Kgs13:34" TargetMode="External"/><Relationship Id="rId11620" Type="http://schemas.openxmlformats.org/officeDocument/2006/relationships/hyperlink" Target="https://ref.ly/1Kgs14:1-1Kgs14:18" TargetMode="External"/><Relationship Id="rId11621" Type="http://schemas.openxmlformats.org/officeDocument/2006/relationships/hyperlink" Target="https://ref.ly/1Kgs14:7-1Kgs14:16" TargetMode="External"/><Relationship Id="rId11622" Type="http://schemas.openxmlformats.org/officeDocument/2006/relationships/hyperlink" Target="https://ref.ly/2Chr13:1-2Chr13:20" TargetMode="External"/><Relationship Id="rId11623" Type="http://schemas.openxmlformats.org/officeDocument/2006/relationships/hyperlink" Target="https://ref.ly/1Kgs14:19-1Kgs14:20" TargetMode="External"/><Relationship Id="rId11624" Type="http://schemas.openxmlformats.org/officeDocument/2006/relationships/hyperlink" Target="https://ref.ly/1Kgs14:20" TargetMode="External"/><Relationship Id="rId11625" Type="http://schemas.openxmlformats.org/officeDocument/2006/relationships/hyperlink" Target="https://ref.ly/1Kgs15:25-1Kgs15:31" TargetMode="External"/><Relationship Id="rId11626" Type="http://schemas.openxmlformats.org/officeDocument/2006/relationships/hyperlink" Target="https://ref.ly/1Kgs15:34" TargetMode="External"/><Relationship Id="rId11627" Type="http://schemas.openxmlformats.org/officeDocument/2006/relationships/hyperlink" Target="https://ref.ly/2Kgs14:23-2Kgs14:24" TargetMode="External"/><Relationship Id="rId11628" Type="http://schemas.openxmlformats.org/officeDocument/2006/relationships/hyperlink" Target="https://ref.ly/2Kgs14:8-2Kgs14:14" TargetMode="External"/><Relationship Id="rId11629" Type="http://schemas.openxmlformats.org/officeDocument/2006/relationships/hyperlink" Target="https://ref.ly/2Chr25:5-2Chr25:24" TargetMode="External"/><Relationship Id="rId11630" Type="http://schemas.openxmlformats.org/officeDocument/2006/relationships/hyperlink" Target="https://ref.ly/2Kgs14:23" TargetMode="External"/><Relationship Id="rId11631" Type="http://schemas.openxmlformats.org/officeDocument/2006/relationships/hyperlink" Target="https://ref.ly/2Kgs14:26-2Kgs14:28" TargetMode="External"/><Relationship Id="rId11632" Type="http://schemas.openxmlformats.org/officeDocument/2006/relationships/hyperlink" Target="https://ref.ly/Amos7:8-Amos7:17" TargetMode="External"/><Relationship Id="rId11633" Type="http://schemas.openxmlformats.org/officeDocument/2006/relationships/hyperlink" Target="https://ref.ly/2Kgs14:29" TargetMode="External"/><Relationship Id="rId11634" Type="http://schemas.openxmlformats.org/officeDocument/2006/relationships/hyperlink" Target="https://ref.ly/2Kgs15:8-2Kgs15:12" TargetMode="External"/><Relationship Id="rId11635" Type="http://schemas.openxmlformats.org/officeDocument/2006/relationships/hyperlink" Target="https://ref.ly/2Kgs10:12-2Kgs10:31" TargetMode="External"/><Relationship Id="rId11636" Type="http://schemas.openxmlformats.org/officeDocument/2006/relationships/hyperlink" Target="https://ref.ly/2Kgs17:5-2Kgs17:41" TargetMode="External"/><Relationship Id="rId11637" Type="http://schemas.openxmlformats.org/officeDocument/2006/relationships/hyperlink" Target="https://ref.ly/Ezek16:3" TargetMode="External"/><Relationship Id="rId11638" Type="http://schemas.openxmlformats.org/officeDocument/2006/relationships/hyperlink" Target="https://ref.ly/Job38:6" TargetMode="External"/><Relationship Id="rId11639" Type="http://schemas.openxmlformats.org/officeDocument/2006/relationships/hyperlink" Target="https://ref.ly/Ezra10:9" TargetMode="External"/><Relationship Id="rId11640" Type="http://schemas.openxmlformats.org/officeDocument/2006/relationships/hyperlink" Target="https://ref.ly/Gen14:17-Gen14:20" TargetMode="External"/><Relationship Id="rId11641" Type="http://schemas.openxmlformats.org/officeDocument/2006/relationships/hyperlink" Target="https://ref.ly/Josh10:16-Josh10:27" TargetMode="External"/><Relationship Id="rId11642" Type="http://schemas.openxmlformats.org/officeDocument/2006/relationships/hyperlink" Target="https://ref.ly/Judg1:8" TargetMode="External"/><Relationship Id="rId11643" Type="http://schemas.openxmlformats.org/officeDocument/2006/relationships/hyperlink" Target="https://ref.ly/Josh15:63" TargetMode="External"/><Relationship Id="rId11644" Type="http://schemas.openxmlformats.org/officeDocument/2006/relationships/hyperlink" Target="https://ref.ly/1Chr11:4-1Chr11:5" TargetMode="External"/><Relationship Id="rId11645" Type="http://schemas.openxmlformats.org/officeDocument/2006/relationships/hyperlink" Target="https://ref.ly/2Sam3:1" TargetMode="External"/><Relationship Id="rId11646" Type="http://schemas.openxmlformats.org/officeDocument/2006/relationships/hyperlink" Target="https://ref.ly/Neh12:37" TargetMode="External"/><Relationship Id="rId11647" Type="http://schemas.openxmlformats.org/officeDocument/2006/relationships/hyperlink" Target="https://ref.ly/2Sam6:16-2Sam6:23" TargetMode="External"/><Relationship Id="rId11648" Type="http://schemas.openxmlformats.org/officeDocument/2006/relationships/hyperlink" Target="https://ref.ly/2Sam11:2-2Sam11:5" TargetMode="External"/><Relationship Id="rId11649" Type="http://schemas.openxmlformats.org/officeDocument/2006/relationships/hyperlink" Target="https://ref.ly/2Sam6:1-2Sam6:15" TargetMode="External"/><Relationship Id="rId11650" Type="http://schemas.openxmlformats.org/officeDocument/2006/relationships/hyperlink" Target="https://ref.ly/2Sam5:7" TargetMode="External"/><Relationship Id="rId11651" Type="http://schemas.openxmlformats.org/officeDocument/2006/relationships/hyperlink" Target="https://ref.ly/Ps46:4" TargetMode="External"/><Relationship Id="rId11652" Type="http://schemas.openxmlformats.org/officeDocument/2006/relationships/hyperlink" Target="https://ref.ly/1Kgs10:1-1Kgs10:29" TargetMode="External"/><Relationship Id="rId11653" Type="http://schemas.openxmlformats.org/officeDocument/2006/relationships/hyperlink" Target="https://ref.ly/1Kgs10:27" TargetMode="External"/><Relationship Id="rId11654" Type="http://schemas.openxmlformats.org/officeDocument/2006/relationships/hyperlink" Target="https://ref.ly/1Kgs4:7-1Kgs4:19" TargetMode="External"/><Relationship Id="rId11655" Type="http://schemas.openxmlformats.org/officeDocument/2006/relationships/hyperlink" Target="https://ref.ly/1Kgs9:20-1Kgs9:23" TargetMode="External"/><Relationship Id="rId11656" Type="http://schemas.openxmlformats.org/officeDocument/2006/relationships/hyperlink" Target="https://ref.ly/Jer25:11" TargetMode="External"/><Relationship Id="rId11657" Type="http://schemas.openxmlformats.org/officeDocument/2006/relationships/hyperlink" Target="https://ref.ly/Jer29:10" TargetMode="External"/><Relationship Id="rId11658" Type="http://schemas.openxmlformats.org/officeDocument/2006/relationships/hyperlink" Target="https://ref.ly/2Chr36:21" TargetMode="External"/><Relationship Id="rId11659" Type="http://schemas.openxmlformats.org/officeDocument/2006/relationships/hyperlink" Target="https://ref.ly/Ezra1:8-Ezra1:11" TargetMode="External"/><Relationship Id="rId11660" Type="http://schemas.openxmlformats.org/officeDocument/2006/relationships/hyperlink" Target="https://ref.ly/Ezra2:2" TargetMode="External"/><Relationship Id="rId11661" Type="http://schemas.openxmlformats.org/officeDocument/2006/relationships/hyperlink" Target="https://ref.ly/Ezra6:15-Ezra6:18" TargetMode="External"/><Relationship Id="rId11662" Type="http://schemas.openxmlformats.org/officeDocument/2006/relationships/hyperlink" Target="https://ref.ly/Neh1:3-Neh1:4" TargetMode="External"/><Relationship Id="rId11663" Type="http://schemas.openxmlformats.org/officeDocument/2006/relationships/hyperlink" Target="https://ref.ly/Neh2:11-Neh2:16" TargetMode="External"/><Relationship Id="rId11664" Type="http://schemas.openxmlformats.org/officeDocument/2006/relationships/hyperlink" Target="https://ref.ly/John2:20" TargetMode="External"/><Relationship Id="rId11665" Type="http://schemas.openxmlformats.org/officeDocument/2006/relationships/hyperlink" Target="https://ref.ly/Num23:28" TargetMode="External"/><Relationship Id="rId11666" Type="http://schemas.openxmlformats.org/officeDocument/2006/relationships/hyperlink" Target="https://ref.ly/1Sam23:19,1Sam23:24" TargetMode="External"/><Relationship Id="rId11667" Type="http://schemas.openxmlformats.org/officeDocument/2006/relationships/hyperlink" Target="https://ref.ly/1Sam26:1-1Sam26:3" TargetMode="External"/><Relationship Id="rId11668" Type="http://schemas.openxmlformats.org/officeDocument/2006/relationships/hyperlink" Target="https://ref.ly/Isa11:10" TargetMode="External"/><Relationship Id="rId11669" Type="http://schemas.openxmlformats.org/officeDocument/2006/relationships/hyperlink" Target="https://ref.ly/Isa11:1,Isa11:10" TargetMode="External"/><Relationship Id="rId11670" Type="http://schemas.openxmlformats.org/officeDocument/2006/relationships/hyperlink" Target="https://ref.ly/Matt1:5-Matt1:6" TargetMode="External"/><Relationship Id="rId11671" Type="http://schemas.openxmlformats.org/officeDocument/2006/relationships/hyperlink" Target="https://ref.ly/Luke3:32" TargetMode="External"/><Relationship Id="rId11672" Type="http://schemas.openxmlformats.org/officeDocument/2006/relationships/hyperlink" Target="https://ref.ly/Acts13:22-Acts13:23" TargetMode="External"/><Relationship Id="rId11673" Type="http://schemas.openxmlformats.org/officeDocument/2006/relationships/hyperlink" Target="https://ref.ly/Isa10:33-Isa10:34" TargetMode="External"/><Relationship Id="rId11674" Type="http://schemas.openxmlformats.org/officeDocument/2006/relationships/hyperlink" Target="https://ref.ly/Isa6:13" TargetMode="External"/><Relationship Id="rId11675" Type="http://schemas.openxmlformats.org/officeDocument/2006/relationships/hyperlink" Target="https://ref.ly/Isa53:2" TargetMode="External"/><Relationship Id="rId11676" Type="http://schemas.openxmlformats.org/officeDocument/2006/relationships/hyperlink" Target="https://ref.ly/Jer23:5" TargetMode="External"/><Relationship Id="rId11677" Type="http://schemas.openxmlformats.org/officeDocument/2006/relationships/hyperlink" Target="https://ref.ly/Ezek17:22-Ezek17:23" TargetMode="External"/><Relationship Id="rId11678" Type="http://schemas.openxmlformats.org/officeDocument/2006/relationships/hyperlink" Target="https://ref.ly/Zech3:8" TargetMode="External"/><Relationship Id="rId11679" Type="http://schemas.openxmlformats.org/officeDocument/2006/relationships/hyperlink" Target="https://ref.ly/Zech6:12" TargetMode="External"/><Relationship Id="rId11680" Type="http://schemas.openxmlformats.org/officeDocument/2006/relationships/hyperlink" Target="https://ref.ly/Rom15:12" TargetMode="External"/><Relationship Id="rId11681" Type="http://schemas.openxmlformats.org/officeDocument/2006/relationships/hyperlink" Target="https://ref.ly/Matt22:42-Matt22:45" TargetMode="External"/><Relationship Id="rId11682" Type="http://schemas.openxmlformats.org/officeDocument/2006/relationships/hyperlink" Target="https://ref.ly/Deut32:15" TargetMode="External"/><Relationship Id="rId11683" Type="http://schemas.openxmlformats.org/officeDocument/2006/relationships/hyperlink" Target="https://ref.ly/Deut33:5" TargetMode="External"/><Relationship Id="rId11684" Type="http://schemas.openxmlformats.org/officeDocument/2006/relationships/hyperlink" Target="https://ref.ly/Isa44:2" TargetMode="External"/><Relationship Id="rId11685" Type="http://schemas.openxmlformats.org/officeDocument/2006/relationships/hyperlink" Target="https://ref.ly/Deut33:26" TargetMode="External"/><Relationship Id="rId11686" Type="http://schemas.openxmlformats.org/officeDocument/2006/relationships/hyperlink" Target="https://ref.ly/Jude1:1" TargetMode="External"/><Relationship Id="rId11687" Type="http://schemas.openxmlformats.org/officeDocument/2006/relationships/hyperlink" Target="https://ref.ly/Col4:11" TargetMode="External"/><Relationship Id="rId11688" Type="http://schemas.openxmlformats.org/officeDocument/2006/relationships/hyperlink" Target="https://ref.ly/John1:1" TargetMode="External"/><Relationship Id="rId11689" Type="http://schemas.openxmlformats.org/officeDocument/2006/relationships/hyperlink" Target="https://ref.ly/John1:2" TargetMode="External"/><Relationship Id="rId11690" Type="http://schemas.openxmlformats.org/officeDocument/2006/relationships/hyperlink" Target="https://ref.ly/John1:10" TargetMode="External"/><Relationship Id="rId11691" Type="http://schemas.openxmlformats.org/officeDocument/2006/relationships/hyperlink" Target="https://ref.ly/Matt1:20-Matt1:21" TargetMode="External"/><Relationship Id="rId11692" Type="http://schemas.openxmlformats.org/officeDocument/2006/relationships/hyperlink" Target="https://ref.ly/Luke1:26-Luke1:33" TargetMode="External"/><Relationship Id="rId11693" Type="http://schemas.openxmlformats.org/officeDocument/2006/relationships/hyperlink" Target="https://ref.ly/Luke1:46-Luke1:55" TargetMode="External"/><Relationship Id="rId11694" Type="http://schemas.openxmlformats.org/officeDocument/2006/relationships/hyperlink" Target="https://ref.ly/Matt2:1-Matt2:12" TargetMode="External"/><Relationship Id="rId11695" Type="http://schemas.openxmlformats.org/officeDocument/2006/relationships/hyperlink" Target="https://ref.ly/Luke2:14" TargetMode="External"/><Relationship Id="rId11696" Type="http://schemas.openxmlformats.org/officeDocument/2006/relationships/hyperlink" Target="https://ref.ly/Luke2:32" TargetMode="External"/><Relationship Id="rId11697" Type="http://schemas.openxmlformats.org/officeDocument/2006/relationships/hyperlink" Target="https://ref.ly/Matt2:13-Matt2:15" TargetMode="External"/><Relationship Id="rId11698" Type="http://schemas.openxmlformats.org/officeDocument/2006/relationships/hyperlink" Target="https://ref.ly/Luke2:41-Luke2:50" TargetMode="External"/><Relationship Id="rId11699" Type="http://schemas.openxmlformats.org/officeDocument/2006/relationships/hyperlink" Target="https://ref.ly/Matt3:13-Matt3:15" TargetMode="External"/><Relationship Id="rId11700" Type="http://schemas.openxmlformats.org/officeDocument/2006/relationships/hyperlink" Target="https://ref.ly/Luke3:21" TargetMode="External"/><Relationship Id="rId11701" Type="http://schemas.openxmlformats.org/officeDocument/2006/relationships/hyperlink" Target="https://ref.ly/Matt3:14-Matt3:15" TargetMode="External"/><Relationship Id="rId11702" Type="http://schemas.openxmlformats.org/officeDocument/2006/relationships/hyperlink" Target="https://ref.ly/Matt3:16" TargetMode="External"/><Relationship Id="rId11703" Type="http://schemas.openxmlformats.org/officeDocument/2006/relationships/hyperlink" Target="https://ref.ly/Luke4:1-Luke4:2" TargetMode="External"/><Relationship Id="rId11704" Type="http://schemas.openxmlformats.org/officeDocument/2006/relationships/hyperlink" Target="https://ref.ly/John1:35-John1:39" TargetMode="External"/><Relationship Id="rId11705" Type="http://schemas.openxmlformats.org/officeDocument/2006/relationships/hyperlink" Target="https://ref.ly/John1:41-John1:51" TargetMode="External"/><Relationship Id="rId11706" Type="http://schemas.openxmlformats.org/officeDocument/2006/relationships/hyperlink" Target="https://ref.ly/John1:49" TargetMode="External"/><Relationship Id="rId11707" Type="http://schemas.openxmlformats.org/officeDocument/2006/relationships/hyperlink" Target="https://ref.ly/John2:1-John2:10" TargetMode="External"/><Relationship Id="rId11708" Type="http://schemas.openxmlformats.org/officeDocument/2006/relationships/hyperlink" Target="https://ref.ly/John2:11" TargetMode="External"/><Relationship Id="rId11709" Type="http://schemas.openxmlformats.org/officeDocument/2006/relationships/hyperlink" Target="https://ref.ly/John2:13-John2:16" TargetMode="External"/><Relationship Id="rId11710" Type="http://schemas.openxmlformats.org/officeDocument/2006/relationships/hyperlink" Target="https://ref.ly/John3:1-John3:36" TargetMode="External"/><Relationship Id="rId11711" Type="http://schemas.openxmlformats.org/officeDocument/2006/relationships/hyperlink" Target="https://ref.ly/John4:1-John4:42" TargetMode="External"/><Relationship Id="rId11712" Type="http://schemas.openxmlformats.org/officeDocument/2006/relationships/hyperlink" Target="https://ref.ly/John4:42" TargetMode="External"/><Relationship Id="rId11713" Type="http://schemas.openxmlformats.org/officeDocument/2006/relationships/hyperlink" Target="https://ref.ly/John4:54" TargetMode="External"/><Relationship Id="rId11714" Type="http://schemas.openxmlformats.org/officeDocument/2006/relationships/hyperlink" Target="https://ref.ly/Matt4:18-Matt4:22" TargetMode="External"/><Relationship Id="rId11715" Type="http://schemas.openxmlformats.org/officeDocument/2006/relationships/hyperlink" Target="https://ref.ly/Mark1:16-Mark1:20" TargetMode="External"/><Relationship Id="rId11716" Type="http://schemas.openxmlformats.org/officeDocument/2006/relationships/hyperlink" Target="https://ref.ly/Luke5:1-Luke5:11" TargetMode="External"/><Relationship Id="rId11717" Type="http://schemas.openxmlformats.org/officeDocument/2006/relationships/hyperlink" Target="https://ref.ly/Mark2:13-Mark2:14" TargetMode="External"/><Relationship Id="rId11718" Type="http://schemas.openxmlformats.org/officeDocument/2006/relationships/hyperlink" Target="https://ref.ly/Luke5:27-Luke5:28" TargetMode="External"/><Relationship Id="rId11719" Type="http://schemas.openxmlformats.org/officeDocument/2006/relationships/hyperlink" Target="https://ref.ly/Matt5:3-Matt5:12" TargetMode="External"/><Relationship Id="rId11720" Type="http://schemas.openxmlformats.org/officeDocument/2006/relationships/hyperlink" Target="https://ref.ly/Matt8:1-Matt9:34" TargetMode="External"/><Relationship Id="rId11721" Type="http://schemas.openxmlformats.org/officeDocument/2006/relationships/hyperlink" Target="https://ref.ly/Matt8:10" TargetMode="External"/><Relationship Id="rId11722" Type="http://schemas.openxmlformats.org/officeDocument/2006/relationships/hyperlink" Target="https://ref.ly/Matt9:22" TargetMode="External"/><Relationship Id="rId11723" Type="http://schemas.openxmlformats.org/officeDocument/2006/relationships/hyperlink" Target="https://ref.ly/Matt9:2" TargetMode="External"/><Relationship Id="rId11724" Type="http://schemas.openxmlformats.org/officeDocument/2006/relationships/hyperlink" Target="https://ref.ly/Matt8:23-Matt8:27" TargetMode="External"/><Relationship Id="rId11725" Type="http://schemas.openxmlformats.org/officeDocument/2006/relationships/hyperlink" Target="https://ref.ly/Mark4:35-Mark4:41" TargetMode="External"/><Relationship Id="rId11726" Type="http://schemas.openxmlformats.org/officeDocument/2006/relationships/hyperlink" Target="https://ref.ly/Luke8:22-Luke8:25" TargetMode="External"/><Relationship Id="rId11727" Type="http://schemas.openxmlformats.org/officeDocument/2006/relationships/hyperlink" Target="https://ref.ly/Mark3:7-Mark3:8" TargetMode="External"/><Relationship Id="rId11728" Type="http://schemas.openxmlformats.org/officeDocument/2006/relationships/hyperlink" Target="https://ref.ly/Matt12:1-Matt12:14" TargetMode="External"/><Relationship Id="rId11729" Type="http://schemas.openxmlformats.org/officeDocument/2006/relationships/hyperlink" Target="https://ref.ly/John5:9-John5:18" TargetMode="External"/><Relationship Id="rId11730" Type="http://schemas.openxmlformats.org/officeDocument/2006/relationships/hyperlink" Target="https://ref.ly/Matt12:11" TargetMode="External"/><Relationship Id="rId11731" Type="http://schemas.openxmlformats.org/officeDocument/2006/relationships/hyperlink" Target="https://ref.ly/Matt10:5-Matt10:42" TargetMode="External"/><Relationship Id="rId11732" Type="http://schemas.openxmlformats.org/officeDocument/2006/relationships/hyperlink" Target="https://ref.ly/John4:1-John4:2" TargetMode="External"/><Relationship Id="rId11733" Type="http://schemas.openxmlformats.org/officeDocument/2006/relationships/hyperlink" Target="https://ref.ly/Matt14:3-Matt14:4" TargetMode="External"/><Relationship Id="rId11734" Type="http://schemas.openxmlformats.org/officeDocument/2006/relationships/hyperlink" Target="https://ref.ly/Matt11:1-Matt11:19" TargetMode="External"/><Relationship Id="rId11735" Type="http://schemas.openxmlformats.org/officeDocument/2006/relationships/hyperlink" Target="https://ref.ly/Luke7:18-Luke7:35" TargetMode="External"/><Relationship Id="rId11736" Type="http://schemas.openxmlformats.org/officeDocument/2006/relationships/hyperlink" Target="https://ref.ly/Matt12:9-Matt12:14" TargetMode="External"/><Relationship Id="rId11737" Type="http://schemas.openxmlformats.org/officeDocument/2006/relationships/hyperlink" Target="https://ref.ly/Matt12:15-Matt12:32" TargetMode="External"/><Relationship Id="rId11738" Type="http://schemas.openxmlformats.org/officeDocument/2006/relationships/hyperlink" Target="https://ref.ly/Luke7:1-Luke7:10" TargetMode="External"/><Relationship Id="rId11739" Type="http://schemas.openxmlformats.org/officeDocument/2006/relationships/hyperlink" Target="https://ref.ly/Luke7:36-Luke7:50" TargetMode="External"/><Relationship Id="rId11740" Type="http://schemas.openxmlformats.org/officeDocument/2006/relationships/hyperlink" Target="https://ref.ly/John7:2" TargetMode="External"/><Relationship Id="rId11741" Type="http://schemas.openxmlformats.org/officeDocument/2006/relationships/hyperlink" Target="https://ref.ly/John7:32" TargetMode="External"/><Relationship Id="rId11742" Type="http://schemas.openxmlformats.org/officeDocument/2006/relationships/hyperlink" Target="https://ref.ly/John8:48" TargetMode="External"/><Relationship Id="rId11743" Type="http://schemas.openxmlformats.org/officeDocument/2006/relationships/hyperlink" Target="https://ref.ly/John10:31" TargetMode="External"/><Relationship Id="rId11744" Type="http://schemas.openxmlformats.org/officeDocument/2006/relationships/hyperlink" Target="https://ref.ly/Matt13:1-Matt13:58" TargetMode="External"/><Relationship Id="rId11745" Type="http://schemas.openxmlformats.org/officeDocument/2006/relationships/hyperlink" Target="https://ref.ly/Matt13:53-Matt13:58" TargetMode="External"/><Relationship Id="rId11746" Type="http://schemas.openxmlformats.org/officeDocument/2006/relationships/hyperlink" Target="https://ref.ly/Mark6:1-Mark6:6" TargetMode="External"/><Relationship Id="rId11747" Type="http://schemas.openxmlformats.org/officeDocument/2006/relationships/hyperlink" Target="https://ref.ly/Matt14:13-Matt14:21" TargetMode="External"/><Relationship Id="rId11748" Type="http://schemas.openxmlformats.org/officeDocument/2006/relationships/hyperlink" Target="https://ref.ly/Mark6:30-Mark6:44" TargetMode="External"/><Relationship Id="rId11749" Type="http://schemas.openxmlformats.org/officeDocument/2006/relationships/hyperlink" Target="https://ref.ly/John6:1-John6:15" TargetMode="External"/><Relationship Id="rId11750" Type="http://schemas.openxmlformats.org/officeDocument/2006/relationships/hyperlink" Target="https://ref.ly/John6:25-John6:40" TargetMode="External"/><Relationship Id="rId11751" Type="http://schemas.openxmlformats.org/officeDocument/2006/relationships/hyperlink" Target="https://ref.ly/John6:51-John6:52" TargetMode="External"/><Relationship Id="rId11752" Type="http://schemas.openxmlformats.org/officeDocument/2006/relationships/hyperlink" Target="https://ref.ly/Matt15:21-Matt15:28" TargetMode="External"/><Relationship Id="rId11753" Type="http://schemas.openxmlformats.org/officeDocument/2006/relationships/hyperlink" Target="https://ref.ly/Mark8:27-Mark8:38" TargetMode="External"/><Relationship Id="rId11754" Type="http://schemas.openxmlformats.org/officeDocument/2006/relationships/hyperlink" Target="https://ref.ly/Luke9:18-Luke9:27" TargetMode="External"/><Relationship Id="rId11755" Type="http://schemas.openxmlformats.org/officeDocument/2006/relationships/hyperlink" Target="https://ref.ly/Matt16:21-Matt16:23" TargetMode="External"/><Relationship Id="rId11756" Type="http://schemas.openxmlformats.org/officeDocument/2006/relationships/hyperlink" Target="https://ref.ly/Matt16:1-Matt16:28" TargetMode="External"/><Relationship Id="rId11757" Type="http://schemas.openxmlformats.org/officeDocument/2006/relationships/hyperlink" Target="https://ref.ly/Matt17:1-Matt17:27" TargetMode="External"/><Relationship Id="rId11758" Type="http://schemas.openxmlformats.org/officeDocument/2006/relationships/hyperlink" Target="https://ref.ly/Matt17:23" TargetMode="External"/><Relationship Id="rId11759" Type="http://schemas.openxmlformats.org/officeDocument/2006/relationships/hyperlink" Target="https://ref.ly/Mark9:32" TargetMode="External"/><Relationship Id="rId11760" Type="http://schemas.openxmlformats.org/officeDocument/2006/relationships/hyperlink" Target="https://ref.ly/Luke9:45" TargetMode="External"/><Relationship Id="rId11761" Type="http://schemas.openxmlformats.org/officeDocument/2006/relationships/hyperlink" Target="https://ref.ly/Matt17:24-Matt17:27" TargetMode="External"/><Relationship Id="rId11762" Type="http://schemas.openxmlformats.org/officeDocument/2006/relationships/hyperlink" Target="https://ref.ly/Luke10:17-Luke10:20" TargetMode="External"/><Relationship Id="rId11763" Type="http://schemas.openxmlformats.org/officeDocument/2006/relationships/hyperlink" Target="https://ref.ly/Luke10:29-Luke10:37" TargetMode="External"/><Relationship Id="rId11764" Type="http://schemas.openxmlformats.org/officeDocument/2006/relationships/hyperlink" Target="https://ref.ly/Luke15:3-Luke15:7" TargetMode="External"/><Relationship Id="rId11765" Type="http://schemas.openxmlformats.org/officeDocument/2006/relationships/hyperlink" Target="https://ref.ly/Luke11:1-Luke11:13" TargetMode="External"/><Relationship Id="rId11766" Type="http://schemas.openxmlformats.org/officeDocument/2006/relationships/hyperlink" Target="https://ref.ly/Luke12:13-Luke12:34" TargetMode="External"/><Relationship Id="rId11767" Type="http://schemas.openxmlformats.org/officeDocument/2006/relationships/hyperlink" Target="https://ref.ly/Luke12:35-Luke12:56" TargetMode="External"/><Relationship Id="rId11768" Type="http://schemas.openxmlformats.org/officeDocument/2006/relationships/hyperlink" Target="https://ref.ly/Luke19:1-Luke19:10" TargetMode="External"/><Relationship Id="rId11769" Type="http://schemas.openxmlformats.org/officeDocument/2006/relationships/hyperlink" Target="https://ref.ly/Matt26:6" TargetMode="External"/><Relationship Id="rId11770" Type="http://schemas.openxmlformats.org/officeDocument/2006/relationships/hyperlink" Target="https://ref.ly/Matt26:6-Matt26:13" TargetMode="External"/><Relationship Id="rId11771" Type="http://schemas.openxmlformats.org/officeDocument/2006/relationships/hyperlink" Target="https://ref.ly/Matt21:1-Matt21:11" TargetMode="External"/><Relationship Id="rId11772" Type="http://schemas.openxmlformats.org/officeDocument/2006/relationships/hyperlink" Target="https://ref.ly/Mark11:1-Mark11:10" TargetMode="External"/><Relationship Id="rId11773" Type="http://schemas.openxmlformats.org/officeDocument/2006/relationships/hyperlink" Target="https://ref.ly/Luke19:29-Luke19:38" TargetMode="External"/><Relationship Id="rId11774" Type="http://schemas.openxmlformats.org/officeDocument/2006/relationships/hyperlink" Target="https://ref.ly/John12:12-John12:15" TargetMode="External"/><Relationship Id="rId11775" Type="http://schemas.openxmlformats.org/officeDocument/2006/relationships/hyperlink" Target="https://ref.ly/Mark11:15-Mark11:17" TargetMode="External"/><Relationship Id="rId11776" Type="http://schemas.openxmlformats.org/officeDocument/2006/relationships/hyperlink" Target="https://ref.ly/Luke19:47" TargetMode="External"/><Relationship Id="rId11777" Type="http://schemas.openxmlformats.org/officeDocument/2006/relationships/hyperlink" Target="https://ref.ly/Matt21:23-Matt22:45" TargetMode="External"/><Relationship Id="rId11778" Type="http://schemas.openxmlformats.org/officeDocument/2006/relationships/hyperlink" Target="https://ref.ly/Matt22:46" TargetMode="External"/><Relationship Id="rId11779" Type="http://schemas.openxmlformats.org/officeDocument/2006/relationships/hyperlink" Target="https://ref.ly/Matt25:13" TargetMode="External"/><Relationship Id="rId11780" Type="http://schemas.openxmlformats.org/officeDocument/2006/relationships/hyperlink" Target="https://ref.ly/Luke22:19-Luke22:20" TargetMode="External"/><Relationship Id="rId11781" Type="http://schemas.openxmlformats.org/officeDocument/2006/relationships/hyperlink" Target="https://ref.ly/John14:1-John16:33" TargetMode="External"/><Relationship Id="rId11782" Type="http://schemas.openxmlformats.org/officeDocument/2006/relationships/hyperlink" Target="https://ref.ly/Matt26:21-Matt26:25" TargetMode="External"/><Relationship Id="rId11783" Type="http://schemas.openxmlformats.org/officeDocument/2006/relationships/hyperlink" Target="https://ref.ly/Mark14:18-Mark14:21" TargetMode="External"/><Relationship Id="rId11784" Type="http://schemas.openxmlformats.org/officeDocument/2006/relationships/hyperlink" Target="https://ref.ly/Luke22:21-Luke22:23" TargetMode="External"/><Relationship Id="rId11785" Type="http://schemas.openxmlformats.org/officeDocument/2006/relationships/hyperlink" Target="https://ref.ly/John13:21-John13:30" TargetMode="External"/><Relationship Id="rId11786" Type="http://schemas.openxmlformats.org/officeDocument/2006/relationships/hyperlink" Target="https://ref.ly/Luke22:40-Luke22:46" TargetMode="External"/><Relationship Id="rId11787" Type="http://schemas.openxmlformats.org/officeDocument/2006/relationships/hyperlink" Target="https://ref.ly/Matt26:50" TargetMode="External"/><Relationship Id="rId11788" Type="http://schemas.openxmlformats.org/officeDocument/2006/relationships/hyperlink" Target="https://ref.ly/Matt26:55" TargetMode="External"/><Relationship Id="rId11789" Type="http://schemas.openxmlformats.org/officeDocument/2006/relationships/hyperlink" Target="https://ref.ly/Matt26:69-Matt26:75" TargetMode="External"/><Relationship Id="rId11790" Type="http://schemas.openxmlformats.org/officeDocument/2006/relationships/hyperlink" Target="https://ref.ly/Mark14:66-Mark14:72" TargetMode="External"/><Relationship Id="rId11791" Type="http://schemas.openxmlformats.org/officeDocument/2006/relationships/hyperlink" Target="https://ref.ly/Luke22:54-Luke22:62" TargetMode="External"/><Relationship Id="rId11792" Type="http://schemas.openxmlformats.org/officeDocument/2006/relationships/hyperlink" Target="https://ref.ly/John18:15-John18:27" TargetMode="External"/><Relationship Id="rId11793" Type="http://schemas.openxmlformats.org/officeDocument/2006/relationships/hyperlink" Target="https://ref.ly/Mark14:30" TargetMode="External"/><Relationship Id="rId11794" Type="http://schemas.openxmlformats.org/officeDocument/2006/relationships/hyperlink" Target="https://ref.ly/John13:38" TargetMode="External"/><Relationship Id="rId11795" Type="http://schemas.openxmlformats.org/officeDocument/2006/relationships/hyperlink" Target="https://ref.ly/Mark14:62-Mark14:64" TargetMode="External"/><Relationship Id="rId11796" Type="http://schemas.openxmlformats.org/officeDocument/2006/relationships/hyperlink" Target="https://ref.ly/Matt27:1-Matt27:2" TargetMode="External"/><Relationship Id="rId11797" Type="http://schemas.openxmlformats.org/officeDocument/2006/relationships/hyperlink" Target="https://ref.ly/Mark15:1" TargetMode="External"/><Relationship Id="rId11798" Type="http://schemas.openxmlformats.org/officeDocument/2006/relationships/hyperlink" Target="https://ref.ly/Luke23:1" TargetMode="External"/><Relationship Id="rId11799" Type="http://schemas.openxmlformats.org/officeDocument/2006/relationships/hyperlink" Target="https://ref.ly/Luke23:7-Luke23:12" TargetMode="External"/><Relationship Id="rId11800" Type="http://schemas.openxmlformats.org/officeDocument/2006/relationships/hyperlink" Target="https://ref.ly/Matt27:14" TargetMode="External"/><Relationship Id="rId11801" Type="http://schemas.openxmlformats.org/officeDocument/2006/relationships/hyperlink" Target="https://ref.ly/Luke23:9" TargetMode="External"/><Relationship Id="rId11802" Type="http://schemas.openxmlformats.org/officeDocument/2006/relationships/hyperlink" Target="https://ref.ly/Matt27:27-Matt27:30" TargetMode="External"/><Relationship Id="rId11803" Type="http://schemas.openxmlformats.org/officeDocument/2006/relationships/hyperlink" Target="https://ref.ly/Luke23:26" TargetMode="External"/><Relationship Id="rId11804" Type="http://schemas.openxmlformats.org/officeDocument/2006/relationships/hyperlink" Target="https://ref.ly/John19:23-John19:24" TargetMode="External"/><Relationship Id="rId11805" Type="http://schemas.openxmlformats.org/officeDocument/2006/relationships/hyperlink" Target="https://ref.ly/Matt27:40-Matt27:44" TargetMode="External"/><Relationship Id="rId11806" Type="http://schemas.openxmlformats.org/officeDocument/2006/relationships/hyperlink" Target="https://ref.ly/Luke23:39-Luke23:43" TargetMode="External"/><Relationship Id="rId11807" Type="http://schemas.openxmlformats.org/officeDocument/2006/relationships/hyperlink" Target="https://ref.ly/Mark15:37" TargetMode="External"/><Relationship Id="rId11808" Type="http://schemas.openxmlformats.org/officeDocument/2006/relationships/hyperlink" Target="https://ref.ly/Matt27:55-Matt27:56" TargetMode="External"/><Relationship Id="rId11809" Type="http://schemas.openxmlformats.org/officeDocument/2006/relationships/hyperlink" Target="https://ref.ly/John19:39" TargetMode="External"/><Relationship Id="rId11810" Type="http://schemas.openxmlformats.org/officeDocument/2006/relationships/hyperlink" Target="https://ref.ly/John20:24-John20:29" TargetMode="External"/><Relationship Id="rId11811" Type="http://schemas.openxmlformats.org/officeDocument/2006/relationships/hyperlink" Target="https://ref.ly/John20:2-John20:10" TargetMode="External"/><Relationship Id="rId11812" Type="http://schemas.openxmlformats.org/officeDocument/2006/relationships/hyperlink" Target="https://ref.ly/Matt27:61" TargetMode="External"/><Relationship Id="rId11813" Type="http://schemas.openxmlformats.org/officeDocument/2006/relationships/hyperlink" Target="https://ref.ly/Matt26:56" TargetMode="External"/><Relationship Id="rId11814" Type="http://schemas.openxmlformats.org/officeDocument/2006/relationships/hyperlink" Target="https://ref.ly/John20:15-John20:16" TargetMode="External"/><Relationship Id="rId11815" Type="http://schemas.openxmlformats.org/officeDocument/2006/relationships/hyperlink" Target="https://ref.ly/Luke24:51" TargetMode="External"/><Relationship Id="rId11816" Type="http://schemas.openxmlformats.org/officeDocument/2006/relationships/hyperlink" Target="https://ref.ly/Matt10:29" TargetMode="External"/><Relationship Id="rId11817" Type="http://schemas.openxmlformats.org/officeDocument/2006/relationships/hyperlink" Target="https://ref.ly/John10:30" TargetMode="External"/><Relationship Id="rId11818" Type="http://schemas.openxmlformats.org/officeDocument/2006/relationships/hyperlink" Target="https://ref.ly/Matt6:32" TargetMode="External"/><Relationship Id="rId11819" Type="http://schemas.openxmlformats.org/officeDocument/2006/relationships/hyperlink" Target="https://ref.ly/Luke12:30" TargetMode="External"/><Relationship Id="rId11820" Type="http://schemas.openxmlformats.org/officeDocument/2006/relationships/hyperlink" Target="https://ref.ly/Mark14:61" TargetMode="External"/><Relationship Id="rId11821" Type="http://schemas.openxmlformats.org/officeDocument/2006/relationships/hyperlink" Target="https://ref.ly/John4:25-John4:26" TargetMode="External"/><Relationship Id="rId11822" Type="http://schemas.openxmlformats.org/officeDocument/2006/relationships/hyperlink" Target="https://ref.ly/John20:30-John20:31" TargetMode="External"/><Relationship Id="rId11823" Type="http://schemas.openxmlformats.org/officeDocument/2006/relationships/hyperlink" Target="https://ref.ly/Matt11:27" TargetMode="External"/><Relationship Id="rId11824" Type="http://schemas.openxmlformats.org/officeDocument/2006/relationships/hyperlink" Target="https://ref.ly/Luke10:22" TargetMode="External"/><Relationship Id="rId11825" Type="http://schemas.openxmlformats.org/officeDocument/2006/relationships/hyperlink" Target="https://ref.ly/Matt12:28" TargetMode="External"/><Relationship Id="rId11826" Type="http://schemas.openxmlformats.org/officeDocument/2006/relationships/hyperlink" Target="https://ref.ly/Luke11:20" TargetMode="External"/><Relationship Id="rId11827" Type="http://schemas.openxmlformats.org/officeDocument/2006/relationships/hyperlink" Target="https://ref.ly/Matt11:12" TargetMode="External"/><Relationship Id="rId11828" Type="http://schemas.openxmlformats.org/officeDocument/2006/relationships/hyperlink" Target="https://ref.ly/Luke11:21-Luke11:22" TargetMode="External"/><Relationship Id="rId11829" Type="http://schemas.openxmlformats.org/officeDocument/2006/relationships/hyperlink" Target="https://ref.ly/Mark13:26-Mark13:27" TargetMode="External"/><Relationship Id="rId11830" Type="http://schemas.openxmlformats.org/officeDocument/2006/relationships/hyperlink" Target="https://ref.ly/Matt24:31" TargetMode="External"/><Relationship Id="rId11831" Type="http://schemas.openxmlformats.org/officeDocument/2006/relationships/hyperlink" Target="https://ref.ly/Matt13:23" TargetMode="External"/><Relationship Id="rId11832" Type="http://schemas.openxmlformats.org/officeDocument/2006/relationships/hyperlink" Target="https://ref.ly/Matt26:24" TargetMode="External"/><Relationship Id="rId11833" Type="http://schemas.openxmlformats.org/officeDocument/2006/relationships/hyperlink" Target="https://ref.ly/Luke18:31" TargetMode="External"/><Relationship Id="rId11834" Type="http://schemas.openxmlformats.org/officeDocument/2006/relationships/hyperlink" Target="https://ref.ly/Luke24:25-Luke24:27" TargetMode="External"/><Relationship Id="rId11835" Type="http://schemas.openxmlformats.org/officeDocument/2006/relationships/hyperlink" Target="https://ref.ly/John17:1" TargetMode="External"/><Relationship Id="rId11836" Type="http://schemas.openxmlformats.org/officeDocument/2006/relationships/hyperlink" Target="https://ref.ly/Matt26:26-Matt26:28" TargetMode="External"/><Relationship Id="rId11837" Type="http://schemas.openxmlformats.org/officeDocument/2006/relationships/hyperlink" Target="https://ref.ly/Jer31:1-Jer31:40" TargetMode="External"/><Relationship Id="rId11838" Type="http://schemas.openxmlformats.org/officeDocument/2006/relationships/hyperlink" Target="https://ref.ly/Matt10:19-Matt10:20" TargetMode="External"/><Relationship Id="rId11839" Type="http://schemas.openxmlformats.org/officeDocument/2006/relationships/hyperlink" Target="https://ref.ly/Mark13:11" TargetMode="External"/><Relationship Id="rId11840" Type="http://schemas.openxmlformats.org/officeDocument/2006/relationships/hyperlink" Target="https://ref.ly/Luke11:13" TargetMode="External"/><Relationship Id="rId11841" Type="http://schemas.openxmlformats.org/officeDocument/2006/relationships/hyperlink" Target="https://ref.ly/John6:48-John6:63" TargetMode="External"/><Relationship Id="rId11842" Type="http://schemas.openxmlformats.org/officeDocument/2006/relationships/hyperlink" Target="https://ref.ly/John16:8" TargetMode="External"/><Relationship Id="rId11843" Type="http://schemas.openxmlformats.org/officeDocument/2006/relationships/hyperlink" Target="https://ref.ly/John14:17" TargetMode="External"/><Relationship Id="rId11844" Type="http://schemas.openxmlformats.org/officeDocument/2006/relationships/hyperlink" Target="https://ref.ly/Matt10:30" TargetMode="External"/><Relationship Id="rId11845" Type="http://schemas.openxmlformats.org/officeDocument/2006/relationships/hyperlink" Target="https://ref.ly/Matt16:26" TargetMode="External"/><Relationship Id="rId11846" Type="http://schemas.openxmlformats.org/officeDocument/2006/relationships/hyperlink" Target="https://ref.ly/Mark8:36" TargetMode="External"/><Relationship Id="rId11847" Type="http://schemas.openxmlformats.org/officeDocument/2006/relationships/hyperlink" Target="https://ref.ly/Luke9:25" TargetMode="External"/><Relationship Id="rId11848" Type="http://schemas.openxmlformats.org/officeDocument/2006/relationships/hyperlink" Target="https://ref.ly/Mark9:43-Mark9:47" TargetMode="External"/><Relationship Id="rId11849" Type="http://schemas.openxmlformats.org/officeDocument/2006/relationships/hyperlink" Target="https://ref.ly/Matt5:9" TargetMode="External"/><Relationship Id="rId11850" Type="http://schemas.openxmlformats.org/officeDocument/2006/relationships/hyperlink" Target="https://ref.ly/Matt5:16" TargetMode="External"/><Relationship Id="rId11851" Type="http://schemas.openxmlformats.org/officeDocument/2006/relationships/hyperlink" Target="https://ref.ly/Matt5:40" TargetMode="External"/><Relationship Id="rId11852" Type="http://schemas.openxmlformats.org/officeDocument/2006/relationships/hyperlink" Target="https://ref.ly/Matt6:11" TargetMode="External"/><Relationship Id="rId11853" Type="http://schemas.openxmlformats.org/officeDocument/2006/relationships/hyperlink" Target="https://ref.ly/Matt19:3-Matt19:9" TargetMode="External"/><Relationship Id="rId11854" Type="http://schemas.openxmlformats.org/officeDocument/2006/relationships/hyperlink" Target="https://ref.ly/Matt9:1-Matt9:8" TargetMode="External"/><Relationship Id="rId11855" Type="http://schemas.openxmlformats.org/officeDocument/2006/relationships/hyperlink" Target="https://ref.ly/Luke7:47-Luke7:48" TargetMode="External"/><Relationship Id="rId11856" Type="http://schemas.openxmlformats.org/officeDocument/2006/relationships/hyperlink" Target="https://ref.ly/Matt23:1-Matt23:39" TargetMode="External"/><Relationship Id="rId11857" Type="http://schemas.openxmlformats.org/officeDocument/2006/relationships/hyperlink" Target="https://ref.ly/John5:24" TargetMode="External"/><Relationship Id="rId11858" Type="http://schemas.openxmlformats.org/officeDocument/2006/relationships/hyperlink" Target="https://ref.ly/Luke15:21" TargetMode="External"/><Relationship Id="rId11859" Type="http://schemas.openxmlformats.org/officeDocument/2006/relationships/hyperlink" Target="https://ref.ly/Matt16:16-Matt16:19" TargetMode="External"/><Relationship Id="rId11860" Type="http://schemas.openxmlformats.org/officeDocument/2006/relationships/hyperlink" Target="https://ref.ly/Matt18:18" TargetMode="External"/><Relationship Id="rId11861" Type="http://schemas.openxmlformats.org/officeDocument/2006/relationships/hyperlink" Target="https://ref.ly/Matt18:19-Matt18:20" TargetMode="External"/><Relationship Id="rId11862" Type="http://schemas.openxmlformats.org/officeDocument/2006/relationships/hyperlink" Target="https://ref.ly/John10:16" TargetMode="External"/><Relationship Id="rId11863" Type="http://schemas.openxmlformats.org/officeDocument/2006/relationships/hyperlink" Target="https://ref.ly/Mark13:32" TargetMode="External"/><Relationship Id="rId11864" Type="http://schemas.openxmlformats.org/officeDocument/2006/relationships/hyperlink" Target="https://ref.ly/Luke23:42-Luke23:43" TargetMode="External"/><Relationship Id="rId11865" Type="http://schemas.openxmlformats.org/officeDocument/2006/relationships/hyperlink" Target="https://ref.ly/Matt12:36-Matt12:37" TargetMode="External"/><Relationship Id="rId11866" Type="http://schemas.openxmlformats.org/officeDocument/2006/relationships/hyperlink" Target="https://ref.ly/Luke10:20" TargetMode="External"/><Relationship Id="rId11867" Type="http://schemas.openxmlformats.org/officeDocument/2006/relationships/hyperlink" Target="https://ref.ly/Matt5:21-Matt5:22" TargetMode="External"/><Relationship Id="rId11868" Type="http://schemas.openxmlformats.org/officeDocument/2006/relationships/hyperlink" Target="https://ref.ly/Matt11:29-Matt11:30" TargetMode="External"/><Relationship Id="rId11869" Type="http://schemas.openxmlformats.org/officeDocument/2006/relationships/hyperlink" Target="https://ref.ly/1Pet2:21" TargetMode="External"/><Relationship Id="rId11870" Type="http://schemas.openxmlformats.org/officeDocument/2006/relationships/hyperlink" Target="https://ref.ly/1Cor11:1" TargetMode="External"/><Relationship Id="rId11871" Type="http://schemas.openxmlformats.org/officeDocument/2006/relationships/hyperlink" Target="https://ref.ly/1Chr1:51" TargetMode="External"/><Relationship Id="rId11872" Type="http://schemas.openxmlformats.org/officeDocument/2006/relationships/hyperlink" Target="https://ref.ly/Exod2:21" TargetMode="External"/><Relationship Id="rId11873" Type="http://schemas.openxmlformats.org/officeDocument/2006/relationships/hyperlink" Target="https://ref.ly/Exod18:1-Exod18:7" TargetMode="External"/><Relationship Id="rId11874" Type="http://schemas.openxmlformats.org/officeDocument/2006/relationships/hyperlink" Target="https://ref.ly/Exod2:16" TargetMode="External"/><Relationship Id="rId11875" Type="http://schemas.openxmlformats.org/officeDocument/2006/relationships/hyperlink" Target="https://ref.ly/Exod18:13-Exod18:27" TargetMode="External"/><Relationship Id="rId11876" Type="http://schemas.openxmlformats.org/officeDocument/2006/relationships/hyperlink" Target="https://ref.ly/Num10:29-Num10:33" TargetMode="External"/><Relationship Id="rId11877" Type="http://schemas.openxmlformats.org/officeDocument/2006/relationships/hyperlink" Target="https://ref.ly/Exod2:16-Exod2:18" TargetMode="External"/><Relationship Id="rId11878" Type="http://schemas.openxmlformats.org/officeDocument/2006/relationships/hyperlink" Target="https://ref.ly/1Chr1:31" TargetMode="External"/><Relationship Id="rId11879" Type="http://schemas.openxmlformats.org/officeDocument/2006/relationships/hyperlink" Target="https://ref.ly/1Chr5:19" TargetMode="External"/><Relationship Id="rId11880" Type="http://schemas.openxmlformats.org/officeDocument/2006/relationships/hyperlink" Target="https://ref.ly/Gen36:5-Gen36:18" TargetMode="External"/><Relationship Id="rId11881" Type="http://schemas.openxmlformats.org/officeDocument/2006/relationships/hyperlink" Target="https://ref.ly/1Chr8:39" TargetMode="External"/><Relationship Id="rId11882" Type="http://schemas.openxmlformats.org/officeDocument/2006/relationships/hyperlink" Target="https://ref.ly/2Chr11:19" TargetMode="External"/><Relationship Id="rId11883" Type="http://schemas.openxmlformats.org/officeDocument/2006/relationships/hyperlink" Target="https://ref.ly/Num26:49" TargetMode="External"/><Relationship Id="rId11884" Type="http://schemas.openxmlformats.org/officeDocument/2006/relationships/hyperlink" Target="https://ref.ly/Ezek14:14,Ezek14:20" TargetMode="External"/><Relationship Id="rId11885" Type="http://schemas.openxmlformats.org/officeDocument/2006/relationships/hyperlink" Target="https://ref.ly/2John1:1" TargetMode="External"/><Relationship Id="rId11886" Type="http://schemas.openxmlformats.org/officeDocument/2006/relationships/hyperlink" Target="https://ref.ly/Luke1:39" TargetMode="External"/><Relationship Id="rId11887" Type="http://schemas.openxmlformats.org/officeDocument/2006/relationships/hyperlink" Target="https://ref.ly/Luke1:8-Luke1:13" TargetMode="External"/><Relationship Id="rId11888" Type="http://schemas.openxmlformats.org/officeDocument/2006/relationships/hyperlink" Target="https://ref.ly/Jer1:5" TargetMode="External"/><Relationship Id="rId11889" Type="http://schemas.openxmlformats.org/officeDocument/2006/relationships/hyperlink" Target="https://ref.ly/Luke1:80" TargetMode="External"/><Relationship Id="rId11890" Type="http://schemas.openxmlformats.org/officeDocument/2006/relationships/hyperlink" Target="https://ref.ly/Exod3:1-Exod3:22" TargetMode="External"/><Relationship Id="rId11891" Type="http://schemas.openxmlformats.org/officeDocument/2006/relationships/hyperlink" Target="https://ref.ly/1Sam23:1-1Sam26:25" TargetMode="External"/><Relationship Id="rId11892" Type="http://schemas.openxmlformats.org/officeDocument/2006/relationships/hyperlink" Target="https://ref.ly/1Kgs19:1-1Kgs19:21" TargetMode="External"/><Relationship Id="rId11893" Type="http://schemas.openxmlformats.org/officeDocument/2006/relationships/hyperlink" Target="https://ref.ly/Isa40:3-Isa40:5" TargetMode="External"/><Relationship Id="rId11894" Type="http://schemas.openxmlformats.org/officeDocument/2006/relationships/hyperlink" Target="https://ref.ly/Matt11:18" TargetMode="External"/><Relationship Id="rId11895" Type="http://schemas.openxmlformats.org/officeDocument/2006/relationships/hyperlink" Target="https://ref.ly/John1:20-John1:23" TargetMode="External"/><Relationship Id="rId11896" Type="http://schemas.openxmlformats.org/officeDocument/2006/relationships/hyperlink" Target="https://ref.ly/Mal3:1-Mal3:4" TargetMode="External"/><Relationship Id="rId11897" Type="http://schemas.openxmlformats.org/officeDocument/2006/relationships/hyperlink" Target="https://ref.ly/Deut18:15" TargetMode="External"/><Relationship Id="rId11898" Type="http://schemas.openxmlformats.org/officeDocument/2006/relationships/hyperlink" Target="https://ref.ly/Matt14:5" TargetMode="External"/><Relationship Id="rId11899" Type="http://schemas.openxmlformats.org/officeDocument/2006/relationships/hyperlink" Target="https://ref.ly/Mark11:32" TargetMode="External"/><Relationship Id="rId11900" Type="http://schemas.openxmlformats.org/officeDocument/2006/relationships/hyperlink" Target="https://ref.ly/Matt11:7-Matt11:15" TargetMode="External"/><Relationship Id="rId11901" Type="http://schemas.openxmlformats.org/officeDocument/2006/relationships/hyperlink" Target="https://ref.ly/Isa4:2-Isa4:4" TargetMode="External"/><Relationship Id="rId11902" Type="http://schemas.openxmlformats.org/officeDocument/2006/relationships/hyperlink" Target="https://ref.ly/Luke3:12-Luke3:13" TargetMode="External"/><Relationship Id="rId11903" Type="http://schemas.openxmlformats.org/officeDocument/2006/relationships/hyperlink" Target="https://ref.ly/Luke3:14" TargetMode="External"/><Relationship Id="rId11904" Type="http://schemas.openxmlformats.org/officeDocument/2006/relationships/hyperlink" Target="https://ref.ly/Luke3:10-Luke3:11" TargetMode="External"/><Relationship Id="rId11905" Type="http://schemas.openxmlformats.org/officeDocument/2006/relationships/hyperlink" Target="https://ref.ly/Mark1:5" TargetMode="External"/><Relationship Id="rId11906" Type="http://schemas.openxmlformats.org/officeDocument/2006/relationships/hyperlink" Target="https://ref.ly/John1:28" TargetMode="External"/><Relationship Id="rId11907" Type="http://schemas.openxmlformats.org/officeDocument/2006/relationships/hyperlink" Target="https://ref.ly/John3:23" TargetMode="External"/><Relationship Id="rId11908" Type="http://schemas.openxmlformats.org/officeDocument/2006/relationships/hyperlink" Target="https://ref.ly/Lev14:1-Lev15:33" TargetMode="External"/><Relationship Id="rId11909" Type="http://schemas.openxmlformats.org/officeDocument/2006/relationships/hyperlink" Target="https://ref.ly/Num19:1-Num19:22" TargetMode="External"/><Relationship Id="rId11910" Type="http://schemas.openxmlformats.org/officeDocument/2006/relationships/hyperlink" Target="https://ref.ly/Isa1:16-Isa1:18" TargetMode="External"/><Relationship Id="rId11911" Type="http://schemas.openxmlformats.org/officeDocument/2006/relationships/hyperlink" Target="https://ref.ly/Ezek36:25" TargetMode="External"/><Relationship Id="rId11912" Type="http://schemas.openxmlformats.org/officeDocument/2006/relationships/hyperlink" Target="https://ref.ly/Zech13:1" TargetMode="External"/><Relationship Id="rId11913" Type="http://schemas.openxmlformats.org/officeDocument/2006/relationships/hyperlink" Target="https://ref.ly/Matt3:7-Matt3:10" TargetMode="External"/><Relationship Id="rId11914" Type="http://schemas.openxmlformats.org/officeDocument/2006/relationships/hyperlink" Target="https://ref.ly/Luke7:29-Luke7:30" TargetMode="External"/><Relationship Id="rId11915" Type="http://schemas.openxmlformats.org/officeDocument/2006/relationships/hyperlink" Target="https://ref.ly/Mark1:7" TargetMode="External"/><Relationship Id="rId11916" Type="http://schemas.openxmlformats.org/officeDocument/2006/relationships/hyperlink" Target="https://ref.ly/Mark1:7-Mark1:8" TargetMode="External"/><Relationship Id="rId11917" Type="http://schemas.openxmlformats.org/officeDocument/2006/relationships/hyperlink" Target="https://ref.ly/John1:26-John1:28" TargetMode="External"/><Relationship Id="rId11918" Type="http://schemas.openxmlformats.org/officeDocument/2006/relationships/hyperlink" Target="https://ref.ly/John3:28-John3:31" TargetMode="External"/><Relationship Id="rId11919" Type="http://schemas.openxmlformats.org/officeDocument/2006/relationships/hyperlink" Target="https://ref.ly/John1:35-John1:36" TargetMode="External"/><Relationship Id="rId11920" Type="http://schemas.openxmlformats.org/officeDocument/2006/relationships/hyperlink" Target="https://ref.ly/John1:34" TargetMode="External"/><Relationship Id="rId11921" Type="http://schemas.openxmlformats.org/officeDocument/2006/relationships/hyperlink" Target="https://ref.ly/Matt11:3" TargetMode="External"/><Relationship Id="rId11922" Type="http://schemas.openxmlformats.org/officeDocument/2006/relationships/hyperlink" Target="https://ref.ly/Matt9:9-Matt9:13" TargetMode="External"/><Relationship Id="rId11923" Type="http://schemas.openxmlformats.org/officeDocument/2006/relationships/hyperlink" Target="https://ref.ly/Isa35:5-Isa35:6" TargetMode="External"/><Relationship Id="rId11924" Type="http://schemas.openxmlformats.org/officeDocument/2006/relationships/hyperlink" Target="https://ref.ly/Luke7:28" TargetMode="External"/><Relationship Id="rId11925" Type="http://schemas.openxmlformats.org/officeDocument/2006/relationships/hyperlink" Target="https://ref.ly/John5:33-John5:35" TargetMode="External"/><Relationship Id="rId11926" Type="http://schemas.openxmlformats.org/officeDocument/2006/relationships/hyperlink" Target="https://ref.ly/Luke20:1-Luke20:8" TargetMode="External"/><Relationship Id="rId11927" Type="http://schemas.openxmlformats.org/officeDocument/2006/relationships/hyperlink" Target="https://ref.ly/Matt11:13-Matt11:15" TargetMode="External"/><Relationship Id="rId11928" Type="http://schemas.openxmlformats.org/officeDocument/2006/relationships/hyperlink" Target="https://ref.ly/Matt11:11" TargetMode="External"/><Relationship Id="rId11929" Type="http://schemas.openxmlformats.org/officeDocument/2006/relationships/hyperlink" Target="https://ref.ly/Luke3:15-Luke3:18" TargetMode="External"/><Relationship Id="rId11930" Type="http://schemas.openxmlformats.org/officeDocument/2006/relationships/hyperlink" Target="https://ref.ly/Mark6:2" TargetMode="External"/><Relationship Id="rId11931" Type="http://schemas.openxmlformats.org/officeDocument/2006/relationships/hyperlink" Target="https://ref.ly/Mark6:17" TargetMode="External"/><Relationship Id="rId11932" Type="http://schemas.openxmlformats.org/officeDocument/2006/relationships/hyperlink" Target="https://ref.ly/Mark6:21-Mark6:29" TargetMode="External"/><Relationship Id="rId11933" Type="http://schemas.openxmlformats.org/officeDocument/2006/relationships/hyperlink" Target="https://ref.ly/John1:37" TargetMode="External"/><Relationship Id="rId11934" Type="http://schemas.openxmlformats.org/officeDocument/2006/relationships/hyperlink" Target="https://ref.ly/Luke7:18-Luke7:23" TargetMode="External"/><Relationship Id="rId11935" Type="http://schemas.openxmlformats.org/officeDocument/2006/relationships/hyperlink" Target="https://ref.ly/Mark6:29" TargetMode="External"/><Relationship Id="rId11936" Type="http://schemas.openxmlformats.org/officeDocument/2006/relationships/hyperlink" Target="https://ref.ly/Luke7:33" TargetMode="External"/><Relationship Id="rId11937" Type="http://schemas.openxmlformats.org/officeDocument/2006/relationships/hyperlink" Target="https://ref.ly/Luke11:2-Luke11:4" TargetMode="External"/><Relationship Id="rId11938" Type="http://schemas.openxmlformats.org/officeDocument/2006/relationships/hyperlink" Target="https://ref.ly/Acts18:24-Acts29:7" TargetMode="External"/><Relationship Id="rId11939" Type="http://schemas.openxmlformats.org/officeDocument/2006/relationships/hyperlink" Target="https://ref.ly/Acts19:4-Acts19:7" TargetMode="External"/><Relationship Id="rId11940" Type="http://schemas.openxmlformats.org/officeDocument/2006/relationships/hyperlink" Target="https://ref.ly/Acts12:12" TargetMode="External"/><Relationship Id="rId11941" Type="http://schemas.openxmlformats.org/officeDocument/2006/relationships/hyperlink" Target="https://ref.ly/Acts12:12-Acts12:13" TargetMode="External"/><Relationship Id="rId11942" Type="http://schemas.openxmlformats.org/officeDocument/2006/relationships/hyperlink" Target="https://ref.ly/1Pet5:13" TargetMode="External"/><Relationship Id="rId11943" Type="http://schemas.openxmlformats.org/officeDocument/2006/relationships/hyperlink" Target="https://ref.ly/Acts13:5" TargetMode="External"/><Relationship Id="rId11944" Type="http://schemas.openxmlformats.org/officeDocument/2006/relationships/hyperlink" Target="https://ref.ly/Acts15:12,Acts15:25" TargetMode="External"/><Relationship Id="rId11945" Type="http://schemas.openxmlformats.org/officeDocument/2006/relationships/hyperlink" Target="https://ref.ly/Acts9:27" TargetMode="External"/><Relationship Id="rId11946" Type="http://schemas.openxmlformats.org/officeDocument/2006/relationships/hyperlink" Target="https://ref.ly/Gal2:13" TargetMode="External"/><Relationship Id="rId11947" Type="http://schemas.openxmlformats.org/officeDocument/2006/relationships/hyperlink" Target="https://ref.ly/Acts15:39-Acts15:41" TargetMode="External"/><Relationship Id="rId11948" Type="http://schemas.openxmlformats.org/officeDocument/2006/relationships/hyperlink" Target="https://ref.ly/2Tim4:9,2Tim4:11" TargetMode="External"/><Relationship Id="rId11949" Type="http://schemas.openxmlformats.org/officeDocument/2006/relationships/hyperlink" Target="https://ref.ly/2Tim4:16" TargetMode="External"/><Relationship Id="rId11950" Type="http://schemas.openxmlformats.org/officeDocument/2006/relationships/hyperlink" Target="https://ref.ly/Matt4:21" TargetMode="External"/><Relationship Id="rId11951" Type="http://schemas.openxmlformats.org/officeDocument/2006/relationships/hyperlink" Target="https://ref.ly/Matt4:21-Matt4:22" TargetMode="External"/><Relationship Id="rId11952" Type="http://schemas.openxmlformats.org/officeDocument/2006/relationships/hyperlink" Target="https://ref.ly/Mark1:19-Mark1:20" TargetMode="External"/><Relationship Id="rId11953" Type="http://schemas.openxmlformats.org/officeDocument/2006/relationships/hyperlink" Target="https://ref.ly/John1:35-John1:37" TargetMode="External"/><Relationship Id="rId11954" Type="http://schemas.openxmlformats.org/officeDocument/2006/relationships/hyperlink" Target="https://ref.ly/Matt17:1-Matt17:2" TargetMode="External"/><Relationship Id="rId11955" Type="http://schemas.openxmlformats.org/officeDocument/2006/relationships/hyperlink" Target="https://ref.ly/Mark9:2" TargetMode="External"/><Relationship Id="rId11956" Type="http://schemas.openxmlformats.org/officeDocument/2006/relationships/hyperlink" Target="https://ref.ly/Luke9:28-Luke9:29" TargetMode="External"/><Relationship Id="rId11957" Type="http://schemas.openxmlformats.org/officeDocument/2006/relationships/hyperlink" Target="https://ref.ly/Mark5:37" TargetMode="External"/><Relationship Id="rId11958" Type="http://schemas.openxmlformats.org/officeDocument/2006/relationships/hyperlink" Target="https://ref.ly/Luke8:51" TargetMode="External"/><Relationship Id="rId11959" Type="http://schemas.openxmlformats.org/officeDocument/2006/relationships/hyperlink" Target="https://ref.ly/Matt26:37" TargetMode="External"/><Relationship Id="rId11960" Type="http://schemas.openxmlformats.org/officeDocument/2006/relationships/hyperlink" Target="https://ref.ly/Mark14:33" TargetMode="External"/><Relationship Id="rId11961" Type="http://schemas.openxmlformats.org/officeDocument/2006/relationships/hyperlink" Target="https://ref.ly/Luke5:9-Luke5:10" TargetMode="External"/><Relationship Id="rId11962" Type="http://schemas.openxmlformats.org/officeDocument/2006/relationships/hyperlink" Target="https://ref.ly/Luke22:8" TargetMode="External"/><Relationship Id="rId11963" Type="http://schemas.openxmlformats.org/officeDocument/2006/relationships/hyperlink" Target="https://ref.ly/Mark9:38" TargetMode="External"/><Relationship Id="rId11964" Type="http://schemas.openxmlformats.org/officeDocument/2006/relationships/hyperlink" Target="https://ref.ly/Luke9:49" TargetMode="External"/><Relationship Id="rId11965" Type="http://schemas.openxmlformats.org/officeDocument/2006/relationships/hyperlink" Target="https://ref.ly/Mark10:35-Mark10:40" TargetMode="External"/><Relationship Id="rId11966" Type="http://schemas.openxmlformats.org/officeDocument/2006/relationships/hyperlink" Target="https://ref.ly/Matt20:20-Matt20:22" TargetMode="External"/><Relationship Id="rId11967" Type="http://schemas.openxmlformats.org/officeDocument/2006/relationships/hyperlink" Target="https://ref.ly/John13:23" TargetMode="External"/><Relationship Id="rId11968" Type="http://schemas.openxmlformats.org/officeDocument/2006/relationships/hyperlink" Target="https://ref.ly/John19:26" TargetMode="External"/><Relationship Id="rId11969" Type="http://schemas.openxmlformats.org/officeDocument/2006/relationships/hyperlink" Target="https://ref.ly/John21:1-John21:25" TargetMode="External"/><Relationship Id="rId11970" Type="http://schemas.openxmlformats.org/officeDocument/2006/relationships/hyperlink" Target="https://ref.ly/John19:26-John19:27" TargetMode="External"/><Relationship Id="rId11971" Type="http://schemas.openxmlformats.org/officeDocument/2006/relationships/hyperlink" Target="https://ref.ly/John20:8" TargetMode="External"/><Relationship Id="rId11972" Type="http://schemas.openxmlformats.org/officeDocument/2006/relationships/hyperlink" Target="https://ref.ly/Acts4:1-Acts4:3" TargetMode="External"/><Relationship Id="rId11973" Type="http://schemas.openxmlformats.org/officeDocument/2006/relationships/hyperlink" Target="https://ref.ly/Acts4:13" TargetMode="External"/><Relationship Id="rId11974" Type="http://schemas.openxmlformats.org/officeDocument/2006/relationships/hyperlink" Target="https://ref.ly/Acts4:19-Acts4:20" TargetMode="External"/><Relationship Id="rId11975" Type="http://schemas.openxmlformats.org/officeDocument/2006/relationships/hyperlink" Target="https://ref.ly/Acts8:15" TargetMode="External"/><Relationship Id="rId11976" Type="http://schemas.openxmlformats.org/officeDocument/2006/relationships/hyperlink" Target="https://ref.ly/Acts8:17" TargetMode="External"/><Relationship Id="rId11977" Type="http://schemas.openxmlformats.org/officeDocument/2006/relationships/hyperlink" Target="https://ref.ly/Acts5:17-Acts5:18" TargetMode="External"/><Relationship Id="rId11978" Type="http://schemas.openxmlformats.org/officeDocument/2006/relationships/hyperlink" Target="https://ref.ly/Gen36:33-Gen36:34" TargetMode="External"/><Relationship Id="rId11979" Type="http://schemas.openxmlformats.org/officeDocument/2006/relationships/hyperlink" Target="https://ref.ly/1Chr1:44-1Chr1:45" TargetMode="External"/><Relationship Id="rId11980" Type="http://schemas.openxmlformats.org/officeDocument/2006/relationships/hyperlink" Target="https://ref.ly/Josh12:19" TargetMode="External"/><Relationship Id="rId11981" Type="http://schemas.openxmlformats.org/officeDocument/2006/relationships/hyperlink" Target="https://ref.ly/1Chr8:9" TargetMode="External"/><Relationship Id="rId11982" Type="http://schemas.openxmlformats.org/officeDocument/2006/relationships/hyperlink" Target="https://ref.ly/1Chr8:18" TargetMode="External"/><Relationship Id="rId11983" Type="http://schemas.openxmlformats.org/officeDocument/2006/relationships/hyperlink" Target="https://ref.ly/Gen25:2-Gen25:3" TargetMode="External"/><Relationship Id="rId11984" Type="http://schemas.openxmlformats.org/officeDocument/2006/relationships/hyperlink" Target="https://ref.ly/Gen10:25-Gen10:29" TargetMode="External"/><Relationship Id="rId11985" Type="http://schemas.openxmlformats.org/officeDocument/2006/relationships/hyperlink" Target="https://ref.ly/1Chr1:19-1Chr1:23" TargetMode="External"/><Relationship Id="rId11986" Type="http://schemas.openxmlformats.org/officeDocument/2006/relationships/hyperlink" Target="https://ref.ly/1Chr6:36" TargetMode="External"/><Relationship Id="rId11987" Type="http://schemas.openxmlformats.org/officeDocument/2006/relationships/hyperlink" Target="https://ref.ly/1Sam8:2-1Sam8:5" TargetMode="External"/><Relationship Id="rId11988" Type="http://schemas.openxmlformats.org/officeDocument/2006/relationships/hyperlink" Target="https://ref.ly/1Chr6:33" TargetMode="External"/><Relationship Id="rId11989" Type="http://schemas.openxmlformats.org/officeDocument/2006/relationships/hyperlink" Target="https://ref.ly/1Chr15:7" TargetMode="External"/><Relationship Id="rId11990" Type="http://schemas.openxmlformats.org/officeDocument/2006/relationships/hyperlink" Target="https://ref.ly/1Chr4:35" TargetMode="External"/><Relationship Id="rId11991" Type="http://schemas.openxmlformats.org/officeDocument/2006/relationships/hyperlink" Target="https://ref.ly/1Chr5:4,1Chr5:8" TargetMode="External"/><Relationship Id="rId11992" Type="http://schemas.openxmlformats.org/officeDocument/2006/relationships/hyperlink" Target="https://ref.ly/1Chr5:12" TargetMode="External"/><Relationship Id="rId11993" Type="http://schemas.openxmlformats.org/officeDocument/2006/relationships/hyperlink" Target="https://ref.ly/1Chr7:3" TargetMode="External"/><Relationship Id="rId11994" Type="http://schemas.openxmlformats.org/officeDocument/2006/relationships/hyperlink" Target="https://ref.ly/1Chr15:7-1Chr15:11" TargetMode="External"/><Relationship Id="rId11995" Type="http://schemas.openxmlformats.org/officeDocument/2006/relationships/hyperlink" Target="https://ref.ly/1Chr27:20" TargetMode="External"/><Relationship Id="rId11996" Type="http://schemas.openxmlformats.org/officeDocument/2006/relationships/hyperlink" Target="https://ref.ly/Ezra10:43" TargetMode="External"/><Relationship Id="rId11997" Type="http://schemas.openxmlformats.org/officeDocument/2006/relationships/hyperlink" Target="https://ref.ly/Neh11:9" TargetMode="External"/><Relationship Id="rId11998" Type="http://schemas.openxmlformats.org/officeDocument/2006/relationships/hyperlink" Target="https://ref.ly/Joel1:1" TargetMode="External"/><Relationship Id="rId11999" Type="http://schemas.openxmlformats.org/officeDocument/2006/relationships/hyperlink" Target="https://ref.ly/Acts2:16" TargetMode="External"/><Relationship Id="rId12000" Type="http://schemas.openxmlformats.org/officeDocument/2006/relationships/hyperlink" Target="https://ref.ly/Judg8:11" TargetMode="External"/><Relationship Id="rId12001" Type="http://schemas.openxmlformats.org/officeDocument/2006/relationships/hyperlink" Target="https://ref.ly/Exod11:2" TargetMode="External"/><Relationship Id="rId12002" Type="http://schemas.openxmlformats.org/officeDocument/2006/relationships/hyperlink" Target="https://ref.ly/Isa3:18-Isa3:21" TargetMode="External"/><Relationship Id="rId12003" Type="http://schemas.openxmlformats.org/officeDocument/2006/relationships/hyperlink" Target="https://ref.ly/Gen24:22,Gen24:53" TargetMode="External"/><Relationship Id="rId12004" Type="http://schemas.openxmlformats.org/officeDocument/2006/relationships/hyperlink" Target="https://ref.ly/2Chr20:25" TargetMode="External"/><Relationship Id="rId12005" Type="http://schemas.openxmlformats.org/officeDocument/2006/relationships/hyperlink" Target="https://ref.ly/2Chr21:3" TargetMode="External"/><Relationship Id="rId12006" Type="http://schemas.openxmlformats.org/officeDocument/2006/relationships/hyperlink" Target="https://ref.ly/Gen24:22,Gen24:30,Gen24:47" TargetMode="External"/><Relationship Id="rId12007" Type="http://schemas.openxmlformats.org/officeDocument/2006/relationships/hyperlink" Target="https://ref.ly/Ezek16:11" TargetMode="External"/><Relationship Id="rId12008" Type="http://schemas.openxmlformats.org/officeDocument/2006/relationships/hyperlink" Target="https://ref.ly/Isa3:18-Isa3:20" TargetMode="External"/><Relationship Id="rId12009" Type="http://schemas.openxmlformats.org/officeDocument/2006/relationships/hyperlink" Target="https://ref.ly/Zech9:16" TargetMode="External"/><Relationship Id="rId12010" Type="http://schemas.openxmlformats.org/officeDocument/2006/relationships/hyperlink" Target="https://ref.ly/Isa3:21" TargetMode="External"/><Relationship Id="rId12011" Type="http://schemas.openxmlformats.org/officeDocument/2006/relationships/hyperlink" Target="https://ref.ly/Gen24:47" TargetMode="External"/><Relationship Id="rId12012" Type="http://schemas.openxmlformats.org/officeDocument/2006/relationships/hyperlink" Target="https://ref.ly/Isa3:18-Isa3:23" TargetMode="External"/><Relationship Id="rId12013" Type="http://schemas.openxmlformats.org/officeDocument/2006/relationships/hyperlink" Target="https://ref.ly/Ps56:1-Ps56:13" TargetMode="External"/><Relationship Id="rId12014" Type="http://schemas.openxmlformats.org/officeDocument/2006/relationships/hyperlink" Target="https://ref.ly/Josh19:46" TargetMode="External"/><Relationship Id="rId12015" Type="http://schemas.openxmlformats.org/officeDocument/2006/relationships/hyperlink" Target="https://ref.ly/2Chr2:16" TargetMode="External"/><Relationship Id="rId12016" Type="http://schemas.openxmlformats.org/officeDocument/2006/relationships/hyperlink" Target="https://ref.ly/Jonah1:3" TargetMode="External"/><Relationship Id="rId12017" Type="http://schemas.openxmlformats.org/officeDocument/2006/relationships/hyperlink" Target="https://ref.ly/2Macc12:3-2Macc12:9" TargetMode="External"/><Relationship Id="rId12018" Type="http://schemas.openxmlformats.org/officeDocument/2006/relationships/hyperlink" Target="https://ref.ly/1Macc10:74-1Macc10:86" TargetMode="External"/><Relationship Id="rId12019" Type="http://schemas.openxmlformats.org/officeDocument/2006/relationships/hyperlink" Target="https://ref.ly/Exod3:18" TargetMode="External"/><Relationship Id="rId12020" Type="http://schemas.openxmlformats.org/officeDocument/2006/relationships/hyperlink" Target="https://ref.ly/1Kgs19:4" TargetMode="External"/><Relationship Id="rId12021" Type="http://schemas.openxmlformats.org/officeDocument/2006/relationships/hyperlink" Target="https://ref.ly/Luke2:44" TargetMode="External"/><Relationship Id="rId12022" Type="http://schemas.openxmlformats.org/officeDocument/2006/relationships/hyperlink" Target="https://ref.ly/Exod16:27-Exod16:30" TargetMode="External"/><Relationship Id="rId12023" Type="http://schemas.openxmlformats.org/officeDocument/2006/relationships/hyperlink" Target="https://ref.ly/Josh3:4" TargetMode="External"/><Relationship Id="rId12024" Type="http://schemas.openxmlformats.org/officeDocument/2006/relationships/hyperlink" Target="https://ref.ly/Num35:4-Num35:5" TargetMode="External"/><Relationship Id="rId12025" Type="http://schemas.openxmlformats.org/officeDocument/2006/relationships/hyperlink" Target="https://ref.ly/Gen30:24" TargetMode="External"/><Relationship Id="rId12026" Type="http://schemas.openxmlformats.org/officeDocument/2006/relationships/hyperlink" Target="https://ref.ly/Gen37:2" TargetMode="External"/><Relationship Id="rId12027" Type="http://schemas.openxmlformats.org/officeDocument/2006/relationships/hyperlink" Target="https://ref.ly/Gen37:3-Gen37:4" TargetMode="External"/><Relationship Id="rId12028" Type="http://schemas.openxmlformats.org/officeDocument/2006/relationships/hyperlink" Target="https://ref.ly/Gen37:5-Gen37:11" TargetMode="External"/><Relationship Id="rId12029" Type="http://schemas.openxmlformats.org/officeDocument/2006/relationships/hyperlink" Target="https://ref.ly/Gen37:31-Gen37:33" TargetMode="External"/><Relationship Id="rId12030" Type="http://schemas.openxmlformats.org/officeDocument/2006/relationships/hyperlink" Target="https://ref.ly/Gen37:34-Gen37:35" TargetMode="External"/><Relationship Id="rId12031" Type="http://schemas.openxmlformats.org/officeDocument/2006/relationships/hyperlink" Target="https://ref.ly/Gen39:6-Gen39:10" TargetMode="External"/><Relationship Id="rId12032" Type="http://schemas.openxmlformats.org/officeDocument/2006/relationships/hyperlink" Target="https://ref.ly/Gen39:9" TargetMode="External"/><Relationship Id="rId12033" Type="http://schemas.openxmlformats.org/officeDocument/2006/relationships/hyperlink" Target="https://ref.ly/Gen39:20" TargetMode="External"/><Relationship Id="rId12034" Type="http://schemas.openxmlformats.org/officeDocument/2006/relationships/hyperlink" Target="https://ref.ly/Gen41:25-Gen41:36" TargetMode="External"/><Relationship Id="rId12035" Type="http://schemas.openxmlformats.org/officeDocument/2006/relationships/hyperlink" Target="https://ref.ly/Gen41:39-Gen41:44" TargetMode="External"/><Relationship Id="rId12036" Type="http://schemas.openxmlformats.org/officeDocument/2006/relationships/hyperlink" Target="https://ref.ly/Gen41:53-Gen41:56" TargetMode="External"/><Relationship Id="rId12037" Type="http://schemas.openxmlformats.org/officeDocument/2006/relationships/hyperlink" Target="https://ref.ly/Gen42:8-Gen42:9" TargetMode="External"/><Relationship Id="rId12038" Type="http://schemas.openxmlformats.org/officeDocument/2006/relationships/hyperlink" Target="https://ref.ly/Gen42:9-Gen42:14" TargetMode="External"/><Relationship Id="rId12039" Type="http://schemas.openxmlformats.org/officeDocument/2006/relationships/hyperlink" Target="https://ref.ly/Gen42:19-Gen42:20" TargetMode="External"/><Relationship Id="rId12040" Type="http://schemas.openxmlformats.org/officeDocument/2006/relationships/hyperlink" Target="https://ref.ly/Gen42:24" TargetMode="External"/><Relationship Id="rId12041" Type="http://schemas.openxmlformats.org/officeDocument/2006/relationships/hyperlink" Target="https://ref.ly/Gen43:1-Gen43:2" TargetMode="External"/><Relationship Id="rId12042" Type="http://schemas.openxmlformats.org/officeDocument/2006/relationships/hyperlink" Target="https://ref.ly/Gen43:11-Gen43:13" TargetMode="External"/><Relationship Id="rId12043" Type="http://schemas.openxmlformats.org/officeDocument/2006/relationships/hyperlink" Target="https://ref.ly/Gen43:23" TargetMode="External"/><Relationship Id="rId12044" Type="http://schemas.openxmlformats.org/officeDocument/2006/relationships/hyperlink" Target="https://ref.ly/Gen43:33" TargetMode="External"/><Relationship Id="rId12045" Type="http://schemas.openxmlformats.org/officeDocument/2006/relationships/hyperlink" Target="https://ref.ly/Gen45:4-Gen45:8" TargetMode="External"/><Relationship Id="rId12046" Type="http://schemas.openxmlformats.org/officeDocument/2006/relationships/hyperlink" Target="https://ref.ly/Gen45:21" TargetMode="External"/><Relationship Id="rId12047" Type="http://schemas.openxmlformats.org/officeDocument/2006/relationships/hyperlink" Target="https://ref.ly/Gen46:28-Gen46:29" TargetMode="External"/><Relationship Id="rId12048" Type="http://schemas.openxmlformats.org/officeDocument/2006/relationships/hyperlink" Target="https://ref.ly/Gen48:14-Gen48:20" TargetMode="External"/><Relationship Id="rId12049" Type="http://schemas.openxmlformats.org/officeDocument/2006/relationships/hyperlink" Target="https://ref.ly/Gen50:1-Gen50:12" TargetMode="External"/><Relationship Id="rId12050" Type="http://schemas.openxmlformats.org/officeDocument/2006/relationships/hyperlink" Target="https://ref.ly/Exod13:19" TargetMode="External"/><Relationship Id="rId12051" Type="http://schemas.openxmlformats.org/officeDocument/2006/relationships/hyperlink" Target="https://ref.ly/1Chr25:2" TargetMode="External"/><Relationship Id="rId12052" Type="http://schemas.openxmlformats.org/officeDocument/2006/relationships/hyperlink" Target="https://ref.ly/Ezra10:42" TargetMode="External"/><Relationship Id="rId12053" Type="http://schemas.openxmlformats.org/officeDocument/2006/relationships/hyperlink" Target="https://ref.ly/Neh12:14" TargetMode="External"/><Relationship Id="rId12054" Type="http://schemas.openxmlformats.org/officeDocument/2006/relationships/hyperlink" Target="https://ref.ly/Luke1:34-Luke1:37" TargetMode="External"/><Relationship Id="rId12055" Type="http://schemas.openxmlformats.org/officeDocument/2006/relationships/hyperlink" Target="https://ref.ly/Luke2:1-Luke2:6" TargetMode="External"/><Relationship Id="rId12056" Type="http://schemas.openxmlformats.org/officeDocument/2006/relationships/hyperlink" Target="https://ref.ly/Luke2:22" TargetMode="External"/><Relationship Id="rId12057" Type="http://schemas.openxmlformats.org/officeDocument/2006/relationships/hyperlink" Target="https://ref.ly/Luke2:41-Luke2:51" TargetMode="External"/><Relationship Id="rId12058" Type="http://schemas.openxmlformats.org/officeDocument/2006/relationships/hyperlink" Target="https://ref.ly/Luke4:22" TargetMode="External"/><Relationship Id="rId12059" Type="http://schemas.openxmlformats.org/officeDocument/2006/relationships/hyperlink" Target="https://ref.ly/John6:42" TargetMode="External"/><Relationship Id="rId12060" Type="http://schemas.openxmlformats.org/officeDocument/2006/relationships/hyperlink" Target="https://ref.ly/Matt12:46-Matt12:50" TargetMode="External"/><Relationship Id="rId12061" Type="http://schemas.openxmlformats.org/officeDocument/2006/relationships/hyperlink" Target="https://ref.ly/Mark3:31-Mark3:35" TargetMode="External"/><Relationship Id="rId12062" Type="http://schemas.openxmlformats.org/officeDocument/2006/relationships/hyperlink" Target="https://ref.ly/Luke23:50-Luke23:51" TargetMode="External"/><Relationship Id="rId12063" Type="http://schemas.openxmlformats.org/officeDocument/2006/relationships/hyperlink" Target="https://ref.ly/John19:38" TargetMode="External"/><Relationship Id="rId12064" Type="http://schemas.openxmlformats.org/officeDocument/2006/relationships/hyperlink" Target="https://ref.ly/Luke3:25" TargetMode="External"/><Relationship Id="rId12065" Type="http://schemas.openxmlformats.org/officeDocument/2006/relationships/hyperlink" Target="https://ref.ly/Luke3:26" TargetMode="External"/><Relationship Id="rId12066" Type="http://schemas.openxmlformats.org/officeDocument/2006/relationships/hyperlink" Target="https://ref.ly/Luke3:30" TargetMode="External"/><Relationship Id="rId12067" Type="http://schemas.openxmlformats.org/officeDocument/2006/relationships/hyperlink" Target="https://ref.ly/Exod17:8-Exod17:15" TargetMode="External"/><Relationship Id="rId12068" Type="http://schemas.openxmlformats.org/officeDocument/2006/relationships/hyperlink" Target="https://ref.ly/Num13:8,Num13:16" TargetMode="External"/><Relationship Id="rId12069" Type="http://schemas.openxmlformats.org/officeDocument/2006/relationships/hyperlink" Target="https://ref.ly/Num14:6-Num14:9" TargetMode="External"/><Relationship Id="rId12070" Type="http://schemas.openxmlformats.org/officeDocument/2006/relationships/hyperlink" Target="https://ref.ly/Num14:30" TargetMode="External"/><Relationship Id="rId12071" Type="http://schemas.openxmlformats.org/officeDocument/2006/relationships/hyperlink" Target="https://ref.ly/Num27:12-Num27:23" TargetMode="External"/><Relationship Id="rId12072" Type="http://schemas.openxmlformats.org/officeDocument/2006/relationships/hyperlink" Target="https://ref.ly/Josh1:1-Josh1:2" TargetMode="External"/><Relationship Id="rId12073" Type="http://schemas.openxmlformats.org/officeDocument/2006/relationships/hyperlink" Target="https://ref.ly/Josh2:23-Josh2:24" TargetMode="External"/><Relationship Id="rId12074" Type="http://schemas.openxmlformats.org/officeDocument/2006/relationships/hyperlink" Target="https://ref.ly/Josh4:1-Josh4:7" TargetMode="External"/><Relationship Id="rId12075" Type="http://schemas.openxmlformats.org/officeDocument/2006/relationships/hyperlink" Target="https://ref.ly/Josh7:10-Josh7:26" TargetMode="External"/><Relationship Id="rId12076" Type="http://schemas.openxmlformats.org/officeDocument/2006/relationships/hyperlink" Target="https://ref.ly/Josh8:30-Josh8:32" TargetMode="External"/><Relationship Id="rId12077" Type="http://schemas.openxmlformats.org/officeDocument/2006/relationships/hyperlink" Target="https://ref.ly/Deut27:1-Deut28:68" TargetMode="External"/><Relationship Id="rId12078" Type="http://schemas.openxmlformats.org/officeDocument/2006/relationships/hyperlink" Target="https://ref.ly/Josh9:14" TargetMode="External"/><Relationship Id="rId12079" Type="http://schemas.openxmlformats.org/officeDocument/2006/relationships/hyperlink" Target="https://ref.ly/Josh9:21-Josh9:27" TargetMode="External"/><Relationship Id="rId12080" Type="http://schemas.openxmlformats.org/officeDocument/2006/relationships/hyperlink" Target="https://ref.ly/Josh10:1-Josh10:5" TargetMode="External"/><Relationship Id="rId12081" Type="http://schemas.openxmlformats.org/officeDocument/2006/relationships/hyperlink" Target="https://ref.ly/Josh10:12-Josh10:14" TargetMode="External"/><Relationship Id="rId12082" Type="http://schemas.openxmlformats.org/officeDocument/2006/relationships/hyperlink" Target="https://ref.ly/Josh10:28-Josh10:43" TargetMode="External"/><Relationship Id="rId12083" Type="http://schemas.openxmlformats.org/officeDocument/2006/relationships/hyperlink" Target="https://ref.ly/Josh11:6-Josh11:15" TargetMode="External"/><Relationship Id="rId12084" Type="http://schemas.openxmlformats.org/officeDocument/2006/relationships/hyperlink" Target="https://ref.ly/Josh11:23" TargetMode="External"/><Relationship Id="rId12085" Type="http://schemas.openxmlformats.org/officeDocument/2006/relationships/hyperlink" Target="https://ref.ly/Josh13:7" TargetMode="External"/><Relationship Id="rId12086" Type="http://schemas.openxmlformats.org/officeDocument/2006/relationships/hyperlink" Target="https://ref.ly/Josh13:8-Josh18:28" TargetMode="External"/><Relationship Id="rId12087" Type="http://schemas.openxmlformats.org/officeDocument/2006/relationships/hyperlink" Target="https://ref.ly/Josh19:49-Josh19:50" TargetMode="External"/><Relationship Id="rId12088" Type="http://schemas.openxmlformats.org/officeDocument/2006/relationships/hyperlink" Target="https://ref.ly/Josh20:1-Josh20:9" TargetMode="External"/><Relationship Id="rId12089" Type="http://schemas.openxmlformats.org/officeDocument/2006/relationships/hyperlink" Target="https://ref.ly/Josh21:1-Josh21:42" TargetMode="External"/><Relationship Id="rId12090" Type="http://schemas.openxmlformats.org/officeDocument/2006/relationships/hyperlink" Target="https://ref.ly/Josh23:1-Josh23:16" TargetMode="External"/><Relationship Id="rId12091" Type="http://schemas.openxmlformats.org/officeDocument/2006/relationships/hyperlink" Target="https://ref.ly/Josh24:29-Josh24:30" TargetMode="External"/><Relationship Id="rId12092" Type="http://schemas.openxmlformats.org/officeDocument/2006/relationships/hyperlink" Target="https://ref.ly/Judg2:8-Judg2:9" TargetMode="External"/><Relationship Id="rId12093" Type="http://schemas.openxmlformats.org/officeDocument/2006/relationships/hyperlink" Target="https://ref.ly/Josh24:31" TargetMode="External"/><Relationship Id="rId12094" Type="http://schemas.openxmlformats.org/officeDocument/2006/relationships/hyperlink" Target="https://ref.ly/Judg2:7" TargetMode="External"/><Relationship Id="rId12095" Type="http://schemas.openxmlformats.org/officeDocument/2006/relationships/hyperlink" Target="https://ref.ly/1Sam6:14,1Sam6:18" TargetMode="External"/><Relationship Id="rId12096" Type="http://schemas.openxmlformats.org/officeDocument/2006/relationships/hyperlink" Target="https://ref.ly/2Kgs23:8" TargetMode="External"/><Relationship Id="rId12097" Type="http://schemas.openxmlformats.org/officeDocument/2006/relationships/hyperlink" Target="https://ref.ly/Hag1:1-Hag1:14" TargetMode="External"/><Relationship Id="rId12098" Type="http://schemas.openxmlformats.org/officeDocument/2006/relationships/hyperlink" Target="https://ref.ly/Hag2:2-Hag2:4" TargetMode="External"/><Relationship Id="rId12099" Type="http://schemas.openxmlformats.org/officeDocument/2006/relationships/hyperlink" Target="https://ref.ly/Zech3:1-Zech3:9" TargetMode="External"/><Relationship Id="rId12100" Type="http://schemas.openxmlformats.org/officeDocument/2006/relationships/hyperlink" Target="https://ref.ly/Zech6:11" TargetMode="External"/><Relationship Id="rId12101" Type="http://schemas.openxmlformats.org/officeDocument/2006/relationships/hyperlink" Target="https://ref.ly/Josh24:29-Josh24:33" TargetMode="External"/><Relationship Id="rId12102" Type="http://schemas.openxmlformats.org/officeDocument/2006/relationships/hyperlink" Target="https://ref.ly/Josh24:26" TargetMode="External"/><Relationship Id="rId12103" Type="http://schemas.openxmlformats.org/officeDocument/2006/relationships/hyperlink" Target="https://ref.ly/Josh24:1-Josh24:33" TargetMode="External"/><Relationship Id="rId12104" Type="http://schemas.openxmlformats.org/officeDocument/2006/relationships/hyperlink" Target="https://ref.ly/Judg18:27-Judg18:31" TargetMode="External"/><Relationship Id="rId12105" Type="http://schemas.openxmlformats.org/officeDocument/2006/relationships/hyperlink" Target="https://ref.ly/Josh15:8,Josh15:63" TargetMode="External"/><Relationship Id="rId12106" Type="http://schemas.openxmlformats.org/officeDocument/2006/relationships/hyperlink" Target="https://ref.ly/Josh18:16,Josh18:28" TargetMode="External"/><Relationship Id="rId12107" Type="http://schemas.openxmlformats.org/officeDocument/2006/relationships/hyperlink" Target="https://ref.ly/Josh11:8" TargetMode="External"/><Relationship Id="rId12108" Type="http://schemas.openxmlformats.org/officeDocument/2006/relationships/hyperlink" Target="https://ref.ly/Josh13:4-Josh13:6" TargetMode="External"/><Relationship Id="rId12109" Type="http://schemas.openxmlformats.org/officeDocument/2006/relationships/hyperlink" Target="https://ref.ly/Josh19:28" TargetMode="External"/><Relationship Id="rId12110" Type="http://schemas.openxmlformats.org/officeDocument/2006/relationships/hyperlink" Target="https://ref.ly/Josh5:1,Josh5:6" TargetMode="External"/><Relationship Id="rId12111" Type="http://schemas.openxmlformats.org/officeDocument/2006/relationships/hyperlink" Target="https://ref.ly/Deut7:16" TargetMode="External"/><Relationship Id="rId12112" Type="http://schemas.openxmlformats.org/officeDocument/2006/relationships/hyperlink" Target="https://ref.ly/Deut20:16-Deut20:18" TargetMode="External"/><Relationship Id="rId12113" Type="http://schemas.openxmlformats.org/officeDocument/2006/relationships/hyperlink" Target="https://ref.ly/Josh6:21" TargetMode="External"/><Relationship Id="rId12114" Type="http://schemas.openxmlformats.org/officeDocument/2006/relationships/hyperlink" Target="https://ref.ly/Josh8:24-Josh8:26" TargetMode="External"/><Relationship Id="rId12115" Type="http://schemas.openxmlformats.org/officeDocument/2006/relationships/hyperlink" Target="https://ref.ly/Josh10:10,Josh10:28-Josh10:30,Josh10:35-Josh10:42" TargetMode="External"/><Relationship Id="rId12116" Type="http://schemas.openxmlformats.org/officeDocument/2006/relationships/hyperlink" Target="https://ref.ly/Josh11:11" TargetMode="External"/><Relationship Id="rId12117" Type="http://schemas.openxmlformats.org/officeDocument/2006/relationships/hyperlink" Target="https://ref.ly/Deut7:2-Deut7:5,Deut7:25-Deut7:26" TargetMode="External"/><Relationship Id="rId12118" Type="http://schemas.openxmlformats.org/officeDocument/2006/relationships/hyperlink" Target="https://ref.ly/Deut12:30-Deut12:31" TargetMode="External"/><Relationship Id="rId12119" Type="http://schemas.openxmlformats.org/officeDocument/2006/relationships/hyperlink" Target="https://ref.ly/Judg2:11" TargetMode="External"/><Relationship Id="rId12120" Type="http://schemas.openxmlformats.org/officeDocument/2006/relationships/hyperlink" Target="https://ref.ly/Num21:21-Num21:35" TargetMode="External"/><Relationship Id="rId12121" Type="http://schemas.openxmlformats.org/officeDocument/2006/relationships/hyperlink" Target="https://ref.ly/Josh7:4-Josh7:5" TargetMode="External"/><Relationship Id="rId12122" Type="http://schemas.openxmlformats.org/officeDocument/2006/relationships/hyperlink" Target="https://ref.ly/Josh8:5,Josh8:16-Josh8:17" TargetMode="External"/><Relationship Id="rId12123" Type="http://schemas.openxmlformats.org/officeDocument/2006/relationships/hyperlink" Target="https://ref.ly/Josh10:1-Josh10:6" TargetMode="External"/><Relationship Id="rId12124" Type="http://schemas.openxmlformats.org/officeDocument/2006/relationships/hyperlink" Target="https://ref.ly/Num21:21-Num21:22" TargetMode="External"/><Relationship Id="rId12125" Type="http://schemas.openxmlformats.org/officeDocument/2006/relationships/hyperlink" Target="https://ref.ly/Deut20:10-Deut20:11" TargetMode="External"/><Relationship Id="rId12126" Type="http://schemas.openxmlformats.org/officeDocument/2006/relationships/hyperlink" Target="https://ref.ly/Josh10:40" TargetMode="External"/><Relationship Id="rId12127" Type="http://schemas.openxmlformats.org/officeDocument/2006/relationships/hyperlink" Target="https://ref.ly/Josh11:1-Josh11:3,Josh11:16-Josh11:19" TargetMode="External"/><Relationship Id="rId12128" Type="http://schemas.openxmlformats.org/officeDocument/2006/relationships/hyperlink" Target="https://ref.ly/Josh13:1-Josh13:7" TargetMode="External"/><Relationship Id="rId12129" Type="http://schemas.openxmlformats.org/officeDocument/2006/relationships/hyperlink" Target="https://ref.ly/Josh16:10" TargetMode="External"/><Relationship Id="rId12130" Type="http://schemas.openxmlformats.org/officeDocument/2006/relationships/hyperlink" Target="https://ref.ly/Josh17:12-Josh17:18" TargetMode="External"/><Relationship Id="rId12131" Type="http://schemas.openxmlformats.org/officeDocument/2006/relationships/hyperlink" Target="https://ref.ly/Josh23:5" TargetMode="External"/><Relationship Id="rId12132" Type="http://schemas.openxmlformats.org/officeDocument/2006/relationships/hyperlink" Target="https://ref.ly/Exod23:29-Exod23:30" TargetMode="External"/><Relationship Id="rId12133" Type="http://schemas.openxmlformats.org/officeDocument/2006/relationships/hyperlink" Target="https://ref.ly/Deut7:22" TargetMode="External"/><Relationship Id="rId12134" Type="http://schemas.openxmlformats.org/officeDocument/2006/relationships/hyperlink" Target="https://ref.ly/Josh1:1" TargetMode="External"/><Relationship Id="rId12135" Type="http://schemas.openxmlformats.org/officeDocument/2006/relationships/hyperlink" Target="https://ref.ly/Deut34:9" TargetMode="External"/><Relationship Id="rId12136" Type="http://schemas.openxmlformats.org/officeDocument/2006/relationships/hyperlink" Target="https://ref.ly/Josh1:2-Josh1:3" TargetMode="External"/><Relationship Id="rId12137" Type="http://schemas.openxmlformats.org/officeDocument/2006/relationships/hyperlink" Target="https://ref.ly/Josh1:4" TargetMode="External"/><Relationship Id="rId12138" Type="http://schemas.openxmlformats.org/officeDocument/2006/relationships/hyperlink" Target="https://ref.ly/Josh1:5,Josh1:9" TargetMode="External"/><Relationship Id="rId12139" Type="http://schemas.openxmlformats.org/officeDocument/2006/relationships/hyperlink" Target="https://ref.ly/Deut31:9,Deut31:24-Deut31:26" TargetMode="External"/><Relationship Id="rId12140" Type="http://schemas.openxmlformats.org/officeDocument/2006/relationships/hyperlink" Target="https://ref.ly/Josh23:6" TargetMode="External"/><Relationship Id="rId12141" Type="http://schemas.openxmlformats.org/officeDocument/2006/relationships/hyperlink" Target="https://ref.ly/Josh1:7-Josh1:8" TargetMode="External"/><Relationship Id="rId12142" Type="http://schemas.openxmlformats.org/officeDocument/2006/relationships/hyperlink" Target="https://ref.ly/Josh1:10-Josh5:12" TargetMode="External"/><Relationship Id="rId12143" Type="http://schemas.openxmlformats.org/officeDocument/2006/relationships/hyperlink" Target="https://ref.ly/Josh1:13-Josh1:15" TargetMode="External"/><Relationship Id="rId12144" Type="http://schemas.openxmlformats.org/officeDocument/2006/relationships/hyperlink" Target="https://ref.ly/Num32:20-Num32:27" TargetMode="External"/><Relationship Id="rId12145" Type="http://schemas.openxmlformats.org/officeDocument/2006/relationships/hyperlink" Target="https://ref.ly/Josh1:16-Josh1:18" TargetMode="External"/><Relationship Id="rId12146" Type="http://schemas.openxmlformats.org/officeDocument/2006/relationships/hyperlink" Target="https://ref.ly/Josh3:6" TargetMode="External"/><Relationship Id="rId12147" Type="http://schemas.openxmlformats.org/officeDocument/2006/relationships/hyperlink" Target="https://ref.ly/Josh4:10" TargetMode="External"/><Relationship Id="rId12148" Type="http://schemas.openxmlformats.org/officeDocument/2006/relationships/hyperlink" Target="https://ref.ly/Josh3:5-Josh3:9" TargetMode="External"/><Relationship Id="rId12149" Type="http://schemas.openxmlformats.org/officeDocument/2006/relationships/hyperlink" Target="https://ref.ly/Josh4:14" TargetMode="External"/><Relationship Id="rId12150" Type="http://schemas.openxmlformats.org/officeDocument/2006/relationships/hyperlink" Target="https://ref.ly/Josh2:10-Josh2:11" TargetMode="External"/><Relationship Id="rId12151" Type="http://schemas.openxmlformats.org/officeDocument/2006/relationships/hyperlink" Target="https://ref.ly/Exod15:15" TargetMode="External"/><Relationship Id="rId12152" Type="http://schemas.openxmlformats.org/officeDocument/2006/relationships/hyperlink" Target="https://ref.ly/Exod23:27-Exod23:28" TargetMode="External"/><Relationship Id="rId12153" Type="http://schemas.openxmlformats.org/officeDocument/2006/relationships/hyperlink" Target="https://ref.ly/Deut2:25" TargetMode="External"/><Relationship Id="rId12154" Type="http://schemas.openxmlformats.org/officeDocument/2006/relationships/hyperlink" Target="https://ref.ly/Deut7:23" TargetMode="External"/><Relationship Id="rId12155" Type="http://schemas.openxmlformats.org/officeDocument/2006/relationships/hyperlink" Target="https://ref.ly/Deut11:25" TargetMode="External"/><Relationship Id="rId12156" Type="http://schemas.openxmlformats.org/officeDocument/2006/relationships/hyperlink" Target="https://ref.ly/Deut32:30" TargetMode="External"/><Relationship Id="rId12157" Type="http://schemas.openxmlformats.org/officeDocument/2006/relationships/hyperlink" Target="https://ref.ly/Josh2:11" TargetMode="External"/><Relationship Id="rId12158" Type="http://schemas.openxmlformats.org/officeDocument/2006/relationships/hyperlink" Target="https://ref.ly/Matt1:5" TargetMode="External"/><Relationship Id="rId12159" Type="http://schemas.openxmlformats.org/officeDocument/2006/relationships/hyperlink" Target="https://ref.ly/Josh2:24" TargetMode="External"/><Relationship Id="rId12160" Type="http://schemas.openxmlformats.org/officeDocument/2006/relationships/hyperlink" Target="https://ref.ly/Josh3:5" TargetMode="External"/><Relationship Id="rId12161" Type="http://schemas.openxmlformats.org/officeDocument/2006/relationships/hyperlink" Target="https://ref.ly/Josh3:13" TargetMode="External"/><Relationship Id="rId12162" Type="http://schemas.openxmlformats.org/officeDocument/2006/relationships/hyperlink" Target="https://ref.ly/Josh4:1" TargetMode="External"/><Relationship Id="rId12163" Type="http://schemas.openxmlformats.org/officeDocument/2006/relationships/hyperlink" Target="https://ref.ly/Josh4:1-Josh4:9,Josh4:20" TargetMode="External"/><Relationship Id="rId12164" Type="http://schemas.openxmlformats.org/officeDocument/2006/relationships/hyperlink" Target="https://ref.ly/Josh4:21-Josh4:24" TargetMode="External"/><Relationship Id="rId12165" Type="http://schemas.openxmlformats.org/officeDocument/2006/relationships/hyperlink" Target="https://ref.ly/Josh4:24" TargetMode="External"/><Relationship Id="rId12166" Type="http://schemas.openxmlformats.org/officeDocument/2006/relationships/hyperlink" Target="https://ref.ly/Josh5:1-Josh5:9" TargetMode="External"/><Relationship Id="rId12167" Type="http://schemas.openxmlformats.org/officeDocument/2006/relationships/hyperlink" Target="https://ref.ly/Josh5:10-Josh5:12" TargetMode="External"/><Relationship Id="rId12168" Type="http://schemas.openxmlformats.org/officeDocument/2006/relationships/hyperlink" Target="https://ref.ly/Deut4:4-Deut4:14" TargetMode="External"/><Relationship Id="rId12169" Type="http://schemas.openxmlformats.org/officeDocument/2006/relationships/hyperlink" Target="https://ref.ly/Deut6:1-Deut6:5" TargetMode="External"/><Relationship Id="rId12170" Type="http://schemas.openxmlformats.org/officeDocument/2006/relationships/hyperlink" Target="https://ref.ly/Josh5:5" TargetMode="External"/><Relationship Id="rId12171" Type="http://schemas.openxmlformats.org/officeDocument/2006/relationships/hyperlink" Target="https://ref.ly/Josh5:9" TargetMode="External"/><Relationship Id="rId12172" Type="http://schemas.openxmlformats.org/officeDocument/2006/relationships/hyperlink" Target="https://ref.ly/Josh5:11-Josh5:12" TargetMode="External"/><Relationship Id="rId12173" Type="http://schemas.openxmlformats.org/officeDocument/2006/relationships/hyperlink" Target="https://ref.ly/Josh5:13-Josh6:27" TargetMode="External"/><Relationship Id="rId12174" Type="http://schemas.openxmlformats.org/officeDocument/2006/relationships/hyperlink" Target="https://ref.ly/Exod3:2-Exod4:17" TargetMode="External"/><Relationship Id="rId12175" Type="http://schemas.openxmlformats.org/officeDocument/2006/relationships/hyperlink" Target="https://ref.ly/Josh5:14-Josh5:15" TargetMode="External"/><Relationship Id="rId12176" Type="http://schemas.openxmlformats.org/officeDocument/2006/relationships/hyperlink" Target="https://ref.ly/Josh6:2" TargetMode="External"/><Relationship Id="rId12177" Type="http://schemas.openxmlformats.org/officeDocument/2006/relationships/hyperlink" Target="https://ref.ly/Josh6:17,Josh6:25" TargetMode="External"/><Relationship Id="rId12178" Type="http://schemas.openxmlformats.org/officeDocument/2006/relationships/hyperlink" Target="https://ref.ly/Josh6:23" TargetMode="External"/><Relationship Id="rId12179" Type="http://schemas.openxmlformats.org/officeDocument/2006/relationships/hyperlink" Target="https://ref.ly/Josh6:24" TargetMode="External"/><Relationship Id="rId12180" Type="http://schemas.openxmlformats.org/officeDocument/2006/relationships/hyperlink" Target="https://ref.ly/Josh6:18" TargetMode="External"/><Relationship Id="rId12181" Type="http://schemas.openxmlformats.org/officeDocument/2006/relationships/hyperlink" Target="https://ref.ly/Josh6:27" TargetMode="External"/><Relationship Id="rId12182" Type="http://schemas.openxmlformats.org/officeDocument/2006/relationships/hyperlink" Target="https://ref.ly/Josh7:1" TargetMode="External"/><Relationship Id="rId12183" Type="http://schemas.openxmlformats.org/officeDocument/2006/relationships/hyperlink" Target="https://ref.ly/Josh7:2-Josh7:5" TargetMode="External"/><Relationship Id="rId12184" Type="http://schemas.openxmlformats.org/officeDocument/2006/relationships/hyperlink" Target="https://ref.ly/Josh7:6-Josh7:9" TargetMode="External"/><Relationship Id="rId12185" Type="http://schemas.openxmlformats.org/officeDocument/2006/relationships/hyperlink" Target="https://ref.ly/Josh7:13" TargetMode="External"/><Relationship Id="rId12186" Type="http://schemas.openxmlformats.org/officeDocument/2006/relationships/hyperlink" Target="https://ref.ly/Josh7:25-Josh7:26" TargetMode="External"/><Relationship Id="rId12187" Type="http://schemas.openxmlformats.org/officeDocument/2006/relationships/hyperlink" Target="https://ref.ly/Josh8:1-Josh8:2" TargetMode="External"/><Relationship Id="rId12188" Type="http://schemas.openxmlformats.org/officeDocument/2006/relationships/hyperlink" Target="https://ref.ly/Josh8:3-Josh8:19" TargetMode="External"/><Relationship Id="rId12189" Type="http://schemas.openxmlformats.org/officeDocument/2006/relationships/hyperlink" Target="https://ref.ly/Josh8:20-Josh8:26" TargetMode="External"/><Relationship Id="rId12190" Type="http://schemas.openxmlformats.org/officeDocument/2006/relationships/hyperlink" Target="https://ref.ly/Josh8:27" TargetMode="External"/><Relationship Id="rId12191" Type="http://schemas.openxmlformats.org/officeDocument/2006/relationships/hyperlink" Target="https://ref.ly/Josh8:28-Josh8:29" TargetMode="External"/><Relationship Id="rId12192" Type="http://schemas.openxmlformats.org/officeDocument/2006/relationships/hyperlink" Target="https://ref.ly/Josh8:31" TargetMode="External"/><Relationship Id="rId12193" Type="http://schemas.openxmlformats.org/officeDocument/2006/relationships/hyperlink" Target="https://ref.ly/Exod20:25" TargetMode="External"/><Relationship Id="rId12194" Type="http://schemas.openxmlformats.org/officeDocument/2006/relationships/hyperlink" Target="https://ref.ly/Deut17:18" TargetMode="External"/><Relationship Id="rId12195" Type="http://schemas.openxmlformats.org/officeDocument/2006/relationships/hyperlink" Target="https://ref.ly/Deut27:9-Deut27:26" TargetMode="External"/><Relationship Id="rId12196" Type="http://schemas.openxmlformats.org/officeDocument/2006/relationships/hyperlink" Target="https://ref.ly/Josh2:8-Josh2:11,Josh2:24" TargetMode="External"/><Relationship Id="rId12197" Type="http://schemas.openxmlformats.org/officeDocument/2006/relationships/hyperlink" Target="https://ref.ly/Josh9:7,Josh9:17" TargetMode="External"/><Relationship Id="rId12198" Type="http://schemas.openxmlformats.org/officeDocument/2006/relationships/hyperlink" Target="https://ref.ly/Josh9:15,Josh9:24" TargetMode="External"/><Relationship Id="rId12199" Type="http://schemas.openxmlformats.org/officeDocument/2006/relationships/hyperlink" Target="https://ref.ly/Josh9:11-Josh9:14" TargetMode="External"/><Relationship Id="rId12200" Type="http://schemas.openxmlformats.org/officeDocument/2006/relationships/hyperlink" Target="https://ref.ly/Josh9:9-Josh9:10" TargetMode="External"/><Relationship Id="rId12201" Type="http://schemas.openxmlformats.org/officeDocument/2006/relationships/hyperlink" Target="https://ref.ly/Deut20:11" TargetMode="External"/><Relationship Id="rId12202" Type="http://schemas.openxmlformats.org/officeDocument/2006/relationships/hyperlink" Target="https://ref.ly/Judg1:28-Judg1:35" TargetMode="External"/><Relationship Id="rId12203" Type="http://schemas.openxmlformats.org/officeDocument/2006/relationships/hyperlink" Target="https://ref.ly/1Kgs9:15-1Kgs9:21" TargetMode="External"/><Relationship Id="rId12204" Type="http://schemas.openxmlformats.org/officeDocument/2006/relationships/hyperlink" Target="https://ref.ly/Josh10:6" TargetMode="External"/><Relationship Id="rId12205" Type="http://schemas.openxmlformats.org/officeDocument/2006/relationships/hyperlink" Target="https://ref.ly/Josh10:7-Josh10:9" TargetMode="External"/><Relationship Id="rId12206" Type="http://schemas.openxmlformats.org/officeDocument/2006/relationships/hyperlink" Target="https://ref.ly/Josh10:10" TargetMode="External"/><Relationship Id="rId12207" Type="http://schemas.openxmlformats.org/officeDocument/2006/relationships/hyperlink" Target="https://ref.ly/2Sam1:18" TargetMode="External"/><Relationship Id="rId12208" Type="http://schemas.openxmlformats.org/officeDocument/2006/relationships/hyperlink" Target="https://ref.ly/Josh10:14" TargetMode="External"/><Relationship Id="rId12209" Type="http://schemas.openxmlformats.org/officeDocument/2006/relationships/hyperlink" Target="https://ref.ly/Josh10:29-Josh10:43" TargetMode="External"/><Relationship Id="rId12210" Type="http://schemas.openxmlformats.org/officeDocument/2006/relationships/hyperlink" Target="https://ref.ly/Josh10:42" TargetMode="External"/><Relationship Id="rId12211" Type="http://schemas.openxmlformats.org/officeDocument/2006/relationships/hyperlink" Target="https://ref.ly/Josh11:1-Josh11:15" TargetMode="External"/><Relationship Id="rId12212" Type="http://schemas.openxmlformats.org/officeDocument/2006/relationships/hyperlink" Target="https://ref.ly/Josh11:9" TargetMode="External"/><Relationship Id="rId12213" Type="http://schemas.openxmlformats.org/officeDocument/2006/relationships/hyperlink" Target="https://ref.ly/Josh11:6" TargetMode="External"/><Relationship Id="rId12214" Type="http://schemas.openxmlformats.org/officeDocument/2006/relationships/hyperlink" Target="https://ref.ly/Josh11:10-Josh11:13" TargetMode="External"/><Relationship Id="rId12215" Type="http://schemas.openxmlformats.org/officeDocument/2006/relationships/hyperlink" Target="https://ref.ly/Deut6:10-Deut6:11" TargetMode="External"/><Relationship Id="rId12216" Type="http://schemas.openxmlformats.org/officeDocument/2006/relationships/hyperlink" Target="https://ref.ly/Josh24:13" TargetMode="External"/><Relationship Id="rId12217" Type="http://schemas.openxmlformats.org/officeDocument/2006/relationships/hyperlink" Target="https://ref.ly/Josh11:9-Josh11:15" TargetMode="External"/><Relationship Id="rId12218" Type="http://schemas.openxmlformats.org/officeDocument/2006/relationships/hyperlink" Target="https://ref.ly/Josh11:16-Josh12:24" TargetMode="External"/><Relationship Id="rId12219" Type="http://schemas.openxmlformats.org/officeDocument/2006/relationships/hyperlink" Target="https://ref.ly/Josh11:19-Josh11:20" TargetMode="External"/><Relationship Id="rId12220" Type="http://schemas.openxmlformats.org/officeDocument/2006/relationships/hyperlink" Target="https://ref.ly/Deut2:10,Deut2:21" TargetMode="External"/><Relationship Id="rId12221" Type="http://schemas.openxmlformats.org/officeDocument/2006/relationships/hyperlink" Target="https://ref.ly/Josh11:21" TargetMode="External"/><Relationship Id="rId12222" Type="http://schemas.openxmlformats.org/officeDocument/2006/relationships/hyperlink" Target="https://ref.ly/Josh12:2-Josh12:5" TargetMode="External"/><Relationship Id="rId12223" Type="http://schemas.openxmlformats.org/officeDocument/2006/relationships/hyperlink" Target="https://ref.ly/Josh12:7-Josh12:8" TargetMode="External"/><Relationship Id="rId12224" Type="http://schemas.openxmlformats.org/officeDocument/2006/relationships/hyperlink" Target="https://ref.ly/Josh13:1-Josh22:34" TargetMode="External"/><Relationship Id="rId12225" Type="http://schemas.openxmlformats.org/officeDocument/2006/relationships/hyperlink" Target="https://ref.ly/Josh13:2-Josh13:7" TargetMode="External"/><Relationship Id="rId12226" Type="http://schemas.openxmlformats.org/officeDocument/2006/relationships/hyperlink" Target="https://ref.ly/Josh13:6" TargetMode="External"/><Relationship Id="rId12227" Type="http://schemas.openxmlformats.org/officeDocument/2006/relationships/hyperlink" Target="https://ref.ly/Josh13:8-Josh13:33" TargetMode="External"/><Relationship Id="rId12228" Type="http://schemas.openxmlformats.org/officeDocument/2006/relationships/hyperlink" Target="https://ref.ly/Josh13:8,Josh13:32-Josh13:33" TargetMode="External"/><Relationship Id="rId12229" Type="http://schemas.openxmlformats.org/officeDocument/2006/relationships/hyperlink" Target="https://ref.ly/Deut3:12-Deut3:17" TargetMode="External"/><Relationship Id="rId12230" Type="http://schemas.openxmlformats.org/officeDocument/2006/relationships/hyperlink" Target="https://ref.ly/Josh13:15-Josh13:23" TargetMode="External"/><Relationship Id="rId12231" Type="http://schemas.openxmlformats.org/officeDocument/2006/relationships/hyperlink" Target="https://ref.ly/Josh13:29-Josh13:31" TargetMode="External"/><Relationship Id="rId12232" Type="http://schemas.openxmlformats.org/officeDocument/2006/relationships/hyperlink" Target="https://ref.ly/Josh13:14" TargetMode="External"/><Relationship Id="rId12233" Type="http://schemas.openxmlformats.org/officeDocument/2006/relationships/hyperlink" Target="https://ref.ly/Num35:1-Num35:8" TargetMode="External"/><Relationship Id="rId12234" Type="http://schemas.openxmlformats.org/officeDocument/2006/relationships/hyperlink" Target="https://ref.ly/Josh14:1-Josh19:51" TargetMode="External"/><Relationship Id="rId12235" Type="http://schemas.openxmlformats.org/officeDocument/2006/relationships/hyperlink" Target="https://ref.ly/Josh14:4" TargetMode="External"/><Relationship Id="rId12236" Type="http://schemas.openxmlformats.org/officeDocument/2006/relationships/hyperlink" Target="https://ref.ly/Josh20:1-Josh21:45" TargetMode="External"/><Relationship Id="rId12237" Type="http://schemas.openxmlformats.org/officeDocument/2006/relationships/hyperlink" Target="https://ref.ly/Josh14:6-Josh14:15" TargetMode="External"/><Relationship Id="rId12238" Type="http://schemas.openxmlformats.org/officeDocument/2006/relationships/hyperlink" Target="https://ref.ly/Num14:24,Num14:30" TargetMode="External"/><Relationship Id="rId12239" Type="http://schemas.openxmlformats.org/officeDocument/2006/relationships/hyperlink" Target="https://ref.ly/Deut1:36-Deut1:38" TargetMode="External"/><Relationship Id="rId12240" Type="http://schemas.openxmlformats.org/officeDocument/2006/relationships/hyperlink" Target="https://ref.ly/Josh15:1-Josh15:63" TargetMode="External"/><Relationship Id="rId12241" Type="http://schemas.openxmlformats.org/officeDocument/2006/relationships/hyperlink" Target="https://ref.ly/Judg1:10-Judg1:15,Judg1:20" TargetMode="External"/><Relationship Id="rId12242" Type="http://schemas.openxmlformats.org/officeDocument/2006/relationships/hyperlink" Target="https://ref.ly/Josh15:2-Josh15:12" TargetMode="External"/><Relationship Id="rId12243" Type="http://schemas.openxmlformats.org/officeDocument/2006/relationships/hyperlink" Target="https://ref.ly/Josh15:21-Josh15:32" TargetMode="External"/><Relationship Id="rId12244" Type="http://schemas.openxmlformats.org/officeDocument/2006/relationships/hyperlink" Target="https://ref.ly/Josh15:33-Josh15:47" TargetMode="External"/><Relationship Id="rId12245" Type="http://schemas.openxmlformats.org/officeDocument/2006/relationships/hyperlink" Target="https://ref.ly/Josh15:48-Josh15:60" TargetMode="External"/><Relationship Id="rId12246" Type="http://schemas.openxmlformats.org/officeDocument/2006/relationships/hyperlink" Target="https://ref.ly/Josh15:61-Josh15:62" TargetMode="External"/><Relationship Id="rId12247" Type="http://schemas.openxmlformats.org/officeDocument/2006/relationships/hyperlink" Target="https://ref.ly/2Sam5:6-2Sam5:16" TargetMode="External"/><Relationship Id="rId12248" Type="http://schemas.openxmlformats.org/officeDocument/2006/relationships/hyperlink" Target="https://ref.ly/Josh16:1-Josh17:18" TargetMode="External"/><Relationship Id="rId12249" Type="http://schemas.openxmlformats.org/officeDocument/2006/relationships/hyperlink" Target="https://ref.ly/Gen48:1-Gen48:22" TargetMode="External"/><Relationship Id="rId12250" Type="http://schemas.openxmlformats.org/officeDocument/2006/relationships/hyperlink" Target="https://ref.ly/Deut33:13-Deut33:17" TargetMode="External"/><Relationship Id="rId12251" Type="http://schemas.openxmlformats.org/officeDocument/2006/relationships/hyperlink" Target="https://ref.ly/Josh16:1-Josh16:3" TargetMode="External"/><Relationship Id="rId12252" Type="http://schemas.openxmlformats.org/officeDocument/2006/relationships/hyperlink" Target="https://ref.ly/Josh17:3-Josh17:6" TargetMode="External"/><Relationship Id="rId12253" Type="http://schemas.openxmlformats.org/officeDocument/2006/relationships/hyperlink" Target="https://ref.ly/Josh17:12-Josh17:13" TargetMode="External"/><Relationship Id="rId12254" Type="http://schemas.openxmlformats.org/officeDocument/2006/relationships/hyperlink" Target="https://ref.ly/Josh17:14" TargetMode="External"/><Relationship Id="rId12255" Type="http://schemas.openxmlformats.org/officeDocument/2006/relationships/hyperlink" Target="https://ref.ly/Josh17:15-Josh17:18" TargetMode="External"/><Relationship Id="rId12256" Type="http://schemas.openxmlformats.org/officeDocument/2006/relationships/hyperlink" Target="https://ref.ly/Josh18:1-Josh19:51" TargetMode="External"/><Relationship Id="rId12257" Type="http://schemas.openxmlformats.org/officeDocument/2006/relationships/hyperlink" Target="https://ref.ly/Josh18:3-Josh18:10" TargetMode="External"/><Relationship Id="rId12258" Type="http://schemas.openxmlformats.org/officeDocument/2006/relationships/hyperlink" Target="https://ref.ly/Josh18:11-Josh18:28" TargetMode="External"/><Relationship Id="rId12259" Type="http://schemas.openxmlformats.org/officeDocument/2006/relationships/hyperlink" Target="https://ref.ly/Josh19:1-Josh19:9" TargetMode="External"/><Relationship Id="rId12260" Type="http://schemas.openxmlformats.org/officeDocument/2006/relationships/hyperlink" Target="https://ref.ly/Gen49:7" TargetMode="External"/><Relationship Id="rId12261" Type="http://schemas.openxmlformats.org/officeDocument/2006/relationships/hyperlink" Target="https://ref.ly/Josh19:10-Josh19:16" TargetMode="External"/><Relationship Id="rId12262" Type="http://schemas.openxmlformats.org/officeDocument/2006/relationships/hyperlink" Target="https://ref.ly/Josh19:17-Josh19:23" TargetMode="External"/><Relationship Id="rId12263" Type="http://schemas.openxmlformats.org/officeDocument/2006/relationships/hyperlink" Target="https://ref.ly/Josh19:24-Josh19:31" TargetMode="External"/><Relationship Id="rId12264" Type="http://schemas.openxmlformats.org/officeDocument/2006/relationships/hyperlink" Target="https://ref.ly/Josh19:32-Josh19:39" TargetMode="External"/><Relationship Id="rId12265" Type="http://schemas.openxmlformats.org/officeDocument/2006/relationships/hyperlink" Target="https://ref.ly/Josh19:49-Josh19:51" TargetMode="External"/><Relationship Id="rId12266" Type="http://schemas.openxmlformats.org/officeDocument/2006/relationships/hyperlink" Target="https://ref.ly/Josh14:1-Josh14:14" TargetMode="External"/><Relationship Id="rId12267" Type="http://schemas.openxmlformats.org/officeDocument/2006/relationships/hyperlink" Target="https://ref.ly/Num35:9-Num35:34" TargetMode="External"/><Relationship Id="rId12268" Type="http://schemas.openxmlformats.org/officeDocument/2006/relationships/hyperlink" Target="https://ref.ly/Deut4:41-Deut4:43" TargetMode="External"/><Relationship Id="rId12269" Type="http://schemas.openxmlformats.org/officeDocument/2006/relationships/hyperlink" Target="https://ref.ly/Deut19:1-Deut19:10" TargetMode="External"/><Relationship Id="rId12270" Type="http://schemas.openxmlformats.org/officeDocument/2006/relationships/hyperlink" Target="https://ref.ly/Num18:21-Num18:24" TargetMode="External"/><Relationship Id="rId12271" Type="http://schemas.openxmlformats.org/officeDocument/2006/relationships/hyperlink" Target="https://ref.ly/Josh21:9-Josh21:19" TargetMode="External"/><Relationship Id="rId12272" Type="http://schemas.openxmlformats.org/officeDocument/2006/relationships/hyperlink" Target="https://ref.ly/Ps95:11" TargetMode="External"/><Relationship Id="rId12273" Type="http://schemas.openxmlformats.org/officeDocument/2006/relationships/hyperlink" Target="https://ref.ly/Heb3:7-Heb3:11" TargetMode="External"/><Relationship Id="rId12274" Type="http://schemas.openxmlformats.org/officeDocument/2006/relationships/hyperlink" Target="https://ref.ly/Josh22:1-Josh22:34" TargetMode="External"/><Relationship Id="rId12275" Type="http://schemas.openxmlformats.org/officeDocument/2006/relationships/hyperlink" Target="https://ref.ly/Josh22:1-Josh22:4" TargetMode="External"/><Relationship Id="rId12276" Type="http://schemas.openxmlformats.org/officeDocument/2006/relationships/hyperlink" Target="https://ref.ly/Josh22:5-Josh22:8" TargetMode="External"/><Relationship Id="rId12277" Type="http://schemas.openxmlformats.org/officeDocument/2006/relationships/hyperlink" Target="https://ref.ly/Josh22:12" TargetMode="External"/><Relationship Id="rId12278" Type="http://schemas.openxmlformats.org/officeDocument/2006/relationships/hyperlink" Target="https://ref.ly/Josh22:15-Josh22:20" TargetMode="External"/><Relationship Id="rId12279" Type="http://schemas.openxmlformats.org/officeDocument/2006/relationships/hyperlink" Target="https://ref.ly/Josh22:21-Josh22:30" TargetMode="External"/><Relationship Id="rId12280" Type="http://schemas.openxmlformats.org/officeDocument/2006/relationships/hyperlink" Target="https://ref.ly/Josh22:30-Josh22:31" TargetMode="External"/><Relationship Id="rId12281" Type="http://schemas.openxmlformats.org/officeDocument/2006/relationships/hyperlink" Target="https://ref.ly/Josh22:34" TargetMode="External"/><Relationship Id="rId12282" Type="http://schemas.openxmlformats.org/officeDocument/2006/relationships/hyperlink" Target="https://ref.ly/Josh24:1,Josh24:25-Josh24:28" TargetMode="External"/><Relationship Id="rId12283" Type="http://schemas.openxmlformats.org/officeDocument/2006/relationships/hyperlink" Target="https://ref.ly/Josh24:2-Josh24:4" TargetMode="External"/><Relationship Id="rId12284" Type="http://schemas.openxmlformats.org/officeDocument/2006/relationships/hyperlink" Target="https://ref.ly/Josh24:5-Josh24:7" TargetMode="External"/><Relationship Id="rId12285" Type="http://schemas.openxmlformats.org/officeDocument/2006/relationships/hyperlink" Target="https://ref.ly/Josh24:8-Josh24:13" TargetMode="External"/><Relationship Id="rId12286" Type="http://schemas.openxmlformats.org/officeDocument/2006/relationships/hyperlink" Target="https://ref.ly/Josh24:14-Josh24:15" TargetMode="External"/><Relationship Id="rId12287" Type="http://schemas.openxmlformats.org/officeDocument/2006/relationships/hyperlink" Target="https://ref.ly/Josh24:16-Josh24:18" TargetMode="External"/><Relationship Id="rId12288" Type="http://schemas.openxmlformats.org/officeDocument/2006/relationships/hyperlink" Target="https://ref.ly/Josh24:19-Josh24:20" TargetMode="External"/><Relationship Id="rId12289" Type="http://schemas.openxmlformats.org/officeDocument/2006/relationships/hyperlink" Target="https://ref.ly/Gen50:25" TargetMode="External"/><Relationship Id="rId12290" Type="http://schemas.openxmlformats.org/officeDocument/2006/relationships/hyperlink" Target="https://ref.ly/Num33:33-Num33:34" TargetMode="External"/><Relationship Id="rId12291" Type="http://schemas.openxmlformats.org/officeDocument/2006/relationships/hyperlink" Target="https://ref.ly/Gen4:19-Gen4:21" TargetMode="External"/><Relationship Id="rId12292" Type="http://schemas.openxmlformats.org/officeDocument/2006/relationships/hyperlink" Target="https://ref.ly/Gen35:23" TargetMode="External"/><Relationship Id="rId12293" Type="http://schemas.openxmlformats.org/officeDocument/2006/relationships/hyperlink" Target="https://ref.ly/1Chr2:1" TargetMode="External"/><Relationship Id="rId12294" Type="http://schemas.openxmlformats.org/officeDocument/2006/relationships/hyperlink" Target="https://ref.ly/Gen29:35" TargetMode="External"/><Relationship Id="rId12295" Type="http://schemas.openxmlformats.org/officeDocument/2006/relationships/hyperlink" Target="https://ref.ly/Gen38:3-Gen38:5" TargetMode="External"/><Relationship Id="rId12296" Type="http://schemas.openxmlformats.org/officeDocument/2006/relationships/hyperlink" Target="https://ref.ly/Gen38:29-Gen38:30" TargetMode="External"/><Relationship Id="rId12297" Type="http://schemas.openxmlformats.org/officeDocument/2006/relationships/hyperlink" Target="https://ref.ly/1Chr2:4" TargetMode="External"/><Relationship Id="rId12298" Type="http://schemas.openxmlformats.org/officeDocument/2006/relationships/hyperlink" Target="https://ref.ly/Exod1:2" TargetMode="External"/><Relationship Id="rId12299" Type="http://schemas.openxmlformats.org/officeDocument/2006/relationships/hyperlink" Target="https://ref.ly/Num1:26-Num1:27" TargetMode="External"/><Relationship Id="rId12300" Type="http://schemas.openxmlformats.org/officeDocument/2006/relationships/hyperlink" Target="https://ref.ly/Gen38:6-Gen38:30" TargetMode="External"/><Relationship Id="rId12301" Type="http://schemas.openxmlformats.org/officeDocument/2006/relationships/hyperlink" Target="https://ref.ly/Gen44:14-Gen44:18" TargetMode="External"/><Relationship Id="rId12302" Type="http://schemas.openxmlformats.org/officeDocument/2006/relationships/hyperlink" Target="https://ref.ly/Ruth4:12" TargetMode="External"/><Relationship Id="rId12303" Type="http://schemas.openxmlformats.org/officeDocument/2006/relationships/hyperlink" Target="https://ref.ly/1Chr2:1-1Chr2:15" TargetMode="External"/><Relationship Id="rId12304" Type="http://schemas.openxmlformats.org/officeDocument/2006/relationships/hyperlink" Target="https://ref.ly/1Chr3:1-1Chr3:24" TargetMode="External"/><Relationship Id="rId12305" Type="http://schemas.openxmlformats.org/officeDocument/2006/relationships/hyperlink" Target="https://ref.ly/Matt1:2-Matt1:3" TargetMode="External"/><Relationship Id="rId12306" Type="http://schemas.openxmlformats.org/officeDocument/2006/relationships/hyperlink" Target="https://ref.ly/Ezra3:9" TargetMode="External"/><Relationship Id="rId12307" Type="http://schemas.openxmlformats.org/officeDocument/2006/relationships/hyperlink" Target="https://ref.ly/Ezra2:40" TargetMode="External"/><Relationship Id="rId12308" Type="http://schemas.openxmlformats.org/officeDocument/2006/relationships/hyperlink" Target="https://ref.ly/Neh7:43" TargetMode="External"/><Relationship Id="rId12309" Type="http://schemas.openxmlformats.org/officeDocument/2006/relationships/hyperlink" Target="https://ref.ly/Ezra10:23" TargetMode="External"/><Relationship Id="rId12310" Type="http://schemas.openxmlformats.org/officeDocument/2006/relationships/hyperlink" Target="https://ref.ly/Neh12:8" TargetMode="External"/><Relationship Id="rId12311" Type="http://schemas.openxmlformats.org/officeDocument/2006/relationships/hyperlink" Target="https://ref.ly/Neh12:36" TargetMode="External"/><Relationship Id="rId12312" Type="http://schemas.openxmlformats.org/officeDocument/2006/relationships/hyperlink" Target="https://ref.ly/Heb7:14" TargetMode="External"/><Relationship Id="rId12313" Type="http://schemas.openxmlformats.org/officeDocument/2006/relationships/hyperlink" Target="https://ref.ly/Josh10:9" TargetMode="External"/><Relationship Id="rId12314" Type="http://schemas.openxmlformats.org/officeDocument/2006/relationships/hyperlink" Target="https://ref.ly/Num13:27" TargetMode="External"/><Relationship Id="rId12315" Type="http://schemas.openxmlformats.org/officeDocument/2006/relationships/hyperlink" Target="https://ref.ly/Judg6:38" TargetMode="External"/><Relationship Id="rId12316" Type="http://schemas.openxmlformats.org/officeDocument/2006/relationships/hyperlink" Target="https://ref.ly/Jer2:13" TargetMode="External"/><Relationship Id="rId12317" Type="http://schemas.openxmlformats.org/officeDocument/2006/relationships/hyperlink" Target="https://ref.ly/Deut33:7" TargetMode="External"/><Relationship Id="rId12318" Type="http://schemas.openxmlformats.org/officeDocument/2006/relationships/hyperlink" Target="https://ref.ly/Josh8:1-Josh8:35" TargetMode="External"/><Relationship Id="rId12319" Type="http://schemas.openxmlformats.org/officeDocument/2006/relationships/hyperlink" Target="https://ref.ly/Judg3:1-Judg3:31" TargetMode="External"/><Relationship Id="rId12320" Type="http://schemas.openxmlformats.org/officeDocument/2006/relationships/hyperlink" Target="https://ref.ly/2Sam2:1-2Sam2:4" TargetMode="External"/><Relationship Id="rId12321" Type="http://schemas.openxmlformats.org/officeDocument/2006/relationships/hyperlink" Target="https://ref.ly/2Sam5:6-2Sam5:10" TargetMode="External"/><Relationship Id="rId12322" Type="http://schemas.openxmlformats.org/officeDocument/2006/relationships/hyperlink" Target="https://ref.ly/2Sam7:13" TargetMode="External"/><Relationship Id="rId12323" Type="http://schemas.openxmlformats.org/officeDocument/2006/relationships/hyperlink" Target="https://ref.ly/2Sam20:1" TargetMode="External"/><Relationship Id="rId12324" Type="http://schemas.openxmlformats.org/officeDocument/2006/relationships/hyperlink" Target="https://ref.ly/1Kgs12:16" TargetMode="External"/><Relationship Id="rId12325" Type="http://schemas.openxmlformats.org/officeDocument/2006/relationships/hyperlink" Target="https://ref.ly/1Kgs11:35" TargetMode="External"/><Relationship Id="rId12326" Type="http://schemas.openxmlformats.org/officeDocument/2006/relationships/hyperlink" Target="https://ref.ly/2Chr11:14" TargetMode="External"/><Relationship Id="rId12327" Type="http://schemas.openxmlformats.org/officeDocument/2006/relationships/hyperlink" Target="https://ref.ly/Neh1:2-Neh1:3" TargetMode="External"/><Relationship Id="rId12328" Type="http://schemas.openxmlformats.org/officeDocument/2006/relationships/hyperlink" Target="https://ref.ly/1Kgs12:1-1Kgs12:33" TargetMode="External"/><Relationship Id="rId12329" Type="http://schemas.openxmlformats.org/officeDocument/2006/relationships/hyperlink" Target="https://ref.ly/Hag2:1-Hag2:2" TargetMode="External"/><Relationship Id="rId12330" Type="http://schemas.openxmlformats.org/officeDocument/2006/relationships/hyperlink" Target="https://ref.ly/1Chr3:10-1Chr3:19" TargetMode="External"/><Relationship Id="rId12331" Type="http://schemas.openxmlformats.org/officeDocument/2006/relationships/hyperlink" Target="https://ref.ly/Acts13:13-Acts13:42" TargetMode="External"/><Relationship Id="rId12332" Type="http://schemas.openxmlformats.org/officeDocument/2006/relationships/hyperlink" Target="https://ref.ly/Num15:37-Num15:41" TargetMode="External"/><Relationship Id="rId12333" Type="http://schemas.openxmlformats.org/officeDocument/2006/relationships/hyperlink" Target="https://ref.ly/Num15:38-Num15:39" TargetMode="External"/><Relationship Id="rId12334" Type="http://schemas.openxmlformats.org/officeDocument/2006/relationships/hyperlink" Target="https://ref.ly/1Macc7:13" TargetMode="External"/><Relationship Id="rId12335" Type="http://schemas.openxmlformats.org/officeDocument/2006/relationships/hyperlink" Target="https://ref.ly/Acts23:8" TargetMode="External"/><Relationship Id="rId12336" Type="http://schemas.openxmlformats.org/officeDocument/2006/relationships/hyperlink" Target="https://ref.ly/Acts23:6" TargetMode="External"/><Relationship Id="rId12337" Type="http://schemas.openxmlformats.org/officeDocument/2006/relationships/hyperlink" Target="https://ref.ly/John7:49" TargetMode="External"/><Relationship Id="rId12338" Type="http://schemas.openxmlformats.org/officeDocument/2006/relationships/hyperlink" Target="https://ref.ly/Mark2:15-Mark2:17" TargetMode="External"/><Relationship Id="rId12339" Type="http://schemas.openxmlformats.org/officeDocument/2006/relationships/hyperlink" Target="https://ref.ly/Gal2:14" TargetMode="External"/><Relationship Id="rId12340" Type="http://schemas.openxmlformats.org/officeDocument/2006/relationships/hyperlink" Target="https://ref.ly/Acts21:26" TargetMode="External"/><Relationship Id="rId12341" Type="http://schemas.openxmlformats.org/officeDocument/2006/relationships/hyperlink" Target="https://ref.ly/Jas2:2" TargetMode="External"/><Relationship Id="rId12342" Type="http://schemas.openxmlformats.org/officeDocument/2006/relationships/hyperlink" Target="https://ref.ly/Acts11:19-Acts11:24" TargetMode="External"/><Relationship Id="rId12343" Type="http://schemas.openxmlformats.org/officeDocument/2006/relationships/hyperlink" Target="https://ref.ly/Acts8:4-Acts8:25" TargetMode="External"/><Relationship Id="rId12344" Type="http://schemas.openxmlformats.org/officeDocument/2006/relationships/hyperlink" Target="https://ref.ly/Acts2:5-Acts2:11" TargetMode="External"/><Relationship Id="rId12345" Type="http://schemas.openxmlformats.org/officeDocument/2006/relationships/hyperlink" Target="https://ref.ly/Gal2:12" TargetMode="External"/><Relationship Id="rId12346" Type="http://schemas.openxmlformats.org/officeDocument/2006/relationships/hyperlink" Target="https://ref.ly/Acts14:27" TargetMode="External"/><Relationship Id="rId12347" Type="http://schemas.openxmlformats.org/officeDocument/2006/relationships/hyperlink" Target="https://ref.ly/Acts15:4-Acts15:12" TargetMode="External"/><Relationship Id="rId12348" Type="http://schemas.openxmlformats.org/officeDocument/2006/relationships/hyperlink" Target="https://ref.ly/Acts15:23-Acts15:29" TargetMode="External"/><Relationship Id="rId12349" Type="http://schemas.openxmlformats.org/officeDocument/2006/relationships/hyperlink" Target="https://ref.ly/Gal6:13" TargetMode="External"/><Relationship Id="rId12350" Type="http://schemas.openxmlformats.org/officeDocument/2006/relationships/hyperlink" Target="https://ref.ly/2Cor11:12-2Cor11:15,2Cor11:22" TargetMode="External"/><Relationship Id="rId12351" Type="http://schemas.openxmlformats.org/officeDocument/2006/relationships/hyperlink" Target="https://ref.ly/Acts26:12-Acts26:23" TargetMode="External"/><Relationship Id="rId12352" Type="http://schemas.openxmlformats.org/officeDocument/2006/relationships/hyperlink" Target="https://ref.ly/Gal1:11-Gal1:17" TargetMode="External"/><Relationship Id="rId12353" Type="http://schemas.openxmlformats.org/officeDocument/2006/relationships/hyperlink" Target="https://ref.ly/Phil3:2-Phil3:11" TargetMode="External"/><Relationship Id="rId12354" Type="http://schemas.openxmlformats.org/officeDocument/2006/relationships/hyperlink" Target="https://ref.ly/Amos2:2" TargetMode="External"/><Relationship Id="rId12355" Type="http://schemas.openxmlformats.org/officeDocument/2006/relationships/hyperlink" Target="https://ref.ly/Josh15:25" TargetMode="External"/><Relationship Id="rId12356" Type="http://schemas.openxmlformats.org/officeDocument/2006/relationships/hyperlink" Target="https://ref.ly/Matt10:4" TargetMode="External"/><Relationship Id="rId12357" Type="http://schemas.openxmlformats.org/officeDocument/2006/relationships/hyperlink" Target="https://ref.ly/Mark3:19" TargetMode="External"/><Relationship Id="rId12358" Type="http://schemas.openxmlformats.org/officeDocument/2006/relationships/hyperlink" Target="https://ref.ly/Luke6:16" TargetMode="External"/><Relationship Id="rId12359" Type="http://schemas.openxmlformats.org/officeDocument/2006/relationships/hyperlink" Target="https://ref.ly/Matt26:14-Matt26:47" TargetMode="External"/><Relationship Id="rId12360" Type="http://schemas.openxmlformats.org/officeDocument/2006/relationships/hyperlink" Target="https://ref.ly/Mark14:10-Mark14:46" TargetMode="External"/><Relationship Id="rId12361" Type="http://schemas.openxmlformats.org/officeDocument/2006/relationships/hyperlink" Target="https://ref.ly/Luke22:3-Luke22:48" TargetMode="External"/><Relationship Id="rId12362" Type="http://schemas.openxmlformats.org/officeDocument/2006/relationships/hyperlink" Target="https://ref.ly/John18:2-John18:5" TargetMode="External"/><Relationship Id="rId12363" Type="http://schemas.openxmlformats.org/officeDocument/2006/relationships/hyperlink" Target="https://ref.ly/Matt27:3-Matt27:10" TargetMode="External"/><Relationship Id="rId12364" Type="http://schemas.openxmlformats.org/officeDocument/2006/relationships/hyperlink" Target="https://ref.ly/Acts1:18" TargetMode="External"/><Relationship Id="rId12365" Type="http://schemas.openxmlformats.org/officeDocument/2006/relationships/hyperlink" Target="https://ref.ly/John14:22" TargetMode="External"/><Relationship Id="rId12366" Type="http://schemas.openxmlformats.org/officeDocument/2006/relationships/hyperlink" Target="https://ref.ly/Acts15:22-Acts15:32" TargetMode="External"/><Relationship Id="rId12367" Type="http://schemas.openxmlformats.org/officeDocument/2006/relationships/hyperlink" Target="https://ref.ly/Jude1:17" TargetMode="External"/><Relationship Id="rId12368" Type="http://schemas.openxmlformats.org/officeDocument/2006/relationships/hyperlink" Target="https://ref.ly/Jude1:3" TargetMode="External"/><Relationship Id="rId12369" Type="http://schemas.openxmlformats.org/officeDocument/2006/relationships/hyperlink" Target="https://ref.ly/Jude1:8" TargetMode="External"/><Relationship Id="rId12370" Type="http://schemas.openxmlformats.org/officeDocument/2006/relationships/hyperlink" Target="https://ref.ly/Jude1:25" TargetMode="External"/><Relationship Id="rId12371" Type="http://schemas.openxmlformats.org/officeDocument/2006/relationships/hyperlink" Target="https://ref.ly/Jude1:14-Jude1:15" TargetMode="External"/><Relationship Id="rId12372" Type="http://schemas.openxmlformats.org/officeDocument/2006/relationships/hyperlink" Target="https://ref.ly/Heb11:35" TargetMode="External"/><Relationship Id="rId12373" Type="http://schemas.openxmlformats.org/officeDocument/2006/relationships/hyperlink" Target="https://ref.ly/2Pet2:1-2Pet2:22" TargetMode="External"/><Relationship Id="rId12374" Type="http://schemas.openxmlformats.org/officeDocument/2006/relationships/hyperlink" Target="https://ref.ly/Jude1:23" TargetMode="External"/><Relationship Id="rId12375" Type="http://schemas.openxmlformats.org/officeDocument/2006/relationships/hyperlink" Target="https://ref.ly/Jude1:8-Jude1:11" TargetMode="External"/><Relationship Id="rId12376" Type="http://schemas.openxmlformats.org/officeDocument/2006/relationships/hyperlink" Target="https://ref.ly/Jude1:18" TargetMode="External"/><Relationship Id="rId12377" Type="http://schemas.openxmlformats.org/officeDocument/2006/relationships/hyperlink" Target="https://ref.ly/Jude1:19-Jude1:21" TargetMode="External"/><Relationship Id="rId12378" Type="http://schemas.openxmlformats.org/officeDocument/2006/relationships/hyperlink" Target="https://ref.ly/Exod32:28" TargetMode="External"/><Relationship Id="rId12379" Type="http://schemas.openxmlformats.org/officeDocument/2006/relationships/hyperlink" Target="https://ref.ly/Num11:33-Num11:34" TargetMode="External"/><Relationship Id="rId12380" Type="http://schemas.openxmlformats.org/officeDocument/2006/relationships/hyperlink" Target="https://ref.ly/Num14:29-Num14:35" TargetMode="External"/><Relationship Id="rId12381" Type="http://schemas.openxmlformats.org/officeDocument/2006/relationships/hyperlink" Target="https://ref.ly/2Pet2:4-2Pet2:6" TargetMode="External"/><Relationship Id="rId12382" Type="http://schemas.openxmlformats.org/officeDocument/2006/relationships/hyperlink" Target="https://ref.ly/Ezek16:49" TargetMode="External"/><Relationship Id="rId12383" Type="http://schemas.openxmlformats.org/officeDocument/2006/relationships/hyperlink" Target="https://ref.ly/1Cor2:7-1Cor2:16" TargetMode="External"/><Relationship Id="rId12384" Type="http://schemas.openxmlformats.org/officeDocument/2006/relationships/hyperlink" Target="https://ref.ly/Num31:16" TargetMode="External"/><Relationship Id="rId12385" Type="http://schemas.openxmlformats.org/officeDocument/2006/relationships/hyperlink" Target="https://ref.ly/1Cor11:20-1Cor11:22" TargetMode="External"/><Relationship Id="rId12386" Type="http://schemas.openxmlformats.org/officeDocument/2006/relationships/hyperlink" Target="https://ref.ly/Exod16:7-Exod16:12" TargetMode="External"/><Relationship Id="rId12387" Type="http://schemas.openxmlformats.org/officeDocument/2006/relationships/hyperlink" Target="https://ref.ly/Exod17:3" TargetMode="External"/><Relationship Id="rId12388" Type="http://schemas.openxmlformats.org/officeDocument/2006/relationships/hyperlink" Target="https://ref.ly/2Pet3:3" TargetMode="External"/><Relationship Id="rId12389" Type="http://schemas.openxmlformats.org/officeDocument/2006/relationships/hyperlink" Target="https://ref.ly/Rom16:25-Rom16:27" TargetMode="External"/><Relationship Id="rId12390" Type="http://schemas.openxmlformats.org/officeDocument/2006/relationships/hyperlink" Target="https://ref.ly/Ezra5:8" TargetMode="External"/><Relationship Id="rId12391" Type="http://schemas.openxmlformats.org/officeDocument/2006/relationships/hyperlink" Target="https://ref.ly/1Macc5:45" TargetMode="External"/><Relationship Id="rId12392" Type="http://schemas.openxmlformats.org/officeDocument/2006/relationships/hyperlink" Target="https://ref.ly/1Macc7:10" TargetMode="External"/><Relationship Id="rId12393" Type="http://schemas.openxmlformats.org/officeDocument/2006/relationships/hyperlink" Target="https://ref.ly/Luke23:5" TargetMode="External"/><Relationship Id="rId12394" Type="http://schemas.openxmlformats.org/officeDocument/2006/relationships/hyperlink" Target="https://ref.ly/Acts10:37" TargetMode="External"/><Relationship Id="rId12395" Type="http://schemas.openxmlformats.org/officeDocument/2006/relationships/hyperlink" Target="https://ref.ly/Acts26:20" TargetMode="External"/><Relationship Id="rId12396" Type="http://schemas.openxmlformats.org/officeDocument/2006/relationships/hyperlink" Target="https://ref.ly/Jer34:9" TargetMode="External"/><Relationship Id="rId12397" Type="http://schemas.openxmlformats.org/officeDocument/2006/relationships/hyperlink" Target="https://ref.ly/Jer52:28" TargetMode="External"/><Relationship Id="rId12398" Type="http://schemas.openxmlformats.org/officeDocument/2006/relationships/hyperlink" Target="https://ref.ly/Dan3:8-Dan3:12" TargetMode="External"/><Relationship Id="rId12399" Type="http://schemas.openxmlformats.org/officeDocument/2006/relationships/hyperlink" Target="https://ref.ly/Esth8:17" TargetMode="External"/><Relationship Id="rId12400" Type="http://schemas.openxmlformats.org/officeDocument/2006/relationships/hyperlink" Target="https://ref.ly/Zech8:23" TargetMode="External"/><Relationship Id="rId12401" Type="http://schemas.openxmlformats.org/officeDocument/2006/relationships/hyperlink" Target="https://ref.ly/Ezra4:12" TargetMode="External"/><Relationship Id="rId12402" Type="http://schemas.openxmlformats.org/officeDocument/2006/relationships/hyperlink" Target="https://ref.ly/Neh1:2" TargetMode="External"/><Relationship Id="rId12403" Type="http://schemas.openxmlformats.org/officeDocument/2006/relationships/hyperlink" Target="https://ref.ly/Neh4:2" TargetMode="External"/><Relationship Id="rId12404" Type="http://schemas.openxmlformats.org/officeDocument/2006/relationships/hyperlink" Target="https://ref.ly/Mark7:3" TargetMode="External"/><Relationship Id="rId12405" Type="http://schemas.openxmlformats.org/officeDocument/2006/relationships/hyperlink" Target="https://ref.ly/John19:40" TargetMode="External"/><Relationship Id="rId12406" Type="http://schemas.openxmlformats.org/officeDocument/2006/relationships/hyperlink" Target="https://ref.ly/John4:9" TargetMode="External"/><Relationship Id="rId12407" Type="http://schemas.openxmlformats.org/officeDocument/2006/relationships/hyperlink" Target="https://ref.ly/Phil3:3-Phil3:6" TargetMode="External"/><Relationship Id="rId12408" Type="http://schemas.openxmlformats.org/officeDocument/2006/relationships/hyperlink" Target="https://ref.ly/Gen49:8" TargetMode="External"/><Relationship Id="rId12409" Type="http://schemas.openxmlformats.org/officeDocument/2006/relationships/hyperlink" Target="https://ref.ly/Rev2:9" TargetMode="External"/><Relationship Id="rId12410" Type="http://schemas.openxmlformats.org/officeDocument/2006/relationships/hyperlink" Target="https://ref.ly/Rev3:9" TargetMode="External"/><Relationship Id="rId12411" Type="http://schemas.openxmlformats.org/officeDocument/2006/relationships/hyperlink" Target="https://ref.ly/Rom9:3-Rom9:5" TargetMode="External"/><Relationship Id="rId12412" Type="http://schemas.openxmlformats.org/officeDocument/2006/relationships/hyperlink" Target="https://ref.ly/Rom10:1-Rom10:4" TargetMode="External"/><Relationship Id="rId12413" Type="http://schemas.openxmlformats.org/officeDocument/2006/relationships/hyperlink" Target="https://ref.ly/Acts26:4-Acts26:7" TargetMode="External"/><Relationship Id="rId12414" Type="http://schemas.openxmlformats.org/officeDocument/2006/relationships/hyperlink" Target="https://ref.ly/Acts21:11" TargetMode="External"/><Relationship Id="rId12415" Type="http://schemas.openxmlformats.org/officeDocument/2006/relationships/hyperlink" Target="https://ref.ly/Acts23:12" TargetMode="External"/><Relationship Id="rId12416" Type="http://schemas.openxmlformats.org/officeDocument/2006/relationships/hyperlink" Target="https://ref.ly/John5:18" TargetMode="External"/><Relationship Id="rId12417" Type="http://schemas.openxmlformats.org/officeDocument/2006/relationships/hyperlink" Target="https://ref.ly/John9:18" TargetMode="External"/><Relationship Id="rId12418" Type="http://schemas.openxmlformats.org/officeDocument/2006/relationships/hyperlink" Target="https://ref.ly/John11:8" TargetMode="External"/><Relationship Id="rId12419" Type="http://schemas.openxmlformats.org/officeDocument/2006/relationships/hyperlink" Target="https://ref.ly/John18:36" TargetMode="External"/><Relationship Id="rId12420" Type="http://schemas.openxmlformats.org/officeDocument/2006/relationships/hyperlink" Target="https://ref.ly/John9:22" TargetMode="External"/><Relationship Id="rId12421" Type="http://schemas.openxmlformats.org/officeDocument/2006/relationships/hyperlink" Target="https://ref.ly/John18:14" TargetMode="External"/><Relationship Id="rId12422" Type="http://schemas.openxmlformats.org/officeDocument/2006/relationships/hyperlink" Target="https://ref.ly/John18:3" TargetMode="External"/><Relationship Id="rId12423" Type="http://schemas.openxmlformats.org/officeDocument/2006/relationships/hyperlink" Target="https://ref.ly/John8:31" TargetMode="External"/><Relationship Id="rId12424" Type="http://schemas.openxmlformats.org/officeDocument/2006/relationships/hyperlink" Target="https://ref.ly/John11:45" TargetMode="External"/><Relationship Id="rId12425" Type="http://schemas.openxmlformats.org/officeDocument/2006/relationships/hyperlink" Target="https://ref.ly/John12:11" TargetMode="External"/><Relationship Id="rId12426" Type="http://schemas.openxmlformats.org/officeDocument/2006/relationships/hyperlink" Target="https://ref.ly/John1:47" TargetMode="External"/><Relationship Id="rId12427" Type="http://schemas.openxmlformats.org/officeDocument/2006/relationships/hyperlink" Target="https://ref.ly/John1:31" TargetMode="External"/><Relationship Id="rId12428" Type="http://schemas.openxmlformats.org/officeDocument/2006/relationships/hyperlink" Target="https://ref.ly/Gen27:35" TargetMode="External"/><Relationship Id="rId12429" Type="http://schemas.openxmlformats.org/officeDocument/2006/relationships/hyperlink" Target="https://ref.ly/1Kgs19:19" TargetMode="External"/><Relationship Id="rId12430" Type="http://schemas.openxmlformats.org/officeDocument/2006/relationships/hyperlink" Target="https://ref.ly/Lev26:13" TargetMode="External"/><Relationship Id="rId12431" Type="http://schemas.openxmlformats.org/officeDocument/2006/relationships/hyperlink" Target="https://ref.ly/1Kgs12:4-1Kgs12:14" TargetMode="External"/><Relationship Id="rId12432" Type="http://schemas.openxmlformats.org/officeDocument/2006/relationships/hyperlink" Target="https://ref.ly/2Chr10:4-2Chr10:14" TargetMode="External"/><Relationship Id="rId12433" Type="http://schemas.openxmlformats.org/officeDocument/2006/relationships/hyperlink" Target="https://ref.ly/Lam1:14" TargetMode="External"/><Relationship Id="rId12434" Type="http://schemas.openxmlformats.org/officeDocument/2006/relationships/hyperlink" Target="https://ref.ly/Isa9:4" TargetMode="External"/><Relationship Id="rId12435" Type="http://schemas.openxmlformats.org/officeDocument/2006/relationships/hyperlink" Target="https://ref.ly/Isa14:25" TargetMode="External"/><Relationship Id="rId12436" Type="http://schemas.openxmlformats.org/officeDocument/2006/relationships/hyperlink" Target="https://ref.ly/Isa58:6" TargetMode="External"/><Relationship Id="rId12437" Type="http://schemas.openxmlformats.org/officeDocument/2006/relationships/hyperlink" Target="https://ref.ly/Jer5:5" TargetMode="External"/><Relationship Id="rId12438" Type="http://schemas.openxmlformats.org/officeDocument/2006/relationships/hyperlink" Target="https://ref.ly/Jer27:8-Jer27:11" TargetMode="External"/><Relationship Id="rId12439" Type="http://schemas.openxmlformats.org/officeDocument/2006/relationships/hyperlink" Target="https://ref.ly/Jer28:1-Jer28:17" TargetMode="External"/><Relationship Id="rId12440" Type="http://schemas.openxmlformats.org/officeDocument/2006/relationships/hyperlink" Target="https://ref.ly/Exod18:13-Exod18:26" TargetMode="External"/><Relationship Id="rId12441" Type="http://schemas.openxmlformats.org/officeDocument/2006/relationships/hyperlink" Target="https://ref.ly/Deut1:9-Deut1:17" TargetMode="External"/><Relationship Id="rId12442" Type="http://schemas.openxmlformats.org/officeDocument/2006/relationships/hyperlink" Target="https://ref.ly/1Sam7:16-1Sam7:17" TargetMode="External"/><Relationship Id="rId12443" Type="http://schemas.openxmlformats.org/officeDocument/2006/relationships/hyperlink" Target="https://ref.ly/1Sam8:1" TargetMode="External"/><Relationship Id="rId12444" Type="http://schemas.openxmlformats.org/officeDocument/2006/relationships/hyperlink" Target="https://ref.ly/Matt18:16" TargetMode="External"/><Relationship Id="rId12445" Type="http://schemas.openxmlformats.org/officeDocument/2006/relationships/hyperlink" Target="https://ref.ly/2Cor13:1" TargetMode="External"/><Relationship Id="rId12446" Type="http://schemas.openxmlformats.org/officeDocument/2006/relationships/hyperlink" Target="https://ref.ly/1Tim5:19" TargetMode="External"/><Relationship Id="rId12447" Type="http://schemas.openxmlformats.org/officeDocument/2006/relationships/hyperlink" Target="https://ref.ly/Matt27:11-Matt27:25" TargetMode="External"/><Relationship Id="rId12448" Type="http://schemas.openxmlformats.org/officeDocument/2006/relationships/hyperlink" Target="https://ref.ly/Mark15:2-Mark15:5" TargetMode="External"/><Relationship Id="rId12449" Type="http://schemas.openxmlformats.org/officeDocument/2006/relationships/hyperlink" Target="https://ref.ly/Luke23:2-Luke23:3" TargetMode="External"/><Relationship Id="rId12450" Type="http://schemas.openxmlformats.org/officeDocument/2006/relationships/hyperlink" Target="https://ref.ly/John18:29-John18:40" TargetMode="External"/><Relationship Id="rId12451" Type="http://schemas.openxmlformats.org/officeDocument/2006/relationships/hyperlink" Target="https://ref.ly/Acts24:1-Acts24:26" TargetMode="External"/><Relationship Id="rId12452" Type="http://schemas.openxmlformats.org/officeDocument/2006/relationships/hyperlink" Target="https://ref.ly/Acts25:1-Acts25:26" TargetMode="External"/><Relationship Id="rId12453" Type="http://schemas.openxmlformats.org/officeDocument/2006/relationships/hyperlink" Target="https://ref.ly/Judg9:8-Judg9:15" TargetMode="External"/><Relationship Id="rId12454" Type="http://schemas.openxmlformats.org/officeDocument/2006/relationships/hyperlink" Target="https://ref.ly/Judg1:1-Judg2:5" TargetMode="External"/><Relationship Id="rId12455" Type="http://schemas.openxmlformats.org/officeDocument/2006/relationships/hyperlink" Target="https://ref.ly/Judg2:6-Judg3:6" TargetMode="External"/><Relationship Id="rId12456" Type="http://schemas.openxmlformats.org/officeDocument/2006/relationships/hyperlink" Target="https://ref.ly/Judg3:7-Judg16:31" TargetMode="External"/><Relationship Id="rId12457" Type="http://schemas.openxmlformats.org/officeDocument/2006/relationships/hyperlink" Target="https://ref.ly/Judg17:1-Judg21:25" TargetMode="External"/><Relationship Id="rId12458" Type="http://schemas.openxmlformats.org/officeDocument/2006/relationships/hyperlink" Target="https://ref.ly/Judg1:1-Judg3:6" TargetMode="External"/><Relationship Id="rId12459" Type="http://schemas.openxmlformats.org/officeDocument/2006/relationships/hyperlink" Target="https://ref.ly/Judg17:6" TargetMode="External"/><Relationship Id="rId12460" Type="http://schemas.openxmlformats.org/officeDocument/2006/relationships/hyperlink" Target="https://ref.ly/Judg18:1" TargetMode="External"/><Relationship Id="rId12461" Type="http://schemas.openxmlformats.org/officeDocument/2006/relationships/hyperlink" Target="https://ref.ly/Judg19:1" TargetMode="External"/><Relationship Id="rId12462" Type="http://schemas.openxmlformats.org/officeDocument/2006/relationships/hyperlink" Target="https://ref.ly/Judg21:25" TargetMode="External"/><Relationship Id="rId12463" Type="http://schemas.openxmlformats.org/officeDocument/2006/relationships/hyperlink" Target="https://ref.ly/Josh13:1-Josh21:45" TargetMode="External"/><Relationship Id="rId12464" Type="http://schemas.openxmlformats.org/officeDocument/2006/relationships/hyperlink" Target="https://ref.ly/Josh13:2-Josh13:6,Josh13:13" TargetMode="External"/><Relationship Id="rId12465" Type="http://schemas.openxmlformats.org/officeDocument/2006/relationships/hyperlink" Target="https://ref.ly/Judg1:1" TargetMode="External"/><Relationship Id="rId12466" Type="http://schemas.openxmlformats.org/officeDocument/2006/relationships/hyperlink" Target="https://ref.ly/Josh24:14-Josh24:27" TargetMode="External"/><Relationship Id="rId12467" Type="http://schemas.openxmlformats.org/officeDocument/2006/relationships/hyperlink" Target="https://ref.ly/Josh23:5,Josh23:10" TargetMode="External"/><Relationship Id="rId12468" Type="http://schemas.openxmlformats.org/officeDocument/2006/relationships/hyperlink" Target="https://ref.ly/Judg1:2-Judg1:20" TargetMode="External"/><Relationship Id="rId12469" Type="http://schemas.openxmlformats.org/officeDocument/2006/relationships/hyperlink" Target="https://ref.ly/Josh14:6-Josh15:63" TargetMode="External"/><Relationship Id="rId12470" Type="http://schemas.openxmlformats.org/officeDocument/2006/relationships/hyperlink" Target="https://ref.ly/Judg1:22-Judg1:29" TargetMode="External"/><Relationship Id="rId12471" Type="http://schemas.openxmlformats.org/officeDocument/2006/relationships/hyperlink" Target="https://ref.ly/Josh1:8" TargetMode="External"/><Relationship Id="rId12472" Type="http://schemas.openxmlformats.org/officeDocument/2006/relationships/hyperlink" Target="https://ref.ly/Josh1:21" TargetMode="External"/><Relationship Id="rId12473" Type="http://schemas.openxmlformats.org/officeDocument/2006/relationships/hyperlink" Target="https://ref.ly/2Sam5:6-2Sam5:9" TargetMode="External"/><Relationship Id="rId12474" Type="http://schemas.openxmlformats.org/officeDocument/2006/relationships/hyperlink" Target="https://ref.ly/Josh10:36" TargetMode="External"/><Relationship Id="rId12475" Type="http://schemas.openxmlformats.org/officeDocument/2006/relationships/hyperlink" Target="https://ref.ly/Judg1:20" TargetMode="External"/><Relationship Id="rId12476" Type="http://schemas.openxmlformats.org/officeDocument/2006/relationships/hyperlink" Target="https://ref.ly/Josh15:13" TargetMode="External"/><Relationship Id="rId12477" Type="http://schemas.openxmlformats.org/officeDocument/2006/relationships/hyperlink" Target="https://ref.ly/Judg1:11-Judg1:15" TargetMode="External"/><Relationship Id="rId12478" Type="http://schemas.openxmlformats.org/officeDocument/2006/relationships/hyperlink" Target="https://ref.ly/Josh15:14-Josh15:19" TargetMode="External"/><Relationship Id="rId12479" Type="http://schemas.openxmlformats.org/officeDocument/2006/relationships/hyperlink" Target="https://ref.ly/Num21:3" TargetMode="External"/><Relationship Id="rId12480" Type="http://schemas.openxmlformats.org/officeDocument/2006/relationships/hyperlink" Target="https://ref.ly/Gen13:3-Gen13:4" TargetMode="External"/><Relationship Id="rId12481" Type="http://schemas.openxmlformats.org/officeDocument/2006/relationships/hyperlink" Target="https://ref.ly/Gen35:1-Gen35:15" TargetMode="External"/><Relationship Id="rId12482" Type="http://schemas.openxmlformats.org/officeDocument/2006/relationships/hyperlink" Target="https://ref.ly/Judg1:30-Judg1:36" TargetMode="External"/><Relationship Id="rId12483" Type="http://schemas.openxmlformats.org/officeDocument/2006/relationships/hyperlink" Target="https://ref.ly/Judg2:1-Judg2:5" TargetMode="External"/><Relationship Id="rId12484" Type="http://schemas.openxmlformats.org/officeDocument/2006/relationships/hyperlink" Target="https://ref.ly/Exod23:33" TargetMode="External"/><Relationship Id="rId12485" Type="http://schemas.openxmlformats.org/officeDocument/2006/relationships/hyperlink" Target="https://ref.ly/Exod34:12-Exod34:16" TargetMode="External"/><Relationship Id="rId12486" Type="http://schemas.openxmlformats.org/officeDocument/2006/relationships/hyperlink" Target="https://ref.ly/Deut7:2-Deut7:5,Deut7:16" TargetMode="External"/><Relationship Id="rId12487" Type="http://schemas.openxmlformats.org/officeDocument/2006/relationships/hyperlink" Target="https://ref.ly/Josh23:7,Josh23:12" TargetMode="External"/><Relationship Id="rId12488" Type="http://schemas.openxmlformats.org/officeDocument/2006/relationships/hyperlink" Target="https://ref.ly/Judg6:8" TargetMode="External"/><Relationship Id="rId12489" Type="http://schemas.openxmlformats.org/officeDocument/2006/relationships/hyperlink" Target="https://ref.ly/Judg2:3" TargetMode="External"/><Relationship Id="rId12490" Type="http://schemas.openxmlformats.org/officeDocument/2006/relationships/hyperlink" Target="https://ref.ly/Judg2:4-Judg2:5" TargetMode="External"/><Relationship Id="rId12491" Type="http://schemas.openxmlformats.org/officeDocument/2006/relationships/hyperlink" Target="https://ref.ly/Mal2:13" TargetMode="External"/><Relationship Id="rId12492" Type="http://schemas.openxmlformats.org/officeDocument/2006/relationships/hyperlink" Target="https://ref.ly/Josh24:28-Josh24:31" TargetMode="External"/><Relationship Id="rId12493" Type="http://schemas.openxmlformats.org/officeDocument/2006/relationships/hyperlink" Target="https://ref.ly/Judg2:11-Judg2:13" TargetMode="External"/><Relationship Id="rId12494" Type="http://schemas.openxmlformats.org/officeDocument/2006/relationships/hyperlink" Target="https://ref.ly/Judg2:12-Judg2:14" TargetMode="External"/><Relationship Id="rId12495" Type="http://schemas.openxmlformats.org/officeDocument/2006/relationships/hyperlink" Target="https://ref.ly/Deut28:25,Deut28:33" TargetMode="External"/><Relationship Id="rId12496" Type="http://schemas.openxmlformats.org/officeDocument/2006/relationships/hyperlink" Target="https://ref.ly/Josh23:13,Josh23:16" TargetMode="External"/><Relationship Id="rId12497" Type="http://schemas.openxmlformats.org/officeDocument/2006/relationships/hyperlink" Target="https://ref.ly/Judg3:1-Judg3:4" TargetMode="External"/><Relationship Id="rId12498" Type="http://schemas.openxmlformats.org/officeDocument/2006/relationships/hyperlink" Target="https://ref.ly/Judg3:7-Judg3:11" TargetMode="External"/><Relationship Id="rId12499" Type="http://schemas.openxmlformats.org/officeDocument/2006/relationships/hyperlink" Target="https://ref.ly/Judg5:6" TargetMode="External"/><Relationship Id="rId12500" Type="http://schemas.openxmlformats.org/officeDocument/2006/relationships/hyperlink" Target="https://ref.ly/Judg4:1-Judg4:3" TargetMode="External"/><Relationship Id="rId12501" Type="http://schemas.openxmlformats.org/officeDocument/2006/relationships/hyperlink" Target="https://ref.ly/Josh11:13" TargetMode="External"/><Relationship Id="rId12502" Type="http://schemas.openxmlformats.org/officeDocument/2006/relationships/hyperlink" Target="https://ref.ly/Judg4:3" TargetMode="External"/><Relationship Id="rId12503" Type="http://schemas.openxmlformats.org/officeDocument/2006/relationships/hyperlink" Target="https://ref.ly/Judg4:6-Judg4:7" TargetMode="External"/><Relationship Id="rId12504" Type="http://schemas.openxmlformats.org/officeDocument/2006/relationships/hyperlink" Target="https://ref.ly/Judg4:8-Judg4:10" TargetMode="External"/><Relationship Id="rId12505" Type="http://schemas.openxmlformats.org/officeDocument/2006/relationships/hyperlink" Target="https://ref.ly/Judg5:20-Judg5:22" TargetMode="External"/><Relationship Id="rId12506" Type="http://schemas.openxmlformats.org/officeDocument/2006/relationships/hyperlink" Target="https://ref.ly/Judg4:17-Judg4:18" TargetMode="External"/><Relationship Id="rId12507" Type="http://schemas.openxmlformats.org/officeDocument/2006/relationships/hyperlink" Target="https://ref.ly/Judg4:18-Judg4:21" TargetMode="External"/><Relationship Id="rId12508" Type="http://schemas.openxmlformats.org/officeDocument/2006/relationships/hyperlink" Target="https://ref.ly/Judg5:26-Judg5:27" TargetMode="External"/><Relationship Id="rId12509" Type="http://schemas.openxmlformats.org/officeDocument/2006/relationships/hyperlink" Target="https://ref.ly/Judg5:2-Judg5:3" TargetMode="External"/><Relationship Id="rId12510" Type="http://schemas.openxmlformats.org/officeDocument/2006/relationships/hyperlink" Target="https://ref.ly/Deut33:2" TargetMode="External"/><Relationship Id="rId12511" Type="http://schemas.openxmlformats.org/officeDocument/2006/relationships/hyperlink" Target="https://ref.ly/Ps68:7-Ps68:8" TargetMode="External"/><Relationship Id="rId12512" Type="http://schemas.openxmlformats.org/officeDocument/2006/relationships/hyperlink" Target="https://ref.ly/Hab3:3-Hab3:4" TargetMode="External"/><Relationship Id="rId12513" Type="http://schemas.openxmlformats.org/officeDocument/2006/relationships/hyperlink" Target="https://ref.ly/Judg5:6-Judg5:8" TargetMode="External"/><Relationship Id="rId12514" Type="http://schemas.openxmlformats.org/officeDocument/2006/relationships/hyperlink" Target="https://ref.ly/Judg5:9-Judg5:13" TargetMode="External"/><Relationship Id="rId12515" Type="http://schemas.openxmlformats.org/officeDocument/2006/relationships/hyperlink" Target="https://ref.ly/Judg5:14-Judg5:15,Judg5:18" TargetMode="External"/><Relationship Id="rId12516" Type="http://schemas.openxmlformats.org/officeDocument/2006/relationships/hyperlink" Target="https://ref.ly/Judg5:15-Judg5:17" TargetMode="External"/><Relationship Id="rId12517" Type="http://schemas.openxmlformats.org/officeDocument/2006/relationships/hyperlink" Target="https://ref.ly/Judg5:19-Judg5:23" TargetMode="External"/><Relationship Id="rId12518" Type="http://schemas.openxmlformats.org/officeDocument/2006/relationships/hyperlink" Target="https://ref.ly/Judg5:28-Judg5:30" TargetMode="External"/><Relationship Id="rId12519" Type="http://schemas.openxmlformats.org/officeDocument/2006/relationships/hyperlink" Target="https://ref.ly/Judg5:31" TargetMode="External"/><Relationship Id="rId12520" Type="http://schemas.openxmlformats.org/officeDocument/2006/relationships/hyperlink" Target="https://ref.ly/Ps68:1-Ps68:3" TargetMode="External"/><Relationship Id="rId12521" Type="http://schemas.openxmlformats.org/officeDocument/2006/relationships/hyperlink" Target="https://ref.ly/Judg6:1-Judg8:35" TargetMode="External"/><Relationship Id="rId12522" Type="http://schemas.openxmlformats.org/officeDocument/2006/relationships/hyperlink" Target="https://ref.ly/Judg6:1-Judg6:3" TargetMode="External"/><Relationship Id="rId12523" Type="http://schemas.openxmlformats.org/officeDocument/2006/relationships/hyperlink" Target="https://ref.ly/Judg6:4-Judg6:6" TargetMode="External"/><Relationship Id="rId12524" Type="http://schemas.openxmlformats.org/officeDocument/2006/relationships/hyperlink" Target="https://ref.ly/Judg6:11-Judg6:14" TargetMode="External"/><Relationship Id="rId12525" Type="http://schemas.openxmlformats.org/officeDocument/2006/relationships/hyperlink" Target="https://ref.ly/Judg6:16" TargetMode="External"/><Relationship Id="rId12526" Type="http://schemas.openxmlformats.org/officeDocument/2006/relationships/hyperlink" Target="https://ref.ly/Judg6:17-Judg6:22" TargetMode="External"/><Relationship Id="rId12527" Type="http://schemas.openxmlformats.org/officeDocument/2006/relationships/hyperlink" Target="https://ref.ly/Judg6:25-Judg6:28" TargetMode="External"/><Relationship Id="rId12528" Type="http://schemas.openxmlformats.org/officeDocument/2006/relationships/hyperlink" Target="https://ref.ly/Judg6:28" TargetMode="External"/><Relationship Id="rId12529" Type="http://schemas.openxmlformats.org/officeDocument/2006/relationships/hyperlink" Target="https://ref.ly/Judg6:29-Judg6:32" TargetMode="External"/><Relationship Id="rId12530" Type="http://schemas.openxmlformats.org/officeDocument/2006/relationships/hyperlink" Target="https://ref.ly/Judg6:31" TargetMode="External"/><Relationship Id="rId12531" Type="http://schemas.openxmlformats.org/officeDocument/2006/relationships/hyperlink" Target="https://ref.ly/Judg6:32" TargetMode="External"/><Relationship Id="rId12532" Type="http://schemas.openxmlformats.org/officeDocument/2006/relationships/hyperlink" Target="https://ref.ly/Judg6:35" TargetMode="External"/><Relationship Id="rId12533" Type="http://schemas.openxmlformats.org/officeDocument/2006/relationships/hyperlink" Target="https://ref.ly/Judg6:36-Judg6:40" TargetMode="External"/><Relationship Id="rId12534" Type="http://schemas.openxmlformats.org/officeDocument/2006/relationships/hyperlink" Target="https://ref.ly/Judg6:13" TargetMode="External"/><Relationship Id="rId12535" Type="http://schemas.openxmlformats.org/officeDocument/2006/relationships/hyperlink" Target="https://ref.ly/Judg7:2-Judg7:3" TargetMode="External"/><Relationship Id="rId12536" Type="http://schemas.openxmlformats.org/officeDocument/2006/relationships/hyperlink" Target="https://ref.ly/Deut20:8" TargetMode="External"/><Relationship Id="rId12537" Type="http://schemas.openxmlformats.org/officeDocument/2006/relationships/hyperlink" Target="https://ref.ly/Judg7:4-Judg7:8" TargetMode="External"/><Relationship Id="rId12538" Type="http://schemas.openxmlformats.org/officeDocument/2006/relationships/hyperlink" Target="https://ref.ly/Judg7:9-Judg7:15" TargetMode="External"/><Relationship Id="rId12539" Type="http://schemas.openxmlformats.org/officeDocument/2006/relationships/hyperlink" Target="https://ref.ly/Judg7:16-Judg8:21" TargetMode="External"/><Relationship Id="rId12540" Type="http://schemas.openxmlformats.org/officeDocument/2006/relationships/hyperlink" Target="https://ref.ly/Judg8:1-Judg8:3" TargetMode="External"/><Relationship Id="rId12541" Type="http://schemas.openxmlformats.org/officeDocument/2006/relationships/hyperlink" Target="https://ref.ly/Judg8:4-Judg8:9,Judg8:13-Judg8:16" TargetMode="External"/><Relationship Id="rId12542" Type="http://schemas.openxmlformats.org/officeDocument/2006/relationships/hyperlink" Target="https://ref.ly/Judg8:22" TargetMode="External"/><Relationship Id="rId12543" Type="http://schemas.openxmlformats.org/officeDocument/2006/relationships/hyperlink" Target="https://ref.ly/Judg8:23-Judg8:27" TargetMode="External"/><Relationship Id="rId12544" Type="http://schemas.openxmlformats.org/officeDocument/2006/relationships/hyperlink" Target="https://ref.ly/Judg8:33-Judg8:35" TargetMode="External"/><Relationship Id="rId12545" Type="http://schemas.openxmlformats.org/officeDocument/2006/relationships/hyperlink" Target="https://ref.ly/Judg9:1-Judg9:6" TargetMode="External"/><Relationship Id="rId12546" Type="http://schemas.openxmlformats.org/officeDocument/2006/relationships/hyperlink" Target="https://ref.ly/Judg9:4-Judg9:5" TargetMode="External"/><Relationship Id="rId12547" Type="http://schemas.openxmlformats.org/officeDocument/2006/relationships/hyperlink" Target="https://ref.ly/Judg9:7-Judg9:20" TargetMode="External"/><Relationship Id="rId12548" Type="http://schemas.openxmlformats.org/officeDocument/2006/relationships/hyperlink" Target="https://ref.ly/Judg10:1-Judg10:2" TargetMode="External"/><Relationship Id="rId12549" Type="http://schemas.openxmlformats.org/officeDocument/2006/relationships/hyperlink" Target="https://ref.ly/Judg10:6-Judg12:7" TargetMode="External"/><Relationship Id="rId12550" Type="http://schemas.openxmlformats.org/officeDocument/2006/relationships/hyperlink" Target="https://ref.ly/Judg10:6-Judg10:16" TargetMode="External"/><Relationship Id="rId12551" Type="http://schemas.openxmlformats.org/officeDocument/2006/relationships/hyperlink" Target="https://ref.ly/Judg10:17-Judg11:8" TargetMode="External"/><Relationship Id="rId12552" Type="http://schemas.openxmlformats.org/officeDocument/2006/relationships/hyperlink" Target="https://ref.ly/Judg11:9-Judg11:10" TargetMode="External"/><Relationship Id="rId12553" Type="http://schemas.openxmlformats.org/officeDocument/2006/relationships/hyperlink" Target="https://ref.ly/Judg11:11" TargetMode="External"/><Relationship Id="rId12554" Type="http://schemas.openxmlformats.org/officeDocument/2006/relationships/hyperlink" Target="https://ref.ly/Judg11:12-Judg11:27" TargetMode="External"/><Relationship Id="rId12555" Type="http://schemas.openxmlformats.org/officeDocument/2006/relationships/hyperlink" Target="https://ref.ly/Judg11:27" TargetMode="External"/><Relationship Id="rId12556" Type="http://schemas.openxmlformats.org/officeDocument/2006/relationships/hyperlink" Target="https://ref.ly/Judg12:1-Judg12:4" TargetMode="External"/><Relationship Id="rId12557" Type="http://schemas.openxmlformats.org/officeDocument/2006/relationships/hyperlink" Target="https://ref.ly/Judg12:11" TargetMode="External"/><Relationship Id="rId12558" Type="http://schemas.openxmlformats.org/officeDocument/2006/relationships/hyperlink" Target="https://ref.ly/Judg12:13-Judg12:15" TargetMode="External"/><Relationship Id="rId12559" Type="http://schemas.openxmlformats.org/officeDocument/2006/relationships/hyperlink" Target="https://ref.ly/Judg13:1-Judg13:24" TargetMode="External"/><Relationship Id="rId12560" Type="http://schemas.openxmlformats.org/officeDocument/2006/relationships/hyperlink" Target="https://ref.ly/Judg13:7" TargetMode="External"/><Relationship Id="rId12561" Type="http://schemas.openxmlformats.org/officeDocument/2006/relationships/hyperlink" Target="https://ref.ly/Num6:1-Num6:21" TargetMode="External"/><Relationship Id="rId12562" Type="http://schemas.openxmlformats.org/officeDocument/2006/relationships/hyperlink" Target="https://ref.ly/Judg14:6,Judg14:19" TargetMode="External"/><Relationship Id="rId12563" Type="http://schemas.openxmlformats.org/officeDocument/2006/relationships/hyperlink" Target="https://ref.ly/Judg15:14" TargetMode="External"/><Relationship Id="rId12564" Type="http://schemas.openxmlformats.org/officeDocument/2006/relationships/hyperlink" Target="https://ref.ly/Judg14:19" TargetMode="External"/><Relationship Id="rId12565" Type="http://schemas.openxmlformats.org/officeDocument/2006/relationships/hyperlink" Target="https://ref.ly/Judg15:1-Judg15:6" TargetMode="External"/><Relationship Id="rId12566" Type="http://schemas.openxmlformats.org/officeDocument/2006/relationships/hyperlink" Target="https://ref.ly/Judg15:7-Judg15:17" TargetMode="External"/><Relationship Id="rId12567" Type="http://schemas.openxmlformats.org/officeDocument/2006/relationships/hyperlink" Target="https://ref.ly/Judg16:1-Judg16:3,Judg16:23-Judg16:30" TargetMode="External"/><Relationship Id="rId12568" Type="http://schemas.openxmlformats.org/officeDocument/2006/relationships/hyperlink" Target="https://ref.ly/Judg15:18-Judg15:19" TargetMode="External"/><Relationship Id="rId12569" Type="http://schemas.openxmlformats.org/officeDocument/2006/relationships/hyperlink" Target="https://ref.ly/Judg16:28-Judg16:30" TargetMode="External"/><Relationship Id="rId12570" Type="http://schemas.openxmlformats.org/officeDocument/2006/relationships/hyperlink" Target="https://ref.ly/Judg16:31" TargetMode="External"/><Relationship Id="rId12571" Type="http://schemas.openxmlformats.org/officeDocument/2006/relationships/hyperlink" Target="https://ref.ly/Judg19:1-Judg21:25" TargetMode="External"/><Relationship Id="rId12572" Type="http://schemas.openxmlformats.org/officeDocument/2006/relationships/hyperlink" Target="https://ref.ly/Judg17:1-Judg17:13" TargetMode="External"/><Relationship Id="rId12573" Type="http://schemas.openxmlformats.org/officeDocument/2006/relationships/hyperlink" Target="https://ref.ly/Judg18:31" TargetMode="External"/><Relationship Id="rId12574" Type="http://schemas.openxmlformats.org/officeDocument/2006/relationships/hyperlink" Target="https://ref.ly/Judg19:29-Judg20:19" TargetMode="External"/><Relationship Id="rId12575" Type="http://schemas.openxmlformats.org/officeDocument/2006/relationships/hyperlink" Target="https://ref.ly/Judg20:20-Judg20:48" TargetMode="External"/><Relationship Id="rId12576" Type="http://schemas.openxmlformats.org/officeDocument/2006/relationships/hyperlink" Target="https://ref.ly/Judg21:6-Judg21:15" TargetMode="External"/><Relationship Id="rId12577" Type="http://schemas.openxmlformats.org/officeDocument/2006/relationships/hyperlink" Target="https://ref.ly/Isa4:2" TargetMode="External"/><Relationship Id="rId12578" Type="http://schemas.openxmlformats.org/officeDocument/2006/relationships/hyperlink" Target="https://ref.ly/Jer50:3-Jer50:32" TargetMode="External"/><Relationship Id="rId12579" Type="http://schemas.openxmlformats.org/officeDocument/2006/relationships/hyperlink" Target="https://ref.ly/Joel2:1-Joel2:3" TargetMode="External"/><Relationship Id="rId12580" Type="http://schemas.openxmlformats.org/officeDocument/2006/relationships/hyperlink" Target="https://ref.ly/Joel3:9-Joel3:16" TargetMode="External"/><Relationship Id="rId12581" Type="http://schemas.openxmlformats.org/officeDocument/2006/relationships/hyperlink" Target="https://ref.ly/Zeph1:7-Zeph1:18" TargetMode="External"/><Relationship Id="rId12582" Type="http://schemas.openxmlformats.org/officeDocument/2006/relationships/hyperlink" Target="https://ref.ly/Acts10:42" TargetMode="External"/><Relationship Id="rId12583" Type="http://schemas.openxmlformats.org/officeDocument/2006/relationships/hyperlink" Target="https://ref.ly/Rev20:12" TargetMode="External"/><Relationship Id="rId12584" Type="http://schemas.openxmlformats.org/officeDocument/2006/relationships/hyperlink" Target="https://ref.ly/Rom3:9,Rom3:23" TargetMode="External"/><Relationship Id="rId12585" Type="http://schemas.openxmlformats.org/officeDocument/2006/relationships/hyperlink" Target="https://ref.ly/Rom3:21-Rom3:28" TargetMode="External"/><Relationship Id="rId12586" Type="http://schemas.openxmlformats.org/officeDocument/2006/relationships/hyperlink" Target="https://ref.ly/Rev21:27" TargetMode="External"/><Relationship Id="rId12587" Type="http://schemas.openxmlformats.org/officeDocument/2006/relationships/hyperlink" Target="https://ref.ly/Rev20:11-Rev20:12" TargetMode="External"/><Relationship Id="rId12588" Type="http://schemas.openxmlformats.org/officeDocument/2006/relationships/hyperlink" Target="https://ref.ly/Rom2:12" TargetMode="External"/><Relationship Id="rId12589" Type="http://schemas.openxmlformats.org/officeDocument/2006/relationships/hyperlink" Target="https://ref.ly/Rom2:6" TargetMode="External"/><Relationship Id="rId12590" Type="http://schemas.openxmlformats.org/officeDocument/2006/relationships/hyperlink" Target="https://ref.ly/Rom2:15" TargetMode="External"/><Relationship Id="rId12591" Type="http://schemas.openxmlformats.org/officeDocument/2006/relationships/hyperlink" Target="https://ref.ly/Rom13:1-Rom13:2" TargetMode="External"/><Relationship Id="rId12592" Type="http://schemas.openxmlformats.org/officeDocument/2006/relationships/hyperlink" Target="https://ref.ly/1Pet4:12-1Pet4:13" TargetMode="External"/><Relationship Id="rId12593" Type="http://schemas.openxmlformats.org/officeDocument/2006/relationships/hyperlink" Target="https://ref.ly/Gen3:17" TargetMode="External"/><Relationship Id="rId12594" Type="http://schemas.openxmlformats.org/officeDocument/2006/relationships/hyperlink" Target="https://ref.ly/Rom8:20" TargetMode="External"/><Relationship Id="rId12595" Type="http://schemas.openxmlformats.org/officeDocument/2006/relationships/hyperlink" Target="https://ref.ly/Rom8:28" TargetMode="External"/><Relationship Id="rId12596" Type="http://schemas.openxmlformats.org/officeDocument/2006/relationships/hyperlink" Target="https://ref.ly/Exod10:20" TargetMode="External"/><Relationship Id="rId12597" Type="http://schemas.openxmlformats.org/officeDocument/2006/relationships/hyperlink" Target="https://ref.ly/Matt12:22-Matt12:32" TargetMode="External"/><Relationship Id="rId12598" Type="http://schemas.openxmlformats.org/officeDocument/2006/relationships/hyperlink" Target="https://ref.ly/Jude1:7" TargetMode="External"/><Relationship Id="rId12599" Type="http://schemas.openxmlformats.org/officeDocument/2006/relationships/hyperlink" Target="https://ref.ly/Matt25:31-Matt25:32" TargetMode="External"/><Relationship Id="rId12600" Type="http://schemas.openxmlformats.org/officeDocument/2006/relationships/hyperlink" Target="https://ref.ly/John18:28,John18:33" TargetMode="External"/><Relationship Id="rId12601" Type="http://schemas.openxmlformats.org/officeDocument/2006/relationships/hyperlink" Target="https://ref.ly/John19:9" TargetMode="External"/><Relationship Id="rId12602" Type="http://schemas.openxmlformats.org/officeDocument/2006/relationships/hyperlink" Target="https://ref.ly/Acts23:35" TargetMode="External"/><Relationship Id="rId12603" Type="http://schemas.openxmlformats.org/officeDocument/2006/relationships/hyperlink" Target="https://ref.ly/Acts27:3" TargetMode="External"/><Relationship Id="rId12604" Type="http://schemas.openxmlformats.org/officeDocument/2006/relationships/hyperlink" Target="https://ref.ly/Acts27:9-Acts27:12" TargetMode="External"/><Relationship Id="rId12605" Type="http://schemas.openxmlformats.org/officeDocument/2006/relationships/hyperlink" Target="https://ref.ly/Acts27:42-Acts27:44" TargetMode="External"/><Relationship Id="rId12606" Type="http://schemas.openxmlformats.org/officeDocument/2006/relationships/hyperlink" Target="https://ref.ly/Acts28:16" TargetMode="External"/><Relationship Id="rId12607" Type="http://schemas.openxmlformats.org/officeDocument/2006/relationships/hyperlink" Target="https://ref.ly/Gen21:22-Gen21:31" TargetMode="External"/><Relationship Id="rId12608" Type="http://schemas.openxmlformats.org/officeDocument/2006/relationships/hyperlink" Target="https://ref.ly/Num5:21" TargetMode="External"/><Relationship Id="rId12609" Type="http://schemas.openxmlformats.org/officeDocument/2006/relationships/hyperlink" Target="https://ref.ly/Neh10:29" TargetMode="External"/><Relationship Id="rId12610" Type="http://schemas.openxmlformats.org/officeDocument/2006/relationships/hyperlink" Target="https://ref.ly/Dan9:11" TargetMode="External"/><Relationship Id="rId12611" Type="http://schemas.openxmlformats.org/officeDocument/2006/relationships/hyperlink" Target="https://ref.ly/Deut29:14-Deut29:29" TargetMode="External"/><Relationship Id="rId12612" Type="http://schemas.openxmlformats.org/officeDocument/2006/relationships/hyperlink" Target="https://ref.ly/Gen31:53" TargetMode="External"/><Relationship Id="rId12613" Type="http://schemas.openxmlformats.org/officeDocument/2006/relationships/hyperlink" Target="https://ref.ly/Exod20:7" TargetMode="External"/><Relationship Id="rId12614" Type="http://schemas.openxmlformats.org/officeDocument/2006/relationships/hyperlink" Target="https://ref.ly/Jer12:16" TargetMode="External"/><Relationship Id="rId12615" Type="http://schemas.openxmlformats.org/officeDocument/2006/relationships/hyperlink" Target="https://ref.ly/Amos8:14" TargetMode="External"/><Relationship Id="rId12616" Type="http://schemas.openxmlformats.org/officeDocument/2006/relationships/hyperlink" Target="https://ref.ly/Ezek17:16-Ezek17:17" TargetMode="External"/><Relationship Id="rId12617" Type="http://schemas.openxmlformats.org/officeDocument/2006/relationships/hyperlink" Target="https://ref.ly/Exod22:10-Exod22:11" TargetMode="External"/><Relationship Id="rId12618" Type="http://schemas.openxmlformats.org/officeDocument/2006/relationships/hyperlink" Target="https://ref.ly/Lev5:1" TargetMode="External"/><Relationship Id="rId12619" Type="http://schemas.openxmlformats.org/officeDocument/2006/relationships/hyperlink" Target="https://ref.ly/Lev6:3" TargetMode="External"/><Relationship Id="rId12620" Type="http://schemas.openxmlformats.org/officeDocument/2006/relationships/hyperlink" Target="https://ref.ly/Num5:11-Num5:28" TargetMode="External"/><Relationship Id="rId12621" Type="http://schemas.openxmlformats.org/officeDocument/2006/relationships/hyperlink" Target="https://ref.ly/Matt5:33" TargetMode="External"/><Relationship Id="rId12622" Type="http://schemas.openxmlformats.org/officeDocument/2006/relationships/hyperlink" Target="https://ref.ly/Matt5:34-Matt5:37" TargetMode="External"/><Relationship Id="rId12623" Type="http://schemas.openxmlformats.org/officeDocument/2006/relationships/hyperlink" Target="https://ref.ly/Matt26:63-Matt26:65" TargetMode="External"/><Relationship Id="rId12624" Type="http://schemas.openxmlformats.org/officeDocument/2006/relationships/hyperlink" Target="https://ref.ly/Gal1:20" TargetMode="External"/><Relationship Id="rId12625" Type="http://schemas.openxmlformats.org/officeDocument/2006/relationships/hyperlink" Target="https://ref.ly/Gen50:24" TargetMode="External"/><Relationship Id="rId12626" Type="http://schemas.openxmlformats.org/officeDocument/2006/relationships/hyperlink" Target="https://ref.ly/Ps89:19-Ps89:37" TargetMode="External"/><Relationship Id="rId12627" Type="http://schemas.openxmlformats.org/officeDocument/2006/relationships/hyperlink" Target="https://ref.ly/Ps110:1-Ps110:4" TargetMode="External"/><Relationship Id="rId12628" Type="http://schemas.openxmlformats.org/officeDocument/2006/relationships/hyperlink" Target="https://ref.ly/Gen38:26" TargetMode="External"/><Relationship Id="rId12629" Type="http://schemas.openxmlformats.org/officeDocument/2006/relationships/hyperlink" Target="https://ref.ly/Gen18:25" TargetMode="External"/><Relationship Id="rId12630" Type="http://schemas.openxmlformats.org/officeDocument/2006/relationships/hyperlink" Target="https://ref.ly/Ps19:9" TargetMode="External"/><Relationship Id="rId12631" Type="http://schemas.openxmlformats.org/officeDocument/2006/relationships/hyperlink" Target="https://ref.ly/Ps143:2" TargetMode="External"/><Relationship Id="rId12632" Type="http://schemas.openxmlformats.org/officeDocument/2006/relationships/hyperlink" Target="https://ref.ly/Isa63:7" TargetMode="External"/><Relationship Id="rId12633" Type="http://schemas.openxmlformats.org/officeDocument/2006/relationships/hyperlink" Target="https://ref.ly/Gal3:15-Gal3:25" TargetMode="External"/><Relationship Id="rId12634" Type="http://schemas.openxmlformats.org/officeDocument/2006/relationships/hyperlink" Target="https://ref.ly/Gal3:21" TargetMode="External"/><Relationship Id="rId12635" Type="http://schemas.openxmlformats.org/officeDocument/2006/relationships/hyperlink" Target="https://ref.ly/Acts13:39" TargetMode="External"/><Relationship Id="rId12636" Type="http://schemas.openxmlformats.org/officeDocument/2006/relationships/hyperlink" Target="https://ref.ly/1Thess5:10" TargetMode="External"/><Relationship Id="rId12637" Type="http://schemas.openxmlformats.org/officeDocument/2006/relationships/hyperlink" Target="https://ref.ly/Luke18:14" TargetMode="External"/><Relationship Id="rId12638" Type="http://schemas.openxmlformats.org/officeDocument/2006/relationships/hyperlink" Target="https://ref.ly/Matt18:4" TargetMode="External"/><Relationship Id="rId12639" Type="http://schemas.openxmlformats.org/officeDocument/2006/relationships/hyperlink" Target="https://ref.ly/Luke5:32" TargetMode="External"/><Relationship Id="rId12640" Type="http://schemas.openxmlformats.org/officeDocument/2006/relationships/hyperlink" Target="https://ref.ly/Luke19:7" TargetMode="External"/><Relationship Id="rId12641" Type="http://schemas.openxmlformats.org/officeDocument/2006/relationships/hyperlink" Target="https://ref.ly/Matt8:8" TargetMode="External"/><Relationship Id="rId12642" Type="http://schemas.openxmlformats.org/officeDocument/2006/relationships/hyperlink" Target="https://ref.ly/Heb10:38" TargetMode="External"/><Relationship Id="rId12643" Type="http://schemas.openxmlformats.org/officeDocument/2006/relationships/hyperlink" Target="https://ref.ly/Acts18:7" TargetMode="External"/><Relationship Id="rId12644" Type="http://schemas.openxmlformats.org/officeDocument/2006/relationships/hyperlink" Target="https://ref.ly/Num32:42" TargetMode="External"/><Relationship Id="rId12645" Type="http://schemas.openxmlformats.org/officeDocument/2006/relationships/hyperlink" Target="https://ref.ly/Lev13:47-Lev13:59" TargetMode="External"/><Relationship Id="rId12646" Type="http://schemas.openxmlformats.org/officeDocument/2006/relationships/hyperlink" Target="https://ref.ly/Hos2:5,Hos2:9" TargetMode="External"/><Relationship Id="rId12647" Type="http://schemas.openxmlformats.org/officeDocument/2006/relationships/hyperlink" Target="https://ref.ly/Deut22:11" TargetMode="External"/><Relationship Id="rId12648" Type="http://schemas.openxmlformats.org/officeDocument/2006/relationships/hyperlink" Target="https://ref.ly/Ezek44:17" TargetMode="External"/><Relationship Id="rId12649" Type="http://schemas.openxmlformats.org/officeDocument/2006/relationships/hyperlink" Target="https://ref.ly/Num33:20-Num33:21" TargetMode="External"/><Relationship Id="rId12650" Type="http://schemas.openxmlformats.org/officeDocument/2006/relationships/hyperlink" Target="https://ref.ly/Gen24:24,Gen24:29" TargetMode="External"/><Relationship Id="rId12651" Type="http://schemas.openxmlformats.org/officeDocument/2006/relationships/hyperlink" Target="https://ref.ly/Gen24:15,Gen24:29" TargetMode="External"/><Relationship Id="rId12652" Type="http://schemas.openxmlformats.org/officeDocument/2006/relationships/hyperlink" Target="https://ref.ly/Gen29:16" TargetMode="External"/><Relationship Id="rId12653" Type="http://schemas.openxmlformats.org/officeDocument/2006/relationships/hyperlink" Target="https://ref.ly/Gen24:29-Gen24:33,Gen24:54" TargetMode="External"/><Relationship Id="rId12654" Type="http://schemas.openxmlformats.org/officeDocument/2006/relationships/hyperlink" Target="https://ref.ly/Gen24:50-Gen24:51" TargetMode="External"/><Relationship Id="rId12655" Type="http://schemas.openxmlformats.org/officeDocument/2006/relationships/hyperlink" Target="https://ref.ly/Gen24:53" TargetMode="External"/><Relationship Id="rId12656" Type="http://schemas.openxmlformats.org/officeDocument/2006/relationships/hyperlink" Target="https://ref.ly/Gen29:13" TargetMode="External"/><Relationship Id="rId12657" Type="http://schemas.openxmlformats.org/officeDocument/2006/relationships/hyperlink" Target="https://ref.ly/Gen31:7,Gen31:41" TargetMode="External"/><Relationship Id="rId12658" Type="http://schemas.openxmlformats.org/officeDocument/2006/relationships/hyperlink" Target="https://ref.ly/Gen31:46-Gen31:50" TargetMode="External"/><Relationship Id="rId12659" Type="http://schemas.openxmlformats.org/officeDocument/2006/relationships/hyperlink" Target="https://ref.ly/Num3:24" TargetMode="External"/><Relationship Id="rId12660" Type="http://schemas.openxmlformats.org/officeDocument/2006/relationships/hyperlink" Target="https://ref.ly/Isa34:9-Isa34:10" TargetMode="External"/><Relationship Id="rId12661" Type="http://schemas.openxmlformats.org/officeDocument/2006/relationships/hyperlink" Target="https://ref.ly/Jer28:3" TargetMode="External"/><Relationship Id="rId12662" Type="http://schemas.openxmlformats.org/officeDocument/2006/relationships/hyperlink" Target="https://ref.ly/Lam1:21" TargetMode="External"/><Relationship Id="rId12663" Type="http://schemas.openxmlformats.org/officeDocument/2006/relationships/hyperlink" Target="https://ref.ly/Lam3:59-Lam3:66" TargetMode="External"/><Relationship Id="rId12664" Type="http://schemas.openxmlformats.org/officeDocument/2006/relationships/hyperlink" Target="https://ref.ly/Jer12:14-Jer12:17" TargetMode="External"/><Relationship Id="rId12665" Type="http://schemas.openxmlformats.org/officeDocument/2006/relationships/hyperlink" Target="https://ref.ly/Jer6:25" TargetMode="External"/><Relationship Id="rId12666" Type="http://schemas.openxmlformats.org/officeDocument/2006/relationships/hyperlink" Target="https://ref.ly/Jer20:10" TargetMode="External"/><Relationship Id="rId12667" Type="http://schemas.openxmlformats.org/officeDocument/2006/relationships/hyperlink" Target="https://ref.ly/Mic4:1-Mic4:13" TargetMode="External"/><Relationship Id="rId12668" Type="http://schemas.openxmlformats.org/officeDocument/2006/relationships/hyperlink" Target="https://ref.ly/Lam1:1-Lam1:22" TargetMode="External"/><Relationship Id="rId12669" Type="http://schemas.openxmlformats.org/officeDocument/2006/relationships/hyperlink" Target="https://ref.ly/Rev1:8" TargetMode="External"/><Relationship Id="rId12670" Type="http://schemas.openxmlformats.org/officeDocument/2006/relationships/hyperlink" Target="https://ref.ly/Lam3:22-Lam3:23" TargetMode="External"/><Relationship Id="rId12671" Type="http://schemas.openxmlformats.org/officeDocument/2006/relationships/hyperlink" Target="https://ref.ly/Lam1:8-Lam1:9,Lam1:14" TargetMode="External"/><Relationship Id="rId12672" Type="http://schemas.openxmlformats.org/officeDocument/2006/relationships/hyperlink" Target="https://ref.ly/Lam4:13" TargetMode="External"/><Relationship Id="rId12673" Type="http://schemas.openxmlformats.org/officeDocument/2006/relationships/hyperlink" Target="https://ref.ly/Lam1:18" TargetMode="External"/><Relationship Id="rId12674" Type="http://schemas.openxmlformats.org/officeDocument/2006/relationships/hyperlink" Target="https://ref.ly/Lam2:5-Lam2:7" TargetMode="External"/><Relationship Id="rId12675" Type="http://schemas.openxmlformats.org/officeDocument/2006/relationships/hyperlink" Target="https://ref.ly/Lam2:17" TargetMode="External"/><Relationship Id="rId12676" Type="http://schemas.openxmlformats.org/officeDocument/2006/relationships/hyperlink" Target="https://ref.ly/Lam3:22-Lam3:27" TargetMode="External"/><Relationship Id="rId12677" Type="http://schemas.openxmlformats.org/officeDocument/2006/relationships/hyperlink" Target="https://ref.ly/Deut28:64-Deut28:65" TargetMode="External"/><Relationship Id="rId12678" Type="http://schemas.openxmlformats.org/officeDocument/2006/relationships/hyperlink" Target="https://ref.ly/Lam1:3" TargetMode="External"/><Relationship Id="rId12679" Type="http://schemas.openxmlformats.org/officeDocument/2006/relationships/hyperlink" Target="https://ref.ly/Lam1:8" TargetMode="External"/><Relationship Id="rId12680" Type="http://schemas.openxmlformats.org/officeDocument/2006/relationships/hyperlink" Target="https://ref.ly/Lam1:11-Lam1:12,Lam1:16-Lam1:17" TargetMode="External"/><Relationship Id="rId12681" Type="http://schemas.openxmlformats.org/officeDocument/2006/relationships/hyperlink" Target="https://ref.ly/Lam1:21-Lam1:22" TargetMode="External"/><Relationship Id="rId12682" Type="http://schemas.openxmlformats.org/officeDocument/2006/relationships/hyperlink" Target="https://ref.ly/Lam2:1-Lam2:3,Lam2:6-Lam2:7" TargetMode="External"/><Relationship Id="rId12683" Type="http://schemas.openxmlformats.org/officeDocument/2006/relationships/hyperlink" Target="https://ref.ly/Lam2:14" TargetMode="External"/><Relationship Id="rId12684" Type="http://schemas.openxmlformats.org/officeDocument/2006/relationships/hyperlink" Target="https://ref.ly/Lam1:5,Lam1:8" TargetMode="External"/><Relationship Id="rId12685" Type="http://schemas.openxmlformats.org/officeDocument/2006/relationships/hyperlink" Target="https://ref.ly/Lam2:13" TargetMode="External"/><Relationship Id="rId12686" Type="http://schemas.openxmlformats.org/officeDocument/2006/relationships/hyperlink" Target="https://ref.ly/Lam2:6-Lam2:7" TargetMode="External"/><Relationship Id="rId12687" Type="http://schemas.openxmlformats.org/officeDocument/2006/relationships/hyperlink" Target="https://ref.ly/Lam3:61-Lam3:66" TargetMode="External"/><Relationship Id="rId12688" Type="http://schemas.openxmlformats.org/officeDocument/2006/relationships/hyperlink" Target="https://ref.ly/Lam3:18" TargetMode="External"/><Relationship Id="rId12689" Type="http://schemas.openxmlformats.org/officeDocument/2006/relationships/hyperlink" Target="https://ref.ly/Lam3:22-Lam3:24" TargetMode="External"/><Relationship Id="rId12690" Type="http://schemas.openxmlformats.org/officeDocument/2006/relationships/hyperlink" Target="https://ref.ly/Lam3:58-Lam3:66" TargetMode="External"/><Relationship Id="rId12691" Type="http://schemas.openxmlformats.org/officeDocument/2006/relationships/hyperlink" Target="https://ref.ly/Lam3:1-Lam3:17" TargetMode="External"/><Relationship Id="rId12692" Type="http://schemas.openxmlformats.org/officeDocument/2006/relationships/hyperlink" Target="https://ref.ly/Lam4:1-Lam4:16" TargetMode="External"/><Relationship Id="rId12693" Type="http://schemas.openxmlformats.org/officeDocument/2006/relationships/hyperlink" Target="https://ref.ly/Lam4:12-Lam4:20" TargetMode="External"/><Relationship Id="rId12694" Type="http://schemas.openxmlformats.org/officeDocument/2006/relationships/hyperlink" Target="https://ref.ly/Lam4:21-Lam4:22" TargetMode="External"/><Relationship Id="rId12695" Type="http://schemas.openxmlformats.org/officeDocument/2006/relationships/hyperlink" Target="https://ref.ly/Lam5:1-Lam5:18" TargetMode="External"/><Relationship Id="rId12696" Type="http://schemas.openxmlformats.org/officeDocument/2006/relationships/hyperlink" Target="https://ref.ly/Lam5:8" TargetMode="External"/><Relationship Id="rId12697" Type="http://schemas.openxmlformats.org/officeDocument/2006/relationships/hyperlink" Target="https://ref.ly/Lam5:19" TargetMode="External"/><Relationship Id="rId12698" Type="http://schemas.openxmlformats.org/officeDocument/2006/relationships/hyperlink" Target="https://ref.ly/Lam5:20-Lam5:22" TargetMode="External"/><Relationship Id="rId12699" Type="http://schemas.openxmlformats.org/officeDocument/2006/relationships/hyperlink" Target="https://ref.ly/Gen4:23-Gen4:24" TargetMode="External"/><Relationship Id="rId12700" Type="http://schemas.openxmlformats.org/officeDocument/2006/relationships/hyperlink" Target="https://ref.ly/Gen4:8-Gen4:12" TargetMode="External"/><Relationship Id="rId12701" Type="http://schemas.openxmlformats.org/officeDocument/2006/relationships/hyperlink" Target="https://ref.ly/Matt18:22" TargetMode="External"/><Relationship Id="rId12702" Type="http://schemas.openxmlformats.org/officeDocument/2006/relationships/hyperlink" Target="https://ref.ly/Gen5:25-Gen5:31" TargetMode="External"/><Relationship Id="rId12703" Type="http://schemas.openxmlformats.org/officeDocument/2006/relationships/hyperlink" Target="https://ref.ly/Isa42:3" TargetMode="External"/><Relationship Id="rId12704" Type="http://schemas.openxmlformats.org/officeDocument/2006/relationships/hyperlink" Target="https://ref.ly/Exod27:20" TargetMode="External"/><Relationship Id="rId12705" Type="http://schemas.openxmlformats.org/officeDocument/2006/relationships/hyperlink" Target="https://ref.ly/Prov31:18" TargetMode="External"/><Relationship Id="rId12706" Type="http://schemas.openxmlformats.org/officeDocument/2006/relationships/hyperlink" Target="https://ref.ly/Exod25:38" TargetMode="External"/><Relationship Id="rId12707" Type="http://schemas.openxmlformats.org/officeDocument/2006/relationships/hyperlink" Target="https://ref.ly/Exod37:23" TargetMode="External"/><Relationship Id="rId12708" Type="http://schemas.openxmlformats.org/officeDocument/2006/relationships/hyperlink" Target="https://ref.ly/Num4:9" TargetMode="External"/><Relationship Id="rId12709" Type="http://schemas.openxmlformats.org/officeDocument/2006/relationships/hyperlink" Target="https://ref.ly/1Kgs7:49" TargetMode="External"/><Relationship Id="rId12710" Type="http://schemas.openxmlformats.org/officeDocument/2006/relationships/hyperlink" Target="https://ref.ly/Isa6:6" TargetMode="External"/><Relationship Id="rId12711" Type="http://schemas.openxmlformats.org/officeDocument/2006/relationships/hyperlink" Target="https://ref.ly/Judg7:16-Judg7:20" TargetMode="External"/><Relationship Id="rId12712" Type="http://schemas.openxmlformats.org/officeDocument/2006/relationships/hyperlink" Target="https://ref.ly/Matt6:22-Matt6:23" TargetMode="External"/><Relationship Id="rId12713" Type="http://schemas.openxmlformats.org/officeDocument/2006/relationships/hyperlink" Target="https://ref.ly/Luke11:33-Luke11:36" TargetMode="External"/><Relationship Id="rId12714" Type="http://schemas.openxmlformats.org/officeDocument/2006/relationships/hyperlink" Target="https://ref.ly/2Pet1:19" TargetMode="External"/><Relationship Id="rId12715" Type="http://schemas.openxmlformats.org/officeDocument/2006/relationships/hyperlink" Target="https://ref.ly/2Sam22:29" TargetMode="External"/><Relationship Id="rId12716" Type="http://schemas.openxmlformats.org/officeDocument/2006/relationships/hyperlink" Target="https://ref.ly/Prov13:9" TargetMode="External"/><Relationship Id="rId12717" Type="http://schemas.openxmlformats.org/officeDocument/2006/relationships/hyperlink" Target="https://ref.ly/2Pet2:7" TargetMode="External"/><Relationship Id="rId12718" Type="http://schemas.openxmlformats.org/officeDocument/2006/relationships/hyperlink" Target="https://ref.ly/2Pet2:2" TargetMode="External"/><Relationship Id="rId12719" Type="http://schemas.openxmlformats.org/officeDocument/2006/relationships/hyperlink" Target="https://ref.ly/Eph4:19" TargetMode="External"/><Relationship Id="rId12720" Type="http://schemas.openxmlformats.org/officeDocument/2006/relationships/hyperlink" Target="https://ref.ly/Rom13:13" TargetMode="External"/><Relationship Id="rId12721" Type="http://schemas.openxmlformats.org/officeDocument/2006/relationships/hyperlink" Target="https://ref.ly/2Cor12:21" TargetMode="External"/><Relationship Id="rId12722" Type="http://schemas.openxmlformats.org/officeDocument/2006/relationships/hyperlink" Target="https://ref.ly/Gal5:19" TargetMode="External"/><Relationship Id="rId12723" Type="http://schemas.openxmlformats.org/officeDocument/2006/relationships/hyperlink" Target="https://ref.ly/Mark7:22" TargetMode="External"/><Relationship Id="rId12724" Type="http://schemas.openxmlformats.org/officeDocument/2006/relationships/hyperlink" Target="https://ref.ly/Dan11:43" TargetMode="External"/><Relationship Id="rId12725" Type="http://schemas.openxmlformats.org/officeDocument/2006/relationships/hyperlink" Target="https://ref.ly/Nah3:9" TargetMode="External"/><Relationship Id="rId12726" Type="http://schemas.openxmlformats.org/officeDocument/2006/relationships/hyperlink" Target="https://ref.ly/2Chr12:3" TargetMode="External"/><Relationship Id="rId12727" Type="http://schemas.openxmlformats.org/officeDocument/2006/relationships/hyperlink" Target="https://ref.ly/2Chr16:8" TargetMode="External"/><Relationship Id="rId12728" Type="http://schemas.openxmlformats.org/officeDocument/2006/relationships/hyperlink" Target="https://ref.ly/2Esd11:37" TargetMode="External"/><Relationship Id="rId12729" Type="http://schemas.openxmlformats.org/officeDocument/2006/relationships/hyperlink" Target="https://ref.ly/2Esd12:31" TargetMode="External"/><Relationship Id="rId12730" Type="http://schemas.openxmlformats.org/officeDocument/2006/relationships/hyperlink" Target="https://ref.ly/Job10:16" TargetMode="External"/><Relationship Id="rId12731" Type="http://schemas.openxmlformats.org/officeDocument/2006/relationships/hyperlink" Target="https://ref.ly/Ps10:9" TargetMode="External"/><Relationship Id="rId12732" Type="http://schemas.openxmlformats.org/officeDocument/2006/relationships/hyperlink" Target="https://ref.ly/Ezek1:10" TargetMode="External"/><Relationship Id="rId12733" Type="http://schemas.openxmlformats.org/officeDocument/2006/relationships/hyperlink" Target="https://ref.ly/Dan7:1-Dan7:4" TargetMode="External"/><Relationship Id="rId12734" Type="http://schemas.openxmlformats.org/officeDocument/2006/relationships/hyperlink" Target="https://ref.ly/Ezek47:15" TargetMode="External"/><Relationship Id="rId12735" Type="http://schemas.openxmlformats.org/officeDocument/2006/relationships/hyperlink" Target="https://ref.ly/Mark5:9" TargetMode="External"/><Relationship Id="rId12736" Type="http://schemas.openxmlformats.org/officeDocument/2006/relationships/hyperlink" Target="https://ref.ly/Luke8:30" TargetMode="External"/><Relationship Id="rId12737" Type="http://schemas.openxmlformats.org/officeDocument/2006/relationships/hyperlink" Target="https://ref.ly/Matt12:45" TargetMode="External"/><Relationship Id="rId12738" Type="http://schemas.openxmlformats.org/officeDocument/2006/relationships/hyperlink" Target="https://ref.ly/Luke8:2" TargetMode="External"/><Relationship Id="rId12739" Type="http://schemas.openxmlformats.org/officeDocument/2006/relationships/hyperlink" Target="https://ref.ly/Matt26:53" TargetMode="External"/><Relationship Id="rId12740" Type="http://schemas.openxmlformats.org/officeDocument/2006/relationships/hyperlink" Target="https://ref.ly/Gen1:27-Gen1:30" TargetMode="External"/><Relationship Id="rId12741" Type="http://schemas.openxmlformats.org/officeDocument/2006/relationships/hyperlink" Target="https://ref.ly/Gen4:1-Gen4:16" TargetMode="External"/><Relationship Id="rId12742" Type="http://schemas.openxmlformats.org/officeDocument/2006/relationships/hyperlink" Target="https://ref.ly/Gen6:1-Gen6:13" TargetMode="External"/><Relationship Id="rId12743" Type="http://schemas.openxmlformats.org/officeDocument/2006/relationships/hyperlink" Target="https://ref.ly/Gen9:18-Gen9:26" TargetMode="External"/><Relationship Id="rId12744" Type="http://schemas.openxmlformats.org/officeDocument/2006/relationships/hyperlink" Target="https://ref.ly/Gen10:6-Gen10:20" TargetMode="External"/><Relationship Id="rId12745" Type="http://schemas.openxmlformats.org/officeDocument/2006/relationships/hyperlink" Target="https://ref.ly/Gen17:4-Gen17:7" TargetMode="External"/><Relationship Id="rId12746" Type="http://schemas.openxmlformats.org/officeDocument/2006/relationships/hyperlink" Target="https://ref.ly/Gen18:19" TargetMode="External"/><Relationship Id="rId12747" Type="http://schemas.openxmlformats.org/officeDocument/2006/relationships/hyperlink" Target="https://ref.ly/Gen26:5" TargetMode="External"/><Relationship Id="rId12748" Type="http://schemas.openxmlformats.org/officeDocument/2006/relationships/hyperlink" Target="https://ref.ly/Jas2:21-Jas2:24" TargetMode="External"/><Relationship Id="rId12749" Type="http://schemas.openxmlformats.org/officeDocument/2006/relationships/hyperlink" Target="https://ref.ly/Exod32:9" TargetMode="External"/><Relationship Id="rId12750" Type="http://schemas.openxmlformats.org/officeDocument/2006/relationships/hyperlink" Target="https://ref.ly/Exod33:3" TargetMode="External"/><Relationship Id="rId12751" Type="http://schemas.openxmlformats.org/officeDocument/2006/relationships/hyperlink" Target="https://ref.ly/Deut9:6" TargetMode="External"/><Relationship Id="rId12752" Type="http://schemas.openxmlformats.org/officeDocument/2006/relationships/hyperlink" Target="https://ref.ly/Deut26:18-Deut26:19" TargetMode="External"/><Relationship Id="rId12753" Type="http://schemas.openxmlformats.org/officeDocument/2006/relationships/hyperlink" Target="https://ref.ly/Exod32:15-Exod32:16" TargetMode="External"/><Relationship Id="rId12754" Type="http://schemas.openxmlformats.org/officeDocument/2006/relationships/hyperlink" Target="https://ref.ly/Exod34:28" TargetMode="External"/><Relationship Id="rId12755" Type="http://schemas.openxmlformats.org/officeDocument/2006/relationships/hyperlink" Target="https://ref.ly/Exod20:19" TargetMode="External"/><Relationship Id="rId12756" Type="http://schemas.openxmlformats.org/officeDocument/2006/relationships/hyperlink" Target="https://ref.ly/Deut5:23-Deut5:27" TargetMode="External"/><Relationship Id="rId12757" Type="http://schemas.openxmlformats.org/officeDocument/2006/relationships/hyperlink" Target="https://ref.ly/John1:17" TargetMode="External"/><Relationship Id="rId12758" Type="http://schemas.openxmlformats.org/officeDocument/2006/relationships/hyperlink" Target="https://ref.ly/Exod34:27" TargetMode="External"/><Relationship Id="rId12759" Type="http://schemas.openxmlformats.org/officeDocument/2006/relationships/hyperlink" Target="https://ref.ly/Num30:16" TargetMode="External"/><Relationship Id="rId12760" Type="http://schemas.openxmlformats.org/officeDocument/2006/relationships/hyperlink" Target="https://ref.ly/Deut4:1" TargetMode="External"/><Relationship Id="rId12761" Type="http://schemas.openxmlformats.org/officeDocument/2006/relationships/hyperlink" Target="https://ref.ly/Num9:12" TargetMode="External"/><Relationship Id="rId12762" Type="http://schemas.openxmlformats.org/officeDocument/2006/relationships/hyperlink" Target="https://ref.ly/Deut6:2" TargetMode="External"/><Relationship Id="rId12763" Type="http://schemas.openxmlformats.org/officeDocument/2006/relationships/hyperlink" Target="https://ref.ly/Deut6:1" TargetMode="External"/><Relationship Id="rId12764" Type="http://schemas.openxmlformats.org/officeDocument/2006/relationships/hyperlink" Target="https://ref.ly/Lev3:17" TargetMode="External"/><Relationship Id="rId12765" Type="http://schemas.openxmlformats.org/officeDocument/2006/relationships/hyperlink" Target="https://ref.ly/Lev10:11" TargetMode="External"/><Relationship Id="rId12766" Type="http://schemas.openxmlformats.org/officeDocument/2006/relationships/hyperlink" Target="https://ref.ly/Ps119:4" TargetMode="External"/><Relationship Id="rId12767" Type="http://schemas.openxmlformats.org/officeDocument/2006/relationships/hyperlink" Target="https://ref.ly/Deut4:45" TargetMode="External"/><Relationship Id="rId12768" Type="http://schemas.openxmlformats.org/officeDocument/2006/relationships/hyperlink" Target="https://ref.ly/Deut6:20" TargetMode="External"/><Relationship Id="rId12769" Type="http://schemas.openxmlformats.org/officeDocument/2006/relationships/hyperlink" Target="https://ref.ly/1Kgs2:3" TargetMode="External"/><Relationship Id="rId12770" Type="http://schemas.openxmlformats.org/officeDocument/2006/relationships/hyperlink" Target="https://ref.ly/Ps119:15" TargetMode="External"/><Relationship Id="rId12771" Type="http://schemas.openxmlformats.org/officeDocument/2006/relationships/hyperlink" Target="https://ref.ly/Ps18:21" TargetMode="External"/><Relationship Id="rId12772" Type="http://schemas.openxmlformats.org/officeDocument/2006/relationships/hyperlink" Target="https://ref.ly/Ps37:34" TargetMode="External"/><Relationship Id="rId12773" Type="http://schemas.openxmlformats.org/officeDocument/2006/relationships/hyperlink" Target="https://ref.ly/Exod21:1-Exod23:9" TargetMode="External"/><Relationship Id="rId12774" Type="http://schemas.openxmlformats.org/officeDocument/2006/relationships/hyperlink" Target="https://ref.ly/Exod31:13" TargetMode="External"/><Relationship Id="rId12775" Type="http://schemas.openxmlformats.org/officeDocument/2006/relationships/hyperlink" Target="https://ref.ly/Lev20:8" TargetMode="External"/><Relationship Id="rId12776" Type="http://schemas.openxmlformats.org/officeDocument/2006/relationships/hyperlink" Target="https://ref.ly/Lev22:32" TargetMode="External"/><Relationship Id="rId12777" Type="http://schemas.openxmlformats.org/officeDocument/2006/relationships/hyperlink" Target="https://ref.ly/Rom9:4" TargetMode="External"/><Relationship Id="rId12778" Type="http://schemas.openxmlformats.org/officeDocument/2006/relationships/hyperlink" Target="https://ref.ly/Lev18:6" TargetMode="External"/><Relationship Id="rId12779" Type="http://schemas.openxmlformats.org/officeDocument/2006/relationships/hyperlink" Target="https://ref.ly/Exod29:45" TargetMode="External"/><Relationship Id="rId12780" Type="http://schemas.openxmlformats.org/officeDocument/2006/relationships/hyperlink" Target="https://ref.ly/Num5:3" TargetMode="External"/><Relationship Id="rId12781" Type="http://schemas.openxmlformats.org/officeDocument/2006/relationships/hyperlink" Target="https://ref.ly/Num35:34" TargetMode="External"/><Relationship Id="rId12782" Type="http://schemas.openxmlformats.org/officeDocument/2006/relationships/hyperlink" Target="https://ref.ly/Deut5:29" TargetMode="External"/><Relationship Id="rId12783" Type="http://schemas.openxmlformats.org/officeDocument/2006/relationships/hyperlink" Target="https://ref.ly/Deut4:5-Deut4:8" TargetMode="External"/><Relationship Id="rId12784" Type="http://schemas.openxmlformats.org/officeDocument/2006/relationships/hyperlink" Target="https://ref.ly/Exod20:1-Exod24:18" TargetMode="External"/><Relationship Id="rId12785" Type="http://schemas.openxmlformats.org/officeDocument/2006/relationships/hyperlink" Target="https://ref.ly/Exod25:1-Exod31:18" TargetMode="External"/><Relationship Id="rId12786" Type="http://schemas.openxmlformats.org/officeDocument/2006/relationships/hyperlink" Target="https://ref.ly/Num3:1-Num6:27" TargetMode="External"/><Relationship Id="rId12787" Type="http://schemas.openxmlformats.org/officeDocument/2006/relationships/hyperlink" Target="https://ref.ly/Num8:1-Num10:36" TargetMode="External"/><Relationship Id="rId12788" Type="http://schemas.openxmlformats.org/officeDocument/2006/relationships/hyperlink" Target="https://ref.ly/Num15:1-Num15:41" TargetMode="External"/><Relationship Id="rId12789" Type="http://schemas.openxmlformats.org/officeDocument/2006/relationships/hyperlink" Target="https://ref.ly/Num18:1-Num18:32" TargetMode="External"/><Relationship Id="rId12790" Type="http://schemas.openxmlformats.org/officeDocument/2006/relationships/hyperlink" Target="https://ref.ly/Num28:1-Num30:16" TargetMode="External"/><Relationship Id="rId12791" Type="http://schemas.openxmlformats.org/officeDocument/2006/relationships/hyperlink" Target="https://ref.ly/Exod34:14" TargetMode="External"/><Relationship Id="rId12792" Type="http://schemas.openxmlformats.org/officeDocument/2006/relationships/hyperlink" Target="https://ref.ly/Lev19:1-Lev19:8" TargetMode="External"/><Relationship Id="rId12793" Type="http://schemas.openxmlformats.org/officeDocument/2006/relationships/hyperlink" Target="https://ref.ly/Deut27:15-Deut27:16" TargetMode="External"/><Relationship Id="rId12794" Type="http://schemas.openxmlformats.org/officeDocument/2006/relationships/hyperlink" Target="https://ref.ly/Mark12:28-Mark12:34" TargetMode="External"/><Relationship Id="rId12795" Type="http://schemas.openxmlformats.org/officeDocument/2006/relationships/hyperlink" Target="https://ref.ly/Rom13:8-Rom13:9" TargetMode="External"/><Relationship Id="rId12796" Type="http://schemas.openxmlformats.org/officeDocument/2006/relationships/hyperlink" Target="https://ref.ly/Rom8:1-Rom8:17" TargetMode="External"/><Relationship Id="rId12797" Type="http://schemas.openxmlformats.org/officeDocument/2006/relationships/hyperlink" Target="https://ref.ly/Rom12:1-Rom15:13" TargetMode="External"/><Relationship Id="rId12798" Type="http://schemas.openxmlformats.org/officeDocument/2006/relationships/hyperlink" Target="https://ref.ly/1Cor5:1-1Cor5:8" TargetMode="External"/><Relationship Id="rId12799" Type="http://schemas.openxmlformats.org/officeDocument/2006/relationships/hyperlink" Target="https://ref.ly/Gal5:13-Gal6:10" TargetMode="External"/><Relationship Id="rId12800" Type="http://schemas.openxmlformats.org/officeDocument/2006/relationships/hyperlink" Target="https://ref.ly/Eph4:17-Eph6:9" TargetMode="External"/><Relationship Id="rId12801" Type="http://schemas.openxmlformats.org/officeDocument/2006/relationships/hyperlink" Target="https://ref.ly/Phil2:1-Phil2:18" TargetMode="External"/><Relationship Id="rId12802" Type="http://schemas.openxmlformats.org/officeDocument/2006/relationships/hyperlink" Target="https://ref.ly/1Thess4:1-1Thess4:12" TargetMode="External"/><Relationship Id="rId12803" Type="http://schemas.openxmlformats.org/officeDocument/2006/relationships/hyperlink" Target="https://ref.ly/1Thess5:12-1Thess5:24" TargetMode="External"/><Relationship Id="rId12804" Type="http://schemas.openxmlformats.org/officeDocument/2006/relationships/hyperlink" Target="https://ref.ly/2Thess3:6-2Thess3:15" TargetMode="External"/><Relationship Id="rId12805" Type="http://schemas.openxmlformats.org/officeDocument/2006/relationships/hyperlink" Target="https://ref.ly/1Tim6:3-1Tim6:10" TargetMode="External"/><Relationship Id="rId12806" Type="http://schemas.openxmlformats.org/officeDocument/2006/relationships/hyperlink" Target="https://ref.ly/Titus3:1-Titus3:11" TargetMode="External"/><Relationship Id="rId12807" Type="http://schemas.openxmlformats.org/officeDocument/2006/relationships/hyperlink" Target="https://ref.ly/Exod40:20" TargetMode="External"/><Relationship Id="rId12808" Type="http://schemas.openxmlformats.org/officeDocument/2006/relationships/hyperlink" Target="https://ref.ly/Exod21:12-Exod21:29" TargetMode="External"/><Relationship Id="rId12809" Type="http://schemas.openxmlformats.org/officeDocument/2006/relationships/hyperlink" Target="https://ref.ly/Exod21:15-Exod21:17" TargetMode="External"/><Relationship Id="rId12810" Type="http://schemas.openxmlformats.org/officeDocument/2006/relationships/hyperlink" Target="https://ref.ly/Num4:1-Num10:36" TargetMode="External"/><Relationship Id="rId12811" Type="http://schemas.openxmlformats.org/officeDocument/2006/relationships/hyperlink" Target="https://ref.ly/Lev13:46" TargetMode="External"/><Relationship Id="rId12812" Type="http://schemas.openxmlformats.org/officeDocument/2006/relationships/hyperlink" Target="https://ref.ly/Num5:1-Num5:3" TargetMode="External"/><Relationship Id="rId12813" Type="http://schemas.openxmlformats.org/officeDocument/2006/relationships/hyperlink" Target="https://ref.ly/Lev24:10-Lev24:23" TargetMode="External"/><Relationship Id="rId12814" Type="http://schemas.openxmlformats.org/officeDocument/2006/relationships/hyperlink" Target="https://ref.ly/Lev8:17" TargetMode="External"/><Relationship Id="rId12815" Type="http://schemas.openxmlformats.org/officeDocument/2006/relationships/hyperlink" Target="https://ref.ly/Lev9:11" TargetMode="External"/><Relationship Id="rId12816" Type="http://schemas.openxmlformats.org/officeDocument/2006/relationships/hyperlink" Target="https://ref.ly/Lev1:1-Lev7:38" TargetMode="External"/><Relationship Id="rId12817" Type="http://schemas.openxmlformats.org/officeDocument/2006/relationships/hyperlink" Target="https://ref.ly/Num15:1-Num15:31" TargetMode="External"/><Relationship Id="rId12818" Type="http://schemas.openxmlformats.org/officeDocument/2006/relationships/hyperlink" Target="https://ref.ly/Num28:1-Num28:31" TargetMode="External"/><Relationship Id="rId12819" Type="http://schemas.openxmlformats.org/officeDocument/2006/relationships/hyperlink" Target="https://ref.ly/Deut17:8-Deut17:13" TargetMode="External"/><Relationship Id="rId12820" Type="http://schemas.openxmlformats.org/officeDocument/2006/relationships/hyperlink" Target="https://ref.ly/Lev17:2" TargetMode="External"/><Relationship Id="rId12821" Type="http://schemas.openxmlformats.org/officeDocument/2006/relationships/hyperlink" Target="https://ref.ly/Lev18:2" TargetMode="External"/><Relationship Id="rId12822" Type="http://schemas.openxmlformats.org/officeDocument/2006/relationships/hyperlink" Target="https://ref.ly/Lev21:24" TargetMode="External"/><Relationship Id="rId12823" Type="http://schemas.openxmlformats.org/officeDocument/2006/relationships/hyperlink" Target="https://ref.ly/Lev24:2" TargetMode="External"/><Relationship Id="rId12824" Type="http://schemas.openxmlformats.org/officeDocument/2006/relationships/hyperlink" Target="https://ref.ly/Lev25:2" TargetMode="External"/><Relationship Id="rId12825" Type="http://schemas.openxmlformats.org/officeDocument/2006/relationships/hyperlink" Target="https://ref.ly/Lev26:46" TargetMode="External"/><Relationship Id="rId12826" Type="http://schemas.openxmlformats.org/officeDocument/2006/relationships/hyperlink" Target="https://ref.ly/Lev27:2" TargetMode="External"/><Relationship Id="rId12827" Type="http://schemas.openxmlformats.org/officeDocument/2006/relationships/hyperlink" Target="https://ref.ly/Lev17:1-Lev17:16" TargetMode="External"/><Relationship Id="rId12828" Type="http://schemas.openxmlformats.org/officeDocument/2006/relationships/hyperlink" Target="https://ref.ly/Lev19:1-Lev19:37" TargetMode="External"/><Relationship Id="rId12829" Type="http://schemas.openxmlformats.org/officeDocument/2006/relationships/hyperlink" Target="https://ref.ly/Lev21:1-Lev24:23" TargetMode="External"/><Relationship Id="rId12830" Type="http://schemas.openxmlformats.org/officeDocument/2006/relationships/hyperlink" Target="https://ref.ly/Lev26:1-Lev26:46" TargetMode="External"/><Relationship Id="rId12831" Type="http://schemas.openxmlformats.org/officeDocument/2006/relationships/hyperlink" Target="https://ref.ly/Deut1:5" TargetMode="External"/><Relationship Id="rId12832" Type="http://schemas.openxmlformats.org/officeDocument/2006/relationships/hyperlink" Target="https://ref.ly/Deut14:23" TargetMode="External"/><Relationship Id="rId12833" Type="http://schemas.openxmlformats.org/officeDocument/2006/relationships/hyperlink" Target="https://ref.ly/Deut15:20" TargetMode="External"/><Relationship Id="rId12834" Type="http://schemas.openxmlformats.org/officeDocument/2006/relationships/hyperlink" Target="https://ref.ly/Deut16:5-Deut16:7" TargetMode="External"/><Relationship Id="rId12835" Type="http://schemas.openxmlformats.org/officeDocument/2006/relationships/hyperlink" Target="https://ref.ly/Deut17:8" TargetMode="External"/><Relationship Id="rId12836" Type="http://schemas.openxmlformats.org/officeDocument/2006/relationships/hyperlink" Target="https://ref.ly/Deut18:6" TargetMode="External"/><Relationship Id="rId12837" Type="http://schemas.openxmlformats.org/officeDocument/2006/relationships/hyperlink" Target="https://ref.ly/Deut26:2" TargetMode="External"/><Relationship Id="rId12838" Type="http://schemas.openxmlformats.org/officeDocument/2006/relationships/hyperlink" Target="https://ref.ly/Deut31:11" TargetMode="External"/><Relationship Id="rId12839" Type="http://schemas.openxmlformats.org/officeDocument/2006/relationships/hyperlink" Target="https://ref.ly/Gal3:24" TargetMode="External"/><Relationship Id="rId12840" Type="http://schemas.openxmlformats.org/officeDocument/2006/relationships/hyperlink" Target="https://ref.ly/Luke11:42-Luke11:44" TargetMode="External"/><Relationship Id="rId12841" Type="http://schemas.openxmlformats.org/officeDocument/2006/relationships/hyperlink" Target="https://ref.ly/Matt5:13" TargetMode="External"/><Relationship Id="rId12842" Type="http://schemas.openxmlformats.org/officeDocument/2006/relationships/hyperlink" Target="https://ref.ly/Matt5:14-Matt5:16" TargetMode="External"/><Relationship Id="rId12843" Type="http://schemas.openxmlformats.org/officeDocument/2006/relationships/hyperlink" Target="https://ref.ly/Eph4:17-Eph5:20" TargetMode="External"/><Relationship Id="rId12844" Type="http://schemas.openxmlformats.org/officeDocument/2006/relationships/hyperlink" Target="https://ref.ly/John15:1-John15:17" TargetMode="External"/><Relationship Id="rId12845" Type="http://schemas.openxmlformats.org/officeDocument/2006/relationships/hyperlink" Target="https://ref.ly/Gal5:18" TargetMode="External"/><Relationship Id="rId12846" Type="http://schemas.openxmlformats.org/officeDocument/2006/relationships/hyperlink" Target="https://ref.ly/Deut18:13" TargetMode="External"/><Relationship Id="rId12847" Type="http://schemas.openxmlformats.org/officeDocument/2006/relationships/hyperlink" Target="https://ref.ly/Ps15:1-Ps15:2" TargetMode="External"/><Relationship Id="rId12848" Type="http://schemas.openxmlformats.org/officeDocument/2006/relationships/hyperlink" Target="https://ref.ly/Ps18:26" TargetMode="External"/><Relationship Id="rId12849" Type="http://schemas.openxmlformats.org/officeDocument/2006/relationships/hyperlink" Target="https://ref.ly/Ps101:2" TargetMode="External"/><Relationship Id="rId12850" Type="http://schemas.openxmlformats.org/officeDocument/2006/relationships/hyperlink" Target="https://ref.ly/Ps119:80" TargetMode="External"/><Relationship Id="rId12851" Type="http://schemas.openxmlformats.org/officeDocument/2006/relationships/hyperlink" Target="https://ref.ly/Prov11:5" TargetMode="External"/><Relationship Id="rId12852" Type="http://schemas.openxmlformats.org/officeDocument/2006/relationships/hyperlink" Target="https://ref.ly/Ps1:2" TargetMode="External"/><Relationship Id="rId12853" Type="http://schemas.openxmlformats.org/officeDocument/2006/relationships/hyperlink" Target="https://ref.ly/Ps112:1" TargetMode="External"/><Relationship Id="rId12854" Type="http://schemas.openxmlformats.org/officeDocument/2006/relationships/hyperlink" Target="https://ref.ly/Gal5:22-Gal5:24" TargetMode="External"/><Relationship Id="rId12855" Type="http://schemas.openxmlformats.org/officeDocument/2006/relationships/hyperlink" Target="https://ref.ly/Acts2:39" TargetMode="External"/><Relationship Id="rId12856" Type="http://schemas.openxmlformats.org/officeDocument/2006/relationships/hyperlink" Target="https://ref.ly/2Tim3:17" TargetMode="External"/><Relationship Id="rId12857" Type="http://schemas.openxmlformats.org/officeDocument/2006/relationships/hyperlink" Target="https://ref.ly/Lev20:26" TargetMode="External"/><Relationship Id="rId12858" Type="http://schemas.openxmlformats.org/officeDocument/2006/relationships/hyperlink" Target="https://ref.ly/Lev11:44" TargetMode="External"/><Relationship Id="rId12859" Type="http://schemas.openxmlformats.org/officeDocument/2006/relationships/hyperlink" Target="https://ref.ly/Gen1:29" TargetMode="External"/><Relationship Id="rId12860" Type="http://schemas.openxmlformats.org/officeDocument/2006/relationships/hyperlink" Target="https://ref.ly/Gen7:2" TargetMode="External"/><Relationship Id="rId12861" Type="http://schemas.openxmlformats.org/officeDocument/2006/relationships/hyperlink" Target="https://ref.ly/Gen9:4" TargetMode="External"/><Relationship Id="rId12862" Type="http://schemas.openxmlformats.org/officeDocument/2006/relationships/hyperlink" Target="https://ref.ly/Gen32:32" TargetMode="External"/><Relationship Id="rId12863" Type="http://schemas.openxmlformats.org/officeDocument/2006/relationships/hyperlink" Target="https://ref.ly/Deut14:3-Deut14:21" TargetMode="External"/><Relationship Id="rId12864" Type="http://schemas.openxmlformats.org/officeDocument/2006/relationships/hyperlink" Target="https://ref.ly/Num6:3-Num6:4" TargetMode="External"/><Relationship Id="rId12865" Type="http://schemas.openxmlformats.org/officeDocument/2006/relationships/hyperlink" Target="https://ref.ly/Judg13:14" TargetMode="External"/><Relationship Id="rId12866" Type="http://schemas.openxmlformats.org/officeDocument/2006/relationships/hyperlink" Target="https://ref.ly/Jer35:6" TargetMode="External"/><Relationship Id="rId12867" Type="http://schemas.openxmlformats.org/officeDocument/2006/relationships/hyperlink" Target="https://ref.ly/Lev11:2-Lev11:8" TargetMode="External"/><Relationship Id="rId12868" Type="http://schemas.openxmlformats.org/officeDocument/2006/relationships/hyperlink" Target="https://ref.ly/Lev11:13-Lev11:19" TargetMode="External"/><Relationship Id="rId12869" Type="http://schemas.openxmlformats.org/officeDocument/2006/relationships/hyperlink" Target="https://ref.ly/Lev11:22-Lev11:23" TargetMode="External"/><Relationship Id="rId12870" Type="http://schemas.openxmlformats.org/officeDocument/2006/relationships/hyperlink" Target="https://ref.ly/Lev17:15" TargetMode="External"/><Relationship Id="rId12871" Type="http://schemas.openxmlformats.org/officeDocument/2006/relationships/hyperlink" Target="https://ref.ly/Lev11:32-Lev11:34" TargetMode="External"/><Relationship Id="rId12872" Type="http://schemas.openxmlformats.org/officeDocument/2006/relationships/hyperlink" Target="https://ref.ly/Exod23:19" TargetMode="External"/><Relationship Id="rId12873" Type="http://schemas.openxmlformats.org/officeDocument/2006/relationships/hyperlink" Target="https://ref.ly/Exod34:26" TargetMode="External"/><Relationship Id="rId12874" Type="http://schemas.openxmlformats.org/officeDocument/2006/relationships/hyperlink" Target="https://ref.ly/Lev17:14" TargetMode="External"/><Relationship Id="rId12875" Type="http://schemas.openxmlformats.org/officeDocument/2006/relationships/hyperlink" Target="https://ref.ly/Lev3:16" TargetMode="External"/><Relationship Id="rId12876" Type="http://schemas.openxmlformats.org/officeDocument/2006/relationships/hyperlink" Target="https://ref.ly/Exod29:22" TargetMode="External"/><Relationship Id="rId12877" Type="http://schemas.openxmlformats.org/officeDocument/2006/relationships/hyperlink" Target="https://ref.ly/Lev3:9" TargetMode="External"/><Relationship Id="rId12878" Type="http://schemas.openxmlformats.org/officeDocument/2006/relationships/hyperlink" Target="https://ref.ly/Lev19:26" TargetMode="External"/><Relationship Id="rId12879" Type="http://schemas.openxmlformats.org/officeDocument/2006/relationships/hyperlink" Target="https://ref.ly/Deut12:16" TargetMode="External"/><Relationship Id="rId12880" Type="http://schemas.openxmlformats.org/officeDocument/2006/relationships/hyperlink" Target="https://ref.ly/Deut15:23" TargetMode="External"/><Relationship Id="rId12881" Type="http://schemas.openxmlformats.org/officeDocument/2006/relationships/hyperlink" Target="https://ref.ly/Deut18:9" TargetMode="External"/><Relationship Id="rId12882" Type="http://schemas.openxmlformats.org/officeDocument/2006/relationships/hyperlink" Target="https://ref.ly/Judg13:4" TargetMode="External"/><Relationship Id="rId12883" Type="http://schemas.openxmlformats.org/officeDocument/2006/relationships/hyperlink" Target="https://ref.ly/1Sam14:32-1Sam14:34" TargetMode="External"/><Relationship Id="rId12884" Type="http://schemas.openxmlformats.org/officeDocument/2006/relationships/hyperlink" Target="https://ref.ly/Ezek4:12-Ezek4:14" TargetMode="External"/><Relationship Id="rId12885" Type="http://schemas.openxmlformats.org/officeDocument/2006/relationships/hyperlink" Target="https://ref.ly/Dan1:8" TargetMode="External"/><Relationship Id="rId12886" Type="http://schemas.openxmlformats.org/officeDocument/2006/relationships/hyperlink" Target="https://ref.ly/Isa66:3,Isa66:17" TargetMode="External"/><Relationship Id="rId12887" Type="http://schemas.openxmlformats.org/officeDocument/2006/relationships/hyperlink" Target="https://ref.ly/1Macc1:54,1Macc1:62-1Macc1:63" TargetMode="External"/><Relationship Id="rId12888" Type="http://schemas.openxmlformats.org/officeDocument/2006/relationships/hyperlink" Target="https://ref.ly/2Macc6:5" TargetMode="External"/><Relationship Id="rId12889" Type="http://schemas.openxmlformats.org/officeDocument/2006/relationships/hyperlink" Target="https://ref.ly/2Macc7:1" TargetMode="External"/><Relationship Id="rId12890" Type="http://schemas.openxmlformats.org/officeDocument/2006/relationships/hyperlink" Target="https://ref.ly/Deut12:23" TargetMode="External"/><Relationship Id="rId12891" Type="http://schemas.openxmlformats.org/officeDocument/2006/relationships/hyperlink" Target="https://ref.ly/Lev17:11-Lev17:12" TargetMode="External"/><Relationship Id="rId12892" Type="http://schemas.openxmlformats.org/officeDocument/2006/relationships/hyperlink" Target="https://ref.ly/Heb10:1,Heb10:4,Heb10:12" TargetMode="External"/><Relationship Id="rId12893" Type="http://schemas.openxmlformats.org/officeDocument/2006/relationships/hyperlink" Target="https://ref.ly/Acts10:9-Acts10:16" TargetMode="External"/><Relationship Id="rId12894" Type="http://schemas.openxmlformats.org/officeDocument/2006/relationships/hyperlink" Target="https://ref.ly/Acts11:1-Acts11:10" TargetMode="External"/><Relationship Id="rId12895" Type="http://schemas.openxmlformats.org/officeDocument/2006/relationships/hyperlink" Target="https://ref.ly/Rom14:20,Rom14:23" TargetMode="External"/><Relationship Id="rId12896" Type="http://schemas.openxmlformats.org/officeDocument/2006/relationships/hyperlink" Target="https://ref.ly/Prov31:1-Prov31:9" TargetMode="External"/><Relationship Id="rId12897" Type="http://schemas.openxmlformats.org/officeDocument/2006/relationships/hyperlink" Target="https://ref.ly/Lev13:1-Lev13:59" TargetMode="External"/><Relationship Id="rId12898" Type="http://schemas.openxmlformats.org/officeDocument/2006/relationships/hyperlink" Target="https://ref.ly/Lev14:1-Lev14:57" TargetMode="External"/><Relationship Id="rId12899" Type="http://schemas.openxmlformats.org/officeDocument/2006/relationships/hyperlink" Target="https://ref.ly/Matt8:3" TargetMode="External"/><Relationship Id="rId12900" Type="http://schemas.openxmlformats.org/officeDocument/2006/relationships/hyperlink" Target="https://ref.ly/Mark1:41-Mark1:42" TargetMode="External"/><Relationship Id="rId12901" Type="http://schemas.openxmlformats.org/officeDocument/2006/relationships/hyperlink" Target="https://ref.ly/Gen29:34" TargetMode="External"/><Relationship Id="rId12902" Type="http://schemas.openxmlformats.org/officeDocument/2006/relationships/hyperlink" Target="https://ref.ly/Job3:8" TargetMode="External"/><Relationship Id="rId12903" Type="http://schemas.openxmlformats.org/officeDocument/2006/relationships/hyperlink" Target="https://ref.ly/Lev1:1" TargetMode="External"/><Relationship Id="rId12904" Type="http://schemas.openxmlformats.org/officeDocument/2006/relationships/hyperlink" Target="https://ref.ly/Exod40:17" TargetMode="External"/><Relationship Id="rId12905" Type="http://schemas.openxmlformats.org/officeDocument/2006/relationships/hyperlink" Target="https://ref.ly/Num1:1" TargetMode="External"/><Relationship Id="rId12906" Type="http://schemas.openxmlformats.org/officeDocument/2006/relationships/hyperlink" Target="https://ref.ly/Lev1:1-Lev17:16" TargetMode="External"/><Relationship Id="rId12907" Type="http://schemas.openxmlformats.org/officeDocument/2006/relationships/hyperlink" Target="https://ref.ly/Lev18:1-Lev27:21" TargetMode="External"/><Relationship Id="rId12908" Type="http://schemas.openxmlformats.org/officeDocument/2006/relationships/hyperlink" Target="https://ref.ly/Lev1:9" TargetMode="External"/><Relationship Id="rId12909" Type="http://schemas.openxmlformats.org/officeDocument/2006/relationships/hyperlink" Target="https://ref.ly/Lev19:3" TargetMode="External"/><Relationship Id="rId12910" Type="http://schemas.openxmlformats.org/officeDocument/2006/relationships/hyperlink" Target="https://ref.ly/Lev21:1-Lev24:18" TargetMode="External"/><Relationship Id="rId12911" Type="http://schemas.openxmlformats.org/officeDocument/2006/relationships/hyperlink" Target="https://ref.ly/Lev20:7" TargetMode="External"/><Relationship Id="rId12912" Type="http://schemas.openxmlformats.org/officeDocument/2006/relationships/hyperlink" Target="https://ref.ly/Lev19:14,Lev19:32" TargetMode="External"/><Relationship Id="rId12913" Type="http://schemas.openxmlformats.org/officeDocument/2006/relationships/hyperlink" Target="https://ref.ly/Lev25:17,Lev25:36,Lev25:43" TargetMode="External"/><Relationship Id="rId12914" Type="http://schemas.openxmlformats.org/officeDocument/2006/relationships/hyperlink" Target="https://ref.ly/Lev8:1-Lev9:24" TargetMode="External"/><Relationship Id="rId12915" Type="http://schemas.openxmlformats.org/officeDocument/2006/relationships/hyperlink" Target="https://ref.ly/Lev11:1-Lev15:33" TargetMode="External"/><Relationship Id="rId12916" Type="http://schemas.openxmlformats.org/officeDocument/2006/relationships/hyperlink" Target="https://ref.ly/Lev18:1-Lev25:55" TargetMode="External"/><Relationship Id="rId12917" Type="http://schemas.openxmlformats.org/officeDocument/2006/relationships/hyperlink" Target="https://ref.ly/Lev1:1-Lev6:30" TargetMode="External"/><Relationship Id="rId12918" Type="http://schemas.openxmlformats.org/officeDocument/2006/relationships/hyperlink" Target="https://ref.ly/Lev7:1-Lev17:16" TargetMode="External"/><Relationship Id="rId12919" Type="http://schemas.openxmlformats.org/officeDocument/2006/relationships/hyperlink" Target="https://ref.ly/Lev1:1-Lev1:17" TargetMode="External"/><Relationship Id="rId12920" Type="http://schemas.openxmlformats.org/officeDocument/2006/relationships/hyperlink" Target="https://ref.ly/Lev1:4" TargetMode="External"/><Relationship Id="rId12921" Type="http://schemas.openxmlformats.org/officeDocument/2006/relationships/hyperlink" Target="https://ref.ly/Lev3:1-Lev3:17" TargetMode="External"/><Relationship Id="rId12922" Type="http://schemas.openxmlformats.org/officeDocument/2006/relationships/hyperlink" Target="https://ref.ly/Lev7:11-Lev7:18" TargetMode="External"/><Relationship Id="rId12923" Type="http://schemas.openxmlformats.org/officeDocument/2006/relationships/hyperlink" Target="https://ref.ly/Lev4:1-Lev4:35" TargetMode="External"/><Relationship Id="rId12924" Type="http://schemas.openxmlformats.org/officeDocument/2006/relationships/hyperlink" Target="https://ref.ly/Lev4:30" TargetMode="External"/><Relationship Id="rId12925" Type="http://schemas.openxmlformats.org/officeDocument/2006/relationships/hyperlink" Target="https://ref.ly/Lev4:18" TargetMode="External"/><Relationship Id="rId12926" Type="http://schemas.openxmlformats.org/officeDocument/2006/relationships/hyperlink" Target="https://ref.ly/Lev16:14" TargetMode="External"/><Relationship Id="rId12927" Type="http://schemas.openxmlformats.org/officeDocument/2006/relationships/hyperlink" Target="https://ref.ly/Lev5:14-Lev6:7" TargetMode="External"/><Relationship Id="rId12928" Type="http://schemas.openxmlformats.org/officeDocument/2006/relationships/hyperlink" Target="https://ref.ly/Lev6:8-Lev7:38" TargetMode="External"/><Relationship Id="rId12929" Type="http://schemas.openxmlformats.org/officeDocument/2006/relationships/hyperlink" Target="https://ref.ly/Lev7:21-Lev7:27" TargetMode="External"/><Relationship Id="rId12930" Type="http://schemas.openxmlformats.org/officeDocument/2006/relationships/hyperlink" Target="https://ref.ly/Lev8:1-Lev10:20" TargetMode="External"/><Relationship Id="rId12931" Type="http://schemas.openxmlformats.org/officeDocument/2006/relationships/hyperlink" Target="https://ref.ly/Lev9:1-Lev9:24" TargetMode="External"/><Relationship Id="rId12932" Type="http://schemas.openxmlformats.org/officeDocument/2006/relationships/hyperlink" Target="https://ref.ly/Lev10:3" TargetMode="External"/><Relationship Id="rId12933" Type="http://schemas.openxmlformats.org/officeDocument/2006/relationships/hyperlink" Target="https://ref.ly/Lev10:6-Lev10:7" TargetMode="External"/><Relationship Id="rId12934" Type="http://schemas.openxmlformats.org/officeDocument/2006/relationships/hyperlink" Target="https://ref.ly/Lev10:10-Lev10:11" TargetMode="External"/><Relationship Id="rId12935" Type="http://schemas.openxmlformats.org/officeDocument/2006/relationships/hyperlink" Target="https://ref.ly/Lev11:1-Lev16:36" TargetMode="External"/><Relationship Id="rId12936" Type="http://schemas.openxmlformats.org/officeDocument/2006/relationships/hyperlink" Target="https://ref.ly/Lev11:1-Lev15:27" TargetMode="External"/><Relationship Id="rId12937" Type="http://schemas.openxmlformats.org/officeDocument/2006/relationships/hyperlink" Target="https://ref.ly/Lev16:16,Lev16:19" TargetMode="External"/><Relationship Id="rId12938" Type="http://schemas.openxmlformats.org/officeDocument/2006/relationships/hyperlink" Target="https://ref.ly/Lev11:39-Lev11:40" TargetMode="External"/><Relationship Id="rId12939" Type="http://schemas.openxmlformats.org/officeDocument/2006/relationships/hyperlink" Target="https://ref.ly/Lev13:1-Lev14:57" TargetMode="External"/><Relationship Id="rId12940" Type="http://schemas.openxmlformats.org/officeDocument/2006/relationships/hyperlink" Target="https://ref.ly/Lev16:2-Lev16:4,Lev16:11-Lev16:17" TargetMode="External"/><Relationship Id="rId12941" Type="http://schemas.openxmlformats.org/officeDocument/2006/relationships/hyperlink" Target="https://ref.ly/Lev17:1-Lev25:55" TargetMode="External"/><Relationship Id="rId12942" Type="http://schemas.openxmlformats.org/officeDocument/2006/relationships/hyperlink" Target="https://ref.ly/Lev19:13" TargetMode="External"/><Relationship Id="rId12943" Type="http://schemas.openxmlformats.org/officeDocument/2006/relationships/hyperlink" Target="https://ref.ly/Lev19:16" TargetMode="External"/><Relationship Id="rId12944" Type="http://schemas.openxmlformats.org/officeDocument/2006/relationships/hyperlink" Target="https://ref.ly/Lev19:32-Lev19:36" TargetMode="External"/><Relationship Id="rId12945" Type="http://schemas.openxmlformats.org/officeDocument/2006/relationships/hyperlink" Target="https://ref.ly/Lev22:1-Lev22:33" TargetMode="External"/><Relationship Id="rId12946" Type="http://schemas.openxmlformats.org/officeDocument/2006/relationships/hyperlink" Target="https://ref.ly/Lev23:1-Lev23:44" TargetMode="External"/><Relationship Id="rId12947" Type="http://schemas.openxmlformats.org/officeDocument/2006/relationships/hyperlink" Target="https://ref.ly/Lev24:1-Lev24:23" TargetMode="External"/><Relationship Id="rId12948" Type="http://schemas.openxmlformats.org/officeDocument/2006/relationships/hyperlink" Target="https://ref.ly/Lev26:1-Lev27:34" TargetMode="External"/><Relationship Id="rId12949" Type="http://schemas.openxmlformats.org/officeDocument/2006/relationships/hyperlink" Target="https://ref.ly/Lev27:1-Lev27:34" TargetMode="External"/><Relationship Id="rId12950" Type="http://schemas.openxmlformats.org/officeDocument/2006/relationships/hyperlink" Target="https://ref.ly/Gen27:5-Gen27:40" TargetMode="External"/><Relationship Id="rId12951" Type="http://schemas.openxmlformats.org/officeDocument/2006/relationships/hyperlink" Target="https://ref.ly/Gen27:46-Gen28:2" TargetMode="External"/><Relationship Id="rId12952" Type="http://schemas.openxmlformats.org/officeDocument/2006/relationships/hyperlink" Target="https://ref.ly/Gen28:2" TargetMode="External"/><Relationship Id="rId12953" Type="http://schemas.openxmlformats.org/officeDocument/2006/relationships/hyperlink" Target="https://ref.ly/Gen29:17-Gen29:18" TargetMode="External"/><Relationship Id="rId12954" Type="http://schemas.openxmlformats.org/officeDocument/2006/relationships/hyperlink" Target="https://ref.ly/Gen29:21-Gen29:25" TargetMode="External"/><Relationship Id="rId12955" Type="http://schemas.openxmlformats.org/officeDocument/2006/relationships/hyperlink" Target="https://ref.ly/Gen29:20" TargetMode="External"/><Relationship Id="rId12956" Type="http://schemas.openxmlformats.org/officeDocument/2006/relationships/hyperlink" Target="https://ref.ly/Gen29:31-Gen30:22" TargetMode="External"/><Relationship Id="rId12957" Type="http://schemas.openxmlformats.org/officeDocument/2006/relationships/hyperlink" Target="https://ref.ly/Gen30:14-Gen30:17" TargetMode="External"/><Relationship Id="rId12958" Type="http://schemas.openxmlformats.org/officeDocument/2006/relationships/hyperlink" Target="https://ref.ly/2Sam7:16" TargetMode="External"/><Relationship Id="rId12959" Type="http://schemas.openxmlformats.org/officeDocument/2006/relationships/hyperlink" Target="https://ref.ly/Jer18:14" TargetMode="External"/><Relationship Id="rId12960" Type="http://schemas.openxmlformats.org/officeDocument/2006/relationships/hyperlink" Target="https://ref.ly/Exod26:1-Exod26:37" TargetMode="External"/><Relationship Id="rId12961" Type="http://schemas.openxmlformats.org/officeDocument/2006/relationships/hyperlink" Target="https://ref.ly/Exod28:4-Exod28:6" TargetMode="External"/><Relationship Id="rId12962" Type="http://schemas.openxmlformats.org/officeDocument/2006/relationships/hyperlink" Target="https://ref.ly/Exod39:1" TargetMode="External"/><Relationship Id="rId12963" Type="http://schemas.openxmlformats.org/officeDocument/2006/relationships/hyperlink" Target="https://ref.ly/1Kgs5:6" TargetMode="External"/><Relationship Id="rId12964" Type="http://schemas.openxmlformats.org/officeDocument/2006/relationships/hyperlink" Target="https://ref.ly/1Kgs10:17" TargetMode="External"/><Relationship Id="rId12965" Type="http://schemas.openxmlformats.org/officeDocument/2006/relationships/hyperlink" Target="https://ref.ly/Isa14:8" TargetMode="External"/><Relationship Id="rId12966" Type="http://schemas.openxmlformats.org/officeDocument/2006/relationships/hyperlink" Target="https://ref.ly/Matt15:21" TargetMode="External"/><Relationship Id="rId12967" Type="http://schemas.openxmlformats.org/officeDocument/2006/relationships/hyperlink" Target="https://ref.ly/Mark3:8" TargetMode="External"/><Relationship Id="rId12968" Type="http://schemas.openxmlformats.org/officeDocument/2006/relationships/hyperlink" Target="https://ref.ly/Mark7:24" TargetMode="External"/><Relationship Id="rId12969" Type="http://schemas.openxmlformats.org/officeDocument/2006/relationships/hyperlink" Target="https://ref.ly/Luke6:17" TargetMode="External"/><Relationship Id="rId12970" Type="http://schemas.openxmlformats.org/officeDocument/2006/relationships/hyperlink" Target="https://ref.ly/Luke10:13-Luke10:14" TargetMode="External"/><Relationship Id="rId12971" Type="http://schemas.openxmlformats.org/officeDocument/2006/relationships/hyperlink" Target="https://ref.ly/Judg9:15" TargetMode="External"/><Relationship Id="rId12972" Type="http://schemas.openxmlformats.org/officeDocument/2006/relationships/hyperlink" Target="https://ref.ly/2Kgs14:9" TargetMode="External"/><Relationship Id="rId12973" Type="http://schemas.openxmlformats.org/officeDocument/2006/relationships/hyperlink" Target="https://ref.ly/Isa35:2" TargetMode="External"/><Relationship Id="rId12974" Type="http://schemas.openxmlformats.org/officeDocument/2006/relationships/hyperlink" Target="https://ref.ly/Ps29:5" TargetMode="External"/><Relationship Id="rId12975" Type="http://schemas.openxmlformats.org/officeDocument/2006/relationships/hyperlink" Target="https://ref.ly/Isa2:13" TargetMode="External"/><Relationship Id="rId12976" Type="http://schemas.openxmlformats.org/officeDocument/2006/relationships/hyperlink" Target="https://ref.ly/Isa10:34" TargetMode="External"/><Relationship Id="rId12977" Type="http://schemas.openxmlformats.org/officeDocument/2006/relationships/hyperlink" Target="https://ref.ly/Ezek31:3" TargetMode="External"/><Relationship Id="rId12978" Type="http://schemas.openxmlformats.org/officeDocument/2006/relationships/hyperlink" Target="https://ref.ly/Jer34:1-Jer34:22" TargetMode="External"/><Relationship Id="rId12979" Type="http://schemas.openxmlformats.org/officeDocument/2006/relationships/hyperlink" Target="https://ref.ly/Lev25:8-Lev25:24" TargetMode="External"/><Relationship Id="rId12980" Type="http://schemas.openxmlformats.org/officeDocument/2006/relationships/hyperlink" Target="https://ref.ly/Ezek46:17" TargetMode="External"/><Relationship Id="rId12981" Type="http://schemas.openxmlformats.org/officeDocument/2006/relationships/hyperlink" Target="https://ref.ly/Job3:19" TargetMode="External"/><Relationship Id="rId12982" Type="http://schemas.openxmlformats.org/officeDocument/2006/relationships/hyperlink" Target="https://ref.ly/Job39:5" TargetMode="External"/><Relationship Id="rId12983" Type="http://schemas.openxmlformats.org/officeDocument/2006/relationships/hyperlink" Target="https://ref.ly/Acts3:13" TargetMode="External"/><Relationship Id="rId12984" Type="http://schemas.openxmlformats.org/officeDocument/2006/relationships/hyperlink" Target="https://ref.ly/Acts16:35" TargetMode="External"/><Relationship Id="rId12985" Type="http://schemas.openxmlformats.org/officeDocument/2006/relationships/hyperlink" Target="https://ref.ly/Phlm1:1-Phlm1:25" TargetMode="External"/><Relationship Id="rId12986" Type="http://schemas.openxmlformats.org/officeDocument/2006/relationships/hyperlink" Target="https://ref.ly/John8:36" TargetMode="External"/><Relationship Id="rId12987" Type="http://schemas.openxmlformats.org/officeDocument/2006/relationships/hyperlink" Target="https://ref.ly/Rom7:24-Rom7:25" TargetMode="External"/><Relationship Id="rId12988" Type="http://schemas.openxmlformats.org/officeDocument/2006/relationships/hyperlink" Target="https://ref.ly/John8:32" TargetMode="External"/><Relationship Id="rId12989" Type="http://schemas.openxmlformats.org/officeDocument/2006/relationships/hyperlink" Target="https://ref.ly/Rom7:21-Rom7:23" TargetMode="External"/><Relationship Id="rId12990" Type="http://schemas.openxmlformats.org/officeDocument/2006/relationships/hyperlink" Target="https://ref.ly/Gal3:1-Gal3:29" TargetMode="External"/><Relationship Id="rId12991" Type="http://schemas.openxmlformats.org/officeDocument/2006/relationships/hyperlink" Target="https://ref.ly/Gal2:4" TargetMode="External"/><Relationship Id="rId12992" Type="http://schemas.openxmlformats.org/officeDocument/2006/relationships/hyperlink" Target="https://ref.ly/1Pet2:16" TargetMode="External"/><Relationship Id="rId12993" Type="http://schemas.openxmlformats.org/officeDocument/2006/relationships/hyperlink" Target="https://ref.ly/Judg3:8-Judg3:10" TargetMode="External"/><Relationship Id="rId12994" Type="http://schemas.openxmlformats.org/officeDocument/2006/relationships/hyperlink" Target="https://ref.ly/Judg3:15,Judg3:30" TargetMode="External"/><Relationship Id="rId12995" Type="http://schemas.openxmlformats.org/officeDocument/2006/relationships/hyperlink" Target="https://ref.ly/2Sam22:2" TargetMode="External"/><Relationship Id="rId12996" Type="http://schemas.openxmlformats.org/officeDocument/2006/relationships/hyperlink" Target="https://ref.ly/Ps40:17" TargetMode="External"/><Relationship Id="rId12997" Type="http://schemas.openxmlformats.org/officeDocument/2006/relationships/hyperlink" Target="https://ref.ly/Ps70:5" TargetMode="External"/><Relationship Id="rId12998" Type="http://schemas.openxmlformats.org/officeDocument/2006/relationships/hyperlink" Target="https://ref.ly/Ps144:2" TargetMode="External"/><Relationship Id="rId12999" Type="http://schemas.openxmlformats.org/officeDocument/2006/relationships/hyperlink" Target="https://ref.ly/Exod3:7-Exod3:8" TargetMode="External"/><Relationship Id="rId13000" Type="http://schemas.openxmlformats.org/officeDocument/2006/relationships/hyperlink" Target="https://ref.ly/Acts7:35" TargetMode="External"/><Relationship Id="rId13001" Type="http://schemas.openxmlformats.org/officeDocument/2006/relationships/hyperlink" Target="https://ref.ly/Rom11:26" TargetMode="External"/><Relationship Id="rId13002" Type="http://schemas.openxmlformats.org/officeDocument/2006/relationships/hyperlink" Target="https://ref.ly/Isa59:20" TargetMode="External"/><Relationship Id="rId13003" Type="http://schemas.openxmlformats.org/officeDocument/2006/relationships/hyperlink" Target="https://ref.ly/Ezek30:5" TargetMode="External"/><Relationship Id="rId13004" Type="http://schemas.openxmlformats.org/officeDocument/2006/relationships/hyperlink" Target="https://ref.ly/Josh10:29-Josh10:31" TargetMode="External"/><Relationship Id="rId13005" Type="http://schemas.openxmlformats.org/officeDocument/2006/relationships/hyperlink" Target="https://ref.ly/1Chr6:57" TargetMode="External"/><Relationship Id="rId13006" Type="http://schemas.openxmlformats.org/officeDocument/2006/relationships/hyperlink" Target="https://ref.ly/2Kgs8:22" TargetMode="External"/><Relationship Id="rId13007" Type="http://schemas.openxmlformats.org/officeDocument/2006/relationships/hyperlink" Target="https://ref.ly/2Chr21:10" TargetMode="External"/><Relationship Id="rId13008" Type="http://schemas.openxmlformats.org/officeDocument/2006/relationships/hyperlink" Target="https://ref.ly/2Kgs19:8" TargetMode="External"/><Relationship Id="rId13009" Type="http://schemas.openxmlformats.org/officeDocument/2006/relationships/hyperlink" Target="https://ref.ly/Isa37:8" TargetMode="External"/><Relationship Id="rId13010" Type="http://schemas.openxmlformats.org/officeDocument/2006/relationships/hyperlink" Target="https://ref.ly/2Kgs19:7-2Kgs19:8" TargetMode="External"/><Relationship Id="rId13011" Type="http://schemas.openxmlformats.org/officeDocument/2006/relationships/hyperlink" Target="https://ref.ly/Jer52:1" TargetMode="External"/><Relationship Id="rId13012" Type="http://schemas.openxmlformats.org/officeDocument/2006/relationships/hyperlink" Target="https://ref.ly/Exod6:17" TargetMode="External"/><Relationship Id="rId13013" Type="http://schemas.openxmlformats.org/officeDocument/2006/relationships/hyperlink" Target="https://ref.ly/Num3:18" TargetMode="External"/><Relationship Id="rId13014" Type="http://schemas.openxmlformats.org/officeDocument/2006/relationships/hyperlink" Target="https://ref.ly/1Chr6:17,1Chr6:20" TargetMode="External"/><Relationship Id="rId13015" Type="http://schemas.openxmlformats.org/officeDocument/2006/relationships/hyperlink" Target="https://ref.ly/Num3:21" TargetMode="External"/><Relationship Id="rId13016" Type="http://schemas.openxmlformats.org/officeDocument/2006/relationships/hyperlink" Target="https://ref.ly/1Chr23:7-1Chr23:9" TargetMode="External"/><Relationship Id="rId13017" Type="http://schemas.openxmlformats.org/officeDocument/2006/relationships/hyperlink" Target="https://ref.ly/1Chr26:21" TargetMode="External"/><Relationship Id="rId13018" Type="http://schemas.openxmlformats.org/officeDocument/2006/relationships/hyperlink" Target="https://ref.ly/1Chr6:29" TargetMode="External"/><Relationship Id="rId13019" Type="http://schemas.openxmlformats.org/officeDocument/2006/relationships/hyperlink" Target="https://ref.ly/Acts27:5-Acts27:7" TargetMode="External"/><Relationship Id="rId13020" Type="http://schemas.openxmlformats.org/officeDocument/2006/relationships/hyperlink" Target="https://ref.ly/Acts14:11" TargetMode="External"/><Relationship Id="rId13021" Type="http://schemas.openxmlformats.org/officeDocument/2006/relationships/hyperlink" Target="https://ref.ly/Acts14:21-Acts14:22" TargetMode="External"/><Relationship Id="rId13022" Type="http://schemas.openxmlformats.org/officeDocument/2006/relationships/hyperlink" Target="https://ref.ly/Acts14:11-Acts14:18" TargetMode="External"/><Relationship Id="rId13023" Type="http://schemas.openxmlformats.org/officeDocument/2006/relationships/hyperlink" Target="https://ref.ly/Acts16:1-Acts16:5" TargetMode="External"/><Relationship Id="rId13024" Type="http://schemas.openxmlformats.org/officeDocument/2006/relationships/hyperlink" Target="https://ref.ly/Acts9:32-Acts9:38" TargetMode="External"/><Relationship Id="rId13025" Type="http://schemas.openxmlformats.org/officeDocument/2006/relationships/hyperlink" Target="https://ref.ly/Acts16:14,Acts16:40" TargetMode="External"/><Relationship Id="rId13026" Type="http://schemas.openxmlformats.org/officeDocument/2006/relationships/hyperlink" Target="https://ref.ly/Exod28:19" TargetMode="External"/><Relationship Id="rId13027" Type="http://schemas.openxmlformats.org/officeDocument/2006/relationships/hyperlink" Target="https://ref.ly/Exod39:12" TargetMode="External"/><Relationship Id="rId13028" Type="http://schemas.openxmlformats.org/officeDocument/2006/relationships/hyperlink" Target="https://ref.ly/Judg12:4-Judg12:6" TargetMode="External"/><Relationship Id="rId13029" Type="http://schemas.openxmlformats.org/officeDocument/2006/relationships/hyperlink" Target="https://ref.ly/Ps12:2" TargetMode="External"/><Relationship Id="rId13030" Type="http://schemas.openxmlformats.org/officeDocument/2006/relationships/hyperlink" Target="https://ref.ly/2Kgs11:1" TargetMode="External"/><Relationship Id="rId13031" Type="http://schemas.openxmlformats.org/officeDocument/2006/relationships/hyperlink" Target="https://ref.ly/Eccl7:24" TargetMode="External"/><Relationship Id="rId13032" Type="http://schemas.openxmlformats.org/officeDocument/2006/relationships/hyperlink" Target="https://ref.ly/Isa5:13" TargetMode="External"/><Relationship Id="rId13033" Type="http://schemas.openxmlformats.org/officeDocument/2006/relationships/hyperlink" Target="https://ref.ly/Gen1:2-Gen3:1" TargetMode="External"/><Relationship Id="rId13034" Type="http://schemas.openxmlformats.org/officeDocument/2006/relationships/hyperlink" Target="https://ref.ly/Gen1:3" TargetMode="External"/><Relationship Id="rId13035" Type="http://schemas.openxmlformats.org/officeDocument/2006/relationships/hyperlink" Target="https://ref.ly/Gen2:6" TargetMode="External"/><Relationship Id="rId13036" Type="http://schemas.openxmlformats.org/officeDocument/2006/relationships/hyperlink" Target="https://ref.ly/Ps17:8" TargetMode="External"/><Relationship Id="rId13037" Type="http://schemas.openxmlformats.org/officeDocument/2006/relationships/hyperlink" Target="https://ref.ly/Prov7:2" TargetMode="External"/><Relationship Id="rId13038" Type="http://schemas.openxmlformats.org/officeDocument/2006/relationships/hyperlink" Target="https://ref.ly/Zech2:8" TargetMode="External"/><Relationship Id="rId13039" Type="http://schemas.openxmlformats.org/officeDocument/2006/relationships/hyperlink" Target="https://ref.ly/Job19:20" TargetMode="External"/><Relationship Id="rId13040" Type="http://schemas.openxmlformats.org/officeDocument/2006/relationships/hyperlink" Target="https://ref.ly/Acts2:3" TargetMode="External"/><Relationship Id="rId13041" Type="http://schemas.openxmlformats.org/officeDocument/2006/relationships/hyperlink" Target="https://ref.ly/Acts10:46" TargetMode="External"/><Relationship Id="rId13042" Type="http://schemas.openxmlformats.org/officeDocument/2006/relationships/hyperlink" Target="https://ref.ly/Acts8:15-Acts8:17" TargetMode="External"/><Relationship Id="rId13043" Type="http://schemas.openxmlformats.org/officeDocument/2006/relationships/hyperlink" Target="https://ref.ly/1Cor12:10" TargetMode="External"/><Relationship Id="rId13044" Type="http://schemas.openxmlformats.org/officeDocument/2006/relationships/hyperlink" Target="https://ref.ly/1Cor14:13" TargetMode="External"/><Relationship Id="rId13045" Type="http://schemas.openxmlformats.org/officeDocument/2006/relationships/hyperlink" Target="https://ref.ly/1Cor12:31" TargetMode="External"/><Relationship Id="rId13046" Type="http://schemas.openxmlformats.org/officeDocument/2006/relationships/hyperlink" Target="https://ref.ly/1Cor14:1,1Cor14:5" TargetMode="External"/><Relationship Id="rId13047" Type="http://schemas.openxmlformats.org/officeDocument/2006/relationships/hyperlink" Target="https://ref.ly/1Macc3:31-1Macc3:37" TargetMode="External"/><Relationship Id="rId13048" Type="http://schemas.openxmlformats.org/officeDocument/2006/relationships/hyperlink" Target="https://ref.ly/Acts14:8" TargetMode="External"/><Relationship Id="rId13049" Type="http://schemas.openxmlformats.org/officeDocument/2006/relationships/hyperlink" Target="https://ref.ly/Acts14:9-Acts14:21" TargetMode="External"/><Relationship Id="rId13050" Type="http://schemas.openxmlformats.org/officeDocument/2006/relationships/hyperlink" Target="https://ref.ly/Acts14:13" TargetMode="External"/><Relationship Id="rId13051" Type="http://schemas.openxmlformats.org/officeDocument/2006/relationships/hyperlink" Target="https://ref.ly/Ps1:1-Ps1:6" TargetMode="External"/><Relationship Id="rId13052" Type="http://schemas.openxmlformats.org/officeDocument/2006/relationships/hyperlink" Target="https://ref.ly/Prov3:15-Prov3:17" TargetMode="External"/><Relationship Id="rId13053" Type="http://schemas.openxmlformats.org/officeDocument/2006/relationships/hyperlink" Target="https://ref.ly/Job21:7-Job21:15" TargetMode="External"/><Relationship Id="rId13054" Type="http://schemas.openxmlformats.org/officeDocument/2006/relationships/hyperlink" Target="https://ref.ly/Job38:1-Job42:17" TargetMode="External"/><Relationship Id="rId13055" Type="http://schemas.openxmlformats.org/officeDocument/2006/relationships/hyperlink" Target="https://ref.ly/Eccl12:13-Eccl12:14" TargetMode="External"/><Relationship Id="rId13056" Type="http://schemas.openxmlformats.org/officeDocument/2006/relationships/hyperlink" Target="https://ref.ly/2Kgs22:8" TargetMode="External"/><Relationship Id="rId13057" Type="http://schemas.openxmlformats.org/officeDocument/2006/relationships/hyperlink" Target="https://ref.ly/2Kgs22:8-2Kgs22:13" TargetMode="External"/><Relationship Id="rId13058" Type="http://schemas.openxmlformats.org/officeDocument/2006/relationships/hyperlink" Target="https://ref.ly/Num21:14" TargetMode="External"/><Relationship Id="rId13059" Type="http://schemas.openxmlformats.org/officeDocument/2006/relationships/hyperlink" Target="https://ref.ly/Josh10:13" TargetMode="External"/><Relationship Id="rId13060" Type="http://schemas.openxmlformats.org/officeDocument/2006/relationships/hyperlink" Target="https://ref.ly/1Kgs11:41" TargetMode="External"/><Relationship Id="rId13061" Type="http://schemas.openxmlformats.org/officeDocument/2006/relationships/hyperlink" Target="https://ref.ly/1Kgs14:29" TargetMode="External"/><Relationship Id="rId13062" Type="http://schemas.openxmlformats.org/officeDocument/2006/relationships/hyperlink" Target="https://ref.ly/2Kgs23:2,2Kgs23:21" TargetMode="External"/><Relationship Id="rId13063" Type="http://schemas.openxmlformats.org/officeDocument/2006/relationships/hyperlink" Target="https://ref.ly/2Chr34:30" TargetMode="External"/><Relationship Id="rId13064" Type="http://schemas.openxmlformats.org/officeDocument/2006/relationships/hyperlink" Target="https://ref.ly/Exod20:1-Exod23:32" TargetMode="External"/><Relationship Id="rId13065" Type="http://schemas.openxmlformats.org/officeDocument/2006/relationships/hyperlink" Target="https://ref.ly/Exod19:25" TargetMode="External"/><Relationship Id="rId13066" Type="http://schemas.openxmlformats.org/officeDocument/2006/relationships/hyperlink" Target="https://ref.ly/2Chr34:30-2Chr34:33" TargetMode="External"/><Relationship Id="rId13067" Type="http://schemas.openxmlformats.org/officeDocument/2006/relationships/hyperlink" Target="https://ref.ly/2Kgs23:21" TargetMode="External"/><Relationship Id="rId13068" Type="http://schemas.openxmlformats.org/officeDocument/2006/relationships/hyperlink" Target="https://ref.ly/2Kgs22:16-2Kgs22:19" TargetMode="External"/><Relationship Id="rId13069" Type="http://schemas.openxmlformats.org/officeDocument/2006/relationships/hyperlink" Target="https://ref.ly/Exod23:15" TargetMode="External"/><Relationship Id="rId13070" Type="http://schemas.openxmlformats.org/officeDocument/2006/relationships/hyperlink" Target="https://ref.ly/Rev13:8" TargetMode="External"/><Relationship Id="rId13071" Type="http://schemas.openxmlformats.org/officeDocument/2006/relationships/hyperlink" Target="https://ref.ly/Rev20:12,Rev20:15" TargetMode="External"/><Relationship Id="rId13072" Type="http://schemas.openxmlformats.org/officeDocument/2006/relationships/hyperlink" Target="https://ref.ly/Exod32:32" TargetMode="External"/><Relationship Id="rId13073" Type="http://schemas.openxmlformats.org/officeDocument/2006/relationships/hyperlink" Target="https://ref.ly/Ps87:6" TargetMode="External"/><Relationship Id="rId13074" Type="http://schemas.openxmlformats.org/officeDocument/2006/relationships/hyperlink" Target="https://ref.ly/Mal3:16" TargetMode="External"/><Relationship Id="rId13075" Type="http://schemas.openxmlformats.org/officeDocument/2006/relationships/hyperlink" Target="https://ref.ly/Ps69:28" TargetMode="External"/><Relationship Id="rId13076" Type="http://schemas.openxmlformats.org/officeDocument/2006/relationships/hyperlink" Target="https://ref.ly/Heb12:23" TargetMode="External"/><Relationship Id="rId13077" Type="http://schemas.openxmlformats.org/officeDocument/2006/relationships/hyperlink" Target="https://ref.ly/Rev20:15" TargetMode="External"/><Relationship Id="rId13078" Type="http://schemas.openxmlformats.org/officeDocument/2006/relationships/hyperlink" Target="https://ref.ly/Ps68:1-Ps68:35" TargetMode="External"/><Relationship Id="rId13079" Type="http://schemas.openxmlformats.org/officeDocument/2006/relationships/hyperlink" Target="https://ref.ly/Jer16:14-Jer16:15" TargetMode="External"/><Relationship Id="rId13080" Type="http://schemas.openxmlformats.org/officeDocument/2006/relationships/hyperlink" Target="https://ref.ly/Exod17:14" TargetMode="External"/><Relationship Id="rId13081" Type="http://schemas.openxmlformats.org/officeDocument/2006/relationships/hyperlink" Target="https://ref.ly/Exod24:2" TargetMode="External"/><Relationship Id="rId13082" Type="http://schemas.openxmlformats.org/officeDocument/2006/relationships/hyperlink" Target="https://ref.ly/Exod34:27-Exod34:28" TargetMode="External"/><Relationship Id="rId13083" Type="http://schemas.openxmlformats.org/officeDocument/2006/relationships/hyperlink" Target="https://ref.ly/Deut31:9" TargetMode="External"/><Relationship Id="rId13084" Type="http://schemas.openxmlformats.org/officeDocument/2006/relationships/hyperlink" Target="https://ref.ly/Mal4:4" TargetMode="External"/><Relationship Id="rId13085" Type="http://schemas.openxmlformats.org/officeDocument/2006/relationships/hyperlink" Target="https://ref.ly/Mark7:10" TargetMode="External"/><Relationship Id="rId13086" Type="http://schemas.openxmlformats.org/officeDocument/2006/relationships/hyperlink" Target="https://ref.ly/John7:19" TargetMode="External"/><Relationship Id="rId13087" Type="http://schemas.openxmlformats.org/officeDocument/2006/relationships/hyperlink" Target="https://ref.ly/Acts7:22" TargetMode="External"/><Relationship Id="rId13088" Type="http://schemas.openxmlformats.org/officeDocument/2006/relationships/hyperlink" Target="https://ref.ly/Gen15:12-Gen15:16" TargetMode="External"/><Relationship Id="rId13089" Type="http://schemas.openxmlformats.org/officeDocument/2006/relationships/hyperlink" Target="https://ref.ly/Gen15:13-Gen15:16" TargetMode="External"/><Relationship Id="rId13090" Type="http://schemas.openxmlformats.org/officeDocument/2006/relationships/hyperlink" Target="https://ref.ly/Heb11:22" TargetMode="External"/><Relationship Id="rId13091" Type="http://schemas.openxmlformats.org/officeDocument/2006/relationships/hyperlink" Target="https://ref.ly/Exod2:24" TargetMode="External"/><Relationship Id="rId13092" Type="http://schemas.openxmlformats.org/officeDocument/2006/relationships/hyperlink" Target="https://ref.ly/Exod6:5" TargetMode="External"/><Relationship Id="rId13093" Type="http://schemas.openxmlformats.org/officeDocument/2006/relationships/hyperlink" Target="https://ref.ly/Exod14:30" TargetMode="External"/><Relationship Id="rId13094" Type="http://schemas.openxmlformats.org/officeDocument/2006/relationships/hyperlink" Target="https://ref.ly/Exod15:2" TargetMode="External"/><Relationship Id="rId13095" Type="http://schemas.openxmlformats.org/officeDocument/2006/relationships/hyperlink" Target="https://ref.ly/Exod3:10-Exod3:12" TargetMode="External"/><Relationship Id="rId13096" Type="http://schemas.openxmlformats.org/officeDocument/2006/relationships/hyperlink" Target="https://ref.ly/Exod6:1-Exod6:8" TargetMode="External"/><Relationship Id="rId13097" Type="http://schemas.openxmlformats.org/officeDocument/2006/relationships/hyperlink" Target="https://ref.ly/Exod3:12" TargetMode="External"/><Relationship Id="rId13098" Type="http://schemas.openxmlformats.org/officeDocument/2006/relationships/hyperlink" Target="https://ref.ly/Exod33:14-Exod33:16" TargetMode="External"/><Relationship Id="rId13099" Type="http://schemas.openxmlformats.org/officeDocument/2006/relationships/hyperlink" Target="https://ref.ly/Exod15:13" TargetMode="External"/><Relationship Id="rId13100" Type="http://schemas.openxmlformats.org/officeDocument/2006/relationships/hyperlink" Target="https://ref.ly/Exod20:6" TargetMode="External"/><Relationship Id="rId13101" Type="http://schemas.openxmlformats.org/officeDocument/2006/relationships/hyperlink" Target="https://ref.ly/Exod7:5" TargetMode="External"/><Relationship Id="rId13102" Type="http://schemas.openxmlformats.org/officeDocument/2006/relationships/hyperlink" Target="https://ref.ly/Exod8:10" TargetMode="External"/><Relationship Id="rId13103" Type="http://schemas.openxmlformats.org/officeDocument/2006/relationships/hyperlink" Target="https://ref.ly/Exod14:18" TargetMode="External"/><Relationship Id="rId13104" Type="http://schemas.openxmlformats.org/officeDocument/2006/relationships/hyperlink" Target="https://ref.ly/Exod7:4" TargetMode="External"/><Relationship Id="rId13105" Type="http://schemas.openxmlformats.org/officeDocument/2006/relationships/hyperlink" Target="https://ref.ly/Exod4:21-Exod4:23" TargetMode="External"/><Relationship Id="rId13106" Type="http://schemas.openxmlformats.org/officeDocument/2006/relationships/hyperlink" Target="https://ref.ly/Exod12:23-Exod12:27" TargetMode="External"/><Relationship Id="rId13107" Type="http://schemas.openxmlformats.org/officeDocument/2006/relationships/hyperlink" Target="https://ref.ly/Exod15:16" TargetMode="External"/><Relationship Id="rId13108" Type="http://schemas.openxmlformats.org/officeDocument/2006/relationships/hyperlink" Target="https://ref.ly/Exod4:22-Exod4:23" TargetMode="External"/><Relationship Id="rId13109" Type="http://schemas.openxmlformats.org/officeDocument/2006/relationships/hyperlink" Target="https://ref.ly/Exod19:8" TargetMode="External"/><Relationship Id="rId13110" Type="http://schemas.openxmlformats.org/officeDocument/2006/relationships/hyperlink" Target="https://ref.ly/Exod32:8" TargetMode="External"/><Relationship Id="rId13111" Type="http://schemas.openxmlformats.org/officeDocument/2006/relationships/hyperlink" Target="https://ref.ly/Mic6:3-Mic6:4" TargetMode="External"/><Relationship Id="rId13112" Type="http://schemas.openxmlformats.org/officeDocument/2006/relationships/hyperlink" Target="https://ref.ly/Rev15:3-Rev15:4" TargetMode="External"/><Relationship Id="rId13113" Type="http://schemas.openxmlformats.org/officeDocument/2006/relationships/hyperlink" Target="https://ref.ly/Gen46:1-Gen50:26" TargetMode="External"/><Relationship Id="rId13114" Type="http://schemas.openxmlformats.org/officeDocument/2006/relationships/hyperlink" Target="https://ref.ly/Heb11:24-Heb11:26" TargetMode="External"/><Relationship Id="rId13115" Type="http://schemas.openxmlformats.org/officeDocument/2006/relationships/hyperlink" Target="https://ref.ly/Exod1:21" TargetMode="External"/><Relationship Id="rId13116" Type="http://schemas.openxmlformats.org/officeDocument/2006/relationships/hyperlink" Target="https://ref.ly/Acts7:24-Acts7:25" TargetMode="External"/><Relationship Id="rId13117" Type="http://schemas.openxmlformats.org/officeDocument/2006/relationships/hyperlink" Target="https://ref.ly/Exod3:14-Exod3:15" TargetMode="External"/><Relationship Id="rId13118" Type="http://schemas.openxmlformats.org/officeDocument/2006/relationships/hyperlink" Target="https://ref.ly/Exod18:10-Exod18:11" TargetMode="External"/><Relationship Id="rId13119" Type="http://schemas.openxmlformats.org/officeDocument/2006/relationships/hyperlink" Target="https://ref.ly/Exod2:23-Exod2:25" TargetMode="External"/><Relationship Id="rId13120" Type="http://schemas.openxmlformats.org/officeDocument/2006/relationships/hyperlink" Target="https://ref.ly/Exod3:17" TargetMode="External"/><Relationship Id="rId13121" Type="http://schemas.openxmlformats.org/officeDocument/2006/relationships/hyperlink" Target="https://ref.ly/Gen17:14" TargetMode="External"/><Relationship Id="rId13122" Type="http://schemas.openxmlformats.org/officeDocument/2006/relationships/hyperlink" Target="https://ref.ly/Exod6:1-Exod6:30" TargetMode="External"/><Relationship Id="rId13123" Type="http://schemas.openxmlformats.org/officeDocument/2006/relationships/hyperlink" Target="https://ref.ly/Exod7:13" TargetMode="External"/><Relationship Id="rId13124" Type="http://schemas.openxmlformats.org/officeDocument/2006/relationships/hyperlink" Target="https://ref.ly/Exod8:25-Exod8:29" TargetMode="External"/><Relationship Id="rId13125" Type="http://schemas.openxmlformats.org/officeDocument/2006/relationships/hyperlink" Target="https://ref.ly/Exod10:8-Exod10:11" TargetMode="External"/><Relationship Id="rId13126" Type="http://schemas.openxmlformats.org/officeDocument/2006/relationships/hyperlink" Target="https://ref.ly/Exod14:31-Exod15:21" TargetMode="External"/><Relationship Id="rId13127" Type="http://schemas.openxmlformats.org/officeDocument/2006/relationships/hyperlink" Target="https://ref.ly/Exod16:1-Exod16:15" TargetMode="External"/><Relationship Id="rId13128" Type="http://schemas.openxmlformats.org/officeDocument/2006/relationships/hyperlink" Target="https://ref.ly/Exod17:1-Exod17:7" TargetMode="External"/><Relationship Id="rId13129" Type="http://schemas.openxmlformats.org/officeDocument/2006/relationships/hyperlink" Target="https://ref.ly/Exod18:1-Exod18:27" TargetMode="External"/><Relationship Id="rId13130" Type="http://schemas.openxmlformats.org/officeDocument/2006/relationships/hyperlink" Target="https://ref.ly/Exod19:5-Exod19:8" TargetMode="External"/><Relationship Id="rId13131" Type="http://schemas.openxmlformats.org/officeDocument/2006/relationships/hyperlink" Target="https://ref.ly/Exod20:2-Exod20:3" TargetMode="External"/><Relationship Id="rId13132" Type="http://schemas.openxmlformats.org/officeDocument/2006/relationships/hyperlink" Target="https://ref.ly/Exod24:1-Exod31:18" TargetMode="External"/><Relationship Id="rId13133" Type="http://schemas.openxmlformats.org/officeDocument/2006/relationships/hyperlink" Target="https://ref.ly/Exod21:1-Exod21:11" TargetMode="External"/><Relationship Id="rId13134" Type="http://schemas.openxmlformats.org/officeDocument/2006/relationships/hyperlink" Target="https://ref.ly/Exod21:12-Exod21:17" TargetMode="External"/><Relationship Id="rId13135" Type="http://schemas.openxmlformats.org/officeDocument/2006/relationships/hyperlink" Target="https://ref.ly/Exod21:18-Exod22:15" TargetMode="External"/><Relationship Id="rId13136" Type="http://schemas.openxmlformats.org/officeDocument/2006/relationships/hyperlink" Target="https://ref.ly/Exod22:16-Exod23:9" TargetMode="External"/><Relationship Id="rId13137" Type="http://schemas.openxmlformats.org/officeDocument/2006/relationships/hyperlink" Target="https://ref.ly/Exod23:10-Exod23:19" TargetMode="External"/><Relationship Id="rId13138" Type="http://schemas.openxmlformats.org/officeDocument/2006/relationships/hyperlink" Target="https://ref.ly/Exod23:22" TargetMode="External"/><Relationship Id="rId13139" Type="http://schemas.openxmlformats.org/officeDocument/2006/relationships/hyperlink" Target="https://ref.ly/Exod23:25-Exod23:27" TargetMode="External"/><Relationship Id="rId13140" Type="http://schemas.openxmlformats.org/officeDocument/2006/relationships/hyperlink" Target="https://ref.ly/Exod32:4" TargetMode="External"/><Relationship Id="rId13141" Type="http://schemas.openxmlformats.org/officeDocument/2006/relationships/hyperlink" Target="https://ref.ly/Exod34:8-Exod34:10" TargetMode="External"/><Relationship Id="rId13142" Type="http://schemas.openxmlformats.org/officeDocument/2006/relationships/hyperlink" Target="https://ref.ly/Exod34:10" TargetMode="External"/><Relationship Id="rId13143" Type="http://schemas.openxmlformats.org/officeDocument/2006/relationships/hyperlink" Target="https://ref.ly/2Sam1:17-2Sam1:27" TargetMode="External"/><Relationship Id="rId13144" Type="http://schemas.openxmlformats.org/officeDocument/2006/relationships/hyperlink" Target="https://ref.ly/1Kgs8:12-1Kgs8:13" TargetMode="External"/><Relationship Id="rId13145" Type="http://schemas.openxmlformats.org/officeDocument/2006/relationships/hyperlink" Target="https://ref.ly/Josh10:12-Josh10:13" TargetMode="External"/><Relationship Id="rId13146" Type="http://schemas.openxmlformats.org/officeDocument/2006/relationships/hyperlink" Target="https://ref.ly/1Kgs8:14-1Kgs8:53" TargetMode="External"/><Relationship Id="rId13147" Type="http://schemas.openxmlformats.org/officeDocument/2006/relationships/hyperlink" Target="https://ref.ly/Exod15:21" TargetMode="External"/><Relationship Id="rId13148" Type="http://schemas.openxmlformats.org/officeDocument/2006/relationships/hyperlink" Target="https://ref.ly/Joel3:2" TargetMode="External"/><Relationship Id="rId13149" Type="http://schemas.openxmlformats.org/officeDocument/2006/relationships/hyperlink" Target="https://ref.ly/Joel2:9" TargetMode="External"/><Relationship Id="rId13150" Type="http://schemas.openxmlformats.org/officeDocument/2006/relationships/hyperlink" Target="https://ref.ly/Joel1:13" TargetMode="External"/><Relationship Id="rId13151" Type="http://schemas.openxmlformats.org/officeDocument/2006/relationships/hyperlink" Target="https://ref.ly/Joel2:16-Joel2:17" TargetMode="External"/><Relationship Id="rId13152" Type="http://schemas.openxmlformats.org/officeDocument/2006/relationships/hyperlink" Target="https://ref.ly/Joel2:27" TargetMode="External"/><Relationship Id="rId13153" Type="http://schemas.openxmlformats.org/officeDocument/2006/relationships/hyperlink" Target="https://ref.ly/Joel2:12" TargetMode="External"/><Relationship Id="rId13154" Type="http://schemas.openxmlformats.org/officeDocument/2006/relationships/hyperlink" Target="https://ref.ly/Joel1:1-Joel1:12" TargetMode="External"/><Relationship Id="rId13155" Type="http://schemas.openxmlformats.org/officeDocument/2006/relationships/hyperlink" Target="https://ref.ly/Joel1:2-Joel1:4" TargetMode="External"/><Relationship Id="rId13156" Type="http://schemas.openxmlformats.org/officeDocument/2006/relationships/hyperlink" Target="https://ref.ly/Joel1:5-Joel1:7" TargetMode="External"/><Relationship Id="rId13157" Type="http://schemas.openxmlformats.org/officeDocument/2006/relationships/hyperlink" Target="https://ref.ly/Joel1:8-Joel1:10" TargetMode="External"/><Relationship Id="rId13158" Type="http://schemas.openxmlformats.org/officeDocument/2006/relationships/hyperlink" Target="https://ref.ly/Joel1:11-Joel1:12" TargetMode="External"/><Relationship Id="rId13159" Type="http://schemas.openxmlformats.org/officeDocument/2006/relationships/hyperlink" Target="https://ref.ly/Joel1:13-Joel1:20" TargetMode="External"/><Relationship Id="rId13160" Type="http://schemas.openxmlformats.org/officeDocument/2006/relationships/hyperlink" Target="https://ref.ly/Joel1:14" TargetMode="External"/><Relationship Id="rId13161" Type="http://schemas.openxmlformats.org/officeDocument/2006/relationships/hyperlink" Target="https://ref.ly/Joel1:15-Joel1:18" TargetMode="External"/><Relationship Id="rId13162" Type="http://schemas.openxmlformats.org/officeDocument/2006/relationships/hyperlink" Target="https://ref.ly/Joel1:19-Joel1:20" TargetMode="External"/><Relationship Id="rId13163" Type="http://schemas.openxmlformats.org/officeDocument/2006/relationships/hyperlink" Target="https://ref.ly/Joel2:1-Joel2:2" TargetMode="External"/><Relationship Id="rId13164" Type="http://schemas.openxmlformats.org/officeDocument/2006/relationships/hyperlink" Target="https://ref.ly/Joel2:3" TargetMode="External"/><Relationship Id="rId13165" Type="http://schemas.openxmlformats.org/officeDocument/2006/relationships/hyperlink" Target="https://ref.ly/Joel2:10-Joel2:11" TargetMode="External"/><Relationship Id="rId13166" Type="http://schemas.openxmlformats.org/officeDocument/2006/relationships/hyperlink" Target="https://ref.ly/Joel2:14" TargetMode="External"/><Relationship Id="rId13167" Type="http://schemas.openxmlformats.org/officeDocument/2006/relationships/hyperlink" Target="https://ref.ly/Joel2:14-Joel2:17" TargetMode="External"/><Relationship Id="rId13168" Type="http://schemas.openxmlformats.org/officeDocument/2006/relationships/hyperlink" Target="https://ref.ly/Joel2:18-Joel2:27" TargetMode="External"/><Relationship Id="rId13169" Type="http://schemas.openxmlformats.org/officeDocument/2006/relationships/hyperlink" Target="https://ref.ly/Joel2:18-Joel2:19" TargetMode="External"/><Relationship Id="rId13170" Type="http://schemas.openxmlformats.org/officeDocument/2006/relationships/hyperlink" Target="https://ref.ly/Joel2:20-Joel2:22" TargetMode="External"/><Relationship Id="rId13171" Type="http://schemas.openxmlformats.org/officeDocument/2006/relationships/hyperlink" Target="https://ref.ly/Joel2:23-Joel2:25" TargetMode="External"/><Relationship Id="rId13172" Type="http://schemas.openxmlformats.org/officeDocument/2006/relationships/hyperlink" Target="https://ref.ly/Joel2:26-Joel2:27" TargetMode="External"/><Relationship Id="rId13173" Type="http://schemas.openxmlformats.org/officeDocument/2006/relationships/hyperlink" Target="https://ref.ly/Joel2:30-Joel2:31" TargetMode="External"/><Relationship Id="rId13174" Type="http://schemas.openxmlformats.org/officeDocument/2006/relationships/hyperlink" Target="https://ref.ly/Joel3:1-Joel3:15" TargetMode="External"/><Relationship Id="rId13175" Type="http://schemas.openxmlformats.org/officeDocument/2006/relationships/hyperlink" Target="https://ref.ly/Joel3:1-Joel3:3" TargetMode="External"/><Relationship Id="rId13176" Type="http://schemas.openxmlformats.org/officeDocument/2006/relationships/hyperlink" Target="https://ref.ly/Joel3:9-Joel3:11" TargetMode="External"/><Relationship Id="rId13177" Type="http://schemas.openxmlformats.org/officeDocument/2006/relationships/hyperlink" Target="https://ref.ly/Joel3:12-Joel3:15" TargetMode="External"/><Relationship Id="rId13178" Type="http://schemas.openxmlformats.org/officeDocument/2006/relationships/hyperlink" Target="https://ref.ly/Joel3:16-Joel3:21" TargetMode="External"/><Relationship Id="rId13179" Type="http://schemas.openxmlformats.org/officeDocument/2006/relationships/hyperlink" Target="https://ref.ly/Joel3:17" TargetMode="External"/><Relationship Id="rId13180" Type="http://schemas.openxmlformats.org/officeDocument/2006/relationships/hyperlink" Target="https://ref.ly/Joel3:20-Joel3:21" TargetMode="External"/><Relationship Id="rId13181" Type="http://schemas.openxmlformats.org/officeDocument/2006/relationships/hyperlink" Target="https://ref.ly/Joel2:1-Joel2:32" TargetMode="External"/><Relationship Id="rId13182" Type="http://schemas.openxmlformats.org/officeDocument/2006/relationships/hyperlink" Target="https://ref.ly/Luke13:5" TargetMode="External"/><Relationship Id="rId13183" Type="http://schemas.openxmlformats.org/officeDocument/2006/relationships/hyperlink" Target="https://ref.ly/Jonah4:6-Jonah4:11" TargetMode="External"/><Relationship Id="rId13184" Type="http://schemas.openxmlformats.org/officeDocument/2006/relationships/hyperlink" Target="https://ref.ly/Matt12:38-Matt12:41" TargetMode="External"/><Relationship Id="rId13185" Type="http://schemas.openxmlformats.org/officeDocument/2006/relationships/hyperlink" Target="https://ref.ly/Luke11:32" TargetMode="External"/><Relationship Id="rId13186" Type="http://schemas.openxmlformats.org/officeDocument/2006/relationships/hyperlink" Target="https://ref.ly/Jonah3:5" TargetMode="External"/><Relationship Id="rId13187" Type="http://schemas.openxmlformats.org/officeDocument/2006/relationships/hyperlink" Target="https://ref.ly/Jonah3:3" TargetMode="External"/><Relationship Id="rId13188" Type="http://schemas.openxmlformats.org/officeDocument/2006/relationships/hyperlink" Target="https://ref.ly/1Kgs21:1" TargetMode="External"/><Relationship Id="rId13189" Type="http://schemas.openxmlformats.org/officeDocument/2006/relationships/hyperlink" Target="https://ref.ly/2Chr24:23" TargetMode="External"/><Relationship Id="rId13190" Type="http://schemas.openxmlformats.org/officeDocument/2006/relationships/hyperlink" Target="https://ref.ly/Jonah3:4" TargetMode="External"/><Relationship Id="rId13191" Type="http://schemas.openxmlformats.org/officeDocument/2006/relationships/hyperlink" Target="https://ref.ly/Jonah3:7-Jonah3:8" TargetMode="External"/><Relationship Id="rId13192" Type="http://schemas.openxmlformats.org/officeDocument/2006/relationships/hyperlink" Target="https://ref.ly/Jonah1:17" TargetMode="External"/><Relationship Id="rId13193" Type="http://schemas.openxmlformats.org/officeDocument/2006/relationships/hyperlink" Target="https://ref.ly/Jonah1:1-Jonah1:3" TargetMode="External"/><Relationship Id="rId13194" Type="http://schemas.openxmlformats.org/officeDocument/2006/relationships/hyperlink" Target="https://ref.ly/Jonah1:4-Jonah1:16" TargetMode="External"/><Relationship Id="rId13195" Type="http://schemas.openxmlformats.org/officeDocument/2006/relationships/hyperlink" Target="https://ref.ly/Jonah1:4" TargetMode="External"/><Relationship Id="rId13196" Type="http://schemas.openxmlformats.org/officeDocument/2006/relationships/hyperlink" Target="https://ref.ly/Jonah1:5" TargetMode="External"/><Relationship Id="rId13197" Type="http://schemas.openxmlformats.org/officeDocument/2006/relationships/hyperlink" Target="https://ref.ly/Jonah1:6" TargetMode="External"/><Relationship Id="rId13198" Type="http://schemas.openxmlformats.org/officeDocument/2006/relationships/hyperlink" Target="https://ref.ly/Jonah1:7" TargetMode="External"/><Relationship Id="rId13199" Type="http://schemas.openxmlformats.org/officeDocument/2006/relationships/hyperlink" Target="https://ref.ly/Jonah1:9" TargetMode="External"/><Relationship Id="rId13200" Type="http://schemas.openxmlformats.org/officeDocument/2006/relationships/hyperlink" Target="https://ref.ly/Jonah1:11" TargetMode="External"/><Relationship Id="rId13201" Type="http://schemas.openxmlformats.org/officeDocument/2006/relationships/hyperlink" Target="https://ref.ly/Jonah1:12" TargetMode="External"/><Relationship Id="rId13202" Type="http://schemas.openxmlformats.org/officeDocument/2006/relationships/hyperlink" Target="https://ref.ly/Jonah1:13" TargetMode="External"/><Relationship Id="rId13203" Type="http://schemas.openxmlformats.org/officeDocument/2006/relationships/hyperlink" Target="https://ref.ly/Jonah1:15" TargetMode="External"/><Relationship Id="rId13204" Type="http://schemas.openxmlformats.org/officeDocument/2006/relationships/hyperlink" Target="https://ref.ly/Jonah1:16" TargetMode="External"/><Relationship Id="rId13205" Type="http://schemas.openxmlformats.org/officeDocument/2006/relationships/hyperlink" Target="https://ref.ly/Jonah2:7-Jonah2:8" TargetMode="External"/><Relationship Id="rId13206" Type="http://schemas.openxmlformats.org/officeDocument/2006/relationships/hyperlink" Target="https://ref.ly/Jonah2:9" TargetMode="External"/><Relationship Id="rId13207" Type="http://schemas.openxmlformats.org/officeDocument/2006/relationships/hyperlink" Target="https://ref.ly/Ps3:8" TargetMode="External"/><Relationship Id="rId13208" Type="http://schemas.openxmlformats.org/officeDocument/2006/relationships/hyperlink" Target="https://ref.ly/Ps5:7" TargetMode="External"/><Relationship Id="rId13209" Type="http://schemas.openxmlformats.org/officeDocument/2006/relationships/hyperlink" Target="https://ref.ly/Ps18:4-Ps18:19" TargetMode="External"/><Relationship Id="rId13210" Type="http://schemas.openxmlformats.org/officeDocument/2006/relationships/hyperlink" Target="https://ref.ly/Ps30:2-Ps30:3" TargetMode="External"/><Relationship Id="rId13211" Type="http://schemas.openxmlformats.org/officeDocument/2006/relationships/hyperlink" Target="https://ref.ly/Ps31:6,Ps31:22" TargetMode="External"/><Relationship Id="rId13212" Type="http://schemas.openxmlformats.org/officeDocument/2006/relationships/hyperlink" Target="https://ref.ly/Ps39:9" TargetMode="External"/><Relationship Id="rId13213" Type="http://schemas.openxmlformats.org/officeDocument/2006/relationships/hyperlink" Target="https://ref.ly/Ps42:6-Ps42:7" TargetMode="External"/><Relationship Id="rId13214" Type="http://schemas.openxmlformats.org/officeDocument/2006/relationships/hyperlink" Target="https://ref.ly/Ps59:17" TargetMode="External"/><Relationship Id="rId13215" Type="http://schemas.openxmlformats.org/officeDocument/2006/relationships/hyperlink" Target="https://ref.ly/Ps69:1-Ps69:2" TargetMode="External"/><Relationship Id="rId13216" Type="http://schemas.openxmlformats.org/officeDocument/2006/relationships/hyperlink" Target="https://ref.ly/Ps120:1" TargetMode="External"/><Relationship Id="rId13217" Type="http://schemas.openxmlformats.org/officeDocument/2006/relationships/hyperlink" Target="https://ref.ly/Ps142:3" TargetMode="External"/><Relationship Id="rId13218" Type="http://schemas.openxmlformats.org/officeDocument/2006/relationships/hyperlink" Target="https://ref.ly/Jonah2:10" TargetMode="External"/><Relationship Id="rId13219" Type="http://schemas.openxmlformats.org/officeDocument/2006/relationships/hyperlink" Target="https://ref.ly/Jonah3:1-Jonah4:11" TargetMode="External"/><Relationship Id="rId13220" Type="http://schemas.openxmlformats.org/officeDocument/2006/relationships/hyperlink" Target="https://ref.ly/Jonah3:1-Jonah3:3" TargetMode="External"/><Relationship Id="rId13221" Type="http://schemas.openxmlformats.org/officeDocument/2006/relationships/hyperlink" Target="https://ref.ly/Jonah3:5-Jonah3:6" TargetMode="External"/><Relationship Id="rId13222" Type="http://schemas.openxmlformats.org/officeDocument/2006/relationships/hyperlink" Target="https://ref.ly/Jonah3:7-Jonah3:9" TargetMode="External"/><Relationship Id="rId13223" Type="http://schemas.openxmlformats.org/officeDocument/2006/relationships/hyperlink" Target="https://ref.ly/Jonah4:1-Jonah4:3" TargetMode="External"/><Relationship Id="rId13224" Type="http://schemas.openxmlformats.org/officeDocument/2006/relationships/hyperlink" Target="https://ref.ly/Jonah2:1-Jonah2:9" TargetMode="External"/><Relationship Id="rId13225" Type="http://schemas.openxmlformats.org/officeDocument/2006/relationships/hyperlink" Target="https://ref.ly/Jonah4:3" TargetMode="External"/><Relationship Id="rId13226" Type="http://schemas.openxmlformats.org/officeDocument/2006/relationships/hyperlink" Target="https://ref.ly/Jonah4:4-Jonah4:11" TargetMode="External"/><Relationship Id="rId13227" Type="http://schemas.openxmlformats.org/officeDocument/2006/relationships/hyperlink" Target="https://ref.ly/Jonah4:4" TargetMode="External"/><Relationship Id="rId13228" Type="http://schemas.openxmlformats.org/officeDocument/2006/relationships/hyperlink" Target="https://ref.ly/Jonah4:6" TargetMode="External"/><Relationship Id="rId13229" Type="http://schemas.openxmlformats.org/officeDocument/2006/relationships/hyperlink" Target="https://ref.ly/Jonah4:8" TargetMode="External"/><Relationship Id="rId13230" Type="http://schemas.openxmlformats.org/officeDocument/2006/relationships/hyperlink" Target="https://ref.ly/Jonah4:9" TargetMode="External"/><Relationship Id="rId13231" Type="http://schemas.openxmlformats.org/officeDocument/2006/relationships/hyperlink" Target="https://ref.ly/Jonah4:10" TargetMode="External"/><Relationship Id="rId13232" Type="http://schemas.openxmlformats.org/officeDocument/2006/relationships/hyperlink" Target="https://ref.ly/Jonah4:11" TargetMode="External"/><Relationship Id="rId13233" Type="http://schemas.openxmlformats.org/officeDocument/2006/relationships/hyperlink" Target="https://ref.ly/Num33:2" TargetMode="External"/><Relationship Id="rId13234" Type="http://schemas.openxmlformats.org/officeDocument/2006/relationships/hyperlink" Target="https://ref.ly/2Chr34:14" TargetMode="External"/><Relationship Id="rId13235" Type="http://schemas.openxmlformats.org/officeDocument/2006/relationships/hyperlink" Target="https://ref.ly/Neh8:1" TargetMode="External"/><Relationship Id="rId13236" Type="http://schemas.openxmlformats.org/officeDocument/2006/relationships/hyperlink" Target="https://ref.ly/Luke20:37" TargetMode="External"/><Relationship Id="rId13237" Type="http://schemas.openxmlformats.org/officeDocument/2006/relationships/hyperlink" Target="https://ref.ly/Luke16:31" TargetMode="External"/><Relationship Id="rId13238" Type="http://schemas.openxmlformats.org/officeDocument/2006/relationships/hyperlink" Target="https://ref.ly/Gen25:12" TargetMode="External"/><Relationship Id="rId13239" Type="http://schemas.openxmlformats.org/officeDocument/2006/relationships/hyperlink" Target="https://ref.ly/2Pet3:3-2Pet3:7" TargetMode="External"/><Relationship Id="rId13240" Type="http://schemas.openxmlformats.org/officeDocument/2006/relationships/hyperlink" Target="https://ref.ly/Gen1:2-Gen2:3" TargetMode="External"/><Relationship Id="rId13241" Type="http://schemas.openxmlformats.org/officeDocument/2006/relationships/hyperlink" Target="https://ref.ly/Gen2:1-Gen2:3" TargetMode="External"/><Relationship Id="rId13242" Type="http://schemas.openxmlformats.org/officeDocument/2006/relationships/hyperlink" Target="https://ref.ly/Gen2:4-Gen2:25" TargetMode="External"/><Relationship Id="rId13243" Type="http://schemas.openxmlformats.org/officeDocument/2006/relationships/hyperlink" Target="https://ref.ly/Gen1:1-Gen2:3" TargetMode="External"/><Relationship Id="rId13244" Type="http://schemas.openxmlformats.org/officeDocument/2006/relationships/hyperlink" Target="https://ref.ly/Gen2:21-Gen2:22" TargetMode="External"/><Relationship Id="rId13245" Type="http://schemas.openxmlformats.org/officeDocument/2006/relationships/hyperlink" Target="https://ref.ly/Gen2:18-Gen2:20" TargetMode="External"/><Relationship Id="rId13246" Type="http://schemas.openxmlformats.org/officeDocument/2006/relationships/hyperlink" Target="https://ref.ly/Gen2:19" TargetMode="External"/><Relationship Id="rId13247" Type="http://schemas.openxmlformats.org/officeDocument/2006/relationships/hyperlink" Target="https://ref.ly/Gen3:4" TargetMode="External"/><Relationship Id="rId13248" Type="http://schemas.openxmlformats.org/officeDocument/2006/relationships/hyperlink" Target="https://ref.ly/1John2:16" TargetMode="External"/><Relationship Id="rId13249" Type="http://schemas.openxmlformats.org/officeDocument/2006/relationships/hyperlink" Target="https://ref.ly/Gen3:6" TargetMode="External"/><Relationship Id="rId13250" Type="http://schemas.openxmlformats.org/officeDocument/2006/relationships/hyperlink" Target="https://ref.ly/Rom8:21-Rom8:22" TargetMode="External"/><Relationship Id="rId13251" Type="http://schemas.openxmlformats.org/officeDocument/2006/relationships/hyperlink" Target="https://ref.ly/Gen5:24" TargetMode="External"/><Relationship Id="rId13252" Type="http://schemas.openxmlformats.org/officeDocument/2006/relationships/hyperlink" Target="https://ref.ly/Gen6:1-Gen6:5" TargetMode="External"/><Relationship Id="rId13253" Type="http://schemas.openxmlformats.org/officeDocument/2006/relationships/hyperlink" Target="https://ref.ly/Gen6:8-Gen6:9" TargetMode="External"/><Relationship Id="rId13254" Type="http://schemas.openxmlformats.org/officeDocument/2006/relationships/hyperlink" Target="https://ref.ly/Gen9:20" TargetMode="External"/><Relationship Id="rId13255" Type="http://schemas.openxmlformats.org/officeDocument/2006/relationships/hyperlink" Target="https://ref.ly/Gen10:2-Gen10:5" TargetMode="External"/><Relationship Id="rId13256" Type="http://schemas.openxmlformats.org/officeDocument/2006/relationships/hyperlink" Target="https://ref.ly/Gen10:21-Gen10:31" TargetMode="External"/><Relationship Id="rId13257" Type="http://schemas.openxmlformats.org/officeDocument/2006/relationships/hyperlink" Target="https://ref.ly/Gen11:10-Gen11:25" TargetMode="External"/><Relationship Id="rId13258" Type="http://schemas.openxmlformats.org/officeDocument/2006/relationships/hyperlink" Target="https://ref.ly/Gen12:1" TargetMode="External"/><Relationship Id="rId13259" Type="http://schemas.openxmlformats.org/officeDocument/2006/relationships/hyperlink" Target="https://ref.ly/Acts7:2-Acts7:3" TargetMode="External"/><Relationship Id="rId13260" Type="http://schemas.openxmlformats.org/officeDocument/2006/relationships/hyperlink" Target="https://ref.ly/Gen13:1-Gen13:18" TargetMode="External"/><Relationship Id="rId13261" Type="http://schemas.openxmlformats.org/officeDocument/2006/relationships/hyperlink" Target="https://ref.ly/Gen19:24-Gen19:25" TargetMode="External"/><Relationship Id="rId13262" Type="http://schemas.openxmlformats.org/officeDocument/2006/relationships/hyperlink" Target="https://ref.ly/Gen21:25-Gen21:34" TargetMode="External"/><Relationship Id="rId13263" Type="http://schemas.openxmlformats.org/officeDocument/2006/relationships/hyperlink" Target="https://ref.ly/2Sam24:16-2Sam24:25" TargetMode="External"/><Relationship Id="rId13264" Type="http://schemas.openxmlformats.org/officeDocument/2006/relationships/hyperlink" Target="https://ref.ly/Gen25:1-Gen25:34" TargetMode="External"/><Relationship Id="rId13265" Type="http://schemas.openxmlformats.org/officeDocument/2006/relationships/hyperlink" Target="https://ref.ly/Gen25:27-Gen25:34" TargetMode="External"/><Relationship Id="rId13266" Type="http://schemas.openxmlformats.org/officeDocument/2006/relationships/hyperlink" Target="https://ref.ly/Gen26:17-Gen26:33" TargetMode="External"/><Relationship Id="rId13267" Type="http://schemas.openxmlformats.org/officeDocument/2006/relationships/hyperlink" Target="https://ref.ly/Gen31:3" TargetMode="External"/><Relationship Id="rId13268" Type="http://schemas.openxmlformats.org/officeDocument/2006/relationships/hyperlink" Target="https://ref.ly/Gen33:1-Gen33:20" TargetMode="External"/><Relationship Id="rId13269" Type="http://schemas.openxmlformats.org/officeDocument/2006/relationships/hyperlink" Target="https://ref.ly/Gen34:1-Gen34:31" TargetMode="External"/><Relationship Id="rId13270" Type="http://schemas.openxmlformats.org/officeDocument/2006/relationships/hyperlink" Target="https://ref.ly/Gen35:1-Gen35:4" TargetMode="External"/><Relationship Id="rId13271" Type="http://schemas.openxmlformats.org/officeDocument/2006/relationships/hyperlink" Target="https://ref.ly/Gen38:1-Gen38:30" TargetMode="External"/><Relationship Id="rId13272" Type="http://schemas.openxmlformats.org/officeDocument/2006/relationships/hyperlink" Target="https://ref.ly/Gen39:1-Gen39:23" TargetMode="External"/><Relationship Id="rId13273" Type="http://schemas.openxmlformats.org/officeDocument/2006/relationships/hyperlink" Target="https://ref.ly/Gen41:37-Gen41:44" TargetMode="External"/><Relationship Id="rId13274" Type="http://schemas.openxmlformats.org/officeDocument/2006/relationships/hyperlink" Target="https://ref.ly/Gen42:9" TargetMode="External"/><Relationship Id="rId13275" Type="http://schemas.openxmlformats.org/officeDocument/2006/relationships/hyperlink" Target="https://ref.ly/Gen42:19" TargetMode="External"/><Relationship Id="rId13276" Type="http://schemas.openxmlformats.org/officeDocument/2006/relationships/hyperlink" Target="https://ref.ly/Gen42:20" TargetMode="External"/><Relationship Id="rId13277" Type="http://schemas.openxmlformats.org/officeDocument/2006/relationships/hyperlink" Target="https://ref.ly/Gen43:3" TargetMode="External"/><Relationship Id="rId13278" Type="http://schemas.openxmlformats.org/officeDocument/2006/relationships/hyperlink" Target="https://ref.ly/Gen43:1" TargetMode="External"/><Relationship Id="rId13279" Type="http://schemas.openxmlformats.org/officeDocument/2006/relationships/hyperlink" Target="https://ref.ly/Gen44:1-Gen44:34" TargetMode="External"/><Relationship Id="rId13280" Type="http://schemas.openxmlformats.org/officeDocument/2006/relationships/hyperlink" Target="https://ref.ly/Gen45:4-Gen45:15" TargetMode="External"/><Relationship Id="rId13281" Type="http://schemas.openxmlformats.org/officeDocument/2006/relationships/hyperlink" Target="https://ref.ly/Gen45:7-Gen45:8" TargetMode="External"/><Relationship Id="rId13282" Type="http://schemas.openxmlformats.org/officeDocument/2006/relationships/hyperlink" Target="https://ref.ly/Gen47:27" TargetMode="External"/><Relationship Id="rId13283" Type="http://schemas.openxmlformats.org/officeDocument/2006/relationships/hyperlink" Target="https://ref.ly/Gen11:27-Gen11:32" TargetMode="External"/><Relationship Id="rId13284" Type="http://schemas.openxmlformats.org/officeDocument/2006/relationships/hyperlink" Target="https://ref.ly/2Pet2:7-2Pet2:9" TargetMode="External"/><Relationship Id="rId13285" Type="http://schemas.openxmlformats.org/officeDocument/2006/relationships/hyperlink" Target="https://ref.ly/Luke17:28-Luke17:29" TargetMode="External"/><Relationship Id="rId13286" Type="http://schemas.openxmlformats.org/officeDocument/2006/relationships/hyperlink" Target="https://ref.ly/Ezra2:33" TargetMode="External"/><Relationship Id="rId13287" Type="http://schemas.openxmlformats.org/officeDocument/2006/relationships/hyperlink" Target="https://ref.ly/Neh7:37" TargetMode="External"/><Relationship Id="rId13288" Type="http://schemas.openxmlformats.org/officeDocument/2006/relationships/hyperlink" Target="https://ref.ly/Neh11:35" TargetMode="External"/><Relationship Id="rId13289" Type="http://schemas.openxmlformats.org/officeDocument/2006/relationships/hyperlink" Target="https://ref.ly/Acts9:32-Acts9:35" TargetMode="External"/><Relationship Id="rId13290" Type="http://schemas.openxmlformats.org/officeDocument/2006/relationships/hyperlink" Target="https://ref.ly/Gen35:11" TargetMode="External"/><Relationship Id="rId13291" Type="http://schemas.openxmlformats.org/officeDocument/2006/relationships/hyperlink" Target="https://ref.ly/1Kgs8:19" TargetMode="External"/><Relationship Id="rId13292" Type="http://schemas.openxmlformats.org/officeDocument/2006/relationships/hyperlink" Target="https://ref.ly/Nah2:1" TargetMode="External"/><Relationship Id="rId13293" Type="http://schemas.openxmlformats.org/officeDocument/2006/relationships/hyperlink" Target="https://ref.ly/Exod12:11" TargetMode="External"/><Relationship Id="rId13294" Type="http://schemas.openxmlformats.org/officeDocument/2006/relationships/hyperlink" Target="https://ref.ly/1Kgs18:46" TargetMode="External"/><Relationship Id="rId13295" Type="http://schemas.openxmlformats.org/officeDocument/2006/relationships/hyperlink" Target="https://ref.ly/2Kgs9:1" TargetMode="External"/><Relationship Id="rId13296" Type="http://schemas.openxmlformats.org/officeDocument/2006/relationships/hyperlink" Target="https://ref.ly/Luke12:35" TargetMode="External"/><Relationship Id="rId13297" Type="http://schemas.openxmlformats.org/officeDocument/2006/relationships/hyperlink" Target="https://ref.ly/Eph6:14" TargetMode="External"/><Relationship Id="rId13298" Type="http://schemas.openxmlformats.org/officeDocument/2006/relationships/hyperlink" Target="https://ref.ly/1Pet1:13" TargetMode="External"/><Relationship Id="rId13299" Type="http://schemas.openxmlformats.org/officeDocument/2006/relationships/hyperlink" Target="https://ref.ly/Jer15:15" TargetMode="External"/><Relationship Id="rId13300" Type="http://schemas.openxmlformats.org/officeDocument/2006/relationships/hyperlink" Target="https://ref.ly/1Tim1:16" TargetMode="External"/><Relationship Id="rId13301" Type="http://schemas.openxmlformats.org/officeDocument/2006/relationships/hyperlink" Target="https://ref.ly/Gen36:22,Gen36:29" TargetMode="External"/><Relationship Id="rId13302" Type="http://schemas.openxmlformats.org/officeDocument/2006/relationships/hyperlink" Target="https://ref.ly/1Chr1:38-1Chr1:39" TargetMode="External"/><Relationship Id="rId13303" Type="http://schemas.openxmlformats.org/officeDocument/2006/relationships/hyperlink" Target="https://ref.ly/Prov31:28-Prov31:31" TargetMode="External"/><Relationship Id="rId13304" Type="http://schemas.openxmlformats.org/officeDocument/2006/relationships/hyperlink" Target="https://ref.ly/Matt6:1-Matt6:6" TargetMode="External"/><Relationship Id="rId13305" Type="http://schemas.openxmlformats.org/officeDocument/2006/relationships/hyperlink" Target="https://ref.ly/John12:43" TargetMode="External"/><Relationship Id="rId13306" Type="http://schemas.openxmlformats.org/officeDocument/2006/relationships/hyperlink" Target="https://ref.ly/Ps149:3" TargetMode="External"/><Relationship Id="rId13307" Type="http://schemas.openxmlformats.org/officeDocument/2006/relationships/hyperlink" Target="https://ref.ly/Luke2:13-Luke2:14" TargetMode="External"/><Relationship Id="rId13308" Type="http://schemas.openxmlformats.org/officeDocument/2006/relationships/hyperlink" Target="https://ref.ly/Rev7:11-Rev7:12" TargetMode="External"/><Relationship Id="rId13309" Type="http://schemas.openxmlformats.org/officeDocument/2006/relationships/hyperlink" Target="https://ref.ly/Ps89:5" TargetMode="External"/><Relationship Id="rId13310" Type="http://schemas.openxmlformats.org/officeDocument/2006/relationships/hyperlink" Target="https://ref.ly/Ps96:11" TargetMode="External"/><Relationship Id="rId13311" Type="http://schemas.openxmlformats.org/officeDocument/2006/relationships/hyperlink" Target="https://ref.ly/Ps98:4" TargetMode="External"/><Relationship Id="rId13312" Type="http://schemas.openxmlformats.org/officeDocument/2006/relationships/hyperlink" Target="https://ref.ly/Ps150:6" TargetMode="External"/><Relationship Id="rId13313" Type="http://schemas.openxmlformats.org/officeDocument/2006/relationships/hyperlink" Target="https://ref.ly/Ps135:19-Ps135:20" TargetMode="External"/><Relationship Id="rId13314" Type="http://schemas.openxmlformats.org/officeDocument/2006/relationships/hyperlink" Target="https://ref.ly/Ps67:2-Ps67:3" TargetMode="External"/><Relationship Id="rId13315" Type="http://schemas.openxmlformats.org/officeDocument/2006/relationships/hyperlink" Target="https://ref.ly/Rom15:7-Rom15:12" TargetMode="External"/><Relationship Id="rId13316" Type="http://schemas.openxmlformats.org/officeDocument/2006/relationships/hyperlink" Target="https://ref.ly/Phil1:11" TargetMode="External"/><Relationship Id="rId13317" Type="http://schemas.openxmlformats.org/officeDocument/2006/relationships/hyperlink" Target="https://ref.ly/Ps119:164" TargetMode="External"/><Relationship Id="rId13318" Type="http://schemas.openxmlformats.org/officeDocument/2006/relationships/hyperlink" Target="https://ref.ly/Ps113:3" TargetMode="External"/><Relationship Id="rId13319" Type="http://schemas.openxmlformats.org/officeDocument/2006/relationships/hyperlink" Target="https://ref.ly/Ps145:1" TargetMode="External"/><Relationship Id="rId13320" Type="http://schemas.openxmlformats.org/officeDocument/2006/relationships/hyperlink" Target="https://ref.ly/Ps146:2" TargetMode="External"/><Relationship Id="rId13321" Type="http://schemas.openxmlformats.org/officeDocument/2006/relationships/hyperlink" Target="https://ref.ly/Ps102:21" TargetMode="External"/><Relationship Id="rId13322" Type="http://schemas.openxmlformats.org/officeDocument/2006/relationships/hyperlink" Target="https://ref.ly/Ps107:32" TargetMode="External"/><Relationship Id="rId13323" Type="http://schemas.openxmlformats.org/officeDocument/2006/relationships/hyperlink" Target="https://ref.ly/Ps149:5" TargetMode="External"/><Relationship Id="rId13324" Type="http://schemas.openxmlformats.org/officeDocument/2006/relationships/hyperlink" Target="https://ref.ly/Acts16:25" TargetMode="External"/><Relationship Id="rId13325" Type="http://schemas.openxmlformats.org/officeDocument/2006/relationships/hyperlink" Target="https://ref.ly/Ps47:7" TargetMode="External"/><Relationship Id="rId13326" Type="http://schemas.openxmlformats.org/officeDocument/2006/relationships/hyperlink" Target="https://ref.ly/Col3:16" TargetMode="External"/><Relationship Id="rId13327" Type="http://schemas.openxmlformats.org/officeDocument/2006/relationships/hyperlink" Target="https://ref.ly/Eph5:19" TargetMode="External"/><Relationship Id="rId13328" Type="http://schemas.openxmlformats.org/officeDocument/2006/relationships/hyperlink" Target="https://ref.ly/Ps8:3" TargetMode="External"/><Relationship Id="rId13329" Type="http://schemas.openxmlformats.org/officeDocument/2006/relationships/hyperlink" Target="https://ref.ly/Ps21:4" TargetMode="External"/><Relationship Id="rId13330" Type="http://schemas.openxmlformats.org/officeDocument/2006/relationships/hyperlink" Target="https://ref.ly/Ps116:1" TargetMode="External"/><Relationship Id="rId13331" Type="http://schemas.openxmlformats.org/officeDocument/2006/relationships/hyperlink" Target="https://ref.ly/Exod15:1-Exod15:2" TargetMode="External"/><Relationship Id="rId13332" Type="http://schemas.openxmlformats.org/officeDocument/2006/relationships/hyperlink" Target="https://ref.ly/Ps107:1-Ps107:43" TargetMode="External"/><Relationship Id="rId13333" Type="http://schemas.openxmlformats.org/officeDocument/2006/relationships/hyperlink" Target="https://ref.ly/Gen1:16" TargetMode="External"/><Relationship Id="rId13334" Type="http://schemas.openxmlformats.org/officeDocument/2006/relationships/hyperlink" Target="https://ref.ly/Isa30:26" TargetMode="External"/><Relationship Id="rId13335" Type="http://schemas.openxmlformats.org/officeDocument/2006/relationships/hyperlink" Target="https://ref.ly/Judg8:21,Judg8:26" TargetMode="External"/><Relationship Id="rId13336" Type="http://schemas.openxmlformats.org/officeDocument/2006/relationships/hyperlink" Target="https://ref.ly/Isa3:18" TargetMode="External"/><Relationship Id="rId13337" Type="http://schemas.openxmlformats.org/officeDocument/2006/relationships/hyperlink" Target="https://ref.ly/Sir43:6-Sir43:7" TargetMode="External"/><Relationship Id="rId13338" Type="http://schemas.openxmlformats.org/officeDocument/2006/relationships/hyperlink" Target="https://ref.ly/2Chr2:4" TargetMode="External"/><Relationship Id="rId13339" Type="http://schemas.openxmlformats.org/officeDocument/2006/relationships/hyperlink" Target="https://ref.ly/Lev23:5-Lev23:6" TargetMode="External"/><Relationship Id="rId13340" Type="http://schemas.openxmlformats.org/officeDocument/2006/relationships/hyperlink" Target="https://ref.ly/Ps81:3-Ps81:5" TargetMode="External"/><Relationship Id="rId13341" Type="http://schemas.openxmlformats.org/officeDocument/2006/relationships/hyperlink" Target="https://ref.ly/Ps136:9" TargetMode="External"/><Relationship Id="rId13342" Type="http://schemas.openxmlformats.org/officeDocument/2006/relationships/hyperlink" Target="https://ref.ly/Jer31:35" TargetMode="External"/><Relationship Id="rId13343" Type="http://schemas.openxmlformats.org/officeDocument/2006/relationships/hyperlink" Target="https://ref.ly/Ps72:5" TargetMode="External"/><Relationship Id="rId13344" Type="http://schemas.openxmlformats.org/officeDocument/2006/relationships/hyperlink" Target="https://ref.ly/Ps89:37-Ps89:38" TargetMode="External"/><Relationship Id="rId13345" Type="http://schemas.openxmlformats.org/officeDocument/2006/relationships/hyperlink" Target="https://ref.ly/Ezek32:7" TargetMode="External"/><Relationship Id="rId13346" Type="http://schemas.openxmlformats.org/officeDocument/2006/relationships/hyperlink" Target="https://ref.ly/Joel2:10" TargetMode="External"/><Relationship Id="rId13347" Type="http://schemas.openxmlformats.org/officeDocument/2006/relationships/hyperlink" Target="https://ref.ly/Hab3:11" TargetMode="External"/><Relationship Id="rId13348" Type="http://schemas.openxmlformats.org/officeDocument/2006/relationships/hyperlink" Target="https://ref.ly/Mark13:24" TargetMode="External"/><Relationship Id="rId13349" Type="http://schemas.openxmlformats.org/officeDocument/2006/relationships/hyperlink" Target="https://ref.ly/Ps121:6" TargetMode="External"/><Relationship Id="rId13350" Type="http://schemas.openxmlformats.org/officeDocument/2006/relationships/hyperlink" Target="https://ref.ly/Deut33:14" TargetMode="External"/><Relationship Id="rId13351" Type="http://schemas.openxmlformats.org/officeDocument/2006/relationships/hyperlink" Target="https://ref.ly/2Kgs21:3" TargetMode="External"/><Relationship Id="rId13352" Type="http://schemas.openxmlformats.org/officeDocument/2006/relationships/hyperlink" Target="https://ref.ly/2Kgs23:4-2Kgs23:5" TargetMode="External"/><Relationship Id="rId13353" Type="http://schemas.openxmlformats.org/officeDocument/2006/relationships/hyperlink" Target="https://ref.ly/Luke24:47" TargetMode="External"/><Relationship Id="rId13354" Type="http://schemas.openxmlformats.org/officeDocument/2006/relationships/hyperlink" Target="https://ref.ly/Acts16:10-Acts16:17" TargetMode="External"/><Relationship Id="rId13355" Type="http://schemas.openxmlformats.org/officeDocument/2006/relationships/hyperlink" Target="https://ref.ly/Acts20:5-Acts20:15" TargetMode="External"/><Relationship Id="rId13356" Type="http://schemas.openxmlformats.org/officeDocument/2006/relationships/hyperlink" Target="https://ref.ly/Acts21:1-Acts21:18" TargetMode="External"/><Relationship Id="rId13357" Type="http://schemas.openxmlformats.org/officeDocument/2006/relationships/hyperlink" Target="https://ref.ly/Luke4:38" TargetMode="External"/><Relationship Id="rId13358" Type="http://schemas.openxmlformats.org/officeDocument/2006/relationships/hyperlink" Target="https://ref.ly/Luke5:12" TargetMode="External"/><Relationship Id="rId13359" Type="http://schemas.openxmlformats.org/officeDocument/2006/relationships/hyperlink" Target="https://ref.ly/Luke8:43" TargetMode="External"/><Relationship Id="rId13360" Type="http://schemas.openxmlformats.org/officeDocument/2006/relationships/hyperlink" Target="https://ref.ly/Luke21:20" TargetMode="External"/><Relationship Id="rId13361" Type="http://schemas.openxmlformats.org/officeDocument/2006/relationships/hyperlink" Target="https://ref.ly/Luke1:3" TargetMode="External"/><Relationship Id="rId13362" Type="http://schemas.openxmlformats.org/officeDocument/2006/relationships/hyperlink" Target="https://ref.ly/Luke4:2" TargetMode="External"/><Relationship Id="rId13363" Type="http://schemas.openxmlformats.org/officeDocument/2006/relationships/hyperlink" Target="https://ref.ly/Luke19:38" TargetMode="External"/><Relationship Id="rId13364" Type="http://schemas.openxmlformats.org/officeDocument/2006/relationships/hyperlink" Target="https://ref.ly/Luke1:5-Luke2:52" TargetMode="External"/><Relationship Id="rId13365" Type="http://schemas.openxmlformats.org/officeDocument/2006/relationships/hyperlink" Target="https://ref.ly/Num6:1-Num6:4" TargetMode="External"/><Relationship Id="rId13366" Type="http://schemas.openxmlformats.org/officeDocument/2006/relationships/hyperlink" Target="https://ref.ly/Luke1:41" TargetMode="External"/><Relationship Id="rId13367" Type="http://schemas.openxmlformats.org/officeDocument/2006/relationships/hyperlink" Target="https://ref.ly/Luke2:21-Luke2:40" TargetMode="External"/><Relationship Id="rId13368" Type="http://schemas.openxmlformats.org/officeDocument/2006/relationships/hyperlink" Target="https://ref.ly/Luke2:52" TargetMode="External"/><Relationship Id="rId13369" Type="http://schemas.openxmlformats.org/officeDocument/2006/relationships/hyperlink" Target="https://ref.ly/Luke3:1-Luke4:30" TargetMode="External"/><Relationship Id="rId13370" Type="http://schemas.openxmlformats.org/officeDocument/2006/relationships/hyperlink" Target="https://ref.ly/Luke4:3,Luke4:9" TargetMode="External"/><Relationship Id="rId13371" Type="http://schemas.openxmlformats.org/officeDocument/2006/relationships/hyperlink" Target="https://ref.ly/Luke4:24" TargetMode="External"/><Relationship Id="rId13372" Type="http://schemas.openxmlformats.org/officeDocument/2006/relationships/hyperlink" Target="https://ref.ly/Luke4:31-Luke9:50" TargetMode="External"/><Relationship Id="rId13373" Type="http://schemas.openxmlformats.org/officeDocument/2006/relationships/hyperlink" Target="https://ref.ly/Luke6:1-Luke6:11" TargetMode="External"/><Relationship Id="rId13374" Type="http://schemas.openxmlformats.org/officeDocument/2006/relationships/hyperlink" Target="https://ref.ly/Luke6:12-Luke6:49" TargetMode="External"/><Relationship Id="rId13375" Type="http://schemas.openxmlformats.org/officeDocument/2006/relationships/hyperlink" Target="https://ref.ly/Luke8:1-Luke8:18" TargetMode="External"/><Relationship Id="rId13376" Type="http://schemas.openxmlformats.org/officeDocument/2006/relationships/hyperlink" Target="https://ref.ly/Luke5:1-Luke5:11,Luke5:27-Luke5:32" TargetMode="External"/><Relationship Id="rId13377" Type="http://schemas.openxmlformats.org/officeDocument/2006/relationships/hyperlink" Target="https://ref.ly/Luke9:1-Luke9:11" TargetMode="External"/><Relationship Id="rId13378" Type="http://schemas.openxmlformats.org/officeDocument/2006/relationships/hyperlink" Target="https://ref.ly/Luke8:3" TargetMode="External"/><Relationship Id="rId13379" Type="http://schemas.openxmlformats.org/officeDocument/2006/relationships/hyperlink" Target="https://ref.ly/Luke9:10-Luke9:36" TargetMode="External"/><Relationship Id="rId13380" Type="http://schemas.openxmlformats.org/officeDocument/2006/relationships/hyperlink" Target="https://ref.ly/Luke9:51-Luke19:27" TargetMode="External"/><Relationship Id="rId13381" Type="http://schemas.openxmlformats.org/officeDocument/2006/relationships/hyperlink" Target="https://ref.ly/Luke10:25-Luke10:37" TargetMode="External"/><Relationship Id="rId13382" Type="http://schemas.openxmlformats.org/officeDocument/2006/relationships/hyperlink" Target="https://ref.ly/Luke17:11-Luke17:19" TargetMode="External"/><Relationship Id="rId13383" Type="http://schemas.openxmlformats.org/officeDocument/2006/relationships/hyperlink" Target="https://ref.ly/Luke11:31" TargetMode="External"/><Relationship Id="rId13384" Type="http://schemas.openxmlformats.org/officeDocument/2006/relationships/hyperlink" Target="https://ref.ly/Luke13:32-Luke13:33" TargetMode="External"/><Relationship Id="rId13385" Type="http://schemas.openxmlformats.org/officeDocument/2006/relationships/hyperlink" Target="https://ref.ly/Luke13:18-Luke13:30" TargetMode="External"/><Relationship Id="rId13386" Type="http://schemas.openxmlformats.org/officeDocument/2006/relationships/hyperlink" Target="https://ref.ly/Luke18:15-Luke18:17" TargetMode="External"/><Relationship Id="rId13387" Type="http://schemas.openxmlformats.org/officeDocument/2006/relationships/hyperlink" Target="https://ref.ly/Luke18:18-Luke18:30" TargetMode="External"/><Relationship Id="rId13388" Type="http://schemas.openxmlformats.org/officeDocument/2006/relationships/hyperlink" Target="https://ref.ly/Luke19:28-Luke24:53" TargetMode="External"/><Relationship Id="rId13389" Type="http://schemas.openxmlformats.org/officeDocument/2006/relationships/hyperlink" Target="https://ref.ly/Luke19:28-Luke19:44" TargetMode="External"/><Relationship Id="rId13390" Type="http://schemas.openxmlformats.org/officeDocument/2006/relationships/hyperlink" Target="https://ref.ly/Luke20:1-Luke21:38" TargetMode="External"/><Relationship Id="rId13391" Type="http://schemas.openxmlformats.org/officeDocument/2006/relationships/hyperlink" Target="https://ref.ly/Luke22:1-Luke22:6" TargetMode="External"/><Relationship Id="rId13392" Type="http://schemas.openxmlformats.org/officeDocument/2006/relationships/hyperlink" Target="https://ref.ly/Luke22:7-Luke22:46" TargetMode="External"/><Relationship Id="rId13393" Type="http://schemas.openxmlformats.org/officeDocument/2006/relationships/hyperlink" Target="https://ref.ly/Luke23:27" TargetMode="External"/><Relationship Id="rId13394" Type="http://schemas.openxmlformats.org/officeDocument/2006/relationships/hyperlink" Target="https://ref.ly/Luke24:6" TargetMode="External"/><Relationship Id="rId13395" Type="http://schemas.openxmlformats.org/officeDocument/2006/relationships/hyperlink" Target="https://ref.ly/Luke24:46-Luke24:49" TargetMode="External"/><Relationship Id="rId13396" Type="http://schemas.openxmlformats.org/officeDocument/2006/relationships/hyperlink" Target="https://ref.ly/Luke24:50-Luke24:53" TargetMode="External"/><Relationship Id="rId13397" Type="http://schemas.openxmlformats.org/officeDocument/2006/relationships/hyperlink" Target="https://ref.ly/Acts11:19-Acts11:21" TargetMode="External"/><Relationship Id="rId13398" Type="http://schemas.openxmlformats.org/officeDocument/2006/relationships/hyperlink" Target="https://ref.ly/Col4:12-Col4:14" TargetMode="External"/><Relationship Id="rId13399" Type="http://schemas.openxmlformats.org/officeDocument/2006/relationships/hyperlink" Target="https://ref.ly/Jer46:9" TargetMode="External"/><Relationship Id="rId13400" Type="http://schemas.openxmlformats.org/officeDocument/2006/relationships/hyperlink" Target="https://ref.ly/Num33:51-Num33:52" TargetMode="External"/><Relationship Id="rId13401" Type="http://schemas.openxmlformats.org/officeDocument/2006/relationships/hyperlink" Target="https://ref.ly/1Sam9:13-1Sam9:14" TargetMode="External"/><Relationship Id="rId13402" Type="http://schemas.openxmlformats.org/officeDocument/2006/relationships/hyperlink" Target="https://ref.ly/2Kgs12:3" TargetMode="External"/><Relationship Id="rId13403" Type="http://schemas.openxmlformats.org/officeDocument/2006/relationships/hyperlink" Target="https://ref.ly/2Chr21:11" TargetMode="External"/><Relationship Id="rId13404" Type="http://schemas.openxmlformats.org/officeDocument/2006/relationships/hyperlink" Target="https://ref.ly/Jer7:31" TargetMode="External"/><Relationship Id="rId13405" Type="http://schemas.openxmlformats.org/officeDocument/2006/relationships/hyperlink" Target="https://ref.ly/Ezek43:7" TargetMode="External"/><Relationship Id="rId13406" Type="http://schemas.openxmlformats.org/officeDocument/2006/relationships/hyperlink" Target="https://ref.ly/Ezek16:24-Ezek16:25,Ezek16:31-Ezek16:39" TargetMode="External"/><Relationship Id="rId13407" Type="http://schemas.openxmlformats.org/officeDocument/2006/relationships/hyperlink" Target="https://ref.ly/2Kgs17:29" TargetMode="External"/><Relationship Id="rId13408" Type="http://schemas.openxmlformats.org/officeDocument/2006/relationships/hyperlink" Target="https://ref.ly/1Sam9:12-1Sam10:1" TargetMode="External"/><Relationship Id="rId13409" Type="http://schemas.openxmlformats.org/officeDocument/2006/relationships/hyperlink" Target="https://ref.ly/1Chr16:39" TargetMode="External"/><Relationship Id="rId13410" Type="http://schemas.openxmlformats.org/officeDocument/2006/relationships/hyperlink" Target="https://ref.ly/1Chr21:29" TargetMode="External"/><Relationship Id="rId13411" Type="http://schemas.openxmlformats.org/officeDocument/2006/relationships/hyperlink" Target="https://ref.ly/1Kgs3:2-1Kgs3:3" TargetMode="External"/><Relationship Id="rId13412" Type="http://schemas.openxmlformats.org/officeDocument/2006/relationships/hyperlink" Target="https://ref.ly/1Kgs3:4-1Kgs3:15" TargetMode="External"/><Relationship Id="rId13413" Type="http://schemas.openxmlformats.org/officeDocument/2006/relationships/hyperlink" Target="https://ref.ly/1Kgs11:7-1Kgs11:11" TargetMode="External"/><Relationship Id="rId13414" Type="http://schemas.openxmlformats.org/officeDocument/2006/relationships/hyperlink" Target="https://ref.ly/1Kgs13:2-1Kgs13:3" TargetMode="External"/><Relationship Id="rId13415" Type="http://schemas.openxmlformats.org/officeDocument/2006/relationships/hyperlink" Target="https://ref.ly/1Kgs14:23-1Kgs14:24" TargetMode="External"/><Relationship Id="rId13416" Type="http://schemas.openxmlformats.org/officeDocument/2006/relationships/hyperlink" Target="https://ref.ly/1Kgs15:12-1Kgs15:14" TargetMode="External"/><Relationship Id="rId13417" Type="http://schemas.openxmlformats.org/officeDocument/2006/relationships/hyperlink" Target="https://ref.ly/2Kgs15:3-2Kgs15:4" TargetMode="External"/><Relationship Id="rId13418" Type="http://schemas.openxmlformats.org/officeDocument/2006/relationships/hyperlink" Target="https://ref.ly/2Kgs16:3-2Kgs16:4" TargetMode="External"/><Relationship Id="rId13419" Type="http://schemas.openxmlformats.org/officeDocument/2006/relationships/hyperlink" Target="https://ref.ly/2Kgs21:2-2Kgs21:9" TargetMode="External"/><Relationship Id="rId13420" Type="http://schemas.openxmlformats.org/officeDocument/2006/relationships/hyperlink" Target="https://ref.ly/2Kgs23:5,2Kgs23:8" TargetMode="External"/><Relationship Id="rId13421" Type="http://schemas.openxmlformats.org/officeDocument/2006/relationships/hyperlink" Target="https://ref.ly/Isa16:12" TargetMode="External"/><Relationship Id="rId13422" Type="http://schemas.openxmlformats.org/officeDocument/2006/relationships/hyperlink" Target="https://ref.ly/Jer48:35" TargetMode="External"/><Relationship Id="rId13423" Type="http://schemas.openxmlformats.org/officeDocument/2006/relationships/hyperlink" Target="https://ref.ly/Ezek6:3" TargetMode="External"/><Relationship Id="rId13424" Type="http://schemas.openxmlformats.org/officeDocument/2006/relationships/hyperlink" Target="https://ref.ly/Hos10:8" TargetMode="External"/><Relationship Id="rId13425" Type="http://schemas.openxmlformats.org/officeDocument/2006/relationships/hyperlink" Target="https://ref.ly/Amos7:9" TargetMode="External"/><Relationship Id="rId13426" Type="http://schemas.openxmlformats.org/officeDocument/2006/relationships/hyperlink" Target="https://ref.ly/Gen46:4" TargetMode="External"/><Relationship Id="rId13427" Type="http://schemas.openxmlformats.org/officeDocument/2006/relationships/hyperlink" Target="https://ref.ly/Gen50:1" TargetMode="External"/><Relationship Id="rId13428" Type="http://schemas.openxmlformats.org/officeDocument/2006/relationships/hyperlink" Target="https://ref.ly/Acts5:1-Acts5:10" TargetMode="External"/><Relationship Id="rId13429" Type="http://schemas.openxmlformats.org/officeDocument/2006/relationships/hyperlink" Target="https://ref.ly/Gen37:34" TargetMode="External"/><Relationship Id="rId13430" Type="http://schemas.openxmlformats.org/officeDocument/2006/relationships/hyperlink" Target="https://ref.ly/2Sam1:11" TargetMode="External"/><Relationship Id="rId13431" Type="http://schemas.openxmlformats.org/officeDocument/2006/relationships/hyperlink" Target="https://ref.ly/Job1:20" TargetMode="External"/><Relationship Id="rId13432" Type="http://schemas.openxmlformats.org/officeDocument/2006/relationships/hyperlink" Target="https://ref.ly/2Sam3:31" TargetMode="External"/><Relationship Id="rId13433" Type="http://schemas.openxmlformats.org/officeDocument/2006/relationships/hyperlink" Target="https://ref.ly/2Sam15:30" TargetMode="External"/><Relationship Id="rId13434" Type="http://schemas.openxmlformats.org/officeDocument/2006/relationships/hyperlink" Target="https://ref.ly/Ezek24:17" TargetMode="External"/><Relationship Id="rId13435" Type="http://schemas.openxmlformats.org/officeDocument/2006/relationships/hyperlink" Target="https://ref.ly/Josh7:6" TargetMode="External"/><Relationship Id="rId13436" Type="http://schemas.openxmlformats.org/officeDocument/2006/relationships/hyperlink" Target="https://ref.ly/1Sam4:12" TargetMode="External"/><Relationship Id="rId13437" Type="http://schemas.openxmlformats.org/officeDocument/2006/relationships/hyperlink" Target="https://ref.ly/Neh9:1" TargetMode="External"/><Relationship Id="rId13438" Type="http://schemas.openxmlformats.org/officeDocument/2006/relationships/hyperlink" Target="https://ref.ly/Job2:12" TargetMode="External"/><Relationship Id="rId13439" Type="http://schemas.openxmlformats.org/officeDocument/2006/relationships/hyperlink" Target="https://ref.ly/Ezek27:30" TargetMode="External"/><Relationship Id="rId13440" Type="http://schemas.openxmlformats.org/officeDocument/2006/relationships/hyperlink" Target="https://ref.ly/Job16:15" TargetMode="External"/><Relationship Id="rId13441" Type="http://schemas.openxmlformats.org/officeDocument/2006/relationships/hyperlink" Target="https://ref.ly/Mic1:10" TargetMode="External"/><Relationship Id="rId13442" Type="http://schemas.openxmlformats.org/officeDocument/2006/relationships/hyperlink" Target="https://ref.ly/Esth4:3" TargetMode="External"/><Relationship Id="rId13443" Type="http://schemas.openxmlformats.org/officeDocument/2006/relationships/hyperlink" Target="https://ref.ly/Jer6:26" TargetMode="External"/><Relationship Id="rId13444" Type="http://schemas.openxmlformats.org/officeDocument/2006/relationships/hyperlink" Target="https://ref.ly/Isa22:12" TargetMode="External"/><Relationship Id="rId13445" Type="http://schemas.openxmlformats.org/officeDocument/2006/relationships/hyperlink" Target="https://ref.ly/Ezek7:18" TargetMode="External"/><Relationship Id="rId13446" Type="http://schemas.openxmlformats.org/officeDocument/2006/relationships/hyperlink" Target="https://ref.ly/Amos8:10" TargetMode="External"/><Relationship Id="rId13447" Type="http://schemas.openxmlformats.org/officeDocument/2006/relationships/hyperlink" Target="https://ref.ly/Lev19:27-Lev19:28" TargetMode="External"/><Relationship Id="rId13448" Type="http://schemas.openxmlformats.org/officeDocument/2006/relationships/hyperlink" Target="https://ref.ly/2Sam14:2" TargetMode="External"/><Relationship Id="rId13449" Type="http://schemas.openxmlformats.org/officeDocument/2006/relationships/hyperlink" Target="https://ref.ly/1Sam31:13" TargetMode="External"/><Relationship Id="rId13450" Type="http://schemas.openxmlformats.org/officeDocument/2006/relationships/hyperlink" Target="https://ref.ly/2Sam1:12" TargetMode="External"/><Relationship Id="rId13451" Type="http://schemas.openxmlformats.org/officeDocument/2006/relationships/hyperlink" Target="https://ref.ly/Lev21:1-Lev21:4" TargetMode="External"/><Relationship Id="rId13452" Type="http://schemas.openxmlformats.org/officeDocument/2006/relationships/hyperlink" Target="https://ref.ly/1Kgs13:30" TargetMode="External"/><Relationship Id="rId13453" Type="http://schemas.openxmlformats.org/officeDocument/2006/relationships/hyperlink" Target="https://ref.ly/Amos5:16" TargetMode="External"/><Relationship Id="rId13454" Type="http://schemas.openxmlformats.org/officeDocument/2006/relationships/hyperlink" Target="https://ref.ly/Zech12:11-Zech12:14" TargetMode="External"/><Relationship Id="rId13455" Type="http://schemas.openxmlformats.org/officeDocument/2006/relationships/hyperlink" Target="https://ref.ly/Jer9:17-Jer9:19" TargetMode="External"/><Relationship Id="rId13456" Type="http://schemas.openxmlformats.org/officeDocument/2006/relationships/hyperlink" Target="https://ref.ly/2Sam18:18" TargetMode="External"/><Relationship Id="rId13457" Type="http://schemas.openxmlformats.org/officeDocument/2006/relationships/hyperlink" Target="https://ref.ly/Jas4:8-Jas4:10" TargetMode="External"/><Relationship Id="rId13458" Type="http://schemas.openxmlformats.org/officeDocument/2006/relationships/hyperlink" Target="https://ref.ly/Matt9:15" TargetMode="External"/><Relationship Id="rId13459" Type="http://schemas.openxmlformats.org/officeDocument/2006/relationships/hyperlink" Target="https://ref.ly/Matt5:4" TargetMode="External"/><Relationship Id="rId13460" Type="http://schemas.openxmlformats.org/officeDocument/2006/relationships/hyperlink" Target="https://ref.ly/Mark5:38-Mark5:39" TargetMode="External"/><Relationship Id="rId13461" Type="http://schemas.openxmlformats.org/officeDocument/2006/relationships/hyperlink" Target="https://ref.ly/Luke7:13" TargetMode="External"/><Relationship Id="rId13462" Type="http://schemas.openxmlformats.org/officeDocument/2006/relationships/hyperlink" Target="https://ref.ly/John11:33" TargetMode="External"/><Relationship Id="rId13463" Type="http://schemas.openxmlformats.org/officeDocument/2006/relationships/hyperlink" Target="https://ref.ly/1Thess4:13" TargetMode="External"/><Relationship Id="rId13464" Type="http://schemas.openxmlformats.org/officeDocument/2006/relationships/hyperlink" Target="https://ref.ly/Job38:19" TargetMode="External"/><Relationship Id="rId13465" Type="http://schemas.openxmlformats.org/officeDocument/2006/relationships/hyperlink" Target="https://ref.ly/Job38:24" TargetMode="External"/><Relationship Id="rId13466" Type="http://schemas.openxmlformats.org/officeDocument/2006/relationships/hyperlink" Target="https://ref.ly/Exod25:37" TargetMode="External"/><Relationship Id="rId13467" Type="http://schemas.openxmlformats.org/officeDocument/2006/relationships/hyperlink" Target="https://ref.ly/Eccl11:7" TargetMode="External"/><Relationship Id="rId13468" Type="http://schemas.openxmlformats.org/officeDocument/2006/relationships/hyperlink" Target="https://ref.ly/Exod10:23" TargetMode="External"/><Relationship Id="rId13469" Type="http://schemas.openxmlformats.org/officeDocument/2006/relationships/hyperlink" Target="https://ref.ly/Exod13:21" TargetMode="External"/><Relationship Id="rId13470" Type="http://schemas.openxmlformats.org/officeDocument/2006/relationships/hyperlink" Target="https://ref.ly/Neh9:19" TargetMode="External"/><Relationship Id="rId13471" Type="http://schemas.openxmlformats.org/officeDocument/2006/relationships/hyperlink" Target="https://ref.ly/Neh9:12" TargetMode="External"/><Relationship Id="rId13472" Type="http://schemas.openxmlformats.org/officeDocument/2006/relationships/hyperlink" Target="https://ref.ly/Ps78:14" TargetMode="External"/><Relationship Id="rId13473" Type="http://schemas.openxmlformats.org/officeDocument/2006/relationships/hyperlink" Target="https://ref.ly/Ps105:39" TargetMode="External"/><Relationship Id="rId13474" Type="http://schemas.openxmlformats.org/officeDocument/2006/relationships/hyperlink" Target="https://ref.ly/Job12:22" TargetMode="External"/><Relationship Id="rId13475" Type="http://schemas.openxmlformats.org/officeDocument/2006/relationships/hyperlink" Target="https://ref.ly/Job29:2-Job29:3" TargetMode="External"/><Relationship Id="rId13476" Type="http://schemas.openxmlformats.org/officeDocument/2006/relationships/hyperlink" Target="https://ref.ly/Job22:28" TargetMode="External"/><Relationship Id="rId13477" Type="http://schemas.openxmlformats.org/officeDocument/2006/relationships/hyperlink" Target="https://ref.ly/Ps18:28" TargetMode="External"/><Relationship Id="rId13478" Type="http://schemas.openxmlformats.org/officeDocument/2006/relationships/hyperlink" Target="https://ref.ly/Ps118:27" TargetMode="External"/><Relationship Id="rId13479" Type="http://schemas.openxmlformats.org/officeDocument/2006/relationships/hyperlink" Target="https://ref.ly/Ps112:4" TargetMode="External"/><Relationship Id="rId13480" Type="http://schemas.openxmlformats.org/officeDocument/2006/relationships/hyperlink" Target="https://ref.ly/Isa60:19-Isa60:20" TargetMode="External"/><Relationship Id="rId13481" Type="http://schemas.openxmlformats.org/officeDocument/2006/relationships/hyperlink" Target="https://ref.ly/Ps27:1" TargetMode="External"/><Relationship Id="rId13482" Type="http://schemas.openxmlformats.org/officeDocument/2006/relationships/hyperlink" Target="https://ref.ly/Ps104:2" TargetMode="External"/><Relationship Id="rId13483" Type="http://schemas.openxmlformats.org/officeDocument/2006/relationships/hyperlink" Target="https://ref.ly/Dan2:22" TargetMode="External"/><Relationship Id="rId13484" Type="http://schemas.openxmlformats.org/officeDocument/2006/relationships/hyperlink" Target="https://ref.ly/Ps139:12" TargetMode="External"/><Relationship Id="rId13485" Type="http://schemas.openxmlformats.org/officeDocument/2006/relationships/hyperlink" Target="https://ref.ly/Mic7:8-Mic7:9" TargetMode="External"/><Relationship Id="rId13486" Type="http://schemas.openxmlformats.org/officeDocument/2006/relationships/hyperlink" Target="https://ref.ly/Ps4:6" TargetMode="External"/><Relationship Id="rId13487" Type="http://schemas.openxmlformats.org/officeDocument/2006/relationships/hyperlink" Target="https://ref.ly/Ps44:3" TargetMode="External"/><Relationship Id="rId13488" Type="http://schemas.openxmlformats.org/officeDocument/2006/relationships/hyperlink" Target="https://ref.ly/Ps89:15" TargetMode="External"/><Relationship Id="rId13489" Type="http://schemas.openxmlformats.org/officeDocument/2006/relationships/hyperlink" Target="https://ref.ly/Ps90:8" TargetMode="External"/><Relationship Id="rId13490" Type="http://schemas.openxmlformats.org/officeDocument/2006/relationships/hyperlink" Target="https://ref.ly/Job29:24" TargetMode="External"/><Relationship Id="rId13491" Type="http://schemas.openxmlformats.org/officeDocument/2006/relationships/hyperlink" Target="https://ref.ly/Isa51:4" TargetMode="External"/><Relationship Id="rId13492" Type="http://schemas.openxmlformats.org/officeDocument/2006/relationships/hyperlink" Target="https://ref.ly/Job18:5-Job18:17" TargetMode="External"/><Relationship Id="rId13493" Type="http://schemas.openxmlformats.org/officeDocument/2006/relationships/hyperlink" Target="https://ref.ly/Lam3:2" TargetMode="External"/><Relationship Id="rId13494" Type="http://schemas.openxmlformats.org/officeDocument/2006/relationships/hyperlink" Target="https://ref.ly/Acts26:13" TargetMode="External"/><Relationship Id="rId13495" Type="http://schemas.openxmlformats.org/officeDocument/2006/relationships/hyperlink" Target="https://ref.ly/Acts12:7" TargetMode="External"/><Relationship Id="rId13496" Type="http://schemas.openxmlformats.org/officeDocument/2006/relationships/hyperlink" Target="https://ref.ly/Rev21:11" TargetMode="External"/><Relationship Id="rId13497" Type="http://schemas.openxmlformats.org/officeDocument/2006/relationships/hyperlink" Target="https://ref.ly/1Tim6:16" TargetMode="External"/><Relationship Id="rId13498" Type="http://schemas.openxmlformats.org/officeDocument/2006/relationships/hyperlink" Target="https://ref.ly/John9:5" TargetMode="External"/><Relationship Id="rId13499" Type="http://schemas.openxmlformats.org/officeDocument/2006/relationships/hyperlink" Target="https://ref.ly/John12:46" TargetMode="External"/><Relationship Id="rId13500" Type="http://schemas.openxmlformats.org/officeDocument/2006/relationships/hyperlink" Target="https://ref.ly/John1:1-John1:10" TargetMode="External"/><Relationship Id="rId13501" Type="http://schemas.openxmlformats.org/officeDocument/2006/relationships/hyperlink" Target="https://ref.ly/John1:7-John1:8" TargetMode="External"/><Relationship Id="rId13502" Type="http://schemas.openxmlformats.org/officeDocument/2006/relationships/hyperlink" Target="https://ref.ly/John1:9-John1:12" TargetMode="External"/><Relationship Id="rId13503" Type="http://schemas.openxmlformats.org/officeDocument/2006/relationships/hyperlink" Target="https://ref.ly/Acts13:47" TargetMode="External"/><Relationship Id="rId13504" Type="http://schemas.openxmlformats.org/officeDocument/2006/relationships/hyperlink" Target="https://ref.ly/1John2:8" TargetMode="External"/><Relationship Id="rId13505" Type="http://schemas.openxmlformats.org/officeDocument/2006/relationships/hyperlink" Target="https://ref.ly/John3:19" TargetMode="External"/><Relationship Id="rId13506" Type="http://schemas.openxmlformats.org/officeDocument/2006/relationships/hyperlink" Target="https://ref.ly/John3:20-John3:21" TargetMode="External"/><Relationship Id="rId13507" Type="http://schemas.openxmlformats.org/officeDocument/2006/relationships/hyperlink" Target="https://ref.ly/John11:10" TargetMode="External"/><Relationship Id="rId13508" Type="http://schemas.openxmlformats.org/officeDocument/2006/relationships/hyperlink" Target="https://ref.ly/John12:36" TargetMode="External"/><Relationship Id="rId13509" Type="http://schemas.openxmlformats.org/officeDocument/2006/relationships/hyperlink" Target="https://ref.ly/Luke16:8" TargetMode="External"/><Relationship Id="rId13510" Type="http://schemas.openxmlformats.org/officeDocument/2006/relationships/hyperlink" Target="https://ref.ly/Matt5:14" TargetMode="External"/><Relationship Id="rId13511" Type="http://schemas.openxmlformats.org/officeDocument/2006/relationships/hyperlink" Target="https://ref.ly/Gen35:6" TargetMode="External"/><Relationship Id="rId13512" Type="http://schemas.openxmlformats.org/officeDocument/2006/relationships/hyperlink" Target="https://ref.ly/Judg1:22-Judg1:25" TargetMode="External"/><Relationship Id="rId13513" Type="http://schemas.openxmlformats.org/officeDocument/2006/relationships/hyperlink" Target="https://ref.ly/Josh12:4-Josh12:5" TargetMode="External"/><Relationship Id="rId13514" Type="http://schemas.openxmlformats.org/officeDocument/2006/relationships/hyperlink" Target="https://ref.ly/1Kgs2:39" TargetMode="External"/><Relationship Id="rId13515" Type="http://schemas.openxmlformats.org/officeDocument/2006/relationships/hyperlink" Target="https://ref.ly/1Kgs15:10" TargetMode="External"/><Relationship Id="rId13516" Type="http://schemas.openxmlformats.org/officeDocument/2006/relationships/hyperlink" Target="https://ref.ly/2Chr11:20-2Chr11:22" TargetMode="External"/><Relationship Id="rId13517" Type="http://schemas.openxmlformats.org/officeDocument/2006/relationships/hyperlink" Target="https://ref.ly/1Kgs15:10-1Kgs15:13" TargetMode="External"/><Relationship Id="rId13518" Type="http://schemas.openxmlformats.org/officeDocument/2006/relationships/hyperlink" Target="https://ref.ly/2Chr15:16" TargetMode="External"/><Relationship Id="rId13519" Type="http://schemas.openxmlformats.org/officeDocument/2006/relationships/hyperlink" Target="https://ref.ly/2Chr13:2" TargetMode="External"/><Relationship Id="rId13520" Type="http://schemas.openxmlformats.org/officeDocument/2006/relationships/hyperlink" Target="https://ref.ly/1Chr2:48" TargetMode="External"/><Relationship Id="rId13521" Type="http://schemas.openxmlformats.org/officeDocument/2006/relationships/hyperlink" Target="https://ref.ly/1Chr7:15-1Chr7:16" TargetMode="External"/><Relationship Id="rId13522" Type="http://schemas.openxmlformats.org/officeDocument/2006/relationships/hyperlink" Target="https://ref.ly/1Chr8:29" TargetMode="External"/><Relationship Id="rId13523" Type="http://schemas.openxmlformats.org/officeDocument/2006/relationships/hyperlink" Target="https://ref.ly/1Chr9:35" TargetMode="External"/><Relationship Id="rId13524" Type="http://schemas.openxmlformats.org/officeDocument/2006/relationships/hyperlink" Target="https://ref.ly/1Chr11:43" TargetMode="External"/><Relationship Id="rId13525" Type="http://schemas.openxmlformats.org/officeDocument/2006/relationships/hyperlink" Target="https://ref.ly/Josh12:5" TargetMode="External"/><Relationship Id="rId13526" Type="http://schemas.openxmlformats.org/officeDocument/2006/relationships/hyperlink" Target="https://ref.ly/Jer40:8" TargetMode="External"/><Relationship Id="rId13527" Type="http://schemas.openxmlformats.org/officeDocument/2006/relationships/hyperlink" Target="https://ref.ly/Gen5:12-Gen5:17" TargetMode="External"/><Relationship Id="rId13528" Type="http://schemas.openxmlformats.org/officeDocument/2006/relationships/hyperlink" Target="https://ref.ly/Neh11:4" TargetMode="External"/><Relationship Id="rId13529" Type="http://schemas.openxmlformats.org/officeDocument/2006/relationships/hyperlink" Target="https://ref.ly/Ps53:1-Ps53:6" TargetMode="External"/><Relationship Id="rId13530" Type="http://schemas.openxmlformats.org/officeDocument/2006/relationships/hyperlink" Target="https://ref.ly/Gen36:3-Gen36:17" TargetMode="External"/><Relationship Id="rId13531" Type="http://schemas.openxmlformats.org/officeDocument/2006/relationships/hyperlink" Target="https://ref.ly/Gen32:1-Gen32:11" TargetMode="External"/><Relationship Id="rId13532" Type="http://schemas.openxmlformats.org/officeDocument/2006/relationships/hyperlink" Target="https://ref.ly/Josh13:26,Josh13:30" TargetMode="External"/><Relationship Id="rId13533" Type="http://schemas.openxmlformats.org/officeDocument/2006/relationships/hyperlink" Target="https://ref.ly/Josh21:38" TargetMode="External"/><Relationship Id="rId13534" Type="http://schemas.openxmlformats.org/officeDocument/2006/relationships/hyperlink" Target="https://ref.ly/1Chr6:80" TargetMode="External"/><Relationship Id="rId13535" Type="http://schemas.openxmlformats.org/officeDocument/2006/relationships/hyperlink" Target="https://ref.ly/2Sam2:8,2Sam2:12,2Sam2:29" TargetMode="External"/><Relationship Id="rId13536" Type="http://schemas.openxmlformats.org/officeDocument/2006/relationships/hyperlink" Target="https://ref.ly/2Sam4:5-2Sam4:7" TargetMode="External"/><Relationship Id="rId13537" Type="http://schemas.openxmlformats.org/officeDocument/2006/relationships/hyperlink" Target="https://ref.ly/2Sam17:24-2Sam17:27" TargetMode="External"/><Relationship Id="rId13538" Type="http://schemas.openxmlformats.org/officeDocument/2006/relationships/hyperlink" Target="https://ref.ly/1Kgs4:14" TargetMode="External"/><Relationship Id="rId13539" Type="http://schemas.openxmlformats.org/officeDocument/2006/relationships/hyperlink" Target="https://ref.ly/Acts16:11-Acts16:12" TargetMode="External"/><Relationship Id="rId13540" Type="http://schemas.openxmlformats.org/officeDocument/2006/relationships/hyperlink" Target="https://ref.ly/Acts16:9-Acts16:12" TargetMode="External"/><Relationship Id="rId13541" Type="http://schemas.openxmlformats.org/officeDocument/2006/relationships/hyperlink" Target="https://ref.ly/Acts16:11-Acts17:15" TargetMode="External"/><Relationship Id="rId13542" Type="http://schemas.openxmlformats.org/officeDocument/2006/relationships/hyperlink" Target="https://ref.ly/Acts19:21-Acts19:22" TargetMode="External"/><Relationship Id="rId13543" Type="http://schemas.openxmlformats.org/officeDocument/2006/relationships/hyperlink" Target="https://ref.ly/Acts20:1-Acts20:3" TargetMode="External"/><Relationship Id="rId13544" Type="http://schemas.openxmlformats.org/officeDocument/2006/relationships/hyperlink" Target="https://ref.ly/1Cor16:5" TargetMode="External"/><Relationship Id="rId13545" Type="http://schemas.openxmlformats.org/officeDocument/2006/relationships/hyperlink" Target="https://ref.ly/2Cor1:16" TargetMode="External"/><Relationship Id="rId13546" Type="http://schemas.openxmlformats.org/officeDocument/2006/relationships/hyperlink" Target="https://ref.ly/2Cor9:2-2Cor9:4" TargetMode="External"/><Relationship Id="rId13547" Type="http://schemas.openxmlformats.org/officeDocument/2006/relationships/hyperlink" Target="https://ref.ly/2Cor8:1-2Cor8:2" TargetMode="External"/><Relationship Id="rId13548" Type="http://schemas.openxmlformats.org/officeDocument/2006/relationships/hyperlink" Target="https://ref.ly/2Cor7:5" TargetMode="External"/><Relationship Id="rId13549" Type="http://schemas.openxmlformats.org/officeDocument/2006/relationships/hyperlink" Target="https://ref.ly/Num36:11" TargetMode="External"/><Relationship Id="rId13550" Type="http://schemas.openxmlformats.org/officeDocument/2006/relationships/hyperlink" Target="https://ref.ly/Gen23:8-Gen23:19" TargetMode="External"/><Relationship Id="rId13551" Type="http://schemas.openxmlformats.org/officeDocument/2006/relationships/hyperlink" Target="https://ref.ly/Gen49:30-Gen49:31" TargetMode="External"/><Relationship Id="rId13552" Type="http://schemas.openxmlformats.org/officeDocument/2006/relationships/hyperlink" Target="https://ref.ly/Deut18:9-Deut18:14" TargetMode="External"/><Relationship Id="rId13553" Type="http://schemas.openxmlformats.org/officeDocument/2006/relationships/hyperlink" Target="https://ref.ly/Exod7:1-Exod8:32" TargetMode="External"/><Relationship Id="rId13554" Type="http://schemas.openxmlformats.org/officeDocument/2006/relationships/hyperlink" Target="https://ref.ly/Exod9:1-Exod9:35" TargetMode="External"/><Relationship Id="rId13555" Type="http://schemas.openxmlformats.org/officeDocument/2006/relationships/hyperlink" Target="https://ref.ly/Acts8:11" TargetMode="External"/><Relationship Id="rId13556" Type="http://schemas.openxmlformats.org/officeDocument/2006/relationships/hyperlink" Target="https://ref.ly/Acts19:11-Acts19:20" TargetMode="External"/><Relationship Id="rId13557" Type="http://schemas.openxmlformats.org/officeDocument/2006/relationships/hyperlink" Target="https://ref.ly/Ezra7:25" TargetMode="External"/><Relationship Id="rId13558" Type="http://schemas.openxmlformats.org/officeDocument/2006/relationships/hyperlink" Target="https://ref.ly/Luke12:58" TargetMode="External"/><Relationship Id="rId13559" Type="http://schemas.openxmlformats.org/officeDocument/2006/relationships/hyperlink" Target="https://ref.ly/Acts16:20-Acts16:38" TargetMode="External"/><Relationship Id="rId13560" Type="http://schemas.openxmlformats.org/officeDocument/2006/relationships/hyperlink" Target="https://ref.ly/Ezek38:2" TargetMode="External"/><Relationship Id="rId13561" Type="http://schemas.openxmlformats.org/officeDocument/2006/relationships/hyperlink" Target="https://ref.ly/Ezek39:6" TargetMode="External"/><Relationship Id="rId13562" Type="http://schemas.openxmlformats.org/officeDocument/2006/relationships/hyperlink" Target="https://ref.ly/Ezek38:1-Ezek38:23" TargetMode="External"/><Relationship Id="rId13563" Type="http://schemas.openxmlformats.org/officeDocument/2006/relationships/hyperlink" Target="https://ref.ly/Ezek39:1-Ezek39:29" TargetMode="External"/><Relationship Id="rId13564" Type="http://schemas.openxmlformats.org/officeDocument/2006/relationships/hyperlink" Target="https://ref.ly/Ezek38:8-Ezek38:16" TargetMode="External"/><Relationship Id="rId13565" Type="http://schemas.openxmlformats.org/officeDocument/2006/relationships/hyperlink" Target="https://ref.ly/Ezek38:5-Ezek38:6" TargetMode="External"/><Relationship Id="rId13566" Type="http://schemas.openxmlformats.org/officeDocument/2006/relationships/hyperlink" Target="https://ref.ly/Rev20:8" TargetMode="External"/><Relationship Id="rId13567" Type="http://schemas.openxmlformats.org/officeDocument/2006/relationships/hyperlink" Target="https://ref.ly/Matt2:1-Matt2:2" TargetMode="External"/><Relationship Id="rId13568" Type="http://schemas.openxmlformats.org/officeDocument/2006/relationships/hyperlink" Target="https://ref.ly/Isa60:3" TargetMode="External"/><Relationship Id="rId13569" Type="http://schemas.openxmlformats.org/officeDocument/2006/relationships/hyperlink" Target="https://ref.ly/Matt2:2-Matt2:6" TargetMode="External"/><Relationship Id="rId13570" Type="http://schemas.openxmlformats.org/officeDocument/2006/relationships/hyperlink" Target="https://ref.ly/Ps68:29" TargetMode="External"/><Relationship Id="rId13571" Type="http://schemas.openxmlformats.org/officeDocument/2006/relationships/hyperlink" Target="https://ref.ly/Ps72:10" TargetMode="External"/><Relationship Id="rId13572" Type="http://schemas.openxmlformats.org/officeDocument/2006/relationships/hyperlink" Target="https://ref.ly/Matt2:3-Matt2:6" TargetMode="External"/><Relationship Id="rId13573" Type="http://schemas.openxmlformats.org/officeDocument/2006/relationships/hyperlink" Target="https://ref.ly/Exod6:19" TargetMode="External"/><Relationship Id="rId13574" Type="http://schemas.openxmlformats.org/officeDocument/2006/relationships/hyperlink" Target="https://ref.ly/2Chr36:15-2Chr36:16" TargetMode="External"/><Relationship Id="rId13575" Type="http://schemas.openxmlformats.org/officeDocument/2006/relationships/hyperlink" Target="https://ref.ly/Neh5:2-Neh5:13" TargetMode="External"/><Relationship Id="rId13576" Type="http://schemas.openxmlformats.org/officeDocument/2006/relationships/hyperlink" Target="https://ref.ly/Neh10:35-Neh10:39" TargetMode="External"/><Relationship Id="rId13577" Type="http://schemas.openxmlformats.org/officeDocument/2006/relationships/hyperlink" Target="https://ref.ly/Neh13:6-Neh13:31" TargetMode="External"/><Relationship Id="rId13578" Type="http://schemas.openxmlformats.org/officeDocument/2006/relationships/hyperlink" Target="https://ref.ly/Neh13:1-Neh13:31" TargetMode="External"/><Relationship Id="rId13579" Type="http://schemas.openxmlformats.org/officeDocument/2006/relationships/hyperlink" Target="https://ref.ly/Mal1:6-Mal1:14" TargetMode="External"/><Relationship Id="rId13580" Type="http://schemas.openxmlformats.org/officeDocument/2006/relationships/hyperlink" Target="https://ref.ly/Mal2:14-Mal2:16" TargetMode="External"/><Relationship Id="rId13581" Type="http://schemas.openxmlformats.org/officeDocument/2006/relationships/hyperlink" Target="https://ref.ly/Mal3:8-Mal3:11" TargetMode="External"/><Relationship Id="rId13582" Type="http://schemas.openxmlformats.org/officeDocument/2006/relationships/hyperlink" Target="https://ref.ly/Mal1:8" TargetMode="External"/><Relationship Id="rId13583" Type="http://schemas.openxmlformats.org/officeDocument/2006/relationships/hyperlink" Target="https://ref.ly/Mal1:2" TargetMode="External"/><Relationship Id="rId13584" Type="http://schemas.openxmlformats.org/officeDocument/2006/relationships/hyperlink" Target="https://ref.ly/Mal2:17" TargetMode="External"/><Relationship Id="rId13585" Type="http://schemas.openxmlformats.org/officeDocument/2006/relationships/hyperlink" Target="https://ref.ly/Mal1:6" TargetMode="External"/><Relationship Id="rId13586" Type="http://schemas.openxmlformats.org/officeDocument/2006/relationships/hyperlink" Target="https://ref.ly/Mal3:14-Mal3:18" TargetMode="External"/><Relationship Id="rId13587" Type="http://schemas.openxmlformats.org/officeDocument/2006/relationships/hyperlink" Target="https://ref.ly/Mal1:14" TargetMode="External"/><Relationship Id="rId13588" Type="http://schemas.openxmlformats.org/officeDocument/2006/relationships/hyperlink" Target="https://ref.ly/Mal1:5" TargetMode="External"/><Relationship Id="rId13589" Type="http://schemas.openxmlformats.org/officeDocument/2006/relationships/hyperlink" Target="https://ref.ly/Mal2:10" TargetMode="External"/><Relationship Id="rId13590" Type="http://schemas.openxmlformats.org/officeDocument/2006/relationships/hyperlink" Target="https://ref.ly/Mal3:1-Mal3:2" TargetMode="External"/><Relationship Id="rId13591" Type="http://schemas.openxmlformats.org/officeDocument/2006/relationships/hyperlink" Target="https://ref.ly/Mal3:2-Mal3:4" TargetMode="External"/><Relationship Id="rId13592" Type="http://schemas.openxmlformats.org/officeDocument/2006/relationships/hyperlink" Target="https://ref.ly/Rom9:10-Rom9:13" TargetMode="External"/><Relationship Id="rId13593" Type="http://schemas.openxmlformats.org/officeDocument/2006/relationships/hyperlink" Target="https://ref.ly/Mal1:7" TargetMode="External"/><Relationship Id="rId13594" Type="http://schemas.openxmlformats.org/officeDocument/2006/relationships/hyperlink" Target="https://ref.ly/Mal1:13" TargetMode="External"/><Relationship Id="rId13595" Type="http://schemas.openxmlformats.org/officeDocument/2006/relationships/hyperlink" Target="https://ref.ly/Mal1:10" TargetMode="External"/><Relationship Id="rId13596" Type="http://schemas.openxmlformats.org/officeDocument/2006/relationships/hyperlink" Target="https://ref.ly/Isa1:12-Isa1:13" TargetMode="External"/><Relationship Id="rId13597" Type="http://schemas.openxmlformats.org/officeDocument/2006/relationships/hyperlink" Target="https://ref.ly/1Sam2:15-1Sam2:17" TargetMode="External"/><Relationship Id="rId13598" Type="http://schemas.openxmlformats.org/officeDocument/2006/relationships/hyperlink" Target="https://ref.ly/Ps19:14" TargetMode="External"/><Relationship Id="rId13599" Type="http://schemas.openxmlformats.org/officeDocument/2006/relationships/hyperlink" Target="https://ref.ly/Acts10:35" TargetMode="External"/><Relationship Id="rId13600" Type="http://schemas.openxmlformats.org/officeDocument/2006/relationships/hyperlink" Target="https://ref.ly/Mal2:2" TargetMode="External"/><Relationship Id="rId13601" Type="http://schemas.openxmlformats.org/officeDocument/2006/relationships/hyperlink" Target="https://ref.ly/Mal2:5" TargetMode="External"/><Relationship Id="rId13602" Type="http://schemas.openxmlformats.org/officeDocument/2006/relationships/hyperlink" Target="https://ref.ly/Num25:10-Num25:13" TargetMode="External"/><Relationship Id="rId13603" Type="http://schemas.openxmlformats.org/officeDocument/2006/relationships/hyperlink" Target="https://ref.ly/Mal2:6" TargetMode="External"/><Relationship Id="rId13604" Type="http://schemas.openxmlformats.org/officeDocument/2006/relationships/hyperlink" Target="https://ref.ly/Mal2:7" TargetMode="External"/><Relationship Id="rId13605" Type="http://schemas.openxmlformats.org/officeDocument/2006/relationships/hyperlink" Target="https://ref.ly/Mal2:9" TargetMode="External"/><Relationship Id="rId13606" Type="http://schemas.openxmlformats.org/officeDocument/2006/relationships/hyperlink" Target="https://ref.ly/Lev19:15" TargetMode="External"/><Relationship Id="rId13607" Type="http://schemas.openxmlformats.org/officeDocument/2006/relationships/hyperlink" Target="https://ref.ly/Ezra9:1-Ezra9:2" TargetMode="External"/><Relationship Id="rId13608" Type="http://schemas.openxmlformats.org/officeDocument/2006/relationships/hyperlink" Target="https://ref.ly/Neh13:23-Neh13:29" TargetMode="External"/><Relationship Id="rId13609" Type="http://schemas.openxmlformats.org/officeDocument/2006/relationships/hyperlink" Target="https://ref.ly/Mal2:14-Mal2:15" TargetMode="External"/><Relationship Id="rId13610" Type="http://schemas.openxmlformats.org/officeDocument/2006/relationships/hyperlink" Target="https://ref.ly/Matt11:10" TargetMode="External"/><Relationship Id="rId13611" Type="http://schemas.openxmlformats.org/officeDocument/2006/relationships/hyperlink" Target="https://ref.ly/John2:13-John2:17" TargetMode="External"/><Relationship Id="rId13612" Type="http://schemas.openxmlformats.org/officeDocument/2006/relationships/hyperlink" Target="https://ref.ly/John9:39" TargetMode="External"/><Relationship Id="rId13613" Type="http://schemas.openxmlformats.org/officeDocument/2006/relationships/hyperlink" Target="https://ref.ly/Mal3:3-Mal3:4" TargetMode="External"/><Relationship Id="rId13614" Type="http://schemas.openxmlformats.org/officeDocument/2006/relationships/hyperlink" Target="https://ref.ly/Mal2:4-Mal2:5" TargetMode="External"/><Relationship Id="rId13615" Type="http://schemas.openxmlformats.org/officeDocument/2006/relationships/hyperlink" Target="https://ref.ly/Neh10:37-Neh10:39" TargetMode="External"/><Relationship Id="rId13616" Type="http://schemas.openxmlformats.org/officeDocument/2006/relationships/hyperlink" Target="https://ref.ly/Neh13:10-Neh13:11" TargetMode="External"/><Relationship Id="rId13617" Type="http://schemas.openxmlformats.org/officeDocument/2006/relationships/hyperlink" Target="https://ref.ly/Mal3:8-Mal3:9" TargetMode="External"/><Relationship Id="rId13618" Type="http://schemas.openxmlformats.org/officeDocument/2006/relationships/hyperlink" Target="https://ref.ly/Mal3:10-Mal3:12" TargetMode="External"/><Relationship Id="rId13619" Type="http://schemas.openxmlformats.org/officeDocument/2006/relationships/hyperlink" Target="https://ref.ly/2Kgs7:2" TargetMode="External"/><Relationship Id="rId13620" Type="http://schemas.openxmlformats.org/officeDocument/2006/relationships/hyperlink" Target="https://ref.ly/Mal3:10" TargetMode="External"/><Relationship Id="rId13621" Type="http://schemas.openxmlformats.org/officeDocument/2006/relationships/hyperlink" Target="https://ref.ly/Mal3:12" TargetMode="External"/><Relationship Id="rId13622" Type="http://schemas.openxmlformats.org/officeDocument/2006/relationships/hyperlink" Target="https://ref.ly/Mal3:9" TargetMode="External"/><Relationship Id="rId13623" Type="http://schemas.openxmlformats.org/officeDocument/2006/relationships/hyperlink" Target="https://ref.ly/Mal4:6" TargetMode="External"/><Relationship Id="rId13624" Type="http://schemas.openxmlformats.org/officeDocument/2006/relationships/hyperlink" Target="https://ref.ly/Mal3:13-Mal3:15" TargetMode="External"/><Relationship Id="rId13625" Type="http://schemas.openxmlformats.org/officeDocument/2006/relationships/hyperlink" Target="https://ref.ly/Mal3:16-Mal3:18" TargetMode="External"/><Relationship Id="rId13626" Type="http://schemas.openxmlformats.org/officeDocument/2006/relationships/hyperlink" Target="https://ref.ly/Mal3:17" TargetMode="External"/><Relationship Id="rId13627" Type="http://schemas.openxmlformats.org/officeDocument/2006/relationships/hyperlink" Target="https://ref.ly/Mal4:3" TargetMode="External"/><Relationship Id="rId13628" Type="http://schemas.openxmlformats.org/officeDocument/2006/relationships/hyperlink" Target="https://ref.ly/Mal3:7" TargetMode="External"/><Relationship Id="rId13629" Type="http://schemas.openxmlformats.org/officeDocument/2006/relationships/hyperlink" Target="https://ref.ly/Josh6:17-Josh6:19" TargetMode="External"/><Relationship Id="rId13630" Type="http://schemas.openxmlformats.org/officeDocument/2006/relationships/hyperlink" Target="https://ref.ly/Mal1:2-Mal1:5" TargetMode="External"/><Relationship Id="rId13631" Type="http://schemas.openxmlformats.org/officeDocument/2006/relationships/hyperlink" Target="https://ref.ly/Prov26:2" TargetMode="External"/><Relationship Id="rId13632" Type="http://schemas.openxmlformats.org/officeDocument/2006/relationships/hyperlink" Target="https://ref.ly/Exod12:32" TargetMode="External"/><Relationship Id="rId13633" Type="http://schemas.openxmlformats.org/officeDocument/2006/relationships/hyperlink" Target="https://ref.ly/Judg17:1-Judg17:2" TargetMode="External"/><Relationship Id="rId13634" Type="http://schemas.openxmlformats.org/officeDocument/2006/relationships/hyperlink" Target="https://ref.ly/2Sam21:1-2Sam21:3" TargetMode="External"/><Relationship Id="rId13635" Type="http://schemas.openxmlformats.org/officeDocument/2006/relationships/hyperlink" Target="https://ref.ly/Matt15:4" TargetMode="External"/><Relationship Id="rId13636" Type="http://schemas.openxmlformats.org/officeDocument/2006/relationships/hyperlink" Target="https://ref.ly/Exod22:28" TargetMode="External"/><Relationship Id="rId13637" Type="http://schemas.openxmlformats.org/officeDocument/2006/relationships/hyperlink" Target="https://ref.ly/Job31:7-Job31:10,Job31:16-Job31:22" TargetMode="External"/><Relationship Id="rId13638" Type="http://schemas.openxmlformats.org/officeDocument/2006/relationships/hyperlink" Target="https://ref.ly/Ps137:5-Ps137:6" TargetMode="External"/><Relationship Id="rId13639" Type="http://schemas.openxmlformats.org/officeDocument/2006/relationships/hyperlink" Target="https://ref.ly/Mark14:71" TargetMode="External"/><Relationship Id="rId13640" Type="http://schemas.openxmlformats.org/officeDocument/2006/relationships/hyperlink" Target="https://ref.ly/Acts23:12,Acts23:14,Acts23:21" TargetMode="External"/><Relationship Id="rId13641" Type="http://schemas.openxmlformats.org/officeDocument/2006/relationships/hyperlink" Target="https://ref.ly/Gen4:11-Gen4:12" TargetMode="External"/><Relationship Id="rId13642" Type="http://schemas.openxmlformats.org/officeDocument/2006/relationships/hyperlink" Target="https://ref.ly/1Sam14:24,1Sam14:43-1Sam14:45" TargetMode="External"/><Relationship Id="rId13643" Type="http://schemas.openxmlformats.org/officeDocument/2006/relationships/hyperlink" Target="https://ref.ly/Gen9:25" TargetMode="External"/><Relationship Id="rId13644" Type="http://schemas.openxmlformats.org/officeDocument/2006/relationships/hyperlink" Target="https://ref.ly/Josh9:22-Josh9:23" TargetMode="External"/><Relationship Id="rId13645" Type="http://schemas.openxmlformats.org/officeDocument/2006/relationships/hyperlink" Target="https://ref.ly/Judg9:7-Judg9:21,Judg9:57" TargetMode="External"/><Relationship Id="rId13646" Type="http://schemas.openxmlformats.org/officeDocument/2006/relationships/hyperlink" Target="https://ref.ly/2Sam16:5-2Sam16:13" TargetMode="External"/><Relationship Id="rId13647" Type="http://schemas.openxmlformats.org/officeDocument/2006/relationships/hyperlink" Target="https://ref.ly/Isa5:8-Isa5:23" TargetMode="External"/><Relationship Id="rId13648" Type="http://schemas.openxmlformats.org/officeDocument/2006/relationships/hyperlink" Target="https://ref.ly/Matt23:13-Matt23:33" TargetMode="External"/><Relationship Id="rId13649" Type="http://schemas.openxmlformats.org/officeDocument/2006/relationships/hyperlink" Target="https://ref.ly/Ps109:1-Ps109:31" TargetMode="External"/><Relationship Id="rId13650" Type="http://schemas.openxmlformats.org/officeDocument/2006/relationships/hyperlink" Target="https://ref.ly/Ps58:6-Ps58:11" TargetMode="External"/><Relationship Id="rId13651" Type="http://schemas.openxmlformats.org/officeDocument/2006/relationships/hyperlink" Target="https://ref.ly/Ps69:19-Ps69:28" TargetMode="External"/><Relationship Id="rId13652" Type="http://schemas.openxmlformats.org/officeDocument/2006/relationships/hyperlink" Target="https://ref.ly/Ps143:12" TargetMode="External"/><Relationship Id="rId13653" Type="http://schemas.openxmlformats.org/officeDocument/2006/relationships/hyperlink" Target="https://ref.ly/Jer11:20" TargetMode="External"/><Relationship Id="rId13654" Type="http://schemas.openxmlformats.org/officeDocument/2006/relationships/hyperlink" Target="https://ref.ly/Jer12:3" TargetMode="External"/><Relationship Id="rId13655" Type="http://schemas.openxmlformats.org/officeDocument/2006/relationships/hyperlink" Target="https://ref.ly/Jer17:18" TargetMode="External"/><Relationship Id="rId13656" Type="http://schemas.openxmlformats.org/officeDocument/2006/relationships/hyperlink" Target="https://ref.ly/Jer18:21-Jer18:22" TargetMode="External"/><Relationship Id="rId13657" Type="http://schemas.openxmlformats.org/officeDocument/2006/relationships/hyperlink" Target="https://ref.ly/Jer20:11-Jer20:12" TargetMode="External"/><Relationship Id="rId13658" Type="http://schemas.openxmlformats.org/officeDocument/2006/relationships/hyperlink" Target="https://ref.ly/Jer18:23" TargetMode="External"/><Relationship Id="rId13659" Type="http://schemas.openxmlformats.org/officeDocument/2006/relationships/hyperlink" Target="https://ref.ly/Luke6:28" TargetMode="External"/><Relationship Id="rId13660" Type="http://schemas.openxmlformats.org/officeDocument/2006/relationships/hyperlink" Target="https://ref.ly/Rom12:14" TargetMode="External"/><Relationship Id="rId13661" Type="http://schemas.openxmlformats.org/officeDocument/2006/relationships/hyperlink" Target="https://ref.ly/Gen15:7-Gen15:21" TargetMode="External"/><Relationship Id="rId13662" Type="http://schemas.openxmlformats.org/officeDocument/2006/relationships/hyperlink" Target="https://ref.ly/Jer34:18-Jer34:19" TargetMode="External"/><Relationship Id="rId13663" Type="http://schemas.openxmlformats.org/officeDocument/2006/relationships/hyperlink" Target="https://ref.ly/Deut11:26-Deut11:28" TargetMode="External"/><Relationship Id="rId13664" Type="http://schemas.openxmlformats.org/officeDocument/2006/relationships/hyperlink" Target="https://ref.ly/Deut30:19" TargetMode="External"/><Relationship Id="rId13665" Type="http://schemas.openxmlformats.org/officeDocument/2006/relationships/hyperlink" Target="https://ref.ly/Lev26:3-Lev26:39" TargetMode="External"/><Relationship Id="rId13666" Type="http://schemas.openxmlformats.org/officeDocument/2006/relationships/hyperlink" Target="https://ref.ly/Jer11:3" TargetMode="External"/><Relationship Id="rId13667" Type="http://schemas.openxmlformats.org/officeDocument/2006/relationships/hyperlink" Target="https://ref.ly/Ezek17:11-Ezek17:21" TargetMode="External"/><Relationship Id="rId13668" Type="http://schemas.openxmlformats.org/officeDocument/2006/relationships/hyperlink" Target="https://ref.ly/Ezek44:29" TargetMode="External"/><Relationship Id="rId13669" Type="http://schemas.openxmlformats.org/officeDocument/2006/relationships/hyperlink" Target="https://ref.ly/Deut2:34" TargetMode="External"/><Relationship Id="rId13670" Type="http://schemas.openxmlformats.org/officeDocument/2006/relationships/hyperlink" Target="https://ref.ly/Deut3:6" TargetMode="External"/><Relationship Id="rId13671" Type="http://schemas.openxmlformats.org/officeDocument/2006/relationships/hyperlink" Target="https://ref.ly/Deut7:2,Deut7:25-Deut7:26" TargetMode="External"/><Relationship Id="rId13672" Type="http://schemas.openxmlformats.org/officeDocument/2006/relationships/hyperlink" Target="https://ref.ly/Ezra10:8" TargetMode="External"/><Relationship Id="rId13673" Type="http://schemas.openxmlformats.org/officeDocument/2006/relationships/hyperlink" Target="https://ref.ly/Luke6:22" TargetMode="External"/><Relationship Id="rId13674" Type="http://schemas.openxmlformats.org/officeDocument/2006/relationships/hyperlink" Target="https://ref.ly/John12:42" TargetMode="External"/><Relationship Id="rId13675" Type="http://schemas.openxmlformats.org/officeDocument/2006/relationships/hyperlink" Target="https://ref.ly/John16:2" TargetMode="External"/><Relationship Id="rId13676" Type="http://schemas.openxmlformats.org/officeDocument/2006/relationships/hyperlink" Target="https://ref.ly/Acts26:11" TargetMode="External"/><Relationship Id="rId13677" Type="http://schemas.openxmlformats.org/officeDocument/2006/relationships/hyperlink" Target="https://ref.ly/Gal1:8-Gal1:9" TargetMode="External"/><Relationship Id="rId13678" Type="http://schemas.openxmlformats.org/officeDocument/2006/relationships/hyperlink" Target="https://ref.ly/Gal3:8-Gal3:14" TargetMode="External"/><Relationship Id="rId13679" Type="http://schemas.openxmlformats.org/officeDocument/2006/relationships/hyperlink" Target="https://ref.ly/Num3:20" TargetMode="External"/><Relationship Id="rId13680" Type="http://schemas.openxmlformats.org/officeDocument/2006/relationships/hyperlink" Target="https://ref.ly/1Chr6:19,1Chr6:29" TargetMode="External"/><Relationship Id="rId13681" Type="http://schemas.openxmlformats.org/officeDocument/2006/relationships/hyperlink" Target="https://ref.ly/1Chr23:21" TargetMode="External"/><Relationship Id="rId13682" Type="http://schemas.openxmlformats.org/officeDocument/2006/relationships/hyperlink" Target="https://ref.ly/1Chr24:26-1Chr24:28" TargetMode="External"/><Relationship Id="rId13683" Type="http://schemas.openxmlformats.org/officeDocument/2006/relationships/hyperlink" Target="https://ref.ly/Ezra8:18" TargetMode="External"/><Relationship Id="rId13684" Type="http://schemas.openxmlformats.org/officeDocument/2006/relationships/hyperlink" Target="https://ref.ly/Num3:33" TargetMode="External"/><Relationship Id="rId13685" Type="http://schemas.openxmlformats.org/officeDocument/2006/relationships/hyperlink" Target="https://ref.ly/Num4:29-Num4:33" TargetMode="External"/><Relationship Id="rId13686" Type="http://schemas.openxmlformats.org/officeDocument/2006/relationships/hyperlink" Target="https://ref.ly/1Chr6:47" TargetMode="External"/><Relationship Id="rId13687" Type="http://schemas.openxmlformats.org/officeDocument/2006/relationships/hyperlink" Target="https://ref.ly/1Chr23:23" TargetMode="External"/><Relationship Id="rId13688" Type="http://schemas.openxmlformats.org/officeDocument/2006/relationships/hyperlink" Target="https://ref.ly/1Chr24:30" TargetMode="External"/><Relationship Id="rId13689" Type="http://schemas.openxmlformats.org/officeDocument/2006/relationships/hyperlink" Target="https://ref.ly/Acts28:1" TargetMode="External"/><Relationship Id="rId13690" Type="http://schemas.openxmlformats.org/officeDocument/2006/relationships/hyperlink" Target="https://ref.ly/Acts27:7-Acts27:8" TargetMode="External"/><Relationship Id="rId13691" Type="http://schemas.openxmlformats.org/officeDocument/2006/relationships/hyperlink" Target="https://ref.ly/Acts28:6" TargetMode="External"/><Relationship Id="rId13692" Type="http://schemas.openxmlformats.org/officeDocument/2006/relationships/hyperlink" Target="https://ref.ly/Gen35:27" TargetMode="External"/><Relationship Id="rId13693" Type="http://schemas.openxmlformats.org/officeDocument/2006/relationships/hyperlink" Target="https://ref.ly/Exod16:14-Exod16:15" TargetMode="External"/><Relationship Id="rId13694" Type="http://schemas.openxmlformats.org/officeDocument/2006/relationships/hyperlink" Target="https://ref.ly/Num11:8" TargetMode="External"/><Relationship Id="rId13695" Type="http://schemas.openxmlformats.org/officeDocument/2006/relationships/hyperlink" Target="https://ref.ly/Exod16:15" TargetMode="External"/><Relationship Id="rId13696" Type="http://schemas.openxmlformats.org/officeDocument/2006/relationships/hyperlink" Target="https://ref.ly/Exod16:20" TargetMode="External"/><Relationship Id="rId13697" Type="http://schemas.openxmlformats.org/officeDocument/2006/relationships/hyperlink" Target="https://ref.ly/Num11:4-Num11:6,Num11:18-Num11:20" TargetMode="External"/><Relationship Id="rId13698" Type="http://schemas.openxmlformats.org/officeDocument/2006/relationships/hyperlink" Target="https://ref.ly/Ps78:24" TargetMode="External"/><Relationship Id="rId13699" Type="http://schemas.openxmlformats.org/officeDocument/2006/relationships/hyperlink" Target="https://ref.ly/Ps78:25" TargetMode="External"/><Relationship Id="rId13700" Type="http://schemas.openxmlformats.org/officeDocument/2006/relationships/hyperlink" Target="https://ref.ly/John6:25-John6:59" TargetMode="External"/><Relationship Id="rId13701" Type="http://schemas.openxmlformats.org/officeDocument/2006/relationships/hyperlink" Target="https://ref.ly/Gen41:50-Gen41:51" TargetMode="External"/><Relationship Id="rId13702" Type="http://schemas.openxmlformats.org/officeDocument/2006/relationships/hyperlink" Target="https://ref.ly/Gen48:5-Gen48:6" TargetMode="External"/><Relationship Id="rId13703" Type="http://schemas.openxmlformats.org/officeDocument/2006/relationships/hyperlink" Target="https://ref.ly/Rev7:6" TargetMode="External"/><Relationship Id="rId13704" Type="http://schemas.openxmlformats.org/officeDocument/2006/relationships/hyperlink" Target="https://ref.ly/Matt1:10" TargetMode="External"/><Relationship Id="rId13705" Type="http://schemas.openxmlformats.org/officeDocument/2006/relationships/hyperlink" Target="https://ref.ly/2Kgs21:1-2Kgs21:26" TargetMode="External"/><Relationship Id="rId13706" Type="http://schemas.openxmlformats.org/officeDocument/2006/relationships/hyperlink" Target="https://ref.ly/2Chr33:1-2Chr33:20" TargetMode="External"/><Relationship Id="rId13707" Type="http://schemas.openxmlformats.org/officeDocument/2006/relationships/hyperlink" Target="https://ref.ly/2Kgs21:16" TargetMode="External"/><Relationship Id="rId13708" Type="http://schemas.openxmlformats.org/officeDocument/2006/relationships/hyperlink" Target="https://ref.ly/2Chr33:11-2Chr33:16" TargetMode="External"/><Relationship Id="rId13709" Type="http://schemas.openxmlformats.org/officeDocument/2006/relationships/hyperlink" Target="https://ref.ly/2Kgs21:18" TargetMode="External"/><Relationship Id="rId13710" Type="http://schemas.openxmlformats.org/officeDocument/2006/relationships/hyperlink" Target="https://ref.ly/2Chr24:16" TargetMode="External"/><Relationship Id="rId13711" Type="http://schemas.openxmlformats.org/officeDocument/2006/relationships/hyperlink" Target="https://ref.ly/2Chr32:33" TargetMode="External"/><Relationship Id="rId13712" Type="http://schemas.openxmlformats.org/officeDocument/2006/relationships/hyperlink" Target="https://ref.ly/2Kgs23:4-2Kgs23:14" TargetMode="External"/><Relationship Id="rId13713" Type="http://schemas.openxmlformats.org/officeDocument/2006/relationships/hyperlink" Target="https://ref.ly/Ezra10:33" TargetMode="External"/><Relationship Id="rId13714" Type="http://schemas.openxmlformats.org/officeDocument/2006/relationships/hyperlink" Target="https://ref.ly/Num26:28-Num26:34" TargetMode="External"/><Relationship Id="rId13715" Type="http://schemas.openxmlformats.org/officeDocument/2006/relationships/hyperlink" Target="https://ref.ly/Josh17:1-Josh17:3" TargetMode="External"/><Relationship Id="rId13716" Type="http://schemas.openxmlformats.org/officeDocument/2006/relationships/hyperlink" Target="https://ref.ly/1Chr2:21-1Chr2:23" TargetMode="External"/><Relationship Id="rId13717" Type="http://schemas.openxmlformats.org/officeDocument/2006/relationships/hyperlink" Target="https://ref.ly/1Chr7:14-1Chr7:19" TargetMode="External"/><Relationship Id="rId13718" Type="http://schemas.openxmlformats.org/officeDocument/2006/relationships/hyperlink" Target="https://ref.ly/Num1:34-Num1:35" TargetMode="External"/><Relationship Id="rId13719" Type="http://schemas.openxmlformats.org/officeDocument/2006/relationships/hyperlink" Target="https://ref.ly/Num21:32-Num21:35" TargetMode="External"/><Relationship Id="rId13720" Type="http://schemas.openxmlformats.org/officeDocument/2006/relationships/hyperlink" Target="https://ref.ly/Num32:39-Num32:42" TargetMode="External"/><Relationship Id="rId13721" Type="http://schemas.openxmlformats.org/officeDocument/2006/relationships/hyperlink" Target="https://ref.ly/Deut3:1-Deut3:15" TargetMode="External"/><Relationship Id="rId13722" Type="http://schemas.openxmlformats.org/officeDocument/2006/relationships/hyperlink" Target="https://ref.ly/Num32:1-Num32:32" TargetMode="External"/><Relationship Id="rId13723" Type="http://schemas.openxmlformats.org/officeDocument/2006/relationships/hyperlink" Target="https://ref.ly/Josh16:1-Josh16:9" TargetMode="External"/><Relationship Id="rId13724" Type="http://schemas.openxmlformats.org/officeDocument/2006/relationships/hyperlink" Target="https://ref.ly/Josh17:1-Josh17:18" TargetMode="External"/><Relationship Id="rId13725" Type="http://schemas.openxmlformats.org/officeDocument/2006/relationships/hyperlink" Target="https://ref.ly/Josh22:1-Josh22:9" TargetMode="External"/><Relationship Id="rId13726" Type="http://schemas.openxmlformats.org/officeDocument/2006/relationships/hyperlink" Target="https://ref.ly/Deut3:12-Deut3:15" TargetMode="External"/><Relationship Id="rId13727" Type="http://schemas.openxmlformats.org/officeDocument/2006/relationships/hyperlink" Target="https://ref.ly/Josh13:8-Josh13:13" TargetMode="External"/><Relationship Id="rId13728" Type="http://schemas.openxmlformats.org/officeDocument/2006/relationships/hyperlink" Target="https://ref.ly/Judg11:6-Judg11:12" TargetMode="External"/><Relationship Id="rId13729" Type="http://schemas.openxmlformats.org/officeDocument/2006/relationships/hyperlink" Target="https://ref.ly/2Sam19:31-2Sam19:39" TargetMode="External"/><Relationship Id="rId13730" Type="http://schemas.openxmlformats.org/officeDocument/2006/relationships/hyperlink" Target="https://ref.ly/1Kgs4:13-1Kgs4:14" TargetMode="External"/><Relationship Id="rId13731" Type="http://schemas.openxmlformats.org/officeDocument/2006/relationships/hyperlink" Target="https://ref.ly/2Chr34:6-2Chr34:7" TargetMode="External"/><Relationship Id="rId13732" Type="http://schemas.openxmlformats.org/officeDocument/2006/relationships/hyperlink" Target="https://ref.ly/2Kgs17:24-2Kgs17:41" TargetMode="External"/><Relationship Id="rId13733" Type="http://schemas.openxmlformats.org/officeDocument/2006/relationships/hyperlink" Target="https://ref.ly/Exod20:4-Exod20:6" TargetMode="External"/><Relationship Id="rId13734" Type="http://schemas.openxmlformats.org/officeDocument/2006/relationships/hyperlink" Target="https://ref.ly/Deut5:8-Deut5:10" TargetMode="External"/><Relationship Id="rId13735" Type="http://schemas.openxmlformats.org/officeDocument/2006/relationships/hyperlink" Target="https://ref.ly/Deut5:11" TargetMode="External"/><Relationship Id="rId13736" Type="http://schemas.openxmlformats.org/officeDocument/2006/relationships/hyperlink" Target="https://ref.ly/Exod20:11" TargetMode="External"/><Relationship Id="rId13737" Type="http://schemas.openxmlformats.org/officeDocument/2006/relationships/hyperlink" Target="https://ref.ly/Deut5:15" TargetMode="External"/><Relationship Id="rId13738" Type="http://schemas.openxmlformats.org/officeDocument/2006/relationships/hyperlink" Target="https://ref.ly/Deut5:16" TargetMode="External"/><Relationship Id="rId13739" Type="http://schemas.openxmlformats.org/officeDocument/2006/relationships/hyperlink" Target="https://ref.ly/Deut5:17" TargetMode="External"/><Relationship Id="rId13740" Type="http://schemas.openxmlformats.org/officeDocument/2006/relationships/hyperlink" Target="https://ref.ly/Deut19:1-Deut19:13" TargetMode="External"/><Relationship Id="rId13741" Type="http://schemas.openxmlformats.org/officeDocument/2006/relationships/hyperlink" Target="https://ref.ly/Exod20:15" TargetMode="External"/><Relationship Id="rId13742" Type="http://schemas.openxmlformats.org/officeDocument/2006/relationships/hyperlink" Target="https://ref.ly/Deut5:19" TargetMode="External"/><Relationship Id="rId13743" Type="http://schemas.openxmlformats.org/officeDocument/2006/relationships/hyperlink" Target="https://ref.ly/Exod20:16" TargetMode="External"/><Relationship Id="rId13744" Type="http://schemas.openxmlformats.org/officeDocument/2006/relationships/hyperlink" Target="https://ref.ly/Deut5:20" TargetMode="External"/><Relationship Id="rId13745" Type="http://schemas.openxmlformats.org/officeDocument/2006/relationships/hyperlink" Target="https://ref.ly/Matt22:37-Matt22:38" TargetMode="External"/><Relationship Id="rId13746" Type="http://schemas.openxmlformats.org/officeDocument/2006/relationships/hyperlink" Target="https://ref.ly/Song7:13" TargetMode="External"/><Relationship Id="rId13747" Type="http://schemas.openxmlformats.org/officeDocument/2006/relationships/hyperlink" Target="https://ref.ly/Luke2:7,Luke2:12,Luke2:16" TargetMode="External"/><Relationship Id="rId13748" Type="http://schemas.openxmlformats.org/officeDocument/2006/relationships/hyperlink" Target="https://ref.ly/Job39:9" TargetMode="External"/><Relationship Id="rId13749" Type="http://schemas.openxmlformats.org/officeDocument/2006/relationships/hyperlink" Target="https://ref.ly/Prov14:4" TargetMode="External"/><Relationship Id="rId13750" Type="http://schemas.openxmlformats.org/officeDocument/2006/relationships/hyperlink" Target="https://ref.ly/2Chr32:28" TargetMode="External"/><Relationship Id="rId13751" Type="http://schemas.openxmlformats.org/officeDocument/2006/relationships/hyperlink" Target="https://ref.ly/Job6:5" TargetMode="External"/><Relationship Id="rId13752" Type="http://schemas.openxmlformats.org/officeDocument/2006/relationships/hyperlink" Target="https://ref.ly/Hab3:17" TargetMode="External"/><Relationship Id="rId13753" Type="http://schemas.openxmlformats.org/officeDocument/2006/relationships/hyperlink" Target="https://ref.ly/2Sam22:36" TargetMode="External"/><Relationship Id="rId13754" Type="http://schemas.openxmlformats.org/officeDocument/2006/relationships/hyperlink" Target="https://ref.ly/Ps18:35" TargetMode="External"/><Relationship Id="rId13755" Type="http://schemas.openxmlformats.org/officeDocument/2006/relationships/hyperlink" Target="https://ref.ly/Deut32:2" TargetMode="External"/><Relationship Id="rId13756" Type="http://schemas.openxmlformats.org/officeDocument/2006/relationships/hyperlink" Target="https://ref.ly/Isa8:6" TargetMode="External"/><Relationship Id="rId13757" Type="http://schemas.openxmlformats.org/officeDocument/2006/relationships/hyperlink" Target="https://ref.ly/2Sam18:5" TargetMode="External"/><Relationship Id="rId13758" Type="http://schemas.openxmlformats.org/officeDocument/2006/relationships/hyperlink" Target="https://ref.ly/Job15:11" TargetMode="External"/><Relationship Id="rId13759" Type="http://schemas.openxmlformats.org/officeDocument/2006/relationships/hyperlink" Target="https://ref.ly/1Cor4:21" TargetMode="External"/><Relationship Id="rId13760" Type="http://schemas.openxmlformats.org/officeDocument/2006/relationships/hyperlink" Target="https://ref.ly/Gal5:23" TargetMode="External"/><Relationship Id="rId13761" Type="http://schemas.openxmlformats.org/officeDocument/2006/relationships/hyperlink" Target="https://ref.ly/1Tim6:11" TargetMode="External"/><Relationship Id="rId13762" Type="http://schemas.openxmlformats.org/officeDocument/2006/relationships/hyperlink" Target="https://ref.ly/2Tim2:24" TargetMode="External"/><Relationship Id="rId13763" Type="http://schemas.openxmlformats.org/officeDocument/2006/relationships/hyperlink" Target="https://ref.ly/1Tim3:3" TargetMode="External"/><Relationship Id="rId13764" Type="http://schemas.openxmlformats.org/officeDocument/2006/relationships/hyperlink" Target="https://ref.ly/1Pet2:18" TargetMode="External"/><Relationship Id="rId13765" Type="http://schemas.openxmlformats.org/officeDocument/2006/relationships/hyperlink" Target="https://ref.ly/Heb5:2" TargetMode="External"/><Relationship Id="rId13766" Type="http://schemas.openxmlformats.org/officeDocument/2006/relationships/hyperlink" Target="https://ref.ly/Ps31:5" TargetMode="External"/><Relationship Id="rId13767" Type="http://schemas.openxmlformats.org/officeDocument/2006/relationships/hyperlink" Target="https://ref.ly/Josh8:20" TargetMode="External"/><Relationship Id="rId13768" Type="http://schemas.openxmlformats.org/officeDocument/2006/relationships/hyperlink" Target="https://ref.ly/Ps76:5" TargetMode="External"/><Relationship Id="rId13769" Type="http://schemas.openxmlformats.org/officeDocument/2006/relationships/hyperlink" Target="https://ref.ly/2Kgs10:15" TargetMode="External"/><Relationship Id="rId13770" Type="http://schemas.openxmlformats.org/officeDocument/2006/relationships/hyperlink" Target="https://ref.ly/Ps77:10" TargetMode="External"/><Relationship Id="rId13771" Type="http://schemas.openxmlformats.org/officeDocument/2006/relationships/hyperlink" Target="https://ref.ly/Ps26:6" TargetMode="External"/><Relationship Id="rId13772" Type="http://schemas.openxmlformats.org/officeDocument/2006/relationships/hyperlink" Target="https://ref.ly/Prov6:1" TargetMode="External"/><Relationship Id="rId13773" Type="http://schemas.openxmlformats.org/officeDocument/2006/relationships/hyperlink" Target="https://ref.ly/Exod17:11" TargetMode="External"/><Relationship Id="rId13774" Type="http://schemas.openxmlformats.org/officeDocument/2006/relationships/hyperlink" Target="https://ref.ly/Lev9:22" TargetMode="External"/><Relationship Id="rId13775" Type="http://schemas.openxmlformats.org/officeDocument/2006/relationships/hyperlink" Target="https://ref.ly/1Tim2:8" TargetMode="External"/><Relationship Id="rId13776" Type="http://schemas.openxmlformats.org/officeDocument/2006/relationships/hyperlink" Target="https://ref.ly/Gen14:22" TargetMode="External"/><Relationship Id="rId13777" Type="http://schemas.openxmlformats.org/officeDocument/2006/relationships/hyperlink" Target="https://ref.ly/Gen24:2" TargetMode="External"/><Relationship Id="rId13778" Type="http://schemas.openxmlformats.org/officeDocument/2006/relationships/hyperlink" Target="https://ref.ly/Judg12:3" TargetMode="External"/><Relationship Id="rId13779" Type="http://schemas.openxmlformats.org/officeDocument/2006/relationships/hyperlink" Target="https://ref.ly/Deut15:11" TargetMode="External"/><Relationship Id="rId13780" Type="http://schemas.openxmlformats.org/officeDocument/2006/relationships/hyperlink" Target="https://ref.ly/Prov30:32" TargetMode="External"/><Relationship Id="rId13781" Type="http://schemas.openxmlformats.org/officeDocument/2006/relationships/hyperlink" Target="https://ref.ly/Luke9:62" TargetMode="External"/><Relationship Id="rId13782" Type="http://schemas.openxmlformats.org/officeDocument/2006/relationships/hyperlink" Target="https://ref.ly/Eph4:28" TargetMode="External"/><Relationship Id="rId13783" Type="http://schemas.openxmlformats.org/officeDocument/2006/relationships/hyperlink" Target="https://ref.ly/1Thess4:11" TargetMode="External"/><Relationship Id="rId13784" Type="http://schemas.openxmlformats.org/officeDocument/2006/relationships/hyperlink" Target="https://ref.ly/Acts20:34" TargetMode="External"/><Relationship Id="rId13785" Type="http://schemas.openxmlformats.org/officeDocument/2006/relationships/hyperlink" Target="https://ref.ly/1Cor4:12" TargetMode="External"/><Relationship Id="rId13786" Type="http://schemas.openxmlformats.org/officeDocument/2006/relationships/hyperlink" Target="https://ref.ly/Exod40:30-Exod40:32" TargetMode="External"/><Relationship Id="rId13787" Type="http://schemas.openxmlformats.org/officeDocument/2006/relationships/hyperlink" Target="https://ref.ly/Matt15:1-Matt15:20" TargetMode="External"/><Relationship Id="rId13788" Type="http://schemas.openxmlformats.org/officeDocument/2006/relationships/hyperlink" Target="https://ref.ly/Exod14:8" TargetMode="External"/><Relationship Id="rId13789" Type="http://schemas.openxmlformats.org/officeDocument/2006/relationships/hyperlink" Target="https://ref.ly/Ezek37:1" TargetMode="External"/><Relationship Id="rId13790" Type="http://schemas.openxmlformats.org/officeDocument/2006/relationships/hyperlink" Target="https://ref.ly/Ezra7:6" TargetMode="External"/><Relationship Id="rId13791" Type="http://schemas.openxmlformats.org/officeDocument/2006/relationships/hyperlink" Target="https://ref.ly/John10:28-John10:29" TargetMode="External"/><Relationship Id="rId13792" Type="http://schemas.openxmlformats.org/officeDocument/2006/relationships/hyperlink" Target="https://ref.ly/Acts6:5-Acts6:6" TargetMode="External"/><Relationship Id="rId13793" Type="http://schemas.openxmlformats.org/officeDocument/2006/relationships/hyperlink" Target="https://ref.ly/Acts13:3" TargetMode="External"/><Relationship Id="rId13794" Type="http://schemas.openxmlformats.org/officeDocument/2006/relationships/hyperlink" Target="https://ref.ly/1Tim4:14" TargetMode="External"/><Relationship Id="rId13795" Type="http://schemas.openxmlformats.org/officeDocument/2006/relationships/hyperlink" Target="https://ref.ly/2Tim1:6" TargetMode="External"/><Relationship Id="rId13796" Type="http://schemas.openxmlformats.org/officeDocument/2006/relationships/hyperlink" Target="https://ref.ly/Mark6:5" TargetMode="External"/><Relationship Id="rId13797" Type="http://schemas.openxmlformats.org/officeDocument/2006/relationships/hyperlink" Target="https://ref.ly/Luke4:40" TargetMode="External"/><Relationship Id="rId13798" Type="http://schemas.openxmlformats.org/officeDocument/2006/relationships/hyperlink" Target="https://ref.ly/Luke13:11-Luke13:13" TargetMode="External"/><Relationship Id="rId13799" Type="http://schemas.openxmlformats.org/officeDocument/2006/relationships/hyperlink" Target="https://ref.ly/Mark16:18" TargetMode="External"/><Relationship Id="rId13800" Type="http://schemas.openxmlformats.org/officeDocument/2006/relationships/hyperlink" Target="https://ref.ly/Acts9:12" TargetMode="External"/><Relationship Id="rId13801" Type="http://schemas.openxmlformats.org/officeDocument/2006/relationships/hyperlink" Target="https://ref.ly/Ps17:7,Ps17:98" TargetMode="External"/><Relationship Id="rId13802" Type="http://schemas.openxmlformats.org/officeDocument/2006/relationships/hyperlink" Target="https://ref.ly/Hab2:16" TargetMode="External"/><Relationship Id="rId13803" Type="http://schemas.openxmlformats.org/officeDocument/2006/relationships/hyperlink" Target="https://ref.ly/Ps139:10" TargetMode="External"/><Relationship Id="rId13804" Type="http://schemas.openxmlformats.org/officeDocument/2006/relationships/hyperlink" Target="https://ref.ly/Job40:14" TargetMode="External"/><Relationship Id="rId13805" Type="http://schemas.openxmlformats.org/officeDocument/2006/relationships/hyperlink" Target="https://ref.ly/Isa41:13" TargetMode="External"/><Relationship Id="rId13806" Type="http://schemas.openxmlformats.org/officeDocument/2006/relationships/hyperlink" Target="https://ref.ly/Prov3:16" TargetMode="External"/><Relationship Id="rId13807" Type="http://schemas.openxmlformats.org/officeDocument/2006/relationships/hyperlink" Target="https://ref.ly/Eccl10:2" TargetMode="External"/><Relationship Id="rId13808" Type="http://schemas.openxmlformats.org/officeDocument/2006/relationships/hyperlink" Target="https://ref.ly/Num33:25-Num33:26" TargetMode="External"/><Relationship Id="rId13809" Type="http://schemas.openxmlformats.org/officeDocument/2006/relationships/hyperlink" Target="https://ref.ly/Matt14:1-Matt14:12" TargetMode="External"/><Relationship Id="rId13810" Type="http://schemas.openxmlformats.org/officeDocument/2006/relationships/hyperlink" Target="https://ref.ly/Matt11:2-Matt11:3" TargetMode="External"/><Relationship Id="rId13811" Type="http://schemas.openxmlformats.org/officeDocument/2006/relationships/hyperlink" Target="https://ref.ly/Luke7:18-Luke7:20" TargetMode="External"/><Relationship Id="rId13812" Type="http://schemas.openxmlformats.org/officeDocument/2006/relationships/hyperlink" Target="https://ref.ly/Gen50:23" TargetMode="External"/><Relationship Id="rId13813" Type="http://schemas.openxmlformats.org/officeDocument/2006/relationships/hyperlink" Target="https://ref.ly/Num32:39" TargetMode="External"/><Relationship Id="rId13814" Type="http://schemas.openxmlformats.org/officeDocument/2006/relationships/hyperlink" Target="https://ref.ly/Deut3:15" TargetMode="External"/><Relationship Id="rId13815" Type="http://schemas.openxmlformats.org/officeDocument/2006/relationships/hyperlink" Target="https://ref.ly/Gen1:1-Gen1:2" TargetMode="External"/><Relationship Id="rId13816" Type="http://schemas.openxmlformats.org/officeDocument/2006/relationships/hyperlink" Target="https://ref.ly/Ps29:1-Ps29:11" TargetMode="External"/><Relationship Id="rId13817" Type="http://schemas.openxmlformats.org/officeDocument/2006/relationships/hyperlink" Target="https://ref.ly/Job38:8-Job38:11" TargetMode="External"/><Relationship Id="rId13818" Type="http://schemas.openxmlformats.org/officeDocument/2006/relationships/hyperlink" Target="https://ref.ly/Job9:8" TargetMode="External"/><Relationship Id="rId13819" Type="http://schemas.openxmlformats.org/officeDocument/2006/relationships/hyperlink" Target="https://ref.ly/Mark6:48" TargetMode="External"/><Relationship Id="rId13820" Type="http://schemas.openxmlformats.org/officeDocument/2006/relationships/hyperlink" Target="https://ref.ly/Mark4:41" TargetMode="External"/><Relationship Id="rId13821" Type="http://schemas.openxmlformats.org/officeDocument/2006/relationships/hyperlink" Target="https://ref.ly/Isa57:20" TargetMode="External"/><Relationship Id="rId13822" Type="http://schemas.openxmlformats.org/officeDocument/2006/relationships/hyperlink" Target="https://ref.ly/Dan7:3" TargetMode="External"/><Relationship Id="rId13823" Type="http://schemas.openxmlformats.org/officeDocument/2006/relationships/hyperlink" Target="https://ref.ly/Ps18:16" TargetMode="External"/><Relationship Id="rId13824" Type="http://schemas.openxmlformats.org/officeDocument/2006/relationships/hyperlink" Target="https://ref.ly/Ps107:23-Ps107:31" TargetMode="External"/><Relationship Id="rId13825" Type="http://schemas.openxmlformats.org/officeDocument/2006/relationships/hyperlink" Target="https://ref.ly/Exod15:19" TargetMode="External"/><Relationship Id="rId13826" Type="http://schemas.openxmlformats.org/officeDocument/2006/relationships/hyperlink" Target="https://ref.ly/Ps78:13" TargetMode="External"/><Relationship Id="rId13827" Type="http://schemas.openxmlformats.org/officeDocument/2006/relationships/hyperlink" Target="https://ref.ly/Ps106:9" TargetMode="External"/><Relationship Id="rId13828" Type="http://schemas.openxmlformats.org/officeDocument/2006/relationships/hyperlink" Target="https://ref.ly/Isa43:16-Isa43:17" TargetMode="External"/><Relationship Id="rId13829" Type="http://schemas.openxmlformats.org/officeDocument/2006/relationships/hyperlink" Target="https://ref.ly/1Macc11:67" TargetMode="External"/><Relationship Id="rId13830" Type="http://schemas.openxmlformats.org/officeDocument/2006/relationships/hyperlink" Target="https://ref.ly/John6:1" TargetMode="External"/><Relationship Id="rId13831" Type="http://schemas.openxmlformats.org/officeDocument/2006/relationships/hyperlink" Target="https://ref.ly/John21:1" TargetMode="External"/><Relationship Id="rId13832" Type="http://schemas.openxmlformats.org/officeDocument/2006/relationships/hyperlink" Target="https://ref.ly/Luke5:9-Luke5:11" TargetMode="External"/><Relationship Id="rId13833" Type="http://schemas.openxmlformats.org/officeDocument/2006/relationships/hyperlink" Target="https://ref.ly/Mark1:32-Mark1:34" TargetMode="External"/><Relationship Id="rId13834" Type="http://schemas.openxmlformats.org/officeDocument/2006/relationships/hyperlink" Target="https://ref.ly/Matt5:1-Matt5:48" TargetMode="External"/><Relationship Id="rId13835" Type="http://schemas.openxmlformats.org/officeDocument/2006/relationships/hyperlink" Target="https://ref.ly/Matt8:1" TargetMode="External"/><Relationship Id="rId13836" Type="http://schemas.openxmlformats.org/officeDocument/2006/relationships/hyperlink" Target="https://ref.ly/Matt8:28-Matt8:34" TargetMode="External"/><Relationship Id="rId13837" Type="http://schemas.openxmlformats.org/officeDocument/2006/relationships/hyperlink" Target="https://ref.ly/Luke8:22-Luke8:24" TargetMode="External"/><Relationship Id="rId13838" Type="http://schemas.openxmlformats.org/officeDocument/2006/relationships/hyperlink" Target="https://ref.ly/Matt14:22-Matt14:23" TargetMode="External"/><Relationship Id="rId13839" Type="http://schemas.openxmlformats.org/officeDocument/2006/relationships/hyperlink" Target="https://ref.ly/Mark6:45-Mark6:51" TargetMode="External"/><Relationship Id="rId13840" Type="http://schemas.openxmlformats.org/officeDocument/2006/relationships/hyperlink" Target="https://ref.ly/John6:16-John6:21" TargetMode="External"/><Relationship Id="rId13841" Type="http://schemas.openxmlformats.org/officeDocument/2006/relationships/hyperlink" Target="https://ref.ly/Josh3:16" TargetMode="External"/><Relationship Id="rId13842" Type="http://schemas.openxmlformats.org/officeDocument/2006/relationships/hyperlink" Target="https://ref.ly/Num34:7" TargetMode="External"/><Relationship Id="rId13843" Type="http://schemas.openxmlformats.org/officeDocument/2006/relationships/hyperlink" Target="https://ref.ly/Ezek47:10,Ezek47:15" TargetMode="External"/><Relationship Id="rId13844" Type="http://schemas.openxmlformats.org/officeDocument/2006/relationships/hyperlink" Target="https://ref.ly/Num34:3,Num34:12" TargetMode="External"/><Relationship Id="rId13845" Type="http://schemas.openxmlformats.org/officeDocument/2006/relationships/hyperlink" Target="https://ref.ly/Josh15:2,Josh15:5" TargetMode="External"/><Relationship Id="rId13846" Type="http://schemas.openxmlformats.org/officeDocument/2006/relationships/hyperlink" Target="https://ref.ly/Josh18:19" TargetMode="External"/><Relationship Id="rId13847" Type="http://schemas.openxmlformats.org/officeDocument/2006/relationships/hyperlink" Target="https://ref.ly/Ezek47:18" TargetMode="External"/><Relationship Id="rId13848" Type="http://schemas.openxmlformats.org/officeDocument/2006/relationships/hyperlink" Target="https://ref.ly/Joel2:20" TargetMode="External"/><Relationship Id="rId13849" Type="http://schemas.openxmlformats.org/officeDocument/2006/relationships/hyperlink" Target="https://ref.ly/1Sam23:29-1Sam24:29" TargetMode="External"/><Relationship Id="rId13850" Type="http://schemas.openxmlformats.org/officeDocument/2006/relationships/hyperlink" Target="https://ref.ly/Exod14:10-Exod14:31" TargetMode="External"/><Relationship Id="rId13851" Type="http://schemas.openxmlformats.org/officeDocument/2006/relationships/hyperlink" Target="https://ref.ly/Josh4:23" TargetMode="External"/><Relationship Id="rId13852" Type="http://schemas.openxmlformats.org/officeDocument/2006/relationships/hyperlink" Target="https://ref.ly/Josh24:6-Josh24:7" TargetMode="External"/><Relationship Id="rId13853" Type="http://schemas.openxmlformats.org/officeDocument/2006/relationships/hyperlink" Target="https://ref.ly/Ps106:7-Ps106:9" TargetMode="External"/><Relationship Id="rId13854" Type="http://schemas.openxmlformats.org/officeDocument/2006/relationships/hyperlink" Target="https://ref.ly/Ps136:13-Ps136:15" TargetMode="External"/><Relationship Id="rId13855" Type="http://schemas.openxmlformats.org/officeDocument/2006/relationships/hyperlink" Target="https://ref.ly/Josh2:9-Josh2:10" TargetMode="External"/><Relationship Id="rId13856" Type="http://schemas.openxmlformats.org/officeDocument/2006/relationships/hyperlink" Target="https://ref.ly/Num33:9-Num33:11" TargetMode="External"/><Relationship Id="rId13857" Type="http://schemas.openxmlformats.org/officeDocument/2006/relationships/hyperlink" Target="https://ref.ly/Num33:35" TargetMode="External"/><Relationship Id="rId13858" Type="http://schemas.openxmlformats.org/officeDocument/2006/relationships/hyperlink" Target="https://ref.ly/Exod23:31" TargetMode="External"/><Relationship Id="rId13859" Type="http://schemas.openxmlformats.org/officeDocument/2006/relationships/hyperlink" Target="https://ref.ly/2Chr8:17-2Chr8:18" TargetMode="External"/><Relationship Id="rId13860" Type="http://schemas.openxmlformats.org/officeDocument/2006/relationships/hyperlink" Target="https://ref.ly/Exod15:23" TargetMode="External"/><Relationship Id="rId13861" Type="http://schemas.openxmlformats.org/officeDocument/2006/relationships/hyperlink" Target="https://ref.ly/Num33:8-Num33:9" TargetMode="External"/><Relationship Id="rId13862" Type="http://schemas.openxmlformats.org/officeDocument/2006/relationships/hyperlink" Target="https://ref.ly/Gen31:51-Gen31:52" TargetMode="External"/><Relationship Id="rId13863" Type="http://schemas.openxmlformats.org/officeDocument/2006/relationships/hyperlink" Target="https://ref.ly/Deut27:17" TargetMode="External"/><Relationship Id="rId13864" Type="http://schemas.openxmlformats.org/officeDocument/2006/relationships/hyperlink" Target="https://ref.ly/Prov22:28" TargetMode="External"/><Relationship Id="rId13865" Type="http://schemas.openxmlformats.org/officeDocument/2006/relationships/hyperlink" Target="https://ref.ly/Prov23:10" TargetMode="External"/><Relationship Id="rId13866" Type="http://schemas.openxmlformats.org/officeDocument/2006/relationships/hyperlink" Target="https://ref.ly/Job24:2" TargetMode="External"/><Relationship Id="rId13867" Type="http://schemas.openxmlformats.org/officeDocument/2006/relationships/hyperlink" Target="https://ref.ly/Mark6:52-Mark6:53" TargetMode="External"/><Relationship Id="rId13868" Type="http://schemas.openxmlformats.org/officeDocument/2006/relationships/hyperlink" Target="https://ref.ly/Mark14:54" TargetMode="External"/><Relationship Id="rId13869" Type="http://schemas.openxmlformats.org/officeDocument/2006/relationships/hyperlink" Target="https://ref.ly/Mark1:30-Mark1:31" TargetMode="External"/><Relationship Id="rId13870" Type="http://schemas.openxmlformats.org/officeDocument/2006/relationships/hyperlink" Target="https://ref.ly/Mark7:3-Mark7:4" TargetMode="External"/><Relationship Id="rId13871" Type="http://schemas.openxmlformats.org/officeDocument/2006/relationships/hyperlink" Target="https://ref.ly/Mark2:12" TargetMode="External"/><Relationship Id="rId13872" Type="http://schemas.openxmlformats.org/officeDocument/2006/relationships/hyperlink" Target="https://ref.ly/Mark5:15" TargetMode="External"/><Relationship Id="rId13873" Type="http://schemas.openxmlformats.org/officeDocument/2006/relationships/hyperlink" Target="https://ref.ly/Mark6:51" TargetMode="External"/><Relationship Id="rId13874" Type="http://schemas.openxmlformats.org/officeDocument/2006/relationships/hyperlink" Target="https://ref.ly/Mark9:6" TargetMode="External"/><Relationship Id="rId13875" Type="http://schemas.openxmlformats.org/officeDocument/2006/relationships/hyperlink" Target="https://ref.ly/Mark10:32" TargetMode="External"/><Relationship Id="rId13876" Type="http://schemas.openxmlformats.org/officeDocument/2006/relationships/hyperlink" Target="https://ref.ly/Mark16:8" TargetMode="External"/><Relationship Id="rId13877" Type="http://schemas.openxmlformats.org/officeDocument/2006/relationships/hyperlink" Target="https://ref.ly/Mark1:41" TargetMode="External"/><Relationship Id="rId13878" Type="http://schemas.openxmlformats.org/officeDocument/2006/relationships/hyperlink" Target="https://ref.ly/Mark10:14" TargetMode="External"/><Relationship Id="rId13879" Type="http://schemas.openxmlformats.org/officeDocument/2006/relationships/hyperlink" Target="https://ref.ly/Mark8:1-Mark8:38" TargetMode="External"/><Relationship Id="rId13880" Type="http://schemas.openxmlformats.org/officeDocument/2006/relationships/hyperlink" Target="https://ref.ly/Mark9:9" TargetMode="External"/><Relationship Id="rId13881" Type="http://schemas.openxmlformats.org/officeDocument/2006/relationships/hyperlink" Target="https://ref.ly/Mark14:17-Mark14:25" TargetMode="External"/><Relationship Id="rId13882" Type="http://schemas.openxmlformats.org/officeDocument/2006/relationships/hyperlink" Target="https://ref.ly/Mark14:50" TargetMode="External"/><Relationship Id="rId13883" Type="http://schemas.openxmlformats.org/officeDocument/2006/relationships/hyperlink" Target="https://ref.ly/Mark6:6" TargetMode="External"/><Relationship Id="rId13884" Type="http://schemas.openxmlformats.org/officeDocument/2006/relationships/hyperlink" Target="https://ref.ly/Mark8:21" TargetMode="External"/><Relationship Id="rId13885" Type="http://schemas.openxmlformats.org/officeDocument/2006/relationships/hyperlink" Target="https://ref.ly/Mark4:17-Mark4:19" TargetMode="External"/><Relationship Id="rId13886" Type="http://schemas.openxmlformats.org/officeDocument/2006/relationships/hyperlink" Target="https://ref.ly/Mark1:1-Mark1:13" TargetMode="External"/><Relationship Id="rId13887" Type="http://schemas.openxmlformats.org/officeDocument/2006/relationships/hyperlink" Target="https://ref.ly/Mark1:14-Mark8:21" TargetMode="External"/><Relationship Id="rId13888" Type="http://schemas.openxmlformats.org/officeDocument/2006/relationships/hyperlink" Target="https://ref.ly/Mark1:14-Mark3:6" TargetMode="External"/><Relationship Id="rId13889" Type="http://schemas.openxmlformats.org/officeDocument/2006/relationships/hyperlink" Target="https://ref.ly/Mark3:7-Mark6:6" TargetMode="External"/><Relationship Id="rId13890" Type="http://schemas.openxmlformats.org/officeDocument/2006/relationships/hyperlink" Target="https://ref.ly/Mark6:6-Mark8:21" TargetMode="External"/><Relationship Id="rId13891" Type="http://schemas.openxmlformats.org/officeDocument/2006/relationships/hyperlink" Target="https://ref.ly/Mark8:22-Mark15:47" TargetMode="External"/><Relationship Id="rId13892" Type="http://schemas.openxmlformats.org/officeDocument/2006/relationships/hyperlink" Target="https://ref.ly/Mark8:22-Mark10:52" TargetMode="External"/><Relationship Id="rId13893" Type="http://schemas.openxmlformats.org/officeDocument/2006/relationships/hyperlink" Target="https://ref.ly/Mark11:1-Mark13:37" TargetMode="External"/><Relationship Id="rId13894" Type="http://schemas.openxmlformats.org/officeDocument/2006/relationships/hyperlink" Target="https://ref.ly/Mark14:1-Mark15:47" TargetMode="External"/><Relationship Id="rId13895" Type="http://schemas.openxmlformats.org/officeDocument/2006/relationships/hyperlink" Target="https://ref.ly/Mark16:1-Mark16:8" TargetMode="External"/><Relationship Id="rId13896" Type="http://schemas.openxmlformats.org/officeDocument/2006/relationships/hyperlink" Target="https://ref.ly/Mark1:14-Mark1:15" TargetMode="External"/><Relationship Id="rId13897" Type="http://schemas.openxmlformats.org/officeDocument/2006/relationships/hyperlink" Target="https://ref.ly/Mark1:21-Mark1:38" TargetMode="External"/><Relationship Id="rId13898" Type="http://schemas.openxmlformats.org/officeDocument/2006/relationships/hyperlink" Target="https://ref.ly/Mark1:39" TargetMode="External"/><Relationship Id="rId13899" Type="http://schemas.openxmlformats.org/officeDocument/2006/relationships/hyperlink" Target="https://ref.ly/Mark1:40-Mark1:45" TargetMode="External"/><Relationship Id="rId13900" Type="http://schemas.openxmlformats.org/officeDocument/2006/relationships/hyperlink" Target="https://ref.ly/Mark2:1-Mark3:6" TargetMode="External"/><Relationship Id="rId13901" Type="http://schemas.openxmlformats.org/officeDocument/2006/relationships/hyperlink" Target="https://ref.ly/Mark3:20-Mark3:22" TargetMode="External"/><Relationship Id="rId13902" Type="http://schemas.openxmlformats.org/officeDocument/2006/relationships/hyperlink" Target="https://ref.ly/Mark3:23-Mark3:35" TargetMode="External"/><Relationship Id="rId13903" Type="http://schemas.openxmlformats.org/officeDocument/2006/relationships/hyperlink" Target="https://ref.ly/Mark4:1-Mark4:41" TargetMode="External"/><Relationship Id="rId13904" Type="http://schemas.openxmlformats.org/officeDocument/2006/relationships/hyperlink" Target="https://ref.ly/Mark4:10-Mark4:12" TargetMode="External"/><Relationship Id="rId13905" Type="http://schemas.openxmlformats.org/officeDocument/2006/relationships/hyperlink" Target="https://ref.ly/Mark6:6-Mark6:13" TargetMode="External"/><Relationship Id="rId13906" Type="http://schemas.openxmlformats.org/officeDocument/2006/relationships/hyperlink" Target="https://ref.ly/Mark6:14-Mark6:29" TargetMode="External"/><Relationship Id="rId13907" Type="http://schemas.openxmlformats.org/officeDocument/2006/relationships/hyperlink" Target="https://ref.ly/Mark6:45-Mark6:52" TargetMode="External"/><Relationship Id="rId13908" Type="http://schemas.openxmlformats.org/officeDocument/2006/relationships/hyperlink" Target="https://ref.ly/Mark7:1-Mark7:8" TargetMode="External"/><Relationship Id="rId13909" Type="http://schemas.openxmlformats.org/officeDocument/2006/relationships/hyperlink" Target="https://ref.ly/Mark7:9-Mark7:13" TargetMode="External"/><Relationship Id="rId13910" Type="http://schemas.openxmlformats.org/officeDocument/2006/relationships/hyperlink" Target="https://ref.ly/Mark7:14-Mark7:23" TargetMode="External"/><Relationship Id="rId13911" Type="http://schemas.openxmlformats.org/officeDocument/2006/relationships/hyperlink" Target="https://ref.ly/Mark8:1-Mark8:10" TargetMode="External"/><Relationship Id="rId13912" Type="http://schemas.openxmlformats.org/officeDocument/2006/relationships/hyperlink" Target="https://ref.ly/Mark8:11-Mark8:12" TargetMode="External"/><Relationship Id="rId13913" Type="http://schemas.openxmlformats.org/officeDocument/2006/relationships/hyperlink" Target="https://ref.ly/Mark8:13-Mark8:21" TargetMode="External"/><Relationship Id="rId13914" Type="http://schemas.openxmlformats.org/officeDocument/2006/relationships/hyperlink" Target="https://ref.ly/Mark8:31-Mark8:38" TargetMode="External"/><Relationship Id="rId13915" Type="http://schemas.openxmlformats.org/officeDocument/2006/relationships/hyperlink" Target="https://ref.ly/Mark9:1-Mark9:8" TargetMode="External"/><Relationship Id="rId13916" Type="http://schemas.openxmlformats.org/officeDocument/2006/relationships/hyperlink" Target="https://ref.ly/Mark9:1" TargetMode="External"/><Relationship Id="rId13917" Type="http://schemas.openxmlformats.org/officeDocument/2006/relationships/hyperlink" Target="https://ref.ly/Mark9:9-Mark9:13" TargetMode="External"/><Relationship Id="rId13918" Type="http://schemas.openxmlformats.org/officeDocument/2006/relationships/hyperlink" Target="https://ref.ly/Mark9:14-Mark9:29" TargetMode="External"/><Relationship Id="rId13919" Type="http://schemas.openxmlformats.org/officeDocument/2006/relationships/hyperlink" Target="https://ref.ly/Mark9:30-Mark9:32" TargetMode="External"/><Relationship Id="rId13920" Type="http://schemas.openxmlformats.org/officeDocument/2006/relationships/hyperlink" Target="https://ref.ly/Mark9:33-Mark9:37" TargetMode="External"/><Relationship Id="rId13921" Type="http://schemas.openxmlformats.org/officeDocument/2006/relationships/hyperlink" Target="https://ref.ly/Mark9:38-Mark9:50" TargetMode="External"/><Relationship Id="rId13922" Type="http://schemas.openxmlformats.org/officeDocument/2006/relationships/hyperlink" Target="https://ref.ly/Mark10:1-Mark10:16" TargetMode="External"/><Relationship Id="rId13923" Type="http://schemas.openxmlformats.org/officeDocument/2006/relationships/hyperlink" Target="https://ref.ly/Mark10:17-Mark10:22" TargetMode="External"/><Relationship Id="rId13924" Type="http://schemas.openxmlformats.org/officeDocument/2006/relationships/hyperlink" Target="https://ref.ly/Mark10:41-Mark10:45" TargetMode="External"/><Relationship Id="rId13925" Type="http://schemas.openxmlformats.org/officeDocument/2006/relationships/hyperlink" Target="https://ref.ly/Mark11:1-Mark11:26" TargetMode="External"/><Relationship Id="rId13926" Type="http://schemas.openxmlformats.org/officeDocument/2006/relationships/hyperlink" Target="https://ref.ly/Mark11:27-Mark12:44" TargetMode="External"/><Relationship Id="rId13927" Type="http://schemas.openxmlformats.org/officeDocument/2006/relationships/hyperlink" Target="https://ref.ly/Mark11:27-Mark11:33" TargetMode="External"/><Relationship Id="rId13928" Type="http://schemas.openxmlformats.org/officeDocument/2006/relationships/hyperlink" Target="https://ref.ly/Mark12:1-Mark12:12" TargetMode="External"/><Relationship Id="rId13929" Type="http://schemas.openxmlformats.org/officeDocument/2006/relationships/hyperlink" Target="https://ref.ly/Mark12:13-Mark12:17" TargetMode="External"/><Relationship Id="rId13930" Type="http://schemas.openxmlformats.org/officeDocument/2006/relationships/hyperlink" Target="https://ref.ly/Mark12:38-Mark12:44" TargetMode="External"/><Relationship Id="rId13931" Type="http://schemas.openxmlformats.org/officeDocument/2006/relationships/hyperlink" Target="https://ref.ly/Mark14:1-Mark14:2" TargetMode="External"/><Relationship Id="rId13932" Type="http://schemas.openxmlformats.org/officeDocument/2006/relationships/hyperlink" Target="https://ref.ly/Mark14:3-Mark14:52" TargetMode="External"/><Relationship Id="rId13933" Type="http://schemas.openxmlformats.org/officeDocument/2006/relationships/hyperlink" Target="https://ref.ly/Mark14:10-Mark14:11" TargetMode="External"/><Relationship Id="rId13934" Type="http://schemas.openxmlformats.org/officeDocument/2006/relationships/hyperlink" Target="https://ref.ly/Mark14:12-Mark14:31" TargetMode="External"/><Relationship Id="rId13935" Type="http://schemas.openxmlformats.org/officeDocument/2006/relationships/hyperlink" Target="https://ref.ly/Mark14:43-Mark14:52" TargetMode="External"/><Relationship Id="rId13936" Type="http://schemas.openxmlformats.org/officeDocument/2006/relationships/hyperlink" Target="https://ref.ly/Mark14:53-Mark14:65" TargetMode="External"/><Relationship Id="rId13937" Type="http://schemas.openxmlformats.org/officeDocument/2006/relationships/hyperlink" Target="https://ref.ly/Mark15:1-Mark15:15" TargetMode="External"/><Relationship Id="rId13938" Type="http://schemas.openxmlformats.org/officeDocument/2006/relationships/hyperlink" Target="https://ref.ly/Mark15:16-Mark15:41" TargetMode="External"/><Relationship Id="rId13939" Type="http://schemas.openxmlformats.org/officeDocument/2006/relationships/hyperlink" Target="https://ref.ly/Mark15:42-Mark15:47" TargetMode="External"/><Relationship Id="rId13940" Type="http://schemas.openxmlformats.org/officeDocument/2006/relationships/hyperlink" Target="https://ref.ly/Ezek27:6" TargetMode="External"/><Relationship Id="rId13941" Type="http://schemas.openxmlformats.org/officeDocument/2006/relationships/hyperlink" Target="https://ref.ly/1Kgs10:18" TargetMode="External"/><Relationship Id="rId13942" Type="http://schemas.openxmlformats.org/officeDocument/2006/relationships/hyperlink" Target="https://ref.ly/2Chr9:17" TargetMode="External"/><Relationship Id="rId13943" Type="http://schemas.openxmlformats.org/officeDocument/2006/relationships/hyperlink" Target="https://ref.ly/Luke2:4-Luke2:5" TargetMode="External"/><Relationship Id="rId13944" Type="http://schemas.openxmlformats.org/officeDocument/2006/relationships/hyperlink" Target="https://ref.ly/Matt2:13-Matt2:14" TargetMode="External"/><Relationship Id="rId13945" Type="http://schemas.openxmlformats.org/officeDocument/2006/relationships/hyperlink" Target="https://ref.ly/Luke2:48" TargetMode="External"/><Relationship Id="rId13946" Type="http://schemas.openxmlformats.org/officeDocument/2006/relationships/hyperlink" Target="https://ref.ly/John2:1-John2:4" TargetMode="External"/><Relationship Id="rId13947" Type="http://schemas.openxmlformats.org/officeDocument/2006/relationships/hyperlink" Target="https://ref.ly/Luke1:42" TargetMode="External"/><Relationship Id="rId13948" Type="http://schemas.openxmlformats.org/officeDocument/2006/relationships/hyperlink" Target="https://ref.ly/Matt27:56,Matt27:61" TargetMode="External"/><Relationship Id="rId13949" Type="http://schemas.openxmlformats.org/officeDocument/2006/relationships/hyperlink" Target="https://ref.ly/Mark15:40,Mark15:47" TargetMode="External"/><Relationship Id="rId13950" Type="http://schemas.openxmlformats.org/officeDocument/2006/relationships/hyperlink" Target="https://ref.ly/Mark15:47" TargetMode="External"/><Relationship Id="rId13951" Type="http://schemas.openxmlformats.org/officeDocument/2006/relationships/hyperlink" Target="https://ref.ly/Luke24:10" TargetMode="External"/><Relationship Id="rId13952" Type="http://schemas.openxmlformats.org/officeDocument/2006/relationships/hyperlink" Target="https://ref.ly/John20:1-John20:2,John20:11-John20:18" TargetMode="External"/><Relationship Id="rId13953" Type="http://schemas.openxmlformats.org/officeDocument/2006/relationships/hyperlink" Target="https://ref.ly/Luke10:38-Luke10:42" TargetMode="External"/><Relationship Id="rId13954" Type="http://schemas.openxmlformats.org/officeDocument/2006/relationships/hyperlink" Target="https://ref.ly/John11:20,John11:28-John11:33" TargetMode="External"/><Relationship Id="rId13955" Type="http://schemas.openxmlformats.org/officeDocument/2006/relationships/hyperlink" Target="https://ref.ly/John12:1-John12:8" TargetMode="External"/><Relationship Id="rId13956" Type="http://schemas.openxmlformats.org/officeDocument/2006/relationships/hyperlink" Target="https://ref.ly/Rom16:6" TargetMode="External"/><Relationship Id="rId13957" Type="http://schemas.openxmlformats.org/officeDocument/2006/relationships/hyperlink" Target="https://ref.ly/Gen49:13" TargetMode="External"/><Relationship Id="rId13958" Type="http://schemas.openxmlformats.org/officeDocument/2006/relationships/hyperlink" Target="https://ref.ly/Matt14:22" TargetMode="External"/><Relationship Id="rId13959" Type="http://schemas.openxmlformats.org/officeDocument/2006/relationships/hyperlink" Target="https://ref.ly/Mark1:19" TargetMode="External"/><Relationship Id="rId13960" Type="http://schemas.openxmlformats.org/officeDocument/2006/relationships/hyperlink" Target="https://ref.ly/Mark3:9" TargetMode="External"/><Relationship Id="rId13961" Type="http://schemas.openxmlformats.org/officeDocument/2006/relationships/hyperlink" Target="https://ref.ly/Luke5:2" TargetMode="External"/><Relationship Id="rId13962" Type="http://schemas.openxmlformats.org/officeDocument/2006/relationships/hyperlink" Target="https://ref.ly/John6:19" TargetMode="External"/><Relationship Id="rId13963" Type="http://schemas.openxmlformats.org/officeDocument/2006/relationships/hyperlink" Target="https://ref.ly/John21:8" TargetMode="External"/><Relationship Id="rId13964" Type="http://schemas.openxmlformats.org/officeDocument/2006/relationships/hyperlink" Target="https://ref.ly/Acts27:6-Acts27:44" TargetMode="External"/><Relationship Id="rId13965" Type="http://schemas.openxmlformats.org/officeDocument/2006/relationships/hyperlink" Target="https://ref.ly/Ezek27:9" TargetMode="External"/><Relationship Id="rId13966" Type="http://schemas.openxmlformats.org/officeDocument/2006/relationships/hyperlink" Target="https://ref.ly/Gen36:36" TargetMode="External"/><Relationship Id="rId13967" Type="http://schemas.openxmlformats.org/officeDocument/2006/relationships/hyperlink" Target="https://ref.ly/1Chr1:47" TargetMode="External"/><Relationship Id="rId13968" Type="http://schemas.openxmlformats.org/officeDocument/2006/relationships/hyperlink" Target="https://ref.ly/Prov31:1" TargetMode="External"/><Relationship Id="rId13969" Type="http://schemas.openxmlformats.org/officeDocument/2006/relationships/hyperlink" Target="https://ref.ly/Isa13:1" TargetMode="External"/><Relationship Id="rId13970" Type="http://schemas.openxmlformats.org/officeDocument/2006/relationships/hyperlink" Target="https://ref.ly/Nah1:1" TargetMode="External"/><Relationship Id="rId13971" Type="http://schemas.openxmlformats.org/officeDocument/2006/relationships/hyperlink" Target="https://ref.ly/Hab1:1" TargetMode="External"/><Relationship Id="rId13972" Type="http://schemas.openxmlformats.org/officeDocument/2006/relationships/hyperlink" Target="https://ref.ly/Exod17:7" TargetMode="External"/><Relationship Id="rId13973" Type="http://schemas.openxmlformats.org/officeDocument/2006/relationships/hyperlink" Target="https://ref.ly/Deut9:22" TargetMode="External"/><Relationship Id="rId13974" Type="http://schemas.openxmlformats.org/officeDocument/2006/relationships/hyperlink" Target="https://ref.ly/Deut33:8" TargetMode="External"/><Relationship Id="rId13975" Type="http://schemas.openxmlformats.org/officeDocument/2006/relationships/hyperlink" Target="https://ref.ly/Num20:13,Num20:24" TargetMode="External"/><Relationship Id="rId13976" Type="http://schemas.openxmlformats.org/officeDocument/2006/relationships/hyperlink" Target="https://ref.ly/Num27:14" TargetMode="External"/><Relationship Id="rId13977" Type="http://schemas.openxmlformats.org/officeDocument/2006/relationships/hyperlink" Target="https://ref.ly/Ps81:7" TargetMode="External"/><Relationship Id="rId13978" Type="http://schemas.openxmlformats.org/officeDocument/2006/relationships/hyperlink" Target="https://ref.ly/Num21:18-Num21:19" TargetMode="External"/><Relationship Id="rId13979" Type="http://schemas.openxmlformats.org/officeDocument/2006/relationships/hyperlink" Target="https://ref.ly/Mark2:16" TargetMode="External"/><Relationship Id="rId13980" Type="http://schemas.openxmlformats.org/officeDocument/2006/relationships/hyperlink" Target="https://ref.ly/Luke15:1" TargetMode="External"/><Relationship Id="rId13981" Type="http://schemas.openxmlformats.org/officeDocument/2006/relationships/hyperlink" Target="https://ref.ly/Luke5:28" TargetMode="External"/><Relationship Id="rId13982" Type="http://schemas.openxmlformats.org/officeDocument/2006/relationships/hyperlink" Target="https://ref.ly/Matt9:9-Matt9:38" TargetMode="External"/><Relationship Id="rId13983" Type="http://schemas.openxmlformats.org/officeDocument/2006/relationships/hyperlink" Target="https://ref.ly/Matt18:24" TargetMode="External"/><Relationship Id="rId13984" Type="http://schemas.openxmlformats.org/officeDocument/2006/relationships/hyperlink" Target="https://ref.ly/Matt25:15-Matt25:46" TargetMode="External"/><Relationship Id="rId13985" Type="http://schemas.openxmlformats.org/officeDocument/2006/relationships/hyperlink" Target="https://ref.ly/Matt1:22-Matt27:10" TargetMode="External"/><Relationship Id="rId13986" Type="http://schemas.openxmlformats.org/officeDocument/2006/relationships/hyperlink" Target="https://ref.ly/Matt21:33-Matt21:46" TargetMode="External"/><Relationship Id="rId13987" Type="http://schemas.openxmlformats.org/officeDocument/2006/relationships/hyperlink" Target="https://ref.ly/Matt15:1-Matt15:39" TargetMode="External"/><Relationship Id="rId13988" Type="http://schemas.openxmlformats.org/officeDocument/2006/relationships/hyperlink" Target="https://ref.ly/Matt16:18-Matt16:19" TargetMode="External"/><Relationship Id="rId13989" Type="http://schemas.openxmlformats.org/officeDocument/2006/relationships/hyperlink" Target="https://ref.ly/Matt23:8-Matt23:10" TargetMode="External"/><Relationship Id="rId13990" Type="http://schemas.openxmlformats.org/officeDocument/2006/relationships/hyperlink" Target="https://ref.ly/Matt18:1-Matt18:35" TargetMode="External"/><Relationship Id="rId13991" Type="http://schemas.openxmlformats.org/officeDocument/2006/relationships/hyperlink" Target="https://ref.ly/Matt10:1-Matt10:42" TargetMode="External"/><Relationship Id="rId13992" Type="http://schemas.openxmlformats.org/officeDocument/2006/relationships/hyperlink" Target="https://ref.ly/Matt1:22-Matt1:23" TargetMode="External"/><Relationship Id="rId13993" Type="http://schemas.openxmlformats.org/officeDocument/2006/relationships/hyperlink" Target="https://ref.ly/Matt1:18-Matt1:20" TargetMode="External"/><Relationship Id="rId13994" Type="http://schemas.openxmlformats.org/officeDocument/2006/relationships/hyperlink" Target="https://ref.ly/Matt2:1-Matt2:6" TargetMode="External"/><Relationship Id="rId13995" Type="http://schemas.openxmlformats.org/officeDocument/2006/relationships/hyperlink" Target="https://ref.ly/Matt2:13-Matt2:20" TargetMode="External"/><Relationship Id="rId13996" Type="http://schemas.openxmlformats.org/officeDocument/2006/relationships/hyperlink" Target="https://ref.ly/Matt2:21-Matt2:23" TargetMode="External"/><Relationship Id="rId13997" Type="http://schemas.openxmlformats.org/officeDocument/2006/relationships/hyperlink" Target="https://ref.ly/Matt3:1-Matt3:12" TargetMode="External"/><Relationship Id="rId13998" Type="http://schemas.openxmlformats.org/officeDocument/2006/relationships/hyperlink" Target="https://ref.ly/Matt3:13-Matt3:17" TargetMode="External"/><Relationship Id="rId13999" Type="http://schemas.openxmlformats.org/officeDocument/2006/relationships/hyperlink" Target="https://ref.ly/Matt4:1-Matt4:11" TargetMode="External"/><Relationship Id="rId14000" Type="http://schemas.openxmlformats.org/officeDocument/2006/relationships/hyperlink" Target="https://ref.ly/Matt4:12-Matt4:16" TargetMode="External"/><Relationship Id="rId14001" Type="http://schemas.openxmlformats.org/officeDocument/2006/relationships/hyperlink" Target="https://ref.ly/Matt4:17-Matt4:25" TargetMode="External"/><Relationship Id="rId14002" Type="http://schemas.openxmlformats.org/officeDocument/2006/relationships/hyperlink" Target="https://ref.ly/Matt5:1-Matt5:2" TargetMode="External"/><Relationship Id="rId14003" Type="http://schemas.openxmlformats.org/officeDocument/2006/relationships/hyperlink" Target="https://ref.ly/Matt5:13-Matt5:16" TargetMode="External"/><Relationship Id="rId14004" Type="http://schemas.openxmlformats.org/officeDocument/2006/relationships/hyperlink" Target="https://ref.ly/Matt5:17" TargetMode="External"/><Relationship Id="rId14005" Type="http://schemas.openxmlformats.org/officeDocument/2006/relationships/hyperlink" Target="https://ref.ly/Matt5:18-Matt5:20" TargetMode="External"/><Relationship Id="rId14006" Type="http://schemas.openxmlformats.org/officeDocument/2006/relationships/hyperlink" Target="https://ref.ly/Matt5:21-Matt5:48" TargetMode="External"/><Relationship Id="rId14007" Type="http://schemas.openxmlformats.org/officeDocument/2006/relationships/hyperlink" Target="https://ref.ly/Matt6:1-Matt6:18" TargetMode="External"/><Relationship Id="rId14008" Type="http://schemas.openxmlformats.org/officeDocument/2006/relationships/hyperlink" Target="https://ref.ly/Matt6:9-Matt6:13" TargetMode="External"/><Relationship Id="rId14009" Type="http://schemas.openxmlformats.org/officeDocument/2006/relationships/hyperlink" Target="https://ref.ly/Matt6:19-Matt6:24" TargetMode="External"/><Relationship Id="rId14010" Type="http://schemas.openxmlformats.org/officeDocument/2006/relationships/hyperlink" Target="https://ref.ly/Matt6:25-Matt6:34" TargetMode="External"/><Relationship Id="rId14011" Type="http://schemas.openxmlformats.org/officeDocument/2006/relationships/hyperlink" Target="https://ref.ly/Matt7:1-Matt7:6" TargetMode="External"/><Relationship Id="rId14012" Type="http://schemas.openxmlformats.org/officeDocument/2006/relationships/hyperlink" Target="https://ref.ly/Matt6:7-Matt6:12" TargetMode="External"/><Relationship Id="rId14013" Type="http://schemas.openxmlformats.org/officeDocument/2006/relationships/hyperlink" Target="https://ref.ly/Matt5:21-Matt7:12" TargetMode="External"/><Relationship Id="rId14014" Type="http://schemas.openxmlformats.org/officeDocument/2006/relationships/hyperlink" Target="https://ref.ly/Matt7:13-Matt7:14" TargetMode="External"/><Relationship Id="rId14015" Type="http://schemas.openxmlformats.org/officeDocument/2006/relationships/hyperlink" Target="https://ref.ly/Matt7:15-Matt7:20" TargetMode="External"/><Relationship Id="rId14016" Type="http://schemas.openxmlformats.org/officeDocument/2006/relationships/hyperlink" Target="https://ref.ly/Matt7:21-Matt7:23" TargetMode="External"/><Relationship Id="rId14017" Type="http://schemas.openxmlformats.org/officeDocument/2006/relationships/hyperlink" Target="https://ref.ly/Matt7:28-Matt7:29" TargetMode="External"/><Relationship Id="rId14018" Type="http://schemas.openxmlformats.org/officeDocument/2006/relationships/hyperlink" Target="https://ref.ly/Matt8:1-Matt8:13" TargetMode="External"/><Relationship Id="rId14019" Type="http://schemas.openxmlformats.org/officeDocument/2006/relationships/hyperlink" Target="https://ref.ly/Matt8:14-Matt8:15" TargetMode="External"/><Relationship Id="rId14020" Type="http://schemas.openxmlformats.org/officeDocument/2006/relationships/hyperlink" Target="https://ref.ly/Matt9:23-Matt9:25" TargetMode="External"/><Relationship Id="rId14021" Type="http://schemas.openxmlformats.org/officeDocument/2006/relationships/hyperlink" Target="https://ref.ly/Matt9:27-Matt9:31" TargetMode="External"/><Relationship Id="rId14022" Type="http://schemas.openxmlformats.org/officeDocument/2006/relationships/hyperlink" Target="https://ref.ly/Matt9:32-Matt9:33" TargetMode="External"/><Relationship Id="rId14023" Type="http://schemas.openxmlformats.org/officeDocument/2006/relationships/hyperlink" Target="https://ref.ly/Matt9:14-Matt9:17" TargetMode="External"/><Relationship Id="rId14024" Type="http://schemas.openxmlformats.org/officeDocument/2006/relationships/hyperlink" Target="https://ref.ly/Matt9:35-Matt9:38" TargetMode="External"/><Relationship Id="rId14025" Type="http://schemas.openxmlformats.org/officeDocument/2006/relationships/hyperlink" Target="https://ref.ly/Matt9:37-Matt10:4" TargetMode="External"/><Relationship Id="rId14026" Type="http://schemas.openxmlformats.org/officeDocument/2006/relationships/hyperlink" Target="https://ref.ly/Matt10:5-Matt10:15" TargetMode="External"/><Relationship Id="rId14027" Type="http://schemas.openxmlformats.org/officeDocument/2006/relationships/hyperlink" Target="https://ref.ly/Matt10:16-Matt10:42" TargetMode="External"/><Relationship Id="rId14028" Type="http://schemas.openxmlformats.org/officeDocument/2006/relationships/hyperlink" Target="https://ref.ly/Matt10:6" TargetMode="External"/><Relationship Id="rId14029" Type="http://schemas.openxmlformats.org/officeDocument/2006/relationships/hyperlink" Target="https://ref.ly/Matt10:11-Matt10:15" TargetMode="External"/><Relationship Id="rId14030" Type="http://schemas.openxmlformats.org/officeDocument/2006/relationships/hyperlink" Target="https://ref.ly/Matt10:16-Matt10:19" TargetMode="External"/><Relationship Id="rId14031" Type="http://schemas.openxmlformats.org/officeDocument/2006/relationships/hyperlink" Target="https://ref.ly/Matt10:17-Matt10:23" TargetMode="External"/><Relationship Id="rId14032" Type="http://schemas.openxmlformats.org/officeDocument/2006/relationships/hyperlink" Target="https://ref.ly/Matt10:19-Matt10:23" TargetMode="External"/><Relationship Id="rId14033" Type="http://schemas.openxmlformats.org/officeDocument/2006/relationships/hyperlink" Target="https://ref.ly/Matt10:26-Matt10:39" TargetMode="External"/><Relationship Id="rId14034" Type="http://schemas.openxmlformats.org/officeDocument/2006/relationships/hyperlink" Target="https://ref.ly/Matt10:37-Matt10:42" TargetMode="External"/><Relationship Id="rId14035" Type="http://schemas.openxmlformats.org/officeDocument/2006/relationships/hyperlink" Target="https://ref.ly/Matt11:2-Matt11:6" TargetMode="External"/><Relationship Id="rId14036" Type="http://schemas.openxmlformats.org/officeDocument/2006/relationships/hyperlink" Target="https://ref.ly/Matt11:7-Matt11:19" TargetMode="External"/><Relationship Id="rId14037" Type="http://schemas.openxmlformats.org/officeDocument/2006/relationships/hyperlink" Target="https://ref.ly/Matt11:25-Matt11:30" TargetMode="External"/><Relationship Id="rId14038" Type="http://schemas.openxmlformats.org/officeDocument/2006/relationships/hyperlink" Target="https://ref.ly/Matt12:22-Matt12:24" TargetMode="External"/><Relationship Id="rId14039" Type="http://schemas.openxmlformats.org/officeDocument/2006/relationships/hyperlink" Target="https://ref.ly/Matt12:25-Matt12:29" TargetMode="External"/><Relationship Id="rId14040" Type="http://schemas.openxmlformats.org/officeDocument/2006/relationships/hyperlink" Target="https://ref.ly/Matt12:30-Matt12:32" TargetMode="External"/><Relationship Id="rId14041" Type="http://schemas.openxmlformats.org/officeDocument/2006/relationships/hyperlink" Target="https://ref.ly/Matt13:10-Matt13:17" TargetMode="External"/><Relationship Id="rId14042" Type="http://schemas.openxmlformats.org/officeDocument/2006/relationships/hyperlink" Target="https://ref.ly/Matt13:47-Matt13:50" TargetMode="External"/><Relationship Id="rId14043" Type="http://schemas.openxmlformats.org/officeDocument/2006/relationships/hyperlink" Target="https://ref.ly/Matt7:1-Matt7:5" TargetMode="External"/><Relationship Id="rId14044" Type="http://schemas.openxmlformats.org/officeDocument/2006/relationships/hyperlink" Target="https://ref.ly/Matt13:31-Matt13:33" TargetMode="External"/><Relationship Id="rId14045" Type="http://schemas.openxmlformats.org/officeDocument/2006/relationships/hyperlink" Target="https://ref.ly/Matt13:51-Matt13:52" TargetMode="External"/><Relationship Id="rId14046" Type="http://schemas.openxmlformats.org/officeDocument/2006/relationships/hyperlink" Target="https://ref.ly/Matt14:13-Matt14:36" TargetMode="External"/><Relationship Id="rId14047" Type="http://schemas.openxmlformats.org/officeDocument/2006/relationships/hyperlink" Target="https://ref.ly/Ps89:9" TargetMode="External"/><Relationship Id="rId14048" Type="http://schemas.openxmlformats.org/officeDocument/2006/relationships/hyperlink" Target="https://ref.ly/Matt14:28-Matt14:31" TargetMode="External"/><Relationship Id="rId14049" Type="http://schemas.openxmlformats.org/officeDocument/2006/relationships/hyperlink" Target="https://ref.ly/Matt15:1-Matt15:9" TargetMode="External"/><Relationship Id="rId14050" Type="http://schemas.openxmlformats.org/officeDocument/2006/relationships/hyperlink" Target="https://ref.ly/Matt15:10-Matt15:20" TargetMode="External"/><Relationship Id="rId14051" Type="http://schemas.openxmlformats.org/officeDocument/2006/relationships/hyperlink" Target="https://ref.ly/Matt15:29-Matt15:39" TargetMode="External"/><Relationship Id="rId14052" Type="http://schemas.openxmlformats.org/officeDocument/2006/relationships/hyperlink" Target="https://ref.ly/Matt16:1-Matt16:12" TargetMode="External"/><Relationship Id="rId14053" Type="http://schemas.openxmlformats.org/officeDocument/2006/relationships/hyperlink" Target="https://ref.ly/Matt16:13-Matt16:17" TargetMode="External"/><Relationship Id="rId14054" Type="http://schemas.openxmlformats.org/officeDocument/2006/relationships/hyperlink" Target="https://ref.ly/Matt11:25-Matt11:26" TargetMode="External"/><Relationship Id="rId14055" Type="http://schemas.openxmlformats.org/officeDocument/2006/relationships/hyperlink" Target="https://ref.ly/Matt16:20" TargetMode="External"/><Relationship Id="rId14056" Type="http://schemas.openxmlformats.org/officeDocument/2006/relationships/hyperlink" Target="https://ref.ly/Matt16:21-Matt16:28" TargetMode="External"/><Relationship Id="rId14057" Type="http://schemas.openxmlformats.org/officeDocument/2006/relationships/hyperlink" Target="https://ref.ly/Matt18:1-Matt18:5" TargetMode="External"/><Relationship Id="rId14058" Type="http://schemas.openxmlformats.org/officeDocument/2006/relationships/hyperlink" Target="https://ref.ly/Matt18:6-Matt18:9" TargetMode="External"/><Relationship Id="rId14059" Type="http://schemas.openxmlformats.org/officeDocument/2006/relationships/hyperlink" Target="https://ref.ly/Matt18:10-Matt18:20" TargetMode="External"/><Relationship Id="rId14060" Type="http://schemas.openxmlformats.org/officeDocument/2006/relationships/hyperlink" Target="https://ref.ly/Matt18:21-Matt18:35" TargetMode="External"/><Relationship Id="rId14061" Type="http://schemas.openxmlformats.org/officeDocument/2006/relationships/hyperlink" Target="https://ref.ly/Matt19:10-Matt19:12" TargetMode="External"/><Relationship Id="rId14062" Type="http://schemas.openxmlformats.org/officeDocument/2006/relationships/hyperlink" Target="https://ref.ly/Matt18:1-Matt18:4" TargetMode="External"/><Relationship Id="rId14063" Type="http://schemas.openxmlformats.org/officeDocument/2006/relationships/hyperlink" Target="https://ref.ly/Matt19:13-Matt19:15" TargetMode="External"/><Relationship Id="rId14064" Type="http://schemas.openxmlformats.org/officeDocument/2006/relationships/hyperlink" Target="https://ref.ly/Matt19:27-Matt19:30" TargetMode="External"/><Relationship Id="rId14065" Type="http://schemas.openxmlformats.org/officeDocument/2006/relationships/hyperlink" Target="https://ref.ly/Matt20:17-Matt20:19" TargetMode="External"/><Relationship Id="rId14066" Type="http://schemas.openxmlformats.org/officeDocument/2006/relationships/hyperlink" Target="https://ref.ly/Matt20:20-Matt20:34" TargetMode="External"/><Relationship Id="rId14067" Type="http://schemas.openxmlformats.org/officeDocument/2006/relationships/hyperlink" Target="https://ref.ly/Matt16:16-Matt16:21" TargetMode="External"/><Relationship Id="rId14068" Type="http://schemas.openxmlformats.org/officeDocument/2006/relationships/hyperlink" Target="https://ref.ly/Matt21:12-Matt21:17" TargetMode="External"/><Relationship Id="rId14069" Type="http://schemas.openxmlformats.org/officeDocument/2006/relationships/hyperlink" Target="https://ref.ly/Matt21:23-Matt21:27" TargetMode="External"/><Relationship Id="rId14070" Type="http://schemas.openxmlformats.org/officeDocument/2006/relationships/hyperlink" Target="https://ref.ly/Matt21:18-Matt21:22" TargetMode="External"/><Relationship Id="rId14071" Type="http://schemas.openxmlformats.org/officeDocument/2006/relationships/hyperlink" Target="https://ref.ly/Matt21:28-Matt22:14" TargetMode="External"/><Relationship Id="rId14072" Type="http://schemas.openxmlformats.org/officeDocument/2006/relationships/hyperlink" Target="https://ref.ly/Matt22:34-Matt22:40" TargetMode="External"/><Relationship Id="rId14073" Type="http://schemas.openxmlformats.org/officeDocument/2006/relationships/hyperlink" Target="https://ref.ly/Matt22:41-Matt22:46" TargetMode="External"/><Relationship Id="rId14074" Type="http://schemas.openxmlformats.org/officeDocument/2006/relationships/hyperlink" Target="https://ref.ly/Matt23:1-Matt23:4" TargetMode="External"/><Relationship Id="rId14075" Type="http://schemas.openxmlformats.org/officeDocument/2006/relationships/hyperlink" Target="https://ref.ly/Matt23:5-Matt23:12" TargetMode="External"/><Relationship Id="rId14076" Type="http://schemas.openxmlformats.org/officeDocument/2006/relationships/hyperlink" Target="https://ref.ly/Matt23:13-Matt23:15" TargetMode="External"/><Relationship Id="rId14077" Type="http://schemas.openxmlformats.org/officeDocument/2006/relationships/hyperlink" Target="https://ref.ly/Matt23:16-Matt23:24" TargetMode="External"/><Relationship Id="rId14078" Type="http://schemas.openxmlformats.org/officeDocument/2006/relationships/hyperlink" Target="https://ref.ly/Matt23:33-Matt23:39" TargetMode="External"/><Relationship Id="rId14079" Type="http://schemas.openxmlformats.org/officeDocument/2006/relationships/hyperlink" Target="https://ref.ly/Matt24:1-Matt24:3" TargetMode="External"/><Relationship Id="rId14080" Type="http://schemas.openxmlformats.org/officeDocument/2006/relationships/hyperlink" Target="https://ref.ly/Matt24:4-Matt24:14" TargetMode="External"/><Relationship Id="rId14081" Type="http://schemas.openxmlformats.org/officeDocument/2006/relationships/hyperlink" Target="https://ref.ly/Matt22:7" TargetMode="External"/><Relationship Id="rId14082" Type="http://schemas.openxmlformats.org/officeDocument/2006/relationships/hyperlink" Target="https://ref.ly/Matt23:38" TargetMode="External"/><Relationship Id="rId14083" Type="http://schemas.openxmlformats.org/officeDocument/2006/relationships/hyperlink" Target="https://ref.ly/Matt24:15-Matt24:25" TargetMode="External"/><Relationship Id="rId14084" Type="http://schemas.openxmlformats.org/officeDocument/2006/relationships/hyperlink" Target="https://ref.ly/Matt24:26-Matt24:31" TargetMode="External"/><Relationship Id="rId14085" Type="http://schemas.openxmlformats.org/officeDocument/2006/relationships/hyperlink" Target="https://ref.ly/Matt24:32-Matt24:35" TargetMode="External"/><Relationship Id="rId14086" Type="http://schemas.openxmlformats.org/officeDocument/2006/relationships/hyperlink" Target="https://ref.ly/Matt24:36-Matt24:51" TargetMode="External"/><Relationship Id="rId14087" Type="http://schemas.openxmlformats.org/officeDocument/2006/relationships/hyperlink" Target="https://ref.ly/Matt10:40-Matt10:42" TargetMode="External"/><Relationship Id="rId14088" Type="http://schemas.openxmlformats.org/officeDocument/2006/relationships/hyperlink" Target="https://ref.ly/Matt26:1-Matt26:5" TargetMode="External"/><Relationship Id="rId14089" Type="http://schemas.openxmlformats.org/officeDocument/2006/relationships/hyperlink" Target="https://ref.ly/Matt26:14-Matt26:16" TargetMode="External"/><Relationship Id="rId14090" Type="http://schemas.openxmlformats.org/officeDocument/2006/relationships/hyperlink" Target="https://ref.ly/Matt26:17-Matt26:30" TargetMode="External"/><Relationship Id="rId14091" Type="http://schemas.openxmlformats.org/officeDocument/2006/relationships/hyperlink" Target="https://ref.ly/Matt26:54" TargetMode="External"/><Relationship Id="rId14092" Type="http://schemas.openxmlformats.org/officeDocument/2006/relationships/hyperlink" Target="https://ref.ly/Matt26:47-Matt26:56" TargetMode="External"/><Relationship Id="rId14093" Type="http://schemas.openxmlformats.org/officeDocument/2006/relationships/hyperlink" Target="https://ref.ly/Matt26:31-Matt26:35" TargetMode="External"/><Relationship Id="rId14094" Type="http://schemas.openxmlformats.org/officeDocument/2006/relationships/hyperlink" Target="https://ref.ly/Matt27:26" TargetMode="External"/><Relationship Id="rId14095" Type="http://schemas.openxmlformats.org/officeDocument/2006/relationships/hyperlink" Target="https://ref.ly/Matt27:27-Matt27:32" TargetMode="External"/><Relationship Id="rId14096" Type="http://schemas.openxmlformats.org/officeDocument/2006/relationships/hyperlink" Target="https://ref.ly/Matt27:38" TargetMode="External"/><Relationship Id="rId14097" Type="http://schemas.openxmlformats.org/officeDocument/2006/relationships/hyperlink" Target="https://ref.ly/Matt27:37-Matt27:44" TargetMode="External"/><Relationship Id="rId14098" Type="http://schemas.openxmlformats.org/officeDocument/2006/relationships/hyperlink" Target="https://ref.ly/Matt27:45-Matt27:49" TargetMode="External"/><Relationship Id="rId14099" Type="http://schemas.openxmlformats.org/officeDocument/2006/relationships/hyperlink" Target="https://ref.ly/Matt27:51-Matt27:53" TargetMode="External"/><Relationship Id="rId14100" Type="http://schemas.openxmlformats.org/officeDocument/2006/relationships/hyperlink" Target="https://ref.ly/Matt27:57-Matt27:66" TargetMode="External"/><Relationship Id="rId14101" Type="http://schemas.openxmlformats.org/officeDocument/2006/relationships/hyperlink" Target="https://ref.ly/Matt28:1-Matt28:7" TargetMode="External"/><Relationship Id="rId14102" Type="http://schemas.openxmlformats.org/officeDocument/2006/relationships/hyperlink" Target="https://ref.ly/Matt28:8-Matt28:10" TargetMode="External"/><Relationship Id="rId14103" Type="http://schemas.openxmlformats.org/officeDocument/2006/relationships/hyperlink" Target="https://ref.ly/Matt28:11-Matt28:15" TargetMode="External"/><Relationship Id="rId14104" Type="http://schemas.openxmlformats.org/officeDocument/2006/relationships/hyperlink" Target="https://ref.ly/Acts1:23-Acts1:26" TargetMode="External"/><Relationship Id="rId14105" Type="http://schemas.openxmlformats.org/officeDocument/2006/relationships/hyperlink" Target="https://ref.ly/1Chr1:50" TargetMode="External"/><Relationship Id="rId14106" Type="http://schemas.openxmlformats.org/officeDocument/2006/relationships/hyperlink" Target="https://ref.ly/Gen5:21-Gen5:27" TargetMode="External"/><Relationship Id="rId14107" Type="http://schemas.openxmlformats.org/officeDocument/2006/relationships/hyperlink" Target="https://ref.ly/Josh13:9,Josh13:16" TargetMode="External"/><Relationship Id="rId14108" Type="http://schemas.openxmlformats.org/officeDocument/2006/relationships/hyperlink" Target="https://ref.ly/1Chr19:7" TargetMode="External"/><Relationship Id="rId14109" Type="http://schemas.openxmlformats.org/officeDocument/2006/relationships/hyperlink" Target="https://ref.ly/Job9:32-Job9:35" TargetMode="External"/><Relationship Id="rId14110" Type="http://schemas.openxmlformats.org/officeDocument/2006/relationships/hyperlink" Target="https://ref.ly/Exod20:18-Exod20:21" TargetMode="External"/><Relationship Id="rId14111" Type="http://schemas.openxmlformats.org/officeDocument/2006/relationships/hyperlink" Target="https://ref.ly/Acts7:53" TargetMode="External"/><Relationship Id="rId14112" Type="http://schemas.openxmlformats.org/officeDocument/2006/relationships/hyperlink" Target="https://ref.ly/Heb6:13-Heb6:17" TargetMode="External"/><Relationship Id="rId14113" Type="http://schemas.openxmlformats.org/officeDocument/2006/relationships/hyperlink" Target="https://ref.ly/Deut10:8" TargetMode="External"/><Relationship Id="rId14114" Type="http://schemas.openxmlformats.org/officeDocument/2006/relationships/hyperlink" Target="https://ref.ly/Deut33:8-Deut33:10" TargetMode="External"/><Relationship Id="rId14115" Type="http://schemas.openxmlformats.org/officeDocument/2006/relationships/hyperlink" Target="https://ref.ly/2Chr15:3" TargetMode="External"/><Relationship Id="rId14116" Type="http://schemas.openxmlformats.org/officeDocument/2006/relationships/hyperlink" Target="https://ref.ly/Jer23:10-Jer23:11" TargetMode="External"/><Relationship Id="rId14117" Type="http://schemas.openxmlformats.org/officeDocument/2006/relationships/hyperlink" Target="https://ref.ly/Mic3:11" TargetMode="External"/><Relationship Id="rId14118" Type="http://schemas.openxmlformats.org/officeDocument/2006/relationships/hyperlink" Target="https://ref.ly/Exod24:4-Exod24:8" TargetMode="External"/><Relationship Id="rId14119" Type="http://schemas.openxmlformats.org/officeDocument/2006/relationships/hyperlink" Target="https://ref.ly/Heb5:1-Heb5:4" TargetMode="External"/><Relationship Id="rId14120" Type="http://schemas.openxmlformats.org/officeDocument/2006/relationships/hyperlink" Target="https://ref.ly/Heb7:27-Heb10:11" TargetMode="External"/><Relationship Id="rId14121" Type="http://schemas.openxmlformats.org/officeDocument/2006/relationships/hyperlink" Target="https://ref.ly/Mark6:15" TargetMode="External"/><Relationship Id="rId14122" Type="http://schemas.openxmlformats.org/officeDocument/2006/relationships/hyperlink" Target="https://ref.ly/Mark8:28" TargetMode="External"/><Relationship Id="rId14123" Type="http://schemas.openxmlformats.org/officeDocument/2006/relationships/hyperlink" Target="https://ref.ly/1Tim2:5" TargetMode="External"/><Relationship Id="rId14124" Type="http://schemas.openxmlformats.org/officeDocument/2006/relationships/hyperlink" Target="https://ref.ly/Heb7:19" TargetMode="External"/><Relationship Id="rId14125" Type="http://schemas.openxmlformats.org/officeDocument/2006/relationships/hyperlink" Target="https://ref.ly/Heb9:1" TargetMode="External"/><Relationship Id="rId14126" Type="http://schemas.openxmlformats.org/officeDocument/2006/relationships/hyperlink" Target="https://ref.ly/Ezek30:21" TargetMode="External"/><Relationship Id="rId14127" Type="http://schemas.openxmlformats.org/officeDocument/2006/relationships/hyperlink" Target="https://ref.ly/Gen35:17" TargetMode="External"/><Relationship Id="rId14128" Type="http://schemas.openxmlformats.org/officeDocument/2006/relationships/hyperlink" Target="https://ref.ly/Gen38:27-Gen38:30" TargetMode="External"/><Relationship Id="rId14129" Type="http://schemas.openxmlformats.org/officeDocument/2006/relationships/hyperlink" Target="https://ref.ly/Exod1:15-Exod1:21" TargetMode="External"/><Relationship Id="rId14130" Type="http://schemas.openxmlformats.org/officeDocument/2006/relationships/hyperlink" Target="https://ref.ly/Gen30:14" TargetMode="External"/><Relationship Id="rId14131" Type="http://schemas.openxmlformats.org/officeDocument/2006/relationships/hyperlink" Target="https://ref.ly/Job2:7-Job2:8" TargetMode="External"/><Relationship Id="rId14132" Type="http://schemas.openxmlformats.org/officeDocument/2006/relationships/hyperlink" Target="https://ref.ly/Prov17:22" TargetMode="External"/><Relationship Id="rId14133" Type="http://schemas.openxmlformats.org/officeDocument/2006/relationships/hyperlink" Target="https://ref.ly/John19:29" TargetMode="External"/><Relationship Id="rId14134" Type="http://schemas.openxmlformats.org/officeDocument/2006/relationships/hyperlink" Target="https://ref.ly/Luke10:34" TargetMode="External"/><Relationship Id="rId14135" Type="http://schemas.openxmlformats.org/officeDocument/2006/relationships/hyperlink" Target="https://ref.ly/Rev3:18" TargetMode="External"/><Relationship Id="rId14136" Type="http://schemas.openxmlformats.org/officeDocument/2006/relationships/hyperlink" Target="https://ref.ly/Job13:4" TargetMode="External"/><Relationship Id="rId14137" Type="http://schemas.openxmlformats.org/officeDocument/2006/relationships/hyperlink" Target="https://ref.ly/Mark2:17" TargetMode="External"/><Relationship Id="rId14138" Type="http://schemas.openxmlformats.org/officeDocument/2006/relationships/hyperlink" Target="https://ref.ly/Luke5:31" TargetMode="External"/><Relationship Id="rId14139" Type="http://schemas.openxmlformats.org/officeDocument/2006/relationships/hyperlink" Target="https://ref.ly/Luke12:4-Luke12:5" TargetMode="External"/><Relationship Id="rId14140" Type="http://schemas.openxmlformats.org/officeDocument/2006/relationships/hyperlink" Target="https://ref.ly/Gen3:10" TargetMode="External"/><Relationship Id="rId14141" Type="http://schemas.openxmlformats.org/officeDocument/2006/relationships/hyperlink" Target="https://ref.ly/Gen4:13-Gen4:14" TargetMode="External"/><Relationship Id="rId14142" Type="http://schemas.openxmlformats.org/officeDocument/2006/relationships/hyperlink" Target="https://ref.ly/Isa33:14" TargetMode="External"/><Relationship Id="rId14143" Type="http://schemas.openxmlformats.org/officeDocument/2006/relationships/hyperlink" Target="https://ref.ly/Ps73:19" TargetMode="External"/><Relationship Id="rId14144" Type="http://schemas.openxmlformats.org/officeDocument/2006/relationships/hyperlink" Target="https://ref.ly/Job18:11" TargetMode="External"/><Relationship Id="rId14145" Type="http://schemas.openxmlformats.org/officeDocument/2006/relationships/hyperlink" Target="https://ref.ly/1Sam15:24" TargetMode="External"/><Relationship Id="rId14146" Type="http://schemas.openxmlformats.org/officeDocument/2006/relationships/hyperlink" Target="https://ref.ly/Matt25:25" TargetMode="External"/><Relationship Id="rId14147" Type="http://schemas.openxmlformats.org/officeDocument/2006/relationships/hyperlink" Target="https://ref.ly/Rom8:15" TargetMode="External"/><Relationship Id="rId14148" Type="http://schemas.openxmlformats.org/officeDocument/2006/relationships/hyperlink" Target="https://ref.ly/1John4:18" TargetMode="External"/><Relationship Id="rId14149" Type="http://schemas.openxmlformats.org/officeDocument/2006/relationships/hyperlink" Target="https://ref.ly/Jer1:8" TargetMode="External"/><Relationship Id="rId14150" Type="http://schemas.openxmlformats.org/officeDocument/2006/relationships/hyperlink" Target="https://ref.ly/Jer1:17" TargetMode="External"/><Relationship Id="rId14151" Type="http://schemas.openxmlformats.org/officeDocument/2006/relationships/hyperlink" Target="https://ref.ly/Josh1:7-Josh1:9" TargetMode="External"/><Relationship Id="rId14152" Type="http://schemas.openxmlformats.org/officeDocument/2006/relationships/hyperlink" Target="https://ref.ly/Ps55:5" TargetMode="External"/><Relationship Id="rId14153" Type="http://schemas.openxmlformats.org/officeDocument/2006/relationships/hyperlink" Target="https://ref.ly/Isa8:12" TargetMode="External"/><Relationship Id="rId14154" Type="http://schemas.openxmlformats.org/officeDocument/2006/relationships/hyperlink" Target="https://ref.ly/John14:1" TargetMode="External"/><Relationship Id="rId14155" Type="http://schemas.openxmlformats.org/officeDocument/2006/relationships/hyperlink" Target="https://ref.ly/1Pet5:7" TargetMode="External"/><Relationship Id="rId14156" Type="http://schemas.openxmlformats.org/officeDocument/2006/relationships/hyperlink" Target="https://ref.ly/Isa26:3" TargetMode="External"/><Relationship Id="rId14157" Type="http://schemas.openxmlformats.org/officeDocument/2006/relationships/hyperlink" Target="https://ref.ly/Ps37:1" TargetMode="External"/><Relationship Id="rId14158" Type="http://schemas.openxmlformats.org/officeDocument/2006/relationships/hyperlink" Target="https://ref.ly/Ps46:2" TargetMode="External"/><Relationship Id="rId14159" Type="http://schemas.openxmlformats.org/officeDocument/2006/relationships/hyperlink" Target="https://ref.ly/Ps89:7" TargetMode="External"/><Relationship Id="rId14160" Type="http://schemas.openxmlformats.org/officeDocument/2006/relationships/hyperlink" Target="https://ref.ly/Heb13:6" TargetMode="External"/><Relationship Id="rId14161" Type="http://schemas.openxmlformats.org/officeDocument/2006/relationships/hyperlink" Target="https://ref.ly/2Tim1:6-2Tim1:7" TargetMode="External"/><Relationship Id="rId14162" Type="http://schemas.openxmlformats.org/officeDocument/2006/relationships/hyperlink" Target="https://ref.ly/Phil2:12" TargetMode="External"/><Relationship Id="rId14163" Type="http://schemas.openxmlformats.org/officeDocument/2006/relationships/hyperlink" Target="https://ref.ly/Prov2:3-Prov2:5" TargetMode="External"/><Relationship Id="rId14164" Type="http://schemas.openxmlformats.org/officeDocument/2006/relationships/hyperlink" Target="https://ref.ly/2Cor7:1" TargetMode="External"/><Relationship Id="rId14165" Type="http://schemas.openxmlformats.org/officeDocument/2006/relationships/hyperlink" Target="https://ref.ly/Ps2:11" TargetMode="External"/><Relationship Id="rId14166" Type="http://schemas.openxmlformats.org/officeDocument/2006/relationships/hyperlink" Target="https://ref.ly/Prov14:27" TargetMode="External"/><Relationship Id="rId14167" Type="http://schemas.openxmlformats.org/officeDocument/2006/relationships/hyperlink" Target="https://ref.ly/Prov15:16" TargetMode="External"/><Relationship Id="rId14168" Type="http://schemas.openxmlformats.org/officeDocument/2006/relationships/hyperlink" Target="https://ref.ly/Ps147:11" TargetMode="External"/><Relationship Id="rId14169" Type="http://schemas.openxmlformats.org/officeDocument/2006/relationships/hyperlink" Target="https://ref.ly/2Kgs18:11" TargetMode="External"/><Relationship Id="rId14170" Type="http://schemas.openxmlformats.org/officeDocument/2006/relationships/hyperlink" Target="https://ref.ly/Dan6:8,Dan6:15" TargetMode="External"/><Relationship Id="rId14171" Type="http://schemas.openxmlformats.org/officeDocument/2006/relationships/hyperlink" Target="https://ref.ly/Esth1:19" TargetMode="External"/><Relationship Id="rId14172" Type="http://schemas.openxmlformats.org/officeDocument/2006/relationships/hyperlink" Target="https://ref.ly/Dan8:20" TargetMode="External"/><Relationship Id="rId14173" Type="http://schemas.openxmlformats.org/officeDocument/2006/relationships/hyperlink" Target="https://ref.ly/Jer51:11,Jer51:28" TargetMode="External"/><Relationship Id="rId14174" Type="http://schemas.openxmlformats.org/officeDocument/2006/relationships/hyperlink" Target="https://ref.ly/Dan5:28" TargetMode="External"/><Relationship Id="rId14175" Type="http://schemas.openxmlformats.org/officeDocument/2006/relationships/hyperlink" Target="https://ref.ly/Dan9:1" TargetMode="External"/><Relationship Id="rId14176" Type="http://schemas.openxmlformats.org/officeDocument/2006/relationships/hyperlink" Target="https://ref.ly/Dan11:1" TargetMode="External"/><Relationship Id="rId14177" Type="http://schemas.openxmlformats.org/officeDocument/2006/relationships/hyperlink" Target="https://ref.ly/Esth1:3-Esth1:7" TargetMode="External"/><Relationship Id="rId14178" Type="http://schemas.openxmlformats.org/officeDocument/2006/relationships/hyperlink" Target="https://ref.ly/Neh6:10" TargetMode="External"/><Relationship Id="rId14179" Type="http://schemas.openxmlformats.org/officeDocument/2006/relationships/hyperlink" Target="https://ref.ly/Judg14:8" TargetMode="External"/><Relationship Id="rId14180" Type="http://schemas.openxmlformats.org/officeDocument/2006/relationships/hyperlink" Target="https://ref.ly/1Sam14:25-1Sam14:26" TargetMode="External"/><Relationship Id="rId14181" Type="http://schemas.openxmlformats.org/officeDocument/2006/relationships/hyperlink" Target="https://ref.ly/2Chr31:5" TargetMode="External"/><Relationship Id="rId14182" Type="http://schemas.openxmlformats.org/officeDocument/2006/relationships/hyperlink" Target="https://ref.ly/Sir39:26" TargetMode="External"/><Relationship Id="rId14183" Type="http://schemas.openxmlformats.org/officeDocument/2006/relationships/hyperlink" Target="https://ref.ly/Prov25:16" TargetMode="External"/><Relationship Id="rId14184" Type="http://schemas.openxmlformats.org/officeDocument/2006/relationships/hyperlink" Target="https://ref.ly/Isa7:15" TargetMode="External"/><Relationship Id="rId14185" Type="http://schemas.openxmlformats.org/officeDocument/2006/relationships/hyperlink" Target="https://ref.ly/Ps19:10" TargetMode="External"/><Relationship Id="rId14186" Type="http://schemas.openxmlformats.org/officeDocument/2006/relationships/hyperlink" Target="https://ref.ly/Rev10:9-Rev10:10" TargetMode="External"/><Relationship Id="rId14187" Type="http://schemas.openxmlformats.org/officeDocument/2006/relationships/hyperlink" Target="https://ref.ly/Heb7:1-Heb7:17" TargetMode="External"/><Relationship Id="rId14188" Type="http://schemas.openxmlformats.org/officeDocument/2006/relationships/hyperlink" Target="https://ref.ly/Gen14:1-Gen14:12" TargetMode="External"/><Relationship Id="rId14189" Type="http://schemas.openxmlformats.org/officeDocument/2006/relationships/hyperlink" Target="https://ref.ly/Ps76:2" TargetMode="External"/><Relationship Id="rId14190" Type="http://schemas.openxmlformats.org/officeDocument/2006/relationships/hyperlink" Target="https://ref.ly/Ps7:17" TargetMode="External"/><Relationship Id="rId14191" Type="http://schemas.openxmlformats.org/officeDocument/2006/relationships/hyperlink" Target="https://ref.ly/Ps47:2" TargetMode="External"/><Relationship Id="rId14192" Type="http://schemas.openxmlformats.org/officeDocument/2006/relationships/hyperlink" Target="https://ref.ly/Ps57:2" TargetMode="External"/><Relationship Id="rId14193" Type="http://schemas.openxmlformats.org/officeDocument/2006/relationships/hyperlink" Target="https://ref.ly/Ps78:56" TargetMode="External"/><Relationship Id="rId14194" Type="http://schemas.openxmlformats.org/officeDocument/2006/relationships/hyperlink" Target="https://ref.ly/Heb5:6-Heb5:11" TargetMode="External"/><Relationship Id="rId14195" Type="http://schemas.openxmlformats.org/officeDocument/2006/relationships/hyperlink" Target="https://ref.ly/Heb6:20-Heb7:28" TargetMode="External"/><Relationship Id="rId14196" Type="http://schemas.openxmlformats.org/officeDocument/2006/relationships/hyperlink" Target="https://ref.ly/Heb7:1-Heb7:2" TargetMode="External"/><Relationship Id="rId14197" Type="http://schemas.openxmlformats.org/officeDocument/2006/relationships/hyperlink" Target="https://ref.ly/Heb7:4-Heb7:10" TargetMode="External"/><Relationship Id="rId14198" Type="http://schemas.openxmlformats.org/officeDocument/2006/relationships/hyperlink" Target="https://ref.ly/Heb7:11-Heb7:19" TargetMode="External"/><Relationship Id="rId14199" Type="http://schemas.openxmlformats.org/officeDocument/2006/relationships/hyperlink" Target="https://ref.ly/Heb7:23-Heb7:25" TargetMode="External"/><Relationship Id="rId14200" Type="http://schemas.openxmlformats.org/officeDocument/2006/relationships/hyperlink" Target="https://ref.ly/Gen30:22" TargetMode="External"/><Relationship Id="rId14201" Type="http://schemas.openxmlformats.org/officeDocument/2006/relationships/hyperlink" Target="https://ref.ly/Ps77:11" TargetMode="External"/><Relationship Id="rId14202" Type="http://schemas.openxmlformats.org/officeDocument/2006/relationships/hyperlink" Target="https://ref.ly/Ps78:7" TargetMode="External"/><Relationship Id="rId14203" Type="http://schemas.openxmlformats.org/officeDocument/2006/relationships/hyperlink" Target="https://ref.ly/Ps105:5" TargetMode="External"/><Relationship Id="rId14204" Type="http://schemas.openxmlformats.org/officeDocument/2006/relationships/hyperlink" Target="https://ref.ly/Ps78:11,Ps78:42" TargetMode="External"/><Relationship Id="rId14205" Type="http://schemas.openxmlformats.org/officeDocument/2006/relationships/hyperlink" Target="https://ref.ly/Ps106:7,Ps106:13,Ps106:21-Ps106:22" TargetMode="External"/><Relationship Id="rId14206" Type="http://schemas.openxmlformats.org/officeDocument/2006/relationships/hyperlink" Target="https://ref.ly/Josh4:7" TargetMode="External"/><Relationship Id="rId14207" Type="http://schemas.openxmlformats.org/officeDocument/2006/relationships/hyperlink" Target="https://ref.ly/Exod28:12,Exod28:29" TargetMode="External"/><Relationship Id="rId14208" Type="http://schemas.openxmlformats.org/officeDocument/2006/relationships/hyperlink" Target="https://ref.ly/Exod39:7" TargetMode="External"/><Relationship Id="rId14209" Type="http://schemas.openxmlformats.org/officeDocument/2006/relationships/hyperlink" Target="https://ref.ly/Lev2:2,Lev2:16" TargetMode="External"/><Relationship Id="rId14210" Type="http://schemas.openxmlformats.org/officeDocument/2006/relationships/hyperlink" Target="https://ref.ly/Acts21:16" TargetMode="External"/><Relationship Id="rId14211" Type="http://schemas.openxmlformats.org/officeDocument/2006/relationships/hyperlink" Target="https://ref.ly/Deut15:1" TargetMode="External"/><Relationship Id="rId14212" Type="http://schemas.openxmlformats.org/officeDocument/2006/relationships/hyperlink" Target="https://ref.ly/Deut24:14-Deut24:15" TargetMode="External"/><Relationship Id="rId14213" Type="http://schemas.openxmlformats.org/officeDocument/2006/relationships/hyperlink" Target="https://ref.ly/Isa5:8" TargetMode="External"/><Relationship Id="rId14214" Type="http://schemas.openxmlformats.org/officeDocument/2006/relationships/hyperlink" Target="https://ref.ly/Hos12:8" TargetMode="External"/><Relationship Id="rId14215" Type="http://schemas.openxmlformats.org/officeDocument/2006/relationships/hyperlink" Target="https://ref.ly/Amos8:4-Amos8:7" TargetMode="External"/><Relationship Id="rId14216" Type="http://schemas.openxmlformats.org/officeDocument/2006/relationships/hyperlink" Target="https://ref.ly/Amos8:6" TargetMode="External"/><Relationship Id="rId14217" Type="http://schemas.openxmlformats.org/officeDocument/2006/relationships/hyperlink" Target="https://ref.ly/John9:8-John9:9" TargetMode="External"/><Relationship Id="rId14218" Type="http://schemas.openxmlformats.org/officeDocument/2006/relationships/hyperlink" Target="https://ref.ly/Acts3:1-Acts3:11" TargetMode="External"/><Relationship Id="rId14219" Type="http://schemas.openxmlformats.org/officeDocument/2006/relationships/hyperlink" Target="https://ref.ly/Matt6:1-Matt6:4" TargetMode="External"/><Relationship Id="rId14220" Type="http://schemas.openxmlformats.org/officeDocument/2006/relationships/hyperlink" Target="https://ref.ly/Matt5:42-Matt5:48" TargetMode="External"/><Relationship Id="rId14221" Type="http://schemas.openxmlformats.org/officeDocument/2006/relationships/hyperlink" Target="https://ref.ly/John5:2-John5:9" TargetMode="External"/><Relationship Id="rId14222" Type="http://schemas.openxmlformats.org/officeDocument/2006/relationships/hyperlink" Target="https://ref.ly/Rom15:25-Rom15:27" TargetMode="External"/><Relationship Id="rId14223" Type="http://schemas.openxmlformats.org/officeDocument/2006/relationships/hyperlink" Target="https://ref.ly/Num8:2" TargetMode="External"/><Relationship Id="rId14224" Type="http://schemas.openxmlformats.org/officeDocument/2006/relationships/hyperlink" Target="https://ref.ly/Exod31:1-Exod31:4" TargetMode="External"/><Relationship Id="rId14225" Type="http://schemas.openxmlformats.org/officeDocument/2006/relationships/hyperlink" Target="https://ref.ly/Exod25:31-Exod25:40" TargetMode="External"/><Relationship Id="rId14226" Type="http://schemas.openxmlformats.org/officeDocument/2006/relationships/hyperlink" Target="https://ref.ly/Exod37:17-Exod37:24" TargetMode="External"/><Relationship Id="rId14227" Type="http://schemas.openxmlformats.org/officeDocument/2006/relationships/hyperlink" Target="https://ref.ly/Zech4:2-Zech4:3" TargetMode="External"/><Relationship Id="rId14228" Type="http://schemas.openxmlformats.org/officeDocument/2006/relationships/hyperlink" Target="https://ref.ly/Exod37:24" TargetMode="External"/><Relationship Id="rId14229" Type="http://schemas.openxmlformats.org/officeDocument/2006/relationships/hyperlink" Target="https://ref.ly/Exod25:39" TargetMode="External"/><Relationship Id="rId14230" Type="http://schemas.openxmlformats.org/officeDocument/2006/relationships/hyperlink" Target="https://ref.ly/2Chr4:22" TargetMode="External"/><Relationship Id="rId14231" Type="http://schemas.openxmlformats.org/officeDocument/2006/relationships/hyperlink" Target="https://ref.ly/Zech4:2,Zech4:11" TargetMode="External"/><Relationship Id="rId14232" Type="http://schemas.openxmlformats.org/officeDocument/2006/relationships/hyperlink" Target="https://ref.ly/Rev1:12-Rev1:13,Rev1:20" TargetMode="External"/><Relationship Id="rId14233" Type="http://schemas.openxmlformats.org/officeDocument/2006/relationships/hyperlink" Target="https://ref.ly/Rev11:4" TargetMode="External"/><Relationship Id="rId14234" Type="http://schemas.openxmlformats.org/officeDocument/2006/relationships/hyperlink" Target="https://ref.ly/2Sam11:22" TargetMode="External"/><Relationship Id="rId14235" Type="http://schemas.openxmlformats.org/officeDocument/2006/relationships/hyperlink" Target="https://ref.ly/1Sam11:3" TargetMode="External"/><Relationship Id="rId14236" Type="http://schemas.openxmlformats.org/officeDocument/2006/relationships/hyperlink" Target="https://ref.ly/1Sam16:19" TargetMode="External"/><Relationship Id="rId14237" Type="http://schemas.openxmlformats.org/officeDocument/2006/relationships/hyperlink" Target="https://ref.ly/Isa37:9" TargetMode="External"/><Relationship Id="rId14238" Type="http://schemas.openxmlformats.org/officeDocument/2006/relationships/hyperlink" Target="https://ref.ly/Prov25:13" TargetMode="External"/><Relationship Id="rId14239" Type="http://schemas.openxmlformats.org/officeDocument/2006/relationships/hyperlink" Target="https://ref.ly/Isa42:19" TargetMode="External"/><Relationship Id="rId14240" Type="http://schemas.openxmlformats.org/officeDocument/2006/relationships/hyperlink" Target="https://ref.ly/Mark1:2" TargetMode="External"/><Relationship Id="rId14241" Type="http://schemas.openxmlformats.org/officeDocument/2006/relationships/hyperlink" Target="https://ref.ly/Luke7:27" TargetMode="External"/><Relationship Id="rId14242" Type="http://schemas.openxmlformats.org/officeDocument/2006/relationships/hyperlink" Target="https://ref.ly/Prov16:14" TargetMode="External"/><Relationship Id="rId14243" Type="http://schemas.openxmlformats.org/officeDocument/2006/relationships/hyperlink" Target="https://ref.ly/1Sam2:35" TargetMode="External"/><Relationship Id="rId14244" Type="http://schemas.openxmlformats.org/officeDocument/2006/relationships/hyperlink" Target="https://ref.ly/Ezek11:5" TargetMode="External"/><Relationship Id="rId14245" Type="http://schemas.openxmlformats.org/officeDocument/2006/relationships/hyperlink" Target="https://ref.ly/Isa46:8" TargetMode="External"/><Relationship Id="rId14246" Type="http://schemas.openxmlformats.org/officeDocument/2006/relationships/hyperlink" Target="https://ref.ly/Isa65:17" TargetMode="External"/><Relationship Id="rId14247" Type="http://schemas.openxmlformats.org/officeDocument/2006/relationships/hyperlink" Target="https://ref.ly/Jer3:16" TargetMode="External"/><Relationship Id="rId14248" Type="http://schemas.openxmlformats.org/officeDocument/2006/relationships/hyperlink" Target="https://ref.ly/Mark12:33" TargetMode="External"/><Relationship Id="rId14249" Type="http://schemas.openxmlformats.org/officeDocument/2006/relationships/hyperlink" Target="https://ref.ly/1Cor14:14-1Cor14:19" TargetMode="External"/><Relationship Id="rId14250" Type="http://schemas.openxmlformats.org/officeDocument/2006/relationships/hyperlink" Target="https://ref.ly/Eph4:23" TargetMode="External"/><Relationship Id="rId14251" Type="http://schemas.openxmlformats.org/officeDocument/2006/relationships/hyperlink" Target="https://ref.ly/Rom8:6-Rom8:7" TargetMode="External"/><Relationship Id="rId14252" Type="http://schemas.openxmlformats.org/officeDocument/2006/relationships/hyperlink" Target="https://ref.ly/Luke24:45" TargetMode="External"/><Relationship Id="rId14253" Type="http://schemas.openxmlformats.org/officeDocument/2006/relationships/hyperlink" Target="https://ref.ly/1Cor2:15-1Cor2:16" TargetMode="External"/><Relationship Id="rId14254" Type="http://schemas.openxmlformats.org/officeDocument/2006/relationships/hyperlink" Target="https://ref.ly/Exod6:16-Exod6:19" TargetMode="External"/><Relationship Id="rId14255" Type="http://schemas.openxmlformats.org/officeDocument/2006/relationships/hyperlink" Target="https://ref.ly/Num3:17-Num3:20,Num3:33" TargetMode="External"/><Relationship Id="rId14256" Type="http://schemas.openxmlformats.org/officeDocument/2006/relationships/hyperlink" Target="https://ref.ly/Num3:36-Num3:37" TargetMode="External"/><Relationship Id="rId14257" Type="http://schemas.openxmlformats.org/officeDocument/2006/relationships/hyperlink" Target="https://ref.ly/Num4:31-Num4:33" TargetMode="External"/><Relationship Id="rId14258" Type="http://schemas.openxmlformats.org/officeDocument/2006/relationships/hyperlink" Target="https://ref.ly/Num10:17" TargetMode="External"/><Relationship Id="rId14259" Type="http://schemas.openxmlformats.org/officeDocument/2006/relationships/hyperlink" Target="https://ref.ly/Josh21:7,Josh21:34,Josh21:40" TargetMode="External"/><Relationship Id="rId14260" Type="http://schemas.openxmlformats.org/officeDocument/2006/relationships/hyperlink" Target="https://ref.ly/1Chr6:1-1Chr6:81" TargetMode="External"/><Relationship Id="rId14261" Type="http://schemas.openxmlformats.org/officeDocument/2006/relationships/hyperlink" Target="https://ref.ly/1Chr9:1-1Chr9:44" TargetMode="External"/><Relationship Id="rId14262" Type="http://schemas.openxmlformats.org/officeDocument/2006/relationships/hyperlink" Target="https://ref.ly/1Chr15:1-1Chr15:29" TargetMode="External"/><Relationship Id="rId14263" Type="http://schemas.openxmlformats.org/officeDocument/2006/relationships/hyperlink" Target="https://ref.ly/1Chr23:1-1Chr23:32" TargetMode="External"/><Relationship Id="rId14264" Type="http://schemas.openxmlformats.org/officeDocument/2006/relationships/hyperlink" Target="https://ref.ly/1Chr26:1-1Chr26:32" TargetMode="External"/><Relationship Id="rId14265" Type="http://schemas.openxmlformats.org/officeDocument/2006/relationships/hyperlink" Target="https://ref.ly/Mark7:4" TargetMode="External"/><Relationship Id="rId14266" Type="http://schemas.openxmlformats.org/officeDocument/2006/relationships/hyperlink" Target="https://ref.ly/Matt11:16" TargetMode="External"/><Relationship Id="rId14267" Type="http://schemas.openxmlformats.org/officeDocument/2006/relationships/hyperlink" Target="https://ref.ly/Luke7:32" TargetMode="External"/><Relationship Id="rId14268" Type="http://schemas.openxmlformats.org/officeDocument/2006/relationships/hyperlink" Target="https://ref.ly/Matt20:3" TargetMode="External"/><Relationship Id="rId14269" Type="http://schemas.openxmlformats.org/officeDocument/2006/relationships/hyperlink" Target="https://ref.ly/Mark6:56" TargetMode="External"/><Relationship Id="rId14270" Type="http://schemas.openxmlformats.org/officeDocument/2006/relationships/hyperlink" Target="https://ref.ly/Acts17:17" TargetMode="External"/><Relationship Id="rId14271" Type="http://schemas.openxmlformats.org/officeDocument/2006/relationships/hyperlink" Target="https://ref.ly/Ps106:32" TargetMode="External"/><Relationship Id="rId14272" Type="http://schemas.openxmlformats.org/officeDocument/2006/relationships/hyperlink" Target="https://ref.ly/Exod25:23-Exod25:30" TargetMode="External"/><Relationship Id="rId14273" Type="http://schemas.openxmlformats.org/officeDocument/2006/relationships/hyperlink" Target="https://ref.ly/Ps120:5" TargetMode="External"/><Relationship Id="rId14274" Type="http://schemas.openxmlformats.org/officeDocument/2006/relationships/hyperlink" Target="https://ref.ly/Ezek32:26" TargetMode="External"/><Relationship Id="rId14275" Type="http://schemas.openxmlformats.org/officeDocument/2006/relationships/hyperlink" Target="https://ref.ly/Ezek38:2-Ezek38:3" TargetMode="External"/><Relationship Id="rId14276" Type="http://schemas.openxmlformats.org/officeDocument/2006/relationships/hyperlink" Target="https://ref.ly/Ezek39:1" TargetMode="External"/><Relationship Id="rId14277" Type="http://schemas.openxmlformats.org/officeDocument/2006/relationships/hyperlink" Target="https://ref.ly/1Sam12:14" TargetMode="External"/><Relationship Id="rId14278" Type="http://schemas.openxmlformats.org/officeDocument/2006/relationships/hyperlink" Target="https://ref.ly/2Sam19:21" TargetMode="External"/><Relationship Id="rId14279" Type="http://schemas.openxmlformats.org/officeDocument/2006/relationships/hyperlink" Target="https://ref.ly/Ps2:2" TargetMode="External"/><Relationship Id="rId14280" Type="http://schemas.openxmlformats.org/officeDocument/2006/relationships/hyperlink" Target="https://ref.ly/Ps20:6" TargetMode="External"/><Relationship Id="rId14281" Type="http://schemas.openxmlformats.org/officeDocument/2006/relationships/hyperlink" Target="https://ref.ly/2Sam22:48-2Sam22:51" TargetMode="External"/><Relationship Id="rId14282" Type="http://schemas.openxmlformats.org/officeDocument/2006/relationships/hyperlink" Target="https://ref.ly/Jer33:1-Jer33:26" TargetMode="External"/><Relationship Id="rId14283" Type="http://schemas.openxmlformats.org/officeDocument/2006/relationships/hyperlink" Target="https://ref.ly/Acts1:6" TargetMode="External"/><Relationship Id="rId14284" Type="http://schemas.openxmlformats.org/officeDocument/2006/relationships/hyperlink" Target="https://ref.ly/Gen9:26" TargetMode="External"/><Relationship Id="rId14285" Type="http://schemas.openxmlformats.org/officeDocument/2006/relationships/hyperlink" Target="https://ref.ly/Gen22:18" TargetMode="External"/><Relationship Id="rId14286" Type="http://schemas.openxmlformats.org/officeDocument/2006/relationships/hyperlink" Target="https://ref.ly/Isa53:1" TargetMode="External"/><Relationship Id="rId14287" Type="http://schemas.openxmlformats.org/officeDocument/2006/relationships/hyperlink" Target="https://ref.ly/Isa49:1-Isa49:9" TargetMode="External"/><Relationship Id="rId14288" Type="http://schemas.openxmlformats.org/officeDocument/2006/relationships/hyperlink" Target="https://ref.ly/Isa55:4" TargetMode="External"/><Relationship Id="rId14289" Type="http://schemas.openxmlformats.org/officeDocument/2006/relationships/hyperlink" Target="https://ref.ly/Isa7:14-Isa7:15" TargetMode="External"/><Relationship Id="rId14290" Type="http://schemas.openxmlformats.org/officeDocument/2006/relationships/hyperlink" Target="https://ref.ly/Isa11:1-Isa11:4" TargetMode="External"/><Relationship Id="rId14291" Type="http://schemas.openxmlformats.org/officeDocument/2006/relationships/hyperlink" Target="https://ref.ly/Isa41:8" TargetMode="External"/><Relationship Id="rId14292" Type="http://schemas.openxmlformats.org/officeDocument/2006/relationships/hyperlink" Target="https://ref.ly/Isa42:18" TargetMode="External"/><Relationship Id="rId14293" Type="http://schemas.openxmlformats.org/officeDocument/2006/relationships/hyperlink" Target="https://ref.ly/Exod33:5" TargetMode="External"/><Relationship Id="rId14294" Type="http://schemas.openxmlformats.org/officeDocument/2006/relationships/hyperlink" Target="https://ref.ly/Isa42:18-Isa42:19" TargetMode="External"/><Relationship Id="rId14295" Type="http://schemas.openxmlformats.org/officeDocument/2006/relationships/hyperlink" Target="https://ref.ly/Isa49:3" TargetMode="External"/><Relationship Id="rId14296" Type="http://schemas.openxmlformats.org/officeDocument/2006/relationships/hyperlink" Target="https://ref.ly/Dan9:25" TargetMode="External"/><Relationship Id="rId14297" Type="http://schemas.openxmlformats.org/officeDocument/2006/relationships/hyperlink" Target="https://ref.ly/Dan9:26" TargetMode="External"/><Relationship Id="rId14298" Type="http://schemas.openxmlformats.org/officeDocument/2006/relationships/hyperlink" Target="https://ref.ly/Dan9:24" TargetMode="External"/><Relationship Id="rId14299" Type="http://schemas.openxmlformats.org/officeDocument/2006/relationships/hyperlink" Target="https://ref.ly/Jer23:5-Jer23:6" TargetMode="External"/><Relationship Id="rId14300" Type="http://schemas.openxmlformats.org/officeDocument/2006/relationships/hyperlink" Target="https://ref.ly/Ps45:6-Ps45:7" TargetMode="External"/><Relationship Id="rId14301" Type="http://schemas.openxmlformats.org/officeDocument/2006/relationships/hyperlink" Target="https://ref.ly/Heb1:8-Heb1:9" TargetMode="External"/><Relationship Id="rId14302" Type="http://schemas.openxmlformats.org/officeDocument/2006/relationships/hyperlink" Target="https://ref.ly/Deut18:18" TargetMode="External"/><Relationship Id="rId14303" Type="http://schemas.openxmlformats.org/officeDocument/2006/relationships/hyperlink" Target="https://ref.ly/Exod2:1-Exod2:25" TargetMode="External"/><Relationship Id="rId14304" Type="http://schemas.openxmlformats.org/officeDocument/2006/relationships/hyperlink" Target="https://ref.ly/Heb11:24-Heb11:28" TargetMode="External"/><Relationship Id="rId14305" Type="http://schemas.openxmlformats.org/officeDocument/2006/relationships/hyperlink" Target="https://ref.ly/Exod34:29-Exod34:30" TargetMode="External"/><Relationship Id="rId14306" Type="http://schemas.openxmlformats.org/officeDocument/2006/relationships/hyperlink" Target="https://ref.ly/Heb3:3-Heb3:6" TargetMode="External"/><Relationship Id="rId14307" Type="http://schemas.openxmlformats.org/officeDocument/2006/relationships/hyperlink" Target="https://ref.ly/Jer30:9" TargetMode="External"/><Relationship Id="rId14308" Type="http://schemas.openxmlformats.org/officeDocument/2006/relationships/hyperlink" Target="https://ref.ly/John8:56" TargetMode="External"/><Relationship Id="rId14309" Type="http://schemas.openxmlformats.org/officeDocument/2006/relationships/hyperlink" Target="https://ref.ly/Mark10:46-Mark10:48" TargetMode="External"/><Relationship Id="rId14310" Type="http://schemas.openxmlformats.org/officeDocument/2006/relationships/hyperlink" Target="https://ref.ly/Matt16:16-Matt16:18" TargetMode="External"/><Relationship Id="rId14311" Type="http://schemas.openxmlformats.org/officeDocument/2006/relationships/hyperlink" Target="https://ref.ly/Matt17:9" TargetMode="External"/><Relationship Id="rId14312" Type="http://schemas.openxmlformats.org/officeDocument/2006/relationships/hyperlink" Target="https://ref.ly/Luke9:20-Luke9:21" TargetMode="External"/><Relationship Id="rId14313" Type="http://schemas.openxmlformats.org/officeDocument/2006/relationships/hyperlink" Target="https://ref.ly/John5:39" TargetMode="External"/><Relationship Id="rId14314" Type="http://schemas.openxmlformats.org/officeDocument/2006/relationships/hyperlink" Target="https://ref.ly/Heb10:7" TargetMode="External"/><Relationship Id="rId14315" Type="http://schemas.openxmlformats.org/officeDocument/2006/relationships/hyperlink" Target="https://ref.ly/Isa40:10-Isa40:11" TargetMode="External"/><Relationship Id="rId14316" Type="http://schemas.openxmlformats.org/officeDocument/2006/relationships/hyperlink" Target="https://ref.ly/Isa63:1-Isa63:6" TargetMode="External"/><Relationship Id="rId14317" Type="http://schemas.openxmlformats.org/officeDocument/2006/relationships/hyperlink" Target="https://ref.ly/Jer33:14-Jer33:16" TargetMode="External"/><Relationship Id="rId14318" Type="http://schemas.openxmlformats.org/officeDocument/2006/relationships/hyperlink" Target="https://ref.ly/Zech13:7" TargetMode="External"/><Relationship Id="rId14319" Type="http://schemas.openxmlformats.org/officeDocument/2006/relationships/hyperlink" Target="https://ref.ly/Acts8:35" TargetMode="External"/><Relationship Id="rId14320" Type="http://schemas.openxmlformats.org/officeDocument/2006/relationships/hyperlink" Target="https://ref.ly/Acts28:28" TargetMode="External"/><Relationship Id="rId14321" Type="http://schemas.openxmlformats.org/officeDocument/2006/relationships/hyperlink" Target="https://ref.ly/Phil3:5-Phil3:10" TargetMode="External"/><Relationship Id="rId14322" Type="http://schemas.openxmlformats.org/officeDocument/2006/relationships/hyperlink" Target="https://ref.ly/Matt12:21" TargetMode="External"/><Relationship Id="rId14323" Type="http://schemas.openxmlformats.org/officeDocument/2006/relationships/hyperlink" Target="https://ref.ly/John1:16-John1:17" TargetMode="External"/><Relationship Id="rId14324" Type="http://schemas.openxmlformats.org/officeDocument/2006/relationships/hyperlink" Target="https://ref.ly/John7:16" TargetMode="External"/><Relationship Id="rId14325" Type="http://schemas.openxmlformats.org/officeDocument/2006/relationships/hyperlink" Target="https://ref.ly/Heb7:21" TargetMode="External"/><Relationship Id="rId14326" Type="http://schemas.openxmlformats.org/officeDocument/2006/relationships/hyperlink" Target="https://ref.ly/Phil2:9-Phil2:10" TargetMode="External"/><Relationship Id="rId14327" Type="http://schemas.openxmlformats.org/officeDocument/2006/relationships/hyperlink" Target="https://ref.ly/Luke6:40" TargetMode="External"/><Relationship Id="rId14328" Type="http://schemas.openxmlformats.org/officeDocument/2006/relationships/hyperlink" Target="https://ref.ly/Gen39:3" TargetMode="External"/><Relationship Id="rId14329" Type="http://schemas.openxmlformats.org/officeDocument/2006/relationships/hyperlink" Target="https://ref.ly/Judg19:11" TargetMode="External"/><Relationship Id="rId14330" Type="http://schemas.openxmlformats.org/officeDocument/2006/relationships/hyperlink" Target="https://ref.ly/Mark9:5" TargetMode="External"/><Relationship Id="rId14331" Type="http://schemas.openxmlformats.org/officeDocument/2006/relationships/hyperlink" Target="https://ref.ly/Acts27:11" TargetMode="External"/><Relationship Id="rId14332" Type="http://schemas.openxmlformats.org/officeDocument/2006/relationships/hyperlink" Target="https://ref.ly/Luke14:21" TargetMode="External"/><Relationship Id="rId14333" Type="http://schemas.openxmlformats.org/officeDocument/2006/relationships/hyperlink" Target="https://ref.ly/Matt6:24" TargetMode="External"/><Relationship Id="rId14334" Type="http://schemas.openxmlformats.org/officeDocument/2006/relationships/hyperlink" Target="https://ref.ly/Acts25:26" TargetMode="External"/><Relationship Id="rId14335" Type="http://schemas.openxmlformats.org/officeDocument/2006/relationships/hyperlink" Target="https://ref.ly/Deut11:19-Deut11:21" TargetMode="External"/><Relationship Id="rId14336" Type="http://schemas.openxmlformats.org/officeDocument/2006/relationships/hyperlink" Target="https://ref.ly/Deut24:8" TargetMode="External"/><Relationship Id="rId14337" Type="http://schemas.openxmlformats.org/officeDocument/2006/relationships/hyperlink" Target="https://ref.ly/2Chr17:7-2Chr17:9" TargetMode="External"/><Relationship Id="rId14338" Type="http://schemas.openxmlformats.org/officeDocument/2006/relationships/hyperlink" Target="https://ref.ly/Ezek44:23" TargetMode="External"/><Relationship Id="rId14339" Type="http://schemas.openxmlformats.org/officeDocument/2006/relationships/hyperlink" Target="https://ref.ly/Ps25:8" TargetMode="External"/><Relationship Id="rId14340" Type="http://schemas.openxmlformats.org/officeDocument/2006/relationships/hyperlink" Target="https://ref.ly/Isa2:3" TargetMode="External"/><Relationship Id="rId14341" Type="http://schemas.openxmlformats.org/officeDocument/2006/relationships/hyperlink" Target="https://ref.ly/Luke3:12" TargetMode="External"/><Relationship Id="rId14342" Type="http://schemas.openxmlformats.org/officeDocument/2006/relationships/hyperlink" Target="https://ref.ly/Matt5:2" TargetMode="External"/><Relationship Id="rId14343" Type="http://schemas.openxmlformats.org/officeDocument/2006/relationships/hyperlink" Target="https://ref.ly/Matt11:1" TargetMode="External"/><Relationship Id="rId14344" Type="http://schemas.openxmlformats.org/officeDocument/2006/relationships/hyperlink" Target="https://ref.ly/Mark1:21" TargetMode="External"/><Relationship Id="rId14345" Type="http://schemas.openxmlformats.org/officeDocument/2006/relationships/hyperlink" Target="https://ref.ly/Mark2:13" TargetMode="External"/><Relationship Id="rId14346" Type="http://schemas.openxmlformats.org/officeDocument/2006/relationships/hyperlink" Target="https://ref.ly/Luke4:15" TargetMode="External"/><Relationship Id="rId14347" Type="http://schemas.openxmlformats.org/officeDocument/2006/relationships/hyperlink" Target="https://ref.ly/Luke5:3" TargetMode="External"/><Relationship Id="rId14348" Type="http://schemas.openxmlformats.org/officeDocument/2006/relationships/hyperlink" Target="https://ref.ly/John6:59" TargetMode="External"/><Relationship Id="rId14349" Type="http://schemas.openxmlformats.org/officeDocument/2006/relationships/hyperlink" Target="https://ref.ly/John7:14" TargetMode="External"/><Relationship Id="rId14350" Type="http://schemas.openxmlformats.org/officeDocument/2006/relationships/hyperlink" Target="https://ref.ly/Mark1:22" TargetMode="External"/><Relationship Id="rId14351" Type="http://schemas.openxmlformats.org/officeDocument/2006/relationships/hyperlink" Target="https://ref.ly/Luke4:32" TargetMode="External"/><Relationship Id="rId14352" Type="http://schemas.openxmlformats.org/officeDocument/2006/relationships/hyperlink" Target="https://ref.ly/1Cor12:28-1Cor12:29" TargetMode="External"/><Relationship Id="rId14353" Type="http://schemas.openxmlformats.org/officeDocument/2006/relationships/hyperlink" Target="https://ref.ly/2Tim1:11" TargetMode="External"/><Relationship Id="rId14354" Type="http://schemas.openxmlformats.org/officeDocument/2006/relationships/hyperlink" Target="https://ref.ly/Jas3:1" TargetMode="External"/><Relationship Id="rId14355" Type="http://schemas.openxmlformats.org/officeDocument/2006/relationships/hyperlink" Target="https://ref.ly/Exod12:7,Exod12:22-Exod12:23" TargetMode="External"/><Relationship Id="rId14356" Type="http://schemas.openxmlformats.org/officeDocument/2006/relationships/hyperlink" Target="https://ref.ly/Deut11:20" TargetMode="External"/><Relationship Id="rId14357" Type="http://schemas.openxmlformats.org/officeDocument/2006/relationships/hyperlink" Target="https://ref.ly/Ps121:8" TargetMode="External"/><Relationship Id="rId14358" Type="http://schemas.openxmlformats.org/officeDocument/2006/relationships/hyperlink" Target="https://ref.ly/Gen25:13" TargetMode="External"/><Relationship Id="rId14359" Type="http://schemas.openxmlformats.org/officeDocument/2006/relationships/hyperlink" Target="https://ref.ly/1Chr4:25" TargetMode="External"/><Relationship Id="rId14360" Type="http://schemas.openxmlformats.org/officeDocument/2006/relationships/hyperlink" Target="https://ref.ly/Gen36:42" TargetMode="External"/><Relationship Id="rId14361" Type="http://schemas.openxmlformats.org/officeDocument/2006/relationships/hyperlink" Target="https://ref.ly/1Chr1:53" TargetMode="External"/><Relationship Id="rId14362" Type="http://schemas.openxmlformats.org/officeDocument/2006/relationships/hyperlink" Target="https://ref.ly/Num13:13" TargetMode="External"/><Relationship Id="rId14363" Type="http://schemas.openxmlformats.org/officeDocument/2006/relationships/hyperlink" Target="https://ref.ly/1Chr5:13-1Chr5:14" TargetMode="External"/><Relationship Id="rId14364" Type="http://schemas.openxmlformats.org/officeDocument/2006/relationships/hyperlink" Target="https://ref.ly/1Chr6:40" TargetMode="External"/><Relationship Id="rId14365" Type="http://schemas.openxmlformats.org/officeDocument/2006/relationships/hyperlink" Target="https://ref.ly/1Chr8:16" TargetMode="External"/><Relationship Id="rId14366" Type="http://schemas.openxmlformats.org/officeDocument/2006/relationships/hyperlink" Target="https://ref.ly/2Chr21:2" TargetMode="External"/><Relationship Id="rId14367" Type="http://schemas.openxmlformats.org/officeDocument/2006/relationships/hyperlink" Target="https://ref.ly/Ezra8:8" TargetMode="External"/><Relationship Id="rId14368" Type="http://schemas.openxmlformats.org/officeDocument/2006/relationships/hyperlink" Target="https://ref.ly/Dan10:21" TargetMode="External"/><Relationship Id="rId14369" Type="http://schemas.openxmlformats.org/officeDocument/2006/relationships/hyperlink" Target="https://ref.ly/2Pet2:10-2Pet2:11" TargetMode="External"/><Relationship Id="rId14370" Type="http://schemas.openxmlformats.org/officeDocument/2006/relationships/hyperlink" Target="https://ref.ly/1Thess4:16" TargetMode="External"/><Relationship Id="rId14371" Type="http://schemas.openxmlformats.org/officeDocument/2006/relationships/hyperlink" Target="https://ref.ly/Rev12:7-Rev12:8" TargetMode="External"/><Relationship Id="rId14372" Type="http://schemas.openxmlformats.org/officeDocument/2006/relationships/hyperlink" Target="https://ref.ly/Ps56:1-Ps60:12" TargetMode="External"/><Relationship Id="rId14373" Type="http://schemas.openxmlformats.org/officeDocument/2006/relationships/hyperlink" Target="https://ref.ly/Isa38:9" TargetMode="External"/><Relationship Id="rId14374" Type="http://schemas.openxmlformats.org/officeDocument/2006/relationships/hyperlink" Target="https://ref.ly/Gen25:1-Gen25:6" TargetMode="External"/><Relationship Id="rId14375" Type="http://schemas.openxmlformats.org/officeDocument/2006/relationships/hyperlink" Target="https://ref.ly/Exod2:15-Exod3:1" TargetMode="External"/><Relationship Id="rId14376" Type="http://schemas.openxmlformats.org/officeDocument/2006/relationships/hyperlink" Target="https://ref.ly/Num22:1-Num22:6" TargetMode="External"/><Relationship Id="rId14377" Type="http://schemas.openxmlformats.org/officeDocument/2006/relationships/hyperlink" Target="https://ref.ly/Num31:1-Num31:20" TargetMode="External"/><Relationship Id="rId14378" Type="http://schemas.openxmlformats.org/officeDocument/2006/relationships/hyperlink" Target="https://ref.ly/Judg6:1-Judg8:28" TargetMode="External"/><Relationship Id="rId14379" Type="http://schemas.openxmlformats.org/officeDocument/2006/relationships/hyperlink" Target="https://ref.ly/Gen23:1-Gen23:2" TargetMode="External"/><Relationship Id="rId14380" Type="http://schemas.openxmlformats.org/officeDocument/2006/relationships/hyperlink" Target="https://ref.ly/Gen24:67" TargetMode="External"/><Relationship Id="rId14381" Type="http://schemas.openxmlformats.org/officeDocument/2006/relationships/hyperlink" Target="https://ref.ly/1Chr1:32-1Chr1:33" TargetMode="External"/><Relationship Id="rId14382" Type="http://schemas.openxmlformats.org/officeDocument/2006/relationships/hyperlink" Target="https://ref.ly/Gen37:17,Gen37:25-Gen37:28,Gen37:36" TargetMode="External"/><Relationship Id="rId14383" Type="http://schemas.openxmlformats.org/officeDocument/2006/relationships/hyperlink" Target="https://ref.ly/Exod2:15-Exod2:22" TargetMode="External"/><Relationship Id="rId14384" Type="http://schemas.openxmlformats.org/officeDocument/2006/relationships/hyperlink" Target="https://ref.ly/Deut1:19" TargetMode="External"/><Relationship Id="rId14385" Type="http://schemas.openxmlformats.org/officeDocument/2006/relationships/hyperlink" Target="https://ref.ly/Num10:11-Num10:12,Num10:29-Num10:31" TargetMode="External"/><Relationship Id="rId14386" Type="http://schemas.openxmlformats.org/officeDocument/2006/relationships/hyperlink" Target="https://ref.ly/Num10:30" TargetMode="External"/><Relationship Id="rId14387" Type="http://schemas.openxmlformats.org/officeDocument/2006/relationships/hyperlink" Target="https://ref.ly/Num21:26-Num21:30" TargetMode="External"/><Relationship Id="rId14388" Type="http://schemas.openxmlformats.org/officeDocument/2006/relationships/hyperlink" Target="https://ref.ly/Jer48:45" TargetMode="External"/><Relationship Id="rId14389" Type="http://schemas.openxmlformats.org/officeDocument/2006/relationships/hyperlink" Target="https://ref.ly/Num22:2-Num22:7" TargetMode="External"/><Relationship Id="rId14390" Type="http://schemas.openxmlformats.org/officeDocument/2006/relationships/hyperlink" Target="https://ref.ly/Num25:1" TargetMode="External"/><Relationship Id="rId14391" Type="http://schemas.openxmlformats.org/officeDocument/2006/relationships/hyperlink" Target="https://ref.ly/Exod14:2" TargetMode="External"/><Relationship Id="rId14392" Type="http://schemas.openxmlformats.org/officeDocument/2006/relationships/hyperlink" Target="https://ref.ly/Jer44:1" TargetMode="External"/><Relationship Id="rId14393" Type="http://schemas.openxmlformats.org/officeDocument/2006/relationships/hyperlink" Target="https://ref.ly/Jer46:14" TargetMode="External"/><Relationship Id="rId14394" Type="http://schemas.openxmlformats.org/officeDocument/2006/relationships/hyperlink" Target="https://ref.ly/Ezek30:6" TargetMode="External"/><Relationship Id="rId14395" Type="http://schemas.openxmlformats.org/officeDocument/2006/relationships/hyperlink" Target="https://ref.ly/Deut4:34" TargetMode="External"/><Relationship Id="rId14396" Type="http://schemas.openxmlformats.org/officeDocument/2006/relationships/hyperlink" Target="https://ref.ly/Deut13:1" TargetMode="External"/><Relationship Id="rId14397" Type="http://schemas.openxmlformats.org/officeDocument/2006/relationships/hyperlink" Target="https://ref.ly/Matt24:24" TargetMode="External"/><Relationship Id="rId14398" Type="http://schemas.openxmlformats.org/officeDocument/2006/relationships/hyperlink" Target="https://ref.ly/Mark13:22" TargetMode="External"/><Relationship Id="rId14399" Type="http://schemas.openxmlformats.org/officeDocument/2006/relationships/hyperlink" Target="https://ref.ly/John4:48" TargetMode="External"/><Relationship Id="rId14400" Type="http://schemas.openxmlformats.org/officeDocument/2006/relationships/hyperlink" Target="https://ref.ly/2Thess2:9" TargetMode="External"/><Relationship Id="rId14401" Type="http://schemas.openxmlformats.org/officeDocument/2006/relationships/hyperlink" Target="https://ref.ly/Job5:9-Job5:10" TargetMode="External"/><Relationship Id="rId14402" Type="http://schemas.openxmlformats.org/officeDocument/2006/relationships/hyperlink" Target="https://ref.ly/Ps106:2" TargetMode="External"/><Relationship Id="rId14403" Type="http://schemas.openxmlformats.org/officeDocument/2006/relationships/hyperlink" Target="https://ref.ly/Gen24:12-Gen24:27" TargetMode="External"/><Relationship Id="rId14404" Type="http://schemas.openxmlformats.org/officeDocument/2006/relationships/hyperlink" Target="https://ref.ly/1Sam14:23" TargetMode="External"/><Relationship Id="rId14405" Type="http://schemas.openxmlformats.org/officeDocument/2006/relationships/hyperlink" Target="https://ref.ly/Deut13:1-Deut13:4" TargetMode="External"/><Relationship Id="rId14406" Type="http://schemas.openxmlformats.org/officeDocument/2006/relationships/hyperlink" Target="https://ref.ly/Exod7:17" TargetMode="External"/><Relationship Id="rId14407" Type="http://schemas.openxmlformats.org/officeDocument/2006/relationships/hyperlink" Target="https://ref.ly/Exod8:6" TargetMode="External"/><Relationship Id="rId14408" Type="http://schemas.openxmlformats.org/officeDocument/2006/relationships/hyperlink" Target="https://ref.ly/Exod9:14-Exod9:16" TargetMode="External"/><Relationship Id="rId14409" Type="http://schemas.openxmlformats.org/officeDocument/2006/relationships/hyperlink" Target="https://ref.ly/1Kgs18:1-1Kgs18:46" TargetMode="External"/><Relationship Id="rId14410" Type="http://schemas.openxmlformats.org/officeDocument/2006/relationships/hyperlink" Target="https://ref.ly/Exod7:1-Exod7:25" TargetMode="External"/><Relationship Id="rId14411" Type="http://schemas.openxmlformats.org/officeDocument/2006/relationships/hyperlink" Target="https://ref.ly/2Kgs2:10-2Kgs2:14" TargetMode="External"/><Relationship Id="rId14412" Type="http://schemas.openxmlformats.org/officeDocument/2006/relationships/hyperlink" Target="https://ref.ly/Exod14:1-Exod14:31" TargetMode="External"/><Relationship Id="rId14413" Type="http://schemas.openxmlformats.org/officeDocument/2006/relationships/hyperlink" Target="https://ref.ly/Mark3:23-Mark3:27" TargetMode="External"/><Relationship Id="rId14414" Type="http://schemas.openxmlformats.org/officeDocument/2006/relationships/hyperlink" Target="https://ref.ly/Matt12:27" TargetMode="External"/><Relationship Id="rId14415" Type="http://schemas.openxmlformats.org/officeDocument/2006/relationships/hyperlink" Target="https://ref.ly/Mark5:32" TargetMode="External"/><Relationship Id="rId14416" Type="http://schemas.openxmlformats.org/officeDocument/2006/relationships/hyperlink" Target="https://ref.ly/Mark1:21-Mark1:39" TargetMode="External"/><Relationship Id="rId14417" Type="http://schemas.openxmlformats.org/officeDocument/2006/relationships/hyperlink" Target="https://ref.ly/Mark1:40-Mark3:6" TargetMode="External"/><Relationship Id="rId14418" Type="http://schemas.openxmlformats.org/officeDocument/2006/relationships/hyperlink" Target="https://ref.ly/Mark3:7-Mark3:30" TargetMode="External"/><Relationship Id="rId14419" Type="http://schemas.openxmlformats.org/officeDocument/2006/relationships/hyperlink" Target="https://ref.ly/Mark4:35-Mark6:43" TargetMode="External"/><Relationship Id="rId14420" Type="http://schemas.openxmlformats.org/officeDocument/2006/relationships/hyperlink" Target="https://ref.ly/Mark6:30-Mark8:26" TargetMode="External"/><Relationship Id="rId14421" Type="http://schemas.openxmlformats.org/officeDocument/2006/relationships/hyperlink" Target="https://ref.ly/Matt12:1-Matt12:50" TargetMode="External"/><Relationship Id="rId14422" Type="http://schemas.openxmlformats.org/officeDocument/2006/relationships/hyperlink" Target="https://ref.ly/Matt14:1-Matt15:39" TargetMode="External"/><Relationship Id="rId14423" Type="http://schemas.openxmlformats.org/officeDocument/2006/relationships/hyperlink" Target="https://ref.ly/Acts9:32-Acts9:42" TargetMode="External"/><Relationship Id="rId14424" Type="http://schemas.openxmlformats.org/officeDocument/2006/relationships/hyperlink" Target="https://ref.ly/Luke5:18-Luke5:26" TargetMode="External"/><Relationship Id="rId14425" Type="http://schemas.openxmlformats.org/officeDocument/2006/relationships/hyperlink" Target="https://ref.ly/Luke8:49-Luke8:56" TargetMode="External"/><Relationship Id="rId14426" Type="http://schemas.openxmlformats.org/officeDocument/2006/relationships/hyperlink" Target="https://ref.ly/Luke4:18-Luke4:22" TargetMode="External"/><Relationship Id="rId14427" Type="http://schemas.openxmlformats.org/officeDocument/2006/relationships/hyperlink" Target="https://ref.ly/Luke4:31-Luke4:41" TargetMode="External"/><Relationship Id="rId14428" Type="http://schemas.openxmlformats.org/officeDocument/2006/relationships/hyperlink" Target="https://ref.ly/Luke8:39" TargetMode="External"/><Relationship Id="rId14429" Type="http://schemas.openxmlformats.org/officeDocument/2006/relationships/hyperlink" Target="https://ref.ly/Luke5:25" TargetMode="External"/><Relationship Id="rId14430" Type="http://schemas.openxmlformats.org/officeDocument/2006/relationships/hyperlink" Target="https://ref.ly/Acts13:12" TargetMode="External"/><Relationship Id="rId14431" Type="http://schemas.openxmlformats.org/officeDocument/2006/relationships/hyperlink" Target="https://ref.ly/Acts19:17" TargetMode="External"/><Relationship Id="rId14432" Type="http://schemas.openxmlformats.org/officeDocument/2006/relationships/hyperlink" Target="https://ref.ly/Luke5:26" TargetMode="External"/><Relationship Id="rId14433" Type="http://schemas.openxmlformats.org/officeDocument/2006/relationships/hyperlink" Target="https://ref.ly/Luke8:35-Luke8:37" TargetMode="External"/><Relationship Id="rId14434" Type="http://schemas.openxmlformats.org/officeDocument/2006/relationships/hyperlink" Target="https://ref.ly/Luke24:5" TargetMode="External"/><Relationship Id="rId14435" Type="http://schemas.openxmlformats.org/officeDocument/2006/relationships/hyperlink" Target="https://ref.ly/Luke11:29-Luke11:32" TargetMode="External"/><Relationship Id="rId14436" Type="http://schemas.openxmlformats.org/officeDocument/2006/relationships/hyperlink" Target="https://ref.ly/Luke9:9" TargetMode="External"/><Relationship Id="rId14437" Type="http://schemas.openxmlformats.org/officeDocument/2006/relationships/hyperlink" Target="https://ref.ly/Luke10:13-Luke10:16" TargetMode="External"/><Relationship Id="rId14438" Type="http://schemas.openxmlformats.org/officeDocument/2006/relationships/hyperlink" Target="https://ref.ly/John10:32" TargetMode="External"/><Relationship Id="rId14439" Type="http://schemas.openxmlformats.org/officeDocument/2006/relationships/hyperlink" Target="https://ref.ly/John5:36" TargetMode="External"/><Relationship Id="rId14440" Type="http://schemas.openxmlformats.org/officeDocument/2006/relationships/hyperlink" Target="https://ref.ly/John10:25" TargetMode="External"/><Relationship Id="rId14441" Type="http://schemas.openxmlformats.org/officeDocument/2006/relationships/hyperlink" Target="https://ref.ly/John20:30" TargetMode="External"/><Relationship Id="rId14442" Type="http://schemas.openxmlformats.org/officeDocument/2006/relationships/hyperlink" Target="https://ref.ly/John2:1-John2:25" TargetMode="External"/><Relationship Id="rId14443" Type="http://schemas.openxmlformats.org/officeDocument/2006/relationships/hyperlink" Target="https://ref.ly/John2:6" TargetMode="External"/><Relationship Id="rId14444" Type="http://schemas.openxmlformats.org/officeDocument/2006/relationships/hyperlink" Target="https://ref.ly/John4:46" TargetMode="External"/><Relationship Id="rId14445" Type="http://schemas.openxmlformats.org/officeDocument/2006/relationships/hyperlink" Target="https://ref.ly/John5:5" TargetMode="External"/><Relationship Id="rId14446" Type="http://schemas.openxmlformats.org/officeDocument/2006/relationships/hyperlink" Target="https://ref.ly/John9:1" TargetMode="External"/><Relationship Id="rId14447" Type="http://schemas.openxmlformats.org/officeDocument/2006/relationships/hyperlink" Target="https://ref.ly/John6:7" TargetMode="External"/><Relationship Id="rId14448" Type="http://schemas.openxmlformats.org/officeDocument/2006/relationships/hyperlink" Target="https://ref.ly/John11:39" TargetMode="External"/><Relationship Id="rId14449" Type="http://schemas.openxmlformats.org/officeDocument/2006/relationships/hyperlink" Target="https://ref.ly/John4:50" TargetMode="External"/><Relationship Id="rId14450" Type="http://schemas.openxmlformats.org/officeDocument/2006/relationships/hyperlink" Target="https://ref.ly/John9:35-John9:38" TargetMode="External"/><Relationship Id="rId14451" Type="http://schemas.openxmlformats.org/officeDocument/2006/relationships/hyperlink" Target="https://ref.ly/John11:24-John11:26" TargetMode="External"/><Relationship Id="rId14452" Type="http://schemas.openxmlformats.org/officeDocument/2006/relationships/hyperlink" Target="https://ref.ly/John3:18-John3:21" TargetMode="External"/><Relationship Id="rId14453" Type="http://schemas.openxmlformats.org/officeDocument/2006/relationships/hyperlink" Target="https://ref.ly/John11:47-John11:50" TargetMode="External"/><Relationship Id="rId14454" Type="http://schemas.openxmlformats.org/officeDocument/2006/relationships/hyperlink" Target="https://ref.ly/John2:23-John2:25" TargetMode="External"/><Relationship Id="rId14455" Type="http://schemas.openxmlformats.org/officeDocument/2006/relationships/hyperlink" Target="https://ref.ly/John5:36-John5:46" TargetMode="External"/><Relationship Id="rId14456" Type="http://schemas.openxmlformats.org/officeDocument/2006/relationships/hyperlink" Target="https://ref.ly/John11:42" TargetMode="External"/><Relationship Id="rId14457" Type="http://schemas.openxmlformats.org/officeDocument/2006/relationships/hyperlink" Target="https://ref.ly/2Cor12:12" TargetMode="External"/><Relationship Id="rId14458" Type="http://schemas.openxmlformats.org/officeDocument/2006/relationships/hyperlink" Target="https://ref.ly/1Cor12:9-1Cor12:10" TargetMode="External"/><Relationship Id="rId14459" Type="http://schemas.openxmlformats.org/officeDocument/2006/relationships/hyperlink" Target="https://ref.ly/Gen22:20-Gen22:23" TargetMode="External"/><Relationship Id="rId14460" Type="http://schemas.openxmlformats.org/officeDocument/2006/relationships/hyperlink" Target="https://ref.ly/Gen24:15-Gen24:47" TargetMode="External"/><Relationship Id="rId14461" Type="http://schemas.openxmlformats.org/officeDocument/2006/relationships/hyperlink" Target="https://ref.ly/Num36:5-Num36:13" TargetMode="External"/><Relationship Id="rId14462" Type="http://schemas.openxmlformats.org/officeDocument/2006/relationships/hyperlink" Target="https://ref.ly/Josh17:3-Josh17:4" TargetMode="External"/><Relationship Id="rId14463" Type="http://schemas.openxmlformats.org/officeDocument/2006/relationships/hyperlink" Target="https://ref.ly/Lev18:21" TargetMode="External"/><Relationship Id="rId14464" Type="http://schemas.openxmlformats.org/officeDocument/2006/relationships/hyperlink" Target="https://ref.ly/Acts3:19-Acts3:21" TargetMode="External"/><Relationship Id="rId14465" Type="http://schemas.openxmlformats.org/officeDocument/2006/relationships/hyperlink" Target="https://ref.ly/1Cor15:23-1Cor15:26" TargetMode="External"/><Relationship Id="rId14466" Type="http://schemas.openxmlformats.org/officeDocument/2006/relationships/hyperlink" Target="https://ref.ly/Rev20:5" TargetMode="External"/><Relationship Id="rId14467" Type="http://schemas.openxmlformats.org/officeDocument/2006/relationships/hyperlink" Target="https://ref.ly/Rev19:1-Rev19:21" TargetMode="External"/><Relationship Id="rId14468" Type="http://schemas.openxmlformats.org/officeDocument/2006/relationships/hyperlink" Target="https://ref.ly/Acts20:15-Acts20:17" TargetMode="External"/><Relationship Id="rId14469" Type="http://schemas.openxmlformats.org/officeDocument/2006/relationships/hyperlink" Target="https://ref.ly/Acts20:28-Acts20:35" TargetMode="External"/><Relationship Id="rId14470" Type="http://schemas.openxmlformats.org/officeDocument/2006/relationships/hyperlink" Target="https://ref.ly/2Sam8:13-2Sam8:14" TargetMode="External"/><Relationship Id="rId14471" Type="http://schemas.openxmlformats.org/officeDocument/2006/relationships/hyperlink" Target="https://ref.ly/1Kgs7:13-1Kgs7:14,1Kgs7:45-1Kgs7:46" TargetMode="External"/><Relationship Id="rId14472" Type="http://schemas.openxmlformats.org/officeDocument/2006/relationships/hyperlink" Target="https://ref.ly/1Kgs7:13-1Kgs7:50" TargetMode="External"/><Relationship Id="rId14473" Type="http://schemas.openxmlformats.org/officeDocument/2006/relationships/hyperlink" Target="https://ref.ly/1Kgs10:2,1Kgs10:10-1Kgs10:11" TargetMode="External"/><Relationship Id="rId14474" Type="http://schemas.openxmlformats.org/officeDocument/2006/relationships/hyperlink" Target="https://ref.ly/1Sam13:19-1Sam13:20" TargetMode="External"/><Relationship Id="rId14475" Type="http://schemas.openxmlformats.org/officeDocument/2006/relationships/hyperlink" Target="https://ref.ly/Job28:1" TargetMode="External"/><Relationship Id="rId14476" Type="http://schemas.openxmlformats.org/officeDocument/2006/relationships/hyperlink" Target="https://ref.ly/Zech13:9" TargetMode="External"/><Relationship Id="rId14477" Type="http://schemas.openxmlformats.org/officeDocument/2006/relationships/hyperlink" Target="https://ref.ly/Mal3:3" TargetMode="External"/><Relationship Id="rId14478" Type="http://schemas.openxmlformats.org/officeDocument/2006/relationships/hyperlink" Target="https://ref.ly/Ezek22:20-Ezek22:22" TargetMode="External"/><Relationship Id="rId14479" Type="http://schemas.openxmlformats.org/officeDocument/2006/relationships/hyperlink" Target="https://ref.ly/1Chr29:4" TargetMode="External"/><Relationship Id="rId14480" Type="http://schemas.openxmlformats.org/officeDocument/2006/relationships/hyperlink" Target="https://ref.ly/Ps12:6" TargetMode="External"/><Relationship Id="rId14481" Type="http://schemas.openxmlformats.org/officeDocument/2006/relationships/hyperlink" Target="https://ref.ly/Prov10:20" TargetMode="External"/><Relationship Id="rId14482" Type="http://schemas.openxmlformats.org/officeDocument/2006/relationships/hyperlink" Target="https://ref.ly/Exod3:22" TargetMode="External"/><Relationship Id="rId14483" Type="http://schemas.openxmlformats.org/officeDocument/2006/relationships/hyperlink" Target="https://ref.ly/Exod12:35" TargetMode="External"/><Relationship Id="rId14484" Type="http://schemas.openxmlformats.org/officeDocument/2006/relationships/hyperlink" Target="https://ref.ly/Exod20:23" TargetMode="External"/><Relationship Id="rId14485" Type="http://schemas.openxmlformats.org/officeDocument/2006/relationships/hyperlink" Target="https://ref.ly/Ps115:4" TargetMode="External"/><Relationship Id="rId14486" Type="http://schemas.openxmlformats.org/officeDocument/2006/relationships/hyperlink" Target="https://ref.ly/Isa30:22" TargetMode="External"/><Relationship Id="rId14487" Type="http://schemas.openxmlformats.org/officeDocument/2006/relationships/hyperlink" Target="https://ref.ly/Isa31:7" TargetMode="External"/><Relationship Id="rId14488" Type="http://schemas.openxmlformats.org/officeDocument/2006/relationships/hyperlink" Target="https://ref.ly/Hos8:4" TargetMode="External"/><Relationship Id="rId14489" Type="http://schemas.openxmlformats.org/officeDocument/2006/relationships/hyperlink" Target="https://ref.ly/Exod32:24" TargetMode="External"/><Relationship Id="rId14490" Type="http://schemas.openxmlformats.org/officeDocument/2006/relationships/hyperlink" Target="https://ref.ly/Exod25:11" TargetMode="External"/><Relationship Id="rId14491" Type="http://schemas.openxmlformats.org/officeDocument/2006/relationships/hyperlink" Target="https://ref.ly/1Kgs6:20-1Kgs6:22,1Kgs6:30" TargetMode="External"/><Relationship Id="rId14492" Type="http://schemas.openxmlformats.org/officeDocument/2006/relationships/hyperlink" Target="https://ref.ly/Exod25:18" TargetMode="External"/><Relationship Id="rId14493" Type="http://schemas.openxmlformats.org/officeDocument/2006/relationships/hyperlink" Target="https://ref.ly/Exod37:7" TargetMode="External"/><Relationship Id="rId14494" Type="http://schemas.openxmlformats.org/officeDocument/2006/relationships/hyperlink" Target="https://ref.ly/Exod37:6" TargetMode="External"/><Relationship Id="rId14495" Type="http://schemas.openxmlformats.org/officeDocument/2006/relationships/hyperlink" Target="https://ref.ly/Exod25:31" TargetMode="External"/><Relationship Id="rId14496" Type="http://schemas.openxmlformats.org/officeDocument/2006/relationships/hyperlink" Target="https://ref.ly/Zech4:2" TargetMode="External"/><Relationship Id="rId14497" Type="http://schemas.openxmlformats.org/officeDocument/2006/relationships/hyperlink" Target="https://ref.ly/2Kgs24:13" TargetMode="External"/><Relationship Id="rId14498" Type="http://schemas.openxmlformats.org/officeDocument/2006/relationships/hyperlink" Target="https://ref.ly/Exod28:14" TargetMode="External"/><Relationship Id="rId14499" Type="http://schemas.openxmlformats.org/officeDocument/2006/relationships/hyperlink" Target="https://ref.ly/Exod39:2-Exod39:30" TargetMode="External"/><Relationship Id="rId14500" Type="http://schemas.openxmlformats.org/officeDocument/2006/relationships/hyperlink" Target="https://ref.ly/Num7:86" TargetMode="External"/><Relationship Id="rId14501" Type="http://schemas.openxmlformats.org/officeDocument/2006/relationships/hyperlink" Target="https://ref.ly/1Kgs6:20-1Kgs6:28" TargetMode="External"/><Relationship Id="rId14502" Type="http://schemas.openxmlformats.org/officeDocument/2006/relationships/hyperlink" Target="https://ref.ly/1Chr29:2-1Chr29:7" TargetMode="External"/><Relationship Id="rId14503" Type="http://schemas.openxmlformats.org/officeDocument/2006/relationships/hyperlink" Target="https://ref.ly/2Chr3:4-2Chr4:22" TargetMode="External"/><Relationship Id="rId14504" Type="http://schemas.openxmlformats.org/officeDocument/2006/relationships/hyperlink" Target="https://ref.ly/1Kgs14:26" TargetMode="External"/><Relationship Id="rId14505" Type="http://schemas.openxmlformats.org/officeDocument/2006/relationships/hyperlink" Target="https://ref.ly/2Kgs16:8" TargetMode="External"/><Relationship Id="rId14506" Type="http://schemas.openxmlformats.org/officeDocument/2006/relationships/hyperlink" Target="https://ref.ly/2Kgs18:14" TargetMode="External"/><Relationship Id="rId14507" Type="http://schemas.openxmlformats.org/officeDocument/2006/relationships/hyperlink" Target="https://ref.ly/2Kgs25:15" TargetMode="External"/><Relationship Id="rId14508" Type="http://schemas.openxmlformats.org/officeDocument/2006/relationships/hyperlink" Target="https://ref.ly/1Kgs10:14" TargetMode="External"/><Relationship Id="rId14509" Type="http://schemas.openxmlformats.org/officeDocument/2006/relationships/hyperlink" Target="https://ref.ly/1Kgs9:14" TargetMode="External"/><Relationship Id="rId14510" Type="http://schemas.openxmlformats.org/officeDocument/2006/relationships/hyperlink" Target="https://ref.ly/1Kgs10:16-1Kgs10:17" TargetMode="External"/><Relationship Id="rId14511" Type="http://schemas.openxmlformats.org/officeDocument/2006/relationships/hyperlink" Target="https://ref.ly/Job28:15-Job28:17" TargetMode="External"/><Relationship Id="rId14512" Type="http://schemas.openxmlformats.org/officeDocument/2006/relationships/hyperlink" Target="https://ref.ly/Prov3:14" TargetMode="External"/><Relationship Id="rId14513" Type="http://schemas.openxmlformats.org/officeDocument/2006/relationships/hyperlink" Target="https://ref.ly/Prov8:10,Prov8:19" TargetMode="External"/><Relationship Id="rId14514" Type="http://schemas.openxmlformats.org/officeDocument/2006/relationships/hyperlink" Target="https://ref.ly/Prov16:16" TargetMode="External"/><Relationship Id="rId14515" Type="http://schemas.openxmlformats.org/officeDocument/2006/relationships/hyperlink" Target="https://ref.ly/Ps119:72,Ps119:127" TargetMode="External"/><Relationship Id="rId14516" Type="http://schemas.openxmlformats.org/officeDocument/2006/relationships/hyperlink" Target="https://ref.ly/Prov20:15" TargetMode="External"/><Relationship Id="rId14517" Type="http://schemas.openxmlformats.org/officeDocument/2006/relationships/hyperlink" Target="https://ref.ly/Job31:24" TargetMode="External"/><Relationship Id="rId14518" Type="http://schemas.openxmlformats.org/officeDocument/2006/relationships/hyperlink" Target="https://ref.ly/Zeph1:18" TargetMode="External"/><Relationship Id="rId14519" Type="http://schemas.openxmlformats.org/officeDocument/2006/relationships/hyperlink" Target="https://ref.ly/Jas5:3" TargetMode="External"/><Relationship Id="rId14520" Type="http://schemas.openxmlformats.org/officeDocument/2006/relationships/hyperlink" Target="https://ref.ly/Acts3:6" TargetMode="External"/><Relationship Id="rId14521" Type="http://schemas.openxmlformats.org/officeDocument/2006/relationships/hyperlink" Target="https://ref.ly/1Tim2:9" TargetMode="External"/><Relationship Id="rId14522" Type="http://schemas.openxmlformats.org/officeDocument/2006/relationships/hyperlink" Target="https://ref.ly/Rev21:18" TargetMode="External"/><Relationship Id="rId14523" Type="http://schemas.openxmlformats.org/officeDocument/2006/relationships/hyperlink" Target="https://ref.ly/Gen45:22" TargetMode="External"/><Relationship Id="rId14524" Type="http://schemas.openxmlformats.org/officeDocument/2006/relationships/hyperlink" Target="https://ref.ly/Exod21:32" TargetMode="External"/><Relationship Id="rId14525" Type="http://schemas.openxmlformats.org/officeDocument/2006/relationships/hyperlink" Target="https://ref.ly/Judg17:10" TargetMode="External"/><Relationship Id="rId14526" Type="http://schemas.openxmlformats.org/officeDocument/2006/relationships/hyperlink" Target="https://ref.ly/Neh7:72" TargetMode="External"/><Relationship Id="rId14527" Type="http://schemas.openxmlformats.org/officeDocument/2006/relationships/hyperlink" Target="https://ref.ly/Job28:15" TargetMode="External"/><Relationship Id="rId14528" Type="http://schemas.openxmlformats.org/officeDocument/2006/relationships/hyperlink" Target="https://ref.ly/Isa7:23" TargetMode="External"/><Relationship Id="rId14529" Type="http://schemas.openxmlformats.org/officeDocument/2006/relationships/hyperlink" Target="https://ref.ly/Exod25:3" TargetMode="External"/><Relationship Id="rId14530" Type="http://schemas.openxmlformats.org/officeDocument/2006/relationships/hyperlink" Target="https://ref.ly/Josh6:19" TargetMode="External"/><Relationship Id="rId14531" Type="http://schemas.openxmlformats.org/officeDocument/2006/relationships/hyperlink" Target="https://ref.ly/1Kgs15:18" TargetMode="External"/><Relationship Id="rId14532" Type="http://schemas.openxmlformats.org/officeDocument/2006/relationships/hyperlink" Target="https://ref.ly/Song1:11" TargetMode="External"/><Relationship Id="rId14533" Type="http://schemas.openxmlformats.org/officeDocument/2006/relationships/hyperlink" Target="https://ref.ly/Ps66:10" TargetMode="External"/><Relationship Id="rId14534" Type="http://schemas.openxmlformats.org/officeDocument/2006/relationships/hyperlink" Target="https://ref.ly/Isa1:22" TargetMode="External"/><Relationship Id="rId14535" Type="http://schemas.openxmlformats.org/officeDocument/2006/relationships/hyperlink" Target="https://ref.ly/Jer6:30" TargetMode="External"/><Relationship Id="rId14536" Type="http://schemas.openxmlformats.org/officeDocument/2006/relationships/hyperlink" Target="https://ref.ly/Prov8:19" TargetMode="External"/><Relationship Id="rId14537" Type="http://schemas.openxmlformats.org/officeDocument/2006/relationships/hyperlink" Target="https://ref.ly/Prov22:1" TargetMode="External"/><Relationship Id="rId14538" Type="http://schemas.openxmlformats.org/officeDocument/2006/relationships/hyperlink" Target="https://ref.ly/Rev9:20" TargetMode="External"/><Relationship Id="rId14539" Type="http://schemas.openxmlformats.org/officeDocument/2006/relationships/hyperlink" Target="https://ref.ly/1Cor13:1" TargetMode="External"/><Relationship Id="rId14540" Type="http://schemas.openxmlformats.org/officeDocument/2006/relationships/hyperlink" Target="https://ref.ly/Rev2:18" TargetMode="External"/><Relationship Id="rId14541" Type="http://schemas.openxmlformats.org/officeDocument/2006/relationships/hyperlink" Target="https://ref.ly/Num31:22" TargetMode="External"/><Relationship Id="rId14542" Type="http://schemas.openxmlformats.org/officeDocument/2006/relationships/hyperlink" Target="https://ref.ly/Josh22:8" TargetMode="External"/><Relationship Id="rId14543" Type="http://schemas.openxmlformats.org/officeDocument/2006/relationships/hyperlink" Target="https://ref.ly/Josh17:16-Josh17:18" TargetMode="External"/><Relationship Id="rId14544" Type="http://schemas.openxmlformats.org/officeDocument/2006/relationships/hyperlink" Target="https://ref.ly/2Sam23:7" TargetMode="External"/><Relationship Id="rId14545" Type="http://schemas.openxmlformats.org/officeDocument/2006/relationships/hyperlink" Target="https://ref.ly/1Kgs6:7" TargetMode="External"/><Relationship Id="rId14546" Type="http://schemas.openxmlformats.org/officeDocument/2006/relationships/hyperlink" Target="https://ref.ly/Jer1:18" TargetMode="External"/><Relationship Id="rId14547" Type="http://schemas.openxmlformats.org/officeDocument/2006/relationships/hyperlink" Target="https://ref.ly/Jer6:28" TargetMode="External"/><Relationship Id="rId14548" Type="http://schemas.openxmlformats.org/officeDocument/2006/relationships/hyperlink" Target="https://ref.ly/Jer15:12" TargetMode="External"/><Relationship Id="rId14549" Type="http://schemas.openxmlformats.org/officeDocument/2006/relationships/hyperlink" Target="https://ref.ly/Jer17:1" TargetMode="External"/><Relationship Id="rId14550" Type="http://schemas.openxmlformats.org/officeDocument/2006/relationships/hyperlink" Target="https://ref.ly/Jer28:13-Jer28:14" TargetMode="External"/><Relationship Id="rId14551" Type="http://schemas.openxmlformats.org/officeDocument/2006/relationships/hyperlink" Target="https://ref.ly/Ezek4:3" TargetMode="External"/><Relationship Id="rId14552" Type="http://schemas.openxmlformats.org/officeDocument/2006/relationships/hyperlink" Target="https://ref.ly/Ezek22:18,Ezek22:20" TargetMode="External"/><Relationship Id="rId14553" Type="http://schemas.openxmlformats.org/officeDocument/2006/relationships/hyperlink" Target="https://ref.ly/Ezek27:12,Ezek27:19" TargetMode="External"/><Relationship Id="rId14554" Type="http://schemas.openxmlformats.org/officeDocument/2006/relationships/hyperlink" Target="https://ref.ly/Mic4:13" TargetMode="External"/><Relationship Id="rId14555" Type="http://schemas.openxmlformats.org/officeDocument/2006/relationships/hyperlink" Target="https://ref.ly/Dan2:33-Dan2:35,Dan2:40-Dan2:45" TargetMode="External"/><Relationship Id="rId14556" Type="http://schemas.openxmlformats.org/officeDocument/2006/relationships/hyperlink" Target="https://ref.ly/Dan4:15,Dan4:23" TargetMode="External"/><Relationship Id="rId14557" Type="http://schemas.openxmlformats.org/officeDocument/2006/relationships/hyperlink" Target="https://ref.ly/Dan7:7,Dan7:19" TargetMode="External"/><Relationship Id="rId14558" Type="http://schemas.openxmlformats.org/officeDocument/2006/relationships/hyperlink" Target="https://ref.ly/Acts12:10" TargetMode="External"/><Relationship Id="rId14559" Type="http://schemas.openxmlformats.org/officeDocument/2006/relationships/hyperlink" Target="https://ref.ly/Rev2:27" TargetMode="External"/><Relationship Id="rId14560" Type="http://schemas.openxmlformats.org/officeDocument/2006/relationships/hyperlink" Target="https://ref.ly/Rev9:9" TargetMode="External"/><Relationship Id="rId14561" Type="http://schemas.openxmlformats.org/officeDocument/2006/relationships/hyperlink" Target="https://ref.ly/Rev12:5" TargetMode="External"/><Relationship Id="rId14562" Type="http://schemas.openxmlformats.org/officeDocument/2006/relationships/hyperlink" Target="https://ref.ly/Rev19:15" TargetMode="External"/><Relationship Id="rId14563" Type="http://schemas.openxmlformats.org/officeDocument/2006/relationships/hyperlink" Target="https://ref.ly/Ezek22:18" TargetMode="External"/><Relationship Id="rId14564" Type="http://schemas.openxmlformats.org/officeDocument/2006/relationships/hyperlink" Target="https://ref.ly/Exod2:4" TargetMode="External"/><Relationship Id="rId14565" Type="http://schemas.openxmlformats.org/officeDocument/2006/relationships/hyperlink" Target="https://ref.ly/Heb11:23" TargetMode="External"/><Relationship Id="rId14566" Type="http://schemas.openxmlformats.org/officeDocument/2006/relationships/hyperlink" Target="https://ref.ly/Exod1:22" TargetMode="External"/><Relationship Id="rId14567" Type="http://schemas.openxmlformats.org/officeDocument/2006/relationships/hyperlink" Target="https://ref.ly/Exod2:5-Exod2:6" TargetMode="External"/><Relationship Id="rId14568" Type="http://schemas.openxmlformats.org/officeDocument/2006/relationships/hyperlink" Target="https://ref.ly/Exod2:7-Exod2:8" TargetMode="External"/><Relationship Id="rId14569" Type="http://schemas.openxmlformats.org/officeDocument/2006/relationships/hyperlink" Target="https://ref.ly/Mic6:4" TargetMode="External"/><Relationship Id="rId14570" Type="http://schemas.openxmlformats.org/officeDocument/2006/relationships/hyperlink" Target="https://ref.ly/Num12:10" TargetMode="External"/><Relationship Id="rId14571" Type="http://schemas.openxmlformats.org/officeDocument/2006/relationships/hyperlink" Target="https://ref.ly/Num12:9-Num12:13" TargetMode="External"/><Relationship Id="rId14572" Type="http://schemas.openxmlformats.org/officeDocument/2006/relationships/hyperlink" Target="https://ref.ly/Num12:14-Num12:15" TargetMode="External"/><Relationship Id="rId14573" Type="http://schemas.openxmlformats.org/officeDocument/2006/relationships/hyperlink" Target="https://ref.ly/Acts27:5-Acts27:6" TargetMode="External"/><Relationship Id="rId14574" Type="http://schemas.openxmlformats.org/officeDocument/2006/relationships/hyperlink" Target="https://ref.ly/Neh8:4" TargetMode="External"/><Relationship Id="rId14575" Type="http://schemas.openxmlformats.org/officeDocument/2006/relationships/hyperlink" Target="https://ref.ly/Dan1:6" TargetMode="External"/><Relationship Id="rId14576" Type="http://schemas.openxmlformats.org/officeDocument/2006/relationships/hyperlink" Target="https://ref.ly/Dan1:11,Dan1:19" TargetMode="External"/><Relationship Id="rId14577" Type="http://schemas.openxmlformats.org/officeDocument/2006/relationships/hyperlink" Target="https://ref.ly/Deut30:1-Deut30:6" TargetMode="External"/><Relationship Id="rId14578" Type="http://schemas.openxmlformats.org/officeDocument/2006/relationships/hyperlink" Target="https://ref.ly/Ezek39:25-Ezek39:29" TargetMode="External"/><Relationship Id="rId14579" Type="http://schemas.openxmlformats.org/officeDocument/2006/relationships/hyperlink" Target="https://ref.ly/Rom9:15-Rom9:16" TargetMode="External"/><Relationship Id="rId14580" Type="http://schemas.openxmlformats.org/officeDocument/2006/relationships/hyperlink" Target="https://ref.ly/Rom11:32" TargetMode="External"/><Relationship Id="rId14581" Type="http://schemas.openxmlformats.org/officeDocument/2006/relationships/hyperlink" Target="https://ref.ly/Isa54:10" TargetMode="External"/><Relationship Id="rId14582" Type="http://schemas.openxmlformats.org/officeDocument/2006/relationships/hyperlink" Target="https://ref.ly/Isa63:9" TargetMode="External"/><Relationship Id="rId14583" Type="http://schemas.openxmlformats.org/officeDocument/2006/relationships/hyperlink" Target="https://ref.ly/Hos11:1-Hos11:12" TargetMode="External"/><Relationship Id="rId14584" Type="http://schemas.openxmlformats.org/officeDocument/2006/relationships/hyperlink" Target="https://ref.ly/Jer31:20" TargetMode="External"/><Relationship Id="rId14585" Type="http://schemas.openxmlformats.org/officeDocument/2006/relationships/hyperlink" Target="https://ref.ly/Isa54:4-Isa54:8" TargetMode="External"/><Relationship Id="rId14586" Type="http://schemas.openxmlformats.org/officeDocument/2006/relationships/hyperlink" Target="https://ref.ly/Isa49:15" TargetMode="External"/><Relationship Id="rId14587" Type="http://schemas.openxmlformats.org/officeDocument/2006/relationships/hyperlink" Target="https://ref.ly/Isa54:8" TargetMode="External"/><Relationship Id="rId14588" Type="http://schemas.openxmlformats.org/officeDocument/2006/relationships/hyperlink" Target="https://ref.ly/Joel2:18-Joel2:32" TargetMode="External"/><Relationship Id="rId14589" Type="http://schemas.openxmlformats.org/officeDocument/2006/relationships/hyperlink" Target="https://ref.ly/Mic7:18-Mic7:20" TargetMode="External"/><Relationship Id="rId14590" Type="http://schemas.openxmlformats.org/officeDocument/2006/relationships/hyperlink" Target="https://ref.ly/Neh9:19-Neh9:21" TargetMode="External"/><Relationship Id="rId14591" Type="http://schemas.openxmlformats.org/officeDocument/2006/relationships/hyperlink" Target="https://ref.ly/Ps40:11-Ps40:17" TargetMode="External"/><Relationship Id="rId14592" Type="http://schemas.openxmlformats.org/officeDocument/2006/relationships/hyperlink" Target="https://ref.ly/Ps69:16-Ps69:36" TargetMode="External"/><Relationship Id="rId14593" Type="http://schemas.openxmlformats.org/officeDocument/2006/relationships/hyperlink" Target="https://ref.ly/Ps79:8-Ps79:9" TargetMode="External"/><Relationship Id="rId14594" Type="http://schemas.openxmlformats.org/officeDocument/2006/relationships/hyperlink" Target="https://ref.ly/Isa49:10" TargetMode="External"/><Relationship Id="rId14595" Type="http://schemas.openxmlformats.org/officeDocument/2006/relationships/hyperlink" Target="https://ref.ly/Ps6:1-Ps6:10" TargetMode="External"/><Relationship Id="rId14596" Type="http://schemas.openxmlformats.org/officeDocument/2006/relationships/hyperlink" Target="https://ref.ly/Ps38:1-Ps38:22" TargetMode="External"/><Relationship Id="rId14597" Type="http://schemas.openxmlformats.org/officeDocument/2006/relationships/hyperlink" Target="https://ref.ly/Ps102:1-Ps102:28" TargetMode="External"/><Relationship Id="rId14598" Type="http://schemas.openxmlformats.org/officeDocument/2006/relationships/hyperlink" Target="https://ref.ly/Ps130:1-Ps130:8" TargetMode="External"/><Relationship Id="rId14599" Type="http://schemas.openxmlformats.org/officeDocument/2006/relationships/hyperlink" Target="https://ref.ly/Ps143:1-Ps143:12" TargetMode="External"/><Relationship Id="rId14600" Type="http://schemas.openxmlformats.org/officeDocument/2006/relationships/hyperlink" Target="https://ref.ly/Ps79:1-Ps79:13" TargetMode="External"/><Relationship Id="rId14601" Type="http://schemas.openxmlformats.org/officeDocument/2006/relationships/hyperlink" Target="https://ref.ly/Ps86:1-Ps86:17" TargetMode="External"/><Relationship Id="rId14602" Type="http://schemas.openxmlformats.org/officeDocument/2006/relationships/hyperlink" Target="https://ref.ly/Ps123:1-Ps123:4" TargetMode="External"/><Relationship Id="rId14603" Type="http://schemas.openxmlformats.org/officeDocument/2006/relationships/hyperlink" Target="https://ref.ly/Isa33:1-Isa33:6" TargetMode="External"/><Relationship Id="rId14604" Type="http://schemas.openxmlformats.org/officeDocument/2006/relationships/hyperlink" Target="https://ref.ly/Matt20:34" TargetMode="External"/><Relationship Id="rId14605" Type="http://schemas.openxmlformats.org/officeDocument/2006/relationships/hyperlink" Target="https://ref.ly/Matt15:32" TargetMode="External"/><Relationship Id="rId14606" Type="http://schemas.openxmlformats.org/officeDocument/2006/relationships/hyperlink" Target="https://ref.ly/Luke1:50" TargetMode="External"/><Relationship Id="rId14607" Type="http://schemas.openxmlformats.org/officeDocument/2006/relationships/hyperlink" Target="https://ref.ly/1Tim1:2" TargetMode="External"/><Relationship Id="rId14608" Type="http://schemas.openxmlformats.org/officeDocument/2006/relationships/hyperlink" Target="https://ref.ly/Rom11:30-Rom11:32" TargetMode="External"/><Relationship Id="rId14609" Type="http://schemas.openxmlformats.org/officeDocument/2006/relationships/hyperlink" Target="https://ref.ly/2Cor1:3" TargetMode="External"/><Relationship Id="rId14610" Type="http://schemas.openxmlformats.org/officeDocument/2006/relationships/hyperlink" Target="https://ref.ly/Eph2:4-Eph2:6" TargetMode="External"/><Relationship Id="rId14611" Type="http://schemas.openxmlformats.org/officeDocument/2006/relationships/hyperlink" Target="https://ref.ly/1Tim1:13-1Tim1:16" TargetMode="External"/><Relationship Id="rId14612" Type="http://schemas.openxmlformats.org/officeDocument/2006/relationships/hyperlink" Target="https://ref.ly/Prov14:31" TargetMode="External"/><Relationship Id="rId14613" Type="http://schemas.openxmlformats.org/officeDocument/2006/relationships/hyperlink" Target="https://ref.ly/Prov19:17" TargetMode="External"/><Relationship Id="rId14614" Type="http://schemas.openxmlformats.org/officeDocument/2006/relationships/hyperlink" Target="https://ref.ly/Zech7:9-Zech7:10" TargetMode="External"/><Relationship Id="rId14615" Type="http://schemas.openxmlformats.org/officeDocument/2006/relationships/hyperlink" Target="https://ref.ly/Matt9:13" TargetMode="External"/><Relationship Id="rId14616" Type="http://schemas.openxmlformats.org/officeDocument/2006/relationships/hyperlink" Target="https://ref.ly/Matt12:7" TargetMode="External"/><Relationship Id="rId14617" Type="http://schemas.openxmlformats.org/officeDocument/2006/relationships/hyperlink" Target="https://ref.ly/Luke6:36" TargetMode="External"/><Relationship Id="rId14618" Type="http://schemas.openxmlformats.org/officeDocument/2006/relationships/hyperlink" Target="https://ref.ly/Luke10:37" TargetMode="External"/><Relationship Id="rId14619" Type="http://schemas.openxmlformats.org/officeDocument/2006/relationships/hyperlink" Target="https://ref.ly/Jas3:17" TargetMode="External"/><Relationship Id="rId14620" Type="http://schemas.openxmlformats.org/officeDocument/2006/relationships/hyperlink" Target="https://ref.ly/Jas2:14-Jas2:26" TargetMode="External"/><Relationship Id="rId14621" Type="http://schemas.openxmlformats.org/officeDocument/2006/relationships/hyperlink" Target="https://ref.ly/Luke10:36-Luke10:37" TargetMode="External"/><Relationship Id="rId14622" Type="http://schemas.openxmlformats.org/officeDocument/2006/relationships/hyperlink" Target="https://ref.ly/Acts16:7-Acts16:8" TargetMode="External"/><Relationship Id="rId14623" Type="http://schemas.openxmlformats.org/officeDocument/2006/relationships/hyperlink" Target="https://ref.ly/1Chr4:25-1Chr4:26" TargetMode="External"/><Relationship Id="rId14624" Type="http://schemas.openxmlformats.org/officeDocument/2006/relationships/hyperlink" Target="https://ref.ly/1Chr4:38-1Chr4:43" TargetMode="External"/><Relationship Id="rId14625" Type="http://schemas.openxmlformats.org/officeDocument/2006/relationships/hyperlink" Target="https://ref.ly/Gen31:49" TargetMode="External"/><Relationship Id="rId14626" Type="http://schemas.openxmlformats.org/officeDocument/2006/relationships/hyperlink" Target="https://ref.ly/Josh15:38" TargetMode="External"/><Relationship Id="rId14627" Type="http://schemas.openxmlformats.org/officeDocument/2006/relationships/hyperlink" Target="https://ref.ly/Josh18:26" TargetMode="External"/><Relationship Id="rId14628" Type="http://schemas.openxmlformats.org/officeDocument/2006/relationships/hyperlink" Target="https://ref.ly/Judg21:1" TargetMode="External"/><Relationship Id="rId14629" Type="http://schemas.openxmlformats.org/officeDocument/2006/relationships/hyperlink" Target="https://ref.ly/1Sam7:5-1Sam7:8" TargetMode="External"/><Relationship Id="rId14630" Type="http://schemas.openxmlformats.org/officeDocument/2006/relationships/hyperlink" Target="https://ref.ly/1Sam10:17-1Sam10:25" TargetMode="External"/><Relationship Id="rId14631" Type="http://schemas.openxmlformats.org/officeDocument/2006/relationships/hyperlink" Target="https://ref.ly/1Kgs15:22" TargetMode="External"/><Relationship Id="rId14632" Type="http://schemas.openxmlformats.org/officeDocument/2006/relationships/hyperlink" Target="https://ref.ly/2Kgs25:23-2Kgs25:24" TargetMode="External"/><Relationship Id="rId14633" Type="http://schemas.openxmlformats.org/officeDocument/2006/relationships/hyperlink" Target="https://ref.ly/Jer40:10" TargetMode="External"/><Relationship Id="rId14634" Type="http://schemas.openxmlformats.org/officeDocument/2006/relationships/hyperlink" Target="https://ref.ly/Jer41:3" TargetMode="External"/><Relationship Id="rId14635" Type="http://schemas.openxmlformats.org/officeDocument/2006/relationships/hyperlink" Target="https://ref.ly/1Macc3:46" TargetMode="External"/><Relationship Id="rId14636" Type="http://schemas.openxmlformats.org/officeDocument/2006/relationships/hyperlink" Target="https://ref.ly/1Sam22:3" TargetMode="External"/><Relationship Id="rId14637" Type="http://schemas.openxmlformats.org/officeDocument/2006/relationships/hyperlink" Target="https://ref.ly/Dan3:18-Dan3:28" TargetMode="External"/><Relationship Id="rId14638" Type="http://schemas.openxmlformats.org/officeDocument/2006/relationships/hyperlink" Target="https://ref.ly/Dan4:6" TargetMode="External"/><Relationship Id="rId14639" Type="http://schemas.openxmlformats.org/officeDocument/2006/relationships/hyperlink" Target="https://ref.ly/Mark4:11" TargetMode="External"/><Relationship Id="rId14640" Type="http://schemas.openxmlformats.org/officeDocument/2006/relationships/hyperlink" Target="https://ref.ly/Luke8:10" TargetMode="External"/><Relationship Id="rId14641" Type="http://schemas.openxmlformats.org/officeDocument/2006/relationships/hyperlink" Target="https://ref.ly/Rom16:25" TargetMode="External"/><Relationship Id="rId14642" Type="http://schemas.openxmlformats.org/officeDocument/2006/relationships/hyperlink" Target="https://ref.ly/1Cor15:51" TargetMode="External"/><Relationship Id="rId14643" Type="http://schemas.openxmlformats.org/officeDocument/2006/relationships/hyperlink" Target="https://ref.ly/Col1:26-Col1:29" TargetMode="External"/><Relationship Id="rId14644" Type="http://schemas.openxmlformats.org/officeDocument/2006/relationships/hyperlink" Target="https://ref.ly/Col2:2" TargetMode="External"/><Relationship Id="rId14645" Type="http://schemas.openxmlformats.org/officeDocument/2006/relationships/hyperlink" Target="https://ref.ly/2Thess2:7" TargetMode="External"/><Relationship Id="rId14646" Type="http://schemas.openxmlformats.org/officeDocument/2006/relationships/hyperlink" Target="https://ref.ly/1Tim3:9" TargetMode="External"/><Relationship Id="rId14647" Type="http://schemas.openxmlformats.org/officeDocument/2006/relationships/hyperlink" Target="https://ref.ly/Rev1:20" TargetMode="External"/><Relationship Id="rId14648" Type="http://schemas.openxmlformats.org/officeDocument/2006/relationships/hyperlink" Target="https://ref.ly/Rev10:7" TargetMode="External"/><Relationship Id="rId14649" Type="http://schemas.openxmlformats.org/officeDocument/2006/relationships/hyperlink" Target="https://ref.ly/Rev17:5-Rev17:18" TargetMode="External"/><Relationship Id="rId14650" Type="http://schemas.openxmlformats.org/officeDocument/2006/relationships/hyperlink" Target="https://ref.ly/Dan2:28" TargetMode="External"/><Relationship Id="rId14651" Type="http://schemas.openxmlformats.org/officeDocument/2006/relationships/hyperlink" Target="https://ref.ly/Matt13:12-Matt13:15" TargetMode="External"/><Relationship Id="rId14652" Type="http://schemas.openxmlformats.org/officeDocument/2006/relationships/hyperlink" Target="https://ref.ly/1Cor1:18-1Cor1:25" TargetMode="External"/><Relationship Id="rId14653" Type="http://schemas.openxmlformats.org/officeDocument/2006/relationships/hyperlink" Target="https://ref.ly/1Cor2:6" TargetMode="External"/><Relationship Id="rId14654" Type="http://schemas.openxmlformats.org/officeDocument/2006/relationships/hyperlink" Target="https://ref.ly/1Cor2:10" TargetMode="External"/><Relationship Id="rId14655" Type="http://schemas.openxmlformats.org/officeDocument/2006/relationships/hyperlink" Target="https://ref.ly/1Cor3:18-1Cor3:23" TargetMode="External"/><Relationship Id="rId14656" Type="http://schemas.openxmlformats.org/officeDocument/2006/relationships/hyperlink" Target="https://ref.ly/1Cor2:9-1Cor2:16" TargetMode="External"/><Relationship Id="rId14657" Type="http://schemas.openxmlformats.org/officeDocument/2006/relationships/hyperlink" Target="https://ref.ly/1Cor15:51-1Cor15:52" TargetMode="External"/><Relationship Id="rId14658" Type="http://schemas.openxmlformats.org/officeDocument/2006/relationships/hyperlink" Target="https://ref.ly/1Cor14:2" TargetMode="External"/><Relationship Id="rId14659" Type="http://schemas.openxmlformats.org/officeDocument/2006/relationships/hyperlink" Target="https://ref.ly/Eph2:14-Eph2:18" TargetMode="External"/><Relationship Id="rId14660" Type="http://schemas.openxmlformats.org/officeDocument/2006/relationships/hyperlink" Target="https://ref.ly/Eph3:2-Eph3:5" TargetMode="External"/><Relationship Id="rId14661" Type="http://schemas.openxmlformats.org/officeDocument/2006/relationships/hyperlink" Target="https://ref.ly/1Cor4:1-1Cor4:5" TargetMode="External"/><Relationship Id="rId14662" Type="http://schemas.openxmlformats.org/officeDocument/2006/relationships/hyperlink" Target="https://ref.ly/Col1:25-Col1:29" TargetMode="External"/><Relationship Id="rId14663" Type="http://schemas.openxmlformats.org/officeDocument/2006/relationships/hyperlink" Target="https://ref.ly/Col1:28" TargetMode="External"/><Relationship Id="rId14664" Type="http://schemas.openxmlformats.org/officeDocument/2006/relationships/hyperlink" Target="https://ref.ly/Col4:3" TargetMode="External"/><Relationship Id="rId14665" Type="http://schemas.openxmlformats.org/officeDocument/2006/relationships/hyperlink" Target="https://ref.ly/Rev17:5" TargetMode="External"/><Relationship Id="rId14666" Type="http://schemas.openxmlformats.org/officeDocument/2006/relationships/hyperlink" Target="https://ref.ly/Num33:28-Num33:29" TargetMode="External"/><Relationship Id="rId14667" Type="http://schemas.openxmlformats.org/officeDocument/2006/relationships/hyperlink" Target="https://ref.ly/Acts20:14" TargetMode="External"/><Relationship Id="rId14668" Type="http://schemas.openxmlformats.org/officeDocument/2006/relationships/hyperlink" Target="https://ref.ly/Exod28:4" TargetMode="External"/><Relationship Id="rId14669" Type="http://schemas.openxmlformats.org/officeDocument/2006/relationships/hyperlink" Target="https://ref.ly/Gen36:13,Gen36:17" TargetMode="External"/><Relationship Id="rId14670" Type="http://schemas.openxmlformats.org/officeDocument/2006/relationships/hyperlink" Target="https://ref.ly/1Chr1:37" TargetMode="External"/><Relationship Id="rId14671" Type="http://schemas.openxmlformats.org/officeDocument/2006/relationships/hyperlink" Target="https://ref.ly/Judg11:17" TargetMode="External"/><Relationship Id="rId14672" Type="http://schemas.openxmlformats.org/officeDocument/2006/relationships/hyperlink" Target="https://ref.ly/Gen19:37" TargetMode="External"/><Relationship Id="rId14673" Type="http://schemas.openxmlformats.org/officeDocument/2006/relationships/hyperlink" Target="https://ref.ly/Num21:13,Num21:26" TargetMode="External"/><Relationship Id="rId14674" Type="http://schemas.openxmlformats.org/officeDocument/2006/relationships/hyperlink" Target="https://ref.ly/Num22:6" TargetMode="External"/><Relationship Id="rId14675" Type="http://schemas.openxmlformats.org/officeDocument/2006/relationships/hyperlink" Target="https://ref.ly/Josh24:9" TargetMode="External"/><Relationship Id="rId14676" Type="http://schemas.openxmlformats.org/officeDocument/2006/relationships/hyperlink" Target="https://ref.ly/1Kgs11:1,1Kgs11:7" TargetMode="External"/><Relationship Id="rId14677" Type="http://schemas.openxmlformats.org/officeDocument/2006/relationships/hyperlink" Target="https://ref.ly/Ezek25:8-Ezek25:11" TargetMode="External"/><Relationship Id="rId14678" Type="http://schemas.openxmlformats.org/officeDocument/2006/relationships/hyperlink" Target="https://ref.ly/2Kgs13:20" TargetMode="External"/><Relationship Id="rId14679" Type="http://schemas.openxmlformats.org/officeDocument/2006/relationships/hyperlink" Target="https://ref.ly/2Kgs24:2" TargetMode="External"/><Relationship Id="rId14680" Type="http://schemas.openxmlformats.org/officeDocument/2006/relationships/hyperlink" Target="https://ref.ly/Isa15:1-Isa16:14" TargetMode="External"/><Relationship Id="rId14681" Type="http://schemas.openxmlformats.org/officeDocument/2006/relationships/hyperlink" Target="https://ref.ly/Jer48:1-Jer48:47" TargetMode="External"/><Relationship Id="rId14682" Type="http://schemas.openxmlformats.org/officeDocument/2006/relationships/hyperlink" Target="https://ref.ly/Zeph2:8-Zeph2:11" TargetMode="External"/><Relationship Id="rId14683" Type="http://schemas.openxmlformats.org/officeDocument/2006/relationships/hyperlink" Target="https://ref.ly/Neh13:1,Neh13:23" TargetMode="External"/><Relationship Id="rId14684" Type="http://schemas.openxmlformats.org/officeDocument/2006/relationships/hyperlink" Target="https://ref.ly/Deut23:3-Deut23:6" TargetMode="External"/><Relationship Id="rId14685" Type="http://schemas.openxmlformats.org/officeDocument/2006/relationships/hyperlink" Target="https://ref.ly/Num21:29" TargetMode="External"/><Relationship Id="rId14686" Type="http://schemas.openxmlformats.org/officeDocument/2006/relationships/hyperlink" Target="https://ref.ly/Jer48:46" TargetMode="External"/><Relationship Id="rId14687" Type="http://schemas.openxmlformats.org/officeDocument/2006/relationships/hyperlink" Target="https://ref.ly/Jer48:7" TargetMode="External"/><Relationship Id="rId14688" Type="http://schemas.openxmlformats.org/officeDocument/2006/relationships/hyperlink" Target="https://ref.ly/Num22:40-Num23:30" TargetMode="External"/><Relationship Id="rId14689" Type="http://schemas.openxmlformats.org/officeDocument/2006/relationships/hyperlink" Target="https://ref.ly/Num25:1-Num25:5" TargetMode="External"/><Relationship Id="rId14690" Type="http://schemas.openxmlformats.org/officeDocument/2006/relationships/hyperlink" Target="https://ref.ly/Gen48:2" TargetMode="External"/><Relationship Id="rId14691" Type="http://schemas.openxmlformats.org/officeDocument/2006/relationships/hyperlink" Target="https://ref.ly/Exod8:3" TargetMode="External"/><Relationship Id="rId14692" Type="http://schemas.openxmlformats.org/officeDocument/2006/relationships/hyperlink" Target="https://ref.ly/1Sam19:11-1Sam19:17" TargetMode="External"/><Relationship Id="rId14693" Type="http://schemas.openxmlformats.org/officeDocument/2006/relationships/hyperlink" Target="https://ref.ly/1Kgs21:4" TargetMode="External"/><Relationship Id="rId14694" Type="http://schemas.openxmlformats.org/officeDocument/2006/relationships/hyperlink" Target="https://ref.ly/2Kgs1:4-2Kgs1:6" TargetMode="External"/><Relationship Id="rId14695" Type="http://schemas.openxmlformats.org/officeDocument/2006/relationships/hyperlink" Target="https://ref.ly/Isa57:2" TargetMode="External"/><Relationship Id="rId14696" Type="http://schemas.openxmlformats.org/officeDocument/2006/relationships/hyperlink" Target="https://ref.ly/Isa57:7-Isa57:8" TargetMode="External"/><Relationship Id="rId14697" Type="http://schemas.openxmlformats.org/officeDocument/2006/relationships/hyperlink" Target="https://ref.ly/Ps6:6" TargetMode="External"/><Relationship Id="rId14698" Type="http://schemas.openxmlformats.org/officeDocument/2006/relationships/hyperlink" Target="https://ref.ly/Prov26:14" TargetMode="External"/><Relationship Id="rId14699" Type="http://schemas.openxmlformats.org/officeDocument/2006/relationships/hyperlink" Target="https://ref.ly/Judg1:7" TargetMode="External"/><Relationship Id="rId14700" Type="http://schemas.openxmlformats.org/officeDocument/2006/relationships/hyperlink" Target="https://ref.ly/2Sam9:7" TargetMode="External"/><Relationship Id="rId14701" Type="http://schemas.openxmlformats.org/officeDocument/2006/relationships/hyperlink" Target="https://ref.ly/2Sam19:28" TargetMode="External"/><Relationship Id="rId14702" Type="http://schemas.openxmlformats.org/officeDocument/2006/relationships/hyperlink" Target="https://ref.ly/1Kgs2:7" TargetMode="External"/><Relationship Id="rId14703" Type="http://schemas.openxmlformats.org/officeDocument/2006/relationships/hyperlink" Target="https://ref.ly/1Kgs4:27" TargetMode="External"/><Relationship Id="rId14704" Type="http://schemas.openxmlformats.org/officeDocument/2006/relationships/hyperlink" Target="https://ref.ly/Isa28:8" TargetMode="External"/><Relationship Id="rId14705" Type="http://schemas.openxmlformats.org/officeDocument/2006/relationships/hyperlink" Target="https://ref.ly/Ezek40:39-Ezek40:43" TargetMode="External"/><Relationship Id="rId14706" Type="http://schemas.openxmlformats.org/officeDocument/2006/relationships/hyperlink" Target="https://ref.ly/Gen41:40" TargetMode="External"/><Relationship Id="rId14707" Type="http://schemas.openxmlformats.org/officeDocument/2006/relationships/hyperlink" Target="https://ref.ly/Exod11:5" TargetMode="External"/><Relationship Id="rId14708" Type="http://schemas.openxmlformats.org/officeDocument/2006/relationships/hyperlink" Target="https://ref.ly/1Kgs22:10" TargetMode="External"/><Relationship Id="rId14709" Type="http://schemas.openxmlformats.org/officeDocument/2006/relationships/hyperlink" Target="https://ref.ly/Ps9:4" TargetMode="External"/><Relationship Id="rId14710" Type="http://schemas.openxmlformats.org/officeDocument/2006/relationships/hyperlink" Target="https://ref.ly/Ps93:2" TargetMode="External"/><Relationship Id="rId14711" Type="http://schemas.openxmlformats.org/officeDocument/2006/relationships/hyperlink" Target="https://ref.ly/Luke5:18" TargetMode="External"/><Relationship Id="rId14712" Type="http://schemas.openxmlformats.org/officeDocument/2006/relationships/hyperlink" Target="https://ref.ly/Acts5:15" TargetMode="External"/><Relationship Id="rId14713" Type="http://schemas.openxmlformats.org/officeDocument/2006/relationships/hyperlink" Target="https://ref.ly/Mark7:30" TargetMode="External"/><Relationship Id="rId14714" Type="http://schemas.openxmlformats.org/officeDocument/2006/relationships/hyperlink" Target="https://ref.ly/Luke8:16" TargetMode="External"/><Relationship Id="rId14715" Type="http://schemas.openxmlformats.org/officeDocument/2006/relationships/hyperlink" Target="https://ref.ly/Luke17:34" TargetMode="External"/><Relationship Id="rId14716" Type="http://schemas.openxmlformats.org/officeDocument/2006/relationships/hyperlink" Target="https://ref.ly/Luke11:7" TargetMode="External"/><Relationship Id="rId14717" Type="http://schemas.openxmlformats.org/officeDocument/2006/relationships/hyperlink" Target="https://ref.ly/Mark6:55" TargetMode="External"/><Relationship Id="rId14718" Type="http://schemas.openxmlformats.org/officeDocument/2006/relationships/hyperlink" Target="https://ref.ly/John5:8" TargetMode="External"/><Relationship Id="rId14719" Type="http://schemas.openxmlformats.org/officeDocument/2006/relationships/hyperlink" Target="https://ref.ly/Matt15:27" TargetMode="External"/><Relationship Id="rId14720" Type="http://schemas.openxmlformats.org/officeDocument/2006/relationships/hyperlink" Target="https://ref.ly/Mark7:28" TargetMode="External"/><Relationship Id="rId14721" Type="http://schemas.openxmlformats.org/officeDocument/2006/relationships/hyperlink" Target="https://ref.ly/Luke22:21" TargetMode="External"/><Relationship Id="rId14722" Type="http://schemas.openxmlformats.org/officeDocument/2006/relationships/hyperlink" Target="https://ref.ly/Matt25:1" TargetMode="External"/><Relationship Id="rId14723" Type="http://schemas.openxmlformats.org/officeDocument/2006/relationships/hyperlink" Target="https://ref.ly/Ezra2:68-Ezra2:69" TargetMode="External"/><Relationship Id="rId14724" Type="http://schemas.openxmlformats.org/officeDocument/2006/relationships/hyperlink" Target="https://ref.ly/John2:15" TargetMode="External"/><Relationship Id="rId14725" Type="http://schemas.openxmlformats.org/officeDocument/2006/relationships/hyperlink" Target="https://ref.ly/Mark12:44" TargetMode="External"/><Relationship Id="rId14726" Type="http://schemas.openxmlformats.org/officeDocument/2006/relationships/hyperlink" Target="https://ref.ly/Isa5:1-Isa5:30" TargetMode="External"/><Relationship Id="rId14727" Type="http://schemas.openxmlformats.org/officeDocument/2006/relationships/hyperlink" Target="https://ref.ly/Luke21:2" TargetMode="External"/><Relationship Id="rId14728" Type="http://schemas.openxmlformats.org/officeDocument/2006/relationships/hyperlink" Target="https://ref.ly/Matt5:26" TargetMode="External"/><Relationship Id="rId14729" Type="http://schemas.openxmlformats.org/officeDocument/2006/relationships/hyperlink" Target="https://ref.ly/Mark12:42" TargetMode="External"/><Relationship Id="rId14730" Type="http://schemas.openxmlformats.org/officeDocument/2006/relationships/hyperlink" Target="https://ref.ly/Luke12:6" TargetMode="External"/><Relationship Id="rId14731" Type="http://schemas.openxmlformats.org/officeDocument/2006/relationships/hyperlink" Target="https://ref.ly/Matt20:2" TargetMode="External"/><Relationship Id="rId14732" Type="http://schemas.openxmlformats.org/officeDocument/2006/relationships/hyperlink" Target="https://ref.ly/Luke10:35" TargetMode="External"/><Relationship Id="rId14733" Type="http://schemas.openxmlformats.org/officeDocument/2006/relationships/hyperlink" Target="https://ref.ly/Matt22:19" TargetMode="External"/><Relationship Id="rId14734" Type="http://schemas.openxmlformats.org/officeDocument/2006/relationships/hyperlink" Target="https://ref.ly/Job41:24" TargetMode="External"/><Relationship Id="rId14735" Type="http://schemas.openxmlformats.org/officeDocument/2006/relationships/hyperlink" Target="https://ref.ly/2Sam11:21" TargetMode="External"/><Relationship Id="rId14736" Type="http://schemas.openxmlformats.org/officeDocument/2006/relationships/hyperlink" Target="https://ref.ly/Matt24:41" TargetMode="External"/><Relationship Id="rId14737" Type="http://schemas.openxmlformats.org/officeDocument/2006/relationships/hyperlink" Target="https://ref.ly/Isa47:2" TargetMode="External"/><Relationship Id="rId14738" Type="http://schemas.openxmlformats.org/officeDocument/2006/relationships/hyperlink" Target="https://ref.ly/Exod2:10" TargetMode="External"/><Relationship Id="rId14739" Type="http://schemas.openxmlformats.org/officeDocument/2006/relationships/hyperlink" Target="https://ref.ly/2Sam22:17" TargetMode="External"/><Relationship Id="rId14740" Type="http://schemas.openxmlformats.org/officeDocument/2006/relationships/hyperlink" Target="https://ref.ly/Acts7:23" TargetMode="External"/><Relationship Id="rId14741" Type="http://schemas.openxmlformats.org/officeDocument/2006/relationships/hyperlink" Target="https://ref.ly/Deut34:7" TargetMode="External"/><Relationship Id="rId14742" Type="http://schemas.openxmlformats.org/officeDocument/2006/relationships/hyperlink" Target="https://ref.ly/Exod1:7" TargetMode="External"/><Relationship Id="rId14743" Type="http://schemas.openxmlformats.org/officeDocument/2006/relationships/hyperlink" Target="https://ref.ly/Exod2:1" TargetMode="External"/><Relationship Id="rId14744" Type="http://schemas.openxmlformats.org/officeDocument/2006/relationships/hyperlink" Target="https://ref.ly/1Sam1:19-1Sam1:24" TargetMode="External"/><Relationship Id="rId14745" Type="http://schemas.openxmlformats.org/officeDocument/2006/relationships/hyperlink" Target="https://ref.ly/Exod2:14" TargetMode="External"/><Relationship Id="rId14746" Type="http://schemas.openxmlformats.org/officeDocument/2006/relationships/hyperlink" Target="https://ref.ly/Acts7:25" TargetMode="External"/><Relationship Id="rId14747" Type="http://schemas.openxmlformats.org/officeDocument/2006/relationships/hyperlink" Target="https://ref.ly/Exod3:4-Exod3:5" TargetMode="External"/><Relationship Id="rId14748" Type="http://schemas.openxmlformats.org/officeDocument/2006/relationships/hyperlink" Target="https://ref.ly/Exod3:11-Exod3:12" TargetMode="External"/><Relationship Id="rId14749" Type="http://schemas.openxmlformats.org/officeDocument/2006/relationships/hyperlink" Target="https://ref.ly/Exod3:13-Exod3:14" TargetMode="External"/><Relationship Id="rId14750" Type="http://schemas.openxmlformats.org/officeDocument/2006/relationships/hyperlink" Target="https://ref.ly/Exod4:1-Exod4:9" TargetMode="External"/><Relationship Id="rId14751" Type="http://schemas.openxmlformats.org/officeDocument/2006/relationships/hyperlink" Target="https://ref.ly/Exod4:10" TargetMode="External"/><Relationship Id="rId14752" Type="http://schemas.openxmlformats.org/officeDocument/2006/relationships/hyperlink" Target="https://ref.ly/Exod4:30-Exod4:31" TargetMode="External"/><Relationship Id="rId14753" Type="http://schemas.openxmlformats.org/officeDocument/2006/relationships/hyperlink" Target="https://ref.ly/Exod11:7" TargetMode="External"/><Relationship Id="rId14754" Type="http://schemas.openxmlformats.org/officeDocument/2006/relationships/hyperlink" Target="https://ref.ly/Exod11:2-Exod11:3" TargetMode="External"/><Relationship Id="rId14755" Type="http://schemas.openxmlformats.org/officeDocument/2006/relationships/hyperlink" Target="https://ref.ly/Exod12:31-Exod12:32" TargetMode="External"/><Relationship Id="rId14756" Type="http://schemas.openxmlformats.org/officeDocument/2006/relationships/hyperlink" Target="https://ref.ly/Exod14:14" TargetMode="External"/><Relationship Id="rId14757" Type="http://schemas.openxmlformats.org/officeDocument/2006/relationships/hyperlink" Target="https://ref.ly/Exod16:1-Exod16:21" TargetMode="External"/><Relationship Id="rId14758" Type="http://schemas.openxmlformats.org/officeDocument/2006/relationships/hyperlink" Target="https://ref.ly/Deut33:9-Deut33:10" TargetMode="External"/><Relationship Id="rId14759" Type="http://schemas.openxmlformats.org/officeDocument/2006/relationships/hyperlink" Target="https://ref.ly/Exod32:34" TargetMode="External"/><Relationship Id="rId14760" Type="http://schemas.openxmlformats.org/officeDocument/2006/relationships/hyperlink" Target="https://ref.ly/2Cor3:13" TargetMode="External"/><Relationship Id="rId14761" Type="http://schemas.openxmlformats.org/officeDocument/2006/relationships/hyperlink" Target="https://ref.ly/Exod25:3-Exod25:7" TargetMode="External"/><Relationship Id="rId14762" Type="http://schemas.openxmlformats.org/officeDocument/2006/relationships/hyperlink" Target="https://ref.ly/Exod31:1-Exod31:6" TargetMode="External"/><Relationship Id="rId14763" Type="http://schemas.openxmlformats.org/officeDocument/2006/relationships/hyperlink" Target="https://ref.ly/Num9:1" TargetMode="External"/><Relationship Id="rId14764" Type="http://schemas.openxmlformats.org/officeDocument/2006/relationships/hyperlink" Target="https://ref.ly/Num11:4-Num11:6" TargetMode="External"/><Relationship Id="rId14765" Type="http://schemas.openxmlformats.org/officeDocument/2006/relationships/hyperlink" Target="https://ref.ly/Num32:8" TargetMode="External"/><Relationship Id="rId14766" Type="http://schemas.openxmlformats.org/officeDocument/2006/relationships/hyperlink" Target="https://ref.ly/Num13:1-Num14:19" TargetMode="External"/><Relationship Id="rId14767" Type="http://schemas.openxmlformats.org/officeDocument/2006/relationships/hyperlink" Target="https://ref.ly/Num14:29-Num14:33" TargetMode="External"/><Relationship Id="rId14768" Type="http://schemas.openxmlformats.org/officeDocument/2006/relationships/hyperlink" Target="https://ref.ly/Num16:22-Num16:24" TargetMode="External"/><Relationship Id="rId14769" Type="http://schemas.openxmlformats.org/officeDocument/2006/relationships/hyperlink" Target="https://ref.ly/Num20:12" TargetMode="External"/><Relationship Id="rId14770" Type="http://schemas.openxmlformats.org/officeDocument/2006/relationships/hyperlink" Target="https://ref.ly/Num25:1-Num25:3" TargetMode="External"/><Relationship Id="rId14771" Type="http://schemas.openxmlformats.org/officeDocument/2006/relationships/hyperlink" Target="https://ref.ly/Num35:1-Num35:34" TargetMode="External"/><Relationship Id="rId14772" Type="http://schemas.openxmlformats.org/officeDocument/2006/relationships/hyperlink" Target="https://ref.ly/Deut31:14-Deut31:23" TargetMode="External"/><Relationship Id="rId14773" Type="http://schemas.openxmlformats.org/officeDocument/2006/relationships/hyperlink" Target="https://ref.ly/Deut34:10" TargetMode="External"/><Relationship Id="rId14774" Type="http://schemas.openxmlformats.org/officeDocument/2006/relationships/hyperlink" Target="https://ref.ly/Matt17:1-Matt17:3" TargetMode="External"/><Relationship Id="rId14775" Type="http://schemas.openxmlformats.org/officeDocument/2006/relationships/hyperlink" Target="https://ref.ly/Acts3:22" TargetMode="External"/><Relationship Id="rId14776" Type="http://schemas.openxmlformats.org/officeDocument/2006/relationships/hyperlink" Target="https://ref.ly/Matt2:13-Matt2:18" TargetMode="External"/><Relationship Id="rId14777" Type="http://schemas.openxmlformats.org/officeDocument/2006/relationships/hyperlink" Target="https://ref.ly/Heb3:5-Heb3:6" TargetMode="External"/><Relationship Id="rId14778" Type="http://schemas.openxmlformats.org/officeDocument/2006/relationships/hyperlink" Target="https://ref.ly/Heb9:11-Heb9:22" TargetMode="External"/><Relationship Id="rId14779" Type="http://schemas.openxmlformats.org/officeDocument/2006/relationships/hyperlink" Target="https://ref.ly/John6:30-John6:35" TargetMode="External"/><Relationship Id="rId14780" Type="http://schemas.openxmlformats.org/officeDocument/2006/relationships/hyperlink" Target="https://ref.ly/Acts7:20" TargetMode="External"/><Relationship Id="rId14781" Type="http://schemas.openxmlformats.org/officeDocument/2006/relationships/hyperlink" Target="https://ref.ly/Heb11:28" TargetMode="External"/><Relationship Id="rId14782" Type="http://schemas.openxmlformats.org/officeDocument/2006/relationships/hyperlink" Target="https://ref.ly/Heb3:16" TargetMode="External"/><Relationship Id="rId14783" Type="http://schemas.openxmlformats.org/officeDocument/2006/relationships/hyperlink" Target="https://ref.ly/1Cor10:2" TargetMode="External"/><Relationship Id="rId14784" Type="http://schemas.openxmlformats.org/officeDocument/2006/relationships/hyperlink" Target="https://ref.ly/1Cor10:3" TargetMode="External"/><Relationship Id="rId14785" Type="http://schemas.openxmlformats.org/officeDocument/2006/relationships/hyperlink" Target="https://ref.ly/1Cor10:4" TargetMode="External"/><Relationship Id="rId14786" Type="http://schemas.openxmlformats.org/officeDocument/2006/relationships/hyperlink" Target="https://ref.ly/Gen11:31-Gen12:9" TargetMode="External"/><Relationship Id="rId14787" Type="http://schemas.openxmlformats.org/officeDocument/2006/relationships/hyperlink" Target="https://ref.ly/Gen31:3-Gen31:35" TargetMode="External"/><Relationship Id="rId14788" Type="http://schemas.openxmlformats.org/officeDocument/2006/relationships/hyperlink" Target="https://ref.ly/Judg11:24" TargetMode="External"/><Relationship Id="rId14789" Type="http://schemas.openxmlformats.org/officeDocument/2006/relationships/hyperlink" Target="https://ref.ly/1Sam5:2-1Sam5:5" TargetMode="External"/><Relationship Id="rId14790" Type="http://schemas.openxmlformats.org/officeDocument/2006/relationships/hyperlink" Target="https://ref.ly/Gen35:2-Gen35:4" TargetMode="External"/><Relationship Id="rId14791" Type="http://schemas.openxmlformats.org/officeDocument/2006/relationships/hyperlink" Target="https://ref.ly/Exod3:6,Exod3:15-Exod3:16" TargetMode="External"/><Relationship Id="rId14792" Type="http://schemas.openxmlformats.org/officeDocument/2006/relationships/hyperlink" Target="https://ref.ly/1Sam26:19" TargetMode="External"/><Relationship Id="rId14793" Type="http://schemas.openxmlformats.org/officeDocument/2006/relationships/hyperlink" Target="https://ref.ly/1Kgs11:1-1Kgs11:7" TargetMode="External"/><Relationship Id="rId14794" Type="http://schemas.openxmlformats.org/officeDocument/2006/relationships/hyperlink" Target="https://ref.ly/1Kgs12:28-1Kgs12:32" TargetMode="External"/><Relationship Id="rId14795" Type="http://schemas.openxmlformats.org/officeDocument/2006/relationships/hyperlink" Target="https://ref.ly/1Kgs18:24" TargetMode="External"/><Relationship Id="rId14796" Type="http://schemas.openxmlformats.org/officeDocument/2006/relationships/hyperlink" Target="https://ref.ly/Deut1:7,Deut1:19-Deut1:20" TargetMode="External"/><Relationship Id="rId14797" Type="http://schemas.openxmlformats.org/officeDocument/2006/relationships/hyperlink" Target="https://ref.ly/Deut27:12" TargetMode="External"/><Relationship Id="rId14798" Type="http://schemas.openxmlformats.org/officeDocument/2006/relationships/hyperlink" Target="https://ref.ly/Josh8:30" TargetMode="External"/><Relationship Id="rId14799" Type="http://schemas.openxmlformats.org/officeDocument/2006/relationships/hyperlink" Target="https://ref.ly/Deut27:4" TargetMode="External"/><Relationship Id="rId14800" Type="http://schemas.openxmlformats.org/officeDocument/2006/relationships/hyperlink" Target="https://ref.ly/Deut32:49" TargetMode="External"/><Relationship Id="rId14801" Type="http://schemas.openxmlformats.org/officeDocument/2006/relationships/hyperlink" Target="https://ref.ly/Deut34:1-Deut34:5" TargetMode="External"/><Relationship Id="rId14802" Type="http://schemas.openxmlformats.org/officeDocument/2006/relationships/hyperlink" Target="https://ref.ly/Num23:14" TargetMode="External"/><Relationship Id="rId14803" Type="http://schemas.openxmlformats.org/officeDocument/2006/relationships/hyperlink" Target="https://ref.ly/Deut3:27" TargetMode="External"/><Relationship Id="rId14804" Type="http://schemas.openxmlformats.org/officeDocument/2006/relationships/hyperlink" Target="https://ref.ly/Num33:23-Num33:24" TargetMode="External"/><Relationship Id="rId14805" Type="http://schemas.openxmlformats.org/officeDocument/2006/relationships/hyperlink" Target="https://ref.ly/Exod3:1-Exod3:4" TargetMode="External"/><Relationship Id="rId14806" Type="http://schemas.openxmlformats.org/officeDocument/2006/relationships/hyperlink" Target="https://ref.ly/Exod16:1-Exod16:36" TargetMode="External"/><Relationship Id="rId14807" Type="http://schemas.openxmlformats.org/officeDocument/2006/relationships/hyperlink" Target="https://ref.ly/Exod19:1-Exod23:33" TargetMode="External"/><Relationship Id="rId14808" Type="http://schemas.openxmlformats.org/officeDocument/2006/relationships/hyperlink" Target="https://ref.ly/1Kgs19:8-1Kgs19:18" TargetMode="External"/><Relationship Id="rId14809" Type="http://schemas.openxmlformats.org/officeDocument/2006/relationships/hyperlink" Target="https://ref.ly/Ps50:2" TargetMode="External"/><Relationship Id="rId14810" Type="http://schemas.openxmlformats.org/officeDocument/2006/relationships/hyperlink" Target="https://ref.ly/Matt5:1" TargetMode="External"/><Relationship Id="rId14811" Type="http://schemas.openxmlformats.org/officeDocument/2006/relationships/hyperlink" Target="https://ref.ly/Luke6:12" TargetMode="External"/><Relationship Id="rId14812" Type="http://schemas.openxmlformats.org/officeDocument/2006/relationships/hyperlink" Target="https://ref.ly/Gen41:1-Gen41:57" TargetMode="External"/><Relationship Id="rId14813" Type="http://schemas.openxmlformats.org/officeDocument/2006/relationships/hyperlink" Target="https://ref.ly/Gen12:6" TargetMode="External"/><Relationship Id="rId14814" Type="http://schemas.openxmlformats.org/officeDocument/2006/relationships/hyperlink" Target="https://ref.ly/Eccl3:19-Eccl3:20" TargetMode="External"/><Relationship Id="rId14815" Type="http://schemas.openxmlformats.org/officeDocument/2006/relationships/hyperlink" Target="https://ref.ly/Ps73:23-Ps73:28" TargetMode="External"/><Relationship Id="rId14816" Type="http://schemas.openxmlformats.org/officeDocument/2006/relationships/hyperlink" Target="https://ref.ly/Ps139:8" TargetMode="External"/><Relationship Id="rId14817" Type="http://schemas.openxmlformats.org/officeDocument/2006/relationships/hyperlink" Target="https://ref.ly/Jer21:8" TargetMode="External"/><Relationship Id="rId14818" Type="http://schemas.openxmlformats.org/officeDocument/2006/relationships/hyperlink" Target="https://ref.ly/Ezek18:21-Ezek18:32" TargetMode="External"/><Relationship Id="rId14819" Type="http://schemas.openxmlformats.org/officeDocument/2006/relationships/hyperlink" Target="https://ref.ly/2Esd3:7" TargetMode="External"/><Relationship Id="rId14820" Type="http://schemas.openxmlformats.org/officeDocument/2006/relationships/hyperlink" Target="https://ref.ly/Sir25:24" TargetMode="External"/><Relationship Id="rId14821" Type="http://schemas.openxmlformats.org/officeDocument/2006/relationships/hyperlink" Target="https://ref.ly/Rom4:17" TargetMode="External"/><Relationship Id="rId14822" Type="http://schemas.openxmlformats.org/officeDocument/2006/relationships/hyperlink" Target="https://ref.ly/1Cor15:22" TargetMode="External"/><Relationship Id="rId14823" Type="http://schemas.openxmlformats.org/officeDocument/2006/relationships/hyperlink" Target="https://ref.ly/1John5:12" TargetMode="External"/><Relationship Id="rId14824" Type="http://schemas.openxmlformats.org/officeDocument/2006/relationships/hyperlink" Target="https://ref.ly/1Cor15:26-1Cor15:27" TargetMode="External"/><Relationship Id="rId14825" Type="http://schemas.openxmlformats.org/officeDocument/2006/relationships/hyperlink" Target="https://ref.ly/1Cor15:3-1Cor15:4" TargetMode="External"/><Relationship Id="rId14826" Type="http://schemas.openxmlformats.org/officeDocument/2006/relationships/hyperlink" Target="https://ref.ly/2Cor5:15" TargetMode="External"/><Relationship Id="rId14827" Type="http://schemas.openxmlformats.org/officeDocument/2006/relationships/hyperlink" Target="https://ref.ly/1Pet3:18-1Pet3:19" TargetMode="External"/><Relationship Id="rId14828" Type="http://schemas.openxmlformats.org/officeDocument/2006/relationships/hyperlink" Target="https://ref.ly/Heb2:14-Heb2:15" TargetMode="External"/><Relationship Id="rId14829" Type="http://schemas.openxmlformats.org/officeDocument/2006/relationships/hyperlink" Target="https://ref.ly/Rom5:6-Rom5:8" TargetMode="External"/><Relationship Id="rId14830" Type="http://schemas.openxmlformats.org/officeDocument/2006/relationships/hyperlink" Target="https://ref.ly/1Thess5:9-1Thess5:10" TargetMode="External"/><Relationship Id="rId14831" Type="http://schemas.openxmlformats.org/officeDocument/2006/relationships/hyperlink" Target="https://ref.ly/Rom6:3-Rom6:4" TargetMode="External"/><Relationship Id="rId14832" Type="http://schemas.openxmlformats.org/officeDocument/2006/relationships/hyperlink" Target="https://ref.ly/2Cor5:14-2Cor5:15" TargetMode="External"/><Relationship Id="rId14833" Type="http://schemas.openxmlformats.org/officeDocument/2006/relationships/hyperlink" Target="https://ref.ly/2Cor4:10" TargetMode="External"/><Relationship Id="rId14834" Type="http://schemas.openxmlformats.org/officeDocument/2006/relationships/hyperlink" Target="https://ref.ly/Col3:3" TargetMode="External"/><Relationship Id="rId14835" Type="http://schemas.openxmlformats.org/officeDocument/2006/relationships/hyperlink" Target="https://ref.ly/John8:51-John8:52" TargetMode="External"/><Relationship Id="rId14836" Type="http://schemas.openxmlformats.org/officeDocument/2006/relationships/hyperlink" Target="https://ref.ly/1Cor15:6" TargetMode="External"/><Relationship Id="rId14837" Type="http://schemas.openxmlformats.org/officeDocument/2006/relationships/hyperlink" Target="https://ref.ly/1Thess4:13-1Thess4:15" TargetMode="External"/><Relationship Id="rId14838" Type="http://schemas.openxmlformats.org/officeDocument/2006/relationships/hyperlink" Target="https://ref.ly/John11:11-John11:14" TargetMode="External"/><Relationship Id="rId14839" Type="http://schemas.openxmlformats.org/officeDocument/2006/relationships/hyperlink" Target="https://ref.ly/Phil1:20-Phil1:21" TargetMode="External"/><Relationship Id="rId14840" Type="http://schemas.openxmlformats.org/officeDocument/2006/relationships/hyperlink" Target="https://ref.ly/Rev20:14" TargetMode="External"/><Relationship Id="rId14841" Type="http://schemas.openxmlformats.org/officeDocument/2006/relationships/hyperlink" Target="https://ref.ly/1John3:14" TargetMode="External"/><Relationship Id="rId14842" Type="http://schemas.openxmlformats.org/officeDocument/2006/relationships/hyperlink" Target="https://ref.ly/Rev2:11" TargetMode="External"/><Relationship Id="rId14843" Type="http://schemas.openxmlformats.org/officeDocument/2006/relationships/hyperlink" Target="https://ref.ly/Rev20:6" TargetMode="External"/><Relationship Id="rId14844" Type="http://schemas.openxmlformats.org/officeDocument/2006/relationships/hyperlink" Target="https://ref.ly/Num16:30" TargetMode="External"/><Relationship Id="rId14845" Type="http://schemas.openxmlformats.org/officeDocument/2006/relationships/hyperlink" Target="https://ref.ly/Prov15:24" TargetMode="External"/><Relationship Id="rId14846" Type="http://schemas.openxmlformats.org/officeDocument/2006/relationships/hyperlink" Target="https://ref.ly/Ezek26:20" TargetMode="External"/><Relationship Id="rId14847" Type="http://schemas.openxmlformats.org/officeDocument/2006/relationships/hyperlink" Target="https://ref.ly/Ps30:9" TargetMode="External"/><Relationship Id="rId14848" Type="http://schemas.openxmlformats.org/officeDocument/2006/relationships/hyperlink" Target="https://ref.ly/Ps88:5" TargetMode="External"/><Relationship Id="rId14849" Type="http://schemas.openxmlformats.org/officeDocument/2006/relationships/hyperlink" Target="https://ref.ly/2Kgs4:32-2Kgs4:37" TargetMode="External"/><Relationship Id="rId14850" Type="http://schemas.openxmlformats.org/officeDocument/2006/relationships/hyperlink" Target="https://ref.ly/1Sam28:7-1Sam28:25" TargetMode="External"/><Relationship Id="rId14851" Type="http://schemas.openxmlformats.org/officeDocument/2006/relationships/hyperlink" Target="https://ref.ly/Deut18:11" TargetMode="External"/><Relationship Id="rId14852" Type="http://schemas.openxmlformats.org/officeDocument/2006/relationships/hyperlink" Target="https://ref.ly/Gen25:8" TargetMode="External"/><Relationship Id="rId14853" Type="http://schemas.openxmlformats.org/officeDocument/2006/relationships/hyperlink" Target="https://ref.ly/Ezek32:17-Ezek32:30" TargetMode="External"/><Relationship Id="rId14854" Type="http://schemas.openxmlformats.org/officeDocument/2006/relationships/hyperlink" Target="https://ref.ly/Jonah2:2" TargetMode="External"/><Relationship Id="rId14855" Type="http://schemas.openxmlformats.org/officeDocument/2006/relationships/hyperlink" Target="https://ref.ly/Ps86:13" TargetMode="External"/><Relationship Id="rId14856" Type="http://schemas.openxmlformats.org/officeDocument/2006/relationships/hyperlink" Target="https://ref.ly/Job14:13-Job14:22" TargetMode="External"/><Relationship Id="rId14857" Type="http://schemas.openxmlformats.org/officeDocument/2006/relationships/hyperlink" Target="https://ref.ly/Dan12:1-Dan12:2" TargetMode="External"/><Relationship Id="rId14858" Type="http://schemas.openxmlformats.org/officeDocument/2006/relationships/hyperlink" Target="https://ref.ly/2Cor5:1-2Cor5:8" TargetMode="External"/><Relationship Id="rId14859" Type="http://schemas.openxmlformats.org/officeDocument/2006/relationships/hyperlink" Target="https://ref.ly/Phil1:21-Phil1:23" TargetMode="External"/><Relationship Id="rId14860" Type="http://schemas.openxmlformats.org/officeDocument/2006/relationships/hyperlink" Target="https://ref.ly/Sir14:12" TargetMode="External"/><Relationship Id="rId14861" Type="http://schemas.openxmlformats.org/officeDocument/2006/relationships/hyperlink" Target="https://ref.ly/Sir17:27-Sir17:28" TargetMode="External"/><Relationship Id="rId14862" Type="http://schemas.openxmlformats.org/officeDocument/2006/relationships/hyperlink" Target="https://ref.ly/2Esd7:70" TargetMode="External"/><Relationship Id="rId14863" Type="http://schemas.openxmlformats.org/officeDocument/2006/relationships/hyperlink" Target="https://ref.ly/John5:22" TargetMode="External"/><Relationship Id="rId14864" Type="http://schemas.openxmlformats.org/officeDocument/2006/relationships/hyperlink" Target="https://ref.ly/2Tim4:1" TargetMode="External"/><Relationship Id="rId14865" Type="http://schemas.openxmlformats.org/officeDocument/2006/relationships/hyperlink" Target="https://ref.ly/Luke16:22" TargetMode="External"/><Relationship Id="rId14866" Type="http://schemas.openxmlformats.org/officeDocument/2006/relationships/hyperlink" Target="https://ref.ly/2Cor12:2-2Cor12:3" TargetMode="External"/><Relationship Id="rId14867" Type="http://schemas.openxmlformats.org/officeDocument/2006/relationships/hyperlink" Target="https://ref.ly/Rev21:1-Rev21:2" TargetMode="External"/><Relationship Id="rId14868" Type="http://schemas.openxmlformats.org/officeDocument/2006/relationships/hyperlink" Target="https://ref.ly/Eph4:9" TargetMode="External"/><Relationship Id="rId14869" Type="http://schemas.openxmlformats.org/officeDocument/2006/relationships/hyperlink" Target="https://ref.ly/1Thess4:13-1Thess4:17" TargetMode="External"/><Relationship Id="rId14870" Type="http://schemas.openxmlformats.org/officeDocument/2006/relationships/hyperlink" Target="https://ref.ly/Rev20:13" TargetMode="External"/><Relationship Id="rId14871" Type="http://schemas.openxmlformats.org/officeDocument/2006/relationships/hyperlink" Target="https://ref.ly/Rev20:1" TargetMode="External"/><Relationship Id="rId14872" Type="http://schemas.openxmlformats.org/officeDocument/2006/relationships/hyperlink" Target="https://ref.ly/Rev6:9-Rev6:11" TargetMode="External"/><Relationship Id="rId14873" Type="http://schemas.openxmlformats.org/officeDocument/2006/relationships/hyperlink" Target="https://ref.ly/Luke1:18-Luke1:22" TargetMode="External"/><Relationship Id="rId14874" Type="http://schemas.openxmlformats.org/officeDocument/2006/relationships/hyperlink" Target="https://ref.ly/Luke1:62-Luke1:64" TargetMode="External"/><Relationship Id="rId14875" Type="http://schemas.openxmlformats.org/officeDocument/2006/relationships/hyperlink" Target="https://ref.ly/Matt12:22-Matt12:23" TargetMode="External"/><Relationship Id="rId14876" Type="http://schemas.openxmlformats.org/officeDocument/2006/relationships/hyperlink" Target="https://ref.ly/Matt15:30-Matt15:31" TargetMode="External"/><Relationship Id="rId14877" Type="http://schemas.openxmlformats.org/officeDocument/2006/relationships/hyperlink" Target="https://ref.ly/Mark7:32-Mark7:37" TargetMode="External"/><Relationship Id="rId14878" Type="http://schemas.openxmlformats.org/officeDocument/2006/relationships/hyperlink" Target="https://ref.ly/Luke11:14" TargetMode="External"/><Relationship Id="rId14879" Type="http://schemas.openxmlformats.org/officeDocument/2006/relationships/hyperlink" Target="https://ref.ly/Prov31:8" TargetMode="External"/><Relationship Id="rId14880" Type="http://schemas.openxmlformats.org/officeDocument/2006/relationships/hyperlink" Target="https://ref.ly/2Pet2:16" TargetMode="External"/><Relationship Id="rId14881" Type="http://schemas.openxmlformats.org/officeDocument/2006/relationships/hyperlink" Target="https://ref.ly/Hab2:18-Hab2:20" TargetMode="External"/><Relationship Id="rId14882" Type="http://schemas.openxmlformats.org/officeDocument/2006/relationships/hyperlink" Target="https://ref.ly/Gen2:20-Gen2:25" TargetMode="External"/><Relationship Id="rId14883" Type="http://schemas.openxmlformats.org/officeDocument/2006/relationships/hyperlink" Target="https://ref.ly/Eph5:22" TargetMode="External"/><Relationship Id="rId14884" Type="http://schemas.openxmlformats.org/officeDocument/2006/relationships/hyperlink" Target="https://ref.ly/1Tim2:15" TargetMode="External"/><Relationship Id="rId14885" Type="http://schemas.openxmlformats.org/officeDocument/2006/relationships/hyperlink" Target="https://ref.ly/Num6:2" TargetMode="External"/><Relationship Id="rId14886" Type="http://schemas.openxmlformats.org/officeDocument/2006/relationships/hyperlink" Target="https://ref.ly/Num30:1-Num30:16" TargetMode="External"/><Relationship Id="rId14887" Type="http://schemas.openxmlformats.org/officeDocument/2006/relationships/hyperlink" Target="https://ref.ly/Exod15:20-Exod15:21" TargetMode="External"/><Relationship Id="rId14888" Type="http://schemas.openxmlformats.org/officeDocument/2006/relationships/hyperlink" Target="https://ref.ly/2Chr34:22-2Chr34:28" TargetMode="External"/><Relationship Id="rId14889" Type="http://schemas.openxmlformats.org/officeDocument/2006/relationships/hyperlink" Target="https://ref.ly/Matt13:35" TargetMode="External"/><Relationship Id="rId14890" Type="http://schemas.openxmlformats.org/officeDocument/2006/relationships/hyperlink" Target="https://ref.ly/John16:21" TargetMode="External"/><Relationship Id="rId14891" Type="http://schemas.openxmlformats.org/officeDocument/2006/relationships/hyperlink" Target="https://ref.ly/1Cor4:13" TargetMode="External"/><Relationship Id="rId14892" Type="http://schemas.openxmlformats.org/officeDocument/2006/relationships/hyperlink" Target="https://ref.ly/1Cor7:33" TargetMode="External"/><Relationship Id="rId14893" Type="http://schemas.openxmlformats.org/officeDocument/2006/relationships/hyperlink" Target="https://ref.ly/John8:23" TargetMode="External"/><Relationship Id="rId14894" Type="http://schemas.openxmlformats.org/officeDocument/2006/relationships/hyperlink" Target="https://ref.ly/John12:25" TargetMode="External"/><Relationship Id="rId14895" Type="http://schemas.openxmlformats.org/officeDocument/2006/relationships/hyperlink" Target="https://ref.ly/1Cor3:19" TargetMode="External"/><Relationship Id="rId14896" Type="http://schemas.openxmlformats.org/officeDocument/2006/relationships/hyperlink" Target="https://ref.ly/John14:30" TargetMode="External"/><Relationship Id="rId14897" Type="http://schemas.openxmlformats.org/officeDocument/2006/relationships/hyperlink" Target="https://ref.ly/1Cor5:10" TargetMode="External"/><Relationship Id="rId14898" Type="http://schemas.openxmlformats.org/officeDocument/2006/relationships/hyperlink" Target="https://ref.ly/1John5:19" TargetMode="External"/><Relationship Id="rId14899" Type="http://schemas.openxmlformats.org/officeDocument/2006/relationships/hyperlink" Target="https://ref.ly/John15:19" TargetMode="External"/><Relationship Id="rId14900" Type="http://schemas.openxmlformats.org/officeDocument/2006/relationships/hyperlink" Target="https://ref.ly/John17:16" TargetMode="External"/><Relationship Id="rId14901" Type="http://schemas.openxmlformats.org/officeDocument/2006/relationships/hyperlink" Target="https://ref.ly/Jas1:27" TargetMode="External"/><Relationship Id="rId14902" Type="http://schemas.openxmlformats.org/officeDocument/2006/relationships/hyperlink" Target="https://ref.ly/1John2:15" TargetMode="External"/><Relationship Id="rId14903" Type="http://schemas.openxmlformats.org/officeDocument/2006/relationships/hyperlink" Target="https://ref.ly/2Cor4:18" TargetMode="External"/><Relationship Id="rId14904" Type="http://schemas.openxmlformats.org/officeDocument/2006/relationships/hyperlink" Target="https://ref.ly/John14:27" TargetMode="External"/><Relationship Id="rId14905" Type="http://schemas.openxmlformats.org/officeDocument/2006/relationships/hyperlink" Target="https://ref.ly/John15:19-John15:20" TargetMode="External"/><Relationship Id="rId14906" Type="http://schemas.openxmlformats.org/officeDocument/2006/relationships/hyperlink" Target="https://ref.ly/John15:18-John15:21" TargetMode="External"/><Relationship Id="rId14907" Type="http://schemas.openxmlformats.org/officeDocument/2006/relationships/hyperlink" Target="https://ref.ly/John16:33" TargetMode="External"/><Relationship Id="rId14908" Type="http://schemas.openxmlformats.org/officeDocument/2006/relationships/hyperlink" Target="https://ref.ly/Rom1:25" TargetMode="External"/><Relationship Id="rId14909" Type="http://schemas.openxmlformats.org/officeDocument/2006/relationships/hyperlink" Target="https://ref.ly/2Cor11:31" TargetMode="External"/><Relationship Id="rId14910" Type="http://schemas.openxmlformats.org/officeDocument/2006/relationships/hyperlink" Target="https://ref.ly/Phil4:20" TargetMode="External"/><Relationship Id="rId14911" Type="http://schemas.openxmlformats.org/officeDocument/2006/relationships/hyperlink" Target="https://ref.ly/1Chr6:19,1Chr6:47" TargetMode="External"/><Relationship Id="rId14912" Type="http://schemas.openxmlformats.org/officeDocument/2006/relationships/hyperlink" Target="https://ref.ly/1Chr23:21-1Chr23:23" TargetMode="External"/><Relationship Id="rId14913" Type="http://schemas.openxmlformats.org/officeDocument/2006/relationships/hyperlink" Target="https://ref.ly/1Chr24:26,1Chr24:30" TargetMode="External"/><Relationship Id="rId14914" Type="http://schemas.openxmlformats.org/officeDocument/2006/relationships/hyperlink" Target="https://ref.ly/1Chr16:9" TargetMode="External"/><Relationship Id="rId14915" Type="http://schemas.openxmlformats.org/officeDocument/2006/relationships/hyperlink" Target="https://ref.ly/Ps68:32" TargetMode="External"/><Relationship Id="rId14916" Type="http://schemas.openxmlformats.org/officeDocument/2006/relationships/hyperlink" Target="https://ref.ly/Ps96:1-Ps96:2" TargetMode="External"/><Relationship Id="rId14917" Type="http://schemas.openxmlformats.org/officeDocument/2006/relationships/hyperlink" Target="https://ref.ly/Isa42:10" TargetMode="External"/><Relationship Id="rId14918" Type="http://schemas.openxmlformats.org/officeDocument/2006/relationships/hyperlink" Target="https://ref.ly/Jer20:13" TargetMode="External"/><Relationship Id="rId14919" Type="http://schemas.openxmlformats.org/officeDocument/2006/relationships/hyperlink" Target="https://ref.ly/Gen31:27" TargetMode="External"/><Relationship Id="rId14920" Type="http://schemas.openxmlformats.org/officeDocument/2006/relationships/hyperlink" Target="https://ref.ly/Exod32:17-Exod32:18" TargetMode="External"/><Relationship Id="rId14921" Type="http://schemas.openxmlformats.org/officeDocument/2006/relationships/hyperlink" Target="https://ref.ly/Isa24:8-Isa24:9" TargetMode="External"/><Relationship Id="rId14922" Type="http://schemas.openxmlformats.org/officeDocument/2006/relationships/hyperlink" Target="https://ref.ly/2Chr20:27-2Chr20:28" TargetMode="External"/><Relationship Id="rId14923" Type="http://schemas.openxmlformats.org/officeDocument/2006/relationships/hyperlink" Target="https://ref.ly/Num21:17" TargetMode="External"/><Relationship Id="rId14924" Type="http://schemas.openxmlformats.org/officeDocument/2006/relationships/hyperlink" Target="https://ref.ly/Isa16:10" TargetMode="External"/><Relationship Id="rId14925" Type="http://schemas.openxmlformats.org/officeDocument/2006/relationships/hyperlink" Target="https://ref.ly/Jer48:33" TargetMode="External"/><Relationship Id="rId14926" Type="http://schemas.openxmlformats.org/officeDocument/2006/relationships/hyperlink" Target="https://ref.ly/Judg7:17-Judg7:20" TargetMode="External"/><Relationship Id="rId14927" Type="http://schemas.openxmlformats.org/officeDocument/2006/relationships/hyperlink" Target="https://ref.ly/Judg11:34" TargetMode="External"/><Relationship Id="rId14928" Type="http://schemas.openxmlformats.org/officeDocument/2006/relationships/hyperlink" Target="https://ref.ly/1Sam18:6-1Sam18:7" TargetMode="External"/><Relationship Id="rId14929" Type="http://schemas.openxmlformats.org/officeDocument/2006/relationships/hyperlink" Target="https://ref.ly/Neh7:67" TargetMode="External"/><Relationship Id="rId14930" Type="http://schemas.openxmlformats.org/officeDocument/2006/relationships/hyperlink" Target="https://ref.ly/Ps137:3" TargetMode="External"/><Relationship Id="rId14931" Type="http://schemas.openxmlformats.org/officeDocument/2006/relationships/hyperlink" Target="https://ref.ly/1Chr25:1,1Chr25:7" TargetMode="External"/><Relationship Id="rId14932" Type="http://schemas.openxmlformats.org/officeDocument/2006/relationships/hyperlink" Target="https://ref.ly/Neh12:29" TargetMode="External"/><Relationship Id="rId14933" Type="http://schemas.openxmlformats.org/officeDocument/2006/relationships/hyperlink" Target="https://ref.ly/Exod28:34-Exod28:35" TargetMode="External"/><Relationship Id="rId14934" Type="http://schemas.openxmlformats.org/officeDocument/2006/relationships/hyperlink" Target="https://ref.ly/Neh11:22-Neh11:23" TargetMode="External"/><Relationship Id="rId14935" Type="http://schemas.openxmlformats.org/officeDocument/2006/relationships/hyperlink" Target="https://ref.ly/Ps137:1-Ps137:9" TargetMode="External"/><Relationship Id="rId14936" Type="http://schemas.openxmlformats.org/officeDocument/2006/relationships/hyperlink" Target="https://ref.ly/Ps48:1-Ps48:14" TargetMode="External"/><Relationship Id="rId14937" Type="http://schemas.openxmlformats.org/officeDocument/2006/relationships/hyperlink" Target="https://ref.ly/Ps94:1-Ps94:23" TargetMode="External"/><Relationship Id="rId14938" Type="http://schemas.openxmlformats.org/officeDocument/2006/relationships/hyperlink" Target="https://ref.ly/Ps93:1-Ps93:5" TargetMode="External"/><Relationship Id="rId14939" Type="http://schemas.openxmlformats.org/officeDocument/2006/relationships/hyperlink" Target="https://ref.ly/Ps92:1-Ps92:15" TargetMode="External"/><Relationship Id="rId14940" Type="http://schemas.openxmlformats.org/officeDocument/2006/relationships/hyperlink" Target="https://ref.ly/Ps105:1-Ps105:5" TargetMode="External"/><Relationship Id="rId14941" Type="http://schemas.openxmlformats.org/officeDocument/2006/relationships/hyperlink" Target="https://ref.ly/Ps96:1-Ps96:13" TargetMode="External"/><Relationship Id="rId14942" Type="http://schemas.openxmlformats.org/officeDocument/2006/relationships/hyperlink" Target="https://ref.ly/Ps3:1-Ps5:12" TargetMode="External"/><Relationship Id="rId14943" Type="http://schemas.openxmlformats.org/officeDocument/2006/relationships/hyperlink" Target="https://ref.ly/Ps67:1-Ps67:2" TargetMode="External"/><Relationship Id="rId14944" Type="http://schemas.openxmlformats.org/officeDocument/2006/relationships/hyperlink" Target="https://ref.ly/Ps67:1" TargetMode="External"/><Relationship Id="rId14945" Type="http://schemas.openxmlformats.org/officeDocument/2006/relationships/hyperlink" Target="https://ref.ly/Ps67:2" TargetMode="External"/><Relationship Id="rId14946" Type="http://schemas.openxmlformats.org/officeDocument/2006/relationships/hyperlink" Target="https://ref.ly/Ps103:20-Ps103:22" TargetMode="External"/><Relationship Id="rId14947" Type="http://schemas.openxmlformats.org/officeDocument/2006/relationships/hyperlink" Target="https://ref.ly/Ps80:1-Ps80:19" TargetMode="External"/><Relationship Id="rId14948" Type="http://schemas.openxmlformats.org/officeDocument/2006/relationships/hyperlink" Target="https://ref.ly/Ps45:10-Ps45:17" TargetMode="External"/><Relationship Id="rId14949" Type="http://schemas.openxmlformats.org/officeDocument/2006/relationships/hyperlink" Target="https://ref.ly/Ps44:1-Ps45:17" TargetMode="External"/><Relationship Id="rId14950" Type="http://schemas.openxmlformats.org/officeDocument/2006/relationships/hyperlink" Target="https://ref.ly/Ps52:1-Ps55:23" TargetMode="External"/><Relationship Id="rId14951" Type="http://schemas.openxmlformats.org/officeDocument/2006/relationships/hyperlink" Target="https://ref.ly/Ps74:1-Ps74:23" TargetMode="External"/><Relationship Id="rId14952" Type="http://schemas.openxmlformats.org/officeDocument/2006/relationships/hyperlink" Target="https://ref.ly/Ps88:1-Ps89:52" TargetMode="External"/><Relationship Id="rId14953" Type="http://schemas.openxmlformats.org/officeDocument/2006/relationships/hyperlink" Target="https://ref.ly/Ps1:1-Ps89:52" TargetMode="External"/><Relationship Id="rId14954" Type="http://schemas.openxmlformats.org/officeDocument/2006/relationships/hyperlink" Target="https://ref.ly/Ps107:1-Ps150:6" TargetMode="External"/><Relationship Id="rId14955" Type="http://schemas.openxmlformats.org/officeDocument/2006/relationships/hyperlink" Target="https://ref.ly/1Chr23:4" TargetMode="External"/><Relationship Id="rId14956" Type="http://schemas.openxmlformats.org/officeDocument/2006/relationships/hyperlink" Target="https://ref.ly/Ezra3:8-Ezra3:9" TargetMode="External"/><Relationship Id="rId14957" Type="http://schemas.openxmlformats.org/officeDocument/2006/relationships/hyperlink" Target="https://ref.ly/1Chr15:21" TargetMode="External"/><Relationship Id="rId14958" Type="http://schemas.openxmlformats.org/officeDocument/2006/relationships/hyperlink" Target="https://ref.ly/Ps5:1-Ps5:12" TargetMode="External"/><Relationship Id="rId14959" Type="http://schemas.openxmlformats.org/officeDocument/2006/relationships/hyperlink" Target="https://ref.ly/Ps4:1-Ps4:8" TargetMode="External"/><Relationship Id="rId14960" Type="http://schemas.openxmlformats.org/officeDocument/2006/relationships/hyperlink" Target="https://ref.ly/Ps54:1-Ps55:23" TargetMode="External"/><Relationship Id="rId14961" Type="http://schemas.openxmlformats.org/officeDocument/2006/relationships/hyperlink" Target="https://ref.ly/Ps61:1-Ps61:8" TargetMode="External"/><Relationship Id="rId14962" Type="http://schemas.openxmlformats.org/officeDocument/2006/relationships/hyperlink" Target="https://ref.ly/Ps67:1-Ps67:7" TargetMode="External"/><Relationship Id="rId14963" Type="http://schemas.openxmlformats.org/officeDocument/2006/relationships/hyperlink" Target="https://ref.ly/Ps76:1-Ps76:12" TargetMode="External"/><Relationship Id="rId14964" Type="http://schemas.openxmlformats.org/officeDocument/2006/relationships/hyperlink" Target="https://ref.ly/Ps77:7" TargetMode="External"/><Relationship Id="rId14965" Type="http://schemas.openxmlformats.org/officeDocument/2006/relationships/hyperlink" Target="https://ref.ly/Lam5:14" TargetMode="External"/><Relationship Id="rId14966" Type="http://schemas.openxmlformats.org/officeDocument/2006/relationships/hyperlink" Target="https://ref.ly/Isa38:20" TargetMode="External"/><Relationship Id="rId14967" Type="http://schemas.openxmlformats.org/officeDocument/2006/relationships/hyperlink" Target="https://ref.ly/Ps12:1-Ps12:8" TargetMode="External"/><Relationship Id="rId14968" Type="http://schemas.openxmlformats.org/officeDocument/2006/relationships/hyperlink" Target="https://ref.ly/Ps70:1-Ps70:5" TargetMode="External"/><Relationship Id="rId14969" Type="http://schemas.openxmlformats.org/officeDocument/2006/relationships/hyperlink" Target="https://ref.ly/Hab3:1" TargetMode="External"/><Relationship Id="rId14970" Type="http://schemas.openxmlformats.org/officeDocument/2006/relationships/hyperlink" Target="https://ref.ly/Ps17:1-Ps17:15" TargetMode="External"/><Relationship Id="rId14971" Type="http://schemas.openxmlformats.org/officeDocument/2006/relationships/hyperlink" Target="https://ref.ly/Ps57:1-Ps59:17" TargetMode="External"/><Relationship Id="rId14972" Type="http://schemas.openxmlformats.org/officeDocument/2006/relationships/hyperlink" Target="https://ref.ly/Ps69:1-Ps69:36" TargetMode="External"/><Relationship Id="rId14973" Type="http://schemas.openxmlformats.org/officeDocument/2006/relationships/hyperlink" Target="https://ref.ly/Acts2:46-Acts2:47" TargetMode="External"/><Relationship Id="rId14974" Type="http://schemas.openxmlformats.org/officeDocument/2006/relationships/hyperlink" Target="https://ref.ly/Matt6:2" TargetMode="External"/><Relationship Id="rId14975" Type="http://schemas.openxmlformats.org/officeDocument/2006/relationships/hyperlink" Target="https://ref.ly/1Cor14:7-1Cor14:8" TargetMode="External"/><Relationship Id="rId14976" Type="http://schemas.openxmlformats.org/officeDocument/2006/relationships/hyperlink" Target="https://ref.ly/1Cor15:52" TargetMode="External"/><Relationship Id="rId14977" Type="http://schemas.openxmlformats.org/officeDocument/2006/relationships/hyperlink" Target="https://ref.ly/Heb12:19" TargetMode="External"/><Relationship Id="rId14978" Type="http://schemas.openxmlformats.org/officeDocument/2006/relationships/hyperlink" Target="https://ref.ly/Rev5:9-Rev5:10" TargetMode="External"/><Relationship Id="rId14979" Type="http://schemas.openxmlformats.org/officeDocument/2006/relationships/hyperlink" Target="https://ref.ly/Luke4:16-Luke4:20" TargetMode="External"/><Relationship Id="rId14980" Type="http://schemas.openxmlformats.org/officeDocument/2006/relationships/hyperlink" Target="https://ref.ly/1Cor14:15,1Cor14:26" TargetMode="External"/><Relationship Id="rId14981" Type="http://schemas.openxmlformats.org/officeDocument/2006/relationships/hyperlink" Target="https://ref.ly/Luke1:68-Luke1:79" TargetMode="External"/><Relationship Id="rId14982" Type="http://schemas.openxmlformats.org/officeDocument/2006/relationships/hyperlink" Target="https://ref.ly/Num21:19" TargetMode="External"/><Relationship Id="rId14983" Type="http://schemas.openxmlformats.org/officeDocument/2006/relationships/hyperlink" Target="https://ref.ly/1Chr8:4,1Chr8:7" TargetMode="External"/><Relationship Id="rId14984" Type="http://schemas.openxmlformats.org/officeDocument/2006/relationships/hyperlink" Target="https://ref.ly/Exod20:24" TargetMode="External"/><Relationship Id="rId14985" Type="http://schemas.openxmlformats.org/officeDocument/2006/relationships/hyperlink" Target="https://ref.ly/1Kgs14:21-1Kgs14:24" TargetMode="External"/><Relationship Id="rId14986" Type="http://schemas.openxmlformats.org/officeDocument/2006/relationships/hyperlink" Target="https://ref.ly/1Chr6:26" TargetMode="External"/><Relationship Id="rId14987" Type="http://schemas.openxmlformats.org/officeDocument/2006/relationships/hyperlink" Target="https://ref.ly/2Chr31:13" TargetMode="External"/><Relationship Id="rId14988" Type="http://schemas.openxmlformats.org/officeDocument/2006/relationships/hyperlink" Target="https://ref.ly/Num13:14" TargetMode="External"/><Relationship Id="rId14989" Type="http://schemas.openxmlformats.org/officeDocument/2006/relationships/hyperlink" Target="https://ref.ly/Deut17:6-Deut17:7" TargetMode="External"/><Relationship Id="rId14990" Type="http://schemas.openxmlformats.org/officeDocument/2006/relationships/hyperlink" Target="https://ref.ly/1Kgs22:34-1Kgs22:40" TargetMode="External"/><Relationship Id="rId14991" Type="http://schemas.openxmlformats.org/officeDocument/2006/relationships/hyperlink" Target="https://ref.ly/2Kgs9:36" TargetMode="External"/><Relationship Id="rId14992" Type="http://schemas.openxmlformats.org/officeDocument/2006/relationships/hyperlink" Target="https://ref.ly/2Kgs9:25" TargetMode="External"/><Relationship Id="rId14993" Type="http://schemas.openxmlformats.org/officeDocument/2006/relationships/hyperlink" Target="https://ref.ly/Acts17:26" TargetMode="External"/><Relationship Id="rId14994" Type="http://schemas.openxmlformats.org/officeDocument/2006/relationships/hyperlink" Target="https://ref.ly/Zeph3:9" TargetMode="External"/><Relationship Id="rId14995" Type="http://schemas.openxmlformats.org/officeDocument/2006/relationships/hyperlink" Target="https://ref.ly/Rev21:22-Rev21:26" TargetMode="External"/><Relationship Id="rId14996" Type="http://schemas.openxmlformats.org/officeDocument/2006/relationships/hyperlink" Target="https://ref.ly/Deut26:5" TargetMode="External"/><Relationship Id="rId14997" Type="http://schemas.openxmlformats.org/officeDocument/2006/relationships/hyperlink" Target="https://ref.ly/Exod12:38" TargetMode="External"/><Relationship Id="rId14998" Type="http://schemas.openxmlformats.org/officeDocument/2006/relationships/hyperlink" Target="https://ref.ly/Num20:21" TargetMode="External"/><Relationship Id="rId14999" Type="http://schemas.openxmlformats.org/officeDocument/2006/relationships/hyperlink" Target="https://ref.ly/Gen15:16-Gen15:20" TargetMode="External"/><Relationship Id="rId15000" Type="http://schemas.openxmlformats.org/officeDocument/2006/relationships/hyperlink" Target="https://ref.ly/Lev20:6" TargetMode="External"/><Relationship Id="rId15001" Type="http://schemas.openxmlformats.org/officeDocument/2006/relationships/hyperlink" Target="https://ref.ly/Lev20:1-Lev20:5" TargetMode="External"/><Relationship Id="rId15002" Type="http://schemas.openxmlformats.org/officeDocument/2006/relationships/hyperlink" Target="https://ref.ly/2Kgs17:29-2Kgs17:34" TargetMode="External"/><Relationship Id="rId15003" Type="http://schemas.openxmlformats.org/officeDocument/2006/relationships/hyperlink" Target="https://ref.ly/Isa44:12-Isa44:20" TargetMode="External"/><Relationship Id="rId15004" Type="http://schemas.openxmlformats.org/officeDocument/2006/relationships/hyperlink" Target="https://ref.ly/Exod34:24" TargetMode="External"/><Relationship Id="rId15005" Type="http://schemas.openxmlformats.org/officeDocument/2006/relationships/hyperlink" Target="https://ref.ly/Deut12:29-Deut12:31" TargetMode="External"/><Relationship Id="rId15006" Type="http://schemas.openxmlformats.org/officeDocument/2006/relationships/hyperlink" Target="https://ref.ly/Jer46:1-Jer51:64" TargetMode="External"/><Relationship Id="rId15007" Type="http://schemas.openxmlformats.org/officeDocument/2006/relationships/hyperlink" Target="https://ref.ly/Ps66:1-Ps66:8" TargetMode="External"/><Relationship Id="rId15008" Type="http://schemas.openxmlformats.org/officeDocument/2006/relationships/hyperlink" Target="https://ref.ly/Ps67:7" TargetMode="External"/><Relationship Id="rId15009" Type="http://schemas.openxmlformats.org/officeDocument/2006/relationships/hyperlink" Target="https://ref.ly/Isa56:6-Isa56:8" TargetMode="External"/><Relationship Id="rId15010" Type="http://schemas.openxmlformats.org/officeDocument/2006/relationships/hyperlink" Target="https://ref.ly/Matt4:15-Matt4:16" TargetMode="External"/><Relationship Id="rId15011" Type="http://schemas.openxmlformats.org/officeDocument/2006/relationships/hyperlink" Target="https://ref.ly/Acts4:27" TargetMode="External"/><Relationship Id="rId15012" Type="http://schemas.openxmlformats.org/officeDocument/2006/relationships/hyperlink" Target="https://ref.ly/Acts11:1-Acts11:8" TargetMode="External"/><Relationship Id="rId15013" Type="http://schemas.openxmlformats.org/officeDocument/2006/relationships/hyperlink" Target="https://ref.ly/Acts15:1-Acts15:29" TargetMode="External"/><Relationship Id="rId15014" Type="http://schemas.openxmlformats.org/officeDocument/2006/relationships/hyperlink" Target="https://ref.ly/Num3:2" TargetMode="External"/><Relationship Id="rId15015" Type="http://schemas.openxmlformats.org/officeDocument/2006/relationships/hyperlink" Target="https://ref.ly/1Chr24:1" TargetMode="External"/><Relationship Id="rId15016" Type="http://schemas.openxmlformats.org/officeDocument/2006/relationships/hyperlink" Target="https://ref.ly/Exod24:1,Exod24:9" TargetMode="External"/><Relationship Id="rId15017" Type="http://schemas.openxmlformats.org/officeDocument/2006/relationships/hyperlink" Target="https://ref.ly/Num3:4" TargetMode="External"/><Relationship Id="rId15018" Type="http://schemas.openxmlformats.org/officeDocument/2006/relationships/hyperlink" Target="https://ref.ly/Lev10:3-Lev10:7" TargetMode="External"/><Relationship Id="rId15019" Type="http://schemas.openxmlformats.org/officeDocument/2006/relationships/hyperlink" Target="https://ref.ly/1Kgs15:25" TargetMode="External"/><Relationship Id="rId15020" Type="http://schemas.openxmlformats.org/officeDocument/2006/relationships/hyperlink" Target="https://ref.ly/1Kgs15:28" TargetMode="External"/><Relationship Id="rId15021" Type="http://schemas.openxmlformats.org/officeDocument/2006/relationships/hyperlink" Target="https://ref.ly/1Kgs15:29" TargetMode="External"/><Relationship Id="rId15022" Type="http://schemas.openxmlformats.org/officeDocument/2006/relationships/hyperlink" Target="https://ref.ly/1Chr2:26-1Chr2:30" TargetMode="External"/><Relationship Id="rId15023" Type="http://schemas.openxmlformats.org/officeDocument/2006/relationships/hyperlink" Target="https://ref.ly/1Chr8:30" TargetMode="External"/><Relationship Id="rId15024" Type="http://schemas.openxmlformats.org/officeDocument/2006/relationships/hyperlink" Target="https://ref.ly/1Chr9:36" TargetMode="External"/><Relationship Id="rId15025" Type="http://schemas.openxmlformats.org/officeDocument/2006/relationships/hyperlink" Target="https://ref.ly/Gen30:8" TargetMode="External"/><Relationship Id="rId15026" Type="http://schemas.openxmlformats.org/officeDocument/2006/relationships/hyperlink" Target="https://ref.ly/Num26:50" TargetMode="External"/><Relationship Id="rId15027" Type="http://schemas.openxmlformats.org/officeDocument/2006/relationships/hyperlink" Target="https://ref.ly/Num1:43" TargetMode="External"/><Relationship Id="rId15028" Type="http://schemas.openxmlformats.org/officeDocument/2006/relationships/hyperlink" Target="https://ref.ly/Num7:28" TargetMode="External"/><Relationship Id="rId15029" Type="http://schemas.openxmlformats.org/officeDocument/2006/relationships/hyperlink" Target="https://ref.ly/Num1:42-Num1:43" TargetMode="External"/><Relationship Id="rId15030" Type="http://schemas.openxmlformats.org/officeDocument/2006/relationships/hyperlink" Target="https://ref.ly/Deut33:23" TargetMode="External"/><Relationship Id="rId15031" Type="http://schemas.openxmlformats.org/officeDocument/2006/relationships/hyperlink" Target="https://ref.ly/Josh19:34" TargetMode="External"/><Relationship Id="rId15032" Type="http://schemas.openxmlformats.org/officeDocument/2006/relationships/hyperlink" Target="https://ref.ly/1Chr6:62" TargetMode="External"/><Relationship Id="rId15033" Type="http://schemas.openxmlformats.org/officeDocument/2006/relationships/hyperlink" Target="https://ref.ly/Judg1:33" TargetMode="External"/><Relationship Id="rId15034" Type="http://schemas.openxmlformats.org/officeDocument/2006/relationships/hyperlink" Target="https://ref.ly/1Chr12:34" TargetMode="External"/><Relationship Id="rId15035" Type="http://schemas.openxmlformats.org/officeDocument/2006/relationships/hyperlink" Target="https://ref.ly/1Kgs15:16-1Kgs15:24" TargetMode="External"/><Relationship Id="rId15036" Type="http://schemas.openxmlformats.org/officeDocument/2006/relationships/hyperlink" Target="https://ref.ly/Matt4:13-Matt4:15" TargetMode="External"/><Relationship Id="rId15037" Type="http://schemas.openxmlformats.org/officeDocument/2006/relationships/hyperlink" Target="https://ref.ly/Gen11:22-Gen11:25" TargetMode="External"/><Relationship Id="rId15038" Type="http://schemas.openxmlformats.org/officeDocument/2006/relationships/hyperlink" Target="https://ref.ly/1Chr1:26" TargetMode="External"/><Relationship Id="rId15039" Type="http://schemas.openxmlformats.org/officeDocument/2006/relationships/hyperlink" Target="https://ref.ly/Luke3:34" TargetMode="External"/><Relationship Id="rId15040" Type="http://schemas.openxmlformats.org/officeDocument/2006/relationships/hyperlink" Target="https://ref.ly/Gen11:26-Gen11:29" TargetMode="External"/><Relationship Id="rId15041" Type="http://schemas.openxmlformats.org/officeDocument/2006/relationships/hyperlink" Target="https://ref.ly/Gen24:1-Gen24:51" TargetMode="External"/><Relationship Id="rId15042" Type="http://schemas.openxmlformats.org/officeDocument/2006/relationships/hyperlink" Target="https://ref.ly/Gen29:5" TargetMode="External"/><Relationship Id="rId15043" Type="http://schemas.openxmlformats.org/officeDocument/2006/relationships/hyperlink" Target="https://ref.ly/1Chr2:10-1Chr2:11" TargetMode="External"/><Relationship Id="rId15044" Type="http://schemas.openxmlformats.org/officeDocument/2006/relationships/hyperlink" Target="https://ref.ly/Num7:12" TargetMode="External"/><Relationship Id="rId15045" Type="http://schemas.openxmlformats.org/officeDocument/2006/relationships/hyperlink" Target="https://ref.ly/Ruth4:20" TargetMode="External"/><Relationship Id="rId15046" Type="http://schemas.openxmlformats.org/officeDocument/2006/relationships/hyperlink" Target="https://ref.ly/John1:45-John1:46" TargetMode="External"/><Relationship Id="rId15047" Type="http://schemas.openxmlformats.org/officeDocument/2006/relationships/hyperlink" Target="https://ref.ly/John9:41" TargetMode="External"/><Relationship Id="rId15048" Type="http://schemas.openxmlformats.org/officeDocument/2006/relationships/hyperlink" Target="https://ref.ly/John1:48" TargetMode="External"/><Relationship Id="rId15049" Type="http://schemas.openxmlformats.org/officeDocument/2006/relationships/hyperlink" Target="https://ref.ly/Gen25:1-Gen32:32" TargetMode="External"/><Relationship Id="rId15050" Type="http://schemas.openxmlformats.org/officeDocument/2006/relationships/hyperlink" Target="https://ref.ly/Rom9:6" TargetMode="External"/><Relationship Id="rId15051" Type="http://schemas.openxmlformats.org/officeDocument/2006/relationships/hyperlink" Target="https://ref.ly/Num1:8" TargetMode="External"/><Relationship Id="rId15052" Type="http://schemas.openxmlformats.org/officeDocument/2006/relationships/hyperlink" Target="https://ref.ly/Num2:5" TargetMode="External"/><Relationship Id="rId15053" Type="http://schemas.openxmlformats.org/officeDocument/2006/relationships/hyperlink" Target="https://ref.ly/Num10:15" TargetMode="External"/><Relationship Id="rId15054" Type="http://schemas.openxmlformats.org/officeDocument/2006/relationships/hyperlink" Target="https://ref.ly/Num7:18,Num7:23" TargetMode="External"/><Relationship Id="rId15055" Type="http://schemas.openxmlformats.org/officeDocument/2006/relationships/hyperlink" Target="https://ref.ly/1Chr2:14" TargetMode="External"/><Relationship Id="rId15056" Type="http://schemas.openxmlformats.org/officeDocument/2006/relationships/hyperlink" Target="https://ref.ly/1Chr26:4" TargetMode="External"/><Relationship Id="rId15057" Type="http://schemas.openxmlformats.org/officeDocument/2006/relationships/hyperlink" Target="https://ref.ly/2Chr17:7" TargetMode="External"/><Relationship Id="rId15058" Type="http://schemas.openxmlformats.org/officeDocument/2006/relationships/hyperlink" Target="https://ref.ly/2Chr35:9" TargetMode="External"/><Relationship Id="rId15059" Type="http://schemas.openxmlformats.org/officeDocument/2006/relationships/hyperlink" Target="https://ref.ly/Neh12:21" TargetMode="External"/><Relationship Id="rId15060" Type="http://schemas.openxmlformats.org/officeDocument/2006/relationships/hyperlink" Target="https://ref.ly/Nah3:8-Nah3:10" TargetMode="External"/><Relationship Id="rId15061" Type="http://schemas.openxmlformats.org/officeDocument/2006/relationships/hyperlink" Target="https://ref.ly/Nah1:13-Nah1:15" TargetMode="External"/><Relationship Id="rId15062" Type="http://schemas.openxmlformats.org/officeDocument/2006/relationships/hyperlink" Target="https://ref.ly/Nah2:2" TargetMode="External"/><Relationship Id="rId15063" Type="http://schemas.openxmlformats.org/officeDocument/2006/relationships/hyperlink" Target="https://ref.ly/2Kgs21:1-2Kgs21:9" TargetMode="External"/><Relationship Id="rId15064" Type="http://schemas.openxmlformats.org/officeDocument/2006/relationships/hyperlink" Target="https://ref.ly/Nah2:13" TargetMode="External"/><Relationship Id="rId15065" Type="http://schemas.openxmlformats.org/officeDocument/2006/relationships/hyperlink" Target="https://ref.ly/Nah3:13" TargetMode="External"/><Relationship Id="rId15066" Type="http://schemas.openxmlformats.org/officeDocument/2006/relationships/hyperlink" Target="https://ref.ly/Nah1:13" TargetMode="External"/><Relationship Id="rId15067" Type="http://schemas.openxmlformats.org/officeDocument/2006/relationships/hyperlink" Target="https://ref.ly/Nah1:3" TargetMode="External"/><Relationship Id="rId15068" Type="http://schemas.openxmlformats.org/officeDocument/2006/relationships/hyperlink" Target="https://ref.ly/Nah1:6" TargetMode="External"/><Relationship Id="rId15069" Type="http://schemas.openxmlformats.org/officeDocument/2006/relationships/hyperlink" Target="https://ref.ly/Nah1:2-Nah1:6" TargetMode="External"/><Relationship Id="rId15070" Type="http://schemas.openxmlformats.org/officeDocument/2006/relationships/hyperlink" Target="https://ref.ly/Nah1:3-Nah1:6" TargetMode="External"/><Relationship Id="rId15071" Type="http://schemas.openxmlformats.org/officeDocument/2006/relationships/hyperlink" Target="https://ref.ly/Nah1:7-Nah1:15" TargetMode="External"/><Relationship Id="rId15072" Type="http://schemas.openxmlformats.org/officeDocument/2006/relationships/hyperlink" Target="https://ref.ly/Nah1:11" TargetMode="External"/><Relationship Id="rId15073" Type="http://schemas.openxmlformats.org/officeDocument/2006/relationships/hyperlink" Target="https://ref.ly/Isa36:14-Isa36:20" TargetMode="External"/><Relationship Id="rId15074" Type="http://schemas.openxmlformats.org/officeDocument/2006/relationships/hyperlink" Target="https://ref.ly/Nah1:12" TargetMode="External"/><Relationship Id="rId15075" Type="http://schemas.openxmlformats.org/officeDocument/2006/relationships/hyperlink" Target="https://ref.ly/Nah2:1-Nah2:13" TargetMode="External"/><Relationship Id="rId15076" Type="http://schemas.openxmlformats.org/officeDocument/2006/relationships/hyperlink" Target="https://ref.ly/Nah2:4" TargetMode="External"/><Relationship Id="rId15077" Type="http://schemas.openxmlformats.org/officeDocument/2006/relationships/hyperlink" Target="https://ref.ly/Nah2:5" TargetMode="External"/><Relationship Id="rId15078" Type="http://schemas.openxmlformats.org/officeDocument/2006/relationships/hyperlink" Target="https://ref.ly/Nah2:6,Nah2:8" TargetMode="External"/><Relationship Id="rId15079" Type="http://schemas.openxmlformats.org/officeDocument/2006/relationships/hyperlink" Target="https://ref.ly/Nah2:8" TargetMode="External"/><Relationship Id="rId15080" Type="http://schemas.openxmlformats.org/officeDocument/2006/relationships/hyperlink" Target="https://ref.ly/Nah2:10" TargetMode="External"/><Relationship Id="rId15081" Type="http://schemas.openxmlformats.org/officeDocument/2006/relationships/hyperlink" Target="https://ref.ly/Nah2:11-Nah2:13" TargetMode="External"/><Relationship Id="rId15082" Type="http://schemas.openxmlformats.org/officeDocument/2006/relationships/hyperlink" Target="https://ref.ly/Nah3:1-Nah3:19" TargetMode="External"/><Relationship Id="rId15083" Type="http://schemas.openxmlformats.org/officeDocument/2006/relationships/hyperlink" Target="https://ref.ly/Nah3:1-Nah3:7" TargetMode="External"/><Relationship Id="rId15084" Type="http://schemas.openxmlformats.org/officeDocument/2006/relationships/hyperlink" Target="https://ref.ly/Nah3:8-Nah3:11" TargetMode="External"/><Relationship Id="rId15085" Type="http://schemas.openxmlformats.org/officeDocument/2006/relationships/hyperlink" Target="https://ref.ly/Nah3:12" TargetMode="External"/><Relationship Id="rId15086" Type="http://schemas.openxmlformats.org/officeDocument/2006/relationships/hyperlink" Target="https://ref.ly/Num8:7" TargetMode="External"/><Relationship Id="rId15087" Type="http://schemas.openxmlformats.org/officeDocument/2006/relationships/hyperlink" Target="https://ref.ly/Ezek5:1" TargetMode="External"/><Relationship Id="rId15088" Type="http://schemas.openxmlformats.org/officeDocument/2006/relationships/hyperlink" Target="https://ref.ly/Num6:5" TargetMode="External"/><Relationship Id="rId15089" Type="http://schemas.openxmlformats.org/officeDocument/2006/relationships/hyperlink" Target="https://ref.ly/1Sam1:11" TargetMode="External"/><Relationship Id="rId15090" Type="http://schemas.openxmlformats.org/officeDocument/2006/relationships/hyperlink" Target="https://ref.ly/Judg16:17" TargetMode="External"/><Relationship Id="rId15091" Type="http://schemas.openxmlformats.org/officeDocument/2006/relationships/hyperlink" Target="https://ref.ly/Ps52:2" TargetMode="External"/><Relationship Id="rId15092" Type="http://schemas.openxmlformats.org/officeDocument/2006/relationships/hyperlink" Target="https://ref.ly/Luke4:29" TargetMode="External"/><Relationship Id="rId15093" Type="http://schemas.openxmlformats.org/officeDocument/2006/relationships/hyperlink" Target="https://ref.ly/Luke1:26-Luke1:27" TargetMode="External"/><Relationship Id="rId15094" Type="http://schemas.openxmlformats.org/officeDocument/2006/relationships/hyperlink" Target="https://ref.ly/Luke2:39-Luke2:40" TargetMode="External"/><Relationship Id="rId15095" Type="http://schemas.openxmlformats.org/officeDocument/2006/relationships/hyperlink" Target="https://ref.ly/Mark1:9" TargetMode="External"/><Relationship Id="rId15096" Type="http://schemas.openxmlformats.org/officeDocument/2006/relationships/hyperlink" Target="https://ref.ly/Mark10:47" TargetMode="External"/><Relationship Id="rId15097" Type="http://schemas.openxmlformats.org/officeDocument/2006/relationships/hyperlink" Target="https://ref.ly/John18:5" TargetMode="External"/><Relationship Id="rId15098" Type="http://schemas.openxmlformats.org/officeDocument/2006/relationships/hyperlink" Target="https://ref.ly/Acts2:22" TargetMode="External"/><Relationship Id="rId15099" Type="http://schemas.openxmlformats.org/officeDocument/2006/relationships/hyperlink" Target="https://ref.ly/Matt13:54-Matt13:58" TargetMode="External"/><Relationship Id="rId15100" Type="http://schemas.openxmlformats.org/officeDocument/2006/relationships/hyperlink" Target="https://ref.ly/Matt27:16-Matt27:17" TargetMode="External"/><Relationship Id="rId15101" Type="http://schemas.openxmlformats.org/officeDocument/2006/relationships/hyperlink" Target="https://ref.ly/Acts7:45" TargetMode="External"/><Relationship Id="rId15102" Type="http://schemas.openxmlformats.org/officeDocument/2006/relationships/hyperlink" Target="https://ref.ly/Heb4:8" TargetMode="External"/><Relationship Id="rId15103" Type="http://schemas.openxmlformats.org/officeDocument/2006/relationships/hyperlink" Target="https://ref.ly/Luke4:34" TargetMode="External"/><Relationship Id="rId15104" Type="http://schemas.openxmlformats.org/officeDocument/2006/relationships/hyperlink" Target="https://ref.ly/Luke18:37" TargetMode="External"/><Relationship Id="rId15105" Type="http://schemas.openxmlformats.org/officeDocument/2006/relationships/hyperlink" Target="https://ref.ly/Mark14:67" TargetMode="External"/><Relationship Id="rId15106" Type="http://schemas.openxmlformats.org/officeDocument/2006/relationships/hyperlink" Target="https://ref.ly/John18:5-John18:7" TargetMode="External"/><Relationship Id="rId15107" Type="http://schemas.openxmlformats.org/officeDocument/2006/relationships/hyperlink" Target="https://ref.ly/John19:19" TargetMode="External"/><Relationship Id="rId15108" Type="http://schemas.openxmlformats.org/officeDocument/2006/relationships/hyperlink" Target="https://ref.ly/Luke24:19" TargetMode="External"/><Relationship Id="rId15109" Type="http://schemas.openxmlformats.org/officeDocument/2006/relationships/hyperlink" Target="https://ref.ly/Mark16:6" TargetMode="External"/><Relationship Id="rId15110" Type="http://schemas.openxmlformats.org/officeDocument/2006/relationships/hyperlink" Target="https://ref.ly/Acts26:9" TargetMode="External"/><Relationship Id="rId15111" Type="http://schemas.openxmlformats.org/officeDocument/2006/relationships/hyperlink" Target="https://ref.ly/Acts6:14" TargetMode="External"/><Relationship Id="rId15112" Type="http://schemas.openxmlformats.org/officeDocument/2006/relationships/hyperlink" Target="https://ref.ly/Matt13:54" TargetMode="External"/><Relationship Id="rId15113" Type="http://schemas.openxmlformats.org/officeDocument/2006/relationships/hyperlink" Target="https://ref.ly/Mark6:2-Mark6:3" TargetMode="External"/><Relationship Id="rId15114" Type="http://schemas.openxmlformats.org/officeDocument/2006/relationships/hyperlink" Target="https://ref.ly/Deut33:16" TargetMode="External"/><Relationship Id="rId15115" Type="http://schemas.openxmlformats.org/officeDocument/2006/relationships/hyperlink" Target="https://ref.ly/Num6:9-Num6:12" TargetMode="External"/><Relationship Id="rId15116" Type="http://schemas.openxmlformats.org/officeDocument/2006/relationships/hyperlink" Target="https://ref.ly/Num6:13-Num6:21" TargetMode="External"/><Relationship Id="rId15117" Type="http://schemas.openxmlformats.org/officeDocument/2006/relationships/hyperlink" Target="https://ref.ly/Acts21:23-Acts21:24" TargetMode="External"/><Relationship Id="rId15118" Type="http://schemas.openxmlformats.org/officeDocument/2006/relationships/hyperlink" Target="https://ref.ly/1Macc3:49-1Macc3:51" TargetMode="External"/><Relationship Id="rId15119" Type="http://schemas.openxmlformats.org/officeDocument/2006/relationships/hyperlink" Target="https://ref.ly/Acts16:11" TargetMode="External"/><Relationship Id="rId15120" Type="http://schemas.openxmlformats.org/officeDocument/2006/relationships/hyperlink" Target="https://ref.ly/Jer48:1,Jer48:22" TargetMode="External"/><Relationship Id="rId15121" Type="http://schemas.openxmlformats.org/officeDocument/2006/relationships/hyperlink" Target="https://ref.ly/1Chr3:7" TargetMode="External"/><Relationship Id="rId15122" Type="http://schemas.openxmlformats.org/officeDocument/2006/relationships/hyperlink" Target="https://ref.ly/1Chr14:6" TargetMode="External"/><Relationship Id="rId15123" Type="http://schemas.openxmlformats.org/officeDocument/2006/relationships/hyperlink" Target="https://ref.ly/Deut2:21" TargetMode="External"/><Relationship Id="rId15124" Type="http://schemas.openxmlformats.org/officeDocument/2006/relationships/hyperlink" Target="https://ref.ly/Luke20:34-Luke20:35" TargetMode="External"/><Relationship Id="rId15125" Type="http://schemas.openxmlformats.org/officeDocument/2006/relationships/hyperlink" Target="https://ref.ly/Gen12:9" TargetMode="External"/><Relationship Id="rId15126" Type="http://schemas.openxmlformats.org/officeDocument/2006/relationships/hyperlink" Target="https://ref.ly/Gen13:1-Gen13:2" TargetMode="External"/><Relationship Id="rId15127" Type="http://schemas.openxmlformats.org/officeDocument/2006/relationships/hyperlink" Target="https://ref.ly/Gen20:1" TargetMode="External"/><Relationship Id="rId15128" Type="http://schemas.openxmlformats.org/officeDocument/2006/relationships/hyperlink" Target="https://ref.ly/1Sam27:10" TargetMode="External"/><Relationship Id="rId15129" Type="http://schemas.openxmlformats.org/officeDocument/2006/relationships/hyperlink" Target="https://ref.ly/1Chr9:2" TargetMode="External"/><Relationship Id="rId15130" Type="http://schemas.openxmlformats.org/officeDocument/2006/relationships/hyperlink" Target="https://ref.ly/Neh7:73" TargetMode="External"/><Relationship Id="rId15131" Type="http://schemas.openxmlformats.org/officeDocument/2006/relationships/hyperlink" Target="https://ref.ly/Neh11:3,Neh11:20-Neh11:21" TargetMode="External"/><Relationship Id="rId15132" Type="http://schemas.openxmlformats.org/officeDocument/2006/relationships/hyperlink" Target="https://ref.ly/Ezra2:43,Ezra2:58" TargetMode="External"/><Relationship Id="rId15133" Type="http://schemas.openxmlformats.org/officeDocument/2006/relationships/hyperlink" Target="https://ref.ly/Ezra7:7,Ezra7:24" TargetMode="External"/><Relationship Id="rId15134" Type="http://schemas.openxmlformats.org/officeDocument/2006/relationships/hyperlink" Target="https://ref.ly/Ezra8:17,Ezra8:20" TargetMode="External"/><Relationship Id="rId15135" Type="http://schemas.openxmlformats.org/officeDocument/2006/relationships/hyperlink" Target="https://ref.ly/Neh7:46,Neh7:60" TargetMode="External"/><Relationship Id="rId15136" Type="http://schemas.openxmlformats.org/officeDocument/2006/relationships/hyperlink" Target="https://ref.ly/Neh11:21" TargetMode="External"/><Relationship Id="rId15137" Type="http://schemas.openxmlformats.org/officeDocument/2006/relationships/hyperlink" Target="https://ref.ly/Neh3:26" TargetMode="External"/><Relationship Id="rId15138" Type="http://schemas.openxmlformats.org/officeDocument/2006/relationships/hyperlink" Target="https://ref.ly/Josh9:9-Josh9:27" TargetMode="External"/><Relationship Id="rId15139" Type="http://schemas.openxmlformats.org/officeDocument/2006/relationships/hyperlink" Target="https://ref.ly/Neh10:28" TargetMode="External"/><Relationship Id="rId15140" Type="http://schemas.openxmlformats.org/officeDocument/2006/relationships/hyperlink" Target="https://ref.ly/2Macc8:9" TargetMode="External"/><Relationship Id="rId15141" Type="http://schemas.openxmlformats.org/officeDocument/2006/relationships/hyperlink" Target="https://ref.ly/1Macc3:38-1Macc3:59" TargetMode="External"/><Relationship Id="rId15142" Type="http://schemas.openxmlformats.org/officeDocument/2006/relationships/hyperlink" Target="https://ref.ly/2Macc15:35" TargetMode="External"/><Relationship Id="rId15143" Type="http://schemas.openxmlformats.org/officeDocument/2006/relationships/hyperlink" Target="https://ref.ly/Rev2:6" TargetMode="External"/><Relationship Id="rId15144" Type="http://schemas.openxmlformats.org/officeDocument/2006/relationships/hyperlink" Target="https://ref.ly/Rev2:15" TargetMode="External"/><Relationship Id="rId15145" Type="http://schemas.openxmlformats.org/officeDocument/2006/relationships/hyperlink" Target="https://ref.ly/Rev2:20" TargetMode="External"/><Relationship Id="rId15146" Type="http://schemas.openxmlformats.org/officeDocument/2006/relationships/hyperlink" Target="https://ref.ly/Num25:1-Num25:2" TargetMode="External"/><Relationship Id="rId15147" Type="http://schemas.openxmlformats.org/officeDocument/2006/relationships/hyperlink" Target="https://ref.ly/Rev2:24" TargetMode="External"/><Relationship Id="rId15148" Type="http://schemas.openxmlformats.org/officeDocument/2006/relationships/hyperlink" Target="https://ref.ly/Rev2:14-Rev2:15" TargetMode="External"/><Relationship Id="rId15149" Type="http://schemas.openxmlformats.org/officeDocument/2006/relationships/hyperlink" Target="https://ref.ly/Acts6:1-Acts6:4" TargetMode="External"/><Relationship Id="rId15150" Type="http://schemas.openxmlformats.org/officeDocument/2006/relationships/hyperlink" Target="https://ref.ly/Num32:14" TargetMode="External"/><Relationship Id="rId15151" Type="http://schemas.openxmlformats.org/officeDocument/2006/relationships/hyperlink" Target="https://ref.ly/Luke3:7" TargetMode="External"/><Relationship Id="rId15152" Type="http://schemas.openxmlformats.org/officeDocument/2006/relationships/hyperlink" Target="https://ref.ly/2Kgs14:1-2Kgs16:20" TargetMode="External"/><Relationship Id="rId15153" Type="http://schemas.openxmlformats.org/officeDocument/2006/relationships/hyperlink" Target="https://ref.ly/2Kgs19:36" TargetMode="External"/><Relationship Id="rId15154" Type="http://schemas.openxmlformats.org/officeDocument/2006/relationships/hyperlink" Target="https://ref.ly/2Chr32:21" TargetMode="External"/><Relationship Id="rId15155" Type="http://schemas.openxmlformats.org/officeDocument/2006/relationships/hyperlink" Target="https://ref.ly/Jonah1:2" TargetMode="External"/><Relationship Id="rId15156" Type="http://schemas.openxmlformats.org/officeDocument/2006/relationships/hyperlink" Target="https://ref.ly/Jonah3:2" TargetMode="External"/><Relationship Id="rId15157" Type="http://schemas.openxmlformats.org/officeDocument/2006/relationships/hyperlink" Target="https://ref.ly/Jonah3:6-Jonah3:10" TargetMode="External"/><Relationship Id="rId15158" Type="http://schemas.openxmlformats.org/officeDocument/2006/relationships/hyperlink" Target="https://ref.ly/Zeph2:13-Zeph2:15" TargetMode="External"/><Relationship Id="rId15159" Type="http://schemas.openxmlformats.org/officeDocument/2006/relationships/hyperlink" Target="https://ref.ly/Matt12:38-Matt12:40" TargetMode="External"/><Relationship Id="rId15160" Type="http://schemas.openxmlformats.org/officeDocument/2006/relationships/hyperlink" Target="https://ref.ly/Luke11:29-Luke11:31" TargetMode="External"/><Relationship Id="rId15161" Type="http://schemas.openxmlformats.org/officeDocument/2006/relationships/hyperlink" Target="https://ref.ly/Matt12:41" TargetMode="External"/><Relationship Id="rId15162" Type="http://schemas.openxmlformats.org/officeDocument/2006/relationships/hyperlink" Target="https://ref.ly/1Chr1:10" TargetMode="External"/><Relationship Id="rId15163" Type="http://schemas.openxmlformats.org/officeDocument/2006/relationships/hyperlink" Target="https://ref.ly/Gen10:8-Gen10:9" TargetMode="External"/><Relationship Id="rId15164" Type="http://schemas.openxmlformats.org/officeDocument/2006/relationships/hyperlink" Target="https://ref.ly/Mic5:6" TargetMode="External"/><Relationship Id="rId15165" Type="http://schemas.openxmlformats.org/officeDocument/2006/relationships/hyperlink" Target="https://ref.ly/1Sam22:13-1Sam22:20" TargetMode="External"/><Relationship Id="rId15166" Type="http://schemas.openxmlformats.org/officeDocument/2006/relationships/hyperlink" Target="https://ref.ly/1Sam21:2-1Sam21:7" TargetMode="External"/><Relationship Id="rId15167" Type="http://schemas.openxmlformats.org/officeDocument/2006/relationships/hyperlink" Target="https://ref.ly/Exod37:10-Exod37:16" TargetMode="External"/><Relationship Id="rId15168" Type="http://schemas.openxmlformats.org/officeDocument/2006/relationships/hyperlink" Target="https://ref.ly/Mark2:23-Mark2:28" TargetMode="External"/><Relationship Id="rId15169" Type="http://schemas.openxmlformats.org/officeDocument/2006/relationships/hyperlink" Target="https://ref.ly/2Sam15:32" TargetMode="External"/><Relationship Id="rId15170" Type="http://schemas.openxmlformats.org/officeDocument/2006/relationships/hyperlink" Target="https://ref.ly/Gen25:13-Gen25:15" TargetMode="External"/><Relationship Id="rId15171" Type="http://schemas.openxmlformats.org/officeDocument/2006/relationships/hyperlink" Target="https://ref.ly/Gen4:16" TargetMode="External"/><Relationship Id="rId15172" Type="http://schemas.openxmlformats.org/officeDocument/2006/relationships/hyperlink" Target="https://ref.ly/Gen5:3-Gen5:20" TargetMode="External"/><Relationship Id="rId15173" Type="http://schemas.openxmlformats.org/officeDocument/2006/relationships/hyperlink" Target="https://ref.ly/Matt24:37-Matt24:39" TargetMode="External"/><Relationship Id="rId15174" Type="http://schemas.openxmlformats.org/officeDocument/2006/relationships/hyperlink" Target="https://ref.ly/Luke17:26-Luke17:27" TargetMode="External"/><Relationship Id="rId15175" Type="http://schemas.openxmlformats.org/officeDocument/2006/relationships/hyperlink" Target="https://ref.ly/Gen6:3-Gen6:9" TargetMode="External"/><Relationship Id="rId15176" Type="http://schemas.openxmlformats.org/officeDocument/2006/relationships/hyperlink" Target="https://ref.ly/Gen6:14-Gen8:19" TargetMode="External"/><Relationship Id="rId15177" Type="http://schemas.openxmlformats.org/officeDocument/2006/relationships/hyperlink" Target="https://ref.ly/Gen8:20-Gen9:17" TargetMode="External"/><Relationship Id="rId15178" Type="http://schemas.openxmlformats.org/officeDocument/2006/relationships/hyperlink" Target="https://ref.ly/Gen9:20-Gen9:27" TargetMode="External"/><Relationship Id="rId15179" Type="http://schemas.openxmlformats.org/officeDocument/2006/relationships/hyperlink" Target="https://ref.ly/Ezek14:12-Ezek14:14,Ezek14:19-Ezek14:20" TargetMode="External"/><Relationship Id="rId15180" Type="http://schemas.openxmlformats.org/officeDocument/2006/relationships/hyperlink" Target="https://ref.ly/Ezek14:12-Ezek14:14" TargetMode="External"/><Relationship Id="rId15181" Type="http://schemas.openxmlformats.org/officeDocument/2006/relationships/hyperlink" Target="https://ref.ly/Matt2:14" TargetMode="External"/><Relationship Id="rId15182" Type="http://schemas.openxmlformats.org/officeDocument/2006/relationships/hyperlink" Target="https://ref.ly/John3:2" TargetMode="External"/><Relationship Id="rId15183" Type="http://schemas.openxmlformats.org/officeDocument/2006/relationships/hyperlink" Target="https://ref.ly/Gen1:5" TargetMode="External"/><Relationship Id="rId15184" Type="http://schemas.openxmlformats.org/officeDocument/2006/relationships/hyperlink" Target="https://ref.ly/Gen1:16-Gen1:18" TargetMode="External"/><Relationship Id="rId15185" Type="http://schemas.openxmlformats.org/officeDocument/2006/relationships/hyperlink" Target="https://ref.ly/Judg7:19" TargetMode="External"/><Relationship Id="rId15186" Type="http://schemas.openxmlformats.org/officeDocument/2006/relationships/hyperlink" Target="https://ref.ly/Mark13:35" TargetMode="External"/><Relationship Id="rId15187" Type="http://schemas.openxmlformats.org/officeDocument/2006/relationships/hyperlink" Target="https://ref.ly/Matt14:25" TargetMode="External"/><Relationship Id="rId15188" Type="http://schemas.openxmlformats.org/officeDocument/2006/relationships/hyperlink" Target="https://ref.ly/Mark5:5" TargetMode="External"/><Relationship Id="rId15189" Type="http://schemas.openxmlformats.org/officeDocument/2006/relationships/hyperlink" Target="https://ref.ly/1Thess3:10" TargetMode="External"/><Relationship Id="rId15190" Type="http://schemas.openxmlformats.org/officeDocument/2006/relationships/hyperlink" Target="https://ref.ly/Rom13:12" TargetMode="External"/><Relationship Id="rId15191" Type="http://schemas.openxmlformats.org/officeDocument/2006/relationships/hyperlink" Target="https://ref.ly/Gen2:19-Gen2:20" TargetMode="External"/><Relationship Id="rId15192" Type="http://schemas.openxmlformats.org/officeDocument/2006/relationships/hyperlink" Target="https://ref.ly/Isa44:8" TargetMode="External"/><Relationship Id="rId15193" Type="http://schemas.openxmlformats.org/officeDocument/2006/relationships/hyperlink" Target="https://ref.ly/2Sam22:32" TargetMode="External"/><Relationship Id="rId15194" Type="http://schemas.openxmlformats.org/officeDocument/2006/relationships/hyperlink" Target="https://ref.ly/Deut32:15-Deut32:17" TargetMode="External"/><Relationship Id="rId15195" Type="http://schemas.openxmlformats.org/officeDocument/2006/relationships/hyperlink" Target="https://ref.ly/Gen14:18-Gen14:22" TargetMode="External"/><Relationship Id="rId15196" Type="http://schemas.openxmlformats.org/officeDocument/2006/relationships/hyperlink" Target="https://ref.ly/Num24:16" TargetMode="External"/><Relationship Id="rId15197" Type="http://schemas.openxmlformats.org/officeDocument/2006/relationships/hyperlink" Target="https://ref.ly/Ps83:18" TargetMode="External"/><Relationship Id="rId15198" Type="http://schemas.openxmlformats.org/officeDocument/2006/relationships/hyperlink" Target="https://ref.ly/Isa14:14" TargetMode="External"/><Relationship Id="rId15199" Type="http://schemas.openxmlformats.org/officeDocument/2006/relationships/hyperlink" Target="https://ref.ly/Gen28:3" TargetMode="External"/><Relationship Id="rId15200" Type="http://schemas.openxmlformats.org/officeDocument/2006/relationships/hyperlink" Target="https://ref.ly/Gen43:14" TargetMode="External"/><Relationship Id="rId15201" Type="http://schemas.openxmlformats.org/officeDocument/2006/relationships/hyperlink" Target="https://ref.ly/Gen48:3" TargetMode="External"/><Relationship Id="rId15202" Type="http://schemas.openxmlformats.org/officeDocument/2006/relationships/hyperlink" Target="https://ref.ly/Exod6:3" TargetMode="External"/><Relationship Id="rId15203" Type="http://schemas.openxmlformats.org/officeDocument/2006/relationships/hyperlink" Target="https://ref.ly/Ezek10:5" TargetMode="External"/><Relationship Id="rId15204" Type="http://schemas.openxmlformats.org/officeDocument/2006/relationships/hyperlink" Target="https://ref.ly/Job30:1-Job30:31" TargetMode="External"/><Relationship Id="rId15205" Type="http://schemas.openxmlformats.org/officeDocument/2006/relationships/hyperlink" Target="https://ref.ly/Ruth1:21" TargetMode="External"/><Relationship Id="rId15206" Type="http://schemas.openxmlformats.org/officeDocument/2006/relationships/hyperlink" Target="https://ref.ly/Isa13:6" TargetMode="External"/><Relationship Id="rId15207" Type="http://schemas.openxmlformats.org/officeDocument/2006/relationships/hyperlink" Target="https://ref.ly/Ezek1:24" TargetMode="External"/><Relationship Id="rId15208" Type="http://schemas.openxmlformats.org/officeDocument/2006/relationships/hyperlink" Target="https://ref.ly/Ps106:37" TargetMode="External"/><Relationship Id="rId15209" Type="http://schemas.openxmlformats.org/officeDocument/2006/relationships/hyperlink" Target="https://ref.ly/Ps90:2" TargetMode="External"/><Relationship Id="rId15210" Type="http://schemas.openxmlformats.org/officeDocument/2006/relationships/hyperlink" Target="https://ref.ly/Jer10:10" TargetMode="External"/><Relationship Id="rId15211" Type="http://schemas.openxmlformats.org/officeDocument/2006/relationships/hyperlink" Target="https://ref.ly/Ps45:4" TargetMode="External"/><Relationship Id="rId15212" Type="http://schemas.openxmlformats.org/officeDocument/2006/relationships/hyperlink" Target="https://ref.ly/Ps139:1-Ps139:2" TargetMode="External"/><Relationship Id="rId15213" Type="http://schemas.openxmlformats.org/officeDocument/2006/relationships/hyperlink" Target="https://ref.ly/Ps33:18" TargetMode="External"/><Relationship Id="rId15214" Type="http://schemas.openxmlformats.org/officeDocument/2006/relationships/hyperlink" Target="https://ref.ly/Ps68:4" TargetMode="External"/><Relationship Id="rId15215" Type="http://schemas.openxmlformats.org/officeDocument/2006/relationships/hyperlink" Target="https://ref.ly/Isa12:2" TargetMode="External"/><Relationship Id="rId15216" Type="http://schemas.openxmlformats.org/officeDocument/2006/relationships/hyperlink" Target="https://ref.ly/Amos6:10" TargetMode="External"/><Relationship Id="rId15217" Type="http://schemas.openxmlformats.org/officeDocument/2006/relationships/hyperlink" Target="https://ref.ly/Exod6:2-Exod6:3" TargetMode="External"/><Relationship Id="rId15218" Type="http://schemas.openxmlformats.org/officeDocument/2006/relationships/hyperlink" Target="https://ref.ly/Exod34:5-Exod34:6" TargetMode="External"/><Relationship Id="rId15219" Type="http://schemas.openxmlformats.org/officeDocument/2006/relationships/hyperlink" Target="https://ref.ly/Gen49:18" TargetMode="External"/><Relationship Id="rId15220" Type="http://schemas.openxmlformats.org/officeDocument/2006/relationships/hyperlink" Target="https://ref.ly/Num10:14-Num10:28" TargetMode="External"/><Relationship Id="rId15221" Type="http://schemas.openxmlformats.org/officeDocument/2006/relationships/hyperlink" Target="https://ref.ly/Num8:24" TargetMode="External"/><Relationship Id="rId15222" Type="http://schemas.openxmlformats.org/officeDocument/2006/relationships/hyperlink" Target="https://ref.ly/1Sam12:9" TargetMode="External"/><Relationship Id="rId15223" Type="http://schemas.openxmlformats.org/officeDocument/2006/relationships/hyperlink" Target="https://ref.ly/1Sam14:50" TargetMode="External"/><Relationship Id="rId15224" Type="http://schemas.openxmlformats.org/officeDocument/2006/relationships/hyperlink" Target="https://ref.ly/2Sam2:8" TargetMode="External"/><Relationship Id="rId15225" Type="http://schemas.openxmlformats.org/officeDocument/2006/relationships/hyperlink" Target="https://ref.ly/2Sam8:16" TargetMode="External"/><Relationship Id="rId15226" Type="http://schemas.openxmlformats.org/officeDocument/2006/relationships/hyperlink" Target="https://ref.ly/2Sam10:16" TargetMode="External"/><Relationship Id="rId15227" Type="http://schemas.openxmlformats.org/officeDocument/2006/relationships/hyperlink" Target="https://ref.ly/2Sam6:18" TargetMode="External"/><Relationship Id="rId15228" Type="http://schemas.openxmlformats.org/officeDocument/2006/relationships/hyperlink" Target="https://ref.ly/Jer6:14" TargetMode="External"/><Relationship Id="rId15229" Type="http://schemas.openxmlformats.org/officeDocument/2006/relationships/hyperlink" Target="https://ref.ly/Ps23:1" TargetMode="External"/><Relationship Id="rId15230" Type="http://schemas.openxmlformats.org/officeDocument/2006/relationships/hyperlink" Target="https://ref.ly/Ezek34:15" TargetMode="External"/><Relationship Id="rId15231" Type="http://schemas.openxmlformats.org/officeDocument/2006/relationships/hyperlink" Target="https://ref.ly/Gen22:14" TargetMode="External"/><Relationship Id="rId15232" Type="http://schemas.openxmlformats.org/officeDocument/2006/relationships/hyperlink" Target="https://ref.ly/Lev22:9" TargetMode="External"/><Relationship Id="rId15233" Type="http://schemas.openxmlformats.org/officeDocument/2006/relationships/hyperlink" Target="https://ref.ly/Gen8:1-Gen8:22" TargetMode="External"/><Relationship Id="rId15234" Type="http://schemas.openxmlformats.org/officeDocument/2006/relationships/hyperlink" Target="https://ref.ly/Ps16:2" TargetMode="External"/><Relationship Id="rId15235" Type="http://schemas.openxmlformats.org/officeDocument/2006/relationships/hyperlink" Target="https://ref.ly/Ps57:9-Ps57:10" TargetMode="External"/><Relationship Id="rId15236" Type="http://schemas.openxmlformats.org/officeDocument/2006/relationships/hyperlink" Target="https://ref.ly/Judg5:3" TargetMode="External"/><Relationship Id="rId15237" Type="http://schemas.openxmlformats.org/officeDocument/2006/relationships/hyperlink" Target="https://ref.ly/Isa17:6" TargetMode="External"/><Relationship Id="rId15238" Type="http://schemas.openxmlformats.org/officeDocument/2006/relationships/hyperlink" Target="https://ref.ly/Isa43:14" TargetMode="External"/><Relationship Id="rId15239" Type="http://schemas.openxmlformats.org/officeDocument/2006/relationships/hyperlink" Target="https://ref.ly/Gen49:24" TargetMode="External"/><Relationship Id="rId15240" Type="http://schemas.openxmlformats.org/officeDocument/2006/relationships/hyperlink" Target="https://ref.ly/Ps132:2" TargetMode="External"/><Relationship Id="rId15241" Type="http://schemas.openxmlformats.org/officeDocument/2006/relationships/hyperlink" Target="https://ref.ly/Isa49:26" TargetMode="External"/><Relationship Id="rId15242" Type="http://schemas.openxmlformats.org/officeDocument/2006/relationships/hyperlink" Target="https://ref.ly/Job38:28" TargetMode="External"/><Relationship Id="rId15243" Type="http://schemas.openxmlformats.org/officeDocument/2006/relationships/hyperlink" Target="https://ref.ly/Ps68:5" TargetMode="External"/><Relationship Id="rId15244" Type="http://schemas.openxmlformats.org/officeDocument/2006/relationships/hyperlink" Target="https://ref.ly/Ps89:26" TargetMode="External"/><Relationship Id="rId15245" Type="http://schemas.openxmlformats.org/officeDocument/2006/relationships/hyperlink" Target="https://ref.ly/Isa63:16" TargetMode="External"/><Relationship Id="rId15246" Type="http://schemas.openxmlformats.org/officeDocument/2006/relationships/hyperlink" Target="https://ref.ly/Isa64:8" TargetMode="External"/><Relationship Id="rId15247" Type="http://schemas.openxmlformats.org/officeDocument/2006/relationships/hyperlink" Target="https://ref.ly/Jer3:4" TargetMode="External"/><Relationship Id="rId15248" Type="http://schemas.openxmlformats.org/officeDocument/2006/relationships/hyperlink" Target="https://ref.ly/Num11:17" TargetMode="External"/><Relationship Id="rId15249" Type="http://schemas.openxmlformats.org/officeDocument/2006/relationships/hyperlink" Target="https://ref.ly/Num27:18" TargetMode="External"/><Relationship Id="rId15250" Type="http://schemas.openxmlformats.org/officeDocument/2006/relationships/hyperlink" Target="https://ref.ly/Exod35:31" TargetMode="External"/><Relationship Id="rId15251" Type="http://schemas.openxmlformats.org/officeDocument/2006/relationships/hyperlink" Target="https://ref.ly/1Sam10:6" TargetMode="External"/><Relationship Id="rId15252" Type="http://schemas.openxmlformats.org/officeDocument/2006/relationships/hyperlink" Target="https://ref.ly/2Sam23:2" TargetMode="External"/><Relationship Id="rId15253" Type="http://schemas.openxmlformats.org/officeDocument/2006/relationships/hyperlink" Target="https://ref.ly/2Chr15:1" TargetMode="External"/><Relationship Id="rId15254" Type="http://schemas.openxmlformats.org/officeDocument/2006/relationships/hyperlink" Target="https://ref.ly/Rev16:7" TargetMode="External"/><Relationship Id="rId15255" Type="http://schemas.openxmlformats.org/officeDocument/2006/relationships/hyperlink" Target="https://ref.ly/Luke2:29" TargetMode="External"/><Relationship Id="rId15256" Type="http://schemas.openxmlformats.org/officeDocument/2006/relationships/hyperlink" Target="https://ref.ly/2Tim2:21" TargetMode="External"/><Relationship Id="rId15257" Type="http://schemas.openxmlformats.org/officeDocument/2006/relationships/hyperlink" Target="https://ref.ly/Gen27:36" TargetMode="External"/><Relationship Id="rId15258" Type="http://schemas.openxmlformats.org/officeDocument/2006/relationships/hyperlink" Target="https://ref.ly/1Sam7:5-1Sam7:9" TargetMode="External"/><Relationship Id="rId15259" Type="http://schemas.openxmlformats.org/officeDocument/2006/relationships/hyperlink" Target="https://ref.ly/1Sam8:6" TargetMode="External"/><Relationship Id="rId15260" Type="http://schemas.openxmlformats.org/officeDocument/2006/relationships/hyperlink" Target="https://ref.ly/1Sam12:19-1Sam12:23" TargetMode="External"/><Relationship Id="rId15261" Type="http://schemas.openxmlformats.org/officeDocument/2006/relationships/hyperlink" Target="https://ref.ly/Gen21:3-Gen21:6" TargetMode="External"/><Relationship Id="rId15262" Type="http://schemas.openxmlformats.org/officeDocument/2006/relationships/hyperlink" Target="https://ref.ly/1Sam25:25" TargetMode="External"/><Relationship Id="rId15263" Type="http://schemas.openxmlformats.org/officeDocument/2006/relationships/hyperlink" Target="https://ref.ly/Judg8:22-Judg8:23" TargetMode="External"/><Relationship Id="rId15264" Type="http://schemas.openxmlformats.org/officeDocument/2006/relationships/hyperlink" Target="https://ref.ly/Isa8:18" TargetMode="External"/><Relationship Id="rId15265" Type="http://schemas.openxmlformats.org/officeDocument/2006/relationships/hyperlink" Target="https://ref.ly/Isa7:3" TargetMode="External"/><Relationship Id="rId15266" Type="http://schemas.openxmlformats.org/officeDocument/2006/relationships/hyperlink" Target="https://ref.ly/2Sam3:4" TargetMode="External"/><Relationship Id="rId15267" Type="http://schemas.openxmlformats.org/officeDocument/2006/relationships/hyperlink" Target="https://ref.ly/Exod33:12" TargetMode="External"/><Relationship Id="rId15268" Type="http://schemas.openxmlformats.org/officeDocument/2006/relationships/hyperlink" Target="https://ref.ly/2Kgs23:34" TargetMode="External"/><Relationship Id="rId15269" Type="http://schemas.openxmlformats.org/officeDocument/2006/relationships/hyperlink" Target="https://ref.ly/Dan1:6-Dan1:7" TargetMode="External"/><Relationship Id="rId15270" Type="http://schemas.openxmlformats.org/officeDocument/2006/relationships/hyperlink" Target="https://ref.ly/Gen32:27" TargetMode="External"/><Relationship Id="rId15271" Type="http://schemas.openxmlformats.org/officeDocument/2006/relationships/hyperlink" Target="https://ref.ly/Hos12:3-Hos12:4" TargetMode="External"/><Relationship Id="rId15272" Type="http://schemas.openxmlformats.org/officeDocument/2006/relationships/hyperlink" Target="https://ref.ly/Ps33:6-Ps33:11" TargetMode="External"/><Relationship Id="rId15273" Type="http://schemas.openxmlformats.org/officeDocument/2006/relationships/hyperlink" Target="https://ref.ly/Ps104:1-Ps104:35" TargetMode="External"/><Relationship Id="rId15274" Type="http://schemas.openxmlformats.org/officeDocument/2006/relationships/hyperlink" Target="https://ref.ly/Matt6:25-Matt6:32" TargetMode="External"/><Relationship Id="rId15275" Type="http://schemas.openxmlformats.org/officeDocument/2006/relationships/hyperlink" Target="https://ref.ly/Gen1:1-Gen2:25" TargetMode="External"/><Relationship Id="rId15276" Type="http://schemas.openxmlformats.org/officeDocument/2006/relationships/hyperlink" Target="https://ref.ly/Gen3:17-Gen3:18" TargetMode="External"/><Relationship Id="rId15277" Type="http://schemas.openxmlformats.org/officeDocument/2006/relationships/hyperlink" Target="https://ref.ly/Rom8:20-Rom8:21" TargetMode="External"/><Relationship Id="rId15278" Type="http://schemas.openxmlformats.org/officeDocument/2006/relationships/hyperlink" Target="https://ref.ly/Isa40:12-Isa40:31" TargetMode="External"/><Relationship Id="rId15279" Type="http://schemas.openxmlformats.org/officeDocument/2006/relationships/hyperlink" Target="https://ref.ly/Isa44:24" TargetMode="External"/><Relationship Id="rId15280" Type="http://schemas.openxmlformats.org/officeDocument/2006/relationships/hyperlink" Target="https://ref.ly/Isa45:18" TargetMode="External"/><Relationship Id="rId15281" Type="http://schemas.openxmlformats.org/officeDocument/2006/relationships/hyperlink" Target="https://ref.ly/Isa51:16" TargetMode="External"/><Relationship Id="rId15282" Type="http://schemas.openxmlformats.org/officeDocument/2006/relationships/hyperlink" Target="https://ref.ly/Isa66:22" TargetMode="External"/><Relationship Id="rId15283" Type="http://schemas.openxmlformats.org/officeDocument/2006/relationships/hyperlink" Target="https://ref.ly/Isa48:12" TargetMode="External"/><Relationship Id="rId15284" Type="http://schemas.openxmlformats.org/officeDocument/2006/relationships/hyperlink" Target="https://ref.ly/Col1:15-Col1:18" TargetMode="External"/><Relationship Id="rId15285" Type="http://schemas.openxmlformats.org/officeDocument/2006/relationships/hyperlink" Target="https://ref.ly/Heb1:2-Heb1:3" TargetMode="External"/><Relationship Id="rId15286" Type="http://schemas.openxmlformats.org/officeDocument/2006/relationships/hyperlink" Target="https://ref.ly/Rev3:14" TargetMode="External"/><Relationship Id="rId15287" Type="http://schemas.openxmlformats.org/officeDocument/2006/relationships/hyperlink" Target="https://ref.ly/Rom1:1-Rom1:32" TargetMode="External"/><Relationship Id="rId15288" Type="http://schemas.openxmlformats.org/officeDocument/2006/relationships/hyperlink" Target="https://ref.ly/1Cor15:42-1Cor15:49" TargetMode="External"/><Relationship Id="rId15289" Type="http://schemas.openxmlformats.org/officeDocument/2006/relationships/hyperlink" Target="https://ref.ly/1Cor15:12-1Cor15:20" TargetMode="External"/><Relationship Id="rId15290" Type="http://schemas.openxmlformats.org/officeDocument/2006/relationships/hyperlink" Target="https://ref.ly/1Cor7:31" TargetMode="External"/><Relationship Id="rId15291" Type="http://schemas.openxmlformats.org/officeDocument/2006/relationships/hyperlink" Target="https://ref.ly/Matt8:11" TargetMode="External"/><Relationship Id="rId15292" Type="http://schemas.openxmlformats.org/officeDocument/2006/relationships/hyperlink" Target="https://ref.ly/Eph1:21" TargetMode="External"/><Relationship Id="rId15293" Type="http://schemas.openxmlformats.org/officeDocument/2006/relationships/hyperlink" Target="https://ref.ly/2Cor5:17-2Cor5:19" TargetMode="External"/><Relationship Id="rId15294" Type="http://schemas.openxmlformats.org/officeDocument/2006/relationships/hyperlink" Target="https://ref.ly/Eph2:5-Eph2:6" TargetMode="External"/><Relationship Id="rId15295" Type="http://schemas.openxmlformats.org/officeDocument/2006/relationships/hyperlink" Target="https://ref.ly/Eph2:10" TargetMode="External"/><Relationship Id="rId15296" Type="http://schemas.openxmlformats.org/officeDocument/2006/relationships/hyperlink" Target="https://ref.ly/2Cor4:16" TargetMode="External"/><Relationship Id="rId15297" Type="http://schemas.openxmlformats.org/officeDocument/2006/relationships/hyperlink" Target="https://ref.ly/2Cor5:7" TargetMode="External"/><Relationship Id="rId15298" Type="http://schemas.openxmlformats.org/officeDocument/2006/relationships/hyperlink" Target="https://ref.ly/Rev21:1-Rev21:4" TargetMode="External"/><Relationship Id="rId15299" Type="http://schemas.openxmlformats.org/officeDocument/2006/relationships/hyperlink" Target="https://ref.ly/2Pet3:10-2Pet3:12" TargetMode="External"/><Relationship Id="rId15300" Type="http://schemas.openxmlformats.org/officeDocument/2006/relationships/hyperlink" Target="https://ref.ly/Rev6:12-Rev6:14" TargetMode="External"/><Relationship Id="rId15301" Type="http://schemas.openxmlformats.org/officeDocument/2006/relationships/hyperlink" Target="https://ref.ly/Rom8:19-Rom8:23" TargetMode="External"/><Relationship Id="rId15302" Type="http://schemas.openxmlformats.org/officeDocument/2006/relationships/hyperlink" Target="https://ref.ly/John3:3" TargetMode="External"/><Relationship Id="rId15303" Type="http://schemas.openxmlformats.org/officeDocument/2006/relationships/hyperlink" Target="https://ref.ly/Rom6:4" TargetMode="External"/><Relationship Id="rId15304" Type="http://schemas.openxmlformats.org/officeDocument/2006/relationships/hyperlink" Target="https://ref.ly/Ps33:3" TargetMode="External"/><Relationship Id="rId15305" Type="http://schemas.openxmlformats.org/officeDocument/2006/relationships/hyperlink" Target="https://ref.ly/Ps40:3" TargetMode="External"/><Relationship Id="rId15306" Type="http://schemas.openxmlformats.org/officeDocument/2006/relationships/hyperlink" Target="https://ref.ly/Ezek34:25-Ezek34:31" TargetMode="External"/><Relationship Id="rId15307" Type="http://schemas.openxmlformats.org/officeDocument/2006/relationships/hyperlink" Target="https://ref.ly/Ezek37:26-Ezek37:28" TargetMode="External"/><Relationship Id="rId15308" Type="http://schemas.openxmlformats.org/officeDocument/2006/relationships/hyperlink" Target="https://ref.ly/Ezek36:22-Ezek36:32" TargetMode="External"/><Relationship Id="rId15309" Type="http://schemas.openxmlformats.org/officeDocument/2006/relationships/hyperlink" Target="https://ref.ly/John3:3-John3:7" TargetMode="External"/><Relationship Id="rId15310" Type="http://schemas.openxmlformats.org/officeDocument/2006/relationships/hyperlink" Target="https://ref.ly/Col3:10-Col3:11" TargetMode="External"/><Relationship Id="rId15311" Type="http://schemas.openxmlformats.org/officeDocument/2006/relationships/hyperlink" Target="https://ref.ly/1John2:7" TargetMode="External"/><Relationship Id="rId15312" Type="http://schemas.openxmlformats.org/officeDocument/2006/relationships/hyperlink" Target="https://ref.ly/Rev5:12-Rev5:13" TargetMode="External"/><Relationship Id="rId15313" Type="http://schemas.openxmlformats.org/officeDocument/2006/relationships/hyperlink" Target="https://ref.ly/Ps102:25" TargetMode="External"/><Relationship Id="rId15314" Type="http://schemas.openxmlformats.org/officeDocument/2006/relationships/hyperlink" Target="https://ref.ly/Ps102:26" TargetMode="External"/><Relationship Id="rId15315" Type="http://schemas.openxmlformats.org/officeDocument/2006/relationships/hyperlink" Target="https://ref.ly/Isa51:6" TargetMode="External"/><Relationship Id="rId15316" Type="http://schemas.openxmlformats.org/officeDocument/2006/relationships/hyperlink" Target="https://ref.ly/Matt24:35" TargetMode="External"/><Relationship Id="rId15317" Type="http://schemas.openxmlformats.org/officeDocument/2006/relationships/hyperlink" Target="https://ref.ly/Heb1:11" TargetMode="External"/><Relationship Id="rId15318" Type="http://schemas.openxmlformats.org/officeDocument/2006/relationships/hyperlink" Target="https://ref.ly/2Pet3:12" TargetMode="External"/><Relationship Id="rId15319" Type="http://schemas.openxmlformats.org/officeDocument/2006/relationships/hyperlink" Target="https://ref.ly/Acts3:21" TargetMode="External"/><Relationship Id="rId15320" Type="http://schemas.openxmlformats.org/officeDocument/2006/relationships/hyperlink" Target="https://ref.ly/Rom8:19" TargetMode="External"/><Relationship Id="rId15321" Type="http://schemas.openxmlformats.org/officeDocument/2006/relationships/hyperlink" Target="https://ref.ly/Rev21:2,Rev21:10" TargetMode="External"/><Relationship Id="rId15322" Type="http://schemas.openxmlformats.org/officeDocument/2006/relationships/hyperlink" Target="https://ref.ly/Exod33:11" TargetMode="External"/><Relationship Id="rId15323" Type="http://schemas.openxmlformats.org/officeDocument/2006/relationships/hyperlink" Target="https://ref.ly/Num11:28" TargetMode="External"/><Relationship Id="rId15324" Type="http://schemas.openxmlformats.org/officeDocument/2006/relationships/hyperlink" Target="https://ref.ly/Deut1:38" TargetMode="External"/><Relationship Id="rId15325" Type="http://schemas.openxmlformats.org/officeDocument/2006/relationships/hyperlink" Target="https://ref.ly/Judg2:8" TargetMode="External"/><Relationship Id="rId15326" Type="http://schemas.openxmlformats.org/officeDocument/2006/relationships/hyperlink" Target="https://ref.ly/Num1:46" TargetMode="External"/><Relationship Id="rId15327" Type="http://schemas.openxmlformats.org/officeDocument/2006/relationships/hyperlink" Target="https://ref.ly/Gal3:17" TargetMode="External"/><Relationship Id="rId15328" Type="http://schemas.openxmlformats.org/officeDocument/2006/relationships/hyperlink" Target="https://ref.ly/Matt4:2" TargetMode="External"/><Relationship Id="rId15329" Type="http://schemas.openxmlformats.org/officeDocument/2006/relationships/hyperlink" Target="https://ref.ly/Gen41:2" TargetMode="External"/><Relationship Id="rId15330" Type="http://schemas.openxmlformats.org/officeDocument/2006/relationships/hyperlink" Target="https://ref.ly/Judg16:13" TargetMode="External"/><Relationship Id="rId15331" Type="http://schemas.openxmlformats.org/officeDocument/2006/relationships/hyperlink" Target="https://ref.ly/Jer25:12" TargetMode="External"/><Relationship Id="rId15332" Type="http://schemas.openxmlformats.org/officeDocument/2006/relationships/hyperlink" Target="https://ref.ly/2Kgs13:18" TargetMode="External"/><Relationship Id="rId15333" Type="http://schemas.openxmlformats.org/officeDocument/2006/relationships/hyperlink" Target="https://ref.ly/Hos6:2" TargetMode="External"/><Relationship Id="rId15334" Type="http://schemas.openxmlformats.org/officeDocument/2006/relationships/hyperlink" Target="https://ref.ly/2Sam24:13" TargetMode="External"/><Relationship Id="rId15335" Type="http://schemas.openxmlformats.org/officeDocument/2006/relationships/hyperlink" Target="https://ref.ly/2Cor13:13" TargetMode="External"/><Relationship Id="rId15336" Type="http://schemas.openxmlformats.org/officeDocument/2006/relationships/hyperlink" Target="https://ref.ly/Rev6:1-Rev6:7" TargetMode="External"/><Relationship Id="rId15337" Type="http://schemas.openxmlformats.org/officeDocument/2006/relationships/hyperlink" Target="https://ref.ly/Rev4:6" TargetMode="External"/><Relationship Id="rId15338" Type="http://schemas.openxmlformats.org/officeDocument/2006/relationships/hyperlink" Target="https://ref.ly/Isa30:17" TargetMode="External"/><Relationship Id="rId15339" Type="http://schemas.openxmlformats.org/officeDocument/2006/relationships/hyperlink" Target="https://ref.ly/Exod7:1-Exod10:29" TargetMode="External"/><Relationship Id="rId15340" Type="http://schemas.openxmlformats.org/officeDocument/2006/relationships/hyperlink" Target="https://ref.ly/Gen31:7" TargetMode="External"/><Relationship Id="rId15341" Type="http://schemas.openxmlformats.org/officeDocument/2006/relationships/hyperlink" Target="https://ref.ly/Neh4:12" TargetMode="External"/><Relationship Id="rId15342" Type="http://schemas.openxmlformats.org/officeDocument/2006/relationships/hyperlink" Target="https://ref.ly/Judg18:14-Judg18:20" TargetMode="External"/><Relationship Id="rId15343" Type="http://schemas.openxmlformats.org/officeDocument/2006/relationships/hyperlink" Target="https://ref.ly/Rev7:4" TargetMode="External"/><Relationship Id="rId15344" Type="http://schemas.openxmlformats.org/officeDocument/2006/relationships/hyperlink" Target="https://ref.ly/Josh7:5" TargetMode="External"/><Relationship Id="rId15345" Type="http://schemas.openxmlformats.org/officeDocument/2006/relationships/hyperlink" Target="https://ref.ly/John21:11" TargetMode="External"/><Relationship Id="rId15346" Type="http://schemas.openxmlformats.org/officeDocument/2006/relationships/hyperlink" Target="https://ref.ly/2Kgs14:18" TargetMode="External"/><Relationship Id="rId15347" Type="http://schemas.openxmlformats.org/officeDocument/2006/relationships/hyperlink" Target="https://ref.ly/Isa23:15" TargetMode="External"/><Relationship Id="rId15348" Type="http://schemas.openxmlformats.org/officeDocument/2006/relationships/hyperlink" Target="https://ref.ly/Ezek29:11-Ezek29:13" TargetMode="External"/><Relationship Id="rId15349" Type="http://schemas.openxmlformats.org/officeDocument/2006/relationships/hyperlink" Target="https://ref.ly/Dan7:25" TargetMode="External"/><Relationship Id="rId15350" Type="http://schemas.openxmlformats.org/officeDocument/2006/relationships/hyperlink" Target="https://ref.ly/Rev11:2" TargetMode="External"/><Relationship Id="rId15351" Type="http://schemas.openxmlformats.org/officeDocument/2006/relationships/hyperlink" Target="https://ref.ly/Rev12:14" TargetMode="External"/><Relationship Id="rId15352" Type="http://schemas.openxmlformats.org/officeDocument/2006/relationships/hyperlink" Target="https://ref.ly/Dan8:14" TargetMode="External"/><Relationship Id="rId15353" Type="http://schemas.openxmlformats.org/officeDocument/2006/relationships/hyperlink" Target="https://ref.ly/Dan12:11" TargetMode="External"/><Relationship Id="rId15354" Type="http://schemas.openxmlformats.org/officeDocument/2006/relationships/hyperlink" Target="https://ref.ly/Rev11:3" TargetMode="External"/><Relationship Id="rId15355" Type="http://schemas.openxmlformats.org/officeDocument/2006/relationships/hyperlink" Target="https://ref.ly/Rev13:5" TargetMode="External"/><Relationship Id="rId15356" Type="http://schemas.openxmlformats.org/officeDocument/2006/relationships/hyperlink" Target="https://ref.ly/Num1:1-Num1:54" TargetMode="External"/><Relationship Id="rId15357" Type="http://schemas.openxmlformats.org/officeDocument/2006/relationships/hyperlink" Target="https://ref.ly/Num2:1-Num2:34" TargetMode="External"/><Relationship Id="rId15358" Type="http://schemas.openxmlformats.org/officeDocument/2006/relationships/hyperlink" Target="https://ref.ly/Num3:1-Num3:51" TargetMode="External"/><Relationship Id="rId15359" Type="http://schemas.openxmlformats.org/officeDocument/2006/relationships/hyperlink" Target="https://ref.ly/Deut31:9,Deut31:24" TargetMode="External"/><Relationship Id="rId15360" Type="http://schemas.openxmlformats.org/officeDocument/2006/relationships/hyperlink" Target="https://ref.ly/Judg3:4" TargetMode="External"/><Relationship Id="rId15361" Type="http://schemas.openxmlformats.org/officeDocument/2006/relationships/hyperlink" Target="https://ref.ly/John5:46-John5:47" TargetMode="External"/><Relationship Id="rId15362" Type="http://schemas.openxmlformats.org/officeDocument/2006/relationships/hyperlink" Target="https://ref.ly/Rom10:19" TargetMode="External"/><Relationship Id="rId15363" Type="http://schemas.openxmlformats.org/officeDocument/2006/relationships/hyperlink" Target="https://ref.ly/Num33:36" TargetMode="External"/><Relationship Id="rId15364" Type="http://schemas.openxmlformats.org/officeDocument/2006/relationships/hyperlink" Target="https://ref.ly/Num21:16-Num21:18" TargetMode="External"/><Relationship Id="rId15365" Type="http://schemas.openxmlformats.org/officeDocument/2006/relationships/hyperlink" Target="https://ref.ly/Num20:11" TargetMode="External"/><Relationship Id="rId15366" Type="http://schemas.openxmlformats.org/officeDocument/2006/relationships/hyperlink" Target="https://ref.ly/Num14:25,Num14:43-Num14:45" TargetMode="External"/><Relationship Id="rId15367" Type="http://schemas.openxmlformats.org/officeDocument/2006/relationships/hyperlink" Target="https://ref.ly/Gen36:12,Gen36:16" TargetMode="External"/><Relationship Id="rId15368" Type="http://schemas.openxmlformats.org/officeDocument/2006/relationships/hyperlink" Target="https://ref.ly/Num21:4,Num21:10-Num21:11" TargetMode="External"/><Relationship Id="rId15369" Type="http://schemas.openxmlformats.org/officeDocument/2006/relationships/hyperlink" Target="https://ref.ly/Num21:12" TargetMode="External"/><Relationship Id="rId15370" Type="http://schemas.openxmlformats.org/officeDocument/2006/relationships/hyperlink" Target="https://ref.ly/Num20:16" TargetMode="External"/><Relationship Id="rId15371" Type="http://schemas.openxmlformats.org/officeDocument/2006/relationships/hyperlink" Target="https://ref.ly/Num20:17-Num20:19" TargetMode="External"/><Relationship Id="rId15372" Type="http://schemas.openxmlformats.org/officeDocument/2006/relationships/hyperlink" Target="https://ref.ly/Num21:4,Num21:11" TargetMode="External"/><Relationship Id="rId15373" Type="http://schemas.openxmlformats.org/officeDocument/2006/relationships/hyperlink" Target="https://ref.ly/Deut2:2-Deut2:8" TargetMode="External"/><Relationship Id="rId15374" Type="http://schemas.openxmlformats.org/officeDocument/2006/relationships/hyperlink" Target="https://ref.ly/Num21:11-Num21:15" TargetMode="External"/><Relationship Id="rId15375" Type="http://schemas.openxmlformats.org/officeDocument/2006/relationships/hyperlink" Target="https://ref.ly/Num31:1-Num31:18" TargetMode="External"/><Relationship Id="rId15376" Type="http://schemas.openxmlformats.org/officeDocument/2006/relationships/hyperlink" Target="https://ref.ly/Deut2:9-Deut2:13" TargetMode="External"/><Relationship Id="rId15377" Type="http://schemas.openxmlformats.org/officeDocument/2006/relationships/hyperlink" Target="https://ref.ly/2Sam8:2,2Sam8:13-2Sam8:14" TargetMode="External"/><Relationship Id="rId15378" Type="http://schemas.openxmlformats.org/officeDocument/2006/relationships/hyperlink" Target="https://ref.ly/2Sam21:21-2Sam21:35" TargetMode="External"/><Relationship Id="rId15379" Type="http://schemas.openxmlformats.org/officeDocument/2006/relationships/hyperlink" Target="https://ref.ly/Deut3:1-Deut3:12" TargetMode="External"/><Relationship Id="rId15380" Type="http://schemas.openxmlformats.org/officeDocument/2006/relationships/hyperlink" Target="https://ref.ly/Num25:16-Num25:18" TargetMode="External"/><Relationship Id="rId15381" Type="http://schemas.openxmlformats.org/officeDocument/2006/relationships/hyperlink" Target="https://ref.ly/Num31:1-Num31:54" TargetMode="External"/><Relationship Id="rId15382" Type="http://schemas.openxmlformats.org/officeDocument/2006/relationships/hyperlink" Target="https://ref.ly/Num22:4-Num22:7" TargetMode="External"/><Relationship Id="rId15383" Type="http://schemas.openxmlformats.org/officeDocument/2006/relationships/hyperlink" Target="https://ref.ly/Num25:1-Num25:6,Num25:14-Num25:15" TargetMode="External"/><Relationship Id="rId15384" Type="http://schemas.openxmlformats.org/officeDocument/2006/relationships/hyperlink" Target="https://ref.ly/Num25:8" TargetMode="External"/><Relationship Id="rId15385" Type="http://schemas.openxmlformats.org/officeDocument/2006/relationships/hyperlink" Target="https://ref.ly/Rom15:4" TargetMode="External"/><Relationship Id="rId15386" Type="http://schemas.openxmlformats.org/officeDocument/2006/relationships/hyperlink" Target="https://ref.ly/Num1:18" TargetMode="External"/><Relationship Id="rId15387" Type="http://schemas.openxmlformats.org/officeDocument/2006/relationships/hyperlink" Target="https://ref.ly/Num1:47-Num1:54" TargetMode="External"/><Relationship Id="rId15388" Type="http://schemas.openxmlformats.org/officeDocument/2006/relationships/hyperlink" Target="https://ref.ly/Num2:9" TargetMode="External"/><Relationship Id="rId15389" Type="http://schemas.openxmlformats.org/officeDocument/2006/relationships/hyperlink" Target="https://ref.ly/Num2:16" TargetMode="External"/><Relationship Id="rId15390" Type="http://schemas.openxmlformats.org/officeDocument/2006/relationships/hyperlink" Target="https://ref.ly/Num2:24" TargetMode="External"/><Relationship Id="rId15391" Type="http://schemas.openxmlformats.org/officeDocument/2006/relationships/hyperlink" Target="https://ref.ly/Num2:17" TargetMode="External"/><Relationship Id="rId15392" Type="http://schemas.openxmlformats.org/officeDocument/2006/relationships/hyperlink" Target="https://ref.ly/Num3:2-Num3:3" TargetMode="External"/><Relationship Id="rId15393" Type="http://schemas.openxmlformats.org/officeDocument/2006/relationships/hyperlink" Target="https://ref.ly/Num3:5-Num3:10" TargetMode="External"/><Relationship Id="rId15394" Type="http://schemas.openxmlformats.org/officeDocument/2006/relationships/hyperlink" Target="https://ref.ly/Num3:28" TargetMode="External"/><Relationship Id="rId15395" Type="http://schemas.openxmlformats.org/officeDocument/2006/relationships/hyperlink" Target="https://ref.ly/Num3:34" TargetMode="External"/><Relationship Id="rId15396" Type="http://schemas.openxmlformats.org/officeDocument/2006/relationships/hyperlink" Target="https://ref.ly/Num3:38" TargetMode="External"/><Relationship Id="rId15397" Type="http://schemas.openxmlformats.org/officeDocument/2006/relationships/hyperlink" Target="https://ref.ly/Num3:40-Num3:46" TargetMode="External"/><Relationship Id="rId15398" Type="http://schemas.openxmlformats.org/officeDocument/2006/relationships/hyperlink" Target="https://ref.ly/Num3:46-Num3:51" TargetMode="External"/><Relationship Id="rId15399" Type="http://schemas.openxmlformats.org/officeDocument/2006/relationships/hyperlink" Target="https://ref.ly/Num4:36" TargetMode="External"/><Relationship Id="rId15400" Type="http://schemas.openxmlformats.org/officeDocument/2006/relationships/hyperlink" Target="https://ref.ly/Num4:40" TargetMode="External"/><Relationship Id="rId15401" Type="http://schemas.openxmlformats.org/officeDocument/2006/relationships/hyperlink" Target="https://ref.ly/Num4:44" TargetMode="External"/><Relationship Id="rId15402" Type="http://schemas.openxmlformats.org/officeDocument/2006/relationships/hyperlink" Target="https://ref.ly/Num4:48" TargetMode="External"/><Relationship Id="rId15403" Type="http://schemas.openxmlformats.org/officeDocument/2006/relationships/hyperlink" Target="https://ref.ly/Num4:20" TargetMode="External"/><Relationship Id="rId15404" Type="http://schemas.openxmlformats.org/officeDocument/2006/relationships/hyperlink" Target="https://ref.ly/Num4:15" TargetMode="External"/><Relationship Id="rId15405" Type="http://schemas.openxmlformats.org/officeDocument/2006/relationships/hyperlink" Target="https://ref.ly/Num4:15,Num4:20" TargetMode="External"/><Relationship Id="rId15406" Type="http://schemas.openxmlformats.org/officeDocument/2006/relationships/hyperlink" Target="https://ref.ly/Num5:1-Num5:4" TargetMode="External"/><Relationship Id="rId15407" Type="http://schemas.openxmlformats.org/officeDocument/2006/relationships/hyperlink" Target="https://ref.ly/Num5:5-Num5:10" TargetMode="External"/><Relationship Id="rId15408" Type="http://schemas.openxmlformats.org/officeDocument/2006/relationships/hyperlink" Target="https://ref.ly/Num6:1-Num6:27" TargetMode="External"/><Relationship Id="rId15409" Type="http://schemas.openxmlformats.org/officeDocument/2006/relationships/hyperlink" Target="https://ref.ly/Num6:3-Num6:6" TargetMode="External"/><Relationship Id="rId15410" Type="http://schemas.openxmlformats.org/officeDocument/2006/relationships/hyperlink" Target="https://ref.ly/Num7:7" TargetMode="External"/><Relationship Id="rId15411" Type="http://schemas.openxmlformats.org/officeDocument/2006/relationships/hyperlink" Target="https://ref.ly/Num7:10,Num7:88" TargetMode="External"/><Relationship Id="rId15412" Type="http://schemas.openxmlformats.org/officeDocument/2006/relationships/hyperlink" Target="https://ref.ly/Num8:1-Num8:4" TargetMode="External"/><Relationship Id="rId15413" Type="http://schemas.openxmlformats.org/officeDocument/2006/relationships/hyperlink" Target="https://ref.ly/Num8:5-Num8:22" TargetMode="External"/><Relationship Id="rId15414" Type="http://schemas.openxmlformats.org/officeDocument/2006/relationships/hyperlink" Target="https://ref.ly/Num9:1-Num10:10" TargetMode="External"/><Relationship Id="rId15415" Type="http://schemas.openxmlformats.org/officeDocument/2006/relationships/hyperlink" Target="https://ref.ly/Num9:6-Num9:12" TargetMode="External"/><Relationship Id="rId15416" Type="http://schemas.openxmlformats.org/officeDocument/2006/relationships/hyperlink" Target="https://ref.ly/Num27:1-Num27:23" TargetMode="External"/><Relationship Id="rId15417" Type="http://schemas.openxmlformats.org/officeDocument/2006/relationships/hyperlink" Target="https://ref.ly/Num9:15-Num9:23" TargetMode="External"/><Relationship Id="rId15418" Type="http://schemas.openxmlformats.org/officeDocument/2006/relationships/hyperlink" Target="https://ref.ly/Num10:1-Num10:10" TargetMode="External"/><Relationship Id="rId15419" Type="http://schemas.openxmlformats.org/officeDocument/2006/relationships/hyperlink" Target="https://ref.ly/Num10:11-Num14:45" TargetMode="External"/><Relationship Id="rId15420" Type="http://schemas.openxmlformats.org/officeDocument/2006/relationships/hyperlink" Target="https://ref.ly/Num10:11" TargetMode="External"/><Relationship Id="rId15421" Type="http://schemas.openxmlformats.org/officeDocument/2006/relationships/hyperlink" Target="https://ref.ly/Num13:20" TargetMode="External"/><Relationship Id="rId15422" Type="http://schemas.openxmlformats.org/officeDocument/2006/relationships/hyperlink" Target="https://ref.ly/Num11:1-Num11:3" TargetMode="External"/><Relationship Id="rId15423" Type="http://schemas.openxmlformats.org/officeDocument/2006/relationships/hyperlink" Target="https://ref.ly/Num11:4-Num11:35" TargetMode="External"/><Relationship Id="rId15424" Type="http://schemas.openxmlformats.org/officeDocument/2006/relationships/hyperlink" Target="https://ref.ly/Ps78:26-Ps78:31" TargetMode="External"/><Relationship Id="rId15425" Type="http://schemas.openxmlformats.org/officeDocument/2006/relationships/hyperlink" Target="https://ref.ly/Ps106:13-Ps106:15" TargetMode="External"/><Relationship Id="rId15426" Type="http://schemas.openxmlformats.org/officeDocument/2006/relationships/hyperlink" Target="https://ref.ly/Num12:6-Num12:8" TargetMode="External"/><Relationship Id="rId15427" Type="http://schemas.openxmlformats.org/officeDocument/2006/relationships/hyperlink" Target="https://ref.ly/Num13:1-Num13:33" TargetMode="External"/><Relationship Id="rId15428" Type="http://schemas.openxmlformats.org/officeDocument/2006/relationships/hyperlink" Target="https://ref.ly/Deut1:22" TargetMode="External"/><Relationship Id="rId15429" Type="http://schemas.openxmlformats.org/officeDocument/2006/relationships/hyperlink" Target="https://ref.ly/Num14:10" TargetMode="External"/><Relationship Id="rId15430" Type="http://schemas.openxmlformats.org/officeDocument/2006/relationships/hyperlink" Target="https://ref.ly/Num14:21" TargetMode="External"/><Relationship Id="rId15431" Type="http://schemas.openxmlformats.org/officeDocument/2006/relationships/hyperlink" Target="https://ref.ly/Heb3:7-Heb4:10" TargetMode="External"/><Relationship Id="rId15432" Type="http://schemas.openxmlformats.org/officeDocument/2006/relationships/hyperlink" Target="https://ref.ly/Num14:21-Num14:35" TargetMode="External"/><Relationship Id="rId15433" Type="http://schemas.openxmlformats.org/officeDocument/2006/relationships/hyperlink" Target="https://ref.ly/Deut1:42" TargetMode="External"/><Relationship Id="rId15434" Type="http://schemas.openxmlformats.org/officeDocument/2006/relationships/hyperlink" Target="https://ref.ly/Num15:1-Num21:20" TargetMode="External"/><Relationship Id="rId15435" Type="http://schemas.openxmlformats.org/officeDocument/2006/relationships/hyperlink" Target="https://ref.ly/Num15:1-Num15:21" TargetMode="External"/><Relationship Id="rId15436" Type="http://schemas.openxmlformats.org/officeDocument/2006/relationships/hyperlink" Target="https://ref.ly/Num15:22-Num15:31" TargetMode="External"/><Relationship Id="rId15437" Type="http://schemas.openxmlformats.org/officeDocument/2006/relationships/hyperlink" Target="https://ref.ly/Num16:1-Num16:14" TargetMode="External"/><Relationship Id="rId15438" Type="http://schemas.openxmlformats.org/officeDocument/2006/relationships/hyperlink" Target="https://ref.ly/Num16:32" TargetMode="External"/><Relationship Id="rId15439" Type="http://schemas.openxmlformats.org/officeDocument/2006/relationships/hyperlink" Target="https://ref.ly/Ps106:16-Ps106:18" TargetMode="External"/><Relationship Id="rId15440" Type="http://schemas.openxmlformats.org/officeDocument/2006/relationships/hyperlink" Target="https://ref.ly/Ps42:1-Ps49:20" TargetMode="External"/><Relationship Id="rId15441" Type="http://schemas.openxmlformats.org/officeDocument/2006/relationships/hyperlink" Target="https://ref.ly/Num17:1-Num17:13" TargetMode="External"/><Relationship Id="rId15442" Type="http://schemas.openxmlformats.org/officeDocument/2006/relationships/hyperlink" Target="https://ref.ly/Num18:1-Num19:14" TargetMode="External"/><Relationship Id="rId15443" Type="http://schemas.openxmlformats.org/officeDocument/2006/relationships/hyperlink" Target="https://ref.ly/Num18:1-Num18:7" TargetMode="External"/><Relationship Id="rId15444" Type="http://schemas.openxmlformats.org/officeDocument/2006/relationships/hyperlink" Target="https://ref.ly/Num18:6" TargetMode="External"/><Relationship Id="rId15445" Type="http://schemas.openxmlformats.org/officeDocument/2006/relationships/hyperlink" Target="https://ref.ly/Num18:8-Num18:20" TargetMode="External"/><Relationship Id="rId15446" Type="http://schemas.openxmlformats.org/officeDocument/2006/relationships/hyperlink" Target="https://ref.ly/Num19:11-Num19:16" TargetMode="External"/><Relationship Id="rId15447" Type="http://schemas.openxmlformats.org/officeDocument/2006/relationships/hyperlink" Target="https://ref.ly/Num19:9,Num19:17" TargetMode="External"/><Relationship Id="rId15448" Type="http://schemas.openxmlformats.org/officeDocument/2006/relationships/hyperlink" Target="https://ref.ly/Num20:1-Num20:29" TargetMode="External"/><Relationship Id="rId15449" Type="http://schemas.openxmlformats.org/officeDocument/2006/relationships/hyperlink" Target="https://ref.ly/Num33:1-Num33:56" TargetMode="External"/><Relationship Id="rId15450" Type="http://schemas.openxmlformats.org/officeDocument/2006/relationships/hyperlink" Target="https://ref.ly/Num33:18-Num33:36" TargetMode="External"/><Relationship Id="rId15451" Type="http://schemas.openxmlformats.org/officeDocument/2006/relationships/hyperlink" Target="https://ref.ly/Num20:2" TargetMode="External"/><Relationship Id="rId15452" Type="http://schemas.openxmlformats.org/officeDocument/2006/relationships/hyperlink" Target="https://ref.ly/Num20:8-Num20:11" TargetMode="External"/><Relationship Id="rId15453" Type="http://schemas.openxmlformats.org/officeDocument/2006/relationships/hyperlink" Target="https://ref.ly/Num20:12,Num20:23-Num20:24" TargetMode="External"/><Relationship Id="rId15454" Type="http://schemas.openxmlformats.org/officeDocument/2006/relationships/hyperlink" Target="https://ref.ly/Num20:22-Num20:29" TargetMode="External"/><Relationship Id="rId15455" Type="http://schemas.openxmlformats.org/officeDocument/2006/relationships/hyperlink" Target="https://ref.ly/Num33:38" TargetMode="External"/><Relationship Id="rId15456" Type="http://schemas.openxmlformats.org/officeDocument/2006/relationships/hyperlink" Target="https://ref.ly/Num21:4-Num21:10" TargetMode="External"/><Relationship Id="rId15457" Type="http://schemas.openxmlformats.org/officeDocument/2006/relationships/hyperlink" Target="https://ref.ly/John3:14-John3:15" TargetMode="External"/><Relationship Id="rId15458" Type="http://schemas.openxmlformats.org/officeDocument/2006/relationships/hyperlink" Target="https://ref.ly/Num21:10-Num21:20" TargetMode="External"/><Relationship Id="rId15459" Type="http://schemas.openxmlformats.org/officeDocument/2006/relationships/hyperlink" Target="https://ref.ly/Num21:21-Num21:31" TargetMode="External"/><Relationship Id="rId15460" Type="http://schemas.openxmlformats.org/officeDocument/2006/relationships/hyperlink" Target="https://ref.ly/Josh1:1-Josh3:17" TargetMode="External"/><Relationship Id="rId15461" Type="http://schemas.openxmlformats.org/officeDocument/2006/relationships/hyperlink" Target="https://ref.ly/Amos5:25" TargetMode="External"/><Relationship Id="rId15462" Type="http://schemas.openxmlformats.org/officeDocument/2006/relationships/hyperlink" Target="https://ref.ly/Num23:7-Num23:10,Num23:18-Num23:24" TargetMode="External"/><Relationship Id="rId15463" Type="http://schemas.openxmlformats.org/officeDocument/2006/relationships/hyperlink" Target="https://ref.ly/Num24:3-Num24:9,Num24:15-Num24:19" TargetMode="External"/><Relationship Id="rId15464" Type="http://schemas.openxmlformats.org/officeDocument/2006/relationships/hyperlink" Target="https://ref.ly/Num24:21" TargetMode="External"/><Relationship Id="rId15465" Type="http://schemas.openxmlformats.org/officeDocument/2006/relationships/hyperlink" Target="https://ref.ly/Num25:4-Num25:14" TargetMode="External"/><Relationship Id="rId15466" Type="http://schemas.openxmlformats.org/officeDocument/2006/relationships/hyperlink" Target="https://ref.ly/Num26:57-Num26:62" TargetMode="External"/><Relationship Id="rId15467" Type="http://schemas.openxmlformats.org/officeDocument/2006/relationships/hyperlink" Target="https://ref.ly/Num30:2" TargetMode="External"/><Relationship Id="rId15468" Type="http://schemas.openxmlformats.org/officeDocument/2006/relationships/hyperlink" Target="https://ref.ly/Num31:1-Num31:8" TargetMode="External"/><Relationship Id="rId15469" Type="http://schemas.openxmlformats.org/officeDocument/2006/relationships/hyperlink" Target="https://ref.ly/Num31:9-Num31:18" TargetMode="External"/><Relationship Id="rId15470" Type="http://schemas.openxmlformats.org/officeDocument/2006/relationships/hyperlink" Target="https://ref.ly/Judg6:1-Judg6:40" TargetMode="External"/><Relationship Id="rId15471" Type="http://schemas.openxmlformats.org/officeDocument/2006/relationships/hyperlink" Target="https://ref.ly/Num31:19-Num31:24" TargetMode="External"/><Relationship Id="rId15472" Type="http://schemas.openxmlformats.org/officeDocument/2006/relationships/hyperlink" Target="https://ref.ly/Num31:25-Num31:31" TargetMode="External"/><Relationship Id="rId15473" Type="http://schemas.openxmlformats.org/officeDocument/2006/relationships/hyperlink" Target="https://ref.ly/Num31:32-Num31:47" TargetMode="External"/><Relationship Id="rId15474" Type="http://schemas.openxmlformats.org/officeDocument/2006/relationships/hyperlink" Target="https://ref.ly/Num31:49" TargetMode="External"/><Relationship Id="rId15475" Type="http://schemas.openxmlformats.org/officeDocument/2006/relationships/hyperlink" Target="https://ref.ly/Num31:48-Num31:54" TargetMode="External"/><Relationship Id="rId15476" Type="http://schemas.openxmlformats.org/officeDocument/2006/relationships/hyperlink" Target="https://ref.ly/Deut3:23-Deut3:27" TargetMode="External"/><Relationship Id="rId15477" Type="http://schemas.openxmlformats.org/officeDocument/2006/relationships/hyperlink" Target="https://ref.ly/Num33:1-Num34:29" TargetMode="External"/><Relationship Id="rId15478" Type="http://schemas.openxmlformats.org/officeDocument/2006/relationships/hyperlink" Target="https://ref.ly/Num34:3-Num34:5" TargetMode="External"/><Relationship Id="rId15479" Type="http://schemas.openxmlformats.org/officeDocument/2006/relationships/hyperlink" Target="https://ref.ly/Num34:6" TargetMode="External"/><Relationship Id="rId15480" Type="http://schemas.openxmlformats.org/officeDocument/2006/relationships/hyperlink" Target="https://ref.ly/2Sam8:3-2Sam8:12" TargetMode="External"/><Relationship Id="rId15481" Type="http://schemas.openxmlformats.org/officeDocument/2006/relationships/hyperlink" Target="https://ref.ly/Num34:7-Num34:9" TargetMode="External"/><Relationship Id="rId15482" Type="http://schemas.openxmlformats.org/officeDocument/2006/relationships/hyperlink" Target="https://ref.ly/Num34:10-Num34:12" TargetMode="External"/><Relationship Id="rId15483" Type="http://schemas.openxmlformats.org/officeDocument/2006/relationships/hyperlink" Target="https://ref.ly/Num34:13-Num34:15" TargetMode="External"/><Relationship Id="rId15484" Type="http://schemas.openxmlformats.org/officeDocument/2006/relationships/hyperlink" Target="https://ref.ly/Num35:8" TargetMode="External"/><Relationship Id="rId15485" Type="http://schemas.openxmlformats.org/officeDocument/2006/relationships/hyperlink" Target="https://ref.ly/Num35:16-Num35:21" TargetMode="External"/><Relationship Id="rId15486" Type="http://schemas.openxmlformats.org/officeDocument/2006/relationships/hyperlink" Target="https://ref.ly/Num35:22-Num35:34" TargetMode="External"/><Relationship Id="rId15487" Type="http://schemas.openxmlformats.org/officeDocument/2006/relationships/hyperlink" Target="https://ref.ly/Num26:1-Num36:12" TargetMode="External"/><Relationship Id="rId15488" Type="http://schemas.openxmlformats.org/officeDocument/2006/relationships/hyperlink" Target="https://ref.ly/Lev27:34" TargetMode="External"/><Relationship Id="rId15489" Type="http://schemas.openxmlformats.org/officeDocument/2006/relationships/hyperlink" Target="https://ref.ly/Num11:23" TargetMode="External"/><Relationship Id="rId15490" Type="http://schemas.openxmlformats.org/officeDocument/2006/relationships/hyperlink" Target="https://ref.ly/Acts7:37-Acts7:38" TargetMode="External"/><Relationship Id="rId15491" Type="http://schemas.openxmlformats.org/officeDocument/2006/relationships/hyperlink" Target="https://ref.ly/Num11:2" TargetMode="External"/><Relationship Id="rId15492" Type="http://schemas.openxmlformats.org/officeDocument/2006/relationships/hyperlink" Target="https://ref.ly/Num12:13" TargetMode="External"/><Relationship Id="rId15493" Type="http://schemas.openxmlformats.org/officeDocument/2006/relationships/hyperlink" Target="https://ref.ly/Num14:19" TargetMode="External"/><Relationship Id="rId15494" Type="http://schemas.openxmlformats.org/officeDocument/2006/relationships/hyperlink" Target="https://ref.ly/Num19:9" TargetMode="External"/><Relationship Id="rId15495" Type="http://schemas.openxmlformats.org/officeDocument/2006/relationships/hyperlink" Target="https://ref.ly/Num32:23" TargetMode="External"/><Relationship Id="rId15496" Type="http://schemas.openxmlformats.org/officeDocument/2006/relationships/hyperlink" Target="https://ref.ly/Gen36:20-Gen36:21" TargetMode="External"/><Relationship Id="rId15497" Type="http://schemas.openxmlformats.org/officeDocument/2006/relationships/hyperlink" Target="https://ref.ly/Gen30:9-Gen30:13" TargetMode="External"/><Relationship Id="rId15498" Type="http://schemas.openxmlformats.org/officeDocument/2006/relationships/hyperlink" Target="https://ref.ly/Gen16:4-Gen16:6" TargetMode="External"/><Relationship Id="rId15499" Type="http://schemas.openxmlformats.org/officeDocument/2006/relationships/hyperlink" Target="https://ref.ly/Gen31:19" TargetMode="External"/><Relationship Id="rId15500" Type="http://schemas.openxmlformats.org/officeDocument/2006/relationships/hyperlink" Target="https://ref.ly/Gen31:30-Gen31:35" TargetMode="External"/><Relationship Id="rId15501" Type="http://schemas.openxmlformats.org/officeDocument/2006/relationships/hyperlink" Target="https://ref.ly/Gen31:50" TargetMode="External"/><Relationship Id="rId15502" Type="http://schemas.openxmlformats.org/officeDocument/2006/relationships/hyperlink" Target="https://ref.ly/Acts9:2" TargetMode="External"/><Relationship Id="rId15503" Type="http://schemas.openxmlformats.org/officeDocument/2006/relationships/hyperlink" Target="https://ref.ly/Acts19:9,Acts19:23" TargetMode="External"/><Relationship Id="rId15504" Type="http://schemas.openxmlformats.org/officeDocument/2006/relationships/hyperlink" Target="https://ref.ly/Acts22:4" TargetMode="External"/><Relationship Id="rId15505" Type="http://schemas.openxmlformats.org/officeDocument/2006/relationships/hyperlink" Target="https://ref.ly/Acts24:14,Acts24:22" TargetMode="External"/><Relationship Id="rId15506" Type="http://schemas.openxmlformats.org/officeDocument/2006/relationships/hyperlink" Target="https://ref.ly/Exod12:23" TargetMode="External"/><Relationship Id="rId15507" Type="http://schemas.openxmlformats.org/officeDocument/2006/relationships/hyperlink" Target="https://ref.ly/1Cor10:10" TargetMode="External"/><Relationship Id="rId15508" Type="http://schemas.openxmlformats.org/officeDocument/2006/relationships/hyperlink" Target="https://ref.ly/Num16:44-Num16:50" TargetMode="External"/><Relationship Id="rId15509" Type="http://schemas.openxmlformats.org/officeDocument/2006/relationships/hyperlink" Target="https://ref.ly/Jer22:7" TargetMode="External"/><Relationship Id="rId15510" Type="http://schemas.openxmlformats.org/officeDocument/2006/relationships/hyperlink" Target="https://ref.ly/Job15:21" TargetMode="External"/><Relationship Id="rId15511" Type="http://schemas.openxmlformats.org/officeDocument/2006/relationships/hyperlink" Target="https://ref.ly/Judg16:24" TargetMode="External"/><Relationship Id="rId15512" Type="http://schemas.openxmlformats.org/officeDocument/2006/relationships/hyperlink" Target="https://ref.ly/1Cor5:4" TargetMode="External"/><Relationship Id="rId15513" Type="http://schemas.openxmlformats.org/officeDocument/2006/relationships/hyperlink" Target="https://ref.ly/1Cor11:18-1Cor11:20" TargetMode="External"/><Relationship Id="rId15514" Type="http://schemas.openxmlformats.org/officeDocument/2006/relationships/hyperlink" Target="https://ref.ly/1Cor9:7-1Cor9:14" TargetMode="External"/><Relationship Id="rId15515" Type="http://schemas.openxmlformats.org/officeDocument/2006/relationships/hyperlink" Target="https://ref.ly/Acts20:6-Acts20:12" TargetMode="External"/><Relationship Id="rId15516" Type="http://schemas.openxmlformats.org/officeDocument/2006/relationships/hyperlink" Target="https://ref.ly/Acts19:8" TargetMode="External"/><Relationship Id="rId15517" Type="http://schemas.openxmlformats.org/officeDocument/2006/relationships/hyperlink" Target="https://ref.ly/John20:25-John20:28" TargetMode="External"/><Relationship Id="rId15518" Type="http://schemas.openxmlformats.org/officeDocument/2006/relationships/hyperlink" Target="https://ref.ly/Acts21:38" TargetMode="External"/><Relationship Id="rId15519" Type="http://schemas.openxmlformats.org/officeDocument/2006/relationships/hyperlink" Target="https://ref.ly/Num21:15" TargetMode="External"/><Relationship Id="rId15520" Type="http://schemas.openxmlformats.org/officeDocument/2006/relationships/hyperlink" Target="https://ref.ly/2John1:5" TargetMode="External"/><Relationship Id="rId15521" Type="http://schemas.openxmlformats.org/officeDocument/2006/relationships/hyperlink" Target="https://ref.ly/1John3:11" TargetMode="External"/><Relationship Id="rId15522" Type="http://schemas.openxmlformats.org/officeDocument/2006/relationships/hyperlink" Target="https://ref.ly/1John4:7" TargetMode="External"/><Relationship Id="rId15523" Type="http://schemas.openxmlformats.org/officeDocument/2006/relationships/hyperlink" Target="https://ref.ly/Matt5:43-Matt5:45" TargetMode="External"/><Relationship Id="rId15524" Type="http://schemas.openxmlformats.org/officeDocument/2006/relationships/hyperlink" Target="https://ref.ly/John13:35" TargetMode="External"/><Relationship Id="rId15525" Type="http://schemas.openxmlformats.org/officeDocument/2006/relationships/hyperlink" Target="https://ref.ly/John17:21-John17:23" TargetMode="External"/><Relationship Id="rId15526" Type="http://schemas.openxmlformats.org/officeDocument/2006/relationships/hyperlink" Target="https://ref.ly/Jas2:8" TargetMode="External"/><Relationship Id="rId15527" Type="http://schemas.openxmlformats.org/officeDocument/2006/relationships/hyperlink" Target="https://ref.ly/Jas1:25" TargetMode="External"/><Relationship Id="rId15528" Type="http://schemas.openxmlformats.org/officeDocument/2006/relationships/hyperlink" Target="https://ref.ly/Jas2:12" TargetMode="External"/><Relationship Id="rId15529" Type="http://schemas.openxmlformats.org/officeDocument/2006/relationships/hyperlink" Target="https://ref.ly/Gal3:2" TargetMode="External"/><Relationship Id="rId15530" Type="http://schemas.openxmlformats.org/officeDocument/2006/relationships/hyperlink" Target="https://ref.ly/John15:4" TargetMode="External"/><Relationship Id="rId15531" Type="http://schemas.openxmlformats.org/officeDocument/2006/relationships/hyperlink" Target="https://ref.ly/Heb10:16" TargetMode="External"/><Relationship Id="rId15532" Type="http://schemas.openxmlformats.org/officeDocument/2006/relationships/hyperlink" Target="https://ref.ly/Ezek36:27" TargetMode="External"/><Relationship Id="rId15533" Type="http://schemas.openxmlformats.org/officeDocument/2006/relationships/hyperlink" Target="https://ref.ly/1John3:23" TargetMode="External"/><Relationship Id="rId15534" Type="http://schemas.openxmlformats.org/officeDocument/2006/relationships/hyperlink" Target="https://ref.ly/John13:33-John13:35" TargetMode="External"/><Relationship Id="rId15535" Type="http://schemas.openxmlformats.org/officeDocument/2006/relationships/hyperlink" Target="https://ref.ly/John17:6-John17:8" TargetMode="External"/><Relationship Id="rId15536" Type="http://schemas.openxmlformats.org/officeDocument/2006/relationships/hyperlink" Target="https://ref.ly/John15:13" TargetMode="External"/><Relationship Id="rId15537" Type="http://schemas.openxmlformats.org/officeDocument/2006/relationships/hyperlink" Target="https://ref.ly/1John3:17" TargetMode="External"/><Relationship Id="rId15538" Type="http://schemas.openxmlformats.org/officeDocument/2006/relationships/hyperlink" Target="https://ref.ly/Num26:12-Num26:14" TargetMode="External"/><Relationship Id="rId15539" Type="http://schemas.openxmlformats.org/officeDocument/2006/relationships/hyperlink" Target="https://ref.ly/2Sam6:10-2Sam6:12" TargetMode="External"/><Relationship Id="rId15540" Type="http://schemas.openxmlformats.org/officeDocument/2006/relationships/hyperlink" Target="https://ref.ly/1Chr13:5-1Chr13:14" TargetMode="External"/><Relationship Id="rId15541" Type="http://schemas.openxmlformats.org/officeDocument/2006/relationships/hyperlink" Target="https://ref.ly/Josh19:45" TargetMode="External"/><Relationship Id="rId15542" Type="http://schemas.openxmlformats.org/officeDocument/2006/relationships/hyperlink" Target="https://ref.ly/1Chr15:25-1Chr15:28" TargetMode="External"/><Relationship Id="rId15543" Type="http://schemas.openxmlformats.org/officeDocument/2006/relationships/hyperlink" Target="https://ref.ly/1Chr26:4,1Chr26:8,1Chr26:15" TargetMode="External"/><Relationship Id="rId15544" Type="http://schemas.openxmlformats.org/officeDocument/2006/relationships/hyperlink" Target="https://ref.ly/1Chr16:5,1Chr16:38" TargetMode="External"/><Relationship Id="rId15545" Type="http://schemas.openxmlformats.org/officeDocument/2006/relationships/hyperlink" Target="https://ref.ly/2Chr25:24" TargetMode="External"/><Relationship Id="rId15546" Type="http://schemas.openxmlformats.org/officeDocument/2006/relationships/hyperlink" Target="https://ref.ly/Deut11:22-Deut11:28" TargetMode="External"/><Relationship Id="rId15547" Type="http://schemas.openxmlformats.org/officeDocument/2006/relationships/hyperlink" Target="https://ref.ly/1John2:3-1John2:5" TargetMode="External"/><Relationship Id="rId15548" Type="http://schemas.openxmlformats.org/officeDocument/2006/relationships/hyperlink" Target="https://ref.ly/John14:15" TargetMode="External"/><Relationship Id="rId15549" Type="http://schemas.openxmlformats.org/officeDocument/2006/relationships/hyperlink" Target="https://ref.ly/1Pet1:14" TargetMode="External"/><Relationship Id="rId15550" Type="http://schemas.openxmlformats.org/officeDocument/2006/relationships/hyperlink" Target="https://ref.ly/John14:21-John14:24" TargetMode="External"/><Relationship Id="rId15551" Type="http://schemas.openxmlformats.org/officeDocument/2006/relationships/hyperlink" Target="https://ref.ly/Eph5:22-Eph5:24" TargetMode="External"/><Relationship Id="rId15552" Type="http://schemas.openxmlformats.org/officeDocument/2006/relationships/hyperlink" Target="https://ref.ly/Col3:18" TargetMode="External"/><Relationship Id="rId15553" Type="http://schemas.openxmlformats.org/officeDocument/2006/relationships/hyperlink" Target="https://ref.ly/1Pet3:1" TargetMode="External"/><Relationship Id="rId15554" Type="http://schemas.openxmlformats.org/officeDocument/2006/relationships/hyperlink" Target="https://ref.ly/Eph6:1" TargetMode="External"/><Relationship Id="rId15555" Type="http://schemas.openxmlformats.org/officeDocument/2006/relationships/hyperlink" Target="https://ref.ly/Col3:20" TargetMode="External"/><Relationship Id="rId15556" Type="http://schemas.openxmlformats.org/officeDocument/2006/relationships/hyperlink" Target="https://ref.ly/Rom13:1-Rom13:7" TargetMode="External"/><Relationship Id="rId15557" Type="http://schemas.openxmlformats.org/officeDocument/2006/relationships/hyperlink" Target="https://ref.ly/Titus3:1" TargetMode="External"/><Relationship Id="rId15558" Type="http://schemas.openxmlformats.org/officeDocument/2006/relationships/hyperlink" Target="https://ref.ly/1Pet2:13-1Pet2:14" TargetMode="External"/><Relationship Id="rId15559" Type="http://schemas.openxmlformats.org/officeDocument/2006/relationships/hyperlink" Target="https://ref.ly/Titus2:9" TargetMode="External"/><Relationship Id="rId15560" Type="http://schemas.openxmlformats.org/officeDocument/2006/relationships/hyperlink" Target="https://ref.ly/John14:31" TargetMode="External"/><Relationship Id="rId15561" Type="http://schemas.openxmlformats.org/officeDocument/2006/relationships/hyperlink" Target="https://ref.ly/Heb11:24-Heb11:25" TargetMode="External"/><Relationship Id="rId15562" Type="http://schemas.openxmlformats.org/officeDocument/2006/relationships/hyperlink" Target="https://ref.ly/Phil2:7-Phil2:8" TargetMode="External"/><Relationship Id="rId15563" Type="http://schemas.openxmlformats.org/officeDocument/2006/relationships/hyperlink" Target="https://ref.ly/Num21:10-Num21:11" TargetMode="External"/><Relationship Id="rId15564" Type="http://schemas.openxmlformats.org/officeDocument/2006/relationships/hyperlink" Target="https://ref.ly/Num33:43-Num33:44" TargetMode="External"/><Relationship Id="rId15565" Type="http://schemas.openxmlformats.org/officeDocument/2006/relationships/hyperlink" Target="https://ref.ly/Jer6:21" TargetMode="External"/><Relationship Id="rId15566" Type="http://schemas.openxmlformats.org/officeDocument/2006/relationships/hyperlink" Target="https://ref.ly/Ezek7:19" TargetMode="External"/><Relationship Id="rId15567" Type="http://schemas.openxmlformats.org/officeDocument/2006/relationships/hyperlink" Target="https://ref.ly/Ezek44:12" TargetMode="External"/><Relationship Id="rId15568" Type="http://schemas.openxmlformats.org/officeDocument/2006/relationships/hyperlink" Target="https://ref.ly/Rom9:31-Rom9:32" TargetMode="External"/><Relationship Id="rId15569" Type="http://schemas.openxmlformats.org/officeDocument/2006/relationships/hyperlink" Target="https://ref.ly/Rom11:11-Rom11:12" TargetMode="External"/><Relationship Id="rId15570" Type="http://schemas.openxmlformats.org/officeDocument/2006/relationships/hyperlink" Target="https://ref.ly/1Cor8:9" TargetMode="External"/><Relationship Id="rId15571" Type="http://schemas.openxmlformats.org/officeDocument/2006/relationships/hyperlink" Target="https://ref.ly/Num7:72,Num7:77" TargetMode="External"/><Relationship Id="rId15572" Type="http://schemas.openxmlformats.org/officeDocument/2006/relationships/hyperlink" Target="https://ref.ly/Lev19:17-Lev19:18" TargetMode="External"/><Relationship Id="rId15573" Type="http://schemas.openxmlformats.org/officeDocument/2006/relationships/hyperlink" Target="https://ref.ly/1John3:15" TargetMode="External"/><Relationship Id="rId15574" Type="http://schemas.openxmlformats.org/officeDocument/2006/relationships/hyperlink" Target="https://ref.ly/Prov20:22" TargetMode="External"/><Relationship Id="rId15575" Type="http://schemas.openxmlformats.org/officeDocument/2006/relationships/hyperlink" Target="https://ref.ly/Matt5:43-Matt5:44" TargetMode="External"/><Relationship Id="rId15576" Type="http://schemas.openxmlformats.org/officeDocument/2006/relationships/hyperlink" Target="https://ref.ly/Prov6:16-Prov6:19" TargetMode="External"/><Relationship Id="rId15577" Type="http://schemas.openxmlformats.org/officeDocument/2006/relationships/hyperlink" Target="https://ref.ly/Ps5:5" TargetMode="External"/><Relationship Id="rId15578" Type="http://schemas.openxmlformats.org/officeDocument/2006/relationships/hyperlink" Target="https://ref.ly/Mal1:2-Mal1:3" TargetMode="External"/><Relationship Id="rId15579" Type="http://schemas.openxmlformats.org/officeDocument/2006/relationships/hyperlink" Target="https://ref.ly/Ezek25:12-Ezek25:13" TargetMode="External"/><Relationship Id="rId15580" Type="http://schemas.openxmlformats.org/officeDocument/2006/relationships/hyperlink" Target="https://ref.ly/Hos13:1" TargetMode="External"/><Relationship Id="rId15581" Type="http://schemas.openxmlformats.org/officeDocument/2006/relationships/hyperlink" Target="https://ref.ly/Deut22:26" TargetMode="External"/><Relationship Id="rId15582" Type="http://schemas.openxmlformats.org/officeDocument/2006/relationships/hyperlink" Target="https://ref.ly/Deut25:2" TargetMode="External"/><Relationship Id="rId15583" Type="http://schemas.openxmlformats.org/officeDocument/2006/relationships/hyperlink" Target="https://ref.ly/Jas2:10" TargetMode="External"/><Relationship Id="rId15584" Type="http://schemas.openxmlformats.org/officeDocument/2006/relationships/hyperlink" Target="https://ref.ly/Jas3:2" TargetMode="External"/><Relationship Id="rId15585" Type="http://schemas.openxmlformats.org/officeDocument/2006/relationships/hyperlink" Target="https://ref.ly/Gen20:9" TargetMode="External"/><Relationship Id="rId15586" Type="http://schemas.openxmlformats.org/officeDocument/2006/relationships/hyperlink" Target="https://ref.ly/Gen40:1" TargetMode="External"/><Relationship Id="rId15587" Type="http://schemas.openxmlformats.org/officeDocument/2006/relationships/hyperlink" Target="https://ref.ly/Gen31:36" TargetMode="External"/><Relationship Id="rId15588" Type="http://schemas.openxmlformats.org/officeDocument/2006/relationships/hyperlink" Target="https://ref.ly/Jer37:18" TargetMode="External"/><Relationship Id="rId15589" Type="http://schemas.openxmlformats.org/officeDocument/2006/relationships/hyperlink" Target="https://ref.ly/Acts25:8" TargetMode="External"/><Relationship Id="rId15590" Type="http://schemas.openxmlformats.org/officeDocument/2006/relationships/hyperlink" Target="https://ref.ly/Hos5:15" TargetMode="External"/><Relationship Id="rId15591" Type="http://schemas.openxmlformats.org/officeDocument/2006/relationships/hyperlink" Target="https://ref.ly/Job34:31" TargetMode="External"/><Relationship Id="rId15592" Type="http://schemas.openxmlformats.org/officeDocument/2006/relationships/hyperlink" Target="https://ref.ly/Prov17:9" TargetMode="External"/><Relationship Id="rId15593" Type="http://schemas.openxmlformats.org/officeDocument/2006/relationships/hyperlink" Target="https://ref.ly/Prov19:11" TargetMode="External"/><Relationship Id="rId15594" Type="http://schemas.openxmlformats.org/officeDocument/2006/relationships/hyperlink" Target="https://ref.ly/Rom5:15-Rom5:21" TargetMode="External"/><Relationship Id="rId15595" Type="http://schemas.openxmlformats.org/officeDocument/2006/relationships/hyperlink" Target="https://ref.ly/Matt5:29-Matt5:30" TargetMode="External"/><Relationship Id="rId15596" Type="http://schemas.openxmlformats.org/officeDocument/2006/relationships/hyperlink" Target="https://ref.ly/Matt18:8-Matt18:9" TargetMode="External"/><Relationship Id="rId15597" Type="http://schemas.openxmlformats.org/officeDocument/2006/relationships/hyperlink" Target="https://ref.ly/Matt18:7" TargetMode="External"/><Relationship Id="rId15598" Type="http://schemas.openxmlformats.org/officeDocument/2006/relationships/hyperlink" Target="https://ref.ly/Rom14:20-Rom14:21" TargetMode="External"/><Relationship Id="rId15599" Type="http://schemas.openxmlformats.org/officeDocument/2006/relationships/hyperlink" Target="https://ref.ly/2Cor6:3" TargetMode="External"/><Relationship Id="rId15600" Type="http://schemas.openxmlformats.org/officeDocument/2006/relationships/hyperlink" Target="https://ref.ly/Isa8:14" TargetMode="External"/><Relationship Id="rId15601" Type="http://schemas.openxmlformats.org/officeDocument/2006/relationships/hyperlink" Target="https://ref.ly/Rom9:32-Rom9:33" TargetMode="External"/><Relationship Id="rId15602" Type="http://schemas.openxmlformats.org/officeDocument/2006/relationships/hyperlink" Target="https://ref.ly/1Pet2:8" TargetMode="External"/><Relationship Id="rId15603" Type="http://schemas.openxmlformats.org/officeDocument/2006/relationships/hyperlink" Target="https://ref.ly/Matt15:12" TargetMode="External"/><Relationship Id="rId15604" Type="http://schemas.openxmlformats.org/officeDocument/2006/relationships/hyperlink" Target="https://ref.ly/Matt13:21" TargetMode="External"/><Relationship Id="rId15605" Type="http://schemas.openxmlformats.org/officeDocument/2006/relationships/hyperlink" Target="https://ref.ly/John6:61" TargetMode="External"/><Relationship Id="rId15606" Type="http://schemas.openxmlformats.org/officeDocument/2006/relationships/hyperlink" Target="https://ref.ly/Matt26:31,Matt26:56" TargetMode="External"/><Relationship Id="rId15607" Type="http://schemas.openxmlformats.org/officeDocument/2006/relationships/hyperlink" Target="https://ref.ly/Lev7:16" TargetMode="External"/><Relationship Id="rId15608" Type="http://schemas.openxmlformats.org/officeDocument/2006/relationships/hyperlink" Target="https://ref.ly/Deut12:6" TargetMode="External"/><Relationship Id="rId15609" Type="http://schemas.openxmlformats.org/officeDocument/2006/relationships/hyperlink" Target="https://ref.ly/Lev1:1-Lev6:7" TargetMode="External"/><Relationship Id="rId15610" Type="http://schemas.openxmlformats.org/officeDocument/2006/relationships/hyperlink" Target="https://ref.ly/Lev4:1-Lev5:13" TargetMode="External"/><Relationship Id="rId15611" Type="http://schemas.openxmlformats.org/officeDocument/2006/relationships/hyperlink" Target="https://ref.ly/Num28:1-Num29:40" TargetMode="External"/><Relationship Id="rId15612" Type="http://schemas.openxmlformats.org/officeDocument/2006/relationships/hyperlink" Target="https://ref.ly/Lev7:12-Lev7:14" TargetMode="External"/><Relationship Id="rId15613" Type="http://schemas.openxmlformats.org/officeDocument/2006/relationships/hyperlink" Target="https://ref.ly/Num15:3-Num15:4" TargetMode="External"/><Relationship Id="rId15614" Type="http://schemas.openxmlformats.org/officeDocument/2006/relationships/hyperlink" Target="https://ref.ly/Lev1:9,Lev1:17" TargetMode="External"/><Relationship Id="rId15615" Type="http://schemas.openxmlformats.org/officeDocument/2006/relationships/hyperlink" Target="https://ref.ly/Lev2:2,Lev2:9,Lev2:12" TargetMode="External"/><Relationship Id="rId15616" Type="http://schemas.openxmlformats.org/officeDocument/2006/relationships/hyperlink" Target="https://ref.ly/Lev3:5,Lev3:11,Lev3:16" TargetMode="External"/><Relationship Id="rId15617" Type="http://schemas.openxmlformats.org/officeDocument/2006/relationships/hyperlink" Target="https://ref.ly/Gen8:21" TargetMode="External"/><Relationship Id="rId15618" Type="http://schemas.openxmlformats.org/officeDocument/2006/relationships/hyperlink" Target="https://ref.ly/Amos5:21-Amos5:23" TargetMode="External"/><Relationship Id="rId15619" Type="http://schemas.openxmlformats.org/officeDocument/2006/relationships/hyperlink" Target="https://ref.ly/Lev4:1-Lev6:7" TargetMode="External"/><Relationship Id="rId15620" Type="http://schemas.openxmlformats.org/officeDocument/2006/relationships/hyperlink" Target="https://ref.ly/Lev2:3,Lev2:10" TargetMode="External"/><Relationship Id="rId15621" Type="http://schemas.openxmlformats.org/officeDocument/2006/relationships/hyperlink" Target="https://ref.ly/Lev10:12-Lev10:17" TargetMode="External"/><Relationship Id="rId15622" Type="http://schemas.openxmlformats.org/officeDocument/2006/relationships/hyperlink" Target="https://ref.ly/Lev14:13" TargetMode="External"/><Relationship Id="rId15623" Type="http://schemas.openxmlformats.org/officeDocument/2006/relationships/hyperlink" Target="https://ref.ly/Num18:9" TargetMode="External"/><Relationship Id="rId15624" Type="http://schemas.openxmlformats.org/officeDocument/2006/relationships/hyperlink" Target="https://ref.ly/Lev6:17,Lev6:26,Lev6:29" TargetMode="External"/><Relationship Id="rId15625" Type="http://schemas.openxmlformats.org/officeDocument/2006/relationships/hyperlink" Target="https://ref.ly/Lev7:1,Lev7:6" TargetMode="External"/><Relationship Id="rId15626" Type="http://schemas.openxmlformats.org/officeDocument/2006/relationships/hyperlink" Target="https://ref.ly/2Chr31:3" TargetMode="External"/><Relationship Id="rId15627" Type="http://schemas.openxmlformats.org/officeDocument/2006/relationships/hyperlink" Target="https://ref.ly/1Chr23:28-1Chr23:32" TargetMode="External"/><Relationship Id="rId15628" Type="http://schemas.openxmlformats.org/officeDocument/2006/relationships/hyperlink" Target="https://ref.ly/1Chr26:15,1Chr26:20-1Chr26:22" TargetMode="External"/><Relationship Id="rId15629" Type="http://schemas.openxmlformats.org/officeDocument/2006/relationships/hyperlink" Target="https://ref.ly/2Chr13:10-2Chr13:11" TargetMode="External"/><Relationship Id="rId15630" Type="http://schemas.openxmlformats.org/officeDocument/2006/relationships/hyperlink" Target="https://ref.ly/2Chr30:3-2Chr30:19" TargetMode="External"/><Relationship Id="rId15631" Type="http://schemas.openxmlformats.org/officeDocument/2006/relationships/hyperlink" Target="https://ref.ly/2Chr34:9-2Chr34:11" TargetMode="External"/><Relationship Id="rId15632" Type="http://schemas.openxmlformats.org/officeDocument/2006/relationships/hyperlink" Target="https://ref.ly/Lev7:7-Lev7:10" TargetMode="External"/><Relationship Id="rId15633" Type="http://schemas.openxmlformats.org/officeDocument/2006/relationships/hyperlink" Target="https://ref.ly/Lev7:11-Lev7:36" TargetMode="External"/><Relationship Id="rId15634" Type="http://schemas.openxmlformats.org/officeDocument/2006/relationships/hyperlink" Target="https://ref.ly/Lev23:19-Lev23:20" TargetMode="External"/><Relationship Id="rId15635" Type="http://schemas.openxmlformats.org/officeDocument/2006/relationships/hyperlink" Target="https://ref.ly/Num7:87-Num7:88" TargetMode="External"/><Relationship Id="rId15636" Type="http://schemas.openxmlformats.org/officeDocument/2006/relationships/hyperlink" Target="https://ref.ly/Num7:15-Num7:17" TargetMode="External"/><Relationship Id="rId15637" Type="http://schemas.openxmlformats.org/officeDocument/2006/relationships/hyperlink" Target="https://ref.ly/Num18:8-Num18:11" TargetMode="External"/><Relationship Id="rId15638" Type="http://schemas.openxmlformats.org/officeDocument/2006/relationships/hyperlink" Target="https://ref.ly/2Chr31:4-2Chr31:19" TargetMode="External"/><Relationship Id="rId15639" Type="http://schemas.openxmlformats.org/officeDocument/2006/relationships/hyperlink" Target="https://ref.ly/Num15:24" TargetMode="External"/><Relationship Id="rId15640" Type="http://schemas.openxmlformats.org/officeDocument/2006/relationships/hyperlink" Target="https://ref.ly/Num28:19-Num28:22" TargetMode="External"/><Relationship Id="rId15641" Type="http://schemas.openxmlformats.org/officeDocument/2006/relationships/hyperlink" Target="https://ref.ly/Lev23:18-Lev23:19" TargetMode="External"/><Relationship Id="rId15642" Type="http://schemas.openxmlformats.org/officeDocument/2006/relationships/hyperlink" Target="https://ref.ly/Num28:27-Num28:30" TargetMode="External"/><Relationship Id="rId15643" Type="http://schemas.openxmlformats.org/officeDocument/2006/relationships/hyperlink" Target="https://ref.ly/Num29:2-Num29:5" TargetMode="External"/><Relationship Id="rId15644" Type="http://schemas.openxmlformats.org/officeDocument/2006/relationships/hyperlink" Target="https://ref.ly/Num29:8-Num29:11" TargetMode="External"/><Relationship Id="rId15645" Type="http://schemas.openxmlformats.org/officeDocument/2006/relationships/hyperlink" Target="https://ref.ly/Num29:12-Num29:16" TargetMode="External"/><Relationship Id="rId15646" Type="http://schemas.openxmlformats.org/officeDocument/2006/relationships/hyperlink" Target="https://ref.ly/Lev12:6-Lev12:8" TargetMode="External"/><Relationship Id="rId15647" Type="http://schemas.openxmlformats.org/officeDocument/2006/relationships/hyperlink" Target="https://ref.ly/Num6:14-Num6:15" TargetMode="External"/><Relationship Id="rId15648" Type="http://schemas.openxmlformats.org/officeDocument/2006/relationships/hyperlink" Target="https://ref.ly/Num6:16-Num6:17" TargetMode="External"/><Relationship Id="rId15649" Type="http://schemas.openxmlformats.org/officeDocument/2006/relationships/hyperlink" Target="https://ref.ly/Num6:11" TargetMode="External"/><Relationship Id="rId15650" Type="http://schemas.openxmlformats.org/officeDocument/2006/relationships/hyperlink" Target="https://ref.ly/Num6:12" TargetMode="External"/><Relationship Id="rId15651" Type="http://schemas.openxmlformats.org/officeDocument/2006/relationships/hyperlink" Target="https://ref.ly/Ezek43:18-Ezek43:27" TargetMode="External"/><Relationship Id="rId15652" Type="http://schemas.openxmlformats.org/officeDocument/2006/relationships/hyperlink" Target="https://ref.ly/Lev14:19" TargetMode="External"/><Relationship Id="rId15653" Type="http://schemas.openxmlformats.org/officeDocument/2006/relationships/hyperlink" Target="https://ref.ly/Lev14:12-Lev14:20" TargetMode="External"/><Relationship Id="rId15654" Type="http://schemas.openxmlformats.org/officeDocument/2006/relationships/hyperlink" Target="https://ref.ly/Lev15:15" TargetMode="External"/><Relationship Id="rId15655" Type="http://schemas.openxmlformats.org/officeDocument/2006/relationships/hyperlink" Target="https://ref.ly/Lev15:30" TargetMode="External"/><Relationship Id="rId15656" Type="http://schemas.openxmlformats.org/officeDocument/2006/relationships/hyperlink" Target="https://ref.ly/Lev16:3-Lev16:6,Lev16:11,Lev16:15,Lev16:24" TargetMode="External"/><Relationship Id="rId15657" Type="http://schemas.openxmlformats.org/officeDocument/2006/relationships/hyperlink" Target="https://ref.ly/Exod29:10-Exod29:18" TargetMode="External"/><Relationship Id="rId15658" Type="http://schemas.openxmlformats.org/officeDocument/2006/relationships/hyperlink" Target="https://ref.ly/Lev8:14-Lev8:21" TargetMode="External"/><Relationship Id="rId15659" Type="http://schemas.openxmlformats.org/officeDocument/2006/relationships/hyperlink" Target="https://ref.ly/Exod29:19-Exod29:34" TargetMode="External"/><Relationship Id="rId15660" Type="http://schemas.openxmlformats.org/officeDocument/2006/relationships/hyperlink" Target="https://ref.ly/Lev8:22-Lev8:29" TargetMode="External"/><Relationship Id="rId15661" Type="http://schemas.openxmlformats.org/officeDocument/2006/relationships/hyperlink" Target="https://ref.ly/Lev9:7-Lev9:22" TargetMode="External"/><Relationship Id="rId15662" Type="http://schemas.openxmlformats.org/officeDocument/2006/relationships/hyperlink" Target="https://ref.ly/2Chr29:20-2Chr29:36" TargetMode="External"/><Relationship Id="rId15663" Type="http://schemas.openxmlformats.org/officeDocument/2006/relationships/hyperlink" Target="https://ref.ly/Deut12:17-Deut12:19" TargetMode="External"/><Relationship Id="rId15664" Type="http://schemas.openxmlformats.org/officeDocument/2006/relationships/hyperlink" Target="https://ref.ly/Lev6:24-Lev6:30" TargetMode="External"/><Relationship Id="rId15665" Type="http://schemas.openxmlformats.org/officeDocument/2006/relationships/hyperlink" Target="https://ref.ly/Lev4:14" TargetMode="External"/><Relationship Id="rId15666" Type="http://schemas.openxmlformats.org/officeDocument/2006/relationships/hyperlink" Target="https://ref.ly/Lev4:23" TargetMode="External"/><Relationship Id="rId15667" Type="http://schemas.openxmlformats.org/officeDocument/2006/relationships/hyperlink" Target="https://ref.ly/Lev4:28" TargetMode="External"/><Relationship Id="rId15668" Type="http://schemas.openxmlformats.org/officeDocument/2006/relationships/hyperlink" Target="https://ref.ly/Num15:27" TargetMode="External"/><Relationship Id="rId15669" Type="http://schemas.openxmlformats.org/officeDocument/2006/relationships/hyperlink" Target="https://ref.ly/Lev4:32" TargetMode="External"/><Relationship Id="rId15670" Type="http://schemas.openxmlformats.org/officeDocument/2006/relationships/hyperlink" Target="https://ref.ly/Lev5:7" TargetMode="External"/><Relationship Id="rId15671" Type="http://schemas.openxmlformats.org/officeDocument/2006/relationships/hyperlink" Target="https://ref.ly/Lev5:11-Lev5:13" TargetMode="External"/><Relationship Id="rId15672" Type="http://schemas.openxmlformats.org/officeDocument/2006/relationships/hyperlink" Target="https://ref.ly/Lev4:4" TargetMode="External"/><Relationship Id="rId15673" Type="http://schemas.openxmlformats.org/officeDocument/2006/relationships/hyperlink" Target="https://ref.ly/Lev4:24,Lev4:29" TargetMode="External"/><Relationship Id="rId15674" Type="http://schemas.openxmlformats.org/officeDocument/2006/relationships/hyperlink" Target="https://ref.ly/Lev4:5-Lev4:7" TargetMode="External"/><Relationship Id="rId15675" Type="http://schemas.openxmlformats.org/officeDocument/2006/relationships/hyperlink" Target="https://ref.ly/Lev4:16-Lev4:18" TargetMode="External"/><Relationship Id="rId15676" Type="http://schemas.openxmlformats.org/officeDocument/2006/relationships/hyperlink" Target="https://ref.ly/Lev16:14-Lev16:15" TargetMode="External"/><Relationship Id="rId15677" Type="http://schemas.openxmlformats.org/officeDocument/2006/relationships/hyperlink" Target="https://ref.ly/Lev4:25,Lev4:30,Lev4:34" TargetMode="External"/><Relationship Id="rId15678" Type="http://schemas.openxmlformats.org/officeDocument/2006/relationships/hyperlink" Target="https://ref.ly/Lev5:9" TargetMode="External"/><Relationship Id="rId15679" Type="http://schemas.openxmlformats.org/officeDocument/2006/relationships/hyperlink" Target="https://ref.ly/Lev4:8-Lev4:10" TargetMode="External"/><Relationship Id="rId15680" Type="http://schemas.openxmlformats.org/officeDocument/2006/relationships/hyperlink" Target="https://ref.ly/Exod29:10-Exod29:14" TargetMode="External"/><Relationship Id="rId15681" Type="http://schemas.openxmlformats.org/officeDocument/2006/relationships/hyperlink" Target="https://ref.ly/Lev8:14-Lev8:17" TargetMode="External"/><Relationship Id="rId15682" Type="http://schemas.openxmlformats.org/officeDocument/2006/relationships/hyperlink" Target="https://ref.ly/Lev6:25-Lev6:30" TargetMode="External"/><Relationship Id="rId15683" Type="http://schemas.openxmlformats.org/officeDocument/2006/relationships/hyperlink" Target="https://ref.ly/Lev10:16-Lev10:20" TargetMode="External"/><Relationship Id="rId15684" Type="http://schemas.openxmlformats.org/officeDocument/2006/relationships/hyperlink" Target="https://ref.ly/Num28:15" TargetMode="External"/><Relationship Id="rId15685" Type="http://schemas.openxmlformats.org/officeDocument/2006/relationships/hyperlink" Target="https://ref.ly/Num28:22-Num28:24" TargetMode="External"/><Relationship Id="rId15686" Type="http://schemas.openxmlformats.org/officeDocument/2006/relationships/hyperlink" Target="https://ref.ly/Num28:30" TargetMode="External"/><Relationship Id="rId15687" Type="http://schemas.openxmlformats.org/officeDocument/2006/relationships/hyperlink" Target="https://ref.ly/Num29:5" TargetMode="External"/><Relationship Id="rId15688" Type="http://schemas.openxmlformats.org/officeDocument/2006/relationships/hyperlink" Target="https://ref.ly/Num29:11" TargetMode="External"/><Relationship Id="rId15689" Type="http://schemas.openxmlformats.org/officeDocument/2006/relationships/hyperlink" Target="https://ref.ly/Num29:16,Num29:19" TargetMode="External"/><Relationship Id="rId15690" Type="http://schemas.openxmlformats.org/officeDocument/2006/relationships/hyperlink" Target="https://ref.ly/Lev14:12-Lev14:14,Lev14:19-Lev14:22" TargetMode="External"/><Relationship Id="rId15691" Type="http://schemas.openxmlformats.org/officeDocument/2006/relationships/hyperlink" Target="https://ref.ly/Lev15:14-Lev15:15,Lev15:29-Lev15:30" TargetMode="External"/><Relationship Id="rId15692" Type="http://schemas.openxmlformats.org/officeDocument/2006/relationships/hyperlink" Target="https://ref.ly/Num6:10-Num6:11" TargetMode="External"/><Relationship Id="rId15693" Type="http://schemas.openxmlformats.org/officeDocument/2006/relationships/hyperlink" Target="https://ref.ly/Lev7:1-Lev7:7" TargetMode="External"/><Relationship Id="rId15694" Type="http://schemas.openxmlformats.org/officeDocument/2006/relationships/hyperlink" Target="https://ref.ly/Lev5:16" TargetMode="External"/><Relationship Id="rId15695" Type="http://schemas.openxmlformats.org/officeDocument/2006/relationships/hyperlink" Target="https://ref.ly/Lev6:5" TargetMode="External"/><Relationship Id="rId15696" Type="http://schemas.openxmlformats.org/officeDocument/2006/relationships/hyperlink" Target="https://ref.ly/Lev5:15,Lev5:18" TargetMode="External"/><Relationship Id="rId15697" Type="http://schemas.openxmlformats.org/officeDocument/2006/relationships/hyperlink" Target="https://ref.ly/Lev6:6" TargetMode="External"/><Relationship Id="rId15698" Type="http://schemas.openxmlformats.org/officeDocument/2006/relationships/hyperlink" Target="https://ref.ly/Lev14:12,Lev14:21" TargetMode="External"/><Relationship Id="rId15699" Type="http://schemas.openxmlformats.org/officeDocument/2006/relationships/hyperlink" Target="https://ref.ly/Lev7:2" TargetMode="External"/><Relationship Id="rId15700" Type="http://schemas.openxmlformats.org/officeDocument/2006/relationships/hyperlink" Target="https://ref.ly/Lev7:3-Lev7:5" TargetMode="External"/><Relationship Id="rId15701" Type="http://schemas.openxmlformats.org/officeDocument/2006/relationships/hyperlink" Target="https://ref.ly/Lev14:14" TargetMode="External"/><Relationship Id="rId15702" Type="http://schemas.openxmlformats.org/officeDocument/2006/relationships/hyperlink" Target="https://ref.ly/Lev7:6-Lev7:7" TargetMode="External"/><Relationship Id="rId15703" Type="http://schemas.openxmlformats.org/officeDocument/2006/relationships/hyperlink" Target="https://ref.ly/Lev5:14-Lev5:19" TargetMode="External"/><Relationship Id="rId15704" Type="http://schemas.openxmlformats.org/officeDocument/2006/relationships/hyperlink" Target="https://ref.ly/Lev22:14" TargetMode="External"/><Relationship Id="rId15705" Type="http://schemas.openxmlformats.org/officeDocument/2006/relationships/hyperlink" Target="https://ref.ly/2Kgs12:16" TargetMode="External"/><Relationship Id="rId15706" Type="http://schemas.openxmlformats.org/officeDocument/2006/relationships/hyperlink" Target="https://ref.ly/Lev14:12-Lev14:18" TargetMode="External"/><Relationship Id="rId15707" Type="http://schemas.openxmlformats.org/officeDocument/2006/relationships/hyperlink" Target="https://ref.ly/Lev6:1-Lev6:5" TargetMode="External"/><Relationship Id="rId15708" Type="http://schemas.openxmlformats.org/officeDocument/2006/relationships/hyperlink" Target="https://ref.ly/Lev19:20-Lev19:22" TargetMode="External"/><Relationship Id="rId15709" Type="http://schemas.openxmlformats.org/officeDocument/2006/relationships/hyperlink" Target="https://ref.ly/Lev1:3-Lev1:17" TargetMode="External"/><Relationship Id="rId15710" Type="http://schemas.openxmlformats.org/officeDocument/2006/relationships/hyperlink" Target="https://ref.ly/Lev6:8-Lev6:13" TargetMode="External"/><Relationship Id="rId15711" Type="http://schemas.openxmlformats.org/officeDocument/2006/relationships/hyperlink" Target="https://ref.ly/Exod29:38-Exod29:42" TargetMode="External"/><Relationship Id="rId15712" Type="http://schemas.openxmlformats.org/officeDocument/2006/relationships/hyperlink" Target="https://ref.ly/Num28:1-Num28:8" TargetMode="External"/><Relationship Id="rId15713" Type="http://schemas.openxmlformats.org/officeDocument/2006/relationships/hyperlink" Target="https://ref.ly/Num28:19-Num28:24" TargetMode="External"/><Relationship Id="rId15714" Type="http://schemas.openxmlformats.org/officeDocument/2006/relationships/hyperlink" Target="https://ref.ly/Num28:6-Num28:29" TargetMode="External"/><Relationship Id="rId15715" Type="http://schemas.openxmlformats.org/officeDocument/2006/relationships/hyperlink" Target="https://ref.ly/Num29:2-Num29:4" TargetMode="External"/><Relationship Id="rId15716" Type="http://schemas.openxmlformats.org/officeDocument/2006/relationships/hyperlink" Target="https://ref.ly/Num29:17-Num29:25" TargetMode="External"/><Relationship Id="rId15717" Type="http://schemas.openxmlformats.org/officeDocument/2006/relationships/hyperlink" Target="https://ref.ly/Lev15:14-Lev15:15" TargetMode="External"/><Relationship Id="rId15718" Type="http://schemas.openxmlformats.org/officeDocument/2006/relationships/hyperlink" Target="https://ref.ly/Lev14:10,Lev14:19-Lev14:22,Lev14:31" TargetMode="External"/><Relationship Id="rId15719" Type="http://schemas.openxmlformats.org/officeDocument/2006/relationships/hyperlink" Target="https://ref.ly/Num6:14-Num6:16" TargetMode="External"/><Relationship Id="rId15720" Type="http://schemas.openxmlformats.org/officeDocument/2006/relationships/hyperlink" Target="https://ref.ly/Lev6:14-Lev6:23" TargetMode="External"/><Relationship Id="rId15721" Type="http://schemas.openxmlformats.org/officeDocument/2006/relationships/hyperlink" Target="https://ref.ly/Gen4:3-Gen4:5" TargetMode="External"/><Relationship Id="rId15722" Type="http://schemas.openxmlformats.org/officeDocument/2006/relationships/hyperlink" Target="https://ref.ly/Judg6:18" TargetMode="External"/><Relationship Id="rId15723" Type="http://schemas.openxmlformats.org/officeDocument/2006/relationships/hyperlink" Target="https://ref.ly/1Sam2:17" TargetMode="External"/><Relationship Id="rId15724" Type="http://schemas.openxmlformats.org/officeDocument/2006/relationships/hyperlink" Target="https://ref.ly/Lev2:14" TargetMode="External"/><Relationship Id="rId15725" Type="http://schemas.openxmlformats.org/officeDocument/2006/relationships/hyperlink" Target="https://ref.ly/Lev2:2" TargetMode="External"/><Relationship Id="rId15726" Type="http://schemas.openxmlformats.org/officeDocument/2006/relationships/hyperlink" Target="https://ref.ly/Lev6:16" TargetMode="External"/><Relationship Id="rId15727" Type="http://schemas.openxmlformats.org/officeDocument/2006/relationships/hyperlink" Target="https://ref.ly/Lev7:9" TargetMode="External"/><Relationship Id="rId15728" Type="http://schemas.openxmlformats.org/officeDocument/2006/relationships/hyperlink" Target="https://ref.ly/Lev6:22-Lev6:23" TargetMode="External"/><Relationship Id="rId15729" Type="http://schemas.openxmlformats.org/officeDocument/2006/relationships/hyperlink" Target="https://ref.ly/Num15:2-Num15:10" TargetMode="External"/><Relationship Id="rId15730" Type="http://schemas.openxmlformats.org/officeDocument/2006/relationships/hyperlink" Target="https://ref.ly/Lev14:10,Lev14:20-Lev14:21,Lev14:31" TargetMode="External"/><Relationship Id="rId15731" Type="http://schemas.openxmlformats.org/officeDocument/2006/relationships/hyperlink" Target="https://ref.ly/Num6:13-Num6:15" TargetMode="External"/><Relationship Id="rId15732" Type="http://schemas.openxmlformats.org/officeDocument/2006/relationships/hyperlink" Target="https://ref.ly/Num15:4" TargetMode="External"/><Relationship Id="rId15733" Type="http://schemas.openxmlformats.org/officeDocument/2006/relationships/hyperlink" Target="https://ref.ly/Num5:15,Num5:18,Num5:25-Num5:26" TargetMode="External"/><Relationship Id="rId15734" Type="http://schemas.openxmlformats.org/officeDocument/2006/relationships/hyperlink" Target="https://ref.ly/Num15:1-Num15:10" TargetMode="External"/><Relationship Id="rId15735" Type="http://schemas.openxmlformats.org/officeDocument/2006/relationships/hyperlink" Target="https://ref.ly/Exod29:40" TargetMode="External"/><Relationship Id="rId15736" Type="http://schemas.openxmlformats.org/officeDocument/2006/relationships/hyperlink" Target="https://ref.ly/Ps16:4" TargetMode="External"/><Relationship Id="rId15737" Type="http://schemas.openxmlformats.org/officeDocument/2006/relationships/hyperlink" Target="https://ref.ly/Num15:7" TargetMode="External"/><Relationship Id="rId15738" Type="http://schemas.openxmlformats.org/officeDocument/2006/relationships/hyperlink" Target="https://ref.ly/Exod29:40-Exod29:41" TargetMode="External"/><Relationship Id="rId15739" Type="http://schemas.openxmlformats.org/officeDocument/2006/relationships/hyperlink" Target="https://ref.ly/Num28:9" TargetMode="External"/><Relationship Id="rId15740" Type="http://schemas.openxmlformats.org/officeDocument/2006/relationships/hyperlink" Target="https://ref.ly/Num29:18,Num29:21" TargetMode="External"/><Relationship Id="rId15741" Type="http://schemas.openxmlformats.org/officeDocument/2006/relationships/hyperlink" Target="https://ref.ly/Num28:16-Num29:11" TargetMode="External"/><Relationship Id="rId15742" Type="http://schemas.openxmlformats.org/officeDocument/2006/relationships/hyperlink" Target="https://ref.ly/Ezek45:11" TargetMode="External"/><Relationship Id="rId15743" Type="http://schemas.openxmlformats.org/officeDocument/2006/relationships/hyperlink" Target="https://ref.ly/Num6:17" TargetMode="External"/><Relationship Id="rId15744" Type="http://schemas.openxmlformats.org/officeDocument/2006/relationships/hyperlink" Target="https://ref.ly/Lev14:10-Lev14:20" TargetMode="External"/><Relationship Id="rId15745" Type="http://schemas.openxmlformats.org/officeDocument/2006/relationships/hyperlink" Target="https://ref.ly/Amos5:22" TargetMode="External"/><Relationship Id="rId15746" Type="http://schemas.openxmlformats.org/officeDocument/2006/relationships/hyperlink" Target="https://ref.ly/Lev3:1,Lev3:6,Lev3:12" TargetMode="External"/><Relationship Id="rId15747" Type="http://schemas.openxmlformats.org/officeDocument/2006/relationships/hyperlink" Target="https://ref.ly/Num6:15-Num6:19" TargetMode="External"/><Relationship Id="rId15748" Type="http://schemas.openxmlformats.org/officeDocument/2006/relationships/hyperlink" Target="https://ref.ly/Lev3:1-Lev3:2,Lev3:7-Lev3:8,Lev3:12-Lev3:13" TargetMode="External"/><Relationship Id="rId15749" Type="http://schemas.openxmlformats.org/officeDocument/2006/relationships/hyperlink" Target="https://ref.ly/Lev7:29-Lev7:30" TargetMode="External"/><Relationship Id="rId15750" Type="http://schemas.openxmlformats.org/officeDocument/2006/relationships/hyperlink" Target="https://ref.ly/Lev3:2,Lev3:8,Lev3:13" TargetMode="External"/><Relationship Id="rId15751" Type="http://schemas.openxmlformats.org/officeDocument/2006/relationships/hyperlink" Target="https://ref.ly/Lev3:3-Lev3:5,Lev3:6-Lev3:11,Lev3:14-Lev3:16" TargetMode="External"/><Relationship Id="rId15752" Type="http://schemas.openxmlformats.org/officeDocument/2006/relationships/hyperlink" Target="https://ref.ly/Lev7:14,Lev7:30-Lev7:36" TargetMode="External"/><Relationship Id="rId15753" Type="http://schemas.openxmlformats.org/officeDocument/2006/relationships/hyperlink" Target="https://ref.ly/Num6:20" TargetMode="External"/><Relationship Id="rId15754" Type="http://schemas.openxmlformats.org/officeDocument/2006/relationships/hyperlink" Target="https://ref.ly/Num18:10-Num18:11" TargetMode="External"/><Relationship Id="rId15755" Type="http://schemas.openxmlformats.org/officeDocument/2006/relationships/hyperlink" Target="https://ref.ly/Deut12:12,Deut12:18-Deut12:19" TargetMode="External"/><Relationship Id="rId15756" Type="http://schemas.openxmlformats.org/officeDocument/2006/relationships/hyperlink" Target="https://ref.ly/Deut12:6-Deut12:7,Deut12:11-Deut12:12,Deut12:15-Deut12:19" TargetMode="External"/><Relationship Id="rId15757" Type="http://schemas.openxmlformats.org/officeDocument/2006/relationships/hyperlink" Target="https://ref.ly/1Sam1:3-1Sam1:4" TargetMode="External"/><Relationship Id="rId15758" Type="http://schemas.openxmlformats.org/officeDocument/2006/relationships/hyperlink" Target="https://ref.ly/Lev7:19-Lev7:21" TargetMode="External"/><Relationship Id="rId15759" Type="http://schemas.openxmlformats.org/officeDocument/2006/relationships/hyperlink" Target="https://ref.ly/Lev19:5-Lev19:8" TargetMode="External"/><Relationship Id="rId15760" Type="http://schemas.openxmlformats.org/officeDocument/2006/relationships/hyperlink" Target="https://ref.ly/Deut12:16,Deut12:20-Deut12:22" TargetMode="External"/><Relationship Id="rId15761" Type="http://schemas.openxmlformats.org/officeDocument/2006/relationships/hyperlink" Target="https://ref.ly/Lev7:15" TargetMode="External"/><Relationship Id="rId15762" Type="http://schemas.openxmlformats.org/officeDocument/2006/relationships/hyperlink" Target="https://ref.ly/Lev7:16-Lev7:18" TargetMode="External"/><Relationship Id="rId15763" Type="http://schemas.openxmlformats.org/officeDocument/2006/relationships/hyperlink" Target="https://ref.ly/Num6:17-Num6:20" TargetMode="External"/><Relationship Id="rId15764" Type="http://schemas.openxmlformats.org/officeDocument/2006/relationships/hyperlink" Target="https://ref.ly/Exod29:19-Exod29:22,Exod29:28" TargetMode="External"/><Relationship Id="rId15765" Type="http://schemas.openxmlformats.org/officeDocument/2006/relationships/hyperlink" Target="https://ref.ly/1Kgs8:63" TargetMode="External"/><Relationship Id="rId15766" Type="http://schemas.openxmlformats.org/officeDocument/2006/relationships/hyperlink" Target="https://ref.ly/2Chr7:5" TargetMode="External"/><Relationship Id="rId15767" Type="http://schemas.openxmlformats.org/officeDocument/2006/relationships/hyperlink" Target="https://ref.ly/1Sam11:15" TargetMode="External"/><Relationship Id="rId15768" Type="http://schemas.openxmlformats.org/officeDocument/2006/relationships/hyperlink" Target="https://ref.ly/1Kgs1:9,1Kgs1:19" TargetMode="External"/><Relationship Id="rId15769" Type="http://schemas.openxmlformats.org/officeDocument/2006/relationships/hyperlink" Target="https://ref.ly/2Chr29:31-2Chr29:36" TargetMode="External"/><Relationship Id="rId15770" Type="http://schemas.openxmlformats.org/officeDocument/2006/relationships/hyperlink" Target="https://ref.ly/1Sam20:6" TargetMode="External"/><Relationship Id="rId15771" Type="http://schemas.openxmlformats.org/officeDocument/2006/relationships/hyperlink" Target="https://ref.ly/Exod22:29-Exod22:31" TargetMode="External"/><Relationship Id="rId15772" Type="http://schemas.openxmlformats.org/officeDocument/2006/relationships/hyperlink" Target="https://ref.ly/1Sam9:11-1Sam9:14,1Sam9:22-1Sam9:24" TargetMode="External"/><Relationship Id="rId15773" Type="http://schemas.openxmlformats.org/officeDocument/2006/relationships/hyperlink" Target="https://ref.ly/1Sam16:4-1Sam16:5" TargetMode="External"/><Relationship Id="rId15774" Type="http://schemas.openxmlformats.org/officeDocument/2006/relationships/hyperlink" Target="https://ref.ly/Isa10:15" TargetMode="External"/><Relationship Id="rId15775" Type="http://schemas.openxmlformats.org/officeDocument/2006/relationships/hyperlink" Target="https://ref.ly/Exod38:29" TargetMode="External"/><Relationship Id="rId15776" Type="http://schemas.openxmlformats.org/officeDocument/2006/relationships/hyperlink" Target="https://ref.ly/Lev14:12" TargetMode="External"/><Relationship Id="rId15777" Type="http://schemas.openxmlformats.org/officeDocument/2006/relationships/hyperlink" Target="https://ref.ly/Exod34:20" TargetMode="External"/><Relationship Id="rId15778" Type="http://schemas.openxmlformats.org/officeDocument/2006/relationships/hyperlink" Target="https://ref.ly/Deut16:10,Deut16:16-Deut16:17" TargetMode="External"/><Relationship Id="rId15779" Type="http://schemas.openxmlformats.org/officeDocument/2006/relationships/hyperlink" Target="https://ref.ly/2Chr35:8" TargetMode="External"/><Relationship Id="rId15780" Type="http://schemas.openxmlformats.org/officeDocument/2006/relationships/hyperlink" Target="https://ref.ly/Ezra3:5" TargetMode="External"/><Relationship Id="rId15781" Type="http://schemas.openxmlformats.org/officeDocument/2006/relationships/hyperlink" Target="https://ref.ly/Lev22:18,Lev22:21-Lev22:23" TargetMode="External"/><Relationship Id="rId15782" Type="http://schemas.openxmlformats.org/officeDocument/2006/relationships/hyperlink" Target="https://ref.ly/Lev23:28" TargetMode="External"/><Relationship Id="rId15783" Type="http://schemas.openxmlformats.org/officeDocument/2006/relationships/hyperlink" Target="https://ref.ly/Num15:3" TargetMode="External"/><Relationship Id="rId15784" Type="http://schemas.openxmlformats.org/officeDocument/2006/relationships/hyperlink" Target="https://ref.ly/Num29:39" TargetMode="External"/><Relationship Id="rId15785" Type="http://schemas.openxmlformats.org/officeDocument/2006/relationships/hyperlink" Target="https://ref.ly/Deut12:6,Deut12:17" TargetMode="External"/><Relationship Id="rId15786" Type="http://schemas.openxmlformats.org/officeDocument/2006/relationships/hyperlink" Target="https://ref.ly/Lev22:17-Lev22:24" TargetMode="External"/><Relationship Id="rId15787" Type="http://schemas.openxmlformats.org/officeDocument/2006/relationships/hyperlink" Target="https://ref.ly/Ezek46:12" TargetMode="External"/><Relationship Id="rId15788" Type="http://schemas.openxmlformats.org/officeDocument/2006/relationships/hyperlink" Target="https://ref.ly/Lev7:16-Lev7:17" TargetMode="External"/><Relationship Id="rId15789" Type="http://schemas.openxmlformats.org/officeDocument/2006/relationships/hyperlink" Target="https://ref.ly/Exod25:7" TargetMode="External"/><Relationship Id="rId15790" Type="http://schemas.openxmlformats.org/officeDocument/2006/relationships/hyperlink" Target="https://ref.ly/Exod35:9,Exod35:27" TargetMode="External"/><Relationship Id="rId15791" Type="http://schemas.openxmlformats.org/officeDocument/2006/relationships/hyperlink" Target="https://ref.ly/Exod32:29" TargetMode="External"/><Relationship Id="rId15792" Type="http://schemas.openxmlformats.org/officeDocument/2006/relationships/hyperlink" Target="https://ref.ly/2Chr29:31" TargetMode="External"/><Relationship Id="rId15793" Type="http://schemas.openxmlformats.org/officeDocument/2006/relationships/hyperlink" Target="https://ref.ly/Lev8:22-Lev8:32" TargetMode="External"/><Relationship Id="rId15794" Type="http://schemas.openxmlformats.org/officeDocument/2006/relationships/hyperlink" Target="https://ref.ly/1Kgs22:48-1Kgs22:49" TargetMode="External"/><Relationship Id="rId15795" Type="http://schemas.openxmlformats.org/officeDocument/2006/relationships/hyperlink" Target="https://ref.ly/Job22:24" TargetMode="External"/><Relationship Id="rId15796" Type="http://schemas.openxmlformats.org/officeDocument/2006/relationships/hyperlink" Target="https://ref.ly/Job28:16" TargetMode="External"/><Relationship Id="rId15797" Type="http://schemas.openxmlformats.org/officeDocument/2006/relationships/hyperlink" Target="https://ref.ly/Ps45:9" TargetMode="External"/><Relationship Id="rId15798" Type="http://schemas.openxmlformats.org/officeDocument/2006/relationships/hyperlink" Target="https://ref.ly/Deut3:5-Deut3:6" TargetMode="External"/><Relationship Id="rId15799" Type="http://schemas.openxmlformats.org/officeDocument/2006/relationships/hyperlink" Target="https://ref.ly/Josh12:4-Josh12:6" TargetMode="External"/><Relationship Id="rId15800" Type="http://schemas.openxmlformats.org/officeDocument/2006/relationships/hyperlink" Target="https://ref.ly/Jer18:3-Jer18:4" TargetMode="External"/><Relationship Id="rId15801" Type="http://schemas.openxmlformats.org/officeDocument/2006/relationships/hyperlink" Target="https://ref.ly/Jer18:6" TargetMode="External"/><Relationship Id="rId15802" Type="http://schemas.openxmlformats.org/officeDocument/2006/relationships/hyperlink" Target="https://ref.ly/Rom9:20-Rom9:21" TargetMode="External"/><Relationship Id="rId15803" Type="http://schemas.openxmlformats.org/officeDocument/2006/relationships/hyperlink" Target="https://ref.ly/Jer19:11" TargetMode="External"/><Relationship Id="rId15804" Type="http://schemas.openxmlformats.org/officeDocument/2006/relationships/hyperlink" Target="https://ref.ly/Lam4:2" TargetMode="External"/><Relationship Id="rId15805" Type="http://schemas.openxmlformats.org/officeDocument/2006/relationships/hyperlink" Target="https://ref.ly/Job2:8" TargetMode="External"/><Relationship Id="rId15806" Type="http://schemas.openxmlformats.org/officeDocument/2006/relationships/hyperlink" Target="https://ref.ly/Esth2:12" TargetMode="External"/><Relationship Id="rId15807" Type="http://schemas.openxmlformats.org/officeDocument/2006/relationships/hyperlink" Target="https://ref.ly/1Kgs17:12-1Kgs17:16" TargetMode="External"/><Relationship Id="rId15808" Type="http://schemas.openxmlformats.org/officeDocument/2006/relationships/hyperlink" Target="https://ref.ly/Isa1:6" TargetMode="External"/><Relationship Id="rId15809" Type="http://schemas.openxmlformats.org/officeDocument/2006/relationships/hyperlink" Target="https://ref.ly/Mark6:13" TargetMode="External"/><Relationship Id="rId15810" Type="http://schemas.openxmlformats.org/officeDocument/2006/relationships/hyperlink" Target="https://ref.ly/Exod29:7" TargetMode="External"/><Relationship Id="rId15811" Type="http://schemas.openxmlformats.org/officeDocument/2006/relationships/hyperlink" Target="https://ref.ly/Exod22:29" TargetMode="External"/><Relationship Id="rId15812" Type="http://schemas.openxmlformats.org/officeDocument/2006/relationships/hyperlink" Target="https://ref.ly/Deut12:17" TargetMode="External"/><Relationship Id="rId15813" Type="http://schemas.openxmlformats.org/officeDocument/2006/relationships/hyperlink" Target="https://ref.ly/Lev8:26" TargetMode="External"/><Relationship Id="rId15814" Type="http://schemas.openxmlformats.org/officeDocument/2006/relationships/hyperlink" Target="https://ref.ly/Num7:19" TargetMode="External"/><Relationship Id="rId15815" Type="http://schemas.openxmlformats.org/officeDocument/2006/relationships/hyperlink" Target="https://ref.ly/Joel1:10" TargetMode="External"/><Relationship Id="rId15816" Type="http://schemas.openxmlformats.org/officeDocument/2006/relationships/hyperlink" Target="https://ref.ly/Zech14:4" TargetMode="External"/><Relationship Id="rId15817" Type="http://schemas.openxmlformats.org/officeDocument/2006/relationships/hyperlink" Target="https://ref.ly/Mark11:1" TargetMode="External"/><Relationship Id="rId15818" Type="http://schemas.openxmlformats.org/officeDocument/2006/relationships/hyperlink" Target="https://ref.ly/Zech14:1-Zech14:5" TargetMode="External"/><Relationship Id="rId15819" Type="http://schemas.openxmlformats.org/officeDocument/2006/relationships/hyperlink" Target="https://ref.ly/John11:17-John11:44" TargetMode="External"/><Relationship Id="rId15820" Type="http://schemas.openxmlformats.org/officeDocument/2006/relationships/hyperlink" Target="https://ref.ly/Luke19:41-Luke19:44" TargetMode="External"/><Relationship Id="rId15821" Type="http://schemas.openxmlformats.org/officeDocument/2006/relationships/hyperlink" Target="https://ref.ly/Luke21:37" TargetMode="External"/><Relationship Id="rId15822" Type="http://schemas.openxmlformats.org/officeDocument/2006/relationships/hyperlink" Target="https://ref.ly/Mark14:32" TargetMode="External"/><Relationship Id="rId15823" Type="http://schemas.openxmlformats.org/officeDocument/2006/relationships/hyperlink" Target="https://ref.ly/Gen36:11,Gen36:15" TargetMode="External"/><Relationship Id="rId15824" Type="http://schemas.openxmlformats.org/officeDocument/2006/relationships/hyperlink" Target="https://ref.ly/1Chr2:26-1Chr2:28" TargetMode="External"/><Relationship Id="rId15825" Type="http://schemas.openxmlformats.org/officeDocument/2006/relationships/hyperlink" Target="https://ref.ly/Gen38:4-Gen38:10" TargetMode="External"/><Relationship Id="rId15826" Type="http://schemas.openxmlformats.org/officeDocument/2006/relationships/hyperlink" Target="https://ref.ly/Num26:19" TargetMode="External"/><Relationship Id="rId15827" Type="http://schemas.openxmlformats.org/officeDocument/2006/relationships/hyperlink" Target="https://ref.ly/Gen38:8-Gen38:10" TargetMode="External"/><Relationship Id="rId15828" Type="http://schemas.openxmlformats.org/officeDocument/2006/relationships/hyperlink" Target="https://ref.ly/Exod28:9" TargetMode="External"/><Relationship Id="rId15829" Type="http://schemas.openxmlformats.org/officeDocument/2006/relationships/hyperlink" Target="https://ref.ly/Luke24:9,Luke24:33" TargetMode="External"/><Relationship Id="rId15830" Type="http://schemas.openxmlformats.org/officeDocument/2006/relationships/hyperlink" Target="https://ref.ly/Acts2:14" TargetMode="External"/><Relationship Id="rId15831" Type="http://schemas.openxmlformats.org/officeDocument/2006/relationships/hyperlink" Target="https://ref.ly/Gen36:2,Gen36:5,Gen36:14,Gen36:18,Gen36:25" TargetMode="External"/><Relationship Id="rId15832" Type="http://schemas.openxmlformats.org/officeDocument/2006/relationships/hyperlink" Target="https://ref.ly/Gen26:35" TargetMode="External"/><Relationship Id="rId15833" Type="http://schemas.openxmlformats.org/officeDocument/2006/relationships/hyperlink" Target="https://ref.ly/Deut26:1-Deut26:15" TargetMode="External"/><Relationship Id="rId15834" Type="http://schemas.openxmlformats.org/officeDocument/2006/relationships/hyperlink" Target="https://ref.ly/Ps50:7-Ps50:15" TargetMode="External"/><Relationship Id="rId15835" Type="http://schemas.openxmlformats.org/officeDocument/2006/relationships/hyperlink" Target="https://ref.ly/Ps55:14" TargetMode="External"/><Relationship Id="rId15836" Type="http://schemas.openxmlformats.org/officeDocument/2006/relationships/hyperlink" Target="https://ref.ly/Ps73:1-Ps73:28" TargetMode="External"/><Relationship Id="rId15837" Type="http://schemas.openxmlformats.org/officeDocument/2006/relationships/hyperlink" Target="https://ref.ly/Isa6:5-Isa6:13" TargetMode="External"/><Relationship Id="rId15838" Type="http://schemas.openxmlformats.org/officeDocument/2006/relationships/hyperlink" Target="https://ref.ly/Isa37:1-Isa37:4" TargetMode="External"/><Relationship Id="rId15839" Type="http://schemas.openxmlformats.org/officeDocument/2006/relationships/hyperlink" Target="https://ref.ly/Jer11:20-Jer11:23" TargetMode="External"/><Relationship Id="rId15840" Type="http://schemas.openxmlformats.org/officeDocument/2006/relationships/hyperlink" Target="https://ref.ly/Jer18:19-Jer18:23" TargetMode="External"/><Relationship Id="rId15841" Type="http://schemas.openxmlformats.org/officeDocument/2006/relationships/hyperlink" Target="https://ref.ly/Jer20:7-Jer20:18" TargetMode="External"/><Relationship Id="rId15842" Type="http://schemas.openxmlformats.org/officeDocument/2006/relationships/hyperlink" Target="https://ref.ly/Jer10:23-Jer10:25" TargetMode="External"/><Relationship Id="rId15843" Type="http://schemas.openxmlformats.org/officeDocument/2006/relationships/hyperlink" Target="https://ref.ly/Jer12:1-Jer12:4" TargetMode="External"/><Relationship Id="rId15844" Type="http://schemas.openxmlformats.org/officeDocument/2006/relationships/hyperlink" Target="https://ref.ly/Jer14:7-Jer14:9" TargetMode="External"/><Relationship Id="rId15845" Type="http://schemas.openxmlformats.org/officeDocument/2006/relationships/hyperlink" Target="https://ref.ly/Jer15:15-Jer15:18" TargetMode="External"/><Relationship Id="rId15846" Type="http://schemas.openxmlformats.org/officeDocument/2006/relationships/hyperlink" Target="https://ref.ly/Neh2:4" TargetMode="External"/><Relationship Id="rId15847" Type="http://schemas.openxmlformats.org/officeDocument/2006/relationships/hyperlink" Target="https://ref.ly/Neh4:4,Neh4:9" TargetMode="External"/><Relationship Id="rId15848" Type="http://schemas.openxmlformats.org/officeDocument/2006/relationships/hyperlink" Target="https://ref.ly/Matt6:5-Matt6:15" TargetMode="External"/><Relationship Id="rId15849" Type="http://schemas.openxmlformats.org/officeDocument/2006/relationships/hyperlink" Target="https://ref.ly/Luke18:1-Luke18:8" TargetMode="External"/><Relationship Id="rId15850" Type="http://schemas.openxmlformats.org/officeDocument/2006/relationships/hyperlink" Target="https://ref.ly/Luke11:5-Luke11:8" TargetMode="External"/><Relationship Id="rId15851" Type="http://schemas.openxmlformats.org/officeDocument/2006/relationships/hyperlink" Target="https://ref.ly/John16:23-John16:25" TargetMode="External"/><Relationship Id="rId15852" Type="http://schemas.openxmlformats.org/officeDocument/2006/relationships/hyperlink" Target="https://ref.ly/Acts12:5,Acts12:12" TargetMode="External"/><Relationship Id="rId15853" Type="http://schemas.openxmlformats.org/officeDocument/2006/relationships/hyperlink" Target="https://ref.ly/Eph6:18-Eph6:19" TargetMode="External"/><Relationship Id="rId15854" Type="http://schemas.openxmlformats.org/officeDocument/2006/relationships/hyperlink" Target="https://ref.ly/Heb10:19-Heb10:23" TargetMode="External"/><Relationship Id="rId15855" Type="http://schemas.openxmlformats.org/officeDocument/2006/relationships/hyperlink" Target="https://ref.ly/2Chr33:12-2Chr33:13" TargetMode="External"/><Relationship Id="rId15856" Type="http://schemas.openxmlformats.org/officeDocument/2006/relationships/hyperlink" Target="https://ref.ly/2Chr33:18-2Chr33:19" TargetMode="External"/><Relationship Id="rId15857" Type="http://schemas.openxmlformats.org/officeDocument/2006/relationships/hyperlink" Target="https://ref.ly/2Chr33:12" TargetMode="External"/><Relationship Id="rId15858" Type="http://schemas.openxmlformats.org/officeDocument/2006/relationships/hyperlink" Target="https://ref.ly/Ps146:6" TargetMode="External"/><Relationship Id="rId15859" Type="http://schemas.openxmlformats.org/officeDocument/2006/relationships/hyperlink" Target="https://ref.ly/Ps86:5" TargetMode="External"/><Relationship Id="rId15860" Type="http://schemas.openxmlformats.org/officeDocument/2006/relationships/hyperlink" Target="https://ref.ly/Ps107:10" TargetMode="External"/><Relationship Id="rId15861" Type="http://schemas.openxmlformats.org/officeDocument/2006/relationships/hyperlink" Target="https://ref.ly/Rom3:10-Rom3:12" TargetMode="External"/><Relationship Id="rId15862" Type="http://schemas.openxmlformats.org/officeDocument/2006/relationships/hyperlink" Target="https://ref.ly/Phil3:8-Phil3:9" TargetMode="External"/><Relationship Id="rId15863" Type="http://schemas.openxmlformats.org/officeDocument/2006/relationships/hyperlink" Target="https://ref.ly/Num24:3-Num24:16" TargetMode="External"/><Relationship Id="rId15864" Type="http://schemas.openxmlformats.org/officeDocument/2006/relationships/hyperlink" Target="https://ref.ly/Rom3:2" TargetMode="External"/><Relationship Id="rId15865" Type="http://schemas.openxmlformats.org/officeDocument/2006/relationships/hyperlink" Target="https://ref.ly/Isa21:1" TargetMode="External"/><Relationship Id="rId15866" Type="http://schemas.openxmlformats.org/officeDocument/2006/relationships/hyperlink" Target="https://ref.ly/Isa19:1" TargetMode="External"/><Relationship Id="rId15867" Type="http://schemas.openxmlformats.org/officeDocument/2006/relationships/hyperlink" Target="https://ref.ly/Isa22:1" TargetMode="External"/><Relationship Id="rId15868" Type="http://schemas.openxmlformats.org/officeDocument/2006/relationships/hyperlink" Target="https://ref.ly/Isa14:28" TargetMode="External"/><Relationship Id="rId15869" Type="http://schemas.openxmlformats.org/officeDocument/2006/relationships/hyperlink" Target="https://ref.ly/Isa23:1" TargetMode="External"/><Relationship Id="rId15870" Type="http://schemas.openxmlformats.org/officeDocument/2006/relationships/hyperlink" Target="https://ref.ly/Mal1:1" TargetMode="External"/><Relationship Id="rId15871" Type="http://schemas.openxmlformats.org/officeDocument/2006/relationships/hyperlink" Target="https://ref.ly/Deut33:8-Deut33:11" TargetMode="External"/><Relationship Id="rId15872" Type="http://schemas.openxmlformats.org/officeDocument/2006/relationships/hyperlink" Target="https://ref.ly/Judg17:13" TargetMode="External"/><Relationship Id="rId15873" Type="http://schemas.openxmlformats.org/officeDocument/2006/relationships/hyperlink" Target="https://ref.ly/Exod4:14" TargetMode="External"/><Relationship Id="rId15874" Type="http://schemas.openxmlformats.org/officeDocument/2006/relationships/hyperlink" Target="https://ref.ly/Exod29:9" TargetMode="External"/><Relationship Id="rId15875" Type="http://schemas.openxmlformats.org/officeDocument/2006/relationships/hyperlink" Target="https://ref.ly/1Chr6:28" TargetMode="External"/><Relationship Id="rId15876" Type="http://schemas.openxmlformats.org/officeDocument/2006/relationships/hyperlink" Target="https://ref.ly/Sir45:6-Sir45:22" TargetMode="External"/><Relationship Id="rId15877" Type="http://schemas.openxmlformats.org/officeDocument/2006/relationships/hyperlink" Target="https://ref.ly/Heb5:1" TargetMode="External"/><Relationship Id="rId15878" Type="http://schemas.openxmlformats.org/officeDocument/2006/relationships/hyperlink" Target="https://ref.ly/Num8:10" TargetMode="External"/><Relationship Id="rId15879" Type="http://schemas.openxmlformats.org/officeDocument/2006/relationships/hyperlink" Target="https://ref.ly/Exod29:1-Exod29:46" TargetMode="External"/><Relationship Id="rId15880" Type="http://schemas.openxmlformats.org/officeDocument/2006/relationships/hyperlink" Target="https://ref.ly/Lev8:1-Lev8:36" TargetMode="External"/><Relationship Id="rId15881" Type="http://schemas.openxmlformats.org/officeDocument/2006/relationships/hyperlink" Target="https://ref.ly/1Kgs1:9-1Kgs1:10" TargetMode="External"/><Relationship Id="rId15882" Type="http://schemas.openxmlformats.org/officeDocument/2006/relationships/hyperlink" Target="https://ref.ly/1Kgs18:17-1Kgs18:19" TargetMode="External"/><Relationship Id="rId15883" Type="http://schemas.openxmlformats.org/officeDocument/2006/relationships/hyperlink" Target="https://ref.ly/1Kgs20:35" TargetMode="External"/><Relationship Id="rId15884" Type="http://schemas.openxmlformats.org/officeDocument/2006/relationships/hyperlink" Target="https://ref.ly/2Kgs2:3-2Kgs2:7" TargetMode="External"/><Relationship Id="rId15885" Type="http://schemas.openxmlformats.org/officeDocument/2006/relationships/hyperlink" Target="https://ref.ly/2Kgs23:2" TargetMode="External"/><Relationship Id="rId15886" Type="http://schemas.openxmlformats.org/officeDocument/2006/relationships/hyperlink" Target="https://ref.ly/Gen20:7" TargetMode="External"/><Relationship Id="rId15887" Type="http://schemas.openxmlformats.org/officeDocument/2006/relationships/hyperlink" Target="https://ref.ly/Jer7:25" TargetMode="External"/><Relationship Id="rId15888" Type="http://schemas.openxmlformats.org/officeDocument/2006/relationships/hyperlink" Target="https://ref.ly/Jer35:4" TargetMode="External"/><Relationship Id="rId15889" Type="http://schemas.openxmlformats.org/officeDocument/2006/relationships/hyperlink" Target="https://ref.ly/Jer27:14-Jer27:16" TargetMode="External"/><Relationship Id="rId15890" Type="http://schemas.openxmlformats.org/officeDocument/2006/relationships/hyperlink" Target="https://ref.ly/1Kgs21:17" TargetMode="External"/><Relationship Id="rId15891" Type="http://schemas.openxmlformats.org/officeDocument/2006/relationships/hyperlink" Target="https://ref.ly/Jer1:1-Jer1:19" TargetMode="External"/><Relationship Id="rId15892" Type="http://schemas.openxmlformats.org/officeDocument/2006/relationships/hyperlink" Target="https://ref.ly/1Kgs22:13-1Kgs22:14" TargetMode="External"/><Relationship Id="rId15893" Type="http://schemas.openxmlformats.org/officeDocument/2006/relationships/hyperlink" Target="https://ref.ly/Jer28:5-Jer28:9" TargetMode="External"/><Relationship Id="rId15894" Type="http://schemas.openxmlformats.org/officeDocument/2006/relationships/hyperlink" Target="https://ref.ly/Acts1:24-Acts1:26" TargetMode="External"/><Relationship Id="rId15895" Type="http://schemas.openxmlformats.org/officeDocument/2006/relationships/hyperlink" Target="https://ref.ly/1Tim1:18" TargetMode="External"/><Relationship Id="rId15896" Type="http://schemas.openxmlformats.org/officeDocument/2006/relationships/hyperlink" Target="https://ref.ly/1Cor12:8-1Cor12:11" TargetMode="External"/><Relationship Id="rId15897" Type="http://schemas.openxmlformats.org/officeDocument/2006/relationships/hyperlink" Target="https://ref.ly/Acts8:18-Acts8:24" TargetMode="External"/><Relationship Id="rId15898" Type="http://schemas.openxmlformats.org/officeDocument/2006/relationships/hyperlink" Target="https://ref.ly/Acts1:15" TargetMode="External"/><Relationship Id="rId15899" Type="http://schemas.openxmlformats.org/officeDocument/2006/relationships/hyperlink" Target="https://ref.ly/Acts6:2-Acts6:6" TargetMode="External"/><Relationship Id="rId15900" Type="http://schemas.openxmlformats.org/officeDocument/2006/relationships/hyperlink" Target="https://ref.ly/1Tim5:22" TargetMode="External"/><Relationship Id="rId15901" Type="http://schemas.openxmlformats.org/officeDocument/2006/relationships/hyperlink" Target="https://ref.ly/1Tim3:1-1Tim3:13" TargetMode="External"/><Relationship Id="rId15902" Type="http://schemas.openxmlformats.org/officeDocument/2006/relationships/hyperlink" Target="https://ref.ly/2Tim2:2" TargetMode="External"/><Relationship Id="rId15903" Type="http://schemas.openxmlformats.org/officeDocument/2006/relationships/hyperlink" Target="https://ref.ly/Acts6:6" TargetMode="External"/><Relationship Id="rId15904" Type="http://schemas.openxmlformats.org/officeDocument/2006/relationships/hyperlink" Target="https://ref.ly/2Cor8:19" TargetMode="External"/><Relationship Id="rId15905" Type="http://schemas.openxmlformats.org/officeDocument/2006/relationships/hyperlink" Target="https://ref.ly/Acts6:2-Acts6:5" TargetMode="External"/><Relationship Id="rId15906" Type="http://schemas.openxmlformats.org/officeDocument/2006/relationships/hyperlink" Target="https://ref.ly/Acts16:2" TargetMode="External"/><Relationship Id="rId15907" Type="http://schemas.openxmlformats.org/officeDocument/2006/relationships/hyperlink" Target="https://ref.ly/Judg7:25" TargetMode="External"/><Relationship Id="rId15908" Type="http://schemas.openxmlformats.org/officeDocument/2006/relationships/hyperlink" Target="https://ref.ly/Judg8:3" TargetMode="External"/><Relationship Id="rId15909" Type="http://schemas.openxmlformats.org/officeDocument/2006/relationships/hyperlink" Target="https://ref.ly/Ps83:11" TargetMode="External"/><Relationship Id="rId15910" Type="http://schemas.openxmlformats.org/officeDocument/2006/relationships/hyperlink" Target="https://ref.ly/Isa10:26" TargetMode="External"/><Relationship Id="rId15911" Type="http://schemas.openxmlformats.org/officeDocument/2006/relationships/hyperlink" Target="https://ref.ly/Lam5:3" TargetMode="External"/><Relationship Id="rId15912" Type="http://schemas.openxmlformats.org/officeDocument/2006/relationships/hyperlink" Target="https://ref.ly/Deut10:18" TargetMode="External"/><Relationship Id="rId15913" Type="http://schemas.openxmlformats.org/officeDocument/2006/relationships/hyperlink" Target="https://ref.ly/Ps10:14,Ps10:18" TargetMode="External"/><Relationship Id="rId15914" Type="http://schemas.openxmlformats.org/officeDocument/2006/relationships/hyperlink" Target="https://ref.ly/Ps27:10" TargetMode="External"/><Relationship Id="rId15915" Type="http://schemas.openxmlformats.org/officeDocument/2006/relationships/hyperlink" Target="https://ref.ly/Ps146:9" TargetMode="External"/><Relationship Id="rId15916" Type="http://schemas.openxmlformats.org/officeDocument/2006/relationships/hyperlink" Target="https://ref.ly/Isa1:17" TargetMode="External"/><Relationship Id="rId15917" Type="http://schemas.openxmlformats.org/officeDocument/2006/relationships/hyperlink" Target="https://ref.ly/Hos14:3" TargetMode="External"/><Relationship Id="rId15918" Type="http://schemas.openxmlformats.org/officeDocument/2006/relationships/hyperlink" Target="https://ref.ly/Num27:7-Num27:11" TargetMode="External"/><Relationship Id="rId15919" Type="http://schemas.openxmlformats.org/officeDocument/2006/relationships/hyperlink" Target="https://ref.ly/Deut24:19-Deut24:21" TargetMode="External"/><Relationship Id="rId15920" Type="http://schemas.openxmlformats.org/officeDocument/2006/relationships/hyperlink" Target="https://ref.ly/Deut27:19" TargetMode="External"/><Relationship Id="rId15921" Type="http://schemas.openxmlformats.org/officeDocument/2006/relationships/hyperlink" Target="https://ref.ly/Job29:12" TargetMode="External"/><Relationship Id="rId15922" Type="http://schemas.openxmlformats.org/officeDocument/2006/relationships/hyperlink" Target="https://ref.ly/Job31:17" TargetMode="External"/><Relationship Id="rId15923" Type="http://schemas.openxmlformats.org/officeDocument/2006/relationships/hyperlink" Target="https://ref.ly/Job6:27" TargetMode="External"/><Relationship Id="rId15924" Type="http://schemas.openxmlformats.org/officeDocument/2006/relationships/hyperlink" Target="https://ref.ly/Job22:9" TargetMode="External"/><Relationship Id="rId15925" Type="http://schemas.openxmlformats.org/officeDocument/2006/relationships/hyperlink" Target="https://ref.ly/Job24:3,Job24:9" TargetMode="External"/><Relationship Id="rId15926" Type="http://schemas.openxmlformats.org/officeDocument/2006/relationships/hyperlink" Target="https://ref.ly/Ps94:6" TargetMode="External"/><Relationship Id="rId15927" Type="http://schemas.openxmlformats.org/officeDocument/2006/relationships/hyperlink" Target="https://ref.ly/Isa10:2" TargetMode="External"/><Relationship Id="rId15928" Type="http://schemas.openxmlformats.org/officeDocument/2006/relationships/hyperlink" Target="https://ref.ly/Jer5:28" TargetMode="External"/><Relationship Id="rId15929" Type="http://schemas.openxmlformats.org/officeDocument/2006/relationships/hyperlink" Target="https://ref.ly/Ezek22:7" TargetMode="External"/><Relationship Id="rId15930" Type="http://schemas.openxmlformats.org/officeDocument/2006/relationships/hyperlink" Target="https://ref.ly/Jer7:6" TargetMode="External"/><Relationship Id="rId15931" Type="http://schemas.openxmlformats.org/officeDocument/2006/relationships/hyperlink" Target="https://ref.ly/Jer22:3" TargetMode="External"/><Relationship Id="rId15932" Type="http://schemas.openxmlformats.org/officeDocument/2006/relationships/hyperlink" Target="https://ref.ly/Zech7:10" TargetMode="External"/><Relationship Id="rId15933" Type="http://schemas.openxmlformats.org/officeDocument/2006/relationships/hyperlink" Target="https://ref.ly/John14:18" TargetMode="External"/><Relationship Id="rId15934" Type="http://schemas.openxmlformats.org/officeDocument/2006/relationships/hyperlink" Target="https://ref.ly/2Cor12:5,2Cor12:9" TargetMode="External"/><Relationship Id="rId15935" Type="http://schemas.openxmlformats.org/officeDocument/2006/relationships/hyperlink" Target="https://ref.ly/1Cor5:2" TargetMode="External"/><Relationship Id="rId15936" Type="http://schemas.openxmlformats.org/officeDocument/2006/relationships/hyperlink" Target="https://ref.ly/1Cor13:4" TargetMode="External"/><Relationship Id="rId15937" Type="http://schemas.openxmlformats.org/officeDocument/2006/relationships/hyperlink" Target="https://ref.ly/Prov21:4" TargetMode="External"/><Relationship Id="rId15938" Type="http://schemas.openxmlformats.org/officeDocument/2006/relationships/hyperlink" Target="https://ref.ly/Eccl7:8" TargetMode="External"/><Relationship Id="rId15939" Type="http://schemas.openxmlformats.org/officeDocument/2006/relationships/hyperlink" Target="https://ref.ly/Ps131:1" TargetMode="External"/><Relationship Id="rId15940" Type="http://schemas.openxmlformats.org/officeDocument/2006/relationships/hyperlink" Target="https://ref.ly/2Tim3:2-2Tim3:4" TargetMode="External"/><Relationship Id="rId15941" Type="http://schemas.openxmlformats.org/officeDocument/2006/relationships/hyperlink" Target="https://ref.ly/Mal3:13" TargetMode="External"/><Relationship Id="rId15942" Type="http://schemas.openxmlformats.org/officeDocument/2006/relationships/hyperlink" Target="https://ref.ly/Prov6:17" TargetMode="External"/><Relationship Id="rId15943" Type="http://schemas.openxmlformats.org/officeDocument/2006/relationships/hyperlink" Target="https://ref.ly/Ps101:5" TargetMode="External"/><Relationship Id="rId15944" Type="http://schemas.openxmlformats.org/officeDocument/2006/relationships/hyperlink" Target="https://ref.ly/Prov30:13" TargetMode="External"/><Relationship Id="rId15945" Type="http://schemas.openxmlformats.org/officeDocument/2006/relationships/hyperlink" Target="https://ref.ly/Prov21:24" TargetMode="External"/><Relationship Id="rId15946" Type="http://schemas.openxmlformats.org/officeDocument/2006/relationships/hyperlink" Target="https://ref.ly/John9:34" TargetMode="External"/><Relationship Id="rId15947" Type="http://schemas.openxmlformats.org/officeDocument/2006/relationships/hyperlink" Target="https://ref.ly/2Chr26:16" TargetMode="External"/><Relationship Id="rId15948" Type="http://schemas.openxmlformats.org/officeDocument/2006/relationships/hyperlink" Target="https://ref.ly/2Chr32:25-2Chr32:26" TargetMode="External"/><Relationship Id="rId15949" Type="http://schemas.openxmlformats.org/officeDocument/2006/relationships/hyperlink" Target="https://ref.ly/Isa3:16" TargetMode="External"/><Relationship Id="rId15950" Type="http://schemas.openxmlformats.org/officeDocument/2006/relationships/hyperlink" Target="https://ref.ly/Isa5:15" TargetMode="External"/><Relationship Id="rId15951" Type="http://schemas.openxmlformats.org/officeDocument/2006/relationships/hyperlink" Target="https://ref.ly/Ezek16:50" TargetMode="External"/><Relationship Id="rId15952" Type="http://schemas.openxmlformats.org/officeDocument/2006/relationships/hyperlink" Target="https://ref.ly/Hos13:6" TargetMode="External"/><Relationship Id="rId15953" Type="http://schemas.openxmlformats.org/officeDocument/2006/relationships/hyperlink" Target="https://ref.ly/Zeph3:11" TargetMode="External"/><Relationship Id="rId15954" Type="http://schemas.openxmlformats.org/officeDocument/2006/relationships/hyperlink" Target="https://ref.ly/Isa10:12" TargetMode="External"/><Relationship Id="rId15955" Type="http://schemas.openxmlformats.org/officeDocument/2006/relationships/hyperlink" Target="https://ref.ly/Jer48:29" TargetMode="External"/><Relationship Id="rId15956" Type="http://schemas.openxmlformats.org/officeDocument/2006/relationships/hyperlink" Target="https://ref.ly/Deut8:14" TargetMode="External"/><Relationship Id="rId15957" Type="http://schemas.openxmlformats.org/officeDocument/2006/relationships/hyperlink" Target="https://ref.ly/Prov3:34" TargetMode="External"/><Relationship Id="rId15958" Type="http://schemas.openxmlformats.org/officeDocument/2006/relationships/hyperlink" Target="https://ref.ly/Prov18:12" TargetMode="External"/><Relationship Id="rId15959" Type="http://schemas.openxmlformats.org/officeDocument/2006/relationships/hyperlink" Target="https://ref.ly/Luke1:51-Luke1:52" TargetMode="External"/><Relationship Id="rId15960" Type="http://schemas.openxmlformats.org/officeDocument/2006/relationships/hyperlink" Target="https://ref.ly/Hag1:10" TargetMode="External"/><Relationship Id="rId15961" Type="http://schemas.openxmlformats.org/officeDocument/2006/relationships/hyperlink" Target="https://ref.ly/Exod16:13-Exod16:21" TargetMode="External"/><Relationship Id="rId15962" Type="http://schemas.openxmlformats.org/officeDocument/2006/relationships/hyperlink" Target="https://ref.ly/Num11:9" TargetMode="External"/><Relationship Id="rId15963" Type="http://schemas.openxmlformats.org/officeDocument/2006/relationships/hyperlink" Target="https://ref.ly/Gen27:28" TargetMode="External"/><Relationship Id="rId15964" Type="http://schemas.openxmlformats.org/officeDocument/2006/relationships/hyperlink" Target="https://ref.ly/Mic5:7" TargetMode="External"/><Relationship Id="rId15965" Type="http://schemas.openxmlformats.org/officeDocument/2006/relationships/hyperlink" Target="https://ref.ly/Job29:19" TargetMode="External"/><Relationship Id="rId15966" Type="http://schemas.openxmlformats.org/officeDocument/2006/relationships/hyperlink" Target="https://ref.ly/Hos14:5" TargetMode="External"/><Relationship Id="rId15967" Type="http://schemas.openxmlformats.org/officeDocument/2006/relationships/hyperlink" Target="https://ref.ly/Prov19:12" TargetMode="External"/><Relationship Id="rId15968" Type="http://schemas.openxmlformats.org/officeDocument/2006/relationships/hyperlink" Target="https://ref.ly/2Sam17:12" TargetMode="External"/><Relationship Id="rId15969" Type="http://schemas.openxmlformats.org/officeDocument/2006/relationships/hyperlink" Target="https://ref.ly/Hos6:4" TargetMode="External"/><Relationship Id="rId15970" Type="http://schemas.openxmlformats.org/officeDocument/2006/relationships/hyperlink" Target="https://ref.ly/Ps110:3" TargetMode="External"/><Relationship Id="rId15971" Type="http://schemas.openxmlformats.org/officeDocument/2006/relationships/hyperlink" Target="https://ref.ly/Acts25:11-Acts25:12,Acts25:21" TargetMode="External"/><Relationship Id="rId15972" Type="http://schemas.openxmlformats.org/officeDocument/2006/relationships/hyperlink" Target="https://ref.ly/Acts27:24" TargetMode="External"/><Relationship Id="rId15973" Type="http://schemas.openxmlformats.org/officeDocument/2006/relationships/hyperlink" Target="https://ref.ly/Acts28:19" TargetMode="External"/><Relationship Id="rId15974" Type="http://schemas.openxmlformats.org/officeDocument/2006/relationships/hyperlink" Target="https://ref.ly/2Kgs17:1-2Kgs17:6" TargetMode="External"/><Relationship Id="rId15975" Type="http://schemas.openxmlformats.org/officeDocument/2006/relationships/hyperlink" Target="https://ref.ly/2Kgs16:5" TargetMode="External"/><Relationship Id="rId15976" Type="http://schemas.openxmlformats.org/officeDocument/2006/relationships/hyperlink" Target="https://ref.ly/Isa7:1-Isa7:6" TargetMode="External"/><Relationship Id="rId15977" Type="http://schemas.openxmlformats.org/officeDocument/2006/relationships/hyperlink" Target="https://ref.ly/2Kgs17:3" TargetMode="External"/><Relationship Id="rId15978" Type="http://schemas.openxmlformats.org/officeDocument/2006/relationships/hyperlink" Target="https://ref.ly/2Kgs17:4" TargetMode="External"/><Relationship Id="rId15979" Type="http://schemas.openxmlformats.org/officeDocument/2006/relationships/hyperlink" Target="https://ref.ly/Neh10:23" TargetMode="External"/><Relationship Id="rId15980" Type="http://schemas.openxmlformats.org/officeDocument/2006/relationships/hyperlink" Target="https://ref.ly/Hos1:1,Hos1:7,Hos1:11" TargetMode="External"/><Relationship Id="rId15981" Type="http://schemas.openxmlformats.org/officeDocument/2006/relationships/hyperlink" Target="https://ref.ly/Hos5:5,Hos5:10-Hos5:14" TargetMode="External"/><Relationship Id="rId15982" Type="http://schemas.openxmlformats.org/officeDocument/2006/relationships/hyperlink" Target="https://ref.ly/Hos6:4,Hos6:11" TargetMode="External"/><Relationship Id="rId15983" Type="http://schemas.openxmlformats.org/officeDocument/2006/relationships/hyperlink" Target="https://ref.ly/Hos11:12" TargetMode="External"/><Relationship Id="rId15984" Type="http://schemas.openxmlformats.org/officeDocument/2006/relationships/hyperlink" Target="https://ref.ly/Hos12:2" TargetMode="External"/><Relationship Id="rId15985" Type="http://schemas.openxmlformats.org/officeDocument/2006/relationships/hyperlink" Target="https://ref.ly/Hos11:8-Hos11:11" TargetMode="External"/><Relationship Id="rId15986" Type="http://schemas.openxmlformats.org/officeDocument/2006/relationships/hyperlink" Target="https://ref.ly/Hos14:2-Hos14:9" TargetMode="External"/><Relationship Id="rId15987" Type="http://schemas.openxmlformats.org/officeDocument/2006/relationships/hyperlink" Target="https://ref.ly/Hos4:1-Hos4:2" TargetMode="External"/><Relationship Id="rId15988" Type="http://schemas.openxmlformats.org/officeDocument/2006/relationships/hyperlink" Target="https://ref.ly/Hos8:3-Hos8:4" TargetMode="External"/><Relationship Id="rId15989" Type="http://schemas.openxmlformats.org/officeDocument/2006/relationships/hyperlink" Target="https://ref.ly/Hos10:14" TargetMode="External"/><Relationship Id="rId15990" Type="http://schemas.openxmlformats.org/officeDocument/2006/relationships/hyperlink" Target="https://ref.ly/Hos5:13" TargetMode="External"/><Relationship Id="rId15991" Type="http://schemas.openxmlformats.org/officeDocument/2006/relationships/hyperlink" Target="https://ref.ly/Hos10:6" TargetMode="External"/><Relationship Id="rId15992" Type="http://schemas.openxmlformats.org/officeDocument/2006/relationships/hyperlink" Target="https://ref.ly/Hos13:15-Hos13:16" TargetMode="External"/><Relationship Id="rId15993" Type="http://schemas.openxmlformats.org/officeDocument/2006/relationships/hyperlink" Target="https://ref.ly/Hos7:11" TargetMode="External"/><Relationship Id="rId15994" Type="http://schemas.openxmlformats.org/officeDocument/2006/relationships/hyperlink" Target="https://ref.ly/Hos11:11" TargetMode="External"/><Relationship Id="rId15995" Type="http://schemas.openxmlformats.org/officeDocument/2006/relationships/hyperlink" Target="https://ref.ly/Hos7:5" TargetMode="External"/><Relationship Id="rId15996" Type="http://schemas.openxmlformats.org/officeDocument/2006/relationships/hyperlink" Target="https://ref.ly/Hos2:19" TargetMode="External"/><Relationship Id="rId15997" Type="http://schemas.openxmlformats.org/officeDocument/2006/relationships/hyperlink" Target="https://ref.ly/Hos1:2-Hos3:5" TargetMode="External"/><Relationship Id="rId15998" Type="http://schemas.openxmlformats.org/officeDocument/2006/relationships/hyperlink" Target="https://ref.ly/Hos1:1-Hos1:11" TargetMode="External"/><Relationship Id="rId15999" Type="http://schemas.openxmlformats.org/officeDocument/2006/relationships/hyperlink" Target="https://ref.ly/Hos1:2" TargetMode="External"/><Relationship Id="rId16000" Type="http://schemas.openxmlformats.org/officeDocument/2006/relationships/hyperlink" Target="https://ref.ly/Hos6:11" TargetMode="External"/><Relationship Id="rId16001" Type="http://schemas.openxmlformats.org/officeDocument/2006/relationships/hyperlink" Target="https://ref.ly/2Kgs10:1-2Kgs10:11,2Kgs10:30" TargetMode="External"/><Relationship Id="rId16002" Type="http://schemas.openxmlformats.org/officeDocument/2006/relationships/hyperlink" Target="https://ref.ly/Hos1:8-Hos1:9" TargetMode="External"/><Relationship Id="rId16003" Type="http://schemas.openxmlformats.org/officeDocument/2006/relationships/hyperlink" Target="https://ref.ly/Hos1:10-Hos2:1" TargetMode="External"/><Relationship Id="rId16004" Type="http://schemas.openxmlformats.org/officeDocument/2006/relationships/hyperlink" Target="https://ref.ly/Gen22:17" TargetMode="External"/><Relationship Id="rId16005" Type="http://schemas.openxmlformats.org/officeDocument/2006/relationships/hyperlink" Target="https://ref.ly/Exod19:1-Exod19:7" TargetMode="External"/><Relationship Id="rId16006" Type="http://schemas.openxmlformats.org/officeDocument/2006/relationships/hyperlink" Target="https://ref.ly/Hos2:8,Hos2:12" TargetMode="External"/><Relationship Id="rId16007" Type="http://schemas.openxmlformats.org/officeDocument/2006/relationships/hyperlink" Target="https://ref.ly/Jer3:1-Jer4:2" TargetMode="External"/><Relationship Id="rId16008" Type="http://schemas.openxmlformats.org/officeDocument/2006/relationships/hyperlink" Target="https://ref.ly/Hos2:2-Hos2:5" TargetMode="External"/><Relationship Id="rId16009" Type="http://schemas.openxmlformats.org/officeDocument/2006/relationships/hyperlink" Target="https://ref.ly/Hos3:2" TargetMode="External"/><Relationship Id="rId16010" Type="http://schemas.openxmlformats.org/officeDocument/2006/relationships/hyperlink" Target="https://ref.ly/Hos3:3" TargetMode="External"/><Relationship Id="rId16011" Type="http://schemas.openxmlformats.org/officeDocument/2006/relationships/hyperlink" Target="https://ref.ly/Deut30:2" TargetMode="External"/><Relationship Id="rId16012" Type="http://schemas.openxmlformats.org/officeDocument/2006/relationships/hyperlink" Target="https://ref.ly/Hos4:1-Hos7:16" TargetMode="External"/><Relationship Id="rId16013" Type="http://schemas.openxmlformats.org/officeDocument/2006/relationships/hyperlink" Target="https://ref.ly/Hos8:1-Hos10:15" TargetMode="External"/><Relationship Id="rId16014" Type="http://schemas.openxmlformats.org/officeDocument/2006/relationships/hyperlink" Target="https://ref.ly/Hos11:1-Hos14:9" TargetMode="External"/><Relationship Id="rId16015" Type="http://schemas.openxmlformats.org/officeDocument/2006/relationships/hyperlink" Target="https://ref.ly/Hos4:6-Hos4:9" TargetMode="External"/><Relationship Id="rId16016" Type="http://schemas.openxmlformats.org/officeDocument/2006/relationships/hyperlink" Target="https://ref.ly/Amos8:11-Amos8:12" TargetMode="External"/><Relationship Id="rId16017" Type="http://schemas.openxmlformats.org/officeDocument/2006/relationships/hyperlink" Target="https://ref.ly/Zeph1:6" TargetMode="External"/><Relationship Id="rId16018" Type="http://schemas.openxmlformats.org/officeDocument/2006/relationships/hyperlink" Target="https://ref.ly/Hos4:9" TargetMode="External"/><Relationship Id="rId16019" Type="http://schemas.openxmlformats.org/officeDocument/2006/relationships/hyperlink" Target="https://ref.ly/Hos4:12-Hos4:13" TargetMode="External"/><Relationship Id="rId16020" Type="http://schemas.openxmlformats.org/officeDocument/2006/relationships/hyperlink" Target="https://ref.ly/Hos4:6" TargetMode="External"/><Relationship Id="rId16021" Type="http://schemas.openxmlformats.org/officeDocument/2006/relationships/hyperlink" Target="https://ref.ly/Hos5:1" TargetMode="External"/><Relationship Id="rId16022" Type="http://schemas.openxmlformats.org/officeDocument/2006/relationships/hyperlink" Target="https://ref.ly/Hos5:8-Hos5:14" TargetMode="External"/><Relationship Id="rId16023" Type="http://schemas.openxmlformats.org/officeDocument/2006/relationships/hyperlink" Target="https://ref.ly/Hos5:9-Hos5:12" TargetMode="External"/><Relationship Id="rId16024" Type="http://schemas.openxmlformats.org/officeDocument/2006/relationships/hyperlink" Target="https://ref.ly/Hos5:11" TargetMode="External"/><Relationship Id="rId16025" Type="http://schemas.openxmlformats.org/officeDocument/2006/relationships/hyperlink" Target="https://ref.ly/Hos5:15-Hos6:3" TargetMode="External"/><Relationship Id="rId16026" Type="http://schemas.openxmlformats.org/officeDocument/2006/relationships/hyperlink" Target="https://ref.ly/Hos6:1" TargetMode="External"/><Relationship Id="rId16027" Type="http://schemas.openxmlformats.org/officeDocument/2006/relationships/hyperlink" Target="https://ref.ly/Ezek37:1-Ezek37:14" TargetMode="External"/><Relationship Id="rId16028" Type="http://schemas.openxmlformats.org/officeDocument/2006/relationships/hyperlink" Target="https://ref.ly/Hos6:4-Hos6:11" TargetMode="External"/><Relationship Id="rId16029" Type="http://schemas.openxmlformats.org/officeDocument/2006/relationships/hyperlink" Target="https://ref.ly/Hos6:9" TargetMode="External"/><Relationship Id="rId16030" Type="http://schemas.openxmlformats.org/officeDocument/2006/relationships/hyperlink" Target="https://ref.ly/Jer5:31" TargetMode="External"/><Relationship Id="rId16031" Type="http://schemas.openxmlformats.org/officeDocument/2006/relationships/hyperlink" Target="https://ref.ly/Hos6:10" TargetMode="External"/><Relationship Id="rId16032" Type="http://schemas.openxmlformats.org/officeDocument/2006/relationships/hyperlink" Target="https://ref.ly/Hos7:1-Hos7:16" TargetMode="External"/><Relationship Id="rId16033" Type="http://schemas.openxmlformats.org/officeDocument/2006/relationships/hyperlink" Target="https://ref.ly/Hos7:2" TargetMode="External"/><Relationship Id="rId16034" Type="http://schemas.openxmlformats.org/officeDocument/2006/relationships/hyperlink" Target="https://ref.ly/Hos7:3" TargetMode="External"/><Relationship Id="rId16035" Type="http://schemas.openxmlformats.org/officeDocument/2006/relationships/hyperlink" Target="https://ref.ly/Hos7:8" TargetMode="External"/><Relationship Id="rId16036" Type="http://schemas.openxmlformats.org/officeDocument/2006/relationships/hyperlink" Target="https://ref.ly/Heb12:5-Heb12:15" TargetMode="External"/><Relationship Id="rId16037" Type="http://schemas.openxmlformats.org/officeDocument/2006/relationships/hyperlink" Target="https://ref.ly/Hos8:1-Hos8:14" TargetMode="External"/><Relationship Id="rId16038" Type="http://schemas.openxmlformats.org/officeDocument/2006/relationships/hyperlink" Target="https://ref.ly/Hos8:7" TargetMode="External"/><Relationship Id="rId16039" Type="http://schemas.openxmlformats.org/officeDocument/2006/relationships/hyperlink" Target="https://ref.ly/Ezek17:2-Ezek17:21" TargetMode="External"/><Relationship Id="rId16040" Type="http://schemas.openxmlformats.org/officeDocument/2006/relationships/hyperlink" Target="https://ref.ly/Deut27:9-Deut29:29" TargetMode="External"/><Relationship Id="rId16041" Type="http://schemas.openxmlformats.org/officeDocument/2006/relationships/hyperlink" Target="https://ref.ly/Isa10:5" TargetMode="External"/><Relationship Id="rId16042" Type="http://schemas.openxmlformats.org/officeDocument/2006/relationships/hyperlink" Target="https://ref.ly/Hos8:2-Hos8:3" TargetMode="External"/><Relationship Id="rId16043" Type="http://schemas.openxmlformats.org/officeDocument/2006/relationships/hyperlink" Target="https://ref.ly/Hos4:1-Hos6:11" TargetMode="External"/><Relationship Id="rId16044" Type="http://schemas.openxmlformats.org/officeDocument/2006/relationships/hyperlink" Target="https://ref.ly/1Sam15:22" TargetMode="External"/><Relationship Id="rId16045" Type="http://schemas.openxmlformats.org/officeDocument/2006/relationships/hyperlink" Target="https://ref.ly/Isa1:11-Isa1:15" TargetMode="External"/><Relationship Id="rId16046" Type="http://schemas.openxmlformats.org/officeDocument/2006/relationships/hyperlink" Target="https://ref.ly/Hos8:13" TargetMode="External"/><Relationship Id="rId16047" Type="http://schemas.openxmlformats.org/officeDocument/2006/relationships/hyperlink" Target="https://ref.ly/Hos9:1-Hos9:17" TargetMode="External"/><Relationship Id="rId16048" Type="http://schemas.openxmlformats.org/officeDocument/2006/relationships/hyperlink" Target="https://ref.ly/Hos9:1" TargetMode="External"/><Relationship Id="rId16049" Type="http://schemas.openxmlformats.org/officeDocument/2006/relationships/hyperlink" Target="https://ref.ly/Hos9:2-Hos9:3" TargetMode="External"/><Relationship Id="rId16050" Type="http://schemas.openxmlformats.org/officeDocument/2006/relationships/hyperlink" Target="https://ref.ly/Hos9:4-Hos9:5" TargetMode="External"/><Relationship Id="rId16051" Type="http://schemas.openxmlformats.org/officeDocument/2006/relationships/hyperlink" Target="https://ref.ly/Hos9:6" TargetMode="External"/><Relationship Id="rId16052" Type="http://schemas.openxmlformats.org/officeDocument/2006/relationships/hyperlink" Target="https://ref.ly/Hos10:1-Hos10:15" TargetMode="External"/><Relationship Id="rId16053" Type="http://schemas.openxmlformats.org/officeDocument/2006/relationships/hyperlink" Target="https://ref.ly/Hos10:1" TargetMode="External"/><Relationship Id="rId16054" Type="http://schemas.openxmlformats.org/officeDocument/2006/relationships/hyperlink" Target="https://ref.ly/Hos10:2-Hos10:3" TargetMode="External"/><Relationship Id="rId16055" Type="http://schemas.openxmlformats.org/officeDocument/2006/relationships/hyperlink" Target="https://ref.ly/Hos9:9" TargetMode="External"/><Relationship Id="rId16056" Type="http://schemas.openxmlformats.org/officeDocument/2006/relationships/hyperlink" Target="https://ref.ly/Hos10:9" TargetMode="External"/><Relationship Id="rId16057" Type="http://schemas.openxmlformats.org/officeDocument/2006/relationships/hyperlink" Target="https://ref.ly/Hos10:10" TargetMode="External"/><Relationship Id="rId16058" Type="http://schemas.openxmlformats.org/officeDocument/2006/relationships/hyperlink" Target="https://ref.ly/Hos10:11" TargetMode="External"/><Relationship Id="rId16059" Type="http://schemas.openxmlformats.org/officeDocument/2006/relationships/hyperlink" Target="https://ref.ly/Hos11:5" TargetMode="External"/><Relationship Id="rId16060" Type="http://schemas.openxmlformats.org/officeDocument/2006/relationships/hyperlink" Target="https://ref.ly/Hos11:5-Hos11:7" TargetMode="External"/><Relationship Id="rId16061" Type="http://schemas.openxmlformats.org/officeDocument/2006/relationships/hyperlink" Target="https://ref.ly/Hos12:1-Hos13:16" TargetMode="External"/><Relationship Id="rId16062" Type="http://schemas.openxmlformats.org/officeDocument/2006/relationships/hyperlink" Target="https://ref.ly/Hos12:1-Hos12:2" TargetMode="External"/><Relationship Id="rId16063" Type="http://schemas.openxmlformats.org/officeDocument/2006/relationships/hyperlink" Target="https://ref.ly/Hos13:9" TargetMode="External"/><Relationship Id="rId16064" Type="http://schemas.openxmlformats.org/officeDocument/2006/relationships/hyperlink" Target="https://ref.ly/Hos13:13" TargetMode="External"/><Relationship Id="rId16065" Type="http://schemas.openxmlformats.org/officeDocument/2006/relationships/hyperlink" Target="https://ref.ly/Dan12:1-Dan12:2,Dan12:13" TargetMode="External"/><Relationship Id="rId16066" Type="http://schemas.openxmlformats.org/officeDocument/2006/relationships/hyperlink" Target="https://ref.ly/Hos14:1-Hos14:9" TargetMode="External"/><Relationship Id="rId16067" Type="http://schemas.openxmlformats.org/officeDocument/2006/relationships/hyperlink" Target="https://ref.ly/Hos14:2" TargetMode="External"/><Relationship Id="rId16068" Type="http://schemas.openxmlformats.org/officeDocument/2006/relationships/hyperlink" Target="https://ref.ly/Exod24:5" TargetMode="External"/><Relationship Id="rId16069" Type="http://schemas.openxmlformats.org/officeDocument/2006/relationships/hyperlink" Target="https://ref.ly/Lev7:11-Lev7:15" TargetMode="External"/><Relationship Id="rId16070" Type="http://schemas.openxmlformats.org/officeDocument/2006/relationships/hyperlink" Target="https://ref.ly/Ps51:17-Ps51:19" TargetMode="External"/><Relationship Id="rId16071" Type="http://schemas.openxmlformats.org/officeDocument/2006/relationships/hyperlink" Target="https://ref.ly/Ps69:30-Ps69:31" TargetMode="External"/><Relationship Id="rId16072" Type="http://schemas.openxmlformats.org/officeDocument/2006/relationships/hyperlink" Target="https://ref.ly/Heb13:15-Heb13:16" TargetMode="External"/><Relationship Id="rId16073" Type="http://schemas.openxmlformats.org/officeDocument/2006/relationships/hyperlink" Target="https://ref.ly/Hos14:4-Hos14:5" TargetMode="External"/><Relationship Id="rId16074" Type="http://schemas.openxmlformats.org/officeDocument/2006/relationships/hyperlink" Target="https://ref.ly/Hos14:4-Hos14:7" TargetMode="External"/><Relationship Id="rId16075" Type="http://schemas.openxmlformats.org/officeDocument/2006/relationships/hyperlink" Target="https://ref.ly/Hos14:9" TargetMode="External"/><Relationship Id="rId16076" Type="http://schemas.openxmlformats.org/officeDocument/2006/relationships/hyperlink" Target="https://ref.ly/Hos4:12-Hos4:19" TargetMode="External"/><Relationship Id="rId16077" Type="http://schemas.openxmlformats.org/officeDocument/2006/relationships/hyperlink" Target="https://ref.ly/Hos5:5" TargetMode="External"/><Relationship Id="rId16078" Type="http://schemas.openxmlformats.org/officeDocument/2006/relationships/hyperlink" Target="https://ref.ly/Hos13:4,Hos13:9" TargetMode="External"/><Relationship Id="rId16079" Type="http://schemas.openxmlformats.org/officeDocument/2006/relationships/hyperlink" Target="https://ref.ly/1Sam31:11-1Sam31:13" TargetMode="External"/><Relationship Id="rId16080" Type="http://schemas.openxmlformats.org/officeDocument/2006/relationships/hyperlink" Target="https://ref.ly/2Kgs23:14-2Kgs23:18" TargetMode="External"/><Relationship Id="rId16081" Type="http://schemas.openxmlformats.org/officeDocument/2006/relationships/hyperlink" Target="https://ref.ly/Ezek39:14-Ezek39:16" TargetMode="External"/><Relationship Id="rId16082" Type="http://schemas.openxmlformats.org/officeDocument/2006/relationships/hyperlink" Target="https://ref.ly/Amos2:1" TargetMode="External"/><Relationship Id="rId16083" Type="http://schemas.openxmlformats.org/officeDocument/2006/relationships/hyperlink" Target="https://ref.ly/Exod12:46" TargetMode="External"/><Relationship Id="rId16084" Type="http://schemas.openxmlformats.org/officeDocument/2006/relationships/hyperlink" Target="https://ref.ly/Num9:11-Num9:12" TargetMode="External"/><Relationship Id="rId16085" Type="http://schemas.openxmlformats.org/officeDocument/2006/relationships/hyperlink" Target="https://ref.ly/Ps34:20" TargetMode="External"/><Relationship Id="rId16086" Type="http://schemas.openxmlformats.org/officeDocument/2006/relationships/hyperlink" Target="https://ref.ly/John19:30-John19:37" TargetMode="External"/><Relationship Id="rId16087" Type="http://schemas.openxmlformats.org/officeDocument/2006/relationships/hyperlink" Target="https://ref.ly/Job2:5" TargetMode="External"/><Relationship Id="rId16088" Type="http://schemas.openxmlformats.org/officeDocument/2006/relationships/hyperlink" Target="https://ref.ly/Gen29:14" TargetMode="External"/><Relationship Id="rId16089" Type="http://schemas.openxmlformats.org/officeDocument/2006/relationships/hyperlink" Target="https://ref.ly/Isa41:7" TargetMode="External"/><Relationship Id="rId16090" Type="http://schemas.openxmlformats.org/officeDocument/2006/relationships/hyperlink" Target="https://ref.ly/Jer10:9,Jer10:14" TargetMode="External"/><Relationship Id="rId16091" Type="http://schemas.openxmlformats.org/officeDocument/2006/relationships/hyperlink" Target="https://ref.ly/Jer51:17" TargetMode="External"/><Relationship Id="rId16092" Type="http://schemas.openxmlformats.org/officeDocument/2006/relationships/hyperlink" Target="https://ref.ly/Exod31:4" TargetMode="External"/><Relationship Id="rId16093" Type="http://schemas.openxmlformats.org/officeDocument/2006/relationships/hyperlink" Target="https://ref.ly/Exod35:32" TargetMode="External"/><Relationship Id="rId16094" Type="http://schemas.openxmlformats.org/officeDocument/2006/relationships/hyperlink" Target="https://ref.ly/1Kgs6:20-1Kgs6:35" TargetMode="External"/><Relationship Id="rId16095" Type="http://schemas.openxmlformats.org/officeDocument/2006/relationships/hyperlink" Target="https://ref.ly/Neh3:8,Neh3:31-Neh3:32" TargetMode="External"/><Relationship Id="rId16096" Type="http://schemas.openxmlformats.org/officeDocument/2006/relationships/hyperlink" Target="https://ref.ly/Exod26:19-Exod26:25" TargetMode="External"/><Relationship Id="rId16097" Type="http://schemas.openxmlformats.org/officeDocument/2006/relationships/hyperlink" Target="https://ref.ly/Num7:13-Num7:85" TargetMode="External"/><Relationship Id="rId16098" Type="http://schemas.openxmlformats.org/officeDocument/2006/relationships/hyperlink" Target="https://ref.ly/2Tim2:20" TargetMode="External"/><Relationship Id="rId16099" Type="http://schemas.openxmlformats.org/officeDocument/2006/relationships/hyperlink" Target="https://ref.ly/Prov14:29" TargetMode="External"/><Relationship Id="rId16100" Type="http://schemas.openxmlformats.org/officeDocument/2006/relationships/hyperlink" Target="https://ref.ly/Prov15:18" TargetMode="External"/><Relationship Id="rId16101" Type="http://schemas.openxmlformats.org/officeDocument/2006/relationships/hyperlink" Target="https://ref.ly/Prov16:32" TargetMode="External"/><Relationship Id="rId16102" Type="http://schemas.openxmlformats.org/officeDocument/2006/relationships/hyperlink" Target="https://ref.ly/Col1:11" TargetMode="External"/><Relationship Id="rId16103" Type="http://schemas.openxmlformats.org/officeDocument/2006/relationships/hyperlink" Target="https://ref.ly/2Tim3:10" TargetMode="External"/><Relationship Id="rId16104" Type="http://schemas.openxmlformats.org/officeDocument/2006/relationships/hyperlink" Target="https://ref.ly/1Thess5:14" TargetMode="External"/><Relationship Id="rId16105" Type="http://schemas.openxmlformats.org/officeDocument/2006/relationships/hyperlink" Target="https://ref.ly/Matt18:26-Matt18:29" TargetMode="External"/><Relationship Id="rId16106" Type="http://schemas.openxmlformats.org/officeDocument/2006/relationships/hyperlink" Target="https://ref.ly/Heb6:15" TargetMode="External"/><Relationship Id="rId16107" Type="http://schemas.openxmlformats.org/officeDocument/2006/relationships/hyperlink" Target="https://ref.ly/Heb11:39" TargetMode="External"/><Relationship Id="rId16108" Type="http://schemas.openxmlformats.org/officeDocument/2006/relationships/hyperlink" Target="https://ref.ly/Hos12:12" TargetMode="External"/><Relationship Id="rId16109" Type="http://schemas.openxmlformats.org/officeDocument/2006/relationships/hyperlink" Target="https://ref.ly/Jer37:21" TargetMode="External"/><Relationship Id="rId16110" Type="http://schemas.openxmlformats.org/officeDocument/2006/relationships/hyperlink" Target="https://ref.ly/Gen40:1-Gen40:22" TargetMode="External"/><Relationship Id="rId16111" Type="http://schemas.openxmlformats.org/officeDocument/2006/relationships/hyperlink" Target="https://ref.ly/Gen41:10,Gen41:13" TargetMode="External"/><Relationship Id="rId16112" Type="http://schemas.openxmlformats.org/officeDocument/2006/relationships/hyperlink" Target="https://ref.ly/1Sam8:13" TargetMode="External"/><Relationship Id="rId16113" Type="http://schemas.openxmlformats.org/officeDocument/2006/relationships/hyperlink" Target="https://ref.ly/Exod12:39" TargetMode="External"/><Relationship Id="rId16114" Type="http://schemas.openxmlformats.org/officeDocument/2006/relationships/hyperlink" Target="https://ref.ly/Lev2:4" TargetMode="External"/><Relationship Id="rId16115" Type="http://schemas.openxmlformats.org/officeDocument/2006/relationships/hyperlink" Target="https://ref.ly/Lev26:26" TargetMode="External"/><Relationship Id="rId16116" Type="http://schemas.openxmlformats.org/officeDocument/2006/relationships/hyperlink" Target="https://ref.ly/Hos7:4-Hos7:8" TargetMode="External"/><Relationship Id="rId16117" Type="http://schemas.openxmlformats.org/officeDocument/2006/relationships/hyperlink" Target="https://ref.ly/Matt26:1-Matt27:66" TargetMode="External"/><Relationship Id="rId16118" Type="http://schemas.openxmlformats.org/officeDocument/2006/relationships/hyperlink" Target="https://ref.ly/Luke22:1-Luke23:56" TargetMode="External"/><Relationship Id="rId16119" Type="http://schemas.openxmlformats.org/officeDocument/2006/relationships/hyperlink" Target="https://ref.ly/John18:1-John19:42" TargetMode="External"/><Relationship Id="rId16120" Type="http://schemas.openxmlformats.org/officeDocument/2006/relationships/hyperlink" Target="https://ref.ly/Luke22:41-Luke22:44" TargetMode="External"/><Relationship Id="rId16121" Type="http://schemas.openxmlformats.org/officeDocument/2006/relationships/hyperlink" Target="https://ref.ly/John18:12" TargetMode="External"/><Relationship Id="rId16122" Type="http://schemas.openxmlformats.org/officeDocument/2006/relationships/hyperlink" Target="https://ref.ly/John18:19-John18:24" TargetMode="External"/><Relationship Id="rId16123" Type="http://schemas.openxmlformats.org/officeDocument/2006/relationships/hyperlink" Target="https://ref.ly/John18:24" TargetMode="External"/><Relationship Id="rId16124" Type="http://schemas.openxmlformats.org/officeDocument/2006/relationships/hyperlink" Target="https://ref.ly/Luke22:63-Luke22:65" TargetMode="External"/><Relationship Id="rId16125" Type="http://schemas.openxmlformats.org/officeDocument/2006/relationships/hyperlink" Target="https://ref.ly/Mark14:55-Mark14:64" TargetMode="External"/><Relationship Id="rId16126" Type="http://schemas.openxmlformats.org/officeDocument/2006/relationships/hyperlink" Target="https://ref.ly/Matt26:67-Matt26:68" TargetMode="External"/><Relationship Id="rId16127" Type="http://schemas.openxmlformats.org/officeDocument/2006/relationships/hyperlink" Target="https://ref.ly/Mark14:65" TargetMode="External"/><Relationship Id="rId16128" Type="http://schemas.openxmlformats.org/officeDocument/2006/relationships/hyperlink" Target="https://ref.ly/Luke23:1-Luke23:12" TargetMode="External"/><Relationship Id="rId16129" Type="http://schemas.openxmlformats.org/officeDocument/2006/relationships/hyperlink" Target="https://ref.ly/Luke23:11" TargetMode="External"/><Relationship Id="rId16130" Type="http://schemas.openxmlformats.org/officeDocument/2006/relationships/hyperlink" Target="https://ref.ly/Luke23:16" TargetMode="External"/><Relationship Id="rId16131" Type="http://schemas.openxmlformats.org/officeDocument/2006/relationships/hyperlink" Target="https://ref.ly/Mark15:15" TargetMode="External"/><Relationship Id="rId16132" Type="http://schemas.openxmlformats.org/officeDocument/2006/relationships/hyperlink" Target="https://ref.ly/Matt27:27-Matt27:31" TargetMode="External"/><Relationship Id="rId16133" Type="http://schemas.openxmlformats.org/officeDocument/2006/relationships/hyperlink" Target="https://ref.ly/Mark15:16-Mark15:20" TargetMode="External"/><Relationship Id="rId16134" Type="http://schemas.openxmlformats.org/officeDocument/2006/relationships/hyperlink" Target="https://ref.ly/John19:3" TargetMode="External"/><Relationship Id="rId16135" Type="http://schemas.openxmlformats.org/officeDocument/2006/relationships/hyperlink" Target="https://ref.ly/John19:1-John19:16" TargetMode="External"/><Relationship Id="rId16136" Type="http://schemas.openxmlformats.org/officeDocument/2006/relationships/hyperlink" Target="https://ref.ly/Matt27:11-Matt27:26" TargetMode="External"/><Relationship Id="rId16137" Type="http://schemas.openxmlformats.org/officeDocument/2006/relationships/hyperlink" Target="https://ref.ly/Acts3:12-Acts3:21" TargetMode="External"/><Relationship Id="rId16138" Type="http://schemas.openxmlformats.org/officeDocument/2006/relationships/hyperlink" Target="https://ref.ly/Rev5:9" TargetMode="External"/><Relationship Id="rId16139" Type="http://schemas.openxmlformats.org/officeDocument/2006/relationships/hyperlink" Target="https://ref.ly/Heb2:9,Heb2:17" TargetMode="External"/><Relationship Id="rId16140" Type="http://schemas.openxmlformats.org/officeDocument/2006/relationships/hyperlink" Target="https://ref.ly/Heb1:1" TargetMode="External"/><Relationship Id="rId16141" Type="http://schemas.openxmlformats.org/officeDocument/2006/relationships/hyperlink" Target="https://ref.ly/Gen27:30-Gen27:38" TargetMode="External"/><Relationship Id="rId16142" Type="http://schemas.openxmlformats.org/officeDocument/2006/relationships/hyperlink" Target="https://ref.ly/Matt10:12-Matt10:13" TargetMode="External"/><Relationship Id="rId16143" Type="http://schemas.openxmlformats.org/officeDocument/2006/relationships/hyperlink" Target="https://ref.ly/Judg11:34-Judg11:35" TargetMode="External"/><Relationship Id="rId16144" Type="http://schemas.openxmlformats.org/officeDocument/2006/relationships/hyperlink" Target="https://ref.ly/Gen27:12-Gen27:13" TargetMode="External"/><Relationship Id="rId16145" Type="http://schemas.openxmlformats.org/officeDocument/2006/relationships/hyperlink" Target="https://ref.ly/Eccl8:4" TargetMode="External"/><Relationship Id="rId16146" Type="http://schemas.openxmlformats.org/officeDocument/2006/relationships/hyperlink" Target="https://ref.ly/Matt12:34-Matt12:37" TargetMode="External"/><Relationship Id="rId16147" Type="http://schemas.openxmlformats.org/officeDocument/2006/relationships/hyperlink" Target="https://ref.ly/Luke12:10" TargetMode="External"/><Relationship Id="rId16148" Type="http://schemas.openxmlformats.org/officeDocument/2006/relationships/hyperlink" Target="https://ref.ly/Eph4:29" TargetMode="External"/><Relationship Id="rId16149" Type="http://schemas.openxmlformats.org/officeDocument/2006/relationships/hyperlink" Target="https://ref.ly/Eph5:4" TargetMode="External"/><Relationship Id="rId16150" Type="http://schemas.openxmlformats.org/officeDocument/2006/relationships/hyperlink" Target="https://ref.ly/Jas3:1-Jas3:12" TargetMode="External"/><Relationship Id="rId16151" Type="http://schemas.openxmlformats.org/officeDocument/2006/relationships/hyperlink" Target="https://ref.ly/1Kgs12:22" TargetMode="External"/><Relationship Id="rId16152" Type="http://schemas.openxmlformats.org/officeDocument/2006/relationships/hyperlink" Target="https://ref.ly/1Chr17:3" TargetMode="External"/><Relationship Id="rId16153" Type="http://schemas.openxmlformats.org/officeDocument/2006/relationships/hyperlink" Target="https://ref.ly/1Sam3:1" TargetMode="External"/><Relationship Id="rId16154" Type="http://schemas.openxmlformats.org/officeDocument/2006/relationships/hyperlink" Target="https://ref.ly/Amos8:11" TargetMode="External"/><Relationship Id="rId16155" Type="http://schemas.openxmlformats.org/officeDocument/2006/relationships/hyperlink" Target="https://ref.ly/Isa31:2" TargetMode="External"/><Relationship Id="rId16156" Type="http://schemas.openxmlformats.org/officeDocument/2006/relationships/hyperlink" Target="https://ref.ly/Ps119:89" TargetMode="External"/><Relationship Id="rId16157" Type="http://schemas.openxmlformats.org/officeDocument/2006/relationships/hyperlink" Target="https://ref.ly/Isa40:8" TargetMode="External"/><Relationship Id="rId16158" Type="http://schemas.openxmlformats.org/officeDocument/2006/relationships/hyperlink" Target="https://ref.ly/Jer1:12" TargetMode="External"/><Relationship Id="rId16159" Type="http://schemas.openxmlformats.org/officeDocument/2006/relationships/hyperlink" Target="https://ref.ly/Ezek12:25" TargetMode="External"/><Relationship Id="rId16160" Type="http://schemas.openxmlformats.org/officeDocument/2006/relationships/hyperlink" Target="https://ref.ly/Jer15:16" TargetMode="External"/><Relationship Id="rId16161" Type="http://schemas.openxmlformats.org/officeDocument/2006/relationships/hyperlink" Target="https://ref.ly/Matt4:4" TargetMode="External"/><Relationship Id="rId16162" Type="http://schemas.openxmlformats.org/officeDocument/2006/relationships/hyperlink" Target="https://ref.ly/Isa55:11" TargetMode="External"/><Relationship Id="rId16163" Type="http://schemas.openxmlformats.org/officeDocument/2006/relationships/hyperlink" Target="https://ref.ly/Luke16:29-Luke16:31" TargetMode="External"/><Relationship Id="rId16164" Type="http://schemas.openxmlformats.org/officeDocument/2006/relationships/hyperlink" Target="https://ref.ly/Matt13:19" TargetMode="External"/><Relationship Id="rId16165" Type="http://schemas.openxmlformats.org/officeDocument/2006/relationships/hyperlink" Target="https://ref.ly/Mark4:14" TargetMode="External"/><Relationship Id="rId16166" Type="http://schemas.openxmlformats.org/officeDocument/2006/relationships/hyperlink" Target="https://ref.ly/John12:48" TargetMode="External"/><Relationship Id="rId16167" Type="http://schemas.openxmlformats.org/officeDocument/2006/relationships/hyperlink" Target="https://ref.ly/John15:3" TargetMode="External"/><Relationship Id="rId16168" Type="http://schemas.openxmlformats.org/officeDocument/2006/relationships/hyperlink" Target="https://ref.ly/John17:14" TargetMode="External"/><Relationship Id="rId16169" Type="http://schemas.openxmlformats.org/officeDocument/2006/relationships/hyperlink" Target="https://ref.ly/Rom10:8-Rom10:9" TargetMode="External"/><Relationship Id="rId16170" Type="http://schemas.openxmlformats.org/officeDocument/2006/relationships/hyperlink" Target="https://ref.ly/Gen1:3-Gen1:31" TargetMode="External"/><Relationship Id="rId16171" Type="http://schemas.openxmlformats.org/officeDocument/2006/relationships/hyperlink" Target="https://ref.ly/Exod15:14" TargetMode="External"/><Relationship Id="rId16172" Type="http://schemas.openxmlformats.org/officeDocument/2006/relationships/hyperlink" Target="https://ref.ly/Isa14:29-Isa14:31" TargetMode="External"/><Relationship Id="rId16173" Type="http://schemas.openxmlformats.org/officeDocument/2006/relationships/hyperlink" Target="https://ref.ly/1Chr22:2" TargetMode="External"/><Relationship Id="rId16174" Type="http://schemas.openxmlformats.org/officeDocument/2006/relationships/hyperlink" Target="https://ref.ly/Num34:1-Num34:12" TargetMode="External"/><Relationship Id="rId16175" Type="http://schemas.openxmlformats.org/officeDocument/2006/relationships/hyperlink" Target="https://ref.ly/2Sam8:1-2Sam8:14" TargetMode="External"/><Relationship Id="rId16176" Type="http://schemas.openxmlformats.org/officeDocument/2006/relationships/hyperlink" Target="https://ref.ly/1Chr18:1-1Chr18:13" TargetMode="External"/><Relationship Id="rId16177" Type="http://schemas.openxmlformats.org/officeDocument/2006/relationships/hyperlink" Target="https://ref.ly/Song2:1" TargetMode="External"/><Relationship Id="rId16178" Type="http://schemas.openxmlformats.org/officeDocument/2006/relationships/hyperlink" Target="https://ref.ly/Isa65:10" TargetMode="External"/><Relationship Id="rId16179" Type="http://schemas.openxmlformats.org/officeDocument/2006/relationships/hyperlink" Target="https://ref.ly/Judg4:7" TargetMode="External"/><Relationship Id="rId16180" Type="http://schemas.openxmlformats.org/officeDocument/2006/relationships/hyperlink" Target="https://ref.ly/1Kgs18:40" TargetMode="External"/><Relationship Id="rId16181" Type="http://schemas.openxmlformats.org/officeDocument/2006/relationships/hyperlink" Target="https://ref.ly/Gen37:17" TargetMode="External"/><Relationship Id="rId16182" Type="http://schemas.openxmlformats.org/officeDocument/2006/relationships/hyperlink" Target="https://ref.ly/Gen32:22" TargetMode="External"/><Relationship Id="rId16183" Type="http://schemas.openxmlformats.org/officeDocument/2006/relationships/hyperlink" Target="https://ref.ly/Num34:12" TargetMode="External"/><Relationship Id="rId16184" Type="http://schemas.openxmlformats.org/officeDocument/2006/relationships/hyperlink" Target="https://ref.ly/Zech11:2" TargetMode="External"/><Relationship Id="rId16185" Type="http://schemas.openxmlformats.org/officeDocument/2006/relationships/hyperlink" Target="https://ref.ly/Deut3:10-Deut3:16" TargetMode="External"/><Relationship Id="rId16186" Type="http://schemas.openxmlformats.org/officeDocument/2006/relationships/hyperlink" Target="https://ref.ly/Judg11:1-Judg11:40" TargetMode="External"/><Relationship Id="rId16187" Type="http://schemas.openxmlformats.org/officeDocument/2006/relationships/hyperlink" Target="https://ref.ly/2Sam18:8" TargetMode="External"/><Relationship Id="rId16188" Type="http://schemas.openxmlformats.org/officeDocument/2006/relationships/hyperlink" Target="https://ref.ly/Ps1:4" TargetMode="External"/><Relationship Id="rId16189" Type="http://schemas.openxmlformats.org/officeDocument/2006/relationships/hyperlink" Target="https://ref.ly/Isa33:11" TargetMode="External"/><Relationship Id="rId16190" Type="http://schemas.openxmlformats.org/officeDocument/2006/relationships/hyperlink" Target="https://ref.ly/Dan2:35" TargetMode="External"/><Relationship Id="rId16191" Type="http://schemas.openxmlformats.org/officeDocument/2006/relationships/hyperlink" Target="https://ref.ly/Jer52:21" TargetMode="External"/><Relationship Id="rId16192" Type="http://schemas.openxmlformats.org/officeDocument/2006/relationships/hyperlink" Target="https://ref.ly/Exod28:16" TargetMode="External"/><Relationship Id="rId16193" Type="http://schemas.openxmlformats.org/officeDocument/2006/relationships/hyperlink" Target="https://ref.ly/Exod39:9" TargetMode="External"/><Relationship Id="rId16194" Type="http://schemas.openxmlformats.org/officeDocument/2006/relationships/hyperlink" Target="https://ref.ly/Num13:9" TargetMode="External"/><Relationship Id="rId16195" Type="http://schemas.openxmlformats.org/officeDocument/2006/relationships/hyperlink" Target="https://ref.ly/1Sam25:44" TargetMode="External"/><Relationship Id="rId16196" Type="http://schemas.openxmlformats.org/officeDocument/2006/relationships/hyperlink" Target="https://ref.ly/2Sam3:15" TargetMode="External"/><Relationship Id="rId16197" Type="http://schemas.openxmlformats.org/officeDocument/2006/relationships/hyperlink" Target="https://ref.ly/Num26:8" TargetMode="External"/><Relationship Id="rId16198" Type="http://schemas.openxmlformats.org/officeDocument/2006/relationships/hyperlink" Target="https://ref.ly/Acts15:36" TargetMode="External"/><Relationship Id="rId16199" Type="http://schemas.openxmlformats.org/officeDocument/2006/relationships/hyperlink" Target="https://ref.ly/Acts15:37-Acts15:41" TargetMode="External"/><Relationship Id="rId16200" Type="http://schemas.openxmlformats.org/officeDocument/2006/relationships/hyperlink" Target="https://ref.ly/Gen42:25-Gen42:27,Gen42:35" TargetMode="External"/><Relationship Id="rId16201" Type="http://schemas.openxmlformats.org/officeDocument/2006/relationships/hyperlink" Target="https://ref.ly/Lev11:32" TargetMode="External"/><Relationship Id="rId16202" Type="http://schemas.openxmlformats.org/officeDocument/2006/relationships/hyperlink" Target="https://ref.ly/Isa15:3" TargetMode="External"/><Relationship Id="rId16203" Type="http://schemas.openxmlformats.org/officeDocument/2006/relationships/hyperlink" Target="https://ref.ly/Jer4:8" TargetMode="External"/><Relationship Id="rId16204" Type="http://schemas.openxmlformats.org/officeDocument/2006/relationships/hyperlink" Target="https://ref.ly/1Kgs20:31" TargetMode="External"/><Relationship Id="rId16205" Type="http://schemas.openxmlformats.org/officeDocument/2006/relationships/hyperlink" Target="https://ref.ly/1Kgs21:27" TargetMode="External"/><Relationship Id="rId16206" Type="http://schemas.openxmlformats.org/officeDocument/2006/relationships/hyperlink" Target="https://ref.ly/2Kgs6:30" TargetMode="External"/><Relationship Id="rId16207" Type="http://schemas.openxmlformats.org/officeDocument/2006/relationships/hyperlink" Target="https://ref.ly/Isa37:1" TargetMode="External"/><Relationship Id="rId16208" Type="http://schemas.openxmlformats.org/officeDocument/2006/relationships/hyperlink" Target="https://ref.ly/Jonah3:8" TargetMode="External"/><Relationship Id="rId16209" Type="http://schemas.openxmlformats.org/officeDocument/2006/relationships/hyperlink" Target="https://ref.ly/Isa20:2" TargetMode="External"/><Relationship Id="rId16210" Type="http://schemas.openxmlformats.org/officeDocument/2006/relationships/hyperlink" Target="https://ref.ly/Ruth3:2" TargetMode="External"/><Relationship Id="rId16211" Type="http://schemas.openxmlformats.org/officeDocument/2006/relationships/hyperlink" Target="https://ref.ly/2Kgs7:1" TargetMode="External"/><Relationship Id="rId16212" Type="http://schemas.openxmlformats.org/officeDocument/2006/relationships/hyperlink" Target="https://ref.ly/John6:9" TargetMode="External"/><Relationship Id="rId16213" Type="http://schemas.openxmlformats.org/officeDocument/2006/relationships/hyperlink" Target="https://ref.ly/1Kgs4:28" TargetMode="External"/><Relationship Id="rId16214" Type="http://schemas.openxmlformats.org/officeDocument/2006/relationships/hyperlink" Target="https://ref.ly/Isa28:25" TargetMode="External"/><Relationship Id="rId16215" Type="http://schemas.openxmlformats.org/officeDocument/2006/relationships/hyperlink" Target="https://ref.ly/Isa28:24-Isa28:28" TargetMode="External"/><Relationship Id="rId16216" Type="http://schemas.openxmlformats.org/officeDocument/2006/relationships/hyperlink" Target="https://ref.ly/Exod16:4-Exod16:32" TargetMode="External"/><Relationship Id="rId16217" Type="http://schemas.openxmlformats.org/officeDocument/2006/relationships/hyperlink" Target="https://ref.ly/Num21:5" TargetMode="External"/><Relationship Id="rId16218" Type="http://schemas.openxmlformats.org/officeDocument/2006/relationships/hyperlink" Target="https://ref.ly/Exod12:34" TargetMode="External"/><Relationship Id="rId16219" Type="http://schemas.openxmlformats.org/officeDocument/2006/relationships/hyperlink" Target="https://ref.ly/Deut28:5" TargetMode="External"/><Relationship Id="rId16220" Type="http://schemas.openxmlformats.org/officeDocument/2006/relationships/hyperlink" Target="https://ref.ly/Lev2:5" TargetMode="External"/><Relationship Id="rId16221" Type="http://schemas.openxmlformats.org/officeDocument/2006/relationships/hyperlink" Target="https://ref.ly/Lev6:21" TargetMode="External"/><Relationship Id="rId16222" Type="http://schemas.openxmlformats.org/officeDocument/2006/relationships/hyperlink" Target="https://ref.ly/1Chr23:29" TargetMode="External"/><Relationship Id="rId16223" Type="http://schemas.openxmlformats.org/officeDocument/2006/relationships/hyperlink" Target="https://ref.ly/2Chr35:13" TargetMode="External"/><Relationship Id="rId16224" Type="http://schemas.openxmlformats.org/officeDocument/2006/relationships/hyperlink" Target="https://ref.ly/Matt6:30" TargetMode="External"/><Relationship Id="rId16225" Type="http://schemas.openxmlformats.org/officeDocument/2006/relationships/hyperlink" Target="https://ref.ly/Lev11:35" TargetMode="External"/><Relationship Id="rId16226" Type="http://schemas.openxmlformats.org/officeDocument/2006/relationships/hyperlink" Target="https://ref.ly/Hos7:4-Hos7:7" TargetMode="External"/><Relationship Id="rId16227" Type="http://schemas.openxmlformats.org/officeDocument/2006/relationships/hyperlink" Target="https://ref.ly/Matt14:17" TargetMode="External"/><Relationship Id="rId16228" Type="http://schemas.openxmlformats.org/officeDocument/2006/relationships/hyperlink" Target="https://ref.ly/Mark6:38" TargetMode="External"/><Relationship Id="rId16229" Type="http://schemas.openxmlformats.org/officeDocument/2006/relationships/hyperlink" Target="https://ref.ly/Luke9:13" TargetMode="External"/><Relationship Id="rId16230" Type="http://schemas.openxmlformats.org/officeDocument/2006/relationships/hyperlink" Target="https://ref.ly/2Sam16:1" TargetMode="External"/><Relationship Id="rId16231" Type="http://schemas.openxmlformats.org/officeDocument/2006/relationships/hyperlink" Target="https://ref.ly/Exod25:30" TargetMode="External"/><Relationship Id="rId16232" Type="http://schemas.openxmlformats.org/officeDocument/2006/relationships/hyperlink" Target="https://ref.ly/John6:1-John6:14" TargetMode="External"/><Relationship Id="rId16233" Type="http://schemas.openxmlformats.org/officeDocument/2006/relationships/hyperlink" Target="https://ref.ly/John6:28-John6:35" TargetMode="External"/><Relationship Id="rId16234" Type="http://schemas.openxmlformats.org/officeDocument/2006/relationships/hyperlink" Target="https://ref.ly/Exod12:15-Exod12:20" TargetMode="External"/><Relationship Id="rId16235" Type="http://schemas.openxmlformats.org/officeDocument/2006/relationships/hyperlink" Target="https://ref.ly/Exod25:23" TargetMode="External"/><Relationship Id="rId16236" Type="http://schemas.openxmlformats.org/officeDocument/2006/relationships/hyperlink" Target="https://ref.ly/Exod35:13" TargetMode="External"/><Relationship Id="rId16237" Type="http://schemas.openxmlformats.org/officeDocument/2006/relationships/hyperlink" Target="https://ref.ly/Exod39:36" TargetMode="External"/><Relationship Id="rId16238" Type="http://schemas.openxmlformats.org/officeDocument/2006/relationships/hyperlink" Target="https://ref.ly/1Kgs7:48" TargetMode="External"/><Relationship Id="rId16239" Type="http://schemas.openxmlformats.org/officeDocument/2006/relationships/hyperlink" Target="https://ref.ly/2Chr4:19" TargetMode="External"/><Relationship Id="rId16240" Type="http://schemas.openxmlformats.org/officeDocument/2006/relationships/hyperlink" Target="https://ref.ly/1Chr28:16" TargetMode="External"/><Relationship Id="rId16241" Type="http://schemas.openxmlformats.org/officeDocument/2006/relationships/hyperlink" Target="https://ref.ly/2Chr13:11" TargetMode="External"/><Relationship Id="rId16242" Type="http://schemas.openxmlformats.org/officeDocument/2006/relationships/hyperlink" Target="https://ref.ly/Neh10:32-Neh10:33" TargetMode="External"/><Relationship Id="rId16243" Type="http://schemas.openxmlformats.org/officeDocument/2006/relationships/hyperlink" Target="https://ref.ly/Lev24:5-Lev24:9" TargetMode="External"/><Relationship Id="rId16244" Type="http://schemas.openxmlformats.org/officeDocument/2006/relationships/hyperlink" Target="https://ref.ly/1Sam21:1-1Sam21:6" TargetMode="External"/><Relationship Id="rId16245" Type="http://schemas.openxmlformats.org/officeDocument/2006/relationships/hyperlink" Target="https://ref.ly/Mark2:25-Mark2:26" TargetMode="External"/><Relationship Id="rId16246" Type="http://schemas.openxmlformats.org/officeDocument/2006/relationships/hyperlink" Target="https://ref.ly/Deut12:1-Deut12:11" TargetMode="External"/><Relationship Id="rId16247" Type="http://schemas.openxmlformats.org/officeDocument/2006/relationships/hyperlink" Target="https://ref.ly/Neh12:22" TargetMode="External"/><Relationship Id="rId16248" Type="http://schemas.openxmlformats.org/officeDocument/2006/relationships/hyperlink" Target="https://ref.ly/Neh13:28" TargetMode="External"/><Relationship Id="rId16249" Type="http://schemas.openxmlformats.org/officeDocument/2006/relationships/hyperlink" Target="https://ref.ly/Exod34:11-Exod34:16" TargetMode="External"/><Relationship Id="rId16250" Type="http://schemas.openxmlformats.org/officeDocument/2006/relationships/hyperlink" Target="https://ref.ly/Ezra9:1-Ezra10:44" TargetMode="External"/><Relationship Id="rId16251" Type="http://schemas.openxmlformats.org/officeDocument/2006/relationships/hyperlink" Target="https://ref.ly/Neh13:23-Neh13:25" TargetMode="External"/><Relationship Id="rId16252" Type="http://schemas.openxmlformats.org/officeDocument/2006/relationships/hyperlink" Target="https://ref.ly/Num10:12" TargetMode="External"/><Relationship Id="rId16253" Type="http://schemas.openxmlformats.org/officeDocument/2006/relationships/hyperlink" Target="https://ref.ly/Num13:3,Num13:26" TargetMode="External"/><Relationship Id="rId16254" Type="http://schemas.openxmlformats.org/officeDocument/2006/relationships/hyperlink" Target="https://ref.ly/Matt13:1-Matt13:52" TargetMode="External"/><Relationship Id="rId16255" Type="http://schemas.openxmlformats.org/officeDocument/2006/relationships/hyperlink" Target="https://ref.ly/Mark3:23" TargetMode="External"/><Relationship Id="rId16256" Type="http://schemas.openxmlformats.org/officeDocument/2006/relationships/hyperlink" Target="https://ref.ly/Mark13:28" TargetMode="External"/><Relationship Id="rId16257" Type="http://schemas.openxmlformats.org/officeDocument/2006/relationships/hyperlink" Target="https://ref.ly/Luke18:2-Luke18:5" TargetMode="External"/><Relationship Id="rId16258" Type="http://schemas.openxmlformats.org/officeDocument/2006/relationships/hyperlink" Target="https://ref.ly/Luke10:30-Luke10:35" TargetMode="External"/><Relationship Id="rId16259" Type="http://schemas.openxmlformats.org/officeDocument/2006/relationships/hyperlink" Target="https://ref.ly/Luke12:16-Luke12:20" TargetMode="External"/><Relationship Id="rId16260" Type="http://schemas.openxmlformats.org/officeDocument/2006/relationships/hyperlink" Target="https://ref.ly/Luke18:10-Luke18:13" TargetMode="External"/><Relationship Id="rId16261" Type="http://schemas.openxmlformats.org/officeDocument/2006/relationships/hyperlink" Target="https://ref.ly/Luke15:24" TargetMode="External"/><Relationship Id="rId16262" Type="http://schemas.openxmlformats.org/officeDocument/2006/relationships/hyperlink" Target="https://ref.ly/Matt21:33-Matt21:41" TargetMode="External"/><Relationship Id="rId16263" Type="http://schemas.openxmlformats.org/officeDocument/2006/relationships/hyperlink" Target="https://ref.ly/Matt18:23-Matt18:34" TargetMode="External"/><Relationship Id="rId16264" Type="http://schemas.openxmlformats.org/officeDocument/2006/relationships/hyperlink" Target="https://ref.ly/2Sam12:1-2Sam12:7" TargetMode="External"/><Relationship Id="rId16265" Type="http://schemas.openxmlformats.org/officeDocument/2006/relationships/hyperlink" Target="https://ref.ly/John3:4" TargetMode="External"/><Relationship Id="rId16266" Type="http://schemas.openxmlformats.org/officeDocument/2006/relationships/hyperlink" Target="https://ref.ly/Matt10:39" TargetMode="External"/><Relationship Id="rId16267" Type="http://schemas.openxmlformats.org/officeDocument/2006/relationships/hyperlink" Target="https://ref.ly/Luke13:30" TargetMode="External"/><Relationship Id="rId16268" Type="http://schemas.openxmlformats.org/officeDocument/2006/relationships/hyperlink" Target="https://ref.ly/Mark10:43" TargetMode="External"/><Relationship Id="rId16269" Type="http://schemas.openxmlformats.org/officeDocument/2006/relationships/hyperlink" Target="https://ref.ly/Luke22:26" TargetMode="External"/><Relationship Id="rId16270" Type="http://schemas.openxmlformats.org/officeDocument/2006/relationships/hyperlink" Target="https://ref.ly/John13:13-John13:14" TargetMode="External"/><Relationship Id="rId16271" Type="http://schemas.openxmlformats.org/officeDocument/2006/relationships/hyperlink" Target="https://ref.ly/Eccl2:5" TargetMode="External"/><Relationship Id="rId16272" Type="http://schemas.openxmlformats.org/officeDocument/2006/relationships/hyperlink" Target="https://ref.ly/Song4:13" TargetMode="External"/><Relationship Id="rId16273" Type="http://schemas.openxmlformats.org/officeDocument/2006/relationships/hyperlink" Target="https://ref.ly/Matt4:24" TargetMode="External"/><Relationship Id="rId16274" Type="http://schemas.openxmlformats.org/officeDocument/2006/relationships/hyperlink" Target="https://ref.ly/John5:3" TargetMode="External"/><Relationship Id="rId16275" Type="http://schemas.openxmlformats.org/officeDocument/2006/relationships/hyperlink" Target="https://ref.ly/Mark2:3-Mark2:10" TargetMode="External"/><Relationship Id="rId16276" Type="http://schemas.openxmlformats.org/officeDocument/2006/relationships/hyperlink" Target="https://ref.ly/Acts9:33" TargetMode="External"/><Relationship Id="rId16277" Type="http://schemas.openxmlformats.org/officeDocument/2006/relationships/hyperlink" Target="https://ref.ly/Judg16:27" TargetMode="External"/><Relationship Id="rId16278" Type="http://schemas.openxmlformats.org/officeDocument/2006/relationships/hyperlink" Target="https://ref.ly/Num27:11" TargetMode="External"/><Relationship Id="rId16279" Type="http://schemas.openxmlformats.org/officeDocument/2006/relationships/hyperlink" Target="https://ref.ly/Lev25:47-Lev25:49" TargetMode="External"/><Relationship Id="rId16280" Type="http://schemas.openxmlformats.org/officeDocument/2006/relationships/hyperlink" Target="https://ref.ly/Ruth2:20" TargetMode="External"/><Relationship Id="rId16281" Type="http://schemas.openxmlformats.org/officeDocument/2006/relationships/hyperlink" Target="https://ref.ly/Ruth4:4" TargetMode="External"/><Relationship Id="rId16282" Type="http://schemas.openxmlformats.org/officeDocument/2006/relationships/hyperlink" Target="https://ref.ly/Ruth4:6" TargetMode="External"/><Relationship Id="rId16283" Type="http://schemas.openxmlformats.org/officeDocument/2006/relationships/hyperlink" Target="https://ref.ly/Ps50:11" TargetMode="External"/><Relationship Id="rId16284" Type="http://schemas.openxmlformats.org/officeDocument/2006/relationships/hyperlink" Target="https://ref.ly/Gen9:10" TargetMode="External"/><Relationship Id="rId16285" Type="http://schemas.openxmlformats.org/officeDocument/2006/relationships/hyperlink" Target="https://ref.ly/Acts10:12" TargetMode="External"/><Relationship Id="rId16286" Type="http://schemas.openxmlformats.org/officeDocument/2006/relationships/hyperlink" Target="https://ref.ly/Luke2:24" TargetMode="External"/><Relationship Id="rId16287" Type="http://schemas.openxmlformats.org/officeDocument/2006/relationships/hyperlink" Target="https://ref.ly/Num6:10" TargetMode="External"/><Relationship Id="rId16288" Type="http://schemas.openxmlformats.org/officeDocument/2006/relationships/hyperlink" Target="https://ref.ly/Lev14:22" TargetMode="External"/><Relationship Id="rId16289" Type="http://schemas.openxmlformats.org/officeDocument/2006/relationships/hyperlink" Target="https://ref.ly/Lev12:8" TargetMode="External"/><Relationship Id="rId16290" Type="http://schemas.openxmlformats.org/officeDocument/2006/relationships/hyperlink" Target="https://ref.ly/Deut22:6" TargetMode="External"/><Relationship Id="rId16291" Type="http://schemas.openxmlformats.org/officeDocument/2006/relationships/hyperlink" Target="https://ref.ly/Dan4:33" TargetMode="External"/><Relationship Id="rId16292" Type="http://schemas.openxmlformats.org/officeDocument/2006/relationships/hyperlink" Target="https://ref.ly/Job28:21" TargetMode="External"/><Relationship Id="rId16293" Type="http://schemas.openxmlformats.org/officeDocument/2006/relationships/hyperlink" Target="https://ref.ly/Matt13:4" TargetMode="External"/><Relationship Id="rId16294" Type="http://schemas.openxmlformats.org/officeDocument/2006/relationships/hyperlink" Target="https://ref.ly/Ps102:7" TargetMode="External"/><Relationship Id="rId16295" Type="http://schemas.openxmlformats.org/officeDocument/2006/relationships/hyperlink" Target="https://ref.ly/Lam3:52" TargetMode="External"/><Relationship Id="rId16296" Type="http://schemas.openxmlformats.org/officeDocument/2006/relationships/hyperlink" Target="https://ref.ly/Jer9:10" TargetMode="External"/><Relationship Id="rId16297" Type="http://schemas.openxmlformats.org/officeDocument/2006/relationships/hyperlink" Target="https://ref.ly/Matt6:26" TargetMode="External"/><Relationship Id="rId16298" Type="http://schemas.openxmlformats.org/officeDocument/2006/relationships/hyperlink" Target="https://ref.ly/Ezek31:6" TargetMode="External"/><Relationship Id="rId16299" Type="http://schemas.openxmlformats.org/officeDocument/2006/relationships/hyperlink" Target="https://ref.ly/Dan4:12" TargetMode="External"/><Relationship Id="rId16300" Type="http://schemas.openxmlformats.org/officeDocument/2006/relationships/hyperlink" Target="https://ref.ly/Dan2:38" TargetMode="External"/><Relationship Id="rId16301" Type="http://schemas.openxmlformats.org/officeDocument/2006/relationships/hyperlink" Target="https://ref.ly/Dan4:14" TargetMode="External"/><Relationship Id="rId16302" Type="http://schemas.openxmlformats.org/officeDocument/2006/relationships/hyperlink" Target="https://ref.ly/Matt13:32" TargetMode="External"/><Relationship Id="rId16303" Type="http://schemas.openxmlformats.org/officeDocument/2006/relationships/hyperlink" Target="https://ref.ly/Ps104:12" TargetMode="External"/><Relationship Id="rId16304" Type="http://schemas.openxmlformats.org/officeDocument/2006/relationships/hyperlink" Target="https://ref.ly/Jas3:7" TargetMode="External"/><Relationship Id="rId16305" Type="http://schemas.openxmlformats.org/officeDocument/2006/relationships/hyperlink" Target="https://ref.ly/Ps11:1" TargetMode="External"/><Relationship Id="rId16306" Type="http://schemas.openxmlformats.org/officeDocument/2006/relationships/hyperlink" Target="https://ref.ly/Song2:12" TargetMode="External"/><Relationship Id="rId16307" Type="http://schemas.openxmlformats.org/officeDocument/2006/relationships/hyperlink" Target="https://ref.ly/Gen40:17" TargetMode="External"/><Relationship Id="rId16308" Type="http://schemas.openxmlformats.org/officeDocument/2006/relationships/hyperlink" Target="https://ref.ly/Eccl10:20" TargetMode="External"/><Relationship Id="rId16309" Type="http://schemas.openxmlformats.org/officeDocument/2006/relationships/hyperlink" Target="https://ref.ly/Isa46:11" TargetMode="External"/><Relationship Id="rId16310" Type="http://schemas.openxmlformats.org/officeDocument/2006/relationships/hyperlink" Target="https://ref.ly/Jer7:33" TargetMode="External"/><Relationship Id="rId16311" Type="http://schemas.openxmlformats.org/officeDocument/2006/relationships/hyperlink" Target="https://ref.ly/Jer12:9" TargetMode="External"/><Relationship Id="rId16312" Type="http://schemas.openxmlformats.org/officeDocument/2006/relationships/hyperlink" Target="https://ref.ly/Ezek29:5" TargetMode="External"/><Relationship Id="rId16313" Type="http://schemas.openxmlformats.org/officeDocument/2006/relationships/hyperlink" Target="https://ref.ly/Ezek39:4" TargetMode="External"/><Relationship Id="rId16314" Type="http://schemas.openxmlformats.org/officeDocument/2006/relationships/hyperlink" Target="https://ref.ly/Rev19:17,Rev19:21" TargetMode="External"/><Relationship Id="rId16315" Type="http://schemas.openxmlformats.org/officeDocument/2006/relationships/hyperlink" Target="https://ref.ly/Zeph2:14" TargetMode="External"/><Relationship Id="rId16316" Type="http://schemas.openxmlformats.org/officeDocument/2006/relationships/hyperlink" Target="https://ref.ly/Jer8:7" TargetMode="External"/><Relationship Id="rId16317" Type="http://schemas.openxmlformats.org/officeDocument/2006/relationships/hyperlink" Target="https://ref.ly/Isa38:14" TargetMode="External"/><Relationship Id="rId16318" Type="http://schemas.openxmlformats.org/officeDocument/2006/relationships/hyperlink" Target="https://ref.ly/Matt24:28" TargetMode="External"/><Relationship Id="rId16319" Type="http://schemas.openxmlformats.org/officeDocument/2006/relationships/hyperlink" Target="https://ref.ly/2Sam1:23" TargetMode="External"/><Relationship Id="rId16320" Type="http://schemas.openxmlformats.org/officeDocument/2006/relationships/hyperlink" Target="https://ref.ly/Jer4:13" TargetMode="External"/><Relationship Id="rId16321" Type="http://schemas.openxmlformats.org/officeDocument/2006/relationships/hyperlink" Target="https://ref.ly/Jer49:22" TargetMode="External"/><Relationship Id="rId16322" Type="http://schemas.openxmlformats.org/officeDocument/2006/relationships/hyperlink" Target="https://ref.ly/Lam4:19" TargetMode="External"/><Relationship Id="rId16323" Type="http://schemas.openxmlformats.org/officeDocument/2006/relationships/hyperlink" Target="https://ref.ly/Deut28:49" TargetMode="External"/><Relationship Id="rId16324" Type="http://schemas.openxmlformats.org/officeDocument/2006/relationships/hyperlink" Target="https://ref.ly/Prov23:4-Prov23:5" TargetMode="External"/><Relationship Id="rId16325" Type="http://schemas.openxmlformats.org/officeDocument/2006/relationships/hyperlink" Target="https://ref.ly/Jer49:16" TargetMode="External"/><Relationship Id="rId16326" Type="http://schemas.openxmlformats.org/officeDocument/2006/relationships/hyperlink" Target="https://ref.ly/Job39:27-Job39:28" TargetMode="External"/><Relationship Id="rId16327" Type="http://schemas.openxmlformats.org/officeDocument/2006/relationships/hyperlink" Target="https://ref.ly/Obad1:4" TargetMode="External"/><Relationship Id="rId16328" Type="http://schemas.openxmlformats.org/officeDocument/2006/relationships/hyperlink" Target="https://ref.ly/Exod19:4" TargetMode="External"/><Relationship Id="rId16329" Type="http://schemas.openxmlformats.org/officeDocument/2006/relationships/hyperlink" Target="https://ref.ly/Deut32:11" TargetMode="External"/><Relationship Id="rId16330" Type="http://schemas.openxmlformats.org/officeDocument/2006/relationships/hyperlink" Target="https://ref.ly/Ps103:5" TargetMode="External"/><Relationship Id="rId16331" Type="http://schemas.openxmlformats.org/officeDocument/2006/relationships/hyperlink" Target="https://ref.ly/Job39:27-Job39:30" TargetMode="External"/><Relationship Id="rId16332" Type="http://schemas.openxmlformats.org/officeDocument/2006/relationships/hyperlink" Target="https://ref.ly/Prov30:18-Prov30:19" TargetMode="External"/><Relationship Id="rId16333" Type="http://schemas.openxmlformats.org/officeDocument/2006/relationships/hyperlink" Target="https://ref.ly/Rev4:7" TargetMode="External"/><Relationship Id="rId16334" Type="http://schemas.openxmlformats.org/officeDocument/2006/relationships/hyperlink" Target="https://ref.ly/Matt26:34,Matt26:74" TargetMode="External"/><Relationship Id="rId16335" Type="http://schemas.openxmlformats.org/officeDocument/2006/relationships/hyperlink" Target="https://ref.ly/Luke22:34,Luke22:60-Luke22:61" TargetMode="External"/><Relationship Id="rId16336" Type="http://schemas.openxmlformats.org/officeDocument/2006/relationships/hyperlink" Target="https://ref.ly/Job39:26" TargetMode="External"/><Relationship Id="rId16337" Type="http://schemas.openxmlformats.org/officeDocument/2006/relationships/hyperlink" Target="https://ref.ly/Isa13:21" TargetMode="External"/><Relationship Id="rId16338" Type="http://schemas.openxmlformats.org/officeDocument/2006/relationships/hyperlink" Target="https://ref.ly/Jer50:39" TargetMode="External"/><Relationship Id="rId16339" Type="http://schemas.openxmlformats.org/officeDocument/2006/relationships/hyperlink" Target="https://ref.ly/Job39:13-Job39:18" TargetMode="External"/><Relationship Id="rId16340" Type="http://schemas.openxmlformats.org/officeDocument/2006/relationships/hyperlink" Target="https://ref.ly/Lev11:18" TargetMode="External"/><Relationship Id="rId16341" Type="http://schemas.openxmlformats.org/officeDocument/2006/relationships/hyperlink" Target="https://ref.ly/Isa34:14" TargetMode="External"/><Relationship Id="rId16342" Type="http://schemas.openxmlformats.org/officeDocument/2006/relationships/hyperlink" Target="https://ref.ly/Jer17:11" TargetMode="External"/><Relationship Id="rId16343" Type="http://schemas.openxmlformats.org/officeDocument/2006/relationships/hyperlink" Target="https://ref.ly/Song2:14" TargetMode="External"/><Relationship Id="rId16344" Type="http://schemas.openxmlformats.org/officeDocument/2006/relationships/hyperlink" Target="https://ref.ly/Jer48:28" TargetMode="External"/><Relationship Id="rId16345" Type="http://schemas.openxmlformats.org/officeDocument/2006/relationships/hyperlink" Target="https://ref.ly/Song1:15" TargetMode="External"/><Relationship Id="rId16346" Type="http://schemas.openxmlformats.org/officeDocument/2006/relationships/hyperlink" Target="https://ref.ly/Song5:2" TargetMode="External"/><Relationship Id="rId16347" Type="http://schemas.openxmlformats.org/officeDocument/2006/relationships/hyperlink" Target="https://ref.ly/Gen8:8-Gen8:12" TargetMode="External"/><Relationship Id="rId16348" Type="http://schemas.openxmlformats.org/officeDocument/2006/relationships/hyperlink" Target="https://ref.ly/Isa60:8" TargetMode="External"/><Relationship Id="rId16349" Type="http://schemas.openxmlformats.org/officeDocument/2006/relationships/hyperlink" Target="https://ref.ly/Gen15:7-Gen15:10" TargetMode="External"/><Relationship Id="rId16350" Type="http://schemas.openxmlformats.org/officeDocument/2006/relationships/hyperlink" Target="https://ref.ly/Lev1:14" TargetMode="External"/><Relationship Id="rId16351" Type="http://schemas.openxmlformats.org/officeDocument/2006/relationships/hyperlink" Target="https://ref.ly/Lev12:6" TargetMode="External"/><Relationship Id="rId16352" Type="http://schemas.openxmlformats.org/officeDocument/2006/relationships/hyperlink" Target="https://ref.ly/Isa59:11" TargetMode="External"/><Relationship Id="rId16353" Type="http://schemas.openxmlformats.org/officeDocument/2006/relationships/hyperlink" Target="https://ref.ly/Ezek7:16" TargetMode="External"/><Relationship Id="rId16354" Type="http://schemas.openxmlformats.org/officeDocument/2006/relationships/hyperlink" Target="https://ref.ly/Nah2:7" TargetMode="External"/><Relationship Id="rId16355" Type="http://schemas.openxmlformats.org/officeDocument/2006/relationships/hyperlink" Target="https://ref.ly/Ps55:6" TargetMode="External"/><Relationship Id="rId16356" Type="http://schemas.openxmlformats.org/officeDocument/2006/relationships/hyperlink" Target="https://ref.ly/Song5:12" TargetMode="External"/><Relationship Id="rId16357" Type="http://schemas.openxmlformats.org/officeDocument/2006/relationships/hyperlink" Target="https://ref.ly/Song6:9" TargetMode="External"/><Relationship Id="rId16358" Type="http://schemas.openxmlformats.org/officeDocument/2006/relationships/hyperlink" Target="https://ref.ly/Ps74:19" TargetMode="External"/><Relationship Id="rId16359" Type="http://schemas.openxmlformats.org/officeDocument/2006/relationships/hyperlink" Target="https://ref.ly/Gen8:7" TargetMode="External"/><Relationship Id="rId16360" Type="http://schemas.openxmlformats.org/officeDocument/2006/relationships/hyperlink" Target="https://ref.ly/Lev11:15" TargetMode="External"/><Relationship Id="rId16361" Type="http://schemas.openxmlformats.org/officeDocument/2006/relationships/hyperlink" Target="https://ref.ly/Deut14:14" TargetMode="External"/><Relationship Id="rId16362" Type="http://schemas.openxmlformats.org/officeDocument/2006/relationships/hyperlink" Target="https://ref.ly/1Kgs17:4-1Kgs17:6" TargetMode="External"/><Relationship Id="rId16363" Type="http://schemas.openxmlformats.org/officeDocument/2006/relationships/hyperlink" Target="https://ref.ly/Job38:41" TargetMode="External"/><Relationship Id="rId16364" Type="http://schemas.openxmlformats.org/officeDocument/2006/relationships/hyperlink" Target="https://ref.ly/Ps147:9" TargetMode="External"/><Relationship Id="rId16365" Type="http://schemas.openxmlformats.org/officeDocument/2006/relationships/hyperlink" Target="https://ref.ly/Luke12:24" TargetMode="External"/><Relationship Id="rId16366" Type="http://schemas.openxmlformats.org/officeDocument/2006/relationships/hyperlink" Target="https://ref.ly/Ps84:3" TargetMode="External"/><Relationship Id="rId16367" Type="http://schemas.openxmlformats.org/officeDocument/2006/relationships/hyperlink" Target="https://ref.ly/Ps104:17" TargetMode="External"/><Relationship Id="rId16368" Type="http://schemas.openxmlformats.org/officeDocument/2006/relationships/hyperlink" Target="https://ref.ly/Zech5:9" TargetMode="External"/><Relationship Id="rId16369" Type="http://schemas.openxmlformats.org/officeDocument/2006/relationships/hyperlink" Target="https://ref.ly/Job9:26" TargetMode="External"/><Relationship Id="rId16370" Type="http://schemas.openxmlformats.org/officeDocument/2006/relationships/hyperlink" Target="https://ref.ly/Prov23:5" TargetMode="External"/><Relationship Id="rId16371" Type="http://schemas.openxmlformats.org/officeDocument/2006/relationships/hyperlink" Target="https://ref.ly/Prov30:19" TargetMode="External"/><Relationship Id="rId16372" Type="http://schemas.openxmlformats.org/officeDocument/2006/relationships/hyperlink" Target="https://ref.ly/Isa40:31" TargetMode="External"/><Relationship Id="rId16373" Type="http://schemas.openxmlformats.org/officeDocument/2006/relationships/hyperlink" Target="https://ref.ly/Lev11:13,Lev11:18" TargetMode="External"/><Relationship Id="rId16374" Type="http://schemas.openxmlformats.org/officeDocument/2006/relationships/hyperlink" Target="https://ref.ly/Deut14:12,Deut14:17" TargetMode="External"/><Relationship Id="rId16375" Type="http://schemas.openxmlformats.org/officeDocument/2006/relationships/hyperlink" Target="https://ref.ly/Ezek17:3,Ezek17:7" TargetMode="External"/><Relationship Id="rId16376" Type="http://schemas.openxmlformats.org/officeDocument/2006/relationships/hyperlink" Target="https://ref.ly/Isa34:15" TargetMode="External"/><Relationship Id="rId16377" Type="http://schemas.openxmlformats.org/officeDocument/2006/relationships/hyperlink" Target="https://ref.ly/John21:16" TargetMode="External"/><Relationship Id="rId16378" Type="http://schemas.openxmlformats.org/officeDocument/2006/relationships/hyperlink" Target="https://ref.ly/Acts20:29-Acts20:30" TargetMode="External"/><Relationship Id="rId16379" Type="http://schemas.openxmlformats.org/officeDocument/2006/relationships/hyperlink" Target="https://ref.ly/Ezek34:8" TargetMode="External"/><Relationship Id="rId16380" Type="http://schemas.openxmlformats.org/officeDocument/2006/relationships/hyperlink" Target="https://ref.ly/Matt18:12" TargetMode="External"/><Relationship Id="rId16381" Type="http://schemas.openxmlformats.org/officeDocument/2006/relationships/hyperlink" Target="https://ref.ly/John10:2-John10:4" TargetMode="External"/><Relationship Id="rId16382" Type="http://schemas.openxmlformats.org/officeDocument/2006/relationships/hyperlink" Target="https://ref.ly/Matt18:10-Matt18:14" TargetMode="External"/><Relationship Id="rId16383" Type="http://schemas.openxmlformats.org/officeDocument/2006/relationships/hyperlink" Target="https://ref.ly/Ps80:1" TargetMode="External"/><Relationship Id="rId16384" Type="http://schemas.openxmlformats.org/officeDocument/2006/relationships/hyperlink" Target="https://ref.ly/Isa40:11" TargetMode="External"/><Relationship Id="rId16385" Type="http://schemas.openxmlformats.org/officeDocument/2006/relationships/hyperlink" Target="https://ref.ly/Ezek34:11-Ezek34:16" TargetMode="External"/><Relationship Id="rId16386" Type="http://schemas.openxmlformats.org/officeDocument/2006/relationships/hyperlink" Target="https://ref.ly/1Kgs22:17" TargetMode="External"/><Relationship Id="rId16387" Type="http://schemas.openxmlformats.org/officeDocument/2006/relationships/hyperlink" Target="https://ref.ly/Jer10:21" TargetMode="External"/><Relationship Id="rId16388" Type="http://schemas.openxmlformats.org/officeDocument/2006/relationships/hyperlink" Target="https://ref.ly/Jer12:10" TargetMode="External"/><Relationship Id="rId16389" Type="http://schemas.openxmlformats.org/officeDocument/2006/relationships/hyperlink" Target="https://ref.ly/Jer22:22" TargetMode="External"/><Relationship Id="rId16390" Type="http://schemas.openxmlformats.org/officeDocument/2006/relationships/hyperlink" Target="https://ref.ly/Jer23:1-Jer23:2" TargetMode="External"/><Relationship Id="rId16391" Type="http://schemas.openxmlformats.org/officeDocument/2006/relationships/hyperlink" Target="https://ref.ly/Jer23:3" TargetMode="External"/><Relationship Id="rId16392" Type="http://schemas.openxmlformats.org/officeDocument/2006/relationships/hyperlink" Target="https://ref.ly/Jer31:10" TargetMode="External"/><Relationship Id="rId16393" Type="http://schemas.openxmlformats.org/officeDocument/2006/relationships/hyperlink" Target="https://ref.ly/Ezek34:11-Ezek34:22" TargetMode="External"/><Relationship Id="rId16394" Type="http://schemas.openxmlformats.org/officeDocument/2006/relationships/hyperlink" Target="https://ref.ly/Jer3:15" TargetMode="External"/><Relationship Id="rId16395" Type="http://schemas.openxmlformats.org/officeDocument/2006/relationships/hyperlink" Target="https://ref.ly/Jer23:4" TargetMode="External"/><Relationship Id="rId16396" Type="http://schemas.openxmlformats.org/officeDocument/2006/relationships/hyperlink" Target="https://ref.ly/Ezek34:23-Ezek34:24" TargetMode="External"/><Relationship Id="rId16397" Type="http://schemas.openxmlformats.org/officeDocument/2006/relationships/hyperlink" Target="https://ref.ly/Mark14:27" TargetMode="External"/><Relationship Id="rId16398" Type="http://schemas.openxmlformats.org/officeDocument/2006/relationships/hyperlink" Target="https://ref.ly/1Pet5:1-1Pet5:4" TargetMode="External"/><Relationship Id="rId16399" Type="http://schemas.openxmlformats.org/officeDocument/2006/relationships/hyperlink" Target="https://ref.ly/Gen13:7-Gen13:8" TargetMode="External"/><Relationship Id="rId16400" Type="http://schemas.openxmlformats.org/officeDocument/2006/relationships/hyperlink" Target="https://ref.ly/John10:1-John10:16" TargetMode="External"/><Relationship Id="rId16401" Type="http://schemas.openxmlformats.org/officeDocument/2006/relationships/hyperlink" Target="https://ref.ly/Matt8:33" TargetMode="External"/><Relationship Id="rId16402" Type="http://schemas.openxmlformats.org/officeDocument/2006/relationships/hyperlink" Target="https://ref.ly/Mark5:14" TargetMode="External"/><Relationship Id="rId16403" Type="http://schemas.openxmlformats.org/officeDocument/2006/relationships/hyperlink" Target="https://ref.ly/Luke8:34" TargetMode="External"/><Relationship Id="rId16404" Type="http://schemas.openxmlformats.org/officeDocument/2006/relationships/hyperlink" Target="https://ref.ly/Acts21:1-Acts21:2" TargetMode="External"/><Relationship Id="rId16405" Type="http://schemas.openxmlformats.org/officeDocument/2006/relationships/hyperlink" Target="https://ref.ly/Gen1:1-Gen5:32" TargetMode="External"/><Relationship Id="rId16406" Type="http://schemas.openxmlformats.org/officeDocument/2006/relationships/hyperlink" Target="https://ref.ly/Gen10:1-Gen11:32" TargetMode="External"/><Relationship Id="rId16407" Type="http://schemas.openxmlformats.org/officeDocument/2006/relationships/hyperlink" Target="https://ref.ly/Gen12:1-Gen36:43" TargetMode="External"/><Relationship Id="rId16408" Type="http://schemas.openxmlformats.org/officeDocument/2006/relationships/hyperlink" Target="https://ref.ly/Gen13:12" TargetMode="External"/><Relationship Id="rId16409" Type="http://schemas.openxmlformats.org/officeDocument/2006/relationships/hyperlink" Target="https://ref.ly/Gen25:18" TargetMode="External"/><Relationship Id="rId16410" Type="http://schemas.openxmlformats.org/officeDocument/2006/relationships/hyperlink" Target="https://ref.ly/Deut18:8" TargetMode="External"/><Relationship Id="rId16411" Type="http://schemas.openxmlformats.org/officeDocument/2006/relationships/hyperlink" Target="https://ref.ly/Acts22:2-Acts22:3" TargetMode="External"/><Relationship Id="rId16412" Type="http://schemas.openxmlformats.org/officeDocument/2006/relationships/hyperlink" Target="https://ref.ly/Phil3:5-Phil3:6" TargetMode="External"/><Relationship Id="rId16413" Type="http://schemas.openxmlformats.org/officeDocument/2006/relationships/hyperlink" Target="https://ref.ly/Acts22:25-Acts22:29" TargetMode="External"/><Relationship Id="rId16414" Type="http://schemas.openxmlformats.org/officeDocument/2006/relationships/hyperlink" Target="https://ref.ly/Acts23:27" TargetMode="External"/><Relationship Id="rId16415" Type="http://schemas.openxmlformats.org/officeDocument/2006/relationships/hyperlink" Target="https://ref.ly/Acts23:16" TargetMode="External"/><Relationship Id="rId16416" Type="http://schemas.openxmlformats.org/officeDocument/2006/relationships/hyperlink" Target="https://ref.ly/2Cor11:9" TargetMode="External"/><Relationship Id="rId16417" Type="http://schemas.openxmlformats.org/officeDocument/2006/relationships/hyperlink" Target="https://ref.ly/Acts5:33-Acts5:40" TargetMode="External"/><Relationship Id="rId16418" Type="http://schemas.openxmlformats.org/officeDocument/2006/relationships/hyperlink" Target="https://ref.ly/Acts6:10" TargetMode="External"/><Relationship Id="rId16419" Type="http://schemas.openxmlformats.org/officeDocument/2006/relationships/hyperlink" Target="https://ref.ly/Acts6:11-Acts6:15" TargetMode="External"/><Relationship Id="rId16420" Type="http://schemas.openxmlformats.org/officeDocument/2006/relationships/hyperlink" Target="https://ref.ly/Acts7:58" TargetMode="External"/><Relationship Id="rId16421" Type="http://schemas.openxmlformats.org/officeDocument/2006/relationships/hyperlink" Target="https://ref.ly/Acts13:16-Acts13:41" TargetMode="External"/><Relationship Id="rId16422" Type="http://schemas.openxmlformats.org/officeDocument/2006/relationships/hyperlink" Target="https://ref.ly/Acts6:15" TargetMode="External"/><Relationship Id="rId16423" Type="http://schemas.openxmlformats.org/officeDocument/2006/relationships/hyperlink" Target="https://ref.ly/Acts9:1" TargetMode="External"/><Relationship Id="rId16424" Type="http://schemas.openxmlformats.org/officeDocument/2006/relationships/hyperlink" Target="https://ref.ly/Acts9:1-Acts9:2" TargetMode="External"/><Relationship Id="rId16425" Type="http://schemas.openxmlformats.org/officeDocument/2006/relationships/hyperlink" Target="https://ref.ly/1Cor3:10" TargetMode="External"/><Relationship Id="rId16426" Type="http://schemas.openxmlformats.org/officeDocument/2006/relationships/hyperlink" Target="https://ref.ly/1Tim1:13" TargetMode="External"/><Relationship Id="rId16427" Type="http://schemas.openxmlformats.org/officeDocument/2006/relationships/hyperlink" Target="https://ref.ly/Acts22:1-Acts22:21" TargetMode="External"/><Relationship Id="rId16428" Type="http://schemas.openxmlformats.org/officeDocument/2006/relationships/hyperlink" Target="https://ref.ly/Acts26:1-Acts26:23" TargetMode="External"/><Relationship Id="rId16429" Type="http://schemas.openxmlformats.org/officeDocument/2006/relationships/hyperlink" Target="https://ref.ly/Eph3:3" TargetMode="External"/><Relationship Id="rId16430" Type="http://schemas.openxmlformats.org/officeDocument/2006/relationships/hyperlink" Target="https://ref.ly/Phil3:12" TargetMode="External"/><Relationship Id="rId16431" Type="http://schemas.openxmlformats.org/officeDocument/2006/relationships/hyperlink" Target="https://ref.ly/Acts26:13-Acts26:14" TargetMode="External"/><Relationship Id="rId16432" Type="http://schemas.openxmlformats.org/officeDocument/2006/relationships/hyperlink" Target="https://ref.ly/Acts26:14-Acts26:18" TargetMode="External"/><Relationship Id="rId16433" Type="http://schemas.openxmlformats.org/officeDocument/2006/relationships/hyperlink" Target="https://ref.ly/Acts9:8" TargetMode="External"/><Relationship Id="rId16434" Type="http://schemas.openxmlformats.org/officeDocument/2006/relationships/hyperlink" Target="https://ref.ly/Acts9:10-Acts9:22" TargetMode="External"/><Relationship Id="rId16435" Type="http://schemas.openxmlformats.org/officeDocument/2006/relationships/hyperlink" Target="https://ref.ly/Acts9:20-Acts9:22" TargetMode="External"/><Relationship Id="rId16436" Type="http://schemas.openxmlformats.org/officeDocument/2006/relationships/hyperlink" Target="https://ref.ly/Gal1:17-Gal1:18" TargetMode="External"/><Relationship Id="rId16437" Type="http://schemas.openxmlformats.org/officeDocument/2006/relationships/hyperlink" Target="https://ref.ly/Acts9:27-Acts9:28" TargetMode="External"/><Relationship Id="rId16438" Type="http://schemas.openxmlformats.org/officeDocument/2006/relationships/hyperlink" Target="https://ref.ly/1Cor11:23-1Cor11:25" TargetMode="External"/><Relationship Id="rId16439" Type="http://schemas.openxmlformats.org/officeDocument/2006/relationships/hyperlink" Target="https://ref.ly/Acts20:35" TargetMode="External"/><Relationship Id="rId16440" Type="http://schemas.openxmlformats.org/officeDocument/2006/relationships/hyperlink" Target="https://ref.ly/1Cor7:10" TargetMode="External"/><Relationship Id="rId16441" Type="http://schemas.openxmlformats.org/officeDocument/2006/relationships/hyperlink" Target="https://ref.ly/1Cor9:14" TargetMode="External"/><Relationship Id="rId16442" Type="http://schemas.openxmlformats.org/officeDocument/2006/relationships/hyperlink" Target="https://ref.ly/Acts9:29-Acts9:30" TargetMode="External"/><Relationship Id="rId16443" Type="http://schemas.openxmlformats.org/officeDocument/2006/relationships/hyperlink" Target="https://ref.ly/2Cor11:24-2Cor11:26" TargetMode="External"/><Relationship Id="rId16444" Type="http://schemas.openxmlformats.org/officeDocument/2006/relationships/hyperlink" Target="https://ref.ly/2Cor12:1-2Cor12:9" TargetMode="External"/><Relationship Id="rId16445" Type="http://schemas.openxmlformats.org/officeDocument/2006/relationships/hyperlink" Target="https://ref.ly/Acts22:21" TargetMode="External"/><Relationship Id="rId16446" Type="http://schemas.openxmlformats.org/officeDocument/2006/relationships/hyperlink" Target="https://ref.ly/Rom11:13" TargetMode="External"/><Relationship Id="rId16447" Type="http://schemas.openxmlformats.org/officeDocument/2006/relationships/hyperlink" Target="https://ref.ly/Acts26:17-Acts26:18" TargetMode="External"/><Relationship Id="rId16448" Type="http://schemas.openxmlformats.org/officeDocument/2006/relationships/hyperlink" Target="https://ref.ly/Acts8:26-Acts8:29" TargetMode="External"/><Relationship Id="rId16449" Type="http://schemas.openxmlformats.org/officeDocument/2006/relationships/hyperlink" Target="https://ref.ly/Acts10:22" TargetMode="External"/><Relationship Id="rId16450" Type="http://schemas.openxmlformats.org/officeDocument/2006/relationships/hyperlink" Target="https://ref.ly/Acts13:4" TargetMode="External"/><Relationship Id="rId16451" Type="http://schemas.openxmlformats.org/officeDocument/2006/relationships/hyperlink" Target="https://ref.ly/Acts13:5-Acts13:6" TargetMode="External"/><Relationship Id="rId16452" Type="http://schemas.openxmlformats.org/officeDocument/2006/relationships/hyperlink" Target="https://ref.ly/Acts13:7" TargetMode="External"/><Relationship Id="rId16453" Type="http://schemas.openxmlformats.org/officeDocument/2006/relationships/hyperlink" Target="https://ref.ly/Acts13:8-Acts13:11" TargetMode="External"/><Relationship Id="rId16454" Type="http://schemas.openxmlformats.org/officeDocument/2006/relationships/hyperlink" Target="https://ref.ly/2Cor11:26" TargetMode="External"/><Relationship Id="rId16455" Type="http://schemas.openxmlformats.org/officeDocument/2006/relationships/hyperlink" Target="https://ref.ly/Gal4:13-Gal4:15" TargetMode="External"/><Relationship Id="rId16456" Type="http://schemas.openxmlformats.org/officeDocument/2006/relationships/hyperlink" Target="https://ref.ly/Acts13:48-Acts13:49" TargetMode="External"/><Relationship Id="rId16457" Type="http://schemas.openxmlformats.org/officeDocument/2006/relationships/hyperlink" Target="https://ref.ly/Acts13:44" TargetMode="External"/><Relationship Id="rId16458" Type="http://schemas.openxmlformats.org/officeDocument/2006/relationships/hyperlink" Target="https://ref.ly/Acts13:48-Acts13:51" TargetMode="External"/><Relationship Id="rId16459" Type="http://schemas.openxmlformats.org/officeDocument/2006/relationships/hyperlink" Target="https://ref.ly/Acts14:5-Acts14:6" TargetMode="External"/><Relationship Id="rId16460" Type="http://schemas.openxmlformats.org/officeDocument/2006/relationships/hyperlink" Target="https://ref.ly/Acts14:8-Acts14:10" TargetMode="External"/><Relationship Id="rId16461" Type="http://schemas.openxmlformats.org/officeDocument/2006/relationships/hyperlink" Target="https://ref.ly/Acts14:11-Acts14:13" TargetMode="External"/><Relationship Id="rId16462" Type="http://schemas.openxmlformats.org/officeDocument/2006/relationships/hyperlink" Target="https://ref.ly/Acts14:14-Acts14:18" TargetMode="External"/><Relationship Id="rId16463" Type="http://schemas.openxmlformats.org/officeDocument/2006/relationships/hyperlink" Target="https://ref.ly/2Tim3:10-2Tim3:11" TargetMode="External"/><Relationship Id="rId16464" Type="http://schemas.openxmlformats.org/officeDocument/2006/relationships/hyperlink" Target="https://ref.ly/Acts14:21-Acts14:23" TargetMode="External"/><Relationship Id="rId16465" Type="http://schemas.openxmlformats.org/officeDocument/2006/relationships/hyperlink" Target="https://ref.ly/Acts14:25-Acts14:27" TargetMode="External"/><Relationship Id="rId16466" Type="http://schemas.openxmlformats.org/officeDocument/2006/relationships/hyperlink" Target="https://ref.ly/Acts15:3" TargetMode="External"/><Relationship Id="rId16467" Type="http://schemas.openxmlformats.org/officeDocument/2006/relationships/hyperlink" Target="https://ref.ly/Acts15:19" TargetMode="External"/><Relationship Id="rId16468" Type="http://schemas.openxmlformats.org/officeDocument/2006/relationships/hyperlink" Target="https://ref.ly/Acts15:30-Acts15:35" TargetMode="External"/><Relationship Id="rId16469" Type="http://schemas.openxmlformats.org/officeDocument/2006/relationships/hyperlink" Target="https://ref.ly/Acts10:28" TargetMode="External"/><Relationship Id="rId16470" Type="http://schemas.openxmlformats.org/officeDocument/2006/relationships/hyperlink" Target="https://ref.ly/Gal2:12-Gal2:13" TargetMode="External"/><Relationship Id="rId16471" Type="http://schemas.openxmlformats.org/officeDocument/2006/relationships/hyperlink" Target="https://ref.ly/Gal2:5" TargetMode="External"/><Relationship Id="rId16472" Type="http://schemas.openxmlformats.org/officeDocument/2006/relationships/hyperlink" Target="https://ref.ly/Acts15:37-Acts15:39" TargetMode="External"/><Relationship Id="rId16473" Type="http://schemas.openxmlformats.org/officeDocument/2006/relationships/hyperlink" Target="https://ref.ly/Acts16:4-Acts16:5" TargetMode="External"/><Relationship Id="rId16474" Type="http://schemas.openxmlformats.org/officeDocument/2006/relationships/hyperlink" Target="https://ref.ly/Acts16:10" TargetMode="External"/><Relationship Id="rId16475" Type="http://schemas.openxmlformats.org/officeDocument/2006/relationships/hyperlink" Target="https://ref.ly/Acts16:8-Acts16:9" TargetMode="External"/><Relationship Id="rId16476" Type="http://schemas.openxmlformats.org/officeDocument/2006/relationships/hyperlink" Target="https://ref.ly/Acts16:12-Acts16:15" TargetMode="External"/><Relationship Id="rId16477" Type="http://schemas.openxmlformats.org/officeDocument/2006/relationships/hyperlink" Target="https://ref.ly/Acts16:16-Acts16:24" TargetMode="External"/><Relationship Id="rId16478" Type="http://schemas.openxmlformats.org/officeDocument/2006/relationships/hyperlink" Target="https://ref.ly/Acts16:25-Acts16:34" TargetMode="External"/><Relationship Id="rId16479" Type="http://schemas.openxmlformats.org/officeDocument/2006/relationships/hyperlink" Target="https://ref.ly/Acts16:40" TargetMode="External"/><Relationship Id="rId16480" Type="http://schemas.openxmlformats.org/officeDocument/2006/relationships/hyperlink" Target="https://ref.ly/Acts16:35-Acts16:39" TargetMode="External"/><Relationship Id="rId16481" Type="http://schemas.openxmlformats.org/officeDocument/2006/relationships/hyperlink" Target="https://ref.ly/Acts17:5-Acts17:7" TargetMode="External"/><Relationship Id="rId16482" Type="http://schemas.openxmlformats.org/officeDocument/2006/relationships/hyperlink" Target="https://ref.ly/Acts17:10-Acts17:12" TargetMode="External"/><Relationship Id="rId16483" Type="http://schemas.openxmlformats.org/officeDocument/2006/relationships/hyperlink" Target="https://ref.ly/Acts17:13-Acts17:15" TargetMode="External"/><Relationship Id="rId16484" Type="http://schemas.openxmlformats.org/officeDocument/2006/relationships/hyperlink" Target="https://ref.ly/Acts17:27" TargetMode="External"/><Relationship Id="rId16485" Type="http://schemas.openxmlformats.org/officeDocument/2006/relationships/hyperlink" Target="https://ref.ly/Acts17:32" TargetMode="External"/><Relationship Id="rId16486" Type="http://schemas.openxmlformats.org/officeDocument/2006/relationships/hyperlink" Target="https://ref.ly/Acts18:9-Acts18:10" TargetMode="External"/><Relationship Id="rId16487" Type="http://schemas.openxmlformats.org/officeDocument/2006/relationships/hyperlink" Target="https://ref.ly/2Thess3:7-2Thess3:12" TargetMode="External"/><Relationship Id="rId16488" Type="http://schemas.openxmlformats.org/officeDocument/2006/relationships/hyperlink" Target="https://ref.ly/1Thess4:15-1Thess4:18" TargetMode="External"/><Relationship Id="rId16489" Type="http://schemas.openxmlformats.org/officeDocument/2006/relationships/hyperlink" Target="https://ref.ly/2Thess2:1-2Thess2:17" TargetMode="External"/><Relationship Id="rId16490" Type="http://schemas.openxmlformats.org/officeDocument/2006/relationships/hyperlink" Target="https://ref.ly/Acts18:18-Acts18:22" TargetMode="External"/><Relationship Id="rId16491" Type="http://schemas.openxmlformats.org/officeDocument/2006/relationships/hyperlink" Target="https://ref.ly/Acts19:1" TargetMode="External"/><Relationship Id="rId16492" Type="http://schemas.openxmlformats.org/officeDocument/2006/relationships/hyperlink" Target="https://ref.ly/1Cor3:3-1Cor3:9" TargetMode="External"/><Relationship Id="rId16493" Type="http://schemas.openxmlformats.org/officeDocument/2006/relationships/hyperlink" Target="https://ref.ly/Acts18:19-Acts18:20" TargetMode="External"/><Relationship Id="rId16494" Type="http://schemas.openxmlformats.org/officeDocument/2006/relationships/hyperlink" Target="https://ref.ly/Acts19:1-Acts19:7" TargetMode="External"/><Relationship Id="rId16495" Type="http://schemas.openxmlformats.org/officeDocument/2006/relationships/hyperlink" Target="https://ref.ly/Acts19:9" TargetMode="External"/><Relationship Id="rId16496" Type="http://schemas.openxmlformats.org/officeDocument/2006/relationships/hyperlink" Target="https://ref.ly/Acts19:8-Acts19:9" TargetMode="External"/><Relationship Id="rId16497" Type="http://schemas.openxmlformats.org/officeDocument/2006/relationships/hyperlink" Target="https://ref.ly/1Cor16:9" TargetMode="External"/><Relationship Id="rId16498" Type="http://schemas.openxmlformats.org/officeDocument/2006/relationships/hyperlink" Target="https://ref.ly/Acts19:11-Acts19:17" TargetMode="External"/><Relationship Id="rId16499" Type="http://schemas.openxmlformats.org/officeDocument/2006/relationships/hyperlink" Target="https://ref.ly/Acts19:18-Acts19:19" TargetMode="External"/><Relationship Id="rId16500" Type="http://schemas.openxmlformats.org/officeDocument/2006/relationships/hyperlink" Target="https://ref.ly/Acts20:1" TargetMode="External"/><Relationship Id="rId16501" Type="http://schemas.openxmlformats.org/officeDocument/2006/relationships/hyperlink" Target="https://ref.ly/1Cor1:10-1Cor1:13" TargetMode="External"/><Relationship Id="rId16502" Type="http://schemas.openxmlformats.org/officeDocument/2006/relationships/hyperlink" Target="https://ref.ly/1Cor16:10" TargetMode="External"/><Relationship Id="rId16503" Type="http://schemas.openxmlformats.org/officeDocument/2006/relationships/hyperlink" Target="https://ref.ly/2Cor7:5-2Cor7:7" TargetMode="External"/><Relationship Id="rId16504" Type="http://schemas.openxmlformats.org/officeDocument/2006/relationships/hyperlink" Target="https://ref.ly/2Cor7:8-2Cor7:16" TargetMode="External"/><Relationship Id="rId16505" Type="http://schemas.openxmlformats.org/officeDocument/2006/relationships/hyperlink" Target="https://ref.ly/Acts19:21" TargetMode="External"/><Relationship Id="rId16506" Type="http://schemas.openxmlformats.org/officeDocument/2006/relationships/hyperlink" Target="https://ref.ly/Rom1:10-Rom1:15" TargetMode="External"/><Relationship Id="rId16507" Type="http://schemas.openxmlformats.org/officeDocument/2006/relationships/hyperlink" Target="https://ref.ly/Rom15:25-Rom15:26" TargetMode="External"/><Relationship Id="rId16508" Type="http://schemas.openxmlformats.org/officeDocument/2006/relationships/hyperlink" Target="https://ref.ly/Acts20:22-Acts20:24" TargetMode="External"/><Relationship Id="rId16509" Type="http://schemas.openxmlformats.org/officeDocument/2006/relationships/hyperlink" Target="https://ref.ly/Acts21:4" TargetMode="External"/><Relationship Id="rId16510" Type="http://schemas.openxmlformats.org/officeDocument/2006/relationships/hyperlink" Target="https://ref.ly/Rom15:30-Rom15:32" TargetMode="External"/><Relationship Id="rId16511" Type="http://schemas.openxmlformats.org/officeDocument/2006/relationships/hyperlink" Target="https://ref.ly/Acts20:13-Acts20:16" TargetMode="External"/><Relationship Id="rId16512" Type="http://schemas.openxmlformats.org/officeDocument/2006/relationships/hyperlink" Target="https://ref.ly/Acts20:17-Acts20:38" TargetMode="External"/><Relationship Id="rId16513" Type="http://schemas.openxmlformats.org/officeDocument/2006/relationships/hyperlink" Target="https://ref.ly/Acts21:10-Acts21:14" TargetMode="External"/><Relationship Id="rId16514" Type="http://schemas.openxmlformats.org/officeDocument/2006/relationships/hyperlink" Target="https://ref.ly/Acts21:15-Acts21:17" TargetMode="External"/><Relationship Id="rId16515" Type="http://schemas.openxmlformats.org/officeDocument/2006/relationships/hyperlink" Target="https://ref.ly/Acts21:18-Acts21:20" TargetMode="External"/><Relationship Id="rId16516" Type="http://schemas.openxmlformats.org/officeDocument/2006/relationships/hyperlink" Target="https://ref.ly/Acts21:21-Acts21:24" TargetMode="External"/><Relationship Id="rId16517" Type="http://schemas.openxmlformats.org/officeDocument/2006/relationships/hyperlink" Target="https://ref.ly/Acts21:27-Acts21:29" TargetMode="External"/><Relationship Id="rId16518" Type="http://schemas.openxmlformats.org/officeDocument/2006/relationships/hyperlink" Target="https://ref.ly/Acts21:30-Acts21:36" TargetMode="External"/><Relationship Id="rId16519" Type="http://schemas.openxmlformats.org/officeDocument/2006/relationships/hyperlink" Target="https://ref.ly/Acts21:37-Acts21:38" TargetMode="External"/><Relationship Id="rId16520" Type="http://schemas.openxmlformats.org/officeDocument/2006/relationships/hyperlink" Target="https://ref.ly/Acts21:39-Acts21:40" TargetMode="External"/><Relationship Id="rId16521" Type="http://schemas.openxmlformats.org/officeDocument/2006/relationships/hyperlink" Target="https://ref.ly/Acts22:1-Acts22:24" TargetMode="External"/><Relationship Id="rId16522" Type="http://schemas.openxmlformats.org/officeDocument/2006/relationships/hyperlink" Target="https://ref.ly/Acts22:25-Acts22:30" TargetMode="External"/><Relationship Id="rId16523" Type="http://schemas.openxmlformats.org/officeDocument/2006/relationships/hyperlink" Target="https://ref.ly/Acts23:1-Acts23:9" TargetMode="External"/><Relationship Id="rId16524" Type="http://schemas.openxmlformats.org/officeDocument/2006/relationships/hyperlink" Target="https://ref.ly/Acts23:10-Acts23:11" TargetMode="External"/><Relationship Id="rId16525" Type="http://schemas.openxmlformats.org/officeDocument/2006/relationships/hyperlink" Target="https://ref.ly/Acts23:12-Acts23:15" TargetMode="External"/><Relationship Id="rId16526" Type="http://schemas.openxmlformats.org/officeDocument/2006/relationships/hyperlink" Target="https://ref.ly/Acts25:23-Acts26:32" TargetMode="External"/><Relationship Id="rId16527" Type="http://schemas.openxmlformats.org/officeDocument/2006/relationships/hyperlink" Target="https://ref.ly/Acts25:9-Acts25:12" TargetMode="External"/><Relationship Id="rId16528" Type="http://schemas.openxmlformats.org/officeDocument/2006/relationships/hyperlink" Target="https://ref.ly/Acts27:23-Acts27:26" TargetMode="External"/><Relationship Id="rId16529" Type="http://schemas.openxmlformats.org/officeDocument/2006/relationships/hyperlink" Target="https://ref.ly/Acts27:37" TargetMode="External"/><Relationship Id="rId16530" Type="http://schemas.openxmlformats.org/officeDocument/2006/relationships/hyperlink" Target="https://ref.ly/Acts28:13-Acts28:16" TargetMode="External"/><Relationship Id="rId16531" Type="http://schemas.openxmlformats.org/officeDocument/2006/relationships/hyperlink" Target="https://ref.ly/Acts28:17-Acts28:28" TargetMode="External"/><Relationship Id="rId16532" Type="http://schemas.openxmlformats.org/officeDocument/2006/relationships/hyperlink" Target="https://ref.ly/2Cor11:28" TargetMode="External"/><Relationship Id="rId16533" Type="http://schemas.openxmlformats.org/officeDocument/2006/relationships/hyperlink" Target="https://ref.ly/2Tim4:13" TargetMode="External"/><Relationship Id="rId16534" Type="http://schemas.openxmlformats.org/officeDocument/2006/relationships/hyperlink" Target="https://ref.ly/Titus3:13" TargetMode="External"/><Relationship Id="rId16535" Type="http://schemas.openxmlformats.org/officeDocument/2006/relationships/hyperlink" Target="https://ref.ly/2Tim1:16" TargetMode="External"/><Relationship Id="rId16536" Type="http://schemas.openxmlformats.org/officeDocument/2006/relationships/hyperlink" Target="https://ref.ly/2Tim4:17" TargetMode="External"/><Relationship Id="rId16537" Type="http://schemas.openxmlformats.org/officeDocument/2006/relationships/hyperlink" Target="https://ref.ly/2Tim4:22" TargetMode="External"/><Relationship Id="rId16538" Type="http://schemas.openxmlformats.org/officeDocument/2006/relationships/hyperlink" Target="https://ref.ly/Ps37:37" TargetMode="External"/><Relationship Id="rId16539" Type="http://schemas.openxmlformats.org/officeDocument/2006/relationships/hyperlink" Target="https://ref.ly/Prov3:2" TargetMode="External"/><Relationship Id="rId16540" Type="http://schemas.openxmlformats.org/officeDocument/2006/relationships/hyperlink" Target="https://ref.ly/Isa32:17" TargetMode="External"/><Relationship Id="rId16541" Type="http://schemas.openxmlformats.org/officeDocument/2006/relationships/hyperlink" Target="https://ref.ly/Gen34:21" TargetMode="External"/><Relationship Id="rId16542" Type="http://schemas.openxmlformats.org/officeDocument/2006/relationships/hyperlink" Target="https://ref.ly/Josh9:15" TargetMode="External"/><Relationship Id="rId16543" Type="http://schemas.openxmlformats.org/officeDocument/2006/relationships/hyperlink" Target="https://ref.ly/Deut2:26" TargetMode="External"/><Relationship Id="rId16544" Type="http://schemas.openxmlformats.org/officeDocument/2006/relationships/hyperlink" Target="https://ref.ly/Josh10:21" TargetMode="External"/><Relationship Id="rId16545" Type="http://schemas.openxmlformats.org/officeDocument/2006/relationships/hyperlink" Target="https://ref.ly/Ps122:6-Ps122:7" TargetMode="External"/><Relationship Id="rId16546" Type="http://schemas.openxmlformats.org/officeDocument/2006/relationships/hyperlink" Target="https://ref.ly/Ps85:8" TargetMode="External"/><Relationship Id="rId16547" Type="http://schemas.openxmlformats.org/officeDocument/2006/relationships/hyperlink" Target="https://ref.ly/Jer16:5" TargetMode="External"/><Relationship Id="rId16548" Type="http://schemas.openxmlformats.org/officeDocument/2006/relationships/hyperlink" Target="https://ref.ly/Lev26:6" TargetMode="External"/><Relationship Id="rId16549" Type="http://schemas.openxmlformats.org/officeDocument/2006/relationships/hyperlink" Target="https://ref.ly/1Kgs2:33" TargetMode="External"/><Relationship Id="rId16550" Type="http://schemas.openxmlformats.org/officeDocument/2006/relationships/hyperlink" Target="https://ref.ly/Job25:2" TargetMode="External"/><Relationship Id="rId16551" Type="http://schemas.openxmlformats.org/officeDocument/2006/relationships/hyperlink" Target="https://ref.ly/Ps29:11" TargetMode="External"/><Relationship Id="rId16552" Type="http://schemas.openxmlformats.org/officeDocument/2006/relationships/hyperlink" Target="https://ref.ly/Num6:26" TargetMode="External"/><Relationship Id="rId16553" Type="http://schemas.openxmlformats.org/officeDocument/2006/relationships/hyperlink" Target="https://ref.ly/Num25:12" TargetMode="External"/><Relationship Id="rId16554" Type="http://schemas.openxmlformats.org/officeDocument/2006/relationships/hyperlink" Target="https://ref.ly/Jer16:5,Jer16:10-Jer16:13" TargetMode="External"/><Relationship Id="rId16555" Type="http://schemas.openxmlformats.org/officeDocument/2006/relationships/hyperlink" Target="https://ref.ly/Ps85:9-Ps85:11" TargetMode="External"/><Relationship Id="rId16556" Type="http://schemas.openxmlformats.org/officeDocument/2006/relationships/hyperlink" Target="https://ref.ly/Jer8:15" TargetMode="External"/><Relationship Id="rId16557" Type="http://schemas.openxmlformats.org/officeDocument/2006/relationships/hyperlink" Target="https://ref.ly/Ezek13:10,Ezek13:16" TargetMode="External"/><Relationship Id="rId16558" Type="http://schemas.openxmlformats.org/officeDocument/2006/relationships/hyperlink" Target="https://ref.ly/Isa48:18" TargetMode="External"/><Relationship Id="rId16559" Type="http://schemas.openxmlformats.org/officeDocument/2006/relationships/hyperlink" Target="https://ref.ly/Jer14:13-Jer14:16" TargetMode="External"/><Relationship Id="rId16560" Type="http://schemas.openxmlformats.org/officeDocument/2006/relationships/hyperlink" Target="https://ref.ly/Mic3:4,Mic3:9-Mic3:12" TargetMode="External"/><Relationship Id="rId16561" Type="http://schemas.openxmlformats.org/officeDocument/2006/relationships/hyperlink" Target="https://ref.ly/Ezek34:25-Ezek34:26" TargetMode="External"/><Relationship Id="rId16562" Type="http://schemas.openxmlformats.org/officeDocument/2006/relationships/hyperlink" Target="https://ref.ly/Isa32:15-Isa32:20" TargetMode="External"/><Relationship Id="rId16563" Type="http://schemas.openxmlformats.org/officeDocument/2006/relationships/hyperlink" Target="https://ref.ly/Ezek34:28-Ezek34:31" TargetMode="External"/><Relationship Id="rId16564" Type="http://schemas.openxmlformats.org/officeDocument/2006/relationships/hyperlink" Target="https://ref.ly/Mic4:1-Mic4:4" TargetMode="External"/><Relationship Id="rId16565" Type="http://schemas.openxmlformats.org/officeDocument/2006/relationships/hyperlink" Target="https://ref.ly/Zech8:9-Zech8:13" TargetMode="External"/><Relationship Id="rId16566" Type="http://schemas.openxmlformats.org/officeDocument/2006/relationships/hyperlink" Target="https://ref.ly/Isa52:7" TargetMode="External"/><Relationship Id="rId16567" Type="http://schemas.openxmlformats.org/officeDocument/2006/relationships/hyperlink" Target="https://ref.ly/Isa60:17" TargetMode="External"/><Relationship Id="rId16568" Type="http://schemas.openxmlformats.org/officeDocument/2006/relationships/hyperlink" Target="https://ref.ly/Ezek34:30-Ezek34:31" TargetMode="External"/><Relationship Id="rId16569" Type="http://schemas.openxmlformats.org/officeDocument/2006/relationships/hyperlink" Target="https://ref.ly/Zech9:9-Zech9:10" TargetMode="External"/><Relationship Id="rId16570" Type="http://schemas.openxmlformats.org/officeDocument/2006/relationships/hyperlink" Target="https://ref.ly/John20:19" TargetMode="External"/><Relationship Id="rId16571" Type="http://schemas.openxmlformats.org/officeDocument/2006/relationships/hyperlink" Target="https://ref.ly/Luke14:32" TargetMode="External"/><Relationship Id="rId16572" Type="http://schemas.openxmlformats.org/officeDocument/2006/relationships/hyperlink" Target="https://ref.ly/Rom14:19" TargetMode="External"/><Relationship Id="rId16573" Type="http://schemas.openxmlformats.org/officeDocument/2006/relationships/hyperlink" Target="https://ref.ly/Luke1:67-Luke1:79" TargetMode="External"/><Relationship Id="rId16574" Type="http://schemas.openxmlformats.org/officeDocument/2006/relationships/hyperlink" Target="https://ref.ly/John20:19-John20:22" TargetMode="External"/><Relationship Id="rId16575" Type="http://schemas.openxmlformats.org/officeDocument/2006/relationships/hyperlink" Target="https://ref.ly/Luke12:51-Luke12:53" TargetMode="External"/><Relationship Id="rId16576" Type="http://schemas.openxmlformats.org/officeDocument/2006/relationships/hyperlink" Target="https://ref.ly/John16:32-John16:33" TargetMode="External"/><Relationship Id="rId16577" Type="http://schemas.openxmlformats.org/officeDocument/2006/relationships/hyperlink" Target="https://ref.ly/Matt10:34-Matt10:37" TargetMode="External"/><Relationship Id="rId16578" Type="http://schemas.openxmlformats.org/officeDocument/2006/relationships/hyperlink" Target="https://ref.ly/Eph2:14-Eph2:22" TargetMode="External"/><Relationship Id="rId16579" Type="http://schemas.openxmlformats.org/officeDocument/2006/relationships/hyperlink" Target="https://ref.ly/Phil4:7-Phil4:9" TargetMode="External"/><Relationship Id="rId16580" Type="http://schemas.openxmlformats.org/officeDocument/2006/relationships/hyperlink" Target="https://ref.ly/1Cor1:3" TargetMode="External"/><Relationship Id="rId16581" Type="http://schemas.openxmlformats.org/officeDocument/2006/relationships/hyperlink" Target="https://ref.ly/2Cor1:2" TargetMode="External"/><Relationship Id="rId16582" Type="http://schemas.openxmlformats.org/officeDocument/2006/relationships/hyperlink" Target="https://ref.ly/Gal1:3" TargetMode="External"/><Relationship Id="rId16583" Type="http://schemas.openxmlformats.org/officeDocument/2006/relationships/hyperlink" Target="https://ref.ly/Eph1:2" TargetMode="External"/><Relationship Id="rId16584" Type="http://schemas.openxmlformats.org/officeDocument/2006/relationships/hyperlink" Target="https://ref.ly/1Pet1:2" TargetMode="External"/><Relationship Id="rId16585" Type="http://schemas.openxmlformats.org/officeDocument/2006/relationships/hyperlink" Target="https://ref.ly/2John1:3" TargetMode="External"/><Relationship Id="rId16586" Type="http://schemas.openxmlformats.org/officeDocument/2006/relationships/hyperlink" Target="https://ref.ly/Jude1:2" TargetMode="External"/><Relationship Id="rId16587" Type="http://schemas.openxmlformats.org/officeDocument/2006/relationships/hyperlink" Target="https://ref.ly/Eph2:14" TargetMode="External"/><Relationship Id="rId16588" Type="http://schemas.openxmlformats.org/officeDocument/2006/relationships/hyperlink" Target="https://ref.ly/Col3:15" TargetMode="External"/><Relationship Id="rId16589" Type="http://schemas.openxmlformats.org/officeDocument/2006/relationships/hyperlink" Target="https://ref.ly/Rom12:18" TargetMode="External"/><Relationship Id="rId16590" Type="http://schemas.openxmlformats.org/officeDocument/2006/relationships/hyperlink" Target="https://ref.ly/Heb12:14" TargetMode="External"/><Relationship Id="rId16591" Type="http://schemas.openxmlformats.org/officeDocument/2006/relationships/hyperlink" Target="https://ref.ly/Ezek18:1-Ezek18:32" TargetMode="External"/><Relationship Id="rId16592" Type="http://schemas.openxmlformats.org/officeDocument/2006/relationships/hyperlink" Target="https://ref.ly/Jer31:29-Jer31:34" TargetMode="External"/><Relationship Id="rId16593" Type="http://schemas.openxmlformats.org/officeDocument/2006/relationships/hyperlink" Target="https://ref.ly/Ezek36:24-Ezek36:29" TargetMode="External"/><Relationship Id="rId16594" Type="http://schemas.openxmlformats.org/officeDocument/2006/relationships/hyperlink" Target="https://ref.ly/Ps103:8-Ps103:14" TargetMode="External"/><Relationship Id="rId16595" Type="http://schemas.openxmlformats.org/officeDocument/2006/relationships/hyperlink" Target="https://ref.ly/Isa55:6-Isa55:7" TargetMode="External"/><Relationship Id="rId16596" Type="http://schemas.openxmlformats.org/officeDocument/2006/relationships/hyperlink" Target="https://ref.ly/Matt9:1-Matt9:13" TargetMode="External"/><Relationship Id="rId16597" Type="http://schemas.openxmlformats.org/officeDocument/2006/relationships/hyperlink" Target="https://ref.ly/Matt7:17-Matt7:19" TargetMode="External"/><Relationship Id="rId16598" Type="http://schemas.openxmlformats.org/officeDocument/2006/relationships/hyperlink" Target="https://ref.ly/Mark7:20-Mark7:23" TargetMode="External"/><Relationship Id="rId16599" Type="http://schemas.openxmlformats.org/officeDocument/2006/relationships/hyperlink" Target="https://ref.ly/Matt25:41-Matt25:46" TargetMode="External"/><Relationship Id="rId16600" Type="http://schemas.openxmlformats.org/officeDocument/2006/relationships/hyperlink" Target="https://ref.ly/Luke12:16-Luke12:21" TargetMode="External"/><Relationship Id="rId16601" Type="http://schemas.openxmlformats.org/officeDocument/2006/relationships/hyperlink" Target="https://ref.ly/Matt23:16-Matt23:26" TargetMode="External"/><Relationship Id="rId16602" Type="http://schemas.openxmlformats.org/officeDocument/2006/relationships/hyperlink" Target="https://ref.ly/Mark3:22-Mark3:30" TargetMode="External"/><Relationship Id="rId16603" Type="http://schemas.openxmlformats.org/officeDocument/2006/relationships/hyperlink" Target="https://ref.ly/Luke12:20" TargetMode="External"/><Relationship Id="rId16604" Type="http://schemas.openxmlformats.org/officeDocument/2006/relationships/hyperlink" Target="https://ref.ly/John3:16-John3:21" TargetMode="External"/><Relationship Id="rId16605" Type="http://schemas.openxmlformats.org/officeDocument/2006/relationships/hyperlink" Target="https://ref.ly/1John3:3-1John3:10" TargetMode="External"/><Relationship Id="rId16606" Type="http://schemas.openxmlformats.org/officeDocument/2006/relationships/hyperlink" Target="https://ref.ly/1John1:7-1John2:2" TargetMode="External"/><Relationship Id="rId16607" Type="http://schemas.openxmlformats.org/officeDocument/2006/relationships/hyperlink" Target="https://ref.ly/Rom5:21" TargetMode="External"/><Relationship Id="rId16608" Type="http://schemas.openxmlformats.org/officeDocument/2006/relationships/hyperlink" Target="https://ref.ly/Rom7:23" TargetMode="External"/><Relationship Id="rId16609" Type="http://schemas.openxmlformats.org/officeDocument/2006/relationships/hyperlink" Target="https://ref.ly/1Cor15:56" TargetMode="External"/><Relationship Id="rId16610" Type="http://schemas.openxmlformats.org/officeDocument/2006/relationships/hyperlink" Target="https://ref.ly/Rom7:21-Rom7:24" TargetMode="External"/><Relationship Id="rId16611" Type="http://schemas.openxmlformats.org/officeDocument/2006/relationships/hyperlink" Target="https://ref.ly/Eph2:1-Eph2:5" TargetMode="External"/><Relationship Id="rId16612" Type="http://schemas.openxmlformats.org/officeDocument/2006/relationships/hyperlink" Target="https://ref.ly/Rom5:6-Rom5:9" TargetMode="External"/><Relationship Id="rId16613" Type="http://schemas.openxmlformats.org/officeDocument/2006/relationships/hyperlink" Target="https://ref.ly/Rom8:1-Rom8:4" TargetMode="External"/><Relationship Id="rId16614" Type="http://schemas.openxmlformats.org/officeDocument/2006/relationships/hyperlink" Target="https://ref.ly/Matt12:31-Matt12:32" TargetMode="External"/><Relationship Id="rId16615" Type="http://schemas.openxmlformats.org/officeDocument/2006/relationships/hyperlink" Target="https://ref.ly/Mark3:28-Mark3:30" TargetMode="External"/><Relationship Id="rId16616" Type="http://schemas.openxmlformats.org/officeDocument/2006/relationships/hyperlink" Target="https://ref.ly/Matt9:34" TargetMode="External"/><Relationship Id="rId16617" Type="http://schemas.openxmlformats.org/officeDocument/2006/relationships/hyperlink" Target="https://ref.ly/Luke11:14-Luke11:20" TargetMode="External"/><Relationship Id="rId16618" Type="http://schemas.openxmlformats.org/officeDocument/2006/relationships/hyperlink" Target="https://ref.ly/John7:20" TargetMode="External"/><Relationship Id="rId16619" Type="http://schemas.openxmlformats.org/officeDocument/2006/relationships/hyperlink" Target="https://ref.ly/John10:20" TargetMode="External"/><Relationship Id="rId16620" Type="http://schemas.openxmlformats.org/officeDocument/2006/relationships/hyperlink" Target="https://ref.ly/1John5:16-1John5:17" TargetMode="External"/><Relationship Id="rId16621" Type="http://schemas.openxmlformats.org/officeDocument/2006/relationships/hyperlink" Target="https://ref.ly/1John5:16" TargetMode="External"/><Relationship Id="rId16622" Type="http://schemas.openxmlformats.org/officeDocument/2006/relationships/hyperlink" Target="https://ref.ly/Mark12:10" TargetMode="External"/><Relationship Id="rId16623" Type="http://schemas.openxmlformats.org/officeDocument/2006/relationships/hyperlink" Target="https://ref.ly/Luke20:17" TargetMode="External"/><Relationship Id="rId16624" Type="http://schemas.openxmlformats.org/officeDocument/2006/relationships/hyperlink" Target="https://ref.ly/Ps118:22-Ps118:23" TargetMode="External"/><Relationship Id="rId16625" Type="http://schemas.openxmlformats.org/officeDocument/2006/relationships/hyperlink" Target="https://ref.ly/1Pet2:6-1Pet2:7" TargetMode="External"/><Relationship Id="rId16626" Type="http://schemas.openxmlformats.org/officeDocument/2006/relationships/hyperlink" Target="https://ref.ly/1Pet2:4" TargetMode="External"/><Relationship Id="rId16627" Type="http://schemas.openxmlformats.org/officeDocument/2006/relationships/hyperlink" Target="https://ref.ly/1Pet2:6" TargetMode="External"/><Relationship Id="rId16628" Type="http://schemas.openxmlformats.org/officeDocument/2006/relationships/hyperlink" Target="https://ref.ly/1Pet2:7-1Pet2:8" TargetMode="External"/><Relationship Id="rId16629" Type="http://schemas.openxmlformats.org/officeDocument/2006/relationships/hyperlink" Target="https://ref.ly/Exod28:17-Exod28:20" TargetMode="External"/><Relationship Id="rId16630" Type="http://schemas.openxmlformats.org/officeDocument/2006/relationships/hyperlink" Target="https://ref.ly/Exod39:10-Exod39:13" TargetMode="External"/><Relationship Id="rId16631" Type="http://schemas.openxmlformats.org/officeDocument/2006/relationships/hyperlink" Target="https://ref.ly/Rev21:19-Rev21:21" TargetMode="External"/><Relationship Id="rId16632" Type="http://schemas.openxmlformats.org/officeDocument/2006/relationships/hyperlink" Target="https://ref.ly/Isa54:12" TargetMode="External"/><Relationship Id="rId16633" Type="http://schemas.openxmlformats.org/officeDocument/2006/relationships/hyperlink" Target="https://ref.ly/Rev21:19" TargetMode="External"/><Relationship Id="rId16634" Type="http://schemas.openxmlformats.org/officeDocument/2006/relationships/hyperlink" Target="https://ref.ly/Song5:15" TargetMode="External"/><Relationship Id="rId16635" Type="http://schemas.openxmlformats.org/officeDocument/2006/relationships/hyperlink" Target="https://ref.ly/Luke7:37" TargetMode="External"/><Relationship Id="rId16636" Type="http://schemas.openxmlformats.org/officeDocument/2006/relationships/hyperlink" Target="https://ref.ly/Exod39:13" TargetMode="External"/><Relationship Id="rId16637" Type="http://schemas.openxmlformats.org/officeDocument/2006/relationships/hyperlink" Target="https://ref.ly/Song5:14" TargetMode="External"/><Relationship Id="rId16638" Type="http://schemas.openxmlformats.org/officeDocument/2006/relationships/hyperlink" Target="https://ref.ly/Exod39:10" TargetMode="External"/><Relationship Id="rId16639" Type="http://schemas.openxmlformats.org/officeDocument/2006/relationships/hyperlink" Target="https://ref.ly/Ezek1:16" TargetMode="External"/><Relationship Id="rId16640" Type="http://schemas.openxmlformats.org/officeDocument/2006/relationships/hyperlink" Target="https://ref.ly/Exod28:18" TargetMode="External"/><Relationship Id="rId16641" Type="http://schemas.openxmlformats.org/officeDocument/2006/relationships/hyperlink" Target="https://ref.ly/Exod39:11" TargetMode="External"/><Relationship Id="rId16642" Type="http://schemas.openxmlformats.org/officeDocument/2006/relationships/hyperlink" Target="https://ref.ly/Rev21:11,Rev21:18-Rev21:19" TargetMode="External"/><Relationship Id="rId16643" Type="http://schemas.openxmlformats.org/officeDocument/2006/relationships/hyperlink" Target="https://ref.ly/Exod28:9,Exod28:20" TargetMode="External"/><Relationship Id="rId16644" Type="http://schemas.openxmlformats.org/officeDocument/2006/relationships/hyperlink" Target="https://ref.ly/Exod39:6,Exod39:13" TargetMode="External"/><Relationship Id="rId16645" Type="http://schemas.openxmlformats.org/officeDocument/2006/relationships/hyperlink" Target="https://ref.ly/Rev18:12,Rev18:16" TargetMode="External"/><Relationship Id="rId16646" Type="http://schemas.openxmlformats.org/officeDocument/2006/relationships/hyperlink" Target="https://ref.ly/Matt13:45-Matt13:46" TargetMode="External"/><Relationship Id="rId16647" Type="http://schemas.openxmlformats.org/officeDocument/2006/relationships/hyperlink" Target="https://ref.ly/Prov3:15" TargetMode="External"/><Relationship Id="rId16648" Type="http://schemas.openxmlformats.org/officeDocument/2006/relationships/hyperlink" Target="https://ref.ly/Prov8:11" TargetMode="External"/><Relationship Id="rId16649" Type="http://schemas.openxmlformats.org/officeDocument/2006/relationships/hyperlink" Target="https://ref.ly/Prov31:10" TargetMode="External"/><Relationship Id="rId16650" Type="http://schemas.openxmlformats.org/officeDocument/2006/relationships/hyperlink" Target="https://ref.ly/Exod24:10" TargetMode="External"/><Relationship Id="rId16651" Type="http://schemas.openxmlformats.org/officeDocument/2006/relationships/hyperlink" Target="https://ref.ly/Job28:6,Job28:16" TargetMode="External"/><Relationship Id="rId16652" Type="http://schemas.openxmlformats.org/officeDocument/2006/relationships/hyperlink" Target="https://ref.ly/Isa54:11" TargetMode="External"/><Relationship Id="rId16653" Type="http://schemas.openxmlformats.org/officeDocument/2006/relationships/hyperlink" Target="https://ref.ly/Ezek1:26" TargetMode="External"/><Relationship Id="rId16654" Type="http://schemas.openxmlformats.org/officeDocument/2006/relationships/hyperlink" Target="https://ref.ly/Job28:6" TargetMode="External"/><Relationship Id="rId16655" Type="http://schemas.openxmlformats.org/officeDocument/2006/relationships/hyperlink" Target="https://ref.ly/Luke5:10" TargetMode="External"/><Relationship Id="rId16656" Type="http://schemas.openxmlformats.org/officeDocument/2006/relationships/hyperlink" Target="https://ref.ly/John21:1-John21:8" TargetMode="External"/><Relationship Id="rId16657" Type="http://schemas.openxmlformats.org/officeDocument/2006/relationships/hyperlink" Target="https://ref.ly/Matt19:27" TargetMode="External"/><Relationship Id="rId16658" Type="http://schemas.openxmlformats.org/officeDocument/2006/relationships/hyperlink" Target="https://ref.ly/Mark10:28" TargetMode="External"/><Relationship Id="rId16659" Type="http://schemas.openxmlformats.org/officeDocument/2006/relationships/hyperlink" Target="https://ref.ly/Luke18:28" TargetMode="External"/><Relationship Id="rId16660" Type="http://schemas.openxmlformats.org/officeDocument/2006/relationships/hyperlink" Target="https://ref.ly/Mark1:29-Mark1:31" TargetMode="External"/><Relationship Id="rId16661" Type="http://schemas.openxmlformats.org/officeDocument/2006/relationships/hyperlink" Target="https://ref.ly/Matt8:14" TargetMode="External"/><Relationship Id="rId16662" Type="http://schemas.openxmlformats.org/officeDocument/2006/relationships/hyperlink" Target="https://ref.ly/John1:35-John1:40" TargetMode="External"/><Relationship Id="rId16663" Type="http://schemas.openxmlformats.org/officeDocument/2006/relationships/hyperlink" Target="https://ref.ly/John1:29-John1:34" TargetMode="External"/><Relationship Id="rId16664" Type="http://schemas.openxmlformats.org/officeDocument/2006/relationships/hyperlink" Target="https://ref.ly/John1:43" TargetMode="External"/><Relationship Id="rId16665" Type="http://schemas.openxmlformats.org/officeDocument/2006/relationships/hyperlink" Target="https://ref.ly/Matt16:17-Matt16:19" TargetMode="External"/><Relationship Id="rId16666" Type="http://schemas.openxmlformats.org/officeDocument/2006/relationships/hyperlink" Target="https://ref.ly/Mark1:20" TargetMode="External"/><Relationship Id="rId16667" Type="http://schemas.openxmlformats.org/officeDocument/2006/relationships/hyperlink" Target="https://ref.ly/Mark3:16" TargetMode="External"/><Relationship Id="rId16668" Type="http://schemas.openxmlformats.org/officeDocument/2006/relationships/hyperlink" Target="https://ref.ly/John1:35-John1:42" TargetMode="External"/><Relationship Id="rId16669" Type="http://schemas.openxmlformats.org/officeDocument/2006/relationships/hyperlink" Target="https://ref.ly/Matt10:2" TargetMode="External"/><Relationship Id="rId16670" Type="http://schemas.openxmlformats.org/officeDocument/2006/relationships/hyperlink" Target="https://ref.ly/Mark1:36" TargetMode="External"/><Relationship Id="rId16671" Type="http://schemas.openxmlformats.org/officeDocument/2006/relationships/hyperlink" Target="https://ref.ly/Luke9:32" TargetMode="External"/><Relationship Id="rId16672" Type="http://schemas.openxmlformats.org/officeDocument/2006/relationships/hyperlink" Target="https://ref.ly/Luke8:45" TargetMode="External"/><Relationship Id="rId16673" Type="http://schemas.openxmlformats.org/officeDocument/2006/relationships/hyperlink" Target="https://ref.ly/Matt18:21" TargetMode="External"/><Relationship Id="rId16674" Type="http://schemas.openxmlformats.org/officeDocument/2006/relationships/hyperlink" Target="https://ref.ly/Matt15:15" TargetMode="External"/><Relationship Id="rId16675" Type="http://schemas.openxmlformats.org/officeDocument/2006/relationships/hyperlink" Target="https://ref.ly/Luke12:41" TargetMode="External"/><Relationship Id="rId16676" Type="http://schemas.openxmlformats.org/officeDocument/2006/relationships/hyperlink" Target="https://ref.ly/Mark14:37" TargetMode="External"/><Relationship Id="rId16677" Type="http://schemas.openxmlformats.org/officeDocument/2006/relationships/hyperlink" Target="https://ref.ly/Matt26:40" TargetMode="External"/><Relationship Id="rId16678" Type="http://schemas.openxmlformats.org/officeDocument/2006/relationships/hyperlink" Target="https://ref.ly/Mark16:7" TargetMode="External"/><Relationship Id="rId16679" Type="http://schemas.openxmlformats.org/officeDocument/2006/relationships/hyperlink" Target="https://ref.ly/Mark8:27-Mark8:33" TargetMode="External"/><Relationship Id="rId16680" Type="http://schemas.openxmlformats.org/officeDocument/2006/relationships/hyperlink" Target="https://ref.ly/Mark8:33" TargetMode="External"/><Relationship Id="rId16681" Type="http://schemas.openxmlformats.org/officeDocument/2006/relationships/hyperlink" Target="https://ref.ly/Matt17:4" TargetMode="External"/><Relationship Id="rId16682" Type="http://schemas.openxmlformats.org/officeDocument/2006/relationships/hyperlink" Target="https://ref.ly/John13:4-John13:11" TargetMode="External"/><Relationship Id="rId16683" Type="http://schemas.openxmlformats.org/officeDocument/2006/relationships/hyperlink" Target="https://ref.ly/Matt18:18-Matt18:20" TargetMode="External"/><Relationship Id="rId16684" Type="http://schemas.openxmlformats.org/officeDocument/2006/relationships/hyperlink" Target="https://ref.ly/Eph2:19-Eph2:20" TargetMode="External"/><Relationship Id="rId16685" Type="http://schemas.openxmlformats.org/officeDocument/2006/relationships/hyperlink" Target="https://ref.ly/1Cor15:26" TargetMode="External"/><Relationship Id="rId16686" Type="http://schemas.openxmlformats.org/officeDocument/2006/relationships/hyperlink" Target="https://ref.ly/Luke24:34" TargetMode="External"/><Relationship Id="rId16687" Type="http://schemas.openxmlformats.org/officeDocument/2006/relationships/hyperlink" Target="https://ref.ly/1Cor15:5" TargetMode="External"/><Relationship Id="rId16688" Type="http://schemas.openxmlformats.org/officeDocument/2006/relationships/hyperlink" Target="https://ref.ly/John8:1-John8:59" TargetMode="External"/><Relationship Id="rId16689" Type="http://schemas.openxmlformats.org/officeDocument/2006/relationships/hyperlink" Target="https://ref.ly/Acts11:20-Acts11:30" TargetMode="External"/><Relationship Id="rId16690" Type="http://schemas.openxmlformats.org/officeDocument/2006/relationships/hyperlink" Target="https://ref.ly/Acts9:1-Acts9:30" TargetMode="External"/><Relationship Id="rId16691" Type="http://schemas.openxmlformats.org/officeDocument/2006/relationships/hyperlink" Target="https://ref.ly/Acts11:25-Acts11:30" TargetMode="External"/><Relationship Id="rId16692" Type="http://schemas.openxmlformats.org/officeDocument/2006/relationships/hyperlink" Target="https://ref.ly/Acts1:15-Acts1:17" TargetMode="External"/><Relationship Id="rId16693" Type="http://schemas.openxmlformats.org/officeDocument/2006/relationships/hyperlink" Target="https://ref.ly/Acts2:14-Acts2:40" TargetMode="External"/><Relationship Id="rId16694" Type="http://schemas.openxmlformats.org/officeDocument/2006/relationships/hyperlink" Target="https://ref.ly/Acts4:8-Acts4:12" TargetMode="External"/><Relationship Id="rId16695" Type="http://schemas.openxmlformats.org/officeDocument/2006/relationships/hyperlink" Target="https://ref.ly/Acts5:29-Acts5:32" TargetMode="External"/><Relationship Id="rId16696" Type="http://schemas.openxmlformats.org/officeDocument/2006/relationships/hyperlink" Target="https://ref.ly/Acts10:10-Acts10:16" TargetMode="External"/><Relationship Id="rId16697" Type="http://schemas.openxmlformats.org/officeDocument/2006/relationships/hyperlink" Target="https://ref.ly/Acts11:2-Acts11:3" TargetMode="External"/><Relationship Id="rId16698" Type="http://schemas.openxmlformats.org/officeDocument/2006/relationships/hyperlink" Target="https://ref.ly/Acts15:1-Acts15:21" TargetMode="External"/><Relationship Id="rId16699" Type="http://schemas.openxmlformats.org/officeDocument/2006/relationships/hyperlink" Target="https://ref.ly/Acts12:1-Acts12:4" TargetMode="External"/><Relationship Id="rId16700" Type="http://schemas.openxmlformats.org/officeDocument/2006/relationships/hyperlink" Target="https://ref.ly/1Cor3:22" TargetMode="External"/><Relationship Id="rId16701" Type="http://schemas.openxmlformats.org/officeDocument/2006/relationships/hyperlink" Target="https://ref.ly/John21:18" TargetMode="External"/><Relationship Id="rId16702" Type="http://schemas.openxmlformats.org/officeDocument/2006/relationships/hyperlink" Target="https://ref.ly/Mark3:14-Mark3:19" TargetMode="External"/><Relationship Id="rId16703" Type="http://schemas.openxmlformats.org/officeDocument/2006/relationships/hyperlink" Target="https://ref.ly/1Pet2:23" TargetMode="External"/><Relationship Id="rId16704" Type="http://schemas.openxmlformats.org/officeDocument/2006/relationships/hyperlink" Target="https://ref.ly/1Pet4:1" TargetMode="External"/><Relationship Id="rId16705" Type="http://schemas.openxmlformats.org/officeDocument/2006/relationships/hyperlink" Target="https://ref.ly/1Pet5:12" TargetMode="External"/><Relationship Id="rId16706" Type="http://schemas.openxmlformats.org/officeDocument/2006/relationships/hyperlink" Target="https://ref.ly/1Pet1:17" TargetMode="External"/><Relationship Id="rId16707" Type="http://schemas.openxmlformats.org/officeDocument/2006/relationships/hyperlink" Target="https://ref.ly/Rom9:25" TargetMode="External"/><Relationship Id="rId16708" Type="http://schemas.openxmlformats.org/officeDocument/2006/relationships/hyperlink" Target="https://ref.ly/1Pet4:3" TargetMode="External"/><Relationship Id="rId16709" Type="http://schemas.openxmlformats.org/officeDocument/2006/relationships/hyperlink" Target="https://ref.ly/1Pet1:3-1Pet1:7" TargetMode="External"/><Relationship Id="rId16710" Type="http://schemas.openxmlformats.org/officeDocument/2006/relationships/hyperlink" Target="https://ref.ly/1Pet2:12" TargetMode="External"/><Relationship Id="rId16711" Type="http://schemas.openxmlformats.org/officeDocument/2006/relationships/hyperlink" Target="https://ref.ly/1Pet3:13-1Pet3:17" TargetMode="External"/><Relationship Id="rId16712" Type="http://schemas.openxmlformats.org/officeDocument/2006/relationships/hyperlink" Target="https://ref.ly/1Pet4:12-1Pet4:19" TargetMode="External"/><Relationship Id="rId16713" Type="http://schemas.openxmlformats.org/officeDocument/2006/relationships/hyperlink" Target="https://ref.ly/1Pet5:9-1Pet5:10" TargetMode="External"/><Relationship Id="rId16714" Type="http://schemas.openxmlformats.org/officeDocument/2006/relationships/hyperlink" Target="https://ref.ly/1Pet2:18-1Pet2:20" TargetMode="External"/><Relationship Id="rId16715" Type="http://schemas.openxmlformats.org/officeDocument/2006/relationships/hyperlink" Target="https://ref.ly/1Pet3:1-1Pet3:6" TargetMode="External"/><Relationship Id="rId16716" Type="http://schemas.openxmlformats.org/officeDocument/2006/relationships/hyperlink" Target="https://ref.ly/1Pet3:9" TargetMode="External"/><Relationship Id="rId16717" Type="http://schemas.openxmlformats.org/officeDocument/2006/relationships/hyperlink" Target="https://ref.ly/1Pet4:15-1Pet4:16" TargetMode="External"/><Relationship Id="rId16718" Type="http://schemas.openxmlformats.org/officeDocument/2006/relationships/hyperlink" Target="https://ref.ly/1Pet4:12" TargetMode="External"/><Relationship Id="rId16719" Type="http://schemas.openxmlformats.org/officeDocument/2006/relationships/hyperlink" Target="https://ref.ly/1Pet3:13" TargetMode="External"/><Relationship Id="rId16720" Type="http://schemas.openxmlformats.org/officeDocument/2006/relationships/hyperlink" Target="https://ref.ly/1Pet3:8" TargetMode="External"/><Relationship Id="rId16721" Type="http://schemas.openxmlformats.org/officeDocument/2006/relationships/hyperlink" Target="https://ref.ly/1Pet5:1-1Pet5:7" TargetMode="External"/><Relationship Id="rId16722" Type="http://schemas.openxmlformats.org/officeDocument/2006/relationships/hyperlink" Target="https://ref.ly/1Pet1:6-1Pet1:7" TargetMode="External"/><Relationship Id="rId16723" Type="http://schemas.openxmlformats.org/officeDocument/2006/relationships/hyperlink" Target="https://ref.ly/1Pet4:1-1Pet4:5" TargetMode="External"/><Relationship Id="rId16724" Type="http://schemas.openxmlformats.org/officeDocument/2006/relationships/hyperlink" Target="https://ref.ly/1Pet5:8-1Pet5:10" TargetMode="External"/><Relationship Id="rId16725" Type="http://schemas.openxmlformats.org/officeDocument/2006/relationships/hyperlink" Target="https://ref.ly/1Pet4:10" TargetMode="External"/><Relationship Id="rId16726" Type="http://schemas.openxmlformats.org/officeDocument/2006/relationships/hyperlink" Target="https://ref.ly/1Pet1:20" TargetMode="External"/><Relationship Id="rId16727" Type="http://schemas.openxmlformats.org/officeDocument/2006/relationships/hyperlink" Target="https://ref.ly/1Pet2:7" TargetMode="External"/><Relationship Id="rId16728" Type="http://schemas.openxmlformats.org/officeDocument/2006/relationships/hyperlink" Target="https://ref.ly/1Pet1:21" TargetMode="External"/><Relationship Id="rId16729" Type="http://schemas.openxmlformats.org/officeDocument/2006/relationships/hyperlink" Target="https://ref.ly/1Pet1:23" TargetMode="External"/><Relationship Id="rId16730" Type="http://schemas.openxmlformats.org/officeDocument/2006/relationships/hyperlink" Target="https://ref.ly/1Pet4:11" TargetMode="External"/><Relationship Id="rId16731" Type="http://schemas.openxmlformats.org/officeDocument/2006/relationships/hyperlink" Target="https://ref.ly/1Pet1:15" TargetMode="External"/><Relationship Id="rId16732" Type="http://schemas.openxmlformats.org/officeDocument/2006/relationships/hyperlink" Target="https://ref.ly/1Pet5:10" TargetMode="External"/><Relationship Id="rId16733" Type="http://schemas.openxmlformats.org/officeDocument/2006/relationships/hyperlink" Target="https://ref.ly/1Pet1:13-1Pet1:15" TargetMode="External"/><Relationship Id="rId16734" Type="http://schemas.openxmlformats.org/officeDocument/2006/relationships/hyperlink" Target="https://ref.ly/1Pet2:20" TargetMode="External"/><Relationship Id="rId16735" Type="http://schemas.openxmlformats.org/officeDocument/2006/relationships/hyperlink" Target="https://ref.ly/1Pet3:11" TargetMode="External"/><Relationship Id="rId16736" Type="http://schemas.openxmlformats.org/officeDocument/2006/relationships/hyperlink" Target="https://ref.ly/1Pet2:13-1Pet2:17" TargetMode="External"/><Relationship Id="rId16737" Type="http://schemas.openxmlformats.org/officeDocument/2006/relationships/hyperlink" Target="https://ref.ly/1Pet2:18-1Pet2:25" TargetMode="External"/><Relationship Id="rId16738" Type="http://schemas.openxmlformats.org/officeDocument/2006/relationships/hyperlink" Target="https://ref.ly/Amos3:2" TargetMode="External"/><Relationship Id="rId16739" Type="http://schemas.openxmlformats.org/officeDocument/2006/relationships/hyperlink" Target="https://ref.ly/Acts2:23" TargetMode="External"/><Relationship Id="rId16740" Type="http://schemas.openxmlformats.org/officeDocument/2006/relationships/hyperlink" Target="https://ref.ly/1Cor8:3" TargetMode="External"/><Relationship Id="rId16741" Type="http://schemas.openxmlformats.org/officeDocument/2006/relationships/hyperlink" Target="https://ref.ly/Heb9:13-Heb9:14" TargetMode="External"/><Relationship Id="rId16742" Type="http://schemas.openxmlformats.org/officeDocument/2006/relationships/hyperlink" Target="https://ref.ly/1Pet1:6-1Pet1:8" TargetMode="External"/><Relationship Id="rId16743" Type="http://schemas.openxmlformats.org/officeDocument/2006/relationships/hyperlink" Target="https://ref.ly/1Pet1:5" TargetMode="External"/><Relationship Id="rId16744" Type="http://schemas.openxmlformats.org/officeDocument/2006/relationships/hyperlink" Target="https://ref.ly/1Pet1:6" TargetMode="External"/><Relationship Id="rId16745" Type="http://schemas.openxmlformats.org/officeDocument/2006/relationships/hyperlink" Target="https://ref.ly/1Pet1:8" TargetMode="External"/><Relationship Id="rId16746" Type="http://schemas.openxmlformats.org/officeDocument/2006/relationships/hyperlink" Target="https://ref.ly/1Pet3:15" TargetMode="External"/><Relationship Id="rId16747" Type="http://schemas.openxmlformats.org/officeDocument/2006/relationships/hyperlink" Target="https://ref.ly/1Pet1:15-1Pet1:16" TargetMode="External"/><Relationship Id="rId16748" Type="http://schemas.openxmlformats.org/officeDocument/2006/relationships/hyperlink" Target="https://ref.ly/1Pet1:22-1Pet1:25" TargetMode="External"/><Relationship Id="rId16749" Type="http://schemas.openxmlformats.org/officeDocument/2006/relationships/hyperlink" Target="https://ref.ly/1Pet1:25" TargetMode="External"/><Relationship Id="rId16750" Type="http://schemas.openxmlformats.org/officeDocument/2006/relationships/hyperlink" Target="https://ref.ly/Isa40:6-Isa40:8" TargetMode="External"/><Relationship Id="rId16751" Type="http://schemas.openxmlformats.org/officeDocument/2006/relationships/hyperlink" Target="https://ref.ly/1Pet2:1-1Pet2:3" TargetMode="External"/><Relationship Id="rId16752" Type="http://schemas.openxmlformats.org/officeDocument/2006/relationships/hyperlink" Target="https://ref.ly/1Cor3:16" TargetMode="External"/><Relationship Id="rId16753" Type="http://schemas.openxmlformats.org/officeDocument/2006/relationships/hyperlink" Target="https://ref.ly/Eph2:21-Eph2:22" TargetMode="External"/><Relationship Id="rId16754" Type="http://schemas.openxmlformats.org/officeDocument/2006/relationships/hyperlink" Target="https://ref.ly/Mark10:44" TargetMode="External"/><Relationship Id="rId16755" Type="http://schemas.openxmlformats.org/officeDocument/2006/relationships/hyperlink" Target="https://ref.ly/Phil2:3" TargetMode="External"/><Relationship Id="rId16756" Type="http://schemas.openxmlformats.org/officeDocument/2006/relationships/hyperlink" Target="https://ref.ly/1Pet2:19" TargetMode="External"/><Relationship Id="rId16757" Type="http://schemas.openxmlformats.org/officeDocument/2006/relationships/hyperlink" Target="https://ref.ly/1Pet2:21-1Pet2:23" TargetMode="External"/><Relationship Id="rId16758" Type="http://schemas.openxmlformats.org/officeDocument/2006/relationships/hyperlink" Target="https://ref.ly/1Pet2:24-1Pet2:25" TargetMode="External"/><Relationship Id="rId16759" Type="http://schemas.openxmlformats.org/officeDocument/2006/relationships/hyperlink" Target="https://ref.ly/Rom12:19-Rom12:20" TargetMode="External"/><Relationship Id="rId16760" Type="http://schemas.openxmlformats.org/officeDocument/2006/relationships/hyperlink" Target="https://ref.ly/1Pet3:2" TargetMode="External"/><Relationship Id="rId16761" Type="http://schemas.openxmlformats.org/officeDocument/2006/relationships/hyperlink" Target="https://ref.ly/1Pet3:6" TargetMode="External"/><Relationship Id="rId16762" Type="http://schemas.openxmlformats.org/officeDocument/2006/relationships/hyperlink" Target="https://ref.ly/1Pet3:5" TargetMode="External"/><Relationship Id="rId16763" Type="http://schemas.openxmlformats.org/officeDocument/2006/relationships/hyperlink" Target="https://ref.ly/1Pet2:13-1Pet3:12" TargetMode="External"/><Relationship Id="rId16764" Type="http://schemas.openxmlformats.org/officeDocument/2006/relationships/hyperlink" Target="https://ref.ly/1Pet3:9-1Pet3:12" TargetMode="External"/><Relationship Id="rId16765" Type="http://schemas.openxmlformats.org/officeDocument/2006/relationships/hyperlink" Target="https://ref.ly/1Pet2:19-1Pet2:20" TargetMode="External"/><Relationship Id="rId16766" Type="http://schemas.openxmlformats.org/officeDocument/2006/relationships/hyperlink" Target="https://ref.ly/1Pet1:4-1Pet1:5" TargetMode="External"/><Relationship Id="rId16767" Type="http://schemas.openxmlformats.org/officeDocument/2006/relationships/hyperlink" Target="https://ref.ly/1Pet3:17" TargetMode="External"/><Relationship Id="rId16768" Type="http://schemas.openxmlformats.org/officeDocument/2006/relationships/hyperlink" Target="https://ref.ly/1Pet3:14" TargetMode="External"/><Relationship Id="rId16769" Type="http://schemas.openxmlformats.org/officeDocument/2006/relationships/hyperlink" Target="https://ref.ly/Matt5:10-Matt5:12" TargetMode="External"/><Relationship Id="rId16770" Type="http://schemas.openxmlformats.org/officeDocument/2006/relationships/hyperlink" Target="https://ref.ly/1Pet3:16" TargetMode="External"/><Relationship Id="rId16771" Type="http://schemas.openxmlformats.org/officeDocument/2006/relationships/hyperlink" Target="https://ref.ly/1Pet2:21-1Pet2:25" TargetMode="External"/><Relationship Id="rId16772" Type="http://schemas.openxmlformats.org/officeDocument/2006/relationships/hyperlink" Target="https://ref.ly/1Pet3:18-1Pet3:21" TargetMode="External"/><Relationship Id="rId16773" Type="http://schemas.openxmlformats.org/officeDocument/2006/relationships/hyperlink" Target="https://ref.ly/1Pet3:21" TargetMode="External"/><Relationship Id="rId16774" Type="http://schemas.openxmlformats.org/officeDocument/2006/relationships/hyperlink" Target="https://ref.ly/1Pet2:1-1Pet2:2" TargetMode="External"/><Relationship Id="rId16775" Type="http://schemas.openxmlformats.org/officeDocument/2006/relationships/hyperlink" Target="https://ref.ly/1Pet4:4" TargetMode="External"/><Relationship Id="rId16776" Type="http://schemas.openxmlformats.org/officeDocument/2006/relationships/hyperlink" Target="https://ref.ly/1Pet4:5" TargetMode="External"/><Relationship Id="rId16777" Type="http://schemas.openxmlformats.org/officeDocument/2006/relationships/hyperlink" Target="https://ref.ly/1Pet4:7" TargetMode="External"/><Relationship Id="rId16778" Type="http://schemas.openxmlformats.org/officeDocument/2006/relationships/hyperlink" Target="https://ref.ly/Eph4:1-Eph4:3" TargetMode="External"/><Relationship Id="rId16779" Type="http://schemas.openxmlformats.org/officeDocument/2006/relationships/hyperlink" Target="https://ref.ly/1Pet4:17-1Pet4:18" TargetMode="External"/><Relationship Id="rId16780" Type="http://schemas.openxmlformats.org/officeDocument/2006/relationships/hyperlink" Target="https://ref.ly/Prov11:31" TargetMode="External"/><Relationship Id="rId16781" Type="http://schemas.openxmlformats.org/officeDocument/2006/relationships/hyperlink" Target="https://ref.ly/Acts14:22" TargetMode="External"/><Relationship Id="rId16782" Type="http://schemas.openxmlformats.org/officeDocument/2006/relationships/hyperlink" Target="https://ref.ly/1Thess3:3" TargetMode="External"/><Relationship Id="rId16783" Type="http://schemas.openxmlformats.org/officeDocument/2006/relationships/hyperlink" Target="https://ref.ly/1Pet4:13" TargetMode="External"/><Relationship Id="rId16784" Type="http://schemas.openxmlformats.org/officeDocument/2006/relationships/hyperlink" Target="https://ref.ly/1Pet4:7-1Pet4:11" TargetMode="External"/><Relationship Id="rId16785" Type="http://schemas.openxmlformats.org/officeDocument/2006/relationships/hyperlink" Target="https://ref.ly/1Pet5:6" TargetMode="External"/><Relationship Id="rId16786" Type="http://schemas.openxmlformats.org/officeDocument/2006/relationships/hyperlink" Target="https://ref.ly/Jas4:10" TargetMode="External"/><Relationship Id="rId16787" Type="http://schemas.openxmlformats.org/officeDocument/2006/relationships/hyperlink" Target="https://ref.ly/Ps55:22" TargetMode="External"/><Relationship Id="rId16788" Type="http://schemas.openxmlformats.org/officeDocument/2006/relationships/hyperlink" Target="https://ref.ly/Matt6:25-Matt6:30" TargetMode="External"/><Relationship Id="rId16789" Type="http://schemas.openxmlformats.org/officeDocument/2006/relationships/hyperlink" Target="https://ref.ly/1Pet5:3" TargetMode="External"/><Relationship Id="rId16790" Type="http://schemas.openxmlformats.org/officeDocument/2006/relationships/hyperlink" Target="https://ref.ly/2Thess1:1" TargetMode="External"/><Relationship Id="rId16791" Type="http://schemas.openxmlformats.org/officeDocument/2006/relationships/hyperlink" Target="https://ref.ly/Acts15:37" TargetMode="External"/><Relationship Id="rId16792" Type="http://schemas.openxmlformats.org/officeDocument/2006/relationships/hyperlink" Target="https://ref.ly/2Pet1:1" TargetMode="External"/><Relationship Id="rId16793" Type="http://schemas.openxmlformats.org/officeDocument/2006/relationships/hyperlink" Target="https://ref.ly/2Pet3:1" TargetMode="External"/><Relationship Id="rId16794" Type="http://schemas.openxmlformats.org/officeDocument/2006/relationships/hyperlink" Target="https://ref.ly/2Pet3:15" TargetMode="External"/><Relationship Id="rId16795" Type="http://schemas.openxmlformats.org/officeDocument/2006/relationships/hyperlink" Target="https://ref.ly/Gal3:1-Gal5:26" TargetMode="External"/><Relationship Id="rId16796" Type="http://schemas.openxmlformats.org/officeDocument/2006/relationships/hyperlink" Target="https://ref.ly/2Pet1:12-2Pet1:15" TargetMode="External"/><Relationship Id="rId16797" Type="http://schemas.openxmlformats.org/officeDocument/2006/relationships/hyperlink" Target="https://ref.ly/2Pet1:1-2Pet1:2" TargetMode="External"/><Relationship Id="rId16798" Type="http://schemas.openxmlformats.org/officeDocument/2006/relationships/hyperlink" Target="https://ref.ly/2Pet1:3-2Pet1:21" TargetMode="External"/><Relationship Id="rId16799" Type="http://schemas.openxmlformats.org/officeDocument/2006/relationships/hyperlink" Target="https://ref.ly/2Pet1:3-2Pet1:11" TargetMode="External"/><Relationship Id="rId16800" Type="http://schemas.openxmlformats.org/officeDocument/2006/relationships/hyperlink" Target="https://ref.ly/John21:18-John21:19" TargetMode="External"/><Relationship Id="rId16801" Type="http://schemas.openxmlformats.org/officeDocument/2006/relationships/hyperlink" Target="https://ref.ly/2Pet1:12-2Pet1:21" TargetMode="External"/><Relationship Id="rId16802" Type="http://schemas.openxmlformats.org/officeDocument/2006/relationships/hyperlink" Target="https://ref.ly/1Cor1:1-1Cor3:23" TargetMode="External"/><Relationship Id="rId16803" Type="http://schemas.openxmlformats.org/officeDocument/2006/relationships/hyperlink" Target="https://ref.ly/2Pet2:10" TargetMode="External"/><Relationship Id="rId16804" Type="http://schemas.openxmlformats.org/officeDocument/2006/relationships/hyperlink" Target="https://ref.ly/2Pet2:13" TargetMode="External"/><Relationship Id="rId16805" Type="http://schemas.openxmlformats.org/officeDocument/2006/relationships/hyperlink" Target="https://ref.ly/Gen6:5-Gen6:22" TargetMode="External"/><Relationship Id="rId16806" Type="http://schemas.openxmlformats.org/officeDocument/2006/relationships/hyperlink" Target="https://ref.ly/Gen18:1-Gen19:38" TargetMode="External"/><Relationship Id="rId16807" Type="http://schemas.openxmlformats.org/officeDocument/2006/relationships/hyperlink" Target="https://ref.ly/2Pet2:4-2Pet2:10" TargetMode="External"/><Relationship Id="rId16808" Type="http://schemas.openxmlformats.org/officeDocument/2006/relationships/hyperlink" Target="https://ref.ly/Jude1:6-Jude1:7" TargetMode="External"/><Relationship Id="rId16809" Type="http://schemas.openxmlformats.org/officeDocument/2006/relationships/hyperlink" Target="https://ref.ly/2Pet2:11-2Pet2:22" TargetMode="External"/><Relationship Id="rId16810" Type="http://schemas.openxmlformats.org/officeDocument/2006/relationships/hyperlink" Target="https://ref.ly/Jude1:8-Jude1:13" TargetMode="External"/><Relationship Id="rId16811" Type="http://schemas.openxmlformats.org/officeDocument/2006/relationships/hyperlink" Target="https://ref.ly/2Pet3:1-2Pet3:16" TargetMode="External"/><Relationship Id="rId16812" Type="http://schemas.openxmlformats.org/officeDocument/2006/relationships/hyperlink" Target="https://ref.ly/2Pet3:1-2Pet3:7" TargetMode="External"/><Relationship Id="rId16813" Type="http://schemas.openxmlformats.org/officeDocument/2006/relationships/hyperlink" Target="https://ref.ly/2Pet3:8-2Pet3:10" TargetMode="External"/><Relationship Id="rId16814" Type="http://schemas.openxmlformats.org/officeDocument/2006/relationships/hyperlink" Target="https://ref.ly/2Pet3:11-2Pet3:16" TargetMode="External"/><Relationship Id="rId16815" Type="http://schemas.openxmlformats.org/officeDocument/2006/relationships/hyperlink" Target="https://ref.ly/Jude1:20-Jude1:21" TargetMode="External"/><Relationship Id="rId16816" Type="http://schemas.openxmlformats.org/officeDocument/2006/relationships/hyperlink" Target="https://ref.ly/2Pet3:17-2Pet3:18" TargetMode="External"/><Relationship Id="rId16817" Type="http://schemas.openxmlformats.org/officeDocument/2006/relationships/hyperlink" Target="https://ref.ly/Isa59:17" TargetMode="External"/><Relationship Id="rId16818" Type="http://schemas.openxmlformats.org/officeDocument/2006/relationships/hyperlink" Target="https://ref.ly/1Thess5:8" TargetMode="External"/><Relationship Id="rId16819" Type="http://schemas.openxmlformats.org/officeDocument/2006/relationships/hyperlink" Target="https://ref.ly/Gen10:25" TargetMode="External"/><Relationship Id="rId16820" Type="http://schemas.openxmlformats.org/officeDocument/2006/relationships/hyperlink" Target="https://ref.ly/Gen11:16-Gen11:19" TargetMode="External"/><Relationship Id="rId16821" Type="http://schemas.openxmlformats.org/officeDocument/2006/relationships/hyperlink" Target="https://ref.ly/1Chr1:19,1Chr1:25" TargetMode="External"/><Relationship Id="rId16822" Type="http://schemas.openxmlformats.org/officeDocument/2006/relationships/hyperlink" Target="https://ref.ly/Gen10:24-Gen10:29" TargetMode="External"/><Relationship Id="rId16823" Type="http://schemas.openxmlformats.org/officeDocument/2006/relationships/hyperlink" Target="https://ref.ly/Job29:6" TargetMode="External"/><Relationship Id="rId16824" Type="http://schemas.openxmlformats.org/officeDocument/2006/relationships/hyperlink" Target="https://ref.ly/Job38:25" TargetMode="External"/><Relationship Id="rId16825" Type="http://schemas.openxmlformats.org/officeDocument/2006/relationships/hyperlink" Target="https://ref.ly/Isa30:25" TargetMode="External"/><Relationship Id="rId16826" Type="http://schemas.openxmlformats.org/officeDocument/2006/relationships/hyperlink" Target="https://ref.ly/Isa32:2" TargetMode="External"/><Relationship Id="rId16827" Type="http://schemas.openxmlformats.org/officeDocument/2006/relationships/hyperlink" Target="https://ref.ly/1Chr2:33" TargetMode="External"/><Relationship Id="rId16828" Type="http://schemas.openxmlformats.org/officeDocument/2006/relationships/hyperlink" Target="https://ref.ly/Num33:1-Num33:2" TargetMode="External"/><Relationship Id="rId16829" Type="http://schemas.openxmlformats.org/officeDocument/2006/relationships/hyperlink" Target="https://ref.ly/Lev23:9-Lev23:14" TargetMode="External"/><Relationship Id="rId16830" Type="http://schemas.openxmlformats.org/officeDocument/2006/relationships/hyperlink" Target="https://ref.ly/Lev23:11" TargetMode="External"/><Relationship Id="rId16831" Type="http://schemas.openxmlformats.org/officeDocument/2006/relationships/hyperlink" Target="https://ref.ly/Lev23:21" TargetMode="External"/><Relationship Id="rId16832" Type="http://schemas.openxmlformats.org/officeDocument/2006/relationships/hyperlink" Target="https://ref.ly/Deut16:11" TargetMode="External"/><Relationship Id="rId16833" Type="http://schemas.openxmlformats.org/officeDocument/2006/relationships/hyperlink" Target="https://ref.ly/2Chr8:13" TargetMode="External"/><Relationship Id="rId16834" Type="http://schemas.openxmlformats.org/officeDocument/2006/relationships/hyperlink" Target="https://ref.ly/Gen32:31" TargetMode="External"/><Relationship Id="rId16835" Type="http://schemas.openxmlformats.org/officeDocument/2006/relationships/hyperlink" Target="https://ref.ly/Judg8:8-Judg8:9,Judg8:17" TargetMode="External"/><Relationship Id="rId16836" Type="http://schemas.openxmlformats.org/officeDocument/2006/relationships/hyperlink" Target="https://ref.ly/Num25:3,Num25:5" TargetMode="External"/><Relationship Id="rId16837" Type="http://schemas.openxmlformats.org/officeDocument/2006/relationships/hyperlink" Target="https://ref.ly/Num24:2" TargetMode="External"/><Relationship Id="rId16838" Type="http://schemas.openxmlformats.org/officeDocument/2006/relationships/hyperlink" Target="https://ref.ly/Num25:1-Num25:13" TargetMode="External"/><Relationship Id="rId16839" Type="http://schemas.openxmlformats.org/officeDocument/2006/relationships/hyperlink" Target="https://ref.ly/Josh15:59" TargetMode="External"/><Relationship Id="rId16840" Type="http://schemas.openxmlformats.org/officeDocument/2006/relationships/hyperlink" Target="https://ref.ly/Luke5:21" TargetMode="External"/><Relationship Id="rId16841" Type="http://schemas.openxmlformats.org/officeDocument/2006/relationships/hyperlink" Target="https://ref.ly/Lev4:20" TargetMode="External"/><Relationship Id="rId16842" Type="http://schemas.openxmlformats.org/officeDocument/2006/relationships/hyperlink" Target="https://ref.ly/1Kgs8:30" TargetMode="External"/><Relationship Id="rId16843" Type="http://schemas.openxmlformats.org/officeDocument/2006/relationships/hyperlink" Target="https://ref.ly/Exod29:36" TargetMode="External"/><Relationship Id="rId16844" Type="http://schemas.openxmlformats.org/officeDocument/2006/relationships/hyperlink" Target="https://ref.ly/Deut21:8" TargetMode="External"/><Relationship Id="rId16845" Type="http://schemas.openxmlformats.org/officeDocument/2006/relationships/hyperlink" Target="https://ref.ly/Ezek43:20" TargetMode="External"/><Relationship Id="rId16846" Type="http://schemas.openxmlformats.org/officeDocument/2006/relationships/hyperlink" Target="https://ref.ly/Ezek45:20" TargetMode="External"/><Relationship Id="rId16847" Type="http://schemas.openxmlformats.org/officeDocument/2006/relationships/hyperlink" Target="https://ref.ly/Num30:5" TargetMode="External"/><Relationship Id="rId16848" Type="http://schemas.openxmlformats.org/officeDocument/2006/relationships/hyperlink" Target="https://ref.ly/Ps130:4" TargetMode="External"/><Relationship Id="rId16849" Type="http://schemas.openxmlformats.org/officeDocument/2006/relationships/hyperlink" Target="https://ref.ly/Dan9:9" TargetMode="External"/><Relationship Id="rId16850" Type="http://schemas.openxmlformats.org/officeDocument/2006/relationships/hyperlink" Target="https://ref.ly/Ps51:1" TargetMode="External"/><Relationship Id="rId16851" Type="http://schemas.openxmlformats.org/officeDocument/2006/relationships/hyperlink" Target="https://ref.ly/Isa43:25" TargetMode="External"/><Relationship Id="rId16852" Type="http://schemas.openxmlformats.org/officeDocument/2006/relationships/hyperlink" Target="https://ref.ly/Isa44:22" TargetMode="External"/><Relationship Id="rId16853" Type="http://schemas.openxmlformats.org/officeDocument/2006/relationships/hyperlink" Target="https://ref.ly/Deut29:20" TargetMode="External"/><Relationship Id="rId16854" Type="http://schemas.openxmlformats.org/officeDocument/2006/relationships/hyperlink" Target="https://ref.ly/Ps103:12" TargetMode="External"/><Relationship Id="rId16855" Type="http://schemas.openxmlformats.org/officeDocument/2006/relationships/hyperlink" Target="https://ref.ly/Isa38:17" TargetMode="External"/><Relationship Id="rId16856" Type="http://schemas.openxmlformats.org/officeDocument/2006/relationships/hyperlink" Target="https://ref.ly/Mark10:26-Mark10:27" TargetMode="External"/><Relationship Id="rId16857" Type="http://schemas.openxmlformats.org/officeDocument/2006/relationships/hyperlink" Target="https://ref.ly/Mark2:5-Mark2:10" TargetMode="External"/><Relationship Id="rId16858" Type="http://schemas.openxmlformats.org/officeDocument/2006/relationships/hyperlink" Target="https://ref.ly/Col1:14" TargetMode="External"/><Relationship Id="rId16859" Type="http://schemas.openxmlformats.org/officeDocument/2006/relationships/hyperlink" Target="https://ref.ly/1John2:12" TargetMode="External"/><Relationship Id="rId16860" Type="http://schemas.openxmlformats.org/officeDocument/2006/relationships/hyperlink" Target="https://ref.ly/2Cor2:7" TargetMode="External"/><Relationship Id="rId16861" Type="http://schemas.openxmlformats.org/officeDocument/2006/relationships/hyperlink" Target="https://ref.ly/2Cor12:13" TargetMode="External"/><Relationship Id="rId16862" Type="http://schemas.openxmlformats.org/officeDocument/2006/relationships/hyperlink" Target="https://ref.ly/Eph4:32" TargetMode="External"/><Relationship Id="rId16863" Type="http://schemas.openxmlformats.org/officeDocument/2006/relationships/hyperlink" Target="https://ref.ly/Col3:13" TargetMode="External"/><Relationship Id="rId16864" Type="http://schemas.openxmlformats.org/officeDocument/2006/relationships/hyperlink" Target="https://ref.ly/Luke6:37" TargetMode="External"/><Relationship Id="rId16865" Type="http://schemas.openxmlformats.org/officeDocument/2006/relationships/hyperlink" Target="https://ref.ly/Acts14:16" TargetMode="External"/><Relationship Id="rId16866" Type="http://schemas.openxmlformats.org/officeDocument/2006/relationships/hyperlink" Target="https://ref.ly/Matt6:14-Matt6:15" TargetMode="External"/><Relationship Id="rId16867" Type="http://schemas.openxmlformats.org/officeDocument/2006/relationships/hyperlink" Target="https://ref.ly/Matt18:21-Matt18:22" TargetMode="External"/><Relationship Id="rId16868" Type="http://schemas.openxmlformats.org/officeDocument/2006/relationships/hyperlink" Target="https://ref.ly/2Pet3:7" TargetMode="External"/><Relationship Id="rId16869" Type="http://schemas.openxmlformats.org/officeDocument/2006/relationships/hyperlink" Target="https://ref.ly/1Tim6:9" TargetMode="External"/><Relationship Id="rId16870" Type="http://schemas.openxmlformats.org/officeDocument/2006/relationships/hyperlink" Target="https://ref.ly/John17:12" TargetMode="External"/><Relationship Id="rId16871" Type="http://schemas.openxmlformats.org/officeDocument/2006/relationships/hyperlink" Target="https://ref.ly/Rev17:8,Rev17:11" TargetMode="External"/><Relationship Id="rId16872" Type="http://schemas.openxmlformats.org/officeDocument/2006/relationships/hyperlink" Target="https://ref.ly/2Sam22:5" TargetMode="External"/><Relationship Id="rId16873" Type="http://schemas.openxmlformats.org/officeDocument/2006/relationships/hyperlink" Target="https://ref.ly/Deut1:3" TargetMode="External"/><Relationship Id="rId16874" Type="http://schemas.openxmlformats.org/officeDocument/2006/relationships/hyperlink" Target="https://ref.ly/Num14:1-Num14:45" TargetMode="External"/><Relationship Id="rId16875" Type="http://schemas.openxmlformats.org/officeDocument/2006/relationships/hyperlink" Target="https://ref.ly/Num15:1-Num17:13" TargetMode="External"/><Relationship Id="rId16876" Type="http://schemas.openxmlformats.org/officeDocument/2006/relationships/hyperlink" Target="https://ref.ly/Matt19:1" TargetMode="External"/><Relationship Id="rId16877" Type="http://schemas.openxmlformats.org/officeDocument/2006/relationships/hyperlink" Target="https://ref.ly/Mark10:1" TargetMode="External"/><Relationship Id="rId16878" Type="http://schemas.openxmlformats.org/officeDocument/2006/relationships/hyperlink" Target="https://ref.ly/Josh1:12-Josh1:14" TargetMode="External"/><Relationship Id="rId16879" Type="http://schemas.openxmlformats.org/officeDocument/2006/relationships/hyperlink" Target="https://ref.ly/Josh22:9" TargetMode="External"/><Relationship Id="rId16880" Type="http://schemas.openxmlformats.org/officeDocument/2006/relationships/hyperlink" Target="https://ref.ly/John1:28-John1:29" TargetMode="External"/><Relationship Id="rId16881" Type="http://schemas.openxmlformats.org/officeDocument/2006/relationships/hyperlink" Target="https://ref.ly/John10:40" TargetMode="External"/><Relationship Id="rId16882" Type="http://schemas.openxmlformats.org/officeDocument/2006/relationships/hyperlink" Target="https://ref.ly/Gen38:29" TargetMode="External"/><Relationship Id="rId16883" Type="http://schemas.openxmlformats.org/officeDocument/2006/relationships/hyperlink" Target="https://ref.ly/Num26:20-Num26:21" TargetMode="External"/><Relationship Id="rId16884" Type="http://schemas.openxmlformats.org/officeDocument/2006/relationships/hyperlink" Target="https://ref.ly/1Chr2:4-1Chr2:5" TargetMode="External"/><Relationship Id="rId16885" Type="http://schemas.openxmlformats.org/officeDocument/2006/relationships/hyperlink" Target="https://ref.ly/1Chr27:2-1Chr27:3" TargetMode="External"/><Relationship Id="rId16886" Type="http://schemas.openxmlformats.org/officeDocument/2006/relationships/hyperlink" Target="https://ref.ly/Neh11:4-Neh11:6" TargetMode="External"/><Relationship Id="rId16887" Type="http://schemas.openxmlformats.org/officeDocument/2006/relationships/hyperlink" Target="https://ref.ly/1Kgs10:10" TargetMode="External"/><Relationship Id="rId16888" Type="http://schemas.openxmlformats.org/officeDocument/2006/relationships/hyperlink" Target="https://ref.ly/Exod37:29" TargetMode="External"/><Relationship Id="rId16889" Type="http://schemas.openxmlformats.org/officeDocument/2006/relationships/hyperlink" Target="https://ref.ly/Exod30:22-Exod30:25" TargetMode="External"/><Relationship Id="rId16890" Type="http://schemas.openxmlformats.org/officeDocument/2006/relationships/hyperlink" Target="https://ref.ly/1Chr9:30" TargetMode="External"/><Relationship Id="rId16891" Type="http://schemas.openxmlformats.org/officeDocument/2006/relationships/hyperlink" Target="https://ref.ly/Neh3:8" TargetMode="External"/><Relationship Id="rId16892" Type="http://schemas.openxmlformats.org/officeDocument/2006/relationships/hyperlink" Target="https://ref.ly/Isa3:20" TargetMode="External"/><Relationship Id="rId16893" Type="http://schemas.openxmlformats.org/officeDocument/2006/relationships/hyperlink" Target="https://ref.ly/Amos6:6" TargetMode="External"/><Relationship Id="rId16894" Type="http://schemas.openxmlformats.org/officeDocument/2006/relationships/hyperlink" Target="https://ref.ly/Prov21:17" TargetMode="External"/><Relationship Id="rId16895" Type="http://schemas.openxmlformats.org/officeDocument/2006/relationships/hyperlink" Target="https://ref.ly/Song1:3" TargetMode="External"/><Relationship Id="rId16896" Type="http://schemas.openxmlformats.org/officeDocument/2006/relationships/hyperlink" Target="https://ref.ly/Song4:13-Song4:14" TargetMode="External"/><Relationship Id="rId16897" Type="http://schemas.openxmlformats.org/officeDocument/2006/relationships/hyperlink" Target="https://ref.ly/Song5:1,Song5:5,Song5:13" TargetMode="External"/><Relationship Id="rId16898" Type="http://schemas.openxmlformats.org/officeDocument/2006/relationships/hyperlink" Target="https://ref.ly/Song5:13" TargetMode="External"/><Relationship Id="rId16899" Type="http://schemas.openxmlformats.org/officeDocument/2006/relationships/hyperlink" Target="https://ref.ly/Song6:2" TargetMode="External"/><Relationship Id="rId16900" Type="http://schemas.openxmlformats.org/officeDocument/2006/relationships/hyperlink" Target="https://ref.ly/Isa3:24" TargetMode="External"/><Relationship Id="rId16901" Type="http://schemas.openxmlformats.org/officeDocument/2006/relationships/hyperlink" Target="https://ref.ly/Song4:11" TargetMode="External"/><Relationship Id="rId16902" Type="http://schemas.openxmlformats.org/officeDocument/2006/relationships/hyperlink" Target="https://ref.ly/Prov7:17" TargetMode="External"/><Relationship Id="rId16903" Type="http://schemas.openxmlformats.org/officeDocument/2006/relationships/hyperlink" Target="https://ref.ly/2Chr16:14" TargetMode="External"/><Relationship Id="rId16904" Type="http://schemas.openxmlformats.org/officeDocument/2006/relationships/hyperlink" Target="https://ref.ly/Ps133:1-Ps133:3" TargetMode="External"/><Relationship Id="rId16905" Type="http://schemas.openxmlformats.org/officeDocument/2006/relationships/hyperlink" Target="https://ref.ly/Eph5:2" TargetMode="External"/><Relationship Id="rId16906" Type="http://schemas.openxmlformats.org/officeDocument/2006/relationships/hyperlink" Target="https://ref.ly/Exod30:25" TargetMode="External"/><Relationship Id="rId16907" Type="http://schemas.openxmlformats.org/officeDocument/2006/relationships/hyperlink" Target="https://ref.ly/Acts13:13-Acts13:14" TargetMode="External"/><Relationship Id="rId16908" Type="http://schemas.openxmlformats.org/officeDocument/2006/relationships/hyperlink" Target="https://ref.ly/Acts14:25-Acts14:26" TargetMode="External"/><Relationship Id="rId16909" Type="http://schemas.openxmlformats.org/officeDocument/2006/relationships/hyperlink" Target="https://ref.ly/1Macc1:20-1Macc1:29" TargetMode="External"/><Relationship Id="rId16910" Type="http://schemas.openxmlformats.org/officeDocument/2006/relationships/hyperlink" Target="https://ref.ly/2Macc5:14-2Macc5:22" TargetMode="External"/><Relationship Id="rId16911" Type="http://schemas.openxmlformats.org/officeDocument/2006/relationships/hyperlink" Target="https://ref.ly/1Macc1:41-1Macc1:64" TargetMode="External"/><Relationship Id="rId16912" Type="http://schemas.openxmlformats.org/officeDocument/2006/relationships/hyperlink" Target="https://ref.ly/2Macc6:1-2Macc6:11" TargetMode="External"/><Relationship Id="rId16913" Type="http://schemas.openxmlformats.org/officeDocument/2006/relationships/hyperlink" Target="https://ref.ly/Dan11:31-Dan11:32" TargetMode="External"/><Relationship Id="rId16914" Type="http://schemas.openxmlformats.org/officeDocument/2006/relationships/hyperlink" Target="https://ref.ly/1Macc1:60" TargetMode="External"/><Relationship Id="rId16915" Type="http://schemas.openxmlformats.org/officeDocument/2006/relationships/hyperlink" Target="https://ref.ly/1Macc2:29-1Macc2:37" TargetMode="External"/><Relationship Id="rId16916" Type="http://schemas.openxmlformats.org/officeDocument/2006/relationships/hyperlink" Target="https://ref.ly/2Macc6:18-2Macc6:31" TargetMode="External"/><Relationship Id="rId16917" Type="http://schemas.openxmlformats.org/officeDocument/2006/relationships/hyperlink" Target="https://ref.ly/1Macc2:15-1Macc2:27" TargetMode="External"/><Relationship Id="rId16918" Type="http://schemas.openxmlformats.org/officeDocument/2006/relationships/hyperlink" Target="https://ref.ly/2Macc10:1-2Macc10:8" TargetMode="External"/><Relationship Id="rId16919" Type="http://schemas.openxmlformats.org/officeDocument/2006/relationships/hyperlink" Target="https://ref.ly/1Macc5:1-1Macc5:8" TargetMode="External"/><Relationship Id="rId16920" Type="http://schemas.openxmlformats.org/officeDocument/2006/relationships/hyperlink" Target="https://ref.ly/1Macc5:9-1Macc5:68" TargetMode="External"/><Relationship Id="rId16921" Type="http://schemas.openxmlformats.org/officeDocument/2006/relationships/hyperlink" Target="https://ref.ly/1Macc7:14" TargetMode="External"/><Relationship Id="rId16922" Type="http://schemas.openxmlformats.org/officeDocument/2006/relationships/hyperlink" Target="https://ref.ly/2Macc14:3-2Macc14:7" TargetMode="External"/><Relationship Id="rId16923" Type="http://schemas.openxmlformats.org/officeDocument/2006/relationships/hyperlink" Target="https://ref.ly/1Macc7:15-1Macc7:20" TargetMode="External"/><Relationship Id="rId16924" Type="http://schemas.openxmlformats.org/officeDocument/2006/relationships/hyperlink" Target="https://ref.ly/1Macc9:23-1Macc9:73" TargetMode="External"/><Relationship Id="rId16925" Type="http://schemas.openxmlformats.org/officeDocument/2006/relationships/hyperlink" Target="https://ref.ly/Lev21:13-Lev21:14" TargetMode="External"/><Relationship Id="rId16926" Type="http://schemas.openxmlformats.org/officeDocument/2006/relationships/hyperlink" Target="https://ref.ly/Ezek44:22" TargetMode="External"/><Relationship Id="rId16927" Type="http://schemas.openxmlformats.org/officeDocument/2006/relationships/hyperlink" Target="https://ref.ly/Gen4:3-Gen4:7" TargetMode="External"/><Relationship Id="rId16928" Type="http://schemas.openxmlformats.org/officeDocument/2006/relationships/hyperlink" Target="https://ref.ly/Wis2:12-Wis2:20" TargetMode="External"/><Relationship Id="rId16929" Type="http://schemas.openxmlformats.org/officeDocument/2006/relationships/hyperlink" Target="https://ref.ly/Gen19:9" TargetMode="External"/><Relationship Id="rId16930" Type="http://schemas.openxmlformats.org/officeDocument/2006/relationships/hyperlink" Target="https://ref.ly/2Pet2:7-2Pet2:8" TargetMode="External"/><Relationship Id="rId16931" Type="http://schemas.openxmlformats.org/officeDocument/2006/relationships/hyperlink" Target="https://ref.ly/1Kgs19:10" TargetMode="External"/><Relationship Id="rId16932" Type="http://schemas.openxmlformats.org/officeDocument/2006/relationships/hyperlink" Target="https://ref.ly/Matt23:29-Matt23:37" TargetMode="External"/><Relationship Id="rId16933" Type="http://schemas.openxmlformats.org/officeDocument/2006/relationships/hyperlink" Target="https://ref.ly/Acts7:52" TargetMode="External"/><Relationship Id="rId16934" Type="http://schemas.openxmlformats.org/officeDocument/2006/relationships/hyperlink" Target="https://ref.ly/Heb11:32-Heb11:38" TargetMode="External"/><Relationship Id="rId16935" Type="http://schemas.openxmlformats.org/officeDocument/2006/relationships/hyperlink" Target="https://ref.ly/1Macc1:11-1Macc1:15" TargetMode="External"/><Relationship Id="rId16936" Type="http://schemas.openxmlformats.org/officeDocument/2006/relationships/hyperlink" Target="https://ref.ly/1Macc2:42-1Macc2:48" TargetMode="External"/><Relationship Id="rId16937" Type="http://schemas.openxmlformats.org/officeDocument/2006/relationships/hyperlink" Target="https://ref.ly/Ps140:1-Ps140:13" TargetMode="External"/><Relationship Id="rId16938" Type="http://schemas.openxmlformats.org/officeDocument/2006/relationships/hyperlink" Target="https://ref.ly/Ps149:1-Ps149:9" TargetMode="External"/><Relationship Id="rId16939" Type="http://schemas.openxmlformats.org/officeDocument/2006/relationships/hyperlink" Target="https://ref.ly/2Macc6:1-2Macc7:42" TargetMode="External"/><Relationship Id="rId16940" Type="http://schemas.openxmlformats.org/officeDocument/2006/relationships/hyperlink" Target="https://ref.ly/Heb11:35-Heb11:38" TargetMode="External"/><Relationship Id="rId16941" Type="http://schemas.openxmlformats.org/officeDocument/2006/relationships/hyperlink" Target="https://ref.ly/Matt10:16-Matt10:23" TargetMode="External"/><Relationship Id="rId16942" Type="http://schemas.openxmlformats.org/officeDocument/2006/relationships/hyperlink" Target="https://ref.ly/Matt23:34" TargetMode="External"/><Relationship Id="rId16943" Type="http://schemas.openxmlformats.org/officeDocument/2006/relationships/hyperlink" Target="https://ref.ly/Luke6:26" TargetMode="External"/><Relationship Id="rId16944" Type="http://schemas.openxmlformats.org/officeDocument/2006/relationships/hyperlink" Target="https://ref.ly/Matt16:21-Matt16:26" TargetMode="External"/><Relationship Id="rId16945" Type="http://schemas.openxmlformats.org/officeDocument/2006/relationships/hyperlink" Target="https://ref.ly/Matt20:17-Matt20:22" TargetMode="External"/><Relationship Id="rId16946" Type="http://schemas.openxmlformats.org/officeDocument/2006/relationships/hyperlink" Target="https://ref.ly/Mark10:29-Mark10:30" TargetMode="External"/><Relationship Id="rId16947" Type="http://schemas.openxmlformats.org/officeDocument/2006/relationships/hyperlink" Target="https://ref.ly/John16:1-John16:4" TargetMode="External"/><Relationship Id="rId16948" Type="http://schemas.openxmlformats.org/officeDocument/2006/relationships/hyperlink" Target="https://ref.ly/Acts12:1-Acts12:3" TargetMode="External"/><Relationship Id="rId16949" Type="http://schemas.openxmlformats.org/officeDocument/2006/relationships/hyperlink" Target="https://ref.ly/Acts13:44-Acts13:45" TargetMode="External"/><Relationship Id="rId16950" Type="http://schemas.openxmlformats.org/officeDocument/2006/relationships/hyperlink" Target="https://ref.ly/Acts14:1-Acts14:6" TargetMode="External"/><Relationship Id="rId16951" Type="http://schemas.openxmlformats.org/officeDocument/2006/relationships/hyperlink" Target="https://ref.ly/Acts18:4-Acts18:6" TargetMode="External"/><Relationship Id="rId16952" Type="http://schemas.openxmlformats.org/officeDocument/2006/relationships/hyperlink" Target="https://ref.ly/Acts16:19-Acts16:24" TargetMode="External"/><Relationship Id="rId16953" Type="http://schemas.openxmlformats.org/officeDocument/2006/relationships/hyperlink" Target="https://ref.ly/Acts21:4-Acts21:36" TargetMode="External"/><Relationship Id="rId16954" Type="http://schemas.openxmlformats.org/officeDocument/2006/relationships/hyperlink" Target="https://ref.ly/Acts26:9-Acts26:11" TargetMode="External"/><Relationship Id="rId16955" Type="http://schemas.openxmlformats.org/officeDocument/2006/relationships/hyperlink" Target="https://ref.ly/Gal1:22-Gal1:24" TargetMode="External"/><Relationship Id="rId16956" Type="http://schemas.openxmlformats.org/officeDocument/2006/relationships/hyperlink" Target="https://ref.ly/Acts21:13" TargetMode="External"/><Relationship Id="rId16957" Type="http://schemas.openxmlformats.org/officeDocument/2006/relationships/hyperlink" Target="https://ref.ly/Rom12:12" TargetMode="External"/><Relationship Id="rId16958" Type="http://schemas.openxmlformats.org/officeDocument/2006/relationships/hyperlink" Target="https://ref.ly/1Thess3:4" TargetMode="External"/><Relationship Id="rId16959" Type="http://schemas.openxmlformats.org/officeDocument/2006/relationships/hyperlink" Target="https://ref.ly/Acts17:6-Acts17:7" TargetMode="External"/><Relationship Id="rId16960" Type="http://schemas.openxmlformats.org/officeDocument/2006/relationships/hyperlink" Target="https://ref.ly/Heb3:16-Heb3:19" TargetMode="External"/><Relationship Id="rId16961" Type="http://schemas.openxmlformats.org/officeDocument/2006/relationships/hyperlink" Target="https://ref.ly/Jer32:1-Jer32:15" TargetMode="External"/><Relationship Id="rId16962" Type="http://schemas.openxmlformats.org/officeDocument/2006/relationships/hyperlink" Target="https://ref.ly/Hos3:4-Hos3:5" TargetMode="External"/><Relationship Id="rId16963" Type="http://schemas.openxmlformats.org/officeDocument/2006/relationships/hyperlink" Target="https://ref.ly/Hab2:1-Hab2:3" TargetMode="External"/><Relationship Id="rId16964" Type="http://schemas.openxmlformats.org/officeDocument/2006/relationships/hyperlink" Target="https://ref.ly/Dan12:11-Dan12:13" TargetMode="External"/><Relationship Id="rId16965" Type="http://schemas.openxmlformats.org/officeDocument/2006/relationships/hyperlink" Target="https://ref.ly/Acts8:13" TargetMode="External"/><Relationship Id="rId16966" Type="http://schemas.openxmlformats.org/officeDocument/2006/relationships/hyperlink" Target="https://ref.ly/Rom13:6" TargetMode="External"/><Relationship Id="rId16967" Type="http://schemas.openxmlformats.org/officeDocument/2006/relationships/hyperlink" Target="https://ref.ly/Rom2:7" TargetMode="External"/><Relationship Id="rId16968" Type="http://schemas.openxmlformats.org/officeDocument/2006/relationships/hyperlink" Target="https://ref.ly/Gal6:9" TargetMode="External"/><Relationship Id="rId16969" Type="http://schemas.openxmlformats.org/officeDocument/2006/relationships/hyperlink" Target="https://ref.ly/2Tim3:14" TargetMode="External"/><Relationship Id="rId16970" Type="http://schemas.openxmlformats.org/officeDocument/2006/relationships/hyperlink" Target="https://ref.ly/2Thess1:4" TargetMode="External"/><Relationship Id="rId16971" Type="http://schemas.openxmlformats.org/officeDocument/2006/relationships/hyperlink" Target="https://ref.ly/Acts13:43" TargetMode="External"/><Relationship Id="rId16972" Type="http://schemas.openxmlformats.org/officeDocument/2006/relationships/hyperlink" Target="https://ref.ly/2Cor6:1" TargetMode="External"/><Relationship Id="rId16973" Type="http://schemas.openxmlformats.org/officeDocument/2006/relationships/hyperlink" Target="https://ref.ly/John15:9" TargetMode="External"/><Relationship Id="rId16974" Type="http://schemas.openxmlformats.org/officeDocument/2006/relationships/hyperlink" Target="https://ref.ly/Jude1:21" TargetMode="External"/><Relationship Id="rId16975" Type="http://schemas.openxmlformats.org/officeDocument/2006/relationships/hyperlink" Target="https://ref.ly/1Cor16:13" TargetMode="External"/><Relationship Id="rId16976" Type="http://schemas.openxmlformats.org/officeDocument/2006/relationships/hyperlink" Target="https://ref.ly/2Thess2:15" TargetMode="External"/><Relationship Id="rId16977" Type="http://schemas.openxmlformats.org/officeDocument/2006/relationships/hyperlink" Target="https://ref.ly/John15:4-John15:10" TargetMode="External"/><Relationship Id="rId16978" Type="http://schemas.openxmlformats.org/officeDocument/2006/relationships/hyperlink" Target="https://ref.ly/1John2:28" TargetMode="External"/><Relationship Id="rId16979" Type="http://schemas.openxmlformats.org/officeDocument/2006/relationships/hyperlink" Target="https://ref.ly/Heb6:12" TargetMode="External"/><Relationship Id="rId16980" Type="http://schemas.openxmlformats.org/officeDocument/2006/relationships/hyperlink" Target="https://ref.ly/Heb3:12" TargetMode="External"/><Relationship Id="rId16981" Type="http://schemas.openxmlformats.org/officeDocument/2006/relationships/hyperlink" Target="https://ref.ly/Heb4:1-Heb4:10" TargetMode="External"/><Relationship Id="rId16982" Type="http://schemas.openxmlformats.org/officeDocument/2006/relationships/hyperlink" Target="https://ref.ly/John6:71" TargetMode="External"/><Relationship Id="rId16983" Type="http://schemas.openxmlformats.org/officeDocument/2006/relationships/hyperlink" Target="https://ref.ly/Heb6:1-Heb6:8" TargetMode="External"/><Relationship Id="rId16984" Type="http://schemas.openxmlformats.org/officeDocument/2006/relationships/hyperlink" Target="https://ref.ly/Matt10:22" TargetMode="External"/><Relationship Id="rId16985" Type="http://schemas.openxmlformats.org/officeDocument/2006/relationships/hyperlink" Target="https://ref.ly/Matt24:13" TargetMode="External"/><Relationship Id="rId16986" Type="http://schemas.openxmlformats.org/officeDocument/2006/relationships/hyperlink" Target="https://ref.ly/Luke21:19" TargetMode="External"/><Relationship Id="rId16987" Type="http://schemas.openxmlformats.org/officeDocument/2006/relationships/hyperlink" Target="https://ref.ly/Isa19:8" TargetMode="External"/><Relationship Id="rId16988" Type="http://schemas.openxmlformats.org/officeDocument/2006/relationships/hyperlink" Target="https://ref.ly/Matt4:18-Matt4:19" TargetMode="External"/><Relationship Id="rId16989" Type="http://schemas.openxmlformats.org/officeDocument/2006/relationships/hyperlink" Target="https://ref.ly/Mark1:16-Mark1:17" TargetMode="External"/><Relationship Id="rId16990" Type="http://schemas.openxmlformats.org/officeDocument/2006/relationships/hyperlink" Target="https://ref.ly/Luke5:2-Luke5:11" TargetMode="External"/><Relationship Id="rId16991" Type="http://schemas.openxmlformats.org/officeDocument/2006/relationships/hyperlink" Target="https://ref.ly/Luke5:2-Luke5:5" TargetMode="External"/><Relationship Id="rId16992" Type="http://schemas.openxmlformats.org/officeDocument/2006/relationships/hyperlink" Target="https://ref.ly/John21:3" TargetMode="External"/><Relationship Id="rId16993" Type="http://schemas.openxmlformats.org/officeDocument/2006/relationships/hyperlink" Target="https://ref.ly/Matt4:19" TargetMode="External"/><Relationship Id="rId16994" Type="http://schemas.openxmlformats.org/officeDocument/2006/relationships/hyperlink" Target="https://ref.ly/Mark1:17" TargetMode="External"/><Relationship Id="rId16995" Type="http://schemas.openxmlformats.org/officeDocument/2006/relationships/hyperlink" Target="https://ref.ly/Prov20:10" TargetMode="External"/><Relationship Id="rId16996" Type="http://schemas.openxmlformats.org/officeDocument/2006/relationships/hyperlink" Target="https://ref.ly/Job6:2" TargetMode="External"/><Relationship Id="rId16997" Type="http://schemas.openxmlformats.org/officeDocument/2006/relationships/hyperlink" Target="https://ref.ly/Ps62:9" TargetMode="External"/><Relationship Id="rId16998" Type="http://schemas.openxmlformats.org/officeDocument/2006/relationships/hyperlink" Target="https://ref.ly/Isa40:12" TargetMode="External"/><Relationship Id="rId16999" Type="http://schemas.openxmlformats.org/officeDocument/2006/relationships/hyperlink" Target="https://ref.ly/Exod38:25-Exod38:26" TargetMode="External"/><Relationship Id="rId17000" Type="http://schemas.openxmlformats.org/officeDocument/2006/relationships/hyperlink" Target="https://ref.ly/Exod38:25" TargetMode="External"/><Relationship Id="rId17001" Type="http://schemas.openxmlformats.org/officeDocument/2006/relationships/hyperlink" Target="https://ref.ly/1Chr22:14" TargetMode="External"/><Relationship Id="rId17002" Type="http://schemas.openxmlformats.org/officeDocument/2006/relationships/hyperlink" Target="https://ref.ly/Ezek45:12" TargetMode="External"/><Relationship Id="rId17003" Type="http://schemas.openxmlformats.org/officeDocument/2006/relationships/hyperlink" Target="https://ref.ly/2Sam14:26" TargetMode="External"/><Relationship Id="rId17004" Type="http://schemas.openxmlformats.org/officeDocument/2006/relationships/hyperlink" Target="https://ref.ly/1Sam17:5-1Sam17:7" TargetMode="External"/><Relationship Id="rId17005" Type="http://schemas.openxmlformats.org/officeDocument/2006/relationships/hyperlink" Target="https://ref.ly/1Sam13:21" TargetMode="External"/><Relationship Id="rId17006" Type="http://schemas.openxmlformats.org/officeDocument/2006/relationships/hyperlink" Target="https://ref.ly/Exod30:13" TargetMode="External"/><Relationship Id="rId17007" Type="http://schemas.openxmlformats.org/officeDocument/2006/relationships/hyperlink" Target="https://ref.ly/Lev27:25" TargetMode="External"/><Relationship Id="rId17008" Type="http://schemas.openxmlformats.org/officeDocument/2006/relationships/hyperlink" Target="https://ref.ly/Num3:47" TargetMode="External"/><Relationship Id="rId17009" Type="http://schemas.openxmlformats.org/officeDocument/2006/relationships/hyperlink" Target="https://ref.ly/Num18:16" TargetMode="External"/><Relationship Id="rId17010" Type="http://schemas.openxmlformats.org/officeDocument/2006/relationships/hyperlink" Target="https://ref.ly/John12:3" TargetMode="External"/><Relationship Id="rId17011" Type="http://schemas.openxmlformats.org/officeDocument/2006/relationships/hyperlink" Target="https://ref.ly/2Sam6:13" TargetMode="External"/><Relationship Id="rId17012" Type="http://schemas.openxmlformats.org/officeDocument/2006/relationships/hyperlink" Target="https://ref.ly/Ezek40:5" TargetMode="External"/><Relationship Id="rId17013" Type="http://schemas.openxmlformats.org/officeDocument/2006/relationships/hyperlink" Target="https://ref.ly/Gen6:15" TargetMode="External"/><Relationship Id="rId17014" Type="http://schemas.openxmlformats.org/officeDocument/2006/relationships/hyperlink" Target="https://ref.ly/Exod28:15-Exod28:16" TargetMode="External"/><Relationship Id="rId17015" Type="http://schemas.openxmlformats.org/officeDocument/2006/relationships/hyperlink" Target="https://ref.ly/Exod39:8-Exod39:9" TargetMode="External"/><Relationship Id="rId17016" Type="http://schemas.openxmlformats.org/officeDocument/2006/relationships/hyperlink" Target="https://ref.ly/Exod25:25" TargetMode="External"/><Relationship Id="rId17017" Type="http://schemas.openxmlformats.org/officeDocument/2006/relationships/hyperlink" Target="https://ref.ly/1Kgs7:26" TargetMode="External"/><Relationship Id="rId17018" Type="http://schemas.openxmlformats.org/officeDocument/2006/relationships/hyperlink" Target="https://ref.ly/Matt5:41" TargetMode="External"/><Relationship Id="rId17019" Type="http://schemas.openxmlformats.org/officeDocument/2006/relationships/hyperlink" Target="https://ref.ly/Ezek45:11-Ezek45:14" TargetMode="External"/><Relationship Id="rId17020" Type="http://schemas.openxmlformats.org/officeDocument/2006/relationships/hyperlink" Target="https://ref.ly/Isa5:10" TargetMode="External"/><Relationship Id="rId17021" Type="http://schemas.openxmlformats.org/officeDocument/2006/relationships/hyperlink" Target="https://ref.ly/Zech5:6-Zech5:10" TargetMode="External"/><Relationship Id="rId17022" Type="http://schemas.openxmlformats.org/officeDocument/2006/relationships/hyperlink" Target="https://ref.ly/Exod16:22" TargetMode="External"/><Relationship Id="rId17023" Type="http://schemas.openxmlformats.org/officeDocument/2006/relationships/hyperlink" Target="https://ref.ly/Exod16:36" TargetMode="External"/><Relationship Id="rId17024" Type="http://schemas.openxmlformats.org/officeDocument/2006/relationships/hyperlink" Target="https://ref.ly/Luke13:21" TargetMode="External"/><Relationship Id="rId17025" Type="http://schemas.openxmlformats.org/officeDocument/2006/relationships/hyperlink" Target="https://ref.ly/1Kgs7:23-1Kgs7:26" TargetMode="External"/><Relationship Id="rId17026" Type="http://schemas.openxmlformats.org/officeDocument/2006/relationships/hyperlink" Target="https://ref.ly/Ezek4:11" TargetMode="External"/><Relationship Id="rId17027" Type="http://schemas.openxmlformats.org/officeDocument/2006/relationships/hyperlink" Target="https://ref.ly/Lev14:10-Lev14:24" TargetMode="External"/><Relationship Id="rId17028" Type="http://schemas.openxmlformats.org/officeDocument/2006/relationships/hyperlink" Target="https://ref.ly/Luke16:6" TargetMode="External"/><Relationship Id="rId17029" Type="http://schemas.openxmlformats.org/officeDocument/2006/relationships/hyperlink" Target="https://ref.ly/Lev26:25" TargetMode="External"/><Relationship Id="rId17030" Type="http://schemas.openxmlformats.org/officeDocument/2006/relationships/hyperlink" Target="https://ref.ly/Deut28:21" TargetMode="External"/><Relationship Id="rId17031" Type="http://schemas.openxmlformats.org/officeDocument/2006/relationships/hyperlink" Target="https://ref.ly/Ps91:1-Ps91:3" TargetMode="External"/><Relationship Id="rId17032" Type="http://schemas.openxmlformats.org/officeDocument/2006/relationships/hyperlink" Target="https://ref.ly/Ps78:50" TargetMode="External"/><Relationship Id="rId17033" Type="http://schemas.openxmlformats.org/officeDocument/2006/relationships/hyperlink" Target="https://ref.ly/Ezek28:23" TargetMode="External"/><Relationship Id="rId17034" Type="http://schemas.openxmlformats.org/officeDocument/2006/relationships/hyperlink" Target="https://ref.ly/2Sam24:13-2Sam24:15" TargetMode="External"/><Relationship Id="rId17035" Type="http://schemas.openxmlformats.org/officeDocument/2006/relationships/hyperlink" Target="https://ref.ly/Luke21:11" TargetMode="External"/><Relationship Id="rId17036" Type="http://schemas.openxmlformats.org/officeDocument/2006/relationships/hyperlink" Target="https://ref.ly/Exod30:17-Exod30:21" TargetMode="External"/><Relationship Id="rId17037" Type="http://schemas.openxmlformats.org/officeDocument/2006/relationships/hyperlink" Target="https://ref.ly/1Kgs7:23" TargetMode="External"/><Relationship Id="rId17038" Type="http://schemas.openxmlformats.org/officeDocument/2006/relationships/hyperlink" Target="https://ref.ly/Exod30:18" TargetMode="External"/><Relationship Id="rId17039" Type="http://schemas.openxmlformats.org/officeDocument/2006/relationships/hyperlink" Target="https://ref.ly/1Kgs7:38-1Kgs7:39" TargetMode="External"/><Relationship Id="rId17040" Type="http://schemas.openxmlformats.org/officeDocument/2006/relationships/hyperlink" Target="https://ref.ly/2Chr4:6" TargetMode="External"/><Relationship Id="rId17041" Type="http://schemas.openxmlformats.org/officeDocument/2006/relationships/hyperlink" Target="https://ref.ly/2Kgs16:17" TargetMode="External"/><Relationship Id="rId17042" Type="http://schemas.openxmlformats.org/officeDocument/2006/relationships/hyperlink" Target="https://ref.ly/Jer27:19-Jer27:22" TargetMode="External"/><Relationship Id="rId17043" Type="http://schemas.openxmlformats.org/officeDocument/2006/relationships/hyperlink" Target="https://ref.ly/Jer52:17" TargetMode="External"/><Relationship Id="rId17044" Type="http://schemas.openxmlformats.org/officeDocument/2006/relationships/hyperlink" Target="https://ref.ly/Ezek40:1-Ezek42:20" TargetMode="External"/><Relationship Id="rId17045" Type="http://schemas.openxmlformats.org/officeDocument/2006/relationships/hyperlink" Target="https://ref.ly/Rev15:2" TargetMode="External"/><Relationship Id="rId17046" Type="http://schemas.openxmlformats.org/officeDocument/2006/relationships/hyperlink" Target="https://ref.ly/Exod14:9" TargetMode="External"/><Relationship Id="rId17047" Type="http://schemas.openxmlformats.org/officeDocument/2006/relationships/hyperlink" Target="https://ref.ly/Num33:6" TargetMode="External"/><Relationship Id="rId17048" Type="http://schemas.openxmlformats.org/officeDocument/2006/relationships/hyperlink" Target="https://ref.ly/Num13:17-Num13:18" TargetMode="External"/><Relationship Id="rId17049" Type="http://schemas.openxmlformats.org/officeDocument/2006/relationships/hyperlink" Target="https://ref.ly/Exod14:24" TargetMode="External"/><Relationship Id="rId17050" Type="http://schemas.openxmlformats.org/officeDocument/2006/relationships/hyperlink" Target="https://ref.ly/Num14:14" TargetMode="External"/><Relationship Id="rId17051" Type="http://schemas.openxmlformats.org/officeDocument/2006/relationships/hyperlink" Target="https://ref.ly/Exod40:34-Exod40:35" TargetMode="External"/><Relationship Id="rId17052" Type="http://schemas.openxmlformats.org/officeDocument/2006/relationships/hyperlink" Target="https://ref.ly/Deut1:33" TargetMode="External"/><Relationship Id="rId17053" Type="http://schemas.openxmlformats.org/officeDocument/2006/relationships/hyperlink" Target="https://ref.ly/Deut4:12" TargetMode="External"/><Relationship Id="rId17054" Type="http://schemas.openxmlformats.org/officeDocument/2006/relationships/hyperlink" Target="https://ref.ly/2Chr5:13-2Chr5:14" TargetMode="External"/><Relationship Id="rId17055" Type="http://schemas.openxmlformats.org/officeDocument/2006/relationships/hyperlink" Target="https://ref.ly/Num9:17" TargetMode="External"/><Relationship Id="rId17056" Type="http://schemas.openxmlformats.org/officeDocument/2006/relationships/hyperlink" Target="https://ref.ly/Ps99:7" TargetMode="External"/><Relationship Id="rId17057" Type="http://schemas.openxmlformats.org/officeDocument/2006/relationships/hyperlink" Target="https://ref.ly/Exod34:1-Exod34:25" TargetMode="External"/><Relationship Id="rId17058" Type="http://schemas.openxmlformats.org/officeDocument/2006/relationships/hyperlink" Target="https://ref.ly/Deut4:11-Deut4:12" TargetMode="External"/><Relationship Id="rId17059" Type="http://schemas.openxmlformats.org/officeDocument/2006/relationships/hyperlink" Target="https://ref.ly/Exod16:10" TargetMode="External"/><Relationship Id="rId17060" Type="http://schemas.openxmlformats.org/officeDocument/2006/relationships/hyperlink" Target="https://ref.ly/Num16:42-Num16:43" TargetMode="External"/><Relationship Id="rId17061" Type="http://schemas.openxmlformats.org/officeDocument/2006/relationships/hyperlink" Target="https://ref.ly/Num12:1-Num12:15" TargetMode="External"/><Relationship Id="rId17062" Type="http://schemas.openxmlformats.org/officeDocument/2006/relationships/hyperlink" Target="https://ref.ly/Exod33:9" TargetMode="External"/><Relationship Id="rId17063" Type="http://schemas.openxmlformats.org/officeDocument/2006/relationships/hyperlink" Target="https://ref.ly/Deut31:14-Deut31:29" TargetMode="External"/><Relationship Id="rId17064" Type="http://schemas.openxmlformats.org/officeDocument/2006/relationships/hyperlink" Target="https://ref.ly/Ezek1:5-Ezek1:28" TargetMode="External"/><Relationship Id="rId17065" Type="http://schemas.openxmlformats.org/officeDocument/2006/relationships/hyperlink" Target="https://ref.ly/Ezek43:1-Ezek43:27" TargetMode="External"/><Relationship Id="rId17066" Type="http://schemas.openxmlformats.org/officeDocument/2006/relationships/hyperlink" Target="https://ref.ly/Luke9:34" TargetMode="External"/><Relationship Id="rId17067" Type="http://schemas.openxmlformats.org/officeDocument/2006/relationships/hyperlink" Target="https://ref.ly/Luke23:12" TargetMode="External"/><Relationship Id="rId17068" Type="http://schemas.openxmlformats.org/officeDocument/2006/relationships/hyperlink" Target="https://ref.ly/Matt27:2" TargetMode="External"/><Relationship Id="rId17069" Type="http://schemas.openxmlformats.org/officeDocument/2006/relationships/hyperlink" Target="https://ref.ly/John18:29" TargetMode="External"/><Relationship Id="rId17070" Type="http://schemas.openxmlformats.org/officeDocument/2006/relationships/hyperlink" Target="https://ref.ly/1Tim6:13" TargetMode="External"/><Relationship Id="rId17071" Type="http://schemas.openxmlformats.org/officeDocument/2006/relationships/hyperlink" Target="https://ref.ly/Matt27:24-Matt27:25" TargetMode="External"/><Relationship Id="rId17072" Type="http://schemas.openxmlformats.org/officeDocument/2006/relationships/hyperlink" Target="https://ref.ly/John19:19-John19:22" TargetMode="External"/><Relationship Id="rId17073" Type="http://schemas.openxmlformats.org/officeDocument/2006/relationships/hyperlink" Target="https://ref.ly/John19:12" TargetMode="External"/><Relationship Id="rId17074" Type="http://schemas.openxmlformats.org/officeDocument/2006/relationships/hyperlink" Target="https://ref.ly/Acts14:24" TargetMode="External"/><Relationship Id="rId17075" Type="http://schemas.openxmlformats.org/officeDocument/2006/relationships/hyperlink" Target="https://ref.ly/Acts13:46" TargetMode="External"/><Relationship Id="rId17076" Type="http://schemas.openxmlformats.org/officeDocument/2006/relationships/hyperlink" Target="https://ref.ly/Job30:7" TargetMode="External"/><Relationship Id="rId17077" Type="http://schemas.openxmlformats.org/officeDocument/2006/relationships/hyperlink" Target="https://ref.ly/Zeph2:9" TargetMode="External"/><Relationship Id="rId17078" Type="http://schemas.openxmlformats.org/officeDocument/2006/relationships/hyperlink" Target="https://ref.ly/Jer1:11" TargetMode="External"/><Relationship Id="rId17079" Type="http://schemas.openxmlformats.org/officeDocument/2006/relationships/hyperlink" Target="https://ref.ly/Song2:3" TargetMode="External"/><Relationship Id="rId17080" Type="http://schemas.openxmlformats.org/officeDocument/2006/relationships/hyperlink" Target="https://ref.ly/Song7:8" TargetMode="External"/><Relationship Id="rId17081" Type="http://schemas.openxmlformats.org/officeDocument/2006/relationships/hyperlink" Target="https://ref.ly/Song8:5" TargetMode="External"/><Relationship Id="rId17082" Type="http://schemas.openxmlformats.org/officeDocument/2006/relationships/hyperlink" Target="https://ref.ly/Isa44:14" TargetMode="External"/><Relationship Id="rId17083" Type="http://schemas.openxmlformats.org/officeDocument/2006/relationships/hyperlink" Target="https://ref.ly/Jer51:8" TargetMode="External"/><Relationship Id="rId17084" Type="http://schemas.openxmlformats.org/officeDocument/2006/relationships/hyperlink" Target="https://ref.ly/Isa39:2" TargetMode="External"/><Relationship Id="rId17085" Type="http://schemas.openxmlformats.org/officeDocument/2006/relationships/hyperlink" Target="https://ref.ly/Ezek4:9-Ezek4:12" TargetMode="External"/><Relationship Id="rId17086" Type="http://schemas.openxmlformats.org/officeDocument/2006/relationships/hyperlink" Target="https://ref.ly/2Sam17:27-2Sam17:28" TargetMode="External"/><Relationship Id="rId17087" Type="http://schemas.openxmlformats.org/officeDocument/2006/relationships/hyperlink" Target="https://ref.ly/Judg9:14-Judg9:15" TargetMode="External"/><Relationship Id="rId17088" Type="http://schemas.openxmlformats.org/officeDocument/2006/relationships/hyperlink" Target="https://ref.ly/Isa41:19" TargetMode="External"/><Relationship Id="rId17089" Type="http://schemas.openxmlformats.org/officeDocument/2006/relationships/hyperlink" Target="https://ref.ly/1Kgs19:4-1Kgs19:5" TargetMode="External"/><Relationship Id="rId17090" Type="http://schemas.openxmlformats.org/officeDocument/2006/relationships/hyperlink" Target="https://ref.ly/Job30:4" TargetMode="External"/><Relationship Id="rId17091" Type="http://schemas.openxmlformats.org/officeDocument/2006/relationships/hyperlink" Target="https://ref.ly/Exod3:2-Exod3:4" TargetMode="External"/><Relationship Id="rId17092" Type="http://schemas.openxmlformats.org/officeDocument/2006/relationships/hyperlink" Target="https://ref.ly/Matt6:28-Matt6:30" TargetMode="External"/><Relationship Id="rId17093" Type="http://schemas.openxmlformats.org/officeDocument/2006/relationships/hyperlink" Target="https://ref.ly/Isa43:24" TargetMode="External"/><Relationship Id="rId17094" Type="http://schemas.openxmlformats.org/officeDocument/2006/relationships/hyperlink" Target="https://ref.ly/Eccl12:5" TargetMode="External"/><Relationship Id="rId17095" Type="http://schemas.openxmlformats.org/officeDocument/2006/relationships/hyperlink" Target="https://ref.ly/Jonah4:6-Jonah4:7" TargetMode="External"/><Relationship Id="rId17096" Type="http://schemas.openxmlformats.org/officeDocument/2006/relationships/hyperlink" Target="https://ref.ly/Ezek31:3-Ezek31:18" TargetMode="External"/><Relationship Id="rId17097" Type="http://schemas.openxmlformats.org/officeDocument/2006/relationships/hyperlink" Target="https://ref.ly/Rev18:13" TargetMode="External"/><Relationship Id="rId17098" Type="http://schemas.openxmlformats.org/officeDocument/2006/relationships/hyperlink" Target="https://ref.ly/Isa28:25-Isa28:27" TargetMode="External"/><Relationship Id="rId17099" Type="http://schemas.openxmlformats.org/officeDocument/2006/relationships/hyperlink" Target="https://ref.ly/Matt21:19" TargetMode="External"/><Relationship Id="rId17100" Type="http://schemas.openxmlformats.org/officeDocument/2006/relationships/hyperlink" Target="https://ref.ly/Jer8:13" TargetMode="External"/><Relationship Id="rId17101" Type="http://schemas.openxmlformats.org/officeDocument/2006/relationships/hyperlink" Target="https://ref.ly/Hos2:12" TargetMode="External"/><Relationship Id="rId17102" Type="http://schemas.openxmlformats.org/officeDocument/2006/relationships/hyperlink" Target="https://ref.ly/Joel1:7" TargetMode="External"/><Relationship Id="rId17103" Type="http://schemas.openxmlformats.org/officeDocument/2006/relationships/hyperlink" Target="https://ref.ly/Mic4:4" TargetMode="External"/><Relationship Id="rId17104" Type="http://schemas.openxmlformats.org/officeDocument/2006/relationships/hyperlink" Target="https://ref.ly/Zech3:10" TargetMode="External"/><Relationship Id="rId17105" Type="http://schemas.openxmlformats.org/officeDocument/2006/relationships/hyperlink" Target="https://ref.ly/Mark14:51" TargetMode="External"/><Relationship Id="rId17106" Type="http://schemas.openxmlformats.org/officeDocument/2006/relationships/hyperlink" Target="https://ref.ly/Isa19:8-Isa19:9" TargetMode="External"/><Relationship Id="rId17107" Type="http://schemas.openxmlformats.org/officeDocument/2006/relationships/hyperlink" Target="https://ref.ly/Ezek40:3" TargetMode="External"/><Relationship Id="rId17108" Type="http://schemas.openxmlformats.org/officeDocument/2006/relationships/hyperlink" Target="https://ref.ly/Lev6:10" TargetMode="External"/><Relationship Id="rId17109" Type="http://schemas.openxmlformats.org/officeDocument/2006/relationships/hyperlink" Target="https://ref.ly/Ezek9:2" TargetMode="External"/><Relationship Id="rId17110" Type="http://schemas.openxmlformats.org/officeDocument/2006/relationships/hyperlink" Target="https://ref.ly/Dan10:5" TargetMode="External"/><Relationship Id="rId17111" Type="http://schemas.openxmlformats.org/officeDocument/2006/relationships/hyperlink" Target="https://ref.ly/Rev15:6" TargetMode="External"/><Relationship Id="rId17112" Type="http://schemas.openxmlformats.org/officeDocument/2006/relationships/hyperlink" Target="https://ref.ly/Exod39:27" TargetMode="External"/><Relationship Id="rId17113" Type="http://schemas.openxmlformats.org/officeDocument/2006/relationships/hyperlink" Target="https://ref.ly/1Chr15:27" TargetMode="External"/><Relationship Id="rId17114" Type="http://schemas.openxmlformats.org/officeDocument/2006/relationships/hyperlink" Target="https://ref.ly/Rev19:8" TargetMode="External"/><Relationship Id="rId17115" Type="http://schemas.openxmlformats.org/officeDocument/2006/relationships/hyperlink" Target="https://ref.ly/Hos2:9" TargetMode="External"/><Relationship Id="rId17116" Type="http://schemas.openxmlformats.org/officeDocument/2006/relationships/hyperlink" Target="https://ref.ly/Prov31:13" TargetMode="External"/><Relationship Id="rId17117" Type="http://schemas.openxmlformats.org/officeDocument/2006/relationships/hyperlink" Target="https://ref.ly/1Chr9:29" TargetMode="External"/><Relationship Id="rId17118" Type="http://schemas.openxmlformats.org/officeDocument/2006/relationships/hyperlink" Target="https://ref.ly/Neh13:9" TargetMode="External"/><Relationship Id="rId17119" Type="http://schemas.openxmlformats.org/officeDocument/2006/relationships/hyperlink" Target="https://ref.ly/2Kgs4:39" TargetMode="External"/><Relationship Id="rId17120" Type="http://schemas.openxmlformats.org/officeDocument/2006/relationships/hyperlink" Target="https://ref.ly/Deut32:32" TargetMode="External"/><Relationship Id="rId17121" Type="http://schemas.openxmlformats.org/officeDocument/2006/relationships/hyperlink" Target="https://ref.ly/Lam3:5" TargetMode="External"/><Relationship Id="rId17122" Type="http://schemas.openxmlformats.org/officeDocument/2006/relationships/hyperlink" Target="https://ref.ly/Prov15:19" TargetMode="External"/><Relationship Id="rId17123" Type="http://schemas.openxmlformats.org/officeDocument/2006/relationships/hyperlink" Target="https://ref.ly/Hos2:6" TargetMode="External"/><Relationship Id="rId17124" Type="http://schemas.openxmlformats.org/officeDocument/2006/relationships/hyperlink" Target="https://ref.ly/Song2:1-Song2:2" TargetMode="External"/><Relationship Id="rId17125" Type="http://schemas.openxmlformats.org/officeDocument/2006/relationships/hyperlink" Target="https://ref.ly/Song6:2-Song6:4" TargetMode="External"/><Relationship Id="rId17126" Type="http://schemas.openxmlformats.org/officeDocument/2006/relationships/hyperlink" Target="https://ref.ly/Jer17:6" TargetMode="External"/><Relationship Id="rId17127" Type="http://schemas.openxmlformats.org/officeDocument/2006/relationships/hyperlink" Target="https://ref.ly/Jer48:6" TargetMode="External"/><Relationship Id="rId17128" Type="http://schemas.openxmlformats.org/officeDocument/2006/relationships/hyperlink" Target="https://ref.ly/Ps37:35" TargetMode="External"/><Relationship Id="rId17129" Type="http://schemas.openxmlformats.org/officeDocument/2006/relationships/hyperlink" Target="https://ref.ly/2Sam23:11" TargetMode="External"/><Relationship Id="rId17130" Type="http://schemas.openxmlformats.org/officeDocument/2006/relationships/hyperlink" Target="https://ref.ly/1Kgs7:19" TargetMode="External"/><Relationship Id="rId17131" Type="http://schemas.openxmlformats.org/officeDocument/2006/relationships/hyperlink" Target="https://ref.ly/2Chr4:5" TargetMode="External"/><Relationship Id="rId17132" Type="http://schemas.openxmlformats.org/officeDocument/2006/relationships/hyperlink" Target="https://ref.ly/Job40:21-Job40:22" TargetMode="External"/><Relationship Id="rId17133" Type="http://schemas.openxmlformats.org/officeDocument/2006/relationships/hyperlink" Target="https://ref.ly/Job40:1-Job40:24" TargetMode="External"/><Relationship Id="rId17134" Type="http://schemas.openxmlformats.org/officeDocument/2006/relationships/hyperlink" Target="https://ref.ly/Gen30:14-Gen30:16" TargetMode="External"/><Relationship Id="rId17135" Type="http://schemas.openxmlformats.org/officeDocument/2006/relationships/hyperlink" Target="https://ref.ly/Luke17:6" TargetMode="External"/><Relationship Id="rId17136" Type="http://schemas.openxmlformats.org/officeDocument/2006/relationships/hyperlink" Target="https://ref.ly/Mark4:31" TargetMode="External"/><Relationship Id="rId17137" Type="http://schemas.openxmlformats.org/officeDocument/2006/relationships/hyperlink" Target="https://ref.ly/Luke13:19" TargetMode="External"/><Relationship Id="rId17138" Type="http://schemas.openxmlformats.org/officeDocument/2006/relationships/hyperlink" Target="https://ref.ly/Neh8:15" TargetMode="External"/><Relationship Id="rId17139" Type="http://schemas.openxmlformats.org/officeDocument/2006/relationships/hyperlink" Target="https://ref.ly/Isa35:1" TargetMode="External"/><Relationship Id="rId17140" Type="http://schemas.openxmlformats.org/officeDocument/2006/relationships/hyperlink" Target="https://ref.ly/Gen38:28-Gen38:30" TargetMode="External"/><Relationship Id="rId17141" Type="http://schemas.openxmlformats.org/officeDocument/2006/relationships/hyperlink" Target="https://ref.ly/Exod35:23" TargetMode="External"/><Relationship Id="rId17142" Type="http://schemas.openxmlformats.org/officeDocument/2006/relationships/hyperlink" Target="https://ref.ly/Exod39:24" TargetMode="External"/><Relationship Id="rId17143" Type="http://schemas.openxmlformats.org/officeDocument/2006/relationships/hyperlink" Target="https://ref.ly/Gen35:4" TargetMode="External"/><Relationship Id="rId17144" Type="http://schemas.openxmlformats.org/officeDocument/2006/relationships/hyperlink" Target="https://ref.ly/Gen18:1" TargetMode="External"/><Relationship Id="rId17145" Type="http://schemas.openxmlformats.org/officeDocument/2006/relationships/hyperlink" Target="https://ref.ly/Deut16:21" TargetMode="External"/><Relationship Id="rId17146" Type="http://schemas.openxmlformats.org/officeDocument/2006/relationships/hyperlink" Target="https://ref.ly/Judg3:7" TargetMode="External"/><Relationship Id="rId17147" Type="http://schemas.openxmlformats.org/officeDocument/2006/relationships/hyperlink" Target="https://ref.ly/1Kgs18:19" TargetMode="External"/><Relationship Id="rId17148" Type="http://schemas.openxmlformats.org/officeDocument/2006/relationships/hyperlink" Target="https://ref.ly/1Kgs6:23" TargetMode="External"/><Relationship Id="rId17149" Type="http://schemas.openxmlformats.org/officeDocument/2006/relationships/hyperlink" Target="https://ref.ly/Mic6:7" TargetMode="External"/><Relationship Id="rId17150" Type="http://schemas.openxmlformats.org/officeDocument/2006/relationships/hyperlink" Target="https://ref.ly/Sir24:14" TargetMode="External"/><Relationship Id="rId17151" Type="http://schemas.openxmlformats.org/officeDocument/2006/relationships/hyperlink" Target="https://ref.ly/Exod2:3-Exod2:5" TargetMode="External"/><Relationship Id="rId17152" Type="http://schemas.openxmlformats.org/officeDocument/2006/relationships/hyperlink" Target="https://ref.ly/Job8:11" TargetMode="External"/><Relationship Id="rId17153" Type="http://schemas.openxmlformats.org/officeDocument/2006/relationships/hyperlink" Target="https://ref.ly/Isa18:2" TargetMode="External"/><Relationship Id="rId17154" Type="http://schemas.openxmlformats.org/officeDocument/2006/relationships/hyperlink" Target="https://ref.ly/Isa19:6-Isa19:7" TargetMode="External"/><Relationship Id="rId17155" Type="http://schemas.openxmlformats.org/officeDocument/2006/relationships/hyperlink" Target="https://ref.ly/Lev23:40" TargetMode="External"/><Relationship Id="rId17156" Type="http://schemas.openxmlformats.org/officeDocument/2006/relationships/hyperlink" Target="https://ref.ly/1Kgs5:8" TargetMode="External"/><Relationship Id="rId17157" Type="http://schemas.openxmlformats.org/officeDocument/2006/relationships/hyperlink" Target="https://ref.ly/1Kgs6:34" TargetMode="External"/><Relationship Id="rId17158" Type="http://schemas.openxmlformats.org/officeDocument/2006/relationships/hyperlink" Target="https://ref.ly/2Kgs19:23" TargetMode="External"/><Relationship Id="rId17159" Type="http://schemas.openxmlformats.org/officeDocument/2006/relationships/hyperlink" Target="https://ref.ly/Song1:17" TargetMode="External"/><Relationship Id="rId17160" Type="http://schemas.openxmlformats.org/officeDocument/2006/relationships/hyperlink" Target="https://ref.ly/Isa37:24" TargetMode="External"/><Relationship Id="rId17161" Type="http://schemas.openxmlformats.org/officeDocument/2006/relationships/hyperlink" Target="https://ref.ly/Isa55:13" TargetMode="External"/><Relationship Id="rId17162" Type="http://schemas.openxmlformats.org/officeDocument/2006/relationships/hyperlink" Target="https://ref.ly/Hos14:8" TargetMode="External"/><Relationship Id="rId17163" Type="http://schemas.openxmlformats.org/officeDocument/2006/relationships/hyperlink" Target="https://ref.ly/Exod39:24-Exod39:26" TargetMode="External"/><Relationship Id="rId17164" Type="http://schemas.openxmlformats.org/officeDocument/2006/relationships/hyperlink" Target="https://ref.ly/1Kgs6:32" TargetMode="External"/><Relationship Id="rId17165" Type="http://schemas.openxmlformats.org/officeDocument/2006/relationships/hyperlink" Target="https://ref.ly/Num20:5" TargetMode="External"/><Relationship Id="rId17166" Type="http://schemas.openxmlformats.org/officeDocument/2006/relationships/hyperlink" Target="https://ref.ly/Deut8:8" TargetMode="External"/><Relationship Id="rId17167" Type="http://schemas.openxmlformats.org/officeDocument/2006/relationships/hyperlink" Target="https://ref.ly/Isa9:14" TargetMode="External"/><Relationship Id="rId17168" Type="http://schemas.openxmlformats.org/officeDocument/2006/relationships/hyperlink" Target="https://ref.ly/Isa19:6" TargetMode="External"/><Relationship Id="rId17169" Type="http://schemas.openxmlformats.org/officeDocument/2006/relationships/hyperlink" Target="https://ref.ly/Exod37:17-Exod37:18" TargetMode="External"/><Relationship Id="rId17170" Type="http://schemas.openxmlformats.org/officeDocument/2006/relationships/hyperlink" Target="https://ref.ly/2Chr1:15" TargetMode="External"/><Relationship Id="rId17171" Type="http://schemas.openxmlformats.org/officeDocument/2006/relationships/hyperlink" Target="https://ref.ly/2Chr9:27" TargetMode="External"/><Relationship Id="rId17172" Type="http://schemas.openxmlformats.org/officeDocument/2006/relationships/hyperlink" Target="https://ref.ly/Isa9:10" TargetMode="External"/><Relationship Id="rId17173" Type="http://schemas.openxmlformats.org/officeDocument/2006/relationships/hyperlink" Target="https://ref.ly/Luke19:4" TargetMode="External"/><Relationship Id="rId17174" Type="http://schemas.openxmlformats.org/officeDocument/2006/relationships/hyperlink" Target="https://ref.ly/1Sam22:6" TargetMode="External"/><Relationship Id="rId17175" Type="http://schemas.openxmlformats.org/officeDocument/2006/relationships/hyperlink" Target="https://ref.ly/Isa10:17" TargetMode="External"/><Relationship Id="rId17176" Type="http://schemas.openxmlformats.org/officeDocument/2006/relationships/hyperlink" Target="https://ref.ly/Mic7:4" TargetMode="External"/><Relationship Id="rId17177" Type="http://schemas.openxmlformats.org/officeDocument/2006/relationships/hyperlink" Target="https://ref.ly/Heb6:8" TargetMode="External"/><Relationship Id="rId17178" Type="http://schemas.openxmlformats.org/officeDocument/2006/relationships/hyperlink" Target="https://ref.ly/2Chr25:18" TargetMode="External"/><Relationship Id="rId17179" Type="http://schemas.openxmlformats.org/officeDocument/2006/relationships/hyperlink" Target="https://ref.ly/Matt7:16" TargetMode="External"/><Relationship Id="rId17180" Type="http://schemas.openxmlformats.org/officeDocument/2006/relationships/hyperlink" Target="https://ref.ly/Matt13:7" TargetMode="External"/><Relationship Id="rId17181" Type="http://schemas.openxmlformats.org/officeDocument/2006/relationships/hyperlink" Target="https://ref.ly/Job31:40" TargetMode="External"/><Relationship Id="rId17182" Type="http://schemas.openxmlformats.org/officeDocument/2006/relationships/hyperlink" Target="https://ref.ly/Judg8:7" TargetMode="External"/><Relationship Id="rId17183" Type="http://schemas.openxmlformats.org/officeDocument/2006/relationships/hyperlink" Target="https://ref.ly/Isa7:19" TargetMode="External"/><Relationship Id="rId17184" Type="http://schemas.openxmlformats.org/officeDocument/2006/relationships/hyperlink" Target="https://ref.ly/Isa9:18" TargetMode="External"/><Relationship Id="rId17185" Type="http://schemas.openxmlformats.org/officeDocument/2006/relationships/hyperlink" Target="https://ref.ly/Ezek17:5-Ezek17:10" TargetMode="External"/><Relationship Id="rId17186" Type="http://schemas.openxmlformats.org/officeDocument/2006/relationships/hyperlink" Target="https://ref.ly/John15:1-John15:6" TargetMode="External"/><Relationship Id="rId17187" Type="http://schemas.openxmlformats.org/officeDocument/2006/relationships/hyperlink" Target="https://ref.ly/Isa5:2-Isa5:4" TargetMode="External"/><Relationship Id="rId17188" Type="http://schemas.openxmlformats.org/officeDocument/2006/relationships/hyperlink" Target="https://ref.ly/Jer2:21" TargetMode="External"/><Relationship Id="rId17189" Type="http://schemas.openxmlformats.org/officeDocument/2006/relationships/hyperlink" Target="https://ref.ly/Ezek15:2-Ezek15:6" TargetMode="External"/><Relationship Id="rId17190" Type="http://schemas.openxmlformats.org/officeDocument/2006/relationships/hyperlink" Target="https://ref.ly/Song6:11" TargetMode="External"/><Relationship Id="rId17191" Type="http://schemas.openxmlformats.org/officeDocument/2006/relationships/hyperlink" Target="https://ref.ly/1Kgs7:19-1Kgs7:26" TargetMode="External"/><Relationship Id="rId17192" Type="http://schemas.openxmlformats.org/officeDocument/2006/relationships/hyperlink" Target="https://ref.ly/Gen41:5-Gen41:57" TargetMode="External"/><Relationship Id="rId17193" Type="http://schemas.openxmlformats.org/officeDocument/2006/relationships/hyperlink" Target="https://ref.ly/Gen42:1-Gen42:38" TargetMode="External"/><Relationship Id="rId17194" Type="http://schemas.openxmlformats.org/officeDocument/2006/relationships/hyperlink" Target="https://ref.ly/Lev24:5" TargetMode="External"/><Relationship Id="rId17195" Type="http://schemas.openxmlformats.org/officeDocument/2006/relationships/hyperlink" Target="https://ref.ly/2Sam4:6" TargetMode="External"/><Relationship Id="rId17196" Type="http://schemas.openxmlformats.org/officeDocument/2006/relationships/hyperlink" Target="https://ref.ly/2Sam17:19" TargetMode="External"/><Relationship Id="rId17197" Type="http://schemas.openxmlformats.org/officeDocument/2006/relationships/hyperlink" Target="https://ref.ly/Matt9:16" TargetMode="External"/><Relationship Id="rId17198" Type="http://schemas.openxmlformats.org/officeDocument/2006/relationships/hyperlink" Target="https://ref.ly/Mark2:21" TargetMode="External"/><Relationship Id="rId17199" Type="http://schemas.openxmlformats.org/officeDocument/2006/relationships/hyperlink" Target="https://ref.ly/Mark6:43" TargetMode="External"/><Relationship Id="rId17200" Type="http://schemas.openxmlformats.org/officeDocument/2006/relationships/hyperlink" Target="https://ref.ly/Mark8:20" TargetMode="External"/><Relationship Id="rId17201" Type="http://schemas.openxmlformats.org/officeDocument/2006/relationships/hyperlink" Target="https://ref.ly/Ps24:1" TargetMode="External"/><Relationship Id="rId17202" Type="http://schemas.openxmlformats.org/officeDocument/2006/relationships/hyperlink" Target="https://ref.ly/Ps50:12" TargetMode="External"/><Relationship Id="rId17203" Type="http://schemas.openxmlformats.org/officeDocument/2006/relationships/hyperlink" Target="https://ref.ly/Ps89:11" TargetMode="External"/><Relationship Id="rId17204" Type="http://schemas.openxmlformats.org/officeDocument/2006/relationships/hyperlink" Target="https://ref.ly/1Cor10:26" TargetMode="External"/><Relationship Id="rId17205" Type="http://schemas.openxmlformats.org/officeDocument/2006/relationships/hyperlink" Target="https://ref.ly/1Chr16:32" TargetMode="External"/><Relationship Id="rId17206" Type="http://schemas.openxmlformats.org/officeDocument/2006/relationships/hyperlink" Target="https://ref.ly/Ps96:11-Ps96:12" TargetMode="External"/><Relationship Id="rId17207" Type="http://schemas.openxmlformats.org/officeDocument/2006/relationships/hyperlink" Target="https://ref.ly/Ps8:5-Ps8:6" TargetMode="External"/><Relationship Id="rId17208" Type="http://schemas.openxmlformats.org/officeDocument/2006/relationships/hyperlink" Target="https://ref.ly/Jer23:24" TargetMode="External"/><Relationship Id="rId17209" Type="http://schemas.openxmlformats.org/officeDocument/2006/relationships/hyperlink" Target="https://ref.ly/Jer47:2" TargetMode="External"/><Relationship Id="rId17210" Type="http://schemas.openxmlformats.org/officeDocument/2006/relationships/hyperlink" Target="https://ref.ly/Ezek12:19" TargetMode="External"/><Relationship Id="rId17211" Type="http://schemas.openxmlformats.org/officeDocument/2006/relationships/hyperlink" Target="https://ref.ly/Ezek19:7" TargetMode="External"/><Relationship Id="rId17212" Type="http://schemas.openxmlformats.org/officeDocument/2006/relationships/hyperlink" Target="https://ref.ly/Ezek30:12" TargetMode="External"/><Relationship Id="rId17213" Type="http://schemas.openxmlformats.org/officeDocument/2006/relationships/hyperlink" Target="https://ref.ly/Rom13:10" TargetMode="External"/><Relationship Id="rId17214" Type="http://schemas.openxmlformats.org/officeDocument/2006/relationships/hyperlink" Target="https://ref.ly/Rom11:12" TargetMode="External"/><Relationship Id="rId17215" Type="http://schemas.openxmlformats.org/officeDocument/2006/relationships/hyperlink" Target="https://ref.ly/Rom15:29" TargetMode="External"/><Relationship Id="rId17216" Type="http://schemas.openxmlformats.org/officeDocument/2006/relationships/hyperlink" Target="https://ref.ly/Eph4:13" TargetMode="External"/><Relationship Id="rId17217" Type="http://schemas.openxmlformats.org/officeDocument/2006/relationships/hyperlink" Target="https://ref.ly/Eph3:19" TargetMode="External"/><Relationship Id="rId17218" Type="http://schemas.openxmlformats.org/officeDocument/2006/relationships/hyperlink" Target="https://ref.ly/John1:16" TargetMode="External"/><Relationship Id="rId17219" Type="http://schemas.openxmlformats.org/officeDocument/2006/relationships/hyperlink" Target="https://ref.ly/Eph1:23" TargetMode="External"/><Relationship Id="rId17220" Type="http://schemas.openxmlformats.org/officeDocument/2006/relationships/hyperlink" Target="https://ref.ly/Rom16:25-Rom16:26" TargetMode="External"/><Relationship Id="rId17221" Type="http://schemas.openxmlformats.org/officeDocument/2006/relationships/hyperlink" Target="https://ref.ly/Eph3:4-Eph3:5" TargetMode="External"/><Relationship Id="rId17222" Type="http://schemas.openxmlformats.org/officeDocument/2006/relationships/hyperlink" Target="https://ref.ly/Ps112:3" TargetMode="External"/><Relationship Id="rId17223" Type="http://schemas.openxmlformats.org/officeDocument/2006/relationships/hyperlink" Target="https://ref.ly/Deut15:1-Deut15:15" TargetMode="External"/><Relationship Id="rId17224" Type="http://schemas.openxmlformats.org/officeDocument/2006/relationships/hyperlink" Target="https://ref.ly/Deut24:10-Deut24:22" TargetMode="External"/><Relationship Id="rId17225" Type="http://schemas.openxmlformats.org/officeDocument/2006/relationships/hyperlink" Target="https://ref.ly/Acts11:29" TargetMode="External"/><Relationship Id="rId17226" Type="http://schemas.openxmlformats.org/officeDocument/2006/relationships/hyperlink" Target="https://ref.ly/Matt6:2-Matt6:4" TargetMode="External"/><Relationship Id="rId17227" Type="http://schemas.openxmlformats.org/officeDocument/2006/relationships/hyperlink" Target="https://ref.ly/Acts2:45" TargetMode="External"/><Relationship Id="rId17228" Type="http://schemas.openxmlformats.org/officeDocument/2006/relationships/hyperlink" Target="https://ref.ly/Acts4:35" TargetMode="External"/><Relationship Id="rId17229" Type="http://schemas.openxmlformats.org/officeDocument/2006/relationships/hyperlink" Target="https://ref.ly/Ps73:3" TargetMode="External"/><Relationship Id="rId17230" Type="http://schemas.openxmlformats.org/officeDocument/2006/relationships/hyperlink" Target="https://ref.ly/Job21:1-Job21:34" TargetMode="External"/><Relationship Id="rId17231" Type="http://schemas.openxmlformats.org/officeDocument/2006/relationships/hyperlink" Target="https://ref.ly/Ps49:1-Ps49:20" TargetMode="External"/><Relationship Id="rId17232" Type="http://schemas.openxmlformats.org/officeDocument/2006/relationships/hyperlink" Target="https://ref.ly/Prov30:8-Prov30:9" TargetMode="External"/><Relationship Id="rId17233" Type="http://schemas.openxmlformats.org/officeDocument/2006/relationships/hyperlink" Target="https://ref.ly/Ps9:18" TargetMode="External"/><Relationship Id="rId17234" Type="http://schemas.openxmlformats.org/officeDocument/2006/relationships/hyperlink" Target="https://ref.ly/Ps10:14" TargetMode="External"/><Relationship Id="rId17235" Type="http://schemas.openxmlformats.org/officeDocument/2006/relationships/hyperlink" Target="https://ref.ly/Ps12:5" TargetMode="External"/><Relationship Id="rId17236" Type="http://schemas.openxmlformats.org/officeDocument/2006/relationships/hyperlink" Target="https://ref.ly/Ps34:6" TargetMode="External"/><Relationship Id="rId17237" Type="http://schemas.openxmlformats.org/officeDocument/2006/relationships/hyperlink" Target="https://ref.ly/Ps35:10" TargetMode="External"/><Relationship Id="rId17238" Type="http://schemas.openxmlformats.org/officeDocument/2006/relationships/hyperlink" Target="https://ref.ly/Ps10:17" TargetMode="External"/><Relationship Id="rId17239" Type="http://schemas.openxmlformats.org/officeDocument/2006/relationships/hyperlink" Target="https://ref.ly/Ps14:5-Ps14:6" TargetMode="External"/><Relationship Id="rId17240" Type="http://schemas.openxmlformats.org/officeDocument/2006/relationships/hyperlink" Target="https://ref.ly/Zeph3:12-Zeph3:13" TargetMode="External"/><Relationship Id="rId17241" Type="http://schemas.openxmlformats.org/officeDocument/2006/relationships/hyperlink" Target="https://ref.ly/Mark10:23" TargetMode="External"/><Relationship Id="rId17242" Type="http://schemas.openxmlformats.org/officeDocument/2006/relationships/hyperlink" Target="https://ref.ly/Luke12:13-Luke12:21" TargetMode="External"/><Relationship Id="rId17243" Type="http://schemas.openxmlformats.org/officeDocument/2006/relationships/hyperlink" Target="https://ref.ly/Luke6:20" TargetMode="External"/><Relationship Id="rId17244" Type="http://schemas.openxmlformats.org/officeDocument/2006/relationships/hyperlink" Target="https://ref.ly/Prov25:26" TargetMode="External"/><Relationship Id="rId17245" Type="http://schemas.openxmlformats.org/officeDocument/2006/relationships/hyperlink" Target="https://ref.ly/Gen21:25-Gen21:30" TargetMode="External"/><Relationship Id="rId17246" Type="http://schemas.openxmlformats.org/officeDocument/2006/relationships/hyperlink" Target="https://ref.ly/Gen26:19-Gen26:22" TargetMode="External"/><Relationship Id="rId17247" Type="http://schemas.openxmlformats.org/officeDocument/2006/relationships/hyperlink" Target="https://ref.ly/2Kgs3:19" TargetMode="External"/><Relationship Id="rId17248" Type="http://schemas.openxmlformats.org/officeDocument/2006/relationships/hyperlink" Target="https://ref.ly/Gen29:2-Gen29:3" TargetMode="External"/><Relationship Id="rId17249" Type="http://schemas.openxmlformats.org/officeDocument/2006/relationships/hyperlink" Target="https://ref.ly/Gen21:19" TargetMode="External"/><Relationship Id="rId17250" Type="http://schemas.openxmlformats.org/officeDocument/2006/relationships/hyperlink" Target="https://ref.ly/Isa12:3" TargetMode="External"/><Relationship Id="rId17251" Type="http://schemas.openxmlformats.org/officeDocument/2006/relationships/hyperlink" Target="https://ref.ly/John4:10-John4:15" TargetMode="External"/><Relationship Id="rId17252" Type="http://schemas.openxmlformats.org/officeDocument/2006/relationships/hyperlink" Target="https://ref.ly/John4:5-John4:29" TargetMode="External"/><Relationship Id="rId17253" Type="http://schemas.openxmlformats.org/officeDocument/2006/relationships/hyperlink" Target="https://ref.ly/John4:5-John4:6" TargetMode="External"/><Relationship Id="rId17254" Type="http://schemas.openxmlformats.org/officeDocument/2006/relationships/hyperlink" Target="https://ref.ly/Deut27:12-Deut27:13" TargetMode="External"/><Relationship Id="rId17255" Type="http://schemas.openxmlformats.org/officeDocument/2006/relationships/hyperlink" Target="https://ref.ly/Ps44:2-Ps44:3" TargetMode="External"/><Relationship Id="rId17256" Type="http://schemas.openxmlformats.org/officeDocument/2006/relationships/hyperlink" Target="https://ref.ly/Ps65:6" TargetMode="External"/><Relationship Id="rId17257" Type="http://schemas.openxmlformats.org/officeDocument/2006/relationships/hyperlink" Target="https://ref.ly/Jer10:12" TargetMode="External"/><Relationship Id="rId17258" Type="http://schemas.openxmlformats.org/officeDocument/2006/relationships/hyperlink" Target="https://ref.ly/Jer27:5" TargetMode="External"/><Relationship Id="rId17259" Type="http://schemas.openxmlformats.org/officeDocument/2006/relationships/hyperlink" Target="https://ref.ly/Exod15:6" TargetMode="External"/><Relationship Id="rId17260" Type="http://schemas.openxmlformats.org/officeDocument/2006/relationships/hyperlink" Target="https://ref.ly/Deut26:8" TargetMode="External"/><Relationship Id="rId17261" Type="http://schemas.openxmlformats.org/officeDocument/2006/relationships/hyperlink" Target="https://ref.ly/Ps111:6" TargetMode="External"/><Relationship Id="rId17262" Type="http://schemas.openxmlformats.org/officeDocument/2006/relationships/hyperlink" Target="https://ref.ly/Eph1:19" TargetMode="External"/><Relationship Id="rId17263" Type="http://schemas.openxmlformats.org/officeDocument/2006/relationships/hyperlink" Target="https://ref.ly/Job39:11,Job39:19" TargetMode="External"/><Relationship Id="rId17264" Type="http://schemas.openxmlformats.org/officeDocument/2006/relationships/hyperlink" Target="https://ref.ly/Prov30:30" TargetMode="External"/><Relationship Id="rId17265" Type="http://schemas.openxmlformats.org/officeDocument/2006/relationships/hyperlink" Target="https://ref.ly/Judg16:5-Judg16:6" TargetMode="External"/><Relationship Id="rId17266" Type="http://schemas.openxmlformats.org/officeDocument/2006/relationships/hyperlink" Target="https://ref.ly/Judg6:12" TargetMode="External"/><Relationship Id="rId17267" Type="http://schemas.openxmlformats.org/officeDocument/2006/relationships/hyperlink" Target="https://ref.ly/Gen31:29" TargetMode="External"/><Relationship Id="rId17268" Type="http://schemas.openxmlformats.org/officeDocument/2006/relationships/hyperlink" Target="https://ref.ly/Prov3:27" TargetMode="External"/><Relationship Id="rId17269" Type="http://schemas.openxmlformats.org/officeDocument/2006/relationships/hyperlink" Target="https://ref.ly/Mic2:1" TargetMode="External"/><Relationship Id="rId17270" Type="http://schemas.openxmlformats.org/officeDocument/2006/relationships/hyperlink" Target="https://ref.ly/Job2:1-Job2:6" TargetMode="External"/><Relationship Id="rId17271" Type="http://schemas.openxmlformats.org/officeDocument/2006/relationships/hyperlink" Target="https://ref.ly/Rom3:9" TargetMode="External"/><Relationship Id="rId17272" Type="http://schemas.openxmlformats.org/officeDocument/2006/relationships/hyperlink" Target="https://ref.ly/Dan6:27" TargetMode="External"/><Relationship Id="rId17273" Type="http://schemas.openxmlformats.org/officeDocument/2006/relationships/hyperlink" Target="https://ref.ly/John19:11" TargetMode="External"/><Relationship Id="rId17274" Type="http://schemas.openxmlformats.org/officeDocument/2006/relationships/hyperlink" Target="https://ref.ly/2Cor10:4" TargetMode="External"/><Relationship Id="rId17275" Type="http://schemas.openxmlformats.org/officeDocument/2006/relationships/hyperlink" Target="https://ref.ly/Eph6:10-Eph6:18" TargetMode="External"/><Relationship Id="rId17276" Type="http://schemas.openxmlformats.org/officeDocument/2006/relationships/hyperlink" Target="https://ref.ly/Luke4:36" TargetMode="External"/><Relationship Id="rId17277" Type="http://schemas.openxmlformats.org/officeDocument/2006/relationships/hyperlink" Target="https://ref.ly/Luke6:19" TargetMode="External"/><Relationship Id="rId17278" Type="http://schemas.openxmlformats.org/officeDocument/2006/relationships/hyperlink" Target="https://ref.ly/John10:18" TargetMode="External"/><Relationship Id="rId17279" Type="http://schemas.openxmlformats.org/officeDocument/2006/relationships/hyperlink" Target="https://ref.ly/Luke4:14" TargetMode="External"/><Relationship Id="rId17280" Type="http://schemas.openxmlformats.org/officeDocument/2006/relationships/hyperlink" Target="https://ref.ly/Isa40:29" TargetMode="External"/><Relationship Id="rId17281" Type="http://schemas.openxmlformats.org/officeDocument/2006/relationships/hyperlink" Target="https://ref.ly/Ps84:7" TargetMode="External"/><Relationship Id="rId17282" Type="http://schemas.openxmlformats.org/officeDocument/2006/relationships/hyperlink" Target="https://ref.ly/Ps68:35" TargetMode="External"/><Relationship Id="rId17283" Type="http://schemas.openxmlformats.org/officeDocument/2006/relationships/hyperlink" Target="https://ref.ly/Ps138:3" TargetMode="External"/><Relationship Id="rId17284" Type="http://schemas.openxmlformats.org/officeDocument/2006/relationships/hyperlink" Target="https://ref.ly/Mic3:8" TargetMode="External"/><Relationship Id="rId17285" Type="http://schemas.openxmlformats.org/officeDocument/2006/relationships/hyperlink" Target="https://ref.ly/Ps21:1" TargetMode="External"/><Relationship Id="rId17286" Type="http://schemas.openxmlformats.org/officeDocument/2006/relationships/hyperlink" Target="https://ref.ly/Mic5:4" TargetMode="External"/><Relationship Id="rId17287" Type="http://schemas.openxmlformats.org/officeDocument/2006/relationships/hyperlink" Target="https://ref.ly/Isa49:5" TargetMode="External"/><Relationship Id="rId17288" Type="http://schemas.openxmlformats.org/officeDocument/2006/relationships/hyperlink" Target="https://ref.ly/Eph3:16" TargetMode="External"/><Relationship Id="rId17289" Type="http://schemas.openxmlformats.org/officeDocument/2006/relationships/hyperlink" Target="https://ref.ly/Luke24:49" TargetMode="External"/><Relationship Id="rId17290" Type="http://schemas.openxmlformats.org/officeDocument/2006/relationships/hyperlink" Target="https://ref.ly/2Tim1:8" TargetMode="External"/><Relationship Id="rId17291" Type="http://schemas.openxmlformats.org/officeDocument/2006/relationships/hyperlink" Target="https://ref.ly/Eph3:7" TargetMode="External"/><Relationship Id="rId17292" Type="http://schemas.openxmlformats.org/officeDocument/2006/relationships/hyperlink" Target="https://ref.ly/2Cor12:9" TargetMode="External"/><Relationship Id="rId17293" Type="http://schemas.openxmlformats.org/officeDocument/2006/relationships/hyperlink" Target="https://ref.ly/Jas5:16" TargetMode="External"/><Relationship Id="rId17294" Type="http://schemas.openxmlformats.org/officeDocument/2006/relationships/hyperlink" Target="https://ref.ly/Acts3:12" TargetMode="External"/><Relationship Id="rId17295" Type="http://schemas.openxmlformats.org/officeDocument/2006/relationships/hyperlink" Target="https://ref.ly/Ps1:1" TargetMode="External"/><Relationship Id="rId17296" Type="http://schemas.openxmlformats.org/officeDocument/2006/relationships/hyperlink" Target="https://ref.ly/Ps5:11" TargetMode="External"/><Relationship Id="rId17297" Type="http://schemas.openxmlformats.org/officeDocument/2006/relationships/hyperlink" Target="https://ref.ly/Ps45:1-Ps45:2" TargetMode="External"/><Relationship Id="rId17298" Type="http://schemas.openxmlformats.org/officeDocument/2006/relationships/hyperlink" Target="https://ref.ly/Ps55:21" TargetMode="External"/><Relationship Id="rId17299" Type="http://schemas.openxmlformats.org/officeDocument/2006/relationships/hyperlink" Target="https://ref.ly/Prov27:15-Prov27:16" TargetMode="External"/><Relationship Id="rId17300" Type="http://schemas.openxmlformats.org/officeDocument/2006/relationships/hyperlink" Target="https://ref.ly/Ps6:6-Ps6:7" TargetMode="External"/><Relationship Id="rId17301" Type="http://schemas.openxmlformats.org/officeDocument/2006/relationships/hyperlink" Target="https://ref.ly/Prov24:23-Prov24:25" TargetMode="External"/><Relationship Id="rId17302" Type="http://schemas.openxmlformats.org/officeDocument/2006/relationships/hyperlink" Target="https://ref.ly/Ps99:1-Ps99:3" TargetMode="External"/><Relationship Id="rId17303" Type="http://schemas.openxmlformats.org/officeDocument/2006/relationships/hyperlink" Target="https://ref.ly/Prov30:21-Prov30:23" TargetMode="External"/><Relationship Id="rId17304" Type="http://schemas.openxmlformats.org/officeDocument/2006/relationships/hyperlink" Target="https://ref.ly/Jer9:18-Jer9:20" TargetMode="External"/><Relationship Id="rId17305" Type="http://schemas.openxmlformats.org/officeDocument/2006/relationships/hyperlink" Target="https://ref.ly/Ps2:4" TargetMode="External"/><Relationship Id="rId17306" Type="http://schemas.openxmlformats.org/officeDocument/2006/relationships/hyperlink" Target="https://ref.ly/Ps36:1-Ps36:2" TargetMode="External"/><Relationship Id="rId17307" Type="http://schemas.openxmlformats.org/officeDocument/2006/relationships/hyperlink" Target="https://ref.ly/Ps103:11-Ps103:12" TargetMode="External"/><Relationship Id="rId17308" Type="http://schemas.openxmlformats.org/officeDocument/2006/relationships/hyperlink" Target="https://ref.ly/Ps1:6" TargetMode="External"/><Relationship Id="rId17309" Type="http://schemas.openxmlformats.org/officeDocument/2006/relationships/hyperlink" Target="https://ref.ly/Prov10:1-Prov10:4,Prov10:16-Prov10:18" TargetMode="External"/><Relationship Id="rId17310" Type="http://schemas.openxmlformats.org/officeDocument/2006/relationships/hyperlink" Target="https://ref.ly/Ps3:5-Ps3:6" TargetMode="External"/><Relationship Id="rId17311" Type="http://schemas.openxmlformats.org/officeDocument/2006/relationships/hyperlink" Target="https://ref.ly/Ps18:8-Ps18:10" TargetMode="External"/><Relationship Id="rId17312" Type="http://schemas.openxmlformats.org/officeDocument/2006/relationships/hyperlink" Target="https://ref.ly/Lam3:1-Lam3:66" TargetMode="External"/><Relationship Id="rId17313" Type="http://schemas.openxmlformats.org/officeDocument/2006/relationships/hyperlink" Target="https://ref.ly/1Chr25:6" TargetMode="External"/><Relationship Id="rId17314" Type="http://schemas.openxmlformats.org/officeDocument/2006/relationships/hyperlink" Target="https://ref.ly/Isa23:16" TargetMode="External"/><Relationship Id="rId17315" Type="http://schemas.openxmlformats.org/officeDocument/2006/relationships/hyperlink" Target="https://ref.ly/Amos6:5" TargetMode="External"/><Relationship Id="rId17316" Type="http://schemas.openxmlformats.org/officeDocument/2006/relationships/hyperlink" Target="https://ref.ly/Gen49:1-Gen49:27" TargetMode="External"/><Relationship Id="rId17317" Type="http://schemas.openxmlformats.org/officeDocument/2006/relationships/hyperlink" Target="https://ref.ly/Deut33:2-Deut33:29" TargetMode="External"/><Relationship Id="rId17318" Type="http://schemas.openxmlformats.org/officeDocument/2006/relationships/hyperlink" Target="https://ref.ly/Num23:7-Num23:10" TargetMode="External"/><Relationship Id="rId17319" Type="http://schemas.openxmlformats.org/officeDocument/2006/relationships/hyperlink" Target="https://ref.ly/Num23:18-Num23:24" TargetMode="External"/><Relationship Id="rId17320" Type="http://schemas.openxmlformats.org/officeDocument/2006/relationships/hyperlink" Target="https://ref.ly/Num24:3-Num24:9" TargetMode="External"/><Relationship Id="rId17321" Type="http://schemas.openxmlformats.org/officeDocument/2006/relationships/hyperlink" Target="https://ref.ly/Num24:15-Num24:24" TargetMode="External"/><Relationship Id="rId17322" Type="http://schemas.openxmlformats.org/officeDocument/2006/relationships/hyperlink" Target="https://ref.ly/2Sam1:19-2Sam1:27" TargetMode="External"/><Relationship Id="rId17323" Type="http://schemas.openxmlformats.org/officeDocument/2006/relationships/hyperlink" Target="https://ref.ly/Prov6:6-Prov6:11" TargetMode="External"/><Relationship Id="rId17324" Type="http://schemas.openxmlformats.org/officeDocument/2006/relationships/hyperlink" Target="https://ref.ly/Prov23:29-Prov23:35" TargetMode="External"/><Relationship Id="rId17325" Type="http://schemas.openxmlformats.org/officeDocument/2006/relationships/hyperlink" Target="https://ref.ly/Rev5:9-Rev5:10,Rev5:12-Rev5:13" TargetMode="External"/><Relationship Id="rId17326" Type="http://schemas.openxmlformats.org/officeDocument/2006/relationships/hyperlink" Target="https://ref.ly/Rev11:17-Rev11:18" TargetMode="External"/><Relationship Id="rId17327" Type="http://schemas.openxmlformats.org/officeDocument/2006/relationships/hyperlink" Target="https://ref.ly/Acts22:25-Acts22:28" TargetMode="External"/><Relationship Id="rId17328" Type="http://schemas.openxmlformats.org/officeDocument/2006/relationships/hyperlink" Target="https://ref.ly/Acts3:2,Acts3:10" TargetMode="External"/><Relationship Id="rId17329" Type="http://schemas.openxmlformats.org/officeDocument/2006/relationships/hyperlink" Target="https://ref.ly/1Kgs7:1-1Kgs7:51" TargetMode="External"/><Relationship Id="rId17330" Type="http://schemas.openxmlformats.org/officeDocument/2006/relationships/hyperlink" Target="https://ref.ly/Ezek40:1-Ezek40:49" TargetMode="External"/><Relationship Id="rId17331" Type="http://schemas.openxmlformats.org/officeDocument/2006/relationships/hyperlink" Target="https://ref.ly/Luke22:3" TargetMode="External"/><Relationship Id="rId17332" Type="http://schemas.openxmlformats.org/officeDocument/2006/relationships/hyperlink" Target="https://ref.ly/Mark5:13" TargetMode="External"/><Relationship Id="rId17333" Type="http://schemas.openxmlformats.org/officeDocument/2006/relationships/hyperlink" Target="https://ref.ly/Acts19:19" TargetMode="External"/><Relationship Id="rId17334" Type="http://schemas.openxmlformats.org/officeDocument/2006/relationships/hyperlink" Target="https://ref.ly/Deut23:2" TargetMode="External"/><Relationship Id="rId17335" Type="http://schemas.openxmlformats.org/officeDocument/2006/relationships/hyperlink" Target="https://ref.ly/Eph4:27" TargetMode="External"/><Relationship Id="rId17336" Type="http://schemas.openxmlformats.org/officeDocument/2006/relationships/hyperlink" Target="https://ref.ly/Mark5:4-Mark5:5" TargetMode="External"/><Relationship Id="rId17337" Type="http://schemas.openxmlformats.org/officeDocument/2006/relationships/hyperlink" Target="https://ref.ly/Mark9:1-Mark9:50" TargetMode="External"/><Relationship Id="rId17338" Type="http://schemas.openxmlformats.org/officeDocument/2006/relationships/hyperlink" Target="https://ref.ly/Mark9:18-Mark9:20" TargetMode="External"/><Relationship Id="rId17339" Type="http://schemas.openxmlformats.org/officeDocument/2006/relationships/hyperlink" Target="https://ref.ly/Mark9:18-Mark9:22" TargetMode="External"/><Relationship Id="rId17340" Type="http://schemas.openxmlformats.org/officeDocument/2006/relationships/hyperlink" Target="https://ref.ly/Mark1:26" TargetMode="External"/><Relationship Id="rId17341" Type="http://schemas.openxmlformats.org/officeDocument/2006/relationships/hyperlink" Target="https://ref.ly/Mark9:27" TargetMode="External"/><Relationship Id="rId17342" Type="http://schemas.openxmlformats.org/officeDocument/2006/relationships/hyperlink" Target="https://ref.ly/Mark1:25" TargetMode="External"/><Relationship Id="rId17343" Type="http://schemas.openxmlformats.org/officeDocument/2006/relationships/hyperlink" Target="https://ref.ly/Mark16:17" TargetMode="External"/><Relationship Id="rId17344" Type="http://schemas.openxmlformats.org/officeDocument/2006/relationships/hyperlink" Target="https://ref.ly/Acts19:11-Acts19:18" TargetMode="External"/><Relationship Id="rId17345" Type="http://schemas.openxmlformats.org/officeDocument/2006/relationships/hyperlink" Target="https://ref.ly/Matt12:29" TargetMode="External"/><Relationship Id="rId17346" Type="http://schemas.openxmlformats.org/officeDocument/2006/relationships/hyperlink" Target="https://ref.ly/Mark3:27" TargetMode="External"/><Relationship Id="rId17347" Type="http://schemas.openxmlformats.org/officeDocument/2006/relationships/hyperlink" Target="https://ref.ly/Mark9:28" TargetMode="External"/><Relationship Id="rId17348" Type="http://schemas.openxmlformats.org/officeDocument/2006/relationships/hyperlink" Target="https://ref.ly/Eph6:10-Eph6:17" TargetMode="External"/><Relationship Id="rId17349" Type="http://schemas.openxmlformats.org/officeDocument/2006/relationships/hyperlink" Target="https://ref.ly/Eph6:17" TargetMode="External"/><Relationship Id="rId17350" Type="http://schemas.openxmlformats.org/officeDocument/2006/relationships/hyperlink" Target="https://ref.ly/1John3:8" TargetMode="External"/><Relationship Id="rId17351" Type="http://schemas.openxmlformats.org/officeDocument/2006/relationships/hyperlink" Target="https://ref.ly/Heb2:14-Heb2:16" TargetMode="External"/><Relationship Id="rId17352" Type="http://schemas.openxmlformats.org/officeDocument/2006/relationships/hyperlink" Target="https://ref.ly/2Kgs25:8,2Kgs25:11,2Kgs25:20" TargetMode="External"/><Relationship Id="rId17353" Type="http://schemas.openxmlformats.org/officeDocument/2006/relationships/hyperlink" Target="https://ref.ly/Jer39:9-Jer39:11" TargetMode="External"/><Relationship Id="rId17354" Type="http://schemas.openxmlformats.org/officeDocument/2006/relationships/hyperlink" Target="https://ref.ly/Gen39:21" TargetMode="External"/><Relationship Id="rId17355" Type="http://schemas.openxmlformats.org/officeDocument/2006/relationships/hyperlink" Target="https://ref.ly/Gen39:2-Gen39:6" TargetMode="External"/><Relationship Id="rId17356" Type="http://schemas.openxmlformats.org/officeDocument/2006/relationships/hyperlink" Target="https://ref.ly/Deut14:2" TargetMode="External"/><Relationship Id="rId17357" Type="http://schemas.openxmlformats.org/officeDocument/2006/relationships/hyperlink" Target="https://ref.ly/Deut26:18" TargetMode="External"/><Relationship Id="rId17358" Type="http://schemas.openxmlformats.org/officeDocument/2006/relationships/hyperlink" Target="https://ref.ly/Lev26:9-Lev26:12" TargetMode="External"/><Relationship Id="rId17359" Type="http://schemas.openxmlformats.org/officeDocument/2006/relationships/hyperlink" Target="https://ref.ly/Jer32:37" TargetMode="External"/><Relationship Id="rId17360" Type="http://schemas.openxmlformats.org/officeDocument/2006/relationships/hyperlink" Target="https://ref.ly/Hos2:1,Hos2:23" TargetMode="External"/><Relationship Id="rId17361" Type="http://schemas.openxmlformats.org/officeDocument/2006/relationships/hyperlink" Target="https://ref.ly/Isa43:20-Isa43:21" TargetMode="External"/><Relationship Id="rId17362" Type="http://schemas.openxmlformats.org/officeDocument/2006/relationships/hyperlink" Target="https://ref.ly/Gen23:7" TargetMode="External"/><Relationship Id="rId17363" Type="http://schemas.openxmlformats.org/officeDocument/2006/relationships/hyperlink" Target="https://ref.ly/Exod5:5" TargetMode="External"/><Relationship Id="rId17364" Type="http://schemas.openxmlformats.org/officeDocument/2006/relationships/hyperlink" Target="https://ref.ly/Num13:28" TargetMode="External"/><Relationship Id="rId17365" Type="http://schemas.openxmlformats.org/officeDocument/2006/relationships/hyperlink" Target="https://ref.ly/Neh9:24" TargetMode="External"/><Relationship Id="rId17366" Type="http://schemas.openxmlformats.org/officeDocument/2006/relationships/hyperlink" Target="https://ref.ly/Num21:34" TargetMode="External"/><Relationship Id="rId17367" Type="http://schemas.openxmlformats.org/officeDocument/2006/relationships/hyperlink" Target="https://ref.ly/2Kgs11:14-2Kgs11:20" TargetMode="External"/><Relationship Id="rId17368" Type="http://schemas.openxmlformats.org/officeDocument/2006/relationships/hyperlink" Target="https://ref.ly/2Chr33:25" TargetMode="External"/><Relationship Id="rId17369" Type="http://schemas.openxmlformats.org/officeDocument/2006/relationships/hyperlink" Target="https://ref.ly/Jer52:25" TargetMode="External"/><Relationship Id="rId17370" Type="http://schemas.openxmlformats.org/officeDocument/2006/relationships/hyperlink" Target="https://ref.ly/Ezra4:4" TargetMode="External"/><Relationship Id="rId17371" Type="http://schemas.openxmlformats.org/officeDocument/2006/relationships/hyperlink" Target="https://ref.ly/Ezra10:2,Ezra10:11" TargetMode="External"/><Relationship Id="rId17372" Type="http://schemas.openxmlformats.org/officeDocument/2006/relationships/hyperlink" Target="https://ref.ly/Neh10:28-Neh10:31" TargetMode="External"/><Relationship Id="rId17373" Type="http://schemas.openxmlformats.org/officeDocument/2006/relationships/hyperlink" Target="https://ref.ly/Gen29:1" TargetMode="External"/><Relationship Id="rId17374" Type="http://schemas.openxmlformats.org/officeDocument/2006/relationships/hyperlink" Target="https://ref.ly/Ezek25:10" TargetMode="External"/><Relationship Id="rId17375" Type="http://schemas.openxmlformats.org/officeDocument/2006/relationships/hyperlink" Target="https://ref.ly/Judg6:3" TargetMode="External"/><Relationship Id="rId17376" Type="http://schemas.openxmlformats.org/officeDocument/2006/relationships/hyperlink" Target="https://ref.ly/Ezek25:4" TargetMode="External"/><Relationship Id="rId17377" Type="http://schemas.openxmlformats.org/officeDocument/2006/relationships/hyperlink" Target="https://ref.ly/Jer49:28" TargetMode="External"/><Relationship Id="rId17378" Type="http://schemas.openxmlformats.org/officeDocument/2006/relationships/hyperlink" Target="https://ref.ly/Judg6:33" TargetMode="External"/><Relationship Id="rId17379" Type="http://schemas.openxmlformats.org/officeDocument/2006/relationships/hyperlink" Target="https://ref.ly/Luke7:21" TargetMode="External"/><Relationship Id="rId17380" Type="http://schemas.openxmlformats.org/officeDocument/2006/relationships/hyperlink" Target="https://ref.ly/Lev26:21" TargetMode="External"/><Relationship Id="rId17381" Type="http://schemas.openxmlformats.org/officeDocument/2006/relationships/hyperlink" Target="https://ref.ly/Josh24:5" TargetMode="External"/><Relationship Id="rId17382" Type="http://schemas.openxmlformats.org/officeDocument/2006/relationships/hyperlink" Target="https://ref.ly/1Sam4:10-1Sam4:11" TargetMode="External"/><Relationship Id="rId17383" Type="http://schemas.openxmlformats.org/officeDocument/2006/relationships/hyperlink" Target="https://ref.ly/1Sam5:6" TargetMode="External"/><Relationship Id="rId17384" Type="http://schemas.openxmlformats.org/officeDocument/2006/relationships/hyperlink" Target="https://ref.ly/1Sam5:9" TargetMode="External"/><Relationship Id="rId17385" Type="http://schemas.openxmlformats.org/officeDocument/2006/relationships/hyperlink" Target="https://ref.ly/1Sam5:12" TargetMode="External"/><Relationship Id="rId17386" Type="http://schemas.openxmlformats.org/officeDocument/2006/relationships/hyperlink" Target="https://ref.ly/1Sam6:1-1Sam6:4" TargetMode="External"/><Relationship Id="rId17387" Type="http://schemas.openxmlformats.org/officeDocument/2006/relationships/hyperlink" Target="https://ref.ly/Exod9:24" TargetMode="External"/><Relationship Id="rId17388" Type="http://schemas.openxmlformats.org/officeDocument/2006/relationships/hyperlink" Target="https://ref.ly/Exod7:1-Exod11:10" TargetMode="External"/><Relationship Id="rId17389" Type="http://schemas.openxmlformats.org/officeDocument/2006/relationships/hyperlink" Target="https://ref.ly/Exod7:25" TargetMode="External"/><Relationship Id="rId17390" Type="http://schemas.openxmlformats.org/officeDocument/2006/relationships/hyperlink" Target="https://ref.ly/Exod7:20" TargetMode="External"/><Relationship Id="rId17391" Type="http://schemas.openxmlformats.org/officeDocument/2006/relationships/hyperlink" Target="https://ref.ly/Exod8:14" TargetMode="External"/><Relationship Id="rId17392" Type="http://schemas.openxmlformats.org/officeDocument/2006/relationships/hyperlink" Target="https://ref.ly/Exod8:17" TargetMode="External"/><Relationship Id="rId17393" Type="http://schemas.openxmlformats.org/officeDocument/2006/relationships/hyperlink" Target="https://ref.ly/Exod8:24" TargetMode="External"/><Relationship Id="rId17394" Type="http://schemas.openxmlformats.org/officeDocument/2006/relationships/hyperlink" Target="https://ref.ly/Exod9:3" TargetMode="External"/><Relationship Id="rId17395" Type="http://schemas.openxmlformats.org/officeDocument/2006/relationships/hyperlink" Target="https://ref.ly/Exod9:9" TargetMode="External"/><Relationship Id="rId17396" Type="http://schemas.openxmlformats.org/officeDocument/2006/relationships/hyperlink" Target="https://ref.ly/Exod9:18" TargetMode="External"/><Relationship Id="rId17397" Type="http://schemas.openxmlformats.org/officeDocument/2006/relationships/hyperlink" Target="https://ref.ly/Exod9:19" TargetMode="External"/><Relationship Id="rId17398" Type="http://schemas.openxmlformats.org/officeDocument/2006/relationships/hyperlink" Target="https://ref.ly/Exod9:31" TargetMode="External"/><Relationship Id="rId17399" Type="http://schemas.openxmlformats.org/officeDocument/2006/relationships/hyperlink" Target="https://ref.ly/Exod10:22" TargetMode="External"/><Relationship Id="rId17400" Type="http://schemas.openxmlformats.org/officeDocument/2006/relationships/hyperlink" Target="https://ref.ly/Exod12:29" TargetMode="External"/><Relationship Id="rId17401" Type="http://schemas.openxmlformats.org/officeDocument/2006/relationships/hyperlink" Target="https://ref.ly/Exod7:11-Exod7:12" TargetMode="External"/><Relationship Id="rId17402" Type="http://schemas.openxmlformats.org/officeDocument/2006/relationships/hyperlink" Target="https://ref.ly/Exod8:7" TargetMode="External"/><Relationship Id="rId17403" Type="http://schemas.openxmlformats.org/officeDocument/2006/relationships/hyperlink" Target="https://ref.ly/Exod8:18" TargetMode="External"/><Relationship Id="rId17404" Type="http://schemas.openxmlformats.org/officeDocument/2006/relationships/hyperlink" Target="https://ref.ly/Exod8:22" TargetMode="External"/><Relationship Id="rId17405" Type="http://schemas.openxmlformats.org/officeDocument/2006/relationships/hyperlink" Target="https://ref.ly/Exod9:4" TargetMode="External"/><Relationship Id="rId17406" Type="http://schemas.openxmlformats.org/officeDocument/2006/relationships/hyperlink" Target="https://ref.ly/Exod9:26" TargetMode="External"/><Relationship Id="rId17407" Type="http://schemas.openxmlformats.org/officeDocument/2006/relationships/hyperlink" Target="https://ref.ly/Exod9:20" TargetMode="External"/><Relationship Id="rId17408" Type="http://schemas.openxmlformats.org/officeDocument/2006/relationships/hyperlink" Target="https://ref.ly/Exod10:7" TargetMode="External"/><Relationship Id="rId17409" Type="http://schemas.openxmlformats.org/officeDocument/2006/relationships/hyperlink" Target="https://ref.ly/Exod7:14" TargetMode="External"/><Relationship Id="rId17410" Type="http://schemas.openxmlformats.org/officeDocument/2006/relationships/hyperlink" Target="https://ref.ly/Rom9:18" TargetMode="External"/><Relationship Id="rId17411" Type="http://schemas.openxmlformats.org/officeDocument/2006/relationships/hyperlink" Target="https://ref.ly/Exod8:8" TargetMode="External"/><Relationship Id="rId17412" Type="http://schemas.openxmlformats.org/officeDocument/2006/relationships/hyperlink" Target="https://ref.ly/Exod8:25" TargetMode="External"/><Relationship Id="rId17413" Type="http://schemas.openxmlformats.org/officeDocument/2006/relationships/hyperlink" Target="https://ref.ly/Exod10:11" TargetMode="External"/><Relationship Id="rId17414" Type="http://schemas.openxmlformats.org/officeDocument/2006/relationships/hyperlink" Target="https://ref.ly/Exod10:24" TargetMode="External"/><Relationship Id="rId17415" Type="http://schemas.openxmlformats.org/officeDocument/2006/relationships/hyperlink" Target="https://ref.ly/Exod12:31-Exod12:33" TargetMode="External"/><Relationship Id="rId17416" Type="http://schemas.openxmlformats.org/officeDocument/2006/relationships/hyperlink" Target="https://ref.ly/Exod9:7" TargetMode="External"/><Relationship Id="rId17417" Type="http://schemas.openxmlformats.org/officeDocument/2006/relationships/hyperlink" Target="https://ref.ly/Exod10:13,Exod10:19" TargetMode="External"/><Relationship Id="rId17418" Type="http://schemas.openxmlformats.org/officeDocument/2006/relationships/hyperlink" Target="https://ref.ly/Judg5:25" TargetMode="External"/><Relationship Id="rId17419" Type="http://schemas.openxmlformats.org/officeDocument/2006/relationships/hyperlink" Target="https://ref.ly/Matt26:23" TargetMode="External"/><Relationship Id="rId17420" Type="http://schemas.openxmlformats.org/officeDocument/2006/relationships/hyperlink" Target="https://ref.ly/Mark14:20" TargetMode="External"/><Relationship Id="rId17421" Type="http://schemas.openxmlformats.org/officeDocument/2006/relationships/hyperlink" Target="https://ref.ly/2Kgs21:13" TargetMode="External"/><Relationship Id="rId17422" Type="http://schemas.openxmlformats.org/officeDocument/2006/relationships/hyperlink" Target="https://ref.ly/Matt23:25-Matt23:26" TargetMode="External"/><Relationship Id="rId17423" Type="http://schemas.openxmlformats.org/officeDocument/2006/relationships/hyperlink" Target="https://ref.ly/Num7:13" TargetMode="External"/><Relationship Id="rId17424" Type="http://schemas.openxmlformats.org/officeDocument/2006/relationships/hyperlink" Target="https://ref.ly/Exod25:29" TargetMode="External"/><Relationship Id="rId17425" Type="http://schemas.openxmlformats.org/officeDocument/2006/relationships/hyperlink" Target="https://ref.ly/Exod37:16" TargetMode="External"/><Relationship Id="rId17426" Type="http://schemas.openxmlformats.org/officeDocument/2006/relationships/hyperlink" Target="https://ref.ly/Num4:7" TargetMode="External"/><Relationship Id="rId17427" Type="http://schemas.openxmlformats.org/officeDocument/2006/relationships/hyperlink" Target="https://ref.ly/Wis12:8" TargetMode="External"/><Relationship Id="rId17428" Type="http://schemas.openxmlformats.org/officeDocument/2006/relationships/hyperlink" Target="https://ref.ly/Heb2:17-Heb3:2" TargetMode="External"/><Relationship Id="rId17429" Type="http://schemas.openxmlformats.org/officeDocument/2006/relationships/hyperlink" Target="https://ref.ly/Heb5:1-Heb5:9" TargetMode="External"/><Relationship Id="rId17430" Type="http://schemas.openxmlformats.org/officeDocument/2006/relationships/hyperlink" Target="https://ref.ly/Rom8:19-Rom8:21" TargetMode="External"/><Relationship Id="rId17431" Type="http://schemas.openxmlformats.org/officeDocument/2006/relationships/hyperlink" Target="https://ref.ly/Rev21:1-Rev21:5" TargetMode="External"/><Relationship Id="rId17432" Type="http://schemas.openxmlformats.org/officeDocument/2006/relationships/hyperlink" Target="https://ref.ly/Isa14:26-Isa14:27" TargetMode="External"/><Relationship Id="rId17433" Type="http://schemas.openxmlformats.org/officeDocument/2006/relationships/hyperlink" Target="https://ref.ly/Ps119:89-Ps119:91" TargetMode="External"/><Relationship Id="rId17434" Type="http://schemas.openxmlformats.org/officeDocument/2006/relationships/hyperlink" Target="https://ref.ly/Dan4:35" TargetMode="External"/><Relationship Id="rId17435" Type="http://schemas.openxmlformats.org/officeDocument/2006/relationships/hyperlink" Target="https://ref.ly/Job14:5" TargetMode="External"/><Relationship Id="rId17436" Type="http://schemas.openxmlformats.org/officeDocument/2006/relationships/hyperlink" Target="https://ref.ly/Ps104:14-Ps104:30" TargetMode="External"/><Relationship Id="rId17437" Type="http://schemas.openxmlformats.org/officeDocument/2006/relationships/hyperlink" Target="https://ref.ly/Luke22:22" TargetMode="External"/><Relationship Id="rId17438" Type="http://schemas.openxmlformats.org/officeDocument/2006/relationships/hyperlink" Target="https://ref.ly/Acts4:27-Acts4:28" TargetMode="External"/><Relationship Id="rId17439" Type="http://schemas.openxmlformats.org/officeDocument/2006/relationships/hyperlink" Target="https://ref.ly/Rom9:17" TargetMode="External"/><Relationship Id="rId17440" Type="http://schemas.openxmlformats.org/officeDocument/2006/relationships/hyperlink" Target="https://ref.ly/Rev17:17" TargetMode="External"/><Relationship Id="rId17441" Type="http://schemas.openxmlformats.org/officeDocument/2006/relationships/hyperlink" Target="https://ref.ly/Rom8:28-Rom8:39" TargetMode="External"/><Relationship Id="rId17442" Type="http://schemas.openxmlformats.org/officeDocument/2006/relationships/hyperlink" Target="https://ref.ly/Acts13:48" TargetMode="External"/><Relationship Id="rId17443" Type="http://schemas.openxmlformats.org/officeDocument/2006/relationships/hyperlink" Target="https://ref.ly/Phil2:12-Phil2:13" TargetMode="External"/><Relationship Id="rId17444" Type="http://schemas.openxmlformats.org/officeDocument/2006/relationships/hyperlink" Target="https://ref.ly/Eph1:3-Eph1:14" TargetMode="External"/><Relationship Id="rId17445" Type="http://schemas.openxmlformats.org/officeDocument/2006/relationships/hyperlink" Target="https://ref.ly/Rev11:15" TargetMode="External"/><Relationship Id="rId17446" Type="http://schemas.openxmlformats.org/officeDocument/2006/relationships/hyperlink" Target="https://ref.ly/2Pet3:17" TargetMode="External"/><Relationship Id="rId17447" Type="http://schemas.openxmlformats.org/officeDocument/2006/relationships/hyperlink" Target="https://ref.ly/Acts26:4-Acts26:5" TargetMode="External"/><Relationship Id="rId17448" Type="http://schemas.openxmlformats.org/officeDocument/2006/relationships/hyperlink" Target="https://ref.ly/1Pet1:18-1Pet1:20" TargetMode="External"/><Relationship Id="rId17449" Type="http://schemas.openxmlformats.org/officeDocument/2006/relationships/hyperlink" Target="https://ref.ly/Ps147:5" TargetMode="External"/><Relationship Id="rId17450" Type="http://schemas.openxmlformats.org/officeDocument/2006/relationships/hyperlink" Target="https://ref.ly/1Chr28:9" TargetMode="External"/><Relationship Id="rId17451" Type="http://schemas.openxmlformats.org/officeDocument/2006/relationships/hyperlink" Target="https://ref.ly/Ps139:1-Ps139:24" TargetMode="External"/><Relationship Id="rId17452" Type="http://schemas.openxmlformats.org/officeDocument/2006/relationships/hyperlink" Target="https://ref.ly/Matt10:29-Matt10:30" TargetMode="External"/><Relationship Id="rId17453" Type="http://schemas.openxmlformats.org/officeDocument/2006/relationships/hyperlink" Target="https://ref.ly/Isa44:6-Isa44:8" TargetMode="External"/><Relationship Id="rId17454" Type="http://schemas.openxmlformats.org/officeDocument/2006/relationships/hyperlink" Target="https://ref.ly/Exod3:19" TargetMode="External"/><Relationship Id="rId17455" Type="http://schemas.openxmlformats.org/officeDocument/2006/relationships/hyperlink" Target="https://ref.ly/Isa9:1-Isa9:7" TargetMode="External"/><Relationship Id="rId17456" Type="http://schemas.openxmlformats.org/officeDocument/2006/relationships/hyperlink" Target="https://ref.ly/Ezek34:20-Ezek34:31" TargetMode="External"/><Relationship Id="rId17457" Type="http://schemas.openxmlformats.org/officeDocument/2006/relationships/hyperlink" Target="https://ref.ly/Matt1:22" TargetMode="External"/><Relationship Id="rId17458" Type="http://schemas.openxmlformats.org/officeDocument/2006/relationships/hyperlink" Target="https://ref.ly/Matt4:14" TargetMode="External"/><Relationship Id="rId17459" Type="http://schemas.openxmlformats.org/officeDocument/2006/relationships/hyperlink" Target="https://ref.ly/John12:38-John12:41" TargetMode="External"/><Relationship Id="rId17460" Type="http://schemas.openxmlformats.org/officeDocument/2006/relationships/hyperlink" Target="https://ref.ly/Acts3:22-Acts3:25" TargetMode="External"/><Relationship Id="rId17461" Type="http://schemas.openxmlformats.org/officeDocument/2006/relationships/hyperlink" Target="https://ref.ly/1Kgs19:11-1Kgs19:13" TargetMode="External"/><Relationship Id="rId17462" Type="http://schemas.openxmlformats.org/officeDocument/2006/relationships/hyperlink" Target="https://ref.ly/Gen32:22-Gen32:32" TargetMode="External"/><Relationship Id="rId17463" Type="http://schemas.openxmlformats.org/officeDocument/2006/relationships/hyperlink" Target="https://ref.ly/Gen31:11-Gen31:13" TargetMode="External"/><Relationship Id="rId17464" Type="http://schemas.openxmlformats.org/officeDocument/2006/relationships/hyperlink" Target="https://ref.ly/Gen21:18" TargetMode="External"/><Relationship Id="rId17465" Type="http://schemas.openxmlformats.org/officeDocument/2006/relationships/hyperlink" Target="https://ref.ly/Num22:35" TargetMode="External"/><Relationship Id="rId17466" Type="http://schemas.openxmlformats.org/officeDocument/2006/relationships/hyperlink" Target="https://ref.ly/Gen48:15-Gen48:16" TargetMode="External"/><Relationship Id="rId17467" Type="http://schemas.openxmlformats.org/officeDocument/2006/relationships/hyperlink" Target="https://ref.ly/Ps136:5" TargetMode="External"/><Relationship Id="rId17468" Type="http://schemas.openxmlformats.org/officeDocument/2006/relationships/hyperlink" Target="https://ref.ly/Exod29:43" TargetMode="External"/><Relationship Id="rId17469" Type="http://schemas.openxmlformats.org/officeDocument/2006/relationships/hyperlink" Target="https://ref.ly/Ezek9:3-Ezek9:4" TargetMode="External"/><Relationship Id="rId17470" Type="http://schemas.openxmlformats.org/officeDocument/2006/relationships/hyperlink" Target="https://ref.ly/Ps31:16" TargetMode="External"/><Relationship Id="rId17471" Type="http://schemas.openxmlformats.org/officeDocument/2006/relationships/hyperlink" Target="https://ref.ly/Exod33:14" TargetMode="External"/><Relationship Id="rId17472" Type="http://schemas.openxmlformats.org/officeDocument/2006/relationships/hyperlink" Target="https://ref.ly/Ps24:6" TargetMode="External"/><Relationship Id="rId17473" Type="http://schemas.openxmlformats.org/officeDocument/2006/relationships/hyperlink" Target="https://ref.ly/Ps63:1-Ps63:3" TargetMode="External"/><Relationship Id="rId17474" Type="http://schemas.openxmlformats.org/officeDocument/2006/relationships/hyperlink" Target="https://ref.ly/Ps100:2" TargetMode="External"/><Relationship Id="rId17475" Type="http://schemas.openxmlformats.org/officeDocument/2006/relationships/hyperlink" Target="https://ref.ly/Num6:25" TargetMode="External"/><Relationship Id="rId17476" Type="http://schemas.openxmlformats.org/officeDocument/2006/relationships/hyperlink" Target="https://ref.ly/Ps80:3,Ps80:7,Ps80:19" TargetMode="External"/><Relationship Id="rId17477" Type="http://schemas.openxmlformats.org/officeDocument/2006/relationships/hyperlink" Target="https://ref.ly/Ps44:5" TargetMode="External"/><Relationship Id="rId17478" Type="http://schemas.openxmlformats.org/officeDocument/2006/relationships/hyperlink" Target="https://ref.ly/Ps89:24" TargetMode="External"/><Relationship Id="rId17479" Type="http://schemas.openxmlformats.org/officeDocument/2006/relationships/hyperlink" Target="https://ref.ly/Isa30:27" TargetMode="External"/><Relationship Id="rId17480" Type="http://schemas.openxmlformats.org/officeDocument/2006/relationships/hyperlink" Target="https://ref.ly/Exod23:20-Exod23:21" TargetMode="External"/><Relationship Id="rId17481" Type="http://schemas.openxmlformats.org/officeDocument/2006/relationships/hyperlink" Target="https://ref.ly/1Kgs11:36" TargetMode="External"/><Relationship Id="rId17482" Type="http://schemas.openxmlformats.org/officeDocument/2006/relationships/hyperlink" Target="https://ref.ly/Isa63:11-Isa63:14" TargetMode="External"/><Relationship Id="rId17483" Type="http://schemas.openxmlformats.org/officeDocument/2006/relationships/hyperlink" Target="https://ref.ly/2Chr20:14" TargetMode="External"/><Relationship Id="rId17484" Type="http://schemas.openxmlformats.org/officeDocument/2006/relationships/hyperlink" Target="https://ref.ly/John17:6,John17:26" TargetMode="External"/><Relationship Id="rId17485" Type="http://schemas.openxmlformats.org/officeDocument/2006/relationships/hyperlink" Target="https://ref.ly/2Cor6:16" TargetMode="External"/><Relationship Id="rId17486" Type="http://schemas.openxmlformats.org/officeDocument/2006/relationships/hyperlink" Target="https://ref.ly/Num24:1" TargetMode="External"/><Relationship Id="rId17487" Type="http://schemas.openxmlformats.org/officeDocument/2006/relationships/hyperlink" Target="https://ref.ly/1Kgs20:33" TargetMode="External"/><Relationship Id="rId17488" Type="http://schemas.openxmlformats.org/officeDocument/2006/relationships/hyperlink" Target="https://ref.ly/Isa44:25" TargetMode="External"/><Relationship Id="rId17489" Type="http://schemas.openxmlformats.org/officeDocument/2006/relationships/hyperlink" Target="https://ref.ly/Mark15:16" TargetMode="External"/><Relationship Id="rId17490" Type="http://schemas.openxmlformats.org/officeDocument/2006/relationships/hyperlink" Target="https://ref.ly/Matt27:27" TargetMode="External"/><Relationship Id="rId17491" Type="http://schemas.openxmlformats.org/officeDocument/2006/relationships/hyperlink" Target="https://ref.ly/Matt24:1-Matt24:2" TargetMode="External"/><Relationship Id="rId17492" Type="http://schemas.openxmlformats.org/officeDocument/2006/relationships/hyperlink" Target="https://ref.ly/Mark13:1-Mark13:2" TargetMode="External"/><Relationship Id="rId17493" Type="http://schemas.openxmlformats.org/officeDocument/2006/relationships/hyperlink" Target="https://ref.ly/Luke19:43-Luke19:44" TargetMode="External"/><Relationship Id="rId17494" Type="http://schemas.openxmlformats.org/officeDocument/2006/relationships/hyperlink" Target="https://ref.ly/Luke21:5-Luke21:7" TargetMode="External"/><Relationship Id="rId17495" Type="http://schemas.openxmlformats.org/officeDocument/2006/relationships/hyperlink" Target="https://ref.ly/Num18:14-Num18:17" TargetMode="External"/><Relationship Id="rId17496" Type="http://schemas.openxmlformats.org/officeDocument/2006/relationships/hyperlink" Target="https://ref.ly/Num18:12-Num18:13" TargetMode="External"/><Relationship Id="rId17497" Type="http://schemas.openxmlformats.org/officeDocument/2006/relationships/hyperlink" Target="https://ref.ly/Exod23:15-Exod23:19" TargetMode="External"/><Relationship Id="rId17498" Type="http://schemas.openxmlformats.org/officeDocument/2006/relationships/hyperlink" Target="https://ref.ly/Exod34:22,Exod34:26" TargetMode="External"/><Relationship Id="rId17499" Type="http://schemas.openxmlformats.org/officeDocument/2006/relationships/hyperlink" Target="https://ref.ly/Lev23:10-Lev23:17" TargetMode="External"/><Relationship Id="rId17500" Type="http://schemas.openxmlformats.org/officeDocument/2006/relationships/hyperlink" Target="https://ref.ly/Num15:20-Num15:21" TargetMode="External"/><Relationship Id="rId17501" Type="http://schemas.openxmlformats.org/officeDocument/2006/relationships/hyperlink" Target="https://ref.ly/Num28:26-Num28:31" TargetMode="External"/><Relationship Id="rId17502" Type="http://schemas.openxmlformats.org/officeDocument/2006/relationships/hyperlink" Target="https://ref.ly/Deut26:1-Deut26:11" TargetMode="External"/><Relationship Id="rId17503" Type="http://schemas.openxmlformats.org/officeDocument/2006/relationships/hyperlink" Target="https://ref.ly/Lev23:9-Lev23:22" TargetMode="External"/><Relationship Id="rId17504" Type="http://schemas.openxmlformats.org/officeDocument/2006/relationships/hyperlink" Target="https://ref.ly/1Cor15:20,1Cor15:23" TargetMode="External"/><Relationship Id="rId17505" Type="http://schemas.openxmlformats.org/officeDocument/2006/relationships/hyperlink" Target="https://ref.ly/Rev14:4" TargetMode="External"/><Relationship Id="rId17506" Type="http://schemas.openxmlformats.org/officeDocument/2006/relationships/hyperlink" Target="https://ref.ly/Gen17:5,Gen17:15-Gen17:16" TargetMode="External"/><Relationship Id="rId17507" Type="http://schemas.openxmlformats.org/officeDocument/2006/relationships/hyperlink" Target="https://ref.ly/Isa61:7" TargetMode="External"/><Relationship Id="rId17508" Type="http://schemas.openxmlformats.org/officeDocument/2006/relationships/hyperlink" Target="https://ref.ly/Isa14:30" TargetMode="External"/><Relationship Id="rId17509" Type="http://schemas.openxmlformats.org/officeDocument/2006/relationships/hyperlink" Target="https://ref.ly/Job18:13" TargetMode="External"/><Relationship Id="rId17510" Type="http://schemas.openxmlformats.org/officeDocument/2006/relationships/hyperlink" Target="https://ref.ly/Exod11:4-Exod11:7" TargetMode="External"/><Relationship Id="rId17511" Type="http://schemas.openxmlformats.org/officeDocument/2006/relationships/hyperlink" Target="https://ref.ly/Gen49:3" TargetMode="External"/><Relationship Id="rId17512" Type="http://schemas.openxmlformats.org/officeDocument/2006/relationships/hyperlink" Target="https://ref.ly/Exod13:2,Exod13:15" TargetMode="External"/><Relationship Id="rId17513" Type="http://schemas.openxmlformats.org/officeDocument/2006/relationships/hyperlink" Target="https://ref.ly/Num18:15-Num18:16" TargetMode="External"/><Relationship Id="rId17514" Type="http://schemas.openxmlformats.org/officeDocument/2006/relationships/hyperlink" Target="https://ref.ly/Exod13:2-Exod13:8" TargetMode="External"/><Relationship Id="rId17515" Type="http://schemas.openxmlformats.org/officeDocument/2006/relationships/hyperlink" Target="https://ref.ly/Exod13:13" TargetMode="External"/><Relationship Id="rId17516" Type="http://schemas.openxmlformats.org/officeDocument/2006/relationships/hyperlink" Target="https://ref.ly/Lev27:27" TargetMode="External"/><Relationship Id="rId17517" Type="http://schemas.openxmlformats.org/officeDocument/2006/relationships/hyperlink" Target="https://ref.ly/Gen27:19,Gen27:32" TargetMode="External"/><Relationship Id="rId17518" Type="http://schemas.openxmlformats.org/officeDocument/2006/relationships/hyperlink" Target="https://ref.ly/Num3:12-Num3:13" TargetMode="External"/><Relationship Id="rId17519" Type="http://schemas.openxmlformats.org/officeDocument/2006/relationships/hyperlink" Target="https://ref.ly/Num8:17" TargetMode="External"/><Relationship Id="rId17520" Type="http://schemas.openxmlformats.org/officeDocument/2006/relationships/hyperlink" Target="https://ref.ly/Col1:15,Col1:18" TargetMode="External"/><Relationship Id="rId17521" Type="http://schemas.openxmlformats.org/officeDocument/2006/relationships/hyperlink" Target="https://ref.ly/Eph1:20-Eph1:23" TargetMode="External"/><Relationship Id="rId17522" Type="http://schemas.openxmlformats.org/officeDocument/2006/relationships/hyperlink" Target="https://ref.ly/Heb2:10-Heb2:12" TargetMode="External"/><Relationship Id="rId17523" Type="http://schemas.openxmlformats.org/officeDocument/2006/relationships/hyperlink" Target="https://ref.ly/Gen36:15" TargetMode="External"/><Relationship Id="rId17524" Type="http://schemas.openxmlformats.org/officeDocument/2006/relationships/hyperlink" Target="https://ref.ly/Gen21:1-Gen21:14" TargetMode="External"/><Relationship Id="rId17525" Type="http://schemas.openxmlformats.org/officeDocument/2006/relationships/hyperlink" Target="https://ref.ly/Gen27:1-Gen27:29" TargetMode="External"/><Relationship Id="rId17526" Type="http://schemas.openxmlformats.org/officeDocument/2006/relationships/hyperlink" Target="https://ref.ly/Gen48:18" TargetMode="External"/><Relationship Id="rId17527" Type="http://schemas.openxmlformats.org/officeDocument/2006/relationships/hyperlink" Target="https://ref.ly/2Cor10:8" TargetMode="External"/><Relationship Id="rId17528" Type="http://schemas.openxmlformats.org/officeDocument/2006/relationships/hyperlink" Target="https://ref.ly/2Cor13:10" TargetMode="External"/><Relationship Id="rId17529" Type="http://schemas.openxmlformats.org/officeDocument/2006/relationships/hyperlink" Target="https://ref.ly/Matt8:9" TargetMode="External"/><Relationship Id="rId17530" Type="http://schemas.openxmlformats.org/officeDocument/2006/relationships/hyperlink" Target="https://ref.ly/Luke20:20" TargetMode="External"/><Relationship Id="rId17531" Type="http://schemas.openxmlformats.org/officeDocument/2006/relationships/hyperlink" Target="https://ref.ly/Rom8:38" TargetMode="External"/><Relationship Id="rId17532" Type="http://schemas.openxmlformats.org/officeDocument/2006/relationships/hyperlink" Target="https://ref.ly/1Cor15:24" TargetMode="External"/><Relationship Id="rId17533" Type="http://schemas.openxmlformats.org/officeDocument/2006/relationships/hyperlink" Target="https://ref.ly/Matt25:15" TargetMode="External"/><Relationship Id="rId17534" Type="http://schemas.openxmlformats.org/officeDocument/2006/relationships/hyperlink" Target="https://ref.ly/Acts18:1-Acts18:3" TargetMode="External"/><Relationship Id="rId17535" Type="http://schemas.openxmlformats.org/officeDocument/2006/relationships/hyperlink" Target="https://ref.ly/Acts18:18,Acts18:26" TargetMode="External"/><Relationship Id="rId17536" Type="http://schemas.openxmlformats.org/officeDocument/2006/relationships/hyperlink" Target="https://ref.ly/Rom16:3-Rom16:4" TargetMode="External"/><Relationship Id="rId17537" Type="http://schemas.openxmlformats.org/officeDocument/2006/relationships/hyperlink" Target="https://ref.ly/Matt27:1-Matt27:66" TargetMode="External"/><Relationship Id="rId17538" Type="http://schemas.openxmlformats.org/officeDocument/2006/relationships/hyperlink" Target="https://ref.ly/Acts23:24-Acts25:14" TargetMode="External"/><Relationship Id="rId17539" Type="http://schemas.openxmlformats.org/officeDocument/2006/relationships/hyperlink" Target="https://ref.ly/Acts24:27-Acts26:32" TargetMode="External"/><Relationship Id="rId17540" Type="http://schemas.openxmlformats.org/officeDocument/2006/relationships/hyperlink" Target="https://ref.ly/Acts7:37" TargetMode="External"/><Relationship Id="rId17541" Type="http://schemas.openxmlformats.org/officeDocument/2006/relationships/hyperlink" Target="https://ref.ly/1Sam15:10" TargetMode="External"/><Relationship Id="rId17542" Type="http://schemas.openxmlformats.org/officeDocument/2006/relationships/hyperlink" Target="https://ref.ly/2Sam24:11" TargetMode="External"/><Relationship Id="rId17543" Type="http://schemas.openxmlformats.org/officeDocument/2006/relationships/hyperlink" Target="https://ref.ly/1Kgs19:9" TargetMode="External"/><Relationship Id="rId17544" Type="http://schemas.openxmlformats.org/officeDocument/2006/relationships/hyperlink" Target="https://ref.ly/Jonah1:1" TargetMode="External"/><Relationship Id="rId17545" Type="http://schemas.openxmlformats.org/officeDocument/2006/relationships/hyperlink" Target="https://ref.ly/Zech8:1" TargetMode="External"/><Relationship Id="rId17546" Type="http://schemas.openxmlformats.org/officeDocument/2006/relationships/hyperlink" Target="https://ref.ly/Gen40:1-Gen40:19" TargetMode="External"/><Relationship Id="rId17547" Type="http://schemas.openxmlformats.org/officeDocument/2006/relationships/hyperlink" Target="https://ref.ly/Gen41:1-Gen41:36" TargetMode="External"/><Relationship Id="rId17548" Type="http://schemas.openxmlformats.org/officeDocument/2006/relationships/hyperlink" Target="https://ref.ly/Dan2:25-Dan2:45" TargetMode="External"/><Relationship Id="rId17549" Type="http://schemas.openxmlformats.org/officeDocument/2006/relationships/hyperlink" Target="https://ref.ly/Dan4:4-Dan4:27" TargetMode="External"/><Relationship Id="rId17550" Type="http://schemas.openxmlformats.org/officeDocument/2006/relationships/hyperlink" Target="https://ref.ly/Gen41:16" TargetMode="External"/><Relationship Id="rId17551" Type="http://schemas.openxmlformats.org/officeDocument/2006/relationships/hyperlink" Target="https://ref.ly/Dan2:27-Dan2:30" TargetMode="External"/><Relationship Id="rId17552" Type="http://schemas.openxmlformats.org/officeDocument/2006/relationships/hyperlink" Target="https://ref.ly/Dan4:9" TargetMode="External"/><Relationship Id="rId17553" Type="http://schemas.openxmlformats.org/officeDocument/2006/relationships/hyperlink" Target="https://ref.ly/Num12:6" TargetMode="External"/><Relationship Id="rId17554" Type="http://schemas.openxmlformats.org/officeDocument/2006/relationships/hyperlink" Target="https://ref.ly/Num24:4" TargetMode="External"/><Relationship Id="rId17555" Type="http://schemas.openxmlformats.org/officeDocument/2006/relationships/hyperlink" Target="https://ref.ly/Hos12:10" TargetMode="External"/><Relationship Id="rId17556" Type="http://schemas.openxmlformats.org/officeDocument/2006/relationships/hyperlink" Target="https://ref.ly/Isa1:1" TargetMode="External"/><Relationship Id="rId17557" Type="http://schemas.openxmlformats.org/officeDocument/2006/relationships/hyperlink" Target="https://ref.ly/1Sam10:5-1Sam10:13" TargetMode="External"/><Relationship Id="rId17558" Type="http://schemas.openxmlformats.org/officeDocument/2006/relationships/hyperlink" Target="https://ref.ly/Jer29:26" TargetMode="External"/><Relationship Id="rId17559" Type="http://schemas.openxmlformats.org/officeDocument/2006/relationships/hyperlink" Target="https://ref.ly/1Kgs18:28-1Kgs18:29" TargetMode="External"/><Relationship Id="rId17560" Type="http://schemas.openxmlformats.org/officeDocument/2006/relationships/hyperlink" Target="https://ref.ly/1Sam10:10-1Sam10:13" TargetMode="External"/><Relationship Id="rId17561" Type="http://schemas.openxmlformats.org/officeDocument/2006/relationships/hyperlink" Target="https://ref.ly/1Sam19:20-1Sam19:22" TargetMode="External"/><Relationship Id="rId17562" Type="http://schemas.openxmlformats.org/officeDocument/2006/relationships/hyperlink" Target="https://ref.ly/1Sam19:24" TargetMode="External"/><Relationship Id="rId17563" Type="http://schemas.openxmlformats.org/officeDocument/2006/relationships/hyperlink" Target="https://ref.ly/2Kgs3:15" TargetMode="External"/><Relationship Id="rId17564" Type="http://schemas.openxmlformats.org/officeDocument/2006/relationships/hyperlink" Target="https://ref.ly/Jer1:4-Jer1:8" TargetMode="External"/><Relationship Id="rId17565" Type="http://schemas.openxmlformats.org/officeDocument/2006/relationships/hyperlink" Target="https://ref.ly/Exod3:1-Exod4:17" TargetMode="External"/><Relationship Id="rId17566" Type="http://schemas.openxmlformats.org/officeDocument/2006/relationships/hyperlink" Target="https://ref.ly/Judg6:11-Judg6:17" TargetMode="External"/><Relationship Id="rId17567" Type="http://schemas.openxmlformats.org/officeDocument/2006/relationships/hyperlink" Target="https://ref.ly/Isa6:1-Isa6:8" TargetMode="External"/><Relationship Id="rId17568" Type="http://schemas.openxmlformats.org/officeDocument/2006/relationships/hyperlink" Target="https://ref.ly/Isa48:16" TargetMode="External"/><Relationship Id="rId17569" Type="http://schemas.openxmlformats.org/officeDocument/2006/relationships/hyperlink" Target="https://ref.ly/Amos7:14-Amos7:15" TargetMode="External"/><Relationship Id="rId17570" Type="http://schemas.openxmlformats.org/officeDocument/2006/relationships/hyperlink" Target="https://ref.ly/Jer23:21" TargetMode="External"/><Relationship Id="rId17571" Type="http://schemas.openxmlformats.org/officeDocument/2006/relationships/hyperlink" Target="https://ref.ly/Jer28:15" TargetMode="External"/><Relationship Id="rId17572" Type="http://schemas.openxmlformats.org/officeDocument/2006/relationships/hyperlink" Target="https://ref.ly/2Kgs1:3-2Kgs1:4" TargetMode="External"/><Relationship Id="rId17573" Type="http://schemas.openxmlformats.org/officeDocument/2006/relationships/hyperlink" Target="https://ref.ly/Isa41:8-Isa41:13" TargetMode="External"/><Relationship Id="rId17574" Type="http://schemas.openxmlformats.org/officeDocument/2006/relationships/hyperlink" Target="https://ref.ly/Isa43:14-Isa43:21" TargetMode="External"/><Relationship Id="rId17575" Type="http://schemas.openxmlformats.org/officeDocument/2006/relationships/hyperlink" Target="https://ref.ly/Isa41:17-Isa41:20" TargetMode="External"/><Relationship Id="rId17576" Type="http://schemas.openxmlformats.org/officeDocument/2006/relationships/hyperlink" Target="https://ref.ly/Isa42:14-Isa42:17" TargetMode="External"/><Relationship Id="rId17577" Type="http://schemas.openxmlformats.org/officeDocument/2006/relationships/hyperlink" Target="https://ref.ly/Isa43:16-Isa43:21" TargetMode="External"/><Relationship Id="rId17578" Type="http://schemas.openxmlformats.org/officeDocument/2006/relationships/hyperlink" Target="https://ref.ly/Isa49:7-Isa49:12" TargetMode="External"/><Relationship Id="rId17579" Type="http://schemas.openxmlformats.org/officeDocument/2006/relationships/hyperlink" Target="https://ref.ly/Isa5:8-Isa5:10" TargetMode="External"/><Relationship Id="rId17580" Type="http://schemas.openxmlformats.org/officeDocument/2006/relationships/hyperlink" Target="https://ref.ly/Isa10:1-Isa10:4" TargetMode="External"/><Relationship Id="rId17581" Type="http://schemas.openxmlformats.org/officeDocument/2006/relationships/hyperlink" Target="https://ref.ly/Amos6:1-Amos6:7" TargetMode="External"/><Relationship Id="rId17582" Type="http://schemas.openxmlformats.org/officeDocument/2006/relationships/hyperlink" Target="https://ref.ly/Mic2:1-Mic2:5" TargetMode="External"/><Relationship Id="rId17583" Type="http://schemas.openxmlformats.org/officeDocument/2006/relationships/hyperlink" Target="https://ref.ly/Jer11:2-Jer11:3" TargetMode="External"/><Relationship Id="rId17584" Type="http://schemas.openxmlformats.org/officeDocument/2006/relationships/hyperlink" Target="https://ref.ly/Amos8:4-Amos8:6" TargetMode="External"/><Relationship Id="rId17585" Type="http://schemas.openxmlformats.org/officeDocument/2006/relationships/hyperlink" Target="https://ref.ly/Amos5:12" TargetMode="External"/><Relationship Id="rId17586" Type="http://schemas.openxmlformats.org/officeDocument/2006/relationships/hyperlink" Target="https://ref.ly/Hos8:5" TargetMode="External"/><Relationship Id="rId17587" Type="http://schemas.openxmlformats.org/officeDocument/2006/relationships/hyperlink" Target="https://ref.ly/Isa43:4" TargetMode="External"/><Relationship Id="rId17588" Type="http://schemas.openxmlformats.org/officeDocument/2006/relationships/hyperlink" Target="https://ref.ly/Jer31:3" TargetMode="External"/><Relationship Id="rId17589" Type="http://schemas.openxmlformats.org/officeDocument/2006/relationships/hyperlink" Target="https://ref.ly/Isa43:1" TargetMode="External"/><Relationship Id="rId17590" Type="http://schemas.openxmlformats.org/officeDocument/2006/relationships/hyperlink" Target="https://ref.ly/Jer33:24" TargetMode="External"/><Relationship Id="rId17591" Type="http://schemas.openxmlformats.org/officeDocument/2006/relationships/hyperlink" Target="https://ref.ly/Ezek20:5" TargetMode="External"/><Relationship Id="rId17592" Type="http://schemas.openxmlformats.org/officeDocument/2006/relationships/hyperlink" Target="https://ref.ly/Jer33:19-Jer33:22" TargetMode="External"/><Relationship Id="rId17593" Type="http://schemas.openxmlformats.org/officeDocument/2006/relationships/hyperlink" Target="https://ref.ly/Jer17:24-Jer17:26" TargetMode="External"/><Relationship Id="rId17594" Type="http://schemas.openxmlformats.org/officeDocument/2006/relationships/hyperlink" Target="https://ref.ly/Jer33:14-Jer33:15" TargetMode="External"/><Relationship Id="rId17595" Type="http://schemas.openxmlformats.org/officeDocument/2006/relationships/hyperlink" Target="https://ref.ly/2Kgs2:13-2Kgs2:14" TargetMode="External"/><Relationship Id="rId17596" Type="http://schemas.openxmlformats.org/officeDocument/2006/relationships/hyperlink" Target="https://ref.ly/Mark9:11-Mark9:13" TargetMode="External"/><Relationship Id="rId17597" Type="http://schemas.openxmlformats.org/officeDocument/2006/relationships/hyperlink" Target="https://ref.ly/Luke1:76" TargetMode="External"/><Relationship Id="rId17598" Type="http://schemas.openxmlformats.org/officeDocument/2006/relationships/hyperlink" Target="https://ref.ly/Luke7:26" TargetMode="External"/><Relationship Id="rId17599" Type="http://schemas.openxmlformats.org/officeDocument/2006/relationships/hyperlink" Target="https://ref.ly/John1:15" TargetMode="External"/><Relationship Id="rId17600" Type="http://schemas.openxmlformats.org/officeDocument/2006/relationships/hyperlink" Target="https://ref.ly/Acts13:25" TargetMode="External"/><Relationship Id="rId17601" Type="http://schemas.openxmlformats.org/officeDocument/2006/relationships/hyperlink" Target="https://ref.ly/Matt11:13" TargetMode="External"/><Relationship Id="rId17602" Type="http://schemas.openxmlformats.org/officeDocument/2006/relationships/hyperlink" Target="https://ref.ly/Matt16:14" TargetMode="External"/><Relationship Id="rId17603" Type="http://schemas.openxmlformats.org/officeDocument/2006/relationships/hyperlink" Target="https://ref.ly/Matt21:10-Matt21:11" TargetMode="External"/><Relationship Id="rId17604" Type="http://schemas.openxmlformats.org/officeDocument/2006/relationships/hyperlink" Target="https://ref.ly/Mark6:14-Mark6:15" TargetMode="External"/><Relationship Id="rId17605" Type="http://schemas.openxmlformats.org/officeDocument/2006/relationships/hyperlink" Target="https://ref.ly/Luke9:8" TargetMode="External"/><Relationship Id="rId17606" Type="http://schemas.openxmlformats.org/officeDocument/2006/relationships/hyperlink" Target="https://ref.ly/John7:40" TargetMode="External"/><Relationship Id="rId17607" Type="http://schemas.openxmlformats.org/officeDocument/2006/relationships/hyperlink" Target="https://ref.ly/Mark6:4" TargetMode="External"/><Relationship Id="rId17608" Type="http://schemas.openxmlformats.org/officeDocument/2006/relationships/hyperlink" Target="https://ref.ly/John4:19" TargetMode="External"/><Relationship Id="rId17609" Type="http://schemas.openxmlformats.org/officeDocument/2006/relationships/hyperlink" Target="https://ref.ly/John6:14-John6:15" TargetMode="External"/><Relationship Id="rId17610" Type="http://schemas.openxmlformats.org/officeDocument/2006/relationships/hyperlink" Target="https://ref.ly/Mark1:27" TargetMode="External"/><Relationship Id="rId17611" Type="http://schemas.openxmlformats.org/officeDocument/2006/relationships/hyperlink" Target="https://ref.ly/Luke10:18" TargetMode="External"/><Relationship Id="rId17612" Type="http://schemas.openxmlformats.org/officeDocument/2006/relationships/hyperlink" Target="https://ref.ly/Mark14:58" TargetMode="External"/><Relationship Id="rId17613" Type="http://schemas.openxmlformats.org/officeDocument/2006/relationships/hyperlink" Target="https://ref.ly/Luke13:35" TargetMode="External"/><Relationship Id="rId17614" Type="http://schemas.openxmlformats.org/officeDocument/2006/relationships/hyperlink" Target="https://ref.ly/Mark9:37" TargetMode="External"/><Relationship Id="rId17615" Type="http://schemas.openxmlformats.org/officeDocument/2006/relationships/hyperlink" Target="https://ref.ly/Luke4:18-Luke4:26" TargetMode="External"/><Relationship Id="rId17616" Type="http://schemas.openxmlformats.org/officeDocument/2006/relationships/hyperlink" Target="https://ref.ly/Ezek33:30-Ezek33:33" TargetMode="External"/><Relationship Id="rId17617" Type="http://schemas.openxmlformats.org/officeDocument/2006/relationships/hyperlink" Target="https://ref.ly/Luke22:30" TargetMode="External"/><Relationship Id="rId17618" Type="http://schemas.openxmlformats.org/officeDocument/2006/relationships/hyperlink" Target="https://ref.ly/Matt10:7-Matt10:8" TargetMode="External"/><Relationship Id="rId17619" Type="http://schemas.openxmlformats.org/officeDocument/2006/relationships/hyperlink" Target="https://ref.ly/Matt23:39" TargetMode="External"/><Relationship Id="rId17620" Type="http://schemas.openxmlformats.org/officeDocument/2006/relationships/hyperlink" Target="https://ref.ly/Mark13:28-Mark13:29" TargetMode="External"/><Relationship Id="rId17621" Type="http://schemas.openxmlformats.org/officeDocument/2006/relationships/hyperlink" Target="https://ref.ly/Matt23:37-Matt23:39" TargetMode="External"/><Relationship Id="rId17622" Type="http://schemas.openxmlformats.org/officeDocument/2006/relationships/hyperlink" Target="https://ref.ly/Matt24:2" TargetMode="External"/><Relationship Id="rId17623" Type="http://schemas.openxmlformats.org/officeDocument/2006/relationships/hyperlink" Target="https://ref.ly/Matt26:61" TargetMode="External"/><Relationship Id="rId17624" Type="http://schemas.openxmlformats.org/officeDocument/2006/relationships/hyperlink" Target="https://ref.ly/Matt27:40" TargetMode="External"/><Relationship Id="rId17625" Type="http://schemas.openxmlformats.org/officeDocument/2006/relationships/hyperlink" Target="https://ref.ly/Mark15:29" TargetMode="External"/><Relationship Id="rId17626" Type="http://schemas.openxmlformats.org/officeDocument/2006/relationships/hyperlink" Target="https://ref.ly/Luke13:34-Luke13:35" TargetMode="External"/><Relationship Id="rId17627" Type="http://schemas.openxmlformats.org/officeDocument/2006/relationships/hyperlink" Target="https://ref.ly/Luke21:6" TargetMode="External"/><Relationship Id="rId17628" Type="http://schemas.openxmlformats.org/officeDocument/2006/relationships/hyperlink" Target="https://ref.ly/John2:19-John2:21" TargetMode="External"/><Relationship Id="rId17629" Type="http://schemas.openxmlformats.org/officeDocument/2006/relationships/hyperlink" Target="https://ref.ly/Matt10:23" TargetMode="External"/><Relationship Id="rId17630" Type="http://schemas.openxmlformats.org/officeDocument/2006/relationships/hyperlink" Target="https://ref.ly/Matt13:40-Matt13:41" TargetMode="External"/><Relationship Id="rId17631" Type="http://schemas.openxmlformats.org/officeDocument/2006/relationships/hyperlink" Target="https://ref.ly/Luke12:8-Luke12:9" TargetMode="External"/><Relationship Id="rId17632" Type="http://schemas.openxmlformats.org/officeDocument/2006/relationships/hyperlink" Target="https://ref.ly/Mark13:1-Mark13:32" TargetMode="External"/><Relationship Id="rId17633" Type="http://schemas.openxmlformats.org/officeDocument/2006/relationships/hyperlink" Target="https://ref.ly/Matt24:1-Matt24:36" TargetMode="External"/><Relationship Id="rId17634" Type="http://schemas.openxmlformats.org/officeDocument/2006/relationships/hyperlink" Target="https://ref.ly/Acts2:1-Acts2:21" TargetMode="External"/><Relationship Id="rId17635" Type="http://schemas.openxmlformats.org/officeDocument/2006/relationships/hyperlink" Target="https://ref.ly/Acts15:32" TargetMode="External"/><Relationship Id="rId17636" Type="http://schemas.openxmlformats.org/officeDocument/2006/relationships/hyperlink" Target="https://ref.ly/Rev22:9" TargetMode="External"/><Relationship Id="rId17637" Type="http://schemas.openxmlformats.org/officeDocument/2006/relationships/hyperlink" Target="https://ref.ly/1Cor14:4" TargetMode="External"/><Relationship Id="rId17638" Type="http://schemas.openxmlformats.org/officeDocument/2006/relationships/hyperlink" Target="https://ref.ly/1Cor14:20-1Cor14:25" TargetMode="External"/><Relationship Id="rId17639" Type="http://schemas.openxmlformats.org/officeDocument/2006/relationships/hyperlink" Target="https://ref.ly/Acts20:23" TargetMode="External"/><Relationship Id="rId17640" Type="http://schemas.openxmlformats.org/officeDocument/2006/relationships/hyperlink" Target="https://ref.ly/Deut18:15-Deut18:19" TargetMode="External"/><Relationship Id="rId17641" Type="http://schemas.openxmlformats.org/officeDocument/2006/relationships/hyperlink" Target="https://ref.ly/2Kgs4:9" TargetMode="External"/><Relationship Id="rId17642" Type="http://schemas.openxmlformats.org/officeDocument/2006/relationships/hyperlink" Target="https://ref.ly/1Sam9:9" TargetMode="External"/><Relationship Id="rId17643" Type="http://schemas.openxmlformats.org/officeDocument/2006/relationships/hyperlink" Target="https://ref.ly/Jer1:4-Jer1:5" TargetMode="External"/><Relationship Id="rId17644" Type="http://schemas.openxmlformats.org/officeDocument/2006/relationships/hyperlink" Target="https://ref.ly/Jer1:4-Jer1:19" TargetMode="External"/><Relationship Id="rId17645" Type="http://schemas.openxmlformats.org/officeDocument/2006/relationships/hyperlink" Target="https://ref.ly/Ezek1:1-Ezek3:27" TargetMode="External"/><Relationship Id="rId17646" Type="http://schemas.openxmlformats.org/officeDocument/2006/relationships/hyperlink" Target="https://ref.ly/Exod2:11-Exod2:13" TargetMode="External"/><Relationship Id="rId17647" Type="http://schemas.openxmlformats.org/officeDocument/2006/relationships/hyperlink" Target="https://ref.ly/Exod2:17" TargetMode="External"/><Relationship Id="rId17648" Type="http://schemas.openxmlformats.org/officeDocument/2006/relationships/hyperlink" Target="https://ref.ly/Deut18:16" TargetMode="External"/><Relationship Id="rId17649" Type="http://schemas.openxmlformats.org/officeDocument/2006/relationships/hyperlink" Target="https://ref.ly/2Kgs6:1" TargetMode="External"/><Relationship Id="rId17650" Type="http://schemas.openxmlformats.org/officeDocument/2006/relationships/hyperlink" Target="https://ref.ly/2Kgs2:3" TargetMode="External"/><Relationship Id="rId17651" Type="http://schemas.openxmlformats.org/officeDocument/2006/relationships/hyperlink" Target="https://ref.ly/1Sam10:5-1Sam10:11" TargetMode="External"/><Relationship Id="rId17652" Type="http://schemas.openxmlformats.org/officeDocument/2006/relationships/hyperlink" Target="https://ref.ly/1Sam19:20" TargetMode="External"/><Relationship Id="rId17653" Type="http://schemas.openxmlformats.org/officeDocument/2006/relationships/hyperlink" Target="https://ref.ly/1Kgs22:24" TargetMode="External"/><Relationship Id="rId17654" Type="http://schemas.openxmlformats.org/officeDocument/2006/relationships/hyperlink" Target="https://ref.ly/Neh9:30" TargetMode="External"/><Relationship Id="rId17655" Type="http://schemas.openxmlformats.org/officeDocument/2006/relationships/hyperlink" Target="https://ref.ly/Hos9:7" TargetMode="External"/><Relationship Id="rId17656" Type="http://schemas.openxmlformats.org/officeDocument/2006/relationships/hyperlink" Target="https://ref.ly/1Chr12:18" TargetMode="External"/><Relationship Id="rId17657" Type="http://schemas.openxmlformats.org/officeDocument/2006/relationships/hyperlink" Target="https://ref.ly/Jer1:9" TargetMode="External"/><Relationship Id="rId17658" Type="http://schemas.openxmlformats.org/officeDocument/2006/relationships/hyperlink" Target="https://ref.ly/Ezek2:7-Ezek4:4" TargetMode="External"/><Relationship Id="rId17659" Type="http://schemas.openxmlformats.org/officeDocument/2006/relationships/hyperlink" Target="https://ref.ly/Deut13:1-Deut13:18" TargetMode="External"/><Relationship Id="rId17660" Type="http://schemas.openxmlformats.org/officeDocument/2006/relationships/hyperlink" Target="https://ref.ly/Deut13:2" TargetMode="External"/><Relationship Id="rId17661" Type="http://schemas.openxmlformats.org/officeDocument/2006/relationships/hyperlink" Target="https://ref.ly/Deut13:1-Deut13:2" TargetMode="External"/><Relationship Id="rId17662" Type="http://schemas.openxmlformats.org/officeDocument/2006/relationships/hyperlink" Target="https://ref.ly/Deut13:5" TargetMode="External"/><Relationship Id="rId17663" Type="http://schemas.openxmlformats.org/officeDocument/2006/relationships/hyperlink" Target="https://ref.ly/Deut18:21-Deut18:22" TargetMode="External"/><Relationship Id="rId17664" Type="http://schemas.openxmlformats.org/officeDocument/2006/relationships/hyperlink" Target="https://ref.ly/Jer23:9-Jer23:40" TargetMode="External"/><Relationship Id="rId17665" Type="http://schemas.openxmlformats.org/officeDocument/2006/relationships/hyperlink" Target="https://ref.ly/Jer23:16-Jer23:22" TargetMode="External"/><Relationship Id="rId17666" Type="http://schemas.openxmlformats.org/officeDocument/2006/relationships/hyperlink" Target="https://ref.ly/Deut18:9-Deut18:15" TargetMode="External"/><Relationship Id="rId17667" Type="http://schemas.openxmlformats.org/officeDocument/2006/relationships/hyperlink" Target="https://ref.ly/Deut18:13-Deut18:15" TargetMode="External"/><Relationship Id="rId17668" Type="http://schemas.openxmlformats.org/officeDocument/2006/relationships/hyperlink" Target="https://ref.ly/2Kgs4:27" TargetMode="External"/><Relationship Id="rId17669" Type="http://schemas.openxmlformats.org/officeDocument/2006/relationships/hyperlink" Target="https://ref.ly/Amos3:7" TargetMode="External"/><Relationship Id="rId17670" Type="http://schemas.openxmlformats.org/officeDocument/2006/relationships/hyperlink" Target="https://ref.ly/Isa31:6-Isa31:7" TargetMode="External"/><Relationship Id="rId17671" Type="http://schemas.openxmlformats.org/officeDocument/2006/relationships/hyperlink" Target="https://ref.ly/Amos5:6" TargetMode="External"/><Relationship Id="rId17672" Type="http://schemas.openxmlformats.org/officeDocument/2006/relationships/hyperlink" Target="https://ref.ly/Isa40:1-Isa40:3" TargetMode="External"/><Relationship Id="rId17673" Type="http://schemas.openxmlformats.org/officeDocument/2006/relationships/hyperlink" Target="https://ref.ly/Acts2:11" TargetMode="External"/><Relationship Id="rId17674" Type="http://schemas.openxmlformats.org/officeDocument/2006/relationships/hyperlink" Target="https://ref.ly/Jer13:1-Jer13:11" TargetMode="External"/><Relationship Id="rId17675" Type="http://schemas.openxmlformats.org/officeDocument/2006/relationships/hyperlink" Target="https://ref.ly/Jer19:1-Jer19:15" TargetMode="External"/><Relationship Id="rId17676" Type="http://schemas.openxmlformats.org/officeDocument/2006/relationships/hyperlink" Target="https://ref.ly/Ezek24:15-Ezek24:24" TargetMode="External"/><Relationship Id="rId17677" Type="http://schemas.openxmlformats.org/officeDocument/2006/relationships/hyperlink" Target="https://ref.ly/Isa8:1-Isa8:4" TargetMode="External"/><Relationship Id="rId17678" Type="http://schemas.openxmlformats.org/officeDocument/2006/relationships/hyperlink" Target="https://ref.ly/Jer36:6" TargetMode="External"/><Relationship Id="rId17679" Type="http://schemas.openxmlformats.org/officeDocument/2006/relationships/hyperlink" Target="https://ref.ly/Jer4:19" TargetMode="External"/><Relationship Id="rId17680" Type="http://schemas.openxmlformats.org/officeDocument/2006/relationships/hyperlink" Target="https://ref.ly/Jer8:11" TargetMode="External"/><Relationship Id="rId17681" Type="http://schemas.openxmlformats.org/officeDocument/2006/relationships/hyperlink" Target="https://ref.ly/Isa30:10" TargetMode="External"/><Relationship Id="rId17682" Type="http://schemas.openxmlformats.org/officeDocument/2006/relationships/hyperlink" Target="https://ref.ly/Jer7:10" TargetMode="External"/><Relationship Id="rId17683" Type="http://schemas.openxmlformats.org/officeDocument/2006/relationships/hyperlink" Target="https://ref.ly/Jer7:12-Jer7:15" TargetMode="External"/><Relationship Id="rId17684" Type="http://schemas.openxmlformats.org/officeDocument/2006/relationships/hyperlink" Target="https://ref.ly/Num22:1-Num23:30" TargetMode="External"/><Relationship Id="rId17685" Type="http://schemas.openxmlformats.org/officeDocument/2006/relationships/hyperlink" Target="https://ref.ly/1Kgs13:1-1Kgs13:34" TargetMode="External"/><Relationship Id="rId17686" Type="http://schemas.openxmlformats.org/officeDocument/2006/relationships/hyperlink" Target="https://ref.ly/1John4:1" TargetMode="External"/><Relationship Id="rId17687" Type="http://schemas.openxmlformats.org/officeDocument/2006/relationships/hyperlink" Target="https://ref.ly/Rev13:11-Rev13:15" TargetMode="External"/><Relationship Id="rId17688" Type="http://schemas.openxmlformats.org/officeDocument/2006/relationships/hyperlink" Target="https://ref.ly/Eph4:14-Eph4:16" TargetMode="External"/><Relationship Id="rId17689" Type="http://schemas.openxmlformats.org/officeDocument/2006/relationships/hyperlink" Target="https://ref.ly/1Cor12:10-1Cor12:11" TargetMode="External"/><Relationship Id="rId17690" Type="http://schemas.openxmlformats.org/officeDocument/2006/relationships/hyperlink" Target="https://ref.ly/1John4:1-1John4:3" TargetMode="External"/><Relationship Id="rId17691" Type="http://schemas.openxmlformats.org/officeDocument/2006/relationships/hyperlink" Target="https://ref.ly/Num22:17" TargetMode="External"/><Relationship Id="rId17692" Type="http://schemas.openxmlformats.org/officeDocument/2006/relationships/hyperlink" Target="https://ref.ly/Esth4:7" TargetMode="External"/><Relationship Id="rId17693" Type="http://schemas.openxmlformats.org/officeDocument/2006/relationships/hyperlink" Target="https://ref.ly/Neh5:12" TargetMode="External"/><Relationship Id="rId17694" Type="http://schemas.openxmlformats.org/officeDocument/2006/relationships/hyperlink" Target="https://ref.ly/Rom4:21" TargetMode="External"/><Relationship Id="rId17695" Type="http://schemas.openxmlformats.org/officeDocument/2006/relationships/hyperlink" Target="https://ref.ly/2Cor6:16-2Cor7:1" TargetMode="External"/><Relationship Id="rId17696" Type="http://schemas.openxmlformats.org/officeDocument/2006/relationships/hyperlink" Target="https://ref.ly/Luke11:9" TargetMode="External"/><Relationship Id="rId17697" Type="http://schemas.openxmlformats.org/officeDocument/2006/relationships/hyperlink" Target="https://ref.ly/Luke18:29-Luke18:30" TargetMode="External"/><Relationship Id="rId17698" Type="http://schemas.openxmlformats.org/officeDocument/2006/relationships/hyperlink" Target="https://ref.ly/Rom6:22-Rom6:23" TargetMode="External"/><Relationship Id="rId17699" Type="http://schemas.openxmlformats.org/officeDocument/2006/relationships/hyperlink" Target="https://ref.ly/2Thess1:8-2Thess1:9" TargetMode="External"/><Relationship Id="rId17700" Type="http://schemas.openxmlformats.org/officeDocument/2006/relationships/hyperlink" Target="https://ref.ly/Gen12:1-Gen12:20" TargetMode="External"/><Relationship Id="rId17701" Type="http://schemas.openxmlformats.org/officeDocument/2006/relationships/hyperlink" Target="https://ref.ly/Gen12:1-Gen12:7" TargetMode="External"/><Relationship Id="rId17702" Type="http://schemas.openxmlformats.org/officeDocument/2006/relationships/hyperlink" Target="https://ref.ly/Gen18:18" TargetMode="External"/><Relationship Id="rId17703" Type="http://schemas.openxmlformats.org/officeDocument/2006/relationships/hyperlink" Target="https://ref.ly/Gen28:14" TargetMode="External"/><Relationship Id="rId17704" Type="http://schemas.openxmlformats.org/officeDocument/2006/relationships/hyperlink" Target="https://ref.ly/Ps89:34-Ps89:37" TargetMode="External"/><Relationship Id="rId17705" Type="http://schemas.openxmlformats.org/officeDocument/2006/relationships/hyperlink" Target="https://ref.ly/Ps89:3" TargetMode="External"/><Relationship Id="rId17706" Type="http://schemas.openxmlformats.org/officeDocument/2006/relationships/hyperlink" Target="https://ref.ly/Jer31:33-Jer31:34" TargetMode="External"/><Relationship Id="rId17707" Type="http://schemas.openxmlformats.org/officeDocument/2006/relationships/hyperlink" Target="https://ref.ly/Luke1:54-Luke1:55" TargetMode="External"/><Relationship Id="rId17708" Type="http://schemas.openxmlformats.org/officeDocument/2006/relationships/hyperlink" Target="https://ref.ly/Acts13:23" TargetMode="External"/><Relationship Id="rId17709" Type="http://schemas.openxmlformats.org/officeDocument/2006/relationships/hyperlink" Target="https://ref.ly/Acts26:6-Acts26:7" TargetMode="External"/><Relationship Id="rId17710" Type="http://schemas.openxmlformats.org/officeDocument/2006/relationships/hyperlink" Target="https://ref.ly/2Cor1:20" TargetMode="External"/><Relationship Id="rId17711" Type="http://schemas.openxmlformats.org/officeDocument/2006/relationships/hyperlink" Target="https://ref.ly/Gal3:29" TargetMode="External"/><Relationship Id="rId17712" Type="http://schemas.openxmlformats.org/officeDocument/2006/relationships/hyperlink" Target="https://ref.ly/Acts1:4" TargetMode="External"/><Relationship Id="rId17713" Type="http://schemas.openxmlformats.org/officeDocument/2006/relationships/hyperlink" Target="https://ref.ly/John14:1-John14:3" TargetMode="External"/><Relationship Id="rId17714" Type="http://schemas.openxmlformats.org/officeDocument/2006/relationships/hyperlink" Target="https://ref.ly/2Pet3:4" TargetMode="External"/><Relationship Id="rId17715" Type="http://schemas.openxmlformats.org/officeDocument/2006/relationships/hyperlink" Target="https://ref.ly/Acts13:16" TargetMode="External"/><Relationship Id="rId17716" Type="http://schemas.openxmlformats.org/officeDocument/2006/relationships/hyperlink" Target="https://ref.ly/Gen34:31" TargetMode="External"/><Relationship Id="rId17717" Type="http://schemas.openxmlformats.org/officeDocument/2006/relationships/hyperlink" Target="https://ref.ly/Judg19:2" TargetMode="External"/><Relationship Id="rId17718" Type="http://schemas.openxmlformats.org/officeDocument/2006/relationships/hyperlink" Target="https://ref.ly/Prov23:27" TargetMode="External"/><Relationship Id="rId17719" Type="http://schemas.openxmlformats.org/officeDocument/2006/relationships/hyperlink" Target="https://ref.ly/Gen38:21-Gen38:22" TargetMode="External"/><Relationship Id="rId17720" Type="http://schemas.openxmlformats.org/officeDocument/2006/relationships/hyperlink" Target="https://ref.ly/Deut23:17" TargetMode="External"/><Relationship Id="rId17721" Type="http://schemas.openxmlformats.org/officeDocument/2006/relationships/hyperlink" Target="https://ref.ly/Hos4:14" TargetMode="External"/><Relationship Id="rId17722" Type="http://schemas.openxmlformats.org/officeDocument/2006/relationships/hyperlink" Target="https://ref.ly/Lev19:29" TargetMode="External"/><Relationship Id="rId17723" Type="http://schemas.openxmlformats.org/officeDocument/2006/relationships/hyperlink" Target="https://ref.ly/Prov5:20" TargetMode="External"/><Relationship Id="rId17724" Type="http://schemas.openxmlformats.org/officeDocument/2006/relationships/hyperlink" Target="https://ref.ly/Prov6:24" TargetMode="External"/><Relationship Id="rId17725" Type="http://schemas.openxmlformats.org/officeDocument/2006/relationships/hyperlink" Target="https://ref.ly/Prov7:5" TargetMode="External"/><Relationship Id="rId17726" Type="http://schemas.openxmlformats.org/officeDocument/2006/relationships/hyperlink" Target="https://ref.ly/Prov5:17-Prov5:20" TargetMode="External"/><Relationship Id="rId17727" Type="http://schemas.openxmlformats.org/officeDocument/2006/relationships/hyperlink" Target="https://ref.ly/Matt21:31-Matt21:32" TargetMode="External"/><Relationship Id="rId17728" Type="http://schemas.openxmlformats.org/officeDocument/2006/relationships/hyperlink" Target="https://ref.ly/Luke15:30" TargetMode="External"/><Relationship Id="rId17729" Type="http://schemas.openxmlformats.org/officeDocument/2006/relationships/hyperlink" Target="https://ref.ly/1Cor6:15-1Cor6:16" TargetMode="External"/><Relationship Id="rId17730" Type="http://schemas.openxmlformats.org/officeDocument/2006/relationships/hyperlink" Target="https://ref.ly/Heb11:31" TargetMode="External"/><Relationship Id="rId17731" Type="http://schemas.openxmlformats.org/officeDocument/2006/relationships/hyperlink" Target="https://ref.ly/Jas2:25" TargetMode="External"/><Relationship Id="rId17732" Type="http://schemas.openxmlformats.org/officeDocument/2006/relationships/hyperlink" Target="https://ref.ly/Amos7:17" TargetMode="External"/><Relationship Id="rId17733" Type="http://schemas.openxmlformats.org/officeDocument/2006/relationships/hyperlink" Target="https://ref.ly/Matt21:32" TargetMode="External"/><Relationship Id="rId17734" Type="http://schemas.openxmlformats.org/officeDocument/2006/relationships/hyperlink" Target="https://ref.ly/Gen38:14-Gen38:15" TargetMode="External"/><Relationship Id="rId17735" Type="http://schemas.openxmlformats.org/officeDocument/2006/relationships/hyperlink" Target="https://ref.ly/Josh2:4-Josh2:16" TargetMode="External"/><Relationship Id="rId17736" Type="http://schemas.openxmlformats.org/officeDocument/2006/relationships/hyperlink" Target="https://ref.ly/Rev17:1,Rev17:5,Rev17:15-Rev17:16" TargetMode="External"/><Relationship Id="rId17737" Type="http://schemas.openxmlformats.org/officeDocument/2006/relationships/hyperlink" Target="https://ref.ly/Jer3:20" TargetMode="External"/><Relationship Id="rId17738" Type="http://schemas.openxmlformats.org/officeDocument/2006/relationships/hyperlink" Target="https://ref.ly/Judg8:33" TargetMode="External"/><Relationship Id="rId17739" Type="http://schemas.openxmlformats.org/officeDocument/2006/relationships/hyperlink" Target="https://ref.ly/Prov1:1-Prov9:18" TargetMode="External"/><Relationship Id="rId17740" Type="http://schemas.openxmlformats.org/officeDocument/2006/relationships/hyperlink" Target="https://ref.ly/Prov5:1-Prov5:21,Prov5:6-Prov5:35,Prov5:7-Prov5:27" TargetMode="External"/><Relationship Id="rId17741" Type="http://schemas.openxmlformats.org/officeDocument/2006/relationships/hyperlink" Target="https://ref.ly/Prov1:2-Prov1:7" TargetMode="External"/><Relationship Id="rId17742" Type="http://schemas.openxmlformats.org/officeDocument/2006/relationships/hyperlink" Target="https://ref.ly/Prov1:8-Prov9:18" TargetMode="External"/><Relationship Id="rId17743" Type="http://schemas.openxmlformats.org/officeDocument/2006/relationships/hyperlink" Target="https://ref.ly/Prov10:1-Prov22:16" TargetMode="External"/><Relationship Id="rId17744" Type="http://schemas.openxmlformats.org/officeDocument/2006/relationships/hyperlink" Target="https://ref.ly/1Kgs3:5-1Kgs3:14" TargetMode="External"/><Relationship Id="rId17745" Type="http://schemas.openxmlformats.org/officeDocument/2006/relationships/hyperlink" Target="https://ref.ly/1Kgs3:16-1Kgs3:28" TargetMode="External"/><Relationship Id="rId17746" Type="http://schemas.openxmlformats.org/officeDocument/2006/relationships/hyperlink" Target="https://ref.ly/1Kgs4:29-1Kgs4:34" TargetMode="External"/><Relationship Id="rId17747" Type="http://schemas.openxmlformats.org/officeDocument/2006/relationships/hyperlink" Target="https://ref.ly/1Kgs10:1-1Kgs10:13" TargetMode="External"/><Relationship Id="rId17748" Type="http://schemas.openxmlformats.org/officeDocument/2006/relationships/hyperlink" Target="https://ref.ly/Prov22:17-Prov24:34" TargetMode="External"/><Relationship Id="rId17749" Type="http://schemas.openxmlformats.org/officeDocument/2006/relationships/hyperlink" Target="https://ref.ly/Prov22:17" TargetMode="External"/><Relationship Id="rId17750" Type="http://schemas.openxmlformats.org/officeDocument/2006/relationships/hyperlink" Target="https://ref.ly/Prov24:23" TargetMode="External"/><Relationship Id="rId17751" Type="http://schemas.openxmlformats.org/officeDocument/2006/relationships/hyperlink" Target="https://ref.ly/Prov22:17-Prov23:11" TargetMode="External"/><Relationship Id="rId17752" Type="http://schemas.openxmlformats.org/officeDocument/2006/relationships/hyperlink" Target="https://ref.ly/Prov25:1" TargetMode="External"/><Relationship Id="rId17753" Type="http://schemas.openxmlformats.org/officeDocument/2006/relationships/hyperlink" Target="https://ref.ly/Prov25:2-Prov25:7" TargetMode="External"/><Relationship Id="rId17754" Type="http://schemas.openxmlformats.org/officeDocument/2006/relationships/hyperlink" Target="https://ref.ly/Prov26:13-Prov26:16" TargetMode="External"/><Relationship Id="rId17755" Type="http://schemas.openxmlformats.org/officeDocument/2006/relationships/hyperlink" Target="https://ref.ly/Prov26:17-Prov26:27" TargetMode="External"/><Relationship Id="rId17756" Type="http://schemas.openxmlformats.org/officeDocument/2006/relationships/hyperlink" Target="https://ref.ly/2Chr30:26" TargetMode="External"/><Relationship Id="rId17757" Type="http://schemas.openxmlformats.org/officeDocument/2006/relationships/hyperlink" Target="https://ref.ly/Prov1:7" TargetMode="External"/><Relationship Id="rId17758" Type="http://schemas.openxmlformats.org/officeDocument/2006/relationships/hyperlink" Target="https://ref.ly/2Sam20:16" TargetMode="External"/><Relationship Id="rId17759" Type="http://schemas.openxmlformats.org/officeDocument/2006/relationships/hyperlink" Target="https://ref.ly/2Sam15:1-2Sam15:2,2Sam15:31" TargetMode="External"/><Relationship Id="rId17760" Type="http://schemas.openxmlformats.org/officeDocument/2006/relationships/hyperlink" Target="https://ref.ly/2Sam16:15-2Sam16:19" TargetMode="External"/><Relationship Id="rId17761" Type="http://schemas.openxmlformats.org/officeDocument/2006/relationships/hyperlink" Target="https://ref.ly/1Kgs4:32" TargetMode="External"/><Relationship Id="rId17762" Type="http://schemas.openxmlformats.org/officeDocument/2006/relationships/hyperlink" Target="https://ref.ly/Prov10:1-Prov15:33" TargetMode="External"/><Relationship Id="rId17763" Type="http://schemas.openxmlformats.org/officeDocument/2006/relationships/hyperlink" Target="https://ref.ly/Prov16:1-Prov22:29" TargetMode="External"/><Relationship Id="rId17764" Type="http://schemas.openxmlformats.org/officeDocument/2006/relationships/hyperlink" Target="https://ref.ly/Prov2:5" TargetMode="External"/><Relationship Id="rId17765" Type="http://schemas.openxmlformats.org/officeDocument/2006/relationships/hyperlink" Target="https://ref.ly/Prov3:7" TargetMode="External"/><Relationship Id="rId17766" Type="http://schemas.openxmlformats.org/officeDocument/2006/relationships/hyperlink" Target="https://ref.ly/Prov8:13" TargetMode="External"/><Relationship Id="rId17767" Type="http://schemas.openxmlformats.org/officeDocument/2006/relationships/hyperlink" Target="https://ref.ly/Prov15:8" TargetMode="External"/><Relationship Id="rId17768" Type="http://schemas.openxmlformats.org/officeDocument/2006/relationships/hyperlink" Target="https://ref.ly/Prov21:27" TargetMode="External"/><Relationship Id="rId17769" Type="http://schemas.openxmlformats.org/officeDocument/2006/relationships/hyperlink" Target="https://ref.ly/Prov2:22" TargetMode="External"/><Relationship Id="rId17770" Type="http://schemas.openxmlformats.org/officeDocument/2006/relationships/hyperlink" Target="https://ref.ly/Prov3:9-Prov3:10" TargetMode="External"/><Relationship Id="rId17771" Type="http://schemas.openxmlformats.org/officeDocument/2006/relationships/hyperlink" Target="https://ref.ly/Prov10:27-Prov10:30" TargetMode="External"/><Relationship Id="rId17772" Type="http://schemas.openxmlformats.org/officeDocument/2006/relationships/hyperlink" Target="https://ref.ly/Job21:7-Job21:34" TargetMode="External"/><Relationship Id="rId17773" Type="http://schemas.openxmlformats.org/officeDocument/2006/relationships/hyperlink" Target="https://ref.ly/Prov1:1-Prov1:7" TargetMode="External"/><Relationship Id="rId17774" Type="http://schemas.openxmlformats.org/officeDocument/2006/relationships/hyperlink" Target="https://ref.ly/Prov1:2" TargetMode="External"/><Relationship Id="rId17775" Type="http://schemas.openxmlformats.org/officeDocument/2006/relationships/hyperlink" Target="https://ref.ly/1Kgs3:7-1Kgs3:9" TargetMode="External"/><Relationship Id="rId17776" Type="http://schemas.openxmlformats.org/officeDocument/2006/relationships/hyperlink" Target="https://ref.ly/Prov1:1-Prov1:6" TargetMode="External"/><Relationship Id="rId17777" Type="http://schemas.openxmlformats.org/officeDocument/2006/relationships/hyperlink" Target="https://ref.ly/Prov8:1-Prov9:18" TargetMode="External"/><Relationship Id="rId17778" Type="http://schemas.openxmlformats.org/officeDocument/2006/relationships/hyperlink" Target="https://ref.ly/Prov1:8-Prov1:33" TargetMode="External"/><Relationship Id="rId17779" Type="http://schemas.openxmlformats.org/officeDocument/2006/relationships/hyperlink" Target="https://ref.ly/Prov1:10-Prov1:14" TargetMode="External"/><Relationship Id="rId17780" Type="http://schemas.openxmlformats.org/officeDocument/2006/relationships/hyperlink" Target="https://ref.ly/Prov1:15-Prov1:19" TargetMode="External"/><Relationship Id="rId17781" Type="http://schemas.openxmlformats.org/officeDocument/2006/relationships/hyperlink" Target="https://ref.ly/Prov1:8-Prov1:9" TargetMode="External"/><Relationship Id="rId17782" Type="http://schemas.openxmlformats.org/officeDocument/2006/relationships/hyperlink" Target="https://ref.ly/Prov1:20-Prov1:33" TargetMode="External"/><Relationship Id="rId17783" Type="http://schemas.openxmlformats.org/officeDocument/2006/relationships/hyperlink" Target="https://ref.ly/Prov1:23" TargetMode="External"/><Relationship Id="rId17784" Type="http://schemas.openxmlformats.org/officeDocument/2006/relationships/hyperlink" Target="https://ref.ly/Prov1:29-Prov1:33" TargetMode="External"/><Relationship Id="rId17785" Type="http://schemas.openxmlformats.org/officeDocument/2006/relationships/hyperlink" Target="https://ref.ly/Prov2:1-Prov2:22" TargetMode="External"/><Relationship Id="rId17786" Type="http://schemas.openxmlformats.org/officeDocument/2006/relationships/hyperlink" Target="https://ref.ly/Prov2:6" TargetMode="External"/><Relationship Id="rId17787" Type="http://schemas.openxmlformats.org/officeDocument/2006/relationships/hyperlink" Target="https://ref.ly/Prov2:2-Prov2:4" TargetMode="External"/><Relationship Id="rId17788" Type="http://schemas.openxmlformats.org/officeDocument/2006/relationships/hyperlink" Target="https://ref.ly/Prov2:7-Prov2:22" TargetMode="External"/><Relationship Id="rId17789" Type="http://schemas.openxmlformats.org/officeDocument/2006/relationships/hyperlink" Target="https://ref.ly/Prov2:16-Prov2:19" TargetMode="External"/><Relationship Id="rId17790" Type="http://schemas.openxmlformats.org/officeDocument/2006/relationships/hyperlink" Target="https://ref.ly/Prov3:1-Prov3:10" TargetMode="External"/><Relationship Id="rId17791" Type="http://schemas.openxmlformats.org/officeDocument/2006/relationships/hyperlink" Target="https://ref.ly/Prov3:1-Prov3:8" TargetMode="External"/><Relationship Id="rId17792" Type="http://schemas.openxmlformats.org/officeDocument/2006/relationships/hyperlink" Target="https://ref.ly/Prov3:6" TargetMode="External"/><Relationship Id="rId17793" Type="http://schemas.openxmlformats.org/officeDocument/2006/relationships/hyperlink" Target="https://ref.ly/Hag1:1-Hag1:11" TargetMode="External"/><Relationship Id="rId17794" Type="http://schemas.openxmlformats.org/officeDocument/2006/relationships/hyperlink" Target="https://ref.ly/Prov3:11-Prov3:20" TargetMode="External"/><Relationship Id="rId17795" Type="http://schemas.openxmlformats.org/officeDocument/2006/relationships/hyperlink" Target="https://ref.ly/Prov3:21-Prov3:35" TargetMode="External"/><Relationship Id="rId17796" Type="http://schemas.openxmlformats.org/officeDocument/2006/relationships/hyperlink" Target="https://ref.ly/Prov3:23-Prov3:26" TargetMode="External"/><Relationship Id="rId17797" Type="http://schemas.openxmlformats.org/officeDocument/2006/relationships/hyperlink" Target="https://ref.ly/Prov3:27-Prov3:32" TargetMode="External"/><Relationship Id="rId17798" Type="http://schemas.openxmlformats.org/officeDocument/2006/relationships/hyperlink" Target="https://ref.ly/Prov3:26" TargetMode="External"/><Relationship Id="rId17799" Type="http://schemas.openxmlformats.org/officeDocument/2006/relationships/hyperlink" Target="https://ref.ly/Prov4:1-Prov4:9" TargetMode="External"/><Relationship Id="rId17800" Type="http://schemas.openxmlformats.org/officeDocument/2006/relationships/hyperlink" Target="https://ref.ly/Prov4:1-Prov4:6" TargetMode="External"/><Relationship Id="rId17801" Type="http://schemas.openxmlformats.org/officeDocument/2006/relationships/hyperlink" Target="https://ref.ly/Prov4:5-Prov4:9" TargetMode="External"/><Relationship Id="rId17802" Type="http://schemas.openxmlformats.org/officeDocument/2006/relationships/hyperlink" Target="https://ref.ly/Prov4:10-Prov4:19" TargetMode="External"/><Relationship Id="rId17803" Type="http://schemas.openxmlformats.org/officeDocument/2006/relationships/hyperlink" Target="https://ref.ly/Prov4:14-Prov4:17" TargetMode="External"/><Relationship Id="rId17804" Type="http://schemas.openxmlformats.org/officeDocument/2006/relationships/hyperlink" Target="https://ref.ly/Prov4:18-Prov4:19" TargetMode="External"/><Relationship Id="rId17805" Type="http://schemas.openxmlformats.org/officeDocument/2006/relationships/hyperlink" Target="https://ref.ly/Prov4:20-Prov4:27" TargetMode="External"/><Relationship Id="rId17806" Type="http://schemas.openxmlformats.org/officeDocument/2006/relationships/hyperlink" Target="https://ref.ly/1Thess5:22" TargetMode="External"/><Relationship Id="rId17807" Type="http://schemas.openxmlformats.org/officeDocument/2006/relationships/hyperlink" Target="https://ref.ly/Prov4:20" TargetMode="External"/><Relationship Id="rId17808" Type="http://schemas.openxmlformats.org/officeDocument/2006/relationships/hyperlink" Target="https://ref.ly/Prov4:21" TargetMode="External"/><Relationship Id="rId17809" Type="http://schemas.openxmlformats.org/officeDocument/2006/relationships/hyperlink" Target="https://ref.ly/Prov4:21,Prov4:23" TargetMode="External"/><Relationship Id="rId17810" Type="http://schemas.openxmlformats.org/officeDocument/2006/relationships/hyperlink" Target="https://ref.ly/Prov4:25" TargetMode="External"/><Relationship Id="rId17811" Type="http://schemas.openxmlformats.org/officeDocument/2006/relationships/hyperlink" Target="https://ref.ly/Prov4:26-Prov4:27" TargetMode="External"/><Relationship Id="rId17812" Type="http://schemas.openxmlformats.org/officeDocument/2006/relationships/hyperlink" Target="https://ref.ly/Prov5:1-Prov5:23" TargetMode="External"/><Relationship Id="rId17813" Type="http://schemas.openxmlformats.org/officeDocument/2006/relationships/hyperlink" Target="https://ref.ly/Prov5:21" TargetMode="External"/><Relationship Id="rId17814" Type="http://schemas.openxmlformats.org/officeDocument/2006/relationships/hyperlink" Target="https://ref.ly/Prov6:1-Prov6:19" TargetMode="External"/><Relationship Id="rId17815" Type="http://schemas.openxmlformats.org/officeDocument/2006/relationships/hyperlink" Target="https://ref.ly/Prov6:1-Prov6:5" TargetMode="External"/><Relationship Id="rId17816" Type="http://schemas.openxmlformats.org/officeDocument/2006/relationships/hyperlink" Target="https://ref.ly/Prov22:13" TargetMode="External"/><Relationship Id="rId17817" Type="http://schemas.openxmlformats.org/officeDocument/2006/relationships/hyperlink" Target="https://ref.ly/Prov6:12-Prov6:19" TargetMode="External"/><Relationship Id="rId17818" Type="http://schemas.openxmlformats.org/officeDocument/2006/relationships/hyperlink" Target="https://ref.ly/Prov6:20-Prov6:35" TargetMode="External"/><Relationship Id="rId17819" Type="http://schemas.openxmlformats.org/officeDocument/2006/relationships/hyperlink" Target="https://ref.ly/Prov6:33-Prov6:35" TargetMode="External"/><Relationship Id="rId17820" Type="http://schemas.openxmlformats.org/officeDocument/2006/relationships/hyperlink" Target="https://ref.ly/Prov6:26-Prov6:32" TargetMode="External"/><Relationship Id="rId17821" Type="http://schemas.openxmlformats.org/officeDocument/2006/relationships/hyperlink" Target="https://ref.ly/Prov7:1-Prov7:27" TargetMode="External"/><Relationship Id="rId17822" Type="http://schemas.openxmlformats.org/officeDocument/2006/relationships/hyperlink" Target="https://ref.ly/Prov9:13-Prov9:18" TargetMode="External"/><Relationship Id="rId17823" Type="http://schemas.openxmlformats.org/officeDocument/2006/relationships/hyperlink" Target="https://ref.ly/Prov8:1-Prov8:5" TargetMode="External"/><Relationship Id="rId17824" Type="http://schemas.openxmlformats.org/officeDocument/2006/relationships/hyperlink" Target="https://ref.ly/Prov8:6-Prov8:13" TargetMode="External"/><Relationship Id="rId17825" Type="http://schemas.openxmlformats.org/officeDocument/2006/relationships/hyperlink" Target="https://ref.ly/Prov8:14-Prov8:21" TargetMode="External"/><Relationship Id="rId17826" Type="http://schemas.openxmlformats.org/officeDocument/2006/relationships/hyperlink" Target="https://ref.ly/Prov8:22-Prov8:31" TargetMode="External"/><Relationship Id="rId17827" Type="http://schemas.openxmlformats.org/officeDocument/2006/relationships/hyperlink" Target="https://ref.ly/Prov8:33-Prov8:36" TargetMode="External"/><Relationship Id="rId17828" Type="http://schemas.openxmlformats.org/officeDocument/2006/relationships/hyperlink" Target="https://ref.ly/Prov9:1-Prov9:6" TargetMode="External"/><Relationship Id="rId17829" Type="http://schemas.openxmlformats.org/officeDocument/2006/relationships/hyperlink" Target="https://ref.ly/Prov9:7-Prov9:12" TargetMode="External"/><Relationship Id="rId17830" Type="http://schemas.openxmlformats.org/officeDocument/2006/relationships/hyperlink" Target="https://ref.ly/Prov14:12" TargetMode="External"/><Relationship Id="rId17831" Type="http://schemas.openxmlformats.org/officeDocument/2006/relationships/hyperlink" Target="https://ref.ly/Prov16:25" TargetMode="External"/><Relationship Id="rId17832" Type="http://schemas.openxmlformats.org/officeDocument/2006/relationships/hyperlink" Target="https://ref.ly/Prov10:27-Prov10:29" TargetMode="External"/><Relationship Id="rId17833" Type="http://schemas.openxmlformats.org/officeDocument/2006/relationships/hyperlink" Target="https://ref.ly/Prov15:16,Prov15:33" TargetMode="External"/><Relationship Id="rId17834" Type="http://schemas.openxmlformats.org/officeDocument/2006/relationships/hyperlink" Target="https://ref.ly/Prov18:10" TargetMode="External"/><Relationship Id="rId17835" Type="http://schemas.openxmlformats.org/officeDocument/2006/relationships/hyperlink" Target="https://ref.ly/Prov10:2,Prov10:7,Prov10:16,Prov10:27-Prov10:30" TargetMode="External"/><Relationship Id="rId17836" Type="http://schemas.openxmlformats.org/officeDocument/2006/relationships/hyperlink" Target="https://ref.ly/Prov11:3-Prov11:9" TargetMode="External"/><Relationship Id="rId17837" Type="http://schemas.openxmlformats.org/officeDocument/2006/relationships/hyperlink" Target="https://ref.ly/Prov10:4-Prov10:5" TargetMode="External"/><Relationship Id="rId17838" Type="http://schemas.openxmlformats.org/officeDocument/2006/relationships/hyperlink" Target="https://ref.ly/Prov12:18" TargetMode="External"/><Relationship Id="rId17839" Type="http://schemas.openxmlformats.org/officeDocument/2006/relationships/hyperlink" Target="https://ref.ly/Prov12:6,Prov12:13-Prov12:14,Prov12:17-Prov12:19,Prov12:22" TargetMode="External"/><Relationship Id="rId17840" Type="http://schemas.openxmlformats.org/officeDocument/2006/relationships/hyperlink" Target="https://ref.ly/Prov13:1-Prov13:25" TargetMode="External"/><Relationship Id="rId17841" Type="http://schemas.openxmlformats.org/officeDocument/2006/relationships/hyperlink" Target="https://ref.ly/Prov13:1" TargetMode="External"/><Relationship Id="rId17842" Type="http://schemas.openxmlformats.org/officeDocument/2006/relationships/hyperlink" Target="https://ref.ly/Prov13:13" TargetMode="External"/><Relationship Id="rId17843" Type="http://schemas.openxmlformats.org/officeDocument/2006/relationships/hyperlink" Target="https://ref.ly/Prov13:14" TargetMode="External"/><Relationship Id="rId17844" Type="http://schemas.openxmlformats.org/officeDocument/2006/relationships/hyperlink" Target="https://ref.ly/Prov13:20" TargetMode="External"/><Relationship Id="rId17845" Type="http://schemas.openxmlformats.org/officeDocument/2006/relationships/hyperlink" Target="https://ref.ly/Prov17:8,Prov17:23" TargetMode="External"/><Relationship Id="rId17846" Type="http://schemas.openxmlformats.org/officeDocument/2006/relationships/hyperlink" Target="https://ref.ly/Prov18:16" TargetMode="External"/><Relationship Id="rId17847" Type="http://schemas.openxmlformats.org/officeDocument/2006/relationships/hyperlink" Target="https://ref.ly/Prov19:5,Prov19:9,Prov19:28" TargetMode="External"/><Relationship Id="rId17848" Type="http://schemas.openxmlformats.org/officeDocument/2006/relationships/hyperlink" Target="https://ref.ly/Prov18:17" TargetMode="External"/><Relationship Id="rId17849" Type="http://schemas.openxmlformats.org/officeDocument/2006/relationships/hyperlink" Target="https://ref.ly/Prov19:4-Prov19:7" TargetMode="External"/><Relationship Id="rId17850" Type="http://schemas.openxmlformats.org/officeDocument/2006/relationships/hyperlink" Target="https://ref.ly/Prov18:24" TargetMode="External"/><Relationship Id="rId17851" Type="http://schemas.openxmlformats.org/officeDocument/2006/relationships/hyperlink" Target="https://ref.ly/Prov21:6" TargetMode="External"/><Relationship Id="rId17852" Type="http://schemas.openxmlformats.org/officeDocument/2006/relationships/hyperlink" Target="https://ref.ly/Prov22:1,Prov22:4" TargetMode="External"/><Relationship Id="rId17853" Type="http://schemas.openxmlformats.org/officeDocument/2006/relationships/hyperlink" Target="https://ref.ly/Prov21:13" TargetMode="External"/><Relationship Id="rId17854" Type="http://schemas.openxmlformats.org/officeDocument/2006/relationships/hyperlink" Target="https://ref.ly/Prov22:2" TargetMode="External"/><Relationship Id="rId17855" Type="http://schemas.openxmlformats.org/officeDocument/2006/relationships/hyperlink" Target="https://ref.ly/Prov12:4" TargetMode="External"/><Relationship Id="rId17856" Type="http://schemas.openxmlformats.org/officeDocument/2006/relationships/hyperlink" Target="https://ref.ly/Prov14:1" TargetMode="External"/><Relationship Id="rId17857" Type="http://schemas.openxmlformats.org/officeDocument/2006/relationships/hyperlink" Target="https://ref.ly/Prov19:14" TargetMode="External"/><Relationship Id="rId17858" Type="http://schemas.openxmlformats.org/officeDocument/2006/relationships/hyperlink" Target="https://ref.ly/Prov23:13-Prov23:14" TargetMode="External"/><Relationship Id="rId17859" Type="http://schemas.openxmlformats.org/officeDocument/2006/relationships/hyperlink" Target="https://ref.ly/Prov22:17-Prov31:31" TargetMode="External"/><Relationship Id="rId17860" Type="http://schemas.openxmlformats.org/officeDocument/2006/relationships/hyperlink" Target="https://ref.ly/Prov22:19" TargetMode="External"/><Relationship Id="rId17861" Type="http://schemas.openxmlformats.org/officeDocument/2006/relationships/hyperlink" Target="https://ref.ly/Prov25:8-Prov25:10" TargetMode="External"/><Relationship Id="rId17862" Type="http://schemas.openxmlformats.org/officeDocument/2006/relationships/hyperlink" Target="https://ref.ly/Prov26:1-Prov26:12" TargetMode="External"/><Relationship Id="rId17863" Type="http://schemas.openxmlformats.org/officeDocument/2006/relationships/hyperlink" Target="https://ref.ly/Prov30:1-Prov30:4" TargetMode="External"/><Relationship Id="rId17864" Type="http://schemas.openxmlformats.org/officeDocument/2006/relationships/hyperlink" Target="https://ref.ly/Job38:1-Job39:30" TargetMode="External"/><Relationship Id="rId17865" Type="http://schemas.openxmlformats.org/officeDocument/2006/relationships/hyperlink" Target="https://ref.ly/Prov31:30" TargetMode="External"/><Relationship Id="rId17866" Type="http://schemas.openxmlformats.org/officeDocument/2006/relationships/hyperlink" Target="https://ref.ly/Prov31:11" TargetMode="External"/><Relationship Id="rId17867" Type="http://schemas.openxmlformats.org/officeDocument/2006/relationships/hyperlink" Target="https://ref.ly/Prov31:13-Prov31:19,Prov31:24,Prov31:27" TargetMode="External"/><Relationship Id="rId17868" Type="http://schemas.openxmlformats.org/officeDocument/2006/relationships/hyperlink" Target="https://ref.ly/Prov31:19-Prov31:20" TargetMode="External"/><Relationship Id="rId17869" Type="http://schemas.openxmlformats.org/officeDocument/2006/relationships/hyperlink" Target="https://ref.ly/Prov31:21,Prov31:25" TargetMode="External"/><Relationship Id="rId17870" Type="http://schemas.openxmlformats.org/officeDocument/2006/relationships/hyperlink" Target="https://ref.ly/Prov31:26" TargetMode="External"/><Relationship Id="rId17871" Type="http://schemas.openxmlformats.org/officeDocument/2006/relationships/hyperlink" Target="https://ref.ly/Gen22:8" TargetMode="External"/><Relationship Id="rId17872" Type="http://schemas.openxmlformats.org/officeDocument/2006/relationships/hyperlink" Target="https://ref.ly/Gen22:13" TargetMode="External"/><Relationship Id="rId17873" Type="http://schemas.openxmlformats.org/officeDocument/2006/relationships/hyperlink" Target="https://ref.ly/Lev6:1-Lev6:7" TargetMode="External"/><Relationship Id="rId17874" Type="http://schemas.openxmlformats.org/officeDocument/2006/relationships/hyperlink" Target="https://ref.ly/Deut15:2-Deut15:3" TargetMode="External"/><Relationship Id="rId17875" Type="http://schemas.openxmlformats.org/officeDocument/2006/relationships/hyperlink" Target="https://ref.ly/Exod22:5-Exod22:15" TargetMode="External"/><Relationship Id="rId17876" Type="http://schemas.openxmlformats.org/officeDocument/2006/relationships/hyperlink" Target="https://ref.ly/Lev25:25" TargetMode="External"/><Relationship Id="rId17877" Type="http://schemas.openxmlformats.org/officeDocument/2006/relationships/hyperlink" Target="https://ref.ly/Deut22:1-Deut22:4" TargetMode="External"/><Relationship Id="rId17878" Type="http://schemas.openxmlformats.org/officeDocument/2006/relationships/hyperlink" Target="https://ref.ly/Lev24:19-Lev24:23" TargetMode="External"/><Relationship Id="rId17879" Type="http://schemas.openxmlformats.org/officeDocument/2006/relationships/hyperlink" Target="https://ref.ly/Deut19:11-Deut19:19" TargetMode="External"/><Relationship Id="rId17880" Type="http://schemas.openxmlformats.org/officeDocument/2006/relationships/hyperlink" Target="https://ref.ly/Lev25:17" TargetMode="External"/><Relationship Id="rId17881" Type="http://schemas.openxmlformats.org/officeDocument/2006/relationships/hyperlink" Target="https://ref.ly/Hos4:1-Hos4:3" TargetMode="External"/><Relationship Id="rId17882" Type="http://schemas.openxmlformats.org/officeDocument/2006/relationships/hyperlink" Target="https://ref.ly/Amos2:6-Amos2:7" TargetMode="External"/><Relationship Id="rId17883" Type="http://schemas.openxmlformats.org/officeDocument/2006/relationships/hyperlink" Target="https://ref.ly/Jer5:7-Jer5:9" TargetMode="External"/><Relationship Id="rId17884" Type="http://schemas.openxmlformats.org/officeDocument/2006/relationships/hyperlink" Target="https://ref.ly/Jer7:1-Jer7:15" TargetMode="External"/><Relationship Id="rId17885" Type="http://schemas.openxmlformats.org/officeDocument/2006/relationships/hyperlink" Target="https://ref.ly/Jer9:2-Jer9:9" TargetMode="External"/><Relationship Id="rId17886" Type="http://schemas.openxmlformats.org/officeDocument/2006/relationships/hyperlink" Target="https://ref.ly/Zech8:14-Zech8:17" TargetMode="External"/><Relationship Id="rId17887" Type="http://schemas.openxmlformats.org/officeDocument/2006/relationships/hyperlink" Target="https://ref.ly/Matt5:43" TargetMode="External"/><Relationship Id="rId17888" Type="http://schemas.openxmlformats.org/officeDocument/2006/relationships/hyperlink" Target="https://ref.ly/Matt5:43-Matt5:48" TargetMode="External"/><Relationship Id="rId17889" Type="http://schemas.openxmlformats.org/officeDocument/2006/relationships/hyperlink" Target="https://ref.ly/Mark12:28-Mark12:31" TargetMode="External"/><Relationship Id="rId17890" Type="http://schemas.openxmlformats.org/officeDocument/2006/relationships/hyperlink" Target="https://ref.ly/Luke10:29" TargetMode="External"/><Relationship Id="rId17891" Type="http://schemas.openxmlformats.org/officeDocument/2006/relationships/hyperlink" Target="https://ref.ly/Judg10:1" TargetMode="External"/><Relationship Id="rId17892" Type="http://schemas.openxmlformats.org/officeDocument/2006/relationships/hyperlink" Target="https://ref.ly/Num26:23" TargetMode="External"/><Relationship Id="rId17893" Type="http://schemas.openxmlformats.org/officeDocument/2006/relationships/hyperlink" Target="https://ref.ly/Acts28:7-Acts28:8" TargetMode="External"/><Relationship Id="rId17894" Type="http://schemas.openxmlformats.org/officeDocument/2006/relationships/hyperlink" Target="https://ref.ly/Gen9:5-Gen9:6" TargetMode="External"/><Relationship Id="rId17895" Type="http://schemas.openxmlformats.org/officeDocument/2006/relationships/hyperlink" Target="https://ref.ly/Rom13:1-Rom13:5" TargetMode="External"/><Relationship Id="rId17896" Type="http://schemas.openxmlformats.org/officeDocument/2006/relationships/hyperlink" Target="https://ref.ly/Num33:42-Num33:43" TargetMode="External"/><Relationship Id="rId17897" Type="http://schemas.openxmlformats.org/officeDocument/2006/relationships/hyperlink" Target="https://ref.ly/Ps24:3-Ps24:4" TargetMode="External"/><Relationship Id="rId17898" Type="http://schemas.openxmlformats.org/officeDocument/2006/relationships/hyperlink" Target="https://ref.ly/Lev16:16" TargetMode="External"/><Relationship Id="rId17899" Type="http://schemas.openxmlformats.org/officeDocument/2006/relationships/hyperlink" Target="https://ref.ly/2Sam22:21" TargetMode="External"/><Relationship Id="rId17900" Type="http://schemas.openxmlformats.org/officeDocument/2006/relationships/hyperlink" Target="https://ref.ly/Job17:9" TargetMode="External"/><Relationship Id="rId17901" Type="http://schemas.openxmlformats.org/officeDocument/2006/relationships/hyperlink" Target="https://ref.ly/Job22:30" TargetMode="External"/><Relationship Id="rId17902" Type="http://schemas.openxmlformats.org/officeDocument/2006/relationships/hyperlink" Target="https://ref.ly/Ps24:4" TargetMode="External"/><Relationship Id="rId17903" Type="http://schemas.openxmlformats.org/officeDocument/2006/relationships/hyperlink" Target="https://ref.ly/Ps73:13" TargetMode="External"/><Relationship Id="rId17904" Type="http://schemas.openxmlformats.org/officeDocument/2006/relationships/hyperlink" Target="https://ref.ly/Prov20:9" TargetMode="External"/><Relationship Id="rId17905" Type="http://schemas.openxmlformats.org/officeDocument/2006/relationships/hyperlink" Target="https://ref.ly/Isa6:5-Isa6:7" TargetMode="External"/><Relationship Id="rId17906" Type="http://schemas.openxmlformats.org/officeDocument/2006/relationships/hyperlink" Target="https://ref.ly/Job11:4" TargetMode="External"/><Relationship Id="rId17907" Type="http://schemas.openxmlformats.org/officeDocument/2006/relationships/hyperlink" Target="https://ref.ly/Job33:9" TargetMode="External"/><Relationship Id="rId17908" Type="http://schemas.openxmlformats.org/officeDocument/2006/relationships/hyperlink" Target="https://ref.ly/Ps51:7-Ps51:10" TargetMode="External"/><Relationship Id="rId17909" Type="http://schemas.openxmlformats.org/officeDocument/2006/relationships/hyperlink" Target="https://ref.ly/Lev11:47" TargetMode="External"/><Relationship Id="rId17910" Type="http://schemas.openxmlformats.org/officeDocument/2006/relationships/hyperlink" Target="https://ref.ly/Acts15:28-Acts15:29" TargetMode="External"/><Relationship Id="rId17911" Type="http://schemas.openxmlformats.org/officeDocument/2006/relationships/hyperlink" Target="https://ref.ly/2Kgs5:1-2Kgs5:14" TargetMode="External"/><Relationship Id="rId17912" Type="http://schemas.openxmlformats.org/officeDocument/2006/relationships/hyperlink" Target="https://ref.ly/Matt8:1-Matt8:4" TargetMode="External"/><Relationship Id="rId17913" Type="http://schemas.openxmlformats.org/officeDocument/2006/relationships/hyperlink" Target="https://ref.ly/Matt10:8" TargetMode="External"/><Relationship Id="rId17914" Type="http://schemas.openxmlformats.org/officeDocument/2006/relationships/hyperlink" Target="https://ref.ly/Lev14:33-Lev14:57" TargetMode="External"/><Relationship Id="rId17915" Type="http://schemas.openxmlformats.org/officeDocument/2006/relationships/hyperlink" Target="https://ref.ly/Lev15:16-Lev15:18" TargetMode="External"/><Relationship Id="rId17916" Type="http://schemas.openxmlformats.org/officeDocument/2006/relationships/hyperlink" Target="https://ref.ly/Deut23:10" TargetMode="External"/><Relationship Id="rId17917" Type="http://schemas.openxmlformats.org/officeDocument/2006/relationships/hyperlink" Target="https://ref.ly/Lev15:1-Lev15:15" TargetMode="External"/><Relationship Id="rId17918" Type="http://schemas.openxmlformats.org/officeDocument/2006/relationships/hyperlink" Target="https://ref.ly/Lev15:19-Lev15:24" TargetMode="External"/><Relationship Id="rId17919" Type="http://schemas.openxmlformats.org/officeDocument/2006/relationships/hyperlink" Target="https://ref.ly/2Sam11:4" TargetMode="External"/><Relationship Id="rId17920" Type="http://schemas.openxmlformats.org/officeDocument/2006/relationships/hyperlink" Target="https://ref.ly/Lev20:18" TargetMode="External"/><Relationship Id="rId17921" Type="http://schemas.openxmlformats.org/officeDocument/2006/relationships/hyperlink" Target="https://ref.ly/Lev15:8" TargetMode="External"/><Relationship Id="rId17922" Type="http://schemas.openxmlformats.org/officeDocument/2006/relationships/hyperlink" Target="https://ref.ly/Num19:16" TargetMode="External"/><Relationship Id="rId17923" Type="http://schemas.openxmlformats.org/officeDocument/2006/relationships/hyperlink" Target="https://ref.ly/Num9:6-Num9:11" TargetMode="External"/><Relationship Id="rId17924" Type="http://schemas.openxmlformats.org/officeDocument/2006/relationships/hyperlink" Target="https://ref.ly/Lev21:10-Lev21:11" TargetMode="External"/><Relationship Id="rId17925" Type="http://schemas.openxmlformats.org/officeDocument/2006/relationships/hyperlink" Target="https://ref.ly/Num6:6-Num6:7" TargetMode="External"/><Relationship Id="rId17926" Type="http://schemas.openxmlformats.org/officeDocument/2006/relationships/hyperlink" Target="https://ref.ly/Matt23:27" TargetMode="External"/><Relationship Id="rId17927" Type="http://schemas.openxmlformats.org/officeDocument/2006/relationships/hyperlink" Target="https://ref.ly/Ps106:38" TargetMode="External"/><Relationship Id="rId17928" Type="http://schemas.openxmlformats.org/officeDocument/2006/relationships/hyperlink" Target="https://ref.ly/Jer43:12" TargetMode="External"/><Relationship Id="rId17929" Type="http://schemas.openxmlformats.org/officeDocument/2006/relationships/hyperlink" Target="https://ref.ly/Zech13:2" TargetMode="External"/><Relationship Id="rId17930" Type="http://schemas.openxmlformats.org/officeDocument/2006/relationships/hyperlink" Target="https://ref.ly/Mark1:23-Mark1:27" TargetMode="External"/><Relationship Id="rId17931" Type="http://schemas.openxmlformats.org/officeDocument/2006/relationships/hyperlink" Target="https://ref.ly/Lev11:29-Lev11:38" TargetMode="External"/><Relationship Id="rId17932" Type="http://schemas.openxmlformats.org/officeDocument/2006/relationships/hyperlink" Target="https://ref.ly/Lev15:12" TargetMode="External"/><Relationship Id="rId17933" Type="http://schemas.openxmlformats.org/officeDocument/2006/relationships/hyperlink" Target="https://ref.ly/Num19:15" TargetMode="External"/><Relationship Id="rId17934" Type="http://schemas.openxmlformats.org/officeDocument/2006/relationships/hyperlink" Target="https://ref.ly/Num31:21-Num31:24" TargetMode="External"/><Relationship Id="rId17935" Type="http://schemas.openxmlformats.org/officeDocument/2006/relationships/hyperlink" Target="https://ref.ly/Lev14:33-Lev14:53" TargetMode="External"/><Relationship Id="rId17936" Type="http://schemas.openxmlformats.org/officeDocument/2006/relationships/hyperlink" Target="https://ref.ly/Josh22:17-Josh22:19" TargetMode="External"/><Relationship Id="rId17937" Type="http://schemas.openxmlformats.org/officeDocument/2006/relationships/hyperlink" Target="https://ref.ly/Jer13:27" TargetMode="External"/><Relationship Id="rId17938" Type="http://schemas.openxmlformats.org/officeDocument/2006/relationships/hyperlink" Target="https://ref.ly/Ezek22:2-Ezek22:4" TargetMode="External"/><Relationship Id="rId17939" Type="http://schemas.openxmlformats.org/officeDocument/2006/relationships/hyperlink" Target="https://ref.ly/Lam4:15" TargetMode="External"/><Relationship Id="rId17940" Type="http://schemas.openxmlformats.org/officeDocument/2006/relationships/hyperlink" Target="https://ref.ly/2Chr29:15-2Chr29:19" TargetMode="External"/><Relationship Id="rId17941" Type="http://schemas.openxmlformats.org/officeDocument/2006/relationships/hyperlink" Target="https://ref.ly/Lev16:16-Lev16:19" TargetMode="External"/><Relationship Id="rId17942" Type="http://schemas.openxmlformats.org/officeDocument/2006/relationships/hyperlink" Target="https://ref.ly/Lev16:31-Lev16:33" TargetMode="External"/><Relationship Id="rId17943" Type="http://schemas.openxmlformats.org/officeDocument/2006/relationships/hyperlink" Target="https://ref.ly/Lev14:45" TargetMode="External"/><Relationship Id="rId17944" Type="http://schemas.openxmlformats.org/officeDocument/2006/relationships/hyperlink" Target="https://ref.ly/Deut23:12-Deut23:14" TargetMode="External"/><Relationship Id="rId17945" Type="http://schemas.openxmlformats.org/officeDocument/2006/relationships/hyperlink" Target="https://ref.ly/Lev17:14-Lev17:15" TargetMode="External"/><Relationship Id="rId17946" Type="http://schemas.openxmlformats.org/officeDocument/2006/relationships/hyperlink" Target="https://ref.ly/Deut12:16-Deut12:23" TargetMode="External"/><Relationship Id="rId17947" Type="http://schemas.openxmlformats.org/officeDocument/2006/relationships/hyperlink" Target="https://ref.ly/Lev11:24" TargetMode="External"/><Relationship Id="rId17948" Type="http://schemas.openxmlformats.org/officeDocument/2006/relationships/hyperlink" Target="https://ref.ly/Lev15:19" TargetMode="External"/><Relationship Id="rId17949" Type="http://schemas.openxmlformats.org/officeDocument/2006/relationships/hyperlink" Target="https://ref.ly/Lev15:5-Lev15:11" TargetMode="External"/><Relationship Id="rId17950" Type="http://schemas.openxmlformats.org/officeDocument/2006/relationships/hyperlink" Target="https://ref.ly/Num19:1-Num19:10" TargetMode="External"/><Relationship Id="rId17951" Type="http://schemas.openxmlformats.org/officeDocument/2006/relationships/hyperlink" Target="https://ref.ly/Lev14:2-Lev14:9" TargetMode="External"/><Relationship Id="rId17952" Type="http://schemas.openxmlformats.org/officeDocument/2006/relationships/hyperlink" Target="https://ref.ly/Lev16:18-Lev16:19" TargetMode="External"/><Relationship Id="rId17953" Type="http://schemas.openxmlformats.org/officeDocument/2006/relationships/hyperlink" Target="https://ref.ly/Lev14:21-Lev14:32" TargetMode="External"/><Relationship Id="rId17954" Type="http://schemas.openxmlformats.org/officeDocument/2006/relationships/hyperlink" Target="https://ref.ly/Lev14:7" TargetMode="External"/><Relationship Id="rId17955" Type="http://schemas.openxmlformats.org/officeDocument/2006/relationships/hyperlink" Target="https://ref.ly/Num31:22-Num31:23" TargetMode="External"/><Relationship Id="rId17956" Type="http://schemas.openxmlformats.org/officeDocument/2006/relationships/hyperlink" Target="https://ref.ly/Exod32:20" TargetMode="External"/><Relationship Id="rId17957" Type="http://schemas.openxmlformats.org/officeDocument/2006/relationships/hyperlink" Target="https://ref.ly/Rom14:14-Rom14:20" TargetMode="External"/><Relationship Id="rId17958" Type="http://schemas.openxmlformats.org/officeDocument/2006/relationships/hyperlink" Target="https://ref.ly/Rom6:19" TargetMode="External"/><Relationship Id="rId17959" Type="http://schemas.openxmlformats.org/officeDocument/2006/relationships/hyperlink" Target="https://ref.ly/1Thess2:3-1Thess2:4" TargetMode="External"/><Relationship Id="rId17960" Type="http://schemas.openxmlformats.org/officeDocument/2006/relationships/hyperlink" Target="https://ref.ly/Rev19:8-Rev19:14" TargetMode="External"/><Relationship Id="rId17961" Type="http://schemas.openxmlformats.org/officeDocument/2006/relationships/hyperlink" Target="https://ref.ly/Rom3:24-Rom3:26" TargetMode="External"/><Relationship Id="rId17962" Type="http://schemas.openxmlformats.org/officeDocument/2006/relationships/hyperlink" Target="https://ref.ly/1Kgs14:25" TargetMode="External"/><Relationship Id="rId17963" Type="http://schemas.openxmlformats.org/officeDocument/2006/relationships/hyperlink" Target="https://ref.ly/2Chr12:2-2Chr12:9" TargetMode="External"/><Relationship Id="rId17964" Type="http://schemas.openxmlformats.org/officeDocument/2006/relationships/hyperlink" Target="https://ref.ly/Acts28:13" TargetMode="External"/><Relationship Id="rId17965" Type="http://schemas.openxmlformats.org/officeDocument/2006/relationships/hyperlink" Target="https://ref.ly/Acts12:4" TargetMode="External"/><Relationship Id="rId17966" Type="http://schemas.openxmlformats.org/officeDocument/2006/relationships/hyperlink" Target="https://ref.ly/Isa21:16" TargetMode="External"/><Relationship Id="rId17967" Type="http://schemas.openxmlformats.org/officeDocument/2006/relationships/hyperlink" Target="https://ref.ly/Ezek27:21" TargetMode="External"/><Relationship Id="rId17968" Type="http://schemas.openxmlformats.org/officeDocument/2006/relationships/hyperlink" Target="https://ref.ly/Neh6:1-Neh6:6" TargetMode="External"/><Relationship Id="rId17969" Type="http://schemas.openxmlformats.org/officeDocument/2006/relationships/hyperlink" Target="https://ref.ly/Isa42:11" TargetMode="External"/><Relationship Id="rId17970" Type="http://schemas.openxmlformats.org/officeDocument/2006/relationships/hyperlink" Target="https://ref.ly/Song1:5" TargetMode="External"/><Relationship Id="rId17971" Type="http://schemas.openxmlformats.org/officeDocument/2006/relationships/hyperlink" Target="https://ref.ly/Josh21:37" TargetMode="External"/><Relationship Id="rId17972" Type="http://schemas.openxmlformats.org/officeDocument/2006/relationships/hyperlink" Target="https://ref.ly/1Chr6:79" TargetMode="External"/><Relationship Id="rId17973" Type="http://schemas.openxmlformats.org/officeDocument/2006/relationships/hyperlink" Target="https://ref.ly/Num33:22-Num33:23" TargetMode="External"/><Relationship Id="rId17974" Type="http://schemas.openxmlformats.org/officeDocument/2006/relationships/hyperlink" Target="https://ref.ly/Num34:24" TargetMode="External"/><Relationship Id="rId17975" Type="http://schemas.openxmlformats.org/officeDocument/2006/relationships/hyperlink" Target="https://ref.ly/Gen36:11,Gen36:15,Gen36:42" TargetMode="External"/><Relationship Id="rId17976" Type="http://schemas.openxmlformats.org/officeDocument/2006/relationships/hyperlink" Target="https://ref.ly/1Chr1:36,1Chr1:53" TargetMode="External"/><Relationship Id="rId17977" Type="http://schemas.openxmlformats.org/officeDocument/2006/relationships/hyperlink" Target="https://ref.ly/Josh15:17" TargetMode="External"/><Relationship Id="rId17978" Type="http://schemas.openxmlformats.org/officeDocument/2006/relationships/hyperlink" Target="https://ref.ly/Judg3:9-Judg3:11" TargetMode="External"/><Relationship Id="rId17979" Type="http://schemas.openxmlformats.org/officeDocument/2006/relationships/hyperlink" Target="https://ref.ly/1Chr4:13" TargetMode="External"/><Relationship Id="rId17980" Type="http://schemas.openxmlformats.org/officeDocument/2006/relationships/hyperlink" Target="https://ref.ly/Num10:29-Num10:31" TargetMode="External"/><Relationship Id="rId17981" Type="http://schemas.openxmlformats.org/officeDocument/2006/relationships/hyperlink" Target="https://ref.ly/Jer35:1-Jer35:19" TargetMode="External"/><Relationship Id="rId17982" Type="http://schemas.openxmlformats.org/officeDocument/2006/relationships/hyperlink" Target="https://ref.ly/Gen15:19-Gen15:21" TargetMode="External"/><Relationship Id="rId17983" Type="http://schemas.openxmlformats.org/officeDocument/2006/relationships/hyperlink" Target="https://ref.ly/Josh14:6,Josh14:14" TargetMode="External"/><Relationship Id="rId17984" Type="http://schemas.openxmlformats.org/officeDocument/2006/relationships/hyperlink" Target="https://ref.ly/Judg1:11-Judg1:13" TargetMode="External"/><Relationship Id="rId17985" Type="http://schemas.openxmlformats.org/officeDocument/2006/relationships/hyperlink" Target="https://ref.ly/Josh15:23" TargetMode="External"/><Relationship Id="rId17986" Type="http://schemas.openxmlformats.org/officeDocument/2006/relationships/hyperlink" Target="https://ref.ly/Jer48:24,Jer48:41" TargetMode="External"/><Relationship Id="rId17987" Type="http://schemas.openxmlformats.org/officeDocument/2006/relationships/hyperlink" Target="https://ref.ly/Josh13:1-Josh13:33" TargetMode="External"/><Relationship Id="rId17988" Type="http://schemas.openxmlformats.org/officeDocument/2006/relationships/hyperlink" Target="https://ref.ly/Ezek1:5-Ezek1:24" TargetMode="External"/><Relationship Id="rId17989" Type="http://schemas.openxmlformats.org/officeDocument/2006/relationships/hyperlink" Target="https://ref.ly/Ezek10:2-Ezek10:22" TargetMode="External"/><Relationship Id="rId17990" Type="http://schemas.openxmlformats.org/officeDocument/2006/relationships/hyperlink" Target="https://ref.ly/Ezek28:13-Ezek28:16" TargetMode="External"/><Relationship Id="rId17991" Type="http://schemas.openxmlformats.org/officeDocument/2006/relationships/hyperlink" Target="https://ref.ly/Ezek41:18" TargetMode="External"/><Relationship Id="rId17992" Type="http://schemas.openxmlformats.org/officeDocument/2006/relationships/hyperlink" Target="https://ref.ly/Ezek10:14" TargetMode="External"/><Relationship Id="rId17993" Type="http://schemas.openxmlformats.org/officeDocument/2006/relationships/hyperlink" Target="https://ref.ly/Ezek1:7" TargetMode="External"/><Relationship Id="rId17994" Type="http://schemas.openxmlformats.org/officeDocument/2006/relationships/hyperlink" Target="https://ref.ly/Rev4:6-Rev4:9" TargetMode="External"/><Relationship Id="rId17995" Type="http://schemas.openxmlformats.org/officeDocument/2006/relationships/hyperlink" Target="https://ref.ly/Rev5:6-Rev5:14" TargetMode="External"/><Relationship Id="rId17996" Type="http://schemas.openxmlformats.org/officeDocument/2006/relationships/hyperlink" Target="https://ref.ly/Rev6:1-Rev6:8" TargetMode="External"/><Relationship Id="rId17997" Type="http://schemas.openxmlformats.org/officeDocument/2006/relationships/hyperlink" Target="https://ref.ly/Rev7:1-Rev7:11" TargetMode="External"/><Relationship Id="rId17998" Type="http://schemas.openxmlformats.org/officeDocument/2006/relationships/hyperlink" Target="https://ref.ly/Rev14:3" TargetMode="External"/><Relationship Id="rId17999" Type="http://schemas.openxmlformats.org/officeDocument/2006/relationships/hyperlink" Target="https://ref.ly/Rev15:7" TargetMode="External"/><Relationship Id="rId18000" Type="http://schemas.openxmlformats.org/officeDocument/2006/relationships/hyperlink" Target="https://ref.ly/Rev19:4" TargetMode="External"/><Relationship Id="rId18001" Type="http://schemas.openxmlformats.org/officeDocument/2006/relationships/hyperlink" Target="https://ref.ly/Ezek10:2,Ezek10:7" TargetMode="External"/><Relationship Id="rId18002" Type="http://schemas.openxmlformats.org/officeDocument/2006/relationships/hyperlink" Target="https://ref.ly/Ps104:3" TargetMode="External"/><Relationship Id="rId18003" Type="http://schemas.openxmlformats.org/officeDocument/2006/relationships/hyperlink" Target="https://ref.ly/2Sam22:11" TargetMode="External"/><Relationship Id="rId18004" Type="http://schemas.openxmlformats.org/officeDocument/2006/relationships/hyperlink" Target="https://ref.ly/Ps18:10" TargetMode="External"/><Relationship Id="rId18005" Type="http://schemas.openxmlformats.org/officeDocument/2006/relationships/hyperlink" Target="https://ref.ly/Exod25:18-Exod25:20" TargetMode="External"/><Relationship Id="rId18006" Type="http://schemas.openxmlformats.org/officeDocument/2006/relationships/hyperlink" Target="https://ref.ly/Exod37:7-Exod37:9" TargetMode="External"/><Relationship Id="rId18007" Type="http://schemas.openxmlformats.org/officeDocument/2006/relationships/hyperlink" Target="https://ref.ly/1Kgs7:29,1Kgs7:36" TargetMode="External"/><Relationship Id="rId18008" Type="http://schemas.openxmlformats.org/officeDocument/2006/relationships/hyperlink" Target="https://ref.ly/Ezek41:17-Ezek41:20" TargetMode="External"/><Relationship Id="rId18009" Type="http://schemas.openxmlformats.org/officeDocument/2006/relationships/hyperlink" Target="https://ref.ly/Gen25:1" TargetMode="External"/><Relationship Id="rId18010" Type="http://schemas.openxmlformats.org/officeDocument/2006/relationships/hyperlink" Target="https://ref.ly/Num11:34-Num11:35" TargetMode="External"/><Relationship Id="rId18011" Type="http://schemas.openxmlformats.org/officeDocument/2006/relationships/hyperlink" Target="https://ref.ly/Num33:16-Num33:17" TargetMode="External"/><Relationship Id="rId18012" Type="http://schemas.openxmlformats.org/officeDocument/2006/relationships/hyperlink" Target="https://ref.ly/Josh13:19" TargetMode="External"/><Relationship Id="rId18013" Type="http://schemas.openxmlformats.org/officeDocument/2006/relationships/hyperlink" Target="https://ref.ly/Jer48:1,Jer48:23" TargetMode="External"/><Relationship Id="rId18014" Type="http://schemas.openxmlformats.org/officeDocument/2006/relationships/hyperlink" Target="https://ref.ly/1Sam9:1" TargetMode="External"/><Relationship Id="rId18015" Type="http://schemas.openxmlformats.org/officeDocument/2006/relationships/hyperlink" Target="https://ref.ly/1Chr8:33" TargetMode="External"/><Relationship Id="rId18016" Type="http://schemas.openxmlformats.org/officeDocument/2006/relationships/hyperlink" Target="https://ref.ly/1Chr9:39" TargetMode="External"/><Relationship Id="rId18017" Type="http://schemas.openxmlformats.org/officeDocument/2006/relationships/hyperlink" Target="https://ref.ly/1Sam14:51" TargetMode="External"/><Relationship Id="rId18018" Type="http://schemas.openxmlformats.org/officeDocument/2006/relationships/hyperlink" Target="https://ref.ly/2Sam21:14" TargetMode="External"/><Relationship Id="rId18019" Type="http://schemas.openxmlformats.org/officeDocument/2006/relationships/hyperlink" Target="https://ref.ly/1Chr24:29" TargetMode="External"/><Relationship Id="rId18020" Type="http://schemas.openxmlformats.org/officeDocument/2006/relationships/hyperlink" Target="https://ref.ly/Judg5:21" TargetMode="External"/><Relationship Id="rId18021" Type="http://schemas.openxmlformats.org/officeDocument/2006/relationships/hyperlink" Target="https://ref.ly/Isa30:7" TargetMode="External"/><Relationship Id="rId18022" Type="http://schemas.openxmlformats.org/officeDocument/2006/relationships/hyperlink" Target="https://ref.ly/Isa51:10" TargetMode="External"/><Relationship Id="rId18023" Type="http://schemas.openxmlformats.org/officeDocument/2006/relationships/hyperlink" Target="https://ref.ly/Job26:12" TargetMode="External"/><Relationship Id="rId18024" Type="http://schemas.openxmlformats.org/officeDocument/2006/relationships/hyperlink" Target="https://ref.ly/Ps89:10" TargetMode="External"/><Relationship Id="rId18025" Type="http://schemas.openxmlformats.org/officeDocument/2006/relationships/hyperlink" Target="https://ref.ly/2Sam12:27" TargetMode="External"/><Relationship Id="rId18026" Type="http://schemas.openxmlformats.org/officeDocument/2006/relationships/hyperlink" Target="https://ref.ly/2Sam12:27-2Sam12:28" TargetMode="External"/><Relationship Id="rId18027" Type="http://schemas.openxmlformats.org/officeDocument/2006/relationships/hyperlink" Target="https://ref.ly/Amos1:13-Amos1:14" TargetMode="External"/><Relationship Id="rId18028" Type="http://schemas.openxmlformats.org/officeDocument/2006/relationships/hyperlink" Target="https://ref.ly/Ezek21:20" TargetMode="External"/><Relationship Id="rId18029" Type="http://schemas.openxmlformats.org/officeDocument/2006/relationships/hyperlink" Target="https://ref.ly/Jer49:2-Jer49:3" TargetMode="External"/><Relationship Id="rId18030" Type="http://schemas.openxmlformats.org/officeDocument/2006/relationships/hyperlink" Target="https://ref.ly/John1:38" TargetMode="External"/><Relationship Id="rId18031" Type="http://schemas.openxmlformats.org/officeDocument/2006/relationships/hyperlink" Target="https://ref.ly/John6:25" TargetMode="External"/><Relationship Id="rId18032" Type="http://schemas.openxmlformats.org/officeDocument/2006/relationships/hyperlink" Target="https://ref.ly/Mark10:51" TargetMode="External"/><Relationship Id="rId18033" Type="http://schemas.openxmlformats.org/officeDocument/2006/relationships/hyperlink" Target="https://ref.ly/Matt23:7-Matt23:8" TargetMode="External"/><Relationship Id="rId18034" Type="http://schemas.openxmlformats.org/officeDocument/2006/relationships/hyperlink" Target="https://ref.ly/Judg11:3" TargetMode="External"/><Relationship Id="rId18035" Type="http://schemas.openxmlformats.org/officeDocument/2006/relationships/hyperlink" Target="https://ref.ly/2Sam6:20" TargetMode="External"/><Relationship Id="rId18036" Type="http://schemas.openxmlformats.org/officeDocument/2006/relationships/hyperlink" Target="https://ref.ly/1Chr8:2" TargetMode="External"/><Relationship Id="rId18037" Type="http://schemas.openxmlformats.org/officeDocument/2006/relationships/hyperlink" Target="https://ref.ly/1Kgs10:1" TargetMode="External"/><Relationship Id="rId18038" Type="http://schemas.openxmlformats.org/officeDocument/2006/relationships/hyperlink" Target="https://ref.ly/2Kgs11:3" TargetMode="External"/><Relationship Id="rId18039" Type="http://schemas.openxmlformats.org/officeDocument/2006/relationships/hyperlink" Target="https://ref.ly/1Kgs1:15-1Kgs1:31" TargetMode="External"/><Relationship Id="rId18040" Type="http://schemas.openxmlformats.org/officeDocument/2006/relationships/hyperlink" Target="https://ref.ly/1Kgs2:20" TargetMode="External"/><Relationship Id="rId18041" Type="http://schemas.openxmlformats.org/officeDocument/2006/relationships/hyperlink" Target="https://ref.ly/1Kgs15:2" TargetMode="External"/><Relationship Id="rId18042" Type="http://schemas.openxmlformats.org/officeDocument/2006/relationships/hyperlink" Target="https://ref.ly/Jer13:18" TargetMode="External"/><Relationship Id="rId18043" Type="http://schemas.openxmlformats.org/officeDocument/2006/relationships/hyperlink" Target="https://ref.ly/Ps37:8" TargetMode="External"/><Relationship Id="rId18044" Type="http://schemas.openxmlformats.org/officeDocument/2006/relationships/hyperlink" Target="https://ref.ly/Col3:8" TargetMode="External"/><Relationship Id="rId18045" Type="http://schemas.openxmlformats.org/officeDocument/2006/relationships/hyperlink" Target="https://ref.ly/Deut29:25-Deut29:26" TargetMode="External"/><Relationship Id="rId18046" Type="http://schemas.openxmlformats.org/officeDocument/2006/relationships/hyperlink" Target="https://ref.ly/Exod32:19" TargetMode="External"/><Relationship Id="rId18047" Type="http://schemas.openxmlformats.org/officeDocument/2006/relationships/hyperlink" Target="https://ref.ly/Josh18:25" TargetMode="External"/><Relationship Id="rId18048" Type="http://schemas.openxmlformats.org/officeDocument/2006/relationships/hyperlink" Target="https://ref.ly/Gen35:16-Gen35:21" TargetMode="External"/><Relationship Id="rId18049" Type="http://schemas.openxmlformats.org/officeDocument/2006/relationships/hyperlink" Target="https://ref.ly/Judg19:13" TargetMode="External"/><Relationship Id="rId18050" Type="http://schemas.openxmlformats.org/officeDocument/2006/relationships/hyperlink" Target="https://ref.ly/1Kgs15:17-1Kgs15:22" TargetMode="External"/><Relationship Id="rId18051" Type="http://schemas.openxmlformats.org/officeDocument/2006/relationships/hyperlink" Target="https://ref.ly/2Chr16:1-2Chr16:6" TargetMode="External"/><Relationship Id="rId18052" Type="http://schemas.openxmlformats.org/officeDocument/2006/relationships/hyperlink" Target="https://ref.ly/Isa10:29" TargetMode="External"/><Relationship Id="rId18053" Type="http://schemas.openxmlformats.org/officeDocument/2006/relationships/hyperlink" Target="https://ref.ly/Jer40:1" TargetMode="External"/><Relationship Id="rId18054" Type="http://schemas.openxmlformats.org/officeDocument/2006/relationships/hyperlink" Target="https://ref.ly/Ezra2:26" TargetMode="External"/><Relationship Id="rId18055" Type="http://schemas.openxmlformats.org/officeDocument/2006/relationships/hyperlink" Target="https://ref.ly/Neh7:30" TargetMode="External"/><Relationship Id="rId18056" Type="http://schemas.openxmlformats.org/officeDocument/2006/relationships/hyperlink" Target="https://ref.ly/Neh11:33" TargetMode="External"/><Relationship Id="rId18057" Type="http://schemas.openxmlformats.org/officeDocument/2006/relationships/hyperlink" Target="https://ref.ly/Josh19:8" TargetMode="External"/><Relationship Id="rId18058" Type="http://schemas.openxmlformats.org/officeDocument/2006/relationships/hyperlink" Target="https://ref.ly/1Chr4:33" TargetMode="External"/><Relationship Id="rId18059" Type="http://schemas.openxmlformats.org/officeDocument/2006/relationships/hyperlink" Target="https://ref.ly/Josh19:36" TargetMode="External"/><Relationship Id="rId18060" Type="http://schemas.openxmlformats.org/officeDocument/2006/relationships/hyperlink" Target="https://ref.ly/1Sam2:11" TargetMode="External"/><Relationship Id="rId18061" Type="http://schemas.openxmlformats.org/officeDocument/2006/relationships/hyperlink" Target="https://ref.ly/1Sam7:17" TargetMode="External"/><Relationship Id="rId18062" Type="http://schemas.openxmlformats.org/officeDocument/2006/relationships/hyperlink" Target="https://ref.ly/1Sam16:13" TargetMode="External"/><Relationship Id="rId18063" Type="http://schemas.openxmlformats.org/officeDocument/2006/relationships/hyperlink" Target="https://ref.ly/1Sam9:6-1Sam9:10" TargetMode="External"/><Relationship Id="rId18064" Type="http://schemas.openxmlformats.org/officeDocument/2006/relationships/hyperlink" Target="https://ref.ly/1Sam8:4" TargetMode="External"/><Relationship Id="rId18065" Type="http://schemas.openxmlformats.org/officeDocument/2006/relationships/hyperlink" Target="https://ref.ly/1Sam19:18-1Sam20:1" TargetMode="External"/><Relationship Id="rId18066" Type="http://schemas.openxmlformats.org/officeDocument/2006/relationships/hyperlink" Target="https://ref.ly/1Sam28:3" TargetMode="External"/><Relationship Id="rId18067" Type="http://schemas.openxmlformats.org/officeDocument/2006/relationships/hyperlink" Target="https://ref.ly/2Kgs8:29" TargetMode="External"/><Relationship Id="rId18068" Type="http://schemas.openxmlformats.org/officeDocument/2006/relationships/hyperlink" Target="https://ref.ly/2Chr22:6" TargetMode="External"/><Relationship Id="rId18069" Type="http://schemas.openxmlformats.org/officeDocument/2006/relationships/hyperlink" Target="https://ref.ly/Num33:3" TargetMode="External"/><Relationship Id="rId18070" Type="http://schemas.openxmlformats.org/officeDocument/2006/relationships/hyperlink" Target="https://ref.ly/Exod1:8-Exod1:11" TargetMode="External"/><Relationship Id="rId18071" Type="http://schemas.openxmlformats.org/officeDocument/2006/relationships/hyperlink" Target="https://ref.ly/Exod25:31-Exod25:36" TargetMode="External"/><Relationship Id="rId18072" Type="http://schemas.openxmlformats.org/officeDocument/2006/relationships/hyperlink" Target="https://ref.ly/Lev23:40-Lev23:43" TargetMode="External"/><Relationship Id="rId18073" Type="http://schemas.openxmlformats.org/officeDocument/2006/relationships/hyperlink" Target="https://ref.ly/Hos14:6" TargetMode="External"/><Relationship Id="rId18074" Type="http://schemas.openxmlformats.org/officeDocument/2006/relationships/hyperlink" Target="https://ref.ly/Ezek17:23" TargetMode="External"/><Relationship Id="rId18075" Type="http://schemas.openxmlformats.org/officeDocument/2006/relationships/hyperlink" Target="https://ref.ly/Ezek17:6" TargetMode="External"/><Relationship Id="rId18076" Type="http://schemas.openxmlformats.org/officeDocument/2006/relationships/hyperlink" Target="https://ref.ly/Ps80:8-Ps80:11" TargetMode="External"/><Relationship Id="rId18077" Type="http://schemas.openxmlformats.org/officeDocument/2006/relationships/hyperlink" Target="https://ref.ly/Gen49:22" TargetMode="External"/><Relationship Id="rId18078" Type="http://schemas.openxmlformats.org/officeDocument/2006/relationships/hyperlink" Target="https://ref.ly/Job8:16" TargetMode="External"/><Relationship Id="rId18079" Type="http://schemas.openxmlformats.org/officeDocument/2006/relationships/hyperlink" Target="https://ref.ly/Ezek36:8" TargetMode="External"/><Relationship Id="rId18080" Type="http://schemas.openxmlformats.org/officeDocument/2006/relationships/hyperlink" Target="https://ref.ly/Job18:16" TargetMode="External"/><Relationship Id="rId18081" Type="http://schemas.openxmlformats.org/officeDocument/2006/relationships/hyperlink" Target="https://ref.ly/John15:6" TargetMode="External"/><Relationship Id="rId18082" Type="http://schemas.openxmlformats.org/officeDocument/2006/relationships/hyperlink" Target="https://ref.ly/Rom11:19-Rom11:21" TargetMode="External"/><Relationship Id="rId18083" Type="http://schemas.openxmlformats.org/officeDocument/2006/relationships/hyperlink" Target="https://ref.ly/2Sam23:4" TargetMode="External"/><Relationship Id="rId18084" Type="http://schemas.openxmlformats.org/officeDocument/2006/relationships/hyperlink" Target="https://ref.ly/1Kgs22:1-1Kgs22:53" TargetMode="External"/><Relationship Id="rId18085" Type="http://schemas.openxmlformats.org/officeDocument/2006/relationships/hyperlink" Target="https://ref.ly/2Chr18:1-2Chr18:34" TargetMode="External"/><Relationship Id="rId18086" Type="http://schemas.openxmlformats.org/officeDocument/2006/relationships/hyperlink" Target="https://ref.ly/2Kgs9:1-2Kgs9:14" TargetMode="External"/><Relationship Id="rId18087" Type="http://schemas.openxmlformats.org/officeDocument/2006/relationships/hyperlink" Target="https://ref.ly/Judg20:26" TargetMode="External"/><Relationship Id="rId18088" Type="http://schemas.openxmlformats.org/officeDocument/2006/relationships/hyperlink" Target="https://ref.ly/1Sam7:6" TargetMode="External"/><Relationship Id="rId18089" Type="http://schemas.openxmlformats.org/officeDocument/2006/relationships/hyperlink" Target="https://ref.ly/1Kgs21:9" TargetMode="External"/><Relationship Id="rId18090" Type="http://schemas.openxmlformats.org/officeDocument/2006/relationships/hyperlink" Target="https://ref.ly/2Chr20:3" TargetMode="External"/><Relationship Id="rId18091" Type="http://schemas.openxmlformats.org/officeDocument/2006/relationships/hyperlink" Target="https://ref.ly/Jer36:6,Jer36:9" TargetMode="External"/><Relationship Id="rId18092" Type="http://schemas.openxmlformats.org/officeDocument/2006/relationships/hyperlink" Target="https://ref.ly/2Sam12:16-2Sam12:20" TargetMode="External"/><Relationship Id="rId18093" Type="http://schemas.openxmlformats.org/officeDocument/2006/relationships/hyperlink" Target="https://ref.ly/Ps69:10" TargetMode="External"/><Relationship Id="rId18094" Type="http://schemas.openxmlformats.org/officeDocument/2006/relationships/hyperlink" Target="https://ref.ly/Ezra8:21" TargetMode="External"/><Relationship Id="rId18095" Type="http://schemas.openxmlformats.org/officeDocument/2006/relationships/hyperlink" Target="https://ref.ly/Neh1:4" TargetMode="External"/><Relationship Id="rId18096" Type="http://schemas.openxmlformats.org/officeDocument/2006/relationships/hyperlink" Target="https://ref.ly/1Sam14:24" TargetMode="External"/><Relationship Id="rId18097" Type="http://schemas.openxmlformats.org/officeDocument/2006/relationships/hyperlink" Target="https://ref.ly/Esth4:16" TargetMode="External"/><Relationship Id="rId18098" Type="http://schemas.openxmlformats.org/officeDocument/2006/relationships/hyperlink" Target="https://ref.ly/2Sam3:35" TargetMode="External"/><Relationship Id="rId18099" Type="http://schemas.openxmlformats.org/officeDocument/2006/relationships/hyperlink" Target="https://ref.ly/Dan10:3,Dan10:12" TargetMode="External"/><Relationship Id="rId18100" Type="http://schemas.openxmlformats.org/officeDocument/2006/relationships/hyperlink" Target="https://ref.ly/Isa58:1-Isa58:10" TargetMode="External"/><Relationship Id="rId18101" Type="http://schemas.openxmlformats.org/officeDocument/2006/relationships/hyperlink" Target="https://ref.ly/2Esd10:4" TargetMode="External"/><Relationship Id="rId18102" Type="http://schemas.openxmlformats.org/officeDocument/2006/relationships/hyperlink" Target="https://ref.ly/1Macc3:47" TargetMode="External"/><Relationship Id="rId18103" Type="http://schemas.openxmlformats.org/officeDocument/2006/relationships/hyperlink" Target="https://ref.ly/2Macc13:12" TargetMode="External"/><Relationship Id="rId18104" Type="http://schemas.openxmlformats.org/officeDocument/2006/relationships/hyperlink" Target="https://ref.ly/2Esd5:13" TargetMode="External"/><Relationship Id="rId18105" Type="http://schemas.openxmlformats.org/officeDocument/2006/relationships/hyperlink" Target="https://ref.ly/Matt6:16-Matt6:18" TargetMode="External"/><Relationship Id="rId18106" Type="http://schemas.openxmlformats.org/officeDocument/2006/relationships/hyperlink" Target="https://ref.ly/Gen29:10" TargetMode="External"/><Relationship Id="rId18107" Type="http://schemas.openxmlformats.org/officeDocument/2006/relationships/hyperlink" Target="https://ref.ly/Gen30:22-Gen30:25" TargetMode="External"/><Relationship Id="rId18108" Type="http://schemas.openxmlformats.org/officeDocument/2006/relationships/hyperlink" Target="https://ref.ly/1Sam10:2" TargetMode="External"/><Relationship Id="rId18109" Type="http://schemas.openxmlformats.org/officeDocument/2006/relationships/hyperlink" Target="https://ref.ly/Gen24:1-Gen27:46" TargetMode="External"/><Relationship Id="rId18110" Type="http://schemas.openxmlformats.org/officeDocument/2006/relationships/hyperlink" Target="https://ref.ly/Rom9:10" TargetMode="External"/><Relationship Id="rId18111" Type="http://schemas.openxmlformats.org/officeDocument/2006/relationships/hyperlink" Target="https://ref.ly/Gen25:20-Gen25:27" TargetMode="External"/><Relationship Id="rId18112" Type="http://schemas.openxmlformats.org/officeDocument/2006/relationships/hyperlink" Target="https://ref.ly/Gen27:5-Gen27:17" TargetMode="External"/><Relationship Id="rId18113" Type="http://schemas.openxmlformats.org/officeDocument/2006/relationships/hyperlink" Target="https://ref.ly/Gen49:31" TargetMode="External"/><Relationship Id="rId18114" Type="http://schemas.openxmlformats.org/officeDocument/2006/relationships/hyperlink" Target="https://ref.ly/Deut24:19" TargetMode="External"/><Relationship Id="rId18115" Type="http://schemas.openxmlformats.org/officeDocument/2006/relationships/hyperlink" Target="https://ref.ly/Ruth2:2-Ruth2:23" TargetMode="External"/><Relationship Id="rId18116" Type="http://schemas.openxmlformats.org/officeDocument/2006/relationships/hyperlink" Target="https://ref.ly/Judg8:2" TargetMode="External"/><Relationship Id="rId18117" Type="http://schemas.openxmlformats.org/officeDocument/2006/relationships/hyperlink" Target="https://ref.ly/Isa24:13" TargetMode="External"/><Relationship Id="rId18118" Type="http://schemas.openxmlformats.org/officeDocument/2006/relationships/hyperlink" Target="https://ref.ly/Jer6:9" TargetMode="External"/><Relationship Id="rId18119" Type="http://schemas.openxmlformats.org/officeDocument/2006/relationships/hyperlink" Target="https://ref.ly/Judg2:1-Judg2:23" TargetMode="External"/><Relationship Id="rId18120" Type="http://schemas.openxmlformats.org/officeDocument/2006/relationships/hyperlink" Target="https://ref.ly/Ps103:10" TargetMode="External"/><Relationship Id="rId18121" Type="http://schemas.openxmlformats.org/officeDocument/2006/relationships/hyperlink" Target="https://ref.ly/Tob4:7-Tob4:10" TargetMode="External"/><Relationship Id="rId18122" Type="http://schemas.openxmlformats.org/officeDocument/2006/relationships/hyperlink" Target="https://ref.ly/Sir51:30" TargetMode="External"/><Relationship Id="rId18123" Type="http://schemas.openxmlformats.org/officeDocument/2006/relationships/hyperlink" Target="https://ref.ly/Matt5:1-Matt5:12" TargetMode="External"/><Relationship Id="rId18124" Type="http://schemas.openxmlformats.org/officeDocument/2006/relationships/hyperlink" Target="https://ref.ly/Matt6:1" TargetMode="External"/><Relationship Id="rId18125" Type="http://schemas.openxmlformats.org/officeDocument/2006/relationships/hyperlink" Target="https://ref.ly/John10:11-John10:14" TargetMode="External"/><Relationship Id="rId18126" Type="http://schemas.openxmlformats.org/officeDocument/2006/relationships/hyperlink" Target="https://ref.ly/Luke17:9-Luke17:10" TargetMode="External"/><Relationship Id="rId18127" Type="http://schemas.openxmlformats.org/officeDocument/2006/relationships/hyperlink" Target="https://ref.ly/Rom4:4-Rom4:5" TargetMode="External"/><Relationship Id="rId18128" Type="http://schemas.openxmlformats.org/officeDocument/2006/relationships/hyperlink" Target="https://ref.ly/1Cor3:8-1Cor3:14" TargetMode="External"/><Relationship Id="rId18129" Type="http://schemas.openxmlformats.org/officeDocument/2006/relationships/hyperlink" Target="https://ref.ly/Col3:24" TargetMode="External"/><Relationship Id="rId18130" Type="http://schemas.openxmlformats.org/officeDocument/2006/relationships/hyperlink" Target="https://ref.ly/Job27:20" TargetMode="External"/><Relationship Id="rId18131" Type="http://schemas.openxmlformats.org/officeDocument/2006/relationships/hyperlink" Target="https://ref.ly/Ps77:18" TargetMode="External"/><Relationship Id="rId18132" Type="http://schemas.openxmlformats.org/officeDocument/2006/relationships/hyperlink" Target="https://ref.ly/Dan11:40" TargetMode="External"/><Relationship Id="rId18133" Type="http://schemas.openxmlformats.org/officeDocument/2006/relationships/hyperlink" Target="https://ref.ly/Amos1:14" TargetMode="External"/><Relationship Id="rId18134" Type="http://schemas.openxmlformats.org/officeDocument/2006/relationships/hyperlink" Target="https://ref.ly/Hab3:14" TargetMode="External"/><Relationship Id="rId18135" Type="http://schemas.openxmlformats.org/officeDocument/2006/relationships/hyperlink" Target="https://ref.ly/2Kgs2:1,2Kgs2:11" TargetMode="External"/><Relationship Id="rId18136" Type="http://schemas.openxmlformats.org/officeDocument/2006/relationships/hyperlink" Target="https://ref.ly/Job38:1" TargetMode="External"/><Relationship Id="rId18137" Type="http://schemas.openxmlformats.org/officeDocument/2006/relationships/hyperlink" Target="https://ref.ly/Job40:6" TargetMode="External"/><Relationship Id="rId18138" Type="http://schemas.openxmlformats.org/officeDocument/2006/relationships/hyperlink" Target="https://ref.ly/Exod21:8" TargetMode="External"/><Relationship Id="rId18139" Type="http://schemas.openxmlformats.org/officeDocument/2006/relationships/hyperlink" Target="https://ref.ly/Job6:23" TargetMode="External"/><Relationship Id="rId18140" Type="http://schemas.openxmlformats.org/officeDocument/2006/relationships/hyperlink" Target="https://ref.ly/Ruth3:13" TargetMode="External"/><Relationship Id="rId18141" Type="http://schemas.openxmlformats.org/officeDocument/2006/relationships/hyperlink" Target="https://ref.ly/Ruth4:1-Ruth4:6" TargetMode="External"/><Relationship Id="rId18142" Type="http://schemas.openxmlformats.org/officeDocument/2006/relationships/hyperlink" Target="https://ref.ly/Deut15:15" TargetMode="External"/><Relationship Id="rId18143" Type="http://schemas.openxmlformats.org/officeDocument/2006/relationships/hyperlink" Target="https://ref.ly/Isa29:22" TargetMode="External"/><Relationship Id="rId18144" Type="http://schemas.openxmlformats.org/officeDocument/2006/relationships/hyperlink" Target="https://ref.ly/Isa35:10" TargetMode="External"/><Relationship Id="rId18145" Type="http://schemas.openxmlformats.org/officeDocument/2006/relationships/hyperlink" Target="https://ref.ly/Jer31:11" TargetMode="External"/><Relationship Id="rId18146" Type="http://schemas.openxmlformats.org/officeDocument/2006/relationships/hyperlink" Target="https://ref.ly/Isa52:3" TargetMode="External"/><Relationship Id="rId18147" Type="http://schemas.openxmlformats.org/officeDocument/2006/relationships/hyperlink" Target="https://ref.ly/Isa45:13" TargetMode="External"/><Relationship Id="rId18148" Type="http://schemas.openxmlformats.org/officeDocument/2006/relationships/hyperlink" Target="https://ref.ly/Isa9:1-Isa9:6" TargetMode="External"/><Relationship Id="rId18149" Type="http://schemas.openxmlformats.org/officeDocument/2006/relationships/hyperlink" Target="https://ref.ly/Isa11:1-Isa11:9" TargetMode="External"/><Relationship Id="rId18150" Type="http://schemas.openxmlformats.org/officeDocument/2006/relationships/hyperlink" Target="https://ref.ly/1Cor7:22-1Cor7:24" TargetMode="External"/><Relationship Id="rId18151" Type="http://schemas.openxmlformats.org/officeDocument/2006/relationships/hyperlink" Target="https://ref.ly/Prov2:18" TargetMode="External"/><Relationship Id="rId18152" Type="http://schemas.openxmlformats.org/officeDocument/2006/relationships/hyperlink" Target="https://ref.ly/Prov21:16" TargetMode="External"/><Relationship Id="rId18153" Type="http://schemas.openxmlformats.org/officeDocument/2006/relationships/hyperlink" Target="https://ref.ly/Job26:5" TargetMode="External"/><Relationship Id="rId18154" Type="http://schemas.openxmlformats.org/officeDocument/2006/relationships/hyperlink" Target="https://ref.ly/Ps88:10-Ps88:12" TargetMode="External"/><Relationship Id="rId18155" Type="http://schemas.openxmlformats.org/officeDocument/2006/relationships/hyperlink" Target="https://ref.ly/Isa26:14" TargetMode="External"/><Relationship Id="rId18156" Type="http://schemas.openxmlformats.org/officeDocument/2006/relationships/hyperlink" Target="https://ref.ly/Deut2:11,Deut2:20" TargetMode="External"/><Relationship Id="rId18157" Type="http://schemas.openxmlformats.org/officeDocument/2006/relationships/hyperlink" Target="https://ref.ly/2Sam21:1-2Sam21:22" TargetMode="External"/><Relationship Id="rId18158" Type="http://schemas.openxmlformats.org/officeDocument/2006/relationships/hyperlink" Target="https://ref.ly/1Chr20:1-1Chr20:8" TargetMode="External"/><Relationship Id="rId18159" Type="http://schemas.openxmlformats.org/officeDocument/2006/relationships/hyperlink" Target="https://ref.ly/John21:12" TargetMode="External"/><Relationship Id="rId18160" Type="http://schemas.openxmlformats.org/officeDocument/2006/relationships/hyperlink" Target="https://ref.ly/1Kgs13:20" TargetMode="External"/><Relationship Id="rId18161" Type="http://schemas.openxmlformats.org/officeDocument/2006/relationships/hyperlink" Target="https://ref.ly/1Sam9:22" TargetMode="External"/><Relationship Id="rId18162" Type="http://schemas.openxmlformats.org/officeDocument/2006/relationships/hyperlink" Target="https://ref.ly/Luke14:8" TargetMode="External"/><Relationship Id="rId18163" Type="http://schemas.openxmlformats.org/officeDocument/2006/relationships/hyperlink" Target="https://ref.ly/Luke19:6-Luke19:7" TargetMode="External"/><Relationship Id="rId18164" Type="http://schemas.openxmlformats.org/officeDocument/2006/relationships/hyperlink" Target="https://ref.ly/John12:2" TargetMode="External"/><Relationship Id="rId18165" Type="http://schemas.openxmlformats.org/officeDocument/2006/relationships/hyperlink" Target="https://ref.ly/Deut14:24-Deut14:26" TargetMode="External"/><Relationship Id="rId18166" Type="http://schemas.openxmlformats.org/officeDocument/2006/relationships/hyperlink" Target="https://ref.ly/Luke14:25" TargetMode="External"/><Relationship Id="rId18167" Type="http://schemas.openxmlformats.org/officeDocument/2006/relationships/hyperlink" Target="https://ref.ly/Rev19:9" TargetMode="External"/><Relationship Id="rId18168" Type="http://schemas.openxmlformats.org/officeDocument/2006/relationships/hyperlink" Target="https://ref.ly/Num33:12-Num33:15" TargetMode="External"/><Relationship Id="rId18169" Type="http://schemas.openxmlformats.org/officeDocument/2006/relationships/hyperlink" Target="https://ref.ly/John1:12-John1:13" TargetMode="External"/><Relationship Id="rId18170" Type="http://schemas.openxmlformats.org/officeDocument/2006/relationships/hyperlink" Target="https://ref.ly/1John2:29" TargetMode="External"/><Relationship Id="rId18171" Type="http://schemas.openxmlformats.org/officeDocument/2006/relationships/hyperlink" Target="https://ref.ly/1John5:18" TargetMode="External"/><Relationship Id="rId18172" Type="http://schemas.openxmlformats.org/officeDocument/2006/relationships/hyperlink" Target="https://ref.ly/1Pet2:2" TargetMode="External"/><Relationship Id="rId18173" Type="http://schemas.openxmlformats.org/officeDocument/2006/relationships/hyperlink" Target="https://ref.ly/Eph4:22" TargetMode="External"/><Relationship Id="rId18174" Type="http://schemas.openxmlformats.org/officeDocument/2006/relationships/hyperlink" Target="https://ref.ly/Joel1:20" TargetMode="External"/><Relationship Id="rId18175" Type="http://schemas.openxmlformats.org/officeDocument/2006/relationships/hyperlink" Target="https://ref.ly/Isa34:13-Isa34:15" TargetMode="External"/><Relationship Id="rId18176" Type="http://schemas.openxmlformats.org/officeDocument/2006/relationships/hyperlink" Target="https://ref.ly/Exod19:1-Exod19:2" TargetMode="External"/><Relationship Id="rId18177" Type="http://schemas.openxmlformats.org/officeDocument/2006/relationships/hyperlink" Target="https://ref.ly/Ps29:8" TargetMode="External"/><Relationship Id="rId18178" Type="http://schemas.openxmlformats.org/officeDocument/2006/relationships/hyperlink" Target="https://ref.ly/1Sam23:14-1Sam23:15" TargetMode="External"/><Relationship Id="rId18179" Type="http://schemas.openxmlformats.org/officeDocument/2006/relationships/hyperlink" Target="https://ref.ly/1Sam23:24-1Sam23:25" TargetMode="External"/><Relationship Id="rId18180" Type="http://schemas.openxmlformats.org/officeDocument/2006/relationships/hyperlink" Target="https://ref.ly/1Sam24:1" TargetMode="External"/><Relationship Id="rId18181" Type="http://schemas.openxmlformats.org/officeDocument/2006/relationships/hyperlink" Target="https://ref.ly/Matt3:1-Matt3:3" TargetMode="External"/><Relationship Id="rId18182" Type="http://schemas.openxmlformats.org/officeDocument/2006/relationships/hyperlink" Target="https://ref.ly/Mark1:2-Mark1:4" TargetMode="External"/><Relationship Id="rId18183" Type="http://schemas.openxmlformats.org/officeDocument/2006/relationships/hyperlink" Target="https://ref.ly/Luke3:1-Luke3:6" TargetMode="External"/><Relationship Id="rId18184" Type="http://schemas.openxmlformats.org/officeDocument/2006/relationships/hyperlink" Target="https://ref.ly/John1:23" TargetMode="External"/><Relationship Id="rId18185" Type="http://schemas.openxmlformats.org/officeDocument/2006/relationships/hyperlink" Target="https://ref.ly/Acts10:1" TargetMode="External"/><Relationship Id="rId18186" Type="http://schemas.openxmlformats.org/officeDocument/2006/relationships/hyperlink" Target="https://ref.ly/Josh12:9-Josh12:24" TargetMode="External"/><Relationship Id="rId18187" Type="http://schemas.openxmlformats.org/officeDocument/2006/relationships/hyperlink" Target="https://ref.ly/Ezek26:7" TargetMode="External"/><Relationship Id="rId18188" Type="http://schemas.openxmlformats.org/officeDocument/2006/relationships/hyperlink" Target="https://ref.ly/2Kgs18:28" TargetMode="External"/><Relationship Id="rId18189" Type="http://schemas.openxmlformats.org/officeDocument/2006/relationships/hyperlink" Target="https://ref.ly/Gen17:6" TargetMode="External"/><Relationship Id="rId18190" Type="http://schemas.openxmlformats.org/officeDocument/2006/relationships/hyperlink" Target="https://ref.ly/Gen17:9" TargetMode="External"/><Relationship Id="rId18191" Type="http://schemas.openxmlformats.org/officeDocument/2006/relationships/hyperlink" Target="https://ref.ly/Exod18:19-Exod18:26" TargetMode="External"/><Relationship Id="rId18192" Type="http://schemas.openxmlformats.org/officeDocument/2006/relationships/hyperlink" Target="https://ref.ly/Num11:24-Num11:25" TargetMode="External"/><Relationship Id="rId18193" Type="http://schemas.openxmlformats.org/officeDocument/2006/relationships/hyperlink" Target="https://ref.ly/Deut1:15-Deut1:18" TargetMode="External"/><Relationship Id="rId18194" Type="http://schemas.openxmlformats.org/officeDocument/2006/relationships/hyperlink" Target="https://ref.ly/Josh3:7" TargetMode="External"/><Relationship Id="rId18195" Type="http://schemas.openxmlformats.org/officeDocument/2006/relationships/hyperlink" Target="https://ref.ly/1Sam3:20-1Sam3:21" TargetMode="External"/><Relationship Id="rId18196" Type="http://schemas.openxmlformats.org/officeDocument/2006/relationships/hyperlink" Target="https://ref.ly/1Sam7:15" TargetMode="External"/><Relationship Id="rId18197" Type="http://schemas.openxmlformats.org/officeDocument/2006/relationships/hyperlink" Target="https://ref.ly/1Sam8:5" TargetMode="External"/><Relationship Id="rId18198" Type="http://schemas.openxmlformats.org/officeDocument/2006/relationships/hyperlink" Target="https://ref.ly/1Sam8:20" TargetMode="External"/><Relationship Id="rId18199" Type="http://schemas.openxmlformats.org/officeDocument/2006/relationships/hyperlink" Target="https://ref.ly/2Sam12:1-2Sam12:31" TargetMode="External"/><Relationship Id="rId18200" Type="http://schemas.openxmlformats.org/officeDocument/2006/relationships/hyperlink" Target="https://ref.ly/1Kgs3:1-1Kgs3:28" TargetMode="External"/><Relationship Id="rId18201" Type="http://schemas.openxmlformats.org/officeDocument/2006/relationships/hyperlink" Target="https://ref.ly/2Sam7:14-2Sam7:16" TargetMode="External"/><Relationship Id="rId18202" Type="http://schemas.openxmlformats.org/officeDocument/2006/relationships/hyperlink" Target="https://ref.ly/Ps2:6-Ps2:7" TargetMode="External"/><Relationship Id="rId18203" Type="http://schemas.openxmlformats.org/officeDocument/2006/relationships/hyperlink" Target="https://ref.ly/Isa9:2-Isa9:7" TargetMode="External"/><Relationship Id="rId18204" Type="http://schemas.openxmlformats.org/officeDocument/2006/relationships/hyperlink" Target="https://ref.ly/Ezek34:22-Ezek34:31" TargetMode="External"/><Relationship Id="rId18205" Type="http://schemas.openxmlformats.org/officeDocument/2006/relationships/hyperlink" Target="https://ref.ly/Mic5:2-Mic5:5" TargetMode="External"/><Relationship Id="rId18206" Type="http://schemas.openxmlformats.org/officeDocument/2006/relationships/hyperlink" Target="https://ref.ly/Luke1:77-Luke1:79" TargetMode="External"/><Relationship Id="rId18207" Type="http://schemas.openxmlformats.org/officeDocument/2006/relationships/hyperlink" Target="https://ref.ly/Rom10:9-Rom10:15" TargetMode="External"/><Relationship Id="rId18208" Type="http://schemas.openxmlformats.org/officeDocument/2006/relationships/hyperlink" Target="https://ref.ly/John17:20-John17:26" TargetMode="External"/><Relationship Id="rId18209" Type="http://schemas.openxmlformats.org/officeDocument/2006/relationships/hyperlink" Target="https://ref.ly/Matt25:33-Matt25:40" TargetMode="External"/><Relationship Id="rId18210" Type="http://schemas.openxmlformats.org/officeDocument/2006/relationships/hyperlink" Target="https://ref.ly/1Tim6:13-1Tim6:16" TargetMode="External"/><Relationship Id="rId18211" Type="http://schemas.openxmlformats.org/officeDocument/2006/relationships/hyperlink" Target="https://ref.ly/Rev4:2,Rev4:9-Rev4:11" TargetMode="External"/><Relationship Id="rId18212" Type="http://schemas.openxmlformats.org/officeDocument/2006/relationships/hyperlink" Target="https://ref.ly/Rev5:1,Rev5:9-Rev5:13" TargetMode="External"/><Relationship Id="rId18213" Type="http://schemas.openxmlformats.org/officeDocument/2006/relationships/hyperlink" Target="https://ref.ly/1Cor15:25-1Cor15:28" TargetMode="External"/><Relationship Id="rId18214" Type="http://schemas.openxmlformats.org/officeDocument/2006/relationships/hyperlink" Target="https://ref.ly/Matt21:31" TargetMode="External"/><Relationship Id="rId18215" Type="http://schemas.openxmlformats.org/officeDocument/2006/relationships/hyperlink" Target="https://ref.ly/1Macc3:18" TargetMode="External"/><Relationship Id="rId18216" Type="http://schemas.openxmlformats.org/officeDocument/2006/relationships/hyperlink" Target="https://ref.ly/1Macc4:10" TargetMode="External"/><Relationship Id="rId18217" Type="http://schemas.openxmlformats.org/officeDocument/2006/relationships/hyperlink" Target="https://ref.ly/2Chr3:2" TargetMode="External"/><Relationship Id="rId18218" Type="http://schemas.openxmlformats.org/officeDocument/2006/relationships/hyperlink" Target="https://ref.ly/2Chr15:10" TargetMode="External"/><Relationship Id="rId18219" Type="http://schemas.openxmlformats.org/officeDocument/2006/relationships/hyperlink" Target="https://ref.ly/Ezra7:1" TargetMode="External"/><Relationship Id="rId18220" Type="http://schemas.openxmlformats.org/officeDocument/2006/relationships/hyperlink" Target="https://ref.ly/Ezra8:1" TargetMode="External"/><Relationship Id="rId18221" Type="http://schemas.openxmlformats.org/officeDocument/2006/relationships/hyperlink" Target="https://ref.ly/Jer10:7" TargetMode="External"/><Relationship Id="rId18222" Type="http://schemas.openxmlformats.org/officeDocument/2006/relationships/hyperlink" Target="https://ref.ly/1Kgs2:12" TargetMode="External"/><Relationship Id="rId18223" Type="http://schemas.openxmlformats.org/officeDocument/2006/relationships/hyperlink" Target="https://ref.ly/1Chr12:23" TargetMode="External"/><Relationship Id="rId18224" Type="http://schemas.openxmlformats.org/officeDocument/2006/relationships/hyperlink" Target="https://ref.ly/Dan4:34" TargetMode="External"/><Relationship Id="rId18225" Type="http://schemas.openxmlformats.org/officeDocument/2006/relationships/hyperlink" Target="https://ref.ly/Dan7:14" TargetMode="External"/><Relationship Id="rId18226" Type="http://schemas.openxmlformats.org/officeDocument/2006/relationships/hyperlink" Target="https://ref.ly/Ps145:11" TargetMode="External"/><Relationship Id="rId18227" Type="http://schemas.openxmlformats.org/officeDocument/2006/relationships/hyperlink" Target="https://ref.ly/2Chr20:30" TargetMode="External"/><Relationship Id="rId18228" Type="http://schemas.openxmlformats.org/officeDocument/2006/relationships/hyperlink" Target="https://ref.ly/Esth3:6" TargetMode="External"/><Relationship Id="rId18229" Type="http://schemas.openxmlformats.org/officeDocument/2006/relationships/hyperlink" Target="https://ref.ly/Dan11:9" TargetMode="External"/><Relationship Id="rId18230" Type="http://schemas.openxmlformats.org/officeDocument/2006/relationships/hyperlink" Target="https://ref.ly/Luke23:42" TargetMode="External"/><Relationship Id="rId18231" Type="http://schemas.openxmlformats.org/officeDocument/2006/relationships/hyperlink" Target="https://ref.ly/Luke19:12" TargetMode="External"/><Relationship Id="rId18232" Type="http://schemas.openxmlformats.org/officeDocument/2006/relationships/hyperlink" Target="https://ref.ly/Matt6:10" TargetMode="External"/><Relationship Id="rId18233" Type="http://schemas.openxmlformats.org/officeDocument/2006/relationships/hyperlink" Target="https://ref.ly/Mark9:47" TargetMode="External"/><Relationship Id="rId18234" Type="http://schemas.openxmlformats.org/officeDocument/2006/relationships/hyperlink" Target="https://ref.ly/Mark10:23-Mark10:25" TargetMode="External"/><Relationship Id="rId18235" Type="http://schemas.openxmlformats.org/officeDocument/2006/relationships/hyperlink" Target="https://ref.ly/Luke13:28" TargetMode="External"/><Relationship Id="rId18236" Type="http://schemas.openxmlformats.org/officeDocument/2006/relationships/hyperlink" Target="https://ref.ly/Exod15:18" TargetMode="External"/><Relationship Id="rId18237" Type="http://schemas.openxmlformats.org/officeDocument/2006/relationships/hyperlink" Target="https://ref.ly/Num23:21" TargetMode="External"/><Relationship Id="rId18238" Type="http://schemas.openxmlformats.org/officeDocument/2006/relationships/hyperlink" Target="https://ref.ly/Isa43:15" TargetMode="External"/><Relationship Id="rId18239" Type="http://schemas.openxmlformats.org/officeDocument/2006/relationships/hyperlink" Target="https://ref.ly/2Kgs19:15" TargetMode="External"/><Relationship Id="rId18240" Type="http://schemas.openxmlformats.org/officeDocument/2006/relationships/hyperlink" Target="https://ref.ly/Ps29:10" TargetMode="External"/><Relationship Id="rId18241" Type="http://schemas.openxmlformats.org/officeDocument/2006/relationships/hyperlink" Target="https://ref.ly/Ps93:1-Ps93:2" TargetMode="External"/><Relationship Id="rId18242" Type="http://schemas.openxmlformats.org/officeDocument/2006/relationships/hyperlink" Target="https://ref.ly/Ps96:10" TargetMode="External"/><Relationship Id="rId18243" Type="http://schemas.openxmlformats.org/officeDocument/2006/relationships/hyperlink" Target="https://ref.ly/Ps97:1-Ps97:9" TargetMode="External"/><Relationship Id="rId18244" Type="http://schemas.openxmlformats.org/officeDocument/2006/relationships/hyperlink" Target="https://ref.ly/Ps99:1-Ps99:4" TargetMode="External"/><Relationship Id="rId18245" Type="http://schemas.openxmlformats.org/officeDocument/2006/relationships/hyperlink" Target="https://ref.ly/Ps145:11-Ps145:13" TargetMode="External"/><Relationship Id="rId18246" Type="http://schemas.openxmlformats.org/officeDocument/2006/relationships/hyperlink" Target="https://ref.ly/Jer46:18" TargetMode="External"/><Relationship Id="rId18247" Type="http://schemas.openxmlformats.org/officeDocument/2006/relationships/hyperlink" Target="https://ref.ly/Isa33:22" TargetMode="External"/><Relationship Id="rId18248" Type="http://schemas.openxmlformats.org/officeDocument/2006/relationships/hyperlink" Target="https://ref.ly/Obad1:21" TargetMode="External"/><Relationship Id="rId18249" Type="http://schemas.openxmlformats.org/officeDocument/2006/relationships/hyperlink" Target="https://ref.ly/Zeph3:15" TargetMode="External"/><Relationship Id="rId18250" Type="http://schemas.openxmlformats.org/officeDocument/2006/relationships/hyperlink" Target="https://ref.ly/Zech14:9-Zech14:11" TargetMode="External"/><Relationship Id="rId18251" Type="http://schemas.openxmlformats.org/officeDocument/2006/relationships/hyperlink" Target="https://ref.ly/Mic1:3-Mic1:4" TargetMode="External"/><Relationship Id="rId18252" Type="http://schemas.openxmlformats.org/officeDocument/2006/relationships/hyperlink" Target="https://ref.ly/Zech14:3" TargetMode="External"/><Relationship Id="rId18253" Type="http://schemas.openxmlformats.org/officeDocument/2006/relationships/hyperlink" Target="https://ref.ly/Isa29:6" TargetMode="External"/><Relationship Id="rId18254" Type="http://schemas.openxmlformats.org/officeDocument/2006/relationships/hyperlink" Target="https://ref.ly/Isa35:4" TargetMode="External"/><Relationship Id="rId18255" Type="http://schemas.openxmlformats.org/officeDocument/2006/relationships/hyperlink" Target="https://ref.ly/Isa2:21" TargetMode="External"/><Relationship Id="rId18256" Type="http://schemas.openxmlformats.org/officeDocument/2006/relationships/hyperlink" Target="https://ref.ly/Zech2:10-Zech2:11" TargetMode="External"/><Relationship Id="rId18257" Type="http://schemas.openxmlformats.org/officeDocument/2006/relationships/hyperlink" Target="https://ref.ly/Isa66:18-Isa66:24" TargetMode="External"/><Relationship Id="rId18258" Type="http://schemas.openxmlformats.org/officeDocument/2006/relationships/hyperlink" Target="https://ref.ly/Amos9:13" TargetMode="External"/><Relationship Id="rId18259" Type="http://schemas.openxmlformats.org/officeDocument/2006/relationships/hyperlink" Target="https://ref.ly/Zeph1:2-Zeph1:18" TargetMode="External"/><Relationship Id="rId18260" Type="http://schemas.openxmlformats.org/officeDocument/2006/relationships/hyperlink" Target="https://ref.ly/Amos4:12" TargetMode="External"/><Relationship Id="rId18261" Type="http://schemas.openxmlformats.org/officeDocument/2006/relationships/hyperlink" Target="https://ref.ly/Mark10:17" TargetMode="External"/><Relationship Id="rId18262" Type="http://schemas.openxmlformats.org/officeDocument/2006/relationships/hyperlink" Target="https://ref.ly/Matt19:23-Matt19:24" TargetMode="External"/><Relationship Id="rId18263" Type="http://schemas.openxmlformats.org/officeDocument/2006/relationships/hyperlink" Target="https://ref.ly/Matt24:3" TargetMode="External"/><Relationship Id="rId18264" Type="http://schemas.openxmlformats.org/officeDocument/2006/relationships/hyperlink" Target="https://ref.ly/Matt13:39-Matt13:42" TargetMode="External"/><Relationship Id="rId18265" Type="http://schemas.openxmlformats.org/officeDocument/2006/relationships/hyperlink" Target="https://ref.ly/Matt13:49" TargetMode="External"/><Relationship Id="rId18266" Type="http://schemas.openxmlformats.org/officeDocument/2006/relationships/hyperlink" Target="https://ref.ly/Matt13:41-Matt13:42" TargetMode="External"/><Relationship Id="rId18267" Type="http://schemas.openxmlformats.org/officeDocument/2006/relationships/hyperlink" Target="https://ref.ly/Matt25:1-Matt25:46" TargetMode="External"/><Relationship Id="rId18268" Type="http://schemas.openxmlformats.org/officeDocument/2006/relationships/hyperlink" Target="https://ref.ly/Matt25:21" TargetMode="External"/><Relationship Id="rId18269" Type="http://schemas.openxmlformats.org/officeDocument/2006/relationships/hyperlink" Target="https://ref.ly/Matt13:30" TargetMode="External"/><Relationship Id="rId18270" Type="http://schemas.openxmlformats.org/officeDocument/2006/relationships/hyperlink" Target="https://ref.ly/Mark4:29" TargetMode="External"/><Relationship Id="rId18271" Type="http://schemas.openxmlformats.org/officeDocument/2006/relationships/hyperlink" Target="https://ref.ly/Matt8:11-Matt8:12" TargetMode="External"/><Relationship Id="rId18272" Type="http://schemas.openxmlformats.org/officeDocument/2006/relationships/hyperlink" Target="https://ref.ly/Mark2:19" TargetMode="External"/><Relationship Id="rId18273" Type="http://schemas.openxmlformats.org/officeDocument/2006/relationships/hyperlink" Target="https://ref.ly/Luke10:23-Luke10:24" TargetMode="External"/><Relationship Id="rId18274" Type="http://schemas.openxmlformats.org/officeDocument/2006/relationships/hyperlink" Target="https://ref.ly/Matt11:4-Matt11:5" TargetMode="External"/><Relationship Id="rId18275" Type="http://schemas.openxmlformats.org/officeDocument/2006/relationships/hyperlink" Target="https://ref.ly/Matt12:26" TargetMode="External"/><Relationship Id="rId18276" Type="http://schemas.openxmlformats.org/officeDocument/2006/relationships/hyperlink" Target="https://ref.ly/Rom9:30" TargetMode="External"/><Relationship Id="rId18277" Type="http://schemas.openxmlformats.org/officeDocument/2006/relationships/hyperlink" Target="https://ref.ly/2Cor10:14" TargetMode="External"/><Relationship Id="rId18278" Type="http://schemas.openxmlformats.org/officeDocument/2006/relationships/hyperlink" Target="https://ref.ly/Phil3:16" TargetMode="External"/><Relationship Id="rId18279" Type="http://schemas.openxmlformats.org/officeDocument/2006/relationships/hyperlink" Target="https://ref.ly/Luke10:9" TargetMode="External"/><Relationship Id="rId18280" Type="http://schemas.openxmlformats.org/officeDocument/2006/relationships/hyperlink" Target="https://ref.ly/Isa9:1-Isa9:21" TargetMode="External"/><Relationship Id="rId18281" Type="http://schemas.openxmlformats.org/officeDocument/2006/relationships/hyperlink" Target="https://ref.ly/Mark10:23-Mark10:24" TargetMode="External"/><Relationship Id="rId18282" Type="http://schemas.openxmlformats.org/officeDocument/2006/relationships/hyperlink" Target="https://ref.ly/Luke18:16-Luke18:17" TargetMode="External"/><Relationship Id="rId18283" Type="http://schemas.openxmlformats.org/officeDocument/2006/relationships/hyperlink" Target="https://ref.ly/Acts20:25" TargetMode="External"/><Relationship Id="rId18284" Type="http://schemas.openxmlformats.org/officeDocument/2006/relationships/hyperlink" Target="https://ref.ly/Acts2:33-Acts2:35" TargetMode="External"/><Relationship Id="rId18285" Type="http://schemas.openxmlformats.org/officeDocument/2006/relationships/hyperlink" Target="https://ref.ly/1Thess2:12" TargetMode="External"/><Relationship Id="rId18286" Type="http://schemas.openxmlformats.org/officeDocument/2006/relationships/hyperlink" Target="https://ref.ly/2Thess1:5" TargetMode="External"/><Relationship Id="rId18287" Type="http://schemas.openxmlformats.org/officeDocument/2006/relationships/hyperlink" Target="https://ref.ly/Rom14:17" TargetMode="External"/><Relationship Id="rId18288" Type="http://schemas.openxmlformats.org/officeDocument/2006/relationships/hyperlink" Target="https://ref.ly/Rev19:11-Rev20:14" TargetMode="External"/><Relationship Id="rId18289" Type="http://schemas.openxmlformats.org/officeDocument/2006/relationships/hyperlink" Target="https://ref.ly/Rev22:4" TargetMode="External"/><Relationship Id="rId18290" Type="http://schemas.openxmlformats.org/officeDocument/2006/relationships/hyperlink" Target="https://ref.ly/1Kgs1:1-1Kgs2:46" TargetMode="External"/><Relationship Id="rId18291" Type="http://schemas.openxmlformats.org/officeDocument/2006/relationships/hyperlink" Target="https://ref.ly/1Kgs3:1-1Kgs11:43" TargetMode="External"/><Relationship Id="rId18292" Type="http://schemas.openxmlformats.org/officeDocument/2006/relationships/hyperlink" Target="https://ref.ly/1Kgs12:1-2Kgs17:41" TargetMode="External"/><Relationship Id="rId18293" Type="http://schemas.openxmlformats.org/officeDocument/2006/relationships/hyperlink" Target="https://ref.ly/2Kgs18:1-2Kgs25:30" TargetMode="External"/><Relationship Id="rId18294" Type="http://schemas.openxmlformats.org/officeDocument/2006/relationships/hyperlink" Target="https://ref.ly/1Kgs17:1-2Kgs10:36" TargetMode="External"/><Relationship Id="rId18295" Type="http://schemas.openxmlformats.org/officeDocument/2006/relationships/hyperlink" Target="https://ref.ly/1Kgs11:29-1Kgs11:39" TargetMode="External"/><Relationship Id="rId18296" Type="http://schemas.openxmlformats.org/officeDocument/2006/relationships/hyperlink" Target="https://ref.ly/1Kgs14:1-1Kgs14:16" TargetMode="External"/><Relationship Id="rId18297" Type="http://schemas.openxmlformats.org/officeDocument/2006/relationships/hyperlink" Target="https://ref.ly/1Kgs13:1-1Kgs13:10" TargetMode="External"/><Relationship Id="rId18298" Type="http://schemas.openxmlformats.org/officeDocument/2006/relationships/hyperlink" Target="https://ref.ly/1Kgs22:13-1Kgs22:28" TargetMode="External"/><Relationship Id="rId18299" Type="http://schemas.openxmlformats.org/officeDocument/2006/relationships/hyperlink" Target="https://ref.ly/2Kgs24:1-2Kgs25:30" TargetMode="External"/><Relationship Id="rId18300" Type="http://schemas.openxmlformats.org/officeDocument/2006/relationships/hyperlink" Target="https://ref.ly/Jer52:1-Jer52:34" TargetMode="External"/><Relationship Id="rId18301" Type="http://schemas.openxmlformats.org/officeDocument/2006/relationships/hyperlink" Target="https://ref.ly/1Kgs10:1-1Kgs10:10" TargetMode="External"/><Relationship Id="rId18302" Type="http://schemas.openxmlformats.org/officeDocument/2006/relationships/hyperlink" Target="https://ref.ly/1Kgs6:1-1Kgs7:51" TargetMode="External"/><Relationship Id="rId18303" Type="http://schemas.openxmlformats.org/officeDocument/2006/relationships/hyperlink" Target="https://ref.ly/1Kgs4:1-1Kgs5:18" TargetMode="External"/><Relationship Id="rId18304" Type="http://schemas.openxmlformats.org/officeDocument/2006/relationships/hyperlink" Target="https://ref.ly/1Kgs14:19" TargetMode="External"/><Relationship Id="rId18305" Type="http://schemas.openxmlformats.org/officeDocument/2006/relationships/hyperlink" Target="https://ref.ly/1Kgs16:27" TargetMode="External"/><Relationship Id="rId18306" Type="http://schemas.openxmlformats.org/officeDocument/2006/relationships/hyperlink" Target="https://ref.ly/2Kgs13:12" TargetMode="External"/><Relationship Id="rId18307" Type="http://schemas.openxmlformats.org/officeDocument/2006/relationships/hyperlink" Target="https://ref.ly/1Kgs15:23" TargetMode="External"/><Relationship Id="rId18308" Type="http://schemas.openxmlformats.org/officeDocument/2006/relationships/hyperlink" Target="https://ref.ly/1Kgs22:45" TargetMode="External"/><Relationship Id="rId18309" Type="http://schemas.openxmlformats.org/officeDocument/2006/relationships/hyperlink" Target="https://ref.ly/2Kgs21:17" TargetMode="External"/><Relationship Id="rId18310" Type="http://schemas.openxmlformats.org/officeDocument/2006/relationships/hyperlink" Target="https://ref.ly/2Sam9:1-2Sam20:26" TargetMode="External"/><Relationship Id="rId18311" Type="http://schemas.openxmlformats.org/officeDocument/2006/relationships/hyperlink" Target="https://ref.ly/1Kgs2:46" TargetMode="External"/><Relationship Id="rId18312" Type="http://schemas.openxmlformats.org/officeDocument/2006/relationships/hyperlink" Target="https://ref.ly/1Kgs16:21-1Kgs16:28" TargetMode="External"/><Relationship Id="rId18313" Type="http://schemas.openxmlformats.org/officeDocument/2006/relationships/hyperlink" Target="https://ref.ly/1Kgs16:1-2Kgs12:21" TargetMode="External"/><Relationship Id="rId18314" Type="http://schemas.openxmlformats.org/officeDocument/2006/relationships/hyperlink" Target="https://ref.ly/1Kgs17:1-1Kgs19:21" TargetMode="External"/><Relationship Id="rId18315" Type="http://schemas.openxmlformats.org/officeDocument/2006/relationships/hyperlink" Target="https://ref.ly/2Kgs1:1-2Kgs1:18" TargetMode="External"/><Relationship Id="rId18316" Type="http://schemas.openxmlformats.org/officeDocument/2006/relationships/hyperlink" Target="https://ref.ly/2Kgs2:1-2Kgs13:25" TargetMode="External"/><Relationship Id="rId18317" Type="http://schemas.openxmlformats.org/officeDocument/2006/relationships/hyperlink" Target="https://ref.ly/1Kgs16:1-1Kgs16:34" TargetMode="External"/><Relationship Id="rId18318" Type="http://schemas.openxmlformats.org/officeDocument/2006/relationships/hyperlink" Target="https://ref.ly/2Kgs13:1-2Kgs13:25" TargetMode="External"/><Relationship Id="rId18319" Type="http://schemas.openxmlformats.org/officeDocument/2006/relationships/hyperlink" Target="https://ref.ly/1Kgs20:1-1Kgs20:34" TargetMode="External"/><Relationship Id="rId18320" Type="http://schemas.openxmlformats.org/officeDocument/2006/relationships/hyperlink" Target="https://ref.ly/2Kgs9:11-2Kgs10:36" TargetMode="External"/><Relationship Id="rId18321" Type="http://schemas.openxmlformats.org/officeDocument/2006/relationships/hyperlink" Target="https://ref.ly/2Kgs18:13-2Kgs20:19" TargetMode="External"/><Relationship Id="rId18322" Type="http://schemas.openxmlformats.org/officeDocument/2006/relationships/hyperlink" Target="https://ref.ly/1Kgs14:21-1Kgs14:22,1Kgs14:29-1Kgs14:31" TargetMode="External"/><Relationship Id="rId18323" Type="http://schemas.openxmlformats.org/officeDocument/2006/relationships/hyperlink" Target="https://ref.ly/1Kgs15:33-1Kgs15:34" TargetMode="External"/><Relationship Id="rId18324" Type="http://schemas.openxmlformats.org/officeDocument/2006/relationships/hyperlink" Target="https://ref.ly/1Kgs16:5-1Kgs16:6" TargetMode="External"/><Relationship Id="rId18325" Type="http://schemas.openxmlformats.org/officeDocument/2006/relationships/hyperlink" Target="https://ref.ly/Jer7:4" TargetMode="External"/><Relationship Id="rId18326" Type="http://schemas.openxmlformats.org/officeDocument/2006/relationships/hyperlink" Target="https://ref.ly/Jer13:13-Jer13:14" TargetMode="External"/><Relationship Id="rId18327" Type="http://schemas.openxmlformats.org/officeDocument/2006/relationships/hyperlink" Target="https://ref.ly/Jer22:1-Jer22:9" TargetMode="External"/><Relationship Id="rId18328" Type="http://schemas.openxmlformats.org/officeDocument/2006/relationships/hyperlink" Target="https://ref.ly/1Kgs8:16,1Kgs8:29" TargetMode="External"/><Relationship Id="rId18329" Type="http://schemas.openxmlformats.org/officeDocument/2006/relationships/hyperlink" Target="https://ref.ly/Deut12:1-Deut12:32" TargetMode="External"/><Relationship Id="rId18330" Type="http://schemas.openxmlformats.org/officeDocument/2006/relationships/hyperlink" Target="https://ref.ly/1Kgs14:16" TargetMode="External"/><Relationship Id="rId18331" Type="http://schemas.openxmlformats.org/officeDocument/2006/relationships/hyperlink" Target="https://ref.ly/1Kgs15:30" TargetMode="External"/><Relationship Id="rId18332" Type="http://schemas.openxmlformats.org/officeDocument/2006/relationships/hyperlink" Target="https://ref.ly/2Kgs13:2,2Kgs13:11" TargetMode="External"/><Relationship Id="rId18333" Type="http://schemas.openxmlformats.org/officeDocument/2006/relationships/hyperlink" Target="https://ref.ly/2Kgs17:22" TargetMode="External"/><Relationship Id="rId18334" Type="http://schemas.openxmlformats.org/officeDocument/2006/relationships/hyperlink" Target="https://ref.ly/1Kgs12:25-1Kgs13:34" TargetMode="External"/><Relationship Id="rId18335" Type="http://schemas.openxmlformats.org/officeDocument/2006/relationships/hyperlink" Target="https://ref.ly/1Kgs16:9-1Kgs16:20" TargetMode="External"/><Relationship Id="rId18336" Type="http://schemas.openxmlformats.org/officeDocument/2006/relationships/hyperlink" Target="https://ref.ly/2Kgs18:3" TargetMode="External"/><Relationship Id="rId18337" Type="http://schemas.openxmlformats.org/officeDocument/2006/relationships/hyperlink" Target="https://ref.ly/2Kgs22:2" TargetMode="External"/><Relationship Id="rId18338" Type="http://schemas.openxmlformats.org/officeDocument/2006/relationships/hyperlink" Target="https://ref.ly/1Kgs15:9-1Kgs15:15" TargetMode="External"/><Relationship Id="rId18339" Type="http://schemas.openxmlformats.org/officeDocument/2006/relationships/hyperlink" Target="https://ref.ly/2Kgs12:2-2Kgs12:3" TargetMode="External"/><Relationship Id="rId18340" Type="http://schemas.openxmlformats.org/officeDocument/2006/relationships/hyperlink" Target="https://ref.ly/2Kgs14:3-2Kgs14:4" TargetMode="External"/><Relationship Id="rId18341" Type="http://schemas.openxmlformats.org/officeDocument/2006/relationships/hyperlink" Target="https://ref.ly/2Kgs15:34-2Kgs15:35" TargetMode="External"/><Relationship Id="rId18342" Type="http://schemas.openxmlformats.org/officeDocument/2006/relationships/hyperlink" Target="https://ref.ly/Deut17:20" TargetMode="External"/><Relationship Id="rId18343" Type="http://schemas.openxmlformats.org/officeDocument/2006/relationships/hyperlink" Target="https://ref.ly/1Kgs15:11" TargetMode="External"/><Relationship Id="rId18344" Type="http://schemas.openxmlformats.org/officeDocument/2006/relationships/hyperlink" Target="https://ref.ly/1Kgs14:8" TargetMode="External"/><Relationship Id="rId18345" Type="http://schemas.openxmlformats.org/officeDocument/2006/relationships/hyperlink" Target="https://ref.ly/1Kgs15:3-1Kgs15:5" TargetMode="External"/><Relationship Id="rId18346" Type="http://schemas.openxmlformats.org/officeDocument/2006/relationships/hyperlink" Target="https://ref.ly/2Kgs14:3" TargetMode="External"/><Relationship Id="rId18347" Type="http://schemas.openxmlformats.org/officeDocument/2006/relationships/hyperlink" Target="https://ref.ly/2Kgs16:2" TargetMode="External"/><Relationship Id="rId18348" Type="http://schemas.openxmlformats.org/officeDocument/2006/relationships/hyperlink" Target="https://ref.ly/1Kgs11:13,1Kgs11:32,1Kgs11:36" TargetMode="External"/><Relationship Id="rId18349" Type="http://schemas.openxmlformats.org/officeDocument/2006/relationships/hyperlink" Target="https://ref.ly/1Kgs15:4-1Kgs15:5" TargetMode="External"/><Relationship Id="rId18350" Type="http://schemas.openxmlformats.org/officeDocument/2006/relationships/hyperlink" Target="https://ref.ly/2Kgs8:19" TargetMode="External"/><Relationship Id="rId18351" Type="http://schemas.openxmlformats.org/officeDocument/2006/relationships/hyperlink" Target="https://ref.ly/2Kgs19:34" TargetMode="External"/><Relationship Id="rId18352" Type="http://schemas.openxmlformats.org/officeDocument/2006/relationships/hyperlink" Target="https://ref.ly/2Kgs20:6" TargetMode="External"/><Relationship Id="rId18353" Type="http://schemas.openxmlformats.org/officeDocument/2006/relationships/hyperlink" Target="https://ref.ly/Num12:1-Num12:8" TargetMode="External"/><Relationship Id="rId18354" Type="http://schemas.openxmlformats.org/officeDocument/2006/relationships/hyperlink" Target="https://ref.ly/Deut18:14-Deut18:22" TargetMode="External"/><Relationship Id="rId18355" Type="http://schemas.openxmlformats.org/officeDocument/2006/relationships/hyperlink" Target="https://ref.ly/Deut18:1-Deut18:22" TargetMode="External"/><Relationship Id="rId18356" Type="http://schemas.openxmlformats.org/officeDocument/2006/relationships/hyperlink" Target="https://ref.ly/1Kgs8:20" TargetMode="External"/><Relationship Id="rId18357" Type="http://schemas.openxmlformats.org/officeDocument/2006/relationships/hyperlink" Target="https://ref.ly/1Kgs11:29-1Kgs11:36" TargetMode="External"/><Relationship Id="rId18358" Type="http://schemas.openxmlformats.org/officeDocument/2006/relationships/hyperlink" Target="https://ref.ly/1Kgs12:15" TargetMode="External"/><Relationship Id="rId18359" Type="http://schemas.openxmlformats.org/officeDocument/2006/relationships/hyperlink" Target="https://ref.ly/1Kgs13:1-1Kgs13:3" TargetMode="External"/><Relationship Id="rId18360" Type="http://schemas.openxmlformats.org/officeDocument/2006/relationships/hyperlink" Target="https://ref.ly/2Kgs23:16-2Kgs23:18" TargetMode="External"/><Relationship Id="rId18361" Type="http://schemas.openxmlformats.org/officeDocument/2006/relationships/hyperlink" Target="https://ref.ly/1Kgs14:6-1Kgs14:12" TargetMode="External"/><Relationship Id="rId18362" Type="http://schemas.openxmlformats.org/officeDocument/2006/relationships/hyperlink" Target="https://ref.ly/1Kgs14:17-1Kgs14:18" TargetMode="External"/><Relationship Id="rId18363" Type="http://schemas.openxmlformats.org/officeDocument/2006/relationships/hyperlink" Target="https://ref.ly/1Kgs16:1-1Kgs16:4" TargetMode="External"/><Relationship Id="rId18364" Type="http://schemas.openxmlformats.org/officeDocument/2006/relationships/hyperlink" Target="https://ref.ly/1Kgs16:7,1Kgs16:11-1Kgs16:12" TargetMode="External"/><Relationship Id="rId18365" Type="http://schemas.openxmlformats.org/officeDocument/2006/relationships/hyperlink" Target="https://ref.ly/1Kgs22:35-1Kgs22:38" TargetMode="External"/><Relationship Id="rId18366" Type="http://schemas.openxmlformats.org/officeDocument/2006/relationships/hyperlink" Target="https://ref.ly/1Kgs21:21-1Kgs21:29" TargetMode="External"/><Relationship Id="rId18367" Type="http://schemas.openxmlformats.org/officeDocument/2006/relationships/hyperlink" Target="https://ref.ly/2Kgs9:7-2Kgs9:10,2Kgs9:30-2Kgs9:37" TargetMode="External"/><Relationship Id="rId18368" Type="http://schemas.openxmlformats.org/officeDocument/2006/relationships/hyperlink" Target="https://ref.ly/2Kgs10:10-2Kgs10:11,2Kgs10:30" TargetMode="External"/><Relationship Id="rId18369" Type="http://schemas.openxmlformats.org/officeDocument/2006/relationships/hyperlink" Target="https://ref.ly/2Kgs1:6" TargetMode="External"/><Relationship Id="rId18370" Type="http://schemas.openxmlformats.org/officeDocument/2006/relationships/hyperlink" Target="https://ref.ly/2Kgs1:17" TargetMode="External"/><Relationship Id="rId18371" Type="http://schemas.openxmlformats.org/officeDocument/2006/relationships/hyperlink" Target="https://ref.ly/2Kgs22:15-2Kgs22:20" TargetMode="External"/><Relationship Id="rId18372" Type="http://schemas.openxmlformats.org/officeDocument/2006/relationships/hyperlink" Target="https://ref.ly/2Kgs23:30" TargetMode="External"/><Relationship Id="rId18373" Type="http://schemas.openxmlformats.org/officeDocument/2006/relationships/hyperlink" Target="https://ref.ly/Deut28:52" TargetMode="External"/><Relationship Id="rId18374" Type="http://schemas.openxmlformats.org/officeDocument/2006/relationships/hyperlink" Target="https://ref.ly/2Kgs6:24-2Kgs6:30" TargetMode="External"/><Relationship Id="rId18375" Type="http://schemas.openxmlformats.org/officeDocument/2006/relationships/hyperlink" Target="https://ref.ly/Deut28:63-Deut28:67" TargetMode="External"/><Relationship Id="rId18376" Type="http://schemas.openxmlformats.org/officeDocument/2006/relationships/hyperlink" Target="https://ref.ly/2Kgs25:27-2Kgs25:30" TargetMode="External"/><Relationship Id="rId18377" Type="http://schemas.openxmlformats.org/officeDocument/2006/relationships/hyperlink" Target="https://ref.ly/Exod12:1-Exod12:20" TargetMode="External"/><Relationship Id="rId18378" Type="http://schemas.openxmlformats.org/officeDocument/2006/relationships/hyperlink" Target="https://ref.ly/Deut16:1-Deut16:8" TargetMode="External"/><Relationship Id="rId18379" Type="http://schemas.openxmlformats.org/officeDocument/2006/relationships/hyperlink" Target="https://ref.ly/Deut24:16" TargetMode="External"/><Relationship Id="rId18380" Type="http://schemas.openxmlformats.org/officeDocument/2006/relationships/hyperlink" Target="https://ref.ly/2Kgs14:6" TargetMode="External"/><Relationship Id="rId18381" Type="http://schemas.openxmlformats.org/officeDocument/2006/relationships/hyperlink" Target="https://ref.ly/1Kgs13:1-1Kgs14:31" TargetMode="External"/><Relationship Id="rId18382" Type="http://schemas.openxmlformats.org/officeDocument/2006/relationships/hyperlink" Target="https://ref.ly/1Kgs16:1-2Kgs10:36" TargetMode="External"/><Relationship Id="rId18383" Type="http://schemas.openxmlformats.org/officeDocument/2006/relationships/hyperlink" Target="https://ref.ly/2Kgs17:1-2Kgs18:12" TargetMode="External"/><Relationship Id="rId18384" Type="http://schemas.openxmlformats.org/officeDocument/2006/relationships/hyperlink" Target="https://ref.ly/1Kgs1:1-1Kgs11:43" TargetMode="External"/><Relationship Id="rId18385" Type="http://schemas.openxmlformats.org/officeDocument/2006/relationships/hyperlink" Target="https://ref.ly/1Kgs12:1-2Kgs17:40" TargetMode="External"/><Relationship Id="rId18386" Type="http://schemas.openxmlformats.org/officeDocument/2006/relationships/hyperlink" Target="https://ref.ly/1Kgs2:1-1Kgs2:4" TargetMode="External"/><Relationship Id="rId18387" Type="http://schemas.openxmlformats.org/officeDocument/2006/relationships/hyperlink" Target="https://ref.ly/1Kgs2:5-1Kgs2:9" TargetMode="External"/><Relationship Id="rId18388" Type="http://schemas.openxmlformats.org/officeDocument/2006/relationships/hyperlink" Target="https://ref.ly/1Kgs2:13-1Kgs2:46" TargetMode="External"/><Relationship Id="rId18389" Type="http://schemas.openxmlformats.org/officeDocument/2006/relationships/hyperlink" Target="https://ref.ly/1Kgs3:1-1Kgs10:29" TargetMode="External"/><Relationship Id="rId18390" Type="http://schemas.openxmlformats.org/officeDocument/2006/relationships/hyperlink" Target="https://ref.ly/1Kgs11:1-1Kgs11:43" TargetMode="External"/><Relationship Id="rId18391" Type="http://schemas.openxmlformats.org/officeDocument/2006/relationships/hyperlink" Target="https://ref.ly/1Kgs9:1-1Kgs9:9" TargetMode="External"/><Relationship Id="rId18392" Type="http://schemas.openxmlformats.org/officeDocument/2006/relationships/hyperlink" Target="https://ref.ly/1Kgs9:10-1Kgs9:27" TargetMode="External"/><Relationship Id="rId18393" Type="http://schemas.openxmlformats.org/officeDocument/2006/relationships/hyperlink" Target="https://ref.ly/1Kgs11:11-1Kgs11:13" TargetMode="External"/><Relationship Id="rId18394" Type="http://schemas.openxmlformats.org/officeDocument/2006/relationships/hyperlink" Target="https://ref.ly/1Kgs13:1-1Kgs16:20" TargetMode="External"/><Relationship Id="rId18395" Type="http://schemas.openxmlformats.org/officeDocument/2006/relationships/hyperlink" Target="https://ref.ly/2Kgs8:18,2Kgs8:26" TargetMode="External"/><Relationship Id="rId18396" Type="http://schemas.openxmlformats.org/officeDocument/2006/relationships/hyperlink" Target="https://ref.ly/2Kgs9:1-2Kgs9:13" TargetMode="External"/><Relationship Id="rId18397" Type="http://schemas.openxmlformats.org/officeDocument/2006/relationships/hyperlink" Target="https://ref.ly/2Kgs9:14-2Kgs9:29" TargetMode="External"/><Relationship Id="rId18398" Type="http://schemas.openxmlformats.org/officeDocument/2006/relationships/hyperlink" Target="https://ref.ly/2Kgs9:30-2Kgs10:36" TargetMode="External"/><Relationship Id="rId18399" Type="http://schemas.openxmlformats.org/officeDocument/2006/relationships/hyperlink" Target="https://ref.ly/2Kgs11:1-2Kgs11:21" TargetMode="External"/><Relationship Id="rId18400" Type="http://schemas.openxmlformats.org/officeDocument/2006/relationships/hyperlink" Target="https://ref.ly/2Kgs13:1-2Kgs13:7" TargetMode="External"/><Relationship Id="rId18401" Type="http://schemas.openxmlformats.org/officeDocument/2006/relationships/hyperlink" Target="https://ref.ly/2Kgs14:23-2Kgs14:28" TargetMode="External"/><Relationship Id="rId18402" Type="http://schemas.openxmlformats.org/officeDocument/2006/relationships/hyperlink" Target="https://ref.ly/2Kgs14:21-2Kgs14:22" TargetMode="External"/><Relationship Id="rId18403" Type="http://schemas.openxmlformats.org/officeDocument/2006/relationships/hyperlink" Target="https://ref.ly/2Kgs15:1-2Kgs15:7" TargetMode="External"/><Relationship Id="rId18404" Type="http://schemas.openxmlformats.org/officeDocument/2006/relationships/hyperlink" Target="https://ref.ly/2Kgs15:1-2Kgs15:38" TargetMode="External"/><Relationship Id="rId18405" Type="http://schemas.openxmlformats.org/officeDocument/2006/relationships/hyperlink" Target="https://ref.ly/2Kgs16:7-2Kgs16:10" TargetMode="External"/><Relationship Id="rId18406" Type="http://schemas.openxmlformats.org/officeDocument/2006/relationships/hyperlink" Target="https://ref.ly/2Kgs16:1-2Kgs16:19" TargetMode="External"/><Relationship Id="rId18407" Type="http://schemas.openxmlformats.org/officeDocument/2006/relationships/hyperlink" Target="https://ref.ly/2Kgs18:9-2Kgs19:37" TargetMode="External"/><Relationship Id="rId18408" Type="http://schemas.openxmlformats.org/officeDocument/2006/relationships/hyperlink" Target="https://ref.ly/2Kgs20:12-2Kgs20:21" TargetMode="External"/><Relationship Id="rId18409" Type="http://schemas.openxmlformats.org/officeDocument/2006/relationships/hyperlink" Target="https://ref.ly/2Kgs21:1-2Kgs21:18" TargetMode="External"/><Relationship Id="rId18410" Type="http://schemas.openxmlformats.org/officeDocument/2006/relationships/hyperlink" Target="https://ref.ly/2Kgs23:26" TargetMode="External"/><Relationship Id="rId18411" Type="http://schemas.openxmlformats.org/officeDocument/2006/relationships/hyperlink" Target="https://ref.ly/2Kgs24:3-2Kgs24:4" TargetMode="External"/><Relationship Id="rId18412" Type="http://schemas.openxmlformats.org/officeDocument/2006/relationships/hyperlink" Target="https://ref.ly/Jer15:1-Jer15:4" TargetMode="External"/><Relationship Id="rId18413" Type="http://schemas.openxmlformats.org/officeDocument/2006/relationships/hyperlink" Target="https://ref.ly/2Kgs21:19-2Kgs21:26" TargetMode="External"/><Relationship Id="rId18414" Type="http://schemas.openxmlformats.org/officeDocument/2006/relationships/hyperlink" Target="https://ref.ly/2Kgs22:1-2Kgs23:14" TargetMode="External"/><Relationship Id="rId18415" Type="http://schemas.openxmlformats.org/officeDocument/2006/relationships/hyperlink" Target="https://ref.ly/2Kgs23:21-2Kgs23:25" TargetMode="External"/><Relationship Id="rId18416" Type="http://schemas.openxmlformats.org/officeDocument/2006/relationships/hyperlink" Target="https://ref.ly/2Kgs23:26-2Kgs23:30" TargetMode="External"/><Relationship Id="rId18417" Type="http://schemas.openxmlformats.org/officeDocument/2006/relationships/hyperlink" Target="https://ref.ly/2Kgs23:31-2Kgs23:33" TargetMode="External"/><Relationship Id="rId18418" Type="http://schemas.openxmlformats.org/officeDocument/2006/relationships/hyperlink" Target="https://ref.ly/2Kgs23:34-2Kgs23:37" TargetMode="External"/><Relationship Id="rId18419" Type="http://schemas.openxmlformats.org/officeDocument/2006/relationships/hyperlink" Target="https://ref.ly/2Kgs24:1-2Kgs24:10" TargetMode="External"/><Relationship Id="rId18420" Type="http://schemas.openxmlformats.org/officeDocument/2006/relationships/hyperlink" Target="https://ref.ly/2Kgs24:11-2Kgs24:17" TargetMode="External"/><Relationship Id="rId18421" Type="http://schemas.openxmlformats.org/officeDocument/2006/relationships/hyperlink" Target="https://ref.ly/2Kgs24:18-2Kgs25:21" TargetMode="External"/><Relationship Id="rId18422" Type="http://schemas.openxmlformats.org/officeDocument/2006/relationships/hyperlink" Target="https://ref.ly/2Kgs25:22-2Kgs25:26" TargetMode="External"/><Relationship Id="rId18423" Type="http://schemas.openxmlformats.org/officeDocument/2006/relationships/hyperlink" Target="https://ref.ly/Exod19:16" TargetMode="External"/><Relationship Id="rId18424" Type="http://schemas.openxmlformats.org/officeDocument/2006/relationships/hyperlink" Target="https://ref.ly/Ezek1:14" TargetMode="External"/><Relationship Id="rId18425" Type="http://schemas.openxmlformats.org/officeDocument/2006/relationships/hyperlink" Target="https://ref.ly/Rev4:5" TargetMode="External"/><Relationship Id="rId18426" Type="http://schemas.openxmlformats.org/officeDocument/2006/relationships/hyperlink" Target="https://ref.ly/Rev16:18" TargetMode="External"/><Relationship Id="rId18427" Type="http://schemas.openxmlformats.org/officeDocument/2006/relationships/hyperlink" Target="https://ref.ly/2Sam22:15" TargetMode="External"/><Relationship Id="rId18428" Type="http://schemas.openxmlformats.org/officeDocument/2006/relationships/hyperlink" Target="https://ref.ly/Ps135:7" TargetMode="External"/><Relationship Id="rId18429" Type="http://schemas.openxmlformats.org/officeDocument/2006/relationships/hyperlink" Target="https://ref.ly/Job38:35" TargetMode="External"/><Relationship Id="rId18430" Type="http://schemas.openxmlformats.org/officeDocument/2006/relationships/hyperlink" Target="https://ref.ly/Ps77:16-Ps77:18" TargetMode="External"/><Relationship Id="rId18431" Type="http://schemas.openxmlformats.org/officeDocument/2006/relationships/hyperlink" Target="https://ref.ly/Gen3:15-Gen3:19" TargetMode="External"/><Relationship Id="rId18432" Type="http://schemas.openxmlformats.org/officeDocument/2006/relationships/hyperlink" Target="https://ref.ly/Gen3:16,Gen3:20" TargetMode="External"/><Relationship Id="rId18433" Type="http://schemas.openxmlformats.org/officeDocument/2006/relationships/hyperlink" Target="https://ref.ly/Gen18:16-Gen18:19" TargetMode="External"/><Relationship Id="rId18434" Type="http://schemas.openxmlformats.org/officeDocument/2006/relationships/hyperlink" Target="https://ref.ly/Gen19:29" TargetMode="External"/><Relationship Id="rId18435" Type="http://schemas.openxmlformats.org/officeDocument/2006/relationships/hyperlink" Target="https://ref.ly/2Pet2:8" TargetMode="External"/><Relationship Id="rId18436" Type="http://schemas.openxmlformats.org/officeDocument/2006/relationships/hyperlink" Target="https://ref.ly/Gen19:16,Gen19:29" TargetMode="External"/><Relationship Id="rId18437" Type="http://schemas.openxmlformats.org/officeDocument/2006/relationships/hyperlink" Target="https://ref.ly/Gen46:26-Gen46:27" TargetMode="External"/><Relationship Id="rId18438" Type="http://schemas.openxmlformats.org/officeDocument/2006/relationships/hyperlink" Target="https://ref.ly/Gen45:6-Gen45:7" TargetMode="External"/><Relationship Id="rId18439" Type="http://schemas.openxmlformats.org/officeDocument/2006/relationships/hyperlink" Target="https://ref.ly/Gen50:19-Gen50:20" TargetMode="External"/><Relationship Id="rId18440" Type="http://schemas.openxmlformats.org/officeDocument/2006/relationships/hyperlink" Target="https://ref.ly/Num13:1-Num14:45" TargetMode="External"/><Relationship Id="rId18441" Type="http://schemas.openxmlformats.org/officeDocument/2006/relationships/hyperlink" Target="https://ref.ly/Lev26:1-Lev26:39" TargetMode="External"/><Relationship Id="rId18442" Type="http://schemas.openxmlformats.org/officeDocument/2006/relationships/hyperlink" Target="https://ref.ly/Isa1:8-Isa1:9" TargetMode="External"/><Relationship Id="rId18443" Type="http://schemas.openxmlformats.org/officeDocument/2006/relationships/hyperlink" Target="https://ref.ly/Isa17:4-Isa17:6" TargetMode="External"/><Relationship Id="rId18444" Type="http://schemas.openxmlformats.org/officeDocument/2006/relationships/hyperlink" Target="https://ref.ly/Isa6:11-Isa6:13" TargetMode="External"/><Relationship Id="rId18445" Type="http://schemas.openxmlformats.org/officeDocument/2006/relationships/hyperlink" Target="https://ref.ly/Isa4:2-Isa4:3" TargetMode="External"/><Relationship Id="rId18446" Type="http://schemas.openxmlformats.org/officeDocument/2006/relationships/hyperlink" Target="https://ref.ly/Isa1:21-Isa1:26" TargetMode="External"/><Relationship Id="rId18447" Type="http://schemas.openxmlformats.org/officeDocument/2006/relationships/hyperlink" Target="https://ref.ly/Ezek9:1-Ezek9:11" TargetMode="External"/><Relationship Id="rId18448" Type="http://schemas.openxmlformats.org/officeDocument/2006/relationships/hyperlink" Target="https://ref.ly/Ezek11:13" TargetMode="External"/><Relationship Id="rId18449" Type="http://schemas.openxmlformats.org/officeDocument/2006/relationships/hyperlink" Target="https://ref.ly/Ezek14:11" TargetMode="External"/><Relationship Id="rId18450" Type="http://schemas.openxmlformats.org/officeDocument/2006/relationships/hyperlink" Target="https://ref.ly/Ezek16:60-Ezek16:62" TargetMode="External"/><Relationship Id="rId18451" Type="http://schemas.openxmlformats.org/officeDocument/2006/relationships/hyperlink" Target="https://ref.ly/Ezek20:35-Ezek20:38" TargetMode="External"/><Relationship Id="rId18452" Type="http://schemas.openxmlformats.org/officeDocument/2006/relationships/hyperlink" Target="https://ref.ly/Ezek34:20-Ezek34:24" TargetMode="External"/><Relationship Id="rId18453" Type="http://schemas.openxmlformats.org/officeDocument/2006/relationships/hyperlink" Target="https://ref.ly/Ezek36:24-Ezek36:27" TargetMode="External"/><Relationship Id="rId18454" Type="http://schemas.openxmlformats.org/officeDocument/2006/relationships/hyperlink" Target="https://ref.ly/Rom4:7" TargetMode="External"/><Relationship Id="rId18455" Type="http://schemas.openxmlformats.org/officeDocument/2006/relationships/hyperlink" Target="https://ref.ly/Rom4:8" TargetMode="External"/><Relationship Id="rId18456" Type="http://schemas.openxmlformats.org/officeDocument/2006/relationships/hyperlink" Target="https://ref.ly/Heb10:17" TargetMode="External"/><Relationship Id="rId18457" Type="http://schemas.openxmlformats.org/officeDocument/2006/relationships/hyperlink" Target="https://ref.ly/2Sam10:6-2Sam10:8" TargetMode="External"/><Relationship Id="rId18458" Type="http://schemas.openxmlformats.org/officeDocument/2006/relationships/hyperlink" Target="https://ref.ly/Josh19:28-Josh19:30" TargetMode="External"/><Relationship Id="rId18459" Type="http://schemas.openxmlformats.org/officeDocument/2006/relationships/hyperlink" Target="https://ref.ly/Josh21:31" TargetMode="External"/><Relationship Id="rId18460" Type="http://schemas.openxmlformats.org/officeDocument/2006/relationships/hyperlink" Target="https://ref.ly/1Chr6:75" TargetMode="External"/><Relationship Id="rId18461" Type="http://schemas.openxmlformats.org/officeDocument/2006/relationships/hyperlink" Target="https://ref.ly/Gen26:22" TargetMode="External"/><Relationship Id="rId18462" Type="http://schemas.openxmlformats.org/officeDocument/2006/relationships/hyperlink" Target="https://ref.ly/Gen36:37" TargetMode="External"/><Relationship Id="rId18463" Type="http://schemas.openxmlformats.org/officeDocument/2006/relationships/hyperlink" Target="https://ref.ly/1Chr1:48" TargetMode="External"/><Relationship Id="rId18464" Type="http://schemas.openxmlformats.org/officeDocument/2006/relationships/hyperlink" Target="https://ref.ly/1Chr2:43-1Chr2:44" TargetMode="External"/><Relationship Id="rId18465" Type="http://schemas.openxmlformats.org/officeDocument/2006/relationships/hyperlink" Target="https://ref.ly/Gen10:12" TargetMode="External"/><Relationship Id="rId18466" Type="http://schemas.openxmlformats.org/officeDocument/2006/relationships/hyperlink" Target="https://ref.ly/Lev25:1-Lev27:34" TargetMode="External"/><Relationship Id="rId18467" Type="http://schemas.openxmlformats.org/officeDocument/2006/relationships/hyperlink" Target="https://ref.ly/Exod21:30" TargetMode="External"/><Relationship Id="rId18468" Type="http://schemas.openxmlformats.org/officeDocument/2006/relationships/hyperlink" Target="https://ref.ly/Exod30:12" TargetMode="External"/><Relationship Id="rId18469" Type="http://schemas.openxmlformats.org/officeDocument/2006/relationships/hyperlink" Target="https://ref.ly/Num35:31-Num35:32" TargetMode="External"/><Relationship Id="rId18470" Type="http://schemas.openxmlformats.org/officeDocument/2006/relationships/hyperlink" Target="https://ref.ly/Ps49:7-Ps49:9" TargetMode="External"/><Relationship Id="rId18471" Type="http://schemas.openxmlformats.org/officeDocument/2006/relationships/hyperlink" Target="https://ref.ly/1Sam12:3" TargetMode="External"/><Relationship Id="rId18472" Type="http://schemas.openxmlformats.org/officeDocument/2006/relationships/hyperlink" Target="https://ref.ly/Prov6:35" TargetMode="External"/><Relationship Id="rId18473" Type="http://schemas.openxmlformats.org/officeDocument/2006/relationships/hyperlink" Target="https://ref.ly/Lev25:25-Lev25:55" TargetMode="External"/><Relationship Id="rId18474" Type="http://schemas.openxmlformats.org/officeDocument/2006/relationships/hyperlink" Target="https://ref.ly/Lev25:25-Lev25:34" TargetMode="External"/><Relationship Id="rId18475" Type="http://schemas.openxmlformats.org/officeDocument/2006/relationships/hyperlink" Target="https://ref.ly/Ruth4:4-Ruth4:6" TargetMode="External"/><Relationship Id="rId18476" Type="http://schemas.openxmlformats.org/officeDocument/2006/relationships/hyperlink" Target="https://ref.ly/Num35:19-Num35:27" TargetMode="External"/><Relationship Id="rId18477" Type="http://schemas.openxmlformats.org/officeDocument/2006/relationships/hyperlink" Target="https://ref.ly/Josh20:3-Josh20:5" TargetMode="External"/><Relationship Id="rId18478" Type="http://schemas.openxmlformats.org/officeDocument/2006/relationships/hyperlink" Target="https://ref.ly/Ruth3:9-Ruth3:13" TargetMode="External"/><Relationship Id="rId18479" Type="http://schemas.openxmlformats.org/officeDocument/2006/relationships/hyperlink" Target="https://ref.ly/Exod6:5-Exod6:7" TargetMode="External"/><Relationship Id="rId18480" Type="http://schemas.openxmlformats.org/officeDocument/2006/relationships/hyperlink" Target="https://ref.ly/Isa40:1-Isa46:13" TargetMode="External"/><Relationship Id="rId18481" Type="http://schemas.openxmlformats.org/officeDocument/2006/relationships/hyperlink" Target="https://ref.ly/Exod13:12-Exod13:15" TargetMode="External"/><Relationship Id="rId18482" Type="http://schemas.openxmlformats.org/officeDocument/2006/relationships/hyperlink" Target="https://ref.ly/Num18:15-Num18:17" TargetMode="External"/><Relationship Id="rId18483" Type="http://schemas.openxmlformats.org/officeDocument/2006/relationships/hyperlink" Target="https://ref.ly/Deut24:18" TargetMode="External"/><Relationship Id="rId18484" Type="http://schemas.openxmlformats.org/officeDocument/2006/relationships/hyperlink" Target="https://ref.ly/Exod21:8-Exod21:11" TargetMode="External"/><Relationship Id="rId18485" Type="http://schemas.openxmlformats.org/officeDocument/2006/relationships/hyperlink" Target="https://ref.ly/Lev19:20" TargetMode="External"/><Relationship Id="rId18486" Type="http://schemas.openxmlformats.org/officeDocument/2006/relationships/hyperlink" Target="https://ref.ly/Deut9:26" TargetMode="External"/><Relationship Id="rId18487" Type="http://schemas.openxmlformats.org/officeDocument/2006/relationships/hyperlink" Target="https://ref.ly/2Sam7:23" TargetMode="External"/><Relationship Id="rId18488" Type="http://schemas.openxmlformats.org/officeDocument/2006/relationships/hyperlink" Target="https://ref.ly/Ps78:42" TargetMode="External"/><Relationship Id="rId18489" Type="http://schemas.openxmlformats.org/officeDocument/2006/relationships/hyperlink" Target="https://ref.ly/Isa51:11" TargetMode="External"/><Relationship Id="rId18490" Type="http://schemas.openxmlformats.org/officeDocument/2006/relationships/hyperlink" Target="https://ref.ly/Hos7:13" TargetMode="External"/><Relationship Id="rId18491" Type="http://schemas.openxmlformats.org/officeDocument/2006/relationships/hyperlink" Target="https://ref.ly/Neh1:10" TargetMode="External"/><Relationship Id="rId18492" Type="http://schemas.openxmlformats.org/officeDocument/2006/relationships/hyperlink" Target="https://ref.ly/Isa1:27" TargetMode="External"/><Relationship Id="rId18493" Type="http://schemas.openxmlformats.org/officeDocument/2006/relationships/hyperlink" Target="https://ref.ly/Ps130:8" TargetMode="External"/><Relationship Id="rId18494" Type="http://schemas.openxmlformats.org/officeDocument/2006/relationships/hyperlink" Target="https://ref.ly/Ps25:22" TargetMode="External"/><Relationship Id="rId18495" Type="http://schemas.openxmlformats.org/officeDocument/2006/relationships/hyperlink" Target="https://ref.ly/1Tim2:6" TargetMode="External"/><Relationship Id="rId18496" Type="http://schemas.openxmlformats.org/officeDocument/2006/relationships/hyperlink" Target="https://ref.ly/Rev14:3-Rev14:4" TargetMode="External"/><Relationship Id="rId18497" Type="http://schemas.openxmlformats.org/officeDocument/2006/relationships/hyperlink" Target="https://ref.ly/1Kgs17:8-1Kgs17:24" TargetMode="External"/><Relationship Id="rId18498" Type="http://schemas.openxmlformats.org/officeDocument/2006/relationships/hyperlink" Target="https://ref.ly/Mark5:35-Mark5:43" TargetMode="External"/><Relationship Id="rId18499" Type="http://schemas.openxmlformats.org/officeDocument/2006/relationships/hyperlink" Target="https://ref.ly/Acts9:36-Acts9:42" TargetMode="External"/><Relationship Id="rId18500" Type="http://schemas.openxmlformats.org/officeDocument/2006/relationships/hyperlink" Target="https://ref.ly/Acts20:9-Acts20:12" TargetMode="External"/><Relationship Id="rId18501" Type="http://schemas.openxmlformats.org/officeDocument/2006/relationships/hyperlink" Target="https://ref.ly/Rev20:5-Rev20:6" TargetMode="External"/><Relationship Id="rId18502" Type="http://schemas.openxmlformats.org/officeDocument/2006/relationships/hyperlink" Target="https://ref.ly/2Sam12:23" TargetMode="External"/><Relationship Id="rId18503" Type="http://schemas.openxmlformats.org/officeDocument/2006/relationships/hyperlink" Target="https://ref.ly/Job7:9-Job7:10" TargetMode="External"/><Relationship Id="rId18504" Type="http://schemas.openxmlformats.org/officeDocument/2006/relationships/hyperlink" Target="https://ref.ly/Ps6:4-Ps6:5" TargetMode="External"/><Relationship Id="rId18505" Type="http://schemas.openxmlformats.org/officeDocument/2006/relationships/hyperlink" Target="https://ref.ly/Job14:14" TargetMode="External"/><Relationship Id="rId18506" Type="http://schemas.openxmlformats.org/officeDocument/2006/relationships/hyperlink" Target="https://ref.ly/Sir46:12" TargetMode="External"/><Relationship Id="rId18507" Type="http://schemas.openxmlformats.org/officeDocument/2006/relationships/hyperlink" Target="https://ref.ly/2Macc7:14-2Macc7:42" TargetMode="External"/><Relationship Id="rId18508" Type="http://schemas.openxmlformats.org/officeDocument/2006/relationships/hyperlink" Target="https://ref.ly/Acts1:21-Acts1:25" TargetMode="External"/><Relationship Id="rId18509" Type="http://schemas.openxmlformats.org/officeDocument/2006/relationships/hyperlink" Target="https://ref.ly/John20:1-John20:31" TargetMode="External"/><Relationship Id="rId18510" Type="http://schemas.openxmlformats.org/officeDocument/2006/relationships/hyperlink" Target="https://ref.ly/Matt28:13" TargetMode="External"/><Relationship Id="rId18511" Type="http://schemas.openxmlformats.org/officeDocument/2006/relationships/hyperlink" Target="https://ref.ly/Luke24:11" TargetMode="External"/><Relationship Id="rId18512" Type="http://schemas.openxmlformats.org/officeDocument/2006/relationships/hyperlink" Target="https://ref.ly/Acts9:1-Acts9:22" TargetMode="External"/><Relationship Id="rId18513" Type="http://schemas.openxmlformats.org/officeDocument/2006/relationships/hyperlink" Target="https://ref.ly/John20:24-John20:28" TargetMode="External"/><Relationship Id="rId18514" Type="http://schemas.openxmlformats.org/officeDocument/2006/relationships/hyperlink" Target="https://ref.ly/Luke24:13-Luke24:35" TargetMode="External"/><Relationship Id="rId18515" Type="http://schemas.openxmlformats.org/officeDocument/2006/relationships/hyperlink" Target="https://ref.ly/1Cor15:5-1Cor15:8" TargetMode="External"/><Relationship Id="rId18516" Type="http://schemas.openxmlformats.org/officeDocument/2006/relationships/hyperlink" Target="https://ref.ly/Acts26:12-Acts26:19" TargetMode="External"/><Relationship Id="rId18517" Type="http://schemas.openxmlformats.org/officeDocument/2006/relationships/hyperlink" Target="https://ref.ly/Luke24:41-Luke24:43" TargetMode="External"/><Relationship Id="rId18518" Type="http://schemas.openxmlformats.org/officeDocument/2006/relationships/hyperlink" Target="https://ref.ly/John12:23-John12:24" TargetMode="External"/><Relationship Id="rId18519" Type="http://schemas.openxmlformats.org/officeDocument/2006/relationships/hyperlink" Target="https://ref.ly/1Cor15:35" TargetMode="External"/><Relationship Id="rId18520" Type="http://schemas.openxmlformats.org/officeDocument/2006/relationships/hyperlink" Target="https://ref.ly/1Cor15:36" TargetMode="External"/><Relationship Id="rId18521" Type="http://schemas.openxmlformats.org/officeDocument/2006/relationships/hyperlink" Target="https://ref.ly/John12:24" TargetMode="External"/><Relationship Id="rId18522" Type="http://schemas.openxmlformats.org/officeDocument/2006/relationships/hyperlink" Target="https://ref.ly/Luke24:31" TargetMode="External"/><Relationship Id="rId18523" Type="http://schemas.openxmlformats.org/officeDocument/2006/relationships/hyperlink" Target="https://ref.ly/John20:10" TargetMode="External"/><Relationship Id="rId18524" Type="http://schemas.openxmlformats.org/officeDocument/2006/relationships/hyperlink" Target="https://ref.ly/Luke24:13-Luke24:33" TargetMode="External"/><Relationship Id="rId18525" Type="http://schemas.openxmlformats.org/officeDocument/2006/relationships/hyperlink" Target="https://ref.ly/Luke24:33-Luke24:48" TargetMode="External"/><Relationship Id="rId18526" Type="http://schemas.openxmlformats.org/officeDocument/2006/relationships/hyperlink" Target="https://ref.ly/John20:19-John20:23" TargetMode="External"/><Relationship Id="rId18527" Type="http://schemas.openxmlformats.org/officeDocument/2006/relationships/hyperlink" Target="https://ref.ly/Mark16:12" TargetMode="External"/><Relationship Id="rId18528" Type="http://schemas.openxmlformats.org/officeDocument/2006/relationships/hyperlink" Target="https://ref.ly/1Cor15:35-1Cor15:44" TargetMode="External"/><Relationship Id="rId18529" Type="http://schemas.openxmlformats.org/officeDocument/2006/relationships/hyperlink" Target="https://ref.ly/2Tim2:17-2Tim2:19" TargetMode="External"/><Relationship Id="rId18530" Type="http://schemas.openxmlformats.org/officeDocument/2006/relationships/hyperlink" Target="https://ref.ly/Zeph3:5" TargetMode="External"/><Relationship Id="rId18531" Type="http://schemas.openxmlformats.org/officeDocument/2006/relationships/hyperlink" Target="https://ref.ly/Ps7:9" TargetMode="External"/><Relationship Id="rId18532" Type="http://schemas.openxmlformats.org/officeDocument/2006/relationships/hyperlink" Target="https://ref.ly/Ps103:17" TargetMode="External"/><Relationship Id="rId18533" Type="http://schemas.openxmlformats.org/officeDocument/2006/relationships/hyperlink" Target="https://ref.ly/Zech8:8" TargetMode="External"/><Relationship Id="rId18534" Type="http://schemas.openxmlformats.org/officeDocument/2006/relationships/hyperlink" Target="https://ref.ly/Judg5:11" TargetMode="External"/><Relationship Id="rId18535" Type="http://schemas.openxmlformats.org/officeDocument/2006/relationships/hyperlink" Target="https://ref.ly/Ps103:6" TargetMode="External"/><Relationship Id="rId18536" Type="http://schemas.openxmlformats.org/officeDocument/2006/relationships/hyperlink" Target="https://ref.ly/Ps89:16" TargetMode="External"/><Relationship Id="rId18537" Type="http://schemas.openxmlformats.org/officeDocument/2006/relationships/hyperlink" Target="https://ref.ly/Mal3:18" TargetMode="External"/><Relationship Id="rId18538" Type="http://schemas.openxmlformats.org/officeDocument/2006/relationships/hyperlink" Target="https://ref.ly/Isa11:10-Isa11:16" TargetMode="External"/><Relationship Id="rId18539" Type="http://schemas.openxmlformats.org/officeDocument/2006/relationships/hyperlink" Target="https://ref.ly/Isa45:8,Isa45:23" TargetMode="External"/><Relationship Id="rId18540" Type="http://schemas.openxmlformats.org/officeDocument/2006/relationships/hyperlink" Target="https://ref.ly/Isa46:13,Isa46:48" TargetMode="External"/><Relationship Id="rId18541" Type="http://schemas.openxmlformats.org/officeDocument/2006/relationships/hyperlink" Target="https://ref.ly/Isa51:5,Isa51:8,Isa51:16" TargetMode="External"/><Relationship Id="rId18542" Type="http://schemas.openxmlformats.org/officeDocument/2006/relationships/hyperlink" Target="https://ref.ly/Isa56:1" TargetMode="External"/><Relationship Id="rId18543" Type="http://schemas.openxmlformats.org/officeDocument/2006/relationships/hyperlink" Target="https://ref.ly/Isa61:10-Isa61:11" TargetMode="External"/><Relationship Id="rId18544" Type="http://schemas.openxmlformats.org/officeDocument/2006/relationships/hyperlink" Target="https://ref.ly/Matt7:21" TargetMode="External"/><Relationship Id="rId18545" Type="http://schemas.openxmlformats.org/officeDocument/2006/relationships/hyperlink" Target="https://ref.ly/Rom8:33-Rom8:34" TargetMode="External"/><Relationship Id="rId18546" Type="http://schemas.openxmlformats.org/officeDocument/2006/relationships/hyperlink" Target="https://ref.ly/Rom5:1,Rom5:9-Rom5:11" TargetMode="External"/><Relationship Id="rId18547" Type="http://schemas.openxmlformats.org/officeDocument/2006/relationships/hyperlink" Target="https://ref.ly/Ezra9:10" TargetMode="External"/><Relationship Id="rId18548" Type="http://schemas.openxmlformats.org/officeDocument/2006/relationships/hyperlink" Target="https://ref.ly/Ezek11:21" TargetMode="External"/><Relationship Id="rId18549" Type="http://schemas.openxmlformats.org/officeDocument/2006/relationships/hyperlink" Target="https://ref.ly/Ps78:10" TargetMode="External"/><Relationship Id="rId18550" Type="http://schemas.openxmlformats.org/officeDocument/2006/relationships/hyperlink" Target="https://ref.ly/Hos4:10" TargetMode="External"/><Relationship Id="rId18551" Type="http://schemas.openxmlformats.org/officeDocument/2006/relationships/hyperlink" Target="https://ref.ly/Ps78:11" TargetMode="External"/><Relationship Id="rId18552" Type="http://schemas.openxmlformats.org/officeDocument/2006/relationships/hyperlink" Target="https://ref.ly/Ps107:11" TargetMode="External"/><Relationship Id="rId18553" Type="http://schemas.openxmlformats.org/officeDocument/2006/relationships/hyperlink" Target="https://ref.ly/Isa30:9" TargetMode="External"/><Relationship Id="rId18554" Type="http://schemas.openxmlformats.org/officeDocument/2006/relationships/hyperlink" Target="https://ref.ly/Jer3:21" TargetMode="External"/><Relationship Id="rId18555" Type="http://schemas.openxmlformats.org/officeDocument/2006/relationships/hyperlink" Target="https://ref.ly/Isa9:16" TargetMode="External"/><Relationship Id="rId18556" Type="http://schemas.openxmlformats.org/officeDocument/2006/relationships/hyperlink" Target="https://ref.ly/Jer50:6" TargetMode="External"/><Relationship Id="rId18557" Type="http://schemas.openxmlformats.org/officeDocument/2006/relationships/hyperlink" Target="https://ref.ly/Hos4:16" TargetMode="External"/><Relationship Id="rId18558" Type="http://schemas.openxmlformats.org/officeDocument/2006/relationships/hyperlink" Target="https://ref.ly/Jer14:7" TargetMode="External"/><Relationship Id="rId18559" Type="http://schemas.openxmlformats.org/officeDocument/2006/relationships/hyperlink" Target="https://ref.ly/Gen11:18-Gen11:21" TargetMode="External"/><Relationship Id="rId18560" Type="http://schemas.openxmlformats.org/officeDocument/2006/relationships/hyperlink" Target="https://ref.ly/1Chr1:25" TargetMode="External"/><Relationship Id="rId18561" Type="http://schemas.openxmlformats.org/officeDocument/2006/relationships/hyperlink" Target="https://ref.ly/Tob3:7" TargetMode="External"/><Relationship Id="rId18562" Type="http://schemas.openxmlformats.org/officeDocument/2006/relationships/hyperlink" Target="https://ref.ly/Gen36:4,Gen36:10-Gen36:17" TargetMode="External"/><Relationship Id="rId18563" Type="http://schemas.openxmlformats.org/officeDocument/2006/relationships/hyperlink" Target="https://ref.ly/Acts19:32" TargetMode="External"/><Relationship Id="rId18564" Type="http://schemas.openxmlformats.org/officeDocument/2006/relationships/hyperlink" Target="https://ref.ly/1Cor14:19" TargetMode="External"/><Relationship Id="rId18565" Type="http://schemas.openxmlformats.org/officeDocument/2006/relationships/hyperlink" Target="https://ref.ly/1Cor14:35" TargetMode="External"/><Relationship Id="rId18566" Type="http://schemas.openxmlformats.org/officeDocument/2006/relationships/hyperlink" Target="https://ref.ly/Acts8:3" TargetMode="External"/><Relationship Id="rId18567" Type="http://schemas.openxmlformats.org/officeDocument/2006/relationships/hyperlink" Target="https://ref.ly/Acts12:5" TargetMode="External"/><Relationship Id="rId18568" Type="http://schemas.openxmlformats.org/officeDocument/2006/relationships/hyperlink" Target="https://ref.ly/Rom16:3-Rom16:5" TargetMode="External"/><Relationship Id="rId18569" Type="http://schemas.openxmlformats.org/officeDocument/2006/relationships/hyperlink" Target="https://ref.ly/1Cor16:19-1Cor16:20" TargetMode="External"/><Relationship Id="rId18570" Type="http://schemas.openxmlformats.org/officeDocument/2006/relationships/hyperlink" Target="https://ref.ly/Col4:15-Col4:16" TargetMode="External"/><Relationship Id="rId18571" Type="http://schemas.openxmlformats.org/officeDocument/2006/relationships/hyperlink" Target="https://ref.ly/Rom16:14-Rom16:15" TargetMode="External"/><Relationship Id="rId18572" Type="http://schemas.openxmlformats.org/officeDocument/2006/relationships/hyperlink" Target="https://ref.ly/Rom16:10-Rom16:11" TargetMode="External"/><Relationship Id="rId18573" Type="http://schemas.openxmlformats.org/officeDocument/2006/relationships/hyperlink" Target="https://ref.ly/Rom15:23" TargetMode="External"/><Relationship Id="rId18574" Type="http://schemas.openxmlformats.org/officeDocument/2006/relationships/hyperlink" Target="https://ref.ly/Col4:15" TargetMode="External"/><Relationship Id="rId18575" Type="http://schemas.openxmlformats.org/officeDocument/2006/relationships/hyperlink" Target="https://ref.ly/Matt26:16" TargetMode="External"/><Relationship Id="rId18576" Type="http://schemas.openxmlformats.org/officeDocument/2006/relationships/hyperlink" Target="https://ref.ly/Acts19:18-Acts19:20" TargetMode="External"/><Relationship Id="rId18577" Type="http://schemas.openxmlformats.org/officeDocument/2006/relationships/hyperlink" Target="https://ref.ly/1Tim5:1-1Tim6:21" TargetMode="External"/><Relationship Id="rId18578" Type="http://schemas.openxmlformats.org/officeDocument/2006/relationships/hyperlink" Target="https://ref.ly/Acts2:42-Acts2:47" TargetMode="External"/><Relationship Id="rId18579" Type="http://schemas.openxmlformats.org/officeDocument/2006/relationships/hyperlink" Target="https://ref.ly/Eph5:18-Eph5:20" TargetMode="External"/><Relationship Id="rId18580" Type="http://schemas.openxmlformats.org/officeDocument/2006/relationships/hyperlink" Target="https://ref.ly/Col3:16-Col3:17" TargetMode="External"/><Relationship Id="rId18581" Type="http://schemas.openxmlformats.org/officeDocument/2006/relationships/hyperlink" Target="https://ref.ly/Acts15:30" TargetMode="External"/><Relationship Id="rId18582" Type="http://schemas.openxmlformats.org/officeDocument/2006/relationships/hyperlink" Target="https://ref.ly/1Cor14:23" TargetMode="External"/><Relationship Id="rId18583" Type="http://schemas.openxmlformats.org/officeDocument/2006/relationships/hyperlink" Target="https://ref.ly/1Cor14:1-1Cor14:40" TargetMode="External"/><Relationship Id="rId18584" Type="http://schemas.openxmlformats.org/officeDocument/2006/relationships/hyperlink" Target="https://ref.ly/Deut29:29" TargetMode="External"/><Relationship Id="rId18585" Type="http://schemas.openxmlformats.org/officeDocument/2006/relationships/hyperlink" Target="https://ref.ly/Ps10:11" TargetMode="External"/><Relationship Id="rId18586" Type="http://schemas.openxmlformats.org/officeDocument/2006/relationships/hyperlink" Target="https://ref.ly/Ps14:1,Ps14:19" TargetMode="External"/><Relationship Id="rId18587" Type="http://schemas.openxmlformats.org/officeDocument/2006/relationships/hyperlink" Target="https://ref.ly/Acts17:22-Acts17:29" TargetMode="External"/><Relationship Id="rId18588" Type="http://schemas.openxmlformats.org/officeDocument/2006/relationships/hyperlink" Target="https://ref.ly/Rom1:19-Rom1:21" TargetMode="External"/><Relationship Id="rId18589" Type="http://schemas.openxmlformats.org/officeDocument/2006/relationships/hyperlink" Target="https://ref.ly/2Pet1:16-2Pet1:21" TargetMode="External"/><Relationship Id="rId18590" Type="http://schemas.openxmlformats.org/officeDocument/2006/relationships/hyperlink" Target="https://ref.ly/Heb1:1-Heb1:2" TargetMode="External"/><Relationship Id="rId18591" Type="http://schemas.openxmlformats.org/officeDocument/2006/relationships/hyperlink" Target="https://ref.ly/John14:1-John14:31" TargetMode="External"/><Relationship Id="rId18592" Type="http://schemas.openxmlformats.org/officeDocument/2006/relationships/hyperlink" Target="https://ref.ly/Acts18:28" TargetMode="External"/><Relationship Id="rId18593" Type="http://schemas.openxmlformats.org/officeDocument/2006/relationships/hyperlink" Target="https://ref.ly/Deut4:48-Deut4:49" TargetMode="External"/><Relationship Id="rId18594" Type="http://schemas.openxmlformats.org/officeDocument/2006/relationships/hyperlink" Target="https://ref.ly/Josh8:14" TargetMode="External"/><Relationship Id="rId18595" Type="http://schemas.openxmlformats.org/officeDocument/2006/relationships/hyperlink" Target="https://ref.ly/Num34:5" TargetMode="External"/><Relationship Id="rId18596" Type="http://schemas.openxmlformats.org/officeDocument/2006/relationships/hyperlink" Target="https://ref.ly/Josh15:4,Josh15:47" TargetMode="External"/><Relationship Id="rId18597" Type="http://schemas.openxmlformats.org/officeDocument/2006/relationships/hyperlink" Target="https://ref.ly/Isa27:12" TargetMode="External"/><Relationship Id="rId18598" Type="http://schemas.openxmlformats.org/officeDocument/2006/relationships/hyperlink" Target="https://ref.ly/2Kgs25:6" TargetMode="External"/><Relationship Id="rId18599" Type="http://schemas.openxmlformats.org/officeDocument/2006/relationships/hyperlink" Target="https://ref.ly/Jer39:5-Jer39:6" TargetMode="External"/><Relationship Id="rId18600" Type="http://schemas.openxmlformats.org/officeDocument/2006/relationships/hyperlink" Target="https://ref.ly/Jer52:9-Jer52:10" TargetMode="External"/><Relationship Id="rId18601" Type="http://schemas.openxmlformats.org/officeDocument/2006/relationships/hyperlink" Target="https://ref.ly/2Kgs25:20-2Kgs25:21" TargetMode="External"/><Relationship Id="rId18602" Type="http://schemas.openxmlformats.org/officeDocument/2006/relationships/hyperlink" Target="https://ref.ly/Jer52:26-Jer52:27" TargetMode="External"/><Relationship Id="rId18603" Type="http://schemas.openxmlformats.org/officeDocument/2006/relationships/hyperlink" Target="https://ref.ly/Exod29:13" TargetMode="External"/><Relationship Id="rId18604" Type="http://schemas.openxmlformats.org/officeDocument/2006/relationships/hyperlink" Target="https://ref.ly/Lev3:4-Lev3:15" TargetMode="External"/><Relationship Id="rId18605" Type="http://schemas.openxmlformats.org/officeDocument/2006/relationships/hyperlink" Target="https://ref.ly/Ps73:21" TargetMode="External"/><Relationship Id="rId18606" Type="http://schemas.openxmlformats.org/officeDocument/2006/relationships/hyperlink" Target="https://ref.ly/Ps16:7" TargetMode="External"/><Relationship Id="rId18607" Type="http://schemas.openxmlformats.org/officeDocument/2006/relationships/hyperlink" Target="https://ref.ly/Jer12:2" TargetMode="External"/><Relationship Id="rId18608" Type="http://schemas.openxmlformats.org/officeDocument/2006/relationships/hyperlink" Target="https://ref.ly/Ps26:2" TargetMode="External"/><Relationship Id="rId18609" Type="http://schemas.openxmlformats.org/officeDocument/2006/relationships/hyperlink" Target="https://ref.ly/Jer20:12" TargetMode="External"/><Relationship Id="rId18610" Type="http://schemas.openxmlformats.org/officeDocument/2006/relationships/hyperlink" Target="https://ref.ly/Num33:19-Num33:20" TargetMode="External"/><Relationship Id="rId18611" Type="http://schemas.openxmlformats.org/officeDocument/2006/relationships/hyperlink" Target="https://ref.ly/Deut11:24" TargetMode="External"/><Relationship Id="rId18612" Type="http://schemas.openxmlformats.org/officeDocument/2006/relationships/hyperlink" Target="https://ref.ly/Josh24:3,Josh24:14" TargetMode="External"/><Relationship Id="rId18613" Type="http://schemas.openxmlformats.org/officeDocument/2006/relationships/hyperlink" Target="https://ref.ly/Ezra4:10" TargetMode="External"/><Relationship Id="rId18614" Type="http://schemas.openxmlformats.org/officeDocument/2006/relationships/hyperlink" Target="https://ref.ly/Neh2:7-Neh2:9" TargetMode="External"/><Relationship Id="rId18615" Type="http://schemas.openxmlformats.org/officeDocument/2006/relationships/hyperlink" Target="https://ref.ly/Jer51:63" TargetMode="External"/><Relationship Id="rId18616" Type="http://schemas.openxmlformats.org/officeDocument/2006/relationships/hyperlink" Target="https://ref.ly/Rev9:14" TargetMode="External"/><Relationship Id="rId18617" Type="http://schemas.openxmlformats.org/officeDocument/2006/relationships/hyperlink" Target="https://ref.ly/Rev16:12" TargetMode="External"/><Relationship Id="rId18618" Type="http://schemas.openxmlformats.org/officeDocument/2006/relationships/hyperlink" Target="https://ref.ly/Exod8:20" TargetMode="External"/><Relationship Id="rId18619" Type="http://schemas.openxmlformats.org/officeDocument/2006/relationships/hyperlink" Target="https://ref.ly/Gen41:1-Gen41:4,Gen41:17-Gen41:21" TargetMode="External"/><Relationship Id="rId18620" Type="http://schemas.openxmlformats.org/officeDocument/2006/relationships/hyperlink" Target="https://ref.ly/Exod7:15" TargetMode="External"/><Relationship Id="rId18621" Type="http://schemas.openxmlformats.org/officeDocument/2006/relationships/hyperlink" Target="https://ref.ly/Exod7:15-Exod7:24" TargetMode="External"/><Relationship Id="rId18622" Type="http://schemas.openxmlformats.org/officeDocument/2006/relationships/hyperlink" Target="https://ref.ly/Exod17:5" TargetMode="External"/><Relationship Id="rId18623" Type="http://schemas.openxmlformats.org/officeDocument/2006/relationships/hyperlink" Target="https://ref.ly/Ps78:44" TargetMode="External"/><Relationship Id="rId18624" Type="http://schemas.openxmlformats.org/officeDocument/2006/relationships/hyperlink" Target="https://ref.ly/Exod8:3,Exod8:5,Exod8:9,Exod8:11" TargetMode="External"/><Relationship Id="rId18625" Type="http://schemas.openxmlformats.org/officeDocument/2006/relationships/hyperlink" Target="https://ref.ly/Isa23:3" TargetMode="External"/><Relationship Id="rId18626" Type="http://schemas.openxmlformats.org/officeDocument/2006/relationships/hyperlink" Target="https://ref.ly/Isa23:10" TargetMode="External"/><Relationship Id="rId18627" Type="http://schemas.openxmlformats.org/officeDocument/2006/relationships/hyperlink" Target="https://ref.ly/Jer46:7-Jer46:8" TargetMode="External"/><Relationship Id="rId18628" Type="http://schemas.openxmlformats.org/officeDocument/2006/relationships/hyperlink" Target="https://ref.ly/Ezek29:1-Ezek29:21" TargetMode="External"/><Relationship Id="rId18629" Type="http://schemas.openxmlformats.org/officeDocument/2006/relationships/hyperlink" Target="https://ref.ly/Amos8:8" TargetMode="External"/><Relationship Id="rId18630" Type="http://schemas.openxmlformats.org/officeDocument/2006/relationships/hyperlink" Target="https://ref.ly/Amos9:5" TargetMode="External"/><Relationship Id="rId18631" Type="http://schemas.openxmlformats.org/officeDocument/2006/relationships/hyperlink" Target="https://ref.ly/Nah2:6" TargetMode="External"/><Relationship Id="rId18632" Type="http://schemas.openxmlformats.org/officeDocument/2006/relationships/hyperlink" Target="https://ref.ly/Deut8:18" TargetMode="External"/><Relationship Id="rId18633" Type="http://schemas.openxmlformats.org/officeDocument/2006/relationships/hyperlink" Target="https://ref.ly/Job1:1-Job1:3" TargetMode="External"/><Relationship Id="rId18634" Type="http://schemas.openxmlformats.org/officeDocument/2006/relationships/hyperlink" Target="https://ref.ly/1Kgs3:10-1Kgs3:13" TargetMode="External"/><Relationship Id="rId18635" Type="http://schemas.openxmlformats.org/officeDocument/2006/relationships/hyperlink" Target="https://ref.ly/2Chr1:11-2Chr1:12" TargetMode="External"/><Relationship Id="rId18636" Type="http://schemas.openxmlformats.org/officeDocument/2006/relationships/hyperlink" Target="https://ref.ly/Jas5:1-Jas5:6" TargetMode="External"/><Relationship Id="rId18637" Type="http://schemas.openxmlformats.org/officeDocument/2006/relationships/hyperlink" Target="https://ref.ly/Luke6:24" TargetMode="External"/><Relationship Id="rId18638" Type="http://schemas.openxmlformats.org/officeDocument/2006/relationships/hyperlink" Target="https://ref.ly/Matt13:22" TargetMode="External"/><Relationship Id="rId18639" Type="http://schemas.openxmlformats.org/officeDocument/2006/relationships/hyperlink" Target="https://ref.ly/Luke8:14" TargetMode="External"/><Relationship Id="rId18640" Type="http://schemas.openxmlformats.org/officeDocument/2006/relationships/hyperlink" Target="https://ref.ly/Matt27:57" TargetMode="External"/><Relationship Id="rId18641" Type="http://schemas.openxmlformats.org/officeDocument/2006/relationships/hyperlink" Target="https://ref.ly/1Sam25:2-1Sam25:3" TargetMode="External"/><Relationship Id="rId18642" Type="http://schemas.openxmlformats.org/officeDocument/2006/relationships/hyperlink" Target="https://ref.ly/1Sam8:11-1Sam8:18" TargetMode="External"/><Relationship Id="rId18643" Type="http://schemas.openxmlformats.org/officeDocument/2006/relationships/hyperlink" Target="https://ref.ly/Ps37:7" TargetMode="External"/><Relationship Id="rId18644" Type="http://schemas.openxmlformats.org/officeDocument/2006/relationships/hyperlink" Target="https://ref.ly/1Tim6:17" TargetMode="External"/><Relationship Id="rId18645" Type="http://schemas.openxmlformats.org/officeDocument/2006/relationships/hyperlink" Target="https://ref.ly/Hab2:9-Hab2:11" TargetMode="External"/><Relationship Id="rId18646" Type="http://schemas.openxmlformats.org/officeDocument/2006/relationships/hyperlink" Target="https://ref.ly/Jer22:13" TargetMode="External"/><Relationship Id="rId18647" Type="http://schemas.openxmlformats.org/officeDocument/2006/relationships/hyperlink" Target="https://ref.ly/1Chr29:12" TargetMode="External"/><Relationship Id="rId18648" Type="http://schemas.openxmlformats.org/officeDocument/2006/relationships/hyperlink" Target="https://ref.ly/Luke19:11-Luke19:26" TargetMode="External"/><Relationship Id="rId18649" Type="http://schemas.openxmlformats.org/officeDocument/2006/relationships/hyperlink" Target="https://ref.ly/Matt6:24-Matt6:34" TargetMode="External"/><Relationship Id="rId18650" Type="http://schemas.openxmlformats.org/officeDocument/2006/relationships/hyperlink" Target="https://ref.ly/Mark10:17-Mark10:27" TargetMode="External"/><Relationship Id="rId18651" Type="http://schemas.openxmlformats.org/officeDocument/2006/relationships/hyperlink" Target="https://ref.ly/Matt6:19" TargetMode="External"/><Relationship Id="rId18652" Type="http://schemas.openxmlformats.org/officeDocument/2006/relationships/hyperlink" Target="https://ref.ly/Luke16:19-Luke16:26" TargetMode="External"/><Relationship Id="rId18653" Type="http://schemas.openxmlformats.org/officeDocument/2006/relationships/hyperlink" Target="https://ref.ly/1Tim6:10" TargetMode="External"/><Relationship Id="rId18654" Type="http://schemas.openxmlformats.org/officeDocument/2006/relationships/hyperlink" Target="https://ref.ly/Deut8:17-Deut8:18" TargetMode="External"/><Relationship Id="rId18655" Type="http://schemas.openxmlformats.org/officeDocument/2006/relationships/hyperlink" Target="https://ref.ly/Matt4:8-Matt4:9" TargetMode="External"/><Relationship Id="rId18656" Type="http://schemas.openxmlformats.org/officeDocument/2006/relationships/hyperlink" Target="https://ref.ly/Luke12:42-Luke12:44" TargetMode="External"/><Relationship Id="rId18657" Type="http://schemas.openxmlformats.org/officeDocument/2006/relationships/hyperlink" Target="https://ref.ly/2Cor8:2" TargetMode="External"/><Relationship Id="rId18658" Type="http://schemas.openxmlformats.org/officeDocument/2006/relationships/hyperlink" Target="https://ref.ly/Luke12:29-Luke12:31" TargetMode="External"/><Relationship Id="rId18659" Type="http://schemas.openxmlformats.org/officeDocument/2006/relationships/hyperlink" Target="https://ref.ly/Rev3:17" TargetMode="External"/><Relationship Id="rId18660" Type="http://schemas.openxmlformats.org/officeDocument/2006/relationships/hyperlink" Target="https://ref.ly/1Tim6:18" TargetMode="External"/><Relationship Id="rId18661" Type="http://schemas.openxmlformats.org/officeDocument/2006/relationships/hyperlink" Target="https://ref.ly/Ps126:2" TargetMode="External"/><Relationship Id="rId18662" Type="http://schemas.openxmlformats.org/officeDocument/2006/relationships/hyperlink" Target="https://ref.ly/Job8:21" TargetMode="External"/><Relationship Id="rId18663" Type="http://schemas.openxmlformats.org/officeDocument/2006/relationships/hyperlink" Target="https://ref.ly/Eccl3:4" TargetMode="External"/><Relationship Id="rId18664" Type="http://schemas.openxmlformats.org/officeDocument/2006/relationships/hyperlink" Target="https://ref.ly/Eccl2:2" TargetMode="External"/><Relationship Id="rId18665" Type="http://schemas.openxmlformats.org/officeDocument/2006/relationships/hyperlink" Target="https://ref.ly/Eccl7:3" TargetMode="External"/><Relationship Id="rId18666" Type="http://schemas.openxmlformats.org/officeDocument/2006/relationships/hyperlink" Target="https://ref.ly/Prov31:25" TargetMode="External"/><Relationship Id="rId18667" Type="http://schemas.openxmlformats.org/officeDocument/2006/relationships/hyperlink" Target="https://ref.ly/Job5:22" TargetMode="External"/><Relationship Id="rId18668" Type="http://schemas.openxmlformats.org/officeDocument/2006/relationships/hyperlink" Target="https://ref.ly/Hab1:9" TargetMode="External"/><Relationship Id="rId18669" Type="http://schemas.openxmlformats.org/officeDocument/2006/relationships/hyperlink" Target="https://ref.ly/Job12:4" TargetMode="External"/><Relationship Id="rId18670" Type="http://schemas.openxmlformats.org/officeDocument/2006/relationships/hyperlink" Target="https://ref.ly/Jer20:7" TargetMode="External"/><Relationship Id="rId18671" Type="http://schemas.openxmlformats.org/officeDocument/2006/relationships/hyperlink" Target="https://ref.ly/Ps80:6" TargetMode="External"/><Relationship Id="rId18672" Type="http://schemas.openxmlformats.org/officeDocument/2006/relationships/hyperlink" Target="https://ref.ly/2Chr30:10" TargetMode="External"/><Relationship Id="rId18673" Type="http://schemas.openxmlformats.org/officeDocument/2006/relationships/hyperlink" Target="https://ref.ly/Ps52:6" TargetMode="External"/><Relationship Id="rId18674" Type="http://schemas.openxmlformats.org/officeDocument/2006/relationships/hyperlink" Target="https://ref.ly/Prov1:26" TargetMode="External"/><Relationship Id="rId18675" Type="http://schemas.openxmlformats.org/officeDocument/2006/relationships/hyperlink" Target="https://ref.ly/Ps37:13" TargetMode="External"/><Relationship Id="rId18676" Type="http://schemas.openxmlformats.org/officeDocument/2006/relationships/hyperlink" Target="https://ref.ly/Ps59:8" TargetMode="External"/><Relationship Id="rId18677" Type="http://schemas.openxmlformats.org/officeDocument/2006/relationships/hyperlink" Target="https://ref.ly/Num33:21-Num33:22" TargetMode="External"/><Relationship Id="rId18678" Type="http://schemas.openxmlformats.org/officeDocument/2006/relationships/hyperlink" Target="https://ref.ly/Num33:18-Num33:19" TargetMode="External"/><Relationship Id="rId18679" Type="http://schemas.openxmlformats.org/officeDocument/2006/relationships/hyperlink" Target="https://ref.ly/Jer18:3" TargetMode="External"/><Relationship Id="rId18680" Type="http://schemas.openxmlformats.org/officeDocument/2006/relationships/hyperlink" Target="https://ref.ly/Exod14:25" TargetMode="External"/><Relationship Id="rId18681" Type="http://schemas.openxmlformats.org/officeDocument/2006/relationships/hyperlink" Target="https://ref.ly/Isa28:28" TargetMode="External"/><Relationship Id="rId18682" Type="http://schemas.openxmlformats.org/officeDocument/2006/relationships/hyperlink" Target="https://ref.ly/Acts12:13-Acts12:15" TargetMode="External"/><Relationship Id="rId18683" Type="http://schemas.openxmlformats.org/officeDocument/2006/relationships/hyperlink" Target="https://ref.ly/Acts23:11" TargetMode="External"/><Relationship Id="rId18684" Type="http://schemas.openxmlformats.org/officeDocument/2006/relationships/hyperlink" Target="https://ref.ly/Acts28:14,Acts28:16" TargetMode="External"/><Relationship Id="rId18685" Type="http://schemas.openxmlformats.org/officeDocument/2006/relationships/hyperlink" Target="https://ref.ly/Rom1:7,Rom1:15" TargetMode="External"/><Relationship Id="rId18686" Type="http://schemas.openxmlformats.org/officeDocument/2006/relationships/hyperlink" Target="https://ref.ly/2Tim1:17" TargetMode="External"/><Relationship Id="rId18687" Type="http://schemas.openxmlformats.org/officeDocument/2006/relationships/hyperlink" Target="https://ref.ly/2Tim4:16-2Tim4:17" TargetMode="External"/><Relationship Id="rId18688" Type="http://schemas.openxmlformats.org/officeDocument/2006/relationships/hyperlink" Target="https://ref.ly/Luke7:1-Luke7:8" TargetMode="External"/><Relationship Id="rId18689" Type="http://schemas.openxmlformats.org/officeDocument/2006/relationships/hyperlink" Target="https://ref.ly/Acts21:31-Acts21:33" TargetMode="External"/><Relationship Id="rId18690" Type="http://schemas.openxmlformats.org/officeDocument/2006/relationships/hyperlink" Target="https://ref.ly/Acts23:23" TargetMode="External"/><Relationship Id="rId18691" Type="http://schemas.openxmlformats.org/officeDocument/2006/relationships/hyperlink" Target="https://ref.ly/Rom15:24" TargetMode="External"/><Relationship Id="rId18692" Type="http://schemas.openxmlformats.org/officeDocument/2006/relationships/hyperlink" Target="https://ref.ly/Rom16:5,Rom16:10,Rom16:11,Rom16:14,Rom16:15" TargetMode="External"/><Relationship Id="rId18693" Type="http://schemas.openxmlformats.org/officeDocument/2006/relationships/hyperlink" Target="https://ref.ly/Rev17:6" TargetMode="External"/><Relationship Id="rId18694" Type="http://schemas.openxmlformats.org/officeDocument/2006/relationships/hyperlink" Target="https://ref.ly/Ezek23:15" TargetMode="External"/><Relationship Id="rId18695" Type="http://schemas.openxmlformats.org/officeDocument/2006/relationships/hyperlink" Target="https://ref.ly/Mark14:51-Mark14:52" TargetMode="External"/><Relationship Id="rId18696" Type="http://schemas.openxmlformats.org/officeDocument/2006/relationships/hyperlink" Target="https://ref.ly/Deut24:13" TargetMode="External"/><Relationship Id="rId18697" Type="http://schemas.openxmlformats.org/officeDocument/2006/relationships/hyperlink" Target="https://ref.ly/1Sam2:19" TargetMode="External"/><Relationship Id="rId18698" Type="http://schemas.openxmlformats.org/officeDocument/2006/relationships/hyperlink" Target="https://ref.ly/Matt27:28-Matt27:31" TargetMode="External"/><Relationship Id="rId18699" Type="http://schemas.openxmlformats.org/officeDocument/2006/relationships/hyperlink" Target="https://ref.ly/Luke15:22" TargetMode="External"/><Relationship Id="rId18700" Type="http://schemas.openxmlformats.org/officeDocument/2006/relationships/hyperlink" Target="https://ref.ly/Isa3:6" TargetMode="External"/><Relationship Id="rId18701" Type="http://schemas.openxmlformats.org/officeDocument/2006/relationships/hyperlink" Target="https://ref.ly/Matt10:9-Matt10:10" TargetMode="External"/><Relationship Id="rId18702" Type="http://schemas.openxmlformats.org/officeDocument/2006/relationships/hyperlink" Target="https://ref.ly/Luke9:3" TargetMode="External"/><Relationship Id="rId18703" Type="http://schemas.openxmlformats.org/officeDocument/2006/relationships/hyperlink" Target="https://ref.ly/Acts12:8" TargetMode="External"/><Relationship Id="rId18704" Type="http://schemas.openxmlformats.org/officeDocument/2006/relationships/hyperlink" Target="https://ref.ly/Jdt10:4" TargetMode="External"/><Relationship Id="rId18705" Type="http://schemas.openxmlformats.org/officeDocument/2006/relationships/hyperlink" Target="https://ref.ly/Jdt16:9" TargetMode="External"/><Relationship Id="rId18706" Type="http://schemas.openxmlformats.org/officeDocument/2006/relationships/hyperlink" Target="https://ref.ly/Exod3:5" TargetMode="External"/><Relationship Id="rId18707" Type="http://schemas.openxmlformats.org/officeDocument/2006/relationships/hyperlink" Target="https://ref.ly/Josh5:15" TargetMode="External"/><Relationship Id="rId18708" Type="http://schemas.openxmlformats.org/officeDocument/2006/relationships/hyperlink" Target="https://ref.ly/Deut29:5" TargetMode="External"/><Relationship Id="rId18709" Type="http://schemas.openxmlformats.org/officeDocument/2006/relationships/hyperlink" Target="https://ref.ly/Gen29:32" TargetMode="External"/><Relationship Id="rId18710" Type="http://schemas.openxmlformats.org/officeDocument/2006/relationships/hyperlink" Target="https://ref.ly/Gen46:8" TargetMode="External"/><Relationship Id="rId18711" Type="http://schemas.openxmlformats.org/officeDocument/2006/relationships/hyperlink" Target="https://ref.ly/Gen37:22-Gen37:35" TargetMode="External"/><Relationship Id="rId18712" Type="http://schemas.openxmlformats.org/officeDocument/2006/relationships/hyperlink" Target="https://ref.ly/Gen42:22" TargetMode="External"/><Relationship Id="rId18713" Type="http://schemas.openxmlformats.org/officeDocument/2006/relationships/hyperlink" Target="https://ref.ly/Num13:4" TargetMode="External"/><Relationship Id="rId18714" Type="http://schemas.openxmlformats.org/officeDocument/2006/relationships/hyperlink" Target="https://ref.ly/Josh1:12" TargetMode="External"/><Relationship Id="rId18715" Type="http://schemas.openxmlformats.org/officeDocument/2006/relationships/hyperlink" Target="https://ref.ly/Gen49:4" TargetMode="External"/><Relationship Id="rId18716" Type="http://schemas.openxmlformats.org/officeDocument/2006/relationships/hyperlink" Target="https://ref.ly/Deut33:6" TargetMode="External"/><Relationship Id="rId18717" Type="http://schemas.openxmlformats.org/officeDocument/2006/relationships/hyperlink" Target="https://ref.ly/Num16:33" TargetMode="External"/><Relationship Id="rId18718" Type="http://schemas.openxmlformats.org/officeDocument/2006/relationships/hyperlink" Target="https://ref.ly/Josh22:1-Josh22:6" TargetMode="External"/><Relationship Id="rId18719" Type="http://schemas.openxmlformats.org/officeDocument/2006/relationships/hyperlink" Target="https://ref.ly/Josh22:10" TargetMode="External"/><Relationship Id="rId18720" Type="http://schemas.openxmlformats.org/officeDocument/2006/relationships/hyperlink" Target="https://ref.ly/Num32:5" TargetMode="External"/><Relationship Id="rId18721" Type="http://schemas.openxmlformats.org/officeDocument/2006/relationships/hyperlink" Target="https://ref.ly/Judg5:16" TargetMode="External"/><Relationship Id="rId18722" Type="http://schemas.openxmlformats.org/officeDocument/2006/relationships/hyperlink" Target="https://ref.ly/1Kgs22:3" TargetMode="External"/><Relationship Id="rId18723" Type="http://schemas.openxmlformats.org/officeDocument/2006/relationships/hyperlink" Target="https://ref.ly/Ezek48:6" TargetMode="External"/><Relationship Id="rId18724" Type="http://schemas.openxmlformats.org/officeDocument/2006/relationships/hyperlink" Target="https://ref.ly/Num26:7" TargetMode="External"/><Relationship Id="rId18725" Type="http://schemas.openxmlformats.org/officeDocument/2006/relationships/hyperlink" Target="https://ref.ly/1Sam22:3-1Sam22:5" TargetMode="External"/><Relationship Id="rId18726" Type="http://schemas.openxmlformats.org/officeDocument/2006/relationships/hyperlink" Target="https://ref.ly/Ruth1:1-Ruth1:5" TargetMode="External"/><Relationship Id="rId18727" Type="http://schemas.openxmlformats.org/officeDocument/2006/relationships/hyperlink" Target="https://ref.ly/Ruth1:6-Ruth1:22" TargetMode="External"/><Relationship Id="rId18728" Type="http://schemas.openxmlformats.org/officeDocument/2006/relationships/hyperlink" Target="https://ref.ly/Ruth1:18" TargetMode="External"/><Relationship Id="rId18729" Type="http://schemas.openxmlformats.org/officeDocument/2006/relationships/hyperlink" Target="https://ref.ly/Ruth1:16-Ruth1:17" TargetMode="External"/><Relationship Id="rId18730" Type="http://schemas.openxmlformats.org/officeDocument/2006/relationships/hyperlink" Target="https://ref.ly/Ruth2:1-Ruth2:23" TargetMode="External"/><Relationship Id="rId18731" Type="http://schemas.openxmlformats.org/officeDocument/2006/relationships/hyperlink" Target="https://ref.ly/Ruth2:12" TargetMode="External"/><Relationship Id="rId18732" Type="http://schemas.openxmlformats.org/officeDocument/2006/relationships/hyperlink" Target="https://ref.ly/Ruth3:1-Ruth3:18" TargetMode="External"/><Relationship Id="rId18733" Type="http://schemas.openxmlformats.org/officeDocument/2006/relationships/hyperlink" Target="https://ref.ly/Ruth3:12" TargetMode="External"/><Relationship Id="rId18734" Type="http://schemas.openxmlformats.org/officeDocument/2006/relationships/hyperlink" Target="https://ref.ly/Deut25:5-Deut25:19" TargetMode="External"/><Relationship Id="rId18735" Type="http://schemas.openxmlformats.org/officeDocument/2006/relationships/hyperlink" Target="https://ref.ly/Ruth4:1-Ruth4:22" TargetMode="External"/><Relationship Id="rId18736" Type="http://schemas.openxmlformats.org/officeDocument/2006/relationships/hyperlink" Target="https://ref.ly/Ruth4:15" TargetMode="External"/><Relationship Id="rId18737" Type="http://schemas.openxmlformats.org/officeDocument/2006/relationships/hyperlink" Target="https://ref.ly/Gen2:2-Gen2:3" TargetMode="External"/><Relationship Id="rId18738" Type="http://schemas.openxmlformats.org/officeDocument/2006/relationships/hyperlink" Target="https://ref.ly/Deut5:1-Deut5:33" TargetMode="External"/><Relationship Id="rId18739" Type="http://schemas.openxmlformats.org/officeDocument/2006/relationships/hyperlink" Target="https://ref.ly/Exod23:10-Exod23:12" TargetMode="External"/><Relationship Id="rId18740" Type="http://schemas.openxmlformats.org/officeDocument/2006/relationships/hyperlink" Target="https://ref.ly/Deut15:1-Deut15:11" TargetMode="External"/><Relationship Id="rId18741" Type="http://schemas.openxmlformats.org/officeDocument/2006/relationships/hyperlink" Target="https://ref.ly/Lev25:6-Lev25:7" TargetMode="External"/><Relationship Id="rId18742" Type="http://schemas.openxmlformats.org/officeDocument/2006/relationships/hyperlink" Target="https://ref.ly/Deut15:9-Deut15:10" TargetMode="External"/><Relationship Id="rId18743" Type="http://schemas.openxmlformats.org/officeDocument/2006/relationships/hyperlink" Target="https://ref.ly/Exod34:21" TargetMode="External"/><Relationship Id="rId18744" Type="http://schemas.openxmlformats.org/officeDocument/2006/relationships/hyperlink" Target="https://ref.ly/Jer17:27" TargetMode="External"/><Relationship Id="rId18745" Type="http://schemas.openxmlformats.org/officeDocument/2006/relationships/hyperlink" Target="https://ref.ly/Exod35:2-Exod35:3" TargetMode="External"/><Relationship Id="rId18746" Type="http://schemas.openxmlformats.org/officeDocument/2006/relationships/hyperlink" Target="https://ref.ly/Exod35:2" TargetMode="External"/><Relationship Id="rId18747" Type="http://schemas.openxmlformats.org/officeDocument/2006/relationships/hyperlink" Target="https://ref.ly/Isa58:13" TargetMode="External"/><Relationship Id="rId18748" Type="http://schemas.openxmlformats.org/officeDocument/2006/relationships/hyperlink" Target="https://ref.ly/Ezek22:26" TargetMode="External"/><Relationship Id="rId18749" Type="http://schemas.openxmlformats.org/officeDocument/2006/relationships/hyperlink" Target="https://ref.ly/Isa1:10-Isa1:15" TargetMode="External"/><Relationship Id="rId18750" Type="http://schemas.openxmlformats.org/officeDocument/2006/relationships/hyperlink" Target="https://ref.ly/Ezek20:12-Ezek20:24" TargetMode="External"/><Relationship Id="rId18751" Type="http://schemas.openxmlformats.org/officeDocument/2006/relationships/hyperlink" Target="https://ref.ly/Ezek44:24" TargetMode="External"/><Relationship Id="rId18752" Type="http://schemas.openxmlformats.org/officeDocument/2006/relationships/hyperlink" Target="https://ref.ly/Ezek46:3" TargetMode="External"/><Relationship Id="rId18753" Type="http://schemas.openxmlformats.org/officeDocument/2006/relationships/hyperlink" Target="https://ref.ly/Neh13:15-Neh13:22" TargetMode="External"/><Relationship Id="rId18754" Type="http://schemas.openxmlformats.org/officeDocument/2006/relationships/hyperlink" Target="https://ref.ly/Luke13:10" TargetMode="External"/><Relationship Id="rId18755" Type="http://schemas.openxmlformats.org/officeDocument/2006/relationships/hyperlink" Target="https://ref.ly/Mark2:23-Mark2:26" TargetMode="External"/><Relationship Id="rId18756" Type="http://schemas.openxmlformats.org/officeDocument/2006/relationships/hyperlink" Target="https://ref.ly/Mark2:27" TargetMode="External"/><Relationship Id="rId18757" Type="http://schemas.openxmlformats.org/officeDocument/2006/relationships/hyperlink" Target="https://ref.ly/John7:21-John7:24" TargetMode="External"/><Relationship Id="rId18758" Type="http://schemas.openxmlformats.org/officeDocument/2006/relationships/hyperlink" Target="https://ref.ly/Mark3:4-Mark3:5" TargetMode="External"/><Relationship Id="rId18759" Type="http://schemas.openxmlformats.org/officeDocument/2006/relationships/hyperlink" Target="https://ref.ly/Matt12:5-Matt12:8" TargetMode="External"/><Relationship Id="rId18760" Type="http://schemas.openxmlformats.org/officeDocument/2006/relationships/hyperlink" Target="https://ref.ly/John5:2-John5:17" TargetMode="External"/><Relationship Id="rId18761" Type="http://schemas.openxmlformats.org/officeDocument/2006/relationships/hyperlink" Target="https://ref.ly/Acts13:14-Acts13:16" TargetMode="External"/><Relationship Id="rId18762" Type="http://schemas.openxmlformats.org/officeDocument/2006/relationships/hyperlink" Target="https://ref.ly/Rom14:5-Rom14:6" TargetMode="External"/><Relationship Id="rId18763" Type="http://schemas.openxmlformats.org/officeDocument/2006/relationships/hyperlink" Target="https://ref.ly/Gal4:8-Gal4:11" TargetMode="External"/><Relationship Id="rId18764" Type="http://schemas.openxmlformats.org/officeDocument/2006/relationships/hyperlink" Target="https://ref.ly/Col2:17" TargetMode="External"/><Relationship Id="rId18765" Type="http://schemas.openxmlformats.org/officeDocument/2006/relationships/hyperlink" Target="https://ref.ly/Heb4:1-Heb4:11" TargetMode="External"/><Relationship Id="rId18766" Type="http://schemas.openxmlformats.org/officeDocument/2006/relationships/hyperlink" Target="https://ref.ly/1Kgs2:1-1Kgs2:6" TargetMode="External"/><Relationship Id="rId18767" Type="http://schemas.openxmlformats.org/officeDocument/2006/relationships/hyperlink" Target="https://ref.ly/Exod35:33" TargetMode="External"/><Relationship Id="rId18768" Type="http://schemas.openxmlformats.org/officeDocument/2006/relationships/hyperlink" Target="https://ref.ly/Deut1:13" TargetMode="External"/><Relationship Id="rId18769" Type="http://schemas.openxmlformats.org/officeDocument/2006/relationships/hyperlink" Target="https://ref.ly/Prov15:33" TargetMode="External"/><Relationship Id="rId18770" Type="http://schemas.openxmlformats.org/officeDocument/2006/relationships/hyperlink" Target="https://ref.ly/1Cor1:19" TargetMode="External"/><Relationship Id="rId18771" Type="http://schemas.openxmlformats.org/officeDocument/2006/relationships/hyperlink" Target="https://ref.ly/Isa29:14" TargetMode="External"/><Relationship Id="rId18772" Type="http://schemas.openxmlformats.org/officeDocument/2006/relationships/hyperlink" Target="https://ref.ly/Jas3:13-Jas3:18" TargetMode="External"/><Relationship Id="rId18773" Type="http://schemas.openxmlformats.org/officeDocument/2006/relationships/hyperlink" Target="https://ref.ly/Luke2:40,Luke2:52" TargetMode="External"/><Relationship Id="rId18774" Type="http://schemas.openxmlformats.org/officeDocument/2006/relationships/hyperlink" Target="https://ref.ly/Col1:9" TargetMode="External"/><Relationship Id="rId18775" Type="http://schemas.openxmlformats.org/officeDocument/2006/relationships/hyperlink" Target="https://ref.ly/Num3:10" TargetMode="External"/><Relationship Id="rId18776" Type="http://schemas.openxmlformats.org/officeDocument/2006/relationships/hyperlink" Target="https://ref.ly/Acts4:1,Acts4:6" TargetMode="External"/><Relationship Id="rId18777" Type="http://schemas.openxmlformats.org/officeDocument/2006/relationships/hyperlink" Target="https://ref.ly/Heb5:4-Heb5:6" TargetMode="External"/><Relationship Id="rId18778" Type="http://schemas.openxmlformats.org/officeDocument/2006/relationships/hyperlink" Target="https://ref.ly/Heb10:10-Heb10:19" TargetMode="External"/><Relationship Id="rId18779" Type="http://schemas.openxmlformats.org/officeDocument/2006/relationships/hyperlink" Target="https://ref.ly/Heb7:17" TargetMode="External"/><Relationship Id="rId18780" Type="http://schemas.openxmlformats.org/officeDocument/2006/relationships/hyperlink" Target="https://ref.ly/2Cor5:18-2Cor5:20" TargetMode="External"/><Relationship Id="rId18781" Type="http://schemas.openxmlformats.org/officeDocument/2006/relationships/hyperlink" Target="https://ref.ly/Rev1:6" TargetMode="External"/><Relationship Id="rId18782" Type="http://schemas.openxmlformats.org/officeDocument/2006/relationships/hyperlink" Target="https://ref.ly/Rev5:10" TargetMode="External"/><Relationship Id="rId18783" Type="http://schemas.openxmlformats.org/officeDocument/2006/relationships/hyperlink" Target="https://ref.ly/Deut18:1-Deut18:8" TargetMode="External"/><Relationship Id="rId18784" Type="http://schemas.openxmlformats.org/officeDocument/2006/relationships/hyperlink" Target="https://ref.ly/Lev16:1-Lev16:19" TargetMode="External"/><Relationship Id="rId18785" Type="http://schemas.openxmlformats.org/officeDocument/2006/relationships/hyperlink" Target="https://ref.ly/Exod28:15" TargetMode="External"/><Relationship Id="rId18786" Type="http://schemas.openxmlformats.org/officeDocument/2006/relationships/hyperlink" Target="https://ref.ly/Exod28:12" TargetMode="External"/><Relationship Id="rId18787" Type="http://schemas.openxmlformats.org/officeDocument/2006/relationships/hyperlink" Target="https://ref.ly/Lev21:7" TargetMode="External"/><Relationship Id="rId18788" Type="http://schemas.openxmlformats.org/officeDocument/2006/relationships/hyperlink" Target="https://ref.ly/Lev21:16-Lev21:23" TargetMode="External"/><Relationship Id="rId18789" Type="http://schemas.openxmlformats.org/officeDocument/2006/relationships/hyperlink" Target="https://ref.ly/Num26:1-Num26:2" TargetMode="External"/><Relationship Id="rId18790" Type="http://schemas.openxmlformats.org/officeDocument/2006/relationships/hyperlink" Target="https://ref.ly/Num32:2" TargetMode="External"/><Relationship Id="rId18791" Type="http://schemas.openxmlformats.org/officeDocument/2006/relationships/hyperlink" Target="https://ref.ly/Exod38:21" TargetMode="External"/><Relationship Id="rId18792" Type="http://schemas.openxmlformats.org/officeDocument/2006/relationships/hyperlink" Target="https://ref.ly/Num4:28-Num4:33" TargetMode="External"/><Relationship Id="rId18793" Type="http://schemas.openxmlformats.org/officeDocument/2006/relationships/hyperlink" Target="https://ref.ly/Lev10:8-Lev10:9" TargetMode="External"/><Relationship Id="rId18794" Type="http://schemas.openxmlformats.org/officeDocument/2006/relationships/hyperlink" Target="https://ref.ly/Num8:24-Num8:26" TargetMode="External"/><Relationship Id="rId18795" Type="http://schemas.openxmlformats.org/officeDocument/2006/relationships/hyperlink" Target="https://ref.ly/Num3:11-Num3:13" TargetMode="External"/><Relationship Id="rId18796" Type="http://schemas.openxmlformats.org/officeDocument/2006/relationships/hyperlink" Target="https://ref.ly/Num3:40-Num3:51" TargetMode="External"/><Relationship Id="rId18797" Type="http://schemas.openxmlformats.org/officeDocument/2006/relationships/hyperlink" Target="https://ref.ly/Deut17:8-Deut17:9" TargetMode="External"/><Relationship Id="rId18798" Type="http://schemas.openxmlformats.org/officeDocument/2006/relationships/hyperlink" Target="https://ref.ly/Deut27:9" TargetMode="External"/><Relationship Id="rId18799" Type="http://schemas.openxmlformats.org/officeDocument/2006/relationships/hyperlink" Target="https://ref.ly/1Sam6:15" TargetMode="External"/><Relationship Id="rId18800" Type="http://schemas.openxmlformats.org/officeDocument/2006/relationships/hyperlink" Target="https://ref.ly/2Sam15:24" TargetMode="External"/><Relationship Id="rId18801" Type="http://schemas.openxmlformats.org/officeDocument/2006/relationships/hyperlink" Target="https://ref.ly/Judg18:5-Judg18:6" TargetMode="External"/><Relationship Id="rId18802" Type="http://schemas.openxmlformats.org/officeDocument/2006/relationships/hyperlink" Target="https://ref.ly/Ps99:6" TargetMode="External"/><Relationship Id="rId18803" Type="http://schemas.openxmlformats.org/officeDocument/2006/relationships/hyperlink" Target="https://ref.ly/1Sam7:9-1Sam7:10" TargetMode="External"/><Relationship Id="rId18804" Type="http://schemas.openxmlformats.org/officeDocument/2006/relationships/hyperlink" Target="https://ref.ly/1Sam2:1-1Sam2:36" TargetMode="External"/><Relationship Id="rId18805" Type="http://schemas.openxmlformats.org/officeDocument/2006/relationships/hyperlink" Target="https://ref.ly/1Chr6:23-1Chr6:30" TargetMode="External"/><Relationship Id="rId18806" Type="http://schemas.openxmlformats.org/officeDocument/2006/relationships/hyperlink" Target="https://ref.ly/1Sam1:28" TargetMode="External"/><Relationship Id="rId18807" Type="http://schemas.openxmlformats.org/officeDocument/2006/relationships/hyperlink" Target="https://ref.ly/1Kgs2:35" TargetMode="External"/><Relationship Id="rId18808" Type="http://schemas.openxmlformats.org/officeDocument/2006/relationships/hyperlink" Target="https://ref.ly/2Sam15:24-2Sam15:25" TargetMode="External"/><Relationship Id="rId18809" Type="http://schemas.openxmlformats.org/officeDocument/2006/relationships/hyperlink" Target="https://ref.ly/1Chr26:20-1Chr26:28" TargetMode="External"/><Relationship Id="rId18810" Type="http://schemas.openxmlformats.org/officeDocument/2006/relationships/hyperlink" Target="https://ref.ly/Jer2:8" TargetMode="External"/><Relationship Id="rId18811" Type="http://schemas.openxmlformats.org/officeDocument/2006/relationships/hyperlink" Target="https://ref.ly/Lam2:20" TargetMode="External"/><Relationship Id="rId18812" Type="http://schemas.openxmlformats.org/officeDocument/2006/relationships/hyperlink" Target="https://ref.ly/2Kgs25:18-2Kgs25:21" TargetMode="External"/><Relationship Id="rId18813" Type="http://schemas.openxmlformats.org/officeDocument/2006/relationships/hyperlink" Target="https://ref.ly/Jer29:1" TargetMode="External"/><Relationship Id="rId18814" Type="http://schemas.openxmlformats.org/officeDocument/2006/relationships/hyperlink" Target="https://ref.ly/Ezek11:16" TargetMode="External"/><Relationship Id="rId18815" Type="http://schemas.openxmlformats.org/officeDocument/2006/relationships/hyperlink" Target="https://ref.ly/Ezra2:36-Ezra2:42" TargetMode="External"/><Relationship Id="rId18816" Type="http://schemas.openxmlformats.org/officeDocument/2006/relationships/hyperlink" Target="https://ref.ly/Ezra3:8-Ezra3:13" TargetMode="External"/><Relationship Id="rId18817" Type="http://schemas.openxmlformats.org/officeDocument/2006/relationships/hyperlink" Target="https://ref.ly/Ezra6:16-Ezra6:18" TargetMode="External"/><Relationship Id="rId18818" Type="http://schemas.openxmlformats.org/officeDocument/2006/relationships/hyperlink" Target="https://ref.ly/Neh11:3" TargetMode="External"/><Relationship Id="rId18819" Type="http://schemas.openxmlformats.org/officeDocument/2006/relationships/hyperlink" Target="https://ref.ly/Neh8:7-Neh8:9" TargetMode="External"/><Relationship Id="rId18820" Type="http://schemas.openxmlformats.org/officeDocument/2006/relationships/hyperlink" Target="https://ref.ly/Mal1:6-Mal2:9" TargetMode="External"/><Relationship Id="rId18821" Type="http://schemas.openxmlformats.org/officeDocument/2006/relationships/hyperlink" Target="https://ref.ly/1Macc14:41-1Macc14:47" TargetMode="External"/><Relationship Id="rId18822" Type="http://schemas.openxmlformats.org/officeDocument/2006/relationships/hyperlink" Target="https://ref.ly/John1:19" TargetMode="External"/><Relationship Id="rId18823" Type="http://schemas.openxmlformats.org/officeDocument/2006/relationships/hyperlink" Target="https://ref.ly/Luke10:31-Luke10:32" TargetMode="External"/><Relationship Id="rId18824" Type="http://schemas.openxmlformats.org/officeDocument/2006/relationships/hyperlink" Target="https://ref.ly/Acts6:7" TargetMode="External"/><Relationship Id="rId18825" Type="http://schemas.openxmlformats.org/officeDocument/2006/relationships/hyperlink" Target="https://ref.ly/2Kgs20:18" TargetMode="External"/><Relationship Id="rId18826" Type="http://schemas.openxmlformats.org/officeDocument/2006/relationships/hyperlink" Target="https://ref.ly/Isa39:7" TargetMode="External"/><Relationship Id="rId18827" Type="http://schemas.openxmlformats.org/officeDocument/2006/relationships/hyperlink" Target="https://ref.ly/Lev17:10-Lev17:14" TargetMode="External"/><Relationship Id="rId18828" Type="http://schemas.openxmlformats.org/officeDocument/2006/relationships/hyperlink" Target="https://ref.ly/Dan2:12-Dan2:49" TargetMode="External"/><Relationship Id="rId18829" Type="http://schemas.openxmlformats.org/officeDocument/2006/relationships/hyperlink" Target="https://ref.ly/2Sam15:24-2Sam15:29" TargetMode="External"/><Relationship Id="rId18830" Type="http://schemas.openxmlformats.org/officeDocument/2006/relationships/hyperlink" Target="https://ref.ly/1Kgs1:32-1Kgs1:39" TargetMode="External"/><Relationship Id="rId18831" Type="http://schemas.openxmlformats.org/officeDocument/2006/relationships/hyperlink" Target="https://ref.ly/Ezek44:15-Ezek44:16" TargetMode="External"/><Relationship Id="rId18832" Type="http://schemas.openxmlformats.org/officeDocument/2006/relationships/hyperlink" Target="https://ref.ly/Ezek48:11-Ezek48:12" TargetMode="External"/><Relationship Id="rId18833" Type="http://schemas.openxmlformats.org/officeDocument/2006/relationships/hyperlink" Target="https://ref.ly/1Chr6:8-1Chr6:15" TargetMode="External"/><Relationship Id="rId18834" Type="http://schemas.openxmlformats.org/officeDocument/2006/relationships/hyperlink" Target="https://ref.ly/Matt16:1" TargetMode="External"/><Relationship Id="rId18835" Type="http://schemas.openxmlformats.org/officeDocument/2006/relationships/hyperlink" Target="https://ref.ly/Matt16:6,Matt16:11-Matt16:12" TargetMode="External"/><Relationship Id="rId18836" Type="http://schemas.openxmlformats.org/officeDocument/2006/relationships/hyperlink" Target="https://ref.ly/Acts4:1-Acts4:2" TargetMode="External"/><Relationship Id="rId18837" Type="http://schemas.openxmlformats.org/officeDocument/2006/relationships/hyperlink" Target="https://ref.ly/Acts23:6-Acts23:8" TargetMode="External"/><Relationship Id="rId18838" Type="http://schemas.openxmlformats.org/officeDocument/2006/relationships/hyperlink" Target="https://ref.ly/1Kgs19:16,1Kgs19:19" TargetMode="External"/><Relationship Id="rId18839" Type="http://schemas.openxmlformats.org/officeDocument/2006/relationships/hyperlink" Target="https://ref.ly/2Kgs3:11" TargetMode="External"/><Relationship Id="rId18840" Type="http://schemas.openxmlformats.org/officeDocument/2006/relationships/hyperlink" Target="https://ref.ly/2Kgs6:31" TargetMode="External"/><Relationship Id="rId18841" Type="http://schemas.openxmlformats.org/officeDocument/2006/relationships/hyperlink" Target="https://ref.ly/1Chr27:29" TargetMode="External"/><Relationship Id="rId18842" Type="http://schemas.openxmlformats.org/officeDocument/2006/relationships/hyperlink" Target="https://ref.ly/Acts5:1" TargetMode="External"/><Relationship Id="rId18843" Type="http://schemas.openxmlformats.org/officeDocument/2006/relationships/hyperlink" Target="https://ref.ly/Gen11:12-Gen11:15" TargetMode="External"/><Relationship Id="rId18844" Type="http://schemas.openxmlformats.org/officeDocument/2006/relationships/hyperlink" Target="https://ref.ly/Acts20:8" TargetMode="External"/><Relationship Id="rId18845" Type="http://schemas.openxmlformats.org/officeDocument/2006/relationships/hyperlink" Target="https://ref.ly/1Kgs17:19-1Kgs17:23" TargetMode="External"/><Relationship Id="rId18846" Type="http://schemas.openxmlformats.org/officeDocument/2006/relationships/hyperlink" Target="https://ref.ly/2Kgs23:12" TargetMode="External"/><Relationship Id="rId18847" Type="http://schemas.openxmlformats.org/officeDocument/2006/relationships/hyperlink" Target="https://ref.ly/Mark14:15" TargetMode="External"/><Relationship Id="rId18848" Type="http://schemas.openxmlformats.org/officeDocument/2006/relationships/hyperlink" Target="https://ref.ly/Luke22:12" TargetMode="External"/><Relationship Id="rId18849" Type="http://schemas.openxmlformats.org/officeDocument/2006/relationships/hyperlink" Target="https://ref.ly/Gen29:18-Gen29:20" TargetMode="External"/><Relationship Id="rId18850" Type="http://schemas.openxmlformats.org/officeDocument/2006/relationships/hyperlink" Target="https://ref.ly/Gen30:31-Gen30:32" TargetMode="External"/><Relationship Id="rId18851" Type="http://schemas.openxmlformats.org/officeDocument/2006/relationships/hyperlink" Target="https://ref.ly/Ezek29:18-Ezek29:20" TargetMode="External"/><Relationship Id="rId18852" Type="http://schemas.openxmlformats.org/officeDocument/2006/relationships/hyperlink" Target="https://ref.ly/Gen29:15-Gen29:19" TargetMode="External"/><Relationship Id="rId18853" Type="http://schemas.openxmlformats.org/officeDocument/2006/relationships/hyperlink" Target="https://ref.ly/Matt20:4" TargetMode="External"/><Relationship Id="rId18854" Type="http://schemas.openxmlformats.org/officeDocument/2006/relationships/hyperlink" Target="https://ref.ly/1Chr5:11" TargetMode="External"/><Relationship Id="rId18855" Type="http://schemas.openxmlformats.org/officeDocument/2006/relationships/hyperlink" Target="https://ref.ly/Num33:41-Num33:42" TargetMode="External"/><Relationship Id="rId18856" Type="http://schemas.openxmlformats.org/officeDocument/2006/relationships/hyperlink" Target="https://ref.ly/Ps28:1-Ps28:9" TargetMode="External"/><Relationship Id="rId18857" Type="http://schemas.openxmlformats.org/officeDocument/2006/relationships/hyperlink" Target="https://ref.ly/Ps35:1-Ps35:28" TargetMode="External"/><Relationship Id="rId18858" Type="http://schemas.openxmlformats.org/officeDocument/2006/relationships/hyperlink" Target="https://ref.ly/Ps55:1-Ps55:23" TargetMode="External"/><Relationship Id="rId18859" Type="http://schemas.openxmlformats.org/officeDocument/2006/relationships/hyperlink" Target="https://ref.ly/Ps71:1-Ps71:24" TargetMode="External"/><Relationship Id="rId18860" Type="http://schemas.openxmlformats.org/officeDocument/2006/relationships/hyperlink" Target="https://ref.ly/Ps129:1-Ps129:8" TargetMode="External"/><Relationship Id="rId18861" Type="http://schemas.openxmlformats.org/officeDocument/2006/relationships/hyperlink" Target="https://ref.ly/Matt5:38-Matt5:48" TargetMode="External"/><Relationship Id="rId18862" Type="http://schemas.openxmlformats.org/officeDocument/2006/relationships/hyperlink" Target="https://ref.ly/Prov25:21-Prov25:22" TargetMode="External"/><Relationship Id="rId18863" Type="http://schemas.openxmlformats.org/officeDocument/2006/relationships/hyperlink" Target="https://ref.ly/Ps109:8" TargetMode="External"/><Relationship Id="rId18864" Type="http://schemas.openxmlformats.org/officeDocument/2006/relationships/hyperlink" Target="https://ref.ly/Acts1:20" TargetMode="External"/><Relationship Id="rId18865" Type="http://schemas.openxmlformats.org/officeDocument/2006/relationships/hyperlink" Target="https://ref.ly/Ps137:8-Ps137:9" TargetMode="External"/><Relationship Id="rId18866" Type="http://schemas.openxmlformats.org/officeDocument/2006/relationships/hyperlink" Target="https://ref.ly/Jer11:21-Jer11:23" TargetMode="External"/><Relationship Id="rId18867" Type="http://schemas.openxmlformats.org/officeDocument/2006/relationships/hyperlink" Target="https://ref.ly/Ps43:1-Ps43:5" TargetMode="External"/><Relationship Id="rId18868" Type="http://schemas.openxmlformats.org/officeDocument/2006/relationships/hyperlink" Target="https://ref.ly/Ps72:1-Ps72:20" TargetMode="External"/><Relationship Id="rId18869" Type="http://schemas.openxmlformats.org/officeDocument/2006/relationships/hyperlink" Target="https://ref.ly/Ps127:1-Ps127:5" TargetMode="External"/><Relationship Id="rId18870" Type="http://schemas.openxmlformats.org/officeDocument/2006/relationships/hyperlink" Target="https://ref.ly/Gen21:32" TargetMode="External"/><Relationship Id="rId18871" Type="http://schemas.openxmlformats.org/officeDocument/2006/relationships/hyperlink" Target="https://ref.ly/2Sam23:1-2Sam23:7" TargetMode="External"/><Relationship Id="rId18872" Type="http://schemas.openxmlformats.org/officeDocument/2006/relationships/hyperlink" Target="https://ref.ly/1Sam16:16-1Sam16:18" TargetMode="External"/><Relationship Id="rId18873" Type="http://schemas.openxmlformats.org/officeDocument/2006/relationships/hyperlink" Target="https://ref.ly/1Chr16:7" TargetMode="External"/><Relationship Id="rId18874" Type="http://schemas.openxmlformats.org/officeDocument/2006/relationships/hyperlink" Target="https://ref.ly/2Sam11:2-2Sam12:25" TargetMode="External"/><Relationship Id="rId18875" Type="http://schemas.openxmlformats.org/officeDocument/2006/relationships/hyperlink" Target="https://ref.ly/Acts2:25,Acts2:34" TargetMode="External"/><Relationship Id="rId18876" Type="http://schemas.openxmlformats.org/officeDocument/2006/relationships/hyperlink" Target="https://ref.ly/Rom11:9" TargetMode="External"/><Relationship Id="rId18877" Type="http://schemas.openxmlformats.org/officeDocument/2006/relationships/hyperlink" Target="https://ref.ly/2Sam23:1" TargetMode="External"/><Relationship Id="rId18878" Type="http://schemas.openxmlformats.org/officeDocument/2006/relationships/hyperlink" Target="https://ref.ly/Ps95:1-Ps95:11" TargetMode="External"/><Relationship Id="rId18879" Type="http://schemas.openxmlformats.org/officeDocument/2006/relationships/hyperlink" Target="https://ref.ly/Ps107:2-Ps107:3" TargetMode="External"/><Relationship Id="rId18880" Type="http://schemas.openxmlformats.org/officeDocument/2006/relationships/hyperlink" Target="https://ref.ly/Ps126:1" TargetMode="External"/><Relationship Id="rId18881" Type="http://schemas.openxmlformats.org/officeDocument/2006/relationships/hyperlink" Target="https://ref.ly/Ps44:1-Ps44:26" TargetMode="External"/><Relationship Id="rId18882" Type="http://schemas.openxmlformats.org/officeDocument/2006/relationships/hyperlink" Target="https://ref.ly/Ps90:1-Ps150:6" TargetMode="External"/><Relationship Id="rId18883" Type="http://schemas.openxmlformats.org/officeDocument/2006/relationships/hyperlink" Target="https://ref.ly/Ps55:1" TargetMode="External"/><Relationship Id="rId18884" Type="http://schemas.openxmlformats.org/officeDocument/2006/relationships/hyperlink" Target="https://ref.ly/Ps5:1" TargetMode="External"/><Relationship Id="rId18885" Type="http://schemas.openxmlformats.org/officeDocument/2006/relationships/hyperlink" Target="https://ref.ly/Ps56:1" TargetMode="External"/><Relationship Id="rId18886" Type="http://schemas.openxmlformats.org/officeDocument/2006/relationships/hyperlink" Target="https://ref.ly/Ps7:1" TargetMode="External"/><Relationship Id="rId18887" Type="http://schemas.openxmlformats.org/officeDocument/2006/relationships/hyperlink" Target="https://ref.ly/Ps46:1" TargetMode="External"/><Relationship Id="rId18888" Type="http://schemas.openxmlformats.org/officeDocument/2006/relationships/hyperlink" Target="https://ref.ly/Ps73:1-Ps89:52" TargetMode="External"/><Relationship Id="rId18889" Type="http://schemas.openxmlformats.org/officeDocument/2006/relationships/hyperlink" Target="https://ref.ly/Ps72:20" TargetMode="External"/><Relationship Id="rId18890" Type="http://schemas.openxmlformats.org/officeDocument/2006/relationships/hyperlink" Target="https://ref.ly/Ps101:1-Ps101:8" TargetMode="External"/><Relationship Id="rId18891" Type="http://schemas.openxmlformats.org/officeDocument/2006/relationships/hyperlink" Target="https://ref.ly/Ps103:1-Ps103:22" TargetMode="External"/><Relationship Id="rId18892" Type="http://schemas.openxmlformats.org/officeDocument/2006/relationships/hyperlink" Target="https://ref.ly/Ps14:1-Ps14:7" TargetMode="External"/><Relationship Id="rId18893" Type="http://schemas.openxmlformats.org/officeDocument/2006/relationships/hyperlink" Target="https://ref.ly/Ps40:13-Ps40:17" TargetMode="External"/><Relationship Id="rId18894" Type="http://schemas.openxmlformats.org/officeDocument/2006/relationships/hyperlink" Target="https://ref.ly/Ps115:3-Ps115:8" TargetMode="External"/><Relationship Id="rId18895" Type="http://schemas.openxmlformats.org/officeDocument/2006/relationships/hyperlink" Target="https://ref.ly/Ps95:3-Ps95:5" TargetMode="External"/><Relationship Id="rId18896" Type="http://schemas.openxmlformats.org/officeDocument/2006/relationships/hyperlink" Target="https://ref.ly/Ps18:7" TargetMode="External"/><Relationship Id="rId18897" Type="http://schemas.openxmlformats.org/officeDocument/2006/relationships/hyperlink" Target="https://ref.ly/Ps65:8-Ps65:13" TargetMode="External"/><Relationship Id="rId18898" Type="http://schemas.openxmlformats.org/officeDocument/2006/relationships/hyperlink" Target="https://ref.ly/Ps105:26-Ps105:42" TargetMode="External"/><Relationship Id="rId18899" Type="http://schemas.openxmlformats.org/officeDocument/2006/relationships/hyperlink" Target="https://ref.ly/Ps135:5-Ps135:7" TargetMode="External"/><Relationship Id="rId18900" Type="http://schemas.openxmlformats.org/officeDocument/2006/relationships/hyperlink" Target="https://ref.ly/Ps8:3-Ps8:4" TargetMode="External"/><Relationship Id="rId18901" Type="http://schemas.openxmlformats.org/officeDocument/2006/relationships/hyperlink" Target="https://ref.ly/Ps145:3-Ps145:4" TargetMode="External"/><Relationship Id="rId18902" Type="http://schemas.openxmlformats.org/officeDocument/2006/relationships/hyperlink" Target="https://ref.ly/Ps90:9-Ps90:10" TargetMode="External"/><Relationship Id="rId18903" Type="http://schemas.openxmlformats.org/officeDocument/2006/relationships/hyperlink" Target="https://ref.ly/Ps8:5-Ps8:8" TargetMode="External"/><Relationship Id="rId18904" Type="http://schemas.openxmlformats.org/officeDocument/2006/relationships/hyperlink" Target="https://ref.ly/Ps20:3" TargetMode="External"/><Relationship Id="rId18905" Type="http://schemas.openxmlformats.org/officeDocument/2006/relationships/hyperlink" Target="https://ref.ly/Ps50:8-Ps50:9" TargetMode="External"/><Relationship Id="rId18906" Type="http://schemas.openxmlformats.org/officeDocument/2006/relationships/hyperlink" Target="https://ref.ly/Ps15:1-Ps15:5" TargetMode="External"/><Relationship Id="rId18907" Type="http://schemas.openxmlformats.org/officeDocument/2006/relationships/hyperlink" Target="https://ref.ly/Ps24:3-Ps24:5" TargetMode="External"/><Relationship Id="rId18908" Type="http://schemas.openxmlformats.org/officeDocument/2006/relationships/hyperlink" Target="https://ref.ly/Ps19:7-Ps19:11" TargetMode="External"/><Relationship Id="rId18909" Type="http://schemas.openxmlformats.org/officeDocument/2006/relationships/hyperlink" Target="https://ref.ly/Ps73:23-Ps73:26" TargetMode="External"/><Relationship Id="rId18910" Type="http://schemas.openxmlformats.org/officeDocument/2006/relationships/hyperlink" Target="https://ref.ly/Ps9:11" TargetMode="External"/><Relationship Id="rId18911" Type="http://schemas.openxmlformats.org/officeDocument/2006/relationships/hyperlink" Target="https://ref.ly/Ps47:1-Ps47:2,Ps47:7-Ps47:9" TargetMode="External"/><Relationship Id="rId18912" Type="http://schemas.openxmlformats.org/officeDocument/2006/relationships/hyperlink" Target="https://ref.ly/Ps66:8" TargetMode="External"/><Relationship Id="rId18913" Type="http://schemas.openxmlformats.org/officeDocument/2006/relationships/hyperlink" Target="https://ref.ly/Ps117:1" TargetMode="External"/><Relationship Id="rId18914" Type="http://schemas.openxmlformats.org/officeDocument/2006/relationships/hyperlink" Target="https://ref.ly/Ps47:3-Ps47:4" TargetMode="External"/><Relationship Id="rId18915" Type="http://schemas.openxmlformats.org/officeDocument/2006/relationships/hyperlink" Target="https://ref.ly/Ps66:8-Ps66:9" TargetMode="External"/><Relationship Id="rId18916" Type="http://schemas.openxmlformats.org/officeDocument/2006/relationships/hyperlink" Target="https://ref.ly/Ps138:1-Ps138:8" TargetMode="External"/><Relationship Id="rId18917" Type="http://schemas.openxmlformats.org/officeDocument/2006/relationships/hyperlink" Target="https://ref.ly/Ps22:22-Ps22:26" TargetMode="External"/><Relationship Id="rId18918" Type="http://schemas.openxmlformats.org/officeDocument/2006/relationships/hyperlink" Target="https://ref.ly/Ps66:13-Ps66:20" TargetMode="External"/><Relationship Id="rId18919" Type="http://schemas.openxmlformats.org/officeDocument/2006/relationships/hyperlink" Target="https://ref.ly/Ps116:17-Ps116:19" TargetMode="External"/><Relationship Id="rId18920" Type="http://schemas.openxmlformats.org/officeDocument/2006/relationships/hyperlink" Target="https://ref.ly/Ps103:1-Ps103:5,Ps103:22" TargetMode="External"/><Relationship Id="rId18921" Type="http://schemas.openxmlformats.org/officeDocument/2006/relationships/hyperlink" Target="https://ref.ly/Ps103:6-Ps103:14" TargetMode="External"/><Relationship Id="rId18922" Type="http://schemas.openxmlformats.org/officeDocument/2006/relationships/hyperlink" Target="https://ref.ly/Ps103:6-Ps103:7" TargetMode="External"/><Relationship Id="rId18923" Type="http://schemas.openxmlformats.org/officeDocument/2006/relationships/hyperlink" Target="https://ref.ly/Ps103:15-Ps103:18" TargetMode="External"/><Relationship Id="rId18924" Type="http://schemas.openxmlformats.org/officeDocument/2006/relationships/hyperlink" Target="https://ref.ly/Ps103:19" TargetMode="External"/><Relationship Id="rId18925" Type="http://schemas.openxmlformats.org/officeDocument/2006/relationships/hyperlink" Target="https://ref.ly/Ps103:19-Ps103:22" TargetMode="External"/><Relationship Id="rId18926" Type="http://schemas.openxmlformats.org/officeDocument/2006/relationships/hyperlink" Target="https://ref.ly/Ps124:1-Ps124:8" TargetMode="External"/><Relationship Id="rId18927" Type="http://schemas.openxmlformats.org/officeDocument/2006/relationships/hyperlink" Target="https://ref.ly/Ps66:8-Ps66:12" TargetMode="External"/><Relationship Id="rId18928" Type="http://schemas.openxmlformats.org/officeDocument/2006/relationships/hyperlink" Target="https://ref.ly/Ps46:1-Ps48:14" TargetMode="External"/><Relationship Id="rId18929" Type="http://schemas.openxmlformats.org/officeDocument/2006/relationships/hyperlink" Target="https://ref.ly/Ps50:10-Ps50:12" TargetMode="External"/><Relationship Id="rId18930" Type="http://schemas.openxmlformats.org/officeDocument/2006/relationships/hyperlink" Target="https://ref.ly/Ps65:9-Ps65:13" TargetMode="External"/><Relationship Id="rId18931" Type="http://schemas.openxmlformats.org/officeDocument/2006/relationships/hyperlink" Target="https://ref.ly/Ps102:25-Ps102:27" TargetMode="External"/><Relationship Id="rId18932" Type="http://schemas.openxmlformats.org/officeDocument/2006/relationships/hyperlink" Target="https://ref.ly/Ps47:1-Ps47:9" TargetMode="External"/><Relationship Id="rId18933" Type="http://schemas.openxmlformats.org/officeDocument/2006/relationships/hyperlink" Target="https://ref.ly/Ps96:1-Ps99:9" TargetMode="External"/><Relationship Id="rId18934" Type="http://schemas.openxmlformats.org/officeDocument/2006/relationships/hyperlink" Target="https://ref.ly/Ps47:1-Ps47:5" TargetMode="External"/><Relationship Id="rId18935" Type="http://schemas.openxmlformats.org/officeDocument/2006/relationships/hyperlink" Target="https://ref.ly/Ps99:1-Ps99:2" TargetMode="External"/><Relationship Id="rId18936" Type="http://schemas.openxmlformats.org/officeDocument/2006/relationships/hyperlink" Target="https://ref.ly/Ps99:4-Ps99:5" TargetMode="External"/><Relationship Id="rId18937" Type="http://schemas.openxmlformats.org/officeDocument/2006/relationships/hyperlink" Target="https://ref.ly/Ps20:1-Ps20:9" TargetMode="External"/><Relationship Id="rId18938" Type="http://schemas.openxmlformats.org/officeDocument/2006/relationships/hyperlink" Target="https://ref.ly/Ps21:1-Ps21:13" TargetMode="External"/><Relationship Id="rId18939" Type="http://schemas.openxmlformats.org/officeDocument/2006/relationships/hyperlink" Target="https://ref.ly/Ps144:1-Ps144:15" TargetMode="External"/><Relationship Id="rId18940" Type="http://schemas.openxmlformats.org/officeDocument/2006/relationships/hyperlink" Target="https://ref.ly/Heb1:6,Heb1:10-Heb1:12" TargetMode="External"/><Relationship Id="rId18941" Type="http://schemas.openxmlformats.org/officeDocument/2006/relationships/hyperlink" Target="https://ref.ly/Matt22:43-Matt22:45" TargetMode="External"/><Relationship Id="rId18942" Type="http://schemas.openxmlformats.org/officeDocument/2006/relationships/hyperlink" Target="https://ref.ly/Acts2:34-Acts2:35" TargetMode="External"/><Relationship Id="rId18943" Type="http://schemas.openxmlformats.org/officeDocument/2006/relationships/hyperlink" Target="https://ref.ly/Heb5:5-Heb5:10" TargetMode="External"/><Relationship Id="rId18944" Type="http://schemas.openxmlformats.org/officeDocument/2006/relationships/hyperlink" Target="https://ref.ly/1Cor15:27" TargetMode="External"/><Relationship Id="rId18945" Type="http://schemas.openxmlformats.org/officeDocument/2006/relationships/hyperlink" Target="https://ref.ly/Acts2:30" TargetMode="External"/><Relationship Id="rId18946" Type="http://schemas.openxmlformats.org/officeDocument/2006/relationships/hyperlink" Target="https://ref.ly/Isa42:1-Isa42:9" TargetMode="External"/><Relationship Id="rId18947" Type="http://schemas.openxmlformats.org/officeDocument/2006/relationships/hyperlink" Target="https://ref.ly/Ps22:6-Ps22:8,Ps22:14-Ps22:18" TargetMode="External"/><Relationship Id="rId18948" Type="http://schemas.openxmlformats.org/officeDocument/2006/relationships/hyperlink" Target="https://ref.ly/Acts2:24-Acts2:31" TargetMode="External"/><Relationship Id="rId18949" Type="http://schemas.openxmlformats.org/officeDocument/2006/relationships/hyperlink" Target="https://ref.ly/Ps69:8-Ps69:9" TargetMode="External"/><Relationship Id="rId18950" Type="http://schemas.openxmlformats.org/officeDocument/2006/relationships/hyperlink" Target="https://ref.ly/Ps69:25-Ps69:26" TargetMode="External"/><Relationship Id="rId18951" Type="http://schemas.openxmlformats.org/officeDocument/2006/relationships/hyperlink" Target="https://ref.ly/Ps78:68-Ps78:72" TargetMode="External"/><Relationship Id="rId18952" Type="http://schemas.openxmlformats.org/officeDocument/2006/relationships/hyperlink" Target="https://ref.ly/Ps132:11-Ps132:13" TargetMode="External"/><Relationship Id="rId18953" Type="http://schemas.openxmlformats.org/officeDocument/2006/relationships/hyperlink" Target="https://ref.ly/Ps48:11-Ps48:14" TargetMode="External"/><Relationship Id="rId18954" Type="http://schemas.openxmlformats.org/officeDocument/2006/relationships/hyperlink" Target="https://ref.ly/Ps87:1-Ps87:3" TargetMode="External"/><Relationship Id="rId18955" Type="http://schemas.openxmlformats.org/officeDocument/2006/relationships/hyperlink" Target="https://ref.ly/Ps87:1-Ps87:7" TargetMode="External"/><Relationship Id="rId18956" Type="http://schemas.openxmlformats.org/officeDocument/2006/relationships/hyperlink" Target="https://ref.ly/Ps122:1-Ps122:9" TargetMode="External"/><Relationship Id="rId18957" Type="http://schemas.openxmlformats.org/officeDocument/2006/relationships/hyperlink" Target="https://ref.ly/Ps102:16" TargetMode="External"/><Relationship Id="rId18958" Type="http://schemas.openxmlformats.org/officeDocument/2006/relationships/hyperlink" Target="https://ref.ly/Ps125:1" TargetMode="External"/><Relationship Id="rId18959" Type="http://schemas.openxmlformats.org/officeDocument/2006/relationships/hyperlink" Target="https://ref.ly/Ps126:1-Ps126:3" TargetMode="External"/><Relationship Id="rId18960" Type="http://schemas.openxmlformats.org/officeDocument/2006/relationships/hyperlink" Target="https://ref.ly/Judg20:23,Judg20:26" TargetMode="External"/><Relationship Id="rId18961" Type="http://schemas.openxmlformats.org/officeDocument/2006/relationships/hyperlink" Target="https://ref.ly/Jer14:1-Jer14:12" TargetMode="External"/><Relationship Id="rId18962" Type="http://schemas.openxmlformats.org/officeDocument/2006/relationships/hyperlink" Target="https://ref.ly/Jer36:9" TargetMode="External"/><Relationship Id="rId18963" Type="http://schemas.openxmlformats.org/officeDocument/2006/relationships/hyperlink" Target="https://ref.ly/Joel1:13-Joel1:14" TargetMode="External"/><Relationship Id="rId18964" Type="http://schemas.openxmlformats.org/officeDocument/2006/relationships/hyperlink" Target="https://ref.ly/Ps83:1-Ps83:18" TargetMode="External"/><Relationship Id="rId18965" Type="http://schemas.openxmlformats.org/officeDocument/2006/relationships/hyperlink" Target="https://ref.ly/Ps125:1-Ps125:5" TargetMode="External"/><Relationship Id="rId18966" Type="http://schemas.openxmlformats.org/officeDocument/2006/relationships/hyperlink" Target="https://ref.ly/Ps13:5-Ps13:6" TargetMode="External"/><Relationship Id="rId18967" Type="http://schemas.openxmlformats.org/officeDocument/2006/relationships/hyperlink" Target="https://ref.ly/Ps22:1-Ps22:21" TargetMode="External"/><Relationship Id="rId18968" Type="http://schemas.openxmlformats.org/officeDocument/2006/relationships/hyperlink" Target="https://ref.ly/Ps109:21" TargetMode="External"/><Relationship Id="rId18969" Type="http://schemas.openxmlformats.org/officeDocument/2006/relationships/hyperlink" Target="https://ref.ly/Ps74:10" TargetMode="External"/><Relationship Id="rId18970" Type="http://schemas.openxmlformats.org/officeDocument/2006/relationships/hyperlink" Target="https://ref.ly/Neh4:4-Neh4:5" TargetMode="External"/><Relationship Id="rId18971" Type="http://schemas.openxmlformats.org/officeDocument/2006/relationships/hyperlink" Target="https://ref.ly/Jer20:14-Jer20:18" TargetMode="External"/><Relationship Id="rId18972" Type="http://schemas.openxmlformats.org/officeDocument/2006/relationships/hyperlink" Target="https://ref.ly/John16:8-John16:11" TargetMode="External"/><Relationship Id="rId18973" Type="http://schemas.openxmlformats.org/officeDocument/2006/relationships/hyperlink" Target="https://ref.ly/Ps51:1,Ps51:16" TargetMode="External"/><Relationship Id="rId18974" Type="http://schemas.openxmlformats.org/officeDocument/2006/relationships/hyperlink" Target="https://ref.ly/Ps37:5,Ps37:8,Ps37:16,Ps37:21-Ps37:22" TargetMode="External"/><Relationship Id="rId18975" Type="http://schemas.openxmlformats.org/officeDocument/2006/relationships/hyperlink" Target="https://ref.ly/Ps78:1-Ps78:4" TargetMode="External"/><Relationship Id="rId18976" Type="http://schemas.openxmlformats.org/officeDocument/2006/relationships/hyperlink" Target="https://ref.ly/Ps27:1-Ps27:14" TargetMode="External"/><Relationship Id="rId18977" Type="http://schemas.openxmlformats.org/officeDocument/2006/relationships/hyperlink" Target="https://ref.ly/Ps11:1-Ps11:7" TargetMode="External"/><Relationship Id="rId18978" Type="http://schemas.openxmlformats.org/officeDocument/2006/relationships/hyperlink" Target="https://ref.ly/Ps131:1-Ps131:3" TargetMode="External"/><Relationship Id="rId18979" Type="http://schemas.openxmlformats.org/officeDocument/2006/relationships/hyperlink" Target="https://ref.ly/1Chr22:9-1Chr22:10" TargetMode="External"/><Relationship Id="rId18980" Type="http://schemas.openxmlformats.org/officeDocument/2006/relationships/hyperlink" Target="https://ref.ly/1Kgs1:1-1Kgs1:4" TargetMode="External"/><Relationship Id="rId18981" Type="http://schemas.openxmlformats.org/officeDocument/2006/relationships/hyperlink" Target="https://ref.ly/1Kgs2:22-1Kgs2:25" TargetMode="External"/><Relationship Id="rId18982" Type="http://schemas.openxmlformats.org/officeDocument/2006/relationships/hyperlink" Target="https://ref.ly/1Kgs4:1-1Kgs4:34" TargetMode="External"/><Relationship Id="rId18983" Type="http://schemas.openxmlformats.org/officeDocument/2006/relationships/hyperlink" Target="https://ref.ly/1Kgs5:1-1Kgs5:12" TargetMode="External"/><Relationship Id="rId18984" Type="http://schemas.openxmlformats.org/officeDocument/2006/relationships/hyperlink" Target="https://ref.ly/2Chr2:17-2Chr2:18" TargetMode="External"/><Relationship Id="rId18985" Type="http://schemas.openxmlformats.org/officeDocument/2006/relationships/hyperlink" Target="https://ref.ly/1Kgs8:1-1Kgs8:5" TargetMode="External"/><Relationship Id="rId18986" Type="http://schemas.openxmlformats.org/officeDocument/2006/relationships/hyperlink" Target="https://ref.ly/1Kgs8:23-1Kgs8:53" TargetMode="External"/><Relationship Id="rId18987" Type="http://schemas.openxmlformats.org/officeDocument/2006/relationships/hyperlink" Target="https://ref.ly/1Kgs7:2-1Kgs7:8" TargetMode="External"/><Relationship Id="rId18988" Type="http://schemas.openxmlformats.org/officeDocument/2006/relationships/hyperlink" Target="https://ref.ly/Matt14:6" TargetMode="External"/><Relationship Id="rId18989" Type="http://schemas.openxmlformats.org/officeDocument/2006/relationships/hyperlink" Target="https://ref.ly/Mark6:22" TargetMode="External"/><Relationship Id="rId18990" Type="http://schemas.openxmlformats.org/officeDocument/2006/relationships/hyperlink" Target="https://ref.ly/Num25:14" TargetMode="External"/><Relationship Id="rId18991" Type="http://schemas.openxmlformats.org/officeDocument/2006/relationships/hyperlink" Target="https://ref.ly/2Sam8:6" TargetMode="External"/><Relationship Id="rId18992" Type="http://schemas.openxmlformats.org/officeDocument/2006/relationships/hyperlink" Target="https://ref.ly/Exod14:13" TargetMode="External"/><Relationship Id="rId18993" Type="http://schemas.openxmlformats.org/officeDocument/2006/relationships/hyperlink" Target="https://ref.ly/Ps106:8" TargetMode="External"/><Relationship Id="rId18994" Type="http://schemas.openxmlformats.org/officeDocument/2006/relationships/hyperlink" Target="https://ref.ly/Isa43:3" TargetMode="External"/><Relationship Id="rId18995" Type="http://schemas.openxmlformats.org/officeDocument/2006/relationships/hyperlink" Target="https://ref.ly/Hos13:4" TargetMode="External"/><Relationship Id="rId18996" Type="http://schemas.openxmlformats.org/officeDocument/2006/relationships/hyperlink" Target="https://ref.ly/2Kgs18:30" TargetMode="External"/><Relationship Id="rId18997" Type="http://schemas.openxmlformats.org/officeDocument/2006/relationships/hyperlink" Target="https://ref.ly/Ps9:14" TargetMode="External"/><Relationship Id="rId18998" Type="http://schemas.openxmlformats.org/officeDocument/2006/relationships/hyperlink" Target="https://ref.ly/Ps35:3" TargetMode="External"/><Relationship Id="rId18999" Type="http://schemas.openxmlformats.org/officeDocument/2006/relationships/hyperlink" Target="https://ref.ly/Ps38:22" TargetMode="External"/><Relationship Id="rId19000" Type="http://schemas.openxmlformats.org/officeDocument/2006/relationships/hyperlink" Target="https://ref.ly/Ps69:29" TargetMode="External"/><Relationship Id="rId19001" Type="http://schemas.openxmlformats.org/officeDocument/2006/relationships/hyperlink" Target="https://ref.ly/Ps140:7" TargetMode="External"/><Relationship Id="rId19002" Type="http://schemas.openxmlformats.org/officeDocument/2006/relationships/hyperlink" Target="https://ref.ly/Ps144:10-Ps144:11" TargetMode="External"/><Relationship Id="rId19003" Type="http://schemas.openxmlformats.org/officeDocument/2006/relationships/hyperlink" Target="https://ref.ly/Ps35:9" TargetMode="External"/><Relationship Id="rId19004" Type="http://schemas.openxmlformats.org/officeDocument/2006/relationships/hyperlink" Target="https://ref.ly/Ps65:5" TargetMode="External"/><Relationship Id="rId19005" Type="http://schemas.openxmlformats.org/officeDocument/2006/relationships/hyperlink" Target="https://ref.ly/Isa45:17" TargetMode="External"/><Relationship Id="rId19006" Type="http://schemas.openxmlformats.org/officeDocument/2006/relationships/hyperlink" Target="https://ref.ly/Isa49:25-Isa49:26" TargetMode="External"/><Relationship Id="rId19007" Type="http://schemas.openxmlformats.org/officeDocument/2006/relationships/hyperlink" Target="https://ref.ly/Jer46:27" TargetMode="External"/><Relationship Id="rId19008" Type="http://schemas.openxmlformats.org/officeDocument/2006/relationships/hyperlink" Target="https://ref.ly/Isa51:6-Isa51:8" TargetMode="External"/><Relationship Id="rId19009" Type="http://schemas.openxmlformats.org/officeDocument/2006/relationships/hyperlink" Target="https://ref.ly/Acts27:20" TargetMode="External"/><Relationship Id="rId19010" Type="http://schemas.openxmlformats.org/officeDocument/2006/relationships/hyperlink" Target="https://ref.ly/Acts27:34" TargetMode="External"/><Relationship Id="rId19011" Type="http://schemas.openxmlformats.org/officeDocument/2006/relationships/hyperlink" Target="https://ref.ly/Luke1:69" TargetMode="External"/><Relationship Id="rId19012" Type="http://schemas.openxmlformats.org/officeDocument/2006/relationships/hyperlink" Target="https://ref.ly/Ps106:10" TargetMode="External"/><Relationship Id="rId19013" Type="http://schemas.openxmlformats.org/officeDocument/2006/relationships/hyperlink" Target="https://ref.ly/Luke2:30" TargetMode="External"/><Relationship Id="rId19014" Type="http://schemas.openxmlformats.org/officeDocument/2006/relationships/hyperlink" Target="https://ref.ly/Matt19:24-Matt19:26" TargetMode="External"/><Relationship Id="rId19015" Type="http://schemas.openxmlformats.org/officeDocument/2006/relationships/hyperlink" Target="https://ref.ly/Luke17:19" TargetMode="External"/><Relationship Id="rId19016" Type="http://schemas.openxmlformats.org/officeDocument/2006/relationships/hyperlink" Target="https://ref.ly/Luke18:42" TargetMode="External"/><Relationship Id="rId19017" Type="http://schemas.openxmlformats.org/officeDocument/2006/relationships/hyperlink" Target="https://ref.ly/Eph2:8-Eph2:9" TargetMode="External"/><Relationship Id="rId19018" Type="http://schemas.openxmlformats.org/officeDocument/2006/relationships/hyperlink" Target="https://ref.ly/Acts4:12" TargetMode="External"/><Relationship Id="rId19019" Type="http://schemas.openxmlformats.org/officeDocument/2006/relationships/hyperlink" Target="https://ref.ly/Acts13:23-Acts13:26" TargetMode="External"/><Relationship Id="rId19020" Type="http://schemas.openxmlformats.org/officeDocument/2006/relationships/hyperlink" Target="https://ref.ly/Acts16:30-Acts16:31" TargetMode="External"/><Relationship Id="rId19021" Type="http://schemas.openxmlformats.org/officeDocument/2006/relationships/hyperlink" Target="https://ref.ly/Titus2:11" TargetMode="External"/><Relationship Id="rId19022" Type="http://schemas.openxmlformats.org/officeDocument/2006/relationships/hyperlink" Target="https://ref.ly/Rom11:11-Rom11:13" TargetMode="External"/><Relationship Id="rId19023" Type="http://schemas.openxmlformats.org/officeDocument/2006/relationships/hyperlink" Target="https://ref.ly/Deut22:27" TargetMode="External"/><Relationship Id="rId19024" Type="http://schemas.openxmlformats.org/officeDocument/2006/relationships/hyperlink" Target="https://ref.ly/Judg3:9" TargetMode="External"/><Relationship Id="rId19025" Type="http://schemas.openxmlformats.org/officeDocument/2006/relationships/hyperlink" Target="https://ref.ly/Neh9:27" TargetMode="External"/><Relationship Id="rId19026" Type="http://schemas.openxmlformats.org/officeDocument/2006/relationships/hyperlink" Target="https://ref.ly/2Kgs13:5" TargetMode="External"/><Relationship Id="rId19027" Type="http://schemas.openxmlformats.org/officeDocument/2006/relationships/hyperlink" Target="https://ref.ly/Ps17:7" TargetMode="External"/><Relationship Id="rId19028" Type="http://schemas.openxmlformats.org/officeDocument/2006/relationships/hyperlink" Target="https://ref.ly/Ps106:1-Ps106:12" TargetMode="External"/><Relationship Id="rId19029" Type="http://schemas.openxmlformats.org/officeDocument/2006/relationships/hyperlink" Target="https://ref.ly/Jer14:8" TargetMode="External"/><Relationship Id="rId19030" Type="http://schemas.openxmlformats.org/officeDocument/2006/relationships/hyperlink" Target="https://ref.ly/Ps27:9" TargetMode="External"/><Relationship Id="rId19031" Type="http://schemas.openxmlformats.org/officeDocument/2006/relationships/hyperlink" Target="https://ref.ly/Ps42:5" TargetMode="External"/><Relationship Id="rId19032" Type="http://schemas.openxmlformats.org/officeDocument/2006/relationships/hyperlink" Target="https://ref.ly/Ps68:19" TargetMode="External"/><Relationship Id="rId19033" Type="http://schemas.openxmlformats.org/officeDocument/2006/relationships/hyperlink" Target="https://ref.ly/Ps85:4" TargetMode="External"/><Relationship Id="rId19034" Type="http://schemas.openxmlformats.org/officeDocument/2006/relationships/hyperlink" Target="https://ref.ly/Ps106:21" TargetMode="External"/><Relationship Id="rId19035" Type="http://schemas.openxmlformats.org/officeDocument/2006/relationships/hyperlink" Target="https://ref.ly/Isa63:11" TargetMode="External"/><Relationship Id="rId19036" Type="http://schemas.openxmlformats.org/officeDocument/2006/relationships/hyperlink" Target="https://ref.ly/Hos13:4-Hos13:6" TargetMode="External"/><Relationship Id="rId19037" Type="http://schemas.openxmlformats.org/officeDocument/2006/relationships/hyperlink" Target="https://ref.ly/Isa43:11-Isa43:12" TargetMode="External"/><Relationship Id="rId19038" Type="http://schemas.openxmlformats.org/officeDocument/2006/relationships/hyperlink" Target="https://ref.ly/Isa60:16" TargetMode="External"/><Relationship Id="rId19039" Type="http://schemas.openxmlformats.org/officeDocument/2006/relationships/hyperlink" Target="https://ref.ly/Bar4:22" TargetMode="External"/><Relationship Id="rId19040" Type="http://schemas.openxmlformats.org/officeDocument/2006/relationships/hyperlink" Target="https://ref.ly/3Macc7:16" TargetMode="External"/><Relationship Id="rId19041" Type="http://schemas.openxmlformats.org/officeDocument/2006/relationships/hyperlink" Target="https://ref.ly/Luke1:47" TargetMode="External"/><Relationship Id="rId19042" Type="http://schemas.openxmlformats.org/officeDocument/2006/relationships/hyperlink" Target="https://ref.ly/Titus2:13-Titus2:14" TargetMode="External"/><Relationship Id="rId19043" Type="http://schemas.openxmlformats.org/officeDocument/2006/relationships/hyperlink" Target="https://ref.ly/2Tim1:10" TargetMode="External"/><Relationship Id="rId19044" Type="http://schemas.openxmlformats.org/officeDocument/2006/relationships/hyperlink" Target="https://ref.ly/1Tim2:3" TargetMode="External"/><Relationship Id="rId19045" Type="http://schemas.openxmlformats.org/officeDocument/2006/relationships/hyperlink" Target="https://ref.ly/1Tim4:10" TargetMode="External"/><Relationship Id="rId19046" Type="http://schemas.openxmlformats.org/officeDocument/2006/relationships/hyperlink" Target="https://ref.ly/Titus3:6" TargetMode="External"/><Relationship Id="rId19047" Type="http://schemas.openxmlformats.org/officeDocument/2006/relationships/hyperlink" Target="https://ref.ly/Titus2:13" TargetMode="External"/><Relationship Id="rId19048" Type="http://schemas.openxmlformats.org/officeDocument/2006/relationships/hyperlink" Target="https://ref.ly/Titus3:4-Titus3:6" TargetMode="External"/><Relationship Id="rId19049" Type="http://schemas.openxmlformats.org/officeDocument/2006/relationships/hyperlink" Target="https://ref.ly/2Pet2:20" TargetMode="External"/><Relationship Id="rId19050" Type="http://schemas.openxmlformats.org/officeDocument/2006/relationships/hyperlink" Target="https://ref.ly/1Sam16:9" TargetMode="External"/><Relationship Id="rId19051" Type="http://schemas.openxmlformats.org/officeDocument/2006/relationships/hyperlink" Target="https://ref.ly/1Sam17:13" TargetMode="External"/><Relationship Id="rId19052" Type="http://schemas.openxmlformats.org/officeDocument/2006/relationships/hyperlink" Target="https://ref.ly/2Sam21:20-2Sam21:21" TargetMode="External"/><Relationship Id="rId19053" Type="http://schemas.openxmlformats.org/officeDocument/2006/relationships/hyperlink" Target="https://ref.ly/2Sam13:3-2Sam13:39" TargetMode="External"/><Relationship Id="rId19054" Type="http://schemas.openxmlformats.org/officeDocument/2006/relationships/hyperlink" Target="https://ref.ly/1Chr20:7" TargetMode="External"/><Relationship Id="rId19055" Type="http://schemas.openxmlformats.org/officeDocument/2006/relationships/hyperlink" Target="https://ref.ly/2Sam13:3" TargetMode="External"/><Relationship Id="rId19056" Type="http://schemas.openxmlformats.org/officeDocument/2006/relationships/hyperlink" Target="https://ref.ly/2Sam21:21" TargetMode="External"/><Relationship Id="rId19057" Type="http://schemas.openxmlformats.org/officeDocument/2006/relationships/hyperlink" Target="https://ref.ly/2Sam23:11-2Sam23:12" TargetMode="External"/><Relationship Id="rId19058" Type="http://schemas.openxmlformats.org/officeDocument/2006/relationships/hyperlink" Target="https://ref.ly/2Sam23:24-2Sam23:25" TargetMode="External"/><Relationship Id="rId19059" Type="http://schemas.openxmlformats.org/officeDocument/2006/relationships/hyperlink" Target="https://ref.ly/1Chr11:27" TargetMode="External"/><Relationship Id="rId19060" Type="http://schemas.openxmlformats.org/officeDocument/2006/relationships/hyperlink" Target="https://ref.ly/1Chr27:8" TargetMode="External"/><Relationship Id="rId19061" Type="http://schemas.openxmlformats.org/officeDocument/2006/relationships/hyperlink" Target="https://ref.ly/2Sam23:33" TargetMode="External"/><Relationship Id="rId19062" Type="http://schemas.openxmlformats.org/officeDocument/2006/relationships/hyperlink" Target="https://ref.ly/2Kgs17:1-2Kgs17:41" TargetMode="External"/><Relationship Id="rId19063" Type="http://schemas.openxmlformats.org/officeDocument/2006/relationships/hyperlink" Target="https://ref.ly/John4:12" TargetMode="External"/><Relationship Id="rId19064" Type="http://schemas.openxmlformats.org/officeDocument/2006/relationships/hyperlink" Target="https://ref.ly/2Chr34:9" TargetMode="External"/><Relationship Id="rId19065" Type="http://schemas.openxmlformats.org/officeDocument/2006/relationships/hyperlink" Target="https://ref.ly/Ezra4:7-Ezra4:24" TargetMode="External"/><Relationship Id="rId19066" Type="http://schemas.openxmlformats.org/officeDocument/2006/relationships/hyperlink" Target="https://ref.ly/Neh4:1-Neh4:9" TargetMode="External"/><Relationship Id="rId19067" Type="http://schemas.openxmlformats.org/officeDocument/2006/relationships/hyperlink" Target="https://ref.ly/Sir50:25-Sir50:26" TargetMode="External"/><Relationship Id="rId19068" Type="http://schemas.openxmlformats.org/officeDocument/2006/relationships/hyperlink" Target="https://ref.ly/1Macc1:62-1Macc1:64" TargetMode="External"/><Relationship Id="rId19069" Type="http://schemas.openxmlformats.org/officeDocument/2006/relationships/hyperlink" Target="https://ref.ly/1Macc2:42-1Macc2:43" TargetMode="External"/><Relationship Id="rId19070" Type="http://schemas.openxmlformats.org/officeDocument/2006/relationships/hyperlink" Target="https://ref.ly/1Macc6:2" TargetMode="External"/><Relationship Id="rId19071" Type="http://schemas.openxmlformats.org/officeDocument/2006/relationships/hyperlink" Target="https://ref.ly/Luke9:51-Luke9:53" TargetMode="External"/><Relationship Id="rId19072" Type="http://schemas.openxmlformats.org/officeDocument/2006/relationships/hyperlink" Target="https://ref.ly/Luke9:51-Luke9:55" TargetMode="External"/><Relationship Id="rId19073" Type="http://schemas.openxmlformats.org/officeDocument/2006/relationships/hyperlink" Target="https://ref.ly/Gen4:4" TargetMode="External"/><Relationship Id="rId19074" Type="http://schemas.openxmlformats.org/officeDocument/2006/relationships/hyperlink" Target="https://ref.ly/Deut18:15-Deut18:18" TargetMode="External"/><Relationship Id="rId19075" Type="http://schemas.openxmlformats.org/officeDocument/2006/relationships/hyperlink" Target="https://ref.ly/Luke17:18" TargetMode="External"/><Relationship Id="rId19076" Type="http://schemas.openxmlformats.org/officeDocument/2006/relationships/hyperlink" Target="https://ref.ly/Matt10:5" TargetMode="External"/><Relationship Id="rId19077" Type="http://schemas.openxmlformats.org/officeDocument/2006/relationships/hyperlink" Target="https://ref.ly/Luke9:55" TargetMode="External"/><Relationship Id="rId19078" Type="http://schemas.openxmlformats.org/officeDocument/2006/relationships/hyperlink" Target="https://ref.ly/John4:4-John4:43" TargetMode="External"/><Relationship Id="rId19079" Type="http://schemas.openxmlformats.org/officeDocument/2006/relationships/hyperlink" Target="https://ref.ly/John4:7-John4:9" TargetMode="External"/><Relationship Id="rId19080" Type="http://schemas.openxmlformats.org/officeDocument/2006/relationships/hyperlink" Target="https://ref.ly/John4:39-John4:41" TargetMode="External"/><Relationship Id="rId19081" Type="http://schemas.openxmlformats.org/officeDocument/2006/relationships/hyperlink" Target="https://ref.ly/John4:16-John4:18" TargetMode="External"/><Relationship Id="rId19082" Type="http://schemas.openxmlformats.org/officeDocument/2006/relationships/hyperlink" Target="https://ref.ly/John4:19,John4:25-John4:26" TargetMode="External"/><Relationship Id="rId19083" Type="http://schemas.openxmlformats.org/officeDocument/2006/relationships/hyperlink" Target="https://ref.ly/John4:26" TargetMode="External"/><Relationship Id="rId19084" Type="http://schemas.openxmlformats.org/officeDocument/2006/relationships/hyperlink" Target="https://ref.ly/Gen36:36-Gen36:37" TargetMode="External"/><Relationship Id="rId19085" Type="http://schemas.openxmlformats.org/officeDocument/2006/relationships/hyperlink" Target="https://ref.ly/1Chr1:47-1Chr1:48" TargetMode="External"/><Relationship Id="rId19086" Type="http://schemas.openxmlformats.org/officeDocument/2006/relationships/hyperlink" Target="https://ref.ly/Acts20:15" TargetMode="External"/><Relationship Id="rId19087" Type="http://schemas.openxmlformats.org/officeDocument/2006/relationships/hyperlink" Target="https://ref.ly/Neh12:18" TargetMode="External"/><Relationship Id="rId19088" Type="http://schemas.openxmlformats.org/officeDocument/2006/relationships/hyperlink" Target="https://ref.ly/1Sam1:6-1Sam1:11" TargetMode="External"/><Relationship Id="rId19089" Type="http://schemas.openxmlformats.org/officeDocument/2006/relationships/hyperlink" Target="https://ref.ly/1Sam4:1-1Sam6:21" TargetMode="External"/><Relationship Id="rId19090" Type="http://schemas.openxmlformats.org/officeDocument/2006/relationships/hyperlink" Target="https://ref.ly/1Sam7:2-1Sam7:3" TargetMode="External"/><Relationship Id="rId19091" Type="http://schemas.openxmlformats.org/officeDocument/2006/relationships/hyperlink" Target="https://ref.ly/Jer7:12-Jer7:14" TargetMode="External"/><Relationship Id="rId19092" Type="http://schemas.openxmlformats.org/officeDocument/2006/relationships/hyperlink" Target="https://ref.ly/Jer26:6,Jer26:9" TargetMode="External"/><Relationship Id="rId19093" Type="http://schemas.openxmlformats.org/officeDocument/2006/relationships/hyperlink" Target="https://ref.ly/Ps78:60" TargetMode="External"/><Relationship Id="rId19094" Type="http://schemas.openxmlformats.org/officeDocument/2006/relationships/hyperlink" Target="https://ref.ly/Deut16:18-Deut16:22" TargetMode="External"/><Relationship Id="rId19095" Type="http://schemas.openxmlformats.org/officeDocument/2006/relationships/hyperlink" Target="https://ref.ly/1Sam7:1-1Sam7:17" TargetMode="External"/><Relationship Id="rId19096" Type="http://schemas.openxmlformats.org/officeDocument/2006/relationships/hyperlink" Target="https://ref.ly/1Sam8:1-1Sam8:22" TargetMode="External"/><Relationship Id="rId19097" Type="http://schemas.openxmlformats.org/officeDocument/2006/relationships/hyperlink" Target="https://ref.ly/1Sam11:1-1Sam11:15" TargetMode="External"/><Relationship Id="rId19098" Type="http://schemas.openxmlformats.org/officeDocument/2006/relationships/hyperlink" Target="https://ref.ly/1Sam13:5-1Sam13:14" TargetMode="External"/><Relationship Id="rId19099" Type="http://schemas.openxmlformats.org/officeDocument/2006/relationships/hyperlink" Target="https://ref.ly/1Sam15:20-1Sam15:23" TargetMode="External"/><Relationship Id="rId19100" Type="http://schemas.openxmlformats.org/officeDocument/2006/relationships/hyperlink" Target="https://ref.ly/1Sam28:1-1Sam28:25" TargetMode="External"/><Relationship Id="rId19101" Type="http://schemas.openxmlformats.org/officeDocument/2006/relationships/hyperlink" Target="https://ref.ly/1Sam28:4-1Sam28:19" TargetMode="External"/><Relationship Id="rId19102" Type="http://schemas.openxmlformats.org/officeDocument/2006/relationships/hyperlink" Target="https://ref.ly/1Chr9:17-1Chr9:26" TargetMode="External"/><Relationship Id="rId19103" Type="http://schemas.openxmlformats.org/officeDocument/2006/relationships/hyperlink" Target="https://ref.ly/2Chr35:18" TargetMode="External"/><Relationship Id="rId19104" Type="http://schemas.openxmlformats.org/officeDocument/2006/relationships/hyperlink" Target="https://ref.ly/1Sam10:25" TargetMode="External"/><Relationship Id="rId19105" Type="http://schemas.openxmlformats.org/officeDocument/2006/relationships/hyperlink" Target="https://ref.ly/Heb11:32" TargetMode="External"/><Relationship Id="rId19106" Type="http://schemas.openxmlformats.org/officeDocument/2006/relationships/hyperlink" Target="https://ref.ly/1Sam7:6,1Sam7:15-1Sam7:17" TargetMode="External"/><Relationship Id="rId19107" Type="http://schemas.openxmlformats.org/officeDocument/2006/relationships/hyperlink" Target="https://ref.ly/1Sam3:20" TargetMode="External"/><Relationship Id="rId19108" Type="http://schemas.openxmlformats.org/officeDocument/2006/relationships/hyperlink" Target="https://ref.ly/Acts3:24" TargetMode="External"/><Relationship Id="rId19109" Type="http://schemas.openxmlformats.org/officeDocument/2006/relationships/hyperlink" Target="https://ref.ly/2Sam15:27,2Sam15:36" TargetMode="External"/><Relationship Id="rId19110" Type="http://schemas.openxmlformats.org/officeDocument/2006/relationships/hyperlink" Target="https://ref.ly/2Sam17:17" TargetMode="External"/><Relationship Id="rId19111" Type="http://schemas.openxmlformats.org/officeDocument/2006/relationships/hyperlink" Target="https://ref.ly/2Sam16:16" TargetMode="External"/><Relationship Id="rId19112" Type="http://schemas.openxmlformats.org/officeDocument/2006/relationships/hyperlink" Target="https://ref.ly/1Kgs4:5" TargetMode="External"/><Relationship Id="rId19113" Type="http://schemas.openxmlformats.org/officeDocument/2006/relationships/hyperlink" Target="https://ref.ly/1Sam11:8" TargetMode="External"/><Relationship Id="rId19114" Type="http://schemas.openxmlformats.org/officeDocument/2006/relationships/hyperlink" Target="https://ref.ly/1Sam17:52" TargetMode="External"/><Relationship Id="rId19115" Type="http://schemas.openxmlformats.org/officeDocument/2006/relationships/hyperlink" Target="https://ref.ly/1Sam18:16" TargetMode="External"/><Relationship Id="rId19116" Type="http://schemas.openxmlformats.org/officeDocument/2006/relationships/hyperlink" Target="https://ref.ly/2Sam24:1-2Sam24:9" TargetMode="External"/><Relationship Id="rId19117" Type="http://schemas.openxmlformats.org/officeDocument/2006/relationships/hyperlink" Target="https://ref.ly/1Sam27:6" TargetMode="External"/><Relationship Id="rId19118" Type="http://schemas.openxmlformats.org/officeDocument/2006/relationships/hyperlink" Target="https://ref.ly/1Sam8:1-1Sam12:25" TargetMode="External"/><Relationship Id="rId19119" Type="http://schemas.openxmlformats.org/officeDocument/2006/relationships/hyperlink" Target="https://ref.ly/1Sam12:1-1Sam12:25" TargetMode="External"/><Relationship Id="rId19120" Type="http://schemas.openxmlformats.org/officeDocument/2006/relationships/hyperlink" Target="https://ref.ly/1Sam1:1-1Sam7:17" TargetMode="External"/><Relationship Id="rId19121" Type="http://schemas.openxmlformats.org/officeDocument/2006/relationships/hyperlink" Target="https://ref.ly/1Sam2:1-1Sam2:10" TargetMode="External"/><Relationship Id="rId19122" Type="http://schemas.openxmlformats.org/officeDocument/2006/relationships/hyperlink" Target="https://ref.ly/1Sam2:11-1Sam2:26" TargetMode="External"/><Relationship Id="rId19123" Type="http://schemas.openxmlformats.org/officeDocument/2006/relationships/hyperlink" Target="https://ref.ly/1Sam2:22-1Sam2:25" TargetMode="External"/><Relationship Id="rId19124" Type="http://schemas.openxmlformats.org/officeDocument/2006/relationships/hyperlink" Target="https://ref.ly/1Sam2:18-1Sam2:21,1Sam2:26" TargetMode="External"/><Relationship Id="rId19125" Type="http://schemas.openxmlformats.org/officeDocument/2006/relationships/hyperlink" Target="https://ref.ly/1Sam2:27-1Sam2:36" TargetMode="External"/><Relationship Id="rId19126" Type="http://schemas.openxmlformats.org/officeDocument/2006/relationships/hyperlink" Target="https://ref.ly/Jer7:14" TargetMode="External"/><Relationship Id="rId19127" Type="http://schemas.openxmlformats.org/officeDocument/2006/relationships/hyperlink" Target="https://ref.ly/1Sam3:1-1Sam4:1" TargetMode="External"/><Relationship Id="rId19128" Type="http://schemas.openxmlformats.org/officeDocument/2006/relationships/hyperlink" Target="https://ref.ly/1Sam3:11-1Sam3:14" TargetMode="External"/><Relationship Id="rId19129" Type="http://schemas.openxmlformats.org/officeDocument/2006/relationships/hyperlink" Target="https://ref.ly/1Sam3:19-1Sam4:1" TargetMode="External"/><Relationship Id="rId19130" Type="http://schemas.openxmlformats.org/officeDocument/2006/relationships/hyperlink" Target="https://ref.ly/1Sam4:17-1Sam4:18" TargetMode="External"/><Relationship Id="rId19131" Type="http://schemas.openxmlformats.org/officeDocument/2006/relationships/hyperlink" Target="https://ref.ly/1Sam5:1-1Sam5:2" TargetMode="External"/><Relationship Id="rId19132" Type="http://schemas.openxmlformats.org/officeDocument/2006/relationships/hyperlink" Target="https://ref.ly/1Sam6:1-1Sam6:21" TargetMode="External"/><Relationship Id="rId19133" Type="http://schemas.openxmlformats.org/officeDocument/2006/relationships/hyperlink" Target="https://ref.ly/Deut20:1-Deut20:4" TargetMode="External"/><Relationship Id="rId19134" Type="http://schemas.openxmlformats.org/officeDocument/2006/relationships/hyperlink" Target="https://ref.ly/1Sam9:1-1Sam10:16" TargetMode="External"/><Relationship Id="rId19135" Type="http://schemas.openxmlformats.org/officeDocument/2006/relationships/hyperlink" Target="https://ref.ly/1Sam9:16-1Sam9:17" TargetMode="External"/><Relationship Id="rId19136" Type="http://schemas.openxmlformats.org/officeDocument/2006/relationships/hyperlink" Target="https://ref.ly/1Sam10:17-1Sam10:27" TargetMode="External"/><Relationship Id="rId19137" Type="http://schemas.openxmlformats.org/officeDocument/2006/relationships/hyperlink" Target="https://ref.ly/1Sam10:20-1Sam10:24" TargetMode="External"/><Relationship Id="rId19138" Type="http://schemas.openxmlformats.org/officeDocument/2006/relationships/hyperlink" Target="https://ref.ly/1Sam11:1-1Sam11:13" TargetMode="External"/><Relationship Id="rId19139" Type="http://schemas.openxmlformats.org/officeDocument/2006/relationships/hyperlink" Target="https://ref.ly/1Sam11:14-1Sam12:25" TargetMode="External"/><Relationship Id="rId19140" Type="http://schemas.openxmlformats.org/officeDocument/2006/relationships/hyperlink" Target="https://ref.ly/1Sam13:1-1Sam15:35" TargetMode="External"/><Relationship Id="rId19141" Type="http://schemas.openxmlformats.org/officeDocument/2006/relationships/hyperlink" Target="https://ref.ly/1Sam13:1-1Sam13:22" TargetMode="External"/><Relationship Id="rId19142" Type="http://schemas.openxmlformats.org/officeDocument/2006/relationships/hyperlink" Target="https://ref.ly/1Sam13:8" TargetMode="External"/><Relationship Id="rId19143" Type="http://schemas.openxmlformats.org/officeDocument/2006/relationships/hyperlink" Target="https://ref.ly/1Sam13:9" TargetMode="External"/><Relationship Id="rId19144" Type="http://schemas.openxmlformats.org/officeDocument/2006/relationships/hyperlink" Target="https://ref.ly/1Sam13:23-1Sam14:52" TargetMode="External"/><Relationship Id="rId19145" Type="http://schemas.openxmlformats.org/officeDocument/2006/relationships/hyperlink" Target="https://ref.ly/1Sam14:8-1Sam14:14" TargetMode="External"/><Relationship Id="rId19146" Type="http://schemas.openxmlformats.org/officeDocument/2006/relationships/hyperlink" Target="https://ref.ly/1Sam16:1-2Sam1:27" TargetMode="External"/><Relationship Id="rId19147" Type="http://schemas.openxmlformats.org/officeDocument/2006/relationships/hyperlink" Target="https://ref.ly/1Sam16:14-1Sam17:58" TargetMode="External"/><Relationship Id="rId19148" Type="http://schemas.openxmlformats.org/officeDocument/2006/relationships/hyperlink" Target="https://ref.ly/1Sam18:1-1Sam19:24" TargetMode="External"/><Relationship Id="rId19149" Type="http://schemas.openxmlformats.org/officeDocument/2006/relationships/hyperlink" Target="https://ref.ly/1Sam18:14-1Sam18:16,1Sam18:28-1Sam18:30" TargetMode="External"/><Relationship Id="rId19150" Type="http://schemas.openxmlformats.org/officeDocument/2006/relationships/hyperlink" Target="https://ref.ly/1Sam18:17,1Sam18:25" TargetMode="External"/><Relationship Id="rId19151" Type="http://schemas.openxmlformats.org/officeDocument/2006/relationships/hyperlink" Target="https://ref.ly/1Sam19:1,1Sam19:10" TargetMode="External"/><Relationship Id="rId19152" Type="http://schemas.openxmlformats.org/officeDocument/2006/relationships/hyperlink" Target="https://ref.ly/1Sam23:1-1Sam23:13" TargetMode="External"/><Relationship Id="rId19153" Type="http://schemas.openxmlformats.org/officeDocument/2006/relationships/hyperlink" Target="https://ref.ly/1Sam23:14-1Sam23:29" TargetMode="External"/><Relationship Id="rId19154" Type="http://schemas.openxmlformats.org/officeDocument/2006/relationships/hyperlink" Target="https://ref.ly/1Sam31:1-2Sam1:27" TargetMode="External"/><Relationship Id="rId19155" Type="http://schemas.openxmlformats.org/officeDocument/2006/relationships/hyperlink" Target="https://ref.ly/2Sam2:1-2Sam24:25" TargetMode="External"/><Relationship Id="rId19156" Type="http://schemas.openxmlformats.org/officeDocument/2006/relationships/hyperlink" Target="https://ref.ly/2Sam2:8-2Sam4:12" TargetMode="External"/><Relationship Id="rId19157" Type="http://schemas.openxmlformats.org/officeDocument/2006/relationships/hyperlink" Target="https://ref.ly/2Sam2:8-2Sam2:10" TargetMode="External"/><Relationship Id="rId19158" Type="http://schemas.openxmlformats.org/officeDocument/2006/relationships/hyperlink" Target="https://ref.ly/2Sam3:1-2Sam3:21" TargetMode="External"/><Relationship Id="rId19159" Type="http://schemas.openxmlformats.org/officeDocument/2006/relationships/hyperlink" Target="https://ref.ly/1Kgs2:5-1Kgs2:6,1Kgs2:29-1Kgs2:34" TargetMode="External"/><Relationship Id="rId19160" Type="http://schemas.openxmlformats.org/officeDocument/2006/relationships/hyperlink" Target="https://ref.ly/2Sam4:1-2Sam4:8" TargetMode="External"/><Relationship Id="rId19161" Type="http://schemas.openxmlformats.org/officeDocument/2006/relationships/hyperlink" Target="https://ref.ly/2Sam8:1-2Sam8:18" TargetMode="External"/><Relationship Id="rId19162" Type="http://schemas.openxmlformats.org/officeDocument/2006/relationships/hyperlink" Target="https://ref.ly/2Sam9:1-2Sam9:13" TargetMode="External"/><Relationship Id="rId19163" Type="http://schemas.openxmlformats.org/officeDocument/2006/relationships/hyperlink" Target="https://ref.ly/1Sam18:1-1Sam18:3" TargetMode="External"/><Relationship Id="rId19164" Type="http://schemas.openxmlformats.org/officeDocument/2006/relationships/hyperlink" Target="https://ref.ly/1Sam20:13-1Sam20:16,1Sam20:42" TargetMode="External"/><Relationship Id="rId19165" Type="http://schemas.openxmlformats.org/officeDocument/2006/relationships/hyperlink" Target="https://ref.ly/2Sam10:1-2Sam12:31" TargetMode="External"/><Relationship Id="rId19166" Type="http://schemas.openxmlformats.org/officeDocument/2006/relationships/hyperlink" Target="https://ref.ly/2Sam12:10-2Sam12:12" TargetMode="External"/><Relationship Id="rId19167" Type="http://schemas.openxmlformats.org/officeDocument/2006/relationships/hyperlink" Target="https://ref.ly/2Sam13:1-2Sam13:39" TargetMode="External"/><Relationship Id="rId19168" Type="http://schemas.openxmlformats.org/officeDocument/2006/relationships/hyperlink" Target="https://ref.ly/2Sam14:1-2Sam19:43" TargetMode="External"/><Relationship Id="rId19169" Type="http://schemas.openxmlformats.org/officeDocument/2006/relationships/hyperlink" Target="https://ref.ly/2Sam14:1-2Sam14:27" TargetMode="External"/><Relationship Id="rId19170" Type="http://schemas.openxmlformats.org/officeDocument/2006/relationships/hyperlink" Target="https://ref.ly/2Sam20:1-2Sam20:26" TargetMode="External"/><Relationship Id="rId19171" Type="http://schemas.openxmlformats.org/officeDocument/2006/relationships/hyperlink" Target="https://ref.ly/2Sam21:1-2Sam21:14" TargetMode="External"/><Relationship Id="rId19172" Type="http://schemas.openxmlformats.org/officeDocument/2006/relationships/hyperlink" Target="https://ref.ly/Josh9:15,Josh9:18-Josh9:27" TargetMode="External"/><Relationship Id="rId19173" Type="http://schemas.openxmlformats.org/officeDocument/2006/relationships/hyperlink" Target="https://ref.ly/2Sam21:15-2Sam21:22" TargetMode="External"/><Relationship Id="rId19174" Type="http://schemas.openxmlformats.org/officeDocument/2006/relationships/hyperlink" Target="https://ref.ly/Num24:6" TargetMode="External"/><Relationship Id="rId19175" Type="http://schemas.openxmlformats.org/officeDocument/2006/relationships/hyperlink" Target="https://ref.ly/Acts2:20" TargetMode="External"/><Relationship Id="rId19176" Type="http://schemas.openxmlformats.org/officeDocument/2006/relationships/hyperlink" Target="https://ref.ly/Ps9:12" TargetMode="External"/><Relationship Id="rId19177" Type="http://schemas.openxmlformats.org/officeDocument/2006/relationships/hyperlink" Target="https://ref.ly/Gen37:26" TargetMode="External"/><Relationship Id="rId19178" Type="http://schemas.openxmlformats.org/officeDocument/2006/relationships/hyperlink" Target="https://ref.ly/Prov28:17" TargetMode="External"/><Relationship Id="rId19179" Type="http://schemas.openxmlformats.org/officeDocument/2006/relationships/hyperlink" Target="https://ref.ly/Lev16:20-Lev16:22" TargetMode="External"/><Relationship Id="rId19180" Type="http://schemas.openxmlformats.org/officeDocument/2006/relationships/hyperlink" Target="https://ref.ly/Exod12:1-Exod12:13" TargetMode="External"/><Relationship Id="rId19181" Type="http://schemas.openxmlformats.org/officeDocument/2006/relationships/hyperlink" Target="https://ref.ly/Exod24:8" TargetMode="External"/><Relationship Id="rId19182" Type="http://schemas.openxmlformats.org/officeDocument/2006/relationships/hyperlink" Target="https://ref.ly/Acts22:20" TargetMode="External"/><Relationship Id="rId19183" Type="http://schemas.openxmlformats.org/officeDocument/2006/relationships/hyperlink" Target="https://ref.ly/John6:53" TargetMode="External"/><Relationship Id="rId19184" Type="http://schemas.openxmlformats.org/officeDocument/2006/relationships/hyperlink" Target="https://ref.ly/1Pet1:19" TargetMode="External"/><Relationship Id="rId19185" Type="http://schemas.openxmlformats.org/officeDocument/2006/relationships/hyperlink" Target="https://ref.ly/Heb9:7-Heb9:28" TargetMode="External"/><Relationship Id="rId19186" Type="http://schemas.openxmlformats.org/officeDocument/2006/relationships/hyperlink" Target="https://ref.ly/Heb13:11-Heb13:12" TargetMode="External"/><Relationship Id="rId19187" Type="http://schemas.openxmlformats.org/officeDocument/2006/relationships/hyperlink" Target="https://ref.ly/Heb10:20" TargetMode="External"/><Relationship Id="rId19188" Type="http://schemas.openxmlformats.org/officeDocument/2006/relationships/hyperlink" Target="https://ref.ly/Matt27:8" TargetMode="External"/><Relationship Id="rId19189" Type="http://schemas.openxmlformats.org/officeDocument/2006/relationships/hyperlink" Target="https://ref.ly/Num6:1-Num6:6" TargetMode="External"/><Relationship Id="rId19190" Type="http://schemas.openxmlformats.org/officeDocument/2006/relationships/hyperlink" Target="https://ref.ly/Judg13:1-Judg13:5" TargetMode="External"/><Relationship Id="rId19191" Type="http://schemas.openxmlformats.org/officeDocument/2006/relationships/hyperlink" Target="https://ref.ly/Judg13:8" TargetMode="External"/><Relationship Id="rId19192" Type="http://schemas.openxmlformats.org/officeDocument/2006/relationships/hyperlink" Target="https://ref.ly/Judg13:22" TargetMode="External"/><Relationship Id="rId19193" Type="http://schemas.openxmlformats.org/officeDocument/2006/relationships/hyperlink" Target="https://ref.ly/Judg14:2-Judg14:9" TargetMode="External"/><Relationship Id="rId19194" Type="http://schemas.openxmlformats.org/officeDocument/2006/relationships/hyperlink" Target="https://ref.ly/Judg15:1-Judg15:8" TargetMode="External"/><Relationship Id="rId19195" Type="http://schemas.openxmlformats.org/officeDocument/2006/relationships/hyperlink" Target="https://ref.ly/Judg15:9-Judg15:20" TargetMode="External"/><Relationship Id="rId19196" Type="http://schemas.openxmlformats.org/officeDocument/2006/relationships/hyperlink" Target="https://ref.ly/Judg16:4-Judg16:5" TargetMode="External"/><Relationship Id="rId19197" Type="http://schemas.openxmlformats.org/officeDocument/2006/relationships/hyperlink" Target="https://ref.ly/Judg16:1-Judg16:30" TargetMode="External"/><Relationship Id="rId19198" Type="http://schemas.openxmlformats.org/officeDocument/2006/relationships/hyperlink" Target="https://ref.ly/Ezek39:7" TargetMode="External"/><Relationship Id="rId19199" Type="http://schemas.openxmlformats.org/officeDocument/2006/relationships/hyperlink" Target="https://ref.ly/Job6:10" TargetMode="External"/><Relationship Id="rId19200" Type="http://schemas.openxmlformats.org/officeDocument/2006/relationships/hyperlink" Target="https://ref.ly/Isa60:14" TargetMode="External"/><Relationship Id="rId19201" Type="http://schemas.openxmlformats.org/officeDocument/2006/relationships/hyperlink" Target="https://ref.ly/Jer50:29" TargetMode="External"/><Relationship Id="rId19202" Type="http://schemas.openxmlformats.org/officeDocument/2006/relationships/hyperlink" Target="https://ref.ly/Job34:10" TargetMode="External"/><Relationship Id="rId19203" Type="http://schemas.openxmlformats.org/officeDocument/2006/relationships/hyperlink" Target="https://ref.ly/Isa5:16" TargetMode="External"/><Relationship Id="rId19204" Type="http://schemas.openxmlformats.org/officeDocument/2006/relationships/hyperlink" Target="https://ref.ly/Ps99:1-Ps99:9" TargetMode="External"/><Relationship Id="rId19205" Type="http://schemas.openxmlformats.org/officeDocument/2006/relationships/hyperlink" Target="https://ref.ly/Num15:40" TargetMode="External"/><Relationship Id="rId19206" Type="http://schemas.openxmlformats.org/officeDocument/2006/relationships/hyperlink" Target="https://ref.ly/Mark7:1-Mark7:5" TargetMode="External"/><Relationship Id="rId19207" Type="http://schemas.openxmlformats.org/officeDocument/2006/relationships/hyperlink" Target="https://ref.ly/Mark7:6-Mark7:12" TargetMode="External"/><Relationship Id="rId19208" Type="http://schemas.openxmlformats.org/officeDocument/2006/relationships/hyperlink" Target="https://ref.ly/Luke1:49" TargetMode="External"/><Relationship Id="rId19209" Type="http://schemas.openxmlformats.org/officeDocument/2006/relationships/hyperlink" Target="https://ref.ly/Acts4:27-Acts4:30" TargetMode="External"/><Relationship Id="rId19210" Type="http://schemas.openxmlformats.org/officeDocument/2006/relationships/hyperlink" Target="https://ref.ly/John3:5-John3:8" TargetMode="External"/><Relationship Id="rId19211" Type="http://schemas.openxmlformats.org/officeDocument/2006/relationships/hyperlink" Target="https://ref.ly/2Pet1:4" TargetMode="External"/><Relationship Id="rId19212" Type="http://schemas.openxmlformats.org/officeDocument/2006/relationships/hyperlink" Target="https://ref.ly/Lev11:45" TargetMode="External"/><Relationship Id="rId19213" Type="http://schemas.openxmlformats.org/officeDocument/2006/relationships/hyperlink" Target="https://ref.ly/1Pet1:16" TargetMode="External"/><Relationship Id="rId19214" Type="http://schemas.openxmlformats.org/officeDocument/2006/relationships/hyperlink" Target="https://ref.ly/Phil3:14" TargetMode="External"/><Relationship Id="rId19215" Type="http://schemas.openxmlformats.org/officeDocument/2006/relationships/hyperlink" Target="https://ref.ly/Heb6:1" TargetMode="External"/><Relationship Id="rId19216" Type="http://schemas.openxmlformats.org/officeDocument/2006/relationships/hyperlink" Target="https://ref.ly/Rom6:2" TargetMode="External"/><Relationship Id="rId19217" Type="http://schemas.openxmlformats.org/officeDocument/2006/relationships/hyperlink" Target="https://ref.ly/1Cor3:1-1Cor3:3" TargetMode="External"/><Relationship Id="rId19218" Type="http://schemas.openxmlformats.org/officeDocument/2006/relationships/hyperlink" Target="https://ref.ly/1Cor6:8" TargetMode="External"/><Relationship Id="rId19219" Type="http://schemas.openxmlformats.org/officeDocument/2006/relationships/hyperlink" Target="https://ref.ly/1Cor11:17-1Cor11:22" TargetMode="External"/><Relationship Id="rId19220" Type="http://schemas.openxmlformats.org/officeDocument/2006/relationships/hyperlink" Target="https://ref.ly/Rom6:7" TargetMode="External"/><Relationship Id="rId19221" Type="http://schemas.openxmlformats.org/officeDocument/2006/relationships/hyperlink" Target="https://ref.ly/Rom12:13" TargetMode="External"/><Relationship Id="rId19222" Type="http://schemas.openxmlformats.org/officeDocument/2006/relationships/hyperlink" Target="https://ref.ly/Rom15:25-Rom15:26,Rom15:31" TargetMode="External"/><Relationship Id="rId19223" Type="http://schemas.openxmlformats.org/officeDocument/2006/relationships/hyperlink" Target="https://ref.ly/Rom16:2,Rom16:15" TargetMode="External"/><Relationship Id="rId19224" Type="http://schemas.openxmlformats.org/officeDocument/2006/relationships/hyperlink" Target="https://ref.ly/1Pet2:5,1Pet2:9" TargetMode="External"/><Relationship Id="rId19225" Type="http://schemas.openxmlformats.org/officeDocument/2006/relationships/hyperlink" Target="https://ref.ly/Gen26:24-Gen26:25" TargetMode="External"/><Relationship Id="rId19226" Type="http://schemas.openxmlformats.org/officeDocument/2006/relationships/hyperlink" Target="https://ref.ly/Gen28:16-Gen28:22" TargetMode="External"/><Relationship Id="rId19227" Type="http://schemas.openxmlformats.org/officeDocument/2006/relationships/hyperlink" Target="https://ref.ly/Deut12:4-Deut12:7" TargetMode="External"/><Relationship Id="rId19228" Type="http://schemas.openxmlformats.org/officeDocument/2006/relationships/hyperlink" Target="https://ref.ly/Deut16:5-Deut16:8" TargetMode="External"/><Relationship Id="rId19229" Type="http://schemas.openxmlformats.org/officeDocument/2006/relationships/hyperlink" Target="https://ref.ly/Heb8:5-Heb8:6" TargetMode="External"/><Relationship Id="rId19230" Type="http://schemas.openxmlformats.org/officeDocument/2006/relationships/hyperlink" Target="https://ref.ly/Heb9:1-Heb9:14" TargetMode="External"/><Relationship Id="rId19231" Type="http://schemas.openxmlformats.org/officeDocument/2006/relationships/hyperlink" Target="https://ref.ly/Gen17:15-Gen17:16" TargetMode="External"/><Relationship Id="rId19232" Type="http://schemas.openxmlformats.org/officeDocument/2006/relationships/hyperlink" Target="https://ref.ly/Gen12:5" TargetMode="External"/><Relationship Id="rId19233" Type="http://schemas.openxmlformats.org/officeDocument/2006/relationships/hyperlink" Target="https://ref.ly/Gen16:3-Gen16:4" TargetMode="External"/><Relationship Id="rId19234" Type="http://schemas.openxmlformats.org/officeDocument/2006/relationships/hyperlink" Target="https://ref.ly/Gen21:2-Gen21:3" TargetMode="External"/><Relationship Id="rId19235" Type="http://schemas.openxmlformats.org/officeDocument/2006/relationships/hyperlink" Target="https://ref.ly/Gen12:11-Gen12:15" TargetMode="External"/><Relationship Id="rId19236" Type="http://schemas.openxmlformats.org/officeDocument/2006/relationships/hyperlink" Target="https://ref.ly/Gen21:1-Gen21:5" TargetMode="External"/><Relationship Id="rId19237" Type="http://schemas.openxmlformats.org/officeDocument/2006/relationships/hyperlink" Target="https://ref.ly/Gen17:21" TargetMode="External"/><Relationship Id="rId19238" Type="http://schemas.openxmlformats.org/officeDocument/2006/relationships/hyperlink" Target="https://ref.ly/Isa51:2" TargetMode="External"/><Relationship Id="rId19239" Type="http://schemas.openxmlformats.org/officeDocument/2006/relationships/hyperlink" Target="https://ref.ly/Rom9:9" TargetMode="External"/><Relationship Id="rId19240" Type="http://schemas.openxmlformats.org/officeDocument/2006/relationships/hyperlink" Target="https://ref.ly/Heb11:11" TargetMode="External"/><Relationship Id="rId19241" Type="http://schemas.openxmlformats.org/officeDocument/2006/relationships/hyperlink" Target="https://ref.ly/Tob6:9-Tob6:27" TargetMode="External"/><Relationship Id="rId19242" Type="http://schemas.openxmlformats.org/officeDocument/2006/relationships/hyperlink" Target="https://ref.ly/Tob8:2" TargetMode="External"/><Relationship Id="rId19243" Type="http://schemas.openxmlformats.org/officeDocument/2006/relationships/hyperlink" Target="https://ref.ly/Tob14:12-Tob14:45" TargetMode="External"/><Relationship Id="rId19244" Type="http://schemas.openxmlformats.org/officeDocument/2006/relationships/hyperlink" Target="https://ref.ly/Exod3:1-Exod3:15" TargetMode="External"/><Relationship Id="rId19245" Type="http://schemas.openxmlformats.org/officeDocument/2006/relationships/hyperlink" Target="https://ref.ly/Acts7:30-Acts7:34" TargetMode="External"/><Relationship Id="rId19246" Type="http://schemas.openxmlformats.org/officeDocument/2006/relationships/hyperlink" Target="https://ref.ly/2Kgs1:12" TargetMode="External"/><Relationship Id="rId19247" Type="http://schemas.openxmlformats.org/officeDocument/2006/relationships/hyperlink" Target="https://ref.ly/Isa6:1-Isa6:6" TargetMode="External"/><Relationship Id="rId19248" Type="http://schemas.openxmlformats.org/officeDocument/2006/relationships/hyperlink" Target="https://ref.ly/2Thess1:7" TargetMode="External"/><Relationship Id="rId19249" Type="http://schemas.openxmlformats.org/officeDocument/2006/relationships/hyperlink" Target="https://ref.ly/Job2:1-Job2:7" TargetMode="External"/><Relationship Id="rId19250" Type="http://schemas.openxmlformats.org/officeDocument/2006/relationships/hyperlink" Target="https://ref.ly/Zech3:1-Zech3:2" TargetMode="External"/><Relationship Id="rId19251" Type="http://schemas.openxmlformats.org/officeDocument/2006/relationships/hyperlink" Target="https://ref.ly/Isa14:12" TargetMode="External"/><Relationship Id="rId19252" Type="http://schemas.openxmlformats.org/officeDocument/2006/relationships/hyperlink" Target="https://ref.ly/Wis2:24" TargetMode="External"/><Relationship Id="rId19253" Type="http://schemas.openxmlformats.org/officeDocument/2006/relationships/hyperlink" Target="https://ref.ly/Luke4:6" TargetMode="External"/><Relationship Id="rId19254" Type="http://schemas.openxmlformats.org/officeDocument/2006/relationships/hyperlink" Target="https://ref.ly/Acts13:10" TargetMode="External"/><Relationship Id="rId19255" Type="http://schemas.openxmlformats.org/officeDocument/2006/relationships/hyperlink" Target="https://ref.ly/Luke8:33" TargetMode="External"/><Relationship Id="rId19256" Type="http://schemas.openxmlformats.org/officeDocument/2006/relationships/hyperlink" Target="https://ref.ly/Eph6:11" TargetMode="External"/><Relationship Id="rId19257" Type="http://schemas.openxmlformats.org/officeDocument/2006/relationships/hyperlink" Target="https://ref.ly/Jas4:7" TargetMode="External"/><Relationship Id="rId19258" Type="http://schemas.openxmlformats.org/officeDocument/2006/relationships/hyperlink" Target="https://ref.ly/John13:2" TargetMode="External"/><Relationship Id="rId19259" Type="http://schemas.openxmlformats.org/officeDocument/2006/relationships/hyperlink" Target="https://ref.ly/Acts5:3" TargetMode="External"/><Relationship Id="rId19260" Type="http://schemas.openxmlformats.org/officeDocument/2006/relationships/hyperlink" Target="https://ref.ly/1Thess2:18" TargetMode="External"/><Relationship Id="rId19261" Type="http://schemas.openxmlformats.org/officeDocument/2006/relationships/hyperlink" Target="https://ref.ly/Gen36:37-Gen36:38" TargetMode="External"/><Relationship Id="rId19262" Type="http://schemas.openxmlformats.org/officeDocument/2006/relationships/hyperlink" Target="https://ref.ly/1Chr1:48-1Chr1:49" TargetMode="External"/><Relationship Id="rId19263" Type="http://schemas.openxmlformats.org/officeDocument/2006/relationships/hyperlink" Target="https://ref.ly/1Sam14:49-1Sam14:50" TargetMode="External"/><Relationship Id="rId19264" Type="http://schemas.openxmlformats.org/officeDocument/2006/relationships/hyperlink" Target="https://ref.ly/1Sam31:2" TargetMode="External"/><Relationship Id="rId19265" Type="http://schemas.openxmlformats.org/officeDocument/2006/relationships/hyperlink" Target="https://ref.ly/1Sam11:1" TargetMode="External"/><Relationship Id="rId19266" Type="http://schemas.openxmlformats.org/officeDocument/2006/relationships/hyperlink" Target="https://ref.ly/1Sam13:16-1Sam13:23" TargetMode="External"/><Relationship Id="rId19267" Type="http://schemas.openxmlformats.org/officeDocument/2006/relationships/hyperlink" Target="https://ref.ly/1Sam14:15-1Sam14:23" TargetMode="External"/><Relationship Id="rId19268" Type="http://schemas.openxmlformats.org/officeDocument/2006/relationships/hyperlink" Target="https://ref.ly/1Sam29:11" TargetMode="External"/><Relationship Id="rId19269" Type="http://schemas.openxmlformats.org/officeDocument/2006/relationships/hyperlink" Target="https://ref.ly/1Sam31:1" TargetMode="External"/><Relationship Id="rId19270" Type="http://schemas.openxmlformats.org/officeDocument/2006/relationships/hyperlink" Target="https://ref.ly/1Sam31:2-1Sam31:6" TargetMode="External"/><Relationship Id="rId19271" Type="http://schemas.openxmlformats.org/officeDocument/2006/relationships/hyperlink" Target="https://ref.ly/Deut19:14-Deut19:20" TargetMode="External"/><Relationship Id="rId19272" Type="http://schemas.openxmlformats.org/officeDocument/2006/relationships/hyperlink" Target="https://ref.ly/1Sam13:8-1Sam13:15" TargetMode="External"/><Relationship Id="rId19273" Type="http://schemas.openxmlformats.org/officeDocument/2006/relationships/hyperlink" Target="https://ref.ly/1Sam9:1-1Sam9:2" TargetMode="External"/><Relationship Id="rId19274" Type="http://schemas.openxmlformats.org/officeDocument/2006/relationships/hyperlink" Target="https://ref.ly/1Sam11:12-1Sam11:13" TargetMode="External"/><Relationship Id="rId19275" Type="http://schemas.openxmlformats.org/officeDocument/2006/relationships/hyperlink" Target="https://ref.ly/1Sam16:14" TargetMode="External"/><Relationship Id="rId19276" Type="http://schemas.openxmlformats.org/officeDocument/2006/relationships/hyperlink" Target="https://ref.ly/Num26:13" TargetMode="External"/><Relationship Id="rId19277" Type="http://schemas.openxmlformats.org/officeDocument/2006/relationships/hyperlink" Target="https://ref.ly/1Chr6:24" TargetMode="External"/><Relationship Id="rId19278" Type="http://schemas.openxmlformats.org/officeDocument/2006/relationships/hyperlink" Target="https://ref.ly/Gen14:17" TargetMode="External"/><Relationship Id="rId19279" Type="http://schemas.openxmlformats.org/officeDocument/2006/relationships/hyperlink" Target="https://ref.ly/1Kgs18:32" TargetMode="External"/><Relationship Id="rId19280" Type="http://schemas.openxmlformats.org/officeDocument/2006/relationships/hyperlink" Target="https://ref.ly/Josh19:2" TargetMode="External"/><Relationship Id="rId19281" Type="http://schemas.openxmlformats.org/officeDocument/2006/relationships/hyperlink" Target="https://ref.ly/Josh15:26" TargetMode="External"/><Relationship Id="rId19282" Type="http://schemas.openxmlformats.org/officeDocument/2006/relationships/hyperlink" Target="https://ref.ly/Ps72:10,Ps72:15" TargetMode="External"/><Relationship Id="rId19283" Type="http://schemas.openxmlformats.org/officeDocument/2006/relationships/hyperlink" Target="https://ref.ly/Ezek27:22-Ezek27:23" TargetMode="External"/><Relationship Id="rId19284" Type="http://schemas.openxmlformats.org/officeDocument/2006/relationships/hyperlink" Target="https://ref.ly/2Chr9:1-2Chr9:12" TargetMode="External"/><Relationship Id="rId19285" Type="http://schemas.openxmlformats.org/officeDocument/2006/relationships/hyperlink" Target="https://ref.ly/2Sam20:1-2Sam20:22" TargetMode="External"/><Relationship Id="rId19286" Type="http://schemas.openxmlformats.org/officeDocument/2006/relationships/hyperlink" Target="https://ref.ly/1Chr5:13,1Chr5:16-1Chr5:17" TargetMode="External"/><Relationship Id="rId19287" Type="http://schemas.openxmlformats.org/officeDocument/2006/relationships/hyperlink" Target="https://ref.ly/Jer48:11" TargetMode="External"/><Relationship Id="rId19288" Type="http://schemas.openxmlformats.org/officeDocument/2006/relationships/hyperlink" Target="https://ref.ly/Zeph1:12" TargetMode="External"/><Relationship Id="rId19289" Type="http://schemas.openxmlformats.org/officeDocument/2006/relationships/hyperlink" Target="https://ref.ly/Num34:10-Num34:11" TargetMode="External"/><Relationship Id="rId19290" Type="http://schemas.openxmlformats.org/officeDocument/2006/relationships/hyperlink" Target="https://ref.ly/Acts24:22" TargetMode="External"/><Relationship Id="rId19291" Type="http://schemas.openxmlformats.org/officeDocument/2006/relationships/hyperlink" Target="https://ref.ly/John14:3" TargetMode="External"/><Relationship Id="rId19292" Type="http://schemas.openxmlformats.org/officeDocument/2006/relationships/hyperlink" Target="https://ref.ly/1Cor1:7" TargetMode="External"/><Relationship Id="rId19293" Type="http://schemas.openxmlformats.org/officeDocument/2006/relationships/hyperlink" Target="https://ref.ly/1Cor3:13" TargetMode="External"/><Relationship Id="rId19294" Type="http://schemas.openxmlformats.org/officeDocument/2006/relationships/hyperlink" Target="https://ref.ly/2Thess2:2" TargetMode="External"/><Relationship Id="rId19295" Type="http://schemas.openxmlformats.org/officeDocument/2006/relationships/hyperlink" Target="https://ref.ly/Exod40:34" TargetMode="External"/><Relationship Id="rId19296" Type="http://schemas.openxmlformats.org/officeDocument/2006/relationships/hyperlink" Target="https://ref.ly/1Thess1:9-1Thess1:10" TargetMode="External"/><Relationship Id="rId19297" Type="http://schemas.openxmlformats.org/officeDocument/2006/relationships/hyperlink" Target="https://ref.ly/Acts18:1-Acts18:18" TargetMode="External"/><Relationship Id="rId19298" Type="http://schemas.openxmlformats.org/officeDocument/2006/relationships/hyperlink" Target="https://ref.ly/Heb10:37" TargetMode="External"/><Relationship Id="rId19299" Type="http://schemas.openxmlformats.org/officeDocument/2006/relationships/hyperlink" Target="https://ref.ly/Jas5:8" TargetMode="External"/><Relationship Id="rId19300" Type="http://schemas.openxmlformats.org/officeDocument/2006/relationships/hyperlink" Target="https://ref.ly/1Thess4:15-1Thess4:17" TargetMode="External"/><Relationship Id="rId19301" Type="http://schemas.openxmlformats.org/officeDocument/2006/relationships/hyperlink" Target="https://ref.ly/Rom8:18-Rom8:23" TargetMode="External"/><Relationship Id="rId19302" Type="http://schemas.openxmlformats.org/officeDocument/2006/relationships/hyperlink" Target="https://ref.ly/Rom14:10-Rom14:12" TargetMode="External"/><Relationship Id="rId19303" Type="http://schemas.openxmlformats.org/officeDocument/2006/relationships/hyperlink" Target="https://ref.ly/2Thess1:6-2Thess1:10" TargetMode="External"/><Relationship Id="rId19304" Type="http://schemas.openxmlformats.org/officeDocument/2006/relationships/hyperlink" Target="https://ref.ly/Gen14:4-Gen14:6" TargetMode="External"/><Relationship Id="rId19305" Type="http://schemas.openxmlformats.org/officeDocument/2006/relationships/hyperlink" Target="https://ref.ly/Josh24:4" TargetMode="External"/><Relationship Id="rId19306" Type="http://schemas.openxmlformats.org/officeDocument/2006/relationships/hyperlink" Target="https://ref.ly/Deut2:1-Deut2:8" TargetMode="External"/><Relationship Id="rId19307" Type="http://schemas.openxmlformats.org/officeDocument/2006/relationships/hyperlink" Target="https://ref.ly/1Chr4:42" TargetMode="External"/><Relationship Id="rId19308" Type="http://schemas.openxmlformats.org/officeDocument/2006/relationships/hyperlink" Target="https://ref.ly/2Chr20:10-2Chr20:23" TargetMode="External"/><Relationship Id="rId19309" Type="http://schemas.openxmlformats.org/officeDocument/2006/relationships/hyperlink" Target="https://ref.ly/2Chr25:11-2Chr25:14" TargetMode="External"/><Relationship Id="rId19310" Type="http://schemas.openxmlformats.org/officeDocument/2006/relationships/hyperlink" Target="https://ref.ly/Josh15:10" TargetMode="External"/><Relationship Id="rId19311" Type="http://schemas.openxmlformats.org/officeDocument/2006/relationships/hyperlink" Target="https://ref.ly/1Chr1:18" TargetMode="External"/><Relationship Id="rId19312" Type="http://schemas.openxmlformats.org/officeDocument/2006/relationships/hyperlink" Target="https://ref.ly/Num26:20" TargetMode="External"/><Relationship Id="rId19313" Type="http://schemas.openxmlformats.org/officeDocument/2006/relationships/hyperlink" Target="https://ref.ly/Neh11:5" TargetMode="External"/><Relationship Id="rId19314" Type="http://schemas.openxmlformats.org/officeDocument/2006/relationships/hyperlink" Target="https://ref.ly/1Chr9:5" TargetMode="External"/><Relationship Id="rId19315" Type="http://schemas.openxmlformats.org/officeDocument/2006/relationships/hyperlink" Target="https://ref.ly/Dan11:7-Dan11:9" TargetMode="External"/><Relationship Id="rId19316" Type="http://schemas.openxmlformats.org/officeDocument/2006/relationships/hyperlink" Target="https://ref.ly/1Macc11:8-1Macc11:19" TargetMode="External"/><Relationship Id="rId19317" Type="http://schemas.openxmlformats.org/officeDocument/2006/relationships/hyperlink" Target="https://ref.ly/Acts13:4-Acts13:5" TargetMode="External"/><Relationship Id="rId19318" Type="http://schemas.openxmlformats.org/officeDocument/2006/relationships/hyperlink" Target="https://ref.ly/Acts14:26" TargetMode="External"/><Relationship Id="rId19319" Type="http://schemas.openxmlformats.org/officeDocument/2006/relationships/hyperlink" Target="https://ref.ly/Gen38:18" TargetMode="External"/><Relationship Id="rId19320" Type="http://schemas.openxmlformats.org/officeDocument/2006/relationships/hyperlink" Target="https://ref.ly/Jer22:24" TargetMode="External"/><Relationship Id="rId19321" Type="http://schemas.openxmlformats.org/officeDocument/2006/relationships/hyperlink" Target="https://ref.ly/Dan6:17" TargetMode="External"/><Relationship Id="rId19322" Type="http://schemas.openxmlformats.org/officeDocument/2006/relationships/hyperlink" Target="https://ref.ly/Matt27:66" TargetMode="External"/><Relationship Id="rId19323" Type="http://schemas.openxmlformats.org/officeDocument/2006/relationships/hyperlink" Target="https://ref.ly/1Kgs21:8-1Kgs21:13" TargetMode="External"/><Relationship Id="rId19324" Type="http://schemas.openxmlformats.org/officeDocument/2006/relationships/hyperlink" Target="https://ref.ly/Jer32:10-Jer32:14" TargetMode="External"/><Relationship Id="rId19325" Type="http://schemas.openxmlformats.org/officeDocument/2006/relationships/hyperlink" Target="https://ref.ly/Esth8:8" TargetMode="External"/><Relationship Id="rId19326" Type="http://schemas.openxmlformats.org/officeDocument/2006/relationships/hyperlink" Target="https://ref.ly/Job38:14" TargetMode="External"/><Relationship Id="rId19327" Type="http://schemas.openxmlformats.org/officeDocument/2006/relationships/hyperlink" Target="https://ref.ly/John3:33" TargetMode="External"/><Relationship Id="rId19328" Type="http://schemas.openxmlformats.org/officeDocument/2006/relationships/hyperlink" Target="https://ref.ly/John6:27" TargetMode="External"/><Relationship Id="rId19329" Type="http://schemas.openxmlformats.org/officeDocument/2006/relationships/hyperlink" Target="https://ref.ly/Num34:27" TargetMode="External"/><Relationship Id="rId19330" Type="http://schemas.openxmlformats.org/officeDocument/2006/relationships/hyperlink" Target="https://ref.ly/1Chr3:19" TargetMode="External"/><Relationship Id="rId19331" Type="http://schemas.openxmlformats.org/officeDocument/2006/relationships/hyperlink" Target="https://ref.ly/2Chr11:20" TargetMode="External"/><Relationship Id="rId19332" Type="http://schemas.openxmlformats.org/officeDocument/2006/relationships/hyperlink" Target="https://ref.ly/Ezra8:10" TargetMode="External"/><Relationship Id="rId19333" Type="http://schemas.openxmlformats.org/officeDocument/2006/relationships/hyperlink" Target="https://ref.ly/Num1:6" TargetMode="External"/><Relationship Id="rId19334" Type="http://schemas.openxmlformats.org/officeDocument/2006/relationships/hyperlink" Target="https://ref.ly/Num2:12" TargetMode="External"/><Relationship Id="rId19335" Type="http://schemas.openxmlformats.org/officeDocument/2006/relationships/hyperlink" Target="https://ref.ly/Num7:36,Num7:41" TargetMode="External"/><Relationship Id="rId19336" Type="http://schemas.openxmlformats.org/officeDocument/2006/relationships/hyperlink" Target="https://ref.ly/Num10:19" TargetMode="External"/><Relationship Id="rId19337" Type="http://schemas.openxmlformats.org/officeDocument/2006/relationships/hyperlink" Target="https://ref.ly/Jdt8:1" TargetMode="External"/><Relationship Id="rId19338" Type="http://schemas.openxmlformats.org/officeDocument/2006/relationships/hyperlink" Target="https://ref.ly/Gen9:18,Gen9:23,Gen9:26-Gen9:27" TargetMode="External"/><Relationship Id="rId19339" Type="http://schemas.openxmlformats.org/officeDocument/2006/relationships/hyperlink" Target="https://ref.ly/1Chr1:4,1Chr1:17-1Chr1:27" TargetMode="External"/><Relationship Id="rId19340" Type="http://schemas.openxmlformats.org/officeDocument/2006/relationships/hyperlink" Target="https://ref.ly/1Chr1:4" TargetMode="External"/><Relationship Id="rId19341" Type="http://schemas.openxmlformats.org/officeDocument/2006/relationships/hyperlink" Target="https://ref.ly/Gen10:1,Gen10:21-Gen10:31" TargetMode="External"/><Relationship Id="rId19342" Type="http://schemas.openxmlformats.org/officeDocument/2006/relationships/hyperlink" Target="https://ref.ly/Gen11:10-Gen11:11" TargetMode="External"/><Relationship Id="rId19343" Type="http://schemas.openxmlformats.org/officeDocument/2006/relationships/hyperlink" Target="https://ref.ly/Gen9:20-Gen9:29" TargetMode="External"/><Relationship Id="rId19344" Type="http://schemas.openxmlformats.org/officeDocument/2006/relationships/hyperlink" Target="https://ref.ly/Gen11:10-Gen11:27" TargetMode="External"/><Relationship Id="rId19345" Type="http://schemas.openxmlformats.org/officeDocument/2006/relationships/hyperlink" Target="https://ref.ly/Gen9:27" TargetMode="External"/><Relationship Id="rId19346" Type="http://schemas.openxmlformats.org/officeDocument/2006/relationships/hyperlink" Target="https://ref.ly/Gen11:16-Gen11:27" TargetMode="External"/><Relationship Id="rId19347" Type="http://schemas.openxmlformats.org/officeDocument/2006/relationships/hyperlink" Target="https://ref.ly/1Chr7:19" TargetMode="External"/><Relationship Id="rId19348" Type="http://schemas.openxmlformats.org/officeDocument/2006/relationships/hyperlink" Target="https://ref.ly/Ps24:1-Ps24:2" TargetMode="External"/><Relationship Id="rId19349" Type="http://schemas.openxmlformats.org/officeDocument/2006/relationships/hyperlink" Target="https://ref.ly/1Kgs19:10-1Kgs19:14" TargetMode="External"/><Relationship Id="rId19350" Type="http://schemas.openxmlformats.org/officeDocument/2006/relationships/hyperlink" Target="https://ref.ly/Job40:1-Job41:34" TargetMode="External"/><Relationship Id="rId19351" Type="http://schemas.openxmlformats.org/officeDocument/2006/relationships/hyperlink" Target="https://ref.ly/Ps74:12-Ps74:14" TargetMode="External"/><Relationship Id="rId19352" Type="http://schemas.openxmlformats.org/officeDocument/2006/relationships/hyperlink" Target="https://ref.ly/Ps89:8-Ps89:10" TargetMode="External"/><Relationship Id="rId19353" Type="http://schemas.openxmlformats.org/officeDocument/2006/relationships/hyperlink" Target="https://ref.ly/1Kgs19:15-1Kgs19:18" TargetMode="External"/><Relationship Id="rId19354" Type="http://schemas.openxmlformats.org/officeDocument/2006/relationships/hyperlink" Target="https://ref.ly/Isa10:5-Isa10:9" TargetMode="External"/><Relationship Id="rId19355" Type="http://schemas.openxmlformats.org/officeDocument/2006/relationships/hyperlink" Target="https://ref.ly/Amos1:3-Amos2:16" TargetMode="External"/><Relationship Id="rId19356" Type="http://schemas.openxmlformats.org/officeDocument/2006/relationships/hyperlink" Target="https://ref.ly/Isa2:2-Isa2:4,Isa2:11-Isa2:12" TargetMode="External"/><Relationship Id="rId19357" Type="http://schemas.openxmlformats.org/officeDocument/2006/relationships/hyperlink" Target="https://ref.ly/Isa34:8" TargetMode="External"/><Relationship Id="rId19358" Type="http://schemas.openxmlformats.org/officeDocument/2006/relationships/hyperlink" Target="https://ref.ly/Ezek30:1-Ezek30:5" TargetMode="External"/><Relationship Id="rId19359" Type="http://schemas.openxmlformats.org/officeDocument/2006/relationships/hyperlink" Target="https://ref.ly/Joel2:31-Joel3:1" TargetMode="External"/><Relationship Id="rId19360" Type="http://schemas.openxmlformats.org/officeDocument/2006/relationships/hyperlink" Target="https://ref.ly/Matt25:11" TargetMode="External"/><Relationship Id="rId19361" Type="http://schemas.openxmlformats.org/officeDocument/2006/relationships/hyperlink" Target="https://ref.ly/Matt11:25" TargetMode="External"/><Relationship Id="rId19362" Type="http://schemas.openxmlformats.org/officeDocument/2006/relationships/hyperlink" Target="https://ref.ly/Heb8:2" TargetMode="External"/><Relationship Id="rId19363" Type="http://schemas.openxmlformats.org/officeDocument/2006/relationships/hyperlink" Target="https://ref.ly/1Cor8:5" TargetMode="External"/><Relationship Id="rId19364" Type="http://schemas.openxmlformats.org/officeDocument/2006/relationships/hyperlink" Target="https://ref.ly/Matt8:2" TargetMode="External"/><Relationship Id="rId19365" Type="http://schemas.openxmlformats.org/officeDocument/2006/relationships/hyperlink" Target="https://ref.ly/Matt15:25" TargetMode="External"/><Relationship Id="rId19366" Type="http://schemas.openxmlformats.org/officeDocument/2006/relationships/hyperlink" Target="https://ref.ly/Acts9:10" TargetMode="External"/><Relationship Id="rId19367" Type="http://schemas.openxmlformats.org/officeDocument/2006/relationships/hyperlink" Target="https://ref.ly/2Cor8:21" TargetMode="External"/><Relationship Id="rId19368" Type="http://schemas.openxmlformats.org/officeDocument/2006/relationships/hyperlink" Target="https://ref.ly/John20:28" TargetMode="External"/><Relationship Id="rId19369" Type="http://schemas.openxmlformats.org/officeDocument/2006/relationships/hyperlink" Target="https://ref.ly/Acts2:21" TargetMode="External"/><Relationship Id="rId19370" Type="http://schemas.openxmlformats.org/officeDocument/2006/relationships/hyperlink" Target="https://ref.ly/Acts16:31" TargetMode="External"/><Relationship Id="rId19371" Type="http://schemas.openxmlformats.org/officeDocument/2006/relationships/hyperlink" Target="https://ref.ly/Luke6:46" TargetMode="External"/><Relationship Id="rId19372" Type="http://schemas.openxmlformats.org/officeDocument/2006/relationships/hyperlink" Target="https://ref.ly/1Cor6:19-1Cor6:20" TargetMode="External"/><Relationship Id="rId19373" Type="http://schemas.openxmlformats.org/officeDocument/2006/relationships/hyperlink" Target="https://ref.ly/1Cor7:22-1Cor7:23" TargetMode="External"/><Relationship Id="rId19374" Type="http://schemas.openxmlformats.org/officeDocument/2006/relationships/hyperlink" Target="https://ref.ly/1Cor8:5-1Cor8:6" TargetMode="External"/><Relationship Id="rId19375" Type="http://schemas.openxmlformats.org/officeDocument/2006/relationships/hyperlink" Target="https://ref.ly/1Thess4:14-1Thess4:17" TargetMode="External"/><Relationship Id="rId19376" Type="http://schemas.openxmlformats.org/officeDocument/2006/relationships/hyperlink" Target="https://ref.ly/Deut2:26-Deut2:37" TargetMode="External"/><Relationship Id="rId19377" Type="http://schemas.openxmlformats.org/officeDocument/2006/relationships/hyperlink" Target="https://ref.ly/Deut31:4" TargetMode="External"/><Relationship Id="rId19378" Type="http://schemas.openxmlformats.org/officeDocument/2006/relationships/hyperlink" Target="https://ref.ly/Josh2:10" TargetMode="External"/><Relationship Id="rId19379" Type="http://schemas.openxmlformats.org/officeDocument/2006/relationships/hyperlink" Target="https://ref.ly/Josh13:10-Josh13:12" TargetMode="External"/><Relationship Id="rId19380" Type="http://schemas.openxmlformats.org/officeDocument/2006/relationships/hyperlink" Target="https://ref.ly/Ps135:11" TargetMode="External"/><Relationship Id="rId19381" Type="http://schemas.openxmlformats.org/officeDocument/2006/relationships/hyperlink" Target="https://ref.ly/Ps136:19-Ps136:20" TargetMode="External"/><Relationship Id="rId19382" Type="http://schemas.openxmlformats.org/officeDocument/2006/relationships/hyperlink" Target="https://ref.ly/Neh9:22" TargetMode="External"/><Relationship Id="rId19383" Type="http://schemas.openxmlformats.org/officeDocument/2006/relationships/hyperlink" Target="https://ref.ly/Num21:26" TargetMode="External"/><Relationship Id="rId19384" Type="http://schemas.openxmlformats.org/officeDocument/2006/relationships/hyperlink" Target="https://ref.ly/Josh12:2-Josh12:3" TargetMode="External"/><Relationship Id="rId19385" Type="http://schemas.openxmlformats.org/officeDocument/2006/relationships/hyperlink" Target="https://ref.ly/Num20:20" TargetMode="External"/><Relationship Id="rId19386" Type="http://schemas.openxmlformats.org/officeDocument/2006/relationships/hyperlink" Target="https://ref.ly/Num32:33-Num32:38" TargetMode="External"/><Relationship Id="rId19387" Type="http://schemas.openxmlformats.org/officeDocument/2006/relationships/hyperlink" Target="https://ref.ly/Josh13:10" TargetMode="External"/><Relationship Id="rId19388" Type="http://schemas.openxmlformats.org/officeDocument/2006/relationships/hyperlink" Target="https://ref.ly/Gen15:15" TargetMode="External"/><Relationship Id="rId19389" Type="http://schemas.openxmlformats.org/officeDocument/2006/relationships/hyperlink" Target="https://ref.ly/1Kgs13:22" TargetMode="External"/><Relationship Id="rId19390" Type="http://schemas.openxmlformats.org/officeDocument/2006/relationships/hyperlink" Target="https://ref.ly/Gen49:29" TargetMode="External"/><Relationship Id="rId19391" Type="http://schemas.openxmlformats.org/officeDocument/2006/relationships/hyperlink" Target="https://ref.ly/Josh24:30" TargetMode="External"/><Relationship Id="rId19392" Type="http://schemas.openxmlformats.org/officeDocument/2006/relationships/hyperlink" Target="https://ref.ly/Gen35:1,Gen35:20" TargetMode="External"/><Relationship Id="rId19393" Type="http://schemas.openxmlformats.org/officeDocument/2006/relationships/hyperlink" Target="https://ref.ly/Matt27:59-Matt27:60" TargetMode="External"/><Relationship Id="rId19394" Type="http://schemas.openxmlformats.org/officeDocument/2006/relationships/hyperlink" Target="https://ref.ly/Gen35:20" TargetMode="External"/><Relationship Id="rId19395" Type="http://schemas.openxmlformats.org/officeDocument/2006/relationships/hyperlink" Target="https://ref.ly/2Kgs23:17" TargetMode="External"/><Relationship Id="rId19396" Type="http://schemas.openxmlformats.org/officeDocument/2006/relationships/hyperlink" Target="https://ref.ly/Josh7:26" TargetMode="External"/><Relationship Id="rId19397" Type="http://schemas.openxmlformats.org/officeDocument/2006/relationships/hyperlink" Target="https://ref.ly/Ezek32:27" TargetMode="External"/><Relationship Id="rId19398" Type="http://schemas.openxmlformats.org/officeDocument/2006/relationships/hyperlink" Target="https://ref.ly/1Sam31:12-1Sam31:13" TargetMode="External"/><Relationship Id="rId19399" Type="http://schemas.openxmlformats.org/officeDocument/2006/relationships/hyperlink" Target="https://ref.ly/Josh7:25" TargetMode="External"/><Relationship Id="rId19400" Type="http://schemas.openxmlformats.org/officeDocument/2006/relationships/hyperlink" Target="https://ref.ly/Mark16:3-Mark16:4" TargetMode="External"/><Relationship Id="rId19401" Type="http://schemas.openxmlformats.org/officeDocument/2006/relationships/hyperlink" Target="https://ref.ly/Lev21:10-Lev21:12" TargetMode="External"/><Relationship Id="rId19402" Type="http://schemas.openxmlformats.org/officeDocument/2006/relationships/hyperlink" Target="https://ref.ly/Num26:46" TargetMode="External"/><Relationship Id="rId19403" Type="http://schemas.openxmlformats.org/officeDocument/2006/relationships/hyperlink" Target="https://ref.ly/Isa11:8" TargetMode="External"/><Relationship Id="rId19404" Type="http://schemas.openxmlformats.org/officeDocument/2006/relationships/hyperlink" Target="https://ref.ly/Amos9:3" TargetMode="External"/><Relationship Id="rId19405" Type="http://schemas.openxmlformats.org/officeDocument/2006/relationships/hyperlink" Target="https://ref.ly/Gen3:14" TargetMode="External"/><Relationship Id="rId19406" Type="http://schemas.openxmlformats.org/officeDocument/2006/relationships/hyperlink" Target="https://ref.ly/Rev12:14-Rev12:15" TargetMode="External"/><Relationship Id="rId19407" Type="http://schemas.openxmlformats.org/officeDocument/2006/relationships/hyperlink" Target="https://ref.ly/Eccl10:8,Eccl10:11" TargetMode="External"/><Relationship Id="rId19408" Type="http://schemas.openxmlformats.org/officeDocument/2006/relationships/hyperlink" Target="https://ref.ly/Rev9:19" TargetMode="External"/><Relationship Id="rId19409" Type="http://schemas.openxmlformats.org/officeDocument/2006/relationships/hyperlink" Target="https://ref.ly/Ps58:4-Ps58:5" TargetMode="External"/><Relationship Id="rId19410" Type="http://schemas.openxmlformats.org/officeDocument/2006/relationships/hyperlink" Target="https://ref.ly/Ps140:3" TargetMode="External"/><Relationship Id="rId19411" Type="http://schemas.openxmlformats.org/officeDocument/2006/relationships/hyperlink" Target="https://ref.ly/Jer8:17" TargetMode="External"/><Relationship Id="rId19412" Type="http://schemas.openxmlformats.org/officeDocument/2006/relationships/hyperlink" Target="https://ref.ly/Gen11:20-Gen11:23" TargetMode="External"/><Relationship Id="rId19413" Type="http://schemas.openxmlformats.org/officeDocument/2006/relationships/hyperlink" Target="https://ref.ly/Lev25:39-Lev25:44" TargetMode="External"/><Relationship Id="rId19414" Type="http://schemas.openxmlformats.org/officeDocument/2006/relationships/hyperlink" Target="https://ref.ly/Ps2:3" TargetMode="External"/><Relationship Id="rId19415" Type="http://schemas.openxmlformats.org/officeDocument/2006/relationships/hyperlink" Target="https://ref.ly/2Pet2:19" TargetMode="External"/><Relationship Id="rId19416" Type="http://schemas.openxmlformats.org/officeDocument/2006/relationships/hyperlink" Target="https://ref.ly/Rom8:12-Rom8:14" TargetMode="External"/><Relationship Id="rId19417" Type="http://schemas.openxmlformats.org/officeDocument/2006/relationships/hyperlink" Target="https://ref.ly/Num30:2-Num30:15" TargetMode="External"/><Relationship Id="rId19418" Type="http://schemas.openxmlformats.org/officeDocument/2006/relationships/hyperlink" Target="https://ref.ly/Ezek20:37" TargetMode="External"/><Relationship Id="rId19419" Type="http://schemas.openxmlformats.org/officeDocument/2006/relationships/hyperlink" Target="https://ref.ly/Heb13:3" TargetMode="External"/><Relationship Id="rId19420" Type="http://schemas.openxmlformats.org/officeDocument/2006/relationships/hyperlink" Target="https://ref.ly/Phil1:7-Phil1:14" TargetMode="External"/><Relationship Id="rId19421" Type="http://schemas.openxmlformats.org/officeDocument/2006/relationships/hyperlink" Target="https://ref.ly/Phlm1:9-Phlm1:10,Phlm1:13" TargetMode="External"/><Relationship Id="rId19422" Type="http://schemas.openxmlformats.org/officeDocument/2006/relationships/hyperlink" Target="https://ref.ly/2Kgs4:12" TargetMode="External"/><Relationship Id="rId19423" Type="http://schemas.openxmlformats.org/officeDocument/2006/relationships/hyperlink" Target="https://ref.ly/Ezra8:17" TargetMode="External"/><Relationship Id="rId19424" Type="http://schemas.openxmlformats.org/officeDocument/2006/relationships/hyperlink" Target="https://ref.ly/Isa61:6" TargetMode="External"/><Relationship Id="rId19425" Type="http://schemas.openxmlformats.org/officeDocument/2006/relationships/hyperlink" Target="https://ref.ly/Ezek44:11" TargetMode="External"/><Relationship Id="rId19426" Type="http://schemas.openxmlformats.org/officeDocument/2006/relationships/hyperlink" Target="https://ref.ly/Exod28:35" TargetMode="External"/><Relationship Id="rId19427" Type="http://schemas.openxmlformats.org/officeDocument/2006/relationships/hyperlink" Target="https://ref.ly/Joel1:9" TargetMode="External"/><Relationship Id="rId19428" Type="http://schemas.openxmlformats.org/officeDocument/2006/relationships/hyperlink" Target="https://ref.ly/Joel2:17" TargetMode="External"/><Relationship Id="rId19429" Type="http://schemas.openxmlformats.org/officeDocument/2006/relationships/hyperlink" Target="https://ref.ly/Prov29:12" TargetMode="External"/><Relationship Id="rId19430" Type="http://schemas.openxmlformats.org/officeDocument/2006/relationships/hyperlink" Target="https://ref.ly/Ps104:4" TargetMode="External"/><Relationship Id="rId19431" Type="http://schemas.openxmlformats.org/officeDocument/2006/relationships/hyperlink" Target="https://ref.ly/Exod12:45" TargetMode="External"/><Relationship Id="rId19432" Type="http://schemas.openxmlformats.org/officeDocument/2006/relationships/hyperlink" Target="https://ref.ly/Job7:1" TargetMode="External"/><Relationship Id="rId19433" Type="http://schemas.openxmlformats.org/officeDocument/2006/relationships/hyperlink" Target="https://ref.ly/Deut15:17" TargetMode="External"/><Relationship Id="rId19434" Type="http://schemas.openxmlformats.org/officeDocument/2006/relationships/hyperlink" Target="https://ref.ly/Neh2:10" TargetMode="External"/><Relationship Id="rId19435" Type="http://schemas.openxmlformats.org/officeDocument/2006/relationships/hyperlink" Target="https://ref.ly/Gen24:14" TargetMode="External"/><Relationship Id="rId19436" Type="http://schemas.openxmlformats.org/officeDocument/2006/relationships/hyperlink" Target="https://ref.ly/Num12:7" TargetMode="External"/><Relationship Id="rId19437" Type="http://schemas.openxmlformats.org/officeDocument/2006/relationships/hyperlink" Target="https://ref.ly/Josh1:7" TargetMode="External"/><Relationship Id="rId19438" Type="http://schemas.openxmlformats.org/officeDocument/2006/relationships/hyperlink" Target="https://ref.ly/2Kgs21:8" TargetMode="External"/><Relationship Id="rId19439" Type="http://schemas.openxmlformats.org/officeDocument/2006/relationships/hyperlink" Target="https://ref.ly/Deut34:5" TargetMode="External"/><Relationship Id="rId19440" Type="http://schemas.openxmlformats.org/officeDocument/2006/relationships/hyperlink" Target="https://ref.ly/Josh1:13" TargetMode="External"/><Relationship Id="rId19441" Type="http://schemas.openxmlformats.org/officeDocument/2006/relationships/hyperlink" Target="https://ref.ly/Josh8:31-Josh8:33" TargetMode="External"/><Relationship Id="rId19442" Type="http://schemas.openxmlformats.org/officeDocument/2006/relationships/hyperlink" Target="https://ref.ly/Isa50:4-Isa50:9" TargetMode="External"/><Relationship Id="rId19443" Type="http://schemas.openxmlformats.org/officeDocument/2006/relationships/hyperlink" Target="https://ref.ly/Luke15:17-Luke15:19" TargetMode="External"/><Relationship Id="rId19444" Type="http://schemas.openxmlformats.org/officeDocument/2006/relationships/hyperlink" Target="https://ref.ly/John10:12-John10:14" TargetMode="External"/><Relationship Id="rId19445" Type="http://schemas.openxmlformats.org/officeDocument/2006/relationships/hyperlink" Target="https://ref.ly/Matt10:24-Matt10:25" TargetMode="External"/><Relationship Id="rId19446" Type="http://schemas.openxmlformats.org/officeDocument/2006/relationships/hyperlink" Target="https://ref.ly/Matt13:27-Matt13:28" TargetMode="External"/><Relationship Id="rId19447" Type="http://schemas.openxmlformats.org/officeDocument/2006/relationships/hyperlink" Target="https://ref.ly/Mark12:2-Mark12:4" TargetMode="External"/><Relationship Id="rId19448" Type="http://schemas.openxmlformats.org/officeDocument/2006/relationships/hyperlink" Target="https://ref.ly/Luke7:2-Luke7:3" TargetMode="External"/><Relationship Id="rId19449" Type="http://schemas.openxmlformats.org/officeDocument/2006/relationships/hyperlink" Target="https://ref.ly/John4:51" TargetMode="External"/><Relationship Id="rId19450" Type="http://schemas.openxmlformats.org/officeDocument/2006/relationships/hyperlink" Target="https://ref.ly/John13:16" TargetMode="External"/><Relationship Id="rId19451" Type="http://schemas.openxmlformats.org/officeDocument/2006/relationships/hyperlink" Target="https://ref.ly/Luke16:13" TargetMode="External"/><Relationship Id="rId19452" Type="http://schemas.openxmlformats.org/officeDocument/2006/relationships/hyperlink" Target="https://ref.ly/Isa41:8-Isa41:9" TargetMode="External"/><Relationship Id="rId19453" Type="http://schemas.openxmlformats.org/officeDocument/2006/relationships/hyperlink" Target="https://ref.ly/Gen26:24" TargetMode="External"/><Relationship Id="rId19454" Type="http://schemas.openxmlformats.org/officeDocument/2006/relationships/hyperlink" Target="https://ref.ly/Ezek28:25" TargetMode="External"/><Relationship Id="rId19455" Type="http://schemas.openxmlformats.org/officeDocument/2006/relationships/hyperlink" Target="https://ref.ly/Exod14:31" TargetMode="External"/><Relationship Id="rId19456" Type="http://schemas.openxmlformats.org/officeDocument/2006/relationships/hyperlink" Target="https://ref.ly/1Kgs8:53" TargetMode="External"/><Relationship Id="rId19457" Type="http://schemas.openxmlformats.org/officeDocument/2006/relationships/hyperlink" Target="https://ref.ly/2Sam7:26-2Sam7:29" TargetMode="External"/><Relationship Id="rId19458" Type="http://schemas.openxmlformats.org/officeDocument/2006/relationships/hyperlink" Target="https://ref.ly/Jer33:21-Jer33:26" TargetMode="External"/><Relationship Id="rId19459" Type="http://schemas.openxmlformats.org/officeDocument/2006/relationships/hyperlink" Target="https://ref.ly/Ezek37:24" TargetMode="External"/><Relationship Id="rId19460" Type="http://schemas.openxmlformats.org/officeDocument/2006/relationships/hyperlink" Target="https://ref.ly/2Kgs10:10" TargetMode="External"/><Relationship Id="rId19461" Type="http://schemas.openxmlformats.org/officeDocument/2006/relationships/hyperlink" Target="https://ref.ly/Num14:24" TargetMode="External"/><Relationship Id="rId19462" Type="http://schemas.openxmlformats.org/officeDocument/2006/relationships/hyperlink" Target="https://ref.ly/Josh24:29" TargetMode="External"/><Relationship Id="rId19463" Type="http://schemas.openxmlformats.org/officeDocument/2006/relationships/hyperlink" Target="https://ref.ly/Rom5:19" TargetMode="External"/><Relationship Id="rId19464" Type="http://schemas.openxmlformats.org/officeDocument/2006/relationships/hyperlink" Target="https://ref.ly/Josh15:14" TargetMode="External"/><Relationship Id="rId19465" Type="http://schemas.openxmlformats.org/officeDocument/2006/relationships/hyperlink" Target="https://ref.ly/Gen5:3-Gen5:8" TargetMode="External"/><Relationship Id="rId19466" Type="http://schemas.openxmlformats.org/officeDocument/2006/relationships/hyperlink" Target="https://ref.ly/Luke22:50-Luke22:51" TargetMode="External"/><Relationship Id="rId19467" Type="http://schemas.openxmlformats.org/officeDocument/2006/relationships/hyperlink" Target="https://ref.ly/Luke23:28" TargetMode="External"/><Relationship Id="rId19468" Type="http://schemas.openxmlformats.org/officeDocument/2006/relationships/hyperlink" Target="https://ref.ly/Luke6:27-Luke6:28" TargetMode="External"/><Relationship Id="rId19469" Type="http://schemas.openxmlformats.org/officeDocument/2006/relationships/hyperlink" Target="https://ref.ly/Luke23:40" TargetMode="External"/><Relationship Id="rId19470" Type="http://schemas.openxmlformats.org/officeDocument/2006/relationships/hyperlink" Target="https://ref.ly/Luke23:40-Luke23:42" TargetMode="External"/><Relationship Id="rId19471" Type="http://schemas.openxmlformats.org/officeDocument/2006/relationships/hyperlink" Target="https://ref.ly/John19:10-John19:11" TargetMode="External"/><Relationship Id="rId19472" Type="http://schemas.openxmlformats.org/officeDocument/2006/relationships/hyperlink" Target="https://ref.ly/Acts7:59" TargetMode="External"/><Relationship Id="rId19473" Type="http://schemas.openxmlformats.org/officeDocument/2006/relationships/hyperlink" Target="https://ref.ly/Gen2:25" TargetMode="External"/><Relationship Id="rId19474" Type="http://schemas.openxmlformats.org/officeDocument/2006/relationships/hyperlink" Target="https://ref.ly/Eccl9:9" TargetMode="External"/><Relationship Id="rId19475" Type="http://schemas.openxmlformats.org/officeDocument/2006/relationships/hyperlink" Target="https://ref.ly/1Tim4:3-1Tim4:5" TargetMode="External"/><Relationship Id="rId19476" Type="http://schemas.openxmlformats.org/officeDocument/2006/relationships/hyperlink" Target="https://ref.ly/Gen2:18-Gen2:24" TargetMode="External"/><Relationship Id="rId19477" Type="http://schemas.openxmlformats.org/officeDocument/2006/relationships/hyperlink" Target="https://ref.ly/Gen3:7-Gen3:10" TargetMode="External"/><Relationship Id="rId19478" Type="http://schemas.openxmlformats.org/officeDocument/2006/relationships/hyperlink" Target="https://ref.ly/1Cor6:18" TargetMode="External"/><Relationship Id="rId19479" Type="http://schemas.openxmlformats.org/officeDocument/2006/relationships/hyperlink" Target="https://ref.ly/1Thess4:3" TargetMode="External"/><Relationship Id="rId19480" Type="http://schemas.openxmlformats.org/officeDocument/2006/relationships/hyperlink" Target="https://ref.ly/1Cor6:13,1Cor6:18" TargetMode="External"/><Relationship Id="rId19481" Type="http://schemas.openxmlformats.org/officeDocument/2006/relationships/hyperlink" Target="https://ref.ly/Lev18:22" TargetMode="External"/><Relationship Id="rId19482" Type="http://schemas.openxmlformats.org/officeDocument/2006/relationships/hyperlink" Target="https://ref.ly/Rom1:26-Rom1:27" TargetMode="External"/><Relationship Id="rId19483" Type="http://schemas.openxmlformats.org/officeDocument/2006/relationships/hyperlink" Target="https://ref.ly/1Tim1:9-1Tim1:10" TargetMode="External"/><Relationship Id="rId19484" Type="http://schemas.openxmlformats.org/officeDocument/2006/relationships/hyperlink" Target="https://ref.ly/Rom1:24-Rom1:27" TargetMode="External"/><Relationship Id="rId19485" Type="http://schemas.openxmlformats.org/officeDocument/2006/relationships/hyperlink" Target="https://ref.ly/Gen39:12" TargetMode="External"/><Relationship Id="rId19486" Type="http://schemas.openxmlformats.org/officeDocument/2006/relationships/hyperlink" Target="https://ref.ly/2Tim2:22" TargetMode="External"/><Relationship Id="rId19487" Type="http://schemas.openxmlformats.org/officeDocument/2006/relationships/hyperlink" Target="https://ref.ly/Exod29:45-Exod29:46" TargetMode="External"/><Relationship Id="rId19488" Type="http://schemas.openxmlformats.org/officeDocument/2006/relationships/hyperlink" Target="https://ref.ly/1Kgs6:13" TargetMode="External"/><Relationship Id="rId19489" Type="http://schemas.openxmlformats.org/officeDocument/2006/relationships/hyperlink" Target="https://ref.ly/Ps68:16-Ps68:18" TargetMode="External"/><Relationship Id="rId19490" Type="http://schemas.openxmlformats.org/officeDocument/2006/relationships/hyperlink" Target="https://ref.ly/Ezek43:7-Ezek43:9" TargetMode="External"/><Relationship Id="rId19491" Type="http://schemas.openxmlformats.org/officeDocument/2006/relationships/hyperlink" Target="https://ref.ly/Joel3:17,Joel3:21" TargetMode="External"/><Relationship Id="rId19492" Type="http://schemas.openxmlformats.org/officeDocument/2006/relationships/hyperlink" Target="https://ref.ly/Exod19:16-Exod19:18" TargetMode="External"/><Relationship Id="rId19493" Type="http://schemas.openxmlformats.org/officeDocument/2006/relationships/hyperlink" Target="https://ref.ly/1Kgs8:10-1Kgs8:13" TargetMode="External"/><Relationship Id="rId19494" Type="http://schemas.openxmlformats.org/officeDocument/2006/relationships/hyperlink" Target="https://ref.ly/2Chr6:1-2Chr6:2" TargetMode="External"/><Relationship Id="rId19495" Type="http://schemas.openxmlformats.org/officeDocument/2006/relationships/hyperlink" Target="https://ref.ly/Luke2:9" TargetMode="External"/><Relationship Id="rId19496" Type="http://schemas.openxmlformats.org/officeDocument/2006/relationships/hyperlink" Target="https://ref.ly/Luke9:29" TargetMode="External"/><Relationship Id="rId19497" Type="http://schemas.openxmlformats.org/officeDocument/2006/relationships/hyperlink" Target="https://ref.ly/Acts9:3-Acts9:6" TargetMode="External"/><Relationship Id="rId19498" Type="http://schemas.openxmlformats.org/officeDocument/2006/relationships/hyperlink" Target="https://ref.ly/Acts26:12-Acts26:16" TargetMode="External"/><Relationship Id="rId19499" Type="http://schemas.openxmlformats.org/officeDocument/2006/relationships/hyperlink" Target="https://ref.ly/John1:32" TargetMode="External"/><Relationship Id="rId19500" Type="http://schemas.openxmlformats.org/officeDocument/2006/relationships/hyperlink" Target="https://ref.ly/1John2:6,1John2:14,1John2:24,1John2:27-1John2:28" TargetMode="External"/><Relationship Id="rId19501" Type="http://schemas.openxmlformats.org/officeDocument/2006/relationships/hyperlink" Target="https://ref.ly/1John3:6,1John3:14-1John3:15,1John3:24" TargetMode="External"/><Relationship Id="rId19502" Type="http://schemas.openxmlformats.org/officeDocument/2006/relationships/hyperlink" Target="https://ref.ly/2John1:9" TargetMode="External"/><Relationship Id="rId19503" Type="http://schemas.openxmlformats.org/officeDocument/2006/relationships/hyperlink" Target="https://ref.ly/Col1:15-Col1:23" TargetMode="External"/><Relationship Id="rId19504" Type="http://schemas.openxmlformats.org/officeDocument/2006/relationships/hyperlink" Target="https://ref.ly/Num16:30-Num16:33" TargetMode="External"/><Relationship Id="rId19505" Type="http://schemas.openxmlformats.org/officeDocument/2006/relationships/hyperlink" Target="https://ref.ly/Ps39:12-Ps39:13" TargetMode="External"/><Relationship Id="rId19506" Type="http://schemas.openxmlformats.org/officeDocument/2006/relationships/hyperlink" Target="https://ref.ly/Isa38:10" TargetMode="External"/><Relationship Id="rId19507" Type="http://schemas.openxmlformats.org/officeDocument/2006/relationships/hyperlink" Target="https://ref.ly/Gen25:8,Gen25:17" TargetMode="External"/><Relationship Id="rId19508" Type="http://schemas.openxmlformats.org/officeDocument/2006/relationships/hyperlink" Target="https://ref.ly/Gen35:29" TargetMode="External"/><Relationship Id="rId19509" Type="http://schemas.openxmlformats.org/officeDocument/2006/relationships/hyperlink" Target="https://ref.ly/1Sam28:11" TargetMode="External"/><Relationship Id="rId19510" Type="http://schemas.openxmlformats.org/officeDocument/2006/relationships/hyperlink" Target="https://ref.ly/Deut18:9-Deut18:11" TargetMode="External"/><Relationship Id="rId19511" Type="http://schemas.openxmlformats.org/officeDocument/2006/relationships/hyperlink" Target="https://ref.ly/1Sam28:3,1Sam28:9" TargetMode="External"/><Relationship Id="rId19512" Type="http://schemas.openxmlformats.org/officeDocument/2006/relationships/hyperlink" Target="https://ref.ly/2Sam24:16-2Sam24:18" TargetMode="External"/><Relationship Id="rId19513" Type="http://schemas.openxmlformats.org/officeDocument/2006/relationships/hyperlink" Target="https://ref.ly/1Chr21:15-1Chr21:18,1Chr21:28" TargetMode="External"/><Relationship Id="rId19514" Type="http://schemas.openxmlformats.org/officeDocument/2006/relationships/hyperlink" Target="https://ref.ly/1Kgs8:1" TargetMode="External"/><Relationship Id="rId19515" Type="http://schemas.openxmlformats.org/officeDocument/2006/relationships/hyperlink" Target="https://ref.ly/2Chr5:2" TargetMode="External"/><Relationship Id="rId19516" Type="http://schemas.openxmlformats.org/officeDocument/2006/relationships/hyperlink" Target="https://ref.ly/Ps51:18" TargetMode="External"/><Relationship Id="rId19517" Type="http://schemas.openxmlformats.org/officeDocument/2006/relationships/hyperlink" Target="https://ref.ly/Ps135:21" TargetMode="External"/><Relationship Id="rId19518" Type="http://schemas.openxmlformats.org/officeDocument/2006/relationships/hyperlink" Target="https://ref.ly/Ps147:12" TargetMode="External"/><Relationship Id="rId19519" Type="http://schemas.openxmlformats.org/officeDocument/2006/relationships/hyperlink" Target="https://ref.ly/Isa30:19" TargetMode="External"/><Relationship Id="rId19520" Type="http://schemas.openxmlformats.org/officeDocument/2006/relationships/hyperlink" Target="https://ref.ly/Isa33:20" TargetMode="External"/><Relationship Id="rId19521" Type="http://schemas.openxmlformats.org/officeDocument/2006/relationships/hyperlink" Target="https://ref.ly/Isa37:32" TargetMode="External"/><Relationship Id="rId19522" Type="http://schemas.openxmlformats.org/officeDocument/2006/relationships/hyperlink" Target="https://ref.ly/Isa40:9" TargetMode="External"/><Relationship Id="rId19523" Type="http://schemas.openxmlformats.org/officeDocument/2006/relationships/hyperlink" Target="https://ref.ly/Isa41:27" TargetMode="External"/><Relationship Id="rId19524" Type="http://schemas.openxmlformats.org/officeDocument/2006/relationships/hyperlink" Target="https://ref.ly/Isa62:1" TargetMode="External"/><Relationship Id="rId19525" Type="http://schemas.openxmlformats.org/officeDocument/2006/relationships/hyperlink" Target="https://ref.ly/Jer51:35" TargetMode="External"/><Relationship Id="rId19526" Type="http://schemas.openxmlformats.org/officeDocument/2006/relationships/hyperlink" Target="https://ref.ly/Zeph3:14" TargetMode="External"/><Relationship Id="rId19527" Type="http://schemas.openxmlformats.org/officeDocument/2006/relationships/hyperlink" Target="https://ref.ly/Ps69:35" TargetMode="External"/><Relationship Id="rId19528" Type="http://schemas.openxmlformats.org/officeDocument/2006/relationships/hyperlink" Target="https://ref.ly/Ps97:8" TargetMode="External"/><Relationship Id="rId19529" Type="http://schemas.openxmlformats.org/officeDocument/2006/relationships/hyperlink" Target="https://ref.ly/Deut12:5-Deut12:14" TargetMode="External"/><Relationship Id="rId19530" Type="http://schemas.openxmlformats.org/officeDocument/2006/relationships/hyperlink" Target="https://ref.ly/1Kgs8:10" TargetMode="External"/><Relationship Id="rId19531" Type="http://schemas.openxmlformats.org/officeDocument/2006/relationships/hyperlink" Target="https://ref.ly/Joel3:17-Joel3:21" TargetMode="External"/><Relationship Id="rId19532" Type="http://schemas.openxmlformats.org/officeDocument/2006/relationships/hyperlink" Target="https://ref.ly/Ps78:68" TargetMode="External"/><Relationship Id="rId19533" Type="http://schemas.openxmlformats.org/officeDocument/2006/relationships/hyperlink" Target="https://ref.ly/Ps132:13" TargetMode="External"/><Relationship Id="rId19534" Type="http://schemas.openxmlformats.org/officeDocument/2006/relationships/hyperlink" Target="https://ref.ly/Ps50:1-Ps50:2" TargetMode="External"/><Relationship Id="rId19535" Type="http://schemas.openxmlformats.org/officeDocument/2006/relationships/hyperlink" Target="https://ref.ly/Ps2:6" TargetMode="External"/><Relationship Id="rId19536" Type="http://schemas.openxmlformats.org/officeDocument/2006/relationships/hyperlink" Target="https://ref.ly/Ps48:1" TargetMode="External"/><Relationship Id="rId19537" Type="http://schemas.openxmlformats.org/officeDocument/2006/relationships/hyperlink" Target="https://ref.ly/Ps99:9" TargetMode="External"/><Relationship Id="rId19538" Type="http://schemas.openxmlformats.org/officeDocument/2006/relationships/hyperlink" Target="https://ref.ly/Isa2:2" TargetMode="External"/><Relationship Id="rId19539" Type="http://schemas.openxmlformats.org/officeDocument/2006/relationships/hyperlink" Target="https://ref.ly/Mic4:1" TargetMode="External"/><Relationship Id="rId19540" Type="http://schemas.openxmlformats.org/officeDocument/2006/relationships/hyperlink" Target="https://ref.ly/Ps48:1-Ps48:2" TargetMode="External"/><Relationship Id="rId19541" Type="http://schemas.openxmlformats.org/officeDocument/2006/relationships/hyperlink" Target="https://ref.ly/Ezek40:2" TargetMode="External"/><Relationship Id="rId19542" Type="http://schemas.openxmlformats.org/officeDocument/2006/relationships/hyperlink" Target="https://ref.ly/Ps46:1-Ps46:3" TargetMode="External"/><Relationship Id="rId19543" Type="http://schemas.openxmlformats.org/officeDocument/2006/relationships/hyperlink" Target="https://ref.ly/Ps42:1-Ps42:2" TargetMode="External"/><Relationship Id="rId19544" Type="http://schemas.openxmlformats.org/officeDocument/2006/relationships/hyperlink" Target="https://ref.ly/Ps125:1-Ps128:6" TargetMode="External"/><Relationship Id="rId19545" Type="http://schemas.openxmlformats.org/officeDocument/2006/relationships/hyperlink" Target="https://ref.ly/Ps65:1-Ps65:4" TargetMode="External"/><Relationship Id="rId19546" Type="http://schemas.openxmlformats.org/officeDocument/2006/relationships/hyperlink" Target="https://ref.ly/Isa18:7" TargetMode="External"/><Relationship Id="rId19547" Type="http://schemas.openxmlformats.org/officeDocument/2006/relationships/hyperlink" Target="https://ref.ly/Zeph3:9-Zeph3:10" TargetMode="External"/><Relationship Id="rId19548" Type="http://schemas.openxmlformats.org/officeDocument/2006/relationships/hyperlink" Target="https://ref.ly/Zech14:21" TargetMode="External"/><Relationship Id="rId19549" Type="http://schemas.openxmlformats.org/officeDocument/2006/relationships/hyperlink" Target="https://ref.ly/Isa2:1-Isa2:5" TargetMode="External"/><Relationship Id="rId19550" Type="http://schemas.openxmlformats.org/officeDocument/2006/relationships/hyperlink" Target="https://ref.ly/Mic4:1-Mic4:8" TargetMode="External"/><Relationship Id="rId19551" Type="http://schemas.openxmlformats.org/officeDocument/2006/relationships/hyperlink" Target="https://ref.ly/Heb11:10,Heb11:16" TargetMode="External"/><Relationship Id="rId19552" Type="http://schemas.openxmlformats.org/officeDocument/2006/relationships/hyperlink" Target="https://ref.ly/Heb12:22" TargetMode="External"/><Relationship Id="rId19553" Type="http://schemas.openxmlformats.org/officeDocument/2006/relationships/hyperlink" Target="https://ref.ly/Heb12:18-Heb12:24" TargetMode="External"/><Relationship Id="rId19554" Type="http://schemas.openxmlformats.org/officeDocument/2006/relationships/hyperlink" Target="https://ref.ly/Gal4:21-Gal4:27" TargetMode="External"/><Relationship Id="rId19555" Type="http://schemas.openxmlformats.org/officeDocument/2006/relationships/hyperlink" Target="https://ref.ly/Isa49:14-Isa49:23" TargetMode="External"/><Relationship Id="rId19556" Type="http://schemas.openxmlformats.org/officeDocument/2006/relationships/hyperlink" Target="https://ref.ly/Isa54:1" TargetMode="External"/><Relationship Id="rId19557" Type="http://schemas.openxmlformats.org/officeDocument/2006/relationships/hyperlink" Target="https://ref.ly/John4:5" TargetMode="External"/><Relationship Id="rId19558" Type="http://schemas.openxmlformats.org/officeDocument/2006/relationships/hyperlink" Target="https://ref.ly/John4:4" TargetMode="External"/><Relationship Id="rId19559" Type="http://schemas.openxmlformats.org/officeDocument/2006/relationships/hyperlink" Target="https://ref.ly/John4:27" TargetMode="External"/><Relationship Id="rId19560" Type="http://schemas.openxmlformats.org/officeDocument/2006/relationships/hyperlink" Target="https://ref.ly/John4:28-John4:30" TargetMode="External"/><Relationship Id="rId19561" Type="http://schemas.openxmlformats.org/officeDocument/2006/relationships/hyperlink" Target="https://ref.ly/Isa23:1-Isa23:2" TargetMode="External"/><Relationship Id="rId19562" Type="http://schemas.openxmlformats.org/officeDocument/2006/relationships/hyperlink" Target="https://ref.ly/2Sam24:6-2Sam24:7" TargetMode="External"/><Relationship Id="rId19563" Type="http://schemas.openxmlformats.org/officeDocument/2006/relationships/hyperlink" Target="https://ref.ly/1Kgs17:9" TargetMode="External"/><Relationship Id="rId19564" Type="http://schemas.openxmlformats.org/officeDocument/2006/relationships/hyperlink" Target="https://ref.ly/Isa23:2,Isa23:4,Isa23:12" TargetMode="External"/><Relationship Id="rId19565" Type="http://schemas.openxmlformats.org/officeDocument/2006/relationships/hyperlink" Target="https://ref.ly/Jer25:22" TargetMode="External"/><Relationship Id="rId19566" Type="http://schemas.openxmlformats.org/officeDocument/2006/relationships/hyperlink" Target="https://ref.ly/Jer27:3" TargetMode="External"/><Relationship Id="rId19567" Type="http://schemas.openxmlformats.org/officeDocument/2006/relationships/hyperlink" Target="https://ref.ly/Ezek27:8" TargetMode="External"/><Relationship Id="rId19568" Type="http://schemas.openxmlformats.org/officeDocument/2006/relationships/hyperlink" Target="https://ref.ly/Joel3:4" TargetMode="External"/><Relationship Id="rId19569" Type="http://schemas.openxmlformats.org/officeDocument/2006/relationships/hyperlink" Target="https://ref.ly/Gen10:15,Gen10:19" TargetMode="External"/><Relationship Id="rId19570" Type="http://schemas.openxmlformats.org/officeDocument/2006/relationships/hyperlink" Target="https://ref.ly/Hab3:1-Hab3:19" TargetMode="External"/><Relationship Id="rId19571" Type="http://schemas.openxmlformats.org/officeDocument/2006/relationships/hyperlink" Target="https://ref.ly/2Cor1:19" TargetMode="External"/><Relationship Id="rId19572" Type="http://schemas.openxmlformats.org/officeDocument/2006/relationships/hyperlink" Target="https://ref.ly/Acts15:34" TargetMode="External"/><Relationship Id="rId19573" Type="http://schemas.openxmlformats.org/officeDocument/2006/relationships/hyperlink" Target="https://ref.ly/Acts15:40" TargetMode="External"/><Relationship Id="rId19574" Type="http://schemas.openxmlformats.org/officeDocument/2006/relationships/hyperlink" Target="https://ref.ly/Acts16:19,Acts16:25,Acts16:29" TargetMode="External"/><Relationship Id="rId19575" Type="http://schemas.openxmlformats.org/officeDocument/2006/relationships/hyperlink" Target="https://ref.ly/Acts17:4,Acts17:10,Acts17:14-Acts17:15" TargetMode="External"/><Relationship Id="rId19576" Type="http://schemas.openxmlformats.org/officeDocument/2006/relationships/hyperlink" Target="https://ref.ly/Acts18:5" TargetMode="External"/><Relationship Id="rId19577" Type="http://schemas.openxmlformats.org/officeDocument/2006/relationships/hyperlink" Target="https://ref.ly/Josh18:1" TargetMode="External"/><Relationship Id="rId19578" Type="http://schemas.openxmlformats.org/officeDocument/2006/relationships/hyperlink" Target="https://ref.ly/Josh22:9-Josh22:34" TargetMode="External"/><Relationship Id="rId19579" Type="http://schemas.openxmlformats.org/officeDocument/2006/relationships/hyperlink" Target="https://ref.ly/1Sam1:3,1Sam1:9,1Sam1:24" TargetMode="External"/><Relationship Id="rId19580" Type="http://schemas.openxmlformats.org/officeDocument/2006/relationships/hyperlink" Target="https://ref.ly/1Sam2:14" TargetMode="External"/><Relationship Id="rId19581" Type="http://schemas.openxmlformats.org/officeDocument/2006/relationships/hyperlink" Target="https://ref.ly/1Sam3:21" TargetMode="External"/><Relationship Id="rId19582" Type="http://schemas.openxmlformats.org/officeDocument/2006/relationships/hyperlink" Target="https://ref.ly/1Sam4:1-1Sam4:18" TargetMode="External"/><Relationship Id="rId19583" Type="http://schemas.openxmlformats.org/officeDocument/2006/relationships/hyperlink" Target="https://ref.ly/Acts10:6" TargetMode="External"/><Relationship Id="rId19584" Type="http://schemas.openxmlformats.org/officeDocument/2006/relationships/hyperlink" Target="https://ref.ly/Acts10:15" TargetMode="External"/><Relationship Id="rId19585" Type="http://schemas.openxmlformats.org/officeDocument/2006/relationships/hyperlink" Target="https://ref.ly/Acts10:28-Acts10:29" TargetMode="External"/><Relationship Id="rId19586" Type="http://schemas.openxmlformats.org/officeDocument/2006/relationships/hyperlink" Target="https://ref.ly/Acts8:9" TargetMode="External"/><Relationship Id="rId19587" Type="http://schemas.openxmlformats.org/officeDocument/2006/relationships/hyperlink" Target="https://ref.ly/Gen29:33" TargetMode="External"/><Relationship Id="rId19588" Type="http://schemas.openxmlformats.org/officeDocument/2006/relationships/hyperlink" Target="https://ref.ly/Num1:23" TargetMode="External"/><Relationship Id="rId19589" Type="http://schemas.openxmlformats.org/officeDocument/2006/relationships/hyperlink" Target="https://ref.ly/Gen34:25" TargetMode="External"/><Relationship Id="rId19590" Type="http://schemas.openxmlformats.org/officeDocument/2006/relationships/hyperlink" Target="https://ref.ly/Luke2:25-Luke2:35" TargetMode="External"/><Relationship Id="rId19591" Type="http://schemas.openxmlformats.org/officeDocument/2006/relationships/hyperlink" Target="https://ref.ly/Acts15:14" TargetMode="External"/><Relationship Id="rId19592" Type="http://schemas.openxmlformats.org/officeDocument/2006/relationships/hyperlink" Target="https://ref.ly/Josh19:1,Josh19:9" TargetMode="External"/><Relationship Id="rId19593" Type="http://schemas.openxmlformats.org/officeDocument/2006/relationships/hyperlink" Target="https://ref.ly/Judg1:3" TargetMode="External"/><Relationship Id="rId19594" Type="http://schemas.openxmlformats.org/officeDocument/2006/relationships/hyperlink" Target="https://ref.ly/Josh21:9-Josh21:16" TargetMode="External"/><Relationship Id="rId19595" Type="http://schemas.openxmlformats.org/officeDocument/2006/relationships/hyperlink" Target="https://ref.ly/1Chr4:24-1Chr4:42" TargetMode="External"/><Relationship Id="rId19596" Type="http://schemas.openxmlformats.org/officeDocument/2006/relationships/hyperlink" Target="https://ref.ly/1Chr4:24-1Chr4:43" TargetMode="External"/><Relationship Id="rId19597" Type="http://schemas.openxmlformats.org/officeDocument/2006/relationships/hyperlink" Target="https://ref.ly/2Chr15:9" TargetMode="External"/><Relationship Id="rId19598" Type="http://schemas.openxmlformats.org/officeDocument/2006/relationships/hyperlink" Target="https://ref.ly/1Chr4:28-1Chr4:33" TargetMode="External"/><Relationship Id="rId19599" Type="http://schemas.openxmlformats.org/officeDocument/2006/relationships/hyperlink" Target="https://ref.ly/Gen25:13-Gen25:14" TargetMode="External"/><Relationship Id="rId19600" Type="http://schemas.openxmlformats.org/officeDocument/2006/relationships/hyperlink" Target="https://ref.ly/1Chr1:29-1Chr1:30" TargetMode="External"/><Relationship Id="rId19601" Type="http://schemas.openxmlformats.org/officeDocument/2006/relationships/hyperlink" Target="https://ref.ly/Rev7:7" TargetMode="External"/><Relationship Id="rId19602" Type="http://schemas.openxmlformats.org/officeDocument/2006/relationships/hyperlink" Target="https://ref.ly/1Chr6:17" TargetMode="External"/><Relationship Id="rId19603" Type="http://schemas.openxmlformats.org/officeDocument/2006/relationships/hyperlink" Target="https://ref.ly/1Chr23:7,1Chr23:10" TargetMode="External"/><Relationship Id="rId19604" Type="http://schemas.openxmlformats.org/officeDocument/2006/relationships/hyperlink" Target="https://ref.ly/Zech12:13" TargetMode="External"/><Relationship Id="rId19605" Type="http://schemas.openxmlformats.org/officeDocument/2006/relationships/hyperlink" Target="https://ref.ly/2Sam19:16-2Sam19:23" TargetMode="External"/><Relationship Id="rId19606" Type="http://schemas.openxmlformats.org/officeDocument/2006/relationships/hyperlink" Target="https://ref.ly/1Kgs2:8,1Kgs2:36-1Kgs2:44" TargetMode="External"/><Relationship Id="rId19607" Type="http://schemas.openxmlformats.org/officeDocument/2006/relationships/hyperlink" Target="https://ref.ly/1Kgs1:8" TargetMode="External"/><Relationship Id="rId19608" Type="http://schemas.openxmlformats.org/officeDocument/2006/relationships/hyperlink" Target="https://ref.ly/1Chr4:26-1Chr4:27" TargetMode="External"/><Relationship Id="rId19609" Type="http://schemas.openxmlformats.org/officeDocument/2006/relationships/hyperlink" Target="https://ref.ly/1Chr5:4" TargetMode="External"/><Relationship Id="rId19610" Type="http://schemas.openxmlformats.org/officeDocument/2006/relationships/hyperlink" Target="https://ref.ly/1Chr8:21" TargetMode="External"/><Relationship Id="rId19611" Type="http://schemas.openxmlformats.org/officeDocument/2006/relationships/hyperlink" Target="https://ref.ly/1Chr25:3,1Chr25:17" TargetMode="External"/><Relationship Id="rId19612" Type="http://schemas.openxmlformats.org/officeDocument/2006/relationships/hyperlink" Target="https://ref.ly/1Chr27:27" TargetMode="External"/><Relationship Id="rId19613" Type="http://schemas.openxmlformats.org/officeDocument/2006/relationships/hyperlink" Target="https://ref.ly/2Chr31:12-2Chr31:13" TargetMode="External"/><Relationship Id="rId19614" Type="http://schemas.openxmlformats.org/officeDocument/2006/relationships/hyperlink" Target="https://ref.ly/Ezra10:23,Ezra10:33,Ezra10:38" TargetMode="External"/><Relationship Id="rId19615" Type="http://schemas.openxmlformats.org/officeDocument/2006/relationships/hyperlink" Target="https://ref.ly/Num26:14" TargetMode="External"/><Relationship Id="rId19616" Type="http://schemas.openxmlformats.org/officeDocument/2006/relationships/hyperlink" Target="https://ref.ly/Lev7:38" TargetMode="External"/><Relationship Id="rId19617" Type="http://schemas.openxmlformats.org/officeDocument/2006/relationships/hyperlink" Target="https://ref.ly/1Kgs8:9" TargetMode="External"/><Relationship Id="rId19618" Type="http://schemas.openxmlformats.org/officeDocument/2006/relationships/hyperlink" Target="https://ref.ly/1Kgs19:8" TargetMode="External"/><Relationship Id="rId19619" Type="http://schemas.openxmlformats.org/officeDocument/2006/relationships/hyperlink" Target="https://ref.ly/2Chr5:10" TargetMode="External"/><Relationship Id="rId19620" Type="http://schemas.openxmlformats.org/officeDocument/2006/relationships/hyperlink" Target="https://ref.ly/Ps106:19" TargetMode="External"/><Relationship Id="rId19621" Type="http://schemas.openxmlformats.org/officeDocument/2006/relationships/hyperlink" Target="https://ref.ly/Exod34:1-Exod34:35" TargetMode="External"/><Relationship Id="rId19622" Type="http://schemas.openxmlformats.org/officeDocument/2006/relationships/hyperlink" Target="https://ref.ly/Ps68:8,Ps68:17" TargetMode="External"/><Relationship Id="rId19623" Type="http://schemas.openxmlformats.org/officeDocument/2006/relationships/hyperlink" Target="https://ref.ly/Neh9:13" TargetMode="External"/><Relationship Id="rId19624" Type="http://schemas.openxmlformats.org/officeDocument/2006/relationships/hyperlink" Target="https://ref.ly/Acts7:30,Acts7:38" TargetMode="External"/><Relationship Id="rId19625" Type="http://schemas.openxmlformats.org/officeDocument/2006/relationships/hyperlink" Target="https://ref.ly/Gal4:21-Gal4:26" TargetMode="External"/><Relationship Id="rId19626" Type="http://schemas.openxmlformats.org/officeDocument/2006/relationships/hyperlink" Target="https://ref.ly/Ezek20:1" TargetMode="External"/><Relationship Id="rId19627" Type="http://schemas.openxmlformats.org/officeDocument/2006/relationships/hyperlink" Target="https://ref.ly/Neh8:1-Neh8:8" TargetMode="External"/><Relationship Id="rId19628" Type="http://schemas.openxmlformats.org/officeDocument/2006/relationships/hyperlink" Target="https://ref.ly/John18:20" TargetMode="External"/><Relationship Id="rId19629" Type="http://schemas.openxmlformats.org/officeDocument/2006/relationships/hyperlink" Target="https://ref.ly/Luke4:16-Luke4:22" TargetMode="External"/><Relationship Id="rId19630" Type="http://schemas.openxmlformats.org/officeDocument/2006/relationships/hyperlink" Target="https://ref.ly/Acts15:21" TargetMode="External"/><Relationship Id="rId19631" Type="http://schemas.openxmlformats.org/officeDocument/2006/relationships/hyperlink" Target="https://ref.ly/Acts22:19" TargetMode="External"/><Relationship Id="rId19632" Type="http://schemas.openxmlformats.org/officeDocument/2006/relationships/hyperlink" Target="https://ref.ly/Jer10:2" TargetMode="External"/><Relationship Id="rId19633" Type="http://schemas.openxmlformats.org/officeDocument/2006/relationships/hyperlink" Target="https://ref.ly/Deut6:22" TargetMode="External"/><Relationship Id="rId19634" Type="http://schemas.openxmlformats.org/officeDocument/2006/relationships/hyperlink" Target="https://ref.ly/Neh9:10" TargetMode="External"/><Relationship Id="rId19635" Type="http://schemas.openxmlformats.org/officeDocument/2006/relationships/hyperlink" Target="https://ref.ly/Ps105:27" TargetMode="External"/><Relationship Id="rId19636" Type="http://schemas.openxmlformats.org/officeDocument/2006/relationships/hyperlink" Target="https://ref.ly/Jer32:20" TargetMode="External"/><Relationship Id="rId19637" Type="http://schemas.openxmlformats.org/officeDocument/2006/relationships/hyperlink" Target="https://ref.ly/Exod4:1-Exod4:8" TargetMode="External"/><Relationship Id="rId19638" Type="http://schemas.openxmlformats.org/officeDocument/2006/relationships/hyperlink" Target="https://ref.ly/2Kgs20:8-2Kgs20:9" TargetMode="External"/><Relationship Id="rId19639" Type="http://schemas.openxmlformats.org/officeDocument/2006/relationships/hyperlink" Target="https://ref.ly/Isa38:21-Isa38:22" TargetMode="External"/><Relationship Id="rId19640" Type="http://schemas.openxmlformats.org/officeDocument/2006/relationships/hyperlink" Target="https://ref.ly/1Sam14:10" TargetMode="External"/><Relationship Id="rId19641" Type="http://schemas.openxmlformats.org/officeDocument/2006/relationships/hyperlink" Target="https://ref.ly/2Kgs19:29" TargetMode="External"/><Relationship Id="rId19642" Type="http://schemas.openxmlformats.org/officeDocument/2006/relationships/hyperlink" Target="https://ref.ly/Isa37:30" TargetMode="External"/><Relationship Id="rId19643" Type="http://schemas.openxmlformats.org/officeDocument/2006/relationships/hyperlink" Target="https://ref.ly/1Sam10:7-1Sam10:9" TargetMode="External"/><Relationship Id="rId19644" Type="http://schemas.openxmlformats.org/officeDocument/2006/relationships/hyperlink" Target="https://ref.ly/Mark13:4" TargetMode="External"/><Relationship Id="rId19645" Type="http://schemas.openxmlformats.org/officeDocument/2006/relationships/hyperlink" Target="https://ref.ly/Acts4:30" TargetMode="External"/><Relationship Id="rId19646" Type="http://schemas.openxmlformats.org/officeDocument/2006/relationships/hyperlink" Target="https://ref.ly/Acts14:3" TargetMode="External"/><Relationship Id="rId19647" Type="http://schemas.openxmlformats.org/officeDocument/2006/relationships/hyperlink" Target="https://ref.ly/Luke11:19" TargetMode="External"/><Relationship Id="rId19648" Type="http://schemas.openxmlformats.org/officeDocument/2006/relationships/hyperlink" Target="https://ref.ly/John2:23" TargetMode="External"/><Relationship Id="rId19649" Type="http://schemas.openxmlformats.org/officeDocument/2006/relationships/hyperlink" Target="https://ref.ly/Dan1:2" TargetMode="External"/><Relationship Id="rId19650" Type="http://schemas.openxmlformats.org/officeDocument/2006/relationships/hyperlink" Target="https://ref.ly/Gen11:2" TargetMode="External"/><Relationship Id="rId19651" Type="http://schemas.openxmlformats.org/officeDocument/2006/relationships/hyperlink" Target="https://ref.ly/Gen9:1-Gen9:29" TargetMode="External"/><Relationship Id="rId19652" Type="http://schemas.openxmlformats.org/officeDocument/2006/relationships/hyperlink" Target="https://ref.ly/Zech5:11" TargetMode="External"/><Relationship Id="rId19653" Type="http://schemas.openxmlformats.org/officeDocument/2006/relationships/hyperlink" Target="https://ref.ly/Num11:16" TargetMode="External"/><Relationship Id="rId19654" Type="http://schemas.openxmlformats.org/officeDocument/2006/relationships/hyperlink" Target="https://ref.ly/2Kgs23:1" TargetMode="External"/><Relationship Id="rId19655" Type="http://schemas.openxmlformats.org/officeDocument/2006/relationships/hyperlink" Target="https://ref.ly/Neh2:16" TargetMode="External"/><Relationship Id="rId19656" Type="http://schemas.openxmlformats.org/officeDocument/2006/relationships/hyperlink" Target="https://ref.ly/Acts5:24-Acts5:26" TargetMode="External"/><Relationship Id="rId19657" Type="http://schemas.openxmlformats.org/officeDocument/2006/relationships/hyperlink" Target="https://ref.ly/Acts23:2" TargetMode="External"/><Relationship Id="rId19658" Type="http://schemas.openxmlformats.org/officeDocument/2006/relationships/hyperlink" Target="https://ref.ly/Matt26:65" TargetMode="External"/><Relationship Id="rId19659" Type="http://schemas.openxmlformats.org/officeDocument/2006/relationships/hyperlink" Target="https://ref.ly/Acts7:58-Acts7:60" TargetMode="External"/><Relationship Id="rId19660" Type="http://schemas.openxmlformats.org/officeDocument/2006/relationships/hyperlink" Target="https://ref.ly/John18:31" TargetMode="External"/><Relationship Id="rId19661" Type="http://schemas.openxmlformats.org/officeDocument/2006/relationships/hyperlink" Target="https://ref.ly/Gen34:20,Gen34:24" TargetMode="External"/><Relationship Id="rId19662" Type="http://schemas.openxmlformats.org/officeDocument/2006/relationships/hyperlink" Target="https://ref.ly/Gen37:12-Gen37:14" TargetMode="External"/><Relationship Id="rId19663" Type="http://schemas.openxmlformats.org/officeDocument/2006/relationships/hyperlink" Target="https://ref.ly/Josh21:21" TargetMode="External"/><Relationship Id="rId19664" Type="http://schemas.openxmlformats.org/officeDocument/2006/relationships/hyperlink" Target="https://ref.ly/Josh24:1,Josh24:25" TargetMode="External"/><Relationship Id="rId19665" Type="http://schemas.openxmlformats.org/officeDocument/2006/relationships/hyperlink" Target="https://ref.ly/Judg9:1-Judg9:7,Judg9:23-Judg9:57" TargetMode="External"/><Relationship Id="rId19666" Type="http://schemas.openxmlformats.org/officeDocument/2006/relationships/hyperlink" Target="https://ref.ly/1Kgs12:1" TargetMode="External"/><Relationship Id="rId19667" Type="http://schemas.openxmlformats.org/officeDocument/2006/relationships/hyperlink" Target="https://ref.ly/Judg9:3-Judg9:4,Judg9:46" TargetMode="External"/><Relationship Id="rId19668" Type="http://schemas.openxmlformats.org/officeDocument/2006/relationships/hyperlink" Target="https://ref.ly/Acts28:12" TargetMode="External"/><Relationship Id="rId19669" Type="http://schemas.openxmlformats.org/officeDocument/2006/relationships/hyperlink" Target="https://ref.ly/Acts28:1-Acts28:31" TargetMode="External"/><Relationship Id="rId19670" Type="http://schemas.openxmlformats.org/officeDocument/2006/relationships/hyperlink" Target="https://ref.ly/Gen22:20-Gen22:21" TargetMode="External"/><Relationship Id="rId19671" Type="http://schemas.openxmlformats.org/officeDocument/2006/relationships/hyperlink" Target="https://ref.ly/Isa22:6" TargetMode="External"/><Relationship Id="rId19672" Type="http://schemas.openxmlformats.org/officeDocument/2006/relationships/hyperlink" Target="https://ref.ly/Gen28:1-Gen28:7" TargetMode="External"/><Relationship Id="rId19673" Type="http://schemas.openxmlformats.org/officeDocument/2006/relationships/hyperlink" Target="https://ref.ly/2Sam8:3-2Sam8:4" TargetMode="External"/><Relationship Id="rId19674" Type="http://schemas.openxmlformats.org/officeDocument/2006/relationships/hyperlink" Target="https://ref.ly/2Sam10:17-2Sam10:19" TargetMode="External"/><Relationship Id="rId19675" Type="http://schemas.openxmlformats.org/officeDocument/2006/relationships/hyperlink" Target="https://ref.ly/1Kgs20:1" TargetMode="External"/><Relationship Id="rId19676" Type="http://schemas.openxmlformats.org/officeDocument/2006/relationships/hyperlink" Target="https://ref.ly/1Kgs20:26" TargetMode="External"/><Relationship Id="rId19677" Type="http://schemas.openxmlformats.org/officeDocument/2006/relationships/hyperlink" Target="https://ref.ly/1Kgs22:29-1Kgs22:37" TargetMode="External"/><Relationship Id="rId19678" Type="http://schemas.openxmlformats.org/officeDocument/2006/relationships/hyperlink" Target="https://ref.ly/Mark5:41" TargetMode="External"/><Relationship Id="rId19679" Type="http://schemas.openxmlformats.org/officeDocument/2006/relationships/hyperlink" Target="https://ref.ly/2Kgs16:10-2Kgs16:13" TargetMode="External"/><Relationship Id="rId19680" Type="http://schemas.openxmlformats.org/officeDocument/2006/relationships/hyperlink" Target="https://ref.ly/2Kgs17:24-2Kgs17:34" TargetMode="External"/><Relationship Id="rId19681" Type="http://schemas.openxmlformats.org/officeDocument/2006/relationships/hyperlink" Target="https://ref.ly/Matt15:22" TargetMode="External"/><Relationship Id="rId19682" Type="http://schemas.openxmlformats.org/officeDocument/2006/relationships/hyperlink" Target="https://ref.ly/Acts27:17" TargetMode="External"/><Relationship Id="rId19683" Type="http://schemas.openxmlformats.org/officeDocument/2006/relationships/hyperlink" Target="https://ref.ly/Judg5:19-Judg5:30" TargetMode="External"/><Relationship Id="rId19684" Type="http://schemas.openxmlformats.org/officeDocument/2006/relationships/hyperlink" Target="https://ref.ly/Ezra2:53" TargetMode="External"/><Relationship Id="rId19685" Type="http://schemas.openxmlformats.org/officeDocument/2006/relationships/hyperlink" Target="https://ref.ly/Neh7:55" TargetMode="External"/><Relationship Id="rId19686" Type="http://schemas.openxmlformats.org/officeDocument/2006/relationships/hyperlink" Target="https://ref.ly/Num31:15-Num31:16" TargetMode="External"/><Relationship Id="rId19687" Type="http://schemas.openxmlformats.org/officeDocument/2006/relationships/hyperlink" Target="https://ref.ly/1Cor10:6-1Cor10:8" TargetMode="External"/><Relationship Id="rId19688" Type="http://schemas.openxmlformats.org/officeDocument/2006/relationships/hyperlink" Target="https://ref.ly/Num27:18-Num27:22" TargetMode="External"/><Relationship Id="rId19689" Type="http://schemas.openxmlformats.org/officeDocument/2006/relationships/hyperlink" Target="https://ref.ly/Josh3:1" TargetMode="External"/><Relationship Id="rId19690" Type="http://schemas.openxmlformats.org/officeDocument/2006/relationships/hyperlink" Target="https://ref.ly/Gen26:21-Gen26:22" TargetMode="External"/><Relationship Id="rId19691" Type="http://schemas.openxmlformats.org/officeDocument/2006/relationships/hyperlink" Target="https://ref.ly/1Chr2:50-1Chr2:52" TargetMode="External"/><Relationship Id="rId19692" Type="http://schemas.openxmlformats.org/officeDocument/2006/relationships/hyperlink" Target="https://ref.ly/1Chr4:1-1Chr4:2" TargetMode="External"/><Relationship Id="rId19693" Type="http://schemas.openxmlformats.org/officeDocument/2006/relationships/hyperlink" Target="https://ref.ly/Isa1:9-Isa1:10" TargetMode="External"/><Relationship Id="rId19694" Type="http://schemas.openxmlformats.org/officeDocument/2006/relationships/hyperlink" Target="https://ref.ly/Jer49:18" TargetMode="External"/><Relationship Id="rId19695" Type="http://schemas.openxmlformats.org/officeDocument/2006/relationships/hyperlink" Target="https://ref.ly/Lam4:6" TargetMode="External"/><Relationship Id="rId19696" Type="http://schemas.openxmlformats.org/officeDocument/2006/relationships/hyperlink" Target="https://ref.ly/Amos4:11" TargetMode="External"/><Relationship Id="rId19697" Type="http://schemas.openxmlformats.org/officeDocument/2006/relationships/hyperlink" Target="https://ref.ly/Luke10:12" TargetMode="External"/><Relationship Id="rId19698" Type="http://schemas.openxmlformats.org/officeDocument/2006/relationships/hyperlink" Target="https://ref.ly/Gen14:1-Gen14:5" TargetMode="External"/><Relationship Id="rId19699" Type="http://schemas.openxmlformats.org/officeDocument/2006/relationships/hyperlink" Target="https://ref.ly/Gen18:20-Gen18:33" TargetMode="External"/><Relationship Id="rId19700" Type="http://schemas.openxmlformats.org/officeDocument/2006/relationships/hyperlink" Target="https://ref.ly/Gen3:16-Gen3:19" TargetMode="External"/><Relationship Id="rId19701" Type="http://schemas.openxmlformats.org/officeDocument/2006/relationships/hyperlink" Target="https://ref.ly/Rom8:18-Rom8:21" TargetMode="External"/><Relationship Id="rId19702" Type="http://schemas.openxmlformats.org/officeDocument/2006/relationships/hyperlink" Target="https://ref.ly/Job14:1-Job14:6" TargetMode="External"/><Relationship Id="rId19703" Type="http://schemas.openxmlformats.org/officeDocument/2006/relationships/hyperlink" Target="https://ref.ly/2Chr20:9" TargetMode="External"/><Relationship Id="rId19704" Type="http://schemas.openxmlformats.org/officeDocument/2006/relationships/hyperlink" Target="https://ref.ly/Exod4:31" TargetMode="External"/><Relationship Id="rId19705" Type="http://schemas.openxmlformats.org/officeDocument/2006/relationships/hyperlink" Target="https://ref.ly/Neh9:26-Neh9:27" TargetMode="External"/><Relationship Id="rId19706" Type="http://schemas.openxmlformats.org/officeDocument/2006/relationships/hyperlink" Target="https://ref.ly/Isa26:16" TargetMode="External"/><Relationship Id="rId19707" Type="http://schemas.openxmlformats.org/officeDocument/2006/relationships/hyperlink" Target="https://ref.ly/Jer10:18" TargetMode="External"/><Relationship Id="rId19708" Type="http://schemas.openxmlformats.org/officeDocument/2006/relationships/hyperlink" Target="https://ref.ly/Ps34:19" TargetMode="External"/><Relationship Id="rId19709" Type="http://schemas.openxmlformats.org/officeDocument/2006/relationships/hyperlink" Target="https://ref.ly/Ps37:39" TargetMode="External"/><Relationship Id="rId19710" Type="http://schemas.openxmlformats.org/officeDocument/2006/relationships/hyperlink" Target="https://ref.ly/Ps138:7" TargetMode="External"/><Relationship Id="rId19711" Type="http://schemas.openxmlformats.org/officeDocument/2006/relationships/hyperlink" Target="https://ref.ly/Isa53:2-Isa53:12" TargetMode="External"/><Relationship Id="rId19712" Type="http://schemas.openxmlformats.org/officeDocument/2006/relationships/hyperlink" Target="https://ref.ly/Col1:24" TargetMode="External"/><Relationship Id="rId19713" Type="http://schemas.openxmlformats.org/officeDocument/2006/relationships/hyperlink" Target="https://ref.ly/Matt24:9-Matt24:14" TargetMode="External"/><Relationship Id="rId19714" Type="http://schemas.openxmlformats.org/officeDocument/2006/relationships/hyperlink" Target="https://ref.ly/2Tim3:13" TargetMode="External"/><Relationship Id="rId19715" Type="http://schemas.openxmlformats.org/officeDocument/2006/relationships/hyperlink" Target="https://ref.ly/2Thess2:9-2Thess2:12" TargetMode="External"/><Relationship Id="rId19716" Type="http://schemas.openxmlformats.org/officeDocument/2006/relationships/hyperlink" Target="https://ref.ly/Rev20:7-Rev20:9" TargetMode="External"/><Relationship Id="rId19717" Type="http://schemas.openxmlformats.org/officeDocument/2006/relationships/hyperlink" Target="https://ref.ly/2Thess2:7-2Thess2:8" TargetMode="External"/><Relationship Id="rId19718" Type="http://schemas.openxmlformats.org/officeDocument/2006/relationships/hyperlink" Target="https://ref.ly/Gen1:14-Gen1:15" TargetMode="External"/><Relationship Id="rId19719" Type="http://schemas.openxmlformats.org/officeDocument/2006/relationships/hyperlink" Target="https://ref.ly/Exod29:39" TargetMode="External"/><Relationship Id="rId19720" Type="http://schemas.openxmlformats.org/officeDocument/2006/relationships/hyperlink" Target="https://ref.ly/Num28:4" TargetMode="External"/><Relationship Id="rId19721" Type="http://schemas.openxmlformats.org/officeDocument/2006/relationships/hyperlink" Target="https://ref.ly/Gen8:22" TargetMode="External"/><Relationship Id="rId19722" Type="http://schemas.openxmlformats.org/officeDocument/2006/relationships/hyperlink" Target="https://ref.ly/Song2:11" TargetMode="External"/><Relationship Id="rId19723" Type="http://schemas.openxmlformats.org/officeDocument/2006/relationships/hyperlink" Target="https://ref.ly/Ps19:4-Ps19:5" TargetMode="External"/><Relationship Id="rId19724" Type="http://schemas.openxmlformats.org/officeDocument/2006/relationships/hyperlink" Target="https://ref.ly/Ps19:7" TargetMode="External"/><Relationship Id="rId19725" Type="http://schemas.openxmlformats.org/officeDocument/2006/relationships/hyperlink" Target="https://ref.ly/Ps84:11" TargetMode="External"/><Relationship Id="rId19726" Type="http://schemas.openxmlformats.org/officeDocument/2006/relationships/hyperlink" Target="https://ref.ly/Eccl1:3" TargetMode="External"/><Relationship Id="rId19727" Type="http://schemas.openxmlformats.org/officeDocument/2006/relationships/hyperlink" Target="https://ref.ly/Eccl2:11" TargetMode="External"/><Relationship Id="rId19728" Type="http://schemas.openxmlformats.org/officeDocument/2006/relationships/hyperlink" Target="https://ref.ly/Rev8:12" TargetMode="External"/><Relationship Id="rId19729" Type="http://schemas.openxmlformats.org/officeDocument/2006/relationships/hyperlink" Target="https://ref.ly/1Sam28:6,1Sam28:15" TargetMode="External"/><Relationship Id="rId19730" Type="http://schemas.openxmlformats.org/officeDocument/2006/relationships/hyperlink" Target="https://ref.ly/Gen41:7,Gen41:25,Gen41:28,Gen41:39" TargetMode="External"/><Relationship Id="rId19731" Type="http://schemas.openxmlformats.org/officeDocument/2006/relationships/hyperlink" Target="https://ref.ly/Dan2:27-Dan2:28" TargetMode="External"/><Relationship Id="rId19732" Type="http://schemas.openxmlformats.org/officeDocument/2006/relationships/hyperlink" Target="https://ref.ly/Job33:15" TargetMode="External"/><Relationship Id="rId19733" Type="http://schemas.openxmlformats.org/officeDocument/2006/relationships/hyperlink" Target="https://ref.ly/Job20:8" TargetMode="External"/><Relationship Id="rId19734" Type="http://schemas.openxmlformats.org/officeDocument/2006/relationships/hyperlink" Target="https://ref.ly/Ps73:20" TargetMode="External"/><Relationship Id="rId19735" Type="http://schemas.openxmlformats.org/officeDocument/2006/relationships/hyperlink" Target="https://ref.ly/Isa29:7-Isa29:8" TargetMode="External"/><Relationship Id="rId19736" Type="http://schemas.openxmlformats.org/officeDocument/2006/relationships/hyperlink" Target="https://ref.ly/Gen31:10-Gen31:13" TargetMode="External"/><Relationship Id="rId19737" Type="http://schemas.openxmlformats.org/officeDocument/2006/relationships/hyperlink" Target="https://ref.ly/Gen37:5-Gen37:20" TargetMode="External"/><Relationship Id="rId19738" Type="http://schemas.openxmlformats.org/officeDocument/2006/relationships/hyperlink" Target="https://ref.ly/Gen40:1-Gen41:57" TargetMode="External"/><Relationship Id="rId19739" Type="http://schemas.openxmlformats.org/officeDocument/2006/relationships/hyperlink" Target="https://ref.ly/Dan4:19-Dan4:27" TargetMode="External"/><Relationship Id="rId19740" Type="http://schemas.openxmlformats.org/officeDocument/2006/relationships/hyperlink" Target="https://ref.ly/Judg7:13-Judg7:15" TargetMode="External"/><Relationship Id="rId19741" Type="http://schemas.openxmlformats.org/officeDocument/2006/relationships/hyperlink" Target="https://ref.ly/1Kgs3:9,1Kgs3:15" TargetMode="External"/><Relationship Id="rId19742" Type="http://schemas.openxmlformats.org/officeDocument/2006/relationships/hyperlink" Target="https://ref.ly/Jer23:25-Jer23:32" TargetMode="External"/><Relationship Id="rId19743" Type="http://schemas.openxmlformats.org/officeDocument/2006/relationships/hyperlink" Target="https://ref.ly/Zech10:2" TargetMode="External"/><Relationship Id="rId19744" Type="http://schemas.openxmlformats.org/officeDocument/2006/relationships/hyperlink" Target="https://ref.ly/Jer23:32" TargetMode="External"/><Relationship Id="rId19745" Type="http://schemas.openxmlformats.org/officeDocument/2006/relationships/hyperlink" Target="https://ref.ly/Jer27:9-Jer27:10" TargetMode="External"/><Relationship Id="rId19746" Type="http://schemas.openxmlformats.org/officeDocument/2006/relationships/hyperlink" Target="https://ref.ly/Jer29:8-Jer29:9" TargetMode="External"/><Relationship Id="rId19747" Type="http://schemas.openxmlformats.org/officeDocument/2006/relationships/hyperlink" Target="https://ref.ly/Matt1:19-Matt1:23" TargetMode="External"/><Relationship Id="rId19748" Type="http://schemas.openxmlformats.org/officeDocument/2006/relationships/hyperlink" Target="https://ref.ly/Matt2:12" TargetMode="External"/><Relationship Id="rId19749" Type="http://schemas.openxmlformats.org/officeDocument/2006/relationships/hyperlink" Target="https://ref.ly/Matt2:20" TargetMode="External"/><Relationship Id="rId19750" Type="http://schemas.openxmlformats.org/officeDocument/2006/relationships/hyperlink" Target="https://ref.ly/Lev16:8-Lev16:10" TargetMode="External"/><Relationship Id="rId19751" Type="http://schemas.openxmlformats.org/officeDocument/2006/relationships/hyperlink" Target="https://ref.ly/Josh14:2" TargetMode="External"/><Relationship Id="rId19752" Type="http://schemas.openxmlformats.org/officeDocument/2006/relationships/hyperlink" Target="https://ref.ly/Judg20:9" TargetMode="External"/><Relationship Id="rId19753" Type="http://schemas.openxmlformats.org/officeDocument/2006/relationships/hyperlink" Target="https://ref.ly/Neh11:1" TargetMode="External"/><Relationship Id="rId19754" Type="http://schemas.openxmlformats.org/officeDocument/2006/relationships/hyperlink" Target="https://ref.ly/1Chr24:5-1Chr24:19" TargetMode="External"/><Relationship Id="rId19755" Type="http://schemas.openxmlformats.org/officeDocument/2006/relationships/hyperlink" Target="https://ref.ly/Neh10:34" TargetMode="External"/><Relationship Id="rId19756" Type="http://schemas.openxmlformats.org/officeDocument/2006/relationships/hyperlink" Target="https://ref.ly/Josh7:14-Josh7:18" TargetMode="External"/><Relationship Id="rId19757" Type="http://schemas.openxmlformats.org/officeDocument/2006/relationships/hyperlink" Target="https://ref.ly/Prov18:18" TargetMode="External"/><Relationship Id="rId19758" Type="http://schemas.openxmlformats.org/officeDocument/2006/relationships/hyperlink" Target="https://ref.ly/Lev16:8" TargetMode="External"/><Relationship Id="rId19759" Type="http://schemas.openxmlformats.org/officeDocument/2006/relationships/hyperlink" Target="https://ref.ly/Isa34:17" TargetMode="External"/><Relationship Id="rId19760" Type="http://schemas.openxmlformats.org/officeDocument/2006/relationships/hyperlink" Target="https://ref.ly/Matt27:35" TargetMode="External"/><Relationship Id="rId19761" Type="http://schemas.openxmlformats.org/officeDocument/2006/relationships/hyperlink" Target="https://ref.ly/Gen38:2-Gen38:5,Gen38:12" TargetMode="External"/><Relationship Id="rId19762" Type="http://schemas.openxmlformats.org/officeDocument/2006/relationships/hyperlink" Target="https://ref.ly/1Chr7:32" TargetMode="External"/><Relationship Id="rId19763" Type="http://schemas.openxmlformats.org/officeDocument/2006/relationships/hyperlink" Target="https://ref.ly/Deut16:19" TargetMode="External"/><Relationship Id="rId19764" Type="http://schemas.openxmlformats.org/officeDocument/2006/relationships/hyperlink" Target="https://ref.ly/1Sam8:3" TargetMode="External"/><Relationship Id="rId19765" Type="http://schemas.openxmlformats.org/officeDocument/2006/relationships/hyperlink" Target="https://ref.ly/Prov21:14" TargetMode="External"/><Relationship Id="rId19766" Type="http://schemas.openxmlformats.org/officeDocument/2006/relationships/hyperlink" Target="https://ref.ly/Prov17:23" TargetMode="External"/><Relationship Id="rId19767" Type="http://schemas.openxmlformats.org/officeDocument/2006/relationships/hyperlink" Target="https://ref.ly/Ps15:5" TargetMode="External"/><Relationship Id="rId19768" Type="http://schemas.openxmlformats.org/officeDocument/2006/relationships/hyperlink" Target="https://ref.ly/Isa5:23" TargetMode="External"/><Relationship Id="rId19769" Type="http://schemas.openxmlformats.org/officeDocument/2006/relationships/hyperlink" Target="https://ref.ly/Deut27:25" TargetMode="External"/><Relationship Id="rId19770" Type="http://schemas.openxmlformats.org/officeDocument/2006/relationships/hyperlink" Target="https://ref.ly/Ps60:6" TargetMode="External"/><Relationship Id="rId19771" Type="http://schemas.openxmlformats.org/officeDocument/2006/relationships/hyperlink" Target="https://ref.ly/Ps108:7" TargetMode="External"/><Relationship Id="rId19772" Type="http://schemas.openxmlformats.org/officeDocument/2006/relationships/hyperlink" Target="https://ref.ly/Judg8:5-Judg8:9" TargetMode="External"/><Relationship Id="rId19773" Type="http://schemas.openxmlformats.org/officeDocument/2006/relationships/hyperlink" Target="https://ref.ly/Judg8:13-Judg8:17" TargetMode="External"/><Relationship Id="rId19774" Type="http://schemas.openxmlformats.org/officeDocument/2006/relationships/hyperlink" Target="https://ref.ly/1Kgs7:46" TargetMode="External"/><Relationship Id="rId19775" Type="http://schemas.openxmlformats.org/officeDocument/2006/relationships/hyperlink" Target="https://ref.ly/2Chr4:17" TargetMode="External"/><Relationship Id="rId19776" Type="http://schemas.openxmlformats.org/officeDocument/2006/relationships/hyperlink" Target="https://ref.ly/2Sam11:11" TargetMode="External"/><Relationship Id="rId19777" Type="http://schemas.openxmlformats.org/officeDocument/2006/relationships/hyperlink" Target="https://ref.ly/1Kgs20:12,1Kgs20:16" TargetMode="External"/><Relationship Id="rId19778" Type="http://schemas.openxmlformats.org/officeDocument/2006/relationships/hyperlink" Target="https://ref.ly/Num33:5-Num33:6" TargetMode="External"/><Relationship Id="rId19779" Type="http://schemas.openxmlformats.org/officeDocument/2006/relationships/hyperlink" Target="https://ref.ly/Gen39:4-Gen39:5" TargetMode="External"/><Relationship Id="rId19780" Type="http://schemas.openxmlformats.org/officeDocument/2006/relationships/hyperlink" Target="https://ref.ly/Gen41:34" TargetMode="External"/><Relationship Id="rId19781" Type="http://schemas.openxmlformats.org/officeDocument/2006/relationships/hyperlink" Target="https://ref.ly/2Chr2:18" TargetMode="External"/><Relationship Id="rId19782" Type="http://schemas.openxmlformats.org/officeDocument/2006/relationships/hyperlink" Target="https://ref.ly/2Chr34:13" TargetMode="External"/><Relationship Id="rId19783" Type="http://schemas.openxmlformats.org/officeDocument/2006/relationships/hyperlink" Target="https://ref.ly/1Tim3:1-1Tim3:2" TargetMode="External"/><Relationship Id="rId19784" Type="http://schemas.openxmlformats.org/officeDocument/2006/relationships/hyperlink" Target="https://ref.ly/1Chr26:16" TargetMode="External"/><Relationship Id="rId19785" Type="http://schemas.openxmlformats.org/officeDocument/2006/relationships/hyperlink" Target="https://ref.ly/Isa43:8" TargetMode="External"/><Relationship Id="rId19786" Type="http://schemas.openxmlformats.org/officeDocument/2006/relationships/hyperlink" Target="https://ref.ly/Isa35:5" TargetMode="External"/><Relationship Id="rId19787" Type="http://schemas.openxmlformats.org/officeDocument/2006/relationships/hyperlink" Target="https://ref.ly/Mic7:16" TargetMode="External"/><Relationship Id="rId19788" Type="http://schemas.openxmlformats.org/officeDocument/2006/relationships/hyperlink" Target="https://ref.ly/Luke7:22" TargetMode="External"/><Relationship Id="rId19789" Type="http://schemas.openxmlformats.org/officeDocument/2006/relationships/hyperlink" Target="https://ref.ly/1Chr7:25" TargetMode="External"/><Relationship Id="rId19790" Type="http://schemas.openxmlformats.org/officeDocument/2006/relationships/hyperlink" Target="https://ref.ly/Num33:26-Num33:27" TargetMode="External"/><Relationship Id="rId19791" Type="http://schemas.openxmlformats.org/officeDocument/2006/relationships/hyperlink" Target="https://ref.ly/Num11:3" TargetMode="External"/><Relationship Id="rId19792" Type="http://schemas.openxmlformats.org/officeDocument/2006/relationships/hyperlink" Target="https://ref.ly/Deut12:10-Deut12:11" TargetMode="External"/><Relationship Id="rId19793" Type="http://schemas.openxmlformats.org/officeDocument/2006/relationships/hyperlink" Target="https://ref.ly/2Sam7:10-2Sam7:13" TargetMode="External"/><Relationship Id="rId19794" Type="http://schemas.openxmlformats.org/officeDocument/2006/relationships/hyperlink" Target="https://ref.ly/1Kgs5:1-1Kgs5:5" TargetMode="External"/><Relationship Id="rId19795" Type="http://schemas.openxmlformats.org/officeDocument/2006/relationships/hyperlink" Target="https://ref.ly/Lev10:17-Lev10:18" TargetMode="External"/><Relationship Id="rId19796" Type="http://schemas.openxmlformats.org/officeDocument/2006/relationships/hyperlink" Target="https://ref.ly/Num9:15" TargetMode="External"/><Relationship Id="rId19797" Type="http://schemas.openxmlformats.org/officeDocument/2006/relationships/hyperlink" Target="https://ref.ly/1Kgs2:28-1Kgs2:30" TargetMode="External"/><Relationship Id="rId19798" Type="http://schemas.openxmlformats.org/officeDocument/2006/relationships/hyperlink" Target="https://ref.ly/1Chr9:23" TargetMode="External"/><Relationship Id="rId19799" Type="http://schemas.openxmlformats.org/officeDocument/2006/relationships/hyperlink" Target="https://ref.ly/Exod33:7" TargetMode="External"/><Relationship Id="rId19800" Type="http://schemas.openxmlformats.org/officeDocument/2006/relationships/hyperlink" Target="https://ref.ly/Exod25:9" TargetMode="External"/><Relationship Id="rId19801" Type="http://schemas.openxmlformats.org/officeDocument/2006/relationships/hyperlink" Target="https://ref.ly/Exod25:1-Exod40:38" TargetMode="External"/><Relationship Id="rId19802" Type="http://schemas.openxmlformats.org/officeDocument/2006/relationships/hyperlink" Target="https://ref.ly/Exod38:24-Exod38:31" TargetMode="External"/><Relationship Id="rId19803" Type="http://schemas.openxmlformats.org/officeDocument/2006/relationships/hyperlink" Target="https://ref.ly/Exod25:9-Exod27:19" TargetMode="External"/><Relationship Id="rId19804" Type="http://schemas.openxmlformats.org/officeDocument/2006/relationships/hyperlink" Target="https://ref.ly/Exod36:8-Exod37:28" TargetMode="External"/><Relationship Id="rId19805" Type="http://schemas.openxmlformats.org/officeDocument/2006/relationships/hyperlink" Target="https://ref.ly/Exod25:13-Exod25:15" TargetMode="External"/><Relationship Id="rId19806" Type="http://schemas.openxmlformats.org/officeDocument/2006/relationships/hyperlink" Target="https://ref.ly/Exod25:21" TargetMode="External"/><Relationship Id="rId19807" Type="http://schemas.openxmlformats.org/officeDocument/2006/relationships/hyperlink" Target="https://ref.ly/Exod25:31-Exod25:39" TargetMode="External"/><Relationship Id="rId19808" Type="http://schemas.openxmlformats.org/officeDocument/2006/relationships/hyperlink" Target="https://ref.ly/Exod40:24" TargetMode="External"/><Relationship Id="rId19809" Type="http://schemas.openxmlformats.org/officeDocument/2006/relationships/hyperlink" Target="https://ref.ly/1Sam3:3" TargetMode="External"/><Relationship Id="rId19810" Type="http://schemas.openxmlformats.org/officeDocument/2006/relationships/hyperlink" Target="https://ref.ly/Lev24:4" TargetMode="External"/><Relationship Id="rId19811" Type="http://schemas.openxmlformats.org/officeDocument/2006/relationships/hyperlink" Target="https://ref.ly/Zech4:1-Zech4:7" TargetMode="External"/><Relationship Id="rId19812" Type="http://schemas.openxmlformats.org/officeDocument/2006/relationships/hyperlink" Target="https://ref.ly/Exod30:7-Exod30:10" TargetMode="External"/><Relationship Id="rId19813" Type="http://schemas.openxmlformats.org/officeDocument/2006/relationships/hyperlink" Target="https://ref.ly/Lev16:13" TargetMode="External"/><Relationship Id="rId19814" Type="http://schemas.openxmlformats.org/officeDocument/2006/relationships/hyperlink" Target="https://ref.ly/Exod36:8-Exod36:38" TargetMode="External"/><Relationship Id="rId19815" Type="http://schemas.openxmlformats.org/officeDocument/2006/relationships/hyperlink" Target="https://ref.ly/Exod40:16-Exod40:19" TargetMode="External"/><Relationship Id="rId19816" Type="http://schemas.openxmlformats.org/officeDocument/2006/relationships/hyperlink" Target="https://ref.ly/Exod26:15-Exod26:25" TargetMode="External"/><Relationship Id="rId19817" Type="http://schemas.openxmlformats.org/officeDocument/2006/relationships/hyperlink" Target="https://ref.ly/Exod26:23-Exod26:25" TargetMode="External"/><Relationship Id="rId19818" Type="http://schemas.openxmlformats.org/officeDocument/2006/relationships/hyperlink" Target="https://ref.ly/Exod26:26-Exod26:29" TargetMode="External"/><Relationship Id="rId19819" Type="http://schemas.openxmlformats.org/officeDocument/2006/relationships/hyperlink" Target="https://ref.ly/Exod26:1-Exod26:6" TargetMode="External"/><Relationship Id="rId19820" Type="http://schemas.openxmlformats.org/officeDocument/2006/relationships/hyperlink" Target="https://ref.ly/Exod36:8-Exod36:13" TargetMode="External"/><Relationship Id="rId19821" Type="http://schemas.openxmlformats.org/officeDocument/2006/relationships/hyperlink" Target="https://ref.ly/Exod26:7-Exod26:9,Exod26:12-Exod26:13" TargetMode="External"/><Relationship Id="rId19822" Type="http://schemas.openxmlformats.org/officeDocument/2006/relationships/hyperlink" Target="https://ref.ly/Exod27:9-Exod27:18" TargetMode="External"/><Relationship Id="rId19823" Type="http://schemas.openxmlformats.org/officeDocument/2006/relationships/hyperlink" Target="https://ref.ly/Exod38:9-Exod38:19" TargetMode="External"/><Relationship Id="rId19824" Type="http://schemas.openxmlformats.org/officeDocument/2006/relationships/hyperlink" Target="https://ref.ly/Exod38:17" TargetMode="External"/><Relationship Id="rId19825" Type="http://schemas.openxmlformats.org/officeDocument/2006/relationships/hyperlink" Target="https://ref.ly/Exod40:29" TargetMode="External"/><Relationship Id="rId19826" Type="http://schemas.openxmlformats.org/officeDocument/2006/relationships/hyperlink" Target="https://ref.ly/2Chr4:1" TargetMode="External"/><Relationship Id="rId19827" Type="http://schemas.openxmlformats.org/officeDocument/2006/relationships/hyperlink" Target="https://ref.ly/Exod27:4-Exod27:5" TargetMode="External"/><Relationship Id="rId19828" Type="http://schemas.openxmlformats.org/officeDocument/2006/relationships/hyperlink" Target="https://ref.ly/1Kgs1:50" TargetMode="External"/><Relationship Id="rId19829" Type="http://schemas.openxmlformats.org/officeDocument/2006/relationships/hyperlink" Target="https://ref.ly/Exod27:3" TargetMode="External"/><Relationship Id="rId19830" Type="http://schemas.openxmlformats.org/officeDocument/2006/relationships/hyperlink" Target="https://ref.ly/Exod30:17-Exod30:20" TargetMode="External"/><Relationship Id="rId19831" Type="http://schemas.openxmlformats.org/officeDocument/2006/relationships/hyperlink" Target="https://ref.ly/Exod30:1-Exod30:11" TargetMode="External"/><Relationship Id="rId19832" Type="http://schemas.openxmlformats.org/officeDocument/2006/relationships/hyperlink" Target="https://ref.ly/Exod35:20-Exod35:24" TargetMode="External"/><Relationship Id="rId19833" Type="http://schemas.openxmlformats.org/officeDocument/2006/relationships/hyperlink" Target="https://ref.ly/Exod36:4-Exod36:7" TargetMode="External"/><Relationship Id="rId19834" Type="http://schemas.openxmlformats.org/officeDocument/2006/relationships/hyperlink" Target="https://ref.ly/Exod35:25-Exod35:29" TargetMode="External"/><Relationship Id="rId19835" Type="http://schemas.openxmlformats.org/officeDocument/2006/relationships/hyperlink" Target="https://ref.ly/Exod40:1-Exod40:33" TargetMode="External"/><Relationship Id="rId19836" Type="http://schemas.openxmlformats.org/officeDocument/2006/relationships/hyperlink" Target="https://ref.ly/Exod30:22-Exod30:33" TargetMode="External"/><Relationship Id="rId19837" Type="http://schemas.openxmlformats.org/officeDocument/2006/relationships/hyperlink" Target="https://ref.ly/Exod40:9-Exod40:11" TargetMode="External"/><Relationship Id="rId19838" Type="http://schemas.openxmlformats.org/officeDocument/2006/relationships/hyperlink" Target="https://ref.ly/Num1:53" TargetMode="External"/><Relationship Id="rId19839" Type="http://schemas.openxmlformats.org/officeDocument/2006/relationships/hyperlink" Target="https://ref.ly/Num3:14-Num3:38" TargetMode="External"/><Relationship Id="rId19840" Type="http://schemas.openxmlformats.org/officeDocument/2006/relationships/hyperlink" Target="https://ref.ly/Num4:5-Num4:15" TargetMode="External"/><Relationship Id="rId19841" Type="http://schemas.openxmlformats.org/officeDocument/2006/relationships/hyperlink" Target="https://ref.ly/Acts9:36,Acts9:40" TargetMode="External"/><Relationship Id="rId19842" Type="http://schemas.openxmlformats.org/officeDocument/2006/relationships/hyperlink" Target="https://ref.ly/Gen19:24-Gen19:29" TargetMode="External"/><Relationship Id="rId19843" Type="http://schemas.openxmlformats.org/officeDocument/2006/relationships/hyperlink" Target="https://ref.ly/Gen11:1-Gen35:29" TargetMode="External"/><Relationship Id="rId19844" Type="http://schemas.openxmlformats.org/officeDocument/2006/relationships/hyperlink" Target="https://ref.ly/Josh19:22" TargetMode="External"/><Relationship Id="rId19845" Type="http://schemas.openxmlformats.org/officeDocument/2006/relationships/hyperlink" Target="https://ref.ly/Judg8:18" TargetMode="External"/><Relationship Id="rId19846" Type="http://schemas.openxmlformats.org/officeDocument/2006/relationships/hyperlink" Target="https://ref.ly/Mark9:2-Mark9:13" TargetMode="External"/><Relationship Id="rId19847" Type="http://schemas.openxmlformats.org/officeDocument/2006/relationships/hyperlink" Target="https://ref.ly/Mark15:22" TargetMode="External"/><Relationship Id="rId19848" Type="http://schemas.openxmlformats.org/officeDocument/2006/relationships/hyperlink" Target="https://ref.ly/Matt27:33" TargetMode="External"/><Relationship Id="rId19849" Type="http://schemas.openxmlformats.org/officeDocument/2006/relationships/hyperlink" Target="https://ref.ly/Neh8:7-Neh8:8" TargetMode="External"/><Relationship Id="rId19850" Type="http://schemas.openxmlformats.org/officeDocument/2006/relationships/hyperlink" Target="https://ref.ly/Gen38:6-Gen38:24" TargetMode="External"/><Relationship Id="rId19851" Type="http://schemas.openxmlformats.org/officeDocument/2006/relationships/hyperlink" Target="https://ref.ly/1Chr3:9" TargetMode="External"/><Relationship Id="rId19852" Type="http://schemas.openxmlformats.org/officeDocument/2006/relationships/hyperlink" Target="https://ref.ly/2Sam14:27" TargetMode="External"/><Relationship Id="rId19853" Type="http://schemas.openxmlformats.org/officeDocument/2006/relationships/hyperlink" Target="https://ref.ly/Num33:27-Num33:28" TargetMode="External"/><Relationship Id="rId19854" Type="http://schemas.openxmlformats.org/officeDocument/2006/relationships/hyperlink" Target="https://ref.ly/Ps48:7" TargetMode="External"/><Relationship Id="rId19855" Type="http://schemas.openxmlformats.org/officeDocument/2006/relationships/hyperlink" Target="https://ref.ly/Isa2:16" TargetMode="External"/><Relationship Id="rId19856" Type="http://schemas.openxmlformats.org/officeDocument/2006/relationships/hyperlink" Target="https://ref.ly/Isa23:1-Isa23:14" TargetMode="External"/><Relationship Id="rId19857" Type="http://schemas.openxmlformats.org/officeDocument/2006/relationships/hyperlink" Target="https://ref.ly/Acts19:29-Acts19:41" TargetMode="External"/><Relationship Id="rId19858" Type="http://schemas.openxmlformats.org/officeDocument/2006/relationships/hyperlink" Target="https://ref.ly/Exod28:40" TargetMode="External"/><Relationship Id="rId19859" Type="http://schemas.openxmlformats.org/officeDocument/2006/relationships/hyperlink" Target="https://ref.ly/Exod35:6" TargetMode="External"/><Relationship Id="rId19860" Type="http://schemas.openxmlformats.org/officeDocument/2006/relationships/hyperlink" Target="https://ref.ly/Exod35:25" TargetMode="External"/><Relationship Id="rId19861" Type="http://schemas.openxmlformats.org/officeDocument/2006/relationships/hyperlink" Target="https://ref.ly/Exod35:23,Exod35:26" TargetMode="External"/><Relationship Id="rId19862" Type="http://schemas.openxmlformats.org/officeDocument/2006/relationships/hyperlink" Target="https://ref.ly/Exod39:3" TargetMode="External"/><Relationship Id="rId19863" Type="http://schemas.openxmlformats.org/officeDocument/2006/relationships/hyperlink" Target="https://ref.ly/Judg16:13-Judg16:14" TargetMode="External"/><Relationship Id="rId19864" Type="http://schemas.openxmlformats.org/officeDocument/2006/relationships/hyperlink" Target="https://ref.ly/Exod26:36" TargetMode="External"/><Relationship Id="rId19865" Type="http://schemas.openxmlformats.org/officeDocument/2006/relationships/hyperlink" Target="https://ref.ly/Ezek27:1-Ezek27:3" TargetMode="External"/><Relationship Id="rId19866" Type="http://schemas.openxmlformats.org/officeDocument/2006/relationships/hyperlink" Target="https://ref.ly/Deut13:16" TargetMode="External"/><Relationship Id="rId19867" Type="http://schemas.openxmlformats.org/officeDocument/2006/relationships/hyperlink" Target="https://ref.ly/Josh8:28" TargetMode="External"/><Relationship Id="rId19868" Type="http://schemas.openxmlformats.org/officeDocument/2006/relationships/hyperlink" Target="https://ref.ly/Jer49:2" TargetMode="External"/><Relationship Id="rId19869" Type="http://schemas.openxmlformats.org/officeDocument/2006/relationships/hyperlink" Target="https://ref.ly/Isa21:14" TargetMode="External"/><Relationship Id="rId19870" Type="http://schemas.openxmlformats.org/officeDocument/2006/relationships/hyperlink" Target="https://ref.ly/Job6:19" TargetMode="External"/><Relationship Id="rId19871" Type="http://schemas.openxmlformats.org/officeDocument/2006/relationships/hyperlink" Target="https://ref.ly/1Kgs18:3-1Kgs18:4" TargetMode="External"/><Relationship Id="rId19872" Type="http://schemas.openxmlformats.org/officeDocument/2006/relationships/hyperlink" Target="https://ref.ly/2Sam23:3" TargetMode="External"/><Relationship Id="rId19873" Type="http://schemas.openxmlformats.org/officeDocument/2006/relationships/hyperlink" Target="https://ref.ly/Prov10:27" TargetMode="External"/><Relationship Id="rId19874" Type="http://schemas.openxmlformats.org/officeDocument/2006/relationships/hyperlink" Target="https://ref.ly/Prov19:23" TargetMode="External"/><Relationship Id="rId19875" Type="http://schemas.openxmlformats.org/officeDocument/2006/relationships/hyperlink" Target="https://ref.ly/Prov14:26" TargetMode="External"/><Relationship Id="rId19876" Type="http://schemas.openxmlformats.org/officeDocument/2006/relationships/hyperlink" Target="https://ref.ly/Wis10:13" TargetMode="External"/><Relationship Id="rId19877" Type="http://schemas.openxmlformats.org/officeDocument/2006/relationships/hyperlink" Target="https://ref.ly/Deut9:19" TargetMode="External"/><Relationship Id="rId19878" Type="http://schemas.openxmlformats.org/officeDocument/2006/relationships/hyperlink" Target="https://ref.ly/Job6:4" TargetMode="External"/><Relationship Id="rId19879" Type="http://schemas.openxmlformats.org/officeDocument/2006/relationships/hyperlink" Target="https://ref.ly/Job9:28-Job9:29" TargetMode="External"/><Relationship Id="rId19880" Type="http://schemas.openxmlformats.org/officeDocument/2006/relationships/hyperlink" Target="https://ref.ly/Ps76:8" TargetMode="External"/><Relationship Id="rId19881" Type="http://schemas.openxmlformats.org/officeDocument/2006/relationships/hyperlink" Target="https://ref.ly/Matt17:7" TargetMode="External"/><Relationship Id="rId19882" Type="http://schemas.openxmlformats.org/officeDocument/2006/relationships/hyperlink" Target="https://ref.ly/Acts5:5" TargetMode="External"/><Relationship Id="rId19883" Type="http://schemas.openxmlformats.org/officeDocument/2006/relationships/hyperlink" Target="https://ref.ly/1Tim5:20" TargetMode="External"/><Relationship Id="rId19884" Type="http://schemas.openxmlformats.org/officeDocument/2006/relationships/hyperlink" Target="https://ref.ly/Ps78:67-Ps78:72" TargetMode="External"/><Relationship Id="rId19885" Type="http://schemas.openxmlformats.org/officeDocument/2006/relationships/hyperlink" Target="https://ref.ly/2Sam7:1-2Sam7:3" TargetMode="External"/><Relationship Id="rId19886" Type="http://schemas.openxmlformats.org/officeDocument/2006/relationships/hyperlink" Target="https://ref.ly/1Kgs5:3" TargetMode="External"/><Relationship Id="rId19887" Type="http://schemas.openxmlformats.org/officeDocument/2006/relationships/hyperlink" Target="https://ref.ly/1Chr22:7-1Chr22:8" TargetMode="External"/><Relationship Id="rId19888" Type="http://schemas.openxmlformats.org/officeDocument/2006/relationships/hyperlink" Target="https://ref.ly/1Chr28:3" TargetMode="External"/><Relationship Id="rId19889" Type="http://schemas.openxmlformats.org/officeDocument/2006/relationships/hyperlink" Target="https://ref.ly/1Chr22:3-1Chr22:5,1Chr22:14" TargetMode="External"/><Relationship Id="rId19890" Type="http://schemas.openxmlformats.org/officeDocument/2006/relationships/hyperlink" Target="https://ref.ly/1Chr28:2,1Chr28:11-1Chr28:19" TargetMode="External"/><Relationship Id="rId19891" Type="http://schemas.openxmlformats.org/officeDocument/2006/relationships/hyperlink" Target="https://ref.ly/1Chr21:25" TargetMode="External"/><Relationship Id="rId19892" Type="http://schemas.openxmlformats.org/officeDocument/2006/relationships/hyperlink" Target="https://ref.ly/1Kgs6:1,1Kgs6:38" TargetMode="External"/><Relationship Id="rId19893" Type="http://schemas.openxmlformats.org/officeDocument/2006/relationships/hyperlink" Target="https://ref.ly/1Chr28:21" TargetMode="External"/><Relationship Id="rId19894" Type="http://schemas.openxmlformats.org/officeDocument/2006/relationships/hyperlink" Target="https://ref.ly/1Kgs7:1" TargetMode="External"/><Relationship Id="rId19895" Type="http://schemas.openxmlformats.org/officeDocument/2006/relationships/hyperlink" Target="https://ref.ly/1Kgs5:5-1Kgs5:9" TargetMode="External"/><Relationship Id="rId19896" Type="http://schemas.openxmlformats.org/officeDocument/2006/relationships/hyperlink" Target="https://ref.ly/1Kgs5:15-1Kgs5:17" TargetMode="External"/><Relationship Id="rId19897" Type="http://schemas.openxmlformats.org/officeDocument/2006/relationships/hyperlink" Target="https://ref.ly/1Kgs6:5,1Kgs6:10" TargetMode="External"/><Relationship Id="rId19898" Type="http://schemas.openxmlformats.org/officeDocument/2006/relationships/hyperlink" Target="https://ref.ly/Ezek41:8-Ezek41:9" TargetMode="External"/><Relationship Id="rId19899" Type="http://schemas.openxmlformats.org/officeDocument/2006/relationships/hyperlink" Target="https://ref.ly/1Kgs6:8" TargetMode="External"/><Relationship Id="rId19900" Type="http://schemas.openxmlformats.org/officeDocument/2006/relationships/hyperlink" Target="https://ref.ly/Ezek40:17,Ezek40:28" TargetMode="External"/><Relationship Id="rId19901" Type="http://schemas.openxmlformats.org/officeDocument/2006/relationships/hyperlink" Target="https://ref.ly/1Kgs6:36" TargetMode="External"/><Relationship Id="rId19902" Type="http://schemas.openxmlformats.org/officeDocument/2006/relationships/hyperlink" Target="https://ref.ly/1Kgs7:12" TargetMode="External"/><Relationship Id="rId19903" Type="http://schemas.openxmlformats.org/officeDocument/2006/relationships/hyperlink" Target="https://ref.ly/2Chr4:9" TargetMode="External"/><Relationship Id="rId19904" Type="http://schemas.openxmlformats.org/officeDocument/2006/relationships/hyperlink" Target="https://ref.ly/Jer36:10" TargetMode="External"/><Relationship Id="rId19905" Type="http://schemas.openxmlformats.org/officeDocument/2006/relationships/hyperlink" Target="https://ref.ly/2Chr4:9,2Chr4:12" TargetMode="External"/><Relationship Id="rId19906" Type="http://schemas.openxmlformats.org/officeDocument/2006/relationships/hyperlink" Target="https://ref.ly/2Kgs16:18" TargetMode="External"/><Relationship Id="rId19907" Type="http://schemas.openxmlformats.org/officeDocument/2006/relationships/hyperlink" Target="https://ref.ly/1Kgs6:2" TargetMode="External"/><Relationship Id="rId19908" Type="http://schemas.openxmlformats.org/officeDocument/2006/relationships/hyperlink" Target="https://ref.ly/Ezek43:1" TargetMode="External"/><Relationship Id="rId19909" Type="http://schemas.openxmlformats.org/officeDocument/2006/relationships/hyperlink" Target="https://ref.ly/Ezek44:1" TargetMode="External"/><Relationship Id="rId19910" Type="http://schemas.openxmlformats.org/officeDocument/2006/relationships/hyperlink" Target="https://ref.ly/1Kgs6:17" TargetMode="External"/><Relationship Id="rId19911" Type="http://schemas.openxmlformats.org/officeDocument/2006/relationships/hyperlink" Target="https://ref.ly/1Kgs6:15" TargetMode="External"/><Relationship Id="rId19912" Type="http://schemas.openxmlformats.org/officeDocument/2006/relationships/hyperlink" Target="https://ref.ly/1Kgs6:4" TargetMode="External"/><Relationship Id="rId19913" Type="http://schemas.openxmlformats.org/officeDocument/2006/relationships/hyperlink" Target="https://ref.ly/1Kgs6:34-1Kgs6:35" TargetMode="External"/><Relationship Id="rId19914" Type="http://schemas.openxmlformats.org/officeDocument/2006/relationships/hyperlink" Target="https://ref.ly/1Kgs7:48-1Kgs7:50" TargetMode="External"/><Relationship Id="rId19915" Type="http://schemas.openxmlformats.org/officeDocument/2006/relationships/hyperlink" Target="https://ref.ly/2Chr4:8" TargetMode="External"/><Relationship Id="rId19916" Type="http://schemas.openxmlformats.org/officeDocument/2006/relationships/hyperlink" Target="https://ref.ly/1Kgs6:23-1Kgs6:28" TargetMode="External"/><Relationship Id="rId19917" Type="http://schemas.openxmlformats.org/officeDocument/2006/relationships/hyperlink" Target="https://ref.ly/1Kgs7:15-1Kgs7:20" TargetMode="External"/><Relationship Id="rId19918" Type="http://schemas.openxmlformats.org/officeDocument/2006/relationships/hyperlink" Target="https://ref.ly/2Chr3:15-2Chr3:17" TargetMode="External"/><Relationship Id="rId19919" Type="http://schemas.openxmlformats.org/officeDocument/2006/relationships/hyperlink" Target="https://ref.ly/Jer52:17,Jer52:21-Jer52:23" TargetMode="External"/><Relationship Id="rId19920" Type="http://schemas.openxmlformats.org/officeDocument/2006/relationships/hyperlink" Target="https://ref.ly/1Kgs8:22,1Kgs8:54,1Kgs8:64" TargetMode="External"/><Relationship Id="rId19921" Type="http://schemas.openxmlformats.org/officeDocument/2006/relationships/hyperlink" Target="https://ref.ly/1Kgs9:25" TargetMode="External"/><Relationship Id="rId19922" Type="http://schemas.openxmlformats.org/officeDocument/2006/relationships/hyperlink" Target="https://ref.ly/2Chr4:17-2Chr4:18" TargetMode="External"/><Relationship Id="rId19923" Type="http://schemas.openxmlformats.org/officeDocument/2006/relationships/hyperlink" Target="https://ref.ly/2Chr4:2-2Chr4:5" TargetMode="External"/><Relationship Id="rId19924" Type="http://schemas.openxmlformats.org/officeDocument/2006/relationships/hyperlink" Target="https://ref.ly/1Kgs7:27-1Kgs7:39" TargetMode="External"/><Relationship Id="rId19925" Type="http://schemas.openxmlformats.org/officeDocument/2006/relationships/hyperlink" Target="https://ref.ly/1Kgs7:40,1Kgs7:45" TargetMode="External"/><Relationship Id="rId19926" Type="http://schemas.openxmlformats.org/officeDocument/2006/relationships/hyperlink" Target="https://ref.ly/Lev23:23-Lev23:36" TargetMode="External"/><Relationship Id="rId19927" Type="http://schemas.openxmlformats.org/officeDocument/2006/relationships/hyperlink" Target="https://ref.ly/1Kgs8:3-1Kgs8:4" TargetMode="External"/><Relationship Id="rId19928" Type="http://schemas.openxmlformats.org/officeDocument/2006/relationships/hyperlink" Target="https://ref.ly/1Kgs8:62-1Kgs8:64" TargetMode="External"/><Relationship Id="rId19929" Type="http://schemas.openxmlformats.org/officeDocument/2006/relationships/hyperlink" Target="https://ref.ly/2Chr7:7" TargetMode="External"/><Relationship Id="rId19930" Type="http://schemas.openxmlformats.org/officeDocument/2006/relationships/hyperlink" Target="https://ref.ly/1Kgs14:25-1Kgs14:38" TargetMode="External"/><Relationship Id="rId19931" Type="http://schemas.openxmlformats.org/officeDocument/2006/relationships/hyperlink" Target="https://ref.ly/1Kgs15:16-1Kgs15:19" TargetMode="External"/><Relationship Id="rId19932" Type="http://schemas.openxmlformats.org/officeDocument/2006/relationships/hyperlink" Target="https://ref.ly/2Kgs12:4-2Kgs12:16" TargetMode="External"/><Relationship Id="rId19933" Type="http://schemas.openxmlformats.org/officeDocument/2006/relationships/hyperlink" Target="https://ref.ly/2Chr24:15-2Chr24:19" TargetMode="External"/><Relationship Id="rId19934" Type="http://schemas.openxmlformats.org/officeDocument/2006/relationships/hyperlink" Target="https://ref.ly/2Chr29:1-2Chr29:19" TargetMode="External"/><Relationship Id="rId19935" Type="http://schemas.openxmlformats.org/officeDocument/2006/relationships/hyperlink" Target="https://ref.ly/2Chr31:9-2Chr31:21" TargetMode="External"/><Relationship Id="rId19936" Type="http://schemas.openxmlformats.org/officeDocument/2006/relationships/hyperlink" Target="https://ref.ly/2Kgs21:3-2Kgs21:7" TargetMode="External"/><Relationship Id="rId19937" Type="http://schemas.openxmlformats.org/officeDocument/2006/relationships/hyperlink" Target="https://ref.ly/2Chr33:12-2Chr33:19" TargetMode="External"/><Relationship Id="rId19938" Type="http://schemas.openxmlformats.org/officeDocument/2006/relationships/hyperlink" Target="https://ref.ly/2Kgs21:10-2Kgs21:16" TargetMode="External"/><Relationship Id="rId19939" Type="http://schemas.openxmlformats.org/officeDocument/2006/relationships/hyperlink" Target="https://ref.ly/2Kgs22:3-2Kgs22:13" TargetMode="External"/><Relationship Id="rId19940" Type="http://schemas.openxmlformats.org/officeDocument/2006/relationships/hyperlink" Target="https://ref.ly/2Kgs22:14-2Kgs23:3" TargetMode="External"/><Relationship Id="rId19941" Type="http://schemas.openxmlformats.org/officeDocument/2006/relationships/hyperlink" Target="https://ref.ly/2Kgs23:4-2Kgs23:12" TargetMode="External"/><Relationship Id="rId19942" Type="http://schemas.openxmlformats.org/officeDocument/2006/relationships/hyperlink" Target="https://ref.ly/Jer7:1-Jer8:3" TargetMode="External"/><Relationship Id="rId19943" Type="http://schemas.openxmlformats.org/officeDocument/2006/relationships/hyperlink" Target="https://ref.ly/Jer26:1-Jer26:19" TargetMode="External"/><Relationship Id="rId19944" Type="http://schemas.openxmlformats.org/officeDocument/2006/relationships/hyperlink" Target="https://ref.ly/2Kgs24:1-2Kgs24:4" TargetMode="External"/><Relationship Id="rId19945" Type="http://schemas.openxmlformats.org/officeDocument/2006/relationships/hyperlink" Target="https://ref.ly/2Chr36:7" TargetMode="External"/><Relationship Id="rId19946" Type="http://schemas.openxmlformats.org/officeDocument/2006/relationships/hyperlink" Target="https://ref.ly/2Kgs25:8-2Kgs25:10" TargetMode="External"/><Relationship Id="rId19947" Type="http://schemas.openxmlformats.org/officeDocument/2006/relationships/hyperlink" Target="https://ref.ly/Jer41:4-Jer41:5" TargetMode="External"/><Relationship Id="rId19948" Type="http://schemas.openxmlformats.org/officeDocument/2006/relationships/hyperlink" Target="https://ref.ly/Ezra6:1-Ezra6:5" TargetMode="External"/><Relationship Id="rId19949" Type="http://schemas.openxmlformats.org/officeDocument/2006/relationships/hyperlink" Target="https://ref.ly/Ezra5:14-Ezra5:16" TargetMode="External"/><Relationship Id="rId19950" Type="http://schemas.openxmlformats.org/officeDocument/2006/relationships/hyperlink" Target="https://ref.ly/Ezra3:2,Ezra3:8" TargetMode="External"/><Relationship Id="rId19951" Type="http://schemas.openxmlformats.org/officeDocument/2006/relationships/hyperlink" Target="https://ref.ly/Ezra4:2" TargetMode="External"/><Relationship Id="rId19952" Type="http://schemas.openxmlformats.org/officeDocument/2006/relationships/hyperlink" Target="https://ref.ly/Ezra3:1-Ezra3:6" TargetMode="External"/><Relationship Id="rId19953" Type="http://schemas.openxmlformats.org/officeDocument/2006/relationships/hyperlink" Target="https://ref.ly/Ezra3:7-Ezra3:13" TargetMode="External"/><Relationship Id="rId19954" Type="http://schemas.openxmlformats.org/officeDocument/2006/relationships/hyperlink" Target="https://ref.ly/Ezra4:1-Ezra4:4,Ezra4:24" TargetMode="External"/><Relationship Id="rId19955" Type="http://schemas.openxmlformats.org/officeDocument/2006/relationships/hyperlink" Target="https://ref.ly/Hag1:2-Hag1:11" TargetMode="External"/><Relationship Id="rId19956" Type="http://schemas.openxmlformats.org/officeDocument/2006/relationships/hyperlink" Target="https://ref.ly/Ezra5:1-Ezra6:22" TargetMode="External"/><Relationship Id="rId19957" Type="http://schemas.openxmlformats.org/officeDocument/2006/relationships/hyperlink" Target="https://ref.ly/Ezra6:3" TargetMode="External"/><Relationship Id="rId19958" Type="http://schemas.openxmlformats.org/officeDocument/2006/relationships/hyperlink" Target="https://ref.ly/Ezra6:4" TargetMode="External"/><Relationship Id="rId19959" Type="http://schemas.openxmlformats.org/officeDocument/2006/relationships/hyperlink" Target="https://ref.ly/Ezra8:29" TargetMode="External"/><Relationship Id="rId19960" Type="http://schemas.openxmlformats.org/officeDocument/2006/relationships/hyperlink" Target="https://ref.ly/Neh12:44" TargetMode="External"/><Relationship Id="rId19961" Type="http://schemas.openxmlformats.org/officeDocument/2006/relationships/hyperlink" Target="https://ref.ly/Neh13:4-Neh13:5" TargetMode="External"/><Relationship Id="rId19962" Type="http://schemas.openxmlformats.org/officeDocument/2006/relationships/hyperlink" Target="https://ref.ly/Ezra6:8-Ezra6:12" TargetMode="External"/><Relationship Id="rId19963" Type="http://schemas.openxmlformats.org/officeDocument/2006/relationships/hyperlink" Target="https://ref.ly/2Macc5:15-2Macc5:16" TargetMode="External"/><Relationship Id="rId19964" Type="http://schemas.openxmlformats.org/officeDocument/2006/relationships/hyperlink" Target="https://ref.ly/2Macc6:2-2Macc6:4" TargetMode="External"/><Relationship Id="rId19965" Type="http://schemas.openxmlformats.org/officeDocument/2006/relationships/hyperlink" Target="https://ref.ly/1Macc4:36-1Macc4:61" TargetMode="External"/><Relationship Id="rId19966" Type="http://schemas.openxmlformats.org/officeDocument/2006/relationships/hyperlink" Target="https://ref.ly/2Macc10:1-2Macc10:9" TargetMode="External"/><Relationship Id="rId19967" Type="http://schemas.openxmlformats.org/officeDocument/2006/relationships/hyperlink" Target="https://ref.ly/Mark12:41-Mark12:44" TargetMode="External"/><Relationship Id="rId19968" Type="http://schemas.openxmlformats.org/officeDocument/2006/relationships/hyperlink" Target="https://ref.ly/Mark11:27" TargetMode="External"/><Relationship Id="rId19969" Type="http://schemas.openxmlformats.org/officeDocument/2006/relationships/hyperlink" Target="https://ref.ly/Acts21:31-Acts21:40" TargetMode="External"/><Relationship Id="rId19970" Type="http://schemas.openxmlformats.org/officeDocument/2006/relationships/hyperlink" Target="https://ref.ly/Matt4:5" TargetMode="External"/><Relationship Id="rId19971" Type="http://schemas.openxmlformats.org/officeDocument/2006/relationships/hyperlink" Target="https://ref.ly/Luke4:9" TargetMode="External"/><Relationship Id="rId19972" Type="http://schemas.openxmlformats.org/officeDocument/2006/relationships/hyperlink" Target="https://ref.ly/1Kgs12:26-1Kgs12:30" TargetMode="External"/><Relationship Id="rId19973" Type="http://schemas.openxmlformats.org/officeDocument/2006/relationships/hyperlink" Target="https://ref.ly/2Chr30:1-2Chr30:12" TargetMode="External"/><Relationship Id="rId19974" Type="http://schemas.openxmlformats.org/officeDocument/2006/relationships/hyperlink" Target="https://ref.ly/Exod33:9-Exod33:11" TargetMode="External"/><Relationship Id="rId19975" Type="http://schemas.openxmlformats.org/officeDocument/2006/relationships/hyperlink" Target="https://ref.ly/1Kgs8:13,1Kgs8:27" TargetMode="External"/><Relationship Id="rId19976" Type="http://schemas.openxmlformats.org/officeDocument/2006/relationships/hyperlink" Target="https://ref.ly/Ps68:15-Ps68:18" TargetMode="External"/><Relationship Id="rId19977" Type="http://schemas.openxmlformats.org/officeDocument/2006/relationships/hyperlink" Target="https://ref.ly/Ps84:1-Ps84:4" TargetMode="External"/><Relationship Id="rId19978" Type="http://schemas.openxmlformats.org/officeDocument/2006/relationships/hyperlink" Target="https://ref.ly/Ezek9:3" TargetMode="External"/><Relationship Id="rId19979" Type="http://schemas.openxmlformats.org/officeDocument/2006/relationships/hyperlink" Target="https://ref.ly/Ezek10:4,Ezek10:18-Ezek10:19" TargetMode="External"/><Relationship Id="rId19980" Type="http://schemas.openxmlformats.org/officeDocument/2006/relationships/hyperlink" Target="https://ref.ly/Ezek11:22-Ezek11:23" TargetMode="External"/><Relationship Id="rId19981" Type="http://schemas.openxmlformats.org/officeDocument/2006/relationships/hyperlink" Target="https://ref.ly/Ezek43:1-Ezek43:5" TargetMode="External"/><Relationship Id="rId19982" Type="http://schemas.openxmlformats.org/officeDocument/2006/relationships/hyperlink" Target="https://ref.ly/Ezek36:24-Ezek36:28" TargetMode="External"/><Relationship Id="rId19983" Type="http://schemas.openxmlformats.org/officeDocument/2006/relationships/hyperlink" Target="https://ref.ly/Matt23:21" TargetMode="External"/><Relationship Id="rId19984" Type="http://schemas.openxmlformats.org/officeDocument/2006/relationships/hyperlink" Target="https://ref.ly/Matt21:9-Matt21:15" TargetMode="External"/><Relationship Id="rId19985" Type="http://schemas.openxmlformats.org/officeDocument/2006/relationships/hyperlink" Target="https://ref.ly/Acts5:12,Acts5:21,Acts5:42" TargetMode="External"/><Relationship Id="rId19986" Type="http://schemas.openxmlformats.org/officeDocument/2006/relationships/hyperlink" Target="https://ref.ly/Eph2:21" TargetMode="External"/><Relationship Id="rId19987" Type="http://schemas.openxmlformats.org/officeDocument/2006/relationships/hyperlink" Target="https://ref.ly/2Thess2:4" TargetMode="External"/><Relationship Id="rId19988" Type="http://schemas.openxmlformats.org/officeDocument/2006/relationships/hyperlink" Target="https://ref.ly/Exod27:1-Exod29:46" TargetMode="External"/><Relationship Id="rId19989" Type="http://schemas.openxmlformats.org/officeDocument/2006/relationships/hyperlink" Target="https://ref.ly/Exod40:1-Exod40:38" TargetMode="External"/><Relationship Id="rId19990" Type="http://schemas.openxmlformats.org/officeDocument/2006/relationships/hyperlink" Target="https://ref.ly/Rev21:2,Rev21:10,Rev21:22" TargetMode="External"/><Relationship Id="rId19991" Type="http://schemas.openxmlformats.org/officeDocument/2006/relationships/hyperlink" Target="https://ref.ly/Rev6:11" TargetMode="External"/><Relationship Id="rId19992" Type="http://schemas.openxmlformats.org/officeDocument/2006/relationships/hyperlink" Target="https://ref.ly/Rev11:19" TargetMode="External"/><Relationship Id="rId19993" Type="http://schemas.openxmlformats.org/officeDocument/2006/relationships/hyperlink" Target="https://ref.ly/Rev14:15" TargetMode="External"/><Relationship Id="rId19994" Type="http://schemas.openxmlformats.org/officeDocument/2006/relationships/hyperlink" Target="https://ref.ly/Rev15:5-Rev16:1" TargetMode="External"/><Relationship Id="rId19995" Type="http://schemas.openxmlformats.org/officeDocument/2006/relationships/hyperlink" Target="https://ref.ly/1Kgs20:16" TargetMode="External"/><Relationship Id="rId19996" Type="http://schemas.openxmlformats.org/officeDocument/2006/relationships/hyperlink" Target="https://ref.ly/Ps27:5" TargetMode="External"/><Relationship Id="rId19997" Type="http://schemas.openxmlformats.org/officeDocument/2006/relationships/hyperlink" Target="https://ref.ly/Ps31:20" TargetMode="External"/><Relationship Id="rId19998" Type="http://schemas.openxmlformats.org/officeDocument/2006/relationships/hyperlink" Target="https://ref.ly/Exod3:7-Exod3:10" TargetMode="External"/><Relationship Id="rId19999" Type="http://schemas.openxmlformats.org/officeDocument/2006/relationships/hyperlink" Target="https://ref.ly/Exod8:1" TargetMode="External"/><Relationship Id="rId20000" Type="http://schemas.openxmlformats.org/officeDocument/2006/relationships/hyperlink" Target="https://ref.ly/Exod9:1" TargetMode="External"/><Relationship Id="rId20001" Type="http://schemas.openxmlformats.org/officeDocument/2006/relationships/hyperlink" Target="https://ref.ly/Judg8:23" TargetMode="External"/><Relationship Id="rId20002" Type="http://schemas.openxmlformats.org/officeDocument/2006/relationships/hyperlink" Target="https://ref.ly/Judg2:16" TargetMode="External"/><Relationship Id="rId20003" Type="http://schemas.openxmlformats.org/officeDocument/2006/relationships/hyperlink" Target="https://ref.ly/1Sam8:5,1Sam8:19-1Sam8:20" TargetMode="External"/><Relationship Id="rId20004" Type="http://schemas.openxmlformats.org/officeDocument/2006/relationships/hyperlink" Target="https://ref.ly/1Sam8:10-1Sam8:18" TargetMode="External"/><Relationship Id="rId20005" Type="http://schemas.openxmlformats.org/officeDocument/2006/relationships/hyperlink" Target="https://ref.ly/1Sam10:19" TargetMode="External"/><Relationship Id="rId20006" Type="http://schemas.openxmlformats.org/officeDocument/2006/relationships/hyperlink" Target="https://ref.ly/1Sam9:27-1Sam10:1" TargetMode="External"/><Relationship Id="rId20007" Type="http://schemas.openxmlformats.org/officeDocument/2006/relationships/hyperlink" Target="https://ref.ly/Acts1:1" TargetMode="External"/><Relationship Id="rId20008" Type="http://schemas.openxmlformats.org/officeDocument/2006/relationships/hyperlink" Target="https://ref.ly/Acts24:2-Acts24:3" TargetMode="External"/><Relationship Id="rId20009" Type="http://schemas.openxmlformats.org/officeDocument/2006/relationships/hyperlink" Target="https://ref.ly/Acts7:4" TargetMode="External"/><Relationship Id="rId20010" Type="http://schemas.openxmlformats.org/officeDocument/2006/relationships/hyperlink" Target="https://ref.ly/Gen11:32" TargetMode="External"/><Relationship Id="rId20011" Type="http://schemas.openxmlformats.org/officeDocument/2006/relationships/hyperlink" Target="https://ref.ly/Gen31:19,Gen31:34" TargetMode="External"/><Relationship Id="rId20012" Type="http://schemas.openxmlformats.org/officeDocument/2006/relationships/hyperlink" Target="https://ref.ly/Judg18:14-Judg18:20,Judg18:31" TargetMode="External"/><Relationship Id="rId20013" Type="http://schemas.openxmlformats.org/officeDocument/2006/relationships/hyperlink" Target="https://ref.ly/1Sam19:13-1Sam19:16" TargetMode="External"/><Relationship Id="rId20014" Type="http://schemas.openxmlformats.org/officeDocument/2006/relationships/hyperlink" Target="https://ref.ly/2Kgs23:24" TargetMode="External"/><Relationship Id="rId20015" Type="http://schemas.openxmlformats.org/officeDocument/2006/relationships/hyperlink" Target="https://ref.ly/Gen21:21" TargetMode="External"/><Relationship Id="rId20016" Type="http://schemas.openxmlformats.org/officeDocument/2006/relationships/hyperlink" Target="https://ref.ly/Luke21:26" TargetMode="External"/><Relationship Id="rId20017" Type="http://schemas.openxmlformats.org/officeDocument/2006/relationships/hyperlink" Target="https://ref.ly/Gen1:10-Gen1:11" TargetMode="External"/><Relationship Id="rId20018" Type="http://schemas.openxmlformats.org/officeDocument/2006/relationships/hyperlink" Target="https://ref.ly/Job1:7" TargetMode="External"/><Relationship Id="rId20019" Type="http://schemas.openxmlformats.org/officeDocument/2006/relationships/hyperlink" Target="https://ref.ly/Ezek7:2" TargetMode="External"/><Relationship Id="rId20020" Type="http://schemas.openxmlformats.org/officeDocument/2006/relationships/hyperlink" Target="https://ref.ly/Isa40:22" TargetMode="External"/><Relationship Id="rId20021" Type="http://schemas.openxmlformats.org/officeDocument/2006/relationships/hyperlink" Target="https://ref.ly/Job38:13" TargetMode="External"/><Relationship Id="rId20022" Type="http://schemas.openxmlformats.org/officeDocument/2006/relationships/hyperlink" Target="https://ref.ly/Job9:6" TargetMode="External"/><Relationship Id="rId20023" Type="http://schemas.openxmlformats.org/officeDocument/2006/relationships/hyperlink" Target="https://ref.ly/Ps75:3" TargetMode="External"/><Relationship Id="rId20024" Type="http://schemas.openxmlformats.org/officeDocument/2006/relationships/hyperlink" Target="https://ref.ly/Ps104:5" TargetMode="External"/><Relationship Id="rId20025" Type="http://schemas.openxmlformats.org/officeDocument/2006/relationships/hyperlink" Target="https://ref.ly/Prov8:29" TargetMode="External"/><Relationship Id="rId20026" Type="http://schemas.openxmlformats.org/officeDocument/2006/relationships/hyperlink" Target="https://ref.ly/Isa24:18" TargetMode="External"/><Relationship Id="rId20027" Type="http://schemas.openxmlformats.org/officeDocument/2006/relationships/hyperlink" Target="https://ref.ly/Jer31:37" TargetMode="External"/><Relationship Id="rId20028" Type="http://schemas.openxmlformats.org/officeDocument/2006/relationships/hyperlink" Target="https://ref.ly/2Kgs5:17" TargetMode="External"/><Relationship Id="rId20029" Type="http://schemas.openxmlformats.org/officeDocument/2006/relationships/hyperlink" Target="https://ref.ly/Lev25:4-Lev25:5" TargetMode="External"/><Relationship Id="rId20030" Type="http://schemas.openxmlformats.org/officeDocument/2006/relationships/hyperlink" Target="https://ref.ly/Lev25:10-Lev25:17" TargetMode="External"/><Relationship Id="rId20031" Type="http://schemas.openxmlformats.org/officeDocument/2006/relationships/hyperlink" Target="https://ref.ly/Lev26:37" TargetMode="External"/><Relationship Id="rId20032" Type="http://schemas.openxmlformats.org/officeDocument/2006/relationships/hyperlink" Target="https://ref.ly/Deut28:64" TargetMode="External"/><Relationship Id="rId20033" Type="http://schemas.openxmlformats.org/officeDocument/2006/relationships/hyperlink" Target="https://ref.ly/Zech14:6-Zech14:9" TargetMode="External"/><Relationship Id="rId20034" Type="http://schemas.openxmlformats.org/officeDocument/2006/relationships/hyperlink" Target="https://ref.ly/Gen12:1-Gen12:2" TargetMode="External"/><Relationship Id="rId20035" Type="http://schemas.openxmlformats.org/officeDocument/2006/relationships/hyperlink" Target="https://ref.ly/Gen13:14-Gen13:18" TargetMode="External"/><Relationship Id="rId20036" Type="http://schemas.openxmlformats.org/officeDocument/2006/relationships/hyperlink" Target="https://ref.ly/Gen28:15" TargetMode="External"/><Relationship Id="rId20037" Type="http://schemas.openxmlformats.org/officeDocument/2006/relationships/hyperlink" Target="https://ref.ly/Gen35:11-Gen35:12" TargetMode="External"/><Relationship Id="rId20038" Type="http://schemas.openxmlformats.org/officeDocument/2006/relationships/hyperlink" Target="https://ref.ly/Gen46:3-Gen46:4" TargetMode="External"/><Relationship Id="rId20039" Type="http://schemas.openxmlformats.org/officeDocument/2006/relationships/hyperlink" Target="https://ref.ly/Exod6:5-Exod6:8" TargetMode="External"/><Relationship Id="rId20040" Type="http://schemas.openxmlformats.org/officeDocument/2006/relationships/hyperlink" Target="https://ref.ly/Lev26:32-Lev26:33" TargetMode="External"/><Relationship Id="rId20041" Type="http://schemas.openxmlformats.org/officeDocument/2006/relationships/hyperlink" Target="https://ref.ly/Lev26:42" TargetMode="External"/><Relationship Id="rId20042" Type="http://schemas.openxmlformats.org/officeDocument/2006/relationships/hyperlink" Target="https://ref.ly/Josh13:1-Josh13:6" TargetMode="External"/><Relationship Id="rId20043" Type="http://schemas.openxmlformats.org/officeDocument/2006/relationships/hyperlink" Target="https://ref.ly/1Kgs4:21,1Kgs4:24" TargetMode="External"/><Relationship Id="rId20044" Type="http://schemas.openxmlformats.org/officeDocument/2006/relationships/hyperlink" Target="https://ref.ly/1Kgs9:4-1Kgs9:9" TargetMode="External"/><Relationship Id="rId20045" Type="http://schemas.openxmlformats.org/officeDocument/2006/relationships/hyperlink" Target="https://ref.ly/Hos9:17" TargetMode="External"/><Relationship Id="rId20046" Type="http://schemas.openxmlformats.org/officeDocument/2006/relationships/hyperlink" Target="https://ref.ly/Jer21:2" TargetMode="External"/><Relationship Id="rId20047" Type="http://schemas.openxmlformats.org/officeDocument/2006/relationships/hyperlink" Target="https://ref.ly/Jer22:25" TargetMode="External"/><Relationship Id="rId20048" Type="http://schemas.openxmlformats.org/officeDocument/2006/relationships/hyperlink" Target="https://ref.ly/Jer25:8-Jer25:9" TargetMode="External"/><Relationship Id="rId20049" Type="http://schemas.openxmlformats.org/officeDocument/2006/relationships/hyperlink" Target="https://ref.ly/Jer27:6" TargetMode="External"/><Relationship Id="rId20050" Type="http://schemas.openxmlformats.org/officeDocument/2006/relationships/hyperlink" Target="https://ref.ly/Jer28:14" TargetMode="External"/><Relationship Id="rId20051" Type="http://schemas.openxmlformats.org/officeDocument/2006/relationships/hyperlink" Target="https://ref.ly/Jer29:21" TargetMode="External"/><Relationship Id="rId20052" Type="http://schemas.openxmlformats.org/officeDocument/2006/relationships/hyperlink" Target="https://ref.ly/Jer32:6-Jer32:25" TargetMode="External"/><Relationship Id="rId20053" Type="http://schemas.openxmlformats.org/officeDocument/2006/relationships/hyperlink" Target="https://ref.ly/Amos9:14-Amos9:15" TargetMode="External"/><Relationship Id="rId20054" Type="http://schemas.openxmlformats.org/officeDocument/2006/relationships/hyperlink" Target="https://ref.ly/Heb11:16" TargetMode="External"/><Relationship Id="rId20055" Type="http://schemas.openxmlformats.org/officeDocument/2006/relationships/hyperlink" Target="https://ref.ly/Heb3:1-Heb4:16" TargetMode="External"/><Relationship Id="rId20056" Type="http://schemas.openxmlformats.org/officeDocument/2006/relationships/hyperlink" Target="https://ref.ly/Heb11:13-Heb11:16" TargetMode="External"/><Relationship Id="rId20057" Type="http://schemas.openxmlformats.org/officeDocument/2006/relationships/hyperlink" Target="https://ref.ly/Isa11:6-Isa11:11" TargetMode="External"/><Relationship Id="rId20058" Type="http://schemas.openxmlformats.org/officeDocument/2006/relationships/hyperlink" Target="https://ref.ly/Deut30:1-Deut30:16" TargetMode="External"/><Relationship Id="rId20059" Type="http://schemas.openxmlformats.org/officeDocument/2006/relationships/hyperlink" Target="https://ref.ly/Num16:31-Num16:33" TargetMode="External"/><Relationship Id="rId20060" Type="http://schemas.openxmlformats.org/officeDocument/2006/relationships/hyperlink" Target="https://ref.ly/1Sam14:15" TargetMode="External"/><Relationship Id="rId20061" Type="http://schemas.openxmlformats.org/officeDocument/2006/relationships/hyperlink" Target="https://ref.ly/1Kgs19:7-1Kgs19:9" TargetMode="External"/><Relationship Id="rId20062" Type="http://schemas.openxmlformats.org/officeDocument/2006/relationships/hyperlink" Target="https://ref.ly/Matt27:51-Matt27:54" TargetMode="External"/><Relationship Id="rId20063" Type="http://schemas.openxmlformats.org/officeDocument/2006/relationships/hyperlink" Target="https://ref.ly/Matt28:2" TargetMode="External"/><Relationship Id="rId20064" Type="http://schemas.openxmlformats.org/officeDocument/2006/relationships/hyperlink" Target="https://ref.ly/Acts16:26" TargetMode="External"/><Relationship Id="rId20065" Type="http://schemas.openxmlformats.org/officeDocument/2006/relationships/hyperlink" Target="https://ref.ly/Zech14:4-Zech14:5" TargetMode="External"/><Relationship Id="rId20066" Type="http://schemas.openxmlformats.org/officeDocument/2006/relationships/hyperlink" Target="https://ref.ly/Rev6:12-Rev6:24" TargetMode="External"/><Relationship Id="rId20067" Type="http://schemas.openxmlformats.org/officeDocument/2006/relationships/hyperlink" Target="https://ref.ly/Acts24:1-Acts24:2" TargetMode="External"/><Relationship Id="rId20068" Type="http://schemas.openxmlformats.org/officeDocument/2006/relationships/hyperlink" Target="https://ref.ly/Acts24:6-Acts24:7" TargetMode="External"/><Relationship Id="rId20069" Type="http://schemas.openxmlformats.org/officeDocument/2006/relationships/hyperlink" Target="https://ref.ly/Acts24:2-Acts24:8" TargetMode="External"/><Relationship Id="rId20070" Type="http://schemas.openxmlformats.org/officeDocument/2006/relationships/hyperlink" Target="https://ref.ly/1Chr27:25" TargetMode="External"/><Relationship Id="rId20071" Type="http://schemas.openxmlformats.org/officeDocument/2006/relationships/hyperlink" Target="https://ref.ly/1Chr26:20" TargetMode="External"/><Relationship Id="rId20072" Type="http://schemas.openxmlformats.org/officeDocument/2006/relationships/hyperlink" Target="https://ref.ly/1Chr29:7-1Chr29:8" TargetMode="External"/><Relationship Id="rId20073" Type="http://schemas.openxmlformats.org/officeDocument/2006/relationships/hyperlink" Target="https://ref.ly/Isa22:15" TargetMode="External"/><Relationship Id="rId20074" Type="http://schemas.openxmlformats.org/officeDocument/2006/relationships/hyperlink" Target="https://ref.ly/Ezra1:8" TargetMode="External"/><Relationship Id="rId20075" Type="http://schemas.openxmlformats.org/officeDocument/2006/relationships/hyperlink" Target="https://ref.ly/Ezra7:21-Ezra7:22" TargetMode="External"/><Relationship Id="rId20076" Type="http://schemas.openxmlformats.org/officeDocument/2006/relationships/hyperlink" Target="https://ref.ly/Neh13:13" TargetMode="External"/><Relationship Id="rId20077" Type="http://schemas.openxmlformats.org/officeDocument/2006/relationships/hyperlink" Target="https://ref.ly/Acts17:6-Acts17:8" TargetMode="External"/><Relationship Id="rId20078" Type="http://schemas.openxmlformats.org/officeDocument/2006/relationships/hyperlink" Target="https://ref.ly/Acts17:1-Acts17:4" TargetMode="External"/><Relationship Id="rId20079" Type="http://schemas.openxmlformats.org/officeDocument/2006/relationships/hyperlink" Target="https://ref.ly/Acts17:5-Acts17:10" TargetMode="External"/><Relationship Id="rId20080" Type="http://schemas.openxmlformats.org/officeDocument/2006/relationships/hyperlink" Target="https://ref.ly/Acts17:13" TargetMode="External"/><Relationship Id="rId20081" Type="http://schemas.openxmlformats.org/officeDocument/2006/relationships/hyperlink" Target="https://ref.ly/Acts17:1-Acts17:9" TargetMode="External"/><Relationship Id="rId20082" Type="http://schemas.openxmlformats.org/officeDocument/2006/relationships/hyperlink" Target="https://ref.ly/Phil4:16" TargetMode="External"/><Relationship Id="rId20083" Type="http://schemas.openxmlformats.org/officeDocument/2006/relationships/hyperlink" Target="https://ref.ly/1Thess5:1" TargetMode="External"/><Relationship Id="rId20084" Type="http://schemas.openxmlformats.org/officeDocument/2006/relationships/hyperlink" Target="https://ref.ly/1Thess1:7-1Thess1:10" TargetMode="External"/><Relationship Id="rId20085" Type="http://schemas.openxmlformats.org/officeDocument/2006/relationships/hyperlink" Target="https://ref.ly/1Thess2:13-1Thess2:16" TargetMode="External"/><Relationship Id="rId20086" Type="http://schemas.openxmlformats.org/officeDocument/2006/relationships/hyperlink" Target="https://ref.ly/1Thess3:1-1Thess3:10" TargetMode="External"/><Relationship Id="rId20087" Type="http://schemas.openxmlformats.org/officeDocument/2006/relationships/hyperlink" Target="https://ref.ly/1Thess2:1-1Thess2:12" TargetMode="External"/><Relationship Id="rId20088" Type="http://schemas.openxmlformats.org/officeDocument/2006/relationships/hyperlink" Target="https://ref.ly/1Thess2:17-1Thess2:18" TargetMode="External"/><Relationship Id="rId20089" Type="http://schemas.openxmlformats.org/officeDocument/2006/relationships/hyperlink" Target="https://ref.ly/1Thess4:1-1Thess4:8" TargetMode="External"/><Relationship Id="rId20090" Type="http://schemas.openxmlformats.org/officeDocument/2006/relationships/hyperlink" Target="https://ref.ly/1Thess4:9-1Thess4:12" TargetMode="External"/><Relationship Id="rId20091" Type="http://schemas.openxmlformats.org/officeDocument/2006/relationships/hyperlink" Target="https://ref.ly/1Thess5:12-1Thess5:22" TargetMode="External"/><Relationship Id="rId20092" Type="http://schemas.openxmlformats.org/officeDocument/2006/relationships/hyperlink" Target="https://ref.ly/1Thess4:13-1Thess4:18" TargetMode="External"/><Relationship Id="rId20093" Type="http://schemas.openxmlformats.org/officeDocument/2006/relationships/hyperlink" Target="https://ref.ly/1Thess5:1-1Thess5:11" TargetMode="External"/><Relationship Id="rId20094" Type="http://schemas.openxmlformats.org/officeDocument/2006/relationships/hyperlink" Target="https://ref.ly/1Thess5:19-1Thess5:21" TargetMode="External"/><Relationship Id="rId20095" Type="http://schemas.openxmlformats.org/officeDocument/2006/relationships/hyperlink" Target="https://ref.ly/1Thess5:12" TargetMode="External"/><Relationship Id="rId20096" Type="http://schemas.openxmlformats.org/officeDocument/2006/relationships/hyperlink" Target="https://ref.ly/1Thess1:2-1Thess1:10" TargetMode="External"/><Relationship Id="rId20097" Type="http://schemas.openxmlformats.org/officeDocument/2006/relationships/hyperlink" Target="https://ref.ly/1Thess2:17-1Thess2:20" TargetMode="External"/><Relationship Id="rId20098" Type="http://schemas.openxmlformats.org/officeDocument/2006/relationships/hyperlink" Target="https://ref.ly/Acts17:9" TargetMode="External"/><Relationship Id="rId20099" Type="http://schemas.openxmlformats.org/officeDocument/2006/relationships/hyperlink" Target="https://ref.ly/1Thess3:1-1Thess3:5" TargetMode="External"/><Relationship Id="rId20100" Type="http://schemas.openxmlformats.org/officeDocument/2006/relationships/hyperlink" Target="https://ref.ly/1Thess3:6-1Thess3:10" TargetMode="External"/><Relationship Id="rId20101" Type="http://schemas.openxmlformats.org/officeDocument/2006/relationships/hyperlink" Target="https://ref.ly/1Thess3:11-1Thess3:13" TargetMode="External"/><Relationship Id="rId20102" Type="http://schemas.openxmlformats.org/officeDocument/2006/relationships/hyperlink" Target="https://ref.ly/1Thess5:23-1Thess5:28" TargetMode="External"/><Relationship Id="rId20103" Type="http://schemas.openxmlformats.org/officeDocument/2006/relationships/hyperlink" Target="https://ref.ly/Mark10:19" TargetMode="External"/><Relationship Id="rId20104" Type="http://schemas.openxmlformats.org/officeDocument/2006/relationships/hyperlink" Target="https://ref.ly/Luke18:20" TargetMode="External"/><Relationship Id="rId20105" Type="http://schemas.openxmlformats.org/officeDocument/2006/relationships/hyperlink" Target="https://ref.ly/Prov6:19" TargetMode="External"/><Relationship Id="rId20106" Type="http://schemas.openxmlformats.org/officeDocument/2006/relationships/hyperlink" Target="https://ref.ly/Prov14:5" TargetMode="External"/><Relationship Id="rId20107" Type="http://schemas.openxmlformats.org/officeDocument/2006/relationships/hyperlink" Target="https://ref.ly/Prov25:18" TargetMode="External"/><Relationship Id="rId20108" Type="http://schemas.openxmlformats.org/officeDocument/2006/relationships/hyperlink" Target="https://ref.ly/Ps27:12" TargetMode="External"/><Relationship Id="rId20109" Type="http://schemas.openxmlformats.org/officeDocument/2006/relationships/hyperlink" Target="https://ref.ly/Ps35:11" TargetMode="External"/><Relationship Id="rId20110" Type="http://schemas.openxmlformats.org/officeDocument/2006/relationships/hyperlink" Target="https://ref.ly/Deut19:16-Deut19:21" TargetMode="External"/><Relationship Id="rId20111" Type="http://schemas.openxmlformats.org/officeDocument/2006/relationships/hyperlink" Target="https://ref.ly/Prov19:5" TargetMode="External"/><Relationship Id="rId20112" Type="http://schemas.openxmlformats.org/officeDocument/2006/relationships/hyperlink" Target="https://ref.ly/Prov21:28" TargetMode="External"/><Relationship Id="rId20113" Type="http://schemas.openxmlformats.org/officeDocument/2006/relationships/hyperlink" Target="https://ref.ly/Ruth4:7-Ruth4:12" TargetMode="External"/><Relationship Id="rId20114" Type="http://schemas.openxmlformats.org/officeDocument/2006/relationships/hyperlink" Target="https://ref.ly/Jer32:6-Jer32:15" TargetMode="External"/><Relationship Id="rId20115" Type="http://schemas.openxmlformats.org/officeDocument/2006/relationships/hyperlink" Target="https://ref.ly/Josh24:22-Josh24:27" TargetMode="External"/><Relationship Id="rId20116" Type="http://schemas.openxmlformats.org/officeDocument/2006/relationships/hyperlink" Target="https://ref.ly/Isa43:10" TargetMode="External"/><Relationship Id="rId20117" Type="http://schemas.openxmlformats.org/officeDocument/2006/relationships/hyperlink" Target="https://ref.ly/Isa44:8-Isa44:9" TargetMode="External"/><Relationship Id="rId20118" Type="http://schemas.openxmlformats.org/officeDocument/2006/relationships/hyperlink" Target="https://ref.ly/2Pet1:17-2Pet1:18" TargetMode="External"/><Relationship Id="rId20119" Type="http://schemas.openxmlformats.org/officeDocument/2006/relationships/hyperlink" Target="https://ref.ly/Luke24:48" TargetMode="External"/><Relationship Id="rId20120" Type="http://schemas.openxmlformats.org/officeDocument/2006/relationships/hyperlink" Target="https://ref.ly/1Cor15:4-1Cor15:8" TargetMode="External"/><Relationship Id="rId20121" Type="http://schemas.openxmlformats.org/officeDocument/2006/relationships/hyperlink" Target="https://ref.ly/John8:56-John8:58" TargetMode="External"/><Relationship Id="rId20122" Type="http://schemas.openxmlformats.org/officeDocument/2006/relationships/hyperlink" Target="https://ref.ly/Exod20:2,Exod20:7" TargetMode="External"/><Relationship Id="rId20123" Type="http://schemas.openxmlformats.org/officeDocument/2006/relationships/hyperlink" Target="https://ref.ly/Luke3:19" TargetMode="External"/><Relationship Id="rId20124" Type="http://schemas.openxmlformats.org/officeDocument/2006/relationships/hyperlink" Target="https://ref.ly/Luke9:7" TargetMode="External"/><Relationship Id="rId20125" Type="http://schemas.openxmlformats.org/officeDocument/2006/relationships/hyperlink" Target="https://ref.ly/Matt14:9" TargetMode="External"/><Relationship Id="rId20126" Type="http://schemas.openxmlformats.org/officeDocument/2006/relationships/hyperlink" Target="https://ref.ly/Mark6:14" TargetMode="External"/><Relationship Id="rId20127" Type="http://schemas.openxmlformats.org/officeDocument/2006/relationships/hyperlink" Target="https://ref.ly/Acts5:36" TargetMode="External"/><Relationship Id="rId20128" Type="http://schemas.openxmlformats.org/officeDocument/2006/relationships/hyperlink" Target="https://ref.ly/Matt12:48-Matt12:50" TargetMode="External"/><Relationship Id="rId20129" Type="http://schemas.openxmlformats.org/officeDocument/2006/relationships/hyperlink" Target="https://ref.ly/Mark3:33-Mark3:35" TargetMode="External"/><Relationship Id="rId20130" Type="http://schemas.openxmlformats.org/officeDocument/2006/relationships/hyperlink" Target="https://ref.ly/Luke8:21" TargetMode="External"/><Relationship Id="rId20131" Type="http://schemas.openxmlformats.org/officeDocument/2006/relationships/hyperlink" Target="https://ref.ly/Acts15:19-Acts15:20" TargetMode="External"/><Relationship Id="rId20132" Type="http://schemas.openxmlformats.org/officeDocument/2006/relationships/hyperlink" Target="https://ref.ly/Acts21:18-Acts21:25" TargetMode="External"/><Relationship Id="rId20133" Type="http://schemas.openxmlformats.org/officeDocument/2006/relationships/hyperlink" Target="https://ref.ly/Matt17:1" TargetMode="External"/><Relationship Id="rId20134" Type="http://schemas.openxmlformats.org/officeDocument/2006/relationships/hyperlink" Target="https://ref.ly/Luke9:28" TargetMode="External"/><Relationship Id="rId20135" Type="http://schemas.openxmlformats.org/officeDocument/2006/relationships/hyperlink" Target="https://ref.ly/Matt20:20-Matt20:23" TargetMode="External"/><Relationship Id="rId20136" Type="http://schemas.openxmlformats.org/officeDocument/2006/relationships/hyperlink" Target="https://ref.ly/Acts12:1-Acts12:2" TargetMode="External"/><Relationship Id="rId20137" Type="http://schemas.openxmlformats.org/officeDocument/2006/relationships/hyperlink" Target="https://ref.ly/Acts15:13" TargetMode="External"/><Relationship Id="rId20138" Type="http://schemas.openxmlformats.org/officeDocument/2006/relationships/hyperlink" Target="https://ref.ly/Acts21:17-Acts21:25" TargetMode="External"/><Relationship Id="rId20139" Type="http://schemas.openxmlformats.org/officeDocument/2006/relationships/hyperlink" Target="https://ref.ly/Jas1:4" TargetMode="External"/><Relationship Id="rId20140" Type="http://schemas.openxmlformats.org/officeDocument/2006/relationships/hyperlink" Target="https://ref.ly/Jas1:5" TargetMode="External"/><Relationship Id="rId20141" Type="http://schemas.openxmlformats.org/officeDocument/2006/relationships/hyperlink" Target="https://ref.ly/Jas5:14-Jas5:15" TargetMode="External"/><Relationship Id="rId20142" Type="http://schemas.openxmlformats.org/officeDocument/2006/relationships/hyperlink" Target="https://ref.ly/Matt7:7-Matt7:11" TargetMode="External"/><Relationship Id="rId20143" Type="http://schemas.openxmlformats.org/officeDocument/2006/relationships/hyperlink" Target="https://ref.ly/Jas2:13" TargetMode="External"/><Relationship Id="rId20144" Type="http://schemas.openxmlformats.org/officeDocument/2006/relationships/hyperlink" Target="https://ref.ly/Matt5:19" TargetMode="External"/><Relationship Id="rId20145" Type="http://schemas.openxmlformats.org/officeDocument/2006/relationships/hyperlink" Target="https://ref.ly/Jas4:11" TargetMode="External"/><Relationship Id="rId20146" Type="http://schemas.openxmlformats.org/officeDocument/2006/relationships/hyperlink" Target="https://ref.ly/Matt7:1-Matt7:2" TargetMode="External"/><Relationship Id="rId20147" Type="http://schemas.openxmlformats.org/officeDocument/2006/relationships/hyperlink" Target="https://ref.ly/Jas1:20" TargetMode="External"/><Relationship Id="rId20148" Type="http://schemas.openxmlformats.org/officeDocument/2006/relationships/hyperlink" Target="https://ref.ly/Jas3:18" TargetMode="External"/><Relationship Id="rId20149" Type="http://schemas.openxmlformats.org/officeDocument/2006/relationships/hyperlink" Target="https://ref.ly/Acts21:18-Acts21:24" TargetMode="External"/><Relationship Id="rId20150" Type="http://schemas.openxmlformats.org/officeDocument/2006/relationships/hyperlink" Target="https://ref.ly/Jas5:1-Jas5:20" TargetMode="External"/><Relationship Id="rId20151" Type="http://schemas.openxmlformats.org/officeDocument/2006/relationships/hyperlink" Target="https://ref.ly/Jas1:19" TargetMode="External"/><Relationship Id="rId20152" Type="http://schemas.openxmlformats.org/officeDocument/2006/relationships/hyperlink" Target="https://ref.ly/Prov29:20" TargetMode="External"/><Relationship Id="rId20153" Type="http://schemas.openxmlformats.org/officeDocument/2006/relationships/hyperlink" Target="https://ref.ly/Jas4:13-Jas4:16" TargetMode="External"/><Relationship Id="rId20154" Type="http://schemas.openxmlformats.org/officeDocument/2006/relationships/hyperlink" Target="https://ref.ly/Prov27:1" TargetMode="External"/><Relationship Id="rId20155" Type="http://schemas.openxmlformats.org/officeDocument/2006/relationships/hyperlink" Target="https://ref.ly/Prov10:12" TargetMode="External"/><Relationship Id="rId20156" Type="http://schemas.openxmlformats.org/officeDocument/2006/relationships/hyperlink" Target="https://ref.ly/Acts12:1" TargetMode="External"/><Relationship Id="rId20157" Type="http://schemas.openxmlformats.org/officeDocument/2006/relationships/hyperlink" Target="https://ref.ly/Jas3:11" TargetMode="External"/><Relationship Id="rId20158" Type="http://schemas.openxmlformats.org/officeDocument/2006/relationships/hyperlink" Target="https://ref.ly/Jas3:12" TargetMode="External"/><Relationship Id="rId20159" Type="http://schemas.openxmlformats.org/officeDocument/2006/relationships/hyperlink" Target="https://ref.ly/Jas1:11" TargetMode="External"/><Relationship Id="rId20160" Type="http://schemas.openxmlformats.org/officeDocument/2006/relationships/hyperlink" Target="https://ref.ly/Jas2:1" TargetMode="External"/><Relationship Id="rId20161" Type="http://schemas.openxmlformats.org/officeDocument/2006/relationships/hyperlink" Target="https://ref.ly/Jas2:1-Jas2:12" TargetMode="External"/><Relationship Id="rId20162" Type="http://schemas.openxmlformats.org/officeDocument/2006/relationships/hyperlink" Target="https://ref.ly/Jas5:1-Jas5:11" TargetMode="External"/><Relationship Id="rId20163" Type="http://schemas.openxmlformats.org/officeDocument/2006/relationships/hyperlink" Target="https://ref.ly/Jas4:13-Jas4:17" TargetMode="External"/><Relationship Id="rId20164" Type="http://schemas.openxmlformats.org/officeDocument/2006/relationships/hyperlink" Target="https://ref.ly/Jas1:2-Jas1:4" TargetMode="External"/><Relationship Id="rId20165" Type="http://schemas.openxmlformats.org/officeDocument/2006/relationships/hyperlink" Target="https://ref.ly/Jas5:7-Jas5:11" TargetMode="External"/><Relationship Id="rId20166" Type="http://schemas.openxmlformats.org/officeDocument/2006/relationships/hyperlink" Target="https://ref.ly/Jas1:13-Jas1:15" TargetMode="External"/><Relationship Id="rId20167" Type="http://schemas.openxmlformats.org/officeDocument/2006/relationships/hyperlink" Target="https://ref.ly/Jas1:13-Jas1:14" TargetMode="External"/><Relationship Id="rId20168" Type="http://schemas.openxmlformats.org/officeDocument/2006/relationships/hyperlink" Target="https://ref.ly/Jas2:8-Jas2:13" TargetMode="External"/><Relationship Id="rId20169" Type="http://schemas.openxmlformats.org/officeDocument/2006/relationships/hyperlink" Target="https://ref.ly/Jas1:3" TargetMode="External"/><Relationship Id="rId20170" Type="http://schemas.openxmlformats.org/officeDocument/2006/relationships/hyperlink" Target="https://ref.ly/Jas1:6" TargetMode="External"/><Relationship Id="rId20171" Type="http://schemas.openxmlformats.org/officeDocument/2006/relationships/hyperlink" Target="https://ref.ly/Jas5:15-Jas5:16" TargetMode="External"/><Relationship Id="rId20172" Type="http://schemas.openxmlformats.org/officeDocument/2006/relationships/hyperlink" Target="https://ref.ly/Matt21:22" TargetMode="External"/><Relationship Id="rId20173" Type="http://schemas.openxmlformats.org/officeDocument/2006/relationships/hyperlink" Target="https://ref.ly/Mark5:34" TargetMode="External"/><Relationship Id="rId20174" Type="http://schemas.openxmlformats.org/officeDocument/2006/relationships/hyperlink" Target="https://ref.ly/Mark11:24" TargetMode="External"/><Relationship Id="rId20175" Type="http://schemas.openxmlformats.org/officeDocument/2006/relationships/hyperlink" Target="https://ref.ly/Jas2:14" TargetMode="External"/><Relationship Id="rId20176" Type="http://schemas.openxmlformats.org/officeDocument/2006/relationships/hyperlink" Target="https://ref.ly/Wis7:7" TargetMode="External"/><Relationship Id="rId20177" Type="http://schemas.openxmlformats.org/officeDocument/2006/relationships/hyperlink" Target="https://ref.ly/Sir1:1" TargetMode="External"/><Relationship Id="rId20178" Type="http://schemas.openxmlformats.org/officeDocument/2006/relationships/hyperlink" Target="https://ref.ly/Jas3:13" TargetMode="External"/><Relationship Id="rId20179" Type="http://schemas.openxmlformats.org/officeDocument/2006/relationships/hyperlink" Target="https://ref.ly/Jas3:15-Jas3:16" TargetMode="External"/><Relationship Id="rId20180" Type="http://schemas.openxmlformats.org/officeDocument/2006/relationships/hyperlink" Target="https://ref.ly/Jas2:1-Jas2:26" TargetMode="External"/><Relationship Id="rId20181" Type="http://schemas.openxmlformats.org/officeDocument/2006/relationships/hyperlink" Target="https://ref.ly/Jas5:5" TargetMode="External"/><Relationship Id="rId20182" Type="http://schemas.openxmlformats.org/officeDocument/2006/relationships/hyperlink" Target="https://ref.ly/Jas5:9" TargetMode="External"/><Relationship Id="rId20183" Type="http://schemas.openxmlformats.org/officeDocument/2006/relationships/hyperlink" Target="https://ref.ly/Jas1:5-Jas1:8" TargetMode="External"/><Relationship Id="rId20184" Type="http://schemas.openxmlformats.org/officeDocument/2006/relationships/hyperlink" Target="https://ref.ly/Jas1:9-Jas1:11" TargetMode="External"/><Relationship Id="rId20185" Type="http://schemas.openxmlformats.org/officeDocument/2006/relationships/hyperlink" Target="https://ref.ly/Jas1:12-Jas1:15" TargetMode="External"/><Relationship Id="rId20186" Type="http://schemas.openxmlformats.org/officeDocument/2006/relationships/hyperlink" Target="https://ref.ly/Jas1:16-Jas1:18" TargetMode="External"/><Relationship Id="rId20187" Type="http://schemas.openxmlformats.org/officeDocument/2006/relationships/hyperlink" Target="https://ref.ly/Jas1:19-Jas1:21" TargetMode="External"/><Relationship Id="rId20188" Type="http://schemas.openxmlformats.org/officeDocument/2006/relationships/hyperlink" Target="https://ref.ly/Jas1:22-Jas1:25" TargetMode="External"/><Relationship Id="rId20189" Type="http://schemas.openxmlformats.org/officeDocument/2006/relationships/hyperlink" Target="https://ref.ly/Jas1:26-Jas1:27" TargetMode="External"/><Relationship Id="rId20190" Type="http://schemas.openxmlformats.org/officeDocument/2006/relationships/hyperlink" Target="https://ref.ly/Jas2:1-Jas2:7" TargetMode="External"/><Relationship Id="rId20191" Type="http://schemas.openxmlformats.org/officeDocument/2006/relationships/hyperlink" Target="https://ref.ly/Jas4:1-Jas4:10" TargetMode="External"/><Relationship Id="rId20192" Type="http://schemas.openxmlformats.org/officeDocument/2006/relationships/hyperlink" Target="https://ref.ly/Jas4:11-Jas4:12" TargetMode="External"/><Relationship Id="rId20193" Type="http://schemas.openxmlformats.org/officeDocument/2006/relationships/hyperlink" Target="https://ref.ly/Jas5:7-Jas5:12" TargetMode="External"/><Relationship Id="rId20194" Type="http://schemas.openxmlformats.org/officeDocument/2006/relationships/hyperlink" Target="https://ref.ly/Jas5:13-Jas5:18" TargetMode="External"/><Relationship Id="rId20195" Type="http://schemas.openxmlformats.org/officeDocument/2006/relationships/hyperlink" Target="https://ref.ly/Rev2:19" TargetMode="External"/><Relationship Id="rId20196" Type="http://schemas.openxmlformats.org/officeDocument/2006/relationships/hyperlink" Target="https://ref.ly/Rev2:25" TargetMode="External"/><Relationship Id="rId20197" Type="http://schemas.openxmlformats.org/officeDocument/2006/relationships/hyperlink" Target="https://ref.ly/Gen14:1-Gen14:9" TargetMode="External"/><Relationship Id="rId20198" Type="http://schemas.openxmlformats.org/officeDocument/2006/relationships/hyperlink" Target="https://ref.ly/Exod1:11-Exod1:14" TargetMode="External"/><Relationship Id="rId20199" Type="http://schemas.openxmlformats.org/officeDocument/2006/relationships/hyperlink" Target="https://ref.ly/Exod5:6-Exod5:19" TargetMode="External"/><Relationship Id="rId20200" Type="http://schemas.openxmlformats.org/officeDocument/2006/relationships/hyperlink" Target="https://ref.ly/Gen38:12-Gen38:14" TargetMode="External"/><Relationship Id="rId20201" Type="http://schemas.openxmlformats.org/officeDocument/2006/relationships/hyperlink" Target="https://ref.ly/Judg14:1-Judg14:5" TargetMode="External"/><Relationship Id="rId20202" Type="http://schemas.openxmlformats.org/officeDocument/2006/relationships/hyperlink" Target="https://ref.ly/Judg15:6" TargetMode="External"/><Relationship Id="rId20203" Type="http://schemas.openxmlformats.org/officeDocument/2006/relationships/hyperlink" Target="https://ref.ly/Josh19:43" TargetMode="External"/><Relationship Id="rId20204" Type="http://schemas.openxmlformats.org/officeDocument/2006/relationships/hyperlink" Target="https://ref.ly/Josh15:57" TargetMode="External"/><Relationship Id="rId20205" Type="http://schemas.openxmlformats.org/officeDocument/2006/relationships/hyperlink" Target="https://ref.ly/1Chr1:36,1Chr1:51" TargetMode="External"/><Relationship Id="rId20206" Type="http://schemas.openxmlformats.org/officeDocument/2006/relationships/hyperlink" Target="https://ref.ly/Phil2:19-Phil2:23" TargetMode="External"/><Relationship Id="rId20207" Type="http://schemas.openxmlformats.org/officeDocument/2006/relationships/hyperlink" Target="https://ref.ly/1Thess3:2-1Thess3:6" TargetMode="External"/><Relationship Id="rId20208" Type="http://schemas.openxmlformats.org/officeDocument/2006/relationships/hyperlink" Target="https://ref.ly/1Tim1:2-1Tim1:3" TargetMode="External"/><Relationship Id="rId20209" Type="http://schemas.openxmlformats.org/officeDocument/2006/relationships/hyperlink" Target="https://ref.ly/1Tim2:12" TargetMode="External"/><Relationship Id="rId20210" Type="http://schemas.openxmlformats.org/officeDocument/2006/relationships/hyperlink" Target="https://ref.ly/1Tim3:1" TargetMode="External"/><Relationship Id="rId20211" Type="http://schemas.openxmlformats.org/officeDocument/2006/relationships/hyperlink" Target="https://ref.ly/Titus1:4-Titus1:6" TargetMode="External"/><Relationship Id="rId20212" Type="http://schemas.openxmlformats.org/officeDocument/2006/relationships/hyperlink" Target="https://ref.ly/1Tim3:8" TargetMode="External"/><Relationship Id="rId20213" Type="http://schemas.openxmlformats.org/officeDocument/2006/relationships/hyperlink" Target="https://ref.ly/1Tim3:12" TargetMode="External"/><Relationship Id="rId20214" Type="http://schemas.openxmlformats.org/officeDocument/2006/relationships/hyperlink" Target="https://ref.ly/1Tim4:1-1Tim4:16" TargetMode="External"/><Relationship Id="rId20215" Type="http://schemas.openxmlformats.org/officeDocument/2006/relationships/hyperlink" Target="https://ref.ly/1Tim4:7" TargetMode="External"/><Relationship Id="rId20216" Type="http://schemas.openxmlformats.org/officeDocument/2006/relationships/hyperlink" Target="https://ref.ly/1Tim5:2" TargetMode="External"/><Relationship Id="rId20217" Type="http://schemas.openxmlformats.org/officeDocument/2006/relationships/hyperlink" Target="https://ref.ly/1Tim5:24-1Tim5:25" TargetMode="External"/><Relationship Id="rId20218" Type="http://schemas.openxmlformats.org/officeDocument/2006/relationships/hyperlink" Target="https://ref.ly/1Tim6:6-1Tim6:10" TargetMode="External"/><Relationship Id="rId20219" Type="http://schemas.openxmlformats.org/officeDocument/2006/relationships/hyperlink" Target="https://ref.ly/1Tim6:11-1Tim6:16" TargetMode="External"/><Relationship Id="rId20220" Type="http://schemas.openxmlformats.org/officeDocument/2006/relationships/hyperlink" Target="https://ref.ly/2Tim1:15-2Tim1:18" TargetMode="External"/><Relationship Id="rId20221" Type="http://schemas.openxmlformats.org/officeDocument/2006/relationships/hyperlink" Target="https://ref.ly/2Tim1:1-2Tim1:2" TargetMode="External"/><Relationship Id="rId20222" Type="http://schemas.openxmlformats.org/officeDocument/2006/relationships/hyperlink" Target="https://ref.ly/2Tim1:3-2Tim2:13" TargetMode="External"/><Relationship Id="rId20223" Type="http://schemas.openxmlformats.org/officeDocument/2006/relationships/hyperlink" Target="https://ref.ly/2Tim2:1" TargetMode="External"/><Relationship Id="rId20224" Type="http://schemas.openxmlformats.org/officeDocument/2006/relationships/hyperlink" Target="https://ref.ly/2Tim2:8-2Tim2:10" TargetMode="External"/><Relationship Id="rId20225" Type="http://schemas.openxmlformats.org/officeDocument/2006/relationships/hyperlink" Target="https://ref.ly/2Tim2:14-2Tim4:5" TargetMode="External"/><Relationship Id="rId20226" Type="http://schemas.openxmlformats.org/officeDocument/2006/relationships/hyperlink" Target="https://ref.ly/2Tim2:18" TargetMode="External"/><Relationship Id="rId20227" Type="http://schemas.openxmlformats.org/officeDocument/2006/relationships/hyperlink" Target="https://ref.ly/2Tim3:1-2Tim3:9" TargetMode="External"/><Relationship Id="rId20228" Type="http://schemas.openxmlformats.org/officeDocument/2006/relationships/hyperlink" Target="https://ref.ly/2Tim3:16-2Tim3:17" TargetMode="External"/><Relationship Id="rId20229" Type="http://schemas.openxmlformats.org/officeDocument/2006/relationships/hyperlink" Target="https://ref.ly/2Tim4:6-2Tim4:18" TargetMode="External"/><Relationship Id="rId20230" Type="http://schemas.openxmlformats.org/officeDocument/2006/relationships/hyperlink" Target="https://ref.ly/2Tim4:19-2Tim4:22" TargetMode="External"/><Relationship Id="rId20231" Type="http://schemas.openxmlformats.org/officeDocument/2006/relationships/hyperlink" Target="https://ref.ly/Lev13:30-Lev13:37" TargetMode="External"/><Relationship Id="rId20232" Type="http://schemas.openxmlformats.org/officeDocument/2006/relationships/hyperlink" Target="https://ref.ly/Lev14:54" TargetMode="External"/><Relationship Id="rId20233" Type="http://schemas.openxmlformats.org/officeDocument/2006/relationships/hyperlink" Target="https://ref.ly/Acts7:44" TargetMode="External"/><Relationship Id="rId20234" Type="http://schemas.openxmlformats.org/officeDocument/2006/relationships/hyperlink" Target="https://ref.ly/Heb8:5" TargetMode="External"/><Relationship Id="rId20235" Type="http://schemas.openxmlformats.org/officeDocument/2006/relationships/hyperlink" Target="https://ref.ly/1Cor10:6-1Cor10:11" TargetMode="External"/><Relationship Id="rId20236" Type="http://schemas.openxmlformats.org/officeDocument/2006/relationships/hyperlink" Target="https://ref.ly/2Thess3:9" TargetMode="External"/><Relationship Id="rId20237" Type="http://schemas.openxmlformats.org/officeDocument/2006/relationships/hyperlink" Target="https://ref.ly/Titus2:7" TargetMode="External"/><Relationship Id="rId20238" Type="http://schemas.openxmlformats.org/officeDocument/2006/relationships/hyperlink" Target="https://ref.ly/Exod17:6" TargetMode="External"/><Relationship Id="rId20239" Type="http://schemas.openxmlformats.org/officeDocument/2006/relationships/hyperlink" Target="https://ref.ly/Heb9:12-Heb9:22" TargetMode="External"/><Relationship Id="rId20240" Type="http://schemas.openxmlformats.org/officeDocument/2006/relationships/hyperlink" Target="https://ref.ly/Eph6:21" TargetMode="External"/><Relationship Id="rId20241" Type="http://schemas.openxmlformats.org/officeDocument/2006/relationships/hyperlink" Target="https://ref.ly/2Tim4:12" TargetMode="External"/><Relationship Id="rId20242" Type="http://schemas.openxmlformats.org/officeDocument/2006/relationships/hyperlink" Target="https://ref.ly/2Chr2:3-2Chr2:16" TargetMode="External"/><Relationship Id="rId20243" Type="http://schemas.openxmlformats.org/officeDocument/2006/relationships/hyperlink" Target="https://ref.ly/Jer27:1-Jer27:11" TargetMode="External"/><Relationship Id="rId20244" Type="http://schemas.openxmlformats.org/officeDocument/2006/relationships/hyperlink" Target="https://ref.ly/Ezek26:1-Ezek26:19" TargetMode="External"/><Relationship Id="rId20245" Type="http://schemas.openxmlformats.org/officeDocument/2006/relationships/hyperlink" Target="https://ref.ly/Amos1:9-Amos1:10" TargetMode="External"/><Relationship Id="rId20246" Type="http://schemas.openxmlformats.org/officeDocument/2006/relationships/hyperlink" Target="https://ref.ly/Ezek26:1-Ezek26:28" TargetMode="External"/><Relationship Id="rId20247" Type="http://schemas.openxmlformats.org/officeDocument/2006/relationships/hyperlink" Target="https://ref.ly/Ezek28:2" TargetMode="External"/><Relationship Id="rId20248" Type="http://schemas.openxmlformats.org/officeDocument/2006/relationships/hyperlink" Target="https://ref.ly/Mark7:24-Mark7:31" TargetMode="External"/><Relationship Id="rId20249" Type="http://schemas.openxmlformats.org/officeDocument/2006/relationships/hyperlink" Target="https://ref.ly/Titus1:4" TargetMode="External"/><Relationship Id="rId20250" Type="http://schemas.openxmlformats.org/officeDocument/2006/relationships/hyperlink" Target="https://ref.ly/Titus1:4-Titus1:5" TargetMode="External"/><Relationship Id="rId20251" Type="http://schemas.openxmlformats.org/officeDocument/2006/relationships/hyperlink" Target="https://ref.ly/2Cor7:6-2Cor7:7" TargetMode="External"/><Relationship Id="rId20252" Type="http://schemas.openxmlformats.org/officeDocument/2006/relationships/hyperlink" Target="https://ref.ly/2Cor8:6" TargetMode="External"/><Relationship Id="rId20253" Type="http://schemas.openxmlformats.org/officeDocument/2006/relationships/hyperlink" Target="https://ref.ly/Titus1:10-Titus1:16" TargetMode="External"/><Relationship Id="rId20254" Type="http://schemas.openxmlformats.org/officeDocument/2006/relationships/hyperlink" Target="https://ref.ly/Titus1:1-Titus1:3" TargetMode="External"/><Relationship Id="rId20255" Type="http://schemas.openxmlformats.org/officeDocument/2006/relationships/hyperlink" Target="https://ref.ly/Gal2:1-Gal2:4" TargetMode="External"/><Relationship Id="rId20256" Type="http://schemas.openxmlformats.org/officeDocument/2006/relationships/hyperlink" Target="https://ref.ly/2Cor8:1-2Cor8:24" TargetMode="External"/><Relationship Id="rId20257" Type="http://schemas.openxmlformats.org/officeDocument/2006/relationships/hyperlink" Target="https://ref.ly/2Tim4:9-2Tim4:18" TargetMode="External"/><Relationship Id="rId20258" Type="http://schemas.openxmlformats.org/officeDocument/2006/relationships/hyperlink" Target="https://ref.ly/Acts27:7-Acts27:13" TargetMode="External"/><Relationship Id="rId20259" Type="http://schemas.openxmlformats.org/officeDocument/2006/relationships/hyperlink" Target="https://ref.ly/Titus1:11" TargetMode="External"/><Relationship Id="rId20260" Type="http://schemas.openxmlformats.org/officeDocument/2006/relationships/hyperlink" Target="https://ref.ly/Titus2:11-Titus2:13" TargetMode="External"/><Relationship Id="rId20261" Type="http://schemas.openxmlformats.org/officeDocument/2006/relationships/hyperlink" Target="https://ref.ly/Titus3:4-Titus3:7" TargetMode="External"/><Relationship Id="rId20262" Type="http://schemas.openxmlformats.org/officeDocument/2006/relationships/hyperlink" Target="https://ref.ly/Titus2:2" TargetMode="External"/><Relationship Id="rId20263" Type="http://schemas.openxmlformats.org/officeDocument/2006/relationships/hyperlink" Target="https://ref.ly/Titus2:3" TargetMode="External"/><Relationship Id="rId20264" Type="http://schemas.openxmlformats.org/officeDocument/2006/relationships/hyperlink" Target="https://ref.ly/Titus2:4-Titus2:5" TargetMode="External"/><Relationship Id="rId20265" Type="http://schemas.openxmlformats.org/officeDocument/2006/relationships/hyperlink" Target="https://ref.ly/Titus2:6" TargetMode="External"/><Relationship Id="rId20266" Type="http://schemas.openxmlformats.org/officeDocument/2006/relationships/hyperlink" Target="https://ref.ly/Titus2:7-Titus2:8" TargetMode="External"/><Relationship Id="rId20267" Type="http://schemas.openxmlformats.org/officeDocument/2006/relationships/hyperlink" Target="https://ref.ly/Jer7:31-Jer7:32" TargetMode="External"/><Relationship Id="rId20268" Type="http://schemas.openxmlformats.org/officeDocument/2006/relationships/hyperlink" Target="https://ref.ly/Jer19:12" TargetMode="External"/><Relationship Id="rId20269" Type="http://schemas.openxmlformats.org/officeDocument/2006/relationships/hyperlink" Target="https://ref.ly/1Chr7:2" TargetMode="External"/><Relationship Id="rId20270" Type="http://schemas.openxmlformats.org/officeDocument/2006/relationships/hyperlink" Target="https://ref.ly/1Chr7:1-1Chr7:2" TargetMode="External"/><Relationship Id="rId20271" Type="http://schemas.openxmlformats.org/officeDocument/2006/relationships/hyperlink" Target="https://ref.ly/Judg12:8-Judg12:15" TargetMode="External"/><Relationship Id="rId20272" Type="http://schemas.openxmlformats.org/officeDocument/2006/relationships/hyperlink" Target="https://ref.ly/John11:16" TargetMode="External"/><Relationship Id="rId20273" Type="http://schemas.openxmlformats.org/officeDocument/2006/relationships/hyperlink" Target="https://ref.ly/John20:24" TargetMode="External"/><Relationship Id="rId20274" Type="http://schemas.openxmlformats.org/officeDocument/2006/relationships/hyperlink" Target="https://ref.ly/John14:5" TargetMode="External"/><Relationship Id="rId20275" Type="http://schemas.openxmlformats.org/officeDocument/2006/relationships/hyperlink" Target="https://ref.ly/John20:26-John20:28" TargetMode="External"/><Relationship Id="rId20276" Type="http://schemas.openxmlformats.org/officeDocument/2006/relationships/hyperlink" Target="https://ref.ly/Rom9:31" TargetMode="External"/><Relationship Id="rId20277" Type="http://schemas.openxmlformats.org/officeDocument/2006/relationships/hyperlink" Target="https://ref.ly/Matt22:31-Matt22:32" TargetMode="External"/><Relationship Id="rId20278" Type="http://schemas.openxmlformats.org/officeDocument/2006/relationships/hyperlink" Target="https://ref.ly/Lev18:5" TargetMode="External"/><Relationship Id="rId20279" Type="http://schemas.openxmlformats.org/officeDocument/2006/relationships/hyperlink" Target="https://ref.ly/Rom7:7" TargetMode="External"/><Relationship Id="rId20280" Type="http://schemas.openxmlformats.org/officeDocument/2006/relationships/hyperlink" Target="https://ref.ly/Mark12:1" TargetMode="External"/><Relationship Id="rId20281" Type="http://schemas.openxmlformats.org/officeDocument/2006/relationships/hyperlink" Target="https://ref.ly/2Chr20:24" TargetMode="External"/><Relationship Id="rId20282" Type="http://schemas.openxmlformats.org/officeDocument/2006/relationships/hyperlink" Target="https://ref.ly/Ps139:13-Ps139:16" TargetMode="External"/><Relationship Id="rId20283" Type="http://schemas.openxmlformats.org/officeDocument/2006/relationships/hyperlink" Target="https://ref.ly/John4:34" TargetMode="External"/><Relationship Id="rId20284" Type="http://schemas.openxmlformats.org/officeDocument/2006/relationships/hyperlink" Target="https://ref.ly/John2:14-John2:16" TargetMode="External"/><Relationship Id="rId20285" Type="http://schemas.openxmlformats.org/officeDocument/2006/relationships/hyperlink" Target="https://ref.ly/Ps104:19-Ps104:23" TargetMode="External"/><Relationship Id="rId20286" Type="http://schemas.openxmlformats.org/officeDocument/2006/relationships/hyperlink" Target="https://ref.ly/2Thess3:10" TargetMode="External"/><Relationship Id="rId20287" Type="http://schemas.openxmlformats.org/officeDocument/2006/relationships/hyperlink" Target="https://ref.ly/Acts20:33-Acts20:35" TargetMode="External"/><Relationship Id="rId20288" Type="http://schemas.openxmlformats.org/officeDocument/2006/relationships/hyperlink" Target="https://ref.ly/1Thess4:11-1Thess4:12" TargetMode="External"/><Relationship Id="rId20289" Type="http://schemas.openxmlformats.org/officeDocument/2006/relationships/hyperlink" Target="https://ref.ly/Sir7:15" TargetMode="External"/><Relationship Id="rId20290" Type="http://schemas.openxmlformats.org/officeDocument/2006/relationships/hyperlink" Target="https://ref.ly/Exod31:1-Exod31:11" TargetMode="External"/><Relationship Id="rId20291" Type="http://schemas.openxmlformats.org/officeDocument/2006/relationships/hyperlink" Target="https://ref.ly/Isa6:8-Isa6:9" TargetMode="External"/><Relationship Id="rId20292" Type="http://schemas.openxmlformats.org/officeDocument/2006/relationships/hyperlink" Target="https://ref.ly/1Cor3:6-1Cor3:15" TargetMode="External"/><Relationship Id="rId20293" Type="http://schemas.openxmlformats.org/officeDocument/2006/relationships/hyperlink" Target="https://ref.ly/Mark9:2-Mark9:8" TargetMode="External"/><Relationship Id="rId20294" Type="http://schemas.openxmlformats.org/officeDocument/2006/relationships/hyperlink" Target="https://ref.ly/Luke9:31" TargetMode="External"/><Relationship Id="rId20295" Type="http://schemas.openxmlformats.org/officeDocument/2006/relationships/hyperlink" Target="https://ref.ly/Mark9:4" TargetMode="External"/><Relationship Id="rId20296" Type="http://schemas.openxmlformats.org/officeDocument/2006/relationships/hyperlink" Target="https://ref.ly/Mark9:8" TargetMode="External"/><Relationship Id="rId20297" Type="http://schemas.openxmlformats.org/officeDocument/2006/relationships/hyperlink" Target="https://ref.ly/Deut3:20" TargetMode="External"/><Relationship Id="rId20298" Type="http://schemas.openxmlformats.org/officeDocument/2006/relationships/hyperlink" Target="https://ref.ly/Deut4:47" TargetMode="External"/><Relationship Id="rId20299" Type="http://schemas.openxmlformats.org/officeDocument/2006/relationships/hyperlink" Target="https://ref.ly/Deut3:25" TargetMode="External"/><Relationship Id="rId20300" Type="http://schemas.openxmlformats.org/officeDocument/2006/relationships/hyperlink" Target="https://ref.ly/Gen34:25-Gen34:29" TargetMode="External"/><Relationship Id="rId20301" Type="http://schemas.openxmlformats.org/officeDocument/2006/relationships/hyperlink" Target="https://ref.ly/Num18:20" TargetMode="External"/><Relationship Id="rId20302" Type="http://schemas.openxmlformats.org/officeDocument/2006/relationships/hyperlink" Target="https://ref.ly/Num1:49" TargetMode="External"/><Relationship Id="rId20303" Type="http://schemas.openxmlformats.org/officeDocument/2006/relationships/hyperlink" Target="https://ref.ly/Num1:50-Num1:53" TargetMode="External"/><Relationship Id="rId20304" Type="http://schemas.openxmlformats.org/officeDocument/2006/relationships/hyperlink" Target="https://ref.ly/1Chr23:25-1Chr23:32" TargetMode="External"/><Relationship Id="rId20305" Type="http://schemas.openxmlformats.org/officeDocument/2006/relationships/hyperlink" Target="https://ref.ly/Num1:50-Num1:51" TargetMode="External"/><Relationship Id="rId20306" Type="http://schemas.openxmlformats.org/officeDocument/2006/relationships/hyperlink" Target="https://ref.ly/Jer33:20-Jer33:26" TargetMode="External"/><Relationship Id="rId20307" Type="http://schemas.openxmlformats.org/officeDocument/2006/relationships/hyperlink" Target="https://ref.ly/Acts7:11" TargetMode="External"/><Relationship Id="rId20308" Type="http://schemas.openxmlformats.org/officeDocument/2006/relationships/hyperlink" Target="https://ref.ly/Matt24:9" TargetMode="External"/><Relationship Id="rId20309" Type="http://schemas.openxmlformats.org/officeDocument/2006/relationships/hyperlink" Target="https://ref.ly/Matt24:8" TargetMode="External"/><Relationship Id="rId20310" Type="http://schemas.openxmlformats.org/officeDocument/2006/relationships/hyperlink" Target="https://ref.ly/Matt24:15-Matt24:21" TargetMode="External"/><Relationship Id="rId20311" Type="http://schemas.openxmlformats.org/officeDocument/2006/relationships/hyperlink" Target="https://ref.ly/Luke21:20-Luke21:24" TargetMode="External"/><Relationship Id="rId20312" Type="http://schemas.openxmlformats.org/officeDocument/2006/relationships/hyperlink" Target="https://ref.ly/Rom5:3-Rom5:4" TargetMode="External"/><Relationship Id="rId20313" Type="http://schemas.openxmlformats.org/officeDocument/2006/relationships/hyperlink" Target="https://ref.ly/2Cor1:4" TargetMode="External"/><Relationship Id="rId20314" Type="http://schemas.openxmlformats.org/officeDocument/2006/relationships/hyperlink" Target="https://ref.ly/Deut16:18" TargetMode="External"/><Relationship Id="rId20315" Type="http://schemas.openxmlformats.org/officeDocument/2006/relationships/hyperlink" Target="https://ref.ly/Deut17:8-Deut17:12" TargetMode="External"/><Relationship Id="rId20316" Type="http://schemas.openxmlformats.org/officeDocument/2006/relationships/hyperlink" Target="https://ref.ly/1Sam7:15-1Sam7:17" TargetMode="External"/><Relationship Id="rId20317" Type="http://schemas.openxmlformats.org/officeDocument/2006/relationships/hyperlink" Target="https://ref.ly/Deut17:2-Deut17:7" TargetMode="External"/><Relationship Id="rId20318" Type="http://schemas.openxmlformats.org/officeDocument/2006/relationships/hyperlink" Target="https://ref.ly/Num35:10-Num35:34" TargetMode="External"/><Relationship Id="rId20319" Type="http://schemas.openxmlformats.org/officeDocument/2006/relationships/hyperlink" Target="https://ref.ly/Exod22:8-Exod22:13" TargetMode="External"/><Relationship Id="rId20320" Type="http://schemas.openxmlformats.org/officeDocument/2006/relationships/hyperlink" Target="https://ref.ly/Num5:6-Num5:31" TargetMode="External"/><Relationship Id="rId20321" Type="http://schemas.openxmlformats.org/officeDocument/2006/relationships/hyperlink" Target="https://ref.ly/Deut17:7" TargetMode="External"/><Relationship Id="rId20322" Type="http://schemas.openxmlformats.org/officeDocument/2006/relationships/hyperlink" Target="https://ref.ly/1Kgs21:10" TargetMode="External"/><Relationship Id="rId20323" Type="http://schemas.openxmlformats.org/officeDocument/2006/relationships/hyperlink" Target="https://ref.ly/1Kgs21:11-1Kgs21:13" TargetMode="External"/><Relationship Id="rId20324" Type="http://schemas.openxmlformats.org/officeDocument/2006/relationships/hyperlink" Target="https://ref.ly/Jer26:1-Jer26:24" TargetMode="External"/><Relationship Id="rId20325" Type="http://schemas.openxmlformats.org/officeDocument/2006/relationships/hyperlink" Target="https://ref.ly/Jer37:11-Jer38:28" TargetMode="External"/><Relationship Id="rId20326" Type="http://schemas.openxmlformats.org/officeDocument/2006/relationships/hyperlink" Target="https://ref.ly/Isa1:2-Isa1:26" TargetMode="External"/><Relationship Id="rId20327" Type="http://schemas.openxmlformats.org/officeDocument/2006/relationships/hyperlink" Target="https://ref.ly/Jer2:4-Jer2:37" TargetMode="External"/><Relationship Id="rId20328" Type="http://schemas.openxmlformats.org/officeDocument/2006/relationships/hyperlink" Target="https://ref.ly/Mic6:1-Mic6:16" TargetMode="External"/><Relationship Id="rId20329" Type="http://schemas.openxmlformats.org/officeDocument/2006/relationships/hyperlink" Target="https://ref.ly/Job13:23" TargetMode="External"/><Relationship Id="rId20330" Type="http://schemas.openxmlformats.org/officeDocument/2006/relationships/hyperlink" Target="https://ref.ly/Job42:1-Job42:6" TargetMode="External"/><Relationship Id="rId20331" Type="http://schemas.openxmlformats.org/officeDocument/2006/relationships/hyperlink" Target="https://ref.ly/Acts6:12-Acts7:60" TargetMode="External"/><Relationship Id="rId20332" Type="http://schemas.openxmlformats.org/officeDocument/2006/relationships/hyperlink" Target="https://ref.ly/Acts23:1-Acts23:35" TargetMode="External"/><Relationship Id="rId20333" Type="http://schemas.openxmlformats.org/officeDocument/2006/relationships/hyperlink" Target="https://ref.ly/Acts25:1-Acts25:20" TargetMode="External"/><Relationship Id="rId20334" Type="http://schemas.openxmlformats.org/officeDocument/2006/relationships/hyperlink" Target="https://ref.ly/Acts21:31" TargetMode="External"/><Relationship Id="rId20335" Type="http://schemas.openxmlformats.org/officeDocument/2006/relationships/hyperlink" Target="https://ref.ly/Acts23:10" TargetMode="External"/><Relationship Id="rId20336" Type="http://schemas.openxmlformats.org/officeDocument/2006/relationships/hyperlink" Target="https://ref.ly/Judg10:16" TargetMode="External"/><Relationship Id="rId20337" Type="http://schemas.openxmlformats.org/officeDocument/2006/relationships/hyperlink" Target="https://ref.ly/Job2:13" TargetMode="External"/><Relationship Id="rId20338" Type="http://schemas.openxmlformats.org/officeDocument/2006/relationships/hyperlink" Target="https://ref.ly/Job16:6" TargetMode="External"/><Relationship Id="rId20339" Type="http://schemas.openxmlformats.org/officeDocument/2006/relationships/hyperlink" Target="https://ref.ly/Ps6:7" TargetMode="External"/><Relationship Id="rId20340" Type="http://schemas.openxmlformats.org/officeDocument/2006/relationships/hyperlink" Target="https://ref.ly/Ps31:9-Ps31:10" TargetMode="External"/><Relationship Id="rId20341" Type="http://schemas.openxmlformats.org/officeDocument/2006/relationships/hyperlink" Target="https://ref.ly/Ps69:26" TargetMode="External"/><Relationship Id="rId20342" Type="http://schemas.openxmlformats.org/officeDocument/2006/relationships/hyperlink" Target="https://ref.ly/Ps95:10" TargetMode="External"/><Relationship Id="rId20343" Type="http://schemas.openxmlformats.org/officeDocument/2006/relationships/hyperlink" Target="https://ref.ly/Ps112:10" TargetMode="External"/><Relationship Id="rId20344" Type="http://schemas.openxmlformats.org/officeDocument/2006/relationships/hyperlink" Target="https://ref.ly/Acts4:2" TargetMode="External"/><Relationship Id="rId20345" Type="http://schemas.openxmlformats.org/officeDocument/2006/relationships/hyperlink" Target="https://ref.ly/Rom14:15" TargetMode="External"/><Relationship Id="rId20346" Type="http://schemas.openxmlformats.org/officeDocument/2006/relationships/hyperlink" Target="https://ref.ly/2Cor2:1-2Cor2:5" TargetMode="External"/><Relationship Id="rId20347" Type="http://schemas.openxmlformats.org/officeDocument/2006/relationships/hyperlink" Target="https://ref.ly/Jer9:17-Jer9:18" TargetMode="External"/><Relationship Id="rId20348" Type="http://schemas.openxmlformats.org/officeDocument/2006/relationships/hyperlink" Target="https://ref.ly/Mark5:38" TargetMode="External"/><Relationship Id="rId20349" Type="http://schemas.openxmlformats.org/officeDocument/2006/relationships/hyperlink" Target="https://ref.ly/Acts16:9" TargetMode="External"/><Relationship Id="rId20350" Type="http://schemas.openxmlformats.org/officeDocument/2006/relationships/hyperlink" Target="https://ref.ly/2Cor2:12" TargetMode="External"/><Relationship Id="rId20351" Type="http://schemas.openxmlformats.org/officeDocument/2006/relationships/hyperlink" Target="https://ref.ly/Acts21:29" TargetMode="External"/><Relationship Id="rId20352" Type="http://schemas.openxmlformats.org/officeDocument/2006/relationships/hyperlink" Target="https://ref.ly/1Kgs1:46" TargetMode="External"/><Relationship Id="rId20353" Type="http://schemas.openxmlformats.org/officeDocument/2006/relationships/hyperlink" Target="https://ref.ly/1Kgs10:18-1Kgs10:20" TargetMode="External"/><Relationship Id="rId20354" Type="http://schemas.openxmlformats.org/officeDocument/2006/relationships/hyperlink" Target="https://ref.ly/2Chr9:17-2Chr9:19" TargetMode="External"/><Relationship Id="rId20355" Type="http://schemas.openxmlformats.org/officeDocument/2006/relationships/hyperlink" Target="https://ref.ly/Ps94:20" TargetMode="External"/><Relationship Id="rId20356" Type="http://schemas.openxmlformats.org/officeDocument/2006/relationships/hyperlink" Target="https://ref.ly/Jer1:15" TargetMode="External"/><Relationship Id="rId20357" Type="http://schemas.openxmlformats.org/officeDocument/2006/relationships/hyperlink" Target="https://ref.ly/Jer43:10" TargetMode="External"/><Relationship Id="rId20358" Type="http://schemas.openxmlformats.org/officeDocument/2006/relationships/hyperlink" Target="https://ref.ly/Isa6:1-Isa6:3" TargetMode="External"/><Relationship Id="rId20359" Type="http://schemas.openxmlformats.org/officeDocument/2006/relationships/hyperlink" Target="https://ref.ly/Ezek1:4-Ezek1:28" TargetMode="External"/><Relationship Id="rId20360" Type="http://schemas.openxmlformats.org/officeDocument/2006/relationships/hyperlink" Target="https://ref.ly/Dan7:9-Dan7:10" TargetMode="External"/><Relationship Id="rId20361" Type="http://schemas.openxmlformats.org/officeDocument/2006/relationships/hyperlink" Target="https://ref.ly/Matt5:34" TargetMode="External"/><Relationship Id="rId20362" Type="http://schemas.openxmlformats.org/officeDocument/2006/relationships/hyperlink" Target="https://ref.ly/Jer3:17" TargetMode="External"/><Relationship Id="rId20363" Type="http://schemas.openxmlformats.org/officeDocument/2006/relationships/hyperlink" Target="https://ref.ly/Ezek43:6-Ezek43:7" TargetMode="External"/><Relationship Id="rId20364" Type="http://schemas.openxmlformats.org/officeDocument/2006/relationships/hyperlink" Target="https://ref.ly/Jer14:21" TargetMode="External"/><Relationship Id="rId20365" Type="http://schemas.openxmlformats.org/officeDocument/2006/relationships/hyperlink" Target="https://ref.ly/Jer17:25" TargetMode="External"/><Relationship Id="rId20366" Type="http://schemas.openxmlformats.org/officeDocument/2006/relationships/hyperlink" Target="https://ref.ly/Ps9:7-Ps9:8" TargetMode="External"/><Relationship Id="rId20367" Type="http://schemas.openxmlformats.org/officeDocument/2006/relationships/hyperlink" Target="https://ref.ly/Joel3:12" TargetMode="External"/><Relationship Id="rId20368" Type="http://schemas.openxmlformats.org/officeDocument/2006/relationships/hyperlink" Target="https://ref.ly/Gen35:19-Gen35:20" TargetMode="External"/><Relationship Id="rId20369" Type="http://schemas.openxmlformats.org/officeDocument/2006/relationships/hyperlink" Target="https://ref.ly/Acts2:17-Acts2:18" TargetMode="External"/><Relationship Id="rId20370" Type="http://schemas.openxmlformats.org/officeDocument/2006/relationships/hyperlink" Target="https://ref.ly/1John2:18" TargetMode="External"/><Relationship Id="rId20371" Type="http://schemas.openxmlformats.org/officeDocument/2006/relationships/hyperlink" Target="https://ref.ly/Matt24:44" TargetMode="External"/><Relationship Id="rId20372" Type="http://schemas.openxmlformats.org/officeDocument/2006/relationships/hyperlink" Target="https://ref.ly/Isa2:12-Isa2:22" TargetMode="External"/><Relationship Id="rId20373" Type="http://schemas.openxmlformats.org/officeDocument/2006/relationships/hyperlink" Target="https://ref.ly/Ezek13:5" TargetMode="External"/><Relationship Id="rId20374" Type="http://schemas.openxmlformats.org/officeDocument/2006/relationships/hyperlink" Target="https://ref.ly/Joel2:1" TargetMode="External"/><Relationship Id="rId20375" Type="http://schemas.openxmlformats.org/officeDocument/2006/relationships/hyperlink" Target="https://ref.ly/Zeph1:7" TargetMode="External"/><Relationship Id="rId20376" Type="http://schemas.openxmlformats.org/officeDocument/2006/relationships/hyperlink" Target="https://ref.ly/Rev21:1-Rev21:8" TargetMode="External"/><Relationship Id="rId20377" Type="http://schemas.openxmlformats.org/officeDocument/2006/relationships/hyperlink" Target="https://ref.ly/Rom13:11-Rom13:12" TargetMode="External"/><Relationship Id="rId20378" Type="http://schemas.openxmlformats.org/officeDocument/2006/relationships/hyperlink" Target="https://ref.ly/2Pet3:11-2Pet3:14" TargetMode="External"/><Relationship Id="rId20379" Type="http://schemas.openxmlformats.org/officeDocument/2006/relationships/hyperlink" Target="https://ref.ly/Dan9:25-Dan9:26" TargetMode="External"/><Relationship Id="rId20380" Type="http://schemas.openxmlformats.org/officeDocument/2006/relationships/hyperlink" Target="https://ref.ly/John1:32-John1:51" TargetMode="External"/><Relationship Id="rId20381" Type="http://schemas.openxmlformats.org/officeDocument/2006/relationships/hyperlink" Target="https://ref.ly/Luke4:33-Luke4:37" TargetMode="External"/><Relationship Id="rId20382" Type="http://schemas.openxmlformats.org/officeDocument/2006/relationships/hyperlink" Target="https://ref.ly/1John2:20,1John2:27" TargetMode="External"/><Relationship Id="rId20383" Type="http://schemas.openxmlformats.org/officeDocument/2006/relationships/hyperlink" Target="https://ref.ly/Gen28:18-Gen28:19" TargetMode="External"/><Relationship Id="rId20384" Type="http://schemas.openxmlformats.org/officeDocument/2006/relationships/hyperlink" Target="https://ref.ly/1Sam9:25-1Sam9:27" TargetMode="External"/><Relationship Id="rId20385" Type="http://schemas.openxmlformats.org/officeDocument/2006/relationships/hyperlink" Target="https://ref.ly/Exod30:26-Exod30:32" TargetMode="External"/><Relationship Id="rId20386" Type="http://schemas.openxmlformats.org/officeDocument/2006/relationships/hyperlink" Target="https://ref.ly/1Chr16:22" TargetMode="External"/><Relationship Id="rId20387" Type="http://schemas.openxmlformats.org/officeDocument/2006/relationships/hyperlink" Target="https://ref.ly/Ps105:15" TargetMode="External"/><Relationship Id="rId20388" Type="http://schemas.openxmlformats.org/officeDocument/2006/relationships/hyperlink" Target="https://ref.ly/Exod40:12-Exod40:15" TargetMode="External"/><Relationship Id="rId20389" Type="http://schemas.openxmlformats.org/officeDocument/2006/relationships/hyperlink" Target="https://ref.ly/Num3:3" TargetMode="External"/><Relationship Id="rId20390" Type="http://schemas.openxmlformats.org/officeDocument/2006/relationships/hyperlink" Target="https://ref.ly/Exod29:29" TargetMode="External"/><Relationship Id="rId20391" Type="http://schemas.openxmlformats.org/officeDocument/2006/relationships/hyperlink" Target="https://ref.ly/Lev16:32" TargetMode="External"/><Relationship Id="rId20392" Type="http://schemas.openxmlformats.org/officeDocument/2006/relationships/hyperlink" Target="https://ref.ly/Judg9:8" TargetMode="External"/><Relationship Id="rId20393" Type="http://schemas.openxmlformats.org/officeDocument/2006/relationships/hyperlink" Target="https://ref.ly/2Kgs9:1-2Kgs9:6" TargetMode="External"/><Relationship Id="rId20394" Type="http://schemas.openxmlformats.org/officeDocument/2006/relationships/hyperlink" Target="https://ref.ly/2Sam2:4" TargetMode="External"/><Relationship Id="rId20395" Type="http://schemas.openxmlformats.org/officeDocument/2006/relationships/hyperlink" Target="https://ref.ly/2Sam5:1-2Sam5:4" TargetMode="External"/><Relationship Id="rId20396" Type="http://schemas.openxmlformats.org/officeDocument/2006/relationships/hyperlink" Target="https://ref.ly/Lam4:20" TargetMode="External"/><Relationship Id="rId20397" Type="http://schemas.openxmlformats.org/officeDocument/2006/relationships/hyperlink" Target="https://ref.ly/1Sam12:3-1Sam12:5" TargetMode="External"/><Relationship Id="rId20398" Type="http://schemas.openxmlformats.org/officeDocument/2006/relationships/hyperlink" Target="https://ref.ly/2Sam1:14-2Sam1:16" TargetMode="External"/><Relationship Id="rId20399" Type="http://schemas.openxmlformats.org/officeDocument/2006/relationships/hyperlink" Target="https://ref.ly/Ps89:38" TargetMode="External"/><Relationship Id="rId20400" Type="http://schemas.openxmlformats.org/officeDocument/2006/relationships/hyperlink" Target="https://ref.ly/Dan10:3" TargetMode="External"/><Relationship Id="rId20401" Type="http://schemas.openxmlformats.org/officeDocument/2006/relationships/hyperlink" Target="https://ref.ly/Mark6:12-Mark6:13" TargetMode="External"/><Relationship Id="rId20402" Type="http://schemas.openxmlformats.org/officeDocument/2006/relationships/hyperlink" Target="https://ref.ly/Job41:31" TargetMode="External"/><Relationship Id="rId20403" Type="http://schemas.openxmlformats.org/officeDocument/2006/relationships/hyperlink" Target="https://ref.ly/Eccl7:1" TargetMode="External"/><Relationship Id="rId20404" Type="http://schemas.openxmlformats.org/officeDocument/2006/relationships/hyperlink" Target="https://ref.ly/Exod30:23-Exod30:25" TargetMode="External"/><Relationship Id="rId20405" Type="http://schemas.openxmlformats.org/officeDocument/2006/relationships/hyperlink" Target="https://ref.ly/Ps133:2" TargetMode="External"/><Relationship Id="rId20406" Type="http://schemas.openxmlformats.org/officeDocument/2006/relationships/hyperlink" Target="https://ref.ly/Luke7:37-Luke7:40" TargetMode="External"/><Relationship Id="rId20407" Type="http://schemas.openxmlformats.org/officeDocument/2006/relationships/hyperlink" Target="https://ref.ly/Luke23:56" TargetMode="External"/><Relationship Id="rId20408" Type="http://schemas.openxmlformats.org/officeDocument/2006/relationships/hyperlink" Target="https://ref.ly/Ps45:7" TargetMode="External"/><Relationship Id="rId20409" Type="http://schemas.openxmlformats.org/officeDocument/2006/relationships/hyperlink" Target="https://ref.ly/Luke7:12" TargetMode="External"/><Relationship Id="rId20410" Type="http://schemas.openxmlformats.org/officeDocument/2006/relationships/hyperlink" Target="https://ref.ly/Luke8:42" TargetMode="External"/><Relationship Id="rId20411" Type="http://schemas.openxmlformats.org/officeDocument/2006/relationships/hyperlink" Target="https://ref.ly/Luke9:38" TargetMode="External"/><Relationship Id="rId20412" Type="http://schemas.openxmlformats.org/officeDocument/2006/relationships/hyperlink" Target="https://ref.ly/Heb11:17" TargetMode="External"/><Relationship Id="rId20413" Type="http://schemas.openxmlformats.org/officeDocument/2006/relationships/hyperlink" Target="https://ref.ly/Ps22:20" TargetMode="External"/><Relationship Id="rId20414" Type="http://schemas.openxmlformats.org/officeDocument/2006/relationships/hyperlink" Target="https://ref.ly/Ps35:17" TargetMode="External"/><Relationship Id="rId20415" Type="http://schemas.openxmlformats.org/officeDocument/2006/relationships/hyperlink" Target="https://ref.ly/Gen11:28,Gen11:31" TargetMode="External"/><Relationship Id="rId20416" Type="http://schemas.openxmlformats.org/officeDocument/2006/relationships/hyperlink" Target="https://ref.ly/Gen15:7" TargetMode="External"/><Relationship Id="rId20417" Type="http://schemas.openxmlformats.org/officeDocument/2006/relationships/hyperlink" Target="https://ref.ly/Neh9:7" TargetMode="External"/><Relationship Id="rId20418" Type="http://schemas.openxmlformats.org/officeDocument/2006/relationships/hyperlink" Target="https://ref.ly/Exod35:30" TargetMode="External"/><Relationship Id="rId20419" Type="http://schemas.openxmlformats.org/officeDocument/2006/relationships/hyperlink" Target="https://ref.ly/Ezra10:24" TargetMode="External"/><Relationship Id="rId20420" Type="http://schemas.openxmlformats.org/officeDocument/2006/relationships/hyperlink" Target="https://ref.ly/1Sam28:6" TargetMode="External"/><Relationship Id="rId20421" Type="http://schemas.openxmlformats.org/officeDocument/2006/relationships/hyperlink" Target="https://ref.ly/1Sam14:41" TargetMode="External"/><Relationship Id="rId20422" Type="http://schemas.openxmlformats.org/officeDocument/2006/relationships/hyperlink" Target="https://ref.ly/Job1:1" TargetMode="External"/><Relationship Id="rId20423" Type="http://schemas.openxmlformats.org/officeDocument/2006/relationships/hyperlink" Target="https://ref.ly/Lam4:21" TargetMode="External"/><Relationship Id="rId20424" Type="http://schemas.openxmlformats.org/officeDocument/2006/relationships/hyperlink" Target="https://ref.ly/Job1:15" TargetMode="External"/><Relationship Id="rId20425" Type="http://schemas.openxmlformats.org/officeDocument/2006/relationships/hyperlink" Target="https://ref.ly/2Sam6:1-2Sam6:8" TargetMode="External"/><Relationship Id="rId20426" Type="http://schemas.openxmlformats.org/officeDocument/2006/relationships/hyperlink" Target="https://ref.ly/1Chr13:7-1Chr13:11" TargetMode="External"/><Relationship Id="rId20427" Type="http://schemas.openxmlformats.org/officeDocument/2006/relationships/hyperlink" Target="https://ref.ly/2Chr26:1-2Chr26:23" TargetMode="External"/><Relationship Id="rId20428" Type="http://schemas.openxmlformats.org/officeDocument/2006/relationships/hyperlink" Target="https://ref.ly/2Kgs15:3" TargetMode="External"/><Relationship Id="rId20429" Type="http://schemas.openxmlformats.org/officeDocument/2006/relationships/hyperlink" Target="https://ref.ly/2Chr26:4" TargetMode="External"/><Relationship Id="rId20430" Type="http://schemas.openxmlformats.org/officeDocument/2006/relationships/hyperlink" Target="https://ref.ly/2Chr26:5" TargetMode="External"/><Relationship Id="rId20431" Type="http://schemas.openxmlformats.org/officeDocument/2006/relationships/hyperlink" Target="https://ref.ly/2Chr27:5-2Chr27:8" TargetMode="External"/><Relationship Id="rId20432" Type="http://schemas.openxmlformats.org/officeDocument/2006/relationships/hyperlink" Target="https://ref.ly/Prov16:18" TargetMode="External"/><Relationship Id="rId20433" Type="http://schemas.openxmlformats.org/officeDocument/2006/relationships/hyperlink" Target="https://ref.ly/1Esd9:21" TargetMode="External"/><Relationship Id="rId20434" Type="http://schemas.openxmlformats.org/officeDocument/2006/relationships/hyperlink" Target="https://ref.ly/Num3:19,Num3:27,Num3:30" TargetMode="External"/><Relationship Id="rId20435" Type="http://schemas.openxmlformats.org/officeDocument/2006/relationships/hyperlink" Target="https://ref.ly/1Chr15:10" TargetMode="External"/><Relationship Id="rId20436" Type="http://schemas.openxmlformats.org/officeDocument/2006/relationships/hyperlink" Target="https://ref.ly/1Chr23:20" TargetMode="External"/><Relationship Id="rId20437" Type="http://schemas.openxmlformats.org/officeDocument/2006/relationships/hyperlink" Target="https://ref.ly/1Chr25:4" TargetMode="External"/><Relationship Id="rId20438" Type="http://schemas.openxmlformats.org/officeDocument/2006/relationships/hyperlink" Target="https://ref.ly/1Chr25:18" TargetMode="External"/><Relationship Id="rId20439" Type="http://schemas.openxmlformats.org/officeDocument/2006/relationships/hyperlink" Target="https://ref.ly/Judg1:27-Judg1:30" TargetMode="External"/><Relationship Id="rId20440" Type="http://schemas.openxmlformats.org/officeDocument/2006/relationships/hyperlink" Target="https://ref.ly/Judg1:27-Judg1:28" TargetMode="External"/><Relationship Id="rId20441" Type="http://schemas.openxmlformats.org/officeDocument/2006/relationships/hyperlink" Target="https://ref.ly/Hos1:5" TargetMode="External"/><Relationship Id="rId20442" Type="http://schemas.openxmlformats.org/officeDocument/2006/relationships/hyperlink" Target="https://ref.ly/Judg7:1" TargetMode="External"/><Relationship Id="rId20443" Type="http://schemas.openxmlformats.org/officeDocument/2006/relationships/hyperlink" Target="https://ref.ly/1Sam29:1,1Sam29:11" TargetMode="External"/><Relationship Id="rId20444" Type="http://schemas.openxmlformats.org/officeDocument/2006/relationships/hyperlink" Target="https://ref.ly/2Sam2:9" TargetMode="External"/><Relationship Id="rId20445" Type="http://schemas.openxmlformats.org/officeDocument/2006/relationships/hyperlink" Target="https://ref.ly/2Chr35:22" TargetMode="External"/><Relationship Id="rId20446" Type="http://schemas.openxmlformats.org/officeDocument/2006/relationships/hyperlink" Target="https://ref.ly/Judg4:2,Judg4:13-Judg4:16" TargetMode="External"/><Relationship Id="rId20447" Type="http://schemas.openxmlformats.org/officeDocument/2006/relationships/hyperlink" Target="https://ref.ly/Gen14:3,Gen14:8-Gen14:10" TargetMode="External"/><Relationship Id="rId20448" Type="http://schemas.openxmlformats.org/officeDocument/2006/relationships/hyperlink" Target="https://ref.ly/Gen14:2-Gen14:9" TargetMode="External"/><Relationship Id="rId20449" Type="http://schemas.openxmlformats.org/officeDocument/2006/relationships/hyperlink" Target="https://ref.ly/Num16:1-Num16:40" TargetMode="External"/><Relationship Id="rId20450" Type="http://schemas.openxmlformats.org/officeDocument/2006/relationships/hyperlink" Target="https://ref.ly/Num16:41" TargetMode="External"/><Relationship Id="rId20451" Type="http://schemas.openxmlformats.org/officeDocument/2006/relationships/hyperlink" Target="https://ref.ly/Num17:1-Num17:11" TargetMode="External"/><Relationship Id="rId20452" Type="http://schemas.openxmlformats.org/officeDocument/2006/relationships/hyperlink" Target="https://ref.ly/Num20:10" TargetMode="External"/><Relationship Id="rId20453" Type="http://schemas.openxmlformats.org/officeDocument/2006/relationships/hyperlink" Target="https://ref.ly/Num20:12-Num20:13" TargetMode="External"/><Relationship Id="rId20454" Type="http://schemas.openxmlformats.org/officeDocument/2006/relationships/hyperlink" Target="https://ref.ly/Gen32:10" TargetMode="External"/><Relationship Id="rId20455" Type="http://schemas.openxmlformats.org/officeDocument/2006/relationships/hyperlink" Target="https://ref.ly/Judg8:4" TargetMode="External"/><Relationship Id="rId20456" Type="http://schemas.openxmlformats.org/officeDocument/2006/relationships/hyperlink" Target="https://ref.ly/2Sam10:17" TargetMode="External"/><Relationship Id="rId20457" Type="http://schemas.openxmlformats.org/officeDocument/2006/relationships/hyperlink" Target="https://ref.ly/2Sam17:22" TargetMode="External"/><Relationship Id="rId20458" Type="http://schemas.openxmlformats.org/officeDocument/2006/relationships/hyperlink" Target="https://ref.ly/2Sam17:24" TargetMode="External"/><Relationship Id="rId20459" Type="http://schemas.openxmlformats.org/officeDocument/2006/relationships/hyperlink" Target="https://ref.ly/Josh3:15-Josh3:16" TargetMode="External"/><Relationship Id="rId20460" Type="http://schemas.openxmlformats.org/officeDocument/2006/relationships/hyperlink" Target="https://ref.ly/Josh2:7" TargetMode="External"/><Relationship Id="rId20461" Type="http://schemas.openxmlformats.org/officeDocument/2006/relationships/hyperlink" Target="https://ref.ly/Judg3:28" TargetMode="External"/><Relationship Id="rId20462" Type="http://schemas.openxmlformats.org/officeDocument/2006/relationships/hyperlink" Target="https://ref.ly/Josh3:15" TargetMode="External"/><Relationship Id="rId20463" Type="http://schemas.openxmlformats.org/officeDocument/2006/relationships/hyperlink" Target="https://ref.ly/1Sam11:2" TargetMode="External"/><Relationship Id="rId20464" Type="http://schemas.openxmlformats.org/officeDocument/2006/relationships/hyperlink" Target="https://ref.ly/Num16:14" TargetMode="External"/><Relationship Id="rId20465" Type="http://schemas.openxmlformats.org/officeDocument/2006/relationships/hyperlink" Target="https://ref.ly/Gen41:6" TargetMode="External"/><Relationship Id="rId20466" Type="http://schemas.openxmlformats.org/officeDocument/2006/relationships/hyperlink" Target="https://ref.ly/Ezek17:10" TargetMode="External"/><Relationship Id="rId20467" Type="http://schemas.openxmlformats.org/officeDocument/2006/relationships/hyperlink" Target="https://ref.ly/Ps103:15-Ps103:16" TargetMode="External"/><Relationship Id="rId20468" Type="http://schemas.openxmlformats.org/officeDocument/2006/relationships/hyperlink" Target="https://ref.ly/Hos13:15" TargetMode="External"/><Relationship Id="rId20469" Type="http://schemas.openxmlformats.org/officeDocument/2006/relationships/hyperlink" Target="https://ref.ly/Isa27:8" TargetMode="External"/><Relationship Id="rId20470" Type="http://schemas.openxmlformats.org/officeDocument/2006/relationships/hyperlink" Target="https://ref.ly/Jer4:11" TargetMode="External"/><Relationship Id="rId20471" Type="http://schemas.openxmlformats.org/officeDocument/2006/relationships/hyperlink" Target="https://ref.ly/Jer18:17" TargetMode="External"/><Relationship Id="rId20472" Type="http://schemas.openxmlformats.org/officeDocument/2006/relationships/hyperlink" Target="https://ref.ly/Ps108:4" TargetMode="External"/><Relationship Id="rId20473" Type="http://schemas.openxmlformats.org/officeDocument/2006/relationships/hyperlink" Target="https://ref.ly/Ps57:3" TargetMode="External"/><Relationship Id="rId20474" Type="http://schemas.openxmlformats.org/officeDocument/2006/relationships/hyperlink" Target="https://ref.ly/Ps96:13" TargetMode="External"/><Relationship Id="rId20475" Type="http://schemas.openxmlformats.org/officeDocument/2006/relationships/hyperlink" Target="https://ref.ly/John8:44-John8:46" TargetMode="External"/><Relationship Id="rId20476" Type="http://schemas.openxmlformats.org/officeDocument/2006/relationships/hyperlink" Target="https://ref.ly/John18:37" TargetMode="External"/><Relationship Id="rId20477" Type="http://schemas.openxmlformats.org/officeDocument/2006/relationships/hyperlink" Target="https://ref.ly/2Cor4:2" TargetMode="External"/><Relationship Id="rId20478" Type="http://schemas.openxmlformats.org/officeDocument/2006/relationships/hyperlink" Target="https://ref.ly/John3:21" TargetMode="External"/><Relationship Id="rId20479" Type="http://schemas.openxmlformats.org/officeDocument/2006/relationships/hyperlink" Target="https://ref.ly/Exod12:7" TargetMode="External"/><Relationship Id="rId20480" Type="http://schemas.openxmlformats.org/officeDocument/2006/relationships/hyperlink" Target="https://ref.ly/1Kgs6:31" TargetMode="External"/><Relationship Id="rId20481" Type="http://schemas.openxmlformats.org/officeDocument/2006/relationships/hyperlink" Target="https://ref.ly/Amos9:1" TargetMode="External"/><Relationship Id="rId20482" Type="http://schemas.openxmlformats.org/officeDocument/2006/relationships/hyperlink" Target="https://ref.ly/Acts28:13-Acts28:15" TargetMode="External"/><Relationship Id="rId20483" Type="http://schemas.openxmlformats.org/officeDocument/2006/relationships/hyperlink" Target="https://ref.ly/Gen37:12-Gen37:17" TargetMode="External"/><Relationship Id="rId20484" Type="http://schemas.openxmlformats.org/officeDocument/2006/relationships/hyperlink" Target="https://ref.ly/Gen46:5" TargetMode="External"/><Relationship Id="rId20485" Type="http://schemas.openxmlformats.org/officeDocument/2006/relationships/hyperlink" Target="https://ref.ly/2Kgs8:9" TargetMode="External"/><Relationship Id="rId20486" Type="http://schemas.openxmlformats.org/officeDocument/2006/relationships/hyperlink" Target="https://ref.ly/Rom15:24-Rom15:25" TargetMode="External"/><Relationship Id="rId20487" Type="http://schemas.openxmlformats.org/officeDocument/2006/relationships/hyperlink" Target="https://ref.ly/2Cor11:25-2Cor11:26" TargetMode="External"/><Relationship Id="rId20488" Type="http://schemas.openxmlformats.org/officeDocument/2006/relationships/hyperlink" Target="https://ref.ly/Acts27:1-Acts28:14" TargetMode="External"/><Relationship Id="rId20489" Type="http://schemas.openxmlformats.org/officeDocument/2006/relationships/hyperlink" Target="https://ref.ly/Luke1:39-Luke1:40" TargetMode="External"/><Relationship Id="rId20490" Type="http://schemas.openxmlformats.org/officeDocument/2006/relationships/hyperlink" Target="https://ref.ly/Luke2:1-Luke2:7" TargetMode="External"/><Relationship Id="rId20491" Type="http://schemas.openxmlformats.org/officeDocument/2006/relationships/hyperlink" Target="https://ref.ly/John7:1-John7:10" TargetMode="External"/><Relationship Id="rId20492" Type="http://schemas.openxmlformats.org/officeDocument/2006/relationships/hyperlink" Target="https://ref.ly/Mark1:1-Mark1:11" TargetMode="External"/><Relationship Id="rId20493" Type="http://schemas.openxmlformats.org/officeDocument/2006/relationships/hyperlink" Target="https://ref.ly/Luke17:11" TargetMode="External"/><Relationship Id="rId20494" Type="http://schemas.openxmlformats.org/officeDocument/2006/relationships/hyperlink" Target="https://ref.ly/Acts13:1-Acts13:14" TargetMode="External"/><Relationship Id="rId20495" Type="http://schemas.openxmlformats.org/officeDocument/2006/relationships/hyperlink" Target="https://ref.ly/Acts15:41-Acts18:22" TargetMode="External"/><Relationship Id="rId20496" Type="http://schemas.openxmlformats.org/officeDocument/2006/relationships/hyperlink" Target="https://ref.ly/Acts18:23-Acts21:17" TargetMode="External"/><Relationship Id="rId20497" Type="http://schemas.openxmlformats.org/officeDocument/2006/relationships/hyperlink" Target="https://ref.ly/Matt21:2-Matt21:7" TargetMode="External"/><Relationship Id="rId20498" Type="http://schemas.openxmlformats.org/officeDocument/2006/relationships/hyperlink" Target="https://ref.ly/Mark11:1-Mark11:11" TargetMode="External"/><Relationship Id="rId20499" Type="http://schemas.openxmlformats.org/officeDocument/2006/relationships/hyperlink" Target="https://ref.ly/Acts8:26-Acts8:38" TargetMode="External"/><Relationship Id="rId20500" Type="http://schemas.openxmlformats.org/officeDocument/2006/relationships/hyperlink" Target="https://ref.ly/Acts23:23-Acts23:24" TargetMode="External"/><Relationship Id="rId20501" Type="http://schemas.openxmlformats.org/officeDocument/2006/relationships/hyperlink" Target="https://ref.ly/2Chr8:17" TargetMode="External"/><Relationship Id="rId20502" Type="http://schemas.openxmlformats.org/officeDocument/2006/relationships/hyperlink" Target="https://ref.ly/John6:57" TargetMode="External"/><Relationship Id="rId20503" Type="http://schemas.openxmlformats.org/officeDocument/2006/relationships/hyperlink" Target="https://ref.ly/Gen17:16" TargetMode="External"/><Relationship Id="rId20504" Type="http://schemas.openxmlformats.org/officeDocument/2006/relationships/hyperlink" Target="https://ref.ly/Gen3:22-Gen3:24" TargetMode="External"/><Relationship Id="rId20505" Type="http://schemas.openxmlformats.org/officeDocument/2006/relationships/hyperlink" Target="https://ref.ly/Ps104:29" TargetMode="External"/><Relationship Id="rId20506" Type="http://schemas.openxmlformats.org/officeDocument/2006/relationships/hyperlink" Target="https://ref.ly/Luke8:55" TargetMode="External"/><Relationship Id="rId20507" Type="http://schemas.openxmlformats.org/officeDocument/2006/relationships/hyperlink" Target="https://ref.ly/Gen6:17" TargetMode="External"/><Relationship Id="rId20508" Type="http://schemas.openxmlformats.org/officeDocument/2006/relationships/hyperlink" Target="https://ref.ly/Acts17:24-Acts17:28" TargetMode="External"/><Relationship Id="rId20509" Type="http://schemas.openxmlformats.org/officeDocument/2006/relationships/hyperlink" Target="https://ref.ly/Job7:6" TargetMode="External"/><Relationship Id="rId20510" Type="http://schemas.openxmlformats.org/officeDocument/2006/relationships/hyperlink" Target="https://ref.ly/1Pet1:24" TargetMode="External"/><Relationship Id="rId20511" Type="http://schemas.openxmlformats.org/officeDocument/2006/relationships/hyperlink" Target="https://ref.ly/Eccl9:4-Eccl9:6" TargetMode="External"/><Relationship Id="rId20512" Type="http://schemas.openxmlformats.org/officeDocument/2006/relationships/hyperlink" Target="https://ref.ly/1Pet3:8-1Pet3:12" TargetMode="External"/><Relationship Id="rId20513" Type="http://schemas.openxmlformats.org/officeDocument/2006/relationships/hyperlink" Target="https://ref.ly/Isa38:16" TargetMode="External"/><Relationship Id="rId20514" Type="http://schemas.openxmlformats.org/officeDocument/2006/relationships/hyperlink" Target="https://ref.ly/Jas4:14" TargetMode="External"/><Relationship Id="rId20515" Type="http://schemas.openxmlformats.org/officeDocument/2006/relationships/hyperlink" Target="https://ref.ly/Eph4:18" TargetMode="External"/><Relationship Id="rId20516" Type="http://schemas.openxmlformats.org/officeDocument/2006/relationships/hyperlink" Target="https://ref.ly/Matt9:18" TargetMode="External"/><Relationship Id="rId20517" Type="http://schemas.openxmlformats.org/officeDocument/2006/relationships/hyperlink" Target="https://ref.ly/Mark5:27-Mark5:29" TargetMode="External"/><Relationship Id="rId20518" Type="http://schemas.openxmlformats.org/officeDocument/2006/relationships/hyperlink" Target="https://ref.ly/Matt7:14" TargetMode="External"/><Relationship Id="rId20519" Type="http://schemas.openxmlformats.org/officeDocument/2006/relationships/hyperlink" Target="https://ref.ly/Mark8:35-Mark8:37" TargetMode="External"/><Relationship Id="rId20520" Type="http://schemas.openxmlformats.org/officeDocument/2006/relationships/hyperlink" Target="https://ref.ly/Mark9:42-Mark9:47" TargetMode="External"/><Relationship Id="rId20521" Type="http://schemas.openxmlformats.org/officeDocument/2006/relationships/hyperlink" Target="https://ref.ly/Heb7:16" TargetMode="External"/><Relationship Id="rId20522" Type="http://schemas.openxmlformats.org/officeDocument/2006/relationships/hyperlink" Target="https://ref.ly/2Cor5:15-2Cor5:17" TargetMode="External"/><Relationship Id="rId20523" Type="http://schemas.openxmlformats.org/officeDocument/2006/relationships/hyperlink" Target="https://ref.ly/John3:14-John3:16" TargetMode="External"/><Relationship Id="rId20524" Type="http://schemas.openxmlformats.org/officeDocument/2006/relationships/hyperlink" Target="https://ref.ly/John5:21" TargetMode="External"/><Relationship Id="rId20525" Type="http://schemas.openxmlformats.org/officeDocument/2006/relationships/hyperlink" Target="https://ref.ly/1John5:11-1John5:12" TargetMode="External"/><Relationship Id="rId20526" Type="http://schemas.openxmlformats.org/officeDocument/2006/relationships/hyperlink" Target="https://ref.ly/John10:28" TargetMode="External"/><Relationship Id="rId20527" Type="http://schemas.openxmlformats.org/officeDocument/2006/relationships/hyperlink" Target="https://ref.ly/John11:26" TargetMode="External"/><Relationship Id="rId20528" Type="http://schemas.openxmlformats.org/officeDocument/2006/relationships/hyperlink" Target="https://ref.ly/John10:9" TargetMode="External"/><Relationship Id="rId20529" Type="http://schemas.openxmlformats.org/officeDocument/2006/relationships/hyperlink" Target="https://ref.ly/Rom6:6-Rom6:14" TargetMode="External"/><Relationship Id="rId20530" Type="http://schemas.openxmlformats.org/officeDocument/2006/relationships/hyperlink" Target="https://ref.ly/Rom5:1-Rom5:11" TargetMode="External"/><Relationship Id="rId20531" Type="http://schemas.openxmlformats.org/officeDocument/2006/relationships/hyperlink" Target="https://ref.ly/John4:13-John4:14" TargetMode="External"/><Relationship Id="rId20532" Type="http://schemas.openxmlformats.org/officeDocument/2006/relationships/hyperlink" Target="https://ref.ly/1Cor15:51-1Cor15:57" TargetMode="External"/><Relationship Id="rId20533" Type="http://schemas.openxmlformats.org/officeDocument/2006/relationships/hyperlink" Target="https://ref.ly/John5:5-John5:9" TargetMode="External"/><Relationship Id="rId20534" Type="http://schemas.openxmlformats.org/officeDocument/2006/relationships/hyperlink" Target="https://ref.ly/John11:43" TargetMode="External"/><Relationship Id="rId20535" Type="http://schemas.openxmlformats.org/officeDocument/2006/relationships/hyperlink" Target="https://ref.ly/John5:40" TargetMode="External"/><Relationship Id="rId20536" Type="http://schemas.openxmlformats.org/officeDocument/2006/relationships/hyperlink" Target="https://ref.ly/John3:15" TargetMode="External"/><Relationship Id="rId20537" Type="http://schemas.openxmlformats.org/officeDocument/2006/relationships/hyperlink" Target="https://ref.ly/John11:24" TargetMode="External"/><Relationship Id="rId20538" Type="http://schemas.openxmlformats.org/officeDocument/2006/relationships/hyperlink" Target="https://ref.ly/John11:25-John11:26" TargetMode="External"/><Relationship Id="rId20539" Type="http://schemas.openxmlformats.org/officeDocument/2006/relationships/hyperlink" Target="https://ref.ly/John4:10-John4:14" TargetMode="External"/><Relationship Id="rId20540" Type="http://schemas.openxmlformats.org/officeDocument/2006/relationships/hyperlink" Target="https://ref.ly/John6:35-John6:40" TargetMode="External"/><Relationship Id="rId20541" Type="http://schemas.openxmlformats.org/officeDocument/2006/relationships/hyperlink" Target="https://ref.ly/John15:5" TargetMode="External"/><Relationship Id="rId20542" Type="http://schemas.openxmlformats.org/officeDocument/2006/relationships/hyperlink" Target="https://ref.ly/John5:26-John5:29" TargetMode="External"/><Relationship Id="rId20543" Type="http://schemas.openxmlformats.org/officeDocument/2006/relationships/hyperlink" Target="https://ref.ly/John10:14-John10:15" TargetMode="External"/><Relationship Id="rId20544" Type="http://schemas.openxmlformats.org/officeDocument/2006/relationships/hyperlink" Target="https://ref.ly/Gen46:8-Gen46:26" TargetMode="External"/><Relationship Id="rId20545" Type="http://schemas.openxmlformats.org/officeDocument/2006/relationships/hyperlink" Target="https://ref.ly/Ezra8:1-Ezra8:14" TargetMode="External"/><Relationship Id="rId20546" Type="http://schemas.openxmlformats.org/officeDocument/2006/relationships/hyperlink" Target="https://ref.ly/Judg18:11" TargetMode="External"/><Relationship Id="rId20547" Type="http://schemas.openxmlformats.org/officeDocument/2006/relationships/hyperlink" Target="https://ref.ly/1Chr4:14" TargetMode="External"/><Relationship Id="rId20548" Type="http://schemas.openxmlformats.org/officeDocument/2006/relationships/hyperlink" Target="https://ref.ly/1Chr4:21-1Chr4:23" TargetMode="External"/><Relationship Id="rId20549" Type="http://schemas.openxmlformats.org/officeDocument/2006/relationships/hyperlink" Target="https://ref.ly/Neh11:4-Neh11:8" TargetMode="External"/><Relationship Id="rId20550" Type="http://schemas.openxmlformats.org/officeDocument/2006/relationships/hyperlink" Target="https://ref.ly/1Chr9:3-1Chr9:9" TargetMode="External"/><Relationship Id="rId20551" Type="http://schemas.openxmlformats.org/officeDocument/2006/relationships/hyperlink" Target="https://ref.ly/2Sam13:7-2Sam13:8" TargetMode="External"/><Relationship Id="rId20552" Type="http://schemas.openxmlformats.org/officeDocument/2006/relationships/hyperlink" Target="https://ref.ly/2Sam16:8" TargetMode="External"/><Relationship Id="rId20553" Type="http://schemas.openxmlformats.org/officeDocument/2006/relationships/hyperlink" Target="https://ref.ly/2Kgs9:26" TargetMode="External"/><Relationship Id="rId20554" Type="http://schemas.openxmlformats.org/officeDocument/2006/relationships/hyperlink" Target="https://ref.ly/Neh4:14" TargetMode="External"/><Relationship Id="rId20555" Type="http://schemas.openxmlformats.org/officeDocument/2006/relationships/hyperlink" Target="https://ref.ly/Matt18:25" TargetMode="External"/><Relationship Id="rId20556" Type="http://schemas.openxmlformats.org/officeDocument/2006/relationships/hyperlink" Target="https://ref.ly/Exod12:3-Exod12:4" TargetMode="External"/><Relationship Id="rId20557" Type="http://schemas.openxmlformats.org/officeDocument/2006/relationships/hyperlink" Target="https://ref.ly/Matt19:14" TargetMode="External"/><Relationship Id="rId20558" Type="http://schemas.openxmlformats.org/officeDocument/2006/relationships/hyperlink" Target="https://ref.ly/Matt23:9" TargetMode="External"/><Relationship Id="rId20559" Type="http://schemas.openxmlformats.org/officeDocument/2006/relationships/hyperlink" Target="https://ref.ly/John19:27" TargetMode="External"/><Relationship Id="rId20560" Type="http://schemas.openxmlformats.org/officeDocument/2006/relationships/hyperlink" Target="https://ref.ly/Acts10:24" TargetMode="External"/><Relationship Id="rId20561" Type="http://schemas.openxmlformats.org/officeDocument/2006/relationships/hyperlink" Target="https://ref.ly/Acts16:15" TargetMode="External"/><Relationship Id="rId20562" Type="http://schemas.openxmlformats.org/officeDocument/2006/relationships/hyperlink" Target="https://ref.ly/Judg19:26" TargetMode="External"/><Relationship Id="rId20563" Type="http://schemas.openxmlformats.org/officeDocument/2006/relationships/hyperlink" Target="https://ref.ly/Gen29:18" TargetMode="External"/><Relationship Id="rId20564" Type="http://schemas.openxmlformats.org/officeDocument/2006/relationships/hyperlink" Target="https://ref.ly/Exod22:16-Exod22:17" TargetMode="External"/><Relationship Id="rId20565" Type="http://schemas.openxmlformats.org/officeDocument/2006/relationships/hyperlink" Target="https://ref.ly/Josh15:19" TargetMode="External"/><Relationship Id="rId20566" Type="http://schemas.openxmlformats.org/officeDocument/2006/relationships/hyperlink" Target="https://ref.ly/Judg1:15" TargetMode="External"/><Relationship Id="rId20567" Type="http://schemas.openxmlformats.org/officeDocument/2006/relationships/hyperlink" Target="https://ref.ly/Sir25:26" TargetMode="External"/><Relationship Id="rId20568" Type="http://schemas.openxmlformats.org/officeDocument/2006/relationships/hyperlink" Target="https://ref.ly/Gen38:14" TargetMode="External"/><Relationship Id="rId20569" Type="http://schemas.openxmlformats.org/officeDocument/2006/relationships/hyperlink" Target="https://ref.ly/Prov19:13" TargetMode="External"/><Relationship Id="rId20570" Type="http://schemas.openxmlformats.org/officeDocument/2006/relationships/hyperlink" Target="https://ref.ly/Prov27:15" TargetMode="External"/><Relationship Id="rId20571" Type="http://schemas.openxmlformats.org/officeDocument/2006/relationships/hyperlink" Target="https://ref.ly/Prov9:13" TargetMode="External"/><Relationship Id="rId20572" Type="http://schemas.openxmlformats.org/officeDocument/2006/relationships/hyperlink" Target="https://ref.ly/Prov11:16" TargetMode="External"/><Relationship Id="rId20573" Type="http://schemas.openxmlformats.org/officeDocument/2006/relationships/hyperlink" Target="https://ref.ly/Prov21:9" TargetMode="External"/><Relationship Id="rId20574" Type="http://schemas.openxmlformats.org/officeDocument/2006/relationships/hyperlink" Target="https://ref.ly/Num30:3-Num30:15" TargetMode="External"/><Relationship Id="rId20575" Type="http://schemas.openxmlformats.org/officeDocument/2006/relationships/hyperlink" Target="https://ref.ly/Gen38:11" TargetMode="External"/><Relationship Id="rId20576" Type="http://schemas.openxmlformats.org/officeDocument/2006/relationships/hyperlink" Target="https://ref.ly/Lev22:13" TargetMode="External"/><Relationship Id="rId20577" Type="http://schemas.openxmlformats.org/officeDocument/2006/relationships/hyperlink" Target="https://ref.ly/Ruth1:8" TargetMode="External"/><Relationship Id="rId20578" Type="http://schemas.openxmlformats.org/officeDocument/2006/relationships/hyperlink" Target="https://ref.ly/Ruth4:9-Ruth4:10" TargetMode="External"/><Relationship Id="rId20579" Type="http://schemas.openxmlformats.org/officeDocument/2006/relationships/hyperlink" Target="https://ref.ly/1Chr5:1" TargetMode="External"/><Relationship Id="rId20580" Type="http://schemas.openxmlformats.org/officeDocument/2006/relationships/hyperlink" Target="https://ref.ly/1Kgs2:15" TargetMode="External"/><Relationship Id="rId20581" Type="http://schemas.openxmlformats.org/officeDocument/2006/relationships/hyperlink" Target="https://ref.ly/1Sam18:20" TargetMode="External"/><Relationship Id="rId20582" Type="http://schemas.openxmlformats.org/officeDocument/2006/relationships/hyperlink" Target="https://ref.ly/1Kgs11:20" TargetMode="External"/><Relationship Id="rId20583" Type="http://schemas.openxmlformats.org/officeDocument/2006/relationships/hyperlink" Target="https://ref.ly/2Sam14:4-2Sam14:11" TargetMode="External"/><Relationship Id="rId20584" Type="http://schemas.openxmlformats.org/officeDocument/2006/relationships/hyperlink" Target="https://ref.ly/Prov19:26" TargetMode="External"/><Relationship Id="rId20585" Type="http://schemas.openxmlformats.org/officeDocument/2006/relationships/hyperlink" Target="https://ref.ly/Sir3:1-Sir3:16" TargetMode="External"/><Relationship Id="rId20586" Type="http://schemas.openxmlformats.org/officeDocument/2006/relationships/hyperlink" Target="https://ref.ly/Exod10:2" TargetMode="External"/><Relationship Id="rId20587" Type="http://schemas.openxmlformats.org/officeDocument/2006/relationships/hyperlink" Target="https://ref.ly/Deut4:9" TargetMode="External"/><Relationship Id="rId20588" Type="http://schemas.openxmlformats.org/officeDocument/2006/relationships/hyperlink" Target="https://ref.ly/Prov29:15-Prov29:17" TargetMode="External"/><Relationship Id="rId20589" Type="http://schemas.openxmlformats.org/officeDocument/2006/relationships/hyperlink" Target="https://ref.ly/Sir30:9-Sir30:12" TargetMode="External"/><Relationship Id="rId20590" Type="http://schemas.openxmlformats.org/officeDocument/2006/relationships/hyperlink" Target="https://ref.ly/Prov6:20" TargetMode="External"/><Relationship Id="rId20591" Type="http://schemas.openxmlformats.org/officeDocument/2006/relationships/hyperlink" Target="https://ref.ly/Prov31:13-Prov31:31" TargetMode="External"/><Relationship Id="rId20592" Type="http://schemas.openxmlformats.org/officeDocument/2006/relationships/hyperlink" Target="https://ref.ly/Gen24:15-Gen24:16" TargetMode="External"/><Relationship Id="rId20593" Type="http://schemas.openxmlformats.org/officeDocument/2006/relationships/hyperlink" Target="https://ref.ly/Zech8:5" TargetMode="External"/><Relationship Id="rId20594" Type="http://schemas.openxmlformats.org/officeDocument/2006/relationships/hyperlink" Target="https://ref.ly/Isa66:12" TargetMode="External"/><Relationship Id="rId20595" Type="http://schemas.openxmlformats.org/officeDocument/2006/relationships/hyperlink" Target="https://ref.ly/Gen29:6" TargetMode="External"/><Relationship Id="rId20596" Type="http://schemas.openxmlformats.org/officeDocument/2006/relationships/hyperlink" Target="https://ref.ly/1Sam16:11" TargetMode="External"/><Relationship Id="rId20597" Type="http://schemas.openxmlformats.org/officeDocument/2006/relationships/hyperlink" Target="https://ref.ly/Luke2:42-Luke2:47" TargetMode="External"/><Relationship Id="rId20598" Type="http://schemas.openxmlformats.org/officeDocument/2006/relationships/hyperlink" Target="https://ref.ly/Gen24:15-Gen24:25" TargetMode="External"/><Relationship Id="rId20599" Type="http://schemas.openxmlformats.org/officeDocument/2006/relationships/hyperlink" Target="https://ref.ly/Gen29:11-Gen29:12" TargetMode="External"/><Relationship Id="rId20600" Type="http://schemas.openxmlformats.org/officeDocument/2006/relationships/hyperlink" Target="https://ref.ly/1Sam9:11-1Sam9:13" TargetMode="External"/><Relationship Id="rId20601" Type="http://schemas.openxmlformats.org/officeDocument/2006/relationships/hyperlink" Target="https://ref.ly/Num13:20,Num13:24" TargetMode="External"/><Relationship Id="rId20602" Type="http://schemas.openxmlformats.org/officeDocument/2006/relationships/hyperlink" Target="https://ref.ly/Judg14:5" TargetMode="External"/><Relationship Id="rId20603" Type="http://schemas.openxmlformats.org/officeDocument/2006/relationships/hyperlink" Target="https://ref.ly/Judg15:5" TargetMode="External"/><Relationship Id="rId20604" Type="http://schemas.openxmlformats.org/officeDocument/2006/relationships/hyperlink" Target="https://ref.ly/1Kgs4:25" TargetMode="External"/><Relationship Id="rId20605" Type="http://schemas.openxmlformats.org/officeDocument/2006/relationships/hyperlink" Target="https://ref.ly/Job24:18" TargetMode="External"/><Relationship Id="rId20606" Type="http://schemas.openxmlformats.org/officeDocument/2006/relationships/hyperlink" Target="https://ref.ly/Lev25:3" TargetMode="External"/><Relationship Id="rId20607" Type="http://schemas.openxmlformats.org/officeDocument/2006/relationships/hyperlink" Target="https://ref.ly/Isa61:5" TargetMode="External"/><Relationship Id="rId20608" Type="http://schemas.openxmlformats.org/officeDocument/2006/relationships/hyperlink" Target="https://ref.ly/Joel3:10" TargetMode="External"/><Relationship Id="rId20609" Type="http://schemas.openxmlformats.org/officeDocument/2006/relationships/hyperlink" Target="https://ref.ly/John15:2" TargetMode="External"/><Relationship Id="rId20610" Type="http://schemas.openxmlformats.org/officeDocument/2006/relationships/hyperlink" Target="https://ref.ly/Hos9:2" TargetMode="External"/><Relationship Id="rId20611" Type="http://schemas.openxmlformats.org/officeDocument/2006/relationships/hyperlink" Target="https://ref.ly/Jer25:30" TargetMode="External"/><Relationship Id="rId20612" Type="http://schemas.openxmlformats.org/officeDocument/2006/relationships/hyperlink" Target="https://ref.ly/Matt9:17" TargetMode="External"/><Relationship Id="rId20613" Type="http://schemas.openxmlformats.org/officeDocument/2006/relationships/hyperlink" Target="https://ref.ly/Ezek15:4" TargetMode="External"/><Relationship Id="rId20614" Type="http://schemas.openxmlformats.org/officeDocument/2006/relationships/hyperlink" Target="https://ref.ly/Matt21:28-Matt21:43" TargetMode="External"/><Relationship Id="rId20615" Type="http://schemas.openxmlformats.org/officeDocument/2006/relationships/hyperlink" Target="https://ref.ly/Mark12:1-Mark12:11" TargetMode="External"/><Relationship Id="rId20616" Type="http://schemas.openxmlformats.org/officeDocument/2006/relationships/hyperlink" Target="https://ref.ly/Luke20:9-Luke20:18" TargetMode="External"/><Relationship Id="rId20617" Type="http://schemas.openxmlformats.org/officeDocument/2006/relationships/hyperlink" Target="https://ref.ly/John15:1-John15:11" TargetMode="External"/><Relationship Id="rId20618" Type="http://schemas.openxmlformats.org/officeDocument/2006/relationships/hyperlink" Target="https://ref.ly/Deut18:10,Deut18:14" TargetMode="External"/><Relationship Id="rId20619" Type="http://schemas.openxmlformats.org/officeDocument/2006/relationships/hyperlink" Target="https://ref.ly/Isa2:6" TargetMode="External"/><Relationship Id="rId20620" Type="http://schemas.openxmlformats.org/officeDocument/2006/relationships/hyperlink" Target="https://ref.ly/Jer27:9" TargetMode="External"/><Relationship Id="rId20621" Type="http://schemas.openxmlformats.org/officeDocument/2006/relationships/hyperlink" Target="https://ref.ly/Acts16:16" TargetMode="External"/><Relationship Id="rId20622" Type="http://schemas.openxmlformats.org/officeDocument/2006/relationships/hyperlink" Target="https://ref.ly/1Sam14:16" TargetMode="External"/><Relationship Id="rId20623" Type="http://schemas.openxmlformats.org/officeDocument/2006/relationships/hyperlink" Target="https://ref.ly/2Sam18:24-2Sam18:27" TargetMode="External"/><Relationship Id="rId20624" Type="http://schemas.openxmlformats.org/officeDocument/2006/relationships/hyperlink" Target="https://ref.ly/2Kgs9:17-2Kgs9:20" TargetMode="External"/><Relationship Id="rId20625" Type="http://schemas.openxmlformats.org/officeDocument/2006/relationships/hyperlink" Target="https://ref.ly/Isa21:6-Isa21:9" TargetMode="External"/><Relationship Id="rId20626" Type="http://schemas.openxmlformats.org/officeDocument/2006/relationships/hyperlink" Target="https://ref.ly/Ps130:6" TargetMode="External"/><Relationship Id="rId20627" Type="http://schemas.openxmlformats.org/officeDocument/2006/relationships/hyperlink" Target="https://ref.ly/Isa21:11-Isa21:12" TargetMode="External"/><Relationship Id="rId20628" Type="http://schemas.openxmlformats.org/officeDocument/2006/relationships/hyperlink" Target="https://ref.ly/Ezek33:2-Ezek33:9" TargetMode="External"/><Relationship Id="rId20629" Type="http://schemas.openxmlformats.org/officeDocument/2006/relationships/hyperlink" Target="https://ref.ly/Jer6:17" TargetMode="External"/><Relationship Id="rId20630" Type="http://schemas.openxmlformats.org/officeDocument/2006/relationships/hyperlink" Target="https://ref.ly/Isa52:8" TargetMode="External"/><Relationship Id="rId20631" Type="http://schemas.openxmlformats.org/officeDocument/2006/relationships/hyperlink" Target="https://ref.ly/Lam2:19" TargetMode="External"/><Relationship Id="rId20632" Type="http://schemas.openxmlformats.org/officeDocument/2006/relationships/hyperlink" Target="https://ref.ly/Num35:11" TargetMode="External"/><Relationship Id="rId20633" Type="http://schemas.openxmlformats.org/officeDocument/2006/relationships/hyperlink" Target="https://ref.ly/Judg8:18-Judg8:21" TargetMode="External"/><Relationship Id="rId20634" Type="http://schemas.openxmlformats.org/officeDocument/2006/relationships/hyperlink" Target="https://ref.ly/2Sam3:27,2Sam3:30" TargetMode="External"/><Relationship Id="rId20635" Type="http://schemas.openxmlformats.org/officeDocument/2006/relationships/hyperlink" Target="https://ref.ly/2Kgs14:5-2Kgs14:6" TargetMode="External"/><Relationship Id="rId20636" Type="http://schemas.openxmlformats.org/officeDocument/2006/relationships/hyperlink" Target="https://ref.ly/2Sam14:8-2Sam14:11" TargetMode="External"/><Relationship Id="rId20637" Type="http://schemas.openxmlformats.org/officeDocument/2006/relationships/hyperlink" Target="https://ref.ly/Gen9:21" TargetMode="External"/><Relationship Id="rId20638" Type="http://schemas.openxmlformats.org/officeDocument/2006/relationships/hyperlink" Target="https://ref.ly/Prov3:10" TargetMode="External"/><Relationship Id="rId20639" Type="http://schemas.openxmlformats.org/officeDocument/2006/relationships/hyperlink" Target="https://ref.ly/Joel2:24" TargetMode="External"/><Relationship Id="rId20640" Type="http://schemas.openxmlformats.org/officeDocument/2006/relationships/hyperlink" Target="https://ref.ly/Hos4:11" TargetMode="External"/><Relationship Id="rId20641" Type="http://schemas.openxmlformats.org/officeDocument/2006/relationships/hyperlink" Target="https://ref.ly/Rev19:13-Rev19:15" TargetMode="External"/><Relationship Id="rId20642" Type="http://schemas.openxmlformats.org/officeDocument/2006/relationships/hyperlink" Target="https://ref.ly/Esth1:10" TargetMode="External"/><Relationship Id="rId20643" Type="http://schemas.openxmlformats.org/officeDocument/2006/relationships/hyperlink" Target="https://ref.ly/Eccl10:19" TargetMode="External"/><Relationship Id="rId20644" Type="http://schemas.openxmlformats.org/officeDocument/2006/relationships/hyperlink" Target="https://ref.ly/Isa55:1-Isa55:2" TargetMode="External"/><Relationship Id="rId20645" Type="http://schemas.openxmlformats.org/officeDocument/2006/relationships/hyperlink" Target="https://ref.ly/Zech10:7" TargetMode="External"/><Relationship Id="rId20646" Type="http://schemas.openxmlformats.org/officeDocument/2006/relationships/hyperlink" Target="https://ref.ly/Judg19:19" TargetMode="External"/><Relationship Id="rId20647" Type="http://schemas.openxmlformats.org/officeDocument/2006/relationships/hyperlink" Target="https://ref.ly/1Sam16:20" TargetMode="External"/><Relationship Id="rId20648" Type="http://schemas.openxmlformats.org/officeDocument/2006/relationships/hyperlink" Target="https://ref.ly/Jer35:1-Jer35:6" TargetMode="External"/><Relationship Id="rId20649" Type="http://schemas.openxmlformats.org/officeDocument/2006/relationships/hyperlink" Target="https://ref.ly/Lev23:13" TargetMode="External"/><Relationship Id="rId20650" Type="http://schemas.openxmlformats.org/officeDocument/2006/relationships/hyperlink" Target="https://ref.ly/2Sam16:2" TargetMode="External"/><Relationship Id="rId20651" Type="http://schemas.openxmlformats.org/officeDocument/2006/relationships/hyperlink" Target="https://ref.ly/Deut29:6" TargetMode="External"/><Relationship Id="rId20652" Type="http://schemas.openxmlformats.org/officeDocument/2006/relationships/hyperlink" Target="https://ref.ly/1Sam1:15" TargetMode="External"/><Relationship Id="rId20653" Type="http://schemas.openxmlformats.org/officeDocument/2006/relationships/hyperlink" Target="https://ref.ly/Isa29:9" TargetMode="External"/><Relationship Id="rId20654" Type="http://schemas.openxmlformats.org/officeDocument/2006/relationships/hyperlink" Target="https://ref.ly/Isa28:1-Isa28:8" TargetMode="External"/><Relationship Id="rId20655" Type="http://schemas.openxmlformats.org/officeDocument/2006/relationships/hyperlink" Target="https://ref.ly/Prov23:20-Prov23:21" TargetMode="External"/><Relationship Id="rId20656" Type="http://schemas.openxmlformats.org/officeDocument/2006/relationships/hyperlink" Target="https://ref.ly/Prov23:32-Prov23:34" TargetMode="External"/><Relationship Id="rId20657" Type="http://schemas.openxmlformats.org/officeDocument/2006/relationships/hyperlink" Target="https://ref.ly/Matt26:27-Matt26:29" TargetMode="External"/><Relationship Id="rId20658" Type="http://schemas.openxmlformats.org/officeDocument/2006/relationships/hyperlink" Target="https://ref.ly/Lev21:7,Lev21:13-Lev21:14" TargetMode="External"/><Relationship Id="rId20659" Type="http://schemas.openxmlformats.org/officeDocument/2006/relationships/hyperlink" Target="https://ref.ly/2Cor11:2" TargetMode="External"/><Relationship Id="rId20660" Type="http://schemas.openxmlformats.org/officeDocument/2006/relationships/hyperlink" Target="https://ref.ly/Deut22:20-Deut22:21" TargetMode="External"/><Relationship Id="rId20661" Type="http://schemas.openxmlformats.org/officeDocument/2006/relationships/hyperlink" Target="https://ref.ly/Jer16:2" TargetMode="External"/><Relationship Id="rId20662" Type="http://schemas.openxmlformats.org/officeDocument/2006/relationships/hyperlink" Target="https://ref.ly/Judg11:37" TargetMode="External"/><Relationship Id="rId20663" Type="http://schemas.openxmlformats.org/officeDocument/2006/relationships/hyperlink" Target="https://ref.ly/1Cor7:7,1Cor7:25-1Cor7:38" TargetMode="External"/><Relationship Id="rId20664" Type="http://schemas.openxmlformats.org/officeDocument/2006/relationships/hyperlink" Target="https://ref.ly/1Cor7:7" TargetMode="External"/><Relationship Id="rId20665" Type="http://schemas.openxmlformats.org/officeDocument/2006/relationships/hyperlink" Target="https://ref.ly/1Sam9:19-1Sam9:20" TargetMode="External"/><Relationship Id="rId20666" Type="http://schemas.openxmlformats.org/officeDocument/2006/relationships/hyperlink" Target="https://ref.ly/2Kgs5:26" TargetMode="External"/><Relationship Id="rId20667" Type="http://schemas.openxmlformats.org/officeDocument/2006/relationships/hyperlink" Target="https://ref.ly/Ezek8:3" TargetMode="External"/><Relationship Id="rId20668" Type="http://schemas.openxmlformats.org/officeDocument/2006/relationships/hyperlink" Target="https://ref.ly/Jer13:4-Jer13:7" TargetMode="External"/><Relationship Id="rId20669" Type="http://schemas.openxmlformats.org/officeDocument/2006/relationships/hyperlink" Target="https://ref.ly/Amos8:1-Amos8:2" TargetMode="External"/><Relationship Id="rId20670" Type="http://schemas.openxmlformats.org/officeDocument/2006/relationships/hyperlink" Target="https://ref.ly/Jer1:11-Jer1:13" TargetMode="External"/><Relationship Id="rId20671" Type="http://schemas.openxmlformats.org/officeDocument/2006/relationships/hyperlink" Target="https://ref.ly/1Kgs22:19-1Kgs22:22" TargetMode="External"/><Relationship Id="rId20672" Type="http://schemas.openxmlformats.org/officeDocument/2006/relationships/hyperlink" Target="https://ref.ly/Ezek12:21-Ezek12:28" TargetMode="External"/><Relationship Id="rId20673" Type="http://schemas.openxmlformats.org/officeDocument/2006/relationships/hyperlink" Target="https://ref.ly/1Sam3:15" TargetMode="External"/><Relationship Id="rId20674" Type="http://schemas.openxmlformats.org/officeDocument/2006/relationships/hyperlink" Target="https://ref.ly/Obad1:1" TargetMode="External"/><Relationship Id="rId20675" Type="http://schemas.openxmlformats.org/officeDocument/2006/relationships/hyperlink" Target="https://ref.ly/2Sam7:17" TargetMode="External"/><Relationship Id="rId20676" Type="http://schemas.openxmlformats.org/officeDocument/2006/relationships/hyperlink" Target="https://ref.ly/1Chr17:15" TargetMode="External"/><Relationship Id="rId20677" Type="http://schemas.openxmlformats.org/officeDocument/2006/relationships/hyperlink" Target="https://ref.ly/Ps89:19" TargetMode="External"/><Relationship Id="rId20678" Type="http://schemas.openxmlformats.org/officeDocument/2006/relationships/hyperlink" Target="https://ref.ly/Prov29:18" TargetMode="External"/><Relationship Id="rId20679" Type="http://schemas.openxmlformats.org/officeDocument/2006/relationships/hyperlink" Target="https://ref.ly/Deut24:19-Deut24:20" TargetMode="External"/><Relationship Id="rId20680" Type="http://schemas.openxmlformats.org/officeDocument/2006/relationships/hyperlink" Target="https://ref.ly/Ruth2:2,Ruth2:7,Ruth2:15-Ruth2:19" TargetMode="External"/><Relationship Id="rId20681" Type="http://schemas.openxmlformats.org/officeDocument/2006/relationships/hyperlink" Target="https://ref.ly/Job24:21" TargetMode="External"/><Relationship Id="rId20682" Type="http://schemas.openxmlformats.org/officeDocument/2006/relationships/hyperlink" Target="https://ref.ly/1Tim5:9-1Tim5:16" TargetMode="External"/><Relationship Id="rId20683" Type="http://schemas.openxmlformats.org/officeDocument/2006/relationships/hyperlink" Target="https://ref.ly/Gen28:20-Gen28:22" TargetMode="External"/><Relationship Id="rId20684" Type="http://schemas.openxmlformats.org/officeDocument/2006/relationships/hyperlink" Target="https://ref.ly/Ps22:24-Ps22:25" TargetMode="External"/><Relationship Id="rId20685" Type="http://schemas.openxmlformats.org/officeDocument/2006/relationships/hyperlink" Target="https://ref.ly/Ps56:12-Ps56:13" TargetMode="External"/><Relationship Id="rId20686" Type="http://schemas.openxmlformats.org/officeDocument/2006/relationships/hyperlink" Target="https://ref.ly/Deut23:22" TargetMode="External"/><Relationship Id="rId20687" Type="http://schemas.openxmlformats.org/officeDocument/2006/relationships/hyperlink" Target="https://ref.ly/Deut23:21-Deut23:23" TargetMode="External"/><Relationship Id="rId20688" Type="http://schemas.openxmlformats.org/officeDocument/2006/relationships/hyperlink" Target="https://ref.ly/Eccl5:4-Eccl5:6" TargetMode="External"/><Relationship Id="rId20689" Type="http://schemas.openxmlformats.org/officeDocument/2006/relationships/hyperlink" Target="https://ref.ly/Mark7:11-Mark7:13" TargetMode="External"/><Relationship Id="rId20690" Type="http://schemas.openxmlformats.org/officeDocument/2006/relationships/hyperlink" Target="https://ref.ly/Matt15:5-Matt15:6" TargetMode="External"/><Relationship Id="rId20691" Type="http://schemas.openxmlformats.org/officeDocument/2006/relationships/hyperlink" Target="https://ref.ly/1Chr4:26" TargetMode="External"/><Relationship Id="rId20692" Type="http://schemas.openxmlformats.org/officeDocument/2006/relationships/hyperlink" Target="https://ref.ly/1Chr24:27" TargetMode="External"/><Relationship Id="rId20693" Type="http://schemas.openxmlformats.org/officeDocument/2006/relationships/hyperlink" Target="https://ref.ly/1Chr25:10" TargetMode="External"/><Relationship Id="rId20694" Type="http://schemas.openxmlformats.org/officeDocument/2006/relationships/hyperlink" Target="https://ref.ly/Neh12:35" TargetMode="External"/><Relationship Id="rId20695" Type="http://schemas.openxmlformats.org/officeDocument/2006/relationships/hyperlink" Target="https://ref.ly/Ezra8:14" TargetMode="External"/><Relationship Id="rId20696" Type="http://schemas.openxmlformats.org/officeDocument/2006/relationships/hyperlink" Target="https://ref.ly/Neh10:12" TargetMode="External"/><Relationship Id="rId20697" Type="http://schemas.openxmlformats.org/officeDocument/2006/relationships/hyperlink" Target="https://ref.ly/Judg9:48" TargetMode="External"/><Relationship Id="rId20698" Type="http://schemas.openxmlformats.org/officeDocument/2006/relationships/hyperlink" Target="https://ref.ly/Judg7:1-Judg7:23" TargetMode="External"/><Relationship Id="rId20699" Type="http://schemas.openxmlformats.org/officeDocument/2006/relationships/hyperlink" Target="https://ref.ly/Judg7:24-Judg8:3" TargetMode="External"/><Relationship Id="rId20700" Type="http://schemas.openxmlformats.org/officeDocument/2006/relationships/hyperlink" Target="https://ref.ly/Judg8:12" TargetMode="External"/><Relationship Id="rId20701" Type="http://schemas.openxmlformats.org/officeDocument/2006/relationships/hyperlink" Target="https://ref.ly/Judg8:19-Judg8:21" TargetMode="External"/><Relationship Id="rId20702" Type="http://schemas.openxmlformats.org/officeDocument/2006/relationships/hyperlink" Target="https://ref.ly/Mark10:35" TargetMode="External"/><Relationship Id="rId20703" Type="http://schemas.openxmlformats.org/officeDocument/2006/relationships/hyperlink" Target="https://ref.ly/John18:15" TargetMode="External"/><Relationship Id="rId20704" Type="http://schemas.openxmlformats.org/officeDocument/2006/relationships/hyperlink" Target="https://ref.ly/Hos11:8" TargetMode="External"/><Relationship Id="rId20705" Type="http://schemas.openxmlformats.org/officeDocument/2006/relationships/hyperlink" Target="https://ref.ly/Gen30:20" TargetMode="External"/><Relationship Id="rId20706" Type="http://schemas.openxmlformats.org/officeDocument/2006/relationships/hyperlink" Target="https://ref.ly/Exod1:3" TargetMode="External"/><Relationship Id="rId20707" Type="http://schemas.openxmlformats.org/officeDocument/2006/relationships/hyperlink" Target="https://ref.ly/Num1:30-Num1:31" TargetMode="External"/><Relationship Id="rId20708" Type="http://schemas.openxmlformats.org/officeDocument/2006/relationships/hyperlink" Target="https://ref.ly/Gen30:19-Gen30:20" TargetMode="External"/><Relationship Id="rId20709" Type="http://schemas.openxmlformats.org/officeDocument/2006/relationships/hyperlink" Target="https://ref.ly/Num26:27" TargetMode="External"/><Relationship Id="rId20710" Type="http://schemas.openxmlformats.org/officeDocument/2006/relationships/hyperlink" Target="https://ref.ly/Num26:26-Num26:27" TargetMode="External"/><Relationship Id="rId20711" Type="http://schemas.openxmlformats.org/officeDocument/2006/relationships/hyperlink" Target="https://ref.ly/Deut33:18-Deut33:19" TargetMode="External"/><Relationship Id="rId20712" Type="http://schemas.openxmlformats.org/officeDocument/2006/relationships/hyperlink" Target="https://ref.ly/Judg1:32-Judg1:33" TargetMode="External"/><Relationship Id="rId20713" Type="http://schemas.openxmlformats.org/officeDocument/2006/relationships/hyperlink" Target="https://ref.ly/Judg4:6-Judg4:10" TargetMode="External"/><Relationship Id="rId20714" Type="http://schemas.openxmlformats.org/officeDocument/2006/relationships/hyperlink" Target="https://ref.ly/Judg5:18" TargetMode="External"/><Relationship Id="rId20715" Type="http://schemas.openxmlformats.org/officeDocument/2006/relationships/hyperlink" Target="https://ref.ly/1Chr12:33" TargetMode="External"/><Relationship Id="rId20716" Type="http://schemas.openxmlformats.org/officeDocument/2006/relationships/hyperlink" Target="https://ref.ly/Num27:7" TargetMode="External"/><Relationship Id="rId20717" Type="http://schemas.openxmlformats.org/officeDocument/2006/relationships/hyperlink" Target="https://ref.ly/Num36:2" TargetMode="External"/><Relationship Id="rId20718" Type="http://schemas.openxmlformats.org/officeDocument/2006/relationships/hyperlink" Target="https://ref.ly/2Macc4:2" TargetMode="External"/><Relationship Id="rId20719" Type="http://schemas.openxmlformats.org/officeDocument/2006/relationships/hyperlink" Target="https://ref.ly/John2:17" TargetMode="External"/><Relationship Id="rId20720" Type="http://schemas.openxmlformats.org/officeDocument/2006/relationships/hyperlink" Target="https://ref.ly/Acts21:20" TargetMode="External"/><Relationship Id="rId20721" Type="http://schemas.openxmlformats.org/officeDocument/2006/relationships/hyperlink" Target="https://ref.ly/1Cor14:12" TargetMode="External"/><Relationship Id="rId20722" Type="http://schemas.openxmlformats.org/officeDocument/2006/relationships/hyperlink" Target="https://ref.ly/1Macc2:15-1Macc2:28" TargetMode="External"/><Relationship Id="rId20723" Type="http://schemas.openxmlformats.org/officeDocument/2006/relationships/hyperlink" Target="https://ref.ly/Acts5:37-Acts5:38" TargetMode="External"/><Relationship Id="rId20724" Type="http://schemas.openxmlformats.org/officeDocument/2006/relationships/hyperlink" Target="https://ref.ly/1Chr1:1-1Chr1:54" TargetMode="External"/><Relationship Id="rId20725" Type="http://schemas.openxmlformats.org/officeDocument/2006/relationships/hyperlink" Target="https://ref.ly/Gen36:17" TargetMode="External"/><Relationship Id="rId20726" Type="http://schemas.openxmlformats.org/officeDocument/2006/relationships/hyperlink" Target="https://ref.ly/Gen36:13,Gen36:33" TargetMode="External"/><Relationship Id="rId20727" Type="http://schemas.openxmlformats.org/officeDocument/2006/relationships/hyperlink" Target="https://ref.ly/Gen38:30" TargetMode="External"/><Relationship Id="rId20728" Type="http://schemas.openxmlformats.org/officeDocument/2006/relationships/hyperlink" Target="https://ref.ly/Josh22:20" TargetMode="External"/><Relationship Id="rId20729" Type="http://schemas.openxmlformats.org/officeDocument/2006/relationships/hyperlink" Target="https://ref.ly/1Chr2:4-1Chr2:6" TargetMode="External"/><Relationship Id="rId20730" Type="http://schemas.openxmlformats.org/officeDocument/2006/relationships/hyperlink" Target="https://ref.ly/1Chr9:6" TargetMode="External"/><Relationship Id="rId20731" Type="http://schemas.openxmlformats.org/officeDocument/2006/relationships/hyperlink" Target="https://ref.ly/1Chr6:21" TargetMode="External"/><Relationship Id="rId20732" Type="http://schemas.openxmlformats.org/officeDocument/2006/relationships/hyperlink" Target="https://ref.ly/1Chr6:41" TargetMode="External"/><Relationship Id="rId20733" Type="http://schemas.openxmlformats.org/officeDocument/2006/relationships/hyperlink" Target="https://ref.ly/2Chr14:9" TargetMode="External"/><Relationship Id="rId20734" Type="http://schemas.openxmlformats.org/officeDocument/2006/relationships/hyperlink" Target="https://ref.ly/Deut2:13-Deut2:14" TargetMode="External"/><Relationship Id="rId20735" Type="http://schemas.openxmlformats.org/officeDocument/2006/relationships/hyperlink" Target="https://ref.ly/Acts14:8-Acts14:18" TargetMode="External"/><Relationship Id="rId20736" Type="http://schemas.openxmlformats.org/officeDocument/2006/relationships/hyperlink" Target="https://ref.ly/Gen36:2,Gen36:14" TargetMode="External"/><Relationship Id="rId20737" Type="http://schemas.openxmlformats.org/officeDocument/2006/relationships/hyperlink" Target="https://ref.ly/Gen36:20,Gen36:29" TargetMode="External"/><Relationship Id="rId20738" Type="http://schemas.openxmlformats.org/officeDocument/2006/relationships/hyperlink" Target="https://ref.ly/1Chr8:19" TargetMode="External"/><Relationship Id="rId20739" Type="http://schemas.openxmlformats.org/officeDocument/2006/relationships/hyperlink" Target="https://ref.ly/1Chr8:23" TargetMode="External"/><Relationship Id="rId20740" Type="http://schemas.openxmlformats.org/officeDocument/2006/relationships/hyperlink" Target="https://ref.ly/1Chr9:15" TargetMode="External"/><Relationship Id="rId20741" Type="http://schemas.openxmlformats.org/officeDocument/2006/relationships/hyperlink" Target="https://ref.ly/1Chr26:25" TargetMode="External"/><Relationship Id="rId20742" Type="http://schemas.openxmlformats.org/officeDocument/2006/relationships/hyperlink" Target="https://ref.ly/2Chr17:16" TargetMode="External"/><Relationship Id="rId20743" Type="http://schemas.openxmlformats.org/officeDocument/2006/relationships/hyperlink" Target="https://ref.ly/Neh12:17" TargetMode="External"/><Relationship Id="rId20744" Type="http://schemas.openxmlformats.org/officeDocument/2006/relationships/hyperlink" Target="https://ref.ly/Josh15:24" TargetMode="External"/><Relationship Id="rId20745" Type="http://schemas.openxmlformats.org/officeDocument/2006/relationships/hyperlink" Target="https://ref.ly/Josh15:55" TargetMode="External"/><Relationship Id="rId20746" Type="http://schemas.openxmlformats.org/officeDocument/2006/relationships/hyperlink" Target="https://ref.ly/1Chr2:42" TargetMode="External"/><Relationship Id="rId20747" Type="http://schemas.openxmlformats.org/officeDocument/2006/relationships/hyperlink" Target="https://ref.ly/1Sam26:2" TargetMode="External"/><Relationship Id="rId20748" Type="http://schemas.openxmlformats.org/officeDocument/2006/relationships/hyperlink" Target="https://ref.ly/1Sam23:19" TargetMode="External"/><Relationship Id="rId20749" Type="http://schemas.openxmlformats.org/officeDocument/2006/relationships/hyperlink" Target="https://ref.ly/Ps54:1" TargetMode="External"/><Relationship Id="rId20750" Type="http://schemas.openxmlformats.org/officeDocument/2006/relationships/hyperlink" Target="https://ref.ly/2Chr11:8" TargetMode="External"/><Relationship Id="rId20751" Type="http://schemas.openxmlformats.org/officeDocument/2006/relationships/hyperlink" Target="https://ref.ly/Ps54:1-Ps54:7" TargetMode="External"/><Relationship Id="rId20752" Type="http://schemas.openxmlformats.org/officeDocument/2006/relationships/hyperlink" Target="https://ref.ly/Gen4:19-Gen4:23" TargetMode="External"/><Relationship Id="rId20753" Type="http://schemas.openxmlformats.org/officeDocument/2006/relationships/hyperlink" Target="https://ref.ly/Gen29:24" TargetMode="External"/><Relationship Id="rId20754" Type="http://schemas.openxmlformats.org/officeDocument/2006/relationships/hyperlink" Target="https://ref.ly/Gen46:18" TargetMode="External"/><Relationship Id="rId20755" Type="http://schemas.openxmlformats.org/officeDocument/2006/relationships/hyperlink" Target="https://ref.ly/Gen30:9" TargetMode="External"/><Relationship Id="rId20756" Type="http://schemas.openxmlformats.org/officeDocument/2006/relationships/hyperlink" Target="https://ref.ly/Num33:11" TargetMode="External"/><Relationship Id="rId20757" Type="http://schemas.openxmlformats.org/officeDocument/2006/relationships/hyperlink" Target="https://ref.ly/Num13:1-Num13:26" TargetMode="External"/><Relationship Id="rId20758" Type="http://schemas.openxmlformats.org/officeDocument/2006/relationships/hyperlink" Target="https://ref.ly/Num14:22-Num14:23" TargetMode="External"/><Relationship Id="rId20759" Type="http://schemas.openxmlformats.org/officeDocument/2006/relationships/hyperlink" Target="https://ref.ly/Num20:1-Num20:13" TargetMode="External"/><Relationship Id="rId20760" Type="http://schemas.openxmlformats.org/officeDocument/2006/relationships/hyperlink" Target="https://ref.ly/Jer25:25" TargetMode="External"/><Relationship Id="rId20761" Type="http://schemas.openxmlformats.org/officeDocument/2006/relationships/hyperlink" Target="https://ref.ly/1Kgs16:9-1Kgs16:12" TargetMode="External"/><Relationship Id="rId20762" Type="http://schemas.openxmlformats.org/officeDocument/2006/relationships/hyperlink" Target="https://ref.ly/2Kgs9:31" TargetMode="External"/><Relationship Id="rId20763" Type="http://schemas.openxmlformats.org/officeDocument/2006/relationships/hyperlink" Target="https://ref.ly/Josh7:1,Josh7:17" TargetMode="External"/><Relationship Id="rId20764" Type="http://schemas.openxmlformats.org/officeDocument/2006/relationships/hyperlink" Target="https://ref.ly/1Chr8:36" TargetMode="External"/><Relationship Id="rId20765" Type="http://schemas.openxmlformats.org/officeDocument/2006/relationships/hyperlink" Target="https://ref.ly/1Chr9:42" TargetMode="External"/><Relationship Id="rId20766" Type="http://schemas.openxmlformats.org/officeDocument/2006/relationships/hyperlink" Target="https://ref.ly/Num22:2,Num22:10,Num22:16" TargetMode="External"/><Relationship Id="rId20767" Type="http://schemas.openxmlformats.org/officeDocument/2006/relationships/hyperlink" Target="https://ref.ly/Num23:18" TargetMode="External"/><Relationship Id="rId20768" Type="http://schemas.openxmlformats.org/officeDocument/2006/relationships/hyperlink" Target="https://ref.ly/Exod18:2" TargetMode="External"/><Relationship Id="rId20769" Type="http://schemas.openxmlformats.org/officeDocument/2006/relationships/hyperlink" Target="https://ref.ly/Isa19:11-Isa19:13" TargetMode="External"/><Relationship Id="rId20770" Type="http://schemas.openxmlformats.org/officeDocument/2006/relationships/hyperlink" Target="https://ref.ly/Ezek30:14" TargetMode="External"/><Relationship Id="rId20771" Type="http://schemas.openxmlformats.org/officeDocument/2006/relationships/hyperlink" Target="https://ref.ly/Gen19:22-Gen19:23,Gen19:30" TargetMode="External"/><Relationship Id="rId20772" Type="http://schemas.openxmlformats.org/officeDocument/2006/relationships/hyperlink" Target="https://ref.ly/Gen19:22" TargetMode="External"/><Relationship Id="rId20773" Type="http://schemas.openxmlformats.org/officeDocument/2006/relationships/hyperlink" Target="https://ref.ly/Isa15:5" TargetMode="External"/><Relationship Id="rId20774" Type="http://schemas.openxmlformats.org/officeDocument/2006/relationships/hyperlink" Target="https://ref.ly/Jer48:4,Jer48:34" TargetMode="External"/><Relationship Id="rId20775" Type="http://schemas.openxmlformats.org/officeDocument/2006/relationships/hyperlink" Target="https://ref.ly/Gen23:7-Gen23:9" TargetMode="External"/><Relationship Id="rId20776" Type="http://schemas.openxmlformats.org/officeDocument/2006/relationships/hyperlink" Target="https://ref.ly/2Sam8:3-2Sam8:5,2Sam8:12" TargetMode="External"/><Relationship Id="rId20777" Type="http://schemas.openxmlformats.org/officeDocument/2006/relationships/hyperlink" Target="https://ref.ly/1Chr18:3-1Chr18:10" TargetMode="External"/><Relationship Id="rId20778" Type="http://schemas.openxmlformats.org/officeDocument/2006/relationships/hyperlink" Target="https://ref.ly/2Sam10:6-2Sam10:14" TargetMode="External"/><Relationship Id="rId20779" Type="http://schemas.openxmlformats.org/officeDocument/2006/relationships/hyperlink" Target="https://ref.ly/2Sam10:15-2Sam10:19" TargetMode="External"/><Relationship Id="rId20780" Type="http://schemas.openxmlformats.org/officeDocument/2006/relationships/hyperlink" Target="https://ref.ly/1Chr19:16-1Chr19:19" TargetMode="External"/><Relationship Id="rId20781" Type="http://schemas.openxmlformats.org/officeDocument/2006/relationships/hyperlink" Target="https://ref.ly/Num23:13-Num23:16" TargetMode="External"/><Relationship Id="rId20782" Type="http://schemas.openxmlformats.org/officeDocument/2006/relationships/hyperlink" Target="https://ref.ly/Ezra5:2" TargetMode="External"/><Relationship Id="rId20783" Type="http://schemas.openxmlformats.org/officeDocument/2006/relationships/hyperlink" Target="https://ref.ly/Neh12:1" TargetMode="External"/><Relationship Id="rId20784" Type="http://schemas.openxmlformats.org/officeDocument/2006/relationships/hyperlink" Target="https://ref.ly/Matt1:12-Matt1:13" TargetMode="External"/><Relationship Id="rId20785" Type="http://schemas.openxmlformats.org/officeDocument/2006/relationships/hyperlink" Target="https://ref.ly/Hag2:21-Hag2:23" TargetMode="External"/><Relationship Id="rId20786" Type="http://schemas.openxmlformats.org/officeDocument/2006/relationships/hyperlink" Target="https://ref.ly/Zech4:6-Zech4:7" TargetMode="External"/><Relationship Id="rId20787" Type="http://schemas.openxmlformats.org/officeDocument/2006/relationships/hyperlink" Target="https://ref.ly/Zech4:11-Zech4:14" TargetMode="External"/><Relationship Id="rId20788" Type="http://schemas.openxmlformats.org/officeDocument/2006/relationships/hyperlink" Target="https://ref.ly/Num25: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